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88AEB" w14:textId="77777777" w:rsidR="00F65BCA" w:rsidRDefault="00216117">
      <w:pPr>
        <w:pStyle w:val="Zkladntext"/>
        <w:ind w:left="412"/>
        <w:rPr>
          <w:rFonts w:ascii="Times New Roman"/>
          <w:sz w:val="20"/>
        </w:rPr>
      </w:pPr>
      <w:r>
        <w:rPr>
          <w:rFonts w:ascii="Times New Roman"/>
          <w:noProof/>
          <w:sz w:val="20"/>
        </w:rPr>
        <w:drawing>
          <wp:inline distT="0" distB="0" distL="0" distR="0" wp14:anchorId="4E789429" wp14:editId="02D8D851">
            <wp:extent cx="2518119" cy="41386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2518119" cy="413861"/>
                    </a:xfrm>
                    <a:prstGeom prst="rect">
                      <a:avLst/>
                    </a:prstGeom>
                  </pic:spPr>
                </pic:pic>
              </a:graphicData>
            </a:graphic>
          </wp:inline>
        </w:drawing>
      </w:r>
    </w:p>
    <w:p w14:paraId="2A86408D" w14:textId="77777777" w:rsidR="00F65BCA" w:rsidRDefault="00F65BCA">
      <w:pPr>
        <w:pStyle w:val="Zkladntext"/>
        <w:spacing w:before="2"/>
        <w:rPr>
          <w:rFonts w:ascii="Times New Roman"/>
          <w:sz w:val="7"/>
        </w:rPr>
      </w:pPr>
    </w:p>
    <w:p w14:paraId="7B671957" w14:textId="77777777" w:rsidR="00F65BCA" w:rsidRDefault="00216117">
      <w:pPr>
        <w:spacing w:before="90"/>
        <w:ind w:left="258" w:right="6321"/>
        <w:rPr>
          <w:rFonts w:ascii="Times New Roman" w:hAnsi="Times New Roman"/>
          <w:sz w:val="24"/>
        </w:rPr>
      </w:pPr>
      <w:r>
        <w:rPr>
          <w:rFonts w:ascii="Times New Roman" w:hAnsi="Times New Roman"/>
          <w:sz w:val="24"/>
        </w:rPr>
        <w:t>Číslo pojistné smlouvy: 5888038260 Kód produktu: FA</w:t>
      </w:r>
    </w:p>
    <w:p w14:paraId="3D4420AE" w14:textId="77777777" w:rsidR="00F65BCA" w:rsidRDefault="00F65BCA">
      <w:pPr>
        <w:pStyle w:val="Zkladntext"/>
        <w:rPr>
          <w:rFonts w:ascii="Times New Roman"/>
          <w:sz w:val="24"/>
        </w:rPr>
      </w:pPr>
    </w:p>
    <w:p w14:paraId="79A699A2" w14:textId="77777777" w:rsidR="00F65BCA" w:rsidRDefault="00216117">
      <w:pPr>
        <w:ind w:left="258"/>
        <w:rPr>
          <w:rFonts w:ascii="Times New Roman" w:hAnsi="Times New Roman"/>
          <w:sz w:val="24"/>
        </w:rPr>
      </w:pPr>
      <w:r>
        <w:rPr>
          <w:rFonts w:ascii="Times New Roman" w:hAnsi="Times New Roman"/>
          <w:sz w:val="24"/>
        </w:rPr>
        <w:t>Záznam z jednání</w:t>
      </w:r>
    </w:p>
    <w:p w14:paraId="0760E7AC" w14:textId="77777777" w:rsidR="00F65BCA" w:rsidRDefault="00F65BCA">
      <w:pPr>
        <w:pStyle w:val="Zkladntext"/>
        <w:rPr>
          <w:rFonts w:ascii="Times New Roman"/>
          <w:sz w:val="26"/>
        </w:rPr>
      </w:pPr>
    </w:p>
    <w:p w14:paraId="2BA462DD" w14:textId="77777777" w:rsidR="00F65BCA" w:rsidRDefault="00F65BCA">
      <w:pPr>
        <w:pStyle w:val="Zkladntext"/>
        <w:rPr>
          <w:rFonts w:ascii="Times New Roman"/>
          <w:sz w:val="22"/>
        </w:rPr>
      </w:pPr>
    </w:p>
    <w:p w14:paraId="5C7186A9" w14:textId="77777777" w:rsidR="00F65BCA" w:rsidRDefault="00216117">
      <w:pPr>
        <w:pStyle w:val="Odstavecseseznamem"/>
        <w:numPr>
          <w:ilvl w:val="0"/>
          <w:numId w:val="156"/>
        </w:numPr>
        <w:tabs>
          <w:tab w:val="left" w:pos="966"/>
          <w:tab w:val="left" w:pos="967"/>
        </w:tabs>
        <w:jc w:val="left"/>
        <w:rPr>
          <w:rFonts w:ascii="Times New Roman" w:hAnsi="Times New Roman"/>
          <w:b/>
          <w:sz w:val="24"/>
        </w:rPr>
      </w:pPr>
      <w:r>
        <w:rPr>
          <w:rFonts w:ascii="Times New Roman" w:hAnsi="Times New Roman"/>
          <w:b/>
          <w:sz w:val="24"/>
        </w:rPr>
        <w:t>Zájemce</w:t>
      </w:r>
    </w:p>
    <w:p w14:paraId="0A47DB16" w14:textId="77777777" w:rsidR="00F65BCA" w:rsidRDefault="00216117">
      <w:pPr>
        <w:ind w:left="258" w:right="2156"/>
        <w:rPr>
          <w:rFonts w:ascii="Times New Roman" w:hAnsi="Times New Roman"/>
          <w:sz w:val="24"/>
        </w:rPr>
      </w:pPr>
      <w:r>
        <w:rPr>
          <w:rFonts w:ascii="Times New Roman" w:hAnsi="Times New Roman"/>
          <w:b/>
          <w:sz w:val="24"/>
        </w:rPr>
        <w:t xml:space="preserve">Západočeská univerzita v Plzni, </w:t>
      </w:r>
      <w:r>
        <w:rPr>
          <w:rFonts w:ascii="Times New Roman" w:hAnsi="Times New Roman"/>
          <w:sz w:val="24"/>
        </w:rPr>
        <w:t>Univerzitní 8, 301 00 Plzeň, Česká republika, IČO: 49777513</w:t>
      </w:r>
    </w:p>
    <w:p w14:paraId="01AC9EBB" w14:textId="77777777" w:rsidR="00F65BCA" w:rsidRDefault="00216117">
      <w:pPr>
        <w:ind w:left="258"/>
        <w:rPr>
          <w:rFonts w:ascii="Times New Roman" w:hAnsi="Times New Roman"/>
          <w:sz w:val="24"/>
        </w:rPr>
      </w:pPr>
      <w:r>
        <w:rPr>
          <w:rFonts w:ascii="Times New Roman" w:hAnsi="Times New Roman"/>
          <w:sz w:val="24"/>
        </w:rPr>
        <w:t>DIČ: CZ49777513,</w:t>
      </w:r>
    </w:p>
    <w:p w14:paraId="56522733" w14:textId="77777777" w:rsidR="00F65BCA" w:rsidRDefault="00216117">
      <w:pPr>
        <w:ind w:left="258"/>
        <w:rPr>
          <w:rFonts w:ascii="Times New Roman" w:hAnsi="Times New Roman"/>
          <w:sz w:val="24"/>
        </w:rPr>
      </w:pPr>
      <w:r>
        <w:rPr>
          <w:rFonts w:ascii="Times New Roman" w:hAnsi="Times New Roman"/>
          <w:sz w:val="24"/>
        </w:rPr>
        <w:t>Zastoupen: prof. RNDr. Miroslavem Lávičkou, Ph.D., rektorem</w:t>
      </w:r>
    </w:p>
    <w:p w14:paraId="28B6C35F" w14:textId="77777777" w:rsidR="00F65BCA" w:rsidRDefault="00F65BCA">
      <w:pPr>
        <w:pStyle w:val="Zkladntext"/>
        <w:rPr>
          <w:rFonts w:ascii="Times New Roman"/>
          <w:sz w:val="26"/>
        </w:rPr>
      </w:pPr>
    </w:p>
    <w:p w14:paraId="0671D6F3" w14:textId="77777777" w:rsidR="00F65BCA" w:rsidRDefault="00F65BCA">
      <w:pPr>
        <w:pStyle w:val="Zkladntext"/>
        <w:rPr>
          <w:rFonts w:ascii="Times New Roman"/>
          <w:sz w:val="22"/>
        </w:rPr>
      </w:pPr>
    </w:p>
    <w:p w14:paraId="584FEE09" w14:textId="77777777" w:rsidR="00F65BCA" w:rsidRDefault="00216117">
      <w:pPr>
        <w:pStyle w:val="Odstavecseseznamem"/>
        <w:numPr>
          <w:ilvl w:val="0"/>
          <w:numId w:val="156"/>
        </w:numPr>
        <w:tabs>
          <w:tab w:val="left" w:pos="978"/>
          <w:tab w:val="left" w:pos="979"/>
        </w:tabs>
        <w:ind w:left="978" w:hanging="608"/>
        <w:jc w:val="left"/>
        <w:rPr>
          <w:rFonts w:ascii="Times New Roman" w:hAnsi="Times New Roman"/>
          <w:b/>
          <w:sz w:val="24"/>
        </w:rPr>
      </w:pPr>
      <w:r>
        <w:rPr>
          <w:rFonts w:ascii="Times New Roman" w:hAnsi="Times New Roman"/>
          <w:b/>
          <w:sz w:val="24"/>
        </w:rPr>
        <w:t>Potřeby</w:t>
      </w:r>
      <w:r>
        <w:rPr>
          <w:rFonts w:ascii="Times New Roman" w:hAnsi="Times New Roman"/>
          <w:b/>
          <w:spacing w:val="-1"/>
          <w:sz w:val="24"/>
        </w:rPr>
        <w:t xml:space="preserve"> </w:t>
      </w:r>
      <w:r>
        <w:rPr>
          <w:rFonts w:ascii="Times New Roman" w:hAnsi="Times New Roman"/>
          <w:b/>
          <w:sz w:val="24"/>
        </w:rPr>
        <w:t>zájemce</w:t>
      </w:r>
    </w:p>
    <w:p w14:paraId="0D6BAD3C" w14:textId="77777777" w:rsidR="00F65BCA" w:rsidRDefault="00216117">
      <w:pPr>
        <w:ind w:left="258"/>
        <w:rPr>
          <w:rFonts w:ascii="Times New Roman" w:hAnsi="Times New Roman"/>
          <w:sz w:val="24"/>
        </w:rPr>
      </w:pPr>
      <w:r>
        <w:rPr>
          <w:rFonts w:ascii="Times New Roman" w:hAnsi="Times New Roman"/>
          <w:sz w:val="24"/>
        </w:rPr>
        <w:t>Majetkové pojištění souboru vozidel, respektive odpovědnosti z provozu vozidel.</w:t>
      </w:r>
    </w:p>
    <w:p w14:paraId="76E181BA" w14:textId="77777777" w:rsidR="00F65BCA" w:rsidRDefault="00F65BCA">
      <w:pPr>
        <w:pStyle w:val="Zkladntext"/>
        <w:rPr>
          <w:rFonts w:ascii="Times New Roman"/>
          <w:sz w:val="26"/>
        </w:rPr>
      </w:pPr>
    </w:p>
    <w:p w14:paraId="443ABFD8" w14:textId="77777777" w:rsidR="00F65BCA" w:rsidRDefault="00F65BCA">
      <w:pPr>
        <w:pStyle w:val="Zkladntext"/>
        <w:rPr>
          <w:rFonts w:ascii="Times New Roman"/>
          <w:sz w:val="22"/>
        </w:rPr>
      </w:pPr>
    </w:p>
    <w:p w14:paraId="1CDEA44D" w14:textId="77777777" w:rsidR="00F65BCA" w:rsidRDefault="00216117">
      <w:pPr>
        <w:pStyle w:val="Odstavecseseznamem"/>
        <w:numPr>
          <w:ilvl w:val="0"/>
          <w:numId w:val="156"/>
        </w:numPr>
        <w:tabs>
          <w:tab w:val="left" w:pos="979"/>
        </w:tabs>
        <w:ind w:left="978" w:hanging="702"/>
        <w:jc w:val="both"/>
        <w:rPr>
          <w:rFonts w:ascii="Times New Roman" w:hAnsi="Times New Roman"/>
          <w:b/>
          <w:sz w:val="24"/>
        </w:rPr>
      </w:pPr>
      <w:r>
        <w:rPr>
          <w:rFonts w:ascii="Times New Roman" w:hAnsi="Times New Roman"/>
          <w:b/>
          <w:sz w:val="24"/>
        </w:rPr>
        <w:t>Pojistný</w:t>
      </w:r>
      <w:r>
        <w:rPr>
          <w:rFonts w:ascii="Times New Roman" w:hAnsi="Times New Roman"/>
          <w:b/>
          <w:spacing w:val="-1"/>
          <w:sz w:val="24"/>
        </w:rPr>
        <w:t xml:space="preserve"> </w:t>
      </w:r>
      <w:r>
        <w:rPr>
          <w:rFonts w:ascii="Times New Roman" w:hAnsi="Times New Roman"/>
          <w:b/>
          <w:sz w:val="24"/>
        </w:rPr>
        <w:t>zájem</w:t>
      </w:r>
    </w:p>
    <w:p w14:paraId="2451E7DB" w14:textId="77777777" w:rsidR="00F65BCA" w:rsidRDefault="00216117">
      <w:pPr>
        <w:ind w:left="258" w:right="107"/>
        <w:jc w:val="both"/>
        <w:rPr>
          <w:rFonts w:ascii="Times New Roman" w:hAnsi="Times New Roman"/>
          <w:sz w:val="24"/>
        </w:rPr>
      </w:pPr>
      <w:r>
        <w:rPr>
          <w:rFonts w:ascii="Times New Roman" w:hAnsi="Times New Roman"/>
          <w:sz w:val="24"/>
        </w:rPr>
        <w:t>Ano,</w:t>
      </w:r>
      <w:r>
        <w:rPr>
          <w:rFonts w:ascii="Times New Roman" w:hAnsi="Times New Roman"/>
          <w:spacing w:val="-17"/>
          <w:sz w:val="24"/>
        </w:rPr>
        <w:t xml:space="preserve"> </w:t>
      </w:r>
      <w:r>
        <w:rPr>
          <w:rFonts w:ascii="Times New Roman" w:hAnsi="Times New Roman"/>
          <w:sz w:val="24"/>
        </w:rPr>
        <w:t>zájemce</w:t>
      </w:r>
      <w:r>
        <w:rPr>
          <w:rFonts w:ascii="Times New Roman" w:hAnsi="Times New Roman"/>
          <w:spacing w:val="-18"/>
          <w:sz w:val="24"/>
        </w:rPr>
        <w:t xml:space="preserve"> </w:t>
      </w:r>
      <w:r>
        <w:rPr>
          <w:rFonts w:ascii="Times New Roman" w:hAnsi="Times New Roman"/>
          <w:sz w:val="24"/>
        </w:rPr>
        <w:t>má</w:t>
      </w:r>
      <w:r>
        <w:rPr>
          <w:rFonts w:ascii="Times New Roman" w:hAnsi="Times New Roman"/>
          <w:spacing w:val="-14"/>
          <w:sz w:val="24"/>
        </w:rPr>
        <w:t xml:space="preserve"> </w:t>
      </w:r>
      <w:r>
        <w:rPr>
          <w:rFonts w:ascii="Times New Roman" w:hAnsi="Times New Roman"/>
          <w:sz w:val="24"/>
        </w:rPr>
        <w:t>zájem</w:t>
      </w:r>
      <w:r>
        <w:rPr>
          <w:rFonts w:ascii="Times New Roman" w:hAnsi="Times New Roman"/>
          <w:spacing w:val="-16"/>
          <w:sz w:val="24"/>
        </w:rPr>
        <w:t xml:space="preserve"> </w:t>
      </w:r>
      <w:r>
        <w:rPr>
          <w:rFonts w:ascii="Times New Roman" w:hAnsi="Times New Roman"/>
          <w:sz w:val="24"/>
        </w:rPr>
        <w:t>uzavřít</w:t>
      </w:r>
      <w:r>
        <w:rPr>
          <w:rFonts w:ascii="Times New Roman" w:hAnsi="Times New Roman"/>
          <w:spacing w:val="-15"/>
          <w:sz w:val="24"/>
        </w:rPr>
        <w:t xml:space="preserve"> </w:t>
      </w:r>
      <w:r>
        <w:rPr>
          <w:rFonts w:ascii="Times New Roman" w:hAnsi="Times New Roman"/>
          <w:sz w:val="24"/>
        </w:rPr>
        <w:t>pojištění</w:t>
      </w:r>
      <w:r>
        <w:rPr>
          <w:rFonts w:ascii="Times New Roman" w:hAnsi="Times New Roman"/>
          <w:spacing w:val="-16"/>
          <w:sz w:val="24"/>
        </w:rPr>
        <w:t xml:space="preserve"> </w:t>
      </w:r>
      <w:r>
        <w:rPr>
          <w:rFonts w:ascii="Times New Roman" w:hAnsi="Times New Roman"/>
          <w:sz w:val="24"/>
        </w:rPr>
        <w:t>z</w:t>
      </w:r>
      <w:r>
        <w:rPr>
          <w:rFonts w:ascii="Times New Roman" w:hAnsi="Times New Roman"/>
          <w:spacing w:val="-17"/>
          <w:sz w:val="24"/>
        </w:rPr>
        <w:t xml:space="preserve"> </w:t>
      </w:r>
      <w:r>
        <w:rPr>
          <w:rFonts w:ascii="Times New Roman" w:hAnsi="Times New Roman"/>
          <w:sz w:val="24"/>
        </w:rPr>
        <w:t>důvodu</w:t>
      </w:r>
      <w:r>
        <w:rPr>
          <w:rFonts w:ascii="Times New Roman" w:hAnsi="Times New Roman"/>
          <w:spacing w:val="-14"/>
          <w:sz w:val="24"/>
        </w:rPr>
        <w:t xml:space="preserve"> </w:t>
      </w:r>
      <w:r>
        <w:rPr>
          <w:rFonts w:ascii="Times New Roman" w:hAnsi="Times New Roman"/>
          <w:sz w:val="24"/>
        </w:rPr>
        <w:t>ochrany</w:t>
      </w:r>
      <w:r>
        <w:rPr>
          <w:rFonts w:ascii="Times New Roman" w:hAnsi="Times New Roman"/>
          <w:spacing w:val="-14"/>
          <w:sz w:val="24"/>
        </w:rPr>
        <w:t xml:space="preserve"> </w:t>
      </w:r>
      <w:r>
        <w:rPr>
          <w:rFonts w:ascii="Times New Roman" w:hAnsi="Times New Roman"/>
          <w:sz w:val="24"/>
        </w:rPr>
        <w:t>života,</w:t>
      </w:r>
      <w:r>
        <w:rPr>
          <w:rFonts w:ascii="Times New Roman" w:hAnsi="Times New Roman"/>
          <w:spacing w:val="-16"/>
          <w:sz w:val="24"/>
        </w:rPr>
        <w:t xml:space="preserve"> </w:t>
      </w:r>
      <w:r>
        <w:rPr>
          <w:rFonts w:ascii="Times New Roman" w:hAnsi="Times New Roman"/>
          <w:sz w:val="24"/>
        </w:rPr>
        <w:t>zdraví</w:t>
      </w:r>
      <w:r>
        <w:rPr>
          <w:rFonts w:ascii="Times New Roman" w:hAnsi="Times New Roman"/>
          <w:spacing w:val="-16"/>
          <w:sz w:val="24"/>
        </w:rPr>
        <w:t xml:space="preserve"> </w:t>
      </w:r>
      <w:r>
        <w:rPr>
          <w:rFonts w:ascii="Times New Roman" w:hAnsi="Times New Roman"/>
          <w:sz w:val="24"/>
        </w:rPr>
        <w:t>či</w:t>
      </w:r>
      <w:r>
        <w:rPr>
          <w:rFonts w:ascii="Times New Roman" w:hAnsi="Times New Roman"/>
          <w:spacing w:val="-13"/>
          <w:sz w:val="24"/>
        </w:rPr>
        <w:t xml:space="preserve"> </w:t>
      </w:r>
      <w:r>
        <w:rPr>
          <w:rFonts w:ascii="Times New Roman" w:hAnsi="Times New Roman"/>
          <w:sz w:val="24"/>
        </w:rPr>
        <w:t>majetku</w:t>
      </w:r>
      <w:r>
        <w:rPr>
          <w:rFonts w:ascii="Times New Roman" w:hAnsi="Times New Roman"/>
          <w:spacing w:val="-17"/>
          <w:sz w:val="24"/>
        </w:rPr>
        <w:t xml:space="preserve"> </w:t>
      </w:r>
      <w:r>
        <w:rPr>
          <w:rFonts w:ascii="Times New Roman" w:hAnsi="Times New Roman"/>
          <w:sz w:val="24"/>
        </w:rPr>
        <w:t>svého</w:t>
      </w:r>
      <w:r>
        <w:rPr>
          <w:rFonts w:ascii="Times New Roman" w:hAnsi="Times New Roman"/>
          <w:spacing w:val="-16"/>
          <w:sz w:val="24"/>
        </w:rPr>
        <w:t xml:space="preserve"> </w:t>
      </w:r>
      <w:r>
        <w:rPr>
          <w:rFonts w:ascii="Times New Roman" w:hAnsi="Times New Roman"/>
          <w:sz w:val="24"/>
        </w:rPr>
        <w:t>nebo</w:t>
      </w:r>
      <w:r>
        <w:rPr>
          <w:rFonts w:ascii="Times New Roman" w:hAnsi="Times New Roman"/>
          <w:spacing w:val="-14"/>
          <w:sz w:val="24"/>
        </w:rPr>
        <w:t xml:space="preserve"> </w:t>
      </w:r>
      <w:r>
        <w:rPr>
          <w:rFonts w:ascii="Times New Roman" w:hAnsi="Times New Roman"/>
          <w:sz w:val="24"/>
        </w:rPr>
        <w:t>cizího. V případě zájmu ochrany jiné osoby, je zájemce povinen na žádost pojistitele osvědčit svůj pojistný zájem.</w:t>
      </w:r>
    </w:p>
    <w:p w14:paraId="753873C7" w14:textId="77777777" w:rsidR="00F65BCA" w:rsidRDefault="00F65BCA">
      <w:pPr>
        <w:pStyle w:val="Zkladntext"/>
        <w:rPr>
          <w:rFonts w:ascii="Times New Roman"/>
          <w:sz w:val="26"/>
        </w:rPr>
      </w:pPr>
    </w:p>
    <w:p w14:paraId="11BE947A" w14:textId="77777777" w:rsidR="00F65BCA" w:rsidRDefault="00F65BCA">
      <w:pPr>
        <w:pStyle w:val="Zkladntext"/>
        <w:rPr>
          <w:rFonts w:ascii="Times New Roman"/>
          <w:sz w:val="22"/>
        </w:rPr>
      </w:pPr>
    </w:p>
    <w:p w14:paraId="5752D779" w14:textId="77777777" w:rsidR="00F65BCA" w:rsidRDefault="00216117">
      <w:pPr>
        <w:pStyle w:val="Odstavecseseznamem"/>
        <w:numPr>
          <w:ilvl w:val="0"/>
          <w:numId w:val="156"/>
        </w:numPr>
        <w:tabs>
          <w:tab w:val="left" w:pos="978"/>
          <w:tab w:val="left" w:pos="979"/>
        </w:tabs>
        <w:ind w:left="978" w:hanging="687"/>
        <w:jc w:val="left"/>
        <w:rPr>
          <w:rFonts w:ascii="Times New Roman" w:hAnsi="Times New Roman"/>
          <w:b/>
          <w:sz w:val="24"/>
        </w:rPr>
      </w:pPr>
      <w:r>
        <w:rPr>
          <w:rFonts w:ascii="Times New Roman" w:hAnsi="Times New Roman"/>
          <w:b/>
          <w:sz w:val="24"/>
        </w:rPr>
        <w:t>Skutečnosti ovlivňující výběr produktu a jejich analýza</w:t>
      </w:r>
    </w:p>
    <w:p w14:paraId="20211DEB" w14:textId="77777777" w:rsidR="00F65BCA" w:rsidRDefault="00216117">
      <w:pPr>
        <w:pStyle w:val="Odstavecseseznamem"/>
        <w:numPr>
          <w:ilvl w:val="1"/>
          <w:numId w:val="156"/>
        </w:numPr>
        <w:tabs>
          <w:tab w:val="left" w:pos="978"/>
          <w:tab w:val="left" w:pos="979"/>
        </w:tabs>
        <w:spacing w:before="1"/>
        <w:ind w:hanging="721"/>
        <w:rPr>
          <w:rFonts w:ascii="Times New Roman" w:hAnsi="Times New Roman"/>
          <w:sz w:val="24"/>
        </w:rPr>
      </w:pPr>
      <w:r>
        <w:rPr>
          <w:rFonts w:ascii="Times New Roman" w:hAnsi="Times New Roman"/>
          <w:sz w:val="24"/>
        </w:rPr>
        <w:t>údaje o osobě</w:t>
      </w:r>
      <w:r>
        <w:rPr>
          <w:rFonts w:ascii="Times New Roman" w:hAnsi="Times New Roman"/>
          <w:spacing w:val="-3"/>
          <w:sz w:val="24"/>
        </w:rPr>
        <w:t xml:space="preserve"> </w:t>
      </w:r>
      <w:r>
        <w:rPr>
          <w:rFonts w:ascii="Times New Roman" w:hAnsi="Times New Roman"/>
          <w:sz w:val="24"/>
        </w:rPr>
        <w:t>zájemce/pojistníka</w:t>
      </w:r>
    </w:p>
    <w:p w14:paraId="3185757F" w14:textId="77777777" w:rsidR="00F65BCA" w:rsidRDefault="00216117">
      <w:pPr>
        <w:pStyle w:val="Odstavecseseznamem"/>
        <w:numPr>
          <w:ilvl w:val="1"/>
          <w:numId w:val="156"/>
        </w:numPr>
        <w:tabs>
          <w:tab w:val="left" w:pos="978"/>
          <w:tab w:val="left" w:pos="979"/>
        </w:tabs>
        <w:ind w:hanging="721"/>
        <w:rPr>
          <w:rFonts w:ascii="Times New Roman" w:hAnsi="Times New Roman"/>
          <w:sz w:val="24"/>
        </w:rPr>
      </w:pPr>
      <w:r>
        <w:rPr>
          <w:rFonts w:ascii="Times New Roman" w:hAnsi="Times New Roman"/>
          <w:sz w:val="24"/>
        </w:rPr>
        <w:t>potřeby</w:t>
      </w:r>
      <w:r>
        <w:rPr>
          <w:rFonts w:ascii="Times New Roman" w:hAnsi="Times New Roman"/>
          <w:spacing w:val="-1"/>
          <w:sz w:val="24"/>
        </w:rPr>
        <w:t xml:space="preserve"> </w:t>
      </w:r>
      <w:r>
        <w:rPr>
          <w:rFonts w:ascii="Times New Roman" w:hAnsi="Times New Roman"/>
          <w:sz w:val="24"/>
        </w:rPr>
        <w:t>zájemce</w:t>
      </w:r>
    </w:p>
    <w:p w14:paraId="67F95AA8" w14:textId="77777777" w:rsidR="00F65BCA" w:rsidRDefault="00216117">
      <w:pPr>
        <w:pStyle w:val="Odstavecseseznamem"/>
        <w:numPr>
          <w:ilvl w:val="1"/>
          <w:numId w:val="156"/>
        </w:numPr>
        <w:tabs>
          <w:tab w:val="left" w:pos="978"/>
          <w:tab w:val="left" w:pos="979"/>
        </w:tabs>
        <w:ind w:hanging="721"/>
        <w:rPr>
          <w:rFonts w:ascii="Times New Roman" w:hAnsi="Times New Roman"/>
          <w:sz w:val="24"/>
        </w:rPr>
      </w:pPr>
      <w:r>
        <w:rPr>
          <w:rFonts w:ascii="Times New Roman" w:hAnsi="Times New Roman"/>
          <w:sz w:val="24"/>
        </w:rPr>
        <w:t>údaje o skladbě souboru vozidel (druh vozidla, užití vozidla</w:t>
      </w:r>
      <w:r>
        <w:rPr>
          <w:rFonts w:ascii="Times New Roman" w:hAnsi="Times New Roman"/>
          <w:spacing w:val="-3"/>
          <w:sz w:val="24"/>
        </w:rPr>
        <w:t xml:space="preserve"> </w:t>
      </w:r>
      <w:r>
        <w:rPr>
          <w:rFonts w:ascii="Times New Roman" w:hAnsi="Times New Roman"/>
          <w:sz w:val="24"/>
        </w:rPr>
        <w:t>atd.)</w:t>
      </w:r>
    </w:p>
    <w:p w14:paraId="6417D0D8" w14:textId="77777777" w:rsidR="00F65BCA" w:rsidRDefault="00F65BCA">
      <w:pPr>
        <w:pStyle w:val="Zkladntext"/>
        <w:spacing w:before="11"/>
        <w:rPr>
          <w:rFonts w:ascii="Times New Roman"/>
          <w:sz w:val="23"/>
        </w:rPr>
      </w:pPr>
    </w:p>
    <w:p w14:paraId="00B3EB4E" w14:textId="77777777" w:rsidR="00F65BCA" w:rsidRDefault="00216117">
      <w:pPr>
        <w:pStyle w:val="Odstavecseseznamem"/>
        <w:numPr>
          <w:ilvl w:val="0"/>
          <w:numId w:val="156"/>
        </w:numPr>
        <w:tabs>
          <w:tab w:val="left" w:pos="978"/>
          <w:tab w:val="left" w:pos="979"/>
        </w:tabs>
        <w:ind w:left="978" w:hanging="594"/>
        <w:jc w:val="left"/>
        <w:rPr>
          <w:rFonts w:ascii="Times New Roman" w:hAnsi="Times New Roman"/>
          <w:b/>
          <w:sz w:val="24"/>
        </w:rPr>
      </w:pPr>
      <w:r>
        <w:rPr>
          <w:rFonts w:ascii="Times New Roman" w:hAnsi="Times New Roman"/>
          <w:b/>
          <w:sz w:val="24"/>
        </w:rPr>
        <w:t>Zvláštní požadavky zájemce nad rámec zaznamenaných</w:t>
      </w:r>
      <w:r>
        <w:rPr>
          <w:rFonts w:ascii="Times New Roman" w:hAnsi="Times New Roman"/>
          <w:b/>
          <w:spacing w:val="-1"/>
          <w:sz w:val="24"/>
        </w:rPr>
        <w:t xml:space="preserve"> </w:t>
      </w:r>
      <w:r>
        <w:rPr>
          <w:rFonts w:ascii="Times New Roman" w:hAnsi="Times New Roman"/>
          <w:b/>
          <w:sz w:val="24"/>
        </w:rPr>
        <w:t>potřeb</w:t>
      </w:r>
    </w:p>
    <w:p w14:paraId="1156B3FB" w14:textId="77777777" w:rsidR="00F65BCA" w:rsidRDefault="00216117">
      <w:pPr>
        <w:ind w:left="258"/>
        <w:rPr>
          <w:rFonts w:ascii="Times New Roman"/>
          <w:sz w:val="24"/>
        </w:rPr>
      </w:pPr>
      <w:r>
        <w:rPr>
          <w:rFonts w:ascii="Times New Roman"/>
          <w:sz w:val="24"/>
        </w:rPr>
        <w:t>NE</w:t>
      </w:r>
    </w:p>
    <w:p w14:paraId="464350D8" w14:textId="77777777" w:rsidR="00F65BCA" w:rsidRDefault="00F65BCA">
      <w:pPr>
        <w:pStyle w:val="Zkladntext"/>
        <w:rPr>
          <w:rFonts w:ascii="Times New Roman"/>
          <w:sz w:val="26"/>
        </w:rPr>
      </w:pPr>
    </w:p>
    <w:p w14:paraId="1F813757" w14:textId="77777777" w:rsidR="00F65BCA" w:rsidRDefault="00F65BCA">
      <w:pPr>
        <w:pStyle w:val="Zkladntext"/>
        <w:rPr>
          <w:rFonts w:ascii="Times New Roman"/>
          <w:sz w:val="22"/>
        </w:rPr>
      </w:pPr>
    </w:p>
    <w:p w14:paraId="3B34BDB4" w14:textId="77777777" w:rsidR="00F65BCA" w:rsidRDefault="00216117">
      <w:pPr>
        <w:pStyle w:val="Odstavecseseznamem"/>
        <w:numPr>
          <w:ilvl w:val="0"/>
          <w:numId w:val="156"/>
        </w:numPr>
        <w:tabs>
          <w:tab w:val="left" w:pos="978"/>
          <w:tab w:val="left" w:pos="979"/>
        </w:tabs>
        <w:ind w:left="978" w:hanging="687"/>
        <w:jc w:val="left"/>
        <w:rPr>
          <w:rFonts w:ascii="Times New Roman" w:hAnsi="Times New Roman"/>
          <w:b/>
          <w:sz w:val="24"/>
        </w:rPr>
      </w:pPr>
      <w:r>
        <w:rPr>
          <w:rFonts w:ascii="Times New Roman" w:hAnsi="Times New Roman"/>
          <w:b/>
          <w:sz w:val="24"/>
        </w:rPr>
        <w:t>Doporučení</w:t>
      </w:r>
    </w:p>
    <w:p w14:paraId="715E6599" w14:textId="77777777" w:rsidR="00F65BCA" w:rsidRDefault="00216117">
      <w:pPr>
        <w:spacing w:line="480" w:lineRule="auto"/>
        <w:ind w:left="258" w:right="478"/>
        <w:rPr>
          <w:rFonts w:ascii="Times New Roman" w:hAnsi="Times New Roman"/>
          <w:sz w:val="24"/>
        </w:rPr>
      </w:pPr>
      <w:r>
        <w:rPr>
          <w:rFonts w:ascii="Times New Roman" w:hAnsi="Times New Roman"/>
          <w:sz w:val="24"/>
        </w:rPr>
        <w:t>Pojistný produkt je doporučován z portfolia pojistitele na základě zájemcem sdělených informací. Doporučené pojistné produkty</w:t>
      </w:r>
    </w:p>
    <w:tbl>
      <w:tblPr>
        <w:tblStyle w:val="TableNormal"/>
        <w:tblW w:w="0" w:type="auto"/>
        <w:tblInd w:w="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23"/>
      </w:tblGrid>
      <w:tr w:rsidR="00F65BCA" w14:paraId="5AAFBB37" w14:textId="77777777">
        <w:trPr>
          <w:trHeight w:val="275"/>
        </w:trPr>
        <w:tc>
          <w:tcPr>
            <w:tcW w:w="8323" w:type="dxa"/>
          </w:tcPr>
          <w:p w14:paraId="4D6C9C29" w14:textId="77777777" w:rsidR="00F65BCA" w:rsidRDefault="00216117">
            <w:pPr>
              <w:pStyle w:val="TableParagraph"/>
              <w:spacing w:line="256" w:lineRule="exact"/>
              <w:ind w:left="105"/>
              <w:rPr>
                <w:rFonts w:ascii="Times New Roman" w:hAnsi="Times New Roman"/>
                <w:sz w:val="24"/>
              </w:rPr>
            </w:pPr>
            <w:r>
              <w:rPr>
                <w:rFonts w:ascii="Times New Roman" w:hAnsi="Times New Roman"/>
                <w:sz w:val="24"/>
              </w:rPr>
              <w:t>Pojištění odpovědnosti za újmu z provozu vozidel</w:t>
            </w:r>
          </w:p>
        </w:tc>
      </w:tr>
      <w:tr w:rsidR="00F65BCA" w14:paraId="0D95666F" w14:textId="77777777">
        <w:trPr>
          <w:trHeight w:val="275"/>
        </w:trPr>
        <w:tc>
          <w:tcPr>
            <w:tcW w:w="8323" w:type="dxa"/>
          </w:tcPr>
          <w:p w14:paraId="22AE2385" w14:textId="77777777" w:rsidR="00F65BCA" w:rsidRDefault="00216117">
            <w:pPr>
              <w:pStyle w:val="TableParagraph"/>
              <w:spacing w:line="256" w:lineRule="exact"/>
              <w:ind w:left="105"/>
              <w:rPr>
                <w:rFonts w:ascii="Times New Roman" w:hAnsi="Times New Roman"/>
                <w:sz w:val="24"/>
              </w:rPr>
            </w:pPr>
            <w:r>
              <w:rPr>
                <w:rFonts w:ascii="Times New Roman" w:hAnsi="Times New Roman"/>
                <w:sz w:val="24"/>
              </w:rPr>
              <w:t>Havarijní pojištění “All Risk”</w:t>
            </w:r>
          </w:p>
        </w:tc>
      </w:tr>
      <w:tr w:rsidR="00F65BCA" w14:paraId="5F296B5C" w14:textId="77777777">
        <w:trPr>
          <w:trHeight w:val="275"/>
        </w:trPr>
        <w:tc>
          <w:tcPr>
            <w:tcW w:w="8323" w:type="dxa"/>
          </w:tcPr>
          <w:p w14:paraId="37875DE2" w14:textId="77777777" w:rsidR="00F65BCA" w:rsidRDefault="00216117">
            <w:pPr>
              <w:pStyle w:val="TableParagraph"/>
              <w:spacing w:line="256" w:lineRule="exact"/>
              <w:ind w:left="105"/>
              <w:rPr>
                <w:rFonts w:ascii="Times New Roman" w:hAnsi="Times New Roman"/>
                <w:sz w:val="24"/>
              </w:rPr>
            </w:pPr>
            <w:r>
              <w:rPr>
                <w:rFonts w:ascii="Times New Roman" w:hAnsi="Times New Roman"/>
                <w:sz w:val="24"/>
              </w:rPr>
              <w:t>Pojištění Všech skel</w:t>
            </w:r>
          </w:p>
        </w:tc>
      </w:tr>
      <w:tr w:rsidR="00F65BCA" w14:paraId="0B349697" w14:textId="77777777">
        <w:trPr>
          <w:trHeight w:val="275"/>
        </w:trPr>
        <w:tc>
          <w:tcPr>
            <w:tcW w:w="8323" w:type="dxa"/>
          </w:tcPr>
          <w:p w14:paraId="53089478" w14:textId="77777777" w:rsidR="00F65BCA" w:rsidRDefault="00216117">
            <w:pPr>
              <w:pStyle w:val="TableParagraph"/>
              <w:spacing w:line="256" w:lineRule="exact"/>
              <w:ind w:left="105"/>
              <w:rPr>
                <w:rFonts w:ascii="Times New Roman" w:hAnsi="Times New Roman"/>
                <w:sz w:val="24"/>
              </w:rPr>
            </w:pPr>
            <w:r>
              <w:rPr>
                <w:rFonts w:ascii="Times New Roman" w:hAnsi="Times New Roman"/>
                <w:sz w:val="24"/>
              </w:rPr>
              <w:t>Pojištění Asistence</w:t>
            </w:r>
          </w:p>
        </w:tc>
      </w:tr>
      <w:tr w:rsidR="00F65BCA" w14:paraId="3DC5402E" w14:textId="77777777">
        <w:trPr>
          <w:trHeight w:val="278"/>
        </w:trPr>
        <w:tc>
          <w:tcPr>
            <w:tcW w:w="8323" w:type="dxa"/>
          </w:tcPr>
          <w:p w14:paraId="7B81CDE8" w14:textId="77777777" w:rsidR="00F65BCA" w:rsidRDefault="00216117">
            <w:pPr>
              <w:pStyle w:val="TableParagraph"/>
              <w:spacing w:before="1" w:line="257" w:lineRule="exact"/>
              <w:ind w:left="105"/>
              <w:rPr>
                <w:rFonts w:ascii="Times New Roman" w:hAnsi="Times New Roman"/>
                <w:sz w:val="24"/>
              </w:rPr>
            </w:pPr>
            <w:r>
              <w:rPr>
                <w:rFonts w:ascii="Times New Roman" w:hAnsi="Times New Roman"/>
                <w:sz w:val="24"/>
              </w:rPr>
              <w:t>Úrazové Pojištění</w:t>
            </w:r>
          </w:p>
        </w:tc>
      </w:tr>
      <w:tr w:rsidR="00F65BCA" w14:paraId="4184232B" w14:textId="77777777">
        <w:trPr>
          <w:trHeight w:val="275"/>
        </w:trPr>
        <w:tc>
          <w:tcPr>
            <w:tcW w:w="8323" w:type="dxa"/>
          </w:tcPr>
          <w:p w14:paraId="533C0B23" w14:textId="77777777" w:rsidR="00F65BCA" w:rsidRDefault="00216117">
            <w:pPr>
              <w:pStyle w:val="TableParagraph"/>
              <w:spacing w:line="256" w:lineRule="exact"/>
              <w:ind w:left="105"/>
              <w:rPr>
                <w:rFonts w:ascii="Times New Roman" w:hAnsi="Times New Roman"/>
                <w:sz w:val="24"/>
              </w:rPr>
            </w:pPr>
            <w:r>
              <w:rPr>
                <w:rFonts w:ascii="Times New Roman" w:hAnsi="Times New Roman"/>
                <w:sz w:val="24"/>
              </w:rPr>
              <w:t>Pojištění Zavazadel</w:t>
            </w:r>
          </w:p>
        </w:tc>
      </w:tr>
      <w:tr w:rsidR="00F65BCA" w14:paraId="6982FE6B" w14:textId="77777777">
        <w:trPr>
          <w:trHeight w:val="275"/>
        </w:trPr>
        <w:tc>
          <w:tcPr>
            <w:tcW w:w="8323" w:type="dxa"/>
          </w:tcPr>
          <w:p w14:paraId="05460037" w14:textId="77777777" w:rsidR="00F65BCA" w:rsidRDefault="00216117">
            <w:pPr>
              <w:pStyle w:val="TableParagraph"/>
              <w:spacing w:line="256" w:lineRule="exact"/>
              <w:ind w:left="105"/>
              <w:rPr>
                <w:rFonts w:ascii="Times New Roman" w:hAnsi="Times New Roman"/>
                <w:sz w:val="24"/>
              </w:rPr>
            </w:pPr>
            <w:r>
              <w:rPr>
                <w:rFonts w:ascii="Times New Roman" w:hAnsi="Times New Roman"/>
                <w:sz w:val="24"/>
              </w:rPr>
              <w:t>Pojištění Činnosti pracovního stroje</w:t>
            </w:r>
          </w:p>
        </w:tc>
      </w:tr>
    </w:tbl>
    <w:p w14:paraId="616730CD" w14:textId="77777777" w:rsidR="00F65BCA" w:rsidRDefault="00F65BCA">
      <w:pPr>
        <w:pStyle w:val="Zkladntext"/>
        <w:spacing w:before="10"/>
        <w:rPr>
          <w:rFonts w:ascii="Times New Roman"/>
          <w:sz w:val="23"/>
        </w:rPr>
      </w:pPr>
    </w:p>
    <w:p w14:paraId="4EC811D2" w14:textId="77777777" w:rsidR="00F65BCA" w:rsidRDefault="00216117">
      <w:pPr>
        <w:pStyle w:val="Odstavecseseznamem"/>
        <w:numPr>
          <w:ilvl w:val="0"/>
          <w:numId w:val="156"/>
        </w:numPr>
        <w:tabs>
          <w:tab w:val="left" w:pos="978"/>
          <w:tab w:val="left" w:pos="979"/>
        </w:tabs>
        <w:ind w:left="978" w:hanging="781"/>
        <w:jc w:val="left"/>
        <w:rPr>
          <w:rFonts w:ascii="Times New Roman"/>
          <w:b/>
          <w:sz w:val="24"/>
        </w:rPr>
      </w:pPr>
      <w:r>
        <w:rPr>
          <w:rFonts w:ascii="Times New Roman"/>
          <w:b/>
          <w:sz w:val="24"/>
        </w:rPr>
        <w:t>Dokumenty</w:t>
      </w:r>
    </w:p>
    <w:p w14:paraId="6C608DF6" w14:textId="77777777" w:rsidR="00F65BCA" w:rsidRDefault="00216117">
      <w:pPr>
        <w:ind w:left="258"/>
        <w:rPr>
          <w:rFonts w:ascii="Times New Roman" w:hAnsi="Times New Roman"/>
          <w:sz w:val="24"/>
        </w:rPr>
      </w:pPr>
      <w:r>
        <w:rPr>
          <w:rFonts w:ascii="Times New Roman" w:hAnsi="Times New Roman"/>
          <w:sz w:val="24"/>
        </w:rPr>
        <w:t>Zájemce převzal a seznámil se s následujícími dokumenty:</w:t>
      </w:r>
    </w:p>
    <w:p w14:paraId="4F330D0E" w14:textId="77777777" w:rsidR="00F65BCA" w:rsidRDefault="00216117">
      <w:pPr>
        <w:pStyle w:val="Odstavecseseznamem"/>
        <w:numPr>
          <w:ilvl w:val="1"/>
          <w:numId w:val="156"/>
        </w:numPr>
        <w:tabs>
          <w:tab w:val="left" w:pos="1004"/>
          <w:tab w:val="left" w:pos="1005"/>
        </w:tabs>
        <w:ind w:left="1004" w:hanging="747"/>
        <w:rPr>
          <w:rFonts w:ascii="Times New Roman" w:hAnsi="Times New Roman"/>
          <w:sz w:val="24"/>
        </w:rPr>
      </w:pPr>
      <w:r>
        <w:rPr>
          <w:rFonts w:ascii="Times New Roman" w:hAnsi="Times New Roman"/>
          <w:sz w:val="24"/>
        </w:rPr>
        <w:t>Předsmluvní informace PIPMV–F–5/2025</w:t>
      </w:r>
    </w:p>
    <w:p w14:paraId="7488A122" w14:textId="77777777" w:rsidR="00F65BCA" w:rsidRDefault="00216117">
      <w:pPr>
        <w:tabs>
          <w:tab w:val="left" w:pos="978"/>
        </w:tabs>
        <w:ind w:left="258"/>
        <w:rPr>
          <w:rFonts w:ascii="Times New Roman" w:hAnsi="Times New Roman"/>
          <w:sz w:val="24"/>
        </w:rPr>
      </w:pPr>
      <w:r>
        <w:rPr>
          <w:rFonts w:ascii="Times New Roman" w:hAnsi="Times New Roman"/>
          <w:sz w:val="24"/>
        </w:rPr>
        <w:t>b.</w:t>
      </w:r>
      <w:r>
        <w:rPr>
          <w:rFonts w:ascii="Times New Roman" w:hAnsi="Times New Roman"/>
          <w:sz w:val="24"/>
        </w:rPr>
        <w:tab/>
        <w:t>Pojistné podmínky VPPPMV–F–5/2025 (6.20.012 05.2025 v04)</w:t>
      </w:r>
    </w:p>
    <w:p w14:paraId="389A8765" w14:textId="77777777" w:rsidR="00F65BCA" w:rsidRDefault="00F65BCA">
      <w:pPr>
        <w:pStyle w:val="Zkladntext"/>
        <w:rPr>
          <w:rFonts w:ascii="Times New Roman"/>
          <w:sz w:val="19"/>
        </w:rPr>
      </w:pPr>
    </w:p>
    <w:p w14:paraId="1B48F2DA" w14:textId="77777777" w:rsidR="00F65BCA" w:rsidRDefault="00216117">
      <w:pPr>
        <w:spacing w:before="96"/>
        <w:ind w:left="147"/>
        <w:jc w:val="center"/>
        <w:rPr>
          <w:sz w:val="16"/>
        </w:rPr>
      </w:pPr>
      <w:r>
        <w:rPr>
          <w:sz w:val="16"/>
        </w:rPr>
        <w:t>1</w:t>
      </w:r>
    </w:p>
    <w:p w14:paraId="589961C5" w14:textId="77777777" w:rsidR="00F65BCA" w:rsidRDefault="00F65BCA">
      <w:pPr>
        <w:jc w:val="center"/>
        <w:rPr>
          <w:sz w:val="16"/>
        </w:rPr>
        <w:sectPr w:rsidR="00F65BCA">
          <w:type w:val="continuous"/>
          <w:pgSz w:w="11900" w:h="16840"/>
          <w:pgMar w:top="840" w:right="600" w:bottom="280" w:left="1160" w:header="708" w:footer="708" w:gutter="0"/>
          <w:cols w:space="708"/>
        </w:sectPr>
      </w:pPr>
    </w:p>
    <w:p w14:paraId="0F48B4D6" w14:textId="77777777" w:rsidR="00F65BCA" w:rsidRDefault="00F65BCA">
      <w:pPr>
        <w:pStyle w:val="Zkladntext"/>
        <w:spacing w:before="7"/>
        <w:rPr>
          <w:sz w:val="13"/>
        </w:rPr>
      </w:pPr>
    </w:p>
    <w:p w14:paraId="734E294A" w14:textId="77777777" w:rsidR="00F65BCA" w:rsidRDefault="00216117">
      <w:pPr>
        <w:pStyle w:val="Odstavecseseznamem"/>
        <w:numPr>
          <w:ilvl w:val="0"/>
          <w:numId w:val="156"/>
        </w:numPr>
        <w:tabs>
          <w:tab w:val="left" w:pos="979"/>
        </w:tabs>
        <w:spacing w:before="90"/>
        <w:ind w:left="978" w:hanging="875"/>
        <w:jc w:val="both"/>
        <w:rPr>
          <w:rFonts w:ascii="Times New Roman" w:hAnsi="Times New Roman"/>
          <w:b/>
          <w:sz w:val="24"/>
        </w:rPr>
      </w:pPr>
      <w:r>
        <w:rPr>
          <w:rFonts w:ascii="Times New Roman" w:hAnsi="Times New Roman"/>
          <w:b/>
          <w:sz w:val="24"/>
        </w:rPr>
        <w:t>Prohlášení</w:t>
      </w:r>
      <w:r>
        <w:rPr>
          <w:rFonts w:ascii="Times New Roman" w:hAnsi="Times New Roman"/>
          <w:b/>
          <w:spacing w:val="-1"/>
          <w:sz w:val="24"/>
        </w:rPr>
        <w:t xml:space="preserve"> </w:t>
      </w:r>
      <w:r>
        <w:rPr>
          <w:rFonts w:ascii="Times New Roman" w:hAnsi="Times New Roman"/>
          <w:b/>
          <w:sz w:val="24"/>
        </w:rPr>
        <w:t>zájemce</w:t>
      </w:r>
    </w:p>
    <w:p w14:paraId="1892FAE4" w14:textId="77777777" w:rsidR="00F65BCA" w:rsidRDefault="00216117">
      <w:pPr>
        <w:ind w:left="258" w:right="106"/>
        <w:jc w:val="both"/>
        <w:rPr>
          <w:rFonts w:ascii="Times New Roman" w:hAnsi="Times New Roman"/>
          <w:sz w:val="24"/>
        </w:rPr>
      </w:pPr>
      <w:r>
        <w:rPr>
          <w:rFonts w:ascii="Times New Roman" w:hAnsi="Times New Roman"/>
          <w:sz w:val="24"/>
        </w:rPr>
        <w:t>Na základě údajů od zájemce byl vyhotoven tento záznam z jednání. Zájemce potvrzuje, že byly zaznamenány všechny sdělené potřeby a požadavky a že mu byly zodpovězeny všechny jeho dotazy. Dále pak potvrzuje, že zaznamenané potřeby a požadavky (pokud byly sděleny) odpovídají jím poskytnutým</w:t>
      </w:r>
      <w:r>
        <w:rPr>
          <w:rFonts w:ascii="Times New Roman" w:hAnsi="Times New Roman"/>
          <w:spacing w:val="-14"/>
          <w:sz w:val="24"/>
        </w:rPr>
        <w:t xml:space="preserve"> </w:t>
      </w:r>
      <w:r>
        <w:rPr>
          <w:rFonts w:ascii="Times New Roman" w:hAnsi="Times New Roman"/>
          <w:sz w:val="24"/>
        </w:rPr>
        <w:t>informacím</w:t>
      </w:r>
      <w:r>
        <w:rPr>
          <w:rFonts w:ascii="Times New Roman" w:hAnsi="Times New Roman"/>
          <w:spacing w:val="-14"/>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jeho</w:t>
      </w:r>
      <w:r>
        <w:rPr>
          <w:rFonts w:ascii="Times New Roman" w:hAnsi="Times New Roman"/>
          <w:spacing w:val="-14"/>
          <w:sz w:val="24"/>
        </w:rPr>
        <w:t xml:space="preserve"> </w:t>
      </w:r>
      <w:r>
        <w:rPr>
          <w:rFonts w:ascii="Times New Roman" w:hAnsi="Times New Roman"/>
          <w:sz w:val="24"/>
        </w:rPr>
        <w:t>skutečnému</w:t>
      </w:r>
      <w:r>
        <w:rPr>
          <w:rFonts w:ascii="Times New Roman" w:hAnsi="Times New Roman"/>
          <w:spacing w:val="-14"/>
          <w:sz w:val="24"/>
        </w:rPr>
        <w:t xml:space="preserve"> </w:t>
      </w:r>
      <w:r>
        <w:rPr>
          <w:rFonts w:ascii="Times New Roman" w:hAnsi="Times New Roman"/>
          <w:sz w:val="24"/>
        </w:rPr>
        <w:t>záměru</w:t>
      </w:r>
      <w:r>
        <w:rPr>
          <w:rFonts w:ascii="Times New Roman" w:hAnsi="Times New Roman"/>
          <w:spacing w:val="-14"/>
          <w:sz w:val="24"/>
        </w:rPr>
        <w:t xml:space="preserve"> </w:t>
      </w:r>
      <w:r>
        <w:rPr>
          <w:rFonts w:ascii="Times New Roman" w:hAnsi="Times New Roman"/>
          <w:sz w:val="24"/>
        </w:rPr>
        <w:t>týkajícímu</w:t>
      </w:r>
      <w:r>
        <w:rPr>
          <w:rFonts w:ascii="Times New Roman" w:hAnsi="Times New Roman"/>
          <w:spacing w:val="-14"/>
          <w:sz w:val="24"/>
        </w:rPr>
        <w:t xml:space="preserve"> </w:t>
      </w:r>
      <w:r>
        <w:rPr>
          <w:rFonts w:ascii="Times New Roman" w:hAnsi="Times New Roman"/>
          <w:sz w:val="24"/>
        </w:rPr>
        <w:t>se</w:t>
      </w:r>
      <w:r>
        <w:rPr>
          <w:rFonts w:ascii="Times New Roman" w:hAnsi="Times New Roman"/>
          <w:spacing w:val="-15"/>
          <w:sz w:val="24"/>
        </w:rPr>
        <w:t xml:space="preserve"> </w:t>
      </w:r>
      <w:r>
        <w:rPr>
          <w:rFonts w:ascii="Times New Roman" w:hAnsi="Times New Roman"/>
          <w:sz w:val="24"/>
        </w:rPr>
        <w:t>pojištění.</w:t>
      </w:r>
      <w:r>
        <w:rPr>
          <w:rFonts w:ascii="Times New Roman" w:hAnsi="Times New Roman"/>
          <w:spacing w:val="-17"/>
          <w:sz w:val="24"/>
        </w:rPr>
        <w:t xml:space="preserve"> </w:t>
      </w:r>
      <w:r>
        <w:rPr>
          <w:rFonts w:ascii="Times New Roman" w:hAnsi="Times New Roman"/>
          <w:sz w:val="24"/>
        </w:rPr>
        <w:t>Zájemce</w:t>
      </w:r>
      <w:r>
        <w:rPr>
          <w:rFonts w:ascii="Times New Roman" w:hAnsi="Times New Roman"/>
          <w:spacing w:val="-15"/>
          <w:sz w:val="24"/>
        </w:rPr>
        <w:t xml:space="preserve"> </w:t>
      </w:r>
      <w:r>
        <w:rPr>
          <w:rFonts w:ascii="Times New Roman" w:hAnsi="Times New Roman"/>
          <w:sz w:val="24"/>
        </w:rPr>
        <w:t>si</w:t>
      </w:r>
      <w:r>
        <w:rPr>
          <w:rFonts w:ascii="Times New Roman" w:hAnsi="Times New Roman"/>
          <w:spacing w:val="-14"/>
          <w:sz w:val="24"/>
        </w:rPr>
        <w:t xml:space="preserve"> </w:t>
      </w:r>
      <w:r>
        <w:rPr>
          <w:rFonts w:ascii="Times New Roman" w:hAnsi="Times New Roman"/>
          <w:sz w:val="24"/>
        </w:rPr>
        <w:t>je</w:t>
      </w:r>
      <w:r>
        <w:rPr>
          <w:rFonts w:ascii="Times New Roman" w:hAnsi="Times New Roman"/>
          <w:spacing w:val="-15"/>
          <w:sz w:val="24"/>
        </w:rPr>
        <w:t xml:space="preserve"> </w:t>
      </w:r>
      <w:r>
        <w:rPr>
          <w:rFonts w:ascii="Times New Roman" w:hAnsi="Times New Roman"/>
          <w:sz w:val="24"/>
        </w:rPr>
        <w:t>vědom</w:t>
      </w:r>
      <w:r>
        <w:rPr>
          <w:rFonts w:ascii="Times New Roman" w:hAnsi="Times New Roman"/>
          <w:spacing w:val="-14"/>
          <w:sz w:val="24"/>
        </w:rPr>
        <w:t xml:space="preserve"> </w:t>
      </w:r>
      <w:r>
        <w:rPr>
          <w:rFonts w:ascii="Times New Roman" w:hAnsi="Times New Roman"/>
          <w:sz w:val="24"/>
        </w:rPr>
        <w:t>toho, že údaje, které během jednání o uzavření pojištění zamlčel, či z jakéhokoli jiného důvodu nesdělil, nemohou být v záznamu a v následném doporučení zohledněny a že takový chybějící údaj může ovlivnit doporučení vhodného produktu. Záznam z jednání nepředstavuje závazné smluvní ujednání, ale je jen podkladem pro vyhotovení pojistné smlouvy. Strany jsou vázány obsahem pojistné</w:t>
      </w:r>
      <w:r>
        <w:rPr>
          <w:rFonts w:ascii="Times New Roman" w:hAnsi="Times New Roman"/>
          <w:spacing w:val="-36"/>
          <w:sz w:val="24"/>
        </w:rPr>
        <w:t xml:space="preserve"> </w:t>
      </w:r>
      <w:r>
        <w:rPr>
          <w:rFonts w:ascii="Times New Roman" w:hAnsi="Times New Roman"/>
          <w:sz w:val="24"/>
        </w:rPr>
        <w:t>smlouvy a plní v rozsahu tam</w:t>
      </w:r>
      <w:r>
        <w:rPr>
          <w:rFonts w:ascii="Times New Roman" w:hAnsi="Times New Roman"/>
          <w:spacing w:val="-2"/>
          <w:sz w:val="24"/>
        </w:rPr>
        <w:t xml:space="preserve"> </w:t>
      </w:r>
      <w:r>
        <w:rPr>
          <w:rFonts w:ascii="Times New Roman" w:hAnsi="Times New Roman"/>
          <w:sz w:val="24"/>
        </w:rPr>
        <w:t>stanoveném.</w:t>
      </w:r>
    </w:p>
    <w:p w14:paraId="59AFABCF" w14:textId="77777777" w:rsidR="00F65BCA" w:rsidRDefault="00F65BCA">
      <w:pPr>
        <w:pStyle w:val="Zkladntext"/>
        <w:rPr>
          <w:rFonts w:ascii="Times New Roman"/>
          <w:sz w:val="20"/>
        </w:rPr>
      </w:pPr>
    </w:p>
    <w:p w14:paraId="435EF9C4" w14:textId="77777777" w:rsidR="00F65BCA" w:rsidRDefault="00F65BCA">
      <w:pPr>
        <w:pStyle w:val="Zkladntext"/>
        <w:rPr>
          <w:rFonts w:ascii="Times New Roman"/>
          <w:sz w:val="20"/>
        </w:rPr>
      </w:pPr>
    </w:p>
    <w:p w14:paraId="2DA0BEAD" w14:textId="77777777" w:rsidR="00F65BCA" w:rsidRDefault="00F65BCA">
      <w:pPr>
        <w:pStyle w:val="Zkladntext"/>
        <w:rPr>
          <w:rFonts w:ascii="Times New Roman"/>
          <w:sz w:val="20"/>
        </w:rPr>
      </w:pPr>
    </w:p>
    <w:p w14:paraId="0ABFD0F6" w14:textId="77777777" w:rsidR="00F65BCA" w:rsidRDefault="00F65BCA">
      <w:pPr>
        <w:pStyle w:val="Zkladntext"/>
        <w:rPr>
          <w:rFonts w:ascii="Times New Roman"/>
          <w:sz w:val="20"/>
        </w:rPr>
      </w:pPr>
    </w:p>
    <w:p w14:paraId="7BC0263C" w14:textId="77777777" w:rsidR="00F65BCA" w:rsidRDefault="00F65BCA">
      <w:pPr>
        <w:pStyle w:val="Zkladntext"/>
        <w:rPr>
          <w:rFonts w:ascii="Times New Roman"/>
          <w:sz w:val="20"/>
        </w:rPr>
      </w:pPr>
    </w:p>
    <w:p w14:paraId="1587C6D5" w14:textId="77777777" w:rsidR="00F65BCA" w:rsidRDefault="00F65BCA">
      <w:pPr>
        <w:pStyle w:val="Zkladntext"/>
        <w:rPr>
          <w:rFonts w:ascii="Times New Roman"/>
          <w:sz w:val="20"/>
        </w:rPr>
      </w:pPr>
    </w:p>
    <w:p w14:paraId="14E396C0" w14:textId="77777777" w:rsidR="00F65BCA" w:rsidRDefault="00F65BCA">
      <w:pPr>
        <w:pStyle w:val="Zkladntext"/>
        <w:rPr>
          <w:rFonts w:ascii="Times New Roman"/>
          <w:sz w:val="20"/>
        </w:rPr>
      </w:pPr>
    </w:p>
    <w:p w14:paraId="7A1AEE28" w14:textId="77777777" w:rsidR="00F65BCA" w:rsidRDefault="00F65BCA">
      <w:pPr>
        <w:pStyle w:val="Zkladntext"/>
        <w:rPr>
          <w:rFonts w:ascii="Times New Roman"/>
          <w:sz w:val="20"/>
        </w:rPr>
      </w:pPr>
    </w:p>
    <w:p w14:paraId="762F6D63" w14:textId="77777777" w:rsidR="00F65BCA" w:rsidRDefault="00F65BCA">
      <w:pPr>
        <w:pStyle w:val="Zkladntext"/>
        <w:rPr>
          <w:rFonts w:ascii="Times New Roman"/>
          <w:sz w:val="20"/>
        </w:rPr>
      </w:pPr>
    </w:p>
    <w:p w14:paraId="14846EB8" w14:textId="77777777" w:rsidR="00F65BCA" w:rsidRDefault="00F65BCA">
      <w:pPr>
        <w:pStyle w:val="Zkladntext"/>
        <w:rPr>
          <w:rFonts w:ascii="Times New Roman"/>
          <w:sz w:val="20"/>
        </w:rPr>
      </w:pPr>
    </w:p>
    <w:p w14:paraId="37985725" w14:textId="77777777" w:rsidR="00F65BCA" w:rsidRDefault="00F65BCA">
      <w:pPr>
        <w:pStyle w:val="Zkladntext"/>
        <w:rPr>
          <w:rFonts w:ascii="Times New Roman"/>
          <w:sz w:val="20"/>
        </w:rPr>
      </w:pPr>
    </w:p>
    <w:p w14:paraId="6A53F929" w14:textId="77777777" w:rsidR="00F65BCA" w:rsidRDefault="00F65BCA">
      <w:pPr>
        <w:pStyle w:val="Zkladntext"/>
        <w:rPr>
          <w:rFonts w:ascii="Times New Roman"/>
          <w:sz w:val="20"/>
        </w:rPr>
      </w:pPr>
    </w:p>
    <w:p w14:paraId="328A881D" w14:textId="77777777" w:rsidR="00F65BCA" w:rsidRDefault="00F65BCA">
      <w:pPr>
        <w:pStyle w:val="Zkladntext"/>
        <w:rPr>
          <w:rFonts w:ascii="Times New Roman"/>
          <w:sz w:val="20"/>
        </w:rPr>
      </w:pPr>
    </w:p>
    <w:p w14:paraId="0794A1CC" w14:textId="77777777" w:rsidR="00F65BCA" w:rsidRDefault="00F65BCA">
      <w:pPr>
        <w:pStyle w:val="Zkladntext"/>
        <w:rPr>
          <w:rFonts w:ascii="Times New Roman"/>
          <w:sz w:val="20"/>
        </w:rPr>
      </w:pPr>
    </w:p>
    <w:p w14:paraId="6C0FB9BE" w14:textId="77777777" w:rsidR="00F65BCA" w:rsidRDefault="00F65BCA">
      <w:pPr>
        <w:pStyle w:val="Zkladntext"/>
        <w:rPr>
          <w:rFonts w:ascii="Times New Roman"/>
          <w:sz w:val="20"/>
        </w:rPr>
      </w:pPr>
    </w:p>
    <w:p w14:paraId="3255956D" w14:textId="77777777" w:rsidR="00F65BCA" w:rsidRDefault="00F65BCA">
      <w:pPr>
        <w:pStyle w:val="Zkladntext"/>
        <w:rPr>
          <w:rFonts w:ascii="Times New Roman"/>
          <w:sz w:val="20"/>
        </w:rPr>
      </w:pPr>
    </w:p>
    <w:p w14:paraId="1852438D" w14:textId="77777777" w:rsidR="00F65BCA" w:rsidRDefault="00F65BCA">
      <w:pPr>
        <w:pStyle w:val="Zkladntext"/>
        <w:rPr>
          <w:rFonts w:ascii="Times New Roman"/>
          <w:sz w:val="20"/>
        </w:rPr>
      </w:pPr>
    </w:p>
    <w:p w14:paraId="26F6409B" w14:textId="77777777" w:rsidR="00F65BCA" w:rsidRDefault="00F65BCA">
      <w:pPr>
        <w:pStyle w:val="Zkladntext"/>
        <w:rPr>
          <w:rFonts w:ascii="Times New Roman"/>
          <w:sz w:val="20"/>
        </w:rPr>
      </w:pPr>
    </w:p>
    <w:p w14:paraId="50193F9E" w14:textId="77777777" w:rsidR="00F65BCA" w:rsidRDefault="00F65BCA">
      <w:pPr>
        <w:pStyle w:val="Zkladntext"/>
        <w:rPr>
          <w:rFonts w:ascii="Times New Roman"/>
          <w:sz w:val="20"/>
        </w:rPr>
      </w:pPr>
    </w:p>
    <w:p w14:paraId="73AA6AE9" w14:textId="77777777" w:rsidR="00F65BCA" w:rsidRDefault="00F65BCA">
      <w:pPr>
        <w:pStyle w:val="Zkladntext"/>
        <w:rPr>
          <w:rFonts w:ascii="Times New Roman"/>
          <w:sz w:val="20"/>
        </w:rPr>
      </w:pPr>
    </w:p>
    <w:p w14:paraId="6BD456AA" w14:textId="77777777" w:rsidR="00F65BCA" w:rsidRDefault="00F65BCA">
      <w:pPr>
        <w:pStyle w:val="Zkladntext"/>
        <w:rPr>
          <w:rFonts w:ascii="Times New Roman"/>
          <w:sz w:val="20"/>
        </w:rPr>
      </w:pPr>
    </w:p>
    <w:p w14:paraId="4C0DB8DC" w14:textId="77777777" w:rsidR="00F65BCA" w:rsidRDefault="00F65BCA">
      <w:pPr>
        <w:pStyle w:val="Zkladntext"/>
        <w:rPr>
          <w:rFonts w:ascii="Times New Roman"/>
          <w:sz w:val="20"/>
        </w:rPr>
      </w:pPr>
    </w:p>
    <w:p w14:paraId="4579A890" w14:textId="77777777" w:rsidR="00F65BCA" w:rsidRDefault="00F65BCA">
      <w:pPr>
        <w:pStyle w:val="Zkladntext"/>
        <w:rPr>
          <w:rFonts w:ascii="Times New Roman"/>
          <w:sz w:val="20"/>
        </w:rPr>
      </w:pPr>
    </w:p>
    <w:p w14:paraId="67447194" w14:textId="77777777" w:rsidR="00F65BCA" w:rsidRDefault="00F65BCA">
      <w:pPr>
        <w:pStyle w:val="Zkladntext"/>
        <w:rPr>
          <w:rFonts w:ascii="Times New Roman"/>
          <w:sz w:val="20"/>
        </w:rPr>
      </w:pPr>
    </w:p>
    <w:p w14:paraId="47C62FBB" w14:textId="77777777" w:rsidR="00F65BCA" w:rsidRDefault="00F65BCA">
      <w:pPr>
        <w:pStyle w:val="Zkladntext"/>
        <w:rPr>
          <w:rFonts w:ascii="Times New Roman"/>
          <w:sz w:val="20"/>
        </w:rPr>
      </w:pPr>
    </w:p>
    <w:p w14:paraId="1921E12B" w14:textId="77777777" w:rsidR="00F65BCA" w:rsidRDefault="00F65BCA">
      <w:pPr>
        <w:pStyle w:val="Zkladntext"/>
        <w:rPr>
          <w:rFonts w:ascii="Times New Roman"/>
          <w:sz w:val="20"/>
        </w:rPr>
      </w:pPr>
    </w:p>
    <w:p w14:paraId="43C7E5FE" w14:textId="77777777" w:rsidR="00F65BCA" w:rsidRDefault="00F65BCA">
      <w:pPr>
        <w:pStyle w:val="Zkladntext"/>
        <w:rPr>
          <w:rFonts w:ascii="Times New Roman"/>
          <w:sz w:val="20"/>
        </w:rPr>
      </w:pPr>
    </w:p>
    <w:p w14:paraId="66CF2407" w14:textId="77777777" w:rsidR="00F65BCA" w:rsidRDefault="00F65BCA">
      <w:pPr>
        <w:pStyle w:val="Zkladntext"/>
        <w:rPr>
          <w:rFonts w:ascii="Times New Roman"/>
          <w:sz w:val="20"/>
        </w:rPr>
      </w:pPr>
    </w:p>
    <w:p w14:paraId="33A609D1" w14:textId="77777777" w:rsidR="00F65BCA" w:rsidRDefault="00F65BCA">
      <w:pPr>
        <w:pStyle w:val="Zkladntext"/>
        <w:rPr>
          <w:rFonts w:ascii="Times New Roman"/>
          <w:sz w:val="20"/>
        </w:rPr>
      </w:pPr>
    </w:p>
    <w:p w14:paraId="03D378A3" w14:textId="77777777" w:rsidR="00F65BCA" w:rsidRDefault="00F65BCA">
      <w:pPr>
        <w:pStyle w:val="Zkladntext"/>
        <w:rPr>
          <w:rFonts w:ascii="Times New Roman"/>
          <w:sz w:val="20"/>
        </w:rPr>
      </w:pPr>
    </w:p>
    <w:p w14:paraId="62C7B34B" w14:textId="77777777" w:rsidR="00F65BCA" w:rsidRDefault="00F65BCA">
      <w:pPr>
        <w:pStyle w:val="Zkladntext"/>
        <w:rPr>
          <w:rFonts w:ascii="Times New Roman"/>
          <w:sz w:val="20"/>
        </w:rPr>
      </w:pPr>
    </w:p>
    <w:p w14:paraId="22363949" w14:textId="77777777" w:rsidR="00F65BCA" w:rsidRDefault="00F65BCA">
      <w:pPr>
        <w:pStyle w:val="Zkladntext"/>
        <w:rPr>
          <w:rFonts w:ascii="Times New Roman"/>
          <w:sz w:val="20"/>
        </w:rPr>
      </w:pPr>
    </w:p>
    <w:p w14:paraId="154074B9" w14:textId="77777777" w:rsidR="00F65BCA" w:rsidRDefault="00F65BCA">
      <w:pPr>
        <w:pStyle w:val="Zkladntext"/>
        <w:rPr>
          <w:rFonts w:ascii="Times New Roman"/>
          <w:sz w:val="20"/>
        </w:rPr>
      </w:pPr>
    </w:p>
    <w:p w14:paraId="64CA9075" w14:textId="77777777" w:rsidR="00F65BCA" w:rsidRDefault="00F65BCA">
      <w:pPr>
        <w:pStyle w:val="Zkladntext"/>
        <w:rPr>
          <w:rFonts w:ascii="Times New Roman"/>
          <w:sz w:val="20"/>
        </w:rPr>
      </w:pPr>
    </w:p>
    <w:p w14:paraId="4A14BBA2" w14:textId="77777777" w:rsidR="00F65BCA" w:rsidRDefault="00F65BCA">
      <w:pPr>
        <w:pStyle w:val="Zkladntext"/>
        <w:rPr>
          <w:rFonts w:ascii="Times New Roman"/>
          <w:sz w:val="20"/>
        </w:rPr>
      </w:pPr>
    </w:p>
    <w:p w14:paraId="186F1B9B" w14:textId="77777777" w:rsidR="00F65BCA" w:rsidRDefault="00F65BCA">
      <w:pPr>
        <w:pStyle w:val="Zkladntext"/>
        <w:rPr>
          <w:rFonts w:ascii="Times New Roman"/>
          <w:sz w:val="20"/>
        </w:rPr>
      </w:pPr>
    </w:p>
    <w:p w14:paraId="7982D668" w14:textId="77777777" w:rsidR="00F65BCA" w:rsidRDefault="00F65BCA">
      <w:pPr>
        <w:pStyle w:val="Zkladntext"/>
        <w:rPr>
          <w:rFonts w:ascii="Times New Roman"/>
          <w:sz w:val="20"/>
        </w:rPr>
      </w:pPr>
    </w:p>
    <w:p w14:paraId="2B685077" w14:textId="77777777" w:rsidR="00F65BCA" w:rsidRDefault="00F65BCA">
      <w:pPr>
        <w:pStyle w:val="Zkladntext"/>
        <w:rPr>
          <w:rFonts w:ascii="Times New Roman"/>
          <w:sz w:val="20"/>
        </w:rPr>
      </w:pPr>
    </w:p>
    <w:p w14:paraId="5BE3A24C" w14:textId="77777777" w:rsidR="00F65BCA" w:rsidRDefault="00F65BCA">
      <w:pPr>
        <w:pStyle w:val="Zkladntext"/>
        <w:rPr>
          <w:rFonts w:ascii="Times New Roman"/>
          <w:sz w:val="20"/>
        </w:rPr>
      </w:pPr>
    </w:p>
    <w:p w14:paraId="46D618DF" w14:textId="77777777" w:rsidR="00F65BCA" w:rsidRDefault="00F65BCA">
      <w:pPr>
        <w:pStyle w:val="Zkladntext"/>
        <w:rPr>
          <w:rFonts w:ascii="Times New Roman"/>
          <w:sz w:val="20"/>
        </w:rPr>
      </w:pPr>
    </w:p>
    <w:p w14:paraId="1E8505FF" w14:textId="77777777" w:rsidR="00F65BCA" w:rsidRDefault="00F65BCA">
      <w:pPr>
        <w:pStyle w:val="Zkladntext"/>
        <w:rPr>
          <w:rFonts w:ascii="Times New Roman"/>
          <w:sz w:val="20"/>
        </w:rPr>
      </w:pPr>
    </w:p>
    <w:p w14:paraId="7043B916" w14:textId="77777777" w:rsidR="00F65BCA" w:rsidRDefault="00F65BCA">
      <w:pPr>
        <w:pStyle w:val="Zkladntext"/>
        <w:rPr>
          <w:rFonts w:ascii="Times New Roman"/>
          <w:sz w:val="20"/>
        </w:rPr>
      </w:pPr>
    </w:p>
    <w:p w14:paraId="71207CB2" w14:textId="77777777" w:rsidR="00F65BCA" w:rsidRDefault="00F65BCA">
      <w:pPr>
        <w:pStyle w:val="Zkladntext"/>
        <w:rPr>
          <w:rFonts w:ascii="Times New Roman"/>
          <w:sz w:val="20"/>
        </w:rPr>
      </w:pPr>
    </w:p>
    <w:p w14:paraId="065CB4AD" w14:textId="77777777" w:rsidR="00F65BCA" w:rsidRDefault="00F65BCA">
      <w:pPr>
        <w:pStyle w:val="Zkladntext"/>
        <w:rPr>
          <w:rFonts w:ascii="Times New Roman"/>
          <w:sz w:val="20"/>
        </w:rPr>
      </w:pPr>
    </w:p>
    <w:p w14:paraId="2D8BF5A4" w14:textId="77777777" w:rsidR="00F65BCA" w:rsidRDefault="00F65BCA">
      <w:pPr>
        <w:pStyle w:val="Zkladntext"/>
        <w:rPr>
          <w:rFonts w:ascii="Times New Roman"/>
          <w:sz w:val="20"/>
        </w:rPr>
      </w:pPr>
    </w:p>
    <w:p w14:paraId="6D5B4F2B" w14:textId="77777777" w:rsidR="00F65BCA" w:rsidRDefault="00F65BCA">
      <w:pPr>
        <w:pStyle w:val="Zkladntext"/>
        <w:rPr>
          <w:rFonts w:ascii="Times New Roman"/>
          <w:sz w:val="20"/>
        </w:rPr>
      </w:pPr>
    </w:p>
    <w:p w14:paraId="62F92678" w14:textId="77777777" w:rsidR="00F65BCA" w:rsidRDefault="00F65BCA">
      <w:pPr>
        <w:pStyle w:val="Zkladntext"/>
        <w:spacing w:before="7"/>
        <w:rPr>
          <w:rFonts w:ascii="Times New Roman"/>
          <w:sz w:val="18"/>
        </w:rPr>
      </w:pPr>
    </w:p>
    <w:p w14:paraId="0B45C18F" w14:textId="77777777" w:rsidR="00F65BCA" w:rsidRDefault="00216117">
      <w:pPr>
        <w:ind w:left="147"/>
        <w:jc w:val="center"/>
        <w:rPr>
          <w:sz w:val="16"/>
        </w:rPr>
      </w:pPr>
      <w:r>
        <w:rPr>
          <w:sz w:val="16"/>
        </w:rPr>
        <w:t>2</w:t>
      </w:r>
    </w:p>
    <w:p w14:paraId="0E1F3703" w14:textId="77777777" w:rsidR="00F65BCA" w:rsidRDefault="00F65BCA">
      <w:pPr>
        <w:jc w:val="center"/>
        <w:rPr>
          <w:sz w:val="16"/>
        </w:rPr>
        <w:sectPr w:rsidR="00F65BCA">
          <w:pgSz w:w="11900" w:h="16840"/>
          <w:pgMar w:top="1600" w:right="600" w:bottom="280" w:left="1160" w:header="708" w:footer="708" w:gutter="0"/>
          <w:cols w:space="708"/>
        </w:sectPr>
      </w:pPr>
    </w:p>
    <w:p w14:paraId="5E8E1A12" w14:textId="77777777" w:rsidR="00F65BCA" w:rsidRDefault="00216117">
      <w:pPr>
        <w:spacing w:before="72" w:line="321" w:lineRule="exact"/>
        <w:ind w:left="930"/>
        <w:rPr>
          <w:rFonts w:ascii="Times New Roman" w:hAnsi="Times New Roman"/>
          <w:b/>
          <w:sz w:val="28"/>
        </w:rPr>
      </w:pPr>
      <w:r>
        <w:rPr>
          <w:rFonts w:ascii="Times New Roman" w:hAnsi="Times New Roman"/>
          <w:b/>
          <w:sz w:val="28"/>
        </w:rPr>
        <w:lastRenderedPageBreak/>
        <w:t>Pojistná smlouva o sdruženém pojištění souboru vozidel č. 5888038260</w:t>
      </w:r>
    </w:p>
    <w:p w14:paraId="0C8B1649" w14:textId="77777777" w:rsidR="00F65BCA" w:rsidRDefault="00216117">
      <w:pPr>
        <w:ind w:left="515"/>
        <w:rPr>
          <w:rFonts w:ascii="Times New Roman" w:hAnsi="Times New Roman"/>
          <w:sz w:val="24"/>
        </w:rPr>
      </w:pPr>
      <w:r>
        <w:rPr>
          <w:rFonts w:ascii="Times New Roman" w:hAnsi="Times New Roman"/>
          <w:sz w:val="24"/>
        </w:rPr>
        <w:t>Tato smlouva je uzavřena na základě výsledku otevřeného nadlimitního řízení veřejné zakázky evidované na profilu zadavatele pod systémovým číslem: P25V00000452</w:t>
      </w:r>
    </w:p>
    <w:p w14:paraId="4EE297A8" w14:textId="77777777" w:rsidR="00F65BCA" w:rsidRDefault="00F65BCA">
      <w:pPr>
        <w:pStyle w:val="Zkladntext"/>
        <w:spacing w:before="11"/>
        <w:rPr>
          <w:rFonts w:ascii="Times New Roman"/>
          <w:sz w:val="23"/>
        </w:rPr>
      </w:pPr>
    </w:p>
    <w:p w14:paraId="65E0D727" w14:textId="77777777" w:rsidR="00F65BCA" w:rsidRDefault="00216117">
      <w:pPr>
        <w:ind w:left="515"/>
        <w:rPr>
          <w:rFonts w:ascii="Times New Roman" w:hAnsi="Times New Roman"/>
          <w:sz w:val="24"/>
        </w:rPr>
      </w:pPr>
      <w:r>
        <w:rPr>
          <w:rFonts w:ascii="Times New Roman" w:hAnsi="Times New Roman"/>
          <w:sz w:val="24"/>
        </w:rPr>
        <w:t>Číslo smlouvy pojistníka: bude uvedeno v záznamu o uveřejnění smlouvy v registru smluv dle zák.</w:t>
      </w:r>
    </w:p>
    <w:p w14:paraId="7DAAEC2C" w14:textId="77777777" w:rsidR="00F65BCA" w:rsidRDefault="00216117">
      <w:pPr>
        <w:ind w:left="515"/>
        <w:rPr>
          <w:rFonts w:ascii="Times New Roman" w:hAnsi="Times New Roman"/>
          <w:sz w:val="24"/>
        </w:rPr>
      </w:pPr>
      <w:r>
        <w:rPr>
          <w:rFonts w:ascii="Times New Roman" w:hAnsi="Times New Roman"/>
          <w:sz w:val="24"/>
        </w:rPr>
        <w:t>č. 340/2015 Sb.</w:t>
      </w:r>
    </w:p>
    <w:p w14:paraId="2133619A" w14:textId="77777777" w:rsidR="00F65BCA" w:rsidRDefault="00F65BCA">
      <w:pPr>
        <w:pStyle w:val="Zkladntext"/>
        <w:rPr>
          <w:rFonts w:ascii="Times New Roman"/>
          <w:sz w:val="26"/>
        </w:rPr>
      </w:pPr>
    </w:p>
    <w:p w14:paraId="4B34101C" w14:textId="77777777" w:rsidR="00F65BCA" w:rsidRDefault="00F65BCA">
      <w:pPr>
        <w:pStyle w:val="Zkladntext"/>
        <w:rPr>
          <w:rFonts w:ascii="Times New Roman"/>
          <w:sz w:val="22"/>
        </w:rPr>
      </w:pPr>
    </w:p>
    <w:p w14:paraId="275AE0BC" w14:textId="77777777" w:rsidR="00F65BCA" w:rsidRDefault="00216117">
      <w:pPr>
        <w:pStyle w:val="Odstavecseseznamem"/>
        <w:numPr>
          <w:ilvl w:val="0"/>
          <w:numId w:val="155"/>
        </w:numPr>
        <w:tabs>
          <w:tab w:val="left" w:pos="824"/>
          <w:tab w:val="left" w:pos="825"/>
        </w:tabs>
        <w:rPr>
          <w:rFonts w:ascii="Times New Roman" w:hAnsi="Times New Roman"/>
          <w:b/>
          <w:sz w:val="24"/>
        </w:rPr>
      </w:pPr>
      <w:r>
        <w:rPr>
          <w:rFonts w:ascii="Times New Roman" w:hAnsi="Times New Roman"/>
          <w:b/>
          <w:sz w:val="24"/>
        </w:rPr>
        <w:t>Účastníci</w:t>
      </w:r>
      <w:r>
        <w:rPr>
          <w:rFonts w:ascii="Times New Roman" w:hAnsi="Times New Roman"/>
          <w:b/>
          <w:spacing w:val="-1"/>
          <w:sz w:val="24"/>
        </w:rPr>
        <w:t xml:space="preserve"> </w:t>
      </w:r>
      <w:r>
        <w:rPr>
          <w:rFonts w:ascii="Times New Roman" w:hAnsi="Times New Roman"/>
          <w:b/>
          <w:sz w:val="24"/>
        </w:rPr>
        <w:t>smlouvy</w:t>
      </w:r>
    </w:p>
    <w:p w14:paraId="646C489D" w14:textId="77777777" w:rsidR="00F65BCA" w:rsidRDefault="00216117">
      <w:pPr>
        <w:ind w:left="258"/>
        <w:rPr>
          <w:rFonts w:ascii="Times New Roman" w:hAnsi="Times New Roman"/>
          <w:sz w:val="24"/>
        </w:rPr>
      </w:pPr>
      <w:r>
        <w:rPr>
          <w:rFonts w:ascii="Times New Roman" w:hAnsi="Times New Roman"/>
          <w:sz w:val="24"/>
        </w:rPr>
        <w:t xml:space="preserve">Pojistitel: </w:t>
      </w:r>
      <w:r>
        <w:rPr>
          <w:rFonts w:ascii="Times New Roman" w:hAnsi="Times New Roman"/>
          <w:b/>
          <w:sz w:val="24"/>
        </w:rPr>
        <w:t>Generali Česká pojišťovna a.s.</w:t>
      </w:r>
      <w:r>
        <w:rPr>
          <w:rFonts w:ascii="Times New Roman" w:hAnsi="Times New Roman"/>
          <w:sz w:val="24"/>
        </w:rPr>
        <w:t>, Spálená 75/16, Nové Město, 110 00 Praha 1,</w:t>
      </w:r>
    </w:p>
    <w:p w14:paraId="292A9158" w14:textId="77777777" w:rsidR="00F65BCA" w:rsidRDefault="00216117">
      <w:pPr>
        <w:ind w:left="318" w:right="7832" w:hanging="60"/>
        <w:rPr>
          <w:rFonts w:ascii="Times New Roman" w:hAnsi="Times New Roman"/>
          <w:sz w:val="24"/>
        </w:rPr>
      </w:pPr>
      <w:r>
        <w:rPr>
          <w:rFonts w:ascii="Times New Roman" w:hAnsi="Times New Roman"/>
          <w:sz w:val="24"/>
        </w:rPr>
        <w:t>Česká republika, IČO: 45272956 DIČ:</w:t>
      </w:r>
      <w:r>
        <w:rPr>
          <w:rFonts w:ascii="Times New Roman" w:hAnsi="Times New Roman"/>
          <w:spacing w:val="14"/>
          <w:sz w:val="24"/>
        </w:rPr>
        <w:t xml:space="preserve"> </w:t>
      </w:r>
      <w:r>
        <w:rPr>
          <w:rFonts w:ascii="Times New Roman" w:hAnsi="Times New Roman"/>
          <w:spacing w:val="-3"/>
          <w:sz w:val="24"/>
        </w:rPr>
        <w:t>CZ699001273,</w:t>
      </w:r>
    </w:p>
    <w:p w14:paraId="61169C6E" w14:textId="77777777" w:rsidR="00F65BCA" w:rsidRDefault="00216117">
      <w:pPr>
        <w:ind w:left="318"/>
        <w:rPr>
          <w:rFonts w:ascii="Times New Roman" w:hAnsi="Times New Roman"/>
          <w:sz w:val="24"/>
        </w:rPr>
      </w:pPr>
      <w:r>
        <w:rPr>
          <w:rFonts w:ascii="Times New Roman" w:hAnsi="Times New Roman"/>
          <w:sz w:val="24"/>
        </w:rPr>
        <w:t>zapsaná v obchodním rejstříku Městského soudu v Praze, spisová značka B 1464 (dále jen</w:t>
      </w:r>
    </w:p>
    <w:p w14:paraId="3B7C2265" w14:textId="77777777" w:rsidR="00F65BCA" w:rsidRDefault="00216117">
      <w:pPr>
        <w:ind w:left="258"/>
        <w:rPr>
          <w:rFonts w:ascii="Times New Roman" w:hAnsi="Times New Roman"/>
          <w:sz w:val="24"/>
        </w:rPr>
      </w:pPr>
      <w:r>
        <w:rPr>
          <w:rFonts w:ascii="Times New Roman" w:hAnsi="Times New Roman"/>
          <w:sz w:val="24"/>
        </w:rPr>
        <w:t>„Pojišťovna“ nebo „Pojistitel”)</w:t>
      </w:r>
    </w:p>
    <w:p w14:paraId="24404EE4" w14:textId="15ADBDFD" w:rsidR="00F65BCA" w:rsidRDefault="00216117">
      <w:pPr>
        <w:ind w:left="258"/>
        <w:rPr>
          <w:rFonts w:ascii="Times New Roman" w:hAnsi="Times New Roman"/>
          <w:sz w:val="24"/>
        </w:rPr>
      </w:pPr>
      <w:r>
        <w:rPr>
          <w:rFonts w:ascii="Times New Roman" w:hAnsi="Times New Roman"/>
          <w:sz w:val="24"/>
        </w:rPr>
        <w:t>Zastoupená: xxxx</w:t>
      </w:r>
    </w:p>
    <w:p w14:paraId="521F3E45" w14:textId="77777777" w:rsidR="00F65BCA" w:rsidRDefault="00F65BCA">
      <w:pPr>
        <w:pStyle w:val="Zkladntext"/>
        <w:rPr>
          <w:rFonts w:ascii="Times New Roman"/>
          <w:sz w:val="26"/>
        </w:rPr>
      </w:pPr>
    </w:p>
    <w:p w14:paraId="13A4B4CF" w14:textId="77777777" w:rsidR="00F65BCA" w:rsidRDefault="00F65BCA">
      <w:pPr>
        <w:pStyle w:val="Zkladntext"/>
        <w:rPr>
          <w:rFonts w:ascii="Times New Roman"/>
          <w:sz w:val="22"/>
        </w:rPr>
      </w:pPr>
    </w:p>
    <w:p w14:paraId="30B93793" w14:textId="77777777" w:rsidR="00F65BCA" w:rsidRDefault="00216117">
      <w:pPr>
        <w:ind w:left="258"/>
        <w:rPr>
          <w:rFonts w:ascii="Times New Roman" w:hAnsi="Times New Roman"/>
          <w:sz w:val="24"/>
        </w:rPr>
      </w:pPr>
      <w:r>
        <w:rPr>
          <w:rFonts w:ascii="Times New Roman" w:hAnsi="Times New Roman"/>
          <w:sz w:val="24"/>
        </w:rPr>
        <w:t>Pojistník/Pojištěný</w:t>
      </w:r>
      <w:r>
        <w:rPr>
          <w:rFonts w:ascii="Times New Roman" w:hAnsi="Times New Roman"/>
          <w:spacing w:val="-17"/>
          <w:sz w:val="24"/>
        </w:rPr>
        <w:t xml:space="preserve"> </w:t>
      </w:r>
      <w:r>
        <w:rPr>
          <w:rFonts w:ascii="Times New Roman" w:hAnsi="Times New Roman"/>
          <w:sz w:val="24"/>
        </w:rPr>
        <w:t>(ten,</w:t>
      </w:r>
      <w:r>
        <w:rPr>
          <w:rFonts w:ascii="Times New Roman" w:hAnsi="Times New Roman"/>
          <w:spacing w:val="-16"/>
          <w:sz w:val="24"/>
        </w:rPr>
        <w:t xml:space="preserve"> </w:t>
      </w:r>
      <w:r>
        <w:rPr>
          <w:rFonts w:ascii="Times New Roman" w:hAnsi="Times New Roman"/>
          <w:sz w:val="24"/>
        </w:rPr>
        <w:t>kdo</w:t>
      </w:r>
      <w:r>
        <w:rPr>
          <w:rFonts w:ascii="Times New Roman" w:hAnsi="Times New Roman"/>
          <w:spacing w:val="-16"/>
          <w:sz w:val="24"/>
        </w:rPr>
        <w:t xml:space="preserve"> </w:t>
      </w:r>
      <w:r>
        <w:rPr>
          <w:rFonts w:ascii="Times New Roman" w:hAnsi="Times New Roman"/>
          <w:sz w:val="24"/>
        </w:rPr>
        <w:t>s</w:t>
      </w:r>
      <w:r>
        <w:rPr>
          <w:rFonts w:ascii="Times New Roman" w:hAnsi="Times New Roman"/>
          <w:spacing w:val="-17"/>
          <w:sz w:val="24"/>
        </w:rPr>
        <w:t xml:space="preserve"> </w:t>
      </w:r>
      <w:r>
        <w:rPr>
          <w:rFonts w:ascii="Times New Roman" w:hAnsi="Times New Roman"/>
          <w:sz w:val="24"/>
        </w:rPr>
        <w:t>Pojišťovnou</w:t>
      </w:r>
      <w:r>
        <w:rPr>
          <w:rFonts w:ascii="Times New Roman" w:hAnsi="Times New Roman"/>
          <w:spacing w:val="-16"/>
          <w:sz w:val="24"/>
        </w:rPr>
        <w:t xml:space="preserve"> </w:t>
      </w:r>
      <w:r>
        <w:rPr>
          <w:rFonts w:ascii="Times New Roman" w:hAnsi="Times New Roman"/>
          <w:sz w:val="24"/>
        </w:rPr>
        <w:t>uzavřel</w:t>
      </w:r>
      <w:r>
        <w:rPr>
          <w:rFonts w:ascii="Times New Roman" w:hAnsi="Times New Roman"/>
          <w:spacing w:val="-15"/>
          <w:sz w:val="24"/>
        </w:rPr>
        <w:t xml:space="preserve"> </w:t>
      </w:r>
      <w:r>
        <w:rPr>
          <w:rFonts w:ascii="Times New Roman" w:hAnsi="Times New Roman"/>
          <w:sz w:val="24"/>
        </w:rPr>
        <w:t>tuto</w:t>
      </w:r>
      <w:r>
        <w:rPr>
          <w:rFonts w:ascii="Times New Roman" w:hAnsi="Times New Roman"/>
          <w:spacing w:val="-16"/>
          <w:sz w:val="24"/>
        </w:rPr>
        <w:t xml:space="preserve"> </w:t>
      </w:r>
      <w:r>
        <w:rPr>
          <w:rFonts w:ascii="Times New Roman" w:hAnsi="Times New Roman"/>
          <w:sz w:val="24"/>
        </w:rPr>
        <w:t>pojistnou</w:t>
      </w:r>
      <w:r>
        <w:rPr>
          <w:rFonts w:ascii="Times New Roman" w:hAnsi="Times New Roman"/>
          <w:spacing w:val="-17"/>
          <w:sz w:val="24"/>
        </w:rPr>
        <w:t xml:space="preserve"> </w:t>
      </w:r>
      <w:r>
        <w:rPr>
          <w:rFonts w:ascii="Times New Roman" w:hAnsi="Times New Roman"/>
          <w:sz w:val="24"/>
        </w:rPr>
        <w:t>smlouvu</w:t>
      </w:r>
      <w:r>
        <w:rPr>
          <w:rFonts w:ascii="Times New Roman" w:hAnsi="Times New Roman"/>
          <w:spacing w:val="-16"/>
          <w:sz w:val="24"/>
        </w:rPr>
        <w:t xml:space="preserve"> </w:t>
      </w:r>
      <w:r>
        <w:rPr>
          <w:rFonts w:ascii="Times New Roman" w:hAnsi="Times New Roman"/>
          <w:sz w:val="24"/>
        </w:rPr>
        <w:t>a</w:t>
      </w:r>
      <w:r>
        <w:rPr>
          <w:rFonts w:ascii="Times New Roman" w:hAnsi="Times New Roman"/>
          <w:spacing w:val="-17"/>
          <w:sz w:val="24"/>
        </w:rPr>
        <w:t xml:space="preserve"> </w:t>
      </w:r>
      <w:r>
        <w:rPr>
          <w:rFonts w:ascii="Times New Roman" w:hAnsi="Times New Roman"/>
          <w:sz w:val="24"/>
        </w:rPr>
        <w:t>zavázal</w:t>
      </w:r>
      <w:r>
        <w:rPr>
          <w:rFonts w:ascii="Times New Roman" w:hAnsi="Times New Roman"/>
          <w:spacing w:val="-15"/>
          <w:sz w:val="24"/>
        </w:rPr>
        <w:t xml:space="preserve"> </w:t>
      </w:r>
      <w:r>
        <w:rPr>
          <w:rFonts w:ascii="Times New Roman" w:hAnsi="Times New Roman"/>
          <w:sz w:val="24"/>
        </w:rPr>
        <w:t>se</w:t>
      </w:r>
      <w:r>
        <w:rPr>
          <w:rFonts w:ascii="Times New Roman" w:hAnsi="Times New Roman"/>
          <w:spacing w:val="-18"/>
          <w:sz w:val="24"/>
        </w:rPr>
        <w:t xml:space="preserve"> </w:t>
      </w:r>
      <w:r>
        <w:rPr>
          <w:rFonts w:ascii="Times New Roman" w:hAnsi="Times New Roman"/>
          <w:sz w:val="24"/>
        </w:rPr>
        <w:t>hradit</w:t>
      </w:r>
      <w:r>
        <w:rPr>
          <w:rFonts w:ascii="Times New Roman" w:hAnsi="Times New Roman"/>
          <w:spacing w:val="-15"/>
          <w:sz w:val="24"/>
        </w:rPr>
        <w:t xml:space="preserve"> </w:t>
      </w:r>
      <w:r>
        <w:rPr>
          <w:rFonts w:ascii="Times New Roman" w:hAnsi="Times New Roman"/>
          <w:sz w:val="24"/>
        </w:rPr>
        <w:t>pojistné):</w:t>
      </w:r>
    </w:p>
    <w:p w14:paraId="4C95DC17" w14:textId="77777777" w:rsidR="00F65BCA" w:rsidRDefault="00216117">
      <w:pPr>
        <w:ind w:left="258" w:right="2156"/>
        <w:rPr>
          <w:rFonts w:ascii="Times New Roman" w:hAnsi="Times New Roman"/>
          <w:sz w:val="24"/>
        </w:rPr>
      </w:pPr>
      <w:r>
        <w:rPr>
          <w:rFonts w:ascii="Times New Roman" w:hAnsi="Times New Roman"/>
          <w:b/>
          <w:sz w:val="24"/>
        </w:rPr>
        <w:t xml:space="preserve">Západočeská univerzita v Plzni, </w:t>
      </w:r>
      <w:r>
        <w:rPr>
          <w:rFonts w:ascii="Times New Roman" w:hAnsi="Times New Roman"/>
          <w:sz w:val="24"/>
        </w:rPr>
        <w:t>Univerzitní 8, 301 00 Plzeň, Česká republika, IČO: 49777513</w:t>
      </w:r>
    </w:p>
    <w:p w14:paraId="2C294875" w14:textId="77777777" w:rsidR="00F65BCA" w:rsidRDefault="00216117">
      <w:pPr>
        <w:ind w:left="258"/>
        <w:rPr>
          <w:rFonts w:ascii="Times New Roman" w:hAnsi="Times New Roman"/>
          <w:sz w:val="24"/>
        </w:rPr>
      </w:pPr>
      <w:r>
        <w:rPr>
          <w:rFonts w:ascii="Times New Roman" w:hAnsi="Times New Roman"/>
          <w:sz w:val="24"/>
        </w:rPr>
        <w:t>DIČ: CZ49777513,</w:t>
      </w:r>
    </w:p>
    <w:p w14:paraId="46CD6BC6" w14:textId="77777777" w:rsidR="00F65BCA" w:rsidRDefault="00216117">
      <w:pPr>
        <w:ind w:left="258"/>
        <w:rPr>
          <w:rFonts w:ascii="Times New Roman" w:hAnsi="Times New Roman"/>
          <w:sz w:val="24"/>
        </w:rPr>
      </w:pPr>
      <w:r>
        <w:rPr>
          <w:rFonts w:ascii="Times New Roman" w:hAnsi="Times New Roman"/>
          <w:sz w:val="24"/>
        </w:rPr>
        <w:t>Zastoupen: prof. RNDr. Miroslavem Lávičkou, Ph.D., rektorem</w:t>
      </w:r>
    </w:p>
    <w:p w14:paraId="51AC5868" w14:textId="77777777" w:rsidR="00F65BCA" w:rsidRDefault="00F65BCA">
      <w:pPr>
        <w:pStyle w:val="Zkladntext"/>
        <w:rPr>
          <w:rFonts w:ascii="Times New Roman"/>
          <w:sz w:val="24"/>
        </w:rPr>
      </w:pPr>
    </w:p>
    <w:p w14:paraId="5BC86093" w14:textId="77777777" w:rsidR="00F65BCA" w:rsidRDefault="00216117">
      <w:pPr>
        <w:pStyle w:val="Odstavecseseznamem"/>
        <w:numPr>
          <w:ilvl w:val="0"/>
          <w:numId w:val="155"/>
        </w:numPr>
        <w:tabs>
          <w:tab w:val="left" w:pos="825"/>
        </w:tabs>
        <w:jc w:val="both"/>
        <w:rPr>
          <w:rFonts w:ascii="Times New Roman" w:hAnsi="Times New Roman"/>
          <w:b/>
          <w:sz w:val="24"/>
        </w:rPr>
      </w:pPr>
      <w:r>
        <w:rPr>
          <w:rFonts w:ascii="Times New Roman" w:hAnsi="Times New Roman"/>
          <w:b/>
          <w:sz w:val="24"/>
        </w:rPr>
        <w:t>Úvodní ustanovení</w:t>
      </w:r>
    </w:p>
    <w:p w14:paraId="312DDC97" w14:textId="77777777" w:rsidR="00F65BCA" w:rsidRDefault="00216117">
      <w:pPr>
        <w:pStyle w:val="Odstavecseseznamem"/>
        <w:numPr>
          <w:ilvl w:val="1"/>
          <w:numId w:val="155"/>
        </w:numPr>
        <w:tabs>
          <w:tab w:val="left" w:pos="979"/>
        </w:tabs>
        <w:ind w:right="107" w:firstLine="0"/>
        <w:jc w:val="both"/>
        <w:rPr>
          <w:rFonts w:ascii="Times New Roman" w:hAnsi="Times New Roman"/>
          <w:sz w:val="24"/>
        </w:rPr>
      </w:pPr>
      <w:r>
        <w:rPr>
          <w:rFonts w:ascii="Times New Roman" w:hAnsi="Times New Roman"/>
          <w:sz w:val="24"/>
        </w:rPr>
        <w:t>Tato pojistná smlouva o sdruženém pojištění souboru vozidel (dále jen „pojistná smlouva“) stanoví základní a společné parametry pojištění, včetně pravidel pro zařazování a vyřazování jednotlivých vozidel ze</w:t>
      </w:r>
      <w:r>
        <w:rPr>
          <w:rFonts w:ascii="Times New Roman" w:hAnsi="Times New Roman"/>
          <w:spacing w:val="-2"/>
          <w:sz w:val="24"/>
        </w:rPr>
        <w:t xml:space="preserve"> </w:t>
      </w:r>
      <w:r>
        <w:rPr>
          <w:rFonts w:ascii="Times New Roman" w:hAnsi="Times New Roman"/>
          <w:sz w:val="24"/>
        </w:rPr>
        <w:t>souboru.</w:t>
      </w:r>
    </w:p>
    <w:p w14:paraId="477469FE" w14:textId="77777777" w:rsidR="00F65BCA" w:rsidRDefault="00216117">
      <w:pPr>
        <w:pStyle w:val="Odstavecseseznamem"/>
        <w:numPr>
          <w:ilvl w:val="1"/>
          <w:numId w:val="155"/>
        </w:numPr>
        <w:tabs>
          <w:tab w:val="left" w:pos="979"/>
        </w:tabs>
        <w:ind w:right="107" w:firstLine="0"/>
        <w:jc w:val="both"/>
        <w:rPr>
          <w:rFonts w:ascii="Times New Roman" w:hAnsi="Times New Roman"/>
          <w:sz w:val="24"/>
        </w:rPr>
      </w:pPr>
      <w:r>
        <w:rPr>
          <w:rFonts w:ascii="Times New Roman" w:hAnsi="Times New Roman"/>
          <w:sz w:val="24"/>
        </w:rPr>
        <w:t>Pojištění sjednaná na základě této pojistné smlouvy se řídí všeobecnými pojistnými podmínkami VPPPMV–F–5/2025 a  Oceňovacími tabulkami ke stanovení výše pojistného  plnění     z úrazového pojištění dopravovaných osob.</w:t>
      </w:r>
    </w:p>
    <w:p w14:paraId="581306A5" w14:textId="77777777" w:rsidR="00F65BCA" w:rsidRDefault="00216117">
      <w:pPr>
        <w:pStyle w:val="Odstavecseseznamem"/>
        <w:numPr>
          <w:ilvl w:val="1"/>
          <w:numId w:val="155"/>
        </w:numPr>
        <w:tabs>
          <w:tab w:val="left" w:pos="979"/>
        </w:tabs>
        <w:ind w:right="106" w:firstLine="0"/>
        <w:jc w:val="both"/>
        <w:rPr>
          <w:rFonts w:ascii="Times New Roman" w:hAnsi="Times New Roman"/>
          <w:sz w:val="24"/>
        </w:rPr>
      </w:pPr>
      <w:r>
        <w:rPr>
          <w:rFonts w:ascii="Times New Roman" w:hAnsi="Times New Roman"/>
          <w:sz w:val="24"/>
        </w:rPr>
        <w:t>Smlouva  je  uzavřena  v souladu  s platnou  legislativou  českého  právního  řádu,   zejména  v souladu s příslušnými ustanoveními zákona č. 89/2012 Sb., občanský zákoník, v platném znění. Rozhodným právem je české</w:t>
      </w:r>
      <w:r>
        <w:rPr>
          <w:rFonts w:ascii="Times New Roman" w:hAnsi="Times New Roman"/>
          <w:spacing w:val="-3"/>
          <w:sz w:val="24"/>
        </w:rPr>
        <w:t xml:space="preserve"> </w:t>
      </w:r>
      <w:r>
        <w:rPr>
          <w:rFonts w:ascii="Times New Roman" w:hAnsi="Times New Roman"/>
          <w:sz w:val="24"/>
        </w:rPr>
        <w:t>právo.</w:t>
      </w:r>
    </w:p>
    <w:p w14:paraId="6CF2CBD2" w14:textId="77777777" w:rsidR="00F65BCA" w:rsidRDefault="00216117">
      <w:pPr>
        <w:pStyle w:val="Odstavecseseznamem"/>
        <w:numPr>
          <w:ilvl w:val="1"/>
          <w:numId w:val="155"/>
        </w:numPr>
        <w:tabs>
          <w:tab w:val="left" w:pos="979"/>
        </w:tabs>
        <w:ind w:right="109" w:firstLine="0"/>
        <w:jc w:val="both"/>
        <w:rPr>
          <w:rFonts w:ascii="Times New Roman" w:hAnsi="Times New Roman"/>
          <w:sz w:val="24"/>
        </w:rPr>
      </w:pPr>
      <w:r>
        <w:rPr>
          <w:rFonts w:ascii="Times New Roman" w:hAnsi="Times New Roman"/>
          <w:sz w:val="24"/>
        </w:rPr>
        <w:t>Pojištěným  z této  smlouvy  je   Západočeská   univerzita   v   Plzni,   IČO:   49777513,   DIČ:</w:t>
      </w:r>
      <w:r>
        <w:rPr>
          <w:rFonts w:ascii="Times New Roman" w:hAnsi="Times New Roman"/>
          <w:spacing w:val="-1"/>
          <w:sz w:val="24"/>
        </w:rPr>
        <w:t xml:space="preserve"> </w:t>
      </w:r>
      <w:r>
        <w:rPr>
          <w:rFonts w:ascii="Times New Roman" w:hAnsi="Times New Roman"/>
          <w:sz w:val="24"/>
        </w:rPr>
        <w:t>CZ49777513.</w:t>
      </w:r>
    </w:p>
    <w:p w14:paraId="39821600" w14:textId="77777777" w:rsidR="00F65BCA" w:rsidRDefault="00216117">
      <w:pPr>
        <w:pStyle w:val="Odstavecseseznamem"/>
        <w:numPr>
          <w:ilvl w:val="1"/>
          <w:numId w:val="155"/>
        </w:numPr>
        <w:tabs>
          <w:tab w:val="left" w:pos="978"/>
          <w:tab w:val="left" w:pos="979"/>
        </w:tabs>
        <w:spacing w:before="1"/>
        <w:ind w:left="978" w:hanging="721"/>
        <w:rPr>
          <w:rFonts w:ascii="Times New Roman" w:hAnsi="Times New Roman"/>
          <w:sz w:val="24"/>
        </w:rPr>
      </w:pPr>
      <w:r>
        <w:rPr>
          <w:rFonts w:ascii="Times New Roman" w:hAnsi="Times New Roman"/>
          <w:sz w:val="24"/>
        </w:rPr>
        <w:t>Oprávněné osoby jsou osoby definované bodem 2.4. této pojistné</w:t>
      </w:r>
      <w:r>
        <w:rPr>
          <w:rFonts w:ascii="Times New Roman" w:hAnsi="Times New Roman"/>
          <w:spacing w:val="-5"/>
          <w:sz w:val="24"/>
        </w:rPr>
        <w:t xml:space="preserve"> </w:t>
      </w:r>
      <w:r>
        <w:rPr>
          <w:rFonts w:ascii="Times New Roman" w:hAnsi="Times New Roman"/>
          <w:sz w:val="24"/>
        </w:rPr>
        <w:t>smlouvy.</w:t>
      </w:r>
    </w:p>
    <w:p w14:paraId="4E92C841" w14:textId="77777777" w:rsidR="00F65BCA" w:rsidRDefault="00F65BCA">
      <w:pPr>
        <w:pStyle w:val="Zkladntext"/>
        <w:rPr>
          <w:rFonts w:ascii="Times New Roman"/>
          <w:sz w:val="26"/>
        </w:rPr>
      </w:pPr>
    </w:p>
    <w:p w14:paraId="70193FAD" w14:textId="77777777" w:rsidR="00F65BCA" w:rsidRDefault="00F65BCA">
      <w:pPr>
        <w:pStyle w:val="Zkladntext"/>
        <w:rPr>
          <w:rFonts w:ascii="Times New Roman"/>
          <w:sz w:val="26"/>
        </w:rPr>
      </w:pPr>
    </w:p>
    <w:p w14:paraId="13ACB66D" w14:textId="77777777" w:rsidR="00F65BCA" w:rsidRDefault="00216117">
      <w:pPr>
        <w:pStyle w:val="Odstavecseseznamem"/>
        <w:numPr>
          <w:ilvl w:val="0"/>
          <w:numId w:val="155"/>
        </w:numPr>
        <w:tabs>
          <w:tab w:val="left" w:pos="824"/>
          <w:tab w:val="left" w:pos="825"/>
        </w:tabs>
        <w:spacing w:before="230"/>
        <w:rPr>
          <w:rFonts w:ascii="Times New Roman" w:hAnsi="Times New Roman"/>
          <w:b/>
          <w:sz w:val="24"/>
        </w:rPr>
      </w:pPr>
      <w:r>
        <w:rPr>
          <w:rFonts w:ascii="Times New Roman" w:hAnsi="Times New Roman"/>
          <w:b/>
          <w:sz w:val="24"/>
        </w:rPr>
        <w:t>Předmět pojistné</w:t>
      </w:r>
      <w:r>
        <w:rPr>
          <w:rFonts w:ascii="Times New Roman" w:hAnsi="Times New Roman"/>
          <w:b/>
          <w:spacing w:val="-3"/>
          <w:sz w:val="24"/>
        </w:rPr>
        <w:t xml:space="preserve"> </w:t>
      </w:r>
      <w:r>
        <w:rPr>
          <w:rFonts w:ascii="Times New Roman" w:hAnsi="Times New Roman"/>
          <w:b/>
          <w:sz w:val="24"/>
        </w:rPr>
        <w:t>smlouvy</w:t>
      </w:r>
    </w:p>
    <w:p w14:paraId="63DF40B2" w14:textId="77777777" w:rsidR="00F65BCA" w:rsidRDefault="00216117">
      <w:pPr>
        <w:pStyle w:val="Odstavecseseznamem"/>
        <w:numPr>
          <w:ilvl w:val="1"/>
          <w:numId w:val="155"/>
        </w:numPr>
        <w:tabs>
          <w:tab w:val="left" w:pos="978"/>
          <w:tab w:val="left" w:pos="979"/>
        </w:tabs>
        <w:ind w:right="106" w:firstLine="0"/>
        <w:rPr>
          <w:rFonts w:ascii="Times New Roman" w:hAnsi="Times New Roman"/>
          <w:sz w:val="24"/>
        </w:rPr>
      </w:pPr>
      <w:r>
        <w:rPr>
          <w:rFonts w:ascii="Times New Roman" w:hAnsi="Times New Roman"/>
          <w:sz w:val="24"/>
        </w:rPr>
        <w:t>Předmětem  této  pojistné  smlouvy  je  zejména   úprava  vzájemných  postupů  Pojišťovny   a Pojistníka při sjednávání, trvání, změnách a ukončování pojištění vozidel, stanovení způsobu identifikace pojištěných vozidel a stanovení celkové roční výše pojistného za všechna pojištěná vozidla, jakož i specifikace pravidel zařazování a vyřazování vozidel z pojištění vzniklých na základě této pojistné smlouvy (specifikace pravidel sjednávání a ukončování pojištění jednotlivých vozidel). Účelem smlouvy je naplnění potřeb Pojistníka v oblasti pojištění vozidel</w:t>
      </w:r>
      <w:r>
        <w:rPr>
          <w:rFonts w:ascii="Times New Roman" w:hAnsi="Times New Roman"/>
          <w:spacing w:val="-8"/>
          <w:sz w:val="24"/>
        </w:rPr>
        <w:t xml:space="preserve"> </w:t>
      </w:r>
      <w:r>
        <w:rPr>
          <w:rFonts w:ascii="Times New Roman" w:hAnsi="Times New Roman"/>
          <w:sz w:val="24"/>
        </w:rPr>
        <w:t>vlastníka.</w:t>
      </w:r>
    </w:p>
    <w:p w14:paraId="06C1E959" w14:textId="77777777" w:rsidR="00F65BCA" w:rsidRDefault="00F65BCA">
      <w:pPr>
        <w:pStyle w:val="Zkladntext"/>
        <w:rPr>
          <w:rFonts w:ascii="Times New Roman"/>
          <w:sz w:val="20"/>
        </w:rPr>
      </w:pPr>
    </w:p>
    <w:p w14:paraId="5821B866" w14:textId="77777777" w:rsidR="00F65BCA" w:rsidRDefault="00F65BCA">
      <w:pPr>
        <w:pStyle w:val="Zkladntext"/>
        <w:spacing w:before="2"/>
        <w:rPr>
          <w:rFonts w:ascii="Times New Roman"/>
          <w:sz w:val="18"/>
        </w:rPr>
      </w:pPr>
    </w:p>
    <w:p w14:paraId="20ABFC52" w14:textId="77777777" w:rsidR="00F65BCA" w:rsidRDefault="00216117">
      <w:pPr>
        <w:spacing w:before="96"/>
        <w:ind w:left="147"/>
        <w:jc w:val="center"/>
        <w:rPr>
          <w:sz w:val="16"/>
        </w:rPr>
      </w:pPr>
      <w:r>
        <w:rPr>
          <w:sz w:val="16"/>
        </w:rPr>
        <w:t>1</w:t>
      </w:r>
    </w:p>
    <w:p w14:paraId="00FB9269" w14:textId="77777777" w:rsidR="00F65BCA" w:rsidRDefault="00F65BCA">
      <w:pPr>
        <w:jc w:val="center"/>
        <w:rPr>
          <w:sz w:val="16"/>
        </w:rPr>
        <w:sectPr w:rsidR="00F65BCA">
          <w:pgSz w:w="11900" w:h="16840"/>
          <w:pgMar w:top="1500" w:right="600" w:bottom="280" w:left="1160" w:header="708" w:footer="708" w:gutter="0"/>
          <w:cols w:space="708"/>
        </w:sectPr>
      </w:pPr>
    </w:p>
    <w:p w14:paraId="4E2C7799" w14:textId="77777777" w:rsidR="00F65BCA" w:rsidRDefault="00F65BCA">
      <w:pPr>
        <w:pStyle w:val="Zkladntext"/>
        <w:rPr>
          <w:sz w:val="20"/>
        </w:rPr>
      </w:pPr>
    </w:p>
    <w:p w14:paraId="1AF4FDEE" w14:textId="77777777" w:rsidR="00F65BCA" w:rsidRDefault="00F65BCA">
      <w:pPr>
        <w:pStyle w:val="Zkladntext"/>
        <w:rPr>
          <w:sz w:val="20"/>
        </w:rPr>
      </w:pPr>
    </w:p>
    <w:p w14:paraId="43BE4E21" w14:textId="77777777" w:rsidR="00F65BCA" w:rsidRDefault="00F65BCA">
      <w:pPr>
        <w:pStyle w:val="Zkladntext"/>
        <w:rPr>
          <w:sz w:val="20"/>
        </w:rPr>
      </w:pPr>
    </w:p>
    <w:p w14:paraId="76C82A71" w14:textId="77777777" w:rsidR="00F65BCA" w:rsidRDefault="00F65BCA">
      <w:pPr>
        <w:pStyle w:val="Zkladntext"/>
        <w:spacing w:before="7"/>
        <w:rPr>
          <w:sz w:val="25"/>
        </w:rPr>
      </w:pPr>
    </w:p>
    <w:p w14:paraId="781124D0" w14:textId="77777777" w:rsidR="00F65BCA" w:rsidRDefault="00216117">
      <w:pPr>
        <w:pStyle w:val="Odstavecseseznamem"/>
        <w:numPr>
          <w:ilvl w:val="0"/>
          <w:numId w:val="155"/>
        </w:numPr>
        <w:tabs>
          <w:tab w:val="left" w:pos="825"/>
        </w:tabs>
        <w:spacing w:before="90"/>
        <w:jc w:val="both"/>
        <w:rPr>
          <w:rFonts w:ascii="Times New Roman" w:hAnsi="Times New Roman"/>
          <w:b/>
          <w:sz w:val="24"/>
        </w:rPr>
      </w:pPr>
      <w:r>
        <w:rPr>
          <w:rFonts w:ascii="Times New Roman" w:hAnsi="Times New Roman"/>
          <w:b/>
          <w:sz w:val="24"/>
        </w:rPr>
        <w:t>Výklad některých</w:t>
      </w:r>
      <w:r>
        <w:rPr>
          <w:rFonts w:ascii="Times New Roman" w:hAnsi="Times New Roman"/>
          <w:b/>
          <w:spacing w:val="1"/>
          <w:sz w:val="24"/>
        </w:rPr>
        <w:t xml:space="preserve"> </w:t>
      </w:r>
      <w:r>
        <w:rPr>
          <w:rFonts w:ascii="Times New Roman" w:hAnsi="Times New Roman"/>
          <w:b/>
          <w:sz w:val="24"/>
        </w:rPr>
        <w:t>pojmů</w:t>
      </w:r>
    </w:p>
    <w:p w14:paraId="44BE31D4" w14:textId="77777777" w:rsidR="00F65BCA" w:rsidRDefault="00216117">
      <w:pPr>
        <w:pStyle w:val="Odstavecseseznamem"/>
        <w:numPr>
          <w:ilvl w:val="1"/>
          <w:numId w:val="155"/>
        </w:numPr>
        <w:tabs>
          <w:tab w:val="left" w:pos="979"/>
        </w:tabs>
        <w:ind w:right="107" w:firstLine="0"/>
        <w:jc w:val="both"/>
        <w:rPr>
          <w:rFonts w:ascii="Times New Roman" w:hAnsi="Times New Roman"/>
          <w:sz w:val="24"/>
        </w:rPr>
      </w:pPr>
      <w:r>
        <w:rPr>
          <w:rFonts w:ascii="Times New Roman" w:hAnsi="Times New Roman"/>
          <w:sz w:val="24"/>
        </w:rPr>
        <w:t>Za účelem předejití případným nejasnostem nebo nepřesnostem při výkladu jednotlivých ustanovení</w:t>
      </w:r>
      <w:r>
        <w:rPr>
          <w:rFonts w:ascii="Times New Roman" w:hAnsi="Times New Roman"/>
          <w:spacing w:val="-11"/>
          <w:sz w:val="24"/>
        </w:rPr>
        <w:t xml:space="preserve"> </w:t>
      </w:r>
      <w:r>
        <w:rPr>
          <w:rFonts w:ascii="Times New Roman" w:hAnsi="Times New Roman"/>
          <w:sz w:val="24"/>
        </w:rPr>
        <w:t>této</w:t>
      </w:r>
      <w:r>
        <w:rPr>
          <w:rFonts w:ascii="Times New Roman" w:hAnsi="Times New Roman"/>
          <w:spacing w:val="-10"/>
          <w:sz w:val="24"/>
        </w:rPr>
        <w:t xml:space="preserve"> </w:t>
      </w:r>
      <w:r>
        <w:rPr>
          <w:rFonts w:ascii="Times New Roman" w:hAnsi="Times New Roman"/>
          <w:sz w:val="24"/>
        </w:rPr>
        <w:t>pojistné</w:t>
      </w:r>
      <w:r>
        <w:rPr>
          <w:rFonts w:ascii="Times New Roman" w:hAnsi="Times New Roman"/>
          <w:spacing w:val="-11"/>
          <w:sz w:val="24"/>
        </w:rPr>
        <w:t xml:space="preserve"> </w:t>
      </w:r>
      <w:r>
        <w:rPr>
          <w:rFonts w:ascii="Times New Roman" w:hAnsi="Times New Roman"/>
          <w:sz w:val="24"/>
        </w:rPr>
        <w:t>smlouvy</w:t>
      </w:r>
      <w:r>
        <w:rPr>
          <w:rFonts w:ascii="Times New Roman" w:hAnsi="Times New Roman"/>
          <w:spacing w:val="-10"/>
          <w:sz w:val="24"/>
        </w:rPr>
        <w:t xml:space="preserve"> </w:t>
      </w:r>
      <w:r>
        <w:rPr>
          <w:rFonts w:ascii="Times New Roman" w:hAnsi="Times New Roman"/>
          <w:sz w:val="24"/>
        </w:rPr>
        <w:t>se</w:t>
      </w:r>
      <w:r>
        <w:rPr>
          <w:rFonts w:ascii="Times New Roman" w:hAnsi="Times New Roman"/>
          <w:spacing w:val="-12"/>
          <w:sz w:val="24"/>
        </w:rPr>
        <w:t xml:space="preserve"> </w:t>
      </w:r>
      <w:r>
        <w:rPr>
          <w:rFonts w:ascii="Times New Roman" w:hAnsi="Times New Roman"/>
          <w:sz w:val="24"/>
        </w:rPr>
        <w:t>Pojistník</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11"/>
          <w:sz w:val="24"/>
        </w:rPr>
        <w:t xml:space="preserve"> </w:t>
      </w:r>
      <w:r>
        <w:rPr>
          <w:rFonts w:ascii="Times New Roman" w:hAnsi="Times New Roman"/>
          <w:sz w:val="24"/>
        </w:rPr>
        <w:t>Pojišťovna</w:t>
      </w:r>
      <w:r>
        <w:rPr>
          <w:rFonts w:ascii="Times New Roman" w:hAnsi="Times New Roman"/>
          <w:spacing w:val="-11"/>
          <w:sz w:val="24"/>
        </w:rPr>
        <w:t xml:space="preserve"> </w:t>
      </w:r>
      <w:r>
        <w:rPr>
          <w:rFonts w:ascii="Times New Roman" w:hAnsi="Times New Roman"/>
          <w:sz w:val="24"/>
        </w:rPr>
        <w:t>dohodli</w:t>
      </w:r>
      <w:r>
        <w:rPr>
          <w:rFonts w:ascii="Times New Roman" w:hAnsi="Times New Roman"/>
          <w:spacing w:val="-11"/>
          <w:sz w:val="24"/>
        </w:rPr>
        <w:t xml:space="preserve"> </w:t>
      </w:r>
      <w:r>
        <w:rPr>
          <w:rFonts w:ascii="Times New Roman" w:hAnsi="Times New Roman"/>
          <w:sz w:val="24"/>
        </w:rPr>
        <w:t>na</w:t>
      </w:r>
      <w:r>
        <w:rPr>
          <w:rFonts w:ascii="Times New Roman" w:hAnsi="Times New Roman"/>
          <w:spacing w:val="-11"/>
          <w:sz w:val="24"/>
        </w:rPr>
        <w:t xml:space="preserve"> </w:t>
      </w:r>
      <w:r>
        <w:rPr>
          <w:rFonts w:ascii="Times New Roman" w:hAnsi="Times New Roman"/>
          <w:sz w:val="24"/>
        </w:rPr>
        <w:t>tom,</w:t>
      </w:r>
      <w:r>
        <w:rPr>
          <w:rFonts w:ascii="Times New Roman" w:hAnsi="Times New Roman"/>
          <w:spacing w:val="-10"/>
          <w:sz w:val="24"/>
        </w:rPr>
        <w:t xml:space="preserve"> </w:t>
      </w:r>
      <w:r>
        <w:rPr>
          <w:rFonts w:ascii="Times New Roman" w:hAnsi="Times New Roman"/>
          <w:sz w:val="24"/>
        </w:rPr>
        <w:t>že</w:t>
      </w:r>
      <w:r>
        <w:rPr>
          <w:rFonts w:ascii="Times New Roman" w:hAnsi="Times New Roman"/>
          <w:spacing w:val="-11"/>
          <w:sz w:val="24"/>
        </w:rPr>
        <w:t xml:space="preserve"> </w:t>
      </w:r>
      <w:r>
        <w:rPr>
          <w:rFonts w:ascii="Times New Roman" w:hAnsi="Times New Roman"/>
          <w:sz w:val="24"/>
        </w:rPr>
        <w:t>následující</w:t>
      </w:r>
      <w:r>
        <w:rPr>
          <w:rFonts w:ascii="Times New Roman" w:hAnsi="Times New Roman"/>
          <w:spacing w:val="-10"/>
          <w:sz w:val="24"/>
        </w:rPr>
        <w:t xml:space="preserve"> </w:t>
      </w:r>
      <w:r>
        <w:rPr>
          <w:rFonts w:ascii="Times New Roman" w:hAnsi="Times New Roman"/>
          <w:sz w:val="24"/>
        </w:rPr>
        <w:t>pojmy</w:t>
      </w:r>
      <w:r>
        <w:rPr>
          <w:rFonts w:ascii="Times New Roman" w:hAnsi="Times New Roman"/>
          <w:spacing w:val="-11"/>
          <w:sz w:val="24"/>
        </w:rPr>
        <w:t xml:space="preserve"> </w:t>
      </w:r>
      <w:r>
        <w:rPr>
          <w:rFonts w:ascii="Times New Roman" w:hAnsi="Times New Roman"/>
          <w:sz w:val="24"/>
        </w:rPr>
        <w:t>budou mít pro účely výkladu ustanovení této pojistné smlouvy následující</w:t>
      </w:r>
      <w:r>
        <w:rPr>
          <w:rFonts w:ascii="Times New Roman" w:hAnsi="Times New Roman"/>
          <w:spacing w:val="-4"/>
          <w:sz w:val="24"/>
        </w:rPr>
        <w:t xml:space="preserve"> </w:t>
      </w:r>
      <w:r>
        <w:rPr>
          <w:rFonts w:ascii="Times New Roman" w:hAnsi="Times New Roman"/>
          <w:sz w:val="24"/>
        </w:rPr>
        <w:t>význam:</w:t>
      </w:r>
    </w:p>
    <w:p w14:paraId="4F8A6C01" w14:textId="77777777" w:rsidR="00F65BCA" w:rsidRDefault="00F65BCA">
      <w:pPr>
        <w:pStyle w:val="Zkladntext"/>
        <w:rPr>
          <w:rFonts w:ascii="Times New Roman"/>
          <w:sz w:val="24"/>
        </w:rPr>
      </w:pPr>
    </w:p>
    <w:p w14:paraId="0C5E41FA" w14:textId="77777777" w:rsidR="00F65BCA" w:rsidRDefault="00216117">
      <w:pPr>
        <w:spacing w:before="1"/>
        <w:ind w:left="258" w:right="106"/>
        <w:jc w:val="both"/>
        <w:rPr>
          <w:rFonts w:ascii="Times New Roman" w:hAnsi="Times New Roman"/>
          <w:sz w:val="24"/>
        </w:rPr>
      </w:pPr>
      <w:r>
        <w:rPr>
          <w:rFonts w:ascii="Times New Roman" w:hAnsi="Times New Roman"/>
          <w:b/>
          <w:sz w:val="24"/>
        </w:rPr>
        <w:t xml:space="preserve">Dokument mající elektronickou podobu </w:t>
      </w:r>
      <w:r>
        <w:rPr>
          <w:rFonts w:ascii="Times New Roman" w:hAnsi="Times New Roman"/>
          <w:sz w:val="24"/>
        </w:rPr>
        <w:t>– dokumentem majícím elektronickou podobu se rozumí takový dokument, který je vytvořen prostředkem výpočetní techniky a je zachycen na datovém nosiči s tím, že smluvní strana, které je dokument mající elektronickou podobu určen, je s ním seznámena prostředky výpočetní techniky, např. elektronickou poštou. Dokument mající elektronickou podobu má obvykle formát PDF.</w:t>
      </w:r>
    </w:p>
    <w:p w14:paraId="1715BE9B" w14:textId="77777777" w:rsidR="00F65BCA" w:rsidRDefault="00F65BCA">
      <w:pPr>
        <w:pStyle w:val="Zkladntext"/>
        <w:rPr>
          <w:rFonts w:ascii="Times New Roman"/>
          <w:sz w:val="26"/>
        </w:rPr>
      </w:pPr>
    </w:p>
    <w:p w14:paraId="383E0F49" w14:textId="77777777" w:rsidR="00F65BCA" w:rsidRDefault="00F65BCA">
      <w:pPr>
        <w:pStyle w:val="Zkladntext"/>
        <w:rPr>
          <w:rFonts w:ascii="Times New Roman"/>
          <w:sz w:val="26"/>
        </w:rPr>
      </w:pPr>
    </w:p>
    <w:p w14:paraId="3FDD283B" w14:textId="77777777" w:rsidR="00F65BCA" w:rsidRDefault="00216117">
      <w:pPr>
        <w:pStyle w:val="Odstavecseseznamem"/>
        <w:numPr>
          <w:ilvl w:val="0"/>
          <w:numId w:val="155"/>
        </w:numPr>
        <w:tabs>
          <w:tab w:val="left" w:pos="825"/>
        </w:tabs>
        <w:spacing w:before="230"/>
        <w:jc w:val="both"/>
        <w:rPr>
          <w:rFonts w:ascii="Times New Roman" w:hAnsi="Times New Roman"/>
          <w:b/>
          <w:sz w:val="24"/>
        </w:rPr>
      </w:pPr>
      <w:r>
        <w:rPr>
          <w:rFonts w:ascii="Times New Roman" w:hAnsi="Times New Roman"/>
          <w:b/>
          <w:sz w:val="24"/>
        </w:rPr>
        <w:t>Rozsah pojištění podsmlouvy</w:t>
      </w:r>
    </w:p>
    <w:p w14:paraId="225D2891" w14:textId="77777777" w:rsidR="00F65BCA" w:rsidRDefault="00216117">
      <w:pPr>
        <w:pStyle w:val="Odstavecseseznamem"/>
        <w:numPr>
          <w:ilvl w:val="1"/>
          <w:numId w:val="155"/>
        </w:numPr>
        <w:tabs>
          <w:tab w:val="left" w:pos="979"/>
        </w:tabs>
        <w:ind w:left="978" w:hanging="721"/>
        <w:jc w:val="both"/>
        <w:rPr>
          <w:rFonts w:ascii="Times New Roman" w:hAnsi="Times New Roman"/>
          <w:sz w:val="24"/>
        </w:rPr>
      </w:pPr>
      <w:r>
        <w:rPr>
          <w:rFonts w:ascii="Times New Roman" w:hAnsi="Times New Roman"/>
          <w:sz w:val="24"/>
        </w:rPr>
        <w:t>Konkrétní rozsah pojištění vozidel je určen v Příloze č.</w:t>
      </w:r>
      <w:r>
        <w:rPr>
          <w:rFonts w:ascii="Times New Roman" w:hAnsi="Times New Roman"/>
          <w:spacing w:val="-4"/>
          <w:sz w:val="24"/>
        </w:rPr>
        <w:t xml:space="preserve"> </w:t>
      </w:r>
      <w:r>
        <w:rPr>
          <w:rFonts w:ascii="Times New Roman" w:hAnsi="Times New Roman"/>
          <w:sz w:val="24"/>
        </w:rPr>
        <w:t>1.</w:t>
      </w:r>
    </w:p>
    <w:p w14:paraId="6AEA00F0" w14:textId="77777777" w:rsidR="00F65BCA" w:rsidRDefault="00F65BCA">
      <w:pPr>
        <w:pStyle w:val="Zkladntext"/>
        <w:rPr>
          <w:rFonts w:ascii="Times New Roman"/>
          <w:sz w:val="24"/>
        </w:rPr>
      </w:pPr>
    </w:p>
    <w:p w14:paraId="2E32F538" w14:textId="77777777" w:rsidR="00F65BCA" w:rsidRDefault="00216117">
      <w:pPr>
        <w:pStyle w:val="Odstavecseseznamem"/>
        <w:numPr>
          <w:ilvl w:val="1"/>
          <w:numId w:val="155"/>
        </w:numPr>
        <w:tabs>
          <w:tab w:val="left" w:pos="979"/>
        </w:tabs>
        <w:ind w:left="978" w:hanging="721"/>
        <w:jc w:val="both"/>
        <w:rPr>
          <w:rFonts w:ascii="Times New Roman" w:hAnsi="Times New Roman"/>
          <w:sz w:val="24"/>
        </w:rPr>
      </w:pPr>
      <w:r>
        <w:rPr>
          <w:rFonts w:ascii="Times New Roman" w:hAnsi="Times New Roman"/>
          <w:sz w:val="24"/>
        </w:rPr>
        <w:t>Havarijní</w:t>
      </w:r>
      <w:r>
        <w:rPr>
          <w:rFonts w:ascii="Times New Roman" w:hAnsi="Times New Roman"/>
          <w:spacing w:val="-1"/>
          <w:sz w:val="24"/>
        </w:rPr>
        <w:t xml:space="preserve"> </w:t>
      </w:r>
      <w:r>
        <w:rPr>
          <w:rFonts w:ascii="Times New Roman" w:hAnsi="Times New Roman"/>
          <w:sz w:val="24"/>
        </w:rPr>
        <w:t>pojištění</w:t>
      </w:r>
    </w:p>
    <w:p w14:paraId="73F62CE6" w14:textId="77777777" w:rsidR="00F65BCA" w:rsidRDefault="00F65BCA">
      <w:pPr>
        <w:pStyle w:val="Zkladntext"/>
        <w:rPr>
          <w:rFonts w:ascii="Times New Roman"/>
          <w:sz w:val="24"/>
        </w:rPr>
      </w:pPr>
    </w:p>
    <w:p w14:paraId="46255F4D" w14:textId="77777777" w:rsidR="00F65BCA" w:rsidRDefault="00216117">
      <w:pPr>
        <w:ind w:left="258" w:right="107"/>
        <w:jc w:val="both"/>
        <w:rPr>
          <w:rFonts w:ascii="Times New Roman" w:hAnsi="Times New Roman"/>
          <w:sz w:val="24"/>
        </w:rPr>
      </w:pPr>
      <w:r>
        <w:rPr>
          <w:rFonts w:ascii="Times New Roman" w:hAnsi="Times New Roman"/>
          <w:sz w:val="24"/>
        </w:rPr>
        <w:t>Pojištění  se  vztahuje  na  poškození,  zničení  vozidel  uvedených  v Příloze  č.  1,  jejich  částí         a</w:t>
      </w:r>
      <w:r>
        <w:rPr>
          <w:rFonts w:ascii="Times New Roman" w:hAnsi="Times New Roman"/>
          <w:spacing w:val="-7"/>
          <w:sz w:val="24"/>
        </w:rPr>
        <w:t xml:space="preserve"> </w:t>
      </w:r>
      <w:r>
        <w:rPr>
          <w:rFonts w:ascii="Times New Roman" w:hAnsi="Times New Roman"/>
          <w:sz w:val="24"/>
        </w:rPr>
        <w:t>příslušenství</w:t>
      </w:r>
      <w:r>
        <w:rPr>
          <w:rFonts w:ascii="Times New Roman" w:hAnsi="Times New Roman"/>
          <w:spacing w:val="-4"/>
          <w:sz w:val="24"/>
        </w:rPr>
        <w:t xml:space="preserve"> </w:t>
      </w:r>
      <w:r>
        <w:rPr>
          <w:rFonts w:ascii="Times New Roman" w:hAnsi="Times New Roman"/>
          <w:sz w:val="24"/>
        </w:rPr>
        <w:t>tvořící</w:t>
      </w:r>
      <w:r>
        <w:rPr>
          <w:rFonts w:ascii="Times New Roman" w:hAnsi="Times New Roman"/>
          <w:spacing w:val="-8"/>
          <w:sz w:val="24"/>
        </w:rPr>
        <w:t xml:space="preserve"> </w:t>
      </w:r>
      <w:r>
        <w:rPr>
          <w:rFonts w:ascii="Times New Roman" w:hAnsi="Times New Roman"/>
          <w:sz w:val="24"/>
        </w:rPr>
        <w:t>jejich</w:t>
      </w:r>
      <w:r>
        <w:rPr>
          <w:rFonts w:ascii="Times New Roman" w:hAnsi="Times New Roman"/>
          <w:spacing w:val="-5"/>
          <w:sz w:val="24"/>
        </w:rPr>
        <w:t xml:space="preserve"> </w:t>
      </w:r>
      <w:r>
        <w:rPr>
          <w:rFonts w:ascii="Times New Roman" w:hAnsi="Times New Roman"/>
          <w:sz w:val="24"/>
        </w:rPr>
        <w:t>obvyklou</w:t>
      </w:r>
      <w:r>
        <w:rPr>
          <w:rFonts w:ascii="Times New Roman" w:hAnsi="Times New Roman"/>
          <w:spacing w:val="-6"/>
          <w:sz w:val="24"/>
        </w:rPr>
        <w:t xml:space="preserve"> </w:t>
      </w:r>
      <w:r>
        <w:rPr>
          <w:rFonts w:ascii="Times New Roman" w:hAnsi="Times New Roman"/>
          <w:sz w:val="24"/>
        </w:rPr>
        <w:t>nebo</w:t>
      </w:r>
      <w:r>
        <w:rPr>
          <w:rFonts w:ascii="Times New Roman" w:hAnsi="Times New Roman"/>
          <w:spacing w:val="-5"/>
          <w:sz w:val="24"/>
        </w:rPr>
        <w:t xml:space="preserve"> </w:t>
      </w:r>
      <w:r>
        <w:rPr>
          <w:rFonts w:ascii="Times New Roman" w:hAnsi="Times New Roman"/>
          <w:sz w:val="24"/>
        </w:rPr>
        <w:t>mimořádnou</w:t>
      </w:r>
      <w:r>
        <w:rPr>
          <w:rFonts w:ascii="Times New Roman" w:hAnsi="Times New Roman"/>
          <w:spacing w:val="-5"/>
          <w:sz w:val="24"/>
        </w:rPr>
        <w:t xml:space="preserve"> </w:t>
      </w:r>
      <w:r>
        <w:rPr>
          <w:rFonts w:ascii="Times New Roman" w:hAnsi="Times New Roman"/>
          <w:sz w:val="24"/>
        </w:rPr>
        <w:t>výbavu</w:t>
      </w:r>
      <w:r>
        <w:rPr>
          <w:rFonts w:ascii="Times New Roman" w:hAnsi="Times New Roman"/>
          <w:spacing w:val="-6"/>
          <w:sz w:val="24"/>
        </w:rPr>
        <w:t xml:space="preserve"> </w:t>
      </w:r>
      <w:r>
        <w:rPr>
          <w:rFonts w:ascii="Times New Roman" w:hAnsi="Times New Roman"/>
          <w:sz w:val="24"/>
        </w:rPr>
        <w:t>(dle</w:t>
      </w:r>
      <w:r>
        <w:rPr>
          <w:rFonts w:ascii="Times New Roman" w:hAnsi="Times New Roman"/>
          <w:spacing w:val="-6"/>
          <w:sz w:val="24"/>
        </w:rPr>
        <w:t xml:space="preserve"> </w:t>
      </w:r>
      <w:r>
        <w:rPr>
          <w:rFonts w:ascii="Times New Roman" w:hAnsi="Times New Roman"/>
          <w:sz w:val="24"/>
        </w:rPr>
        <w:t>VPPPMV–F–5/2025),</w:t>
      </w:r>
      <w:r>
        <w:rPr>
          <w:rFonts w:ascii="Times New Roman" w:hAnsi="Times New Roman"/>
          <w:spacing w:val="-6"/>
          <w:sz w:val="24"/>
        </w:rPr>
        <w:t xml:space="preserve"> </w:t>
      </w:r>
      <w:r>
        <w:rPr>
          <w:rFonts w:ascii="Times New Roman" w:hAnsi="Times New Roman"/>
          <w:sz w:val="24"/>
        </w:rPr>
        <w:t>jakoukoli nahodilou událostí včetně odcizení vozidla nebo jeho</w:t>
      </w:r>
      <w:r>
        <w:rPr>
          <w:rFonts w:ascii="Times New Roman" w:hAnsi="Times New Roman"/>
          <w:spacing w:val="-4"/>
          <w:sz w:val="24"/>
        </w:rPr>
        <w:t xml:space="preserve"> </w:t>
      </w:r>
      <w:r>
        <w:rPr>
          <w:rFonts w:ascii="Times New Roman" w:hAnsi="Times New Roman"/>
          <w:sz w:val="24"/>
        </w:rPr>
        <w:t>části.</w:t>
      </w:r>
    </w:p>
    <w:p w14:paraId="22C5EE9B" w14:textId="77777777" w:rsidR="00F65BCA" w:rsidRDefault="00216117">
      <w:pPr>
        <w:ind w:left="258"/>
        <w:jc w:val="both"/>
        <w:rPr>
          <w:rFonts w:ascii="Times New Roman" w:hAnsi="Times New Roman"/>
          <w:sz w:val="24"/>
        </w:rPr>
      </w:pPr>
      <w:r>
        <w:rPr>
          <w:rFonts w:ascii="Times New Roman" w:hAnsi="Times New Roman"/>
          <w:sz w:val="24"/>
        </w:rPr>
        <w:t>Jedná se zejména o:</w:t>
      </w:r>
    </w:p>
    <w:p w14:paraId="1E5F7DC9" w14:textId="77777777" w:rsidR="00F65BCA" w:rsidRDefault="00F65BCA">
      <w:pPr>
        <w:pStyle w:val="Zkladntext"/>
        <w:rPr>
          <w:rFonts w:ascii="Times New Roman"/>
          <w:sz w:val="24"/>
        </w:rPr>
      </w:pPr>
    </w:p>
    <w:p w14:paraId="50695AD1" w14:textId="77777777" w:rsidR="00F65BCA" w:rsidRDefault="00216117">
      <w:pPr>
        <w:pStyle w:val="Odstavecseseznamem"/>
        <w:numPr>
          <w:ilvl w:val="2"/>
          <w:numId w:val="155"/>
        </w:numPr>
        <w:tabs>
          <w:tab w:val="left" w:pos="1471"/>
        </w:tabs>
        <w:ind w:right="109"/>
        <w:jc w:val="both"/>
        <w:rPr>
          <w:rFonts w:ascii="Times New Roman" w:hAnsi="Times New Roman"/>
          <w:sz w:val="24"/>
        </w:rPr>
      </w:pPr>
      <w:r>
        <w:rPr>
          <w:rFonts w:ascii="Times New Roman" w:hAnsi="Times New Roman"/>
          <w:sz w:val="24"/>
        </w:rPr>
        <w:t>Základní havárie – (náhlé nahodilé působení vnějších mechanických sil – náraz, střet, pád).</w:t>
      </w:r>
    </w:p>
    <w:p w14:paraId="74CDD2BF" w14:textId="77777777" w:rsidR="00F65BCA" w:rsidRDefault="00216117">
      <w:pPr>
        <w:pStyle w:val="Odstavecseseznamem"/>
        <w:numPr>
          <w:ilvl w:val="2"/>
          <w:numId w:val="155"/>
        </w:numPr>
        <w:tabs>
          <w:tab w:val="left" w:pos="1471"/>
        </w:tabs>
        <w:ind w:hanging="361"/>
        <w:jc w:val="both"/>
        <w:rPr>
          <w:rFonts w:ascii="Times New Roman" w:hAnsi="Times New Roman"/>
          <w:sz w:val="24"/>
        </w:rPr>
      </w:pPr>
      <w:r>
        <w:rPr>
          <w:rFonts w:ascii="Times New Roman" w:hAnsi="Times New Roman"/>
          <w:sz w:val="24"/>
        </w:rPr>
        <w:t>Odcizení – pojištění krádeže, loupeže pojištěného vozidla nebo jeho</w:t>
      </w:r>
      <w:r>
        <w:rPr>
          <w:rFonts w:ascii="Times New Roman" w:hAnsi="Times New Roman"/>
          <w:spacing w:val="-5"/>
          <w:sz w:val="24"/>
        </w:rPr>
        <w:t xml:space="preserve"> </w:t>
      </w:r>
      <w:r>
        <w:rPr>
          <w:rFonts w:ascii="Times New Roman" w:hAnsi="Times New Roman"/>
          <w:sz w:val="24"/>
        </w:rPr>
        <w:t>části.</w:t>
      </w:r>
    </w:p>
    <w:p w14:paraId="171AECE4" w14:textId="77777777" w:rsidR="00F65BCA" w:rsidRDefault="00216117">
      <w:pPr>
        <w:pStyle w:val="Odstavecseseznamem"/>
        <w:numPr>
          <w:ilvl w:val="2"/>
          <w:numId w:val="155"/>
        </w:numPr>
        <w:tabs>
          <w:tab w:val="left" w:pos="1471"/>
        </w:tabs>
        <w:ind w:right="109"/>
        <w:jc w:val="both"/>
        <w:rPr>
          <w:rFonts w:ascii="Times New Roman" w:hAnsi="Times New Roman"/>
          <w:sz w:val="24"/>
        </w:rPr>
      </w:pPr>
      <w:r>
        <w:rPr>
          <w:rFonts w:ascii="Times New Roman" w:hAnsi="Times New Roman"/>
          <w:sz w:val="24"/>
        </w:rPr>
        <w:t>Živel – Pojištění pro pojistné nebezpečí živlu (pojištění vzniklé působením přírodních fyzikálních</w:t>
      </w:r>
      <w:r>
        <w:rPr>
          <w:rFonts w:ascii="Times New Roman" w:hAnsi="Times New Roman"/>
          <w:spacing w:val="-1"/>
          <w:sz w:val="24"/>
        </w:rPr>
        <w:t xml:space="preserve"> </w:t>
      </w:r>
      <w:r>
        <w:rPr>
          <w:rFonts w:ascii="Times New Roman" w:hAnsi="Times New Roman"/>
          <w:sz w:val="24"/>
        </w:rPr>
        <w:t>sil).</w:t>
      </w:r>
    </w:p>
    <w:p w14:paraId="7EFE91E9" w14:textId="77777777" w:rsidR="00F65BCA" w:rsidRDefault="00216117">
      <w:pPr>
        <w:pStyle w:val="Odstavecseseznamem"/>
        <w:numPr>
          <w:ilvl w:val="2"/>
          <w:numId w:val="155"/>
        </w:numPr>
        <w:tabs>
          <w:tab w:val="left" w:pos="1471"/>
        </w:tabs>
        <w:ind w:right="109"/>
        <w:jc w:val="both"/>
        <w:rPr>
          <w:rFonts w:ascii="Times New Roman" w:hAnsi="Times New Roman"/>
          <w:sz w:val="24"/>
        </w:rPr>
      </w:pPr>
      <w:r>
        <w:rPr>
          <w:rFonts w:ascii="Times New Roman" w:hAnsi="Times New Roman"/>
          <w:sz w:val="24"/>
        </w:rPr>
        <w:t>Poškození zaparkovaného vozidla zvířetem (mechanické poškození stojícího vozidla zvířetem</w:t>
      </w:r>
      <w:r>
        <w:rPr>
          <w:rFonts w:ascii="Times New Roman" w:hAnsi="Times New Roman"/>
          <w:spacing w:val="-9"/>
          <w:sz w:val="24"/>
        </w:rPr>
        <w:t xml:space="preserve"> </w:t>
      </w:r>
      <w:r>
        <w:rPr>
          <w:rFonts w:ascii="Times New Roman" w:hAnsi="Times New Roman"/>
          <w:sz w:val="24"/>
        </w:rPr>
        <w:t>a</w:t>
      </w:r>
      <w:r>
        <w:rPr>
          <w:rFonts w:ascii="Times New Roman" w:hAnsi="Times New Roman"/>
          <w:spacing w:val="-10"/>
          <w:sz w:val="24"/>
        </w:rPr>
        <w:t xml:space="preserve"> </w:t>
      </w:r>
      <w:r>
        <w:rPr>
          <w:rFonts w:ascii="Times New Roman" w:hAnsi="Times New Roman"/>
          <w:sz w:val="24"/>
        </w:rPr>
        <w:t>okusem:</w:t>
      </w:r>
      <w:r>
        <w:rPr>
          <w:rFonts w:ascii="Times New Roman" w:hAnsi="Times New Roman"/>
          <w:spacing w:val="-8"/>
          <w:sz w:val="24"/>
        </w:rPr>
        <w:t xml:space="preserve"> </w:t>
      </w:r>
      <w:r>
        <w:rPr>
          <w:rFonts w:ascii="Times New Roman" w:hAnsi="Times New Roman"/>
          <w:sz w:val="24"/>
        </w:rPr>
        <w:t>kabelů,</w:t>
      </w:r>
      <w:r>
        <w:rPr>
          <w:rFonts w:ascii="Times New Roman" w:hAnsi="Times New Roman"/>
          <w:spacing w:val="-10"/>
          <w:sz w:val="24"/>
        </w:rPr>
        <w:t xml:space="preserve"> </w:t>
      </w:r>
      <w:r>
        <w:rPr>
          <w:rFonts w:ascii="Times New Roman" w:hAnsi="Times New Roman"/>
          <w:sz w:val="24"/>
        </w:rPr>
        <w:t>kabelových</w:t>
      </w:r>
      <w:r>
        <w:rPr>
          <w:rFonts w:ascii="Times New Roman" w:hAnsi="Times New Roman"/>
          <w:spacing w:val="-9"/>
          <w:sz w:val="24"/>
        </w:rPr>
        <w:t xml:space="preserve"> </w:t>
      </w:r>
      <w:r>
        <w:rPr>
          <w:rFonts w:ascii="Times New Roman" w:hAnsi="Times New Roman"/>
          <w:sz w:val="24"/>
        </w:rPr>
        <w:t>svazků,</w:t>
      </w:r>
      <w:r>
        <w:rPr>
          <w:rFonts w:ascii="Times New Roman" w:hAnsi="Times New Roman"/>
          <w:spacing w:val="-9"/>
          <w:sz w:val="24"/>
        </w:rPr>
        <w:t xml:space="preserve"> </w:t>
      </w:r>
      <w:r>
        <w:rPr>
          <w:rFonts w:ascii="Times New Roman" w:hAnsi="Times New Roman"/>
          <w:sz w:val="24"/>
        </w:rPr>
        <w:t>brzdové</w:t>
      </w:r>
      <w:r>
        <w:rPr>
          <w:rFonts w:ascii="Times New Roman" w:hAnsi="Times New Roman"/>
          <w:spacing w:val="-11"/>
          <w:sz w:val="24"/>
        </w:rPr>
        <w:t xml:space="preserve"> </w:t>
      </w:r>
      <w:r>
        <w:rPr>
          <w:rFonts w:ascii="Times New Roman" w:hAnsi="Times New Roman"/>
          <w:sz w:val="24"/>
        </w:rPr>
        <w:t>soustavy,</w:t>
      </w:r>
      <w:r>
        <w:rPr>
          <w:rFonts w:ascii="Times New Roman" w:hAnsi="Times New Roman"/>
          <w:spacing w:val="-9"/>
          <w:sz w:val="24"/>
        </w:rPr>
        <w:t xml:space="preserve"> </w:t>
      </w:r>
      <w:r>
        <w:rPr>
          <w:rFonts w:ascii="Times New Roman" w:hAnsi="Times New Roman"/>
          <w:sz w:val="24"/>
        </w:rPr>
        <w:t>chladicí</w:t>
      </w:r>
      <w:r>
        <w:rPr>
          <w:rFonts w:ascii="Times New Roman" w:hAnsi="Times New Roman"/>
          <w:spacing w:val="-8"/>
          <w:sz w:val="24"/>
        </w:rPr>
        <w:t xml:space="preserve"> </w:t>
      </w:r>
      <w:r>
        <w:rPr>
          <w:rFonts w:ascii="Times New Roman" w:hAnsi="Times New Roman"/>
          <w:sz w:val="24"/>
        </w:rPr>
        <w:t>soustavy</w:t>
      </w:r>
      <w:r>
        <w:rPr>
          <w:rFonts w:ascii="Times New Roman" w:hAnsi="Times New Roman"/>
          <w:spacing w:val="-10"/>
          <w:sz w:val="24"/>
        </w:rPr>
        <w:t xml:space="preserve"> </w:t>
      </w:r>
      <w:r>
        <w:rPr>
          <w:rFonts w:ascii="Times New Roman" w:hAnsi="Times New Roman"/>
          <w:sz w:val="24"/>
        </w:rPr>
        <w:t>nebo odhlučnění</w:t>
      </w:r>
      <w:r>
        <w:rPr>
          <w:rFonts w:ascii="Times New Roman" w:hAnsi="Times New Roman"/>
          <w:spacing w:val="-1"/>
          <w:sz w:val="24"/>
        </w:rPr>
        <w:t xml:space="preserve"> </w:t>
      </w:r>
      <w:r>
        <w:rPr>
          <w:rFonts w:ascii="Times New Roman" w:hAnsi="Times New Roman"/>
          <w:sz w:val="24"/>
        </w:rPr>
        <w:t>apod.).</w:t>
      </w:r>
    </w:p>
    <w:p w14:paraId="0730827F" w14:textId="77777777" w:rsidR="00F65BCA" w:rsidRDefault="00216117">
      <w:pPr>
        <w:pStyle w:val="Odstavecseseznamem"/>
        <w:numPr>
          <w:ilvl w:val="2"/>
          <w:numId w:val="155"/>
        </w:numPr>
        <w:tabs>
          <w:tab w:val="left" w:pos="1471"/>
        </w:tabs>
        <w:ind w:hanging="361"/>
        <w:jc w:val="both"/>
        <w:rPr>
          <w:rFonts w:ascii="Times New Roman" w:hAnsi="Times New Roman"/>
          <w:sz w:val="24"/>
        </w:rPr>
      </w:pPr>
      <w:r>
        <w:rPr>
          <w:rFonts w:ascii="Times New Roman" w:hAnsi="Times New Roman"/>
          <w:sz w:val="24"/>
        </w:rPr>
        <w:t>Vandalismus – v důsledku úmyslného jednání třetích</w:t>
      </w:r>
      <w:r>
        <w:rPr>
          <w:rFonts w:ascii="Times New Roman" w:hAnsi="Times New Roman"/>
          <w:spacing w:val="-2"/>
          <w:sz w:val="24"/>
        </w:rPr>
        <w:t xml:space="preserve"> </w:t>
      </w:r>
      <w:r>
        <w:rPr>
          <w:rFonts w:ascii="Times New Roman" w:hAnsi="Times New Roman"/>
          <w:sz w:val="24"/>
        </w:rPr>
        <w:t>osob.</w:t>
      </w:r>
    </w:p>
    <w:p w14:paraId="6B0AF682" w14:textId="77777777" w:rsidR="00F65BCA" w:rsidRDefault="00216117">
      <w:pPr>
        <w:pStyle w:val="Odstavecseseznamem"/>
        <w:numPr>
          <w:ilvl w:val="2"/>
          <w:numId w:val="155"/>
        </w:numPr>
        <w:tabs>
          <w:tab w:val="left" w:pos="1466"/>
        </w:tabs>
        <w:ind w:left="1465" w:hanging="356"/>
        <w:jc w:val="both"/>
        <w:rPr>
          <w:rFonts w:ascii="Times New Roman" w:hAnsi="Times New Roman"/>
          <w:sz w:val="24"/>
        </w:rPr>
      </w:pPr>
      <w:r>
        <w:rPr>
          <w:rFonts w:ascii="Times New Roman" w:hAnsi="Times New Roman"/>
          <w:sz w:val="24"/>
        </w:rPr>
        <w:t>Neoprávněné užití vozidla (užití vozidla proti vůli oprávněné</w:t>
      </w:r>
      <w:r>
        <w:rPr>
          <w:rFonts w:ascii="Times New Roman" w:hAnsi="Times New Roman"/>
          <w:spacing w:val="-7"/>
          <w:sz w:val="24"/>
        </w:rPr>
        <w:t xml:space="preserve"> </w:t>
      </w:r>
      <w:r>
        <w:rPr>
          <w:rFonts w:ascii="Times New Roman" w:hAnsi="Times New Roman"/>
          <w:sz w:val="24"/>
        </w:rPr>
        <w:t>osoby).</w:t>
      </w:r>
    </w:p>
    <w:p w14:paraId="1E9FD828" w14:textId="77777777" w:rsidR="00F65BCA" w:rsidRDefault="00F65BCA">
      <w:pPr>
        <w:pStyle w:val="Zkladntext"/>
        <w:spacing w:before="5"/>
        <w:rPr>
          <w:rFonts w:ascii="Times New Roman"/>
          <w:sz w:val="34"/>
        </w:rPr>
      </w:pPr>
    </w:p>
    <w:p w14:paraId="753444FA" w14:textId="77777777" w:rsidR="00F65BCA" w:rsidRDefault="00216117">
      <w:pPr>
        <w:ind w:left="258" w:right="107"/>
        <w:jc w:val="both"/>
        <w:rPr>
          <w:rFonts w:ascii="Times New Roman" w:hAnsi="Times New Roman"/>
          <w:sz w:val="24"/>
        </w:rPr>
      </w:pPr>
      <w:r>
        <w:rPr>
          <w:rFonts w:ascii="Times New Roman" w:hAnsi="Times New Roman"/>
          <w:sz w:val="24"/>
        </w:rPr>
        <w:t>Pokud  není  uvedeno  v Příloze  č.  1  jinak,  sjednává  se  pro  každé  vozidlo  havarijní  pojištění     v rozsahu základní varianty “All Risk” s těmito</w:t>
      </w:r>
      <w:r>
        <w:rPr>
          <w:rFonts w:ascii="Times New Roman" w:hAnsi="Times New Roman"/>
          <w:spacing w:val="-3"/>
          <w:sz w:val="24"/>
        </w:rPr>
        <w:t xml:space="preserve"> </w:t>
      </w:r>
      <w:r>
        <w:rPr>
          <w:rFonts w:ascii="Times New Roman" w:hAnsi="Times New Roman"/>
          <w:sz w:val="24"/>
        </w:rPr>
        <w:t>parametry:</w:t>
      </w:r>
    </w:p>
    <w:p w14:paraId="714731D7" w14:textId="77777777" w:rsidR="00F65BCA" w:rsidRDefault="00F65BCA">
      <w:pPr>
        <w:pStyle w:val="Zkladntext"/>
        <w:rPr>
          <w:rFonts w:ascii="Times New Roman"/>
          <w:sz w:val="24"/>
        </w:rPr>
      </w:pPr>
    </w:p>
    <w:p w14:paraId="534FEB3B" w14:textId="77777777" w:rsidR="00F65BCA" w:rsidRDefault="00216117">
      <w:pPr>
        <w:ind w:left="258" w:right="1416"/>
        <w:rPr>
          <w:rFonts w:ascii="Times New Roman" w:hAnsi="Times New Roman"/>
          <w:sz w:val="24"/>
        </w:rPr>
      </w:pPr>
      <w:r>
        <w:rPr>
          <w:rFonts w:ascii="Times New Roman" w:hAnsi="Times New Roman"/>
          <w:sz w:val="24"/>
        </w:rPr>
        <w:t>Pojistná hodnota: pro jednotlivá vozidla je uvedena v Příloze č. 1 této pojistné smlouvy. Pojistná hodnota vozidel do 1 roku stáří je stanovena jako nová.</w:t>
      </w:r>
    </w:p>
    <w:p w14:paraId="3C002674" w14:textId="77777777" w:rsidR="00F65BCA" w:rsidRDefault="00216117">
      <w:pPr>
        <w:ind w:left="258" w:right="2497"/>
        <w:rPr>
          <w:rFonts w:ascii="Times New Roman" w:hAnsi="Times New Roman"/>
          <w:sz w:val="24"/>
        </w:rPr>
      </w:pPr>
      <w:r>
        <w:rPr>
          <w:rFonts w:ascii="Times New Roman" w:hAnsi="Times New Roman"/>
          <w:sz w:val="24"/>
        </w:rPr>
        <w:t>Pojistná hodnota vozidel starších 1 roku je stanovená jako obecná (obvyklá). Cena je uvedena včetně DPH.</w:t>
      </w:r>
    </w:p>
    <w:p w14:paraId="6CCFF8D2" w14:textId="77777777" w:rsidR="00F65BCA" w:rsidRDefault="00216117">
      <w:pPr>
        <w:ind w:left="258" w:right="5575"/>
        <w:rPr>
          <w:rFonts w:ascii="Times New Roman" w:hAnsi="Times New Roman"/>
          <w:sz w:val="24"/>
        </w:rPr>
      </w:pPr>
      <w:r>
        <w:rPr>
          <w:rFonts w:ascii="Times New Roman" w:hAnsi="Times New Roman"/>
          <w:sz w:val="24"/>
        </w:rPr>
        <w:t>Spoluúčast: 5%, minimálně však 5.000,- Kč. Územní platnost: dle VPPPMV–F–5/2025. Systém bonus malus nebude uplatňován.</w:t>
      </w:r>
    </w:p>
    <w:p w14:paraId="0189717A" w14:textId="77777777" w:rsidR="00F65BCA" w:rsidRDefault="00F65BCA">
      <w:pPr>
        <w:pStyle w:val="Zkladntext"/>
        <w:rPr>
          <w:rFonts w:ascii="Times New Roman"/>
          <w:sz w:val="20"/>
        </w:rPr>
      </w:pPr>
    </w:p>
    <w:p w14:paraId="10D2F910" w14:textId="77777777" w:rsidR="00F65BCA" w:rsidRDefault="00F65BCA">
      <w:pPr>
        <w:pStyle w:val="Zkladntext"/>
        <w:spacing w:before="1"/>
        <w:rPr>
          <w:rFonts w:ascii="Times New Roman"/>
          <w:sz w:val="20"/>
        </w:rPr>
      </w:pPr>
    </w:p>
    <w:p w14:paraId="08A9A6F2" w14:textId="77777777" w:rsidR="00F65BCA" w:rsidRDefault="00216117">
      <w:pPr>
        <w:ind w:left="147"/>
        <w:jc w:val="center"/>
        <w:rPr>
          <w:sz w:val="16"/>
        </w:rPr>
      </w:pPr>
      <w:r>
        <w:rPr>
          <w:sz w:val="16"/>
        </w:rPr>
        <w:t>2</w:t>
      </w:r>
    </w:p>
    <w:p w14:paraId="6F763F81" w14:textId="77777777" w:rsidR="00F65BCA" w:rsidRDefault="00F65BCA">
      <w:pPr>
        <w:jc w:val="center"/>
        <w:rPr>
          <w:sz w:val="16"/>
        </w:rPr>
        <w:sectPr w:rsidR="00F65BCA">
          <w:pgSz w:w="11900" w:h="16840"/>
          <w:pgMar w:top="1600" w:right="600" w:bottom="280" w:left="1160" w:header="708" w:footer="708" w:gutter="0"/>
          <w:cols w:space="708"/>
        </w:sectPr>
      </w:pPr>
    </w:p>
    <w:p w14:paraId="266F3927" w14:textId="77777777" w:rsidR="00F65BCA" w:rsidRDefault="00216117">
      <w:pPr>
        <w:spacing w:before="75"/>
        <w:ind w:left="258" w:right="108"/>
        <w:jc w:val="both"/>
        <w:rPr>
          <w:rFonts w:ascii="Times New Roman" w:hAnsi="Times New Roman"/>
          <w:sz w:val="24"/>
        </w:rPr>
      </w:pPr>
      <w:r>
        <w:rPr>
          <w:rFonts w:ascii="Times New Roman" w:hAnsi="Times New Roman"/>
          <w:b/>
          <w:sz w:val="24"/>
        </w:rPr>
        <w:lastRenderedPageBreak/>
        <w:t xml:space="preserve">Zabezpečení: </w:t>
      </w:r>
      <w:r>
        <w:rPr>
          <w:rFonts w:ascii="Times New Roman" w:hAnsi="Times New Roman"/>
          <w:sz w:val="24"/>
        </w:rPr>
        <w:t>vozidlo uzamčeno a zabezpečeno proti vniknutí nepovolané osoby, všechna okna včetně střešního uzavřena a aktivovány zabezpečovací systémy, byly-li ve vozidle nainstalovány.</w:t>
      </w:r>
    </w:p>
    <w:p w14:paraId="13F06403" w14:textId="77777777" w:rsidR="00F65BCA" w:rsidRDefault="00216117">
      <w:pPr>
        <w:spacing w:before="120"/>
        <w:ind w:left="258" w:right="107"/>
        <w:jc w:val="both"/>
        <w:rPr>
          <w:rFonts w:ascii="Times New Roman" w:hAnsi="Times New Roman"/>
          <w:sz w:val="24"/>
        </w:rPr>
      </w:pPr>
      <w:r>
        <w:rPr>
          <w:rFonts w:ascii="Times New Roman" w:hAnsi="Times New Roman"/>
          <w:sz w:val="24"/>
        </w:rPr>
        <w:t>Ujednává se, že pojištění se vztahuje u každého vozidla vždy i na polepy, reklamní nápisy, malby všeho druhu, ochranné folie, tunnig apod.. Hodnota předmětů je zahrnuta v pojistné částce vozidla.</w:t>
      </w:r>
    </w:p>
    <w:p w14:paraId="08398E93" w14:textId="77777777" w:rsidR="00F65BCA" w:rsidRDefault="00216117">
      <w:pPr>
        <w:ind w:left="258" w:right="106"/>
        <w:jc w:val="both"/>
        <w:rPr>
          <w:rFonts w:ascii="Times New Roman" w:hAnsi="Times New Roman"/>
          <w:sz w:val="24"/>
        </w:rPr>
      </w:pPr>
      <w:r>
        <w:rPr>
          <w:rFonts w:ascii="Times New Roman" w:hAnsi="Times New Roman"/>
          <w:sz w:val="24"/>
        </w:rPr>
        <w:t>Pojištění se vztahuje u každého vozidla vždy i na standardní, nadstandardní a zvláštní výbavu vozidel nebo</w:t>
      </w:r>
      <w:r>
        <w:rPr>
          <w:rFonts w:ascii="Times New Roman" w:hAnsi="Times New Roman"/>
          <w:spacing w:val="-9"/>
          <w:sz w:val="24"/>
        </w:rPr>
        <w:t xml:space="preserve"> </w:t>
      </w:r>
      <w:r>
        <w:rPr>
          <w:rFonts w:ascii="Times New Roman" w:hAnsi="Times New Roman"/>
          <w:sz w:val="24"/>
        </w:rPr>
        <w:t>jiné</w:t>
      </w:r>
      <w:r>
        <w:rPr>
          <w:rFonts w:ascii="Times New Roman" w:hAnsi="Times New Roman"/>
          <w:spacing w:val="-10"/>
          <w:sz w:val="24"/>
        </w:rPr>
        <w:t xml:space="preserve"> </w:t>
      </w:r>
      <w:r>
        <w:rPr>
          <w:rFonts w:ascii="Times New Roman" w:hAnsi="Times New Roman"/>
          <w:sz w:val="24"/>
        </w:rPr>
        <w:t>předměty</w:t>
      </w:r>
      <w:r>
        <w:rPr>
          <w:rFonts w:ascii="Times New Roman" w:hAnsi="Times New Roman"/>
          <w:spacing w:val="-8"/>
          <w:sz w:val="24"/>
        </w:rPr>
        <w:t xml:space="preserve"> </w:t>
      </w:r>
      <w:r>
        <w:rPr>
          <w:rFonts w:ascii="Times New Roman" w:hAnsi="Times New Roman"/>
          <w:sz w:val="24"/>
        </w:rPr>
        <w:t>vztahujících</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10"/>
          <w:sz w:val="24"/>
        </w:rPr>
        <w:t xml:space="preserve"> </w:t>
      </w:r>
      <w:r>
        <w:rPr>
          <w:rFonts w:ascii="Times New Roman" w:hAnsi="Times New Roman"/>
          <w:sz w:val="24"/>
        </w:rPr>
        <w:t>k</w:t>
      </w:r>
      <w:r>
        <w:rPr>
          <w:rFonts w:ascii="Times New Roman" w:hAnsi="Times New Roman"/>
          <w:spacing w:val="-5"/>
          <w:sz w:val="24"/>
        </w:rPr>
        <w:t xml:space="preserve"> </w:t>
      </w:r>
      <w:r>
        <w:rPr>
          <w:rFonts w:ascii="Times New Roman" w:hAnsi="Times New Roman"/>
          <w:sz w:val="24"/>
        </w:rPr>
        <w:t>vozidlu</w:t>
      </w:r>
      <w:r>
        <w:rPr>
          <w:rFonts w:ascii="Times New Roman" w:hAnsi="Times New Roman"/>
          <w:spacing w:val="-9"/>
          <w:sz w:val="24"/>
        </w:rPr>
        <w:t xml:space="preserve"> </w:t>
      </w:r>
      <w:r>
        <w:rPr>
          <w:rFonts w:ascii="Times New Roman" w:hAnsi="Times New Roman"/>
          <w:sz w:val="24"/>
        </w:rPr>
        <w:t>nebo</w:t>
      </w:r>
      <w:r>
        <w:rPr>
          <w:rFonts w:ascii="Times New Roman" w:hAnsi="Times New Roman"/>
          <w:spacing w:val="-6"/>
          <w:sz w:val="24"/>
        </w:rPr>
        <w:t xml:space="preserve"> </w:t>
      </w:r>
      <w:r>
        <w:rPr>
          <w:rFonts w:ascii="Times New Roman" w:hAnsi="Times New Roman"/>
          <w:sz w:val="24"/>
        </w:rPr>
        <w:t>jeho</w:t>
      </w:r>
      <w:r>
        <w:rPr>
          <w:rFonts w:ascii="Times New Roman" w:hAnsi="Times New Roman"/>
          <w:spacing w:val="-8"/>
          <w:sz w:val="24"/>
        </w:rPr>
        <w:t xml:space="preserve"> </w:t>
      </w:r>
      <w:r>
        <w:rPr>
          <w:rFonts w:ascii="Times New Roman" w:hAnsi="Times New Roman"/>
          <w:sz w:val="24"/>
        </w:rPr>
        <w:t>provozu,</w:t>
      </w:r>
      <w:r>
        <w:rPr>
          <w:rFonts w:ascii="Times New Roman" w:hAnsi="Times New Roman"/>
          <w:spacing w:val="-6"/>
          <w:sz w:val="24"/>
        </w:rPr>
        <w:t xml:space="preserve"> </w:t>
      </w:r>
      <w:r>
        <w:rPr>
          <w:rFonts w:ascii="Times New Roman" w:hAnsi="Times New Roman"/>
          <w:sz w:val="24"/>
        </w:rPr>
        <w:t>jejichž</w:t>
      </w:r>
      <w:r>
        <w:rPr>
          <w:rFonts w:ascii="Times New Roman" w:hAnsi="Times New Roman"/>
          <w:spacing w:val="-7"/>
          <w:sz w:val="24"/>
        </w:rPr>
        <w:t xml:space="preserve"> </w:t>
      </w:r>
      <w:r>
        <w:rPr>
          <w:rFonts w:ascii="Times New Roman" w:hAnsi="Times New Roman"/>
          <w:sz w:val="24"/>
        </w:rPr>
        <w:t>hodnota</w:t>
      </w:r>
      <w:r>
        <w:rPr>
          <w:rFonts w:ascii="Times New Roman" w:hAnsi="Times New Roman"/>
          <w:spacing w:val="-9"/>
          <w:sz w:val="24"/>
        </w:rPr>
        <w:t xml:space="preserve"> </w:t>
      </w:r>
      <w:r>
        <w:rPr>
          <w:rFonts w:ascii="Times New Roman" w:hAnsi="Times New Roman"/>
          <w:sz w:val="24"/>
        </w:rPr>
        <w:t>je</w:t>
      </w:r>
      <w:r>
        <w:rPr>
          <w:rFonts w:ascii="Times New Roman" w:hAnsi="Times New Roman"/>
          <w:spacing w:val="-7"/>
          <w:sz w:val="24"/>
        </w:rPr>
        <w:t xml:space="preserve"> </w:t>
      </w:r>
      <w:r>
        <w:rPr>
          <w:rFonts w:ascii="Times New Roman" w:hAnsi="Times New Roman"/>
          <w:sz w:val="24"/>
        </w:rPr>
        <w:t>zahrnuta</w:t>
      </w:r>
      <w:r>
        <w:rPr>
          <w:rFonts w:ascii="Times New Roman" w:hAnsi="Times New Roman"/>
          <w:spacing w:val="-7"/>
          <w:sz w:val="24"/>
        </w:rPr>
        <w:t xml:space="preserve"> </w:t>
      </w:r>
      <w:r>
        <w:rPr>
          <w:rFonts w:ascii="Times New Roman" w:hAnsi="Times New Roman"/>
          <w:sz w:val="24"/>
        </w:rPr>
        <w:t>v</w:t>
      </w:r>
      <w:r>
        <w:rPr>
          <w:rFonts w:ascii="Times New Roman" w:hAnsi="Times New Roman"/>
          <w:spacing w:val="-8"/>
          <w:sz w:val="24"/>
        </w:rPr>
        <w:t xml:space="preserve"> </w:t>
      </w:r>
      <w:r>
        <w:rPr>
          <w:rFonts w:ascii="Times New Roman" w:hAnsi="Times New Roman"/>
          <w:sz w:val="24"/>
        </w:rPr>
        <w:t>pojistné částce (např. vybavení sanitního vozu, vozidla vybavena zařízením přímého napojení k řídicímu systému platformy</w:t>
      </w:r>
      <w:r>
        <w:rPr>
          <w:rFonts w:ascii="Times New Roman" w:hAnsi="Times New Roman"/>
          <w:spacing w:val="-1"/>
          <w:sz w:val="24"/>
        </w:rPr>
        <w:t xml:space="preserve"> </w:t>
      </w:r>
      <w:r>
        <w:rPr>
          <w:rFonts w:ascii="Times New Roman" w:hAnsi="Times New Roman"/>
          <w:sz w:val="24"/>
        </w:rPr>
        <w:t>Drive-by-wire).</w:t>
      </w:r>
    </w:p>
    <w:p w14:paraId="231F5BD2" w14:textId="77777777" w:rsidR="00F65BCA" w:rsidRDefault="00F65BCA">
      <w:pPr>
        <w:pStyle w:val="Zkladntext"/>
        <w:rPr>
          <w:rFonts w:ascii="Times New Roman"/>
          <w:sz w:val="24"/>
        </w:rPr>
      </w:pPr>
    </w:p>
    <w:p w14:paraId="05124688" w14:textId="77777777" w:rsidR="00F65BCA" w:rsidRDefault="00216117">
      <w:pPr>
        <w:ind w:left="258"/>
        <w:jc w:val="both"/>
        <w:rPr>
          <w:rFonts w:ascii="Times New Roman" w:hAnsi="Times New Roman"/>
          <w:sz w:val="24"/>
        </w:rPr>
      </w:pPr>
      <w:r>
        <w:rPr>
          <w:rFonts w:ascii="Times New Roman" w:hAnsi="Times New Roman"/>
          <w:sz w:val="24"/>
        </w:rPr>
        <w:t>Výluky z tohoto pojištění jsou uvedeny v čl. 26</w:t>
      </w:r>
      <w:r>
        <w:rPr>
          <w:rFonts w:ascii="Times New Roman" w:hAnsi="Times New Roman"/>
          <w:spacing w:val="55"/>
          <w:sz w:val="24"/>
        </w:rPr>
        <w:t xml:space="preserve"> </w:t>
      </w:r>
      <w:r>
        <w:rPr>
          <w:rFonts w:ascii="Times New Roman" w:hAnsi="Times New Roman"/>
          <w:sz w:val="24"/>
        </w:rPr>
        <w:t>VPPPMV–F–5/2025.</w:t>
      </w:r>
    </w:p>
    <w:p w14:paraId="29288E93" w14:textId="77777777" w:rsidR="00F65BCA" w:rsidRDefault="00F65BCA">
      <w:pPr>
        <w:pStyle w:val="Zkladntext"/>
        <w:rPr>
          <w:rFonts w:ascii="Times New Roman"/>
          <w:sz w:val="24"/>
        </w:rPr>
      </w:pPr>
    </w:p>
    <w:p w14:paraId="13F2559A" w14:textId="77777777" w:rsidR="00F65BCA" w:rsidRDefault="00216117">
      <w:pPr>
        <w:pStyle w:val="Odstavecseseznamem"/>
        <w:numPr>
          <w:ilvl w:val="1"/>
          <w:numId w:val="155"/>
        </w:numPr>
        <w:tabs>
          <w:tab w:val="left" w:pos="979"/>
        </w:tabs>
        <w:ind w:left="978" w:hanging="721"/>
        <w:jc w:val="both"/>
        <w:rPr>
          <w:rFonts w:ascii="Times New Roman" w:hAnsi="Times New Roman"/>
          <w:sz w:val="24"/>
        </w:rPr>
      </w:pPr>
      <w:r>
        <w:rPr>
          <w:rFonts w:ascii="Times New Roman" w:hAnsi="Times New Roman"/>
          <w:sz w:val="24"/>
        </w:rPr>
        <w:t>Pojištění odpovědnosti z provozu vozidla (dále jen „pojištění</w:t>
      </w:r>
      <w:r>
        <w:rPr>
          <w:rFonts w:ascii="Times New Roman" w:hAnsi="Times New Roman"/>
          <w:spacing w:val="-7"/>
          <w:sz w:val="24"/>
        </w:rPr>
        <w:t xml:space="preserve"> </w:t>
      </w:r>
      <w:r>
        <w:rPr>
          <w:rFonts w:ascii="Times New Roman" w:hAnsi="Times New Roman"/>
          <w:sz w:val="24"/>
        </w:rPr>
        <w:t>odpovědnosti“)</w:t>
      </w:r>
    </w:p>
    <w:p w14:paraId="52CAB143" w14:textId="77777777" w:rsidR="00F65BCA" w:rsidRDefault="00216117">
      <w:pPr>
        <w:ind w:left="258" w:right="106"/>
        <w:jc w:val="both"/>
        <w:rPr>
          <w:rFonts w:ascii="Times New Roman" w:hAnsi="Times New Roman"/>
          <w:sz w:val="24"/>
        </w:rPr>
      </w:pPr>
      <w:r>
        <w:rPr>
          <w:rFonts w:ascii="Times New Roman" w:hAnsi="Times New Roman"/>
          <w:sz w:val="24"/>
        </w:rPr>
        <w:t>Pojištění</w:t>
      </w:r>
      <w:r>
        <w:rPr>
          <w:rFonts w:ascii="Times New Roman" w:hAnsi="Times New Roman"/>
          <w:spacing w:val="-4"/>
          <w:sz w:val="24"/>
        </w:rPr>
        <w:t xml:space="preserve"> </w:t>
      </w:r>
      <w:r>
        <w:rPr>
          <w:rFonts w:ascii="Times New Roman" w:hAnsi="Times New Roman"/>
          <w:sz w:val="24"/>
        </w:rPr>
        <w:t>se</w:t>
      </w:r>
      <w:r>
        <w:rPr>
          <w:rFonts w:ascii="Times New Roman" w:hAnsi="Times New Roman"/>
          <w:spacing w:val="-5"/>
          <w:sz w:val="24"/>
        </w:rPr>
        <w:t xml:space="preserve"> </w:t>
      </w:r>
      <w:r>
        <w:rPr>
          <w:rFonts w:ascii="Times New Roman" w:hAnsi="Times New Roman"/>
          <w:sz w:val="24"/>
        </w:rPr>
        <w:t>sjednává</w:t>
      </w:r>
      <w:r>
        <w:rPr>
          <w:rFonts w:ascii="Times New Roman" w:hAnsi="Times New Roman"/>
          <w:spacing w:val="-5"/>
          <w:sz w:val="24"/>
        </w:rPr>
        <w:t xml:space="preserve"> </w:t>
      </w:r>
      <w:r>
        <w:rPr>
          <w:rFonts w:ascii="Times New Roman" w:hAnsi="Times New Roman"/>
          <w:sz w:val="24"/>
        </w:rPr>
        <w:t>pro</w:t>
      </w:r>
      <w:r>
        <w:rPr>
          <w:rFonts w:ascii="Times New Roman" w:hAnsi="Times New Roman"/>
          <w:spacing w:val="-2"/>
          <w:sz w:val="24"/>
        </w:rPr>
        <w:t xml:space="preserve"> </w:t>
      </w:r>
      <w:r>
        <w:rPr>
          <w:rFonts w:ascii="Times New Roman" w:hAnsi="Times New Roman"/>
          <w:sz w:val="24"/>
        </w:rPr>
        <w:t>případ</w:t>
      </w:r>
      <w:r>
        <w:rPr>
          <w:rFonts w:ascii="Times New Roman" w:hAnsi="Times New Roman"/>
          <w:spacing w:val="-4"/>
          <w:sz w:val="24"/>
        </w:rPr>
        <w:t xml:space="preserve"> </w:t>
      </w:r>
      <w:r>
        <w:rPr>
          <w:rFonts w:ascii="Times New Roman" w:hAnsi="Times New Roman"/>
          <w:sz w:val="24"/>
        </w:rPr>
        <w:t>právním</w:t>
      </w:r>
      <w:r>
        <w:rPr>
          <w:rFonts w:ascii="Times New Roman" w:hAnsi="Times New Roman"/>
          <w:spacing w:val="-3"/>
          <w:sz w:val="24"/>
        </w:rPr>
        <w:t xml:space="preserve"> </w:t>
      </w:r>
      <w:r>
        <w:rPr>
          <w:rFonts w:ascii="Times New Roman" w:hAnsi="Times New Roman"/>
          <w:sz w:val="24"/>
        </w:rPr>
        <w:t>předpisem</w:t>
      </w:r>
      <w:r>
        <w:rPr>
          <w:rFonts w:ascii="Times New Roman" w:hAnsi="Times New Roman"/>
          <w:spacing w:val="-4"/>
          <w:sz w:val="24"/>
        </w:rPr>
        <w:t xml:space="preserve"> </w:t>
      </w:r>
      <w:r>
        <w:rPr>
          <w:rFonts w:ascii="Times New Roman" w:hAnsi="Times New Roman"/>
          <w:sz w:val="24"/>
        </w:rPr>
        <w:t>stanovené</w:t>
      </w:r>
      <w:r>
        <w:rPr>
          <w:rFonts w:ascii="Times New Roman" w:hAnsi="Times New Roman"/>
          <w:spacing w:val="-5"/>
          <w:sz w:val="24"/>
        </w:rPr>
        <w:t xml:space="preserve"> </w:t>
      </w:r>
      <w:r>
        <w:rPr>
          <w:rFonts w:ascii="Times New Roman" w:hAnsi="Times New Roman"/>
          <w:sz w:val="24"/>
        </w:rPr>
        <w:t>povinnosti</w:t>
      </w:r>
      <w:r>
        <w:rPr>
          <w:rFonts w:ascii="Times New Roman" w:hAnsi="Times New Roman"/>
          <w:spacing w:val="-3"/>
          <w:sz w:val="24"/>
        </w:rPr>
        <w:t xml:space="preserve"> </w:t>
      </w:r>
      <w:r>
        <w:rPr>
          <w:rFonts w:ascii="Times New Roman" w:hAnsi="Times New Roman"/>
          <w:sz w:val="24"/>
        </w:rPr>
        <w:t>nahradit</w:t>
      </w:r>
      <w:r>
        <w:rPr>
          <w:rFonts w:ascii="Times New Roman" w:hAnsi="Times New Roman"/>
          <w:spacing w:val="-4"/>
          <w:sz w:val="24"/>
        </w:rPr>
        <w:t xml:space="preserve"> </w:t>
      </w:r>
      <w:r>
        <w:rPr>
          <w:rFonts w:ascii="Times New Roman" w:hAnsi="Times New Roman"/>
          <w:sz w:val="24"/>
        </w:rPr>
        <w:t>jinému</w:t>
      </w:r>
      <w:r>
        <w:rPr>
          <w:rFonts w:ascii="Times New Roman" w:hAnsi="Times New Roman"/>
          <w:spacing w:val="-4"/>
          <w:sz w:val="24"/>
        </w:rPr>
        <w:t xml:space="preserve"> </w:t>
      </w:r>
      <w:r>
        <w:rPr>
          <w:rFonts w:ascii="Times New Roman" w:hAnsi="Times New Roman"/>
          <w:sz w:val="24"/>
        </w:rPr>
        <w:t>škodu</w:t>
      </w:r>
      <w:r>
        <w:rPr>
          <w:rFonts w:ascii="Times New Roman" w:hAnsi="Times New Roman"/>
          <w:spacing w:val="-3"/>
          <w:sz w:val="24"/>
        </w:rPr>
        <w:t xml:space="preserve"> </w:t>
      </w:r>
      <w:r>
        <w:rPr>
          <w:rFonts w:ascii="Times New Roman" w:hAnsi="Times New Roman"/>
          <w:sz w:val="24"/>
        </w:rPr>
        <w:t>nebo jinou  újmu  vyvolanou  zvláštní   povahou   provozu   vozidla   uvedeného   v Příloze   č.1,   pokud ke škodní události, ze které tato škoda nebo jiná újma vznikla a kterou je pojištěný povinen nahradit, došlo v době trvání</w:t>
      </w:r>
      <w:r>
        <w:rPr>
          <w:rFonts w:ascii="Times New Roman" w:hAnsi="Times New Roman"/>
          <w:spacing w:val="-2"/>
          <w:sz w:val="24"/>
        </w:rPr>
        <w:t xml:space="preserve"> </w:t>
      </w:r>
      <w:r>
        <w:rPr>
          <w:rFonts w:ascii="Times New Roman" w:hAnsi="Times New Roman"/>
          <w:sz w:val="24"/>
        </w:rPr>
        <w:t>pojištění.</w:t>
      </w:r>
    </w:p>
    <w:p w14:paraId="44FF39A5" w14:textId="77777777" w:rsidR="00F65BCA" w:rsidRDefault="00F65BCA">
      <w:pPr>
        <w:pStyle w:val="Zkladntext"/>
        <w:rPr>
          <w:rFonts w:ascii="Times New Roman"/>
          <w:sz w:val="24"/>
        </w:rPr>
      </w:pPr>
    </w:p>
    <w:p w14:paraId="0E5354C6" w14:textId="77777777" w:rsidR="00F65BCA" w:rsidRDefault="00216117">
      <w:pPr>
        <w:ind w:left="258"/>
        <w:rPr>
          <w:rFonts w:ascii="Times New Roman" w:hAnsi="Times New Roman"/>
          <w:sz w:val="24"/>
        </w:rPr>
      </w:pPr>
      <w:r>
        <w:rPr>
          <w:rFonts w:ascii="Times New Roman" w:hAnsi="Times New Roman"/>
          <w:sz w:val="24"/>
        </w:rPr>
        <w:t>Varianta 100 / 100, s limity pojistného</w:t>
      </w:r>
      <w:r>
        <w:rPr>
          <w:rFonts w:ascii="Times New Roman" w:hAnsi="Times New Roman"/>
          <w:spacing w:val="-10"/>
          <w:sz w:val="24"/>
        </w:rPr>
        <w:t xml:space="preserve"> </w:t>
      </w:r>
      <w:r>
        <w:rPr>
          <w:rFonts w:ascii="Times New Roman" w:hAnsi="Times New Roman"/>
          <w:sz w:val="24"/>
        </w:rPr>
        <w:t>plnění</w:t>
      </w:r>
    </w:p>
    <w:p w14:paraId="2DE7DDA3" w14:textId="77777777" w:rsidR="00F65BCA" w:rsidRDefault="00216117">
      <w:pPr>
        <w:ind w:left="258" w:right="4623"/>
        <w:rPr>
          <w:rFonts w:ascii="Times New Roman" w:hAnsi="Times New Roman"/>
          <w:sz w:val="24"/>
        </w:rPr>
      </w:pPr>
      <w:r>
        <w:rPr>
          <w:rFonts w:ascii="Times New Roman" w:hAnsi="Times New Roman"/>
          <w:sz w:val="24"/>
        </w:rPr>
        <w:t>100 mil. Kč u újmy na zdraví nebo vzniklé usmrcením 100 mil. Kč pro škody na majetku a ušlý</w:t>
      </w:r>
      <w:r>
        <w:rPr>
          <w:rFonts w:ascii="Times New Roman" w:hAnsi="Times New Roman"/>
          <w:spacing w:val="-4"/>
          <w:sz w:val="24"/>
        </w:rPr>
        <w:t xml:space="preserve"> </w:t>
      </w:r>
      <w:r>
        <w:rPr>
          <w:rFonts w:ascii="Times New Roman" w:hAnsi="Times New Roman"/>
          <w:sz w:val="24"/>
        </w:rPr>
        <w:t>zisk</w:t>
      </w:r>
    </w:p>
    <w:p w14:paraId="332E886A" w14:textId="77777777" w:rsidR="00F65BCA" w:rsidRDefault="00216117">
      <w:pPr>
        <w:ind w:left="258"/>
        <w:rPr>
          <w:rFonts w:ascii="Times New Roman" w:hAnsi="Times New Roman"/>
          <w:sz w:val="24"/>
        </w:rPr>
      </w:pPr>
      <w:r>
        <w:rPr>
          <w:rFonts w:ascii="Times New Roman" w:hAnsi="Times New Roman"/>
          <w:sz w:val="24"/>
        </w:rPr>
        <w:t>Právní ochrana 20.000,-Kč</w:t>
      </w:r>
    </w:p>
    <w:p w14:paraId="1B3407F4" w14:textId="77777777" w:rsidR="00F65BCA" w:rsidRDefault="00F65BCA">
      <w:pPr>
        <w:pStyle w:val="Zkladntext"/>
        <w:rPr>
          <w:rFonts w:ascii="Times New Roman"/>
          <w:sz w:val="24"/>
        </w:rPr>
      </w:pPr>
    </w:p>
    <w:p w14:paraId="3621CD05" w14:textId="77777777" w:rsidR="00F65BCA" w:rsidRDefault="00216117">
      <w:pPr>
        <w:ind w:left="258"/>
        <w:rPr>
          <w:rFonts w:ascii="Times New Roman" w:hAnsi="Times New Roman"/>
          <w:sz w:val="24"/>
        </w:rPr>
      </w:pPr>
      <w:r>
        <w:rPr>
          <w:rFonts w:ascii="Times New Roman" w:hAnsi="Times New Roman"/>
          <w:sz w:val="24"/>
        </w:rPr>
        <w:t>Územní platnost – území České republiky a území států definovaných příslušným aktuálně platným zákonem o pojištění odpovědnosti z provozu vozidla či prováděcím předpisem.</w:t>
      </w:r>
    </w:p>
    <w:p w14:paraId="49C30731" w14:textId="77777777" w:rsidR="00F65BCA" w:rsidRDefault="00216117">
      <w:pPr>
        <w:ind w:left="258"/>
        <w:rPr>
          <w:rFonts w:ascii="Times New Roman" w:hAnsi="Times New Roman"/>
          <w:sz w:val="24"/>
        </w:rPr>
      </w:pPr>
      <w:r>
        <w:rPr>
          <w:rFonts w:ascii="Times New Roman" w:hAnsi="Times New Roman"/>
          <w:sz w:val="24"/>
        </w:rPr>
        <w:t>Spoluúčast – bez spoluúčasti.</w:t>
      </w:r>
    </w:p>
    <w:p w14:paraId="59F7BC7D" w14:textId="77777777" w:rsidR="00F65BCA" w:rsidRDefault="00F65BCA">
      <w:pPr>
        <w:pStyle w:val="Zkladntext"/>
        <w:rPr>
          <w:rFonts w:ascii="Times New Roman"/>
          <w:sz w:val="24"/>
        </w:rPr>
      </w:pPr>
    </w:p>
    <w:p w14:paraId="1006F183" w14:textId="77777777" w:rsidR="00F65BCA" w:rsidRDefault="00216117">
      <w:pPr>
        <w:ind w:left="258"/>
        <w:rPr>
          <w:rFonts w:ascii="Times New Roman" w:hAnsi="Times New Roman"/>
          <w:sz w:val="24"/>
        </w:rPr>
      </w:pPr>
      <w:r>
        <w:rPr>
          <w:rFonts w:ascii="Times New Roman" w:hAnsi="Times New Roman"/>
          <w:sz w:val="24"/>
        </w:rPr>
        <w:t>Odchylně od platné legislativy se ujednává následující:</w:t>
      </w:r>
    </w:p>
    <w:p w14:paraId="756BE9DB" w14:textId="77777777" w:rsidR="00F65BCA" w:rsidRDefault="00F65BCA">
      <w:pPr>
        <w:pStyle w:val="Zkladntext"/>
        <w:rPr>
          <w:rFonts w:ascii="Times New Roman"/>
          <w:sz w:val="24"/>
        </w:rPr>
      </w:pPr>
    </w:p>
    <w:p w14:paraId="47F76A66" w14:textId="77777777" w:rsidR="00F65BCA" w:rsidRDefault="00216117">
      <w:pPr>
        <w:pStyle w:val="Odstavecseseznamem"/>
        <w:numPr>
          <w:ilvl w:val="0"/>
          <w:numId w:val="154"/>
        </w:numPr>
        <w:tabs>
          <w:tab w:val="left" w:pos="504"/>
        </w:tabs>
        <w:ind w:right="106" w:firstLine="0"/>
        <w:jc w:val="both"/>
        <w:rPr>
          <w:rFonts w:ascii="Times New Roman" w:hAnsi="Times New Roman"/>
          <w:sz w:val="24"/>
        </w:rPr>
      </w:pPr>
      <w:r>
        <w:rPr>
          <w:rFonts w:ascii="Times New Roman" w:hAnsi="Times New Roman"/>
          <w:sz w:val="24"/>
        </w:rPr>
        <w:t>Ujednává se, že odchylně od platné legislativy upravující pojištění odpovědnosti z provozu vozidla (dále jen „ZPOV“) se pojištění vztahuje i na případy činnosti pojištěného vozidla jako pracovního stroje, přičemž se v případě takto způsobené újmy Pojišťovna zavazuje poskytnout pojistné plnění   až</w:t>
      </w:r>
      <w:r>
        <w:rPr>
          <w:rFonts w:ascii="Times New Roman" w:hAnsi="Times New Roman"/>
          <w:spacing w:val="-6"/>
          <w:sz w:val="24"/>
        </w:rPr>
        <w:t xml:space="preserve"> </w:t>
      </w:r>
      <w:r>
        <w:rPr>
          <w:rFonts w:ascii="Times New Roman" w:hAnsi="Times New Roman"/>
          <w:sz w:val="24"/>
        </w:rPr>
        <w:t>do</w:t>
      </w:r>
      <w:r>
        <w:rPr>
          <w:rFonts w:ascii="Times New Roman" w:hAnsi="Times New Roman"/>
          <w:spacing w:val="-5"/>
          <w:sz w:val="24"/>
        </w:rPr>
        <w:t xml:space="preserve"> </w:t>
      </w:r>
      <w:r>
        <w:rPr>
          <w:rFonts w:ascii="Times New Roman" w:hAnsi="Times New Roman"/>
          <w:sz w:val="24"/>
        </w:rPr>
        <w:t>limitu</w:t>
      </w:r>
      <w:r>
        <w:rPr>
          <w:rFonts w:ascii="Times New Roman" w:hAnsi="Times New Roman"/>
          <w:spacing w:val="-7"/>
          <w:sz w:val="24"/>
        </w:rPr>
        <w:t xml:space="preserve"> </w:t>
      </w:r>
      <w:r>
        <w:rPr>
          <w:rFonts w:ascii="Times New Roman" w:hAnsi="Times New Roman"/>
          <w:sz w:val="24"/>
        </w:rPr>
        <w:t>pojistného</w:t>
      </w:r>
      <w:r>
        <w:rPr>
          <w:rFonts w:ascii="Times New Roman" w:hAnsi="Times New Roman"/>
          <w:spacing w:val="-7"/>
          <w:sz w:val="24"/>
        </w:rPr>
        <w:t xml:space="preserve"> </w:t>
      </w:r>
      <w:r>
        <w:rPr>
          <w:rFonts w:ascii="Times New Roman" w:hAnsi="Times New Roman"/>
          <w:sz w:val="24"/>
        </w:rPr>
        <w:t>plnění</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6"/>
          <w:sz w:val="24"/>
        </w:rPr>
        <w:t xml:space="preserve"> </w:t>
      </w:r>
      <w:r>
        <w:rPr>
          <w:rFonts w:ascii="Times New Roman" w:hAnsi="Times New Roman"/>
          <w:sz w:val="24"/>
        </w:rPr>
        <w:t>výši</w:t>
      </w:r>
      <w:r>
        <w:rPr>
          <w:rFonts w:ascii="Times New Roman" w:hAnsi="Times New Roman"/>
          <w:spacing w:val="-4"/>
          <w:sz w:val="24"/>
        </w:rPr>
        <w:t xml:space="preserve"> </w:t>
      </w:r>
      <w:r>
        <w:rPr>
          <w:rFonts w:ascii="Times New Roman" w:hAnsi="Times New Roman"/>
          <w:sz w:val="24"/>
        </w:rPr>
        <w:t>500.000,-</w:t>
      </w:r>
      <w:r>
        <w:rPr>
          <w:rFonts w:ascii="Times New Roman" w:hAnsi="Times New Roman"/>
          <w:spacing w:val="-6"/>
          <w:sz w:val="24"/>
        </w:rPr>
        <w:t xml:space="preserve"> </w:t>
      </w:r>
      <w:r>
        <w:rPr>
          <w:rFonts w:ascii="Times New Roman" w:hAnsi="Times New Roman"/>
          <w:sz w:val="24"/>
        </w:rPr>
        <w:t>Kč.</w:t>
      </w:r>
      <w:r>
        <w:rPr>
          <w:rFonts w:ascii="Times New Roman" w:hAnsi="Times New Roman"/>
          <w:spacing w:val="-5"/>
          <w:sz w:val="24"/>
        </w:rPr>
        <w:t xml:space="preserve"> </w:t>
      </w:r>
      <w:r>
        <w:rPr>
          <w:rFonts w:ascii="Times New Roman" w:hAnsi="Times New Roman"/>
          <w:sz w:val="24"/>
        </w:rPr>
        <w:t>Limit</w:t>
      </w:r>
      <w:r>
        <w:rPr>
          <w:rFonts w:ascii="Times New Roman" w:hAnsi="Times New Roman"/>
          <w:spacing w:val="-4"/>
          <w:sz w:val="24"/>
        </w:rPr>
        <w:t xml:space="preserve"> </w:t>
      </w:r>
      <w:r>
        <w:rPr>
          <w:rFonts w:ascii="Times New Roman" w:hAnsi="Times New Roman"/>
          <w:sz w:val="24"/>
        </w:rPr>
        <w:t>pojistného</w:t>
      </w:r>
      <w:r>
        <w:rPr>
          <w:rFonts w:ascii="Times New Roman" w:hAnsi="Times New Roman"/>
          <w:spacing w:val="-5"/>
          <w:sz w:val="24"/>
        </w:rPr>
        <w:t xml:space="preserve"> </w:t>
      </w:r>
      <w:r>
        <w:rPr>
          <w:rFonts w:ascii="Times New Roman" w:hAnsi="Times New Roman"/>
          <w:sz w:val="24"/>
        </w:rPr>
        <w:t>plnění</w:t>
      </w:r>
      <w:r>
        <w:rPr>
          <w:rFonts w:ascii="Times New Roman" w:hAnsi="Times New Roman"/>
          <w:spacing w:val="-4"/>
          <w:sz w:val="24"/>
        </w:rPr>
        <w:t xml:space="preserve"> </w:t>
      </w:r>
      <w:r>
        <w:rPr>
          <w:rFonts w:ascii="Times New Roman" w:hAnsi="Times New Roman"/>
          <w:sz w:val="24"/>
        </w:rPr>
        <w:t>uvedený</w:t>
      </w:r>
      <w:r>
        <w:rPr>
          <w:rFonts w:ascii="Times New Roman" w:hAnsi="Times New Roman"/>
          <w:spacing w:val="-5"/>
          <w:sz w:val="24"/>
        </w:rPr>
        <w:t xml:space="preserve"> </w:t>
      </w:r>
      <w:r>
        <w:rPr>
          <w:rFonts w:ascii="Times New Roman" w:hAnsi="Times New Roman"/>
          <w:sz w:val="24"/>
        </w:rPr>
        <w:t>v</w:t>
      </w:r>
      <w:r>
        <w:rPr>
          <w:rFonts w:ascii="Times New Roman" w:hAnsi="Times New Roman"/>
          <w:spacing w:val="-5"/>
          <w:sz w:val="24"/>
        </w:rPr>
        <w:t xml:space="preserve"> </w:t>
      </w:r>
      <w:r>
        <w:rPr>
          <w:rFonts w:ascii="Times New Roman" w:hAnsi="Times New Roman"/>
          <w:sz w:val="24"/>
        </w:rPr>
        <w:t>předchozí</w:t>
      </w:r>
      <w:r>
        <w:rPr>
          <w:rFonts w:ascii="Times New Roman" w:hAnsi="Times New Roman"/>
          <w:spacing w:val="-4"/>
          <w:sz w:val="24"/>
        </w:rPr>
        <w:t xml:space="preserve"> </w:t>
      </w:r>
      <w:r>
        <w:rPr>
          <w:rFonts w:ascii="Times New Roman" w:hAnsi="Times New Roman"/>
          <w:sz w:val="24"/>
        </w:rPr>
        <w:t>větě platí na pojistné období  a  kumulativně  pro  všechny  typy  újem  uvedených  v  ZPOV.  Pojištění  se nevztahuje na případy, kdy je újma způsobena v souvislosti s opravou nebo údržbou pojištěného vozidla,</w:t>
      </w:r>
    </w:p>
    <w:p w14:paraId="79B99DFF" w14:textId="77777777" w:rsidR="00F65BCA" w:rsidRDefault="00F65BCA">
      <w:pPr>
        <w:pStyle w:val="Zkladntext"/>
        <w:rPr>
          <w:rFonts w:ascii="Times New Roman"/>
          <w:sz w:val="24"/>
        </w:rPr>
      </w:pPr>
    </w:p>
    <w:p w14:paraId="60EF42C2" w14:textId="77777777" w:rsidR="00F65BCA" w:rsidRDefault="00216117">
      <w:pPr>
        <w:pStyle w:val="Odstavecseseznamem"/>
        <w:numPr>
          <w:ilvl w:val="0"/>
          <w:numId w:val="154"/>
        </w:numPr>
        <w:tabs>
          <w:tab w:val="left" w:pos="511"/>
        </w:tabs>
        <w:spacing w:before="1"/>
        <w:ind w:right="106" w:firstLine="0"/>
        <w:jc w:val="both"/>
        <w:rPr>
          <w:rFonts w:ascii="Times New Roman" w:hAnsi="Times New Roman"/>
          <w:sz w:val="24"/>
        </w:rPr>
      </w:pPr>
      <w:r>
        <w:rPr>
          <w:rFonts w:ascii="Times New Roman" w:hAnsi="Times New Roman"/>
          <w:sz w:val="24"/>
        </w:rPr>
        <w:t>ujednává</w:t>
      </w:r>
      <w:r>
        <w:rPr>
          <w:rFonts w:ascii="Times New Roman" w:hAnsi="Times New Roman"/>
          <w:spacing w:val="-11"/>
          <w:sz w:val="24"/>
        </w:rPr>
        <w:t xml:space="preserve"> </w:t>
      </w:r>
      <w:r>
        <w:rPr>
          <w:rFonts w:ascii="Times New Roman" w:hAnsi="Times New Roman"/>
          <w:sz w:val="24"/>
        </w:rPr>
        <w:t>se,</w:t>
      </w:r>
      <w:r>
        <w:rPr>
          <w:rFonts w:ascii="Times New Roman" w:hAnsi="Times New Roman"/>
          <w:spacing w:val="-10"/>
          <w:sz w:val="24"/>
        </w:rPr>
        <w:t xml:space="preserve"> </w:t>
      </w:r>
      <w:r>
        <w:rPr>
          <w:rFonts w:ascii="Times New Roman" w:hAnsi="Times New Roman"/>
          <w:sz w:val="24"/>
        </w:rPr>
        <w:t>že</w:t>
      </w:r>
      <w:r>
        <w:rPr>
          <w:rFonts w:ascii="Times New Roman" w:hAnsi="Times New Roman"/>
          <w:spacing w:val="-10"/>
          <w:sz w:val="24"/>
        </w:rPr>
        <w:t xml:space="preserve"> </w:t>
      </w:r>
      <w:r>
        <w:rPr>
          <w:rFonts w:ascii="Times New Roman" w:hAnsi="Times New Roman"/>
          <w:sz w:val="24"/>
        </w:rPr>
        <w:t>Pojišťovna</w:t>
      </w:r>
      <w:r>
        <w:rPr>
          <w:rFonts w:ascii="Times New Roman" w:hAnsi="Times New Roman"/>
          <w:spacing w:val="-11"/>
          <w:sz w:val="24"/>
        </w:rPr>
        <w:t xml:space="preserve"> </w:t>
      </w:r>
      <w:r>
        <w:rPr>
          <w:rFonts w:ascii="Times New Roman" w:hAnsi="Times New Roman"/>
          <w:sz w:val="24"/>
        </w:rPr>
        <w:t>poskytne</w:t>
      </w:r>
      <w:r>
        <w:rPr>
          <w:rFonts w:ascii="Times New Roman" w:hAnsi="Times New Roman"/>
          <w:spacing w:val="-10"/>
          <w:sz w:val="24"/>
        </w:rPr>
        <w:t xml:space="preserve"> </w:t>
      </w:r>
      <w:r>
        <w:rPr>
          <w:rFonts w:ascii="Times New Roman" w:hAnsi="Times New Roman"/>
          <w:sz w:val="24"/>
        </w:rPr>
        <w:t>pojistné</w:t>
      </w:r>
      <w:r>
        <w:rPr>
          <w:rFonts w:ascii="Times New Roman" w:hAnsi="Times New Roman"/>
          <w:spacing w:val="-11"/>
          <w:sz w:val="24"/>
        </w:rPr>
        <w:t xml:space="preserve"> </w:t>
      </w:r>
      <w:r>
        <w:rPr>
          <w:rFonts w:ascii="Times New Roman" w:hAnsi="Times New Roman"/>
          <w:sz w:val="24"/>
        </w:rPr>
        <w:t>plnění</w:t>
      </w:r>
      <w:r>
        <w:rPr>
          <w:rFonts w:ascii="Times New Roman" w:hAnsi="Times New Roman"/>
          <w:spacing w:val="-9"/>
          <w:sz w:val="24"/>
        </w:rPr>
        <w:t xml:space="preserve"> </w:t>
      </w:r>
      <w:r>
        <w:rPr>
          <w:rFonts w:ascii="Times New Roman" w:hAnsi="Times New Roman"/>
          <w:sz w:val="24"/>
        </w:rPr>
        <w:t>v</w:t>
      </w:r>
      <w:r>
        <w:rPr>
          <w:rFonts w:ascii="Times New Roman" w:hAnsi="Times New Roman"/>
          <w:spacing w:val="-9"/>
          <w:sz w:val="24"/>
        </w:rPr>
        <w:t xml:space="preserve"> </w:t>
      </w:r>
      <w:r>
        <w:rPr>
          <w:rFonts w:ascii="Times New Roman" w:hAnsi="Times New Roman"/>
          <w:sz w:val="24"/>
        </w:rPr>
        <w:t>případě,</w:t>
      </w:r>
      <w:r>
        <w:rPr>
          <w:rFonts w:ascii="Times New Roman" w:hAnsi="Times New Roman"/>
          <w:spacing w:val="-10"/>
          <w:sz w:val="24"/>
        </w:rPr>
        <w:t xml:space="preserve"> </w:t>
      </w:r>
      <w:r>
        <w:rPr>
          <w:rFonts w:ascii="Times New Roman" w:hAnsi="Times New Roman"/>
          <w:sz w:val="24"/>
        </w:rPr>
        <w:t>kdy</w:t>
      </w:r>
      <w:r>
        <w:rPr>
          <w:rFonts w:ascii="Times New Roman" w:hAnsi="Times New Roman"/>
          <w:spacing w:val="-9"/>
          <w:sz w:val="24"/>
        </w:rPr>
        <w:t xml:space="preserve"> </w:t>
      </w:r>
      <w:r>
        <w:rPr>
          <w:rFonts w:ascii="Times New Roman" w:hAnsi="Times New Roman"/>
          <w:sz w:val="24"/>
        </w:rPr>
        <w:t>v</w:t>
      </w:r>
      <w:r>
        <w:rPr>
          <w:rFonts w:ascii="Times New Roman" w:hAnsi="Times New Roman"/>
          <w:spacing w:val="-10"/>
          <w:sz w:val="24"/>
        </w:rPr>
        <w:t xml:space="preserve"> </w:t>
      </w:r>
      <w:r>
        <w:rPr>
          <w:rFonts w:ascii="Times New Roman" w:hAnsi="Times New Roman"/>
          <w:sz w:val="24"/>
        </w:rPr>
        <w:t>souvislosti</w:t>
      </w:r>
      <w:r>
        <w:rPr>
          <w:rFonts w:ascii="Times New Roman" w:hAnsi="Times New Roman"/>
          <w:spacing w:val="-9"/>
          <w:sz w:val="24"/>
        </w:rPr>
        <w:t xml:space="preserve"> </w:t>
      </w:r>
      <w:r>
        <w:rPr>
          <w:rFonts w:ascii="Times New Roman" w:hAnsi="Times New Roman"/>
          <w:sz w:val="24"/>
        </w:rPr>
        <w:t>s</w:t>
      </w:r>
      <w:r>
        <w:rPr>
          <w:rFonts w:ascii="Times New Roman" w:hAnsi="Times New Roman"/>
          <w:spacing w:val="-11"/>
          <w:sz w:val="24"/>
        </w:rPr>
        <w:t xml:space="preserve"> </w:t>
      </w:r>
      <w:r>
        <w:rPr>
          <w:rFonts w:ascii="Times New Roman" w:hAnsi="Times New Roman"/>
          <w:sz w:val="24"/>
        </w:rPr>
        <w:t>dopravní</w:t>
      </w:r>
      <w:r>
        <w:rPr>
          <w:rFonts w:ascii="Times New Roman" w:hAnsi="Times New Roman"/>
          <w:spacing w:val="-9"/>
          <w:sz w:val="24"/>
        </w:rPr>
        <w:t xml:space="preserve"> </w:t>
      </w:r>
      <w:r>
        <w:rPr>
          <w:rFonts w:ascii="Times New Roman" w:hAnsi="Times New Roman"/>
          <w:sz w:val="24"/>
        </w:rPr>
        <w:t>nehodou pojištěného vozidla dojde k poškození, zničení nebo ztrátě zavazadel osob cestujících vozidlem umístěných  v  nákladovém  prostoru  určeném  na  převoz  zavazadel.  Pojištění  se   řídí  pododdílem 6 VPPPMV-F-5/2025. Odchylně od  ujednání ve VPPPMV-F-5/2025, čl.  48, odst.  1,  se</w:t>
      </w:r>
      <w:r>
        <w:rPr>
          <w:rFonts w:ascii="Times New Roman" w:hAnsi="Times New Roman"/>
          <w:spacing w:val="-10"/>
          <w:sz w:val="24"/>
        </w:rPr>
        <w:t xml:space="preserve"> </w:t>
      </w:r>
      <w:r>
        <w:rPr>
          <w:rFonts w:ascii="Times New Roman" w:hAnsi="Times New Roman"/>
          <w:sz w:val="24"/>
        </w:rPr>
        <w:t>ujednává,</w:t>
      </w:r>
      <w:r>
        <w:rPr>
          <w:rFonts w:ascii="Times New Roman" w:hAnsi="Times New Roman"/>
          <w:spacing w:val="-6"/>
          <w:sz w:val="24"/>
        </w:rPr>
        <w:t xml:space="preserve"> </w:t>
      </w:r>
      <w:r>
        <w:rPr>
          <w:rFonts w:ascii="Times New Roman" w:hAnsi="Times New Roman"/>
          <w:sz w:val="24"/>
        </w:rPr>
        <w:t>že</w:t>
      </w:r>
      <w:r>
        <w:rPr>
          <w:rFonts w:ascii="Times New Roman" w:hAnsi="Times New Roman"/>
          <w:spacing w:val="-10"/>
          <w:sz w:val="24"/>
        </w:rPr>
        <w:t xml:space="preserve"> </w:t>
      </w:r>
      <w:r>
        <w:rPr>
          <w:rFonts w:ascii="Times New Roman" w:hAnsi="Times New Roman"/>
          <w:sz w:val="24"/>
        </w:rPr>
        <w:t>se</w:t>
      </w:r>
      <w:r>
        <w:rPr>
          <w:rFonts w:ascii="Times New Roman" w:hAnsi="Times New Roman"/>
          <w:spacing w:val="-10"/>
          <w:sz w:val="24"/>
        </w:rPr>
        <w:t xml:space="preserve"> </w:t>
      </w:r>
      <w:r>
        <w:rPr>
          <w:rFonts w:ascii="Times New Roman" w:hAnsi="Times New Roman"/>
          <w:sz w:val="24"/>
        </w:rPr>
        <w:t>pojištění</w:t>
      </w:r>
      <w:r>
        <w:rPr>
          <w:rFonts w:ascii="Times New Roman" w:hAnsi="Times New Roman"/>
          <w:spacing w:val="-7"/>
          <w:sz w:val="24"/>
        </w:rPr>
        <w:t xml:space="preserve"> </w:t>
      </w:r>
      <w:r>
        <w:rPr>
          <w:rFonts w:ascii="Times New Roman" w:hAnsi="Times New Roman"/>
          <w:sz w:val="24"/>
        </w:rPr>
        <w:t>sjednává</w:t>
      </w:r>
      <w:r>
        <w:rPr>
          <w:rFonts w:ascii="Times New Roman" w:hAnsi="Times New Roman"/>
          <w:spacing w:val="-7"/>
          <w:sz w:val="24"/>
        </w:rPr>
        <w:t xml:space="preserve"> </w:t>
      </w:r>
      <w:r>
        <w:rPr>
          <w:rFonts w:ascii="Times New Roman" w:hAnsi="Times New Roman"/>
          <w:sz w:val="24"/>
        </w:rPr>
        <w:t>pouze</w:t>
      </w:r>
      <w:r>
        <w:rPr>
          <w:rFonts w:ascii="Times New Roman" w:hAnsi="Times New Roman"/>
          <w:spacing w:val="-7"/>
          <w:sz w:val="24"/>
        </w:rPr>
        <w:t xml:space="preserve"> </w:t>
      </w:r>
      <w:r>
        <w:rPr>
          <w:rFonts w:ascii="Times New Roman" w:hAnsi="Times New Roman"/>
          <w:sz w:val="24"/>
        </w:rPr>
        <w:t>pro</w:t>
      </w:r>
      <w:r>
        <w:rPr>
          <w:rFonts w:ascii="Times New Roman" w:hAnsi="Times New Roman"/>
          <w:spacing w:val="-6"/>
          <w:sz w:val="24"/>
        </w:rPr>
        <w:t xml:space="preserve"> </w:t>
      </w:r>
      <w:r>
        <w:rPr>
          <w:rFonts w:ascii="Times New Roman" w:hAnsi="Times New Roman"/>
          <w:sz w:val="24"/>
        </w:rPr>
        <w:t>pojistná</w:t>
      </w:r>
      <w:r>
        <w:rPr>
          <w:rFonts w:ascii="Times New Roman" w:hAnsi="Times New Roman"/>
          <w:spacing w:val="-10"/>
          <w:sz w:val="24"/>
        </w:rPr>
        <w:t xml:space="preserve"> </w:t>
      </w:r>
      <w:r>
        <w:rPr>
          <w:rFonts w:ascii="Times New Roman" w:hAnsi="Times New Roman"/>
          <w:sz w:val="24"/>
        </w:rPr>
        <w:t>nebezpečí</w:t>
      </w:r>
      <w:r>
        <w:rPr>
          <w:rFonts w:ascii="Times New Roman" w:hAnsi="Times New Roman"/>
          <w:spacing w:val="-5"/>
          <w:sz w:val="24"/>
        </w:rPr>
        <w:t xml:space="preserve"> </w:t>
      </w:r>
      <w:r>
        <w:rPr>
          <w:rFonts w:ascii="Times New Roman" w:hAnsi="Times New Roman"/>
          <w:sz w:val="24"/>
        </w:rPr>
        <w:t>ztráta</w:t>
      </w:r>
      <w:r>
        <w:rPr>
          <w:rFonts w:ascii="Times New Roman" w:hAnsi="Times New Roman"/>
          <w:spacing w:val="-10"/>
          <w:sz w:val="24"/>
        </w:rPr>
        <w:t xml:space="preserve"> </w:t>
      </w:r>
      <w:r>
        <w:rPr>
          <w:rFonts w:ascii="Times New Roman" w:hAnsi="Times New Roman"/>
          <w:sz w:val="24"/>
        </w:rPr>
        <w:t>při</w:t>
      </w:r>
      <w:r>
        <w:rPr>
          <w:rFonts w:ascii="Times New Roman" w:hAnsi="Times New Roman"/>
          <w:spacing w:val="-3"/>
          <w:sz w:val="24"/>
        </w:rPr>
        <w:t xml:space="preserve"> </w:t>
      </w:r>
      <w:r>
        <w:rPr>
          <w:rFonts w:ascii="Times New Roman" w:hAnsi="Times New Roman"/>
          <w:sz w:val="24"/>
        </w:rPr>
        <w:t>dopravní</w:t>
      </w:r>
      <w:r>
        <w:rPr>
          <w:rFonts w:ascii="Times New Roman" w:hAnsi="Times New Roman"/>
          <w:spacing w:val="-8"/>
          <w:sz w:val="24"/>
        </w:rPr>
        <w:t xml:space="preserve"> </w:t>
      </w:r>
      <w:r>
        <w:rPr>
          <w:rFonts w:ascii="Times New Roman" w:hAnsi="Times New Roman"/>
          <w:sz w:val="24"/>
        </w:rPr>
        <w:t>nehodě</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9"/>
          <w:sz w:val="24"/>
        </w:rPr>
        <w:t xml:space="preserve"> </w:t>
      </w:r>
      <w:r>
        <w:rPr>
          <w:rFonts w:ascii="Times New Roman" w:hAnsi="Times New Roman"/>
          <w:sz w:val="24"/>
        </w:rPr>
        <w:t>zničení nebo poškození při dopravní nehodě. Pojištění se sjednává s limitem pojistného plnění ve výši 500.000,- Kč na pojistnou událost, bez spoluúčasti</w:t>
      </w:r>
      <w:r>
        <w:rPr>
          <w:rFonts w:ascii="Times New Roman" w:hAnsi="Times New Roman"/>
          <w:spacing w:val="-5"/>
          <w:sz w:val="24"/>
        </w:rPr>
        <w:t xml:space="preserve"> </w:t>
      </w:r>
      <w:r>
        <w:rPr>
          <w:rFonts w:ascii="Times New Roman" w:hAnsi="Times New Roman"/>
          <w:sz w:val="24"/>
        </w:rPr>
        <w:t>pojištěného,</w:t>
      </w:r>
    </w:p>
    <w:p w14:paraId="55E107E2" w14:textId="77777777" w:rsidR="00F65BCA" w:rsidRDefault="00F65BCA">
      <w:pPr>
        <w:pStyle w:val="Zkladntext"/>
        <w:rPr>
          <w:rFonts w:ascii="Times New Roman"/>
          <w:sz w:val="24"/>
        </w:rPr>
      </w:pPr>
    </w:p>
    <w:p w14:paraId="34F84929" w14:textId="77777777" w:rsidR="00F65BCA" w:rsidRDefault="00216117">
      <w:pPr>
        <w:pStyle w:val="Odstavecseseznamem"/>
        <w:numPr>
          <w:ilvl w:val="0"/>
          <w:numId w:val="154"/>
        </w:numPr>
        <w:tabs>
          <w:tab w:val="left" w:pos="501"/>
        </w:tabs>
        <w:ind w:right="108" w:firstLine="0"/>
        <w:jc w:val="both"/>
        <w:rPr>
          <w:rFonts w:ascii="Times New Roman" w:hAnsi="Times New Roman"/>
          <w:sz w:val="24"/>
        </w:rPr>
      </w:pPr>
      <w:r>
        <w:rPr>
          <w:rFonts w:ascii="Times New Roman" w:hAnsi="Times New Roman"/>
          <w:sz w:val="24"/>
        </w:rPr>
        <w:t>ujednává</w:t>
      </w:r>
      <w:r>
        <w:rPr>
          <w:rFonts w:ascii="Times New Roman" w:hAnsi="Times New Roman"/>
          <w:spacing w:val="-5"/>
          <w:sz w:val="24"/>
        </w:rPr>
        <w:t xml:space="preserve"> </w:t>
      </w:r>
      <w:r>
        <w:rPr>
          <w:rFonts w:ascii="Times New Roman" w:hAnsi="Times New Roman"/>
          <w:sz w:val="24"/>
        </w:rPr>
        <w:t>se,</w:t>
      </w:r>
      <w:r>
        <w:rPr>
          <w:rFonts w:ascii="Times New Roman" w:hAnsi="Times New Roman"/>
          <w:spacing w:val="-4"/>
          <w:sz w:val="24"/>
        </w:rPr>
        <w:t xml:space="preserve"> </w:t>
      </w:r>
      <w:r>
        <w:rPr>
          <w:rFonts w:ascii="Times New Roman" w:hAnsi="Times New Roman"/>
          <w:sz w:val="24"/>
        </w:rPr>
        <w:t>že</w:t>
      </w:r>
      <w:r>
        <w:rPr>
          <w:rFonts w:ascii="Times New Roman" w:hAnsi="Times New Roman"/>
          <w:spacing w:val="-5"/>
          <w:sz w:val="24"/>
        </w:rPr>
        <w:t xml:space="preserve"> </w:t>
      </w:r>
      <w:r>
        <w:rPr>
          <w:rFonts w:ascii="Times New Roman" w:hAnsi="Times New Roman"/>
          <w:sz w:val="24"/>
        </w:rPr>
        <w:t>Pojišťovna</w:t>
      </w:r>
      <w:r>
        <w:rPr>
          <w:rFonts w:ascii="Times New Roman" w:hAnsi="Times New Roman"/>
          <w:spacing w:val="-4"/>
          <w:sz w:val="24"/>
        </w:rPr>
        <w:t xml:space="preserve"> </w:t>
      </w:r>
      <w:r>
        <w:rPr>
          <w:rFonts w:ascii="Times New Roman" w:hAnsi="Times New Roman"/>
          <w:sz w:val="24"/>
        </w:rPr>
        <w:t>poskytne</w:t>
      </w:r>
      <w:r>
        <w:rPr>
          <w:rFonts w:ascii="Times New Roman" w:hAnsi="Times New Roman"/>
          <w:spacing w:val="-5"/>
          <w:sz w:val="24"/>
        </w:rPr>
        <w:t xml:space="preserve"> </w:t>
      </w:r>
      <w:r>
        <w:rPr>
          <w:rFonts w:ascii="Times New Roman" w:hAnsi="Times New Roman"/>
          <w:sz w:val="24"/>
        </w:rPr>
        <w:t>pojistné</w:t>
      </w:r>
      <w:r>
        <w:rPr>
          <w:rFonts w:ascii="Times New Roman" w:hAnsi="Times New Roman"/>
          <w:spacing w:val="-5"/>
          <w:sz w:val="24"/>
        </w:rPr>
        <w:t xml:space="preserve"> </w:t>
      </w:r>
      <w:r>
        <w:rPr>
          <w:rFonts w:ascii="Times New Roman" w:hAnsi="Times New Roman"/>
          <w:sz w:val="24"/>
        </w:rPr>
        <w:t>plnění</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4"/>
          <w:sz w:val="24"/>
        </w:rPr>
        <w:t xml:space="preserve"> </w:t>
      </w:r>
      <w:r>
        <w:rPr>
          <w:rFonts w:ascii="Times New Roman" w:hAnsi="Times New Roman"/>
          <w:sz w:val="24"/>
        </w:rPr>
        <w:t>případě,</w:t>
      </w:r>
      <w:r>
        <w:rPr>
          <w:rFonts w:ascii="Times New Roman" w:hAnsi="Times New Roman"/>
          <w:spacing w:val="-4"/>
          <w:sz w:val="24"/>
        </w:rPr>
        <w:t xml:space="preserve"> </w:t>
      </w:r>
      <w:r>
        <w:rPr>
          <w:rFonts w:ascii="Times New Roman" w:hAnsi="Times New Roman"/>
          <w:sz w:val="24"/>
        </w:rPr>
        <w:t>kdy</w:t>
      </w:r>
      <w:r>
        <w:rPr>
          <w:rFonts w:ascii="Times New Roman" w:hAnsi="Times New Roman"/>
          <w:spacing w:val="-3"/>
          <w:sz w:val="24"/>
        </w:rPr>
        <w:t xml:space="preserve"> </w:t>
      </w:r>
      <w:r>
        <w:rPr>
          <w:rFonts w:ascii="Times New Roman" w:hAnsi="Times New Roman"/>
          <w:sz w:val="24"/>
        </w:rPr>
        <w:t>dojde</w:t>
      </w:r>
      <w:r>
        <w:rPr>
          <w:rFonts w:ascii="Times New Roman" w:hAnsi="Times New Roman"/>
          <w:spacing w:val="-2"/>
          <w:sz w:val="24"/>
        </w:rPr>
        <w:t xml:space="preserve"> </w:t>
      </w:r>
      <w:r>
        <w:rPr>
          <w:rFonts w:ascii="Times New Roman" w:hAnsi="Times New Roman"/>
          <w:sz w:val="24"/>
        </w:rPr>
        <w:t>k</w:t>
      </w:r>
      <w:r>
        <w:rPr>
          <w:rFonts w:ascii="Times New Roman" w:hAnsi="Times New Roman"/>
          <w:spacing w:val="-4"/>
          <w:sz w:val="24"/>
        </w:rPr>
        <w:t xml:space="preserve"> </w:t>
      </w:r>
      <w:r>
        <w:rPr>
          <w:rFonts w:ascii="Times New Roman" w:hAnsi="Times New Roman"/>
          <w:sz w:val="24"/>
        </w:rPr>
        <w:t>poškození,</w:t>
      </w:r>
      <w:r>
        <w:rPr>
          <w:rFonts w:ascii="Times New Roman" w:hAnsi="Times New Roman"/>
          <w:spacing w:val="-4"/>
          <w:sz w:val="24"/>
        </w:rPr>
        <w:t xml:space="preserve"> </w:t>
      </w:r>
      <w:r>
        <w:rPr>
          <w:rFonts w:ascii="Times New Roman" w:hAnsi="Times New Roman"/>
          <w:sz w:val="24"/>
        </w:rPr>
        <w:t>zničení</w:t>
      </w:r>
      <w:r>
        <w:rPr>
          <w:rFonts w:ascii="Times New Roman" w:hAnsi="Times New Roman"/>
          <w:spacing w:val="-2"/>
          <w:sz w:val="24"/>
        </w:rPr>
        <w:t xml:space="preserve"> </w:t>
      </w:r>
      <w:r>
        <w:rPr>
          <w:rFonts w:ascii="Times New Roman" w:hAnsi="Times New Roman"/>
          <w:sz w:val="24"/>
        </w:rPr>
        <w:t>nebo ztrátě osobních věcí řidiče v souvislosti s dopravní nehodou pojištěného vozidla. Pojištění se řídí pododdílem 6 VPPPMV-F-5/2025. Odchylně od ujednání  ve VPPPMV-F-5/2025,  čl.  48  odst.  1, se</w:t>
      </w:r>
      <w:r>
        <w:rPr>
          <w:rFonts w:ascii="Times New Roman" w:hAnsi="Times New Roman"/>
          <w:spacing w:val="-10"/>
          <w:sz w:val="24"/>
        </w:rPr>
        <w:t xml:space="preserve"> </w:t>
      </w:r>
      <w:r>
        <w:rPr>
          <w:rFonts w:ascii="Times New Roman" w:hAnsi="Times New Roman"/>
          <w:sz w:val="24"/>
        </w:rPr>
        <w:t>ujednává,</w:t>
      </w:r>
      <w:r>
        <w:rPr>
          <w:rFonts w:ascii="Times New Roman" w:hAnsi="Times New Roman"/>
          <w:spacing w:val="-6"/>
          <w:sz w:val="24"/>
        </w:rPr>
        <w:t xml:space="preserve"> </w:t>
      </w:r>
      <w:r>
        <w:rPr>
          <w:rFonts w:ascii="Times New Roman" w:hAnsi="Times New Roman"/>
          <w:sz w:val="24"/>
        </w:rPr>
        <w:t>že</w:t>
      </w:r>
      <w:r>
        <w:rPr>
          <w:rFonts w:ascii="Times New Roman" w:hAnsi="Times New Roman"/>
          <w:spacing w:val="-10"/>
          <w:sz w:val="24"/>
        </w:rPr>
        <w:t xml:space="preserve"> </w:t>
      </w:r>
      <w:r>
        <w:rPr>
          <w:rFonts w:ascii="Times New Roman" w:hAnsi="Times New Roman"/>
          <w:sz w:val="24"/>
        </w:rPr>
        <w:t>se</w:t>
      </w:r>
      <w:r>
        <w:rPr>
          <w:rFonts w:ascii="Times New Roman" w:hAnsi="Times New Roman"/>
          <w:spacing w:val="-10"/>
          <w:sz w:val="24"/>
        </w:rPr>
        <w:t xml:space="preserve"> </w:t>
      </w:r>
      <w:r>
        <w:rPr>
          <w:rFonts w:ascii="Times New Roman" w:hAnsi="Times New Roman"/>
          <w:sz w:val="24"/>
        </w:rPr>
        <w:t>pojištění</w:t>
      </w:r>
      <w:r>
        <w:rPr>
          <w:rFonts w:ascii="Times New Roman" w:hAnsi="Times New Roman"/>
          <w:spacing w:val="-7"/>
          <w:sz w:val="24"/>
        </w:rPr>
        <w:t xml:space="preserve"> </w:t>
      </w:r>
      <w:r>
        <w:rPr>
          <w:rFonts w:ascii="Times New Roman" w:hAnsi="Times New Roman"/>
          <w:sz w:val="24"/>
        </w:rPr>
        <w:t>sjednává</w:t>
      </w:r>
      <w:r>
        <w:rPr>
          <w:rFonts w:ascii="Times New Roman" w:hAnsi="Times New Roman"/>
          <w:spacing w:val="-7"/>
          <w:sz w:val="24"/>
        </w:rPr>
        <w:t xml:space="preserve"> </w:t>
      </w:r>
      <w:r>
        <w:rPr>
          <w:rFonts w:ascii="Times New Roman" w:hAnsi="Times New Roman"/>
          <w:sz w:val="24"/>
        </w:rPr>
        <w:t>pouze</w:t>
      </w:r>
      <w:r>
        <w:rPr>
          <w:rFonts w:ascii="Times New Roman" w:hAnsi="Times New Roman"/>
          <w:spacing w:val="-7"/>
          <w:sz w:val="24"/>
        </w:rPr>
        <w:t xml:space="preserve"> </w:t>
      </w:r>
      <w:r>
        <w:rPr>
          <w:rFonts w:ascii="Times New Roman" w:hAnsi="Times New Roman"/>
          <w:sz w:val="24"/>
        </w:rPr>
        <w:t>pro</w:t>
      </w:r>
      <w:r>
        <w:rPr>
          <w:rFonts w:ascii="Times New Roman" w:hAnsi="Times New Roman"/>
          <w:spacing w:val="-6"/>
          <w:sz w:val="24"/>
        </w:rPr>
        <w:t xml:space="preserve"> </w:t>
      </w:r>
      <w:r>
        <w:rPr>
          <w:rFonts w:ascii="Times New Roman" w:hAnsi="Times New Roman"/>
          <w:sz w:val="24"/>
        </w:rPr>
        <w:t>pojistná</w:t>
      </w:r>
      <w:r>
        <w:rPr>
          <w:rFonts w:ascii="Times New Roman" w:hAnsi="Times New Roman"/>
          <w:spacing w:val="-10"/>
          <w:sz w:val="24"/>
        </w:rPr>
        <w:t xml:space="preserve"> </w:t>
      </w:r>
      <w:r>
        <w:rPr>
          <w:rFonts w:ascii="Times New Roman" w:hAnsi="Times New Roman"/>
          <w:sz w:val="24"/>
        </w:rPr>
        <w:t>nebezpečí</w:t>
      </w:r>
      <w:r>
        <w:rPr>
          <w:rFonts w:ascii="Times New Roman" w:hAnsi="Times New Roman"/>
          <w:spacing w:val="-5"/>
          <w:sz w:val="24"/>
        </w:rPr>
        <w:t xml:space="preserve"> </w:t>
      </w:r>
      <w:r>
        <w:rPr>
          <w:rFonts w:ascii="Times New Roman" w:hAnsi="Times New Roman"/>
          <w:sz w:val="24"/>
        </w:rPr>
        <w:t>ztráta</w:t>
      </w:r>
      <w:r>
        <w:rPr>
          <w:rFonts w:ascii="Times New Roman" w:hAnsi="Times New Roman"/>
          <w:spacing w:val="-10"/>
          <w:sz w:val="24"/>
        </w:rPr>
        <w:t xml:space="preserve"> </w:t>
      </w:r>
      <w:r>
        <w:rPr>
          <w:rFonts w:ascii="Times New Roman" w:hAnsi="Times New Roman"/>
          <w:sz w:val="24"/>
        </w:rPr>
        <w:t>při</w:t>
      </w:r>
      <w:r>
        <w:rPr>
          <w:rFonts w:ascii="Times New Roman" w:hAnsi="Times New Roman"/>
          <w:spacing w:val="-3"/>
          <w:sz w:val="24"/>
        </w:rPr>
        <w:t xml:space="preserve"> </w:t>
      </w:r>
      <w:r>
        <w:rPr>
          <w:rFonts w:ascii="Times New Roman" w:hAnsi="Times New Roman"/>
          <w:sz w:val="24"/>
        </w:rPr>
        <w:t>dopravní</w:t>
      </w:r>
      <w:r>
        <w:rPr>
          <w:rFonts w:ascii="Times New Roman" w:hAnsi="Times New Roman"/>
          <w:spacing w:val="-8"/>
          <w:sz w:val="24"/>
        </w:rPr>
        <w:t xml:space="preserve"> </w:t>
      </w:r>
      <w:r>
        <w:rPr>
          <w:rFonts w:ascii="Times New Roman" w:hAnsi="Times New Roman"/>
          <w:sz w:val="24"/>
        </w:rPr>
        <w:t>nehodě</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9"/>
          <w:sz w:val="24"/>
        </w:rPr>
        <w:t xml:space="preserve"> </w:t>
      </w:r>
      <w:r>
        <w:rPr>
          <w:rFonts w:ascii="Times New Roman" w:hAnsi="Times New Roman"/>
          <w:sz w:val="24"/>
        </w:rPr>
        <w:t>zničení nebo poškození při dopravní nehodě. Dále se odchylně od čl. 48, odst. 2 ujednává, že se pojištění vztahuje</w:t>
      </w:r>
      <w:r>
        <w:rPr>
          <w:rFonts w:ascii="Times New Roman" w:hAnsi="Times New Roman"/>
          <w:spacing w:val="22"/>
          <w:sz w:val="24"/>
        </w:rPr>
        <w:t xml:space="preserve"> </w:t>
      </w:r>
      <w:r>
        <w:rPr>
          <w:rFonts w:ascii="Times New Roman" w:hAnsi="Times New Roman"/>
          <w:sz w:val="24"/>
        </w:rPr>
        <w:t>pouze</w:t>
      </w:r>
      <w:r>
        <w:rPr>
          <w:rFonts w:ascii="Times New Roman" w:hAnsi="Times New Roman"/>
          <w:spacing w:val="23"/>
          <w:sz w:val="24"/>
        </w:rPr>
        <w:t xml:space="preserve"> </w:t>
      </w:r>
      <w:r>
        <w:rPr>
          <w:rFonts w:ascii="Times New Roman" w:hAnsi="Times New Roman"/>
          <w:sz w:val="24"/>
        </w:rPr>
        <w:t>na</w:t>
      </w:r>
      <w:r>
        <w:rPr>
          <w:rFonts w:ascii="Times New Roman" w:hAnsi="Times New Roman"/>
          <w:spacing w:val="22"/>
          <w:sz w:val="24"/>
        </w:rPr>
        <w:t xml:space="preserve"> </w:t>
      </w:r>
      <w:r>
        <w:rPr>
          <w:rFonts w:ascii="Times New Roman" w:hAnsi="Times New Roman"/>
          <w:sz w:val="24"/>
        </w:rPr>
        <w:t>věci,</w:t>
      </w:r>
      <w:r>
        <w:rPr>
          <w:rFonts w:ascii="Times New Roman" w:hAnsi="Times New Roman"/>
          <w:spacing w:val="26"/>
          <w:sz w:val="24"/>
        </w:rPr>
        <w:t xml:space="preserve"> </w:t>
      </w:r>
      <w:r>
        <w:rPr>
          <w:rFonts w:ascii="Times New Roman" w:hAnsi="Times New Roman"/>
          <w:sz w:val="24"/>
        </w:rPr>
        <w:t>které</w:t>
      </w:r>
      <w:r>
        <w:rPr>
          <w:rFonts w:ascii="Times New Roman" w:hAnsi="Times New Roman"/>
          <w:spacing w:val="22"/>
          <w:sz w:val="24"/>
        </w:rPr>
        <w:t xml:space="preserve"> </w:t>
      </w:r>
      <w:r>
        <w:rPr>
          <w:rFonts w:ascii="Times New Roman" w:hAnsi="Times New Roman"/>
          <w:sz w:val="24"/>
        </w:rPr>
        <w:t>má</w:t>
      </w:r>
      <w:r>
        <w:rPr>
          <w:rFonts w:ascii="Times New Roman" w:hAnsi="Times New Roman"/>
          <w:spacing w:val="25"/>
          <w:sz w:val="24"/>
        </w:rPr>
        <w:t xml:space="preserve"> </w:t>
      </w:r>
      <w:r>
        <w:rPr>
          <w:rFonts w:ascii="Times New Roman" w:hAnsi="Times New Roman"/>
          <w:sz w:val="24"/>
        </w:rPr>
        <w:t>řidič</w:t>
      </w:r>
      <w:r>
        <w:rPr>
          <w:rFonts w:ascii="Times New Roman" w:hAnsi="Times New Roman"/>
          <w:spacing w:val="25"/>
          <w:sz w:val="24"/>
        </w:rPr>
        <w:t xml:space="preserve"> </w:t>
      </w:r>
      <w:r>
        <w:rPr>
          <w:rFonts w:ascii="Times New Roman" w:hAnsi="Times New Roman"/>
          <w:sz w:val="24"/>
        </w:rPr>
        <w:t>běžně</w:t>
      </w:r>
      <w:r>
        <w:rPr>
          <w:rFonts w:ascii="Times New Roman" w:hAnsi="Times New Roman"/>
          <w:spacing w:val="22"/>
          <w:sz w:val="24"/>
        </w:rPr>
        <w:t xml:space="preserve"> </w:t>
      </w:r>
      <w:r>
        <w:rPr>
          <w:rFonts w:ascii="Times New Roman" w:hAnsi="Times New Roman"/>
          <w:sz w:val="24"/>
        </w:rPr>
        <w:t>na</w:t>
      </w:r>
      <w:r>
        <w:rPr>
          <w:rFonts w:ascii="Times New Roman" w:hAnsi="Times New Roman"/>
          <w:spacing w:val="25"/>
          <w:sz w:val="24"/>
        </w:rPr>
        <w:t xml:space="preserve"> </w:t>
      </w:r>
      <w:r>
        <w:rPr>
          <w:rFonts w:ascii="Times New Roman" w:hAnsi="Times New Roman"/>
          <w:sz w:val="24"/>
        </w:rPr>
        <w:t>sobě</w:t>
      </w:r>
      <w:r>
        <w:rPr>
          <w:rFonts w:ascii="Times New Roman" w:hAnsi="Times New Roman"/>
          <w:spacing w:val="22"/>
          <w:sz w:val="24"/>
        </w:rPr>
        <w:t xml:space="preserve"> </w:t>
      </w:r>
      <w:r>
        <w:rPr>
          <w:rFonts w:ascii="Times New Roman" w:hAnsi="Times New Roman"/>
          <w:sz w:val="24"/>
        </w:rPr>
        <w:t>nebo</w:t>
      </w:r>
      <w:r>
        <w:rPr>
          <w:rFonts w:ascii="Times New Roman" w:hAnsi="Times New Roman"/>
          <w:spacing w:val="26"/>
          <w:sz w:val="24"/>
        </w:rPr>
        <w:t xml:space="preserve"> </w:t>
      </w:r>
      <w:r>
        <w:rPr>
          <w:rFonts w:ascii="Times New Roman" w:hAnsi="Times New Roman"/>
          <w:sz w:val="24"/>
        </w:rPr>
        <w:t>při</w:t>
      </w:r>
      <w:r>
        <w:rPr>
          <w:rFonts w:ascii="Times New Roman" w:hAnsi="Times New Roman"/>
          <w:spacing w:val="23"/>
          <w:sz w:val="24"/>
        </w:rPr>
        <w:t xml:space="preserve"> </w:t>
      </w:r>
      <w:r>
        <w:rPr>
          <w:rFonts w:ascii="Times New Roman" w:hAnsi="Times New Roman"/>
          <w:sz w:val="24"/>
        </w:rPr>
        <w:t>sobě</w:t>
      </w:r>
      <w:r>
        <w:rPr>
          <w:rFonts w:ascii="Times New Roman" w:hAnsi="Times New Roman"/>
          <w:spacing w:val="25"/>
          <w:sz w:val="24"/>
        </w:rPr>
        <w:t xml:space="preserve"> </w:t>
      </w:r>
      <w:r>
        <w:rPr>
          <w:rFonts w:ascii="Times New Roman" w:hAnsi="Times New Roman"/>
          <w:sz w:val="24"/>
        </w:rPr>
        <w:t>(oblečení,</w:t>
      </w:r>
      <w:r>
        <w:rPr>
          <w:rFonts w:ascii="Times New Roman" w:hAnsi="Times New Roman"/>
          <w:spacing w:val="24"/>
          <w:sz w:val="24"/>
        </w:rPr>
        <w:t xml:space="preserve"> </w:t>
      </w:r>
      <w:r>
        <w:rPr>
          <w:rFonts w:ascii="Times New Roman" w:hAnsi="Times New Roman"/>
          <w:sz w:val="24"/>
        </w:rPr>
        <w:t>věci</w:t>
      </w:r>
      <w:r>
        <w:rPr>
          <w:rFonts w:ascii="Times New Roman" w:hAnsi="Times New Roman"/>
          <w:spacing w:val="23"/>
          <w:sz w:val="24"/>
        </w:rPr>
        <w:t xml:space="preserve"> </w:t>
      </w:r>
      <w:r>
        <w:rPr>
          <w:rFonts w:ascii="Times New Roman" w:hAnsi="Times New Roman"/>
          <w:sz w:val="24"/>
        </w:rPr>
        <w:t>osobní</w:t>
      </w:r>
      <w:r>
        <w:rPr>
          <w:rFonts w:ascii="Times New Roman" w:hAnsi="Times New Roman"/>
          <w:spacing w:val="24"/>
          <w:sz w:val="24"/>
        </w:rPr>
        <w:t xml:space="preserve"> </w:t>
      </w:r>
      <w:r>
        <w:rPr>
          <w:rFonts w:ascii="Times New Roman" w:hAnsi="Times New Roman"/>
          <w:sz w:val="24"/>
        </w:rPr>
        <w:t>potřeby</w:t>
      </w:r>
    </w:p>
    <w:p w14:paraId="341B7E7D" w14:textId="77777777" w:rsidR="00F65BCA" w:rsidRDefault="00F65BCA">
      <w:pPr>
        <w:pStyle w:val="Zkladntext"/>
        <w:rPr>
          <w:rFonts w:ascii="Times New Roman"/>
          <w:sz w:val="16"/>
        </w:rPr>
      </w:pPr>
    </w:p>
    <w:p w14:paraId="1DD05E06" w14:textId="77777777" w:rsidR="00F65BCA" w:rsidRDefault="00216117">
      <w:pPr>
        <w:ind w:left="147"/>
        <w:jc w:val="center"/>
        <w:rPr>
          <w:sz w:val="16"/>
        </w:rPr>
      </w:pPr>
      <w:r>
        <w:rPr>
          <w:sz w:val="16"/>
        </w:rPr>
        <w:t>3</w:t>
      </w:r>
    </w:p>
    <w:p w14:paraId="5DB3D323" w14:textId="77777777" w:rsidR="00F65BCA" w:rsidRDefault="00F65BCA">
      <w:pPr>
        <w:jc w:val="center"/>
        <w:rPr>
          <w:sz w:val="16"/>
        </w:rPr>
        <w:sectPr w:rsidR="00F65BCA">
          <w:pgSz w:w="11900" w:h="16840"/>
          <w:pgMar w:top="1220" w:right="600" w:bottom="280" w:left="1160" w:header="708" w:footer="708" w:gutter="0"/>
          <w:cols w:space="708"/>
        </w:sectPr>
      </w:pPr>
    </w:p>
    <w:p w14:paraId="56B7C014" w14:textId="77777777" w:rsidR="00F65BCA" w:rsidRDefault="00216117">
      <w:pPr>
        <w:spacing w:before="75"/>
        <w:ind w:left="258" w:right="109"/>
        <w:jc w:val="both"/>
        <w:rPr>
          <w:rFonts w:ascii="Times New Roman" w:hAnsi="Times New Roman"/>
          <w:sz w:val="24"/>
        </w:rPr>
      </w:pPr>
      <w:r>
        <w:rPr>
          <w:rFonts w:ascii="Times New Roman" w:hAnsi="Times New Roman"/>
          <w:sz w:val="24"/>
        </w:rPr>
        <w:lastRenderedPageBreak/>
        <w:t>apod.). Pojištění se sjednává s limitem pojistného plnění ve výši 100.000,- Kč na pojistnou událost, bez spoluúčasti pojištěného.</w:t>
      </w:r>
    </w:p>
    <w:p w14:paraId="62509B5A" w14:textId="77777777" w:rsidR="00F65BCA" w:rsidRDefault="00F65BCA">
      <w:pPr>
        <w:pStyle w:val="Zkladntext"/>
        <w:rPr>
          <w:rFonts w:ascii="Times New Roman"/>
          <w:sz w:val="24"/>
        </w:rPr>
      </w:pPr>
    </w:p>
    <w:p w14:paraId="4964AE9A" w14:textId="77777777" w:rsidR="00F65BCA" w:rsidRDefault="00216117">
      <w:pPr>
        <w:ind w:left="258" w:right="107"/>
        <w:jc w:val="both"/>
        <w:rPr>
          <w:rFonts w:ascii="Times New Roman" w:hAnsi="Times New Roman"/>
          <w:sz w:val="24"/>
        </w:rPr>
      </w:pPr>
      <w:r>
        <w:rPr>
          <w:rFonts w:ascii="Times New Roman" w:hAnsi="Times New Roman"/>
          <w:sz w:val="24"/>
        </w:rPr>
        <w:t>Sazby pro jednotlivé kategorie vozidel pro pojištění  odpovědnosti  z provozu vozidla jsou uvedeny  v Příloze č. 2 této pojistné smlouvy a jsou platné po celou dobu platnosti této pojistné smlouvy i pro nově pojištěna</w:t>
      </w:r>
      <w:r>
        <w:rPr>
          <w:rFonts w:ascii="Times New Roman" w:hAnsi="Times New Roman"/>
          <w:spacing w:val="-3"/>
          <w:sz w:val="24"/>
        </w:rPr>
        <w:t xml:space="preserve"> </w:t>
      </w:r>
      <w:r>
        <w:rPr>
          <w:rFonts w:ascii="Times New Roman" w:hAnsi="Times New Roman"/>
          <w:sz w:val="24"/>
        </w:rPr>
        <w:t>vozidla.</w:t>
      </w:r>
    </w:p>
    <w:p w14:paraId="368B1ACB" w14:textId="77777777" w:rsidR="00F65BCA" w:rsidRDefault="00F65BCA">
      <w:pPr>
        <w:pStyle w:val="Zkladntext"/>
        <w:rPr>
          <w:rFonts w:ascii="Times New Roman"/>
          <w:sz w:val="24"/>
        </w:rPr>
      </w:pPr>
    </w:p>
    <w:p w14:paraId="118FB737" w14:textId="77777777" w:rsidR="00F65BCA" w:rsidRDefault="00216117">
      <w:pPr>
        <w:ind w:left="258"/>
        <w:jc w:val="both"/>
        <w:rPr>
          <w:rFonts w:ascii="Times New Roman" w:hAnsi="Times New Roman"/>
          <w:sz w:val="24"/>
        </w:rPr>
      </w:pPr>
      <w:r>
        <w:rPr>
          <w:rFonts w:ascii="Times New Roman" w:hAnsi="Times New Roman"/>
          <w:sz w:val="24"/>
        </w:rPr>
        <w:t>Systém bonus a malus nebude uplatňován.</w:t>
      </w:r>
    </w:p>
    <w:p w14:paraId="517467CF" w14:textId="77777777" w:rsidR="00F65BCA" w:rsidRDefault="00F65BCA">
      <w:pPr>
        <w:pStyle w:val="Zkladntext"/>
        <w:rPr>
          <w:rFonts w:ascii="Times New Roman"/>
          <w:sz w:val="24"/>
        </w:rPr>
      </w:pPr>
    </w:p>
    <w:p w14:paraId="79BF5E31" w14:textId="77777777" w:rsidR="00F65BCA" w:rsidRDefault="00216117">
      <w:pPr>
        <w:pStyle w:val="Odstavecseseznamem"/>
        <w:numPr>
          <w:ilvl w:val="1"/>
          <w:numId w:val="155"/>
        </w:numPr>
        <w:tabs>
          <w:tab w:val="left" w:pos="978"/>
          <w:tab w:val="left" w:pos="979"/>
        </w:tabs>
        <w:ind w:left="978" w:hanging="721"/>
        <w:rPr>
          <w:rFonts w:ascii="Times New Roman" w:hAnsi="Times New Roman"/>
          <w:sz w:val="24"/>
        </w:rPr>
      </w:pPr>
      <w:r>
        <w:rPr>
          <w:rFonts w:ascii="Times New Roman" w:hAnsi="Times New Roman"/>
          <w:sz w:val="24"/>
        </w:rPr>
        <w:t>Pojištění Všech</w:t>
      </w:r>
      <w:r>
        <w:rPr>
          <w:rFonts w:ascii="Times New Roman" w:hAnsi="Times New Roman"/>
          <w:spacing w:val="-1"/>
          <w:sz w:val="24"/>
        </w:rPr>
        <w:t xml:space="preserve"> </w:t>
      </w:r>
      <w:r>
        <w:rPr>
          <w:rFonts w:ascii="Times New Roman" w:hAnsi="Times New Roman"/>
          <w:sz w:val="24"/>
        </w:rPr>
        <w:t>skel</w:t>
      </w:r>
    </w:p>
    <w:p w14:paraId="3D8D7084" w14:textId="77777777" w:rsidR="00F65BCA" w:rsidRDefault="00216117">
      <w:pPr>
        <w:ind w:left="258"/>
        <w:rPr>
          <w:rFonts w:ascii="Times New Roman" w:hAnsi="Times New Roman"/>
          <w:sz w:val="24"/>
        </w:rPr>
      </w:pPr>
      <w:r>
        <w:rPr>
          <w:rFonts w:ascii="Times New Roman" w:hAnsi="Times New Roman"/>
          <w:sz w:val="24"/>
        </w:rPr>
        <w:t>Pojištění se sjednává pro případ jakéhokoli poškození nebo zničení (rozbití) pojištěných skel havárií, živelní událostí nebo zničení úmyslným jednáním cizí osoby.</w:t>
      </w:r>
    </w:p>
    <w:p w14:paraId="76225563" w14:textId="77777777" w:rsidR="00F65BCA" w:rsidRDefault="00216117">
      <w:pPr>
        <w:ind w:left="258" w:right="4297" w:hanging="1"/>
        <w:rPr>
          <w:rFonts w:ascii="Times New Roman" w:hAnsi="Times New Roman"/>
          <w:sz w:val="24"/>
        </w:rPr>
      </w:pPr>
      <w:r>
        <w:rPr>
          <w:rFonts w:ascii="Times New Roman" w:hAnsi="Times New Roman"/>
          <w:sz w:val="24"/>
        </w:rPr>
        <w:t>Pojištění se sjednává pro vybraná vozidla dle Přílohy č. 1. Pojistná částka (limit plnění): dle Přílohy č. 1.</w:t>
      </w:r>
    </w:p>
    <w:p w14:paraId="1E32A436" w14:textId="77777777" w:rsidR="00F65BCA" w:rsidRDefault="00216117">
      <w:pPr>
        <w:ind w:left="258"/>
        <w:rPr>
          <w:rFonts w:ascii="Times New Roman" w:hAnsi="Times New Roman"/>
          <w:sz w:val="24"/>
        </w:rPr>
      </w:pPr>
      <w:r>
        <w:rPr>
          <w:rFonts w:ascii="Times New Roman" w:hAnsi="Times New Roman"/>
          <w:sz w:val="24"/>
        </w:rPr>
        <w:t>Pojistná hodnota: nová cena.</w:t>
      </w:r>
    </w:p>
    <w:p w14:paraId="17D27F2A" w14:textId="77777777" w:rsidR="00F65BCA" w:rsidRDefault="00216117">
      <w:pPr>
        <w:ind w:left="258"/>
        <w:rPr>
          <w:rFonts w:ascii="Times New Roman" w:hAnsi="Times New Roman"/>
          <w:sz w:val="24"/>
        </w:rPr>
      </w:pPr>
      <w:r>
        <w:rPr>
          <w:rFonts w:ascii="Times New Roman" w:hAnsi="Times New Roman"/>
          <w:sz w:val="24"/>
        </w:rPr>
        <w:t>Pojištění se sjednává bez spoluúčasti na škodě.</w:t>
      </w:r>
    </w:p>
    <w:p w14:paraId="0165360B" w14:textId="77777777" w:rsidR="00F65BCA" w:rsidRDefault="00F65BCA">
      <w:pPr>
        <w:pStyle w:val="Zkladntext"/>
        <w:rPr>
          <w:rFonts w:ascii="Times New Roman"/>
          <w:sz w:val="24"/>
        </w:rPr>
      </w:pPr>
    </w:p>
    <w:p w14:paraId="22D6F7EC" w14:textId="77777777" w:rsidR="00F65BCA" w:rsidRDefault="00216117">
      <w:pPr>
        <w:ind w:left="258" w:right="98" w:hanging="1"/>
        <w:rPr>
          <w:rFonts w:ascii="Times New Roman" w:hAnsi="Times New Roman"/>
          <w:sz w:val="24"/>
        </w:rPr>
      </w:pPr>
      <w:r>
        <w:rPr>
          <w:rFonts w:ascii="Times New Roman" w:hAnsi="Times New Roman"/>
          <w:sz w:val="24"/>
        </w:rPr>
        <w:t>Pojistník neakceptuje omezení pojistného plnění pro všechny škody vyplacené z pojistných událostí za jedno vozidlo během pojistného období (za 12 měsíců), resp. limit plnění se nespotřebovává.</w:t>
      </w:r>
    </w:p>
    <w:p w14:paraId="2BF1EDDB" w14:textId="77777777" w:rsidR="00F65BCA" w:rsidRDefault="00F65BCA">
      <w:pPr>
        <w:pStyle w:val="Zkladntext"/>
        <w:rPr>
          <w:rFonts w:ascii="Times New Roman"/>
          <w:sz w:val="24"/>
        </w:rPr>
      </w:pPr>
    </w:p>
    <w:p w14:paraId="7B3EB6B8" w14:textId="77777777" w:rsidR="00F65BCA" w:rsidRDefault="00216117">
      <w:pPr>
        <w:ind w:left="258"/>
        <w:rPr>
          <w:rFonts w:ascii="Times New Roman" w:hAnsi="Times New Roman"/>
          <w:sz w:val="24"/>
        </w:rPr>
      </w:pPr>
      <w:r>
        <w:rPr>
          <w:rFonts w:ascii="Times New Roman" w:hAnsi="Times New Roman"/>
          <w:sz w:val="24"/>
        </w:rPr>
        <w:t>Územní platnost: dle VPPPMV–F–5/2025.</w:t>
      </w:r>
    </w:p>
    <w:p w14:paraId="2FF4B654" w14:textId="77777777" w:rsidR="00F65BCA" w:rsidRDefault="00F65BCA">
      <w:pPr>
        <w:pStyle w:val="Zkladntext"/>
        <w:rPr>
          <w:rFonts w:ascii="Times New Roman"/>
          <w:sz w:val="24"/>
        </w:rPr>
      </w:pPr>
    </w:p>
    <w:p w14:paraId="5A0391F3" w14:textId="77777777" w:rsidR="00F65BCA" w:rsidRDefault="00216117">
      <w:pPr>
        <w:pStyle w:val="Odstavecseseznamem"/>
        <w:numPr>
          <w:ilvl w:val="1"/>
          <w:numId w:val="155"/>
        </w:numPr>
        <w:tabs>
          <w:tab w:val="left" w:pos="979"/>
        </w:tabs>
        <w:ind w:left="978" w:hanging="721"/>
        <w:jc w:val="both"/>
        <w:rPr>
          <w:rFonts w:ascii="Times New Roman" w:hAnsi="Times New Roman"/>
          <w:sz w:val="24"/>
        </w:rPr>
      </w:pPr>
      <w:r>
        <w:rPr>
          <w:rFonts w:ascii="Times New Roman" w:hAnsi="Times New Roman"/>
          <w:sz w:val="24"/>
        </w:rPr>
        <w:t>Úrazové pojištění dopravovaných osob – varianta „Úrazové</w:t>
      </w:r>
      <w:r>
        <w:rPr>
          <w:rFonts w:ascii="Times New Roman" w:hAnsi="Times New Roman"/>
          <w:spacing w:val="-3"/>
          <w:sz w:val="24"/>
        </w:rPr>
        <w:t xml:space="preserve"> </w:t>
      </w:r>
      <w:r>
        <w:rPr>
          <w:rFonts w:ascii="Times New Roman" w:hAnsi="Times New Roman"/>
          <w:sz w:val="24"/>
        </w:rPr>
        <w:t>pojištění“</w:t>
      </w:r>
    </w:p>
    <w:p w14:paraId="56030486" w14:textId="77777777" w:rsidR="00F65BCA" w:rsidRDefault="00216117">
      <w:pPr>
        <w:ind w:left="258" w:right="105"/>
        <w:jc w:val="both"/>
        <w:rPr>
          <w:rFonts w:ascii="Times New Roman" w:hAnsi="Times New Roman"/>
          <w:sz w:val="24"/>
        </w:rPr>
      </w:pPr>
      <w:r>
        <w:rPr>
          <w:rFonts w:ascii="Times New Roman" w:hAnsi="Times New Roman"/>
          <w:sz w:val="24"/>
        </w:rPr>
        <w:t>Pojištěnými</w:t>
      </w:r>
      <w:r>
        <w:rPr>
          <w:rFonts w:ascii="Times New Roman" w:hAnsi="Times New Roman"/>
          <w:spacing w:val="-4"/>
          <w:sz w:val="24"/>
        </w:rPr>
        <w:t xml:space="preserve"> </w:t>
      </w:r>
      <w:r>
        <w:rPr>
          <w:rFonts w:ascii="Times New Roman" w:hAnsi="Times New Roman"/>
          <w:sz w:val="24"/>
        </w:rPr>
        <w:t>jsou</w:t>
      </w:r>
      <w:r>
        <w:rPr>
          <w:rFonts w:ascii="Times New Roman" w:hAnsi="Times New Roman"/>
          <w:spacing w:val="-4"/>
          <w:sz w:val="24"/>
        </w:rPr>
        <w:t xml:space="preserve"> </w:t>
      </w:r>
      <w:r>
        <w:rPr>
          <w:rFonts w:ascii="Times New Roman" w:hAnsi="Times New Roman"/>
          <w:sz w:val="24"/>
        </w:rPr>
        <w:t>pro</w:t>
      </w:r>
      <w:r>
        <w:rPr>
          <w:rFonts w:ascii="Times New Roman" w:hAnsi="Times New Roman"/>
          <w:spacing w:val="-4"/>
          <w:sz w:val="24"/>
        </w:rPr>
        <w:t xml:space="preserve"> </w:t>
      </w:r>
      <w:r>
        <w:rPr>
          <w:rFonts w:ascii="Times New Roman" w:hAnsi="Times New Roman"/>
          <w:sz w:val="24"/>
        </w:rPr>
        <w:t>účely</w:t>
      </w:r>
      <w:r>
        <w:rPr>
          <w:rFonts w:ascii="Times New Roman" w:hAnsi="Times New Roman"/>
          <w:spacing w:val="-4"/>
          <w:sz w:val="24"/>
        </w:rPr>
        <w:t xml:space="preserve"> </w:t>
      </w:r>
      <w:r>
        <w:rPr>
          <w:rFonts w:ascii="Times New Roman" w:hAnsi="Times New Roman"/>
          <w:sz w:val="24"/>
        </w:rPr>
        <w:t>tohoto</w:t>
      </w:r>
      <w:r>
        <w:rPr>
          <w:rFonts w:ascii="Times New Roman" w:hAnsi="Times New Roman"/>
          <w:spacing w:val="-5"/>
          <w:sz w:val="24"/>
        </w:rPr>
        <w:t xml:space="preserve"> </w:t>
      </w:r>
      <w:r>
        <w:rPr>
          <w:rFonts w:ascii="Times New Roman" w:hAnsi="Times New Roman"/>
          <w:sz w:val="24"/>
        </w:rPr>
        <w:t>pojištění</w:t>
      </w:r>
      <w:r>
        <w:rPr>
          <w:rFonts w:ascii="Times New Roman" w:hAnsi="Times New Roman"/>
          <w:spacing w:val="-3"/>
          <w:sz w:val="24"/>
        </w:rPr>
        <w:t xml:space="preserve"> </w:t>
      </w:r>
      <w:r>
        <w:rPr>
          <w:rFonts w:ascii="Times New Roman" w:hAnsi="Times New Roman"/>
          <w:sz w:val="24"/>
        </w:rPr>
        <w:t>jak</w:t>
      </w:r>
      <w:r>
        <w:rPr>
          <w:rFonts w:ascii="Times New Roman" w:hAnsi="Times New Roman"/>
          <w:spacing w:val="-4"/>
          <w:sz w:val="24"/>
        </w:rPr>
        <w:t xml:space="preserve"> </w:t>
      </w:r>
      <w:r>
        <w:rPr>
          <w:rFonts w:ascii="Times New Roman" w:hAnsi="Times New Roman"/>
          <w:sz w:val="24"/>
        </w:rPr>
        <w:t>řidiči</w:t>
      </w:r>
      <w:r>
        <w:rPr>
          <w:rFonts w:ascii="Times New Roman" w:hAnsi="Times New Roman"/>
          <w:spacing w:val="-4"/>
          <w:sz w:val="24"/>
        </w:rPr>
        <w:t xml:space="preserve"> </w:t>
      </w:r>
      <w:r>
        <w:rPr>
          <w:rFonts w:ascii="Times New Roman" w:hAnsi="Times New Roman"/>
          <w:sz w:val="24"/>
        </w:rPr>
        <w:t>vozidel,</w:t>
      </w:r>
      <w:r>
        <w:rPr>
          <w:rFonts w:ascii="Times New Roman" w:hAnsi="Times New Roman"/>
          <w:spacing w:val="-4"/>
          <w:sz w:val="24"/>
        </w:rPr>
        <w:t xml:space="preserve"> </w:t>
      </w:r>
      <w:r>
        <w:rPr>
          <w:rFonts w:ascii="Times New Roman" w:hAnsi="Times New Roman"/>
          <w:sz w:val="24"/>
        </w:rPr>
        <w:t>tak</w:t>
      </w:r>
      <w:r>
        <w:rPr>
          <w:rFonts w:ascii="Times New Roman" w:hAnsi="Times New Roman"/>
          <w:spacing w:val="-4"/>
          <w:sz w:val="24"/>
        </w:rPr>
        <w:t xml:space="preserve"> </w:t>
      </w:r>
      <w:r>
        <w:rPr>
          <w:rFonts w:ascii="Times New Roman" w:hAnsi="Times New Roman"/>
          <w:sz w:val="24"/>
        </w:rPr>
        <w:t>i</w:t>
      </w:r>
      <w:r>
        <w:rPr>
          <w:rFonts w:ascii="Times New Roman" w:hAnsi="Times New Roman"/>
          <w:spacing w:val="-3"/>
          <w:sz w:val="24"/>
        </w:rPr>
        <w:t xml:space="preserve"> </w:t>
      </w:r>
      <w:r>
        <w:rPr>
          <w:rFonts w:ascii="Times New Roman" w:hAnsi="Times New Roman"/>
          <w:sz w:val="24"/>
        </w:rPr>
        <w:t>osoby</w:t>
      </w:r>
      <w:r>
        <w:rPr>
          <w:rFonts w:ascii="Times New Roman" w:hAnsi="Times New Roman"/>
          <w:spacing w:val="-5"/>
          <w:sz w:val="24"/>
        </w:rPr>
        <w:t xml:space="preserve"> </w:t>
      </w:r>
      <w:r>
        <w:rPr>
          <w:rFonts w:ascii="Times New Roman" w:hAnsi="Times New Roman"/>
          <w:sz w:val="24"/>
        </w:rPr>
        <w:t>dopravované</w:t>
      </w:r>
      <w:r>
        <w:rPr>
          <w:rFonts w:ascii="Times New Roman" w:hAnsi="Times New Roman"/>
          <w:spacing w:val="-2"/>
          <w:sz w:val="24"/>
        </w:rPr>
        <w:t xml:space="preserve"> </w:t>
      </w:r>
      <w:r>
        <w:rPr>
          <w:rFonts w:ascii="Times New Roman" w:hAnsi="Times New Roman"/>
          <w:sz w:val="24"/>
        </w:rPr>
        <w:t>těmito</w:t>
      </w:r>
      <w:r>
        <w:rPr>
          <w:rFonts w:ascii="Times New Roman" w:hAnsi="Times New Roman"/>
          <w:spacing w:val="-4"/>
          <w:sz w:val="24"/>
        </w:rPr>
        <w:t xml:space="preserve"> </w:t>
      </w:r>
      <w:r>
        <w:rPr>
          <w:rFonts w:ascii="Times New Roman" w:hAnsi="Times New Roman"/>
          <w:sz w:val="24"/>
        </w:rPr>
        <w:t>vozidly, které  mají  dle  technického   průkazu   1   a   více   míst.   Pojištění   se   sjednává   pro   případ,   kdy</w:t>
      </w:r>
      <w:r>
        <w:rPr>
          <w:rFonts w:ascii="Times New Roman" w:hAnsi="Times New Roman"/>
          <w:spacing w:val="-17"/>
          <w:sz w:val="24"/>
        </w:rPr>
        <w:t xml:space="preserve"> </w:t>
      </w:r>
      <w:r>
        <w:rPr>
          <w:rFonts w:ascii="Times New Roman" w:hAnsi="Times New Roman"/>
          <w:sz w:val="24"/>
        </w:rPr>
        <w:t>pojištěný</w:t>
      </w:r>
      <w:r>
        <w:rPr>
          <w:rFonts w:ascii="Times New Roman" w:hAnsi="Times New Roman"/>
          <w:spacing w:val="-16"/>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průběhu</w:t>
      </w:r>
      <w:r>
        <w:rPr>
          <w:rFonts w:ascii="Times New Roman" w:hAnsi="Times New Roman"/>
          <w:spacing w:val="-11"/>
          <w:sz w:val="24"/>
        </w:rPr>
        <w:t xml:space="preserve"> </w:t>
      </w:r>
      <w:r>
        <w:rPr>
          <w:rFonts w:ascii="Times New Roman" w:hAnsi="Times New Roman"/>
          <w:sz w:val="24"/>
        </w:rPr>
        <w:t>pojištění</w:t>
      </w:r>
      <w:r>
        <w:rPr>
          <w:rFonts w:ascii="Times New Roman" w:hAnsi="Times New Roman"/>
          <w:spacing w:val="-15"/>
          <w:sz w:val="24"/>
        </w:rPr>
        <w:t xml:space="preserve"> </w:t>
      </w:r>
      <w:r>
        <w:rPr>
          <w:rFonts w:ascii="Times New Roman" w:hAnsi="Times New Roman"/>
          <w:sz w:val="24"/>
        </w:rPr>
        <w:t>utrpí</w:t>
      </w:r>
      <w:r>
        <w:rPr>
          <w:rFonts w:ascii="Times New Roman" w:hAnsi="Times New Roman"/>
          <w:spacing w:val="-15"/>
          <w:sz w:val="24"/>
        </w:rPr>
        <w:t xml:space="preserve"> </w:t>
      </w:r>
      <w:r>
        <w:rPr>
          <w:rFonts w:ascii="Times New Roman" w:hAnsi="Times New Roman"/>
          <w:sz w:val="24"/>
        </w:rPr>
        <w:t>úraz,</w:t>
      </w:r>
      <w:r>
        <w:rPr>
          <w:rFonts w:ascii="Times New Roman" w:hAnsi="Times New Roman"/>
          <w:spacing w:val="-14"/>
          <w:sz w:val="24"/>
        </w:rPr>
        <w:t xml:space="preserve"> </w:t>
      </w:r>
      <w:r>
        <w:rPr>
          <w:rFonts w:ascii="Times New Roman" w:hAnsi="Times New Roman"/>
          <w:sz w:val="24"/>
        </w:rPr>
        <w:t>který</w:t>
      </w:r>
      <w:r>
        <w:rPr>
          <w:rFonts w:ascii="Times New Roman" w:hAnsi="Times New Roman"/>
          <w:spacing w:val="-11"/>
          <w:sz w:val="24"/>
        </w:rPr>
        <w:t xml:space="preserve"> </w:t>
      </w:r>
      <w:r>
        <w:rPr>
          <w:rFonts w:ascii="Times New Roman" w:hAnsi="Times New Roman"/>
          <w:sz w:val="24"/>
        </w:rPr>
        <w:t>nastal</w:t>
      </w:r>
      <w:r>
        <w:rPr>
          <w:rFonts w:ascii="Times New Roman" w:hAnsi="Times New Roman"/>
          <w:spacing w:val="-15"/>
          <w:sz w:val="24"/>
        </w:rPr>
        <w:t xml:space="preserve"> </w:t>
      </w:r>
      <w:r>
        <w:rPr>
          <w:rFonts w:ascii="Times New Roman" w:hAnsi="Times New Roman"/>
          <w:sz w:val="24"/>
        </w:rPr>
        <w:t>při</w:t>
      </w:r>
      <w:r>
        <w:rPr>
          <w:rFonts w:ascii="Times New Roman" w:hAnsi="Times New Roman"/>
          <w:spacing w:val="-15"/>
          <w:sz w:val="24"/>
        </w:rPr>
        <w:t xml:space="preserve"> </w:t>
      </w:r>
      <w:r>
        <w:rPr>
          <w:rFonts w:ascii="Times New Roman" w:hAnsi="Times New Roman"/>
          <w:sz w:val="24"/>
        </w:rPr>
        <w:t>jízdě</w:t>
      </w:r>
      <w:r>
        <w:rPr>
          <w:rFonts w:ascii="Times New Roman" w:hAnsi="Times New Roman"/>
          <w:spacing w:val="-17"/>
          <w:sz w:val="24"/>
        </w:rPr>
        <w:t xml:space="preserve"> </w:t>
      </w:r>
      <w:r>
        <w:rPr>
          <w:rFonts w:ascii="Times New Roman" w:hAnsi="Times New Roman"/>
          <w:sz w:val="24"/>
        </w:rPr>
        <w:t>pojištěného</w:t>
      </w:r>
      <w:r>
        <w:rPr>
          <w:rFonts w:ascii="Times New Roman" w:hAnsi="Times New Roman"/>
          <w:spacing w:val="-16"/>
          <w:sz w:val="24"/>
        </w:rPr>
        <w:t xml:space="preserve"> </w:t>
      </w:r>
      <w:r>
        <w:rPr>
          <w:rFonts w:ascii="Times New Roman" w:hAnsi="Times New Roman"/>
          <w:sz w:val="24"/>
        </w:rPr>
        <w:t>vozidla,</w:t>
      </w:r>
      <w:r>
        <w:rPr>
          <w:rFonts w:ascii="Times New Roman" w:hAnsi="Times New Roman"/>
          <w:spacing w:val="-16"/>
          <w:sz w:val="24"/>
        </w:rPr>
        <w:t xml:space="preserve"> </w:t>
      </w:r>
      <w:r>
        <w:rPr>
          <w:rFonts w:ascii="Times New Roman" w:hAnsi="Times New Roman"/>
          <w:sz w:val="24"/>
        </w:rPr>
        <w:t>dopravní</w:t>
      </w:r>
      <w:r>
        <w:rPr>
          <w:rFonts w:ascii="Times New Roman" w:hAnsi="Times New Roman"/>
          <w:spacing w:val="-15"/>
          <w:sz w:val="24"/>
        </w:rPr>
        <w:t xml:space="preserve"> </w:t>
      </w:r>
      <w:r>
        <w:rPr>
          <w:rFonts w:ascii="Times New Roman" w:hAnsi="Times New Roman"/>
          <w:sz w:val="24"/>
        </w:rPr>
        <w:t>nehodě nebo při odstraňování poruch během</w:t>
      </w:r>
      <w:r>
        <w:rPr>
          <w:rFonts w:ascii="Times New Roman" w:hAnsi="Times New Roman"/>
          <w:spacing w:val="-1"/>
          <w:sz w:val="24"/>
        </w:rPr>
        <w:t xml:space="preserve"> </w:t>
      </w:r>
      <w:r>
        <w:rPr>
          <w:rFonts w:ascii="Times New Roman" w:hAnsi="Times New Roman"/>
          <w:sz w:val="24"/>
        </w:rPr>
        <w:t>dopravy.</w:t>
      </w:r>
    </w:p>
    <w:p w14:paraId="4CD15C13" w14:textId="77777777" w:rsidR="00F65BCA" w:rsidRDefault="00F65BCA">
      <w:pPr>
        <w:pStyle w:val="Zkladntext"/>
        <w:rPr>
          <w:rFonts w:ascii="Times New Roman"/>
          <w:sz w:val="24"/>
        </w:rPr>
      </w:pPr>
    </w:p>
    <w:p w14:paraId="16C6251D" w14:textId="77777777" w:rsidR="00F65BCA" w:rsidRDefault="00216117">
      <w:pPr>
        <w:ind w:left="258" w:right="107"/>
        <w:jc w:val="both"/>
        <w:rPr>
          <w:rFonts w:ascii="Times New Roman" w:hAnsi="Times New Roman"/>
          <w:sz w:val="24"/>
        </w:rPr>
      </w:pPr>
      <w:r>
        <w:rPr>
          <w:rFonts w:ascii="Times New Roman" w:hAnsi="Times New Roman"/>
          <w:sz w:val="24"/>
        </w:rPr>
        <w:t>Pojištění se vztahuje také na  úrazy  osob  přepravovaných  pojištěným  vozidlem,  které  nastanou  při zahájení úkonů před jízdou a po jízdě (při uvádění motoru vozidla do chodu před zahájením jízdy, nastupování do vozidla, vystupování z vozidla, krátkodobém zastavení vozidla, odstraňování</w:t>
      </w:r>
      <w:r>
        <w:rPr>
          <w:rFonts w:ascii="Times New Roman" w:hAnsi="Times New Roman"/>
          <w:spacing w:val="-23"/>
          <w:sz w:val="24"/>
        </w:rPr>
        <w:t xml:space="preserve"> </w:t>
      </w:r>
      <w:r>
        <w:rPr>
          <w:rFonts w:ascii="Times New Roman" w:hAnsi="Times New Roman"/>
          <w:sz w:val="24"/>
        </w:rPr>
        <w:t>běžných poruch vozidla, tankování a běžná</w:t>
      </w:r>
      <w:r>
        <w:rPr>
          <w:rFonts w:ascii="Times New Roman" w:hAnsi="Times New Roman"/>
          <w:spacing w:val="-3"/>
          <w:sz w:val="24"/>
        </w:rPr>
        <w:t xml:space="preserve"> </w:t>
      </w:r>
      <w:r>
        <w:rPr>
          <w:rFonts w:ascii="Times New Roman" w:hAnsi="Times New Roman"/>
          <w:sz w:val="24"/>
        </w:rPr>
        <w:t>údržba).</w:t>
      </w:r>
    </w:p>
    <w:p w14:paraId="4A8A85B4" w14:textId="77777777" w:rsidR="00F65BCA" w:rsidRDefault="00216117">
      <w:pPr>
        <w:spacing w:before="1"/>
        <w:ind w:left="258" w:right="2147"/>
        <w:jc w:val="both"/>
        <w:rPr>
          <w:rFonts w:ascii="Times New Roman" w:hAnsi="Times New Roman"/>
          <w:sz w:val="24"/>
        </w:rPr>
      </w:pPr>
      <w:r>
        <w:rPr>
          <w:rFonts w:ascii="Times New Roman" w:hAnsi="Times New Roman"/>
          <w:sz w:val="24"/>
        </w:rPr>
        <w:t>Pojištění se sjednává na všechna sedadla (podle technického průkazu vozidla). Pojištění se sjednává u vybraných vozidel dle Přílohy č. 1 této pojistné smlouvy.</w:t>
      </w:r>
    </w:p>
    <w:p w14:paraId="3F381EC3" w14:textId="77777777" w:rsidR="00F65BCA" w:rsidRDefault="00F65BCA">
      <w:pPr>
        <w:pStyle w:val="Zkladntext"/>
        <w:spacing w:before="11"/>
        <w:rPr>
          <w:rFonts w:ascii="Times New Roman"/>
          <w:sz w:val="23"/>
        </w:rPr>
      </w:pPr>
    </w:p>
    <w:p w14:paraId="6700E68B" w14:textId="77777777" w:rsidR="00F65BCA" w:rsidRDefault="00216117">
      <w:pPr>
        <w:ind w:left="258"/>
        <w:rPr>
          <w:rFonts w:ascii="Times New Roman" w:hAnsi="Times New Roman"/>
          <w:sz w:val="24"/>
        </w:rPr>
      </w:pPr>
      <w:r>
        <w:rPr>
          <w:rFonts w:ascii="Times New Roman" w:hAnsi="Times New Roman"/>
          <w:sz w:val="24"/>
        </w:rPr>
        <w:t>Pojištění se sjednává na pojistné částky:</w:t>
      </w:r>
    </w:p>
    <w:p w14:paraId="28995C2E" w14:textId="77777777" w:rsidR="00F65BCA" w:rsidRDefault="00216117">
      <w:pPr>
        <w:pStyle w:val="Odstavecseseznamem"/>
        <w:numPr>
          <w:ilvl w:val="0"/>
          <w:numId w:val="153"/>
        </w:numPr>
        <w:tabs>
          <w:tab w:val="left" w:pos="978"/>
          <w:tab w:val="left" w:pos="979"/>
        </w:tabs>
        <w:ind w:hanging="361"/>
        <w:rPr>
          <w:rFonts w:ascii="Times New Roman" w:hAnsi="Times New Roman"/>
          <w:sz w:val="24"/>
        </w:rPr>
      </w:pPr>
      <w:r>
        <w:rPr>
          <w:rFonts w:ascii="Times New Roman" w:hAnsi="Times New Roman"/>
          <w:sz w:val="24"/>
        </w:rPr>
        <w:t>Smrt následkem úrazu 200.000,-</w:t>
      </w:r>
      <w:r>
        <w:rPr>
          <w:rFonts w:ascii="Times New Roman" w:hAnsi="Times New Roman"/>
          <w:spacing w:val="-8"/>
          <w:sz w:val="24"/>
        </w:rPr>
        <w:t xml:space="preserve"> </w:t>
      </w:r>
      <w:r>
        <w:rPr>
          <w:rFonts w:ascii="Times New Roman" w:hAnsi="Times New Roman"/>
          <w:sz w:val="24"/>
        </w:rPr>
        <w:t>Kč</w:t>
      </w:r>
    </w:p>
    <w:p w14:paraId="1E7229F4" w14:textId="77777777" w:rsidR="00F65BCA" w:rsidRDefault="00216117">
      <w:pPr>
        <w:pStyle w:val="Odstavecseseznamem"/>
        <w:numPr>
          <w:ilvl w:val="0"/>
          <w:numId w:val="153"/>
        </w:numPr>
        <w:tabs>
          <w:tab w:val="left" w:pos="978"/>
          <w:tab w:val="left" w:pos="979"/>
        </w:tabs>
        <w:ind w:hanging="361"/>
        <w:rPr>
          <w:rFonts w:ascii="Times New Roman" w:hAnsi="Times New Roman"/>
          <w:sz w:val="24"/>
        </w:rPr>
      </w:pPr>
      <w:r>
        <w:rPr>
          <w:rFonts w:ascii="Times New Roman" w:hAnsi="Times New Roman"/>
          <w:sz w:val="24"/>
        </w:rPr>
        <w:t>Trvalé následky úrazu 400.000,-</w:t>
      </w:r>
      <w:r>
        <w:rPr>
          <w:rFonts w:ascii="Times New Roman" w:hAnsi="Times New Roman"/>
          <w:spacing w:val="-7"/>
          <w:sz w:val="24"/>
        </w:rPr>
        <w:t xml:space="preserve"> </w:t>
      </w:r>
      <w:r>
        <w:rPr>
          <w:rFonts w:ascii="Times New Roman" w:hAnsi="Times New Roman"/>
          <w:sz w:val="24"/>
        </w:rPr>
        <w:t>Kč</w:t>
      </w:r>
    </w:p>
    <w:p w14:paraId="1CC035EE" w14:textId="77777777" w:rsidR="00F65BCA" w:rsidRDefault="00216117">
      <w:pPr>
        <w:pStyle w:val="Odstavecseseznamem"/>
        <w:numPr>
          <w:ilvl w:val="0"/>
          <w:numId w:val="153"/>
        </w:numPr>
        <w:tabs>
          <w:tab w:val="left" w:pos="978"/>
          <w:tab w:val="left" w:pos="979"/>
        </w:tabs>
        <w:ind w:hanging="361"/>
        <w:rPr>
          <w:rFonts w:ascii="Times New Roman" w:hAnsi="Times New Roman"/>
          <w:sz w:val="24"/>
        </w:rPr>
      </w:pPr>
      <w:r>
        <w:rPr>
          <w:rFonts w:ascii="Times New Roman" w:hAnsi="Times New Roman"/>
          <w:sz w:val="24"/>
        </w:rPr>
        <w:t>Doba nezbytné léčby úrazu 100,-</w:t>
      </w:r>
      <w:r>
        <w:rPr>
          <w:rFonts w:ascii="Times New Roman" w:hAnsi="Times New Roman"/>
          <w:spacing w:val="-4"/>
          <w:sz w:val="24"/>
        </w:rPr>
        <w:t xml:space="preserve"> </w:t>
      </w:r>
      <w:r>
        <w:rPr>
          <w:rFonts w:ascii="Times New Roman" w:hAnsi="Times New Roman"/>
          <w:sz w:val="24"/>
        </w:rPr>
        <w:t>Kč/den.</w:t>
      </w:r>
    </w:p>
    <w:p w14:paraId="14E1BF75" w14:textId="77777777" w:rsidR="00F65BCA" w:rsidRDefault="00F65BCA">
      <w:pPr>
        <w:pStyle w:val="Zkladntext"/>
        <w:rPr>
          <w:rFonts w:ascii="Times New Roman"/>
          <w:sz w:val="24"/>
        </w:rPr>
      </w:pPr>
    </w:p>
    <w:p w14:paraId="337AB6BC" w14:textId="77777777" w:rsidR="00F65BCA" w:rsidRDefault="00216117">
      <w:pPr>
        <w:ind w:left="258" w:right="5362"/>
        <w:rPr>
          <w:rFonts w:ascii="Times New Roman" w:hAnsi="Times New Roman"/>
          <w:sz w:val="24"/>
        </w:rPr>
      </w:pPr>
      <w:r>
        <w:rPr>
          <w:rFonts w:ascii="Times New Roman" w:hAnsi="Times New Roman"/>
          <w:sz w:val="24"/>
        </w:rPr>
        <w:t>Pojištění se sjednává bez spoluúčasti na škodě. Pojistné uvedeno v Příloze č.1.</w:t>
      </w:r>
    </w:p>
    <w:p w14:paraId="05C10BDD" w14:textId="77777777" w:rsidR="00F65BCA" w:rsidRDefault="00216117">
      <w:pPr>
        <w:ind w:left="258"/>
        <w:jc w:val="both"/>
        <w:rPr>
          <w:rFonts w:ascii="Times New Roman" w:hAnsi="Times New Roman"/>
          <w:sz w:val="24"/>
        </w:rPr>
      </w:pPr>
      <w:r>
        <w:rPr>
          <w:rFonts w:ascii="Times New Roman" w:hAnsi="Times New Roman"/>
          <w:sz w:val="24"/>
        </w:rPr>
        <w:t>Územní platnost: dle VPPPMV–F–5/2025.</w:t>
      </w:r>
    </w:p>
    <w:p w14:paraId="59F0CE49" w14:textId="77777777" w:rsidR="00F65BCA" w:rsidRDefault="00F65BCA">
      <w:pPr>
        <w:pStyle w:val="Zkladntext"/>
        <w:rPr>
          <w:rFonts w:ascii="Times New Roman"/>
          <w:sz w:val="24"/>
        </w:rPr>
      </w:pPr>
    </w:p>
    <w:p w14:paraId="0626BEC9" w14:textId="77777777" w:rsidR="00F65BCA" w:rsidRDefault="00216117">
      <w:pPr>
        <w:ind w:left="258"/>
        <w:jc w:val="both"/>
        <w:rPr>
          <w:rFonts w:ascii="Times New Roman" w:hAnsi="Times New Roman"/>
          <w:sz w:val="24"/>
        </w:rPr>
      </w:pPr>
      <w:r>
        <w:rPr>
          <w:rFonts w:ascii="Times New Roman" w:hAnsi="Times New Roman"/>
          <w:sz w:val="24"/>
        </w:rPr>
        <w:t>Výluky z tohoto pojištění jsou uvedeny v čl. 77 VPPPMV–F–5/2025.</w:t>
      </w:r>
    </w:p>
    <w:p w14:paraId="1771C697" w14:textId="77777777" w:rsidR="00F65BCA" w:rsidRDefault="00F65BCA">
      <w:pPr>
        <w:pStyle w:val="Zkladntext"/>
        <w:rPr>
          <w:rFonts w:ascii="Times New Roman"/>
          <w:sz w:val="24"/>
        </w:rPr>
      </w:pPr>
    </w:p>
    <w:p w14:paraId="02DC50B9" w14:textId="77777777" w:rsidR="00F65BCA" w:rsidRDefault="00216117">
      <w:pPr>
        <w:pStyle w:val="Odstavecseseznamem"/>
        <w:numPr>
          <w:ilvl w:val="1"/>
          <w:numId w:val="155"/>
        </w:numPr>
        <w:tabs>
          <w:tab w:val="left" w:pos="979"/>
        </w:tabs>
        <w:ind w:left="978" w:hanging="721"/>
        <w:jc w:val="both"/>
        <w:rPr>
          <w:rFonts w:ascii="Times New Roman" w:hAnsi="Times New Roman"/>
          <w:sz w:val="24"/>
        </w:rPr>
      </w:pPr>
      <w:r>
        <w:rPr>
          <w:rFonts w:ascii="Times New Roman" w:hAnsi="Times New Roman"/>
          <w:sz w:val="24"/>
        </w:rPr>
        <w:t>Pojištění Asistenčních</w:t>
      </w:r>
      <w:r>
        <w:rPr>
          <w:rFonts w:ascii="Times New Roman" w:hAnsi="Times New Roman"/>
          <w:spacing w:val="-1"/>
          <w:sz w:val="24"/>
        </w:rPr>
        <w:t xml:space="preserve"> </w:t>
      </w:r>
      <w:r>
        <w:rPr>
          <w:rFonts w:ascii="Times New Roman" w:hAnsi="Times New Roman"/>
          <w:sz w:val="24"/>
        </w:rPr>
        <w:t>služeb</w:t>
      </w:r>
    </w:p>
    <w:p w14:paraId="59116FB8" w14:textId="77777777" w:rsidR="00F65BCA" w:rsidRDefault="00216117">
      <w:pPr>
        <w:ind w:left="258" w:right="105"/>
        <w:jc w:val="both"/>
        <w:rPr>
          <w:rFonts w:ascii="Times New Roman" w:hAnsi="Times New Roman"/>
          <w:sz w:val="24"/>
        </w:rPr>
      </w:pPr>
      <w:r>
        <w:rPr>
          <w:rFonts w:ascii="Times New Roman" w:hAnsi="Times New Roman"/>
          <w:sz w:val="24"/>
        </w:rPr>
        <w:t>Poskytnutí</w:t>
      </w:r>
      <w:r>
        <w:rPr>
          <w:rFonts w:ascii="Times New Roman" w:hAnsi="Times New Roman"/>
          <w:spacing w:val="-8"/>
          <w:sz w:val="24"/>
        </w:rPr>
        <w:t xml:space="preserve"> </w:t>
      </w:r>
      <w:r>
        <w:rPr>
          <w:rFonts w:ascii="Times New Roman" w:hAnsi="Times New Roman"/>
          <w:sz w:val="24"/>
        </w:rPr>
        <w:t>asistenčních</w:t>
      </w:r>
      <w:r>
        <w:rPr>
          <w:rFonts w:ascii="Times New Roman" w:hAnsi="Times New Roman"/>
          <w:spacing w:val="-9"/>
          <w:sz w:val="24"/>
        </w:rPr>
        <w:t xml:space="preserve"> </w:t>
      </w:r>
      <w:r>
        <w:rPr>
          <w:rFonts w:ascii="Times New Roman" w:hAnsi="Times New Roman"/>
          <w:sz w:val="24"/>
        </w:rPr>
        <w:t>služeb</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7"/>
          <w:sz w:val="24"/>
        </w:rPr>
        <w:t xml:space="preserve"> </w:t>
      </w:r>
      <w:r>
        <w:rPr>
          <w:rFonts w:ascii="Times New Roman" w:hAnsi="Times New Roman"/>
          <w:sz w:val="24"/>
        </w:rPr>
        <w:t>vztahuje</w:t>
      </w:r>
      <w:r>
        <w:rPr>
          <w:rFonts w:ascii="Times New Roman" w:hAnsi="Times New Roman"/>
          <w:spacing w:val="-10"/>
          <w:sz w:val="24"/>
        </w:rPr>
        <w:t xml:space="preserve"> </w:t>
      </w:r>
      <w:r>
        <w:rPr>
          <w:rFonts w:ascii="Times New Roman" w:hAnsi="Times New Roman"/>
          <w:sz w:val="24"/>
        </w:rPr>
        <w:t>na</w:t>
      </w:r>
      <w:r>
        <w:rPr>
          <w:rFonts w:ascii="Times New Roman" w:hAnsi="Times New Roman"/>
          <w:spacing w:val="-7"/>
          <w:sz w:val="24"/>
        </w:rPr>
        <w:t xml:space="preserve"> </w:t>
      </w:r>
      <w:r>
        <w:rPr>
          <w:rFonts w:ascii="Times New Roman" w:hAnsi="Times New Roman"/>
          <w:sz w:val="24"/>
        </w:rPr>
        <w:t>všechna</w:t>
      </w:r>
      <w:r>
        <w:rPr>
          <w:rFonts w:ascii="Times New Roman" w:hAnsi="Times New Roman"/>
          <w:spacing w:val="-10"/>
          <w:sz w:val="24"/>
        </w:rPr>
        <w:t xml:space="preserve"> </w:t>
      </w:r>
      <w:r>
        <w:rPr>
          <w:rFonts w:ascii="Times New Roman" w:hAnsi="Times New Roman"/>
          <w:sz w:val="24"/>
        </w:rPr>
        <w:t>vozidla</w:t>
      </w:r>
      <w:r>
        <w:rPr>
          <w:rFonts w:ascii="Times New Roman" w:hAnsi="Times New Roman"/>
          <w:spacing w:val="-7"/>
          <w:sz w:val="24"/>
        </w:rPr>
        <w:t xml:space="preserve"> </w:t>
      </w:r>
      <w:r>
        <w:rPr>
          <w:rFonts w:ascii="Times New Roman" w:hAnsi="Times New Roman"/>
          <w:sz w:val="24"/>
        </w:rPr>
        <w:t>zařazená</w:t>
      </w:r>
      <w:r>
        <w:rPr>
          <w:rFonts w:ascii="Times New Roman" w:hAnsi="Times New Roman"/>
          <w:spacing w:val="-7"/>
          <w:sz w:val="24"/>
        </w:rPr>
        <w:t xml:space="preserve"> </w:t>
      </w:r>
      <w:r>
        <w:rPr>
          <w:rFonts w:ascii="Times New Roman" w:hAnsi="Times New Roman"/>
          <w:sz w:val="24"/>
        </w:rPr>
        <w:t>do</w:t>
      </w:r>
      <w:r>
        <w:rPr>
          <w:rFonts w:ascii="Times New Roman" w:hAnsi="Times New Roman"/>
          <w:spacing w:val="-6"/>
          <w:sz w:val="24"/>
        </w:rPr>
        <w:t xml:space="preserve"> </w:t>
      </w:r>
      <w:r>
        <w:rPr>
          <w:rFonts w:ascii="Times New Roman" w:hAnsi="Times New Roman"/>
          <w:sz w:val="24"/>
        </w:rPr>
        <w:t>pojištění.</w:t>
      </w:r>
      <w:r>
        <w:rPr>
          <w:rFonts w:ascii="Times New Roman" w:hAnsi="Times New Roman"/>
          <w:spacing w:val="-8"/>
          <w:sz w:val="24"/>
        </w:rPr>
        <w:t xml:space="preserve"> </w:t>
      </w:r>
      <w:r>
        <w:rPr>
          <w:rFonts w:ascii="Times New Roman" w:hAnsi="Times New Roman"/>
          <w:sz w:val="24"/>
        </w:rPr>
        <w:t>Asistenční</w:t>
      </w:r>
      <w:r>
        <w:rPr>
          <w:rFonts w:ascii="Times New Roman" w:hAnsi="Times New Roman"/>
          <w:spacing w:val="-8"/>
          <w:sz w:val="24"/>
        </w:rPr>
        <w:t xml:space="preserve"> </w:t>
      </w:r>
      <w:r>
        <w:rPr>
          <w:rFonts w:ascii="Times New Roman" w:hAnsi="Times New Roman"/>
          <w:sz w:val="24"/>
        </w:rPr>
        <w:t>služba je   poskytována   na   základě   telefonické   žádosti   oprávněné    osoby    na    telefonním    čísle 241 114 114 a je poskytována 24 hodin</w:t>
      </w:r>
      <w:r>
        <w:rPr>
          <w:rFonts w:ascii="Times New Roman" w:hAnsi="Times New Roman"/>
          <w:spacing w:val="-4"/>
          <w:sz w:val="24"/>
        </w:rPr>
        <w:t xml:space="preserve"> </w:t>
      </w:r>
      <w:r>
        <w:rPr>
          <w:rFonts w:ascii="Times New Roman" w:hAnsi="Times New Roman"/>
          <w:sz w:val="24"/>
        </w:rPr>
        <w:t>denně.</w:t>
      </w:r>
    </w:p>
    <w:p w14:paraId="0CF7CDA0" w14:textId="77777777" w:rsidR="00F65BCA" w:rsidRDefault="00F65BCA">
      <w:pPr>
        <w:pStyle w:val="Zkladntext"/>
        <w:spacing w:before="2"/>
        <w:rPr>
          <w:rFonts w:ascii="Times New Roman"/>
          <w:sz w:val="18"/>
        </w:rPr>
      </w:pPr>
    </w:p>
    <w:p w14:paraId="19982D32" w14:textId="77777777" w:rsidR="00F65BCA" w:rsidRDefault="00216117">
      <w:pPr>
        <w:spacing w:before="96"/>
        <w:ind w:left="147"/>
        <w:jc w:val="center"/>
        <w:rPr>
          <w:sz w:val="16"/>
        </w:rPr>
      </w:pPr>
      <w:r>
        <w:rPr>
          <w:sz w:val="16"/>
        </w:rPr>
        <w:t>4</w:t>
      </w:r>
    </w:p>
    <w:p w14:paraId="7E0AA83C" w14:textId="77777777" w:rsidR="00F65BCA" w:rsidRDefault="00F65BCA">
      <w:pPr>
        <w:jc w:val="center"/>
        <w:rPr>
          <w:sz w:val="16"/>
        </w:rPr>
        <w:sectPr w:rsidR="00F65BCA">
          <w:pgSz w:w="11900" w:h="16840"/>
          <w:pgMar w:top="1220" w:right="600" w:bottom="280" w:left="1160" w:header="708" w:footer="708" w:gutter="0"/>
          <w:cols w:space="708"/>
        </w:sectPr>
      </w:pPr>
    </w:p>
    <w:p w14:paraId="79E4F42A" w14:textId="77777777" w:rsidR="00F65BCA" w:rsidRDefault="00216117">
      <w:pPr>
        <w:spacing w:before="71"/>
        <w:ind w:left="258"/>
        <w:jc w:val="both"/>
        <w:rPr>
          <w:rFonts w:ascii="Times New Roman" w:hAnsi="Times New Roman"/>
          <w:sz w:val="24"/>
        </w:rPr>
      </w:pPr>
      <w:r>
        <w:rPr>
          <w:rFonts w:ascii="Times New Roman" w:hAnsi="Times New Roman"/>
          <w:sz w:val="24"/>
        </w:rPr>
        <w:lastRenderedPageBreak/>
        <w:t>Asistence „XL“</w:t>
      </w:r>
    </w:p>
    <w:p w14:paraId="5F77DE86" w14:textId="77777777" w:rsidR="00F65BCA" w:rsidRDefault="00216117">
      <w:pPr>
        <w:ind w:left="258" w:right="108"/>
        <w:jc w:val="both"/>
        <w:rPr>
          <w:rFonts w:ascii="Times New Roman" w:hAnsi="Times New Roman"/>
          <w:sz w:val="24"/>
        </w:rPr>
      </w:pPr>
      <w:r>
        <w:rPr>
          <w:rFonts w:ascii="Times New Roman" w:hAnsi="Times New Roman"/>
          <w:sz w:val="24"/>
        </w:rPr>
        <w:t>Rozsah pojištění je  specifikován  ve  VPPPMV–F–5/2025.  Tento  rozsah  pojištění  se  sjednává  pro vozidla pojištěna touto pojistnou smlouvou, u kterých je v Příloze č. 1 v příslušném sloupci označeném pojmem „ASISTENCE“ uvedeno „ANO“.</w:t>
      </w:r>
    </w:p>
    <w:p w14:paraId="14A0B0D8" w14:textId="77777777" w:rsidR="00F65BCA" w:rsidRDefault="00216117">
      <w:pPr>
        <w:ind w:left="258" w:right="478"/>
        <w:rPr>
          <w:rFonts w:ascii="Times New Roman" w:hAnsi="Times New Roman"/>
          <w:sz w:val="24"/>
        </w:rPr>
      </w:pPr>
      <w:r>
        <w:rPr>
          <w:rFonts w:ascii="Times New Roman" w:hAnsi="Times New Roman"/>
          <w:sz w:val="24"/>
        </w:rPr>
        <w:t>Ujednává se, že Asistence „XL“ zahrnuje i chyby řidiče, vyproštění vozidla bez limitu a   příjezd       a práci mechanika bez</w:t>
      </w:r>
      <w:r>
        <w:rPr>
          <w:rFonts w:ascii="Times New Roman" w:hAnsi="Times New Roman"/>
          <w:spacing w:val="-4"/>
          <w:sz w:val="24"/>
        </w:rPr>
        <w:t xml:space="preserve"> </w:t>
      </w:r>
      <w:r>
        <w:rPr>
          <w:rFonts w:ascii="Times New Roman" w:hAnsi="Times New Roman"/>
          <w:sz w:val="24"/>
        </w:rPr>
        <w:t>limitu.</w:t>
      </w:r>
    </w:p>
    <w:p w14:paraId="73AD131A" w14:textId="77777777" w:rsidR="00F65BCA" w:rsidRDefault="00216117">
      <w:pPr>
        <w:ind w:left="258"/>
        <w:rPr>
          <w:rFonts w:ascii="Times New Roman" w:hAnsi="Times New Roman"/>
          <w:sz w:val="24"/>
        </w:rPr>
      </w:pPr>
      <w:r>
        <w:rPr>
          <w:rFonts w:ascii="Times New Roman" w:hAnsi="Times New Roman"/>
          <w:sz w:val="24"/>
        </w:rPr>
        <w:t>Územní platnost: dle VPPPMV–F–5/2025.</w:t>
      </w:r>
    </w:p>
    <w:p w14:paraId="51C2B4F8" w14:textId="77777777" w:rsidR="00F65BCA" w:rsidRDefault="00216117">
      <w:pPr>
        <w:pStyle w:val="Odstavecseseznamem"/>
        <w:numPr>
          <w:ilvl w:val="1"/>
          <w:numId w:val="155"/>
        </w:numPr>
        <w:tabs>
          <w:tab w:val="left" w:pos="979"/>
        </w:tabs>
        <w:spacing w:before="230" w:line="271" w:lineRule="exact"/>
        <w:ind w:left="978" w:hanging="721"/>
        <w:jc w:val="both"/>
        <w:rPr>
          <w:rFonts w:ascii="Times New Roman" w:hAnsi="Times New Roman"/>
          <w:sz w:val="24"/>
        </w:rPr>
      </w:pPr>
      <w:r>
        <w:rPr>
          <w:rFonts w:ascii="Times New Roman" w:hAnsi="Times New Roman"/>
          <w:sz w:val="24"/>
        </w:rPr>
        <w:t>Pojištění činnosti vozidla jako pracovního</w:t>
      </w:r>
      <w:r>
        <w:rPr>
          <w:rFonts w:ascii="Times New Roman" w:hAnsi="Times New Roman"/>
          <w:spacing w:val="-5"/>
          <w:sz w:val="24"/>
        </w:rPr>
        <w:t xml:space="preserve"> </w:t>
      </w:r>
      <w:r>
        <w:rPr>
          <w:rFonts w:ascii="Times New Roman" w:hAnsi="Times New Roman"/>
          <w:sz w:val="24"/>
        </w:rPr>
        <w:t>stroje</w:t>
      </w:r>
    </w:p>
    <w:p w14:paraId="35A576EB" w14:textId="77777777" w:rsidR="00F65BCA" w:rsidRDefault="00216117">
      <w:pPr>
        <w:ind w:left="258" w:right="106"/>
        <w:jc w:val="both"/>
        <w:rPr>
          <w:rFonts w:ascii="Times New Roman" w:hAnsi="Times New Roman"/>
          <w:sz w:val="24"/>
        </w:rPr>
      </w:pPr>
      <w:r>
        <w:rPr>
          <w:rFonts w:ascii="Times New Roman" w:hAnsi="Times New Roman"/>
          <w:sz w:val="24"/>
        </w:rPr>
        <w:t>Pro  vybraná  vozidla  uvedená  v Příloze  č.  1  se  ujednává,  že  na  sjednané  havarijní   pojištění dle</w:t>
      </w:r>
      <w:r>
        <w:rPr>
          <w:rFonts w:ascii="Times New Roman" w:hAnsi="Times New Roman"/>
          <w:spacing w:val="-12"/>
          <w:sz w:val="24"/>
        </w:rPr>
        <w:t xml:space="preserve"> </w:t>
      </w:r>
      <w:r>
        <w:rPr>
          <w:rFonts w:ascii="Times New Roman" w:hAnsi="Times New Roman"/>
          <w:sz w:val="24"/>
        </w:rPr>
        <w:t>VPPPMV–F–5/2025</w:t>
      </w:r>
      <w:r>
        <w:rPr>
          <w:rFonts w:ascii="Times New Roman" w:hAnsi="Times New Roman"/>
          <w:spacing w:val="-11"/>
          <w:sz w:val="24"/>
        </w:rPr>
        <w:t xml:space="preserve"> </w:t>
      </w:r>
      <w:r>
        <w:rPr>
          <w:rFonts w:ascii="Times New Roman" w:hAnsi="Times New Roman"/>
          <w:sz w:val="24"/>
        </w:rPr>
        <w:t>se</w:t>
      </w:r>
      <w:r>
        <w:rPr>
          <w:rFonts w:ascii="Times New Roman" w:hAnsi="Times New Roman"/>
          <w:spacing w:val="-12"/>
          <w:sz w:val="24"/>
        </w:rPr>
        <w:t xml:space="preserve"> </w:t>
      </w:r>
      <w:r>
        <w:rPr>
          <w:rFonts w:ascii="Times New Roman" w:hAnsi="Times New Roman"/>
          <w:sz w:val="24"/>
        </w:rPr>
        <w:t>nevztahuje</w:t>
      </w:r>
      <w:r>
        <w:rPr>
          <w:rFonts w:ascii="Times New Roman" w:hAnsi="Times New Roman"/>
          <w:spacing w:val="-12"/>
          <w:sz w:val="24"/>
        </w:rPr>
        <w:t xml:space="preserve"> </w:t>
      </w:r>
      <w:r>
        <w:rPr>
          <w:rFonts w:ascii="Times New Roman" w:hAnsi="Times New Roman"/>
          <w:sz w:val="24"/>
        </w:rPr>
        <w:t>výluka</w:t>
      </w:r>
      <w:r>
        <w:rPr>
          <w:rFonts w:ascii="Times New Roman" w:hAnsi="Times New Roman"/>
          <w:spacing w:val="-11"/>
          <w:sz w:val="24"/>
        </w:rPr>
        <w:t xml:space="preserve"> </w:t>
      </w:r>
      <w:r>
        <w:rPr>
          <w:rFonts w:ascii="Times New Roman" w:hAnsi="Times New Roman"/>
          <w:sz w:val="24"/>
        </w:rPr>
        <w:t>uvedená</w:t>
      </w:r>
      <w:r>
        <w:rPr>
          <w:rFonts w:ascii="Times New Roman" w:hAnsi="Times New Roman"/>
          <w:spacing w:val="-12"/>
          <w:sz w:val="24"/>
        </w:rPr>
        <w:t xml:space="preserve"> </w:t>
      </w:r>
      <w:r>
        <w:rPr>
          <w:rFonts w:ascii="Times New Roman" w:hAnsi="Times New Roman"/>
          <w:sz w:val="24"/>
        </w:rPr>
        <w:t>v</w:t>
      </w:r>
      <w:r>
        <w:rPr>
          <w:rFonts w:ascii="Times New Roman" w:hAnsi="Times New Roman"/>
          <w:spacing w:val="-11"/>
          <w:sz w:val="24"/>
        </w:rPr>
        <w:t xml:space="preserve"> </w:t>
      </w:r>
      <w:r>
        <w:rPr>
          <w:rFonts w:ascii="Times New Roman" w:hAnsi="Times New Roman"/>
          <w:sz w:val="24"/>
        </w:rPr>
        <w:t>čl.</w:t>
      </w:r>
      <w:r>
        <w:rPr>
          <w:rFonts w:ascii="Times New Roman" w:hAnsi="Times New Roman"/>
          <w:spacing w:val="-11"/>
          <w:sz w:val="24"/>
        </w:rPr>
        <w:t xml:space="preserve"> </w:t>
      </w:r>
      <w:r>
        <w:rPr>
          <w:rFonts w:ascii="Times New Roman" w:hAnsi="Times New Roman"/>
          <w:sz w:val="24"/>
        </w:rPr>
        <w:t>26</w:t>
      </w:r>
      <w:r>
        <w:rPr>
          <w:rFonts w:ascii="Times New Roman" w:hAnsi="Times New Roman"/>
          <w:spacing w:val="-11"/>
          <w:sz w:val="24"/>
        </w:rPr>
        <w:t xml:space="preserve"> </w:t>
      </w:r>
      <w:r>
        <w:rPr>
          <w:rFonts w:ascii="Times New Roman" w:hAnsi="Times New Roman"/>
          <w:sz w:val="24"/>
        </w:rPr>
        <w:t>odst.1</w:t>
      </w:r>
      <w:r>
        <w:rPr>
          <w:rFonts w:ascii="Times New Roman" w:hAnsi="Times New Roman"/>
          <w:spacing w:val="-10"/>
          <w:sz w:val="24"/>
        </w:rPr>
        <w:t xml:space="preserve"> </w:t>
      </w:r>
      <w:r>
        <w:rPr>
          <w:rFonts w:ascii="Times New Roman" w:hAnsi="Times New Roman"/>
          <w:sz w:val="24"/>
        </w:rPr>
        <w:t>písm.</w:t>
      </w:r>
      <w:r>
        <w:rPr>
          <w:rFonts w:ascii="Times New Roman" w:hAnsi="Times New Roman"/>
          <w:spacing w:val="-11"/>
          <w:sz w:val="24"/>
        </w:rPr>
        <w:t xml:space="preserve"> </w:t>
      </w:r>
      <w:r>
        <w:rPr>
          <w:rFonts w:ascii="Times New Roman" w:hAnsi="Times New Roman"/>
          <w:sz w:val="24"/>
        </w:rPr>
        <w:t>g)</w:t>
      </w:r>
      <w:r>
        <w:rPr>
          <w:rFonts w:ascii="Times New Roman" w:hAnsi="Times New Roman"/>
          <w:spacing w:val="-12"/>
          <w:sz w:val="24"/>
        </w:rPr>
        <w:t xml:space="preserve"> </w:t>
      </w:r>
      <w:r>
        <w:rPr>
          <w:rFonts w:ascii="Times New Roman" w:hAnsi="Times New Roman"/>
          <w:sz w:val="24"/>
        </w:rPr>
        <w:t>pro</w:t>
      </w:r>
      <w:r>
        <w:rPr>
          <w:rFonts w:ascii="Times New Roman" w:hAnsi="Times New Roman"/>
          <w:spacing w:val="-11"/>
          <w:sz w:val="24"/>
        </w:rPr>
        <w:t xml:space="preserve"> </w:t>
      </w:r>
      <w:r>
        <w:rPr>
          <w:rFonts w:ascii="Times New Roman" w:hAnsi="Times New Roman"/>
          <w:sz w:val="24"/>
        </w:rPr>
        <w:t>činnost</w:t>
      </w:r>
      <w:r>
        <w:rPr>
          <w:rFonts w:ascii="Times New Roman" w:hAnsi="Times New Roman"/>
          <w:spacing w:val="-11"/>
          <w:sz w:val="24"/>
        </w:rPr>
        <w:t xml:space="preserve"> </w:t>
      </w:r>
      <w:r>
        <w:rPr>
          <w:rFonts w:ascii="Times New Roman" w:hAnsi="Times New Roman"/>
          <w:sz w:val="24"/>
        </w:rPr>
        <w:t>vozidla</w:t>
      </w:r>
      <w:r>
        <w:rPr>
          <w:rFonts w:ascii="Times New Roman" w:hAnsi="Times New Roman"/>
          <w:spacing w:val="-11"/>
          <w:sz w:val="24"/>
        </w:rPr>
        <w:t xml:space="preserve"> </w:t>
      </w:r>
      <w:r>
        <w:rPr>
          <w:rFonts w:ascii="Times New Roman" w:hAnsi="Times New Roman"/>
          <w:sz w:val="24"/>
        </w:rPr>
        <w:t>jako pracovního</w:t>
      </w:r>
      <w:r>
        <w:rPr>
          <w:rFonts w:ascii="Times New Roman" w:hAnsi="Times New Roman"/>
          <w:spacing w:val="-5"/>
          <w:sz w:val="24"/>
        </w:rPr>
        <w:t xml:space="preserve"> </w:t>
      </w:r>
      <w:r>
        <w:rPr>
          <w:rFonts w:ascii="Times New Roman" w:hAnsi="Times New Roman"/>
          <w:sz w:val="24"/>
        </w:rPr>
        <w:t>stroje,</w:t>
      </w:r>
      <w:r>
        <w:rPr>
          <w:rFonts w:ascii="Times New Roman" w:hAnsi="Times New Roman"/>
          <w:spacing w:val="-1"/>
          <w:sz w:val="24"/>
        </w:rPr>
        <w:t xml:space="preserve"> </w:t>
      </w:r>
      <w:r>
        <w:rPr>
          <w:rFonts w:ascii="Times New Roman" w:hAnsi="Times New Roman"/>
          <w:sz w:val="24"/>
        </w:rPr>
        <w:t>tzn.</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2"/>
          <w:sz w:val="24"/>
        </w:rPr>
        <w:t xml:space="preserve"> </w:t>
      </w:r>
      <w:r>
        <w:rPr>
          <w:rFonts w:ascii="Times New Roman" w:hAnsi="Times New Roman"/>
          <w:sz w:val="24"/>
        </w:rPr>
        <w:t>pojištění</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5"/>
          <w:sz w:val="24"/>
        </w:rPr>
        <w:t xml:space="preserve"> </w:t>
      </w:r>
      <w:r>
        <w:rPr>
          <w:rFonts w:ascii="Times New Roman" w:hAnsi="Times New Roman"/>
          <w:sz w:val="24"/>
        </w:rPr>
        <w:t>vztahuje</w:t>
      </w:r>
      <w:r>
        <w:rPr>
          <w:rFonts w:ascii="Times New Roman" w:hAnsi="Times New Roman"/>
          <w:spacing w:val="-5"/>
          <w:sz w:val="24"/>
        </w:rPr>
        <w:t xml:space="preserve"> </w:t>
      </w:r>
      <w:r>
        <w:rPr>
          <w:rFonts w:ascii="Times New Roman" w:hAnsi="Times New Roman"/>
          <w:sz w:val="24"/>
        </w:rPr>
        <w:t>také</w:t>
      </w:r>
      <w:r>
        <w:rPr>
          <w:rFonts w:ascii="Times New Roman" w:hAnsi="Times New Roman"/>
          <w:spacing w:val="-5"/>
          <w:sz w:val="24"/>
        </w:rPr>
        <w:t xml:space="preserve"> </w:t>
      </w:r>
      <w:r>
        <w:rPr>
          <w:rFonts w:ascii="Times New Roman" w:hAnsi="Times New Roman"/>
          <w:sz w:val="24"/>
        </w:rPr>
        <w:t>na</w:t>
      </w:r>
      <w:r>
        <w:rPr>
          <w:rFonts w:ascii="Times New Roman" w:hAnsi="Times New Roman"/>
          <w:spacing w:val="-5"/>
          <w:sz w:val="24"/>
        </w:rPr>
        <w:t xml:space="preserve"> </w:t>
      </w:r>
      <w:r>
        <w:rPr>
          <w:rFonts w:ascii="Times New Roman" w:hAnsi="Times New Roman"/>
          <w:sz w:val="24"/>
        </w:rPr>
        <w:t>poškození</w:t>
      </w:r>
      <w:r>
        <w:rPr>
          <w:rFonts w:ascii="Times New Roman" w:hAnsi="Times New Roman"/>
          <w:spacing w:val="-1"/>
          <w:sz w:val="24"/>
        </w:rPr>
        <w:t xml:space="preserve"> </w:t>
      </w:r>
      <w:r>
        <w:rPr>
          <w:rFonts w:ascii="Times New Roman" w:hAnsi="Times New Roman"/>
          <w:sz w:val="24"/>
        </w:rPr>
        <w:t>či</w:t>
      </w:r>
      <w:r>
        <w:rPr>
          <w:rFonts w:ascii="Times New Roman" w:hAnsi="Times New Roman"/>
          <w:spacing w:val="-4"/>
          <w:sz w:val="24"/>
        </w:rPr>
        <w:t xml:space="preserve"> </w:t>
      </w:r>
      <w:r>
        <w:rPr>
          <w:rFonts w:ascii="Times New Roman" w:hAnsi="Times New Roman"/>
          <w:sz w:val="24"/>
        </w:rPr>
        <w:t>zničení</w:t>
      </w:r>
      <w:r>
        <w:rPr>
          <w:rFonts w:ascii="Times New Roman" w:hAnsi="Times New Roman"/>
          <w:spacing w:val="-1"/>
          <w:sz w:val="24"/>
        </w:rPr>
        <w:t xml:space="preserve"> </w:t>
      </w:r>
      <w:r>
        <w:rPr>
          <w:rFonts w:ascii="Times New Roman" w:hAnsi="Times New Roman"/>
          <w:sz w:val="24"/>
        </w:rPr>
        <w:t>vozidla</w:t>
      </w:r>
      <w:r>
        <w:rPr>
          <w:rFonts w:ascii="Times New Roman" w:hAnsi="Times New Roman"/>
          <w:spacing w:val="-5"/>
          <w:sz w:val="24"/>
        </w:rPr>
        <w:t xml:space="preserve"> </w:t>
      </w:r>
      <w:r>
        <w:rPr>
          <w:rFonts w:ascii="Times New Roman" w:hAnsi="Times New Roman"/>
          <w:sz w:val="24"/>
        </w:rPr>
        <w:t>nebo</w:t>
      </w:r>
      <w:r>
        <w:rPr>
          <w:rFonts w:ascii="Times New Roman" w:hAnsi="Times New Roman"/>
          <w:spacing w:val="-1"/>
          <w:sz w:val="24"/>
        </w:rPr>
        <w:t xml:space="preserve"> </w:t>
      </w:r>
      <w:r>
        <w:rPr>
          <w:rFonts w:ascii="Times New Roman" w:hAnsi="Times New Roman"/>
          <w:sz w:val="24"/>
        </w:rPr>
        <w:t>jeho</w:t>
      </w:r>
      <w:r>
        <w:rPr>
          <w:rFonts w:ascii="Times New Roman" w:hAnsi="Times New Roman"/>
          <w:spacing w:val="-1"/>
          <w:sz w:val="24"/>
        </w:rPr>
        <w:t xml:space="preserve"> </w:t>
      </w:r>
      <w:r>
        <w:rPr>
          <w:rFonts w:ascii="Times New Roman" w:hAnsi="Times New Roman"/>
          <w:sz w:val="24"/>
        </w:rPr>
        <w:t>části</w:t>
      </w:r>
      <w:r>
        <w:rPr>
          <w:rFonts w:ascii="Times New Roman" w:hAnsi="Times New Roman"/>
          <w:spacing w:val="-3"/>
          <w:sz w:val="24"/>
        </w:rPr>
        <w:t xml:space="preserve"> </w:t>
      </w:r>
      <w:r>
        <w:rPr>
          <w:rFonts w:ascii="Times New Roman" w:hAnsi="Times New Roman"/>
          <w:sz w:val="24"/>
        </w:rPr>
        <w:t>při jeho</w:t>
      </w:r>
      <w:r>
        <w:rPr>
          <w:rFonts w:ascii="Times New Roman" w:hAnsi="Times New Roman"/>
          <w:spacing w:val="-14"/>
          <w:sz w:val="24"/>
        </w:rPr>
        <w:t xml:space="preserve"> </w:t>
      </w:r>
      <w:r>
        <w:rPr>
          <w:rFonts w:ascii="Times New Roman" w:hAnsi="Times New Roman"/>
          <w:sz w:val="24"/>
        </w:rPr>
        <w:t>činnosti</w:t>
      </w:r>
      <w:r>
        <w:rPr>
          <w:rFonts w:ascii="Times New Roman" w:hAnsi="Times New Roman"/>
          <w:spacing w:val="-14"/>
          <w:sz w:val="24"/>
        </w:rPr>
        <w:t xml:space="preserve"> </w:t>
      </w:r>
      <w:r>
        <w:rPr>
          <w:rFonts w:ascii="Times New Roman" w:hAnsi="Times New Roman"/>
          <w:sz w:val="24"/>
        </w:rPr>
        <w:t>jako</w:t>
      </w:r>
      <w:r>
        <w:rPr>
          <w:rFonts w:ascii="Times New Roman" w:hAnsi="Times New Roman"/>
          <w:spacing w:val="-13"/>
          <w:sz w:val="24"/>
        </w:rPr>
        <w:t xml:space="preserve"> </w:t>
      </w:r>
      <w:r>
        <w:rPr>
          <w:rFonts w:ascii="Times New Roman" w:hAnsi="Times New Roman"/>
          <w:sz w:val="24"/>
        </w:rPr>
        <w:t>pracovního</w:t>
      </w:r>
      <w:r>
        <w:rPr>
          <w:rFonts w:ascii="Times New Roman" w:hAnsi="Times New Roman"/>
          <w:spacing w:val="-14"/>
          <w:sz w:val="24"/>
        </w:rPr>
        <w:t xml:space="preserve"> </w:t>
      </w:r>
      <w:r>
        <w:rPr>
          <w:rFonts w:ascii="Times New Roman" w:hAnsi="Times New Roman"/>
          <w:sz w:val="24"/>
        </w:rPr>
        <w:t>stroje</w:t>
      </w:r>
      <w:r>
        <w:rPr>
          <w:rFonts w:ascii="Times New Roman" w:hAnsi="Times New Roman"/>
          <w:spacing w:val="-15"/>
          <w:sz w:val="24"/>
        </w:rPr>
        <w:t xml:space="preserve"> </w:t>
      </w:r>
      <w:r>
        <w:rPr>
          <w:rFonts w:ascii="Times New Roman" w:hAnsi="Times New Roman"/>
          <w:sz w:val="24"/>
        </w:rPr>
        <w:t>nebo</w:t>
      </w:r>
      <w:r>
        <w:rPr>
          <w:rFonts w:ascii="Times New Roman" w:hAnsi="Times New Roman"/>
          <w:spacing w:val="-13"/>
          <w:sz w:val="24"/>
        </w:rPr>
        <w:t xml:space="preserve"> </w:t>
      </w:r>
      <w:r>
        <w:rPr>
          <w:rFonts w:ascii="Times New Roman" w:hAnsi="Times New Roman"/>
          <w:sz w:val="24"/>
        </w:rPr>
        <w:t>při</w:t>
      </w:r>
      <w:r>
        <w:rPr>
          <w:rFonts w:ascii="Times New Roman" w:hAnsi="Times New Roman"/>
          <w:spacing w:val="-14"/>
          <w:sz w:val="24"/>
        </w:rPr>
        <w:t xml:space="preserve"> </w:t>
      </w:r>
      <w:r>
        <w:rPr>
          <w:rFonts w:ascii="Times New Roman" w:hAnsi="Times New Roman"/>
          <w:sz w:val="24"/>
        </w:rPr>
        <w:t>jeho</w:t>
      </w:r>
      <w:r>
        <w:rPr>
          <w:rFonts w:ascii="Times New Roman" w:hAnsi="Times New Roman"/>
          <w:spacing w:val="-13"/>
          <w:sz w:val="24"/>
        </w:rPr>
        <w:t xml:space="preserve"> </w:t>
      </w:r>
      <w:r>
        <w:rPr>
          <w:rFonts w:ascii="Times New Roman" w:hAnsi="Times New Roman"/>
          <w:sz w:val="24"/>
        </w:rPr>
        <w:t>využití</w:t>
      </w:r>
      <w:r>
        <w:rPr>
          <w:rFonts w:ascii="Times New Roman" w:hAnsi="Times New Roman"/>
          <w:spacing w:val="-14"/>
          <w:sz w:val="24"/>
        </w:rPr>
        <w:t xml:space="preserve"> </w:t>
      </w:r>
      <w:r>
        <w:rPr>
          <w:rFonts w:ascii="Times New Roman" w:hAnsi="Times New Roman"/>
          <w:sz w:val="24"/>
        </w:rPr>
        <w:t>k</w:t>
      </w:r>
      <w:r>
        <w:rPr>
          <w:rFonts w:ascii="Times New Roman" w:hAnsi="Times New Roman"/>
          <w:spacing w:val="-14"/>
          <w:sz w:val="24"/>
        </w:rPr>
        <w:t xml:space="preserve"> </w:t>
      </w:r>
      <w:r>
        <w:rPr>
          <w:rFonts w:ascii="Times New Roman" w:hAnsi="Times New Roman"/>
          <w:sz w:val="24"/>
        </w:rPr>
        <w:t>manipulaci</w:t>
      </w:r>
      <w:r>
        <w:rPr>
          <w:rFonts w:ascii="Times New Roman" w:hAnsi="Times New Roman"/>
          <w:spacing w:val="-13"/>
          <w:sz w:val="24"/>
        </w:rPr>
        <w:t xml:space="preserve"> </w:t>
      </w:r>
      <w:r>
        <w:rPr>
          <w:rFonts w:ascii="Times New Roman" w:hAnsi="Times New Roman"/>
          <w:sz w:val="24"/>
        </w:rPr>
        <w:t>s</w:t>
      </w:r>
      <w:r>
        <w:rPr>
          <w:rFonts w:ascii="Times New Roman" w:hAnsi="Times New Roman"/>
          <w:spacing w:val="-14"/>
          <w:sz w:val="24"/>
        </w:rPr>
        <w:t xml:space="preserve"> </w:t>
      </w:r>
      <w:r>
        <w:rPr>
          <w:rFonts w:ascii="Times New Roman" w:hAnsi="Times New Roman"/>
          <w:sz w:val="24"/>
        </w:rPr>
        <w:t>nákladem</w:t>
      </w:r>
      <w:r>
        <w:rPr>
          <w:rFonts w:ascii="Times New Roman" w:hAnsi="Times New Roman"/>
          <w:spacing w:val="-13"/>
          <w:sz w:val="24"/>
        </w:rPr>
        <w:t xml:space="preserve"> </w:t>
      </w:r>
      <w:r>
        <w:rPr>
          <w:rFonts w:ascii="Times New Roman" w:hAnsi="Times New Roman"/>
          <w:sz w:val="24"/>
        </w:rPr>
        <w:t>(použití</w:t>
      </w:r>
      <w:r>
        <w:rPr>
          <w:rFonts w:ascii="Times New Roman" w:hAnsi="Times New Roman"/>
          <w:spacing w:val="-14"/>
          <w:sz w:val="24"/>
        </w:rPr>
        <w:t xml:space="preserve"> </w:t>
      </w:r>
      <w:r>
        <w:rPr>
          <w:rFonts w:ascii="Times New Roman" w:hAnsi="Times New Roman"/>
          <w:sz w:val="24"/>
        </w:rPr>
        <w:t>hydraulické ruky, sklápění</w:t>
      </w:r>
      <w:r>
        <w:rPr>
          <w:rFonts w:ascii="Times New Roman" w:hAnsi="Times New Roman"/>
          <w:spacing w:val="-1"/>
          <w:sz w:val="24"/>
        </w:rPr>
        <w:t xml:space="preserve"> </w:t>
      </w:r>
      <w:r>
        <w:rPr>
          <w:rFonts w:ascii="Times New Roman" w:hAnsi="Times New Roman"/>
          <w:sz w:val="24"/>
        </w:rPr>
        <w:t>apod.).</w:t>
      </w:r>
    </w:p>
    <w:p w14:paraId="27CFF3A2" w14:textId="77777777" w:rsidR="00F65BCA" w:rsidRDefault="00F65BCA">
      <w:pPr>
        <w:pStyle w:val="Zkladntext"/>
        <w:spacing w:before="7"/>
        <w:rPr>
          <w:rFonts w:ascii="Times New Roman"/>
          <w:sz w:val="23"/>
        </w:rPr>
      </w:pPr>
    </w:p>
    <w:p w14:paraId="6FC254A8" w14:textId="77777777" w:rsidR="00F65BCA" w:rsidRDefault="00216117">
      <w:pPr>
        <w:pStyle w:val="Odstavecseseznamem"/>
        <w:numPr>
          <w:ilvl w:val="1"/>
          <w:numId w:val="155"/>
        </w:numPr>
        <w:tabs>
          <w:tab w:val="left" w:pos="1039"/>
        </w:tabs>
        <w:ind w:left="1038" w:hanging="781"/>
        <w:jc w:val="both"/>
        <w:rPr>
          <w:rFonts w:ascii="Times New Roman" w:hAnsi="Times New Roman"/>
          <w:sz w:val="24"/>
        </w:rPr>
      </w:pPr>
      <w:r>
        <w:rPr>
          <w:rFonts w:ascii="Times New Roman" w:hAnsi="Times New Roman"/>
          <w:sz w:val="24"/>
        </w:rPr>
        <w:t>Pojištění „Poškození nebo odcizení</w:t>
      </w:r>
      <w:r>
        <w:rPr>
          <w:rFonts w:ascii="Times New Roman" w:hAnsi="Times New Roman"/>
          <w:spacing w:val="-1"/>
          <w:sz w:val="24"/>
        </w:rPr>
        <w:t xml:space="preserve"> </w:t>
      </w:r>
      <w:r>
        <w:rPr>
          <w:rFonts w:ascii="Times New Roman" w:hAnsi="Times New Roman"/>
          <w:sz w:val="24"/>
        </w:rPr>
        <w:t>zavazadel“</w:t>
      </w:r>
    </w:p>
    <w:p w14:paraId="0D36A3D3" w14:textId="77777777" w:rsidR="00F65BCA" w:rsidRDefault="00216117">
      <w:pPr>
        <w:ind w:left="258" w:right="107"/>
        <w:jc w:val="both"/>
        <w:rPr>
          <w:rFonts w:ascii="Times New Roman" w:hAnsi="Times New Roman"/>
          <w:sz w:val="24"/>
        </w:rPr>
      </w:pPr>
      <w:r>
        <w:rPr>
          <w:rFonts w:ascii="Times New Roman" w:hAnsi="Times New Roman"/>
          <w:sz w:val="24"/>
        </w:rPr>
        <w:t>Pojištění se vztahuje na cestovní  zavazadla, věci osobní potřeby  a sportovní výbavu dopravované    v pojištěném vozidle. Předmětem pojištění jsou také zavazadla dopravovaná v uzamčeném střešním boxu, pokud spojení mezi střešním boxem a střešním nosičem a současně také mezi střešním</w:t>
      </w:r>
      <w:r>
        <w:rPr>
          <w:rFonts w:ascii="Times New Roman" w:hAnsi="Times New Roman"/>
          <w:spacing w:val="-26"/>
          <w:sz w:val="24"/>
        </w:rPr>
        <w:t xml:space="preserve"> </w:t>
      </w:r>
      <w:r>
        <w:rPr>
          <w:rFonts w:ascii="Times New Roman" w:hAnsi="Times New Roman"/>
          <w:sz w:val="24"/>
        </w:rPr>
        <w:t>nosičem a vozidlem je pevné a</w:t>
      </w:r>
      <w:r>
        <w:rPr>
          <w:rFonts w:ascii="Times New Roman" w:hAnsi="Times New Roman"/>
          <w:spacing w:val="-5"/>
          <w:sz w:val="24"/>
        </w:rPr>
        <w:t xml:space="preserve"> </w:t>
      </w:r>
      <w:r>
        <w:rPr>
          <w:rFonts w:ascii="Times New Roman" w:hAnsi="Times New Roman"/>
          <w:sz w:val="24"/>
        </w:rPr>
        <w:t>zamčené.</w:t>
      </w:r>
    </w:p>
    <w:p w14:paraId="0437939F" w14:textId="77777777" w:rsidR="00F65BCA" w:rsidRDefault="00216117">
      <w:pPr>
        <w:ind w:left="258" w:right="106"/>
        <w:jc w:val="both"/>
        <w:rPr>
          <w:rFonts w:ascii="Times New Roman" w:hAnsi="Times New Roman"/>
          <w:sz w:val="24"/>
        </w:rPr>
      </w:pPr>
      <w:r>
        <w:rPr>
          <w:rFonts w:ascii="Times New Roman" w:hAnsi="Times New Roman"/>
          <w:sz w:val="24"/>
        </w:rPr>
        <w:t>Pojistná nebezpečí: střetem, pádem, nárazem, požárem, výbuchem, úderem blesku, krupobitím, vichřicí, pádem jakýchkoli věcí, povodní, záplavou, zásahem cizí osoby, krádež vloupáním nebo loupežným</w:t>
      </w:r>
      <w:r>
        <w:rPr>
          <w:rFonts w:ascii="Times New Roman" w:hAnsi="Times New Roman"/>
          <w:spacing w:val="-12"/>
          <w:sz w:val="24"/>
        </w:rPr>
        <w:t xml:space="preserve"> </w:t>
      </w:r>
      <w:r>
        <w:rPr>
          <w:rFonts w:ascii="Times New Roman" w:hAnsi="Times New Roman"/>
          <w:sz w:val="24"/>
        </w:rPr>
        <w:t>přepadením,</w:t>
      </w:r>
      <w:r>
        <w:rPr>
          <w:rFonts w:ascii="Times New Roman" w:hAnsi="Times New Roman"/>
          <w:spacing w:val="-12"/>
          <w:sz w:val="24"/>
        </w:rPr>
        <w:t xml:space="preserve"> </w:t>
      </w:r>
      <w:r>
        <w:rPr>
          <w:rFonts w:ascii="Times New Roman" w:hAnsi="Times New Roman"/>
          <w:sz w:val="24"/>
        </w:rPr>
        <w:t>pohřešování</w:t>
      </w:r>
      <w:r>
        <w:rPr>
          <w:rFonts w:ascii="Times New Roman" w:hAnsi="Times New Roman"/>
          <w:spacing w:val="-12"/>
          <w:sz w:val="24"/>
        </w:rPr>
        <w:t xml:space="preserve"> </w:t>
      </w:r>
      <w:r>
        <w:rPr>
          <w:rFonts w:ascii="Times New Roman" w:hAnsi="Times New Roman"/>
          <w:sz w:val="24"/>
        </w:rPr>
        <w:t>v</w:t>
      </w:r>
      <w:r>
        <w:rPr>
          <w:rFonts w:ascii="Times New Roman" w:hAnsi="Times New Roman"/>
          <w:spacing w:val="-12"/>
          <w:sz w:val="24"/>
        </w:rPr>
        <w:t xml:space="preserve"> </w:t>
      </w:r>
      <w:r>
        <w:rPr>
          <w:rFonts w:ascii="Times New Roman" w:hAnsi="Times New Roman"/>
          <w:sz w:val="24"/>
        </w:rPr>
        <w:t>příčinné</w:t>
      </w:r>
      <w:r>
        <w:rPr>
          <w:rFonts w:ascii="Times New Roman" w:hAnsi="Times New Roman"/>
          <w:spacing w:val="-13"/>
          <w:sz w:val="24"/>
        </w:rPr>
        <w:t xml:space="preserve"> </w:t>
      </w:r>
      <w:r>
        <w:rPr>
          <w:rFonts w:ascii="Times New Roman" w:hAnsi="Times New Roman"/>
          <w:sz w:val="24"/>
        </w:rPr>
        <w:t>souvislosti</w:t>
      </w:r>
      <w:r>
        <w:rPr>
          <w:rFonts w:ascii="Times New Roman" w:hAnsi="Times New Roman"/>
          <w:spacing w:val="-12"/>
          <w:sz w:val="24"/>
        </w:rPr>
        <w:t xml:space="preserve"> </w:t>
      </w:r>
      <w:r>
        <w:rPr>
          <w:rFonts w:ascii="Times New Roman" w:hAnsi="Times New Roman"/>
          <w:sz w:val="24"/>
        </w:rPr>
        <w:t>s</w:t>
      </w:r>
      <w:r>
        <w:rPr>
          <w:rFonts w:ascii="Times New Roman" w:hAnsi="Times New Roman"/>
          <w:spacing w:val="-14"/>
          <w:sz w:val="24"/>
        </w:rPr>
        <w:t xml:space="preserve"> </w:t>
      </w:r>
      <w:r>
        <w:rPr>
          <w:rFonts w:ascii="Times New Roman" w:hAnsi="Times New Roman"/>
          <w:sz w:val="24"/>
        </w:rPr>
        <w:t>dopravní</w:t>
      </w:r>
      <w:r>
        <w:rPr>
          <w:rFonts w:ascii="Times New Roman" w:hAnsi="Times New Roman"/>
          <w:spacing w:val="-12"/>
          <w:sz w:val="24"/>
        </w:rPr>
        <w:t xml:space="preserve"> </w:t>
      </w:r>
      <w:r>
        <w:rPr>
          <w:rFonts w:ascii="Times New Roman" w:hAnsi="Times New Roman"/>
          <w:sz w:val="24"/>
        </w:rPr>
        <w:t>nehodou</w:t>
      </w:r>
      <w:r>
        <w:rPr>
          <w:rFonts w:ascii="Times New Roman" w:hAnsi="Times New Roman"/>
          <w:spacing w:val="-13"/>
          <w:sz w:val="24"/>
        </w:rPr>
        <w:t xml:space="preserve"> </w:t>
      </w:r>
      <w:r>
        <w:rPr>
          <w:rFonts w:ascii="Times New Roman" w:hAnsi="Times New Roman"/>
          <w:sz w:val="24"/>
        </w:rPr>
        <w:t>šetřenou</w:t>
      </w:r>
      <w:r>
        <w:rPr>
          <w:rFonts w:ascii="Times New Roman" w:hAnsi="Times New Roman"/>
          <w:spacing w:val="-12"/>
          <w:sz w:val="24"/>
        </w:rPr>
        <w:t xml:space="preserve"> </w:t>
      </w:r>
      <w:r>
        <w:rPr>
          <w:rFonts w:ascii="Times New Roman" w:hAnsi="Times New Roman"/>
          <w:sz w:val="24"/>
        </w:rPr>
        <w:t>policií,</w:t>
      </w:r>
      <w:r>
        <w:rPr>
          <w:rFonts w:ascii="Times New Roman" w:hAnsi="Times New Roman"/>
          <w:spacing w:val="-12"/>
          <w:sz w:val="24"/>
        </w:rPr>
        <w:t xml:space="preserve"> </w:t>
      </w:r>
      <w:r>
        <w:rPr>
          <w:rFonts w:ascii="Times New Roman" w:hAnsi="Times New Roman"/>
          <w:sz w:val="24"/>
        </w:rPr>
        <w:t>pokud fyzická osoba pozbyla schopnost předmět pojištění</w:t>
      </w:r>
      <w:r>
        <w:rPr>
          <w:rFonts w:ascii="Times New Roman" w:hAnsi="Times New Roman"/>
          <w:spacing w:val="-4"/>
          <w:sz w:val="24"/>
        </w:rPr>
        <w:t xml:space="preserve"> </w:t>
      </w:r>
      <w:r>
        <w:rPr>
          <w:rFonts w:ascii="Times New Roman" w:hAnsi="Times New Roman"/>
          <w:sz w:val="24"/>
        </w:rPr>
        <w:t>opatrovat.</w:t>
      </w:r>
    </w:p>
    <w:p w14:paraId="6326F68D" w14:textId="77777777" w:rsidR="00F65BCA" w:rsidRDefault="00216117">
      <w:pPr>
        <w:spacing w:line="550" w:lineRule="atLeast"/>
        <w:ind w:left="258" w:right="3816"/>
        <w:rPr>
          <w:rFonts w:ascii="Times New Roman" w:hAnsi="Times New Roman"/>
          <w:sz w:val="24"/>
        </w:rPr>
      </w:pPr>
      <w:r>
        <w:rPr>
          <w:rFonts w:ascii="Times New Roman" w:hAnsi="Times New Roman"/>
          <w:sz w:val="24"/>
        </w:rPr>
        <w:t>Limit plnění: 20.000,- Kč na pojistnou událost bez spoluúčasti. Územní platnost: dle VPPPMV–F–5/2025.</w:t>
      </w:r>
    </w:p>
    <w:p w14:paraId="68CD7D7A" w14:textId="77777777" w:rsidR="00F65BCA" w:rsidRDefault="00216117">
      <w:pPr>
        <w:spacing w:before="2"/>
        <w:ind w:left="258"/>
        <w:rPr>
          <w:rFonts w:ascii="Times New Roman" w:hAnsi="Times New Roman"/>
          <w:sz w:val="24"/>
        </w:rPr>
      </w:pPr>
      <w:r>
        <w:rPr>
          <w:rFonts w:ascii="Times New Roman" w:hAnsi="Times New Roman"/>
          <w:sz w:val="24"/>
        </w:rPr>
        <w:t>Pojištění se vztahuje na vybraná vozidla dle Přílohy č. 1 této pojistné smlouvy.</w:t>
      </w:r>
    </w:p>
    <w:p w14:paraId="2E538DA2" w14:textId="77777777" w:rsidR="00F65BCA" w:rsidRDefault="00F65BCA">
      <w:pPr>
        <w:pStyle w:val="Zkladntext"/>
        <w:rPr>
          <w:rFonts w:ascii="Times New Roman"/>
          <w:sz w:val="26"/>
        </w:rPr>
      </w:pPr>
    </w:p>
    <w:p w14:paraId="566D514C" w14:textId="77777777" w:rsidR="00F65BCA" w:rsidRDefault="00F65BCA">
      <w:pPr>
        <w:pStyle w:val="Zkladntext"/>
        <w:rPr>
          <w:rFonts w:ascii="Times New Roman"/>
          <w:sz w:val="26"/>
        </w:rPr>
      </w:pPr>
    </w:p>
    <w:p w14:paraId="3AD4BB75" w14:textId="77777777" w:rsidR="00F65BCA" w:rsidRDefault="00216117">
      <w:pPr>
        <w:pStyle w:val="Odstavecseseznamem"/>
        <w:numPr>
          <w:ilvl w:val="0"/>
          <w:numId w:val="155"/>
        </w:numPr>
        <w:tabs>
          <w:tab w:val="left" w:pos="824"/>
          <w:tab w:val="left" w:pos="825"/>
        </w:tabs>
        <w:spacing w:before="230"/>
        <w:rPr>
          <w:rFonts w:ascii="Times New Roman" w:hAnsi="Times New Roman"/>
          <w:b/>
          <w:sz w:val="24"/>
        </w:rPr>
      </w:pPr>
      <w:r>
        <w:rPr>
          <w:rFonts w:ascii="Times New Roman" w:hAnsi="Times New Roman"/>
          <w:b/>
          <w:sz w:val="24"/>
        </w:rPr>
        <w:t>Pojištění jednotlivého vozidla – uzavření</w:t>
      </w:r>
      <w:r>
        <w:rPr>
          <w:rFonts w:ascii="Times New Roman" w:hAnsi="Times New Roman"/>
          <w:b/>
          <w:spacing w:val="-1"/>
          <w:sz w:val="24"/>
        </w:rPr>
        <w:t xml:space="preserve"> </w:t>
      </w:r>
      <w:r>
        <w:rPr>
          <w:rFonts w:ascii="Times New Roman" w:hAnsi="Times New Roman"/>
          <w:b/>
          <w:sz w:val="24"/>
        </w:rPr>
        <w:t>podsmlouvy</w:t>
      </w:r>
    </w:p>
    <w:p w14:paraId="0E285218" w14:textId="77777777" w:rsidR="00F65BCA" w:rsidRDefault="00216117">
      <w:pPr>
        <w:pStyle w:val="Odstavecseseznamem"/>
        <w:numPr>
          <w:ilvl w:val="1"/>
          <w:numId w:val="155"/>
        </w:numPr>
        <w:tabs>
          <w:tab w:val="left" w:pos="978"/>
          <w:tab w:val="left" w:pos="979"/>
        </w:tabs>
        <w:ind w:right="109" w:firstLine="0"/>
        <w:rPr>
          <w:rFonts w:ascii="Times New Roman" w:hAnsi="Times New Roman"/>
          <w:sz w:val="24"/>
        </w:rPr>
      </w:pPr>
      <w:r>
        <w:rPr>
          <w:rFonts w:ascii="Times New Roman" w:hAnsi="Times New Roman"/>
          <w:sz w:val="24"/>
        </w:rPr>
        <w:t>Pojištění jednotlivého vozidla vzniká okamžikem uvedeným v seznamu vozidel jako počátek pojištění daného vozidla, přičemž tento den nesmí předcházet datu počátku pojistné</w:t>
      </w:r>
      <w:r>
        <w:rPr>
          <w:rFonts w:ascii="Times New Roman" w:hAnsi="Times New Roman"/>
          <w:spacing w:val="-7"/>
          <w:sz w:val="24"/>
        </w:rPr>
        <w:t xml:space="preserve"> </w:t>
      </w:r>
      <w:r>
        <w:rPr>
          <w:rFonts w:ascii="Times New Roman" w:hAnsi="Times New Roman"/>
          <w:sz w:val="24"/>
        </w:rPr>
        <w:t>smlouvy.</w:t>
      </w:r>
    </w:p>
    <w:p w14:paraId="3BE22D59" w14:textId="77777777" w:rsidR="00F65BCA" w:rsidRDefault="00216117">
      <w:pPr>
        <w:pStyle w:val="Odstavecseseznamem"/>
        <w:numPr>
          <w:ilvl w:val="1"/>
          <w:numId w:val="155"/>
        </w:numPr>
        <w:tabs>
          <w:tab w:val="left" w:pos="978"/>
          <w:tab w:val="left" w:pos="979"/>
        </w:tabs>
        <w:ind w:right="107" w:firstLine="0"/>
        <w:rPr>
          <w:rFonts w:ascii="Times New Roman" w:hAnsi="Times New Roman"/>
          <w:sz w:val="24"/>
        </w:rPr>
      </w:pPr>
      <w:r>
        <w:rPr>
          <w:rFonts w:ascii="Times New Roman" w:hAnsi="Times New Roman"/>
          <w:sz w:val="24"/>
        </w:rPr>
        <w:t>Vozidlo je zařazeno do pojištění nejpozději druhý pracovní den následující po dni žádosti Pojistníka na jeho</w:t>
      </w:r>
      <w:r>
        <w:rPr>
          <w:rFonts w:ascii="Times New Roman" w:hAnsi="Times New Roman"/>
          <w:spacing w:val="-3"/>
          <w:sz w:val="24"/>
        </w:rPr>
        <w:t xml:space="preserve"> </w:t>
      </w:r>
      <w:r>
        <w:rPr>
          <w:rFonts w:ascii="Times New Roman" w:hAnsi="Times New Roman"/>
          <w:sz w:val="24"/>
        </w:rPr>
        <w:t>zařazení.</w:t>
      </w:r>
    </w:p>
    <w:p w14:paraId="6EF285DF" w14:textId="77777777" w:rsidR="00F65BCA" w:rsidRDefault="00216117">
      <w:pPr>
        <w:pStyle w:val="Odstavecseseznamem"/>
        <w:numPr>
          <w:ilvl w:val="1"/>
          <w:numId w:val="155"/>
        </w:numPr>
        <w:tabs>
          <w:tab w:val="left" w:pos="978"/>
          <w:tab w:val="left" w:pos="979"/>
        </w:tabs>
        <w:ind w:right="107" w:firstLine="0"/>
        <w:rPr>
          <w:rFonts w:ascii="Times New Roman" w:hAnsi="Times New Roman"/>
          <w:sz w:val="24"/>
        </w:rPr>
      </w:pPr>
      <w:r>
        <w:rPr>
          <w:rFonts w:ascii="Times New Roman" w:hAnsi="Times New Roman"/>
          <w:sz w:val="24"/>
        </w:rPr>
        <w:t>Žádost o přijetí vozidla do pojištění je Pojišťovna oprávněna odmítnout, pokud toto odmítnutí neodporuje zákonu nebo příslušným pojistným podmínkám</w:t>
      </w:r>
      <w:r>
        <w:rPr>
          <w:rFonts w:ascii="Times New Roman" w:hAnsi="Times New Roman"/>
          <w:spacing w:val="-1"/>
          <w:sz w:val="24"/>
        </w:rPr>
        <w:t xml:space="preserve"> </w:t>
      </w:r>
      <w:r>
        <w:rPr>
          <w:rFonts w:ascii="Times New Roman" w:hAnsi="Times New Roman"/>
          <w:sz w:val="24"/>
        </w:rPr>
        <w:t>Pojišťovny.</w:t>
      </w:r>
    </w:p>
    <w:p w14:paraId="6906B458" w14:textId="77777777" w:rsidR="00F65BCA" w:rsidRDefault="00216117">
      <w:pPr>
        <w:pStyle w:val="Odstavecseseznamem"/>
        <w:numPr>
          <w:ilvl w:val="1"/>
          <w:numId w:val="155"/>
        </w:numPr>
        <w:tabs>
          <w:tab w:val="left" w:pos="978"/>
          <w:tab w:val="left" w:pos="979"/>
        </w:tabs>
        <w:ind w:right="108" w:firstLine="0"/>
        <w:rPr>
          <w:rFonts w:ascii="Times New Roman" w:hAnsi="Times New Roman"/>
          <w:sz w:val="24"/>
        </w:rPr>
      </w:pPr>
      <w:r>
        <w:rPr>
          <w:rFonts w:ascii="Times New Roman" w:hAnsi="Times New Roman"/>
          <w:sz w:val="24"/>
        </w:rPr>
        <w:t>U podsmluv s uzavřeným pojištěním odpovědnosti z provozu vozidla vydá Pojišťovna Pojistníkovi zelenou</w:t>
      </w:r>
      <w:r>
        <w:rPr>
          <w:rFonts w:ascii="Times New Roman" w:hAnsi="Times New Roman"/>
          <w:spacing w:val="-1"/>
          <w:sz w:val="24"/>
        </w:rPr>
        <w:t xml:space="preserve"> </w:t>
      </w:r>
      <w:r>
        <w:rPr>
          <w:rFonts w:ascii="Times New Roman" w:hAnsi="Times New Roman"/>
          <w:sz w:val="24"/>
        </w:rPr>
        <w:t>kartu.</w:t>
      </w:r>
    </w:p>
    <w:p w14:paraId="41418962" w14:textId="77777777" w:rsidR="00F65BCA" w:rsidRDefault="00F65BCA">
      <w:pPr>
        <w:pStyle w:val="Zkladntext"/>
        <w:rPr>
          <w:rFonts w:ascii="Times New Roman"/>
          <w:sz w:val="26"/>
        </w:rPr>
      </w:pPr>
    </w:p>
    <w:p w14:paraId="0A404048" w14:textId="77777777" w:rsidR="00F65BCA" w:rsidRDefault="00F65BCA">
      <w:pPr>
        <w:pStyle w:val="Zkladntext"/>
        <w:rPr>
          <w:rFonts w:ascii="Times New Roman"/>
          <w:sz w:val="26"/>
        </w:rPr>
      </w:pPr>
    </w:p>
    <w:p w14:paraId="5DEECF2A" w14:textId="77777777" w:rsidR="00F65BCA" w:rsidRDefault="00216117">
      <w:pPr>
        <w:pStyle w:val="Odstavecseseznamem"/>
        <w:numPr>
          <w:ilvl w:val="0"/>
          <w:numId w:val="155"/>
        </w:numPr>
        <w:tabs>
          <w:tab w:val="left" w:pos="824"/>
          <w:tab w:val="left" w:pos="825"/>
        </w:tabs>
        <w:spacing w:before="230"/>
        <w:rPr>
          <w:rFonts w:ascii="Times New Roman" w:hAnsi="Times New Roman"/>
          <w:b/>
          <w:sz w:val="24"/>
        </w:rPr>
      </w:pPr>
      <w:r>
        <w:rPr>
          <w:rFonts w:ascii="Times New Roman" w:hAnsi="Times New Roman"/>
          <w:b/>
          <w:sz w:val="24"/>
        </w:rPr>
        <w:t>Počátek a doba trvání pojištění</w:t>
      </w:r>
    </w:p>
    <w:p w14:paraId="2D8E6343" w14:textId="77777777" w:rsidR="00F65BCA" w:rsidRDefault="00216117">
      <w:pPr>
        <w:pStyle w:val="Odstavecseseznamem"/>
        <w:numPr>
          <w:ilvl w:val="1"/>
          <w:numId w:val="155"/>
        </w:numPr>
        <w:tabs>
          <w:tab w:val="left" w:pos="978"/>
          <w:tab w:val="left" w:pos="979"/>
        </w:tabs>
        <w:ind w:right="106" w:hanging="1"/>
        <w:rPr>
          <w:rFonts w:ascii="Times New Roman" w:hAnsi="Times New Roman"/>
          <w:sz w:val="24"/>
        </w:rPr>
      </w:pPr>
      <w:r>
        <w:rPr>
          <w:rFonts w:ascii="Times New Roman" w:hAnsi="Times New Roman"/>
          <w:sz w:val="24"/>
        </w:rPr>
        <w:t xml:space="preserve">Tato pojistná smlouva se sjednává na dobu určitou </w:t>
      </w:r>
      <w:r>
        <w:rPr>
          <w:rFonts w:ascii="Times New Roman" w:hAnsi="Times New Roman"/>
          <w:b/>
          <w:sz w:val="24"/>
        </w:rPr>
        <w:t>od 1. 1. 2026 do 31.12. 2028</w:t>
      </w:r>
      <w:r>
        <w:rPr>
          <w:rFonts w:ascii="Times New Roman" w:hAnsi="Times New Roman"/>
          <w:sz w:val="24"/>
        </w:rPr>
        <w:t>, tj. tři roky, přičemž pojistným obdobím je 1 pojistný rok (12 kalendářních</w:t>
      </w:r>
      <w:r>
        <w:rPr>
          <w:rFonts w:ascii="Times New Roman" w:hAnsi="Times New Roman"/>
          <w:spacing w:val="-5"/>
          <w:sz w:val="24"/>
        </w:rPr>
        <w:t xml:space="preserve"> </w:t>
      </w:r>
      <w:r>
        <w:rPr>
          <w:rFonts w:ascii="Times New Roman" w:hAnsi="Times New Roman"/>
          <w:sz w:val="24"/>
        </w:rPr>
        <w:t>měsíců).</w:t>
      </w:r>
    </w:p>
    <w:p w14:paraId="4A82D57C" w14:textId="77777777" w:rsidR="00F65BCA" w:rsidRDefault="00F65BCA">
      <w:pPr>
        <w:pStyle w:val="Zkladntext"/>
        <w:rPr>
          <w:rFonts w:ascii="Times New Roman"/>
          <w:sz w:val="20"/>
        </w:rPr>
      </w:pPr>
    </w:p>
    <w:p w14:paraId="1844CF37" w14:textId="77777777" w:rsidR="00F65BCA" w:rsidRDefault="00F65BCA">
      <w:pPr>
        <w:pStyle w:val="Zkladntext"/>
        <w:rPr>
          <w:rFonts w:ascii="Times New Roman"/>
          <w:sz w:val="20"/>
        </w:rPr>
      </w:pPr>
    </w:p>
    <w:p w14:paraId="22CE2A4D" w14:textId="77777777" w:rsidR="00F65BCA" w:rsidRDefault="00F65BCA">
      <w:pPr>
        <w:pStyle w:val="Zkladntext"/>
        <w:rPr>
          <w:rFonts w:ascii="Times New Roman"/>
          <w:sz w:val="20"/>
        </w:rPr>
      </w:pPr>
    </w:p>
    <w:p w14:paraId="5A39A416" w14:textId="77777777" w:rsidR="00F65BCA" w:rsidRDefault="00F65BCA">
      <w:pPr>
        <w:pStyle w:val="Zkladntext"/>
        <w:spacing w:before="6"/>
        <w:rPr>
          <w:rFonts w:ascii="Times New Roman"/>
          <w:sz w:val="19"/>
        </w:rPr>
      </w:pPr>
    </w:p>
    <w:p w14:paraId="7058D135" w14:textId="77777777" w:rsidR="00F65BCA" w:rsidRDefault="00216117">
      <w:pPr>
        <w:ind w:left="147"/>
        <w:jc w:val="center"/>
        <w:rPr>
          <w:sz w:val="16"/>
        </w:rPr>
      </w:pPr>
      <w:r>
        <w:rPr>
          <w:sz w:val="16"/>
        </w:rPr>
        <w:t>5</w:t>
      </w:r>
    </w:p>
    <w:p w14:paraId="1A5EC9B4" w14:textId="77777777" w:rsidR="00F65BCA" w:rsidRDefault="00F65BCA">
      <w:pPr>
        <w:jc w:val="center"/>
        <w:rPr>
          <w:sz w:val="16"/>
        </w:rPr>
        <w:sectPr w:rsidR="00F65BCA">
          <w:pgSz w:w="11900" w:h="16840"/>
          <w:pgMar w:top="1500" w:right="600" w:bottom="280" w:left="1160" w:header="708" w:footer="708" w:gutter="0"/>
          <w:cols w:space="708"/>
        </w:sectPr>
      </w:pPr>
    </w:p>
    <w:p w14:paraId="416CC426" w14:textId="77777777" w:rsidR="00F65BCA" w:rsidRDefault="00216117">
      <w:pPr>
        <w:spacing w:before="71"/>
        <w:ind w:left="258"/>
        <w:rPr>
          <w:rFonts w:ascii="Times New Roman" w:hAnsi="Times New Roman"/>
          <w:sz w:val="24"/>
        </w:rPr>
      </w:pPr>
      <w:r>
        <w:rPr>
          <w:rFonts w:ascii="Times New Roman" w:hAnsi="Times New Roman"/>
          <w:sz w:val="24"/>
        </w:rPr>
        <w:lastRenderedPageBreak/>
        <w:t>Jednotlivá pojistná období budou trvat:</w:t>
      </w:r>
    </w:p>
    <w:p w14:paraId="04ADC3C5" w14:textId="77777777" w:rsidR="00F65BCA" w:rsidRDefault="00F65BCA">
      <w:pPr>
        <w:pStyle w:val="Zkladntext"/>
        <w:rPr>
          <w:rFonts w:ascii="Times New Roman"/>
          <w:sz w:val="24"/>
        </w:rPr>
      </w:pPr>
    </w:p>
    <w:p w14:paraId="193C0781" w14:textId="77777777" w:rsidR="00F65BCA" w:rsidRDefault="00216117">
      <w:pPr>
        <w:ind w:left="258"/>
        <w:rPr>
          <w:rFonts w:ascii="Times New Roman"/>
          <w:sz w:val="24"/>
        </w:rPr>
      </w:pPr>
      <w:r>
        <w:rPr>
          <w:rFonts w:ascii="Times New Roman"/>
          <w:sz w:val="24"/>
        </w:rPr>
        <w:t>a) od 1. 1. 2026 do 31. 12.</w:t>
      </w:r>
      <w:r>
        <w:rPr>
          <w:rFonts w:ascii="Times New Roman"/>
          <w:spacing w:val="-2"/>
          <w:sz w:val="24"/>
        </w:rPr>
        <w:t xml:space="preserve"> </w:t>
      </w:r>
      <w:r>
        <w:rPr>
          <w:rFonts w:ascii="Times New Roman"/>
          <w:sz w:val="24"/>
        </w:rPr>
        <w:t>2026,</w:t>
      </w:r>
    </w:p>
    <w:p w14:paraId="2EF8966A" w14:textId="77777777" w:rsidR="00F65BCA" w:rsidRDefault="00216117">
      <w:pPr>
        <w:ind w:left="258"/>
        <w:rPr>
          <w:rFonts w:ascii="Times New Roman"/>
          <w:sz w:val="24"/>
        </w:rPr>
      </w:pPr>
      <w:r>
        <w:rPr>
          <w:rFonts w:ascii="Times New Roman"/>
          <w:sz w:val="24"/>
        </w:rPr>
        <w:t>b) od 1. 1. 2027 do 31. 12.</w:t>
      </w:r>
      <w:r>
        <w:rPr>
          <w:rFonts w:ascii="Times New Roman"/>
          <w:spacing w:val="-3"/>
          <w:sz w:val="24"/>
        </w:rPr>
        <w:t xml:space="preserve"> </w:t>
      </w:r>
      <w:r>
        <w:rPr>
          <w:rFonts w:ascii="Times New Roman"/>
          <w:sz w:val="24"/>
        </w:rPr>
        <w:t>2027,</w:t>
      </w:r>
    </w:p>
    <w:p w14:paraId="11AF1CFA" w14:textId="77777777" w:rsidR="00F65BCA" w:rsidRDefault="00216117">
      <w:pPr>
        <w:ind w:left="258"/>
        <w:rPr>
          <w:rFonts w:ascii="Times New Roman"/>
          <w:sz w:val="24"/>
        </w:rPr>
      </w:pPr>
      <w:r>
        <w:rPr>
          <w:rFonts w:ascii="Times New Roman"/>
          <w:sz w:val="24"/>
        </w:rPr>
        <w:t>c) od 1. 1. 2028 do 31. 12.</w:t>
      </w:r>
      <w:r>
        <w:rPr>
          <w:rFonts w:ascii="Times New Roman"/>
          <w:spacing w:val="-2"/>
          <w:sz w:val="24"/>
        </w:rPr>
        <w:t xml:space="preserve"> </w:t>
      </w:r>
      <w:r>
        <w:rPr>
          <w:rFonts w:ascii="Times New Roman"/>
          <w:sz w:val="24"/>
        </w:rPr>
        <w:t>2028.</w:t>
      </w:r>
    </w:p>
    <w:p w14:paraId="05F76CB4" w14:textId="77777777" w:rsidR="00F65BCA" w:rsidRDefault="00F65BCA">
      <w:pPr>
        <w:pStyle w:val="Zkladntext"/>
        <w:rPr>
          <w:rFonts w:ascii="Times New Roman"/>
          <w:sz w:val="26"/>
        </w:rPr>
      </w:pPr>
    </w:p>
    <w:p w14:paraId="0011EC9E" w14:textId="77777777" w:rsidR="00F65BCA" w:rsidRDefault="00F65BCA">
      <w:pPr>
        <w:pStyle w:val="Zkladntext"/>
        <w:rPr>
          <w:rFonts w:ascii="Times New Roman"/>
          <w:sz w:val="22"/>
        </w:rPr>
      </w:pPr>
    </w:p>
    <w:p w14:paraId="4AAF17DB" w14:textId="77777777" w:rsidR="00F65BCA" w:rsidRDefault="00216117">
      <w:pPr>
        <w:ind w:left="258"/>
        <w:rPr>
          <w:rFonts w:ascii="Times New Roman" w:hAnsi="Times New Roman"/>
          <w:sz w:val="24"/>
        </w:rPr>
      </w:pPr>
      <w:r>
        <w:rPr>
          <w:rFonts w:ascii="Times New Roman" w:hAnsi="Times New Roman"/>
          <w:sz w:val="24"/>
        </w:rPr>
        <w:t>Pojistná</w:t>
      </w:r>
      <w:r>
        <w:rPr>
          <w:rFonts w:ascii="Times New Roman" w:hAnsi="Times New Roman"/>
          <w:spacing w:val="-13"/>
          <w:sz w:val="24"/>
        </w:rPr>
        <w:t xml:space="preserve"> </w:t>
      </w:r>
      <w:r>
        <w:rPr>
          <w:rFonts w:ascii="Times New Roman" w:hAnsi="Times New Roman"/>
          <w:sz w:val="24"/>
        </w:rPr>
        <w:t>doba</w:t>
      </w:r>
      <w:r>
        <w:rPr>
          <w:rFonts w:ascii="Times New Roman" w:hAnsi="Times New Roman"/>
          <w:spacing w:val="-12"/>
          <w:sz w:val="24"/>
        </w:rPr>
        <w:t xml:space="preserve"> </w:t>
      </w:r>
      <w:r>
        <w:rPr>
          <w:rFonts w:ascii="Times New Roman" w:hAnsi="Times New Roman"/>
          <w:sz w:val="24"/>
        </w:rPr>
        <w:t>pojištění</w:t>
      </w:r>
      <w:r>
        <w:rPr>
          <w:rFonts w:ascii="Times New Roman" w:hAnsi="Times New Roman"/>
          <w:spacing w:val="-11"/>
          <w:sz w:val="24"/>
        </w:rPr>
        <w:t xml:space="preserve"> </w:t>
      </w:r>
      <w:r>
        <w:rPr>
          <w:rFonts w:ascii="Times New Roman" w:hAnsi="Times New Roman"/>
          <w:sz w:val="24"/>
        </w:rPr>
        <w:t>sjednaných</w:t>
      </w:r>
      <w:r>
        <w:rPr>
          <w:rFonts w:ascii="Times New Roman" w:hAnsi="Times New Roman"/>
          <w:spacing w:val="-11"/>
          <w:sz w:val="24"/>
        </w:rPr>
        <w:t xml:space="preserve"> </w:t>
      </w:r>
      <w:r>
        <w:rPr>
          <w:rFonts w:ascii="Times New Roman" w:hAnsi="Times New Roman"/>
          <w:sz w:val="24"/>
        </w:rPr>
        <w:t>v</w:t>
      </w:r>
      <w:r>
        <w:rPr>
          <w:rFonts w:ascii="Times New Roman" w:hAnsi="Times New Roman"/>
          <w:spacing w:val="-9"/>
          <w:sz w:val="24"/>
        </w:rPr>
        <w:t xml:space="preserve"> </w:t>
      </w:r>
      <w:r>
        <w:rPr>
          <w:rFonts w:ascii="Times New Roman" w:hAnsi="Times New Roman"/>
          <w:sz w:val="24"/>
        </w:rPr>
        <w:t>rámci</w:t>
      </w:r>
      <w:r>
        <w:rPr>
          <w:rFonts w:ascii="Times New Roman" w:hAnsi="Times New Roman"/>
          <w:spacing w:val="-11"/>
          <w:sz w:val="24"/>
        </w:rPr>
        <w:t xml:space="preserve"> </w:t>
      </w:r>
      <w:r>
        <w:rPr>
          <w:rFonts w:ascii="Times New Roman" w:hAnsi="Times New Roman"/>
          <w:sz w:val="24"/>
        </w:rPr>
        <w:t>jednotlivých</w:t>
      </w:r>
      <w:r>
        <w:rPr>
          <w:rFonts w:ascii="Times New Roman" w:hAnsi="Times New Roman"/>
          <w:spacing w:val="-11"/>
          <w:sz w:val="24"/>
        </w:rPr>
        <w:t xml:space="preserve"> </w:t>
      </w:r>
      <w:r>
        <w:rPr>
          <w:rFonts w:ascii="Times New Roman" w:hAnsi="Times New Roman"/>
          <w:sz w:val="24"/>
        </w:rPr>
        <w:t>podsmluv</w:t>
      </w:r>
      <w:r>
        <w:rPr>
          <w:rFonts w:ascii="Times New Roman" w:hAnsi="Times New Roman"/>
          <w:spacing w:val="-11"/>
          <w:sz w:val="24"/>
        </w:rPr>
        <w:t xml:space="preserve"> </w:t>
      </w:r>
      <w:r>
        <w:rPr>
          <w:rFonts w:ascii="Times New Roman" w:hAnsi="Times New Roman"/>
          <w:sz w:val="24"/>
        </w:rPr>
        <w:t>se</w:t>
      </w:r>
      <w:r>
        <w:rPr>
          <w:rFonts w:ascii="Times New Roman" w:hAnsi="Times New Roman"/>
          <w:spacing w:val="-12"/>
          <w:sz w:val="24"/>
        </w:rPr>
        <w:t xml:space="preserve"> </w:t>
      </w:r>
      <w:r>
        <w:rPr>
          <w:rFonts w:ascii="Times New Roman" w:hAnsi="Times New Roman"/>
          <w:sz w:val="24"/>
        </w:rPr>
        <w:t>určí</w:t>
      </w:r>
      <w:r>
        <w:rPr>
          <w:rFonts w:ascii="Times New Roman" w:hAnsi="Times New Roman"/>
          <w:spacing w:val="-11"/>
          <w:sz w:val="24"/>
        </w:rPr>
        <w:t xml:space="preserve"> </w:t>
      </w:r>
      <w:r>
        <w:rPr>
          <w:rFonts w:ascii="Times New Roman" w:hAnsi="Times New Roman"/>
          <w:sz w:val="24"/>
        </w:rPr>
        <w:t>dle</w:t>
      </w:r>
      <w:r>
        <w:rPr>
          <w:rFonts w:ascii="Times New Roman" w:hAnsi="Times New Roman"/>
          <w:spacing w:val="-12"/>
          <w:sz w:val="24"/>
        </w:rPr>
        <w:t xml:space="preserve"> </w:t>
      </w:r>
      <w:r>
        <w:rPr>
          <w:rFonts w:ascii="Times New Roman" w:hAnsi="Times New Roman"/>
          <w:sz w:val="24"/>
        </w:rPr>
        <w:t>níže</w:t>
      </w:r>
      <w:r>
        <w:rPr>
          <w:rFonts w:ascii="Times New Roman" w:hAnsi="Times New Roman"/>
          <w:spacing w:val="-12"/>
          <w:sz w:val="24"/>
        </w:rPr>
        <w:t xml:space="preserve"> </w:t>
      </w:r>
      <w:r>
        <w:rPr>
          <w:rFonts w:ascii="Times New Roman" w:hAnsi="Times New Roman"/>
          <w:sz w:val="24"/>
        </w:rPr>
        <w:t>uvedených</w:t>
      </w:r>
      <w:r>
        <w:rPr>
          <w:rFonts w:ascii="Times New Roman" w:hAnsi="Times New Roman"/>
          <w:spacing w:val="-9"/>
          <w:sz w:val="24"/>
        </w:rPr>
        <w:t xml:space="preserve"> </w:t>
      </w:r>
      <w:r>
        <w:rPr>
          <w:rFonts w:ascii="Times New Roman" w:hAnsi="Times New Roman"/>
          <w:sz w:val="24"/>
        </w:rPr>
        <w:t>pravidel.</w:t>
      </w:r>
    </w:p>
    <w:p w14:paraId="3A32F7B7" w14:textId="77777777" w:rsidR="00F65BCA" w:rsidRDefault="00F65BCA">
      <w:pPr>
        <w:pStyle w:val="Zkladntext"/>
        <w:rPr>
          <w:rFonts w:ascii="Times New Roman"/>
          <w:sz w:val="24"/>
        </w:rPr>
      </w:pPr>
    </w:p>
    <w:p w14:paraId="5055EFB6" w14:textId="77777777" w:rsidR="00F65BCA" w:rsidRDefault="00216117">
      <w:pPr>
        <w:ind w:left="258"/>
        <w:rPr>
          <w:rFonts w:ascii="Times New Roman" w:hAnsi="Times New Roman"/>
          <w:b/>
          <w:sz w:val="24"/>
        </w:rPr>
      </w:pPr>
      <w:r>
        <w:rPr>
          <w:rFonts w:ascii="Times New Roman" w:hAnsi="Times New Roman"/>
          <w:b/>
          <w:sz w:val="24"/>
        </w:rPr>
        <w:t>Počátek a doba trvání pojištění sjednaného v rámci podsmlouvy, účinnost změny rozsahu pojištění podsmlouvy.</w:t>
      </w:r>
    </w:p>
    <w:p w14:paraId="0BD9F6DB" w14:textId="77777777" w:rsidR="00F65BCA" w:rsidRDefault="00F65BCA">
      <w:pPr>
        <w:pStyle w:val="Zkladntext"/>
        <w:rPr>
          <w:rFonts w:ascii="Times New Roman"/>
          <w:b/>
          <w:sz w:val="24"/>
        </w:rPr>
      </w:pPr>
    </w:p>
    <w:p w14:paraId="43DFEBF3" w14:textId="77777777" w:rsidR="00F65BCA" w:rsidRDefault="00216117">
      <w:pPr>
        <w:pStyle w:val="Odstavecseseznamem"/>
        <w:numPr>
          <w:ilvl w:val="1"/>
          <w:numId w:val="155"/>
        </w:numPr>
        <w:tabs>
          <w:tab w:val="left" w:pos="979"/>
        </w:tabs>
        <w:ind w:right="107" w:firstLine="0"/>
        <w:jc w:val="both"/>
        <w:rPr>
          <w:rFonts w:ascii="Times New Roman" w:hAnsi="Times New Roman"/>
          <w:sz w:val="24"/>
        </w:rPr>
      </w:pPr>
      <w:r>
        <w:rPr>
          <w:rFonts w:ascii="Times New Roman" w:hAnsi="Times New Roman"/>
          <w:sz w:val="24"/>
        </w:rPr>
        <w:t>Seznam vozidel bude v průběhu pojištění aktualizován na základě požadavku Pojistníka –    tj. budou zařazována nová vozidla a vyřazována vozidla, u nichž došlo k zániku</w:t>
      </w:r>
      <w:r>
        <w:rPr>
          <w:rFonts w:ascii="Times New Roman" w:hAnsi="Times New Roman"/>
          <w:spacing w:val="-10"/>
          <w:sz w:val="24"/>
        </w:rPr>
        <w:t xml:space="preserve"> </w:t>
      </w:r>
      <w:r>
        <w:rPr>
          <w:rFonts w:ascii="Times New Roman" w:hAnsi="Times New Roman"/>
          <w:sz w:val="24"/>
        </w:rPr>
        <w:t>pojištění.</w:t>
      </w:r>
    </w:p>
    <w:p w14:paraId="006BB28E" w14:textId="77777777" w:rsidR="00F65BCA" w:rsidRDefault="00216117">
      <w:pPr>
        <w:pStyle w:val="Odstavecseseznamem"/>
        <w:numPr>
          <w:ilvl w:val="1"/>
          <w:numId w:val="155"/>
        </w:numPr>
        <w:tabs>
          <w:tab w:val="left" w:pos="979"/>
        </w:tabs>
        <w:ind w:right="107" w:firstLine="0"/>
        <w:jc w:val="both"/>
        <w:rPr>
          <w:rFonts w:ascii="Times New Roman" w:hAnsi="Times New Roman"/>
          <w:sz w:val="24"/>
        </w:rPr>
      </w:pPr>
      <w:r>
        <w:rPr>
          <w:rFonts w:ascii="Times New Roman" w:hAnsi="Times New Roman"/>
          <w:sz w:val="24"/>
        </w:rPr>
        <w:t>Pro vyloučení jakýchkoli pochybností administrativních chyb v seznamu vozidel Pojistník stanovuje, že platné jsou vždy údaje uvedené v technickém průkazu vozidla. Jestliže bude zjištěna chyba údajů uvedených v Příloze č. 1, která by měla vliv na výši pojistného či pojistné plnění, bude vždy provedena oprava technických údajů v systému dle technického průkazu, doúčtováno případné pojistné a nebude uplatněna možnost krácení pojistného</w:t>
      </w:r>
      <w:r>
        <w:rPr>
          <w:rFonts w:ascii="Times New Roman" w:hAnsi="Times New Roman"/>
          <w:spacing w:val="-5"/>
          <w:sz w:val="24"/>
        </w:rPr>
        <w:t xml:space="preserve"> </w:t>
      </w:r>
      <w:r>
        <w:rPr>
          <w:rFonts w:ascii="Times New Roman" w:hAnsi="Times New Roman"/>
          <w:sz w:val="24"/>
        </w:rPr>
        <w:t>plnění.</w:t>
      </w:r>
    </w:p>
    <w:p w14:paraId="3EADACEE" w14:textId="77777777" w:rsidR="00F65BCA" w:rsidRDefault="00216117">
      <w:pPr>
        <w:pStyle w:val="Odstavecseseznamem"/>
        <w:numPr>
          <w:ilvl w:val="1"/>
          <w:numId w:val="155"/>
        </w:numPr>
        <w:tabs>
          <w:tab w:val="left" w:pos="979"/>
        </w:tabs>
        <w:ind w:right="105" w:firstLine="0"/>
        <w:jc w:val="both"/>
        <w:rPr>
          <w:rFonts w:ascii="Times New Roman" w:hAnsi="Times New Roman"/>
          <w:sz w:val="24"/>
        </w:rPr>
      </w:pPr>
      <w:r>
        <w:rPr>
          <w:rFonts w:ascii="Times New Roman" w:hAnsi="Times New Roman"/>
          <w:sz w:val="24"/>
        </w:rPr>
        <w:t>Všechna pojištění sjednaná v rámci dané podsmlouvy, včetně jejich změn, jsou účinná okamžikem uvedeným v podsmlouvě. Tento okamžik nesmí předcházet okamžiku vzniku dané podsmlouvy.</w:t>
      </w:r>
    </w:p>
    <w:p w14:paraId="27CFFAE8" w14:textId="77777777" w:rsidR="00F65BCA" w:rsidRDefault="00216117">
      <w:pPr>
        <w:pStyle w:val="Odstavecseseznamem"/>
        <w:numPr>
          <w:ilvl w:val="1"/>
          <w:numId w:val="155"/>
        </w:numPr>
        <w:tabs>
          <w:tab w:val="left" w:pos="979"/>
        </w:tabs>
        <w:ind w:right="106" w:firstLine="0"/>
        <w:jc w:val="both"/>
        <w:rPr>
          <w:rFonts w:ascii="Times New Roman" w:hAnsi="Times New Roman"/>
          <w:sz w:val="24"/>
        </w:rPr>
      </w:pPr>
      <w:r>
        <w:rPr>
          <w:rFonts w:ascii="Times New Roman" w:hAnsi="Times New Roman"/>
          <w:sz w:val="24"/>
        </w:rPr>
        <w:t>V případě žádosti o změnu rozsahu pojištění jednotlivého vozidla bude postupováno analogicky podle ustanovení předchozího odstavce s tím, že Pojišťovna akceptaci navrhované změny rozsahu pojištění Pojistníkovi potvrdí, a to dokumentem v elektronické podobě či jiné dohodnuté formě.</w:t>
      </w:r>
    </w:p>
    <w:p w14:paraId="70D9706B" w14:textId="77777777" w:rsidR="00F65BCA" w:rsidRDefault="00216117">
      <w:pPr>
        <w:ind w:left="258"/>
        <w:jc w:val="both"/>
        <w:rPr>
          <w:rFonts w:ascii="Times New Roman" w:hAnsi="Times New Roman"/>
          <w:sz w:val="24"/>
        </w:rPr>
      </w:pPr>
      <w:r>
        <w:rPr>
          <w:rFonts w:ascii="Times New Roman" w:hAnsi="Times New Roman"/>
          <w:sz w:val="24"/>
        </w:rPr>
        <w:t>V případě, že k akceptaci nedojde, zůstává pojištění nezměněno.</w:t>
      </w:r>
    </w:p>
    <w:p w14:paraId="60BAA66A" w14:textId="77777777" w:rsidR="00F65BCA" w:rsidRDefault="00F65BCA">
      <w:pPr>
        <w:pStyle w:val="Zkladntext"/>
        <w:rPr>
          <w:rFonts w:ascii="Times New Roman"/>
          <w:sz w:val="26"/>
        </w:rPr>
      </w:pPr>
    </w:p>
    <w:p w14:paraId="738F1FEC" w14:textId="77777777" w:rsidR="00F65BCA" w:rsidRDefault="00F65BCA">
      <w:pPr>
        <w:pStyle w:val="Zkladntext"/>
        <w:rPr>
          <w:rFonts w:ascii="Times New Roman"/>
          <w:sz w:val="26"/>
        </w:rPr>
      </w:pPr>
    </w:p>
    <w:p w14:paraId="54C8A4C2" w14:textId="77777777" w:rsidR="00F65BCA" w:rsidRDefault="00216117">
      <w:pPr>
        <w:pStyle w:val="Odstavecseseznamem"/>
        <w:numPr>
          <w:ilvl w:val="0"/>
          <w:numId w:val="155"/>
        </w:numPr>
        <w:tabs>
          <w:tab w:val="left" w:pos="825"/>
        </w:tabs>
        <w:spacing w:before="231"/>
        <w:jc w:val="both"/>
        <w:rPr>
          <w:rFonts w:ascii="Times New Roman" w:hAnsi="Times New Roman"/>
          <w:b/>
          <w:sz w:val="24"/>
        </w:rPr>
      </w:pPr>
      <w:r>
        <w:rPr>
          <w:rFonts w:ascii="Times New Roman" w:hAnsi="Times New Roman"/>
          <w:b/>
          <w:sz w:val="24"/>
        </w:rPr>
        <w:t>Zánik</w:t>
      </w:r>
      <w:r>
        <w:rPr>
          <w:rFonts w:ascii="Times New Roman" w:hAnsi="Times New Roman"/>
          <w:b/>
          <w:spacing w:val="-2"/>
          <w:sz w:val="24"/>
        </w:rPr>
        <w:t xml:space="preserve"> </w:t>
      </w:r>
      <w:r>
        <w:rPr>
          <w:rFonts w:ascii="Times New Roman" w:hAnsi="Times New Roman"/>
          <w:b/>
          <w:sz w:val="24"/>
        </w:rPr>
        <w:t>pojištění</w:t>
      </w:r>
    </w:p>
    <w:p w14:paraId="3065826A" w14:textId="77777777" w:rsidR="00F65BCA" w:rsidRDefault="00216117">
      <w:pPr>
        <w:pStyle w:val="Odstavecseseznamem"/>
        <w:numPr>
          <w:ilvl w:val="1"/>
          <w:numId w:val="155"/>
        </w:numPr>
        <w:tabs>
          <w:tab w:val="left" w:pos="979"/>
        </w:tabs>
        <w:ind w:right="110" w:firstLine="0"/>
        <w:jc w:val="both"/>
        <w:rPr>
          <w:rFonts w:ascii="Times New Roman" w:hAnsi="Times New Roman"/>
          <w:sz w:val="24"/>
        </w:rPr>
      </w:pPr>
      <w:r>
        <w:rPr>
          <w:rFonts w:ascii="Times New Roman" w:hAnsi="Times New Roman"/>
          <w:sz w:val="24"/>
        </w:rPr>
        <w:t>Zánik pojištění sjednaných v rámci jednotlivých podsmluv nastává za podmínek stanovených v této pojistné smlouvě, příslušných  právních  předpisech  a  pojistných  podmínkách  vztahujících se k pojištěním sjednaným v rámci</w:t>
      </w:r>
      <w:r>
        <w:rPr>
          <w:rFonts w:ascii="Times New Roman" w:hAnsi="Times New Roman"/>
          <w:spacing w:val="-2"/>
          <w:sz w:val="24"/>
        </w:rPr>
        <w:t xml:space="preserve"> </w:t>
      </w:r>
      <w:r>
        <w:rPr>
          <w:rFonts w:ascii="Times New Roman" w:hAnsi="Times New Roman"/>
          <w:sz w:val="24"/>
        </w:rPr>
        <w:t>podsmlouvy.</w:t>
      </w:r>
    </w:p>
    <w:p w14:paraId="4148F17A" w14:textId="77777777" w:rsidR="00F65BCA" w:rsidRDefault="00216117">
      <w:pPr>
        <w:pStyle w:val="Odstavecseseznamem"/>
        <w:numPr>
          <w:ilvl w:val="1"/>
          <w:numId w:val="155"/>
        </w:numPr>
        <w:tabs>
          <w:tab w:val="left" w:pos="979"/>
        </w:tabs>
        <w:ind w:right="106" w:firstLine="0"/>
        <w:jc w:val="both"/>
        <w:rPr>
          <w:rFonts w:ascii="Times New Roman" w:hAnsi="Times New Roman"/>
          <w:sz w:val="24"/>
        </w:rPr>
      </w:pPr>
      <w:r>
        <w:rPr>
          <w:rFonts w:ascii="Times New Roman" w:hAnsi="Times New Roman"/>
          <w:sz w:val="24"/>
        </w:rPr>
        <w:t>Vozidlo je vyřazeno z pojištění okamžikem předání žádosti na vyřazení zástupci Pojistitele včetně dokladu o změně vlastnictví vozidla. V případě zániku vozidla v  registru silničních vozidel  je vozidlo vyřazeno z pojištění ke dni, kdy bylo vozidlo z registru vyřazeno (trvalé nebo dočasné vyřazení).</w:t>
      </w:r>
    </w:p>
    <w:p w14:paraId="2664AE69" w14:textId="77777777" w:rsidR="00F65BCA" w:rsidRDefault="00216117">
      <w:pPr>
        <w:pStyle w:val="Odstavecseseznamem"/>
        <w:numPr>
          <w:ilvl w:val="1"/>
          <w:numId w:val="155"/>
        </w:numPr>
        <w:tabs>
          <w:tab w:val="left" w:pos="979"/>
        </w:tabs>
        <w:ind w:right="107" w:firstLine="0"/>
        <w:jc w:val="both"/>
        <w:rPr>
          <w:rFonts w:ascii="Times New Roman" w:hAnsi="Times New Roman"/>
          <w:sz w:val="24"/>
        </w:rPr>
      </w:pPr>
      <w:r>
        <w:rPr>
          <w:rFonts w:ascii="Times New Roman" w:hAnsi="Times New Roman"/>
          <w:sz w:val="24"/>
        </w:rPr>
        <w:t>K zániku pojištění z této pojistné smlouvy jako celku dochází za podmínek stanovených příslušnou</w:t>
      </w:r>
      <w:r>
        <w:rPr>
          <w:rFonts w:ascii="Times New Roman" w:hAnsi="Times New Roman"/>
          <w:spacing w:val="-13"/>
          <w:sz w:val="24"/>
        </w:rPr>
        <w:t xml:space="preserve"> </w:t>
      </w:r>
      <w:r>
        <w:rPr>
          <w:rFonts w:ascii="Times New Roman" w:hAnsi="Times New Roman"/>
          <w:sz w:val="24"/>
        </w:rPr>
        <w:t>právní</w:t>
      </w:r>
      <w:r>
        <w:rPr>
          <w:rFonts w:ascii="Times New Roman" w:hAnsi="Times New Roman"/>
          <w:spacing w:val="-13"/>
          <w:sz w:val="24"/>
        </w:rPr>
        <w:t xml:space="preserve"> </w:t>
      </w:r>
      <w:r>
        <w:rPr>
          <w:rFonts w:ascii="Times New Roman" w:hAnsi="Times New Roman"/>
          <w:sz w:val="24"/>
        </w:rPr>
        <w:t>úpravou,</w:t>
      </w:r>
      <w:r>
        <w:rPr>
          <w:rFonts w:ascii="Times New Roman" w:hAnsi="Times New Roman"/>
          <w:spacing w:val="-12"/>
          <w:sz w:val="24"/>
        </w:rPr>
        <w:t xml:space="preserve"> </w:t>
      </w:r>
      <w:r>
        <w:rPr>
          <w:rFonts w:ascii="Times New Roman" w:hAnsi="Times New Roman"/>
          <w:sz w:val="24"/>
        </w:rPr>
        <w:t>zejména</w:t>
      </w:r>
      <w:r>
        <w:rPr>
          <w:rFonts w:ascii="Times New Roman" w:hAnsi="Times New Roman"/>
          <w:spacing w:val="-14"/>
          <w:sz w:val="24"/>
        </w:rPr>
        <w:t xml:space="preserve"> </w:t>
      </w:r>
      <w:r>
        <w:rPr>
          <w:rFonts w:ascii="Times New Roman" w:hAnsi="Times New Roman"/>
          <w:sz w:val="24"/>
        </w:rPr>
        <w:t>dohodou,</w:t>
      </w:r>
      <w:r>
        <w:rPr>
          <w:rFonts w:ascii="Times New Roman" w:hAnsi="Times New Roman"/>
          <w:spacing w:val="-12"/>
          <w:sz w:val="24"/>
        </w:rPr>
        <w:t xml:space="preserve"> </w:t>
      </w:r>
      <w:r>
        <w:rPr>
          <w:rFonts w:ascii="Times New Roman" w:hAnsi="Times New Roman"/>
          <w:sz w:val="24"/>
        </w:rPr>
        <w:t>nezaplacením</w:t>
      </w:r>
      <w:r>
        <w:rPr>
          <w:rFonts w:ascii="Times New Roman" w:hAnsi="Times New Roman"/>
          <w:spacing w:val="-13"/>
          <w:sz w:val="24"/>
        </w:rPr>
        <w:t xml:space="preserve"> </w:t>
      </w:r>
      <w:r>
        <w:rPr>
          <w:rFonts w:ascii="Times New Roman" w:hAnsi="Times New Roman"/>
          <w:sz w:val="24"/>
        </w:rPr>
        <w:t>pojistného,</w:t>
      </w:r>
      <w:r>
        <w:rPr>
          <w:rFonts w:ascii="Times New Roman" w:hAnsi="Times New Roman"/>
          <w:spacing w:val="-12"/>
          <w:sz w:val="24"/>
        </w:rPr>
        <w:t xml:space="preserve"> </w:t>
      </w:r>
      <w:r>
        <w:rPr>
          <w:rFonts w:ascii="Times New Roman" w:hAnsi="Times New Roman"/>
          <w:sz w:val="24"/>
        </w:rPr>
        <w:t>výpovědí,</w:t>
      </w:r>
      <w:r>
        <w:rPr>
          <w:rFonts w:ascii="Times New Roman" w:hAnsi="Times New Roman"/>
          <w:spacing w:val="-13"/>
          <w:sz w:val="24"/>
        </w:rPr>
        <w:t xml:space="preserve"> </w:t>
      </w:r>
      <w:r>
        <w:rPr>
          <w:rFonts w:ascii="Times New Roman" w:hAnsi="Times New Roman"/>
          <w:sz w:val="24"/>
        </w:rPr>
        <w:t>odstoupením,</w:t>
      </w:r>
      <w:r>
        <w:rPr>
          <w:rFonts w:ascii="Times New Roman" w:hAnsi="Times New Roman"/>
          <w:spacing w:val="-13"/>
          <w:sz w:val="24"/>
        </w:rPr>
        <w:t xml:space="preserve"> </w:t>
      </w:r>
      <w:r>
        <w:rPr>
          <w:rFonts w:ascii="Times New Roman" w:hAnsi="Times New Roman"/>
          <w:sz w:val="24"/>
        </w:rPr>
        <w:t>dnem zániku</w:t>
      </w:r>
      <w:r>
        <w:rPr>
          <w:rFonts w:ascii="Times New Roman" w:hAnsi="Times New Roman"/>
          <w:spacing w:val="-16"/>
          <w:sz w:val="24"/>
        </w:rPr>
        <w:t xml:space="preserve"> </w:t>
      </w:r>
      <w:r>
        <w:rPr>
          <w:rFonts w:ascii="Times New Roman" w:hAnsi="Times New Roman"/>
          <w:sz w:val="24"/>
        </w:rPr>
        <w:t>Pojistníka,</w:t>
      </w:r>
      <w:r>
        <w:rPr>
          <w:rFonts w:ascii="Times New Roman" w:hAnsi="Times New Roman"/>
          <w:spacing w:val="-16"/>
          <w:sz w:val="24"/>
        </w:rPr>
        <w:t xml:space="preserve"> </w:t>
      </w:r>
      <w:r>
        <w:rPr>
          <w:rFonts w:ascii="Times New Roman" w:hAnsi="Times New Roman"/>
          <w:sz w:val="24"/>
        </w:rPr>
        <w:t>uplynutím</w:t>
      </w:r>
      <w:r>
        <w:rPr>
          <w:rFonts w:ascii="Times New Roman" w:hAnsi="Times New Roman"/>
          <w:spacing w:val="-15"/>
          <w:sz w:val="24"/>
        </w:rPr>
        <w:t xml:space="preserve"> </w:t>
      </w:r>
      <w:r>
        <w:rPr>
          <w:rFonts w:ascii="Times New Roman" w:hAnsi="Times New Roman"/>
          <w:sz w:val="24"/>
        </w:rPr>
        <w:t>doby,</w:t>
      </w:r>
      <w:r>
        <w:rPr>
          <w:rFonts w:ascii="Times New Roman" w:hAnsi="Times New Roman"/>
          <w:spacing w:val="-16"/>
          <w:sz w:val="24"/>
        </w:rPr>
        <w:t xml:space="preserve"> </w:t>
      </w:r>
      <w:r>
        <w:rPr>
          <w:rFonts w:ascii="Times New Roman" w:hAnsi="Times New Roman"/>
          <w:sz w:val="24"/>
        </w:rPr>
        <w:t>je-li</w:t>
      </w:r>
      <w:r>
        <w:rPr>
          <w:rFonts w:ascii="Times New Roman" w:hAnsi="Times New Roman"/>
          <w:spacing w:val="-15"/>
          <w:sz w:val="24"/>
        </w:rPr>
        <w:t xml:space="preserve"> </w:t>
      </w:r>
      <w:r>
        <w:rPr>
          <w:rFonts w:ascii="Times New Roman" w:hAnsi="Times New Roman"/>
          <w:sz w:val="24"/>
        </w:rPr>
        <w:t>pojistná</w:t>
      </w:r>
      <w:r>
        <w:rPr>
          <w:rFonts w:ascii="Times New Roman" w:hAnsi="Times New Roman"/>
          <w:spacing w:val="-16"/>
          <w:sz w:val="24"/>
        </w:rPr>
        <w:t xml:space="preserve"> </w:t>
      </w:r>
      <w:r>
        <w:rPr>
          <w:rFonts w:ascii="Times New Roman" w:hAnsi="Times New Roman"/>
          <w:sz w:val="24"/>
        </w:rPr>
        <w:t>smlouva</w:t>
      </w:r>
      <w:r>
        <w:rPr>
          <w:rFonts w:ascii="Times New Roman" w:hAnsi="Times New Roman"/>
          <w:spacing w:val="-17"/>
          <w:sz w:val="24"/>
        </w:rPr>
        <w:t xml:space="preserve"> </w:t>
      </w:r>
      <w:r>
        <w:rPr>
          <w:rFonts w:ascii="Times New Roman" w:hAnsi="Times New Roman"/>
          <w:sz w:val="24"/>
        </w:rPr>
        <w:t>uzavřena</w:t>
      </w:r>
      <w:r>
        <w:rPr>
          <w:rFonts w:ascii="Times New Roman" w:hAnsi="Times New Roman"/>
          <w:spacing w:val="-14"/>
          <w:sz w:val="24"/>
        </w:rPr>
        <w:t xml:space="preserve"> </w:t>
      </w:r>
      <w:r>
        <w:rPr>
          <w:rFonts w:ascii="Times New Roman" w:hAnsi="Times New Roman"/>
          <w:sz w:val="24"/>
        </w:rPr>
        <w:t>na</w:t>
      </w:r>
      <w:r>
        <w:rPr>
          <w:rFonts w:ascii="Times New Roman" w:hAnsi="Times New Roman"/>
          <w:spacing w:val="-14"/>
          <w:sz w:val="24"/>
        </w:rPr>
        <w:t xml:space="preserve"> </w:t>
      </w:r>
      <w:r>
        <w:rPr>
          <w:rFonts w:ascii="Times New Roman" w:hAnsi="Times New Roman"/>
          <w:sz w:val="24"/>
        </w:rPr>
        <w:t>dobu</w:t>
      </w:r>
      <w:r>
        <w:rPr>
          <w:rFonts w:ascii="Times New Roman" w:hAnsi="Times New Roman"/>
          <w:spacing w:val="-13"/>
          <w:sz w:val="24"/>
        </w:rPr>
        <w:t xml:space="preserve"> </w:t>
      </w:r>
      <w:r>
        <w:rPr>
          <w:rFonts w:ascii="Times New Roman" w:hAnsi="Times New Roman"/>
          <w:sz w:val="24"/>
        </w:rPr>
        <w:t>určitou,</w:t>
      </w:r>
      <w:r>
        <w:rPr>
          <w:rFonts w:ascii="Times New Roman" w:hAnsi="Times New Roman"/>
          <w:spacing w:val="-13"/>
          <w:sz w:val="24"/>
        </w:rPr>
        <w:t xml:space="preserve"> </w:t>
      </w:r>
      <w:r>
        <w:rPr>
          <w:rFonts w:ascii="Times New Roman" w:hAnsi="Times New Roman"/>
          <w:sz w:val="24"/>
        </w:rPr>
        <w:t>či</w:t>
      </w:r>
      <w:r>
        <w:rPr>
          <w:rFonts w:ascii="Times New Roman" w:hAnsi="Times New Roman"/>
          <w:spacing w:val="-15"/>
          <w:sz w:val="24"/>
        </w:rPr>
        <w:t xml:space="preserve"> </w:t>
      </w:r>
      <w:r>
        <w:rPr>
          <w:rFonts w:ascii="Times New Roman" w:hAnsi="Times New Roman"/>
          <w:sz w:val="24"/>
        </w:rPr>
        <w:t>jiným</w:t>
      </w:r>
      <w:r>
        <w:rPr>
          <w:rFonts w:ascii="Times New Roman" w:hAnsi="Times New Roman"/>
          <w:spacing w:val="-14"/>
          <w:sz w:val="24"/>
        </w:rPr>
        <w:t xml:space="preserve"> </w:t>
      </w:r>
      <w:r>
        <w:rPr>
          <w:rFonts w:ascii="Times New Roman" w:hAnsi="Times New Roman"/>
          <w:sz w:val="24"/>
        </w:rPr>
        <w:t>způsobem stanoveným právními</w:t>
      </w:r>
      <w:r>
        <w:rPr>
          <w:rFonts w:ascii="Times New Roman" w:hAnsi="Times New Roman"/>
          <w:spacing w:val="-1"/>
          <w:sz w:val="24"/>
        </w:rPr>
        <w:t xml:space="preserve"> </w:t>
      </w:r>
      <w:r>
        <w:rPr>
          <w:rFonts w:ascii="Times New Roman" w:hAnsi="Times New Roman"/>
          <w:sz w:val="24"/>
        </w:rPr>
        <w:t>předpisy.</w:t>
      </w:r>
    </w:p>
    <w:p w14:paraId="7F83CADB" w14:textId="77777777" w:rsidR="00F65BCA" w:rsidRDefault="00216117">
      <w:pPr>
        <w:pStyle w:val="Odstavecseseznamem"/>
        <w:numPr>
          <w:ilvl w:val="1"/>
          <w:numId w:val="155"/>
        </w:numPr>
        <w:tabs>
          <w:tab w:val="left" w:pos="979"/>
        </w:tabs>
        <w:ind w:right="109" w:firstLine="0"/>
        <w:jc w:val="both"/>
        <w:rPr>
          <w:rFonts w:ascii="Times New Roman" w:hAnsi="Times New Roman"/>
          <w:sz w:val="24"/>
        </w:rPr>
      </w:pPr>
      <w:r>
        <w:rPr>
          <w:rFonts w:ascii="Times New Roman" w:hAnsi="Times New Roman"/>
          <w:sz w:val="24"/>
        </w:rPr>
        <w:t>V případě zániku rámcového pojištění souboru  vozidel dle této pojistné smlouvy zanikají    ke stejnému dni též pojištění jednotlivých vozidel ze souboru sjednaná na základě podsmluv uzavřených v souladu s touto pojistnou</w:t>
      </w:r>
      <w:r>
        <w:rPr>
          <w:rFonts w:ascii="Times New Roman" w:hAnsi="Times New Roman"/>
          <w:spacing w:val="-1"/>
          <w:sz w:val="24"/>
        </w:rPr>
        <w:t xml:space="preserve"> </w:t>
      </w:r>
      <w:r>
        <w:rPr>
          <w:rFonts w:ascii="Times New Roman" w:hAnsi="Times New Roman"/>
          <w:sz w:val="24"/>
        </w:rPr>
        <w:t>smlouvou.</w:t>
      </w:r>
    </w:p>
    <w:p w14:paraId="7E0A3628" w14:textId="77777777" w:rsidR="00F65BCA" w:rsidRDefault="00F65BCA">
      <w:pPr>
        <w:pStyle w:val="Zkladntext"/>
        <w:rPr>
          <w:rFonts w:ascii="Times New Roman"/>
          <w:sz w:val="26"/>
        </w:rPr>
      </w:pPr>
    </w:p>
    <w:p w14:paraId="68CC8D72" w14:textId="77777777" w:rsidR="00F65BCA" w:rsidRDefault="00F65BCA">
      <w:pPr>
        <w:pStyle w:val="Zkladntext"/>
        <w:rPr>
          <w:rFonts w:ascii="Times New Roman"/>
          <w:sz w:val="22"/>
        </w:rPr>
      </w:pPr>
    </w:p>
    <w:p w14:paraId="0A5B446E" w14:textId="77777777" w:rsidR="00F65BCA" w:rsidRDefault="00216117">
      <w:pPr>
        <w:pStyle w:val="Odstavecseseznamem"/>
        <w:numPr>
          <w:ilvl w:val="0"/>
          <w:numId w:val="155"/>
        </w:numPr>
        <w:tabs>
          <w:tab w:val="left" w:pos="824"/>
          <w:tab w:val="left" w:pos="825"/>
        </w:tabs>
        <w:rPr>
          <w:rFonts w:ascii="Times New Roman" w:hAnsi="Times New Roman"/>
          <w:b/>
          <w:sz w:val="24"/>
        </w:rPr>
      </w:pPr>
      <w:r>
        <w:rPr>
          <w:rFonts w:ascii="Times New Roman" w:hAnsi="Times New Roman"/>
          <w:b/>
          <w:sz w:val="24"/>
        </w:rPr>
        <w:t>Pojistné</w:t>
      </w:r>
    </w:p>
    <w:p w14:paraId="6A5CE6A8" w14:textId="77777777" w:rsidR="00F65BCA" w:rsidRDefault="00216117">
      <w:pPr>
        <w:pStyle w:val="Odstavecseseznamem"/>
        <w:numPr>
          <w:ilvl w:val="1"/>
          <w:numId w:val="155"/>
        </w:numPr>
        <w:tabs>
          <w:tab w:val="left" w:pos="978"/>
          <w:tab w:val="left" w:pos="979"/>
        </w:tabs>
        <w:ind w:left="978" w:hanging="721"/>
        <w:rPr>
          <w:rFonts w:ascii="Times New Roman" w:hAnsi="Times New Roman"/>
          <w:sz w:val="24"/>
        </w:rPr>
      </w:pPr>
      <w:r>
        <w:rPr>
          <w:rFonts w:ascii="Times New Roman" w:hAnsi="Times New Roman"/>
          <w:sz w:val="24"/>
        </w:rPr>
        <w:t>Celková výše pojistného se určí dle počtu vozidel zařazených do</w:t>
      </w:r>
      <w:r>
        <w:rPr>
          <w:rFonts w:ascii="Times New Roman" w:hAnsi="Times New Roman"/>
          <w:spacing w:val="-5"/>
          <w:sz w:val="24"/>
        </w:rPr>
        <w:t xml:space="preserve"> </w:t>
      </w:r>
      <w:r>
        <w:rPr>
          <w:rFonts w:ascii="Times New Roman" w:hAnsi="Times New Roman"/>
          <w:sz w:val="24"/>
        </w:rPr>
        <w:t>pojištění.</w:t>
      </w:r>
    </w:p>
    <w:p w14:paraId="0909ABCD" w14:textId="77777777" w:rsidR="00F65BCA" w:rsidRDefault="00216117">
      <w:pPr>
        <w:pStyle w:val="Odstavecseseznamem"/>
        <w:numPr>
          <w:ilvl w:val="1"/>
          <w:numId w:val="155"/>
        </w:numPr>
        <w:tabs>
          <w:tab w:val="left" w:pos="978"/>
          <w:tab w:val="left" w:pos="979"/>
        </w:tabs>
        <w:ind w:left="978" w:hanging="721"/>
        <w:rPr>
          <w:rFonts w:ascii="Times New Roman" w:hAnsi="Times New Roman"/>
          <w:sz w:val="24"/>
        </w:rPr>
      </w:pPr>
      <w:r>
        <w:rPr>
          <w:rFonts w:ascii="Times New Roman" w:hAnsi="Times New Roman"/>
          <w:sz w:val="24"/>
        </w:rPr>
        <w:t>Pojistník nebude poskytovat zálohy na</w:t>
      </w:r>
      <w:r>
        <w:rPr>
          <w:rFonts w:ascii="Times New Roman" w:hAnsi="Times New Roman"/>
          <w:spacing w:val="-3"/>
          <w:sz w:val="24"/>
        </w:rPr>
        <w:t xml:space="preserve"> </w:t>
      </w:r>
      <w:r>
        <w:rPr>
          <w:rFonts w:ascii="Times New Roman" w:hAnsi="Times New Roman"/>
          <w:sz w:val="24"/>
        </w:rPr>
        <w:t>pojistné.</w:t>
      </w:r>
    </w:p>
    <w:p w14:paraId="5310991C" w14:textId="77777777" w:rsidR="00F65BCA" w:rsidRDefault="00216117">
      <w:pPr>
        <w:spacing w:before="28"/>
        <w:ind w:left="147"/>
        <w:jc w:val="center"/>
        <w:rPr>
          <w:sz w:val="16"/>
        </w:rPr>
      </w:pPr>
      <w:r>
        <w:rPr>
          <w:sz w:val="16"/>
        </w:rPr>
        <w:t>6</w:t>
      </w:r>
    </w:p>
    <w:p w14:paraId="3ECEA582" w14:textId="77777777" w:rsidR="00F65BCA" w:rsidRDefault="00F65BCA">
      <w:pPr>
        <w:jc w:val="center"/>
        <w:rPr>
          <w:sz w:val="16"/>
        </w:rPr>
        <w:sectPr w:rsidR="00F65BCA">
          <w:pgSz w:w="11900" w:h="16840"/>
          <w:pgMar w:top="1500" w:right="600" w:bottom="280" w:left="1160" w:header="708" w:footer="708" w:gutter="0"/>
          <w:cols w:space="708"/>
        </w:sectPr>
      </w:pPr>
    </w:p>
    <w:p w14:paraId="18B03A01" w14:textId="77777777" w:rsidR="00F65BCA" w:rsidRDefault="00216117">
      <w:pPr>
        <w:pStyle w:val="Odstavecseseznamem"/>
        <w:numPr>
          <w:ilvl w:val="1"/>
          <w:numId w:val="155"/>
        </w:numPr>
        <w:tabs>
          <w:tab w:val="left" w:pos="978"/>
          <w:tab w:val="left" w:pos="979"/>
        </w:tabs>
        <w:spacing w:before="75"/>
        <w:ind w:right="109" w:firstLine="0"/>
        <w:rPr>
          <w:rFonts w:ascii="Times New Roman" w:hAnsi="Times New Roman"/>
          <w:sz w:val="24"/>
        </w:rPr>
      </w:pPr>
      <w:r>
        <w:rPr>
          <w:rFonts w:ascii="Times New Roman" w:hAnsi="Times New Roman"/>
          <w:sz w:val="24"/>
        </w:rPr>
        <w:lastRenderedPageBreak/>
        <w:t>Celkové roční pojistné (12 měsíců) činí 505.128,-Kč, pokud nedojde ke změně rozsahu pojištění či souboru pojištěných</w:t>
      </w:r>
      <w:r>
        <w:rPr>
          <w:rFonts w:ascii="Times New Roman" w:hAnsi="Times New Roman"/>
          <w:spacing w:val="-1"/>
          <w:sz w:val="24"/>
        </w:rPr>
        <w:t xml:space="preserve"> </w:t>
      </w:r>
      <w:r>
        <w:rPr>
          <w:rFonts w:ascii="Times New Roman" w:hAnsi="Times New Roman"/>
          <w:sz w:val="24"/>
        </w:rPr>
        <w:t>vozidel.</w:t>
      </w:r>
    </w:p>
    <w:p w14:paraId="3BAE00AB" w14:textId="77777777" w:rsidR="00F65BCA" w:rsidRDefault="00216117">
      <w:pPr>
        <w:pStyle w:val="Odstavecseseznamem"/>
        <w:numPr>
          <w:ilvl w:val="1"/>
          <w:numId w:val="155"/>
        </w:numPr>
        <w:tabs>
          <w:tab w:val="left" w:pos="978"/>
          <w:tab w:val="left" w:pos="979"/>
        </w:tabs>
        <w:ind w:left="978" w:hanging="721"/>
        <w:rPr>
          <w:rFonts w:ascii="Times New Roman" w:hAnsi="Times New Roman"/>
          <w:sz w:val="24"/>
        </w:rPr>
      </w:pPr>
      <w:r>
        <w:rPr>
          <w:rFonts w:ascii="Times New Roman" w:hAnsi="Times New Roman"/>
          <w:sz w:val="24"/>
        </w:rPr>
        <w:t>Ceny za jednotlivá pojistní období</w:t>
      </w:r>
      <w:r>
        <w:rPr>
          <w:rFonts w:ascii="Times New Roman" w:hAnsi="Times New Roman"/>
          <w:spacing w:val="-2"/>
          <w:sz w:val="24"/>
        </w:rPr>
        <w:t xml:space="preserve"> </w:t>
      </w:r>
      <w:r>
        <w:rPr>
          <w:rFonts w:ascii="Times New Roman" w:hAnsi="Times New Roman"/>
          <w:sz w:val="24"/>
        </w:rPr>
        <w:t>činí:</w:t>
      </w:r>
    </w:p>
    <w:p w14:paraId="1D5C84D4" w14:textId="77777777" w:rsidR="00F65BCA" w:rsidRDefault="00216117">
      <w:pPr>
        <w:ind w:left="258"/>
        <w:rPr>
          <w:rFonts w:ascii="Times New Roman" w:hAnsi="Times New Roman"/>
          <w:sz w:val="24"/>
        </w:rPr>
      </w:pPr>
      <w:r>
        <w:rPr>
          <w:rFonts w:ascii="Times New Roman" w:hAnsi="Times New Roman"/>
          <w:sz w:val="24"/>
        </w:rPr>
        <w:t>a) od 1. 1. 2026 do 31. 12. 2026</w:t>
      </w:r>
      <w:r>
        <w:rPr>
          <w:rFonts w:ascii="Times New Roman" w:hAnsi="Times New Roman"/>
          <w:spacing w:val="-6"/>
          <w:sz w:val="24"/>
        </w:rPr>
        <w:t xml:space="preserve"> </w:t>
      </w:r>
      <w:r>
        <w:rPr>
          <w:rFonts w:ascii="Times New Roman" w:hAnsi="Times New Roman"/>
          <w:sz w:val="24"/>
        </w:rPr>
        <w:t>505.128,-Kč,</w:t>
      </w:r>
    </w:p>
    <w:p w14:paraId="0160714A" w14:textId="77777777" w:rsidR="00F65BCA" w:rsidRDefault="00216117">
      <w:pPr>
        <w:ind w:left="258"/>
        <w:rPr>
          <w:rFonts w:ascii="Times New Roman" w:hAnsi="Times New Roman"/>
          <w:sz w:val="24"/>
        </w:rPr>
      </w:pPr>
      <w:r>
        <w:rPr>
          <w:rFonts w:ascii="Times New Roman" w:hAnsi="Times New Roman"/>
          <w:sz w:val="24"/>
        </w:rPr>
        <w:t>b) od 1. 1. 2027 do 31. 12. 2027</w:t>
      </w:r>
      <w:r>
        <w:rPr>
          <w:rFonts w:ascii="Times New Roman" w:hAnsi="Times New Roman"/>
          <w:spacing w:val="-7"/>
          <w:sz w:val="24"/>
        </w:rPr>
        <w:t xml:space="preserve"> </w:t>
      </w:r>
      <w:r>
        <w:rPr>
          <w:rFonts w:ascii="Times New Roman" w:hAnsi="Times New Roman"/>
          <w:sz w:val="24"/>
        </w:rPr>
        <w:t>505.128,-Kč,</w:t>
      </w:r>
    </w:p>
    <w:p w14:paraId="6BE6E72B" w14:textId="77777777" w:rsidR="00F65BCA" w:rsidRDefault="00216117">
      <w:pPr>
        <w:ind w:left="258"/>
        <w:rPr>
          <w:rFonts w:ascii="Times New Roman" w:hAnsi="Times New Roman"/>
          <w:sz w:val="24"/>
        </w:rPr>
      </w:pPr>
      <w:r>
        <w:rPr>
          <w:rFonts w:ascii="Times New Roman" w:hAnsi="Times New Roman"/>
          <w:sz w:val="24"/>
        </w:rPr>
        <w:t>c) od 1. 1. 2028 do 31. 12. 2028</w:t>
      </w:r>
      <w:r>
        <w:rPr>
          <w:rFonts w:ascii="Times New Roman" w:hAnsi="Times New Roman"/>
          <w:spacing w:val="-6"/>
          <w:sz w:val="24"/>
        </w:rPr>
        <w:t xml:space="preserve"> </w:t>
      </w:r>
      <w:r>
        <w:rPr>
          <w:rFonts w:ascii="Times New Roman" w:hAnsi="Times New Roman"/>
          <w:sz w:val="24"/>
        </w:rPr>
        <w:t>505.128,-Kč,</w:t>
      </w:r>
    </w:p>
    <w:p w14:paraId="143F3ACF" w14:textId="77777777" w:rsidR="00F65BCA" w:rsidRDefault="00216117">
      <w:pPr>
        <w:ind w:left="258"/>
        <w:rPr>
          <w:rFonts w:ascii="Times New Roman" w:hAnsi="Times New Roman"/>
          <w:sz w:val="24"/>
        </w:rPr>
      </w:pPr>
      <w:r>
        <w:rPr>
          <w:rFonts w:ascii="Times New Roman" w:hAnsi="Times New Roman"/>
          <w:sz w:val="24"/>
        </w:rPr>
        <w:t>pokud nedojde ke změně rozsahu pojištění či souboru pojištěných vozidel.</w:t>
      </w:r>
    </w:p>
    <w:p w14:paraId="58BFE2A7" w14:textId="77777777" w:rsidR="00F65BCA" w:rsidRDefault="00216117">
      <w:pPr>
        <w:ind w:left="258"/>
        <w:rPr>
          <w:rFonts w:ascii="Times New Roman" w:hAnsi="Times New Roman"/>
          <w:sz w:val="24"/>
        </w:rPr>
      </w:pPr>
      <w:r>
        <w:rPr>
          <w:rFonts w:ascii="Times New Roman" w:hAnsi="Times New Roman"/>
          <w:sz w:val="24"/>
        </w:rPr>
        <w:t>Celkové pojistné za tři roky činí 1.515.384,-Kč, pokud nedojde ke změně rozsahu pojištění či souboru pojištěných vozidel.</w:t>
      </w:r>
    </w:p>
    <w:p w14:paraId="5466F722" w14:textId="77777777" w:rsidR="00F65BCA" w:rsidRDefault="00216117">
      <w:pPr>
        <w:pStyle w:val="Odstavecseseznamem"/>
        <w:numPr>
          <w:ilvl w:val="1"/>
          <w:numId w:val="155"/>
        </w:numPr>
        <w:tabs>
          <w:tab w:val="left" w:pos="979"/>
        </w:tabs>
        <w:ind w:right="108" w:firstLine="0"/>
        <w:jc w:val="both"/>
        <w:rPr>
          <w:rFonts w:ascii="Times New Roman" w:hAnsi="Times New Roman"/>
          <w:sz w:val="24"/>
        </w:rPr>
      </w:pPr>
      <w:r>
        <w:rPr>
          <w:rFonts w:ascii="Times New Roman" w:hAnsi="Times New Roman"/>
          <w:sz w:val="24"/>
        </w:rPr>
        <w:t>Roční pojistné za jednotlivá vozidla a jednotlivá rizika je stanoveno v Příloze č. 1. Ujednává se, že sazby pojistného jsou platné po celou dobu trvání pojistné smlouvy, a to i pro nově pořízená vozidla Pojistníkem. Výše nabídnuté sazby pro konkrétní druh pojištění nebude překročena, nestanoví-li zvláštní právní předpis</w:t>
      </w:r>
      <w:r>
        <w:rPr>
          <w:rFonts w:ascii="Times New Roman" w:hAnsi="Times New Roman"/>
          <w:spacing w:val="-1"/>
          <w:sz w:val="24"/>
        </w:rPr>
        <w:t xml:space="preserve"> </w:t>
      </w:r>
      <w:r>
        <w:rPr>
          <w:rFonts w:ascii="Times New Roman" w:hAnsi="Times New Roman"/>
          <w:sz w:val="24"/>
        </w:rPr>
        <w:t>jinak.</w:t>
      </w:r>
    </w:p>
    <w:p w14:paraId="0D23C4B9" w14:textId="77777777" w:rsidR="00F65BCA" w:rsidRDefault="00216117">
      <w:pPr>
        <w:pStyle w:val="Odstavecseseznamem"/>
        <w:numPr>
          <w:ilvl w:val="1"/>
          <w:numId w:val="155"/>
        </w:numPr>
        <w:tabs>
          <w:tab w:val="left" w:pos="979"/>
        </w:tabs>
        <w:ind w:left="978" w:hanging="721"/>
        <w:jc w:val="both"/>
        <w:rPr>
          <w:rFonts w:ascii="Times New Roman" w:hAnsi="Times New Roman"/>
          <w:sz w:val="24"/>
        </w:rPr>
      </w:pPr>
      <w:r>
        <w:rPr>
          <w:rFonts w:ascii="Times New Roman" w:hAnsi="Times New Roman"/>
          <w:sz w:val="24"/>
        </w:rPr>
        <w:t>Pojistné se sjednává jako</w:t>
      </w:r>
      <w:r>
        <w:rPr>
          <w:rFonts w:ascii="Times New Roman" w:hAnsi="Times New Roman"/>
          <w:spacing w:val="-2"/>
          <w:sz w:val="24"/>
        </w:rPr>
        <w:t xml:space="preserve"> </w:t>
      </w:r>
      <w:r>
        <w:rPr>
          <w:rFonts w:ascii="Times New Roman" w:hAnsi="Times New Roman"/>
          <w:sz w:val="24"/>
        </w:rPr>
        <w:t>běžné.</w:t>
      </w:r>
    </w:p>
    <w:p w14:paraId="303E99DE" w14:textId="77777777" w:rsidR="00F65BCA" w:rsidRDefault="00216117">
      <w:pPr>
        <w:pStyle w:val="Odstavecseseznamem"/>
        <w:numPr>
          <w:ilvl w:val="1"/>
          <w:numId w:val="155"/>
        </w:numPr>
        <w:tabs>
          <w:tab w:val="left" w:pos="979"/>
        </w:tabs>
        <w:ind w:left="978" w:hanging="721"/>
        <w:jc w:val="both"/>
        <w:rPr>
          <w:rFonts w:ascii="Times New Roman" w:hAnsi="Times New Roman"/>
          <w:sz w:val="24"/>
        </w:rPr>
      </w:pPr>
      <w:r>
        <w:rPr>
          <w:rFonts w:ascii="Times New Roman" w:hAnsi="Times New Roman"/>
          <w:sz w:val="24"/>
        </w:rPr>
        <w:t>Způsob úhrady</w:t>
      </w:r>
      <w:r>
        <w:rPr>
          <w:rFonts w:ascii="Times New Roman" w:hAnsi="Times New Roman"/>
          <w:spacing w:val="-1"/>
          <w:sz w:val="24"/>
        </w:rPr>
        <w:t xml:space="preserve"> </w:t>
      </w:r>
      <w:r>
        <w:rPr>
          <w:rFonts w:ascii="Times New Roman" w:hAnsi="Times New Roman"/>
          <w:sz w:val="24"/>
        </w:rPr>
        <w:t>pojistného:</w:t>
      </w:r>
    </w:p>
    <w:p w14:paraId="6CA19703" w14:textId="77777777" w:rsidR="00F65BCA" w:rsidRDefault="00216117">
      <w:pPr>
        <w:ind w:left="258" w:right="107"/>
        <w:jc w:val="both"/>
        <w:rPr>
          <w:rFonts w:ascii="Times New Roman" w:hAnsi="Times New Roman"/>
          <w:sz w:val="24"/>
        </w:rPr>
      </w:pPr>
      <w:r>
        <w:rPr>
          <w:rFonts w:ascii="Times New Roman" w:hAnsi="Times New Roman"/>
          <w:sz w:val="24"/>
        </w:rPr>
        <w:t>Platby budou probíhat výhradně v korunách českých (Kč). Rovněž veškeré cenové údaje budou uváděny v korunách českých (Kč).</w:t>
      </w:r>
    </w:p>
    <w:p w14:paraId="0E2B453B" w14:textId="77777777" w:rsidR="00F65BCA" w:rsidRDefault="00216117">
      <w:pPr>
        <w:ind w:left="258" w:right="107"/>
        <w:jc w:val="both"/>
        <w:rPr>
          <w:rFonts w:ascii="Times New Roman" w:hAnsi="Times New Roman"/>
          <w:sz w:val="24"/>
        </w:rPr>
      </w:pPr>
      <w:r>
        <w:rPr>
          <w:rFonts w:ascii="Times New Roman" w:hAnsi="Times New Roman"/>
          <w:sz w:val="24"/>
        </w:rPr>
        <w:t>Pojistné bude Pojistníkem uhrazeno ve třech (3) splátkách, vždy za příslušné pojistné období (rok). Výše splátek musí odpovídat délce jednotlivých  pojistných  období. Pojistné bude uhrazeno  vždy  na</w:t>
      </w:r>
      <w:r>
        <w:rPr>
          <w:rFonts w:ascii="Times New Roman" w:hAnsi="Times New Roman"/>
          <w:spacing w:val="-13"/>
          <w:sz w:val="24"/>
        </w:rPr>
        <w:t xml:space="preserve"> </w:t>
      </w:r>
      <w:r>
        <w:rPr>
          <w:rFonts w:ascii="Times New Roman" w:hAnsi="Times New Roman"/>
          <w:sz w:val="24"/>
        </w:rPr>
        <w:t>začátku</w:t>
      </w:r>
      <w:r>
        <w:rPr>
          <w:rFonts w:ascii="Times New Roman" w:hAnsi="Times New Roman"/>
          <w:spacing w:val="-11"/>
          <w:sz w:val="24"/>
        </w:rPr>
        <w:t xml:space="preserve"> </w:t>
      </w:r>
      <w:r>
        <w:rPr>
          <w:rFonts w:ascii="Times New Roman" w:hAnsi="Times New Roman"/>
          <w:sz w:val="24"/>
        </w:rPr>
        <w:t>příslušného</w:t>
      </w:r>
      <w:r>
        <w:rPr>
          <w:rFonts w:ascii="Times New Roman" w:hAnsi="Times New Roman"/>
          <w:spacing w:val="-12"/>
          <w:sz w:val="24"/>
        </w:rPr>
        <w:t xml:space="preserve"> </w:t>
      </w:r>
      <w:r>
        <w:rPr>
          <w:rFonts w:ascii="Times New Roman" w:hAnsi="Times New Roman"/>
          <w:sz w:val="24"/>
        </w:rPr>
        <w:t>pojistného</w:t>
      </w:r>
      <w:r>
        <w:rPr>
          <w:rFonts w:ascii="Times New Roman" w:hAnsi="Times New Roman"/>
          <w:spacing w:val="-11"/>
          <w:sz w:val="24"/>
        </w:rPr>
        <w:t xml:space="preserve"> </w:t>
      </w:r>
      <w:r>
        <w:rPr>
          <w:rFonts w:ascii="Times New Roman" w:hAnsi="Times New Roman"/>
          <w:sz w:val="24"/>
        </w:rPr>
        <w:t>období.</w:t>
      </w:r>
      <w:r>
        <w:rPr>
          <w:rFonts w:ascii="Times New Roman" w:hAnsi="Times New Roman"/>
          <w:spacing w:val="-12"/>
          <w:sz w:val="24"/>
        </w:rPr>
        <w:t xml:space="preserve"> </w:t>
      </w:r>
      <w:r>
        <w:rPr>
          <w:rFonts w:ascii="Times New Roman" w:hAnsi="Times New Roman"/>
          <w:sz w:val="24"/>
        </w:rPr>
        <w:t>Předpis</w:t>
      </w:r>
      <w:r>
        <w:rPr>
          <w:rFonts w:ascii="Times New Roman" w:hAnsi="Times New Roman"/>
          <w:spacing w:val="-13"/>
          <w:sz w:val="24"/>
        </w:rPr>
        <w:t xml:space="preserve"> </w:t>
      </w:r>
      <w:r>
        <w:rPr>
          <w:rFonts w:ascii="Times New Roman" w:hAnsi="Times New Roman"/>
          <w:sz w:val="24"/>
        </w:rPr>
        <w:t>pojistného</w:t>
      </w:r>
      <w:r>
        <w:rPr>
          <w:rFonts w:ascii="Times New Roman" w:hAnsi="Times New Roman"/>
          <w:spacing w:val="-11"/>
          <w:sz w:val="24"/>
        </w:rPr>
        <w:t xml:space="preserve"> </w:t>
      </w:r>
      <w:r>
        <w:rPr>
          <w:rFonts w:ascii="Times New Roman" w:hAnsi="Times New Roman"/>
          <w:sz w:val="24"/>
        </w:rPr>
        <w:t>musí</w:t>
      </w:r>
      <w:r>
        <w:rPr>
          <w:rFonts w:ascii="Times New Roman" w:hAnsi="Times New Roman"/>
          <w:spacing w:val="-12"/>
          <w:sz w:val="24"/>
        </w:rPr>
        <w:t xml:space="preserve"> </w:t>
      </w:r>
      <w:r>
        <w:rPr>
          <w:rFonts w:ascii="Times New Roman" w:hAnsi="Times New Roman"/>
          <w:sz w:val="24"/>
        </w:rPr>
        <w:t>být</w:t>
      </w:r>
      <w:r>
        <w:rPr>
          <w:rFonts w:ascii="Times New Roman" w:hAnsi="Times New Roman"/>
          <w:spacing w:val="-13"/>
          <w:sz w:val="24"/>
        </w:rPr>
        <w:t xml:space="preserve"> </w:t>
      </w:r>
      <w:r>
        <w:rPr>
          <w:rFonts w:ascii="Times New Roman" w:hAnsi="Times New Roman"/>
          <w:sz w:val="24"/>
        </w:rPr>
        <w:t>Pojistníkovi</w:t>
      </w:r>
      <w:r>
        <w:rPr>
          <w:rFonts w:ascii="Times New Roman" w:hAnsi="Times New Roman"/>
          <w:spacing w:val="-12"/>
          <w:sz w:val="24"/>
        </w:rPr>
        <w:t xml:space="preserve"> </w:t>
      </w:r>
      <w:r>
        <w:rPr>
          <w:rFonts w:ascii="Times New Roman" w:hAnsi="Times New Roman"/>
          <w:sz w:val="24"/>
        </w:rPr>
        <w:t>doručen</w:t>
      </w:r>
      <w:r>
        <w:rPr>
          <w:rFonts w:ascii="Times New Roman" w:hAnsi="Times New Roman"/>
          <w:spacing w:val="-11"/>
          <w:sz w:val="24"/>
        </w:rPr>
        <w:t xml:space="preserve"> </w:t>
      </w:r>
      <w:r>
        <w:rPr>
          <w:rFonts w:ascii="Times New Roman" w:hAnsi="Times New Roman"/>
          <w:sz w:val="24"/>
        </w:rPr>
        <w:t>nejpozději do konce předchozího pojistného období, resp. kalendářního</w:t>
      </w:r>
      <w:r>
        <w:rPr>
          <w:rFonts w:ascii="Times New Roman" w:hAnsi="Times New Roman"/>
          <w:spacing w:val="-3"/>
          <w:sz w:val="24"/>
        </w:rPr>
        <w:t xml:space="preserve"> </w:t>
      </w:r>
      <w:r>
        <w:rPr>
          <w:rFonts w:ascii="Times New Roman" w:hAnsi="Times New Roman"/>
          <w:sz w:val="24"/>
        </w:rPr>
        <w:t>roku.</w:t>
      </w:r>
    </w:p>
    <w:p w14:paraId="2D0B94B8" w14:textId="77777777" w:rsidR="00F65BCA" w:rsidRDefault="00F65BCA">
      <w:pPr>
        <w:pStyle w:val="Zkladntext"/>
        <w:rPr>
          <w:rFonts w:ascii="Times New Roman"/>
          <w:sz w:val="24"/>
        </w:rPr>
      </w:pPr>
    </w:p>
    <w:p w14:paraId="305517BC" w14:textId="77777777" w:rsidR="00F65BCA" w:rsidRDefault="00216117">
      <w:pPr>
        <w:ind w:left="258" w:right="106"/>
        <w:jc w:val="both"/>
        <w:rPr>
          <w:rFonts w:ascii="Times New Roman" w:hAnsi="Times New Roman"/>
          <w:sz w:val="24"/>
        </w:rPr>
      </w:pPr>
      <w:r>
        <w:rPr>
          <w:rFonts w:ascii="Times New Roman" w:hAnsi="Times New Roman"/>
          <w:sz w:val="24"/>
        </w:rPr>
        <w:t>Všechny  daňové  doklady  a  předpisy  pojistného  musí  obsahovat  náležitosti  řádného  účetního    a</w:t>
      </w:r>
      <w:r>
        <w:rPr>
          <w:rFonts w:ascii="Times New Roman" w:hAnsi="Times New Roman"/>
          <w:spacing w:val="-8"/>
          <w:sz w:val="24"/>
        </w:rPr>
        <w:t xml:space="preserve"> </w:t>
      </w:r>
      <w:r>
        <w:rPr>
          <w:rFonts w:ascii="Times New Roman" w:hAnsi="Times New Roman"/>
          <w:sz w:val="24"/>
        </w:rPr>
        <w:t>daňového</w:t>
      </w:r>
      <w:r>
        <w:rPr>
          <w:rFonts w:ascii="Times New Roman" w:hAnsi="Times New Roman"/>
          <w:spacing w:val="-6"/>
          <w:sz w:val="24"/>
        </w:rPr>
        <w:t xml:space="preserve"> </w:t>
      </w:r>
      <w:r>
        <w:rPr>
          <w:rFonts w:ascii="Times New Roman" w:hAnsi="Times New Roman"/>
          <w:sz w:val="24"/>
        </w:rPr>
        <w:t>dokladu</w:t>
      </w:r>
      <w:r>
        <w:rPr>
          <w:rFonts w:ascii="Times New Roman" w:hAnsi="Times New Roman"/>
          <w:spacing w:val="-7"/>
          <w:sz w:val="24"/>
        </w:rPr>
        <w:t xml:space="preserve"> </w:t>
      </w:r>
      <w:r>
        <w:rPr>
          <w:rFonts w:ascii="Times New Roman" w:hAnsi="Times New Roman"/>
          <w:sz w:val="24"/>
        </w:rPr>
        <w:t>ve</w:t>
      </w:r>
      <w:r>
        <w:rPr>
          <w:rFonts w:ascii="Times New Roman" w:hAnsi="Times New Roman"/>
          <w:spacing w:val="-7"/>
          <w:sz w:val="24"/>
        </w:rPr>
        <w:t xml:space="preserve"> </w:t>
      </w:r>
      <w:r>
        <w:rPr>
          <w:rFonts w:ascii="Times New Roman" w:hAnsi="Times New Roman"/>
          <w:sz w:val="24"/>
        </w:rPr>
        <w:t>smyslu</w:t>
      </w:r>
      <w:r>
        <w:rPr>
          <w:rFonts w:ascii="Times New Roman" w:hAnsi="Times New Roman"/>
          <w:spacing w:val="-6"/>
          <w:sz w:val="24"/>
        </w:rPr>
        <w:t xml:space="preserve"> </w:t>
      </w:r>
      <w:r>
        <w:rPr>
          <w:rFonts w:ascii="Times New Roman" w:hAnsi="Times New Roman"/>
          <w:sz w:val="24"/>
        </w:rPr>
        <w:t>příslušných</w:t>
      </w:r>
      <w:r>
        <w:rPr>
          <w:rFonts w:ascii="Times New Roman" w:hAnsi="Times New Roman"/>
          <w:spacing w:val="-7"/>
          <w:sz w:val="24"/>
        </w:rPr>
        <w:t xml:space="preserve"> </w:t>
      </w:r>
      <w:r>
        <w:rPr>
          <w:rFonts w:ascii="Times New Roman" w:hAnsi="Times New Roman"/>
          <w:sz w:val="24"/>
        </w:rPr>
        <w:t>právních</w:t>
      </w:r>
      <w:r>
        <w:rPr>
          <w:rFonts w:ascii="Times New Roman" w:hAnsi="Times New Roman"/>
          <w:spacing w:val="-6"/>
          <w:sz w:val="24"/>
        </w:rPr>
        <w:t xml:space="preserve"> </w:t>
      </w:r>
      <w:r>
        <w:rPr>
          <w:rFonts w:ascii="Times New Roman" w:hAnsi="Times New Roman"/>
          <w:sz w:val="24"/>
        </w:rPr>
        <w:t>předpisů,</w:t>
      </w:r>
      <w:r>
        <w:rPr>
          <w:rFonts w:ascii="Times New Roman" w:hAnsi="Times New Roman"/>
          <w:spacing w:val="-6"/>
          <w:sz w:val="24"/>
        </w:rPr>
        <w:t xml:space="preserve"> </w:t>
      </w:r>
      <w:r>
        <w:rPr>
          <w:rFonts w:ascii="Times New Roman" w:hAnsi="Times New Roman"/>
          <w:sz w:val="24"/>
        </w:rPr>
        <w:t>zejména</w:t>
      </w:r>
      <w:r>
        <w:rPr>
          <w:rFonts w:ascii="Times New Roman" w:hAnsi="Times New Roman"/>
          <w:spacing w:val="-8"/>
          <w:sz w:val="24"/>
        </w:rPr>
        <w:t xml:space="preserve"> </w:t>
      </w:r>
      <w:r>
        <w:rPr>
          <w:rFonts w:ascii="Times New Roman" w:hAnsi="Times New Roman"/>
          <w:sz w:val="24"/>
        </w:rPr>
        <w:t>zákona</w:t>
      </w:r>
      <w:r>
        <w:rPr>
          <w:rFonts w:ascii="Times New Roman" w:hAnsi="Times New Roman"/>
          <w:spacing w:val="-7"/>
          <w:sz w:val="24"/>
        </w:rPr>
        <w:t xml:space="preserve"> </w:t>
      </w:r>
      <w:r>
        <w:rPr>
          <w:rFonts w:ascii="Times New Roman" w:hAnsi="Times New Roman"/>
          <w:sz w:val="24"/>
        </w:rPr>
        <w:t>č.</w:t>
      </w:r>
      <w:r>
        <w:rPr>
          <w:rFonts w:ascii="Times New Roman" w:hAnsi="Times New Roman"/>
          <w:spacing w:val="-6"/>
          <w:sz w:val="24"/>
        </w:rPr>
        <w:t xml:space="preserve"> </w:t>
      </w:r>
      <w:r>
        <w:rPr>
          <w:rFonts w:ascii="Times New Roman" w:hAnsi="Times New Roman"/>
          <w:sz w:val="24"/>
        </w:rPr>
        <w:t>235/2004</w:t>
      </w:r>
      <w:r>
        <w:rPr>
          <w:rFonts w:ascii="Times New Roman" w:hAnsi="Times New Roman"/>
          <w:spacing w:val="-7"/>
          <w:sz w:val="24"/>
        </w:rPr>
        <w:t xml:space="preserve"> </w:t>
      </w:r>
      <w:r>
        <w:rPr>
          <w:rFonts w:ascii="Times New Roman" w:hAnsi="Times New Roman"/>
          <w:sz w:val="24"/>
        </w:rPr>
        <w:t>Sb.,</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9"/>
          <w:sz w:val="24"/>
        </w:rPr>
        <w:t xml:space="preserve"> </w:t>
      </w:r>
      <w:r>
        <w:rPr>
          <w:rFonts w:ascii="Times New Roman" w:hAnsi="Times New Roman"/>
          <w:sz w:val="24"/>
        </w:rPr>
        <w:t>dani z přidané hodnoty. Splatnost se sjednává na 30 kalendářních dnů od jejich obdržení Pojistníkem.      V případě, že daňový doklad nebo předpis pojistného nebude mít odpovídající náležitosti, je Pojistník oprávněn jej vrátit ve lhůtě splatnosti zpět Pojistiteli k doplnění či opravě, aniž se tak dostane          do prodlení se  splatností.  Lhůta  splatnosti  počíná  běžet  znovu  od  zaslání  náležitě  doplněného  či opraveného předpisu</w:t>
      </w:r>
      <w:r>
        <w:rPr>
          <w:rFonts w:ascii="Times New Roman" w:hAnsi="Times New Roman"/>
          <w:spacing w:val="-1"/>
          <w:sz w:val="24"/>
        </w:rPr>
        <w:t xml:space="preserve"> </w:t>
      </w:r>
      <w:r>
        <w:rPr>
          <w:rFonts w:ascii="Times New Roman" w:hAnsi="Times New Roman"/>
          <w:sz w:val="24"/>
        </w:rPr>
        <w:t>pojistného.</w:t>
      </w:r>
    </w:p>
    <w:p w14:paraId="4B7C4650" w14:textId="77777777" w:rsidR="00F65BCA" w:rsidRDefault="00216117">
      <w:pPr>
        <w:spacing w:before="1"/>
        <w:ind w:left="258" w:right="107"/>
        <w:jc w:val="both"/>
        <w:rPr>
          <w:rFonts w:ascii="Times New Roman" w:hAnsi="Times New Roman"/>
          <w:sz w:val="24"/>
        </w:rPr>
      </w:pPr>
      <w:r>
        <w:rPr>
          <w:rFonts w:ascii="Times New Roman" w:hAnsi="Times New Roman"/>
          <w:sz w:val="24"/>
        </w:rPr>
        <w:t>Cena nebude měněna v souvislosti s hodnotou kurzu české koruny vůči zahraničním měnám či</w:t>
      </w:r>
      <w:r>
        <w:rPr>
          <w:rFonts w:ascii="Times New Roman" w:hAnsi="Times New Roman"/>
          <w:spacing w:val="-32"/>
          <w:sz w:val="24"/>
        </w:rPr>
        <w:t xml:space="preserve"> </w:t>
      </w:r>
      <w:r>
        <w:rPr>
          <w:rFonts w:ascii="Times New Roman" w:hAnsi="Times New Roman"/>
          <w:sz w:val="24"/>
        </w:rPr>
        <w:t>jinými faktory s vlivem na měnový kurz a stabilitu</w:t>
      </w:r>
      <w:r>
        <w:rPr>
          <w:rFonts w:ascii="Times New Roman" w:hAnsi="Times New Roman"/>
          <w:spacing w:val="-4"/>
          <w:sz w:val="24"/>
        </w:rPr>
        <w:t xml:space="preserve"> </w:t>
      </w:r>
      <w:r>
        <w:rPr>
          <w:rFonts w:ascii="Times New Roman" w:hAnsi="Times New Roman"/>
          <w:sz w:val="24"/>
        </w:rPr>
        <w:t>měny.</w:t>
      </w:r>
    </w:p>
    <w:p w14:paraId="79A23BAF" w14:textId="77777777" w:rsidR="00F65BCA" w:rsidRDefault="00F65BCA">
      <w:pPr>
        <w:pStyle w:val="Zkladntext"/>
        <w:spacing w:before="11"/>
        <w:rPr>
          <w:rFonts w:ascii="Times New Roman"/>
          <w:sz w:val="23"/>
        </w:rPr>
      </w:pPr>
    </w:p>
    <w:p w14:paraId="5FD8937F" w14:textId="77777777" w:rsidR="00F65BCA" w:rsidRDefault="00216117">
      <w:pPr>
        <w:pStyle w:val="Odstavecseseznamem"/>
        <w:numPr>
          <w:ilvl w:val="1"/>
          <w:numId w:val="155"/>
        </w:numPr>
        <w:tabs>
          <w:tab w:val="left" w:pos="979"/>
        </w:tabs>
        <w:ind w:left="978" w:hanging="721"/>
        <w:jc w:val="both"/>
        <w:rPr>
          <w:rFonts w:ascii="Times New Roman" w:hAnsi="Times New Roman"/>
          <w:sz w:val="24"/>
        </w:rPr>
      </w:pPr>
      <w:r>
        <w:rPr>
          <w:rFonts w:ascii="Times New Roman" w:hAnsi="Times New Roman"/>
          <w:sz w:val="24"/>
        </w:rPr>
        <w:t>Případné področní splátky pojistného nebudou účtovány s</w:t>
      </w:r>
      <w:r>
        <w:rPr>
          <w:rFonts w:ascii="Times New Roman" w:hAnsi="Times New Roman"/>
          <w:spacing w:val="-3"/>
          <w:sz w:val="24"/>
        </w:rPr>
        <w:t xml:space="preserve"> </w:t>
      </w:r>
      <w:r>
        <w:rPr>
          <w:rFonts w:ascii="Times New Roman" w:hAnsi="Times New Roman"/>
          <w:sz w:val="24"/>
        </w:rPr>
        <w:t>přirážkou.</w:t>
      </w:r>
    </w:p>
    <w:p w14:paraId="129F50C5" w14:textId="77777777" w:rsidR="00F65BCA" w:rsidRDefault="00216117">
      <w:pPr>
        <w:pStyle w:val="Odstavecseseznamem"/>
        <w:numPr>
          <w:ilvl w:val="1"/>
          <w:numId w:val="155"/>
        </w:numPr>
        <w:tabs>
          <w:tab w:val="left" w:pos="979"/>
        </w:tabs>
        <w:ind w:right="106" w:firstLine="0"/>
        <w:jc w:val="both"/>
        <w:rPr>
          <w:rFonts w:ascii="Times New Roman" w:hAnsi="Times New Roman"/>
          <w:sz w:val="24"/>
        </w:rPr>
      </w:pPr>
      <w:r>
        <w:rPr>
          <w:rFonts w:ascii="Times New Roman" w:hAnsi="Times New Roman"/>
          <w:sz w:val="24"/>
        </w:rPr>
        <w:t>Výše pojistného je platná po celou dobu trvání pojištění. Nárůst výše pojistného v důsledku vývoje cen pojištění je nepřípustný. Výše pojistného je překročitelná pouze při změně rozsahu pojistného krytí a změně objemu pojišťovaného majetku (vozidel), resp. při zvýšení pojistné částky nebo limitu</w:t>
      </w:r>
      <w:r>
        <w:rPr>
          <w:rFonts w:ascii="Times New Roman" w:hAnsi="Times New Roman"/>
          <w:spacing w:val="-1"/>
          <w:sz w:val="24"/>
        </w:rPr>
        <w:t xml:space="preserve"> </w:t>
      </w:r>
      <w:r>
        <w:rPr>
          <w:rFonts w:ascii="Times New Roman" w:hAnsi="Times New Roman"/>
          <w:sz w:val="24"/>
        </w:rPr>
        <w:t>plnění.</w:t>
      </w:r>
    </w:p>
    <w:p w14:paraId="04EA630C" w14:textId="77777777" w:rsidR="00F65BCA" w:rsidRDefault="00F65BCA">
      <w:pPr>
        <w:pStyle w:val="Zkladntext"/>
        <w:rPr>
          <w:rFonts w:ascii="Times New Roman"/>
          <w:sz w:val="26"/>
        </w:rPr>
      </w:pPr>
    </w:p>
    <w:p w14:paraId="2EE66FCB" w14:textId="77777777" w:rsidR="00F65BCA" w:rsidRDefault="00F65BCA">
      <w:pPr>
        <w:pStyle w:val="Zkladntext"/>
        <w:rPr>
          <w:rFonts w:ascii="Times New Roman"/>
          <w:sz w:val="26"/>
        </w:rPr>
      </w:pPr>
    </w:p>
    <w:p w14:paraId="595B8D92" w14:textId="77777777" w:rsidR="00F65BCA" w:rsidRDefault="00F65BCA">
      <w:pPr>
        <w:pStyle w:val="Zkladntext"/>
        <w:rPr>
          <w:rFonts w:ascii="Times New Roman"/>
          <w:sz w:val="26"/>
        </w:rPr>
      </w:pPr>
    </w:p>
    <w:p w14:paraId="2852F72D" w14:textId="77777777" w:rsidR="00F65BCA" w:rsidRDefault="00216117">
      <w:pPr>
        <w:pStyle w:val="Odstavecseseznamem"/>
        <w:numPr>
          <w:ilvl w:val="0"/>
          <w:numId w:val="155"/>
        </w:numPr>
        <w:tabs>
          <w:tab w:val="left" w:pos="825"/>
        </w:tabs>
        <w:spacing w:before="207"/>
        <w:jc w:val="both"/>
        <w:rPr>
          <w:rFonts w:ascii="Times New Roman" w:hAnsi="Times New Roman"/>
          <w:b/>
          <w:sz w:val="24"/>
        </w:rPr>
      </w:pPr>
      <w:r>
        <w:rPr>
          <w:rFonts w:ascii="Times New Roman" w:hAnsi="Times New Roman"/>
          <w:b/>
          <w:sz w:val="24"/>
        </w:rPr>
        <w:t>Povinnosti Pojišťovny a</w:t>
      </w:r>
      <w:r>
        <w:rPr>
          <w:rFonts w:ascii="Times New Roman" w:hAnsi="Times New Roman"/>
          <w:b/>
          <w:spacing w:val="-4"/>
          <w:sz w:val="24"/>
        </w:rPr>
        <w:t xml:space="preserve"> </w:t>
      </w:r>
      <w:r>
        <w:rPr>
          <w:rFonts w:ascii="Times New Roman" w:hAnsi="Times New Roman"/>
          <w:b/>
          <w:sz w:val="24"/>
        </w:rPr>
        <w:t>Pojistníka</w:t>
      </w:r>
    </w:p>
    <w:p w14:paraId="11E14AB9" w14:textId="77777777" w:rsidR="00F65BCA" w:rsidRDefault="00216117">
      <w:pPr>
        <w:pStyle w:val="Odstavecseseznamem"/>
        <w:numPr>
          <w:ilvl w:val="1"/>
          <w:numId w:val="155"/>
        </w:numPr>
        <w:tabs>
          <w:tab w:val="left" w:pos="979"/>
        </w:tabs>
        <w:ind w:right="109" w:firstLine="0"/>
        <w:jc w:val="both"/>
        <w:rPr>
          <w:rFonts w:ascii="Times New Roman" w:hAnsi="Times New Roman"/>
          <w:sz w:val="24"/>
        </w:rPr>
      </w:pPr>
      <w:r>
        <w:rPr>
          <w:rFonts w:ascii="Times New Roman" w:hAnsi="Times New Roman"/>
          <w:sz w:val="24"/>
        </w:rPr>
        <w:t>Pojišťovna</w:t>
      </w:r>
      <w:r>
        <w:rPr>
          <w:rFonts w:ascii="Times New Roman" w:hAnsi="Times New Roman"/>
          <w:spacing w:val="-12"/>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Pojistník</w:t>
      </w:r>
      <w:r>
        <w:rPr>
          <w:rFonts w:ascii="Times New Roman" w:hAnsi="Times New Roman"/>
          <w:spacing w:val="-11"/>
          <w:sz w:val="24"/>
        </w:rPr>
        <w:t xml:space="preserve"> </w:t>
      </w:r>
      <w:r>
        <w:rPr>
          <w:rFonts w:ascii="Times New Roman" w:hAnsi="Times New Roman"/>
          <w:sz w:val="24"/>
        </w:rPr>
        <w:t>se</w:t>
      </w:r>
      <w:r>
        <w:rPr>
          <w:rFonts w:ascii="Times New Roman" w:hAnsi="Times New Roman"/>
          <w:spacing w:val="-12"/>
          <w:sz w:val="24"/>
        </w:rPr>
        <w:t xml:space="preserve"> </w:t>
      </w:r>
      <w:r>
        <w:rPr>
          <w:rFonts w:ascii="Times New Roman" w:hAnsi="Times New Roman"/>
          <w:sz w:val="24"/>
        </w:rPr>
        <w:t>zavazují</w:t>
      </w:r>
      <w:r>
        <w:rPr>
          <w:rFonts w:ascii="Times New Roman" w:hAnsi="Times New Roman"/>
          <w:spacing w:val="-10"/>
          <w:sz w:val="24"/>
        </w:rPr>
        <w:t xml:space="preserve"> </w:t>
      </w:r>
      <w:r>
        <w:rPr>
          <w:rFonts w:ascii="Times New Roman" w:hAnsi="Times New Roman"/>
          <w:sz w:val="24"/>
        </w:rPr>
        <w:t>dodržovat</w:t>
      </w:r>
      <w:r>
        <w:rPr>
          <w:rFonts w:ascii="Times New Roman" w:hAnsi="Times New Roman"/>
          <w:spacing w:val="-11"/>
          <w:sz w:val="24"/>
        </w:rPr>
        <w:t xml:space="preserve"> </w:t>
      </w:r>
      <w:r>
        <w:rPr>
          <w:rFonts w:ascii="Times New Roman" w:hAnsi="Times New Roman"/>
          <w:sz w:val="24"/>
        </w:rPr>
        <w:t>povinnosti</w:t>
      </w:r>
      <w:r>
        <w:rPr>
          <w:rFonts w:ascii="Times New Roman" w:hAnsi="Times New Roman"/>
          <w:spacing w:val="-11"/>
          <w:sz w:val="24"/>
        </w:rPr>
        <w:t xml:space="preserve"> </w:t>
      </w:r>
      <w:r>
        <w:rPr>
          <w:rFonts w:ascii="Times New Roman" w:hAnsi="Times New Roman"/>
          <w:sz w:val="24"/>
        </w:rPr>
        <w:t>stanovené</w:t>
      </w:r>
      <w:r>
        <w:rPr>
          <w:rFonts w:ascii="Times New Roman" w:hAnsi="Times New Roman"/>
          <w:spacing w:val="-12"/>
          <w:sz w:val="24"/>
        </w:rPr>
        <w:t xml:space="preserve"> </w:t>
      </w:r>
      <w:r>
        <w:rPr>
          <w:rFonts w:ascii="Times New Roman" w:hAnsi="Times New Roman"/>
          <w:sz w:val="24"/>
        </w:rPr>
        <w:t>jim</w:t>
      </w:r>
      <w:r>
        <w:rPr>
          <w:rFonts w:ascii="Times New Roman" w:hAnsi="Times New Roman"/>
          <w:spacing w:val="-10"/>
          <w:sz w:val="24"/>
        </w:rPr>
        <w:t xml:space="preserve"> </w:t>
      </w:r>
      <w:r>
        <w:rPr>
          <w:rFonts w:ascii="Times New Roman" w:hAnsi="Times New Roman"/>
          <w:sz w:val="24"/>
        </w:rPr>
        <w:t>v</w:t>
      </w:r>
      <w:r>
        <w:rPr>
          <w:rFonts w:ascii="Times New Roman" w:hAnsi="Times New Roman"/>
          <w:spacing w:val="-11"/>
          <w:sz w:val="24"/>
        </w:rPr>
        <w:t xml:space="preserve"> </w:t>
      </w:r>
      <w:r>
        <w:rPr>
          <w:rFonts w:ascii="Times New Roman" w:hAnsi="Times New Roman"/>
          <w:sz w:val="24"/>
        </w:rPr>
        <w:t>příslušných</w:t>
      </w:r>
      <w:r>
        <w:rPr>
          <w:rFonts w:ascii="Times New Roman" w:hAnsi="Times New Roman"/>
          <w:spacing w:val="-11"/>
          <w:sz w:val="24"/>
        </w:rPr>
        <w:t xml:space="preserve"> </w:t>
      </w:r>
      <w:r>
        <w:rPr>
          <w:rFonts w:ascii="Times New Roman" w:hAnsi="Times New Roman"/>
          <w:sz w:val="24"/>
        </w:rPr>
        <w:t>pojistných podmínkách vztahujících se ke sjednaným pojištěním v rámci jednotlivých</w:t>
      </w:r>
      <w:r>
        <w:rPr>
          <w:rFonts w:ascii="Times New Roman" w:hAnsi="Times New Roman"/>
          <w:spacing w:val="-5"/>
          <w:sz w:val="24"/>
        </w:rPr>
        <w:t xml:space="preserve"> </w:t>
      </w:r>
      <w:r>
        <w:rPr>
          <w:rFonts w:ascii="Times New Roman" w:hAnsi="Times New Roman"/>
          <w:sz w:val="24"/>
        </w:rPr>
        <w:t>podsmluv.</w:t>
      </w:r>
    </w:p>
    <w:p w14:paraId="0AFC58BA" w14:textId="77777777" w:rsidR="00F65BCA" w:rsidRDefault="00216117">
      <w:pPr>
        <w:pStyle w:val="Odstavecseseznamem"/>
        <w:numPr>
          <w:ilvl w:val="1"/>
          <w:numId w:val="155"/>
        </w:numPr>
        <w:tabs>
          <w:tab w:val="left" w:pos="979"/>
        </w:tabs>
        <w:ind w:right="107" w:firstLine="0"/>
        <w:jc w:val="both"/>
        <w:rPr>
          <w:rFonts w:ascii="Times New Roman" w:hAnsi="Times New Roman"/>
          <w:sz w:val="24"/>
        </w:rPr>
      </w:pPr>
      <w:r>
        <w:rPr>
          <w:rFonts w:ascii="Times New Roman" w:hAnsi="Times New Roman"/>
          <w:sz w:val="24"/>
        </w:rPr>
        <w:t>Pojistník se zavazuje k přijetí do pojištění dle této pojistné smlouvy navrhovat jen taková vozidla, u kterých má na jejich pojištění pojistný zájem. Zájem může být daný mj. ekonomickými vazbami  (vlastnictví,  leasing,  úvěrová  smlouva  apod.)  a  Pojistník  je  povinen  pojistný  zájem  na základě žádosti Pojišťovny</w:t>
      </w:r>
      <w:r>
        <w:rPr>
          <w:rFonts w:ascii="Times New Roman" w:hAnsi="Times New Roman"/>
          <w:spacing w:val="-3"/>
          <w:sz w:val="24"/>
        </w:rPr>
        <w:t xml:space="preserve"> </w:t>
      </w:r>
      <w:r>
        <w:rPr>
          <w:rFonts w:ascii="Times New Roman" w:hAnsi="Times New Roman"/>
          <w:sz w:val="24"/>
        </w:rPr>
        <w:t>doložit.</w:t>
      </w:r>
    </w:p>
    <w:p w14:paraId="0DE48FEB" w14:textId="77777777" w:rsidR="00F65BCA" w:rsidRDefault="00F65BCA">
      <w:pPr>
        <w:pStyle w:val="Zkladntext"/>
        <w:rPr>
          <w:rFonts w:ascii="Times New Roman"/>
          <w:sz w:val="20"/>
        </w:rPr>
      </w:pPr>
    </w:p>
    <w:p w14:paraId="1471F4A1" w14:textId="77777777" w:rsidR="00F65BCA" w:rsidRDefault="00F65BCA">
      <w:pPr>
        <w:pStyle w:val="Zkladntext"/>
        <w:rPr>
          <w:rFonts w:ascii="Times New Roman"/>
          <w:sz w:val="20"/>
        </w:rPr>
      </w:pPr>
    </w:p>
    <w:p w14:paraId="72C27830" w14:textId="77777777" w:rsidR="00F65BCA" w:rsidRDefault="00F65BCA">
      <w:pPr>
        <w:pStyle w:val="Zkladntext"/>
        <w:spacing w:before="2"/>
        <w:rPr>
          <w:rFonts w:ascii="Times New Roman"/>
          <w:sz w:val="26"/>
        </w:rPr>
      </w:pPr>
    </w:p>
    <w:p w14:paraId="2989B004" w14:textId="77777777" w:rsidR="00F65BCA" w:rsidRDefault="00216117">
      <w:pPr>
        <w:spacing w:before="96"/>
        <w:ind w:left="147"/>
        <w:jc w:val="center"/>
        <w:rPr>
          <w:sz w:val="16"/>
        </w:rPr>
      </w:pPr>
      <w:r>
        <w:rPr>
          <w:sz w:val="16"/>
        </w:rPr>
        <w:t>7</w:t>
      </w:r>
    </w:p>
    <w:p w14:paraId="2232568E" w14:textId="77777777" w:rsidR="00F65BCA" w:rsidRDefault="00F65BCA">
      <w:pPr>
        <w:jc w:val="center"/>
        <w:rPr>
          <w:sz w:val="16"/>
        </w:rPr>
        <w:sectPr w:rsidR="00F65BCA">
          <w:pgSz w:w="11900" w:h="16840"/>
          <w:pgMar w:top="1220" w:right="600" w:bottom="280" w:left="1160" w:header="708" w:footer="708" w:gutter="0"/>
          <w:cols w:space="708"/>
        </w:sectPr>
      </w:pPr>
    </w:p>
    <w:p w14:paraId="002F5BE8" w14:textId="77777777" w:rsidR="00F65BCA" w:rsidRDefault="00216117">
      <w:pPr>
        <w:pStyle w:val="Odstavecseseznamem"/>
        <w:numPr>
          <w:ilvl w:val="0"/>
          <w:numId w:val="155"/>
        </w:numPr>
        <w:tabs>
          <w:tab w:val="left" w:pos="902"/>
        </w:tabs>
        <w:spacing w:before="71"/>
        <w:ind w:left="901" w:hanging="644"/>
        <w:jc w:val="both"/>
        <w:rPr>
          <w:rFonts w:ascii="Times New Roman" w:hAnsi="Times New Roman"/>
          <w:b/>
          <w:sz w:val="24"/>
        </w:rPr>
      </w:pPr>
      <w:r>
        <w:rPr>
          <w:rFonts w:ascii="Times New Roman" w:hAnsi="Times New Roman"/>
          <w:b/>
          <w:sz w:val="24"/>
        </w:rPr>
        <w:lastRenderedPageBreak/>
        <w:t>Sleva za příznivý škodní</w:t>
      </w:r>
      <w:r>
        <w:rPr>
          <w:rFonts w:ascii="Times New Roman" w:hAnsi="Times New Roman"/>
          <w:b/>
          <w:spacing w:val="-1"/>
          <w:sz w:val="24"/>
        </w:rPr>
        <w:t xml:space="preserve"> </w:t>
      </w:r>
      <w:r>
        <w:rPr>
          <w:rFonts w:ascii="Times New Roman" w:hAnsi="Times New Roman"/>
          <w:b/>
          <w:sz w:val="24"/>
        </w:rPr>
        <w:t>průběh</w:t>
      </w:r>
    </w:p>
    <w:p w14:paraId="33E59059" w14:textId="77777777" w:rsidR="00F65BCA" w:rsidRDefault="00216117">
      <w:pPr>
        <w:ind w:left="258" w:right="109"/>
        <w:jc w:val="both"/>
        <w:rPr>
          <w:rFonts w:ascii="Times New Roman" w:hAnsi="Times New Roman"/>
          <w:sz w:val="24"/>
        </w:rPr>
      </w:pPr>
      <w:r>
        <w:rPr>
          <w:rFonts w:ascii="Times New Roman" w:hAnsi="Times New Roman"/>
          <w:sz w:val="24"/>
        </w:rPr>
        <w:t>Za příznivý škodní průběh u havarijního pojištění motorových vozidel bude Pojistníkovi Pojistitelem poskytnuta sleva na pojistném (tzv. bonifikace).</w:t>
      </w:r>
    </w:p>
    <w:p w14:paraId="08DF819A" w14:textId="77777777" w:rsidR="00F65BCA" w:rsidRDefault="00216117">
      <w:pPr>
        <w:ind w:left="258" w:right="107"/>
        <w:jc w:val="both"/>
        <w:rPr>
          <w:rFonts w:ascii="Times New Roman" w:hAnsi="Times New Roman"/>
          <w:sz w:val="24"/>
        </w:rPr>
      </w:pPr>
      <w:r>
        <w:rPr>
          <w:rFonts w:ascii="Times New Roman" w:hAnsi="Times New Roman"/>
          <w:sz w:val="24"/>
        </w:rPr>
        <w:t>Bonifikace (sleva) bude poskytnuta v níže uvedené výši, pokud plnění Pojistitele z havarijního pojištění</w:t>
      </w:r>
      <w:r>
        <w:rPr>
          <w:rFonts w:ascii="Times New Roman" w:hAnsi="Times New Roman"/>
          <w:spacing w:val="-14"/>
          <w:sz w:val="24"/>
        </w:rPr>
        <w:t xml:space="preserve"> </w:t>
      </w:r>
      <w:r>
        <w:rPr>
          <w:rFonts w:ascii="Times New Roman" w:hAnsi="Times New Roman"/>
          <w:sz w:val="24"/>
        </w:rPr>
        <w:t>motorových</w:t>
      </w:r>
      <w:r>
        <w:rPr>
          <w:rFonts w:ascii="Times New Roman" w:hAnsi="Times New Roman"/>
          <w:spacing w:val="-14"/>
          <w:sz w:val="24"/>
        </w:rPr>
        <w:t xml:space="preserve"> </w:t>
      </w:r>
      <w:r>
        <w:rPr>
          <w:rFonts w:ascii="Times New Roman" w:hAnsi="Times New Roman"/>
          <w:sz w:val="24"/>
        </w:rPr>
        <w:t>vozidel</w:t>
      </w:r>
      <w:r>
        <w:rPr>
          <w:rFonts w:ascii="Times New Roman" w:hAnsi="Times New Roman"/>
          <w:spacing w:val="-14"/>
          <w:sz w:val="24"/>
        </w:rPr>
        <w:t xml:space="preserve"> </w:t>
      </w:r>
      <w:r>
        <w:rPr>
          <w:rFonts w:ascii="Times New Roman" w:hAnsi="Times New Roman"/>
          <w:sz w:val="24"/>
        </w:rPr>
        <w:t>nepřesáhne</w:t>
      </w:r>
      <w:r>
        <w:rPr>
          <w:rFonts w:ascii="Times New Roman" w:hAnsi="Times New Roman"/>
          <w:spacing w:val="-15"/>
          <w:sz w:val="24"/>
        </w:rPr>
        <w:t xml:space="preserve"> </w:t>
      </w:r>
      <w:r>
        <w:rPr>
          <w:rFonts w:ascii="Times New Roman" w:hAnsi="Times New Roman"/>
          <w:sz w:val="24"/>
        </w:rPr>
        <w:t>stanovený</w:t>
      </w:r>
      <w:r>
        <w:rPr>
          <w:rFonts w:ascii="Times New Roman" w:hAnsi="Times New Roman"/>
          <w:spacing w:val="-14"/>
          <w:sz w:val="24"/>
        </w:rPr>
        <w:t xml:space="preserve"> </w:t>
      </w:r>
      <w:r>
        <w:rPr>
          <w:rFonts w:ascii="Times New Roman" w:hAnsi="Times New Roman"/>
          <w:sz w:val="24"/>
        </w:rPr>
        <w:t>poměr</w:t>
      </w:r>
      <w:r>
        <w:rPr>
          <w:rFonts w:ascii="Times New Roman" w:hAnsi="Times New Roman"/>
          <w:spacing w:val="-15"/>
          <w:sz w:val="24"/>
        </w:rPr>
        <w:t xml:space="preserve"> </w:t>
      </w:r>
      <w:r>
        <w:rPr>
          <w:rFonts w:ascii="Times New Roman" w:hAnsi="Times New Roman"/>
          <w:sz w:val="24"/>
        </w:rPr>
        <w:t>z</w:t>
      </w:r>
      <w:r>
        <w:rPr>
          <w:rFonts w:ascii="Times New Roman" w:hAnsi="Times New Roman"/>
          <w:spacing w:val="-15"/>
          <w:sz w:val="24"/>
        </w:rPr>
        <w:t xml:space="preserve"> </w:t>
      </w:r>
      <w:r>
        <w:rPr>
          <w:rFonts w:ascii="Times New Roman" w:hAnsi="Times New Roman"/>
          <w:sz w:val="24"/>
        </w:rPr>
        <w:t>celkového</w:t>
      </w:r>
      <w:r>
        <w:rPr>
          <w:rFonts w:ascii="Times New Roman" w:hAnsi="Times New Roman"/>
          <w:spacing w:val="-13"/>
          <w:sz w:val="24"/>
        </w:rPr>
        <w:t xml:space="preserve"> </w:t>
      </w:r>
      <w:r>
        <w:rPr>
          <w:rFonts w:ascii="Times New Roman" w:hAnsi="Times New Roman"/>
          <w:sz w:val="24"/>
        </w:rPr>
        <w:t>ročního</w:t>
      </w:r>
      <w:r>
        <w:rPr>
          <w:rFonts w:ascii="Times New Roman" w:hAnsi="Times New Roman"/>
          <w:spacing w:val="-14"/>
          <w:sz w:val="24"/>
        </w:rPr>
        <w:t xml:space="preserve"> </w:t>
      </w:r>
      <w:r>
        <w:rPr>
          <w:rFonts w:ascii="Times New Roman" w:hAnsi="Times New Roman"/>
          <w:sz w:val="24"/>
        </w:rPr>
        <w:t>pojistného</w:t>
      </w:r>
      <w:r>
        <w:rPr>
          <w:rFonts w:ascii="Times New Roman" w:hAnsi="Times New Roman"/>
          <w:spacing w:val="-14"/>
          <w:sz w:val="24"/>
        </w:rPr>
        <w:t xml:space="preserve"> </w:t>
      </w:r>
      <w:r>
        <w:rPr>
          <w:rFonts w:ascii="Times New Roman" w:hAnsi="Times New Roman"/>
          <w:sz w:val="24"/>
        </w:rPr>
        <w:t>za</w:t>
      </w:r>
      <w:r>
        <w:rPr>
          <w:rFonts w:ascii="Times New Roman" w:hAnsi="Times New Roman"/>
          <w:spacing w:val="-15"/>
          <w:sz w:val="24"/>
        </w:rPr>
        <w:t xml:space="preserve"> </w:t>
      </w:r>
      <w:r>
        <w:rPr>
          <w:rFonts w:ascii="Times New Roman" w:hAnsi="Times New Roman"/>
          <w:sz w:val="24"/>
        </w:rPr>
        <w:t>havarijní pojištění:</w:t>
      </w:r>
    </w:p>
    <w:p w14:paraId="017B9597" w14:textId="77777777" w:rsidR="00F65BCA" w:rsidRDefault="00216117">
      <w:pPr>
        <w:tabs>
          <w:tab w:val="left" w:pos="2418"/>
          <w:tab w:val="left" w:pos="3918"/>
        </w:tabs>
        <w:ind w:left="258"/>
        <w:jc w:val="both"/>
        <w:rPr>
          <w:rFonts w:ascii="Times New Roman" w:hAnsi="Times New Roman"/>
          <w:sz w:val="24"/>
        </w:rPr>
      </w:pPr>
      <w:r>
        <w:rPr>
          <w:rFonts w:ascii="Times New Roman" w:hAnsi="Times New Roman"/>
          <w:sz w:val="24"/>
        </w:rPr>
        <w:t>Škodní</w:t>
      </w:r>
      <w:r>
        <w:rPr>
          <w:rFonts w:ascii="Times New Roman" w:hAnsi="Times New Roman"/>
          <w:spacing w:val="-1"/>
          <w:sz w:val="24"/>
        </w:rPr>
        <w:t xml:space="preserve"> </w:t>
      </w:r>
      <w:r>
        <w:rPr>
          <w:rFonts w:ascii="Times New Roman" w:hAnsi="Times New Roman"/>
          <w:sz w:val="24"/>
        </w:rPr>
        <w:t>průběh</w:t>
      </w:r>
      <w:r>
        <w:rPr>
          <w:rFonts w:ascii="Times New Roman" w:hAnsi="Times New Roman"/>
          <w:sz w:val="24"/>
        </w:rPr>
        <w:tab/>
        <w:t>do 10 %</w:t>
      </w:r>
      <w:r>
        <w:rPr>
          <w:rFonts w:ascii="Times New Roman" w:hAnsi="Times New Roman"/>
          <w:sz w:val="24"/>
        </w:rPr>
        <w:tab/>
        <w:t>sleva 15</w:t>
      </w:r>
      <w:r>
        <w:rPr>
          <w:rFonts w:ascii="Times New Roman" w:hAnsi="Times New Roman"/>
          <w:spacing w:val="-3"/>
          <w:sz w:val="24"/>
        </w:rPr>
        <w:t xml:space="preserve"> </w:t>
      </w:r>
      <w:r>
        <w:rPr>
          <w:rFonts w:ascii="Times New Roman" w:hAnsi="Times New Roman"/>
          <w:sz w:val="24"/>
        </w:rPr>
        <w:t>%</w:t>
      </w:r>
    </w:p>
    <w:p w14:paraId="7D266E82" w14:textId="77777777" w:rsidR="00F65BCA" w:rsidRDefault="00216117">
      <w:pPr>
        <w:tabs>
          <w:tab w:val="left" w:pos="3918"/>
        </w:tabs>
        <w:ind w:left="2418"/>
        <w:jc w:val="both"/>
        <w:rPr>
          <w:rFonts w:ascii="Times New Roman"/>
          <w:sz w:val="24"/>
        </w:rPr>
      </w:pPr>
      <w:r>
        <w:rPr>
          <w:rFonts w:ascii="Times New Roman"/>
          <w:sz w:val="24"/>
        </w:rPr>
        <w:t>do</w:t>
      </w:r>
      <w:r>
        <w:rPr>
          <w:rFonts w:ascii="Times New Roman"/>
          <w:spacing w:val="-1"/>
          <w:sz w:val="24"/>
        </w:rPr>
        <w:t xml:space="preserve"> </w:t>
      </w:r>
      <w:r>
        <w:rPr>
          <w:rFonts w:ascii="Times New Roman"/>
          <w:sz w:val="24"/>
        </w:rPr>
        <w:t>20 %</w:t>
      </w:r>
      <w:r>
        <w:rPr>
          <w:rFonts w:ascii="Times New Roman"/>
          <w:sz w:val="24"/>
        </w:rPr>
        <w:tab/>
        <w:t>sleva 10</w:t>
      </w:r>
      <w:r>
        <w:rPr>
          <w:rFonts w:ascii="Times New Roman"/>
          <w:spacing w:val="-2"/>
          <w:sz w:val="24"/>
        </w:rPr>
        <w:t xml:space="preserve"> </w:t>
      </w:r>
      <w:r>
        <w:rPr>
          <w:rFonts w:ascii="Times New Roman"/>
          <w:sz w:val="24"/>
        </w:rPr>
        <w:t>%</w:t>
      </w:r>
    </w:p>
    <w:p w14:paraId="466A7B52" w14:textId="77777777" w:rsidR="00F65BCA" w:rsidRDefault="00216117">
      <w:pPr>
        <w:tabs>
          <w:tab w:val="left" w:pos="3918"/>
        </w:tabs>
        <w:ind w:left="2418"/>
        <w:jc w:val="both"/>
        <w:rPr>
          <w:rFonts w:ascii="Times New Roman"/>
          <w:sz w:val="24"/>
        </w:rPr>
      </w:pPr>
      <w:r>
        <w:rPr>
          <w:rFonts w:ascii="Times New Roman"/>
          <w:sz w:val="24"/>
        </w:rPr>
        <w:t>do</w:t>
      </w:r>
      <w:r>
        <w:rPr>
          <w:rFonts w:ascii="Times New Roman"/>
          <w:spacing w:val="-1"/>
          <w:sz w:val="24"/>
        </w:rPr>
        <w:t xml:space="preserve"> </w:t>
      </w:r>
      <w:r>
        <w:rPr>
          <w:rFonts w:ascii="Times New Roman"/>
          <w:sz w:val="24"/>
        </w:rPr>
        <w:t>30 %</w:t>
      </w:r>
      <w:r>
        <w:rPr>
          <w:rFonts w:ascii="Times New Roman"/>
          <w:sz w:val="24"/>
        </w:rPr>
        <w:tab/>
        <w:t>sleva 5</w:t>
      </w:r>
      <w:r>
        <w:rPr>
          <w:rFonts w:ascii="Times New Roman"/>
          <w:spacing w:val="-1"/>
          <w:sz w:val="24"/>
        </w:rPr>
        <w:t xml:space="preserve"> </w:t>
      </w:r>
      <w:r>
        <w:rPr>
          <w:rFonts w:ascii="Times New Roman"/>
          <w:sz w:val="24"/>
        </w:rPr>
        <w:t>%.</w:t>
      </w:r>
    </w:p>
    <w:p w14:paraId="7E09D52C" w14:textId="77777777" w:rsidR="00F65BCA" w:rsidRDefault="00216117">
      <w:pPr>
        <w:ind w:left="258" w:right="106"/>
        <w:jc w:val="both"/>
        <w:rPr>
          <w:rFonts w:ascii="Times New Roman" w:hAnsi="Times New Roman"/>
          <w:sz w:val="24"/>
        </w:rPr>
      </w:pPr>
      <w:r>
        <w:rPr>
          <w:rFonts w:ascii="Times New Roman" w:hAnsi="Times New Roman"/>
          <w:sz w:val="24"/>
        </w:rPr>
        <w:t>Pojistitel</w:t>
      </w:r>
      <w:r>
        <w:rPr>
          <w:rFonts w:ascii="Times New Roman" w:hAnsi="Times New Roman"/>
          <w:spacing w:val="-3"/>
          <w:sz w:val="24"/>
        </w:rPr>
        <w:t xml:space="preserve"> </w:t>
      </w:r>
      <w:r>
        <w:rPr>
          <w:rFonts w:ascii="Times New Roman" w:hAnsi="Times New Roman"/>
          <w:sz w:val="24"/>
        </w:rPr>
        <w:t>provede</w:t>
      </w:r>
      <w:r>
        <w:rPr>
          <w:rFonts w:ascii="Times New Roman" w:hAnsi="Times New Roman"/>
          <w:spacing w:val="-5"/>
          <w:sz w:val="24"/>
        </w:rPr>
        <w:t xml:space="preserve"> </w:t>
      </w:r>
      <w:r>
        <w:rPr>
          <w:rFonts w:ascii="Times New Roman" w:hAnsi="Times New Roman"/>
          <w:sz w:val="24"/>
        </w:rPr>
        <w:t>vyhodnocení</w:t>
      </w:r>
      <w:r>
        <w:rPr>
          <w:rFonts w:ascii="Times New Roman" w:hAnsi="Times New Roman"/>
          <w:spacing w:val="-3"/>
          <w:sz w:val="24"/>
        </w:rPr>
        <w:t xml:space="preserve"> </w:t>
      </w:r>
      <w:r>
        <w:rPr>
          <w:rFonts w:ascii="Times New Roman" w:hAnsi="Times New Roman"/>
          <w:sz w:val="24"/>
        </w:rPr>
        <w:t>škodného</w:t>
      </w:r>
      <w:r>
        <w:rPr>
          <w:rFonts w:ascii="Times New Roman" w:hAnsi="Times New Roman"/>
          <w:spacing w:val="-4"/>
          <w:sz w:val="24"/>
        </w:rPr>
        <w:t xml:space="preserve"> </w:t>
      </w:r>
      <w:r>
        <w:rPr>
          <w:rFonts w:ascii="Times New Roman" w:hAnsi="Times New Roman"/>
          <w:sz w:val="24"/>
        </w:rPr>
        <w:t>průběhu</w:t>
      </w:r>
      <w:r>
        <w:rPr>
          <w:rFonts w:ascii="Times New Roman" w:hAnsi="Times New Roman"/>
          <w:spacing w:val="-4"/>
          <w:sz w:val="24"/>
        </w:rPr>
        <w:t xml:space="preserve"> </w:t>
      </w:r>
      <w:r>
        <w:rPr>
          <w:rFonts w:ascii="Times New Roman" w:hAnsi="Times New Roman"/>
          <w:sz w:val="24"/>
        </w:rPr>
        <w:t>za</w:t>
      </w:r>
      <w:r>
        <w:rPr>
          <w:rFonts w:ascii="Times New Roman" w:hAnsi="Times New Roman"/>
          <w:spacing w:val="-4"/>
          <w:sz w:val="24"/>
        </w:rPr>
        <w:t xml:space="preserve"> </w:t>
      </w:r>
      <w:r>
        <w:rPr>
          <w:rFonts w:ascii="Times New Roman" w:hAnsi="Times New Roman"/>
          <w:sz w:val="24"/>
        </w:rPr>
        <w:t>hodnocené</w:t>
      </w:r>
      <w:r>
        <w:rPr>
          <w:rFonts w:ascii="Times New Roman" w:hAnsi="Times New Roman"/>
          <w:spacing w:val="-5"/>
          <w:sz w:val="24"/>
        </w:rPr>
        <w:t xml:space="preserve"> </w:t>
      </w:r>
      <w:r>
        <w:rPr>
          <w:rFonts w:ascii="Times New Roman" w:hAnsi="Times New Roman"/>
          <w:sz w:val="24"/>
        </w:rPr>
        <w:t>období,</w:t>
      </w:r>
      <w:r>
        <w:rPr>
          <w:rFonts w:ascii="Times New Roman" w:hAnsi="Times New Roman"/>
          <w:spacing w:val="-4"/>
          <w:sz w:val="24"/>
        </w:rPr>
        <w:t xml:space="preserve"> </w:t>
      </w:r>
      <w:r>
        <w:rPr>
          <w:rFonts w:ascii="Times New Roman" w:hAnsi="Times New Roman"/>
          <w:sz w:val="24"/>
        </w:rPr>
        <w:t>kterým</w:t>
      </w:r>
      <w:r>
        <w:rPr>
          <w:rFonts w:ascii="Times New Roman" w:hAnsi="Times New Roman"/>
          <w:spacing w:val="-3"/>
          <w:sz w:val="24"/>
        </w:rPr>
        <w:t xml:space="preserve"> </w:t>
      </w:r>
      <w:r>
        <w:rPr>
          <w:rFonts w:ascii="Times New Roman" w:hAnsi="Times New Roman"/>
          <w:sz w:val="24"/>
        </w:rPr>
        <w:t>je</w:t>
      </w:r>
      <w:r>
        <w:rPr>
          <w:rFonts w:ascii="Times New Roman" w:hAnsi="Times New Roman"/>
          <w:spacing w:val="-5"/>
          <w:sz w:val="24"/>
        </w:rPr>
        <w:t xml:space="preserve"> </w:t>
      </w:r>
      <w:r>
        <w:rPr>
          <w:rFonts w:ascii="Times New Roman" w:hAnsi="Times New Roman"/>
          <w:sz w:val="24"/>
        </w:rPr>
        <w:t>jeden</w:t>
      </w:r>
      <w:r>
        <w:rPr>
          <w:rFonts w:ascii="Times New Roman" w:hAnsi="Times New Roman"/>
          <w:spacing w:val="-4"/>
          <w:sz w:val="24"/>
        </w:rPr>
        <w:t xml:space="preserve"> </w:t>
      </w:r>
      <w:r>
        <w:rPr>
          <w:rFonts w:ascii="Times New Roman" w:hAnsi="Times New Roman"/>
          <w:sz w:val="24"/>
        </w:rPr>
        <w:t>pojistný</w:t>
      </w:r>
      <w:r>
        <w:rPr>
          <w:rFonts w:ascii="Times New Roman" w:hAnsi="Times New Roman"/>
          <w:spacing w:val="-3"/>
          <w:sz w:val="24"/>
        </w:rPr>
        <w:t xml:space="preserve"> </w:t>
      </w:r>
      <w:r>
        <w:rPr>
          <w:rFonts w:ascii="Times New Roman" w:hAnsi="Times New Roman"/>
          <w:sz w:val="24"/>
        </w:rPr>
        <w:t>rok. Výpočet výše popsané bonifikace provede Pojistitel a zašle Pojistníkovi nejpozději do 31. března následujícího po skončení příslušného pojistného</w:t>
      </w:r>
      <w:r>
        <w:rPr>
          <w:rFonts w:ascii="Times New Roman" w:hAnsi="Times New Roman"/>
          <w:spacing w:val="-1"/>
          <w:sz w:val="24"/>
        </w:rPr>
        <w:t xml:space="preserve"> </w:t>
      </w:r>
      <w:r>
        <w:rPr>
          <w:rFonts w:ascii="Times New Roman" w:hAnsi="Times New Roman"/>
          <w:sz w:val="24"/>
        </w:rPr>
        <w:t>období.</w:t>
      </w:r>
    </w:p>
    <w:p w14:paraId="5A43F7C3" w14:textId="77777777" w:rsidR="00F65BCA" w:rsidRDefault="00216117">
      <w:pPr>
        <w:ind w:left="258" w:right="106"/>
        <w:jc w:val="both"/>
        <w:rPr>
          <w:rFonts w:ascii="Times New Roman" w:hAnsi="Times New Roman"/>
          <w:sz w:val="24"/>
        </w:rPr>
      </w:pPr>
      <w:r>
        <w:rPr>
          <w:rFonts w:ascii="Times New Roman" w:hAnsi="Times New Roman"/>
          <w:sz w:val="24"/>
        </w:rPr>
        <w:t>Vypočítaná částka (bonifikace) bude Pojistitelem uhrazena na základě daňového dokladu (faktury) vystaveného Pojistníkem.</w:t>
      </w:r>
    </w:p>
    <w:p w14:paraId="7C84DA90" w14:textId="77777777" w:rsidR="00F65BCA" w:rsidRDefault="00216117">
      <w:pPr>
        <w:ind w:left="258"/>
        <w:jc w:val="both"/>
        <w:rPr>
          <w:rFonts w:ascii="Times New Roman" w:hAnsi="Times New Roman"/>
          <w:sz w:val="24"/>
        </w:rPr>
      </w:pPr>
      <w:r>
        <w:rPr>
          <w:rFonts w:ascii="Times New Roman" w:hAnsi="Times New Roman"/>
          <w:sz w:val="24"/>
        </w:rPr>
        <w:t>Navýšení pojistného při nepříznivém škodním průběhu se nepřipouští.</w:t>
      </w:r>
    </w:p>
    <w:p w14:paraId="0FC1C7A4" w14:textId="77777777" w:rsidR="00F65BCA" w:rsidRDefault="00F65BCA">
      <w:pPr>
        <w:pStyle w:val="Zkladntext"/>
        <w:rPr>
          <w:rFonts w:ascii="Times New Roman"/>
          <w:sz w:val="26"/>
        </w:rPr>
      </w:pPr>
    </w:p>
    <w:p w14:paraId="1814A5D6" w14:textId="77777777" w:rsidR="00F65BCA" w:rsidRDefault="00F65BCA">
      <w:pPr>
        <w:pStyle w:val="Zkladntext"/>
        <w:rPr>
          <w:rFonts w:ascii="Times New Roman"/>
          <w:sz w:val="26"/>
        </w:rPr>
      </w:pPr>
    </w:p>
    <w:p w14:paraId="6B2AD29D" w14:textId="77777777" w:rsidR="00F65BCA" w:rsidRDefault="00216117">
      <w:pPr>
        <w:pStyle w:val="Odstavecseseznamem"/>
        <w:numPr>
          <w:ilvl w:val="0"/>
          <w:numId w:val="155"/>
        </w:numPr>
        <w:tabs>
          <w:tab w:val="left" w:pos="739"/>
        </w:tabs>
        <w:spacing w:before="230"/>
        <w:ind w:left="738" w:hanging="481"/>
        <w:jc w:val="both"/>
        <w:rPr>
          <w:rFonts w:ascii="Times New Roman" w:hAnsi="Times New Roman"/>
          <w:b/>
          <w:sz w:val="24"/>
        </w:rPr>
      </w:pPr>
      <w:r>
        <w:rPr>
          <w:rFonts w:ascii="Times New Roman" w:hAnsi="Times New Roman"/>
          <w:b/>
          <w:sz w:val="24"/>
        </w:rPr>
        <w:t>Způsob likvidace pojistných</w:t>
      </w:r>
      <w:r>
        <w:rPr>
          <w:rFonts w:ascii="Times New Roman" w:hAnsi="Times New Roman"/>
          <w:b/>
          <w:spacing w:val="-3"/>
          <w:sz w:val="24"/>
        </w:rPr>
        <w:t xml:space="preserve"> </w:t>
      </w:r>
      <w:r>
        <w:rPr>
          <w:rFonts w:ascii="Times New Roman" w:hAnsi="Times New Roman"/>
          <w:b/>
          <w:sz w:val="24"/>
        </w:rPr>
        <w:t>událostí</w:t>
      </w:r>
    </w:p>
    <w:p w14:paraId="64DEC300" w14:textId="77777777" w:rsidR="00F65BCA" w:rsidRDefault="00216117">
      <w:pPr>
        <w:ind w:left="258"/>
        <w:jc w:val="both"/>
        <w:rPr>
          <w:rFonts w:ascii="Times New Roman" w:hAnsi="Times New Roman"/>
          <w:sz w:val="24"/>
        </w:rPr>
      </w:pPr>
      <w:r>
        <w:rPr>
          <w:rFonts w:ascii="Times New Roman" w:hAnsi="Times New Roman"/>
          <w:sz w:val="24"/>
        </w:rPr>
        <w:t>Způsob likvidace pojistných událostí, bude probíhat následujícím způsobem:</w:t>
      </w:r>
    </w:p>
    <w:p w14:paraId="50EBBB7A" w14:textId="77777777" w:rsidR="00F65BCA" w:rsidRDefault="00216117">
      <w:pPr>
        <w:pStyle w:val="Odstavecseseznamem"/>
        <w:numPr>
          <w:ilvl w:val="0"/>
          <w:numId w:val="152"/>
        </w:numPr>
        <w:tabs>
          <w:tab w:val="left" w:pos="506"/>
        </w:tabs>
        <w:ind w:right="107" w:firstLine="0"/>
        <w:jc w:val="both"/>
        <w:rPr>
          <w:rFonts w:ascii="Times New Roman" w:hAnsi="Times New Roman"/>
          <w:sz w:val="24"/>
        </w:rPr>
      </w:pPr>
      <w:r>
        <w:rPr>
          <w:rFonts w:ascii="Times New Roman" w:hAnsi="Times New Roman"/>
          <w:sz w:val="24"/>
        </w:rPr>
        <w:t>Prohlídky věcí postižených pojistnou událostí musí ze strany Pojistitele proběhnout tak, aby mohly být co nejdříve zahájeny práce s opravou poškozené věci s cílem zabránění šíření vzniklé</w:t>
      </w:r>
      <w:r>
        <w:rPr>
          <w:rFonts w:ascii="Times New Roman" w:hAnsi="Times New Roman"/>
          <w:spacing w:val="-11"/>
          <w:sz w:val="24"/>
        </w:rPr>
        <w:t xml:space="preserve"> </w:t>
      </w:r>
      <w:r>
        <w:rPr>
          <w:rFonts w:ascii="Times New Roman" w:hAnsi="Times New Roman"/>
          <w:sz w:val="24"/>
        </w:rPr>
        <w:t>újmy.</w:t>
      </w:r>
    </w:p>
    <w:p w14:paraId="7E842769" w14:textId="77777777" w:rsidR="00F65BCA" w:rsidRDefault="00216117">
      <w:pPr>
        <w:pStyle w:val="Odstavecseseznamem"/>
        <w:numPr>
          <w:ilvl w:val="0"/>
          <w:numId w:val="152"/>
        </w:numPr>
        <w:tabs>
          <w:tab w:val="left" w:pos="537"/>
        </w:tabs>
        <w:ind w:right="107" w:firstLine="0"/>
        <w:jc w:val="both"/>
        <w:rPr>
          <w:rFonts w:ascii="Times New Roman" w:hAnsi="Times New Roman"/>
          <w:sz w:val="24"/>
        </w:rPr>
      </w:pPr>
      <w:r>
        <w:rPr>
          <w:rFonts w:ascii="Times New Roman" w:hAnsi="Times New Roman"/>
          <w:sz w:val="24"/>
        </w:rPr>
        <w:t>V případě nesplnění podmínky uvedené v čl. 12.a) této pojistné smlouvy nebo v případě, kdy to vyžaduje</w:t>
      </w:r>
      <w:r>
        <w:rPr>
          <w:rFonts w:ascii="Times New Roman" w:hAnsi="Times New Roman"/>
          <w:spacing w:val="-6"/>
          <w:sz w:val="24"/>
        </w:rPr>
        <w:t xml:space="preserve"> </w:t>
      </w:r>
      <w:r>
        <w:rPr>
          <w:rFonts w:ascii="Times New Roman" w:hAnsi="Times New Roman"/>
          <w:sz w:val="24"/>
        </w:rPr>
        <w:t>situace,</w:t>
      </w:r>
      <w:r>
        <w:rPr>
          <w:rFonts w:ascii="Times New Roman" w:hAnsi="Times New Roman"/>
          <w:spacing w:val="-5"/>
          <w:sz w:val="24"/>
        </w:rPr>
        <w:t xml:space="preserve"> </w:t>
      </w:r>
      <w:r>
        <w:rPr>
          <w:rFonts w:ascii="Times New Roman" w:hAnsi="Times New Roman"/>
          <w:sz w:val="24"/>
        </w:rPr>
        <w:t>je</w:t>
      </w:r>
      <w:r>
        <w:rPr>
          <w:rFonts w:ascii="Times New Roman" w:hAnsi="Times New Roman"/>
          <w:spacing w:val="-5"/>
          <w:sz w:val="24"/>
        </w:rPr>
        <w:t xml:space="preserve"> </w:t>
      </w:r>
      <w:r>
        <w:rPr>
          <w:rFonts w:ascii="Times New Roman" w:hAnsi="Times New Roman"/>
          <w:sz w:val="24"/>
        </w:rPr>
        <w:t>Pojistník</w:t>
      </w:r>
      <w:r>
        <w:rPr>
          <w:rFonts w:ascii="Times New Roman" w:hAnsi="Times New Roman"/>
          <w:spacing w:val="-5"/>
          <w:sz w:val="24"/>
        </w:rPr>
        <w:t xml:space="preserve"> </w:t>
      </w:r>
      <w:r>
        <w:rPr>
          <w:rFonts w:ascii="Times New Roman" w:hAnsi="Times New Roman"/>
          <w:sz w:val="24"/>
        </w:rPr>
        <w:t>oprávněn</w:t>
      </w:r>
      <w:r>
        <w:rPr>
          <w:rFonts w:ascii="Times New Roman" w:hAnsi="Times New Roman"/>
          <w:spacing w:val="-4"/>
          <w:sz w:val="24"/>
        </w:rPr>
        <w:t xml:space="preserve"> </w:t>
      </w:r>
      <w:r>
        <w:rPr>
          <w:rFonts w:ascii="Times New Roman" w:hAnsi="Times New Roman"/>
          <w:sz w:val="24"/>
        </w:rPr>
        <w:t>si</w:t>
      </w:r>
      <w:r>
        <w:rPr>
          <w:rFonts w:ascii="Times New Roman" w:hAnsi="Times New Roman"/>
          <w:spacing w:val="-4"/>
          <w:sz w:val="24"/>
        </w:rPr>
        <w:t xml:space="preserve"> </w:t>
      </w:r>
      <w:r>
        <w:rPr>
          <w:rFonts w:ascii="Times New Roman" w:hAnsi="Times New Roman"/>
          <w:sz w:val="24"/>
        </w:rPr>
        <w:t>k</w:t>
      </w:r>
      <w:r>
        <w:rPr>
          <w:rFonts w:ascii="Times New Roman" w:hAnsi="Times New Roman"/>
          <w:spacing w:val="-5"/>
          <w:sz w:val="24"/>
        </w:rPr>
        <w:t xml:space="preserve"> </w:t>
      </w:r>
      <w:r>
        <w:rPr>
          <w:rFonts w:ascii="Times New Roman" w:hAnsi="Times New Roman"/>
          <w:sz w:val="24"/>
        </w:rPr>
        <w:t>provedení</w:t>
      </w:r>
      <w:r>
        <w:rPr>
          <w:rFonts w:ascii="Times New Roman" w:hAnsi="Times New Roman"/>
          <w:spacing w:val="-3"/>
          <w:sz w:val="24"/>
        </w:rPr>
        <w:t xml:space="preserve"> </w:t>
      </w:r>
      <w:r>
        <w:rPr>
          <w:rFonts w:ascii="Times New Roman" w:hAnsi="Times New Roman"/>
          <w:sz w:val="24"/>
        </w:rPr>
        <w:t>prohlídky</w:t>
      </w:r>
      <w:r>
        <w:rPr>
          <w:rFonts w:ascii="Times New Roman" w:hAnsi="Times New Roman"/>
          <w:spacing w:val="-5"/>
          <w:sz w:val="24"/>
        </w:rPr>
        <w:t xml:space="preserve"> </w:t>
      </w:r>
      <w:r>
        <w:rPr>
          <w:rFonts w:ascii="Times New Roman" w:hAnsi="Times New Roman"/>
          <w:sz w:val="24"/>
        </w:rPr>
        <w:t>najmout</w:t>
      </w:r>
      <w:r>
        <w:rPr>
          <w:rFonts w:ascii="Times New Roman" w:hAnsi="Times New Roman"/>
          <w:spacing w:val="-4"/>
          <w:sz w:val="24"/>
        </w:rPr>
        <w:t xml:space="preserve"> </w:t>
      </w:r>
      <w:r>
        <w:rPr>
          <w:rFonts w:ascii="Times New Roman" w:hAnsi="Times New Roman"/>
          <w:sz w:val="24"/>
        </w:rPr>
        <w:t>jím</w:t>
      </w:r>
      <w:r>
        <w:rPr>
          <w:rFonts w:ascii="Times New Roman" w:hAnsi="Times New Roman"/>
          <w:spacing w:val="-3"/>
          <w:sz w:val="24"/>
        </w:rPr>
        <w:t xml:space="preserve"> </w:t>
      </w:r>
      <w:r>
        <w:rPr>
          <w:rFonts w:ascii="Times New Roman" w:hAnsi="Times New Roman"/>
          <w:sz w:val="24"/>
        </w:rPr>
        <w:t>zvolenou</w:t>
      </w:r>
      <w:r>
        <w:rPr>
          <w:rFonts w:ascii="Times New Roman" w:hAnsi="Times New Roman"/>
          <w:spacing w:val="-5"/>
          <w:sz w:val="24"/>
        </w:rPr>
        <w:t xml:space="preserve"> </w:t>
      </w:r>
      <w:r>
        <w:rPr>
          <w:rFonts w:ascii="Times New Roman" w:hAnsi="Times New Roman"/>
          <w:sz w:val="24"/>
        </w:rPr>
        <w:t>třetí</w:t>
      </w:r>
      <w:r>
        <w:rPr>
          <w:rFonts w:ascii="Times New Roman" w:hAnsi="Times New Roman"/>
          <w:spacing w:val="-3"/>
          <w:sz w:val="24"/>
        </w:rPr>
        <w:t xml:space="preserve"> </w:t>
      </w:r>
      <w:r>
        <w:rPr>
          <w:rFonts w:ascii="Times New Roman" w:hAnsi="Times New Roman"/>
          <w:sz w:val="24"/>
        </w:rPr>
        <w:t>osobu,</w:t>
      </w:r>
      <w:r>
        <w:rPr>
          <w:rFonts w:ascii="Times New Roman" w:hAnsi="Times New Roman"/>
          <w:spacing w:val="-5"/>
          <w:sz w:val="24"/>
        </w:rPr>
        <w:t xml:space="preserve"> </w:t>
      </w:r>
      <w:r>
        <w:rPr>
          <w:rFonts w:ascii="Times New Roman" w:hAnsi="Times New Roman"/>
          <w:sz w:val="24"/>
        </w:rPr>
        <w:t>ale pouze</w:t>
      </w:r>
      <w:r>
        <w:rPr>
          <w:rFonts w:ascii="Times New Roman" w:hAnsi="Times New Roman"/>
          <w:spacing w:val="-10"/>
          <w:sz w:val="24"/>
        </w:rPr>
        <w:t xml:space="preserve"> </w:t>
      </w:r>
      <w:r>
        <w:rPr>
          <w:rFonts w:ascii="Times New Roman" w:hAnsi="Times New Roman"/>
          <w:sz w:val="24"/>
        </w:rPr>
        <w:t>takovou,</w:t>
      </w:r>
      <w:r>
        <w:rPr>
          <w:rFonts w:ascii="Times New Roman" w:hAnsi="Times New Roman"/>
          <w:spacing w:val="-9"/>
          <w:sz w:val="24"/>
        </w:rPr>
        <w:t xml:space="preserve"> </w:t>
      </w:r>
      <w:r>
        <w:rPr>
          <w:rFonts w:ascii="Times New Roman" w:hAnsi="Times New Roman"/>
          <w:sz w:val="24"/>
        </w:rPr>
        <w:t>která</w:t>
      </w:r>
      <w:r>
        <w:rPr>
          <w:rFonts w:ascii="Times New Roman" w:hAnsi="Times New Roman"/>
          <w:spacing w:val="-9"/>
          <w:sz w:val="24"/>
        </w:rPr>
        <w:t xml:space="preserve"> </w:t>
      </w:r>
      <w:r>
        <w:rPr>
          <w:rFonts w:ascii="Times New Roman" w:hAnsi="Times New Roman"/>
          <w:sz w:val="24"/>
        </w:rPr>
        <w:t>disponuje</w:t>
      </w:r>
      <w:r>
        <w:rPr>
          <w:rFonts w:ascii="Times New Roman" w:hAnsi="Times New Roman"/>
          <w:spacing w:val="-10"/>
          <w:sz w:val="24"/>
        </w:rPr>
        <w:t xml:space="preserve"> </w:t>
      </w:r>
      <w:r>
        <w:rPr>
          <w:rFonts w:ascii="Times New Roman" w:hAnsi="Times New Roman"/>
          <w:sz w:val="24"/>
        </w:rPr>
        <w:t>příslušnou</w:t>
      </w:r>
      <w:r>
        <w:rPr>
          <w:rFonts w:ascii="Times New Roman" w:hAnsi="Times New Roman"/>
          <w:spacing w:val="-9"/>
          <w:sz w:val="24"/>
        </w:rPr>
        <w:t xml:space="preserve"> </w:t>
      </w:r>
      <w:r>
        <w:rPr>
          <w:rFonts w:ascii="Times New Roman" w:hAnsi="Times New Roman"/>
          <w:sz w:val="24"/>
        </w:rPr>
        <w:t>licencí</w:t>
      </w:r>
      <w:r>
        <w:rPr>
          <w:rFonts w:ascii="Times New Roman" w:hAnsi="Times New Roman"/>
          <w:spacing w:val="-7"/>
          <w:sz w:val="24"/>
        </w:rPr>
        <w:t xml:space="preserve"> </w:t>
      </w:r>
      <w:r>
        <w:rPr>
          <w:rFonts w:ascii="Times New Roman" w:hAnsi="Times New Roman"/>
          <w:sz w:val="24"/>
        </w:rPr>
        <w:t>vydanou</w:t>
      </w:r>
      <w:r>
        <w:rPr>
          <w:rFonts w:ascii="Times New Roman" w:hAnsi="Times New Roman"/>
          <w:spacing w:val="-8"/>
          <w:sz w:val="24"/>
        </w:rPr>
        <w:t xml:space="preserve"> </w:t>
      </w:r>
      <w:r>
        <w:rPr>
          <w:rFonts w:ascii="Times New Roman" w:hAnsi="Times New Roman"/>
          <w:sz w:val="24"/>
        </w:rPr>
        <w:t>Českou</w:t>
      </w:r>
      <w:r>
        <w:rPr>
          <w:rFonts w:ascii="Times New Roman" w:hAnsi="Times New Roman"/>
          <w:spacing w:val="-9"/>
          <w:sz w:val="24"/>
        </w:rPr>
        <w:t xml:space="preserve"> </w:t>
      </w:r>
      <w:r>
        <w:rPr>
          <w:rFonts w:ascii="Times New Roman" w:hAnsi="Times New Roman"/>
          <w:sz w:val="24"/>
        </w:rPr>
        <w:t>národní</w:t>
      </w:r>
      <w:r>
        <w:rPr>
          <w:rFonts w:ascii="Times New Roman" w:hAnsi="Times New Roman"/>
          <w:spacing w:val="-8"/>
          <w:sz w:val="24"/>
        </w:rPr>
        <w:t xml:space="preserve"> </w:t>
      </w:r>
      <w:r>
        <w:rPr>
          <w:rFonts w:ascii="Times New Roman" w:hAnsi="Times New Roman"/>
          <w:sz w:val="24"/>
        </w:rPr>
        <w:t>bankou.</w:t>
      </w:r>
      <w:r>
        <w:rPr>
          <w:rFonts w:ascii="Times New Roman" w:hAnsi="Times New Roman"/>
          <w:spacing w:val="-8"/>
          <w:sz w:val="24"/>
        </w:rPr>
        <w:t xml:space="preserve"> </w:t>
      </w:r>
      <w:r>
        <w:rPr>
          <w:rFonts w:ascii="Times New Roman" w:hAnsi="Times New Roman"/>
          <w:sz w:val="24"/>
        </w:rPr>
        <w:t>Pokud</w:t>
      </w:r>
      <w:r>
        <w:rPr>
          <w:rFonts w:ascii="Times New Roman" w:hAnsi="Times New Roman"/>
          <w:spacing w:val="-9"/>
          <w:sz w:val="24"/>
        </w:rPr>
        <w:t xml:space="preserve"> </w:t>
      </w:r>
      <w:r>
        <w:rPr>
          <w:rFonts w:ascii="Times New Roman" w:hAnsi="Times New Roman"/>
          <w:sz w:val="24"/>
        </w:rPr>
        <w:t>si</w:t>
      </w:r>
      <w:r>
        <w:rPr>
          <w:rFonts w:ascii="Times New Roman" w:hAnsi="Times New Roman"/>
          <w:spacing w:val="-8"/>
          <w:sz w:val="24"/>
        </w:rPr>
        <w:t xml:space="preserve"> </w:t>
      </w:r>
      <w:r>
        <w:rPr>
          <w:rFonts w:ascii="Times New Roman" w:hAnsi="Times New Roman"/>
          <w:sz w:val="24"/>
        </w:rPr>
        <w:t>Pojistník k provedení prohlídky najme jím zvolenou třetí osobu, je nutné o tom předem informovat Pojistitele, dohodnout parametry prohlídky, aby byl vždy řádně a prokazatelně zdokumentován celý rozsah poškození. Za případné prohlídky prostřednictvím SLPU nelze účtovat žádnou odměnu /</w:t>
      </w:r>
      <w:r>
        <w:rPr>
          <w:rFonts w:ascii="Times New Roman" w:hAnsi="Times New Roman"/>
          <w:spacing w:val="-13"/>
          <w:sz w:val="24"/>
        </w:rPr>
        <w:t xml:space="preserve"> </w:t>
      </w:r>
      <w:r>
        <w:rPr>
          <w:rFonts w:ascii="Times New Roman" w:hAnsi="Times New Roman"/>
          <w:sz w:val="24"/>
        </w:rPr>
        <w:t>provizi.</w:t>
      </w:r>
    </w:p>
    <w:p w14:paraId="2EE8DD28" w14:textId="77777777" w:rsidR="00F65BCA" w:rsidRDefault="00216117">
      <w:pPr>
        <w:pStyle w:val="Odstavecseseznamem"/>
        <w:numPr>
          <w:ilvl w:val="0"/>
          <w:numId w:val="152"/>
        </w:numPr>
        <w:tabs>
          <w:tab w:val="left" w:pos="547"/>
        </w:tabs>
        <w:ind w:right="106" w:firstLine="0"/>
        <w:jc w:val="both"/>
        <w:rPr>
          <w:rFonts w:ascii="Times New Roman" w:hAnsi="Times New Roman"/>
          <w:sz w:val="24"/>
        </w:rPr>
      </w:pPr>
      <w:r>
        <w:rPr>
          <w:rFonts w:ascii="Times New Roman" w:hAnsi="Times New Roman"/>
          <w:sz w:val="24"/>
        </w:rPr>
        <w:t>Pojistitel sdělí Pojistníkovi rozsah oprávnění svého pracoviště, které bude oprávněno provádět prohlídky pojistných událostí. Pokud si pro provádění prohlídek najme Pojistitel externí společnost, sdělí</w:t>
      </w:r>
      <w:r>
        <w:rPr>
          <w:rFonts w:ascii="Times New Roman" w:hAnsi="Times New Roman"/>
          <w:spacing w:val="-9"/>
          <w:sz w:val="24"/>
        </w:rPr>
        <w:t xml:space="preserve"> </w:t>
      </w:r>
      <w:r>
        <w:rPr>
          <w:rFonts w:ascii="Times New Roman" w:hAnsi="Times New Roman"/>
          <w:sz w:val="24"/>
        </w:rPr>
        <w:t>Pojistníkovi</w:t>
      </w:r>
      <w:r>
        <w:rPr>
          <w:rFonts w:ascii="Times New Roman" w:hAnsi="Times New Roman"/>
          <w:spacing w:val="-8"/>
          <w:sz w:val="24"/>
        </w:rPr>
        <w:t xml:space="preserve"> </w:t>
      </w:r>
      <w:r>
        <w:rPr>
          <w:rFonts w:ascii="Times New Roman" w:hAnsi="Times New Roman"/>
          <w:sz w:val="24"/>
        </w:rPr>
        <w:t>její</w:t>
      </w:r>
      <w:r>
        <w:rPr>
          <w:rFonts w:ascii="Times New Roman" w:hAnsi="Times New Roman"/>
          <w:spacing w:val="-8"/>
          <w:sz w:val="24"/>
        </w:rPr>
        <w:t xml:space="preserve"> </w:t>
      </w:r>
      <w:r>
        <w:rPr>
          <w:rFonts w:ascii="Times New Roman" w:hAnsi="Times New Roman"/>
          <w:sz w:val="24"/>
        </w:rPr>
        <w:t>identifikační</w:t>
      </w:r>
      <w:r>
        <w:rPr>
          <w:rFonts w:ascii="Times New Roman" w:hAnsi="Times New Roman"/>
          <w:spacing w:val="-8"/>
          <w:sz w:val="24"/>
        </w:rPr>
        <w:t xml:space="preserve"> </w:t>
      </w:r>
      <w:r>
        <w:rPr>
          <w:rFonts w:ascii="Times New Roman" w:hAnsi="Times New Roman"/>
          <w:sz w:val="24"/>
        </w:rPr>
        <w:t>údaje,</w:t>
      </w:r>
      <w:r>
        <w:rPr>
          <w:rFonts w:ascii="Times New Roman" w:hAnsi="Times New Roman"/>
          <w:spacing w:val="-7"/>
          <w:sz w:val="24"/>
        </w:rPr>
        <w:t xml:space="preserve"> </w:t>
      </w:r>
      <w:r>
        <w:rPr>
          <w:rFonts w:ascii="Times New Roman" w:hAnsi="Times New Roman"/>
          <w:sz w:val="24"/>
        </w:rPr>
        <w:t>tj.</w:t>
      </w:r>
      <w:r>
        <w:rPr>
          <w:rFonts w:ascii="Times New Roman" w:hAnsi="Times New Roman"/>
          <w:spacing w:val="-9"/>
          <w:sz w:val="24"/>
        </w:rPr>
        <w:t xml:space="preserve"> </w:t>
      </w:r>
      <w:r>
        <w:rPr>
          <w:rFonts w:ascii="Times New Roman" w:hAnsi="Times New Roman"/>
          <w:sz w:val="24"/>
        </w:rPr>
        <w:t>adresu</w:t>
      </w:r>
      <w:r>
        <w:rPr>
          <w:rFonts w:ascii="Times New Roman" w:hAnsi="Times New Roman"/>
          <w:spacing w:val="-9"/>
          <w:sz w:val="24"/>
        </w:rPr>
        <w:t xml:space="preserve"> </w:t>
      </w:r>
      <w:r>
        <w:rPr>
          <w:rFonts w:ascii="Times New Roman" w:hAnsi="Times New Roman"/>
          <w:sz w:val="24"/>
        </w:rPr>
        <w:t>pracoviště</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jména</w:t>
      </w:r>
      <w:r>
        <w:rPr>
          <w:rFonts w:ascii="Times New Roman" w:hAnsi="Times New Roman"/>
          <w:spacing w:val="-8"/>
          <w:sz w:val="24"/>
        </w:rPr>
        <w:t xml:space="preserve"> </w:t>
      </w:r>
      <w:r>
        <w:rPr>
          <w:rFonts w:ascii="Times New Roman" w:hAnsi="Times New Roman"/>
          <w:sz w:val="24"/>
        </w:rPr>
        <w:t>konkrétních</w:t>
      </w:r>
      <w:r>
        <w:rPr>
          <w:rFonts w:ascii="Times New Roman" w:hAnsi="Times New Roman"/>
          <w:spacing w:val="-9"/>
          <w:sz w:val="24"/>
        </w:rPr>
        <w:t xml:space="preserve"> </w:t>
      </w:r>
      <w:r>
        <w:rPr>
          <w:rFonts w:ascii="Times New Roman" w:hAnsi="Times New Roman"/>
          <w:sz w:val="24"/>
        </w:rPr>
        <w:t>techniků</w:t>
      </w:r>
      <w:r>
        <w:rPr>
          <w:rFonts w:ascii="Times New Roman" w:hAnsi="Times New Roman"/>
          <w:spacing w:val="-9"/>
          <w:sz w:val="24"/>
        </w:rPr>
        <w:t xml:space="preserve"> </w:t>
      </w:r>
      <w:r>
        <w:rPr>
          <w:rFonts w:ascii="Times New Roman" w:hAnsi="Times New Roman"/>
          <w:sz w:val="24"/>
        </w:rPr>
        <w:t>likvidace, kteří budou prohlídky případných pojistných událostí</w:t>
      </w:r>
      <w:r>
        <w:rPr>
          <w:rFonts w:ascii="Times New Roman" w:hAnsi="Times New Roman"/>
          <w:spacing w:val="-2"/>
          <w:sz w:val="24"/>
        </w:rPr>
        <w:t xml:space="preserve"> </w:t>
      </w:r>
      <w:r>
        <w:rPr>
          <w:rFonts w:ascii="Times New Roman" w:hAnsi="Times New Roman"/>
          <w:sz w:val="24"/>
        </w:rPr>
        <w:t>provádět.</w:t>
      </w:r>
    </w:p>
    <w:p w14:paraId="367924AB" w14:textId="77777777" w:rsidR="00F65BCA" w:rsidRDefault="00216117">
      <w:pPr>
        <w:pStyle w:val="Odstavecseseznamem"/>
        <w:numPr>
          <w:ilvl w:val="0"/>
          <w:numId w:val="152"/>
        </w:numPr>
        <w:tabs>
          <w:tab w:val="left" w:pos="535"/>
        </w:tabs>
        <w:spacing w:before="1"/>
        <w:ind w:right="108" w:firstLine="0"/>
        <w:jc w:val="both"/>
        <w:rPr>
          <w:rFonts w:ascii="Times New Roman" w:hAnsi="Times New Roman"/>
          <w:sz w:val="24"/>
        </w:rPr>
      </w:pPr>
      <w:r>
        <w:rPr>
          <w:rFonts w:ascii="Times New Roman" w:hAnsi="Times New Roman"/>
          <w:sz w:val="24"/>
        </w:rPr>
        <w:t>Asistenční služba pro případ pomoci bude dostupná 24 hodin denně, 7 dní v týdnu v rozsahu dle této pojistné smlouvy a</w:t>
      </w:r>
      <w:r>
        <w:rPr>
          <w:rFonts w:ascii="Times New Roman" w:hAnsi="Times New Roman"/>
          <w:spacing w:val="-3"/>
          <w:sz w:val="24"/>
        </w:rPr>
        <w:t xml:space="preserve"> </w:t>
      </w:r>
      <w:r>
        <w:rPr>
          <w:rFonts w:ascii="Times New Roman" w:hAnsi="Times New Roman"/>
          <w:sz w:val="24"/>
        </w:rPr>
        <w:t>VPPPMV–F–5/2025.</w:t>
      </w:r>
    </w:p>
    <w:p w14:paraId="6080857E" w14:textId="77777777" w:rsidR="00F65BCA" w:rsidRDefault="00216117">
      <w:pPr>
        <w:pStyle w:val="Odstavecseseznamem"/>
        <w:numPr>
          <w:ilvl w:val="0"/>
          <w:numId w:val="152"/>
        </w:numPr>
        <w:tabs>
          <w:tab w:val="left" w:pos="549"/>
        </w:tabs>
        <w:ind w:right="107" w:firstLine="0"/>
        <w:jc w:val="both"/>
        <w:rPr>
          <w:rFonts w:ascii="Times New Roman" w:hAnsi="Times New Roman"/>
          <w:sz w:val="24"/>
        </w:rPr>
      </w:pPr>
      <w:r>
        <w:rPr>
          <w:rFonts w:ascii="Times New Roman" w:hAnsi="Times New Roman"/>
          <w:sz w:val="24"/>
        </w:rPr>
        <w:t>Pojistné události se budou nahlašovat zpravidla on-line na internetových stránkách Pojistitele, popř. e-mailem, prostřednictvím  mobilní  aplikace  či  jiným  vhodným  způsobem.  Automaticky  po nahlášení bude Pojistníkovi, případně samostatnému zprostředkovateli Pojistníka elektronicky oznámeno přidělené číslo pojistné události a požadované doklady. Dokumenty ke škodě se přikládají elektronicky.</w:t>
      </w:r>
    </w:p>
    <w:p w14:paraId="3D8E16A7" w14:textId="77777777" w:rsidR="00F65BCA" w:rsidRDefault="00216117">
      <w:pPr>
        <w:pStyle w:val="Odstavecseseznamem"/>
        <w:numPr>
          <w:ilvl w:val="0"/>
          <w:numId w:val="152"/>
        </w:numPr>
        <w:tabs>
          <w:tab w:val="left" w:pos="501"/>
        </w:tabs>
        <w:ind w:right="109" w:firstLine="0"/>
        <w:jc w:val="both"/>
        <w:rPr>
          <w:rFonts w:ascii="Times New Roman" w:hAnsi="Times New Roman"/>
          <w:sz w:val="24"/>
        </w:rPr>
      </w:pPr>
      <w:r>
        <w:rPr>
          <w:rFonts w:ascii="Times New Roman" w:hAnsi="Times New Roman"/>
          <w:sz w:val="24"/>
        </w:rPr>
        <w:t>Pojistná událost bude vyřízena a uhrazena nejpozději do 15 (patnácti) pracovních dnů od dodání všech</w:t>
      </w:r>
      <w:r>
        <w:rPr>
          <w:rFonts w:ascii="Times New Roman" w:hAnsi="Times New Roman"/>
          <w:spacing w:val="-1"/>
          <w:sz w:val="24"/>
        </w:rPr>
        <w:t xml:space="preserve"> </w:t>
      </w:r>
      <w:r>
        <w:rPr>
          <w:rFonts w:ascii="Times New Roman" w:hAnsi="Times New Roman"/>
          <w:sz w:val="24"/>
        </w:rPr>
        <w:t>dokumentů.</w:t>
      </w:r>
    </w:p>
    <w:p w14:paraId="0F07E361" w14:textId="77777777" w:rsidR="00F65BCA" w:rsidRDefault="00F65BCA">
      <w:pPr>
        <w:pStyle w:val="Zkladntext"/>
        <w:rPr>
          <w:rFonts w:ascii="Times New Roman"/>
          <w:sz w:val="24"/>
        </w:rPr>
      </w:pPr>
    </w:p>
    <w:p w14:paraId="3CAACA7E" w14:textId="77777777" w:rsidR="00F65BCA" w:rsidRDefault="00216117">
      <w:pPr>
        <w:pStyle w:val="Odstavecseseznamem"/>
        <w:numPr>
          <w:ilvl w:val="0"/>
          <w:numId w:val="155"/>
        </w:numPr>
        <w:tabs>
          <w:tab w:val="left" w:pos="739"/>
        </w:tabs>
        <w:ind w:left="738" w:hanging="481"/>
        <w:jc w:val="both"/>
        <w:rPr>
          <w:rFonts w:ascii="Times New Roman" w:hAnsi="Times New Roman"/>
          <w:b/>
          <w:sz w:val="24"/>
        </w:rPr>
      </w:pPr>
      <w:r>
        <w:rPr>
          <w:rFonts w:ascii="Times New Roman" w:hAnsi="Times New Roman"/>
          <w:b/>
          <w:sz w:val="24"/>
        </w:rPr>
        <w:t>Makléřská doložka</w:t>
      </w:r>
    </w:p>
    <w:p w14:paraId="7F271DD5" w14:textId="77777777" w:rsidR="00F65BCA" w:rsidRDefault="00216117">
      <w:pPr>
        <w:ind w:left="258" w:right="107"/>
        <w:jc w:val="both"/>
        <w:rPr>
          <w:rFonts w:ascii="Times New Roman" w:hAnsi="Times New Roman"/>
          <w:sz w:val="24"/>
        </w:rPr>
      </w:pPr>
      <w:r>
        <w:rPr>
          <w:rFonts w:ascii="Times New Roman" w:hAnsi="Times New Roman"/>
          <w:sz w:val="24"/>
        </w:rPr>
        <w:t>Pojistitel se zavazuje jednat ve věci plnění dle této pojistné smlouvy se samostatným zprostředkovatelem Pojistníka. Pojistitel bere na vědomí, že samostatným zprostředkovatelem Pojistníka je společnost OK Group a. s., IČO: 25561804, se sídlem Mánesova 3014/16, Královo Pole, 612 00 Brno.</w:t>
      </w:r>
    </w:p>
    <w:p w14:paraId="1AB08152" w14:textId="77777777" w:rsidR="00F65BCA" w:rsidRDefault="00216117">
      <w:pPr>
        <w:ind w:left="258"/>
        <w:jc w:val="both"/>
        <w:rPr>
          <w:rFonts w:ascii="Times New Roman" w:hAnsi="Times New Roman"/>
          <w:sz w:val="24"/>
        </w:rPr>
      </w:pPr>
      <w:r>
        <w:rPr>
          <w:rFonts w:ascii="Times New Roman" w:hAnsi="Times New Roman"/>
          <w:sz w:val="24"/>
        </w:rPr>
        <w:t>Případnou změnu samostatného zprostředkovatele oznámí Pojistník Pojistiteli předem.</w:t>
      </w:r>
    </w:p>
    <w:p w14:paraId="005DF3E5" w14:textId="77777777" w:rsidR="00F65BCA" w:rsidRDefault="00F65BCA">
      <w:pPr>
        <w:pStyle w:val="Zkladntext"/>
        <w:rPr>
          <w:rFonts w:ascii="Times New Roman"/>
          <w:sz w:val="20"/>
        </w:rPr>
      </w:pPr>
    </w:p>
    <w:p w14:paraId="2F624826" w14:textId="77777777" w:rsidR="00F65BCA" w:rsidRDefault="00F65BCA">
      <w:pPr>
        <w:pStyle w:val="Zkladntext"/>
        <w:spacing w:before="2"/>
        <w:rPr>
          <w:rFonts w:ascii="Times New Roman"/>
          <w:sz w:val="22"/>
        </w:rPr>
      </w:pPr>
    </w:p>
    <w:p w14:paraId="687696DF" w14:textId="77777777" w:rsidR="00F65BCA" w:rsidRDefault="00216117">
      <w:pPr>
        <w:spacing w:before="95"/>
        <w:ind w:left="147"/>
        <w:jc w:val="center"/>
        <w:rPr>
          <w:sz w:val="16"/>
        </w:rPr>
      </w:pPr>
      <w:r>
        <w:rPr>
          <w:sz w:val="16"/>
        </w:rPr>
        <w:t>8</w:t>
      </w:r>
    </w:p>
    <w:p w14:paraId="2886D2AA" w14:textId="77777777" w:rsidR="00F65BCA" w:rsidRDefault="00F65BCA">
      <w:pPr>
        <w:jc w:val="center"/>
        <w:rPr>
          <w:sz w:val="16"/>
        </w:rPr>
        <w:sectPr w:rsidR="00F65BCA">
          <w:pgSz w:w="11900" w:h="16840"/>
          <w:pgMar w:top="1500" w:right="600" w:bottom="280" w:left="1160" w:header="708" w:footer="708" w:gutter="0"/>
          <w:cols w:space="708"/>
        </w:sectPr>
      </w:pPr>
    </w:p>
    <w:p w14:paraId="574C7B94" w14:textId="77777777" w:rsidR="00F65BCA" w:rsidRDefault="00216117">
      <w:pPr>
        <w:spacing w:before="75"/>
        <w:ind w:left="258" w:right="106"/>
        <w:jc w:val="both"/>
        <w:rPr>
          <w:rFonts w:ascii="Times New Roman" w:hAnsi="Times New Roman"/>
          <w:sz w:val="24"/>
        </w:rPr>
      </w:pPr>
      <w:r>
        <w:rPr>
          <w:rFonts w:ascii="Times New Roman" w:hAnsi="Times New Roman"/>
          <w:sz w:val="24"/>
        </w:rPr>
        <w:lastRenderedPageBreak/>
        <w:t>Pojistitel je povinen sdělit  Pojistníkovi ve lhůtě nejpozději  30 dnů po skončení  kalendářního roku,  v</w:t>
      </w:r>
      <w:r>
        <w:rPr>
          <w:rFonts w:ascii="Times New Roman" w:hAnsi="Times New Roman"/>
          <w:spacing w:val="-11"/>
          <w:sz w:val="24"/>
        </w:rPr>
        <w:t xml:space="preserve"> </w:t>
      </w:r>
      <w:r>
        <w:rPr>
          <w:rFonts w:ascii="Times New Roman" w:hAnsi="Times New Roman"/>
          <w:sz w:val="24"/>
        </w:rPr>
        <w:t>němž</w:t>
      </w:r>
      <w:r>
        <w:rPr>
          <w:rFonts w:ascii="Times New Roman" w:hAnsi="Times New Roman"/>
          <w:spacing w:val="-12"/>
          <w:sz w:val="24"/>
        </w:rPr>
        <w:t xml:space="preserve"> </w:t>
      </w:r>
      <w:r>
        <w:rPr>
          <w:rFonts w:ascii="Times New Roman" w:hAnsi="Times New Roman"/>
          <w:sz w:val="24"/>
        </w:rPr>
        <w:t>trvala</w:t>
      </w:r>
      <w:r>
        <w:rPr>
          <w:rFonts w:ascii="Times New Roman" w:hAnsi="Times New Roman"/>
          <w:spacing w:val="-12"/>
          <w:sz w:val="24"/>
        </w:rPr>
        <w:t xml:space="preserve"> </w:t>
      </w:r>
      <w:r>
        <w:rPr>
          <w:rFonts w:ascii="Times New Roman" w:hAnsi="Times New Roman"/>
          <w:sz w:val="24"/>
        </w:rPr>
        <w:t>účinnost</w:t>
      </w:r>
      <w:r>
        <w:rPr>
          <w:rFonts w:ascii="Times New Roman" w:hAnsi="Times New Roman"/>
          <w:spacing w:val="-11"/>
          <w:sz w:val="24"/>
        </w:rPr>
        <w:t xml:space="preserve"> </w:t>
      </w:r>
      <w:r>
        <w:rPr>
          <w:rFonts w:ascii="Times New Roman" w:hAnsi="Times New Roman"/>
          <w:sz w:val="24"/>
        </w:rPr>
        <w:t>této</w:t>
      </w:r>
      <w:r>
        <w:rPr>
          <w:rFonts w:ascii="Times New Roman" w:hAnsi="Times New Roman"/>
          <w:spacing w:val="-11"/>
          <w:sz w:val="24"/>
        </w:rPr>
        <w:t xml:space="preserve"> </w:t>
      </w:r>
      <w:r>
        <w:rPr>
          <w:rFonts w:ascii="Times New Roman" w:hAnsi="Times New Roman"/>
          <w:sz w:val="24"/>
        </w:rPr>
        <w:t>pojistné</w:t>
      </w:r>
      <w:r>
        <w:rPr>
          <w:rFonts w:ascii="Times New Roman" w:hAnsi="Times New Roman"/>
          <w:spacing w:val="-12"/>
          <w:sz w:val="24"/>
        </w:rPr>
        <w:t xml:space="preserve"> </w:t>
      </w:r>
      <w:r>
        <w:rPr>
          <w:rFonts w:ascii="Times New Roman" w:hAnsi="Times New Roman"/>
          <w:sz w:val="24"/>
        </w:rPr>
        <w:t>smlouvy,</w:t>
      </w:r>
      <w:r>
        <w:rPr>
          <w:rFonts w:ascii="Times New Roman" w:hAnsi="Times New Roman"/>
          <w:spacing w:val="-11"/>
          <w:sz w:val="24"/>
        </w:rPr>
        <w:t xml:space="preserve"> </w:t>
      </w:r>
      <w:r>
        <w:rPr>
          <w:rFonts w:ascii="Times New Roman" w:hAnsi="Times New Roman"/>
          <w:sz w:val="24"/>
        </w:rPr>
        <w:t>v</w:t>
      </w:r>
      <w:r>
        <w:rPr>
          <w:rFonts w:ascii="Times New Roman" w:hAnsi="Times New Roman"/>
          <w:spacing w:val="-11"/>
          <w:sz w:val="24"/>
        </w:rPr>
        <w:t xml:space="preserve"> </w:t>
      </w:r>
      <w:r>
        <w:rPr>
          <w:rFonts w:ascii="Times New Roman" w:hAnsi="Times New Roman"/>
          <w:sz w:val="24"/>
        </w:rPr>
        <w:t>jaké</w:t>
      </w:r>
      <w:r>
        <w:rPr>
          <w:rFonts w:ascii="Times New Roman" w:hAnsi="Times New Roman"/>
          <w:spacing w:val="-12"/>
          <w:sz w:val="24"/>
        </w:rPr>
        <w:t xml:space="preserve"> </w:t>
      </w:r>
      <w:r>
        <w:rPr>
          <w:rFonts w:ascii="Times New Roman" w:hAnsi="Times New Roman"/>
          <w:sz w:val="24"/>
        </w:rPr>
        <w:t>souhrnné</w:t>
      </w:r>
      <w:r>
        <w:rPr>
          <w:rFonts w:ascii="Times New Roman" w:hAnsi="Times New Roman"/>
          <w:spacing w:val="-12"/>
          <w:sz w:val="24"/>
        </w:rPr>
        <w:t xml:space="preserve"> </w:t>
      </w:r>
      <w:r>
        <w:rPr>
          <w:rFonts w:ascii="Times New Roman" w:hAnsi="Times New Roman"/>
          <w:sz w:val="24"/>
        </w:rPr>
        <w:t>výši</w:t>
      </w:r>
      <w:r>
        <w:rPr>
          <w:rFonts w:ascii="Times New Roman" w:hAnsi="Times New Roman"/>
          <w:spacing w:val="-10"/>
          <w:sz w:val="24"/>
        </w:rPr>
        <w:t xml:space="preserve"> </w:t>
      </w:r>
      <w:r>
        <w:rPr>
          <w:rFonts w:ascii="Times New Roman" w:hAnsi="Times New Roman"/>
          <w:sz w:val="24"/>
        </w:rPr>
        <w:t>byla</w:t>
      </w:r>
      <w:r>
        <w:rPr>
          <w:rFonts w:ascii="Times New Roman" w:hAnsi="Times New Roman"/>
          <w:spacing w:val="-11"/>
          <w:sz w:val="24"/>
        </w:rPr>
        <w:t xml:space="preserve"> </w:t>
      </w:r>
      <w:r>
        <w:rPr>
          <w:rFonts w:ascii="Times New Roman" w:hAnsi="Times New Roman"/>
          <w:sz w:val="24"/>
        </w:rPr>
        <w:t>z</w:t>
      </w:r>
      <w:r>
        <w:rPr>
          <w:rFonts w:ascii="Times New Roman" w:hAnsi="Times New Roman"/>
          <w:spacing w:val="-12"/>
          <w:sz w:val="24"/>
        </w:rPr>
        <w:t xml:space="preserve"> </w:t>
      </w:r>
      <w:r>
        <w:rPr>
          <w:rFonts w:ascii="Times New Roman" w:hAnsi="Times New Roman"/>
          <w:sz w:val="24"/>
        </w:rPr>
        <w:t>jeho</w:t>
      </w:r>
      <w:r>
        <w:rPr>
          <w:rFonts w:ascii="Times New Roman" w:hAnsi="Times New Roman"/>
          <w:spacing w:val="-11"/>
          <w:sz w:val="24"/>
        </w:rPr>
        <w:t xml:space="preserve"> </w:t>
      </w:r>
      <w:r>
        <w:rPr>
          <w:rFonts w:ascii="Times New Roman" w:hAnsi="Times New Roman"/>
          <w:sz w:val="24"/>
        </w:rPr>
        <w:t>strany</w:t>
      </w:r>
      <w:r>
        <w:rPr>
          <w:rFonts w:ascii="Times New Roman" w:hAnsi="Times New Roman"/>
          <w:spacing w:val="-11"/>
          <w:sz w:val="24"/>
        </w:rPr>
        <w:t xml:space="preserve"> </w:t>
      </w:r>
      <w:r>
        <w:rPr>
          <w:rFonts w:ascii="Times New Roman" w:hAnsi="Times New Roman"/>
          <w:sz w:val="24"/>
        </w:rPr>
        <w:t>poskytnuta</w:t>
      </w:r>
      <w:r>
        <w:rPr>
          <w:rFonts w:ascii="Times New Roman" w:hAnsi="Times New Roman"/>
          <w:spacing w:val="-12"/>
          <w:sz w:val="24"/>
        </w:rPr>
        <w:t xml:space="preserve"> </w:t>
      </w:r>
      <w:r>
        <w:rPr>
          <w:rFonts w:ascii="Times New Roman" w:hAnsi="Times New Roman"/>
          <w:sz w:val="24"/>
        </w:rPr>
        <w:t>úplata samostatnému zprostředkovateli Pojistníka za plnění přímo související s plněním této pojistné smlouvy.</w:t>
      </w:r>
    </w:p>
    <w:p w14:paraId="2C2DC2F8" w14:textId="77777777" w:rsidR="00F65BCA" w:rsidRDefault="00F65BCA">
      <w:pPr>
        <w:pStyle w:val="Zkladntext"/>
        <w:rPr>
          <w:rFonts w:ascii="Times New Roman"/>
          <w:sz w:val="26"/>
        </w:rPr>
      </w:pPr>
    </w:p>
    <w:p w14:paraId="729D74A4" w14:textId="77777777" w:rsidR="00F65BCA" w:rsidRDefault="00F65BCA">
      <w:pPr>
        <w:pStyle w:val="Zkladntext"/>
        <w:rPr>
          <w:rFonts w:ascii="Times New Roman"/>
          <w:sz w:val="26"/>
        </w:rPr>
      </w:pPr>
    </w:p>
    <w:p w14:paraId="1D909B89" w14:textId="77777777" w:rsidR="00F65BCA" w:rsidRDefault="00216117">
      <w:pPr>
        <w:pStyle w:val="Odstavecseseznamem"/>
        <w:numPr>
          <w:ilvl w:val="0"/>
          <w:numId w:val="155"/>
        </w:numPr>
        <w:tabs>
          <w:tab w:val="left" w:pos="739"/>
        </w:tabs>
        <w:spacing w:before="230"/>
        <w:ind w:left="738" w:hanging="481"/>
        <w:rPr>
          <w:rFonts w:ascii="Times New Roman" w:hAnsi="Times New Roman"/>
          <w:b/>
          <w:sz w:val="24"/>
        </w:rPr>
      </w:pPr>
      <w:r>
        <w:rPr>
          <w:rFonts w:ascii="Times New Roman" w:hAnsi="Times New Roman"/>
          <w:b/>
          <w:sz w:val="24"/>
        </w:rPr>
        <w:t>Ujednání</w:t>
      </w:r>
    </w:p>
    <w:p w14:paraId="4FAB963C" w14:textId="77777777" w:rsidR="00F65BCA" w:rsidRDefault="00216117">
      <w:pPr>
        <w:pStyle w:val="Odstavecseseznamem"/>
        <w:numPr>
          <w:ilvl w:val="1"/>
          <w:numId w:val="155"/>
        </w:numPr>
        <w:tabs>
          <w:tab w:val="left" w:pos="859"/>
        </w:tabs>
        <w:ind w:right="133" w:firstLine="0"/>
        <w:rPr>
          <w:rFonts w:ascii="Times New Roman" w:hAnsi="Times New Roman"/>
          <w:sz w:val="24"/>
        </w:rPr>
      </w:pPr>
      <w:r>
        <w:rPr>
          <w:rFonts w:ascii="Times New Roman" w:hAnsi="Times New Roman"/>
          <w:sz w:val="24"/>
        </w:rPr>
        <w:t>Vznik škodné události bude Pojistníkem Pojistiteli oznamován prostřednictvím samostatného zprostředkovatele Pojistníka bez zbytečného odkladu na příslušném tiskopisu, elektronicky, dopisem, popř.</w:t>
      </w:r>
      <w:r>
        <w:rPr>
          <w:rFonts w:ascii="Times New Roman" w:hAnsi="Times New Roman"/>
          <w:spacing w:val="-1"/>
          <w:sz w:val="24"/>
        </w:rPr>
        <w:t xml:space="preserve"> </w:t>
      </w:r>
      <w:r>
        <w:rPr>
          <w:rFonts w:ascii="Times New Roman" w:hAnsi="Times New Roman"/>
          <w:sz w:val="24"/>
        </w:rPr>
        <w:t>telefonem.</w:t>
      </w:r>
    </w:p>
    <w:p w14:paraId="04AF4FDF" w14:textId="77777777" w:rsidR="00F65BCA" w:rsidRDefault="00216117">
      <w:pPr>
        <w:pStyle w:val="Odstavecseseznamem"/>
        <w:numPr>
          <w:ilvl w:val="1"/>
          <w:numId w:val="155"/>
        </w:numPr>
        <w:tabs>
          <w:tab w:val="left" w:pos="859"/>
        </w:tabs>
        <w:ind w:left="858" w:hanging="601"/>
        <w:rPr>
          <w:rFonts w:ascii="Times New Roman" w:hAnsi="Times New Roman"/>
          <w:sz w:val="24"/>
        </w:rPr>
      </w:pPr>
      <w:r>
        <w:rPr>
          <w:rFonts w:ascii="Times New Roman" w:hAnsi="Times New Roman"/>
          <w:sz w:val="24"/>
        </w:rPr>
        <w:t>Tato pojistná smlouva se po uplynutí sjednané doby účinnosti nebude</w:t>
      </w:r>
      <w:r>
        <w:rPr>
          <w:rFonts w:ascii="Times New Roman" w:hAnsi="Times New Roman"/>
          <w:spacing w:val="-10"/>
          <w:sz w:val="24"/>
        </w:rPr>
        <w:t xml:space="preserve"> </w:t>
      </w:r>
      <w:r>
        <w:rPr>
          <w:rFonts w:ascii="Times New Roman" w:hAnsi="Times New Roman"/>
          <w:sz w:val="24"/>
        </w:rPr>
        <w:t>prodlužovat.</w:t>
      </w:r>
    </w:p>
    <w:p w14:paraId="5497C9D8" w14:textId="77777777" w:rsidR="00F65BCA" w:rsidRDefault="00216117">
      <w:pPr>
        <w:pStyle w:val="Odstavecseseznamem"/>
        <w:numPr>
          <w:ilvl w:val="1"/>
          <w:numId w:val="155"/>
        </w:numPr>
        <w:tabs>
          <w:tab w:val="left" w:pos="852"/>
        </w:tabs>
        <w:ind w:right="106" w:firstLine="0"/>
        <w:jc w:val="both"/>
        <w:rPr>
          <w:rFonts w:ascii="Times New Roman" w:hAnsi="Times New Roman"/>
          <w:sz w:val="24"/>
        </w:rPr>
      </w:pPr>
      <w:r>
        <w:rPr>
          <w:rFonts w:ascii="Times New Roman" w:hAnsi="Times New Roman"/>
          <w:sz w:val="24"/>
        </w:rPr>
        <w:t>Pojistitel se zavazuje během plnění této pojistné smlouvy i po jejím ukončení zachovávat mlčenlivost</w:t>
      </w:r>
      <w:r>
        <w:rPr>
          <w:rFonts w:ascii="Times New Roman" w:hAnsi="Times New Roman"/>
          <w:spacing w:val="-7"/>
          <w:sz w:val="24"/>
        </w:rPr>
        <w:t xml:space="preserve"> </w:t>
      </w:r>
      <w:r>
        <w:rPr>
          <w:rFonts w:ascii="Times New Roman" w:hAnsi="Times New Roman"/>
          <w:sz w:val="24"/>
        </w:rPr>
        <w:t>o</w:t>
      </w:r>
      <w:r>
        <w:rPr>
          <w:rFonts w:ascii="Times New Roman" w:hAnsi="Times New Roman"/>
          <w:spacing w:val="-6"/>
          <w:sz w:val="24"/>
        </w:rPr>
        <w:t xml:space="preserve"> </w:t>
      </w:r>
      <w:r>
        <w:rPr>
          <w:rFonts w:ascii="Times New Roman" w:hAnsi="Times New Roman"/>
          <w:sz w:val="24"/>
        </w:rPr>
        <w:t>všech</w:t>
      </w:r>
      <w:r>
        <w:rPr>
          <w:rFonts w:ascii="Times New Roman" w:hAnsi="Times New Roman"/>
          <w:spacing w:val="-7"/>
          <w:sz w:val="24"/>
        </w:rPr>
        <w:t xml:space="preserve"> </w:t>
      </w:r>
      <w:r>
        <w:rPr>
          <w:rFonts w:ascii="Times New Roman" w:hAnsi="Times New Roman"/>
          <w:sz w:val="24"/>
        </w:rPr>
        <w:t>skutečnostech,</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7"/>
          <w:sz w:val="24"/>
        </w:rPr>
        <w:t xml:space="preserve"> </w:t>
      </w:r>
      <w:r>
        <w:rPr>
          <w:rFonts w:ascii="Times New Roman" w:hAnsi="Times New Roman"/>
          <w:sz w:val="24"/>
        </w:rPr>
        <w:t>kterých</w:t>
      </w:r>
      <w:r>
        <w:rPr>
          <w:rFonts w:ascii="Times New Roman" w:hAnsi="Times New Roman"/>
          <w:spacing w:val="-6"/>
          <w:sz w:val="24"/>
        </w:rPr>
        <w:t xml:space="preserve"> </w:t>
      </w:r>
      <w:r>
        <w:rPr>
          <w:rFonts w:ascii="Times New Roman" w:hAnsi="Times New Roman"/>
          <w:sz w:val="24"/>
        </w:rPr>
        <w:t>se</w:t>
      </w:r>
      <w:r>
        <w:rPr>
          <w:rFonts w:ascii="Times New Roman" w:hAnsi="Times New Roman"/>
          <w:spacing w:val="-8"/>
          <w:sz w:val="24"/>
        </w:rPr>
        <w:t xml:space="preserve"> </w:t>
      </w:r>
      <w:r>
        <w:rPr>
          <w:rFonts w:ascii="Times New Roman" w:hAnsi="Times New Roman"/>
          <w:sz w:val="24"/>
        </w:rPr>
        <w:t>dozví</w:t>
      </w:r>
      <w:r>
        <w:rPr>
          <w:rFonts w:ascii="Times New Roman" w:hAnsi="Times New Roman"/>
          <w:spacing w:val="-6"/>
          <w:sz w:val="24"/>
        </w:rPr>
        <w:t xml:space="preserve"> </w:t>
      </w:r>
      <w:r>
        <w:rPr>
          <w:rFonts w:ascii="Times New Roman" w:hAnsi="Times New Roman"/>
          <w:sz w:val="24"/>
        </w:rPr>
        <w:t>od</w:t>
      </w:r>
      <w:r>
        <w:rPr>
          <w:rFonts w:ascii="Times New Roman" w:hAnsi="Times New Roman"/>
          <w:spacing w:val="-6"/>
          <w:sz w:val="24"/>
        </w:rPr>
        <w:t xml:space="preserve"> </w:t>
      </w:r>
      <w:r>
        <w:rPr>
          <w:rFonts w:ascii="Times New Roman" w:hAnsi="Times New Roman"/>
          <w:sz w:val="24"/>
        </w:rPr>
        <w:t>Pojistníka</w:t>
      </w:r>
      <w:r>
        <w:rPr>
          <w:rFonts w:ascii="Times New Roman" w:hAnsi="Times New Roman"/>
          <w:spacing w:val="-8"/>
          <w:sz w:val="24"/>
        </w:rPr>
        <w:t xml:space="preserve"> </w:t>
      </w:r>
      <w:r>
        <w:rPr>
          <w:rFonts w:ascii="Times New Roman" w:hAnsi="Times New Roman"/>
          <w:sz w:val="24"/>
        </w:rPr>
        <w:t>v</w:t>
      </w:r>
      <w:r>
        <w:rPr>
          <w:rFonts w:ascii="Times New Roman" w:hAnsi="Times New Roman"/>
          <w:spacing w:val="-6"/>
          <w:sz w:val="24"/>
        </w:rPr>
        <w:t xml:space="preserve"> </w:t>
      </w:r>
      <w:r>
        <w:rPr>
          <w:rFonts w:ascii="Times New Roman" w:hAnsi="Times New Roman"/>
          <w:sz w:val="24"/>
        </w:rPr>
        <w:t>souvislosti</w:t>
      </w:r>
      <w:r>
        <w:rPr>
          <w:rFonts w:ascii="Times New Roman" w:hAnsi="Times New Roman"/>
          <w:spacing w:val="-7"/>
          <w:sz w:val="24"/>
        </w:rPr>
        <w:t xml:space="preserve"> </w:t>
      </w:r>
      <w:r>
        <w:rPr>
          <w:rFonts w:ascii="Times New Roman" w:hAnsi="Times New Roman"/>
          <w:sz w:val="24"/>
        </w:rPr>
        <w:t>s</w:t>
      </w:r>
      <w:r>
        <w:rPr>
          <w:rFonts w:ascii="Times New Roman" w:hAnsi="Times New Roman"/>
          <w:spacing w:val="-6"/>
          <w:sz w:val="24"/>
        </w:rPr>
        <w:t xml:space="preserve"> </w:t>
      </w:r>
      <w:r>
        <w:rPr>
          <w:rFonts w:ascii="Times New Roman" w:hAnsi="Times New Roman"/>
          <w:sz w:val="24"/>
        </w:rPr>
        <w:t>jejím</w:t>
      </w:r>
      <w:r>
        <w:rPr>
          <w:rFonts w:ascii="Times New Roman" w:hAnsi="Times New Roman"/>
          <w:spacing w:val="-7"/>
          <w:sz w:val="24"/>
        </w:rPr>
        <w:t xml:space="preserve"> </w:t>
      </w:r>
      <w:r>
        <w:rPr>
          <w:rFonts w:ascii="Times New Roman" w:hAnsi="Times New Roman"/>
          <w:sz w:val="24"/>
        </w:rPr>
        <w:t>plněním.</w:t>
      </w:r>
      <w:r>
        <w:rPr>
          <w:rFonts w:ascii="Times New Roman" w:hAnsi="Times New Roman"/>
          <w:spacing w:val="-6"/>
          <w:sz w:val="24"/>
        </w:rPr>
        <w:t xml:space="preserve"> </w:t>
      </w:r>
      <w:r>
        <w:rPr>
          <w:rFonts w:ascii="Times New Roman" w:hAnsi="Times New Roman"/>
          <w:sz w:val="24"/>
        </w:rPr>
        <w:t>Tím není dotčena možnost Pojistitele uvádět činnost  podle této pojistné smlouvy jako svou  referenci     ve svých nabídkách v rozsahu stanoveném právními předpisy (zejm. ZZVZ), popřípadě v rozsahu stanoveném</w:t>
      </w:r>
      <w:r>
        <w:rPr>
          <w:rFonts w:ascii="Times New Roman" w:hAnsi="Times New Roman"/>
          <w:spacing w:val="-1"/>
          <w:sz w:val="24"/>
        </w:rPr>
        <w:t xml:space="preserve"> </w:t>
      </w:r>
      <w:r>
        <w:rPr>
          <w:rFonts w:ascii="Times New Roman" w:hAnsi="Times New Roman"/>
          <w:sz w:val="24"/>
        </w:rPr>
        <w:t>Pojistníkem.</w:t>
      </w:r>
    </w:p>
    <w:p w14:paraId="5E274746" w14:textId="77777777" w:rsidR="00F65BCA" w:rsidRDefault="00216117">
      <w:pPr>
        <w:pStyle w:val="Odstavecseseznamem"/>
        <w:numPr>
          <w:ilvl w:val="1"/>
          <w:numId w:val="155"/>
        </w:numPr>
        <w:tabs>
          <w:tab w:val="left" w:pos="813"/>
        </w:tabs>
        <w:ind w:right="106" w:firstLine="0"/>
        <w:jc w:val="both"/>
        <w:rPr>
          <w:rFonts w:ascii="Times New Roman" w:hAnsi="Times New Roman"/>
          <w:sz w:val="24"/>
        </w:rPr>
      </w:pPr>
      <w:r>
        <w:rPr>
          <w:rFonts w:ascii="Times New Roman" w:hAnsi="Times New Roman"/>
          <w:sz w:val="24"/>
        </w:rPr>
        <w:t>Pojistitel se zavazuje, že pokud v souvislosti s plněním této pojistné smlouvy při plnění svých povinností přijdou jeho pověření poddodavatelé, zaměstnanci či jiní zástupci do styku s osobními, citlivými nebo citlivými osobními údaji ve smyslu zákona č. 110/2019 Sb., o zpracování osobních údajů, a podle nařízení  Evropského  parlamentu  a Rady  EU  2016/679  o ochraně fyzických  osob  v souvislosti se zpracováním osobních údajů „nařízení GDPR“, učiní veškerá opatření, aby nedošlo  k neoprávněnému nebo nahodilému přístupu k těmto údajům, k jejich změně, zničení či ztrátě, neoprávněným přenosům, k jejich jinému neoprávněnému zpracování, ani jinému porušení tohoto zákona. Pojistitel nese plnou odpovědnost a právní důsledky za případné porušení zákona a sjednané povinnosti mlčenlivosti z jeho</w:t>
      </w:r>
      <w:r>
        <w:rPr>
          <w:rFonts w:ascii="Times New Roman" w:hAnsi="Times New Roman"/>
          <w:spacing w:val="-5"/>
          <w:sz w:val="24"/>
        </w:rPr>
        <w:t xml:space="preserve"> </w:t>
      </w:r>
      <w:r>
        <w:rPr>
          <w:rFonts w:ascii="Times New Roman" w:hAnsi="Times New Roman"/>
          <w:sz w:val="24"/>
        </w:rPr>
        <w:t>strany.</w:t>
      </w:r>
    </w:p>
    <w:p w14:paraId="23E6202C" w14:textId="77777777" w:rsidR="00F65BCA" w:rsidRDefault="00216117">
      <w:pPr>
        <w:pStyle w:val="Odstavecseseznamem"/>
        <w:numPr>
          <w:ilvl w:val="1"/>
          <w:numId w:val="155"/>
        </w:numPr>
        <w:tabs>
          <w:tab w:val="left" w:pos="936"/>
        </w:tabs>
        <w:ind w:right="106" w:firstLine="0"/>
        <w:jc w:val="both"/>
        <w:rPr>
          <w:rFonts w:ascii="Times New Roman" w:hAnsi="Times New Roman"/>
          <w:sz w:val="24"/>
        </w:rPr>
      </w:pPr>
      <w:r>
        <w:rPr>
          <w:rFonts w:ascii="Times New Roman" w:hAnsi="Times New Roman"/>
          <w:sz w:val="24"/>
        </w:rPr>
        <w:t>Pokud se Pojistitel při plnění této pojistné smlouvy dostane do kontaktu s osobními údaji, citlivými a citlivými osobními údaji je povinen o nich zachovávat naprostou mlčenlivost, a to i po ukončení plnění této pojistné smlouvy, v případě jejího zrušení, odstoupení od ní  či její  výpovědi.  V</w:t>
      </w:r>
      <w:r>
        <w:rPr>
          <w:rFonts w:ascii="Times New Roman" w:hAnsi="Times New Roman"/>
          <w:spacing w:val="-8"/>
          <w:sz w:val="24"/>
        </w:rPr>
        <w:t xml:space="preserve"> </w:t>
      </w:r>
      <w:r>
        <w:rPr>
          <w:rFonts w:ascii="Times New Roman" w:hAnsi="Times New Roman"/>
          <w:sz w:val="24"/>
        </w:rPr>
        <w:t>případě</w:t>
      </w:r>
      <w:r>
        <w:rPr>
          <w:rFonts w:ascii="Times New Roman" w:hAnsi="Times New Roman"/>
          <w:spacing w:val="-8"/>
          <w:sz w:val="24"/>
        </w:rPr>
        <w:t xml:space="preserve"> </w:t>
      </w:r>
      <w:r>
        <w:rPr>
          <w:rFonts w:ascii="Times New Roman" w:hAnsi="Times New Roman"/>
          <w:sz w:val="24"/>
        </w:rPr>
        <w:t>porušení</w:t>
      </w:r>
      <w:r>
        <w:rPr>
          <w:rFonts w:ascii="Times New Roman" w:hAnsi="Times New Roman"/>
          <w:spacing w:val="-7"/>
          <w:sz w:val="24"/>
        </w:rPr>
        <w:t xml:space="preserve"> </w:t>
      </w:r>
      <w:r>
        <w:rPr>
          <w:rFonts w:ascii="Times New Roman" w:hAnsi="Times New Roman"/>
          <w:sz w:val="24"/>
        </w:rPr>
        <w:t>této</w:t>
      </w:r>
      <w:r>
        <w:rPr>
          <w:rFonts w:ascii="Times New Roman" w:hAnsi="Times New Roman"/>
          <w:spacing w:val="-6"/>
          <w:sz w:val="24"/>
        </w:rPr>
        <w:t xml:space="preserve"> </w:t>
      </w:r>
      <w:r>
        <w:rPr>
          <w:rFonts w:ascii="Times New Roman" w:hAnsi="Times New Roman"/>
          <w:sz w:val="24"/>
        </w:rPr>
        <w:t>povinnosti</w:t>
      </w:r>
      <w:r>
        <w:rPr>
          <w:rFonts w:ascii="Times New Roman" w:hAnsi="Times New Roman"/>
          <w:spacing w:val="-7"/>
          <w:sz w:val="24"/>
        </w:rPr>
        <w:t xml:space="preserve"> </w:t>
      </w:r>
      <w:r>
        <w:rPr>
          <w:rFonts w:ascii="Times New Roman" w:hAnsi="Times New Roman"/>
          <w:sz w:val="24"/>
        </w:rPr>
        <w:t>je</w:t>
      </w:r>
      <w:r>
        <w:rPr>
          <w:rFonts w:ascii="Times New Roman" w:hAnsi="Times New Roman"/>
          <w:spacing w:val="-11"/>
          <w:sz w:val="24"/>
        </w:rPr>
        <w:t xml:space="preserve"> </w:t>
      </w:r>
      <w:r>
        <w:rPr>
          <w:rFonts w:ascii="Times New Roman" w:hAnsi="Times New Roman"/>
          <w:sz w:val="24"/>
        </w:rPr>
        <w:t>Pojistník</w:t>
      </w:r>
      <w:r>
        <w:rPr>
          <w:rFonts w:ascii="Times New Roman" w:hAnsi="Times New Roman"/>
          <w:spacing w:val="45"/>
          <w:sz w:val="24"/>
        </w:rPr>
        <w:t xml:space="preserve"> </w:t>
      </w:r>
      <w:r>
        <w:rPr>
          <w:rFonts w:ascii="Times New Roman" w:hAnsi="Times New Roman"/>
          <w:sz w:val="24"/>
        </w:rPr>
        <w:t>oprávněn</w:t>
      </w:r>
      <w:r>
        <w:rPr>
          <w:rFonts w:ascii="Times New Roman" w:hAnsi="Times New Roman"/>
          <w:spacing w:val="-7"/>
          <w:sz w:val="24"/>
        </w:rPr>
        <w:t xml:space="preserve"> </w:t>
      </w:r>
      <w:r>
        <w:rPr>
          <w:rFonts w:ascii="Times New Roman" w:hAnsi="Times New Roman"/>
          <w:sz w:val="24"/>
        </w:rPr>
        <w:t>uplatnit</w:t>
      </w:r>
      <w:r>
        <w:rPr>
          <w:rFonts w:ascii="Times New Roman" w:hAnsi="Times New Roman"/>
          <w:spacing w:val="-6"/>
          <w:sz w:val="24"/>
        </w:rPr>
        <w:t xml:space="preserve"> </w:t>
      </w:r>
      <w:r>
        <w:rPr>
          <w:rFonts w:ascii="Times New Roman" w:hAnsi="Times New Roman"/>
          <w:sz w:val="24"/>
        </w:rPr>
        <w:t>na</w:t>
      </w:r>
      <w:r>
        <w:rPr>
          <w:rFonts w:ascii="Times New Roman" w:hAnsi="Times New Roman"/>
          <w:spacing w:val="-8"/>
          <w:sz w:val="24"/>
        </w:rPr>
        <w:t xml:space="preserve"> </w:t>
      </w:r>
      <w:r>
        <w:rPr>
          <w:rFonts w:ascii="Times New Roman" w:hAnsi="Times New Roman"/>
          <w:sz w:val="24"/>
        </w:rPr>
        <w:t>Pojistiteli</w:t>
      </w:r>
      <w:r>
        <w:rPr>
          <w:rFonts w:ascii="Times New Roman" w:hAnsi="Times New Roman"/>
          <w:spacing w:val="-7"/>
          <w:sz w:val="24"/>
        </w:rPr>
        <w:t xml:space="preserve"> </w:t>
      </w:r>
      <w:r>
        <w:rPr>
          <w:rFonts w:ascii="Times New Roman" w:hAnsi="Times New Roman"/>
          <w:sz w:val="24"/>
        </w:rPr>
        <w:t>smluvní</w:t>
      </w:r>
      <w:r>
        <w:rPr>
          <w:rFonts w:ascii="Times New Roman" w:hAnsi="Times New Roman"/>
          <w:spacing w:val="-8"/>
          <w:sz w:val="24"/>
        </w:rPr>
        <w:t xml:space="preserve"> </w:t>
      </w:r>
      <w:r>
        <w:rPr>
          <w:rFonts w:ascii="Times New Roman" w:hAnsi="Times New Roman"/>
          <w:sz w:val="24"/>
        </w:rPr>
        <w:t>pokutu</w:t>
      </w:r>
      <w:r>
        <w:rPr>
          <w:rFonts w:ascii="Times New Roman" w:hAnsi="Times New Roman"/>
          <w:spacing w:val="-7"/>
          <w:sz w:val="24"/>
        </w:rPr>
        <w:t xml:space="preserve"> </w:t>
      </w:r>
      <w:r>
        <w:rPr>
          <w:rFonts w:ascii="Times New Roman" w:hAnsi="Times New Roman"/>
          <w:sz w:val="24"/>
        </w:rPr>
        <w:t>ve</w:t>
      </w:r>
      <w:r>
        <w:rPr>
          <w:rFonts w:ascii="Times New Roman" w:hAnsi="Times New Roman"/>
          <w:spacing w:val="-8"/>
          <w:sz w:val="24"/>
        </w:rPr>
        <w:t xml:space="preserve"> </w:t>
      </w:r>
      <w:r>
        <w:rPr>
          <w:rFonts w:ascii="Times New Roman" w:hAnsi="Times New Roman"/>
          <w:sz w:val="24"/>
        </w:rPr>
        <w:t>výši 1.000.000,- Kč (slovy: jeden milion korun českých) se splatností do 30 kalendářních dní od doručení výzvy</w:t>
      </w:r>
      <w:r>
        <w:rPr>
          <w:rFonts w:ascii="Times New Roman" w:hAnsi="Times New Roman"/>
          <w:spacing w:val="-5"/>
          <w:sz w:val="24"/>
        </w:rPr>
        <w:t xml:space="preserve"> </w:t>
      </w:r>
      <w:r>
        <w:rPr>
          <w:rFonts w:ascii="Times New Roman" w:hAnsi="Times New Roman"/>
          <w:sz w:val="24"/>
        </w:rPr>
        <w:t>Pojistníka</w:t>
      </w:r>
      <w:r>
        <w:rPr>
          <w:rFonts w:ascii="Times New Roman" w:hAnsi="Times New Roman"/>
          <w:spacing w:val="-6"/>
          <w:sz w:val="24"/>
        </w:rPr>
        <w:t xml:space="preserve"> </w:t>
      </w:r>
      <w:r>
        <w:rPr>
          <w:rFonts w:ascii="Times New Roman" w:hAnsi="Times New Roman"/>
          <w:sz w:val="24"/>
        </w:rPr>
        <w:t>Pojistiteli.</w:t>
      </w:r>
      <w:r>
        <w:rPr>
          <w:rFonts w:ascii="Times New Roman" w:hAnsi="Times New Roman"/>
          <w:spacing w:val="-5"/>
          <w:sz w:val="24"/>
        </w:rPr>
        <w:t xml:space="preserve"> </w:t>
      </w:r>
      <w:r>
        <w:rPr>
          <w:rFonts w:ascii="Times New Roman" w:hAnsi="Times New Roman"/>
          <w:sz w:val="24"/>
        </w:rPr>
        <w:t>Sjednáním</w:t>
      </w:r>
      <w:r>
        <w:rPr>
          <w:rFonts w:ascii="Times New Roman" w:hAnsi="Times New Roman"/>
          <w:spacing w:val="-4"/>
          <w:sz w:val="24"/>
        </w:rPr>
        <w:t xml:space="preserve"> </w:t>
      </w:r>
      <w:r>
        <w:rPr>
          <w:rFonts w:ascii="Times New Roman" w:hAnsi="Times New Roman"/>
          <w:sz w:val="24"/>
        </w:rPr>
        <w:t>ani</w:t>
      </w:r>
      <w:r>
        <w:rPr>
          <w:rFonts w:ascii="Times New Roman" w:hAnsi="Times New Roman"/>
          <w:spacing w:val="-4"/>
          <w:sz w:val="24"/>
        </w:rPr>
        <w:t xml:space="preserve"> </w:t>
      </w:r>
      <w:r>
        <w:rPr>
          <w:rFonts w:ascii="Times New Roman" w:hAnsi="Times New Roman"/>
          <w:sz w:val="24"/>
        </w:rPr>
        <w:t>zaplacením</w:t>
      </w:r>
      <w:r>
        <w:rPr>
          <w:rFonts w:ascii="Times New Roman" w:hAnsi="Times New Roman"/>
          <w:spacing w:val="-4"/>
          <w:sz w:val="24"/>
        </w:rPr>
        <w:t xml:space="preserve"> </w:t>
      </w:r>
      <w:r>
        <w:rPr>
          <w:rFonts w:ascii="Times New Roman" w:hAnsi="Times New Roman"/>
          <w:sz w:val="24"/>
        </w:rPr>
        <w:t>smluvní</w:t>
      </w:r>
      <w:r>
        <w:rPr>
          <w:rFonts w:ascii="Times New Roman" w:hAnsi="Times New Roman"/>
          <w:spacing w:val="-4"/>
          <w:sz w:val="24"/>
        </w:rPr>
        <w:t xml:space="preserve"> </w:t>
      </w:r>
      <w:r>
        <w:rPr>
          <w:rFonts w:ascii="Times New Roman" w:hAnsi="Times New Roman"/>
          <w:sz w:val="24"/>
        </w:rPr>
        <w:t>pokuty</w:t>
      </w:r>
      <w:r>
        <w:rPr>
          <w:rFonts w:ascii="Times New Roman" w:hAnsi="Times New Roman"/>
          <w:spacing w:val="-5"/>
          <w:sz w:val="24"/>
        </w:rPr>
        <w:t xml:space="preserve"> </w:t>
      </w:r>
      <w:r>
        <w:rPr>
          <w:rFonts w:ascii="Times New Roman" w:hAnsi="Times New Roman"/>
          <w:sz w:val="24"/>
        </w:rPr>
        <w:t>dle</w:t>
      </w:r>
      <w:r>
        <w:rPr>
          <w:rFonts w:ascii="Times New Roman" w:hAnsi="Times New Roman"/>
          <w:spacing w:val="-6"/>
          <w:sz w:val="24"/>
        </w:rPr>
        <w:t xml:space="preserve"> </w:t>
      </w:r>
      <w:r>
        <w:rPr>
          <w:rFonts w:ascii="Times New Roman" w:hAnsi="Times New Roman"/>
          <w:sz w:val="24"/>
        </w:rPr>
        <w:t>předchozí</w:t>
      </w:r>
      <w:r>
        <w:rPr>
          <w:rFonts w:ascii="Times New Roman" w:hAnsi="Times New Roman"/>
          <w:spacing w:val="-4"/>
          <w:sz w:val="24"/>
        </w:rPr>
        <w:t xml:space="preserve"> </w:t>
      </w:r>
      <w:r>
        <w:rPr>
          <w:rFonts w:ascii="Times New Roman" w:hAnsi="Times New Roman"/>
          <w:sz w:val="24"/>
        </w:rPr>
        <w:t>věty</w:t>
      </w:r>
      <w:r>
        <w:rPr>
          <w:rFonts w:ascii="Times New Roman" w:hAnsi="Times New Roman"/>
          <w:spacing w:val="-5"/>
          <w:sz w:val="24"/>
        </w:rPr>
        <w:t xml:space="preserve"> </w:t>
      </w:r>
      <w:r>
        <w:rPr>
          <w:rFonts w:ascii="Times New Roman" w:hAnsi="Times New Roman"/>
          <w:sz w:val="24"/>
        </w:rPr>
        <w:t>není</w:t>
      </w:r>
      <w:r>
        <w:rPr>
          <w:rFonts w:ascii="Times New Roman" w:hAnsi="Times New Roman"/>
          <w:spacing w:val="-4"/>
          <w:sz w:val="24"/>
        </w:rPr>
        <w:t xml:space="preserve"> </w:t>
      </w:r>
      <w:r>
        <w:rPr>
          <w:rFonts w:ascii="Times New Roman" w:hAnsi="Times New Roman"/>
          <w:sz w:val="24"/>
        </w:rPr>
        <w:t>dotčen nárok Pojistníka na náhradu škody v celém</w:t>
      </w:r>
      <w:r>
        <w:rPr>
          <w:rFonts w:ascii="Times New Roman" w:hAnsi="Times New Roman"/>
          <w:spacing w:val="-3"/>
          <w:sz w:val="24"/>
        </w:rPr>
        <w:t xml:space="preserve"> </w:t>
      </w:r>
      <w:r>
        <w:rPr>
          <w:rFonts w:ascii="Times New Roman" w:hAnsi="Times New Roman"/>
          <w:sz w:val="24"/>
        </w:rPr>
        <w:t>rozsahu.</w:t>
      </w:r>
    </w:p>
    <w:p w14:paraId="4E6D065C" w14:textId="77777777" w:rsidR="00F65BCA" w:rsidRDefault="00216117">
      <w:pPr>
        <w:pStyle w:val="Odstavecseseznamem"/>
        <w:numPr>
          <w:ilvl w:val="1"/>
          <w:numId w:val="155"/>
        </w:numPr>
        <w:tabs>
          <w:tab w:val="left" w:pos="844"/>
        </w:tabs>
        <w:spacing w:before="1"/>
        <w:ind w:right="108" w:hanging="1"/>
        <w:jc w:val="both"/>
        <w:rPr>
          <w:rFonts w:ascii="Times New Roman" w:hAnsi="Times New Roman"/>
          <w:sz w:val="24"/>
        </w:rPr>
      </w:pPr>
      <w:r>
        <w:rPr>
          <w:rFonts w:ascii="Times New Roman" w:hAnsi="Times New Roman"/>
          <w:sz w:val="24"/>
        </w:rPr>
        <w:t>Pojistník</w:t>
      </w:r>
      <w:r>
        <w:rPr>
          <w:rFonts w:ascii="Times New Roman" w:hAnsi="Times New Roman"/>
          <w:spacing w:val="-12"/>
          <w:sz w:val="24"/>
        </w:rPr>
        <w:t xml:space="preserve"> </w:t>
      </w:r>
      <w:r>
        <w:rPr>
          <w:rFonts w:ascii="Times New Roman" w:hAnsi="Times New Roman"/>
          <w:sz w:val="24"/>
        </w:rPr>
        <w:t>si</w:t>
      </w:r>
      <w:r>
        <w:rPr>
          <w:rFonts w:ascii="Times New Roman" w:hAnsi="Times New Roman"/>
          <w:spacing w:val="-9"/>
          <w:sz w:val="24"/>
        </w:rPr>
        <w:t xml:space="preserve"> </w:t>
      </w:r>
      <w:r>
        <w:rPr>
          <w:rFonts w:ascii="Times New Roman" w:hAnsi="Times New Roman"/>
          <w:sz w:val="24"/>
        </w:rPr>
        <w:t>vyhrazuje</w:t>
      </w:r>
      <w:r>
        <w:rPr>
          <w:rFonts w:ascii="Times New Roman" w:hAnsi="Times New Roman"/>
          <w:spacing w:val="-10"/>
          <w:sz w:val="24"/>
        </w:rPr>
        <w:t xml:space="preserve"> </w:t>
      </w:r>
      <w:r>
        <w:rPr>
          <w:rFonts w:ascii="Times New Roman" w:hAnsi="Times New Roman"/>
          <w:sz w:val="24"/>
        </w:rPr>
        <w:t>právo</w:t>
      </w:r>
      <w:r>
        <w:rPr>
          <w:rFonts w:ascii="Times New Roman" w:hAnsi="Times New Roman"/>
          <w:spacing w:val="-10"/>
          <w:sz w:val="24"/>
        </w:rPr>
        <w:t xml:space="preserve"> </w:t>
      </w:r>
      <w:r>
        <w:rPr>
          <w:rFonts w:ascii="Times New Roman" w:hAnsi="Times New Roman"/>
          <w:sz w:val="24"/>
        </w:rPr>
        <w:t>rozšíření</w:t>
      </w:r>
      <w:r>
        <w:rPr>
          <w:rFonts w:ascii="Times New Roman" w:hAnsi="Times New Roman"/>
          <w:spacing w:val="-9"/>
          <w:sz w:val="24"/>
        </w:rPr>
        <w:t xml:space="preserve"> </w:t>
      </w:r>
      <w:r>
        <w:rPr>
          <w:rFonts w:ascii="Times New Roman" w:hAnsi="Times New Roman"/>
          <w:sz w:val="24"/>
        </w:rPr>
        <w:t>či</w:t>
      </w:r>
      <w:r>
        <w:rPr>
          <w:rFonts w:ascii="Times New Roman" w:hAnsi="Times New Roman"/>
          <w:spacing w:val="-9"/>
          <w:sz w:val="24"/>
        </w:rPr>
        <w:t xml:space="preserve"> </w:t>
      </w:r>
      <w:r>
        <w:rPr>
          <w:rFonts w:ascii="Times New Roman" w:hAnsi="Times New Roman"/>
          <w:sz w:val="24"/>
        </w:rPr>
        <w:t>poskytnutí</w:t>
      </w:r>
      <w:r>
        <w:rPr>
          <w:rFonts w:ascii="Times New Roman" w:hAnsi="Times New Roman"/>
          <w:spacing w:val="-8"/>
          <w:sz w:val="24"/>
        </w:rPr>
        <w:t xml:space="preserve"> </w:t>
      </w:r>
      <w:r>
        <w:rPr>
          <w:rFonts w:ascii="Times New Roman" w:hAnsi="Times New Roman"/>
          <w:sz w:val="24"/>
        </w:rPr>
        <w:t>dalších</w:t>
      </w:r>
      <w:r>
        <w:rPr>
          <w:rFonts w:ascii="Times New Roman" w:hAnsi="Times New Roman"/>
          <w:spacing w:val="-10"/>
          <w:sz w:val="24"/>
        </w:rPr>
        <w:t xml:space="preserve"> </w:t>
      </w:r>
      <w:r>
        <w:rPr>
          <w:rFonts w:ascii="Times New Roman" w:hAnsi="Times New Roman"/>
          <w:sz w:val="24"/>
        </w:rPr>
        <w:t>pojišťovacích</w:t>
      </w:r>
      <w:r>
        <w:rPr>
          <w:rFonts w:ascii="Times New Roman" w:hAnsi="Times New Roman"/>
          <w:spacing w:val="-10"/>
          <w:sz w:val="24"/>
        </w:rPr>
        <w:t xml:space="preserve"> </w:t>
      </w:r>
      <w:r>
        <w:rPr>
          <w:rFonts w:ascii="Times New Roman" w:hAnsi="Times New Roman"/>
          <w:sz w:val="24"/>
        </w:rPr>
        <w:t>služeb</w:t>
      </w:r>
      <w:r>
        <w:rPr>
          <w:rFonts w:ascii="Times New Roman" w:hAnsi="Times New Roman"/>
          <w:spacing w:val="-9"/>
          <w:sz w:val="24"/>
        </w:rPr>
        <w:t xml:space="preserve"> </w:t>
      </w:r>
      <w:r>
        <w:rPr>
          <w:rFonts w:ascii="Times New Roman" w:hAnsi="Times New Roman"/>
          <w:sz w:val="24"/>
        </w:rPr>
        <w:t>dle</w:t>
      </w:r>
      <w:r>
        <w:rPr>
          <w:rFonts w:ascii="Times New Roman" w:hAnsi="Times New Roman"/>
          <w:spacing w:val="-11"/>
          <w:sz w:val="24"/>
        </w:rPr>
        <w:t xml:space="preserve"> </w:t>
      </w:r>
      <w:r>
        <w:rPr>
          <w:rFonts w:ascii="Times New Roman" w:hAnsi="Times New Roman"/>
          <w:sz w:val="24"/>
        </w:rPr>
        <w:t>této</w:t>
      </w:r>
      <w:r>
        <w:rPr>
          <w:rFonts w:ascii="Times New Roman" w:hAnsi="Times New Roman"/>
          <w:spacing w:val="-10"/>
          <w:sz w:val="24"/>
        </w:rPr>
        <w:t xml:space="preserve"> </w:t>
      </w:r>
      <w:r>
        <w:rPr>
          <w:rFonts w:ascii="Times New Roman" w:hAnsi="Times New Roman"/>
          <w:sz w:val="24"/>
        </w:rPr>
        <w:t>pojistné smlouvy (změna v souboru pojištěných motorových vozidel, nebo změna skladby pojištění v rámci souboru).</w:t>
      </w:r>
    </w:p>
    <w:p w14:paraId="4799D11C" w14:textId="77777777" w:rsidR="00F65BCA" w:rsidRDefault="00216117">
      <w:pPr>
        <w:pStyle w:val="Odstavecseseznamem"/>
        <w:numPr>
          <w:ilvl w:val="1"/>
          <w:numId w:val="155"/>
        </w:numPr>
        <w:tabs>
          <w:tab w:val="left" w:pos="823"/>
        </w:tabs>
        <w:ind w:right="106" w:firstLine="0"/>
        <w:jc w:val="both"/>
        <w:rPr>
          <w:rFonts w:ascii="Times New Roman" w:hAnsi="Times New Roman"/>
          <w:sz w:val="24"/>
        </w:rPr>
      </w:pPr>
      <w:r>
        <w:rPr>
          <w:rFonts w:ascii="Times New Roman" w:hAnsi="Times New Roman"/>
          <w:sz w:val="24"/>
        </w:rPr>
        <w:t>Pojistná smlouva se uzavírá na dobu 3 (tří) let, přičemž pojistné období se sjednává na dobu     1 (jednoho) kalendářního roku. Ze strany Pojistitele je možné pojistnou smlouvu vypovědět pouze ke konci každého ročního pojistného období, tedy vždy až po uplynutí 12 (dvanácti) měsíců. Výpověď musí být doručena Pojistníkovi nejpozději 6 (šest) měsíců přede dnem, ve kterém uplyne pojistné období.</w:t>
      </w:r>
      <w:r>
        <w:rPr>
          <w:rFonts w:ascii="Times New Roman" w:hAnsi="Times New Roman"/>
          <w:spacing w:val="-6"/>
          <w:sz w:val="24"/>
        </w:rPr>
        <w:t xml:space="preserve"> </w:t>
      </w:r>
      <w:r>
        <w:rPr>
          <w:rFonts w:ascii="Times New Roman" w:hAnsi="Times New Roman"/>
          <w:sz w:val="24"/>
        </w:rPr>
        <w:t>Pojistník</w:t>
      </w:r>
      <w:r>
        <w:rPr>
          <w:rFonts w:ascii="Times New Roman" w:hAnsi="Times New Roman"/>
          <w:spacing w:val="-6"/>
          <w:sz w:val="24"/>
        </w:rPr>
        <w:t xml:space="preserve"> </w:t>
      </w:r>
      <w:r>
        <w:rPr>
          <w:rFonts w:ascii="Times New Roman" w:hAnsi="Times New Roman"/>
          <w:sz w:val="24"/>
        </w:rPr>
        <w:t>má</w:t>
      </w:r>
      <w:r>
        <w:rPr>
          <w:rFonts w:ascii="Times New Roman" w:hAnsi="Times New Roman"/>
          <w:spacing w:val="-6"/>
          <w:sz w:val="24"/>
        </w:rPr>
        <w:t xml:space="preserve"> </w:t>
      </w:r>
      <w:r>
        <w:rPr>
          <w:rFonts w:ascii="Times New Roman" w:hAnsi="Times New Roman"/>
          <w:sz w:val="24"/>
        </w:rPr>
        <w:t>právo</w:t>
      </w:r>
      <w:r>
        <w:rPr>
          <w:rFonts w:ascii="Times New Roman" w:hAnsi="Times New Roman"/>
          <w:spacing w:val="-6"/>
          <w:sz w:val="24"/>
        </w:rPr>
        <w:t xml:space="preserve"> </w:t>
      </w:r>
      <w:r>
        <w:rPr>
          <w:rFonts w:ascii="Times New Roman" w:hAnsi="Times New Roman"/>
          <w:sz w:val="24"/>
        </w:rPr>
        <w:t>pojistnou</w:t>
      </w:r>
      <w:r>
        <w:rPr>
          <w:rFonts w:ascii="Times New Roman" w:hAnsi="Times New Roman"/>
          <w:spacing w:val="-5"/>
          <w:sz w:val="24"/>
        </w:rPr>
        <w:t xml:space="preserve"> </w:t>
      </w:r>
      <w:r>
        <w:rPr>
          <w:rFonts w:ascii="Times New Roman" w:hAnsi="Times New Roman"/>
          <w:sz w:val="24"/>
        </w:rPr>
        <w:t>smlouvu</w:t>
      </w:r>
      <w:r>
        <w:rPr>
          <w:rFonts w:ascii="Times New Roman" w:hAnsi="Times New Roman"/>
          <w:spacing w:val="-6"/>
          <w:sz w:val="24"/>
        </w:rPr>
        <w:t xml:space="preserve"> </w:t>
      </w:r>
      <w:r>
        <w:rPr>
          <w:rFonts w:ascii="Times New Roman" w:hAnsi="Times New Roman"/>
          <w:sz w:val="24"/>
        </w:rPr>
        <w:t>vypovědět</w:t>
      </w:r>
      <w:r>
        <w:rPr>
          <w:rFonts w:ascii="Times New Roman" w:hAnsi="Times New Roman"/>
          <w:spacing w:val="-5"/>
          <w:sz w:val="24"/>
        </w:rPr>
        <w:t xml:space="preserve"> </w:t>
      </w:r>
      <w:r>
        <w:rPr>
          <w:rFonts w:ascii="Times New Roman" w:hAnsi="Times New Roman"/>
          <w:sz w:val="24"/>
        </w:rPr>
        <w:t>kdykoliv,</w:t>
      </w:r>
      <w:r>
        <w:rPr>
          <w:rFonts w:ascii="Times New Roman" w:hAnsi="Times New Roman"/>
          <w:spacing w:val="-6"/>
          <w:sz w:val="24"/>
        </w:rPr>
        <w:t xml:space="preserve"> </w:t>
      </w:r>
      <w:r>
        <w:rPr>
          <w:rFonts w:ascii="Times New Roman" w:hAnsi="Times New Roman"/>
          <w:sz w:val="24"/>
        </w:rPr>
        <w:t>pokud k</w:t>
      </w:r>
      <w:r>
        <w:rPr>
          <w:rFonts w:ascii="Times New Roman" w:hAnsi="Times New Roman"/>
          <w:spacing w:val="-6"/>
          <w:sz w:val="24"/>
        </w:rPr>
        <w:t xml:space="preserve"> </w:t>
      </w:r>
      <w:r>
        <w:rPr>
          <w:rFonts w:ascii="Times New Roman" w:hAnsi="Times New Roman"/>
          <w:sz w:val="24"/>
        </w:rPr>
        <w:t>její</w:t>
      </w:r>
      <w:r>
        <w:rPr>
          <w:rFonts w:ascii="Times New Roman" w:hAnsi="Times New Roman"/>
          <w:spacing w:val="-5"/>
          <w:sz w:val="24"/>
        </w:rPr>
        <w:t xml:space="preserve"> </w:t>
      </w:r>
      <w:r>
        <w:rPr>
          <w:rFonts w:ascii="Times New Roman" w:hAnsi="Times New Roman"/>
          <w:sz w:val="24"/>
        </w:rPr>
        <w:t>výpovědi</w:t>
      </w:r>
      <w:r>
        <w:rPr>
          <w:rFonts w:ascii="Times New Roman" w:hAnsi="Times New Roman"/>
          <w:spacing w:val="-6"/>
          <w:sz w:val="24"/>
        </w:rPr>
        <w:t xml:space="preserve"> </w:t>
      </w:r>
      <w:r>
        <w:rPr>
          <w:rFonts w:ascii="Times New Roman" w:hAnsi="Times New Roman"/>
          <w:sz w:val="24"/>
        </w:rPr>
        <w:t>budou</w:t>
      </w:r>
      <w:r>
        <w:rPr>
          <w:rFonts w:ascii="Times New Roman" w:hAnsi="Times New Roman"/>
          <w:spacing w:val="-4"/>
          <w:sz w:val="24"/>
        </w:rPr>
        <w:t xml:space="preserve"> </w:t>
      </w:r>
      <w:r>
        <w:rPr>
          <w:rFonts w:ascii="Times New Roman" w:hAnsi="Times New Roman"/>
          <w:sz w:val="24"/>
        </w:rPr>
        <w:t>dány zákonné nebo smluvní výpovědní důvody. Smluvními výpovědními důvody, pro které může být smlouva vypovězena, jsou zejména opakovaná porušení smlouvy a smluvních podmínek ze strany Pojistitele. Výpovědní lhůta (v případě výpovědi ze strany Pojistníka) činí minimálně 3 (tři)</w:t>
      </w:r>
      <w:r>
        <w:rPr>
          <w:rFonts w:ascii="Times New Roman" w:hAnsi="Times New Roman"/>
          <w:spacing w:val="-21"/>
          <w:sz w:val="24"/>
        </w:rPr>
        <w:t xml:space="preserve"> </w:t>
      </w:r>
      <w:r>
        <w:rPr>
          <w:rFonts w:ascii="Times New Roman" w:hAnsi="Times New Roman"/>
          <w:sz w:val="24"/>
        </w:rPr>
        <w:t>měsíce</w:t>
      </w:r>
    </w:p>
    <w:p w14:paraId="72F80944" w14:textId="77777777" w:rsidR="00F65BCA" w:rsidRDefault="00216117">
      <w:pPr>
        <w:ind w:left="258" w:right="105"/>
        <w:jc w:val="both"/>
        <w:rPr>
          <w:rFonts w:ascii="Times New Roman" w:hAnsi="Times New Roman"/>
          <w:sz w:val="24"/>
        </w:rPr>
      </w:pPr>
      <w:r>
        <w:rPr>
          <w:rFonts w:ascii="Times New Roman" w:hAnsi="Times New Roman"/>
          <w:sz w:val="24"/>
        </w:rPr>
        <w:t>a začíná běžet první den následujícího kalendářního měsíce po doručení výpovědi Pojistiteli. Obě smluvní strany vylučují aplikaci výpovědi pojistné smlouvy dle ust. § 2805 zákona č. 89/2012 Sb., občanský zákoník. Pojistník může odstoupit od smlouvy z důvodů závažného porušení smluvní povinnosti stanovené v jednotlivých smlouvách nebo z důvodů stanovených v zákoně. Pojistitel</w:t>
      </w:r>
      <w:r>
        <w:rPr>
          <w:rFonts w:ascii="Times New Roman" w:hAnsi="Times New Roman"/>
          <w:spacing w:val="-22"/>
          <w:sz w:val="24"/>
        </w:rPr>
        <w:t xml:space="preserve"> </w:t>
      </w:r>
      <w:r>
        <w:rPr>
          <w:rFonts w:ascii="Times New Roman" w:hAnsi="Times New Roman"/>
          <w:sz w:val="24"/>
        </w:rPr>
        <w:t>může odstoupit od smlouvy pouze z důvodů stanovených v</w:t>
      </w:r>
      <w:r>
        <w:rPr>
          <w:rFonts w:ascii="Times New Roman" w:hAnsi="Times New Roman"/>
          <w:spacing w:val="-3"/>
          <w:sz w:val="24"/>
        </w:rPr>
        <w:t xml:space="preserve"> </w:t>
      </w:r>
      <w:r>
        <w:rPr>
          <w:rFonts w:ascii="Times New Roman" w:hAnsi="Times New Roman"/>
          <w:sz w:val="24"/>
        </w:rPr>
        <w:t>zákoně.</w:t>
      </w:r>
    </w:p>
    <w:p w14:paraId="30887DB3" w14:textId="77777777" w:rsidR="00F65BCA" w:rsidRDefault="00F65BCA">
      <w:pPr>
        <w:pStyle w:val="Zkladntext"/>
        <w:rPr>
          <w:rFonts w:ascii="Times New Roman"/>
          <w:sz w:val="20"/>
        </w:rPr>
      </w:pPr>
    </w:p>
    <w:p w14:paraId="7F4B0993" w14:textId="77777777" w:rsidR="00F65BCA" w:rsidRDefault="00F65BCA">
      <w:pPr>
        <w:pStyle w:val="Zkladntext"/>
        <w:spacing w:before="2"/>
        <w:rPr>
          <w:rFonts w:ascii="Times New Roman"/>
          <w:sz w:val="22"/>
        </w:rPr>
      </w:pPr>
    </w:p>
    <w:p w14:paraId="7CBB4C87" w14:textId="77777777" w:rsidR="00F65BCA" w:rsidRDefault="00216117">
      <w:pPr>
        <w:spacing w:before="95"/>
        <w:ind w:left="147"/>
        <w:jc w:val="center"/>
        <w:rPr>
          <w:sz w:val="16"/>
        </w:rPr>
      </w:pPr>
      <w:r>
        <w:rPr>
          <w:sz w:val="16"/>
        </w:rPr>
        <w:t>9</w:t>
      </w:r>
    </w:p>
    <w:p w14:paraId="3873C843" w14:textId="77777777" w:rsidR="00F65BCA" w:rsidRDefault="00F65BCA">
      <w:pPr>
        <w:jc w:val="center"/>
        <w:rPr>
          <w:sz w:val="16"/>
        </w:rPr>
        <w:sectPr w:rsidR="00F65BCA">
          <w:pgSz w:w="11900" w:h="16840"/>
          <w:pgMar w:top="1220" w:right="600" w:bottom="280" w:left="1160" w:header="708" w:footer="708" w:gutter="0"/>
          <w:cols w:space="708"/>
        </w:sectPr>
      </w:pPr>
    </w:p>
    <w:p w14:paraId="4CD67780" w14:textId="77777777" w:rsidR="00F65BCA" w:rsidRDefault="00216117">
      <w:pPr>
        <w:pStyle w:val="Odstavecseseznamem"/>
        <w:numPr>
          <w:ilvl w:val="0"/>
          <w:numId w:val="155"/>
        </w:numPr>
        <w:tabs>
          <w:tab w:val="left" w:pos="858"/>
          <w:tab w:val="left" w:pos="859"/>
        </w:tabs>
        <w:spacing w:before="75"/>
        <w:ind w:left="858" w:hanging="601"/>
        <w:rPr>
          <w:rFonts w:ascii="Times New Roman" w:hAnsi="Times New Roman"/>
          <w:b/>
          <w:sz w:val="24"/>
        </w:rPr>
      </w:pPr>
      <w:r>
        <w:rPr>
          <w:rFonts w:ascii="Times New Roman" w:hAnsi="Times New Roman"/>
          <w:b/>
          <w:sz w:val="24"/>
        </w:rPr>
        <w:lastRenderedPageBreak/>
        <w:t>Přílohy</w:t>
      </w:r>
    </w:p>
    <w:p w14:paraId="5AB33613" w14:textId="77777777" w:rsidR="00F65BCA" w:rsidRDefault="00216117">
      <w:pPr>
        <w:ind w:left="258"/>
        <w:rPr>
          <w:rFonts w:ascii="Times New Roman" w:hAnsi="Times New Roman"/>
          <w:sz w:val="24"/>
        </w:rPr>
      </w:pPr>
      <w:r>
        <w:rPr>
          <w:rFonts w:ascii="Times New Roman" w:hAnsi="Times New Roman"/>
          <w:sz w:val="24"/>
        </w:rPr>
        <w:t>Nedílnou součástí této pojistné smlouvy jsou následující přílohy:</w:t>
      </w:r>
    </w:p>
    <w:p w14:paraId="282E692B" w14:textId="77777777" w:rsidR="00F65BCA" w:rsidRDefault="00216117">
      <w:pPr>
        <w:pStyle w:val="Odstavecseseznamem"/>
        <w:numPr>
          <w:ilvl w:val="0"/>
          <w:numId w:val="151"/>
        </w:numPr>
        <w:tabs>
          <w:tab w:val="left" w:pos="825"/>
        </w:tabs>
        <w:rPr>
          <w:rFonts w:ascii="Times New Roman" w:hAnsi="Times New Roman"/>
          <w:sz w:val="24"/>
        </w:rPr>
      </w:pPr>
      <w:r>
        <w:rPr>
          <w:rFonts w:ascii="Times New Roman" w:hAnsi="Times New Roman"/>
          <w:sz w:val="24"/>
        </w:rPr>
        <w:t>Seznam vozidel – Příloha č.</w:t>
      </w:r>
      <w:r>
        <w:rPr>
          <w:rFonts w:ascii="Times New Roman" w:hAnsi="Times New Roman"/>
          <w:spacing w:val="-2"/>
          <w:sz w:val="24"/>
        </w:rPr>
        <w:t xml:space="preserve"> </w:t>
      </w:r>
      <w:r>
        <w:rPr>
          <w:rFonts w:ascii="Times New Roman" w:hAnsi="Times New Roman"/>
          <w:sz w:val="24"/>
        </w:rPr>
        <w:t>1</w:t>
      </w:r>
    </w:p>
    <w:p w14:paraId="1785708A" w14:textId="77777777" w:rsidR="00F65BCA" w:rsidRDefault="00216117">
      <w:pPr>
        <w:pStyle w:val="Odstavecseseznamem"/>
        <w:numPr>
          <w:ilvl w:val="0"/>
          <w:numId w:val="151"/>
        </w:numPr>
        <w:tabs>
          <w:tab w:val="left" w:pos="825"/>
        </w:tabs>
        <w:rPr>
          <w:rFonts w:ascii="Times New Roman" w:hAnsi="Times New Roman"/>
          <w:sz w:val="24"/>
        </w:rPr>
      </w:pPr>
      <w:r>
        <w:rPr>
          <w:rFonts w:ascii="Times New Roman" w:hAnsi="Times New Roman"/>
          <w:sz w:val="24"/>
        </w:rPr>
        <w:t>Sazebník – Příloha č.</w:t>
      </w:r>
      <w:r>
        <w:rPr>
          <w:rFonts w:ascii="Times New Roman" w:hAnsi="Times New Roman"/>
          <w:spacing w:val="-2"/>
          <w:sz w:val="24"/>
        </w:rPr>
        <w:t xml:space="preserve"> </w:t>
      </w:r>
      <w:r>
        <w:rPr>
          <w:rFonts w:ascii="Times New Roman" w:hAnsi="Times New Roman"/>
          <w:sz w:val="24"/>
        </w:rPr>
        <w:t>2</w:t>
      </w:r>
    </w:p>
    <w:p w14:paraId="753B1068" w14:textId="77777777" w:rsidR="00F65BCA" w:rsidRDefault="00216117">
      <w:pPr>
        <w:pStyle w:val="Odstavecseseznamem"/>
        <w:numPr>
          <w:ilvl w:val="0"/>
          <w:numId w:val="151"/>
        </w:numPr>
        <w:tabs>
          <w:tab w:val="left" w:pos="825"/>
        </w:tabs>
        <w:rPr>
          <w:rFonts w:ascii="Times New Roman" w:hAnsi="Times New Roman"/>
          <w:sz w:val="24"/>
        </w:rPr>
      </w:pPr>
      <w:r>
        <w:rPr>
          <w:rFonts w:ascii="Times New Roman" w:hAnsi="Times New Roman"/>
          <w:sz w:val="24"/>
        </w:rPr>
        <w:t>Rekapitulace pojistného – Příloha č.</w:t>
      </w:r>
      <w:r>
        <w:rPr>
          <w:rFonts w:ascii="Times New Roman" w:hAnsi="Times New Roman"/>
          <w:spacing w:val="-1"/>
          <w:sz w:val="24"/>
        </w:rPr>
        <w:t xml:space="preserve"> </w:t>
      </w:r>
      <w:r>
        <w:rPr>
          <w:rFonts w:ascii="Times New Roman" w:hAnsi="Times New Roman"/>
          <w:sz w:val="24"/>
        </w:rPr>
        <w:t>3</w:t>
      </w:r>
    </w:p>
    <w:p w14:paraId="75F16169" w14:textId="77777777" w:rsidR="00F65BCA" w:rsidRDefault="00216117">
      <w:pPr>
        <w:pStyle w:val="Odstavecseseznamem"/>
        <w:numPr>
          <w:ilvl w:val="0"/>
          <w:numId w:val="151"/>
        </w:numPr>
        <w:tabs>
          <w:tab w:val="left" w:pos="825"/>
        </w:tabs>
        <w:rPr>
          <w:rFonts w:ascii="Times New Roman" w:hAnsi="Times New Roman"/>
          <w:sz w:val="24"/>
        </w:rPr>
      </w:pPr>
      <w:r>
        <w:rPr>
          <w:rFonts w:ascii="Times New Roman" w:hAnsi="Times New Roman"/>
          <w:sz w:val="24"/>
        </w:rPr>
        <w:t>Soubor pojistných podmínek – Příloha č.</w:t>
      </w:r>
      <w:r>
        <w:rPr>
          <w:rFonts w:ascii="Times New Roman" w:hAnsi="Times New Roman"/>
          <w:spacing w:val="-3"/>
          <w:sz w:val="24"/>
        </w:rPr>
        <w:t xml:space="preserve"> </w:t>
      </w:r>
      <w:r>
        <w:rPr>
          <w:rFonts w:ascii="Times New Roman" w:hAnsi="Times New Roman"/>
          <w:sz w:val="24"/>
        </w:rPr>
        <w:t>4</w:t>
      </w:r>
    </w:p>
    <w:p w14:paraId="4832EE42" w14:textId="77777777" w:rsidR="00F65BCA" w:rsidRDefault="00216117">
      <w:pPr>
        <w:pStyle w:val="Odstavecseseznamem"/>
        <w:numPr>
          <w:ilvl w:val="0"/>
          <w:numId w:val="151"/>
        </w:numPr>
        <w:tabs>
          <w:tab w:val="left" w:pos="825"/>
        </w:tabs>
        <w:rPr>
          <w:rFonts w:ascii="Times New Roman" w:hAnsi="Times New Roman"/>
          <w:sz w:val="24"/>
        </w:rPr>
      </w:pPr>
      <w:r>
        <w:rPr>
          <w:rFonts w:ascii="Times New Roman" w:hAnsi="Times New Roman"/>
          <w:sz w:val="24"/>
        </w:rPr>
        <w:t>Zadávací dokumentace vč. technických podmínek pro poskytování služeb – Příloha č.</w:t>
      </w:r>
      <w:r>
        <w:rPr>
          <w:rFonts w:ascii="Times New Roman" w:hAnsi="Times New Roman"/>
          <w:spacing w:val="-5"/>
          <w:sz w:val="24"/>
        </w:rPr>
        <w:t xml:space="preserve"> </w:t>
      </w:r>
      <w:r>
        <w:rPr>
          <w:rFonts w:ascii="Times New Roman" w:hAnsi="Times New Roman"/>
          <w:sz w:val="24"/>
        </w:rPr>
        <w:t>5</w:t>
      </w:r>
    </w:p>
    <w:p w14:paraId="64EB3038" w14:textId="77777777" w:rsidR="00F65BCA" w:rsidRDefault="00F65BCA">
      <w:pPr>
        <w:pStyle w:val="Zkladntext"/>
        <w:rPr>
          <w:rFonts w:ascii="Times New Roman"/>
          <w:sz w:val="26"/>
        </w:rPr>
      </w:pPr>
    </w:p>
    <w:p w14:paraId="2DA5B0CF" w14:textId="77777777" w:rsidR="00F65BCA" w:rsidRDefault="00F65BCA">
      <w:pPr>
        <w:pStyle w:val="Zkladntext"/>
        <w:rPr>
          <w:rFonts w:ascii="Times New Roman"/>
          <w:sz w:val="26"/>
        </w:rPr>
      </w:pPr>
    </w:p>
    <w:p w14:paraId="487CAE38" w14:textId="77777777" w:rsidR="00F65BCA" w:rsidRDefault="00216117">
      <w:pPr>
        <w:pStyle w:val="Odstavecseseznamem"/>
        <w:numPr>
          <w:ilvl w:val="0"/>
          <w:numId w:val="155"/>
        </w:numPr>
        <w:tabs>
          <w:tab w:val="left" w:pos="739"/>
        </w:tabs>
        <w:spacing w:before="230"/>
        <w:ind w:left="738" w:hanging="481"/>
        <w:jc w:val="both"/>
        <w:rPr>
          <w:rFonts w:ascii="Times New Roman" w:hAnsi="Times New Roman"/>
          <w:b/>
          <w:sz w:val="24"/>
        </w:rPr>
      </w:pPr>
      <w:r>
        <w:rPr>
          <w:rFonts w:ascii="Times New Roman" w:hAnsi="Times New Roman"/>
          <w:b/>
          <w:sz w:val="24"/>
        </w:rPr>
        <w:t>Závěrečná prohlášení</w:t>
      </w:r>
      <w:r>
        <w:rPr>
          <w:rFonts w:ascii="Times New Roman" w:hAnsi="Times New Roman"/>
          <w:b/>
          <w:spacing w:val="-1"/>
          <w:sz w:val="24"/>
        </w:rPr>
        <w:t xml:space="preserve"> </w:t>
      </w:r>
      <w:r>
        <w:rPr>
          <w:rFonts w:ascii="Times New Roman" w:hAnsi="Times New Roman"/>
          <w:b/>
          <w:sz w:val="24"/>
        </w:rPr>
        <w:t>Pojistníka</w:t>
      </w:r>
    </w:p>
    <w:p w14:paraId="72347CF2" w14:textId="77777777" w:rsidR="00F65BCA" w:rsidRDefault="00216117">
      <w:pPr>
        <w:ind w:left="258"/>
        <w:jc w:val="both"/>
        <w:rPr>
          <w:rFonts w:ascii="Times New Roman" w:hAnsi="Times New Roman"/>
          <w:sz w:val="24"/>
        </w:rPr>
      </w:pPr>
      <w:r>
        <w:rPr>
          <w:rFonts w:ascii="Times New Roman" w:hAnsi="Times New Roman"/>
          <w:sz w:val="24"/>
        </w:rPr>
        <w:t>Pojistník svým podpisem stvrzuje, že</w:t>
      </w:r>
    </w:p>
    <w:p w14:paraId="62AA519D" w14:textId="77777777" w:rsidR="00F65BCA" w:rsidRDefault="00216117">
      <w:pPr>
        <w:pStyle w:val="Odstavecseseznamem"/>
        <w:numPr>
          <w:ilvl w:val="0"/>
          <w:numId w:val="150"/>
        </w:numPr>
        <w:tabs>
          <w:tab w:val="left" w:pos="979"/>
        </w:tabs>
        <w:ind w:left="978" w:hanging="580"/>
        <w:jc w:val="both"/>
        <w:rPr>
          <w:rFonts w:ascii="Times New Roman" w:hAnsi="Times New Roman"/>
          <w:sz w:val="24"/>
        </w:rPr>
      </w:pPr>
      <w:r>
        <w:rPr>
          <w:rFonts w:ascii="Times New Roman" w:hAnsi="Times New Roman"/>
          <w:sz w:val="24"/>
        </w:rPr>
        <w:t>uvedl všechny údaje uvedené v této pojistné smlouvě i záznamu z jednání</w:t>
      </w:r>
      <w:r>
        <w:rPr>
          <w:rFonts w:ascii="Times New Roman" w:hAnsi="Times New Roman"/>
          <w:spacing w:val="-10"/>
          <w:sz w:val="24"/>
        </w:rPr>
        <w:t xml:space="preserve"> </w:t>
      </w:r>
      <w:r>
        <w:rPr>
          <w:rFonts w:ascii="Times New Roman" w:hAnsi="Times New Roman"/>
          <w:sz w:val="24"/>
        </w:rPr>
        <w:t>pravdivě;</w:t>
      </w:r>
    </w:p>
    <w:p w14:paraId="3B09DE0F" w14:textId="77777777" w:rsidR="00F65BCA" w:rsidRDefault="00216117">
      <w:pPr>
        <w:pStyle w:val="Odstavecseseznamem"/>
        <w:numPr>
          <w:ilvl w:val="0"/>
          <w:numId w:val="150"/>
        </w:numPr>
        <w:tabs>
          <w:tab w:val="left" w:pos="979"/>
        </w:tabs>
        <w:ind w:left="978" w:hanging="580"/>
        <w:jc w:val="both"/>
        <w:rPr>
          <w:rFonts w:ascii="Times New Roman" w:hAnsi="Times New Roman"/>
          <w:sz w:val="24"/>
        </w:rPr>
      </w:pPr>
      <w:r>
        <w:rPr>
          <w:rFonts w:ascii="Times New Roman" w:hAnsi="Times New Roman"/>
          <w:sz w:val="24"/>
        </w:rPr>
        <w:t>veškerá jeho prohlášení v této pojistné smlouvě i záznamu z jednání uvedená jsou</w:t>
      </w:r>
      <w:r>
        <w:rPr>
          <w:rFonts w:ascii="Times New Roman" w:hAnsi="Times New Roman"/>
          <w:spacing w:val="-14"/>
          <w:sz w:val="24"/>
        </w:rPr>
        <w:t xml:space="preserve"> </w:t>
      </w:r>
      <w:r>
        <w:rPr>
          <w:rFonts w:ascii="Times New Roman" w:hAnsi="Times New Roman"/>
          <w:sz w:val="24"/>
        </w:rPr>
        <w:t>pravdivá;</w:t>
      </w:r>
    </w:p>
    <w:p w14:paraId="0498C01E" w14:textId="77777777" w:rsidR="00F65BCA" w:rsidRDefault="00216117">
      <w:pPr>
        <w:pStyle w:val="Odstavecseseznamem"/>
        <w:numPr>
          <w:ilvl w:val="0"/>
          <w:numId w:val="150"/>
        </w:numPr>
        <w:tabs>
          <w:tab w:val="left" w:pos="979"/>
        </w:tabs>
        <w:ind w:left="399" w:right="107" w:firstLine="0"/>
        <w:jc w:val="both"/>
        <w:rPr>
          <w:rFonts w:ascii="Times New Roman" w:hAnsi="Times New Roman"/>
          <w:sz w:val="24"/>
        </w:rPr>
      </w:pPr>
      <w:r>
        <w:rPr>
          <w:rFonts w:ascii="Times New Roman" w:hAnsi="Times New Roman"/>
          <w:sz w:val="24"/>
        </w:rPr>
        <w:t>byl seznámen s podmínkami zpracování osobních a dalších (identifikačních, adresních, komunikačních)</w:t>
      </w:r>
      <w:r>
        <w:rPr>
          <w:rFonts w:ascii="Times New Roman" w:hAnsi="Times New Roman"/>
          <w:spacing w:val="-13"/>
          <w:sz w:val="24"/>
        </w:rPr>
        <w:t xml:space="preserve"> </w:t>
      </w:r>
      <w:r>
        <w:rPr>
          <w:rFonts w:ascii="Times New Roman" w:hAnsi="Times New Roman"/>
          <w:sz w:val="24"/>
        </w:rPr>
        <w:t>údajů</w:t>
      </w:r>
      <w:r>
        <w:rPr>
          <w:rFonts w:ascii="Times New Roman" w:hAnsi="Times New Roman"/>
          <w:spacing w:val="-11"/>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s</w:t>
      </w:r>
      <w:r>
        <w:rPr>
          <w:rFonts w:ascii="Times New Roman" w:hAnsi="Times New Roman"/>
          <w:spacing w:val="-8"/>
          <w:sz w:val="24"/>
        </w:rPr>
        <w:t xml:space="preserve"> </w:t>
      </w:r>
      <w:r>
        <w:rPr>
          <w:rFonts w:ascii="Times New Roman" w:hAnsi="Times New Roman"/>
          <w:sz w:val="24"/>
        </w:rPr>
        <w:t>jejich</w:t>
      </w:r>
      <w:r>
        <w:rPr>
          <w:rFonts w:ascii="Times New Roman" w:hAnsi="Times New Roman"/>
          <w:spacing w:val="-11"/>
          <w:sz w:val="24"/>
        </w:rPr>
        <w:t xml:space="preserve"> </w:t>
      </w:r>
      <w:r>
        <w:rPr>
          <w:rFonts w:ascii="Times New Roman" w:hAnsi="Times New Roman"/>
          <w:sz w:val="24"/>
        </w:rPr>
        <w:t>zpracováním</w:t>
      </w:r>
      <w:r>
        <w:rPr>
          <w:rFonts w:ascii="Times New Roman" w:hAnsi="Times New Roman"/>
          <w:spacing w:val="-12"/>
          <w:sz w:val="24"/>
        </w:rPr>
        <w:t xml:space="preserve"> </w:t>
      </w:r>
      <w:r>
        <w:rPr>
          <w:rFonts w:ascii="Times New Roman" w:hAnsi="Times New Roman"/>
          <w:sz w:val="24"/>
        </w:rPr>
        <w:t>vyslovuje</w:t>
      </w:r>
      <w:r>
        <w:rPr>
          <w:rFonts w:ascii="Times New Roman" w:hAnsi="Times New Roman"/>
          <w:spacing w:val="-12"/>
          <w:sz w:val="24"/>
        </w:rPr>
        <w:t xml:space="preserve"> </w:t>
      </w:r>
      <w:r>
        <w:rPr>
          <w:rFonts w:ascii="Times New Roman" w:hAnsi="Times New Roman"/>
          <w:sz w:val="24"/>
        </w:rPr>
        <w:t>souhlas,</w:t>
      </w:r>
      <w:r>
        <w:rPr>
          <w:rFonts w:ascii="Times New Roman" w:hAnsi="Times New Roman"/>
          <w:spacing w:val="-11"/>
          <w:sz w:val="24"/>
        </w:rPr>
        <w:t xml:space="preserve"> </w:t>
      </w:r>
      <w:r>
        <w:rPr>
          <w:rFonts w:ascii="Times New Roman" w:hAnsi="Times New Roman"/>
          <w:sz w:val="24"/>
        </w:rPr>
        <w:t>a</w:t>
      </w:r>
      <w:r>
        <w:rPr>
          <w:rFonts w:ascii="Times New Roman" w:hAnsi="Times New Roman"/>
          <w:spacing w:val="-10"/>
          <w:sz w:val="24"/>
        </w:rPr>
        <w:t xml:space="preserve"> </w:t>
      </w:r>
      <w:r>
        <w:rPr>
          <w:rFonts w:ascii="Times New Roman" w:hAnsi="Times New Roman"/>
          <w:sz w:val="24"/>
        </w:rPr>
        <w:t>to</w:t>
      </w:r>
      <w:r>
        <w:rPr>
          <w:rFonts w:ascii="Times New Roman" w:hAnsi="Times New Roman"/>
          <w:spacing w:val="-11"/>
          <w:sz w:val="24"/>
        </w:rPr>
        <w:t xml:space="preserve"> </w:t>
      </w:r>
      <w:r>
        <w:rPr>
          <w:rFonts w:ascii="Times New Roman" w:hAnsi="Times New Roman"/>
          <w:sz w:val="24"/>
        </w:rPr>
        <w:t>včetně</w:t>
      </w:r>
      <w:r>
        <w:rPr>
          <w:rFonts w:ascii="Times New Roman" w:hAnsi="Times New Roman"/>
          <w:spacing w:val="-11"/>
          <w:sz w:val="24"/>
        </w:rPr>
        <w:t xml:space="preserve"> </w:t>
      </w:r>
      <w:r>
        <w:rPr>
          <w:rFonts w:ascii="Times New Roman" w:hAnsi="Times New Roman"/>
          <w:sz w:val="24"/>
        </w:rPr>
        <w:t>zpracování</w:t>
      </w:r>
      <w:r>
        <w:rPr>
          <w:rFonts w:ascii="Times New Roman" w:hAnsi="Times New Roman"/>
          <w:spacing w:val="-11"/>
          <w:sz w:val="24"/>
        </w:rPr>
        <w:t xml:space="preserve"> </w:t>
      </w:r>
      <w:r>
        <w:rPr>
          <w:rFonts w:ascii="Times New Roman" w:hAnsi="Times New Roman"/>
          <w:sz w:val="24"/>
        </w:rPr>
        <w:t>pro</w:t>
      </w:r>
      <w:r>
        <w:rPr>
          <w:rFonts w:ascii="Times New Roman" w:hAnsi="Times New Roman"/>
          <w:spacing w:val="-9"/>
          <w:sz w:val="24"/>
        </w:rPr>
        <w:t xml:space="preserve"> </w:t>
      </w:r>
      <w:r>
        <w:rPr>
          <w:rFonts w:ascii="Times New Roman" w:hAnsi="Times New Roman"/>
          <w:sz w:val="24"/>
        </w:rPr>
        <w:t>obchodní a marketingové účely Pojišťovny a společností náležejících do mezinárodního koncernu Generali    a spolupracujících obchodních partnerů a vyslovuje s tím</w:t>
      </w:r>
      <w:r>
        <w:rPr>
          <w:rFonts w:ascii="Times New Roman" w:hAnsi="Times New Roman"/>
          <w:spacing w:val="-3"/>
          <w:sz w:val="24"/>
        </w:rPr>
        <w:t xml:space="preserve"> </w:t>
      </w:r>
      <w:r>
        <w:rPr>
          <w:rFonts w:ascii="Times New Roman" w:hAnsi="Times New Roman"/>
          <w:sz w:val="24"/>
        </w:rPr>
        <w:t>souhlas.</w:t>
      </w:r>
    </w:p>
    <w:p w14:paraId="730EEA21" w14:textId="77777777" w:rsidR="00F65BCA" w:rsidRDefault="00F65BCA">
      <w:pPr>
        <w:pStyle w:val="Zkladntext"/>
        <w:spacing w:before="4"/>
        <w:rPr>
          <w:rFonts w:ascii="Times New Roman"/>
          <w:sz w:val="24"/>
        </w:rPr>
      </w:pPr>
    </w:p>
    <w:p w14:paraId="1E38ECC6" w14:textId="77777777" w:rsidR="00F65BCA" w:rsidRDefault="00216117">
      <w:pPr>
        <w:pStyle w:val="Odstavecseseznamem"/>
        <w:numPr>
          <w:ilvl w:val="0"/>
          <w:numId w:val="149"/>
        </w:numPr>
        <w:tabs>
          <w:tab w:val="left" w:pos="978"/>
          <w:tab w:val="left" w:pos="979"/>
          <w:tab w:val="left" w:pos="2343"/>
          <w:tab w:val="left" w:pos="3841"/>
          <w:tab w:val="left" w:pos="4395"/>
          <w:tab w:val="left" w:pos="5708"/>
          <w:tab w:val="left" w:pos="6382"/>
          <w:tab w:val="left" w:pos="7311"/>
          <w:tab w:val="left" w:pos="7866"/>
          <w:tab w:val="left" w:pos="9042"/>
        </w:tabs>
        <w:spacing w:line="237" w:lineRule="auto"/>
        <w:ind w:right="112" w:firstLine="0"/>
        <w:rPr>
          <w:rFonts w:ascii="Times New Roman" w:hAnsi="Times New Roman"/>
          <w:sz w:val="24"/>
        </w:rPr>
      </w:pPr>
      <w:r>
        <w:rPr>
          <w:rFonts w:ascii="Times New Roman" w:hAnsi="Times New Roman"/>
          <w:sz w:val="24"/>
        </w:rPr>
        <w:t>zmocňuje</w:t>
      </w:r>
      <w:r>
        <w:rPr>
          <w:rFonts w:ascii="Times New Roman" w:hAnsi="Times New Roman"/>
          <w:sz w:val="24"/>
        </w:rPr>
        <w:tab/>
        <w:t>Pojišťovnu</w:t>
      </w:r>
      <w:r>
        <w:rPr>
          <w:rFonts w:ascii="Times New Roman" w:hAnsi="Times New Roman"/>
          <w:sz w:val="24"/>
        </w:rPr>
        <w:tab/>
        <w:t>k</w:t>
      </w:r>
      <w:r>
        <w:rPr>
          <w:rFonts w:ascii="Times New Roman" w:hAnsi="Times New Roman"/>
          <w:sz w:val="24"/>
        </w:rPr>
        <w:tab/>
        <w:t>nahlížení</w:t>
      </w:r>
      <w:r>
        <w:rPr>
          <w:rFonts w:ascii="Times New Roman" w:hAnsi="Times New Roman"/>
          <w:sz w:val="24"/>
        </w:rPr>
        <w:tab/>
        <w:t>do</w:t>
      </w:r>
      <w:r>
        <w:rPr>
          <w:rFonts w:ascii="Times New Roman" w:hAnsi="Times New Roman"/>
          <w:sz w:val="24"/>
        </w:rPr>
        <w:tab/>
        <w:t>spisů</w:t>
      </w:r>
      <w:r>
        <w:rPr>
          <w:rFonts w:ascii="Times New Roman" w:hAnsi="Times New Roman"/>
          <w:sz w:val="24"/>
        </w:rPr>
        <w:tab/>
        <w:t>v</w:t>
      </w:r>
      <w:r>
        <w:rPr>
          <w:rFonts w:ascii="Times New Roman" w:hAnsi="Times New Roman"/>
          <w:sz w:val="24"/>
        </w:rPr>
        <w:tab/>
        <w:t>rozsahu</w:t>
      </w:r>
      <w:r>
        <w:rPr>
          <w:rFonts w:ascii="Times New Roman" w:hAnsi="Times New Roman"/>
          <w:sz w:val="24"/>
        </w:rPr>
        <w:tab/>
      </w:r>
      <w:r>
        <w:rPr>
          <w:rFonts w:ascii="Times New Roman" w:hAnsi="Times New Roman"/>
          <w:spacing w:val="-4"/>
          <w:sz w:val="24"/>
        </w:rPr>
        <w:t xml:space="preserve">uvedeném </w:t>
      </w:r>
      <w:r>
        <w:rPr>
          <w:rFonts w:ascii="Times New Roman" w:hAnsi="Times New Roman"/>
          <w:sz w:val="24"/>
        </w:rPr>
        <w:t>ve VPPPMV–F–5/2025 čl. 11 odst.</w:t>
      </w:r>
      <w:r>
        <w:rPr>
          <w:rFonts w:ascii="Times New Roman" w:hAnsi="Times New Roman"/>
          <w:spacing w:val="-3"/>
          <w:sz w:val="24"/>
        </w:rPr>
        <w:t xml:space="preserve"> </w:t>
      </w:r>
      <w:r>
        <w:rPr>
          <w:rFonts w:ascii="Times New Roman" w:hAnsi="Times New Roman"/>
          <w:sz w:val="24"/>
        </w:rPr>
        <w:t>2</w:t>
      </w:r>
    </w:p>
    <w:p w14:paraId="08E03A48" w14:textId="77777777" w:rsidR="00F65BCA" w:rsidRDefault="00216117">
      <w:pPr>
        <w:pStyle w:val="Odstavecseseznamem"/>
        <w:numPr>
          <w:ilvl w:val="0"/>
          <w:numId w:val="149"/>
        </w:numPr>
        <w:tabs>
          <w:tab w:val="left" w:pos="978"/>
          <w:tab w:val="left" w:pos="979"/>
        </w:tabs>
        <w:spacing w:before="2"/>
        <w:ind w:right="112" w:firstLine="0"/>
        <w:rPr>
          <w:rFonts w:ascii="Times New Roman" w:hAnsi="Times New Roman"/>
          <w:sz w:val="24"/>
        </w:rPr>
      </w:pPr>
      <w:r>
        <w:rPr>
          <w:rFonts w:ascii="Times New Roman" w:hAnsi="Times New Roman"/>
          <w:sz w:val="24"/>
        </w:rPr>
        <w:t>souhlasí se zmocněním a zproštěním mlčenlivosti a se zpracováním, zproštěním a zmocnění  v rozsahu uvedeném ve VPPPMV–F–5/2025 čl. 11 odst. 1</w:t>
      </w:r>
    </w:p>
    <w:p w14:paraId="1D28812C" w14:textId="77777777" w:rsidR="00F65BCA" w:rsidRDefault="00216117">
      <w:pPr>
        <w:pStyle w:val="Odstavecseseznamem"/>
        <w:numPr>
          <w:ilvl w:val="0"/>
          <w:numId w:val="149"/>
        </w:numPr>
        <w:tabs>
          <w:tab w:val="left" w:pos="985"/>
          <w:tab w:val="left" w:pos="986"/>
        </w:tabs>
        <w:spacing w:before="2"/>
        <w:ind w:left="985" w:hanging="728"/>
        <w:rPr>
          <w:rFonts w:ascii="Times New Roman" w:hAnsi="Times New Roman"/>
          <w:sz w:val="24"/>
        </w:rPr>
      </w:pPr>
      <w:r>
        <w:rPr>
          <w:rFonts w:ascii="Times New Roman" w:hAnsi="Times New Roman"/>
          <w:sz w:val="24"/>
        </w:rPr>
        <w:t>má souhlas pojištěného / pojištěných uzavřít pojištění ve sjednaném</w:t>
      </w:r>
      <w:r>
        <w:rPr>
          <w:rFonts w:ascii="Times New Roman" w:hAnsi="Times New Roman"/>
          <w:spacing w:val="-6"/>
          <w:sz w:val="24"/>
        </w:rPr>
        <w:t xml:space="preserve"> </w:t>
      </w:r>
      <w:r>
        <w:rPr>
          <w:rFonts w:ascii="Times New Roman" w:hAnsi="Times New Roman"/>
          <w:sz w:val="24"/>
        </w:rPr>
        <w:t>rozsahu.</w:t>
      </w:r>
    </w:p>
    <w:p w14:paraId="35F0447C" w14:textId="77777777" w:rsidR="00F65BCA" w:rsidRDefault="00F65BCA">
      <w:pPr>
        <w:pStyle w:val="Zkladntext"/>
        <w:spacing w:before="8"/>
        <w:rPr>
          <w:rFonts w:ascii="Times New Roman"/>
          <w:sz w:val="23"/>
        </w:rPr>
      </w:pPr>
    </w:p>
    <w:p w14:paraId="5D80182B" w14:textId="77777777" w:rsidR="00F65BCA" w:rsidRDefault="00216117">
      <w:pPr>
        <w:spacing w:before="1"/>
        <w:ind w:left="258" w:right="107"/>
        <w:jc w:val="both"/>
        <w:rPr>
          <w:rFonts w:ascii="Times New Roman" w:hAnsi="Times New Roman"/>
          <w:sz w:val="24"/>
        </w:rPr>
      </w:pPr>
      <w:r>
        <w:rPr>
          <w:rFonts w:ascii="Times New Roman" w:hAnsi="Times New Roman"/>
          <w:sz w:val="24"/>
        </w:rPr>
        <w:t>Jako Pojistník dále potvrzuji, že jsem se před uzavřením pojistné smlouvy seznámil a před svým souhlasem převzal v listinné nebo jiné textové (např. na CD) či elektronické podobě zaslané na mou uvedenou e-mailovou adresu následující</w:t>
      </w:r>
      <w:r>
        <w:rPr>
          <w:rFonts w:ascii="Times New Roman" w:hAnsi="Times New Roman"/>
          <w:spacing w:val="-1"/>
          <w:sz w:val="24"/>
        </w:rPr>
        <w:t xml:space="preserve"> </w:t>
      </w:r>
      <w:r>
        <w:rPr>
          <w:rFonts w:ascii="Times New Roman" w:hAnsi="Times New Roman"/>
          <w:sz w:val="24"/>
        </w:rPr>
        <w:t>dokumenty:</w:t>
      </w:r>
    </w:p>
    <w:p w14:paraId="162C22A2" w14:textId="77777777" w:rsidR="00F65BCA" w:rsidRDefault="00216117">
      <w:pPr>
        <w:ind w:left="258"/>
        <w:jc w:val="both"/>
        <w:rPr>
          <w:rFonts w:ascii="Times New Roman" w:hAnsi="Times New Roman"/>
          <w:sz w:val="24"/>
        </w:rPr>
      </w:pPr>
      <w:r>
        <w:rPr>
          <w:rFonts w:ascii="Times New Roman" w:hAnsi="Times New Roman"/>
          <w:sz w:val="24"/>
        </w:rPr>
        <w:t>-      Předsmluvní informace verze</w:t>
      </w:r>
      <w:r>
        <w:rPr>
          <w:rFonts w:ascii="Times New Roman" w:hAnsi="Times New Roman"/>
          <w:spacing w:val="-11"/>
          <w:sz w:val="24"/>
        </w:rPr>
        <w:t xml:space="preserve"> </w:t>
      </w:r>
      <w:r>
        <w:rPr>
          <w:rFonts w:ascii="Times New Roman" w:hAnsi="Times New Roman"/>
          <w:sz w:val="24"/>
        </w:rPr>
        <w:t>PIPMV–F–5/2025</w:t>
      </w:r>
    </w:p>
    <w:p w14:paraId="363961BE" w14:textId="77777777" w:rsidR="00F65BCA" w:rsidRDefault="00216117">
      <w:pPr>
        <w:pStyle w:val="Odstavecseseznamem"/>
        <w:numPr>
          <w:ilvl w:val="0"/>
          <w:numId w:val="148"/>
        </w:numPr>
        <w:tabs>
          <w:tab w:val="left" w:pos="685"/>
          <w:tab w:val="left" w:pos="686"/>
        </w:tabs>
        <w:spacing w:before="1" w:line="277" w:lineRule="exact"/>
        <w:rPr>
          <w:rFonts w:ascii="Times New Roman" w:hAnsi="Times New Roman"/>
          <w:sz w:val="24"/>
        </w:rPr>
      </w:pPr>
      <w:r>
        <w:rPr>
          <w:rFonts w:ascii="Times New Roman" w:hAnsi="Times New Roman"/>
          <w:sz w:val="24"/>
        </w:rPr>
        <w:t>Pojistné podmínky verze VPPPMV–F–5/2025 (6.20.012 05.2025</w:t>
      </w:r>
      <w:r>
        <w:rPr>
          <w:rFonts w:ascii="Times New Roman" w:hAnsi="Times New Roman"/>
          <w:spacing w:val="-3"/>
          <w:sz w:val="24"/>
        </w:rPr>
        <w:t xml:space="preserve"> </w:t>
      </w:r>
      <w:r>
        <w:rPr>
          <w:rFonts w:ascii="Times New Roman" w:hAnsi="Times New Roman"/>
          <w:sz w:val="24"/>
        </w:rPr>
        <w:t>v04)</w:t>
      </w:r>
    </w:p>
    <w:p w14:paraId="5267750A" w14:textId="77777777" w:rsidR="00F65BCA" w:rsidRDefault="00216117">
      <w:pPr>
        <w:pStyle w:val="Odstavecseseznamem"/>
        <w:numPr>
          <w:ilvl w:val="0"/>
          <w:numId w:val="148"/>
        </w:numPr>
        <w:tabs>
          <w:tab w:val="left" w:pos="685"/>
          <w:tab w:val="left" w:pos="686"/>
        </w:tabs>
        <w:spacing w:line="277" w:lineRule="exact"/>
        <w:rPr>
          <w:rFonts w:ascii="Times New Roman" w:hAnsi="Times New Roman"/>
          <w:sz w:val="24"/>
        </w:rPr>
      </w:pPr>
      <w:r>
        <w:rPr>
          <w:rFonts w:ascii="Times New Roman" w:hAnsi="Times New Roman"/>
          <w:sz w:val="24"/>
        </w:rPr>
        <w:t>Oceňovací tabulky pro stanovení výše plnění z úrazového pojištění dopravovaných</w:t>
      </w:r>
      <w:r>
        <w:rPr>
          <w:rFonts w:ascii="Times New Roman" w:hAnsi="Times New Roman"/>
          <w:spacing w:val="-8"/>
          <w:sz w:val="24"/>
        </w:rPr>
        <w:t xml:space="preserve"> </w:t>
      </w:r>
      <w:r>
        <w:rPr>
          <w:rFonts w:ascii="Times New Roman" w:hAnsi="Times New Roman"/>
          <w:sz w:val="24"/>
        </w:rPr>
        <w:t>osob</w:t>
      </w:r>
    </w:p>
    <w:p w14:paraId="6601D141" w14:textId="77777777" w:rsidR="00F65BCA" w:rsidRDefault="00216117">
      <w:pPr>
        <w:pStyle w:val="Odstavecseseznamem"/>
        <w:numPr>
          <w:ilvl w:val="0"/>
          <w:numId w:val="148"/>
        </w:numPr>
        <w:tabs>
          <w:tab w:val="left" w:pos="685"/>
          <w:tab w:val="left" w:pos="686"/>
        </w:tabs>
        <w:spacing w:before="1"/>
        <w:rPr>
          <w:rFonts w:ascii="Times New Roman" w:hAnsi="Times New Roman"/>
          <w:sz w:val="24"/>
        </w:rPr>
      </w:pPr>
      <w:r>
        <w:rPr>
          <w:rFonts w:ascii="Times New Roman" w:hAnsi="Times New Roman"/>
          <w:sz w:val="24"/>
        </w:rPr>
        <w:t>Informační dokument o pojistném produktu</w:t>
      </w:r>
      <w:r>
        <w:rPr>
          <w:rFonts w:ascii="Times New Roman" w:hAnsi="Times New Roman"/>
          <w:spacing w:val="-2"/>
          <w:sz w:val="24"/>
        </w:rPr>
        <w:t xml:space="preserve"> </w:t>
      </w:r>
      <w:r>
        <w:rPr>
          <w:rFonts w:ascii="Times New Roman" w:hAnsi="Times New Roman"/>
          <w:sz w:val="24"/>
        </w:rPr>
        <w:t>IPIDPMV–F–5/2025.</w:t>
      </w:r>
    </w:p>
    <w:p w14:paraId="6EC59589" w14:textId="77777777" w:rsidR="00F65BCA" w:rsidRDefault="00F65BCA">
      <w:pPr>
        <w:pStyle w:val="Zkladntext"/>
        <w:spacing w:before="9"/>
        <w:rPr>
          <w:rFonts w:ascii="Times New Roman"/>
          <w:sz w:val="23"/>
        </w:rPr>
      </w:pPr>
    </w:p>
    <w:p w14:paraId="2D068A54" w14:textId="77777777" w:rsidR="00F65BCA" w:rsidRDefault="00216117">
      <w:pPr>
        <w:spacing w:before="1"/>
        <w:ind w:left="258" w:right="107"/>
        <w:jc w:val="both"/>
        <w:rPr>
          <w:rFonts w:ascii="Times New Roman" w:hAnsi="Times New Roman"/>
          <w:sz w:val="24"/>
        </w:rPr>
      </w:pPr>
      <w:r>
        <w:rPr>
          <w:rFonts w:ascii="Times New Roman" w:hAnsi="Times New Roman"/>
          <w:sz w:val="24"/>
        </w:rPr>
        <w:t>Pojistník, nebo některý z pojištěných splňuje v souvislosti s pojistným odvětvím uvedeným v části B bodu</w:t>
      </w:r>
      <w:r>
        <w:rPr>
          <w:rFonts w:ascii="Times New Roman" w:hAnsi="Times New Roman"/>
          <w:spacing w:val="-13"/>
          <w:sz w:val="24"/>
        </w:rPr>
        <w:t xml:space="preserve"> </w:t>
      </w:r>
      <w:r>
        <w:rPr>
          <w:rFonts w:ascii="Times New Roman" w:hAnsi="Times New Roman"/>
          <w:sz w:val="24"/>
        </w:rPr>
        <w:t>3,</w:t>
      </w:r>
      <w:r>
        <w:rPr>
          <w:rFonts w:ascii="Times New Roman" w:hAnsi="Times New Roman"/>
          <w:spacing w:val="-13"/>
          <w:sz w:val="24"/>
        </w:rPr>
        <w:t xml:space="preserve"> </w:t>
      </w:r>
      <w:r>
        <w:rPr>
          <w:rFonts w:ascii="Times New Roman" w:hAnsi="Times New Roman"/>
          <w:sz w:val="24"/>
        </w:rPr>
        <w:t>8,</w:t>
      </w:r>
      <w:r>
        <w:rPr>
          <w:rFonts w:ascii="Times New Roman" w:hAnsi="Times New Roman"/>
          <w:spacing w:val="-13"/>
          <w:sz w:val="24"/>
        </w:rPr>
        <w:t xml:space="preserve"> </w:t>
      </w:r>
      <w:r>
        <w:rPr>
          <w:rFonts w:ascii="Times New Roman" w:hAnsi="Times New Roman"/>
          <w:sz w:val="24"/>
        </w:rPr>
        <w:t>9,</w:t>
      </w:r>
      <w:r>
        <w:rPr>
          <w:rFonts w:ascii="Times New Roman" w:hAnsi="Times New Roman"/>
          <w:spacing w:val="-13"/>
          <w:sz w:val="24"/>
        </w:rPr>
        <w:t xml:space="preserve"> </w:t>
      </w:r>
      <w:r>
        <w:rPr>
          <w:rFonts w:ascii="Times New Roman" w:hAnsi="Times New Roman"/>
          <w:sz w:val="24"/>
        </w:rPr>
        <w:t>10,</w:t>
      </w:r>
      <w:r>
        <w:rPr>
          <w:rFonts w:ascii="Times New Roman" w:hAnsi="Times New Roman"/>
          <w:spacing w:val="-13"/>
          <w:sz w:val="24"/>
        </w:rPr>
        <w:t xml:space="preserve"> </w:t>
      </w:r>
      <w:r>
        <w:rPr>
          <w:rFonts w:ascii="Times New Roman" w:hAnsi="Times New Roman"/>
          <w:sz w:val="24"/>
        </w:rPr>
        <w:t>13</w:t>
      </w:r>
      <w:r>
        <w:rPr>
          <w:rFonts w:ascii="Times New Roman" w:hAnsi="Times New Roman"/>
          <w:spacing w:val="-13"/>
          <w:sz w:val="24"/>
        </w:rPr>
        <w:t xml:space="preserve"> </w:t>
      </w:r>
      <w:r>
        <w:rPr>
          <w:rFonts w:ascii="Times New Roman" w:hAnsi="Times New Roman"/>
          <w:sz w:val="24"/>
        </w:rPr>
        <w:t>nebo</w:t>
      </w:r>
      <w:r>
        <w:rPr>
          <w:rFonts w:ascii="Times New Roman" w:hAnsi="Times New Roman"/>
          <w:spacing w:val="-13"/>
          <w:sz w:val="24"/>
        </w:rPr>
        <w:t xml:space="preserve"> </w:t>
      </w:r>
      <w:r>
        <w:rPr>
          <w:rFonts w:ascii="Times New Roman" w:hAnsi="Times New Roman"/>
          <w:sz w:val="24"/>
        </w:rPr>
        <w:t>16</w:t>
      </w:r>
      <w:r>
        <w:rPr>
          <w:rFonts w:ascii="Times New Roman" w:hAnsi="Times New Roman"/>
          <w:spacing w:val="-13"/>
          <w:sz w:val="24"/>
        </w:rPr>
        <w:t xml:space="preserve"> </w:t>
      </w:r>
      <w:r>
        <w:rPr>
          <w:rFonts w:ascii="Times New Roman" w:hAnsi="Times New Roman"/>
          <w:sz w:val="24"/>
        </w:rPr>
        <w:t>přílohy</w:t>
      </w:r>
      <w:r>
        <w:rPr>
          <w:rFonts w:ascii="Times New Roman" w:hAnsi="Times New Roman"/>
          <w:spacing w:val="-13"/>
          <w:sz w:val="24"/>
        </w:rPr>
        <w:t xml:space="preserve"> </w:t>
      </w:r>
      <w:r>
        <w:rPr>
          <w:rFonts w:ascii="Times New Roman" w:hAnsi="Times New Roman"/>
          <w:sz w:val="24"/>
        </w:rPr>
        <w:t>č.</w:t>
      </w:r>
      <w:r>
        <w:rPr>
          <w:rFonts w:ascii="Times New Roman" w:hAnsi="Times New Roman"/>
          <w:spacing w:val="-12"/>
          <w:sz w:val="24"/>
        </w:rPr>
        <w:t xml:space="preserve"> </w:t>
      </w:r>
      <w:r>
        <w:rPr>
          <w:rFonts w:ascii="Times New Roman" w:hAnsi="Times New Roman"/>
          <w:sz w:val="24"/>
        </w:rPr>
        <w:t>1</w:t>
      </w:r>
      <w:r>
        <w:rPr>
          <w:rFonts w:ascii="Times New Roman" w:hAnsi="Times New Roman"/>
          <w:spacing w:val="-13"/>
          <w:sz w:val="24"/>
        </w:rPr>
        <w:t xml:space="preserve"> </w:t>
      </w:r>
      <w:r>
        <w:rPr>
          <w:rFonts w:ascii="Times New Roman" w:hAnsi="Times New Roman"/>
          <w:sz w:val="24"/>
        </w:rPr>
        <w:t>k</w:t>
      </w:r>
      <w:r>
        <w:rPr>
          <w:rFonts w:ascii="Times New Roman" w:hAnsi="Times New Roman"/>
          <w:spacing w:val="-13"/>
          <w:sz w:val="24"/>
        </w:rPr>
        <w:t xml:space="preserve"> </w:t>
      </w:r>
      <w:r>
        <w:rPr>
          <w:rFonts w:ascii="Times New Roman" w:hAnsi="Times New Roman"/>
          <w:sz w:val="24"/>
        </w:rPr>
        <w:t>zákonu</w:t>
      </w:r>
      <w:r>
        <w:rPr>
          <w:rFonts w:ascii="Times New Roman" w:hAnsi="Times New Roman"/>
          <w:spacing w:val="-13"/>
          <w:sz w:val="24"/>
        </w:rPr>
        <w:t xml:space="preserve"> </w:t>
      </w:r>
      <w:r>
        <w:rPr>
          <w:rFonts w:ascii="Times New Roman" w:hAnsi="Times New Roman"/>
          <w:sz w:val="24"/>
        </w:rPr>
        <w:t>č.</w:t>
      </w:r>
      <w:r>
        <w:rPr>
          <w:rFonts w:ascii="Times New Roman" w:hAnsi="Times New Roman"/>
          <w:spacing w:val="-13"/>
          <w:sz w:val="24"/>
        </w:rPr>
        <w:t xml:space="preserve"> </w:t>
      </w:r>
      <w:r>
        <w:rPr>
          <w:rFonts w:ascii="Times New Roman" w:hAnsi="Times New Roman"/>
          <w:sz w:val="24"/>
        </w:rPr>
        <w:t>277/2009</w:t>
      </w:r>
      <w:r>
        <w:rPr>
          <w:rFonts w:ascii="Times New Roman" w:hAnsi="Times New Roman"/>
          <w:spacing w:val="-13"/>
          <w:sz w:val="24"/>
        </w:rPr>
        <w:t xml:space="preserve"> </w:t>
      </w:r>
      <w:r>
        <w:rPr>
          <w:rFonts w:ascii="Times New Roman" w:hAnsi="Times New Roman"/>
          <w:sz w:val="24"/>
        </w:rPr>
        <w:t>Sb.,</w:t>
      </w:r>
      <w:r>
        <w:rPr>
          <w:rFonts w:ascii="Times New Roman" w:hAnsi="Times New Roman"/>
          <w:spacing w:val="-13"/>
          <w:sz w:val="24"/>
        </w:rPr>
        <w:t xml:space="preserve"> </w:t>
      </w:r>
      <w:r>
        <w:rPr>
          <w:rFonts w:ascii="Times New Roman" w:hAnsi="Times New Roman"/>
          <w:sz w:val="24"/>
        </w:rPr>
        <w:t>o</w:t>
      </w:r>
      <w:r>
        <w:rPr>
          <w:rFonts w:ascii="Times New Roman" w:hAnsi="Times New Roman"/>
          <w:spacing w:val="-13"/>
          <w:sz w:val="24"/>
        </w:rPr>
        <w:t xml:space="preserve"> </w:t>
      </w:r>
      <w:r>
        <w:rPr>
          <w:rFonts w:ascii="Times New Roman" w:hAnsi="Times New Roman"/>
          <w:sz w:val="24"/>
        </w:rPr>
        <w:t>pojišťovnictví,</w:t>
      </w:r>
      <w:r>
        <w:rPr>
          <w:rFonts w:ascii="Times New Roman" w:hAnsi="Times New Roman"/>
          <w:spacing w:val="-13"/>
          <w:sz w:val="24"/>
        </w:rPr>
        <w:t xml:space="preserve"> </w:t>
      </w:r>
      <w:r>
        <w:rPr>
          <w:rFonts w:ascii="Times New Roman" w:hAnsi="Times New Roman"/>
          <w:sz w:val="24"/>
        </w:rPr>
        <w:t>ve</w:t>
      </w:r>
      <w:r>
        <w:rPr>
          <w:rFonts w:ascii="Times New Roman" w:hAnsi="Times New Roman"/>
          <w:spacing w:val="-13"/>
          <w:sz w:val="24"/>
        </w:rPr>
        <w:t xml:space="preserve"> </w:t>
      </w:r>
      <w:r>
        <w:rPr>
          <w:rFonts w:ascii="Times New Roman" w:hAnsi="Times New Roman"/>
          <w:sz w:val="24"/>
        </w:rPr>
        <w:t>znění</w:t>
      </w:r>
      <w:r>
        <w:rPr>
          <w:rFonts w:ascii="Times New Roman" w:hAnsi="Times New Roman"/>
          <w:spacing w:val="-13"/>
          <w:sz w:val="24"/>
        </w:rPr>
        <w:t xml:space="preserve"> </w:t>
      </w:r>
      <w:r>
        <w:rPr>
          <w:rFonts w:ascii="Times New Roman" w:hAnsi="Times New Roman"/>
          <w:sz w:val="24"/>
        </w:rPr>
        <w:t>pozdějších předpisů, minimálně 2 ze 3 níže uvedených</w:t>
      </w:r>
      <w:r>
        <w:rPr>
          <w:rFonts w:ascii="Times New Roman" w:hAnsi="Times New Roman"/>
          <w:spacing w:val="-2"/>
          <w:sz w:val="24"/>
        </w:rPr>
        <w:t xml:space="preserve"> </w:t>
      </w:r>
      <w:r>
        <w:rPr>
          <w:rFonts w:ascii="Times New Roman" w:hAnsi="Times New Roman"/>
          <w:sz w:val="24"/>
        </w:rPr>
        <w:t>limitů:</w:t>
      </w:r>
    </w:p>
    <w:p w14:paraId="6EF57F2C" w14:textId="77777777" w:rsidR="00F65BCA" w:rsidRDefault="00216117">
      <w:pPr>
        <w:pStyle w:val="Odstavecseseznamem"/>
        <w:numPr>
          <w:ilvl w:val="1"/>
          <w:numId w:val="148"/>
        </w:numPr>
        <w:tabs>
          <w:tab w:val="left" w:pos="544"/>
        </w:tabs>
        <w:rPr>
          <w:rFonts w:ascii="Times New Roman" w:hAnsi="Times New Roman"/>
          <w:sz w:val="24"/>
        </w:rPr>
      </w:pPr>
      <w:r>
        <w:rPr>
          <w:rFonts w:ascii="Times New Roman" w:hAnsi="Times New Roman"/>
          <w:sz w:val="24"/>
        </w:rPr>
        <w:t>Čistý obrat min. 12.800.000,- EUR (cca 320.000.000,-</w:t>
      </w:r>
      <w:r>
        <w:rPr>
          <w:rFonts w:ascii="Times New Roman" w:hAnsi="Times New Roman"/>
          <w:spacing w:val="-5"/>
          <w:sz w:val="24"/>
        </w:rPr>
        <w:t xml:space="preserve"> </w:t>
      </w:r>
      <w:r>
        <w:rPr>
          <w:rFonts w:ascii="Times New Roman" w:hAnsi="Times New Roman"/>
          <w:sz w:val="24"/>
        </w:rPr>
        <w:t>Kč),</w:t>
      </w:r>
    </w:p>
    <w:p w14:paraId="5B1C9FD6" w14:textId="77777777" w:rsidR="00F65BCA" w:rsidRDefault="00216117">
      <w:pPr>
        <w:pStyle w:val="Odstavecseseznamem"/>
        <w:numPr>
          <w:ilvl w:val="1"/>
          <w:numId w:val="148"/>
        </w:numPr>
        <w:tabs>
          <w:tab w:val="left" w:pos="544"/>
        </w:tabs>
        <w:ind w:hanging="145"/>
        <w:rPr>
          <w:rFonts w:ascii="Times New Roman" w:hAnsi="Times New Roman"/>
          <w:sz w:val="24"/>
        </w:rPr>
      </w:pPr>
      <w:r>
        <w:rPr>
          <w:rFonts w:ascii="Times New Roman" w:hAnsi="Times New Roman"/>
          <w:sz w:val="24"/>
        </w:rPr>
        <w:t>Úhrn rozvahy min. 6.200.000,- EUR (cca 155.000.000,-</w:t>
      </w:r>
      <w:r>
        <w:rPr>
          <w:rFonts w:ascii="Times New Roman" w:hAnsi="Times New Roman"/>
          <w:spacing w:val="-5"/>
          <w:sz w:val="24"/>
        </w:rPr>
        <w:t xml:space="preserve"> </w:t>
      </w:r>
      <w:r>
        <w:rPr>
          <w:rFonts w:ascii="Times New Roman" w:hAnsi="Times New Roman"/>
          <w:sz w:val="24"/>
        </w:rPr>
        <w:t>Kč),</w:t>
      </w:r>
    </w:p>
    <w:p w14:paraId="742CC176" w14:textId="77777777" w:rsidR="00F65BCA" w:rsidRDefault="00216117">
      <w:pPr>
        <w:pStyle w:val="Odstavecseseznamem"/>
        <w:numPr>
          <w:ilvl w:val="1"/>
          <w:numId w:val="148"/>
        </w:numPr>
        <w:tabs>
          <w:tab w:val="left" w:pos="545"/>
        </w:tabs>
        <w:ind w:hanging="146"/>
        <w:rPr>
          <w:rFonts w:ascii="Times New Roman" w:hAnsi="Times New Roman"/>
          <w:sz w:val="24"/>
        </w:rPr>
      </w:pPr>
      <w:r>
        <w:rPr>
          <w:rFonts w:ascii="Times New Roman" w:hAnsi="Times New Roman"/>
          <w:sz w:val="24"/>
        </w:rPr>
        <w:t>Průměrný roční stav zaměstnanců min.</w:t>
      </w:r>
      <w:r>
        <w:rPr>
          <w:rFonts w:ascii="Times New Roman" w:hAnsi="Times New Roman"/>
          <w:spacing w:val="-1"/>
          <w:sz w:val="24"/>
        </w:rPr>
        <w:t xml:space="preserve"> </w:t>
      </w:r>
      <w:r>
        <w:rPr>
          <w:rFonts w:ascii="Times New Roman" w:hAnsi="Times New Roman"/>
          <w:sz w:val="24"/>
        </w:rPr>
        <w:t>250.</w:t>
      </w:r>
    </w:p>
    <w:p w14:paraId="7406BB35" w14:textId="77777777" w:rsidR="00F65BCA" w:rsidRDefault="00F65BCA">
      <w:pPr>
        <w:pStyle w:val="Zkladntext"/>
        <w:rPr>
          <w:rFonts w:ascii="Times New Roman"/>
          <w:sz w:val="26"/>
        </w:rPr>
      </w:pPr>
    </w:p>
    <w:p w14:paraId="4148DD76" w14:textId="77777777" w:rsidR="00F65BCA" w:rsidRDefault="00F65BCA">
      <w:pPr>
        <w:pStyle w:val="Zkladntext"/>
        <w:rPr>
          <w:rFonts w:ascii="Times New Roman"/>
          <w:sz w:val="26"/>
        </w:rPr>
      </w:pPr>
    </w:p>
    <w:p w14:paraId="2364BF6D" w14:textId="77777777" w:rsidR="00F65BCA" w:rsidRDefault="00216117">
      <w:pPr>
        <w:pStyle w:val="Odstavecseseznamem"/>
        <w:numPr>
          <w:ilvl w:val="0"/>
          <w:numId w:val="155"/>
        </w:numPr>
        <w:tabs>
          <w:tab w:val="left" w:pos="739"/>
        </w:tabs>
        <w:spacing w:before="230"/>
        <w:ind w:left="738" w:hanging="481"/>
        <w:jc w:val="both"/>
        <w:rPr>
          <w:rFonts w:ascii="Times New Roman" w:hAnsi="Times New Roman"/>
          <w:b/>
          <w:sz w:val="24"/>
        </w:rPr>
      </w:pPr>
      <w:r>
        <w:rPr>
          <w:rFonts w:ascii="Times New Roman" w:hAnsi="Times New Roman"/>
          <w:b/>
          <w:sz w:val="24"/>
        </w:rPr>
        <w:t>Závěrečná</w:t>
      </w:r>
      <w:r>
        <w:rPr>
          <w:rFonts w:ascii="Times New Roman" w:hAnsi="Times New Roman"/>
          <w:b/>
          <w:spacing w:val="-1"/>
          <w:sz w:val="24"/>
        </w:rPr>
        <w:t xml:space="preserve"> </w:t>
      </w:r>
      <w:r>
        <w:rPr>
          <w:rFonts w:ascii="Times New Roman" w:hAnsi="Times New Roman"/>
          <w:b/>
          <w:sz w:val="24"/>
        </w:rPr>
        <w:t>ustanovení</w:t>
      </w:r>
    </w:p>
    <w:p w14:paraId="6B107DFB" w14:textId="77777777" w:rsidR="00F65BCA" w:rsidRDefault="00216117">
      <w:pPr>
        <w:pStyle w:val="Odstavecseseznamem"/>
        <w:numPr>
          <w:ilvl w:val="1"/>
          <w:numId w:val="155"/>
        </w:numPr>
        <w:tabs>
          <w:tab w:val="left" w:pos="818"/>
        </w:tabs>
        <w:ind w:right="106" w:firstLine="0"/>
        <w:jc w:val="both"/>
        <w:rPr>
          <w:rFonts w:ascii="Times New Roman" w:hAnsi="Times New Roman"/>
          <w:sz w:val="24"/>
        </w:rPr>
      </w:pPr>
      <w:r>
        <w:rPr>
          <w:rFonts w:ascii="Times New Roman" w:hAnsi="Times New Roman"/>
          <w:sz w:val="24"/>
        </w:rPr>
        <w:t>Smluvní vztah mezi Pojistníkem a Pojistitel se bude řídit ustanoveními obchodních podmínek Pojistitele. V případě, že smlouva bude odkazovat na všeobecné obchodní podmínky Pojistitele, musí být tyto součástí smlouvy, přičemž ustanovení smlouvy bude mít vždy přednost před ustanoveními obsaženými</w:t>
      </w:r>
      <w:r>
        <w:rPr>
          <w:rFonts w:ascii="Times New Roman" w:hAnsi="Times New Roman"/>
          <w:spacing w:val="-9"/>
          <w:sz w:val="24"/>
        </w:rPr>
        <w:t xml:space="preserve"> </w:t>
      </w:r>
      <w:r>
        <w:rPr>
          <w:rFonts w:ascii="Times New Roman" w:hAnsi="Times New Roman"/>
          <w:sz w:val="24"/>
        </w:rPr>
        <w:t>ve</w:t>
      </w:r>
      <w:r>
        <w:rPr>
          <w:rFonts w:ascii="Times New Roman" w:hAnsi="Times New Roman"/>
          <w:spacing w:val="-8"/>
          <w:sz w:val="24"/>
        </w:rPr>
        <w:t xml:space="preserve"> </w:t>
      </w:r>
      <w:r>
        <w:rPr>
          <w:rFonts w:ascii="Times New Roman" w:hAnsi="Times New Roman"/>
          <w:sz w:val="24"/>
        </w:rPr>
        <w:t>všeobecných</w:t>
      </w:r>
      <w:r>
        <w:rPr>
          <w:rFonts w:ascii="Times New Roman" w:hAnsi="Times New Roman"/>
          <w:spacing w:val="-9"/>
          <w:sz w:val="24"/>
        </w:rPr>
        <w:t xml:space="preserve"> </w:t>
      </w:r>
      <w:r>
        <w:rPr>
          <w:rFonts w:ascii="Times New Roman" w:hAnsi="Times New Roman"/>
          <w:sz w:val="24"/>
        </w:rPr>
        <w:t>obchodních</w:t>
      </w:r>
      <w:r>
        <w:rPr>
          <w:rFonts w:ascii="Times New Roman" w:hAnsi="Times New Roman"/>
          <w:spacing w:val="-10"/>
          <w:sz w:val="24"/>
        </w:rPr>
        <w:t xml:space="preserve"> </w:t>
      </w:r>
      <w:r>
        <w:rPr>
          <w:rFonts w:ascii="Times New Roman" w:hAnsi="Times New Roman"/>
          <w:sz w:val="24"/>
        </w:rPr>
        <w:t>podmínkách.</w:t>
      </w:r>
      <w:r>
        <w:rPr>
          <w:rFonts w:ascii="Times New Roman" w:hAnsi="Times New Roman"/>
          <w:spacing w:val="-9"/>
          <w:sz w:val="24"/>
        </w:rPr>
        <w:t xml:space="preserve"> </w:t>
      </w:r>
      <w:r>
        <w:rPr>
          <w:rFonts w:ascii="Times New Roman" w:hAnsi="Times New Roman"/>
          <w:sz w:val="24"/>
        </w:rPr>
        <w:t>V</w:t>
      </w:r>
      <w:r>
        <w:rPr>
          <w:rFonts w:ascii="Times New Roman" w:hAnsi="Times New Roman"/>
          <w:spacing w:val="-7"/>
          <w:sz w:val="24"/>
        </w:rPr>
        <w:t xml:space="preserve"> </w:t>
      </w:r>
      <w:r>
        <w:rPr>
          <w:rFonts w:ascii="Times New Roman" w:hAnsi="Times New Roman"/>
          <w:sz w:val="24"/>
        </w:rPr>
        <w:t>případě</w:t>
      </w:r>
      <w:r>
        <w:rPr>
          <w:rFonts w:ascii="Times New Roman" w:hAnsi="Times New Roman"/>
          <w:spacing w:val="-8"/>
          <w:sz w:val="24"/>
        </w:rPr>
        <w:t xml:space="preserve"> </w:t>
      </w:r>
      <w:r>
        <w:rPr>
          <w:rFonts w:ascii="Times New Roman" w:hAnsi="Times New Roman"/>
          <w:sz w:val="24"/>
        </w:rPr>
        <w:t>nejasnosti,</w:t>
      </w:r>
      <w:r>
        <w:rPr>
          <w:rFonts w:ascii="Times New Roman" w:hAnsi="Times New Roman"/>
          <w:spacing w:val="-9"/>
          <w:sz w:val="24"/>
        </w:rPr>
        <w:t xml:space="preserve"> </w:t>
      </w:r>
      <w:r>
        <w:rPr>
          <w:rFonts w:ascii="Times New Roman" w:hAnsi="Times New Roman"/>
          <w:sz w:val="24"/>
        </w:rPr>
        <w:t>neurčitosti</w:t>
      </w:r>
      <w:r>
        <w:rPr>
          <w:rFonts w:ascii="Times New Roman" w:hAnsi="Times New Roman"/>
          <w:spacing w:val="-9"/>
          <w:sz w:val="24"/>
        </w:rPr>
        <w:t xml:space="preserve"> </w:t>
      </w:r>
      <w:r>
        <w:rPr>
          <w:rFonts w:ascii="Times New Roman" w:hAnsi="Times New Roman"/>
          <w:sz w:val="24"/>
        </w:rPr>
        <w:t>či</w:t>
      </w:r>
      <w:r>
        <w:rPr>
          <w:rFonts w:ascii="Times New Roman" w:hAnsi="Times New Roman"/>
          <w:spacing w:val="-8"/>
          <w:sz w:val="24"/>
        </w:rPr>
        <w:t xml:space="preserve"> </w:t>
      </w:r>
      <w:r>
        <w:rPr>
          <w:rFonts w:ascii="Times New Roman" w:hAnsi="Times New Roman"/>
          <w:sz w:val="24"/>
        </w:rPr>
        <w:t>vzájemného rozporu</w:t>
      </w:r>
      <w:r>
        <w:rPr>
          <w:rFonts w:ascii="Times New Roman" w:hAnsi="Times New Roman"/>
          <w:spacing w:val="-4"/>
          <w:sz w:val="24"/>
        </w:rPr>
        <w:t xml:space="preserve"> </w:t>
      </w:r>
      <w:r>
        <w:rPr>
          <w:rFonts w:ascii="Times New Roman" w:hAnsi="Times New Roman"/>
          <w:sz w:val="24"/>
        </w:rPr>
        <w:t>jednotlivých</w:t>
      </w:r>
      <w:r>
        <w:rPr>
          <w:rFonts w:ascii="Times New Roman" w:hAnsi="Times New Roman"/>
          <w:spacing w:val="-4"/>
          <w:sz w:val="24"/>
        </w:rPr>
        <w:t xml:space="preserve"> </w:t>
      </w:r>
      <w:r>
        <w:rPr>
          <w:rFonts w:ascii="Times New Roman" w:hAnsi="Times New Roman"/>
          <w:sz w:val="24"/>
        </w:rPr>
        <w:t>dokumentů,</w:t>
      </w:r>
      <w:r>
        <w:rPr>
          <w:rFonts w:ascii="Times New Roman" w:hAnsi="Times New Roman"/>
          <w:spacing w:val="-4"/>
          <w:sz w:val="24"/>
        </w:rPr>
        <w:t xml:space="preserve"> </w:t>
      </w:r>
      <w:r>
        <w:rPr>
          <w:rFonts w:ascii="Times New Roman" w:hAnsi="Times New Roman"/>
          <w:sz w:val="24"/>
        </w:rPr>
        <w:t>které</w:t>
      </w:r>
      <w:r>
        <w:rPr>
          <w:rFonts w:ascii="Times New Roman" w:hAnsi="Times New Roman"/>
          <w:spacing w:val="-2"/>
          <w:sz w:val="24"/>
        </w:rPr>
        <w:t xml:space="preserve"> </w:t>
      </w:r>
      <w:r>
        <w:rPr>
          <w:rFonts w:ascii="Times New Roman" w:hAnsi="Times New Roman"/>
          <w:sz w:val="24"/>
        </w:rPr>
        <w:t>jsou</w:t>
      </w:r>
      <w:r>
        <w:rPr>
          <w:rFonts w:ascii="Times New Roman" w:hAnsi="Times New Roman"/>
          <w:spacing w:val="-4"/>
          <w:sz w:val="24"/>
        </w:rPr>
        <w:t xml:space="preserve"> </w:t>
      </w:r>
      <w:r>
        <w:rPr>
          <w:rFonts w:ascii="Times New Roman" w:hAnsi="Times New Roman"/>
          <w:sz w:val="24"/>
        </w:rPr>
        <w:t>součástí</w:t>
      </w:r>
      <w:r>
        <w:rPr>
          <w:rFonts w:ascii="Times New Roman" w:hAnsi="Times New Roman"/>
          <w:spacing w:val="-3"/>
          <w:sz w:val="24"/>
        </w:rPr>
        <w:t xml:space="preserve"> </w:t>
      </w:r>
      <w:r>
        <w:rPr>
          <w:rFonts w:ascii="Times New Roman" w:hAnsi="Times New Roman"/>
          <w:sz w:val="24"/>
        </w:rPr>
        <w:t>smlouvy,</w:t>
      </w:r>
      <w:r>
        <w:rPr>
          <w:rFonts w:ascii="Times New Roman" w:hAnsi="Times New Roman"/>
          <w:spacing w:val="-4"/>
          <w:sz w:val="24"/>
        </w:rPr>
        <w:t xml:space="preserve"> </w:t>
      </w:r>
      <w:r>
        <w:rPr>
          <w:rFonts w:ascii="Times New Roman" w:hAnsi="Times New Roman"/>
          <w:sz w:val="24"/>
        </w:rPr>
        <w:t>mají</w:t>
      </w:r>
      <w:r>
        <w:rPr>
          <w:rFonts w:ascii="Times New Roman" w:hAnsi="Times New Roman"/>
          <w:spacing w:val="-3"/>
          <w:sz w:val="24"/>
        </w:rPr>
        <w:t xml:space="preserve"> </w:t>
      </w:r>
      <w:r>
        <w:rPr>
          <w:rFonts w:ascii="Times New Roman" w:hAnsi="Times New Roman"/>
          <w:sz w:val="24"/>
        </w:rPr>
        <w:t>při</w:t>
      </w:r>
      <w:r>
        <w:rPr>
          <w:rFonts w:ascii="Times New Roman" w:hAnsi="Times New Roman"/>
          <w:spacing w:val="-3"/>
          <w:sz w:val="24"/>
        </w:rPr>
        <w:t xml:space="preserve"> </w:t>
      </w:r>
      <w:r>
        <w:rPr>
          <w:rFonts w:ascii="Times New Roman" w:hAnsi="Times New Roman"/>
          <w:sz w:val="24"/>
        </w:rPr>
        <w:t>výkladu</w:t>
      </w:r>
      <w:r>
        <w:rPr>
          <w:rFonts w:ascii="Times New Roman" w:hAnsi="Times New Roman"/>
          <w:spacing w:val="-4"/>
          <w:sz w:val="24"/>
        </w:rPr>
        <w:t xml:space="preserve"> </w:t>
      </w:r>
      <w:r>
        <w:rPr>
          <w:rFonts w:ascii="Times New Roman" w:hAnsi="Times New Roman"/>
          <w:sz w:val="24"/>
        </w:rPr>
        <w:t>přednost,</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tomto pořadí: zadávací dokumentace, která je nedílnou součástí smlouvy jako jedna z jejích příloh, pojistná smlouva,</w:t>
      </w:r>
      <w:r>
        <w:rPr>
          <w:rFonts w:ascii="Times New Roman" w:hAnsi="Times New Roman"/>
          <w:spacing w:val="31"/>
          <w:sz w:val="24"/>
        </w:rPr>
        <w:t xml:space="preserve"> </w:t>
      </w:r>
      <w:r>
        <w:rPr>
          <w:rFonts w:ascii="Times New Roman" w:hAnsi="Times New Roman"/>
          <w:sz w:val="24"/>
        </w:rPr>
        <w:t>všeobecné</w:t>
      </w:r>
      <w:r>
        <w:rPr>
          <w:rFonts w:ascii="Times New Roman" w:hAnsi="Times New Roman"/>
          <w:spacing w:val="30"/>
          <w:sz w:val="24"/>
        </w:rPr>
        <w:t xml:space="preserve"> </w:t>
      </w:r>
      <w:r>
        <w:rPr>
          <w:rFonts w:ascii="Times New Roman" w:hAnsi="Times New Roman"/>
          <w:sz w:val="24"/>
        </w:rPr>
        <w:t>pojistné</w:t>
      </w:r>
      <w:r>
        <w:rPr>
          <w:rFonts w:ascii="Times New Roman" w:hAnsi="Times New Roman"/>
          <w:spacing w:val="31"/>
          <w:sz w:val="24"/>
        </w:rPr>
        <w:t xml:space="preserve"> </w:t>
      </w:r>
      <w:r>
        <w:rPr>
          <w:rFonts w:ascii="Times New Roman" w:hAnsi="Times New Roman"/>
          <w:sz w:val="24"/>
        </w:rPr>
        <w:t>či</w:t>
      </w:r>
      <w:r>
        <w:rPr>
          <w:rFonts w:ascii="Times New Roman" w:hAnsi="Times New Roman"/>
          <w:spacing w:val="32"/>
          <w:sz w:val="24"/>
        </w:rPr>
        <w:t xml:space="preserve"> </w:t>
      </w:r>
      <w:r>
        <w:rPr>
          <w:rFonts w:ascii="Times New Roman" w:hAnsi="Times New Roman"/>
          <w:sz w:val="24"/>
        </w:rPr>
        <w:t>obchodní</w:t>
      </w:r>
      <w:r>
        <w:rPr>
          <w:rFonts w:ascii="Times New Roman" w:hAnsi="Times New Roman"/>
          <w:spacing w:val="32"/>
          <w:sz w:val="24"/>
        </w:rPr>
        <w:t xml:space="preserve"> </w:t>
      </w:r>
      <w:r>
        <w:rPr>
          <w:rFonts w:ascii="Times New Roman" w:hAnsi="Times New Roman"/>
          <w:sz w:val="24"/>
        </w:rPr>
        <w:t>podmínky</w:t>
      </w:r>
      <w:r>
        <w:rPr>
          <w:rFonts w:ascii="Times New Roman" w:hAnsi="Times New Roman"/>
          <w:spacing w:val="31"/>
          <w:sz w:val="24"/>
        </w:rPr>
        <w:t xml:space="preserve"> </w:t>
      </w:r>
      <w:r>
        <w:rPr>
          <w:rFonts w:ascii="Times New Roman" w:hAnsi="Times New Roman"/>
          <w:sz w:val="24"/>
        </w:rPr>
        <w:t>a</w:t>
      </w:r>
      <w:r>
        <w:rPr>
          <w:rFonts w:ascii="Times New Roman" w:hAnsi="Times New Roman"/>
          <w:spacing w:val="30"/>
          <w:sz w:val="24"/>
        </w:rPr>
        <w:t xml:space="preserve"> </w:t>
      </w:r>
      <w:r>
        <w:rPr>
          <w:rFonts w:ascii="Times New Roman" w:hAnsi="Times New Roman"/>
          <w:sz w:val="24"/>
        </w:rPr>
        <w:t>ostatní</w:t>
      </w:r>
      <w:r>
        <w:rPr>
          <w:rFonts w:ascii="Times New Roman" w:hAnsi="Times New Roman"/>
          <w:spacing w:val="33"/>
          <w:sz w:val="24"/>
        </w:rPr>
        <w:t xml:space="preserve"> </w:t>
      </w:r>
      <w:r>
        <w:rPr>
          <w:rFonts w:ascii="Times New Roman" w:hAnsi="Times New Roman"/>
          <w:sz w:val="24"/>
        </w:rPr>
        <w:t>dokumenty.</w:t>
      </w:r>
      <w:r>
        <w:rPr>
          <w:rFonts w:ascii="Times New Roman" w:hAnsi="Times New Roman"/>
          <w:spacing w:val="31"/>
          <w:sz w:val="24"/>
        </w:rPr>
        <w:t xml:space="preserve"> </w:t>
      </w:r>
      <w:r>
        <w:rPr>
          <w:rFonts w:ascii="Times New Roman" w:hAnsi="Times New Roman"/>
          <w:sz w:val="24"/>
        </w:rPr>
        <w:t>V</w:t>
      </w:r>
      <w:r>
        <w:rPr>
          <w:rFonts w:ascii="Times New Roman" w:hAnsi="Times New Roman"/>
          <w:spacing w:val="31"/>
          <w:sz w:val="24"/>
        </w:rPr>
        <w:t xml:space="preserve"> </w:t>
      </w:r>
      <w:r>
        <w:rPr>
          <w:rFonts w:ascii="Times New Roman" w:hAnsi="Times New Roman"/>
          <w:sz w:val="24"/>
        </w:rPr>
        <w:t>případě</w:t>
      </w:r>
      <w:r>
        <w:rPr>
          <w:rFonts w:ascii="Times New Roman" w:hAnsi="Times New Roman"/>
          <w:spacing w:val="30"/>
          <w:sz w:val="24"/>
        </w:rPr>
        <w:t xml:space="preserve"> </w:t>
      </w:r>
      <w:r>
        <w:rPr>
          <w:rFonts w:ascii="Times New Roman" w:hAnsi="Times New Roman"/>
          <w:sz w:val="24"/>
        </w:rPr>
        <w:t>změny</w:t>
      </w:r>
    </w:p>
    <w:p w14:paraId="72BDE7AA" w14:textId="77777777" w:rsidR="00F65BCA" w:rsidRDefault="00F65BCA">
      <w:pPr>
        <w:pStyle w:val="Zkladntext"/>
        <w:spacing w:before="8"/>
        <w:rPr>
          <w:rFonts w:ascii="Times New Roman"/>
          <w:sz w:val="17"/>
        </w:rPr>
      </w:pPr>
    </w:p>
    <w:p w14:paraId="7A6D4ABB" w14:textId="77777777" w:rsidR="00F65BCA" w:rsidRDefault="00216117">
      <w:pPr>
        <w:spacing w:before="96"/>
        <w:ind w:left="5033" w:right="4888"/>
        <w:jc w:val="center"/>
        <w:rPr>
          <w:sz w:val="16"/>
        </w:rPr>
      </w:pPr>
      <w:r>
        <w:rPr>
          <w:sz w:val="16"/>
        </w:rPr>
        <w:t>10</w:t>
      </w:r>
    </w:p>
    <w:p w14:paraId="4DD8F061" w14:textId="77777777" w:rsidR="00F65BCA" w:rsidRDefault="00F65BCA">
      <w:pPr>
        <w:jc w:val="center"/>
        <w:rPr>
          <w:sz w:val="16"/>
        </w:rPr>
        <w:sectPr w:rsidR="00F65BCA">
          <w:pgSz w:w="11900" w:h="16840"/>
          <w:pgMar w:top="1220" w:right="600" w:bottom="280" w:left="1160" w:header="708" w:footer="708" w:gutter="0"/>
          <w:cols w:space="708"/>
        </w:sectPr>
      </w:pPr>
    </w:p>
    <w:p w14:paraId="168A8A3D" w14:textId="77777777" w:rsidR="00F65BCA" w:rsidRDefault="00216117">
      <w:pPr>
        <w:spacing w:before="75"/>
        <w:ind w:left="258"/>
        <w:rPr>
          <w:rFonts w:ascii="Times New Roman" w:hAnsi="Times New Roman"/>
          <w:sz w:val="24"/>
        </w:rPr>
      </w:pPr>
      <w:r>
        <w:rPr>
          <w:rFonts w:ascii="Times New Roman" w:hAnsi="Times New Roman"/>
          <w:sz w:val="24"/>
        </w:rPr>
        <w:lastRenderedPageBreak/>
        <w:t>všeobecných obchodních podmínek Pojistitele, je Pojistitel povinen změny oznámit Pojistníkovi bez zbytečného odkladu před nabytím účinnosti aktualizace nebo změny. Jakákoliv změna všeobecných obchodních podmínek Pojistitele, která zhorší postavení Pojistníka, je neúčinná.</w:t>
      </w:r>
    </w:p>
    <w:p w14:paraId="5BE60732" w14:textId="77777777" w:rsidR="00F65BCA" w:rsidRDefault="00F65BCA">
      <w:pPr>
        <w:pStyle w:val="Zkladntext"/>
        <w:rPr>
          <w:rFonts w:ascii="Times New Roman"/>
          <w:sz w:val="24"/>
        </w:rPr>
      </w:pPr>
    </w:p>
    <w:p w14:paraId="22AEFC7B" w14:textId="77777777" w:rsidR="00F65BCA" w:rsidRDefault="00216117">
      <w:pPr>
        <w:pStyle w:val="Odstavecseseznamem"/>
        <w:numPr>
          <w:ilvl w:val="1"/>
          <w:numId w:val="155"/>
        </w:numPr>
        <w:tabs>
          <w:tab w:val="left" w:pos="919"/>
        </w:tabs>
        <w:ind w:right="107" w:firstLine="0"/>
        <w:jc w:val="both"/>
        <w:rPr>
          <w:rFonts w:ascii="Times New Roman" w:hAnsi="Times New Roman"/>
          <w:sz w:val="24"/>
        </w:rPr>
      </w:pPr>
      <w:r>
        <w:rPr>
          <w:rFonts w:ascii="Times New Roman" w:hAnsi="Times New Roman"/>
          <w:sz w:val="24"/>
        </w:rPr>
        <w:t>Pojistitel bere na vědomí, že Pojistník je subjektem povinným zveřejňovat smlouvy dle zákona č. 340/2015 Sb., o  zvláštních podmínkách účinnosti některých  smluv,  uveřejňování těchto smluv    a o registru smluv, a že Pojistník tuto pojistnou smlouvu uveřejní v registru</w:t>
      </w:r>
      <w:r>
        <w:rPr>
          <w:rFonts w:ascii="Times New Roman" w:hAnsi="Times New Roman"/>
          <w:spacing w:val="-14"/>
          <w:sz w:val="24"/>
        </w:rPr>
        <w:t xml:space="preserve"> </w:t>
      </w:r>
      <w:r>
        <w:rPr>
          <w:rFonts w:ascii="Times New Roman" w:hAnsi="Times New Roman"/>
          <w:sz w:val="24"/>
        </w:rPr>
        <w:t>smluv.</w:t>
      </w:r>
    </w:p>
    <w:p w14:paraId="2E18C311" w14:textId="77777777" w:rsidR="00F65BCA" w:rsidRDefault="00216117">
      <w:pPr>
        <w:ind w:left="258" w:right="110"/>
        <w:jc w:val="both"/>
        <w:rPr>
          <w:rFonts w:ascii="Times New Roman" w:hAnsi="Times New Roman"/>
          <w:sz w:val="24"/>
        </w:rPr>
      </w:pPr>
      <w:r>
        <w:rPr>
          <w:rFonts w:ascii="Times New Roman" w:hAnsi="Times New Roman"/>
          <w:sz w:val="24"/>
        </w:rPr>
        <w:t>Smlouva bude uveřejněna včetně všech jejích příloh. Pojistník před zveřejněním smlouvy znečitelní osobní údaje v souladu s metodickým návodem k aplikaci zákona o registru smluv.</w:t>
      </w:r>
    </w:p>
    <w:p w14:paraId="0700287D" w14:textId="77777777" w:rsidR="00F65BCA" w:rsidRDefault="00216117">
      <w:pPr>
        <w:pStyle w:val="Odstavecseseznamem"/>
        <w:numPr>
          <w:ilvl w:val="1"/>
          <w:numId w:val="155"/>
        </w:numPr>
        <w:tabs>
          <w:tab w:val="left" w:pos="979"/>
        </w:tabs>
        <w:ind w:right="107" w:firstLine="0"/>
        <w:jc w:val="both"/>
        <w:rPr>
          <w:rFonts w:ascii="Times New Roman" w:hAnsi="Times New Roman"/>
          <w:sz w:val="24"/>
        </w:rPr>
      </w:pPr>
      <w:r>
        <w:rPr>
          <w:rFonts w:ascii="Times New Roman" w:hAnsi="Times New Roman"/>
          <w:sz w:val="24"/>
        </w:rPr>
        <w:t>Tato pojistná smlouva, jakož i případné spory z ní, budou řešeny v souladu s právním řádem České</w:t>
      </w:r>
      <w:r>
        <w:rPr>
          <w:rFonts w:ascii="Times New Roman" w:hAnsi="Times New Roman"/>
          <w:spacing w:val="-8"/>
          <w:sz w:val="24"/>
        </w:rPr>
        <w:t xml:space="preserve"> </w:t>
      </w:r>
      <w:r>
        <w:rPr>
          <w:rFonts w:ascii="Times New Roman" w:hAnsi="Times New Roman"/>
          <w:sz w:val="24"/>
        </w:rPr>
        <w:t>republiky.</w:t>
      </w:r>
      <w:r>
        <w:rPr>
          <w:rFonts w:ascii="Times New Roman" w:hAnsi="Times New Roman"/>
          <w:spacing w:val="-6"/>
          <w:sz w:val="24"/>
        </w:rPr>
        <w:t xml:space="preserve"> </w:t>
      </w:r>
      <w:r>
        <w:rPr>
          <w:rFonts w:ascii="Times New Roman" w:hAnsi="Times New Roman"/>
          <w:sz w:val="24"/>
        </w:rPr>
        <w:t>Místní</w:t>
      </w:r>
      <w:r>
        <w:rPr>
          <w:rFonts w:ascii="Times New Roman" w:hAnsi="Times New Roman"/>
          <w:spacing w:val="-8"/>
          <w:sz w:val="24"/>
        </w:rPr>
        <w:t xml:space="preserve"> </w:t>
      </w:r>
      <w:r>
        <w:rPr>
          <w:rFonts w:ascii="Times New Roman" w:hAnsi="Times New Roman"/>
          <w:sz w:val="24"/>
        </w:rPr>
        <w:t>příslušnost</w:t>
      </w:r>
      <w:r>
        <w:rPr>
          <w:rFonts w:ascii="Times New Roman" w:hAnsi="Times New Roman"/>
          <w:spacing w:val="-6"/>
          <w:sz w:val="24"/>
        </w:rPr>
        <w:t xml:space="preserve"> </w:t>
      </w:r>
      <w:r>
        <w:rPr>
          <w:rFonts w:ascii="Times New Roman" w:hAnsi="Times New Roman"/>
          <w:sz w:val="24"/>
        </w:rPr>
        <w:t>soudu</w:t>
      </w:r>
      <w:r>
        <w:rPr>
          <w:rFonts w:ascii="Times New Roman" w:hAnsi="Times New Roman"/>
          <w:spacing w:val="-6"/>
          <w:sz w:val="24"/>
        </w:rPr>
        <w:t xml:space="preserve"> </w:t>
      </w:r>
      <w:r>
        <w:rPr>
          <w:rFonts w:ascii="Times New Roman" w:hAnsi="Times New Roman"/>
          <w:sz w:val="24"/>
        </w:rPr>
        <w:t>pro</w:t>
      </w:r>
      <w:r>
        <w:rPr>
          <w:rFonts w:ascii="Times New Roman" w:hAnsi="Times New Roman"/>
          <w:spacing w:val="-9"/>
          <w:sz w:val="24"/>
        </w:rPr>
        <w:t xml:space="preserve"> </w:t>
      </w:r>
      <w:r>
        <w:rPr>
          <w:rFonts w:ascii="Times New Roman" w:hAnsi="Times New Roman"/>
          <w:sz w:val="24"/>
        </w:rPr>
        <w:t>všechny</w:t>
      </w:r>
      <w:r>
        <w:rPr>
          <w:rFonts w:ascii="Times New Roman" w:hAnsi="Times New Roman"/>
          <w:spacing w:val="-6"/>
          <w:sz w:val="24"/>
        </w:rPr>
        <w:t xml:space="preserve"> </w:t>
      </w:r>
      <w:r>
        <w:rPr>
          <w:rFonts w:ascii="Times New Roman" w:hAnsi="Times New Roman"/>
          <w:sz w:val="24"/>
        </w:rPr>
        <w:t>spory</w:t>
      </w:r>
      <w:r>
        <w:rPr>
          <w:rFonts w:ascii="Times New Roman" w:hAnsi="Times New Roman"/>
          <w:spacing w:val="-6"/>
          <w:sz w:val="24"/>
        </w:rPr>
        <w:t xml:space="preserve"> </w:t>
      </w:r>
      <w:r>
        <w:rPr>
          <w:rFonts w:ascii="Times New Roman" w:hAnsi="Times New Roman"/>
          <w:sz w:val="24"/>
        </w:rPr>
        <w:t>vzniklé</w:t>
      </w:r>
      <w:r>
        <w:rPr>
          <w:rFonts w:ascii="Times New Roman" w:hAnsi="Times New Roman"/>
          <w:spacing w:val="-7"/>
          <w:sz w:val="24"/>
        </w:rPr>
        <w:t xml:space="preserve"> </w:t>
      </w: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této</w:t>
      </w:r>
      <w:r>
        <w:rPr>
          <w:rFonts w:ascii="Times New Roman" w:hAnsi="Times New Roman"/>
          <w:spacing w:val="-6"/>
          <w:sz w:val="24"/>
        </w:rPr>
        <w:t xml:space="preserve"> </w:t>
      </w:r>
      <w:r>
        <w:rPr>
          <w:rFonts w:ascii="Times New Roman" w:hAnsi="Times New Roman"/>
          <w:sz w:val="24"/>
        </w:rPr>
        <w:t>pojistné</w:t>
      </w:r>
      <w:r>
        <w:rPr>
          <w:rFonts w:ascii="Times New Roman" w:hAnsi="Times New Roman"/>
          <w:spacing w:val="-7"/>
          <w:sz w:val="24"/>
        </w:rPr>
        <w:t xml:space="preserve"> </w:t>
      </w:r>
      <w:r>
        <w:rPr>
          <w:rFonts w:ascii="Times New Roman" w:hAnsi="Times New Roman"/>
          <w:sz w:val="24"/>
        </w:rPr>
        <w:t>smlouvy</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7"/>
          <w:sz w:val="24"/>
        </w:rPr>
        <w:t xml:space="preserve"> </w:t>
      </w:r>
      <w:r>
        <w:rPr>
          <w:rFonts w:ascii="Times New Roman" w:hAnsi="Times New Roman"/>
          <w:sz w:val="24"/>
        </w:rPr>
        <w:t>budou řídit podle sídla Pojistníka. Rozhodčí řízení je</w:t>
      </w:r>
      <w:r>
        <w:rPr>
          <w:rFonts w:ascii="Times New Roman" w:hAnsi="Times New Roman"/>
          <w:spacing w:val="-6"/>
          <w:sz w:val="24"/>
        </w:rPr>
        <w:t xml:space="preserve"> </w:t>
      </w:r>
      <w:r>
        <w:rPr>
          <w:rFonts w:ascii="Times New Roman" w:hAnsi="Times New Roman"/>
          <w:sz w:val="24"/>
        </w:rPr>
        <w:t>vyloučeno.</w:t>
      </w:r>
    </w:p>
    <w:p w14:paraId="2C1DF790" w14:textId="77777777" w:rsidR="00F65BCA" w:rsidRDefault="00216117">
      <w:pPr>
        <w:pStyle w:val="Odstavecseseznamem"/>
        <w:numPr>
          <w:ilvl w:val="1"/>
          <w:numId w:val="155"/>
        </w:numPr>
        <w:tabs>
          <w:tab w:val="left" w:pos="955"/>
        </w:tabs>
        <w:ind w:right="107" w:firstLine="0"/>
        <w:jc w:val="both"/>
        <w:rPr>
          <w:rFonts w:ascii="Times New Roman" w:hAnsi="Times New Roman"/>
          <w:sz w:val="24"/>
        </w:rPr>
      </w:pPr>
      <w:r>
        <w:rPr>
          <w:rFonts w:ascii="Times New Roman" w:hAnsi="Times New Roman"/>
          <w:sz w:val="24"/>
        </w:rPr>
        <w:t>Jakékoliv změny či doplnění této pojistné smlouvy, mohou být učiněny výhradně písemnými dodatky schválenými oběma smluvními</w:t>
      </w:r>
      <w:r>
        <w:rPr>
          <w:rFonts w:ascii="Times New Roman" w:hAnsi="Times New Roman"/>
          <w:spacing w:val="-3"/>
          <w:sz w:val="24"/>
        </w:rPr>
        <w:t xml:space="preserve"> </w:t>
      </w:r>
      <w:r>
        <w:rPr>
          <w:rFonts w:ascii="Times New Roman" w:hAnsi="Times New Roman"/>
          <w:sz w:val="24"/>
        </w:rPr>
        <w:t>stranami.</w:t>
      </w:r>
    </w:p>
    <w:p w14:paraId="14AF12FA" w14:textId="77777777" w:rsidR="00F65BCA" w:rsidRDefault="00216117">
      <w:pPr>
        <w:pStyle w:val="Odstavecseseznamem"/>
        <w:numPr>
          <w:ilvl w:val="1"/>
          <w:numId w:val="155"/>
        </w:numPr>
        <w:tabs>
          <w:tab w:val="left" w:pos="885"/>
        </w:tabs>
        <w:ind w:right="107" w:firstLine="0"/>
        <w:jc w:val="both"/>
        <w:rPr>
          <w:rFonts w:ascii="Times New Roman" w:hAnsi="Times New Roman"/>
          <w:sz w:val="24"/>
        </w:rPr>
      </w:pPr>
      <w:r>
        <w:rPr>
          <w:rFonts w:ascii="Times New Roman" w:hAnsi="Times New Roman"/>
          <w:sz w:val="24"/>
        </w:rPr>
        <w:t>Smlouva  nabývá  platnosti  dnem  podpisu  oběma  smluvními  stranami  a  účinnosti  dnem  1. 1.</w:t>
      </w:r>
      <w:r>
        <w:rPr>
          <w:rFonts w:ascii="Times New Roman" w:hAnsi="Times New Roman"/>
          <w:spacing w:val="-2"/>
          <w:sz w:val="24"/>
        </w:rPr>
        <w:t xml:space="preserve"> </w:t>
      </w:r>
      <w:r>
        <w:rPr>
          <w:rFonts w:ascii="Times New Roman" w:hAnsi="Times New Roman"/>
          <w:sz w:val="24"/>
        </w:rPr>
        <w:t>2026.</w:t>
      </w:r>
    </w:p>
    <w:p w14:paraId="1B77B51F" w14:textId="77777777" w:rsidR="00F65BCA" w:rsidRDefault="00F65BCA">
      <w:pPr>
        <w:pStyle w:val="Zkladntext"/>
        <w:rPr>
          <w:rFonts w:ascii="Times New Roman"/>
          <w:sz w:val="24"/>
        </w:rPr>
      </w:pPr>
    </w:p>
    <w:p w14:paraId="5A6C37DB" w14:textId="77777777" w:rsidR="00F65BCA" w:rsidRDefault="00216117">
      <w:pPr>
        <w:ind w:left="258"/>
        <w:jc w:val="both"/>
        <w:rPr>
          <w:rFonts w:ascii="Times New Roman" w:hAnsi="Times New Roman"/>
          <w:sz w:val="24"/>
        </w:rPr>
      </w:pPr>
      <w:r>
        <w:rPr>
          <w:rFonts w:ascii="Times New Roman" w:hAnsi="Times New Roman"/>
          <w:sz w:val="24"/>
        </w:rPr>
        <w:t>V Ostravě dne</w:t>
      </w:r>
    </w:p>
    <w:p w14:paraId="04A7C559" w14:textId="77777777" w:rsidR="00F65BCA" w:rsidRDefault="00F65BCA">
      <w:pPr>
        <w:pStyle w:val="Zkladntext"/>
        <w:rPr>
          <w:rFonts w:ascii="Times New Roman"/>
          <w:sz w:val="24"/>
        </w:rPr>
      </w:pPr>
    </w:p>
    <w:p w14:paraId="334A9351" w14:textId="77777777" w:rsidR="00F65BCA" w:rsidRDefault="00216117">
      <w:pPr>
        <w:tabs>
          <w:tab w:val="left" w:pos="5297"/>
        </w:tabs>
        <w:ind w:left="258"/>
        <w:jc w:val="both"/>
        <w:rPr>
          <w:rFonts w:ascii="Times New Roman" w:hAnsi="Times New Roman"/>
          <w:sz w:val="24"/>
        </w:rPr>
      </w:pPr>
      <w:r>
        <w:rPr>
          <w:rFonts w:ascii="Times New Roman" w:hAnsi="Times New Roman"/>
          <w:sz w:val="24"/>
        </w:rPr>
        <w:t>Za</w:t>
      </w:r>
      <w:r>
        <w:rPr>
          <w:rFonts w:ascii="Times New Roman" w:hAnsi="Times New Roman"/>
          <w:spacing w:val="-2"/>
          <w:sz w:val="24"/>
        </w:rPr>
        <w:t xml:space="preserve"> </w:t>
      </w:r>
      <w:r>
        <w:rPr>
          <w:rFonts w:ascii="Times New Roman" w:hAnsi="Times New Roman"/>
          <w:sz w:val="24"/>
        </w:rPr>
        <w:t>Pojistníka:</w:t>
      </w:r>
      <w:r>
        <w:rPr>
          <w:rFonts w:ascii="Times New Roman" w:hAnsi="Times New Roman"/>
          <w:sz w:val="24"/>
        </w:rPr>
        <w:tab/>
        <w:t>Za</w:t>
      </w:r>
      <w:r>
        <w:rPr>
          <w:rFonts w:ascii="Times New Roman" w:hAnsi="Times New Roman"/>
          <w:spacing w:val="-1"/>
          <w:sz w:val="24"/>
        </w:rPr>
        <w:t xml:space="preserve"> </w:t>
      </w:r>
      <w:r>
        <w:rPr>
          <w:rFonts w:ascii="Times New Roman" w:hAnsi="Times New Roman"/>
          <w:sz w:val="24"/>
        </w:rPr>
        <w:t>Pojistitele:</w:t>
      </w:r>
    </w:p>
    <w:p w14:paraId="4F0255CE" w14:textId="77777777" w:rsidR="00F65BCA" w:rsidRDefault="00F65BCA">
      <w:pPr>
        <w:jc w:val="both"/>
        <w:rPr>
          <w:rFonts w:ascii="Times New Roman" w:hAnsi="Times New Roman"/>
          <w:sz w:val="24"/>
        </w:rPr>
        <w:sectPr w:rsidR="00F65BCA">
          <w:pgSz w:w="11900" w:h="16840"/>
          <w:pgMar w:top="1220" w:right="600" w:bottom="280" w:left="1160" w:header="708" w:footer="708" w:gutter="0"/>
          <w:cols w:space="708"/>
        </w:sectPr>
      </w:pPr>
    </w:p>
    <w:p w14:paraId="27A28F56" w14:textId="77777777" w:rsidR="00F65BCA" w:rsidRDefault="00000000">
      <w:pPr>
        <w:spacing w:before="159" w:line="235" w:lineRule="auto"/>
        <w:ind w:left="286"/>
        <w:rPr>
          <w:rFonts w:ascii="Calibri" w:hAnsi="Calibri"/>
          <w:sz w:val="28"/>
        </w:rPr>
      </w:pPr>
      <w:r>
        <w:pict w14:anchorId="53EF52B9">
          <v:shape id="_x0000_s2571" style="position:absolute;left:0;text-align:left;margin-left:148.05pt;margin-top:8.65pt;width:51.95pt;height:51.55pt;z-index:-299570176;mso-position-horizontal-relative:page" coordorigin="2961,173" coordsize="1039,1031" o:spt="100" adj="0,,0" path="m3148,986r-90,58l3000,1101r-30,49l2961,1187r6,13l2973,1204r70,l3046,1201r-65,l2990,1163r34,-54l3078,1047r70,-61xm3405,173r-21,14l3373,219r-4,36l3369,281r1,23l3372,329r3,27l3379,383r6,28l3391,440r6,29l3405,497r-7,30l3380,580r-28,71l3315,735r-43,90l3225,917r-51,87l3123,1082r-51,63l3024,1186r-43,15l3046,1201r35,-25l3130,1124r56,-77l3249,943r10,-3l3249,940r63,-112l3357,736r32,-73l3410,604r14,-49l3461,555r-23,-61l3445,440r-21,l3412,394r-9,-45l3399,307r-2,-38l3398,253r2,-27l3407,198r13,-19l3445,179r-13,-5l3405,173xm3988,938r-29,l3947,949r,28l3959,988r29,l3994,983r-32,l3952,974r,-22l3962,943r32,l3988,938xm3994,943r-9,l3993,952r,22l3985,983r9,l3999,977r,-28l3994,943xm3980,947r-17,l3963,977r5,l3968,966r14,l3981,965r-3,-1l3984,961r-16,l3968,953r15,l3983,951r-3,-4xm3982,966r-7,l3977,969r1,3l3979,977r5,l3983,972r,-4l3982,966xm3983,953r-7,l3978,954r,6l3975,961r9,l3984,957r-1,-4xm3461,555r-37,l3469,650r48,71l3563,771r42,34l3641,827r-76,15l3486,860r-79,23l3327,909r-78,31l3259,940r55,-17l3384,904r73,-16l3531,874r75,-12l3680,854r79,l3742,846r72,-3l3977,843r-27,-15l3910,820r-214,l3671,806r-24,-15l3623,775r-23,-17l3548,705r-45,-64l3466,570r-5,-15xm3759,854r-79,l3749,885r69,24l3881,923r52,6l3955,927r17,-4l3983,915r1,-3l3956,912r-42,-5l3862,894r-58,-21l3759,854xm3988,904r-7,4l3969,912r15,l3988,904xm3977,843r-163,l3897,845r68,15l3993,893r3,-8l3999,882r,-7l3986,848r-9,-5xm3822,812r-28,1l3763,815r-67,5l3910,820r-16,-4l3822,812xm3456,259r-6,32l3443,331r-8,50l3424,440r21,l3446,433r5,-58l3453,318r3,-59xm3445,179r-25,l3431,186r11,12l3451,215r5,25l3460,201r-9,-20l3445,179xe" fillcolor="#ffd8d8" stroked="f">
            <v:stroke joinstyle="round"/>
            <v:formulas/>
            <v:path arrowok="t" o:connecttype="segments"/>
            <w10:wrap anchorx="page"/>
          </v:shape>
        </w:pict>
      </w:r>
      <w:r w:rsidR="00216117">
        <w:rPr>
          <w:rFonts w:ascii="Calibri" w:hAnsi="Calibri"/>
          <w:sz w:val="28"/>
        </w:rPr>
        <w:t>prof. RNDr. Miroslav Lávička,</w:t>
      </w:r>
    </w:p>
    <w:p w14:paraId="2261A55E" w14:textId="77777777" w:rsidR="00F65BCA" w:rsidRDefault="00216117">
      <w:pPr>
        <w:spacing w:before="8" w:line="278" w:lineRule="exact"/>
        <w:ind w:left="286"/>
        <w:rPr>
          <w:rFonts w:ascii="Calibri"/>
          <w:sz w:val="28"/>
        </w:rPr>
      </w:pPr>
      <w:r>
        <w:rPr>
          <w:rFonts w:ascii="Calibri"/>
          <w:sz w:val="28"/>
        </w:rPr>
        <w:t>Ph.D.</w:t>
      </w:r>
    </w:p>
    <w:p w14:paraId="1711D9CC" w14:textId="77777777" w:rsidR="00F65BCA" w:rsidRDefault="00216117">
      <w:pPr>
        <w:pStyle w:val="Zkladntext"/>
        <w:spacing w:before="1"/>
        <w:rPr>
          <w:rFonts w:ascii="Calibri"/>
          <w:sz w:val="23"/>
        </w:rPr>
      </w:pPr>
      <w:r>
        <w:br w:type="column"/>
      </w:r>
    </w:p>
    <w:p w14:paraId="22DD2800" w14:textId="77777777" w:rsidR="00F65BCA" w:rsidRDefault="00216117">
      <w:pPr>
        <w:ind w:left="71" w:right="9"/>
        <w:rPr>
          <w:rFonts w:ascii="Calibri" w:hAnsi="Calibri"/>
          <w:sz w:val="16"/>
        </w:rPr>
      </w:pPr>
      <w:r>
        <w:rPr>
          <w:rFonts w:ascii="Calibri" w:hAnsi="Calibri"/>
          <w:sz w:val="16"/>
        </w:rPr>
        <w:t>Digitálně podepsal prof. RNDr. Miroslav Lávička, Ph.D. Datum: 2025.11.28 12:09:10</w:t>
      </w:r>
    </w:p>
    <w:p w14:paraId="19544704" w14:textId="77777777" w:rsidR="00F65BCA" w:rsidRDefault="00216117">
      <w:pPr>
        <w:spacing w:line="193" w:lineRule="exact"/>
        <w:ind w:left="71"/>
        <w:rPr>
          <w:rFonts w:ascii="Calibri"/>
          <w:sz w:val="16"/>
        </w:rPr>
      </w:pPr>
      <w:r>
        <w:rPr>
          <w:rFonts w:ascii="Calibri"/>
          <w:sz w:val="16"/>
        </w:rPr>
        <w:t>+01'00'</w:t>
      </w:r>
    </w:p>
    <w:p w14:paraId="51353513" w14:textId="637CAB37" w:rsidR="00F65BCA" w:rsidRDefault="00216117">
      <w:pPr>
        <w:pStyle w:val="Nadpis3"/>
        <w:spacing w:before="113" w:line="252" w:lineRule="auto"/>
        <w:ind w:left="286" w:right="848"/>
        <w:jc w:val="left"/>
        <w:rPr>
          <w:rFonts w:ascii="Calibri" w:hAnsi="Calibri"/>
        </w:rPr>
      </w:pPr>
      <w:r>
        <w:br w:type="column"/>
      </w:r>
      <w:r>
        <w:rPr>
          <w:rFonts w:ascii="Calibri" w:hAnsi="Calibri"/>
          <w:w w:val="105"/>
        </w:rPr>
        <w:t>Digitálně podepsal xxxx Datum: 2025.11.24</w:t>
      </w:r>
    </w:p>
    <w:p w14:paraId="014204D4" w14:textId="77777777" w:rsidR="00F65BCA" w:rsidRDefault="00216117">
      <w:pPr>
        <w:pStyle w:val="Nadpis3"/>
        <w:spacing w:before="0" w:line="155" w:lineRule="exact"/>
        <w:ind w:left="286"/>
        <w:jc w:val="left"/>
        <w:rPr>
          <w:rFonts w:ascii="Calibri"/>
        </w:rPr>
      </w:pPr>
      <w:r>
        <w:rPr>
          <w:noProof/>
        </w:rPr>
        <w:drawing>
          <wp:anchor distT="0" distB="0" distL="0" distR="0" simplePos="0" relativeHeight="203744256" behindDoc="1" locked="0" layoutInCell="1" allowOverlap="1" wp14:anchorId="1F455F00" wp14:editId="435A3AAC">
            <wp:simplePos x="0" y="0"/>
            <wp:positionH relativeFrom="page">
              <wp:posOffset>4052474</wp:posOffset>
            </wp:positionH>
            <wp:positionV relativeFrom="paragraph">
              <wp:posOffset>-516201</wp:posOffset>
            </wp:positionV>
            <wp:extent cx="1246908" cy="67022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246908" cy="670224"/>
                    </a:xfrm>
                    <a:prstGeom prst="rect">
                      <a:avLst/>
                    </a:prstGeom>
                  </pic:spPr>
                </pic:pic>
              </a:graphicData>
            </a:graphic>
          </wp:anchor>
        </w:drawing>
      </w:r>
      <w:r>
        <w:rPr>
          <w:rFonts w:ascii="Calibri"/>
          <w:w w:val="105"/>
        </w:rPr>
        <w:t>15:17:41 +01'00'</w:t>
      </w:r>
    </w:p>
    <w:p w14:paraId="5CBFF435" w14:textId="77777777" w:rsidR="00F65BCA" w:rsidRDefault="00F65BCA">
      <w:pPr>
        <w:spacing w:line="155" w:lineRule="exact"/>
        <w:rPr>
          <w:rFonts w:ascii="Calibri"/>
        </w:rPr>
        <w:sectPr w:rsidR="00F65BCA">
          <w:type w:val="continuous"/>
          <w:pgSz w:w="11900" w:h="16840"/>
          <w:pgMar w:top="840" w:right="600" w:bottom="280" w:left="1160" w:header="708" w:footer="708" w:gutter="0"/>
          <w:cols w:num="3" w:space="708" w:equalWidth="0">
            <w:col w:w="2245" w:space="40"/>
            <w:col w:w="2011" w:space="2642"/>
            <w:col w:w="3202"/>
          </w:cols>
        </w:sectPr>
      </w:pPr>
    </w:p>
    <w:p w14:paraId="4B088220" w14:textId="77777777" w:rsidR="00F65BCA" w:rsidRDefault="00216117">
      <w:pPr>
        <w:tabs>
          <w:tab w:val="left" w:pos="5297"/>
        </w:tabs>
        <w:ind w:left="258" w:right="1479"/>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pacing w:val="-1"/>
          <w:sz w:val="24"/>
        </w:rPr>
        <w:t xml:space="preserve">…………………………………… </w:t>
      </w:r>
      <w:r>
        <w:rPr>
          <w:rFonts w:ascii="Times New Roman" w:hAnsi="Times New Roman"/>
          <w:sz w:val="24"/>
        </w:rPr>
        <w:t>Západočeská univerzita</w:t>
      </w:r>
      <w:r>
        <w:rPr>
          <w:rFonts w:ascii="Times New Roman" w:hAnsi="Times New Roman"/>
          <w:spacing w:val="-5"/>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Plzni</w:t>
      </w:r>
      <w:r>
        <w:rPr>
          <w:rFonts w:ascii="Times New Roman" w:hAnsi="Times New Roman"/>
          <w:sz w:val="24"/>
        </w:rPr>
        <w:tab/>
        <w:t>Generali Česká pojišťovna</w:t>
      </w:r>
      <w:r>
        <w:rPr>
          <w:rFonts w:ascii="Times New Roman" w:hAnsi="Times New Roman"/>
          <w:spacing w:val="-3"/>
          <w:sz w:val="24"/>
        </w:rPr>
        <w:t xml:space="preserve"> </w:t>
      </w:r>
      <w:r>
        <w:rPr>
          <w:rFonts w:ascii="Times New Roman" w:hAnsi="Times New Roman"/>
          <w:sz w:val="24"/>
        </w:rPr>
        <w:t>a.s.</w:t>
      </w:r>
    </w:p>
    <w:p w14:paraId="2074E802" w14:textId="3A73E4A5" w:rsidR="00F65BCA" w:rsidRDefault="00216117">
      <w:pPr>
        <w:tabs>
          <w:tab w:val="left" w:pos="5297"/>
        </w:tabs>
        <w:ind w:left="258"/>
        <w:rPr>
          <w:rFonts w:ascii="Times New Roman" w:hAnsi="Times New Roman"/>
          <w:sz w:val="24"/>
        </w:rPr>
      </w:pPr>
      <w:r>
        <w:rPr>
          <w:rFonts w:ascii="Times New Roman" w:hAnsi="Times New Roman"/>
          <w:sz w:val="24"/>
        </w:rPr>
        <w:t>prof. RNDr. Miroslav</w:t>
      </w:r>
      <w:r>
        <w:rPr>
          <w:rFonts w:ascii="Times New Roman" w:hAnsi="Times New Roman"/>
          <w:spacing w:val="-7"/>
          <w:sz w:val="24"/>
        </w:rPr>
        <w:t xml:space="preserve"> </w:t>
      </w:r>
      <w:r>
        <w:rPr>
          <w:rFonts w:ascii="Times New Roman" w:hAnsi="Times New Roman"/>
          <w:sz w:val="24"/>
        </w:rPr>
        <w:t>Lávička,</w:t>
      </w:r>
      <w:r>
        <w:rPr>
          <w:rFonts w:ascii="Times New Roman" w:hAnsi="Times New Roman"/>
          <w:spacing w:val="-2"/>
          <w:sz w:val="24"/>
        </w:rPr>
        <w:t xml:space="preserve"> </w:t>
      </w:r>
      <w:r>
        <w:rPr>
          <w:rFonts w:ascii="Times New Roman" w:hAnsi="Times New Roman"/>
          <w:sz w:val="24"/>
        </w:rPr>
        <w:t>Ph.D.</w:t>
      </w:r>
      <w:r>
        <w:rPr>
          <w:rFonts w:ascii="Times New Roman" w:hAnsi="Times New Roman"/>
          <w:sz w:val="24"/>
        </w:rPr>
        <w:tab/>
        <w:t>xxxx</w:t>
      </w:r>
    </w:p>
    <w:p w14:paraId="3FF55B29" w14:textId="3F5327BD" w:rsidR="00F65BCA" w:rsidRDefault="00216117">
      <w:pPr>
        <w:tabs>
          <w:tab w:val="left" w:pos="5298"/>
        </w:tabs>
        <w:ind w:left="258"/>
        <w:rPr>
          <w:rFonts w:ascii="Times New Roman" w:hAnsi="Times New Roman"/>
          <w:sz w:val="24"/>
        </w:rPr>
      </w:pPr>
      <w:r>
        <w:rPr>
          <w:rFonts w:ascii="Times New Roman" w:hAnsi="Times New Roman"/>
          <w:sz w:val="24"/>
        </w:rPr>
        <w:t>Rektor</w:t>
      </w:r>
      <w:r>
        <w:rPr>
          <w:rFonts w:ascii="Times New Roman" w:hAnsi="Times New Roman"/>
          <w:sz w:val="24"/>
        </w:rPr>
        <w:tab/>
        <w:t>xxxx</w:t>
      </w:r>
    </w:p>
    <w:p w14:paraId="42B703D8" w14:textId="5A611E3D" w:rsidR="00F65BCA" w:rsidRDefault="00216117">
      <w:pPr>
        <w:ind w:left="5298"/>
        <w:rPr>
          <w:rFonts w:ascii="Times New Roman" w:hAnsi="Times New Roman"/>
          <w:sz w:val="24"/>
        </w:rPr>
      </w:pPr>
      <w:r>
        <w:rPr>
          <w:rFonts w:ascii="Times New Roman" w:hAnsi="Times New Roman"/>
          <w:sz w:val="24"/>
        </w:rPr>
        <w:t>xxxx</w:t>
      </w:r>
    </w:p>
    <w:p w14:paraId="021B480B" w14:textId="4FB9D523" w:rsidR="00F65BCA" w:rsidRDefault="00216117">
      <w:pPr>
        <w:spacing w:before="83"/>
        <w:ind w:left="7284" w:right="676"/>
        <w:rPr>
          <w:rFonts w:ascii="Calibri" w:hAnsi="Calibri"/>
          <w:sz w:val="24"/>
        </w:rPr>
      </w:pPr>
      <w:r>
        <w:rPr>
          <w:noProof/>
        </w:rPr>
        <w:drawing>
          <wp:anchor distT="0" distB="0" distL="0" distR="0" simplePos="0" relativeHeight="203745280" behindDoc="1" locked="0" layoutInCell="1" allowOverlap="1" wp14:anchorId="7789B0BF" wp14:editId="784E8E89">
            <wp:simplePos x="0" y="0"/>
            <wp:positionH relativeFrom="page">
              <wp:posOffset>4103760</wp:posOffset>
            </wp:positionH>
            <wp:positionV relativeFrom="paragraph">
              <wp:posOffset>100245</wp:posOffset>
            </wp:positionV>
            <wp:extent cx="1234024" cy="66337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234024" cy="663373"/>
                    </a:xfrm>
                    <a:prstGeom prst="rect">
                      <a:avLst/>
                    </a:prstGeom>
                  </pic:spPr>
                </pic:pic>
              </a:graphicData>
            </a:graphic>
          </wp:anchor>
        </w:drawing>
      </w:r>
      <w:r>
        <w:rPr>
          <w:rFonts w:ascii="Calibri" w:hAnsi="Calibri"/>
          <w:w w:val="105"/>
          <w:sz w:val="24"/>
        </w:rPr>
        <w:t xml:space="preserve">Digitálně podepsal xxxx </w:t>
      </w:r>
      <w:r>
        <w:rPr>
          <w:rFonts w:ascii="Calibri" w:hAnsi="Calibri"/>
          <w:sz w:val="24"/>
        </w:rPr>
        <w:t>Datum: 2025.11.24</w:t>
      </w:r>
    </w:p>
    <w:p w14:paraId="6BA787EA" w14:textId="1828D4A9" w:rsidR="00F65BCA" w:rsidRDefault="00216117">
      <w:pPr>
        <w:ind w:left="5298" w:right="1220"/>
        <w:rPr>
          <w:rFonts w:ascii="Times New Roman" w:hAnsi="Times New Roman"/>
          <w:sz w:val="24"/>
        </w:rPr>
      </w:pPr>
      <w:r>
        <w:rPr>
          <w:rFonts w:ascii="Times New Roman" w:hAnsi="Times New Roman"/>
          <w:w w:val="99"/>
          <w:position w:val="-12"/>
          <w:sz w:val="24"/>
        </w:rPr>
        <w:t>……………………</w:t>
      </w:r>
      <w:r>
        <w:rPr>
          <w:rFonts w:ascii="Times New Roman" w:hAnsi="Times New Roman"/>
          <w:spacing w:val="-174"/>
          <w:w w:val="99"/>
          <w:position w:val="-12"/>
          <w:sz w:val="24"/>
        </w:rPr>
        <w:t>…</w:t>
      </w:r>
      <w:r>
        <w:rPr>
          <w:rFonts w:ascii="Calibri" w:hAnsi="Calibri"/>
          <w:w w:val="101"/>
          <w:sz w:val="24"/>
        </w:rPr>
        <w:t>1</w:t>
      </w:r>
      <w:r>
        <w:rPr>
          <w:rFonts w:ascii="Calibri" w:hAnsi="Calibri"/>
          <w:spacing w:val="-74"/>
          <w:w w:val="101"/>
          <w:sz w:val="24"/>
        </w:rPr>
        <w:t>5</w:t>
      </w:r>
      <w:r>
        <w:rPr>
          <w:rFonts w:ascii="Times New Roman" w:hAnsi="Times New Roman"/>
          <w:spacing w:val="-167"/>
          <w:w w:val="99"/>
          <w:position w:val="-12"/>
          <w:sz w:val="24"/>
        </w:rPr>
        <w:t>…</w:t>
      </w:r>
      <w:r>
        <w:rPr>
          <w:rFonts w:ascii="Calibri" w:hAnsi="Calibri"/>
          <w:w w:val="77"/>
          <w:sz w:val="24"/>
        </w:rPr>
        <w:t>:</w:t>
      </w:r>
      <w:r>
        <w:rPr>
          <w:rFonts w:ascii="Calibri" w:hAnsi="Calibri"/>
          <w:spacing w:val="-7"/>
          <w:w w:val="101"/>
          <w:sz w:val="24"/>
        </w:rPr>
        <w:t>2</w:t>
      </w:r>
      <w:r>
        <w:rPr>
          <w:rFonts w:ascii="Times New Roman" w:hAnsi="Times New Roman"/>
          <w:spacing w:val="-234"/>
          <w:w w:val="99"/>
          <w:position w:val="-12"/>
          <w:sz w:val="24"/>
        </w:rPr>
        <w:t>…</w:t>
      </w:r>
      <w:r>
        <w:rPr>
          <w:rFonts w:ascii="Calibri" w:hAnsi="Calibri"/>
          <w:w w:val="93"/>
          <w:sz w:val="24"/>
        </w:rPr>
        <w:t>2:</w:t>
      </w:r>
      <w:r>
        <w:rPr>
          <w:rFonts w:ascii="Calibri" w:hAnsi="Calibri"/>
          <w:spacing w:val="-64"/>
          <w:w w:val="101"/>
          <w:sz w:val="24"/>
        </w:rPr>
        <w:t>3</w:t>
      </w:r>
      <w:r>
        <w:rPr>
          <w:rFonts w:ascii="Times New Roman" w:hAnsi="Times New Roman"/>
          <w:spacing w:val="-177"/>
          <w:w w:val="99"/>
          <w:position w:val="-12"/>
          <w:sz w:val="24"/>
        </w:rPr>
        <w:t>…</w:t>
      </w:r>
      <w:r>
        <w:rPr>
          <w:rFonts w:ascii="Calibri" w:hAnsi="Calibri"/>
          <w:w w:val="101"/>
          <w:sz w:val="24"/>
        </w:rPr>
        <w:t>2</w:t>
      </w:r>
      <w:r>
        <w:rPr>
          <w:rFonts w:ascii="Calibri" w:hAnsi="Calibri"/>
          <w:sz w:val="24"/>
        </w:rPr>
        <w:t xml:space="preserve"> </w:t>
      </w:r>
      <w:r>
        <w:rPr>
          <w:rFonts w:ascii="Calibri" w:hAnsi="Calibri"/>
          <w:spacing w:val="-142"/>
          <w:w w:val="119"/>
          <w:sz w:val="24"/>
        </w:rPr>
        <w:t>+</w:t>
      </w:r>
      <w:r>
        <w:rPr>
          <w:rFonts w:ascii="Times New Roman" w:hAnsi="Times New Roman"/>
          <w:spacing w:val="-99"/>
          <w:w w:val="99"/>
          <w:position w:val="-12"/>
          <w:sz w:val="24"/>
        </w:rPr>
        <w:t>…</w:t>
      </w:r>
      <w:r>
        <w:rPr>
          <w:rFonts w:ascii="Calibri" w:hAnsi="Calibri"/>
          <w:spacing w:val="-25"/>
          <w:w w:val="101"/>
          <w:sz w:val="24"/>
        </w:rPr>
        <w:t>0</w:t>
      </w:r>
      <w:r>
        <w:rPr>
          <w:rFonts w:ascii="Times New Roman" w:hAnsi="Times New Roman"/>
          <w:spacing w:val="-216"/>
          <w:w w:val="99"/>
          <w:position w:val="-12"/>
          <w:sz w:val="24"/>
        </w:rPr>
        <w:t>…</w:t>
      </w:r>
      <w:r>
        <w:rPr>
          <w:rFonts w:ascii="Calibri" w:hAnsi="Calibri"/>
          <w:w w:val="97"/>
          <w:sz w:val="24"/>
        </w:rPr>
        <w:t xml:space="preserve">1'00' </w:t>
      </w:r>
      <w:r>
        <w:rPr>
          <w:rFonts w:ascii="Times New Roman" w:hAnsi="Times New Roman"/>
          <w:sz w:val="24"/>
        </w:rPr>
        <w:t>xxxx</w:t>
      </w:r>
    </w:p>
    <w:p w14:paraId="5A988557" w14:textId="77777777" w:rsidR="00216117" w:rsidRDefault="00216117">
      <w:pPr>
        <w:ind w:left="5298" w:right="1729"/>
        <w:rPr>
          <w:rFonts w:ascii="Times New Roman" w:hAnsi="Times New Roman"/>
          <w:sz w:val="24"/>
        </w:rPr>
      </w:pPr>
      <w:r>
        <w:rPr>
          <w:rFonts w:ascii="Times New Roman" w:hAnsi="Times New Roman"/>
          <w:sz w:val="24"/>
        </w:rPr>
        <w:t xml:space="preserve">xxxx </w:t>
      </w:r>
    </w:p>
    <w:p w14:paraId="15160583" w14:textId="3B3E2830" w:rsidR="00F65BCA" w:rsidRDefault="00216117">
      <w:pPr>
        <w:ind w:left="5298" w:right="1729"/>
        <w:rPr>
          <w:rFonts w:ascii="Times New Roman" w:hAnsi="Times New Roman"/>
          <w:sz w:val="24"/>
        </w:rPr>
      </w:pPr>
      <w:r>
        <w:rPr>
          <w:rFonts w:ascii="Times New Roman" w:hAnsi="Times New Roman"/>
          <w:sz w:val="24"/>
        </w:rPr>
        <w:t>xxxx</w:t>
      </w:r>
    </w:p>
    <w:p w14:paraId="08DE338E" w14:textId="77777777" w:rsidR="00F65BCA" w:rsidRDefault="00F65BCA">
      <w:pPr>
        <w:pStyle w:val="Zkladntext"/>
        <w:rPr>
          <w:rFonts w:ascii="Times New Roman"/>
          <w:sz w:val="20"/>
        </w:rPr>
      </w:pPr>
    </w:p>
    <w:p w14:paraId="4F6C9491" w14:textId="77777777" w:rsidR="00F65BCA" w:rsidRDefault="00F65BCA">
      <w:pPr>
        <w:pStyle w:val="Zkladntext"/>
        <w:rPr>
          <w:rFonts w:ascii="Times New Roman"/>
          <w:sz w:val="20"/>
        </w:rPr>
      </w:pPr>
    </w:p>
    <w:p w14:paraId="138C718B" w14:textId="77777777" w:rsidR="00F65BCA" w:rsidRDefault="00F65BCA">
      <w:pPr>
        <w:pStyle w:val="Zkladntext"/>
        <w:rPr>
          <w:rFonts w:ascii="Times New Roman"/>
          <w:sz w:val="20"/>
        </w:rPr>
      </w:pPr>
    </w:p>
    <w:p w14:paraId="0DECA66F" w14:textId="77777777" w:rsidR="00F65BCA" w:rsidRDefault="00F65BCA">
      <w:pPr>
        <w:pStyle w:val="Zkladntext"/>
        <w:rPr>
          <w:rFonts w:ascii="Times New Roman"/>
          <w:sz w:val="20"/>
        </w:rPr>
      </w:pPr>
    </w:p>
    <w:p w14:paraId="4AB9A7FF" w14:textId="77777777" w:rsidR="00F65BCA" w:rsidRDefault="00F65BCA">
      <w:pPr>
        <w:pStyle w:val="Zkladntext"/>
        <w:rPr>
          <w:rFonts w:ascii="Times New Roman"/>
          <w:sz w:val="20"/>
        </w:rPr>
      </w:pPr>
    </w:p>
    <w:p w14:paraId="4F6EB9E7" w14:textId="77777777" w:rsidR="00F65BCA" w:rsidRDefault="00F65BCA">
      <w:pPr>
        <w:pStyle w:val="Zkladntext"/>
        <w:rPr>
          <w:rFonts w:ascii="Times New Roman"/>
          <w:sz w:val="20"/>
        </w:rPr>
      </w:pPr>
    </w:p>
    <w:p w14:paraId="65DEABB5" w14:textId="77777777" w:rsidR="00F65BCA" w:rsidRDefault="00F65BCA">
      <w:pPr>
        <w:pStyle w:val="Zkladntext"/>
        <w:rPr>
          <w:rFonts w:ascii="Times New Roman"/>
          <w:sz w:val="20"/>
        </w:rPr>
      </w:pPr>
    </w:p>
    <w:p w14:paraId="2A6E21F6" w14:textId="77777777" w:rsidR="00F65BCA" w:rsidRDefault="00F65BCA">
      <w:pPr>
        <w:pStyle w:val="Zkladntext"/>
        <w:rPr>
          <w:rFonts w:ascii="Times New Roman"/>
          <w:sz w:val="20"/>
        </w:rPr>
      </w:pPr>
    </w:p>
    <w:p w14:paraId="5E19A0B9" w14:textId="77777777" w:rsidR="00F65BCA" w:rsidRDefault="00F65BCA">
      <w:pPr>
        <w:pStyle w:val="Zkladntext"/>
        <w:rPr>
          <w:rFonts w:ascii="Times New Roman"/>
          <w:sz w:val="20"/>
        </w:rPr>
      </w:pPr>
    </w:p>
    <w:p w14:paraId="1837C88E" w14:textId="77777777" w:rsidR="00F65BCA" w:rsidRDefault="00F65BCA">
      <w:pPr>
        <w:pStyle w:val="Zkladntext"/>
        <w:rPr>
          <w:rFonts w:ascii="Times New Roman"/>
          <w:sz w:val="20"/>
        </w:rPr>
      </w:pPr>
    </w:p>
    <w:p w14:paraId="2F159FEB" w14:textId="77777777" w:rsidR="00F65BCA" w:rsidRDefault="00F65BCA">
      <w:pPr>
        <w:pStyle w:val="Zkladntext"/>
        <w:rPr>
          <w:rFonts w:ascii="Times New Roman"/>
          <w:sz w:val="20"/>
        </w:rPr>
      </w:pPr>
    </w:p>
    <w:p w14:paraId="6BA4B3EA" w14:textId="77777777" w:rsidR="00F65BCA" w:rsidRDefault="00F65BCA">
      <w:pPr>
        <w:pStyle w:val="Zkladntext"/>
        <w:rPr>
          <w:rFonts w:ascii="Times New Roman"/>
          <w:sz w:val="20"/>
        </w:rPr>
      </w:pPr>
    </w:p>
    <w:p w14:paraId="28970508" w14:textId="77777777" w:rsidR="00F65BCA" w:rsidRDefault="00F65BCA">
      <w:pPr>
        <w:pStyle w:val="Zkladntext"/>
        <w:rPr>
          <w:rFonts w:ascii="Times New Roman"/>
          <w:sz w:val="20"/>
        </w:rPr>
      </w:pPr>
    </w:p>
    <w:p w14:paraId="44A8C279" w14:textId="77777777" w:rsidR="00F65BCA" w:rsidRDefault="00F65BCA">
      <w:pPr>
        <w:pStyle w:val="Zkladntext"/>
        <w:rPr>
          <w:rFonts w:ascii="Times New Roman"/>
          <w:sz w:val="20"/>
        </w:rPr>
      </w:pPr>
    </w:p>
    <w:p w14:paraId="19396923" w14:textId="77777777" w:rsidR="00F65BCA" w:rsidRDefault="00F65BCA">
      <w:pPr>
        <w:pStyle w:val="Zkladntext"/>
        <w:rPr>
          <w:rFonts w:ascii="Times New Roman"/>
          <w:sz w:val="20"/>
        </w:rPr>
      </w:pPr>
    </w:p>
    <w:p w14:paraId="4A831AA3" w14:textId="77777777" w:rsidR="00F65BCA" w:rsidRDefault="00F65BCA">
      <w:pPr>
        <w:pStyle w:val="Zkladntext"/>
        <w:spacing w:before="11"/>
        <w:rPr>
          <w:rFonts w:ascii="Times New Roman"/>
          <w:sz w:val="29"/>
        </w:rPr>
      </w:pPr>
    </w:p>
    <w:p w14:paraId="22A1BE87" w14:textId="77777777" w:rsidR="00F65BCA" w:rsidRDefault="00216117">
      <w:pPr>
        <w:spacing w:before="95"/>
        <w:ind w:left="5033" w:right="4888"/>
        <w:jc w:val="center"/>
        <w:rPr>
          <w:sz w:val="16"/>
        </w:rPr>
      </w:pPr>
      <w:r>
        <w:rPr>
          <w:sz w:val="16"/>
        </w:rPr>
        <w:t>11</w:t>
      </w:r>
    </w:p>
    <w:p w14:paraId="3216F651" w14:textId="77777777" w:rsidR="00F65BCA" w:rsidRDefault="00F65BCA">
      <w:pPr>
        <w:jc w:val="center"/>
        <w:rPr>
          <w:sz w:val="16"/>
        </w:rPr>
        <w:sectPr w:rsidR="00F65BCA">
          <w:type w:val="continuous"/>
          <w:pgSz w:w="11900" w:h="16840"/>
          <w:pgMar w:top="840" w:right="600" w:bottom="280" w:left="1160" w:header="708" w:footer="708" w:gutter="0"/>
          <w:cols w:space="708"/>
        </w:sectPr>
      </w:pPr>
    </w:p>
    <w:p w14:paraId="35F460E3" w14:textId="77777777" w:rsidR="00F65BCA" w:rsidRDefault="00F65BCA">
      <w:pPr>
        <w:pStyle w:val="Zkladntext"/>
        <w:spacing w:before="3"/>
        <w:rPr>
          <w:sz w:val="22"/>
        </w:rPr>
      </w:pPr>
    </w:p>
    <w:p w14:paraId="7B35A7AC" w14:textId="77777777" w:rsidR="00F65BCA" w:rsidRDefault="00F65BCA">
      <w:pPr>
        <w:pStyle w:val="Zkladntext"/>
        <w:spacing w:before="8"/>
        <w:rPr>
          <w:sz w:val="7"/>
        </w:rPr>
      </w:pPr>
    </w:p>
    <w:p w14:paraId="546E6F10" w14:textId="77777777" w:rsidR="00F65BCA" w:rsidRDefault="00216117">
      <w:pPr>
        <w:tabs>
          <w:tab w:val="left" w:pos="7328"/>
        </w:tabs>
        <w:spacing w:before="1"/>
        <w:ind w:left="726"/>
        <w:rPr>
          <w:rFonts w:ascii="Calibri" w:hAnsi="Calibri"/>
          <w:b/>
          <w:sz w:val="7"/>
        </w:rPr>
      </w:pPr>
      <w:r>
        <w:rPr>
          <w:rFonts w:ascii="Calibri" w:hAnsi="Calibri"/>
          <w:b/>
          <w:w w:val="105"/>
          <w:sz w:val="7"/>
        </w:rPr>
        <w:t>Příloha č.1 -</w:t>
      </w:r>
      <w:r>
        <w:rPr>
          <w:rFonts w:ascii="Calibri" w:hAnsi="Calibri"/>
          <w:b/>
          <w:spacing w:val="-3"/>
          <w:w w:val="105"/>
          <w:sz w:val="7"/>
        </w:rPr>
        <w:t xml:space="preserve"> </w:t>
      </w:r>
      <w:r>
        <w:rPr>
          <w:rFonts w:ascii="Calibri" w:hAnsi="Calibri"/>
          <w:b/>
          <w:w w:val="105"/>
          <w:sz w:val="7"/>
        </w:rPr>
        <w:t>Seznam vozidel</w:t>
      </w:r>
      <w:r>
        <w:rPr>
          <w:rFonts w:ascii="Times New Roman" w:hAnsi="Times New Roman"/>
          <w:w w:val="105"/>
          <w:sz w:val="7"/>
        </w:rPr>
        <w:tab/>
      </w:r>
      <w:r>
        <w:rPr>
          <w:rFonts w:ascii="Calibri" w:hAnsi="Calibri"/>
          <w:b/>
          <w:w w:val="105"/>
          <w:sz w:val="7"/>
        </w:rPr>
        <w:t>Seznam vozidel Západočeská univerzita v</w:t>
      </w:r>
      <w:r>
        <w:rPr>
          <w:rFonts w:ascii="Calibri" w:hAnsi="Calibri"/>
          <w:b/>
          <w:spacing w:val="-1"/>
          <w:w w:val="105"/>
          <w:sz w:val="7"/>
        </w:rPr>
        <w:t xml:space="preserve"> </w:t>
      </w:r>
      <w:r>
        <w:rPr>
          <w:rFonts w:ascii="Calibri" w:hAnsi="Calibri"/>
          <w:b/>
          <w:w w:val="105"/>
          <w:sz w:val="7"/>
        </w:rPr>
        <w:t>Plzni</w:t>
      </w:r>
    </w:p>
    <w:p w14:paraId="2BA7A323" w14:textId="77777777" w:rsidR="00F65BCA" w:rsidRDefault="00F65BCA">
      <w:pPr>
        <w:pStyle w:val="Zkladntext"/>
        <w:spacing w:before="5" w:after="1"/>
        <w:rPr>
          <w:rFonts w:ascii="Calibri"/>
          <w:b/>
          <w:sz w:val="8"/>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
        <w:gridCol w:w="398"/>
        <w:gridCol w:w="1070"/>
        <w:gridCol w:w="398"/>
        <w:gridCol w:w="1072"/>
        <w:gridCol w:w="398"/>
        <w:gridCol w:w="398"/>
        <w:gridCol w:w="792"/>
        <w:gridCol w:w="398"/>
        <w:gridCol w:w="1065"/>
        <w:gridCol w:w="815"/>
        <w:gridCol w:w="273"/>
        <w:gridCol w:w="278"/>
        <w:gridCol w:w="268"/>
        <w:gridCol w:w="398"/>
        <w:gridCol w:w="249"/>
        <w:gridCol w:w="311"/>
        <w:gridCol w:w="256"/>
        <w:gridCol w:w="460"/>
        <w:gridCol w:w="278"/>
        <w:gridCol w:w="273"/>
        <w:gridCol w:w="398"/>
        <w:gridCol w:w="398"/>
        <w:gridCol w:w="278"/>
        <w:gridCol w:w="398"/>
        <w:gridCol w:w="398"/>
        <w:gridCol w:w="513"/>
        <w:gridCol w:w="460"/>
        <w:gridCol w:w="462"/>
        <w:gridCol w:w="392"/>
        <w:gridCol w:w="495"/>
        <w:gridCol w:w="500"/>
        <w:gridCol w:w="500"/>
        <w:gridCol w:w="458"/>
      </w:tblGrid>
      <w:tr w:rsidR="00F65BCA" w14:paraId="7F1536FC" w14:textId="77777777">
        <w:trPr>
          <w:trHeight w:val="393"/>
        </w:trPr>
        <w:tc>
          <w:tcPr>
            <w:tcW w:w="188" w:type="dxa"/>
          </w:tcPr>
          <w:p w14:paraId="592A45E3" w14:textId="77777777" w:rsidR="00F65BCA" w:rsidRDefault="00F65BCA">
            <w:pPr>
              <w:pStyle w:val="TableParagraph"/>
              <w:rPr>
                <w:rFonts w:ascii="Calibri"/>
                <w:b/>
                <w:sz w:val="6"/>
              </w:rPr>
            </w:pPr>
          </w:p>
          <w:p w14:paraId="45C7FCF1" w14:textId="77777777" w:rsidR="00F65BCA" w:rsidRDefault="00F65BCA">
            <w:pPr>
              <w:pStyle w:val="TableParagraph"/>
              <w:spacing w:before="9"/>
              <w:rPr>
                <w:rFonts w:ascii="Calibri"/>
                <w:b/>
                <w:sz w:val="6"/>
              </w:rPr>
            </w:pPr>
          </w:p>
          <w:p w14:paraId="243F7D79" w14:textId="77777777" w:rsidR="00F65BCA" w:rsidRDefault="00216117">
            <w:pPr>
              <w:pStyle w:val="TableParagraph"/>
              <w:ind w:left="81"/>
              <w:rPr>
                <w:rFonts w:ascii="Calibri" w:hAnsi="Calibri"/>
                <w:sz w:val="7"/>
              </w:rPr>
            </w:pPr>
            <w:r>
              <w:rPr>
                <w:rFonts w:ascii="Calibri" w:hAnsi="Calibri"/>
                <w:w w:val="106"/>
                <w:sz w:val="7"/>
              </w:rPr>
              <w:t>č</w:t>
            </w:r>
          </w:p>
        </w:tc>
        <w:tc>
          <w:tcPr>
            <w:tcW w:w="398" w:type="dxa"/>
            <w:tcBorders>
              <w:right w:val="single" w:sz="4" w:space="0" w:color="000000"/>
            </w:tcBorders>
          </w:tcPr>
          <w:p w14:paraId="32BD4F38" w14:textId="77777777" w:rsidR="00F65BCA" w:rsidRDefault="00F65BCA">
            <w:pPr>
              <w:pStyle w:val="TableParagraph"/>
              <w:spacing w:before="1"/>
              <w:rPr>
                <w:rFonts w:ascii="Calibri"/>
                <w:b/>
                <w:sz w:val="9"/>
              </w:rPr>
            </w:pPr>
          </w:p>
          <w:p w14:paraId="2394DD07" w14:textId="77777777" w:rsidR="00F65BCA" w:rsidRDefault="00216117">
            <w:pPr>
              <w:pStyle w:val="TableParagraph"/>
              <w:spacing w:line="285" w:lineRule="auto"/>
              <w:ind w:left="102" w:right="25" w:hanging="44"/>
              <w:rPr>
                <w:b/>
                <w:sz w:val="7"/>
              </w:rPr>
            </w:pPr>
            <w:r>
              <w:rPr>
                <w:b/>
                <w:w w:val="105"/>
                <w:sz w:val="7"/>
              </w:rPr>
              <w:t>Vlastník RČ/IČ</w:t>
            </w:r>
          </w:p>
        </w:tc>
        <w:tc>
          <w:tcPr>
            <w:tcW w:w="1070" w:type="dxa"/>
            <w:tcBorders>
              <w:left w:val="single" w:sz="4" w:space="0" w:color="000000"/>
              <w:right w:val="single" w:sz="4" w:space="0" w:color="000000"/>
            </w:tcBorders>
          </w:tcPr>
          <w:p w14:paraId="20F02C89" w14:textId="77777777" w:rsidR="00F65BCA" w:rsidRDefault="00F65BCA">
            <w:pPr>
              <w:pStyle w:val="TableParagraph"/>
              <w:rPr>
                <w:rFonts w:ascii="Calibri"/>
                <w:b/>
                <w:sz w:val="6"/>
              </w:rPr>
            </w:pPr>
          </w:p>
          <w:p w14:paraId="38E95930" w14:textId="77777777" w:rsidR="00F65BCA" w:rsidRDefault="00F65BCA">
            <w:pPr>
              <w:pStyle w:val="TableParagraph"/>
              <w:spacing w:before="9"/>
              <w:rPr>
                <w:rFonts w:ascii="Calibri"/>
                <w:b/>
                <w:sz w:val="6"/>
              </w:rPr>
            </w:pPr>
          </w:p>
          <w:p w14:paraId="6B0F62F9" w14:textId="77777777" w:rsidR="00F65BCA" w:rsidRDefault="00216117">
            <w:pPr>
              <w:pStyle w:val="TableParagraph"/>
              <w:ind w:left="62" w:right="45"/>
              <w:jc w:val="center"/>
              <w:rPr>
                <w:rFonts w:ascii="Calibri" w:hAnsi="Calibri"/>
                <w:b/>
                <w:sz w:val="7"/>
              </w:rPr>
            </w:pPr>
            <w:r>
              <w:rPr>
                <w:rFonts w:ascii="Calibri" w:hAnsi="Calibri"/>
                <w:b/>
                <w:w w:val="105"/>
                <w:sz w:val="7"/>
              </w:rPr>
              <w:t>Vlastník</w:t>
            </w:r>
          </w:p>
        </w:tc>
        <w:tc>
          <w:tcPr>
            <w:tcW w:w="398" w:type="dxa"/>
            <w:tcBorders>
              <w:left w:val="single" w:sz="4" w:space="0" w:color="000000"/>
              <w:right w:val="single" w:sz="4" w:space="0" w:color="000000"/>
            </w:tcBorders>
          </w:tcPr>
          <w:p w14:paraId="4854D0CF" w14:textId="77777777" w:rsidR="00F65BCA" w:rsidRDefault="00F65BCA">
            <w:pPr>
              <w:pStyle w:val="TableParagraph"/>
              <w:spacing w:before="1"/>
              <w:rPr>
                <w:rFonts w:ascii="Calibri"/>
                <w:b/>
                <w:sz w:val="9"/>
              </w:rPr>
            </w:pPr>
          </w:p>
          <w:p w14:paraId="78DB73D5" w14:textId="77777777" w:rsidR="00F65BCA" w:rsidRDefault="00216117">
            <w:pPr>
              <w:pStyle w:val="TableParagraph"/>
              <w:spacing w:line="285" w:lineRule="auto"/>
              <w:ind w:left="103" w:right="52" w:hanging="12"/>
              <w:rPr>
                <w:b/>
                <w:sz w:val="7"/>
              </w:rPr>
            </w:pPr>
            <w:r>
              <w:rPr>
                <w:b/>
                <w:w w:val="105"/>
                <w:sz w:val="7"/>
              </w:rPr>
              <w:t>Držitel RČ/IČ</w:t>
            </w:r>
          </w:p>
        </w:tc>
        <w:tc>
          <w:tcPr>
            <w:tcW w:w="1072" w:type="dxa"/>
            <w:tcBorders>
              <w:left w:val="single" w:sz="4" w:space="0" w:color="000000"/>
              <w:right w:val="single" w:sz="4" w:space="0" w:color="000000"/>
            </w:tcBorders>
          </w:tcPr>
          <w:p w14:paraId="15F79C08" w14:textId="77777777" w:rsidR="00F65BCA" w:rsidRDefault="00F65BCA">
            <w:pPr>
              <w:pStyle w:val="TableParagraph"/>
              <w:rPr>
                <w:rFonts w:ascii="Calibri"/>
                <w:b/>
                <w:sz w:val="8"/>
              </w:rPr>
            </w:pPr>
          </w:p>
          <w:p w14:paraId="572996E0" w14:textId="77777777" w:rsidR="00F65BCA" w:rsidRDefault="00216117">
            <w:pPr>
              <w:pStyle w:val="TableParagraph"/>
              <w:spacing w:before="62"/>
              <w:ind w:left="68" w:right="46"/>
              <w:jc w:val="center"/>
              <w:rPr>
                <w:b/>
                <w:sz w:val="7"/>
              </w:rPr>
            </w:pPr>
            <w:r>
              <w:rPr>
                <w:b/>
                <w:w w:val="105"/>
                <w:sz w:val="7"/>
              </w:rPr>
              <w:t>Držitel</w:t>
            </w:r>
          </w:p>
        </w:tc>
        <w:tc>
          <w:tcPr>
            <w:tcW w:w="398" w:type="dxa"/>
            <w:tcBorders>
              <w:left w:val="single" w:sz="4" w:space="0" w:color="000000"/>
              <w:right w:val="single" w:sz="4" w:space="0" w:color="000000"/>
            </w:tcBorders>
          </w:tcPr>
          <w:p w14:paraId="718E0383" w14:textId="77777777" w:rsidR="00F65BCA" w:rsidRDefault="00F65BCA">
            <w:pPr>
              <w:pStyle w:val="TableParagraph"/>
              <w:rPr>
                <w:rFonts w:ascii="Calibri"/>
                <w:b/>
                <w:sz w:val="6"/>
              </w:rPr>
            </w:pPr>
          </w:p>
          <w:p w14:paraId="7029A742" w14:textId="77777777" w:rsidR="00F65BCA" w:rsidRDefault="00F65BCA">
            <w:pPr>
              <w:pStyle w:val="TableParagraph"/>
              <w:spacing w:before="9"/>
              <w:rPr>
                <w:rFonts w:ascii="Calibri"/>
                <w:b/>
                <w:sz w:val="6"/>
              </w:rPr>
            </w:pPr>
          </w:p>
          <w:p w14:paraId="090273C2" w14:textId="77777777" w:rsidR="00F65BCA" w:rsidRDefault="00216117">
            <w:pPr>
              <w:pStyle w:val="TableParagraph"/>
              <w:ind w:left="77"/>
              <w:rPr>
                <w:rFonts w:ascii="Calibri"/>
                <w:b/>
                <w:sz w:val="7"/>
              </w:rPr>
            </w:pPr>
            <w:r>
              <w:rPr>
                <w:rFonts w:ascii="Calibri"/>
                <w:b/>
                <w:w w:val="105"/>
                <w:sz w:val="7"/>
              </w:rPr>
              <w:t>RZ (SPZ)</w:t>
            </w:r>
          </w:p>
        </w:tc>
        <w:tc>
          <w:tcPr>
            <w:tcW w:w="398" w:type="dxa"/>
            <w:tcBorders>
              <w:left w:val="single" w:sz="4" w:space="0" w:color="000000"/>
              <w:right w:val="single" w:sz="4" w:space="0" w:color="000000"/>
            </w:tcBorders>
          </w:tcPr>
          <w:p w14:paraId="3E1F98CB" w14:textId="77777777" w:rsidR="00F65BCA" w:rsidRDefault="00F65BCA">
            <w:pPr>
              <w:pStyle w:val="TableParagraph"/>
              <w:rPr>
                <w:rFonts w:ascii="Calibri"/>
                <w:b/>
                <w:sz w:val="6"/>
              </w:rPr>
            </w:pPr>
          </w:p>
          <w:p w14:paraId="5D3569E1" w14:textId="77777777" w:rsidR="00F65BCA" w:rsidRDefault="00F65BCA">
            <w:pPr>
              <w:pStyle w:val="TableParagraph"/>
              <w:spacing w:before="9"/>
              <w:rPr>
                <w:rFonts w:ascii="Calibri"/>
                <w:b/>
                <w:sz w:val="6"/>
              </w:rPr>
            </w:pPr>
          </w:p>
          <w:p w14:paraId="652BB72D" w14:textId="77777777" w:rsidR="00F65BCA" w:rsidRDefault="00216117">
            <w:pPr>
              <w:pStyle w:val="TableParagraph"/>
              <w:ind w:left="20"/>
              <w:jc w:val="center"/>
              <w:rPr>
                <w:rFonts w:ascii="Calibri" w:hAnsi="Calibri"/>
                <w:b/>
                <w:sz w:val="7"/>
              </w:rPr>
            </w:pPr>
            <w:r>
              <w:rPr>
                <w:rFonts w:ascii="Calibri" w:hAnsi="Calibri"/>
                <w:b/>
                <w:w w:val="105"/>
                <w:sz w:val="7"/>
              </w:rPr>
              <w:t>č.TP</w:t>
            </w:r>
          </w:p>
        </w:tc>
        <w:tc>
          <w:tcPr>
            <w:tcW w:w="792" w:type="dxa"/>
            <w:tcBorders>
              <w:left w:val="single" w:sz="4" w:space="0" w:color="000000"/>
              <w:right w:val="single" w:sz="4" w:space="0" w:color="000000"/>
            </w:tcBorders>
          </w:tcPr>
          <w:p w14:paraId="591F1C67" w14:textId="77777777" w:rsidR="00F65BCA" w:rsidRDefault="00F65BCA">
            <w:pPr>
              <w:pStyle w:val="TableParagraph"/>
              <w:rPr>
                <w:rFonts w:ascii="Calibri"/>
                <w:b/>
                <w:sz w:val="6"/>
              </w:rPr>
            </w:pPr>
          </w:p>
          <w:p w14:paraId="19917A34" w14:textId="77777777" w:rsidR="00F65BCA" w:rsidRDefault="00F65BCA">
            <w:pPr>
              <w:pStyle w:val="TableParagraph"/>
              <w:spacing w:before="9"/>
              <w:rPr>
                <w:rFonts w:ascii="Calibri"/>
                <w:b/>
                <w:sz w:val="6"/>
              </w:rPr>
            </w:pPr>
          </w:p>
          <w:p w14:paraId="7D09EE1C" w14:textId="77777777" w:rsidR="00F65BCA" w:rsidRDefault="00216117">
            <w:pPr>
              <w:pStyle w:val="TableParagraph"/>
              <w:ind w:left="306" w:right="281"/>
              <w:jc w:val="center"/>
              <w:rPr>
                <w:rFonts w:ascii="Calibri"/>
                <w:b/>
                <w:sz w:val="7"/>
              </w:rPr>
            </w:pPr>
            <w:r>
              <w:rPr>
                <w:rFonts w:ascii="Calibri"/>
                <w:b/>
                <w:w w:val="105"/>
                <w:sz w:val="7"/>
              </w:rPr>
              <w:t>VIN</w:t>
            </w:r>
          </w:p>
        </w:tc>
        <w:tc>
          <w:tcPr>
            <w:tcW w:w="398" w:type="dxa"/>
            <w:tcBorders>
              <w:left w:val="single" w:sz="4" w:space="0" w:color="000000"/>
              <w:right w:val="single" w:sz="4" w:space="0" w:color="000000"/>
            </w:tcBorders>
          </w:tcPr>
          <w:p w14:paraId="0100A47B" w14:textId="77777777" w:rsidR="00F65BCA" w:rsidRDefault="00F65BCA">
            <w:pPr>
              <w:pStyle w:val="TableParagraph"/>
              <w:rPr>
                <w:rFonts w:ascii="Calibri"/>
                <w:b/>
                <w:sz w:val="6"/>
              </w:rPr>
            </w:pPr>
          </w:p>
          <w:p w14:paraId="10B2C35A" w14:textId="77777777" w:rsidR="00F65BCA" w:rsidRDefault="00F65BCA">
            <w:pPr>
              <w:pStyle w:val="TableParagraph"/>
              <w:spacing w:before="9"/>
              <w:rPr>
                <w:rFonts w:ascii="Calibri"/>
                <w:b/>
                <w:sz w:val="6"/>
              </w:rPr>
            </w:pPr>
          </w:p>
          <w:p w14:paraId="34FCFDCF" w14:textId="77777777" w:rsidR="00F65BCA" w:rsidRDefault="00216117">
            <w:pPr>
              <w:pStyle w:val="TableParagraph"/>
              <w:ind w:left="97"/>
              <w:rPr>
                <w:rFonts w:ascii="Calibri" w:hAnsi="Calibri"/>
                <w:b/>
                <w:sz w:val="7"/>
              </w:rPr>
            </w:pPr>
            <w:r>
              <w:rPr>
                <w:rFonts w:ascii="Calibri" w:hAnsi="Calibri"/>
                <w:b/>
                <w:w w:val="105"/>
                <w:sz w:val="7"/>
              </w:rPr>
              <w:t>Značka</w:t>
            </w:r>
          </w:p>
        </w:tc>
        <w:tc>
          <w:tcPr>
            <w:tcW w:w="1065" w:type="dxa"/>
            <w:tcBorders>
              <w:left w:val="single" w:sz="4" w:space="0" w:color="000000"/>
              <w:right w:val="single" w:sz="4" w:space="0" w:color="000000"/>
            </w:tcBorders>
          </w:tcPr>
          <w:p w14:paraId="68A1B052" w14:textId="77777777" w:rsidR="00F65BCA" w:rsidRDefault="00F65BCA">
            <w:pPr>
              <w:pStyle w:val="TableParagraph"/>
              <w:rPr>
                <w:rFonts w:ascii="Calibri"/>
                <w:b/>
                <w:sz w:val="6"/>
              </w:rPr>
            </w:pPr>
          </w:p>
          <w:p w14:paraId="1DF6323D" w14:textId="77777777" w:rsidR="00F65BCA" w:rsidRDefault="00F65BCA">
            <w:pPr>
              <w:pStyle w:val="TableParagraph"/>
              <w:spacing w:before="9"/>
              <w:rPr>
                <w:rFonts w:ascii="Calibri"/>
                <w:b/>
                <w:sz w:val="6"/>
              </w:rPr>
            </w:pPr>
          </w:p>
          <w:p w14:paraId="08F2144C" w14:textId="77777777" w:rsidR="00F65BCA" w:rsidRDefault="00216117">
            <w:pPr>
              <w:pStyle w:val="TableParagraph"/>
              <w:ind w:left="73" w:right="55"/>
              <w:jc w:val="center"/>
              <w:rPr>
                <w:rFonts w:ascii="Calibri"/>
                <w:b/>
                <w:sz w:val="7"/>
              </w:rPr>
            </w:pPr>
            <w:r>
              <w:rPr>
                <w:rFonts w:ascii="Calibri"/>
                <w:b/>
                <w:w w:val="105"/>
                <w:sz w:val="7"/>
              </w:rPr>
              <w:t>Model</w:t>
            </w:r>
          </w:p>
        </w:tc>
        <w:tc>
          <w:tcPr>
            <w:tcW w:w="815" w:type="dxa"/>
            <w:tcBorders>
              <w:left w:val="single" w:sz="4" w:space="0" w:color="000000"/>
              <w:right w:val="single" w:sz="4" w:space="0" w:color="000000"/>
            </w:tcBorders>
          </w:tcPr>
          <w:p w14:paraId="4A015BAF" w14:textId="77777777" w:rsidR="00F65BCA" w:rsidRDefault="00F65BCA">
            <w:pPr>
              <w:pStyle w:val="TableParagraph"/>
              <w:rPr>
                <w:rFonts w:ascii="Calibri"/>
                <w:b/>
                <w:sz w:val="6"/>
              </w:rPr>
            </w:pPr>
          </w:p>
          <w:p w14:paraId="31272BA1" w14:textId="77777777" w:rsidR="00F65BCA" w:rsidRDefault="00F65BCA">
            <w:pPr>
              <w:pStyle w:val="TableParagraph"/>
              <w:spacing w:before="9"/>
              <w:rPr>
                <w:rFonts w:ascii="Calibri"/>
                <w:b/>
                <w:sz w:val="6"/>
              </w:rPr>
            </w:pPr>
          </w:p>
          <w:p w14:paraId="46C19E46" w14:textId="77777777" w:rsidR="00F65BCA" w:rsidRDefault="00216117">
            <w:pPr>
              <w:pStyle w:val="TableParagraph"/>
              <w:ind w:left="33" w:right="11"/>
              <w:jc w:val="center"/>
              <w:rPr>
                <w:rFonts w:ascii="Calibri"/>
                <w:b/>
                <w:sz w:val="7"/>
              </w:rPr>
            </w:pPr>
            <w:r>
              <w:rPr>
                <w:rFonts w:ascii="Calibri"/>
                <w:b/>
                <w:w w:val="105"/>
                <w:sz w:val="7"/>
              </w:rPr>
              <w:t>Kategorie</w:t>
            </w:r>
          </w:p>
        </w:tc>
        <w:tc>
          <w:tcPr>
            <w:tcW w:w="273" w:type="dxa"/>
            <w:tcBorders>
              <w:left w:val="single" w:sz="4" w:space="0" w:color="000000"/>
              <w:right w:val="single" w:sz="4" w:space="0" w:color="000000"/>
            </w:tcBorders>
          </w:tcPr>
          <w:p w14:paraId="0CE1B4A8" w14:textId="77777777" w:rsidR="00F65BCA" w:rsidRDefault="00F65BCA">
            <w:pPr>
              <w:pStyle w:val="TableParagraph"/>
              <w:spacing w:before="10"/>
              <w:rPr>
                <w:rFonts w:ascii="Calibri"/>
                <w:b/>
                <w:sz w:val="8"/>
              </w:rPr>
            </w:pPr>
          </w:p>
          <w:p w14:paraId="49DC409C" w14:textId="77777777" w:rsidR="00F65BCA" w:rsidRDefault="00216117">
            <w:pPr>
              <w:pStyle w:val="TableParagraph"/>
              <w:spacing w:line="276" w:lineRule="auto"/>
              <w:ind w:left="85" w:right="41"/>
              <w:rPr>
                <w:rFonts w:ascii="Calibri" w:hAnsi="Calibri"/>
                <w:b/>
                <w:sz w:val="7"/>
              </w:rPr>
            </w:pPr>
            <w:r>
              <w:rPr>
                <w:rFonts w:ascii="Calibri" w:hAnsi="Calibri"/>
                <w:b/>
                <w:w w:val="105"/>
                <w:sz w:val="7"/>
              </w:rPr>
              <w:t>Rok výr.</w:t>
            </w:r>
          </w:p>
        </w:tc>
        <w:tc>
          <w:tcPr>
            <w:tcW w:w="278" w:type="dxa"/>
            <w:tcBorders>
              <w:left w:val="single" w:sz="4" w:space="0" w:color="000000"/>
              <w:right w:val="single" w:sz="4" w:space="0" w:color="000000"/>
            </w:tcBorders>
          </w:tcPr>
          <w:p w14:paraId="21A787A0" w14:textId="77777777" w:rsidR="00F65BCA" w:rsidRDefault="00F65BCA">
            <w:pPr>
              <w:pStyle w:val="TableParagraph"/>
              <w:rPr>
                <w:rFonts w:ascii="Calibri"/>
                <w:b/>
                <w:sz w:val="6"/>
              </w:rPr>
            </w:pPr>
          </w:p>
          <w:p w14:paraId="330ACEA1" w14:textId="77777777" w:rsidR="00F65BCA" w:rsidRDefault="00F65BCA">
            <w:pPr>
              <w:pStyle w:val="TableParagraph"/>
              <w:spacing w:before="9"/>
              <w:rPr>
                <w:rFonts w:ascii="Calibri"/>
                <w:b/>
                <w:sz w:val="6"/>
              </w:rPr>
            </w:pPr>
          </w:p>
          <w:p w14:paraId="40A5D798" w14:textId="77777777" w:rsidR="00F65BCA" w:rsidRDefault="00216117">
            <w:pPr>
              <w:pStyle w:val="TableParagraph"/>
              <w:ind w:left="30" w:right="2"/>
              <w:jc w:val="center"/>
              <w:rPr>
                <w:rFonts w:ascii="Calibri"/>
                <w:b/>
                <w:sz w:val="7"/>
              </w:rPr>
            </w:pPr>
            <w:r>
              <w:rPr>
                <w:rFonts w:ascii="Calibri"/>
                <w:b/>
                <w:w w:val="105"/>
                <w:sz w:val="7"/>
              </w:rPr>
              <w:t>Obsah</w:t>
            </w:r>
          </w:p>
        </w:tc>
        <w:tc>
          <w:tcPr>
            <w:tcW w:w="268" w:type="dxa"/>
            <w:tcBorders>
              <w:left w:val="single" w:sz="4" w:space="0" w:color="000000"/>
              <w:right w:val="single" w:sz="4" w:space="0" w:color="000000"/>
            </w:tcBorders>
          </w:tcPr>
          <w:p w14:paraId="354CCBA5" w14:textId="77777777" w:rsidR="00F65BCA" w:rsidRDefault="00F65BCA">
            <w:pPr>
              <w:pStyle w:val="TableParagraph"/>
              <w:rPr>
                <w:rFonts w:ascii="Calibri"/>
                <w:b/>
                <w:sz w:val="6"/>
              </w:rPr>
            </w:pPr>
          </w:p>
          <w:p w14:paraId="5E2D4238" w14:textId="77777777" w:rsidR="00F65BCA" w:rsidRDefault="00F65BCA">
            <w:pPr>
              <w:pStyle w:val="TableParagraph"/>
              <w:spacing w:before="9"/>
              <w:rPr>
                <w:rFonts w:ascii="Calibri"/>
                <w:b/>
                <w:sz w:val="6"/>
              </w:rPr>
            </w:pPr>
          </w:p>
          <w:p w14:paraId="095250EA" w14:textId="77777777" w:rsidR="00F65BCA" w:rsidRDefault="00216117">
            <w:pPr>
              <w:pStyle w:val="TableParagraph"/>
              <w:ind w:right="15"/>
              <w:jc w:val="right"/>
              <w:rPr>
                <w:rFonts w:ascii="Calibri" w:hAnsi="Calibri"/>
                <w:b/>
                <w:sz w:val="7"/>
              </w:rPr>
            </w:pPr>
            <w:r>
              <w:rPr>
                <w:rFonts w:ascii="Calibri" w:hAnsi="Calibri"/>
                <w:b/>
                <w:w w:val="105"/>
                <w:sz w:val="7"/>
              </w:rPr>
              <w:t>Výkon</w:t>
            </w:r>
          </w:p>
        </w:tc>
        <w:tc>
          <w:tcPr>
            <w:tcW w:w="398" w:type="dxa"/>
            <w:tcBorders>
              <w:left w:val="single" w:sz="4" w:space="0" w:color="000000"/>
              <w:right w:val="single" w:sz="4" w:space="0" w:color="000000"/>
            </w:tcBorders>
          </w:tcPr>
          <w:p w14:paraId="35F6CA12" w14:textId="77777777" w:rsidR="00F65BCA" w:rsidRDefault="00F65BCA">
            <w:pPr>
              <w:pStyle w:val="TableParagraph"/>
              <w:rPr>
                <w:rFonts w:ascii="Calibri"/>
                <w:b/>
                <w:sz w:val="6"/>
              </w:rPr>
            </w:pPr>
          </w:p>
          <w:p w14:paraId="57B2DCB2" w14:textId="77777777" w:rsidR="00F65BCA" w:rsidRDefault="00F65BCA">
            <w:pPr>
              <w:pStyle w:val="TableParagraph"/>
              <w:spacing w:before="9"/>
              <w:rPr>
                <w:rFonts w:ascii="Calibri"/>
                <w:b/>
                <w:sz w:val="6"/>
              </w:rPr>
            </w:pPr>
          </w:p>
          <w:p w14:paraId="03C96F6F" w14:textId="77777777" w:rsidR="00F65BCA" w:rsidRDefault="00216117">
            <w:pPr>
              <w:pStyle w:val="TableParagraph"/>
              <w:ind w:left="27"/>
              <w:jc w:val="center"/>
              <w:rPr>
                <w:rFonts w:ascii="Calibri"/>
                <w:b/>
                <w:sz w:val="7"/>
              </w:rPr>
            </w:pPr>
            <w:r>
              <w:rPr>
                <w:rFonts w:ascii="Calibri"/>
                <w:b/>
                <w:w w:val="105"/>
                <w:sz w:val="7"/>
              </w:rPr>
              <w:t>Hmotnost</w:t>
            </w:r>
          </w:p>
        </w:tc>
        <w:tc>
          <w:tcPr>
            <w:tcW w:w="249" w:type="dxa"/>
            <w:tcBorders>
              <w:left w:val="single" w:sz="4" w:space="0" w:color="000000"/>
              <w:right w:val="single" w:sz="4" w:space="0" w:color="000000"/>
            </w:tcBorders>
          </w:tcPr>
          <w:p w14:paraId="61C4B5D6" w14:textId="77777777" w:rsidR="00F65BCA" w:rsidRDefault="00F65BCA">
            <w:pPr>
              <w:pStyle w:val="TableParagraph"/>
              <w:spacing w:before="10"/>
              <w:rPr>
                <w:rFonts w:ascii="Calibri"/>
                <w:b/>
                <w:sz w:val="8"/>
              </w:rPr>
            </w:pPr>
          </w:p>
          <w:p w14:paraId="5280BBA4" w14:textId="77777777" w:rsidR="00F65BCA" w:rsidRDefault="00216117">
            <w:pPr>
              <w:pStyle w:val="TableParagraph"/>
              <w:spacing w:line="276" w:lineRule="auto"/>
              <w:ind w:left="68" w:right="1" w:hanging="22"/>
              <w:rPr>
                <w:rFonts w:ascii="Calibri" w:hAnsi="Calibri"/>
                <w:b/>
                <w:sz w:val="7"/>
              </w:rPr>
            </w:pPr>
            <w:r>
              <w:rPr>
                <w:rFonts w:ascii="Calibri" w:hAnsi="Calibri"/>
                <w:b/>
                <w:w w:val="105"/>
                <w:sz w:val="7"/>
              </w:rPr>
              <w:t>Počet míst</w:t>
            </w:r>
          </w:p>
        </w:tc>
        <w:tc>
          <w:tcPr>
            <w:tcW w:w="311" w:type="dxa"/>
            <w:tcBorders>
              <w:left w:val="single" w:sz="4" w:space="0" w:color="000000"/>
              <w:right w:val="single" w:sz="4" w:space="0" w:color="000000"/>
            </w:tcBorders>
          </w:tcPr>
          <w:p w14:paraId="2FAB67CF" w14:textId="77777777" w:rsidR="00F65BCA" w:rsidRDefault="00F65BCA">
            <w:pPr>
              <w:pStyle w:val="TableParagraph"/>
              <w:rPr>
                <w:rFonts w:ascii="Calibri"/>
                <w:b/>
                <w:sz w:val="6"/>
              </w:rPr>
            </w:pPr>
          </w:p>
          <w:p w14:paraId="5DBA32E2" w14:textId="77777777" w:rsidR="00F65BCA" w:rsidRDefault="00F65BCA">
            <w:pPr>
              <w:pStyle w:val="TableParagraph"/>
              <w:spacing w:before="9"/>
              <w:rPr>
                <w:rFonts w:ascii="Calibri"/>
                <w:b/>
                <w:sz w:val="6"/>
              </w:rPr>
            </w:pPr>
          </w:p>
          <w:p w14:paraId="4B3EFB44" w14:textId="77777777" w:rsidR="00F65BCA" w:rsidRDefault="00216117">
            <w:pPr>
              <w:pStyle w:val="TableParagraph"/>
              <w:ind w:left="29"/>
              <w:jc w:val="center"/>
              <w:rPr>
                <w:rFonts w:ascii="Calibri"/>
                <w:b/>
                <w:sz w:val="7"/>
              </w:rPr>
            </w:pPr>
            <w:r>
              <w:rPr>
                <w:rFonts w:ascii="Calibri"/>
                <w:b/>
                <w:w w:val="105"/>
                <w:sz w:val="7"/>
              </w:rPr>
              <w:t>Palivo</w:t>
            </w:r>
          </w:p>
        </w:tc>
        <w:tc>
          <w:tcPr>
            <w:tcW w:w="256" w:type="dxa"/>
            <w:tcBorders>
              <w:left w:val="single" w:sz="4" w:space="0" w:color="000000"/>
              <w:right w:val="single" w:sz="4" w:space="0" w:color="000000"/>
            </w:tcBorders>
          </w:tcPr>
          <w:p w14:paraId="4A3A4083" w14:textId="77777777" w:rsidR="00F65BCA" w:rsidRDefault="00F65BCA">
            <w:pPr>
              <w:pStyle w:val="TableParagraph"/>
              <w:rPr>
                <w:rFonts w:ascii="Calibri"/>
                <w:b/>
                <w:sz w:val="6"/>
              </w:rPr>
            </w:pPr>
          </w:p>
          <w:p w14:paraId="37C9AF24" w14:textId="77777777" w:rsidR="00F65BCA" w:rsidRDefault="00F65BCA">
            <w:pPr>
              <w:pStyle w:val="TableParagraph"/>
              <w:spacing w:before="9"/>
              <w:rPr>
                <w:rFonts w:ascii="Calibri"/>
                <w:b/>
                <w:sz w:val="6"/>
              </w:rPr>
            </w:pPr>
          </w:p>
          <w:p w14:paraId="4F50D1D7" w14:textId="77777777" w:rsidR="00F65BCA" w:rsidRDefault="00216117">
            <w:pPr>
              <w:pStyle w:val="TableParagraph"/>
              <w:ind w:left="47" w:right="15"/>
              <w:jc w:val="center"/>
              <w:rPr>
                <w:rFonts w:ascii="Calibri"/>
                <w:b/>
                <w:sz w:val="7"/>
              </w:rPr>
            </w:pPr>
            <w:r>
              <w:rPr>
                <w:rFonts w:ascii="Calibri"/>
                <w:b/>
                <w:w w:val="105"/>
                <w:sz w:val="7"/>
              </w:rPr>
              <w:t>POV</w:t>
            </w:r>
          </w:p>
        </w:tc>
        <w:tc>
          <w:tcPr>
            <w:tcW w:w="460" w:type="dxa"/>
            <w:tcBorders>
              <w:left w:val="single" w:sz="4" w:space="0" w:color="000000"/>
              <w:right w:val="single" w:sz="4" w:space="0" w:color="000000"/>
            </w:tcBorders>
          </w:tcPr>
          <w:p w14:paraId="6A8F162C" w14:textId="77777777" w:rsidR="00F65BCA" w:rsidRDefault="00F65BCA">
            <w:pPr>
              <w:pStyle w:val="TableParagraph"/>
              <w:spacing w:before="10"/>
              <w:rPr>
                <w:rFonts w:ascii="Calibri"/>
                <w:b/>
                <w:sz w:val="8"/>
              </w:rPr>
            </w:pPr>
          </w:p>
          <w:p w14:paraId="0E527380" w14:textId="77777777" w:rsidR="00F65BCA" w:rsidRDefault="00216117">
            <w:pPr>
              <w:pStyle w:val="TableParagraph"/>
              <w:spacing w:line="276" w:lineRule="auto"/>
              <w:ind w:left="61" w:right="16" w:firstLine="36"/>
              <w:rPr>
                <w:rFonts w:ascii="Calibri" w:hAnsi="Calibri"/>
                <w:b/>
                <w:sz w:val="7"/>
              </w:rPr>
            </w:pPr>
            <w:r>
              <w:rPr>
                <w:rFonts w:ascii="Calibri" w:hAnsi="Calibri"/>
                <w:b/>
                <w:w w:val="105"/>
                <w:sz w:val="7"/>
              </w:rPr>
              <w:t>Pč vozidla včetně DPH</w:t>
            </w:r>
          </w:p>
        </w:tc>
        <w:tc>
          <w:tcPr>
            <w:tcW w:w="278" w:type="dxa"/>
            <w:tcBorders>
              <w:left w:val="single" w:sz="4" w:space="0" w:color="000000"/>
              <w:right w:val="single" w:sz="4" w:space="0" w:color="000000"/>
            </w:tcBorders>
          </w:tcPr>
          <w:p w14:paraId="0C259CFE" w14:textId="77777777" w:rsidR="00F65BCA" w:rsidRDefault="00F65BCA">
            <w:pPr>
              <w:pStyle w:val="TableParagraph"/>
              <w:rPr>
                <w:rFonts w:ascii="Calibri"/>
                <w:b/>
                <w:sz w:val="6"/>
              </w:rPr>
            </w:pPr>
          </w:p>
          <w:p w14:paraId="1A046530" w14:textId="77777777" w:rsidR="00F65BCA" w:rsidRDefault="00F65BCA">
            <w:pPr>
              <w:pStyle w:val="TableParagraph"/>
              <w:spacing w:before="9"/>
              <w:rPr>
                <w:rFonts w:ascii="Calibri"/>
                <w:b/>
                <w:sz w:val="6"/>
              </w:rPr>
            </w:pPr>
          </w:p>
          <w:p w14:paraId="35AA9CA8" w14:textId="77777777" w:rsidR="00F65BCA" w:rsidRDefault="00216117">
            <w:pPr>
              <w:pStyle w:val="TableParagraph"/>
              <w:ind w:left="37" w:right="2"/>
              <w:jc w:val="center"/>
              <w:rPr>
                <w:rFonts w:ascii="Calibri"/>
                <w:b/>
                <w:sz w:val="7"/>
              </w:rPr>
            </w:pPr>
            <w:r>
              <w:rPr>
                <w:rFonts w:ascii="Calibri"/>
                <w:b/>
                <w:w w:val="105"/>
                <w:sz w:val="7"/>
              </w:rPr>
              <w:t>HAV</w:t>
            </w:r>
          </w:p>
        </w:tc>
        <w:tc>
          <w:tcPr>
            <w:tcW w:w="273" w:type="dxa"/>
            <w:tcBorders>
              <w:left w:val="single" w:sz="4" w:space="0" w:color="000000"/>
              <w:right w:val="single" w:sz="4" w:space="0" w:color="000000"/>
            </w:tcBorders>
          </w:tcPr>
          <w:p w14:paraId="6D48B80A" w14:textId="77777777" w:rsidR="00F65BCA" w:rsidRDefault="00F65BCA">
            <w:pPr>
              <w:pStyle w:val="TableParagraph"/>
              <w:rPr>
                <w:rFonts w:ascii="Calibri"/>
                <w:b/>
                <w:sz w:val="6"/>
              </w:rPr>
            </w:pPr>
          </w:p>
          <w:p w14:paraId="19C93DC3" w14:textId="77777777" w:rsidR="00F65BCA" w:rsidRDefault="00F65BCA">
            <w:pPr>
              <w:pStyle w:val="TableParagraph"/>
              <w:spacing w:before="9"/>
              <w:rPr>
                <w:rFonts w:ascii="Calibri"/>
                <w:b/>
                <w:sz w:val="6"/>
              </w:rPr>
            </w:pPr>
          </w:p>
          <w:p w14:paraId="58532B7E" w14:textId="77777777" w:rsidR="00F65BCA" w:rsidRDefault="00216117">
            <w:pPr>
              <w:pStyle w:val="TableParagraph"/>
              <w:ind w:left="51" w:right="13"/>
              <w:jc w:val="center"/>
              <w:rPr>
                <w:rFonts w:ascii="Calibri"/>
                <w:b/>
                <w:sz w:val="7"/>
              </w:rPr>
            </w:pPr>
            <w:r>
              <w:rPr>
                <w:rFonts w:ascii="Calibri"/>
                <w:b/>
                <w:w w:val="105"/>
                <w:sz w:val="7"/>
              </w:rPr>
              <w:t>SKLA</w:t>
            </w:r>
          </w:p>
        </w:tc>
        <w:tc>
          <w:tcPr>
            <w:tcW w:w="398" w:type="dxa"/>
            <w:tcBorders>
              <w:left w:val="single" w:sz="4" w:space="0" w:color="000000"/>
              <w:right w:val="single" w:sz="4" w:space="0" w:color="000000"/>
            </w:tcBorders>
          </w:tcPr>
          <w:p w14:paraId="09B86FD2" w14:textId="77777777" w:rsidR="00F65BCA" w:rsidRDefault="00F65BCA">
            <w:pPr>
              <w:pStyle w:val="TableParagraph"/>
              <w:rPr>
                <w:rFonts w:ascii="Calibri"/>
                <w:b/>
                <w:sz w:val="6"/>
              </w:rPr>
            </w:pPr>
          </w:p>
          <w:p w14:paraId="03A6861D" w14:textId="77777777" w:rsidR="00F65BCA" w:rsidRDefault="00F65BCA">
            <w:pPr>
              <w:pStyle w:val="TableParagraph"/>
              <w:spacing w:before="9"/>
              <w:rPr>
                <w:rFonts w:ascii="Calibri"/>
                <w:b/>
                <w:sz w:val="6"/>
              </w:rPr>
            </w:pPr>
          </w:p>
          <w:p w14:paraId="2673AA34" w14:textId="77777777" w:rsidR="00F65BCA" w:rsidRDefault="00216117">
            <w:pPr>
              <w:pStyle w:val="TableParagraph"/>
              <w:ind w:right="15"/>
              <w:jc w:val="right"/>
              <w:rPr>
                <w:rFonts w:ascii="Calibri"/>
                <w:b/>
                <w:sz w:val="7"/>
              </w:rPr>
            </w:pPr>
            <w:r>
              <w:rPr>
                <w:rFonts w:ascii="Calibri"/>
                <w:b/>
                <w:w w:val="105"/>
                <w:sz w:val="7"/>
              </w:rPr>
              <w:t>Limit Skla</w:t>
            </w:r>
          </w:p>
        </w:tc>
        <w:tc>
          <w:tcPr>
            <w:tcW w:w="398" w:type="dxa"/>
            <w:tcBorders>
              <w:left w:val="single" w:sz="4" w:space="0" w:color="000000"/>
              <w:right w:val="single" w:sz="4" w:space="0" w:color="000000"/>
            </w:tcBorders>
          </w:tcPr>
          <w:p w14:paraId="3E55520D" w14:textId="77777777" w:rsidR="00F65BCA" w:rsidRDefault="00F65BCA">
            <w:pPr>
              <w:pStyle w:val="TableParagraph"/>
              <w:rPr>
                <w:rFonts w:ascii="Calibri"/>
                <w:b/>
                <w:sz w:val="6"/>
              </w:rPr>
            </w:pPr>
          </w:p>
          <w:p w14:paraId="6A39894C" w14:textId="77777777" w:rsidR="00F65BCA" w:rsidRDefault="00F65BCA">
            <w:pPr>
              <w:pStyle w:val="TableParagraph"/>
              <w:spacing w:before="9"/>
              <w:rPr>
                <w:rFonts w:ascii="Calibri"/>
                <w:b/>
                <w:sz w:val="6"/>
              </w:rPr>
            </w:pPr>
          </w:p>
          <w:p w14:paraId="3C551AE0" w14:textId="77777777" w:rsidR="00F65BCA" w:rsidRDefault="00216117">
            <w:pPr>
              <w:pStyle w:val="TableParagraph"/>
              <w:ind w:left="56" w:right="-15"/>
              <w:jc w:val="center"/>
              <w:rPr>
                <w:rFonts w:ascii="Calibri"/>
                <w:b/>
                <w:sz w:val="7"/>
              </w:rPr>
            </w:pPr>
            <w:r>
              <w:rPr>
                <w:rFonts w:ascii="Calibri"/>
                <w:b/>
                <w:w w:val="105"/>
                <w:sz w:val="7"/>
              </w:rPr>
              <w:t>ASISTENCE</w:t>
            </w:r>
          </w:p>
        </w:tc>
        <w:tc>
          <w:tcPr>
            <w:tcW w:w="278" w:type="dxa"/>
            <w:tcBorders>
              <w:left w:val="single" w:sz="4" w:space="0" w:color="000000"/>
              <w:right w:val="single" w:sz="4" w:space="0" w:color="000000"/>
            </w:tcBorders>
          </w:tcPr>
          <w:p w14:paraId="27F4DD4A" w14:textId="77777777" w:rsidR="00F65BCA" w:rsidRDefault="00F65BCA">
            <w:pPr>
              <w:pStyle w:val="TableParagraph"/>
              <w:rPr>
                <w:rFonts w:ascii="Calibri"/>
                <w:b/>
                <w:sz w:val="6"/>
              </w:rPr>
            </w:pPr>
          </w:p>
          <w:p w14:paraId="77DA3885" w14:textId="77777777" w:rsidR="00F65BCA" w:rsidRDefault="00F65BCA">
            <w:pPr>
              <w:pStyle w:val="TableParagraph"/>
              <w:spacing w:before="9"/>
              <w:rPr>
                <w:rFonts w:ascii="Calibri"/>
                <w:b/>
                <w:sz w:val="6"/>
              </w:rPr>
            </w:pPr>
          </w:p>
          <w:p w14:paraId="09B741F4" w14:textId="77777777" w:rsidR="00F65BCA" w:rsidRDefault="00216117">
            <w:pPr>
              <w:pStyle w:val="TableParagraph"/>
              <w:ind w:left="43" w:right="2"/>
              <w:jc w:val="center"/>
              <w:rPr>
                <w:rFonts w:ascii="Calibri" w:hAnsi="Calibri"/>
                <w:b/>
                <w:sz w:val="7"/>
              </w:rPr>
            </w:pPr>
            <w:r>
              <w:rPr>
                <w:rFonts w:ascii="Calibri" w:hAnsi="Calibri"/>
                <w:b/>
                <w:w w:val="105"/>
                <w:sz w:val="7"/>
              </w:rPr>
              <w:t>ÚRAZ</w:t>
            </w:r>
          </w:p>
        </w:tc>
        <w:tc>
          <w:tcPr>
            <w:tcW w:w="398" w:type="dxa"/>
            <w:tcBorders>
              <w:left w:val="single" w:sz="4" w:space="0" w:color="000000"/>
              <w:right w:val="single" w:sz="4" w:space="0" w:color="000000"/>
            </w:tcBorders>
          </w:tcPr>
          <w:p w14:paraId="5669D607" w14:textId="77777777" w:rsidR="00F65BCA" w:rsidRDefault="00F65BCA">
            <w:pPr>
              <w:pStyle w:val="TableParagraph"/>
              <w:spacing w:before="10"/>
              <w:rPr>
                <w:rFonts w:ascii="Calibri"/>
                <w:b/>
                <w:sz w:val="8"/>
              </w:rPr>
            </w:pPr>
          </w:p>
          <w:p w14:paraId="3544A0B6" w14:textId="77777777" w:rsidR="00F65BCA" w:rsidRDefault="00216117">
            <w:pPr>
              <w:pStyle w:val="TableParagraph"/>
              <w:spacing w:line="276" w:lineRule="auto"/>
              <w:ind w:left="193" w:right="-6" w:hanging="144"/>
              <w:rPr>
                <w:rFonts w:ascii="Calibri"/>
                <w:b/>
                <w:sz w:val="7"/>
              </w:rPr>
            </w:pPr>
            <w:r>
              <w:rPr>
                <w:rFonts w:ascii="Calibri"/>
                <w:b/>
                <w:w w:val="105"/>
                <w:sz w:val="7"/>
              </w:rPr>
              <w:t>ZAVAZADL A</w:t>
            </w:r>
          </w:p>
        </w:tc>
        <w:tc>
          <w:tcPr>
            <w:tcW w:w="398" w:type="dxa"/>
            <w:tcBorders>
              <w:left w:val="single" w:sz="4" w:space="0" w:color="000000"/>
            </w:tcBorders>
          </w:tcPr>
          <w:p w14:paraId="24D63B9D" w14:textId="77777777" w:rsidR="00F65BCA" w:rsidRDefault="00F65BCA">
            <w:pPr>
              <w:pStyle w:val="TableParagraph"/>
              <w:spacing w:before="9"/>
              <w:rPr>
                <w:rFonts w:ascii="Calibri"/>
                <w:b/>
                <w:sz w:val="4"/>
              </w:rPr>
            </w:pPr>
          </w:p>
          <w:p w14:paraId="49B9B32D" w14:textId="77777777" w:rsidR="00F65BCA" w:rsidRDefault="00216117">
            <w:pPr>
              <w:pStyle w:val="TableParagraph"/>
              <w:spacing w:line="276" w:lineRule="auto"/>
              <w:ind w:left="28" w:right="-29" w:firstLine="4"/>
              <w:jc w:val="center"/>
              <w:rPr>
                <w:rFonts w:ascii="Calibri" w:hAnsi="Calibri"/>
                <w:b/>
                <w:sz w:val="7"/>
              </w:rPr>
            </w:pPr>
            <w:r>
              <w:rPr>
                <w:rFonts w:ascii="Calibri" w:hAnsi="Calibri"/>
                <w:b/>
                <w:w w:val="105"/>
                <w:sz w:val="7"/>
              </w:rPr>
              <w:t>ČINNOST PRACOVNÍH O STROJE</w:t>
            </w:r>
          </w:p>
        </w:tc>
        <w:tc>
          <w:tcPr>
            <w:tcW w:w="513" w:type="dxa"/>
            <w:tcBorders>
              <w:right w:val="single" w:sz="4" w:space="0" w:color="000000"/>
            </w:tcBorders>
          </w:tcPr>
          <w:p w14:paraId="741BA793" w14:textId="77777777" w:rsidR="00F65BCA" w:rsidRDefault="00F65BCA">
            <w:pPr>
              <w:pStyle w:val="TableParagraph"/>
              <w:spacing w:before="10"/>
              <w:rPr>
                <w:rFonts w:ascii="Calibri"/>
                <w:b/>
                <w:sz w:val="8"/>
              </w:rPr>
            </w:pPr>
          </w:p>
          <w:p w14:paraId="63F8B79F" w14:textId="77777777" w:rsidR="00F65BCA" w:rsidRDefault="00216117">
            <w:pPr>
              <w:pStyle w:val="TableParagraph"/>
              <w:spacing w:line="276" w:lineRule="auto"/>
              <w:ind w:left="204" w:right="-1" w:hanging="156"/>
              <w:rPr>
                <w:rFonts w:ascii="Calibri" w:hAnsi="Calibri"/>
                <w:b/>
                <w:sz w:val="7"/>
              </w:rPr>
            </w:pPr>
            <w:r>
              <w:rPr>
                <w:rFonts w:ascii="Calibri" w:hAnsi="Calibri"/>
                <w:b/>
                <w:w w:val="105"/>
                <w:sz w:val="7"/>
              </w:rPr>
              <w:t>Roční pojistné POV</w:t>
            </w:r>
          </w:p>
        </w:tc>
        <w:tc>
          <w:tcPr>
            <w:tcW w:w="460" w:type="dxa"/>
            <w:tcBorders>
              <w:left w:val="single" w:sz="4" w:space="0" w:color="000000"/>
              <w:right w:val="single" w:sz="4" w:space="0" w:color="000000"/>
            </w:tcBorders>
          </w:tcPr>
          <w:p w14:paraId="57A94D77" w14:textId="77777777" w:rsidR="00F65BCA" w:rsidRDefault="00F65BCA">
            <w:pPr>
              <w:pStyle w:val="TableParagraph"/>
              <w:spacing w:before="10"/>
              <w:rPr>
                <w:rFonts w:ascii="Calibri"/>
                <w:b/>
                <w:sz w:val="8"/>
              </w:rPr>
            </w:pPr>
          </w:p>
          <w:p w14:paraId="150DADFE" w14:textId="77777777" w:rsidR="00F65BCA" w:rsidRDefault="00216117">
            <w:pPr>
              <w:pStyle w:val="TableParagraph"/>
              <w:spacing w:line="276" w:lineRule="auto"/>
              <w:ind w:left="44" w:right="-12" w:firstLine="117"/>
              <w:rPr>
                <w:rFonts w:ascii="Calibri" w:hAnsi="Calibri"/>
                <w:b/>
                <w:sz w:val="7"/>
              </w:rPr>
            </w:pPr>
            <w:r>
              <w:rPr>
                <w:rFonts w:ascii="Calibri" w:hAnsi="Calibri"/>
                <w:b/>
                <w:w w:val="105"/>
                <w:sz w:val="7"/>
              </w:rPr>
              <w:t>Roční pojistné HAV</w:t>
            </w:r>
          </w:p>
        </w:tc>
        <w:tc>
          <w:tcPr>
            <w:tcW w:w="462" w:type="dxa"/>
            <w:tcBorders>
              <w:left w:val="single" w:sz="4" w:space="0" w:color="000000"/>
              <w:right w:val="single" w:sz="4" w:space="0" w:color="000000"/>
            </w:tcBorders>
          </w:tcPr>
          <w:p w14:paraId="48D8A1FE" w14:textId="77777777" w:rsidR="00F65BCA" w:rsidRDefault="00F65BCA">
            <w:pPr>
              <w:pStyle w:val="TableParagraph"/>
              <w:spacing w:before="9"/>
              <w:rPr>
                <w:rFonts w:ascii="Calibri"/>
                <w:b/>
                <w:sz w:val="4"/>
              </w:rPr>
            </w:pPr>
          </w:p>
          <w:p w14:paraId="39CB7A5F" w14:textId="77777777" w:rsidR="00F65BCA" w:rsidRDefault="00216117">
            <w:pPr>
              <w:pStyle w:val="TableParagraph"/>
              <w:spacing w:line="276" w:lineRule="auto"/>
              <w:ind w:left="121" w:right="77" w:firstLine="2"/>
              <w:jc w:val="center"/>
              <w:rPr>
                <w:rFonts w:ascii="Calibri" w:hAnsi="Calibri"/>
                <w:b/>
                <w:sz w:val="7"/>
              </w:rPr>
            </w:pPr>
            <w:r>
              <w:rPr>
                <w:rFonts w:ascii="Calibri" w:hAnsi="Calibri"/>
                <w:b/>
                <w:w w:val="105"/>
                <w:sz w:val="7"/>
              </w:rPr>
              <w:t>Roční pojistné SKLA</w:t>
            </w:r>
          </w:p>
        </w:tc>
        <w:tc>
          <w:tcPr>
            <w:tcW w:w="392" w:type="dxa"/>
            <w:tcBorders>
              <w:left w:val="single" w:sz="4" w:space="0" w:color="000000"/>
              <w:right w:val="single" w:sz="4" w:space="0" w:color="000000"/>
            </w:tcBorders>
          </w:tcPr>
          <w:p w14:paraId="4E2253F8" w14:textId="77777777" w:rsidR="00F65BCA" w:rsidRDefault="00F65BCA">
            <w:pPr>
              <w:pStyle w:val="TableParagraph"/>
              <w:spacing w:before="9"/>
              <w:rPr>
                <w:rFonts w:ascii="Calibri"/>
                <w:b/>
                <w:sz w:val="4"/>
              </w:rPr>
            </w:pPr>
          </w:p>
          <w:p w14:paraId="15FC398C" w14:textId="77777777" w:rsidR="00F65BCA" w:rsidRDefault="00216117">
            <w:pPr>
              <w:pStyle w:val="TableParagraph"/>
              <w:spacing w:line="276" w:lineRule="auto"/>
              <w:ind w:left="89" w:right="40" w:firstLine="2"/>
              <w:jc w:val="center"/>
              <w:rPr>
                <w:rFonts w:ascii="Calibri" w:hAnsi="Calibri"/>
                <w:b/>
                <w:sz w:val="7"/>
              </w:rPr>
            </w:pPr>
            <w:r>
              <w:rPr>
                <w:rFonts w:ascii="Calibri" w:hAnsi="Calibri"/>
                <w:b/>
                <w:w w:val="105"/>
                <w:sz w:val="7"/>
              </w:rPr>
              <w:t>Roční pojistné ÚRAZ</w:t>
            </w:r>
          </w:p>
        </w:tc>
        <w:tc>
          <w:tcPr>
            <w:tcW w:w="495" w:type="dxa"/>
            <w:tcBorders>
              <w:left w:val="single" w:sz="4" w:space="0" w:color="000000"/>
            </w:tcBorders>
          </w:tcPr>
          <w:p w14:paraId="08386B48" w14:textId="77777777" w:rsidR="00F65BCA" w:rsidRDefault="00F65BCA">
            <w:pPr>
              <w:pStyle w:val="TableParagraph"/>
              <w:spacing w:before="9"/>
              <w:rPr>
                <w:rFonts w:ascii="Calibri"/>
                <w:b/>
                <w:sz w:val="4"/>
              </w:rPr>
            </w:pPr>
          </w:p>
          <w:p w14:paraId="77785E34" w14:textId="77777777" w:rsidR="00F65BCA" w:rsidRDefault="00216117">
            <w:pPr>
              <w:pStyle w:val="TableParagraph"/>
              <w:spacing w:line="276" w:lineRule="auto"/>
              <w:ind w:left="81" w:right="25" w:firstLine="2"/>
              <w:jc w:val="center"/>
              <w:rPr>
                <w:rFonts w:ascii="Calibri" w:hAnsi="Calibri"/>
                <w:b/>
                <w:sz w:val="7"/>
              </w:rPr>
            </w:pPr>
            <w:r>
              <w:rPr>
                <w:rFonts w:ascii="Calibri" w:hAnsi="Calibri"/>
                <w:b/>
                <w:w w:val="105"/>
                <w:sz w:val="7"/>
              </w:rPr>
              <w:t>Ročnéí pojistné ZAVAZADLA</w:t>
            </w:r>
          </w:p>
        </w:tc>
        <w:tc>
          <w:tcPr>
            <w:tcW w:w="500" w:type="dxa"/>
          </w:tcPr>
          <w:p w14:paraId="5FC2E1CE" w14:textId="77777777" w:rsidR="00F65BCA" w:rsidRDefault="00F65BCA">
            <w:pPr>
              <w:pStyle w:val="TableParagraph"/>
              <w:spacing w:before="10"/>
              <w:rPr>
                <w:rFonts w:ascii="Calibri"/>
                <w:b/>
                <w:sz w:val="8"/>
              </w:rPr>
            </w:pPr>
          </w:p>
          <w:p w14:paraId="525D91D9" w14:textId="77777777" w:rsidR="00F65BCA" w:rsidRDefault="00216117">
            <w:pPr>
              <w:pStyle w:val="TableParagraph"/>
              <w:spacing w:line="276" w:lineRule="auto"/>
              <w:ind w:left="78" w:right="-17" w:hanging="29"/>
              <w:rPr>
                <w:rFonts w:ascii="Calibri" w:hAnsi="Calibri"/>
                <w:b/>
                <w:sz w:val="7"/>
              </w:rPr>
            </w:pPr>
            <w:r>
              <w:rPr>
                <w:rFonts w:ascii="Calibri" w:hAnsi="Calibri"/>
                <w:b/>
                <w:w w:val="105"/>
                <w:sz w:val="7"/>
              </w:rPr>
              <w:t>Roční pojistné Asistence</w:t>
            </w:r>
            <w:r>
              <w:rPr>
                <w:rFonts w:ascii="Calibri" w:hAnsi="Calibri"/>
                <w:b/>
                <w:spacing w:val="1"/>
                <w:w w:val="105"/>
                <w:sz w:val="7"/>
              </w:rPr>
              <w:t xml:space="preserve"> </w:t>
            </w:r>
            <w:r>
              <w:rPr>
                <w:rFonts w:ascii="Calibri" w:hAnsi="Calibri"/>
                <w:b/>
                <w:w w:val="105"/>
                <w:sz w:val="7"/>
              </w:rPr>
              <w:t>XL</w:t>
            </w:r>
          </w:p>
        </w:tc>
        <w:tc>
          <w:tcPr>
            <w:tcW w:w="500" w:type="dxa"/>
          </w:tcPr>
          <w:p w14:paraId="6AB10EE4" w14:textId="77777777" w:rsidR="00F65BCA" w:rsidRDefault="00216117">
            <w:pPr>
              <w:pStyle w:val="TableParagraph"/>
              <w:spacing w:before="10" w:line="276" w:lineRule="auto"/>
              <w:ind w:left="50" w:right="-15"/>
              <w:jc w:val="center"/>
              <w:rPr>
                <w:rFonts w:ascii="Calibri" w:hAnsi="Calibri"/>
                <w:b/>
                <w:sz w:val="7"/>
              </w:rPr>
            </w:pPr>
            <w:r>
              <w:rPr>
                <w:rFonts w:ascii="Calibri" w:hAnsi="Calibri"/>
                <w:b/>
                <w:w w:val="105"/>
                <w:sz w:val="7"/>
              </w:rPr>
              <w:t>Roční pojistné Činnost pracovního</w:t>
            </w:r>
          </w:p>
          <w:p w14:paraId="25953199" w14:textId="77777777" w:rsidR="00F65BCA" w:rsidRDefault="00216117">
            <w:pPr>
              <w:pStyle w:val="TableParagraph"/>
              <w:spacing w:line="68" w:lineRule="exact"/>
              <w:ind w:left="73" w:right="14"/>
              <w:jc w:val="center"/>
              <w:rPr>
                <w:rFonts w:ascii="Calibri"/>
                <w:b/>
                <w:sz w:val="7"/>
              </w:rPr>
            </w:pPr>
            <w:r>
              <w:rPr>
                <w:rFonts w:ascii="Calibri"/>
                <w:b/>
                <w:w w:val="105"/>
                <w:sz w:val="7"/>
              </w:rPr>
              <w:t>stroje</w:t>
            </w:r>
          </w:p>
        </w:tc>
        <w:tc>
          <w:tcPr>
            <w:tcW w:w="458" w:type="dxa"/>
          </w:tcPr>
          <w:p w14:paraId="679C7C38" w14:textId="77777777" w:rsidR="00F65BCA" w:rsidRDefault="00F65BCA">
            <w:pPr>
              <w:pStyle w:val="TableParagraph"/>
              <w:spacing w:before="9"/>
              <w:rPr>
                <w:rFonts w:ascii="Calibri"/>
                <w:b/>
                <w:sz w:val="4"/>
              </w:rPr>
            </w:pPr>
          </w:p>
          <w:p w14:paraId="79564EAD" w14:textId="77777777" w:rsidR="00F65BCA" w:rsidRDefault="00216117">
            <w:pPr>
              <w:pStyle w:val="TableParagraph"/>
              <w:spacing w:line="276" w:lineRule="auto"/>
              <w:ind w:left="126" w:right="49" w:firstLine="40"/>
              <w:rPr>
                <w:rFonts w:ascii="Calibri" w:hAnsi="Calibri"/>
                <w:b/>
                <w:sz w:val="7"/>
              </w:rPr>
            </w:pPr>
            <w:r>
              <w:rPr>
                <w:rFonts w:ascii="Calibri" w:hAnsi="Calibri"/>
                <w:b/>
                <w:w w:val="105"/>
                <w:sz w:val="7"/>
              </w:rPr>
              <w:t>Roční pojistné celkem</w:t>
            </w:r>
          </w:p>
        </w:tc>
      </w:tr>
      <w:tr w:rsidR="00F65BCA" w14:paraId="0B2AD9DB" w14:textId="77777777">
        <w:trPr>
          <w:trHeight w:val="89"/>
        </w:trPr>
        <w:tc>
          <w:tcPr>
            <w:tcW w:w="188" w:type="dxa"/>
            <w:tcBorders>
              <w:bottom w:val="single" w:sz="4" w:space="0" w:color="000000"/>
              <w:right w:val="single" w:sz="4" w:space="0" w:color="000000"/>
            </w:tcBorders>
          </w:tcPr>
          <w:p w14:paraId="6BEB505D" w14:textId="77777777" w:rsidR="00F65BCA" w:rsidRDefault="00216117">
            <w:pPr>
              <w:pStyle w:val="TableParagraph"/>
              <w:spacing w:before="2" w:line="67" w:lineRule="exact"/>
              <w:ind w:left="78"/>
              <w:rPr>
                <w:rFonts w:ascii="Calibri"/>
                <w:sz w:val="7"/>
              </w:rPr>
            </w:pPr>
            <w:r>
              <w:rPr>
                <w:rFonts w:ascii="Calibri"/>
                <w:w w:val="106"/>
                <w:sz w:val="7"/>
              </w:rPr>
              <w:t>1</w:t>
            </w:r>
          </w:p>
        </w:tc>
        <w:tc>
          <w:tcPr>
            <w:tcW w:w="398" w:type="dxa"/>
            <w:tcBorders>
              <w:left w:val="single" w:sz="4" w:space="0" w:color="000000"/>
              <w:bottom w:val="single" w:sz="4" w:space="0" w:color="000000"/>
              <w:right w:val="single" w:sz="4" w:space="0" w:color="000000"/>
            </w:tcBorders>
          </w:tcPr>
          <w:p w14:paraId="3D76F280" w14:textId="77777777" w:rsidR="00F65BCA" w:rsidRDefault="00216117">
            <w:pPr>
              <w:pStyle w:val="TableParagraph"/>
              <w:spacing w:line="69" w:lineRule="exact"/>
              <w:ind w:left="12"/>
              <w:jc w:val="center"/>
              <w:rPr>
                <w:rFonts w:ascii="Calibri"/>
                <w:sz w:val="7"/>
              </w:rPr>
            </w:pPr>
            <w:r>
              <w:rPr>
                <w:rFonts w:ascii="Calibri"/>
                <w:w w:val="105"/>
                <w:sz w:val="7"/>
              </w:rPr>
              <w:t>49777513</w:t>
            </w:r>
          </w:p>
        </w:tc>
        <w:tc>
          <w:tcPr>
            <w:tcW w:w="1070" w:type="dxa"/>
            <w:tcBorders>
              <w:left w:val="single" w:sz="4" w:space="0" w:color="000000"/>
              <w:bottom w:val="single" w:sz="4" w:space="0" w:color="000000"/>
              <w:right w:val="single" w:sz="4" w:space="0" w:color="000000"/>
            </w:tcBorders>
          </w:tcPr>
          <w:p w14:paraId="1741F5F0" w14:textId="77777777" w:rsidR="00F65BCA" w:rsidRDefault="00216117">
            <w:pPr>
              <w:pStyle w:val="TableParagraph"/>
              <w:spacing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left w:val="single" w:sz="4" w:space="0" w:color="000000"/>
              <w:bottom w:val="single" w:sz="4" w:space="0" w:color="000000"/>
              <w:right w:val="single" w:sz="4" w:space="0" w:color="000000"/>
            </w:tcBorders>
          </w:tcPr>
          <w:p w14:paraId="5884BF12" w14:textId="77777777" w:rsidR="00F65BCA" w:rsidRDefault="00216117">
            <w:pPr>
              <w:pStyle w:val="TableParagraph"/>
              <w:spacing w:line="69" w:lineRule="exact"/>
              <w:ind w:right="33"/>
              <w:jc w:val="right"/>
              <w:rPr>
                <w:rFonts w:ascii="Calibri"/>
                <w:sz w:val="7"/>
              </w:rPr>
            </w:pPr>
            <w:r>
              <w:rPr>
                <w:rFonts w:ascii="Calibri"/>
                <w:w w:val="105"/>
                <w:sz w:val="7"/>
              </w:rPr>
              <w:t>49777513</w:t>
            </w:r>
          </w:p>
        </w:tc>
        <w:tc>
          <w:tcPr>
            <w:tcW w:w="1072" w:type="dxa"/>
            <w:tcBorders>
              <w:left w:val="single" w:sz="4" w:space="0" w:color="000000"/>
              <w:bottom w:val="single" w:sz="4" w:space="0" w:color="000000"/>
              <w:right w:val="single" w:sz="4" w:space="0" w:color="000000"/>
            </w:tcBorders>
          </w:tcPr>
          <w:p w14:paraId="77A2E8EE" w14:textId="77777777" w:rsidR="00F65BCA" w:rsidRDefault="00216117">
            <w:pPr>
              <w:pStyle w:val="TableParagraph"/>
              <w:spacing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left w:val="single" w:sz="4" w:space="0" w:color="000000"/>
              <w:bottom w:val="single" w:sz="4" w:space="0" w:color="000000"/>
              <w:right w:val="single" w:sz="4" w:space="0" w:color="000000"/>
            </w:tcBorders>
          </w:tcPr>
          <w:p w14:paraId="3FCEF908" w14:textId="77777777" w:rsidR="00F65BCA" w:rsidRDefault="00216117">
            <w:pPr>
              <w:pStyle w:val="TableParagraph"/>
              <w:spacing w:line="69" w:lineRule="exact"/>
              <w:ind w:left="70"/>
              <w:rPr>
                <w:rFonts w:ascii="Calibri"/>
                <w:sz w:val="7"/>
              </w:rPr>
            </w:pPr>
            <w:r>
              <w:rPr>
                <w:rFonts w:ascii="Calibri"/>
                <w:w w:val="105"/>
                <w:sz w:val="7"/>
              </w:rPr>
              <w:t>1P42980</w:t>
            </w:r>
          </w:p>
        </w:tc>
        <w:tc>
          <w:tcPr>
            <w:tcW w:w="398" w:type="dxa"/>
            <w:tcBorders>
              <w:left w:val="single" w:sz="4" w:space="0" w:color="000000"/>
              <w:bottom w:val="single" w:sz="4" w:space="0" w:color="000000"/>
              <w:right w:val="single" w:sz="4" w:space="0" w:color="000000"/>
            </w:tcBorders>
          </w:tcPr>
          <w:p w14:paraId="02348A71" w14:textId="77777777" w:rsidR="00F65BCA" w:rsidRDefault="00216117">
            <w:pPr>
              <w:pStyle w:val="TableParagraph"/>
              <w:spacing w:line="69" w:lineRule="exact"/>
              <w:ind w:left="16"/>
              <w:jc w:val="center"/>
              <w:rPr>
                <w:rFonts w:ascii="Calibri"/>
                <w:sz w:val="7"/>
              </w:rPr>
            </w:pPr>
            <w:r>
              <w:rPr>
                <w:rFonts w:ascii="Calibri"/>
                <w:w w:val="105"/>
                <w:sz w:val="7"/>
              </w:rPr>
              <w:t>BF745076</w:t>
            </w:r>
          </w:p>
        </w:tc>
        <w:tc>
          <w:tcPr>
            <w:tcW w:w="792" w:type="dxa"/>
            <w:tcBorders>
              <w:left w:val="single" w:sz="4" w:space="0" w:color="000000"/>
              <w:bottom w:val="single" w:sz="4" w:space="0" w:color="000000"/>
              <w:right w:val="single" w:sz="4" w:space="0" w:color="000000"/>
            </w:tcBorders>
          </w:tcPr>
          <w:p w14:paraId="34AFBF0F" w14:textId="77777777" w:rsidR="00F65BCA" w:rsidRDefault="00216117">
            <w:pPr>
              <w:pStyle w:val="TableParagraph"/>
              <w:spacing w:line="69" w:lineRule="exact"/>
              <w:ind w:left="33"/>
              <w:rPr>
                <w:rFonts w:ascii="Calibri"/>
                <w:sz w:val="7"/>
              </w:rPr>
            </w:pPr>
            <w:r>
              <w:rPr>
                <w:rFonts w:ascii="Calibri"/>
                <w:w w:val="105"/>
                <w:sz w:val="7"/>
              </w:rPr>
              <w:t>TKMM2520D41MR3043</w:t>
            </w:r>
          </w:p>
        </w:tc>
        <w:tc>
          <w:tcPr>
            <w:tcW w:w="398" w:type="dxa"/>
            <w:tcBorders>
              <w:left w:val="single" w:sz="4" w:space="0" w:color="000000"/>
              <w:bottom w:val="single" w:sz="4" w:space="0" w:color="000000"/>
              <w:right w:val="single" w:sz="4" w:space="0" w:color="000000"/>
            </w:tcBorders>
          </w:tcPr>
          <w:p w14:paraId="55416A28" w14:textId="77777777" w:rsidR="00F65BCA" w:rsidRDefault="00216117">
            <w:pPr>
              <w:pStyle w:val="TableParagraph"/>
              <w:spacing w:line="69" w:lineRule="exact"/>
              <w:ind w:left="105"/>
              <w:rPr>
                <w:rFonts w:ascii="Calibri"/>
                <w:sz w:val="7"/>
              </w:rPr>
            </w:pPr>
            <w:r>
              <w:rPr>
                <w:rFonts w:ascii="Calibri"/>
                <w:w w:val="105"/>
                <w:sz w:val="7"/>
              </w:rPr>
              <w:t>MARO</w:t>
            </w:r>
          </w:p>
        </w:tc>
        <w:tc>
          <w:tcPr>
            <w:tcW w:w="1065" w:type="dxa"/>
            <w:tcBorders>
              <w:left w:val="single" w:sz="4" w:space="0" w:color="000000"/>
              <w:bottom w:val="single" w:sz="4" w:space="0" w:color="000000"/>
              <w:right w:val="single" w:sz="4" w:space="0" w:color="000000"/>
            </w:tcBorders>
          </w:tcPr>
          <w:p w14:paraId="49926ADB" w14:textId="77777777" w:rsidR="00F65BCA" w:rsidRDefault="00216117">
            <w:pPr>
              <w:pStyle w:val="TableParagraph"/>
              <w:spacing w:line="69" w:lineRule="exact"/>
              <w:ind w:left="73" w:right="55"/>
              <w:jc w:val="center"/>
              <w:rPr>
                <w:rFonts w:ascii="Calibri"/>
                <w:sz w:val="7"/>
              </w:rPr>
            </w:pPr>
            <w:r>
              <w:rPr>
                <w:rFonts w:ascii="Calibri"/>
                <w:w w:val="105"/>
                <w:sz w:val="7"/>
              </w:rPr>
              <w:t>MARO M</w:t>
            </w:r>
          </w:p>
        </w:tc>
        <w:tc>
          <w:tcPr>
            <w:tcW w:w="815" w:type="dxa"/>
            <w:tcBorders>
              <w:left w:val="single" w:sz="4" w:space="0" w:color="000000"/>
              <w:bottom w:val="single" w:sz="4" w:space="0" w:color="000000"/>
              <w:right w:val="single" w:sz="4" w:space="0" w:color="000000"/>
            </w:tcBorders>
          </w:tcPr>
          <w:p w14:paraId="111A23BC" w14:textId="77777777" w:rsidR="00F65BCA" w:rsidRDefault="00216117">
            <w:pPr>
              <w:pStyle w:val="TableParagraph"/>
              <w:spacing w:line="69" w:lineRule="exact"/>
              <w:ind w:left="36" w:right="11"/>
              <w:jc w:val="center"/>
              <w:rPr>
                <w:rFonts w:ascii="Calibri" w:hAnsi="Calibri"/>
                <w:sz w:val="7"/>
              </w:rPr>
            </w:pPr>
            <w:r>
              <w:rPr>
                <w:rFonts w:ascii="Calibri" w:hAnsi="Calibri"/>
                <w:w w:val="105"/>
                <w:sz w:val="7"/>
              </w:rPr>
              <w:t>Přívěs</w:t>
            </w:r>
          </w:p>
        </w:tc>
        <w:tc>
          <w:tcPr>
            <w:tcW w:w="273" w:type="dxa"/>
            <w:tcBorders>
              <w:left w:val="single" w:sz="4" w:space="0" w:color="000000"/>
              <w:bottom w:val="single" w:sz="4" w:space="0" w:color="000000"/>
              <w:right w:val="single" w:sz="4" w:space="0" w:color="000000"/>
            </w:tcBorders>
          </w:tcPr>
          <w:p w14:paraId="32D9A469" w14:textId="77777777" w:rsidR="00F65BCA" w:rsidRDefault="00216117">
            <w:pPr>
              <w:pStyle w:val="TableParagraph"/>
              <w:spacing w:line="69" w:lineRule="exact"/>
              <w:ind w:right="41"/>
              <w:jc w:val="right"/>
              <w:rPr>
                <w:rFonts w:ascii="Calibri"/>
                <w:sz w:val="7"/>
              </w:rPr>
            </w:pPr>
            <w:r>
              <w:rPr>
                <w:rFonts w:ascii="Calibri"/>
                <w:w w:val="105"/>
                <w:sz w:val="7"/>
              </w:rPr>
              <w:t>2005</w:t>
            </w:r>
          </w:p>
        </w:tc>
        <w:tc>
          <w:tcPr>
            <w:tcW w:w="278" w:type="dxa"/>
            <w:tcBorders>
              <w:left w:val="single" w:sz="4" w:space="0" w:color="000000"/>
              <w:bottom w:val="single" w:sz="4" w:space="0" w:color="000000"/>
              <w:right w:val="single" w:sz="4" w:space="0" w:color="000000"/>
            </w:tcBorders>
          </w:tcPr>
          <w:p w14:paraId="62852410" w14:textId="77777777" w:rsidR="00F65BCA" w:rsidRDefault="00216117">
            <w:pPr>
              <w:pStyle w:val="TableParagraph"/>
              <w:spacing w:line="69" w:lineRule="exact"/>
              <w:ind w:left="28"/>
              <w:jc w:val="center"/>
              <w:rPr>
                <w:rFonts w:ascii="Calibri"/>
                <w:sz w:val="7"/>
              </w:rPr>
            </w:pPr>
            <w:r>
              <w:rPr>
                <w:rFonts w:ascii="Calibri"/>
                <w:w w:val="106"/>
                <w:sz w:val="7"/>
              </w:rPr>
              <w:t>0</w:t>
            </w:r>
          </w:p>
        </w:tc>
        <w:tc>
          <w:tcPr>
            <w:tcW w:w="268" w:type="dxa"/>
            <w:tcBorders>
              <w:left w:val="single" w:sz="4" w:space="0" w:color="000000"/>
              <w:bottom w:val="single" w:sz="4" w:space="0" w:color="000000"/>
              <w:right w:val="single" w:sz="4" w:space="0" w:color="000000"/>
            </w:tcBorders>
          </w:tcPr>
          <w:p w14:paraId="28C56470" w14:textId="77777777" w:rsidR="00F65BCA" w:rsidRDefault="00216117">
            <w:pPr>
              <w:pStyle w:val="TableParagraph"/>
              <w:spacing w:line="69" w:lineRule="exact"/>
              <w:ind w:right="93"/>
              <w:jc w:val="right"/>
              <w:rPr>
                <w:rFonts w:ascii="Calibri"/>
                <w:sz w:val="7"/>
              </w:rPr>
            </w:pPr>
            <w:r>
              <w:rPr>
                <w:rFonts w:ascii="Calibri"/>
                <w:w w:val="106"/>
                <w:sz w:val="7"/>
              </w:rPr>
              <w:t>0</w:t>
            </w:r>
          </w:p>
        </w:tc>
        <w:tc>
          <w:tcPr>
            <w:tcW w:w="398" w:type="dxa"/>
            <w:tcBorders>
              <w:left w:val="single" w:sz="4" w:space="0" w:color="000000"/>
              <w:bottom w:val="single" w:sz="4" w:space="0" w:color="000000"/>
              <w:right w:val="single" w:sz="4" w:space="0" w:color="000000"/>
            </w:tcBorders>
          </w:tcPr>
          <w:p w14:paraId="37AAE25F" w14:textId="77777777" w:rsidR="00F65BCA" w:rsidRDefault="00216117">
            <w:pPr>
              <w:pStyle w:val="TableParagraph"/>
              <w:spacing w:line="69" w:lineRule="exact"/>
              <w:ind w:left="28"/>
              <w:jc w:val="center"/>
              <w:rPr>
                <w:rFonts w:ascii="Calibri"/>
                <w:sz w:val="7"/>
              </w:rPr>
            </w:pPr>
            <w:r>
              <w:rPr>
                <w:rFonts w:ascii="Calibri"/>
                <w:w w:val="105"/>
                <w:sz w:val="7"/>
              </w:rPr>
              <w:t>2000</w:t>
            </w:r>
          </w:p>
        </w:tc>
        <w:tc>
          <w:tcPr>
            <w:tcW w:w="249" w:type="dxa"/>
            <w:tcBorders>
              <w:left w:val="single" w:sz="4" w:space="0" w:color="000000"/>
              <w:bottom w:val="single" w:sz="4" w:space="0" w:color="000000"/>
              <w:right w:val="single" w:sz="4" w:space="0" w:color="000000"/>
            </w:tcBorders>
          </w:tcPr>
          <w:p w14:paraId="31BB2D81" w14:textId="77777777" w:rsidR="00F65BCA" w:rsidRDefault="00F65BCA">
            <w:pPr>
              <w:pStyle w:val="TableParagraph"/>
              <w:rPr>
                <w:rFonts w:ascii="Times New Roman"/>
                <w:sz w:val="4"/>
              </w:rPr>
            </w:pPr>
          </w:p>
        </w:tc>
        <w:tc>
          <w:tcPr>
            <w:tcW w:w="311" w:type="dxa"/>
            <w:tcBorders>
              <w:left w:val="single" w:sz="4" w:space="0" w:color="000000"/>
              <w:bottom w:val="single" w:sz="4" w:space="0" w:color="000000"/>
              <w:right w:val="single" w:sz="4" w:space="0" w:color="000000"/>
            </w:tcBorders>
          </w:tcPr>
          <w:p w14:paraId="74CD8347" w14:textId="77777777" w:rsidR="00F65BCA" w:rsidRDefault="00F65BCA">
            <w:pPr>
              <w:pStyle w:val="TableParagraph"/>
              <w:rPr>
                <w:rFonts w:ascii="Times New Roman"/>
                <w:sz w:val="4"/>
              </w:rPr>
            </w:pPr>
          </w:p>
        </w:tc>
        <w:tc>
          <w:tcPr>
            <w:tcW w:w="256" w:type="dxa"/>
            <w:tcBorders>
              <w:left w:val="single" w:sz="4" w:space="0" w:color="000000"/>
              <w:bottom w:val="single" w:sz="4" w:space="0" w:color="000000"/>
              <w:right w:val="single" w:sz="4" w:space="0" w:color="000000"/>
            </w:tcBorders>
          </w:tcPr>
          <w:p w14:paraId="0B323DB2" w14:textId="77777777" w:rsidR="00F65BCA" w:rsidRDefault="00216117">
            <w:pPr>
              <w:pStyle w:val="TableParagraph"/>
              <w:spacing w:line="69" w:lineRule="exact"/>
              <w:ind w:left="48" w:right="14"/>
              <w:jc w:val="center"/>
              <w:rPr>
                <w:rFonts w:ascii="Calibri"/>
                <w:sz w:val="7"/>
              </w:rPr>
            </w:pPr>
            <w:r>
              <w:rPr>
                <w:rFonts w:ascii="Calibri"/>
                <w:w w:val="105"/>
                <w:sz w:val="7"/>
              </w:rPr>
              <w:t>ANO</w:t>
            </w:r>
          </w:p>
        </w:tc>
        <w:tc>
          <w:tcPr>
            <w:tcW w:w="460" w:type="dxa"/>
            <w:tcBorders>
              <w:left w:val="single" w:sz="4" w:space="0" w:color="000000"/>
              <w:bottom w:val="single" w:sz="4" w:space="0" w:color="000000"/>
              <w:right w:val="single" w:sz="4" w:space="0" w:color="000000"/>
            </w:tcBorders>
          </w:tcPr>
          <w:p w14:paraId="217595BB" w14:textId="77777777" w:rsidR="00F65BCA" w:rsidRDefault="00F65BCA">
            <w:pPr>
              <w:pStyle w:val="TableParagraph"/>
              <w:rPr>
                <w:rFonts w:ascii="Times New Roman"/>
                <w:sz w:val="4"/>
              </w:rPr>
            </w:pPr>
          </w:p>
        </w:tc>
        <w:tc>
          <w:tcPr>
            <w:tcW w:w="278" w:type="dxa"/>
            <w:tcBorders>
              <w:left w:val="single" w:sz="4" w:space="0" w:color="000000"/>
              <w:bottom w:val="single" w:sz="4" w:space="0" w:color="000000"/>
              <w:right w:val="single" w:sz="4" w:space="0" w:color="000000"/>
            </w:tcBorders>
          </w:tcPr>
          <w:p w14:paraId="36FDE606" w14:textId="77777777" w:rsidR="00F65BCA" w:rsidRDefault="00F65BCA">
            <w:pPr>
              <w:pStyle w:val="TableParagraph"/>
              <w:rPr>
                <w:rFonts w:ascii="Times New Roman"/>
                <w:sz w:val="4"/>
              </w:rPr>
            </w:pPr>
          </w:p>
        </w:tc>
        <w:tc>
          <w:tcPr>
            <w:tcW w:w="273" w:type="dxa"/>
            <w:tcBorders>
              <w:left w:val="single" w:sz="4" w:space="0" w:color="000000"/>
              <w:bottom w:val="single" w:sz="4" w:space="0" w:color="000000"/>
              <w:right w:val="single" w:sz="4" w:space="0" w:color="000000"/>
            </w:tcBorders>
          </w:tcPr>
          <w:p w14:paraId="456E4BC5" w14:textId="77777777" w:rsidR="00F65BCA" w:rsidRDefault="00F65BCA">
            <w:pPr>
              <w:pStyle w:val="TableParagraph"/>
              <w:rPr>
                <w:rFonts w:ascii="Times New Roman"/>
                <w:sz w:val="4"/>
              </w:rPr>
            </w:pPr>
          </w:p>
        </w:tc>
        <w:tc>
          <w:tcPr>
            <w:tcW w:w="398" w:type="dxa"/>
            <w:tcBorders>
              <w:left w:val="single" w:sz="4" w:space="0" w:color="000000"/>
              <w:bottom w:val="single" w:sz="4" w:space="0" w:color="000000"/>
              <w:right w:val="single" w:sz="4" w:space="0" w:color="000000"/>
            </w:tcBorders>
          </w:tcPr>
          <w:p w14:paraId="335DAB5E" w14:textId="77777777" w:rsidR="00F65BCA" w:rsidRDefault="00F65BCA">
            <w:pPr>
              <w:pStyle w:val="TableParagraph"/>
              <w:rPr>
                <w:rFonts w:ascii="Times New Roman"/>
                <w:sz w:val="4"/>
              </w:rPr>
            </w:pPr>
          </w:p>
        </w:tc>
        <w:tc>
          <w:tcPr>
            <w:tcW w:w="398" w:type="dxa"/>
            <w:tcBorders>
              <w:left w:val="single" w:sz="4" w:space="0" w:color="000000"/>
              <w:bottom w:val="single" w:sz="4" w:space="0" w:color="000000"/>
              <w:right w:val="single" w:sz="4" w:space="0" w:color="000000"/>
            </w:tcBorders>
          </w:tcPr>
          <w:p w14:paraId="2B841715" w14:textId="77777777" w:rsidR="00F65BCA" w:rsidRDefault="00216117">
            <w:pPr>
              <w:pStyle w:val="TableParagraph"/>
              <w:spacing w:line="69" w:lineRule="exact"/>
              <w:ind w:left="57"/>
              <w:jc w:val="center"/>
              <w:rPr>
                <w:rFonts w:ascii="Calibri"/>
                <w:sz w:val="7"/>
              </w:rPr>
            </w:pPr>
            <w:r>
              <w:rPr>
                <w:rFonts w:ascii="Calibri"/>
                <w:w w:val="105"/>
                <w:sz w:val="7"/>
              </w:rPr>
              <w:t>ANO</w:t>
            </w:r>
          </w:p>
        </w:tc>
        <w:tc>
          <w:tcPr>
            <w:tcW w:w="278" w:type="dxa"/>
            <w:tcBorders>
              <w:left w:val="single" w:sz="4" w:space="0" w:color="000000"/>
              <w:bottom w:val="single" w:sz="4" w:space="0" w:color="000000"/>
              <w:right w:val="single" w:sz="4" w:space="0" w:color="000000"/>
            </w:tcBorders>
          </w:tcPr>
          <w:p w14:paraId="0576439E" w14:textId="77777777" w:rsidR="00F65BCA" w:rsidRDefault="00F65BCA">
            <w:pPr>
              <w:pStyle w:val="TableParagraph"/>
              <w:rPr>
                <w:rFonts w:ascii="Times New Roman"/>
                <w:sz w:val="4"/>
              </w:rPr>
            </w:pPr>
          </w:p>
        </w:tc>
        <w:tc>
          <w:tcPr>
            <w:tcW w:w="398" w:type="dxa"/>
            <w:tcBorders>
              <w:left w:val="single" w:sz="4" w:space="0" w:color="000000"/>
              <w:bottom w:val="single" w:sz="4" w:space="0" w:color="000000"/>
              <w:right w:val="single" w:sz="4" w:space="0" w:color="000000"/>
            </w:tcBorders>
          </w:tcPr>
          <w:p w14:paraId="250CC6B6" w14:textId="77777777" w:rsidR="00F65BCA" w:rsidRDefault="00F65BCA">
            <w:pPr>
              <w:pStyle w:val="TableParagraph"/>
              <w:rPr>
                <w:rFonts w:ascii="Times New Roman"/>
                <w:sz w:val="4"/>
              </w:rPr>
            </w:pPr>
          </w:p>
        </w:tc>
        <w:tc>
          <w:tcPr>
            <w:tcW w:w="398" w:type="dxa"/>
            <w:tcBorders>
              <w:left w:val="single" w:sz="4" w:space="0" w:color="000000"/>
              <w:bottom w:val="single" w:sz="4" w:space="0" w:color="000000"/>
              <w:right w:val="single" w:sz="4" w:space="0" w:color="000000"/>
            </w:tcBorders>
          </w:tcPr>
          <w:p w14:paraId="76300470" w14:textId="77777777" w:rsidR="00F65BCA" w:rsidRDefault="00F65BCA">
            <w:pPr>
              <w:pStyle w:val="TableParagraph"/>
              <w:rPr>
                <w:rFonts w:ascii="Times New Roman"/>
                <w:sz w:val="4"/>
              </w:rPr>
            </w:pPr>
          </w:p>
        </w:tc>
        <w:tc>
          <w:tcPr>
            <w:tcW w:w="513" w:type="dxa"/>
            <w:tcBorders>
              <w:left w:val="single" w:sz="4" w:space="0" w:color="000000"/>
              <w:bottom w:val="single" w:sz="4" w:space="0" w:color="000000"/>
              <w:right w:val="single" w:sz="4" w:space="0" w:color="000000"/>
            </w:tcBorders>
            <w:shd w:val="clear" w:color="auto" w:fill="FFFF99"/>
          </w:tcPr>
          <w:p w14:paraId="2B27321A" w14:textId="77777777" w:rsidR="00F65BCA" w:rsidRDefault="00216117">
            <w:pPr>
              <w:pStyle w:val="TableParagraph"/>
              <w:spacing w:before="2" w:line="67" w:lineRule="exact"/>
              <w:ind w:left="76" w:right="28"/>
              <w:jc w:val="center"/>
              <w:rPr>
                <w:rFonts w:ascii="Calibri" w:hAnsi="Calibri"/>
                <w:sz w:val="7"/>
              </w:rPr>
            </w:pPr>
            <w:r>
              <w:rPr>
                <w:rFonts w:ascii="Calibri" w:hAnsi="Calibri"/>
                <w:w w:val="105"/>
                <w:sz w:val="7"/>
              </w:rPr>
              <w:t>192 Kč</w:t>
            </w:r>
          </w:p>
        </w:tc>
        <w:tc>
          <w:tcPr>
            <w:tcW w:w="460" w:type="dxa"/>
            <w:tcBorders>
              <w:left w:val="single" w:sz="4" w:space="0" w:color="000000"/>
              <w:bottom w:val="single" w:sz="4" w:space="0" w:color="000000"/>
              <w:right w:val="single" w:sz="4" w:space="0" w:color="000000"/>
            </w:tcBorders>
            <w:shd w:val="clear" w:color="auto" w:fill="FFFF99"/>
          </w:tcPr>
          <w:p w14:paraId="19B9DB33" w14:textId="77777777" w:rsidR="00F65BCA" w:rsidRDefault="00F65BCA">
            <w:pPr>
              <w:pStyle w:val="TableParagraph"/>
              <w:rPr>
                <w:rFonts w:ascii="Times New Roman"/>
                <w:sz w:val="4"/>
              </w:rPr>
            </w:pPr>
          </w:p>
        </w:tc>
        <w:tc>
          <w:tcPr>
            <w:tcW w:w="462" w:type="dxa"/>
            <w:tcBorders>
              <w:left w:val="single" w:sz="4" w:space="0" w:color="000000"/>
              <w:bottom w:val="single" w:sz="4" w:space="0" w:color="000000"/>
              <w:right w:val="single" w:sz="4" w:space="0" w:color="000000"/>
            </w:tcBorders>
            <w:shd w:val="clear" w:color="auto" w:fill="FFFF99"/>
          </w:tcPr>
          <w:p w14:paraId="0A1AFF82" w14:textId="77777777" w:rsidR="00F65BCA" w:rsidRDefault="00F65BCA">
            <w:pPr>
              <w:pStyle w:val="TableParagraph"/>
              <w:rPr>
                <w:rFonts w:ascii="Times New Roman"/>
                <w:sz w:val="4"/>
              </w:rPr>
            </w:pPr>
          </w:p>
        </w:tc>
        <w:tc>
          <w:tcPr>
            <w:tcW w:w="392" w:type="dxa"/>
            <w:tcBorders>
              <w:left w:val="single" w:sz="4" w:space="0" w:color="000000"/>
              <w:bottom w:val="single" w:sz="4" w:space="0" w:color="000000"/>
              <w:right w:val="single" w:sz="4" w:space="0" w:color="000000"/>
            </w:tcBorders>
            <w:shd w:val="clear" w:color="auto" w:fill="FFFF99"/>
          </w:tcPr>
          <w:p w14:paraId="48C8D8BF" w14:textId="77777777" w:rsidR="00F65BCA" w:rsidRDefault="00F65BCA">
            <w:pPr>
              <w:pStyle w:val="TableParagraph"/>
              <w:rPr>
                <w:rFonts w:ascii="Times New Roman"/>
                <w:sz w:val="4"/>
              </w:rPr>
            </w:pPr>
          </w:p>
        </w:tc>
        <w:tc>
          <w:tcPr>
            <w:tcW w:w="495" w:type="dxa"/>
            <w:tcBorders>
              <w:left w:val="single" w:sz="4" w:space="0" w:color="000000"/>
              <w:bottom w:val="single" w:sz="4" w:space="0" w:color="000000"/>
              <w:right w:val="single" w:sz="4" w:space="0" w:color="000000"/>
            </w:tcBorders>
            <w:shd w:val="clear" w:color="auto" w:fill="FFFF99"/>
          </w:tcPr>
          <w:p w14:paraId="5C2FEBE8" w14:textId="77777777" w:rsidR="00F65BCA" w:rsidRDefault="00F65BCA">
            <w:pPr>
              <w:pStyle w:val="TableParagraph"/>
              <w:rPr>
                <w:rFonts w:ascii="Times New Roman"/>
                <w:sz w:val="4"/>
              </w:rPr>
            </w:pPr>
          </w:p>
        </w:tc>
        <w:tc>
          <w:tcPr>
            <w:tcW w:w="500" w:type="dxa"/>
            <w:tcBorders>
              <w:left w:val="single" w:sz="4" w:space="0" w:color="000000"/>
              <w:bottom w:val="single" w:sz="4" w:space="0" w:color="000000"/>
              <w:right w:val="single" w:sz="4" w:space="0" w:color="000000"/>
            </w:tcBorders>
            <w:shd w:val="clear" w:color="auto" w:fill="FFFF99"/>
          </w:tcPr>
          <w:p w14:paraId="3579F8ED" w14:textId="77777777" w:rsidR="00F65BCA" w:rsidRDefault="00216117">
            <w:pPr>
              <w:pStyle w:val="TableParagraph"/>
              <w:spacing w:before="2" w:line="67" w:lineRule="exact"/>
              <w:ind w:left="74" w:right="16"/>
              <w:jc w:val="center"/>
              <w:rPr>
                <w:rFonts w:ascii="Calibri" w:hAnsi="Calibri"/>
                <w:sz w:val="7"/>
              </w:rPr>
            </w:pPr>
            <w:r>
              <w:rPr>
                <w:rFonts w:ascii="Calibri" w:hAnsi="Calibri"/>
                <w:w w:val="105"/>
                <w:sz w:val="7"/>
              </w:rPr>
              <w:t>660 Kč</w:t>
            </w:r>
          </w:p>
        </w:tc>
        <w:tc>
          <w:tcPr>
            <w:tcW w:w="500" w:type="dxa"/>
            <w:tcBorders>
              <w:left w:val="single" w:sz="4" w:space="0" w:color="000000"/>
              <w:bottom w:val="single" w:sz="4" w:space="0" w:color="000000"/>
              <w:right w:val="single" w:sz="4" w:space="0" w:color="000000"/>
            </w:tcBorders>
            <w:shd w:val="clear" w:color="auto" w:fill="FFFF99"/>
          </w:tcPr>
          <w:p w14:paraId="234F672E" w14:textId="77777777" w:rsidR="00F65BCA" w:rsidRDefault="00F65BCA">
            <w:pPr>
              <w:pStyle w:val="TableParagraph"/>
              <w:rPr>
                <w:rFonts w:ascii="Times New Roman"/>
                <w:sz w:val="4"/>
              </w:rPr>
            </w:pPr>
          </w:p>
        </w:tc>
        <w:tc>
          <w:tcPr>
            <w:tcW w:w="458" w:type="dxa"/>
            <w:tcBorders>
              <w:left w:val="single" w:sz="4" w:space="0" w:color="000000"/>
              <w:bottom w:val="single" w:sz="4" w:space="0" w:color="000000"/>
            </w:tcBorders>
            <w:shd w:val="clear" w:color="auto" w:fill="FFFF99"/>
          </w:tcPr>
          <w:p w14:paraId="38360356" w14:textId="77777777" w:rsidR="00F65BCA" w:rsidRDefault="00216117">
            <w:pPr>
              <w:pStyle w:val="TableParagraph"/>
              <w:spacing w:before="2" w:line="67" w:lineRule="exact"/>
              <w:ind w:left="158"/>
              <w:rPr>
                <w:rFonts w:ascii="Calibri" w:hAnsi="Calibri"/>
                <w:sz w:val="7"/>
              </w:rPr>
            </w:pPr>
            <w:r>
              <w:rPr>
                <w:rFonts w:ascii="Calibri" w:hAnsi="Calibri"/>
                <w:w w:val="105"/>
                <w:sz w:val="7"/>
              </w:rPr>
              <w:t>852 Kč</w:t>
            </w:r>
          </w:p>
        </w:tc>
      </w:tr>
      <w:tr w:rsidR="00F65BCA" w14:paraId="6117375F" w14:textId="77777777">
        <w:trPr>
          <w:trHeight w:val="90"/>
        </w:trPr>
        <w:tc>
          <w:tcPr>
            <w:tcW w:w="188" w:type="dxa"/>
            <w:tcBorders>
              <w:top w:val="single" w:sz="4" w:space="0" w:color="000000"/>
              <w:bottom w:val="single" w:sz="4" w:space="0" w:color="000000"/>
              <w:right w:val="single" w:sz="4" w:space="0" w:color="000000"/>
            </w:tcBorders>
          </w:tcPr>
          <w:p w14:paraId="05F45159" w14:textId="77777777" w:rsidR="00F65BCA" w:rsidRDefault="00216117">
            <w:pPr>
              <w:pStyle w:val="TableParagraph"/>
              <w:spacing w:before="4" w:line="67" w:lineRule="exact"/>
              <w:ind w:left="78"/>
              <w:rPr>
                <w:rFonts w:ascii="Calibri"/>
                <w:sz w:val="7"/>
              </w:rPr>
            </w:pPr>
            <w:r>
              <w:rPr>
                <w:rFonts w:ascii="Calibri"/>
                <w:w w:val="106"/>
                <w:sz w:val="7"/>
              </w:rPr>
              <w:t>2</w:t>
            </w:r>
          </w:p>
        </w:tc>
        <w:tc>
          <w:tcPr>
            <w:tcW w:w="398" w:type="dxa"/>
            <w:tcBorders>
              <w:top w:val="single" w:sz="4" w:space="0" w:color="000000"/>
              <w:left w:val="single" w:sz="4" w:space="0" w:color="000000"/>
              <w:bottom w:val="single" w:sz="4" w:space="0" w:color="000000"/>
              <w:right w:val="single" w:sz="4" w:space="0" w:color="000000"/>
            </w:tcBorders>
          </w:tcPr>
          <w:p w14:paraId="08E16BF2"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4AF6E79F"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7D20AE40"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69C9D83D"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7F799A43" w14:textId="77777777" w:rsidR="00F65BCA" w:rsidRDefault="00216117">
            <w:pPr>
              <w:pStyle w:val="TableParagraph"/>
              <w:spacing w:before="1" w:line="69" w:lineRule="exact"/>
              <w:ind w:left="70"/>
              <w:rPr>
                <w:rFonts w:ascii="Calibri"/>
                <w:sz w:val="7"/>
              </w:rPr>
            </w:pPr>
            <w:r>
              <w:rPr>
                <w:rFonts w:ascii="Calibri"/>
                <w:w w:val="105"/>
                <w:sz w:val="7"/>
              </w:rPr>
              <w:t>5P13991</w:t>
            </w:r>
          </w:p>
        </w:tc>
        <w:tc>
          <w:tcPr>
            <w:tcW w:w="398" w:type="dxa"/>
            <w:tcBorders>
              <w:top w:val="single" w:sz="4" w:space="0" w:color="000000"/>
              <w:left w:val="single" w:sz="4" w:space="0" w:color="000000"/>
              <w:bottom w:val="single" w:sz="4" w:space="0" w:color="000000"/>
              <w:right w:val="single" w:sz="4" w:space="0" w:color="000000"/>
            </w:tcBorders>
          </w:tcPr>
          <w:p w14:paraId="771FF113" w14:textId="77777777" w:rsidR="00F65BCA" w:rsidRDefault="00216117">
            <w:pPr>
              <w:pStyle w:val="TableParagraph"/>
              <w:spacing w:before="1" w:line="69" w:lineRule="exact"/>
              <w:ind w:left="16"/>
              <w:jc w:val="center"/>
              <w:rPr>
                <w:rFonts w:ascii="Calibri"/>
                <w:sz w:val="7"/>
              </w:rPr>
            </w:pPr>
            <w:r>
              <w:rPr>
                <w:rFonts w:ascii="Calibri"/>
                <w:w w:val="105"/>
                <w:sz w:val="7"/>
              </w:rPr>
              <w:t>UE620699</w:t>
            </w:r>
          </w:p>
        </w:tc>
        <w:tc>
          <w:tcPr>
            <w:tcW w:w="792" w:type="dxa"/>
            <w:tcBorders>
              <w:top w:val="single" w:sz="4" w:space="0" w:color="000000"/>
              <w:left w:val="single" w:sz="4" w:space="0" w:color="000000"/>
              <w:bottom w:val="single" w:sz="4" w:space="0" w:color="000000"/>
              <w:right w:val="single" w:sz="4" w:space="0" w:color="000000"/>
            </w:tcBorders>
          </w:tcPr>
          <w:p w14:paraId="1F70661B" w14:textId="77777777" w:rsidR="00F65BCA" w:rsidRDefault="00216117">
            <w:pPr>
              <w:pStyle w:val="TableParagraph"/>
              <w:spacing w:before="1" w:line="69" w:lineRule="exact"/>
              <w:ind w:left="73"/>
              <w:rPr>
                <w:rFonts w:ascii="Calibri"/>
                <w:sz w:val="7"/>
              </w:rPr>
            </w:pPr>
            <w:r>
              <w:rPr>
                <w:rFonts w:ascii="Calibri"/>
                <w:w w:val="105"/>
                <w:sz w:val="7"/>
              </w:rPr>
              <w:t>TMBJC25JXC3075896</w:t>
            </w:r>
          </w:p>
        </w:tc>
        <w:tc>
          <w:tcPr>
            <w:tcW w:w="398" w:type="dxa"/>
            <w:tcBorders>
              <w:top w:val="single" w:sz="4" w:space="0" w:color="000000"/>
              <w:left w:val="single" w:sz="4" w:space="0" w:color="000000"/>
              <w:bottom w:val="single" w:sz="4" w:space="0" w:color="000000"/>
              <w:right w:val="single" w:sz="4" w:space="0" w:color="000000"/>
            </w:tcBorders>
          </w:tcPr>
          <w:p w14:paraId="3609EB8E" w14:textId="77777777" w:rsidR="00F65BCA" w:rsidRDefault="00216117">
            <w:pPr>
              <w:pStyle w:val="TableParagraph"/>
              <w:spacing w:before="1" w:line="69" w:lineRule="exact"/>
              <w:ind w:left="100"/>
              <w:rPr>
                <w:rFonts w:ascii="Calibri"/>
                <w:sz w:val="7"/>
              </w:rPr>
            </w:pPr>
            <w:r>
              <w:rPr>
                <w:rFonts w:ascii="Calibri"/>
                <w:w w:val="105"/>
                <w:sz w:val="7"/>
              </w:rPr>
              <w:t>SKODA</w:t>
            </w:r>
          </w:p>
        </w:tc>
        <w:tc>
          <w:tcPr>
            <w:tcW w:w="1065" w:type="dxa"/>
            <w:tcBorders>
              <w:top w:val="single" w:sz="4" w:space="0" w:color="000000"/>
              <w:left w:val="single" w:sz="4" w:space="0" w:color="000000"/>
              <w:bottom w:val="single" w:sz="4" w:space="0" w:color="000000"/>
              <w:right w:val="single" w:sz="4" w:space="0" w:color="000000"/>
            </w:tcBorders>
          </w:tcPr>
          <w:p w14:paraId="359E86F2" w14:textId="77777777" w:rsidR="00F65BCA" w:rsidRDefault="00216117">
            <w:pPr>
              <w:pStyle w:val="TableParagraph"/>
              <w:spacing w:before="1" w:line="69" w:lineRule="exact"/>
              <w:ind w:left="71" w:right="55"/>
              <w:jc w:val="center"/>
              <w:rPr>
                <w:rFonts w:ascii="Calibri"/>
                <w:sz w:val="7"/>
              </w:rPr>
            </w:pPr>
            <w:r>
              <w:rPr>
                <w:rFonts w:ascii="Calibri"/>
                <w:w w:val="105"/>
                <w:sz w:val="7"/>
              </w:rPr>
              <w:t>FABIA II COMBI</w:t>
            </w:r>
          </w:p>
        </w:tc>
        <w:tc>
          <w:tcPr>
            <w:tcW w:w="815" w:type="dxa"/>
            <w:tcBorders>
              <w:top w:val="single" w:sz="4" w:space="0" w:color="000000"/>
              <w:left w:val="single" w:sz="4" w:space="0" w:color="000000"/>
              <w:bottom w:val="single" w:sz="4" w:space="0" w:color="000000"/>
              <w:right w:val="single" w:sz="4" w:space="0" w:color="000000"/>
            </w:tcBorders>
          </w:tcPr>
          <w:p w14:paraId="1DABBC05"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6058D7F1" w14:textId="77777777" w:rsidR="00F65BCA" w:rsidRDefault="00216117">
            <w:pPr>
              <w:pStyle w:val="TableParagraph"/>
              <w:spacing w:before="1" w:line="69" w:lineRule="exact"/>
              <w:ind w:right="41"/>
              <w:jc w:val="right"/>
              <w:rPr>
                <w:rFonts w:ascii="Calibri"/>
                <w:sz w:val="7"/>
              </w:rPr>
            </w:pPr>
            <w:r>
              <w:rPr>
                <w:rFonts w:ascii="Calibri"/>
                <w:w w:val="105"/>
                <w:sz w:val="7"/>
              </w:rPr>
              <w:t>2011</w:t>
            </w:r>
          </w:p>
        </w:tc>
        <w:tc>
          <w:tcPr>
            <w:tcW w:w="278" w:type="dxa"/>
            <w:tcBorders>
              <w:top w:val="single" w:sz="4" w:space="0" w:color="000000"/>
              <w:left w:val="single" w:sz="4" w:space="0" w:color="000000"/>
              <w:bottom w:val="single" w:sz="4" w:space="0" w:color="000000"/>
              <w:right w:val="single" w:sz="4" w:space="0" w:color="000000"/>
            </w:tcBorders>
          </w:tcPr>
          <w:p w14:paraId="4B61275F" w14:textId="77777777" w:rsidR="00F65BCA" w:rsidRDefault="00216117">
            <w:pPr>
              <w:pStyle w:val="TableParagraph"/>
              <w:spacing w:before="1" w:line="69" w:lineRule="exact"/>
              <w:ind w:left="28" w:right="2"/>
              <w:jc w:val="center"/>
              <w:rPr>
                <w:rFonts w:ascii="Calibri"/>
                <w:sz w:val="7"/>
              </w:rPr>
            </w:pPr>
            <w:r>
              <w:rPr>
                <w:rFonts w:ascii="Calibri"/>
                <w:w w:val="105"/>
                <w:sz w:val="7"/>
              </w:rPr>
              <w:t>1390</w:t>
            </w:r>
          </w:p>
        </w:tc>
        <w:tc>
          <w:tcPr>
            <w:tcW w:w="268" w:type="dxa"/>
            <w:tcBorders>
              <w:top w:val="single" w:sz="4" w:space="0" w:color="000000"/>
              <w:left w:val="single" w:sz="4" w:space="0" w:color="000000"/>
              <w:bottom w:val="single" w:sz="4" w:space="0" w:color="000000"/>
              <w:right w:val="single" w:sz="4" w:space="0" w:color="000000"/>
            </w:tcBorders>
          </w:tcPr>
          <w:p w14:paraId="693033C9" w14:textId="77777777" w:rsidR="00F65BCA" w:rsidRDefault="00216117">
            <w:pPr>
              <w:pStyle w:val="TableParagraph"/>
              <w:spacing w:before="1" w:line="69" w:lineRule="exact"/>
              <w:ind w:right="74"/>
              <w:jc w:val="right"/>
              <w:rPr>
                <w:rFonts w:ascii="Calibri"/>
                <w:sz w:val="7"/>
              </w:rPr>
            </w:pPr>
            <w:r>
              <w:rPr>
                <w:rFonts w:ascii="Calibri"/>
                <w:w w:val="105"/>
                <w:sz w:val="7"/>
              </w:rPr>
              <w:t>63</w:t>
            </w:r>
          </w:p>
        </w:tc>
        <w:tc>
          <w:tcPr>
            <w:tcW w:w="398" w:type="dxa"/>
            <w:tcBorders>
              <w:top w:val="single" w:sz="4" w:space="0" w:color="000000"/>
              <w:left w:val="single" w:sz="4" w:space="0" w:color="000000"/>
              <w:bottom w:val="single" w:sz="4" w:space="0" w:color="000000"/>
              <w:right w:val="single" w:sz="4" w:space="0" w:color="000000"/>
            </w:tcBorders>
          </w:tcPr>
          <w:p w14:paraId="793FA2C6" w14:textId="77777777" w:rsidR="00F65BCA" w:rsidRDefault="00216117">
            <w:pPr>
              <w:pStyle w:val="TableParagraph"/>
              <w:spacing w:before="1" w:line="69" w:lineRule="exact"/>
              <w:ind w:left="28"/>
              <w:jc w:val="center"/>
              <w:rPr>
                <w:rFonts w:ascii="Calibri"/>
                <w:sz w:val="7"/>
              </w:rPr>
            </w:pPr>
            <w:r>
              <w:rPr>
                <w:rFonts w:ascii="Calibri"/>
                <w:w w:val="105"/>
                <w:sz w:val="7"/>
              </w:rPr>
              <w:t>1579</w:t>
            </w:r>
          </w:p>
        </w:tc>
        <w:tc>
          <w:tcPr>
            <w:tcW w:w="249" w:type="dxa"/>
            <w:tcBorders>
              <w:top w:val="single" w:sz="4" w:space="0" w:color="000000"/>
              <w:left w:val="single" w:sz="4" w:space="0" w:color="000000"/>
              <w:bottom w:val="single" w:sz="4" w:space="0" w:color="000000"/>
              <w:right w:val="single" w:sz="4" w:space="0" w:color="000000"/>
            </w:tcBorders>
          </w:tcPr>
          <w:p w14:paraId="19547055" w14:textId="77777777" w:rsidR="00F65BCA" w:rsidRDefault="00216117">
            <w:pPr>
              <w:pStyle w:val="TableParagraph"/>
              <w:spacing w:before="1"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57661DA8" w14:textId="77777777" w:rsidR="00F65BCA" w:rsidRDefault="00216117">
            <w:pPr>
              <w:pStyle w:val="TableParagraph"/>
              <w:spacing w:before="1" w:line="69" w:lineRule="exact"/>
              <w:ind w:left="34"/>
              <w:jc w:val="center"/>
              <w:rPr>
                <w:rFonts w:ascii="Calibri" w:hAnsi="Calibri"/>
                <w:sz w:val="7"/>
              </w:rPr>
            </w:pPr>
            <w:r>
              <w:rPr>
                <w:rFonts w:ascii="Calibri" w:hAnsi="Calibri"/>
                <w:w w:val="105"/>
                <w:sz w:val="7"/>
              </w:rPr>
              <w:t>Benzín</w:t>
            </w:r>
          </w:p>
        </w:tc>
        <w:tc>
          <w:tcPr>
            <w:tcW w:w="256" w:type="dxa"/>
            <w:tcBorders>
              <w:top w:val="single" w:sz="4" w:space="0" w:color="000000"/>
              <w:left w:val="single" w:sz="4" w:space="0" w:color="000000"/>
              <w:bottom w:val="single" w:sz="4" w:space="0" w:color="000000"/>
              <w:right w:val="single" w:sz="4" w:space="0" w:color="000000"/>
            </w:tcBorders>
          </w:tcPr>
          <w:p w14:paraId="038C9964"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43E53F42" w14:textId="77777777" w:rsidR="00F65BCA" w:rsidRDefault="00216117">
            <w:pPr>
              <w:pStyle w:val="TableParagraph"/>
              <w:spacing w:before="1" w:line="69" w:lineRule="exact"/>
              <w:jc w:val="right"/>
              <w:rPr>
                <w:rFonts w:ascii="Calibri" w:hAnsi="Calibri"/>
                <w:sz w:val="7"/>
              </w:rPr>
            </w:pPr>
            <w:r>
              <w:rPr>
                <w:rFonts w:ascii="Calibri" w:hAnsi="Calibri"/>
                <w:w w:val="105"/>
                <w:sz w:val="7"/>
              </w:rPr>
              <w:t>113 000 Kč</w:t>
            </w:r>
          </w:p>
        </w:tc>
        <w:tc>
          <w:tcPr>
            <w:tcW w:w="278" w:type="dxa"/>
            <w:tcBorders>
              <w:top w:val="single" w:sz="4" w:space="0" w:color="000000"/>
              <w:left w:val="single" w:sz="4" w:space="0" w:color="000000"/>
              <w:bottom w:val="single" w:sz="4" w:space="0" w:color="000000"/>
              <w:right w:val="single" w:sz="4" w:space="0" w:color="000000"/>
            </w:tcBorders>
          </w:tcPr>
          <w:p w14:paraId="4CB8AE14"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63FB0CB4"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3123549F"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12 000 Kč</w:t>
            </w:r>
          </w:p>
        </w:tc>
        <w:tc>
          <w:tcPr>
            <w:tcW w:w="398" w:type="dxa"/>
            <w:tcBorders>
              <w:top w:val="single" w:sz="4" w:space="0" w:color="000000"/>
              <w:left w:val="single" w:sz="4" w:space="0" w:color="000000"/>
              <w:bottom w:val="single" w:sz="4" w:space="0" w:color="000000"/>
              <w:right w:val="single" w:sz="4" w:space="0" w:color="000000"/>
            </w:tcBorders>
          </w:tcPr>
          <w:p w14:paraId="33721B93"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3B9898A4"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682494EE"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5E7267FE"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660C6CF0"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1 704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05BC2216"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1 512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1D7452E0" w14:textId="77777777" w:rsidR="00F65BCA" w:rsidRDefault="00216117">
            <w:pPr>
              <w:pStyle w:val="TableParagraph"/>
              <w:spacing w:before="4" w:line="67" w:lineRule="exact"/>
              <w:ind w:right="98"/>
              <w:jc w:val="right"/>
              <w:rPr>
                <w:rFonts w:ascii="Calibri" w:hAnsi="Calibri"/>
                <w:sz w:val="7"/>
              </w:rPr>
            </w:pPr>
            <w:r>
              <w:rPr>
                <w:rFonts w:ascii="Calibri" w:hAnsi="Calibri"/>
                <w:w w:val="105"/>
                <w:sz w:val="7"/>
              </w:rPr>
              <w:t>600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129C2DA6"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0C8FFDB8"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0B05291B" w14:textId="77777777" w:rsidR="00F65BCA" w:rsidRDefault="00216117">
            <w:pPr>
              <w:pStyle w:val="TableParagraph"/>
              <w:spacing w:before="4" w:line="67" w:lineRule="exact"/>
              <w:ind w:left="77" w:right="16"/>
              <w:jc w:val="center"/>
              <w:rPr>
                <w:rFonts w:ascii="Calibri" w:hAnsi="Calibri"/>
                <w:sz w:val="7"/>
              </w:rPr>
            </w:pPr>
            <w:r>
              <w:rPr>
                <w:rFonts w:ascii="Calibri" w:hAnsi="Calibri"/>
                <w:w w:val="105"/>
                <w:sz w:val="7"/>
              </w:rPr>
              <w:t>1 320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0069931"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782FE954" w14:textId="77777777" w:rsidR="00F65BCA" w:rsidRDefault="00216117">
            <w:pPr>
              <w:pStyle w:val="TableParagraph"/>
              <w:spacing w:before="4" w:line="67" w:lineRule="exact"/>
              <w:ind w:left="130"/>
              <w:rPr>
                <w:rFonts w:ascii="Calibri" w:hAnsi="Calibri"/>
                <w:sz w:val="7"/>
              </w:rPr>
            </w:pPr>
            <w:r>
              <w:rPr>
                <w:rFonts w:ascii="Calibri" w:hAnsi="Calibri"/>
                <w:w w:val="105"/>
                <w:sz w:val="7"/>
              </w:rPr>
              <w:t>6 048 Kč</w:t>
            </w:r>
          </w:p>
        </w:tc>
      </w:tr>
      <w:tr w:rsidR="00F65BCA" w14:paraId="2BCD74DE" w14:textId="77777777">
        <w:trPr>
          <w:trHeight w:val="90"/>
        </w:trPr>
        <w:tc>
          <w:tcPr>
            <w:tcW w:w="188" w:type="dxa"/>
            <w:tcBorders>
              <w:top w:val="single" w:sz="4" w:space="0" w:color="000000"/>
              <w:bottom w:val="single" w:sz="4" w:space="0" w:color="000000"/>
              <w:right w:val="single" w:sz="4" w:space="0" w:color="000000"/>
            </w:tcBorders>
          </w:tcPr>
          <w:p w14:paraId="52B41B17" w14:textId="77777777" w:rsidR="00F65BCA" w:rsidRDefault="00216117">
            <w:pPr>
              <w:pStyle w:val="TableParagraph"/>
              <w:spacing w:before="4" w:line="67" w:lineRule="exact"/>
              <w:ind w:left="78"/>
              <w:rPr>
                <w:rFonts w:ascii="Calibri"/>
                <w:sz w:val="7"/>
              </w:rPr>
            </w:pPr>
            <w:r>
              <w:rPr>
                <w:rFonts w:ascii="Calibri"/>
                <w:w w:val="106"/>
                <w:sz w:val="7"/>
              </w:rPr>
              <w:t>3</w:t>
            </w:r>
          </w:p>
        </w:tc>
        <w:tc>
          <w:tcPr>
            <w:tcW w:w="398" w:type="dxa"/>
            <w:tcBorders>
              <w:top w:val="single" w:sz="4" w:space="0" w:color="000000"/>
              <w:left w:val="single" w:sz="4" w:space="0" w:color="000000"/>
              <w:bottom w:val="single" w:sz="4" w:space="0" w:color="000000"/>
              <w:right w:val="single" w:sz="4" w:space="0" w:color="000000"/>
            </w:tcBorders>
          </w:tcPr>
          <w:p w14:paraId="62802A8E"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69ED6452"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532E9CB7"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3E3F0D25"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13E8172A" w14:textId="77777777" w:rsidR="00F65BCA" w:rsidRDefault="00216117">
            <w:pPr>
              <w:pStyle w:val="TableParagraph"/>
              <w:spacing w:before="1" w:line="69" w:lineRule="exact"/>
              <w:ind w:left="70"/>
              <w:rPr>
                <w:rFonts w:ascii="Calibri"/>
                <w:sz w:val="7"/>
              </w:rPr>
            </w:pPr>
            <w:r>
              <w:rPr>
                <w:rFonts w:ascii="Calibri"/>
                <w:w w:val="105"/>
                <w:sz w:val="7"/>
              </w:rPr>
              <w:t>7AS8381</w:t>
            </w:r>
          </w:p>
        </w:tc>
        <w:tc>
          <w:tcPr>
            <w:tcW w:w="398" w:type="dxa"/>
            <w:tcBorders>
              <w:top w:val="single" w:sz="4" w:space="0" w:color="000000"/>
              <w:left w:val="single" w:sz="4" w:space="0" w:color="000000"/>
              <w:bottom w:val="single" w:sz="4" w:space="0" w:color="000000"/>
              <w:right w:val="single" w:sz="4" w:space="0" w:color="000000"/>
            </w:tcBorders>
          </w:tcPr>
          <w:p w14:paraId="49CD6E1D" w14:textId="77777777" w:rsidR="00F65BCA" w:rsidRDefault="00216117">
            <w:pPr>
              <w:pStyle w:val="TableParagraph"/>
              <w:spacing w:before="1" w:line="69" w:lineRule="exact"/>
              <w:ind w:left="18"/>
              <w:jc w:val="center"/>
              <w:rPr>
                <w:rFonts w:ascii="Calibri"/>
                <w:sz w:val="7"/>
              </w:rPr>
            </w:pPr>
            <w:r>
              <w:rPr>
                <w:rFonts w:ascii="Calibri"/>
                <w:w w:val="105"/>
                <w:sz w:val="7"/>
              </w:rPr>
              <w:t>UJ752404</w:t>
            </w:r>
          </w:p>
        </w:tc>
        <w:tc>
          <w:tcPr>
            <w:tcW w:w="792" w:type="dxa"/>
            <w:tcBorders>
              <w:top w:val="single" w:sz="4" w:space="0" w:color="000000"/>
              <w:left w:val="single" w:sz="4" w:space="0" w:color="000000"/>
              <w:bottom w:val="single" w:sz="4" w:space="0" w:color="000000"/>
              <w:right w:val="single" w:sz="4" w:space="0" w:color="000000"/>
            </w:tcBorders>
          </w:tcPr>
          <w:p w14:paraId="69062FCA" w14:textId="77777777" w:rsidR="00F65BCA" w:rsidRDefault="00216117">
            <w:pPr>
              <w:pStyle w:val="TableParagraph"/>
              <w:spacing w:before="1" w:line="69" w:lineRule="exact"/>
              <w:ind w:left="52"/>
              <w:rPr>
                <w:rFonts w:ascii="Calibri"/>
                <w:sz w:val="7"/>
              </w:rPr>
            </w:pPr>
            <w:r>
              <w:rPr>
                <w:rFonts w:ascii="Calibri"/>
                <w:w w:val="105"/>
                <w:sz w:val="7"/>
              </w:rPr>
              <w:t>TMBAP6NH2K4055174</w:t>
            </w:r>
          </w:p>
        </w:tc>
        <w:tc>
          <w:tcPr>
            <w:tcW w:w="398" w:type="dxa"/>
            <w:tcBorders>
              <w:top w:val="single" w:sz="4" w:space="0" w:color="000000"/>
              <w:left w:val="single" w:sz="4" w:space="0" w:color="000000"/>
              <w:bottom w:val="single" w:sz="4" w:space="0" w:color="000000"/>
              <w:right w:val="single" w:sz="4" w:space="0" w:color="000000"/>
            </w:tcBorders>
          </w:tcPr>
          <w:p w14:paraId="2D644FBF" w14:textId="77777777" w:rsidR="00F65BCA" w:rsidRDefault="00216117">
            <w:pPr>
              <w:pStyle w:val="TableParagraph"/>
              <w:spacing w:before="1" w:line="69" w:lineRule="exact"/>
              <w:ind w:left="100"/>
              <w:rPr>
                <w:rFonts w:ascii="Calibri"/>
                <w:sz w:val="7"/>
              </w:rPr>
            </w:pPr>
            <w:r>
              <w:rPr>
                <w:rFonts w:ascii="Calibri"/>
                <w:w w:val="105"/>
                <w:sz w:val="7"/>
              </w:rPr>
              <w:t>SKODA</w:t>
            </w:r>
          </w:p>
        </w:tc>
        <w:tc>
          <w:tcPr>
            <w:tcW w:w="1065" w:type="dxa"/>
            <w:tcBorders>
              <w:top w:val="single" w:sz="4" w:space="0" w:color="000000"/>
              <w:left w:val="single" w:sz="4" w:space="0" w:color="000000"/>
              <w:bottom w:val="single" w:sz="4" w:space="0" w:color="000000"/>
              <w:right w:val="single" w:sz="4" w:space="0" w:color="000000"/>
            </w:tcBorders>
          </w:tcPr>
          <w:p w14:paraId="7C54136C" w14:textId="77777777" w:rsidR="00F65BCA" w:rsidRDefault="00216117">
            <w:pPr>
              <w:pStyle w:val="TableParagraph"/>
              <w:spacing w:before="1" w:line="69" w:lineRule="exact"/>
              <w:ind w:left="75" w:right="52"/>
              <w:jc w:val="center"/>
              <w:rPr>
                <w:rFonts w:ascii="Calibri"/>
                <w:sz w:val="7"/>
              </w:rPr>
            </w:pPr>
            <w:r>
              <w:rPr>
                <w:rFonts w:ascii="Calibri"/>
                <w:w w:val="105"/>
                <w:sz w:val="7"/>
              </w:rPr>
              <w:t>RAPID</w:t>
            </w:r>
          </w:p>
        </w:tc>
        <w:tc>
          <w:tcPr>
            <w:tcW w:w="815" w:type="dxa"/>
            <w:tcBorders>
              <w:top w:val="single" w:sz="4" w:space="0" w:color="000000"/>
              <w:left w:val="single" w:sz="4" w:space="0" w:color="000000"/>
              <w:bottom w:val="single" w:sz="4" w:space="0" w:color="000000"/>
              <w:right w:val="single" w:sz="4" w:space="0" w:color="000000"/>
            </w:tcBorders>
          </w:tcPr>
          <w:p w14:paraId="407A098D"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24CD2EAE" w14:textId="77777777" w:rsidR="00F65BCA" w:rsidRDefault="00216117">
            <w:pPr>
              <w:pStyle w:val="TableParagraph"/>
              <w:spacing w:before="1" w:line="69" w:lineRule="exact"/>
              <w:ind w:right="41"/>
              <w:jc w:val="right"/>
              <w:rPr>
                <w:rFonts w:ascii="Calibri"/>
                <w:sz w:val="7"/>
              </w:rPr>
            </w:pPr>
            <w:r>
              <w:rPr>
                <w:rFonts w:ascii="Calibri"/>
                <w:w w:val="105"/>
                <w:sz w:val="7"/>
              </w:rPr>
              <w:t>2019</w:t>
            </w:r>
          </w:p>
        </w:tc>
        <w:tc>
          <w:tcPr>
            <w:tcW w:w="278" w:type="dxa"/>
            <w:tcBorders>
              <w:top w:val="single" w:sz="4" w:space="0" w:color="000000"/>
              <w:left w:val="single" w:sz="4" w:space="0" w:color="000000"/>
              <w:bottom w:val="single" w:sz="4" w:space="0" w:color="000000"/>
              <w:right w:val="single" w:sz="4" w:space="0" w:color="000000"/>
            </w:tcBorders>
          </w:tcPr>
          <w:p w14:paraId="6E84957C" w14:textId="77777777" w:rsidR="00F65BCA" w:rsidRDefault="00216117">
            <w:pPr>
              <w:pStyle w:val="TableParagraph"/>
              <w:spacing w:before="1" w:line="69" w:lineRule="exact"/>
              <w:ind w:left="28" w:right="2"/>
              <w:jc w:val="center"/>
              <w:rPr>
                <w:rFonts w:ascii="Calibri"/>
                <w:sz w:val="7"/>
              </w:rPr>
            </w:pPr>
            <w:r>
              <w:rPr>
                <w:rFonts w:ascii="Calibri"/>
                <w:w w:val="105"/>
                <w:sz w:val="7"/>
              </w:rPr>
              <w:t>999</w:t>
            </w:r>
          </w:p>
        </w:tc>
        <w:tc>
          <w:tcPr>
            <w:tcW w:w="268" w:type="dxa"/>
            <w:tcBorders>
              <w:top w:val="single" w:sz="4" w:space="0" w:color="000000"/>
              <w:left w:val="single" w:sz="4" w:space="0" w:color="000000"/>
              <w:bottom w:val="single" w:sz="4" w:space="0" w:color="000000"/>
              <w:right w:val="single" w:sz="4" w:space="0" w:color="000000"/>
            </w:tcBorders>
          </w:tcPr>
          <w:p w14:paraId="6F67B2CD" w14:textId="77777777" w:rsidR="00F65BCA" w:rsidRDefault="00216117">
            <w:pPr>
              <w:pStyle w:val="TableParagraph"/>
              <w:spacing w:before="1" w:line="69" w:lineRule="exact"/>
              <w:ind w:right="74"/>
              <w:jc w:val="right"/>
              <w:rPr>
                <w:rFonts w:ascii="Calibri"/>
                <w:sz w:val="7"/>
              </w:rPr>
            </w:pPr>
            <w:r>
              <w:rPr>
                <w:rFonts w:ascii="Calibri"/>
                <w:w w:val="105"/>
                <w:sz w:val="7"/>
              </w:rPr>
              <w:t>70</w:t>
            </w:r>
          </w:p>
        </w:tc>
        <w:tc>
          <w:tcPr>
            <w:tcW w:w="398" w:type="dxa"/>
            <w:tcBorders>
              <w:top w:val="single" w:sz="4" w:space="0" w:color="000000"/>
              <w:left w:val="single" w:sz="4" w:space="0" w:color="000000"/>
              <w:bottom w:val="single" w:sz="4" w:space="0" w:color="000000"/>
              <w:right w:val="single" w:sz="4" w:space="0" w:color="000000"/>
            </w:tcBorders>
          </w:tcPr>
          <w:p w14:paraId="78434CF1" w14:textId="77777777" w:rsidR="00F65BCA" w:rsidRDefault="00216117">
            <w:pPr>
              <w:pStyle w:val="TableParagraph"/>
              <w:spacing w:before="1" w:line="69" w:lineRule="exact"/>
              <w:ind w:left="28"/>
              <w:jc w:val="center"/>
              <w:rPr>
                <w:rFonts w:ascii="Calibri"/>
                <w:sz w:val="7"/>
              </w:rPr>
            </w:pPr>
            <w:r>
              <w:rPr>
                <w:rFonts w:ascii="Calibri"/>
                <w:w w:val="105"/>
                <w:sz w:val="7"/>
              </w:rPr>
              <w:t>1644</w:t>
            </w:r>
          </w:p>
        </w:tc>
        <w:tc>
          <w:tcPr>
            <w:tcW w:w="249" w:type="dxa"/>
            <w:tcBorders>
              <w:top w:val="single" w:sz="4" w:space="0" w:color="000000"/>
              <w:left w:val="single" w:sz="4" w:space="0" w:color="000000"/>
              <w:bottom w:val="single" w:sz="4" w:space="0" w:color="000000"/>
              <w:right w:val="single" w:sz="4" w:space="0" w:color="000000"/>
            </w:tcBorders>
          </w:tcPr>
          <w:p w14:paraId="48EBBE19" w14:textId="77777777" w:rsidR="00F65BCA" w:rsidRDefault="00216117">
            <w:pPr>
              <w:pStyle w:val="TableParagraph"/>
              <w:spacing w:before="1"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16E8AB5D" w14:textId="77777777" w:rsidR="00F65BCA" w:rsidRDefault="00216117">
            <w:pPr>
              <w:pStyle w:val="TableParagraph"/>
              <w:spacing w:before="1" w:line="69" w:lineRule="exact"/>
              <w:ind w:left="34"/>
              <w:jc w:val="center"/>
              <w:rPr>
                <w:rFonts w:ascii="Calibri" w:hAnsi="Calibri"/>
                <w:sz w:val="7"/>
              </w:rPr>
            </w:pPr>
            <w:r>
              <w:rPr>
                <w:rFonts w:ascii="Calibri" w:hAnsi="Calibri"/>
                <w:w w:val="105"/>
                <w:sz w:val="7"/>
              </w:rPr>
              <w:t>Benzín</w:t>
            </w:r>
          </w:p>
        </w:tc>
        <w:tc>
          <w:tcPr>
            <w:tcW w:w="256" w:type="dxa"/>
            <w:tcBorders>
              <w:top w:val="single" w:sz="4" w:space="0" w:color="000000"/>
              <w:left w:val="single" w:sz="4" w:space="0" w:color="000000"/>
              <w:bottom w:val="single" w:sz="4" w:space="0" w:color="000000"/>
              <w:right w:val="single" w:sz="4" w:space="0" w:color="000000"/>
            </w:tcBorders>
          </w:tcPr>
          <w:p w14:paraId="7702BFEF"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3F8A3A05" w14:textId="77777777" w:rsidR="00F65BCA" w:rsidRDefault="00216117">
            <w:pPr>
              <w:pStyle w:val="TableParagraph"/>
              <w:spacing w:before="1" w:line="69" w:lineRule="exact"/>
              <w:jc w:val="right"/>
              <w:rPr>
                <w:rFonts w:ascii="Calibri" w:hAnsi="Calibri"/>
                <w:sz w:val="7"/>
              </w:rPr>
            </w:pPr>
            <w:r>
              <w:rPr>
                <w:rFonts w:ascii="Calibri" w:hAnsi="Calibri"/>
                <w:w w:val="105"/>
                <w:sz w:val="7"/>
              </w:rPr>
              <w:t>261 000 Kč</w:t>
            </w:r>
          </w:p>
        </w:tc>
        <w:tc>
          <w:tcPr>
            <w:tcW w:w="278" w:type="dxa"/>
            <w:tcBorders>
              <w:top w:val="single" w:sz="4" w:space="0" w:color="000000"/>
              <w:left w:val="single" w:sz="4" w:space="0" w:color="000000"/>
              <w:bottom w:val="single" w:sz="4" w:space="0" w:color="000000"/>
              <w:right w:val="single" w:sz="4" w:space="0" w:color="000000"/>
            </w:tcBorders>
          </w:tcPr>
          <w:p w14:paraId="34E0B7F2"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2BFD887F"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386A31DA"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14 000 Kč</w:t>
            </w:r>
          </w:p>
        </w:tc>
        <w:tc>
          <w:tcPr>
            <w:tcW w:w="398" w:type="dxa"/>
            <w:tcBorders>
              <w:top w:val="single" w:sz="4" w:space="0" w:color="000000"/>
              <w:left w:val="single" w:sz="4" w:space="0" w:color="000000"/>
              <w:bottom w:val="single" w:sz="4" w:space="0" w:color="000000"/>
              <w:right w:val="single" w:sz="4" w:space="0" w:color="000000"/>
            </w:tcBorders>
          </w:tcPr>
          <w:p w14:paraId="5D073722"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78DB035E"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051D1C32"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48CF6522"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5767A151" w14:textId="77777777" w:rsidR="00F65BCA" w:rsidRDefault="00216117">
            <w:pPr>
              <w:pStyle w:val="TableParagraph"/>
              <w:spacing w:before="4" w:line="67" w:lineRule="exact"/>
              <w:ind w:left="76" w:right="28"/>
              <w:jc w:val="center"/>
              <w:rPr>
                <w:rFonts w:ascii="Calibri" w:hAnsi="Calibri"/>
                <w:sz w:val="7"/>
              </w:rPr>
            </w:pPr>
            <w:r>
              <w:rPr>
                <w:rFonts w:ascii="Calibri" w:hAnsi="Calibri"/>
                <w:w w:val="105"/>
                <w:sz w:val="7"/>
              </w:rPr>
              <w:t>864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3DA483B5"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2 904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6B5D8414" w14:textId="77777777" w:rsidR="00F65BCA" w:rsidRDefault="00216117">
            <w:pPr>
              <w:pStyle w:val="TableParagraph"/>
              <w:spacing w:before="4" w:line="67" w:lineRule="exact"/>
              <w:ind w:right="98"/>
              <w:jc w:val="right"/>
              <w:rPr>
                <w:rFonts w:ascii="Calibri" w:hAnsi="Calibri"/>
                <w:sz w:val="7"/>
              </w:rPr>
            </w:pPr>
            <w:r>
              <w:rPr>
                <w:rFonts w:ascii="Calibri" w:hAnsi="Calibri"/>
                <w:w w:val="105"/>
                <w:sz w:val="7"/>
              </w:rPr>
              <w:t>816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7DA0DE7C"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1F84388E"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E7A5CA7" w14:textId="77777777" w:rsidR="00F65BCA" w:rsidRDefault="00216117">
            <w:pPr>
              <w:pStyle w:val="TableParagraph"/>
              <w:spacing w:before="4" w:line="67" w:lineRule="exact"/>
              <w:ind w:left="77" w:right="16"/>
              <w:jc w:val="center"/>
              <w:rPr>
                <w:rFonts w:ascii="Calibri" w:hAnsi="Calibri"/>
                <w:sz w:val="7"/>
              </w:rPr>
            </w:pPr>
            <w:r>
              <w:rPr>
                <w:rFonts w:ascii="Calibri" w:hAnsi="Calibri"/>
                <w:w w:val="105"/>
                <w:sz w:val="7"/>
              </w:rPr>
              <w:t>1 200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7414DEF"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0F578672" w14:textId="77777777" w:rsidR="00F65BCA" w:rsidRDefault="00216117">
            <w:pPr>
              <w:pStyle w:val="TableParagraph"/>
              <w:spacing w:before="4" w:line="67" w:lineRule="exact"/>
              <w:ind w:left="130"/>
              <w:rPr>
                <w:rFonts w:ascii="Calibri" w:hAnsi="Calibri"/>
                <w:sz w:val="7"/>
              </w:rPr>
            </w:pPr>
            <w:r>
              <w:rPr>
                <w:rFonts w:ascii="Calibri" w:hAnsi="Calibri"/>
                <w:w w:val="105"/>
                <w:sz w:val="7"/>
              </w:rPr>
              <w:t>6 696 Kč</w:t>
            </w:r>
          </w:p>
        </w:tc>
      </w:tr>
      <w:tr w:rsidR="00F65BCA" w14:paraId="0E832F47" w14:textId="77777777">
        <w:trPr>
          <w:trHeight w:val="191"/>
        </w:trPr>
        <w:tc>
          <w:tcPr>
            <w:tcW w:w="188" w:type="dxa"/>
            <w:tcBorders>
              <w:top w:val="single" w:sz="4" w:space="0" w:color="000000"/>
              <w:bottom w:val="single" w:sz="4" w:space="0" w:color="000000"/>
              <w:right w:val="single" w:sz="4" w:space="0" w:color="000000"/>
            </w:tcBorders>
          </w:tcPr>
          <w:p w14:paraId="04093DFF" w14:textId="77777777" w:rsidR="00F65BCA" w:rsidRDefault="00F65BCA">
            <w:pPr>
              <w:pStyle w:val="TableParagraph"/>
              <w:spacing w:before="7"/>
              <w:rPr>
                <w:rFonts w:ascii="Calibri"/>
                <w:b/>
                <w:sz w:val="8"/>
              </w:rPr>
            </w:pPr>
          </w:p>
          <w:p w14:paraId="719C0ED7" w14:textId="77777777" w:rsidR="00F65BCA" w:rsidRDefault="00216117">
            <w:pPr>
              <w:pStyle w:val="TableParagraph"/>
              <w:spacing w:line="67" w:lineRule="exact"/>
              <w:ind w:left="78"/>
              <w:rPr>
                <w:rFonts w:ascii="Calibri"/>
                <w:sz w:val="7"/>
              </w:rPr>
            </w:pPr>
            <w:r>
              <w:rPr>
                <w:rFonts w:ascii="Calibri"/>
                <w:w w:val="106"/>
                <w:sz w:val="7"/>
              </w:rPr>
              <w:t>4</w:t>
            </w:r>
          </w:p>
        </w:tc>
        <w:tc>
          <w:tcPr>
            <w:tcW w:w="398" w:type="dxa"/>
            <w:tcBorders>
              <w:top w:val="single" w:sz="4" w:space="0" w:color="000000"/>
              <w:left w:val="single" w:sz="4" w:space="0" w:color="000000"/>
              <w:bottom w:val="single" w:sz="4" w:space="0" w:color="000000"/>
              <w:right w:val="single" w:sz="4" w:space="0" w:color="000000"/>
            </w:tcBorders>
          </w:tcPr>
          <w:p w14:paraId="0AF23895" w14:textId="77777777" w:rsidR="00F65BCA" w:rsidRDefault="00F65BCA">
            <w:pPr>
              <w:pStyle w:val="TableParagraph"/>
              <w:spacing w:before="4"/>
              <w:rPr>
                <w:rFonts w:ascii="Calibri"/>
                <w:b/>
                <w:sz w:val="8"/>
              </w:rPr>
            </w:pPr>
          </w:p>
          <w:p w14:paraId="097163F4" w14:textId="77777777" w:rsidR="00F65BCA" w:rsidRDefault="00216117">
            <w:pPr>
              <w:pStyle w:val="TableParagraph"/>
              <w:spacing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5E14477A" w14:textId="77777777" w:rsidR="00F65BCA" w:rsidRDefault="00F65BCA">
            <w:pPr>
              <w:pStyle w:val="TableParagraph"/>
              <w:spacing w:before="4"/>
              <w:rPr>
                <w:rFonts w:ascii="Calibri"/>
                <w:b/>
                <w:sz w:val="8"/>
              </w:rPr>
            </w:pPr>
          </w:p>
          <w:p w14:paraId="4B070A3B" w14:textId="77777777" w:rsidR="00F65BCA" w:rsidRDefault="00216117">
            <w:pPr>
              <w:pStyle w:val="TableParagraph"/>
              <w:spacing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8205D63" w14:textId="77777777" w:rsidR="00F65BCA" w:rsidRDefault="00F65BCA">
            <w:pPr>
              <w:pStyle w:val="TableParagraph"/>
              <w:spacing w:before="4"/>
              <w:rPr>
                <w:rFonts w:ascii="Calibri"/>
                <w:b/>
                <w:sz w:val="8"/>
              </w:rPr>
            </w:pPr>
          </w:p>
          <w:p w14:paraId="3CAB84A5" w14:textId="77777777" w:rsidR="00F65BCA" w:rsidRDefault="00216117">
            <w:pPr>
              <w:pStyle w:val="TableParagraph"/>
              <w:spacing w:line="69" w:lineRule="exact"/>
              <w:ind w:right="34"/>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1B0C7414" w14:textId="77777777" w:rsidR="00F65BCA" w:rsidRDefault="00F65BCA">
            <w:pPr>
              <w:pStyle w:val="TableParagraph"/>
              <w:spacing w:before="4"/>
              <w:rPr>
                <w:rFonts w:ascii="Calibri"/>
                <w:b/>
                <w:sz w:val="8"/>
              </w:rPr>
            </w:pPr>
          </w:p>
          <w:p w14:paraId="47CDD757" w14:textId="77777777" w:rsidR="00F65BCA" w:rsidRDefault="00216117">
            <w:pPr>
              <w:pStyle w:val="TableParagraph"/>
              <w:spacing w:line="69" w:lineRule="exact"/>
              <w:ind w:left="70"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3ECB07A9" w14:textId="77777777" w:rsidR="00F65BCA" w:rsidRDefault="00F65BCA">
            <w:pPr>
              <w:pStyle w:val="TableParagraph"/>
              <w:spacing w:before="4"/>
              <w:rPr>
                <w:rFonts w:ascii="Calibri"/>
                <w:b/>
                <w:sz w:val="8"/>
              </w:rPr>
            </w:pPr>
          </w:p>
          <w:p w14:paraId="0DF1BD2F" w14:textId="77777777" w:rsidR="00F65BCA" w:rsidRDefault="00216117">
            <w:pPr>
              <w:pStyle w:val="TableParagraph"/>
              <w:spacing w:line="69" w:lineRule="exact"/>
              <w:ind w:left="52"/>
              <w:rPr>
                <w:rFonts w:ascii="Calibri"/>
                <w:sz w:val="7"/>
              </w:rPr>
            </w:pPr>
            <w:r>
              <w:rPr>
                <w:rFonts w:ascii="Calibri"/>
                <w:w w:val="105"/>
                <w:sz w:val="7"/>
              </w:rPr>
              <w:t>FZSP1ZEN</w:t>
            </w:r>
          </w:p>
        </w:tc>
        <w:tc>
          <w:tcPr>
            <w:tcW w:w="398" w:type="dxa"/>
            <w:tcBorders>
              <w:top w:val="single" w:sz="4" w:space="0" w:color="000000"/>
              <w:left w:val="single" w:sz="4" w:space="0" w:color="000000"/>
              <w:bottom w:val="single" w:sz="4" w:space="0" w:color="000000"/>
              <w:right w:val="single" w:sz="4" w:space="0" w:color="000000"/>
            </w:tcBorders>
          </w:tcPr>
          <w:p w14:paraId="0DF35EF0" w14:textId="77777777" w:rsidR="00F65BCA" w:rsidRDefault="00F65BCA">
            <w:pPr>
              <w:pStyle w:val="TableParagraph"/>
              <w:spacing w:before="4"/>
              <w:rPr>
                <w:rFonts w:ascii="Calibri"/>
                <w:b/>
                <w:sz w:val="8"/>
              </w:rPr>
            </w:pPr>
          </w:p>
          <w:p w14:paraId="4C8DCCC4" w14:textId="77777777" w:rsidR="00F65BCA" w:rsidRDefault="00216117">
            <w:pPr>
              <w:pStyle w:val="TableParagraph"/>
              <w:spacing w:line="69" w:lineRule="exact"/>
              <w:ind w:left="11"/>
              <w:jc w:val="center"/>
              <w:rPr>
                <w:rFonts w:ascii="Calibri"/>
                <w:sz w:val="7"/>
              </w:rPr>
            </w:pPr>
            <w:r>
              <w:rPr>
                <w:rFonts w:ascii="Calibri"/>
                <w:w w:val="105"/>
                <w:sz w:val="7"/>
              </w:rPr>
              <w:t>UM721317</w:t>
            </w:r>
          </w:p>
        </w:tc>
        <w:tc>
          <w:tcPr>
            <w:tcW w:w="792" w:type="dxa"/>
            <w:tcBorders>
              <w:top w:val="single" w:sz="4" w:space="0" w:color="000000"/>
              <w:left w:val="single" w:sz="4" w:space="0" w:color="000000"/>
              <w:bottom w:val="single" w:sz="4" w:space="0" w:color="000000"/>
              <w:right w:val="single" w:sz="4" w:space="0" w:color="000000"/>
            </w:tcBorders>
          </w:tcPr>
          <w:p w14:paraId="76F56227" w14:textId="77777777" w:rsidR="00F65BCA" w:rsidRDefault="00F65BCA">
            <w:pPr>
              <w:pStyle w:val="TableParagraph"/>
              <w:spacing w:before="4"/>
              <w:rPr>
                <w:rFonts w:ascii="Calibri"/>
                <w:b/>
                <w:sz w:val="8"/>
              </w:rPr>
            </w:pPr>
          </w:p>
          <w:p w14:paraId="3EC36209" w14:textId="77777777" w:rsidR="00F65BCA" w:rsidRDefault="00216117">
            <w:pPr>
              <w:pStyle w:val="TableParagraph"/>
              <w:spacing w:line="69" w:lineRule="exact"/>
              <w:ind w:left="60"/>
              <w:rPr>
                <w:rFonts w:ascii="Calibri"/>
                <w:sz w:val="7"/>
              </w:rPr>
            </w:pPr>
            <w:r>
              <w:rPr>
                <w:rFonts w:ascii="Calibri"/>
                <w:w w:val="105"/>
                <w:sz w:val="7"/>
              </w:rPr>
              <w:t>WV1ZZZSYZN9042259</w:t>
            </w:r>
          </w:p>
        </w:tc>
        <w:tc>
          <w:tcPr>
            <w:tcW w:w="398" w:type="dxa"/>
            <w:tcBorders>
              <w:top w:val="single" w:sz="4" w:space="0" w:color="000000"/>
              <w:left w:val="single" w:sz="4" w:space="0" w:color="000000"/>
              <w:bottom w:val="single" w:sz="4" w:space="0" w:color="000000"/>
              <w:right w:val="single" w:sz="4" w:space="0" w:color="000000"/>
            </w:tcBorders>
          </w:tcPr>
          <w:p w14:paraId="6894D473" w14:textId="77777777" w:rsidR="00F65BCA" w:rsidRDefault="00216117">
            <w:pPr>
              <w:pStyle w:val="TableParagraph"/>
              <w:spacing w:before="4"/>
              <w:ind w:left="20"/>
              <w:jc w:val="center"/>
              <w:rPr>
                <w:rFonts w:ascii="Calibri"/>
                <w:sz w:val="7"/>
              </w:rPr>
            </w:pPr>
            <w:r>
              <w:rPr>
                <w:rFonts w:ascii="Calibri"/>
                <w:w w:val="105"/>
                <w:sz w:val="7"/>
              </w:rPr>
              <w:t>VOLKSWAG</w:t>
            </w:r>
          </w:p>
          <w:p w14:paraId="30A7302C" w14:textId="77777777" w:rsidR="00F65BCA" w:rsidRDefault="00216117">
            <w:pPr>
              <w:pStyle w:val="TableParagraph"/>
              <w:spacing w:before="13" w:line="69" w:lineRule="exact"/>
              <w:ind w:left="26"/>
              <w:jc w:val="center"/>
              <w:rPr>
                <w:rFonts w:ascii="Calibri"/>
                <w:sz w:val="7"/>
              </w:rPr>
            </w:pPr>
            <w:r>
              <w:rPr>
                <w:rFonts w:ascii="Calibri"/>
                <w:w w:val="105"/>
                <w:sz w:val="7"/>
              </w:rPr>
              <w:t>EN</w:t>
            </w:r>
          </w:p>
        </w:tc>
        <w:tc>
          <w:tcPr>
            <w:tcW w:w="1065" w:type="dxa"/>
            <w:tcBorders>
              <w:top w:val="single" w:sz="4" w:space="0" w:color="000000"/>
              <w:left w:val="single" w:sz="4" w:space="0" w:color="000000"/>
              <w:bottom w:val="single" w:sz="4" w:space="0" w:color="000000"/>
              <w:right w:val="single" w:sz="4" w:space="0" w:color="000000"/>
            </w:tcBorders>
          </w:tcPr>
          <w:p w14:paraId="18EFCD25" w14:textId="77777777" w:rsidR="00F65BCA" w:rsidRDefault="00216117">
            <w:pPr>
              <w:pStyle w:val="TableParagraph"/>
              <w:spacing w:before="4"/>
              <w:ind w:left="75" w:right="50"/>
              <w:jc w:val="center"/>
              <w:rPr>
                <w:rFonts w:ascii="Calibri" w:hAnsi="Calibri"/>
                <w:sz w:val="7"/>
              </w:rPr>
            </w:pPr>
            <w:r>
              <w:rPr>
                <w:rFonts w:ascii="Calibri" w:hAnsi="Calibri"/>
                <w:w w:val="105"/>
                <w:sz w:val="7"/>
              </w:rPr>
              <w:t>CRAFTER SANITKA včetně</w:t>
            </w:r>
          </w:p>
          <w:p w14:paraId="429DD105" w14:textId="77777777" w:rsidR="00F65BCA" w:rsidRDefault="00216117">
            <w:pPr>
              <w:pStyle w:val="TableParagraph"/>
              <w:spacing w:before="13" w:line="69" w:lineRule="exact"/>
              <w:ind w:left="75" w:right="50"/>
              <w:jc w:val="center"/>
              <w:rPr>
                <w:rFonts w:ascii="Calibri" w:hAnsi="Calibri"/>
                <w:sz w:val="7"/>
              </w:rPr>
            </w:pPr>
            <w:r>
              <w:rPr>
                <w:rFonts w:ascii="Calibri" w:hAnsi="Calibri"/>
                <w:w w:val="105"/>
                <w:sz w:val="7"/>
              </w:rPr>
              <w:t>vybavení</w:t>
            </w:r>
          </w:p>
        </w:tc>
        <w:tc>
          <w:tcPr>
            <w:tcW w:w="815" w:type="dxa"/>
            <w:tcBorders>
              <w:top w:val="single" w:sz="4" w:space="0" w:color="000000"/>
              <w:left w:val="single" w:sz="4" w:space="0" w:color="000000"/>
              <w:bottom w:val="single" w:sz="4" w:space="0" w:color="000000"/>
              <w:right w:val="single" w:sz="4" w:space="0" w:color="000000"/>
            </w:tcBorders>
          </w:tcPr>
          <w:p w14:paraId="3B6878B8" w14:textId="77777777" w:rsidR="00F65BCA" w:rsidRDefault="00F65BCA">
            <w:pPr>
              <w:pStyle w:val="TableParagraph"/>
              <w:spacing w:before="4"/>
              <w:rPr>
                <w:rFonts w:ascii="Calibri"/>
                <w:b/>
                <w:sz w:val="8"/>
              </w:rPr>
            </w:pPr>
          </w:p>
          <w:p w14:paraId="31EC04C2" w14:textId="77777777" w:rsidR="00F65BCA" w:rsidRDefault="00216117">
            <w:pPr>
              <w:pStyle w:val="TableParagraph"/>
              <w:spacing w:line="69" w:lineRule="exact"/>
              <w:ind w:left="38" w:right="11"/>
              <w:jc w:val="center"/>
              <w:rPr>
                <w:rFonts w:ascii="Calibri" w:hAnsi="Calibri"/>
                <w:sz w:val="7"/>
              </w:rPr>
            </w:pPr>
            <w:r>
              <w:rPr>
                <w:rFonts w:ascii="Calibri" w:hAnsi="Calibri"/>
                <w:w w:val="105"/>
                <w:sz w:val="7"/>
              </w:rPr>
              <w:t>Užitkový</w:t>
            </w:r>
          </w:p>
        </w:tc>
        <w:tc>
          <w:tcPr>
            <w:tcW w:w="273" w:type="dxa"/>
            <w:tcBorders>
              <w:top w:val="single" w:sz="4" w:space="0" w:color="000000"/>
              <w:left w:val="single" w:sz="4" w:space="0" w:color="000000"/>
              <w:bottom w:val="single" w:sz="4" w:space="0" w:color="000000"/>
              <w:right w:val="single" w:sz="4" w:space="0" w:color="000000"/>
            </w:tcBorders>
          </w:tcPr>
          <w:p w14:paraId="467F5F1E" w14:textId="77777777" w:rsidR="00F65BCA" w:rsidRDefault="00F65BCA">
            <w:pPr>
              <w:pStyle w:val="TableParagraph"/>
              <w:spacing w:before="4"/>
              <w:rPr>
                <w:rFonts w:ascii="Calibri"/>
                <w:b/>
                <w:sz w:val="8"/>
              </w:rPr>
            </w:pPr>
          </w:p>
          <w:p w14:paraId="1F70D72B" w14:textId="77777777" w:rsidR="00F65BCA" w:rsidRDefault="00216117">
            <w:pPr>
              <w:pStyle w:val="TableParagraph"/>
              <w:spacing w:line="69" w:lineRule="exact"/>
              <w:ind w:right="40"/>
              <w:jc w:val="right"/>
              <w:rPr>
                <w:rFonts w:ascii="Calibri"/>
                <w:sz w:val="7"/>
              </w:rPr>
            </w:pPr>
            <w:r>
              <w:rPr>
                <w:rFonts w:ascii="Calibri"/>
                <w:w w:val="105"/>
                <w:sz w:val="7"/>
              </w:rPr>
              <w:t>2022</w:t>
            </w:r>
          </w:p>
        </w:tc>
        <w:tc>
          <w:tcPr>
            <w:tcW w:w="278" w:type="dxa"/>
            <w:tcBorders>
              <w:top w:val="single" w:sz="4" w:space="0" w:color="000000"/>
              <w:left w:val="single" w:sz="4" w:space="0" w:color="000000"/>
              <w:bottom w:val="single" w:sz="4" w:space="0" w:color="000000"/>
              <w:right w:val="single" w:sz="4" w:space="0" w:color="000000"/>
            </w:tcBorders>
          </w:tcPr>
          <w:p w14:paraId="46FB5B39" w14:textId="77777777" w:rsidR="00F65BCA" w:rsidRDefault="00F65BCA">
            <w:pPr>
              <w:pStyle w:val="TableParagraph"/>
              <w:spacing w:before="4"/>
              <w:rPr>
                <w:rFonts w:ascii="Calibri"/>
                <w:b/>
                <w:sz w:val="8"/>
              </w:rPr>
            </w:pPr>
          </w:p>
          <w:p w14:paraId="33E761F0" w14:textId="77777777" w:rsidR="00F65BCA" w:rsidRDefault="00216117">
            <w:pPr>
              <w:pStyle w:val="TableParagraph"/>
              <w:spacing w:line="69" w:lineRule="exact"/>
              <w:ind w:left="29" w:right="2"/>
              <w:jc w:val="center"/>
              <w:rPr>
                <w:rFonts w:ascii="Calibri"/>
                <w:sz w:val="7"/>
              </w:rPr>
            </w:pPr>
            <w:r>
              <w:rPr>
                <w:rFonts w:ascii="Calibri"/>
                <w:w w:val="105"/>
                <w:sz w:val="7"/>
              </w:rPr>
              <w:t>2287</w:t>
            </w:r>
          </w:p>
        </w:tc>
        <w:tc>
          <w:tcPr>
            <w:tcW w:w="268" w:type="dxa"/>
            <w:tcBorders>
              <w:top w:val="single" w:sz="4" w:space="0" w:color="000000"/>
              <w:left w:val="single" w:sz="4" w:space="0" w:color="000000"/>
              <w:bottom w:val="single" w:sz="4" w:space="0" w:color="000000"/>
              <w:right w:val="single" w:sz="4" w:space="0" w:color="000000"/>
            </w:tcBorders>
          </w:tcPr>
          <w:p w14:paraId="4EA511EC" w14:textId="77777777" w:rsidR="00F65BCA" w:rsidRDefault="00F65BCA">
            <w:pPr>
              <w:pStyle w:val="TableParagraph"/>
              <w:spacing w:before="4"/>
              <w:rPr>
                <w:rFonts w:ascii="Calibri"/>
                <w:b/>
                <w:sz w:val="8"/>
              </w:rPr>
            </w:pPr>
          </w:p>
          <w:p w14:paraId="2DAD6D7E" w14:textId="77777777" w:rsidR="00F65BCA" w:rsidRDefault="00216117">
            <w:pPr>
              <w:pStyle w:val="TableParagraph"/>
              <w:spacing w:line="69" w:lineRule="exact"/>
              <w:ind w:right="55"/>
              <w:jc w:val="right"/>
              <w:rPr>
                <w:rFonts w:ascii="Calibri"/>
                <w:sz w:val="7"/>
              </w:rPr>
            </w:pPr>
            <w:r>
              <w:rPr>
                <w:rFonts w:ascii="Calibri"/>
                <w:w w:val="105"/>
                <w:sz w:val="7"/>
              </w:rPr>
              <w:t>130</w:t>
            </w:r>
          </w:p>
        </w:tc>
        <w:tc>
          <w:tcPr>
            <w:tcW w:w="398" w:type="dxa"/>
            <w:tcBorders>
              <w:top w:val="single" w:sz="4" w:space="0" w:color="000000"/>
              <w:left w:val="single" w:sz="4" w:space="0" w:color="000000"/>
              <w:bottom w:val="single" w:sz="4" w:space="0" w:color="000000"/>
              <w:right w:val="single" w:sz="4" w:space="0" w:color="000000"/>
            </w:tcBorders>
          </w:tcPr>
          <w:p w14:paraId="714E3DAF" w14:textId="77777777" w:rsidR="00F65BCA" w:rsidRDefault="00F65BCA">
            <w:pPr>
              <w:pStyle w:val="TableParagraph"/>
              <w:spacing w:before="4"/>
              <w:rPr>
                <w:rFonts w:ascii="Calibri"/>
                <w:b/>
                <w:sz w:val="8"/>
              </w:rPr>
            </w:pPr>
          </w:p>
          <w:p w14:paraId="61A14447" w14:textId="77777777" w:rsidR="00F65BCA" w:rsidRDefault="00216117">
            <w:pPr>
              <w:pStyle w:val="TableParagraph"/>
              <w:spacing w:line="69" w:lineRule="exact"/>
              <w:ind w:left="30"/>
              <w:jc w:val="center"/>
              <w:rPr>
                <w:rFonts w:ascii="Calibri"/>
                <w:sz w:val="7"/>
              </w:rPr>
            </w:pPr>
            <w:r>
              <w:rPr>
                <w:rFonts w:ascii="Calibri"/>
                <w:w w:val="105"/>
                <w:sz w:val="7"/>
              </w:rPr>
              <w:t>3500</w:t>
            </w:r>
          </w:p>
        </w:tc>
        <w:tc>
          <w:tcPr>
            <w:tcW w:w="249" w:type="dxa"/>
            <w:tcBorders>
              <w:top w:val="single" w:sz="4" w:space="0" w:color="000000"/>
              <w:left w:val="single" w:sz="4" w:space="0" w:color="000000"/>
              <w:bottom w:val="single" w:sz="4" w:space="0" w:color="000000"/>
              <w:right w:val="single" w:sz="4" w:space="0" w:color="000000"/>
            </w:tcBorders>
          </w:tcPr>
          <w:p w14:paraId="02C5529B" w14:textId="77777777" w:rsidR="00F65BCA" w:rsidRDefault="00F65BCA">
            <w:pPr>
              <w:pStyle w:val="TableParagraph"/>
              <w:spacing w:before="4"/>
              <w:rPr>
                <w:rFonts w:ascii="Calibri"/>
                <w:b/>
                <w:sz w:val="8"/>
              </w:rPr>
            </w:pPr>
          </w:p>
          <w:p w14:paraId="66FEAC9E" w14:textId="77777777" w:rsidR="00F65BCA" w:rsidRDefault="00216117">
            <w:pPr>
              <w:pStyle w:val="TableParagraph"/>
              <w:spacing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53311EF6" w14:textId="77777777" w:rsidR="00F65BCA" w:rsidRDefault="00F65BCA">
            <w:pPr>
              <w:pStyle w:val="TableParagraph"/>
              <w:spacing w:before="4"/>
              <w:rPr>
                <w:rFonts w:ascii="Calibri"/>
                <w:b/>
                <w:sz w:val="8"/>
              </w:rPr>
            </w:pPr>
          </w:p>
          <w:p w14:paraId="1E7DB3FD" w14:textId="77777777" w:rsidR="00F65BCA" w:rsidRDefault="00216117">
            <w:pPr>
              <w:pStyle w:val="TableParagraph"/>
              <w:spacing w:line="69" w:lineRule="exact"/>
              <w:ind w:left="34"/>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576EA49C" w14:textId="77777777" w:rsidR="00F65BCA" w:rsidRDefault="00F65BCA">
            <w:pPr>
              <w:pStyle w:val="TableParagraph"/>
              <w:spacing w:before="4"/>
              <w:rPr>
                <w:rFonts w:ascii="Calibri"/>
                <w:b/>
                <w:sz w:val="8"/>
              </w:rPr>
            </w:pPr>
          </w:p>
          <w:p w14:paraId="4AADDB40" w14:textId="77777777" w:rsidR="00F65BCA" w:rsidRDefault="00216117">
            <w:pPr>
              <w:pStyle w:val="TableParagraph"/>
              <w:spacing w:line="69" w:lineRule="exact"/>
              <w:ind w:left="48" w:right="12"/>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0AC0F348" w14:textId="77777777" w:rsidR="00F65BCA" w:rsidRDefault="00F65BCA">
            <w:pPr>
              <w:pStyle w:val="TableParagraph"/>
              <w:spacing w:before="4"/>
              <w:rPr>
                <w:rFonts w:ascii="Calibri"/>
                <w:b/>
                <w:sz w:val="8"/>
              </w:rPr>
            </w:pPr>
          </w:p>
          <w:p w14:paraId="2741BA25" w14:textId="77777777" w:rsidR="00F65BCA" w:rsidRDefault="00216117">
            <w:pPr>
              <w:pStyle w:val="TableParagraph"/>
              <w:spacing w:line="69" w:lineRule="exact"/>
              <w:ind w:right="5"/>
              <w:jc w:val="right"/>
              <w:rPr>
                <w:rFonts w:ascii="Calibri" w:hAnsi="Calibri"/>
                <w:sz w:val="7"/>
              </w:rPr>
            </w:pPr>
            <w:r>
              <w:rPr>
                <w:rFonts w:ascii="Calibri" w:hAnsi="Calibri"/>
                <w:w w:val="105"/>
                <w:sz w:val="7"/>
              </w:rPr>
              <w:t>5 781 968 Kč</w:t>
            </w:r>
          </w:p>
        </w:tc>
        <w:tc>
          <w:tcPr>
            <w:tcW w:w="278" w:type="dxa"/>
            <w:tcBorders>
              <w:top w:val="single" w:sz="4" w:space="0" w:color="000000"/>
              <w:left w:val="single" w:sz="4" w:space="0" w:color="000000"/>
              <w:bottom w:val="single" w:sz="4" w:space="0" w:color="000000"/>
              <w:right w:val="single" w:sz="4" w:space="0" w:color="000000"/>
            </w:tcBorders>
          </w:tcPr>
          <w:p w14:paraId="1F8EDEA2" w14:textId="77777777" w:rsidR="00F65BCA" w:rsidRDefault="00F65BCA">
            <w:pPr>
              <w:pStyle w:val="TableParagraph"/>
              <w:spacing w:before="4"/>
              <w:rPr>
                <w:rFonts w:ascii="Calibri"/>
                <w:b/>
                <w:sz w:val="8"/>
              </w:rPr>
            </w:pPr>
          </w:p>
          <w:p w14:paraId="46FFA160" w14:textId="77777777" w:rsidR="00F65BCA" w:rsidRDefault="00216117">
            <w:pPr>
              <w:pStyle w:val="TableParagraph"/>
              <w:spacing w:line="69" w:lineRule="exact"/>
              <w:ind w:left="39"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57DEC660" w14:textId="77777777" w:rsidR="00F65BCA" w:rsidRDefault="00F65BCA">
            <w:pPr>
              <w:pStyle w:val="TableParagraph"/>
              <w:spacing w:before="4"/>
              <w:rPr>
                <w:rFonts w:ascii="Calibri"/>
                <w:b/>
                <w:sz w:val="8"/>
              </w:rPr>
            </w:pPr>
          </w:p>
          <w:p w14:paraId="186D3D4D" w14:textId="77777777" w:rsidR="00F65BCA" w:rsidRDefault="00216117">
            <w:pPr>
              <w:pStyle w:val="TableParagraph"/>
              <w:spacing w:line="69" w:lineRule="exact"/>
              <w:ind w:left="51"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31D56015" w14:textId="77777777" w:rsidR="00F65BCA" w:rsidRDefault="00F65BCA">
            <w:pPr>
              <w:pStyle w:val="TableParagraph"/>
              <w:spacing w:before="4"/>
              <w:rPr>
                <w:rFonts w:ascii="Calibri"/>
                <w:b/>
                <w:sz w:val="8"/>
              </w:rPr>
            </w:pPr>
          </w:p>
          <w:p w14:paraId="61D3C671" w14:textId="77777777" w:rsidR="00F65BCA" w:rsidRDefault="00216117">
            <w:pPr>
              <w:pStyle w:val="TableParagraph"/>
              <w:spacing w:line="69" w:lineRule="exact"/>
              <w:ind w:right="3"/>
              <w:jc w:val="right"/>
              <w:rPr>
                <w:rFonts w:ascii="Calibri" w:hAnsi="Calibri"/>
                <w:sz w:val="7"/>
              </w:rPr>
            </w:pPr>
            <w:r>
              <w:rPr>
                <w:rFonts w:ascii="Calibri" w:hAnsi="Calibri"/>
                <w:w w:val="105"/>
                <w:sz w:val="7"/>
              </w:rPr>
              <w:t>bez limitní</w:t>
            </w:r>
          </w:p>
        </w:tc>
        <w:tc>
          <w:tcPr>
            <w:tcW w:w="398" w:type="dxa"/>
            <w:tcBorders>
              <w:top w:val="single" w:sz="4" w:space="0" w:color="000000"/>
              <w:left w:val="single" w:sz="4" w:space="0" w:color="000000"/>
              <w:bottom w:val="single" w:sz="4" w:space="0" w:color="000000"/>
              <w:right w:val="single" w:sz="4" w:space="0" w:color="000000"/>
            </w:tcBorders>
          </w:tcPr>
          <w:p w14:paraId="1470BB77" w14:textId="77777777" w:rsidR="00F65BCA" w:rsidRDefault="00F65BCA">
            <w:pPr>
              <w:pStyle w:val="TableParagraph"/>
              <w:spacing w:before="4"/>
              <w:rPr>
                <w:rFonts w:ascii="Calibri"/>
                <w:b/>
                <w:sz w:val="8"/>
              </w:rPr>
            </w:pPr>
          </w:p>
          <w:p w14:paraId="43D4729C" w14:textId="77777777" w:rsidR="00F65BCA" w:rsidRDefault="00216117">
            <w:pPr>
              <w:pStyle w:val="TableParagraph"/>
              <w:spacing w:line="69" w:lineRule="exact"/>
              <w:ind w:left="58"/>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483DB538" w14:textId="77777777" w:rsidR="00F65BCA" w:rsidRDefault="00F65BCA">
            <w:pPr>
              <w:pStyle w:val="TableParagraph"/>
              <w:spacing w:before="4"/>
              <w:rPr>
                <w:rFonts w:ascii="Calibri"/>
                <w:b/>
                <w:sz w:val="8"/>
              </w:rPr>
            </w:pPr>
          </w:p>
          <w:p w14:paraId="025E0A6D" w14:textId="77777777" w:rsidR="00F65BCA" w:rsidRDefault="00216117">
            <w:pPr>
              <w:pStyle w:val="TableParagraph"/>
              <w:spacing w:line="69" w:lineRule="exact"/>
              <w:ind w:left="42"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6CC2AC58" w14:textId="77777777" w:rsidR="00F65BCA" w:rsidRDefault="00F65BCA">
            <w:pPr>
              <w:pStyle w:val="TableParagraph"/>
              <w:spacing w:before="4"/>
              <w:rPr>
                <w:rFonts w:ascii="Calibri"/>
                <w:b/>
                <w:sz w:val="8"/>
              </w:rPr>
            </w:pPr>
          </w:p>
          <w:p w14:paraId="035AA762" w14:textId="77777777" w:rsidR="00F65BCA" w:rsidRDefault="00216117">
            <w:pPr>
              <w:pStyle w:val="TableParagraph"/>
              <w:spacing w:line="69" w:lineRule="exact"/>
              <w:ind w:left="144"/>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47D404F0" w14:textId="77777777" w:rsidR="00F65BCA" w:rsidRDefault="00F65BCA">
            <w:pPr>
              <w:pStyle w:val="TableParagraph"/>
              <w:rPr>
                <w:rFonts w:ascii="Times New Roman"/>
                <w:sz w:val="6"/>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2BCE36B7" w14:textId="77777777" w:rsidR="00F65BCA" w:rsidRDefault="00F65BCA">
            <w:pPr>
              <w:pStyle w:val="TableParagraph"/>
              <w:spacing w:before="7"/>
              <w:rPr>
                <w:rFonts w:ascii="Calibri"/>
                <w:b/>
                <w:sz w:val="8"/>
              </w:rPr>
            </w:pPr>
          </w:p>
          <w:p w14:paraId="2115E7EB" w14:textId="77777777" w:rsidR="00F65BCA" w:rsidRDefault="00216117">
            <w:pPr>
              <w:pStyle w:val="TableParagraph"/>
              <w:spacing w:line="67" w:lineRule="exact"/>
              <w:ind w:left="73" w:right="28"/>
              <w:jc w:val="center"/>
              <w:rPr>
                <w:rFonts w:ascii="Calibri" w:hAnsi="Calibri"/>
                <w:sz w:val="7"/>
              </w:rPr>
            </w:pPr>
            <w:r>
              <w:rPr>
                <w:rFonts w:ascii="Calibri" w:hAnsi="Calibri"/>
                <w:w w:val="105"/>
                <w:sz w:val="7"/>
              </w:rPr>
              <w:t>3 024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606EE940" w14:textId="77777777" w:rsidR="00F65BCA" w:rsidRDefault="00F65BCA">
            <w:pPr>
              <w:pStyle w:val="TableParagraph"/>
              <w:spacing w:before="7"/>
              <w:rPr>
                <w:rFonts w:ascii="Calibri"/>
                <w:b/>
                <w:sz w:val="8"/>
              </w:rPr>
            </w:pPr>
          </w:p>
          <w:p w14:paraId="19F73603" w14:textId="77777777" w:rsidR="00F65BCA" w:rsidRDefault="00216117">
            <w:pPr>
              <w:pStyle w:val="TableParagraph"/>
              <w:spacing w:line="67" w:lineRule="exact"/>
              <w:ind w:left="46"/>
              <w:jc w:val="center"/>
              <w:rPr>
                <w:rFonts w:ascii="Calibri" w:hAnsi="Calibri"/>
                <w:sz w:val="7"/>
              </w:rPr>
            </w:pPr>
            <w:r>
              <w:rPr>
                <w:rFonts w:ascii="Calibri" w:hAnsi="Calibri"/>
                <w:w w:val="105"/>
                <w:sz w:val="7"/>
              </w:rPr>
              <w:t>75 000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3BDFCAEF" w14:textId="77777777" w:rsidR="00F65BCA" w:rsidRDefault="00F65BCA">
            <w:pPr>
              <w:pStyle w:val="TableParagraph"/>
              <w:spacing w:before="7"/>
              <w:rPr>
                <w:rFonts w:ascii="Calibri"/>
                <w:b/>
                <w:sz w:val="8"/>
              </w:rPr>
            </w:pPr>
          </w:p>
          <w:p w14:paraId="1379155C" w14:textId="77777777" w:rsidR="00F65BCA" w:rsidRDefault="00216117">
            <w:pPr>
              <w:pStyle w:val="TableParagraph"/>
              <w:spacing w:line="67" w:lineRule="exact"/>
              <w:ind w:right="70"/>
              <w:jc w:val="right"/>
              <w:rPr>
                <w:rFonts w:ascii="Calibri" w:hAnsi="Calibri"/>
                <w:sz w:val="7"/>
              </w:rPr>
            </w:pPr>
            <w:r>
              <w:rPr>
                <w:rFonts w:ascii="Calibri" w:hAnsi="Calibri"/>
                <w:w w:val="105"/>
                <w:sz w:val="7"/>
              </w:rPr>
              <w:t>9 456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2735186E" w14:textId="77777777" w:rsidR="00F65BCA" w:rsidRDefault="00F65BCA">
            <w:pPr>
              <w:pStyle w:val="TableParagraph"/>
              <w:spacing w:before="7"/>
              <w:rPr>
                <w:rFonts w:ascii="Calibri"/>
                <w:b/>
                <w:sz w:val="8"/>
              </w:rPr>
            </w:pPr>
          </w:p>
          <w:p w14:paraId="3AF6FBAB" w14:textId="77777777" w:rsidR="00F65BCA" w:rsidRDefault="00216117">
            <w:pPr>
              <w:pStyle w:val="TableParagraph"/>
              <w:spacing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3021A271" w14:textId="77777777" w:rsidR="00F65BCA" w:rsidRDefault="00F65BCA">
            <w:pPr>
              <w:pStyle w:val="TableParagraph"/>
              <w:spacing w:before="7"/>
              <w:rPr>
                <w:rFonts w:ascii="Calibri"/>
                <w:b/>
                <w:sz w:val="8"/>
              </w:rPr>
            </w:pPr>
          </w:p>
          <w:p w14:paraId="1561A24B" w14:textId="77777777" w:rsidR="00F65BCA" w:rsidRDefault="00216117">
            <w:pPr>
              <w:pStyle w:val="TableParagraph"/>
              <w:spacing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5D9BD788" w14:textId="77777777" w:rsidR="00F65BCA" w:rsidRDefault="00F65BCA">
            <w:pPr>
              <w:pStyle w:val="TableParagraph"/>
              <w:spacing w:before="7"/>
              <w:rPr>
                <w:rFonts w:ascii="Calibri"/>
                <w:b/>
                <w:sz w:val="8"/>
              </w:rPr>
            </w:pPr>
          </w:p>
          <w:p w14:paraId="3EA876C4" w14:textId="77777777" w:rsidR="00F65BCA" w:rsidRDefault="00216117">
            <w:pPr>
              <w:pStyle w:val="TableParagraph"/>
              <w:spacing w:line="67" w:lineRule="exact"/>
              <w:ind w:left="78" w:right="16"/>
              <w:jc w:val="center"/>
              <w:rPr>
                <w:rFonts w:ascii="Calibri" w:hAnsi="Calibri"/>
                <w:sz w:val="7"/>
              </w:rPr>
            </w:pPr>
            <w:r>
              <w:rPr>
                <w:rFonts w:ascii="Calibri" w:hAnsi="Calibri"/>
                <w:w w:val="105"/>
                <w:sz w:val="7"/>
              </w:rPr>
              <w:t>2 148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5FE1086E" w14:textId="77777777" w:rsidR="00F65BCA" w:rsidRDefault="00F65BCA">
            <w:pPr>
              <w:pStyle w:val="TableParagraph"/>
              <w:rPr>
                <w:rFonts w:ascii="Times New Roman"/>
                <w:sz w:val="6"/>
              </w:rPr>
            </w:pPr>
          </w:p>
        </w:tc>
        <w:tc>
          <w:tcPr>
            <w:tcW w:w="458" w:type="dxa"/>
            <w:tcBorders>
              <w:top w:val="single" w:sz="4" w:space="0" w:color="000000"/>
              <w:left w:val="single" w:sz="4" w:space="0" w:color="000000"/>
              <w:bottom w:val="single" w:sz="4" w:space="0" w:color="000000"/>
            </w:tcBorders>
            <w:shd w:val="clear" w:color="auto" w:fill="FFFF99"/>
          </w:tcPr>
          <w:p w14:paraId="570D4BE3" w14:textId="77777777" w:rsidR="00F65BCA" w:rsidRDefault="00F65BCA">
            <w:pPr>
              <w:pStyle w:val="TableParagraph"/>
              <w:spacing w:before="7"/>
              <w:rPr>
                <w:rFonts w:ascii="Calibri"/>
                <w:b/>
                <w:sz w:val="8"/>
              </w:rPr>
            </w:pPr>
          </w:p>
          <w:p w14:paraId="34251AD5" w14:textId="77777777" w:rsidR="00F65BCA" w:rsidRDefault="00216117">
            <w:pPr>
              <w:pStyle w:val="TableParagraph"/>
              <w:spacing w:line="67" w:lineRule="exact"/>
              <w:ind w:left="111"/>
              <w:rPr>
                <w:rFonts w:ascii="Calibri" w:hAnsi="Calibri"/>
                <w:sz w:val="7"/>
              </w:rPr>
            </w:pPr>
            <w:r>
              <w:rPr>
                <w:rFonts w:ascii="Calibri" w:hAnsi="Calibri"/>
                <w:w w:val="105"/>
                <w:sz w:val="7"/>
              </w:rPr>
              <w:t>90 540 Kč</w:t>
            </w:r>
          </w:p>
        </w:tc>
      </w:tr>
      <w:tr w:rsidR="00F65BCA" w14:paraId="196848A6" w14:textId="77777777">
        <w:trPr>
          <w:trHeight w:val="90"/>
        </w:trPr>
        <w:tc>
          <w:tcPr>
            <w:tcW w:w="188" w:type="dxa"/>
            <w:tcBorders>
              <w:top w:val="single" w:sz="4" w:space="0" w:color="000000"/>
              <w:bottom w:val="single" w:sz="4" w:space="0" w:color="000000"/>
              <w:right w:val="single" w:sz="4" w:space="0" w:color="000000"/>
            </w:tcBorders>
          </w:tcPr>
          <w:p w14:paraId="59B97EB9" w14:textId="77777777" w:rsidR="00F65BCA" w:rsidRDefault="00216117">
            <w:pPr>
              <w:pStyle w:val="TableParagraph"/>
              <w:spacing w:before="4" w:line="67" w:lineRule="exact"/>
              <w:ind w:left="78"/>
              <w:rPr>
                <w:rFonts w:ascii="Calibri"/>
                <w:sz w:val="7"/>
              </w:rPr>
            </w:pPr>
            <w:r>
              <w:rPr>
                <w:rFonts w:ascii="Calibri"/>
                <w:w w:val="106"/>
                <w:sz w:val="7"/>
              </w:rPr>
              <w:t>5</w:t>
            </w:r>
          </w:p>
        </w:tc>
        <w:tc>
          <w:tcPr>
            <w:tcW w:w="398" w:type="dxa"/>
            <w:tcBorders>
              <w:top w:val="single" w:sz="4" w:space="0" w:color="000000"/>
              <w:left w:val="single" w:sz="4" w:space="0" w:color="000000"/>
              <w:bottom w:val="single" w:sz="4" w:space="0" w:color="000000"/>
              <w:right w:val="single" w:sz="4" w:space="0" w:color="000000"/>
            </w:tcBorders>
          </w:tcPr>
          <w:p w14:paraId="3C3F676F"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676FDA33"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912BE4E"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6F1B7FC3"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0D015C58" w14:textId="77777777" w:rsidR="00F65BCA" w:rsidRDefault="00216117">
            <w:pPr>
              <w:pStyle w:val="TableParagraph"/>
              <w:spacing w:before="1" w:line="69" w:lineRule="exact"/>
              <w:ind w:left="70"/>
              <w:rPr>
                <w:rFonts w:ascii="Calibri"/>
                <w:sz w:val="7"/>
              </w:rPr>
            </w:pPr>
            <w:r>
              <w:rPr>
                <w:rFonts w:ascii="Calibri"/>
                <w:w w:val="105"/>
                <w:sz w:val="7"/>
              </w:rPr>
              <w:t>4P97330</w:t>
            </w:r>
          </w:p>
        </w:tc>
        <w:tc>
          <w:tcPr>
            <w:tcW w:w="398" w:type="dxa"/>
            <w:tcBorders>
              <w:top w:val="single" w:sz="4" w:space="0" w:color="000000"/>
              <w:left w:val="single" w:sz="4" w:space="0" w:color="000000"/>
              <w:bottom w:val="single" w:sz="4" w:space="0" w:color="000000"/>
              <w:right w:val="single" w:sz="4" w:space="0" w:color="000000"/>
            </w:tcBorders>
          </w:tcPr>
          <w:p w14:paraId="0840633B" w14:textId="77777777" w:rsidR="00F65BCA" w:rsidRDefault="00216117">
            <w:pPr>
              <w:pStyle w:val="TableParagraph"/>
              <w:spacing w:before="1" w:line="69" w:lineRule="exact"/>
              <w:ind w:left="17"/>
              <w:jc w:val="center"/>
              <w:rPr>
                <w:rFonts w:ascii="Calibri"/>
                <w:sz w:val="7"/>
              </w:rPr>
            </w:pPr>
            <w:r>
              <w:rPr>
                <w:rFonts w:ascii="Calibri"/>
                <w:w w:val="105"/>
                <w:sz w:val="7"/>
              </w:rPr>
              <w:t>UG710175</w:t>
            </w:r>
          </w:p>
        </w:tc>
        <w:tc>
          <w:tcPr>
            <w:tcW w:w="792" w:type="dxa"/>
            <w:tcBorders>
              <w:top w:val="single" w:sz="4" w:space="0" w:color="000000"/>
              <w:left w:val="single" w:sz="4" w:space="0" w:color="000000"/>
              <w:bottom w:val="single" w:sz="4" w:space="0" w:color="000000"/>
              <w:right w:val="single" w:sz="4" w:space="0" w:color="000000"/>
            </w:tcBorders>
          </w:tcPr>
          <w:p w14:paraId="292B77F2" w14:textId="77777777" w:rsidR="00F65BCA" w:rsidRDefault="00216117">
            <w:pPr>
              <w:pStyle w:val="TableParagraph"/>
              <w:spacing w:before="1" w:line="69" w:lineRule="exact"/>
              <w:ind w:left="59"/>
              <w:rPr>
                <w:rFonts w:ascii="Calibri"/>
                <w:sz w:val="7"/>
              </w:rPr>
            </w:pPr>
            <w:r>
              <w:rPr>
                <w:rFonts w:ascii="Calibri"/>
                <w:w w:val="105"/>
                <w:sz w:val="7"/>
              </w:rPr>
              <w:t>TM1V02440BP000003</w:t>
            </w:r>
          </w:p>
        </w:tc>
        <w:tc>
          <w:tcPr>
            <w:tcW w:w="398" w:type="dxa"/>
            <w:tcBorders>
              <w:top w:val="single" w:sz="4" w:space="0" w:color="000000"/>
              <w:left w:val="single" w:sz="4" w:space="0" w:color="000000"/>
              <w:bottom w:val="single" w:sz="4" w:space="0" w:color="000000"/>
              <w:right w:val="single" w:sz="4" w:space="0" w:color="000000"/>
            </w:tcBorders>
          </w:tcPr>
          <w:p w14:paraId="03A54A85" w14:textId="77777777" w:rsidR="00F65BCA" w:rsidRDefault="00216117">
            <w:pPr>
              <w:pStyle w:val="TableParagraph"/>
              <w:spacing w:before="1" w:line="69" w:lineRule="exact"/>
              <w:ind w:left="95"/>
              <w:rPr>
                <w:rFonts w:ascii="Calibri"/>
                <w:sz w:val="7"/>
              </w:rPr>
            </w:pPr>
            <w:r>
              <w:rPr>
                <w:rFonts w:ascii="Calibri"/>
                <w:w w:val="105"/>
                <w:sz w:val="7"/>
              </w:rPr>
              <w:t>Agados</w:t>
            </w:r>
          </w:p>
        </w:tc>
        <w:tc>
          <w:tcPr>
            <w:tcW w:w="1065" w:type="dxa"/>
            <w:tcBorders>
              <w:top w:val="single" w:sz="4" w:space="0" w:color="000000"/>
              <w:left w:val="single" w:sz="4" w:space="0" w:color="000000"/>
              <w:bottom w:val="single" w:sz="4" w:space="0" w:color="000000"/>
              <w:right w:val="single" w:sz="4" w:space="0" w:color="000000"/>
            </w:tcBorders>
          </w:tcPr>
          <w:p w14:paraId="77288E5B" w14:textId="77777777" w:rsidR="00F65BCA" w:rsidRDefault="00216117">
            <w:pPr>
              <w:pStyle w:val="TableParagraph"/>
              <w:spacing w:before="1" w:line="69" w:lineRule="exact"/>
              <w:ind w:left="75" w:right="50"/>
              <w:jc w:val="center"/>
              <w:rPr>
                <w:rFonts w:ascii="Calibri"/>
                <w:sz w:val="7"/>
              </w:rPr>
            </w:pPr>
            <w:r>
              <w:rPr>
                <w:rFonts w:ascii="Calibri"/>
                <w:w w:val="105"/>
                <w:sz w:val="7"/>
              </w:rPr>
              <w:t>Dona</w:t>
            </w:r>
          </w:p>
        </w:tc>
        <w:tc>
          <w:tcPr>
            <w:tcW w:w="815" w:type="dxa"/>
            <w:tcBorders>
              <w:top w:val="single" w:sz="4" w:space="0" w:color="000000"/>
              <w:left w:val="single" w:sz="4" w:space="0" w:color="000000"/>
              <w:bottom w:val="single" w:sz="4" w:space="0" w:color="000000"/>
              <w:right w:val="single" w:sz="4" w:space="0" w:color="000000"/>
            </w:tcBorders>
          </w:tcPr>
          <w:p w14:paraId="69EA222E" w14:textId="77777777" w:rsidR="00F65BCA" w:rsidRDefault="00216117">
            <w:pPr>
              <w:pStyle w:val="TableParagraph"/>
              <w:spacing w:before="1" w:line="69" w:lineRule="exact"/>
              <w:ind w:left="36" w:right="11"/>
              <w:jc w:val="center"/>
              <w:rPr>
                <w:rFonts w:ascii="Calibri" w:hAnsi="Calibri"/>
                <w:sz w:val="7"/>
              </w:rPr>
            </w:pPr>
            <w:r>
              <w:rPr>
                <w:rFonts w:ascii="Calibri" w:hAnsi="Calibri"/>
                <w:w w:val="105"/>
                <w:sz w:val="7"/>
              </w:rPr>
              <w:t>Přívěs</w:t>
            </w:r>
          </w:p>
        </w:tc>
        <w:tc>
          <w:tcPr>
            <w:tcW w:w="273" w:type="dxa"/>
            <w:tcBorders>
              <w:top w:val="single" w:sz="4" w:space="0" w:color="000000"/>
              <w:left w:val="single" w:sz="4" w:space="0" w:color="000000"/>
              <w:bottom w:val="single" w:sz="4" w:space="0" w:color="000000"/>
              <w:right w:val="single" w:sz="4" w:space="0" w:color="000000"/>
            </w:tcBorders>
          </w:tcPr>
          <w:p w14:paraId="562E38EB" w14:textId="77777777" w:rsidR="00F65BCA" w:rsidRDefault="00216117">
            <w:pPr>
              <w:pStyle w:val="TableParagraph"/>
              <w:spacing w:before="1" w:line="69" w:lineRule="exact"/>
              <w:ind w:right="41"/>
              <w:jc w:val="right"/>
              <w:rPr>
                <w:rFonts w:ascii="Calibri"/>
                <w:sz w:val="7"/>
              </w:rPr>
            </w:pPr>
            <w:r>
              <w:rPr>
                <w:rFonts w:ascii="Calibri"/>
                <w:w w:val="105"/>
                <w:sz w:val="7"/>
              </w:rPr>
              <w:t>2011</w:t>
            </w:r>
          </w:p>
        </w:tc>
        <w:tc>
          <w:tcPr>
            <w:tcW w:w="278" w:type="dxa"/>
            <w:tcBorders>
              <w:top w:val="single" w:sz="4" w:space="0" w:color="000000"/>
              <w:left w:val="single" w:sz="4" w:space="0" w:color="000000"/>
              <w:bottom w:val="single" w:sz="4" w:space="0" w:color="000000"/>
              <w:right w:val="single" w:sz="4" w:space="0" w:color="000000"/>
            </w:tcBorders>
          </w:tcPr>
          <w:p w14:paraId="464A7307" w14:textId="77777777" w:rsidR="00F65BCA" w:rsidRDefault="00216117">
            <w:pPr>
              <w:pStyle w:val="TableParagraph"/>
              <w:spacing w:before="1" w:line="69" w:lineRule="exact"/>
              <w:ind w:left="28"/>
              <w:jc w:val="center"/>
              <w:rPr>
                <w:rFonts w:ascii="Calibri"/>
                <w:sz w:val="7"/>
              </w:rPr>
            </w:pPr>
            <w:r>
              <w:rPr>
                <w:rFonts w:ascii="Calibri"/>
                <w:w w:val="106"/>
                <w:sz w:val="7"/>
              </w:rPr>
              <w:t>0</w:t>
            </w:r>
          </w:p>
        </w:tc>
        <w:tc>
          <w:tcPr>
            <w:tcW w:w="268" w:type="dxa"/>
            <w:tcBorders>
              <w:top w:val="single" w:sz="4" w:space="0" w:color="000000"/>
              <w:left w:val="single" w:sz="4" w:space="0" w:color="000000"/>
              <w:bottom w:val="single" w:sz="4" w:space="0" w:color="000000"/>
              <w:right w:val="single" w:sz="4" w:space="0" w:color="000000"/>
            </w:tcBorders>
          </w:tcPr>
          <w:p w14:paraId="312B9D59" w14:textId="77777777" w:rsidR="00F65BCA" w:rsidRDefault="00216117">
            <w:pPr>
              <w:pStyle w:val="TableParagraph"/>
              <w:spacing w:before="1" w:line="69" w:lineRule="exact"/>
              <w:ind w:right="93"/>
              <w:jc w:val="right"/>
              <w:rPr>
                <w:rFonts w:ascii="Calibri"/>
                <w:sz w:val="7"/>
              </w:rPr>
            </w:pPr>
            <w:r>
              <w:rPr>
                <w:rFonts w:ascii="Calibri"/>
                <w:w w:val="106"/>
                <w:sz w:val="7"/>
              </w:rPr>
              <w:t>0</w:t>
            </w:r>
          </w:p>
        </w:tc>
        <w:tc>
          <w:tcPr>
            <w:tcW w:w="398" w:type="dxa"/>
            <w:tcBorders>
              <w:top w:val="single" w:sz="4" w:space="0" w:color="000000"/>
              <w:left w:val="single" w:sz="4" w:space="0" w:color="000000"/>
              <w:bottom w:val="single" w:sz="4" w:space="0" w:color="000000"/>
              <w:right w:val="single" w:sz="4" w:space="0" w:color="000000"/>
            </w:tcBorders>
          </w:tcPr>
          <w:p w14:paraId="714035F2" w14:textId="77777777" w:rsidR="00F65BCA" w:rsidRDefault="00216117">
            <w:pPr>
              <w:pStyle w:val="TableParagraph"/>
              <w:spacing w:before="1" w:line="69" w:lineRule="exact"/>
              <w:ind w:left="28"/>
              <w:jc w:val="center"/>
              <w:rPr>
                <w:rFonts w:ascii="Calibri"/>
                <w:sz w:val="7"/>
              </w:rPr>
            </w:pPr>
            <w:r>
              <w:rPr>
                <w:rFonts w:ascii="Calibri"/>
                <w:w w:val="105"/>
                <w:sz w:val="7"/>
              </w:rPr>
              <w:t>1000</w:t>
            </w:r>
          </w:p>
        </w:tc>
        <w:tc>
          <w:tcPr>
            <w:tcW w:w="249" w:type="dxa"/>
            <w:tcBorders>
              <w:top w:val="single" w:sz="4" w:space="0" w:color="000000"/>
              <w:left w:val="single" w:sz="4" w:space="0" w:color="000000"/>
              <w:bottom w:val="single" w:sz="4" w:space="0" w:color="000000"/>
              <w:right w:val="single" w:sz="4" w:space="0" w:color="000000"/>
            </w:tcBorders>
          </w:tcPr>
          <w:p w14:paraId="47628438" w14:textId="77777777" w:rsidR="00F65BCA" w:rsidRDefault="00F65BCA">
            <w:pPr>
              <w:pStyle w:val="TableParagraph"/>
              <w:rPr>
                <w:rFonts w:ascii="Times New Roman"/>
                <w:sz w:val="4"/>
              </w:rPr>
            </w:pPr>
          </w:p>
        </w:tc>
        <w:tc>
          <w:tcPr>
            <w:tcW w:w="311" w:type="dxa"/>
            <w:tcBorders>
              <w:top w:val="single" w:sz="4" w:space="0" w:color="000000"/>
              <w:left w:val="single" w:sz="4" w:space="0" w:color="000000"/>
              <w:bottom w:val="single" w:sz="4" w:space="0" w:color="000000"/>
              <w:right w:val="single" w:sz="4" w:space="0" w:color="000000"/>
            </w:tcBorders>
          </w:tcPr>
          <w:p w14:paraId="29772333" w14:textId="77777777" w:rsidR="00F65BCA" w:rsidRDefault="00F65BCA">
            <w:pPr>
              <w:pStyle w:val="TableParagraph"/>
              <w:rPr>
                <w:rFonts w:ascii="Times New Roman"/>
                <w:sz w:val="4"/>
              </w:rPr>
            </w:pPr>
          </w:p>
        </w:tc>
        <w:tc>
          <w:tcPr>
            <w:tcW w:w="256" w:type="dxa"/>
            <w:tcBorders>
              <w:top w:val="single" w:sz="4" w:space="0" w:color="000000"/>
              <w:left w:val="single" w:sz="4" w:space="0" w:color="000000"/>
              <w:bottom w:val="single" w:sz="4" w:space="0" w:color="000000"/>
              <w:right w:val="single" w:sz="4" w:space="0" w:color="000000"/>
            </w:tcBorders>
          </w:tcPr>
          <w:p w14:paraId="5A8E209C"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1985ECA5"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41D445F7" w14:textId="77777777" w:rsidR="00F65BCA" w:rsidRDefault="00F65BCA">
            <w:pPr>
              <w:pStyle w:val="TableParagraph"/>
              <w:rPr>
                <w:rFonts w:ascii="Times New Roman"/>
                <w:sz w:val="4"/>
              </w:rPr>
            </w:pPr>
          </w:p>
        </w:tc>
        <w:tc>
          <w:tcPr>
            <w:tcW w:w="273" w:type="dxa"/>
            <w:tcBorders>
              <w:top w:val="single" w:sz="4" w:space="0" w:color="000000"/>
              <w:left w:val="single" w:sz="4" w:space="0" w:color="000000"/>
              <w:bottom w:val="single" w:sz="4" w:space="0" w:color="000000"/>
              <w:right w:val="single" w:sz="4" w:space="0" w:color="000000"/>
            </w:tcBorders>
          </w:tcPr>
          <w:p w14:paraId="078CEE46"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449DA93A"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6F71FFF1"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0374B3A5"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2F1C746B"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71AAFE8A"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47F3F3E3" w14:textId="77777777" w:rsidR="00F65BCA" w:rsidRDefault="00216117">
            <w:pPr>
              <w:pStyle w:val="TableParagraph"/>
              <w:spacing w:before="4" w:line="67" w:lineRule="exact"/>
              <w:ind w:left="76" w:right="28"/>
              <w:jc w:val="center"/>
              <w:rPr>
                <w:rFonts w:ascii="Calibri" w:hAnsi="Calibri"/>
                <w:sz w:val="7"/>
              </w:rPr>
            </w:pPr>
            <w:r>
              <w:rPr>
                <w:rFonts w:ascii="Calibri" w:hAnsi="Calibri"/>
                <w:w w:val="105"/>
                <w:sz w:val="7"/>
              </w:rPr>
              <w:t>192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74E019C3" w14:textId="77777777" w:rsidR="00F65BCA" w:rsidRDefault="00F65BCA">
            <w:pPr>
              <w:pStyle w:val="TableParagraph"/>
              <w:rPr>
                <w:rFonts w:ascii="Times New Roman"/>
                <w:sz w:val="4"/>
              </w:rPr>
            </w:pP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544946EC" w14:textId="77777777" w:rsidR="00F65BCA" w:rsidRDefault="00F65BCA">
            <w:pPr>
              <w:pStyle w:val="TableParagraph"/>
              <w:rPr>
                <w:rFonts w:ascii="Times New Roman"/>
                <w:sz w:val="4"/>
              </w:rPr>
            </w:pP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1A32B9F5" w14:textId="77777777" w:rsidR="00F65BCA" w:rsidRDefault="00F65BCA">
            <w:pPr>
              <w:pStyle w:val="TableParagraph"/>
              <w:rPr>
                <w:rFonts w:ascii="Times New Roman"/>
                <w:sz w:val="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2714A6E6" w14:textId="77777777" w:rsidR="00F65BCA" w:rsidRDefault="00F65BCA">
            <w:pPr>
              <w:pStyle w:val="TableParagraph"/>
              <w:rPr>
                <w:rFonts w:ascii="Times New Roman"/>
                <w:sz w:val="4"/>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5E53968D" w14:textId="77777777" w:rsidR="00F65BCA" w:rsidRDefault="00216117">
            <w:pPr>
              <w:pStyle w:val="TableParagraph"/>
              <w:spacing w:before="4" w:line="67" w:lineRule="exact"/>
              <w:ind w:left="74" w:right="16"/>
              <w:jc w:val="center"/>
              <w:rPr>
                <w:rFonts w:ascii="Calibri" w:hAnsi="Calibri"/>
                <w:sz w:val="7"/>
              </w:rPr>
            </w:pPr>
            <w:r>
              <w:rPr>
                <w:rFonts w:ascii="Calibri" w:hAnsi="Calibri"/>
                <w:w w:val="105"/>
                <w:sz w:val="7"/>
              </w:rPr>
              <w:t>660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47C386A0"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33107514" w14:textId="77777777" w:rsidR="00F65BCA" w:rsidRDefault="00216117">
            <w:pPr>
              <w:pStyle w:val="TableParagraph"/>
              <w:spacing w:before="4" w:line="67" w:lineRule="exact"/>
              <w:ind w:left="158"/>
              <w:rPr>
                <w:rFonts w:ascii="Calibri" w:hAnsi="Calibri"/>
                <w:sz w:val="7"/>
              </w:rPr>
            </w:pPr>
            <w:r>
              <w:rPr>
                <w:rFonts w:ascii="Calibri" w:hAnsi="Calibri"/>
                <w:w w:val="105"/>
                <w:sz w:val="7"/>
              </w:rPr>
              <w:t>852 Kč</w:t>
            </w:r>
          </w:p>
        </w:tc>
      </w:tr>
      <w:tr w:rsidR="00F65BCA" w14:paraId="7D8A793D" w14:textId="77777777">
        <w:trPr>
          <w:trHeight w:val="90"/>
        </w:trPr>
        <w:tc>
          <w:tcPr>
            <w:tcW w:w="188" w:type="dxa"/>
            <w:tcBorders>
              <w:top w:val="single" w:sz="4" w:space="0" w:color="000000"/>
              <w:bottom w:val="single" w:sz="4" w:space="0" w:color="000000"/>
              <w:right w:val="single" w:sz="4" w:space="0" w:color="000000"/>
            </w:tcBorders>
          </w:tcPr>
          <w:p w14:paraId="50B7CD9D" w14:textId="77777777" w:rsidR="00F65BCA" w:rsidRDefault="00216117">
            <w:pPr>
              <w:pStyle w:val="TableParagraph"/>
              <w:spacing w:before="4" w:line="67" w:lineRule="exact"/>
              <w:ind w:left="78"/>
              <w:rPr>
                <w:rFonts w:ascii="Calibri"/>
                <w:sz w:val="7"/>
              </w:rPr>
            </w:pPr>
            <w:r>
              <w:rPr>
                <w:rFonts w:ascii="Calibri"/>
                <w:w w:val="106"/>
                <w:sz w:val="7"/>
              </w:rPr>
              <w:t>6</w:t>
            </w:r>
          </w:p>
        </w:tc>
        <w:tc>
          <w:tcPr>
            <w:tcW w:w="398" w:type="dxa"/>
            <w:tcBorders>
              <w:top w:val="single" w:sz="4" w:space="0" w:color="000000"/>
              <w:left w:val="single" w:sz="4" w:space="0" w:color="000000"/>
              <w:bottom w:val="single" w:sz="4" w:space="0" w:color="000000"/>
              <w:right w:val="single" w:sz="4" w:space="0" w:color="000000"/>
            </w:tcBorders>
          </w:tcPr>
          <w:p w14:paraId="3657DA8D"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636816E2"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2B42B6C4"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396A4ECD"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3E5DE0E5" w14:textId="77777777" w:rsidR="00F65BCA" w:rsidRDefault="00216117">
            <w:pPr>
              <w:pStyle w:val="TableParagraph"/>
              <w:spacing w:before="1" w:line="69" w:lineRule="exact"/>
              <w:ind w:left="70"/>
              <w:rPr>
                <w:rFonts w:ascii="Calibri"/>
                <w:sz w:val="7"/>
              </w:rPr>
            </w:pPr>
            <w:r>
              <w:rPr>
                <w:rFonts w:ascii="Calibri"/>
                <w:w w:val="105"/>
                <w:sz w:val="7"/>
              </w:rPr>
              <w:t>5P44156</w:t>
            </w:r>
          </w:p>
        </w:tc>
        <w:tc>
          <w:tcPr>
            <w:tcW w:w="398" w:type="dxa"/>
            <w:tcBorders>
              <w:top w:val="single" w:sz="4" w:space="0" w:color="000000"/>
              <w:left w:val="single" w:sz="4" w:space="0" w:color="000000"/>
              <w:bottom w:val="single" w:sz="4" w:space="0" w:color="000000"/>
              <w:right w:val="single" w:sz="4" w:space="0" w:color="000000"/>
            </w:tcBorders>
          </w:tcPr>
          <w:p w14:paraId="3289838A" w14:textId="77777777" w:rsidR="00F65BCA" w:rsidRDefault="00216117">
            <w:pPr>
              <w:pStyle w:val="TableParagraph"/>
              <w:spacing w:before="1" w:line="69" w:lineRule="exact"/>
              <w:ind w:left="16"/>
              <w:jc w:val="center"/>
              <w:rPr>
                <w:rFonts w:ascii="Calibri"/>
                <w:sz w:val="7"/>
              </w:rPr>
            </w:pPr>
            <w:r>
              <w:rPr>
                <w:rFonts w:ascii="Calibri"/>
                <w:w w:val="105"/>
                <w:sz w:val="7"/>
              </w:rPr>
              <w:t>UE934100</w:t>
            </w:r>
          </w:p>
        </w:tc>
        <w:tc>
          <w:tcPr>
            <w:tcW w:w="792" w:type="dxa"/>
            <w:tcBorders>
              <w:top w:val="single" w:sz="4" w:space="0" w:color="000000"/>
              <w:left w:val="single" w:sz="4" w:space="0" w:color="000000"/>
              <w:bottom w:val="single" w:sz="4" w:space="0" w:color="000000"/>
              <w:right w:val="single" w:sz="4" w:space="0" w:color="000000"/>
            </w:tcBorders>
          </w:tcPr>
          <w:p w14:paraId="60881082" w14:textId="77777777" w:rsidR="00F65BCA" w:rsidRDefault="00216117">
            <w:pPr>
              <w:pStyle w:val="TableParagraph"/>
              <w:spacing w:before="1" w:line="69" w:lineRule="exact"/>
              <w:ind w:left="54"/>
              <w:rPr>
                <w:rFonts w:ascii="Calibri"/>
                <w:sz w:val="7"/>
              </w:rPr>
            </w:pPr>
            <w:r>
              <w:rPr>
                <w:rFonts w:ascii="Calibri"/>
                <w:w w:val="105"/>
                <w:sz w:val="7"/>
              </w:rPr>
              <w:t>TMBEM25J4D3024636</w:t>
            </w:r>
          </w:p>
        </w:tc>
        <w:tc>
          <w:tcPr>
            <w:tcW w:w="398" w:type="dxa"/>
            <w:tcBorders>
              <w:top w:val="single" w:sz="4" w:space="0" w:color="000000"/>
              <w:left w:val="single" w:sz="4" w:space="0" w:color="000000"/>
              <w:bottom w:val="single" w:sz="4" w:space="0" w:color="000000"/>
              <w:right w:val="single" w:sz="4" w:space="0" w:color="000000"/>
            </w:tcBorders>
          </w:tcPr>
          <w:p w14:paraId="5EEE4116" w14:textId="77777777" w:rsidR="00F65BCA" w:rsidRDefault="00216117">
            <w:pPr>
              <w:pStyle w:val="TableParagraph"/>
              <w:spacing w:before="1" w:line="69" w:lineRule="exact"/>
              <w:ind w:left="100"/>
              <w:rPr>
                <w:rFonts w:ascii="Calibri"/>
                <w:sz w:val="7"/>
              </w:rPr>
            </w:pPr>
            <w:r>
              <w:rPr>
                <w:rFonts w:ascii="Calibri"/>
                <w:w w:val="105"/>
                <w:sz w:val="7"/>
              </w:rPr>
              <w:t>SKODA</w:t>
            </w:r>
          </w:p>
        </w:tc>
        <w:tc>
          <w:tcPr>
            <w:tcW w:w="1065" w:type="dxa"/>
            <w:tcBorders>
              <w:top w:val="single" w:sz="4" w:space="0" w:color="000000"/>
              <w:left w:val="single" w:sz="4" w:space="0" w:color="000000"/>
              <w:bottom w:val="single" w:sz="4" w:space="0" w:color="000000"/>
              <w:right w:val="single" w:sz="4" w:space="0" w:color="000000"/>
            </w:tcBorders>
          </w:tcPr>
          <w:p w14:paraId="7543DE7A" w14:textId="77777777" w:rsidR="00F65BCA" w:rsidRDefault="00216117">
            <w:pPr>
              <w:pStyle w:val="TableParagraph"/>
              <w:spacing w:before="1" w:line="69" w:lineRule="exact"/>
              <w:ind w:left="75" w:right="52"/>
              <w:jc w:val="center"/>
              <w:rPr>
                <w:rFonts w:ascii="Calibri"/>
                <w:sz w:val="7"/>
              </w:rPr>
            </w:pPr>
            <w:r>
              <w:rPr>
                <w:rFonts w:ascii="Calibri"/>
                <w:w w:val="105"/>
                <w:sz w:val="7"/>
              </w:rPr>
              <w:t>FABIA II</w:t>
            </w:r>
          </w:p>
        </w:tc>
        <w:tc>
          <w:tcPr>
            <w:tcW w:w="815" w:type="dxa"/>
            <w:tcBorders>
              <w:top w:val="single" w:sz="4" w:space="0" w:color="000000"/>
              <w:left w:val="single" w:sz="4" w:space="0" w:color="000000"/>
              <w:bottom w:val="single" w:sz="4" w:space="0" w:color="000000"/>
              <w:right w:val="single" w:sz="4" w:space="0" w:color="000000"/>
            </w:tcBorders>
          </w:tcPr>
          <w:p w14:paraId="47BAE754"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684968D7" w14:textId="77777777" w:rsidR="00F65BCA" w:rsidRDefault="00216117">
            <w:pPr>
              <w:pStyle w:val="TableParagraph"/>
              <w:spacing w:before="1" w:line="69" w:lineRule="exact"/>
              <w:ind w:right="41"/>
              <w:jc w:val="right"/>
              <w:rPr>
                <w:rFonts w:ascii="Calibri"/>
                <w:sz w:val="7"/>
              </w:rPr>
            </w:pPr>
            <w:r>
              <w:rPr>
                <w:rFonts w:ascii="Calibri"/>
                <w:w w:val="105"/>
                <w:sz w:val="7"/>
              </w:rPr>
              <w:t>2012</w:t>
            </w:r>
          </w:p>
        </w:tc>
        <w:tc>
          <w:tcPr>
            <w:tcW w:w="278" w:type="dxa"/>
            <w:tcBorders>
              <w:top w:val="single" w:sz="4" w:space="0" w:color="000000"/>
              <w:left w:val="single" w:sz="4" w:space="0" w:color="000000"/>
              <w:bottom w:val="single" w:sz="4" w:space="0" w:color="000000"/>
              <w:right w:val="single" w:sz="4" w:space="0" w:color="000000"/>
            </w:tcBorders>
          </w:tcPr>
          <w:p w14:paraId="6347EC73" w14:textId="77777777" w:rsidR="00F65BCA" w:rsidRDefault="00216117">
            <w:pPr>
              <w:pStyle w:val="TableParagraph"/>
              <w:spacing w:before="1" w:line="69" w:lineRule="exact"/>
              <w:ind w:left="28" w:right="2"/>
              <w:jc w:val="center"/>
              <w:rPr>
                <w:rFonts w:ascii="Calibri"/>
                <w:sz w:val="7"/>
              </w:rPr>
            </w:pPr>
            <w:r>
              <w:rPr>
                <w:rFonts w:ascii="Calibri"/>
                <w:w w:val="105"/>
                <w:sz w:val="7"/>
              </w:rPr>
              <w:t>1197</w:t>
            </w:r>
          </w:p>
        </w:tc>
        <w:tc>
          <w:tcPr>
            <w:tcW w:w="268" w:type="dxa"/>
            <w:tcBorders>
              <w:top w:val="single" w:sz="4" w:space="0" w:color="000000"/>
              <w:left w:val="single" w:sz="4" w:space="0" w:color="000000"/>
              <w:bottom w:val="single" w:sz="4" w:space="0" w:color="000000"/>
              <w:right w:val="single" w:sz="4" w:space="0" w:color="000000"/>
            </w:tcBorders>
          </w:tcPr>
          <w:p w14:paraId="5946EAA4" w14:textId="77777777" w:rsidR="00F65BCA" w:rsidRDefault="00216117">
            <w:pPr>
              <w:pStyle w:val="TableParagraph"/>
              <w:spacing w:before="1" w:line="69" w:lineRule="exact"/>
              <w:ind w:right="74"/>
              <w:jc w:val="right"/>
              <w:rPr>
                <w:rFonts w:ascii="Calibri"/>
                <w:sz w:val="7"/>
              </w:rPr>
            </w:pPr>
            <w:r>
              <w:rPr>
                <w:rFonts w:ascii="Calibri"/>
                <w:w w:val="105"/>
                <w:sz w:val="7"/>
              </w:rPr>
              <w:t>63</w:t>
            </w:r>
          </w:p>
        </w:tc>
        <w:tc>
          <w:tcPr>
            <w:tcW w:w="398" w:type="dxa"/>
            <w:tcBorders>
              <w:top w:val="single" w:sz="4" w:space="0" w:color="000000"/>
              <w:left w:val="single" w:sz="4" w:space="0" w:color="000000"/>
              <w:bottom w:val="single" w:sz="4" w:space="0" w:color="000000"/>
              <w:right w:val="single" w:sz="4" w:space="0" w:color="000000"/>
            </w:tcBorders>
          </w:tcPr>
          <w:p w14:paraId="10A480E1" w14:textId="77777777" w:rsidR="00F65BCA" w:rsidRDefault="00216117">
            <w:pPr>
              <w:pStyle w:val="TableParagraph"/>
              <w:spacing w:before="1" w:line="69" w:lineRule="exact"/>
              <w:ind w:left="28"/>
              <w:jc w:val="center"/>
              <w:rPr>
                <w:rFonts w:ascii="Calibri"/>
                <w:sz w:val="7"/>
              </w:rPr>
            </w:pPr>
            <w:r>
              <w:rPr>
                <w:rFonts w:ascii="Calibri"/>
                <w:w w:val="105"/>
                <w:sz w:val="7"/>
              </w:rPr>
              <w:t>1571</w:t>
            </w:r>
          </w:p>
        </w:tc>
        <w:tc>
          <w:tcPr>
            <w:tcW w:w="249" w:type="dxa"/>
            <w:tcBorders>
              <w:top w:val="single" w:sz="4" w:space="0" w:color="000000"/>
              <w:left w:val="single" w:sz="4" w:space="0" w:color="000000"/>
              <w:bottom w:val="single" w:sz="4" w:space="0" w:color="000000"/>
              <w:right w:val="single" w:sz="4" w:space="0" w:color="000000"/>
            </w:tcBorders>
          </w:tcPr>
          <w:p w14:paraId="11F0EF6A" w14:textId="77777777" w:rsidR="00F65BCA" w:rsidRDefault="00216117">
            <w:pPr>
              <w:pStyle w:val="TableParagraph"/>
              <w:spacing w:before="1"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631D6769" w14:textId="77777777" w:rsidR="00F65BCA" w:rsidRDefault="00216117">
            <w:pPr>
              <w:pStyle w:val="TableParagraph"/>
              <w:spacing w:before="1" w:line="69" w:lineRule="exact"/>
              <w:ind w:left="34"/>
              <w:jc w:val="center"/>
              <w:rPr>
                <w:rFonts w:ascii="Calibri" w:hAnsi="Calibri"/>
                <w:sz w:val="7"/>
              </w:rPr>
            </w:pPr>
            <w:r>
              <w:rPr>
                <w:rFonts w:ascii="Calibri" w:hAnsi="Calibri"/>
                <w:w w:val="105"/>
                <w:sz w:val="7"/>
              </w:rPr>
              <w:t>Benzín</w:t>
            </w:r>
          </w:p>
        </w:tc>
        <w:tc>
          <w:tcPr>
            <w:tcW w:w="256" w:type="dxa"/>
            <w:tcBorders>
              <w:top w:val="single" w:sz="4" w:space="0" w:color="000000"/>
              <w:left w:val="single" w:sz="4" w:space="0" w:color="000000"/>
              <w:bottom w:val="single" w:sz="4" w:space="0" w:color="000000"/>
              <w:right w:val="single" w:sz="4" w:space="0" w:color="000000"/>
            </w:tcBorders>
          </w:tcPr>
          <w:p w14:paraId="7A14FFEE"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12AB5708" w14:textId="77777777" w:rsidR="00F65BCA" w:rsidRDefault="00216117">
            <w:pPr>
              <w:pStyle w:val="TableParagraph"/>
              <w:spacing w:before="1" w:line="69" w:lineRule="exact"/>
              <w:jc w:val="right"/>
              <w:rPr>
                <w:rFonts w:ascii="Calibri" w:hAnsi="Calibri"/>
                <w:sz w:val="7"/>
              </w:rPr>
            </w:pPr>
            <w:r>
              <w:rPr>
                <w:rFonts w:ascii="Calibri" w:hAnsi="Calibri"/>
                <w:w w:val="105"/>
                <w:sz w:val="7"/>
              </w:rPr>
              <w:t>137 000 Kč</w:t>
            </w:r>
          </w:p>
        </w:tc>
        <w:tc>
          <w:tcPr>
            <w:tcW w:w="278" w:type="dxa"/>
            <w:tcBorders>
              <w:top w:val="single" w:sz="4" w:space="0" w:color="000000"/>
              <w:left w:val="single" w:sz="4" w:space="0" w:color="000000"/>
              <w:bottom w:val="single" w:sz="4" w:space="0" w:color="000000"/>
              <w:right w:val="single" w:sz="4" w:space="0" w:color="000000"/>
            </w:tcBorders>
          </w:tcPr>
          <w:p w14:paraId="52369443"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12E2BDB0"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1F93B945"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12 000 Kč</w:t>
            </w:r>
          </w:p>
        </w:tc>
        <w:tc>
          <w:tcPr>
            <w:tcW w:w="398" w:type="dxa"/>
            <w:tcBorders>
              <w:top w:val="single" w:sz="4" w:space="0" w:color="000000"/>
              <w:left w:val="single" w:sz="4" w:space="0" w:color="000000"/>
              <w:bottom w:val="single" w:sz="4" w:space="0" w:color="000000"/>
              <w:right w:val="single" w:sz="4" w:space="0" w:color="000000"/>
            </w:tcBorders>
          </w:tcPr>
          <w:p w14:paraId="0137459E"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40765EB1"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181B9128"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749C7D33"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327C0D48"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1 512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5C165174"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1 836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5F3FC839" w14:textId="77777777" w:rsidR="00F65BCA" w:rsidRDefault="00216117">
            <w:pPr>
              <w:pStyle w:val="TableParagraph"/>
              <w:spacing w:before="4" w:line="67" w:lineRule="exact"/>
              <w:ind w:right="98"/>
              <w:jc w:val="right"/>
              <w:rPr>
                <w:rFonts w:ascii="Calibri" w:hAnsi="Calibri"/>
                <w:sz w:val="7"/>
              </w:rPr>
            </w:pPr>
            <w:r>
              <w:rPr>
                <w:rFonts w:ascii="Calibri" w:hAnsi="Calibri"/>
                <w:w w:val="105"/>
                <w:sz w:val="7"/>
              </w:rPr>
              <w:t>600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2CF120EE"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3989055B"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589F450E" w14:textId="77777777" w:rsidR="00F65BCA" w:rsidRDefault="00216117">
            <w:pPr>
              <w:pStyle w:val="TableParagraph"/>
              <w:spacing w:before="4" w:line="67" w:lineRule="exact"/>
              <w:ind w:left="77" w:right="16"/>
              <w:jc w:val="center"/>
              <w:rPr>
                <w:rFonts w:ascii="Calibri" w:hAnsi="Calibri"/>
                <w:sz w:val="7"/>
              </w:rPr>
            </w:pPr>
            <w:r>
              <w:rPr>
                <w:rFonts w:ascii="Calibri" w:hAnsi="Calibri"/>
                <w:w w:val="105"/>
                <w:sz w:val="7"/>
              </w:rPr>
              <w:t>1 320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7129117C"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4F90B55C" w14:textId="77777777" w:rsidR="00F65BCA" w:rsidRDefault="00216117">
            <w:pPr>
              <w:pStyle w:val="TableParagraph"/>
              <w:spacing w:before="4" w:line="67" w:lineRule="exact"/>
              <w:ind w:left="130"/>
              <w:rPr>
                <w:rFonts w:ascii="Calibri" w:hAnsi="Calibri"/>
                <w:sz w:val="7"/>
              </w:rPr>
            </w:pPr>
            <w:r>
              <w:rPr>
                <w:rFonts w:ascii="Calibri" w:hAnsi="Calibri"/>
                <w:w w:val="105"/>
                <w:sz w:val="7"/>
              </w:rPr>
              <w:t>6 180 Kč</w:t>
            </w:r>
          </w:p>
        </w:tc>
      </w:tr>
      <w:tr w:rsidR="00F65BCA" w14:paraId="0ACA2227" w14:textId="77777777">
        <w:trPr>
          <w:trHeight w:val="90"/>
        </w:trPr>
        <w:tc>
          <w:tcPr>
            <w:tcW w:w="188" w:type="dxa"/>
            <w:tcBorders>
              <w:top w:val="single" w:sz="4" w:space="0" w:color="000000"/>
              <w:bottom w:val="single" w:sz="4" w:space="0" w:color="000000"/>
              <w:right w:val="single" w:sz="4" w:space="0" w:color="000000"/>
            </w:tcBorders>
          </w:tcPr>
          <w:p w14:paraId="445A0BCD" w14:textId="77777777" w:rsidR="00F65BCA" w:rsidRDefault="00216117">
            <w:pPr>
              <w:pStyle w:val="TableParagraph"/>
              <w:spacing w:before="4" w:line="67" w:lineRule="exact"/>
              <w:ind w:left="78"/>
              <w:rPr>
                <w:rFonts w:ascii="Calibri"/>
                <w:sz w:val="7"/>
              </w:rPr>
            </w:pPr>
            <w:r>
              <w:rPr>
                <w:rFonts w:ascii="Calibri"/>
                <w:w w:val="106"/>
                <w:sz w:val="7"/>
              </w:rPr>
              <w:t>7</w:t>
            </w:r>
          </w:p>
        </w:tc>
        <w:tc>
          <w:tcPr>
            <w:tcW w:w="398" w:type="dxa"/>
            <w:tcBorders>
              <w:top w:val="single" w:sz="4" w:space="0" w:color="000000"/>
              <w:left w:val="single" w:sz="4" w:space="0" w:color="000000"/>
              <w:bottom w:val="single" w:sz="4" w:space="0" w:color="000000"/>
              <w:right w:val="single" w:sz="4" w:space="0" w:color="000000"/>
            </w:tcBorders>
          </w:tcPr>
          <w:p w14:paraId="4D838E04"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4AEC016D"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5AFF817F"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1717C93E"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06901CC7" w14:textId="77777777" w:rsidR="00F65BCA" w:rsidRDefault="00216117">
            <w:pPr>
              <w:pStyle w:val="TableParagraph"/>
              <w:spacing w:before="1" w:line="69" w:lineRule="exact"/>
              <w:ind w:left="70"/>
              <w:rPr>
                <w:rFonts w:ascii="Calibri"/>
                <w:sz w:val="7"/>
              </w:rPr>
            </w:pPr>
            <w:r>
              <w:rPr>
                <w:rFonts w:ascii="Calibri"/>
                <w:w w:val="105"/>
                <w:sz w:val="7"/>
              </w:rPr>
              <w:t>6P35528</w:t>
            </w:r>
          </w:p>
        </w:tc>
        <w:tc>
          <w:tcPr>
            <w:tcW w:w="398" w:type="dxa"/>
            <w:tcBorders>
              <w:top w:val="single" w:sz="4" w:space="0" w:color="000000"/>
              <w:left w:val="single" w:sz="4" w:space="0" w:color="000000"/>
              <w:bottom w:val="single" w:sz="4" w:space="0" w:color="000000"/>
              <w:right w:val="single" w:sz="4" w:space="0" w:color="000000"/>
            </w:tcBorders>
          </w:tcPr>
          <w:p w14:paraId="61ACBC2F" w14:textId="77777777" w:rsidR="00F65BCA" w:rsidRDefault="00216117">
            <w:pPr>
              <w:pStyle w:val="TableParagraph"/>
              <w:spacing w:before="1" w:line="69" w:lineRule="exact"/>
              <w:ind w:left="16"/>
              <w:jc w:val="center"/>
              <w:rPr>
                <w:rFonts w:ascii="Calibri"/>
                <w:sz w:val="7"/>
              </w:rPr>
            </w:pPr>
            <w:r>
              <w:rPr>
                <w:rFonts w:ascii="Calibri"/>
                <w:w w:val="105"/>
                <w:sz w:val="7"/>
              </w:rPr>
              <w:t>UE946829</w:t>
            </w:r>
          </w:p>
        </w:tc>
        <w:tc>
          <w:tcPr>
            <w:tcW w:w="792" w:type="dxa"/>
            <w:tcBorders>
              <w:top w:val="single" w:sz="4" w:space="0" w:color="000000"/>
              <w:left w:val="single" w:sz="4" w:space="0" w:color="000000"/>
              <w:bottom w:val="single" w:sz="4" w:space="0" w:color="000000"/>
              <w:right w:val="single" w:sz="4" w:space="0" w:color="000000"/>
            </w:tcBorders>
          </w:tcPr>
          <w:p w14:paraId="3ABC3243" w14:textId="77777777" w:rsidR="00F65BCA" w:rsidRDefault="00216117">
            <w:pPr>
              <w:pStyle w:val="TableParagraph"/>
              <w:spacing w:before="1" w:line="69" w:lineRule="exact"/>
              <w:ind w:left="54"/>
              <w:rPr>
                <w:rFonts w:ascii="Calibri"/>
                <w:sz w:val="7"/>
              </w:rPr>
            </w:pPr>
            <w:r>
              <w:rPr>
                <w:rFonts w:ascii="Calibri"/>
                <w:w w:val="105"/>
                <w:sz w:val="7"/>
              </w:rPr>
              <w:t>TMBAH93T2D9026351</w:t>
            </w:r>
          </w:p>
        </w:tc>
        <w:tc>
          <w:tcPr>
            <w:tcW w:w="398" w:type="dxa"/>
            <w:tcBorders>
              <w:top w:val="single" w:sz="4" w:space="0" w:color="000000"/>
              <w:left w:val="single" w:sz="4" w:space="0" w:color="000000"/>
              <w:bottom w:val="single" w:sz="4" w:space="0" w:color="000000"/>
              <w:right w:val="single" w:sz="4" w:space="0" w:color="000000"/>
            </w:tcBorders>
          </w:tcPr>
          <w:p w14:paraId="60E1105A" w14:textId="77777777" w:rsidR="00F65BCA" w:rsidRDefault="00216117">
            <w:pPr>
              <w:pStyle w:val="TableParagraph"/>
              <w:spacing w:before="1" w:line="69" w:lineRule="exact"/>
              <w:ind w:left="100"/>
              <w:rPr>
                <w:rFonts w:ascii="Calibri"/>
                <w:sz w:val="7"/>
              </w:rPr>
            </w:pPr>
            <w:r>
              <w:rPr>
                <w:rFonts w:ascii="Calibri"/>
                <w:w w:val="105"/>
                <w:sz w:val="7"/>
              </w:rPr>
              <w:t>SKODA</w:t>
            </w:r>
          </w:p>
        </w:tc>
        <w:tc>
          <w:tcPr>
            <w:tcW w:w="1065" w:type="dxa"/>
            <w:tcBorders>
              <w:top w:val="single" w:sz="4" w:space="0" w:color="000000"/>
              <w:left w:val="single" w:sz="4" w:space="0" w:color="000000"/>
              <w:bottom w:val="single" w:sz="4" w:space="0" w:color="000000"/>
              <w:right w:val="single" w:sz="4" w:space="0" w:color="000000"/>
            </w:tcBorders>
          </w:tcPr>
          <w:p w14:paraId="353D28A2" w14:textId="77777777" w:rsidR="00F65BCA" w:rsidRDefault="00216117">
            <w:pPr>
              <w:pStyle w:val="TableParagraph"/>
              <w:spacing w:before="1" w:line="69" w:lineRule="exact"/>
              <w:ind w:left="75" w:right="52"/>
              <w:jc w:val="center"/>
              <w:rPr>
                <w:rFonts w:ascii="Calibri"/>
                <w:sz w:val="7"/>
              </w:rPr>
            </w:pPr>
            <w:r>
              <w:rPr>
                <w:rFonts w:ascii="Calibri"/>
                <w:w w:val="105"/>
                <w:sz w:val="7"/>
              </w:rPr>
              <w:t>SUPERB II</w:t>
            </w:r>
          </w:p>
        </w:tc>
        <w:tc>
          <w:tcPr>
            <w:tcW w:w="815" w:type="dxa"/>
            <w:tcBorders>
              <w:top w:val="single" w:sz="4" w:space="0" w:color="000000"/>
              <w:left w:val="single" w:sz="4" w:space="0" w:color="000000"/>
              <w:bottom w:val="single" w:sz="4" w:space="0" w:color="000000"/>
              <w:right w:val="single" w:sz="4" w:space="0" w:color="000000"/>
            </w:tcBorders>
          </w:tcPr>
          <w:p w14:paraId="064CA3D3"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45358861" w14:textId="77777777" w:rsidR="00F65BCA" w:rsidRDefault="00216117">
            <w:pPr>
              <w:pStyle w:val="TableParagraph"/>
              <w:spacing w:before="1" w:line="69" w:lineRule="exact"/>
              <w:ind w:right="41"/>
              <w:jc w:val="right"/>
              <w:rPr>
                <w:rFonts w:ascii="Calibri"/>
                <w:sz w:val="7"/>
              </w:rPr>
            </w:pPr>
            <w:r>
              <w:rPr>
                <w:rFonts w:ascii="Calibri"/>
                <w:w w:val="105"/>
                <w:sz w:val="7"/>
              </w:rPr>
              <w:t>2012</w:t>
            </w:r>
          </w:p>
        </w:tc>
        <w:tc>
          <w:tcPr>
            <w:tcW w:w="278" w:type="dxa"/>
            <w:tcBorders>
              <w:top w:val="single" w:sz="4" w:space="0" w:color="000000"/>
              <w:left w:val="single" w:sz="4" w:space="0" w:color="000000"/>
              <w:bottom w:val="single" w:sz="4" w:space="0" w:color="000000"/>
              <w:right w:val="single" w:sz="4" w:space="0" w:color="000000"/>
            </w:tcBorders>
          </w:tcPr>
          <w:p w14:paraId="31BDC9F4" w14:textId="77777777" w:rsidR="00F65BCA" w:rsidRDefault="00216117">
            <w:pPr>
              <w:pStyle w:val="TableParagraph"/>
              <w:spacing w:before="1" w:line="69" w:lineRule="exact"/>
              <w:ind w:left="28" w:right="2"/>
              <w:jc w:val="center"/>
              <w:rPr>
                <w:rFonts w:ascii="Calibri"/>
                <w:sz w:val="7"/>
              </w:rPr>
            </w:pPr>
            <w:r>
              <w:rPr>
                <w:rFonts w:ascii="Calibri"/>
                <w:w w:val="105"/>
                <w:sz w:val="7"/>
              </w:rPr>
              <w:t>1984</w:t>
            </w:r>
          </w:p>
        </w:tc>
        <w:tc>
          <w:tcPr>
            <w:tcW w:w="268" w:type="dxa"/>
            <w:tcBorders>
              <w:top w:val="single" w:sz="4" w:space="0" w:color="000000"/>
              <w:left w:val="single" w:sz="4" w:space="0" w:color="000000"/>
              <w:bottom w:val="single" w:sz="4" w:space="0" w:color="000000"/>
              <w:right w:val="single" w:sz="4" w:space="0" w:color="000000"/>
            </w:tcBorders>
          </w:tcPr>
          <w:p w14:paraId="58F971E0" w14:textId="77777777" w:rsidR="00F65BCA" w:rsidRDefault="00216117">
            <w:pPr>
              <w:pStyle w:val="TableParagraph"/>
              <w:spacing w:before="1" w:line="69" w:lineRule="exact"/>
              <w:ind w:right="56"/>
              <w:jc w:val="right"/>
              <w:rPr>
                <w:rFonts w:ascii="Calibri"/>
                <w:sz w:val="7"/>
              </w:rPr>
            </w:pPr>
            <w:r>
              <w:rPr>
                <w:rFonts w:ascii="Calibri"/>
                <w:w w:val="105"/>
                <w:sz w:val="7"/>
              </w:rPr>
              <w:t>147</w:t>
            </w:r>
          </w:p>
        </w:tc>
        <w:tc>
          <w:tcPr>
            <w:tcW w:w="398" w:type="dxa"/>
            <w:tcBorders>
              <w:top w:val="single" w:sz="4" w:space="0" w:color="000000"/>
              <w:left w:val="single" w:sz="4" w:space="0" w:color="000000"/>
              <w:bottom w:val="single" w:sz="4" w:space="0" w:color="000000"/>
              <w:right w:val="single" w:sz="4" w:space="0" w:color="000000"/>
            </w:tcBorders>
          </w:tcPr>
          <w:p w14:paraId="74928F37" w14:textId="77777777" w:rsidR="00F65BCA" w:rsidRDefault="00216117">
            <w:pPr>
              <w:pStyle w:val="TableParagraph"/>
              <w:spacing w:before="1" w:line="69" w:lineRule="exact"/>
              <w:ind w:left="28"/>
              <w:jc w:val="center"/>
              <w:rPr>
                <w:rFonts w:ascii="Calibri"/>
                <w:sz w:val="7"/>
              </w:rPr>
            </w:pPr>
            <w:r>
              <w:rPr>
                <w:rFonts w:ascii="Calibri"/>
                <w:w w:val="105"/>
                <w:sz w:val="7"/>
              </w:rPr>
              <w:t>2118</w:t>
            </w:r>
          </w:p>
        </w:tc>
        <w:tc>
          <w:tcPr>
            <w:tcW w:w="249" w:type="dxa"/>
            <w:tcBorders>
              <w:top w:val="single" w:sz="4" w:space="0" w:color="000000"/>
              <w:left w:val="single" w:sz="4" w:space="0" w:color="000000"/>
              <w:bottom w:val="single" w:sz="4" w:space="0" w:color="000000"/>
              <w:right w:val="single" w:sz="4" w:space="0" w:color="000000"/>
            </w:tcBorders>
          </w:tcPr>
          <w:p w14:paraId="358D1FF3" w14:textId="77777777" w:rsidR="00F65BCA" w:rsidRDefault="00216117">
            <w:pPr>
              <w:pStyle w:val="TableParagraph"/>
              <w:spacing w:before="1"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020F8792" w14:textId="77777777" w:rsidR="00F65BCA" w:rsidRDefault="00216117">
            <w:pPr>
              <w:pStyle w:val="TableParagraph"/>
              <w:spacing w:before="1" w:line="69" w:lineRule="exact"/>
              <w:ind w:left="34"/>
              <w:jc w:val="center"/>
              <w:rPr>
                <w:rFonts w:ascii="Calibri" w:hAnsi="Calibri"/>
                <w:sz w:val="7"/>
              </w:rPr>
            </w:pPr>
            <w:r>
              <w:rPr>
                <w:rFonts w:ascii="Calibri" w:hAnsi="Calibri"/>
                <w:w w:val="105"/>
                <w:sz w:val="7"/>
              </w:rPr>
              <w:t>Benzín</w:t>
            </w:r>
          </w:p>
        </w:tc>
        <w:tc>
          <w:tcPr>
            <w:tcW w:w="256" w:type="dxa"/>
            <w:tcBorders>
              <w:top w:val="single" w:sz="4" w:space="0" w:color="000000"/>
              <w:left w:val="single" w:sz="4" w:space="0" w:color="000000"/>
              <w:bottom w:val="single" w:sz="4" w:space="0" w:color="000000"/>
              <w:right w:val="single" w:sz="4" w:space="0" w:color="000000"/>
            </w:tcBorders>
          </w:tcPr>
          <w:p w14:paraId="28D09ACC"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65CF44C6" w14:textId="77777777" w:rsidR="00F65BCA" w:rsidRDefault="00216117">
            <w:pPr>
              <w:pStyle w:val="TableParagraph"/>
              <w:spacing w:before="1" w:line="69" w:lineRule="exact"/>
              <w:jc w:val="right"/>
              <w:rPr>
                <w:rFonts w:ascii="Calibri" w:hAnsi="Calibri"/>
                <w:sz w:val="7"/>
              </w:rPr>
            </w:pPr>
            <w:r>
              <w:rPr>
                <w:rFonts w:ascii="Calibri" w:hAnsi="Calibri"/>
                <w:w w:val="105"/>
                <w:sz w:val="7"/>
              </w:rPr>
              <w:t>211 000 Kč</w:t>
            </w:r>
          </w:p>
        </w:tc>
        <w:tc>
          <w:tcPr>
            <w:tcW w:w="278" w:type="dxa"/>
            <w:tcBorders>
              <w:top w:val="single" w:sz="4" w:space="0" w:color="000000"/>
              <w:left w:val="single" w:sz="4" w:space="0" w:color="000000"/>
              <w:bottom w:val="single" w:sz="4" w:space="0" w:color="000000"/>
              <w:right w:val="single" w:sz="4" w:space="0" w:color="000000"/>
            </w:tcBorders>
          </w:tcPr>
          <w:p w14:paraId="5B8E4768"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7C5634B3"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1230A1A7"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16 000 Kč</w:t>
            </w:r>
          </w:p>
        </w:tc>
        <w:tc>
          <w:tcPr>
            <w:tcW w:w="398" w:type="dxa"/>
            <w:tcBorders>
              <w:top w:val="single" w:sz="4" w:space="0" w:color="000000"/>
              <w:left w:val="single" w:sz="4" w:space="0" w:color="000000"/>
              <w:bottom w:val="single" w:sz="4" w:space="0" w:color="000000"/>
              <w:right w:val="single" w:sz="4" w:space="0" w:color="000000"/>
            </w:tcBorders>
          </w:tcPr>
          <w:p w14:paraId="6EB6496C"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622BB88E"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42541765"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2F12688A"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704150B8"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2 196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14C293D7"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4 056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07AE4F4A" w14:textId="77777777" w:rsidR="00F65BCA" w:rsidRDefault="00216117">
            <w:pPr>
              <w:pStyle w:val="TableParagraph"/>
              <w:spacing w:before="4" w:line="67" w:lineRule="exact"/>
              <w:ind w:right="70"/>
              <w:jc w:val="right"/>
              <w:rPr>
                <w:rFonts w:ascii="Calibri" w:hAnsi="Calibri"/>
                <w:sz w:val="7"/>
              </w:rPr>
            </w:pPr>
            <w:r>
              <w:rPr>
                <w:rFonts w:ascii="Calibri" w:hAnsi="Calibri"/>
                <w:w w:val="105"/>
                <w:sz w:val="7"/>
              </w:rPr>
              <w:t>1 440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4524757E"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22BC31AD"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8CA7797" w14:textId="77777777" w:rsidR="00F65BCA" w:rsidRDefault="00216117">
            <w:pPr>
              <w:pStyle w:val="TableParagraph"/>
              <w:spacing w:before="4" w:line="67" w:lineRule="exact"/>
              <w:ind w:left="78" w:right="16"/>
              <w:jc w:val="center"/>
              <w:rPr>
                <w:rFonts w:ascii="Calibri" w:hAnsi="Calibri"/>
                <w:sz w:val="7"/>
              </w:rPr>
            </w:pPr>
            <w:r>
              <w:rPr>
                <w:rFonts w:ascii="Calibri" w:hAnsi="Calibri"/>
                <w:w w:val="105"/>
                <w:sz w:val="7"/>
              </w:rPr>
              <w:t>1 320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7A5AA91A"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03165511" w14:textId="77777777" w:rsidR="00F65BCA" w:rsidRDefault="00216117">
            <w:pPr>
              <w:pStyle w:val="TableParagraph"/>
              <w:spacing w:before="4" w:line="67" w:lineRule="exact"/>
              <w:ind w:left="130"/>
              <w:rPr>
                <w:rFonts w:ascii="Calibri" w:hAnsi="Calibri"/>
                <w:sz w:val="7"/>
              </w:rPr>
            </w:pPr>
            <w:r>
              <w:rPr>
                <w:rFonts w:ascii="Calibri" w:hAnsi="Calibri"/>
                <w:w w:val="105"/>
                <w:sz w:val="7"/>
              </w:rPr>
              <w:t>9 924 Kč</w:t>
            </w:r>
          </w:p>
        </w:tc>
      </w:tr>
      <w:tr w:rsidR="00F65BCA" w14:paraId="45AF04DD" w14:textId="77777777">
        <w:trPr>
          <w:trHeight w:val="90"/>
        </w:trPr>
        <w:tc>
          <w:tcPr>
            <w:tcW w:w="188" w:type="dxa"/>
            <w:tcBorders>
              <w:top w:val="single" w:sz="4" w:space="0" w:color="000000"/>
              <w:bottom w:val="single" w:sz="4" w:space="0" w:color="000000"/>
              <w:right w:val="single" w:sz="4" w:space="0" w:color="000000"/>
            </w:tcBorders>
          </w:tcPr>
          <w:p w14:paraId="078CF5C2" w14:textId="77777777" w:rsidR="00F65BCA" w:rsidRDefault="00216117">
            <w:pPr>
              <w:pStyle w:val="TableParagraph"/>
              <w:spacing w:before="4" w:line="67" w:lineRule="exact"/>
              <w:ind w:left="78"/>
              <w:rPr>
                <w:rFonts w:ascii="Calibri"/>
                <w:sz w:val="7"/>
              </w:rPr>
            </w:pPr>
            <w:r>
              <w:rPr>
                <w:rFonts w:ascii="Calibri"/>
                <w:w w:val="106"/>
                <w:sz w:val="7"/>
              </w:rPr>
              <w:t>8</w:t>
            </w:r>
          </w:p>
        </w:tc>
        <w:tc>
          <w:tcPr>
            <w:tcW w:w="398" w:type="dxa"/>
            <w:tcBorders>
              <w:top w:val="single" w:sz="4" w:space="0" w:color="000000"/>
              <w:left w:val="single" w:sz="4" w:space="0" w:color="000000"/>
              <w:bottom w:val="single" w:sz="4" w:space="0" w:color="000000"/>
              <w:right w:val="single" w:sz="4" w:space="0" w:color="000000"/>
            </w:tcBorders>
          </w:tcPr>
          <w:p w14:paraId="45BCD7CD"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78AFB73A"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08152AA1"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2F110E06"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3C53C41D" w14:textId="77777777" w:rsidR="00F65BCA" w:rsidRDefault="00216117">
            <w:pPr>
              <w:pStyle w:val="TableParagraph"/>
              <w:spacing w:before="1" w:line="69" w:lineRule="exact"/>
              <w:ind w:left="70"/>
              <w:rPr>
                <w:rFonts w:ascii="Calibri"/>
                <w:sz w:val="7"/>
              </w:rPr>
            </w:pPr>
            <w:r>
              <w:rPr>
                <w:rFonts w:ascii="Calibri"/>
                <w:w w:val="105"/>
                <w:sz w:val="7"/>
              </w:rPr>
              <w:t>3P00848</w:t>
            </w:r>
          </w:p>
        </w:tc>
        <w:tc>
          <w:tcPr>
            <w:tcW w:w="398" w:type="dxa"/>
            <w:tcBorders>
              <w:top w:val="single" w:sz="4" w:space="0" w:color="000000"/>
              <w:left w:val="single" w:sz="4" w:space="0" w:color="000000"/>
              <w:bottom w:val="single" w:sz="4" w:space="0" w:color="000000"/>
              <w:right w:val="single" w:sz="4" w:space="0" w:color="000000"/>
            </w:tcBorders>
          </w:tcPr>
          <w:p w14:paraId="74974E65" w14:textId="77777777" w:rsidR="00F65BCA" w:rsidRDefault="00216117">
            <w:pPr>
              <w:pStyle w:val="TableParagraph"/>
              <w:spacing w:before="1" w:line="69" w:lineRule="exact"/>
              <w:ind w:left="16"/>
              <w:jc w:val="center"/>
              <w:rPr>
                <w:rFonts w:ascii="Calibri"/>
                <w:sz w:val="7"/>
              </w:rPr>
            </w:pPr>
            <w:r>
              <w:rPr>
                <w:rFonts w:ascii="Calibri"/>
                <w:w w:val="105"/>
                <w:sz w:val="7"/>
              </w:rPr>
              <w:t>UB726507</w:t>
            </w:r>
          </w:p>
        </w:tc>
        <w:tc>
          <w:tcPr>
            <w:tcW w:w="792" w:type="dxa"/>
            <w:tcBorders>
              <w:top w:val="single" w:sz="4" w:space="0" w:color="000000"/>
              <w:left w:val="single" w:sz="4" w:space="0" w:color="000000"/>
              <w:bottom w:val="single" w:sz="4" w:space="0" w:color="000000"/>
              <w:right w:val="single" w:sz="4" w:space="0" w:color="000000"/>
            </w:tcBorders>
          </w:tcPr>
          <w:p w14:paraId="6BA76BEE" w14:textId="77777777" w:rsidR="00F65BCA" w:rsidRDefault="00216117">
            <w:pPr>
              <w:pStyle w:val="TableParagraph"/>
              <w:spacing w:before="1" w:line="69" w:lineRule="exact"/>
              <w:ind w:left="76"/>
              <w:rPr>
                <w:rFonts w:ascii="Calibri"/>
                <w:sz w:val="7"/>
              </w:rPr>
            </w:pPr>
            <w:r>
              <w:rPr>
                <w:rFonts w:ascii="Calibri"/>
                <w:w w:val="105"/>
                <w:sz w:val="7"/>
              </w:rPr>
              <w:t>ZFA22300005406749</w:t>
            </w:r>
          </w:p>
        </w:tc>
        <w:tc>
          <w:tcPr>
            <w:tcW w:w="398" w:type="dxa"/>
            <w:tcBorders>
              <w:top w:val="single" w:sz="4" w:space="0" w:color="000000"/>
              <w:left w:val="single" w:sz="4" w:space="0" w:color="000000"/>
              <w:bottom w:val="single" w:sz="4" w:space="0" w:color="000000"/>
              <w:right w:val="single" w:sz="4" w:space="0" w:color="000000"/>
            </w:tcBorders>
          </w:tcPr>
          <w:p w14:paraId="10E47164" w14:textId="77777777" w:rsidR="00F65BCA" w:rsidRDefault="00216117">
            <w:pPr>
              <w:pStyle w:val="TableParagraph"/>
              <w:spacing w:before="1" w:line="69" w:lineRule="exact"/>
              <w:ind w:left="138"/>
              <w:rPr>
                <w:rFonts w:ascii="Calibri"/>
                <w:sz w:val="7"/>
              </w:rPr>
            </w:pPr>
            <w:r>
              <w:rPr>
                <w:rFonts w:ascii="Calibri"/>
                <w:w w:val="105"/>
                <w:sz w:val="7"/>
              </w:rPr>
              <w:t>FIAT</w:t>
            </w:r>
          </w:p>
        </w:tc>
        <w:tc>
          <w:tcPr>
            <w:tcW w:w="1065" w:type="dxa"/>
            <w:tcBorders>
              <w:top w:val="single" w:sz="4" w:space="0" w:color="000000"/>
              <w:left w:val="single" w:sz="4" w:space="0" w:color="000000"/>
              <w:bottom w:val="single" w:sz="4" w:space="0" w:color="000000"/>
              <w:right w:val="single" w:sz="4" w:space="0" w:color="000000"/>
            </w:tcBorders>
          </w:tcPr>
          <w:p w14:paraId="26DEBA68" w14:textId="77777777" w:rsidR="00F65BCA" w:rsidRDefault="00216117">
            <w:pPr>
              <w:pStyle w:val="TableParagraph"/>
              <w:spacing w:before="1" w:line="69" w:lineRule="exact"/>
              <w:ind w:left="74" w:right="55"/>
              <w:jc w:val="center"/>
              <w:rPr>
                <w:rFonts w:ascii="Calibri"/>
                <w:sz w:val="7"/>
              </w:rPr>
            </w:pPr>
            <w:r>
              <w:rPr>
                <w:rFonts w:ascii="Calibri"/>
                <w:w w:val="105"/>
                <w:sz w:val="7"/>
              </w:rPr>
              <w:t>DOBLO</w:t>
            </w:r>
          </w:p>
        </w:tc>
        <w:tc>
          <w:tcPr>
            <w:tcW w:w="815" w:type="dxa"/>
            <w:tcBorders>
              <w:top w:val="single" w:sz="4" w:space="0" w:color="000000"/>
              <w:left w:val="single" w:sz="4" w:space="0" w:color="000000"/>
              <w:bottom w:val="single" w:sz="4" w:space="0" w:color="000000"/>
              <w:right w:val="single" w:sz="4" w:space="0" w:color="000000"/>
            </w:tcBorders>
          </w:tcPr>
          <w:p w14:paraId="49A200A5" w14:textId="77777777" w:rsidR="00F65BCA" w:rsidRDefault="00216117">
            <w:pPr>
              <w:pStyle w:val="TableParagraph"/>
              <w:spacing w:before="1" w:line="69" w:lineRule="exact"/>
              <w:ind w:left="37" w:right="11"/>
              <w:jc w:val="center"/>
              <w:rPr>
                <w:rFonts w:ascii="Calibri" w:hAnsi="Calibri"/>
                <w:sz w:val="7"/>
              </w:rPr>
            </w:pPr>
            <w:r>
              <w:rPr>
                <w:rFonts w:ascii="Calibri" w:hAnsi="Calibri"/>
                <w:w w:val="105"/>
                <w:sz w:val="7"/>
              </w:rPr>
              <w:t>Užitkový</w:t>
            </w:r>
          </w:p>
        </w:tc>
        <w:tc>
          <w:tcPr>
            <w:tcW w:w="273" w:type="dxa"/>
            <w:tcBorders>
              <w:top w:val="single" w:sz="4" w:space="0" w:color="000000"/>
              <w:left w:val="single" w:sz="4" w:space="0" w:color="000000"/>
              <w:bottom w:val="single" w:sz="4" w:space="0" w:color="000000"/>
              <w:right w:val="single" w:sz="4" w:space="0" w:color="000000"/>
            </w:tcBorders>
          </w:tcPr>
          <w:p w14:paraId="66FFA41D" w14:textId="77777777" w:rsidR="00F65BCA" w:rsidRDefault="00216117">
            <w:pPr>
              <w:pStyle w:val="TableParagraph"/>
              <w:spacing w:before="1" w:line="69" w:lineRule="exact"/>
              <w:ind w:right="41"/>
              <w:jc w:val="right"/>
              <w:rPr>
                <w:rFonts w:ascii="Calibri"/>
                <w:sz w:val="7"/>
              </w:rPr>
            </w:pPr>
            <w:r>
              <w:rPr>
                <w:rFonts w:ascii="Calibri"/>
                <w:w w:val="105"/>
                <w:sz w:val="7"/>
              </w:rPr>
              <w:t>2007</w:t>
            </w:r>
          </w:p>
        </w:tc>
        <w:tc>
          <w:tcPr>
            <w:tcW w:w="278" w:type="dxa"/>
            <w:tcBorders>
              <w:top w:val="single" w:sz="4" w:space="0" w:color="000000"/>
              <w:left w:val="single" w:sz="4" w:space="0" w:color="000000"/>
              <w:bottom w:val="single" w:sz="4" w:space="0" w:color="000000"/>
              <w:right w:val="single" w:sz="4" w:space="0" w:color="000000"/>
            </w:tcBorders>
          </w:tcPr>
          <w:p w14:paraId="7847D522" w14:textId="77777777" w:rsidR="00F65BCA" w:rsidRDefault="00216117">
            <w:pPr>
              <w:pStyle w:val="TableParagraph"/>
              <w:spacing w:before="1" w:line="69" w:lineRule="exact"/>
              <w:ind w:left="28" w:right="2"/>
              <w:jc w:val="center"/>
              <w:rPr>
                <w:rFonts w:ascii="Calibri"/>
                <w:sz w:val="7"/>
              </w:rPr>
            </w:pPr>
            <w:r>
              <w:rPr>
                <w:rFonts w:ascii="Calibri"/>
                <w:w w:val="105"/>
                <w:sz w:val="7"/>
              </w:rPr>
              <w:t>1248</w:t>
            </w:r>
          </w:p>
        </w:tc>
        <w:tc>
          <w:tcPr>
            <w:tcW w:w="268" w:type="dxa"/>
            <w:tcBorders>
              <w:top w:val="single" w:sz="4" w:space="0" w:color="000000"/>
              <w:left w:val="single" w:sz="4" w:space="0" w:color="000000"/>
              <w:bottom w:val="single" w:sz="4" w:space="0" w:color="000000"/>
              <w:right w:val="single" w:sz="4" w:space="0" w:color="000000"/>
            </w:tcBorders>
          </w:tcPr>
          <w:p w14:paraId="76C86911" w14:textId="77777777" w:rsidR="00F65BCA" w:rsidRDefault="00216117">
            <w:pPr>
              <w:pStyle w:val="TableParagraph"/>
              <w:spacing w:before="1" w:line="69" w:lineRule="exact"/>
              <w:ind w:right="74"/>
              <w:jc w:val="right"/>
              <w:rPr>
                <w:rFonts w:ascii="Calibri"/>
                <w:sz w:val="7"/>
              </w:rPr>
            </w:pPr>
            <w:r>
              <w:rPr>
                <w:rFonts w:ascii="Calibri"/>
                <w:w w:val="105"/>
                <w:sz w:val="7"/>
              </w:rPr>
              <w:t>55</w:t>
            </w:r>
          </w:p>
        </w:tc>
        <w:tc>
          <w:tcPr>
            <w:tcW w:w="398" w:type="dxa"/>
            <w:tcBorders>
              <w:top w:val="single" w:sz="4" w:space="0" w:color="000000"/>
              <w:left w:val="single" w:sz="4" w:space="0" w:color="000000"/>
              <w:bottom w:val="single" w:sz="4" w:space="0" w:color="000000"/>
              <w:right w:val="single" w:sz="4" w:space="0" w:color="000000"/>
            </w:tcBorders>
          </w:tcPr>
          <w:p w14:paraId="0173AACA" w14:textId="77777777" w:rsidR="00F65BCA" w:rsidRDefault="00216117">
            <w:pPr>
              <w:pStyle w:val="TableParagraph"/>
              <w:spacing w:before="1" w:line="69" w:lineRule="exact"/>
              <w:ind w:left="28"/>
              <w:jc w:val="center"/>
              <w:rPr>
                <w:rFonts w:ascii="Calibri"/>
                <w:sz w:val="7"/>
              </w:rPr>
            </w:pPr>
            <w:r>
              <w:rPr>
                <w:rFonts w:ascii="Calibri"/>
                <w:w w:val="105"/>
                <w:sz w:val="7"/>
              </w:rPr>
              <w:t>2170</w:t>
            </w:r>
          </w:p>
        </w:tc>
        <w:tc>
          <w:tcPr>
            <w:tcW w:w="249" w:type="dxa"/>
            <w:tcBorders>
              <w:top w:val="single" w:sz="4" w:space="0" w:color="000000"/>
              <w:left w:val="single" w:sz="4" w:space="0" w:color="000000"/>
              <w:bottom w:val="single" w:sz="4" w:space="0" w:color="000000"/>
              <w:right w:val="single" w:sz="4" w:space="0" w:color="000000"/>
            </w:tcBorders>
          </w:tcPr>
          <w:p w14:paraId="4D6BB35D" w14:textId="77777777" w:rsidR="00F65BCA" w:rsidRDefault="00216117">
            <w:pPr>
              <w:pStyle w:val="TableParagraph"/>
              <w:spacing w:before="1" w:line="69" w:lineRule="exact"/>
              <w:ind w:right="82"/>
              <w:jc w:val="right"/>
              <w:rPr>
                <w:rFonts w:ascii="Calibri"/>
                <w:sz w:val="7"/>
              </w:rPr>
            </w:pPr>
            <w:r>
              <w:rPr>
                <w:rFonts w:ascii="Calibri"/>
                <w:w w:val="106"/>
                <w:sz w:val="7"/>
              </w:rPr>
              <w:t>2</w:t>
            </w:r>
          </w:p>
        </w:tc>
        <w:tc>
          <w:tcPr>
            <w:tcW w:w="311" w:type="dxa"/>
            <w:tcBorders>
              <w:top w:val="single" w:sz="4" w:space="0" w:color="000000"/>
              <w:left w:val="single" w:sz="4" w:space="0" w:color="000000"/>
              <w:bottom w:val="single" w:sz="4" w:space="0" w:color="000000"/>
              <w:right w:val="single" w:sz="4" w:space="0" w:color="000000"/>
            </w:tcBorders>
          </w:tcPr>
          <w:p w14:paraId="37CCE887" w14:textId="77777777" w:rsidR="00F65BCA" w:rsidRDefault="00216117">
            <w:pPr>
              <w:pStyle w:val="TableParagraph"/>
              <w:spacing w:before="1"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4B015E01"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0E8039D6" w14:textId="77777777" w:rsidR="00F65BCA" w:rsidRDefault="00216117">
            <w:pPr>
              <w:pStyle w:val="TableParagraph"/>
              <w:spacing w:before="1" w:line="69" w:lineRule="exact"/>
              <w:jc w:val="right"/>
              <w:rPr>
                <w:rFonts w:ascii="Calibri" w:hAnsi="Calibri"/>
                <w:sz w:val="7"/>
              </w:rPr>
            </w:pPr>
            <w:r>
              <w:rPr>
                <w:rFonts w:ascii="Calibri" w:hAnsi="Calibri"/>
                <w:w w:val="105"/>
                <w:sz w:val="7"/>
              </w:rPr>
              <w:t>120 000 Kč</w:t>
            </w:r>
          </w:p>
        </w:tc>
        <w:tc>
          <w:tcPr>
            <w:tcW w:w="278" w:type="dxa"/>
            <w:tcBorders>
              <w:top w:val="single" w:sz="4" w:space="0" w:color="000000"/>
              <w:left w:val="single" w:sz="4" w:space="0" w:color="000000"/>
              <w:bottom w:val="single" w:sz="4" w:space="0" w:color="000000"/>
              <w:right w:val="single" w:sz="4" w:space="0" w:color="000000"/>
            </w:tcBorders>
          </w:tcPr>
          <w:p w14:paraId="683788AD"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35834F0F"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097CAFBF"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12 000 Kč</w:t>
            </w:r>
          </w:p>
        </w:tc>
        <w:tc>
          <w:tcPr>
            <w:tcW w:w="398" w:type="dxa"/>
            <w:tcBorders>
              <w:top w:val="single" w:sz="4" w:space="0" w:color="000000"/>
              <w:left w:val="single" w:sz="4" w:space="0" w:color="000000"/>
              <w:bottom w:val="single" w:sz="4" w:space="0" w:color="000000"/>
              <w:right w:val="single" w:sz="4" w:space="0" w:color="000000"/>
            </w:tcBorders>
          </w:tcPr>
          <w:p w14:paraId="0F6ED5D5"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2A0DFCA2"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75A1ABCA"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56485586"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3005DA4F"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1 884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6B94E05D"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1 848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49703D8E" w14:textId="77777777" w:rsidR="00F65BCA" w:rsidRDefault="00216117">
            <w:pPr>
              <w:pStyle w:val="TableParagraph"/>
              <w:spacing w:before="4" w:line="67" w:lineRule="exact"/>
              <w:ind w:right="98"/>
              <w:jc w:val="right"/>
              <w:rPr>
                <w:rFonts w:ascii="Calibri" w:hAnsi="Calibri"/>
                <w:sz w:val="7"/>
              </w:rPr>
            </w:pPr>
            <w:r>
              <w:rPr>
                <w:rFonts w:ascii="Calibri" w:hAnsi="Calibri"/>
                <w:w w:val="105"/>
                <w:sz w:val="7"/>
              </w:rPr>
              <w:t>864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71F64E78"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204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112D424A"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1054CB8E" w14:textId="77777777" w:rsidR="00F65BCA" w:rsidRDefault="00216117">
            <w:pPr>
              <w:pStyle w:val="TableParagraph"/>
              <w:spacing w:before="4" w:line="67" w:lineRule="exact"/>
              <w:ind w:left="77" w:right="16"/>
              <w:jc w:val="center"/>
              <w:rPr>
                <w:rFonts w:ascii="Calibri" w:hAnsi="Calibri"/>
                <w:sz w:val="7"/>
              </w:rPr>
            </w:pPr>
            <w:r>
              <w:rPr>
                <w:rFonts w:ascii="Calibri" w:hAnsi="Calibri"/>
                <w:w w:val="105"/>
                <w:sz w:val="7"/>
              </w:rPr>
              <w:t>2 364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011C2AE"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64665A9C" w14:textId="77777777" w:rsidR="00F65BCA" w:rsidRDefault="00216117">
            <w:pPr>
              <w:pStyle w:val="TableParagraph"/>
              <w:spacing w:before="4" w:line="67" w:lineRule="exact"/>
              <w:ind w:left="130"/>
              <w:rPr>
                <w:rFonts w:ascii="Calibri" w:hAnsi="Calibri"/>
                <w:sz w:val="7"/>
              </w:rPr>
            </w:pPr>
            <w:r>
              <w:rPr>
                <w:rFonts w:ascii="Calibri" w:hAnsi="Calibri"/>
                <w:w w:val="105"/>
                <w:sz w:val="7"/>
              </w:rPr>
              <w:t>7 560 Kč</w:t>
            </w:r>
          </w:p>
        </w:tc>
      </w:tr>
      <w:tr w:rsidR="00F65BCA" w14:paraId="4A541586" w14:textId="77777777">
        <w:trPr>
          <w:trHeight w:val="90"/>
        </w:trPr>
        <w:tc>
          <w:tcPr>
            <w:tcW w:w="188" w:type="dxa"/>
            <w:tcBorders>
              <w:top w:val="single" w:sz="4" w:space="0" w:color="000000"/>
              <w:bottom w:val="single" w:sz="4" w:space="0" w:color="000000"/>
              <w:right w:val="single" w:sz="4" w:space="0" w:color="000000"/>
            </w:tcBorders>
          </w:tcPr>
          <w:p w14:paraId="665A653B" w14:textId="77777777" w:rsidR="00F65BCA" w:rsidRDefault="00216117">
            <w:pPr>
              <w:pStyle w:val="TableParagraph"/>
              <w:spacing w:before="4" w:line="67" w:lineRule="exact"/>
              <w:ind w:left="78"/>
              <w:rPr>
                <w:rFonts w:ascii="Calibri"/>
                <w:sz w:val="7"/>
              </w:rPr>
            </w:pPr>
            <w:r>
              <w:rPr>
                <w:rFonts w:ascii="Calibri"/>
                <w:w w:val="106"/>
                <w:sz w:val="7"/>
              </w:rPr>
              <w:t>9</w:t>
            </w:r>
          </w:p>
        </w:tc>
        <w:tc>
          <w:tcPr>
            <w:tcW w:w="398" w:type="dxa"/>
            <w:tcBorders>
              <w:top w:val="single" w:sz="4" w:space="0" w:color="000000"/>
              <w:left w:val="single" w:sz="4" w:space="0" w:color="000000"/>
              <w:bottom w:val="single" w:sz="4" w:space="0" w:color="000000"/>
              <w:right w:val="single" w:sz="4" w:space="0" w:color="000000"/>
            </w:tcBorders>
          </w:tcPr>
          <w:p w14:paraId="34EA6532"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1F39040F"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95D8592"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43DA0EE0"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1F79833D" w14:textId="77777777" w:rsidR="00F65BCA" w:rsidRDefault="00216117">
            <w:pPr>
              <w:pStyle w:val="TableParagraph"/>
              <w:spacing w:before="1" w:line="69" w:lineRule="exact"/>
              <w:ind w:left="70"/>
              <w:rPr>
                <w:rFonts w:ascii="Calibri"/>
                <w:sz w:val="7"/>
              </w:rPr>
            </w:pPr>
            <w:r>
              <w:rPr>
                <w:rFonts w:ascii="Calibri"/>
                <w:w w:val="105"/>
                <w:sz w:val="7"/>
              </w:rPr>
              <w:t>9P14108</w:t>
            </w:r>
          </w:p>
        </w:tc>
        <w:tc>
          <w:tcPr>
            <w:tcW w:w="398" w:type="dxa"/>
            <w:tcBorders>
              <w:top w:val="single" w:sz="4" w:space="0" w:color="000000"/>
              <w:left w:val="single" w:sz="4" w:space="0" w:color="000000"/>
              <w:bottom w:val="single" w:sz="4" w:space="0" w:color="000000"/>
              <w:right w:val="single" w:sz="4" w:space="0" w:color="000000"/>
            </w:tcBorders>
          </w:tcPr>
          <w:p w14:paraId="13AC892A" w14:textId="77777777" w:rsidR="00F65BCA" w:rsidRDefault="00216117">
            <w:pPr>
              <w:pStyle w:val="TableParagraph"/>
              <w:spacing w:before="1" w:line="69" w:lineRule="exact"/>
              <w:ind w:left="18"/>
              <w:jc w:val="center"/>
              <w:rPr>
                <w:rFonts w:ascii="Calibri"/>
                <w:sz w:val="7"/>
              </w:rPr>
            </w:pPr>
            <w:r>
              <w:rPr>
                <w:rFonts w:ascii="Calibri"/>
                <w:w w:val="105"/>
                <w:sz w:val="7"/>
              </w:rPr>
              <w:t>UN301146</w:t>
            </w:r>
          </w:p>
        </w:tc>
        <w:tc>
          <w:tcPr>
            <w:tcW w:w="792" w:type="dxa"/>
            <w:tcBorders>
              <w:top w:val="single" w:sz="4" w:space="0" w:color="000000"/>
              <w:left w:val="single" w:sz="4" w:space="0" w:color="000000"/>
              <w:bottom w:val="single" w:sz="4" w:space="0" w:color="000000"/>
              <w:right w:val="single" w:sz="4" w:space="0" w:color="000000"/>
            </w:tcBorders>
          </w:tcPr>
          <w:p w14:paraId="5D16C71B" w14:textId="77777777" w:rsidR="00F65BCA" w:rsidRDefault="00216117">
            <w:pPr>
              <w:pStyle w:val="TableParagraph"/>
              <w:spacing w:before="1" w:line="69" w:lineRule="exact"/>
              <w:ind w:left="57"/>
              <w:rPr>
                <w:rFonts w:ascii="Calibri"/>
                <w:sz w:val="7"/>
              </w:rPr>
            </w:pPr>
            <w:r>
              <w:rPr>
                <w:rFonts w:ascii="Calibri"/>
                <w:w w:val="105"/>
                <w:sz w:val="7"/>
              </w:rPr>
              <w:t>WF0YXXTTGYNR65684</w:t>
            </w:r>
          </w:p>
        </w:tc>
        <w:tc>
          <w:tcPr>
            <w:tcW w:w="398" w:type="dxa"/>
            <w:tcBorders>
              <w:top w:val="single" w:sz="4" w:space="0" w:color="000000"/>
              <w:left w:val="single" w:sz="4" w:space="0" w:color="000000"/>
              <w:bottom w:val="single" w:sz="4" w:space="0" w:color="000000"/>
              <w:right w:val="single" w:sz="4" w:space="0" w:color="000000"/>
            </w:tcBorders>
          </w:tcPr>
          <w:p w14:paraId="4DE12F26" w14:textId="77777777" w:rsidR="00F65BCA" w:rsidRDefault="00216117">
            <w:pPr>
              <w:pStyle w:val="TableParagraph"/>
              <w:spacing w:before="1" w:line="69" w:lineRule="exact"/>
              <w:ind w:left="119"/>
              <w:rPr>
                <w:rFonts w:ascii="Calibri"/>
                <w:sz w:val="7"/>
              </w:rPr>
            </w:pPr>
            <w:r>
              <w:rPr>
                <w:rFonts w:ascii="Calibri"/>
                <w:w w:val="105"/>
                <w:sz w:val="7"/>
              </w:rPr>
              <w:t>FORD</w:t>
            </w:r>
          </w:p>
        </w:tc>
        <w:tc>
          <w:tcPr>
            <w:tcW w:w="1065" w:type="dxa"/>
            <w:tcBorders>
              <w:top w:val="single" w:sz="4" w:space="0" w:color="000000"/>
              <w:left w:val="single" w:sz="4" w:space="0" w:color="000000"/>
              <w:bottom w:val="single" w:sz="4" w:space="0" w:color="000000"/>
              <w:right w:val="single" w:sz="4" w:space="0" w:color="000000"/>
            </w:tcBorders>
          </w:tcPr>
          <w:p w14:paraId="52DAA490" w14:textId="77777777" w:rsidR="00F65BCA" w:rsidRDefault="00216117">
            <w:pPr>
              <w:pStyle w:val="TableParagraph"/>
              <w:spacing w:before="1" w:line="69" w:lineRule="exact"/>
              <w:ind w:left="75" w:right="55"/>
              <w:jc w:val="center"/>
              <w:rPr>
                <w:rFonts w:ascii="Calibri"/>
                <w:sz w:val="7"/>
              </w:rPr>
            </w:pPr>
            <w:r>
              <w:rPr>
                <w:rFonts w:ascii="Calibri"/>
                <w:w w:val="105"/>
                <w:sz w:val="7"/>
              </w:rPr>
              <w:t>TRANSIT CUSTOM 280 DIESEL</w:t>
            </w:r>
          </w:p>
        </w:tc>
        <w:tc>
          <w:tcPr>
            <w:tcW w:w="815" w:type="dxa"/>
            <w:tcBorders>
              <w:top w:val="single" w:sz="4" w:space="0" w:color="000000"/>
              <w:left w:val="single" w:sz="4" w:space="0" w:color="000000"/>
              <w:bottom w:val="single" w:sz="4" w:space="0" w:color="000000"/>
              <w:right w:val="single" w:sz="4" w:space="0" w:color="000000"/>
            </w:tcBorders>
          </w:tcPr>
          <w:p w14:paraId="28E80766" w14:textId="77777777" w:rsidR="00F65BCA" w:rsidRDefault="00216117">
            <w:pPr>
              <w:pStyle w:val="TableParagraph"/>
              <w:spacing w:before="1" w:line="69" w:lineRule="exact"/>
              <w:ind w:left="37" w:right="11"/>
              <w:jc w:val="center"/>
              <w:rPr>
                <w:rFonts w:ascii="Calibri" w:hAnsi="Calibri"/>
                <w:sz w:val="7"/>
              </w:rPr>
            </w:pPr>
            <w:r>
              <w:rPr>
                <w:rFonts w:ascii="Calibri" w:hAnsi="Calibri"/>
                <w:w w:val="105"/>
                <w:sz w:val="7"/>
              </w:rPr>
              <w:t>Užitkový</w:t>
            </w:r>
          </w:p>
        </w:tc>
        <w:tc>
          <w:tcPr>
            <w:tcW w:w="273" w:type="dxa"/>
            <w:tcBorders>
              <w:top w:val="single" w:sz="4" w:space="0" w:color="000000"/>
              <w:left w:val="single" w:sz="4" w:space="0" w:color="000000"/>
              <w:bottom w:val="single" w:sz="4" w:space="0" w:color="000000"/>
              <w:right w:val="single" w:sz="4" w:space="0" w:color="000000"/>
            </w:tcBorders>
          </w:tcPr>
          <w:p w14:paraId="68709AC9" w14:textId="77777777" w:rsidR="00F65BCA" w:rsidRDefault="00216117">
            <w:pPr>
              <w:pStyle w:val="TableParagraph"/>
              <w:spacing w:before="1" w:line="69" w:lineRule="exact"/>
              <w:ind w:right="41"/>
              <w:jc w:val="right"/>
              <w:rPr>
                <w:rFonts w:ascii="Calibri"/>
                <w:sz w:val="7"/>
              </w:rPr>
            </w:pPr>
            <w:r>
              <w:rPr>
                <w:rFonts w:ascii="Calibri"/>
                <w:w w:val="105"/>
                <w:sz w:val="7"/>
              </w:rPr>
              <w:t>2023</w:t>
            </w:r>
          </w:p>
        </w:tc>
        <w:tc>
          <w:tcPr>
            <w:tcW w:w="278" w:type="dxa"/>
            <w:tcBorders>
              <w:top w:val="single" w:sz="4" w:space="0" w:color="000000"/>
              <w:left w:val="single" w:sz="4" w:space="0" w:color="000000"/>
              <w:bottom w:val="single" w:sz="4" w:space="0" w:color="000000"/>
              <w:right w:val="single" w:sz="4" w:space="0" w:color="000000"/>
            </w:tcBorders>
          </w:tcPr>
          <w:p w14:paraId="42EEFCD7" w14:textId="77777777" w:rsidR="00F65BCA" w:rsidRDefault="00216117">
            <w:pPr>
              <w:pStyle w:val="TableParagraph"/>
              <w:spacing w:before="1" w:line="69" w:lineRule="exact"/>
              <w:ind w:left="28" w:right="2"/>
              <w:jc w:val="center"/>
              <w:rPr>
                <w:rFonts w:ascii="Calibri"/>
                <w:sz w:val="7"/>
              </w:rPr>
            </w:pPr>
            <w:r>
              <w:rPr>
                <w:rFonts w:ascii="Calibri"/>
                <w:w w:val="105"/>
                <w:sz w:val="7"/>
              </w:rPr>
              <w:t>1995</w:t>
            </w:r>
          </w:p>
        </w:tc>
        <w:tc>
          <w:tcPr>
            <w:tcW w:w="268" w:type="dxa"/>
            <w:tcBorders>
              <w:top w:val="single" w:sz="4" w:space="0" w:color="000000"/>
              <w:left w:val="single" w:sz="4" w:space="0" w:color="000000"/>
              <w:bottom w:val="single" w:sz="4" w:space="0" w:color="000000"/>
              <w:right w:val="single" w:sz="4" w:space="0" w:color="000000"/>
            </w:tcBorders>
          </w:tcPr>
          <w:p w14:paraId="6566AC8E" w14:textId="77777777" w:rsidR="00F65BCA" w:rsidRDefault="00216117">
            <w:pPr>
              <w:pStyle w:val="TableParagraph"/>
              <w:spacing w:before="1" w:line="69" w:lineRule="exact"/>
              <w:ind w:right="74"/>
              <w:jc w:val="right"/>
              <w:rPr>
                <w:rFonts w:ascii="Calibri"/>
                <w:sz w:val="7"/>
              </w:rPr>
            </w:pPr>
            <w:r>
              <w:rPr>
                <w:rFonts w:ascii="Calibri"/>
                <w:w w:val="105"/>
                <w:sz w:val="7"/>
              </w:rPr>
              <w:t>95</w:t>
            </w:r>
          </w:p>
        </w:tc>
        <w:tc>
          <w:tcPr>
            <w:tcW w:w="398" w:type="dxa"/>
            <w:tcBorders>
              <w:top w:val="single" w:sz="4" w:space="0" w:color="000000"/>
              <w:left w:val="single" w:sz="4" w:space="0" w:color="000000"/>
              <w:bottom w:val="single" w:sz="4" w:space="0" w:color="000000"/>
              <w:right w:val="single" w:sz="4" w:space="0" w:color="000000"/>
            </w:tcBorders>
          </w:tcPr>
          <w:p w14:paraId="2EF6A55E" w14:textId="77777777" w:rsidR="00F65BCA" w:rsidRDefault="00216117">
            <w:pPr>
              <w:pStyle w:val="TableParagraph"/>
              <w:spacing w:before="1" w:line="69" w:lineRule="exact"/>
              <w:ind w:left="28"/>
              <w:jc w:val="center"/>
              <w:rPr>
                <w:rFonts w:ascii="Calibri"/>
                <w:sz w:val="7"/>
              </w:rPr>
            </w:pPr>
            <w:r>
              <w:rPr>
                <w:rFonts w:ascii="Calibri"/>
                <w:w w:val="105"/>
                <w:sz w:val="7"/>
              </w:rPr>
              <w:t>2800</w:t>
            </w:r>
          </w:p>
        </w:tc>
        <w:tc>
          <w:tcPr>
            <w:tcW w:w="249" w:type="dxa"/>
            <w:tcBorders>
              <w:top w:val="single" w:sz="4" w:space="0" w:color="000000"/>
              <w:left w:val="single" w:sz="4" w:space="0" w:color="000000"/>
              <w:bottom w:val="single" w:sz="4" w:space="0" w:color="000000"/>
              <w:right w:val="single" w:sz="4" w:space="0" w:color="000000"/>
            </w:tcBorders>
          </w:tcPr>
          <w:p w14:paraId="4732E290" w14:textId="77777777" w:rsidR="00F65BCA" w:rsidRDefault="00216117">
            <w:pPr>
              <w:pStyle w:val="TableParagraph"/>
              <w:spacing w:before="1" w:line="69" w:lineRule="exact"/>
              <w:ind w:right="82"/>
              <w:jc w:val="right"/>
              <w:rPr>
                <w:rFonts w:ascii="Calibri"/>
                <w:sz w:val="7"/>
              </w:rPr>
            </w:pPr>
            <w:r>
              <w:rPr>
                <w:rFonts w:ascii="Calibri"/>
                <w:w w:val="106"/>
                <w:sz w:val="7"/>
              </w:rPr>
              <w:t>3</w:t>
            </w:r>
          </w:p>
        </w:tc>
        <w:tc>
          <w:tcPr>
            <w:tcW w:w="311" w:type="dxa"/>
            <w:tcBorders>
              <w:top w:val="single" w:sz="4" w:space="0" w:color="000000"/>
              <w:left w:val="single" w:sz="4" w:space="0" w:color="000000"/>
              <w:bottom w:val="single" w:sz="4" w:space="0" w:color="000000"/>
              <w:right w:val="single" w:sz="4" w:space="0" w:color="000000"/>
            </w:tcBorders>
          </w:tcPr>
          <w:p w14:paraId="062A78DF" w14:textId="77777777" w:rsidR="00F65BCA" w:rsidRDefault="00216117">
            <w:pPr>
              <w:pStyle w:val="TableParagraph"/>
              <w:spacing w:before="1"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266BAC39"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0BBADCCE" w14:textId="77777777" w:rsidR="00F65BCA" w:rsidRDefault="00216117">
            <w:pPr>
              <w:pStyle w:val="TableParagraph"/>
              <w:spacing w:before="1" w:line="69" w:lineRule="exact"/>
              <w:jc w:val="right"/>
              <w:rPr>
                <w:rFonts w:ascii="Calibri" w:hAnsi="Calibri"/>
                <w:sz w:val="7"/>
              </w:rPr>
            </w:pPr>
            <w:r>
              <w:rPr>
                <w:rFonts w:ascii="Calibri" w:hAnsi="Calibri"/>
                <w:w w:val="105"/>
                <w:sz w:val="7"/>
              </w:rPr>
              <w:t>750 000 Kč</w:t>
            </w:r>
          </w:p>
        </w:tc>
        <w:tc>
          <w:tcPr>
            <w:tcW w:w="278" w:type="dxa"/>
            <w:tcBorders>
              <w:top w:val="single" w:sz="4" w:space="0" w:color="000000"/>
              <w:left w:val="single" w:sz="4" w:space="0" w:color="000000"/>
              <w:bottom w:val="single" w:sz="4" w:space="0" w:color="000000"/>
              <w:right w:val="single" w:sz="4" w:space="0" w:color="000000"/>
            </w:tcBorders>
          </w:tcPr>
          <w:p w14:paraId="1AB57300"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3E098843"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0EBD5433"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20 000 Kč</w:t>
            </w:r>
          </w:p>
        </w:tc>
        <w:tc>
          <w:tcPr>
            <w:tcW w:w="398" w:type="dxa"/>
            <w:tcBorders>
              <w:top w:val="single" w:sz="4" w:space="0" w:color="000000"/>
              <w:left w:val="single" w:sz="4" w:space="0" w:color="000000"/>
              <w:bottom w:val="single" w:sz="4" w:space="0" w:color="000000"/>
              <w:right w:val="single" w:sz="4" w:space="0" w:color="000000"/>
            </w:tcBorders>
          </w:tcPr>
          <w:p w14:paraId="1053E48C"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7D73954A"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56332E32"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048006D0"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3E921A73"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2 652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060D9329"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6 300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51D33627" w14:textId="77777777" w:rsidR="00F65BCA" w:rsidRDefault="00216117">
            <w:pPr>
              <w:pStyle w:val="TableParagraph"/>
              <w:spacing w:before="4" w:line="67" w:lineRule="exact"/>
              <w:ind w:right="70"/>
              <w:jc w:val="right"/>
              <w:rPr>
                <w:rFonts w:ascii="Calibri" w:hAnsi="Calibri"/>
                <w:sz w:val="7"/>
              </w:rPr>
            </w:pPr>
            <w:r>
              <w:rPr>
                <w:rFonts w:ascii="Calibri" w:hAnsi="Calibri"/>
                <w:w w:val="105"/>
                <w:sz w:val="7"/>
              </w:rPr>
              <w:t>1 896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2ED16118"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312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318690EA"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12722785" w14:textId="77777777" w:rsidR="00F65BCA" w:rsidRDefault="00216117">
            <w:pPr>
              <w:pStyle w:val="TableParagraph"/>
              <w:spacing w:before="4" w:line="67" w:lineRule="exact"/>
              <w:ind w:left="78" w:right="16"/>
              <w:jc w:val="center"/>
              <w:rPr>
                <w:rFonts w:ascii="Calibri" w:hAnsi="Calibri"/>
                <w:sz w:val="7"/>
              </w:rPr>
            </w:pPr>
            <w:r>
              <w:rPr>
                <w:rFonts w:ascii="Calibri" w:hAnsi="Calibri"/>
                <w:w w:val="105"/>
                <w:sz w:val="7"/>
              </w:rPr>
              <w:t>2 148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4062C9DF"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28E73E77" w14:textId="77777777" w:rsidR="00F65BCA" w:rsidRDefault="00216117">
            <w:pPr>
              <w:pStyle w:val="TableParagraph"/>
              <w:spacing w:before="4" w:line="67" w:lineRule="exact"/>
              <w:ind w:left="111"/>
              <w:rPr>
                <w:rFonts w:ascii="Calibri" w:hAnsi="Calibri"/>
                <w:sz w:val="7"/>
              </w:rPr>
            </w:pPr>
            <w:r>
              <w:rPr>
                <w:rFonts w:ascii="Calibri" w:hAnsi="Calibri"/>
                <w:w w:val="105"/>
                <w:sz w:val="7"/>
              </w:rPr>
              <w:t>13 704 Kč</w:t>
            </w:r>
          </w:p>
        </w:tc>
      </w:tr>
      <w:tr w:rsidR="00F65BCA" w14:paraId="22828AD7" w14:textId="77777777">
        <w:trPr>
          <w:trHeight w:val="191"/>
        </w:trPr>
        <w:tc>
          <w:tcPr>
            <w:tcW w:w="188" w:type="dxa"/>
            <w:tcBorders>
              <w:top w:val="single" w:sz="4" w:space="0" w:color="000000"/>
              <w:bottom w:val="single" w:sz="4" w:space="0" w:color="000000"/>
              <w:right w:val="single" w:sz="4" w:space="0" w:color="000000"/>
            </w:tcBorders>
          </w:tcPr>
          <w:p w14:paraId="16CA9BA9" w14:textId="77777777" w:rsidR="00F65BCA" w:rsidRDefault="00F65BCA">
            <w:pPr>
              <w:pStyle w:val="TableParagraph"/>
              <w:spacing w:before="7"/>
              <w:rPr>
                <w:rFonts w:ascii="Calibri"/>
                <w:b/>
                <w:sz w:val="8"/>
              </w:rPr>
            </w:pPr>
          </w:p>
          <w:p w14:paraId="75C25E09" w14:textId="77777777" w:rsidR="00F65BCA" w:rsidRDefault="00216117">
            <w:pPr>
              <w:pStyle w:val="TableParagraph"/>
              <w:spacing w:line="67" w:lineRule="exact"/>
              <w:ind w:left="59"/>
              <w:rPr>
                <w:rFonts w:ascii="Calibri"/>
                <w:sz w:val="7"/>
              </w:rPr>
            </w:pPr>
            <w:r>
              <w:rPr>
                <w:rFonts w:ascii="Calibri"/>
                <w:w w:val="105"/>
                <w:sz w:val="7"/>
              </w:rPr>
              <w:t>10</w:t>
            </w:r>
          </w:p>
        </w:tc>
        <w:tc>
          <w:tcPr>
            <w:tcW w:w="398" w:type="dxa"/>
            <w:tcBorders>
              <w:top w:val="single" w:sz="4" w:space="0" w:color="000000"/>
              <w:left w:val="single" w:sz="4" w:space="0" w:color="000000"/>
              <w:bottom w:val="single" w:sz="4" w:space="0" w:color="000000"/>
              <w:right w:val="single" w:sz="4" w:space="0" w:color="000000"/>
            </w:tcBorders>
          </w:tcPr>
          <w:p w14:paraId="3C9E6F96" w14:textId="77777777" w:rsidR="00F65BCA" w:rsidRDefault="00F65BCA">
            <w:pPr>
              <w:pStyle w:val="TableParagraph"/>
              <w:spacing w:before="4"/>
              <w:rPr>
                <w:rFonts w:ascii="Calibri"/>
                <w:b/>
                <w:sz w:val="8"/>
              </w:rPr>
            </w:pPr>
          </w:p>
          <w:p w14:paraId="252BB21F" w14:textId="77777777" w:rsidR="00F65BCA" w:rsidRDefault="00216117">
            <w:pPr>
              <w:pStyle w:val="TableParagraph"/>
              <w:spacing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185D26EE" w14:textId="77777777" w:rsidR="00F65BCA" w:rsidRDefault="00F65BCA">
            <w:pPr>
              <w:pStyle w:val="TableParagraph"/>
              <w:spacing w:before="4"/>
              <w:rPr>
                <w:rFonts w:ascii="Calibri"/>
                <w:b/>
                <w:sz w:val="8"/>
              </w:rPr>
            </w:pPr>
          </w:p>
          <w:p w14:paraId="48AB3FDE" w14:textId="77777777" w:rsidR="00F65BCA" w:rsidRDefault="00216117">
            <w:pPr>
              <w:pStyle w:val="TableParagraph"/>
              <w:spacing w:line="69" w:lineRule="exact"/>
              <w:ind w:left="70" w:right="44"/>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CBE0575" w14:textId="77777777" w:rsidR="00F65BCA" w:rsidRDefault="00F65BCA">
            <w:pPr>
              <w:pStyle w:val="TableParagraph"/>
              <w:spacing w:before="4"/>
              <w:rPr>
                <w:rFonts w:ascii="Calibri"/>
                <w:b/>
                <w:sz w:val="8"/>
              </w:rPr>
            </w:pPr>
          </w:p>
          <w:p w14:paraId="50E4433A" w14:textId="77777777" w:rsidR="00F65BCA" w:rsidRDefault="00216117">
            <w:pPr>
              <w:pStyle w:val="TableParagraph"/>
              <w:spacing w:line="69" w:lineRule="exact"/>
              <w:ind w:right="34"/>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5FF3ED4C" w14:textId="77777777" w:rsidR="00F65BCA" w:rsidRDefault="00F65BCA">
            <w:pPr>
              <w:pStyle w:val="TableParagraph"/>
              <w:spacing w:before="4"/>
              <w:rPr>
                <w:rFonts w:ascii="Calibri"/>
                <w:b/>
                <w:sz w:val="8"/>
              </w:rPr>
            </w:pPr>
          </w:p>
          <w:p w14:paraId="2BE365A9" w14:textId="77777777" w:rsidR="00F65BCA" w:rsidRDefault="00216117">
            <w:pPr>
              <w:pStyle w:val="TableParagraph"/>
              <w:spacing w:line="69" w:lineRule="exact"/>
              <w:ind w:left="70"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DBFD132" w14:textId="77777777" w:rsidR="00F65BCA" w:rsidRDefault="00F65BCA">
            <w:pPr>
              <w:pStyle w:val="TableParagraph"/>
              <w:spacing w:before="4"/>
              <w:rPr>
                <w:rFonts w:ascii="Calibri"/>
                <w:b/>
                <w:sz w:val="8"/>
              </w:rPr>
            </w:pPr>
          </w:p>
          <w:p w14:paraId="52C94BF8" w14:textId="77777777" w:rsidR="00F65BCA" w:rsidRDefault="00216117">
            <w:pPr>
              <w:pStyle w:val="TableParagraph"/>
              <w:spacing w:line="69" w:lineRule="exact"/>
              <w:ind w:left="69"/>
              <w:rPr>
                <w:rFonts w:ascii="Calibri"/>
                <w:sz w:val="7"/>
              </w:rPr>
            </w:pPr>
            <w:r>
              <w:rPr>
                <w:rFonts w:ascii="Calibri"/>
                <w:w w:val="105"/>
                <w:sz w:val="7"/>
              </w:rPr>
              <w:t>P002789</w:t>
            </w:r>
          </w:p>
        </w:tc>
        <w:tc>
          <w:tcPr>
            <w:tcW w:w="398" w:type="dxa"/>
            <w:tcBorders>
              <w:top w:val="single" w:sz="4" w:space="0" w:color="000000"/>
              <w:left w:val="single" w:sz="4" w:space="0" w:color="000000"/>
              <w:bottom w:val="single" w:sz="4" w:space="0" w:color="000000"/>
              <w:right w:val="single" w:sz="4" w:space="0" w:color="000000"/>
            </w:tcBorders>
          </w:tcPr>
          <w:p w14:paraId="0F745D03" w14:textId="77777777" w:rsidR="00F65BCA" w:rsidRDefault="00F65BCA">
            <w:pPr>
              <w:pStyle w:val="TableParagraph"/>
              <w:spacing w:before="4"/>
              <w:rPr>
                <w:rFonts w:ascii="Calibri"/>
                <w:b/>
                <w:sz w:val="8"/>
              </w:rPr>
            </w:pPr>
          </w:p>
          <w:p w14:paraId="7E20EF7D" w14:textId="77777777" w:rsidR="00F65BCA" w:rsidRDefault="00216117">
            <w:pPr>
              <w:pStyle w:val="TableParagraph"/>
              <w:spacing w:line="69" w:lineRule="exact"/>
              <w:ind w:left="12"/>
              <w:jc w:val="center"/>
              <w:rPr>
                <w:rFonts w:ascii="Calibri"/>
                <w:sz w:val="7"/>
              </w:rPr>
            </w:pPr>
            <w:r>
              <w:rPr>
                <w:rFonts w:ascii="Calibri"/>
                <w:w w:val="105"/>
                <w:sz w:val="7"/>
              </w:rPr>
              <w:t>ZA282019</w:t>
            </w:r>
          </w:p>
        </w:tc>
        <w:tc>
          <w:tcPr>
            <w:tcW w:w="792" w:type="dxa"/>
            <w:tcBorders>
              <w:top w:val="single" w:sz="4" w:space="0" w:color="000000"/>
              <w:left w:val="single" w:sz="4" w:space="0" w:color="000000"/>
              <w:bottom w:val="single" w:sz="4" w:space="0" w:color="000000"/>
              <w:right w:val="single" w:sz="4" w:space="0" w:color="000000"/>
            </w:tcBorders>
          </w:tcPr>
          <w:p w14:paraId="50907F7A" w14:textId="77777777" w:rsidR="00F65BCA" w:rsidRDefault="00F65BCA">
            <w:pPr>
              <w:pStyle w:val="TableParagraph"/>
              <w:spacing w:before="4"/>
              <w:rPr>
                <w:rFonts w:ascii="Calibri"/>
                <w:b/>
                <w:sz w:val="8"/>
              </w:rPr>
            </w:pPr>
          </w:p>
          <w:p w14:paraId="527748E8" w14:textId="77777777" w:rsidR="00F65BCA" w:rsidRDefault="00216117">
            <w:pPr>
              <w:pStyle w:val="TableParagraph"/>
              <w:spacing w:line="69" w:lineRule="exact"/>
              <w:ind w:left="74"/>
              <w:rPr>
                <w:rFonts w:ascii="Calibri"/>
                <w:sz w:val="7"/>
              </w:rPr>
            </w:pPr>
            <w:r>
              <w:rPr>
                <w:rFonts w:ascii="Calibri"/>
                <w:w w:val="105"/>
                <w:sz w:val="7"/>
              </w:rPr>
              <w:t>JCB3CX12TH2495834</w:t>
            </w:r>
          </w:p>
        </w:tc>
        <w:tc>
          <w:tcPr>
            <w:tcW w:w="398" w:type="dxa"/>
            <w:tcBorders>
              <w:top w:val="single" w:sz="4" w:space="0" w:color="000000"/>
              <w:left w:val="single" w:sz="4" w:space="0" w:color="000000"/>
              <w:bottom w:val="single" w:sz="4" w:space="0" w:color="000000"/>
              <w:right w:val="single" w:sz="4" w:space="0" w:color="000000"/>
            </w:tcBorders>
          </w:tcPr>
          <w:p w14:paraId="4534C11A" w14:textId="77777777" w:rsidR="00F65BCA" w:rsidRDefault="00F65BCA">
            <w:pPr>
              <w:pStyle w:val="TableParagraph"/>
              <w:spacing w:before="4"/>
              <w:rPr>
                <w:rFonts w:ascii="Calibri"/>
                <w:b/>
                <w:sz w:val="8"/>
              </w:rPr>
            </w:pPr>
          </w:p>
          <w:p w14:paraId="13E0CD9A" w14:textId="77777777" w:rsidR="00F65BCA" w:rsidRDefault="00216117">
            <w:pPr>
              <w:pStyle w:val="TableParagraph"/>
              <w:spacing w:line="69" w:lineRule="exact"/>
              <w:ind w:left="19"/>
              <w:jc w:val="center"/>
              <w:rPr>
                <w:rFonts w:ascii="Calibri"/>
                <w:sz w:val="7"/>
              </w:rPr>
            </w:pPr>
            <w:r>
              <w:rPr>
                <w:rFonts w:ascii="Calibri"/>
                <w:w w:val="105"/>
                <w:sz w:val="7"/>
              </w:rPr>
              <w:t>JCB</w:t>
            </w:r>
          </w:p>
        </w:tc>
        <w:tc>
          <w:tcPr>
            <w:tcW w:w="1065" w:type="dxa"/>
            <w:tcBorders>
              <w:top w:val="single" w:sz="4" w:space="0" w:color="000000"/>
              <w:left w:val="single" w:sz="4" w:space="0" w:color="000000"/>
              <w:bottom w:val="single" w:sz="4" w:space="0" w:color="000000"/>
              <w:right w:val="single" w:sz="4" w:space="0" w:color="000000"/>
            </w:tcBorders>
          </w:tcPr>
          <w:p w14:paraId="323C478A" w14:textId="77777777" w:rsidR="00F65BCA" w:rsidRDefault="00F65BCA">
            <w:pPr>
              <w:pStyle w:val="TableParagraph"/>
              <w:spacing w:before="4"/>
              <w:rPr>
                <w:rFonts w:ascii="Calibri"/>
                <w:b/>
                <w:sz w:val="8"/>
              </w:rPr>
            </w:pPr>
          </w:p>
          <w:p w14:paraId="4D91549F" w14:textId="77777777" w:rsidR="00F65BCA" w:rsidRDefault="00216117">
            <w:pPr>
              <w:pStyle w:val="TableParagraph"/>
              <w:spacing w:line="69" w:lineRule="exact"/>
              <w:ind w:left="69" w:right="55"/>
              <w:jc w:val="center"/>
              <w:rPr>
                <w:rFonts w:ascii="Calibri"/>
                <w:sz w:val="7"/>
              </w:rPr>
            </w:pPr>
            <w:r>
              <w:rPr>
                <w:rFonts w:ascii="Calibri"/>
                <w:w w:val="105"/>
                <w:sz w:val="7"/>
              </w:rPr>
              <w:t>3CX COMPACT</w:t>
            </w:r>
          </w:p>
        </w:tc>
        <w:tc>
          <w:tcPr>
            <w:tcW w:w="815" w:type="dxa"/>
            <w:tcBorders>
              <w:top w:val="single" w:sz="4" w:space="0" w:color="000000"/>
              <w:left w:val="single" w:sz="4" w:space="0" w:color="000000"/>
              <w:bottom w:val="single" w:sz="4" w:space="0" w:color="000000"/>
              <w:right w:val="single" w:sz="4" w:space="0" w:color="000000"/>
            </w:tcBorders>
          </w:tcPr>
          <w:p w14:paraId="5B682948" w14:textId="77777777" w:rsidR="00F65BCA" w:rsidRDefault="00216117">
            <w:pPr>
              <w:pStyle w:val="TableParagraph"/>
              <w:spacing w:before="4"/>
              <w:ind w:left="42" w:right="11"/>
              <w:jc w:val="center"/>
              <w:rPr>
                <w:rFonts w:ascii="Calibri" w:hAnsi="Calibri"/>
                <w:sz w:val="7"/>
              </w:rPr>
            </w:pPr>
            <w:r>
              <w:rPr>
                <w:rFonts w:ascii="Calibri" w:hAnsi="Calibri"/>
                <w:w w:val="105"/>
                <w:sz w:val="7"/>
              </w:rPr>
              <w:t>Pracovní stroje (rypadlo</w:t>
            </w:r>
          </w:p>
          <w:p w14:paraId="4604A0F9" w14:textId="77777777" w:rsidR="00F65BCA" w:rsidRDefault="00216117">
            <w:pPr>
              <w:pStyle w:val="TableParagraph"/>
              <w:spacing w:before="13" w:line="69" w:lineRule="exact"/>
              <w:ind w:left="39" w:right="11"/>
              <w:jc w:val="center"/>
              <w:rPr>
                <w:rFonts w:ascii="Calibri" w:hAnsi="Calibri"/>
                <w:sz w:val="7"/>
              </w:rPr>
            </w:pPr>
            <w:r>
              <w:rPr>
                <w:rFonts w:ascii="Calibri" w:hAnsi="Calibri"/>
                <w:w w:val="105"/>
                <w:sz w:val="7"/>
              </w:rPr>
              <w:t>kolové)</w:t>
            </w:r>
          </w:p>
        </w:tc>
        <w:tc>
          <w:tcPr>
            <w:tcW w:w="273" w:type="dxa"/>
            <w:tcBorders>
              <w:top w:val="single" w:sz="4" w:space="0" w:color="000000"/>
              <w:left w:val="single" w:sz="4" w:space="0" w:color="000000"/>
              <w:bottom w:val="single" w:sz="4" w:space="0" w:color="000000"/>
              <w:right w:val="single" w:sz="4" w:space="0" w:color="000000"/>
            </w:tcBorders>
          </w:tcPr>
          <w:p w14:paraId="3AA046ED" w14:textId="77777777" w:rsidR="00F65BCA" w:rsidRDefault="00F65BCA">
            <w:pPr>
              <w:pStyle w:val="TableParagraph"/>
              <w:spacing w:before="4"/>
              <w:rPr>
                <w:rFonts w:ascii="Calibri"/>
                <w:b/>
                <w:sz w:val="8"/>
              </w:rPr>
            </w:pPr>
          </w:p>
          <w:p w14:paraId="31CDBD1A" w14:textId="77777777" w:rsidR="00F65BCA" w:rsidRDefault="00216117">
            <w:pPr>
              <w:pStyle w:val="TableParagraph"/>
              <w:spacing w:line="69" w:lineRule="exact"/>
              <w:ind w:right="41"/>
              <w:jc w:val="right"/>
              <w:rPr>
                <w:rFonts w:ascii="Calibri"/>
                <w:sz w:val="7"/>
              </w:rPr>
            </w:pPr>
            <w:r>
              <w:rPr>
                <w:rFonts w:ascii="Calibri"/>
                <w:w w:val="105"/>
                <w:sz w:val="7"/>
              </w:rPr>
              <w:t>2018</w:t>
            </w:r>
          </w:p>
        </w:tc>
        <w:tc>
          <w:tcPr>
            <w:tcW w:w="278" w:type="dxa"/>
            <w:tcBorders>
              <w:top w:val="single" w:sz="4" w:space="0" w:color="000000"/>
              <w:left w:val="single" w:sz="4" w:space="0" w:color="000000"/>
              <w:bottom w:val="single" w:sz="4" w:space="0" w:color="000000"/>
              <w:right w:val="single" w:sz="4" w:space="0" w:color="000000"/>
            </w:tcBorders>
          </w:tcPr>
          <w:p w14:paraId="3CDC6177" w14:textId="77777777" w:rsidR="00F65BCA" w:rsidRDefault="00F65BCA">
            <w:pPr>
              <w:pStyle w:val="TableParagraph"/>
              <w:spacing w:before="4"/>
              <w:rPr>
                <w:rFonts w:ascii="Calibri"/>
                <w:b/>
                <w:sz w:val="8"/>
              </w:rPr>
            </w:pPr>
          </w:p>
          <w:p w14:paraId="6D93F5F5" w14:textId="77777777" w:rsidR="00F65BCA" w:rsidRDefault="00216117">
            <w:pPr>
              <w:pStyle w:val="TableParagraph"/>
              <w:spacing w:line="69" w:lineRule="exact"/>
              <w:ind w:left="28" w:right="2"/>
              <w:jc w:val="center"/>
              <w:rPr>
                <w:rFonts w:ascii="Calibri"/>
                <w:sz w:val="7"/>
              </w:rPr>
            </w:pPr>
            <w:r>
              <w:rPr>
                <w:rFonts w:ascii="Calibri"/>
                <w:w w:val="105"/>
                <w:sz w:val="7"/>
              </w:rPr>
              <w:t>2482</w:t>
            </w:r>
          </w:p>
        </w:tc>
        <w:tc>
          <w:tcPr>
            <w:tcW w:w="268" w:type="dxa"/>
            <w:tcBorders>
              <w:top w:val="single" w:sz="4" w:space="0" w:color="000000"/>
              <w:left w:val="single" w:sz="4" w:space="0" w:color="000000"/>
              <w:bottom w:val="single" w:sz="4" w:space="0" w:color="000000"/>
              <w:right w:val="single" w:sz="4" w:space="0" w:color="000000"/>
            </w:tcBorders>
          </w:tcPr>
          <w:p w14:paraId="604FAF23" w14:textId="77777777" w:rsidR="00F65BCA" w:rsidRDefault="00F65BCA">
            <w:pPr>
              <w:pStyle w:val="TableParagraph"/>
              <w:spacing w:before="4"/>
              <w:rPr>
                <w:rFonts w:ascii="Calibri"/>
                <w:b/>
                <w:sz w:val="8"/>
              </w:rPr>
            </w:pPr>
          </w:p>
          <w:p w14:paraId="6BFECAB9" w14:textId="77777777" w:rsidR="00F65BCA" w:rsidRDefault="00216117">
            <w:pPr>
              <w:pStyle w:val="TableParagraph"/>
              <w:spacing w:line="69" w:lineRule="exact"/>
              <w:ind w:right="74"/>
              <w:jc w:val="right"/>
              <w:rPr>
                <w:rFonts w:ascii="Calibri"/>
                <w:sz w:val="7"/>
              </w:rPr>
            </w:pPr>
            <w:r>
              <w:rPr>
                <w:rFonts w:ascii="Calibri"/>
                <w:w w:val="105"/>
                <w:sz w:val="7"/>
              </w:rPr>
              <w:t>54</w:t>
            </w:r>
          </w:p>
        </w:tc>
        <w:tc>
          <w:tcPr>
            <w:tcW w:w="398" w:type="dxa"/>
            <w:tcBorders>
              <w:top w:val="single" w:sz="4" w:space="0" w:color="000000"/>
              <w:left w:val="single" w:sz="4" w:space="0" w:color="000000"/>
              <w:bottom w:val="single" w:sz="4" w:space="0" w:color="000000"/>
              <w:right w:val="single" w:sz="4" w:space="0" w:color="000000"/>
            </w:tcBorders>
          </w:tcPr>
          <w:p w14:paraId="28B40276" w14:textId="77777777" w:rsidR="00F65BCA" w:rsidRDefault="00F65BCA">
            <w:pPr>
              <w:pStyle w:val="TableParagraph"/>
              <w:spacing w:before="4"/>
              <w:rPr>
                <w:rFonts w:ascii="Calibri"/>
                <w:b/>
                <w:sz w:val="8"/>
              </w:rPr>
            </w:pPr>
          </w:p>
          <w:p w14:paraId="1CCF2809" w14:textId="77777777" w:rsidR="00F65BCA" w:rsidRDefault="00216117">
            <w:pPr>
              <w:pStyle w:val="TableParagraph"/>
              <w:spacing w:line="69" w:lineRule="exact"/>
              <w:ind w:left="29"/>
              <w:jc w:val="center"/>
              <w:rPr>
                <w:rFonts w:ascii="Calibri"/>
                <w:sz w:val="7"/>
              </w:rPr>
            </w:pPr>
            <w:r>
              <w:rPr>
                <w:rFonts w:ascii="Calibri"/>
                <w:w w:val="105"/>
                <w:sz w:val="7"/>
              </w:rPr>
              <w:t>6500</w:t>
            </w:r>
          </w:p>
        </w:tc>
        <w:tc>
          <w:tcPr>
            <w:tcW w:w="249" w:type="dxa"/>
            <w:tcBorders>
              <w:top w:val="single" w:sz="4" w:space="0" w:color="000000"/>
              <w:left w:val="single" w:sz="4" w:space="0" w:color="000000"/>
              <w:bottom w:val="single" w:sz="4" w:space="0" w:color="000000"/>
              <w:right w:val="single" w:sz="4" w:space="0" w:color="000000"/>
            </w:tcBorders>
          </w:tcPr>
          <w:p w14:paraId="523F9977" w14:textId="77777777" w:rsidR="00F65BCA" w:rsidRDefault="00F65BCA">
            <w:pPr>
              <w:pStyle w:val="TableParagraph"/>
              <w:spacing w:before="4"/>
              <w:rPr>
                <w:rFonts w:ascii="Calibri"/>
                <w:b/>
                <w:sz w:val="8"/>
              </w:rPr>
            </w:pPr>
          </w:p>
          <w:p w14:paraId="6CEF4CE9" w14:textId="77777777" w:rsidR="00F65BCA" w:rsidRDefault="00216117">
            <w:pPr>
              <w:pStyle w:val="TableParagraph"/>
              <w:spacing w:line="69" w:lineRule="exact"/>
              <w:ind w:right="82"/>
              <w:jc w:val="right"/>
              <w:rPr>
                <w:rFonts w:ascii="Calibri"/>
                <w:sz w:val="7"/>
              </w:rPr>
            </w:pPr>
            <w:r>
              <w:rPr>
                <w:rFonts w:ascii="Calibri"/>
                <w:w w:val="106"/>
                <w:sz w:val="7"/>
              </w:rPr>
              <w:t>1</w:t>
            </w:r>
          </w:p>
        </w:tc>
        <w:tc>
          <w:tcPr>
            <w:tcW w:w="311" w:type="dxa"/>
            <w:tcBorders>
              <w:top w:val="single" w:sz="4" w:space="0" w:color="000000"/>
              <w:left w:val="single" w:sz="4" w:space="0" w:color="000000"/>
              <w:bottom w:val="single" w:sz="4" w:space="0" w:color="000000"/>
              <w:right w:val="single" w:sz="4" w:space="0" w:color="000000"/>
            </w:tcBorders>
          </w:tcPr>
          <w:p w14:paraId="336668F4" w14:textId="77777777" w:rsidR="00F65BCA" w:rsidRDefault="00F65BCA">
            <w:pPr>
              <w:pStyle w:val="TableParagraph"/>
              <w:spacing w:before="4"/>
              <w:rPr>
                <w:rFonts w:ascii="Calibri"/>
                <w:b/>
                <w:sz w:val="8"/>
              </w:rPr>
            </w:pPr>
          </w:p>
          <w:p w14:paraId="7AD5181A" w14:textId="77777777" w:rsidR="00F65BCA" w:rsidRDefault="00216117">
            <w:pPr>
              <w:pStyle w:val="TableParagraph"/>
              <w:spacing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5C0A97E0" w14:textId="77777777" w:rsidR="00F65BCA" w:rsidRDefault="00F65BCA">
            <w:pPr>
              <w:pStyle w:val="TableParagraph"/>
              <w:spacing w:before="4"/>
              <w:rPr>
                <w:rFonts w:ascii="Calibri"/>
                <w:b/>
                <w:sz w:val="8"/>
              </w:rPr>
            </w:pPr>
          </w:p>
          <w:p w14:paraId="1D716516" w14:textId="77777777" w:rsidR="00F65BCA" w:rsidRDefault="00216117">
            <w:pPr>
              <w:pStyle w:val="TableParagraph"/>
              <w:spacing w:line="69" w:lineRule="exact"/>
              <w:ind w:left="48" w:right="13"/>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223FC85F" w14:textId="77777777" w:rsidR="00F65BCA" w:rsidRDefault="00F65BCA">
            <w:pPr>
              <w:pStyle w:val="TableParagraph"/>
              <w:spacing w:before="4"/>
              <w:rPr>
                <w:rFonts w:ascii="Calibri"/>
                <w:b/>
                <w:sz w:val="8"/>
              </w:rPr>
            </w:pPr>
          </w:p>
          <w:p w14:paraId="03F6B404" w14:textId="77777777" w:rsidR="00F65BCA" w:rsidRDefault="00216117">
            <w:pPr>
              <w:pStyle w:val="TableParagraph"/>
              <w:spacing w:line="69" w:lineRule="exact"/>
              <w:ind w:right="5"/>
              <w:jc w:val="right"/>
              <w:rPr>
                <w:rFonts w:ascii="Calibri" w:hAnsi="Calibri"/>
                <w:sz w:val="7"/>
              </w:rPr>
            </w:pPr>
            <w:r>
              <w:rPr>
                <w:rFonts w:ascii="Calibri" w:hAnsi="Calibri"/>
                <w:w w:val="105"/>
                <w:sz w:val="7"/>
              </w:rPr>
              <w:t>2 100 000 Kč</w:t>
            </w:r>
          </w:p>
        </w:tc>
        <w:tc>
          <w:tcPr>
            <w:tcW w:w="278" w:type="dxa"/>
            <w:tcBorders>
              <w:top w:val="single" w:sz="4" w:space="0" w:color="000000"/>
              <w:left w:val="single" w:sz="4" w:space="0" w:color="000000"/>
              <w:bottom w:val="single" w:sz="4" w:space="0" w:color="000000"/>
              <w:right w:val="single" w:sz="4" w:space="0" w:color="000000"/>
            </w:tcBorders>
          </w:tcPr>
          <w:p w14:paraId="2A64A637" w14:textId="77777777" w:rsidR="00F65BCA" w:rsidRDefault="00F65BCA">
            <w:pPr>
              <w:pStyle w:val="TableParagraph"/>
              <w:spacing w:before="4"/>
              <w:rPr>
                <w:rFonts w:ascii="Calibri"/>
                <w:b/>
                <w:sz w:val="8"/>
              </w:rPr>
            </w:pPr>
          </w:p>
          <w:p w14:paraId="72495EA0" w14:textId="77777777" w:rsidR="00F65BCA" w:rsidRDefault="00216117">
            <w:pPr>
              <w:pStyle w:val="TableParagraph"/>
              <w:spacing w:line="69" w:lineRule="exact"/>
              <w:ind w:left="38"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03C00761" w14:textId="77777777" w:rsidR="00F65BCA" w:rsidRDefault="00F65BCA">
            <w:pPr>
              <w:pStyle w:val="TableParagraph"/>
              <w:spacing w:before="4"/>
              <w:rPr>
                <w:rFonts w:ascii="Calibri"/>
                <w:b/>
                <w:sz w:val="8"/>
              </w:rPr>
            </w:pPr>
          </w:p>
          <w:p w14:paraId="78E7D366" w14:textId="77777777" w:rsidR="00F65BCA" w:rsidRDefault="00216117">
            <w:pPr>
              <w:pStyle w:val="TableParagraph"/>
              <w:spacing w:line="69" w:lineRule="exact"/>
              <w:ind w:left="51"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70A5F4FA" w14:textId="77777777" w:rsidR="00F65BCA" w:rsidRDefault="00F65BCA">
            <w:pPr>
              <w:pStyle w:val="TableParagraph"/>
              <w:spacing w:before="4"/>
              <w:rPr>
                <w:rFonts w:ascii="Calibri"/>
                <w:b/>
                <w:sz w:val="8"/>
              </w:rPr>
            </w:pPr>
          </w:p>
          <w:p w14:paraId="29B3FDA7" w14:textId="77777777" w:rsidR="00F65BCA" w:rsidRDefault="00216117">
            <w:pPr>
              <w:pStyle w:val="TableParagraph"/>
              <w:spacing w:line="69" w:lineRule="exact"/>
              <w:ind w:right="3"/>
              <w:jc w:val="right"/>
              <w:rPr>
                <w:rFonts w:ascii="Calibri" w:hAnsi="Calibri"/>
                <w:sz w:val="7"/>
              </w:rPr>
            </w:pPr>
            <w:r>
              <w:rPr>
                <w:rFonts w:ascii="Calibri" w:hAnsi="Calibri"/>
                <w:w w:val="105"/>
                <w:sz w:val="7"/>
              </w:rPr>
              <w:t>bez limitní</w:t>
            </w:r>
          </w:p>
        </w:tc>
        <w:tc>
          <w:tcPr>
            <w:tcW w:w="398" w:type="dxa"/>
            <w:tcBorders>
              <w:top w:val="single" w:sz="4" w:space="0" w:color="000000"/>
              <w:left w:val="single" w:sz="4" w:space="0" w:color="000000"/>
              <w:bottom w:val="single" w:sz="4" w:space="0" w:color="000000"/>
              <w:right w:val="single" w:sz="4" w:space="0" w:color="000000"/>
            </w:tcBorders>
          </w:tcPr>
          <w:p w14:paraId="7916B99E" w14:textId="77777777" w:rsidR="00F65BCA" w:rsidRDefault="00F65BCA">
            <w:pPr>
              <w:pStyle w:val="TableParagraph"/>
              <w:spacing w:before="4"/>
              <w:rPr>
                <w:rFonts w:ascii="Calibri"/>
                <w:b/>
                <w:sz w:val="8"/>
              </w:rPr>
            </w:pPr>
          </w:p>
          <w:p w14:paraId="77DBED50" w14:textId="77777777" w:rsidR="00F65BCA" w:rsidRDefault="00216117">
            <w:pPr>
              <w:pStyle w:val="TableParagraph"/>
              <w:spacing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4B2C0D46" w14:textId="77777777" w:rsidR="00F65BCA" w:rsidRDefault="00F65BCA">
            <w:pPr>
              <w:pStyle w:val="TableParagraph"/>
              <w:spacing w:before="4"/>
              <w:rPr>
                <w:rFonts w:ascii="Calibri"/>
                <w:b/>
                <w:sz w:val="8"/>
              </w:rPr>
            </w:pPr>
          </w:p>
          <w:p w14:paraId="74060FF7" w14:textId="77777777" w:rsidR="00F65BCA" w:rsidRDefault="00216117">
            <w:pPr>
              <w:pStyle w:val="TableParagraph"/>
              <w:spacing w:line="69" w:lineRule="exact"/>
              <w:ind w:left="41"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279F7942" w14:textId="77777777" w:rsidR="00F65BCA" w:rsidRDefault="00F65BCA">
            <w:pPr>
              <w:pStyle w:val="TableParagraph"/>
              <w:spacing w:before="4"/>
              <w:rPr>
                <w:rFonts w:ascii="Calibri"/>
                <w:b/>
                <w:sz w:val="8"/>
              </w:rPr>
            </w:pPr>
          </w:p>
          <w:p w14:paraId="2BFB9CA3" w14:textId="77777777" w:rsidR="00F65BCA" w:rsidRDefault="00216117">
            <w:pPr>
              <w:pStyle w:val="TableParagraph"/>
              <w:spacing w:line="69" w:lineRule="exact"/>
              <w:ind w:left="144"/>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6EB4F3E0" w14:textId="77777777" w:rsidR="00F65BCA" w:rsidRDefault="00F65BCA">
            <w:pPr>
              <w:pStyle w:val="TableParagraph"/>
              <w:spacing w:before="4"/>
              <w:rPr>
                <w:rFonts w:ascii="Calibri"/>
                <w:b/>
                <w:sz w:val="8"/>
              </w:rPr>
            </w:pPr>
          </w:p>
          <w:p w14:paraId="2EFCD056" w14:textId="77777777" w:rsidR="00F65BCA" w:rsidRDefault="00216117">
            <w:pPr>
              <w:pStyle w:val="TableParagraph"/>
              <w:spacing w:line="69" w:lineRule="exact"/>
              <w:ind w:left="144"/>
              <w:rPr>
                <w:rFonts w:ascii="Calibri"/>
                <w:sz w:val="7"/>
              </w:rPr>
            </w:pPr>
            <w:r>
              <w:rPr>
                <w:rFonts w:ascii="Calibri"/>
                <w:w w:val="105"/>
                <w:sz w:val="7"/>
              </w:rPr>
              <w:t>ANO</w:t>
            </w: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33D145BD" w14:textId="77777777" w:rsidR="00F65BCA" w:rsidRDefault="00F65BCA">
            <w:pPr>
              <w:pStyle w:val="TableParagraph"/>
              <w:spacing w:before="7"/>
              <w:rPr>
                <w:rFonts w:ascii="Calibri"/>
                <w:b/>
                <w:sz w:val="8"/>
              </w:rPr>
            </w:pPr>
          </w:p>
          <w:p w14:paraId="7E6D3CF9" w14:textId="77777777" w:rsidR="00F65BCA" w:rsidRDefault="00216117">
            <w:pPr>
              <w:pStyle w:val="TableParagraph"/>
              <w:spacing w:line="67" w:lineRule="exact"/>
              <w:ind w:left="76" w:right="28"/>
              <w:jc w:val="center"/>
              <w:rPr>
                <w:rFonts w:ascii="Calibri" w:hAnsi="Calibri"/>
                <w:sz w:val="7"/>
              </w:rPr>
            </w:pPr>
            <w:r>
              <w:rPr>
                <w:rFonts w:ascii="Calibri" w:hAnsi="Calibri"/>
                <w:w w:val="105"/>
                <w:sz w:val="7"/>
              </w:rPr>
              <w:t>684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3FC90A14" w14:textId="77777777" w:rsidR="00F65BCA" w:rsidRDefault="00F65BCA">
            <w:pPr>
              <w:pStyle w:val="TableParagraph"/>
              <w:spacing w:before="7"/>
              <w:rPr>
                <w:rFonts w:ascii="Calibri"/>
                <w:b/>
                <w:sz w:val="8"/>
              </w:rPr>
            </w:pPr>
          </w:p>
          <w:p w14:paraId="1E947137" w14:textId="77777777" w:rsidR="00F65BCA" w:rsidRDefault="00216117">
            <w:pPr>
              <w:pStyle w:val="TableParagraph"/>
              <w:spacing w:line="67" w:lineRule="exact"/>
              <w:ind w:left="46"/>
              <w:jc w:val="center"/>
              <w:rPr>
                <w:rFonts w:ascii="Calibri" w:hAnsi="Calibri"/>
                <w:sz w:val="7"/>
              </w:rPr>
            </w:pPr>
            <w:r>
              <w:rPr>
                <w:rFonts w:ascii="Calibri" w:hAnsi="Calibri"/>
                <w:w w:val="105"/>
                <w:sz w:val="7"/>
              </w:rPr>
              <w:t>5 172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3FC81D8D" w14:textId="77777777" w:rsidR="00F65BCA" w:rsidRDefault="00F65BCA">
            <w:pPr>
              <w:pStyle w:val="TableParagraph"/>
              <w:spacing w:before="7"/>
              <w:rPr>
                <w:rFonts w:ascii="Calibri"/>
                <w:b/>
                <w:sz w:val="8"/>
              </w:rPr>
            </w:pPr>
          </w:p>
          <w:p w14:paraId="7B228A81" w14:textId="77777777" w:rsidR="00F65BCA" w:rsidRDefault="00216117">
            <w:pPr>
              <w:pStyle w:val="TableParagraph"/>
              <w:spacing w:line="67" w:lineRule="exact"/>
              <w:ind w:right="70"/>
              <w:jc w:val="right"/>
              <w:rPr>
                <w:rFonts w:ascii="Calibri" w:hAnsi="Calibri"/>
                <w:sz w:val="7"/>
              </w:rPr>
            </w:pPr>
            <w:r>
              <w:rPr>
                <w:rFonts w:ascii="Calibri" w:hAnsi="Calibri"/>
                <w:w w:val="105"/>
                <w:sz w:val="7"/>
              </w:rPr>
              <w:t>9 000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7728605C" w14:textId="77777777" w:rsidR="00F65BCA" w:rsidRDefault="00F65BCA">
            <w:pPr>
              <w:pStyle w:val="TableParagraph"/>
              <w:spacing w:before="7"/>
              <w:rPr>
                <w:rFonts w:ascii="Calibri"/>
                <w:b/>
                <w:sz w:val="8"/>
              </w:rPr>
            </w:pPr>
          </w:p>
          <w:p w14:paraId="6305A008" w14:textId="77777777" w:rsidR="00F65BCA" w:rsidRDefault="00216117">
            <w:pPr>
              <w:pStyle w:val="TableParagraph"/>
              <w:spacing w:line="67" w:lineRule="exact"/>
              <w:ind w:left="99" w:right="44"/>
              <w:jc w:val="center"/>
              <w:rPr>
                <w:rFonts w:ascii="Calibri" w:hAnsi="Calibri"/>
                <w:sz w:val="7"/>
              </w:rPr>
            </w:pPr>
            <w:r>
              <w:rPr>
                <w:rFonts w:ascii="Calibri" w:hAnsi="Calibri"/>
                <w:w w:val="105"/>
                <w:sz w:val="7"/>
              </w:rPr>
              <w:t>108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69D9416C" w14:textId="77777777" w:rsidR="00F65BCA" w:rsidRDefault="00F65BCA">
            <w:pPr>
              <w:pStyle w:val="TableParagraph"/>
              <w:spacing w:before="7"/>
              <w:rPr>
                <w:rFonts w:ascii="Calibri"/>
                <w:b/>
                <w:sz w:val="8"/>
              </w:rPr>
            </w:pPr>
          </w:p>
          <w:p w14:paraId="4EAFC95D" w14:textId="77777777" w:rsidR="00F65BCA" w:rsidRDefault="00216117">
            <w:pPr>
              <w:pStyle w:val="TableParagraph"/>
              <w:spacing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48CCDBA9" w14:textId="77777777" w:rsidR="00F65BCA" w:rsidRDefault="00F65BCA">
            <w:pPr>
              <w:pStyle w:val="TableParagraph"/>
              <w:spacing w:before="7"/>
              <w:rPr>
                <w:rFonts w:ascii="Calibri"/>
                <w:b/>
                <w:sz w:val="8"/>
              </w:rPr>
            </w:pPr>
          </w:p>
          <w:p w14:paraId="7613CB4B" w14:textId="77777777" w:rsidR="00F65BCA" w:rsidRDefault="00216117">
            <w:pPr>
              <w:pStyle w:val="TableParagraph"/>
              <w:spacing w:line="67" w:lineRule="exact"/>
              <w:ind w:left="77" w:right="16"/>
              <w:jc w:val="center"/>
              <w:rPr>
                <w:rFonts w:ascii="Calibri" w:hAnsi="Calibri"/>
                <w:sz w:val="7"/>
              </w:rPr>
            </w:pPr>
            <w:r>
              <w:rPr>
                <w:rFonts w:ascii="Calibri" w:hAnsi="Calibri"/>
                <w:w w:val="105"/>
                <w:sz w:val="7"/>
              </w:rPr>
              <w:t>1 956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706AE179" w14:textId="77777777" w:rsidR="00F65BCA" w:rsidRDefault="00F65BCA">
            <w:pPr>
              <w:pStyle w:val="TableParagraph"/>
              <w:spacing w:before="7"/>
              <w:rPr>
                <w:rFonts w:ascii="Calibri"/>
                <w:b/>
                <w:sz w:val="8"/>
              </w:rPr>
            </w:pPr>
          </w:p>
          <w:p w14:paraId="4F58C815" w14:textId="77777777" w:rsidR="00F65BCA" w:rsidRDefault="00216117">
            <w:pPr>
              <w:pStyle w:val="TableParagraph"/>
              <w:spacing w:line="67" w:lineRule="exact"/>
              <w:ind w:left="78" w:right="13"/>
              <w:jc w:val="center"/>
              <w:rPr>
                <w:rFonts w:ascii="Calibri" w:hAnsi="Calibri"/>
                <w:sz w:val="7"/>
              </w:rPr>
            </w:pPr>
            <w:r>
              <w:rPr>
                <w:rFonts w:ascii="Calibri" w:hAnsi="Calibri"/>
                <w:w w:val="105"/>
                <w:sz w:val="7"/>
              </w:rPr>
              <w:t>1 116 Kč</w:t>
            </w:r>
          </w:p>
        </w:tc>
        <w:tc>
          <w:tcPr>
            <w:tcW w:w="458" w:type="dxa"/>
            <w:tcBorders>
              <w:top w:val="single" w:sz="4" w:space="0" w:color="000000"/>
              <w:left w:val="single" w:sz="4" w:space="0" w:color="000000"/>
              <w:bottom w:val="single" w:sz="4" w:space="0" w:color="000000"/>
            </w:tcBorders>
            <w:shd w:val="clear" w:color="auto" w:fill="FFFF99"/>
          </w:tcPr>
          <w:p w14:paraId="1C00A17A" w14:textId="77777777" w:rsidR="00F65BCA" w:rsidRDefault="00F65BCA">
            <w:pPr>
              <w:pStyle w:val="TableParagraph"/>
              <w:spacing w:before="7"/>
              <w:rPr>
                <w:rFonts w:ascii="Calibri"/>
                <w:b/>
                <w:sz w:val="8"/>
              </w:rPr>
            </w:pPr>
          </w:p>
          <w:p w14:paraId="5F3F829C" w14:textId="77777777" w:rsidR="00F65BCA" w:rsidRDefault="00216117">
            <w:pPr>
              <w:pStyle w:val="TableParagraph"/>
              <w:spacing w:line="67" w:lineRule="exact"/>
              <w:ind w:left="111"/>
              <w:rPr>
                <w:rFonts w:ascii="Calibri" w:hAnsi="Calibri"/>
                <w:sz w:val="7"/>
              </w:rPr>
            </w:pPr>
            <w:r>
              <w:rPr>
                <w:rFonts w:ascii="Calibri" w:hAnsi="Calibri"/>
                <w:w w:val="105"/>
                <w:sz w:val="7"/>
              </w:rPr>
              <w:t>18 432 Kč</w:t>
            </w:r>
          </w:p>
        </w:tc>
      </w:tr>
      <w:tr w:rsidR="00F65BCA" w14:paraId="4BA96FBF" w14:textId="77777777">
        <w:trPr>
          <w:trHeight w:val="90"/>
        </w:trPr>
        <w:tc>
          <w:tcPr>
            <w:tcW w:w="188" w:type="dxa"/>
            <w:tcBorders>
              <w:top w:val="single" w:sz="4" w:space="0" w:color="000000"/>
              <w:bottom w:val="single" w:sz="4" w:space="0" w:color="000000"/>
              <w:right w:val="single" w:sz="4" w:space="0" w:color="000000"/>
            </w:tcBorders>
          </w:tcPr>
          <w:p w14:paraId="051530BA" w14:textId="77777777" w:rsidR="00F65BCA" w:rsidRDefault="00216117">
            <w:pPr>
              <w:pStyle w:val="TableParagraph"/>
              <w:spacing w:before="4" w:line="67" w:lineRule="exact"/>
              <w:ind w:left="59"/>
              <w:rPr>
                <w:rFonts w:ascii="Calibri"/>
                <w:sz w:val="7"/>
              </w:rPr>
            </w:pPr>
            <w:r>
              <w:rPr>
                <w:rFonts w:ascii="Calibri"/>
                <w:w w:val="105"/>
                <w:sz w:val="7"/>
              </w:rPr>
              <w:t>11</w:t>
            </w:r>
          </w:p>
        </w:tc>
        <w:tc>
          <w:tcPr>
            <w:tcW w:w="398" w:type="dxa"/>
            <w:tcBorders>
              <w:top w:val="single" w:sz="4" w:space="0" w:color="000000"/>
              <w:left w:val="single" w:sz="4" w:space="0" w:color="000000"/>
              <w:bottom w:val="single" w:sz="4" w:space="0" w:color="000000"/>
              <w:right w:val="single" w:sz="4" w:space="0" w:color="000000"/>
            </w:tcBorders>
          </w:tcPr>
          <w:p w14:paraId="18FB0226"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708E3695"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1AD0D69C"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58C5E87A"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3B7466F0" w14:textId="77777777" w:rsidR="00F65BCA" w:rsidRDefault="00216117">
            <w:pPr>
              <w:pStyle w:val="TableParagraph"/>
              <w:spacing w:before="1" w:line="69" w:lineRule="exact"/>
              <w:ind w:left="70"/>
              <w:rPr>
                <w:rFonts w:ascii="Calibri"/>
                <w:sz w:val="7"/>
              </w:rPr>
            </w:pPr>
            <w:r>
              <w:rPr>
                <w:rFonts w:ascii="Calibri"/>
                <w:w w:val="105"/>
                <w:sz w:val="7"/>
              </w:rPr>
              <w:t>6P84381</w:t>
            </w:r>
          </w:p>
        </w:tc>
        <w:tc>
          <w:tcPr>
            <w:tcW w:w="398" w:type="dxa"/>
            <w:tcBorders>
              <w:top w:val="single" w:sz="4" w:space="0" w:color="000000"/>
              <w:left w:val="single" w:sz="4" w:space="0" w:color="000000"/>
              <w:bottom w:val="single" w:sz="4" w:space="0" w:color="000000"/>
              <w:right w:val="single" w:sz="4" w:space="0" w:color="000000"/>
            </w:tcBorders>
          </w:tcPr>
          <w:p w14:paraId="7B9DDE20" w14:textId="77777777" w:rsidR="00F65BCA" w:rsidRDefault="00216117">
            <w:pPr>
              <w:pStyle w:val="TableParagraph"/>
              <w:spacing w:before="1" w:line="69" w:lineRule="exact"/>
              <w:ind w:left="17"/>
              <w:jc w:val="center"/>
              <w:rPr>
                <w:rFonts w:ascii="Calibri"/>
                <w:sz w:val="7"/>
              </w:rPr>
            </w:pPr>
            <w:r>
              <w:rPr>
                <w:rFonts w:ascii="Calibri"/>
                <w:w w:val="105"/>
                <w:sz w:val="7"/>
              </w:rPr>
              <w:t>UH756081</w:t>
            </w:r>
          </w:p>
        </w:tc>
        <w:tc>
          <w:tcPr>
            <w:tcW w:w="792" w:type="dxa"/>
            <w:tcBorders>
              <w:top w:val="single" w:sz="4" w:space="0" w:color="000000"/>
              <w:left w:val="single" w:sz="4" w:space="0" w:color="000000"/>
              <w:bottom w:val="single" w:sz="4" w:space="0" w:color="000000"/>
              <w:right w:val="single" w:sz="4" w:space="0" w:color="000000"/>
            </w:tcBorders>
          </w:tcPr>
          <w:p w14:paraId="725F62C4" w14:textId="77777777" w:rsidR="00F65BCA" w:rsidRDefault="00216117">
            <w:pPr>
              <w:pStyle w:val="TableParagraph"/>
              <w:spacing w:before="1" w:line="69" w:lineRule="exact"/>
              <w:ind w:left="59"/>
              <w:rPr>
                <w:rFonts w:ascii="Calibri"/>
                <w:sz w:val="7"/>
              </w:rPr>
            </w:pPr>
            <w:r>
              <w:rPr>
                <w:rFonts w:ascii="Calibri"/>
                <w:w w:val="105"/>
                <w:sz w:val="7"/>
              </w:rPr>
              <w:t>VF3YB2MRB12C95070</w:t>
            </w:r>
          </w:p>
        </w:tc>
        <w:tc>
          <w:tcPr>
            <w:tcW w:w="398" w:type="dxa"/>
            <w:tcBorders>
              <w:top w:val="single" w:sz="4" w:space="0" w:color="000000"/>
              <w:left w:val="single" w:sz="4" w:space="0" w:color="000000"/>
              <w:bottom w:val="single" w:sz="4" w:space="0" w:color="000000"/>
              <w:right w:val="single" w:sz="4" w:space="0" w:color="000000"/>
            </w:tcBorders>
          </w:tcPr>
          <w:p w14:paraId="505CDDD5" w14:textId="77777777" w:rsidR="00F65BCA" w:rsidRDefault="00216117">
            <w:pPr>
              <w:pStyle w:val="TableParagraph"/>
              <w:spacing w:before="1" w:line="69" w:lineRule="exact"/>
              <w:ind w:left="59"/>
              <w:rPr>
                <w:rFonts w:ascii="Calibri"/>
                <w:sz w:val="7"/>
              </w:rPr>
            </w:pPr>
            <w:r>
              <w:rPr>
                <w:rFonts w:ascii="Calibri"/>
                <w:w w:val="105"/>
                <w:sz w:val="7"/>
              </w:rPr>
              <w:t>PEUGEOT</w:t>
            </w:r>
          </w:p>
        </w:tc>
        <w:tc>
          <w:tcPr>
            <w:tcW w:w="1065" w:type="dxa"/>
            <w:tcBorders>
              <w:top w:val="single" w:sz="4" w:space="0" w:color="000000"/>
              <w:left w:val="single" w:sz="4" w:space="0" w:color="000000"/>
              <w:bottom w:val="single" w:sz="4" w:space="0" w:color="000000"/>
              <w:right w:val="single" w:sz="4" w:space="0" w:color="000000"/>
            </w:tcBorders>
          </w:tcPr>
          <w:p w14:paraId="15B70C1F" w14:textId="77777777" w:rsidR="00F65BCA" w:rsidRDefault="00216117">
            <w:pPr>
              <w:pStyle w:val="TableParagraph"/>
              <w:spacing w:before="1" w:line="69" w:lineRule="exact"/>
              <w:ind w:left="75" w:right="53"/>
              <w:jc w:val="center"/>
              <w:rPr>
                <w:rFonts w:ascii="Calibri"/>
                <w:sz w:val="7"/>
              </w:rPr>
            </w:pPr>
            <w:r>
              <w:rPr>
                <w:rFonts w:ascii="Calibri"/>
                <w:w w:val="105"/>
                <w:sz w:val="7"/>
              </w:rPr>
              <w:t>BOXER 3300 DIESEL</w:t>
            </w:r>
          </w:p>
        </w:tc>
        <w:tc>
          <w:tcPr>
            <w:tcW w:w="815" w:type="dxa"/>
            <w:tcBorders>
              <w:top w:val="single" w:sz="4" w:space="0" w:color="000000"/>
              <w:left w:val="single" w:sz="4" w:space="0" w:color="000000"/>
              <w:bottom w:val="single" w:sz="4" w:space="0" w:color="000000"/>
              <w:right w:val="single" w:sz="4" w:space="0" w:color="000000"/>
            </w:tcBorders>
          </w:tcPr>
          <w:p w14:paraId="2A58CFA3"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2C2279E8" w14:textId="77777777" w:rsidR="00F65BCA" w:rsidRDefault="00216117">
            <w:pPr>
              <w:pStyle w:val="TableParagraph"/>
              <w:spacing w:before="1" w:line="69" w:lineRule="exact"/>
              <w:ind w:right="41"/>
              <w:jc w:val="right"/>
              <w:rPr>
                <w:rFonts w:ascii="Calibri"/>
                <w:sz w:val="7"/>
              </w:rPr>
            </w:pPr>
            <w:r>
              <w:rPr>
                <w:rFonts w:ascii="Calibri"/>
                <w:w w:val="105"/>
                <w:sz w:val="7"/>
              </w:rPr>
              <w:t>2017</w:t>
            </w:r>
          </w:p>
        </w:tc>
        <w:tc>
          <w:tcPr>
            <w:tcW w:w="278" w:type="dxa"/>
            <w:tcBorders>
              <w:top w:val="single" w:sz="4" w:space="0" w:color="000000"/>
              <w:left w:val="single" w:sz="4" w:space="0" w:color="000000"/>
              <w:bottom w:val="single" w:sz="4" w:space="0" w:color="000000"/>
              <w:right w:val="single" w:sz="4" w:space="0" w:color="000000"/>
            </w:tcBorders>
          </w:tcPr>
          <w:p w14:paraId="41AB7D04" w14:textId="77777777" w:rsidR="00F65BCA" w:rsidRDefault="00216117">
            <w:pPr>
              <w:pStyle w:val="TableParagraph"/>
              <w:spacing w:before="1" w:line="69" w:lineRule="exact"/>
              <w:ind w:left="28" w:right="2"/>
              <w:jc w:val="center"/>
              <w:rPr>
                <w:rFonts w:ascii="Calibri"/>
                <w:sz w:val="7"/>
              </w:rPr>
            </w:pPr>
            <w:r>
              <w:rPr>
                <w:rFonts w:ascii="Calibri"/>
                <w:w w:val="105"/>
                <w:sz w:val="7"/>
              </w:rPr>
              <w:t>1997</w:t>
            </w:r>
          </w:p>
        </w:tc>
        <w:tc>
          <w:tcPr>
            <w:tcW w:w="268" w:type="dxa"/>
            <w:tcBorders>
              <w:top w:val="single" w:sz="4" w:space="0" w:color="000000"/>
              <w:left w:val="single" w:sz="4" w:space="0" w:color="000000"/>
              <w:bottom w:val="single" w:sz="4" w:space="0" w:color="000000"/>
              <w:right w:val="single" w:sz="4" w:space="0" w:color="000000"/>
            </w:tcBorders>
          </w:tcPr>
          <w:p w14:paraId="6AE7E415" w14:textId="77777777" w:rsidR="00F65BCA" w:rsidRDefault="00216117">
            <w:pPr>
              <w:pStyle w:val="TableParagraph"/>
              <w:spacing w:before="1" w:line="69" w:lineRule="exact"/>
              <w:ind w:right="74"/>
              <w:jc w:val="right"/>
              <w:rPr>
                <w:rFonts w:ascii="Calibri"/>
                <w:sz w:val="7"/>
              </w:rPr>
            </w:pPr>
            <w:r>
              <w:rPr>
                <w:rFonts w:ascii="Calibri"/>
                <w:w w:val="105"/>
                <w:sz w:val="7"/>
              </w:rPr>
              <w:t>96</w:t>
            </w:r>
          </w:p>
        </w:tc>
        <w:tc>
          <w:tcPr>
            <w:tcW w:w="398" w:type="dxa"/>
            <w:tcBorders>
              <w:top w:val="single" w:sz="4" w:space="0" w:color="000000"/>
              <w:left w:val="single" w:sz="4" w:space="0" w:color="000000"/>
              <w:bottom w:val="single" w:sz="4" w:space="0" w:color="000000"/>
              <w:right w:val="single" w:sz="4" w:space="0" w:color="000000"/>
            </w:tcBorders>
          </w:tcPr>
          <w:p w14:paraId="5D25ED77" w14:textId="77777777" w:rsidR="00F65BCA" w:rsidRDefault="00216117">
            <w:pPr>
              <w:pStyle w:val="TableParagraph"/>
              <w:spacing w:before="1" w:line="69" w:lineRule="exact"/>
              <w:ind w:left="28"/>
              <w:jc w:val="center"/>
              <w:rPr>
                <w:rFonts w:ascii="Calibri"/>
                <w:sz w:val="7"/>
              </w:rPr>
            </w:pPr>
            <w:r>
              <w:rPr>
                <w:rFonts w:ascii="Calibri"/>
                <w:w w:val="105"/>
                <w:sz w:val="7"/>
              </w:rPr>
              <w:t>3300</w:t>
            </w:r>
          </w:p>
        </w:tc>
        <w:tc>
          <w:tcPr>
            <w:tcW w:w="249" w:type="dxa"/>
            <w:tcBorders>
              <w:top w:val="single" w:sz="4" w:space="0" w:color="000000"/>
              <w:left w:val="single" w:sz="4" w:space="0" w:color="000000"/>
              <w:bottom w:val="single" w:sz="4" w:space="0" w:color="000000"/>
              <w:right w:val="single" w:sz="4" w:space="0" w:color="000000"/>
            </w:tcBorders>
          </w:tcPr>
          <w:p w14:paraId="1313E78B" w14:textId="77777777" w:rsidR="00F65BCA" w:rsidRDefault="00216117">
            <w:pPr>
              <w:pStyle w:val="TableParagraph"/>
              <w:spacing w:before="1" w:line="69" w:lineRule="exact"/>
              <w:ind w:right="82"/>
              <w:jc w:val="right"/>
              <w:rPr>
                <w:rFonts w:ascii="Calibri"/>
                <w:sz w:val="7"/>
              </w:rPr>
            </w:pPr>
            <w:r>
              <w:rPr>
                <w:rFonts w:ascii="Calibri"/>
                <w:w w:val="106"/>
                <w:sz w:val="7"/>
              </w:rPr>
              <w:t>6</w:t>
            </w:r>
          </w:p>
        </w:tc>
        <w:tc>
          <w:tcPr>
            <w:tcW w:w="311" w:type="dxa"/>
            <w:tcBorders>
              <w:top w:val="single" w:sz="4" w:space="0" w:color="000000"/>
              <w:left w:val="single" w:sz="4" w:space="0" w:color="000000"/>
              <w:bottom w:val="single" w:sz="4" w:space="0" w:color="000000"/>
              <w:right w:val="single" w:sz="4" w:space="0" w:color="000000"/>
            </w:tcBorders>
          </w:tcPr>
          <w:p w14:paraId="7DA675E4" w14:textId="77777777" w:rsidR="00F65BCA" w:rsidRDefault="00216117">
            <w:pPr>
              <w:pStyle w:val="TableParagraph"/>
              <w:spacing w:before="1"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7605A715"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51E7C930" w14:textId="77777777" w:rsidR="00F65BCA" w:rsidRDefault="00216117">
            <w:pPr>
              <w:pStyle w:val="TableParagraph"/>
              <w:spacing w:before="1" w:line="69" w:lineRule="exact"/>
              <w:jc w:val="right"/>
              <w:rPr>
                <w:rFonts w:ascii="Calibri" w:hAnsi="Calibri"/>
                <w:sz w:val="7"/>
              </w:rPr>
            </w:pPr>
            <w:r>
              <w:rPr>
                <w:rFonts w:ascii="Calibri" w:hAnsi="Calibri"/>
                <w:w w:val="105"/>
                <w:sz w:val="7"/>
              </w:rPr>
              <w:t>360 000 Kč</w:t>
            </w:r>
          </w:p>
        </w:tc>
        <w:tc>
          <w:tcPr>
            <w:tcW w:w="278" w:type="dxa"/>
            <w:tcBorders>
              <w:top w:val="single" w:sz="4" w:space="0" w:color="000000"/>
              <w:left w:val="single" w:sz="4" w:space="0" w:color="000000"/>
              <w:bottom w:val="single" w:sz="4" w:space="0" w:color="000000"/>
              <w:right w:val="single" w:sz="4" w:space="0" w:color="000000"/>
            </w:tcBorders>
          </w:tcPr>
          <w:p w14:paraId="441E1A51"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51E47422"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44482CF8" w14:textId="77777777" w:rsidR="00F65BCA" w:rsidRDefault="00216117">
            <w:pPr>
              <w:pStyle w:val="TableParagraph"/>
              <w:spacing w:before="1" w:line="69" w:lineRule="exact"/>
              <w:ind w:right="4"/>
              <w:jc w:val="right"/>
              <w:rPr>
                <w:rFonts w:ascii="Calibri" w:hAnsi="Calibri"/>
                <w:sz w:val="7"/>
              </w:rPr>
            </w:pPr>
            <w:r>
              <w:rPr>
                <w:rFonts w:ascii="Calibri" w:hAnsi="Calibri"/>
                <w:w w:val="105"/>
                <w:sz w:val="7"/>
              </w:rPr>
              <w:t>bez limitní</w:t>
            </w:r>
          </w:p>
        </w:tc>
        <w:tc>
          <w:tcPr>
            <w:tcW w:w="398" w:type="dxa"/>
            <w:tcBorders>
              <w:top w:val="single" w:sz="4" w:space="0" w:color="000000"/>
              <w:left w:val="single" w:sz="4" w:space="0" w:color="000000"/>
              <w:bottom w:val="single" w:sz="4" w:space="0" w:color="000000"/>
              <w:right w:val="single" w:sz="4" w:space="0" w:color="000000"/>
            </w:tcBorders>
          </w:tcPr>
          <w:p w14:paraId="1FF20029"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21FCE51C"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7DEE3032"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35BBE3E1"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0421F001"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2 196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250111DC"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4 836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3516E0F1" w14:textId="77777777" w:rsidR="00F65BCA" w:rsidRDefault="00216117">
            <w:pPr>
              <w:pStyle w:val="TableParagraph"/>
              <w:spacing w:before="4" w:line="67" w:lineRule="exact"/>
              <w:ind w:right="70"/>
              <w:jc w:val="right"/>
              <w:rPr>
                <w:rFonts w:ascii="Calibri" w:hAnsi="Calibri"/>
                <w:sz w:val="7"/>
              </w:rPr>
            </w:pPr>
            <w:r>
              <w:rPr>
                <w:rFonts w:ascii="Calibri" w:hAnsi="Calibri"/>
                <w:w w:val="105"/>
                <w:sz w:val="7"/>
              </w:rPr>
              <w:t>7 656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49C043FC"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624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6FFCEA7E"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54BCDCB5" w14:textId="77777777" w:rsidR="00F65BCA" w:rsidRDefault="00216117">
            <w:pPr>
              <w:pStyle w:val="TableParagraph"/>
              <w:spacing w:before="4" w:line="67" w:lineRule="exact"/>
              <w:ind w:left="78" w:right="16"/>
              <w:jc w:val="center"/>
              <w:rPr>
                <w:rFonts w:ascii="Calibri" w:hAnsi="Calibri"/>
                <w:sz w:val="7"/>
              </w:rPr>
            </w:pPr>
            <w:r>
              <w:rPr>
                <w:rFonts w:ascii="Calibri" w:hAnsi="Calibri"/>
                <w:w w:val="105"/>
                <w:sz w:val="7"/>
              </w:rPr>
              <w:t>1 200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C6BEC2F"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0350BE84" w14:textId="77777777" w:rsidR="00F65BCA" w:rsidRDefault="00216117">
            <w:pPr>
              <w:pStyle w:val="TableParagraph"/>
              <w:spacing w:before="4" w:line="67" w:lineRule="exact"/>
              <w:ind w:left="111"/>
              <w:rPr>
                <w:rFonts w:ascii="Calibri" w:hAnsi="Calibri"/>
                <w:sz w:val="7"/>
              </w:rPr>
            </w:pPr>
            <w:r>
              <w:rPr>
                <w:rFonts w:ascii="Calibri" w:hAnsi="Calibri"/>
                <w:w w:val="105"/>
                <w:sz w:val="7"/>
              </w:rPr>
              <w:t>16 908 Kč</w:t>
            </w:r>
          </w:p>
        </w:tc>
      </w:tr>
      <w:tr w:rsidR="00F65BCA" w14:paraId="447DF016" w14:textId="77777777">
        <w:trPr>
          <w:trHeight w:val="90"/>
        </w:trPr>
        <w:tc>
          <w:tcPr>
            <w:tcW w:w="188" w:type="dxa"/>
            <w:tcBorders>
              <w:top w:val="single" w:sz="4" w:space="0" w:color="000000"/>
              <w:bottom w:val="single" w:sz="4" w:space="0" w:color="000000"/>
              <w:right w:val="single" w:sz="4" w:space="0" w:color="000000"/>
            </w:tcBorders>
          </w:tcPr>
          <w:p w14:paraId="3E30C928" w14:textId="77777777" w:rsidR="00F65BCA" w:rsidRDefault="00216117">
            <w:pPr>
              <w:pStyle w:val="TableParagraph"/>
              <w:spacing w:before="4" w:line="67" w:lineRule="exact"/>
              <w:ind w:left="59"/>
              <w:rPr>
                <w:rFonts w:ascii="Calibri"/>
                <w:sz w:val="7"/>
              </w:rPr>
            </w:pPr>
            <w:r>
              <w:rPr>
                <w:rFonts w:ascii="Calibri"/>
                <w:w w:val="105"/>
                <w:sz w:val="7"/>
              </w:rPr>
              <w:t>12</w:t>
            </w:r>
          </w:p>
        </w:tc>
        <w:tc>
          <w:tcPr>
            <w:tcW w:w="398" w:type="dxa"/>
            <w:tcBorders>
              <w:top w:val="single" w:sz="4" w:space="0" w:color="000000"/>
              <w:left w:val="single" w:sz="4" w:space="0" w:color="000000"/>
              <w:bottom w:val="single" w:sz="4" w:space="0" w:color="000000"/>
              <w:right w:val="single" w:sz="4" w:space="0" w:color="000000"/>
            </w:tcBorders>
          </w:tcPr>
          <w:p w14:paraId="70A1DB0B"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0C5D3B32"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FB4ACED"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015AF00B"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18B797DC" w14:textId="77777777" w:rsidR="00F65BCA" w:rsidRDefault="00216117">
            <w:pPr>
              <w:pStyle w:val="TableParagraph"/>
              <w:spacing w:before="1" w:line="69" w:lineRule="exact"/>
              <w:ind w:left="53"/>
              <w:rPr>
                <w:rFonts w:ascii="Calibri"/>
                <w:sz w:val="7"/>
              </w:rPr>
            </w:pPr>
            <w:r>
              <w:rPr>
                <w:rFonts w:ascii="Calibri"/>
                <w:w w:val="105"/>
                <w:sz w:val="7"/>
              </w:rPr>
              <w:t>42PMA78</w:t>
            </w:r>
          </w:p>
        </w:tc>
        <w:tc>
          <w:tcPr>
            <w:tcW w:w="398" w:type="dxa"/>
            <w:tcBorders>
              <w:top w:val="single" w:sz="4" w:space="0" w:color="000000"/>
              <w:left w:val="single" w:sz="4" w:space="0" w:color="000000"/>
              <w:bottom w:val="single" w:sz="4" w:space="0" w:color="000000"/>
              <w:right w:val="single" w:sz="4" w:space="0" w:color="000000"/>
            </w:tcBorders>
          </w:tcPr>
          <w:p w14:paraId="56499FCC" w14:textId="77777777" w:rsidR="00F65BCA" w:rsidRDefault="00216117">
            <w:pPr>
              <w:pStyle w:val="TableParagraph"/>
              <w:spacing w:before="1" w:line="69" w:lineRule="exact"/>
              <w:ind w:left="18"/>
              <w:jc w:val="center"/>
              <w:rPr>
                <w:rFonts w:ascii="Calibri"/>
                <w:sz w:val="7"/>
              </w:rPr>
            </w:pPr>
            <w:r>
              <w:rPr>
                <w:rFonts w:ascii="Calibri"/>
                <w:w w:val="105"/>
                <w:sz w:val="7"/>
              </w:rPr>
              <w:t>AN299011</w:t>
            </w:r>
          </w:p>
        </w:tc>
        <w:tc>
          <w:tcPr>
            <w:tcW w:w="792" w:type="dxa"/>
            <w:tcBorders>
              <w:top w:val="single" w:sz="4" w:space="0" w:color="000000"/>
              <w:left w:val="single" w:sz="4" w:space="0" w:color="000000"/>
              <w:bottom w:val="single" w:sz="4" w:space="0" w:color="000000"/>
              <w:right w:val="single" w:sz="4" w:space="0" w:color="000000"/>
            </w:tcBorders>
          </w:tcPr>
          <w:p w14:paraId="61844863" w14:textId="77777777" w:rsidR="00F65BCA" w:rsidRDefault="00216117">
            <w:pPr>
              <w:pStyle w:val="TableParagraph"/>
              <w:spacing w:before="1" w:line="69" w:lineRule="exact"/>
              <w:ind w:left="76"/>
              <w:rPr>
                <w:rFonts w:ascii="Calibri"/>
                <w:sz w:val="7"/>
              </w:rPr>
            </w:pPr>
            <w:r>
              <w:rPr>
                <w:rFonts w:ascii="Calibri"/>
                <w:w w:val="105"/>
                <w:sz w:val="7"/>
              </w:rPr>
              <w:t>TK9NE0000S0300047</w:t>
            </w:r>
          </w:p>
        </w:tc>
        <w:tc>
          <w:tcPr>
            <w:tcW w:w="398" w:type="dxa"/>
            <w:tcBorders>
              <w:top w:val="single" w:sz="4" w:space="0" w:color="000000"/>
              <w:left w:val="single" w:sz="4" w:space="0" w:color="000000"/>
              <w:bottom w:val="single" w:sz="4" w:space="0" w:color="000000"/>
              <w:right w:val="single" w:sz="4" w:space="0" w:color="000000"/>
            </w:tcBorders>
          </w:tcPr>
          <w:p w14:paraId="2AD9D615" w14:textId="77777777" w:rsidR="00F65BCA" w:rsidRDefault="00216117">
            <w:pPr>
              <w:pStyle w:val="TableParagraph"/>
              <w:spacing w:before="1" w:line="69" w:lineRule="exact"/>
              <w:ind w:left="81"/>
              <w:rPr>
                <w:rFonts w:ascii="Calibri"/>
                <w:sz w:val="7"/>
              </w:rPr>
            </w:pPr>
            <w:r>
              <w:rPr>
                <w:rFonts w:ascii="Calibri"/>
                <w:w w:val="105"/>
                <w:sz w:val="7"/>
              </w:rPr>
              <w:t>SATURN</w:t>
            </w:r>
          </w:p>
        </w:tc>
        <w:tc>
          <w:tcPr>
            <w:tcW w:w="1065" w:type="dxa"/>
            <w:tcBorders>
              <w:top w:val="single" w:sz="4" w:space="0" w:color="000000"/>
              <w:left w:val="single" w:sz="4" w:space="0" w:color="000000"/>
              <w:bottom w:val="single" w:sz="4" w:space="0" w:color="000000"/>
              <w:right w:val="single" w:sz="4" w:space="0" w:color="000000"/>
            </w:tcBorders>
          </w:tcPr>
          <w:p w14:paraId="01F6AE7D" w14:textId="77777777" w:rsidR="00F65BCA" w:rsidRDefault="00216117">
            <w:pPr>
              <w:pStyle w:val="TableParagraph"/>
              <w:spacing w:before="1" w:line="69" w:lineRule="exact"/>
              <w:ind w:left="75" w:right="54"/>
              <w:jc w:val="center"/>
              <w:rPr>
                <w:rFonts w:ascii="Calibri"/>
                <w:sz w:val="7"/>
              </w:rPr>
            </w:pPr>
            <w:r>
              <w:rPr>
                <w:rFonts w:ascii="Calibri"/>
                <w:w w:val="105"/>
                <w:sz w:val="7"/>
              </w:rPr>
              <w:t>I I</w:t>
            </w:r>
          </w:p>
        </w:tc>
        <w:tc>
          <w:tcPr>
            <w:tcW w:w="815" w:type="dxa"/>
            <w:tcBorders>
              <w:top w:val="single" w:sz="4" w:space="0" w:color="000000"/>
              <w:left w:val="single" w:sz="4" w:space="0" w:color="000000"/>
              <w:bottom w:val="single" w:sz="4" w:space="0" w:color="000000"/>
              <w:right w:val="single" w:sz="4" w:space="0" w:color="000000"/>
            </w:tcBorders>
          </w:tcPr>
          <w:p w14:paraId="6F909021" w14:textId="77777777" w:rsidR="00F65BCA" w:rsidRDefault="00216117">
            <w:pPr>
              <w:pStyle w:val="TableParagraph"/>
              <w:spacing w:before="1" w:line="69" w:lineRule="exact"/>
              <w:ind w:left="36" w:right="11"/>
              <w:jc w:val="center"/>
              <w:rPr>
                <w:rFonts w:ascii="Calibri" w:hAnsi="Calibri"/>
                <w:sz w:val="7"/>
              </w:rPr>
            </w:pPr>
            <w:r>
              <w:rPr>
                <w:rFonts w:ascii="Calibri" w:hAnsi="Calibri"/>
                <w:w w:val="105"/>
                <w:sz w:val="7"/>
              </w:rPr>
              <w:t>Přívěs</w:t>
            </w:r>
          </w:p>
        </w:tc>
        <w:tc>
          <w:tcPr>
            <w:tcW w:w="273" w:type="dxa"/>
            <w:tcBorders>
              <w:top w:val="single" w:sz="4" w:space="0" w:color="000000"/>
              <w:left w:val="single" w:sz="4" w:space="0" w:color="000000"/>
              <w:bottom w:val="single" w:sz="4" w:space="0" w:color="000000"/>
              <w:right w:val="single" w:sz="4" w:space="0" w:color="000000"/>
            </w:tcBorders>
          </w:tcPr>
          <w:p w14:paraId="17F62DF7" w14:textId="77777777" w:rsidR="00F65BCA" w:rsidRDefault="00216117">
            <w:pPr>
              <w:pStyle w:val="TableParagraph"/>
              <w:spacing w:before="1" w:line="69" w:lineRule="exact"/>
              <w:ind w:right="41"/>
              <w:jc w:val="right"/>
              <w:rPr>
                <w:rFonts w:ascii="Calibri"/>
                <w:sz w:val="7"/>
              </w:rPr>
            </w:pPr>
            <w:r>
              <w:rPr>
                <w:rFonts w:ascii="Calibri"/>
                <w:w w:val="105"/>
                <w:sz w:val="7"/>
              </w:rPr>
              <w:t>1997</w:t>
            </w:r>
          </w:p>
        </w:tc>
        <w:tc>
          <w:tcPr>
            <w:tcW w:w="278" w:type="dxa"/>
            <w:tcBorders>
              <w:top w:val="single" w:sz="4" w:space="0" w:color="000000"/>
              <w:left w:val="single" w:sz="4" w:space="0" w:color="000000"/>
              <w:bottom w:val="single" w:sz="4" w:space="0" w:color="000000"/>
              <w:right w:val="single" w:sz="4" w:space="0" w:color="000000"/>
            </w:tcBorders>
          </w:tcPr>
          <w:p w14:paraId="5A4E1D64" w14:textId="77777777" w:rsidR="00F65BCA" w:rsidRDefault="00216117">
            <w:pPr>
              <w:pStyle w:val="TableParagraph"/>
              <w:spacing w:before="1" w:line="69" w:lineRule="exact"/>
              <w:ind w:left="28"/>
              <w:jc w:val="center"/>
              <w:rPr>
                <w:rFonts w:ascii="Calibri"/>
                <w:sz w:val="7"/>
              </w:rPr>
            </w:pPr>
            <w:r>
              <w:rPr>
                <w:rFonts w:ascii="Calibri"/>
                <w:w w:val="106"/>
                <w:sz w:val="7"/>
              </w:rPr>
              <w:t>0</w:t>
            </w:r>
          </w:p>
        </w:tc>
        <w:tc>
          <w:tcPr>
            <w:tcW w:w="268" w:type="dxa"/>
            <w:tcBorders>
              <w:top w:val="single" w:sz="4" w:space="0" w:color="000000"/>
              <w:left w:val="single" w:sz="4" w:space="0" w:color="000000"/>
              <w:bottom w:val="single" w:sz="4" w:space="0" w:color="000000"/>
              <w:right w:val="single" w:sz="4" w:space="0" w:color="000000"/>
            </w:tcBorders>
          </w:tcPr>
          <w:p w14:paraId="01CA7C2B" w14:textId="77777777" w:rsidR="00F65BCA" w:rsidRDefault="00216117">
            <w:pPr>
              <w:pStyle w:val="TableParagraph"/>
              <w:spacing w:before="1" w:line="69" w:lineRule="exact"/>
              <w:ind w:right="93"/>
              <w:jc w:val="right"/>
              <w:rPr>
                <w:rFonts w:ascii="Calibri"/>
                <w:sz w:val="7"/>
              </w:rPr>
            </w:pPr>
            <w:r>
              <w:rPr>
                <w:rFonts w:ascii="Calibri"/>
                <w:w w:val="106"/>
                <w:sz w:val="7"/>
              </w:rPr>
              <w:t>0</w:t>
            </w:r>
          </w:p>
        </w:tc>
        <w:tc>
          <w:tcPr>
            <w:tcW w:w="398" w:type="dxa"/>
            <w:tcBorders>
              <w:top w:val="single" w:sz="4" w:space="0" w:color="000000"/>
              <w:left w:val="single" w:sz="4" w:space="0" w:color="000000"/>
              <w:bottom w:val="single" w:sz="4" w:space="0" w:color="000000"/>
              <w:right w:val="single" w:sz="4" w:space="0" w:color="000000"/>
            </w:tcBorders>
          </w:tcPr>
          <w:p w14:paraId="500A343E" w14:textId="77777777" w:rsidR="00F65BCA" w:rsidRDefault="00216117">
            <w:pPr>
              <w:pStyle w:val="TableParagraph"/>
              <w:spacing w:before="1" w:line="69" w:lineRule="exact"/>
              <w:ind w:left="29"/>
              <w:jc w:val="center"/>
              <w:rPr>
                <w:rFonts w:ascii="Calibri"/>
                <w:sz w:val="7"/>
              </w:rPr>
            </w:pPr>
            <w:r>
              <w:rPr>
                <w:rFonts w:ascii="Calibri"/>
                <w:w w:val="105"/>
                <w:sz w:val="7"/>
              </w:rPr>
              <w:t>600</w:t>
            </w:r>
          </w:p>
        </w:tc>
        <w:tc>
          <w:tcPr>
            <w:tcW w:w="249" w:type="dxa"/>
            <w:tcBorders>
              <w:top w:val="single" w:sz="4" w:space="0" w:color="000000"/>
              <w:left w:val="single" w:sz="4" w:space="0" w:color="000000"/>
              <w:bottom w:val="single" w:sz="4" w:space="0" w:color="000000"/>
              <w:right w:val="single" w:sz="4" w:space="0" w:color="000000"/>
            </w:tcBorders>
          </w:tcPr>
          <w:p w14:paraId="32831853" w14:textId="77777777" w:rsidR="00F65BCA" w:rsidRDefault="00F65BCA">
            <w:pPr>
              <w:pStyle w:val="TableParagraph"/>
              <w:rPr>
                <w:rFonts w:ascii="Times New Roman"/>
                <w:sz w:val="4"/>
              </w:rPr>
            </w:pPr>
          </w:p>
        </w:tc>
        <w:tc>
          <w:tcPr>
            <w:tcW w:w="311" w:type="dxa"/>
            <w:tcBorders>
              <w:top w:val="single" w:sz="4" w:space="0" w:color="000000"/>
              <w:left w:val="single" w:sz="4" w:space="0" w:color="000000"/>
              <w:bottom w:val="single" w:sz="4" w:space="0" w:color="000000"/>
              <w:right w:val="single" w:sz="4" w:space="0" w:color="000000"/>
            </w:tcBorders>
          </w:tcPr>
          <w:p w14:paraId="6A4904E9" w14:textId="77777777" w:rsidR="00F65BCA" w:rsidRDefault="00F65BCA">
            <w:pPr>
              <w:pStyle w:val="TableParagraph"/>
              <w:rPr>
                <w:rFonts w:ascii="Times New Roman"/>
                <w:sz w:val="4"/>
              </w:rPr>
            </w:pPr>
          </w:p>
        </w:tc>
        <w:tc>
          <w:tcPr>
            <w:tcW w:w="256" w:type="dxa"/>
            <w:tcBorders>
              <w:top w:val="single" w:sz="4" w:space="0" w:color="000000"/>
              <w:left w:val="single" w:sz="4" w:space="0" w:color="000000"/>
              <w:bottom w:val="single" w:sz="4" w:space="0" w:color="000000"/>
              <w:right w:val="single" w:sz="4" w:space="0" w:color="000000"/>
            </w:tcBorders>
          </w:tcPr>
          <w:p w14:paraId="0E4E59E8"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6EDBC509"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0022ED79" w14:textId="77777777" w:rsidR="00F65BCA" w:rsidRDefault="00F65BCA">
            <w:pPr>
              <w:pStyle w:val="TableParagraph"/>
              <w:rPr>
                <w:rFonts w:ascii="Times New Roman"/>
                <w:sz w:val="4"/>
              </w:rPr>
            </w:pPr>
          </w:p>
        </w:tc>
        <w:tc>
          <w:tcPr>
            <w:tcW w:w="273" w:type="dxa"/>
            <w:tcBorders>
              <w:top w:val="single" w:sz="4" w:space="0" w:color="000000"/>
              <w:left w:val="single" w:sz="4" w:space="0" w:color="000000"/>
              <w:bottom w:val="single" w:sz="4" w:space="0" w:color="000000"/>
              <w:right w:val="single" w:sz="4" w:space="0" w:color="000000"/>
            </w:tcBorders>
          </w:tcPr>
          <w:p w14:paraId="56FCF088"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40A46660"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7DF85859"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3B62489E"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448899A8"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477BAE14"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6ED20C41" w14:textId="77777777" w:rsidR="00F65BCA" w:rsidRDefault="00216117">
            <w:pPr>
              <w:pStyle w:val="TableParagraph"/>
              <w:spacing w:before="4" w:line="67" w:lineRule="exact"/>
              <w:ind w:left="76" w:right="28"/>
              <w:jc w:val="center"/>
              <w:rPr>
                <w:rFonts w:ascii="Calibri" w:hAnsi="Calibri"/>
                <w:sz w:val="7"/>
              </w:rPr>
            </w:pPr>
            <w:r>
              <w:rPr>
                <w:rFonts w:ascii="Calibri" w:hAnsi="Calibri"/>
                <w:w w:val="105"/>
                <w:sz w:val="7"/>
              </w:rPr>
              <w:t>84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0B2D1566" w14:textId="77777777" w:rsidR="00F65BCA" w:rsidRDefault="00F65BCA">
            <w:pPr>
              <w:pStyle w:val="TableParagraph"/>
              <w:rPr>
                <w:rFonts w:ascii="Times New Roman"/>
                <w:sz w:val="4"/>
              </w:rPr>
            </w:pP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5B9AA03A" w14:textId="77777777" w:rsidR="00F65BCA" w:rsidRDefault="00F65BCA">
            <w:pPr>
              <w:pStyle w:val="TableParagraph"/>
              <w:rPr>
                <w:rFonts w:ascii="Times New Roman"/>
                <w:sz w:val="4"/>
              </w:rPr>
            </w:pP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5601B76C" w14:textId="77777777" w:rsidR="00F65BCA" w:rsidRDefault="00F65BCA">
            <w:pPr>
              <w:pStyle w:val="TableParagraph"/>
              <w:rPr>
                <w:rFonts w:ascii="Times New Roman"/>
                <w:sz w:val="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1AE688B9" w14:textId="77777777" w:rsidR="00F65BCA" w:rsidRDefault="00F65BCA">
            <w:pPr>
              <w:pStyle w:val="TableParagraph"/>
              <w:rPr>
                <w:rFonts w:ascii="Times New Roman"/>
                <w:sz w:val="4"/>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1917D68F" w14:textId="77777777" w:rsidR="00F65BCA" w:rsidRDefault="00F65BCA">
            <w:pPr>
              <w:pStyle w:val="TableParagraph"/>
              <w:rPr>
                <w:rFonts w:ascii="Times New Roman"/>
                <w:sz w:val="4"/>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428EEC03"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0001148C" w14:textId="77777777" w:rsidR="00F65BCA" w:rsidRDefault="00216117">
            <w:pPr>
              <w:pStyle w:val="TableParagraph"/>
              <w:spacing w:before="4" w:line="67" w:lineRule="exact"/>
              <w:ind w:left="177"/>
              <w:rPr>
                <w:rFonts w:ascii="Calibri" w:hAnsi="Calibri"/>
                <w:sz w:val="7"/>
              </w:rPr>
            </w:pPr>
            <w:r>
              <w:rPr>
                <w:rFonts w:ascii="Calibri" w:hAnsi="Calibri"/>
                <w:w w:val="105"/>
                <w:sz w:val="7"/>
              </w:rPr>
              <w:t>84 Kč</w:t>
            </w:r>
          </w:p>
        </w:tc>
      </w:tr>
      <w:tr w:rsidR="00F65BCA" w14:paraId="06273392" w14:textId="77777777">
        <w:trPr>
          <w:trHeight w:val="90"/>
        </w:trPr>
        <w:tc>
          <w:tcPr>
            <w:tcW w:w="188" w:type="dxa"/>
            <w:tcBorders>
              <w:top w:val="single" w:sz="4" w:space="0" w:color="000000"/>
              <w:bottom w:val="single" w:sz="4" w:space="0" w:color="000000"/>
              <w:right w:val="single" w:sz="4" w:space="0" w:color="000000"/>
            </w:tcBorders>
          </w:tcPr>
          <w:p w14:paraId="2E7062CC" w14:textId="77777777" w:rsidR="00F65BCA" w:rsidRDefault="00216117">
            <w:pPr>
              <w:pStyle w:val="TableParagraph"/>
              <w:spacing w:before="4" w:line="67" w:lineRule="exact"/>
              <w:ind w:left="59"/>
              <w:rPr>
                <w:rFonts w:ascii="Calibri"/>
                <w:sz w:val="7"/>
              </w:rPr>
            </w:pPr>
            <w:r>
              <w:rPr>
                <w:rFonts w:ascii="Calibri"/>
                <w:w w:val="105"/>
                <w:sz w:val="7"/>
              </w:rPr>
              <w:t>13</w:t>
            </w:r>
          </w:p>
        </w:tc>
        <w:tc>
          <w:tcPr>
            <w:tcW w:w="398" w:type="dxa"/>
            <w:tcBorders>
              <w:top w:val="single" w:sz="4" w:space="0" w:color="000000"/>
              <w:left w:val="single" w:sz="4" w:space="0" w:color="000000"/>
              <w:bottom w:val="single" w:sz="4" w:space="0" w:color="000000"/>
              <w:right w:val="single" w:sz="4" w:space="0" w:color="000000"/>
            </w:tcBorders>
          </w:tcPr>
          <w:p w14:paraId="288AF58A"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75FA8945"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2771099D"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368A9517"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7D867103" w14:textId="77777777" w:rsidR="00F65BCA" w:rsidRDefault="00216117">
            <w:pPr>
              <w:pStyle w:val="TableParagraph"/>
              <w:spacing w:before="1" w:line="69" w:lineRule="exact"/>
              <w:ind w:left="70"/>
              <w:rPr>
                <w:rFonts w:ascii="Calibri"/>
                <w:sz w:val="7"/>
              </w:rPr>
            </w:pPr>
            <w:r>
              <w:rPr>
                <w:rFonts w:ascii="Calibri"/>
                <w:w w:val="105"/>
                <w:sz w:val="7"/>
              </w:rPr>
              <w:t>4P07525</w:t>
            </w:r>
          </w:p>
        </w:tc>
        <w:tc>
          <w:tcPr>
            <w:tcW w:w="398" w:type="dxa"/>
            <w:tcBorders>
              <w:top w:val="single" w:sz="4" w:space="0" w:color="000000"/>
              <w:left w:val="single" w:sz="4" w:space="0" w:color="000000"/>
              <w:bottom w:val="single" w:sz="4" w:space="0" w:color="000000"/>
              <w:right w:val="single" w:sz="4" w:space="0" w:color="000000"/>
            </w:tcBorders>
          </w:tcPr>
          <w:p w14:paraId="29AA823E" w14:textId="77777777" w:rsidR="00F65BCA" w:rsidRDefault="00216117">
            <w:pPr>
              <w:pStyle w:val="TableParagraph"/>
              <w:spacing w:before="1" w:line="69" w:lineRule="exact"/>
              <w:ind w:left="16"/>
              <w:jc w:val="center"/>
              <w:rPr>
                <w:rFonts w:ascii="Calibri"/>
                <w:sz w:val="7"/>
              </w:rPr>
            </w:pPr>
            <w:r>
              <w:rPr>
                <w:rFonts w:ascii="Calibri"/>
                <w:w w:val="105"/>
                <w:sz w:val="7"/>
              </w:rPr>
              <w:t>UB916754</w:t>
            </w:r>
          </w:p>
        </w:tc>
        <w:tc>
          <w:tcPr>
            <w:tcW w:w="792" w:type="dxa"/>
            <w:tcBorders>
              <w:top w:val="single" w:sz="4" w:space="0" w:color="000000"/>
              <w:left w:val="single" w:sz="4" w:space="0" w:color="000000"/>
              <w:bottom w:val="single" w:sz="4" w:space="0" w:color="000000"/>
              <w:right w:val="single" w:sz="4" w:space="0" w:color="000000"/>
            </w:tcBorders>
          </w:tcPr>
          <w:p w14:paraId="0D534BA2" w14:textId="77777777" w:rsidR="00F65BCA" w:rsidRDefault="00216117">
            <w:pPr>
              <w:pStyle w:val="TableParagraph"/>
              <w:spacing w:before="1" w:line="69" w:lineRule="exact"/>
              <w:ind w:left="64"/>
              <w:rPr>
                <w:rFonts w:ascii="Calibri"/>
                <w:sz w:val="7"/>
              </w:rPr>
            </w:pPr>
            <w:r>
              <w:rPr>
                <w:rFonts w:ascii="Calibri"/>
                <w:w w:val="105"/>
                <w:sz w:val="7"/>
              </w:rPr>
              <w:t>TMBBE61Z582014275</w:t>
            </w:r>
          </w:p>
        </w:tc>
        <w:tc>
          <w:tcPr>
            <w:tcW w:w="398" w:type="dxa"/>
            <w:tcBorders>
              <w:top w:val="single" w:sz="4" w:space="0" w:color="000000"/>
              <w:left w:val="single" w:sz="4" w:space="0" w:color="000000"/>
              <w:bottom w:val="single" w:sz="4" w:space="0" w:color="000000"/>
              <w:right w:val="single" w:sz="4" w:space="0" w:color="000000"/>
            </w:tcBorders>
          </w:tcPr>
          <w:p w14:paraId="4F8947CA" w14:textId="77777777" w:rsidR="00F65BCA" w:rsidRDefault="00216117">
            <w:pPr>
              <w:pStyle w:val="TableParagraph"/>
              <w:spacing w:before="1" w:line="69" w:lineRule="exact"/>
              <w:ind w:left="100"/>
              <w:rPr>
                <w:rFonts w:ascii="Calibri"/>
                <w:sz w:val="7"/>
              </w:rPr>
            </w:pPr>
            <w:r>
              <w:rPr>
                <w:rFonts w:ascii="Calibri"/>
                <w:w w:val="105"/>
                <w:sz w:val="7"/>
              </w:rPr>
              <w:t>SKODA</w:t>
            </w:r>
          </w:p>
        </w:tc>
        <w:tc>
          <w:tcPr>
            <w:tcW w:w="1065" w:type="dxa"/>
            <w:tcBorders>
              <w:top w:val="single" w:sz="4" w:space="0" w:color="000000"/>
              <w:left w:val="single" w:sz="4" w:space="0" w:color="000000"/>
              <w:bottom w:val="single" w:sz="4" w:space="0" w:color="000000"/>
              <w:right w:val="single" w:sz="4" w:space="0" w:color="000000"/>
            </w:tcBorders>
          </w:tcPr>
          <w:p w14:paraId="6093E43A" w14:textId="77777777" w:rsidR="00F65BCA" w:rsidRDefault="00216117">
            <w:pPr>
              <w:pStyle w:val="TableParagraph"/>
              <w:spacing w:before="1" w:line="69" w:lineRule="exact"/>
              <w:ind w:left="73" w:right="55"/>
              <w:jc w:val="center"/>
              <w:rPr>
                <w:rFonts w:ascii="Calibri"/>
                <w:sz w:val="7"/>
              </w:rPr>
            </w:pPr>
            <w:r>
              <w:rPr>
                <w:rFonts w:ascii="Calibri"/>
                <w:w w:val="105"/>
                <w:sz w:val="7"/>
              </w:rPr>
              <w:t>OCTAVIA DIESEL II</w:t>
            </w:r>
          </w:p>
        </w:tc>
        <w:tc>
          <w:tcPr>
            <w:tcW w:w="815" w:type="dxa"/>
            <w:tcBorders>
              <w:top w:val="single" w:sz="4" w:space="0" w:color="000000"/>
              <w:left w:val="single" w:sz="4" w:space="0" w:color="000000"/>
              <w:bottom w:val="single" w:sz="4" w:space="0" w:color="000000"/>
              <w:right w:val="single" w:sz="4" w:space="0" w:color="000000"/>
            </w:tcBorders>
          </w:tcPr>
          <w:p w14:paraId="24A768BA"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45697160" w14:textId="77777777" w:rsidR="00F65BCA" w:rsidRDefault="00216117">
            <w:pPr>
              <w:pStyle w:val="TableParagraph"/>
              <w:spacing w:before="1" w:line="69" w:lineRule="exact"/>
              <w:ind w:right="41"/>
              <w:jc w:val="right"/>
              <w:rPr>
                <w:rFonts w:ascii="Calibri"/>
                <w:sz w:val="7"/>
              </w:rPr>
            </w:pPr>
            <w:r>
              <w:rPr>
                <w:rFonts w:ascii="Calibri"/>
                <w:w w:val="105"/>
                <w:sz w:val="7"/>
              </w:rPr>
              <w:t>2007</w:t>
            </w:r>
          </w:p>
        </w:tc>
        <w:tc>
          <w:tcPr>
            <w:tcW w:w="278" w:type="dxa"/>
            <w:tcBorders>
              <w:top w:val="single" w:sz="4" w:space="0" w:color="000000"/>
              <w:left w:val="single" w:sz="4" w:space="0" w:color="000000"/>
              <w:bottom w:val="single" w:sz="4" w:space="0" w:color="000000"/>
              <w:right w:val="single" w:sz="4" w:space="0" w:color="000000"/>
            </w:tcBorders>
          </w:tcPr>
          <w:p w14:paraId="792F467D" w14:textId="77777777" w:rsidR="00F65BCA" w:rsidRDefault="00216117">
            <w:pPr>
              <w:pStyle w:val="TableParagraph"/>
              <w:spacing w:before="1" w:line="69" w:lineRule="exact"/>
              <w:ind w:left="28" w:right="2"/>
              <w:jc w:val="center"/>
              <w:rPr>
                <w:rFonts w:ascii="Calibri"/>
                <w:sz w:val="7"/>
              </w:rPr>
            </w:pPr>
            <w:r>
              <w:rPr>
                <w:rFonts w:ascii="Calibri"/>
                <w:w w:val="105"/>
                <w:sz w:val="7"/>
              </w:rPr>
              <w:t>1968</w:t>
            </w:r>
          </w:p>
        </w:tc>
        <w:tc>
          <w:tcPr>
            <w:tcW w:w="268" w:type="dxa"/>
            <w:tcBorders>
              <w:top w:val="single" w:sz="4" w:space="0" w:color="000000"/>
              <w:left w:val="single" w:sz="4" w:space="0" w:color="000000"/>
              <w:bottom w:val="single" w:sz="4" w:space="0" w:color="000000"/>
              <w:right w:val="single" w:sz="4" w:space="0" w:color="000000"/>
            </w:tcBorders>
          </w:tcPr>
          <w:p w14:paraId="25B028B7" w14:textId="77777777" w:rsidR="00F65BCA" w:rsidRDefault="00216117">
            <w:pPr>
              <w:pStyle w:val="TableParagraph"/>
              <w:spacing w:before="1" w:line="69" w:lineRule="exact"/>
              <w:ind w:right="56"/>
              <w:jc w:val="right"/>
              <w:rPr>
                <w:rFonts w:ascii="Calibri"/>
                <w:sz w:val="7"/>
              </w:rPr>
            </w:pPr>
            <w:r>
              <w:rPr>
                <w:rFonts w:ascii="Calibri"/>
                <w:w w:val="105"/>
                <w:sz w:val="7"/>
              </w:rPr>
              <w:t>103</w:t>
            </w:r>
          </w:p>
        </w:tc>
        <w:tc>
          <w:tcPr>
            <w:tcW w:w="398" w:type="dxa"/>
            <w:tcBorders>
              <w:top w:val="single" w:sz="4" w:space="0" w:color="000000"/>
              <w:left w:val="single" w:sz="4" w:space="0" w:color="000000"/>
              <w:bottom w:val="single" w:sz="4" w:space="0" w:color="000000"/>
              <w:right w:val="single" w:sz="4" w:space="0" w:color="000000"/>
            </w:tcBorders>
          </w:tcPr>
          <w:p w14:paraId="7216BF55" w14:textId="77777777" w:rsidR="00F65BCA" w:rsidRDefault="00216117">
            <w:pPr>
              <w:pStyle w:val="TableParagraph"/>
              <w:spacing w:before="1" w:line="69" w:lineRule="exact"/>
              <w:ind w:left="28"/>
              <w:jc w:val="center"/>
              <w:rPr>
                <w:rFonts w:ascii="Calibri"/>
                <w:sz w:val="7"/>
              </w:rPr>
            </w:pPr>
            <w:r>
              <w:rPr>
                <w:rFonts w:ascii="Calibri"/>
                <w:w w:val="105"/>
                <w:sz w:val="7"/>
              </w:rPr>
              <w:t>1968</w:t>
            </w:r>
          </w:p>
        </w:tc>
        <w:tc>
          <w:tcPr>
            <w:tcW w:w="249" w:type="dxa"/>
            <w:tcBorders>
              <w:top w:val="single" w:sz="4" w:space="0" w:color="000000"/>
              <w:left w:val="single" w:sz="4" w:space="0" w:color="000000"/>
              <w:bottom w:val="single" w:sz="4" w:space="0" w:color="000000"/>
              <w:right w:val="single" w:sz="4" w:space="0" w:color="000000"/>
            </w:tcBorders>
          </w:tcPr>
          <w:p w14:paraId="6DB70B53" w14:textId="77777777" w:rsidR="00F65BCA" w:rsidRDefault="00216117">
            <w:pPr>
              <w:pStyle w:val="TableParagraph"/>
              <w:spacing w:before="1"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223A5B47" w14:textId="77777777" w:rsidR="00F65BCA" w:rsidRDefault="00216117">
            <w:pPr>
              <w:pStyle w:val="TableParagraph"/>
              <w:spacing w:before="1"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33CC6A77"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441D2F7F" w14:textId="77777777" w:rsidR="00F65BCA" w:rsidRDefault="00216117">
            <w:pPr>
              <w:pStyle w:val="TableParagraph"/>
              <w:spacing w:before="1" w:line="69" w:lineRule="exact"/>
              <w:jc w:val="right"/>
              <w:rPr>
                <w:rFonts w:ascii="Calibri" w:hAnsi="Calibri"/>
                <w:sz w:val="7"/>
              </w:rPr>
            </w:pPr>
            <w:r>
              <w:rPr>
                <w:rFonts w:ascii="Calibri" w:hAnsi="Calibri"/>
                <w:w w:val="105"/>
                <w:sz w:val="7"/>
              </w:rPr>
              <w:t>70 000 Kč</w:t>
            </w:r>
          </w:p>
        </w:tc>
        <w:tc>
          <w:tcPr>
            <w:tcW w:w="278" w:type="dxa"/>
            <w:tcBorders>
              <w:top w:val="single" w:sz="4" w:space="0" w:color="000000"/>
              <w:left w:val="single" w:sz="4" w:space="0" w:color="000000"/>
              <w:bottom w:val="single" w:sz="4" w:space="0" w:color="000000"/>
              <w:right w:val="single" w:sz="4" w:space="0" w:color="000000"/>
            </w:tcBorders>
          </w:tcPr>
          <w:p w14:paraId="2EB3F3EE"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48A1AE4D"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7DA8ACB1"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12 000 Kč</w:t>
            </w:r>
          </w:p>
        </w:tc>
        <w:tc>
          <w:tcPr>
            <w:tcW w:w="398" w:type="dxa"/>
            <w:tcBorders>
              <w:top w:val="single" w:sz="4" w:space="0" w:color="000000"/>
              <w:left w:val="single" w:sz="4" w:space="0" w:color="000000"/>
              <w:bottom w:val="single" w:sz="4" w:space="0" w:color="000000"/>
              <w:right w:val="single" w:sz="4" w:space="0" w:color="000000"/>
            </w:tcBorders>
          </w:tcPr>
          <w:p w14:paraId="4AF5F1A5"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58441DC8"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48376F80"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11BD6648"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2A099766"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2 196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4D01E338"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1 500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5C76B9E7" w14:textId="77777777" w:rsidR="00F65BCA" w:rsidRDefault="00216117">
            <w:pPr>
              <w:pStyle w:val="TableParagraph"/>
              <w:spacing w:before="4" w:line="67" w:lineRule="exact"/>
              <w:ind w:right="98"/>
              <w:jc w:val="right"/>
              <w:rPr>
                <w:rFonts w:ascii="Calibri" w:hAnsi="Calibri"/>
                <w:sz w:val="7"/>
              </w:rPr>
            </w:pPr>
            <w:r>
              <w:rPr>
                <w:rFonts w:ascii="Calibri" w:hAnsi="Calibri"/>
                <w:w w:val="105"/>
                <w:sz w:val="7"/>
              </w:rPr>
              <w:t>924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51C6B599"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4F3190E3"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3B903A4B" w14:textId="77777777" w:rsidR="00F65BCA" w:rsidRDefault="00216117">
            <w:pPr>
              <w:pStyle w:val="TableParagraph"/>
              <w:spacing w:before="4" w:line="67" w:lineRule="exact"/>
              <w:ind w:left="77" w:right="16"/>
              <w:jc w:val="center"/>
              <w:rPr>
                <w:rFonts w:ascii="Calibri" w:hAnsi="Calibri"/>
                <w:sz w:val="7"/>
              </w:rPr>
            </w:pPr>
            <w:r>
              <w:rPr>
                <w:rFonts w:ascii="Calibri" w:hAnsi="Calibri"/>
                <w:w w:val="105"/>
                <w:sz w:val="7"/>
              </w:rPr>
              <w:t>1 320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7192351"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0A6CACA0" w14:textId="77777777" w:rsidR="00F65BCA" w:rsidRDefault="00216117">
            <w:pPr>
              <w:pStyle w:val="TableParagraph"/>
              <w:spacing w:before="4" w:line="67" w:lineRule="exact"/>
              <w:ind w:left="130"/>
              <w:rPr>
                <w:rFonts w:ascii="Calibri" w:hAnsi="Calibri"/>
                <w:sz w:val="7"/>
              </w:rPr>
            </w:pPr>
            <w:r>
              <w:rPr>
                <w:rFonts w:ascii="Calibri" w:hAnsi="Calibri"/>
                <w:w w:val="105"/>
                <w:sz w:val="7"/>
              </w:rPr>
              <w:t>6 852 Kč</w:t>
            </w:r>
          </w:p>
        </w:tc>
      </w:tr>
      <w:tr w:rsidR="00F65BCA" w14:paraId="7546B961" w14:textId="77777777">
        <w:trPr>
          <w:trHeight w:val="90"/>
        </w:trPr>
        <w:tc>
          <w:tcPr>
            <w:tcW w:w="188" w:type="dxa"/>
            <w:tcBorders>
              <w:top w:val="single" w:sz="4" w:space="0" w:color="000000"/>
              <w:bottom w:val="single" w:sz="4" w:space="0" w:color="000000"/>
              <w:right w:val="single" w:sz="4" w:space="0" w:color="000000"/>
            </w:tcBorders>
          </w:tcPr>
          <w:p w14:paraId="28F2196B" w14:textId="77777777" w:rsidR="00F65BCA" w:rsidRDefault="00216117">
            <w:pPr>
              <w:pStyle w:val="TableParagraph"/>
              <w:spacing w:before="4" w:line="67" w:lineRule="exact"/>
              <w:ind w:left="59"/>
              <w:rPr>
                <w:rFonts w:ascii="Calibri"/>
                <w:sz w:val="7"/>
              </w:rPr>
            </w:pPr>
            <w:r>
              <w:rPr>
                <w:rFonts w:ascii="Calibri"/>
                <w:w w:val="105"/>
                <w:sz w:val="7"/>
              </w:rPr>
              <w:t>14</w:t>
            </w:r>
          </w:p>
        </w:tc>
        <w:tc>
          <w:tcPr>
            <w:tcW w:w="398" w:type="dxa"/>
            <w:tcBorders>
              <w:top w:val="single" w:sz="4" w:space="0" w:color="000000"/>
              <w:left w:val="single" w:sz="4" w:space="0" w:color="000000"/>
              <w:bottom w:val="single" w:sz="4" w:space="0" w:color="000000"/>
              <w:right w:val="single" w:sz="4" w:space="0" w:color="000000"/>
            </w:tcBorders>
          </w:tcPr>
          <w:p w14:paraId="6AC5EC3E"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46050693"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9DA1F93"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4FFA3300"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C8376B8" w14:textId="77777777" w:rsidR="00F65BCA" w:rsidRDefault="00216117">
            <w:pPr>
              <w:pStyle w:val="TableParagraph"/>
              <w:spacing w:before="1" w:line="69" w:lineRule="exact"/>
              <w:ind w:left="82"/>
              <w:rPr>
                <w:rFonts w:ascii="Calibri"/>
                <w:sz w:val="7"/>
              </w:rPr>
            </w:pPr>
            <w:r>
              <w:rPr>
                <w:rFonts w:ascii="Calibri"/>
                <w:w w:val="105"/>
                <w:sz w:val="7"/>
              </w:rPr>
              <w:t>4SI0662</w:t>
            </w:r>
          </w:p>
        </w:tc>
        <w:tc>
          <w:tcPr>
            <w:tcW w:w="398" w:type="dxa"/>
            <w:tcBorders>
              <w:top w:val="single" w:sz="4" w:space="0" w:color="000000"/>
              <w:left w:val="single" w:sz="4" w:space="0" w:color="000000"/>
              <w:bottom w:val="single" w:sz="4" w:space="0" w:color="000000"/>
              <w:right w:val="single" w:sz="4" w:space="0" w:color="000000"/>
            </w:tcBorders>
          </w:tcPr>
          <w:p w14:paraId="6A6E4403" w14:textId="77777777" w:rsidR="00F65BCA" w:rsidRDefault="00216117">
            <w:pPr>
              <w:pStyle w:val="TableParagraph"/>
              <w:spacing w:before="1" w:line="69" w:lineRule="exact"/>
              <w:ind w:left="18"/>
              <w:jc w:val="center"/>
              <w:rPr>
                <w:rFonts w:ascii="Calibri"/>
                <w:sz w:val="7"/>
              </w:rPr>
            </w:pPr>
            <w:r>
              <w:rPr>
                <w:rFonts w:ascii="Calibri"/>
                <w:w w:val="105"/>
                <w:sz w:val="7"/>
              </w:rPr>
              <w:t>UI404194</w:t>
            </w:r>
          </w:p>
        </w:tc>
        <w:tc>
          <w:tcPr>
            <w:tcW w:w="792" w:type="dxa"/>
            <w:tcBorders>
              <w:top w:val="single" w:sz="4" w:space="0" w:color="000000"/>
              <w:left w:val="single" w:sz="4" w:space="0" w:color="000000"/>
              <w:bottom w:val="single" w:sz="4" w:space="0" w:color="000000"/>
              <w:right w:val="single" w:sz="4" w:space="0" w:color="000000"/>
            </w:tcBorders>
          </w:tcPr>
          <w:p w14:paraId="233418C2" w14:textId="77777777" w:rsidR="00F65BCA" w:rsidRDefault="00216117">
            <w:pPr>
              <w:pStyle w:val="TableParagraph"/>
              <w:spacing w:before="1" w:line="69" w:lineRule="exact"/>
              <w:ind w:left="59"/>
              <w:rPr>
                <w:rFonts w:ascii="Calibri"/>
                <w:sz w:val="7"/>
              </w:rPr>
            </w:pPr>
            <w:r>
              <w:rPr>
                <w:rFonts w:ascii="Calibri"/>
                <w:w w:val="105"/>
                <w:sz w:val="7"/>
              </w:rPr>
              <w:t>TMBAH7NPXJ7526219</w:t>
            </w:r>
          </w:p>
        </w:tc>
        <w:tc>
          <w:tcPr>
            <w:tcW w:w="398" w:type="dxa"/>
            <w:tcBorders>
              <w:top w:val="single" w:sz="4" w:space="0" w:color="000000"/>
              <w:left w:val="single" w:sz="4" w:space="0" w:color="000000"/>
              <w:bottom w:val="single" w:sz="4" w:space="0" w:color="000000"/>
              <w:right w:val="single" w:sz="4" w:space="0" w:color="000000"/>
            </w:tcBorders>
          </w:tcPr>
          <w:p w14:paraId="20A69302" w14:textId="77777777" w:rsidR="00F65BCA" w:rsidRDefault="00216117">
            <w:pPr>
              <w:pStyle w:val="TableParagraph"/>
              <w:spacing w:before="1" w:line="69" w:lineRule="exact"/>
              <w:ind w:left="100"/>
              <w:rPr>
                <w:rFonts w:ascii="Calibri"/>
                <w:sz w:val="7"/>
              </w:rPr>
            </w:pPr>
            <w:r>
              <w:rPr>
                <w:rFonts w:ascii="Calibri"/>
                <w:w w:val="105"/>
                <w:sz w:val="7"/>
              </w:rPr>
              <w:t>SKODA</w:t>
            </w:r>
          </w:p>
        </w:tc>
        <w:tc>
          <w:tcPr>
            <w:tcW w:w="1065" w:type="dxa"/>
            <w:tcBorders>
              <w:top w:val="single" w:sz="4" w:space="0" w:color="000000"/>
              <w:left w:val="single" w:sz="4" w:space="0" w:color="000000"/>
              <w:bottom w:val="single" w:sz="4" w:space="0" w:color="000000"/>
              <w:right w:val="single" w:sz="4" w:space="0" w:color="000000"/>
            </w:tcBorders>
          </w:tcPr>
          <w:p w14:paraId="316286F9" w14:textId="77777777" w:rsidR="00F65BCA" w:rsidRDefault="00216117">
            <w:pPr>
              <w:pStyle w:val="TableParagraph"/>
              <w:spacing w:before="1" w:line="69" w:lineRule="exact"/>
              <w:ind w:left="75" w:right="54"/>
              <w:jc w:val="center"/>
              <w:rPr>
                <w:rFonts w:ascii="Calibri"/>
                <w:sz w:val="7"/>
              </w:rPr>
            </w:pPr>
            <w:r>
              <w:rPr>
                <w:rFonts w:ascii="Calibri"/>
                <w:w w:val="105"/>
                <w:sz w:val="7"/>
              </w:rPr>
              <w:t>SUPERB DIESEL III</w:t>
            </w:r>
          </w:p>
        </w:tc>
        <w:tc>
          <w:tcPr>
            <w:tcW w:w="815" w:type="dxa"/>
            <w:tcBorders>
              <w:top w:val="single" w:sz="4" w:space="0" w:color="000000"/>
              <w:left w:val="single" w:sz="4" w:space="0" w:color="000000"/>
              <w:bottom w:val="single" w:sz="4" w:space="0" w:color="000000"/>
              <w:right w:val="single" w:sz="4" w:space="0" w:color="000000"/>
            </w:tcBorders>
          </w:tcPr>
          <w:p w14:paraId="2BE0D0BB"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6AB45A57" w14:textId="77777777" w:rsidR="00F65BCA" w:rsidRDefault="00216117">
            <w:pPr>
              <w:pStyle w:val="TableParagraph"/>
              <w:spacing w:before="1" w:line="69" w:lineRule="exact"/>
              <w:ind w:right="41"/>
              <w:jc w:val="right"/>
              <w:rPr>
                <w:rFonts w:ascii="Calibri"/>
                <w:sz w:val="7"/>
              </w:rPr>
            </w:pPr>
            <w:r>
              <w:rPr>
                <w:rFonts w:ascii="Calibri"/>
                <w:w w:val="105"/>
                <w:sz w:val="7"/>
              </w:rPr>
              <w:t>2017</w:t>
            </w:r>
          </w:p>
        </w:tc>
        <w:tc>
          <w:tcPr>
            <w:tcW w:w="278" w:type="dxa"/>
            <w:tcBorders>
              <w:top w:val="single" w:sz="4" w:space="0" w:color="000000"/>
              <w:left w:val="single" w:sz="4" w:space="0" w:color="000000"/>
              <w:bottom w:val="single" w:sz="4" w:space="0" w:color="000000"/>
              <w:right w:val="single" w:sz="4" w:space="0" w:color="000000"/>
            </w:tcBorders>
          </w:tcPr>
          <w:p w14:paraId="23FAB597" w14:textId="77777777" w:rsidR="00F65BCA" w:rsidRDefault="00216117">
            <w:pPr>
              <w:pStyle w:val="TableParagraph"/>
              <w:spacing w:before="1" w:line="69" w:lineRule="exact"/>
              <w:ind w:left="28" w:right="2"/>
              <w:jc w:val="center"/>
              <w:rPr>
                <w:rFonts w:ascii="Calibri"/>
                <w:sz w:val="7"/>
              </w:rPr>
            </w:pPr>
            <w:r>
              <w:rPr>
                <w:rFonts w:ascii="Calibri"/>
                <w:w w:val="105"/>
                <w:sz w:val="7"/>
              </w:rPr>
              <w:t>1968</w:t>
            </w:r>
          </w:p>
        </w:tc>
        <w:tc>
          <w:tcPr>
            <w:tcW w:w="268" w:type="dxa"/>
            <w:tcBorders>
              <w:top w:val="single" w:sz="4" w:space="0" w:color="000000"/>
              <w:left w:val="single" w:sz="4" w:space="0" w:color="000000"/>
              <w:bottom w:val="single" w:sz="4" w:space="0" w:color="000000"/>
              <w:right w:val="single" w:sz="4" w:space="0" w:color="000000"/>
            </w:tcBorders>
          </w:tcPr>
          <w:p w14:paraId="6415309A" w14:textId="77777777" w:rsidR="00F65BCA" w:rsidRDefault="00216117">
            <w:pPr>
              <w:pStyle w:val="TableParagraph"/>
              <w:spacing w:before="1" w:line="69" w:lineRule="exact"/>
              <w:ind w:right="56"/>
              <w:jc w:val="right"/>
              <w:rPr>
                <w:rFonts w:ascii="Calibri"/>
                <w:sz w:val="7"/>
              </w:rPr>
            </w:pPr>
            <w:r>
              <w:rPr>
                <w:rFonts w:ascii="Calibri"/>
                <w:w w:val="105"/>
                <w:sz w:val="7"/>
              </w:rPr>
              <w:t>110</w:t>
            </w:r>
          </w:p>
        </w:tc>
        <w:tc>
          <w:tcPr>
            <w:tcW w:w="398" w:type="dxa"/>
            <w:tcBorders>
              <w:top w:val="single" w:sz="4" w:space="0" w:color="000000"/>
              <w:left w:val="single" w:sz="4" w:space="0" w:color="000000"/>
              <w:bottom w:val="single" w:sz="4" w:space="0" w:color="000000"/>
              <w:right w:val="single" w:sz="4" w:space="0" w:color="000000"/>
            </w:tcBorders>
          </w:tcPr>
          <w:p w14:paraId="1BF6807B" w14:textId="77777777" w:rsidR="00F65BCA" w:rsidRDefault="00216117">
            <w:pPr>
              <w:pStyle w:val="TableParagraph"/>
              <w:spacing w:before="1" w:line="69" w:lineRule="exact"/>
              <w:ind w:left="28"/>
              <w:jc w:val="center"/>
              <w:rPr>
                <w:rFonts w:ascii="Calibri"/>
                <w:sz w:val="7"/>
              </w:rPr>
            </w:pPr>
            <w:r>
              <w:rPr>
                <w:rFonts w:ascii="Calibri"/>
                <w:w w:val="105"/>
                <w:sz w:val="7"/>
              </w:rPr>
              <w:t>2115</w:t>
            </w:r>
          </w:p>
        </w:tc>
        <w:tc>
          <w:tcPr>
            <w:tcW w:w="249" w:type="dxa"/>
            <w:tcBorders>
              <w:top w:val="single" w:sz="4" w:space="0" w:color="000000"/>
              <w:left w:val="single" w:sz="4" w:space="0" w:color="000000"/>
              <w:bottom w:val="single" w:sz="4" w:space="0" w:color="000000"/>
              <w:right w:val="single" w:sz="4" w:space="0" w:color="000000"/>
            </w:tcBorders>
          </w:tcPr>
          <w:p w14:paraId="5AAB9DD0" w14:textId="77777777" w:rsidR="00F65BCA" w:rsidRDefault="00216117">
            <w:pPr>
              <w:pStyle w:val="TableParagraph"/>
              <w:spacing w:before="1"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04D21812" w14:textId="77777777" w:rsidR="00F65BCA" w:rsidRDefault="00216117">
            <w:pPr>
              <w:pStyle w:val="TableParagraph"/>
              <w:spacing w:before="1"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0AF22669"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06B842A5" w14:textId="77777777" w:rsidR="00F65BCA" w:rsidRDefault="00216117">
            <w:pPr>
              <w:pStyle w:val="TableParagraph"/>
              <w:spacing w:before="1" w:line="69" w:lineRule="exact"/>
              <w:jc w:val="right"/>
              <w:rPr>
                <w:rFonts w:ascii="Calibri" w:hAnsi="Calibri"/>
                <w:sz w:val="7"/>
              </w:rPr>
            </w:pPr>
            <w:r>
              <w:rPr>
                <w:rFonts w:ascii="Calibri" w:hAnsi="Calibri"/>
                <w:w w:val="105"/>
                <w:sz w:val="7"/>
              </w:rPr>
              <w:t>390 000 Kč</w:t>
            </w:r>
          </w:p>
        </w:tc>
        <w:tc>
          <w:tcPr>
            <w:tcW w:w="278" w:type="dxa"/>
            <w:tcBorders>
              <w:top w:val="single" w:sz="4" w:space="0" w:color="000000"/>
              <w:left w:val="single" w:sz="4" w:space="0" w:color="000000"/>
              <w:bottom w:val="single" w:sz="4" w:space="0" w:color="000000"/>
              <w:right w:val="single" w:sz="4" w:space="0" w:color="000000"/>
            </w:tcBorders>
          </w:tcPr>
          <w:p w14:paraId="65E165C4"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130A0864"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02F0A54C"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15 000 Kč</w:t>
            </w:r>
          </w:p>
        </w:tc>
        <w:tc>
          <w:tcPr>
            <w:tcW w:w="398" w:type="dxa"/>
            <w:tcBorders>
              <w:top w:val="single" w:sz="4" w:space="0" w:color="000000"/>
              <w:left w:val="single" w:sz="4" w:space="0" w:color="000000"/>
              <w:bottom w:val="single" w:sz="4" w:space="0" w:color="000000"/>
              <w:right w:val="single" w:sz="4" w:space="0" w:color="000000"/>
            </w:tcBorders>
          </w:tcPr>
          <w:p w14:paraId="6501F43A"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170347F1"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73EB9E1F"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311E0698"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67EFCE75"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2 196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75D04527"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6 888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51F9E386" w14:textId="77777777" w:rsidR="00F65BCA" w:rsidRDefault="00216117">
            <w:pPr>
              <w:pStyle w:val="TableParagraph"/>
              <w:spacing w:before="4" w:line="67" w:lineRule="exact"/>
              <w:ind w:right="70"/>
              <w:jc w:val="right"/>
              <w:rPr>
                <w:rFonts w:ascii="Calibri" w:hAnsi="Calibri"/>
                <w:sz w:val="7"/>
              </w:rPr>
            </w:pPr>
            <w:r>
              <w:rPr>
                <w:rFonts w:ascii="Calibri" w:hAnsi="Calibri"/>
                <w:w w:val="105"/>
                <w:sz w:val="7"/>
              </w:rPr>
              <w:t>1 152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7A9A7D58"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13C787DE"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8B3FC87" w14:textId="77777777" w:rsidR="00F65BCA" w:rsidRDefault="00216117">
            <w:pPr>
              <w:pStyle w:val="TableParagraph"/>
              <w:spacing w:before="4" w:line="67" w:lineRule="exact"/>
              <w:ind w:left="78" w:right="16"/>
              <w:jc w:val="center"/>
              <w:rPr>
                <w:rFonts w:ascii="Calibri" w:hAnsi="Calibri"/>
                <w:sz w:val="7"/>
              </w:rPr>
            </w:pPr>
            <w:r>
              <w:rPr>
                <w:rFonts w:ascii="Calibri" w:hAnsi="Calibri"/>
                <w:w w:val="105"/>
                <w:sz w:val="7"/>
              </w:rPr>
              <w:t>1 200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5BEBBFAD"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7E253A9E" w14:textId="77777777" w:rsidR="00F65BCA" w:rsidRDefault="00216117">
            <w:pPr>
              <w:pStyle w:val="TableParagraph"/>
              <w:spacing w:before="4" w:line="67" w:lineRule="exact"/>
              <w:ind w:left="111"/>
              <w:rPr>
                <w:rFonts w:ascii="Calibri" w:hAnsi="Calibri"/>
                <w:sz w:val="7"/>
              </w:rPr>
            </w:pPr>
            <w:r>
              <w:rPr>
                <w:rFonts w:ascii="Calibri" w:hAnsi="Calibri"/>
                <w:w w:val="105"/>
                <w:sz w:val="7"/>
              </w:rPr>
              <w:t>12 348 Kč</w:t>
            </w:r>
          </w:p>
        </w:tc>
      </w:tr>
      <w:tr w:rsidR="00F65BCA" w14:paraId="1A12DB02" w14:textId="77777777">
        <w:trPr>
          <w:trHeight w:val="90"/>
        </w:trPr>
        <w:tc>
          <w:tcPr>
            <w:tcW w:w="188" w:type="dxa"/>
            <w:tcBorders>
              <w:top w:val="single" w:sz="4" w:space="0" w:color="000000"/>
              <w:bottom w:val="single" w:sz="4" w:space="0" w:color="000000"/>
              <w:right w:val="single" w:sz="4" w:space="0" w:color="000000"/>
            </w:tcBorders>
          </w:tcPr>
          <w:p w14:paraId="3542B35A" w14:textId="77777777" w:rsidR="00F65BCA" w:rsidRDefault="00216117">
            <w:pPr>
              <w:pStyle w:val="TableParagraph"/>
              <w:spacing w:before="4" w:line="67" w:lineRule="exact"/>
              <w:ind w:left="59"/>
              <w:rPr>
                <w:rFonts w:ascii="Calibri"/>
                <w:sz w:val="7"/>
              </w:rPr>
            </w:pPr>
            <w:r>
              <w:rPr>
                <w:rFonts w:ascii="Calibri"/>
                <w:w w:val="105"/>
                <w:sz w:val="7"/>
              </w:rPr>
              <w:t>15</w:t>
            </w:r>
          </w:p>
        </w:tc>
        <w:tc>
          <w:tcPr>
            <w:tcW w:w="398" w:type="dxa"/>
            <w:tcBorders>
              <w:top w:val="single" w:sz="4" w:space="0" w:color="000000"/>
              <w:left w:val="single" w:sz="4" w:space="0" w:color="000000"/>
              <w:bottom w:val="single" w:sz="4" w:space="0" w:color="000000"/>
              <w:right w:val="single" w:sz="4" w:space="0" w:color="000000"/>
            </w:tcBorders>
          </w:tcPr>
          <w:p w14:paraId="5AE759F0"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787228A5"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E8E47B0"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43610D9E"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7D5448B3" w14:textId="77777777" w:rsidR="00F65BCA" w:rsidRDefault="00216117">
            <w:pPr>
              <w:pStyle w:val="TableParagraph"/>
              <w:spacing w:before="1" w:line="69" w:lineRule="exact"/>
              <w:ind w:left="70"/>
              <w:rPr>
                <w:rFonts w:ascii="Calibri"/>
                <w:sz w:val="7"/>
              </w:rPr>
            </w:pPr>
            <w:r>
              <w:rPr>
                <w:rFonts w:ascii="Calibri"/>
                <w:w w:val="105"/>
                <w:sz w:val="7"/>
              </w:rPr>
              <w:t>3P53871</w:t>
            </w:r>
          </w:p>
        </w:tc>
        <w:tc>
          <w:tcPr>
            <w:tcW w:w="398" w:type="dxa"/>
            <w:tcBorders>
              <w:top w:val="single" w:sz="4" w:space="0" w:color="000000"/>
              <w:left w:val="single" w:sz="4" w:space="0" w:color="000000"/>
              <w:bottom w:val="single" w:sz="4" w:space="0" w:color="000000"/>
              <w:right w:val="single" w:sz="4" w:space="0" w:color="000000"/>
            </w:tcBorders>
          </w:tcPr>
          <w:p w14:paraId="25760738" w14:textId="77777777" w:rsidR="00F65BCA" w:rsidRDefault="00216117">
            <w:pPr>
              <w:pStyle w:val="TableParagraph"/>
              <w:spacing w:before="1" w:line="69" w:lineRule="exact"/>
              <w:ind w:left="15"/>
              <w:jc w:val="center"/>
              <w:rPr>
                <w:rFonts w:ascii="Calibri"/>
                <w:sz w:val="7"/>
              </w:rPr>
            </w:pPr>
            <w:r>
              <w:rPr>
                <w:rFonts w:ascii="Calibri"/>
                <w:w w:val="105"/>
                <w:sz w:val="7"/>
              </w:rPr>
              <w:t>UC084824</w:t>
            </w:r>
          </w:p>
        </w:tc>
        <w:tc>
          <w:tcPr>
            <w:tcW w:w="792" w:type="dxa"/>
            <w:tcBorders>
              <w:top w:val="single" w:sz="4" w:space="0" w:color="000000"/>
              <w:left w:val="single" w:sz="4" w:space="0" w:color="000000"/>
              <w:bottom w:val="single" w:sz="4" w:space="0" w:color="000000"/>
              <w:right w:val="single" w:sz="4" w:space="0" w:color="000000"/>
            </w:tcBorders>
          </w:tcPr>
          <w:p w14:paraId="3BFFC37D" w14:textId="77777777" w:rsidR="00F65BCA" w:rsidRDefault="00216117">
            <w:pPr>
              <w:pStyle w:val="TableParagraph"/>
              <w:spacing w:before="1" w:line="69" w:lineRule="exact"/>
              <w:ind w:left="66"/>
              <w:rPr>
                <w:rFonts w:ascii="Calibri"/>
                <w:sz w:val="7"/>
              </w:rPr>
            </w:pPr>
            <w:r>
              <w:rPr>
                <w:rFonts w:ascii="Calibri"/>
                <w:w w:val="105"/>
                <w:sz w:val="7"/>
              </w:rPr>
              <w:t>TKXNP71757ANS5534</w:t>
            </w:r>
          </w:p>
        </w:tc>
        <w:tc>
          <w:tcPr>
            <w:tcW w:w="398" w:type="dxa"/>
            <w:tcBorders>
              <w:top w:val="single" w:sz="4" w:space="0" w:color="000000"/>
              <w:left w:val="single" w:sz="4" w:space="0" w:color="000000"/>
              <w:bottom w:val="single" w:sz="4" w:space="0" w:color="000000"/>
              <w:right w:val="single" w:sz="4" w:space="0" w:color="000000"/>
            </w:tcBorders>
          </w:tcPr>
          <w:p w14:paraId="5DFB6B93" w14:textId="77777777" w:rsidR="00F65BCA" w:rsidRDefault="00216117">
            <w:pPr>
              <w:pStyle w:val="TableParagraph"/>
              <w:spacing w:before="1" w:line="69" w:lineRule="exact"/>
              <w:ind w:left="73"/>
              <w:rPr>
                <w:rFonts w:ascii="Calibri"/>
                <w:sz w:val="7"/>
              </w:rPr>
            </w:pPr>
            <w:r>
              <w:rPr>
                <w:rFonts w:ascii="Calibri"/>
                <w:w w:val="105"/>
                <w:sz w:val="7"/>
              </w:rPr>
              <w:t>AGADOS</w:t>
            </w:r>
          </w:p>
        </w:tc>
        <w:tc>
          <w:tcPr>
            <w:tcW w:w="1065" w:type="dxa"/>
            <w:tcBorders>
              <w:top w:val="single" w:sz="4" w:space="0" w:color="000000"/>
              <w:left w:val="single" w:sz="4" w:space="0" w:color="000000"/>
              <w:bottom w:val="single" w:sz="4" w:space="0" w:color="000000"/>
              <w:right w:val="single" w:sz="4" w:space="0" w:color="000000"/>
            </w:tcBorders>
          </w:tcPr>
          <w:p w14:paraId="115AC617" w14:textId="77777777" w:rsidR="00F65BCA" w:rsidRDefault="00216117">
            <w:pPr>
              <w:pStyle w:val="TableParagraph"/>
              <w:spacing w:before="1" w:line="69" w:lineRule="exact"/>
              <w:ind w:left="75" w:right="51"/>
              <w:jc w:val="center"/>
              <w:rPr>
                <w:rFonts w:ascii="Calibri"/>
                <w:sz w:val="7"/>
              </w:rPr>
            </w:pPr>
            <w:r>
              <w:rPr>
                <w:rFonts w:ascii="Calibri"/>
                <w:w w:val="105"/>
                <w:sz w:val="7"/>
              </w:rPr>
              <w:t>NP</w:t>
            </w:r>
          </w:p>
        </w:tc>
        <w:tc>
          <w:tcPr>
            <w:tcW w:w="815" w:type="dxa"/>
            <w:tcBorders>
              <w:top w:val="single" w:sz="4" w:space="0" w:color="000000"/>
              <w:left w:val="single" w:sz="4" w:space="0" w:color="000000"/>
              <w:bottom w:val="single" w:sz="4" w:space="0" w:color="000000"/>
              <w:right w:val="single" w:sz="4" w:space="0" w:color="000000"/>
            </w:tcBorders>
          </w:tcPr>
          <w:p w14:paraId="626E121B" w14:textId="77777777" w:rsidR="00F65BCA" w:rsidRDefault="00216117">
            <w:pPr>
              <w:pStyle w:val="TableParagraph"/>
              <w:spacing w:before="1" w:line="69" w:lineRule="exact"/>
              <w:ind w:left="36" w:right="11"/>
              <w:jc w:val="center"/>
              <w:rPr>
                <w:rFonts w:ascii="Calibri" w:hAnsi="Calibri"/>
                <w:sz w:val="7"/>
              </w:rPr>
            </w:pPr>
            <w:r>
              <w:rPr>
                <w:rFonts w:ascii="Calibri" w:hAnsi="Calibri"/>
                <w:w w:val="105"/>
                <w:sz w:val="7"/>
              </w:rPr>
              <w:t>Přívěs</w:t>
            </w:r>
          </w:p>
        </w:tc>
        <w:tc>
          <w:tcPr>
            <w:tcW w:w="273" w:type="dxa"/>
            <w:tcBorders>
              <w:top w:val="single" w:sz="4" w:space="0" w:color="000000"/>
              <w:left w:val="single" w:sz="4" w:space="0" w:color="000000"/>
              <w:bottom w:val="single" w:sz="4" w:space="0" w:color="000000"/>
              <w:right w:val="single" w:sz="4" w:space="0" w:color="000000"/>
            </w:tcBorders>
          </w:tcPr>
          <w:p w14:paraId="33B98707" w14:textId="77777777" w:rsidR="00F65BCA" w:rsidRDefault="00216117">
            <w:pPr>
              <w:pStyle w:val="TableParagraph"/>
              <w:spacing w:before="1" w:line="69" w:lineRule="exact"/>
              <w:ind w:right="41"/>
              <w:jc w:val="right"/>
              <w:rPr>
                <w:rFonts w:ascii="Calibri"/>
                <w:sz w:val="7"/>
              </w:rPr>
            </w:pPr>
            <w:r>
              <w:rPr>
                <w:rFonts w:ascii="Calibri"/>
                <w:w w:val="105"/>
                <w:sz w:val="7"/>
              </w:rPr>
              <w:t>2008</w:t>
            </w:r>
          </w:p>
        </w:tc>
        <w:tc>
          <w:tcPr>
            <w:tcW w:w="278" w:type="dxa"/>
            <w:tcBorders>
              <w:top w:val="single" w:sz="4" w:space="0" w:color="000000"/>
              <w:left w:val="single" w:sz="4" w:space="0" w:color="000000"/>
              <w:bottom w:val="single" w:sz="4" w:space="0" w:color="000000"/>
              <w:right w:val="single" w:sz="4" w:space="0" w:color="000000"/>
            </w:tcBorders>
          </w:tcPr>
          <w:p w14:paraId="6F7DDCA0" w14:textId="77777777" w:rsidR="00F65BCA" w:rsidRDefault="00216117">
            <w:pPr>
              <w:pStyle w:val="TableParagraph"/>
              <w:spacing w:before="1" w:line="69" w:lineRule="exact"/>
              <w:ind w:left="28"/>
              <w:jc w:val="center"/>
              <w:rPr>
                <w:rFonts w:ascii="Calibri"/>
                <w:sz w:val="7"/>
              </w:rPr>
            </w:pPr>
            <w:r>
              <w:rPr>
                <w:rFonts w:ascii="Calibri"/>
                <w:w w:val="106"/>
                <w:sz w:val="7"/>
              </w:rPr>
              <w:t>0</w:t>
            </w:r>
          </w:p>
        </w:tc>
        <w:tc>
          <w:tcPr>
            <w:tcW w:w="268" w:type="dxa"/>
            <w:tcBorders>
              <w:top w:val="single" w:sz="4" w:space="0" w:color="000000"/>
              <w:left w:val="single" w:sz="4" w:space="0" w:color="000000"/>
              <w:bottom w:val="single" w:sz="4" w:space="0" w:color="000000"/>
              <w:right w:val="single" w:sz="4" w:space="0" w:color="000000"/>
            </w:tcBorders>
          </w:tcPr>
          <w:p w14:paraId="4A85D219" w14:textId="77777777" w:rsidR="00F65BCA" w:rsidRDefault="00216117">
            <w:pPr>
              <w:pStyle w:val="TableParagraph"/>
              <w:spacing w:before="1" w:line="69" w:lineRule="exact"/>
              <w:ind w:right="93"/>
              <w:jc w:val="right"/>
              <w:rPr>
                <w:rFonts w:ascii="Calibri"/>
                <w:sz w:val="7"/>
              </w:rPr>
            </w:pPr>
            <w:r>
              <w:rPr>
                <w:rFonts w:ascii="Calibri"/>
                <w:w w:val="106"/>
                <w:sz w:val="7"/>
              </w:rPr>
              <w:t>0</w:t>
            </w:r>
          </w:p>
        </w:tc>
        <w:tc>
          <w:tcPr>
            <w:tcW w:w="398" w:type="dxa"/>
            <w:tcBorders>
              <w:top w:val="single" w:sz="4" w:space="0" w:color="000000"/>
              <w:left w:val="single" w:sz="4" w:space="0" w:color="000000"/>
              <w:bottom w:val="single" w:sz="4" w:space="0" w:color="000000"/>
              <w:right w:val="single" w:sz="4" w:space="0" w:color="000000"/>
            </w:tcBorders>
          </w:tcPr>
          <w:p w14:paraId="0AD9D92F" w14:textId="77777777" w:rsidR="00F65BCA" w:rsidRDefault="00216117">
            <w:pPr>
              <w:pStyle w:val="TableParagraph"/>
              <w:spacing w:before="1" w:line="69" w:lineRule="exact"/>
              <w:ind w:left="29"/>
              <w:jc w:val="center"/>
              <w:rPr>
                <w:rFonts w:ascii="Calibri"/>
                <w:sz w:val="7"/>
              </w:rPr>
            </w:pPr>
            <w:r>
              <w:rPr>
                <w:rFonts w:ascii="Calibri"/>
                <w:w w:val="105"/>
                <w:sz w:val="7"/>
              </w:rPr>
              <w:t>300</w:t>
            </w:r>
          </w:p>
        </w:tc>
        <w:tc>
          <w:tcPr>
            <w:tcW w:w="249" w:type="dxa"/>
            <w:tcBorders>
              <w:top w:val="single" w:sz="4" w:space="0" w:color="000000"/>
              <w:left w:val="single" w:sz="4" w:space="0" w:color="000000"/>
              <w:bottom w:val="single" w:sz="4" w:space="0" w:color="000000"/>
              <w:right w:val="single" w:sz="4" w:space="0" w:color="000000"/>
            </w:tcBorders>
          </w:tcPr>
          <w:p w14:paraId="626D9A38" w14:textId="77777777" w:rsidR="00F65BCA" w:rsidRDefault="00F65BCA">
            <w:pPr>
              <w:pStyle w:val="TableParagraph"/>
              <w:rPr>
                <w:rFonts w:ascii="Times New Roman"/>
                <w:sz w:val="4"/>
              </w:rPr>
            </w:pPr>
          </w:p>
        </w:tc>
        <w:tc>
          <w:tcPr>
            <w:tcW w:w="311" w:type="dxa"/>
            <w:tcBorders>
              <w:top w:val="single" w:sz="4" w:space="0" w:color="000000"/>
              <w:left w:val="single" w:sz="4" w:space="0" w:color="000000"/>
              <w:bottom w:val="single" w:sz="4" w:space="0" w:color="000000"/>
              <w:right w:val="single" w:sz="4" w:space="0" w:color="000000"/>
            </w:tcBorders>
          </w:tcPr>
          <w:p w14:paraId="21C22E63" w14:textId="77777777" w:rsidR="00F65BCA" w:rsidRDefault="00F65BCA">
            <w:pPr>
              <w:pStyle w:val="TableParagraph"/>
              <w:rPr>
                <w:rFonts w:ascii="Times New Roman"/>
                <w:sz w:val="4"/>
              </w:rPr>
            </w:pPr>
          </w:p>
        </w:tc>
        <w:tc>
          <w:tcPr>
            <w:tcW w:w="256" w:type="dxa"/>
            <w:tcBorders>
              <w:top w:val="single" w:sz="4" w:space="0" w:color="000000"/>
              <w:left w:val="single" w:sz="4" w:space="0" w:color="000000"/>
              <w:bottom w:val="single" w:sz="4" w:space="0" w:color="000000"/>
              <w:right w:val="single" w:sz="4" w:space="0" w:color="000000"/>
            </w:tcBorders>
          </w:tcPr>
          <w:p w14:paraId="317A4FDA"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3C562767"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50325FA7" w14:textId="77777777" w:rsidR="00F65BCA" w:rsidRDefault="00F65BCA">
            <w:pPr>
              <w:pStyle w:val="TableParagraph"/>
              <w:rPr>
                <w:rFonts w:ascii="Times New Roman"/>
                <w:sz w:val="4"/>
              </w:rPr>
            </w:pPr>
          </w:p>
        </w:tc>
        <w:tc>
          <w:tcPr>
            <w:tcW w:w="273" w:type="dxa"/>
            <w:tcBorders>
              <w:top w:val="single" w:sz="4" w:space="0" w:color="000000"/>
              <w:left w:val="single" w:sz="4" w:space="0" w:color="000000"/>
              <w:bottom w:val="single" w:sz="4" w:space="0" w:color="000000"/>
              <w:right w:val="single" w:sz="4" w:space="0" w:color="000000"/>
            </w:tcBorders>
          </w:tcPr>
          <w:p w14:paraId="378C5D37"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1EE0CEC4"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3168E921"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20C46C1C"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2A742ED6"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46359837"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111D52F8" w14:textId="77777777" w:rsidR="00F65BCA" w:rsidRDefault="00216117">
            <w:pPr>
              <w:pStyle w:val="TableParagraph"/>
              <w:spacing w:before="4" w:line="67" w:lineRule="exact"/>
              <w:ind w:left="76" w:right="28"/>
              <w:jc w:val="center"/>
              <w:rPr>
                <w:rFonts w:ascii="Calibri" w:hAnsi="Calibri"/>
                <w:sz w:val="7"/>
              </w:rPr>
            </w:pPr>
            <w:r>
              <w:rPr>
                <w:rFonts w:ascii="Calibri" w:hAnsi="Calibri"/>
                <w:w w:val="105"/>
                <w:sz w:val="7"/>
              </w:rPr>
              <w:t>84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2D04B788" w14:textId="77777777" w:rsidR="00F65BCA" w:rsidRDefault="00F65BCA">
            <w:pPr>
              <w:pStyle w:val="TableParagraph"/>
              <w:rPr>
                <w:rFonts w:ascii="Times New Roman"/>
                <w:sz w:val="4"/>
              </w:rPr>
            </w:pP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2901A22B" w14:textId="77777777" w:rsidR="00F65BCA" w:rsidRDefault="00F65BCA">
            <w:pPr>
              <w:pStyle w:val="TableParagraph"/>
              <w:rPr>
                <w:rFonts w:ascii="Times New Roman"/>
                <w:sz w:val="4"/>
              </w:rPr>
            </w:pP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3EB70338" w14:textId="77777777" w:rsidR="00F65BCA" w:rsidRDefault="00F65BCA">
            <w:pPr>
              <w:pStyle w:val="TableParagraph"/>
              <w:rPr>
                <w:rFonts w:ascii="Times New Roman"/>
                <w:sz w:val="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0E034CA5" w14:textId="77777777" w:rsidR="00F65BCA" w:rsidRDefault="00F65BCA">
            <w:pPr>
              <w:pStyle w:val="TableParagraph"/>
              <w:rPr>
                <w:rFonts w:ascii="Times New Roman"/>
                <w:sz w:val="4"/>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FA00C7E" w14:textId="77777777" w:rsidR="00F65BCA" w:rsidRDefault="00F65BCA">
            <w:pPr>
              <w:pStyle w:val="TableParagraph"/>
              <w:rPr>
                <w:rFonts w:ascii="Times New Roman"/>
                <w:sz w:val="4"/>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A0BFA3E"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288BE668" w14:textId="77777777" w:rsidR="00F65BCA" w:rsidRDefault="00216117">
            <w:pPr>
              <w:pStyle w:val="TableParagraph"/>
              <w:spacing w:before="4" w:line="67" w:lineRule="exact"/>
              <w:ind w:left="177"/>
              <w:rPr>
                <w:rFonts w:ascii="Calibri" w:hAnsi="Calibri"/>
                <w:sz w:val="7"/>
              </w:rPr>
            </w:pPr>
            <w:r>
              <w:rPr>
                <w:rFonts w:ascii="Calibri" w:hAnsi="Calibri"/>
                <w:w w:val="105"/>
                <w:sz w:val="7"/>
              </w:rPr>
              <w:t>84 Kč</w:t>
            </w:r>
          </w:p>
        </w:tc>
      </w:tr>
      <w:tr w:rsidR="00F65BCA" w14:paraId="6F9378C1" w14:textId="77777777">
        <w:trPr>
          <w:trHeight w:val="90"/>
        </w:trPr>
        <w:tc>
          <w:tcPr>
            <w:tcW w:w="188" w:type="dxa"/>
            <w:tcBorders>
              <w:top w:val="single" w:sz="4" w:space="0" w:color="000000"/>
              <w:bottom w:val="single" w:sz="4" w:space="0" w:color="000000"/>
              <w:right w:val="single" w:sz="4" w:space="0" w:color="000000"/>
            </w:tcBorders>
          </w:tcPr>
          <w:p w14:paraId="60688A2E" w14:textId="77777777" w:rsidR="00F65BCA" w:rsidRDefault="00216117">
            <w:pPr>
              <w:pStyle w:val="TableParagraph"/>
              <w:spacing w:before="4" w:line="67" w:lineRule="exact"/>
              <w:ind w:left="59"/>
              <w:rPr>
                <w:rFonts w:ascii="Calibri"/>
                <w:sz w:val="7"/>
              </w:rPr>
            </w:pPr>
            <w:r>
              <w:rPr>
                <w:rFonts w:ascii="Calibri"/>
                <w:w w:val="105"/>
                <w:sz w:val="7"/>
              </w:rPr>
              <w:t>16</w:t>
            </w:r>
          </w:p>
        </w:tc>
        <w:tc>
          <w:tcPr>
            <w:tcW w:w="398" w:type="dxa"/>
            <w:tcBorders>
              <w:top w:val="single" w:sz="4" w:space="0" w:color="000000"/>
              <w:left w:val="single" w:sz="4" w:space="0" w:color="000000"/>
              <w:bottom w:val="single" w:sz="4" w:space="0" w:color="000000"/>
              <w:right w:val="single" w:sz="4" w:space="0" w:color="000000"/>
            </w:tcBorders>
          </w:tcPr>
          <w:p w14:paraId="2589F83B"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3904AA07"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02FBAA09"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0BB6C66F"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7DE7356A" w14:textId="77777777" w:rsidR="00F65BCA" w:rsidRDefault="00216117">
            <w:pPr>
              <w:pStyle w:val="TableParagraph"/>
              <w:spacing w:before="1" w:line="69" w:lineRule="exact"/>
              <w:ind w:left="70"/>
              <w:rPr>
                <w:rFonts w:ascii="Calibri"/>
                <w:sz w:val="7"/>
              </w:rPr>
            </w:pPr>
            <w:r>
              <w:rPr>
                <w:rFonts w:ascii="Calibri"/>
                <w:w w:val="105"/>
                <w:sz w:val="7"/>
              </w:rPr>
              <w:t>5P38841</w:t>
            </w:r>
          </w:p>
        </w:tc>
        <w:tc>
          <w:tcPr>
            <w:tcW w:w="398" w:type="dxa"/>
            <w:tcBorders>
              <w:top w:val="single" w:sz="4" w:space="0" w:color="000000"/>
              <w:left w:val="single" w:sz="4" w:space="0" w:color="000000"/>
              <w:bottom w:val="single" w:sz="4" w:space="0" w:color="000000"/>
              <w:right w:val="single" w:sz="4" w:space="0" w:color="000000"/>
            </w:tcBorders>
          </w:tcPr>
          <w:p w14:paraId="29F910F8" w14:textId="77777777" w:rsidR="00F65BCA" w:rsidRDefault="00216117">
            <w:pPr>
              <w:pStyle w:val="TableParagraph"/>
              <w:spacing w:before="1" w:line="69" w:lineRule="exact"/>
              <w:ind w:left="19"/>
              <w:jc w:val="center"/>
              <w:rPr>
                <w:rFonts w:ascii="Calibri"/>
                <w:sz w:val="7"/>
              </w:rPr>
            </w:pPr>
            <w:r>
              <w:rPr>
                <w:rFonts w:ascii="Calibri"/>
                <w:w w:val="105"/>
                <w:sz w:val="7"/>
              </w:rPr>
              <w:t>UF032627</w:t>
            </w:r>
          </w:p>
        </w:tc>
        <w:tc>
          <w:tcPr>
            <w:tcW w:w="792" w:type="dxa"/>
            <w:tcBorders>
              <w:top w:val="single" w:sz="4" w:space="0" w:color="000000"/>
              <w:left w:val="single" w:sz="4" w:space="0" w:color="000000"/>
              <w:bottom w:val="single" w:sz="4" w:space="0" w:color="000000"/>
              <w:right w:val="single" w:sz="4" w:space="0" w:color="000000"/>
            </w:tcBorders>
          </w:tcPr>
          <w:p w14:paraId="530CD32F" w14:textId="77777777" w:rsidR="00F65BCA" w:rsidRDefault="00216117">
            <w:pPr>
              <w:pStyle w:val="TableParagraph"/>
              <w:spacing w:before="1" w:line="69" w:lineRule="exact"/>
              <w:ind w:left="90"/>
              <w:rPr>
                <w:rFonts w:ascii="Calibri"/>
                <w:sz w:val="7"/>
              </w:rPr>
            </w:pPr>
            <w:r>
              <w:rPr>
                <w:rFonts w:ascii="Calibri"/>
                <w:w w:val="105"/>
                <w:sz w:val="7"/>
              </w:rPr>
              <w:t>VF37J5FK0CJ654104</w:t>
            </w:r>
          </w:p>
        </w:tc>
        <w:tc>
          <w:tcPr>
            <w:tcW w:w="398" w:type="dxa"/>
            <w:tcBorders>
              <w:top w:val="single" w:sz="4" w:space="0" w:color="000000"/>
              <w:left w:val="single" w:sz="4" w:space="0" w:color="000000"/>
              <w:bottom w:val="single" w:sz="4" w:space="0" w:color="000000"/>
              <w:right w:val="single" w:sz="4" w:space="0" w:color="000000"/>
            </w:tcBorders>
          </w:tcPr>
          <w:p w14:paraId="2E0E8ACA" w14:textId="77777777" w:rsidR="00F65BCA" w:rsidRDefault="00216117">
            <w:pPr>
              <w:pStyle w:val="TableParagraph"/>
              <w:spacing w:before="1" w:line="69" w:lineRule="exact"/>
              <w:ind w:left="59"/>
              <w:rPr>
                <w:rFonts w:ascii="Calibri"/>
                <w:sz w:val="7"/>
              </w:rPr>
            </w:pPr>
            <w:r>
              <w:rPr>
                <w:rFonts w:ascii="Calibri"/>
                <w:w w:val="105"/>
                <w:sz w:val="7"/>
              </w:rPr>
              <w:t>PEUGEOT</w:t>
            </w:r>
          </w:p>
        </w:tc>
        <w:tc>
          <w:tcPr>
            <w:tcW w:w="1065" w:type="dxa"/>
            <w:tcBorders>
              <w:top w:val="single" w:sz="4" w:space="0" w:color="000000"/>
              <w:left w:val="single" w:sz="4" w:space="0" w:color="000000"/>
              <w:bottom w:val="single" w:sz="4" w:space="0" w:color="000000"/>
              <w:right w:val="single" w:sz="4" w:space="0" w:color="000000"/>
            </w:tcBorders>
          </w:tcPr>
          <w:p w14:paraId="7EEF439E" w14:textId="77777777" w:rsidR="00F65BCA" w:rsidRDefault="00216117">
            <w:pPr>
              <w:pStyle w:val="TableParagraph"/>
              <w:spacing w:before="1" w:line="69" w:lineRule="exact"/>
              <w:ind w:left="75" w:right="51"/>
              <w:jc w:val="center"/>
              <w:rPr>
                <w:rFonts w:ascii="Calibri"/>
                <w:sz w:val="7"/>
              </w:rPr>
            </w:pPr>
            <w:r>
              <w:rPr>
                <w:rFonts w:ascii="Calibri"/>
                <w:w w:val="105"/>
                <w:sz w:val="7"/>
              </w:rPr>
              <w:t>PARTNER III TEPEE</w:t>
            </w:r>
          </w:p>
        </w:tc>
        <w:tc>
          <w:tcPr>
            <w:tcW w:w="815" w:type="dxa"/>
            <w:tcBorders>
              <w:top w:val="single" w:sz="4" w:space="0" w:color="000000"/>
              <w:left w:val="single" w:sz="4" w:space="0" w:color="000000"/>
              <w:bottom w:val="single" w:sz="4" w:space="0" w:color="000000"/>
              <w:right w:val="single" w:sz="4" w:space="0" w:color="000000"/>
            </w:tcBorders>
          </w:tcPr>
          <w:p w14:paraId="3C01F53E"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322A1448" w14:textId="77777777" w:rsidR="00F65BCA" w:rsidRDefault="00216117">
            <w:pPr>
              <w:pStyle w:val="TableParagraph"/>
              <w:spacing w:before="1" w:line="69" w:lineRule="exact"/>
              <w:ind w:right="41"/>
              <w:jc w:val="right"/>
              <w:rPr>
                <w:rFonts w:ascii="Calibri"/>
                <w:sz w:val="7"/>
              </w:rPr>
            </w:pPr>
            <w:r>
              <w:rPr>
                <w:rFonts w:ascii="Calibri"/>
                <w:w w:val="105"/>
                <w:sz w:val="7"/>
              </w:rPr>
              <w:t>2012</w:t>
            </w:r>
          </w:p>
        </w:tc>
        <w:tc>
          <w:tcPr>
            <w:tcW w:w="278" w:type="dxa"/>
            <w:tcBorders>
              <w:top w:val="single" w:sz="4" w:space="0" w:color="000000"/>
              <w:left w:val="single" w:sz="4" w:space="0" w:color="000000"/>
              <w:bottom w:val="single" w:sz="4" w:space="0" w:color="000000"/>
              <w:right w:val="single" w:sz="4" w:space="0" w:color="000000"/>
            </w:tcBorders>
          </w:tcPr>
          <w:p w14:paraId="1358CFF2" w14:textId="77777777" w:rsidR="00F65BCA" w:rsidRDefault="00216117">
            <w:pPr>
              <w:pStyle w:val="TableParagraph"/>
              <w:spacing w:before="1" w:line="69" w:lineRule="exact"/>
              <w:ind w:left="28" w:right="2"/>
              <w:jc w:val="center"/>
              <w:rPr>
                <w:rFonts w:ascii="Calibri"/>
                <w:sz w:val="7"/>
              </w:rPr>
            </w:pPr>
            <w:r>
              <w:rPr>
                <w:rFonts w:ascii="Calibri"/>
                <w:w w:val="105"/>
                <w:sz w:val="7"/>
              </w:rPr>
              <w:t>1598</w:t>
            </w:r>
          </w:p>
        </w:tc>
        <w:tc>
          <w:tcPr>
            <w:tcW w:w="268" w:type="dxa"/>
            <w:tcBorders>
              <w:top w:val="single" w:sz="4" w:space="0" w:color="000000"/>
              <w:left w:val="single" w:sz="4" w:space="0" w:color="000000"/>
              <w:bottom w:val="single" w:sz="4" w:space="0" w:color="000000"/>
              <w:right w:val="single" w:sz="4" w:space="0" w:color="000000"/>
            </w:tcBorders>
          </w:tcPr>
          <w:p w14:paraId="512E3CD2" w14:textId="77777777" w:rsidR="00F65BCA" w:rsidRDefault="00216117">
            <w:pPr>
              <w:pStyle w:val="TableParagraph"/>
              <w:spacing w:before="1" w:line="69" w:lineRule="exact"/>
              <w:ind w:right="74"/>
              <w:jc w:val="right"/>
              <w:rPr>
                <w:rFonts w:ascii="Calibri"/>
                <w:sz w:val="7"/>
              </w:rPr>
            </w:pPr>
            <w:r>
              <w:rPr>
                <w:rFonts w:ascii="Calibri"/>
                <w:w w:val="105"/>
                <w:sz w:val="7"/>
              </w:rPr>
              <w:t>72</w:t>
            </w:r>
          </w:p>
        </w:tc>
        <w:tc>
          <w:tcPr>
            <w:tcW w:w="398" w:type="dxa"/>
            <w:tcBorders>
              <w:top w:val="single" w:sz="4" w:space="0" w:color="000000"/>
              <w:left w:val="single" w:sz="4" w:space="0" w:color="000000"/>
              <w:bottom w:val="single" w:sz="4" w:space="0" w:color="000000"/>
              <w:right w:val="single" w:sz="4" w:space="0" w:color="000000"/>
            </w:tcBorders>
          </w:tcPr>
          <w:p w14:paraId="75E0302F" w14:textId="77777777" w:rsidR="00F65BCA" w:rsidRDefault="00216117">
            <w:pPr>
              <w:pStyle w:val="TableParagraph"/>
              <w:spacing w:before="1" w:line="69" w:lineRule="exact"/>
              <w:ind w:left="28"/>
              <w:jc w:val="center"/>
              <w:rPr>
                <w:rFonts w:ascii="Calibri"/>
                <w:sz w:val="7"/>
              </w:rPr>
            </w:pPr>
            <w:r>
              <w:rPr>
                <w:rFonts w:ascii="Calibri"/>
                <w:w w:val="105"/>
                <w:sz w:val="7"/>
              </w:rPr>
              <w:t>2000</w:t>
            </w:r>
          </w:p>
        </w:tc>
        <w:tc>
          <w:tcPr>
            <w:tcW w:w="249" w:type="dxa"/>
            <w:tcBorders>
              <w:top w:val="single" w:sz="4" w:space="0" w:color="000000"/>
              <w:left w:val="single" w:sz="4" w:space="0" w:color="000000"/>
              <w:bottom w:val="single" w:sz="4" w:space="0" w:color="000000"/>
              <w:right w:val="single" w:sz="4" w:space="0" w:color="000000"/>
            </w:tcBorders>
          </w:tcPr>
          <w:p w14:paraId="34A56A7E" w14:textId="77777777" w:rsidR="00F65BCA" w:rsidRDefault="00216117">
            <w:pPr>
              <w:pStyle w:val="TableParagraph"/>
              <w:spacing w:before="1"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48F34182" w14:textId="77777777" w:rsidR="00F65BCA" w:rsidRDefault="00216117">
            <w:pPr>
              <w:pStyle w:val="TableParagraph"/>
              <w:spacing w:before="1" w:line="69" w:lineRule="exact"/>
              <w:ind w:left="34"/>
              <w:jc w:val="center"/>
              <w:rPr>
                <w:rFonts w:ascii="Calibri" w:hAnsi="Calibri"/>
                <w:sz w:val="7"/>
              </w:rPr>
            </w:pPr>
            <w:r>
              <w:rPr>
                <w:rFonts w:ascii="Calibri" w:hAnsi="Calibri"/>
                <w:w w:val="105"/>
                <w:sz w:val="7"/>
              </w:rPr>
              <w:t>Benzín</w:t>
            </w:r>
          </w:p>
        </w:tc>
        <w:tc>
          <w:tcPr>
            <w:tcW w:w="256" w:type="dxa"/>
            <w:tcBorders>
              <w:top w:val="single" w:sz="4" w:space="0" w:color="000000"/>
              <w:left w:val="single" w:sz="4" w:space="0" w:color="000000"/>
              <w:bottom w:val="single" w:sz="4" w:space="0" w:color="000000"/>
              <w:right w:val="single" w:sz="4" w:space="0" w:color="000000"/>
            </w:tcBorders>
          </w:tcPr>
          <w:p w14:paraId="3724FAFC"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20BD5876" w14:textId="77777777" w:rsidR="00F65BCA" w:rsidRDefault="00216117">
            <w:pPr>
              <w:pStyle w:val="TableParagraph"/>
              <w:spacing w:before="1" w:line="69" w:lineRule="exact"/>
              <w:jc w:val="right"/>
              <w:rPr>
                <w:rFonts w:ascii="Calibri" w:hAnsi="Calibri"/>
                <w:sz w:val="7"/>
              </w:rPr>
            </w:pPr>
            <w:r>
              <w:rPr>
                <w:rFonts w:ascii="Calibri" w:hAnsi="Calibri"/>
                <w:w w:val="105"/>
                <w:sz w:val="7"/>
              </w:rPr>
              <w:t>167 000 Kč</w:t>
            </w:r>
          </w:p>
        </w:tc>
        <w:tc>
          <w:tcPr>
            <w:tcW w:w="278" w:type="dxa"/>
            <w:tcBorders>
              <w:top w:val="single" w:sz="4" w:space="0" w:color="000000"/>
              <w:left w:val="single" w:sz="4" w:space="0" w:color="000000"/>
              <w:bottom w:val="single" w:sz="4" w:space="0" w:color="000000"/>
              <w:right w:val="single" w:sz="4" w:space="0" w:color="000000"/>
            </w:tcBorders>
          </w:tcPr>
          <w:p w14:paraId="1AF76237"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1F7F8610"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7A46E27C"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15 000 Kč</w:t>
            </w:r>
          </w:p>
        </w:tc>
        <w:tc>
          <w:tcPr>
            <w:tcW w:w="398" w:type="dxa"/>
            <w:tcBorders>
              <w:top w:val="single" w:sz="4" w:space="0" w:color="000000"/>
              <w:left w:val="single" w:sz="4" w:space="0" w:color="000000"/>
              <w:bottom w:val="single" w:sz="4" w:space="0" w:color="000000"/>
              <w:right w:val="single" w:sz="4" w:space="0" w:color="000000"/>
            </w:tcBorders>
          </w:tcPr>
          <w:p w14:paraId="0C6BA49D"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1896CE5D"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6C778985"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40E394F3"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75D5FBD3"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1 740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2D2ACDC8"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2 568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5E253C82" w14:textId="77777777" w:rsidR="00F65BCA" w:rsidRDefault="00216117">
            <w:pPr>
              <w:pStyle w:val="TableParagraph"/>
              <w:spacing w:before="4" w:line="67" w:lineRule="exact"/>
              <w:ind w:right="98"/>
              <w:jc w:val="right"/>
              <w:rPr>
                <w:rFonts w:ascii="Calibri" w:hAnsi="Calibri"/>
                <w:sz w:val="7"/>
              </w:rPr>
            </w:pPr>
            <w:r>
              <w:rPr>
                <w:rFonts w:ascii="Calibri" w:hAnsi="Calibri"/>
                <w:w w:val="105"/>
                <w:sz w:val="7"/>
              </w:rPr>
              <w:t>876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558F32AC"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7197DC74"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9F14486" w14:textId="77777777" w:rsidR="00F65BCA" w:rsidRDefault="00216117">
            <w:pPr>
              <w:pStyle w:val="TableParagraph"/>
              <w:spacing w:before="4" w:line="67" w:lineRule="exact"/>
              <w:ind w:left="77" w:right="16"/>
              <w:jc w:val="center"/>
              <w:rPr>
                <w:rFonts w:ascii="Calibri" w:hAnsi="Calibri"/>
                <w:sz w:val="7"/>
              </w:rPr>
            </w:pPr>
            <w:r>
              <w:rPr>
                <w:rFonts w:ascii="Calibri" w:hAnsi="Calibri"/>
                <w:w w:val="105"/>
                <w:sz w:val="7"/>
              </w:rPr>
              <w:t>1 320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7DEC895"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68C1D84A" w14:textId="77777777" w:rsidR="00F65BCA" w:rsidRDefault="00216117">
            <w:pPr>
              <w:pStyle w:val="TableParagraph"/>
              <w:spacing w:before="4" w:line="67" w:lineRule="exact"/>
              <w:ind w:left="130"/>
              <w:rPr>
                <w:rFonts w:ascii="Calibri" w:hAnsi="Calibri"/>
                <w:sz w:val="7"/>
              </w:rPr>
            </w:pPr>
            <w:r>
              <w:rPr>
                <w:rFonts w:ascii="Calibri" w:hAnsi="Calibri"/>
                <w:w w:val="105"/>
                <w:sz w:val="7"/>
              </w:rPr>
              <w:t>7 416 Kč</w:t>
            </w:r>
          </w:p>
        </w:tc>
      </w:tr>
      <w:tr w:rsidR="00F65BCA" w14:paraId="06276DD9" w14:textId="77777777">
        <w:trPr>
          <w:trHeight w:val="90"/>
        </w:trPr>
        <w:tc>
          <w:tcPr>
            <w:tcW w:w="188" w:type="dxa"/>
            <w:tcBorders>
              <w:top w:val="single" w:sz="4" w:space="0" w:color="000000"/>
              <w:bottom w:val="single" w:sz="4" w:space="0" w:color="000000"/>
              <w:right w:val="single" w:sz="4" w:space="0" w:color="000000"/>
            </w:tcBorders>
          </w:tcPr>
          <w:p w14:paraId="078C7735" w14:textId="77777777" w:rsidR="00F65BCA" w:rsidRDefault="00216117">
            <w:pPr>
              <w:pStyle w:val="TableParagraph"/>
              <w:spacing w:before="4" w:line="67" w:lineRule="exact"/>
              <w:ind w:left="59"/>
              <w:rPr>
                <w:rFonts w:ascii="Calibri"/>
                <w:sz w:val="7"/>
              </w:rPr>
            </w:pPr>
            <w:r>
              <w:rPr>
                <w:rFonts w:ascii="Calibri"/>
                <w:w w:val="105"/>
                <w:sz w:val="7"/>
              </w:rPr>
              <w:t>17</w:t>
            </w:r>
          </w:p>
        </w:tc>
        <w:tc>
          <w:tcPr>
            <w:tcW w:w="398" w:type="dxa"/>
            <w:tcBorders>
              <w:top w:val="single" w:sz="4" w:space="0" w:color="000000"/>
              <w:left w:val="single" w:sz="4" w:space="0" w:color="000000"/>
              <w:bottom w:val="single" w:sz="4" w:space="0" w:color="000000"/>
              <w:right w:val="single" w:sz="4" w:space="0" w:color="000000"/>
            </w:tcBorders>
          </w:tcPr>
          <w:p w14:paraId="32C5DFBB"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6C24DA9A"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5CE345B2"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15F5B255"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0DC7133D" w14:textId="77777777" w:rsidR="00F65BCA" w:rsidRDefault="00216117">
            <w:pPr>
              <w:pStyle w:val="TableParagraph"/>
              <w:spacing w:before="1" w:line="69" w:lineRule="exact"/>
              <w:ind w:left="70"/>
              <w:rPr>
                <w:rFonts w:ascii="Calibri"/>
                <w:sz w:val="7"/>
              </w:rPr>
            </w:pPr>
            <w:r>
              <w:rPr>
                <w:rFonts w:ascii="Calibri"/>
                <w:w w:val="105"/>
                <w:sz w:val="7"/>
              </w:rPr>
              <w:t>2P60058</w:t>
            </w:r>
          </w:p>
        </w:tc>
        <w:tc>
          <w:tcPr>
            <w:tcW w:w="398" w:type="dxa"/>
            <w:tcBorders>
              <w:top w:val="single" w:sz="4" w:space="0" w:color="000000"/>
              <w:left w:val="single" w:sz="4" w:space="0" w:color="000000"/>
              <w:bottom w:val="single" w:sz="4" w:space="0" w:color="000000"/>
              <w:right w:val="single" w:sz="4" w:space="0" w:color="000000"/>
            </w:tcBorders>
          </w:tcPr>
          <w:p w14:paraId="2939D305" w14:textId="77777777" w:rsidR="00F65BCA" w:rsidRDefault="00216117">
            <w:pPr>
              <w:pStyle w:val="TableParagraph"/>
              <w:spacing w:before="1" w:line="69" w:lineRule="exact"/>
              <w:ind w:left="17"/>
              <w:jc w:val="center"/>
              <w:rPr>
                <w:rFonts w:ascii="Calibri"/>
                <w:sz w:val="7"/>
              </w:rPr>
            </w:pPr>
            <w:r>
              <w:rPr>
                <w:rFonts w:ascii="Calibri"/>
                <w:w w:val="105"/>
                <w:sz w:val="7"/>
              </w:rPr>
              <w:t>UG547903</w:t>
            </w:r>
          </w:p>
        </w:tc>
        <w:tc>
          <w:tcPr>
            <w:tcW w:w="792" w:type="dxa"/>
            <w:tcBorders>
              <w:top w:val="single" w:sz="4" w:space="0" w:color="000000"/>
              <w:left w:val="single" w:sz="4" w:space="0" w:color="000000"/>
              <w:bottom w:val="single" w:sz="4" w:space="0" w:color="000000"/>
              <w:right w:val="single" w:sz="4" w:space="0" w:color="000000"/>
            </w:tcBorders>
          </w:tcPr>
          <w:p w14:paraId="2A6121B6" w14:textId="77777777" w:rsidR="00F65BCA" w:rsidRDefault="00216117">
            <w:pPr>
              <w:pStyle w:val="TableParagraph"/>
              <w:spacing w:before="1" w:line="69" w:lineRule="exact"/>
              <w:ind w:left="66"/>
              <w:rPr>
                <w:rFonts w:ascii="Calibri"/>
                <w:sz w:val="7"/>
              </w:rPr>
            </w:pPr>
            <w:r>
              <w:rPr>
                <w:rFonts w:ascii="Calibri"/>
                <w:w w:val="105"/>
                <w:sz w:val="7"/>
              </w:rPr>
              <w:t>VF654ANA000007801</w:t>
            </w:r>
          </w:p>
        </w:tc>
        <w:tc>
          <w:tcPr>
            <w:tcW w:w="398" w:type="dxa"/>
            <w:tcBorders>
              <w:top w:val="single" w:sz="4" w:space="0" w:color="000000"/>
              <w:left w:val="single" w:sz="4" w:space="0" w:color="000000"/>
              <w:bottom w:val="single" w:sz="4" w:space="0" w:color="000000"/>
              <w:right w:val="single" w:sz="4" w:space="0" w:color="000000"/>
            </w:tcBorders>
          </w:tcPr>
          <w:p w14:paraId="6B57141D" w14:textId="77777777" w:rsidR="00F65BCA" w:rsidRDefault="00216117">
            <w:pPr>
              <w:pStyle w:val="TableParagraph"/>
              <w:spacing w:before="1" w:line="69" w:lineRule="exact"/>
              <w:ind w:left="64"/>
              <w:rPr>
                <w:rFonts w:ascii="Calibri"/>
                <w:sz w:val="7"/>
              </w:rPr>
            </w:pPr>
            <w:r>
              <w:rPr>
                <w:rFonts w:ascii="Calibri"/>
                <w:w w:val="105"/>
                <w:sz w:val="7"/>
              </w:rPr>
              <w:t>RENAULT</w:t>
            </w:r>
          </w:p>
        </w:tc>
        <w:tc>
          <w:tcPr>
            <w:tcW w:w="1065" w:type="dxa"/>
            <w:tcBorders>
              <w:top w:val="single" w:sz="4" w:space="0" w:color="000000"/>
              <w:left w:val="single" w:sz="4" w:space="0" w:color="000000"/>
              <w:bottom w:val="single" w:sz="4" w:space="0" w:color="000000"/>
              <w:right w:val="single" w:sz="4" w:space="0" w:color="000000"/>
            </w:tcBorders>
          </w:tcPr>
          <w:p w14:paraId="06AB83F1" w14:textId="77777777" w:rsidR="00F65BCA" w:rsidRDefault="00216117">
            <w:pPr>
              <w:pStyle w:val="TableParagraph"/>
              <w:spacing w:before="1" w:line="69" w:lineRule="exact"/>
              <w:ind w:left="75" w:right="54"/>
              <w:jc w:val="center"/>
              <w:rPr>
                <w:rFonts w:ascii="Calibri"/>
                <w:sz w:val="7"/>
              </w:rPr>
            </w:pPr>
            <w:r>
              <w:rPr>
                <w:rFonts w:ascii="Calibri"/>
                <w:w w:val="105"/>
                <w:sz w:val="7"/>
              </w:rPr>
              <w:t>MASCOTT 90</w:t>
            </w:r>
          </w:p>
        </w:tc>
        <w:tc>
          <w:tcPr>
            <w:tcW w:w="815" w:type="dxa"/>
            <w:tcBorders>
              <w:top w:val="single" w:sz="4" w:space="0" w:color="000000"/>
              <w:left w:val="single" w:sz="4" w:space="0" w:color="000000"/>
              <w:bottom w:val="single" w:sz="4" w:space="0" w:color="000000"/>
              <w:right w:val="single" w:sz="4" w:space="0" w:color="000000"/>
            </w:tcBorders>
          </w:tcPr>
          <w:p w14:paraId="7CF15B23" w14:textId="77777777" w:rsidR="00F65BCA" w:rsidRDefault="00216117">
            <w:pPr>
              <w:pStyle w:val="TableParagraph"/>
              <w:spacing w:before="1" w:line="69" w:lineRule="exact"/>
              <w:ind w:left="39" w:right="11"/>
              <w:jc w:val="center"/>
              <w:rPr>
                <w:rFonts w:ascii="Calibri" w:hAnsi="Calibri"/>
                <w:sz w:val="7"/>
              </w:rPr>
            </w:pPr>
            <w:r>
              <w:rPr>
                <w:rFonts w:ascii="Calibri" w:hAnsi="Calibri"/>
                <w:w w:val="105"/>
                <w:sz w:val="7"/>
              </w:rPr>
              <w:t>Nákladní</w:t>
            </w:r>
          </w:p>
        </w:tc>
        <w:tc>
          <w:tcPr>
            <w:tcW w:w="273" w:type="dxa"/>
            <w:tcBorders>
              <w:top w:val="single" w:sz="4" w:space="0" w:color="000000"/>
              <w:left w:val="single" w:sz="4" w:space="0" w:color="000000"/>
              <w:bottom w:val="single" w:sz="4" w:space="0" w:color="000000"/>
              <w:right w:val="single" w:sz="4" w:space="0" w:color="000000"/>
            </w:tcBorders>
          </w:tcPr>
          <w:p w14:paraId="52423C75" w14:textId="77777777" w:rsidR="00F65BCA" w:rsidRDefault="00216117">
            <w:pPr>
              <w:pStyle w:val="TableParagraph"/>
              <w:spacing w:before="1" w:line="69" w:lineRule="exact"/>
              <w:ind w:right="41"/>
              <w:jc w:val="right"/>
              <w:rPr>
                <w:rFonts w:ascii="Calibri"/>
                <w:sz w:val="7"/>
              </w:rPr>
            </w:pPr>
            <w:r>
              <w:rPr>
                <w:rFonts w:ascii="Calibri"/>
                <w:w w:val="105"/>
                <w:sz w:val="7"/>
              </w:rPr>
              <w:t>2005</w:t>
            </w:r>
          </w:p>
        </w:tc>
        <w:tc>
          <w:tcPr>
            <w:tcW w:w="278" w:type="dxa"/>
            <w:tcBorders>
              <w:top w:val="single" w:sz="4" w:space="0" w:color="000000"/>
              <w:left w:val="single" w:sz="4" w:space="0" w:color="000000"/>
              <w:bottom w:val="single" w:sz="4" w:space="0" w:color="000000"/>
              <w:right w:val="single" w:sz="4" w:space="0" w:color="000000"/>
            </w:tcBorders>
          </w:tcPr>
          <w:p w14:paraId="52164053" w14:textId="77777777" w:rsidR="00F65BCA" w:rsidRDefault="00216117">
            <w:pPr>
              <w:pStyle w:val="TableParagraph"/>
              <w:spacing w:before="1" w:line="69" w:lineRule="exact"/>
              <w:ind w:left="28" w:right="2"/>
              <w:jc w:val="center"/>
              <w:rPr>
                <w:rFonts w:ascii="Calibri"/>
                <w:sz w:val="7"/>
              </w:rPr>
            </w:pPr>
            <w:r>
              <w:rPr>
                <w:rFonts w:ascii="Calibri"/>
                <w:w w:val="105"/>
                <w:sz w:val="7"/>
              </w:rPr>
              <w:t>2953</w:t>
            </w:r>
          </w:p>
        </w:tc>
        <w:tc>
          <w:tcPr>
            <w:tcW w:w="268" w:type="dxa"/>
            <w:tcBorders>
              <w:top w:val="single" w:sz="4" w:space="0" w:color="000000"/>
              <w:left w:val="single" w:sz="4" w:space="0" w:color="000000"/>
              <w:bottom w:val="single" w:sz="4" w:space="0" w:color="000000"/>
              <w:right w:val="single" w:sz="4" w:space="0" w:color="000000"/>
            </w:tcBorders>
          </w:tcPr>
          <w:p w14:paraId="3AAE989A" w14:textId="77777777" w:rsidR="00F65BCA" w:rsidRDefault="00216117">
            <w:pPr>
              <w:pStyle w:val="TableParagraph"/>
              <w:spacing w:before="1" w:line="69" w:lineRule="exact"/>
              <w:ind w:right="74"/>
              <w:jc w:val="right"/>
              <w:rPr>
                <w:rFonts w:ascii="Calibri"/>
                <w:sz w:val="7"/>
              </w:rPr>
            </w:pPr>
            <w:r>
              <w:rPr>
                <w:rFonts w:ascii="Calibri"/>
                <w:w w:val="105"/>
                <w:sz w:val="7"/>
              </w:rPr>
              <w:t>85</w:t>
            </w:r>
          </w:p>
        </w:tc>
        <w:tc>
          <w:tcPr>
            <w:tcW w:w="398" w:type="dxa"/>
            <w:tcBorders>
              <w:top w:val="single" w:sz="4" w:space="0" w:color="000000"/>
              <w:left w:val="single" w:sz="4" w:space="0" w:color="000000"/>
              <w:bottom w:val="single" w:sz="4" w:space="0" w:color="000000"/>
              <w:right w:val="single" w:sz="4" w:space="0" w:color="000000"/>
            </w:tcBorders>
          </w:tcPr>
          <w:p w14:paraId="57212DBA" w14:textId="77777777" w:rsidR="00F65BCA" w:rsidRDefault="00216117">
            <w:pPr>
              <w:pStyle w:val="TableParagraph"/>
              <w:spacing w:before="1" w:line="69" w:lineRule="exact"/>
              <w:ind w:left="28"/>
              <w:jc w:val="center"/>
              <w:rPr>
                <w:rFonts w:ascii="Calibri"/>
                <w:sz w:val="7"/>
              </w:rPr>
            </w:pPr>
            <w:r>
              <w:rPr>
                <w:rFonts w:ascii="Calibri"/>
                <w:w w:val="105"/>
                <w:sz w:val="7"/>
              </w:rPr>
              <w:t>6500</w:t>
            </w:r>
          </w:p>
        </w:tc>
        <w:tc>
          <w:tcPr>
            <w:tcW w:w="249" w:type="dxa"/>
            <w:tcBorders>
              <w:top w:val="single" w:sz="4" w:space="0" w:color="000000"/>
              <w:left w:val="single" w:sz="4" w:space="0" w:color="000000"/>
              <w:bottom w:val="single" w:sz="4" w:space="0" w:color="000000"/>
              <w:right w:val="single" w:sz="4" w:space="0" w:color="000000"/>
            </w:tcBorders>
          </w:tcPr>
          <w:p w14:paraId="2EE413FC" w14:textId="77777777" w:rsidR="00F65BCA" w:rsidRDefault="00216117">
            <w:pPr>
              <w:pStyle w:val="TableParagraph"/>
              <w:spacing w:before="1" w:line="69" w:lineRule="exact"/>
              <w:ind w:right="82"/>
              <w:jc w:val="right"/>
              <w:rPr>
                <w:rFonts w:ascii="Calibri"/>
                <w:sz w:val="7"/>
              </w:rPr>
            </w:pPr>
            <w:r>
              <w:rPr>
                <w:rFonts w:ascii="Calibri"/>
                <w:w w:val="106"/>
                <w:sz w:val="7"/>
              </w:rPr>
              <w:t>3</w:t>
            </w:r>
          </w:p>
        </w:tc>
        <w:tc>
          <w:tcPr>
            <w:tcW w:w="311" w:type="dxa"/>
            <w:tcBorders>
              <w:top w:val="single" w:sz="4" w:space="0" w:color="000000"/>
              <w:left w:val="single" w:sz="4" w:space="0" w:color="000000"/>
              <w:bottom w:val="single" w:sz="4" w:space="0" w:color="000000"/>
              <w:right w:val="single" w:sz="4" w:space="0" w:color="000000"/>
            </w:tcBorders>
          </w:tcPr>
          <w:p w14:paraId="7EDF7519" w14:textId="77777777" w:rsidR="00F65BCA" w:rsidRDefault="00216117">
            <w:pPr>
              <w:pStyle w:val="TableParagraph"/>
              <w:spacing w:before="1"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5D9C3605"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4CD1340F" w14:textId="77777777" w:rsidR="00F65BCA" w:rsidRDefault="00216117">
            <w:pPr>
              <w:pStyle w:val="TableParagraph"/>
              <w:spacing w:before="1" w:line="69" w:lineRule="exact"/>
              <w:jc w:val="right"/>
              <w:rPr>
                <w:rFonts w:ascii="Calibri" w:hAnsi="Calibri"/>
                <w:sz w:val="7"/>
              </w:rPr>
            </w:pPr>
            <w:r>
              <w:rPr>
                <w:rFonts w:ascii="Calibri" w:hAnsi="Calibri"/>
                <w:w w:val="105"/>
                <w:sz w:val="7"/>
              </w:rPr>
              <w:t>400 000 Kč</w:t>
            </w:r>
          </w:p>
        </w:tc>
        <w:tc>
          <w:tcPr>
            <w:tcW w:w="278" w:type="dxa"/>
            <w:tcBorders>
              <w:top w:val="single" w:sz="4" w:space="0" w:color="000000"/>
              <w:left w:val="single" w:sz="4" w:space="0" w:color="000000"/>
              <w:bottom w:val="single" w:sz="4" w:space="0" w:color="000000"/>
              <w:right w:val="single" w:sz="4" w:space="0" w:color="000000"/>
            </w:tcBorders>
          </w:tcPr>
          <w:p w14:paraId="10C6FFEA"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3D546D07"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6AE78825"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12 000 Kč</w:t>
            </w:r>
          </w:p>
        </w:tc>
        <w:tc>
          <w:tcPr>
            <w:tcW w:w="398" w:type="dxa"/>
            <w:tcBorders>
              <w:top w:val="single" w:sz="4" w:space="0" w:color="000000"/>
              <w:left w:val="single" w:sz="4" w:space="0" w:color="000000"/>
              <w:bottom w:val="single" w:sz="4" w:space="0" w:color="000000"/>
              <w:right w:val="single" w:sz="4" w:space="0" w:color="000000"/>
            </w:tcBorders>
          </w:tcPr>
          <w:p w14:paraId="4F5EF524"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08EF501B"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5FE0D01B"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4E9C93C5"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67DDBEFC" w14:textId="77777777" w:rsidR="00F65BCA" w:rsidRDefault="00216117">
            <w:pPr>
              <w:pStyle w:val="TableParagraph"/>
              <w:spacing w:before="4" w:line="67" w:lineRule="exact"/>
              <w:ind w:left="72" w:right="28"/>
              <w:jc w:val="center"/>
              <w:rPr>
                <w:rFonts w:ascii="Calibri" w:hAnsi="Calibri"/>
                <w:sz w:val="7"/>
              </w:rPr>
            </w:pPr>
            <w:r>
              <w:rPr>
                <w:rFonts w:ascii="Calibri" w:hAnsi="Calibri"/>
                <w:w w:val="105"/>
                <w:sz w:val="7"/>
              </w:rPr>
              <w:t>15 156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40F4C242"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8 868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08CD295C" w14:textId="77777777" w:rsidR="00F65BCA" w:rsidRDefault="00216117">
            <w:pPr>
              <w:pStyle w:val="TableParagraph"/>
              <w:spacing w:before="4" w:line="67" w:lineRule="exact"/>
              <w:ind w:right="70"/>
              <w:jc w:val="right"/>
              <w:rPr>
                <w:rFonts w:ascii="Calibri" w:hAnsi="Calibri"/>
                <w:sz w:val="7"/>
              </w:rPr>
            </w:pPr>
            <w:r>
              <w:rPr>
                <w:rFonts w:ascii="Calibri" w:hAnsi="Calibri"/>
                <w:w w:val="105"/>
                <w:sz w:val="7"/>
              </w:rPr>
              <w:t>1 080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41B8578F"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312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5803D813"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685238D" w14:textId="77777777" w:rsidR="00F65BCA" w:rsidRDefault="00216117">
            <w:pPr>
              <w:pStyle w:val="TableParagraph"/>
              <w:spacing w:before="4" w:line="67" w:lineRule="exact"/>
              <w:ind w:left="78" w:right="16"/>
              <w:jc w:val="center"/>
              <w:rPr>
                <w:rFonts w:ascii="Calibri" w:hAnsi="Calibri"/>
                <w:sz w:val="7"/>
              </w:rPr>
            </w:pPr>
            <w:r>
              <w:rPr>
                <w:rFonts w:ascii="Calibri" w:hAnsi="Calibri"/>
                <w:w w:val="105"/>
                <w:sz w:val="7"/>
              </w:rPr>
              <w:t>5 448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5CB1991C" w14:textId="77777777" w:rsidR="00F65BCA" w:rsidRDefault="00216117">
            <w:pPr>
              <w:pStyle w:val="TableParagraph"/>
              <w:spacing w:before="4" w:line="67" w:lineRule="exact"/>
              <w:ind w:left="78" w:right="15"/>
              <w:jc w:val="center"/>
              <w:rPr>
                <w:rFonts w:ascii="Calibri" w:hAnsi="Calibri"/>
                <w:sz w:val="7"/>
              </w:rPr>
            </w:pPr>
            <w:r>
              <w:rPr>
                <w:rFonts w:ascii="Calibri" w:hAnsi="Calibri"/>
                <w:w w:val="105"/>
                <w:sz w:val="7"/>
              </w:rPr>
              <w:t>432 Kč</w:t>
            </w:r>
          </w:p>
        </w:tc>
        <w:tc>
          <w:tcPr>
            <w:tcW w:w="458" w:type="dxa"/>
            <w:tcBorders>
              <w:top w:val="single" w:sz="4" w:space="0" w:color="000000"/>
              <w:left w:val="single" w:sz="4" w:space="0" w:color="000000"/>
              <w:bottom w:val="single" w:sz="4" w:space="0" w:color="000000"/>
            </w:tcBorders>
            <w:shd w:val="clear" w:color="auto" w:fill="FFFF99"/>
          </w:tcPr>
          <w:p w14:paraId="244BAC8D" w14:textId="77777777" w:rsidR="00F65BCA" w:rsidRDefault="00216117">
            <w:pPr>
              <w:pStyle w:val="TableParagraph"/>
              <w:spacing w:before="4" w:line="67" w:lineRule="exact"/>
              <w:ind w:left="111"/>
              <w:rPr>
                <w:rFonts w:ascii="Calibri" w:hAnsi="Calibri"/>
                <w:sz w:val="7"/>
              </w:rPr>
            </w:pPr>
            <w:r>
              <w:rPr>
                <w:rFonts w:ascii="Calibri" w:hAnsi="Calibri"/>
                <w:w w:val="105"/>
                <w:sz w:val="7"/>
              </w:rPr>
              <w:t>31 692 Kč</w:t>
            </w:r>
          </w:p>
        </w:tc>
      </w:tr>
      <w:tr w:rsidR="00F65BCA" w14:paraId="40C7C40C" w14:textId="77777777">
        <w:trPr>
          <w:trHeight w:val="90"/>
        </w:trPr>
        <w:tc>
          <w:tcPr>
            <w:tcW w:w="188" w:type="dxa"/>
            <w:tcBorders>
              <w:top w:val="single" w:sz="4" w:space="0" w:color="000000"/>
              <w:bottom w:val="single" w:sz="4" w:space="0" w:color="000000"/>
              <w:right w:val="single" w:sz="4" w:space="0" w:color="000000"/>
            </w:tcBorders>
          </w:tcPr>
          <w:p w14:paraId="31ADE265" w14:textId="77777777" w:rsidR="00F65BCA" w:rsidRDefault="00216117">
            <w:pPr>
              <w:pStyle w:val="TableParagraph"/>
              <w:spacing w:before="4" w:line="67" w:lineRule="exact"/>
              <w:ind w:left="59"/>
              <w:rPr>
                <w:rFonts w:ascii="Calibri"/>
                <w:sz w:val="7"/>
              </w:rPr>
            </w:pPr>
            <w:r>
              <w:rPr>
                <w:rFonts w:ascii="Calibri"/>
                <w:w w:val="105"/>
                <w:sz w:val="7"/>
              </w:rPr>
              <w:t>18</w:t>
            </w:r>
          </w:p>
        </w:tc>
        <w:tc>
          <w:tcPr>
            <w:tcW w:w="398" w:type="dxa"/>
            <w:tcBorders>
              <w:top w:val="single" w:sz="4" w:space="0" w:color="000000"/>
              <w:left w:val="single" w:sz="4" w:space="0" w:color="000000"/>
              <w:bottom w:val="single" w:sz="4" w:space="0" w:color="000000"/>
              <w:right w:val="single" w:sz="4" w:space="0" w:color="000000"/>
            </w:tcBorders>
          </w:tcPr>
          <w:p w14:paraId="76D2F7E2"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167C85FA"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22C7873"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3F15A932"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3D08BFB3" w14:textId="77777777" w:rsidR="00F65BCA" w:rsidRDefault="00216117">
            <w:pPr>
              <w:pStyle w:val="TableParagraph"/>
              <w:spacing w:before="1" w:line="69" w:lineRule="exact"/>
              <w:ind w:left="70"/>
              <w:rPr>
                <w:rFonts w:ascii="Calibri"/>
                <w:sz w:val="7"/>
              </w:rPr>
            </w:pPr>
            <w:r>
              <w:rPr>
                <w:rFonts w:ascii="Calibri"/>
                <w:w w:val="105"/>
                <w:sz w:val="7"/>
              </w:rPr>
              <w:t>8P39081</w:t>
            </w:r>
          </w:p>
        </w:tc>
        <w:tc>
          <w:tcPr>
            <w:tcW w:w="398" w:type="dxa"/>
            <w:tcBorders>
              <w:top w:val="single" w:sz="4" w:space="0" w:color="000000"/>
              <w:left w:val="single" w:sz="4" w:space="0" w:color="000000"/>
              <w:bottom w:val="single" w:sz="4" w:space="0" w:color="000000"/>
              <w:right w:val="single" w:sz="4" w:space="0" w:color="000000"/>
            </w:tcBorders>
          </w:tcPr>
          <w:p w14:paraId="13AF1C62" w14:textId="77777777" w:rsidR="00F65BCA" w:rsidRDefault="00216117">
            <w:pPr>
              <w:pStyle w:val="TableParagraph"/>
              <w:spacing w:before="1" w:line="69" w:lineRule="exact"/>
              <w:ind w:left="19"/>
              <w:jc w:val="center"/>
              <w:rPr>
                <w:rFonts w:ascii="Calibri"/>
                <w:sz w:val="7"/>
              </w:rPr>
            </w:pPr>
            <w:r>
              <w:rPr>
                <w:rFonts w:ascii="Calibri"/>
                <w:w w:val="105"/>
                <w:sz w:val="7"/>
              </w:rPr>
              <w:t>UK196238</w:t>
            </w:r>
          </w:p>
        </w:tc>
        <w:tc>
          <w:tcPr>
            <w:tcW w:w="792" w:type="dxa"/>
            <w:tcBorders>
              <w:top w:val="single" w:sz="4" w:space="0" w:color="000000"/>
              <w:left w:val="single" w:sz="4" w:space="0" w:color="000000"/>
              <w:bottom w:val="single" w:sz="4" w:space="0" w:color="000000"/>
              <w:right w:val="single" w:sz="4" w:space="0" w:color="000000"/>
            </w:tcBorders>
          </w:tcPr>
          <w:p w14:paraId="3FE093B9" w14:textId="77777777" w:rsidR="00F65BCA" w:rsidRDefault="00216117">
            <w:pPr>
              <w:pStyle w:val="TableParagraph"/>
              <w:spacing w:before="1" w:line="69" w:lineRule="exact"/>
              <w:ind w:left="59"/>
              <w:rPr>
                <w:rFonts w:ascii="Calibri"/>
                <w:sz w:val="7"/>
              </w:rPr>
            </w:pPr>
            <w:r>
              <w:rPr>
                <w:rFonts w:ascii="Calibri"/>
                <w:w w:val="105"/>
                <w:sz w:val="7"/>
              </w:rPr>
              <w:t>TK9UNAG00LKEU3112</w:t>
            </w:r>
          </w:p>
        </w:tc>
        <w:tc>
          <w:tcPr>
            <w:tcW w:w="398" w:type="dxa"/>
            <w:tcBorders>
              <w:top w:val="single" w:sz="4" w:space="0" w:color="000000"/>
              <w:left w:val="single" w:sz="4" w:space="0" w:color="000000"/>
              <w:bottom w:val="single" w:sz="4" w:space="0" w:color="000000"/>
              <w:right w:val="single" w:sz="4" w:space="0" w:color="000000"/>
            </w:tcBorders>
          </w:tcPr>
          <w:p w14:paraId="258FFBEC" w14:textId="77777777" w:rsidR="00F65BCA" w:rsidRDefault="00216117">
            <w:pPr>
              <w:pStyle w:val="TableParagraph"/>
              <w:spacing w:before="1" w:line="69" w:lineRule="exact"/>
              <w:ind w:left="30"/>
              <w:rPr>
                <w:rFonts w:ascii="Calibri"/>
                <w:sz w:val="7"/>
              </w:rPr>
            </w:pPr>
            <w:r>
              <w:rPr>
                <w:rFonts w:ascii="Calibri"/>
                <w:w w:val="105"/>
                <w:sz w:val="7"/>
              </w:rPr>
              <w:t>Eurotrailers</w:t>
            </w:r>
          </w:p>
        </w:tc>
        <w:tc>
          <w:tcPr>
            <w:tcW w:w="1065" w:type="dxa"/>
            <w:tcBorders>
              <w:top w:val="single" w:sz="4" w:space="0" w:color="000000"/>
              <w:left w:val="single" w:sz="4" w:space="0" w:color="000000"/>
              <w:bottom w:val="single" w:sz="4" w:space="0" w:color="000000"/>
              <w:right w:val="single" w:sz="4" w:space="0" w:color="000000"/>
            </w:tcBorders>
          </w:tcPr>
          <w:p w14:paraId="1FC04CCD" w14:textId="77777777" w:rsidR="00F65BCA" w:rsidRDefault="00216117">
            <w:pPr>
              <w:pStyle w:val="TableParagraph"/>
              <w:spacing w:before="1" w:line="69" w:lineRule="exact"/>
              <w:ind w:left="75" w:right="48"/>
              <w:jc w:val="center"/>
              <w:rPr>
                <w:rFonts w:ascii="Calibri"/>
                <w:sz w:val="7"/>
              </w:rPr>
            </w:pPr>
            <w:r>
              <w:rPr>
                <w:rFonts w:ascii="Calibri"/>
                <w:w w:val="105"/>
                <w:sz w:val="7"/>
              </w:rPr>
              <w:t>Eurotrailers</w:t>
            </w:r>
          </w:p>
        </w:tc>
        <w:tc>
          <w:tcPr>
            <w:tcW w:w="815" w:type="dxa"/>
            <w:tcBorders>
              <w:top w:val="single" w:sz="4" w:space="0" w:color="000000"/>
              <w:left w:val="single" w:sz="4" w:space="0" w:color="000000"/>
              <w:bottom w:val="single" w:sz="4" w:space="0" w:color="000000"/>
              <w:right w:val="single" w:sz="4" w:space="0" w:color="000000"/>
            </w:tcBorders>
          </w:tcPr>
          <w:p w14:paraId="2F4F1390" w14:textId="77777777" w:rsidR="00F65BCA" w:rsidRDefault="00216117">
            <w:pPr>
              <w:pStyle w:val="TableParagraph"/>
              <w:spacing w:before="1" w:line="69" w:lineRule="exact"/>
              <w:ind w:left="36" w:right="11"/>
              <w:jc w:val="center"/>
              <w:rPr>
                <w:rFonts w:ascii="Calibri" w:hAnsi="Calibri"/>
                <w:sz w:val="7"/>
              </w:rPr>
            </w:pPr>
            <w:r>
              <w:rPr>
                <w:rFonts w:ascii="Calibri" w:hAnsi="Calibri"/>
                <w:w w:val="105"/>
                <w:sz w:val="7"/>
              </w:rPr>
              <w:t>Přívěs</w:t>
            </w:r>
          </w:p>
        </w:tc>
        <w:tc>
          <w:tcPr>
            <w:tcW w:w="273" w:type="dxa"/>
            <w:tcBorders>
              <w:top w:val="single" w:sz="4" w:space="0" w:color="000000"/>
              <w:left w:val="single" w:sz="4" w:space="0" w:color="000000"/>
              <w:bottom w:val="single" w:sz="4" w:space="0" w:color="000000"/>
              <w:right w:val="single" w:sz="4" w:space="0" w:color="000000"/>
            </w:tcBorders>
          </w:tcPr>
          <w:p w14:paraId="07AE52E8" w14:textId="77777777" w:rsidR="00F65BCA" w:rsidRDefault="00216117">
            <w:pPr>
              <w:pStyle w:val="TableParagraph"/>
              <w:spacing w:before="1" w:line="69" w:lineRule="exact"/>
              <w:ind w:right="41"/>
              <w:jc w:val="right"/>
              <w:rPr>
                <w:rFonts w:ascii="Calibri"/>
                <w:sz w:val="7"/>
              </w:rPr>
            </w:pPr>
            <w:r>
              <w:rPr>
                <w:rFonts w:ascii="Calibri"/>
                <w:w w:val="105"/>
                <w:sz w:val="7"/>
              </w:rPr>
              <w:t>2020</w:t>
            </w:r>
          </w:p>
        </w:tc>
        <w:tc>
          <w:tcPr>
            <w:tcW w:w="278" w:type="dxa"/>
            <w:tcBorders>
              <w:top w:val="single" w:sz="4" w:space="0" w:color="000000"/>
              <w:left w:val="single" w:sz="4" w:space="0" w:color="000000"/>
              <w:bottom w:val="single" w:sz="4" w:space="0" w:color="000000"/>
              <w:right w:val="single" w:sz="4" w:space="0" w:color="000000"/>
            </w:tcBorders>
          </w:tcPr>
          <w:p w14:paraId="45AF4EB8" w14:textId="77777777" w:rsidR="00F65BCA" w:rsidRDefault="00216117">
            <w:pPr>
              <w:pStyle w:val="TableParagraph"/>
              <w:spacing w:before="1" w:line="69" w:lineRule="exact"/>
              <w:ind w:left="28"/>
              <w:jc w:val="center"/>
              <w:rPr>
                <w:rFonts w:ascii="Calibri"/>
                <w:sz w:val="7"/>
              </w:rPr>
            </w:pPr>
            <w:r>
              <w:rPr>
                <w:rFonts w:ascii="Calibri"/>
                <w:w w:val="106"/>
                <w:sz w:val="7"/>
              </w:rPr>
              <w:t>0</w:t>
            </w:r>
          </w:p>
        </w:tc>
        <w:tc>
          <w:tcPr>
            <w:tcW w:w="268" w:type="dxa"/>
            <w:tcBorders>
              <w:top w:val="single" w:sz="4" w:space="0" w:color="000000"/>
              <w:left w:val="single" w:sz="4" w:space="0" w:color="000000"/>
              <w:bottom w:val="single" w:sz="4" w:space="0" w:color="000000"/>
              <w:right w:val="single" w:sz="4" w:space="0" w:color="000000"/>
            </w:tcBorders>
          </w:tcPr>
          <w:p w14:paraId="716BCAC6" w14:textId="77777777" w:rsidR="00F65BCA" w:rsidRDefault="00216117">
            <w:pPr>
              <w:pStyle w:val="TableParagraph"/>
              <w:spacing w:before="1" w:line="69" w:lineRule="exact"/>
              <w:ind w:right="93"/>
              <w:jc w:val="right"/>
              <w:rPr>
                <w:rFonts w:ascii="Calibri"/>
                <w:sz w:val="7"/>
              </w:rPr>
            </w:pPr>
            <w:r>
              <w:rPr>
                <w:rFonts w:ascii="Calibri"/>
                <w:w w:val="106"/>
                <w:sz w:val="7"/>
              </w:rPr>
              <w:t>0</w:t>
            </w:r>
          </w:p>
        </w:tc>
        <w:tc>
          <w:tcPr>
            <w:tcW w:w="398" w:type="dxa"/>
            <w:tcBorders>
              <w:top w:val="single" w:sz="4" w:space="0" w:color="000000"/>
              <w:left w:val="single" w:sz="4" w:space="0" w:color="000000"/>
              <w:bottom w:val="single" w:sz="4" w:space="0" w:color="000000"/>
              <w:right w:val="single" w:sz="4" w:space="0" w:color="000000"/>
            </w:tcBorders>
          </w:tcPr>
          <w:p w14:paraId="4F4EF747" w14:textId="77777777" w:rsidR="00F65BCA" w:rsidRDefault="00216117">
            <w:pPr>
              <w:pStyle w:val="TableParagraph"/>
              <w:spacing w:before="1" w:line="69" w:lineRule="exact"/>
              <w:ind w:left="28"/>
              <w:jc w:val="center"/>
              <w:rPr>
                <w:rFonts w:ascii="Calibri"/>
                <w:sz w:val="7"/>
              </w:rPr>
            </w:pPr>
            <w:r>
              <w:rPr>
                <w:rFonts w:ascii="Calibri"/>
                <w:w w:val="105"/>
                <w:sz w:val="7"/>
              </w:rPr>
              <w:t>1500</w:t>
            </w:r>
          </w:p>
        </w:tc>
        <w:tc>
          <w:tcPr>
            <w:tcW w:w="249" w:type="dxa"/>
            <w:tcBorders>
              <w:top w:val="single" w:sz="4" w:space="0" w:color="000000"/>
              <w:left w:val="single" w:sz="4" w:space="0" w:color="000000"/>
              <w:bottom w:val="single" w:sz="4" w:space="0" w:color="000000"/>
              <w:right w:val="single" w:sz="4" w:space="0" w:color="000000"/>
            </w:tcBorders>
          </w:tcPr>
          <w:p w14:paraId="2371479F" w14:textId="77777777" w:rsidR="00F65BCA" w:rsidRDefault="00F65BCA">
            <w:pPr>
              <w:pStyle w:val="TableParagraph"/>
              <w:rPr>
                <w:rFonts w:ascii="Times New Roman"/>
                <w:sz w:val="4"/>
              </w:rPr>
            </w:pPr>
          </w:p>
        </w:tc>
        <w:tc>
          <w:tcPr>
            <w:tcW w:w="311" w:type="dxa"/>
            <w:tcBorders>
              <w:top w:val="single" w:sz="4" w:space="0" w:color="000000"/>
              <w:left w:val="single" w:sz="4" w:space="0" w:color="000000"/>
              <w:bottom w:val="single" w:sz="4" w:space="0" w:color="000000"/>
              <w:right w:val="single" w:sz="4" w:space="0" w:color="000000"/>
            </w:tcBorders>
          </w:tcPr>
          <w:p w14:paraId="4BD556A8" w14:textId="77777777" w:rsidR="00F65BCA" w:rsidRDefault="00F65BCA">
            <w:pPr>
              <w:pStyle w:val="TableParagraph"/>
              <w:rPr>
                <w:rFonts w:ascii="Times New Roman"/>
                <w:sz w:val="4"/>
              </w:rPr>
            </w:pPr>
          </w:p>
        </w:tc>
        <w:tc>
          <w:tcPr>
            <w:tcW w:w="256" w:type="dxa"/>
            <w:tcBorders>
              <w:top w:val="single" w:sz="4" w:space="0" w:color="000000"/>
              <w:left w:val="single" w:sz="4" w:space="0" w:color="000000"/>
              <w:bottom w:val="single" w:sz="4" w:space="0" w:color="000000"/>
              <w:right w:val="single" w:sz="4" w:space="0" w:color="000000"/>
            </w:tcBorders>
          </w:tcPr>
          <w:p w14:paraId="526A5833"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54C68F51"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6074FAC1" w14:textId="77777777" w:rsidR="00F65BCA" w:rsidRDefault="00F65BCA">
            <w:pPr>
              <w:pStyle w:val="TableParagraph"/>
              <w:rPr>
                <w:rFonts w:ascii="Times New Roman"/>
                <w:sz w:val="4"/>
              </w:rPr>
            </w:pPr>
          </w:p>
        </w:tc>
        <w:tc>
          <w:tcPr>
            <w:tcW w:w="273" w:type="dxa"/>
            <w:tcBorders>
              <w:top w:val="single" w:sz="4" w:space="0" w:color="000000"/>
              <w:left w:val="single" w:sz="4" w:space="0" w:color="000000"/>
              <w:bottom w:val="single" w:sz="4" w:space="0" w:color="000000"/>
              <w:right w:val="single" w:sz="4" w:space="0" w:color="000000"/>
            </w:tcBorders>
          </w:tcPr>
          <w:p w14:paraId="02C4A046"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4C454EF5"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19F2E952"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16EDB0E1"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37A76328"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2B93D0F2"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60C39E77" w14:textId="77777777" w:rsidR="00F65BCA" w:rsidRDefault="00216117">
            <w:pPr>
              <w:pStyle w:val="TableParagraph"/>
              <w:spacing w:before="4" w:line="67" w:lineRule="exact"/>
              <w:ind w:left="76" w:right="28"/>
              <w:jc w:val="center"/>
              <w:rPr>
                <w:rFonts w:ascii="Calibri" w:hAnsi="Calibri"/>
                <w:sz w:val="7"/>
              </w:rPr>
            </w:pPr>
            <w:r>
              <w:rPr>
                <w:rFonts w:ascii="Calibri" w:hAnsi="Calibri"/>
                <w:w w:val="105"/>
                <w:sz w:val="7"/>
              </w:rPr>
              <w:t>192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4BA3312B" w14:textId="77777777" w:rsidR="00F65BCA" w:rsidRDefault="00F65BCA">
            <w:pPr>
              <w:pStyle w:val="TableParagraph"/>
              <w:rPr>
                <w:rFonts w:ascii="Times New Roman"/>
                <w:sz w:val="4"/>
              </w:rPr>
            </w:pP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4EA214B7" w14:textId="77777777" w:rsidR="00F65BCA" w:rsidRDefault="00F65BCA">
            <w:pPr>
              <w:pStyle w:val="TableParagraph"/>
              <w:rPr>
                <w:rFonts w:ascii="Times New Roman"/>
                <w:sz w:val="4"/>
              </w:rPr>
            </w:pP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3B017F02" w14:textId="77777777" w:rsidR="00F65BCA" w:rsidRDefault="00F65BCA">
            <w:pPr>
              <w:pStyle w:val="TableParagraph"/>
              <w:rPr>
                <w:rFonts w:ascii="Times New Roman"/>
                <w:sz w:val="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437230FD" w14:textId="77777777" w:rsidR="00F65BCA" w:rsidRDefault="00F65BCA">
            <w:pPr>
              <w:pStyle w:val="TableParagraph"/>
              <w:rPr>
                <w:rFonts w:ascii="Times New Roman"/>
                <w:sz w:val="4"/>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0ECE3BC5" w14:textId="77777777" w:rsidR="00F65BCA" w:rsidRDefault="00F65BCA">
            <w:pPr>
              <w:pStyle w:val="TableParagraph"/>
              <w:rPr>
                <w:rFonts w:ascii="Times New Roman"/>
                <w:sz w:val="4"/>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18D7B096"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259E30ED" w14:textId="77777777" w:rsidR="00F65BCA" w:rsidRDefault="00216117">
            <w:pPr>
              <w:pStyle w:val="TableParagraph"/>
              <w:spacing w:before="4" w:line="67" w:lineRule="exact"/>
              <w:ind w:left="158"/>
              <w:rPr>
                <w:rFonts w:ascii="Calibri" w:hAnsi="Calibri"/>
                <w:sz w:val="7"/>
              </w:rPr>
            </w:pPr>
            <w:r>
              <w:rPr>
                <w:rFonts w:ascii="Calibri" w:hAnsi="Calibri"/>
                <w:w w:val="105"/>
                <w:sz w:val="7"/>
              </w:rPr>
              <w:t>192 Kč</w:t>
            </w:r>
          </w:p>
        </w:tc>
      </w:tr>
      <w:tr w:rsidR="00F65BCA" w14:paraId="19F7C4A1" w14:textId="77777777">
        <w:trPr>
          <w:trHeight w:val="90"/>
        </w:trPr>
        <w:tc>
          <w:tcPr>
            <w:tcW w:w="188" w:type="dxa"/>
            <w:tcBorders>
              <w:top w:val="single" w:sz="4" w:space="0" w:color="000000"/>
              <w:bottom w:val="single" w:sz="4" w:space="0" w:color="000000"/>
              <w:right w:val="single" w:sz="4" w:space="0" w:color="000000"/>
            </w:tcBorders>
          </w:tcPr>
          <w:p w14:paraId="4AB8D2EE" w14:textId="77777777" w:rsidR="00F65BCA" w:rsidRDefault="00216117">
            <w:pPr>
              <w:pStyle w:val="TableParagraph"/>
              <w:spacing w:before="4" w:line="67" w:lineRule="exact"/>
              <w:ind w:left="59"/>
              <w:rPr>
                <w:rFonts w:ascii="Calibri"/>
                <w:sz w:val="7"/>
              </w:rPr>
            </w:pPr>
            <w:r>
              <w:rPr>
                <w:rFonts w:ascii="Calibri"/>
                <w:w w:val="105"/>
                <w:sz w:val="7"/>
              </w:rPr>
              <w:t>19</w:t>
            </w:r>
          </w:p>
        </w:tc>
        <w:tc>
          <w:tcPr>
            <w:tcW w:w="398" w:type="dxa"/>
            <w:tcBorders>
              <w:top w:val="single" w:sz="4" w:space="0" w:color="000000"/>
              <w:left w:val="single" w:sz="4" w:space="0" w:color="000000"/>
              <w:bottom w:val="single" w:sz="4" w:space="0" w:color="000000"/>
              <w:right w:val="single" w:sz="4" w:space="0" w:color="000000"/>
            </w:tcBorders>
          </w:tcPr>
          <w:p w14:paraId="2F80D4BF"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7C6E6685"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325FF2EE"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25F75C9E"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1DA8F02B" w14:textId="77777777" w:rsidR="00F65BCA" w:rsidRDefault="00216117">
            <w:pPr>
              <w:pStyle w:val="TableParagraph"/>
              <w:spacing w:before="1" w:line="69" w:lineRule="exact"/>
              <w:ind w:left="70"/>
              <w:rPr>
                <w:rFonts w:ascii="Calibri"/>
                <w:sz w:val="7"/>
              </w:rPr>
            </w:pPr>
            <w:r>
              <w:rPr>
                <w:rFonts w:ascii="Calibri"/>
                <w:w w:val="105"/>
                <w:sz w:val="7"/>
              </w:rPr>
              <w:t>6P78890</w:t>
            </w:r>
          </w:p>
        </w:tc>
        <w:tc>
          <w:tcPr>
            <w:tcW w:w="398" w:type="dxa"/>
            <w:tcBorders>
              <w:top w:val="single" w:sz="4" w:space="0" w:color="000000"/>
              <w:left w:val="single" w:sz="4" w:space="0" w:color="000000"/>
              <w:bottom w:val="single" w:sz="4" w:space="0" w:color="000000"/>
              <w:right w:val="single" w:sz="4" w:space="0" w:color="000000"/>
            </w:tcBorders>
          </w:tcPr>
          <w:p w14:paraId="75126222" w14:textId="77777777" w:rsidR="00F65BCA" w:rsidRDefault="00216117">
            <w:pPr>
              <w:pStyle w:val="TableParagraph"/>
              <w:spacing w:before="1" w:line="69" w:lineRule="exact"/>
              <w:ind w:left="17"/>
              <w:jc w:val="center"/>
              <w:rPr>
                <w:rFonts w:ascii="Calibri"/>
                <w:sz w:val="7"/>
              </w:rPr>
            </w:pPr>
            <w:r>
              <w:rPr>
                <w:rFonts w:ascii="Calibri"/>
                <w:w w:val="105"/>
                <w:sz w:val="7"/>
              </w:rPr>
              <w:t>UH574240</w:t>
            </w:r>
          </w:p>
        </w:tc>
        <w:tc>
          <w:tcPr>
            <w:tcW w:w="792" w:type="dxa"/>
            <w:tcBorders>
              <w:top w:val="single" w:sz="4" w:space="0" w:color="000000"/>
              <w:left w:val="single" w:sz="4" w:space="0" w:color="000000"/>
              <w:bottom w:val="single" w:sz="4" w:space="0" w:color="000000"/>
              <w:right w:val="single" w:sz="4" w:space="0" w:color="000000"/>
            </w:tcBorders>
          </w:tcPr>
          <w:p w14:paraId="5D4B9B40" w14:textId="77777777" w:rsidR="00F65BCA" w:rsidRDefault="00216117">
            <w:pPr>
              <w:pStyle w:val="TableParagraph"/>
              <w:spacing w:before="1" w:line="69" w:lineRule="exact"/>
              <w:ind w:left="71"/>
              <w:rPr>
                <w:rFonts w:ascii="Calibri"/>
                <w:sz w:val="7"/>
              </w:rPr>
            </w:pPr>
            <w:r>
              <w:rPr>
                <w:rFonts w:ascii="Calibri"/>
                <w:w w:val="105"/>
                <w:sz w:val="7"/>
              </w:rPr>
              <w:t>VSSZZZNHZH1009055</w:t>
            </w:r>
          </w:p>
        </w:tc>
        <w:tc>
          <w:tcPr>
            <w:tcW w:w="398" w:type="dxa"/>
            <w:tcBorders>
              <w:top w:val="single" w:sz="4" w:space="0" w:color="000000"/>
              <w:left w:val="single" w:sz="4" w:space="0" w:color="000000"/>
              <w:bottom w:val="single" w:sz="4" w:space="0" w:color="000000"/>
              <w:right w:val="single" w:sz="4" w:space="0" w:color="000000"/>
            </w:tcBorders>
          </w:tcPr>
          <w:p w14:paraId="388FCB7B" w14:textId="77777777" w:rsidR="00F65BCA" w:rsidRDefault="00216117">
            <w:pPr>
              <w:pStyle w:val="TableParagraph"/>
              <w:spacing w:before="1" w:line="69" w:lineRule="exact"/>
              <w:ind w:left="131"/>
              <w:rPr>
                <w:rFonts w:ascii="Calibri"/>
                <w:sz w:val="7"/>
              </w:rPr>
            </w:pPr>
            <w:r>
              <w:rPr>
                <w:rFonts w:ascii="Calibri"/>
                <w:w w:val="105"/>
                <w:sz w:val="7"/>
              </w:rPr>
              <w:t>SEAT</w:t>
            </w:r>
          </w:p>
        </w:tc>
        <w:tc>
          <w:tcPr>
            <w:tcW w:w="1065" w:type="dxa"/>
            <w:tcBorders>
              <w:top w:val="single" w:sz="4" w:space="0" w:color="000000"/>
              <w:left w:val="single" w:sz="4" w:space="0" w:color="000000"/>
              <w:bottom w:val="single" w:sz="4" w:space="0" w:color="000000"/>
              <w:right w:val="single" w:sz="4" w:space="0" w:color="000000"/>
            </w:tcBorders>
          </w:tcPr>
          <w:p w14:paraId="7F7DF05E" w14:textId="77777777" w:rsidR="00F65BCA" w:rsidRDefault="00216117">
            <w:pPr>
              <w:pStyle w:val="TableParagraph"/>
              <w:spacing w:before="1" w:line="69" w:lineRule="exact"/>
              <w:ind w:left="74" w:right="55"/>
              <w:jc w:val="center"/>
              <w:rPr>
                <w:rFonts w:ascii="Calibri"/>
                <w:sz w:val="7"/>
              </w:rPr>
            </w:pPr>
            <w:r>
              <w:rPr>
                <w:rFonts w:ascii="Calibri"/>
                <w:w w:val="105"/>
                <w:sz w:val="7"/>
              </w:rPr>
              <w:t>TOLEDO IV</w:t>
            </w:r>
          </w:p>
        </w:tc>
        <w:tc>
          <w:tcPr>
            <w:tcW w:w="815" w:type="dxa"/>
            <w:tcBorders>
              <w:top w:val="single" w:sz="4" w:space="0" w:color="000000"/>
              <w:left w:val="single" w:sz="4" w:space="0" w:color="000000"/>
              <w:bottom w:val="single" w:sz="4" w:space="0" w:color="000000"/>
              <w:right w:val="single" w:sz="4" w:space="0" w:color="000000"/>
            </w:tcBorders>
          </w:tcPr>
          <w:p w14:paraId="1D7B3951"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1B5292F3" w14:textId="77777777" w:rsidR="00F65BCA" w:rsidRDefault="00216117">
            <w:pPr>
              <w:pStyle w:val="TableParagraph"/>
              <w:spacing w:before="1" w:line="69" w:lineRule="exact"/>
              <w:ind w:right="41"/>
              <w:jc w:val="right"/>
              <w:rPr>
                <w:rFonts w:ascii="Calibri"/>
                <w:sz w:val="7"/>
              </w:rPr>
            </w:pPr>
            <w:r>
              <w:rPr>
                <w:rFonts w:ascii="Calibri"/>
                <w:w w:val="105"/>
                <w:sz w:val="7"/>
              </w:rPr>
              <w:t>2016</w:t>
            </w:r>
          </w:p>
        </w:tc>
        <w:tc>
          <w:tcPr>
            <w:tcW w:w="278" w:type="dxa"/>
            <w:tcBorders>
              <w:top w:val="single" w:sz="4" w:space="0" w:color="000000"/>
              <w:left w:val="single" w:sz="4" w:space="0" w:color="000000"/>
              <w:bottom w:val="single" w:sz="4" w:space="0" w:color="000000"/>
              <w:right w:val="single" w:sz="4" w:space="0" w:color="000000"/>
            </w:tcBorders>
          </w:tcPr>
          <w:p w14:paraId="49DC226F" w14:textId="77777777" w:rsidR="00F65BCA" w:rsidRDefault="00216117">
            <w:pPr>
              <w:pStyle w:val="TableParagraph"/>
              <w:spacing w:before="1" w:line="69" w:lineRule="exact"/>
              <w:ind w:left="28" w:right="2"/>
              <w:jc w:val="center"/>
              <w:rPr>
                <w:rFonts w:ascii="Calibri"/>
                <w:sz w:val="7"/>
              </w:rPr>
            </w:pPr>
            <w:r>
              <w:rPr>
                <w:rFonts w:ascii="Calibri"/>
                <w:w w:val="105"/>
                <w:sz w:val="7"/>
              </w:rPr>
              <w:t>1197</w:t>
            </w:r>
          </w:p>
        </w:tc>
        <w:tc>
          <w:tcPr>
            <w:tcW w:w="268" w:type="dxa"/>
            <w:tcBorders>
              <w:top w:val="single" w:sz="4" w:space="0" w:color="000000"/>
              <w:left w:val="single" w:sz="4" w:space="0" w:color="000000"/>
              <w:bottom w:val="single" w:sz="4" w:space="0" w:color="000000"/>
              <w:right w:val="single" w:sz="4" w:space="0" w:color="000000"/>
            </w:tcBorders>
          </w:tcPr>
          <w:p w14:paraId="1D21D1F8" w14:textId="77777777" w:rsidR="00F65BCA" w:rsidRDefault="00216117">
            <w:pPr>
              <w:pStyle w:val="TableParagraph"/>
              <w:spacing w:before="1" w:line="69" w:lineRule="exact"/>
              <w:ind w:right="74"/>
              <w:jc w:val="right"/>
              <w:rPr>
                <w:rFonts w:ascii="Calibri"/>
                <w:sz w:val="7"/>
              </w:rPr>
            </w:pPr>
            <w:r>
              <w:rPr>
                <w:rFonts w:ascii="Calibri"/>
                <w:w w:val="105"/>
                <w:sz w:val="7"/>
              </w:rPr>
              <w:t>81</w:t>
            </w:r>
          </w:p>
        </w:tc>
        <w:tc>
          <w:tcPr>
            <w:tcW w:w="398" w:type="dxa"/>
            <w:tcBorders>
              <w:top w:val="single" w:sz="4" w:space="0" w:color="000000"/>
              <w:left w:val="single" w:sz="4" w:space="0" w:color="000000"/>
              <w:bottom w:val="single" w:sz="4" w:space="0" w:color="000000"/>
              <w:right w:val="single" w:sz="4" w:space="0" w:color="000000"/>
            </w:tcBorders>
          </w:tcPr>
          <w:p w14:paraId="3580E22C" w14:textId="77777777" w:rsidR="00F65BCA" w:rsidRDefault="00216117">
            <w:pPr>
              <w:pStyle w:val="TableParagraph"/>
              <w:spacing w:before="1" w:line="69" w:lineRule="exact"/>
              <w:ind w:left="28"/>
              <w:jc w:val="center"/>
              <w:rPr>
                <w:rFonts w:ascii="Calibri"/>
                <w:sz w:val="7"/>
              </w:rPr>
            </w:pPr>
            <w:r>
              <w:rPr>
                <w:rFonts w:ascii="Calibri"/>
                <w:w w:val="105"/>
                <w:sz w:val="7"/>
              </w:rPr>
              <w:t>1636</w:t>
            </w:r>
          </w:p>
        </w:tc>
        <w:tc>
          <w:tcPr>
            <w:tcW w:w="249" w:type="dxa"/>
            <w:tcBorders>
              <w:top w:val="single" w:sz="4" w:space="0" w:color="000000"/>
              <w:left w:val="single" w:sz="4" w:space="0" w:color="000000"/>
              <w:bottom w:val="single" w:sz="4" w:space="0" w:color="000000"/>
              <w:right w:val="single" w:sz="4" w:space="0" w:color="000000"/>
            </w:tcBorders>
          </w:tcPr>
          <w:p w14:paraId="2C718BFA" w14:textId="77777777" w:rsidR="00F65BCA" w:rsidRDefault="00216117">
            <w:pPr>
              <w:pStyle w:val="TableParagraph"/>
              <w:spacing w:before="1"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1B13AF11" w14:textId="77777777" w:rsidR="00F65BCA" w:rsidRDefault="00216117">
            <w:pPr>
              <w:pStyle w:val="TableParagraph"/>
              <w:spacing w:before="1" w:line="69" w:lineRule="exact"/>
              <w:ind w:left="34"/>
              <w:jc w:val="center"/>
              <w:rPr>
                <w:rFonts w:ascii="Calibri" w:hAnsi="Calibri"/>
                <w:sz w:val="7"/>
              </w:rPr>
            </w:pPr>
            <w:r>
              <w:rPr>
                <w:rFonts w:ascii="Calibri" w:hAnsi="Calibri"/>
                <w:w w:val="105"/>
                <w:sz w:val="7"/>
              </w:rPr>
              <w:t>Benzín</w:t>
            </w:r>
          </w:p>
        </w:tc>
        <w:tc>
          <w:tcPr>
            <w:tcW w:w="256" w:type="dxa"/>
            <w:tcBorders>
              <w:top w:val="single" w:sz="4" w:space="0" w:color="000000"/>
              <w:left w:val="single" w:sz="4" w:space="0" w:color="000000"/>
              <w:bottom w:val="single" w:sz="4" w:space="0" w:color="000000"/>
              <w:right w:val="single" w:sz="4" w:space="0" w:color="000000"/>
            </w:tcBorders>
          </w:tcPr>
          <w:p w14:paraId="5D2FF052"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13236F21" w14:textId="77777777" w:rsidR="00F65BCA" w:rsidRDefault="00216117">
            <w:pPr>
              <w:pStyle w:val="TableParagraph"/>
              <w:spacing w:before="1" w:line="69" w:lineRule="exact"/>
              <w:jc w:val="right"/>
              <w:rPr>
                <w:rFonts w:ascii="Calibri" w:hAnsi="Calibri"/>
                <w:sz w:val="7"/>
              </w:rPr>
            </w:pPr>
            <w:r>
              <w:rPr>
                <w:rFonts w:ascii="Calibri" w:hAnsi="Calibri"/>
                <w:w w:val="105"/>
                <w:sz w:val="7"/>
              </w:rPr>
              <w:t>230 000 Kč</w:t>
            </w:r>
          </w:p>
        </w:tc>
        <w:tc>
          <w:tcPr>
            <w:tcW w:w="278" w:type="dxa"/>
            <w:tcBorders>
              <w:top w:val="single" w:sz="4" w:space="0" w:color="000000"/>
              <w:left w:val="single" w:sz="4" w:space="0" w:color="000000"/>
              <w:bottom w:val="single" w:sz="4" w:space="0" w:color="000000"/>
              <w:right w:val="single" w:sz="4" w:space="0" w:color="000000"/>
            </w:tcBorders>
          </w:tcPr>
          <w:p w14:paraId="516B09B2"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125FE129"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034DA02A"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13 000 Kč</w:t>
            </w:r>
          </w:p>
        </w:tc>
        <w:tc>
          <w:tcPr>
            <w:tcW w:w="398" w:type="dxa"/>
            <w:tcBorders>
              <w:top w:val="single" w:sz="4" w:space="0" w:color="000000"/>
              <w:left w:val="single" w:sz="4" w:space="0" w:color="000000"/>
              <w:bottom w:val="single" w:sz="4" w:space="0" w:color="000000"/>
              <w:right w:val="single" w:sz="4" w:space="0" w:color="000000"/>
            </w:tcBorders>
          </w:tcPr>
          <w:p w14:paraId="54061C8F"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098287BA"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6F9D92A8"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0B1017B1"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0369A112"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1 512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0654D2C2"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4 080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7F261E2F" w14:textId="77777777" w:rsidR="00F65BCA" w:rsidRDefault="00216117">
            <w:pPr>
              <w:pStyle w:val="TableParagraph"/>
              <w:spacing w:before="4" w:line="67" w:lineRule="exact"/>
              <w:ind w:right="98"/>
              <w:jc w:val="right"/>
              <w:rPr>
                <w:rFonts w:ascii="Calibri" w:hAnsi="Calibri"/>
                <w:sz w:val="7"/>
              </w:rPr>
            </w:pPr>
            <w:r>
              <w:rPr>
                <w:rFonts w:ascii="Calibri" w:hAnsi="Calibri"/>
                <w:w w:val="105"/>
                <w:sz w:val="7"/>
              </w:rPr>
              <w:t>816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7460FCBD"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47CCCEAE"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1721B1F8" w14:textId="77777777" w:rsidR="00F65BCA" w:rsidRDefault="00216117">
            <w:pPr>
              <w:pStyle w:val="TableParagraph"/>
              <w:spacing w:before="4" w:line="67" w:lineRule="exact"/>
              <w:ind w:left="77" w:right="16"/>
              <w:jc w:val="center"/>
              <w:rPr>
                <w:rFonts w:ascii="Calibri" w:hAnsi="Calibri"/>
                <w:sz w:val="7"/>
              </w:rPr>
            </w:pPr>
            <w:r>
              <w:rPr>
                <w:rFonts w:ascii="Calibri" w:hAnsi="Calibri"/>
                <w:w w:val="105"/>
                <w:sz w:val="7"/>
              </w:rPr>
              <w:t>1 200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02B538E3"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7D53FC02" w14:textId="77777777" w:rsidR="00F65BCA" w:rsidRDefault="00216117">
            <w:pPr>
              <w:pStyle w:val="TableParagraph"/>
              <w:spacing w:before="4" w:line="67" w:lineRule="exact"/>
              <w:ind w:left="130"/>
              <w:rPr>
                <w:rFonts w:ascii="Calibri" w:hAnsi="Calibri"/>
                <w:sz w:val="7"/>
              </w:rPr>
            </w:pPr>
            <w:r>
              <w:rPr>
                <w:rFonts w:ascii="Calibri" w:hAnsi="Calibri"/>
                <w:w w:val="105"/>
                <w:sz w:val="7"/>
              </w:rPr>
              <w:t>8 520 Kč</w:t>
            </w:r>
          </w:p>
        </w:tc>
      </w:tr>
      <w:tr w:rsidR="00F65BCA" w14:paraId="5EF883A8" w14:textId="77777777">
        <w:trPr>
          <w:trHeight w:val="90"/>
        </w:trPr>
        <w:tc>
          <w:tcPr>
            <w:tcW w:w="188" w:type="dxa"/>
            <w:tcBorders>
              <w:top w:val="single" w:sz="4" w:space="0" w:color="000000"/>
              <w:bottom w:val="single" w:sz="4" w:space="0" w:color="000000"/>
              <w:right w:val="single" w:sz="4" w:space="0" w:color="000000"/>
            </w:tcBorders>
          </w:tcPr>
          <w:p w14:paraId="513F0E42" w14:textId="77777777" w:rsidR="00F65BCA" w:rsidRDefault="00216117">
            <w:pPr>
              <w:pStyle w:val="TableParagraph"/>
              <w:spacing w:before="4" w:line="67" w:lineRule="exact"/>
              <w:ind w:left="59"/>
              <w:rPr>
                <w:rFonts w:ascii="Calibri"/>
                <w:sz w:val="7"/>
              </w:rPr>
            </w:pPr>
            <w:r>
              <w:rPr>
                <w:rFonts w:ascii="Calibri"/>
                <w:w w:val="105"/>
                <w:sz w:val="7"/>
              </w:rPr>
              <w:t>20</w:t>
            </w:r>
          </w:p>
        </w:tc>
        <w:tc>
          <w:tcPr>
            <w:tcW w:w="398" w:type="dxa"/>
            <w:tcBorders>
              <w:top w:val="single" w:sz="4" w:space="0" w:color="000000"/>
              <w:left w:val="single" w:sz="4" w:space="0" w:color="000000"/>
              <w:bottom w:val="single" w:sz="4" w:space="0" w:color="000000"/>
              <w:right w:val="single" w:sz="4" w:space="0" w:color="000000"/>
            </w:tcBorders>
          </w:tcPr>
          <w:p w14:paraId="7B12D589"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1C96E7A0"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440AC88"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2027BB38"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2F4616B5" w14:textId="77777777" w:rsidR="00F65BCA" w:rsidRDefault="00216117">
            <w:pPr>
              <w:pStyle w:val="TableParagraph"/>
              <w:spacing w:before="1" w:line="69" w:lineRule="exact"/>
              <w:ind w:left="89"/>
              <w:rPr>
                <w:rFonts w:ascii="Calibri"/>
                <w:sz w:val="7"/>
              </w:rPr>
            </w:pPr>
            <w:r>
              <w:rPr>
                <w:rFonts w:ascii="Calibri"/>
                <w:w w:val="105"/>
                <w:sz w:val="7"/>
              </w:rPr>
              <w:t>5P1172</w:t>
            </w:r>
          </w:p>
        </w:tc>
        <w:tc>
          <w:tcPr>
            <w:tcW w:w="398" w:type="dxa"/>
            <w:tcBorders>
              <w:top w:val="single" w:sz="4" w:space="0" w:color="000000"/>
              <w:left w:val="single" w:sz="4" w:space="0" w:color="000000"/>
              <w:bottom w:val="single" w:sz="4" w:space="0" w:color="000000"/>
              <w:right w:val="single" w:sz="4" w:space="0" w:color="000000"/>
            </w:tcBorders>
          </w:tcPr>
          <w:p w14:paraId="2EE1DC8C" w14:textId="77777777" w:rsidR="00F65BCA" w:rsidRDefault="00216117">
            <w:pPr>
              <w:pStyle w:val="TableParagraph"/>
              <w:spacing w:before="1" w:line="69" w:lineRule="exact"/>
              <w:ind w:left="15"/>
              <w:jc w:val="center"/>
              <w:rPr>
                <w:rFonts w:ascii="Calibri"/>
                <w:sz w:val="7"/>
              </w:rPr>
            </w:pPr>
            <w:r>
              <w:rPr>
                <w:rFonts w:ascii="Calibri"/>
                <w:w w:val="105"/>
                <w:sz w:val="7"/>
              </w:rPr>
              <w:t>UC894702</w:t>
            </w:r>
          </w:p>
        </w:tc>
        <w:tc>
          <w:tcPr>
            <w:tcW w:w="792" w:type="dxa"/>
            <w:tcBorders>
              <w:top w:val="single" w:sz="4" w:space="0" w:color="000000"/>
              <w:left w:val="single" w:sz="4" w:space="0" w:color="000000"/>
              <w:bottom w:val="single" w:sz="4" w:space="0" w:color="000000"/>
              <w:right w:val="single" w:sz="4" w:space="0" w:color="000000"/>
            </w:tcBorders>
          </w:tcPr>
          <w:p w14:paraId="29D6A294" w14:textId="77777777" w:rsidR="00F65BCA" w:rsidRDefault="00216117">
            <w:pPr>
              <w:pStyle w:val="TableParagraph"/>
              <w:spacing w:before="1" w:line="69" w:lineRule="exact"/>
              <w:ind w:left="76"/>
              <w:rPr>
                <w:rFonts w:ascii="Calibri"/>
                <w:sz w:val="7"/>
              </w:rPr>
            </w:pPr>
            <w:r>
              <w:rPr>
                <w:rFonts w:ascii="Calibri"/>
                <w:w w:val="105"/>
                <w:sz w:val="7"/>
              </w:rPr>
              <w:t>LCS5FAD2X75565243</w:t>
            </w:r>
          </w:p>
        </w:tc>
        <w:tc>
          <w:tcPr>
            <w:tcW w:w="398" w:type="dxa"/>
            <w:tcBorders>
              <w:top w:val="single" w:sz="4" w:space="0" w:color="000000"/>
              <w:left w:val="single" w:sz="4" w:space="0" w:color="000000"/>
              <w:bottom w:val="single" w:sz="4" w:space="0" w:color="000000"/>
              <w:right w:val="single" w:sz="4" w:space="0" w:color="000000"/>
            </w:tcBorders>
          </w:tcPr>
          <w:p w14:paraId="2A27D8B1" w14:textId="77777777" w:rsidR="00F65BCA" w:rsidRDefault="00216117">
            <w:pPr>
              <w:pStyle w:val="TableParagraph"/>
              <w:spacing w:before="1" w:line="69" w:lineRule="exact"/>
              <w:ind w:left="69"/>
              <w:rPr>
                <w:rFonts w:ascii="Calibri"/>
                <w:sz w:val="7"/>
              </w:rPr>
            </w:pPr>
            <w:r>
              <w:rPr>
                <w:rFonts w:ascii="Calibri"/>
                <w:w w:val="105"/>
                <w:sz w:val="7"/>
              </w:rPr>
              <w:t>INCALCU</w:t>
            </w:r>
          </w:p>
        </w:tc>
        <w:tc>
          <w:tcPr>
            <w:tcW w:w="1065" w:type="dxa"/>
            <w:tcBorders>
              <w:top w:val="single" w:sz="4" w:space="0" w:color="000000"/>
              <w:left w:val="single" w:sz="4" w:space="0" w:color="000000"/>
              <w:bottom w:val="single" w:sz="4" w:space="0" w:color="000000"/>
              <w:right w:val="single" w:sz="4" w:space="0" w:color="000000"/>
            </w:tcBorders>
          </w:tcPr>
          <w:p w14:paraId="55B0B85F" w14:textId="77777777" w:rsidR="00F65BCA" w:rsidRDefault="00216117">
            <w:pPr>
              <w:pStyle w:val="TableParagraph"/>
              <w:spacing w:before="1" w:line="69" w:lineRule="exact"/>
              <w:ind w:left="75" w:right="51"/>
              <w:jc w:val="center"/>
              <w:rPr>
                <w:rFonts w:ascii="Calibri"/>
                <w:sz w:val="7"/>
              </w:rPr>
            </w:pPr>
            <w:r>
              <w:rPr>
                <w:rFonts w:ascii="Calibri"/>
                <w:w w:val="105"/>
                <w:sz w:val="7"/>
              </w:rPr>
              <w:t>L7E</w:t>
            </w:r>
          </w:p>
        </w:tc>
        <w:tc>
          <w:tcPr>
            <w:tcW w:w="815" w:type="dxa"/>
            <w:tcBorders>
              <w:top w:val="single" w:sz="4" w:space="0" w:color="000000"/>
              <w:left w:val="single" w:sz="4" w:space="0" w:color="000000"/>
              <w:bottom w:val="single" w:sz="4" w:space="0" w:color="000000"/>
              <w:right w:val="single" w:sz="4" w:space="0" w:color="000000"/>
            </w:tcBorders>
          </w:tcPr>
          <w:p w14:paraId="779DE595" w14:textId="77777777" w:rsidR="00F65BCA" w:rsidRDefault="00216117">
            <w:pPr>
              <w:pStyle w:val="TableParagraph"/>
              <w:spacing w:before="1" w:line="69" w:lineRule="exact"/>
              <w:ind w:left="37" w:right="11"/>
              <w:jc w:val="center"/>
              <w:rPr>
                <w:rFonts w:ascii="Calibri" w:hAnsi="Calibri"/>
                <w:sz w:val="7"/>
              </w:rPr>
            </w:pPr>
            <w:r>
              <w:rPr>
                <w:rFonts w:ascii="Calibri" w:hAnsi="Calibri"/>
                <w:w w:val="105"/>
                <w:sz w:val="7"/>
              </w:rPr>
              <w:t>Čtyřkolka</w:t>
            </w:r>
          </w:p>
        </w:tc>
        <w:tc>
          <w:tcPr>
            <w:tcW w:w="273" w:type="dxa"/>
            <w:tcBorders>
              <w:top w:val="single" w:sz="4" w:space="0" w:color="000000"/>
              <w:left w:val="single" w:sz="4" w:space="0" w:color="000000"/>
              <w:bottom w:val="single" w:sz="4" w:space="0" w:color="000000"/>
              <w:right w:val="single" w:sz="4" w:space="0" w:color="000000"/>
            </w:tcBorders>
          </w:tcPr>
          <w:p w14:paraId="7F7D737F" w14:textId="77777777" w:rsidR="00F65BCA" w:rsidRDefault="00216117">
            <w:pPr>
              <w:pStyle w:val="TableParagraph"/>
              <w:spacing w:before="1" w:line="69" w:lineRule="exact"/>
              <w:ind w:right="41"/>
              <w:jc w:val="right"/>
              <w:rPr>
                <w:rFonts w:ascii="Calibri"/>
                <w:sz w:val="7"/>
              </w:rPr>
            </w:pPr>
            <w:r>
              <w:rPr>
                <w:rFonts w:ascii="Calibri"/>
                <w:w w:val="105"/>
                <w:sz w:val="7"/>
              </w:rPr>
              <w:t>2008</w:t>
            </w:r>
          </w:p>
        </w:tc>
        <w:tc>
          <w:tcPr>
            <w:tcW w:w="278" w:type="dxa"/>
            <w:tcBorders>
              <w:top w:val="single" w:sz="4" w:space="0" w:color="000000"/>
              <w:left w:val="single" w:sz="4" w:space="0" w:color="000000"/>
              <w:bottom w:val="single" w:sz="4" w:space="0" w:color="000000"/>
              <w:right w:val="single" w:sz="4" w:space="0" w:color="000000"/>
            </w:tcBorders>
          </w:tcPr>
          <w:p w14:paraId="0AC4BE69" w14:textId="77777777" w:rsidR="00F65BCA" w:rsidRDefault="00216117">
            <w:pPr>
              <w:pStyle w:val="TableParagraph"/>
              <w:spacing w:before="1" w:line="69" w:lineRule="exact"/>
              <w:ind w:left="28"/>
              <w:jc w:val="center"/>
              <w:rPr>
                <w:rFonts w:ascii="Calibri"/>
                <w:sz w:val="7"/>
              </w:rPr>
            </w:pPr>
            <w:r>
              <w:rPr>
                <w:rFonts w:ascii="Calibri"/>
                <w:w w:val="106"/>
                <w:sz w:val="7"/>
              </w:rPr>
              <w:t>0</w:t>
            </w:r>
          </w:p>
        </w:tc>
        <w:tc>
          <w:tcPr>
            <w:tcW w:w="268" w:type="dxa"/>
            <w:tcBorders>
              <w:top w:val="single" w:sz="4" w:space="0" w:color="000000"/>
              <w:left w:val="single" w:sz="4" w:space="0" w:color="000000"/>
              <w:bottom w:val="single" w:sz="4" w:space="0" w:color="000000"/>
              <w:right w:val="single" w:sz="4" w:space="0" w:color="000000"/>
            </w:tcBorders>
          </w:tcPr>
          <w:p w14:paraId="38C96B95" w14:textId="77777777" w:rsidR="00F65BCA" w:rsidRDefault="00216117">
            <w:pPr>
              <w:pStyle w:val="TableParagraph"/>
              <w:spacing w:before="1" w:line="69" w:lineRule="exact"/>
              <w:ind w:right="93"/>
              <w:jc w:val="right"/>
              <w:rPr>
                <w:rFonts w:ascii="Calibri"/>
                <w:sz w:val="7"/>
              </w:rPr>
            </w:pPr>
            <w:r>
              <w:rPr>
                <w:rFonts w:ascii="Calibri"/>
                <w:w w:val="106"/>
                <w:sz w:val="7"/>
              </w:rPr>
              <w:t>4</w:t>
            </w:r>
          </w:p>
        </w:tc>
        <w:tc>
          <w:tcPr>
            <w:tcW w:w="398" w:type="dxa"/>
            <w:tcBorders>
              <w:top w:val="single" w:sz="4" w:space="0" w:color="000000"/>
              <w:left w:val="single" w:sz="4" w:space="0" w:color="000000"/>
              <w:bottom w:val="single" w:sz="4" w:space="0" w:color="000000"/>
              <w:right w:val="single" w:sz="4" w:space="0" w:color="000000"/>
            </w:tcBorders>
          </w:tcPr>
          <w:p w14:paraId="2230F7C4" w14:textId="77777777" w:rsidR="00F65BCA" w:rsidRDefault="00216117">
            <w:pPr>
              <w:pStyle w:val="TableParagraph"/>
              <w:spacing w:before="1" w:line="69" w:lineRule="exact"/>
              <w:ind w:left="29"/>
              <w:jc w:val="center"/>
              <w:rPr>
                <w:rFonts w:ascii="Calibri"/>
                <w:sz w:val="7"/>
              </w:rPr>
            </w:pPr>
            <w:r>
              <w:rPr>
                <w:rFonts w:ascii="Calibri"/>
                <w:w w:val="105"/>
                <w:sz w:val="7"/>
              </w:rPr>
              <w:t>750</w:t>
            </w:r>
          </w:p>
        </w:tc>
        <w:tc>
          <w:tcPr>
            <w:tcW w:w="249" w:type="dxa"/>
            <w:tcBorders>
              <w:top w:val="single" w:sz="4" w:space="0" w:color="000000"/>
              <w:left w:val="single" w:sz="4" w:space="0" w:color="000000"/>
              <w:bottom w:val="single" w:sz="4" w:space="0" w:color="000000"/>
              <w:right w:val="single" w:sz="4" w:space="0" w:color="000000"/>
            </w:tcBorders>
          </w:tcPr>
          <w:p w14:paraId="4B9DDC5D" w14:textId="77777777" w:rsidR="00F65BCA" w:rsidRDefault="00216117">
            <w:pPr>
              <w:pStyle w:val="TableParagraph"/>
              <w:spacing w:before="1" w:line="69" w:lineRule="exact"/>
              <w:ind w:right="82"/>
              <w:jc w:val="right"/>
              <w:rPr>
                <w:rFonts w:ascii="Calibri"/>
                <w:sz w:val="7"/>
              </w:rPr>
            </w:pPr>
            <w:r>
              <w:rPr>
                <w:rFonts w:ascii="Calibri"/>
                <w:w w:val="106"/>
                <w:sz w:val="7"/>
              </w:rPr>
              <w:t>2</w:t>
            </w:r>
          </w:p>
        </w:tc>
        <w:tc>
          <w:tcPr>
            <w:tcW w:w="311" w:type="dxa"/>
            <w:tcBorders>
              <w:top w:val="single" w:sz="4" w:space="0" w:color="000000"/>
              <w:left w:val="single" w:sz="4" w:space="0" w:color="000000"/>
              <w:bottom w:val="single" w:sz="4" w:space="0" w:color="000000"/>
              <w:right w:val="single" w:sz="4" w:space="0" w:color="000000"/>
            </w:tcBorders>
          </w:tcPr>
          <w:p w14:paraId="021BC48A" w14:textId="77777777" w:rsidR="00F65BCA" w:rsidRDefault="00216117">
            <w:pPr>
              <w:pStyle w:val="TableParagraph"/>
              <w:spacing w:before="1" w:line="69" w:lineRule="exact"/>
              <w:ind w:left="36"/>
              <w:jc w:val="center"/>
              <w:rPr>
                <w:rFonts w:ascii="Calibri"/>
                <w:sz w:val="7"/>
              </w:rPr>
            </w:pPr>
            <w:r>
              <w:rPr>
                <w:rFonts w:ascii="Calibri"/>
                <w:w w:val="105"/>
                <w:sz w:val="7"/>
              </w:rPr>
              <w:t>Eletrika</w:t>
            </w:r>
          </w:p>
        </w:tc>
        <w:tc>
          <w:tcPr>
            <w:tcW w:w="256" w:type="dxa"/>
            <w:tcBorders>
              <w:top w:val="single" w:sz="4" w:space="0" w:color="000000"/>
              <w:left w:val="single" w:sz="4" w:space="0" w:color="000000"/>
              <w:bottom w:val="single" w:sz="4" w:space="0" w:color="000000"/>
              <w:right w:val="single" w:sz="4" w:space="0" w:color="000000"/>
            </w:tcBorders>
          </w:tcPr>
          <w:p w14:paraId="7E4F930F"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4DC997BE"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49CF3727" w14:textId="77777777" w:rsidR="00F65BCA" w:rsidRDefault="00F65BCA">
            <w:pPr>
              <w:pStyle w:val="TableParagraph"/>
              <w:rPr>
                <w:rFonts w:ascii="Times New Roman"/>
                <w:sz w:val="4"/>
              </w:rPr>
            </w:pPr>
          </w:p>
        </w:tc>
        <w:tc>
          <w:tcPr>
            <w:tcW w:w="273" w:type="dxa"/>
            <w:tcBorders>
              <w:top w:val="single" w:sz="4" w:space="0" w:color="000000"/>
              <w:left w:val="single" w:sz="4" w:space="0" w:color="000000"/>
              <w:bottom w:val="single" w:sz="4" w:space="0" w:color="000000"/>
              <w:right w:val="single" w:sz="4" w:space="0" w:color="000000"/>
            </w:tcBorders>
          </w:tcPr>
          <w:p w14:paraId="2D83B8EC"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315A02D6"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652BA20F"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55F4FCE1"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32961F01"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443025FB"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062DE601" w14:textId="77777777" w:rsidR="00F65BCA" w:rsidRDefault="00216117">
            <w:pPr>
              <w:pStyle w:val="TableParagraph"/>
              <w:spacing w:before="4" w:line="67" w:lineRule="exact"/>
              <w:ind w:left="76" w:right="28"/>
              <w:jc w:val="center"/>
              <w:rPr>
                <w:rFonts w:ascii="Calibri" w:hAnsi="Calibri"/>
                <w:sz w:val="7"/>
              </w:rPr>
            </w:pPr>
            <w:r>
              <w:rPr>
                <w:rFonts w:ascii="Calibri" w:hAnsi="Calibri"/>
                <w:w w:val="105"/>
                <w:sz w:val="7"/>
              </w:rPr>
              <w:t>744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29DD6358" w14:textId="77777777" w:rsidR="00F65BCA" w:rsidRDefault="00F65BCA">
            <w:pPr>
              <w:pStyle w:val="TableParagraph"/>
              <w:rPr>
                <w:rFonts w:ascii="Times New Roman"/>
                <w:sz w:val="4"/>
              </w:rPr>
            </w:pP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2D38FC8A" w14:textId="77777777" w:rsidR="00F65BCA" w:rsidRDefault="00F65BCA">
            <w:pPr>
              <w:pStyle w:val="TableParagraph"/>
              <w:rPr>
                <w:rFonts w:ascii="Times New Roman"/>
                <w:sz w:val="4"/>
              </w:rPr>
            </w:pP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7E3CFE3D" w14:textId="77777777" w:rsidR="00F65BCA" w:rsidRDefault="00F65BCA">
            <w:pPr>
              <w:pStyle w:val="TableParagraph"/>
              <w:rPr>
                <w:rFonts w:ascii="Times New Roman"/>
                <w:sz w:val="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04F26EA3" w14:textId="77777777" w:rsidR="00F65BCA" w:rsidRDefault="00F65BCA">
            <w:pPr>
              <w:pStyle w:val="TableParagraph"/>
              <w:rPr>
                <w:rFonts w:ascii="Times New Roman"/>
                <w:sz w:val="4"/>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38B1C15" w14:textId="77777777" w:rsidR="00F65BCA" w:rsidRDefault="00216117">
            <w:pPr>
              <w:pStyle w:val="TableParagraph"/>
              <w:spacing w:before="4" w:line="67" w:lineRule="exact"/>
              <w:ind w:left="76" w:right="16"/>
              <w:jc w:val="center"/>
              <w:rPr>
                <w:rFonts w:ascii="Calibri" w:hAnsi="Calibri"/>
                <w:sz w:val="7"/>
              </w:rPr>
            </w:pPr>
            <w:r>
              <w:rPr>
                <w:rFonts w:ascii="Calibri" w:hAnsi="Calibri"/>
                <w:w w:val="105"/>
                <w:sz w:val="7"/>
              </w:rPr>
              <w:t>1 488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AC14CA9"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14A6D2FA" w14:textId="77777777" w:rsidR="00F65BCA" w:rsidRDefault="00216117">
            <w:pPr>
              <w:pStyle w:val="TableParagraph"/>
              <w:spacing w:before="4" w:line="67" w:lineRule="exact"/>
              <w:ind w:left="129"/>
              <w:rPr>
                <w:rFonts w:ascii="Calibri" w:hAnsi="Calibri"/>
                <w:sz w:val="7"/>
              </w:rPr>
            </w:pPr>
            <w:r>
              <w:rPr>
                <w:rFonts w:ascii="Calibri" w:hAnsi="Calibri"/>
                <w:w w:val="105"/>
                <w:sz w:val="7"/>
              </w:rPr>
              <w:t>2 232 Kč</w:t>
            </w:r>
          </w:p>
        </w:tc>
      </w:tr>
      <w:tr w:rsidR="00F65BCA" w14:paraId="4B008984" w14:textId="77777777">
        <w:trPr>
          <w:trHeight w:val="90"/>
        </w:trPr>
        <w:tc>
          <w:tcPr>
            <w:tcW w:w="188" w:type="dxa"/>
            <w:tcBorders>
              <w:top w:val="single" w:sz="4" w:space="0" w:color="000000"/>
              <w:bottom w:val="single" w:sz="4" w:space="0" w:color="000000"/>
              <w:right w:val="single" w:sz="4" w:space="0" w:color="000000"/>
            </w:tcBorders>
          </w:tcPr>
          <w:p w14:paraId="7EDF9EC4" w14:textId="77777777" w:rsidR="00F65BCA" w:rsidRDefault="00216117">
            <w:pPr>
              <w:pStyle w:val="TableParagraph"/>
              <w:spacing w:before="4" w:line="67" w:lineRule="exact"/>
              <w:ind w:left="59"/>
              <w:rPr>
                <w:rFonts w:ascii="Calibri"/>
                <w:sz w:val="7"/>
              </w:rPr>
            </w:pPr>
            <w:r>
              <w:rPr>
                <w:rFonts w:ascii="Calibri"/>
                <w:w w:val="105"/>
                <w:sz w:val="7"/>
              </w:rPr>
              <w:t>21</w:t>
            </w:r>
          </w:p>
        </w:tc>
        <w:tc>
          <w:tcPr>
            <w:tcW w:w="398" w:type="dxa"/>
            <w:tcBorders>
              <w:top w:val="single" w:sz="4" w:space="0" w:color="000000"/>
              <w:left w:val="single" w:sz="4" w:space="0" w:color="000000"/>
              <w:bottom w:val="single" w:sz="4" w:space="0" w:color="000000"/>
              <w:right w:val="single" w:sz="4" w:space="0" w:color="000000"/>
            </w:tcBorders>
          </w:tcPr>
          <w:p w14:paraId="63DAC421"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5AA31ACD"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3E480B21"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6CDFD6F7"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246A3BC" w14:textId="77777777" w:rsidR="00F65BCA" w:rsidRDefault="00216117">
            <w:pPr>
              <w:pStyle w:val="TableParagraph"/>
              <w:spacing w:before="1" w:line="69" w:lineRule="exact"/>
              <w:ind w:left="70"/>
              <w:rPr>
                <w:rFonts w:ascii="Calibri"/>
                <w:sz w:val="7"/>
              </w:rPr>
            </w:pPr>
            <w:r>
              <w:rPr>
                <w:rFonts w:ascii="Calibri"/>
                <w:w w:val="105"/>
                <w:sz w:val="7"/>
              </w:rPr>
              <w:t>3P67548</w:t>
            </w:r>
          </w:p>
        </w:tc>
        <w:tc>
          <w:tcPr>
            <w:tcW w:w="398" w:type="dxa"/>
            <w:tcBorders>
              <w:top w:val="single" w:sz="4" w:space="0" w:color="000000"/>
              <w:left w:val="single" w:sz="4" w:space="0" w:color="000000"/>
              <w:bottom w:val="single" w:sz="4" w:space="0" w:color="000000"/>
              <w:right w:val="single" w:sz="4" w:space="0" w:color="000000"/>
            </w:tcBorders>
          </w:tcPr>
          <w:p w14:paraId="4B04539D" w14:textId="77777777" w:rsidR="00F65BCA" w:rsidRDefault="00216117">
            <w:pPr>
              <w:pStyle w:val="TableParagraph"/>
              <w:spacing w:before="1" w:line="69" w:lineRule="exact"/>
              <w:ind w:left="15"/>
              <w:jc w:val="center"/>
              <w:rPr>
                <w:rFonts w:ascii="Calibri"/>
                <w:sz w:val="7"/>
              </w:rPr>
            </w:pPr>
            <w:r>
              <w:rPr>
                <w:rFonts w:ascii="Calibri"/>
                <w:w w:val="105"/>
                <w:sz w:val="7"/>
              </w:rPr>
              <w:t>BG187041</w:t>
            </w:r>
          </w:p>
        </w:tc>
        <w:tc>
          <w:tcPr>
            <w:tcW w:w="792" w:type="dxa"/>
            <w:tcBorders>
              <w:top w:val="single" w:sz="4" w:space="0" w:color="000000"/>
              <w:left w:val="single" w:sz="4" w:space="0" w:color="000000"/>
              <w:bottom w:val="single" w:sz="4" w:space="0" w:color="000000"/>
              <w:right w:val="single" w:sz="4" w:space="0" w:color="000000"/>
            </w:tcBorders>
          </w:tcPr>
          <w:p w14:paraId="00089298" w14:textId="77777777" w:rsidR="00F65BCA" w:rsidRDefault="00216117">
            <w:pPr>
              <w:pStyle w:val="TableParagraph"/>
              <w:spacing w:before="1" w:line="69" w:lineRule="exact"/>
              <w:ind w:left="64"/>
              <w:rPr>
                <w:rFonts w:ascii="Calibri"/>
                <w:sz w:val="7"/>
              </w:rPr>
            </w:pPr>
            <w:r>
              <w:rPr>
                <w:rFonts w:ascii="Calibri"/>
                <w:w w:val="105"/>
                <w:sz w:val="7"/>
              </w:rPr>
              <w:t>TMBBE61Z162132207</w:t>
            </w:r>
          </w:p>
        </w:tc>
        <w:tc>
          <w:tcPr>
            <w:tcW w:w="398" w:type="dxa"/>
            <w:tcBorders>
              <w:top w:val="single" w:sz="4" w:space="0" w:color="000000"/>
              <w:left w:val="single" w:sz="4" w:space="0" w:color="000000"/>
              <w:bottom w:val="single" w:sz="4" w:space="0" w:color="000000"/>
              <w:right w:val="single" w:sz="4" w:space="0" w:color="000000"/>
            </w:tcBorders>
          </w:tcPr>
          <w:p w14:paraId="63EC7B8D" w14:textId="77777777" w:rsidR="00F65BCA" w:rsidRDefault="00216117">
            <w:pPr>
              <w:pStyle w:val="TableParagraph"/>
              <w:spacing w:before="1" w:line="69" w:lineRule="exact"/>
              <w:ind w:left="100"/>
              <w:rPr>
                <w:rFonts w:ascii="Calibri"/>
                <w:sz w:val="7"/>
              </w:rPr>
            </w:pPr>
            <w:r>
              <w:rPr>
                <w:rFonts w:ascii="Calibri"/>
                <w:w w:val="105"/>
                <w:sz w:val="7"/>
              </w:rPr>
              <w:t>SKODA</w:t>
            </w:r>
          </w:p>
        </w:tc>
        <w:tc>
          <w:tcPr>
            <w:tcW w:w="1065" w:type="dxa"/>
            <w:tcBorders>
              <w:top w:val="single" w:sz="4" w:space="0" w:color="000000"/>
              <w:left w:val="single" w:sz="4" w:space="0" w:color="000000"/>
              <w:bottom w:val="single" w:sz="4" w:space="0" w:color="000000"/>
              <w:right w:val="single" w:sz="4" w:space="0" w:color="000000"/>
            </w:tcBorders>
          </w:tcPr>
          <w:p w14:paraId="024CC21E" w14:textId="77777777" w:rsidR="00F65BCA" w:rsidRDefault="00216117">
            <w:pPr>
              <w:pStyle w:val="TableParagraph"/>
              <w:spacing w:before="1" w:line="69" w:lineRule="exact"/>
              <w:ind w:left="73" w:right="55"/>
              <w:jc w:val="center"/>
              <w:rPr>
                <w:rFonts w:ascii="Calibri"/>
                <w:sz w:val="7"/>
              </w:rPr>
            </w:pPr>
            <w:r>
              <w:rPr>
                <w:rFonts w:ascii="Calibri"/>
                <w:w w:val="105"/>
                <w:sz w:val="7"/>
              </w:rPr>
              <w:t>OCTAVIA DIESEL II</w:t>
            </w:r>
          </w:p>
        </w:tc>
        <w:tc>
          <w:tcPr>
            <w:tcW w:w="815" w:type="dxa"/>
            <w:tcBorders>
              <w:top w:val="single" w:sz="4" w:space="0" w:color="000000"/>
              <w:left w:val="single" w:sz="4" w:space="0" w:color="000000"/>
              <w:bottom w:val="single" w:sz="4" w:space="0" w:color="000000"/>
              <w:right w:val="single" w:sz="4" w:space="0" w:color="000000"/>
            </w:tcBorders>
          </w:tcPr>
          <w:p w14:paraId="55BFBD9B"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37D9D2CE" w14:textId="77777777" w:rsidR="00F65BCA" w:rsidRDefault="00216117">
            <w:pPr>
              <w:pStyle w:val="TableParagraph"/>
              <w:spacing w:before="1" w:line="69" w:lineRule="exact"/>
              <w:ind w:right="41"/>
              <w:jc w:val="right"/>
              <w:rPr>
                <w:rFonts w:ascii="Calibri"/>
                <w:sz w:val="7"/>
              </w:rPr>
            </w:pPr>
            <w:r>
              <w:rPr>
                <w:rFonts w:ascii="Calibri"/>
                <w:w w:val="105"/>
                <w:sz w:val="7"/>
              </w:rPr>
              <w:t>2005</w:t>
            </w:r>
          </w:p>
        </w:tc>
        <w:tc>
          <w:tcPr>
            <w:tcW w:w="278" w:type="dxa"/>
            <w:tcBorders>
              <w:top w:val="single" w:sz="4" w:space="0" w:color="000000"/>
              <w:left w:val="single" w:sz="4" w:space="0" w:color="000000"/>
              <w:bottom w:val="single" w:sz="4" w:space="0" w:color="000000"/>
              <w:right w:val="single" w:sz="4" w:space="0" w:color="000000"/>
            </w:tcBorders>
          </w:tcPr>
          <w:p w14:paraId="3A78FE1B" w14:textId="77777777" w:rsidR="00F65BCA" w:rsidRDefault="00216117">
            <w:pPr>
              <w:pStyle w:val="TableParagraph"/>
              <w:spacing w:before="1" w:line="69" w:lineRule="exact"/>
              <w:ind w:left="28" w:right="2"/>
              <w:jc w:val="center"/>
              <w:rPr>
                <w:rFonts w:ascii="Calibri"/>
                <w:sz w:val="7"/>
              </w:rPr>
            </w:pPr>
            <w:r>
              <w:rPr>
                <w:rFonts w:ascii="Calibri"/>
                <w:w w:val="105"/>
                <w:sz w:val="7"/>
              </w:rPr>
              <w:t>1968</w:t>
            </w:r>
          </w:p>
        </w:tc>
        <w:tc>
          <w:tcPr>
            <w:tcW w:w="268" w:type="dxa"/>
            <w:tcBorders>
              <w:top w:val="single" w:sz="4" w:space="0" w:color="000000"/>
              <w:left w:val="single" w:sz="4" w:space="0" w:color="000000"/>
              <w:bottom w:val="single" w:sz="4" w:space="0" w:color="000000"/>
              <w:right w:val="single" w:sz="4" w:space="0" w:color="000000"/>
            </w:tcBorders>
          </w:tcPr>
          <w:p w14:paraId="4EB92068" w14:textId="77777777" w:rsidR="00F65BCA" w:rsidRDefault="00216117">
            <w:pPr>
              <w:pStyle w:val="TableParagraph"/>
              <w:spacing w:before="1" w:line="69" w:lineRule="exact"/>
              <w:ind w:right="56"/>
              <w:jc w:val="right"/>
              <w:rPr>
                <w:rFonts w:ascii="Calibri"/>
                <w:sz w:val="7"/>
              </w:rPr>
            </w:pPr>
            <w:r>
              <w:rPr>
                <w:rFonts w:ascii="Calibri"/>
                <w:w w:val="105"/>
                <w:sz w:val="7"/>
              </w:rPr>
              <w:t>103</w:t>
            </w:r>
          </w:p>
        </w:tc>
        <w:tc>
          <w:tcPr>
            <w:tcW w:w="398" w:type="dxa"/>
            <w:tcBorders>
              <w:top w:val="single" w:sz="4" w:space="0" w:color="000000"/>
              <w:left w:val="single" w:sz="4" w:space="0" w:color="000000"/>
              <w:bottom w:val="single" w:sz="4" w:space="0" w:color="000000"/>
              <w:right w:val="single" w:sz="4" w:space="0" w:color="000000"/>
            </w:tcBorders>
          </w:tcPr>
          <w:p w14:paraId="2F1D2460" w14:textId="77777777" w:rsidR="00F65BCA" w:rsidRDefault="00216117">
            <w:pPr>
              <w:pStyle w:val="TableParagraph"/>
              <w:spacing w:before="1" w:line="69" w:lineRule="exact"/>
              <w:ind w:left="28"/>
              <w:jc w:val="center"/>
              <w:rPr>
                <w:rFonts w:ascii="Calibri"/>
                <w:sz w:val="7"/>
              </w:rPr>
            </w:pPr>
            <w:r>
              <w:rPr>
                <w:rFonts w:ascii="Calibri"/>
                <w:w w:val="105"/>
                <w:sz w:val="7"/>
              </w:rPr>
              <w:t>1995</w:t>
            </w:r>
          </w:p>
        </w:tc>
        <w:tc>
          <w:tcPr>
            <w:tcW w:w="249" w:type="dxa"/>
            <w:tcBorders>
              <w:top w:val="single" w:sz="4" w:space="0" w:color="000000"/>
              <w:left w:val="single" w:sz="4" w:space="0" w:color="000000"/>
              <w:bottom w:val="single" w:sz="4" w:space="0" w:color="000000"/>
              <w:right w:val="single" w:sz="4" w:space="0" w:color="000000"/>
            </w:tcBorders>
          </w:tcPr>
          <w:p w14:paraId="0C09549D" w14:textId="77777777" w:rsidR="00F65BCA" w:rsidRDefault="00216117">
            <w:pPr>
              <w:pStyle w:val="TableParagraph"/>
              <w:spacing w:before="1"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5CFFC76D" w14:textId="77777777" w:rsidR="00F65BCA" w:rsidRDefault="00216117">
            <w:pPr>
              <w:pStyle w:val="TableParagraph"/>
              <w:spacing w:before="1"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5B9289DF"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1FC011B8" w14:textId="77777777" w:rsidR="00F65BCA" w:rsidRDefault="00216117">
            <w:pPr>
              <w:pStyle w:val="TableParagraph"/>
              <w:spacing w:before="1" w:line="69" w:lineRule="exact"/>
              <w:jc w:val="right"/>
              <w:rPr>
                <w:rFonts w:ascii="Calibri" w:hAnsi="Calibri"/>
                <w:sz w:val="7"/>
              </w:rPr>
            </w:pPr>
            <w:r>
              <w:rPr>
                <w:rFonts w:ascii="Calibri" w:hAnsi="Calibri"/>
                <w:w w:val="105"/>
                <w:sz w:val="7"/>
              </w:rPr>
              <w:t>55 000 Kč</w:t>
            </w:r>
          </w:p>
        </w:tc>
        <w:tc>
          <w:tcPr>
            <w:tcW w:w="278" w:type="dxa"/>
            <w:tcBorders>
              <w:top w:val="single" w:sz="4" w:space="0" w:color="000000"/>
              <w:left w:val="single" w:sz="4" w:space="0" w:color="000000"/>
              <w:bottom w:val="single" w:sz="4" w:space="0" w:color="000000"/>
              <w:right w:val="single" w:sz="4" w:space="0" w:color="000000"/>
            </w:tcBorders>
          </w:tcPr>
          <w:p w14:paraId="2674944A"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6169A98E"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2D9AA226"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12 000 Kč</w:t>
            </w:r>
          </w:p>
        </w:tc>
        <w:tc>
          <w:tcPr>
            <w:tcW w:w="398" w:type="dxa"/>
            <w:tcBorders>
              <w:top w:val="single" w:sz="4" w:space="0" w:color="000000"/>
              <w:left w:val="single" w:sz="4" w:space="0" w:color="000000"/>
              <w:bottom w:val="single" w:sz="4" w:space="0" w:color="000000"/>
              <w:right w:val="single" w:sz="4" w:space="0" w:color="000000"/>
            </w:tcBorders>
          </w:tcPr>
          <w:p w14:paraId="204B656C"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077E9D01"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1F59EEC1"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58292F37"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3F05274C"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2 196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43C1720A"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1 500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6F40C4E5" w14:textId="77777777" w:rsidR="00F65BCA" w:rsidRDefault="00216117">
            <w:pPr>
              <w:pStyle w:val="TableParagraph"/>
              <w:spacing w:before="4" w:line="67" w:lineRule="exact"/>
              <w:ind w:right="98"/>
              <w:jc w:val="right"/>
              <w:rPr>
                <w:rFonts w:ascii="Calibri" w:hAnsi="Calibri"/>
                <w:sz w:val="7"/>
              </w:rPr>
            </w:pPr>
            <w:r>
              <w:rPr>
                <w:rFonts w:ascii="Calibri" w:hAnsi="Calibri"/>
                <w:w w:val="105"/>
                <w:sz w:val="7"/>
              </w:rPr>
              <w:t>924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22CE682C"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637F37E0"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28F68B0" w14:textId="77777777" w:rsidR="00F65BCA" w:rsidRDefault="00216117">
            <w:pPr>
              <w:pStyle w:val="TableParagraph"/>
              <w:spacing w:before="4" w:line="67" w:lineRule="exact"/>
              <w:ind w:left="77" w:right="16"/>
              <w:jc w:val="center"/>
              <w:rPr>
                <w:rFonts w:ascii="Calibri" w:hAnsi="Calibri"/>
                <w:sz w:val="7"/>
              </w:rPr>
            </w:pPr>
            <w:r>
              <w:rPr>
                <w:rFonts w:ascii="Calibri" w:hAnsi="Calibri"/>
                <w:w w:val="105"/>
                <w:sz w:val="7"/>
              </w:rPr>
              <w:t>1 320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72AFF962"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63FF0F73" w14:textId="77777777" w:rsidR="00F65BCA" w:rsidRDefault="00216117">
            <w:pPr>
              <w:pStyle w:val="TableParagraph"/>
              <w:spacing w:before="4" w:line="67" w:lineRule="exact"/>
              <w:ind w:left="130"/>
              <w:rPr>
                <w:rFonts w:ascii="Calibri" w:hAnsi="Calibri"/>
                <w:sz w:val="7"/>
              </w:rPr>
            </w:pPr>
            <w:r>
              <w:rPr>
                <w:rFonts w:ascii="Calibri" w:hAnsi="Calibri"/>
                <w:w w:val="105"/>
                <w:sz w:val="7"/>
              </w:rPr>
              <w:t>6 852 Kč</w:t>
            </w:r>
          </w:p>
        </w:tc>
      </w:tr>
      <w:tr w:rsidR="00F65BCA" w14:paraId="794C93CA" w14:textId="77777777">
        <w:trPr>
          <w:trHeight w:val="90"/>
        </w:trPr>
        <w:tc>
          <w:tcPr>
            <w:tcW w:w="188" w:type="dxa"/>
            <w:tcBorders>
              <w:top w:val="single" w:sz="4" w:space="0" w:color="000000"/>
              <w:bottom w:val="single" w:sz="4" w:space="0" w:color="000000"/>
              <w:right w:val="single" w:sz="4" w:space="0" w:color="000000"/>
            </w:tcBorders>
          </w:tcPr>
          <w:p w14:paraId="6EA86584" w14:textId="77777777" w:rsidR="00F65BCA" w:rsidRDefault="00216117">
            <w:pPr>
              <w:pStyle w:val="TableParagraph"/>
              <w:spacing w:before="4" w:line="67" w:lineRule="exact"/>
              <w:ind w:left="59"/>
              <w:rPr>
                <w:rFonts w:ascii="Calibri"/>
                <w:sz w:val="7"/>
              </w:rPr>
            </w:pPr>
            <w:r>
              <w:rPr>
                <w:rFonts w:ascii="Calibri"/>
                <w:w w:val="105"/>
                <w:sz w:val="7"/>
              </w:rPr>
              <w:t>22</w:t>
            </w:r>
          </w:p>
        </w:tc>
        <w:tc>
          <w:tcPr>
            <w:tcW w:w="398" w:type="dxa"/>
            <w:tcBorders>
              <w:top w:val="single" w:sz="4" w:space="0" w:color="000000"/>
              <w:left w:val="single" w:sz="4" w:space="0" w:color="000000"/>
              <w:bottom w:val="single" w:sz="4" w:space="0" w:color="000000"/>
              <w:right w:val="single" w:sz="4" w:space="0" w:color="000000"/>
            </w:tcBorders>
          </w:tcPr>
          <w:p w14:paraId="4D4B6D9E"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61B91931"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150861FE"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7DA4040B"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183C11BC" w14:textId="77777777" w:rsidR="00F65BCA" w:rsidRDefault="00216117">
            <w:pPr>
              <w:pStyle w:val="TableParagraph"/>
              <w:spacing w:before="1" w:line="69" w:lineRule="exact"/>
              <w:ind w:left="70"/>
              <w:rPr>
                <w:rFonts w:ascii="Calibri"/>
                <w:sz w:val="7"/>
              </w:rPr>
            </w:pPr>
            <w:r>
              <w:rPr>
                <w:rFonts w:ascii="Calibri"/>
                <w:w w:val="105"/>
                <w:sz w:val="7"/>
              </w:rPr>
              <w:t>6P43453</w:t>
            </w:r>
          </w:p>
        </w:tc>
        <w:tc>
          <w:tcPr>
            <w:tcW w:w="398" w:type="dxa"/>
            <w:tcBorders>
              <w:top w:val="single" w:sz="4" w:space="0" w:color="000000"/>
              <w:left w:val="single" w:sz="4" w:space="0" w:color="000000"/>
              <w:bottom w:val="single" w:sz="4" w:space="0" w:color="000000"/>
              <w:right w:val="single" w:sz="4" w:space="0" w:color="000000"/>
            </w:tcBorders>
          </w:tcPr>
          <w:p w14:paraId="538116F6" w14:textId="77777777" w:rsidR="00F65BCA" w:rsidRDefault="00216117">
            <w:pPr>
              <w:pStyle w:val="TableParagraph"/>
              <w:spacing w:before="1" w:line="69" w:lineRule="exact"/>
              <w:ind w:left="17"/>
              <w:jc w:val="center"/>
              <w:rPr>
                <w:rFonts w:ascii="Calibri"/>
                <w:sz w:val="7"/>
              </w:rPr>
            </w:pPr>
            <w:r>
              <w:rPr>
                <w:rFonts w:ascii="Calibri"/>
                <w:w w:val="105"/>
                <w:sz w:val="7"/>
              </w:rPr>
              <w:t>UG257715</w:t>
            </w:r>
          </w:p>
        </w:tc>
        <w:tc>
          <w:tcPr>
            <w:tcW w:w="792" w:type="dxa"/>
            <w:tcBorders>
              <w:top w:val="single" w:sz="4" w:space="0" w:color="000000"/>
              <w:left w:val="single" w:sz="4" w:space="0" w:color="000000"/>
              <w:bottom w:val="single" w:sz="4" w:space="0" w:color="000000"/>
              <w:right w:val="single" w:sz="4" w:space="0" w:color="000000"/>
            </w:tcBorders>
          </w:tcPr>
          <w:p w14:paraId="1A5AC804" w14:textId="77777777" w:rsidR="00F65BCA" w:rsidRDefault="00216117">
            <w:pPr>
              <w:pStyle w:val="TableParagraph"/>
              <w:spacing w:before="1" w:line="69" w:lineRule="exact"/>
              <w:ind w:left="35"/>
              <w:rPr>
                <w:rFonts w:ascii="Calibri"/>
                <w:sz w:val="7"/>
              </w:rPr>
            </w:pPr>
            <w:r>
              <w:rPr>
                <w:rFonts w:ascii="Calibri"/>
                <w:w w:val="105"/>
                <w:sz w:val="7"/>
              </w:rPr>
              <w:t>WF0WXXGBBW6J08155</w:t>
            </w:r>
          </w:p>
        </w:tc>
        <w:tc>
          <w:tcPr>
            <w:tcW w:w="398" w:type="dxa"/>
            <w:tcBorders>
              <w:top w:val="single" w:sz="4" w:space="0" w:color="000000"/>
              <w:left w:val="single" w:sz="4" w:space="0" w:color="000000"/>
              <w:bottom w:val="single" w:sz="4" w:space="0" w:color="000000"/>
              <w:right w:val="single" w:sz="4" w:space="0" w:color="000000"/>
            </w:tcBorders>
          </w:tcPr>
          <w:p w14:paraId="27B80377" w14:textId="77777777" w:rsidR="00F65BCA" w:rsidRDefault="00216117">
            <w:pPr>
              <w:pStyle w:val="TableParagraph"/>
              <w:spacing w:before="1" w:line="69" w:lineRule="exact"/>
              <w:ind w:left="119"/>
              <w:rPr>
                <w:rFonts w:ascii="Calibri"/>
                <w:sz w:val="7"/>
              </w:rPr>
            </w:pPr>
            <w:r>
              <w:rPr>
                <w:rFonts w:ascii="Calibri"/>
                <w:w w:val="105"/>
                <w:sz w:val="7"/>
              </w:rPr>
              <w:t>FORD</w:t>
            </w:r>
          </w:p>
        </w:tc>
        <w:tc>
          <w:tcPr>
            <w:tcW w:w="1065" w:type="dxa"/>
            <w:tcBorders>
              <w:top w:val="single" w:sz="4" w:space="0" w:color="000000"/>
              <w:left w:val="single" w:sz="4" w:space="0" w:color="000000"/>
              <w:bottom w:val="single" w:sz="4" w:space="0" w:color="000000"/>
              <w:right w:val="single" w:sz="4" w:space="0" w:color="000000"/>
            </w:tcBorders>
          </w:tcPr>
          <w:p w14:paraId="5969C70B" w14:textId="77777777" w:rsidR="00F65BCA" w:rsidRDefault="00216117">
            <w:pPr>
              <w:pStyle w:val="TableParagraph"/>
              <w:spacing w:before="1" w:line="69" w:lineRule="exact"/>
              <w:ind w:left="75" w:right="54"/>
              <w:jc w:val="center"/>
              <w:rPr>
                <w:rFonts w:ascii="Calibri"/>
                <w:sz w:val="7"/>
              </w:rPr>
            </w:pPr>
            <w:r>
              <w:rPr>
                <w:rFonts w:ascii="Calibri"/>
                <w:w w:val="105"/>
                <w:sz w:val="7"/>
              </w:rPr>
              <w:t>MONDEO II</w:t>
            </w:r>
          </w:p>
        </w:tc>
        <w:tc>
          <w:tcPr>
            <w:tcW w:w="815" w:type="dxa"/>
            <w:tcBorders>
              <w:top w:val="single" w:sz="4" w:space="0" w:color="000000"/>
              <w:left w:val="single" w:sz="4" w:space="0" w:color="000000"/>
              <w:bottom w:val="single" w:sz="4" w:space="0" w:color="000000"/>
              <w:right w:val="single" w:sz="4" w:space="0" w:color="000000"/>
            </w:tcBorders>
          </w:tcPr>
          <w:p w14:paraId="4A05D088"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5C1DBB95" w14:textId="77777777" w:rsidR="00F65BCA" w:rsidRDefault="00216117">
            <w:pPr>
              <w:pStyle w:val="TableParagraph"/>
              <w:spacing w:before="1" w:line="69" w:lineRule="exact"/>
              <w:ind w:right="41"/>
              <w:jc w:val="right"/>
              <w:rPr>
                <w:rFonts w:ascii="Calibri"/>
                <w:sz w:val="7"/>
              </w:rPr>
            </w:pPr>
            <w:r>
              <w:rPr>
                <w:rFonts w:ascii="Calibri"/>
                <w:w w:val="105"/>
                <w:sz w:val="7"/>
              </w:rPr>
              <w:t>2006</w:t>
            </w:r>
          </w:p>
        </w:tc>
        <w:tc>
          <w:tcPr>
            <w:tcW w:w="278" w:type="dxa"/>
            <w:tcBorders>
              <w:top w:val="single" w:sz="4" w:space="0" w:color="000000"/>
              <w:left w:val="single" w:sz="4" w:space="0" w:color="000000"/>
              <w:bottom w:val="single" w:sz="4" w:space="0" w:color="000000"/>
              <w:right w:val="single" w:sz="4" w:space="0" w:color="000000"/>
            </w:tcBorders>
          </w:tcPr>
          <w:p w14:paraId="7BB23C96" w14:textId="77777777" w:rsidR="00F65BCA" w:rsidRDefault="00216117">
            <w:pPr>
              <w:pStyle w:val="TableParagraph"/>
              <w:spacing w:before="1" w:line="69" w:lineRule="exact"/>
              <w:ind w:left="28" w:right="2"/>
              <w:jc w:val="center"/>
              <w:rPr>
                <w:rFonts w:ascii="Calibri"/>
                <w:sz w:val="7"/>
              </w:rPr>
            </w:pPr>
            <w:r>
              <w:rPr>
                <w:rFonts w:ascii="Calibri"/>
                <w:w w:val="105"/>
                <w:sz w:val="7"/>
              </w:rPr>
              <w:t>1798</w:t>
            </w:r>
          </w:p>
        </w:tc>
        <w:tc>
          <w:tcPr>
            <w:tcW w:w="268" w:type="dxa"/>
            <w:tcBorders>
              <w:top w:val="single" w:sz="4" w:space="0" w:color="000000"/>
              <w:left w:val="single" w:sz="4" w:space="0" w:color="000000"/>
              <w:bottom w:val="single" w:sz="4" w:space="0" w:color="000000"/>
              <w:right w:val="single" w:sz="4" w:space="0" w:color="000000"/>
            </w:tcBorders>
          </w:tcPr>
          <w:p w14:paraId="7FCB3130" w14:textId="77777777" w:rsidR="00F65BCA" w:rsidRDefault="00216117">
            <w:pPr>
              <w:pStyle w:val="TableParagraph"/>
              <w:spacing w:before="1" w:line="69" w:lineRule="exact"/>
              <w:ind w:right="74"/>
              <w:jc w:val="right"/>
              <w:rPr>
                <w:rFonts w:ascii="Calibri"/>
                <w:sz w:val="7"/>
              </w:rPr>
            </w:pPr>
            <w:r>
              <w:rPr>
                <w:rFonts w:ascii="Calibri"/>
                <w:w w:val="105"/>
                <w:sz w:val="7"/>
              </w:rPr>
              <w:t>92</w:t>
            </w:r>
          </w:p>
        </w:tc>
        <w:tc>
          <w:tcPr>
            <w:tcW w:w="398" w:type="dxa"/>
            <w:tcBorders>
              <w:top w:val="single" w:sz="4" w:space="0" w:color="000000"/>
              <w:left w:val="single" w:sz="4" w:space="0" w:color="000000"/>
              <w:bottom w:val="single" w:sz="4" w:space="0" w:color="000000"/>
              <w:right w:val="single" w:sz="4" w:space="0" w:color="000000"/>
            </w:tcBorders>
          </w:tcPr>
          <w:p w14:paraId="312AF174" w14:textId="77777777" w:rsidR="00F65BCA" w:rsidRDefault="00216117">
            <w:pPr>
              <w:pStyle w:val="TableParagraph"/>
              <w:spacing w:before="1" w:line="69" w:lineRule="exact"/>
              <w:ind w:left="28"/>
              <w:jc w:val="center"/>
              <w:rPr>
                <w:rFonts w:ascii="Calibri"/>
                <w:sz w:val="7"/>
              </w:rPr>
            </w:pPr>
            <w:r>
              <w:rPr>
                <w:rFonts w:ascii="Calibri"/>
                <w:w w:val="105"/>
                <w:sz w:val="7"/>
              </w:rPr>
              <w:t>2065</w:t>
            </w:r>
          </w:p>
        </w:tc>
        <w:tc>
          <w:tcPr>
            <w:tcW w:w="249" w:type="dxa"/>
            <w:tcBorders>
              <w:top w:val="single" w:sz="4" w:space="0" w:color="000000"/>
              <w:left w:val="single" w:sz="4" w:space="0" w:color="000000"/>
              <w:bottom w:val="single" w:sz="4" w:space="0" w:color="000000"/>
              <w:right w:val="single" w:sz="4" w:space="0" w:color="000000"/>
            </w:tcBorders>
          </w:tcPr>
          <w:p w14:paraId="577DC216" w14:textId="77777777" w:rsidR="00F65BCA" w:rsidRDefault="00216117">
            <w:pPr>
              <w:pStyle w:val="TableParagraph"/>
              <w:spacing w:before="1"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0E8BA2C2" w14:textId="77777777" w:rsidR="00F65BCA" w:rsidRDefault="00216117">
            <w:pPr>
              <w:pStyle w:val="TableParagraph"/>
              <w:spacing w:before="1" w:line="69" w:lineRule="exact"/>
              <w:ind w:left="34"/>
              <w:jc w:val="center"/>
              <w:rPr>
                <w:rFonts w:ascii="Calibri" w:hAnsi="Calibri"/>
                <w:sz w:val="7"/>
              </w:rPr>
            </w:pPr>
            <w:r>
              <w:rPr>
                <w:rFonts w:ascii="Calibri" w:hAnsi="Calibri"/>
                <w:w w:val="105"/>
                <w:sz w:val="7"/>
              </w:rPr>
              <w:t>Benzín</w:t>
            </w:r>
          </w:p>
        </w:tc>
        <w:tc>
          <w:tcPr>
            <w:tcW w:w="256" w:type="dxa"/>
            <w:tcBorders>
              <w:top w:val="single" w:sz="4" w:space="0" w:color="000000"/>
              <w:left w:val="single" w:sz="4" w:space="0" w:color="000000"/>
              <w:bottom w:val="single" w:sz="4" w:space="0" w:color="000000"/>
              <w:right w:val="single" w:sz="4" w:space="0" w:color="000000"/>
            </w:tcBorders>
          </w:tcPr>
          <w:p w14:paraId="1DEF9B02"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0C1A6DDA" w14:textId="77777777" w:rsidR="00F65BCA" w:rsidRDefault="00216117">
            <w:pPr>
              <w:pStyle w:val="TableParagraph"/>
              <w:spacing w:before="1" w:line="69" w:lineRule="exact"/>
              <w:jc w:val="right"/>
              <w:rPr>
                <w:rFonts w:ascii="Calibri" w:hAnsi="Calibri"/>
                <w:sz w:val="7"/>
              </w:rPr>
            </w:pPr>
            <w:r>
              <w:rPr>
                <w:rFonts w:ascii="Calibri" w:hAnsi="Calibri"/>
                <w:w w:val="105"/>
                <w:sz w:val="7"/>
              </w:rPr>
              <w:t>50 000 Kč</w:t>
            </w:r>
          </w:p>
        </w:tc>
        <w:tc>
          <w:tcPr>
            <w:tcW w:w="278" w:type="dxa"/>
            <w:tcBorders>
              <w:top w:val="single" w:sz="4" w:space="0" w:color="000000"/>
              <w:left w:val="single" w:sz="4" w:space="0" w:color="000000"/>
              <w:bottom w:val="single" w:sz="4" w:space="0" w:color="000000"/>
              <w:right w:val="single" w:sz="4" w:space="0" w:color="000000"/>
            </w:tcBorders>
          </w:tcPr>
          <w:p w14:paraId="6CF4FAAA"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0D414DFD"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1D598AB3"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15 000 Kč</w:t>
            </w:r>
          </w:p>
        </w:tc>
        <w:tc>
          <w:tcPr>
            <w:tcW w:w="398" w:type="dxa"/>
            <w:tcBorders>
              <w:top w:val="single" w:sz="4" w:space="0" w:color="000000"/>
              <w:left w:val="single" w:sz="4" w:space="0" w:color="000000"/>
              <w:bottom w:val="single" w:sz="4" w:space="0" w:color="000000"/>
              <w:right w:val="single" w:sz="4" w:space="0" w:color="000000"/>
            </w:tcBorders>
          </w:tcPr>
          <w:p w14:paraId="0F2AB9D1"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752730A8"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7B82A3E6"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5DD6ACF5"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0FB61D55"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1 944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588FEFB0"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1 500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24EB1A6A" w14:textId="77777777" w:rsidR="00F65BCA" w:rsidRDefault="00216117">
            <w:pPr>
              <w:pStyle w:val="TableParagraph"/>
              <w:spacing w:before="4" w:line="67" w:lineRule="exact"/>
              <w:ind w:right="70"/>
              <w:jc w:val="right"/>
              <w:rPr>
                <w:rFonts w:ascii="Calibri" w:hAnsi="Calibri"/>
                <w:sz w:val="7"/>
              </w:rPr>
            </w:pPr>
            <w:r>
              <w:rPr>
                <w:rFonts w:ascii="Calibri" w:hAnsi="Calibri"/>
                <w:w w:val="105"/>
                <w:sz w:val="7"/>
              </w:rPr>
              <w:t>1 152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6A61286D"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2C58C839"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505F863" w14:textId="77777777" w:rsidR="00F65BCA" w:rsidRDefault="00216117">
            <w:pPr>
              <w:pStyle w:val="TableParagraph"/>
              <w:spacing w:before="4" w:line="67" w:lineRule="exact"/>
              <w:ind w:left="78" w:right="16"/>
              <w:jc w:val="center"/>
              <w:rPr>
                <w:rFonts w:ascii="Calibri" w:hAnsi="Calibri"/>
                <w:sz w:val="7"/>
              </w:rPr>
            </w:pPr>
            <w:r>
              <w:rPr>
                <w:rFonts w:ascii="Calibri" w:hAnsi="Calibri"/>
                <w:w w:val="105"/>
                <w:sz w:val="7"/>
              </w:rPr>
              <w:t>1 320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3116EB52"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574E7E35" w14:textId="77777777" w:rsidR="00F65BCA" w:rsidRDefault="00216117">
            <w:pPr>
              <w:pStyle w:val="TableParagraph"/>
              <w:spacing w:before="4" w:line="67" w:lineRule="exact"/>
              <w:ind w:left="130"/>
              <w:rPr>
                <w:rFonts w:ascii="Calibri" w:hAnsi="Calibri"/>
                <w:sz w:val="7"/>
              </w:rPr>
            </w:pPr>
            <w:r>
              <w:rPr>
                <w:rFonts w:ascii="Calibri" w:hAnsi="Calibri"/>
                <w:w w:val="105"/>
                <w:sz w:val="7"/>
              </w:rPr>
              <w:t>6 828 Kč</w:t>
            </w:r>
          </w:p>
        </w:tc>
      </w:tr>
      <w:tr w:rsidR="00F65BCA" w14:paraId="1D3710CF" w14:textId="77777777">
        <w:trPr>
          <w:trHeight w:val="191"/>
        </w:trPr>
        <w:tc>
          <w:tcPr>
            <w:tcW w:w="188" w:type="dxa"/>
            <w:tcBorders>
              <w:top w:val="single" w:sz="4" w:space="0" w:color="000000"/>
              <w:bottom w:val="single" w:sz="4" w:space="0" w:color="000000"/>
              <w:right w:val="single" w:sz="4" w:space="0" w:color="000000"/>
            </w:tcBorders>
          </w:tcPr>
          <w:p w14:paraId="09CE92BD" w14:textId="77777777" w:rsidR="00F65BCA" w:rsidRDefault="00F65BCA">
            <w:pPr>
              <w:pStyle w:val="TableParagraph"/>
              <w:spacing w:before="7"/>
              <w:rPr>
                <w:rFonts w:ascii="Calibri"/>
                <w:b/>
                <w:sz w:val="8"/>
              </w:rPr>
            </w:pPr>
          </w:p>
          <w:p w14:paraId="54E014EE" w14:textId="77777777" w:rsidR="00F65BCA" w:rsidRDefault="00216117">
            <w:pPr>
              <w:pStyle w:val="TableParagraph"/>
              <w:spacing w:line="67" w:lineRule="exact"/>
              <w:ind w:left="59"/>
              <w:rPr>
                <w:rFonts w:ascii="Calibri"/>
                <w:sz w:val="7"/>
              </w:rPr>
            </w:pPr>
            <w:r>
              <w:rPr>
                <w:rFonts w:ascii="Calibri"/>
                <w:w w:val="105"/>
                <w:sz w:val="7"/>
              </w:rPr>
              <w:t>23</w:t>
            </w:r>
          </w:p>
        </w:tc>
        <w:tc>
          <w:tcPr>
            <w:tcW w:w="398" w:type="dxa"/>
            <w:tcBorders>
              <w:top w:val="single" w:sz="4" w:space="0" w:color="000000"/>
              <w:left w:val="single" w:sz="4" w:space="0" w:color="000000"/>
              <w:bottom w:val="single" w:sz="4" w:space="0" w:color="000000"/>
              <w:right w:val="single" w:sz="4" w:space="0" w:color="000000"/>
            </w:tcBorders>
          </w:tcPr>
          <w:p w14:paraId="338FD81C" w14:textId="77777777" w:rsidR="00F65BCA" w:rsidRDefault="00F65BCA">
            <w:pPr>
              <w:pStyle w:val="TableParagraph"/>
              <w:spacing w:before="4"/>
              <w:rPr>
                <w:rFonts w:ascii="Calibri"/>
                <w:b/>
                <w:sz w:val="8"/>
              </w:rPr>
            </w:pPr>
          </w:p>
          <w:p w14:paraId="3062885C" w14:textId="77777777" w:rsidR="00F65BCA" w:rsidRDefault="00216117">
            <w:pPr>
              <w:pStyle w:val="TableParagraph"/>
              <w:spacing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4F15F143" w14:textId="77777777" w:rsidR="00F65BCA" w:rsidRDefault="00F65BCA">
            <w:pPr>
              <w:pStyle w:val="TableParagraph"/>
              <w:spacing w:before="4"/>
              <w:rPr>
                <w:rFonts w:ascii="Calibri"/>
                <w:b/>
                <w:sz w:val="8"/>
              </w:rPr>
            </w:pPr>
          </w:p>
          <w:p w14:paraId="17D567E4" w14:textId="77777777" w:rsidR="00F65BCA" w:rsidRDefault="00216117">
            <w:pPr>
              <w:pStyle w:val="TableParagraph"/>
              <w:spacing w:line="69" w:lineRule="exact"/>
              <w:ind w:left="70" w:right="44"/>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70FF536B" w14:textId="77777777" w:rsidR="00F65BCA" w:rsidRDefault="00F65BCA">
            <w:pPr>
              <w:pStyle w:val="TableParagraph"/>
              <w:spacing w:before="4"/>
              <w:rPr>
                <w:rFonts w:ascii="Calibri"/>
                <w:b/>
                <w:sz w:val="8"/>
              </w:rPr>
            </w:pPr>
          </w:p>
          <w:p w14:paraId="0E30158D" w14:textId="77777777" w:rsidR="00F65BCA" w:rsidRDefault="00216117">
            <w:pPr>
              <w:pStyle w:val="TableParagraph"/>
              <w:spacing w:line="69" w:lineRule="exact"/>
              <w:ind w:right="34"/>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65B7886E" w14:textId="77777777" w:rsidR="00F65BCA" w:rsidRDefault="00F65BCA">
            <w:pPr>
              <w:pStyle w:val="TableParagraph"/>
              <w:spacing w:before="4"/>
              <w:rPr>
                <w:rFonts w:ascii="Calibri"/>
                <w:b/>
                <w:sz w:val="8"/>
              </w:rPr>
            </w:pPr>
          </w:p>
          <w:p w14:paraId="4CF9C55E" w14:textId="77777777" w:rsidR="00F65BCA" w:rsidRDefault="00216117">
            <w:pPr>
              <w:pStyle w:val="TableParagraph"/>
              <w:spacing w:line="69" w:lineRule="exact"/>
              <w:ind w:left="70"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25158616" w14:textId="77777777" w:rsidR="00F65BCA" w:rsidRDefault="00F65BCA">
            <w:pPr>
              <w:pStyle w:val="TableParagraph"/>
              <w:spacing w:before="4"/>
              <w:rPr>
                <w:rFonts w:ascii="Calibri"/>
                <w:b/>
                <w:sz w:val="8"/>
              </w:rPr>
            </w:pPr>
          </w:p>
          <w:p w14:paraId="45C5B2CA" w14:textId="77777777" w:rsidR="00F65BCA" w:rsidRDefault="00216117">
            <w:pPr>
              <w:pStyle w:val="TableParagraph"/>
              <w:spacing w:line="69" w:lineRule="exact"/>
              <w:ind w:left="69"/>
              <w:rPr>
                <w:rFonts w:ascii="Calibri"/>
                <w:sz w:val="7"/>
              </w:rPr>
            </w:pPr>
            <w:r>
              <w:rPr>
                <w:rFonts w:ascii="Calibri"/>
                <w:w w:val="105"/>
                <w:sz w:val="7"/>
              </w:rPr>
              <w:t>5P89219</w:t>
            </w:r>
          </w:p>
        </w:tc>
        <w:tc>
          <w:tcPr>
            <w:tcW w:w="398" w:type="dxa"/>
            <w:tcBorders>
              <w:top w:val="single" w:sz="4" w:space="0" w:color="000000"/>
              <w:left w:val="single" w:sz="4" w:space="0" w:color="000000"/>
              <w:bottom w:val="single" w:sz="4" w:space="0" w:color="000000"/>
              <w:right w:val="single" w:sz="4" w:space="0" w:color="000000"/>
            </w:tcBorders>
          </w:tcPr>
          <w:p w14:paraId="4C68BD15" w14:textId="77777777" w:rsidR="00F65BCA" w:rsidRDefault="00F65BCA">
            <w:pPr>
              <w:pStyle w:val="TableParagraph"/>
              <w:spacing w:before="4"/>
              <w:rPr>
                <w:rFonts w:ascii="Calibri"/>
                <w:b/>
                <w:sz w:val="8"/>
              </w:rPr>
            </w:pPr>
          </w:p>
          <w:p w14:paraId="692AB654" w14:textId="77777777" w:rsidR="00F65BCA" w:rsidRDefault="00216117">
            <w:pPr>
              <w:pStyle w:val="TableParagraph"/>
              <w:spacing w:line="69" w:lineRule="exact"/>
              <w:ind w:left="13"/>
              <w:jc w:val="center"/>
              <w:rPr>
                <w:rFonts w:ascii="Calibri"/>
                <w:sz w:val="7"/>
              </w:rPr>
            </w:pPr>
            <w:r>
              <w:rPr>
                <w:rFonts w:ascii="Calibri"/>
                <w:w w:val="105"/>
                <w:sz w:val="7"/>
              </w:rPr>
              <w:t>UD629793</w:t>
            </w:r>
          </w:p>
        </w:tc>
        <w:tc>
          <w:tcPr>
            <w:tcW w:w="792" w:type="dxa"/>
            <w:tcBorders>
              <w:top w:val="single" w:sz="4" w:space="0" w:color="000000"/>
              <w:left w:val="single" w:sz="4" w:space="0" w:color="000000"/>
              <w:bottom w:val="single" w:sz="4" w:space="0" w:color="000000"/>
              <w:right w:val="single" w:sz="4" w:space="0" w:color="000000"/>
            </w:tcBorders>
          </w:tcPr>
          <w:p w14:paraId="26A19D58" w14:textId="77777777" w:rsidR="00F65BCA" w:rsidRDefault="00F65BCA">
            <w:pPr>
              <w:pStyle w:val="TableParagraph"/>
              <w:spacing w:before="4"/>
              <w:rPr>
                <w:rFonts w:ascii="Calibri"/>
                <w:b/>
                <w:sz w:val="8"/>
              </w:rPr>
            </w:pPr>
          </w:p>
          <w:p w14:paraId="211DF0DE" w14:textId="77777777" w:rsidR="00F65BCA" w:rsidRDefault="00216117">
            <w:pPr>
              <w:pStyle w:val="TableParagraph"/>
              <w:spacing w:line="69" w:lineRule="exact"/>
              <w:ind w:left="55"/>
              <w:rPr>
                <w:rFonts w:ascii="Calibri"/>
                <w:sz w:val="7"/>
              </w:rPr>
            </w:pPr>
            <w:r>
              <w:rPr>
                <w:rFonts w:ascii="Calibri"/>
                <w:w w:val="105"/>
                <w:sz w:val="7"/>
              </w:rPr>
              <w:t>WV1ZZZ7HZ9H160078</w:t>
            </w:r>
          </w:p>
        </w:tc>
        <w:tc>
          <w:tcPr>
            <w:tcW w:w="398" w:type="dxa"/>
            <w:tcBorders>
              <w:top w:val="single" w:sz="4" w:space="0" w:color="000000"/>
              <w:left w:val="single" w:sz="4" w:space="0" w:color="000000"/>
              <w:bottom w:val="single" w:sz="4" w:space="0" w:color="000000"/>
              <w:right w:val="single" w:sz="4" w:space="0" w:color="000000"/>
            </w:tcBorders>
          </w:tcPr>
          <w:p w14:paraId="14AE3B75" w14:textId="77777777" w:rsidR="00F65BCA" w:rsidRDefault="00216117">
            <w:pPr>
              <w:pStyle w:val="TableParagraph"/>
              <w:spacing w:before="4"/>
              <w:ind w:left="20"/>
              <w:jc w:val="center"/>
              <w:rPr>
                <w:rFonts w:ascii="Calibri"/>
                <w:sz w:val="7"/>
              </w:rPr>
            </w:pPr>
            <w:r>
              <w:rPr>
                <w:rFonts w:ascii="Calibri"/>
                <w:w w:val="105"/>
                <w:sz w:val="7"/>
              </w:rPr>
              <w:t>VOLKSWAG</w:t>
            </w:r>
          </w:p>
          <w:p w14:paraId="7B2BC3ED" w14:textId="77777777" w:rsidR="00F65BCA" w:rsidRDefault="00216117">
            <w:pPr>
              <w:pStyle w:val="TableParagraph"/>
              <w:spacing w:before="13" w:line="69" w:lineRule="exact"/>
              <w:ind w:left="26"/>
              <w:jc w:val="center"/>
              <w:rPr>
                <w:rFonts w:ascii="Calibri"/>
                <w:sz w:val="7"/>
              </w:rPr>
            </w:pPr>
            <w:r>
              <w:rPr>
                <w:rFonts w:ascii="Calibri"/>
                <w:w w:val="105"/>
                <w:sz w:val="7"/>
              </w:rPr>
              <w:t>EN</w:t>
            </w:r>
          </w:p>
        </w:tc>
        <w:tc>
          <w:tcPr>
            <w:tcW w:w="1065" w:type="dxa"/>
            <w:tcBorders>
              <w:top w:val="single" w:sz="4" w:space="0" w:color="000000"/>
              <w:left w:val="single" w:sz="4" w:space="0" w:color="000000"/>
              <w:bottom w:val="single" w:sz="4" w:space="0" w:color="000000"/>
              <w:right w:val="single" w:sz="4" w:space="0" w:color="000000"/>
            </w:tcBorders>
          </w:tcPr>
          <w:p w14:paraId="590865CA" w14:textId="77777777" w:rsidR="00F65BCA" w:rsidRDefault="00F65BCA">
            <w:pPr>
              <w:pStyle w:val="TableParagraph"/>
              <w:spacing w:before="4"/>
              <w:rPr>
                <w:rFonts w:ascii="Calibri"/>
                <w:b/>
                <w:sz w:val="8"/>
              </w:rPr>
            </w:pPr>
          </w:p>
          <w:p w14:paraId="3235D89D" w14:textId="77777777" w:rsidR="00F65BCA" w:rsidRDefault="00216117">
            <w:pPr>
              <w:pStyle w:val="TableParagraph"/>
              <w:spacing w:line="69" w:lineRule="exact"/>
              <w:ind w:left="75" w:right="52"/>
              <w:jc w:val="center"/>
              <w:rPr>
                <w:rFonts w:ascii="Calibri"/>
                <w:sz w:val="7"/>
              </w:rPr>
            </w:pPr>
            <w:r>
              <w:rPr>
                <w:rFonts w:ascii="Calibri"/>
                <w:w w:val="105"/>
                <w:sz w:val="7"/>
              </w:rPr>
              <w:t>TRANSPORTER T5 DIESEL</w:t>
            </w:r>
          </w:p>
        </w:tc>
        <w:tc>
          <w:tcPr>
            <w:tcW w:w="815" w:type="dxa"/>
            <w:tcBorders>
              <w:top w:val="single" w:sz="4" w:space="0" w:color="000000"/>
              <w:left w:val="single" w:sz="4" w:space="0" w:color="000000"/>
              <w:bottom w:val="single" w:sz="4" w:space="0" w:color="000000"/>
              <w:right w:val="single" w:sz="4" w:space="0" w:color="000000"/>
            </w:tcBorders>
          </w:tcPr>
          <w:p w14:paraId="56C3DDE5" w14:textId="77777777" w:rsidR="00F65BCA" w:rsidRDefault="00F65BCA">
            <w:pPr>
              <w:pStyle w:val="TableParagraph"/>
              <w:spacing w:before="4"/>
              <w:rPr>
                <w:rFonts w:ascii="Calibri"/>
                <w:b/>
                <w:sz w:val="8"/>
              </w:rPr>
            </w:pPr>
          </w:p>
          <w:p w14:paraId="33247262" w14:textId="77777777" w:rsidR="00F65BCA" w:rsidRDefault="00216117">
            <w:pPr>
              <w:pStyle w:val="TableParagraph"/>
              <w:spacing w:line="69" w:lineRule="exact"/>
              <w:ind w:left="36" w:right="11"/>
              <w:jc w:val="center"/>
              <w:rPr>
                <w:rFonts w:ascii="Calibri" w:hAnsi="Calibri"/>
                <w:sz w:val="7"/>
              </w:rPr>
            </w:pPr>
            <w:r>
              <w:rPr>
                <w:rFonts w:ascii="Calibri" w:hAnsi="Calibri"/>
                <w:w w:val="105"/>
                <w:sz w:val="7"/>
              </w:rPr>
              <w:t>Užitkový</w:t>
            </w:r>
          </w:p>
        </w:tc>
        <w:tc>
          <w:tcPr>
            <w:tcW w:w="273" w:type="dxa"/>
            <w:tcBorders>
              <w:top w:val="single" w:sz="4" w:space="0" w:color="000000"/>
              <w:left w:val="single" w:sz="4" w:space="0" w:color="000000"/>
              <w:bottom w:val="single" w:sz="4" w:space="0" w:color="000000"/>
              <w:right w:val="single" w:sz="4" w:space="0" w:color="000000"/>
            </w:tcBorders>
          </w:tcPr>
          <w:p w14:paraId="1844EB6D" w14:textId="77777777" w:rsidR="00F65BCA" w:rsidRDefault="00F65BCA">
            <w:pPr>
              <w:pStyle w:val="TableParagraph"/>
              <w:spacing w:before="4"/>
              <w:rPr>
                <w:rFonts w:ascii="Calibri"/>
                <w:b/>
                <w:sz w:val="8"/>
              </w:rPr>
            </w:pPr>
          </w:p>
          <w:p w14:paraId="27087590" w14:textId="77777777" w:rsidR="00F65BCA" w:rsidRDefault="00216117">
            <w:pPr>
              <w:pStyle w:val="TableParagraph"/>
              <w:spacing w:line="69" w:lineRule="exact"/>
              <w:ind w:right="41"/>
              <w:jc w:val="right"/>
              <w:rPr>
                <w:rFonts w:ascii="Calibri"/>
                <w:sz w:val="7"/>
              </w:rPr>
            </w:pPr>
            <w:r>
              <w:rPr>
                <w:rFonts w:ascii="Calibri"/>
                <w:w w:val="105"/>
                <w:sz w:val="7"/>
              </w:rPr>
              <w:t>2009</w:t>
            </w:r>
          </w:p>
        </w:tc>
        <w:tc>
          <w:tcPr>
            <w:tcW w:w="278" w:type="dxa"/>
            <w:tcBorders>
              <w:top w:val="single" w:sz="4" w:space="0" w:color="000000"/>
              <w:left w:val="single" w:sz="4" w:space="0" w:color="000000"/>
              <w:bottom w:val="single" w:sz="4" w:space="0" w:color="000000"/>
              <w:right w:val="single" w:sz="4" w:space="0" w:color="000000"/>
            </w:tcBorders>
          </w:tcPr>
          <w:p w14:paraId="0A92DB4D" w14:textId="77777777" w:rsidR="00F65BCA" w:rsidRDefault="00F65BCA">
            <w:pPr>
              <w:pStyle w:val="TableParagraph"/>
              <w:spacing w:before="4"/>
              <w:rPr>
                <w:rFonts w:ascii="Calibri"/>
                <w:b/>
                <w:sz w:val="8"/>
              </w:rPr>
            </w:pPr>
          </w:p>
          <w:p w14:paraId="3EF3BF1D" w14:textId="77777777" w:rsidR="00F65BCA" w:rsidRDefault="00216117">
            <w:pPr>
              <w:pStyle w:val="TableParagraph"/>
              <w:spacing w:line="69" w:lineRule="exact"/>
              <w:ind w:left="27" w:right="2"/>
              <w:jc w:val="center"/>
              <w:rPr>
                <w:rFonts w:ascii="Calibri"/>
                <w:sz w:val="7"/>
              </w:rPr>
            </w:pPr>
            <w:r>
              <w:rPr>
                <w:rFonts w:ascii="Calibri"/>
                <w:w w:val="105"/>
                <w:sz w:val="7"/>
              </w:rPr>
              <w:t>1896</w:t>
            </w:r>
          </w:p>
        </w:tc>
        <w:tc>
          <w:tcPr>
            <w:tcW w:w="268" w:type="dxa"/>
            <w:tcBorders>
              <w:top w:val="single" w:sz="4" w:space="0" w:color="000000"/>
              <w:left w:val="single" w:sz="4" w:space="0" w:color="000000"/>
              <w:bottom w:val="single" w:sz="4" w:space="0" w:color="000000"/>
              <w:right w:val="single" w:sz="4" w:space="0" w:color="000000"/>
            </w:tcBorders>
          </w:tcPr>
          <w:p w14:paraId="27F78079" w14:textId="77777777" w:rsidR="00F65BCA" w:rsidRDefault="00F65BCA">
            <w:pPr>
              <w:pStyle w:val="TableParagraph"/>
              <w:spacing w:before="4"/>
              <w:rPr>
                <w:rFonts w:ascii="Calibri"/>
                <w:b/>
                <w:sz w:val="8"/>
              </w:rPr>
            </w:pPr>
          </w:p>
          <w:p w14:paraId="5D0859A1" w14:textId="77777777" w:rsidR="00F65BCA" w:rsidRDefault="00216117">
            <w:pPr>
              <w:pStyle w:val="TableParagraph"/>
              <w:spacing w:line="69" w:lineRule="exact"/>
              <w:ind w:right="75"/>
              <w:jc w:val="right"/>
              <w:rPr>
                <w:rFonts w:ascii="Calibri"/>
                <w:sz w:val="7"/>
              </w:rPr>
            </w:pPr>
            <w:r>
              <w:rPr>
                <w:rFonts w:ascii="Calibri"/>
                <w:w w:val="105"/>
                <w:sz w:val="7"/>
              </w:rPr>
              <w:t>62</w:t>
            </w:r>
          </w:p>
        </w:tc>
        <w:tc>
          <w:tcPr>
            <w:tcW w:w="398" w:type="dxa"/>
            <w:tcBorders>
              <w:top w:val="single" w:sz="4" w:space="0" w:color="000000"/>
              <w:left w:val="single" w:sz="4" w:space="0" w:color="000000"/>
              <w:bottom w:val="single" w:sz="4" w:space="0" w:color="000000"/>
              <w:right w:val="single" w:sz="4" w:space="0" w:color="000000"/>
            </w:tcBorders>
          </w:tcPr>
          <w:p w14:paraId="24634DC1" w14:textId="77777777" w:rsidR="00F65BCA" w:rsidRDefault="00F65BCA">
            <w:pPr>
              <w:pStyle w:val="TableParagraph"/>
              <w:spacing w:before="4"/>
              <w:rPr>
                <w:rFonts w:ascii="Calibri"/>
                <w:b/>
                <w:sz w:val="8"/>
              </w:rPr>
            </w:pPr>
          </w:p>
          <w:p w14:paraId="10AABDE8" w14:textId="77777777" w:rsidR="00F65BCA" w:rsidRDefault="00216117">
            <w:pPr>
              <w:pStyle w:val="TableParagraph"/>
              <w:spacing w:line="69" w:lineRule="exact"/>
              <w:ind w:left="27"/>
              <w:jc w:val="center"/>
              <w:rPr>
                <w:rFonts w:ascii="Calibri"/>
                <w:sz w:val="7"/>
              </w:rPr>
            </w:pPr>
            <w:r>
              <w:rPr>
                <w:rFonts w:ascii="Calibri"/>
                <w:w w:val="105"/>
                <w:sz w:val="7"/>
              </w:rPr>
              <w:t>2600</w:t>
            </w:r>
          </w:p>
        </w:tc>
        <w:tc>
          <w:tcPr>
            <w:tcW w:w="249" w:type="dxa"/>
            <w:tcBorders>
              <w:top w:val="single" w:sz="4" w:space="0" w:color="000000"/>
              <w:left w:val="single" w:sz="4" w:space="0" w:color="000000"/>
              <w:bottom w:val="single" w:sz="4" w:space="0" w:color="000000"/>
              <w:right w:val="single" w:sz="4" w:space="0" w:color="000000"/>
            </w:tcBorders>
          </w:tcPr>
          <w:p w14:paraId="01442A21" w14:textId="77777777" w:rsidR="00F65BCA" w:rsidRDefault="00F65BCA">
            <w:pPr>
              <w:pStyle w:val="TableParagraph"/>
              <w:spacing w:before="4"/>
              <w:rPr>
                <w:rFonts w:ascii="Calibri"/>
                <w:b/>
                <w:sz w:val="8"/>
              </w:rPr>
            </w:pPr>
          </w:p>
          <w:p w14:paraId="2F10D3FC" w14:textId="77777777" w:rsidR="00F65BCA" w:rsidRDefault="00216117">
            <w:pPr>
              <w:pStyle w:val="TableParagraph"/>
              <w:spacing w:line="69" w:lineRule="exact"/>
              <w:ind w:right="83"/>
              <w:jc w:val="right"/>
              <w:rPr>
                <w:rFonts w:ascii="Calibri"/>
                <w:sz w:val="7"/>
              </w:rPr>
            </w:pPr>
            <w:r>
              <w:rPr>
                <w:rFonts w:ascii="Calibri"/>
                <w:w w:val="106"/>
                <w:sz w:val="7"/>
              </w:rPr>
              <w:t>2</w:t>
            </w:r>
          </w:p>
        </w:tc>
        <w:tc>
          <w:tcPr>
            <w:tcW w:w="311" w:type="dxa"/>
            <w:tcBorders>
              <w:top w:val="single" w:sz="4" w:space="0" w:color="000000"/>
              <w:left w:val="single" w:sz="4" w:space="0" w:color="000000"/>
              <w:bottom w:val="single" w:sz="4" w:space="0" w:color="000000"/>
              <w:right w:val="single" w:sz="4" w:space="0" w:color="000000"/>
            </w:tcBorders>
          </w:tcPr>
          <w:p w14:paraId="33A13387" w14:textId="77777777" w:rsidR="00F65BCA" w:rsidRDefault="00F65BCA">
            <w:pPr>
              <w:pStyle w:val="TableParagraph"/>
              <w:spacing w:before="4"/>
              <w:rPr>
                <w:rFonts w:ascii="Calibri"/>
                <w:b/>
                <w:sz w:val="8"/>
              </w:rPr>
            </w:pPr>
          </w:p>
          <w:p w14:paraId="4A42A43C" w14:textId="77777777" w:rsidR="00F65BCA" w:rsidRDefault="00216117">
            <w:pPr>
              <w:pStyle w:val="TableParagraph"/>
              <w:spacing w:line="69" w:lineRule="exact"/>
              <w:ind w:left="32"/>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79A3805A" w14:textId="77777777" w:rsidR="00F65BCA" w:rsidRDefault="00F65BCA">
            <w:pPr>
              <w:pStyle w:val="TableParagraph"/>
              <w:spacing w:before="4"/>
              <w:rPr>
                <w:rFonts w:ascii="Calibri"/>
                <w:b/>
                <w:sz w:val="8"/>
              </w:rPr>
            </w:pPr>
          </w:p>
          <w:p w14:paraId="107FEA18" w14:textId="77777777" w:rsidR="00F65BCA" w:rsidRDefault="00216117">
            <w:pPr>
              <w:pStyle w:val="TableParagraph"/>
              <w:spacing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164455B1" w14:textId="77777777" w:rsidR="00F65BCA" w:rsidRDefault="00F65BCA">
            <w:pPr>
              <w:pStyle w:val="TableParagraph"/>
              <w:spacing w:before="4"/>
              <w:rPr>
                <w:rFonts w:ascii="Calibri"/>
                <w:b/>
                <w:sz w:val="8"/>
              </w:rPr>
            </w:pPr>
          </w:p>
          <w:p w14:paraId="569818E7" w14:textId="77777777" w:rsidR="00F65BCA" w:rsidRDefault="00216117">
            <w:pPr>
              <w:pStyle w:val="TableParagraph"/>
              <w:spacing w:line="69" w:lineRule="exact"/>
              <w:jc w:val="right"/>
              <w:rPr>
                <w:rFonts w:ascii="Calibri" w:hAnsi="Calibri"/>
                <w:sz w:val="7"/>
              </w:rPr>
            </w:pPr>
            <w:r>
              <w:rPr>
                <w:rFonts w:ascii="Calibri" w:hAnsi="Calibri"/>
                <w:w w:val="105"/>
                <w:sz w:val="7"/>
              </w:rPr>
              <w:t>115 000 Kč</w:t>
            </w:r>
          </w:p>
        </w:tc>
        <w:tc>
          <w:tcPr>
            <w:tcW w:w="278" w:type="dxa"/>
            <w:tcBorders>
              <w:top w:val="single" w:sz="4" w:space="0" w:color="000000"/>
              <w:left w:val="single" w:sz="4" w:space="0" w:color="000000"/>
              <w:bottom w:val="single" w:sz="4" w:space="0" w:color="000000"/>
              <w:right w:val="single" w:sz="4" w:space="0" w:color="000000"/>
            </w:tcBorders>
          </w:tcPr>
          <w:p w14:paraId="24003933" w14:textId="77777777" w:rsidR="00F65BCA" w:rsidRDefault="00F65BCA">
            <w:pPr>
              <w:pStyle w:val="TableParagraph"/>
              <w:spacing w:before="4"/>
              <w:rPr>
                <w:rFonts w:ascii="Calibri"/>
                <w:b/>
                <w:sz w:val="8"/>
              </w:rPr>
            </w:pPr>
          </w:p>
          <w:p w14:paraId="379F26DB" w14:textId="77777777" w:rsidR="00F65BCA" w:rsidRDefault="00216117">
            <w:pPr>
              <w:pStyle w:val="TableParagraph"/>
              <w:spacing w:line="69" w:lineRule="exact"/>
              <w:ind w:left="37"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6FA2646A" w14:textId="77777777" w:rsidR="00F65BCA" w:rsidRDefault="00F65BCA">
            <w:pPr>
              <w:pStyle w:val="TableParagraph"/>
              <w:spacing w:before="4"/>
              <w:rPr>
                <w:rFonts w:ascii="Calibri"/>
                <w:b/>
                <w:sz w:val="8"/>
              </w:rPr>
            </w:pPr>
          </w:p>
          <w:p w14:paraId="43F333F0" w14:textId="77777777" w:rsidR="00F65BCA" w:rsidRDefault="00216117">
            <w:pPr>
              <w:pStyle w:val="TableParagraph"/>
              <w:spacing w:line="69" w:lineRule="exact"/>
              <w:ind w:left="49"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641C5AB9" w14:textId="77777777" w:rsidR="00F65BCA" w:rsidRDefault="00F65BCA">
            <w:pPr>
              <w:pStyle w:val="TableParagraph"/>
              <w:spacing w:before="4"/>
              <w:rPr>
                <w:rFonts w:ascii="Calibri"/>
                <w:b/>
                <w:sz w:val="8"/>
              </w:rPr>
            </w:pPr>
          </w:p>
          <w:p w14:paraId="2ED1518F" w14:textId="77777777" w:rsidR="00F65BCA" w:rsidRDefault="00216117">
            <w:pPr>
              <w:pStyle w:val="TableParagraph"/>
              <w:spacing w:line="69" w:lineRule="exact"/>
              <w:ind w:right="1"/>
              <w:jc w:val="right"/>
              <w:rPr>
                <w:rFonts w:ascii="Calibri" w:hAnsi="Calibri"/>
                <w:sz w:val="7"/>
              </w:rPr>
            </w:pPr>
            <w:r>
              <w:rPr>
                <w:rFonts w:ascii="Calibri" w:hAnsi="Calibri"/>
                <w:w w:val="105"/>
                <w:sz w:val="7"/>
              </w:rPr>
              <w:t>15 000 Kč</w:t>
            </w:r>
          </w:p>
        </w:tc>
        <w:tc>
          <w:tcPr>
            <w:tcW w:w="398" w:type="dxa"/>
            <w:tcBorders>
              <w:top w:val="single" w:sz="4" w:space="0" w:color="000000"/>
              <w:left w:val="single" w:sz="4" w:space="0" w:color="000000"/>
              <w:bottom w:val="single" w:sz="4" w:space="0" w:color="000000"/>
              <w:right w:val="single" w:sz="4" w:space="0" w:color="000000"/>
            </w:tcBorders>
          </w:tcPr>
          <w:p w14:paraId="2F32B96F" w14:textId="77777777" w:rsidR="00F65BCA" w:rsidRDefault="00F65BCA">
            <w:pPr>
              <w:pStyle w:val="TableParagraph"/>
              <w:spacing w:before="4"/>
              <w:rPr>
                <w:rFonts w:ascii="Calibri"/>
                <w:b/>
                <w:sz w:val="8"/>
              </w:rPr>
            </w:pPr>
          </w:p>
          <w:p w14:paraId="4800B309" w14:textId="77777777" w:rsidR="00F65BCA" w:rsidRDefault="00216117">
            <w:pPr>
              <w:pStyle w:val="TableParagraph"/>
              <w:spacing w:line="69" w:lineRule="exact"/>
              <w:ind w:left="58"/>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5DE146B2" w14:textId="77777777" w:rsidR="00F65BCA" w:rsidRDefault="00F65BCA">
            <w:pPr>
              <w:pStyle w:val="TableParagraph"/>
              <w:spacing w:before="4"/>
              <w:rPr>
                <w:rFonts w:ascii="Calibri"/>
                <w:b/>
                <w:sz w:val="8"/>
              </w:rPr>
            </w:pPr>
          </w:p>
          <w:p w14:paraId="2662001E" w14:textId="77777777" w:rsidR="00F65BCA" w:rsidRDefault="00216117">
            <w:pPr>
              <w:pStyle w:val="TableParagraph"/>
              <w:spacing w:line="69" w:lineRule="exact"/>
              <w:ind w:left="42"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18AB567E" w14:textId="77777777" w:rsidR="00F65BCA" w:rsidRDefault="00F65BCA">
            <w:pPr>
              <w:pStyle w:val="TableParagraph"/>
              <w:spacing w:before="4"/>
              <w:rPr>
                <w:rFonts w:ascii="Calibri"/>
                <w:b/>
                <w:sz w:val="8"/>
              </w:rPr>
            </w:pPr>
          </w:p>
          <w:p w14:paraId="0021E037" w14:textId="77777777" w:rsidR="00F65BCA" w:rsidRDefault="00216117">
            <w:pPr>
              <w:pStyle w:val="TableParagraph"/>
              <w:spacing w:line="69" w:lineRule="exact"/>
              <w:ind w:left="144"/>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2EA3598D" w14:textId="77777777" w:rsidR="00F65BCA" w:rsidRDefault="00F65BCA">
            <w:pPr>
              <w:pStyle w:val="TableParagraph"/>
              <w:rPr>
                <w:rFonts w:ascii="Times New Roman"/>
                <w:sz w:val="6"/>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4BAF3936" w14:textId="77777777" w:rsidR="00F65BCA" w:rsidRDefault="00F65BCA">
            <w:pPr>
              <w:pStyle w:val="TableParagraph"/>
              <w:spacing w:before="7"/>
              <w:rPr>
                <w:rFonts w:ascii="Calibri"/>
                <w:b/>
                <w:sz w:val="8"/>
              </w:rPr>
            </w:pPr>
          </w:p>
          <w:p w14:paraId="1C329D51" w14:textId="77777777" w:rsidR="00F65BCA" w:rsidRDefault="00216117">
            <w:pPr>
              <w:pStyle w:val="TableParagraph"/>
              <w:spacing w:line="67" w:lineRule="exact"/>
              <w:ind w:left="73" w:right="28"/>
              <w:jc w:val="center"/>
              <w:rPr>
                <w:rFonts w:ascii="Calibri" w:hAnsi="Calibri"/>
                <w:sz w:val="7"/>
              </w:rPr>
            </w:pPr>
            <w:r>
              <w:rPr>
                <w:rFonts w:ascii="Calibri" w:hAnsi="Calibri"/>
                <w:w w:val="105"/>
                <w:sz w:val="7"/>
              </w:rPr>
              <w:t>2 328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5CC9F7F4" w14:textId="77777777" w:rsidR="00F65BCA" w:rsidRDefault="00F65BCA">
            <w:pPr>
              <w:pStyle w:val="TableParagraph"/>
              <w:spacing w:before="7"/>
              <w:rPr>
                <w:rFonts w:ascii="Calibri"/>
                <w:b/>
                <w:sz w:val="8"/>
              </w:rPr>
            </w:pPr>
          </w:p>
          <w:p w14:paraId="4B3A2913" w14:textId="77777777" w:rsidR="00F65BCA" w:rsidRDefault="00216117">
            <w:pPr>
              <w:pStyle w:val="TableParagraph"/>
              <w:spacing w:line="67" w:lineRule="exact"/>
              <w:ind w:left="46"/>
              <w:jc w:val="center"/>
              <w:rPr>
                <w:rFonts w:ascii="Calibri" w:hAnsi="Calibri"/>
                <w:sz w:val="7"/>
              </w:rPr>
            </w:pPr>
            <w:r>
              <w:rPr>
                <w:rFonts w:ascii="Calibri" w:hAnsi="Calibri"/>
                <w:w w:val="105"/>
                <w:sz w:val="7"/>
              </w:rPr>
              <w:t>1 764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1146AB27" w14:textId="77777777" w:rsidR="00F65BCA" w:rsidRDefault="00F65BCA">
            <w:pPr>
              <w:pStyle w:val="TableParagraph"/>
              <w:spacing w:before="7"/>
              <w:rPr>
                <w:rFonts w:ascii="Calibri"/>
                <w:b/>
                <w:sz w:val="8"/>
              </w:rPr>
            </w:pPr>
          </w:p>
          <w:p w14:paraId="5F20A433" w14:textId="77777777" w:rsidR="00F65BCA" w:rsidRDefault="00216117">
            <w:pPr>
              <w:pStyle w:val="TableParagraph"/>
              <w:spacing w:line="67" w:lineRule="exact"/>
              <w:ind w:right="70"/>
              <w:jc w:val="right"/>
              <w:rPr>
                <w:rFonts w:ascii="Calibri" w:hAnsi="Calibri"/>
                <w:sz w:val="7"/>
              </w:rPr>
            </w:pPr>
            <w:r>
              <w:rPr>
                <w:rFonts w:ascii="Calibri" w:hAnsi="Calibri"/>
                <w:w w:val="105"/>
                <w:sz w:val="7"/>
              </w:rPr>
              <w:t>1 080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024818BD" w14:textId="77777777" w:rsidR="00F65BCA" w:rsidRDefault="00F65BCA">
            <w:pPr>
              <w:pStyle w:val="TableParagraph"/>
              <w:spacing w:before="7"/>
              <w:rPr>
                <w:rFonts w:ascii="Calibri"/>
                <w:b/>
                <w:sz w:val="8"/>
              </w:rPr>
            </w:pPr>
          </w:p>
          <w:p w14:paraId="22E9C6D4" w14:textId="77777777" w:rsidR="00F65BCA" w:rsidRDefault="00216117">
            <w:pPr>
              <w:pStyle w:val="TableParagraph"/>
              <w:spacing w:line="67" w:lineRule="exact"/>
              <w:ind w:left="99" w:right="44"/>
              <w:jc w:val="center"/>
              <w:rPr>
                <w:rFonts w:ascii="Calibri" w:hAnsi="Calibri"/>
                <w:sz w:val="7"/>
              </w:rPr>
            </w:pPr>
            <w:r>
              <w:rPr>
                <w:rFonts w:ascii="Calibri" w:hAnsi="Calibri"/>
                <w:w w:val="105"/>
                <w:sz w:val="7"/>
              </w:rPr>
              <w:t>204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7D7D8762" w14:textId="77777777" w:rsidR="00F65BCA" w:rsidRDefault="00F65BCA">
            <w:pPr>
              <w:pStyle w:val="TableParagraph"/>
              <w:spacing w:before="7"/>
              <w:rPr>
                <w:rFonts w:ascii="Calibri"/>
                <w:b/>
                <w:sz w:val="8"/>
              </w:rPr>
            </w:pPr>
          </w:p>
          <w:p w14:paraId="53BFBFAC" w14:textId="77777777" w:rsidR="00F65BCA" w:rsidRDefault="00216117">
            <w:pPr>
              <w:pStyle w:val="TableParagraph"/>
              <w:spacing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7E291A19" w14:textId="77777777" w:rsidR="00F65BCA" w:rsidRDefault="00F65BCA">
            <w:pPr>
              <w:pStyle w:val="TableParagraph"/>
              <w:spacing w:before="7"/>
              <w:rPr>
                <w:rFonts w:ascii="Calibri"/>
                <w:b/>
                <w:sz w:val="8"/>
              </w:rPr>
            </w:pPr>
          </w:p>
          <w:p w14:paraId="09DB3183" w14:textId="77777777" w:rsidR="00F65BCA" w:rsidRDefault="00216117">
            <w:pPr>
              <w:pStyle w:val="TableParagraph"/>
              <w:spacing w:line="67" w:lineRule="exact"/>
              <w:ind w:left="78" w:right="16"/>
              <w:jc w:val="center"/>
              <w:rPr>
                <w:rFonts w:ascii="Calibri" w:hAnsi="Calibri"/>
                <w:sz w:val="7"/>
              </w:rPr>
            </w:pPr>
            <w:r>
              <w:rPr>
                <w:rFonts w:ascii="Calibri" w:hAnsi="Calibri"/>
                <w:w w:val="105"/>
                <w:sz w:val="7"/>
              </w:rPr>
              <w:t>2 364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39072EF4" w14:textId="77777777" w:rsidR="00F65BCA" w:rsidRDefault="00F65BCA">
            <w:pPr>
              <w:pStyle w:val="TableParagraph"/>
              <w:rPr>
                <w:rFonts w:ascii="Times New Roman"/>
                <w:sz w:val="6"/>
              </w:rPr>
            </w:pPr>
          </w:p>
        </w:tc>
        <w:tc>
          <w:tcPr>
            <w:tcW w:w="458" w:type="dxa"/>
            <w:tcBorders>
              <w:top w:val="single" w:sz="4" w:space="0" w:color="000000"/>
              <w:left w:val="single" w:sz="4" w:space="0" w:color="000000"/>
              <w:bottom w:val="single" w:sz="4" w:space="0" w:color="000000"/>
            </w:tcBorders>
            <w:shd w:val="clear" w:color="auto" w:fill="FFFF99"/>
          </w:tcPr>
          <w:p w14:paraId="63A1219A" w14:textId="77777777" w:rsidR="00F65BCA" w:rsidRDefault="00F65BCA">
            <w:pPr>
              <w:pStyle w:val="TableParagraph"/>
              <w:spacing w:before="7"/>
              <w:rPr>
                <w:rFonts w:ascii="Calibri"/>
                <w:b/>
                <w:sz w:val="8"/>
              </w:rPr>
            </w:pPr>
          </w:p>
          <w:p w14:paraId="3792FE6B" w14:textId="77777777" w:rsidR="00F65BCA" w:rsidRDefault="00216117">
            <w:pPr>
              <w:pStyle w:val="TableParagraph"/>
              <w:spacing w:line="67" w:lineRule="exact"/>
              <w:ind w:left="130"/>
              <w:rPr>
                <w:rFonts w:ascii="Calibri" w:hAnsi="Calibri"/>
                <w:sz w:val="7"/>
              </w:rPr>
            </w:pPr>
            <w:r>
              <w:rPr>
                <w:rFonts w:ascii="Calibri" w:hAnsi="Calibri"/>
                <w:w w:val="105"/>
                <w:sz w:val="7"/>
              </w:rPr>
              <w:t>8 136 Kč</w:t>
            </w:r>
          </w:p>
        </w:tc>
      </w:tr>
      <w:tr w:rsidR="00F65BCA" w14:paraId="5776FF82" w14:textId="77777777">
        <w:trPr>
          <w:trHeight w:val="90"/>
        </w:trPr>
        <w:tc>
          <w:tcPr>
            <w:tcW w:w="188" w:type="dxa"/>
            <w:tcBorders>
              <w:top w:val="single" w:sz="4" w:space="0" w:color="000000"/>
              <w:bottom w:val="single" w:sz="4" w:space="0" w:color="000000"/>
              <w:right w:val="single" w:sz="4" w:space="0" w:color="000000"/>
            </w:tcBorders>
          </w:tcPr>
          <w:p w14:paraId="648CA90B" w14:textId="77777777" w:rsidR="00F65BCA" w:rsidRDefault="00216117">
            <w:pPr>
              <w:pStyle w:val="TableParagraph"/>
              <w:spacing w:before="4" w:line="67" w:lineRule="exact"/>
              <w:ind w:left="59"/>
              <w:rPr>
                <w:rFonts w:ascii="Calibri"/>
                <w:sz w:val="7"/>
              </w:rPr>
            </w:pPr>
            <w:r>
              <w:rPr>
                <w:rFonts w:ascii="Calibri"/>
                <w:w w:val="105"/>
                <w:sz w:val="7"/>
              </w:rPr>
              <w:t>24</w:t>
            </w:r>
          </w:p>
        </w:tc>
        <w:tc>
          <w:tcPr>
            <w:tcW w:w="398" w:type="dxa"/>
            <w:tcBorders>
              <w:top w:val="single" w:sz="4" w:space="0" w:color="000000"/>
              <w:left w:val="single" w:sz="4" w:space="0" w:color="000000"/>
              <w:bottom w:val="single" w:sz="4" w:space="0" w:color="000000"/>
              <w:right w:val="single" w:sz="4" w:space="0" w:color="000000"/>
            </w:tcBorders>
          </w:tcPr>
          <w:p w14:paraId="033DEEA8"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79F94678"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B116693"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1599056C"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2A71C8FE" w14:textId="77777777" w:rsidR="00F65BCA" w:rsidRDefault="00216117">
            <w:pPr>
              <w:pStyle w:val="TableParagraph"/>
              <w:spacing w:before="1" w:line="69" w:lineRule="exact"/>
              <w:ind w:left="70"/>
              <w:rPr>
                <w:rFonts w:ascii="Calibri"/>
                <w:sz w:val="7"/>
              </w:rPr>
            </w:pPr>
            <w:r>
              <w:rPr>
                <w:rFonts w:ascii="Calibri"/>
                <w:w w:val="105"/>
                <w:sz w:val="7"/>
              </w:rPr>
              <w:t>P013469</w:t>
            </w:r>
          </w:p>
        </w:tc>
        <w:tc>
          <w:tcPr>
            <w:tcW w:w="398" w:type="dxa"/>
            <w:tcBorders>
              <w:top w:val="single" w:sz="4" w:space="0" w:color="000000"/>
              <w:left w:val="single" w:sz="4" w:space="0" w:color="000000"/>
              <w:bottom w:val="single" w:sz="4" w:space="0" w:color="000000"/>
              <w:right w:val="single" w:sz="4" w:space="0" w:color="000000"/>
            </w:tcBorders>
          </w:tcPr>
          <w:p w14:paraId="6A387A0F" w14:textId="77777777" w:rsidR="00F65BCA" w:rsidRDefault="00216117">
            <w:pPr>
              <w:pStyle w:val="TableParagraph"/>
              <w:spacing w:before="1" w:line="69" w:lineRule="exact"/>
              <w:ind w:left="14"/>
              <w:jc w:val="center"/>
              <w:rPr>
                <w:rFonts w:ascii="Calibri"/>
                <w:sz w:val="7"/>
              </w:rPr>
            </w:pPr>
            <w:r>
              <w:rPr>
                <w:rFonts w:ascii="Calibri"/>
                <w:w w:val="105"/>
                <w:sz w:val="7"/>
              </w:rPr>
              <w:t>ZA145477</w:t>
            </w:r>
          </w:p>
        </w:tc>
        <w:tc>
          <w:tcPr>
            <w:tcW w:w="792" w:type="dxa"/>
            <w:tcBorders>
              <w:top w:val="single" w:sz="4" w:space="0" w:color="000000"/>
              <w:left w:val="single" w:sz="4" w:space="0" w:color="000000"/>
              <w:bottom w:val="single" w:sz="4" w:space="0" w:color="000000"/>
              <w:right w:val="single" w:sz="4" w:space="0" w:color="000000"/>
            </w:tcBorders>
          </w:tcPr>
          <w:p w14:paraId="13AF7DB9" w14:textId="77777777" w:rsidR="00F65BCA" w:rsidRDefault="00216117">
            <w:pPr>
              <w:pStyle w:val="TableParagraph"/>
              <w:spacing w:before="1" w:line="69" w:lineRule="exact"/>
              <w:ind w:left="306" w:right="286"/>
              <w:jc w:val="center"/>
              <w:rPr>
                <w:rFonts w:ascii="Calibri"/>
                <w:sz w:val="7"/>
              </w:rPr>
            </w:pPr>
            <w:r>
              <w:rPr>
                <w:rFonts w:ascii="Calibri"/>
                <w:w w:val="105"/>
                <w:sz w:val="7"/>
              </w:rPr>
              <w:t>7100</w:t>
            </w:r>
          </w:p>
        </w:tc>
        <w:tc>
          <w:tcPr>
            <w:tcW w:w="398" w:type="dxa"/>
            <w:tcBorders>
              <w:top w:val="single" w:sz="4" w:space="0" w:color="000000"/>
              <w:left w:val="single" w:sz="4" w:space="0" w:color="000000"/>
              <w:bottom w:val="single" w:sz="4" w:space="0" w:color="000000"/>
              <w:right w:val="single" w:sz="4" w:space="0" w:color="000000"/>
            </w:tcBorders>
          </w:tcPr>
          <w:p w14:paraId="4E76E7BD" w14:textId="77777777" w:rsidR="00F65BCA" w:rsidRDefault="00216117">
            <w:pPr>
              <w:pStyle w:val="TableParagraph"/>
              <w:spacing w:before="1" w:line="69" w:lineRule="exact"/>
              <w:ind w:left="37"/>
              <w:rPr>
                <w:rFonts w:ascii="Calibri"/>
                <w:sz w:val="7"/>
              </w:rPr>
            </w:pPr>
            <w:r>
              <w:rPr>
                <w:rFonts w:ascii="Calibri"/>
                <w:w w:val="105"/>
                <w:sz w:val="7"/>
              </w:rPr>
              <w:t>REHOS SP3</w:t>
            </w:r>
          </w:p>
        </w:tc>
        <w:tc>
          <w:tcPr>
            <w:tcW w:w="1065" w:type="dxa"/>
            <w:tcBorders>
              <w:top w:val="single" w:sz="4" w:space="0" w:color="000000"/>
              <w:left w:val="single" w:sz="4" w:space="0" w:color="000000"/>
              <w:bottom w:val="single" w:sz="4" w:space="0" w:color="000000"/>
              <w:right w:val="single" w:sz="4" w:space="0" w:color="000000"/>
            </w:tcBorders>
          </w:tcPr>
          <w:p w14:paraId="42A52D14" w14:textId="77777777" w:rsidR="00F65BCA" w:rsidRDefault="00216117">
            <w:pPr>
              <w:pStyle w:val="TableParagraph"/>
              <w:spacing w:before="1" w:line="69" w:lineRule="exact"/>
              <w:ind w:left="75" w:right="53"/>
              <w:jc w:val="center"/>
              <w:rPr>
                <w:rFonts w:ascii="Calibri"/>
                <w:sz w:val="7"/>
              </w:rPr>
            </w:pPr>
            <w:r>
              <w:rPr>
                <w:rFonts w:ascii="Calibri"/>
                <w:w w:val="105"/>
                <w:sz w:val="7"/>
              </w:rPr>
              <w:t>REHOS SP4</w:t>
            </w:r>
          </w:p>
        </w:tc>
        <w:tc>
          <w:tcPr>
            <w:tcW w:w="815" w:type="dxa"/>
            <w:tcBorders>
              <w:top w:val="single" w:sz="4" w:space="0" w:color="000000"/>
              <w:left w:val="single" w:sz="4" w:space="0" w:color="000000"/>
              <w:bottom w:val="single" w:sz="4" w:space="0" w:color="000000"/>
              <w:right w:val="single" w:sz="4" w:space="0" w:color="000000"/>
            </w:tcBorders>
          </w:tcPr>
          <w:p w14:paraId="55BF35ED" w14:textId="77777777" w:rsidR="00F65BCA" w:rsidRDefault="00216117">
            <w:pPr>
              <w:pStyle w:val="TableParagraph"/>
              <w:spacing w:before="1" w:line="69" w:lineRule="exact"/>
              <w:ind w:left="36" w:right="11"/>
              <w:jc w:val="center"/>
              <w:rPr>
                <w:rFonts w:ascii="Calibri" w:hAnsi="Calibri"/>
                <w:sz w:val="7"/>
              </w:rPr>
            </w:pPr>
            <w:r>
              <w:rPr>
                <w:rFonts w:ascii="Calibri" w:hAnsi="Calibri"/>
                <w:w w:val="105"/>
                <w:sz w:val="7"/>
              </w:rPr>
              <w:t>Přívěs</w:t>
            </w:r>
          </w:p>
        </w:tc>
        <w:tc>
          <w:tcPr>
            <w:tcW w:w="273" w:type="dxa"/>
            <w:tcBorders>
              <w:top w:val="single" w:sz="4" w:space="0" w:color="000000"/>
              <w:left w:val="single" w:sz="4" w:space="0" w:color="000000"/>
              <w:bottom w:val="single" w:sz="4" w:space="0" w:color="000000"/>
              <w:right w:val="single" w:sz="4" w:space="0" w:color="000000"/>
            </w:tcBorders>
          </w:tcPr>
          <w:p w14:paraId="2384A0E3" w14:textId="77777777" w:rsidR="00F65BCA" w:rsidRDefault="00216117">
            <w:pPr>
              <w:pStyle w:val="TableParagraph"/>
              <w:spacing w:before="1" w:line="69" w:lineRule="exact"/>
              <w:ind w:right="41"/>
              <w:jc w:val="right"/>
              <w:rPr>
                <w:rFonts w:ascii="Calibri"/>
                <w:sz w:val="7"/>
              </w:rPr>
            </w:pPr>
            <w:r>
              <w:rPr>
                <w:rFonts w:ascii="Calibri"/>
                <w:w w:val="105"/>
                <w:sz w:val="7"/>
              </w:rPr>
              <w:t>2008</w:t>
            </w:r>
          </w:p>
        </w:tc>
        <w:tc>
          <w:tcPr>
            <w:tcW w:w="278" w:type="dxa"/>
            <w:tcBorders>
              <w:top w:val="single" w:sz="4" w:space="0" w:color="000000"/>
              <w:left w:val="single" w:sz="4" w:space="0" w:color="000000"/>
              <w:bottom w:val="single" w:sz="4" w:space="0" w:color="000000"/>
              <w:right w:val="single" w:sz="4" w:space="0" w:color="000000"/>
            </w:tcBorders>
          </w:tcPr>
          <w:p w14:paraId="321CEB7F" w14:textId="77777777" w:rsidR="00F65BCA" w:rsidRDefault="00216117">
            <w:pPr>
              <w:pStyle w:val="TableParagraph"/>
              <w:spacing w:before="1" w:line="69" w:lineRule="exact"/>
              <w:ind w:left="28"/>
              <w:jc w:val="center"/>
              <w:rPr>
                <w:rFonts w:ascii="Calibri"/>
                <w:sz w:val="7"/>
              </w:rPr>
            </w:pPr>
            <w:r>
              <w:rPr>
                <w:rFonts w:ascii="Calibri"/>
                <w:w w:val="106"/>
                <w:sz w:val="7"/>
              </w:rPr>
              <w:t>0</w:t>
            </w:r>
          </w:p>
        </w:tc>
        <w:tc>
          <w:tcPr>
            <w:tcW w:w="268" w:type="dxa"/>
            <w:tcBorders>
              <w:top w:val="single" w:sz="4" w:space="0" w:color="000000"/>
              <w:left w:val="single" w:sz="4" w:space="0" w:color="000000"/>
              <w:bottom w:val="single" w:sz="4" w:space="0" w:color="000000"/>
              <w:right w:val="single" w:sz="4" w:space="0" w:color="000000"/>
            </w:tcBorders>
          </w:tcPr>
          <w:p w14:paraId="1A834879" w14:textId="77777777" w:rsidR="00F65BCA" w:rsidRDefault="00216117">
            <w:pPr>
              <w:pStyle w:val="TableParagraph"/>
              <w:spacing w:before="1" w:line="69" w:lineRule="exact"/>
              <w:ind w:right="93"/>
              <w:jc w:val="right"/>
              <w:rPr>
                <w:rFonts w:ascii="Calibri"/>
                <w:sz w:val="7"/>
              </w:rPr>
            </w:pPr>
            <w:r>
              <w:rPr>
                <w:rFonts w:ascii="Calibri"/>
                <w:w w:val="106"/>
                <w:sz w:val="7"/>
              </w:rPr>
              <w:t>0</w:t>
            </w:r>
          </w:p>
        </w:tc>
        <w:tc>
          <w:tcPr>
            <w:tcW w:w="398" w:type="dxa"/>
            <w:tcBorders>
              <w:top w:val="single" w:sz="4" w:space="0" w:color="000000"/>
              <w:left w:val="single" w:sz="4" w:space="0" w:color="000000"/>
              <w:bottom w:val="single" w:sz="4" w:space="0" w:color="000000"/>
              <w:right w:val="single" w:sz="4" w:space="0" w:color="000000"/>
            </w:tcBorders>
          </w:tcPr>
          <w:p w14:paraId="397FFB8F" w14:textId="77777777" w:rsidR="00F65BCA" w:rsidRDefault="00216117">
            <w:pPr>
              <w:pStyle w:val="TableParagraph"/>
              <w:spacing w:before="1" w:line="69" w:lineRule="exact"/>
              <w:ind w:left="28"/>
              <w:jc w:val="center"/>
              <w:rPr>
                <w:rFonts w:ascii="Calibri"/>
                <w:sz w:val="7"/>
              </w:rPr>
            </w:pPr>
            <w:r>
              <w:rPr>
                <w:rFonts w:ascii="Calibri"/>
                <w:w w:val="105"/>
                <w:sz w:val="7"/>
              </w:rPr>
              <w:t>1800</w:t>
            </w:r>
          </w:p>
        </w:tc>
        <w:tc>
          <w:tcPr>
            <w:tcW w:w="249" w:type="dxa"/>
            <w:tcBorders>
              <w:top w:val="single" w:sz="4" w:space="0" w:color="000000"/>
              <w:left w:val="single" w:sz="4" w:space="0" w:color="000000"/>
              <w:bottom w:val="single" w:sz="4" w:space="0" w:color="000000"/>
              <w:right w:val="single" w:sz="4" w:space="0" w:color="000000"/>
            </w:tcBorders>
          </w:tcPr>
          <w:p w14:paraId="7DE2803A" w14:textId="77777777" w:rsidR="00F65BCA" w:rsidRDefault="00F65BCA">
            <w:pPr>
              <w:pStyle w:val="TableParagraph"/>
              <w:rPr>
                <w:rFonts w:ascii="Times New Roman"/>
                <w:sz w:val="4"/>
              </w:rPr>
            </w:pPr>
          </w:p>
        </w:tc>
        <w:tc>
          <w:tcPr>
            <w:tcW w:w="311" w:type="dxa"/>
            <w:tcBorders>
              <w:top w:val="single" w:sz="4" w:space="0" w:color="000000"/>
              <w:left w:val="single" w:sz="4" w:space="0" w:color="000000"/>
              <w:bottom w:val="single" w:sz="4" w:space="0" w:color="000000"/>
              <w:right w:val="single" w:sz="4" w:space="0" w:color="000000"/>
            </w:tcBorders>
          </w:tcPr>
          <w:p w14:paraId="755E24C2" w14:textId="77777777" w:rsidR="00F65BCA" w:rsidRDefault="00F65BCA">
            <w:pPr>
              <w:pStyle w:val="TableParagraph"/>
              <w:rPr>
                <w:rFonts w:ascii="Times New Roman"/>
                <w:sz w:val="4"/>
              </w:rPr>
            </w:pPr>
          </w:p>
        </w:tc>
        <w:tc>
          <w:tcPr>
            <w:tcW w:w="256" w:type="dxa"/>
            <w:tcBorders>
              <w:top w:val="single" w:sz="4" w:space="0" w:color="000000"/>
              <w:left w:val="single" w:sz="4" w:space="0" w:color="000000"/>
              <w:bottom w:val="single" w:sz="4" w:space="0" w:color="000000"/>
              <w:right w:val="single" w:sz="4" w:space="0" w:color="000000"/>
            </w:tcBorders>
          </w:tcPr>
          <w:p w14:paraId="37B511B3"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3874D72B"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756F6FF9" w14:textId="77777777" w:rsidR="00F65BCA" w:rsidRDefault="00F65BCA">
            <w:pPr>
              <w:pStyle w:val="TableParagraph"/>
              <w:rPr>
                <w:rFonts w:ascii="Times New Roman"/>
                <w:sz w:val="4"/>
              </w:rPr>
            </w:pPr>
          </w:p>
        </w:tc>
        <w:tc>
          <w:tcPr>
            <w:tcW w:w="273" w:type="dxa"/>
            <w:tcBorders>
              <w:top w:val="single" w:sz="4" w:space="0" w:color="000000"/>
              <w:left w:val="single" w:sz="4" w:space="0" w:color="000000"/>
              <w:bottom w:val="single" w:sz="4" w:space="0" w:color="000000"/>
              <w:right w:val="single" w:sz="4" w:space="0" w:color="000000"/>
            </w:tcBorders>
          </w:tcPr>
          <w:p w14:paraId="4F279E1D"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3DE9A5B6"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47871587"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2451B0CA"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6CF7F991"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002E14C2"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02DF0B4E" w14:textId="77777777" w:rsidR="00F65BCA" w:rsidRDefault="00216117">
            <w:pPr>
              <w:pStyle w:val="TableParagraph"/>
              <w:spacing w:before="4" w:line="67" w:lineRule="exact"/>
              <w:ind w:left="76" w:right="28"/>
              <w:jc w:val="center"/>
              <w:rPr>
                <w:rFonts w:ascii="Calibri" w:hAnsi="Calibri"/>
                <w:sz w:val="7"/>
              </w:rPr>
            </w:pPr>
            <w:r>
              <w:rPr>
                <w:rFonts w:ascii="Calibri" w:hAnsi="Calibri"/>
                <w:w w:val="105"/>
                <w:sz w:val="7"/>
              </w:rPr>
              <w:t>192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41C164FC" w14:textId="77777777" w:rsidR="00F65BCA" w:rsidRDefault="00F65BCA">
            <w:pPr>
              <w:pStyle w:val="TableParagraph"/>
              <w:rPr>
                <w:rFonts w:ascii="Times New Roman"/>
                <w:sz w:val="4"/>
              </w:rPr>
            </w:pP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334C01DC" w14:textId="77777777" w:rsidR="00F65BCA" w:rsidRDefault="00F65BCA">
            <w:pPr>
              <w:pStyle w:val="TableParagraph"/>
              <w:rPr>
                <w:rFonts w:ascii="Times New Roman"/>
                <w:sz w:val="4"/>
              </w:rPr>
            </w:pP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05F0252D" w14:textId="77777777" w:rsidR="00F65BCA" w:rsidRDefault="00F65BCA">
            <w:pPr>
              <w:pStyle w:val="TableParagraph"/>
              <w:rPr>
                <w:rFonts w:ascii="Times New Roman"/>
                <w:sz w:val="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68CED110" w14:textId="77777777" w:rsidR="00F65BCA" w:rsidRDefault="00F65BCA">
            <w:pPr>
              <w:pStyle w:val="TableParagraph"/>
              <w:rPr>
                <w:rFonts w:ascii="Times New Roman"/>
                <w:sz w:val="4"/>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13748F9" w14:textId="77777777" w:rsidR="00F65BCA" w:rsidRDefault="00F65BCA">
            <w:pPr>
              <w:pStyle w:val="TableParagraph"/>
              <w:rPr>
                <w:rFonts w:ascii="Times New Roman"/>
                <w:sz w:val="4"/>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0F76375"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4DAF41AA" w14:textId="77777777" w:rsidR="00F65BCA" w:rsidRDefault="00216117">
            <w:pPr>
              <w:pStyle w:val="TableParagraph"/>
              <w:spacing w:before="4" w:line="67" w:lineRule="exact"/>
              <w:ind w:left="158"/>
              <w:rPr>
                <w:rFonts w:ascii="Calibri" w:hAnsi="Calibri"/>
                <w:sz w:val="7"/>
              </w:rPr>
            </w:pPr>
            <w:r>
              <w:rPr>
                <w:rFonts w:ascii="Calibri" w:hAnsi="Calibri"/>
                <w:w w:val="105"/>
                <w:sz w:val="7"/>
              </w:rPr>
              <w:t>192 Kč</w:t>
            </w:r>
          </w:p>
        </w:tc>
      </w:tr>
      <w:tr w:rsidR="00F65BCA" w14:paraId="0D4DD2F6" w14:textId="77777777">
        <w:trPr>
          <w:trHeight w:val="90"/>
        </w:trPr>
        <w:tc>
          <w:tcPr>
            <w:tcW w:w="188" w:type="dxa"/>
            <w:tcBorders>
              <w:top w:val="single" w:sz="4" w:space="0" w:color="000000"/>
              <w:bottom w:val="single" w:sz="4" w:space="0" w:color="000000"/>
              <w:right w:val="single" w:sz="4" w:space="0" w:color="000000"/>
            </w:tcBorders>
          </w:tcPr>
          <w:p w14:paraId="0B34F586" w14:textId="77777777" w:rsidR="00F65BCA" w:rsidRDefault="00216117">
            <w:pPr>
              <w:pStyle w:val="TableParagraph"/>
              <w:spacing w:before="4" w:line="67" w:lineRule="exact"/>
              <w:ind w:left="59"/>
              <w:rPr>
                <w:rFonts w:ascii="Calibri"/>
                <w:sz w:val="7"/>
              </w:rPr>
            </w:pPr>
            <w:r>
              <w:rPr>
                <w:rFonts w:ascii="Calibri"/>
                <w:w w:val="105"/>
                <w:sz w:val="7"/>
              </w:rPr>
              <w:t>25</w:t>
            </w:r>
          </w:p>
        </w:tc>
        <w:tc>
          <w:tcPr>
            <w:tcW w:w="398" w:type="dxa"/>
            <w:tcBorders>
              <w:top w:val="single" w:sz="4" w:space="0" w:color="000000"/>
              <w:left w:val="single" w:sz="4" w:space="0" w:color="000000"/>
              <w:bottom w:val="single" w:sz="4" w:space="0" w:color="000000"/>
              <w:right w:val="single" w:sz="4" w:space="0" w:color="000000"/>
            </w:tcBorders>
          </w:tcPr>
          <w:p w14:paraId="09BBBA40"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01E4CEF1"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1E3B50A"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57A51108"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728B4CED" w14:textId="77777777" w:rsidR="00F65BCA" w:rsidRDefault="00216117">
            <w:pPr>
              <w:pStyle w:val="TableParagraph"/>
              <w:spacing w:before="1" w:line="69" w:lineRule="exact"/>
              <w:ind w:left="70"/>
              <w:rPr>
                <w:rFonts w:ascii="Calibri"/>
                <w:sz w:val="7"/>
              </w:rPr>
            </w:pPr>
            <w:r>
              <w:rPr>
                <w:rFonts w:ascii="Calibri"/>
                <w:w w:val="105"/>
                <w:sz w:val="7"/>
              </w:rPr>
              <w:t>5P24661</w:t>
            </w:r>
          </w:p>
        </w:tc>
        <w:tc>
          <w:tcPr>
            <w:tcW w:w="398" w:type="dxa"/>
            <w:tcBorders>
              <w:top w:val="single" w:sz="4" w:space="0" w:color="000000"/>
              <w:left w:val="single" w:sz="4" w:space="0" w:color="000000"/>
              <w:bottom w:val="single" w:sz="4" w:space="0" w:color="000000"/>
              <w:right w:val="single" w:sz="4" w:space="0" w:color="000000"/>
            </w:tcBorders>
          </w:tcPr>
          <w:p w14:paraId="651304F3" w14:textId="77777777" w:rsidR="00F65BCA" w:rsidRDefault="00216117">
            <w:pPr>
              <w:pStyle w:val="TableParagraph"/>
              <w:spacing w:before="1" w:line="69" w:lineRule="exact"/>
              <w:ind w:left="16"/>
              <w:jc w:val="center"/>
              <w:rPr>
                <w:rFonts w:ascii="Calibri"/>
                <w:sz w:val="7"/>
              </w:rPr>
            </w:pPr>
            <w:r>
              <w:rPr>
                <w:rFonts w:ascii="Calibri"/>
                <w:w w:val="105"/>
                <w:sz w:val="7"/>
              </w:rPr>
              <w:t>UE818380</w:t>
            </w:r>
          </w:p>
        </w:tc>
        <w:tc>
          <w:tcPr>
            <w:tcW w:w="792" w:type="dxa"/>
            <w:tcBorders>
              <w:top w:val="single" w:sz="4" w:space="0" w:color="000000"/>
              <w:left w:val="single" w:sz="4" w:space="0" w:color="000000"/>
              <w:bottom w:val="single" w:sz="4" w:space="0" w:color="000000"/>
              <w:right w:val="single" w:sz="4" w:space="0" w:color="000000"/>
            </w:tcBorders>
          </w:tcPr>
          <w:p w14:paraId="25B1CB00" w14:textId="77777777" w:rsidR="00F65BCA" w:rsidRDefault="00216117">
            <w:pPr>
              <w:pStyle w:val="TableParagraph"/>
              <w:spacing w:before="1" w:line="69" w:lineRule="exact"/>
              <w:ind w:left="54"/>
              <w:rPr>
                <w:rFonts w:ascii="Calibri"/>
                <w:sz w:val="7"/>
              </w:rPr>
            </w:pPr>
            <w:r>
              <w:rPr>
                <w:rFonts w:ascii="Calibri"/>
                <w:w w:val="105"/>
                <w:sz w:val="7"/>
              </w:rPr>
              <w:t>VF3YAUMPA12180112</w:t>
            </w:r>
          </w:p>
        </w:tc>
        <w:tc>
          <w:tcPr>
            <w:tcW w:w="398" w:type="dxa"/>
            <w:tcBorders>
              <w:top w:val="single" w:sz="4" w:space="0" w:color="000000"/>
              <w:left w:val="single" w:sz="4" w:space="0" w:color="000000"/>
              <w:bottom w:val="single" w:sz="4" w:space="0" w:color="000000"/>
              <w:right w:val="single" w:sz="4" w:space="0" w:color="000000"/>
            </w:tcBorders>
          </w:tcPr>
          <w:p w14:paraId="30C587FB" w14:textId="77777777" w:rsidR="00F65BCA" w:rsidRDefault="00216117">
            <w:pPr>
              <w:pStyle w:val="TableParagraph"/>
              <w:spacing w:before="1" w:line="69" w:lineRule="exact"/>
              <w:ind w:left="59"/>
              <w:rPr>
                <w:rFonts w:ascii="Calibri"/>
                <w:sz w:val="7"/>
              </w:rPr>
            </w:pPr>
            <w:r>
              <w:rPr>
                <w:rFonts w:ascii="Calibri"/>
                <w:w w:val="105"/>
                <w:sz w:val="7"/>
              </w:rPr>
              <w:t>PEUGEOT</w:t>
            </w:r>
          </w:p>
        </w:tc>
        <w:tc>
          <w:tcPr>
            <w:tcW w:w="1065" w:type="dxa"/>
            <w:tcBorders>
              <w:top w:val="single" w:sz="4" w:space="0" w:color="000000"/>
              <w:left w:val="single" w:sz="4" w:space="0" w:color="000000"/>
              <w:bottom w:val="single" w:sz="4" w:space="0" w:color="000000"/>
              <w:right w:val="single" w:sz="4" w:space="0" w:color="000000"/>
            </w:tcBorders>
          </w:tcPr>
          <w:p w14:paraId="24FE7EE1" w14:textId="77777777" w:rsidR="00F65BCA" w:rsidRDefault="00216117">
            <w:pPr>
              <w:pStyle w:val="TableParagraph"/>
              <w:spacing w:before="1" w:line="69" w:lineRule="exact"/>
              <w:ind w:left="75" w:right="53"/>
              <w:jc w:val="center"/>
              <w:rPr>
                <w:rFonts w:ascii="Calibri"/>
                <w:sz w:val="7"/>
              </w:rPr>
            </w:pPr>
            <w:r>
              <w:rPr>
                <w:rFonts w:ascii="Calibri"/>
                <w:w w:val="105"/>
                <w:sz w:val="7"/>
              </w:rPr>
              <w:t>BOXER 3000 DIESEL</w:t>
            </w:r>
          </w:p>
        </w:tc>
        <w:tc>
          <w:tcPr>
            <w:tcW w:w="815" w:type="dxa"/>
            <w:tcBorders>
              <w:top w:val="single" w:sz="4" w:space="0" w:color="000000"/>
              <w:left w:val="single" w:sz="4" w:space="0" w:color="000000"/>
              <w:bottom w:val="single" w:sz="4" w:space="0" w:color="000000"/>
              <w:right w:val="single" w:sz="4" w:space="0" w:color="000000"/>
            </w:tcBorders>
          </w:tcPr>
          <w:p w14:paraId="52563748"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5093B22D" w14:textId="77777777" w:rsidR="00F65BCA" w:rsidRDefault="00216117">
            <w:pPr>
              <w:pStyle w:val="TableParagraph"/>
              <w:spacing w:before="1" w:line="69" w:lineRule="exact"/>
              <w:ind w:right="41"/>
              <w:jc w:val="right"/>
              <w:rPr>
                <w:rFonts w:ascii="Calibri"/>
                <w:sz w:val="7"/>
              </w:rPr>
            </w:pPr>
            <w:r>
              <w:rPr>
                <w:rFonts w:ascii="Calibri"/>
                <w:w w:val="105"/>
                <w:sz w:val="7"/>
              </w:rPr>
              <w:t>2012</w:t>
            </w:r>
          </w:p>
        </w:tc>
        <w:tc>
          <w:tcPr>
            <w:tcW w:w="278" w:type="dxa"/>
            <w:tcBorders>
              <w:top w:val="single" w:sz="4" w:space="0" w:color="000000"/>
              <w:left w:val="single" w:sz="4" w:space="0" w:color="000000"/>
              <w:bottom w:val="single" w:sz="4" w:space="0" w:color="000000"/>
              <w:right w:val="single" w:sz="4" w:space="0" w:color="000000"/>
            </w:tcBorders>
          </w:tcPr>
          <w:p w14:paraId="4D274D33" w14:textId="77777777" w:rsidR="00F65BCA" w:rsidRDefault="00216117">
            <w:pPr>
              <w:pStyle w:val="TableParagraph"/>
              <w:spacing w:before="1" w:line="69" w:lineRule="exact"/>
              <w:ind w:left="28" w:right="2"/>
              <w:jc w:val="center"/>
              <w:rPr>
                <w:rFonts w:ascii="Calibri"/>
                <w:sz w:val="7"/>
              </w:rPr>
            </w:pPr>
            <w:r>
              <w:rPr>
                <w:rFonts w:ascii="Calibri"/>
                <w:w w:val="105"/>
                <w:sz w:val="7"/>
              </w:rPr>
              <w:t>2198</w:t>
            </w:r>
          </w:p>
        </w:tc>
        <w:tc>
          <w:tcPr>
            <w:tcW w:w="268" w:type="dxa"/>
            <w:tcBorders>
              <w:top w:val="single" w:sz="4" w:space="0" w:color="000000"/>
              <w:left w:val="single" w:sz="4" w:space="0" w:color="000000"/>
              <w:bottom w:val="single" w:sz="4" w:space="0" w:color="000000"/>
              <w:right w:val="single" w:sz="4" w:space="0" w:color="000000"/>
            </w:tcBorders>
          </w:tcPr>
          <w:p w14:paraId="77C98A18" w14:textId="77777777" w:rsidR="00F65BCA" w:rsidRDefault="00216117">
            <w:pPr>
              <w:pStyle w:val="TableParagraph"/>
              <w:spacing w:before="1" w:line="69" w:lineRule="exact"/>
              <w:ind w:right="56"/>
              <w:jc w:val="right"/>
              <w:rPr>
                <w:rFonts w:ascii="Calibri"/>
                <w:sz w:val="7"/>
              </w:rPr>
            </w:pPr>
            <w:r>
              <w:rPr>
                <w:rFonts w:ascii="Calibri"/>
                <w:w w:val="105"/>
                <w:sz w:val="7"/>
              </w:rPr>
              <w:t>110</w:t>
            </w:r>
          </w:p>
        </w:tc>
        <w:tc>
          <w:tcPr>
            <w:tcW w:w="398" w:type="dxa"/>
            <w:tcBorders>
              <w:top w:val="single" w:sz="4" w:space="0" w:color="000000"/>
              <w:left w:val="single" w:sz="4" w:space="0" w:color="000000"/>
              <w:bottom w:val="single" w:sz="4" w:space="0" w:color="000000"/>
              <w:right w:val="single" w:sz="4" w:space="0" w:color="000000"/>
            </w:tcBorders>
          </w:tcPr>
          <w:p w14:paraId="09C3C27E" w14:textId="77777777" w:rsidR="00F65BCA" w:rsidRDefault="00216117">
            <w:pPr>
              <w:pStyle w:val="TableParagraph"/>
              <w:spacing w:before="1" w:line="69" w:lineRule="exact"/>
              <w:ind w:left="28"/>
              <w:jc w:val="center"/>
              <w:rPr>
                <w:rFonts w:ascii="Calibri"/>
                <w:sz w:val="7"/>
              </w:rPr>
            </w:pPr>
            <w:r>
              <w:rPr>
                <w:rFonts w:ascii="Calibri"/>
                <w:w w:val="105"/>
                <w:sz w:val="7"/>
              </w:rPr>
              <w:t>3150</w:t>
            </w:r>
          </w:p>
        </w:tc>
        <w:tc>
          <w:tcPr>
            <w:tcW w:w="249" w:type="dxa"/>
            <w:tcBorders>
              <w:top w:val="single" w:sz="4" w:space="0" w:color="000000"/>
              <w:left w:val="single" w:sz="4" w:space="0" w:color="000000"/>
              <w:bottom w:val="single" w:sz="4" w:space="0" w:color="000000"/>
              <w:right w:val="single" w:sz="4" w:space="0" w:color="000000"/>
            </w:tcBorders>
          </w:tcPr>
          <w:p w14:paraId="36091458" w14:textId="77777777" w:rsidR="00F65BCA" w:rsidRDefault="00216117">
            <w:pPr>
              <w:pStyle w:val="TableParagraph"/>
              <w:spacing w:before="1" w:line="69" w:lineRule="exact"/>
              <w:ind w:right="82"/>
              <w:jc w:val="right"/>
              <w:rPr>
                <w:rFonts w:ascii="Calibri"/>
                <w:sz w:val="7"/>
              </w:rPr>
            </w:pPr>
            <w:r>
              <w:rPr>
                <w:rFonts w:ascii="Calibri"/>
                <w:w w:val="106"/>
                <w:sz w:val="7"/>
              </w:rPr>
              <w:t>9</w:t>
            </w:r>
          </w:p>
        </w:tc>
        <w:tc>
          <w:tcPr>
            <w:tcW w:w="311" w:type="dxa"/>
            <w:tcBorders>
              <w:top w:val="single" w:sz="4" w:space="0" w:color="000000"/>
              <w:left w:val="single" w:sz="4" w:space="0" w:color="000000"/>
              <w:bottom w:val="single" w:sz="4" w:space="0" w:color="000000"/>
              <w:right w:val="single" w:sz="4" w:space="0" w:color="000000"/>
            </w:tcBorders>
          </w:tcPr>
          <w:p w14:paraId="155E5321" w14:textId="77777777" w:rsidR="00F65BCA" w:rsidRDefault="00216117">
            <w:pPr>
              <w:pStyle w:val="TableParagraph"/>
              <w:spacing w:before="1"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5EA7E6B0"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6A49D5A3" w14:textId="77777777" w:rsidR="00F65BCA" w:rsidRDefault="00216117">
            <w:pPr>
              <w:pStyle w:val="TableParagraph"/>
              <w:spacing w:before="1" w:line="69" w:lineRule="exact"/>
              <w:jc w:val="right"/>
              <w:rPr>
                <w:rFonts w:ascii="Calibri" w:hAnsi="Calibri"/>
                <w:sz w:val="7"/>
              </w:rPr>
            </w:pPr>
            <w:r>
              <w:rPr>
                <w:rFonts w:ascii="Calibri" w:hAnsi="Calibri"/>
                <w:w w:val="105"/>
                <w:sz w:val="7"/>
              </w:rPr>
              <w:t>250 000 Kč</w:t>
            </w:r>
          </w:p>
        </w:tc>
        <w:tc>
          <w:tcPr>
            <w:tcW w:w="278" w:type="dxa"/>
            <w:tcBorders>
              <w:top w:val="single" w:sz="4" w:space="0" w:color="000000"/>
              <w:left w:val="single" w:sz="4" w:space="0" w:color="000000"/>
              <w:bottom w:val="single" w:sz="4" w:space="0" w:color="000000"/>
              <w:right w:val="single" w:sz="4" w:space="0" w:color="000000"/>
            </w:tcBorders>
          </w:tcPr>
          <w:p w14:paraId="2D95B70A"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639BD8E4"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6CDC8FFF" w14:textId="77777777" w:rsidR="00F65BCA" w:rsidRDefault="00216117">
            <w:pPr>
              <w:pStyle w:val="TableParagraph"/>
              <w:spacing w:before="1" w:line="69" w:lineRule="exact"/>
              <w:ind w:right="4"/>
              <w:jc w:val="right"/>
              <w:rPr>
                <w:rFonts w:ascii="Calibri" w:hAnsi="Calibri"/>
                <w:sz w:val="7"/>
              </w:rPr>
            </w:pPr>
            <w:r>
              <w:rPr>
                <w:rFonts w:ascii="Calibri" w:hAnsi="Calibri"/>
                <w:w w:val="105"/>
                <w:sz w:val="7"/>
              </w:rPr>
              <w:t>bez limitní</w:t>
            </w:r>
          </w:p>
        </w:tc>
        <w:tc>
          <w:tcPr>
            <w:tcW w:w="398" w:type="dxa"/>
            <w:tcBorders>
              <w:top w:val="single" w:sz="4" w:space="0" w:color="000000"/>
              <w:left w:val="single" w:sz="4" w:space="0" w:color="000000"/>
              <w:bottom w:val="single" w:sz="4" w:space="0" w:color="000000"/>
              <w:right w:val="single" w:sz="4" w:space="0" w:color="000000"/>
            </w:tcBorders>
          </w:tcPr>
          <w:p w14:paraId="648D1C6D"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148865EE"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4FBB1741"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5777F081"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2F52612D"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2 496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0666CCCC"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3 660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30CB7298" w14:textId="77777777" w:rsidR="00F65BCA" w:rsidRDefault="00216117">
            <w:pPr>
              <w:pStyle w:val="TableParagraph"/>
              <w:spacing w:before="4" w:line="67" w:lineRule="exact"/>
              <w:ind w:right="70"/>
              <w:jc w:val="right"/>
              <w:rPr>
                <w:rFonts w:ascii="Calibri" w:hAnsi="Calibri"/>
                <w:sz w:val="7"/>
              </w:rPr>
            </w:pPr>
            <w:r>
              <w:rPr>
                <w:rFonts w:ascii="Calibri" w:hAnsi="Calibri"/>
                <w:w w:val="105"/>
                <w:sz w:val="7"/>
              </w:rPr>
              <w:t>7 656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07F80BD0"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936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51E9CED4"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11B07190" w14:textId="77777777" w:rsidR="00F65BCA" w:rsidRDefault="00216117">
            <w:pPr>
              <w:pStyle w:val="TableParagraph"/>
              <w:spacing w:before="4" w:line="67" w:lineRule="exact"/>
              <w:ind w:left="78" w:right="16"/>
              <w:jc w:val="center"/>
              <w:rPr>
                <w:rFonts w:ascii="Calibri" w:hAnsi="Calibri"/>
                <w:sz w:val="7"/>
              </w:rPr>
            </w:pPr>
            <w:r>
              <w:rPr>
                <w:rFonts w:ascii="Calibri" w:hAnsi="Calibri"/>
                <w:w w:val="105"/>
                <w:sz w:val="7"/>
              </w:rPr>
              <w:t>1 320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39014CEC"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01F0C8A3" w14:textId="77777777" w:rsidR="00F65BCA" w:rsidRDefault="00216117">
            <w:pPr>
              <w:pStyle w:val="TableParagraph"/>
              <w:spacing w:before="4" w:line="67" w:lineRule="exact"/>
              <w:ind w:left="111"/>
              <w:rPr>
                <w:rFonts w:ascii="Calibri" w:hAnsi="Calibri"/>
                <w:sz w:val="7"/>
              </w:rPr>
            </w:pPr>
            <w:r>
              <w:rPr>
                <w:rFonts w:ascii="Calibri" w:hAnsi="Calibri"/>
                <w:w w:val="105"/>
                <w:sz w:val="7"/>
              </w:rPr>
              <w:t>16 464 Kč</w:t>
            </w:r>
          </w:p>
        </w:tc>
      </w:tr>
      <w:tr w:rsidR="00F65BCA" w14:paraId="30A6A86A" w14:textId="77777777">
        <w:trPr>
          <w:trHeight w:val="90"/>
        </w:trPr>
        <w:tc>
          <w:tcPr>
            <w:tcW w:w="188" w:type="dxa"/>
            <w:tcBorders>
              <w:top w:val="single" w:sz="4" w:space="0" w:color="000000"/>
              <w:bottom w:val="single" w:sz="4" w:space="0" w:color="000000"/>
              <w:right w:val="single" w:sz="4" w:space="0" w:color="000000"/>
            </w:tcBorders>
          </w:tcPr>
          <w:p w14:paraId="7DA2CE41" w14:textId="77777777" w:rsidR="00F65BCA" w:rsidRDefault="00216117">
            <w:pPr>
              <w:pStyle w:val="TableParagraph"/>
              <w:spacing w:before="4" w:line="67" w:lineRule="exact"/>
              <w:ind w:left="59"/>
              <w:rPr>
                <w:rFonts w:ascii="Calibri"/>
                <w:sz w:val="7"/>
              </w:rPr>
            </w:pPr>
            <w:r>
              <w:rPr>
                <w:rFonts w:ascii="Calibri"/>
                <w:w w:val="105"/>
                <w:sz w:val="7"/>
              </w:rPr>
              <w:t>26</w:t>
            </w:r>
          </w:p>
        </w:tc>
        <w:tc>
          <w:tcPr>
            <w:tcW w:w="398" w:type="dxa"/>
            <w:tcBorders>
              <w:top w:val="single" w:sz="4" w:space="0" w:color="000000"/>
              <w:left w:val="single" w:sz="4" w:space="0" w:color="000000"/>
              <w:bottom w:val="single" w:sz="4" w:space="0" w:color="000000"/>
              <w:right w:val="single" w:sz="4" w:space="0" w:color="000000"/>
            </w:tcBorders>
          </w:tcPr>
          <w:p w14:paraId="69CF8EDC"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5AA87732"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0BF19AE0"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4ECF3175"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7DA9242D" w14:textId="77777777" w:rsidR="00F65BCA" w:rsidRDefault="00216117">
            <w:pPr>
              <w:pStyle w:val="TableParagraph"/>
              <w:spacing w:before="1" w:line="69" w:lineRule="exact"/>
              <w:ind w:left="63"/>
              <w:rPr>
                <w:rFonts w:ascii="Calibri"/>
                <w:sz w:val="7"/>
              </w:rPr>
            </w:pPr>
            <w:r>
              <w:rPr>
                <w:rFonts w:ascii="Calibri"/>
                <w:w w:val="105"/>
                <w:sz w:val="7"/>
              </w:rPr>
              <w:t>7AU5205</w:t>
            </w:r>
          </w:p>
        </w:tc>
        <w:tc>
          <w:tcPr>
            <w:tcW w:w="398" w:type="dxa"/>
            <w:tcBorders>
              <w:top w:val="single" w:sz="4" w:space="0" w:color="000000"/>
              <w:left w:val="single" w:sz="4" w:space="0" w:color="000000"/>
              <w:bottom w:val="single" w:sz="4" w:space="0" w:color="000000"/>
              <w:right w:val="single" w:sz="4" w:space="0" w:color="000000"/>
            </w:tcBorders>
          </w:tcPr>
          <w:p w14:paraId="5CDDC7E9" w14:textId="77777777" w:rsidR="00F65BCA" w:rsidRDefault="00216117">
            <w:pPr>
              <w:pStyle w:val="TableParagraph"/>
              <w:spacing w:before="1" w:line="69" w:lineRule="exact"/>
              <w:ind w:left="18"/>
              <w:jc w:val="center"/>
              <w:rPr>
                <w:rFonts w:ascii="Calibri"/>
                <w:sz w:val="7"/>
              </w:rPr>
            </w:pPr>
            <w:r>
              <w:rPr>
                <w:rFonts w:ascii="Calibri"/>
                <w:w w:val="105"/>
                <w:sz w:val="7"/>
              </w:rPr>
              <w:t>UJ743497</w:t>
            </w:r>
          </w:p>
        </w:tc>
        <w:tc>
          <w:tcPr>
            <w:tcW w:w="792" w:type="dxa"/>
            <w:tcBorders>
              <w:top w:val="single" w:sz="4" w:space="0" w:color="000000"/>
              <w:left w:val="single" w:sz="4" w:space="0" w:color="000000"/>
              <w:bottom w:val="single" w:sz="4" w:space="0" w:color="000000"/>
              <w:right w:val="single" w:sz="4" w:space="0" w:color="000000"/>
            </w:tcBorders>
          </w:tcPr>
          <w:p w14:paraId="434B0F55" w14:textId="77777777" w:rsidR="00F65BCA" w:rsidRDefault="00216117">
            <w:pPr>
              <w:pStyle w:val="TableParagraph"/>
              <w:spacing w:before="1" w:line="69" w:lineRule="exact"/>
              <w:ind w:left="52"/>
              <w:rPr>
                <w:rFonts w:ascii="Calibri"/>
                <w:sz w:val="7"/>
              </w:rPr>
            </w:pPr>
            <w:r>
              <w:rPr>
                <w:rFonts w:ascii="Calibri"/>
                <w:w w:val="105"/>
                <w:sz w:val="7"/>
              </w:rPr>
              <w:t>TMBAP6NHXK4055309</w:t>
            </w:r>
          </w:p>
        </w:tc>
        <w:tc>
          <w:tcPr>
            <w:tcW w:w="398" w:type="dxa"/>
            <w:tcBorders>
              <w:top w:val="single" w:sz="4" w:space="0" w:color="000000"/>
              <w:left w:val="single" w:sz="4" w:space="0" w:color="000000"/>
              <w:bottom w:val="single" w:sz="4" w:space="0" w:color="000000"/>
              <w:right w:val="single" w:sz="4" w:space="0" w:color="000000"/>
            </w:tcBorders>
          </w:tcPr>
          <w:p w14:paraId="319819FB" w14:textId="77777777" w:rsidR="00F65BCA" w:rsidRDefault="00216117">
            <w:pPr>
              <w:pStyle w:val="TableParagraph"/>
              <w:spacing w:before="1" w:line="69" w:lineRule="exact"/>
              <w:ind w:left="100"/>
              <w:rPr>
                <w:rFonts w:ascii="Calibri"/>
                <w:sz w:val="7"/>
              </w:rPr>
            </w:pPr>
            <w:r>
              <w:rPr>
                <w:rFonts w:ascii="Calibri"/>
                <w:w w:val="105"/>
                <w:sz w:val="7"/>
              </w:rPr>
              <w:t>SKODA</w:t>
            </w:r>
          </w:p>
        </w:tc>
        <w:tc>
          <w:tcPr>
            <w:tcW w:w="1065" w:type="dxa"/>
            <w:tcBorders>
              <w:top w:val="single" w:sz="4" w:space="0" w:color="000000"/>
              <w:left w:val="single" w:sz="4" w:space="0" w:color="000000"/>
              <w:bottom w:val="single" w:sz="4" w:space="0" w:color="000000"/>
              <w:right w:val="single" w:sz="4" w:space="0" w:color="000000"/>
            </w:tcBorders>
          </w:tcPr>
          <w:p w14:paraId="33296D74" w14:textId="77777777" w:rsidR="00F65BCA" w:rsidRDefault="00216117">
            <w:pPr>
              <w:pStyle w:val="TableParagraph"/>
              <w:spacing w:before="1" w:line="69" w:lineRule="exact"/>
              <w:ind w:left="75" w:right="52"/>
              <w:jc w:val="center"/>
              <w:rPr>
                <w:rFonts w:ascii="Calibri"/>
                <w:sz w:val="7"/>
              </w:rPr>
            </w:pPr>
            <w:r>
              <w:rPr>
                <w:rFonts w:ascii="Calibri"/>
                <w:w w:val="105"/>
                <w:sz w:val="7"/>
              </w:rPr>
              <w:t>RAPID</w:t>
            </w:r>
          </w:p>
        </w:tc>
        <w:tc>
          <w:tcPr>
            <w:tcW w:w="815" w:type="dxa"/>
            <w:tcBorders>
              <w:top w:val="single" w:sz="4" w:space="0" w:color="000000"/>
              <w:left w:val="single" w:sz="4" w:space="0" w:color="000000"/>
              <w:bottom w:val="single" w:sz="4" w:space="0" w:color="000000"/>
              <w:right w:val="single" w:sz="4" w:space="0" w:color="000000"/>
            </w:tcBorders>
          </w:tcPr>
          <w:p w14:paraId="5758C89E"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04152833" w14:textId="77777777" w:rsidR="00F65BCA" w:rsidRDefault="00216117">
            <w:pPr>
              <w:pStyle w:val="TableParagraph"/>
              <w:spacing w:before="1" w:line="69" w:lineRule="exact"/>
              <w:ind w:right="41"/>
              <w:jc w:val="right"/>
              <w:rPr>
                <w:rFonts w:ascii="Calibri"/>
                <w:sz w:val="7"/>
              </w:rPr>
            </w:pPr>
            <w:r>
              <w:rPr>
                <w:rFonts w:ascii="Calibri"/>
                <w:w w:val="105"/>
                <w:sz w:val="7"/>
              </w:rPr>
              <w:t>2019</w:t>
            </w:r>
          </w:p>
        </w:tc>
        <w:tc>
          <w:tcPr>
            <w:tcW w:w="278" w:type="dxa"/>
            <w:tcBorders>
              <w:top w:val="single" w:sz="4" w:space="0" w:color="000000"/>
              <w:left w:val="single" w:sz="4" w:space="0" w:color="000000"/>
              <w:bottom w:val="single" w:sz="4" w:space="0" w:color="000000"/>
              <w:right w:val="single" w:sz="4" w:space="0" w:color="000000"/>
            </w:tcBorders>
          </w:tcPr>
          <w:p w14:paraId="3AB3D4FD" w14:textId="77777777" w:rsidR="00F65BCA" w:rsidRDefault="00216117">
            <w:pPr>
              <w:pStyle w:val="TableParagraph"/>
              <w:spacing w:before="1" w:line="69" w:lineRule="exact"/>
              <w:ind w:left="28" w:right="2"/>
              <w:jc w:val="center"/>
              <w:rPr>
                <w:rFonts w:ascii="Calibri"/>
                <w:sz w:val="7"/>
              </w:rPr>
            </w:pPr>
            <w:r>
              <w:rPr>
                <w:rFonts w:ascii="Calibri"/>
                <w:w w:val="105"/>
                <w:sz w:val="7"/>
              </w:rPr>
              <w:t>999</w:t>
            </w:r>
          </w:p>
        </w:tc>
        <w:tc>
          <w:tcPr>
            <w:tcW w:w="268" w:type="dxa"/>
            <w:tcBorders>
              <w:top w:val="single" w:sz="4" w:space="0" w:color="000000"/>
              <w:left w:val="single" w:sz="4" w:space="0" w:color="000000"/>
              <w:bottom w:val="single" w:sz="4" w:space="0" w:color="000000"/>
              <w:right w:val="single" w:sz="4" w:space="0" w:color="000000"/>
            </w:tcBorders>
          </w:tcPr>
          <w:p w14:paraId="1FFECB0C" w14:textId="77777777" w:rsidR="00F65BCA" w:rsidRDefault="00216117">
            <w:pPr>
              <w:pStyle w:val="TableParagraph"/>
              <w:spacing w:before="1" w:line="69" w:lineRule="exact"/>
              <w:ind w:right="74"/>
              <w:jc w:val="right"/>
              <w:rPr>
                <w:rFonts w:ascii="Calibri"/>
                <w:sz w:val="7"/>
              </w:rPr>
            </w:pPr>
            <w:r>
              <w:rPr>
                <w:rFonts w:ascii="Calibri"/>
                <w:w w:val="105"/>
                <w:sz w:val="7"/>
              </w:rPr>
              <w:t>70</w:t>
            </w:r>
          </w:p>
        </w:tc>
        <w:tc>
          <w:tcPr>
            <w:tcW w:w="398" w:type="dxa"/>
            <w:tcBorders>
              <w:top w:val="single" w:sz="4" w:space="0" w:color="000000"/>
              <w:left w:val="single" w:sz="4" w:space="0" w:color="000000"/>
              <w:bottom w:val="single" w:sz="4" w:space="0" w:color="000000"/>
              <w:right w:val="single" w:sz="4" w:space="0" w:color="000000"/>
            </w:tcBorders>
          </w:tcPr>
          <w:p w14:paraId="0CC05CBC" w14:textId="77777777" w:rsidR="00F65BCA" w:rsidRDefault="00216117">
            <w:pPr>
              <w:pStyle w:val="TableParagraph"/>
              <w:spacing w:before="1" w:line="69" w:lineRule="exact"/>
              <w:ind w:left="28"/>
              <w:jc w:val="center"/>
              <w:rPr>
                <w:rFonts w:ascii="Calibri"/>
                <w:sz w:val="7"/>
              </w:rPr>
            </w:pPr>
            <w:r>
              <w:rPr>
                <w:rFonts w:ascii="Calibri"/>
                <w:w w:val="105"/>
                <w:sz w:val="7"/>
              </w:rPr>
              <w:t>1644</w:t>
            </w:r>
          </w:p>
        </w:tc>
        <w:tc>
          <w:tcPr>
            <w:tcW w:w="249" w:type="dxa"/>
            <w:tcBorders>
              <w:top w:val="single" w:sz="4" w:space="0" w:color="000000"/>
              <w:left w:val="single" w:sz="4" w:space="0" w:color="000000"/>
              <w:bottom w:val="single" w:sz="4" w:space="0" w:color="000000"/>
              <w:right w:val="single" w:sz="4" w:space="0" w:color="000000"/>
            </w:tcBorders>
          </w:tcPr>
          <w:p w14:paraId="4AB255D0" w14:textId="77777777" w:rsidR="00F65BCA" w:rsidRDefault="00216117">
            <w:pPr>
              <w:pStyle w:val="TableParagraph"/>
              <w:spacing w:before="1"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3692EB46" w14:textId="77777777" w:rsidR="00F65BCA" w:rsidRDefault="00216117">
            <w:pPr>
              <w:pStyle w:val="TableParagraph"/>
              <w:spacing w:before="1" w:line="69" w:lineRule="exact"/>
              <w:ind w:left="34"/>
              <w:jc w:val="center"/>
              <w:rPr>
                <w:rFonts w:ascii="Calibri" w:hAnsi="Calibri"/>
                <w:sz w:val="7"/>
              </w:rPr>
            </w:pPr>
            <w:r>
              <w:rPr>
                <w:rFonts w:ascii="Calibri" w:hAnsi="Calibri"/>
                <w:w w:val="105"/>
                <w:sz w:val="7"/>
              </w:rPr>
              <w:t>Benzín</w:t>
            </w:r>
          </w:p>
        </w:tc>
        <w:tc>
          <w:tcPr>
            <w:tcW w:w="256" w:type="dxa"/>
            <w:tcBorders>
              <w:top w:val="single" w:sz="4" w:space="0" w:color="000000"/>
              <w:left w:val="single" w:sz="4" w:space="0" w:color="000000"/>
              <w:bottom w:val="single" w:sz="4" w:space="0" w:color="000000"/>
              <w:right w:val="single" w:sz="4" w:space="0" w:color="000000"/>
            </w:tcBorders>
          </w:tcPr>
          <w:p w14:paraId="3D58A6AF"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0CFF61A4" w14:textId="77777777" w:rsidR="00F65BCA" w:rsidRDefault="00216117">
            <w:pPr>
              <w:pStyle w:val="TableParagraph"/>
              <w:spacing w:before="1" w:line="69" w:lineRule="exact"/>
              <w:jc w:val="right"/>
              <w:rPr>
                <w:rFonts w:ascii="Calibri" w:hAnsi="Calibri"/>
                <w:sz w:val="7"/>
              </w:rPr>
            </w:pPr>
            <w:r>
              <w:rPr>
                <w:rFonts w:ascii="Calibri" w:hAnsi="Calibri"/>
                <w:w w:val="105"/>
                <w:sz w:val="7"/>
              </w:rPr>
              <w:t>267 000 Kč</w:t>
            </w:r>
          </w:p>
        </w:tc>
        <w:tc>
          <w:tcPr>
            <w:tcW w:w="278" w:type="dxa"/>
            <w:tcBorders>
              <w:top w:val="single" w:sz="4" w:space="0" w:color="000000"/>
              <w:left w:val="single" w:sz="4" w:space="0" w:color="000000"/>
              <w:bottom w:val="single" w:sz="4" w:space="0" w:color="000000"/>
              <w:right w:val="single" w:sz="4" w:space="0" w:color="000000"/>
            </w:tcBorders>
          </w:tcPr>
          <w:p w14:paraId="3C5190CB"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202C88C6"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6787E347"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14 000 Kč</w:t>
            </w:r>
          </w:p>
        </w:tc>
        <w:tc>
          <w:tcPr>
            <w:tcW w:w="398" w:type="dxa"/>
            <w:tcBorders>
              <w:top w:val="single" w:sz="4" w:space="0" w:color="000000"/>
              <w:left w:val="single" w:sz="4" w:space="0" w:color="000000"/>
              <w:bottom w:val="single" w:sz="4" w:space="0" w:color="000000"/>
              <w:right w:val="single" w:sz="4" w:space="0" w:color="000000"/>
            </w:tcBorders>
          </w:tcPr>
          <w:p w14:paraId="63270258"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6A91C4DB"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7539EC0F"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4A21E7DF"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11C9298F" w14:textId="77777777" w:rsidR="00F65BCA" w:rsidRDefault="00216117">
            <w:pPr>
              <w:pStyle w:val="TableParagraph"/>
              <w:spacing w:before="4" w:line="67" w:lineRule="exact"/>
              <w:ind w:left="76" w:right="28"/>
              <w:jc w:val="center"/>
              <w:rPr>
                <w:rFonts w:ascii="Calibri" w:hAnsi="Calibri"/>
                <w:sz w:val="7"/>
              </w:rPr>
            </w:pPr>
            <w:r>
              <w:rPr>
                <w:rFonts w:ascii="Calibri" w:hAnsi="Calibri"/>
                <w:w w:val="105"/>
                <w:sz w:val="7"/>
              </w:rPr>
              <w:t>864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6D4C1ABA"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2 976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1BAA523A" w14:textId="77777777" w:rsidR="00F65BCA" w:rsidRDefault="00216117">
            <w:pPr>
              <w:pStyle w:val="TableParagraph"/>
              <w:spacing w:before="4" w:line="67" w:lineRule="exact"/>
              <w:ind w:right="98"/>
              <w:jc w:val="right"/>
              <w:rPr>
                <w:rFonts w:ascii="Calibri" w:hAnsi="Calibri"/>
                <w:sz w:val="7"/>
              </w:rPr>
            </w:pPr>
            <w:r>
              <w:rPr>
                <w:rFonts w:ascii="Calibri" w:hAnsi="Calibri"/>
                <w:w w:val="105"/>
                <w:sz w:val="7"/>
              </w:rPr>
              <w:t>816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702129E6"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43514A8D"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0A5CF94" w14:textId="77777777" w:rsidR="00F65BCA" w:rsidRDefault="00216117">
            <w:pPr>
              <w:pStyle w:val="TableParagraph"/>
              <w:spacing w:before="4" w:line="67" w:lineRule="exact"/>
              <w:ind w:left="77" w:right="16"/>
              <w:jc w:val="center"/>
              <w:rPr>
                <w:rFonts w:ascii="Calibri" w:hAnsi="Calibri"/>
                <w:sz w:val="7"/>
              </w:rPr>
            </w:pPr>
            <w:r>
              <w:rPr>
                <w:rFonts w:ascii="Calibri" w:hAnsi="Calibri"/>
                <w:w w:val="105"/>
                <w:sz w:val="7"/>
              </w:rPr>
              <w:t>1 200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141917C4"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21B17A1E" w14:textId="77777777" w:rsidR="00F65BCA" w:rsidRDefault="00216117">
            <w:pPr>
              <w:pStyle w:val="TableParagraph"/>
              <w:spacing w:before="4" w:line="67" w:lineRule="exact"/>
              <w:ind w:left="130"/>
              <w:rPr>
                <w:rFonts w:ascii="Calibri" w:hAnsi="Calibri"/>
                <w:sz w:val="7"/>
              </w:rPr>
            </w:pPr>
            <w:r>
              <w:rPr>
                <w:rFonts w:ascii="Calibri" w:hAnsi="Calibri"/>
                <w:w w:val="105"/>
                <w:sz w:val="7"/>
              </w:rPr>
              <w:t>6 768 Kč</w:t>
            </w:r>
          </w:p>
        </w:tc>
      </w:tr>
      <w:tr w:rsidR="00F65BCA" w14:paraId="0DBF01D9" w14:textId="77777777">
        <w:trPr>
          <w:trHeight w:val="90"/>
        </w:trPr>
        <w:tc>
          <w:tcPr>
            <w:tcW w:w="188" w:type="dxa"/>
            <w:tcBorders>
              <w:top w:val="single" w:sz="4" w:space="0" w:color="000000"/>
              <w:bottom w:val="single" w:sz="4" w:space="0" w:color="000000"/>
              <w:right w:val="single" w:sz="4" w:space="0" w:color="000000"/>
            </w:tcBorders>
          </w:tcPr>
          <w:p w14:paraId="0497CA58" w14:textId="77777777" w:rsidR="00F65BCA" w:rsidRDefault="00216117">
            <w:pPr>
              <w:pStyle w:val="TableParagraph"/>
              <w:spacing w:before="4" w:line="67" w:lineRule="exact"/>
              <w:ind w:left="59"/>
              <w:rPr>
                <w:rFonts w:ascii="Calibri"/>
                <w:sz w:val="7"/>
              </w:rPr>
            </w:pPr>
            <w:r>
              <w:rPr>
                <w:rFonts w:ascii="Calibri"/>
                <w:w w:val="105"/>
                <w:sz w:val="7"/>
              </w:rPr>
              <w:t>27</w:t>
            </w:r>
          </w:p>
        </w:tc>
        <w:tc>
          <w:tcPr>
            <w:tcW w:w="398" w:type="dxa"/>
            <w:tcBorders>
              <w:top w:val="single" w:sz="4" w:space="0" w:color="000000"/>
              <w:left w:val="single" w:sz="4" w:space="0" w:color="000000"/>
              <w:bottom w:val="single" w:sz="4" w:space="0" w:color="000000"/>
              <w:right w:val="single" w:sz="4" w:space="0" w:color="000000"/>
            </w:tcBorders>
          </w:tcPr>
          <w:p w14:paraId="4E3A51A8"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2E5B8302"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07BDA990"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121EB7E1"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3F80FFEA" w14:textId="77777777" w:rsidR="00F65BCA" w:rsidRDefault="00216117">
            <w:pPr>
              <w:pStyle w:val="TableParagraph"/>
              <w:spacing w:before="1" w:line="69" w:lineRule="exact"/>
              <w:ind w:left="70"/>
              <w:rPr>
                <w:rFonts w:ascii="Calibri"/>
                <w:sz w:val="7"/>
              </w:rPr>
            </w:pPr>
            <w:r>
              <w:rPr>
                <w:rFonts w:ascii="Calibri"/>
                <w:w w:val="105"/>
                <w:sz w:val="7"/>
              </w:rPr>
              <w:t>5P31694</w:t>
            </w:r>
          </w:p>
        </w:tc>
        <w:tc>
          <w:tcPr>
            <w:tcW w:w="398" w:type="dxa"/>
            <w:tcBorders>
              <w:top w:val="single" w:sz="4" w:space="0" w:color="000000"/>
              <w:left w:val="single" w:sz="4" w:space="0" w:color="000000"/>
              <w:bottom w:val="single" w:sz="4" w:space="0" w:color="000000"/>
              <w:right w:val="single" w:sz="4" w:space="0" w:color="000000"/>
            </w:tcBorders>
          </w:tcPr>
          <w:p w14:paraId="52E6914B" w14:textId="77777777" w:rsidR="00F65BCA" w:rsidRDefault="00216117">
            <w:pPr>
              <w:pStyle w:val="TableParagraph"/>
              <w:spacing w:before="1" w:line="69" w:lineRule="exact"/>
              <w:ind w:left="19"/>
              <w:jc w:val="center"/>
              <w:rPr>
                <w:rFonts w:ascii="Calibri"/>
                <w:sz w:val="7"/>
              </w:rPr>
            </w:pPr>
            <w:r>
              <w:rPr>
                <w:rFonts w:ascii="Calibri"/>
                <w:w w:val="105"/>
                <w:sz w:val="7"/>
              </w:rPr>
              <w:t>UF101646</w:t>
            </w:r>
          </w:p>
        </w:tc>
        <w:tc>
          <w:tcPr>
            <w:tcW w:w="792" w:type="dxa"/>
            <w:tcBorders>
              <w:top w:val="single" w:sz="4" w:space="0" w:color="000000"/>
              <w:left w:val="single" w:sz="4" w:space="0" w:color="000000"/>
              <w:bottom w:val="single" w:sz="4" w:space="0" w:color="000000"/>
              <w:right w:val="single" w:sz="4" w:space="0" w:color="000000"/>
            </w:tcBorders>
          </w:tcPr>
          <w:p w14:paraId="7260C98D" w14:textId="77777777" w:rsidR="00F65BCA" w:rsidRDefault="00216117">
            <w:pPr>
              <w:pStyle w:val="TableParagraph"/>
              <w:spacing w:before="1" w:line="69" w:lineRule="exact"/>
              <w:ind w:left="66"/>
              <w:rPr>
                <w:rFonts w:ascii="Calibri"/>
                <w:sz w:val="7"/>
              </w:rPr>
            </w:pPr>
            <w:r>
              <w:rPr>
                <w:rFonts w:ascii="Calibri"/>
                <w:w w:val="105"/>
                <w:sz w:val="7"/>
              </w:rPr>
              <w:t>TKXE22175CANA4656</w:t>
            </w:r>
          </w:p>
        </w:tc>
        <w:tc>
          <w:tcPr>
            <w:tcW w:w="398" w:type="dxa"/>
            <w:tcBorders>
              <w:top w:val="single" w:sz="4" w:space="0" w:color="000000"/>
              <w:left w:val="single" w:sz="4" w:space="0" w:color="000000"/>
              <w:bottom w:val="single" w:sz="4" w:space="0" w:color="000000"/>
              <w:right w:val="single" w:sz="4" w:space="0" w:color="000000"/>
            </w:tcBorders>
          </w:tcPr>
          <w:p w14:paraId="0621283A" w14:textId="77777777" w:rsidR="00F65BCA" w:rsidRDefault="00216117">
            <w:pPr>
              <w:pStyle w:val="TableParagraph"/>
              <w:spacing w:before="1" w:line="69" w:lineRule="exact"/>
              <w:ind w:left="73"/>
              <w:rPr>
                <w:rFonts w:ascii="Calibri"/>
                <w:sz w:val="7"/>
              </w:rPr>
            </w:pPr>
            <w:r>
              <w:rPr>
                <w:rFonts w:ascii="Calibri"/>
                <w:w w:val="105"/>
                <w:sz w:val="7"/>
              </w:rPr>
              <w:t>AGADOS</w:t>
            </w:r>
          </w:p>
        </w:tc>
        <w:tc>
          <w:tcPr>
            <w:tcW w:w="1065" w:type="dxa"/>
            <w:tcBorders>
              <w:top w:val="single" w:sz="4" w:space="0" w:color="000000"/>
              <w:left w:val="single" w:sz="4" w:space="0" w:color="000000"/>
              <w:bottom w:val="single" w:sz="4" w:space="0" w:color="000000"/>
              <w:right w:val="single" w:sz="4" w:space="0" w:color="000000"/>
            </w:tcBorders>
          </w:tcPr>
          <w:p w14:paraId="4110F23E" w14:textId="77777777" w:rsidR="00F65BCA" w:rsidRDefault="00216117">
            <w:pPr>
              <w:pStyle w:val="TableParagraph"/>
              <w:spacing w:before="1" w:line="69" w:lineRule="exact"/>
              <w:ind w:left="75" w:right="54"/>
              <w:jc w:val="center"/>
              <w:rPr>
                <w:rFonts w:ascii="Calibri"/>
                <w:sz w:val="7"/>
              </w:rPr>
            </w:pPr>
            <w:r>
              <w:rPr>
                <w:rFonts w:ascii="Calibri"/>
                <w:w w:val="105"/>
                <w:sz w:val="7"/>
              </w:rPr>
              <w:t>VZ 22</w:t>
            </w:r>
          </w:p>
        </w:tc>
        <w:tc>
          <w:tcPr>
            <w:tcW w:w="815" w:type="dxa"/>
            <w:tcBorders>
              <w:top w:val="single" w:sz="4" w:space="0" w:color="000000"/>
              <w:left w:val="single" w:sz="4" w:space="0" w:color="000000"/>
              <w:bottom w:val="single" w:sz="4" w:space="0" w:color="000000"/>
              <w:right w:val="single" w:sz="4" w:space="0" w:color="000000"/>
            </w:tcBorders>
          </w:tcPr>
          <w:p w14:paraId="4229FEB4" w14:textId="77777777" w:rsidR="00F65BCA" w:rsidRDefault="00216117">
            <w:pPr>
              <w:pStyle w:val="TableParagraph"/>
              <w:spacing w:before="1" w:line="69" w:lineRule="exact"/>
              <w:ind w:left="36" w:right="11"/>
              <w:jc w:val="center"/>
              <w:rPr>
                <w:rFonts w:ascii="Calibri" w:hAnsi="Calibri"/>
                <w:sz w:val="7"/>
              </w:rPr>
            </w:pPr>
            <w:r>
              <w:rPr>
                <w:rFonts w:ascii="Calibri" w:hAnsi="Calibri"/>
                <w:w w:val="105"/>
                <w:sz w:val="7"/>
              </w:rPr>
              <w:t>Přívěs</w:t>
            </w:r>
          </w:p>
        </w:tc>
        <w:tc>
          <w:tcPr>
            <w:tcW w:w="273" w:type="dxa"/>
            <w:tcBorders>
              <w:top w:val="single" w:sz="4" w:space="0" w:color="000000"/>
              <w:left w:val="single" w:sz="4" w:space="0" w:color="000000"/>
              <w:bottom w:val="single" w:sz="4" w:space="0" w:color="000000"/>
              <w:right w:val="single" w:sz="4" w:space="0" w:color="000000"/>
            </w:tcBorders>
          </w:tcPr>
          <w:p w14:paraId="601D127C" w14:textId="77777777" w:rsidR="00F65BCA" w:rsidRDefault="00216117">
            <w:pPr>
              <w:pStyle w:val="TableParagraph"/>
              <w:spacing w:before="1" w:line="69" w:lineRule="exact"/>
              <w:ind w:right="41"/>
              <w:jc w:val="right"/>
              <w:rPr>
                <w:rFonts w:ascii="Calibri"/>
                <w:sz w:val="7"/>
              </w:rPr>
            </w:pPr>
            <w:r>
              <w:rPr>
                <w:rFonts w:ascii="Calibri"/>
                <w:w w:val="105"/>
                <w:sz w:val="7"/>
              </w:rPr>
              <w:t>2012</w:t>
            </w:r>
          </w:p>
        </w:tc>
        <w:tc>
          <w:tcPr>
            <w:tcW w:w="278" w:type="dxa"/>
            <w:tcBorders>
              <w:top w:val="single" w:sz="4" w:space="0" w:color="000000"/>
              <w:left w:val="single" w:sz="4" w:space="0" w:color="000000"/>
              <w:bottom w:val="single" w:sz="4" w:space="0" w:color="000000"/>
              <w:right w:val="single" w:sz="4" w:space="0" w:color="000000"/>
            </w:tcBorders>
          </w:tcPr>
          <w:p w14:paraId="565B09BE" w14:textId="77777777" w:rsidR="00F65BCA" w:rsidRDefault="00216117">
            <w:pPr>
              <w:pStyle w:val="TableParagraph"/>
              <w:spacing w:before="1" w:line="69" w:lineRule="exact"/>
              <w:ind w:left="28"/>
              <w:jc w:val="center"/>
              <w:rPr>
                <w:rFonts w:ascii="Calibri"/>
                <w:sz w:val="7"/>
              </w:rPr>
            </w:pPr>
            <w:r>
              <w:rPr>
                <w:rFonts w:ascii="Calibri"/>
                <w:w w:val="106"/>
                <w:sz w:val="7"/>
              </w:rPr>
              <w:t>0</w:t>
            </w:r>
          </w:p>
        </w:tc>
        <w:tc>
          <w:tcPr>
            <w:tcW w:w="268" w:type="dxa"/>
            <w:tcBorders>
              <w:top w:val="single" w:sz="4" w:space="0" w:color="000000"/>
              <w:left w:val="single" w:sz="4" w:space="0" w:color="000000"/>
              <w:bottom w:val="single" w:sz="4" w:space="0" w:color="000000"/>
              <w:right w:val="single" w:sz="4" w:space="0" w:color="000000"/>
            </w:tcBorders>
          </w:tcPr>
          <w:p w14:paraId="7D91B109" w14:textId="77777777" w:rsidR="00F65BCA" w:rsidRDefault="00216117">
            <w:pPr>
              <w:pStyle w:val="TableParagraph"/>
              <w:spacing w:before="1" w:line="69" w:lineRule="exact"/>
              <w:ind w:right="93"/>
              <w:jc w:val="right"/>
              <w:rPr>
                <w:rFonts w:ascii="Calibri"/>
                <w:sz w:val="7"/>
              </w:rPr>
            </w:pPr>
            <w:r>
              <w:rPr>
                <w:rFonts w:ascii="Calibri"/>
                <w:w w:val="106"/>
                <w:sz w:val="7"/>
              </w:rPr>
              <w:t>0</w:t>
            </w:r>
          </w:p>
        </w:tc>
        <w:tc>
          <w:tcPr>
            <w:tcW w:w="398" w:type="dxa"/>
            <w:tcBorders>
              <w:top w:val="single" w:sz="4" w:space="0" w:color="000000"/>
              <w:left w:val="single" w:sz="4" w:space="0" w:color="000000"/>
              <w:bottom w:val="single" w:sz="4" w:space="0" w:color="000000"/>
              <w:right w:val="single" w:sz="4" w:space="0" w:color="000000"/>
            </w:tcBorders>
          </w:tcPr>
          <w:p w14:paraId="59419F81" w14:textId="77777777" w:rsidR="00F65BCA" w:rsidRDefault="00216117">
            <w:pPr>
              <w:pStyle w:val="TableParagraph"/>
              <w:spacing w:before="1" w:line="69" w:lineRule="exact"/>
              <w:ind w:left="29"/>
              <w:jc w:val="center"/>
              <w:rPr>
                <w:rFonts w:ascii="Calibri"/>
                <w:sz w:val="7"/>
              </w:rPr>
            </w:pPr>
            <w:r>
              <w:rPr>
                <w:rFonts w:ascii="Calibri"/>
                <w:w w:val="105"/>
                <w:sz w:val="7"/>
              </w:rPr>
              <w:t>750</w:t>
            </w:r>
          </w:p>
        </w:tc>
        <w:tc>
          <w:tcPr>
            <w:tcW w:w="249" w:type="dxa"/>
            <w:tcBorders>
              <w:top w:val="single" w:sz="4" w:space="0" w:color="000000"/>
              <w:left w:val="single" w:sz="4" w:space="0" w:color="000000"/>
              <w:bottom w:val="single" w:sz="4" w:space="0" w:color="000000"/>
              <w:right w:val="single" w:sz="4" w:space="0" w:color="000000"/>
            </w:tcBorders>
          </w:tcPr>
          <w:p w14:paraId="4590EDCE" w14:textId="77777777" w:rsidR="00F65BCA" w:rsidRDefault="00F65BCA">
            <w:pPr>
              <w:pStyle w:val="TableParagraph"/>
              <w:rPr>
                <w:rFonts w:ascii="Times New Roman"/>
                <w:sz w:val="4"/>
              </w:rPr>
            </w:pPr>
          </w:p>
        </w:tc>
        <w:tc>
          <w:tcPr>
            <w:tcW w:w="311" w:type="dxa"/>
            <w:tcBorders>
              <w:top w:val="single" w:sz="4" w:space="0" w:color="000000"/>
              <w:left w:val="single" w:sz="4" w:space="0" w:color="000000"/>
              <w:bottom w:val="single" w:sz="4" w:space="0" w:color="000000"/>
              <w:right w:val="single" w:sz="4" w:space="0" w:color="000000"/>
            </w:tcBorders>
          </w:tcPr>
          <w:p w14:paraId="63FFDEC9" w14:textId="77777777" w:rsidR="00F65BCA" w:rsidRDefault="00F65BCA">
            <w:pPr>
              <w:pStyle w:val="TableParagraph"/>
              <w:rPr>
                <w:rFonts w:ascii="Times New Roman"/>
                <w:sz w:val="4"/>
              </w:rPr>
            </w:pPr>
          </w:p>
        </w:tc>
        <w:tc>
          <w:tcPr>
            <w:tcW w:w="256" w:type="dxa"/>
            <w:tcBorders>
              <w:top w:val="single" w:sz="4" w:space="0" w:color="000000"/>
              <w:left w:val="single" w:sz="4" w:space="0" w:color="000000"/>
              <w:bottom w:val="single" w:sz="4" w:space="0" w:color="000000"/>
              <w:right w:val="single" w:sz="4" w:space="0" w:color="000000"/>
            </w:tcBorders>
          </w:tcPr>
          <w:p w14:paraId="6A12B4E3"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6AB24992"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54BD4F76" w14:textId="77777777" w:rsidR="00F65BCA" w:rsidRDefault="00F65BCA">
            <w:pPr>
              <w:pStyle w:val="TableParagraph"/>
              <w:rPr>
                <w:rFonts w:ascii="Times New Roman"/>
                <w:sz w:val="4"/>
              </w:rPr>
            </w:pPr>
          </w:p>
        </w:tc>
        <w:tc>
          <w:tcPr>
            <w:tcW w:w="273" w:type="dxa"/>
            <w:tcBorders>
              <w:top w:val="single" w:sz="4" w:space="0" w:color="000000"/>
              <w:left w:val="single" w:sz="4" w:space="0" w:color="000000"/>
              <w:bottom w:val="single" w:sz="4" w:space="0" w:color="000000"/>
              <w:right w:val="single" w:sz="4" w:space="0" w:color="000000"/>
            </w:tcBorders>
          </w:tcPr>
          <w:p w14:paraId="7D9E5182"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3DA9DACB"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383B6D3F"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5ADAD902"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18C41ABD"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3642858D"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310A313D" w14:textId="77777777" w:rsidR="00F65BCA" w:rsidRDefault="00216117">
            <w:pPr>
              <w:pStyle w:val="TableParagraph"/>
              <w:spacing w:before="4" w:line="67" w:lineRule="exact"/>
              <w:ind w:left="76" w:right="28"/>
              <w:jc w:val="center"/>
              <w:rPr>
                <w:rFonts w:ascii="Calibri" w:hAnsi="Calibri"/>
                <w:sz w:val="7"/>
              </w:rPr>
            </w:pPr>
            <w:r>
              <w:rPr>
                <w:rFonts w:ascii="Calibri" w:hAnsi="Calibri"/>
                <w:w w:val="105"/>
                <w:sz w:val="7"/>
              </w:rPr>
              <w:t>84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6F0FC1C8" w14:textId="77777777" w:rsidR="00F65BCA" w:rsidRDefault="00F65BCA">
            <w:pPr>
              <w:pStyle w:val="TableParagraph"/>
              <w:rPr>
                <w:rFonts w:ascii="Times New Roman"/>
                <w:sz w:val="4"/>
              </w:rPr>
            </w:pP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4A8A0094" w14:textId="77777777" w:rsidR="00F65BCA" w:rsidRDefault="00F65BCA">
            <w:pPr>
              <w:pStyle w:val="TableParagraph"/>
              <w:rPr>
                <w:rFonts w:ascii="Times New Roman"/>
                <w:sz w:val="4"/>
              </w:rPr>
            </w:pP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2B450F66" w14:textId="77777777" w:rsidR="00F65BCA" w:rsidRDefault="00F65BCA">
            <w:pPr>
              <w:pStyle w:val="TableParagraph"/>
              <w:rPr>
                <w:rFonts w:ascii="Times New Roman"/>
                <w:sz w:val="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136C8989" w14:textId="77777777" w:rsidR="00F65BCA" w:rsidRDefault="00F65BCA">
            <w:pPr>
              <w:pStyle w:val="TableParagraph"/>
              <w:rPr>
                <w:rFonts w:ascii="Times New Roman"/>
                <w:sz w:val="4"/>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45E4F934" w14:textId="77777777" w:rsidR="00F65BCA" w:rsidRDefault="00F65BCA">
            <w:pPr>
              <w:pStyle w:val="TableParagraph"/>
              <w:rPr>
                <w:rFonts w:ascii="Times New Roman"/>
                <w:sz w:val="4"/>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7C390EB6"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33F65F9E" w14:textId="77777777" w:rsidR="00F65BCA" w:rsidRDefault="00216117">
            <w:pPr>
              <w:pStyle w:val="TableParagraph"/>
              <w:spacing w:before="4" w:line="67" w:lineRule="exact"/>
              <w:ind w:left="177"/>
              <w:rPr>
                <w:rFonts w:ascii="Calibri" w:hAnsi="Calibri"/>
                <w:sz w:val="7"/>
              </w:rPr>
            </w:pPr>
            <w:r>
              <w:rPr>
                <w:rFonts w:ascii="Calibri" w:hAnsi="Calibri"/>
                <w:w w:val="105"/>
                <w:sz w:val="7"/>
              </w:rPr>
              <w:t>84 Kč</w:t>
            </w:r>
          </w:p>
        </w:tc>
      </w:tr>
      <w:tr w:rsidR="00F65BCA" w14:paraId="1DFC1F3C" w14:textId="77777777">
        <w:trPr>
          <w:trHeight w:val="191"/>
        </w:trPr>
        <w:tc>
          <w:tcPr>
            <w:tcW w:w="188" w:type="dxa"/>
            <w:tcBorders>
              <w:top w:val="single" w:sz="4" w:space="0" w:color="000000"/>
              <w:bottom w:val="single" w:sz="4" w:space="0" w:color="000000"/>
              <w:right w:val="single" w:sz="4" w:space="0" w:color="000000"/>
            </w:tcBorders>
          </w:tcPr>
          <w:p w14:paraId="73B6A650" w14:textId="77777777" w:rsidR="00F65BCA" w:rsidRDefault="00F65BCA">
            <w:pPr>
              <w:pStyle w:val="TableParagraph"/>
              <w:spacing w:before="7"/>
              <w:rPr>
                <w:rFonts w:ascii="Calibri"/>
                <w:b/>
                <w:sz w:val="8"/>
              </w:rPr>
            </w:pPr>
          </w:p>
          <w:p w14:paraId="41174C04" w14:textId="77777777" w:rsidR="00F65BCA" w:rsidRDefault="00216117">
            <w:pPr>
              <w:pStyle w:val="TableParagraph"/>
              <w:spacing w:line="67" w:lineRule="exact"/>
              <w:ind w:left="59"/>
              <w:rPr>
                <w:rFonts w:ascii="Calibri"/>
                <w:sz w:val="7"/>
              </w:rPr>
            </w:pPr>
            <w:r>
              <w:rPr>
                <w:rFonts w:ascii="Calibri"/>
                <w:w w:val="105"/>
                <w:sz w:val="7"/>
              </w:rPr>
              <w:t>28</w:t>
            </w:r>
          </w:p>
        </w:tc>
        <w:tc>
          <w:tcPr>
            <w:tcW w:w="398" w:type="dxa"/>
            <w:tcBorders>
              <w:top w:val="single" w:sz="4" w:space="0" w:color="000000"/>
              <w:left w:val="single" w:sz="4" w:space="0" w:color="000000"/>
              <w:bottom w:val="single" w:sz="4" w:space="0" w:color="000000"/>
              <w:right w:val="single" w:sz="4" w:space="0" w:color="000000"/>
            </w:tcBorders>
          </w:tcPr>
          <w:p w14:paraId="35CC0028" w14:textId="77777777" w:rsidR="00F65BCA" w:rsidRDefault="00F65BCA">
            <w:pPr>
              <w:pStyle w:val="TableParagraph"/>
              <w:spacing w:before="4"/>
              <w:rPr>
                <w:rFonts w:ascii="Calibri"/>
                <w:b/>
                <w:sz w:val="8"/>
              </w:rPr>
            </w:pPr>
          </w:p>
          <w:p w14:paraId="6E2EDC0A" w14:textId="77777777" w:rsidR="00F65BCA" w:rsidRDefault="00216117">
            <w:pPr>
              <w:pStyle w:val="TableParagraph"/>
              <w:spacing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16BC5FD9" w14:textId="77777777" w:rsidR="00F65BCA" w:rsidRDefault="00F65BCA">
            <w:pPr>
              <w:pStyle w:val="TableParagraph"/>
              <w:spacing w:before="4"/>
              <w:rPr>
                <w:rFonts w:ascii="Calibri"/>
                <w:b/>
                <w:sz w:val="8"/>
              </w:rPr>
            </w:pPr>
          </w:p>
          <w:p w14:paraId="53B5D72E" w14:textId="77777777" w:rsidR="00F65BCA" w:rsidRDefault="00216117">
            <w:pPr>
              <w:pStyle w:val="TableParagraph"/>
              <w:spacing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020CE744" w14:textId="77777777" w:rsidR="00F65BCA" w:rsidRDefault="00F65BCA">
            <w:pPr>
              <w:pStyle w:val="TableParagraph"/>
              <w:spacing w:before="4"/>
              <w:rPr>
                <w:rFonts w:ascii="Calibri"/>
                <w:b/>
                <w:sz w:val="8"/>
              </w:rPr>
            </w:pPr>
          </w:p>
          <w:p w14:paraId="4410D03A" w14:textId="77777777" w:rsidR="00F65BCA" w:rsidRDefault="00216117">
            <w:pPr>
              <w:pStyle w:val="TableParagraph"/>
              <w:spacing w:line="69" w:lineRule="exact"/>
              <w:ind w:right="34"/>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54112793" w14:textId="77777777" w:rsidR="00F65BCA" w:rsidRDefault="00F65BCA">
            <w:pPr>
              <w:pStyle w:val="TableParagraph"/>
              <w:spacing w:before="4"/>
              <w:rPr>
                <w:rFonts w:ascii="Calibri"/>
                <w:b/>
                <w:sz w:val="8"/>
              </w:rPr>
            </w:pPr>
          </w:p>
          <w:p w14:paraId="31280F77" w14:textId="77777777" w:rsidR="00F65BCA" w:rsidRDefault="00216117">
            <w:pPr>
              <w:pStyle w:val="TableParagraph"/>
              <w:spacing w:line="69" w:lineRule="exact"/>
              <w:ind w:left="70"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8E612A2" w14:textId="77777777" w:rsidR="00F65BCA" w:rsidRDefault="00F65BCA">
            <w:pPr>
              <w:pStyle w:val="TableParagraph"/>
              <w:spacing w:before="4"/>
              <w:rPr>
                <w:rFonts w:ascii="Calibri"/>
                <w:b/>
                <w:sz w:val="8"/>
              </w:rPr>
            </w:pPr>
          </w:p>
          <w:p w14:paraId="5D65B8DA" w14:textId="77777777" w:rsidR="00F65BCA" w:rsidRDefault="00216117">
            <w:pPr>
              <w:pStyle w:val="TableParagraph"/>
              <w:spacing w:line="69" w:lineRule="exact"/>
              <w:ind w:left="69"/>
              <w:rPr>
                <w:rFonts w:ascii="Calibri"/>
                <w:sz w:val="7"/>
              </w:rPr>
            </w:pPr>
            <w:r>
              <w:rPr>
                <w:rFonts w:ascii="Calibri"/>
                <w:w w:val="105"/>
                <w:sz w:val="7"/>
              </w:rPr>
              <w:t>6P03541</w:t>
            </w:r>
          </w:p>
        </w:tc>
        <w:tc>
          <w:tcPr>
            <w:tcW w:w="398" w:type="dxa"/>
            <w:tcBorders>
              <w:top w:val="single" w:sz="4" w:space="0" w:color="000000"/>
              <w:left w:val="single" w:sz="4" w:space="0" w:color="000000"/>
              <w:bottom w:val="single" w:sz="4" w:space="0" w:color="000000"/>
              <w:right w:val="single" w:sz="4" w:space="0" w:color="000000"/>
            </w:tcBorders>
          </w:tcPr>
          <w:p w14:paraId="22716188" w14:textId="77777777" w:rsidR="00F65BCA" w:rsidRDefault="00F65BCA">
            <w:pPr>
              <w:pStyle w:val="TableParagraph"/>
              <w:spacing w:before="4"/>
              <w:rPr>
                <w:rFonts w:ascii="Calibri"/>
                <w:b/>
                <w:sz w:val="8"/>
              </w:rPr>
            </w:pPr>
          </w:p>
          <w:p w14:paraId="72B76C2E" w14:textId="77777777" w:rsidR="00F65BCA" w:rsidRDefault="00216117">
            <w:pPr>
              <w:pStyle w:val="TableParagraph"/>
              <w:spacing w:line="69" w:lineRule="exact"/>
              <w:ind w:left="14"/>
              <w:jc w:val="center"/>
              <w:rPr>
                <w:rFonts w:ascii="Calibri"/>
                <w:sz w:val="7"/>
              </w:rPr>
            </w:pPr>
            <w:r>
              <w:rPr>
                <w:rFonts w:ascii="Calibri"/>
                <w:w w:val="105"/>
                <w:sz w:val="7"/>
              </w:rPr>
              <w:t>UG270387</w:t>
            </w:r>
          </w:p>
        </w:tc>
        <w:tc>
          <w:tcPr>
            <w:tcW w:w="792" w:type="dxa"/>
            <w:tcBorders>
              <w:top w:val="single" w:sz="4" w:space="0" w:color="000000"/>
              <w:left w:val="single" w:sz="4" w:space="0" w:color="000000"/>
              <w:bottom w:val="single" w:sz="4" w:space="0" w:color="000000"/>
              <w:right w:val="single" w:sz="4" w:space="0" w:color="000000"/>
            </w:tcBorders>
          </w:tcPr>
          <w:p w14:paraId="01BE0F62" w14:textId="77777777" w:rsidR="00F65BCA" w:rsidRDefault="00F65BCA">
            <w:pPr>
              <w:pStyle w:val="TableParagraph"/>
              <w:spacing w:before="4"/>
              <w:rPr>
                <w:rFonts w:ascii="Calibri"/>
                <w:b/>
                <w:sz w:val="8"/>
              </w:rPr>
            </w:pPr>
          </w:p>
          <w:p w14:paraId="7360E104" w14:textId="77777777" w:rsidR="00F65BCA" w:rsidRDefault="00216117">
            <w:pPr>
              <w:pStyle w:val="TableParagraph"/>
              <w:spacing w:line="69" w:lineRule="exact"/>
              <w:ind w:left="63"/>
              <w:rPr>
                <w:rFonts w:ascii="Calibri"/>
                <w:sz w:val="7"/>
              </w:rPr>
            </w:pPr>
            <w:r>
              <w:rPr>
                <w:rFonts w:ascii="Calibri"/>
                <w:w w:val="105"/>
                <w:sz w:val="7"/>
              </w:rPr>
              <w:t>TM1V01440FP000001</w:t>
            </w:r>
          </w:p>
        </w:tc>
        <w:tc>
          <w:tcPr>
            <w:tcW w:w="398" w:type="dxa"/>
            <w:tcBorders>
              <w:top w:val="single" w:sz="4" w:space="0" w:color="000000"/>
              <w:left w:val="single" w:sz="4" w:space="0" w:color="000000"/>
              <w:bottom w:val="single" w:sz="4" w:space="0" w:color="000000"/>
              <w:right w:val="single" w:sz="4" w:space="0" w:color="000000"/>
            </w:tcBorders>
          </w:tcPr>
          <w:p w14:paraId="66A53C0E" w14:textId="77777777" w:rsidR="00F65BCA" w:rsidRDefault="00F65BCA">
            <w:pPr>
              <w:pStyle w:val="TableParagraph"/>
              <w:spacing w:before="4"/>
              <w:rPr>
                <w:rFonts w:ascii="Calibri"/>
                <w:b/>
                <w:sz w:val="8"/>
              </w:rPr>
            </w:pPr>
          </w:p>
          <w:p w14:paraId="6BFDE1B0" w14:textId="77777777" w:rsidR="00F65BCA" w:rsidRDefault="00216117">
            <w:pPr>
              <w:pStyle w:val="TableParagraph"/>
              <w:spacing w:line="69" w:lineRule="exact"/>
              <w:ind w:left="21"/>
              <w:rPr>
                <w:rFonts w:ascii="Calibri"/>
                <w:sz w:val="7"/>
              </w:rPr>
            </w:pPr>
            <w:r>
              <w:rPr>
                <w:rFonts w:ascii="Calibri"/>
                <w:w w:val="105"/>
                <w:sz w:val="7"/>
              </w:rPr>
              <w:t>SM TRAILER</w:t>
            </w:r>
          </w:p>
        </w:tc>
        <w:tc>
          <w:tcPr>
            <w:tcW w:w="1065" w:type="dxa"/>
            <w:tcBorders>
              <w:top w:val="single" w:sz="4" w:space="0" w:color="000000"/>
              <w:left w:val="single" w:sz="4" w:space="0" w:color="000000"/>
              <w:bottom w:val="single" w:sz="4" w:space="0" w:color="000000"/>
              <w:right w:val="single" w:sz="4" w:space="0" w:color="000000"/>
            </w:tcBorders>
          </w:tcPr>
          <w:p w14:paraId="05C81FC4" w14:textId="77777777" w:rsidR="00F65BCA" w:rsidRDefault="00F65BCA">
            <w:pPr>
              <w:pStyle w:val="TableParagraph"/>
              <w:spacing w:before="4"/>
              <w:rPr>
                <w:rFonts w:ascii="Calibri"/>
                <w:b/>
                <w:sz w:val="8"/>
              </w:rPr>
            </w:pPr>
          </w:p>
          <w:p w14:paraId="69775B5F" w14:textId="77777777" w:rsidR="00F65BCA" w:rsidRDefault="00216117">
            <w:pPr>
              <w:pStyle w:val="TableParagraph"/>
              <w:spacing w:line="69" w:lineRule="exact"/>
              <w:ind w:left="72" w:right="55"/>
              <w:jc w:val="center"/>
              <w:rPr>
                <w:rFonts w:ascii="Calibri"/>
                <w:sz w:val="7"/>
              </w:rPr>
            </w:pPr>
            <w:r>
              <w:rPr>
                <w:rFonts w:ascii="Calibri"/>
                <w:w w:val="105"/>
                <w:sz w:val="7"/>
              </w:rPr>
              <w:t>SM TRAILER</w:t>
            </w:r>
          </w:p>
        </w:tc>
        <w:tc>
          <w:tcPr>
            <w:tcW w:w="815" w:type="dxa"/>
            <w:tcBorders>
              <w:top w:val="single" w:sz="4" w:space="0" w:color="000000"/>
              <w:left w:val="single" w:sz="4" w:space="0" w:color="000000"/>
              <w:bottom w:val="single" w:sz="4" w:space="0" w:color="000000"/>
              <w:right w:val="single" w:sz="4" w:space="0" w:color="000000"/>
            </w:tcBorders>
          </w:tcPr>
          <w:p w14:paraId="22F93C0E" w14:textId="77777777" w:rsidR="00F65BCA" w:rsidRDefault="00F65BCA">
            <w:pPr>
              <w:pStyle w:val="TableParagraph"/>
              <w:spacing w:before="4"/>
              <w:rPr>
                <w:rFonts w:ascii="Calibri"/>
                <w:b/>
                <w:sz w:val="8"/>
              </w:rPr>
            </w:pPr>
          </w:p>
          <w:p w14:paraId="4E81B82E" w14:textId="77777777" w:rsidR="00F65BCA" w:rsidRDefault="00216117">
            <w:pPr>
              <w:pStyle w:val="TableParagraph"/>
              <w:spacing w:line="69" w:lineRule="exact"/>
              <w:ind w:left="31" w:right="11"/>
              <w:jc w:val="center"/>
              <w:rPr>
                <w:rFonts w:ascii="Calibri" w:hAnsi="Calibri"/>
                <w:sz w:val="7"/>
              </w:rPr>
            </w:pPr>
            <w:r>
              <w:rPr>
                <w:rFonts w:ascii="Calibri" w:hAnsi="Calibri"/>
                <w:w w:val="105"/>
                <w:sz w:val="7"/>
              </w:rPr>
              <w:t>Přívěs</w:t>
            </w:r>
          </w:p>
        </w:tc>
        <w:tc>
          <w:tcPr>
            <w:tcW w:w="273" w:type="dxa"/>
            <w:tcBorders>
              <w:top w:val="single" w:sz="4" w:space="0" w:color="000000"/>
              <w:left w:val="single" w:sz="4" w:space="0" w:color="000000"/>
              <w:bottom w:val="single" w:sz="4" w:space="0" w:color="000000"/>
              <w:right w:val="single" w:sz="4" w:space="0" w:color="000000"/>
            </w:tcBorders>
          </w:tcPr>
          <w:p w14:paraId="6183A768" w14:textId="77777777" w:rsidR="00F65BCA" w:rsidRDefault="00F65BCA">
            <w:pPr>
              <w:pStyle w:val="TableParagraph"/>
              <w:spacing w:before="4"/>
              <w:rPr>
                <w:rFonts w:ascii="Calibri"/>
                <w:b/>
                <w:sz w:val="8"/>
              </w:rPr>
            </w:pPr>
          </w:p>
          <w:p w14:paraId="12BA33CD" w14:textId="77777777" w:rsidR="00F65BCA" w:rsidRDefault="00216117">
            <w:pPr>
              <w:pStyle w:val="TableParagraph"/>
              <w:spacing w:line="69" w:lineRule="exact"/>
              <w:ind w:right="43"/>
              <w:jc w:val="right"/>
              <w:rPr>
                <w:rFonts w:ascii="Calibri"/>
                <w:sz w:val="7"/>
              </w:rPr>
            </w:pPr>
            <w:r>
              <w:rPr>
                <w:rFonts w:ascii="Calibri"/>
                <w:w w:val="105"/>
                <w:sz w:val="7"/>
              </w:rPr>
              <w:t>2015</w:t>
            </w:r>
          </w:p>
        </w:tc>
        <w:tc>
          <w:tcPr>
            <w:tcW w:w="278" w:type="dxa"/>
            <w:tcBorders>
              <w:top w:val="single" w:sz="4" w:space="0" w:color="000000"/>
              <w:left w:val="single" w:sz="4" w:space="0" w:color="000000"/>
              <w:bottom w:val="single" w:sz="4" w:space="0" w:color="000000"/>
              <w:right w:val="single" w:sz="4" w:space="0" w:color="000000"/>
            </w:tcBorders>
          </w:tcPr>
          <w:p w14:paraId="0C61EBFC" w14:textId="77777777" w:rsidR="00F65BCA" w:rsidRDefault="00F65BCA">
            <w:pPr>
              <w:pStyle w:val="TableParagraph"/>
              <w:spacing w:before="4"/>
              <w:rPr>
                <w:rFonts w:ascii="Calibri"/>
                <w:b/>
                <w:sz w:val="8"/>
              </w:rPr>
            </w:pPr>
          </w:p>
          <w:p w14:paraId="23A6D1FB" w14:textId="77777777" w:rsidR="00F65BCA" w:rsidRDefault="00216117">
            <w:pPr>
              <w:pStyle w:val="TableParagraph"/>
              <w:spacing w:line="69" w:lineRule="exact"/>
              <w:ind w:left="24"/>
              <w:jc w:val="center"/>
              <w:rPr>
                <w:rFonts w:ascii="Calibri"/>
                <w:sz w:val="7"/>
              </w:rPr>
            </w:pPr>
            <w:r>
              <w:rPr>
                <w:rFonts w:ascii="Calibri"/>
                <w:w w:val="106"/>
                <w:sz w:val="7"/>
              </w:rPr>
              <w:t>0</w:t>
            </w:r>
          </w:p>
        </w:tc>
        <w:tc>
          <w:tcPr>
            <w:tcW w:w="268" w:type="dxa"/>
            <w:tcBorders>
              <w:top w:val="single" w:sz="4" w:space="0" w:color="000000"/>
              <w:left w:val="single" w:sz="4" w:space="0" w:color="000000"/>
              <w:bottom w:val="single" w:sz="4" w:space="0" w:color="000000"/>
              <w:right w:val="single" w:sz="4" w:space="0" w:color="000000"/>
            </w:tcBorders>
          </w:tcPr>
          <w:p w14:paraId="51D23CD6" w14:textId="77777777" w:rsidR="00F65BCA" w:rsidRDefault="00F65BCA">
            <w:pPr>
              <w:pStyle w:val="TableParagraph"/>
              <w:spacing w:before="4"/>
              <w:rPr>
                <w:rFonts w:ascii="Calibri"/>
                <w:b/>
                <w:sz w:val="8"/>
              </w:rPr>
            </w:pPr>
          </w:p>
          <w:p w14:paraId="0974AF7E" w14:textId="77777777" w:rsidR="00F65BCA" w:rsidRDefault="00216117">
            <w:pPr>
              <w:pStyle w:val="TableParagraph"/>
              <w:spacing w:line="69" w:lineRule="exact"/>
              <w:ind w:right="95"/>
              <w:jc w:val="right"/>
              <w:rPr>
                <w:rFonts w:ascii="Calibri"/>
                <w:sz w:val="7"/>
              </w:rPr>
            </w:pPr>
            <w:r>
              <w:rPr>
                <w:rFonts w:ascii="Calibri"/>
                <w:w w:val="106"/>
                <w:sz w:val="7"/>
              </w:rPr>
              <w:t>0</w:t>
            </w:r>
          </w:p>
        </w:tc>
        <w:tc>
          <w:tcPr>
            <w:tcW w:w="398" w:type="dxa"/>
            <w:tcBorders>
              <w:top w:val="single" w:sz="4" w:space="0" w:color="000000"/>
              <w:left w:val="single" w:sz="4" w:space="0" w:color="000000"/>
              <w:bottom w:val="single" w:sz="4" w:space="0" w:color="000000"/>
              <w:right w:val="single" w:sz="4" w:space="0" w:color="000000"/>
            </w:tcBorders>
          </w:tcPr>
          <w:p w14:paraId="5C7D2EC4" w14:textId="77777777" w:rsidR="00F65BCA" w:rsidRDefault="00F65BCA">
            <w:pPr>
              <w:pStyle w:val="TableParagraph"/>
              <w:spacing w:before="4"/>
              <w:rPr>
                <w:rFonts w:ascii="Calibri"/>
                <w:b/>
                <w:sz w:val="8"/>
              </w:rPr>
            </w:pPr>
          </w:p>
          <w:p w14:paraId="497805AC" w14:textId="77777777" w:rsidR="00F65BCA" w:rsidRDefault="00216117">
            <w:pPr>
              <w:pStyle w:val="TableParagraph"/>
              <w:spacing w:line="69" w:lineRule="exact"/>
              <w:ind w:left="25"/>
              <w:jc w:val="center"/>
              <w:rPr>
                <w:rFonts w:ascii="Calibri"/>
                <w:sz w:val="7"/>
              </w:rPr>
            </w:pPr>
            <w:r>
              <w:rPr>
                <w:rFonts w:ascii="Calibri"/>
                <w:w w:val="105"/>
                <w:sz w:val="7"/>
              </w:rPr>
              <w:t>650</w:t>
            </w:r>
          </w:p>
        </w:tc>
        <w:tc>
          <w:tcPr>
            <w:tcW w:w="249" w:type="dxa"/>
            <w:tcBorders>
              <w:top w:val="single" w:sz="4" w:space="0" w:color="000000"/>
              <w:left w:val="single" w:sz="4" w:space="0" w:color="000000"/>
              <w:bottom w:val="single" w:sz="4" w:space="0" w:color="000000"/>
              <w:right w:val="single" w:sz="4" w:space="0" w:color="000000"/>
            </w:tcBorders>
          </w:tcPr>
          <w:p w14:paraId="1C7E639D" w14:textId="77777777" w:rsidR="00F65BCA" w:rsidRDefault="00F65BCA">
            <w:pPr>
              <w:pStyle w:val="TableParagraph"/>
              <w:rPr>
                <w:rFonts w:ascii="Times New Roman"/>
                <w:sz w:val="6"/>
              </w:rPr>
            </w:pPr>
          </w:p>
        </w:tc>
        <w:tc>
          <w:tcPr>
            <w:tcW w:w="311" w:type="dxa"/>
            <w:tcBorders>
              <w:top w:val="single" w:sz="4" w:space="0" w:color="000000"/>
              <w:left w:val="single" w:sz="4" w:space="0" w:color="000000"/>
              <w:bottom w:val="single" w:sz="4" w:space="0" w:color="000000"/>
              <w:right w:val="single" w:sz="4" w:space="0" w:color="000000"/>
            </w:tcBorders>
          </w:tcPr>
          <w:p w14:paraId="37C0467E" w14:textId="77777777" w:rsidR="00F65BCA" w:rsidRDefault="00F65BCA">
            <w:pPr>
              <w:pStyle w:val="TableParagraph"/>
              <w:rPr>
                <w:rFonts w:ascii="Times New Roman"/>
                <w:sz w:val="6"/>
              </w:rPr>
            </w:pPr>
          </w:p>
        </w:tc>
        <w:tc>
          <w:tcPr>
            <w:tcW w:w="256" w:type="dxa"/>
            <w:tcBorders>
              <w:top w:val="single" w:sz="4" w:space="0" w:color="000000"/>
              <w:left w:val="single" w:sz="4" w:space="0" w:color="000000"/>
              <w:bottom w:val="single" w:sz="4" w:space="0" w:color="000000"/>
              <w:right w:val="single" w:sz="4" w:space="0" w:color="000000"/>
            </w:tcBorders>
          </w:tcPr>
          <w:p w14:paraId="665D1C0C" w14:textId="77777777" w:rsidR="00F65BCA" w:rsidRDefault="00F65BCA">
            <w:pPr>
              <w:pStyle w:val="TableParagraph"/>
              <w:spacing w:before="4"/>
              <w:rPr>
                <w:rFonts w:ascii="Calibri"/>
                <w:b/>
                <w:sz w:val="8"/>
              </w:rPr>
            </w:pPr>
          </w:p>
          <w:p w14:paraId="1D09F51E" w14:textId="77777777" w:rsidR="00F65BCA" w:rsidRDefault="00216117">
            <w:pPr>
              <w:pStyle w:val="TableParagraph"/>
              <w:spacing w:line="69" w:lineRule="exact"/>
              <w:ind w:left="45" w:right="15"/>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220D43EF" w14:textId="77777777" w:rsidR="00F65BCA" w:rsidRDefault="00F65BCA">
            <w:pPr>
              <w:pStyle w:val="TableParagraph"/>
              <w:rPr>
                <w:rFonts w:ascii="Times New Roman"/>
                <w:sz w:val="6"/>
              </w:rPr>
            </w:pPr>
          </w:p>
        </w:tc>
        <w:tc>
          <w:tcPr>
            <w:tcW w:w="278" w:type="dxa"/>
            <w:tcBorders>
              <w:top w:val="single" w:sz="4" w:space="0" w:color="000000"/>
              <w:left w:val="single" w:sz="4" w:space="0" w:color="000000"/>
              <w:bottom w:val="single" w:sz="4" w:space="0" w:color="000000"/>
              <w:right w:val="single" w:sz="4" w:space="0" w:color="000000"/>
            </w:tcBorders>
          </w:tcPr>
          <w:p w14:paraId="71F3FEF7" w14:textId="77777777" w:rsidR="00F65BCA" w:rsidRDefault="00F65BCA">
            <w:pPr>
              <w:pStyle w:val="TableParagraph"/>
              <w:rPr>
                <w:rFonts w:ascii="Times New Roman"/>
                <w:sz w:val="6"/>
              </w:rPr>
            </w:pPr>
          </w:p>
        </w:tc>
        <w:tc>
          <w:tcPr>
            <w:tcW w:w="273" w:type="dxa"/>
            <w:tcBorders>
              <w:top w:val="single" w:sz="4" w:space="0" w:color="000000"/>
              <w:left w:val="single" w:sz="4" w:space="0" w:color="000000"/>
              <w:bottom w:val="single" w:sz="4" w:space="0" w:color="000000"/>
              <w:right w:val="single" w:sz="4" w:space="0" w:color="000000"/>
            </w:tcBorders>
          </w:tcPr>
          <w:p w14:paraId="38892D16"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01937971"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11A68C5E" w14:textId="77777777" w:rsidR="00F65BCA" w:rsidRDefault="00F65BCA">
            <w:pPr>
              <w:pStyle w:val="TableParagraph"/>
              <w:rPr>
                <w:rFonts w:ascii="Times New Roman"/>
                <w:sz w:val="6"/>
              </w:rPr>
            </w:pPr>
          </w:p>
        </w:tc>
        <w:tc>
          <w:tcPr>
            <w:tcW w:w="278" w:type="dxa"/>
            <w:tcBorders>
              <w:top w:val="single" w:sz="4" w:space="0" w:color="000000"/>
              <w:left w:val="single" w:sz="4" w:space="0" w:color="000000"/>
              <w:bottom w:val="single" w:sz="4" w:space="0" w:color="000000"/>
              <w:right w:val="single" w:sz="4" w:space="0" w:color="000000"/>
            </w:tcBorders>
          </w:tcPr>
          <w:p w14:paraId="3D639AFC"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313D9AAA"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23633723" w14:textId="77777777" w:rsidR="00F65BCA" w:rsidRDefault="00F65BCA">
            <w:pPr>
              <w:pStyle w:val="TableParagraph"/>
              <w:rPr>
                <w:rFonts w:ascii="Times New Roman"/>
                <w:sz w:val="6"/>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30470937" w14:textId="77777777" w:rsidR="00F65BCA" w:rsidRDefault="00F65BCA">
            <w:pPr>
              <w:pStyle w:val="TableParagraph"/>
              <w:spacing w:before="7"/>
              <w:rPr>
                <w:rFonts w:ascii="Calibri"/>
                <w:b/>
                <w:sz w:val="8"/>
              </w:rPr>
            </w:pPr>
          </w:p>
          <w:p w14:paraId="3039521B" w14:textId="77777777" w:rsidR="00F65BCA" w:rsidRDefault="00216117">
            <w:pPr>
              <w:pStyle w:val="TableParagraph"/>
              <w:spacing w:line="67" w:lineRule="exact"/>
              <w:ind w:left="76" w:right="28"/>
              <w:jc w:val="center"/>
              <w:rPr>
                <w:rFonts w:ascii="Calibri" w:hAnsi="Calibri"/>
                <w:sz w:val="7"/>
              </w:rPr>
            </w:pPr>
            <w:r>
              <w:rPr>
                <w:rFonts w:ascii="Calibri" w:hAnsi="Calibri"/>
                <w:w w:val="105"/>
                <w:sz w:val="7"/>
              </w:rPr>
              <w:t>84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220FA875" w14:textId="77777777" w:rsidR="00F65BCA" w:rsidRDefault="00F65BCA">
            <w:pPr>
              <w:pStyle w:val="TableParagraph"/>
              <w:rPr>
                <w:rFonts w:ascii="Times New Roman"/>
                <w:sz w:val="6"/>
              </w:rPr>
            </w:pP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4DBE5164" w14:textId="77777777" w:rsidR="00F65BCA" w:rsidRDefault="00F65BCA">
            <w:pPr>
              <w:pStyle w:val="TableParagraph"/>
              <w:rPr>
                <w:rFonts w:ascii="Times New Roman"/>
                <w:sz w:val="6"/>
              </w:rPr>
            </w:pP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19454EB5" w14:textId="77777777" w:rsidR="00F65BCA" w:rsidRDefault="00F65BCA">
            <w:pPr>
              <w:pStyle w:val="TableParagraph"/>
              <w:rPr>
                <w:rFonts w:ascii="Times New Roman"/>
                <w:sz w:val="6"/>
              </w:rPr>
            </w:pP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12E94661" w14:textId="77777777" w:rsidR="00F65BCA" w:rsidRDefault="00F65BCA">
            <w:pPr>
              <w:pStyle w:val="TableParagraph"/>
              <w:rPr>
                <w:rFonts w:ascii="Times New Roman"/>
                <w:sz w:val="6"/>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1A3DBBCD" w14:textId="77777777" w:rsidR="00F65BCA" w:rsidRDefault="00F65BCA">
            <w:pPr>
              <w:pStyle w:val="TableParagraph"/>
              <w:rPr>
                <w:rFonts w:ascii="Times New Roman"/>
                <w:sz w:val="6"/>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4D5A62AA" w14:textId="77777777" w:rsidR="00F65BCA" w:rsidRDefault="00F65BCA">
            <w:pPr>
              <w:pStyle w:val="TableParagraph"/>
              <w:rPr>
                <w:rFonts w:ascii="Times New Roman"/>
                <w:sz w:val="6"/>
              </w:rPr>
            </w:pPr>
          </w:p>
        </w:tc>
        <w:tc>
          <w:tcPr>
            <w:tcW w:w="458" w:type="dxa"/>
            <w:tcBorders>
              <w:top w:val="single" w:sz="4" w:space="0" w:color="000000"/>
              <w:left w:val="single" w:sz="4" w:space="0" w:color="000000"/>
              <w:bottom w:val="single" w:sz="4" w:space="0" w:color="000000"/>
            </w:tcBorders>
            <w:shd w:val="clear" w:color="auto" w:fill="FFFF99"/>
          </w:tcPr>
          <w:p w14:paraId="1F8800A2" w14:textId="77777777" w:rsidR="00F65BCA" w:rsidRDefault="00F65BCA">
            <w:pPr>
              <w:pStyle w:val="TableParagraph"/>
              <w:spacing w:before="7"/>
              <w:rPr>
                <w:rFonts w:ascii="Calibri"/>
                <w:b/>
                <w:sz w:val="8"/>
              </w:rPr>
            </w:pPr>
          </w:p>
          <w:p w14:paraId="3F8CF768" w14:textId="77777777" w:rsidR="00F65BCA" w:rsidRDefault="00216117">
            <w:pPr>
              <w:pStyle w:val="TableParagraph"/>
              <w:spacing w:line="67" w:lineRule="exact"/>
              <w:ind w:left="177"/>
              <w:rPr>
                <w:rFonts w:ascii="Calibri" w:hAnsi="Calibri"/>
                <w:sz w:val="7"/>
              </w:rPr>
            </w:pPr>
            <w:r>
              <w:rPr>
                <w:rFonts w:ascii="Calibri" w:hAnsi="Calibri"/>
                <w:w w:val="105"/>
                <w:sz w:val="7"/>
              </w:rPr>
              <w:t>84 Kč</w:t>
            </w:r>
          </w:p>
        </w:tc>
      </w:tr>
      <w:tr w:rsidR="00F65BCA" w14:paraId="62C33C08" w14:textId="77777777">
        <w:trPr>
          <w:trHeight w:val="90"/>
        </w:trPr>
        <w:tc>
          <w:tcPr>
            <w:tcW w:w="188" w:type="dxa"/>
            <w:tcBorders>
              <w:top w:val="single" w:sz="4" w:space="0" w:color="000000"/>
              <w:bottom w:val="single" w:sz="4" w:space="0" w:color="000000"/>
              <w:right w:val="single" w:sz="4" w:space="0" w:color="000000"/>
            </w:tcBorders>
          </w:tcPr>
          <w:p w14:paraId="6C46FB17" w14:textId="77777777" w:rsidR="00F65BCA" w:rsidRDefault="00216117">
            <w:pPr>
              <w:pStyle w:val="TableParagraph"/>
              <w:spacing w:before="4" w:line="67" w:lineRule="exact"/>
              <w:ind w:left="59"/>
              <w:rPr>
                <w:rFonts w:ascii="Calibri"/>
                <w:sz w:val="7"/>
              </w:rPr>
            </w:pPr>
            <w:r>
              <w:rPr>
                <w:rFonts w:ascii="Calibri"/>
                <w:w w:val="105"/>
                <w:sz w:val="7"/>
              </w:rPr>
              <w:t>29</w:t>
            </w:r>
          </w:p>
        </w:tc>
        <w:tc>
          <w:tcPr>
            <w:tcW w:w="398" w:type="dxa"/>
            <w:tcBorders>
              <w:top w:val="single" w:sz="4" w:space="0" w:color="000000"/>
              <w:left w:val="single" w:sz="4" w:space="0" w:color="000000"/>
              <w:bottom w:val="single" w:sz="4" w:space="0" w:color="000000"/>
              <w:right w:val="single" w:sz="4" w:space="0" w:color="000000"/>
            </w:tcBorders>
          </w:tcPr>
          <w:p w14:paraId="7A1B8754"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0D23A9F7"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2C3C135E"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17BFBE30"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31F00464" w14:textId="77777777" w:rsidR="00F65BCA" w:rsidRDefault="00216117">
            <w:pPr>
              <w:pStyle w:val="TableParagraph"/>
              <w:spacing w:before="1" w:line="69" w:lineRule="exact"/>
              <w:ind w:left="70"/>
              <w:rPr>
                <w:rFonts w:ascii="Calibri"/>
                <w:sz w:val="7"/>
              </w:rPr>
            </w:pPr>
            <w:r>
              <w:rPr>
                <w:rFonts w:ascii="Calibri"/>
                <w:w w:val="105"/>
                <w:sz w:val="7"/>
              </w:rPr>
              <w:t>6P51637</w:t>
            </w:r>
          </w:p>
        </w:tc>
        <w:tc>
          <w:tcPr>
            <w:tcW w:w="398" w:type="dxa"/>
            <w:tcBorders>
              <w:top w:val="single" w:sz="4" w:space="0" w:color="000000"/>
              <w:left w:val="single" w:sz="4" w:space="0" w:color="000000"/>
              <w:bottom w:val="single" w:sz="4" w:space="0" w:color="000000"/>
              <w:right w:val="single" w:sz="4" w:space="0" w:color="000000"/>
            </w:tcBorders>
          </w:tcPr>
          <w:p w14:paraId="5FE538B5" w14:textId="77777777" w:rsidR="00F65BCA" w:rsidRDefault="00216117">
            <w:pPr>
              <w:pStyle w:val="TableParagraph"/>
              <w:spacing w:before="1" w:line="69" w:lineRule="exact"/>
              <w:ind w:left="17"/>
              <w:jc w:val="center"/>
              <w:rPr>
                <w:rFonts w:ascii="Calibri"/>
                <w:sz w:val="7"/>
              </w:rPr>
            </w:pPr>
            <w:r>
              <w:rPr>
                <w:rFonts w:ascii="Calibri"/>
                <w:w w:val="105"/>
                <w:sz w:val="7"/>
              </w:rPr>
              <w:t>UG499788</w:t>
            </w:r>
          </w:p>
        </w:tc>
        <w:tc>
          <w:tcPr>
            <w:tcW w:w="792" w:type="dxa"/>
            <w:tcBorders>
              <w:top w:val="single" w:sz="4" w:space="0" w:color="000000"/>
              <w:left w:val="single" w:sz="4" w:space="0" w:color="000000"/>
              <w:bottom w:val="single" w:sz="4" w:space="0" w:color="000000"/>
              <w:right w:val="single" w:sz="4" w:space="0" w:color="000000"/>
            </w:tcBorders>
          </w:tcPr>
          <w:p w14:paraId="77BD636C" w14:textId="77777777" w:rsidR="00F65BCA" w:rsidRDefault="00216117">
            <w:pPr>
              <w:pStyle w:val="TableParagraph"/>
              <w:spacing w:before="1" w:line="69" w:lineRule="exact"/>
              <w:ind w:left="45"/>
              <w:rPr>
                <w:rFonts w:ascii="Calibri"/>
                <w:sz w:val="7"/>
              </w:rPr>
            </w:pPr>
            <w:r>
              <w:rPr>
                <w:rFonts w:ascii="Calibri"/>
                <w:w w:val="105"/>
                <w:sz w:val="7"/>
              </w:rPr>
              <w:t>TMBAB6NH4G4010291</w:t>
            </w:r>
          </w:p>
        </w:tc>
        <w:tc>
          <w:tcPr>
            <w:tcW w:w="398" w:type="dxa"/>
            <w:tcBorders>
              <w:top w:val="single" w:sz="4" w:space="0" w:color="000000"/>
              <w:left w:val="single" w:sz="4" w:space="0" w:color="000000"/>
              <w:bottom w:val="single" w:sz="4" w:space="0" w:color="000000"/>
              <w:right w:val="single" w:sz="4" w:space="0" w:color="000000"/>
            </w:tcBorders>
          </w:tcPr>
          <w:p w14:paraId="379C271D" w14:textId="77777777" w:rsidR="00F65BCA" w:rsidRDefault="00216117">
            <w:pPr>
              <w:pStyle w:val="TableParagraph"/>
              <w:spacing w:before="1" w:line="69" w:lineRule="exact"/>
              <w:ind w:left="100"/>
              <w:rPr>
                <w:rFonts w:ascii="Calibri"/>
                <w:sz w:val="7"/>
              </w:rPr>
            </w:pPr>
            <w:r>
              <w:rPr>
                <w:rFonts w:ascii="Calibri"/>
                <w:w w:val="105"/>
                <w:sz w:val="7"/>
              </w:rPr>
              <w:t>SKODA</w:t>
            </w:r>
          </w:p>
        </w:tc>
        <w:tc>
          <w:tcPr>
            <w:tcW w:w="1065" w:type="dxa"/>
            <w:tcBorders>
              <w:top w:val="single" w:sz="4" w:space="0" w:color="000000"/>
              <w:left w:val="single" w:sz="4" w:space="0" w:color="000000"/>
              <w:bottom w:val="single" w:sz="4" w:space="0" w:color="000000"/>
              <w:right w:val="single" w:sz="4" w:space="0" w:color="000000"/>
            </w:tcBorders>
          </w:tcPr>
          <w:p w14:paraId="7C954731" w14:textId="77777777" w:rsidR="00F65BCA" w:rsidRDefault="00216117">
            <w:pPr>
              <w:pStyle w:val="TableParagraph"/>
              <w:spacing w:before="1" w:line="69" w:lineRule="exact"/>
              <w:ind w:left="75" w:right="52"/>
              <w:jc w:val="center"/>
              <w:rPr>
                <w:rFonts w:ascii="Calibri"/>
                <w:sz w:val="7"/>
              </w:rPr>
            </w:pPr>
            <w:r>
              <w:rPr>
                <w:rFonts w:ascii="Calibri"/>
                <w:w w:val="105"/>
                <w:sz w:val="7"/>
              </w:rPr>
              <w:t>RAPID</w:t>
            </w:r>
          </w:p>
        </w:tc>
        <w:tc>
          <w:tcPr>
            <w:tcW w:w="815" w:type="dxa"/>
            <w:tcBorders>
              <w:top w:val="single" w:sz="4" w:space="0" w:color="000000"/>
              <w:left w:val="single" w:sz="4" w:space="0" w:color="000000"/>
              <w:bottom w:val="single" w:sz="4" w:space="0" w:color="000000"/>
              <w:right w:val="single" w:sz="4" w:space="0" w:color="000000"/>
            </w:tcBorders>
          </w:tcPr>
          <w:p w14:paraId="05D923D5"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76404DC2" w14:textId="77777777" w:rsidR="00F65BCA" w:rsidRDefault="00216117">
            <w:pPr>
              <w:pStyle w:val="TableParagraph"/>
              <w:spacing w:before="1" w:line="69" w:lineRule="exact"/>
              <w:ind w:right="41"/>
              <w:jc w:val="right"/>
              <w:rPr>
                <w:rFonts w:ascii="Calibri"/>
                <w:sz w:val="7"/>
              </w:rPr>
            </w:pPr>
            <w:r>
              <w:rPr>
                <w:rFonts w:ascii="Calibri"/>
                <w:w w:val="105"/>
                <w:sz w:val="7"/>
              </w:rPr>
              <w:t>2015</w:t>
            </w:r>
          </w:p>
        </w:tc>
        <w:tc>
          <w:tcPr>
            <w:tcW w:w="278" w:type="dxa"/>
            <w:tcBorders>
              <w:top w:val="single" w:sz="4" w:space="0" w:color="000000"/>
              <w:left w:val="single" w:sz="4" w:space="0" w:color="000000"/>
              <w:bottom w:val="single" w:sz="4" w:space="0" w:color="000000"/>
              <w:right w:val="single" w:sz="4" w:space="0" w:color="000000"/>
            </w:tcBorders>
          </w:tcPr>
          <w:p w14:paraId="1BF41233" w14:textId="77777777" w:rsidR="00F65BCA" w:rsidRDefault="00216117">
            <w:pPr>
              <w:pStyle w:val="TableParagraph"/>
              <w:spacing w:before="1" w:line="69" w:lineRule="exact"/>
              <w:ind w:left="28" w:right="2"/>
              <w:jc w:val="center"/>
              <w:rPr>
                <w:rFonts w:ascii="Calibri"/>
                <w:sz w:val="7"/>
              </w:rPr>
            </w:pPr>
            <w:r>
              <w:rPr>
                <w:rFonts w:ascii="Calibri"/>
                <w:w w:val="105"/>
                <w:sz w:val="7"/>
              </w:rPr>
              <w:t>1197</w:t>
            </w:r>
          </w:p>
        </w:tc>
        <w:tc>
          <w:tcPr>
            <w:tcW w:w="268" w:type="dxa"/>
            <w:tcBorders>
              <w:top w:val="single" w:sz="4" w:space="0" w:color="000000"/>
              <w:left w:val="single" w:sz="4" w:space="0" w:color="000000"/>
              <w:bottom w:val="single" w:sz="4" w:space="0" w:color="000000"/>
              <w:right w:val="single" w:sz="4" w:space="0" w:color="000000"/>
            </w:tcBorders>
          </w:tcPr>
          <w:p w14:paraId="7D6AF8C7" w14:textId="77777777" w:rsidR="00F65BCA" w:rsidRDefault="00216117">
            <w:pPr>
              <w:pStyle w:val="TableParagraph"/>
              <w:spacing w:before="1" w:line="69" w:lineRule="exact"/>
              <w:ind w:right="74"/>
              <w:jc w:val="right"/>
              <w:rPr>
                <w:rFonts w:ascii="Calibri"/>
                <w:sz w:val="7"/>
              </w:rPr>
            </w:pPr>
            <w:r>
              <w:rPr>
                <w:rFonts w:ascii="Calibri"/>
                <w:w w:val="105"/>
                <w:sz w:val="7"/>
              </w:rPr>
              <w:t>81</w:t>
            </w:r>
          </w:p>
        </w:tc>
        <w:tc>
          <w:tcPr>
            <w:tcW w:w="398" w:type="dxa"/>
            <w:tcBorders>
              <w:top w:val="single" w:sz="4" w:space="0" w:color="000000"/>
              <w:left w:val="single" w:sz="4" w:space="0" w:color="000000"/>
              <w:bottom w:val="single" w:sz="4" w:space="0" w:color="000000"/>
              <w:right w:val="single" w:sz="4" w:space="0" w:color="000000"/>
            </w:tcBorders>
          </w:tcPr>
          <w:p w14:paraId="0BD6EAB9" w14:textId="77777777" w:rsidR="00F65BCA" w:rsidRDefault="00216117">
            <w:pPr>
              <w:pStyle w:val="TableParagraph"/>
              <w:spacing w:before="1" w:line="69" w:lineRule="exact"/>
              <w:ind w:left="28"/>
              <w:jc w:val="center"/>
              <w:rPr>
                <w:rFonts w:ascii="Calibri"/>
                <w:sz w:val="7"/>
              </w:rPr>
            </w:pPr>
            <w:r>
              <w:rPr>
                <w:rFonts w:ascii="Calibri"/>
                <w:w w:val="105"/>
                <w:sz w:val="7"/>
              </w:rPr>
              <w:t>1645</w:t>
            </w:r>
          </w:p>
        </w:tc>
        <w:tc>
          <w:tcPr>
            <w:tcW w:w="249" w:type="dxa"/>
            <w:tcBorders>
              <w:top w:val="single" w:sz="4" w:space="0" w:color="000000"/>
              <w:left w:val="single" w:sz="4" w:space="0" w:color="000000"/>
              <w:bottom w:val="single" w:sz="4" w:space="0" w:color="000000"/>
              <w:right w:val="single" w:sz="4" w:space="0" w:color="000000"/>
            </w:tcBorders>
          </w:tcPr>
          <w:p w14:paraId="4EF77B92" w14:textId="77777777" w:rsidR="00F65BCA" w:rsidRDefault="00216117">
            <w:pPr>
              <w:pStyle w:val="TableParagraph"/>
              <w:spacing w:before="1" w:line="69" w:lineRule="exact"/>
              <w:ind w:right="82"/>
              <w:jc w:val="right"/>
              <w:rPr>
                <w:rFonts w:ascii="Calibri"/>
                <w:sz w:val="7"/>
              </w:rPr>
            </w:pPr>
            <w:r>
              <w:rPr>
                <w:rFonts w:ascii="Calibri"/>
                <w:w w:val="106"/>
                <w:sz w:val="7"/>
              </w:rPr>
              <w:t>2</w:t>
            </w:r>
          </w:p>
        </w:tc>
        <w:tc>
          <w:tcPr>
            <w:tcW w:w="311" w:type="dxa"/>
            <w:tcBorders>
              <w:top w:val="single" w:sz="4" w:space="0" w:color="000000"/>
              <w:left w:val="single" w:sz="4" w:space="0" w:color="000000"/>
              <w:bottom w:val="single" w:sz="4" w:space="0" w:color="000000"/>
              <w:right w:val="single" w:sz="4" w:space="0" w:color="000000"/>
            </w:tcBorders>
          </w:tcPr>
          <w:p w14:paraId="074C6B01" w14:textId="77777777" w:rsidR="00F65BCA" w:rsidRDefault="00216117">
            <w:pPr>
              <w:pStyle w:val="TableParagraph"/>
              <w:spacing w:before="1" w:line="69" w:lineRule="exact"/>
              <w:ind w:left="34"/>
              <w:jc w:val="center"/>
              <w:rPr>
                <w:rFonts w:ascii="Calibri" w:hAnsi="Calibri"/>
                <w:sz w:val="7"/>
              </w:rPr>
            </w:pPr>
            <w:r>
              <w:rPr>
                <w:rFonts w:ascii="Calibri" w:hAnsi="Calibri"/>
                <w:w w:val="105"/>
                <w:sz w:val="7"/>
              </w:rPr>
              <w:t>Benzín</w:t>
            </w:r>
          </w:p>
        </w:tc>
        <w:tc>
          <w:tcPr>
            <w:tcW w:w="256" w:type="dxa"/>
            <w:tcBorders>
              <w:top w:val="single" w:sz="4" w:space="0" w:color="000000"/>
              <w:left w:val="single" w:sz="4" w:space="0" w:color="000000"/>
              <w:bottom w:val="single" w:sz="4" w:space="0" w:color="000000"/>
              <w:right w:val="single" w:sz="4" w:space="0" w:color="000000"/>
            </w:tcBorders>
          </w:tcPr>
          <w:p w14:paraId="19B1CC79"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54FDFFE5" w14:textId="77777777" w:rsidR="00F65BCA" w:rsidRDefault="00216117">
            <w:pPr>
              <w:pStyle w:val="TableParagraph"/>
              <w:spacing w:before="1" w:line="69" w:lineRule="exact"/>
              <w:jc w:val="right"/>
              <w:rPr>
                <w:rFonts w:ascii="Calibri" w:hAnsi="Calibri"/>
                <w:sz w:val="7"/>
              </w:rPr>
            </w:pPr>
            <w:r>
              <w:rPr>
                <w:rFonts w:ascii="Calibri" w:hAnsi="Calibri"/>
                <w:w w:val="105"/>
                <w:sz w:val="7"/>
              </w:rPr>
              <w:t>210 000 Kč</w:t>
            </w:r>
          </w:p>
        </w:tc>
        <w:tc>
          <w:tcPr>
            <w:tcW w:w="278" w:type="dxa"/>
            <w:tcBorders>
              <w:top w:val="single" w:sz="4" w:space="0" w:color="000000"/>
              <w:left w:val="single" w:sz="4" w:space="0" w:color="000000"/>
              <w:bottom w:val="single" w:sz="4" w:space="0" w:color="000000"/>
              <w:right w:val="single" w:sz="4" w:space="0" w:color="000000"/>
            </w:tcBorders>
          </w:tcPr>
          <w:p w14:paraId="2F4EC80A"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7C5CE4EC"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12C721E8"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14 000 Kč</w:t>
            </w:r>
          </w:p>
        </w:tc>
        <w:tc>
          <w:tcPr>
            <w:tcW w:w="398" w:type="dxa"/>
            <w:tcBorders>
              <w:top w:val="single" w:sz="4" w:space="0" w:color="000000"/>
              <w:left w:val="single" w:sz="4" w:space="0" w:color="000000"/>
              <w:bottom w:val="single" w:sz="4" w:space="0" w:color="000000"/>
              <w:right w:val="single" w:sz="4" w:space="0" w:color="000000"/>
            </w:tcBorders>
          </w:tcPr>
          <w:p w14:paraId="7C6C719B"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674F4D94"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686013C9"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48E3EADF"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6AB65995"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1 512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70978A88"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3 072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00AA88B5" w14:textId="77777777" w:rsidR="00F65BCA" w:rsidRDefault="00216117">
            <w:pPr>
              <w:pStyle w:val="TableParagraph"/>
              <w:spacing w:before="4" w:line="67" w:lineRule="exact"/>
              <w:ind w:right="98"/>
              <w:jc w:val="right"/>
              <w:rPr>
                <w:rFonts w:ascii="Calibri" w:hAnsi="Calibri"/>
                <w:sz w:val="7"/>
              </w:rPr>
            </w:pPr>
            <w:r>
              <w:rPr>
                <w:rFonts w:ascii="Calibri" w:hAnsi="Calibri"/>
                <w:w w:val="105"/>
                <w:sz w:val="7"/>
              </w:rPr>
              <w:t>888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294B40A0"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204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46FB0ECC"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87370D4" w14:textId="77777777" w:rsidR="00F65BCA" w:rsidRDefault="00216117">
            <w:pPr>
              <w:pStyle w:val="TableParagraph"/>
              <w:spacing w:before="4" w:line="67" w:lineRule="exact"/>
              <w:ind w:left="77" w:right="16"/>
              <w:jc w:val="center"/>
              <w:rPr>
                <w:rFonts w:ascii="Calibri" w:hAnsi="Calibri"/>
                <w:sz w:val="7"/>
              </w:rPr>
            </w:pPr>
            <w:r>
              <w:rPr>
                <w:rFonts w:ascii="Calibri" w:hAnsi="Calibri"/>
                <w:w w:val="105"/>
                <w:sz w:val="7"/>
              </w:rPr>
              <w:t>1 320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FBC4689"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24EAE796" w14:textId="77777777" w:rsidR="00F65BCA" w:rsidRDefault="00216117">
            <w:pPr>
              <w:pStyle w:val="TableParagraph"/>
              <w:spacing w:before="4" w:line="67" w:lineRule="exact"/>
              <w:ind w:left="130"/>
              <w:rPr>
                <w:rFonts w:ascii="Calibri" w:hAnsi="Calibri"/>
                <w:sz w:val="7"/>
              </w:rPr>
            </w:pPr>
            <w:r>
              <w:rPr>
                <w:rFonts w:ascii="Calibri" w:hAnsi="Calibri"/>
                <w:w w:val="105"/>
                <w:sz w:val="7"/>
              </w:rPr>
              <w:t>7 392 Kč</w:t>
            </w:r>
          </w:p>
        </w:tc>
      </w:tr>
      <w:tr w:rsidR="00F65BCA" w14:paraId="44C75D76" w14:textId="77777777">
        <w:trPr>
          <w:trHeight w:val="90"/>
        </w:trPr>
        <w:tc>
          <w:tcPr>
            <w:tcW w:w="188" w:type="dxa"/>
            <w:tcBorders>
              <w:top w:val="single" w:sz="4" w:space="0" w:color="000000"/>
              <w:bottom w:val="single" w:sz="4" w:space="0" w:color="000000"/>
              <w:right w:val="single" w:sz="4" w:space="0" w:color="000000"/>
            </w:tcBorders>
          </w:tcPr>
          <w:p w14:paraId="76E2F73D" w14:textId="77777777" w:rsidR="00F65BCA" w:rsidRDefault="00216117">
            <w:pPr>
              <w:pStyle w:val="TableParagraph"/>
              <w:spacing w:before="4" w:line="67" w:lineRule="exact"/>
              <w:ind w:left="59"/>
              <w:rPr>
                <w:rFonts w:ascii="Calibri"/>
                <w:sz w:val="7"/>
              </w:rPr>
            </w:pPr>
            <w:r>
              <w:rPr>
                <w:rFonts w:ascii="Calibri"/>
                <w:w w:val="105"/>
                <w:sz w:val="7"/>
              </w:rPr>
              <w:t>30</w:t>
            </w:r>
          </w:p>
        </w:tc>
        <w:tc>
          <w:tcPr>
            <w:tcW w:w="398" w:type="dxa"/>
            <w:tcBorders>
              <w:top w:val="single" w:sz="4" w:space="0" w:color="000000"/>
              <w:left w:val="single" w:sz="4" w:space="0" w:color="000000"/>
              <w:bottom w:val="single" w:sz="4" w:space="0" w:color="000000"/>
              <w:right w:val="single" w:sz="4" w:space="0" w:color="000000"/>
            </w:tcBorders>
          </w:tcPr>
          <w:p w14:paraId="7C33D46B"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6B691769"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39B411CE"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4C1BCCA6"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186DAB6" w14:textId="77777777" w:rsidR="00F65BCA" w:rsidRDefault="00216117">
            <w:pPr>
              <w:pStyle w:val="TableParagraph"/>
              <w:spacing w:before="1" w:line="69" w:lineRule="exact"/>
              <w:ind w:left="70"/>
              <w:rPr>
                <w:rFonts w:ascii="Calibri"/>
                <w:sz w:val="7"/>
              </w:rPr>
            </w:pPr>
            <w:r>
              <w:rPr>
                <w:rFonts w:ascii="Calibri"/>
                <w:w w:val="105"/>
                <w:sz w:val="7"/>
              </w:rPr>
              <w:t>8P03110</w:t>
            </w:r>
          </w:p>
        </w:tc>
        <w:tc>
          <w:tcPr>
            <w:tcW w:w="398" w:type="dxa"/>
            <w:tcBorders>
              <w:top w:val="single" w:sz="4" w:space="0" w:color="000000"/>
              <w:left w:val="single" w:sz="4" w:space="0" w:color="000000"/>
              <w:bottom w:val="single" w:sz="4" w:space="0" w:color="000000"/>
              <w:right w:val="single" w:sz="4" w:space="0" w:color="000000"/>
            </w:tcBorders>
          </w:tcPr>
          <w:p w14:paraId="0D81733A" w14:textId="77777777" w:rsidR="00F65BCA" w:rsidRDefault="00216117">
            <w:pPr>
              <w:pStyle w:val="TableParagraph"/>
              <w:spacing w:before="1" w:line="69" w:lineRule="exact"/>
              <w:ind w:left="18"/>
              <w:jc w:val="center"/>
              <w:rPr>
                <w:rFonts w:ascii="Calibri"/>
                <w:sz w:val="7"/>
              </w:rPr>
            </w:pPr>
            <w:r>
              <w:rPr>
                <w:rFonts w:ascii="Calibri"/>
                <w:w w:val="105"/>
                <w:sz w:val="7"/>
              </w:rPr>
              <w:t>UJ616268</w:t>
            </w:r>
          </w:p>
        </w:tc>
        <w:tc>
          <w:tcPr>
            <w:tcW w:w="792" w:type="dxa"/>
            <w:tcBorders>
              <w:top w:val="single" w:sz="4" w:space="0" w:color="000000"/>
              <w:left w:val="single" w:sz="4" w:space="0" w:color="000000"/>
              <w:bottom w:val="single" w:sz="4" w:space="0" w:color="000000"/>
              <w:right w:val="single" w:sz="4" w:space="0" w:color="000000"/>
            </w:tcBorders>
          </w:tcPr>
          <w:p w14:paraId="3A2E3C41" w14:textId="77777777" w:rsidR="00F65BCA" w:rsidRDefault="00216117">
            <w:pPr>
              <w:pStyle w:val="TableParagraph"/>
              <w:spacing w:before="1" w:line="69" w:lineRule="exact"/>
              <w:ind w:left="66"/>
              <w:rPr>
                <w:rFonts w:ascii="Calibri"/>
                <w:sz w:val="7"/>
              </w:rPr>
            </w:pPr>
            <w:r>
              <w:rPr>
                <w:rFonts w:ascii="Calibri"/>
                <w:w w:val="105"/>
                <w:sz w:val="7"/>
              </w:rPr>
              <w:t>WF0XXXTTGXJB14873</w:t>
            </w:r>
          </w:p>
        </w:tc>
        <w:tc>
          <w:tcPr>
            <w:tcW w:w="398" w:type="dxa"/>
            <w:tcBorders>
              <w:top w:val="single" w:sz="4" w:space="0" w:color="000000"/>
              <w:left w:val="single" w:sz="4" w:space="0" w:color="000000"/>
              <w:bottom w:val="single" w:sz="4" w:space="0" w:color="000000"/>
              <w:right w:val="single" w:sz="4" w:space="0" w:color="000000"/>
            </w:tcBorders>
          </w:tcPr>
          <w:p w14:paraId="1ACA6EB2" w14:textId="77777777" w:rsidR="00F65BCA" w:rsidRDefault="00216117">
            <w:pPr>
              <w:pStyle w:val="TableParagraph"/>
              <w:spacing w:before="1" w:line="69" w:lineRule="exact"/>
              <w:ind w:left="119"/>
              <w:rPr>
                <w:rFonts w:ascii="Calibri"/>
                <w:sz w:val="7"/>
              </w:rPr>
            </w:pPr>
            <w:r>
              <w:rPr>
                <w:rFonts w:ascii="Calibri"/>
                <w:w w:val="105"/>
                <w:sz w:val="7"/>
              </w:rPr>
              <w:t>FORD</w:t>
            </w:r>
          </w:p>
        </w:tc>
        <w:tc>
          <w:tcPr>
            <w:tcW w:w="1065" w:type="dxa"/>
            <w:tcBorders>
              <w:top w:val="single" w:sz="4" w:space="0" w:color="000000"/>
              <w:left w:val="single" w:sz="4" w:space="0" w:color="000000"/>
              <w:bottom w:val="single" w:sz="4" w:space="0" w:color="000000"/>
              <w:right w:val="single" w:sz="4" w:space="0" w:color="000000"/>
            </w:tcBorders>
          </w:tcPr>
          <w:p w14:paraId="63055769" w14:textId="77777777" w:rsidR="00F65BCA" w:rsidRDefault="00216117">
            <w:pPr>
              <w:pStyle w:val="TableParagraph"/>
              <w:spacing w:before="1" w:line="69" w:lineRule="exact"/>
              <w:ind w:left="75" w:right="54"/>
              <w:jc w:val="center"/>
              <w:rPr>
                <w:rFonts w:ascii="Calibri"/>
                <w:sz w:val="7"/>
              </w:rPr>
            </w:pPr>
            <w:r>
              <w:rPr>
                <w:rFonts w:ascii="Calibri"/>
                <w:w w:val="105"/>
                <w:sz w:val="7"/>
              </w:rPr>
              <w:t>TRANSIT 290 DIESEL</w:t>
            </w:r>
          </w:p>
        </w:tc>
        <w:tc>
          <w:tcPr>
            <w:tcW w:w="815" w:type="dxa"/>
            <w:tcBorders>
              <w:top w:val="single" w:sz="4" w:space="0" w:color="000000"/>
              <w:left w:val="single" w:sz="4" w:space="0" w:color="000000"/>
              <w:bottom w:val="single" w:sz="4" w:space="0" w:color="000000"/>
              <w:right w:val="single" w:sz="4" w:space="0" w:color="000000"/>
            </w:tcBorders>
          </w:tcPr>
          <w:p w14:paraId="5EF7528D" w14:textId="77777777" w:rsidR="00F65BCA" w:rsidRDefault="00216117">
            <w:pPr>
              <w:pStyle w:val="TableParagraph"/>
              <w:spacing w:before="1" w:line="69" w:lineRule="exact"/>
              <w:ind w:left="37" w:right="11"/>
              <w:jc w:val="center"/>
              <w:rPr>
                <w:rFonts w:ascii="Calibri" w:hAnsi="Calibri"/>
                <w:sz w:val="7"/>
              </w:rPr>
            </w:pPr>
            <w:r>
              <w:rPr>
                <w:rFonts w:ascii="Calibri" w:hAnsi="Calibri"/>
                <w:w w:val="105"/>
                <w:sz w:val="7"/>
              </w:rPr>
              <w:t>Užitkový</w:t>
            </w:r>
          </w:p>
        </w:tc>
        <w:tc>
          <w:tcPr>
            <w:tcW w:w="273" w:type="dxa"/>
            <w:tcBorders>
              <w:top w:val="single" w:sz="4" w:space="0" w:color="000000"/>
              <w:left w:val="single" w:sz="4" w:space="0" w:color="000000"/>
              <w:bottom w:val="single" w:sz="4" w:space="0" w:color="000000"/>
              <w:right w:val="single" w:sz="4" w:space="0" w:color="000000"/>
            </w:tcBorders>
          </w:tcPr>
          <w:p w14:paraId="5126CB48" w14:textId="77777777" w:rsidR="00F65BCA" w:rsidRDefault="00216117">
            <w:pPr>
              <w:pStyle w:val="TableParagraph"/>
              <w:spacing w:before="1" w:line="69" w:lineRule="exact"/>
              <w:ind w:right="41"/>
              <w:jc w:val="right"/>
              <w:rPr>
                <w:rFonts w:ascii="Calibri"/>
                <w:sz w:val="7"/>
              </w:rPr>
            </w:pPr>
            <w:r>
              <w:rPr>
                <w:rFonts w:ascii="Calibri"/>
                <w:w w:val="105"/>
                <w:sz w:val="7"/>
              </w:rPr>
              <w:t>2018</w:t>
            </w:r>
          </w:p>
        </w:tc>
        <w:tc>
          <w:tcPr>
            <w:tcW w:w="278" w:type="dxa"/>
            <w:tcBorders>
              <w:top w:val="single" w:sz="4" w:space="0" w:color="000000"/>
              <w:left w:val="single" w:sz="4" w:space="0" w:color="000000"/>
              <w:bottom w:val="single" w:sz="4" w:space="0" w:color="000000"/>
              <w:right w:val="single" w:sz="4" w:space="0" w:color="000000"/>
            </w:tcBorders>
          </w:tcPr>
          <w:p w14:paraId="58515DC0" w14:textId="77777777" w:rsidR="00F65BCA" w:rsidRDefault="00216117">
            <w:pPr>
              <w:pStyle w:val="TableParagraph"/>
              <w:spacing w:before="1" w:line="69" w:lineRule="exact"/>
              <w:ind w:left="28" w:right="2"/>
              <w:jc w:val="center"/>
              <w:rPr>
                <w:rFonts w:ascii="Calibri"/>
                <w:sz w:val="7"/>
              </w:rPr>
            </w:pPr>
            <w:r>
              <w:rPr>
                <w:rFonts w:ascii="Calibri"/>
                <w:w w:val="105"/>
                <w:sz w:val="7"/>
              </w:rPr>
              <w:t>1995</w:t>
            </w:r>
          </w:p>
        </w:tc>
        <w:tc>
          <w:tcPr>
            <w:tcW w:w="268" w:type="dxa"/>
            <w:tcBorders>
              <w:top w:val="single" w:sz="4" w:space="0" w:color="000000"/>
              <w:left w:val="single" w:sz="4" w:space="0" w:color="000000"/>
              <w:bottom w:val="single" w:sz="4" w:space="0" w:color="000000"/>
              <w:right w:val="single" w:sz="4" w:space="0" w:color="000000"/>
            </w:tcBorders>
          </w:tcPr>
          <w:p w14:paraId="44866B5D" w14:textId="77777777" w:rsidR="00F65BCA" w:rsidRDefault="00216117">
            <w:pPr>
              <w:pStyle w:val="TableParagraph"/>
              <w:spacing w:before="1" w:line="69" w:lineRule="exact"/>
              <w:ind w:right="56"/>
              <w:jc w:val="right"/>
              <w:rPr>
                <w:rFonts w:ascii="Calibri"/>
                <w:sz w:val="7"/>
              </w:rPr>
            </w:pPr>
            <w:r>
              <w:rPr>
                <w:rFonts w:ascii="Calibri"/>
                <w:w w:val="105"/>
                <w:sz w:val="7"/>
              </w:rPr>
              <w:t>125</w:t>
            </w:r>
          </w:p>
        </w:tc>
        <w:tc>
          <w:tcPr>
            <w:tcW w:w="398" w:type="dxa"/>
            <w:tcBorders>
              <w:top w:val="single" w:sz="4" w:space="0" w:color="000000"/>
              <w:left w:val="single" w:sz="4" w:space="0" w:color="000000"/>
              <w:bottom w:val="single" w:sz="4" w:space="0" w:color="000000"/>
              <w:right w:val="single" w:sz="4" w:space="0" w:color="000000"/>
            </w:tcBorders>
          </w:tcPr>
          <w:p w14:paraId="73D195BD" w14:textId="77777777" w:rsidR="00F65BCA" w:rsidRDefault="00216117">
            <w:pPr>
              <w:pStyle w:val="TableParagraph"/>
              <w:spacing w:before="1" w:line="69" w:lineRule="exact"/>
              <w:ind w:left="28"/>
              <w:jc w:val="center"/>
              <w:rPr>
                <w:rFonts w:ascii="Calibri"/>
                <w:sz w:val="7"/>
              </w:rPr>
            </w:pPr>
            <w:r>
              <w:rPr>
                <w:rFonts w:ascii="Calibri"/>
                <w:w w:val="105"/>
                <w:sz w:val="7"/>
              </w:rPr>
              <w:t>3500</w:t>
            </w:r>
          </w:p>
        </w:tc>
        <w:tc>
          <w:tcPr>
            <w:tcW w:w="249" w:type="dxa"/>
            <w:tcBorders>
              <w:top w:val="single" w:sz="4" w:space="0" w:color="000000"/>
              <w:left w:val="single" w:sz="4" w:space="0" w:color="000000"/>
              <w:bottom w:val="single" w:sz="4" w:space="0" w:color="000000"/>
              <w:right w:val="single" w:sz="4" w:space="0" w:color="000000"/>
            </w:tcBorders>
          </w:tcPr>
          <w:p w14:paraId="4A6A7463" w14:textId="77777777" w:rsidR="00F65BCA" w:rsidRDefault="00216117">
            <w:pPr>
              <w:pStyle w:val="TableParagraph"/>
              <w:spacing w:before="1" w:line="69" w:lineRule="exact"/>
              <w:ind w:right="82"/>
              <w:jc w:val="right"/>
              <w:rPr>
                <w:rFonts w:ascii="Calibri"/>
                <w:sz w:val="7"/>
              </w:rPr>
            </w:pPr>
            <w:r>
              <w:rPr>
                <w:rFonts w:ascii="Calibri"/>
                <w:w w:val="106"/>
                <w:sz w:val="7"/>
              </w:rPr>
              <w:t>3</w:t>
            </w:r>
          </w:p>
        </w:tc>
        <w:tc>
          <w:tcPr>
            <w:tcW w:w="311" w:type="dxa"/>
            <w:tcBorders>
              <w:top w:val="single" w:sz="4" w:space="0" w:color="000000"/>
              <w:left w:val="single" w:sz="4" w:space="0" w:color="000000"/>
              <w:bottom w:val="single" w:sz="4" w:space="0" w:color="000000"/>
              <w:right w:val="single" w:sz="4" w:space="0" w:color="000000"/>
            </w:tcBorders>
          </w:tcPr>
          <w:p w14:paraId="70FFD633" w14:textId="77777777" w:rsidR="00F65BCA" w:rsidRDefault="00216117">
            <w:pPr>
              <w:pStyle w:val="TableParagraph"/>
              <w:spacing w:before="1"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21C9535F"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43902C44" w14:textId="77777777" w:rsidR="00F65BCA" w:rsidRDefault="00216117">
            <w:pPr>
              <w:pStyle w:val="TableParagraph"/>
              <w:spacing w:before="1" w:line="69" w:lineRule="exact"/>
              <w:jc w:val="right"/>
              <w:rPr>
                <w:rFonts w:ascii="Calibri" w:hAnsi="Calibri"/>
                <w:sz w:val="7"/>
              </w:rPr>
            </w:pPr>
            <w:r>
              <w:rPr>
                <w:rFonts w:ascii="Calibri" w:hAnsi="Calibri"/>
                <w:w w:val="105"/>
                <w:sz w:val="7"/>
              </w:rPr>
              <w:t>450 000 Kč</w:t>
            </w:r>
          </w:p>
        </w:tc>
        <w:tc>
          <w:tcPr>
            <w:tcW w:w="278" w:type="dxa"/>
            <w:tcBorders>
              <w:top w:val="single" w:sz="4" w:space="0" w:color="000000"/>
              <w:left w:val="single" w:sz="4" w:space="0" w:color="000000"/>
              <w:bottom w:val="single" w:sz="4" w:space="0" w:color="000000"/>
              <w:right w:val="single" w:sz="4" w:space="0" w:color="000000"/>
            </w:tcBorders>
          </w:tcPr>
          <w:p w14:paraId="0CFF14DB"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30CFDB78"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31235021" w14:textId="77777777" w:rsidR="00F65BCA" w:rsidRDefault="00216117">
            <w:pPr>
              <w:pStyle w:val="TableParagraph"/>
              <w:spacing w:before="1" w:line="69" w:lineRule="exact"/>
              <w:ind w:right="4"/>
              <w:jc w:val="right"/>
              <w:rPr>
                <w:rFonts w:ascii="Calibri" w:hAnsi="Calibri"/>
                <w:sz w:val="7"/>
              </w:rPr>
            </w:pPr>
            <w:r>
              <w:rPr>
                <w:rFonts w:ascii="Calibri" w:hAnsi="Calibri"/>
                <w:w w:val="105"/>
                <w:sz w:val="7"/>
              </w:rPr>
              <w:t>bez limitní</w:t>
            </w:r>
          </w:p>
        </w:tc>
        <w:tc>
          <w:tcPr>
            <w:tcW w:w="398" w:type="dxa"/>
            <w:tcBorders>
              <w:top w:val="single" w:sz="4" w:space="0" w:color="000000"/>
              <w:left w:val="single" w:sz="4" w:space="0" w:color="000000"/>
              <w:bottom w:val="single" w:sz="4" w:space="0" w:color="000000"/>
              <w:right w:val="single" w:sz="4" w:space="0" w:color="000000"/>
            </w:tcBorders>
          </w:tcPr>
          <w:p w14:paraId="32C5CB0B"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690B42A7"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700902D1"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24BDF953"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2712A01F"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2 652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10959D3B"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5 580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56BD9D59" w14:textId="77777777" w:rsidR="00F65BCA" w:rsidRDefault="00216117">
            <w:pPr>
              <w:pStyle w:val="TableParagraph"/>
              <w:spacing w:before="4" w:line="67" w:lineRule="exact"/>
              <w:ind w:right="70"/>
              <w:jc w:val="right"/>
              <w:rPr>
                <w:rFonts w:ascii="Calibri" w:hAnsi="Calibri"/>
                <w:sz w:val="7"/>
              </w:rPr>
            </w:pPr>
            <w:r>
              <w:rPr>
                <w:rFonts w:ascii="Calibri" w:hAnsi="Calibri"/>
                <w:w w:val="105"/>
                <w:sz w:val="7"/>
              </w:rPr>
              <w:t>9 456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434A5305"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312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155FD20B"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1809A0B4" w14:textId="77777777" w:rsidR="00F65BCA" w:rsidRDefault="00216117">
            <w:pPr>
              <w:pStyle w:val="TableParagraph"/>
              <w:spacing w:before="4" w:line="67" w:lineRule="exact"/>
              <w:ind w:left="78" w:right="16"/>
              <w:jc w:val="center"/>
              <w:rPr>
                <w:rFonts w:ascii="Calibri" w:hAnsi="Calibri"/>
                <w:sz w:val="7"/>
              </w:rPr>
            </w:pPr>
            <w:r>
              <w:rPr>
                <w:rFonts w:ascii="Calibri" w:hAnsi="Calibri"/>
                <w:w w:val="105"/>
                <w:sz w:val="7"/>
              </w:rPr>
              <w:t>2 148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4466CF6A"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372FEDED" w14:textId="77777777" w:rsidR="00F65BCA" w:rsidRDefault="00216117">
            <w:pPr>
              <w:pStyle w:val="TableParagraph"/>
              <w:spacing w:before="4" w:line="67" w:lineRule="exact"/>
              <w:ind w:left="111"/>
              <w:rPr>
                <w:rFonts w:ascii="Calibri" w:hAnsi="Calibri"/>
                <w:sz w:val="7"/>
              </w:rPr>
            </w:pPr>
            <w:r>
              <w:rPr>
                <w:rFonts w:ascii="Calibri" w:hAnsi="Calibri"/>
                <w:w w:val="105"/>
                <w:sz w:val="7"/>
              </w:rPr>
              <w:t>20 544 Kč</w:t>
            </w:r>
          </w:p>
        </w:tc>
      </w:tr>
      <w:tr w:rsidR="00F65BCA" w14:paraId="044D5AEE" w14:textId="77777777">
        <w:trPr>
          <w:trHeight w:val="191"/>
        </w:trPr>
        <w:tc>
          <w:tcPr>
            <w:tcW w:w="188" w:type="dxa"/>
            <w:tcBorders>
              <w:top w:val="single" w:sz="4" w:space="0" w:color="000000"/>
              <w:bottom w:val="single" w:sz="4" w:space="0" w:color="000000"/>
              <w:right w:val="single" w:sz="4" w:space="0" w:color="000000"/>
            </w:tcBorders>
          </w:tcPr>
          <w:p w14:paraId="2F5952D5" w14:textId="77777777" w:rsidR="00F65BCA" w:rsidRDefault="00F65BCA">
            <w:pPr>
              <w:pStyle w:val="TableParagraph"/>
              <w:spacing w:before="7"/>
              <w:rPr>
                <w:rFonts w:ascii="Calibri"/>
                <w:b/>
                <w:sz w:val="8"/>
              </w:rPr>
            </w:pPr>
          </w:p>
          <w:p w14:paraId="10CB7C7D" w14:textId="77777777" w:rsidR="00F65BCA" w:rsidRDefault="00216117">
            <w:pPr>
              <w:pStyle w:val="TableParagraph"/>
              <w:spacing w:line="67" w:lineRule="exact"/>
              <w:ind w:left="59"/>
              <w:rPr>
                <w:rFonts w:ascii="Calibri"/>
                <w:sz w:val="7"/>
              </w:rPr>
            </w:pPr>
            <w:r>
              <w:rPr>
                <w:rFonts w:ascii="Calibri"/>
                <w:w w:val="105"/>
                <w:sz w:val="7"/>
              </w:rPr>
              <w:t>31</w:t>
            </w:r>
          </w:p>
        </w:tc>
        <w:tc>
          <w:tcPr>
            <w:tcW w:w="398" w:type="dxa"/>
            <w:tcBorders>
              <w:top w:val="single" w:sz="4" w:space="0" w:color="000000"/>
              <w:left w:val="single" w:sz="4" w:space="0" w:color="000000"/>
              <w:bottom w:val="single" w:sz="4" w:space="0" w:color="000000"/>
              <w:right w:val="single" w:sz="4" w:space="0" w:color="000000"/>
            </w:tcBorders>
          </w:tcPr>
          <w:p w14:paraId="69738958" w14:textId="77777777" w:rsidR="00F65BCA" w:rsidRDefault="00F65BCA">
            <w:pPr>
              <w:pStyle w:val="TableParagraph"/>
              <w:spacing w:before="4"/>
              <w:rPr>
                <w:rFonts w:ascii="Calibri"/>
                <w:b/>
                <w:sz w:val="8"/>
              </w:rPr>
            </w:pPr>
          </w:p>
          <w:p w14:paraId="1068EF2E" w14:textId="77777777" w:rsidR="00F65BCA" w:rsidRDefault="00216117">
            <w:pPr>
              <w:pStyle w:val="TableParagraph"/>
              <w:spacing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24AC7501" w14:textId="77777777" w:rsidR="00F65BCA" w:rsidRDefault="00F65BCA">
            <w:pPr>
              <w:pStyle w:val="TableParagraph"/>
              <w:spacing w:before="4"/>
              <w:rPr>
                <w:rFonts w:ascii="Calibri"/>
                <w:b/>
                <w:sz w:val="8"/>
              </w:rPr>
            </w:pPr>
          </w:p>
          <w:p w14:paraId="0711712C" w14:textId="77777777" w:rsidR="00F65BCA" w:rsidRDefault="00216117">
            <w:pPr>
              <w:pStyle w:val="TableParagraph"/>
              <w:spacing w:line="69" w:lineRule="exact"/>
              <w:ind w:left="70" w:right="44"/>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32F553D" w14:textId="77777777" w:rsidR="00F65BCA" w:rsidRDefault="00F65BCA">
            <w:pPr>
              <w:pStyle w:val="TableParagraph"/>
              <w:spacing w:before="4"/>
              <w:rPr>
                <w:rFonts w:ascii="Calibri"/>
                <w:b/>
                <w:sz w:val="8"/>
              </w:rPr>
            </w:pPr>
          </w:p>
          <w:p w14:paraId="09E5DE1B" w14:textId="77777777" w:rsidR="00F65BCA" w:rsidRDefault="00216117">
            <w:pPr>
              <w:pStyle w:val="TableParagraph"/>
              <w:spacing w:line="69" w:lineRule="exact"/>
              <w:ind w:right="34"/>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52865639" w14:textId="77777777" w:rsidR="00F65BCA" w:rsidRDefault="00F65BCA">
            <w:pPr>
              <w:pStyle w:val="TableParagraph"/>
              <w:spacing w:before="4"/>
              <w:rPr>
                <w:rFonts w:ascii="Calibri"/>
                <w:b/>
                <w:sz w:val="8"/>
              </w:rPr>
            </w:pPr>
          </w:p>
          <w:p w14:paraId="06A6AD31" w14:textId="77777777" w:rsidR="00F65BCA" w:rsidRDefault="00216117">
            <w:pPr>
              <w:pStyle w:val="TableParagraph"/>
              <w:spacing w:line="69" w:lineRule="exact"/>
              <w:ind w:left="70"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34ED42B" w14:textId="77777777" w:rsidR="00F65BCA" w:rsidRDefault="00F65BCA">
            <w:pPr>
              <w:pStyle w:val="TableParagraph"/>
              <w:spacing w:before="4"/>
              <w:rPr>
                <w:rFonts w:ascii="Calibri"/>
                <w:b/>
                <w:sz w:val="8"/>
              </w:rPr>
            </w:pPr>
          </w:p>
          <w:p w14:paraId="422E4545" w14:textId="77777777" w:rsidR="00F65BCA" w:rsidRDefault="00216117">
            <w:pPr>
              <w:pStyle w:val="TableParagraph"/>
              <w:spacing w:line="69" w:lineRule="exact"/>
              <w:ind w:left="69"/>
              <w:rPr>
                <w:rFonts w:ascii="Calibri"/>
                <w:sz w:val="7"/>
              </w:rPr>
            </w:pPr>
            <w:r>
              <w:rPr>
                <w:rFonts w:ascii="Calibri"/>
                <w:w w:val="105"/>
                <w:sz w:val="7"/>
              </w:rPr>
              <w:t>P021050</w:t>
            </w:r>
          </w:p>
        </w:tc>
        <w:tc>
          <w:tcPr>
            <w:tcW w:w="398" w:type="dxa"/>
            <w:tcBorders>
              <w:top w:val="single" w:sz="4" w:space="0" w:color="000000"/>
              <w:left w:val="single" w:sz="4" w:space="0" w:color="000000"/>
              <w:bottom w:val="single" w:sz="4" w:space="0" w:color="000000"/>
              <w:right w:val="single" w:sz="4" w:space="0" w:color="000000"/>
            </w:tcBorders>
          </w:tcPr>
          <w:p w14:paraId="04244522" w14:textId="77777777" w:rsidR="00F65BCA" w:rsidRDefault="00F65BCA">
            <w:pPr>
              <w:pStyle w:val="TableParagraph"/>
              <w:spacing w:before="4"/>
              <w:rPr>
                <w:rFonts w:ascii="Calibri"/>
                <w:b/>
                <w:sz w:val="8"/>
              </w:rPr>
            </w:pPr>
          </w:p>
          <w:p w14:paraId="7E7CCD63" w14:textId="77777777" w:rsidR="00F65BCA" w:rsidRDefault="00216117">
            <w:pPr>
              <w:pStyle w:val="TableParagraph"/>
              <w:spacing w:line="69" w:lineRule="exact"/>
              <w:ind w:left="14"/>
              <w:jc w:val="center"/>
              <w:rPr>
                <w:rFonts w:ascii="Calibri"/>
                <w:sz w:val="7"/>
              </w:rPr>
            </w:pPr>
            <w:r>
              <w:rPr>
                <w:rFonts w:ascii="Calibri"/>
                <w:w w:val="105"/>
                <w:sz w:val="7"/>
              </w:rPr>
              <w:t>ZB058931</w:t>
            </w:r>
          </w:p>
        </w:tc>
        <w:tc>
          <w:tcPr>
            <w:tcW w:w="792" w:type="dxa"/>
            <w:tcBorders>
              <w:top w:val="single" w:sz="4" w:space="0" w:color="000000"/>
              <w:left w:val="single" w:sz="4" w:space="0" w:color="000000"/>
              <w:bottom w:val="single" w:sz="4" w:space="0" w:color="000000"/>
              <w:right w:val="single" w:sz="4" w:space="0" w:color="000000"/>
            </w:tcBorders>
          </w:tcPr>
          <w:p w14:paraId="14E05D55" w14:textId="77777777" w:rsidR="00F65BCA" w:rsidRDefault="00F65BCA">
            <w:pPr>
              <w:pStyle w:val="TableParagraph"/>
              <w:spacing w:before="4"/>
              <w:rPr>
                <w:rFonts w:ascii="Calibri"/>
                <w:b/>
                <w:sz w:val="8"/>
              </w:rPr>
            </w:pPr>
          </w:p>
          <w:p w14:paraId="7E693DD9" w14:textId="77777777" w:rsidR="00F65BCA" w:rsidRDefault="00216117">
            <w:pPr>
              <w:pStyle w:val="TableParagraph"/>
              <w:spacing w:line="69" w:lineRule="exact"/>
              <w:ind w:left="230"/>
              <w:rPr>
                <w:rFonts w:ascii="Calibri"/>
                <w:sz w:val="7"/>
              </w:rPr>
            </w:pPr>
            <w:r>
              <w:rPr>
                <w:rFonts w:ascii="Calibri"/>
                <w:w w:val="105"/>
                <w:sz w:val="7"/>
              </w:rPr>
              <w:t>S11202342</w:t>
            </w:r>
          </w:p>
        </w:tc>
        <w:tc>
          <w:tcPr>
            <w:tcW w:w="398" w:type="dxa"/>
            <w:tcBorders>
              <w:top w:val="single" w:sz="4" w:space="0" w:color="000000"/>
              <w:left w:val="single" w:sz="4" w:space="0" w:color="000000"/>
              <w:bottom w:val="single" w:sz="4" w:space="0" w:color="000000"/>
              <w:right w:val="single" w:sz="4" w:space="0" w:color="000000"/>
            </w:tcBorders>
          </w:tcPr>
          <w:p w14:paraId="2676A1F9" w14:textId="77777777" w:rsidR="00F65BCA" w:rsidRDefault="00F65BCA">
            <w:pPr>
              <w:pStyle w:val="TableParagraph"/>
              <w:spacing w:before="4"/>
              <w:rPr>
                <w:rFonts w:ascii="Calibri"/>
                <w:b/>
                <w:sz w:val="8"/>
              </w:rPr>
            </w:pPr>
          </w:p>
          <w:p w14:paraId="303095EA" w14:textId="77777777" w:rsidR="00F65BCA" w:rsidRDefault="00216117">
            <w:pPr>
              <w:pStyle w:val="TableParagraph"/>
              <w:spacing w:line="69" w:lineRule="exact"/>
              <w:ind w:left="129"/>
              <w:rPr>
                <w:rFonts w:ascii="Calibri"/>
                <w:sz w:val="7"/>
              </w:rPr>
            </w:pPr>
            <w:r>
              <w:rPr>
                <w:rFonts w:ascii="Calibri"/>
                <w:w w:val="105"/>
                <w:sz w:val="7"/>
              </w:rPr>
              <w:t>ISEKI</w:t>
            </w:r>
          </w:p>
        </w:tc>
        <w:tc>
          <w:tcPr>
            <w:tcW w:w="1065" w:type="dxa"/>
            <w:tcBorders>
              <w:top w:val="single" w:sz="4" w:space="0" w:color="000000"/>
              <w:left w:val="single" w:sz="4" w:space="0" w:color="000000"/>
              <w:bottom w:val="single" w:sz="4" w:space="0" w:color="000000"/>
              <w:right w:val="single" w:sz="4" w:space="0" w:color="000000"/>
            </w:tcBorders>
          </w:tcPr>
          <w:p w14:paraId="52F3FE49" w14:textId="77777777" w:rsidR="00F65BCA" w:rsidRDefault="00F65BCA">
            <w:pPr>
              <w:pStyle w:val="TableParagraph"/>
              <w:spacing w:before="4"/>
              <w:rPr>
                <w:rFonts w:ascii="Calibri"/>
                <w:b/>
                <w:sz w:val="8"/>
              </w:rPr>
            </w:pPr>
          </w:p>
          <w:p w14:paraId="756F0CE9" w14:textId="77777777" w:rsidR="00F65BCA" w:rsidRDefault="00216117">
            <w:pPr>
              <w:pStyle w:val="TableParagraph"/>
              <w:spacing w:line="69" w:lineRule="exact"/>
              <w:ind w:left="72" w:right="55"/>
              <w:jc w:val="center"/>
              <w:rPr>
                <w:rFonts w:ascii="Calibri" w:hAnsi="Calibri"/>
                <w:sz w:val="7"/>
              </w:rPr>
            </w:pPr>
            <w:r>
              <w:rPr>
                <w:rFonts w:ascii="Calibri" w:hAnsi="Calibri"/>
                <w:w w:val="105"/>
                <w:sz w:val="7"/>
              </w:rPr>
              <w:t>ŽACÍ STROJ</w:t>
            </w:r>
          </w:p>
        </w:tc>
        <w:tc>
          <w:tcPr>
            <w:tcW w:w="815" w:type="dxa"/>
            <w:tcBorders>
              <w:top w:val="single" w:sz="4" w:space="0" w:color="000000"/>
              <w:left w:val="single" w:sz="4" w:space="0" w:color="000000"/>
              <w:bottom w:val="single" w:sz="4" w:space="0" w:color="000000"/>
              <w:right w:val="single" w:sz="4" w:space="0" w:color="000000"/>
            </w:tcBorders>
          </w:tcPr>
          <w:p w14:paraId="404F310B" w14:textId="77777777" w:rsidR="00F65BCA" w:rsidRDefault="00216117">
            <w:pPr>
              <w:pStyle w:val="TableParagraph"/>
              <w:spacing w:before="4"/>
              <w:ind w:left="182"/>
              <w:rPr>
                <w:rFonts w:ascii="Calibri" w:hAnsi="Calibri"/>
                <w:sz w:val="7"/>
              </w:rPr>
            </w:pPr>
            <w:r>
              <w:rPr>
                <w:rFonts w:ascii="Calibri" w:hAnsi="Calibri"/>
                <w:w w:val="105"/>
                <w:sz w:val="7"/>
              </w:rPr>
              <w:t>Motorový vozík</w:t>
            </w:r>
          </w:p>
          <w:p w14:paraId="39194A23" w14:textId="77777777" w:rsidR="00F65BCA" w:rsidRDefault="00216117">
            <w:pPr>
              <w:pStyle w:val="TableParagraph"/>
              <w:spacing w:before="13" w:line="69" w:lineRule="exact"/>
              <w:ind w:left="213"/>
              <w:rPr>
                <w:rFonts w:ascii="Calibri"/>
                <w:sz w:val="7"/>
              </w:rPr>
            </w:pPr>
            <w:r>
              <w:rPr>
                <w:rFonts w:ascii="Calibri"/>
                <w:w w:val="105"/>
                <w:sz w:val="7"/>
              </w:rPr>
              <w:t>(malotraktor)</w:t>
            </w:r>
          </w:p>
        </w:tc>
        <w:tc>
          <w:tcPr>
            <w:tcW w:w="273" w:type="dxa"/>
            <w:tcBorders>
              <w:top w:val="single" w:sz="4" w:space="0" w:color="000000"/>
              <w:left w:val="single" w:sz="4" w:space="0" w:color="000000"/>
              <w:bottom w:val="single" w:sz="4" w:space="0" w:color="000000"/>
              <w:right w:val="single" w:sz="4" w:space="0" w:color="000000"/>
            </w:tcBorders>
          </w:tcPr>
          <w:p w14:paraId="1A3E0413" w14:textId="77777777" w:rsidR="00F65BCA" w:rsidRDefault="00F65BCA">
            <w:pPr>
              <w:pStyle w:val="TableParagraph"/>
              <w:spacing w:before="4"/>
              <w:rPr>
                <w:rFonts w:ascii="Calibri"/>
                <w:b/>
                <w:sz w:val="8"/>
              </w:rPr>
            </w:pPr>
          </w:p>
          <w:p w14:paraId="582EFAD5" w14:textId="77777777" w:rsidR="00F65BCA" w:rsidRDefault="00216117">
            <w:pPr>
              <w:pStyle w:val="TableParagraph"/>
              <w:spacing w:line="69" w:lineRule="exact"/>
              <w:ind w:right="41"/>
              <w:jc w:val="right"/>
              <w:rPr>
                <w:rFonts w:ascii="Calibri"/>
                <w:sz w:val="7"/>
              </w:rPr>
            </w:pPr>
            <w:r>
              <w:rPr>
                <w:rFonts w:ascii="Calibri"/>
                <w:w w:val="105"/>
                <w:sz w:val="7"/>
              </w:rPr>
              <w:t>2022</w:t>
            </w:r>
          </w:p>
        </w:tc>
        <w:tc>
          <w:tcPr>
            <w:tcW w:w="278" w:type="dxa"/>
            <w:tcBorders>
              <w:top w:val="single" w:sz="4" w:space="0" w:color="000000"/>
              <w:left w:val="single" w:sz="4" w:space="0" w:color="000000"/>
              <w:bottom w:val="single" w:sz="4" w:space="0" w:color="000000"/>
              <w:right w:val="single" w:sz="4" w:space="0" w:color="000000"/>
            </w:tcBorders>
          </w:tcPr>
          <w:p w14:paraId="1D59A47C" w14:textId="77777777" w:rsidR="00F65BCA" w:rsidRDefault="00F65BCA">
            <w:pPr>
              <w:pStyle w:val="TableParagraph"/>
              <w:spacing w:before="4"/>
              <w:rPr>
                <w:rFonts w:ascii="Calibri"/>
                <w:b/>
                <w:sz w:val="8"/>
              </w:rPr>
            </w:pPr>
          </w:p>
          <w:p w14:paraId="1307DA21" w14:textId="77777777" w:rsidR="00F65BCA" w:rsidRDefault="00216117">
            <w:pPr>
              <w:pStyle w:val="TableParagraph"/>
              <w:spacing w:line="69" w:lineRule="exact"/>
              <w:ind w:left="27" w:right="2"/>
              <w:jc w:val="center"/>
              <w:rPr>
                <w:rFonts w:ascii="Calibri"/>
                <w:sz w:val="7"/>
              </w:rPr>
            </w:pPr>
            <w:r>
              <w:rPr>
                <w:rFonts w:ascii="Calibri"/>
                <w:w w:val="105"/>
                <w:sz w:val="7"/>
              </w:rPr>
              <w:t>1123</w:t>
            </w:r>
          </w:p>
        </w:tc>
        <w:tc>
          <w:tcPr>
            <w:tcW w:w="268" w:type="dxa"/>
            <w:tcBorders>
              <w:top w:val="single" w:sz="4" w:space="0" w:color="000000"/>
              <w:left w:val="single" w:sz="4" w:space="0" w:color="000000"/>
              <w:bottom w:val="single" w:sz="4" w:space="0" w:color="000000"/>
              <w:right w:val="single" w:sz="4" w:space="0" w:color="000000"/>
            </w:tcBorders>
          </w:tcPr>
          <w:p w14:paraId="2F47D67E" w14:textId="77777777" w:rsidR="00F65BCA" w:rsidRDefault="00F65BCA">
            <w:pPr>
              <w:pStyle w:val="TableParagraph"/>
              <w:spacing w:before="4"/>
              <w:rPr>
                <w:rFonts w:ascii="Calibri"/>
                <w:b/>
                <w:sz w:val="8"/>
              </w:rPr>
            </w:pPr>
          </w:p>
          <w:p w14:paraId="71FC6395" w14:textId="77777777" w:rsidR="00F65BCA" w:rsidRDefault="00216117">
            <w:pPr>
              <w:pStyle w:val="TableParagraph"/>
              <w:spacing w:line="69" w:lineRule="exact"/>
              <w:ind w:right="75"/>
              <w:jc w:val="right"/>
              <w:rPr>
                <w:rFonts w:ascii="Calibri"/>
                <w:sz w:val="7"/>
              </w:rPr>
            </w:pPr>
            <w:r>
              <w:rPr>
                <w:rFonts w:ascii="Calibri"/>
                <w:w w:val="105"/>
                <w:sz w:val="7"/>
              </w:rPr>
              <w:t>14</w:t>
            </w:r>
          </w:p>
        </w:tc>
        <w:tc>
          <w:tcPr>
            <w:tcW w:w="398" w:type="dxa"/>
            <w:tcBorders>
              <w:top w:val="single" w:sz="4" w:space="0" w:color="000000"/>
              <w:left w:val="single" w:sz="4" w:space="0" w:color="000000"/>
              <w:bottom w:val="single" w:sz="4" w:space="0" w:color="000000"/>
              <w:right w:val="single" w:sz="4" w:space="0" w:color="000000"/>
            </w:tcBorders>
          </w:tcPr>
          <w:p w14:paraId="7A8533BA" w14:textId="77777777" w:rsidR="00F65BCA" w:rsidRDefault="00F65BCA">
            <w:pPr>
              <w:pStyle w:val="TableParagraph"/>
              <w:spacing w:before="4"/>
              <w:rPr>
                <w:rFonts w:ascii="Calibri"/>
                <w:b/>
                <w:sz w:val="8"/>
              </w:rPr>
            </w:pPr>
          </w:p>
          <w:p w14:paraId="631E5649" w14:textId="77777777" w:rsidR="00F65BCA" w:rsidRDefault="00216117">
            <w:pPr>
              <w:pStyle w:val="TableParagraph"/>
              <w:spacing w:line="69" w:lineRule="exact"/>
              <w:ind w:left="28"/>
              <w:jc w:val="center"/>
              <w:rPr>
                <w:rFonts w:ascii="Calibri"/>
                <w:sz w:val="7"/>
              </w:rPr>
            </w:pPr>
            <w:r>
              <w:rPr>
                <w:rFonts w:ascii="Calibri"/>
                <w:w w:val="105"/>
                <w:sz w:val="7"/>
              </w:rPr>
              <w:t>1280</w:t>
            </w:r>
          </w:p>
        </w:tc>
        <w:tc>
          <w:tcPr>
            <w:tcW w:w="249" w:type="dxa"/>
            <w:tcBorders>
              <w:top w:val="single" w:sz="4" w:space="0" w:color="000000"/>
              <w:left w:val="single" w:sz="4" w:space="0" w:color="000000"/>
              <w:bottom w:val="single" w:sz="4" w:space="0" w:color="000000"/>
              <w:right w:val="single" w:sz="4" w:space="0" w:color="000000"/>
            </w:tcBorders>
          </w:tcPr>
          <w:p w14:paraId="1DE12821" w14:textId="77777777" w:rsidR="00F65BCA" w:rsidRDefault="00F65BCA">
            <w:pPr>
              <w:pStyle w:val="TableParagraph"/>
              <w:spacing w:before="4"/>
              <w:rPr>
                <w:rFonts w:ascii="Calibri"/>
                <w:b/>
                <w:sz w:val="8"/>
              </w:rPr>
            </w:pPr>
          </w:p>
          <w:p w14:paraId="61CD4C42" w14:textId="77777777" w:rsidR="00F65BCA" w:rsidRDefault="00216117">
            <w:pPr>
              <w:pStyle w:val="TableParagraph"/>
              <w:spacing w:line="69" w:lineRule="exact"/>
              <w:ind w:right="82"/>
              <w:jc w:val="right"/>
              <w:rPr>
                <w:rFonts w:ascii="Calibri"/>
                <w:sz w:val="7"/>
              </w:rPr>
            </w:pPr>
            <w:r>
              <w:rPr>
                <w:rFonts w:ascii="Calibri"/>
                <w:w w:val="106"/>
                <w:sz w:val="7"/>
              </w:rPr>
              <w:t>1</w:t>
            </w:r>
          </w:p>
        </w:tc>
        <w:tc>
          <w:tcPr>
            <w:tcW w:w="311" w:type="dxa"/>
            <w:tcBorders>
              <w:top w:val="single" w:sz="4" w:space="0" w:color="000000"/>
              <w:left w:val="single" w:sz="4" w:space="0" w:color="000000"/>
              <w:bottom w:val="single" w:sz="4" w:space="0" w:color="000000"/>
              <w:right w:val="single" w:sz="4" w:space="0" w:color="000000"/>
            </w:tcBorders>
          </w:tcPr>
          <w:p w14:paraId="1BF36AC0" w14:textId="77777777" w:rsidR="00F65BCA" w:rsidRDefault="00F65BCA">
            <w:pPr>
              <w:pStyle w:val="TableParagraph"/>
              <w:spacing w:before="4"/>
              <w:rPr>
                <w:rFonts w:ascii="Calibri"/>
                <w:b/>
                <w:sz w:val="8"/>
              </w:rPr>
            </w:pPr>
          </w:p>
          <w:p w14:paraId="64531B5E" w14:textId="77777777" w:rsidR="00F65BCA" w:rsidRDefault="00216117">
            <w:pPr>
              <w:pStyle w:val="TableParagraph"/>
              <w:spacing w:line="69" w:lineRule="exact"/>
              <w:ind w:left="32"/>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634DDA42" w14:textId="77777777" w:rsidR="00F65BCA" w:rsidRDefault="00F65BCA">
            <w:pPr>
              <w:pStyle w:val="TableParagraph"/>
              <w:spacing w:before="4"/>
              <w:rPr>
                <w:rFonts w:ascii="Calibri"/>
                <w:b/>
                <w:sz w:val="8"/>
              </w:rPr>
            </w:pPr>
          </w:p>
          <w:p w14:paraId="3CBB1282" w14:textId="77777777" w:rsidR="00F65BCA" w:rsidRDefault="00216117">
            <w:pPr>
              <w:pStyle w:val="TableParagraph"/>
              <w:spacing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6FC1DAB8" w14:textId="77777777" w:rsidR="00F65BCA" w:rsidRDefault="00F65BCA">
            <w:pPr>
              <w:pStyle w:val="TableParagraph"/>
              <w:rPr>
                <w:rFonts w:ascii="Times New Roman"/>
                <w:sz w:val="6"/>
              </w:rPr>
            </w:pPr>
          </w:p>
        </w:tc>
        <w:tc>
          <w:tcPr>
            <w:tcW w:w="278" w:type="dxa"/>
            <w:tcBorders>
              <w:top w:val="single" w:sz="4" w:space="0" w:color="000000"/>
              <w:left w:val="single" w:sz="4" w:space="0" w:color="000000"/>
              <w:bottom w:val="single" w:sz="4" w:space="0" w:color="000000"/>
              <w:right w:val="single" w:sz="4" w:space="0" w:color="000000"/>
            </w:tcBorders>
          </w:tcPr>
          <w:p w14:paraId="7AF0A858" w14:textId="77777777" w:rsidR="00F65BCA" w:rsidRDefault="00F65BCA">
            <w:pPr>
              <w:pStyle w:val="TableParagraph"/>
              <w:rPr>
                <w:rFonts w:ascii="Times New Roman"/>
                <w:sz w:val="6"/>
              </w:rPr>
            </w:pPr>
          </w:p>
        </w:tc>
        <w:tc>
          <w:tcPr>
            <w:tcW w:w="273" w:type="dxa"/>
            <w:tcBorders>
              <w:top w:val="single" w:sz="4" w:space="0" w:color="000000"/>
              <w:left w:val="single" w:sz="4" w:space="0" w:color="000000"/>
              <w:bottom w:val="single" w:sz="4" w:space="0" w:color="000000"/>
              <w:right w:val="single" w:sz="4" w:space="0" w:color="000000"/>
            </w:tcBorders>
          </w:tcPr>
          <w:p w14:paraId="7D77408F"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62F4B33F"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608D571E" w14:textId="77777777" w:rsidR="00F65BCA" w:rsidRDefault="00F65BCA">
            <w:pPr>
              <w:pStyle w:val="TableParagraph"/>
              <w:rPr>
                <w:rFonts w:ascii="Times New Roman"/>
                <w:sz w:val="6"/>
              </w:rPr>
            </w:pPr>
          </w:p>
        </w:tc>
        <w:tc>
          <w:tcPr>
            <w:tcW w:w="278" w:type="dxa"/>
            <w:tcBorders>
              <w:top w:val="single" w:sz="4" w:space="0" w:color="000000"/>
              <w:left w:val="single" w:sz="4" w:space="0" w:color="000000"/>
              <w:bottom w:val="single" w:sz="4" w:space="0" w:color="000000"/>
              <w:right w:val="single" w:sz="4" w:space="0" w:color="000000"/>
            </w:tcBorders>
          </w:tcPr>
          <w:p w14:paraId="295414EF" w14:textId="77777777" w:rsidR="00F65BCA" w:rsidRDefault="00F65BCA">
            <w:pPr>
              <w:pStyle w:val="TableParagraph"/>
              <w:spacing w:before="4"/>
              <w:rPr>
                <w:rFonts w:ascii="Calibri"/>
                <w:b/>
                <w:sz w:val="8"/>
              </w:rPr>
            </w:pPr>
          </w:p>
          <w:p w14:paraId="19B3D20B" w14:textId="77777777" w:rsidR="00F65BCA" w:rsidRDefault="00216117">
            <w:pPr>
              <w:pStyle w:val="TableParagraph"/>
              <w:spacing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228DB2D6"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3112701E" w14:textId="77777777" w:rsidR="00F65BCA" w:rsidRDefault="00F65BCA">
            <w:pPr>
              <w:pStyle w:val="TableParagraph"/>
              <w:rPr>
                <w:rFonts w:ascii="Times New Roman"/>
                <w:sz w:val="6"/>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2B640777" w14:textId="77777777" w:rsidR="00F65BCA" w:rsidRDefault="00F65BCA">
            <w:pPr>
              <w:pStyle w:val="TableParagraph"/>
              <w:spacing w:before="7"/>
              <w:rPr>
                <w:rFonts w:ascii="Calibri"/>
                <w:b/>
                <w:sz w:val="8"/>
              </w:rPr>
            </w:pPr>
          </w:p>
          <w:p w14:paraId="377F2E88" w14:textId="77777777" w:rsidR="00F65BCA" w:rsidRDefault="00216117">
            <w:pPr>
              <w:pStyle w:val="TableParagraph"/>
              <w:spacing w:line="67" w:lineRule="exact"/>
              <w:ind w:left="76" w:right="28"/>
              <w:jc w:val="center"/>
              <w:rPr>
                <w:rFonts w:ascii="Calibri" w:hAnsi="Calibri"/>
                <w:sz w:val="7"/>
              </w:rPr>
            </w:pPr>
            <w:r>
              <w:rPr>
                <w:rFonts w:ascii="Calibri" w:hAnsi="Calibri"/>
                <w:w w:val="105"/>
                <w:sz w:val="7"/>
              </w:rPr>
              <w:t>360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2528EA21" w14:textId="77777777" w:rsidR="00F65BCA" w:rsidRDefault="00F65BCA">
            <w:pPr>
              <w:pStyle w:val="TableParagraph"/>
              <w:rPr>
                <w:rFonts w:ascii="Times New Roman"/>
                <w:sz w:val="6"/>
              </w:rPr>
            </w:pP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2DAABBD9" w14:textId="77777777" w:rsidR="00F65BCA" w:rsidRDefault="00F65BCA">
            <w:pPr>
              <w:pStyle w:val="TableParagraph"/>
              <w:rPr>
                <w:rFonts w:ascii="Times New Roman"/>
                <w:sz w:val="6"/>
              </w:rPr>
            </w:pP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09F52EBB" w14:textId="77777777" w:rsidR="00F65BCA" w:rsidRDefault="00F65BCA">
            <w:pPr>
              <w:pStyle w:val="TableParagraph"/>
              <w:spacing w:before="7"/>
              <w:rPr>
                <w:rFonts w:ascii="Calibri"/>
                <w:b/>
                <w:sz w:val="8"/>
              </w:rPr>
            </w:pPr>
          </w:p>
          <w:p w14:paraId="1E0E6692" w14:textId="77777777" w:rsidR="00F65BCA" w:rsidRDefault="00216117">
            <w:pPr>
              <w:pStyle w:val="TableParagraph"/>
              <w:spacing w:line="67" w:lineRule="exact"/>
              <w:ind w:left="98" w:right="44"/>
              <w:jc w:val="center"/>
              <w:rPr>
                <w:rFonts w:ascii="Calibri" w:hAnsi="Calibri"/>
                <w:sz w:val="7"/>
              </w:rPr>
            </w:pPr>
            <w:r>
              <w:rPr>
                <w:rFonts w:ascii="Calibri" w:hAnsi="Calibri"/>
                <w:w w:val="105"/>
                <w:sz w:val="7"/>
              </w:rPr>
              <w:t>108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2981B014" w14:textId="77777777" w:rsidR="00F65BCA" w:rsidRDefault="00F65BCA">
            <w:pPr>
              <w:pStyle w:val="TableParagraph"/>
              <w:rPr>
                <w:rFonts w:ascii="Times New Roman"/>
                <w:sz w:val="6"/>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F4CBC37" w14:textId="77777777" w:rsidR="00F65BCA" w:rsidRDefault="00F65BCA">
            <w:pPr>
              <w:pStyle w:val="TableParagraph"/>
              <w:rPr>
                <w:rFonts w:ascii="Times New Roman"/>
                <w:sz w:val="6"/>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DDD78B9" w14:textId="77777777" w:rsidR="00F65BCA" w:rsidRDefault="00F65BCA">
            <w:pPr>
              <w:pStyle w:val="TableParagraph"/>
              <w:rPr>
                <w:rFonts w:ascii="Times New Roman"/>
                <w:sz w:val="6"/>
              </w:rPr>
            </w:pPr>
          </w:p>
        </w:tc>
        <w:tc>
          <w:tcPr>
            <w:tcW w:w="458" w:type="dxa"/>
            <w:tcBorders>
              <w:top w:val="single" w:sz="4" w:space="0" w:color="000000"/>
              <w:left w:val="single" w:sz="4" w:space="0" w:color="000000"/>
              <w:bottom w:val="single" w:sz="4" w:space="0" w:color="000000"/>
            </w:tcBorders>
            <w:shd w:val="clear" w:color="auto" w:fill="FFFF99"/>
          </w:tcPr>
          <w:p w14:paraId="646D3D07" w14:textId="77777777" w:rsidR="00F65BCA" w:rsidRDefault="00F65BCA">
            <w:pPr>
              <w:pStyle w:val="TableParagraph"/>
              <w:spacing w:before="7"/>
              <w:rPr>
                <w:rFonts w:ascii="Calibri"/>
                <w:b/>
                <w:sz w:val="8"/>
              </w:rPr>
            </w:pPr>
          </w:p>
          <w:p w14:paraId="4DCB1E11" w14:textId="77777777" w:rsidR="00F65BCA" w:rsidRDefault="00216117">
            <w:pPr>
              <w:pStyle w:val="TableParagraph"/>
              <w:spacing w:line="67" w:lineRule="exact"/>
              <w:ind w:left="158"/>
              <w:rPr>
                <w:rFonts w:ascii="Calibri" w:hAnsi="Calibri"/>
                <w:sz w:val="7"/>
              </w:rPr>
            </w:pPr>
            <w:r>
              <w:rPr>
                <w:rFonts w:ascii="Calibri" w:hAnsi="Calibri"/>
                <w:w w:val="105"/>
                <w:sz w:val="7"/>
              </w:rPr>
              <w:t>468 Kč</w:t>
            </w:r>
          </w:p>
        </w:tc>
      </w:tr>
      <w:tr w:rsidR="00F65BCA" w14:paraId="54B5E084" w14:textId="77777777">
        <w:trPr>
          <w:trHeight w:val="90"/>
        </w:trPr>
        <w:tc>
          <w:tcPr>
            <w:tcW w:w="188" w:type="dxa"/>
            <w:tcBorders>
              <w:top w:val="single" w:sz="4" w:space="0" w:color="000000"/>
              <w:bottom w:val="single" w:sz="4" w:space="0" w:color="000000"/>
              <w:right w:val="single" w:sz="4" w:space="0" w:color="000000"/>
            </w:tcBorders>
          </w:tcPr>
          <w:p w14:paraId="26A60D64" w14:textId="77777777" w:rsidR="00F65BCA" w:rsidRDefault="00216117">
            <w:pPr>
              <w:pStyle w:val="TableParagraph"/>
              <w:spacing w:before="4" w:line="67" w:lineRule="exact"/>
              <w:ind w:left="59"/>
              <w:rPr>
                <w:rFonts w:ascii="Calibri"/>
                <w:sz w:val="7"/>
              </w:rPr>
            </w:pPr>
            <w:r>
              <w:rPr>
                <w:rFonts w:ascii="Calibri"/>
                <w:w w:val="105"/>
                <w:sz w:val="7"/>
              </w:rPr>
              <w:t>32</w:t>
            </w:r>
          </w:p>
        </w:tc>
        <w:tc>
          <w:tcPr>
            <w:tcW w:w="398" w:type="dxa"/>
            <w:tcBorders>
              <w:top w:val="single" w:sz="4" w:space="0" w:color="000000"/>
              <w:left w:val="single" w:sz="4" w:space="0" w:color="000000"/>
              <w:bottom w:val="single" w:sz="4" w:space="0" w:color="000000"/>
              <w:right w:val="single" w:sz="4" w:space="0" w:color="000000"/>
            </w:tcBorders>
          </w:tcPr>
          <w:p w14:paraId="4B5C8042"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36B13008"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68C6465"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12F44718"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0581360" w14:textId="77777777" w:rsidR="00F65BCA" w:rsidRDefault="00216117">
            <w:pPr>
              <w:pStyle w:val="TableParagraph"/>
              <w:spacing w:before="1" w:line="69" w:lineRule="exact"/>
              <w:ind w:left="70"/>
              <w:rPr>
                <w:rFonts w:ascii="Calibri"/>
                <w:sz w:val="7"/>
              </w:rPr>
            </w:pPr>
            <w:r>
              <w:rPr>
                <w:rFonts w:ascii="Calibri"/>
                <w:w w:val="105"/>
                <w:sz w:val="7"/>
              </w:rPr>
              <w:t>7P24695</w:t>
            </w:r>
          </w:p>
        </w:tc>
        <w:tc>
          <w:tcPr>
            <w:tcW w:w="398" w:type="dxa"/>
            <w:tcBorders>
              <w:top w:val="single" w:sz="4" w:space="0" w:color="000000"/>
              <w:left w:val="single" w:sz="4" w:space="0" w:color="000000"/>
              <w:bottom w:val="single" w:sz="4" w:space="0" w:color="000000"/>
              <w:right w:val="single" w:sz="4" w:space="0" w:color="000000"/>
            </w:tcBorders>
          </w:tcPr>
          <w:p w14:paraId="0DEC116F" w14:textId="77777777" w:rsidR="00F65BCA" w:rsidRDefault="00216117">
            <w:pPr>
              <w:pStyle w:val="TableParagraph"/>
              <w:spacing w:before="1" w:line="69" w:lineRule="exact"/>
              <w:ind w:left="18"/>
              <w:jc w:val="center"/>
              <w:rPr>
                <w:rFonts w:ascii="Calibri"/>
                <w:sz w:val="7"/>
              </w:rPr>
            </w:pPr>
            <w:r>
              <w:rPr>
                <w:rFonts w:ascii="Calibri"/>
                <w:w w:val="105"/>
                <w:sz w:val="7"/>
              </w:rPr>
              <w:t>UI414767</w:t>
            </w:r>
          </w:p>
        </w:tc>
        <w:tc>
          <w:tcPr>
            <w:tcW w:w="792" w:type="dxa"/>
            <w:tcBorders>
              <w:top w:val="single" w:sz="4" w:space="0" w:color="000000"/>
              <w:left w:val="single" w:sz="4" w:space="0" w:color="000000"/>
              <w:bottom w:val="single" w:sz="4" w:space="0" w:color="000000"/>
              <w:right w:val="single" w:sz="4" w:space="0" w:color="000000"/>
            </w:tcBorders>
          </w:tcPr>
          <w:p w14:paraId="346594B5" w14:textId="77777777" w:rsidR="00F65BCA" w:rsidRDefault="00216117">
            <w:pPr>
              <w:pStyle w:val="TableParagraph"/>
              <w:spacing w:before="1" w:line="69" w:lineRule="exact"/>
              <w:ind w:left="57"/>
              <w:rPr>
                <w:rFonts w:ascii="Calibri"/>
                <w:sz w:val="7"/>
              </w:rPr>
            </w:pPr>
            <w:r>
              <w:rPr>
                <w:rFonts w:ascii="Calibri"/>
                <w:w w:val="105"/>
                <w:sz w:val="7"/>
              </w:rPr>
              <w:t>TMBAR6NH0J4527140</w:t>
            </w:r>
          </w:p>
        </w:tc>
        <w:tc>
          <w:tcPr>
            <w:tcW w:w="398" w:type="dxa"/>
            <w:tcBorders>
              <w:top w:val="single" w:sz="4" w:space="0" w:color="000000"/>
              <w:left w:val="single" w:sz="4" w:space="0" w:color="000000"/>
              <w:bottom w:val="single" w:sz="4" w:space="0" w:color="000000"/>
              <w:right w:val="single" w:sz="4" w:space="0" w:color="000000"/>
            </w:tcBorders>
          </w:tcPr>
          <w:p w14:paraId="3806C53D" w14:textId="77777777" w:rsidR="00F65BCA" w:rsidRDefault="00216117">
            <w:pPr>
              <w:pStyle w:val="TableParagraph"/>
              <w:spacing w:before="1" w:line="69" w:lineRule="exact"/>
              <w:ind w:left="100"/>
              <w:rPr>
                <w:rFonts w:ascii="Calibri"/>
                <w:sz w:val="7"/>
              </w:rPr>
            </w:pPr>
            <w:r>
              <w:rPr>
                <w:rFonts w:ascii="Calibri"/>
                <w:w w:val="105"/>
                <w:sz w:val="7"/>
              </w:rPr>
              <w:t>SKODA</w:t>
            </w:r>
          </w:p>
        </w:tc>
        <w:tc>
          <w:tcPr>
            <w:tcW w:w="1065" w:type="dxa"/>
            <w:tcBorders>
              <w:top w:val="single" w:sz="4" w:space="0" w:color="000000"/>
              <w:left w:val="single" w:sz="4" w:space="0" w:color="000000"/>
              <w:bottom w:val="single" w:sz="4" w:space="0" w:color="000000"/>
              <w:right w:val="single" w:sz="4" w:space="0" w:color="000000"/>
            </w:tcBorders>
          </w:tcPr>
          <w:p w14:paraId="76C974B2" w14:textId="77777777" w:rsidR="00F65BCA" w:rsidRDefault="00216117">
            <w:pPr>
              <w:pStyle w:val="TableParagraph"/>
              <w:spacing w:before="1" w:line="69" w:lineRule="exact"/>
              <w:ind w:left="75" w:right="52"/>
              <w:jc w:val="center"/>
              <w:rPr>
                <w:rFonts w:ascii="Calibri"/>
                <w:sz w:val="7"/>
              </w:rPr>
            </w:pPr>
            <w:r>
              <w:rPr>
                <w:rFonts w:ascii="Calibri"/>
                <w:w w:val="105"/>
                <w:sz w:val="7"/>
              </w:rPr>
              <w:t>RAPID</w:t>
            </w:r>
          </w:p>
        </w:tc>
        <w:tc>
          <w:tcPr>
            <w:tcW w:w="815" w:type="dxa"/>
            <w:tcBorders>
              <w:top w:val="single" w:sz="4" w:space="0" w:color="000000"/>
              <w:left w:val="single" w:sz="4" w:space="0" w:color="000000"/>
              <w:bottom w:val="single" w:sz="4" w:space="0" w:color="000000"/>
              <w:right w:val="single" w:sz="4" w:space="0" w:color="000000"/>
            </w:tcBorders>
          </w:tcPr>
          <w:p w14:paraId="298ED211"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671DA453" w14:textId="77777777" w:rsidR="00F65BCA" w:rsidRDefault="00216117">
            <w:pPr>
              <w:pStyle w:val="TableParagraph"/>
              <w:spacing w:before="1" w:line="69" w:lineRule="exact"/>
              <w:ind w:right="41"/>
              <w:jc w:val="right"/>
              <w:rPr>
                <w:rFonts w:ascii="Calibri"/>
                <w:sz w:val="7"/>
              </w:rPr>
            </w:pPr>
            <w:r>
              <w:rPr>
                <w:rFonts w:ascii="Calibri"/>
                <w:w w:val="105"/>
                <w:sz w:val="7"/>
              </w:rPr>
              <w:t>2017</w:t>
            </w:r>
          </w:p>
        </w:tc>
        <w:tc>
          <w:tcPr>
            <w:tcW w:w="278" w:type="dxa"/>
            <w:tcBorders>
              <w:top w:val="single" w:sz="4" w:space="0" w:color="000000"/>
              <w:left w:val="single" w:sz="4" w:space="0" w:color="000000"/>
              <w:bottom w:val="single" w:sz="4" w:space="0" w:color="000000"/>
              <w:right w:val="single" w:sz="4" w:space="0" w:color="000000"/>
            </w:tcBorders>
          </w:tcPr>
          <w:p w14:paraId="7735EF4C" w14:textId="77777777" w:rsidR="00F65BCA" w:rsidRDefault="00216117">
            <w:pPr>
              <w:pStyle w:val="TableParagraph"/>
              <w:spacing w:before="1" w:line="69" w:lineRule="exact"/>
              <w:ind w:left="28" w:right="2"/>
              <w:jc w:val="center"/>
              <w:rPr>
                <w:rFonts w:ascii="Calibri"/>
                <w:sz w:val="7"/>
              </w:rPr>
            </w:pPr>
            <w:r>
              <w:rPr>
                <w:rFonts w:ascii="Calibri"/>
                <w:w w:val="105"/>
                <w:sz w:val="7"/>
              </w:rPr>
              <w:t>999</w:t>
            </w:r>
          </w:p>
        </w:tc>
        <w:tc>
          <w:tcPr>
            <w:tcW w:w="268" w:type="dxa"/>
            <w:tcBorders>
              <w:top w:val="single" w:sz="4" w:space="0" w:color="000000"/>
              <w:left w:val="single" w:sz="4" w:space="0" w:color="000000"/>
              <w:bottom w:val="single" w:sz="4" w:space="0" w:color="000000"/>
              <w:right w:val="single" w:sz="4" w:space="0" w:color="000000"/>
            </w:tcBorders>
          </w:tcPr>
          <w:p w14:paraId="6B2A2D12" w14:textId="77777777" w:rsidR="00F65BCA" w:rsidRDefault="00216117">
            <w:pPr>
              <w:pStyle w:val="TableParagraph"/>
              <w:spacing w:before="1" w:line="69" w:lineRule="exact"/>
              <w:ind w:right="74"/>
              <w:jc w:val="right"/>
              <w:rPr>
                <w:rFonts w:ascii="Calibri"/>
                <w:sz w:val="7"/>
              </w:rPr>
            </w:pPr>
            <w:r>
              <w:rPr>
                <w:rFonts w:ascii="Calibri"/>
                <w:w w:val="105"/>
                <w:sz w:val="7"/>
              </w:rPr>
              <w:t>81</w:t>
            </w:r>
          </w:p>
        </w:tc>
        <w:tc>
          <w:tcPr>
            <w:tcW w:w="398" w:type="dxa"/>
            <w:tcBorders>
              <w:top w:val="single" w:sz="4" w:space="0" w:color="000000"/>
              <w:left w:val="single" w:sz="4" w:space="0" w:color="000000"/>
              <w:bottom w:val="single" w:sz="4" w:space="0" w:color="000000"/>
              <w:right w:val="single" w:sz="4" w:space="0" w:color="000000"/>
            </w:tcBorders>
          </w:tcPr>
          <w:p w14:paraId="4C0FEC1F" w14:textId="77777777" w:rsidR="00F65BCA" w:rsidRDefault="00216117">
            <w:pPr>
              <w:pStyle w:val="TableParagraph"/>
              <w:spacing w:before="1" w:line="69" w:lineRule="exact"/>
              <w:ind w:left="28"/>
              <w:jc w:val="center"/>
              <w:rPr>
                <w:rFonts w:ascii="Calibri"/>
                <w:sz w:val="7"/>
              </w:rPr>
            </w:pPr>
            <w:r>
              <w:rPr>
                <w:rFonts w:ascii="Calibri"/>
                <w:w w:val="105"/>
                <w:sz w:val="7"/>
              </w:rPr>
              <w:t>1650</w:t>
            </w:r>
          </w:p>
        </w:tc>
        <w:tc>
          <w:tcPr>
            <w:tcW w:w="249" w:type="dxa"/>
            <w:tcBorders>
              <w:top w:val="single" w:sz="4" w:space="0" w:color="000000"/>
              <w:left w:val="single" w:sz="4" w:space="0" w:color="000000"/>
              <w:bottom w:val="single" w:sz="4" w:space="0" w:color="000000"/>
              <w:right w:val="single" w:sz="4" w:space="0" w:color="000000"/>
            </w:tcBorders>
          </w:tcPr>
          <w:p w14:paraId="19E24059" w14:textId="77777777" w:rsidR="00F65BCA" w:rsidRDefault="00216117">
            <w:pPr>
              <w:pStyle w:val="TableParagraph"/>
              <w:spacing w:before="1"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17CB5D11" w14:textId="77777777" w:rsidR="00F65BCA" w:rsidRDefault="00216117">
            <w:pPr>
              <w:pStyle w:val="TableParagraph"/>
              <w:spacing w:before="1" w:line="69" w:lineRule="exact"/>
              <w:ind w:left="34"/>
              <w:jc w:val="center"/>
              <w:rPr>
                <w:rFonts w:ascii="Calibri" w:hAnsi="Calibri"/>
                <w:sz w:val="7"/>
              </w:rPr>
            </w:pPr>
            <w:r>
              <w:rPr>
                <w:rFonts w:ascii="Calibri" w:hAnsi="Calibri"/>
                <w:w w:val="105"/>
                <w:sz w:val="7"/>
              </w:rPr>
              <w:t>Benzín</w:t>
            </w:r>
          </w:p>
        </w:tc>
        <w:tc>
          <w:tcPr>
            <w:tcW w:w="256" w:type="dxa"/>
            <w:tcBorders>
              <w:top w:val="single" w:sz="4" w:space="0" w:color="000000"/>
              <w:left w:val="single" w:sz="4" w:space="0" w:color="000000"/>
              <w:bottom w:val="single" w:sz="4" w:space="0" w:color="000000"/>
              <w:right w:val="single" w:sz="4" w:space="0" w:color="000000"/>
            </w:tcBorders>
          </w:tcPr>
          <w:p w14:paraId="6FBE1AA2"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6B10A14D" w14:textId="77777777" w:rsidR="00F65BCA" w:rsidRDefault="00216117">
            <w:pPr>
              <w:pStyle w:val="TableParagraph"/>
              <w:spacing w:before="1" w:line="69" w:lineRule="exact"/>
              <w:jc w:val="right"/>
              <w:rPr>
                <w:rFonts w:ascii="Calibri" w:hAnsi="Calibri"/>
                <w:sz w:val="7"/>
              </w:rPr>
            </w:pPr>
            <w:r>
              <w:rPr>
                <w:rFonts w:ascii="Calibri" w:hAnsi="Calibri"/>
                <w:w w:val="105"/>
                <w:sz w:val="7"/>
              </w:rPr>
              <w:t>260 000 Kč</w:t>
            </w:r>
          </w:p>
        </w:tc>
        <w:tc>
          <w:tcPr>
            <w:tcW w:w="278" w:type="dxa"/>
            <w:tcBorders>
              <w:top w:val="single" w:sz="4" w:space="0" w:color="000000"/>
              <w:left w:val="single" w:sz="4" w:space="0" w:color="000000"/>
              <w:bottom w:val="single" w:sz="4" w:space="0" w:color="000000"/>
              <w:right w:val="single" w:sz="4" w:space="0" w:color="000000"/>
            </w:tcBorders>
          </w:tcPr>
          <w:p w14:paraId="7808E8E7"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08DBCF59"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73AE2C52"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14 000 Kč</w:t>
            </w:r>
          </w:p>
        </w:tc>
        <w:tc>
          <w:tcPr>
            <w:tcW w:w="398" w:type="dxa"/>
            <w:tcBorders>
              <w:top w:val="single" w:sz="4" w:space="0" w:color="000000"/>
              <w:left w:val="single" w:sz="4" w:space="0" w:color="000000"/>
              <w:bottom w:val="single" w:sz="4" w:space="0" w:color="000000"/>
              <w:right w:val="single" w:sz="4" w:space="0" w:color="000000"/>
            </w:tcBorders>
          </w:tcPr>
          <w:p w14:paraId="7BE73F52"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71751E9A"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3523F6DA"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3FC1DB3E"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0B04AF65" w14:textId="77777777" w:rsidR="00F65BCA" w:rsidRDefault="00216117">
            <w:pPr>
              <w:pStyle w:val="TableParagraph"/>
              <w:spacing w:before="4" w:line="67" w:lineRule="exact"/>
              <w:ind w:left="76" w:right="28"/>
              <w:jc w:val="center"/>
              <w:rPr>
                <w:rFonts w:ascii="Calibri" w:hAnsi="Calibri"/>
                <w:sz w:val="7"/>
              </w:rPr>
            </w:pPr>
            <w:r>
              <w:rPr>
                <w:rFonts w:ascii="Calibri" w:hAnsi="Calibri"/>
                <w:w w:val="105"/>
                <w:sz w:val="7"/>
              </w:rPr>
              <w:t>864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4DC96F50"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3 060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43C01DB0" w14:textId="77777777" w:rsidR="00F65BCA" w:rsidRDefault="00216117">
            <w:pPr>
              <w:pStyle w:val="TableParagraph"/>
              <w:spacing w:before="4" w:line="67" w:lineRule="exact"/>
              <w:ind w:right="98"/>
              <w:jc w:val="right"/>
              <w:rPr>
                <w:rFonts w:ascii="Calibri" w:hAnsi="Calibri"/>
                <w:sz w:val="7"/>
              </w:rPr>
            </w:pPr>
            <w:r>
              <w:rPr>
                <w:rFonts w:ascii="Calibri" w:hAnsi="Calibri"/>
                <w:w w:val="105"/>
                <w:sz w:val="7"/>
              </w:rPr>
              <w:t>888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3C3FC9AC"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76289210"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0D787410" w14:textId="77777777" w:rsidR="00F65BCA" w:rsidRDefault="00216117">
            <w:pPr>
              <w:pStyle w:val="TableParagraph"/>
              <w:spacing w:before="4" w:line="67" w:lineRule="exact"/>
              <w:ind w:left="77" w:right="16"/>
              <w:jc w:val="center"/>
              <w:rPr>
                <w:rFonts w:ascii="Calibri" w:hAnsi="Calibri"/>
                <w:sz w:val="7"/>
              </w:rPr>
            </w:pPr>
            <w:r>
              <w:rPr>
                <w:rFonts w:ascii="Calibri" w:hAnsi="Calibri"/>
                <w:w w:val="105"/>
                <w:sz w:val="7"/>
              </w:rPr>
              <w:t>1 200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1095437"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3DF0A9FB" w14:textId="77777777" w:rsidR="00F65BCA" w:rsidRDefault="00216117">
            <w:pPr>
              <w:pStyle w:val="TableParagraph"/>
              <w:spacing w:before="4" w:line="67" w:lineRule="exact"/>
              <w:ind w:left="130"/>
              <w:rPr>
                <w:rFonts w:ascii="Calibri" w:hAnsi="Calibri"/>
                <w:sz w:val="7"/>
              </w:rPr>
            </w:pPr>
            <w:r>
              <w:rPr>
                <w:rFonts w:ascii="Calibri" w:hAnsi="Calibri"/>
                <w:w w:val="105"/>
                <w:sz w:val="7"/>
              </w:rPr>
              <w:t>6 924 Kč</w:t>
            </w:r>
          </w:p>
        </w:tc>
      </w:tr>
      <w:tr w:rsidR="00F65BCA" w14:paraId="2C56A000" w14:textId="77777777">
        <w:trPr>
          <w:trHeight w:val="90"/>
        </w:trPr>
        <w:tc>
          <w:tcPr>
            <w:tcW w:w="188" w:type="dxa"/>
            <w:tcBorders>
              <w:top w:val="single" w:sz="4" w:space="0" w:color="000000"/>
              <w:bottom w:val="single" w:sz="4" w:space="0" w:color="000000"/>
              <w:right w:val="single" w:sz="4" w:space="0" w:color="000000"/>
            </w:tcBorders>
          </w:tcPr>
          <w:p w14:paraId="60731C17" w14:textId="77777777" w:rsidR="00F65BCA" w:rsidRDefault="00216117">
            <w:pPr>
              <w:pStyle w:val="TableParagraph"/>
              <w:spacing w:before="4" w:line="67" w:lineRule="exact"/>
              <w:ind w:left="59"/>
              <w:rPr>
                <w:rFonts w:ascii="Calibri"/>
                <w:sz w:val="7"/>
              </w:rPr>
            </w:pPr>
            <w:r>
              <w:rPr>
                <w:rFonts w:ascii="Calibri"/>
                <w:w w:val="105"/>
                <w:sz w:val="7"/>
              </w:rPr>
              <w:t>33</w:t>
            </w:r>
          </w:p>
        </w:tc>
        <w:tc>
          <w:tcPr>
            <w:tcW w:w="398" w:type="dxa"/>
            <w:tcBorders>
              <w:top w:val="single" w:sz="4" w:space="0" w:color="000000"/>
              <w:left w:val="single" w:sz="4" w:space="0" w:color="000000"/>
              <w:bottom w:val="single" w:sz="4" w:space="0" w:color="000000"/>
              <w:right w:val="single" w:sz="4" w:space="0" w:color="000000"/>
            </w:tcBorders>
          </w:tcPr>
          <w:p w14:paraId="3B098D06"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787403E1"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15C5D3BD"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6158BD05"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24584DF9" w14:textId="77777777" w:rsidR="00F65BCA" w:rsidRDefault="00216117">
            <w:pPr>
              <w:pStyle w:val="TableParagraph"/>
              <w:spacing w:before="1" w:line="69" w:lineRule="exact"/>
              <w:ind w:left="70"/>
              <w:rPr>
                <w:rFonts w:ascii="Calibri"/>
                <w:sz w:val="7"/>
              </w:rPr>
            </w:pPr>
            <w:r>
              <w:rPr>
                <w:rFonts w:ascii="Calibri"/>
                <w:w w:val="105"/>
                <w:sz w:val="7"/>
              </w:rPr>
              <w:t>P002044</w:t>
            </w:r>
          </w:p>
        </w:tc>
        <w:tc>
          <w:tcPr>
            <w:tcW w:w="398" w:type="dxa"/>
            <w:tcBorders>
              <w:top w:val="single" w:sz="4" w:space="0" w:color="000000"/>
              <w:left w:val="single" w:sz="4" w:space="0" w:color="000000"/>
              <w:bottom w:val="single" w:sz="4" w:space="0" w:color="000000"/>
              <w:right w:val="single" w:sz="4" w:space="0" w:color="000000"/>
            </w:tcBorders>
          </w:tcPr>
          <w:p w14:paraId="6AB4052C" w14:textId="77777777" w:rsidR="00F65BCA" w:rsidRDefault="00216117">
            <w:pPr>
              <w:pStyle w:val="TableParagraph"/>
              <w:spacing w:before="1" w:line="69" w:lineRule="exact"/>
              <w:ind w:left="14"/>
              <w:jc w:val="center"/>
              <w:rPr>
                <w:rFonts w:ascii="Calibri"/>
                <w:sz w:val="7"/>
              </w:rPr>
            </w:pPr>
            <w:r>
              <w:rPr>
                <w:rFonts w:ascii="Calibri"/>
                <w:w w:val="105"/>
                <w:sz w:val="7"/>
              </w:rPr>
              <w:t>ZA093416</w:t>
            </w:r>
          </w:p>
        </w:tc>
        <w:tc>
          <w:tcPr>
            <w:tcW w:w="792" w:type="dxa"/>
            <w:tcBorders>
              <w:top w:val="single" w:sz="4" w:space="0" w:color="000000"/>
              <w:left w:val="single" w:sz="4" w:space="0" w:color="000000"/>
              <w:bottom w:val="single" w:sz="4" w:space="0" w:color="000000"/>
              <w:right w:val="single" w:sz="4" w:space="0" w:color="000000"/>
            </w:tcBorders>
          </w:tcPr>
          <w:p w14:paraId="17376046" w14:textId="77777777" w:rsidR="00F65BCA" w:rsidRDefault="00216117">
            <w:pPr>
              <w:pStyle w:val="TableParagraph"/>
              <w:spacing w:before="1" w:line="69" w:lineRule="exact"/>
              <w:ind w:left="249"/>
              <w:rPr>
                <w:rFonts w:ascii="Calibri"/>
                <w:sz w:val="7"/>
              </w:rPr>
            </w:pPr>
            <w:r>
              <w:rPr>
                <w:rFonts w:ascii="Calibri"/>
                <w:w w:val="105"/>
                <w:sz w:val="7"/>
              </w:rPr>
              <w:t>TX556139</w:t>
            </w:r>
          </w:p>
        </w:tc>
        <w:tc>
          <w:tcPr>
            <w:tcW w:w="398" w:type="dxa"/>
            <w:tcBorders>
              <w:top w:val="single" w:sz="4" w:space="0" w:color="000000"/>
              <w:left w:val="single" w:sz="4" w:space="0" w:color="000000"/>
              <w:bottom w:val="single" w:sz="4" w:space="0" w:color="000000"/>
              <w:right w:val="single" w:sz="4" w:space="0" w:color="000000"/>
            </w:tcBorders>
          </w:tcPr>
          <w:p w14:paraId="42751780" w14:textId="77777777" w:rsidR="00F65BCA" w:rsidRDefault="00216117">
            <w:pPr>
              <w:pStyle w:val="TableParagraph"/>
              <w:spacing w:before="1" w:line="69" w:lineRule="exact"/>
              <w:ind w:left="59"/>
              <w:rPr>
                <w:rFonts w:ascii="Calibri"/>
                <w:sz w:val="7"/>
              </w:rPr>
            </w:pPr>
            <w:r>
              <w:rPr>
                <w:rFonts w:ascii="Calibri"/>
                <w:w w:val="105"/>
                <w:sz w:val="7"/>
              </w:rPr>
              <w:t>GOLDONI</w:t>
            </w:r>
          </w:p>
        </w:tc>
        <w:tc>
          <w:tcPr>
            <w:tcW w:w="1065" w:type="dxa"/>
            <w:tcBorders>
              <w:top w:val="single" w:sz="4" w:space="0" w:color="000000"/>
              <w:left w:val="single" w:sz="4" w:space="0" w:color="000000"/>
              <w:bottom w:val="single" w:sz="4" w:space="0" w:color="000000"/>
              <w:right w:val="single" w:sz="4" w:space="0" w:color="000000"/>
            </w:tcBorders>
          </w:tcPr>
          <w:p w14:paraId="21135A93" w14:textId="77777777" w:rsidR="00F65BCA" w:rsidRDefault="00216117">
            <w:pPr>
              <w:pStyle w:val="TableParagraph"/>
              <w:spacing w:before="1" w:line="69" w:lineRule="exact"/>
              <w:ind w:left="75" w:right="53"/>
              <w:jc w:val="center"/>
              <w:rPr>
                <w:rFonts w:ascii="Calibri"/>
                <w:sz w:val="7"/>
              </w:rPr>
            </w:pPr>
            <w:r>
              <w:rPr>
                <w:rFonts w:ascii="Calibri"/>
                <w:w w:val="105"/>
                <w:sz w:val="7"/>
              </w:rPr>
              <w:t>Aster 40</w:t>
            </w:r>
          </w:p>
        </w:tc>
        <w:tc>
          <w:tcPr>
            <w:tcW w:w="815" w:type="dxa"/>
            <w:tcBorders>
              <w:top w:val="single" w:sz="4" w:space="0" w:color="000000"/>
              <w:left w:val="single" w:sz="4" w:space="0" w:color="000000"/>
              <w:bottom w:val="single" w:sz="4" w:space="0" w:color="000000"/>
              <w:right w:val="single" w:sz="4" w:space="0" w:color="000000"/>
            </w:tcBorders>
          </w:tcPr>
          <w:p w14:paraId="7E868168"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Traktor Kolový</w:t>
            </w:r>
          </w:p>
        </w:tc>
        <w:tc>
          <w:tcPr>
            <w:tcW w:w="273" w:type="dxa"/>
            <w:tcBorders>
              <w:top w:val="single" w:sz="4" w:space="0" w:color="000000"/>
              <w:left w:val="single" w:sz="4" w:space="0" w:color="000000"/>
              <w:bottom w:val="single" w:sz="4" w:space="0" w:color="000000"/>
              <w:right w:val="single" w:sz="4" w:space="0" w:color="000000"/>
            </w:tcBorders>
          </w:tcPr>
          <w:p w14:paraId="091F61FA" w14:textId="77777777" w:rsidR="00F65BCA" w:rsidRDefault="00216117">
            <w:pPr>
              <w:pStyle w:val="TableParagraph"/>
              <w:spacing w:before="1" w:line="69" w:lineRule="exact"/>
              <w:ind w:right="41"/>
              <w:jc w:val="right"/>
              <w:rPr>
                <w:rFonts w:ascii="Calibri"/>
                <w:sz w:val="7"/>
              </w:rPr>
            </w:pPr>
            <w:r>
              <w:rPr>
                <w:rFonts w:ascii="Calibri"/>
                <w:w w:val="105"/>
                <w:sz w:val="7"/>
              </w:rPr>
              <w:t>2006</w:t>
            </w:r>
          </w:p>
        </w:tc>
        <w:tc>
          <w:tcPr>
            <w:tcW w:w="278" w:type="dxa"/>
            <w:tcBorders>
              <w:top w:val="single" w:sz="4" w:space="0" w:color="000000"/>
              <w:left w:val="single" w:sz="4" w:space="0" w:color="000000"/>
              <w:bottom w:val="single" w:sz="4" w:space="0" w:color="000000"/>
              <w:right w:val="single" w:sz="4" w:space="0" w:color="000000"/>
            </w:tcBorders>
          </w:tcPr>
          <w:p w14:paraId="13FE7C94" w14:textId="77777777" w:rsidR="00F65BCA" w:rsidRDefault="00216117">
            <w:pPr>
              <w:pStyle w:val="TableParagraph"/>
              <w:spacing w:before="1" w:line="69" w:lineRule="exact"/>
              <w:ind w:left="28" w:right="2"/>
              <w:jc w:val="center"/>
              <w:rPr>
                <w:rFonts w:ascii="Calibri"/>
                <w:sz w:val="7"/>
              </w:rPr>
            </w:pPr>
            <w:r>
              <w:rPr>
                <w:rFonts w:ascii="Calibri"/>
                <w:w w:val="105"/>
                <w:sz w:val="7"/>
              </w:rPr>
              <w:t>1649</w:t>
            </w:r>
          </w:p>
        </w:tc>
        <w:tc>
          <w:tcPr>
            <w:tcW w:w="268" w:type="dxa"/>
            <w:tcBorders>
              <w:top w:val="single" w:sz="4" w:space="0" w:color="000000"/>
              <w:left w:val="single" w:sz="4" w:space="0" w:color="000000"/>
              <w:bottom w:val="single" w:sz="4" w:space="0" w:color="000000"/>
              <w:right w:val="single" w:sz="4" w:space="0" w:color="000000"/>
            </w:tcBorders>
          </w:tcPr>
          <w:p w14:paraId="24FDFB8E" w14:textId="77777777" w:rsidR="00F65BCA" w:rsidRDefault="00216117">
            <w:pPr>
              <w:pStyle w:val="TableParagraph"/>
              <w:spacing w:before="1" w:line="69" w:lineRule="exact"/>
              <w:ind w:right="74"/>
              <w:jc w:val="right"/>
              <w:rPr>
                <w:rFonts w:ascii="Calibri"/>
                <w:sz w:val="7"/>
              </w:rPr>
            </w:pPr>
            <w:r>
              <w:rPr>
                <w:rFonts w:ascii="Calibri"/>
                <w:w w:val="105"/>
                <w:sz w:val="7"/>
              </w:rPr>
              <w:t>28</w:t>
            </w:r>
          </w:p>
        </w:tc>
        <w:tc>
          <w:tcPr>
            <w:tcW w:w="398" w:type="dxa"/>
            <w:tcBorders>
              <w:top w:val="single" w:sz="4" w:space="0" w:color="000000"/>
              <w:left w:val="single" w:sz="4" w:space="0" w:color="000000"/>
              <w:bottom w:val="single" w:sz="4" w:space="0" w:color="000000"/>
              <w:right w:val="single" w:sz="4" w:space="0" w:color="000000"/>
            </w:tcBorders>
          </w:tcPr>
          <w:p w14:paraId="3EA83C7F" w14:textId="77777777" w:rsidR="00F65BCA" w:rsidRDefault="00216117">
            <w:pPr>
              <w:pStyle w:val="TableParagraph"/>
              <w:spacing w:before="1" w:line="69" w:lineRule="exact"/>
              <w:ind w:left="29"/>
              <w:jc w:val="center"/>
              <w:rPr>
                <w:rFonts w:ascii="Calibri"/>
                <w:sz w:val="7"/>
              </w:rPr>
            </w:pPr>
            <w:r>
              <w:rPr>
                <w:rFonts w:ascii="Calibri"/>
                <w:w w:val="105"/>
                <w:sz w:val="7"/>
              </w:rPr>
              <w:t>230</w:t>
            </w:r>
          </w:p>
        </w:tc>
        <w:tc>
          <w:tcPr>
            <w:tcW w:w="249" w:type="dxa"/>
            <w:tcBorders>
              <w:top w:val="single" w:sz="4" w:space="0" w:color="000000"/>
              <w:left w:val="single" w:sz="4" w:space="0" w:color="000000"/>
              <w:bottom w:val="single" w:sz="4" w:space="0" w:color="000000"/>
              <w:right w:val="single" w:sz="4" w:space="0" w:color="000000"/>
            </w:tcBorders>
          </w:tcPr>
          <w:p w14:paraId="572599AB" w14:textId="77777777" w:rsidR="00F65BCA" w:rsidRDefault="00216117">
            <w:pPr>
              <w:pStyle w:val="TableParagraph"/>
              <w:spacing w:before="1" w:line="69" w:lineRule="exact"/>
              <w:ind w:right="82"/>
              <w:jc w:val="right"/>
              <w:rPr>
                <w:rFonts w:ascii="Calibri"/>
                <w:sz w:val="7"/>
              </w:rPr>
            </w:pPr>
            <w:r>
              <w:rPr>
                <w:rFonts w:ascii="Calibri"/>
                <w:w w:val="106"/>
                <w:sz w:val="7"/>
              </w:rPr>
              <w:t>1</w:t>
            </w:r>
          </w:p>
        </w:tc>
        <w:tc>
          <w:tcPr>
            <w:tcW w:w="311" w:type="dxa"/>
            <w:tcBorders>
              <w:top w:val="single" w:sz="4" w:space="0" w:color="000000"/>
              <w:left w:val="single" w:sz="4" w:space="0" w:color="000000"/>
              <w:bottom w:val="single" w:sz="4" w:space="0" w:color="000000"/>
              <w:right w:val="single" w:sz="4" w:space="0" w:color="000000"/>
            </w:tcBorders>
          </w:tcPr>
          <w:p w14:paraId="5885248A" w14:textId="77777777" w:rsidR="00F65BCA" w:rsidRDefault="00216117">
            <w:pPr>
              <w:pStyle w:val="TableParagraph"/>
              <w:spacing w:before="1"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06D79FCC"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191A0A89"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1712F0CE" w14:textId="77777777" w:rsidR="00F65BCA" w:rsidRDefault="00F65BCA">
            <w:pPr>
              <w:pStyle w:val="TableParagraph"/>
              <w:rPr>
                <w:rFonts w:ascii="Times New Roman"/>
                <w:sz w:val="4"/>
              </w:rPr>
            </w:pPr>
          </w:p>
        </w:tc>
        <w:tc>
          <w:tcPr>
            <w:tcW w:w="273" w:type="dxa"/>
            <w:tcBorders>
              <w:top w:val="single" w:sz="4" w:space="0" w:color="000000"/>
              <w:left w:val="single" w:sz="4" w:space="0" w:color="000000"/>
              <w:bottom w:val="single" w:sz="4" w:space="0" w:color="000000"/>
              <w:right w:val="single" w:sz="4" w:space="0" w:color="000000"/>
            </w:tcBorders>
          </w:tcPr>
          <w:p w14:paraId="4CACC9CE"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1BC6BBCE" w14:textId="77777777" w:rsidR="00F65BCA" w:rsidRDefault="00F65BCA">
            <w:pPr>
              <w:pStyle w:val="TableParagraph"/>
              <w:rPr>
                <w:rFonts w:ascii="Times New Roman"/>
                <w:sz w:val="4"/>
              </w:rPr>
            </w:pPr>
          </w:p>
        </w:tc>
        <w:tc>
          <w:tcPr>
            <w:tcW w:w="398" w:type="dxa"/>
            <w:tcBorders>
              <w:top w:val="single" w:sz="4" w:space="0" w:color="000000"/>
              <w:left w:val="single" w:sz="4" w:space="0" w:color="000000"/>
              <w:bottom w:val="single" w:sz="4" w:space="0" w:color="000000"/>
              <w:right w:val="single" w:sz="4" w:space="0" w:color="000000"/>
            </w:tcBorders>
          </w:tcPr>
          <w:p w14:paraId="321F8AC1" w14:textId="77777777" w:rsidR="00F65BCA" w:rsidRDefault="00F65BCA">
            <w:pPr>
              <w:pStyle w:val="TableParagraph"/>
              <w:rPr>
                <w:rFonts w:ascii="Times New Roman"/>
                <w:sz w:val="4"/>
              </w:rPr>
            </w:pPr>
          </w:p>
        </w:tc>
        <w:tc>
          <w:tcPr>
            <w:tcW w:w="278" w:type="dxa"/>
            <w:tcBorders>
              <w:top w:val="single" w:sz="4" w:space="0" w:color="000000"/>
              <w:left w:val="single" w:sz="4" w:space="0" w:color="000000"/>
              <w:bottom w:val="single" w:sz="4" w:space="0" w:color="000000"/>
              <w:right w:val="single" w:sz="4" w:space="0" w:color="000000"/>
            </w:tcBorders>
          </w:tcPr>
          <w:p w14:paraId="7F1ADB70"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446142E9"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6250BBC9"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4E40F160" w14:textId="77777777" w:rsidR="00F65BCA" w:rsidRDefault="00216117">
            <w:pPr>
              <w:pStyle w:val="TableParagraph"/>
              <w:spacing w:before="4" w:line="67" w:lineRule="exact"/>
              <w:ind w:left="76" w:right="28"/>
              <w:jc w:val="center"/>
              <w:rPr>
                <w:rFonts w:ascii="Calibri" w:hAnsi="Calibri"/>
                <w:sz w:val="7"/>
              </w:rPr>
            </w:pPr>
            <w:r>
              <w:rPr>
                <w:rFonts w:ascii="Calibri" w:hAnsi="Calibri"/>
                <w:w w:val="105"/>
                <w:sz w:val="7"/>
              </w:rPr>
              <w:t>684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2C78C42C" w14:textId="77777777" w:rsidR="00F65BCA" w:rsidRDefault="00F65BCA">
            <w:pPr>
              <w:pStyle w:val="TableParagraph"/>
              <w:rPr>
                <w:rFonts w:ascii="Times New Roman"/>
                <w:sz w:val="4"/>
              </w:rPr>
            </w:pP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300A8CB9" w14:textId="77777777" w:rsidR="00F65BCA" w:rsidRDefault="00F65BCA">
            <w:pPr>
              <w:pStyle w:val="TableParagraph"/>
              <w:rPr>
                <w:rFonts w:ascii="Times New Roman"/>
                <w:sz w:val="4"/>
              </w:rPr>
            </w:pP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1FC56CA7" w14:textId="77777777" w:rsidR="00F65BCA" w:rsidRDefault="00216117">
            <w:pPr>
              <w:pStyle w:val="TableParagraph"/>
              <w:spacing w:before="4" w:line="67" w:lineRule="exact"/>
              <w:ind w:left="98" w:right="44"/>
              <w:jc w:val="center"/>
              <w:rPr>
                <w:rFonts w:ascii="Calibri" w:hAnsi="Calibri"/>
                <w:sz w:val="7"/>
              </w:rPr>
            </w:pPr>
            <w:r>
              <w:rPr>
                <w:rFonts w:ascii="Calibri" w:hAnsi="Calibri"/>
                <w:w w:val="105"/>
                <w:sz w:val="7"/>
              </w:rPr>
              <w:t>108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73E5F52B" w14:textId="77777777" w:rsidR="00F65BCA" w:rsidRDefault="00216117">
            <w:pPr>
              <w:pStyle w:val="TableParagraph"/>
              <w:spacing w:before="4" w:line="67" w:lineRule="exact"/>
              <w:ind w:left="70"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57FB5CCB" w14:textId="77777777" w:rsidR="00F65BCA" w:rsidRDefault="00F65BCA">
            <w:pPr>
              <w:pStyle w:val="TableParagraph"/>
              <w:rPr>
                <w:rFonts w:ascii="Times New Roman"/>
                <w:sz w:val="4"/>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6123C06B"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3399BF8F" w14:textId="77777777" w:rsidR="00F65BCA" w:rsidRDefault="00216117">
            <w:pPr>
              <w:pStyle w:val="TableParagraph"/>
              <w:spacing w:before="4" w:line="67" w:lineRule="exact"/>
              <w:ind w:left="129"/>
              <w:rPr>
                <w:rFonts w:ascii="Calibri" w:hAnsi="Calibri"/>
                <w:sz w:val="7"/>
              </w:rPr>
            </w:pPr>
            <w:r>
              <w:rPr>
                <w:rFonts w:ascii="Calibri" w:hAnsi="Calibri"/>
                <w:w w:val="105"/>
                <w:sz w:val="7"/>
              </w:rPr>
              <w:t>1 188 Kč</w:t>
            </w:r>
          </w:p>
        </w:tc>
      </w:tr>
      <w:tr w:rsidR="00F65BCA" w14:paraId="2B81858E" w14:textId="77777777">
        <w:trPr>
          <w:trHeight w:val="90"/>
        </w:trPr>
        <w:tc>
          <w:tcPr>
            <w:tcW w:w="188" w:type="dxa"/>
            <w:tcBorders>
              <w:top w:val="single" w:sz="4" w:space="0" w:color="000000"/>
              <w:bottom w:val="single" w:sz="4" w:space="0" w:color="000000"/>
              <w:right w:val="single" w:sz="4" w:space="0" w:color="000000"/>
            </w:tcBorders>
          </w:tcPr>
          <w:p w14:paraId="1244EBAE" w14:textId="77777777" w:rsidR="00F65BCA" w:rsidRDefault="00216117">
            <w:pPr>
              <w:pStyle w:val="TableParagraph"/>
              <w:spacing w:before="4" w:line="67" w:lineRule="exact"/>
              <w:ind w:left="59"/>
              <w:rPr>
                <w:rFonts w:ascii="Calibri"/>
                <w:sz w:val="7"/>
              </w:rPr>
            </w:pPr>
            <w:r>
              <w:rPr>
                <w:rFonts w:ascii="Calibri"/>
                <w:w w:val="105"/>
                <w:sz w:val="7"/>
              </w:rPr>
              <w:t>34</w:t>
            </w:r>
          </w:p>
        </w:tc>
        <w:tc>
          <w:tcPr>
            <w:tcW w:w="398" w:type="dxa"/>
            <w:tcBorders>
              <w:top w:val="single" w:sz="4" w:space="0" w:color="000000"/>
              <w:left w:val="single" w:sz="4" w:space="0" w:color="000000"/>
              <w:bottom w:val="single" w:sz="4" w:space="0" w:color="000000"/>
              <w:right w:val="single" w:sz="4" w:space="0" w:color="000000"/>
            </w:tcBorders>
          </w:tcPr>
          <w:p w14:paraId="79123737"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4ADD4459"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2593DE7A"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34CAC77C"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253BFBB" w14:textId="77777777" w:rsidR="00F65BCA" w:rsidRDefault="00216117">
            <w:pPr>
              <w:pStyle w:val="TableParagraph"/>
              <w:spacing w:before="1" w:line="69" w:lineRule="exact"/>
              <w:ind w:left="70"/>
              <w:rPr>
                <w:rFonts w:ascii="Calibri"/>
                <w:sz w:val="7"/>
              </w:rPr>
            </w:pPr>
            <w:r>
              <w:rPr>
                <w:rFonts w:ascii="Calibri"/>
                <w:w w:val="105"/>
                <w:sz w:val="7"/>
              </w:rPr>
              <w:t>9P19080</w:t>
            </w:r>
          </w:p>
        </w:tc>
        <w:tc>
          <w:tcPr>
            <w:tcW w:w="398" w:type="dxa"/>
            <w:tcBorders>
              <w:top w:val="single" w:sz="4" w:space="0" w:color="000000"/>
              <w:left w:val="single" w:sz="4" w:space="0" w:color="000000"/>
              <w:bottom w:val="single" w:sz="4" w:space="0" w:color="000000"/>
              <w:right w:val="single" w:sz="4" w:space="0" w:color="000000"/>
            </w:tcBorders>
          </w:tcPr>
          <w:p w14:paraId="41EF410D" w14:textId="77777777" w:rsidR="00F65BCA" w:rsidRDefault="00216117">
            <w:pPr>
              <w:pStyle w:val="TableParagraph"/>
              <w:spacing w:before="1" w:line="69" w:lineRule="exact"/>
              <w:ind w:left="15"/>
              <w:jc w:val="center"/>
              <w:rPr>
                <w:rFonts w:ascii="Calibri"/>
                <w:sz w:val="7"/>
              </w:rPr>
            </w:pPr>
            <w:r>
              <w:rPr>
                <w:rFonts w:ascii="Calibri"/>
                <w:w w:val="105"/>
                <w:sz w:val="7"/>
              </w:rPr>
              <w:t>UM796830</w:t>
            </w:r>
          </w:p>
        </w:tc>
        <w:tc>
          <w:tcPr>
            <w:tcW w:w="792" w:type="dxa"/>
            <w:tcBorders>
              <w:top w:val="single" w:sz="4" w:space="0" w:color="000000"/>
              <w:left w:val="single" w:sz="4" w:space="0" w:color="000000"/>
              <w:bottom w:val="single" w:sz="4" w:space="0" w:color="000000"/>
              <w:right w:val="single" w:sz="4" w:space="0" w:color="000000"/>
            </w:tcBorders>
          </w:tcPr>
          <w:p w14:paraId="129F5A94" w14:textId="77777777" w:rsidR="00F65BCA" w:rsidRDefault="00216117">
            <w:pPr>
              <w:pStyle w:val="TableParagraph"/>
              <w:spacing w:before="1" w:line="69" w:lineRule="exact"/>
              <w:ind w:left="66"/>
              <w:rPr>
                <w:rFonts w:ascii="Calibri"/>
                <w:sz w:val="7"/>
              </w:rPr>
            </w:pPr>
            <w:r>
              <w:rPr>
                <w:rFonts w:ascii="Calibri"/>
                <w:w w:val="105"/>
                <w:sz w:val="7"/>
              </w:rPr>
              <w:t>WF0YXXTTGYLR11845</w:t>
            </w:r>
          </w:p>
        </w:tc>
        <w:tc>
          <w:tcPr>
            <w:tcW w:w="398" w:type="dxa"/>
            <w:tcBorders>
              <w:top w:val="single" w:sz="4" w:space="0" w:color="000000"/>
              <w:left w:val="single" w:sz="4" w:space="0" w:color="000000"/>
              <w:bottom w:val="single" w:sz="4" w:space="0" w:color="000000"/>
              <w:right w:val="single" w:sz="4" w:space="0" w:color="000000"/>
            </w:tcBorders>
          </w:tcPr>
          <w:p w14:paraId="0662A4DA" w14:textId="77777777" w:rsidR="00F65BCA" w:rsidRDefault="00216117">
            <w:pPr>
              <w:pStyle w:val="TableParagraph"/>
              <w:spacing w:before="1" w:line="69" w:lineRule="exact"/>
              <w:ind w:left="119"/>
              <w:rPr>
                <w:rFonts w:ascii="Calibri"/>
                <w:sz w:val="7"/>
              </w:rPr>
            </w:pPr>
            <w:r>
              <w:rPr>
                <w:rFonts w:ascii="Calibri"/>
                <w:w w:val="105"/>
                <w:sz w:val="7"/>
              </w:rPr>
              <w:t>FORD</w:t>
            </w:r>
          </w:p>
        </w:tc>
        <w:tc>
          <w:tcPr>
            <w:tcW w:w="1065" w:type="dxa"/>
            <w:tcBorders>
              <w:top w:val="single" w:sz="4" w:space="0" w:color="000000"/>
              <w:left w:val="single" w:sz="4" w:space="0" w:color="000000"/>
              <w:bottom w:val="single" w:sz="4" w:space="0" w:color="000000"/>
              <w:right w:val="single" w:sz="4" w:space="0" w:color="000000"/>
            </w:tcBorders>
          </w:tcPr>
          <w:p w14:paraId="115B04CF" w14:textId="77777777" w:rsidR="00F65BCA" w:rsidRDefault="00216117">
            <w:pPr>
              <w:pStyle w:val="TableParagraph"/>
              <w:spacing w:before="1" w:line="69" w:lineRule="exact"/>
              <w:ind w:left="75" w:right="55"/>
              <w:jc w:val="center"/>
              <w:rPr>
                <w:rFonts w:ascii="Calibri"/>
                <w:sz w:val="7"/>
              </w:rPr>
            </w:pPr>
            <w:r>
              <w:rPr>
                <w:rFonts w:ascii="Calibri"/>
                <w:w w:val="105"/>
                <w:sz w:val="7"/>
              </w:rPr>
              <w:t>TRANSIT CUSTOM 250 DIESEL</w:t>
            </w:r>
          </w:p>
        </w:tc>
        <w:tc>
          <w:tcPr>
            <w:tcW w:w="815" w:type="dxa"/>
            <w:tcBorders>
              <w:top w:val="single" w:sz="4" w:space="0" w:color="000000"/>
              <w:left w:val="single" w:sz="4" w:space="0" w:color="000000"/>
              <w:bottom w:val="single" w:sz="4" w:space="0" w:color="000000"/>
              <w:right w:val="single" w:sz="4" w:space="0" w:color="000000"/>
            </w:tcBorders>
          </w:tcPr>
          <w:p w14:paraId="6BD422DB" w14:textId="77777777" w:rsidR="00F65BCA" w:rsidRDefault="00216117">
            <w:pPr>
              <w:pStyle w:val="TableParagraph"/>
              <w:spacing w:before="1" w:line="69" w:lineRule="exact"/>
              <w:ind w:left="37" w:right="11"/>
              <w:jc w:val="center"/>
              <w:rPr>
                <w:rFonts w:ascii="Calibri" w:hAnsi="Calibri"/>
                <w:sz w:val="7"/>
              </w:rPr>
            </w:pPr>
            <w:r>
              <w:rPr>
                <w:rFonts w:ascii="Calibri" w:hAnsi="Calibri"/>
                <w:w w:val="105"/>
                <w:sz w:val="7"/>
              </w:rPr>
              <w:t>Užitkový</w:t>
            </w:r>
          </w:p>
        </w:tc>
        <w:tc>
          <w:tcPr>
            <w:tcW w:w="273" w:type="dxa"/>
            <w:tcBorders>
              <w:top w:val="single" w:sz="4" w:space="0" w:color="000000"/>
              <w:left w:val="single" w:sz="4" w:space="0" w:color="000000"/>
              <w:bottom w:val="single" w:sz="4" w:space="0" w:color="000000"/>
              <w:right w:val="single" w:sz="4" w:space="0" w:color="000000"/>
            </w:tcBorders>
          </w:tcPr>
          <w:p w14:paraId="444A2B76" w14:textId="77777777" w:rsidR="00F65BCA" w:rsidRDefault="00216117">
            <w:pPr>
              <w:pStyle w:val="TableParagraph"/>
              <w:spacing w:before="1" w:line="69" w:lineRule="exact"/>
              <w:ind w:right="41"/>
              <w:jc w:val="right"/>
              <w:rPr>
                <w:rFonts w:ascii="Calibri"/>
                <w:sz w:val="7"/>
              </w:rPr>
            </w:pPr>
            <w:r>
              <w:rPr>
                <w:rFonts w:ascii="Calibri"/>
                <w:w w:val="105"/>
                <w:sz w:val="7"/>
              </w:rPr>
              <w:t>2021</w:t>
            </w:r>
          </w:p>
        </w:tc>
        <w:tc>
          <w:tcPr>
            <w:tcW w:w="278" w:type="dxa"/>
            <w:tcBorders>
              <w:top w:val="single" w:sz="4" w:space="0" w:color="000000"/>
              <w:left w:val="single" w:sz="4" w:space="0" w:color="000000"/>
              <w:bottom w:val="single" w:sz="4" w:space="0" w:color="000000"/>
              <w:right w:val="single" w:sz="4" w:space="0" w:color="000000"/>
            </w:tcBorders>
          </w:tcPr>
          <w:p w14:paraId="6C722A1A" w14:textId="77777777" w:rsidR="00F65BCA" w:rsidRDefault="00216117">
            <w:pPr>
              <w:pStyle w:val="TableParagraph"/>
              <w:spacing w:before="1" w:line="69" w:lineRule="exact"/>
              <w:ind w:left="28" w:right="2"/>
              <w:jc w:val="center"/>
              <w:rPr>
                <w:rFonts w:ascii="Calibri"/>
                <w:sz w:val="7"/>
              </w:rPr>
            </w:pPr>
            <w:r>
              <w:rPr>
                <w:rFonts w:ascii="Calibri"/>
                <w:w w:val="105"/>
                <w:sz w:val="7"/>
              </w:rPr>
              <w:t>1995</w:t>
            </w:r>
          </w:p>
        </w:tc>
        <w:tc>
          <w:tcPr>
            <w:tcW w:w="268" w:type="dxa"/>
            <w:tcBorders>
              <w:top w:val="single" w:sz="4" w:space="0" w:color="000000"/>
              <w:left w:val="single" w:sz="4" w:space="0" w:color="000000"/>
              <w:bottom w:val="single" w:sz="4" w:space="0" w:color="000000"/>
              <w:right w:val="single" w:sz="4" w:space="0" w:color="000000"/>
            </w:tcBorders>
          </w:tcPr>
          <w:p w14:paraId="72C61849" w14:textId="77777777" w:rsidR="00F65BCA" w:rsidRDefault="00216117">
            <w:pPr>
              <w:pStyle w:val="TableParagraph"/>
              <w:spacing w:before="1" w:line="69" w:lineRule="exact"/>
              <w:ind w:right="74"/>
              <w:jc w:val="right"/>
              <w:rPr>
                <w:rFonts w:ascii="Calibri"/>
                <w:sz w:val="7"/>
              </w:rPr>
            </w:pPr>
            <w:r>
              <w:rPr>
                <w:rFonts w:ascii="Calibri"/>
                <w:w w:val="105"/>
                <w:sz w:val="7"/>
              </w:rPr>
              <w:t>79</w:t>
            </w:r>
          </w:p>
        </w:tc>
        <w:tc>
          <w:tcPr>
            <w:tcW w:w="398" w:type="dxa"/>
            <w:tcBorders>
              <w:top w:val="single" w:sz="4" w:space="0" w:color="000000"/>
              <w:left w:val="single" w:sz="4" w:space="0" w:color="000000"/>
              <w:bottom w:val="single" w:sz="4" w:space="0" w:color="000000"/>
              <w:right w:val="single" w:sz="4" w:space="0" w:color="000000"/>
            </w:tcBorders>
          </w:tcPr>
          <w:p w14:paraId="349E97A4" w14:textId="77777777" w:rsidR="00F65BCA" w:rsidRDefault="00216117">
            <w:pPr>
              <w:pStyle w:val="TableParagraph"/>
              <w:spacing w:before="1" w:line="69" w:lineRule="exact"/>
              <w:ind w:left="28"/>
              <w:jc w:val="center"/>
              <w:rPr>
                <w:rFonts w:ascii="Calibri"/>
                <w:sz w:val="7"/>
              </w:rPr>
            </w:pPr>
            <w:r>
              <w:rPr>
                <w:rFonts w:ascii="Calibri"/>
                <w:w w:val="105"/>
                <w:sz w:val="7"/>
              </w:rPr>
              <w:t>2799</w:t>
            </w:r>
          </w:p>
        </w:tc>
        <w:tc>
          <w:tcPr>
            <w:tcW w:w="249" w:type="dxa"/>
            <w:tcBorders>
              <w:top w:val="single" w:sz="4" w:space="0" w:color="000000"/>
              <w:left w:val="single" w:sz="4" w:space="0" w:color="000000"/>
              <w:bottom w:val="single" w:sz="4" w:space="0" w:color="000000"/>
              <w:right w:val="single" w:sz="4" w:space="0" w:color="000000"/>
            </w:tcBorders>
          </w:tcPr>
          <w:p w14:paraId="432C3071" w14:textId="77777777" w:rsidR="00F65BCA" w:rsidRDefault="00216117">
            <w:pPr>
              <w:pStyle w:val="TableParagraph"/>
              <w:spacing w:before="1" w:line="69" w:lineRule="exact"/>
              <w:ind w:right="82"/>
              <w:jc w:val="right"/>
              <w:rPr>
                <w:rFonts w:ascii="Calibri"/>
                <w:sz w:val="7"/>
              </w:rPr>
            </w:pPr>
            <w:r>
              <w:rPr>
                <w:rFonts w:ascii="Calibri"/>
                <w:w w:val="106"/>
                <w:sz w:val="7"/>
              </w:rPr>
              <w:t>3</w:t>
            </w:r>
          </w:p>
        </w:tc>
        <w:tc>
          <w:tcPr>
            <w:tcW w:w="311" w:type="dxa"/>
            <w:tcBorders>
              <w:top w:val="single" w:sz="4" w:space="0" w:color="000000"/>
              <w:left w:val="single" w:sz="4" w:space="0" w:color="000000"/>
              <w:bottom w:val="single" w:sz="4" w:space="0" w:color="000000"/>
              <w:right w:val="single" w:sz="4" w:space="0" w:color="000000"/>
            </w:tcBorders>
          </w:tcPr>
          <w:p w14:paraId="114B2BEE" w14:textId="77777777" w:rsidR="00F65BCA" w:rsidRDefault="00216117">
            <w:pPr>
              <w:pStyle w:val="TableParagraph"/>
              <w:spacing w:before="1"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0BE10AE0"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536AFCCE" w14:textId="77777777" w:rsidR="00F65BCA" w:rsidRDefault="00216117">
            <w:pPr>
              <w:pStyle w:val="TableParagraph"/>
              <w:spacing w:before="1" w:line="69" w:lineRule="exact"/>
              <w:jc w:val="right"/>
              <w:rPr>
                <w:rFonts w:ascii="Calibri" w:hAnsi="Calibri"/>
                <w:sz w:val="7"/>
              </w:rPr>
            </w:pPr>
            <w:r>
              <w:rPr>
                <w:rFonts w:ascii="Calibri" w:hAnsi="Calibri"/>
                <w:w w:val="105"/>
                <w:sz w:val="7"/>
              </w:rPr>
              <w:t>450 000 Kč</w:t>
            </w:r>
          </w:p>
        </w:tc>
        <w:tc>
          <w:tcPr>
            <w:tcW w:w="278" w:type="dxa"/>
            <w:tcBorders>
              <w:top w:val="single" w:sz="4" w:space="0" w:color="000000"/>
              <w:left w:val="single" w:sz="4" w:space="0" w:color="000000"/>
              <w:bottom w:val="single" w:sz="4" w:space="0" w:color="000000"/>
              <w:right w:val="single" w:sz="4" w:space="0" w:color="000000"/>
            </w:tcBorders>
          </w:tcPr>
          <w:p w14:paraId="4A7144F9"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766FF200"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3FA3D945" w14:textId="77777777" w:rsidR="00F65BCA" w:rsidRDefault="00216117">
            <w:pPr>
              <w:pStyle w:val="TableParagraph"/>
              <w:spacing w:before="1" w:line="69" w:lineRule="exact"/>
              <w:ind w:right="4"/>
              <w:jc w:val="right"/>
              <w:rPr>
                <w:rFonts w:ascii="Calibri" w:hAnsi="Calibri"/>
                <w:sz w:val="7"/>
              </w:rPr>
            </w:pPr>
            <w:r>
              <w:rPr>
                <w:rFonts w:ascii="Calibri" w:hAnsi="Calibri"/>
                <w:w w:val="105"/>
                <w:sz w:val="7"/>
              </w:rPr>
              <w:t>bez limitní</w:t>
            </w:r>
          </w:p>
        </w:tc>
        <w:tc>
          <w:tcPr>
            <w:tcW w:w="398" w:type="dxa"/>
            <w:tcBorders>
              <w:top w:val="single" w:sz="4" w:space="0" w:color="000000"/>
              <w:left w:val="single" w:sz="4" w:space="0" w:color="000000"/>
              <w:bottom w:val="single" w:sz="4" w:space="0" w:color="000000"/>
              <w:right w:val="single" w:sz="4" w:space="0" w:color="000000"/>
            </w:tcBorders>
          </w:tcPr>
          <w:p w14:paraId="0BD2FBDE"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38153849"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211D0AAF"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722F9DF5"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27CBBDA9"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2 436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4E37C766"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5 124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4CE96713" w14:textId="77777777" w:rsidR="00F65BCA" w:rsidRDefault="00216117">
            <w:pPr>
              <w:pStyle w:val="TableParagraph"/>
              <w:spacing w:before="4" w:line="67" w:lineRule="exact"/>
              <w:ind w:right="70"/>
              <w:jc w:val="right"/>
              <w:rPr>
                <w:rFonts w:ascii="Calibri" w:hAnsi="Calibri"/>
                <w:sz w:val="7"/>
              </w:rPr>
            </w:pPr>
            <w:r>
              <w:rPr>
                <w:rFonts w:ascii="Calibri" w:hAnsi="Calibri"/>
                <w:w w:val="105"/>
                <w:sz w:val="7"/>
              </w:rPr>
              <w:t>7 200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312427A2"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312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531142A0"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5835C69F" w14:textId="77777777" w:rsidR="00F65BCA" w:rsidRDefault="00216117">
            <w:pPr>
              <w:pStyle w:val="TableParagraph"/>
              <w:spacing w:before="4" w:line="67" w:lineRule="exact"/>
              <w:ind w:left="78" w:right="16"/>
              <w:jc w:val="center"/>
              <w:rPr>
                <w:rFonts w:ascii="Calibri" w:hAnsi="Calibri"/>
                <w:sz w:val="7"/>
              </w:rPr>
            </w:pPr>
            <w:r>
              <w:rPr>
                <w:rFonts w:ascii="Calibri" w:hAnsi="Calibri"/>
                <w:w w:val="105"/>
                <w:sz w:val="7"/>
              </w:rPr>
              <w:t>2 148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2119B14"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18771586" w14:textId="77777777" w:rsidR="00F65BCA" w:rsidRDefault="00216117">
            <w:pPr>
              <w:pStyle w:val="TableParagraph"/>
              <w:spacing w:before="4" w:line="67" w:lineRule="exact"/>
              <w:ind w:left="111"/>
              <w:rPr>
                <w:rFonts w:ascii="Calibri" w:hAnsi="Calibri"/>
                <w:sz w:val="7"/>
              </w:rPr>
            </w:pPr>
            <w:r>
              <w:rPr>
                <w:rFonts w:ascii="Calibri" w:hAnsi="Calibri"/>
                <w:w w:val="105"/>
                <w:sz w:val="7"/>
              </w:rPr>
              <w:t>17 616 Kč</w:t>
            </w:r>
          </w:p>
        </w:tc>
      </w:tr>
      <w:tr w:rsidR="00F65BCA" w14:paraId="360EA497" w14:textId="77777777">
        <w:trPr>
          <w:trHeight w:val="90"/>
        </w:trPr>
        <w:tc>
          <w:tcPr>
            <w:tcW w:w="188" w:type="dxa"/>
            <w:tcBorders>
              <w:top w:val="single" w:sz="4" w:space="0" w:color="000000"/>
              <w:bottom w:val="single" w:sz="4" w:space="0" w:color="000000"/>
              <w:right w:val="single" w:sz="4" w:space="0" w:color="000000"/>
            </w:tcBorders>
          </w:tcPr>
          <w:p w14:paraId="22ED6431" w14:textId="77777777" w:rsidR="00F65BCA" w:rsidRDefault="00216117">
            <w:pPr>
              <w:pStyle w:val="TableParagraph"/>
              <w:spacing w:before="4" w:line="67" w:lineRule="exact"/>
              <w:ind w:left="59"/>
              <w:rPr>
                <w:rFonts w:ascii="Calibri"/>
                <w:sz w:val="7"/>
              </w:rPr>
            </w:pPr>
            <w:r>
              <w:rPr>
                <w:rFonts w:ascii="Calibri"/>
                <w:w w:val="105"/>
                <w:sz w:val="7"/>
              </w:rPr>
              <w:t>35</w:t>
            </w:r>
          </w:p>
        </w:tc>
        <w:tc>
          <w:tcPr>
            <w:tcW w:w="398" w:type="dxa"/>
            <w:tcBorders>
              <w:top w:val="single" w:sz="4" w:space="0" w:color="000000"/>
              <w:left w:val="single" w:sz="4" w:space="0" w:color="000000"/>
              <w:bottom w:val="single" w:sz="4" w:space="0" w:color="000000"/>
              <w:right w:val="single" w:sz="4" w:space="0" w:color="000000"/>
            </w:tcBorders>
          </w:tcPr>
          <w:p w14:paraId="082969D8"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37CE463B"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7F691933"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7DF8BC93"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A6747C4" w14:textId="77777777" w:rsidR="00F65BCA" w:rsidRDefault="00216117">
            <w:pPr>
              <w:pStyle w:val="TableParagraph"/>
              <w:spacing w:before="1" w:line="69" w:lineRule="exact"/>
              <w:ind w:left="70"/>
              <w:rPr>
                <w:rFonts w:ascii="Calibri"/>
                <w:sz w:val="7"/>
              </w:rPr>
            </w:pPr>
            <w:r>
              <w:rPr>
                <w:rFonts w:ascii="Calibri"/>
                <w:w w:val="105"/>
                <w:sz w:val="7"/>
              </w:rPr>
              <w:t>9P36521</w:t>
            </w:r>
          </w:p>
        </w:tc>
        <w:tc>
          <w:tcPr>
            <w:tcW w:w="398" w:type="dxa"/>
            <w:tcBorders>
              <w:top w:val="single" w:sz="4" w:space="0" w:color="000000"/>
              <w:left w:val="single" w:sz="4" w:space="0" w:color="000000"/>
              <w:bottom w:val="single" w:sz="4" w:space="0" w:color="000000"/>
              <w:right w:val="single" w:sz="4" w:space="0" w:color="000000"/>
            </w:tcBorders>
          </w:tcPr>
          <w:p w14:paraId="7739077C" w14:textId="77777777" w:rsidR="00F65BCA" w:rsidRDefault="00216117">
            <w:pPr>
              <w:pStyle w:val="TableParagraph"/>
              <w:spacing w:before="1" w:line="69" w:lineRule="exact"/>
              <w:ind w:left="15"/>
              <w:jc w:val="center"/>
              <w:rPr>
                <w:rFonts w:ascii="Calibri"/>
                <w:sz w:val="7"/>
              </w:rPr>
            </w:pPr>
            <w:r>
              <w:rPr>
                <w:rFonts w:ascii="Calibri"/>
                <w:w w:val="105"/>
                <w:sz w:val="7"/>
              </w:rPr>
              <w:t>UBI832366</w:t>
            </w:r>
          </w:p>
        </w:tc>
        <w:tc>
          <w:tcPr>
            <w:tcW w:w="792" w:type="dxa"/>
            <w:tcBorders>
              <w:top w:val="single" w:sz="4" w:space="0" w:color="000000"/>
              <w:left w:val="single" w:sz="4" w:space="0" w:color="000000"/>
              <w:bottom w:val="single" w:sz="4" w:space="0" w:color="000000"/>
              <w:right w:val="single" w:sz="4" w:space="0" w:color="000000"/>
            </w:tcBorders>
          </w:tcPr>
          <w:p w14:paraId="61E125B8" w14:textId="77777777" w:rsidR="00F65BCA" w:rsidRDefault="00216117">
            <w:pPr>
              <w:pStyle w:val="TableParagraph"/>
              <w:spacing w:before="1" w:line="69" w:lineRule="exact"/>
              <w:ind w:left="85"/>
              <w:rPr>
                <w:rFonts w:ascii="Calibri"/>
                <w:sz w:val="7"/>
              </w:rPr>
            </w:pPr>
            <w:r>
              <w:rPr>
                <w:rFonts w:ascii="Calibri"/>
                <w:w w:val="105"/>
                <w:sz w:val="7"/>
              </w:rPr>
              <w:t>VF1JL000972031157</w:t>
            </w:r>
          </w:p>
        </w:tc>
        <w:tc>
          <w:tcPr>
            <w:tcW w:w="398" w:type="dxa"/>
            <w:tcBorders>
              <w:top w:val="single" w:sz="4" w:space="0" w:color="000000"/>
              <w:left w:val="single" w:sz="4" w:space="0" w:color="000000"/>
              <w:bottom w:val="single" w:sz="4" w:space="0" w:color="000000"/>
              <w:right w:val="single" w:sz="4" w:space="0" w:color="000000"/>
            </w:tcBorders>
          </w:tcPr>
          <w:p w14:paraId="1570DF7C" w14:textId="77777777" w:rsidR="00F65BCA" w:rsidRDefault="00216117">
            <w:pPr>
              <w:pStyle w:val="TableParagraph"/>
              <w:spacing w:before="1" w:line="69" w:lineRule="exact"/>
              <w:ind w:left="64"/>
              <w:rPr>
                <w:rFonts w:ascii="Calibri"/>
                <w:sz w:val="7"/>
              </w:rPr>
            </w:pPr>
            <w:r>
              <w:rPr>
                <w:rFonts w:ascii="Calibri"/>
                <w:w w:val="105"/>
                <w:sz w:val="7"/>
              </w:rPr>
              <w:t>RENAULT</w:t>
            </w:r>
          </w:p>
        </w:tc>
        <w:tc>
          <w:tcPr>
            <w:tcW w:w="1065" w:type="dxa"/>
            <w:tcBorders>
              <w:top w:val="single" w:sz="4" w:space="0" w:color="000000"/>
              <w:left w:val="single" w:sz="4" w:space="0" w:color="000000"/>
              <w:bottom w:val="single" w:sz="4" w:space="0" w:color="000000"/>
              <w:right w:val="single" w:sz="4" w:space="0" w:color="000000"/>
            </w:tcBorders>
          </w:tcPr>
          <w:p w14:paraId="263A5125" w14:textId="77777777" w:rsidR="00F65BCA" w:rsidRDefault="00216117">
            <w:pPr>
              <w:pStyle w:val="TableParagraph"/>
              <w:spacing w:before="1" w:line="69" w:lineRule="exact"/>
              <w:ind w:left="75" w:right="51"/>
              <w:jc w:val="center"/>
              <w:rPr>
                <w:rFonts w:ascii="Calibri"/>
                <w:sz w:val="7"/>
              </w:rPr>
            </w:pPr>
            <w:r>
              <w:rPr>
                <w:rFonts w:ascii="Calibri"/>
                <w:w w:val="105"/>
                <w:sz w:val="7"/>
              </w:rPr>
              <w:t>TRAFIC DIESEL</w:t>
            </w:r>
          </w:p>
        </w:tc>
        <w:tc>
          <w:tcPr>
            <w:tcW w:w="815" w:type="dxa"/>
            <w:tcBorders>
              <w:top w:val="single" w:sz="4" w:space="0" w:color="000000"/>
              <w:left w:val="single" w:sz="4" w:space="0" w:color="000000"/>
              <w:bottom w:val="single" w:sz="4" w:space="0" w:color="000000"/>
              <w:right w:val="single" w:sz="4" w:space="0" w:color="000000"/>
            </w:tcBorders>
          </w:tcPr>
          <w:p w14:paraId="2647BBA7"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28F6CCE3" w14:textId="77777777" w:rsidR="00F65BCA" w:rsidRDefault="00216117">
            <w:pPr>
              <w:pStyle w:val="TableParagraph"/>
              <w:spacing w:before="1" w:line="69" w:lineRule="exact"/>
              <w:ind w:right="41"/>
              <w:jc w:val="right"/>
              <w:rPr>
                <w:rFonts w:ascii="Calibri"/>
                <w:sz w:val="7"/>
              </w:rPr>
            </w:pPr>
            <w:r>
              <w:rPr>
                <w:rFonts w:ascii="Calibri"/>
                <w:w w:val="105"/>
                <w:sz w:val="7"/>
              </w:rPr>
              <w:t>2024</w:t>
            </w:r>
          </w:p>
        </w:tc>
        <w:tc>
          <w:tcPr>
            <w:tcW w:w="278" w:type="dxa"/>
            <w:tcBorders>
              <w:top w:val="single" w:sz="4" w:space="0" w:color="000000"/>
              <w:left w:val="single" w:sz="4" w:space="0" w:color="000000"/>
              <w:bottom w:val="single" w:sz="4" w:space="0" w:color="000000"/>
              <w:right w:val="single" w:sz="4" w:space="0" w:color="000000"/>
            </w:tcBorders>
          </w:tcPr>
          <w:p w14:paraId="1F1EE46D" w14:textId="77777777" w:rsidR="00F65BCA" w:rsidRDefault="00216117">
            <w:pPr>
              <w:pStyle w:val="TableParagraph"/>
              <w:spacing w:before="1" w:line="69" w:lineRule="exact"/>
              <w:ind w:left="28" w:right="2"/>
              <w:jc w:val="center"/>
              <w:rPr>
                <w:rFonts w:ascii="Calibri"/>
                <w:sz w:val="7"/>
              </w:rPr>
            </w:pPr>
            <w:r>
              <w:rPr>
                <w:rFonts w:ascii="Calibri"/>
                <w:w w:val="105"/>
                <w:sz w:val="7"/>
              </w:rPr>
              <w:t>1997</w:t>
            </w:r>
          </w:p>
        </w:tc>
        <w:tc>
          <w:tcPr>
            <w:tcW w:w="268" w:type="dxa"/>
            <w:tcBorders>
              <w:top w:val="single" w:sz="4" w:space="0" w:color="000000"/>
              <w:left w:val="single" w:sz="4" w:space="0" w:color="000000"/>
              <w:bottom w:val="single" w:sz="4" w:space="0" w:color="000000"/>
              <w:right w:val="single" w:sz="4" w:space="0" w:color="000000"/>
            </w:tcBorders>
          </w:tcPr>
          <w:p w14:paraId="7F2DF9C4" w14:textId="77777777" w:rsidR="00F65BCA" w:rsidRDefault="00216117">
            <w:pPr>
              <w:pStyle w:val="TableParagraph"/>
              <w:spacing w:before="1" w:line="69" w:lineRule="exact"/>
              <w:ind w:right="74"/>
              <w:jc w:val="right"/>
              <w:rPr>
                <w:rFonts w:ascii="Calibri"/>
                <w:sz w:val="7"/>
              </w:rPr>
            </w:pPr>
            <w:r>
              <w:rPr>
                <w:rFonts w:ascii="Calibri"/>
                <w:w w:val="105"/>
                <w:sz w:val="7"/>
              </w:rPr>
              <w:t>81</w:t>
            </w:r>
          </w:p>
        </w:tc>
        <w:tc>
          <w:tcPr>
            <w:tcW w:w="398" w:type="dxa"/>
            <w:tcBorders>
              <w:top w:val="single" w:sz="4" w:space="0" w:color="000000"/>
              <w:left w:val="single" w:sz="4" w:space="0" w:color="000000"/>
              <w:bottom w:val="single" w:sz="4" w:space="0" w:color="000000"/>
              <w:right w:val="single" w:sz="4" w:space="0" w:color="000000"/>
            </w:tcBorders>
          </w:tcPr>
          <w:p w14:paraId="21D3E20B" w14:textId="77777777" w:rsidR="00F65BCA" w:rsidRDefault="00216117">
            <w:pPr>
              <w:pStyle w:val="TableParagraph"/>
              <w:spacing w:before="1" w:line="69" w:lineRule="exact"/>
              <w:ind w:left="28"/>
              <w:jc w:val="center"/>
              <w:rPr>
                <w:rFonts w:ascii="Calibri"/>
                <w:sz w:val="7"/>
              </w:rPr>
            </w:pPr>
            <w:r>
              <w:rPr>
                <w:rFonts w:ascii="Calibri"/>
                <w:w w:val="105"/>
                <w:sz w:val="7"/>
              </w:rPr>
              <w:t>3020</w:t>
            </w:r>
          </w:p>
        </w:tc>
        <w:tc>
          <w:tcPr>
            <w:tcW w:w="249" w:type="dxa"/>
            <w:tcBorders>
              <w:top w:val="single" w:sz="4" w:space="0" w:color="000000"/>
              <w:left w:val="single" w:sz="4" w:space="0" w:color="000000"/>
              <w:bottom w:val="single" w:sz="4" w:space="0" w:color="000000"/>
              <w:right w:val="single" w:sz="4" w:space="0" w:color="000000"/>
            </w:tcBorders>
          </w:tcPr>
          <w:p w14:paraId="589393FD" w14:textId="77777777" w:rsidR="00F65BCA" w:rsidRDefault="00216117">
            <w:pPr>
              <w:pStyle w:val="TableParagraph"/>
              <w:spacing w:before="1" w:line="69" w:lineRule="exact"/>
              <w:ind w:right="82"/>
              <w:jc w:val="right"/>
              <w:rPr>
                <w:rFonts w:ascii="Calibri"/>
                <w:sz w:val="7"/>
              </w:rPr>
            </w:pPr>
            <w:r>
              <w:rPr>
                <w:rFonts w:ascii="Calibri"/>
                <w:w w:val="106"/>
                <w:sz w:val="7"/>
              </w:rPr>
              <w:t>9</w:t>
            </w:r>
          </w:p>
        </w:tc>
        <w:tc>
          <w:tcPr>
            <w:tcW w:w="311" w:type="dxa"/>
            <w:tcBorders>
              <w:top w:val="single" w:sz="4" w:space="0" w:color="000000"/>
              <w:left w:val="single" w:sz="4" w:space="0" w:color="000000"/>
              <w:bottom w:val="single" w:sz="4" w:space="0" w:color="000000"/>
              <w:right w:val="single" w:sz="4" w:space="0" w:color="000000"/>
            </w:tcBorders>
          </w:tcPr>
          <w:p w14:paraId="30A14281" w14:textId="77777777" w:rsidR="00F65BCA" w:rsidRDefault="00216117">
            <w:pPr>
              <w:pStyle w:val="TableParagraph"/>
              <w:spacing w:before="1"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3581106D"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335FFCF7" w14:textId="77777777" w:rsidR="00F65BCA" w:rsidRDefault="00216117">
            <w:pPr>
              <w:pStyle w:val="TableParagraph"/>
              <w:spacing w:before="1" w:line="69" w:lineRule="exact"/>
              <w:jc w:val="right"/>
              <w:rPr>
                <w:rFonts w:ascii="Calibri" w:hAnsi="Calibri"/>
                <w:sz w:val="7"/>
              </w:rPr>
            </w:pPr>
            <w:r>
              <w:rPr>
                <w:rFonts w:ascii="Calibri" w:hAnsi="Calibri"/>
                <w:w w:val="105"/>
                <w:sz w:val="7"/>
              </w:rPr>
              <w:t>805 000 Kč</w:t>
            </w:r>
          </w:p>
        </w:tc>
        <w:tc>
          <w:tcPr>
            <w:tcW w:w="278" w:type="dxa"/>
            <w:tcBorders>
              <w:top w:val="single" w:sz="4" w:space="0" w:color="000000"/>
              <w:left w:val="single" w:sz="4" w:space="0" w:color="000000"/>
              <w:bottom w:val="single" w:sz="4" w:space="0" w:color="000000"/>
              <w:right w:val="single" w:sz="4" w:space="0" w:color="000000"/>
            </w:tcBorders>
          </w:tcPr>
          <w:p w14:paraId="047861A2"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1946256C"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33166219" w14:textId="77777777" w:rsidR="00F65BCA" w:rsidRDefault="00216117">
            <w:pPr>
              <w:pStyle w:val="TableParagraph"/>
              <w:spacing w:before="1" w:line="69" w:lineRule="exact"/>
              <w:ind w:right="4"/>
              <w:jc w:val="right"/>
              <w:rPr>
                <w:rFonts w:ascii="Calibri" w:hAnsi="Calibri"/>
                <w:sz w:val="7"/>
              </w:rPr>
            </w:pPr>
            <w:r>
              <w:rPr>
                <w:rFonts w:ascii="Calibri" w:hAnsi="Calibri"/>
                <w:w w:val="105"/>
                <w:sz w:val="7"/>
              </w:rPr>
              <w:t>bez limitní</w:t>
            </w:r>
          </w:p>
        </w:tc>
        <w:tc>
          <w:tcPr>
            <w:tcW w:w="398" w:type="dxa"/>
            <w:tcBorders>
              <w:top w:val="single" w:sz="4" w:space="0" w:color="000000"/>
              <w:left w:val="single" w:sz="4" w:space="0" w:color="000000"/>
              <w:bottom w:val="single" w:sz="4" w:space="0" w:color="000000"/>
              <w:right w:val="single" w:sz="4" w:space="0" w:color="000000"/>
            </w:tcBorders>
          </w:tcPr>
          <w:p w14:paraId="7CBE25F5"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25C30FC8"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47413529"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2BA14701"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652DB46C"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2 016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256F82E1"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6 576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41FCBDF1" w14:textId="77777777" w:rsidR="00F65BCA" w:rsidRDefault="00216117">
            <w:pPr>
              <w:pStyle w:val="TableParagraph"/>
              <w:spacing w:before="4" w:line="67" w:lineRule="exact"/>
              <w:ind w:right="70"/>
              <w:jc w:val="right"/>
              <w:rPr>
                <w:rFonts w:ascii="Calibri" w:hAnsi="Calibri"/>
                <w:sz w:val="7"/>
              </w:rPr>
            </w:pPr>
            <w:r>
              <w:rPr>
                <w:rFonts w:ascii="Calibri" w:hAnsi="Calibri"/>
                <w:w w:val="105"/>
                <w:sz w:val="7"/>
              </w:rPr>
              <w:t>6 300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180F95FA"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936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28F95FFA"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01E3D097" w14:textId="77777777" w:rsidR="00F65BCA" w:rsidRDefault="00216117">
            <w:pPr>
              <w:pStyle w:val="TableParagraph"/>
              <w:spacing w:before="4" w:line="67" w:lineRule="exact"/>
              <w:ind w:left="78" w:right="16"/>
              <w:jc w:val="center"/>
              <w:rPr>
                <w:rFonts w:ascii="Calibri" w:hAnsi="Calibri"/>
                <w:sz w:val="7"/>
              </w:rPr>
            </w:pPr>
            <w:r>
              <w:rPr>
                <w:rFonts w:ascii="Calibri" w:hAnsi="Calibri"/>
                <w:w w:val="105"/>
                <w:sz w:val="7"/>
              </w:rPr>
              <w:t>1 200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1BC5F15F"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13C98C0E" w14:textId="77777777" w:rsidR="00F65BCA" w:rsidRDefault="00216117">
            <w:pPr>
              <w:pStyle w:val="TableParagraph"/>
              <w:spacing w:before="4" w:line="67" w:lineRule="exact"/>
              <w:ind w:left="111"/>
              <w:rPr>
                <w:rFonts w:ascii="Calibri" w:hAnsi="Calibri"/>
                <w:sz w:val="7"/>
              </w:rPr>
            </w:pPr>
            <w:r>
              <w:rPr>
                <w:rFonts w:ascii="Calibri" w:hAnsi="Calibri"/>
                <w:w w:val="105"/>
                <w:sz w:val="7"/>
              </w:rPr>
              <w:t>17 424 Kč</w:t>
            </w:r>
          </w:p>
        </w:tc>
      </w:tr>
      <w:tr w:rsidR="00F65BCA" w14:paraId="77341300" w14:textId="77777777">
        <w:trPr>
          <w:trHeight w:val="191"/>
        </w:trPr>
        <w:tc>
          <w:tcPr>
            <w:tcW w:w="188" w:type="dxa"/>
            <w:tcBorders>
              <w:top w:val="single" w:sz="4" w:space="0" w:color="000000"/>
              <w:bottom w:val="single" w:sz="4" w:space="0" w:color="000000"/>
              <w:right w:val="single" w:sz="4" w:space="0" w:color="000000"/>
            </w:tcBorders>
          </w:tcPr>
          <w:p w14:paraId="6ACD14D6" w14:textId="77777777" w:rsidR="00F65BCA" w:rsidRDefault="00F65BCA">
            <w:pPr>
              <w:pStyle w:val="TableParagraph"/>
              <w:spacing w:before="7"/>
              <w:rPr>
                <w:rFonts w:ascii="Calibri"/>
                <w:b/>
                <w:sz w:val="8"/>
              </w:rPr>
            </w:pPr>
          </w:p>
          <w:p w14:paraId="58A549BB" w14:textId="77777777" w:rsidR="00F65BCA" w:rsidRDefault="00216117">
            <w:pPr>
              <w:pStyle w:val="TableParagraph"/>
              <w:spacing w:line="67" w:lineRule="exact"/>
              <w:ind w:left="59"/>
              <w:rPr>
                <w:rFonts w:ascii="Calibri"/>
                <w:sz w:val="7"/>
              </w:rPr>
            </w:pPr>
            <w:r>
              <w:rPr>
                <w:rFonts w:ascii="Calibri"/>
                <w:w w:val="105"/>
                <w:sz w:val="7"/>
              </w:rPr>
              <w:t>36</w:t>
            </w:r>
          </w:p>
        </w:tc>
        <w:tc>
          <w:tcPr>
            <w:tcW w:w="398" w:type="dxa"/>
            <w:tcBorders>
              <w:top w:val="single" w:sz="4" w:space="0" w:color="000000"/>
              <w:left w:val="single" w:sz="4" w:space="0" w:color="000000"/>
              <w:bottom w:val="single" w:sz="4" w:space="0" w:color="000000"/>
              <w:right w:val="single" w:sz="4" w:space="0" w:color="000000"/>
            </w:tcBorders>
          </w:tcPr>
          <w:p w14:paraId="580A6BAA" w14:textId="77777777" w:rsidR="00F65BCA" w:rsidRDefault="00F65BCA">
            <w:pPr>
              <w:pStyle w:val="TableParagraph"/>
              <w:spacing w:before="4"/>
              <w:rPr>
                <w:rFonts w:ascii="Calibri"/>
                <w:b/>
                <w:sz w:val="8"/>
              </w:rPr>
            </w:pPr>
          </w:p>
          <w:p w14:paraId="22D145B5" w14:textId="77777777" w:rsidR="00F65BCA" w:rsidRDefault="00216117">
            <w:pPr>
              <w:pStyle w:val="TableParagraph"/>
              <w:spacing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516BE846" w14:textId="77777777" w:rsidR="00F65BCA" w:rsidRDefault="00F65BCA">
            <w:pPr>
              <w:pStyle w:val="TableParagraph"/>
              <w:spacing w:before="4"/>
              <w:rPr>
                <w:rFonts w:ascii="Calibri"/>
                <w:b/>
                <w:sz w:val="8"/>
              </w:rPr>
            </w:pPr>
          </w:p>
          <w:p w14:paraId="33BAB61F" w14:textId="77777777" w:rsidR="00F65BCA" w:rsidRDefault="00216117">
            <w:pPr>
              <w:pStyle w:val="TableParagraph"/>
              <w:spacing w:line="69" w:lineRule="exact"/>
              <w:ind w:left="70" w:right="44"/>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1CE9A44C" w14:textId="77777777" w:rsidR="00F65BCA" w:rsidRDefault="00F65BCA">
            <w:pPr>
              <w:pStyle w:val="TableParagraph"/>
              <w:spacing w:before="4"/>
              <w:rPr>
                <w:rFonts w:ascii="Calibri"/>
                <w:b/>
                <w:sz w:val="8"/>
              </w:rPr>
            </w:pPr>
          </w:p>
          <w:p w14:paraId="4A50B3B4" w14:textId="77777777" w:rsidR="00F65BCA" w:rsidRDefault="00216117">
            <w:pPr>
              <w:pStyle w:val="TableParagraph"/>
              <w:spacing w:line="69" w:lineRule="exact"/>
              <w:ind w:right="34"/>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150ACDCB" w14:textId="77777777" w:rsidR="00F65BCA" w:rsidRDefault="00F65BCA">
            <w:pPr>
              <w:pStyle w:val="TableParagraph"/>
              <w:spacing w:before="4"/>
              <w:rPr>
                <w:rFonts w:ascii="Calibri"/>
                <w:b/>
                <w:sz w:val="8"/>
              </w:rPr>
            </w:pPr>
          </w:p>
          <w:p w14:paraId="5A85B092" w14:textId="77777777" w:rsidR="00F65BCA" w:rsidRDefault="00216117">
            <w:pPr>
              <w:pStyle w:val="TableParagraph"/>
              <w:spacing w:line="69" w:lineRule="exact"/>
              <w:ind w:left="70"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55D3CA59"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39069518" w14:textId="77777777" w:rsidR="00F65BCA" w:rsidRDefault="00F65BCA">
            <w:pPr>
              <w:pStyle w:val="TableParagraph"/>
              <w:rPr>
                <w:rFonts w:ascii="Times New Roman"/>
                <w:sz w:val="6"/>
              </w:rPr>
            </w:pPr>
          </w:p>
        </w:tc>
        <w:tc>
          <w:tcPr>
            <w:tcW w:w="792" w:type="dxa"/>
            <w:tcBorders>
              <w:top w:val="single" w:sz="4" w:space="0" w:color="000000"/>
              <w:left w:val="single" w:sz="4" w:space="0" w:color="000000"/>
              <w:bottom w:val="single" w:sz="4" w:space="0" w:color="000000"/>
              <w:right w:val="single" w:sz="4" w:space="0" w:color="000000"/>
            </w:tcBorders>
          </w:tcPr>
          <w:p w14:paraId="4C928E9D" w14:textId="77777777" w:rsidR="00F65BCA" w:rsidRDefault="00F65BCA">
            <w:pPr>
              <w:pStyle w:val="TableParagraph"/>
              <w:spacing w:before="4"/>
              <w:rPr>
                <w:rFonts w:ascii="Calibri"/>
                <w:b/>
                <w:sz w:val="8"/>
              </w:rPr>
            </w:pPr>
          </w:p>
          <w:p w14:paraId="2D75EF28" w14:textId="77777777" w:rsidR="00F65BCA" w:rsidRDefault="00216117">
            <w:pPr>
              <w:pStyle w:val="TableParagraph"/>
              <w:spacing w:line="69" w:lineRule="exact"/>
              <w:ind w:left="230"/>
              <w:rPr>
                <w:rFonts w:ascii="Calibri"/>
                <w:sz w:val="7"/>
              </w:rPr>
            </w:pPr>
            <w:r>
              <w:rPr>
                <w:rFonts w:ascii="Calibri"/>
                <w:w w:val="105"/>
                <w:sz w:val="7"/>
              </w:rPr>
              <w:t>S11102298</w:t>
            </w:r>
          </w:p>
        </w:tc>
        <w:tc>
          <w:tcPr>
            <w:tcW w:w="398" w:type="dxa"/>
            <w:tcBorders>
              <w:top w:val="single" w:sz="4" w:space="0" w:color="000000"/>
              <w:left w:val="single" w:sz="4" w:space="0" w:color="000000"/>
              <w:bottom w:val="single" w:sz="4" w:space="0" w:color="000000"/>
              <w:right w:val="single" w:sz="4" w:space="0" w:color="000000"/>
            </w:tcBorders>
          </w:tcPr>
          <w:p w14:paraId="2064AE5F" w14:textId="77777777" w:rsidR="00F65BCA" w:rsidRDefault="00F65BCA">
            <w:pPr>
              <w:pStyle w:val="TableParagraph"/>
              <w:spacing w:before="4"/>
              <w:rPr>
                <w:rFonts w:ascii="Calibri"/>
                <w:b/>
                <w:sz w:val="8"/>
              </w:rPr>
            </w:pPr>
          </w:p>
          <w:p w14:paraId="51822803" w14:textId="77777777" w:rsidR="00F65BCA" w:rsidRDefault="00216117">
            <w:pPr>
              <w:pStyle w:val="TableParagraph"/>
              <w:spacing w:line="69" w:lineRule="exact"/>
              <w:ind w:left="129"/>
              <w:rPr>
                <w:rFonts w:ascii="Calibri"/>
                <w:sz w:val="7"/>
              </w:rPr>
            </w:pPr>
            <w:r>
              <w:rPr>
                <w:rFonts w:ascii="Calibri"/>
                <w:w w:val="105"/>
                <w:sz w:val="7"/>
              </w:rPr>
              <w:t>ISEKI</w:t>
            </w:r>
          </w:p>
        </w:tc>
        <w:tc>
          <w:tcPr>
            <w:tcW w:w="1065" w:type="dxa"/>
            <w:tcBorders>
              <w:top w:val="single" w:sz="4" w:space="0" w:color="000000"/>
              <w:left w:val="single" w:sz="4" w:space="0" w:color="000000"/>
              <w:bottom w:val="single" w:sz="4" w:space="0" w:color="000000"/>
              <w:right w:val="single" w:sz="4" w:space="0" w:color="000000"/>
            </w:tcBorders>
          </w:tcPr>
          <w:p w14:paraId="0945C918" w14:textId="77777777" w:rsidR="00F65BCA" w:rsidRDefault="00F65BCA">
            <w:pPr>
              <w:pStyle w:val="TableParagraph"/>
              <w:spacing w:before="4"/>
              <w:rPr>
                <w:rFonts w:ascii="Calibri"/>
                <w:b/>
                <w:sz w:val="8"/>
              </w:rPr>
            </w:pPr>
          </w:p>
          <w:p w14:paraId="55405491" w14:textId="77777777" w:rsidR="00F65BCA" w:rsidRDefault="00216117">
            <w:pPr>
              <w:pStyle w:val="TableParagraph"/>
              <w:spacing w:line="69" w:lineRule="exact"/>
              <w:ind w:left="74" w:right="55"/>
              <w:jc w:val="center"/>
              <w:rPr>
                <w:rFonts w:ascii="Calibri"/>
                <w:sz w:val="7"/>
              </w:rPr>
            </w:pPr>
            <w:r>
              <w:rPr>
                <w:rFonts w:ascii="Calibri"/>
                <w:w w:val="105"/>
                <w:sz w:val="7"/>
              </w:rPr>
              <w:t>SXG 323 HL</w:t>
            </w:r>
          </w:p>
        </w:tc>
        <w:tc>
          <w:tcPr>
            <w:tcW w:w="815" w:type="dxa"/>
            <w:tcBorders>
              <w:top w:val="single" w:sz="4" w:space="0" w:color="000000"/>
              <w:left w:val="single" w:sz="4" w:space="0" w:color="000000"/>
              <w:bottom w:val="single" w:sz="4" w:space="0" w:color="000000"/>
              <w:right w:val="single" w:sz="4" w:space="0" w:color="000000"/>
            </w:tcBorders>
          </w:tcPr>
          <w:p w14:paraId="1FF91705" w14:textId="77777777" w:rsidR="00F65BCA" w:rsidRDefault="00216117">
            <w:pPr>
              <w:pStyle w:val="TableParagraph"/>
              <w:spacing w:before="4"/>
              <w:ind w:left="182"/>
              <w:rPr>
                <w:rFonts w:ascii="Calibri" w:hAnsi="Calibri"/>
                <w:sz w:val="7"/>
              </w:rPr>
            </w:pPr>
            <w:r>
              <w:rPr>
                <w:rFonts w:ascii="Calibri" w:hAnsi="Calibri"/>
                <w:w w:val="105"/>
                <w:sz w:val="7"/>
              </w:rPr>
              <w:t>Motorový vozík</w:t>
            </w:r>
          </w:p>
          <w:p w14:paraId="31F4D436" w14:textId="77777777" w:rsidR="00F65BCA" w:rsidRDefault="00216117">
            <w:pPr>
              <w:pStyle w:val="TableParagraph"/>
              <w:spacing w:before="13" w:line="69" w:lineRule="exact"/>
              <w:ind w:left="213"/>
              <w:rPr>
                <w:rFonts w:ascii="Calibri"/>
                <w:sz w:val="7"/>
              </w:rPr>
            </w:pPr>
            <w:r>
              <w:rPr>
                <w:rFonts w:ascii="Calibri"/>
                <w:w w:val="105"/>
                <w:sz w:val="7"/>
              </w:rPr>
              <w:t>(malotraktor)</w:t>
            </w:r>
          </w:p>
        </w:tc>
        <w:tc>
          <w:tcPr>
            <w:tcW w:w="273" w:type="dxa"/>
            <w:tcBorders>
              <w:top w:val="single" w:sz="4" w:space="0" w:color="000000"/>
              <w:left w:val="single" w:sz="4" w:space="0" w:color="000000"/>
              <w:bottom w:val="single" w:sz="4" w:space="0" w:color="000000"/>
              <w:right w:val="single" w:sz="4" w:space="0" w:color="000000"/>
            </w:tcBorders>
          </w:tcPr>
          <w:p w14:paraId="187DFAB4" w14:textId="77777777" w:rsidR="00F65BCA" w:rsidRDefault="00F65BCA">
            <w:pPr>
              <w:pStyle w:val="TableParagraph"/>
              <w:spacing w:before="4"/>
              <w:rPr>
                <w:rFonts w:ascii="Calibri"/>
                <w:b/>
                <w:sz w:val="8"/>
              </w:rPr>
            </w:pPr>
          </w:p>
          <w:p w14:paraId="34079220" w14:textId="77777777" w:rsidR="00F65BCA" w:rsidRDefault="00216117">
            <w:pPr>
              <w:pStyle w:val="TableParagraph"/>
              <w:spacing w:line="69" w:lineRule="exact"/>
              <w:ind w:right="41"/>
              <w:jc w:val="right"/>
              <w:rPr>
                <w:rFonts w:ascii="Calibri"/>
                <w:sz w:val="7"/>
              </w:rPr>
            </w:pPr>
            <w:r>
              <w:rPr>
                <w:rFonts w:ascii="Calibri"/>
                <w:w w:val="105"/>
                <w:sz w:val="7"/>
              </w:rPr>
              <w:t>2017</w:t>
            </w:r>
          </w:p>
        </w:tc>
        <w:tc>
          <w:tcPr>
            <w:tcW w:w="278" w:type="dxa"/>
            <w:tcBorders>
              <w:top w:val="single" w:sz="4" w:space="0" w:color="000000"/>
              <w:left w:val="single" w:sz="4" w:space="0" w:color="000000"/>
              <w:bottom w:val="single" w:sz="4" w:space="0" w:color="000000"/>
              <w:right w:val="single" w:sz="4" w:space="0" w:color="000000"/>
            </w:tcBorders>
          </w:tcPr>
          <w:p w14:paraId="217D9B16" w14:textId="77777777" w:rsidR="00F65BCA" w:rsidRDefault="00F65BCA">
            <w:pPr>
              <w:pStyle w:val="TableParagraph"/>
              <w:spacing w:before="4"/>
              <w:rPr>
                <w:rFonts w:ascii="Calibri"/>
                <w:b/>
                <w:sz w:val="8"/>
              </w:rPr>
            </w:pPr>
          </w:p>
          <w:p w14:paraId="6AB35D14" w14:textId="77777777" w:rsidR="00F65BCA" w:rsidRDefault="00216117">
            <w:pPr>
              <w:pStyle w:val="TableParagraph"/>
              <w:spacing w:line="69" w:lineRule="exact"/>
              <w:ind w:left="27" w:right="2"/>
              <w:jc w:val="center"/>
              <w:rPr>
                <w:rFonts w:ascii="Calibri"/>
                <w:sz w:val="7"/>
              </w:rPr>
            </w:pPr>
            <w:r>
              <w:rPr>
                <w:rFonts w:ascii="Calibri"/>
                <w:w w:val="105"/>
                <w:sz w:val="7"/>
              </w:rPr>
              <w:t>1123</w:t>
            </w:r>
          </w:p>
        </w:tc>
        <w:tc>
          <w:tcPr>
            <w:tcW w:w="268" w:type="dxa"/>
            <w:tcBorders>
              <w:top w:val="single" w:sz="4" w:space="0" w:color="000000"/>
              <w:left w:val="single" w:sz="4" w:space="0" w:color="000000"/>
              <w:bottom w:val="single" w:sz="4" w:space="0" w:color="000000"/>
              <w:right w:val="single" w:sz="4" w:space="0" w:color="000000"/>
            </w:tcBorders>
          </w:tcPr>
          <w:p w14:paraId="7E06AA0B" w14:textId="77777777" w:rsidR="00F65BCA" w:rsidRDefault="00F65BCA">
            <w:pPr>
              <w:pStyle w:val="TableParagraph"/>
              <w:spacing w:before="4"/>
              <w:rPr>
                <w:rFonts w:ascii="Calibri"/>
                <w:b/>
                <w:sz w:val="8"/>
              </w:rPr>
            </w:pPr>
          </w:p>
          <w:p w14:paraId="60B669C5" w14:textId="77777777" w:rsidR="00F65BCA" w:rsidRDefault="00216117">
            <w:pPr>
              <w:pStyle w:val="TableParagraph"/>
              <w:spacing w:line="69" w:lineRule="exact"/>
              <w:ind w:right="75"/>
              <w:jc w:val="right"/>
              <w:rPr>
                <w:rFonts w:ascii="Calibri"/>
                <w:sz w:val="7"/>
              </w:rPr>
            </w:pPr>
            <w:r>
              <w:rPr>
                <w:rFonts w:ascii="Calibri"/>
                <w:w w:val="105"/>
                <w:sz w:val="7"/>
              </w:rPr>
              <w:t>15</w:t>
            </w:r>
          </w:p>
        </w:tc>
        <w:tc>
          <w:tcPr>
            <w:tcW w:w="398" w:type="dxa"/>
            <w:tcBorders>
              <w:top w:val="single" w:sz="4" w:space="0" w:color="000000"/>
              <w:left w:val="single" w:sz="4" w:space="0" w:color="000000"/>
              <w:bottom w:val="single" w:sz="4" w:space="0" w:color="000000"/>
              <w:right w:val="single" w:sz="4" w:space="0" w:color="000000"/>
            </w:tcBorders>
          </w:tcPr>
          <w:p w14:paraId="51049B7C" w14:textId="77777777" w:rsidR="00F65BCA" w:rsidRDefault="00F65BCA">
            <w:pPr>
              <w:pStyle w:val="TableParagraph"/>
              <w:spacing w:before="4"/>
              <w:rPr>
                <w:rFonts w:ascii="Calibri"/>
                <w:b/>
                <w:sz w:val="8"/>
              </w:rPr>
            </w:pPr>
          </w:p>
          <w:p w14:paraId="38CDB39F" w14:textId="77777777" w:rsidR="00F65BCA" w:rsidRDefault="00216117">
            <w:pPr>
              <w:pStyle w:val="TableParagraph"/>
              <w:spacing w:line="69" w:lineRule="exact"/>
              <w:ind w:left="29"/>
              <w:jc w:val="center"/>
              <w:rPr>
                <w:rFonts w:ascii="Calibri"/>
                <w:sz w:val="7"/>
              </w:rPr>
            </w:pPr>
            <w:r>
              <w:rPr>
                <w:rFonts w:ascii="Calibri"/>
                <w:w w:val="105"/>
                <w:sz w:val="7"/>
              </w:rPr>
              <w:t>560</w:t>
            </w:r>
          </w:p>
        </w:tc>
        <w:tc>
          <w:tcPr>
            <w:tcW w:w="249" w:type="dxa"/>
            <w:tcBorders>
              <w:top w:val="single" w:sz="4" w:space="0" w:color="000000"/>
              <w:left w:val="single" w:sz="4" w:space="0" w:color="000000"/>
              <w:bottom w:val="single" w:sz="4" w:space="0" w:color="000000"/>
              <w:right w:val="single" w:sz="4" w:space="0" w:color="000000"/>
            </w:tcBorders>
          </w:tcPr>
          <w:p w14:paraId="4670B0DB" w14:textId="77777777" w:rsidR="00F65BCA" w:rsidRDefault="00F65BCA">
            <w:pPr>
              <w:pStyle w:val="TableParagraph"/>
              <w:spacing w:before="4"/>
              <w:rPr>
                <w:rFonts w:ascii="Calibri"/>
                <w:b/>
                <w:sz w:val="8"/>
              </w:rPr>
            </w:pPr>
          </w:p>
          <w:p w14:paraId="6C3D9015" w14:textId="77777777" w:rsidR="00F65BCA" w:rsidRDefault="00216117">
            <w:pPr>
              <w:pStyle w:val="TableParagraph"/>
              <w:spacing w:line="69" w:lineRule="exact"/>
              <w:ind w:right="82"/>
              <w:jc w:val="right"/>
              <w:rPr>
                <w:rFonts w:ascii="Calibri"/>
                <w:sz w:val="7"/>
              </w:rPr>
            </w:pPr>
            <w:r>
              <w:rPr>
                <w:rFonts w:ascii="Calibri"/>
                <w:w w:val="106"/>
                <w:sz w:val="7"/>
              </w:rPr>
              <w:t>1</w:t>
            </w:r>
          </w:p>
        </w:tc>
        <w:tc>
          <w:tcPr>
            <w:tcW w:w="311" w:type="dxa"/>
            <w:tcBorders>
              <w:top w:val="single" w:sz="4" w:space="0" w:color="000000"/>
              <w:left w:val="single" w:sz="4" w:space="0" w:color="000000"/>
              <w:bottom w:val="single" w:sz="4" w:space="0" w:color="000000"/>
              <w:right w:val="single" w:sz="4" w:space="0" w:color="000000"/>
            </w:tcBorders>
          </w:tcPr>
          <w:p w14:paraId="10CD5D42" w14:textId="77777777" w:rsidR="00F65BCA" w:rsidRDefault="00F65BCA">
            <w:pPr>
              <w:pStyle w:val="TableParagraph"/>
              <w:spacing w:before="4"/>
              <w:rPr>
                <w:rFonts w:ascii="Calibri"/>
                <w:b/>
                <w:sz w:val="8"/>
              </w:rPr>
            </w:pPr>
          </w:p>
          <w:p w14:paraId="317F688C" w14:textId="77777777" w:rsidR="00F65BCA" w:rsidRDefault="00216117">
            <w:pPr>
              <w:pStyle w:val="TableParagraph"/>
              <w:spacing w:line="69" w:lineRule="exact"/>
              <w:ind w:left="32"/>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7FDA85D7" w14:textId="77777777" w:rsidR="00F65BCA" w:rsidRDefault="00F65BCA">
            <w:pPr>
              <w:pStyle w:val="TableParagraph"/>
              <w:spacing w:before="4"/>
              <w:rPr>
                <w:rFonts w:ascii="Calibri"/>
                <w:b/>
                <w:sz w:val="8"/>
              </w:rPr>
            </w:pPr>
          </w:p>
          <w:p w14:paraId="7D4D9824" w14:textId="77777777" w:rsidR="00F65BCA" w:rsidRDefault="00216117">
            <w:pPr>
              <w:pStyle w:val="TableParagraph"/>
              <w:spacing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24D293D7" w14:textId="77777777" w:rsidR="00F65BCA" w:rsidRDefault="00F65BCA">
            <w:pPr>
              <w:pStyle w:val="TableParagraph"/>
              <w:rPr>
                <w:rFonts w:ascii="Times New Roman"/>
                <w:sz w:val="6"/>
              </w:rPr>
            </w:pPr>
          </w:p>
        </w:tc>
        <w:tc>
          <w:tcPr>
            <w:tcW w:w="278" w:type="dxa"/>
            <w:tcBorders>
              <w:top w:val="single" w:sz="4" w:space="0" w:color="000000"/>
              <w:left w:val="single" w:sz="4" w:space="0" w:color="000000"/>
              <w:bottom w:val="single" w:sz="4" w:space="0" w:color="000000"/>
              <w:right w:val="single" w:sz="4" w:space="0" w:color="000000"/>
            </w:tcBorders>
          </w:tcPr>
          <w:p w14:paraId="3D7E7533" w14:textId="77777777" w:rsidR="00F65BCA" w:rsidRDefault="00F65BCA">
            <w:pPr>
              <w:pStyle w:val="TableParagraph"/>
              <w:rPr>
                <w:rFonts w:ascii="Times New Roman"/>
                <w:sz w:val="6"/>
              </w:rPr>
            </w:pPr>
          </w:p>
        </w:tc>
        <w:tc>
          <w:tcPr>
            <w:tcW w:w="273" w:type="dxa"/>
            <w:tcBorders>
              <w:top w:val="single" w:sz="4" w:space="0" w:color="000000"/>
              <w:left w:val="single" w:sz="4" w:space="0" w:color="000000"/>
              <w:bottom w:val="single" w:sz="4" w:space="0" w:color="000000"/>
              <w:right w:val="single" w:sz="4" w:space="0" w:color="000000"/>
            </w:tcBorders>
          </w:tcPr>
          <w:p w14:paraId="3762F40E"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6A397E59"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3AB0FE30" w14:textId="77777777" w:rsidR="00F65BCA" w:rsidRDefault="00F65BCA">
            <w:pPr>
              <w:pStyle w:val="TableParagraph"/>
              <w:rPr>
                <w:rFonts w:ascii="Times New Roman"/>
                <w:sz w:val="6"/>
              </w:rPr>
            </w:pPr>
          </w:p>
        </w:tc>
        <w:tc>
          <w:tcPr>
            <w:tcW w:w="278" w:type="dxa"/>
            <w:tcBorders>
              <w:top w:val="single" w:sz="4" w:space="0" w:color="000000"/>
              <w:left w:val="single" w:sz="4" w:space="0" w:color="000000"/>
              <w:bottom w:val="single" w:sz="4" w:space="0" w:color="000000"/>
              <w:right w:val="single" w:sz="4" w:space="0" w:color="000000"/>
            </w:tcBorders>
          </w:tcPr>
          <w:p w14:paraId="331459D2"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2EC693B9"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131DF029" w14:textId="77777777" w:rsidR="00F65BCA" w:rsidRDefault="00F65BCA">
            <w:pPr>
              <w:pStyle w:val="TableParagraph"/>
              <w:rPr>
                <w:rFonts w:ascii="Times New Roman"/>
                <w:sz w:val="6"/>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7E930119" w14:textId="77777777" w:rsidR="00F65BCA" w:rsidRDefault="00F65BCA">
            <w:pPr>
              <w:pStyle w:val="TableParagraph"/>
              <w:spacing w:before="7"/>
              <w:rPr>
                <w:rFonts w:ascii="Calibri"/>
                <w:b/>
                <w:sz w:val="8"/>
              </w:rPr>
            </w:pPr>
          </w:p>
          <w:p w14:paraId="689E22BA" w14:textId="77777777" w:rsidR="00F65BCA" w:rsidRDefault="00216117">
            <w:pPr>
              <w:pStyle w:val="TableParagraph"/>
              <w:spacing w:line="67" w:lineRule="exact"/>
              <w:ind w:left="76" w:right="28"/>
              <w:jc w:val="center"/>
              <w:rPr>
                <w:rFonts w:ascii="Calibri" w:hAnsi="Calibri"/>
                <w:sz w:val="7"/>
              </w:rPr>
            </w:pPr>
            <w:r>
              <w:rPr>
                <w:rFonts w:ascii="Calibri" w:hAnsi="Calibri"/>
                <w:w w:val="105"/>
                <w:sz w:val="7"/>
              </w:rPr>
              <w:t>360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15A72326" w14:textId="77777777" w:rsidR="00F65BCA" w:rsidRDefault="00F65BCA">
            <w:pPr>
              <w:pStyle w:val="TableParagraph"/>
              <w:rPr>
                <w:rFonts w:ascii="Times New Roman"/>
                <w:sz w:val="6"/>
              </w:rPr>
            </w:pP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47FC19A8" w14:textId="77777777" w:rsidR="00F65BCA" w:rsidRDefault="00F65BCA">
            <w:pPr>
              <w:pStyle w:val="TableParagraph"/>
              <w:rPr>
                <w:rFonts w:ascii="Times New Roman"/>
                <w:sz w:val="6"/>
              </w:rPr>
            </w:pP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2D712C5B" w14:textId="77777777" w:rsidR="00F65BCA" w:rsidRDefault="00F65BCA">
            <w:pPr>
              <w:pStyle w:val="TableParagraph"/>
              <w:rPr>
                <w:rFonts w:ascii="Times New Roman"/>
                <w:sz w:val="6"/>
              </w:rPr>
            </w:pP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69BF6F3B" w14:textId="77777777" w:rsidR="00F65BCA" w:rsidRDefault="00F65BCA">
            <w:pPr>
              <w:pStyle w:val="TableParagraph"/>
              <w:rPr>
                <w:rFonts w:ascii="Times New Roman"/>
                <w:sz w:val="6"/>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701B11E8" w14:textId="77777777" w:rsidR="00F65BCA" w:rsidRDefault="00F65BCA">
            <w:pPr>
              <w:pStyle w:val="TableParagraph"/>
              <w:rPr>
                <w:rFonts w:ascii="Times New Roman"/>
                <w:sz w:val="6"/>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598AEB90" w14:textId="77777777" w:rsidR="00F65BCA" w:rsidRDefault="00F65BCA">
            <w:pPr>
              <w:pStyle w:val="TableParagraph"/>
              <w:rPr>
                <w:rFonts w:ascii="Times New Roman"/>
                <w:sz w:val="6"/>
              </w:rPr>
            </w:pPr>
          </w:p>
        </w:tc>
        <w:tc>
          <w:tcPr>
            <w:tcW w:w="458" w:type="dxa"/>
            <w:tcBorders>
              <w:top w:val="single" w:sz="4" w:space="0" w:color="000000"/>
              <w:left w:val="single" w:sz="4" w:space="0" w:color="000000"/>
              <w:bottom w:val="single" w:sz="4" w:space="0" w:color="000000"/>
            </w:tcBorders>
            <w:shd w:val="clear" w:color="auto" w:fill="FFFF99"/>
          </w:tcPr>
          <w:p w14:paraId="417BDDF0" w14:textId="77777777" w:rsidR="00F65BCA" w:rsidRDefault="00F65BCA">
            <w:pPr>
              <w:pStyle w:val="TableParagraph"/>
              <w:spacing w:before="7"/>
              <w:rPr>
                <w:rFonts w:ascii="Calibri"/>
                <w:b/>
                <w:sz w:val="8"/>
              </w:rPr>
            </w:pPr>
          </w:p>
          <w:p w14:paraId="47FE05DF" w14:textId="77777777" w:rsidR="00F65BCA" w:rsidRDefault="00216117">
            <w:pPr>
              <w:pStyle w:val="TableParagraph"/>
              <w:spacing w:line="67" w:lineRule="exact"/>
              <w:ind w:left="158"/>
              <w:rPr>
                <w:rFonts w:ascii="Calibri" w:hAnsi="Calibri"/>
                <w:sz w:val="7"/>
              </w:rPr>
            </w:pPr>
            <w:r>
              <w:rPr>
                <w:rFonts w:ascii="Calibri" w:hAnsi="Calibri"/>
                <w:w w:val="105"/>
                <w:sz w:val="7"/>
              </w:rPr>
              <w:t>360 Kč</w:t>
            </w:r>
          </w:p>
        </w:tc>
      </w:tr>
      <w:tr w:rsidR="00F65BCA" w14:paraId="08D0E615" w14:textId="77777777">
        <w:trPr>
          <w:trHeight w:val="191"/>
        </w:trPr>
        <w:tc>
          <w:tcPr>
            <w:tcW w:w="188" w:type="dxa"/>
            <w:tcBorders>
              <w:top w:val="single" w:sz="4" w:space="0" w:color="000000"/>
              <w:bottom w:val="single" w:sz="4" w:space="0" w:color="000000"/>
              <w:right w:val="single" w:sz="4" w:space="0" w:color="000000"/>
            </w:tcBorders>
          </w:tcPr>
          <w:p w14:paraId="23C9E2C9" w14:textId="77777777" w:rsidR="00F65BCA" w:rsidRDefault="00F65BCA">
            <w:pPr>
              <w:pStyle w:val="TableParagraph"/>
              <w:spacing w:before="7"/>
              <w:rPr>
                <w:rFonts w:ascii="Calibri"/>
                <w:b/>
                <w:sz w:val="8"/>
              </w:rPr>
            </w:pPr>
          </w:p>
          <w:p w14:paraId="130DEF32" w14:textId="77777777" w:rsidR="00F65BCA" w:rsidRDefault="00216117">
            <w:pPr>
              <w:pStyle w:val="TableParagraph"/>
              <w:spacing w:line="67" w:lineRule="exact"/>
              <w:ind w:left="59"/>
              <w:rPr>
                <w:rFonts w:ascii="Calibri"/>
                <w:sz w:val="7"/>
              </w:rPr>
            </w:pPr>
            <w:r>
              <w:rPr>
                <w:rFonts w:ascii="Calibri"/>
                <w:w w:val="105"/>
                <w:sz w:val="7"/>
              </w:rPr>
              <w:t>37</w:t>
            </w:r>
          </w:p>
        </w:tc>
        <w:tc>
          <w:tcPr>
            <w:tcW w:w="398" w:type="dxa"/>
            <w:tcBorders>
              <w:top w:val="single" w:sz="4" w:space="0" w:color="000000"/>
              <w:left w:val="single" w:sz="4" w:space="0" w:color="000000"/>
              <w:bottom w:val="single" w:sz="4" w:space="0" w:color="000000"/>
              <w:right w:val="single" w:sz="4" w:space="0" w:color="000000"/>
            </w:tcBorders>
          </w:tcPr>
          <w:p w14:paraId="189E1128" w14:textId="77777777" w:rsidR="00F65BCA" w:rsidRDefault="00F65BCA">
            <w:pPr>
              <w:pStyle w:val="TableParagraph"/>
              <w:spacing w:before="4"/>
              <w:rPr>
                <w:rFonts w:ascii="Calibri"/>
                <w:b/>
                <w:sz w:val="8"/>
              </w:rPr>
            </w:pPr>
          </w:p>
          <w:p w14:paraId="0304E3A8" w14:textId="77777777" w:rsidR="00F65BCA" w:rsidRDefault="00216117">
            <w:pPr>
              <w:pStyle w:val="TableParagraph"/>
              <w:spacing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6D9E5961" w14:textId="77777777" w:rsidR="00F65BCA" w:rsidRDefault="00F65BCA">
            <w:pPr>
              <w:pStyle w:val="TableParagraph"/>
              <w:spacing w:before="4"/>
              <w:rPr>
                <w:rFonts w:ascii="Calibri"/>
                <w:b/>
                <w:sz w:val="8"/>
              </w:rPr>
            </w:pPr>
          </w:p>
          <w:p w14:paraId="6ED7C4AA" w14:textId="77777777" w:rsidR="00F65BCA" w:rsidRDefault="00216117">
            <w:pPr>
              <w:pStyle w:val="TableParagraph"/>
              <w:spacing w:line="69" w:lineRule="exact"/>
              <w:ind w:left="70" w:right="44"/>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6A0AA36" w14:textId="77777777" w:rsidR="00F65BCA" w:rsidRDefault="00F65BCA">
            <w:pPr>
              <w:pStyle w:val="TableParagraph"/>
              <w:spacing w:before="4"/>
              <w:rPr>
                <w:rFonts w:ascii="Calibri"/>
                <w:b/>
                <w:sz w:val="8"/>
              </w:rPr>
            </w:pPr>
          </w:p>
          <w:p w14:paraId="3CAECE95" w14:textId="77777777" w:rsidR="00F65BCA" w:rsidRDefault="00216117">
            <w:pPr>
              <w:pStyle w:val="TableParagraph"/>
              <w:spacing w:line="69" w:lineRule="exact"/>
              <w:ind w:right="34"/>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1937F25D" w14:textId="77777777" w:rsidR="00F65BCA" w:rsidRDefault="00F65BCA">
            <w:pPr>
              <w:pStyle w:val="TableParagraph"/>
              <w:spacing w:before="4"/>
              <w:rPr>
                <w:rFonts w:ascii="Calibri"/>
                <w:b/>
                <w:sz w:val="8"/>
              </w:rPr>
            </w:pPr>
          </w:p>
          <w:p w14:paraId="12599129" w14:textId="77777777" w:rsidR="00F65BCA" w:rsidRDefault="00216117">
            <w:pPr>
              <w:pStyle w:val="TableParagraph"/>
              <w:spacing w:line="69" w:lineRule="exact"/>
              <w:ind w:left="70"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11228E4A"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75B96FCA" w14:textId="77777777" w:rsidR="00F65BCA" w:rsidRDefault="00F65BCA">
            <w:pPr>
              <w:pStyle w:val="TableParagraph"/>
              <w:rPr>
                <w:rFonts w:ascii="Times New Roman"/>
                <w:sz w:val="6"/>
              </w:rPr>
            </w:pPr>
          </w:p>
        </w:tc>
        <w:tc>
          <w:tcPr>
            <w:tcW w:w="792" w:type="dxa"/>
            <w:tcBorders>
              <w:top w:val="single" w:sz="4" w:space="0" w:color="000000"/>
              <w:left w:val="single" w:sz="4" w:space="0" w:color="000000"/>
              <w:bottom w:val="single" w:sz="4" w:space="0" w:color="000000"/>
              <w:right w:val="single" w:sz="4" w:space="0" w:color="000000"/>
            </w:tcBorders>
          </w:tcPr>
          <w:p w14:paraId="6602A073" w14:textId="77777777" w:rsidR="00F65BCA" w:rsidRDefault="00F65BCA">
            <w:pPr>
              <w:pStyle w:val="TableParagraph"/>
              <w:spacing w:before="4"/>
              <w:rPr>
                <w:rFonts w:ascii="Calibri"/>
                <w:b/>
                <w:sz w:val="8"/>
              </w:rPr>
            </w:pPr>
          </w:p>
          <w:p w14:paraId="0DD25697" w14:textId="77777777" w:rsidR="00F65BCA" w:rsidRDefault="00216117">
            <w:pPr>
              <w:pStyle w:val="TableParagraph"/>
              <w:spacing w:line="69" w:lineRule="exact"/>
              <w:ind w:left="127"/>
              <w:rPr>
                <w:rFonts w:ascii="Calibri"/>
                <w:sz w:val="7"/>
              </w:rPr>
            </w:pPr>
            <w:r>
              <w:rPr>
                <w:rFonts w:ascii="Calibri"/>
                <w:w w:val="105"/>
                <w:sz w:val="7"/>
              </w:rPr>
              <w:t>CH30110209981X</w:t>
            </w:r>
          </w:p>
        </w:tc>
        <w:tc>
          <w:tcPr>
            <w:tcW w:w="398" w:type="dxa"/>
            <w:tcBorders>
              <w:top w:val="single" w:sz="4" w:space="0" w:color="000000"/>
              <w:left w:val="single" w:sz="4" w:space="0" w:color="000000"/>
              <w:bottom w:val="single" w:sz="4" w:space="0" w:color="000000"/>
              <w:right w:val="single" w:sz="4" w:space="0" w:color="000000"/>
            </w:tcBorders>
          </w:tcPr>
          <w:p w14:paraId="5950872A" w14:textId="77777777" w:rsidR="00F65BCA" w:rsidRDefault="00216117">
            <w:pPr>
              <w:pStyle w:val="TableParagraph"/>
              <w:spacing w:before="4"/>
              <w:ind w:left="121"/>
              <w:rPr>
                <w:rFonts w:ascii="Calibri"/>
                <w:sz w:val="7"/>
              </w:rPr>
            </w:pPr>
            <w:r>
              <w:rPr>
                <w:rFonts w:ascii="Calibri"/>
                <w:w w:val="105"/>
                <w:sz w:val="7"/>
              </w:rPr>
              <w:t>JOHN</w:t>
            </w:r>
          </w:p>
          <w:p w14:paraId="015E4BD3" w14:textId="77777777" w:rsidR="00F65BCA" w:rsidRDefault="00216117">
            <w:pPr>
              <w:pStyle w:val="TableParagraph"/>
              <w:spacing w:before="13" w:line="69" w:lineRule="exact"/>
              <w:ind w:left="107"/>
              <w:rPr>
                <w:rFonts w:ascii="Calibri"/>
                <w:sz w:val="7"/>
              </w:rPr>
            </w:pPr>
            <w:r>
              <w:rPr>
                <w:rFonts w:ascii="Calibri"/>
                <w:w w:val="105"/>
                <w:sz w:val="7"/>
              </w:rPr>
              <w:t>DEERE</w:t>
            </w:r>
          </w:p>
        </w:tc>
        <w:tc>
          <w:tcPr>
            <w:tcW w:w="1065" w:type="dxa"/>
            <w:tcBorders>
              <w:top w:val="single" w:sz="4" w:space="0" w:color="000000"/>
              <w:left w:val="single" w:sz="4" w:space="0" w:color="000000"/>
              <w:bottom w:val="single" w:sz="4" w:space="0" w:color="000000"/>
              <w:right w:val="single" w:sz="4" w:space="0" w:color="000000"/>
            </w:tcBorders>
          </w:tcPr>
          <w:p w14:paraId="198F90E8" w14:textId="77777777" w:rsidR="00F65BCA" w:rsidRDefault="00F65BCA">
            <w:pPr>
              <w:pStyle w:val="TableParagraph"/>
              <w:spacing w:before="4"/>
              <w:rPr>
                <w:rFonts w:ascii="Calibri"/>
                <w:b/>
                <w:sz w:val="8"/>
              </w:rPr>
            </w:pPr>
          </w:p>
          <w:p w14:paraId="33B6D10D" w14:textId="77777777" w:rsidR="00F65BCA" w:rsidRDefault="00216117">
            <w:pPr>
              <w:pStyle w:val="TableParagraph"/>
              <w:spacing w:line="69" w:lineRule="exact"/>
              <w:ind w:left="75" w:right="50"/>
              <w:jc w:val="center"/>
              <w:rPr>
                <w:rFonts w:ascii="Calibri"/>
                <w:sz w:val="7"/>
              </w:rPr>
            </w:pPr>
            <w:r>
              <w:rPr>
                <w:rFonts w:ascii="Calibri"/>
                <w:w w:val="105"/>
                <w:sz w:val="7"/>
              </w:rPr>
              <w:t>X748 Ultimate</w:t>
            </w:r>
          </w:p>
        </w:tc>
        <w:tc>
          <w:tcPr>
            <w:tcW w:w="815" w:type="dxa"/>
            <w:tcBorders>
              <w:top w:val="single" w:sz="4" w:space="0" w:color="000000"/>
              <w:left w:val="single" w:sz="4" w:space="0" w:color="000000"/>
              <w:bottom w:val="single" w:sz="4" w:space="0" w:color="000000"/>
              <w:right w:val="single" w:sz="4" w:space="0" w:color="000000"/>
            </w:tcBorders>
          </w:tcPr>
          <w:p w14:paraId="077EAA9E" w14:textId="77777777" w:rsidR="00F65BCA" w:rsidRDefault="00F65BCA">
            <w:pPr>
              <w:pStyle w:val="TableParagraph"/>
              <w:spacing w:before="4"/>
              <w:rPr>
                <w:rFonts w:ascii="Calibri"/>
                <w:b/>
                <w:sz w:val="8"/>
              </w:rPr>
            </w:pPr>
          </w:p>
          <w:p w14:paraId="216424C9" w14:textId="77777777" w:rsidR="00F65BCA" w:rsidRDefault="00216117">
            <w:pPr>
              <w:pStyle w:val="TableParagraph"/>
              <w:spacing w:line="69" w:lineRule="exact"/>
              <w:ind w:left="40" w:right="11"/>
              <w:jc w:val="center"/>
              <w:rPr>
                <w:rFonts w:ascii="Calibri" w:hAnsi="Calibri"/>
                <w:sz w:val="7"/>
              </w:rPr>
            </w:pPr>
            <w:r>
              <w:rPr>
                <w:rFonts w:ascii="Calibri" w:hAnsi="Calibri"/>
                <w:w w:val="105"/>
                <w:sz w:val="7"/>
              </w:rPr>
              <w:t>Traktor Kolový</w:t>
            </w:r>
          </w:p>
        </w:tc>
        <w:tc>
          <w:tcPr>
            <w:tcW w:w="273" w:type="dxa"/>
            <w:tcBorders>
              <w:top w:val="single" w:sz="4" w:space="0" w:color="000000"/>
              <w:left w:val="single" w:sz="4" w:space="0" w:color="000000"/>
              <w:bottom w:val="single" w:sz="4" w:space="0" w:color="000000"/>
              <w:right w:val="single" w:sz="4" w:space="0" w:color="000000"/>
            </w:tcBorders>
          </w:tcPr>
          <w:p w14:paraId="19E409C0" w14:textId="77777777" w:rsidR="00F65BCA" w:rsidRDefault="00F65BCA">
            <w:pPr>
              <w:pStyle w:val="TableParagraph"/>
              <w:spacing w:before="4"/>
              <w:rPr>
                <w:rFonts w:ascii="Calibri"/>
                <w:b/>
                <w:sz w:val="8"/>
              </w:rPr>
            </w:pPr>
          </w:p>
          <w:p w14:paraId="5C56DAF6" w14:textId="77777777" w:rsidR="00F65BCA" w:rsidRDefault="00216117">
            <w:pPr>
              <w:pStyle w:val="TableParagraph"/>
              <w:spacing w:line="69" w:lineRule="exact"/>
              <w:ind w:right="41"/>
              <w:jc w:val="right"/>
              <w:rPr>
                <w:rFonts w:ascii="Calibri"/>
                <w:sz w:val="7"/>
              </w:rPr>
            </w:pPr>
            <w:r>
              <w:rPr>
                <w:rFonts w:ascii="Calibri"/>
                <w:w w:val="105"/>
                <w:sz w:val="7"/>
              </w:rPr>
              <w:t>2005</w:t>
            </w:r>
          </w:p>
        </w:tc>
        <w:tc>
          <w:tcPr>
            <w:tcW w:w="278" w:type="dxa"/>
            <w:tcBorders>
              <w:top w:val="single" w:sz="4" w:space="0" w:color="000000"/>
              <w:left w:val="single" w:sz="4" w:space="0" w:color="000000"/>
              <w:bottom w:val="single" w:sz="4" w:space="0" w:color="000000"/>
              <w:right w:val="single" w:sz="4" w:space="0" w:color="000000"/>
            </w:tcBorders>
          </w:tcPr>
          <w:p w14:paraId="0B1AE726" w14:textId="77777777" w:rsidR="00F65BCA" w:rsidRDefault="00F65BCA">
            <w:pPr>
              <w:pStyle w:val="TableParagraph"/>
              <w:spacing w:before="4"/>
              <w:rPr>
                <w:rFonts w:ascii="Calibri"/>
                <w:b/>
                <w:sz w:val="8"/>
              </w:rPr>
            </w:pPr>
          </w:p>
          <w:p w14:paraId="22225B72" w14:textId="77777777" w:rsidR="00F65BCA" w:rsidRDefault="00216117">
            <w:pPr>
              <w:pStyle w:val="TableParagraph"/>
              <w:spacing w:line="69" w:lineRule="exact"/>
              <w:ind w:left="28" w:right="2"/>
              <w:jc w:val="center"/>
              <w:rPr>
                <w:rFonts w:ascii="Calibri"/>
                <w:sz w:val="7"/>
              </w:rPr>
            </w:pPr>
            <w:r>
              <w:rPr>
                <w:rFonts w:ascii="Calibri"/>
                <w:w w:val="105"/>
                <w:sz w:val="7"/>
              </w:rPr>
              <w:t>1116</w:t>
            </w:r>
          </w:p>
        </w:tc>
        <w:tc>
          <w:tcPr>
            <w:tcW w:w="268" w:type="dxa"/>
            <w:tcBorders>
              <w:top w:val="single" w:sz="4" w:space="0" w:color="000000"/>
              <w:left w:val="single" w:sz="4" w:space="0" w:color="000000"/>
              <w:bottom w:val="single" w:sz="4" w:space="0" w:color="000000"/>
              <w:right w:val="single" w:sz="4" w:space="0" w:color="000000"/>
            </w:tcBorders>
          </w:tcPr>
          <w:p w14:paraId="1B1AF890" w14:textId="77777777" w:rsidR="00F65BCA" w:rsidRDefault="00F65BCA">
            <w:pPr>
              <w:pStyle w:val="TableParagraph"/>
              <w:spacing w:before="4"/>
              <w:rPr>
                <w:rFonts w:ascii="Calibri"/>
                <w:b/>
                <w:sz w:val="8"/>
              </w:rPr>
            </w:pPr>
          </w:p>
          <w:p w14:paraId="74BE5F1C" w14:textId="77777777" w:rsidR="00F65BCA" w:rsidRDefault="00216117">
            <w:pPr>
              <w:pStyle w:val="TableParagraph"/>
              <w:spacing w:line="69" w:lineRule="exact"/>
              <w:ind w:right="74"/>
              <w:jc w:val="right"/>
              <w:rPr>
                <w:rFonts w:ascii="Calibri"/>
                <w:sz w:val="7"/>
              </w:rPr>
            </w:pPr>
            <w:r>
              <w:rPr>
                <w:rFonts w:ascii="Calibri"/>
                <w:w w:val="105"/>
                <w:sz w:val="7"/>
              </w:rPr>
              <w:t>18</w:t>
            </w:r>
          </w:p>
        </w:tc>
        <w:tc>
          <w:tcPr>
            <w:tcW w:w="398" w:type="dxa"/>
            <w:tcBorders>
              <w:top w:val="single" w:sz="4" w:space="0" w:color="000000"/>
              <w:left w:val="single" w:sz="4" w:space="0" w:color="000000"/>
              <w:bottom w:val="single" w:sz="4" w:space="0" w:color="000000"/>
              <w:right w:val="single" w:sz="4" w:space="0" w:color="000000"/>
            </w:tcBorders>
          </w:tcPr>
          <w:p w14:paraId="4653BB38" w14:textId="77777777" w:rsidR="00F65BCA" w:rsidRDefault="00F65BCA">
            <w:pPr>
              <w:pStyle w:val="TableParagraph"/>
              <w:spacing w:before="4"/>
              <w:rPr>
                <w:rFonts w:ascii="Calibri"/>
                <w:b/>
                <w:sz w:val="8"/>
              </w:rPr>
            </w:pPr>
          </w:p>
          <w:p w14:paraId="15422B8A" w14:textId="77777777" w:rsidR="00F65BCA" w:rsidRDefault="00216117">
            <w:pPr>
              <w:pStyle w:val="TableParagraph"/>
              <w:spacing w:line="69" w:lineRule="exact"/>
              <w:ind w:left="29"/>
              <w:jc w:val="center"/>
              <w:rPr>
                <w:rFonts w:ascii="Calibri"/>
                <w:sz w:val="7"/>
              </w:rPr>
            </w:pPr>
            <w:r>
              <w:rPr>
                <w:rFonts w:ascii="Calibri"/>
                <w:w w:val="105"/>
                <w:sz w:val="7"/>
              </w:rPr>
              <w:t>510</w:t>
            </w:r>
          </w:p>
        </w:tc>
        <w:tc>
          <w:tcPr>
            <w:tcW w:w="249" w:type="dxa"/>
            <w:tcBorders>
              <w:top w:val="single" w:sz="4" w:space="0" w:color="000000"/>
              <w:left w:val="single" w:sz="4" w:space="0" w:color="000000"/>
              <w:bottom w:val="single" w:sz="4" w:space="0" w:color="000000"/>
              <w:right w:val="single" w:sz="4" w:space="0" w:color="000000"/>
            </w:tcBorders>
          </w:tcPr>
          <w:p w14:paraId="268CF898" w14:textId="77777777" w:rsidR="00F65BCA" w:rsidRDefault="00F65BCA">
            <w:pPr>
              <w:pStyle w:val="TableParagraph"/>
              <w:spacing w:before="4"/>
              <w:rPr>
                <w:rFonts w:ascii="Calibri"/>
                <w:b/>
                <w:sz w:val="8"/>
              </w:rPr>
            </w:pPr>
          </w:p>
          <w:p w14:paraId="0929A02F" w14:textId="77777777" w:rsidR="00F65BCA" w:rsidRDefault="00216117">
            <w:pPr>
              <w:pStyle w:val="TableParagraph"/>
              <w:spacing w:line="69" w:lineRule="exact"/>
              <w:ind w:right="82"/>
              <w:jc w:val="right"/>
              <w:rPr>
                <w:rFonts w:ascii="Calibri"/>
                <w:sz w:val="7"/>
              </w:rPr>
            </w:pPr>
            <w:r>
              <w:rPr>
                <w:rFonts w:ascii="Calibri"/>
                <w:w w:val="106"/>
                <w:sz w:val="7"/>
              </w:rPr>
              <w:t>1</w:t>
            </w:r>
          </w:p>
        </w:tc>
        <w:tc>
          <w:tcPr>
            <w:tcW w:w="311" w:type="dxa"/>
            <w:tcBorders>
              <w:top w:val="single" w:sz="4" w:space="0" w:color="000000"/>
              <w:left w:val="single" w:sz="4" w:space="0" w:color="000000"/>
              <w:bottom w:val="single" w:sz="4" w:space="0" w:color="000000"/>
              <w:right w:val="single" w:sz="4" w:space="0" w:color="000000"/>
            </w:tcBorders>
          </w:tcPr>
          <w:p w14:paraId="1CF2F10F" w14:textId="77777777" w:rsidR="00F65BCA" w:rsidRDefault="00F65BCA">
            <w:pPr>
              <w:pStyle w:val="TableParagraph"/>
              <w:spacing w:before="4"/>
              <w:rPr>
                <w:rFonts w:ascii="Calibri"/>
                <w:b/>
                <w:sz w:val="8"/>
              </w:rPr>
            </w:pPr>
          </w:p>
          <w:p w14:paraId="2F1698F4" w14:textId="77777777" w:rsidR="00F65BCA" w:rsidRDefault="00216117">
            <w:pPr>
              <w:pStyle w:val="TableParagraph"/>
              <w:spacing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10F68D94" w14:textId="77777777" w:rsidR="00F65BCA" w:rsidRDefault="00F65BCA">
            <w:pPr>
              <w:pStyle w:val="TableParagraph"/>
              <w:spacing w:before="4"/>
              <w:rPr>
                <w:rFonts w:ascii="Calibri"/>
                <w:b/>
                <w:sz w:val="8"/>
              </w:rPr>
            </w:pPr>
          </w:p>
          <w:p w14:paraId="5DA21E70" w14:textId="77777777" w:rsidR="00F65BCA" w:rsidRDefault="00216117">
            <w:pPr>
              <w:pStyle w:val="TableParagraph"/>
              <w:spacing w:line="69" w:lineRule="exact"/>
              <w:ind w:left="48" w:right="13"/>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2F7686F4" w14:textId="77777777" w:rsidR="00F65BCA" w:rsidRDefault="00F65BCA">
            <w:pPr>
              <w:pStyle w:val="TableParagraph"/>
              <w:rPr>
                <w:rFonts w:ascii="Times New Roman"/>
                <w:sz w:val="6"/>
              </w:rPr>
            </w:pPr>
          </w:p>
        </w:tc>
        <w:tc>
          <w:tcPr>
            <w:tcW w:w="278" w:type="dxa"/>
            <w:tcBorders>
              <w:top w:val="single" w:sz="4" w:space="0" w:color="000000"/>
              <w:left w:val="single" w:sz="4" w:space="0" w:color="000000"/>
              <w:bottom w:val="single" w:sz="4" w:space="0" w:color="000000"/>
              <w:right w:val="single" w:sz="4" w:space="0" w:color="000000"/>
            </w:tcBorders>
          </w:tcPr>
          <w:p w14:paraId="7124176E" w14:textId="77777777" w:rsidR="00F65BCA" w:rsidRDefault="00F65BCA">
            <w:pPr>
              <w:pStyle w:val="TableParagraph"/>
              <w:rPr>
                <w:rFonts w:ascii="Times New Roman"/>
                <w:sz w:val="6"/>
              </w:rPr>
            </w:pPr>
          </w:p>
        </w:tc>
        <w:tc>
          <w:tcPr>
            <w:tcW w:w="273" w:type="dxa"/>
            <w:tcBorders>
              <w:top w:val="single" w:sz="4" w:space="0" w:color="000000"/>
              <w:left w:val="single" w:sz="4" w:space="0" w:color="000000"/>
              <w:bottom w:val="single" w:sz="4" w:space="0" w:color="000000"/>
              <w:right w:val="single" w:sz="4" w:space="0" w:color="000000"/>
            </w:tcBorders>
          </w:tcPr>
          <w:p w14:paraId="10A3BA2B"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7429C9FA"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02366B2B" w14:textId="77777777" w:rsidR="00F65BCA" w:rsidRDefault="00F65BCA">
            <w:pPr>
              <w:pStyle w:val="TableParagraph"/>
              <w:rPr>
                <w:rFonts w:ascii="Times New Roman"/>
                <w:sz w:val="6"/>
              </w:rPr>
            </w:pPr>
          </w:p>
        </w:tc>
        <w:tc>
          <w:tcPr>
            <w:tcW w:w="278" w:type="dxa"/>
            <w:tcBorders>
              <w:top w:val="single" w:sz="4" w:space="0" w:color="000000"/>
              <w:left w:val="single" w:sz="4" w:space="0" w:color="000000"/>
              <w:bottom w:val="single" w:sz="4" w:space="0" w:color="000000"/>
              <w:right w:val="single" w:sz="4" w:space="0" w:color="000000"/>
            </w:tcBorders>
          </w:tcPr>
          <w:p w14:paraId="7CBA0119"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06C909EF"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698EC4F4" w14:textId="77777777" w:rsidR="00F65BCA" w:rsidRDefault="00F65BCA">
            <w:pPr>
              <w:pStyle w:val="TableParagraph"/>
              <w:rPr>
                <w:rFonts w:ascii="Times New Roman"/>
                <w:sz w:val="6"/>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2526A826" w14:textId="77777777" w:rsidR="00F65BCA" w:rsidRDefault="00F65BCA">
            <w:pPr>
              <w:pStyle w:val="TableParagraph"/>
              <w:spacing w:before="7"/>
              <w:rPr>
                <w:rFonts w:ascii="Calibri"/>
                <w:b/>
                <w:sz w:val="8"/>
              </w:rPr>
            </w:pPr>
          </w:p>
          <w:p w14:paraId="570D75AC" w14:textId="77777777" w:rsidR="00F65BCA" w:rsidRDefault="00216117">
            <w:pPr>
              <w:pStyle w:val="TableParagraph"/>
              <w:spacing w:line="67" w:lineRule="exact"/>
              <w:ind w:left="76" w:right="28"/>
              <w:jc w:val="center"/>
              <w:rPr>
                <w:rFonts w:ascii="Calibri" w:hAnsi="Calibri"/>
                <w:sz w:val="7"/>
              </w:rPr>
            </w:pPr>
            <w:r>
              <w:rPr>
                <w:rFonts w:ascii="Calibri" w:hAnsi="Calibri"/>
                <w:w w:val="105"/>
                <w:sz w:val="7"/>
              </w:rPr>
              <w:t>684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3A682658" w14:textId="77777777" w:rsidR="00F65BCA" w:rsidRDefault="00F65BCA">
            <w:pPr>
              <w:pStyle w:val="TableParagraph"/>
              <w:rPr>
                <w:rFonts w:ascii="Times New Roman"/>
                <w:sz w:val="6"/>
              </w:rPr>
            </w:pP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4893D629" w14:textId="77777777" w:rsidR="00F65BCA" w:rsidRDefault="00F65BCA">
            <w:pPr>
              <w:pStyle w:val="TableParagraph"/>
              <w:rPr>
                <w:rFonts w:ascii="Times New Roman"/>
                <w:sz w:val="6"/>
              </w:rPr>
            </w:pP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6A8BB4B7" w14:textId="77777777" w:rsidR="00F65BCA" w:rsidRDefault="00F65BCA">
            <w:pPr>
              <w:pStyle w:val="TableParagraph"/>
              <w:rPr>
                <w:rFonts w:ascii="Times New Roman"/>
                <w:sz w:val="6"/>
              </w:rPr>
            </w:pP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0CA0B7CF" w14:textId="77777777" w:rsidR="00F65BCA" w:rsidRDefault="00F65BCA">
            <w:pPr>
              <w:pStyle w:val="TableParagraph"/>
              <w:rPr>
                <w:rFonts w:ascii="Times New Roman"/>
                <w:sz w:val="6"/>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0CB84630" w14:textId="77777777" w:rsidR="00F65BCA" w:rsidRDefault="00F65BCA">
            <w:pPr>
              <w:pStyle w:val="TableParagraph"/>
              <w:rPr>
                <w:rFonts w:ascii="Times New Roman"/>
                <w:sz w:val="6"/>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14694594" w14:textId="77777777" w:rsidR="00F65BCA" w:rsidRDefault="00F65BCA">
            <w:pPr>
              <w:pStyle w:val="TableParagraph"/>
              <w:rPr>
                <w:rFonts w:ascii="Times New Roman"/>
                <w:sz w:val="6"/>
              </w:rPr>
            </w:pPr>
          </w:p>
        </w:tc>
        <w:tc>
          <w:tcPr>
            <w:tcW w:w="458" w:type="dxa"/>
            <w:tcBorders>
              <w:top w:val="single" w:sz="4" w:space="0" w:color="000000"/>
              <w:left w:val="single" w:sz="4" w:space="0" w:color="000000"/>
              <w:bottom w:val="single" w:sz="4" w:space="0" w:color="000000"/>
            </w:tcBorders>
            <w:shd w:val="clear" w:color="auto" w:fill="FFFF99"/>
          </w:tcPr>
          <w:p w14:paraId="259F03B4" w14:textId="77777777" w:rsidR="00F65BCA" w:rsidRDefault="00F65BCA">
            <w:pPr>
              <w:pStyle w:val="TableParagraph"/>
              <w:spacing w:before="7"/>
              <w:rPr>
                <w:rFonts w:ascii="Calibri"/>
                <w:b/>
                <w:sz w:val="8"/>
              </w:rPr>
            </w:pPr>
          </w:p>
          <w:p w14:paraId="605DC810" w14:textId="77777777" w:rsidR="00F65BCA" w:rsidRDefault="00216117">
            <w:pPr>
              <w:pStyle w:val="TableParagraph"/>
              <w:spacing w:line="67" w:lineRule="exact"/>
              <w:ind w:left="158"/>
              <w:rPr>
                <w:rFonts w:ascii="Calibri" w:hAnsi="Calibri"/>
                <w:sz w:val="7"/>
              </w:rPr>
            </w:pPr>
            <w:r>
              <w:rPr>
                <w:rFonts w:ascii="Calibri" w:hAnsi="Calibri"/>
                <w:w w:val="105"/>
                <w:sz w:val="7"/>
              </w:rPr>
              <w:t>684 Kč</w:t>
            </w:r>
          </w:p>
        </w:tc>
      </w:tr>
      <w:tr w:rsidR="00F65BCA" w14:paraId="051F0D55" w14:textId="77777777">
        <w:trPr>
          <w:trHeight w:val="191"/>
        </w:trPr>
        <w:tc>
          <w:tcPr>
            <w:tcW w:w="188" w:type="dxa"/>
            <w:tcBorders>
              <w:top w:val="single" w:sz="4" w:space="0" w:color="000000"/>
              <w:bottom w:val="single" w:sz="4" w:space="0" w:color="000000"/>
              <w:right w:val="single" w:sz="4" w:space="0" w:color="000000"/>
            </w:tcBorders>
          </w:tcPr>
          <w:p w14:paraId="5117660E" w14:textId="77777777" w:rsidR="00F65BCA" w:rsidRDefault="00F65BCA">
            <w:pPr>
              <w:pStyle w:val="TableParagraph"/>
              <w:spacing w:before="7"/>
              <w:rPr>
                <w:rFonts w:ascii="Calibri"/>
                <w:b/>
                <w:sz w:val="8"/>
              </w:rPr>
            </w:pPr>
          </w:p>
          <w:p w14:paraId="09B30A4B" w14:textId="77777777" w:rsidR="00F65BCA" w:rsidRDefault="00216117">
            <w:pPr>
              <w:pStyle w:val="TableParagraph"/>
              <w:spacing w:line="67" w:lineRule="exact"/>
              <w:ind w:left="59"/>
              <w:rPr>
                <w:rFonts w:ascii="Calibri"/>
                <w:sz w:val="7"/>
              </w:rPr>
            </w:pPr>
            <w:r>
              <w:rPr>
                <w:rFonts w:ascii="Calibri"/>
                <w:w w:val="105"/>
                <w:sz w:val="7"/>
              </w:rPr>
              <w:t>38</w:t>
            </w:r>
          </w:p>
        </w:tc>
        <w:tc>
          <w:tcPr>
            <w:tcW w:w="398" w:type="dxa"/>
            <w:tcBorders>
              <w:top w:val="single" w:sz="4" w:space="0" w:color="000000"/>
              <w:left w:val="single" w:sz="4" w:space="0" w:color="000000"/>
              <w:bottom w:val="single" w:sz="4" w:space="0" w:color="000000"/>
              <w:right w:val="single" w:sz="4" w:space="0" w:color="000000"/>
            </w:tcBorders>
          </w:tcPr>
          <w:p w14:paraId="349EA59B" w14:textId="77777777" w:rsidR="00F65BCA" w:rsidRDefault="00F65BCA">
            <w:pPr>
              <w:pStyle w:val="TableParagraph"/>
              <w:spacing w:before="4"/>
              <w:rPr>
                <w:rFonts w:ascii="Calibri"/>
                <w:b/>
                <w:sz w:val="8"/>
              </w:rPr>
            </w:pPr>
          </w:p>
          <w:p w14:paraId="4543F44A" w14:textId="77777777" w:rsidR="00F65BCA" w:rsidRDefault="00216117">
            <w:pPr>
              <w:pStyle w:val="TableParagraph"/>
              <w:spacing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5AFF9193" w14:textId="77777777" w:rsidR="00F65BCA" w:rsidRDefault="00F65BCA">
            <w:pPr>
              <w:pStyle w:val="TableParagraph"/>
              <w:spacing w:before="4"/>
              <w:rPr>
                <w:rFonts w:ascii="Calibri"/>
                <w:b/>
                <w:sz w:val="8"/>
              </w:rPr>
            </w:pPr>
          </w:p>
          <w:p w14:paraId="19809450" w14:textId="77777777" w:rsidR="00F65BCA" w:rsidRDefault="00216117">
            <w:pPr>
              <w:pStyle w:val="TableParagraph"/>
              <w:spacing w:line="69" w:lineRule="exact"/>
              <w:ind w:left="70" w:right="44"/>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74C687B8" w14:textId="77777777" w:rsidR="00F65BCA" w:rsidRDefault="00F65BCA">
            <w:pPr>
              <w:pStyle w:val="TableParagraph"/>
              <w:spacing w:before="4"/>
              <w:rPr>
                <w:rFonts w:ascii="Calibri"/>
                <w:b/>
                <w:sz w:val="8"/>
              </w:rPr>
            </w:pPr>
          </w:p>
          <w:p w14:paraId="7F5182B2" w14:textId="77777777" w:rsidR="00F65BCA" w:rsidRDefault="00216117">
            <w:pPr>
              <w:pStyle w:val="TableParagraph"/>
              <w:spacing w:line="69" w:lineRule="exact"/>
              <w:ind w:right="34"/>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750FD362" w14:textId="77777777" w:rsidR="00F65BCA" w:rsidRDefault="00F65BCA">
            <w:pPr>
              <w:pStyle w:val="TableParagraph"/>
              <w:spacing w:before="4"/>
              <w:rPr>
                <w:rFonts w:ascii="Calibri"/>
                <w:b/>
                <w:sz w:val="8"/>
              </w:rPr>
            </w:pPr>
          </w:p>
          <w:p w14:paraId="7B2D4604" w14:textId="77777777" w:rsidR="00F65BCA" w:rsidRDefault="00216117">
            <w:pPr>
              <w:pStyle w:val="TableParagraph"/>
              <w:spacing w:line="69" w:lineRule="exact"/>
              <w:ind w:left="70"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12E40B8E" w14:textId="77777777" w:rsidR="00F65BCA" w:rsidRDefault="00F65BCA">
            <w:pPr>
              <w:pStyle w:val="TableParagraph"/>
              <w:spacing w:before="4"/>
              <w:rPr>
                <w:rFonts w:ascii="Calibri"/>
                <w:b/>
                <w:sz w:val="8"/>
              </w:rPr>
            </w:pPr>
          </w:p>
          <w:p w14:paraId="519C030D" w14:textId="77777777" w:rsidR="00F65BCA" w:rsidRDefault="00216117">
            <w:pPr>
              <w:pStyle w:val="TableParagraph"/>
              <w:spacing w:line="69" w:lineRule="exact"/>
              <w:ind w:left="71"/>
              <w:rPr>
                <w:rFonts w:ascii="Calibri"/>
                <w:sz w:val="7"/>
              </w:rPr>
            </w:pPr>
            <w:r>
              <w:rPr>
                <w:rFonts w:ascii="Calibri"/>
                <w:w w:val="105"/>
                <w:sz w:val="7"/>
              </w:rPr>
              <w:t>EL089CC</w:t>
            </w:r>
          </w:p>
        </w:tc>
        <w:tc>
          <w:tcPr>
            <w:tcW w:w="398" w:type="dxa"/>
            <w:tcBorders>
              <w:top w:val="single" w:sz="4" w:space="0" w:color="000000"/>
              <w:left w:val="single" w:sz="4" w:space="0" w:color="000000"/>
              <w:bottom w:val="single" w:sz="4" w:space="0" w:color="000000"/>
              <w:right w:val="single" w:sz="4" w:space="0" w:color="000000"/>
            </w:tcBorders>
          </w:tcPr>
          <w:p w14:paraId="692DF9F7" w14:textId="77777777" w:rsidR="00F65BCA" w:rsidRDefault="00F65BCA">
            <w:pPr>
              <w:pStyle w:val="TableParagraph"/>
              <w:spacing w:before="4"/>
              <w:rPr>
                <w:rFonts w:ascii="Calibri"/>
                <w:b/>
                <w:sz w:val="8"/>
              </w:rPr>
            </w:pPr>
          </w:p>
          <w:p w14:paraId="23DB5651" w14:textId="77777777" w:rsidR="00F65BCA" w:rsidRDefault="00216117">
            <w:pPr>
              <w:pStyle w:val="TableParagraph"/>
              <w:spacing w:line="69" w:lineRule="exact"/>
              <w:ind w:left="12"/>
              <w:jc w:val="center"/>
              <w:rPr>
                <w:rFonts w:ascii="Calibri"/>
                <w:sz w:val="7"/>
              </w:rPr>
            </w:pPr>
            <w:r>
              <w:rPr>
                <w:rFonts w:ascii="Calibri"/>
                <w:w w:val="105"/>
                <w:sz w:val="7"/>
              </w:rPr>
              <w:t>UBI468750</w:t>
            </w:r>
          </w:p>
        </w:tc>
        <w:tc>
          <w:tcPr>
            <w:tcW w:w="792" w:type="dxa"/>
            <w:tcBorders>
              <w:top w:val="single" w:sz="4" w:space="0" w:color="000000"/>
              <w:left w:val="single" w:sz="4" w:space="0" w:color="000000"/>
              <w:bottom w:val="single" w:sz="4" w:space="0" w:color="000000"/>
              <w:right w:val="single" w:sz="4" w:space="0" w:color="000000"/>
            </w:tcBorders>
          </w:tcPr>
          <w:p w14:paraId="308B363F" w14:textId="77777777" w:rsidR="00F65BCA" w:rsidRDefault="00F65BCA">
            <w:pPr>
              <w:pStyle w:val="TableParagraph"/>
              <w:spacing w:before="4"/>
              <w:rPr>
                <w:rFonts w:ascii="Calibri"/>
                <w:b/>
                <w:sz w:val="8"/>
              </w:rPr>
            </w:pPr>
          </w:p>
          <w:p w14:paraId="67ACDA0A" w14:textId="77777777" w:rsidR="00F65BCA" w:rsidRDefault="00216117">
            <w:pPr>
              <w:pStyle w:val="TableParagraph"/>
              <w:spacing w:line="69" w:lineRule="exact"/>
              <w:ind w:left="48"/>
              <w:rPr>
                <w:rFonts w:ascii="Calibri"/>
                <w:sz w:val="7"/>
              </w:rPr>
            </w:pPr>
            <w:r>
              <w:rPr>
                <w:rFonts w:ascii="Calibri"/>
                <w:w w:val="105"/>
                <w:sz w:val="7"/>
              </w:rPr>
              <w:t>TMBJW7NP0P7027623</w:t>
            </w:r>
          </w:p>
        </w:tc>
        <w:tc>
          <w:tcPr>
            <w:tcW w:w="398" w:type="dxa"/>
            <w:tcBorders>
              <w:top w:val="single" w:sz="4" w:space="0" w:color="000000"/>
              <w:left w:val="single" w:sz="4" w:space="0" w:color="000000"/>
              <w:bottom w:val="single" w:sz="4" w:space="0" w:color="000000"/>
              <w:right w:val="single" w:sz="4" w:space="0" w:color="000000"/>
            </w:tcBorders>
          </w:tcPr>
          <w:p w14:paraId="6D359296" w14:textId="77777777" w:rsidR="00F65BCA" w:rsidRDefault="00F65BCA">
            <w:pPr>
              <w:pStyle w:val="TableParagraph"/>
              <w:spacing w:before="4"/>
              <w:rPr>
                <w:rFonts w:ascii="Calibri"/>
                <w:b/>
                <w:sz w:val="8"/>
              </w:rPr>
            </w:pPr>
          </w:p>
          <w:p w14:paraId="3B458658" w14:textId="77777777" w:rsidR="00F65BCA" w:rsidRDefault="00216117">
            <w:pPr>
              <w:pStyle w:val="TableParagraph"/>
              <w:spacing w:line="69" w:lineRule="exact"/>
              <w:ind w:left="98"/>
              <w:rPr>
                <w:rFonts w:ascii="Calibri"/>
                <w:sz w:val="7"/>
              </w:rPr>
            </w:pPr>
            <w:r>
              <w:rPr>
                <w:rFonts w:ascii="Calibri"/>
                <w:w w:val="105"/>
                <w:sz w:val="7"/>
              </w:rPr>
              <w:t>SKODA</w:t>
            </w:r>
          </w:p>
        </w:tc>
        <w:tc>
          <w:tcPr>
            <w:tcW w:w="1065" w:type="dxa"/>
            <w:tcBorders>
              <w:top w:val="single" w:sz="4" w:space="0" w:color="000000"/>
              <w:left w:val="single" w:sz="4" w:space="0" w:color="000000"/>
              <w:bottom w:val="single" w:sz="4" w:space="0" w:color="000000"/>
              <w:right w:val="single" w:sz="4" w:space="0" w:color="000000"/>
            </w:tcBorders>
          </w:tcPr>
          <w:p w14:paraId="753FAF90" w14:textId="77777777" w:rsidR="00F65BCA" w:rsidRDefault="00216117">
            <w:pPr>
              <w:pStyle w:val="TableParagraph"/>
              <w:spacing w:before="4"/>
              <w:ind w:left="62"/>
              <w:rPr>
                <w:rFonts w:ascii="Calibri" w:hAnsi="Calibri"/>
                <w:sz w:val="7"/>
              </w:rPr>
            </w:pPr>
            <w:r>
              <w:rPr>
                <w:rFonts w:ascii="Calibri" w:hAnsi="Calibri"/>
                <w:w w:val="105"/>
                <w:sz w:val="7"/>
              </w:rPr>
              <w:t>SUPERB III včetně</w:t>
            </w:r>
            <w:r>
              <w:rPr>
                <w:rFonts w:ascii="Calibri" w:hAnsi="Calibri"/>
                <w:spacing w:val="-8"/>
                <w:w w:val="105"/>
                <w:sz w:val="7"/>
              </w:rPr>
              <w:t xml:space="preserve"> </w:t>
            </w:r>
            <w:r>
              <w:rPr>
                <w:rFonts w:ascii="Calibri" w:hAnsi="Calibri"/>
                <w:w w:val="105"/>
                <w:sz w:val="7"/>
              </w:rPr>
              <w:t>Drive-in-wire-</w:t>
            </w:r>
          </w:p>
          <w:p w14:paraId="273F2019" w14:textId="77777777" w:rsidR="00F65BCA" w:rsidRDefault="00216117">
            <w:pPr>
              <w:pStyle w:val="TableParagraph"/>
              <w:spacing w:before="13" w:line="69" w:lineRule="exact"/>
              <w:ind w:left="52"/>
              <w:rPr>
                <w:rFonts w:ascii="Calibri" w:hAnsi="Calibri"/>
                <w:sz w:val="7"/>
              </w:rPr>
            </w:pPr>
            <w:r>
              <w:rPr>
                <w:rFonts w:ascii="Calibri" w:hAnsi="Calibri"/>
                <w:w w:val="105"/>
                <w:sz w:val="7"/>
              </w:rPr>
              <w:t>systému pro autonomního</w:t>
            </w:r>
            <w:r>
              <w:rPr>
                <w:rFonts w:ascii="Calibri" w:hAnsi="Calibri"/>
                <w:spacing w:val="3"/>
                <w:w w:val="105"/>
                <w:sz w:val="7"/>
              </w:rPr>
              <w:t xml:space="preserve"> </w:t>
            </w:r>
            <w:r>
              <w:rPr>
                <w:rFonts w:ascii="Calibri" w:hAnsi="Calibri"/>
                <w:w w:val="105"/>
                <w:sz w:val="7"/>
              </w:rPr>
              <w:t>řízení</w:t>
            </w:r>
          </w:p>
        </w:tc>
        <w:tc>
          <w:tcPr>
            <w:tcW w:w="815" w:type="dxa"/>
            <w:tcBorders>
              <w:top w:val="single" w:sz="4" w:space="0" w:color="000000"/>
              <w:left w:val="single" w:sz="4" w:space="0" w:color="000000"/>
              <w:bottom w:val="single" w:sz="4" w:space="0" w:color="000000"/>
              <w:right w:val="single" w:sz="4" w:space="0" w:color="000000"/>
            </w:tcBorders>
          </w:tcPr>
          <w:p w14:paraId="3BBF316E" w14:textId="77777777" w:rsidR="00F65BCA" w:rsidRDefault="00F65BCA">
            <w:pPr>
              <w:pStyle w:val="TableParagraph"/>
              <w:spacing w:before="4"/>
              <w:rPr>
                <w:rFonts w:ascii="Calibri"/>
                <w:b/>
                <w:sz w:val="8"/>
              </w:rPr>
            </w:pPr>
          </w:p>
          <w:p w14:paraId="30D81457" w14:textId="77777777" w:rsidR="00F65BCA" w:rsidRDefault="00216117">
            <w:pPr>
              <w:pStyle w:val="TableParagraph"/>
              <w:spacing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6C911D1A" w14:textId="77777777" w:rsidR="00F65BCA" w:rsidRDefault="00F65BCA">
            <w:pPr>
              <w:pStyle w:val="TableParagraph"/>
              <w:spacing w:before="4"/>
              <w:rPr>
                <w:rFonts w:ascii="Calibri"/>
                <w:b/>
                <w:sz w:val="8"/>
              </w:rPr>
            </w:pPr>
          </w:p>
          <w:p w14:paraId="161663F0" w14:textId="77777777" w:rsidR="00F65BCA" w:rsidRDefault="00216117">
            <w:pPr>
              <w:pStyle w:val="TableParagraph"/>
              <w:spacing w:line="69" w:lineRule="exact"/>
              <w:ind w:right="41"/>
              <w:jc w:val="right"/>
              <w:rPr>
                <w:rFonts w:ascii="Calibri"/>
                <w:sz w:val="7"/>
              </w:rPr>
            </w:pPr>
            <w:r>
              <w:rPr>
                <w:rFonts w:ascii="Calibri"/>
                <w:w w:val="105"/>
                <w:sz w:val="7"/>
              </w:rPr>
              <w:t>2023</w:t>
            </w:r>
          </w:p>
        </w:tc>
        <w:tc>
          <w:tcPr>
            <w:tcW w:w="278" w:type="dxa"/>
            <w:tcBorders>
              <w:top w:val="single" w:sz="4" w:space="0" w:color="000000"/>
              <w:left w:val="single" w:sz="4" w:space="0" w:color="000000"/>
              <w:bottom w:val="single" w:sz="4" w:space="0" w:color="000000"/>
              <w:right w:val="single" w:sz="4" w:space="0" w:color="000000"/>
            </w:tcBorders>
          </w:tcPr>
          <w:p w14:paraId="74049A78" w14:textId="77777777" w:rsidR="00F65BCA" w:rsidRDefault="00F65BCA">
            <w:pPr>
              <w:pStyle w:val="TableParagraph"/>
              <w:spacing w:before="4"/>
              <w:rPr>
                <w:rFonts w:ascii="Calibri"/>
                <w:b/>
                <w:sz w:val="8"/>
              </w:rPr>
            </w:pPr>
          </w:p>
          <w:p w14:paraId="6FA6D4D8" w14:textId="77777777" w:rsidR="00F65BCA" w:rsidRDefault="00216117">
            <w:pPr>
              <w:pStyle w:val="TableParagraph"/>
              <w:spacing w:line="69" w:lineRule="exact"/>
              <w:ind w:left="28" w:right="2"/>
              <w:jc w:val="center"/>
              <w:rPr>
                <w:rFonts w:ascii="Calibri"/>
                <w:sz w:val="7"/>
              </w:rPr>
            </w:pPr>
            <w:r>
              <w:rPr>
                <w:rFonts w:ascii="Calibri"/>
                <w:w w:val="105"/>
                <w:sz w:val="7"/>
              </w:rPr>
              <w:t>1395</w:t>
            </w:r>
          </w:p>
        </w:tc>
        <w:tc>
          <w:tcPr>
            <w:tcW w:w="268" w:type="dxa"/>
            <w:tcBorders>
              <w:top w:val="single" w:sz="4" w:space="0" w:color="000000"/>
              <w:left w:val="single" w:sz="4" w:space="0" w:color="000000"/>
              <w:bottom w:val="single" w:sz="4" w:space="0" w:color="000000"/>
              <w:right w:val="single" w:sz="4" w:space="0" w:color="000000"/>
            </w:tcBorders>
          </w:tcPr>
          <w:p w14:paraId="6E4047FE" w14:textId="77777777" w:rsidR="00F65BCA" w:rsidRDefault="00F65BCA">
            <w:pPr>
              <w:pStyle w:val="TableParagraph"/>
              <w:spacing w:before="4"/>
              <w:rPr>
                <w:rFonts w:ascii="Calibri"/>
                <w:b/>
                <w:sz w:val="8"/>
              </w:rPr>
            </w:pPr>
          </w:p>
          <w:p w14:paraId="3316E046" w14:textId="77777777" w:rsidR="00F65BCA" w:rsidRDefault="00216117">
            <w:pPr>
              <w:pStyle w:val="TableParagraph"/>
              <w:spacing w:line="69" w:lineRule="exact"/>
              <w:ind w:right="56"/>
              <w:jc w:val="right"/>
              <w:rPr>
                <w:rFonts w:ascii="Calibri"/>
                <w:sz w:val="7"/>
              </w:rPr>
            </w:pPr>
            <w:r>
              <w:rPr>
                <w:rFonts w:ascii="Calibri"/>
                <w:w w:val="105"/>
                <w:sz w:val="7"/>
              </w:rPr>
              <w:t>115</w:t>
            </w:r>
          </w:p>
        </w:tc>
        <w:tc>
          <w:tcPr>
            <w:tcW w:w="398" w:type="dxa"/>
            <w:tcBorders>
              <w:top w:val="single" w:sz="4" w:space="0" w:color="000000"/>
              <w:left w:val="single" w:sz="4" w:space="0" w:color="000000"/>
              <w:bottom w:val="single" w:sz="4" w:space="0" w:color="000000"/>
              <w:right w:val="single" w:sz="4" w:space="0" w:color="000000"/>
            </w:tcBorders>
          </w:tcPr>
          <w:p w14:paraId="0FA6A0CB" w14:textId="77777777" w:rsidR="00F65BCA" w:rsidRDefault="00F65BCA">
            <w:pPr>
              <w:pStyle w:val="TableParagraph"/>
              <w:spacing w:before="4"/>
              <w:rPr>
                <w:rFonts w:ascii="Calibri"/>
                <w:b/>
                <w:sz w:val="8"/>
              </w:rPr>
            </w:pPr>
          </w:p>
          <w:p w14:paraId="06734A8A" w14:textId="77777777" w:rsidR="00F65BCA" w:rsidRDefault="00216117">
            <w:pPr>
              <w:pStyle w:val="TableParagraph"/>
              <w:spacing w:line="69" w:lineRule="exact"/>
              <w:ind w:left="28"/>
              <w:jc w:val="center"/>
              <w:rPr>
                <w:rFonts w:ascii="Calibri"/>
                <w:sz w:val="7"/>
              </w:rPr>
            </w:pPr>
            <w:r>
              <w:rPr>
                <w:rFonts w:ascii="Calibri"/>
                <w:w w:val="105"/>
                <w:sz w:val="7"/>
              </w:rPr>
              <w:t>1730</w:t>
            </w:r>
          </w:p>
        </w:tc>
        <w:tc>
          <w:tcPr>
            <w:tcW w:w="249" w:type="dxa"/>
            <w:tcBorders>
              <w:top w:val="single" w:sz="4" w:space="0" w:color="000000"/>
              <w:left w:val="single" w:sz="4" w:space="0" w:color="000000"/>
              <w:bottom w:val="single" w:sz="4" w:space="0" w:color="000000"/>
              <w:right w:val="single" w:sz="4" w:space="0" w:color="000000"/>
            </w:tcBorders>
          </w:tcPr>
          <w:p w14:paraId="0FFF4BDB" w14:textId="77777777" w:rsidR="00F65BCA" w:rsidRDefault="00F65BCA">
            <w:pPr>
              <w:pStyle w:val="TableParagraph"/>
              <w:spacing w:before="4"/>
              <w:rPr>
                <w:rFonts w:ascii="Calibri"/>
                <w:b/>
                <w:sz w:val="8"/>
              </w:rPr>
            </w:pPr>
          </w:p>
          <w:p w14:paraId="500DBB1E" w14:textId="77777777" w:rsidR="00F65BCA" w:rsidRDefault="00216117">
            <w:pPr>
              <w:pStyle w:val="TableParagraph"/>
              <w:spacing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39D04E55" w14:textId="77777777" w:rsidR="00F65BCA" w:rsidRDefault="00216117">
            <w:pPr>
              <w:pStyle w:val="TableParagraph"/>
              <w:spacing w:before="4"/>
              <w:ind w:left="40"/>
              <w:rPr>
                <w:rFonts w:ascii="Calibri" w:hAnsi="Calibri"/>
                <w:sz w:val="7"/>
              </w:rPr>
            </w:pPr>
            <w:r>
              <w:rPr>
                <w:rFonts w:ascii="Calibri" w:hAnsi="Calibri"/>
                <w:w w:val="105"/>
                <w:sz w:val="7"/>
              </w:rPr>
              <w:t>Hybridní</w:t>
            </w:r>
          </w:p>
          <w:p w14:paraId="0759E3F5" w14:textId="77777777" w:rsidR="00F65BCA" w:rsidRDefault="00216117">
            <w:pPr>
              <w:pStyle w:val="TableParagraph"/>
              <w:spacing w:before="13" w:line="69" w:lineRule="exact"/>
              <w:ind w:left="90"/>
              <w:rPr>
                <w:rFonts w:ascii="Calibri"/>
                <w:sz w:val="7"/>
              </w:rPr>
            </w:pPr>
            <w:r>
              <w:rPr>
                <w:rFonts w:ascii="Calibri"/>
                <w:w w:val="105"/>
                <w:sz w:val="7"/>
              </w:rPr>
              <w:t>(B+E)</w:t>
            </w:r>
          </w:p>
        </w:tc>
        <w:tc>
          <w:tcPr>
            <w:tcW w:w="256" w:type="dxa"/>
            <w:tcBorders>
              <w:top w:val="single" w:sz="4" w:space="0" w:color="000000"/>
              <w:left w:val="single" w:sz="4" w:space="0" w:color="000000"/>
              <w:bottom w:val="single" w:sz="4" w:space="0" w:color="000000"/>
              <w:right w:val="single" w:sz="4" w:space="0" w:color="000000"/>
            </w:tcBorders>
          </w:tcPr>
          <w:p w14:paraId="1E8ACFA6" w14:textId="77777777" w:rsidR="00F65BCA" w:rsidRDefault="00F65BCA">
            <w:pPr>
              <w:pStyle w:val="TableParagraph"/>
              <w:spacing w:before="4"/>
              <w:rPr>
                <w:rFonts w:ascii="Calibri"/>
                <w:b/>
                <w:sz w:val="8"/>
              </w:rPr>
            </w:pPr>
          </w:p>
          <w:p w14:paraId="4E4CDC22" w14:textId="77777777" w:rsidR="00F65BCA" w:rsidRDefault="00216117">
            <w:pPr>
              <w:pStyle w:val="TableParagraph"/>
              <w:spacing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75A5F378" w14:textId="77777777" w:rsidR="00F65BCA" w:rsidRDefault="00F65BCA">
            <w:pPr>
              <w:pStyle w:val="TableParagraph"/>
              <w:spacing w:before="4"/>
              <w:rPr>
                <w:rFonts w:ascii="Calibri"/>
                <w:b/>
                <w:sz w:val="8"/>
              </w:rPr>
            </w:pPr>
          </w:p>
          <w:p w14:paraId="7A7A2ABE" w14:textId="77777777" w:rsidR="00F65BCA" w:rsidRDefault="00216117">
            <w:pPr>
              <w:pStyle w:val="TableParagraph"/>
              <w:spacing w:line="69" w:lineRule="exact"/>
              <w:ind w:right="6"/>
              <w:jc w:val="right"/>
              <w:rPr>
                <w:rFonts w:ascii="Calibri" w:hAnsi="Calibri"/>
                <w:sz w:val="7"/>
              </w:rPr>
            </w:pPr>
            <w:r>
              <w:rPr>
                <w:rFonts w:ascii="Calibri" w:hAnsi="Calibri"/>
                <w:w w:val="105"/>
                <w:sz w:val="7"/>
              </w:rPr>
              <w:t>3 021 846 Kč</w:t>
            </w:r>
          </w:p>
        </w:tc>
        <w:tc>
          <w:tcPr>
            <w:tcW w:w="278" w:type="dxa"/>
            <w:tcBorders>
              <w:top w:val="single" w:sz="4" w:space="0" w:color="000000"/>
              <w:left w:val="single" w:sz="4" w:space="0" w:color="000000"/>
              <w:bottom w:val="single" w:sz="4" w:space="0" w:color="000000"/>
              <w:right w:val="single" w:sz="4" w:space="0" w:color="000000"/>
            </w:tcBorders>
          </w:tcPr>
          <w:p w14:paraId="3BC6A772" w14:textId="77777777" w:rsidR="00F65BCA" w:rsidRDefault="00F65BCA">
            <w:pPr>
              <w:pStyle w:val="TableParagraph"/>
              <w:spacing w:before="4"/>
              <w:rPr>
                <w:rFonts w:ascii="Calibri"/>
                <w:b/>
                <w:sz w:val="8"/>
              </w:rPr>
            </w:pPr>
          </w:p>
          <w:p w14:paraId="4F1293F5" w14:textId="77777777" w:rsidR="00F65BCA" w:rsidRDefault="00216117">
            <w:pPr>
              <w:pStyle w:val="TableParagraph"/>
              <w:spacing w:line="69" w:lineRule="exact"/>
              <w:ind w:left="37"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16C30C27" w14:textId="77777777" w:rsidR="00F65BCA" w:rsidRDefault="00F65BCA">
            <w:pPr>
              <w:pStyle w:val="TableParagraph"/>
              <w:spacing w:before="4"/>
              <w:rPr>
                <w:rFonts w:ascii="Calibri"/>
                <w:b/>
                <w:sz w:val="8"/>
              </w:rPr>
            </w:pPr>
          </w:p>
          <w:p w14:paraId="53B5E818" w14:textId="77777777" w:rsidR="00F65BCA" w:rsidRDefault="00216117">
            <w:pPr>
              <w:pStyle w:val="TableParagraph"/>
              <w:spacing w:line="69" w:lineRule="exact"/>
              <w:ind w:left="49"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0495B5D7" w14:textId="77777777" w:rsidR="00F65BCA" w:rsidRDefault="00F65BCA">
            <w:pPr>
              <w:pStyle w:val="TableParagraph"/>
              <w:spacing w:before="4"/>
              <w:rPr>
                <w:rFonts w:ascii="Calibri"/>
                <w:b/>
                <w:sz w:val="8"/>
              </w:rPr>
            </w:pPr>
          </w:p>
          <w:p w14:paraId="7E6DB9C4" w14:textId="77777777" w:rsidR="00F65BCA" w:rsidRDefault="00216117">
            <w:pPr>
              <w:pStyle w:val="TableParagraph"/>
              <w:spacing w:line="69" w:lineRule="exact"/>
              <w:jc w:val="right"/>
              <w:rPr>
                <w:rFonts w:ascii="Calibri" w:hAnsi="Calibri"/>
                <w:sz w:val="7"/>
              </w:rPr>
            </w:pPr>
            <w:r>
              <w:rPr>
                <w:rFonts w:ascii="Calibri" w:hAnsi="Calibri"/>
                <w:w w:val="105"/>
                <w:sz w:val="7"/>
              </w:rPr>
              <w:t>16 000 Kč</w:t>
            </w:r>
          </w:p>
        </w:tc>
        <w:tc>
          <w:tcPr>
            <w:tcW w:w="398" w:type="dxa"/>
            <w:tcBorders>
              <w:top w:val="single" w:sz="4" w:space="0" w:color="000000"/>
              <w:left w:val="single" w:sz="4" w:space="0" w:color="000000"/>
              <w:bottom w:val="single" w:sz="4" w:space="0" w:color="000000"/>
              <w:right w:val="single" w:sz="4" w:space="0" w:color="000000"/>
            </w:tcBorders>
          </w:tcPr>
          <w:p w14:paraId="527C8B0A" w14:textId="77777777" w:rsidR="00F65BCA" w:rsidRDefault="00F65BCA">
            <w:pPr>
              <w:pStyle w:val="TableParagraph"/>
              <w:spacing w:before="4"/>
              <w:rPr>
                <w:rFonts w:ascii="Calibri"/>
                <w:b/>
                <w:sz w:val="8"/>
              </w:rPr>
            </w:pPr>
          </w:p>
          <w:p w14:paraId="0EEEDBC6" w14:textId="77777777" w:rsidR="00F65BCA" w:rsidRDefault="00216117">
            <w:pPr>
              <w:pStyle w:val="TableParagraph"/>
              <w:spacing w:line="69" w:lineRule="exact"/>
              <w:ind w:left="58"/>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7C71E5EF" w14:textId="77777777" w:rsidR="00F65BCA" w:rsidRDefault="00F65BCA">
            <w:pPr>
              <w:pStyle w:val="TableParagraph"/>
              <w:spacing w:before="4"/>
              <w:rPr>
                <w:rFonts w:ascii="Calibri"/>
                <w:b/>
                <w:sz w:val="8"/>
              </w:rPr>
            </w:pPr>
          </w:p>
          <w:p w14:paraId="388F0C11" w14:textId="77777777" w:rsidR="00F65BCA" w:rsidRDefault="00216117">
            <w:pPr>
              <w:pStyle w:val="TableParagraph"/>
              <w:spacing w:line="69" w:lineRule="exact"/>
              <w:ind w:left="42"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62CEC6F5" w14:textId="77777777" w:rsidR="00F65BCA" w:rsidRDefault="00F65BCA">
            <w:pPr>
              <w:pStyle w:val="TableParagraph"/>
              <w:spacing w:before="4"/>
              <w:rPr>
                <w:rFonts w:ascii="Calibri"/>
                <w:b/>
                <w:sz w:val="8"/>
              </w:rPr>
            </w:pPr>
          </w:p>
          <w:p w14:paraId="31B39C97" w14:textId="77777777" w:rsidR="00F65BCA" w:rsidRDefault="00216117">
            <w:pPr>
              <w:pStyle w:val="TableParagraph"/>
              <w:spacing w:line="69" w:lineRule="exact"/>
              <w:ind w:left="144"/>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528B22CC" w14:textId="77777777" w:rsidR="00F65BCA" w:rsidRDefault="00F65BCA">
            <w:pPr>
              <w:pStyle w:val="TableParagraph"/>
              <w:rPr>
                <w:rFonts w:ascii="Times New Roman"/>
                <w:sz w:val="6"/>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3EC2D310" w14:textId="77777777" w:rsidR="00F65BCA" w:rsidRDefault="00F65BCA">
            <w:pPr>
              <w:pStyle w:val="TableParagraph"/>
              <w:spacing w:before="7"/>
              <w:rPr>
                <w:rFonts w:ascii="Calibri"/>
                <w:b/>
                <w:sz w:val="8"/>
              </w:rPr>
            </w:pPr>
          </w:p>
          <w:p w14:paraId="5327D651" w14:textId="77777777" w:rsidR="00F65BCA" w:rsidRDefault="00216117">
            <w:pPr>
              <w:pStyle w:val="TableParagraph"/>
              <w:spacing w:line="67" w:lineRule="exact"/>
              <w:ind w:left="73" w:right="28"/>
              <w:jc w:val="center"/>
              <w:rPr>
                <w:rFonts w:ascii="Calibri" w:hAnsi="Calibri"/>
                <w:sz w:val="7"/>
              </w:rPr>
            </w:pPr>
            <w:r>
              <w:rPr>
                <w:rFonts w:ascii="Calibri" w:hAnsi="Calibri"/>
                <w:w w:val="105"/>
                <w:sz w:val="7"/>
              </w:rPr>
              <w:t>1 848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3A55C289" w14:textId="77777777" w:rsidR="00F65BCA" w:rsidRDefault="00F65BCA">
            <w:pPr>
              <w:pStyle w:val="TableParagraph"/>
              <w:spacing w:before="7"/>
              <w:rPr>
                <w:rFonts w:ascii="Calibri"/>
                <w:b/>
                <w:sz w:val="8"/>
              </w:rPr>
            </w:pPr>
          </w:p>
          <w:p w14:paraId="0714C4D6" w14:textId="77777777" w:rsidR="00F65BCA" w:rsidRDefault="00216117">
            <w:pPr>
              <w:pStyle w:val="TableParagraph"/>
              <w:spacing w:line="67" w:lineRule="exact"/>
              <w:ind w:left="46"/>
              <w:jc w:val="center"/>
              <w:rPr>
                <w:rFonts w:ascii="Calibri" w:hAnsi="Calibri"/>
                <w:sz w:val="7"/>
              </w:rPr>
            </w:pPr>
            <w:r>
              <w:rPr>
                <w:rFonts w:ascii="Calibri" w:hAnsi="Calibri"/>
                <w:w w:val="105"/>
                <w:sz w:val="7"/>
              </w:rPr>
              <w:t>50 076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42CFE8A9" w14:textId="77777777" w:rsidR="00F65BCA" w:rsidRDefault="00F65BCA">
            <w:pPr>
              <w:pStyle w:val="TableParagraph"/>
              <w:spacing w:before="7"/>
              <w:rPr>
                <w:rFonts w:ascii="Calibri"/>
                <w:b/>
                <w:sz w:val="8"/>
              </w:rPr>
            </w:pPr>
          </w:p>
          <w:p w14:paraId="3D1D6799" w14:textId="77777777" w:rsidR="00F65BCA" w:rsidRDefault="00216117">
            <w:pPr>
              <w:pStyle w:val="TableParagraph"/>
              <w:spacing w:line="67" w:lineRule="exact"/>
              <w:ind w:right="70"/>
              <w:jc w:val="right"/>
              <w:rPr>
                <w:rFonts w:ascii="Calibri" w:hAnsi="Calibri"/>
                <w:sz w:val="7"/>
              </w:rPr>
            </w:pPr>
            <w:r>
              <w:rPr>
                <w:rFonts w:ascii="Calibri" w:hAnsi="Calibri"/>
                <w:w w:val="105"/>
                <w:sz w:val="7"/>
              </w:rPr>
              <w:t>1 224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2C1C2802" w14:textId="77777777" w:rsidR="00F65BCA" w:rsidRDefault="00F65BCA">
            <w:pPr>
              <w:pStyle w:val="TableParagraph"/>
              <w:spacing w:before="7"/>
              <w:rPr>
                <w:rFonts w:ascii="Calibri"/>
                <w:b/>
                <w:sz w:val="8"/>
              </w:rPr>
            </w:pPr>
          </w:p>
          <w:p w14:paraId="4F379CE2" w14:textId="77777777" w:rsidR="00F65BCA" w:rsidRDefault="00216117">
            <w:pPr>
              <w:pStyle w:val="TableParagraph"/>
              <w:spacing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238A60DF" w14:textId="77777777" w:rsidR="00F65BCA" w:rsidRDefault="00F65BCA">
            <w:pPr>
              <w:pStyle w:val="TableParagraph"/>
              <w:spacing w:before="7"/>
              <w:rPr>
                <w:rFonts w:ascii="Calibri"/>
                <w:b/>
                <w:sz w:val="8"/>
              </w:rPr>
            </w:pPr>
          </w:p>
          <w:p w14:paraId="0EB30B87" w14:textId="77777777" w:rsidR="00F65BCA" w:rsidRDefault="00216117">
            <w:pPr>
              <w:pStyle w:val="TableParagraph"/>
              <w:spacing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05CDFC95" w14:textId="77777777" w:rsidR="00F65BCA" w:rsidRDefault="00F65BCA">
            <w:pPr>
              <w:pStyle w:val="TableParagraph"/>
              <w:spacing w:before="7"/>
              <w:rPr>
                <w:rFonts w:ascii="Calibri"/>
                <w:b/>
                <w:sz w:val="8"/>
              </w:rPr>
            </w:pPr>
          </w:p>
          <w:p w14:paraId="4A5F9EFE" w14:textId="77777777" w:rsidR="00F65BCA" w:rsidRDefault="00216117">
            <w:pPr>
              <w:pStyle w:val="TableParagraph"/>
              <w:spacing w:line="67" w:lineRule="exact"/>
              <w:ind w:left="78" w:right="16"/>
              <w:jc w:val="center"/>
              <w:rPr>
                <w:rFonts w:ascii="Calibri" w:hAnsi="Calibri"/>
                <w:sz w:val="7"/>
              </w:rPr>
            </w:pPr>
            <w:r>
              <w:rPr>
                <w:rFonts w:ascii="Calibri" w:hAnsi="Calibri"/>
                <w:w w:val="105"/>
                <w:sz w:val="7"/>
              </w:rPr>
              <w:t>1 200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51635F52" w14:textId="77777777" w:rsidR="00F65BCA" w:rsidRDefault="00F65BCA">
            <w:pPr>
              <w:pStyle w:val="TableParagraph"/>
              <w:rPr>
                <w:rFonts w:ascii="Times New Roman"/>
                <w:sz w:val="6"/>
              </w:rPr>
            </w:pPr>
          </w:p>
        </w:tc>
        <w:tc>
          <w:tcPr>
            <w:tcW w:w="458" w:type="dxa"/>
            <w:tcBorders>
              <w:top w:val="single" w:sz="4" w:space="0" w:color="000000"/>
              <w:left w:val="single" w:sz="4" w:space="0" w:color="000000"/>
              <w:bottom w:val="single" w:sz="4" w:space="0" w:color="000000"/>
            </w:tcBorders>
            <w:shd w:val="clear" w:color="auto" w:fill="FFFF99"/>
          </w:tcPr>
          <w:p w14:paraId="6C4CBFF4" w14:textId="77777777" w:rsidR="00F65BCA" w:rsidRDefault="00F65BCA">
            <w:pPr>
              <w:pStyle w:val="TableParagraph"/>
              <w:spacing w:before="7"/>
              <w:rPr>
                <w:rFonts w:ascii="Calibri"/>
                <w:b/>
                <w:sz w:val="8"/>
              </w:rPr>
            </w:pPr>
          </w:p>
          <w:p w14:paraId="576CD472" w14:textId="77777777" w:rsidR="00F65BCA" w:rsidRDefault="00216117">
            <w:pPr>
              <w:pStyle w:val="TableParagraph"/>
              <w:spacing w:line="67" w:lineRule="exact"/>
              <w:ind w:left="111"/>
              <w:rPr>
                <w:rFonts w:ascii="Calibri" w:hAnsi="Calibri"/>
                <w:sz w:val="7"/>
              </w:rPr>
            </w:pPr>
            <w:r>
              <w:rPr>
                <w:rFonts w:ascii="Calibri" w:hAnsi="Calibri"/>
                <w:w w:val="105"/>
                <w:sz w:val="7"/>
              </w:rPr>
              <w:t>55 260 Kč</w:t>
            </w:r>
          </w:p>
        </w:tc>
      </w:tr>
      <w:tr w:rsidR="00F65BCA" w14:paraId="2ECB1316" w14:textId="77777777">
        <w:trPr>
          <w:trHeight w:val="191"/>
        </w:trPr>
        <w:tc>
          <w:tcPr>
            <w:tcW w:w="188" w:type="dxa"/>
            <w:tcBorders>
              <w:top w:val="single" w:sz="4" w:space="0" w:color="000000"/>
              <w:bottom w:val="single" w:sz="4" w:space="0" w:color="000000"/>
              <w:right w:val="single" w:sz="4" w:space="0" w:color="000000"/>
            </w:tcBorders>
          </w:tcPr>
          <w:p w14:paraId="134F2948" w14:textId="77777777" w:rsidR="00F65BCA" w:rsidRDefault="00F65BCA">
            <w:pPr>
              <w:pStyle w:val="TableParagraph"/>
              <w:spacing w:before="7"/>
              <w:rPr>
                <w:rFonts w:ascii="Calibri"/>
                <w:b/>
                <w:sz w:val="8"/>
              </w:rPr>
            </w:pPr>
          </w:p>
          <w:p w14:paraId="5EEF79DC" w14:textId="77777777" w:rsidR="00F65BCA" w:rsidRDefault="00216117">
            <w:pPr>
              <w:pStyle w:val="TableParagraph"/>
              <w:spacing w:line="67" w:lineRule="exact"/>
              <w:ind w:left="59"/>
              <w:rPr>
                <w:rFonts w:ascii="Calibri"/>
                <w:sz w:val="7"/>
              </w:rPr>
            </w:pPr>
            <w:r>
              <w:rPr>
                <w:rFonts w:ascii="Calibri"/>
                <w:w w:val="105"/>
                <w:sz w:val="7"/>
              </w:rPr>
              <w:t>39</w:t>
            </w:r>
          </w:p>
        </w:tc>
        <w:tc>
          <w:tcPr>
            <w:tcW w:w="398" w:type="dxa"/>
            <w:tcBorders>
              <w:top w:val="single" w:sz="4" w:space="0" w:color="000000"/>
              <w:left w:val="single" w:sz="4" w:space="0" w:color="000000"/>
              <w:bottom w:val="single" w:sz="4" w:space="0" w:color="000000"/>
              <w:right w:val="single" w:sz="4" w:space="0" w:color="000000"/>
            </w:tcBorders>
          </w:tcPr>
          <w:p w14:paraId="2422CA6F" w14:textId="77777777" w:rsidR="00F65BCA" w:rsidRDefault="00F65BCA">
            <w:pPr>
              <w:pStyle w:val="TableParagraph"/>
              <w:spacing w:before="4"/>
              <w:rPr>
                <w:rFonts w:ascii="Calibri"/>
                <w:b/>
                <w:sz w:val="8"/>
              </w:rPr>
            </w:pPr>
          </w:p>
          <w:p w14:paraId="65BCD22C" w14:textId="77777777" w:rsidR="00F65BCA" w:rsidRDefault="00216117">
            <w:pPr>
              <w:pStyle w:val="TableParagraph"/>
              <w:spacing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17D7D7A0" w14:textId="77777777" w:rsidR="00F65BCA" w:rsidRDefault="00F65BCA">
            <w:pPr>
              <w:pStyle w:val="TableParagraph"/>
              <w:spacing w:before="4"/>
              <w:rPr>
                <w:rFonts w:ascii="Calibri"/>
                <w:b/>
                <w:sz w:val="8"/>
              </w:rPr>
            </w:pPr>
          </w:p>
          <w:p w14:paraId="4E77CF58" w14:textId="77777777" w:rsidR="00F65BCA" w:rsidRDefault="00216117">
            <w:pPr>
              <w:pStyle w:val="TableParagraph"/>
              <w:spacing w:line="69" w:lineRule="exact"/>
              <w:ind w:left="70" w:right="44"/>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55A41FA" w14:textId="77777777" w:rsidR="00F65BCA" w:rsidRDefault="00F65BCA">
            <w:pPr>
              <w:pStyle w:val="TableParagraph"/>
              <w:spacing w:before="4"/>
              <w:rPr>
                <w:rFonts w:ascii="Calibri"/>
                <w:b/>
                <w:sz w:val="8"/>
              </w:rPr>
            </w:pPr>
          </w:p>
          <w:p w14:paraId="52A1F9F2" w14:textId="77777777" w:rsidR="00F65BCA" w:rsidRDefault="00216117">
            <w:pPr>
              <w:pStyle w:val="TableParagraph"/>
              <w:spacing w:line="69" w:lineRule="exact"/>
              <w:ind w:right="34"/>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2AFEA8DC" w14:textId="77777777" w:rsidR="00F65BCA" w:rsidRDefault="00F65BCA">
            <w:pPr>
              <w:pStyle w:val="TableParagraph"/>
              <w:spacing w:before="4"/>
              <w:rPr>
                <w:rFonts w:ascii="Calibri"/>
                <w:b/>
                <w:sz w:val="8"/>
              </w:rPr>
            </w:pPr>
          </w:p>
          <w:p w14:paraId="06A0C1A3" w14:textId="77777777" w:rsidR="00F65BCA" w:rsidRDefault="00216117">
            <w:pPr>
              <w:pStyle w:val="TableParagraph"/>
              <w:spacing w:line="69" w:lineRule="exact"/>
              <w:ind w:left="70"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0314927" w14:textId="77777777" w:rsidR="00F65BCA" w:rsidRDefault="00F65BCA">
            <w:pPr>
              <w:pStyle w:val="TableParagraph"/>
              <w:spacing w:before="4"/>
              <w:rPr>
                <w:rFonts w:ascii="Calibri"/>
                <w:b/>
                <w:sz w:val="8"/>
              </w:rPr>
            </w:pPr>
          </w:p>
          <w:p w14:paraId="5DD04D2F" w14:textId="77777777" w:rsidR="00F65BCA" w:rsidRDefault="00216117">
            <w:pPr>
              <w:pStyle w:val="TableParagraph"/>
              <w:spacing w:line="69" w:lineRule="exact"/>
              <w:ind w:left="71"/>
              <w:rPr>
                <w:rFonts w:ascii="Calibri"/>
                <w:sz w:val="7"/>
              </w:rPr>
            </w:pPr>
            <w:r>
              <w:rPr>
                <w:rFonts w:ascii="Calibri"/>
                <w:w w:val="105"/>
                <w:sz w:val="7"/>
              </w:rPr>
              <w:t>EL087CC</w:t>
            </w:r>
          </w:p>
        </w:tc>
        <w:tc>
          <w:tcPr>
            <w:tcW w:w="398" w:type="dxa"/>
            <w:tcBorders>
              <w:top w:val="single" w:sz="4" w:space="0" w:color="000000"/>
              <w:left w:val="single" w:sz="4" w:space="0" w:color="000000"/>
              <w:bottom w:val="single" w:sz="4" w:space="0" w:color="000000"/>
              <w:right w:val="single" w:sz="4" w:space="0" w:color="000000"/>
            </w:tcBorders>
          </w:tcPr>
          <w:p w14:paraId="1B2DF31F" w14:textId="77777777" w:rsidR="00F65BCA" w:rsidRDefault="00F65BCA">
            <w:pPr>
              <w:pStyle w:val="TableParagraph"/>
              <w:spacing w:before="4"/>
              <w:rPr>
                <w:rFonts w:ascii="Calibri"/>
                <w:b/>
                <w:sz w:val="8"/>
              </w:rPr>
            </w:pPr>
          </w:p>
          <w:p w14:paraId="4CD4A714" w14:textId="77777777" w:rsidR="00F65BCA" w:rsidRDefault="00216117">
            <w:pPr>
              <w:pStyle w:val="TableParagraph"/>
              <w:spacing w:line="69" w:lineRule="exact"/>
              <w:ind w:left="12"/>
              <w:jc w:val="center"/>
              <w:rPr>
                <w:rFonts w:ascii="Calibri"/>
                <w:sz w:val="7"/>
              </w:rPr>
            </w:pPr>
            <w:r>
              <w:rPr>
                <w:rFonts w:ascii="Calibri"/>
                <w:w w:val="105"/>
                <w:sz w:val="7"/>
              </w:rPr>
              <w:t>UBI468751</w:t>
            </w:r>
          </w:p>
        </w:tc>
        <w:tc>
          <w:tcPr>
            <w:tcW w:w="792" w:type="dxa"/>
            <w:tcBorders>
              <w:top w:val="single" w:sz="4" w:space="0" w:color="000000"/>
              <w:left w:val="single" w:sz="4" w:space="0" w:color="000000"/>
              <w:bottom w:val="single" w:sz="4" w:space="0" w:color="000000"/>
              <w:right w:val="single" w:sz="4" w:space="0" w:color="000000"/>
            </w:tcBorders>
          </w:tcPr>
          <w:p w14:paraId="151A9AA9" w14:textId="77777777" w:rsidR="00F65BCA" w:rsidRDefault="00F65BCA">
            <w:pPr>
              <w:pStyle w:val="TableParagraph"/>
              <w:spacing w:before="4"/>
              <w:rPr>
                <w:rFonts w:ascii="Calibri"/>
                <w:b/>
                <w:sz w:val="8"/>
              </w:rPr>
            </w:pPr>
          </w:p>
          <w:p w14:paraId="38AC0A8E" w14:textId="77777777" w:rsidR="00F65BCA" w:rsidRDefault="00216117">
            <w:pPr>
              <w:pStyle w:val="TableParagraph"/>
              <w:spacing w:line="69" w:lineRule="exact"/>
              <w:ind w:left="48"/>
              <w:rPr>
                <w:rFonts w:ascii="Calibri"/>
                <w:sz w:val="7"/>
              </w:rPr>
            </w:pPr>
            <w:r>
              <w:rPr>
                <w:rFonts w:ascii="Calibri"/>
                <w:w w:val="105"/>
                <w:sz w:val="7"/>
              </w:rPr>
              <w:t>TMBJW7NP3P7027390</w:t>
            </w:r>
          </w:p>
        </w:tc>
        <w:tc>
          <w:tcPr>
            <w:tcW w:w="398" w:type="dxa"/>
            <w:tcBorders>
              <w:top w:val="single" w:sz="4" w:space="0" w:color="000000"/>
              <w:left w:val="single" w:sz="4" w:space="0" w:color="000000"/>
              <w:bottom w:val="single" w:sz="4" w:space="0" w:color="000000"/>
              <w:right w:val="single" w:sz="4" w:space="0" w:color="000000"/>
            </w:tcBorders>
          </w:tcPr>
          <w:p w14:paraId="3B1DB62A" w14:textId="77777777" w:rsidR="00F65BCA" w:rsidRDefault="00F65BCA">
            <w:pPr>
              <w:pStyle w:val="TableParagraph"/>
              <w:spacing w:before="4"/>
              <w:rPr>
                <w:rFonts w:ascii="Calibri"/>
                <w:b/>
                <w:sz w:val="8"/>
              </w:rPr>
            </w:pPr>
          </w:p>
          <w:p w14:paraId="7DE23528" w14:textId="77777777" w:rsidR="00F65BCA" w:rsidRDefault="00216117">
            <w:pPr>
              <w:pStyle w:val="TableParagraph"/>
              <w:spacing w:line="69" w:lineRule="exact"/>
              <w:ind w:left="98"/>
              <w:rPr>
                <w:rFonts w:ascii="Calibri"/>
                <w:sz w:val="7"/>
              </w:rPr>
            </w:pPr>
            <w:r>
              <w:rPr>
                <w:rFonts w:ascii="Calibri"/>
                <w:w w:val="105"/>
                <w:sz w:val="7"/>
              </w:rPr>
              <w:t>SKODA</w:t>
            </w:r>
          </w:p>
        </w:tc>
        <w:tc>
          <w:tcPr>
            <w:tcW w:w="1065" w:type="dxa"/>
            <w:tcBorders>
              <w:top w:val="single" w:sz="4" w:space="0" w:color="000000"/>
              <w:left w:val="single" w:sz="4" w:space="0" w:color="000000"/>
              <w:bottom w:val="single" w:sz="4" w:space="0" w:color="000000"/>
              <w:right w:val="single" w:sz="4" w:space="0" w:color="000000"/>
            </w:tcBorders>
          </w:tcPr>
          <w:p w14:paraId="6A1E3FCE" w14:textId="77777777" w:rsidR="00F65BCA" w:rsidRDefault="00216117">
            <w:pPr>
              <w:pStyle w:val="TableParagraph"/>
              <w:spacing w:before="4"/>
              <w:ind w:left="62"/>
              <w:rPr>
                <w:rFonts w:ascii="Calibri" w:hAnsi="Calibri"/>
                <w:sz w:val="7"/>
              </w:rPr>
            </w:pPr>
            <w:r>
              <w:rPr>
                <w:rFonts w:ascii="Calibri" w:hAnsi="Calibri"/>
                <w:w w:val="105"/>
                <w:sz w:val="7"/>
              </w:rPr>
              <w:t>SUPERB III včetně</w:t>
            </w:r>
            <w:r>
              <w:rPr>
                <w:rFonts w:ascii="Calibri" w:hAnsi="Calibri"/>
                <w:spacing w:val="-8"/>
                <w:w w:val="105"/>
                <w:sz w:val="7"/>
              </w:rPr>
              <w:t xml:space="preserve"> </w:t>
            </w:r>
            <w:r>
              <w:rPr>
                <w:rFonts w:ascii="Calibri" w:hAnsi="Calibri"/>
                <w:w w:val="105"/>
                <w:sz w:val="7"/>
              </w:rPr>
              <w:t>Drive-in-wire-</w:t>
            </w:r>
          </w:p>
          <w:p w14:paraId="2582C0D7" w14:textId="77777777" w:rsidR="00F65BCA" w:rsidRDefault="00216117">
            <w:pPr>
              <w:pStyle w:val="TableParagraph"/>
              <w:spacing w:before="13" w:line="69" w:lineRule="exact"/>
              <w:ind w:left="52"/>
              <w:rPr>
                <w:rFonts w:ascii="Calibri" w:hAnsi="Calibri"/>
                <w:sz w:val="7"/>
              </w:rPr>
            </w:pPr>
            <w:r>
              <w:rPr>
                <w:rFonts w:ascii="Calibri" w:hAnsi="Calibri"/>
                <w:w w:val="105"/>
                <w:sz w:val="7"/>
              </w:rPr>
              <w:t>systému pro autonomního</w:t>
            </w:r>
            <w:r>
              <w:rPr>
                <w:rFonts w:ascii="Calibri" w:hAnsi="Calibri"/>
                <w:spacing w:val="3"/>
                <w:w w:val="105"/>
                <w:sz w:val="7"/>
              </w:rPr>
              <w:t xml:space="preserve"> </w:t>
            </w:r>
            <w:r>
              <w:rPr>
                <w:rFonts w:ascii="Calibri" w:hAnsi="Calibri"/>
                <w:w w:val="105"/>
                <w:sz w:val="7"/>
              </w:rPr>
              <w:t>řízení</w:t>
            </w:r>
          </w:p>
        </w:tc>
        <w:tc>
          <w:tcPr>
            <w:tcW w:w="815" w:type="dxa"/>
            <w:tcBorders>
              <w:top w:val="single" w:sz="4" w:space="0" w:color="000000"/>
              <w:left w:val="single" w:sz="4" w:space="0" w:color="000000"/>
              <w:bottom w:val="single" w:sz="4" w:space="0" w:color="000000"/>
              <w:right w:val="single" w:sz="4" w:space="0" w:color="000000"/>
            </w:tcBorders>
          </w:tcPr>
          <w:p w14:paraId="242CCD60" w14:textId="77777777" w:rsidR="00F65BCA" w:rsidRDefault="00F65BCA">
            <w:pPr>
              <w:pStyle w:val="TableParagraph"/>
              <w:spacing w:before="4"/>
              <w:rPr>
                <w:rFonts w:ascii="Calibri"/>
                <w:b/>
                <w:sz w:val="8"/>
              </w:rPr>
            </w:pPr>
          </w:p>
          <w:p w14:paraId="65CFAA79" w14:textId="77777777" w:rsidR="00F65BCA" w:rsidRDefault="00216117">
            <w:pPr>
              <w:pStyle w:val="TableParagraph"/>
              <w:spacing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6ACBD28D" w14:textId="77777777" w:rsidR="00F65BCA" w:rsidRDefault="00F65BCA">
            <w:pPr>
              <w:pStyle w:val="TableParagraph"/>
              <w:spacing w:before="4"/>
              <w:rPr>
                <w:rFonts w:ascii="Calibri"/>
                <w:b/>
                <w:sz w:val="8"/>
              </w:rPr>
            </w:pPr>
          </w:p>
          <w:p w14:paraId="285948F6" w14:textId="77777777" w:rsidR="00F65BCA" w:rsidRDefault="00216117">
            <w:pPr>
              <w:pStyle w:val="TableParagraph"/>
              <w:spacing w:line="69" w:lineRule="exact"/>
              <w:ind w:right="41"/>
              <w:jc w:val="right"/>
              <w:rPr>
                <w:rFonts w:ascii="Calibri"/>
                <w:sz w:val="7"/>
              </w:rPr>
            </w:pPr>
            <w:r>
              <w:rPr>
                <w:rFonts w:ascii="Calibri"/>
                <w:w w:val="105"/>
                <w:sz w:val="7"/>
              </w:rPr>
              <w:t>2023</w:t>
            </w:r>
          </w:p>
        </w:tc>
        <w:tc>
          <w:tcPr>
            <w:tcW w:w="278" w:type="dxa"/>
            <w:tcBorders>
              <w:top w:val="single" w:sz="4" w:space="0" w:color="000000"/>
              <w:left w:val="single" w:sz="4" w:space="0" w:color="000000"/>
              <w:bottom w:val="single" w:sz="4" w:space="0" w:color="000000"/>
              <w:right w:val="single" w:sz="4" w:space="0" w:color="000000"/>
            </w:tcBorders>
          </w:tcPr>
          <w:p w14:paraId="0450C1D7" w14:textId="77777777" w:rsidR="00F65BCA" w:rsidRDefault="00F65BCA">
            <w:pPr>
              <w:pStyle w:val="TableParagraph"/>
              <w:spacing w:before="4"/>
              <w:rPr>
                <w:rFonts w:ascii="Calibri"/>
                <w:b/>
                <w:sz w:val="8"/>
              </w:rPr>
            </w:pPr>
          </w:p>
          <w:p w14:paraId="2928F8A0" w14:textId="77777777" w:rsidR="00F65BCA" w:rsidRDefault="00216117">
            <w:pPr>
              <w:pStyle w:val="TableParagraph"/>
              <w:spacing w:line="69" w:lineRule="exact"/>
              <w:ind w:left="28" w:right="2"/>
              <w:jc w:val="center"/>
              <w:rPr>
                <w:rFonts w:ascii="Calibri"/>
                <w:sz w:val="7"/>
              </w:rPr>
            </w:pPr>
            <w:r>
              <w:rPr>
                <w:rFonts w:ascii="Calibri"/>
                <w:w w:val="105"/>
                <w:sz w:val="7"/>
              </w:rPr>
              <w:t>1395</w:t>
            </w:r>
          </w:p>
        </w:tc>
        <w:tc>
          <w:tcPr>
            <w:tcW w:w="268" w:type="dxa"/>
            <w:tcBorders>
              <w:top w:val="single" w:sz="4" w:space="0" w:color="000000"/>
              <w:left w:val="single" w:sz="4" w:space="0" w:color="000000"/>
              <w:bottom w:val="single" w:sz="4" w:space="0" w:color="000000"/>
              <w:right w:val="single" w:sz="4" w:space="0" w:color="000000"/>
            </w:tcBorders>
          </w:tcPr>
          <w:p w14:paraId="23D6C959" w14:textId="77777777" w:rsidR="00F65BCA" w:rsidRDefault="00F65BCA">
            <w:pPr>
              <w:pStyle w:val="TableParagraph"/>
              <w:spacing w:before="4"/>
              <w:rPr>
                <w:rFonts w:ascii="Calibri"/>
                <w:b/>
                <w:sz w:val="8"/>
              </w:rPr>
            </w:pPr>
          </w:p>
          <w:p w14:paraId="01F73028" w14:textId="77777777" w:rsidR="00F65BCA" w:rsidRDefault="00216117">
            <w:pPr>
              <w:pStyle w:val="TableParagraph"/>
              <w:spacing w:line="69" w:lineRule="exact"/>
              <w:ind w:right="56"/>
              <w:jc w:val="right"/>
              <w:rPr>
                <w:rFonts w:ascii="Calibri"/>
                <w:sz w:val="7"/>
              </w:rPr>
            </w:pPr>
            <w:r>
              <w:rPr>
                <w:rFonts w:ascii="Calibri"/>
                <w:w w:val="105"/>
                <w:sz w:val="7"/>
              </w:rPr>
              <w:t>115</w:t>
            </w:r>
          </w:p>
        </w:tc>
        <w:tc>
          <w:tcPr>
            <w:tcW w:w="398" w:type="dxa"/>
            <w:tcBorders>
              <w:top w:val="single" w:sz="4" w:space="0" w:color="000000"/>
              <w:left w:val="single" w:sz="4" w:space="0" w:color="000000"/>
              <w:bottom w:val="single" w:sz="4" w:space="0" w:color="000000"/>
              <w:right w:val="single" w:sz="4" w:space="0" w:color="000000"/>
            </w:tcBorders>
          </w:tcPr>
          <w:p w14:paraId="02FF1353" w14:textId="77777777" w:rsidR="00F65BCA" w:rsidRDefault="00F65BCA">
            <w:pPr>
              <w:pStyle w:val="TableParagraph"/>
              <w:spacing w:before="4"/>
              <w:rPr>
                <w:rFonts w:ascii="Calibri"/>
                <w:b/>
                <w:sz w:val="8"/>
              </w:rPr>
            </w:pPr>
          </w:p>
          <w:p w14:paraId="0E9511C1" w14:textId="77777777" w:rsidR="00F65BCA" w:rsidRDefault="00216117">
            <w:pPr>
              <w:pStyle w:val="TableParagraph"/>
              <w:spacing w:line="69" w:lineRule="exact"/>
              <w:ind w:left="28"/>
              <w:jc w:val="center"/>
              <w:rPr>
                <w:rFonts w:ascii="Calibri"/>
                <w:sz w:val="7"/>
              </w:rPr>
            </w:pPr>
            <w:r>
              <w:rPr>
                <w:rFonts w:ascii="Calibri"/>
                <w:w w:val="105"/>
                <w:sz w:val="7"/>
              </w:rPr>
              <w:t>1730</w:t>
            </w:r>
          </w:p>
        </w:tc>
        <w:tc>
          <w:tcPr>
            <w:tcW w:w="249" w:type="dxa"/>
            <w:tcBorders>
              <w:top w:val="single" w:sz="4" w:space="0" w:color="000000"/>
              <w:left w:val="single" w:sz="4" w:space="0" w:color="000000"/>
              <w:bottom w:val="single" w:sz="4" w:space="0" w:color="000000"/>
              <w:right w:val="single" w:sz="4" w:space="0" w:color="000000"/>
            </w:tcBorders>
          </w:tcPr>
          <w:p w14:paraId="07D6BEE0" w14:textId="77777777" w:rsidR="00F65BCA" w:rsidRDefault="00F65BCA">
            <w:pPr>
              <w:pStyle w:val="TableParagraph"/>
              <w:spacing w:before="4"/>
              <w:rPr>
                <w:rFonts w:ascii="Calibri"/>
                <w:b/>
                <w:sz w:val="8"/>
              </w:rPr>
            </w:pPr>
          </w:p>
          <w:p w14:paraId="54655835" w14:textId="77777777" w:rsidR="00F65BCA" w:rsidRDefault="00216117">
            <w:pPr>
              <w:pStyle w:val="TableParagraph"/>
              <w:spacing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4EF5BFD0" w14:textId="77777777" w:rsidR="00F65BCA" w:rsidRDefault="00216117">
            <w:pPr>
              <w:pStyle w:val="TableParagraph"/>
              <w:spacing w:before="4"/>
              <w:ind w:left="40"/>
              <w:rPr>
                <w:rFonts w:ascii="Calibri" w:hAnsi="Calibri"/>
                <w:sz w:val="7"/>
              </w:rPr>
            </w:pPr>
            <w:r>
              <w:rPr>
                <w:rFonts w:ascii="Calibri" w:hAnsi="Calibri"/>
                <w:w w:val="105"/>
                <w:sz w:val="7"/>
              </w:rPr>
              <w:t>Hybridní</w:t>
            </w:r>
          </w:p>
          <w:p w14:paraId="44CC7F08" w14:textId="77777777" w:rsidR="00F65BCA" w:rsidRDefault="00216117">
            <w:pPr>
              <w:pStyle w:val="TableParagraph"/>
              <w:spacing w:before="13" w:line="69" w:lineRule="exact"/>
              <w:ind w:left="90"/>
              <w:rPr>
                <w:rFonts w:ascii="Calibri"/>
                <w:sz w:val="7"/>
              </w:rPr>
            </w:pPr>
            <w:r>
              <w:rPr>
                <w:rFonts w:ascii="Calibri"/>
                <w:w w:val="105"/>
                <w:sz w:val="7"/>
              </w:rPr>
              <w:t>(B+E)</w:t>
            </w:r>
          </w:p>
        </w:tc>
        <w:tc>
          <w:tcPr>
            <w:tcW w:w="256" w:type="dxa"/>
            <w:tcBorders>
              <w:top w:val="single" w:sz="4" w:space="0" w:color="000000"/>
              <w:left w:val="single" w:sz="4" w:space="0" w:color="000000"/>
              <w:bottom w:val="single" w:sz="4" w:space="0" w:color="000000"/>
              <w:right w:val="single" w:sz="4" w:space="0" w:color="000000"/>
            </w:tcBorders>
          </w:tcPr>
          <w:p w14:paraId="74322208" w14:textId="77777777" w:rsidR="00F65BCA" w:rsidRDefault="00F65BCA">
            <w:pPr>
              <w:pStyle w:val="TableParagraph"/>
              <w:spacing w:before="4"/>
              <w:rPr>
                <w:rFonts w:ascii="Calibri"/>
                <w:b/>
                <w:sz w:val="8"/>
              </w:rPr>
            </w:pPr>
          </w:p>
          <w:p w14:paraId="42507BBA" w14:textId="77777777" w:rsidR="00F65BCA" w:rsidRDefault="00216117">
            <w:pPr>
              <w:pStyle w:val="TableParagraph"/>
              <w:spacing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24A75AED" w14:textId="77777777" w:rsidR="00F65BCA" w:rsidRDefault="00F65BCA">
            <w:pPr>
              <w:pStyle w:val="TableParagraph"/>
              <w:spacing w:before="4"/>
              <w:rPr>
                <w:rFonts w:ascii="Calibri"/>
                <w:b/>
                <w:sz w:val="8"/>
              </w:rPr>
            </w:pPr>
          </w:p>
          <w:p w14:paraId="4357ED18" w14:textId="77777777" w:rsidR="00F65BCA" w:rsidRDefault="00216117">
            <w:pPr>
              <w:pStyle w:val="TableParagraph"/>
              <w:spacing w:line="69" w:lineRule="exact"/>
              <w:ind w:right="6"/>
              <w:jc w:val="right"/>
              <w:rPr>
                <w:rFonts w:ascii="Calibri" w:hAnsi="Calibri"/>
                <w:sz w:val="7"/>
              </w:rPr>
            </w:pPr>
            <w:r>
              <w:rPr>
                <w:rFonts w:ascii="Calibri" w:hAnsi="Calibri"/>
                <w:w w:val="105"/>
                <w:sz w:val="7"/>
              </w:rPr>
              <w:t>3 021 846 Kč</w:t>
            </w:r>
          </w:p>
        </w:tc>
        <w:tc>
          <w:tcPr>
            <w:tcW w:w="278" w:type="dxa"/>
            <w:tcBorders>
              <w:top w:val="single" w:sz="4" w:space="0" w:color="000000"/>
              <w:left w:val="single" w:sz="4" w:space="0" w:color="000000"/>
              <w:bottom w:val="single" w:sz="4" w:space="0" w:color="000000"/>
              <w:right w:val="single" w:sz="4" w:space="0" w:color="000000"/>
            </w:tcBorders>
          </w:tcPr>
          <w:p w14:paraId="1F2F9800" w14:textId="77777777" w:rsidR="00F65BCA" w:rsidRDefault="00F65BCA">
            <w:pPr>
              <w:pStyle w:val="TableParagraph"/>
              <w:spacing w:before="4"/>
              <w:rPr>
                <w:rFonts w:ascii="Calibri"/>
                <w:b/>
                <w:sz w:val="8"/>
              </w:rPr>
            </w:pPr>
          </w:p>
          <w:p w14:paraId="7FE6E926" w14:textId="77777777" w:rsidR="00F65BCA" w:rsidRDefault="00216117">
            <w:pPr>
              <w:pStyle w:val="TableParagraph"/>
              <w:spacing w:line="69" w:lineRule="exact"/>
              <w:ind w:left="37"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588B5D00" w14:textId="77777777" w:rsidR="00F65BCA" w:rsidRDefault="00F65BCA">
            <w:pPr>
              <w:pStyle w:val="TableParagraph"/>
              <w:spacing w:before="4"/>
              <w:rPr>
                <w:rFonts w:ascii="Calibri"/>
                <w:b/>
                <w:sz w:val="8"/>
              </w:rPr>
            </w:pPr>
          </w:p>
          <w:p w14:paraId="757BAF20" w14:textId="77777777" w:rsidR="00F65BCA" w:rsidRDefault="00216117">
            <w:pPr>
              <w:pStyle w:val="TableParagraph"/>
              <w:spacing w:line="69" w:lineRule="exact"/>
              <w:ind w:left="49"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24FA4E92" w14:textId="77777777" w:rsidR="00F65BCA" w:rsidRDefault="00F65BCA">
            <w:pPr>
              <w:pStyle w:val="TableParagraph"/>
              <w:spacing w:before="4"/>
              <w:rPr>
                <w:rFonts w:ascii="Calibri"/>
                <w:b/>
                <w:sz w:val="8"/>
              </w:rPr>
            </w:pPr>
          </w:p>
          <w:p w14:paraId="31A4F8E7" w14:textId="77777777" w:rsidR="00F65BCA" w:rsidRDefault="00216117">
            <w:pPr>
              <w:pStyle w:val="TableParagraph"/>
              <w:spacing w:line="69" w:lineRule="exact"/>
              <w:jc w:val="right"/>
              <w:rPr>
                <w:rFonts w:ascii="Calibri" w:hAnsi="Calibri"/>
                <w:sz w:val="7"/>
              </w:rPr>
            </w:pPr>
            <w:r>
              <w:rPr>
                <w:rFonts w:ascii="Calibri" w:hAnsi="Calibri"/>
                <w:w w:val="105"/>
                <w:sz w:val="7"/>
              </w:rPr>
              <w:t>16 000 Kč</w:t>
            </w:r>
          </w:p>
        </w:tc>
        <w:tc>
          <w:tcPr>
            <w:tcW w:w="398" w:type="dxa"/>
            <w:tcBorders>
              <w:top w:val="single" w:sz="4" w:space="0" w:color="000000"/>
              <w:left w:val="single" w:sz="4" w:space="0" w:color="000000"/>
              <w:bottom w:val="single" w:sz="4" w:space="0" w:color="000000"/>
              <w:right w:val="single" w:sz="4" w:space="0" w:color="000000"/>
            </w:tcBorders>
          </w:tcPr>
          <w:p w14:paraId="20ED82CC" w14:textId="77777777" w:rsidR="00F65BCA" w:rsidRDefault="00F65BCA">
            <w:pPr>
              <w:pStyle w:val="TableParagraph"/>
              <w:spacing w:before="4"/>
              <w:rPr>
                <w:rFonts w:ascii="Calibri"/>
                <w:b/>
                <w:sz w:val="8"/>
              </w:rPr>
            </w:pPr>
          </w:p>
          <w:p w14:paraId="52BF8D85" w14:textId="77777777" w:rsidR="00F65BCA" w:rsidRDefault="00216117">
            <w:pPr>
              <w:pStyle w:val="TableParagraph"/>
              <w:spacing w:line="69" w:lineRule="exact"/>
              <w:ind w:left="58"/>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19A5171D" w14:textId="77777777" w:rsidR="00F65BCA" w:rsidRDefault="00F65BCA">
            <w:pPr>
              <w:pStyle w:val="TableParagraph"/>
              <w:spacing w:before="4"/>
              <w:rPr>
                <w:rFonts w:ascii="Calibri"/>
                <w:b/>
                <w:sz w:val="8"/>
              </w:rPr>
            </w:pPr>
          </w:p>
          <w:p w14:paraId="6D74674F" w14:textId="77777777" w:rsidR="00F65BCA" w:rsidRDefault="00216117">
            <w:pPr>
              <w:pStyle w:val="TableParagraph"/>
              <w:spacing w:line="69" w:lineRule="exact"/>
              <w:ind w:left="42"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25AC2F3F" w14:textId="77777777" w:rsidR="00F65BCA" w:rsidRDefault="00F65BCA">
            <w:pPr>
              <w:pStyle w:val="TableParagraph"/>
              <w:spacing w:before="4"/>
              <w:rPr>
                <w:rFonts w:ascii="Calibri"/>
                <w:b/>
                <w:sz w:val="8"/>
              </w:rPr>
            </w:pPr>
          </w:p>
          <w:p w14:paraId="599D4CF1" w14:textId="77777777" w:rsidR="00F65BCA" w:rsidRDefault="00216117">
            <w:pPr>
              <w:pStyle w:val="TableParagraph"/>
              <w:spacing w:line="69" w:lineRule="exact"/>
              <w:ind w:left="144"/>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029D9737" w14:textId="77777777" w:rsidR="00F65BCA" w:rsidRDefault="00F65BCA">
            <w:pPr>
              <w:pStyle w:val="TableParagraph"/>
              <w:rPr>
                <w:rFonts w:ascii="Times New Roman"/>
                <w:sz w:val="6"/>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72BECE67" w14:textId="77777777" w:rsidR="00F65BCA" w:rsidRDefault="00F65BCA">
            <w:pPr>
              <w:pStyle w:val="TableParagraph"/>
              <w:spacing w:before="7"/>
              <w:rPr>
                <w:rFonts w:ascii="Calibri"/>
                <w:b/>
                <w:sz w:val="8"/>
              </w:rPr>
            </w:pPr>
          </w:p>
          <w:p w14:paraId="1D0132D1" w14:textId="77777777" w:rsidR="00F65BCA" w:rsidRDefault="00216117">
            <w:pPr>
              <w:pStyle w:val="TableParagraph"/>
              <w:spacing w:line="67" w:lineRule="exact"/>
              <w:ind w:left="73" w:right="28"/>
              <w:jc w:val="center"/>
              <w:rPr>
                <w:rFonts w:ascii="Calibri" w:hAnsi="Calibri"/>
                <w:sz w:val="7"/>
              </w:rPr>
            </w:pPr>
            <w:r>
              <w:rPr>
                <w:rFonts w:ascii="Calibri" w:hAnsi="Calibri"/>
                <w:w w:val="105"/>
                <w:sz w:val="7"/>
              </w:rPr>
              <w:t>1 848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52074DF9" w14:textId="77777777" w:rsidR="00F65BCA" w:rsidRDefault="00F65BCA">
            <w:pPr>
              <w:pStyle w:val="TableParagraph"/>
              <w:spacing w:before="7"/>
              <w:rPr>
                <w:rFonts w:ascii="Calibri"/>
                <w:b/>
                <w:sz w:val="8"/>
              </w:rPr>
            </w:pPr>
          </w:p>
          <w:p w14:paraId="7D471F52" w14:textId="77777777" w:rsidR="00F65BCA" w:rsidRDefault="00216117">
            <w:pPr>
              <w:pStyle w:val="TableParagraph"/>
              <w:spacing w:line="67" w:lineRule="exact"/>
              <w:ind w:left="46"/>
              <w:jc w:val="center"/>
              <w:rPr>
                <w:rFonts w:ascii="Calibri" w:hAnsi="Calibri"/>
                <w:sz w:val="7"/>
              </w:rPr>
            </w:pPr>
            <w:r>
              <w:rPr>
                <w:rFonts w:ascii="Calibri" w:hAnsi="Calibri"/>
                <w:w w:val="105"/>
                <w:sz w:val="7"/>
              </w:rPr>
              <w:t>50 076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2C899323" w14:textId="77777777" w:rsidR="00F65BCA" w:rsidRDefault="00F65BCA">
            <w:pPr>
              <w:pStyle w:val="TableParagraph"/>
              <w:spacing w:before="7"/>
              <w:rPr>
                <w:rFonts w:ascii="Calibri"/>
                <w:b/>
                <w:sz w:val="8"/>
              </w:rPr>
            </w:pPr>
          </w:p>
          <w:p w14:paraId="34DE736B" w14:textId="77777777" w:rsidR="00F65BCA" w:rsidRDefault="00216117">
            <w:pPr>
              <w:pStyle w:val="TableParagraph"/>
              <w:spacing w:line="67" w:lineRule="exact"/>
              <w:ind w:right="70"/>
              <w:jc w:val="right"/>
              <w:rPr>
                <w:rFonts w:ascii="Calibri" w:hAnsi="Calibri"/>
                <w:sz w:val="7"/>
              </w:rPr>
            </w:pPr>
            <w:r>
              <w:rPr>
                <w:rFonts w:ascii="Calibri" w:hAnsi="Calibri"/>
                <w:w w:val="105"/>
                <w:sz w:val="7"/>
              </w:rPr>
              <w:t>1 224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54FE9135" w14:textId="77777777" w:rsidR="00F65BCA" w:rsidRDefault="00F65BCA">
            <w:pPr>
              <w:pStyle w:val="TableParagraph"/>
              <w:spacing w:before="7"/>
              <w:rPr>
                <w:rFonts w:ascii="Calibri"/>
                <w:b/>
                <w:sz w:val="8"/>
              </w:rPr>
            </w:pPr>
          </w:p>
          <w:p w14:paraId="45158714" w14:textId="77777777" w:rsidR="00F65BCA" w:rsidRDefault="00216117">
            <w:pPr>
              <w:pStyle w:val="TableParagraph"/>
              <w:spacing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65EBE886" w14:textId="77777777" w:rsidR="00F65BCA" w:rsidRDefault="00F65BCA">
            <w:pPr>
              <w:pStyle w:val="TableParagraph"/>
              <w:spacing w:before="7"/>
              <w:rPr>
                <w:rFonts w:ascii="Calibri"/>
                <w:b/>
                <w:sz w:val="8"/>
              </w:rPr>
            </w:pPr>
          </w:p>
          <w:p w14:paraId="264449DA" w14:textId="77777777" w:rsidR="00F65BCA" w:rsidRDefault="00216117">
            <w:pPr>
              <w:pStyle w:val="TableParagraph"/>
              <w:spacing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24D1FCA0" w14:textId="77777777" w:rsidR="00F65BCA" w:rsidRDefault="00F65BCA">
            <w:pPr>
              <w:pStyle w:val="TableParagraph"/>
              <w:spacing w:before="7"/>
              <w:rPr>
                <w:rFonts w:ascii="Calibri"/>
                <w:b/>
                <w:sz w:val="8"/>
              </w:rPr>
            </w:pPr>
          </w:p>
          <w:p w14:paraId="26D54418" w14:textId="77777777" w:rsidR="00F65BCA" w:rsidRDefault="00216117">
            <w:pPr>
              <w:pStyle w:val="TableParagraph"/>
              <w:spacing w:line="67" w:lineRule="exact"/>
              <w:ind w:left="78" w:right="16"/>
              <w:jc w:val="center"/>
              <w:rPr>
                <w:rFonts w:ascii="Calibri" w:hAnsi="Calibri"/>
                <w:sz w:val="7"/>
              </w:rPr>
            </w:pPr>
            <w:r>
              <w:rPr>
                <w:rFonts w:ascii="Calibri" w:hAnsi="Calibri"/>
                <w:w w:val="105"/>
                <w:sz w:val="7"/>
              </w:rPr>
              <w:t>1 200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5EA20883" w14:textId="77777777" w:rsidR="00F65BCA" w:rsidRDefault="00F65BCA">
            <w:pPr>
              <w:pStyle w:val="TableParagraph"/>
              <w:rPr>
                <w:rFonts w:ascii="Times New Roman"/>
                <w:sz w:val="6"/>
              </w:rPr>
            </w:pPr>
          </w:p>
        </w:tc>
        <w:tc>
          <w:tcPr>
            <w:tcW w:w="458" w:type="dxa"/>
            <w:tcBorders>
              <w:top w:val="single" w:sz="4" w:space="0" w:color="000000"/>
              <w:left w:val="single" w:sz="4" w:space="0" w:color="000000"/>
              <w:bottom w:val="single" w:sz="4" w:space="0" w:color="000000"/>
            </w:tcBorders>
            <w:shd w:val="clear" w:color="auto" w:fill="FFFF99"/>
          </w:tcPr>
          <w:p w14:paraId="092D617C" w14:textId="77777777" w:rsidR="00F65BCA" w:rsidRDefault="00F65BCA">
            <w:pPr>
              <w:pStyle w:val="TableParagraph"/>
              <w:spacing w:before="7"/>
              <w:rPr>
                <w:rFonts w:ascii="Calibri"/>
                <w:b/>
                <w:sz w:val="8"/>
              </w:rPr>
            </w:pPr>
          </w:p>
          <w:p w14:paraId="2D0187FF" w14:textId="77777777" w:rsidR="00F65BCA" w:rsidRDefault="00216117">
            <w:pPr>
              <w:pStyle w:val="TableParagraph"/>
              <w:spacing w:line="67" w:lineRule="exact"/>
              <w:ind w:left="111"/>
              <w:rPr>
                <w:rFonts w:ascii="Calibri" w:hAnsi="Calibri"/>
                <w:sz w:val="7"/>
              </w:rPr>
            </w:pPr>
            <w:r>
              <w:rPr>
                <w:rFonts w:ascii="Calibri" w:hAnsi="Calibri"/>
                <w:w w:val="105"/>
                <w:sz w:val="7"/>
              </w:rPr>
              <w:t>55 260 Kč</w:t>
            </w:r>
          </w:p>
        </w:tc>
      </w:tr>
      <w:tr w:rsidR="00F65BCA" w14:paraId="0B13ACB1" w14:textId="77777777">
        <w:trPr>
          <w:trHeight w:val="90"/>
        </w:trPr>
        <w:tc>
          <w:tcPr>
            <w:tcW w:w="188" w:type="dxa"/>
            <w:tcBorders>
              <w:top w:val="single" w:sz="4" w:space="0" w:color="000000"/>
              <w:bottom w:val="single" w:sz="4" w:space="0" w:color="000000"/>
              <w:right w:val="single" w:sz="4" w:space="0" w:color="000000"/>
            </w:tcBorders>
          </w:tcPr>
          <w:p w14:paraId="3FA7F77A" w14:textId="77777777" w:rsidR="00F65BCA" w:rsidRDefault="00216117">
            <w:pPr>
              <w:pStyle w:val="TableParagraph"/>
              <w:spacing w:before="4" w:line="67" w:lineRule="exact"/>
              <w:ind w:left="59"/>
              <w:rPr>
                <w:rFonts w:ascii="Calibri"/>
                <w:sz w:val="7"/>
              </w:rPr>
            </w:pPr>
            <w:r>
              <w:rPr>
                <w:rFonts w:ascii="Calibri"/>
                <w:w w:val="105"/>
                <w:sz w:val="7"/>
              </w:rPr>
              <w:t>40</w:t>
            </w:r>
          </w:p>
        </w:tc>
        <w:tc>
          <w:tcPr>
            <w:tcW w:w="398" w:type="dxa"/>
            <w:tcBorders>
              <w:top w:val="single" w:sz="4" w:space="0" w:color="000000"/>
              <w:left w:val="single" w:sz="4" w:space="0" w:color="000000"/>
              <w:bottom w:val="single" w:sz="4" w:space="0" w:color="000000"/>
              <w:right w:val="single" w:sz="4" w:space="0" w:color="000000"/>
            </w:tcBorders>
          </w:tcPr>
          <w:p w14:paraId="29CDDDE9" w14:textId="77777777" w:rsidR="00F65BCA" w:rsidRDefault="00216117">
            <w:pPr>
              <w:pStyle w:val="TableParagraph"/>
              <w:spacing w:before="1"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59C6FE46" w14:textId="77777777" w:rsidR="00F65BCA" w:rsidRDefault="00216117">
            <w:pPr>
              <w:pStyle w:val="TableParagraph"/>
              <w:spacing w:before="1" w:line="69"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21599F9" w14:textId="77777777" w:rsidR="00F65BCA" w:rsidRDefault="00216117">
            <w:pPr>
              <w:pStyle w:val="TableParagraph"/>
              <w:spacing w:before="1" w:line="69"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51C0B76E" w14:textId="77777777" w:rsidR="00F65BCA" w:rsidRDefault="00216117">
            <w:pPr>
              <w:pStyle w:val="TableParagraph"/>
              <w:spacing w:before="1" w:line="69"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6949C5DC" w14:textId="77777777" w:rsidR="00F65BCA" w:rsidRDefault="00216117">
            <w:pPr>
              <w:pStyle w:val="TableParagraph"/>
              <w:spacing w:before="1" w:line="69" w:lineRule="exact"/>
              <w:ind w:left="68"/>
              <w:rPr>
                <w:rFonts w:ascii="Calibri"/>
                <w:sz w:val="7"/>
              </w:rPr>
            </w:pPr>
            <w:r>
              <w:rPr>
                <w:rFonts w:ascii="Calibri"/>
                <w:w w:val="105"/>
                <w:sz w:val="7"/>
              </w:rPr>
              <w:t>5SN2538</w:t>
            </w:r>
          </w:p>
        </w:tc>
        <w:tc>
          <w:tcPr>
            <w:tcW w:w="398" w:type="dxa"/>
            <w:tcBorders>
              <w:top w:val="single" w:sz="4" w:space="0" w:color="000000"/>
              <w:left w:val="single" w:sz="4" w:space="0" w:color="000000"/>
              <w:bottom w:val="single" w:sz="4" w:space="0" w:color="000000"/>
              <w:right w:val="single" w:sz="4" w:space="0" w:color="000000"/>
            </w:tcBorders>
          </w:tcPr>
          <w:p w14:paraId="4E386D07" w14:textId="77777777" w:rsidR="00F65BCA" w:rsidRDefault="00216117">
            <w:pPr>
              <w:pStyle w:val="TableParagraph"/>
              <w:spacing w:before="1" w:line="69" w:lineRule="exact"/>
              <w:ind w:left="15"/>
              <w:jc w:val="center"/>
              <w:rPr>
                <w:rFonts w:ascii="Calibri"/>
                <w:sz w:val="7"/>
              </w:rPr>
            </w:pPr>
            <w:r>
              <w:rPr>
                <w:rFonts w:ascii="Calibri"/>
                <w:w w:val="105"/>
                <w:sz w:val="7"/>
              </w:rPr>
              <w:t>UM174313</w:t>
            </w:r>
          </w:p>
        </w:tc>
        <w:tc>
          <w:tcPr>
            <w:tcW w:w="792" w:type="dxa"/>
            <w:tcBorders>
              <w:top w:val="single" w:sz="4" w:space="0" w:color="000000"/>
              <w:left w:val="single" w:sz="4" w:space="0" w:color="000000"/>
              <w:bottom w:val="single" w:sz="4" w:space="0" w:color="000000"/>
              <w:right w:val="single" w:sz="4" w:space="0" w:color="000000"/>
            </w:tcBorders>
          </w:tcPr>
          <w:p w14:paraId="65BB72CB" w14:textId="77777777" w:rsidR="00F65BCA" w:rsidRDefault="00216117">
            <w:pPr>
              <w:pStyle w:val="TableParagraph"/>
              <w:spacing w:before="1" w:line="69" w:lineRule="exact"/>
              <w:ind w:left="49"/>
              <w:rPr>
                <w:rFonts w:ascii="Calibri"/>
                <w:sz w:val="7"/>
              </w:rPr>
            </w:pPr>
            <w:r>
              <w:rPr>
                <w:rFonts w:ascii="Calibri"/>
                <w:w w:val="105"/>
                <w:sz w:val="7"/>
              </w:rPr>
              <w:t>TMBAR9NP1N7029462</w:t>
            </w:r>
          </w:p>
        </w:tc>
        <w:tc>
          <w:tcPr>
            <w:tcW w:w="398" w:type="dxa"/>
            <w:tcBorders>
              <w:top w:val="single" w:sz="4" w:space="0" w:color="000000"/>
              <w:left w:val="single" w:sz="4" w:space="0" w:color="000000"/>
              <w:bottom w:val="single" w:sz="4" w:space="0" w:color="000000"/>
              <w:right w:val="single" w:sz="4" w:space="0" w:color="000000"/>
            </w:tcBorders>
          </w:tcPr>
          <w:p w14:paraId="632FBA00" w14:textId="77777777" w:rsidR="00F65BCA" w:rsidRDefault="00216117">
            <w:pPr>
              <w:pStyle w:val="TableParagraph"/>
              <w:spacing w:before="1" w:line="69" w:lineRule="exact"/>
              <w:ind w:left="100"/>
              <w:rPr>
                <w:rFonts w:ascii="Calibri"/>
                <w:sz w:val="7"/>
              </w:rPr>
            </w:pPr>
            <w:r>
              <w:rPr>
                <w:rFonts w:ascii="Calibri"/>
                <w:w w:val="105"/>
                <w:sz w:val="7"/>
              </w:rPr>
              <w:t>SKODA</w:t>
            </w:r>
          </w:p>
        </w:tc>
        <w:tc>
          <w:tcPr>
            <w:tcW w:w="1065" w:type="dxa"/>
            <w:tcBorders>
              <w:top w:val="single" w:sz="4" w:space="0" w:color="000000"/>
              <w:left w:val="single" w:sz="4" w:space="0" w:color="000000"/>
              <w:bottom w:val="single" w:sz="4" w:space="0" w:color="000000"/>
              <w:right w:val="single" w:sz="4" w:space="0" w:color="000000"/>
            </w:tcBorders>
          </w:tcPr>
          <w:p w14:paraId="38FF6D30" w14:textId="77777777" w:rsidR="00F65BCA" w:rsidRDefault="00216117">
            <w:pPr>
              <w:pStyle w:val="TableParagraph"/>
              <w:spacing w:before="1" w:line="69" w:lineRule="exact"/>
              <w:ind w:left="75" w:right="54"/>
              <w:jc w:val="center"/>
              <w:rPr>
                <w:rFonts w:ascii="Calibri"/>
                <w:sz w:val="7"/>
              </w:rPr>
            </w:pPr>
            <w:r>
              <w:rPr>
                <w:rFonts w:ascii="Calibri"/>
                <w:w w:val="105"/>
                <w:sz w:val="7"/>
              </w:rPr>
              <w:t>SUPERB DIESEL III</w:t>
            </w:r>
          </w:p>
        </w:tc>
        <w:tc>
          <w:tcPr>
            <w:tcW w:w="815" w:type="dxa"/>
            <w:tcBorders>
              <w:top w:val="single" w:sz="4" w:space="0" w:color="000000"/>
              <w:left w:val="single" w:sz="4" w:space="0" w:color="000000"/>
              <w:bottom w:val="single" w:sz="4" w:space="0" w:color="000000"/>
              <w:right w:val="single" w:sz="4" w:space="0" w:color="000000"/>
            </w:tcBorders>
          </w:tcPr>
          <w:p w14:paraId="3A0CA673" w14:textId="77777777" w:rsidR="00F65BCA" w:rsidRDefault="00216117">
            <w:pPr>
              <w:pStyle w:val="TableParagraph"/>
              <w:spacing w:before="1" w:line="69"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bottom w:val="single" w:sz="4" w:space="0" w:color="000000"/>
              <w:right w:val="single" w:sz="4" w:space="0" w:color="000000"/>
            </w:tcBorders>
          </w:tcPr>
          <w:p w14:paraId="125A65B8" w14:textId="77777777" w:rsidR="00F65BCA" w:rsidRDefault="00216117">
            <w:pPr>
              <w:pStyle w:val="TableParagraph"/>
              <w:spacing w:before="1" w:line="69" w:lineRule="exact"/>
              <w:ind w:right="41"/>
              <w:jc w:val="right"/>
              <w:rPr>
                <w:rFonts w:ascii="Calibri"/>
                <w:sz w:val="7"/>
              </w:rPr>
            </w:pPr>
            <w:r>
              <w:rPr>
                <w:rFonts w:ascii="Calibri"/>
                <w:w w:val="105"/>
                <w:sz w:val="7"/>
              </w:rPr>
              <w:t>2022</w:t>
            </w:r>
          </w:p>
        </w:tc>
        <w:tc>
          <w:tcPr>
            <w:tcW w:w="278" w:type="dxa"/>
            <w:tcBorders>
              <w:top w:val="single" w:sz="4" w:space="0" w:color="000000"/>
              <w:left w:val="single" w:sz="4" w:space="0" w:color="000000"/>
              <w:bottom w:val="single" w:sz="4" w:space="0" w:color="000000"/>
              <w:right w:val="single" w:sz="4" w:space="0" w:color="000000"/>
            </w:tcBorders>
          </w:tcPr>
          <w:p w14:paraId="30FCF273" w14:textId="77777777" w:rsidR="00F65BCA" w:rsidRDefault="00216117">
            <w:pPr>
              <w:pStyle w:val="TableParagraph"/>
              <w:spacing w:before="1" w:line="69" w:lineRule="exact"/>
              <w:ind w:left="28" w:right="2"/>
              <w:jc w:val="center"/>
              <w:rPr>
                <w:rFonts w:ascii="Calibri"/>
                <w:sz w:val="7"/>
              </w:rPr>
            </w:pPr>
            <w:r>
              <w:rPr>
                <w:rFonts w:ascii="Calibri"/>
                <w:w w:val="105"/>
                <w:sz w:val="7"/>
              </w:rPr>
              <w:t>1698</w:t>
            </w:r>
          </w:p>
        </w:tc>
        <w:tc>
          <w:tcPr>
            <w:tcW w:w="268" w:type="dxa"/>
            <w:tcBorders>
              <w:top w:val="single" w:sz="4" w:space="0" w:color="000000"/>
              <w:left w:val="single" w:sz="4" w:space="0" w:color="000000"/>
              <w:bottom w:val="single" w:sz="4" w:space="0" w:color="000000"/>
              <w:right w:val="single" w:sz="4" w:space="0" w:color="000000"/>
            </w:tcBorders>
          </w:tcPr>
          <w:p w14:paraId="72EDFEDD" w14:textId="77777777" w:rsidR="00F65BCA" w:rsidRDefault="00216117">
            <w:pPr>
              <w:pStyle w:val="TableParagraph"/>
              <w:spacing w:before="1" w:line="69" w:lineRule="exact"/>
              <w:ind w:right="56"/>
              <w:jc w:val="right"/>
              <w:rPr>
                <w:rFonts w:ascii="Calibri"/>
                <w:sz w:val="7"/>
              </w:rPr>
            </w:pPr>
            <w:r>
              <w:rPr>
                <w:rFonts w:ascii="Calibri"/>
                <w:w w:val="105"/>
                <w:sz w:val="7"/>
              </w:rPr>
              <w:t>147</w:t>
            </w:r>
          </w:p>
        </w:tc>
        <w:tc>
          <w:tcPr>
            <w:tcW w:w="398" w:type="dxa"/>
            <w:tcBorders>
              <w:top w:val="single" w:sz="4" w:space="0" w:color="000000"/>
              <w:left w:val="single" w:sz="4" w:space="0" w:color="000000"/>
              <w:bottom w:val="single" w:sz="4" w:space="0" w:color="000000"/>
              <w:right w:val="single" w:sz="4" w:space="0" w:color="000000"/>
            </w:tcBorders>
          </w:tcPr>
          <w:p w14:paraId="2F57635D" w14:textId="77777777" w:rsidR="00F65BCA" w:rsidRDefault="00216117">
            <w:pPr>
              <w:pStyle w:val="TableParagraph"/>
              <w:spacing w:before="1" w:line="69" w:lineRule="exact"/>
              <w:ind w:left="28"/>
              <w:jc w:val="center"/>
              <w:rPr>
                <w:rFonts w:ascii="Calibri"/>
                <w:sz w:val="7"/>
              </w:rPr>
            </w:pPr>
            <w:r>
              <w:rPr>
                <w:rFonts w:ascii="Calibri"/>
                <w:w w:val="105"/>
                <w:sz w:val="7"/>
              </w:rPr>
              <w:t>2080</w:t>
            </w:r>
          </w:p>
        </w:tc>
        <w:tc>
          <w:tcPr>
            <w:tcW w:w="249" w:type="dxa"/>
            <w:tcBorders>
              <w:top w:val="single" w:sz="4" w:space="0" w:color="000000"/>
              <w:left w:val="single" w:sz="4" w:space="0" w:color="000000"/>
              <w:bottom w:val="single" w:sz="4" w:space="0" w:color="000000"/>
              <w:right w:val="single" w:sz="4" w:space="0" w:color="000000"/>
            </w:tcBorders>
          </w:tcPr>
          <w:p w14:paraId="468BC306" w14:textId="77777777" w:rsidR="00F65BCA" w:rsidRDefault="00216117">
            <w:pPr>
              <w:pStyle w:val="TableParagraph"/>
              <w:spacing w:before="1" w:line="69"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bottom w:val="single" w:sz="4" w:space="0" w:color="000000"/>
              <w:right w:val="single" w:sz="4" w:space="0" w:color="000000"/>
            </w:tcBorders>
          </w:tcPr>
          <w:p w14:paraId="7AC587A8" w14:textId="77777777" w:rsidR="00F65BCA" w:rsidRDefault="00216117">
            <w:pPr>
              <w:pStyle w:val="TableParagraph"/>
              <w:spacing w:before="1" w:line="69"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06F22701" w14:textId="77777777" w:rsidR="00F65BCA" w:rsidRDefault="00216117">
            <w:pPr>
              <w:pStyle w:val="TableParagraph"/>
              <w:spacing w:before="1"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12CF054B" w14:textId="77777777" w:rsidR="00F65BCA" w:rsidRDefault="00216117">
            <w:pPr>
              <w:pStyle w:val="TableParagraph"/>
              <w:spacing w:before="1" w:line="69" w:lineRule="exact"/>
              <w:jc w:val="right"/>
              <w:rPr>
                <w:rFonts w:ascii="Calibri" w:hAnsi="Calibri"/>
                <w:sz w:val="7"/>
              </w:rPr>
            </w:pPr>
            <w:r>
              <w:rPr>
                <w:rFonts w:ascii="Calibri" w:hAnsi="Calibri"/>
                <w:w w:val="105"/>
                <w:sz w:val="7"/>
              </w:rPr>
              <w:t>772 598 Kč</w:t>
            </w:r>
          </w:p>
        </w:tc>
        <w:tc>
          <w:tcPr>
            <w:tcW w:w="278" w:type="dxa"/>
            <w:tcBorders>
              <w:top w:val="single" w:sz="4" w:space="0" w:color="000000"/>
              <w:left w:val="single" w:sz="4" w:space="0" w:color="000000"/>
              <w:bottom w:val="single" w:sz="4" w:space="0" w:color="000000"/>
              <w:right w:val="single" w:sz="4" w:space="0" w:color="000000"/>
            </w:tcBorders>
          </w:tcPr>
          <w:p w14:paraId="2B0ABD01" w14:textId="77777777" w:rsidR="00F65BCA" w:rsidRDefault="00216117">
            <w:pPr>
              <w:pStyle w:val="TableParagraph"/>
              <w:spacing w:before="1" w:line="69"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bottom w:val="single" w:sz="4" w:space="0" w:color="000000"/>
              <w:right w:val="single" w:sz="4" w:space="0" w:color="000000"/>
            </w:tcBorders>
          </w:tcPr>
          <w:p w14:paraId="56019006" w14:textId="77777777" w:rsidR="00F65BCA" w:rsidRDefault="00216117">
            <w:pPr>
              <w:pStyle w:val="TableParagraph"/>
              <w:spacing w:before="1" w:line="69"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14FF2D05" w14:textId="77777777" w:rsidR="00F65BCA" w:rsidRDefault="00216117">
            <w:pPr>
              <w:pStyle w:val="TableParagraph"/>
              <w:spacing w:before="1" w:line="69" w:lineRule="exact"/>
              <w:ind w:right="1"/>
              <w:jc w:val="right"/>
              <w:rPr>
                <w:rFonts w:ascii="Calibri" w:hAnsi="Calibri"/>
                <w:sz w:val="7"/>
              </w:rPr>
            </w:pPr>
            <w:r>
              <w:rPr>
                <w:rFonts w:ascii="Calibri" w:hAnsi="Calibri"/>
                <w:w w:val="105"/>
                <w:sz w:val="7"/>
              </w:rPr>
              <w:t>20 000 Kč</w:t>
            </w:r>
          </w:p>
        </w:tc>
        <w:tc>
          <w:tcPr>
            <w:tcW w:w="398" w:type="dxa"/>
            <w:tcBorders>
              <w:top w:val="single" w:sz="4" w:space="0" w:color="000000"/>
              <w:left w:val="single" w:sz="4" w:space="0" w:color="000000"/>
              <w:bottom w:val="single" w:sz="4" w:space="0" w:color="000000"/>
              <w:right w:val="single" w:sz="4" w:space="0" w:color="000000"/>
            </w:tcBorders>
          </w:tcPr>
          <w:p w14:paraId="1C6ECF71" w14:textId="77777777" w:rsidR="00F65BCA" w:rsidRDefault="00216117">
            <w:pPr>
              <w:pStyle w:val="TableParagraph"/>
              <w:spacing w:before="1" w:line="69"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bottom w:val="single" w:sz="4" w:space="0" w:color="000000"/>
              <w:right w:val="single" w:sz="4" w:space="0" w:color="000000"/>
            </w:tcBorders>
          </w:tcPr>
          <w:p w14:paraId="6218E57C" w14:textId="77777777" w:rsidR="00F65BCA" w:rsidRDefault="00216117">
            <w:pPr>
              <w:pStyle w:val="TableParagraph"/>
              <w:spacing w:before="1" w:line="69"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7028B22A" w14:textId="77777777" w:rsidR="00F65BCA" w:rsidRDefault="00216117">
            <w:pPr>
              <w:pStyle w:val="TableParagraph"/>
              <w:spacing w:before="1" w:line="69" w:lineRule="exact"/>
              <w:ind w:left="143"/>
              <w:rPr>
                <w:rFonts w:ascii="Calibri"/>
                <w:sz w:val="7"/>
              </w:rPr>
            </w:pPr>
            <w:r>
              <w:rPr>
                <w:rFonts w:ascii="Calibri"/>
                <w:w w:val="105"/>
                <w:sz w:val="7"/>
              </w:rPr>
              <w:t>ANO</w:t>
            </w:r>
          </w:p>
        </w:tc>
        <w:tc>
          <w:tcPr>
            <w:tcW w:w="398" w:type="dxa"/>
            <w:tcBorders>
              <w:top w:val="single" w:sz="4" w:space="0" w:color="000000"/>
              <w:left w:val="single" w:sz="4" w:space="0" w:color="000000"/>
              <w:bottom w:val="single" w:sz="4" w:space="0" w:color="000000"/>
              <w:right w:val="single" w:sz="4" w:space="0" w:color="000000"/>
            </w:tcBorders>
          </w:tcPr>
          <w:p w14:paraId="6447F994" w14:textId="77777777" w:rsidR="00F65BCA" w:rsidRDefault="00F65BCA">
            <w:pPr>
              <w:pStyle w:val="TableParagraph"/>
              <w:rPr>
                <w:rFonts w:ascii="Times New Roman"/>
                <w:sz w:val="4"/>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383E9A94" w14:textId="77777777" w:rsidR="00F65BCA" w:rsidRDefault="00216117">
            <w:pPr>
              <w:pStyle w:val="TableParagraph"/>
              <w:spacing w:before="4" w:line="67" w:lineRule="exact"/>
              <w:ind w:left="73" w:right="28"/>
              <w:jc w:val="center"/>
              <w:rPr>
                <w:rFonts w:ascii="Calibri" w:hAnsi="Calibri"/>
                <w:sz w:val="7"/>
              </w:rPr>
            </w:pPr>
            <w:r>
              <w:rPr>
                <w:rFonts w:ascii="Calibri" w:hAnsi="Calibri"/>
                <w:w w:val="105"/>
                <w:sz w:val="7"/>
              </w:rPr>
              <w:t>1 944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54BCE440" w14:textId="77777777" w:rsidR="00F65BCA" w:rsidRDefault="00216117">
            <w:pPr>
              <w:pStyle w:val="TableParagraph"/>
              <w:spacing w:before="4" w:line="67" w:lineRule="exact"/>
              <w:ind w:left="46"/>
              <w:jc w:val="center"/>
              <w:rPr>
                <w:rFonts w:ascii="Calibri" w:hAnsi="Calibri"/>
                <w:sz w:val="7"/>
              </w:rPr>
            </w:pPr>
            <w:r>
              <w:rPr>
                <w:rFonts w:ascii="Calibri" w:hAnsi="Calibri"/>
                <w:w w:val="105"/>
                <w:sz w:val="7"/>
              </w:rPr>
              <w:t>8 784 Kč</w:t>
            </w: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6D8D45D6" w14:textId="77777777" w:rsidR="00F65BCA" w:rsidRDefault="00216117">
            <w:pPr>
              <w:pStyle w:val="TableParagraph"/>
              <w:spacing w:before="4" w:line="67" w:lineRule="exact"/>
              <w:ind w:right="70"/>
              <w:jc w:val="right"/>
              <w:rPr>
                <w:rFonts w:ascii="Calibri" w:hAnsi="Calibri"/>
                <w:sz w:val="7"/>
              </w:rPr>
            </w:pPr>
            <w:r>
              <w:rPr>
                <w:rFonts w:ascii="Calibri" w:hAnsi="Calibri"/>
                <w:w w:val="105"/>
                <w:sz w:val="7"/>
              </w:rPr>
              <w:t>1 800 Kč</w:t>
            </w: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5FBD13BC" w14:textId="77777777" w:rsidR="00F65BCA" w:rsidRDefault="00216117">
            <w:pPr>
              <w:pStyle w:val="TableParagraph"/>
              <w:spacing w:before="4" w:line="67" w:lineRule="exact"/>
              <w:ind w:left="99" w:right="44"/>
              <w:jc w:val="center"/>
              <w:rPr>
                <w:rFonts w:ascii="Calibri" w:hAnsi="Calibri"/>
                <w:sz w:val="7"/>
              </w:rPr>
            </w:pPr>
            <w:r>
              <w:rPr>
                <w:rFonts w:ascii="Calibri" w:hAnsi="Calibri"/>
                <w:w w:val="105"/>
                <w:sz w:val="7"/>
              </w:rPr>
              <w:t>516 Kč</w:t>
            </w: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73AAE9D6" w14:textId="77777777" w:rsidR="00F65BCA" w:rsidRDefault="00216117">
            <w:pPr>
              <w:pStyle w:val="TableParagraph"/>
              <w:spacing w:before="4" w:line="67" w:lineRule="exact"/>
              <w:ind w:left="71"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7ED9AF13" w14:textId="77777777" w:rsidR="00F65BCA" w:rsidRDefault="00216117">
            <w:pPr>
              <w:pStyle w:val="TableParagraph"/>
              <w:spacing w:before="4" w:line="67" w:lineRule="exact"/>
              <w:ind w:left="78" w:right="16"/>
              <w:jc w:val="center"/>
              <w:rPr>
                <w:rFonts w:ascii="Calibri" w:hAnsi="Calibri"/>
                <w:sz w:val="7"/>
              </w:rPr>
            </w:pPr>
            <w:r>
              <w:rPr>
                <w:rFonts w:ascii="Calibri" w:hAnsi="Calibri"/>
                <w:w w:val="105"/>
                <w:sz w:val="7"/>
              </w:rPr>
              <w:t>1 200 Kč</w:t>
            </w: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001E6152" w14:textId="77777777" w:rsidR="00F65BCA" w:rsidRDefault="00F65BCA">
            <w:pPr>
              <w:pStyle w:val="TableParagraph"/>
              <w:rPr>
                <w:rFonts w:ascii="Times New Roman"/>
                <w:sz w:val="4"/>
              </w:rPr>
            </w:pPr>
          </w:p>
        </w:tc>
        <w:tc>
          <w:tcPr>
            <w:tcW w:w="458" w:type="dxa"/>
            <w:tcBorders>
              <w:top w:val="single" w:sz="4" w:space="0" w:color="000000"/>
              <w:left w:val="single" w:sz="4" w:space="0" w:color="000000"/>
              <w:bottom w:val="single" w:sz="4" w:space="0" w:color="000000"/>
            </w:tcBorders>
            <w:shd w:val="clear" w:color="auto" w:fill="FFFF99"/>
          </w:tcPr>
          <w:p w14:paraId="28882C2E" w14:textId="77777777" w:rsidR="00F65BCA" w:rsidRDefault="00216117">
            <w:pPr>
              <w:pStyle w:val="TableParagraph"/>
              <w:spacing w:before="4" w:line="67" w:lineRule="exact"/>
              <w:ind w:left="111"/>
              <w:rPr>
                <w:rFonts w:ascii="Calibri" w:hAnsi="Calibri"/>
                <w:sz w:val="7"/>
              </w:rPr>
            </w:pPr>
            <w:r>
              <w:rPr>
                <w:rFonts w:ascii="Calibri" w:hAnsi="Calibri"/>
                <w:w w:val="105"/>
                <w:sz w:val="7"/>
              </w:rPr>
              <w:t>14 640 Kč</w:t>
            </w:r>
          </w:p>
        </w:tc>
      </w:tr>
      <w:tr w:rsidR="00F65BCA" w14:paraId="77216425" w14:textId="77777777">
        <w:trPr>
          <w:trHeight w:val="191"/>
        </w:trPr>
        <w:tc>
          <w:tcPr>
            <w:tcW w:w="188" w:type="dxa"/>
            <w:tcBorders>
              <w:top w:val="single" w:sz="4" w:space="0" w:color="000000"/>
              <w:bottom w:val="single" w:sz="4" w:space="0" w:color="000000"/>
              <w:right w:val="single" w:sz="4" w:space="0" w:color="000000"/>
            </w:tcBorders>
          </w:tcPr>
          <w:p w14:paraId="0CD4CB36" w14:textId="77777777" w:rsidR="00F65BCA" w:rsidRDefault="00F65BCA">
            <w:pPr>
              <w:pStyle w:val="TableParagraph"/>
              <w:spacing w:before="7"/>
              <w:rPr>
                <w:rFonts w:ascii="Calibri"/>
                <w:b/>
                <w:sz w:val="8"/>
              </w:rPr>
            </w:pPr>
          </w:p>
          <w:p w14:paraId="5A847FFA" w14:textId="77777777" w:rsidR="00F65BCA" w:rsidRDefault="00216117">
            <w:pPr>
              <w:pStyle w:val="TableParagraph"/>
              <w:spacing w:line="67" w:lineRule="exact"/>
              <w:ind w:left="59"/>
              <w:rPr>
                <w:rFonts w:ascii="Calibri"/>
                <w:sz w:val="7"/>
              </w:rPr>
            </w:pPr>
            <w:r>
              <w:rPr>
                <w:rFonts w:ascii="Calibri"/>
                <w:w w:val="105"/>
                <w:sz w:val="7"/>
              </w:rPr>
              <w:t>41</w:t>
            </w:r>
          </w:p>
        </w:tc>
        <w:tc>
          <w:tcPr>
            <w:tcW w:w="398" w:type="dxa"/>
            <w:tcBorders>
              <w:top w:val="single" w:sz="4" w:space="0" w:color="000000"/>
              <w:left w:val="single" w:sz="4" w:space="0" w:color="000000"/>
              <w:bottom w:val="single" w:sz="4" w:space="0" w:color="000000"/>
              <w:right w:val="single" w:sz="4" w:space="0" w:color="000000"/>
            </w:tcBorders>
          </w:tcPr>
          <w:p w14:paraId="282E7DDA" w14:textId="77777777" w:rsidR="00F65BCA" w:rsidRDefault="00F65BCA">
            <w:pPr>
              <w:pStyle w:val="TableParagraph"/>
              <w:spacing w:before="4"/>
              <w:rPr>
                <w:rFonts w:ascii="Calibri"/>
                <w:b/>
                <w:sz w:val="8"/>
              </w:rPr>
            </w:pPr>
          </w:p>
          <w:p w14:paraId="1A9EDA7B" w14:textId="77777777" w:rsidR="00F65BCA" w:rsidRDefault="00216117">
            <w:pPr>
              <w:pStyle w:val="TableParagraph"/>
              <w:spacing w:line="69"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bottom w:val="single" w:sz="4" w:space="0" w:color="000000"/>
              <w:right w:val="single" w:sz="4" w:space="0" w:color="000000"/>
            </w:tcBorders>
          </w:tcPr>
          <w:p w14:paraId="5B3062B2" w14:textId="77777777" w:rsidR="00F65BCA" w:rsidRDefault="00F65BCA">
            <w:pPr>
              <w:pStyle w:val="TableParagraph"/>
              <w:spacing w:before="4"/>
              <w:rPr>
                <w:rFonts w:ascii="Calibri"/>
                <w:b/>
                <w:sz w:val="8"/>
              </w:rPr>
            </w:pPr>
          </w:p>
          <w:p w14:paraId="6A47217A" w14:textId="77777777" w:rsidR="00F65BCA" w:rsidRDefault="00216117">
            <w:pPr>
              <w:pStyle w:val="TableParagraph"/>
              <w:spacing w:line="69" w:lineRule="exact"/>
              <w:ind w:left="70" w:right="44"/>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45DC24DB" w14:textId="77777777" w:rsidR="00F65BCA" w:rsidRDefault="00F65BCA">
            <w:pPr>
              <w:pStyle w:val="TableParagraph"/>
              <w:spacing w:before="4"/>
              <w:rPr>
                <w:rFonts w:ascii="Calibri"/>
                <w:b/>
                <w:sz w:val="8"/>
              </w:rPr>
            </w:pPr>
          </w:p>
          <w:p w14:paraId="297EAFBD" w14:textId="77777777" w:rsidR="00F65BCA" w:rsidRDefault="00216117">
            <w:pPr>
              <w:pStyle w:val="TableParagraph"/>
              <w:spacing w:line="69" w:lineRule="exact"/>
              <w:ind w:right="34"/>
              <w:jc w:val="right"/>
              <w:rPr>
                <w:rFonts w:ascii="Calibri"/>
                <w:sz w:val="7"/>
              </w:rPr>
            </w:pPr>
            <w:r>
              <w:rPr>
                <w:rFonts w:ascii="Calibri"/>
                <w:w w:val="105"/>
                <w:sz w:val="7"/>
              </w:rPr>
              <w:t>49777513</w:t>
            </w:r>
          </w:p>
        </w:tc>
        <w:tc>
          <w:tcPr>
            <w:tcW w:w="1072" w:type="dxa"/>
            <w:tcBorders>
              <w:top w:val="single" w:sz="4" w:space="0" w:color="000000"/>
              <w:left w:val="single" w:sz="4" w:space="0" w:color="000000"/>
              <w:bottom w:val="single" w:sz="4" w:space="0" w:color="000000"/>
              <w:right w:val="single" w:sz="4" w:space="0" w:color="000000"/>
            </w:tcBorders>
          </w:tcPr>
          <w:p w14:paraId="7C28B8C1" w14:textId="77777777" w:rsidR="00F65BCA" w:rsidRDefault="00F65BCA">
            <w:pPr>
              <w:pStyle w:val="TableParagraph"/>
              <w:spacing w:before="4"/>
              <w:rPr>
                <w:rFonts w:ascii="Calibri"/>
                <w:b/>
                <w:sz w:val="8"/>
              </w:rPr>
            </w:pPr>
          </w:p>
          <w:p w14:paraId="4144AED0" w14:textId="77777777" w:rsidR="00F65BCA" w:rsidRDefault="00216117">
            <w:pPr>
              <w:pStyle w:val="TableParagraph"/>
              <w:spacing w:line="69" w:lineRule="exact"/>
              <w:ind w:left="70"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bottom w:val="single" w:sz="4" w:space="0" w:color="000000"/>
              <w:right w:val="single" w:sz="4" w:space="0" w:color="000000"/>
            </w:tcBorders>
          </w:tcPr>
          <w:p w14:paraId="02F32E38"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4640C6DA" w14:textId="77777777" w:rsidR="00F65BCA" w:rsidRDefault="00F65BCA">
            <w:pPr>
              <w:pStyle w:val="TableParagraph"/>
              <w:rPr>
                <w:rFonts w:ascii="Times New Roman"/>
                <w:sz w:val="6"/>
              </w:rPr>
            </w:pPr>
          </w:p>
        </w:tc>
        <w:tc>
          <w:tcPr>
            <w:tcW w:w="792" w:type="dxa"/>
            <w:tcBorders>
              <w:top w:val="single" w:sz="4" w:space="0" w:color="000000"/>
              <w:left w:val="single" w:sz="4" w:space="0" w:color="000000"/>
              <w:bottom w:val="single" w:sz="4" w:space="0" w:color="000000"/>
              <w:right w:val="single" w:sz="4" w:space="0" w:color="000000"/>
            </w:tcBorders>
          </w:tcPr>
          <w:p w14:paraId="3E196EFE" w14:textId="77777777" w:rsidR="00F65BCA" w:rsidRDefault="00F65BCA">
            <w:pPr>
              <w:pStyle w:val="TableParagraph"/>
              <w:spacing w:before="4"/>
              <w:rPr>
                <w:rFonts w:ascii="Calibri"/>
                <w:b/>
                <w:sz w:val="8"/>
              </w:rPr>
            </w:pPr>
          </w:p>
          <w:p w14:paraId="70C3CFED" w14:textId="77777777" w:rsidR="00F65BCA" w:rsidRDefault="00216117">
            <w:pPr>
              <w:pStyle w:val="TableParagraph"/>
              <w:spacing w:line="69" w:lineRule="exact"/>
              <w:ind w:left="151"/>
              <w:rPr>
                <w:rFonts w:ascii="Calibri"/>
                <w:sz w:val="7"/>
              </w:rPr>
            </w:pPr>
            <w:r>
              <w:rPr>
                <w:rFonts w:ascii="Calibri"/>
                <w:w w:val="105"/>
                <w:sz w:val="7"/>
              </w:rPr>
              <w:t>SXG327S000998</w:t>
            </w:r>
          </w:p>
        </w:tc>
        <w:tc>
          <w:tcPr>
            <w:tcW w:w="398" w:type="dxa"/>
            <w:tcBorders>
              <w:top w:val="single" w:sz="4" w:space="0" w:color="000000"/>
              <w:left w:val="single" w:sz="4" w:space="0" w:color="000000"/>
              <w:bottom w:val="single" w:sz="4" w:space="0" w:color="000000"/>
              <w:right w:val="single" w:sz="4" w:space="0" w:color="000000"/>
            </w:tcBorders>
          </w:tcPr>
          <w:p w14:paraId="230CA625" w14:textId="77777777" w:rsidR="00F65BCA" w:rsidRDefault="00F65BCA">
            <w:pPr>
              <w:pStyle w:val="TableParagraph"/>
              <w:spacing w:before="4"/>
              <w:rPr>
                <w:rFonts w:ascii="Calibri"/>
                <w:b/>
                <w:sz w:val="8"/>
              </w:rPr>
            </w:pPr>
          </w:p>
          <w:p w14:paraId="374E9469" w14:textId="77777777" w:rsidR="00F65BCA" w:rsidRDefault="00216117">
            <w:pPr>
              <w:pStyle w:val="TableParagraph"/>
              <w:spacing w:line="69" w:lineRule="exact"/>
              <w:ind w:left="129"/>
              <w:rPr>
                <w:rFonts w:ascii="Calibri"/>
                <w:sz w:val="7"/>
              </w:rPr>
            </w:pPr>
            <w:r>
              <w:rPr>
                <w:rFonts w:ascii="Calibri"/>
                <w:w w:val="105"/>
                <w:sz w:val="7"/>
              </w:rPr>
              <w:t>ISEKI</w:t>
            </w:r>
          </w:p>
        </w:tc>
        <w:tc>
          <w:tcPr>
            <w:tcW w:w="1065" w:type="dxa"/>
            <w:tcBorders>
              <w:top w:val="single" w:sz="4" w:space="0" w:color="000000"/>
              <w:left w:val="single" w:sz="4" w:space="0" w:color="000000"/>
              <w:bottom w:val="single" w:sz="4" w:space="0" w:color="000000"/>
              <w:right w:val="single" w:sz="4" w:space="0" w:color="000000"/>
            </w:tcBorders>
          </w:tcPr>
          <w:p w14:paraId="5CA0581C" w14:textId="77777777" w:rsidR="00F65BCA" w:rsidRDefault="00F65BCA">
            <w:pPr>
              <w:pStyle w:val="TableParagraph"/>
              <w:spacing w:before="4"/>
              <w:rPr>
                <w:rFonts w:ascii="Calibri"/>
                <w:b/>
                <w:sz w:val="8"/>
              </w:rPr>
            </w:pPr>
          </w:p>
          <w:p w14:paraId="0E610D75" w14:textId="77777777" w:rsidR="00F65BCA" w:rsidRDefault="00216117">
            <w:pPr>
              <w:pStyle w:val="TableParagraph"/>
              <w:spacing w:line="69" w:lineRule="exact"/>
              <w:ind w:left="74" w:right="55"/>
              <w:jc w:val="center"/>
              <w:rPr>
                <w:rFonts w:ascii="Calibri"/>
                <w:sz w:val="7"/>
              </w:rPr>
            </w:pPr>
            <w:r>
              <w:rPr>
                <w:rFonts w:ascii="Calibri"/>
                <w:w w:val="105"/>
                <w:sz w:val="7"/>
              </w:rPr>
              <w:t>SXG 327 HL</w:t>
            </w:r>
          </w:p>
        </w:tc>
        <w:tc>
          <w:tcPr>
            <w:tcW w:w="815" w:type="dxa"/>
            <w:tcBorders>
              <w:top w:val="single" w:sz="4" w:space="0" w:color="000000"/>
              <w:left w:val="single" w:sz="4" w:space="0" w:color="000000"/>
              <w:bottom w:val="single" w:sz="4" w:space="0" w:color="000000"/>
              <w:right w:val="single" w:sz="4" w:space="0" w:color="000000"/>
            </w:tcBorders>
          </w:tcPr>
          <w:p w14:paraId="3C4DE878" w14:textId="77777777" w:rsidR="00F65BCA" w:rsidRDefault="00216117">
            <w:pPr>
              <w:pStyle w:val="TableParagraph"/>
              <w:spacing w:before="4"/>
              <w:ind w:left="182"/>
              <w:rPr>
                <w:rFonts w:ascii="Calibri" w:hAnsi="Calibri"/>
                <w:sz w:val="7"/>
              </w:rPr>
            </w:pPr>
            <w:r>
              <w:rPr>
                <w:rFonts w:ascii="Calibri" w:hAnsi="Calibri"/>
                <w:w w:val="105"/>
                <w:sz w:val="7"/>
              </w:rPr>
              <w:t>Motorový vozík</w:t>
            </w:r>
          </w:p>
          <w:p w14:paraId="13DC0875" w14:textId="77777777" w:rsidR="00F65BCA" w:rsidRDefault="00216117">
            <w:pPr>
              <w:pStyle w:val="TableParagraph"/>
              <w:spacing w:before="13" w:line="69" w:lineRule="exact"/>
              <w:ind w:left="213"/>
              <w:rPr>
                <w:rFonts w:ascii="Calibri"/>
                <w:sz w:val="7"/>
              </w:rPr>
            </w:pPr>
            <w:r>
              <w:rPr>
                <w:rFonts w:ascii="Calibri"/>
                <w:w w:val="105"/>
                <w:sz w:val="7"/>
              </w:rPr>
              <w:t>(malotraktor)</w:t>
            </w:r>
          </w:p>
        </w:tc>
        <w:tc>
          <w:tcPr>
            <w:tcW w:w="273" w:type="dxa"/>
            <w:tcBorders>
              <w:top w:val="single" w:sz="4" w:space="0" w:color="000000"/>
              <w:left w:val="single" w:sz="4" w:space="0" w:color="000000"/>
              <w:bottom w:val="single" w:sz="4" w:space="0" w:color="000000"/>
              <w:right w:val="single" w:sz="4" w:space="0" w:color="000000"/>
            </w:tcBorders>
          </w:tcPr>
          <w:p w14:paraId="7B3D2134" w14:textId="77777777" w:rsidR="00F65BCA" w:rsidRDefault="00F65BCA">
            <w:pPr>
              <w:pStyle w:val="TableParagraph"/>
              <w:spacing w:before="4"/>
              <w:rPr>
                <w:rFonts w:ascii="Calibri"/>
                <w:b/>
                <w:sz w:val="8"/>
              </w:rPr>
            </w:pPr>
          </w:p>
          <w:p w14:paraId="732FCAA3" w14:textId="77777777" w:rsidR="00F65BCA" w:rsidRDefault="00216117">
            <w:pPr>
              <w:pStyle w:val="TableParagraph"/>
              <w:spacing w:line="69" w:lineRule="exact"/>
              <w:ind w:right="41"/>
              <w:jc w:val="right"/>
              <w:rPr>
                <w:rFonts w:ascii="Calibri"/>
                <w:sz w:val="7"/>
              </w:rPr>
            </w:pPr>
            <w:r>
              <w:rPr>
                <w:rFonts w:ascii="Calibri"/>
                <w:w w:val="105"/>
                <w:sz w:val="7"/>
              </w:rPr>
              <w:t>2024</w:t>
            </w:r>
          </w:p>
        </w:tc>
        <w:tc>
          <w:tcPr>
            <w:tcW w:w="278" w:type="dxa"/>
            <w:tcBorders>
              <w:top w:val="single" w:sz="4" w:space="0" w:color="000000"/>
              <w:left w:val="single" w:sz="4" w:space="0" w:color="000000"/>
              <w:bottom w:val="single" w:sz="4" w:space="0" w:color="000000"/>
              <w:right w:val="single" w:sz="4" w:space="0" w:color="000000"/>
            </w:tcBorders>
          </w:tcPr>
          <w:p w14:paraId="0B7DCE12" w14:textId="77777777" w:rsidR="00F65BCA" w:rsidRDefault="00F65BCA">
            <w:pPr>
              <w:pStyle w:val="TableParagraph"/>
              <w:spacing w:before="4"/>
              <w:rPr>
                <w:rFonts w:ascii="Calibri"/>
                <w:b/>
                <w:sz w:val="8"/>
              </w:rPr>
            </w:pPr>
          </w:p>
          <w:p w14:paraId="74574FF1" w14:textId="77777777" w:rsidR="00F65BCA" w:rsidRDefault="00216117">
            <w:pPr>
              <w:pStyle w:val="TableParagraph"/>
              <w:spacing w:line="69" w:lineRule="exact"/>
              <w:ind w:left="27" w:right="2"/>
              <w:jc w:val="center"/>
              <w:rPr>
                <w:rFonts w:ascii="Calibri"/>
                <w:sz w:val="7"/>
              </w:rPr>
            </w:pPr>
            <w:r>
              <w:rPr>
                <w:rFonts w:ascii="Calibri"/>
                <w:w w:val="105"/>
                <w:sz w:val="7"/>
              </w:rPr>
              <w:t>1000</w:t>
            </w:r>
          </w:p>
        </w:tc>
        <w:tc>
          <w:tcPr>
            <w:tcW w:w="268" w:type="dxa"/>
            <w:tcBorders>
              <w:top w:val="single" w:sz="4" w:space="0" w:color="000000"/>
              <w:left w:val="single" w:sz="4" w:space="0" w:color="000000"/>
              <w:bottom w:val="single" w:sz="4" w:space="0" w:color="000000"/>
              <w:right w:val="single" w:sz="4" w:space="0" w:color="000000"/>
            </w:tcBorders>
          </w:tcPr>
          <w:p w14:paraId="54A2D4B9" w14:textId="77777777" w:rsidR="00F65BCA" w:rsidRDefault="00F65BCA">
            <w:pPr>
              <w:pStyle w:val="TableParagraph"/>
              <w:spacing w:before="4"/>
              <w:rPr>
                <w:rFonts w:ascii="Calibri"/>
                <w:b/>
                <w:sz w:val="8"/>
              </w:rPr>
            </w:pPr>
          </w:p>
          <w:p w14:paraId="05C7A6EF" w14:textId="77777777" w:rsidR="00F65BCA" w:rsidRDefault="00216117">
            <w:pPr>
              <w:pStyle w:val="TableParagraph"/>
              <w:spacing w:line="69" w:lineRule="exact"/>
              <w:ind w:right="75"/>
              <w:jc w:val="right"/>
              <w:rPr>
                <w:rFonts w:ascii="Calibri"/>
                <w:sz w:val="7"/>
              </w:rPr>
            </w:pPr>
            <w:r>
              <w:rPr>
                <w:rFonts w:ascii="Calibri"/>
                <w:w w:val="105"/>
                <w:sz w:val="7"/>
              </w:rPr>
              <w:t>15</w:t>
            </w:r>
          </w:p>
        </w:tc>
        <w:tc>
          <w:tcPr>
            <w:tcW w:w="398" w:type="dxa"/>
            <w:tcBorders>
              <w:top w:val="single" w:sz="4" w:space="0" w:color="000000"/>
              <w:left w:val="single" w:sz="4" w:space="0" w:color="000000"/>
              <w:bottom w:val="single" w:sz="4" w:space="0" w:color="000000"/>
              <w:right w:val="single" w:sz="4" w:space="0" w:color="000000"/>
            </w:tcBorders>
          </w:tcPr>
          <w:p w14:paraId="575BDD9D" w14:textId="77777777" w:rsidR="00F65BCA" w:rsidRDefault="00F65BCA">
            <w:pPr>
              <w:pStyle w:val="TableParagraph"/>
              <w:spacing w:before="4"/>
              <w:rPr>
                <w:rFonts w:ascii="Calibri"/>
                <w:b/>
                <w:sz w:val="8"/>
              </w:rPr>
            </w:pPr>
          </w:p>
          <w:p w14:paraId="7A51B21D" w14:textId="77777777" w:rsidR="00F65BCA" w:rsidRDefault="00216117">
            <w:pPr>
              <w:pStyle w:val="TableParagraph"/>
              <w:spacing w:line="69" w:lineRule="exact"/>
              <w:ind w:left="29"/>
              <w:jc w:val="center"/>
              <w:rPr>
                <w:rFonts w:ascii="Calibri"/>
                <w:sz w:val="7"/>
              </w:rPr>
            </w:pPr>
            <w:r>
              <w:rPr>
                <w:rFonts w:ascii="Calibri"/>
                <w:w w:val="105"/>
                <w:sz w:val="7"/>
              </w:rPr>
              <w:t>700</w:t>
            </w:r>
          </w:p>
        </w:tc>
        <w:tc>
          <w:tcPr>
            <w:tcW w:w="249" w:type="dxa"/>
            <w:tcBorders>
              <w:top w:val="single" w:sz="4" w:space="0" w:color="000000"/>
              <w:left w:val="single" w:sz="4" w:space="0" w:color="000000"/>
              <w:bottom w:val="single" w:sz="4" w:space="0" w:color="000000"/>
              <w:right w:val="single" w:sz="4" w:space="0" w:color="000000"/>
            </w:tcBorders>
          </w:tcPr>
          <w:p w14:paraId="2B2AF9D3" w14:textId="77777777" w:rsidR="00F65BCA" w:rsidRDefault="00F65BCA">
            <w:pPr>
              <w:pStyle w:val="TableParagraph"/>
              <w:spacing w:before="4"/>
              <w:rPr>
                <w:rFonts w:ascii="Calibri"/>
                <w:b/>
                <w:sz w:val="8"/>
              </w:rPr>
            </w:pPr>
          </w:p>
          <w:p w14:paraId="2ABECDB9" w14:textId="77777777" w:rsidR="00F65BCA" w:rsidRDefault="00216117">
            <w:pPr>
              <w:pStyle w:val="TableParagraph"/>
              <w:spacing w:line="69" w:lineRule="exact"/>
              <w:ind w:right="82"/>
              <w:jc w:val="right"/>
              <w:rPr>
                <w:rFonts w:ascii="Calibri"/>
                <w:sz w:val="7"/>
              </w:rPr>
            </w:pPr>
            <w:r>
              <w:rPr>
                <w:rFonts w:ascii="Calibri"/>
                <w:w w:val="106"/>
                <w:sz w:val="7"/>
              </w:rPr>
              <w:t>1</w:t>
            </w:r>
          </w:p>
        </w:tc>
        <w:tc>
          <w:tcPr>
            <w:tcW w:w="311" w:type="dxa"/>
            <w:tcBorders>
              <w:top w:val="single" w:sz="4" w:space="0" w:color="000000"/>
              <w:left w:val="single" w:sz="4" w:space="0" w:color="000000"/>
              <w:bottom w:val="single" w:sz="4" w:space="0" w:color="000000"/>
              <w:right w:val="single" w:sz="4" w:space="0" w:color="000000"/>
            </w:tcBorders>
          </w:tcPr>
          <w:p w14:paraId="74E70347" w14:textId="77777777" w:rsidR="00F65BCA" w:rsidRDefault="00F65BCA">
            <w:pPr>
              <w:pStyle w:val="TableParagraph"/>
              <w:spacing w:before="4"/>
              <w:rPr>
                <w:rFonts w:ascii="Calibri"/>
                <w:b/>
                <w:sz w:val="8"/>
              </w:rPr>
            </w:pPr>
          </w:p>
          <w:p w14:paraId="5D75A929" w14:textId="77777777" w:rsidR="00F65BCA" w:rsidRDefault="00216117">
            <w:pPr>
              <w:pStyle w:val="TableParagraph"/>
              <w:spacing w:line="69" w:lineRule="exact"/>
              <w:ind w:left="32"/>
              <w:jc w:val="center"/>
              <w:rPr>
                <w:rFonts w:ascii="Calibri"/>
                <w:sz w:val="7"/>
              </w:rPr>
            </w:pPr>
            <w:r>
              <w:rPr>
                <w:rFonts w:ascii="Calibri"/>
                <w:w w:val="105"/>
                <w:sz w:val="7"/>
              </w:rPr>
              <w:t>Nafta</w:t>
            </w:r>
          </w:p>
        </w:tc>
        <w:tc>
          <w:tcPr>
            <w:tcW w:w="256" w:type="dxa"/>
            <w:tcBorders>
              <w:top w:val="single" w:sz="4" w:space="0" w:color="000000"/>
              <w:left w:val="single" w:sz="4" w:space="0" w:color="000000"/>
              <w:bottom w:val="single" w:sz="4" w:space="0" w:color="000000"/>
              <w:right w:val="single" w:sz="4" w:space="0" w:color="000000"/>
            </w:tcBorders>
          </w:tcPr>
          <w:p w14:paraId="05E7792B" w14:textId="77777777" w:rsidR="00F65BCA" w:rsidRDefault="00F65BCA">
            <w:pPr>
              <w:pStyle w:val="TableParagraph"/>
              <w:spacing w:before="4"/>
              <w:rPr>
                <w:rFonts w:ascii="Calibri"/>
                <w:b/>
                <w:sz w:val="8"/>
              </w:rPr>
            </w:pPr>
          </w:p>
          <w:p w14:paraId="1C200FFC" w14:textId="77777777" w:rsidR="00F65BCA" w:rsidRDefault="00216117">
            <w:pPr>
              <w:pStyle w:val="TableParagraph"/>
              <w:spacing w:line="69"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bottom w:val="single" w:sz="4" w:space="0" w:color="000000"/>
              <w:right w:val="single" w:sz="4" w:space="0" w:color="000000"/>
            </w:tcBorders>
          </w:tcPr>
          <w:p w14:paraId="1511F437" w14:textId="77777777" w:rsidR="00F65BCA" w:rsidRDefault="00F65BCA">
            <w:pPr>
              <w:pStyle w:val="TableParagraph"/>
              <w:rPr>
                <w:rFonts w:ascii="Times New Roman"/>
                <w:sz w:val="6"/>
              </w:rPr>
            </w:pPr>
          </w:p>
        </w:tc>
        <w:tc>
          <w:tcPr>
            <w:tcW w:w="278" w:type="dxa"/>
            <w:tcBorders>
              <w:top w:val="single" w:sz="4" w:space="0" w:color="000000"/>
              <w:left w:val="single" w:sz="4" w:space="0" w:color="000000"/>
              <w:bottom w:val="single" w:sz="4" w:space="0" w:color="000000"/>
              <w:right w:val="single" w:sz="4" w:space="0" w:color="000000"/>
            </w:tcBorders>
          </w:tcPr>
          <w:p w14:paraId="6CD2A843" w14:textId="77777777" w:rsidR="00F65BCA" w:rsidRDefault="00F65BCA">
            <w:pPr>
              <w:pStyle w:val="TableParagraph"/>
              <w:rPr>
                <w:rFonts w:ascii="Times New Roman"/>
                <w:sz w:val="6"/>
              </w:rPr>
            </w:pPr>
          </w:p>
        </w:tc>
        <w:tc>
          <w:tcPr>
            <w:tcW w:w="273" w:type="dxa"/>
            <w:tcBorders>
              <w:top w:val="single" w:sz="4" w:space="0" w:color="000000"/>
              <w:left w:val="single" w:sz="4" w:space="0" w:color="000000"/>
              <w:bottom w:val="single" w:sz="4" w:space="0" w:color="000000"/>
              <w:right w:val="single" w:sz="4" w:space="0" w:color="000000"/>
            </w:tcBorders>
          </w:tcPr>
          <w:p w14:paraId="688DFAB6"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29D8195F"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625211A6" w14:textId="77777777" w:rsidR="00F65BCA" w:rsidRDefault="00F65BCA">
            <w:pPr>
              <w:pStyle w:val="TableParagraph"/>
              <w:rPr>
                <w:rFonts w:ascii="Times New Roman"/>
                <w:sz w:val="6"/>
              </w:rPr>
            </w:pPr>
          </w:p>
        </w:tc>
        <w:tc>
          <w:tcPr>
            <w:tcW w:w="278" w:type="dxa"/>
            <w:tcBorders>
              <w:top w:val="single" w:sz="4" w:space="0" w:color="000000"/>
              <w:left w:val="single" w:sz="4" w:space="0" w:color="000000"/>
              <w:bottom w:val="single" w:sz="4" w:space="0" w:color="000000"/>
              <w:right w:val="single" w:sz="4" w:space="0" w:color="000000"/>
            </w:tcBorders>
          </w:tcPr>
          <w:p w14:paraId="017BF9BB"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0C28280B" w14:textId="77777777" w:rsidR="00F65BCA" w:rsidRDefault="00F65BCA">
            <w:pPr>
              <w:pStyle w:val="TableParagraph"/>
              <w:rPr>
                <w:rFonts w:ascii="Times New Roman"/>
                <w:sz w:val="6"/>
              </w:rPr>
            </w:pPr>
          </w:p>
        </w:tc>
        <w:tc>
          <w:tcPr>
            <w:tcW w:w="398" w:type="dxa"/>
            <w:tcBorders>
              <w:top w:val="single" w:sz="4" w:space="0" w:color="000000"/>
              <w:left w:val="single" w:sz="4" w:space="0" w:color="000000"/>
              <w:bottom w:val="single" w:sz="4" w:space="0" w:color="000000"/>
              <w:right w:val="single" w:sz="4" w:space="0" w:color="000000"/>
            </w:tcBorders>
          </w:tcPr>
          <w:p w14:paraId="7B94EECF" w14:textId="77777777" w:rsidR="00F65BCA" w:rsidRDefault="00F65BCA">
            <w:pPr>
              <w:pStyle w:val="TableParagraph"/>
              <w:rPr>
                <w:rFonts w:ascii="Times New Roman"/>
                <w:sz w:val="6"/>
              </w:rPr>
            </w:pPr>
          </w:p>
        </w:tc>
        <w:tc>
          <w:tcPr>
            <w:tcW w:w="513" w:type="dxa"/>
            <w:tcBorders>
              <w:top w:val="single" w:sz="4" w:space="0" w:color="000000"/>
              <w:left w:val="single" w:sz="4" w:space="0" w:color="000000"/>
              <w:bottom w:val="single" w:sz="4" w:space="0" w:color="000000"/>
              <w:right w:val="single" w:sz="4" w:space="0" w:color="000000"/>
            </w:tcBorders>
            <w:shd w:val="clear" w:color="auto" w:fill="FFFF99"/>
          </w:tcPr>
          <w:p w14:paraId="1B9A651D" w14:textId="77777777" w:rsidR="00F65BCA" w:rsidRDefault="00F65BCA">
            <w:pPr>
              <w:pStyle w:val="TableParagraph"/>
              <w:spacing w:before="7"/>
              <w:rPr>
                <w:rFonts w:ascii="Calibri"/>
                <w:b/>
                <w:sz w:val="8"/>
              </w:rPr>
            </w:pPr>
          </w:p>
          <w:p w14:paraId="0D25C69B" w14:textId="77777777" w:rsidR="00F65BCA" w:rsidRDefault="00216117">
            <w:pPr>
              <w:pStyle w:val="TableParagraph"/>
              <w:spacing w:line="67" w:lineRule="exact"/>
              <w:ind w:left="76" w:right="28"/>
              <w:jc w:val="center"/>
              <w:rPr>
                <w:rFonts w:ascii="Calibri" w:hAnsi="Calibri"/>
                <w:sz w:val="7"/>
              </w:rPr>
            </w:pPr>
            <w:r>
              <w:rPr>
                <w:rFonts w:ascii="Calibri" w:hAnsi="Calibri"/>
                <w:w w:val="105"/>
                <w:sz w:val="7"/>
              </w:rPr>
              <w:t>360 Kč</w:t>
            </w:r>
          </w:p>
        </w:tc>
        <w:tc>
          <w:tcPr>
            <w:tcW w:w="460" w:type="dxa"/>
            <w:tcBorders>
              <w:top w:val="single" w:sz="4" w:space="0" w:color="000000"/>
              <w:left w:val="single" w:sz="4" w:space="0" w:color="000000"/>
              <w:bottom w:val="single" w:sz="4" w:space="0" w:color="000000"/>
              <w:right w:val="single" w:sz="4" w:space="0" w:color="000000"/>
            </w:tcBorders>
            <w:shd w:val="clear" w:color="auto" w:fill="FFFF99"/>
          </w:tcPr>
          <w:p w14:paraId="7D40DD34" w14:textId="77777777" w:rsidR="00F65BCA" w:rsidRDefault="00F65BCA">
            <w:pPr>
              <w:pStyle w:val="TableParagraph"/>
              <w:rPr>
                <w:rFonts w:ascii="Times New Roman"/>
                <w:sz w:val="6"/>
              </w:rPr>
            </w:pPr>
          </w:p>
        </w:tc>
        <w:tc>
          <w:tcPr>
            <w:tcW w:w="462" w:type="dxa"/>
            <w:tcBorders>
              <w:top w:val="single" w:sz="4" w:space="0" w:color="000000"/>
              <w:left w:val="single" w:sz="4" w:space="0" w:color="000000"/>
              <w:bottom w:val="single" w:sz="4" w:space="0" w:color="000000"/>
              <w:right w:val="single" w:sz="4" w:space="0" w:color="000000"/>
            </w:tcBorders>
            <w:shd w:val="clear" w:color="auto" w:fill="FFFF99"/>
          </w:tcPr>
          <w:p w14:paraId="3C731D3C" w14:textId="77777777" w:rsidR="00F65BCA" w:rsidRDefault="00F65BCA">
            <w:pPr>
              <w:pStyle w:val="TableParagraph"/>
              <w:rPr>
                <w:rFonts w:ascii="Times New Roman"/>
                <w:sz w:val="6"/>
              </w:rPr>
            </w:pPr>
          </w:p>
        </w:tc>
        <w:tc>
          <w:tcPr>
            <w:tcW w:w="392" w:type="dxa"/>
            <w:tcBorders>
              <w:top w:val="single" w:sz="4" w:space="0" w:color="000000"/>
              <w:left w:val="single" w:sz="4" w:space="0" w:color="000000"/>
              <w:bottom w:val="single" w:sz="4" w:space="0" w:color="000000"/>
              <w:right w:val="single" w:sz="4" w:space="0" w:color="000000"/>
            </w:tcBorders>
            <w:shd w:val="clear" w:color="auto" w:fill="FFFF99"/>
          </w:tcPr>
          <w:p w14:paraId="27355EB1" w14:textId="77777777" w:rsidR="00F65BCA" w:rsidRDefault="00F65BCA">
            <w:pPr>
              <w:pStyle w:val="TableParagraph"/>
              <w:rPr>
                <w:rFonts w:ascii="Times New Roman"/>
                <w:sz w:val="6"/>
              </w:rPr>
            </w:pPr>
          </w:p>
        </w:tc>
        <w:tc>
          <w:tcPr>
            <w:tcW w:w="495" w:type="dxa"/>
            <w:tcBorders>
              <w:top w:val="single" w:sz="4" w:space="0" w:color="000000"/>
              <w:left w:val="single" w:sz="4" w:space="0" w:color="000000"/>
              <w:bottom w:val="single" w:sz="4" w:space="0" w:color="000000"/>
              <w:right w:val="single" w:sz="4" w:space="0" w:color="000000"/>
            </w:tcBorders>
            <w:shd w:val="clear" w:color="auto" w:fill="FFFF99"/>
          </w:tcPr>
          <w:p w14:paraId="457E6240" w14:textId="77777777" w:rsidR="00F65BCA" w:rsidRDefault="00F65BCA">
            <w:pPr>
              <w:pStyle w:val="TableParagraph"/>
              <w:rPr>
                <w:rFonts w:ascii="Times New Roman"/>
                <w:sz w:val="6"/>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1C8C02B3" w14:textId="77777777" w:rsidR="00F65BCA" w:rsidRDefault="00F65BCA">
            <w:pPr>
              <w:pStyle w:val="TableParagraph"/>
              <w:rPr>
                <w:rFonts w:ascii="Times New Roman"/>
                <w:sz w:val="6"/>
              </w:rPr>
            </w:pPr>
          </w:p>
        </w:tc>
        <w:tc>
          <w:tcPr>
            <w:tcW w:w="500" w:type="dxa"/>
            <w:tcBorders>
              <w:top w:val="single" w:sz="4" w:space="0" w:color="000000"/>
              <w:left w:val="single" w:sz="4" w:space="0" w:color="000000"/>
              <w:bottom w:val="single" w:sz="4" w:space="0" w:color="000000"/>
              <w:right w:val="single" w:sz="4" w:space="0" w:color="000000"/>
            </w:tcBorders>
            <w:shd w:val="clear" w:color="auto" w:fill="FFFF99"/>
          </w:tcPr>
          <w:p w14:paraId="42505183" w14:textId="77777777" w:rsidR="00F65BCA" w:rsidRDefault="00F65BCA">
            <w:pPr>
              <w:pStyle w:val="TableParagraph"/>
              <w:rPr>
                <w:rFonts w:ascii="Times New Roman"/>
                <w:sz w:val="6"/>
              </w:rPr>
            </w:pPr>
          </w:p>
        </w:tc>
        <w:tc>
          <w:tcPr>
            <w:tcW w:w="458" w:type="dxa"/>
            <w:tcBorders>
              <w:top w:val="single" w:sz="4" w:space="0" w:color="000000"/>
              <w:left w:val="single" w:sz="4" w:space="0" w:color="000000"/>
              <w:bottom w:val="single" w:sz="4" w:space="0" w:color="000000"/>
            </w:tcBorders>
            <w:shd w:val="clear" w:color="auto" w:fill="FFFF99"/>
          </w:tcPr>
          <w:p w14:paraId="1E53E92E" w14:textId="77777777" w:rsidR="00F65BCA" w:rsidRDefault="00F65BCA">
            <w:pPr>
              <w:pStyle w:val="TableParagraph"/>
              <w:spacing w:before="7"/>
              <w:rPr>
                <w:rFonts w:ascii="Calibri"/>
                <w:b/>
                <w:sz w:val="8"/>
              </w:rPr>
            </w:pPr>
          </w:p>
          <w:p w14:paraId="14255458" w14:textId="77777777" w:rsidR="00F65BCA" w:rsidRDefault="00216117">
            <w:pPr>
              <w:pStyle w:val="TableParagraph"/>
              <w:spacing w:line="67" w:lineRule="exact"/>
              <w:ind w:left="158"/>
              <w:rPr>
                <w:rFonts w:ascii="Calibri" w:hAnsi="Calibri"/>
                <w:sz w:val="7"/>
              </w:rPr>
            </w:pPr>
            <w:r>
              <w:rPr>
                <w:rFonts w:ascii="Calibri" w:hAnsi="Calibri"/>
                <w:w w:val="105"/>
                <w:sz w:val="7"/>
              </w:rPr>
              <w:t>360 Kč</w:t>
            </w:r>
          </w:p>
        </w:tc>
      </w:tr>
      <w:tr w:rsidR="00F65BCA" w14:paraId="173FA2EC" w14:textId="77777777">
        <w:trPr>
          <w:trHeight w:val="91"/>
        </w:trPr>
        <w:tc>
          <w:tcPr>
            <w:tcW w:w="188" w:type="dxa"/>
            <w:tcBorders>
              <w:top w:val="single" w:sz="4" w:space="0" w:color="000000"/>
              <w:right w:val="single" w:sz="4" w:space="0" w:color="000000"/>
            </w:tcBorders>
          </w:tcPr>
          <w:p w14:paraId="570BD7C6" w14:textId="77777777" w:rsidR="00F65BCA" w:rsidRDefault="00216117">
            <w:pPr>
              <w:pStyle w:val="TableParagraph"/>
              <w:spacing w:before="1" w:line="70" w:lineRule="exact"/>
              <w:ind w:left="59"/>
              <w:rPr>
                <w:rFonts w:ascii="Calibri"/>
                <w:sz w:val="7"/>
              </w:rPr>
            </w:pPr>
            <w:r>
              <w:rPr>
                <w:rFonts w:ascii="Calibri"/>
                <w:w w:val="105"/>
                <w:sz w:val="7"/>
              </w:rPr>
              <w:t>42</w:t>
            </w:r>
          </w:p>
        </w:tc>
        <w:tc>
          <w:tcPr>
            <w:tcW w:w="398" w:type="dxa"/>
            <w:tcBorders>
              <w:top w:val="single" w:sz="4" w:space="0" w:color="000000"/>
              <w:left w:val="single" w:sz="4" w:space="0" w:color="000000"/>
              <w:right w:val="single" w:sz="4" w:space="0" w:color="000000"/>
            </w:tcBorders>
          </w:tcPr>
          <w:p w14:paraId="7C61BC57" w14:textId="77777777" w:rsidR="00F65BCA" w:rsidRDefault="00216117">
            <w:pPr>
              <w:pStyle w:val="TableParagraph"/>
              <w:spacing w:line="72" w:lineRule="exact"/>
              <w:ind w:left="12"/>
              <w:jc w:val="center"/>
              <w:rPr>
                <w:rFonts w:ascii="Calibri"/>
                <w:sz w:val="7"/>
              </w:rPr>
            </w:pPr>
            <w:r>
              <w:rPr>
                <w:rFonts w:ascii="Calibri"/>
                <w:w w:val="105"/>
                <w:sz w:val="7"/>
              </w:rPr>
              <w:t>49777513</w:t>
            </w:r>
          </w:p>
        </w:tc>
        <w:tc>
          <w:tcPr>
            <w:tcW w:w="1070" w:type="dxa"/>
            <w:tcBorders>
              <w:top w:val="single" w:sz="4" w:space="0" w:color="000000"/>
              <w:left w:val="single" w:sz="4" w:space="0" w:color="000000"/>
              <w:right w:val="single" w:sz="4" w:space="0" w:color="000000"/>
            </w:tcBorders>
          </w:tcPr>
          <w:p w14:paraId="4C8347A5" w14:textId="77777777" w:rsidR="00F65BCA" w:rsidRDefault="00216117">
            <w:pPr>
              <w:pStyle w:val="TableParagraph"/>
              <w:spacing w:line="72" w:lineRule="exact"/>
              <w:ind w:left="70" w:right="45"/>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right w:val="single" w:sz="4" w:space="0" w:color="000000"/>
            </w:tcBorders>
          </w:tcPr>
          <w:p w14:paraId="63607076" w14:textId="77777777" w:rsidR="00F65BCA" w:rsidRDefault="00216117">
            <w:pPr>
              <w:pStyle w:val="TableParagraph"/>
              <w:spacing w:line="72" w:lineRule="exact"/>
              <w:ind w:right="33"/>
              <w:jc w:val="right"/>
              <w:rPr>
                <w:rFonts w:ascii="Calibri"/>
                <w:sz w:val="7"/>
              </w:rPr>
            </w:pPr>
            <w:r>
              <w:rPr>
                <w:rFonts w:ascii="Calibri"/>
                <w:w w:val="105"/>
                <w:sz w:val="7"/>
              </w:rPr>
              <w:t>49777513</w:t>
            </w:r>
          </w:p>
        </w:tc>
        <w:tc>
          <w:tcPr>
            <w:tcW w:w="1072" w:type="dxa"/>
            <w:tcBorders>
              <w:top w:val="single" w:sz="4" w:space="0" w:color="000000"/>
              <w:left w:val="single" w:sz="4" w:space="0" w:color="000000"/>
              <w:right w:val="single" w:sz="4" w:space="0" w:color="000000"/>
            </w:tcBorders>
          </w:tcPr>
          <w:p w14:paraId="05C751D0" w14:textId="77777777" w:rsidR="00F65BCA" w:rsidRDefault="00216117">
            <w:pPr>
              <w:pStyle w:val="TableParagraph"/>
              <w:spacing w:line="72" w:lineRule="exact"/>
              <w:ind w:left="71" w:right="46"/>
              <w:jc w:val="center"/>
              <w:rPr>
                <w:rFonts w:ascii="Calibri" w:hAnsi="Calibri"/>
                <w:sz w:val="7"/>
              </w:rPr>
            </w:pPr>
            <w:r>
              <w:rPr>
                <w:rFonts w:ascii="Calibri" w:hAnsi="Calibri"/>
                <w:w w:val="105"/>
                <w:sz w:val="7"/>
              </w:rPr>
              <w:t>Západočeská univerzita v Plzni</w:t>
            </w:r>
          </w:p>
        </w:tc>
        <w:tc>
          <w:tcPr>
            <w:tcW w:w="398" w:type="dxa"/>
            <w:tcBorders>
              <w:top w:val="single" w:sz="4" w:space="0" w:color="000000"/>
              <w:left w:val="single" w:sz="4" w:space="0" w:color="000000"/>
              <w:right w:val="single" w:sz="4" w:space="0" w:color="000000"/>
            </w:tcBorders>
          </w:tcPr>
          <w:p w14:paraId="4A9A3E1A" w14:textId="77777777" w:rsidR="00F65BCA" w:rsidRDefault="00216117">
            <w:pPr>
              <w:pStyle w:val="TableParagraph"/>
              <w:spacing w:line="72" w:lineRule="exact"/>
              <w:ind w:left="68"/>
              <w:rPr>
                <w:rFonts w:ascii="Calibri"/>
                <w:sz w:val="7"/>
              </w:rPr>
            </w:pPr>
            <w:r>
              <w:rPr>
                <w:rFonts w:ascii="Calibri"/>
                <w:w w:val="105"/>
                <w:sz w:val="7"/>
              </w:rPr>
              <w:t>8AZ7891</w:t>
            </w:r>
          </w:p>
        </w:tc>
        <w:tc>
          <w:tcPr>
            <w:tcW w:w="398" w:type="dxa"/>
            <w:tcBorders>
              <w:top w:val="single" w:sz="4" w:space="0" w:color="000000"/>
              <w:left w:val="single" w:sz="4" w:space="0" w:color="000000"/>
              <w:right w:val="single" w:sz="4" w:space="0" w:color="000000"/>
            </w:tcBorders>
          </w:tcPr>
          <w:p w14:paraId="1A4D455D" w14:textId="77777777" w:rsidR="00F65BCA" w:rsidRDefault="00216117">
            <w:pPr>
              <w:pStyle w:val="TableParagraph"/>
              <w:spacing w:line="72" w:lineRule="exact"/>
              <w:ind w:left="15"/>
              <w:jc w:val="center"/>
              <w:rPr>
                <w:rFonts w:ascii="Calibri"/>
                <w:sz w:val="7"/>
              </w:rPr>
            </w:pPr>
            <w:r>
              <w:rPr>
                <w:rFonts w:ascii="Calibri"/>
                <w:w w:val="105"/>
                <w:sz w:val="7"/>
              </w:rPr>
              <w:t>UM151932</w:t>
            </w:r>
          </w:p>
        </w:tc>
        <w:tc>
          <w:tcPr>
            <w:tcW w:w="792" w:type="dxa"/>
            <w:tcBorders>
              <w:top w:val="single" w:sz="4" w:space="0" w:color="000000"/>
              <w:left w:val="single" w:sz="4" w:space="0" w:color="000000"/>
              <w:right w:val="single" w:sz="4" w:space="0" w:color="000000"/>
            </w:tcBorders>
          </w:tcPr>
          <w:p w14:paraId="216AB310" w14:textId="77777777" w:rsidR="00F65BCA" w:rsidRDefault="00216117">
            <w:pPr>
              <w:pStyle w:val="TableParagraph"/>
              <w:spacing w:line="72" w:lineRule="exact"/>
              <w:ind w:left="49"/>
              <w:rPr>
                <w:rFonts w:ascii="Calibri"/>
                <w:sz w:val="7"/>
              </w:rPr>
            </w:pPr>
            <w:r>
              <w:rPr>
                <w:rFonts w:ascii="Calibri"/>
                <w:w w:val="105"/>
                <w:sz w:val="7"/>
              </w:rPr>
              <w:t>TMBAR7NP4N7017410</w:t>
            </w:r>
          </w:p>
        </w:tc>
        <w:tc>
          <w:tcPr>
            <w:tcW w:w="398" w:type="dxa"/>
            <w:tcBorders>
              <w:top w:val="single" w:sz="4" w:space="0" w:color="000000"/>
              <w:left w:val="single" w:sz="4" w:space="0" w:color="000000"/>
              <w:right w:val="single" w:sz="4" w:space="0" w:color="000000"/>
            </w:tcBorders>
          </w:tcPr>
          <w:p w14:paraId="15644215" w14:textId="77777777" w:rsidR="00F65BCA" w:rsidRDefault="00216117">
            <w:pPr>
              <w:pStyle w:val="TableParagraph"/>
              <w:spacing w:line="72" w:lineRule="exact"/>
              <w:ind w:left="100"/>
              <w:rPr>
                <w:rFonts w:ascii="Calibri"/>
                <w:sz w:val="7"/>
              </w:rPr>
            </w:pPr>
            <w:r>
              <w:rPr>
                <w:rFonts w:ascii="Calibri"/>
                <w:w w:val="105"/>
                <w:sz w:val="7"/>
              </w:rPr>
              <w:t>SKODA</w:t>
            </w:r>
          </w:p>
        </w:tc>
        <w:tc>
          <w:tcPr>
            <w:tcW w:w="1065" w:type="dxa"/>
            <w:tcBorders>
              <w:top w:val="single" w:sz="4" w:space="0" w:color="000000"/>
              <w:left w:val="single" w:sz="4" w:space="0" w:color="000000"/>
              <w:right w:val="single" w:sz="4" w:space="0" w:color="000000"/>
            </w:tcBorders>
          </w:tcPr>
          <w:p w14:paraId="4247EE3B" w14:textId="77777777" w:rsidR="00F65BCA" w:rsidRDefault="00216117">
            <w:pPr>
              <w:pStyle w:val="TableParagraph"/>
              <w:spacing w:line="72" w:lineRule="exact"/>
              <w:ind w:left="75" w:right="53"/>
              <w:jc w:val="center"/>
              <w:rPr>
                <w:rFonts w:ascii="Calibri"/>
                <w:sz w:val="7"/>
              </w:rPr>
            </w:pPr>
            <w:r>
              <w:rPr>
                <w:rFonts w:ascii="Calibri"/>
                <w:w w:val="105"/>
                <w:sz w:val="7"/>
              </w:rPr>
              <w:t>SUPERB</w:t>
            </w:r>
          </w:p>
        </w:tc>
        <w:tc>
          <w:tcPr>
            <w:tcW w:w="815" w:type="dxa"/>
            <w:tcBorders>
              <w:top w:val="single" w:sz="4" w:space="0" w:color="000000"/>
              <w:left w:val="single" w:sz="4" w:space="0" w:color="000000"/>
              <w:right w:val="single" w:sz="4" w:space="0" w:color="000000"/>
            </w:tcBorders>
          </w:tcPr>
          <w:p w14:paraId="5C8B15AA" w14:textId="77777777" w:rsidR="00F65BCA" w:rsidRDefault="00216117">
            <w:pPr>
              <w:pStyle w:val="TableParagraph"/>
              <w:spacing w:line="72" w:lineRule="exact"/>
              <w:ind w:left="40" w:right="11"/>
              <w:jc w:val="center"/>
              <w:rPr>
                <w:rFonts w:ascii="Calibri" w:hAnsi="Calibri"/>
                <w:sz w:val="7"/>
              </w:rPr>
            </w:pPr>
            <w:r>
              <w:rPr>
                <w:rFonts w:ascii="Calibri" w:hAnsi="Calibri"/>
                <w:w w:val="105"/>
                <w:sz w:val="7"/>
              </w:rPr>
              <w:t>Osobní vozidlo</w:t>
            </w:r>
          </w:p>
        </w:tc>
        <w:tc>
          <w:tcPr>
            <w:tcW w:w="273" w:type="dxa"/>
            <w:tcBorders>
              <w:top w:val="single" w:sz="4" w:space="0" w:color="000000"/>
              <w:left w:val="single" w:sz="4" w:space="0" w:color="000000"/>
              <w:right w:val="single" w:sz="4" w:space="0" w:color="000000"/>
            </w:tcBorders>
          </w:tcPr>
          <w:p w14:paraId="5ECAF87E" w14:textId="77777777" w:rsidR="00F65BCA" w:rsidRDefault="00216117">
            <w:pPr>
              <w:pStyle w:val="TableParagraph"/>
              <w:spacing w:line="72" w:lineRule="exact"/>
              <w:ind w:right="41"/>
              <w:jc w:val="right"/>
              <w:rPr>
                <w:rFonts w:ascii="Calibri"/>
                <w:sz w:val="7"/>
              </w:rPr>
            </w:pPr>
            <w:r>
              <w:rPr>
                <w:rFonts w:ascii="Calibri"/>
                <w:w w:val="105"/>
                <w:sz w:val="7"/>
              </w:rPr>
              <w:t>2021</w:t>
            </w:r>
          </w:p>
        </w:tc>
        <w:tc>
          <w:tcPr>
            <w:tcW w:w="278" w:type="dxa"/>
            <w:tcBorders>
              <w:top w:val="single" w:sz="4" w:space="0" w:color="000000"/>
              <w:left w:val="single" w:sz="4" w:space="0" w:color="000000"/>
              <w:right w:val="single" w:sz="4" w:space="0" w:color="000000"/>
            </w:tcBorders>
          </w:tcPr>
          <w:p w14:paraId="2BABDC88" w14:textId="77777777" w:rsidR="00F65BCA" w:rsidRDefault="00216117">
            <w:pPr>
              <w:pStyle w:val="TableParagraph"/>
              <w:spacing w:line="72" w:lineRule="exact"/>
              <w:ind w:left="28" w:right="2"/>
              <w:jc w:val="center"/>
              <w:rPr>
                <w:rFonts w:ascii="Calibri"/>
                <w:sz w:val="7"/>
              </w:rPr>
            </w:pPr>
            <w:r>
              <w:rPr>
                <w:rFonts w:ascii="Calibri"/>
                <w:w w:val="105"/>
                <w:sz w:val="7"/>
              </w:rPr>
              <w:t>1968</w:t>
            </w:r>
          </w:p>
        </w:tc>
        <w:tc>
          <w:tcPr>
            <w:tcW w:w="268" w:type="dxa"/>
            <w:tcBorders>
              <w:top w:val="single" w:sz="4" w:space="0" w:color="000000"/>
              <w:left w:val="single" w:sz="4" w:space="0" w:color="000000"/>
              <w:right w:val="single" w:sz="4" w:space="0" w:color="000000"/>
            </w:tcBorders>
          </w:tcPr>
          <w:p w14:paraId="7B381050" w14:textId="77777777" w:rsidR="00F65BCA" w:rsidRDefault="00216117">
            <w:pPr>
              <w:pStyle w:val="TableParagraph"/>
              <w:spacing w:line="72" w:lineRule="exact"/>
              <w:ind w:right="56"/>
              <w:jc w:val="right"/>
              <w:rPr>
                <w:rFonts w:ascii="Calibri"/>
                <w:sz w:val="7"/>
              </w:rPr>
            </w:pPr>
            <w:r>
              <w:rPr>
                <w:rFonts w:ascii="Calibri"/>
                <w:w w:val="105"/>
                <w:sz w:val="7"/>
              </w:rPr>
              <w:t>147</w:t>
            </w:r>
          </w:p>
        </w:tc>
        <w:tc>
          <w:tcPr>
            <w:tcW w:w="398" w:type="dxa"/>
            <w:tcBorders>
              <w:top w:val="single" w:sz="4" w:space="0" w:color="000000"/>
              <w:left w:val="single" w:sz="4" w:space="0" w:color="000000"/>
              <w:right w:val="single" w:sz="4" w:space="0" w:color="000000"/>
            </w:tcBorders>
          </w:tcPr>
          <w:p w14:paraId="30D6D522" w14:textId="77777777" w:rsidR="00F65BCA" w:rsidRDefault="00216117">
            <w:pPr>
              <w:pStyle w:val="TableParagraph"/>
              <w:spacing w:line="72" w:lineRule="exact"/>
              <w:ind w:left="28"/>
              <w:jc w:val="center"/>
              <w:rPr>
                <w:rFonts w:ascii="Calibri"/>
                <w:sz w:val="7"/>
              </w:rPr>
            </w:pPr>
            <w:r>
              <w:rPr>
                <w:rFonts w:ascii="Calibri"/>
                <w:w w:val="105"/>
                <w:sz w:val="7"/>
              </w:rPr>
              <w:t>2080</w:t>
            </w:r>
          </w:p>
        </w:tc>
        <w:tc>
          <w:tcPr>
            <w:tcW w:w="249" w:type="dxa"/>
            <w:tcBorders>
              <w:top w:val="single" w:sz="4" w:space="0" w:color="000000"/>
              <w:left w:val="single" w:sz="4" w:space="0" w:color="000000"/>
              <w:right w:val="single" w:sz="4" w:space="0" w:color="000000"/>
            </w:tcBorders>
          </w:tcPr>
          <w:p w14:paraId="3CBB4DCC" w14:textId="77777777" w:rsidR="00F65BCA" w:rsidRDefault="00216117">
            <w:pPr>
              <w:pStyle w:val="TableParagraph"/>
              <w:spacing w:line="72" w:lineRule="exact"/>
              <w:ind w:right="82"/>
              <w:jc w:val="right"/>
              <w:rPr>
                <w:rFonts w:ascii="Calibri"/>
                <w:sz w:val="7"/>
              </w:rPr>
            </w:pPr>
            <w:r>
              <w:rPr>
                <w:rFonts w:ascii="Calibri"/>
                <w:w w:val="106"/>
                <w:sz w:val="7"/>
              </w:rPr>
              <w:t>5</w:t>
            </w:r>
          </w:p>
        </w:tc>
        <w:tc>
          <w:tcPr>
            <w:tcW w:w="311" w:type="dxa"/>
            <w:tcBorders>
              <w:top w:val="single" w:sz="4" w:space="0" w:color="000000"/>
              <w:left w:val="single" w:sz="4" w:space="0" w:color="000000"/>
              <w:right w:val="single" w:sz="4" w:space="0" w:color="000000"/>
            </w:tcBorders>
          </w:tcPr>
          <w:p w14:paraId="78A459C8" w14:textId="77777777" w:rsidR="00F65BCA" w:rsidRDefault="00216117">
            <w:pPr>
              <w:pStyle w:val="TableParagraph"/>
              <w:spacing w:line="72" w:lineRule="exact"/>
              <w:ind w:left="33"/>
              <w:jc w:val="center"/>
              <w:rPr>
                <w:rFonts w:ascii="Calibri"/>
                <w:sz w:val="7"/>
              </w:rPr>
            </w:pPr>
            <w:r>
              <w:rPr>
                <w:rFonts w:ascii="Calibri"/>
                <w:w w:val="105"/>
                <w:sz w:val="7"/>
              </w:rPr>
              <w:t>Nafta</w:t>
            </w:r>
          </w:p>
        </w:tc>
        <w:tc>
          <w:tcPr>
            <w:tcW w:w="256" w:type="dxa"/>
            <w:tcBorders>
              <w:top w:val="single" w:sz="4" w:space="0" w:color="000000"/>
              <w:left w:val="single" w:sz="4" w:space="0" w:color="000000"/>
              <w:right w:val="single" w:sz="4" w:space="0" w:color="000000"/>
            </w:tcBorders>
          </w:tcPr>
          <w:p w14:paraId="54154338" w14:textId="77777777" w:rsidR="00F65BCA" w:rsidRDefault="00216117">
            <w:pPr>
              <w:pStyle w:val="TableParagraph"/>
              <w:spacing w:line="72" w:lineRule="exact"/>
              <w:ind w:left="48" w:right="14"/>
              <w:jc w:val="center"/>
              <w:rPr>
                <w:rFonts w:ascii="Calibri"/>
                <w:sz w:val="7"/>
              </w:rPr>
            </w:pPr>
            <w:r>
              <w:rPr>
                <w:rFonts w:ascii="Calibri"/>
                <w:w w:val="105"/>
                <w:sz w:val="7"/>
              </w:rPr>
              <w:t>ANO</w:t>
            </w:r>
          </w:p>
        </w:tc>
        <w:tc>
          <w:tcPr>
            <w:tcW w:w="460" w:type="dxa"/>
            <w:tcBorders>
              <w:top w:val="single" w:sz="4" w:space="0" w:color="000000"/>
              <w:left w:val="single" w:sz="4" w:space="0" w:color="000000"/>
              <w:right w:val="single" w:sz="4" w:space="0" w:color="000000"/>
            </w:tcBorders>
          </w:tcPr>
          <w:p w14:paraId="4EC09508" w14:textId="77777777" w:rsidR="00F65BCA" w:rsidRDefault="00216117">
            <w:pPr>
              <w:pStyle w:val="TableParagraph"/>
              <w:spacing w:line="72" w:lineRule="exact"/>
              <w:jc w:val="right"/>
              <w:rPr>
                <w:rFonts w:ascii="Calibri" w:hAnsi="Calibri"/>
                <w:sz w:val="7"/>
              </w:rPr>
            </w:pPr>
            <w:r>
              <w:rPr>
                <w:rFonts w:ascii="Calibri" w:hAnsi="Calibri"/>
                <w:w w:val="105"/>
                <w:sz w:val="7"/>
              </w:rPr>
              <w:t>619 000 Kč</w:t>
            </w:r>
          </w:p>
        </w:tc>
        <w:tc>
          <w:tcPr>
            <w:tcW w:w="278" w:type="dxa"/>
            <w:tcBorders>
              <w:top w:val="single" w:sz="4" w:space="0" w:color="000000"/>
              <w:left w:val="single" w:sz="4" w:space="0" w:color="000000"/>
              <w:right w:val="single" w:sz="4" w:space="0" w:color="000000"/>
            </w:tcBorders>
          </w:tcPr>
          <w:p w14:paraId="4D223E01" w14:textId="77777777" w:rsidR="00F65BCA" w:rsidRDefault="00216117">
            <w:pPr>
              <w:pStyle w:val="TableParagraph"/>
              <w:spacing w:line="72" w:lineRule="exact"/>
              <w:ind w:left="36" w:right="2"/>
              <w:jc w:val="center"/>
              <w:rPr>
                <w:rFonts w:ascii="Calibri"/>
                <w:sz w:val="7"/>
              </w:rPr>
            </w:pPr>
            <w:r>
              <w:rPr>
                <w:rFonts w:ascii="Calibri"/>
                <w:w w:val="105"/>
                <w:sz w:val="7"/>
              </w:rPr>
              <w:t>ANO</w:t>
            </w:r>
          </w:p>
        </w:tc>
        <w:tc>
          <w:tcPr>
            <w:tcW w:w="273" w:type="dxa"/>
            <w:tcBorders>
              <w:top w:val="single" w:sz="4" w:space="0" w:color="000000"/>
              <w:left w:val="single" w:sz="4" w:space="0" w:color="000000"/>
              <w:right w:val="single" w:sz="4" w:space="0" w:color="000000"/>
            </w:tcBorders>
          </w:tcPr>
          <w:p w14:paraId="35B18DFF" w14:textId="77777777" w:rsidR="00F65BCA" w:rsidRDefault="00216117">
            <w:pPr>
              <w:pStyle w:val="TableParagraph"/>
              <w:spacing w:line="72" w:lineRule="exact"/>
              <w:ind w:left="48" w:right="13"/>
              <w:jc w:val="center"/>
              <w:rPr>
                <w:rFonts w:ascii="Calibri"/>
                <w:sz w:val="7"/>
              </w:rPr>
            </w:pPr>
            <w:r>
              <w:rPr>
                <w:rFonts w:ascii="Calibri"/>
                <w:w w:val="105"/>
                <w:sz w:val="7"/>
              </w:rPr>
              <w:t>ANO</w:t>
            </w:r>
          </w:p>
        </w:tc>
        <w:tc>
          <w:tcPr>
            <w:tcW w:w="398" w:type="dxa"/>
            <w:tcBorders>
              <w:top w:val="single" w:sz="4" w:space="0" w:color="000000"/>
              <w:left w:val="single" w:sz="4" w:space="0" w:color="000000"/>
              <w:right w:val="single" w:sz="4" w:space="0" w:color="000000"/>
            </w:tcBorders>
          </w:tcPr>
          <w:p w14:paraId="77A13D1C" w14:textId="77777777" w:rsidR="00F65BCA" w:rsidRDefault="00216117">
            <w:pPr>
              <w:pStyle w:val="TableParagraph"/>
              <w:spacing w:line="72" w:lineRule="exact"/>
              <w:ind w:right="1"/>
              <w:jc w:val="right"/>
              <w:rPr>
                <w:rFonts w:ascii="Calibri" w:hAnsi="Calibri"/>
                <w:sz w:val="7"/>
              </w:rPr>
            </w:pPr>
            <w:r>
              <w:rPr>
                <w:rFonts w:ascii="Calibri" w:hAnsi="Calibri"/>
                <w:w w:val="105"/>
                <w:sz w:val="7"/>
              </w:rPr>
              <w:t>20 000 Kč</w:t>
            </w:r>
          </w:p>
        </w:tc>
        <w:tc>
          <w:tcPr>
            <w:tcW w:w="398" w:type="dxa"/>
            <w:tcBorders>
              <w:top w:val="single" w:sz="4" w:space="0" w:color="000000"/>
              <w:left w:val="single" w:sz="4" w:space="0" w:color="000000"/>
              <w:right w:val="single" w:sz="4" w:space="0" w:color="000000"/>
            </w:tcBorders>
          </w:tcPr>
          <w:p w14:paraId="7FB25454" w14:textId="77777777" w:rsidR="00F65BCA" w:rsidRDefault="00216117">
            <w:pPr>
              <w:pStyle w:val="TableParagraph"/>
              <w:spacing w:line="72" w:lineRule="exact"/>
              <w:ind w:left="57"/>
              <w:jc w:val="center"/>
              <w:rPr>
                <w:rFonts w:ascii="Calibri"/>
                <w:sz w:val="7"/>
              </w:rPr>
            </w:pPr>
            <w:r>
              <w:rPr>
                <w:rFonts w:ascii="Calibri"/>
                <w:w w:val="105"/>
                <w:sz w:val="7"/>
              </w:rPr>
              <w:t>ANO</w:t>
            </w:r>
          </w:p>
        </w:tc>
        <w:tc>
          <w:tcPr>
            <w:tcW w:w="278" w:type="dxa"/>
            <w:tcBorders>
              <w:top w:val="single" w:sz="4" w:space="0" w:color="000000"/>
              <w:left w:val="single" w:sz="4" w:space="0" w:color="000000"/>
              <w:right w:val="single" w:sz="4" w:space="0" w:color="000000"/>
            </w:tcBorders>
          </w:tcPr>
          <w:p w14:paraId="775A0FC6" w14:textId="77777777" w:rsidR="00F65BCA" w:rsidRDefault="00216117">
            <w:pPr>
              <w:pStyle w:val="TableParagraph"/>
              <w:spacing w:line="72" w:lineRule="exact"/>
              <w:ind w:left="40" w:right="2"/>
              <w:jc w:val="center"/>
              <w:rPr>
                <w:rFonts w:ascii="Calibri"/>
                <w:sz w:val="7"/>
              </w:rPr>
            </w:pPr>
            <w:r>
              <w:rPr>
                <w:rFonts w:ascii="Calibri"/>
                <w:w w:val="105"/>
                <w:sz w:val="7"/>
              </w:rPr>
              <w:t>ANO</w:t>
            </w:r>
          </w:p>
        </w:tc>
        <w:tc>
          <w:tcPr>
            <w:tcW w:w="398" w:type="dxa"/>
            <w:tcBorders>
              <w:top w:val="single" w:sz="4" w:space="0" w:color="000000"/>
              <w:left w:val="single" w:sz="4" w:space="0" w:color="000000"/>
              <w:right w:val="single" w:sz="4" w:space="0" w:color="000000"/>
            </w:tcBorders>
          </w:tcPr>
          <w:p w14:paraId="551C2979" w14:textId="77777777" w:rsidR="00F65BCA" w:rsidRDefault="00216117">
            <w:pPr>
              <w:pStyle w:val="TableParagraph"/>
              <w:spacing w:line="72" w:lineRule="exact"/>
              <w:ind w:left="143"/>
              <w:rPr>
                <w:rFonts w:ascii="Calibri"/>
                <w:sz w:val="7"/>
              </w:rPr>
            </w:pPr>
            <w:r>
              <w:rPr>
                <w:rFonts w:ascii="Calibri"/>
                <w:w w:val="105"/>
                <w:sz w:val="7"/>
              </w:rPr>
              <w:t>ANO</w:t>
            </w:r>
          </w:p>
        </w:tc>
        <w:tc>
          <w:tcPr>
            <w:tcW w:w="398" w:type="dxa"/>
            <w:tcBorders>
              <w:top w:val="single" w:sz="4" w:space="0" w:color="000000"/>
              <w:left w:val="single" w:sz="4" w:space="0" w:color="000000"/>
              <w:right w:val="single" w:sz="4" w:space="0" w:color="000000"/>
            </w:tcBorders>
          </w:tcPr>
          <w:p w14:paraId="346FDB41" w14:textId="77777777" w:rsidR="00F65BCA" w:rsidRDefault="00F65BCA">
            <w:pPr>
              <w:pStyle w:val="TableParagraph"/>
              <w:rPr>
                <w:rFonts w:ascii="Times New Roman"/>
                <w:sz w:val="4"/>
              </w:rPr>
            </w:pPr>
          </w:p>
        </w:tc>
        <w:tc>
          <w:tcPr>
            <w:tcW w:w="513" w:type="dxa"/>
            <w:tcBorders>
              <w:top w:val="single" w:sz="4" w:space="0" w:color="000000"/>
              <w:left w:val="single" w:sz="4" w:space="0" w:color="000000"/>
              <w:right w:val="single" w:sz="4" w:space="0" w:color="000000"/>
            </w:tcBorders>
            <w:shd w:val="clear" w:color="auto" w:fill="FFFF99"/>
          </w:tcPr>
          <w:p w14:paraId="423B0D5A" w14:textId="77777777" w:rsidR="00F65BCA" w:rsidRDefault="00216117">
            <w:pPr>
              <w:pStyle w:val="TableParagraph"/>
              <w:spacing w:before="1" w:line="70" w:lineRule="exact"/>
              <w:ind w:left="73" w:right="28"/>
              <w:jc w:val="center"/>
              <w:rPr>
                <w:rFonts w:ascii="Calibri" w:hAnsi="Calibri"/>
                <w:sz w:val="7"/>
              </w:rPr>
            </w:pPr>
            <w:r>
              <w:rPr>
                <w:rFonts w:ascii="Calibri" w:hAnsi="Calibri"/>
                <w:w w:val="105"/>
                <w:sz w:val="7"/>
              </w:rPr>
              <w:t>2 196 Kč</w:t>
            </w:r>
          </w:p>
        </w:tc>
        <w:tc>
          <w:tcPr>
            <w:tcW w:w="460" w:type="dxa"/>
            <w:tcBorders>
              <w:top w:val="single" w:sz="4" w:space="0" w:color="000000"/>
              <w:left w:val="single" w:sz="4" w:space="0" w:color="000000"/>
              <w:right w:val="single" w:sz="4" w:space="0" w:color="000000"/>
            </w:tcBorders>
            <w:shd w:val="clear" w:color="auto" w:fill="FFFF99"/>
          </w:tcPr>
          <w:p w14:paraId="6E7C0D22" w14:textId="77777777" w:rsidR="00F65BCA" w:rsidRDefault="00216117">
            <w:pPr>
              <w:pStyle w:val="TableParagraph"/>
              <w:spacing w:before="1" w:line="70" w:lineRule="exact"/>
              <w:ind w:left="46"/>
              <w:jc w:val="center"/>
              <w:rPr>
                <w:rFonts w:ascii="Calibri" w:hAnsi="Calibri"/>
                <w:sz w:val="7"/>
              </w:rPr>
            </w:pPr>
            <w:r>
              <w:rPr>
                <w:rFonts w:ascii="Calibri" w:hAnsi="Calibri"/>
                <w:w w:val="105"/>
                <w:sz w:val="7"/>
              </w:rPr>
              <w:t>8 628 Kč</w:t>
            </w:r>
          </w:p>
        </w:tc>
        <w:tc>
          <w:tcPr>
            <w:tcW w:w="462" w:type="dxa"/>
            <w:tcBorders>
              <w:top w:val="single" w:sz="4" w:space="0" w:color="000000"/>
              <w:left w:val="single" w:sz="4" w:space="0" w:color="000000"/>
              <w:right w:val="single" w:sz="4" w:space="0" w:color="000000"/>
            </w:tcBorders>
            <w:shd w:val="clear" w:color="auto" w:fill="FFFF99"/>
          </w:tcPr>
          <w:p w14:paraId="2810D095" w14:textId="77777777" w:rsidR="00F65BCA" w:rsidRDefault="00216117">
            <w:pPr>
              <w:pStyle w:val="TableParagraph"/>
              <w:spacing w:before="1" w:line="70" w:lineRule="exact"/>
              <w:ind w:right="71"/>
              <w:jc w:val="right"/>
              <w:rPr>
                <w:rFonts w:ascii="Calibri" w:hAnsi="Calibri"/>
                <w:sz w:val="7"/>
              </w:rPr>
            </w:pPr>
            <w:r>
              <w:rPr>
                <w:rFonts w:ascii="Calibri" w:hAnsi="Calibri"/>
                <w:w w:val="105"/>
                <w:sz w:val="7"/>
              </w:rPr>
              <w:t>1 800 Kč</w:t>
            </w:r>
          </w:p>
        </w:tc>
        <w:tc>
          <w:tcPr>
            <w:tcW w:w="392" w:type="dxa"/>
            <w:tcBorders>
              <w:top w:val="single" w:sz="4" w:space="0" w:color="000000"/>
              <w:left w:val="single" w:sz="4" w:space="0" w:color="000000"/>
              <w:right w:val="single" w:sz="4" w:space="0" w:color="000000"/>
            </w:tcBorders>
            <w:shd w:val="clear" w:color="auto" w:fill="FFFF99"/>
          </w:tcPr>
          <w:p w14:paraId="281EA817" w14:textId="77777777" w:rsidR="00F65BCA" w:rsidRDefault="00216117">
            <w:pPr>
              <w:pStyle w:val="TableParagraph"/>
              <w:spacing w:before="1" w:line="70" w:lineRule="exact"/>
              <w:ind w:left="98" w:right="44"/>
              <w:jc w:val="center"/>
              <w:rPr>
                <w:rFonts w:ascii="Calibri" w:hAnsi="Calibri"/>
                <w:sz w:val="7"/>
              </w:rPr>
            </w:pPr>
            <w:r>
              <w:rPr>
                <w:rFonts w:ascii="Calibri" w:hAnsi="Calibri"/>
                <w:w w:val="105"/>
                <w:sz w:val="7"/>
              </w:rPr>
              <w:t>264 Kč</w:t>
            </w:r>
          </w:p>
        </w:tc>
        <w:tc>
          <w:tcPr>
            <w:tcW w:w="495" w:type="dxa"/>
            <w:tcBorders>
              <w:top w:val="single" w:sz="4" w:space="0" w:color="000000"/>
              <w:left w:val="single" w:sz="4" w:space="0" w:color="000000"/>
              <w:right w:val="single" w:sz="4" w:space="0" w:color="000000"/>
            </w:tcBorders>
            <w:shd w:val="clear" w:color="auto" w:fill="FFFF99"/>
          </w:tcPr>
          <w:p w14:paraId="3B234A88" w14:textId="77777777" w:rsidR="00F65BCA" w:rsidRDefault="00216117">
            <w:pPr>
              <w:pStyle w:val="TableParagraph"/>
              <w:spacing w:before="1" w:line="70" w:lineRule="exact"/>
              <w:ind w:left="70" w:right="15"/>
              <w:jc w:val="center"/>
              <w:rPr>
                <w:rFonts w:ascii="Calibri" w:hAnsi="Calibri"/>
                <w:sz w:val="7"/>
              </w:rPr>
            </w:pPr>
            <w:r>
              <w:rPr>
                <w:rFonts w:ascii="Calibri" w:hAnsi="Calibri"/>
                <w:w w:val="105"/>
                <w:sz w:val="7"/>
              </w:rPr>
              <w:t>396 Kč</w:t>
            </w:r>
          </w:p>
        </w:tc>
        <w:tc>
          <w:tcPr>
            <w:tcW w:w="500" w:type="dxa"/>
            <w:tcBorders>
              <w:top w:val="single" w:sz="4" w:space="0" w:color="000000"/>
              <w:left w:val="single" w:sz="4" w:space="0" w:color="000000"/>
              <w:right w:val="single" w:sz="4" w:space="0" w:color="000000"/>
            </w:tcBorders>
            <w:shd w:val="clear" w:color="auto" w:fill="FFFF99"/>
          </w:tcPr>
          <w:p w14:paraId="53EF0485" w14:textId="77777777" w:rsidR="00F65BCA" w:rsidRDefault="00216117">
            <w:pPr>
              <w:pStyle w:val="TableParagraph"/>
              <w:spacing w:before="1" w:line="70" w:lineRule="exact"/>
              <w:ind w:left="76" w:right="16"/>
              <w:jc w:val="center"/>
              <w:rPr>
                <w:rFonts w:ascii="Calibri" w:hAnsi="Calibri"/>
                <w:sz w:val="7"/>
              </w:rPr>
            </w:pPr>
            <w:r>
              <w:rPr>
                <w:rFonts w:ascii="Calibri" w:hAnsi="Calibri"/>
                <w:w w:val="105"/>
                <w:sz w:val="7"/>
              </w:rPr>
              <w:t>1 200 Kč</w:t>
            </w:r>
          </w:p>
        </w:tc>
        <w:tc>
          <w:tcPr>
            <w:tcW w:w="500" w:type="dxa"/>
            <w:tcBorders>
              <w:top w:val="single" w:sz="4" w:space="0" w:color="000000"/>
              <w:left w:val="single" w:sz="4" w:space="0" w:color="000000"/>
              <w:right w:val="single" w:sz="4" w:space="0" w:color="000000"/>
            </w:tcBorders>
            <w:shd w:val="clear" w:color="auto" w:fill="FFFF99"/>
          </w:tcPr>
          <w:p w14:paraId="138D363D" w14:textId="77777777" w:rsidR="00F65BCA" w:rsidRDefault="00F65BCA">
            <w:pPr>
              <w:pStyle w:val="TableParagraph"/>
              <w:rPr>
                <w:rFonts w:ascii="Times New Roman"/>
                <w:sz w:val="4"/>
              </w:rPr>
            </w:pPr>
          </w:p>
        </w:tc>
        <w:tc>
          <w:tcPr>
            <w:tcW w:w="458" w:type="dxa"/>
            <w:tcBorders>
              <w:top w:val="single" w:sz="4" w:space="0" w:color="000000"/>
              <w:left w:val="single" w:sz="4" w:space="0" w:color="000000"/>
            </w:tcBorders>
            <w:shd w:val="clear" w:color="auto" w:fill="FFFF99"/>
          </w:tcPr>
          <w:p w14:paraId="2B66866C" w14:textId="77777777" w:rsidR="00F65BCA" w:rsidRDefault="00216117">
            <w:pPr>
              <w:pStyle w:val="TableParagraph"/>
              <w:spacing w:before="1" w:line="70" w:lineRule="exact"/>
              <w:ind w:left="110"/>
              <w:rPr>
                <w:rFonts w:ascii="Calibri" w:hAnsi="Calibri"/>
                <w:sz w:val="7"/>
              </w:rPr>
            </w:pPr>
            <w:r>
              <w:rPr>
                <w:rFonts w:ascii="Calibri" w:hAnsi="Calibri"/>
                <w:w w:val="105"/>
                <w:sz w:val="7"/>
              </w:rPr>
              <w:t>14 484 Kč</w:t>
            </w:r>
          </w:p>
        </w:tc>
      </w:tr>
      <w:tr w:rsidR="00F65BCA" w14:paraId="2BA012A9" w14:textId="77777777">
        <w:trPr>
          <w:trHeight w:val="111"/>
        </w:trPr>
        <w:tc>
          <w:tcPr>
            <w:tcW w:w="10832" w:type="dxa"/>
            <w:gridSpan w:val="23"/>
            <w:vMerge w:val="restart"/>
            <w:tcBorders>
              <w:left w:val="nil"/>
              <w:bottom w:val="nil"/>
              <w:right w:val="single" w:sz="4" w:space="0" w:color="000000"/>
            </w:tcBorders>
          </w:tcPr>
          <w:p w14:paraId="7F59E85C" w14:textId="77777777" w:rsidR="00F65BCA" w:rsidRDefault="00F65BCA">
            <w:pPr>
              <w:pStyle w:val="TableParagraph"/>
              <w:rPr>
                <w:rFonts w:ascii="Times New Roman"/>
                <w:sz w:val="6"/>
              </w:rPr>
            </w:pPr>
          </w:p>
        </w:tc>
        <w:tc>
          <w:tcPr>
            <w:tcW w:w="1074" w:type="dxa"/>
            <w:gridSpan w:val="3"/>
            <w:tcBorders>
              <w:left w:val="single" w:sz="4" w:space="0" w:color="000000"/>
              <w:bottom w:val="single" w:sz="4" w:space="0" w:color="000000"/>
              <w:right w:val="single" w:sz="4" w:space="0" w:color="000000"/>
            </w:tcBorders>
          </w:tcPr>
          <w:p w14:paraId="37340D34" w14:textId="77777777" w:rsidR="00F65BCA" w:rsidRDefault="00216117">
            <w:pPr>
              <w:pStyle w:val="TableParagraph"/>
              <w:spacing w:line="91" w:lineRule="exact"/>
              <w:ind w:left="140"/>
              <w:rPr>
                <w:rFonts w:ascii="Calibri" w:hAnsi="Calibri"/>
                <w:b/>
                <w:sz w:val="9"/>
              </w:rPr>
            </w:pPr>
            <w:r>
              <w:rPr>
                <w:rFonts w:ascii="Calibri" w:hAnsi="Calibri"/>
                <w:b/>
                <w:sz w:val="9"/>
              </w:rPr>
              <w:t>Celkové roční pojistné</w:t>
            </w:r>
          </w:p>
        </w:tc>
        <w:tc>
          <w:tcPr>
            <w:tcW w:w="513" w:type="dxa"/>
            <w:tcBorders>
              <w:left w:val="single" w:sz="4" w:space="0" w:color="000000"/>
              <w:bottom w:val="single" w:sz="4" w:space="0" w:color="000000"/>
              <w:right w:val="single" w:sz="4" w:space="0" w:color="000000"/>
            </w:tcBorders>
          </w:tcPr>
          <w:p w14:paraId="62EB606D" w14:textId="77777777" w:rsidR="00F65BCA" w:rsidRDefault="00216117">
            <w:pPr>
              <w:pStyle w:val="TableParagraph"/>
              <w:spacing w:line="91" w:lineRule="exact"/>
              <w:ind w:left="78" w:right="28"/>
              <w:jc w:val="center"/>
              <w:rPr>
                <w:rFonts w:ascii="Calibri" w:hAnsi="Calibri"/>
                <w:b/>
                <w:sz w:val="9"/>
              </w:rPr>
            </w:pPr>
            <w:r>
              <w:rPr>
                <w:rFonts w:ascii="Calibri" w:hAnsi="Calibri"/>
                <w:b/>
                <w:sz w:val="9"/>
              </w:rPr>
              <w:t>70 956 Kč</w:t>
            </w:r>
          </w:p>
        </w:tc>
        <w:tc>
          <w:tcPr>
            <w:tcW w:w="460" w:type="dxa"/>
            <w:tcBorders>
              <w:left w:val="single" w:sz="4" w:space="0" w:color="000000"/>
              <w:bottom w:val="single" w:sz="4" w:space="0" w:color="000000"/>
              <w:right w:val="single" w:sz="4" w:space="0" w:color="000000"/>
            </w:tcBorders>
          </w:tcPr>
          <w:p w14:paraId="7ADF1BF2" w14:textId="77777777" w:rsidR="00F65BCA" w:rsidRDefault="00216117">
            <w:pPr>
              <w:pStyle w:val="TableParagraph"/>
              <w:spacing w:line="91" w:lineRule="exact"/>
              <w:ind w:left="46" w:right="-15"/>
              <w:jc w:val="center"/>
              <w:rPr>
                <w:rFonts w:ascii="Calibri" w:hAnsi="Calibri"/>
                <w:b/>
                <w:sz w:val="9"/>
              </w:rPr>
            </w:pPr>
            <w:r>
              <w:rPr>
                <w:rFonts w:ascii="Calibri" w:hAnsi="Calibri"/>
                <w:b/>
                <w:sz w:val="9"/>
              </w:rPr>
              <w:t>279 744</w:t>
            </w:r>
            <w:r>
              <w:rPr>
                <w:rFonts w:ascii="Calibri" w:hAnsi="Calibri"/>
                <w:b/>
                <w:spacing w:val="4"/>
                <w:sz w:val="9"/>
              </w:rPr>
              <w:t xml:space="preserve"> </w:t>
            </w:r>
            <w:r>
              <w:rPr>
                <w:rFonts w:ascii="Calibri" w:hAnsi="Calibri"/>
                <w:b/>
                <w:sz w:val="9"/>
              </w:rPr>
              <w:t>Kč</w:t>
            </w:r>
          </w:p>
        </w:tc>
        <w:tc>
          <w:tcPr>
            <w:tcW w:w="462" w:type="dxa"/>
            <w:tcBorders>
              <w:left w:val="single" w:sz="4" w:space="0" w:color="000000"/>
              <w:bottom w:val="single" w:sz="4" w:space="0" w:color="000000"/>
              <w:right w:val="single" w:sz="4" w:space="0" w:color="000000"/>
            </w:tcBorders>
          </w:tcPr>
          <w:p w14:paraId="5C4017C3" w14:textId="77777777" w:rsidR="00F65BCA" w:rsidRDefault="00216117">
            <w:pPr>
              <w:pStyle w:val="TableParagraph"/>
              <w:spacing w:line="91" w:lineRule="exact"/>
              <w:ind w:right="17"/>
              <w:jc w:val="right"/>
              <w:rPr>
                <w:rFonts w:ascii="Calibri" w:hAnsi="Calibri"/>
                <w:b/>
                <w:sz w:val="9"/>
              </w:rPr>
            </w:pPr>
            <w:r>
              <w:rPr>
                <w:rFonts w:ascii="Calibri" w:hAnsi="Calibri"/>
                <w:b/>
                <w:sz w:val="9"/>
              </w:rPr>
              <w:t>79 584 Kč</w:t>
            </w:r>
          </w:p>
        </w:tc>
        <w:tc>
          <w:tcPr>
            <w:tcW w:w="392" w:type="dxa"/>
            <w:tcBorders>
              <w:left w:val="single" w:sz="4" w:space="0" w:color="000000"/>
              <w:bottom w:val="single" w:sz="4" w:space="0" w:color="000000"/>
              <w:right w:val="single" w:sz="4" w:space="0" w:color="000000"/>
            </w:tcBorders>
          </w:tcPr>
          <w:p w14:paraId="21DC6FA1" w14:textId="77777777" w:rsidR="00F65BCA" w:rsidRDefault="00216117">
            <w:pPr>
              <w:pStyle w:val="TableParagraph"/>
              <w:spacing w:line="91" w:lineRule="exact"/>
              <w:ind w:left="39" w:right="-29"/>
              <w:jc w:val="center"/>
              <w:rPr>
                <w:rFonts w:ascii="Calibri" w:hAnsi="Calibri"/>
                <w:b/>
                <w:sz w:val="9"/>
              </w:rPr>
            </w:pPr>
            <w:r>
              <w:rPr>
                <w:rFonts w:ascii="Calibri" w:hAnsi="Calibri"/>
                <w:b/>
                <w:sz w:val="9"/>
              </w:rPr>
              <w:t>13 200</w:t>
            </w:r>
            <w:r>
              <w:rPr>
                <w:rFonts w:ascii="Calibri" w:hAnsi="Calibri"/>
                <w:b/>
                <w:spacing w:val="4"/>
                <w:sz w:val="9"/>
              </w:rPr>
              <w:t xml:space="preserve"> </w:t>
            </w:r>
            <w:r>
              <w:rPr>
                <w:rFonts w:ascii="Calibri" w:hAnsi="Calibri"/>
                <w:b/>
                <w:sz w:val="9"/>
              </w:rPr>
              <w:t>Kč</w:t>
            </w:r>
          </w:p>
        </w:tc>
        <w:tc>
          <w:tcPr>
            <w:tcW w:w="495" w:type="dxa"/>
            <w:tcBorders>
              <w:left w:val="single" w:sz="4" w:space="0" w:color="000000"/>
              <w:bottom w:val="single" w:sz="4" w:space="0" w:color="000000"/>
              <w:right w:val="single" w:sz="4" w:space="0" w:color="000000"/>
            </w:tcBorders>
          </w:tcPr>
          <w:p w14:paraId="20B33A86" w14:textId="77777777" w:rsidR="00F65BCA" w:rsidRDefault="00216117">
            <w:pPr>
              <w:pStyle w:val="TableParagraph"/>
              <w:spacing w:line="91" w:lineRule="exact"/>
              <w:ind w:left="73" w:right="15"/>
              <w:jc w:val="center"/>
              <w:rPr>
                <w:rFonts w:ascii="Calibri" w:hAnsi="Calibri"/>
                <w:b/>
                <w:sz w:val="9"/>
              </w:rPr>
            </w:pPr>
            <w:r>
              <w:rPr>
                <w:rFonts w:ascii="Calibri" w:hAnsi="Calibri"/>
                <w:b/>
                <w:sz w:val="9"/>
              </w:rPr>
              <w:t>11 484 Kč</w:t>
            </w:r>
          </w:p>
        </w:tc>
        <w:tc>
          <w:tcPr>
            <w:tcW w:w="500" w:type="dxa"/>
            <w:tcBorders>
              <w:left w:val="single" w:sz="4" w:space="0" w:color="000000"/>
              <w:bottom w:val="single" w:sz="4" w:space="0" w:color="000000"/>
              <w:right w:val="single" w:sz="4" w:space="0" w:color="000000"/>
            </w:tcBorders>
          </w:tcPr>
          <w:p w14:paraId="16D8E1A7" w14:textId="77777777" w:rsidR="00F65BCA" w:rsidRDefault="00216117">
            <w:pPr>
              <w:pStyle w:val="TableParagraph"/>
              <w:spacing w:line="91" w:lineRule="exact"/>
              <w:ind w:left="78" w:right="16"/>
              <w:jc w:val="center"/>
              <w:rPr>
                <w:rFonts w:ascii="Calibri" w:hAnsi="Calibri"/>
                <w:b/>
                <w:sz w:val="9"/>
              </w:rPr>
            </w:pPr>
            <w:r>
              <w:rPr>
                <w:rFonts w:ascii="Calibri" w:hAnsi="Calibri"/>
                <w:b/>
                <w:sz w:val="9"/>
              </w:rPr>
              <w:t>48 612 Kč</w:t>
            </w:r>
          </w:p>
        </w:tc>
        <w:tc>
          <w:tcPr>
            <w:tcW w:w="500" w:type="dxa"/>
            <w:tcBorders>
              <w:left w:val="single" w:sz="4" w:space="0" w:color="000000"/>
              <w:bottom w:val="single" w:sz="4" w:space="0" w:color="000000"/>
              <w:right w:val="single" w:sz="4" w:space="0" w:color="000000"/>
            </w:tcBorders>
          </w:tcPr>
          <w:p w14:paraId="19557546" w14:textId="77777777" w:rsidR="00F65BCA" w:rsidRDefault="00216117">
            <w:pPr>
              <w:pStyle w:val="TableParagraph"/>
              <w:spacing w:line="91" w:lineRule="exact"/>
              <w:ind w:left="78" w:right="11"/>
              <w:jc w:val="center"/>
              <w:rPr>
                <w:rFonts w:ascii="Calibri" w:hAnsi="Calibri"/>
                <w:b/>
                <w:sz w:val="9"/>
              </w:rPr>
            </w:pPr>
            <w:r>
              <w:rPr>
                <w:rFonts w:ascii="Calibri" w:hAnsi="Calibri"/>
                <w:b/>
                <w:sz w:val="9"/>
              </w:rPr>
              <w:t>1 548 Kč</w:t>
            </w:r>
          </w:p>
        </w:tc>
        <w:tc>
          <w:tcPr>
            <w:tcW w:w="458" w:type="dxa"/>
            <w:tcBorders>
              <w:left w:val="single" w:sz="4" w:space="0" w:color="000000"/>
              <w:bottom w:val="single" w:sz="4" w:space="0" w:color="000000"/>
              <w:right w:val="single" w:sz="4" w:space="0" w:color="000000"/>
            </w:tcBorders>
          </w:tcPr>
          <w:p w14:paraId="7E80BB58" w14:textId="77777777" w:rsidR="00F65BCA" w:rsidRDefault="00216117">
            <w:pPr>
              <w:pStyle w:val="TableParagraph"/>
              <w:spacing w:line="91" w:lineRule="exact"/>
              <w:ind w:left="56" w:right="-29"/>
              <w:rPr>
                <w:rFonts w:ascii="Calibri" w:hAnsi="Calibri"/>
                <w:b/>
                <w:sz w:val="9"/>
              </w:rPr>
            </w:pPr>
            <w:r>
              <w:rPr>
                <w:rFonts w:ascii="Calibri" w:hAnsi="Calibri"/>
                <w:b/>
                <w:sz w:val="9"/>
              </w:rPr>
              <w:t>505 128</w:t>
            </w:r>
            <w:r>
              <w:rPr>
                <w:rFonts w:ascii="Calibri" w:hAnsi="Calibri"/>
                <w:b/>
                <w:spacing w:val="4"/>
                <w:sz w:val="9"/>
              </w:rPr>
              <w:t xml:space="preserve"> </w:t>
            </w:r>
            <w:r>
              <w:rPr>
                <w:rFonts w:ascii="Calibri" w:hAnsi="Calibri"/>
                <w:b/>
                <w:sz w:val="9"/>
              </w:rPr>
              <w:t>Kč</w:t>
            </w:r>
          </w:p>
        </w:tc>
      </w:tr>
      <w:tr w:rsidR="00F65BCA" w14:paraId="78B25B3B" w14:textId="77777777">
        <w:trPr>
          <w:trHeight w:val="112"/>
        </w:trPr>
        <w:tc>
          <w:tcPr>
            <w:tcW w:w="10832" w:type="dxa"/>
            <w:gridSpan w:val="23"/>
            <w:vMerge/>
            <w:tcBorders>
              <w:top w:val="nil"/>
              <w:left w:val="nil"/>
              <w:bottom w:val="nil"/>
              <w:right w:val="single" w:sz="4" w:space="0" w:color="000000"/>
            </w:tcBorders>
          </w:tcPr>
          <w:p w14:paraId="36F8A241" w14:textId="77777777" w:rsidR="00F65BCA" w:rsidRDefault="00F65BCA">
            <w:pPr>
              <w:rPr>
                <w:sz w:val="2"/>
                <w:szCs w:val="2"/>
              </w:rPr>
            </w:pPr>
          </w:p>
        </w:tc>
        <w:tc>
          <w:tcPr>
            <w:tcW w:w="1074" w:type="dxa"/>
            <w:gridSpan w:val="3"/>
            <w:tcBorders>
              <w:top w:val="single" w:sz="4" w:space="0" w:color="000000"/>
              <w:left w:val="single" w:sz="4" w:space="0" w:color="000000"/>
              <w:bottom w:val="single" w:sz="4" w:space="0" w:color="000000"/>
              <w:right w:val="single" w:sz="4" w:space="0" w:color="000000"/>
            </w:tcBorders>
          </w:tcPr>
          <w:p w14:paraId="7B756EAD" w14:textId="77777777" w:rsidR="00F65BCA" w:rsidRDefault="00216117">
            <w:pPr>
              <w:pStyle w:val="TableParagraph"/>
              <w:spacing w:line="92" w:lineRule="exact"/>
              <w:ind w:left="66"/>
              <w:rPr>
                <w:rFonts w:ascii="Calibri" w:hAnsi="Calibri"/>
                <w:b/>
                <w:sz w:val="9"/>
              </w:rPr>
            </w:pPr>
            <w:r>
              <w:rPr>
                <w:rFonts w:ascii="Calibri" w:hAnsi="Calibri"/>
                <w:b/>
                <w:sz w:val="9"/>
              </w:rPr>
              <w:t>Celkové pojistné za 3 roky</w:t>
            </w:r>
          </w:p>
        </w:tc>
        <w:tc>
          <w:tcPr>
            <w:tcW w:w="2322" w:type="dxa"/>
            <w:gridSpan w:val="5"/>
            <w:tcBorders>
              <w:top w:val="single" w:sz="4" w:space="0" w:color="000000"/>
              <w:left w:val="single" w:sz="4" w:space="0" w:color="000000"/>
              <w:bottom w:val="single" w:sz="4" w:space="0" w:color="000000"/>
              <w:right w:val="single" w:sz="4" w:space="0" w:color="000000"/>
            </w:tcBorders>
          </w:tcPr>
          <w:p w14:paraId="6323E599" w14:textId="77777777" w:rsidR="00F65BCA" w:rsidRDefault="00216117">
            <w:pPr>
              <w:pStyle w:val="TableParagraph"/>
              <w:spacing w:line="92" w:lineRule="exact"/>
              <w:ind w:left="928" w:right="875"/>
              <w:jc w:val="center"/>
              <w:rPr>
                <w:rFonts w:ascii="Calibri" w:hAnsi="Calibri"/>
                <w:b/>
                <w:sz w:val="9"/>
              </w:rPr>
            </w:pPr>
            <w:r>
              <w:rPr>
                <w:rFonts w:ascii="Calibri" w:hAnsi="Calibri"/>
                <w:b/>
                <w:sz w:val="9"/>
              </w:rPr>
              <w:t>1 515 384 Kč</w:t>
            </w:r>
          </w:p>
        </w:tc>
        <w:tc>
          <w:tcPr>
            <w:tcW w:w="1458" w:type="dxa"/>
            <w:gridSpan w:val="3"/>
            <w:tcBorders>
              <w:top w:val="single" w:sz="4" w:space="0" w:color="000000"/>
              <w:left w:val="single" w:sz="4" w:space="0" w:color="000000"/>
              <w:bottom w:val="nil"/>
              <w:right w:val="nil"/>
            </w:tcBorders>
          </w:tcPr>
          <w:p w14:paraId="732BF712" w14:textId="77777777" w:rsidR="00F65BCA" w:rsidRDefault="00F65BCA">
            <w:pPr>
              <w:pStyle w:val="TableParagraph"/>
              <w:rPr>
                <w:rFonts w:ascii="Times New Roman"/>
                <w:sz w:val="6"/>
              </w:rPr>
            </w:pPr>
          </w:p>
        </w:tc>
      </w:tr>
    </w:tbl>
    <w:p w14:paraId="6D62E3A3" w14:textId="77777777" w:rsidR="00F65BCA" w:rsidRDefault="00F65BCA">
      <w:pPr>
        <w:pStyle w:val="Zkladntext"/>
        <w:rPr>
          <w:rFonts w:ascii="Calibri"/>
          <w:b/>
          <w:sz w:val="20"/>
        </w:rPr>
      </w:pPr>
    </w:p>
    <w:p w14:paraId="05C3D223" w14:textId="77777777" w:rsidR="00F65BCA" w:rsidRDefault="00F65BCA">
      <w:pPr>
        <w:pStyle w:val="Zkladntext"/>
        <w:rPr>
          <w:rFonts w:ascii="Calibri"/>
          <w:b/>
          <w:sz w:val="20"/>
        </w:rPr>
      </w:pPr>
    </w:p>
    <w:p w14:paraId="44614E2C" w14:textId="77777777" w:rsidR="00F65BCA" w:rsidRDefault="00F65BCA">
      <w:pPr>
        <w:pStyle w:val="Zkladntext"/>
        <w:rPr>
          <w:rFonts w:ascii="Calibri"/>
          <w:b/>
          <w:sz w:val="20"/>
        </w:rPr>
      </w:pPr>
    </w:p>
    <w:p w14:paraId="6400D66F" w14:textId="77777777" w:rsidR="00F65BCA" w:rsidRDefault="00F65BCA">
      <w:pPr>
        <w:pStyle w:val="Zkladntext"/>
        <w:rPr>
          <w:rFonts w:ascii="Calibri"/>
          <w:b/>
          <w:sz w:val="20"/>
        </w:rPr>
      </w:pPr>
    </w:p>
    <w:p w14:paraId="0F2F421C" w14:textId="77777777" w:rsidR="00F65BCA" w:rsidRDefault="00F65BCA">
      <w:pPr>
        <w:pStyle w:val="Zkladntext"/>
        <w:rPr>
          <w:rFonts w:ascii="Calibri"/>
          <w:b/>
          <w:sz w:val="20"/>
        </w:rPr>
      </w:pPr>
    </w:p>
    <w:p w14:paraId="2307E139" w14:textId="77777777" w:rsidR="00F65BCA" w:rsidRDefault="00F65BCA">
      <w:pPr>
        <w:pStyle w:val="Zkladntext"/>
        <w:rPr>
          <w:rFonts w:ascii="Calibri"/>
          <w:b/>
          <w:sz w:val="20"/>
        </w:rPr>
      </w:pPr>
    </w:p>
    <w:p w14:paraId="00581244" w14:textId="77777777" w:rsidR="00F65BCA" w:rsidRDefault="00F65BCA">
      <w:pPr>
        <w:pStyle w:val="Zkladntext"/>
        <w:rPr>
          <w:rFonts w:ascii="Calibri"/>
          <w:b/>
          <w:sz w:val="20"/>
        </w:rPr>
      </w:pPr>
    </w:p>
    <w:p w14:paraId="4DC163EA" w14:textId="77777777" w:rsidR="00F65BCA" w:rsidRDefault="00F65BCA">
      <w:pPr>
        <w:pStyle w:val="Zkladntext"/>
        <w:rPr>
          <w:rFonts w:ascii="Calibri"/>
          <w:b/>
          <w:sz w:val="20"/>
        </w:rPr>
      </w:pPr>
    </w:p>
    <w:p w14:paraId="0F22DE1B" w14:textId="77777777" w:rsidR="00F65BCA" w:rsidRDefault="00F65BCA">
      <w:pPr>
        <w:pStyle w:val="Zkladntext"/>
        <w:rPr>
          <w:rFonts w:ascii="Calibri"/>
          <w:b/>
          <w:sz w:val="20"/>
        </w:rPr>
      </w:pPr>
    </w:p>
    <w:p w14:paraId="47AF685B" w14:textId="77777777" w:rsidR="00F65BCA" w:rsidRDefault="00F65BCA">
      <w:pPr>
        <w:pStyle w:val="Zkladntext"/>
        <w:rPr>
          <w:rFonts w:ascii="Calibri"/>
          <w:b/>
          <w:sz w:val="20"/>
        </w:rPr>
      </w:pPr>
    </w:p>
    <w:p w14:paraId="2F434DE4" w14:textId="77777777" w:rsidR="00F65BCA" w:rsidRDefault="00F65BCA">
      <w:pPr>
        <w:pStyle w:val="Zkladntext"/>
        <w:rPr>
          <w:rFonts w:ascii="Calibri"/>
          <w:b/>
          <w:sz w:val="20"/>
        </w:rPr>
      </w:pPr>
    </w:p>
    <w:p w14:paraId="440FEDB5" w14:textId="77777777" w:rsidR="00F65BCA" w:rsidRDefault="00F65BCA">
      <w:pPr>
        <w:pStyle w:val="Zkladntext"/>
        <w:rPr>
          <w:rFonts w:ascii="Calibri"/>
          <w:b/>
          <w:sz w:val="20"/>
        </w:rPr>
      </w:pPr>
    </w:p>
    <w:p w14:paraId="321F1657" w14:textId="77777777" w:rsidR="00F65BCA" w:rsidRDefault="00F65BCA">
      <w:pPr>
        <w:pStyle w:val="Zkladntext"/>
        <w:rPr>
          <w:rFonts w:ascii="Calibri"/>
          <w:b/>
          <w:sz w:val="20"/>
        </w:rPr>
      </w:pPr>
    </w:p>
    <w:p w14:paraId="6DA8DC6C" w14:textId="77777777" w:rsidR="00F65BCA" w:rsidRDefault="00F65BCA">
      <w:pPr>
        <w:pStyle w:val="Zkladntext"/>
        <w:rPr>
          <w:rFonts w:ascii="Calibri"/>
          <w:b/>
          <w:sz w:val="20"/>
        </w:rPr>
      </w:pPr>
    </w:p>
    <w:p w14:paraId="021D0CC1" w14:textId="77777777" w:rsidR="00F65BCA" w:rsidRDefault="00F65BCA">
      <w:pPr>
        <w:pStyle w:val="Zkladntext"/>
        <w:spacing w:before="10"/>
        <w:rPr>
          <w:rFonts w:ascii="Calibri"/>
          <w:b/>
          <w:sz w:val="23"/>
        </w:rPr>
      </w:pPr>
    </w:p>
    <w:p w14:paraId="2F7F02C9" w14:textId="77777777" w:rsidR="00F65BCA" w:rsidRDefault="00F65BCA">
      <w:pPr>
        <w:pStyle w:val="Zkladntext"/>
        <w:spacing w:before="11"/>
        <w:rPr>
          <w:rFonts w:ascii="Calibri"/>
          <w:b/>
          <w:sz w:val="6"/>
        </w:rPr>
      </w:pPr>
    </w:p>
    <w:p w14:paraId="369A951E" w14:textId="77777777" w:rsidR="00F65BCA" w:rsidRDefault="00216117">
      <w:pPr>
        <w:spacing w:before="1"/>
        <w:ind w:left="126"/>
        <w:rPr>
          <w:rFonts w:ascii="Calibri" w:hAnsi="Calibri"/>
          <w:sz w:val="8"/>
        </w:rPr>
      </w:pPr>
      <w:r>
        <w:rPr>
          <w:rFonts w:ascii="Calibri" w:hAnsi="Calibri"/>
          <w:sz w:val="2"/>
        </w:rPr>
        <w:t xml:space="preserve"># </w:t>
      </w:r>
      <w:r>
        <w:rPr>
          <w:rFonts w:ascii="Calibri" w:hAnsi="Calibri"/>
          <w:sz w:val="8"/>
        </w:rPr>
        <w:t>Důvěrné / Confidential</w:t>
      </w:r>
    </w:p>
    <w:p w14:paraId="63575DF0" w14:textId="77777777" w:rsidR="00F65BCA" w:rsidRDefault="00F65BCA">
      <w:pPr>
        <w:rPr>
          <w:rFonts w:ascii="Calibri" w:hAnsi="Calibri"/>
          <w:sz w:val="8"/>
        </w:rPr>
        <w:sectPr w:rsidR="00F65BCA">
          <w:pgSz w:w="16840" w:h="11900" w:orient="landscape"/>
          <w:pgMar w:top="1100" w:right="560" w:bottom="280" w:left="320" w:header="708" w:footer="708" w:gutter="0"/>
          <w:cols w:space="708"/>
        </w:sectPr>
      </w:pPr>
    </w:p>
    <w:p w14:paraId="29BBA950" w14:textId="77777777" w:rsidR="00F65BCA" w:rsidRDefault="00000000">
      <w:pPr>
        <w:spacing w:before="82" w:after="21"/>
        <w:ind w:left="126"/>
        <w:rPr>
          <w:b/>
          <w:sz w:val="9"/>
        </w:rPr>
      </w:pPr>
      <w:r>
        <w:lastRenderedPageBreak/>
        <w:pict w14:anchorId="78BF2769">
          <v:shapetype id="_x0000_t202" coordsize="21600,21600" o:spt="202" path="m,l,21600r21600,l21600,xe">
            <v:stroke joinstyle="miter"/>
            <v:path gradientshapeok="t" o:connecttype="rect"/>
          </v:shapetype>
          <v:shape id="_x0000_s2570" type="#_x0000_t202" style="position:absolute;left:0;text-align:left;margin-left:280.3pt;margin-top:51.75pt;width:248.2pt;height:11.9pt;z-index:251663360;mso-position-horizontal-relative:page" fillcolor="#f8cbad" strokeweight=".96pt">
            <v:textbox inset="0,0,0,0">
              <w:txbxContent>
                <w:p w14:paraId="5559FDDB" w14:textId="77777777" w:rsidR="00F65BCA" w:rsidRDefault="00216117">
                  <w:pPr>
                    <w:spacing w:before="52"/>
                    <w:ind w:left="159" w:right="151"/>
                    <w:jc w:val="center"/>
                    <w:rPr>
                      <w:b/>
                      <w:sz w:val="9"/>
                    </w:rPr>
                  </w:pPr>
                  <w:r>
                    <w:rPr>
                      <w:b/>
                      <w:sz w:val="9"/>
                    </w:rPr>
                    <w:t>POV Koeficienty:</w:t>
                  </w:r>
                </w:p>
              </w:txbxContent>
            </v:textbox>
            <w10:wrap anchorx="page"/>
          </v:shape>
        </w:pict>
      </w:r>
      <w:r>
        <w:pict w14:anchorId="5857DAE8">
          <v:shape id="_x0000_s2569" type="#_x0000_t202" style="position:absolute;left:0;text-align:left;margin-left:280.1pt;margin-top:71.55pt;width:248.9pt;height:73.95pt;z-index:25166540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8"/>
                    <w:gridCol w:w="1726"/>
                  </w:tblGrid>
                  <w:tr w:rsidR="00F65BCA" w14:paraId="5CDE2CFC" w14:textId="77777777">
                    <w:trPr>
                      <w:trHeight w:val="153"/>
                    </w:trPr>
                    <w:tc>
                      <w:tcPr>
                        <w:tcW w:w="3238" w:type="dxa"/>
                        <w:shd w:val="clear" w:color="auto" w:fill="F8CBAD"/>
                      </w:tcPr>
                      <w:p w14:paraId="7A0CCD23" w14:textId="77777777" w:rsidR="00F65BCA" w:rsidRDefault="00216117">
                        <w:pPr>
                          <w:pStyle w:val="TableParagraph"/>
                          <w:spacing w:before="25"/>
                          <w:ind w:left="1020" w:right="1011"/>
                          <w:jc w:val="center"/>
                          <w:rPr>
                            <w:b/>
                            <w:sz w:val="9"/>
                          </w:rPr>
                        </w:pPr>
                        <w:r>
                          <w:rPr>
                            <w:b/>
                            <w:sz w:val="9"/>
                          </w:rPr>
                          <w:t>Užití vozidla</w:t>
                        </w:r>
                      </w:p>
                    </w:tc>
                    <w:tc>
                      <w:tcPr>
                        <w:tcW w:w="1726" w:type="dxa"/>
                        <w:shd w:val="clear" w:color="auto" w:fill="F8CBAD"/>
                      </w:tcPr>
                      <w:p w14:paraId="5826A03D" w14:textId="77777777" w:rsidR="00F65BCA" w:rsidRDefault="00216117">
                        <w:pPr>
                          <w:pStyle w:val="TableParagraph"/>
                          <w:spacing w:before="25"/>
                          <w:ind w:left="237" w:right="228"/>
                          <w:jc w:val="center"/>
                          <w:rPr>
                            <w:b/>
                            <w:sz w:val="9"/>
                          </w:rPr>
                        </w:pPr>
                        <w:r>
                          <w:rPr>
                            <w:b/>
                            <w:sz w:val="9"/>
                          </w:rPr>
                          <w:t>Koeficient užití vozidla POV</w:t>
                        </w:r>
                      </w:p>
                    </w:tc>
                  </w:tr>
                  <w:tr w:rsidR="00F65BCA" w14:paraId="7B927A26" w14:textId="77777777">
                    <w:trPr>
                      <w:trHeight w:val="153"/>
                    </w:trPr>
                    <w:tc>
                      <w:tcPr>
                        <w:tcW w:w="3238" w:type="dxa"/>
                        <w:shd w:val="clear" w:color="auto" w:fill="FCE4D6"/>
                      </w:tcPr>
                      <w:p w14:paraId="52709DCE" w14:textId="77777777" w:rsidR="00F65BCA" w:rsidRDefault="00216117">
                        <w:pPr>
                          <w:pStyle w:val="TableParagraph"/>
                          <w:spacing w:before="23"/>
                          <w:ind w:left="1026" w:right="1007"/>
                          <w:jc w:val="center"/>
                          <w:rPr>
                            <w:sz w:val="9"/>
                          </w:rPr>
                        </w:pPr>
                        <w:r>
                          <w:rPr>
                            <w:sz w:val="9"/>
                          </w:rPr>
                          <w:t>běžné</w:t>
                        </w:r>
                      </w:p>
                    </w:tc>
                    <w:tc>
                      <w:tcPr>
                        <w:tcW w:w="1726" w:type="dxa"/>
                      </w:tcPr>
                      <w:p w14:paraId="4562D502" w14:textId="77777777" w:rsidR="00F65BCA" w:rsidRDefault="00216117">
                        <w:pPr>
                          <w:pStyle w:val="TableParagraph"/>
                          <w:spacing w:before="23"/>
                          <w:ind w:left="237" w:right="222"/>
                          <w:jc w:val="center"/>
                          <w:rPr>
                            <w:sz w:val="9"/>
                          </w:rPr>
                        </w:pPr>
                        <w:r>
                          <w:rPr>
                            <w:sz w:val="9"/>
                          </w:rPr>
                          <w:t>1,00</w:t>
                        </w:r>
                      </w:p>
                    </w:tc>
                  </w:tr>
                  <w:tr w:rsidR="00F65BCA" w14:paraId="741CF501" w14:textId="77777777">
                    <w:trPr>
                      <w:trHeight w:val="153"/>
                    </w:trPr>
                    <w:tc>
                      <w:tcPr>
                        <w:tcW w:w="3238" w:type="dxa"/>
                        <w:shd w:val="clear" w:color="auto" w:fill="FCE4D6"/>
                      </w:tcPr>
                      <w:p w14:paraId="3D650E7F" w14:textId="77777777" w:rsidR="00F65BCA" w:rsidRDefault="00216117">
                        <w:pPr>
                          <w:pStyle w:val="TableParagraph"/>
                          <w:spacing w:before="23"/>
                          <w:ind w:left="1026" w:right="1010"/>
                          <w:jc w:val="center"/>
                          <w:rPr>
                            <w:sz w:val="9"/>
                          </w:rPr>
                        </w:pPr>
                        <w:r>
                          <w:rPr>
                            <w:sz w:val="9"/>
                          </w:rPr>
                          <w:t>půjčovna</w:t>
                        </w:r>
                      </w:p>
                    </w:tc>
                    <w:tc>
                      <w:tcPr>
                        <w:tcW w:w="1726" w:type="dxa"/>
                      </w:tcPr>
                      <w:p w14:paraId="68EA005E" w14:textId="77777777" w:rsidR="00F65BCA" w:rsidRDefault="00216117">
                        <w:pPr>
                          <w:pStyle w:val="TableParagraph"/>
                          <w:spacing w:before="23"/>
                          <w:ind w:left="237" w:right="222"/>
                          <w:jc w:val="center"/>
                          <w:rPr>
                            <w:sz w:val="9"/>
                          </w:rPr>
                        </w:pPr>
                        <w:r>
                          <w:rPr>
                            <w:sz w:val="9"/>
                          </w:rPr>
                          <w:t>1,50</w:t>
                        </w:r>
                      </w:p>
                    </w:tc>
                  </w:tr>
                  <w:tr w:rsidR="00F65BCA" w14:paraId="3CBE7100" w14:textId="77777777">
                    <w:trPr>
                      <w:trHeight w:val="153"/>
                    </w:trPr>
                    <w:tc>
                      <w:tcPr>
                        <w:tcW w:w="3238" w:type="dxa"/>
                        <w:shd w:val="clear" w:color="auto" w:fill="FCE4D6"/>
                      </w:tcPr>
                      <w:p w14:paraId="15F025EC" w14:textId="77777777" w:rsidR="00F65BCA" w:rsidRDefault="00216117">
                        <w:pPr>
                          <w:pStyle w:val="TableParagraph"/>
                          <w:spacing w:before="23"/>
                          <w:ind w:left="1026" w:right="1010"/>
                          <w:jc w:val="center"/>
                          <w:rPr>
                            <w:sz w:val="9"/>
                          </w:rPr>
                        </w:pPr>
                        <w:r>
                          <w:rPr>
                            <w:sz w:val="9"/>
                          </w:rPr>
                          <w:t>s právem přednostní jízdy</w:t>
                        </w:r>
                      </w:p>
                    </w:tc>
                    <w:tc>
                      <w:tcPr>
                        <w:tcW w:w="1726" w:type="dxa"/>
                      </w:tcPr>
                      <w:p w14:paraId="38EB7A45" w14:textId="77777777" w:rsidR="00F65BCA" w:rsidRDefault="00216117">
                        <w:pPr>
                          <w:pStyle w:val="TableParagraph"/>
                          <w:spacing w:before="23"/>
                          <w:ind w:left="237" w:right="222"/>
                          <w:jc w:val="center"/>
                          <w:rPr>
                            <w:sz w:val="9"/>
                          </w:rPr>
                        </w:pPr>
                        <w:r>
                          <w:rPr>
                            <w:sz w:val="9"/>
                          </w:rPr>
                          <w:t>1,50</w:t>
                        </w:r>
                      </w:p>
                    </w:tc>
                  </w:tr>
                  <w:tr w:rsidR="00F65BCA" w14:paraId="0D2429D3" w14:textId="77777777">
                    <w:trPr>
                      <w:trHeight w:val="153"/>
                    </w:trPr>
                    <w:tc>
                      <w:tcPr>
                        <w:tcW w:w="3238" w:type="dxa"/>
                        <w:shd w:val="clear" w:color="auto" w:fill="FCE4D6"/>
                      </w:tcPr>
                      <w:p w14:paraId="7101CEDC" w14:textId="77777777" w:rsidR="00F65BCA" w:rsidRDefault="00216117">
                        <w:pPr>
                          <w:pStyle w:val="TableParagraph"/>
                          <w:spacing w:before="23"/>
                          <w:ind w:left="1026" w:right="1011"/>
                          <w:jc w:val="center"/>
                          <w:rPr>
                            <w:sz w:val="9"/>
                          </w:rPr>
                        </w:pPr>
                        <w:r>
                          <w:rPr>
                            <w:sz w:val="9"/>
                          </w:rPr>
                          <w:t>přeprava nebezpečných věcí</w:t>
                        </w:r>
                      </w:p>
                    </w:tc>
                    <w:tc>
                      <w:tcPr>
                        <w:tcW w:w="1726" w:type="dxa"/>
                      </w:tcPr>
                      <w:p w14:paraId="6D69C129" w14:textId="77777777" w:rsidR="00F65BCA" w:rsidRDefault="00216117">
                        <w:pPr>
                          <w:pStyle w:val="TableParagraph"/>
                          <w:spacing w:before="23"/>
                          <w:ind w:left="237" w:right="222"/>
                          <w:jc w:val="center"/>
                          <w:rPr>
                            <w:sz w:val="9"/>
                          </w:rPr>
                        </w:pPr>
                        <w:r>
                          <w:rPr>
                            <w:sz w:val="9"/>
                          </w:rPr>
                          <w:t>2,00</w:t>
                        </w:r>
                      </w:p>
                    </w:tc>
                  </w:tr>
                  <w:tr w:rsidR="00F65BCA" w14:paraId="53D1F648" w14:textId="77777777">
                    <w:trPr>
                      <w:trHeight w:val="153"/>
                    </w:trPr>
                    <w:tc>
                      <w:tcPr>
                        <w:tcW w:w="3238" w:type="dxa"/>
                        <w:shd w:val="clear" w:color="auto" w:fill="FCE4D6"/>
                      </w:tcPr>
                      <w:p w14:paraId="3F6534BB" w14:textId="77777777" w:rsidR="00F65BCA" w:rsidRDefault="00216117">
                        <w:pPr>
                          <w:pStyle w:val="TableParagraph"/>
                          <w:spacing w:before="23"/>
                          <w:ind w:left="1026" w:right="1009"/>
                          <w:jc w:val="center"/>
                          <w:rPr>
                            <w:sz w:val="9"/>
                          </w:rPr>
                        </w:pPr>
                        <w:r>
                          <w:rPr>
                            <w:sz w:val="9"/>
                          </w:rPr>
                          <w:t>taxi</w:t>
                        </w:r>
                      </w:p>
                    </w:tc>
                    <w:tc>
                      <w:tcPr>
                        <w:tcW w:w="1726" w:type="dxa"/>
                      </w:tcPr>
                      <w:p w14:paraId="28A4C2CD" w14:textId="77777777" w:rsidR="00F65BCA" w:rsidRDefault="00216117">
                        <w:pPr>
                          <w:pStyle w:val="TableParagraph"/>
                          <w:spacing w:before="23"/>
                          <w:ind w:left="237" w:right="222"/>
                          <w:jc w:val="center"/>
                          <w:rPr>
                            <w:sz w:val="9"/>
                          </w:rPr>
                        </w:pPr>
                        <w:r>
                          <w:rPr>
                            <w:sz w:val="9"/>
                          </w:rPr>
                          <w:t>2,79</w:t>
                        </w:r>
                      </w:p>
                    </w:tc>
                  </w:tr>
                  <w:tr w:rsidR="00F65BCA" w14:paraId="2F31DD8D" w14:textId="77777777">
                    <w:trPr>
                      <w:trHeight w:val="153"/>
                    </w:trPr>
                    <w:tc>
                      <w:tcPr>
                        <w:tcW w:w="3238" w:type="dxa"/>
                        <w:shd w:val="clear" w:color="auto" w:fill="FCE4D6"/>
                      </w:tcPr>
                      <w:p w14:paraId="38E210C2" w14:textId="77777777" w:rsidR="00F65BCA" w:rsidRDefault="00216117">
                        <w:pPr>
                          <w:pStyle w:val="TableParagraph"/>
                          <w:spacing w:before="23"/>
                          <w:ind w:left="1026" w:right="1007"/>
                          <w:jc w:val="center"/>
                          <w:rPr>
                            <w:sz w:val="9"/>
                          </w:rPr>
                        </w:pPr>
                        <w:r>
                          <w:rPr>
                            <w:sz w:val="9"/>
                          </w:rPr>
                          <w:t>veterán</w:t>
                        </w:r>
                      </w:p>
                    </w:tc>
                    <w:tc>
                      <w:tcPr>
                        <w:tcW w:w="1726" w:type="dxa"/>
                      </w:tcPr>
                      <w:p w14:paraId="53A9ABD5" w14:textId="77777777" w:rsidR="00F65BCA" w:rsidRDefault="00216117">
                        <w:pPr>
                          <w:pStyle w:val="TableParagraph"/>
                          <w:spacing w:before="23"/>
                          <w:ind w:left="237" w:right="222"/>
                          <w:jc w:val="center"/>
                          <w:rPr>
                            <w:sz w:val="9"/>
                          </w:rPr>
                        </w:pPr>
                        <w:r>
                          <w:rPr>
                            <w:sz w:val="9"/>
                          </w:rPr>
                          <w:t>0,08</w:t>
                        </w:r>
                      </w:p>
                    </w:tc>
                  </w:tr>
                  <w:tr w:rsidR="00F65BCA" w14:paraId="51128EA6" w14:textId="77777777">
                    <w:trPr>
                      <w:trHeight w:val="153"/>
                    </w:trPr>
                    <w:tc>
                      <w:tcPr>
                        <w:tcW w:w="3238" w:type="dxa"/>
                        <w:shd w:val="clear" w:color="auto" w:fill="FCE4D6"/>
                      </w:tcPr>
                      <w:p w14:paraId="270D3587" w14:textId="77777777" w:rsidR="00F65BCA" w:rsidRDefault="00216117">
                        <w:pPr>
                          <w:pStyle w:val="TableParagraph"/>
                          <w:spacing w:before="23"/>
                          <w:ind w:left="1026" w:right="1009"/>
                          <w:jc w:val="center"/>
                          <w:rPr>
                            <w:sz w:val="9"/>
                          </w:rPr>
                        </w:pPr>
                        <w:r>
                          <w:rPr>
                            <w:sz w:val="9"/>
                          </w:rPr>
                          <w:t>trvale manipulační (ZTMRZ)</w:t>
                        </w:r>
                      </w:p>
                    </w:tc>
                    <w:tc>
                      <w:tcPr>
                        <w:tcW w:w="1726" w:type="dxa"/>
                      </w:tcPr>
                      <w:p w14:paraId="40CB4493" w14:textId="77777777" w:rsidR="00F65BCA" w:rsidRDefault="00216117">
                        <w:pPr>
                          <w:pStyle w:val="TableParagraph"/>
                          <w:spacing w:before="23"/>
                          <w:ind w:left="237" w:right="222"/>
                          <w:jc w:val="center"/>
                          <w:rPr>
                            <w:sz w:val="9"/>
                          </w:rPr>
                        </w:pPr>
                        <w:r>
                          <w:rPr>
                            <w:sz w:val="9"/>
                          </w:rPr>
                          <w:t>1,00</w:t>
                        </w:r>
                      </w:p>
                    </w:tc>
                  </w:tr>
                  <w:tr w:rsidR="00F65BCA" w14:paraId="380103F8" w14:textId="77777777">
                    <w:trPr>
                      <w:trHeight w:val="153"/>
                    </w:trPr>
                    <w:tc>
                      <w:tcPr>
                        <w:tcW w:w="3238" w:type="dxa"/>
                        <w:shd w:val="clear" w:color="auto" w:fill="FCE4D6"/>
                      </w:tcPr>
                      <w:p w14:paraId="4FF74893" w14:textId="77777777" w:rsidR="00F65BCA" w:rsidRDefault="00216117">
                        <w:pPr>
                          <w:pStyle w:val="TableParagraph"/>
                          <w:spacing w:before="23"/>
                          <w:ind w:left="1026" w:right="1011"/>
                          <w:jc w:val="center"/>
                          <w:rPr>
                            <w:sz w:val="9"/>
                          </w:rPr>
                        </w:pPr>
                        <w:r>
                          <w:rPr>
                            <w:sz w:val="9"/>
                          </w:rPr>
                          <w:t>závodní automobil</w:t>
                        </w:r>
                      </w:p>
                    </w:tc>
                    <w:tc>
                      <w:tcPr>
                        <w:tcW w:w="1726" w:type="dxa"/>
                      </w:tcPr>
                      <w:p w14:paraId="5CA81A2C" w14:textId="77777777" w:rsidR="00F65BCA" w:rsidRDefault="00216117">
                        <w:pPr>
                          <w:pStyle w:val="TableParagraph"/>
                          <w:spacing w:before="23"/>
                          <w:ind w:left="237" w:right="222"/>
                          <w:jc w:val="center"/>
                          <w:rPr>
                            <w:sz w:val="9"/>
                          </w:rPr>
                        </w:pPr>
                        <w:r>
                          <w:rPr>
                            <w:sz w:val="9"/>
                          </w:rPr>
                          <w:t>1,00</w:t>
                        </w:r>
                      </w:p>
                    </w:tc>
                  </w:tr>
                </w:tbl>
                <w:p w14:paraId="1A020FD9" w14:textId="77777777" w:rsidR="00F65BCA" w:rsidRDefault="00F65BCA">
                  <w:pPr>
                    <w:pStyle w:val="Zkladntext"/>
                  </w:pPr>
                </w:p>
              </w:txbxContent>
            </v:textbox>
            <w10:wrap anchorx="page"/>
          </v:shape>
        </w:pict>
      </w:r>
      <w:r>
        <w:pict w14:anchorId="3D75E88C">
          <v:shape id="_x0000_s2568" type="#_x0000_t202" style="position:absolute;left:0;text-align:left;margin-left:280.1pt;margin-top:191.15pt;width:277.35pt;height:90.25pt;z-index:25166643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8"/>
                    <w:gridCol w:w="1726"/>
                    <w:gridCol w:w="569"/>
                  </w:tblGrid>
                  <w:tr w:rsidR="00F65BCA" w14:paraId="1D45F236" w14:textId="77777777">
                    <w:trPr>
                      <w:trHeight w:val="153"/>
                    </w:trPr>
                    <w:tc>
                      <w:tcPr>
                        <w:tcW w:w="3238" w:type="dxa"/>
                        <w:tcBorders>
                          <w:bottom w:val="nil"/>
                        </w:tcBorders>
                        <w:shd w:val="clear" w:color="auto" w:fill="F8CBAD"/>
                      </w:tcPr>
                      <w:p w14:paraId="51F9EDB5" w14:textId="77777777" w:rsidR="00F65BCA" w:rsidRDefault="00F65BCA">
                        <w:pPr>
                          <w:pStyle w:val="TableParagraph"/>
                          <w:rPr>
                            <w:rFonts w:ascii="Times New Roman"/>
                            <w:sz w:val="8"/>
                          </w:rPr>
                        </w:pPr>
                      </w:p>
                    </w:tc>
                    <w:tc>
                      <w:tcPr>
                        <w:tcW w:w="2295" w:type="dxa"/>
                        <w:gridSpan w:val="2"/>
                        <w:shd w:val="clear" w:color="auto" w:fill="F8CBAD"/>
                      </w:tcPr>
                      <w:p w14:paraId="7C211C41" w14:textId="77777777" w:rsidR="00F65BCA" w:rsidRDefault="00216117">
                        <w:pPr>
                          <w:pStyle w:val="TableParagraph"/>
                          <w:spacing w:before="21"/>
                          <w:ind w:left="649"/>
                          <w:rPr>
                            <w:b/>
                            <w:sz w:val="9"/>
                          </w:rPr>
                        </w:pPr>
                        <w:r>
                          <w:rPr>
                            <w:b/>
                            <w:sz w:val="9"/>
                          </w:rPr>
                          <w:t>Koeficient stáří vozidla</w:t>
                        </w:r>
                      </w:p>
                    </w:tc>
                  </w:tr>
                  <w:tr w:rsidR="00F65BCA" w14:paraId="0744423F" w14:textId="77777777">
                    <w:trPr>
                      <w:trHeight w:val="153"/>
                    </w:trPr>
                    <w:tc>
                      <w:tcPr>
                        <w:tcW w:w="3238" w:type="dxa"/>
                        <w:vMerge w:val="restart"/>
                        <w:tcBorders>
                          <w:top w:val="nil"/>
                        </w:tcBorders>
                        <w:shd w:val="clear" w:color="auto" w:fill="F8CBAD"/>
                      </w:tcPr>
                      <w:p w14:paraId="1F69BA31" w14:textId="77777777" w:rsidR="00F65BCA" w:rsidRDefault="00F65BCA">
                        <w:pPr>
                          <w:pStyle w:val="TableParagraph"/>
                          <w:rPr>
                            <w:rFonts w:ascii="Calibri"/>
                            <w:sz w:val="10"/>
                          </w:rPr>
                        </w:pPr>
                      </w:p>
                      <w:p w14:paraId="3618A299" w14:textId="77777777" w:rsidR="00F65BCA" w:rsidRDefault="00216117">
                        <w:pPr>
                          <w:pStyle w:val="TableParagraph"/>
                          <w:spacing w:before="62"/>
                          <w:ind w:left="1022" w:right="1011"/>
                          <w:jc w:val="center"/>
                          <w:rPr>
                            <w:b/>
                            <w:sz w:val="9"/>
                          </w:rPr>
                        </w:pPr>
                        <w:r>
                          <w:rPr>
                            <w:b/>
                            <w:sz w:val="9"/>
                          </w:rPr>
                          <w:t>Stáří vozidla</w:t>
                        </w:r>
                      </w:p>
                    </w:tc>
                    <w:tc>
                      <w:tcPr>
                        <w:tcW w:w="1726" w:type="dxa"/>
                        <w:shd w:val="clear" w:color="auto" w:fill="FCE4D6"/>
                      </w:tcPr>
                      <w:p w14:paraId="6A229548" w14:textId="77777777" w:rsidR="00F65BCA" w:rsidRDefault="00216117">
                        <w:pPr>
                          <w:pStyle w:val="TableParagraph"/>
                          <w:spacing w:before="25"/>
                          <w:ind w:left="237" w:right="228"/>
                          <w:jc w:val="center"/>
                          <w:rPr>
                            <w:b/>
                            <w:sz w:val="9"/>
                          </w:rPr>
                        </w:pPr>
                        <w:r>
                          <w:rPr>
                            <w:b/>
                            <w:sz w:val="9"/>
                          </w:rPr>
                          <w:t>nákladní automobil nad 3,5 t</w:t>
                        </w:r>
                      </w:p>
                    </w:tc>
                    <w:tc>
                      <w:tcPr>
                        <w:tcW w:w="569" w:type="dxa"/>
                        <w:vMerge w:val="restart"/>
                        <w:shd w:val="clear" w:color="auto" w:fill="FCE4D6"/>
                      </w:tcPr>
                      <w:p w14:paraId="4BC5D2DB" w14:textId="77777777" w:rsidR="00F65BCA" w:rsidRDefault="00F65BCA">
                        <w:pPr>
                          <w:pStyle w:val="TableParagraph"/>
                          <w:rPr>
                            <w:rFonts w:ascii="Calibri"/>
                            <w:sz w:val="10"/>
                          </w:rPr>
                        </w:pPr>
                      </w:p>
                      <w:p w14:paraId="7F370461" w14:textId="77777777" w:rsidR="00F65BCA" w:rsidRDefault="00F65BCA">
                        <w:pPr>
                          <w:pStyle w:val="TableParagraph"/>
                          <w:spacing w:before="9"/>
                          <w:rPr>
                            <w:rFonts w:ascii="Calibri"/>
                            <w:sz w:val="11"/>
                          </w:rPr>
                        </w:pPr>
                      </w:p>
                      <w:p w14:paraId="7CB001DC" w14:textId="77777777" w:rsidR="00F65BCA" w:rsidRDefault="00216117">
                        <w:pPr>
                          <w:pStyle w:val="TableParagraph"/>
                          <w:ind w:left="126"/>
                          <w:rPr>
                            <w:b/>
                            <w:sz w:val="9"/>
                          </w:rPr>
                        </w:pPr>
                        <w:r>
                          <w:rPr>
                            <w:b/>
                            <w:sz w:val="9"/>
                          </w:rPr>
                          <w:t>Ostatní</w:t>
                        </w:r>
                      </w:p>
                    </w:tc>
                  </w:tr>
                  <w:tr w:rsidR="00F65BCA" w14:paraId="3E55FD0A" w14:textId="77777777">
                    <w:trPr>
                      <w:trHeight w:val="153"/>
                    </w:trPr>
                    <w:tc>
                      <w:tcPr>
                        <w:tcW w:w="3238" w:type="dxa"/>
                        <w:vMerge/>
                        <w:tcBorders>
                          <w:top w:val="nil"/>
                        </w:tcBorders>
                        <w:shd w:val="clear" w:color="auto" w:fill="F8CBAD"/>
                      </w:tcPr>
                      <w:p w14:paraId="60AE1EF6" w14:textId="77777777" w:rsidR="00F65BCA" w:rsidRDefault="00F65BCA">
                        <w:pPr>
                          <w:rPr>
                            <w:sz w:val="2"/>
                            <w:szCs w:val="2"/>
                          </w:rPr>
                        </w:pPr>
                      </w:p>
                    </w:tc>
                    <w:tc>
                      <w:tcPr>
                        <w:tcW w:w="1726" w:type="dxa"/>
                        <w:shd w:val="clear" w:color="auto" w:fill="FCE4D6"/>
                      </w:tcPr>
                      <w:p w14:paraId="12E6A66D" w14:textId="77777777" w:rsidR="00F65BCA" w:rsidRDefault="00216117">
                        <w:pPr>
                          <w:pStyle w:val="TableParagraph"/>
                          <w:spacing w:before="25"/>
                          <w:ind w:left="236" w:right="228"/>
                          <w:jc w:val="center"/>
                          <w:rPr>
                            <w:b/>
                            <w:sz w:val="9"/>
                          </w:rPr>
                        </w:pPr>
                        <w:r>
                          <w:rPr>
                            <w:b/>
                            <w:sz w:val="9"/>
                          </w:rPr>
                          <w:t>autobus</w:t>
                        </w:r>
                      </w:p>
                    </w:tc>
                    <w:tc>
                      <w:tcPr>
                        <w:tcW w:w="569" w:type="dxa"/>
                        <w:vMerge/>
                        <w:tcBorders>
                          <w:top w:val="nil"/>
                        </w:tcBorders>
                        <w:shd w:val="clear" w:color="auto" w:fill="FCE4D6"/>
                      </w:tcPr>
                      <w:p w14:paraId="358B5C05" w14:textId="77777777" w:rsidR="00F65BCA" w:rsidRDefault="00F65BCA">
                        <w:pPr>
                          <w:rPr>
                            <w:sz w:val="2"/>
                            <w:szCs w:val="2"/>
                          </w:rPr>
                        </w:pPr>
                      </w:p>
                    </w:tc>
                  </w:tr>
                  <w:tr w:rsidR="00F65BCA" w14:paraId="6F94C56B" w14:textId="77777777">
                    <w:trPr>
                      <w:trHeight w:val="153"/>
                    </w:trPr>
                    <w:tc>
                      <w:tcPr>
                        <w:tcW w:w="3238" w:type="dxa"/>
                        <w:vMerge/>
                        <w:tcBorders>
                          <w:top w:val="nil"/>
                        </w:tcBorders>
                        <w:shd w:val="clear" w:color="auto" w:fill="F8CBAD"/>
                      </w:tcPr>
                      <w:p w14:paraId="03D93E94" w14:textId="77777777" w:rsidR="00F65BCA" w:rsidRDefault="00F65BCA">
                        <w:pPr>
                          <w:rPr>
                            <w:sz w:val="2"/>
                            <w:szCs w:val="2"/>
                          </w:rPr>
                        </w:pPr>
                      </w:p>
                    </w:tc>
                    <w:tc>
                      <w:tcPr>
                        <w:tcW w:w="1726" w:type="dxa"/>
                        <w:shd w:val="clear" w:color="auto" w:fill="FCE4D6"/>
                      </w:tcPr>
                      <w:p w14:paraId="4042745B" w14:textId="77777777" w:rsidR="00F65BCA" w:rsidRDefault="00216117">
                        <w:pPr>
                          <w:pStyle w:val="TableParagraph"/>
                          <w:spacing w:before="25"/>
                          <w:ind w:left="237" w:right="228"/>
                          <w:jc w:val="center"/>
                          <w:rPr>
                            <w:b/>
                            <w:sz w:val="9"/>
                          </w:rPr>
                        </w:pPr>
                        <w:r>
                          <w:rPr>
                            <w:b/>
                            <w:sz w:val="9"/>
                          </w:rPr>
                          <w:t>autobus pro MHD</w:t>
                        </w:r>
                      </w:p>
                    </w:tc>
                    <w:tc>
                      <w:tcPr>
                        <w:tcW w:w="569" w:type="dxa"/>
                        <w:vMerge/>
                        <w:tcBorders>
                          <w:top w:val="nil"/>
                        </w:tcBorders>
                        <w:shd w:val="clear" w:color="auto" w:fill="FCE4D6"/>
                      </w:tcPr>
                      <w:p w14:paraId="50769090" w14:textId="77777777" w:rsidR="00F65BCA" w:rsidRDefault="00F65BCA">
                        <w:pPr>
                          <w:rPr>
                            <w:sz w:val="2"/>
                            <w:szCs w:val="2"/>
                          </w:rPr>
                        </w:pPr>
                      </w:p>
                    </w:tc>
                  </w:tr>
                  <w:tr w:rsidR="00F65BCA" w14:paraId="02DD423A" w14:textId="77777777">
                    <w:trPr>
                      <w:trHeight w:val="153"/>
                    </w:trPr>
                    <w:tc>
                      <w:tcPr>
                        <w:tcW w:w="3238" w:type="dxa"/>
                        <w:vMerge/>
                        <w:tcBorders>
                          <w:top w:val="nil"/>
                        </w:tcBorders>
                        <w:shd w:val="clear" w:color="auto" w:fill="F8CBAD"/>
                      </w:tcPr>
                      <w:p w14:paraId="3966834C" w14:textId="77777777" w:rsidR="00F65BCA" w:rsidRDefault="00F65BCA">
                        <w:pPr>
                          <w:rPr>
                            <w:sz w:val="2"/>
                            <w:szCs w:val="2"/>
                          </w:rPr>
                        </w:pPr>
                      </w:p>
                    </w:tc>
                    <w:tc>
                      <w:tcPr>
                        <w:tcW w:w="1726" w:type="dxa"/>
                        <w:shd w:val="clear" w:color="auto" w:fill="FCE4D6"/>
                      </w:tcPr>
                      <w:p w14:paraId="2CC7C3F7" w14:textId="77777777" w:rsidR="00F65BCA" w:rsidRDefault="00216117">
                        <w:pPr>
                          <w:pStyle w:val="TableParagraph"/>
                          <w:spacing w:before="25"/>
                          <w:ind w:left="236" w:right="228"/>
                          <w:jc w:val="center"/>
                          <w:rPr>
                            <w:b/>
                            <w:sz w:val="9"/>
                          </w:rPr>
                        </w:pPr>
                        <w:r>
                          <w:rPr>
                            <w:b/>
                            <w:sz w:val="9"/>
                          </w:rPr>
                          <w:t>trolejbus</w:t>
                        </w:r>
                      </w:p>
                    </w:tc>
                    <w:tc>
                      <w:tcPr>
                        <w:tcW w:w="569" w:type="dxa"/>
                        <w:vMerge/>
                        <w:tcBorders>
                          <w:top w:val="nil"/>
                        </w:tcBorders>
                        <w:shd w:val="clear" w:color="auto" w:fill="FCE4D6"/>
                      </w:tcPr>
                      <w:p w14:paraId="06B5ADE8" w14:textId="77777777" w:rsidR="00F65BCA" w:rsidRDefault="00F65BCA">
                        <w:pPr>
                          <w:rPr>
                            <w:sz w:val="2"/>
                            <w:szCs w:val="2"/>
                          </w:rPr>
                        </w:pPr>
                      </w:p>
                    </w:tc>
                  </w:tr>
                  <w:tr w:rsidR="00F65BCA" w14:paraId="29508DDE" w14:textId="77777777">
                    <w:trPr>
                      <w:trHeight w:val="153"/>
                    </w:trPr>
                    <w:tc>
                      <w:tcPr>
                        <w:tcW w:w="3238" w:type="dxa"/>
                        <w:shd w:val="clear" w:color="auto" w:fill="FCE4D6"/>
                      </w:tcPr>
                      <w:p w14:paraId="7D424D3C" w14:textId="77777777" w:rsidR="00F65BCA" w:rsidRDefault="00216117">
                        <w:pPr>
                          <w:pStyle w:val="TableParagraph"/>
                          <w:spacing w:before="23"/>
                          <w:ind w:left="1480"/>
                          <w:rPr>
                            <w:sz w:val="9"/>
                          </w:rPr>
                        </w:pPr>
                        <w:r>
                          <w:rPr>
                            <w:sz w:val="9"/>
                          </w:rPr>
                          <w:t>0-1 rok</w:t>
                        </w:r>
                      </w:p>
                    </w:tc>
                    <w:tc>
                      <w:tcPr>
                        <w:tcW w:w="1726" w:type="dxa"/>
                      </w:tcPr>
                      <w:p w14:paraId="7399F068" w14:textId="77777777" w:rsidR="00F65BCA" w:rsidRDefault="00216117">
                        <w:pPr>
                          <w:pStyle w:val="TableParagraph"/>
                          <w:spacing w:before="23"/>
                          <w:ind w:left="237" w:right="221"/>
                          <w:jc w:val="center"/>
                          <w:rPr>
                            <w:sz w:val="9"/>
                          </w:rPr>
                        </w:pPr>
                        <w:r>
                          <w:rPr>
                            <w:sz w:val="9"/>
                          </w:rPr>
                          <w:t>1,0000</w:t>
                        </w:r>
                      </w:p>
                    </w:tc>
                    <w:tc>
                      <w:tcPr>
                        <w:tcW w:w="569" w:type="dxa"/>
                      </w:tcPr>
                      <w:p w14:paraId="73A8AF0D" w14:textId="77777777" w:rsidR="00F65BCA" w:rsidRDefault="00216117">
                        <w:pPr>
                          <w:pStyle w:val="TableParagraph"/>
                          <w:spacing w:before="23"/>
                          <w:ind w:left="129" w:right="114"/>
                          <w:jc w:val="center"/>
                          <w:rPr>
                            <w:sz w:val="9"/>
                          </w:rPr>
                        </w:pPr>
                        <w:r>
                          <w:rPr>
                            <w:sz w:val="9"/>
                          </w:rPr>
                          <w:t>1,0000</w:t>
                        </w:r>
                      </w:p>
                    </w:tc>
                  </w:tr>
                  <w:tr w:rsidR="00F65BCA" w14:paraId="6EF97D93" w14:textId="77777777">
                    <w:trPr>
                      <w:trHeight w:val="153"/>
                    </w:trPr>
                    <w:tc>
                      <w:tcPr>
                        <w:tcW w:w="3238" w:type="dxa"/>
                        <w:shd w:val="clear" w:color="auto" w:fill="FCE4D6"/>
                      </w:tcPr>
                      <w:p w14:paraId="125F5924" w14:textId="77777777" w:rsidR="00F65BCA" w:rsidRDefault="00216117">
                        <w:pPr>
                          <w:pStyle w:val="TableParagraph"/>
                          <w:spacing w:before="23"/>
                          <w:ind w:left="1456"/>
                          <w:rPr>
                            <w:sz w:val="9"/>
                          </w:rPr>
                        </w:pPr>
                        <w:r>
                          <w:rPr>
                            <w:sz w:val="9"/>
                          </w:rPr>
                          <w:t>2-3 roky</w:t>
                        </w:r>
                      </w:p>
                    </w:tc>
                    <w:tc>
                      <w:tcPr>
                        <w:tcW w:w="1726" w:type="dxa"/>
                      </w:tcPr>
                      <w:p w14:paraId="6EEB653C" w14:textId="77777777" w:rsidR="00F65BCA" w:rsidRDefault="00216117">
                        <w:pPr>
                          <w:pStyle w:val="TableParagraph"/>
                          <w:spacing w:before="23"/>
                          <w:ind w:left="237" w:right="221"/>
                          <w:jc w:val="center"/>
                          <w:rPr>
                            <w:sz w:val="9"/>
                          </w:rPr>
                        </w:pPr>
                        <w:r>
                          <w:rPr>
                            <w:sz w:val="9"/>
                          </w:rPr>
                          <w:t>0,9524</w:t>
                        </w:r>
                      </w:p>
                    </w:tc>
                    <w:tc>
                      <w:tcPr>
                        <w:tcW w:w="569" w:type="dxa"/>
                      </w:tcPr>
                      <w:p w14:paraId="5797A09D" w14:textId="77777777" w:rsidR="00F65BCA" w:rsidRDefault="00216117">
                        <w:pPr>
                          <w:pStyle w:val="TableParagraph"/>
                          <w:spacing w:before="23"/>
                          <w:ind w:left="129" w:right="114"/>
                          <w:jc w:val="center"/>
                          <w:rPr>
                            <w:sz w:val="9"/>
                          </w:rPr>
                        </w:pPr>
                        <w:r>
                          <w:rPr>
                            <w:sz w:val="9"/>
                          </w:rPr>
                          <w:t>1,0000</w:t>
                        </w:r>
                      </w:p>
                    </w:tc>
                  </w:tr>
                  <w:tr w:rsidR="00F65BCA" w14:paraId="61CB54FD" w14:textId="77777777">
                    <w:trPr>
                      <w:trHeight w:val="153"/>
                    </w:trPr>
                    <w:tc>
                      <w:tcPr>
                        <w:tcW w:w="3238" w:type="dxa"/>
                        <w:shd w:val="clear" w:color="auto" w:fill="FCE4D6"/>
                      </w:tcPr>
                      <w:p w14:paraId="745368BC" w14:textId="77777777" w:rsidR="00F65BCA" w:rsidRDefault="00216117">
                        <w:pPr>
                          <w:pStyle w:val="TableParagraph"/>
                          <w:spacing w:before="23"/>
                          <w:ind w:left="1471"/>
                          <w:rPr>
                            <w:sz w:val="9"/>
                          </w:rPr>
                        </w:pPr>
                        <w:r>
                          <w:rPr>
                            <w:sz w:val="9"/>
                          </w:rPr>
                          <w:t>4-10 let</w:t>
                        </w:r>
                      </w:p>
                    </w:tc>
                    <w:tc>
                      <w:tcPr>
                        <w:tcW w:w="1726" w:type="dxa"/>
                      </w:tcPr>
                      <w:p w14:paraId="3EE5E9B6" w14:textId="77777777" w:rsidR="00F65BCA" w:rsidRDefault="00216117">
                        <w:pPr>
                          <w:pStyle w:val="TableParagraph"/>
                          <w:spacing w:before="23"/>
                          <w:ind w:left="237" w:right="221"/>
                          <w:jc w:val="center"/>
                          <w:rPr>
                            <w:sz w:val="9"/>
                          </w:rPr>
                        </w:pPr>
                        <w:r>
                          <w:rPr>
                            <w:sz w:val="9"/>
                          </w:rPr>
                          <w:t>0,9524</w:t>
                        </w:r>
                      </w:p>
                    </w:tc>
                    <w:tc>
                      <w:tcPr>
                        <w:tcW w:w="569" w:type="dxa"/>
                      </w:tcPr>
                      <w:p w14:paraId="1543B6DF" w14:textId="77777777" w:rsidR="00F65BCA" w:rsidRDefault="00216117">
                        <w:pPr>
                          <w:pStyle w:val="TableParagraph"/>
                          <w:spacing w:before="23"/>
                          <w:ind w:left="129" w:right="114"/>
                          <w:jc w:val="center"/>
                          <w:rPr>
                            <w:sz w:val="9"/>
                          </w:rPr>
                        </w:pPr>
                        <w:r>
                          <w:rPr>
                            <w:sz w:val="9"/>
                          </w:rPr>
                          <w:t>1,0000</w:t>
                        </w:r>
                      </w:p>
                    </w:tc>
                  </w:tr>
                  <w:tr w:rsidR="00F65BCA" w14:paraId="3A2A1569" w14:textId="77777777">
                    <w:trPr>
                      <w:trHeight w:val="153"/>
                    </w:trPr>
                    <w:tc>
                      <w:tcPr>
                        <w:tcW w:w="3238" w:type="dxa"/>
                        <w:shd w:val="clear" w:color="auto" w:fill="FCE4D6"/>
                      </w:tcPr>
                      <w:p w14:paraId="50884ECB" w14:textId="77777777" w:rsidR="00F65BCA" w:rsidRDefault="00216117">
                        <w:pPr>
                          <w:pStyle w:val="TableParagraph"/>
                          <w:spacing w:before="23"/>
                          <w:ind w:left="1444"/>
                          <w:rPr>
                            <w:sz w:val="9"/>
                          </w:rPr>
                        </w:pPr>
                        <w:r>
                          <w:rPr>
                            <w:sz w:val="9"/>
                          </w:rPr>
                          <w:t>11-17 let</w:t>
                        </w:r>
                      </w:p>
                    </w:tc>
                    <w:tc>
                      <w:tcPr>
                        <w:tcW w:w="1726" w:type="dxa"/>
                      </w:tcPr>
                      <w:p w14:paraId="18439645" w14:textId="77777777" w:rsidR="00F65BCA" w:rsidRDefault="00216117">
                        <w:pPr>
                          <w:pStyle w:val="TableParagraph"/>
                          <w:spacing w:before="23"/>
                          <w:ind w:left="237" w:right="221"/>
                          <w:jc w:val="center"/>
                          <w:rPr>
                            <w:sz w:val="9"/>
                          </w:rPr>
                        </w:pPr>
                        <w:r>
                          <w:rPr>
                            <w:sz w:val="9"/>
                          </w:rPr>
                          <w:t>0,9048</w:t>
                        </w:r>
                      </w:p>
                    </w:tc>
                    <w:tc>
                      <w:tcPr>
                        <w:tcW w:w="569" w:type="dxa"/>
                      </w:tcPr>
                      <w:p w14:paraId="73E88458" w14:textId="77777777" w:rsidR="00F65BCA" w:rsidRDefault="00216117">
                        <w:pPr>
                          <w:pStyle w:val="TableParagraph"/>
                          <w:spacing w:before="23"/>
                          <w:ind w:left="129" w:right="114"/>
                          <w:jc w:val="center"/>
                          <w:rPr>
                            <w:sz w:val="9"/>
                          </w:rPr>
                        </w:pPr>
                        <w:r>
                          <w:rPr>
                            <w:sz w:val="9"/>
                          </w:rPr>
                          <w:t>1,0000</w:t>
                        </w:r>
                      </w:p>
                    </w:tc>
                  </w:tr>
                  <w:tr w:rsidR="00F65BCA" w14:paraId="39A22F13" w14:textId="77777777">
                    <w:trPr>
                      <w:trHeight w:val="153"/>
                    </w:trPr>
                    <w:tc>
                      <w:tcPr>
                        <w:tcW w:w="3238" w:type="dxa"/>
                        <w:shd w:val="clear" w:color="auto" w:fill="FCE4D6"/>
                      </w:tcPr>
                      <w:p w14:paraId="7B843748" w14:textId="77777777" w:rsidR="00F65BCA" w:rsidRDefault="00216117">
                        <w:pPr>
                          <w:pStyle w:val="TableParagraph"/>
                          <w:spacing w:before="23"/>
                          <w:ind w:left="1444"/>
                          <w:rPr>
                            <w:sz w:val="9"/>
                          </w:rPr>
                        </w:pPr>
                        <w:r>
                          <w:rPr>
                            <w:sz w:val="9"/>
                          </w:rPr>
                          <w:t>18-24 let</w:t>
                        </w:r>
                      </w:p>
                    </w:tc>
                    <w:tc>
                      <w:tcPr>
                        <w:tcW w:w="1726" w:type="dxa"/>
                      </w:tcPr>
                      <w:p w14:paraId="1A49B2B4" w14:textId="77777777" w:rsidR="00F65BCA" w:rsidRDefault="00216117">
                        <w:pPr>
                          <w:pStyle w:val="TableParagraph"/>
                          <w:spacing w:before="23"/>
                          <w:ind w:left="237" w:right="221"/>
                          <w:jc w:val="center"/>
                          <w:rPr>
                            <w:sz w:val="9"/>
                          </w:rPr>
                        </w:pPr>
                        <w:r>
                          <w:rPr>
                            <w:sz w:val="9"/>
                          </w:rPr>
                          <w:t>0,8571</w:t>
                        </w:r>
                      </w:p>
                    </w:tc>
                    <w:tc>
                      <w:tcPr>
                        <w:tcW w:w="569" w:type="dxa"/>
                      </w:tcPr>
                      <w:p w14:paraId="18596C73" w14:textId="77777777" w:rsidR="00F65BCA" w:rsidRDefault="00216117">
                        <w:pPr>
                          <w:pStyle w:val="TableParagraph"/>
                          <w:spacing w:before="23"/>
                          <w:ind w:left="129" w:right="114"/>
                          <w:jc w:val="center"/>
                          <w:rPr>
                            <w:sz w:val="9"/>
                          </w:rPr>
                        </w:pPr>
                        <w:r>
                          <w:rPr>
                            <w:sz w:val="9"/>
                          </w:rPr>
                          <w:t>1,0000</w:t>
                        </w:r>
                      </w:p>
                    </w:tc>
                  </w:tr>
                  <w:tr w:rsidR="00F65BCA" w14:paraId="5FCBAD95" w14:textId="77777777">
                    <w:trPr>
                      <w:trHeight w:val="153"/>
                    </w:trPr>
                    <w:tc>
                      <w:tcPr>
                        <w:tcW w:w="3238" w:type="dxa"/>
                        <w:shd w:val="clear" w:color="auto" w:fill="FCE4D6"/>
                      </w:tcPr>
                      <w:p w14:paraId="1DF4C7B1" w14:textId="77777777" w:rsidR="00F65BCA" w:rsidRDefault="00216117">
                        <w:pPr>
                          <w:pStyle w:val="TableParagraph"/>
                          <w:spacing w:before="23"/>
                          <w:ind w:left="1485"/>
                          <w:rPr>
                            <w:sz w:val="9"/>
                          </w:rPr>
                        </w:pPr>
                        <w:r>
                          <w:rPr>
                            <w:sz w:val="9"/>
                          </w:rPr>
                          <w:t>&gt;25 let</w:t>
                        </w:r>
                      </w:p>
                    </w:tc>
                    <w:tc>
                      <w:tcPr>
                        <w:tcW w:w="1726" w:type="dxa"/>
                      </w:tcPr>
                      <w:p w14:paraId="529D9855" w14:textId="77777777" w:rsidR="00F65BCA" w:rsidRDefault="00216117">
                        <w:pPr>
                          <w:pStyle w:val="TableParagraph"/>
                          <w:spacing w:before="23"/>
                          <w:ind w:left="237" w:right="221"/>
                          <w:jc w:val="center"/>
                          <w:rPr>
                            <w:sz w:val="9"/>
                          </w:rPr>
                        </w:pPr>
                        <w:r>
                          <w:rPr>
                            <w:sz w:val="9"/>
                          </w:rPr>
                          <w:t>0,8095</w:t>
                        </w:r>
                      </w:p>
                    </w:tc>
                    <w:tc>
                      <w:tcPr>
                        <w:tcW w:w="569" w:type="dxa"/>
                      </w:tcPr>
                      <w:p w14:paraId="02E9D637" w14:textId="77777777" w:rsidR="00F65BCA" w:rsidRDefault="00216117">
                        <w:pPr>
                          <w:pStyle w:val="TableParagraph"/>
                          <w:spacing w:before="23"/>
                          <w:ind w:left="129" w:right="114"/>
                          <w:jc w:val="center"/>
                          <w:rPr>
                            <w:sz w:val="9"/>
                          </w:rPr>
                        </w:pPr>
                        <w:r>
                          <w:rPr>
                            <w:sz w:val="9"/>
                          </w:rPr>
                          <w:t>1,0000</w:t>
                        </w:r>
                      </w:p>
                    </w:tc>
                  </w:tr>
                </w:tbl>
                <w:p w14:paraId="23CF106A" w14:textId="77777777" w:rsidR="00F65BCA" w:rsidRDefault="00F65BCA">
                  <w:pPr>
                    <w:pStyle w:val="Zkladntext"/>
                  </w:pPr>
                </w:p>
              </w:txbxContent>
            </v:textbox>
            <w10:wrap anchorx="page" anchory="page"/>
          </v:shape>
        </w:pict>
      </w:r>
      <w:r w:rsidR="00216117">
        <w:rPr>
          <w:b/>
          <w:sz w:val="9"/>
        </w:rPr>
        <w:t>Příloha č. 2 - Sazebník</w:t>
      </w:r>
    </w:p>
    <w:p w14:paraId="1F5B35D6" w14:textId="77777777" w:rsidR="00F65BCA" w:rsidRDefault="00000000">
      <w:pPr>
        <w:pStyle w:val="Nadpis6"/>
        <w:tabs>
          <w:tab w:val="left" w:pos="5087"/>
        </w:tabs>
        <w:ind w:left="97"/>
      </w:pPr>
      <w:r>
        <w:pict w14:anchorId="61C7B091">
          <v:shape id="_x0000_s2595" type="#_x0000_t202" style="width:221.55pt;height:33.15pt;mso-left-percent:-10001;mso-top-percent:-10001;mso-position-horizontal:absolute;mso-position-horizontal-relative:char;mso-position-vertical:absolute;mso-position-vertical-relative:line;mso-left-percent:-10001;mso-top-percent:-10001" fillcolor="#f8cbad" strokeweight=".96pt">
            <v:textbox inset="0,0,0,0">
              <w:txbxContent>
                <w:p w14:paraId="20A8B41E" w14:textId="77777777" w:rsidR="00F65BCA" w:rsidRDefault="00F65BCA">
                  <w:pPr>
                    <w:pStyle w:val="Zkladntext"/>
                    <w:spacing w:before="8"/>
                    <w:rPr>
                      <w:b/>
                      <w:sz w:val="12"/>
                    </w:rPr>
                  </w:pPr>
                </w:p>
                <w:p w14:paraId="0312946E" w14:textId="77777777" w:rsidR="00F65BCA" w:rsidRDefault="00216117">
                  <w:pPr>
                    <w:ind w:left="768" w:right="767"/>
                    <w:jc w:val="center"/>
                    <w:rPr>
                      <w:b/>
                      <w:sz w:val="9"/>
                    </w:rPr>
                  </w:pPr>
                  <w:r>
                    <w:rPr>
                      <w:b/>
                      <w:sz w:val="9"/>
                    </w:rPr>
                    <w:t>Sazby POV:</w:t>
                  </w:r>
                </w:p>
                <w:p w14:paraId="7AD4F5E8" w14:textId="77777777" w:rsidR="00F65BCA" w:rsidRDefault="00F65BCA">
                  <w:pPr>
                    <w:pStyle w:val="Zkladntext"/>
                    <w:spacing w:before="10"/>
                    <w:rPr>
                      <w:b/>
                      <w:sz w:val="11"/>
                    </w:rPr>
                  </w:pPr>
                </w:p>
                <w:p w14:paraId="56EABD18" w14:textId="77777777" w:rsidR="00F65BCA" w:rsidRDefault="00216117">
                  <w:pPr>
                    <w:ind w:left="768" w:right="768"/>
                    <w:jc w:val="center"/>
                    <w:rPr>
                      <w:b/>
                      <w:sz w:val="9"/>
                    </w:rPr>
                  </w:pPr>
                  <w:r>
                    <w:rPr>
                      <w:b/>
                      <w:sz w:val="9"/>
                    </w:rPr>
                    <w:t>Limit: 100/100 mil. Kč; Užití: běžné; Dlouhodobost: jiné; Stáří: 0 let</w:t>
                  </w:r>
                </w:p>
              </w:txbxContent>
            </v:textbox>
            <w10:anchorlock/>
          </v:shape>
        </w:pict>
      </w:r>
      <w:r w:rsidR="00216117">
        <w:tab/>
      </w:r>
      <w:r>
        <w:pict w14:anchorId="2074D32C">
          <v:shape id="_x0000_s2594" type="#_x0000_t202" style="width:248.2pt;height:33.15pt;mso-left-percent:-10001;mso-top-percent:-10001;mso-position-horizontal:absolute;mso-position-horizontal-relative:char;mso-position-vertical:absolute;mso-position-vertical-relative:line;mso-left-percent:-10001;mso-top-percent:-10001" fillcolor="#ffc" strokeweight=".96pt">
            <v:textbox inset="0,0,0,0">
              <w:txbxContent>
                <w:p w14:paraId="701E4BC6" w14:textId="77777777" w:rsidR="00F65BCA" w:rsidRDefault="00216117">
                  <w:pPr>
                    <w:spacing w:before="86"/>
                    <w:ind w:left="157" w:right="156"/>
                    <w:jc w:val="center"/>
                    <w:rPr>
                      <w:b/>
                      <w:sz w:val="9"/>
                    </w:rPr>
                  </w:pPr>
                  <w:r>
                    <w:rPr>
                      <w:b/>
                      <w:sz w:val="9"/>
                    </w:rPr>
                    <w:t>VÝPOČET:</w:t>
                  </w:r>
                </w:p>
                <w:p w14:paraId="554DDCBF" w14:textId="77777777" w:rsidR="00F65BCA" w:rsidRDefault="00F65BCA">
                  <w:pPr>
                    <w:pStyle w:val="Zkladntext"/>
                    <w:spacing w:before="10"/>
                    <w:rPr>
                      <w:b/>
                      <w:sz w:val="11"/>
                    </w:rPr>
                  </w:pPr>
                </w:p>
                <w:p w14:paraId="271A61EE" w14:textId="77777777" w:rsidR="00F65BCA" w:rsidRDefault="00216117">
                  <w:pPr>
                    <w:spacing w:line="278" w:lineRule="auto"/>
                    <w:ind w:left="159" w:right="156"/>
                    <w:jc w:val="center"/>
                    <w:rPr>
                      <w:b/>
                      <w:sz w:val="9"/>
                    </w:rPr>
                  </w:pPr>
                  <w:r>
                    <w:rPr>
                      <w:b/>
                      <w:sz w:val="9"/>
                    </w:rPr>
                    <w:t xml:space="preserve">Pojistné POV = </w:t>
                  </w:r>
                  <w:r>
                    <w:rPr>
                      <w:b/>
                      <w:sz w:val="9"/>
                    </w:rPr>
                    <w:t>ZAOKROUHLIT(Roční pojistné * Koeficient užití vozidla POV * Koeficient stáří vozidla / 12; 0 DESETINNÝCH MÍST) * 12</w:t>
                  </w:r>
                </w:p>
              </w:txbxContent>
            </v:textbox>
            <w10:anchorlock/>
          </v:shape>
        </w:pict>
      </w:r>
    </w:p>
    <w:p w14:paraId="092D0912" w14:textId="77777777" w:rsidR="00F65BCA" w:rsidRDefault="00F65BCA">
      <w:pPr>
        <w:pStyle w:val="Zkladntext"/>
        <w:rPr>
          <w:b/>
          <w:sz w:val="20"/>
        </w:rPr>
      </w:pPr>
    </w:p>
    <w:p w14:paraId="1FC19F1A" w14:textId="77777777" w:rsidR="00F65BCA" w:rsidRDefault="00F65BCA">
      <w:pPr>
        <w:pStyle w:val="Zkladntext"/>
        <w:rPr>
          <w:b/>
          <w:sz w:val="20"/>
        </w:rPr>
      </w:pPr>
    </w:p>
    <w:p w14:paraId="62017EB0" w14:textId="77777777" w:rsidR="00F65BCA" w:rsidRDefault="00F65BCA">
      <w:pPr>
        <w:pStyle w:val="Zkladntext"/>
        <w:rPr>
          <w:b/>
          <w:sz w:val="20"/>
        </w:rPr>
      </w:pPr>
    </w:p>
    <w:p w14:paraId="6E660266" w14:textId="77777777" w:rsidR="00F65BCA" w:rsidRDefault="00F65BCA">
      <w:pPr>
        <w:pStyle w:val="Zkladntext"/>
        <w:rPr>
          <w:b/>
          <w:sz w:val="20"/>
        </w:rPr>
      </w:pPr>
    </w:p>
    <w:p w14:paraId="5A76E270" w14:textId="77777777" w:rsidR="00F65BCA" w:rsidRDefault="00F65BCA">
      <w:pPr>
        <w:pStyle w:val="Zkladntext"/>
        <w:rPr>
          <w:b/>
          <w:sz w:val="20"/>
        </w:rPr>
      </w:pPr>
    </w:p>
    <w:p w14:paraId="1DD9C55F" w14:textId="77777777" w:rsidR="00F65BCA" w:rsidRDefault="00F65BCA">
      <w:pPr>
        <w:pStyle w:val="Zkladntext"/>
        <w:rPr>
          <w:b/>
          <w:sz w:val="20"/>
        </w:rPr>
      </w:pPr>
    </w:p>
    <w:p w14:paraId="46758974" w14:textId="77777777" w:rsidR="00F65BCA" w:rsidRDefault="00F65BCA">
      <w:pPr>
        <w:pStyle w:val="Zkladntext"/>
        <w:rPr>
          <w:b/>
          <w:sz w:val="20"/>
        </w:rPr>
      </w:pPr>
    </w:p>
    <w:p w14:paraId="26270CF8" w14:textId="77777777" w:rsidR="00F65BCA" w:rsidRDefault="00F65BCA">
      <w:pPr>
        <w:pStyle w:val="Zkladntext"/>
        <w:rPr>
          <w:b/>
          <w:sz w:val="20"/>
        </w:rPr>
      </w:pPr>
    </w:p>
    <w:p w14:paraId="43295A2A" w14:textId="77777777" w:rsidR="00F65BCA" w:rsidRDefault="00F65BCA">
      <w:pPr>
        <w:pStyle w:val="Zkladntext"/>
        <w:rPr>
          <w:b/>
          <w:sz w:val="20"/>
        </w:rPr>
      </w:pPr>
    </w:p>
    <w:p w14:paraId="2474CF75" w14:textId="77777777" w:rsidR="00F65BCA" w:rsidRDefault="00F65BCA">
      <w:pPr>
        <w:pStyle w:val="Zkladntext"/>
        <w:rPr>
          <w:b/>
          <w:sz w:val="20"/>
        </w:rPr>
      </w:pPr>
    </w:p>
    <w:p w14:paraId="304778F2" w14:textId="77777777" w:rsidR="00F65BCA" w:rsidRDefault="00F65BCA">
      <w:pPr>
        <w:pStyle w:val="Zkladntext"/>
        <w:rPr>
          <w:b/>
          <w:sz w:val="20"/>
        </w:rPr>
      </w:pPr>
    </w:p>
    <w:p w14:paraId="40F7B3A8" w14:textId="77777777" w:rsidR="00F65BCA" w:rsidRDefault="00F65BCA">
      <w:pPr>
        <w:pStyle w:val="Zkladntext"/>
        <w:rPr>
          <w:b/>
          <w:sz w:val="20"/>
        </w:rPr>
      </w:pPr>
    </w:p>
    <w:p w14:paraId="79B40267" w14:textId="77777777" w:rsidR="00F65BCA" w:rsidRDefault="00F65BCA">
      <w:pPr>
        <w:pStyle w:val="Zkladntext"/>
        <w:rPr>
          <w:b/>
          <w:sz w:val="20"/>
        </w:rPr>
      </w:pPr>
    </w:p>
    <w:p w14:paraId="09CD2979" w14:textId="77777777" w:rsidR="00F65BCA" w:rsidRDefault="00F65BCA">
      <w:pPr>
        <w:pStyle w:val="Zkladntext"/>
        <w:rPr>
          <w:b/>
          <w:sz w:val="20"/>
        </w:rPr>
      </w:pPr>
    </w:p>
    <w:p w14:paraId="1EBCCAC5" w14:textId="77777777" w:rsidR="00F65BCA" w:rsidRDefault="00F65BCA">
      <w:pPr>
        <w:pStyle w:val="Zkladntext"/>
        <w:rPr>
          <w:b/>
          <w:sz w:val="20"/>
        </w:rPr>
      </w:pPr>
    </w:p>
    <w:p w14:paraId="4BBBA9CD" w14:textId="77777777" w:rsidR="00F65BCA" w:rsidRDefault="00F65BCA">
      <w:pPr>
        <w:pStyle w:val="Zkladntext"/>
        <w:rPr>
          <w:b/>
          <w:sz w:val="20"/>
        </w:rPr>
      </w:pPr>
    </w:p>
    <w:p w14:paraId="796E0D30" w14:textId="77777777" w:rsidR="00F65BCA" w:rsidRDefault="00F65BCA">
      <w:pPr>
        <w:pStyle w:val="Zkladntext"/>
        <w:rPr>
          <w:b/>
          <w:sz w:val="20"/>
        </w:rPr>
      </w:pPr>
    </w:p>
    <w:p w14:paraId="0DFCE3F9" w14:textId="77777777" w:rsidR="00F65BCA" w:rsidRDefault="00F65BCA">
      <w:pPr>
        <w:pStyle w:val="Zkladntext"/>
        <w:rPr>
          <w:b/>
          <w:sz w:val="20"/>
        </w:rPr>
      </w:pPr>
    </w:p>
    <w:p w14:paraId="39C292E9" w14:textId="77777777" w:rsidR="00F65BCA" w:rsidRDefault="00F65BCA">
      <w:pPr>
        <w:pStyle w:val="Zkladntext"/>
        <w:rPr>
          <w:b/>
          <w:sz w:val="20"/>
        </w:rPr>
      </w:pPr>
    </w:p>
    <w:p w14:paraId="788ACB1C" w14:textId="77777777" w:rsidR="00F65BCA" w:rsidRDefault="00F65BCA">
      <w:pPr>
        <w:pStyle w:val="Zkladntext"/>
        <w:rPr>
          <w:b/>
          <w:sz w:val="20"/>
        </w:rPr>
      </w:pPr>
    </w:p>
    <w:p w14:paraId="7F9EE289" w14:textId="77777777" w:rsidR="00F65BCA" w:rsidRDefault="00F65BCA">
      <w:pPr>
        <w:pStyle w:val="Zkladntext"/>
        <w:rPr>
          <w:b/>
          <w:sz w:val="20"/>
        </w:rPr>
      </w:pPr>
    </w:p>
    <w:p w14:paraId="0D659B3B" w14:textId="77777777" w:rsidR="00F65BCA" w:rsidRDefault="00F65BCA">
      <w:pPr>
        <w:pStyle w:val="Zkladntext"/>
        <w:rPr>
          <w:b/>
          <w:sz w:val="20"/>
        </w:rPr>
      </w:pPr>
    </w:p>
    <w:p w14:paraId="0E00EAD9" w14:textId="77777777" w:rsidR="00F65BCA" w:rsidRDefault="00F65BCA">
      <w:pPr>
        <w:pStyle w:val="Zkladntext"/>
        <w:rPr>
          <w:b/>
          <w:sz w:val="20"/>
        </w:rPr>
      </w:pPr>
    </w:p>
    <w:p w14:paraId="543E3416" w14:textId="77777777" w:rsidR="00F65BCA" w:rsidRDefault="00F65BCA">
      <w:pPr>
        <w:pStyle w:val="Zkladntext"/>
        <w:rPr>
          <w:b/>
          <w:sz w:val="20"/>
        </w:rPr>
      </w:pPr>
    </w:p>
    <w:p w14:paraId="7161251A" w14:textId="77777777" w:rsidR="00F65BCA" w:rsidRDefault="00F65BCA">
      <w:pPr>
        <w:pStyle w:val="Zkladntext"/>
        <w:rPr>
          <w:b/>
          <w:sz w:val="20"/>
        </w:rPr>
      </w:pPr>
    </w:p>
    <w:p w14:paraId="36D952FA" w14:textId="77777777" w:rsidR="00F65BCA" w:rsidRDefault="00F65BCA">
      <w:pPr>
        <w:pStyle w:val="Zkladntext"/>
        <w:rPr>
          <w:b/>
          <w:sz w:val="20"/>
        </w:rPr>
      </w:pPr>
    </w:p>
    <w:p w14:paraId="4A511677" w14:textId="77777777" w:rsidR="00F65BCA" w:rsidRDefault="00F65BCA">
      <w:pPr>
        <w:pStyle w:val="Zkladntext"/>
        <w:rPr>
          <w:b/>
          <w:sz w:val="20"/>
        </w:rPr>
      </w:pPr>
    </w:p>
    <w:p w14:paraId="23D79E50" w14:textId="77777777" w:rsidR="00F65BCA" w:rsidRDefault="00F65BCA">
      <w:pPr>
        <w:pStyle w:val="Zkladntext"/>
        <w:rPr>
          <w:b/>
          <w:sz w:val="20"/>
        </w:rPr>
      </w:pPr>
    </w:p>
    <w:p w14:paraId="21E116B1" w14:textId="77777777" w:rsidR="00F65BCA" w:rsidRDefault="00F65BCA">
      <w:pPr>
        <w:pStyle w:val="Zkladntext"/>
        <w:rPr>
          <w:b/>
          <w:sz w:val="20"/>
        </w:rPr>
      </w:pPr>
    </w:p>
    <w:p w14:paraId="53303D8C" w14:textId="77777777" w:rsidR="00F65BCA" w:rsidRDefault="00F65BCA">
      <w:pPr>
        <w:pStyle w:val="Zkladntext"/>
        <w:rPr>
          <w:b/>
          <w:sz w:val="20"/>
        </w:rPr>
      </w:pPr>
    </w:p>
    <w:p w14:paraId="7CB5F501" w14:textId="77777777" w:rsidR="00F65BCA" w:rsidRDefault="00F65BCA">
      <w:pPr>
        <w:pStyle w:val="Zkladntext"/>
        <w:rPr>
          <w:b/>
          <w:sz w:val="20"/>
        </w:rPr>
      </w:pPr>
    </w:p>
    <w:p w14:paraId="6B851CB3" w14:textId="77777777" w:rsidR="00F65BCA" w:rsidRDefault="00F65BCA">
      <w:pPr>
        <w:pStyle w:val="Zkladntext"/>
        <w:rPr>
          <w:b/>
          <w:sz w:val="20"/>
        </w:rPr>
      </w:pPr>
    </w:p>
    <w:p w14:paraId="6CAAEA3F" w14:textId="77777777" w:rsidR="00F65BCA" w:rsidRDefault="00F65BCA">
      <w:pPr>
        <w:pStyle w:val="Zkladntext"/>
        <w:rPr>
          <w:b/>
          <w:sz w:val="20"/>
        </w:rPr>
      </w:pPr>
    </w:p>
    <w:p w14:paraId="73E97064" w14:textId="77777777" w:rsidR="00F65BCA" w:rsidRDefault="00F65BCA">
      <w:pPr>
        <w:pStyle w:val="Zkladntext"/>
        <w:rPr>
          <w:b/>
          <w:sz w:val="20"/>
        </w:rPr>
      </w:pPr>
    </w:p>
    <w:p w14:paraId="5D898FC2" w14:textId="77777777" w:rsidR="00F65BCA" w:rsidRDefault="00F65BCA">
      <w:pPr>
        <w:pStyle w:val="Zkladntext"/>
        <w:rPr>
          <w:b/>
          <w:sz w:val="20"/>
        </w:rPr>
      </w:pPr>
    </w:p>
    <w:p w14:paraId="015CE0D1" w14:textId="77777777" w:rsidR="00F65BCA" w:rsidRDefault="00F65BCA">
      <w:pPr>
        <w:pStyle w:val="Zkladntext"/>
        <w:rPr>
          <w:b/>
          <w:sz w:val="20"/>
        </w:rPr>
      </w:pPr>
    </w:p>
    <w:p w14:paraId="63297582" w14:textId="77777777" w:rsidR="00F65BCA" w:rsidRDefault="00F65BCA">
      <w:pPr>
        <w:pStyle w:val="Zkladntext"/>
        <w:rPr>
          <w:b/>
          <w:sz w:val="20"/>
        </w:rPr>
      </w:pPr>
    </w:p>
    <w:p w14:paraId="488DF649" w14:textId="77777777" w:rsidR="00F65BCA" w:rsidRDefault="00F65BCA">
      <w:pPr>
        <w:pStyle w:val="Zkladntext"/>
        <w:rPr>
          <w:b/>
          <w:sz w:val="20"/>
        </w:rPr>
      </w:pPr>
    </w:p>
    <w:p w14:paraId="092E2FB5" w14:textId="77777777" w:rsidR="00F65BCA" w:rsidRDefault="00F65BCA">
      <w:pPr>
        <w:pStyle w:val="Zkladntext"/>
        <w:rPr>
          <w:b/>
          <w:sz w:val="20"/>
        </w:rPr>
      </w:pPr>
    </w:p>
    <w:p w14:paraId="4BE8D66B" w14:textId="77777777" w:rsidR="00F65BCA" w:rsidRDefault="00F65BCA">
      <w:pPr>
        <w:pStyle w:val="Zkladntext"/>
        <w:rPr>
          <w:b/>
          <w:sz w:val="20"/>
        </w:rPr>
      </w:pPr>
    </w:p>
    <w:p w14:paraId="3E76B265" w14:textId="77777777" w:rsidR="00F65BCA" w:rsidRDefault="00F65BCA">
      <w:pPr>
        <w:pStyle w:val="Zkladntext"/>
        <w:rPr>
          <w:b/>
          <w:sz w:val="20"/>
        </w:rPr>
      </w:pPr>
    </w:p>
    <w:p w14:paraId="6AA69944" w14:textId="77777777" w:rsidR="00F65BCA" w:rsidRDefault="00F65BCA">
      <w:pPr>
        <w:pStyle w:val="Zkladntext"/>
        <w:rPr>
          <w:b/>
          <w:sz w:val="20"/>
        </w:rPr>
      </w:pPr>
    </w:p>
    <w:p w14:paraId="1452B7F9" w14:textId="77777777" w:rsidR="00F65BCA" w:rsidRDefault="00F65BCA">
      <w:pPr>
        <w:pStyle w:val="Zkladntext"/>
        <w:rPr>
          <w:b/>
          <w:sz w:val="20"/>
        </w:rPr>
      </w:pPr>
    </w:p>
    <w:p w14:paraId="44687F02" w14:textId="77777777" w:rsidR="00F65BCA" w:rsidRDefault="00F65BCA">
      <w:pPr>
        <w:pStyle w:val="Zkladntext"/>
        <w:rPr>
          <w:b/>
          <w:sz w:val="20"/>
        </w:rPr>
      </w:pPr>
    </w:p>
    <w:p w14:paraId="77DD485D" w14:textId="77777777" w:rsidR="00F65BCA" w:rsidRDefault="00F65BCA">
      <w:pPr>
        <w:pStyle w:val="Zkladntext"/>
        <w:rPr>
          <w:b/>
          <w:sz w:val="20"/>
        </w:rPr>
      </w:pPr>
    </w:p>
    <w:p w14:paraId="7F2E136A" w14:textId="77777777" w:rsidR="00F65BCA" w:rsidRDefault="00F65BCA">
      <w:pPr>
        <w:pStyle w:val="Zkladntext"/>
        <w:rPr>
          <w:b/>
          <w:sz w:val="20"/>
        </w:rPr>
      </w:pPr>
    </w:p>
    <w:p w14:paraId="25ABBE9F" w14:textId="77777777" w:rsidR="00F65BCA" w:rsidRDefault="00F65BCA">
      <w:pPr>
        <w:pStyle w:val="Zkladntext"/>
        <w:rPr>
          <w:b/>
          <w:sz w:val="20"/>
        </w:rPr>
      </w:pPr>
    </w:p>
    <w:p w14:paraId="48BCB001" w14:textId="77777777" w:rsidR="00F65BCA" w:rsidRDefault="00F65BCA">
      <w:pPr>
        <w:pStyle w:val="Zkladntext"/>
        <w:rPr>
          <w:b/>
          <w:sz w:val="20"/>
        </w:rPr>
      </w:pPr>
    </w:p>
    <w:p w14:paraId="09B8F2D4" w14:textId="77777777" w:rsidR="00F65BCA" w:rsidRDefault="00F65BCA">
      <w:pPr>
        <w:pStyle w:val="Zkladntext"/>
        <w:rPr>
          <w:b/>
          <w:sz w:val="20"/>
        </w:rPr>
      </w:pPr>
    </w:p>
    <w:p w14:paraId="1748680A" w14:textId="77777777" w:rsidR="00F65BCA" w:rsidRDefault="00F65BCA">
      <w:pPr>
        <w:pStyle w:val="Zkladntext"/>
        <w:rPr>
          <w:b/>
          <w:sz w:val="20"/>
        </w:rPr>
      </w:pPr>
    </w:p>
    <w:p w14:paraId="4FCC03E0" w14:textId="77777777" w:rsidR="00F65BCA" w:rsidRDefault="00F65BCA">
      <w:pPr>
        <w:pStyle w:val="Zkladntext"/>
        <w:rPr>
          <w:b/>
          <w:sz w:val="20"/>
        </w:rPr>
      </w:pPr>
    </w:p>
    <w:p w14:paraId="60BD83B6" w14:textId="77777777" w:rsidR="00F65BCA" w:rsidRDefault="00F65BCA">
      <w:pPr>
        <w:pStyle w:val="Zkladntext"/>
        <w:rPr>
          <w:b/>
          <w:sz w:val="20"/>
        </w:rPr>
      </w:pPr>
    </w:p>
    <w:p w14:paraId="6172C710" w14:textId="77777777" w:rsidR="00F65BCA" w:rsidRDefault="00F65BCA">
      <w:pPr>
        <w:pStyle w:val="Zkladntext"/>
        <w:rPr>
          <w:b/>
          <w:sz w:val="20"/>
        </w:rPr>
      </w:pPr>
    </w:p>
    <w:p w14:paraId="0B4BAAE0" w14:textId="77777777" w:rsidR="00F65BCA" w:rsidRDefault="00F65BCA">
      <w:pPr>
        <w:pStyle w:val="Zkladntext"/>
        <w:rPr>
          <w:b/>
          <w:sz w:val="20"/>
        </w:rPr>
      </w:pPr>
    </w:p>
    <w:p w14:paraId="70E702BA" w14:textId="77777777" w:rsidR="00F65BCA" w:rsidRDefault="00F65BCA">
      <w:pPr>
        <w:pStyle w:val="Zkladntext"/>
        <w:rPr>
          <w:b/>
          <w:sz w:val="20"/>
        </w:rPr>
      </w:pPr>
    </w:p>
    <w:p w14:paraId="696091FA" w14:textId="77777777" w:rsidR="00F65BCA" w:rsidRDefault="00F65BCA">
      <w:pPr>
        <w:pStyle w:val="Zkladntext"/>
        <w:rPr>
          <w:b/>
          <w:sz w:val="20"/>
        </w:rPr>
      </w:pPr>
    </w:p>
    <w:p w14:paraId="38CD2021" w14:textId="77777777" w:rsidR="00F65BCA" w:rsidRDefault="00F65BCA">
      <w:pPr>
        <w:pStyle w:val="Zkladntext"/>
        <w:rPr>
          <w:b/>
          <w:sz w:val="20"/>
        </w:rPr>
      </w:pPr>
    </w:p>
    <w:p w14:paraId="30565294" w14:textId="77777777" w:rsidR="00F65BCA" w:rsidRDefault="00F65BCA">
      <w:pPr>
        <w:pStyle w:val="Zkladntext"/>
        <w:rPr>
          <w:b/>
          <w:sz w:val="20"/>
        </w:rPr>
      </w:pPr>
    </w:p>
    <w:p w14:paraId="7AAAC144" w14:textId="77777777" w:rsidR="00F65BCA" w:rsidRDefault="00F65BCA">
      <w:pPr>
        <w:pStyle w:val="Zkladntext"/>
        <w:rPr>
          <w:b/>
          <w:sz w:val="20"/>
        </w:rPr>
      </w:pPr>
    </w:p>
    <w:p w14:paraId="03C5552D" w14:textId="77777777" w:rsidR="00F65BCA" w:rsidRDefault="00F65BCA">
      <w:pPr>
        <w:pStyle w:val="Zkladntext"/>
        <w:rPr>
          <w:b/>
          <w:sz w:val="20"/>
        </w:rPr>
      </w:pPr>
    </w:p>
    <w:p w14:paraId="44616269" w14:textId="77777777" w:rsidR="00F65BCA" w:rsidRDefault="00F65BCA">
      <w:pPr>
        <w:pStyle w:val="Zkladntext"/>
        <w:rPr>
          <w:b/>
          <w:sz w:val="20"/>
        </w:rPr>
      </w:pPr>
    </w:p>
    <w:p w14:paraId="67091F6C" w14:textId="77777777" w:rsidR="00F65BCA" w:rsidRDefault="00F65BCA">
      <w:pPr>
        <w:pStyle w:val="Zkladntext"/>
        <w:rPr>
          <w:b/>
          <w:sz w:val="20"/>
        </w:rPr>
      </w:pPr>
    </w:p>
    <w:p w14:paraId="640764CC" w14:textId="77777777" w:rsidR="00F65BCA" w:rsidRDefault="00F65BCA">
      <w:pPr>
        <w:pStyle w:val="Zkladntext"/>
        <w:spacing w:before="1"/>
        <w:rPr>
          <w:b/>
          <w:sz w:val="20"/>
        </w:rPr>
      </w:pPr>
    </w:p>
    <w:p w14:paraId="0AB2DBE6" w14:textId="77777777" w:rsidR="00F65BCA" w:rsidRDefault="00000000">
      <w:pPr>
        <w:spacing w:before="81"/>
        <w:ind w:left="104"/>
        <w:rPr>
          <w:rFonts w:ascii="Calibri" w:hAnsi="Calibri"/>
          <w:sz w:val="11"/>
        </w:rPr>
      </w:pPr>
      <w:r>
        <w:pict w14:anchorId="3CD60318">
          <v:shape id="_x0000_s2565" type="#_x0000_t202" style="position:absolute;left:0;text-align:left;margin-left:30.1pt;margin-top:-718.65pt;width:222.25pt;height:706.35pt;z-index:25166438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866"/>
                    <w:gridCol w:w="866"/>
                    <w:gridCol w:w="708"/>
                    <w:gridCol w:w="991"/>
                  </w:tblGrid>
                  <w:tr w:rsidR="00F65BCA" w14:paraId="523FDECC" w14:textId="77777777">
                    <w:trPr>
                      <w:trHeight w:val="227"/>
                    </w:trPr>
                    <w:tc>
                      <w:tcPr>
                        <w:tcW w:w="998" w:type="dxa"/>
                        <w:shd w:val="clear" w:color="auto" w:fill="F8CBAD"/>
                      </w:tcPr>
                      <w:p w14:paraId="3A75A639" w14:textId="77777777" w:rsidR="00F65BCA" w:rsidRDefault="00216117">
                        <w:pPr>
                          <w:pStyle w:val="TableParagraph"/>
                          <w:spacing w:before="61"/>
                          <w:ind w:left="9"/>
                          <w:jc w:val="center"/>
                          <w:rPr>
                            <w:b/>
                            <w:sz w:val="9"/>
                          </w:rPr>
                        </w:pPr>
                        <w:r>
                          <w:rPr>
                            <w:b/>
                            <w:sz w:val="9"/>
                          </w:rPr>
                          <w:t>Vozidla do 3,5t</w:t>
                        </w:r>
                      </w:p>
                    </w:tc>
                    <w:tc>
                      <w:tcPr>
                        <w:tcW w:w="866" w:type="dxa"/>
                        <w:shd w:val="clear" w:color="auto" w:fill="F8CBAD"/>
                      </w:tcPr>
                      <w:p w14:paraId="4E76BCD0" w14:textId="77777777" w:rsidR="00F65BCA" w:rsidRDefault="00216117">
                        <w:pPr>
                          <w:pStyle w:val="TableParagraph"/>
                          <w:spacing w:before="61"/>
                          <w:ind w:left="106" w:right="95"/>
                          <w:jc w:val="center"/>
                          <w:rPr>
                            <w:b/>
                            <w:sz w:val="9"/>
                          </w:rPr>
                        </w:pPr>
                        <w:r>
                          <w:rPr>
                            <w:b/>
                            <w:sz w:val="9"/>
                          </w:rPr>
                          <w:t>Objem motoru</w:t>
                        </w:r>
                      </w:p>
                    </w:tc>
                    <w:tc>
                      <w:tcPr>
                        <w:tcW w:w="866" w:type="dxa"/>
                        <w:shd w:val="clear" w:color="auto" w:fill="F8CBAD"/>
                      </w:tcPr>
                      <w:p w14:paraId="3C3644D0" w14:textId="77777777" w:rsidR="00F65BCA" w:rsidRDefault="00216117">
                        <w:pPr>
                          <w:pStyle w:val="TableParagraph"/>
                          <w:spacing w:before="61"/>
                          <w:ind w:left="106" w:right="92"/>
                          <w:jc w:val="center"/>
                          <w:rPr>
                            <w:b/>
                            <w:sz w:val="9"/>
                          </w:rPr>
                        </w:pPr>
                        <w:r>
                          <w:rPr>
                            <w:b/>
                            <w:sz w:val="9"/>
                          </w:rPr>
                          <w:t>Výkon motoru</w:t>
                        </w:r>
                      </w:p>
                    </w:tc>
                    <w:tc>
                      <w:tcPr>
                        <w:tcW w:w="708" w:type="dxa"/>
                        <w:shd w:val="clear" w:color="auto" w:fill="F8CBAD"/>
                      </w:tcPr>
                      <w:p w14:paraId="08FAC3D2" w14:textId="77777777" w:rsidR="00F65BCA" w:rsidRDefault="00216117">
                        <w:pPr>
                          <w:pStyle w:val="TableParagraph"/>
                          <w:spacing w:before="4"/>
                          <w:ind w:left="183"/>
                          <w:rPr>
                            <w:b/>
                            <w:sz w:val="9"/>
                          </w:rPr>
                        </w:pPr>
                        <w:r>
                          <w:rPr>
                            <w:b/>
                            <w:sz w:val="9"/>
                          </w:rPr>
                          <w:t>Celková</w:t>
                        </w:r>
                      </w:p>
                      <w:p w14:paraId="1737041E" w14:textId="77777777" w:rsidR="00F65BCA" w:rsidRDefault="00216117">
                        <w:pPr>
                          <w:pStyle w:val="TableParagraph"/>
                          <w:spacing w:before="16" w:line="83" w:lineRule="exact"/>
                          <w:ind w:left="147"/>
                          <w:rPr>
                            <w:b/>
                            <w:sz w:val="9"/>
                          </w:rPr>
                        </w:pPr>
                        <w:r>
                          <w:rPr>
                            <w:b/>
                            <w:sz w:val="9"/>
                          </w:rPr>
                          <w:t>hmotnost</w:t>
                        </w:r>
                      </w:p>
                    </w:tc>
                    <w:tc>
                      <w:tcPr>
                        <w:tcW w:w="991" w:type="dxa"/>
                        <w:shd w:val="clear" w:color="auto" w:fill="F8CBAD"/>
                      </w:tcPr>
                      <w:p w14:paraId="34A5A88C" w14:textId="77777777" w:rsidR="00F65BCA" w:rsidRDefault="00216117">
                        <w:pPr>
                          <w:pStyle w:val="TableParagraph"/>
                          <w:spacing w:before="61"/>
                          <w:ind w:left="58" w:right="46"/>
                          <w:jc w:val="center"/>
                          <w:rPr>
                            <w:b/>
                            <w:sz w:val="9"/>
                          </w:rPr>
                        </w:pPr>
                        <w:r>
                          <w:rPr>
                            <w:b/>
                            <w:sz w:val="9"/>
                          </w:rPr>
                          <w:t>Roční pojistné v Kč</w:t>
                        </w:r>
                      </w:p>
                    </w:tc>
                  </w:tr>
                  <w:tr w:rsidR="00F65BCA" w14:paraId="39AC9508" w14:textId="77777777">
                    <w:trPr>
                      <w:trHeight w:val="153"/>
                    </w:trPr>
                    <w:tc>
                      <w:tcPr>
                        <w:tcW w:w="998" w:type="dxa"/>
                        <w:vMerge w:val="restart"/>
                        <w:shd w:val="clear" w:color="auto" w:fill="FCE4D6"/>
                      </w:tcPr>
                      <w:p w14:paraId="77530D13" w14:textId="77777777" w:rsidR="00F65BCA" w:rsidRDefault="00F65BCA">
                        <w:pPr>
                          <w:pStyle w:val="TableParagraph"/>
                          <w:rPr>
                            <w:rFonts w:ascii="Calibri"/>
                            <w:sz w:val="10"/>
                          </w:rPr>
                        </w:pPr>
                      </w:p>
                      <w:p w14:paraId="4829915B" w14:textId="77777777" w:rsidR="00F65BCA" w:rsidRDefault="00F65BCA">
                        <w:pPr>
                          <w:pStyle w:val="TableParagraph"/>
                          <w:rPr>
                            <w:rFonts w:ascii="Calibri"/>
                            <w:sz w:val="10"/>
                          </w:rPr>
                        </w:pPr>
                      </w:p>
                      <w:p w14:paraId="7DBA28D8" w14:textId="77777777" w:rsidR="00F65BCA" w:rsidRDefault="00F65BCA">
                        <w:pPr>
                          <w:pStyle w:val="TableParagraph"/>
                          <w:rPr>
                            <w:rFonts w:ascii="Calibri"/>
                            <w:sz w:val="10"/>
                          </w:rPr>
                        </w:pPr>
                      </w:p>
                      <w:p w14:paraId="69BDF009" w14:textId="77777777" w:rsidR="00F65BCA" w:rsidRDefault="00F65BCA">
                        <w:pPr>
                          <w:pStyle w:val="TableParagraph"/>
                          <w:rPr>
                            <w:rFonts w:ascii="Calibri"/>
                            <w:sz w:val="10"/>
                          </w:rPr>
                        </w:pPr>
                      </w:p>
                      <w:p w14:paraId="36AE75FE" w14:textId="77777777" w:rsidR="00F65BCA" w:rsidRDefault="00F65BCA">
                        <w:pPr>
                          <w:pStyle w:val="TableParagraph"/>
                          <w:rPr>
                            <w:rFonts w:ascii="Calibri"/>
                            <w:sz w:val="10"/>
                          </w:rPr>
                        </w:pPr>
                      </w:p>
                      <w:p w14:paraId="5DF15A41" w14:textId="77777777" w:rsidR="00F65BCA" w:rsidRDefault="00F65BCA">
                        <w:pPr>
                          <w:pStyle w:val="TableParagraph"/>
                          <w:rPr>
                            <w:rFonts w:ascii="Calibri"/>
                            <w:sz w:val="10"/>
                          </w:rPr>
                        </w:pPr>
                      </w:p>
                      <w:p w14:paraId="0F20464F" w14:textId="77777777" w:rsidR="00F65BCA" w:rsidRDefault="00F65BCA">
                        <w:pPr>
                          <w:pStyle w:val="TableParagraph"/>
                          <w:rPr>
                            <w:rFonts w:ascii="Calibri"/>
                            <w:sz w:val="10"/>
                          </w:rPr>
                        </w:pPr>
                      </w:p>
                      <w:p w14:paraId="6435FE3E" w14:textId="77777777" w:rsidR="00F65BCA" w:rsidRDefault="00F65BCA">
                        <w:pPr>
                          <w:pStyle w:val="TableParagraph"/>
                          <w:rPr>
                            <w:rFonts w:ascii="Calibri"/>
                            <w:sz w:val="10"/>
                          </w:rPr>
                        </w:pPr>
                      </w:p>
                      <w:p w14:paraId="06677D8C" w14:textId="77777777" w:rsidR="00F65BCA" w:rsidRDefault="00F65BCA">
                        <w:pPr>
                          <w:pStyle w:val="TableParagraph"/>
                          <w:rPr>
                            <w:rFonts w:ascii="Calibri"/>
                            <w:sz w:val="10"/>
                          </w:rPr>
                        </w:pPr>
                      </w:p>
                      <w:p w14:paraId="4B482259" w14:textId="77777777" w:rsidR="00F65BCA" w:rsidRDefault="00F65BCA">
                        <w:pPr>
                          <w:pStyle w:val="TableParagraph"/>
                          <w:rPr>
                            <w:rFonts w:ascii="Calibri"/>
                            <w:sz w:val="10"/>
                          </w:rPr>
                        </w:pPr>
                      </w:p>
                      <w:p w14:paraId="295A9CE8" w14:textId="77777777" w:rsidR="00F65BCA" w:rsidRDefault="00F65BCA">
                        <w:pPr>
                          <w:pStyle w:val="TableParagraph"/>
                          <w:rPr>
                            <w:rFonts w:ascii="Calibri"/>
                            <w:sz w:val="10"/>
                          </w:rPr>
                        </w:pPr>
                      </w:p>
                      <w:p w14:paraId="14422B54" w14:textId="77777777" w:rsidR="00F65BCA" w:rsidRDefault="00F65BCA">
                        <w:pPr>
                          <w:pStyle w:val="TableParagraph"/>
                          <w:rPr>
                            <w:rFonts w:ascii="Calibri"/>
                            <w:sz w:val="10"/>
                          </w:rPr>
                        </w:pPr>
                      </w:p>
                      <w:p w14:paraId="4984EE16" w14:textId="77777777" w:rsidR="00F65BCA" w:rsidRDefault="00F65BCA">
                        <w:pPr>
                          <w:pStyle w:val="TableParagraph"/>
                          <w:rPr>
                            <w:rFonts w:ascii="Calibri"/>
                            <w:sz w:val="10"/>
                          </w:rPr>
                        </w:pPr>
                      </w:p>
                      <w:p w14:paraId="0BAEA128" w14:textId="77777777" w:rsidR="00F65BCA" w:rsidRDefault="00F65BCA">
                        <w:pPr>
                          <w:pStyle w:val="TableParagraph"/>
                          <w:rPr>
                            <w:rFonts w:ascii="Calibri"/>
                            <w:sz w:val="10"/>
                          </w:rPr>
                        </w:pPr>
                      </w:p>
                      <w:p w14:paraId="456922DE" w14:textId="77777777" w:rsidR="00F65BCA" w:rsidRDefault="00F65BCA">
                        <w:pPr>
                          <w:pStyle w:val="TableParagraph"/>
                          <w:rPr>
                            <w:rFonts w:ascii="Calibri"/>
                            <w:sz w:val="10"/>
                          </w:rPr>
                        </w:pPr>
                      </w:p>
                      <w:p w14:paraId="6D6B8659" w14:textId="77777777" w:rsidR="00F65BCA" w:rsidRDefault="00F65BCA">
                        <w:pPr>
                          <w:pStyle w:val="TableParagraph"/>
                          <w:rPr>
                            <w:rFonts w:ascii="Calibri"/>
                            <w:sz w:val="10"/>
                          </w:rPr>
                        </w:pPr>
                      </w:p>
                      <w:p w14:paraId="510DED28" w14:textId="77777777" w:rsidR="00F65BCA" w:rsidRDefault="00F65BCA">
                        <w:pPr>
                          <w:pStyle w:val="TableParagraph"/>
                          <w:rPr>
                            <w:rFonts w:ascii="Calibri"/>
                            <w:sz w:val="10"/>
                          </w:rPr>
                        </w:pPr>
                      </w:p>
                      <w:p w14:paraId="1E4FF5DE" w14:textId="77777777" w:rsidR="00F65BCA" w:rsidRDefault="00F65BCA">
                        <w:pPr>
                          <w:pStyle w:val="TableParagraph"/>
                          <w:rPr>
                            <w:rFonts w:ascii="Calibri"/>
                            <w:sz w:val="10"/>
                          </w:rPr>
                        </w:pPr>
                      </w:p>
                      <w:p w14:paraId="7C98136C" w14:textId="77777777" w:rsidR="00F65BCA" w:rsidRDefault="00F65BCA">
                        <w:pPr>
                          <w:pStyle w:val="TableParagraph"/>
                          <w:rPr>
                            <w:rFonts w:ascii="Calibri"/>
                            <w:sz w:val="10"/>
                          </w:rPr>
                        </w:pPr>
                      </w:p>
                      <w:p w14:paraId="712E04E7" w14:textId="77777777" w:rsidR="00F65BCA" w:rsidRDefault="00F65BCA">
                        <w:pPr>
                          <w:pStyle w:val="TableParagraph"/>
                          <w:rPr>
                            <w:rFonts w:ascii="Calibri"/>
                            <w:sz w:val="10"/>
                          </w:rPr>
                        </w:pPr>
                      </w:p>
                      <w:p w14:paraId="0D7EF6B3" w14:textId="77777777" w:rsidR="00F65BCA" w:rsidRDefault="00F65BCA">
                        <w:pPr>
                          <w:pStyle w:val="TableParagraph"/>
                          <w:rPr>
                            <w:rFonts w:ascii="Calibri"/>
                            <w:sz w:val="10"/>
                          </w:rPr>
                        </w:pPr>
                      </w:p>
                      <w:p w14:paraId="5ACAF057" w14:textId="77777777" w:rsidR="00F65BCA" w:rsidRDefault="00216117">
                        <w:pPr>
                          <w:pStyle w:val="TableParagraph"/>
                          <w:spacing w:before="66"/>
                          <w:ind w:left="148"/>
                          <w:rPr>
                            <w:sz w:val="9"/>
                          </w:rPr>
                        </w:pPr>
                        <w:r>
                          <w:rPr>
                            <w:sz w:val="9"/>
                          </w:rPr>
                          <w:t>osobní automobil</w:t>
                        </w:r>
                      </w:p>
                    </w:tc>
                    <w:tc>
                      <w:tcPr>
                        <w:tcW w:w="866" w:type="dxa"/>
                        <w:vMerge w:val="restart"/>
                        <w:shd w:val="clear" w:color="auto" w:fill="FCE4D6"/>
                      </w:tcPr>
                      <w:p w14:paraId="3673261A" w14:textId="77777777" w:rsidR="00F65BCA" w:rsidRDefault="00F65BCA">
                        <w:pPr>
                          <w:pStyle w:val="TableParagraph"/>
                          <w:spacing w:before="10"/>
                          <w:rPr>
                            <w:rFonts w:ascii="Calibri"/>
                            <w:sz w:val="14"/>
                          </w:rPr>
                        </w:pPr>
                      </w:p>
                      <w:p w14:paraId="7A898DE1" w14:textId="77777777" w:rsidR="00F65BCA" w:rsidRDefault="00216117">
                        <w:pPr>
                          <w:pStyle w:val="TableParagraph"/>
                          <w:spacing w:before="1"/>
                          <w:ind w:left="197"/>
                          <w:rPr>
                            <w:sz w:val="9"/>
                          </w:rPr>
                        </w:pPr>
                        <w:r>
                          <w:rPr>
                            <w:sz w:val="9"/>
                          </w:rPr>
                          <w:t>0-1000 ccm</w:t>
                        </w:r>
                      </w:p>
                    </w:tc>
                    <w:tc>
                      <w:tcPr>
                        <w:tcW w:w="866" w:type="dxa"/>
                        <w:shd w:val="clear" w:color="auto" w:fill="FCE4D6"/>
                      </w:tcPr>
                      <w:p w14:paraId="0A14FA29"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61CDAF77" w14:textId="77777777" w:rsidR="00F65BCA" w:rsidRDefault="00216117">
                        <w:pPr>
                          <w:pStyle w:val="TableParagraph"/>
                          <w:spacing w:before="23"/>
                          <w:ind w:left="20"/>
                          <w:jc w:val="center"/>
                          <w:rPr>
                            <w:sz w:val="9"/>
                          </w:rPr>
                        </w:pPr>
                        <w:r>
                          <w:rPr>
                            <w:w w:val="101"/>
                            <w:sz w:val="9"/>
                          </w:rPr>
                          <w:t>-</w:t>
                        </w:r>
                      </w:p>
                    </w:tc>
                    <w:tc>
                      <w:tcPr>
                        <w:tcW w:w="991" w:type="dxa"/>
                      </w:tcPr>
                      <w:p w14:paraId="2AD14764" w14:textId="77777777" w:rsidR="00F65BCA" w:rsidRDefault="00216117">
                        <w:pPr>
                          <w:pStyle w:val="TableParagraph"/>
                          <w:spacing w:before="23"/>
                          <w:ind w:left="58" w:right="39"/>
                          <w:jc w:val="center"/>
                          <w:rPr>
                            <w:sz w:val="9"/>
                          </w:rPr>
                        </w:pPr>
                        <w:r>
                          <w:rPr>
                            <w:sz w:val="9"/>
                          </w:rPr>
                          <w:t>793,007712</w:t>
                        </w:r>
                      </w:p>
                    </w:tc>
                  </w:tr>
                  <w:tr w:rsidR="00F65BCA" w14:paraId="2CD71C6D" w14:textId="77777777">
                    <w:trPr>
                      <w:trHeight w:val="153"/>
                    </w:trPr>
                    <w:tc>
                      <w:tcPr>
                        <w:tcW w:w="998" w:type="dxa"/>
                        <w:vMerge/>
                        <w:tcBorders>
                          <w:top w:val="nil"/>
                        </w:tcBorders>
                        <w:shd w:val="clear" w:color="auto" w:fill="FCE4D6"/>
                      </w:tcPr>
                      <w:p w14:paraId="2CDE153F" w14:textId="77777777" w:rsidR="00F65BCA" w:rsidRDefault="00F65BCA">
                        <w:pPr>
                          <w:rPr>
                            <w:sz w:val="2"/>
                            <w:szCs w:val="2"/>
                          </w:rPr>
                        </w:pPr>
                      </w:p>
                    </w:tc>
                    <w:tc>
                      <w:tcPr>
                        <w:tcW w:w="866" w:type="dxa"/>
                        <w:vMerge/>
                        <w:tcBorders>
                          <w:top w:val="nil"/>
                        </w:tcBorders>
                        <w:shd w:val="clear" w:color="auto" w:fill="FCE4D6"/>
                      </w:tcPr>
                      <w:p w14:paraId="5EE1D459" w14:textId="77777777" w:rsidR="00F65BCA" w:rsidRDefault="00F65BCA">
                        <w:pPr>
                          <w:rPr>
                            <w:sz w:val="2"/>
                            <w:szCs w:val="2"/>
                          </w:rPr>
                        </w:pPr>
                      </w:p>
                    </w:tc>
                    <w:tc>
                      <w:tcPr>
                        <w:tcW w:w="866" w:type="dxa"/>
                        <w:shd w:val="clear" w:color="auto" w:fill="FCE4D6"/>
                      </w:tcPr>
                      <w:p w14:paraId="189C3898"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3C33E607" w14:textId="77777777" w:rsidR="00F65BCA" w:rsidRDefault="00216117">
                        <w:pPr>
                          <w:pStyle w:val="TableParagraph"/>
                          <w:spacing w:before="23"/>
                          <w:ind w:left="20"/>
                          <w:jc w:val="center"/>
                          <w:rPr>
                            <w:sz w:val="9"/>
                          </w:rPr>
                        </w:pPr>
                        <w:r>
                          <w:rPr>
                            <w:w w:val="101"/>
                            <w:sz w:val="9"/>
                          </w:rPr>
                          <w:t>-</w:t>
                        </w:r>
                      </w:p>
                    </w:tc>
                    <w:tc>
                      <w:tcPr>
                        <w:tcW w:w="991" w:type="dxa"/>
                      </w:tcPr>
                      <w:p w14:paraId="2E0C66F9" w14:textId="77777777" w:rsidR="00F65BCA" w:rsidRDefault="00216117">
                        <w:pPr>
                          <w:pStyle w:val="TableParagraph"/>
                          <w:spacing w:before="23"/>
                          <w:ind w:left="58" w:right="39"/>
                          <w:jc w:val="center"/>
                          <w:rPr>
                            <w:sz w:val="9"/>
                          </w:rPr>
                        </w:pPr>
                        <w:r>
                          <w:rPr>
                            <w:sz w:val="9"/>
                          </w:rPr>
                          <w:t>868,532256</w:t>
                        </w:r>
                      </w:p>
                    </w:tc>
                  </w:tr>
                  <w:tr w:rsidR="00F65BCA" w14:paraId="5FEA0E35" w14:textId="77777777">
                    <w:trPr>
                      <w:trHeight w:val="153"/>
                    </w:trPr>
                    <w:tc>
                      <w:tcPr>
                        <w:tcW w:w="998" w:type="dxa"/>
                        <w:vMerge/>
                        <w:tcBorders>
                          <w:top w:val="nil"/>
                        </w:tcBorders>
                        <w:shd w:val="clear" w:color="auto" w:fill="FCE4D6"/>
                      </w:tcPr>
                      <w:p w14:paraId="536A3D64" w14:textId="77777777" w:rsidR="00F65BCA" w:rsidRDefault="00F65BCA">
                        <w:pPr>
                          <w:rPr>
                            <w:sz w:val="2"/>
                            <w:szCs w:val="2"/>
                          </w:rPr>
                        </w:pPr>
                      </w:p>
                    </w:tc>
                    <w:tc>
                      <w:tcPr>
                        <w:tcW w:w="866" w:type="dxa"/>
                        <w:vMerge/>
                        <w:tcBorders>
                          <w:top w:val="nil"/>
                        </w:tcBorders>
                        <w:shd w:val="clear" w:color="auto" w:fill="FCE4D6"/>
                      </w:tcPr>
                      <w:p w14:paraId="2DC1FD38" w14:textId="77777777" w:rsidR="00F65BCA" w:rsidRDefault="00F65BCA">
                        <w:pPr>
                          <w:rPr>
                            <w:sz w:val="2"/>
                            <w:szCs w:val="2"/>
                          </w:rPr>
                        </w:pPr>
                      </w:p>
                    </w:tc>
                    <w:tc>
                      <w:tcPr>
                        <w:tcW w:w="866" w:type="dxa"/>
                        <w:shd w:val="clear" w:color="auto" w:fill="FCE4D6"/>
                      </w:tcPr>
                      <w:p w14:paraId="061C29A9"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0176E37C" w14:textId="77777777" w:rsidR="00F65BCA" w:rsidRDefault="00216117">
                        <w:pPr>
                          <w:pStyle w:val="TableParagraph"/>
                          <w:spacing w:before="23"/>
                          <w:ind w:left="20"/>
                          <w:jc w:val="center"/>
                          <w:rPr>
                            <w:sz w:val="9"/>
                          </w:rPr>
                        </w:pPr>
                        <w:r>
                          <w:rPr>
                            <w:w w:val="101"/>
                            <w:sz w:val="9"/>
                          </w:rPr>
                          <w:t>-</w:t>
                        </w:r>
                      </w:p>
                    </w:tc>
                    <w:tc>
                      <w:tcPr>
                        <w:tcW w:w="991" w:type="dxa"/>
                      </w:tcPr>
                      <w:p w14:paraId="4901AA2B" w14:textId="77777777" w:rsidR="00F65BCA" w:rsidRDefault="00216117">
                        <w:pPr>
                          <w:pStyle w:val="TableParagraph"/>
                          <w:spacing w:before="23"/>
                          <w:ind w:left="58" w:right="39"/>
                          <w:jc w:val="center"/>
                          <w:rPr>
                            <w:sz w:val="9"/>
                          </w:rPr>
                        </w:pPr>
                        <w:r>
                          <w:rPr>
                            <w:sz w:val="9"/>
                          </w:rPr>
                          <w:t>944,056800</w:t>
                        </w:r>
                      </w:p>
                    </w:tc>
                  </w:tr>
                  <w:tr w:rsidR="00F65BCA" w14:paraId="114E4AF4" w14:textId="77777777">
                    <w:trPr>
                      <w:trHeight w:val="153"/>
                    </w:trPr>
                    <w:tc>
                      <w:tcPr>
                        <w:tcW w:w="998" w:type="dxa"/>
                        <w:vMerge/>
                        <w:tcBorders>
                          <w:top w:val="nil"/>
                        </w:tcBorders>
                        <w:shd w:val="clear" w:color="auto" w:fill="FCE4D6"/>
                      </w:tcPr>
                      <w:p w14:paraId="313003B6" w14:textId="77777777" w:rsidR="00F65BCA" w:rsidRDefault="00F65BCA">
                        <w:pPr>
                          <w:rPr>
                            <w:sz w:val="2"/>
                            <w:szCs w:val="2"/>
                          </w:rPr>
                        </w:pPr>
                      </w:p>
                    </w:tc>
                    <w:tc>
                      <w:tcPr>
                        <w:tcW w:w="866" w:type="dxa"/>
                        <w:vMerge w:val="restart"/>
                        <w:shd w:val="clear" w:color="auto" w:fill="FCE4D6"/>
                      </w:tcPr>
                      <w:p w14:paraId="1A0B2BA5" w14:textId="77777777" w:rsidR="00F65BCA" w:rsidRDefault="00F65BCA">
                        <w:pPr>
                          <w:pStyle w:val="TableParagraph"/>
                          <w:spacing w:before="10"/>
                          <w:rPr>
                            <w:rFonts w:ascii="Calibri"/>
                            <w:sz w:val="14"/>
                          </w:rPr>
                        </w:pPr>
                      </w:p>
                      <w:p w14:paraId="39961A34" w14:textId="77777777" w:rsidR="00F65BCA" w:rsidRDefault="00216117">
                        <w:pPr>
                          <w:pStyle w:val="TableParagraph"/>
                          <w:spacing w:before="1"/>
                          <w:ind w:left="122"/>
                          <w:rPr>
                            <w:sz w:val="9"/>
                          </w:rPr>
                        </w:pPr>
                        <w:r>
                          <w:rPr>
                            <w:sz w:val="9"/>
                          </w:rPr>
                          <w:t>1001-1200 ccm</w:t>
                        </w:r>
                      </w:p>
                    </w:tc>
                    <w:tc>
                      <w:tcPr>
                        <w:tcW w:w="866" w:type="dxa"/>
                        <w:shd w:val="clear" w:color="auto" w:fill="FCE4D6"/>
                      </w:tcPr>
                      <w:p w14:paraId="4E781EBF"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714067C4" w14:textId="77777777" w:rsidR="00F65BCA" w:rsidRDefault="00216117">
                        <w:pPr>
                          <w:pStyle w:val="TableParagraph"/>
                          <w:spacing w:before="23"/>
                          <w:ind w:left="20"/>
                          <w:jc w:val="center"/>
                          <w:rPr>
                            <w:sz w:val="9"/>
                          </w:rPr>
                        </w:pPr>
                        <w:r>
                          <w:rPr>
                            <w:w w:val="101"/>
                            <w:sz w:val="9"/>
                          </w:rPr>
                          <w:t>-</w:t>
                        </w:r>
                      </w:p>
                    </w:tc>
                    <w:tc>
                      <w:tcPr>
                        <w:tcW w:w="991" w:type="dxa"/>
                      </w:tcPr>
                      <w:p w14:paraId="4ED9B700" w14:textId="77777777" w:rsidR="00F65BCA" w:rsidRDefault="00216117">
                        <w:pPr>
                          <w:pStyle w:val="TableParagraph"/>
                          <w:spacing w:before="23"/>
                          <w:ind w:left="58" w:right="39"/>
                          <w:jc w:val="center"/>
                          <w:rPr>
                            <w:sz w:val="9"/>
                          </w:rPr>
                        </w:pPr>
                        <w:r>
                          <w:rPr>
                            <w:sz w:val="9"/>
                          </w:rPr>
                          <w:t>1 379,833419</w:t>
                        </w:r>
                      </w:p>
                    </w:tc>
                  </w:tr>
                  <w:tr w:rsidR="00F65BCA" w14:paraId="7267ECDA" w14:textId="77777777">
                    <w:trPr>
                      <w:trHeight w:val="153"/>
                    </w:trPr>
                    <w:tc>
                      <w:tcPr>
                        <w:tcW w:w="998" w:type="dxa"/>
                        <w:vMerge/>
                        <w:tcBorders>
                          <w:top w:val="nil"/>
                        </w:tcBorders>
                        <w:shd w:val="clear" w:color="auto" w:fill="FCE4D6"/>
                      </w:tcPr>
                      <w:p w14:paraId="039E1EDA" w14:textId="77777777" w:rsidR="00F65BCA" w:rsidRDefault="00F65BCA">
                        <w:pPr>
                          <w:rPr>
                            <w:sz w:val="2"/>
                            <w:szCs w:val="2"/>
                          </w:rPr>
                        </w:pPr>
                      </w:p>
                    </w:tc>
                    <w:tc>
                      <w:tcPr>
                        <w:tcW w:w="866" w:type="dxa"/>
                        <w:vMerge/>
                        <w:tcBorders>
                          <w:top w:val="nil"/>
                        </w:tcBorders>
                        <w:shd w:val="clear" w:color="auto" w:fill="FCE4D6"/>
                      </w:tcPr>
                      <w:p w14:paraId="64124B1D" w14:textId="77777777" w:rsidR="00F65BCA" w:rsidRDefault="00F65BCA">
                        <w:pPr>
                          <w:rPr>
                            <w:sz w:val="2"/>
                            <w:szCs w:val="2"/>
                          </w:rPr>
                        </w:pPr>
                      </w:p>
                    </w:tc>
                    <w:tc>
                      <w:tcPr>
                        <w:tcW w:w="866" w:type="dxa"/>
                        <w:shd w:val="clear" w:color="auto" w:fill="FCE4D6"/>
                      </w:tcPr>
                      <w:p w14:paraId="2CD88109"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08DB0685" w14:textId="77777777" w:rsidR="00F65BCA" w:rsidRDefault="00216117">
                        <w:pPr>
                          <w:pStyle w:val="TableParagraph"/>
                          <w:spacing w:before="23"/>
                          <w:ind w:left="20"/>
                          <w:jc w:val="center"/>
                          <w:rPr>
                            <w:sz w:val="9"/>
                          </w:rPr>
                        </w:pPr>
                        <w:r>
                          <w:rPr>
                            <w:w w:val="101"/>
                            <w:sz w:val="9"/>
                          </w:rPr>
                          <w:t>-</w:t>
                        </w:r>
                      </w:p>
                    </w:tc>
                    <w:tc>
                      <w:tcPr>
                        <w:tcW w:w="991" w:type="dxa"/>
                      </w:tcPr>
                      <w:p w14:paraId="5595E465" w14:textId="77777777" w:rsidR="00F65BCA" w:rsidRDefault="00216117">
                        <w:pPr>
                          <w:pStyle w:val="TableParagraph"/>
                          <w:spacing w:before="23"/>
                          <w:ind w:left="58" w:right="39"/>
                          <w:jc w:val="center"/>
                          <w:rPr>
                            <w:sz w:val="9"/>
                          </w:rPr>
                        </w:pPr>
                        <w:r>
                          <w:rPr>
                            <w:sz w:val="9"/>
                          </w:rPr>
                          <w:t>1 511,246125</w:t>
                        </w:r>
                      </w:p>
                    </w:tc>
                  </w:tr>
                  <w:tr w:rsidR="00F65BCA" w14:paraId="24B09FEA" w14:textId="77777777">
                    <w:trPr>
                      <w:trHeight w:val="153"/>
                    </w:trPr>
                    <w:tc>
                      <w:tcPr>
                        <w:tcW w:w="998" w:type="dxa"/>
                        <w:vMerge/>
                        <w:tcBorders>
                          <w:top w:val="nil"/>
                        </w:tcBorders>
                        <w:shd w:val="clear" w:color="auto" w:fill="FCE4D6"/>
                      </w:tcPr>
                      <w:p w14:paraId="17F65232" w14:textId="77777777" w:rsidR="00F65BCA" w:rsidRDefault="00F65BCA">
                        <w:pPr>
                          <w:rPr>
                            <w:sz w:val="2"/>
                            <w:szCs w:val="2"/>
                          </w:rPr>
                        </w:pPr>
                      </w:p>
                    </w:tc>
                    <w:tc>
                      <w:tcPr>
                        <w:tcW w:w="866" w:type="dxa"/>
                        <w:vMerge/>
                        <w:tcBorders>
                          <w:top w:val="nil"/>
                        </w:tcBorders>
                        <w:shd w:val="clear" w:color="auto" w:fill="FCE4D6"/>
                      </w:tcPr>
                      <w:p w14:paraId="5FBC0A53" w14:textId="77777777" w:rsidR="00F65BCA" w:rsidRDefault="00F65BCA">
                        <w:pPr>
                          <w:rPr>
                            <w:sz w:val="2"/>
                            <w:szCs w:val="2"/>
                          </w:rPr>
                        </w:pPr>
                      </w:p>
                    </w:tc>
                    <w:tc>
                      <w:tcPr>
                        <w:tcW w:w="866" w:type="dxa"/>
                        <w:shd w:val="clear" w:color="auto" w:fill="FCE4D6"/>
                      </w:tcPr>
                      <w:p w14:paraId="4BE4FAE7"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2A7A4736" w14:textId="77777777" w:rsidR="00F65BCA" w:rsidRDefault="00216117">
                        <w:pPr>
                          <w:pStyle w:val="TableParagraph"/>
                          <w:spacing w:before="23"/>
                          <w:ind w:left="20"/>
                          <w:jc w:val="center"/>
                          <w:rPr>
                            <w:sz w:val="9"/>
                          </w:rPr>
                        </w:pPr>
                        <w:r>
                          <w:rPr>
                            <w:w w:val="101"/>
                            <w:sz w:val="9"/>
                          </w:rPr>
                          <w:t>-</w:t>
                        </w:r>
                      </w:p>
                    </w:tc>
                    <w:tc>
                      <w:tcPr>
                        <w:tcW w:w="991" w:type="dxa"/>
                      </w:tcPr>
                      <w:p w14:paraId="300AAD8C" w14:textId="77777777" w:rsidR="00F65BCA" w:rsidRDefault="00216117">
                        <w:pPr>
                          <w:pStyle w:val="TableParagraph"/>
                          <w:spacing w:before="23"/>
                          <w:ind w:left="58" w:right="39"/>
                          <w:jc w:val="center"/>
                          <w:rPr>
                            <w:sz w:val="9"/>
                          </w:rPr>
                        </w:pPr>
                        <w:r>
                          <w:rPr>
                            <w:sz w:val="9"/>
                          </w:rPr>
                          <w:t>1 642,658832</w:t>
                        </w:r>
                      </w:p>
                    </w:tc>
                  </w:tr>
                  <w:tr w:rsidR="00F65BCA" w14:paraId="7344603C" w14:textId="77777777">
                    <w:trPr>
                      <w:trHeight w:val="153"/>
                    </w:trPr>
                    <w:tc>
                      <w:tcPr>
                        <w:tcW w:w="998" w:type="dxa"/>
                        <w:vMerge/>
                        <w:tcBorders>
                          <w:top w:val="nil"/>
                        </w:tcBorders>
                        <w:shd w:val="clear" w:color="auto" w:fill="FCE4D6"/>
                      </w:tcPr>
                      <w:p w14:paraId="26F3957F" w14:textId="77777777" w:rsidR="00F65BCA" w:rsidRDefault="00F65BCA">
                        <w:pPr>
                          <w:rPr>
                            <w:sz w:val="2"/>
                            <w:szCs w:val="2"/>
                          </w:rPr>
                        </w:pPr>
                      </w:p>
                    </w:tc>
                    <w:tc>
                      <w:tcPr>
                        <w:tcW w:w="866" w:type="dxa"/>
                        <w:vMerge w:val="restart"/>
                        <w:shd w:val="clear" w:color="auto" w:fill="FCE4D6"/>
                      </w:tcPr>
                      <w:p w14:paraId="69BAF988" w14:textId="77777777" w:rsidR="00F65BCA" w:rsidRDefault="00F65BCA">
                        <w:pPr>
                          <w:pStyle w:val="TableParagraph"/>
                          <w:spacing w:before="10"/>
                          <w:rPr>
                            <w:rFonts w:ascii="Calibri"/>
                            <w:sz w:val="14"/>
                          </w:rPr>
                        </w:pPr>
                      </w:p>
                      <w:p w14:paraId="4503D2CA" w14:textId="77777777" w:rsidR="00F65BCA" w:rsidRDefault="00216117">
                        <w:pPr>
                          <w:pStyle w:val="TableParagraph"/>
                          <w:spacing w:before="1"/>
                          <w:ind w:left="122"/>
                          <w:rPr>
                            <w:sz w:val="9"/>
                          </w:rPr>
                        </w:pPr>
                        <w:r>
                          <w:rPr>
                            <w:sz w:val="9"/>
                          </w:rPr>
                          <w:t>1201-1350 ccm</w:t>
                        </w:r>
                      </w:p>
                    </w:tc>
                    <w:tc>
                      <w:tcPr>
                        <w:tcW w:w="866" w:type="dxa"/>
                        <w:shd w:val="clear" w:color="auto" w:fill="FCE4D6"/>
                      </w:tcPr>
                      <w:p w14:paraId="3EBA56F1"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0DA620F0" w14:textId="77777777" w:rsidR="00F65BCA" w:rsidRDefault="00216117">
                        <w:pPr>
                          <w:pStyle w:val="TableParagraph"/>
                          <w:spacing w:before="23"/>
                          <w:ind w:left="20"/>
                          <w:jc w:val="center"/>
                          <w:rPr>
                            <w:sz w:val="9"/>
                          </w:rPr>
                        </w:pPr>
                        <w:r>
                          <w:rPr>
                            <w:w w:val="101"/>
                            <w:sz w:val="9"/>
                          </w:rPr>
                          <w:t>-</w:t>
                        </w:r>
                      </w:p>
                    </w:tc>
                    <w:tc>
                      <w:tcPr>
                        <w:tcW w:w="991" w:type="dxa"/>
                      </w:tcPr>
                      <w:p w14:paraId="394A524F" w14:textId="77777777" w:rsidR="00F65BCA" w:rsidRDefault="00216117">
                        <w:pPr>
                          <w:pStyle w:val="TableParagraph"/>
                          <w:spacing w:before="23"/>
                          <w:ind w:left="58" w:right="39"/>
                          <w:jc w:val="center"/>
                          <w:rPr>
                            <w:sz w:val="9"/>
                          </w:rPr>
                        </w:pPr>
                        <w:r>
                          <w:rPr>
                            <w:sz w:val="9"/>
                          </w:rPr>
                          <w:t>1 554,295116</w:t>
                        </w:r>
                      </w:p>
                    </w:tc>
                  </w:tr>
                  <w:tr w:rsidR="00F65BCA" w14:paraId="77F280E0" w14:textId="77777777">
                    <w:trPr>
                      <w:trHeight w:val="153"/>
                    </w:trPr>
                    <w:tc>
                      <w:tcPr>
                        <w:tcW w:w="998" w:type="dxa"/>
                        <w:vMerge/>
                        <w:tcBorders>
                          <w:top w:val="nil"/>
                        </w:tcBorders>
                        <w:shd w:val="clear" w:color="auto" w:fill="FCE4D6"/>
                      </w:tcPr>
                      <w:p w14:paraId="212CDF33" w14:textId="77777777" w:rsidR="00F65BCA" w:rsidRDefault="00F65BCA">
                        <w:pPr>
                          <w:rPr>
                            <w:sz w:val="2"/>
                            <w:szCs w:val="2"/>
                          </w:rPr>
                        </w:pPr>
                      </w:p>
                    </w:tc>
                    <w:tc>
                      <w:tcPr>
                        <w:tcW w:w="866" w:type="dxa"/>
                        <w:vMerge/>
                        <w:tcBorders>
                          <w:top w:val="nil"/>
                        </w:tcBorders>
                        <w:shd w:val="clear" w:color="auto" w:fill="FCE4D6"/>
                      </w:tcPr>
                      <w:p w14:paraId="517B75AD" w14:textId="77777777" w:rsidR="00F65BCA" w:rsidRDefault="00F65BCA">
                        <w:pPr>
                          <w:rPr>
                            <w:sz w:val="2"/>
                            <w:szCs w:val="2"/>
                          </w:rPr>
                        </w:pPr>
                      </w:p>
                    </w:tc>
                    <w:tc>
                      <w:tcPr>
                        <w:tcW w:w="866" w:type="dxa"/>
                        <w:shd w:val="clear" w:color="auto" w:fill="FCE4D6"/>
                      </w:tcPr>
                      <w:p w14:paraId="085E5900"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2688FEBD" w14:textId="77777777" w:rsidR="00F65BCA" w:rsidRDefault="00216117">
                        <w:pPr>
                          <w:pStyle w:val="TableParagraph"/>
                          <w:spacing w:before="23"/>
                          <w:ind w:left="20"/>
                          <w:jc w:val="center"/>
                          <w:rPr>
                            <w:sz w:val="9"/>
                          </w:rPr>
                        </w:pPr>
                        <w:r>
                          <w:rPr>
                            <w:w w:val="101"/>
                            <w:sz w:val="9"/>
                          </w:rPr>
                          <w:t>-</w:t>
                        </w:r>
                      </w:p>
                    </w:tc>
                    <w:tc>
                      <w:tcPr>
                        <w:tcW w:w="991" w:type="dxa"/>
                      </w:tcPr>
                      <w:p w14:paraId="70A152CD" w14:textId="77777777" w:rsidR="00F65BCA" w:rsidRDefault="00216117">
                        <w:pPr>
                          <w:pStyle w:val="TableParagraph"/>
                          <w:spacing w:before="23"/>
                          <w:ind w:left="58" w:right="39"/>
                          <w:jc w:val="center"/>
                          <w:rPr>
                            <w:sz w:val="9"/>
                          </w:rPr>
                        </w:pPr>
                        <w:r>
                          <w:rPr>
                            <w:sz w:val="9"/>
                          </w:rPr>
                          <w:t>1 702,323222</w:t>
                        </w:r>
                      </w:p>
                    </w:tc>
                  </w:tr>
                  <w:tr w:rsidR="00F65BCA" w14:paraId="71A471B5" w14:textId="77777777">
                    <w:trPr>
                      <w:trHeight w:val="153"/>
                    </w:trPr>
                    <w:tc>
                      <w:tcPr>
                        <w:tcW w:w="998" w:type="dxa"/>
                        <w:vMerge/>
                        <w:tcBorders>
                          <w:top w:val="nil"/>
                        </w:tcBorders>
                        <w:shd w:val="clear" w:color="auto" w:fill="FCE4D6"/>
                      </w:tcPr>
                      <w:p w14:paraId="2D46FBB3" w14:textId="77777777" w:rsidR="00F65BCA" w:rsidRDefault="00F65BCA">
                        <w:pPr>
                          <w:rPr>
                            <w:sz w:val="2"/>
                            <w:szCs w:val="2"/>
                          </w:rPr>
                        </w:pPr>
                      </w:p>
                    </w:tc>
                    <w:tc>
                      <w:tcPr>
                        <w:tcW w:w="866" w:type="dxa"/>
                        <w:vMerge/>
                        <w:tcBorders>
                          <w:top w:val="nil"/>
                        </w:tcBorders>
                        <w:shd w:val="clear" w:color="auto" w:fill="FCE4D6"/>
                      </w:tcPr>
                      <w:p w14:paraId="1732D247" w14:textId="77777777" w:rsidR="00F65BCA" w:rsidRDefault="00F65BCA">
                        <w:pPr>
                          <w:rPr>
                            <w:sz w:val="2"/>
                            <w:szCs w:val="2"/>
                          </w:rPr>
                        </w:pPr>
                      </w:p>
                    </w:tc>
                    <w:tc>
                      <w:tcPr>
                        <w:tcW w:w="866" w:type="dxa"/>
                        <w:shd w:val="clear" w:color="auto" w:fill="FCE4D6"/>
                      </w:tcPr>
                      <w:p w14:paraId="13B9B5E1"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5683222C" w14:textId="77777777" w:rsidR="00F65BCA" w:rsidRDefault="00216117">
                        <w:pPr>
                          <w:pStyle w:val="TableParagraph"/>
                          <w:spacing w:before="23"/>
                          <w:ind w:left="20"/>
                          <w:jc w:val="center"/>
                          <w:rPr>
                            <w:sz w:val="9"/>
                          </w:rPr>
                        </w:pPr>
                        <w:r>
                          <w:rPr>
                            <w:w w:val="101"/>
                            <w:sz w:val="9"/>
                          </w:rPr>
                          <w:t>-</w:t>
                        </w:r>
                      </w:p>
                    </w:tc>
                    <w:tc>
                      <w:tcPr>
                        <w:tcW w:w="991" w:type="dxa"/>
                      </w:tcPr>
                      <w:p w14:paraId="7FC2DCFA" w14:textId="77777777" w:rsidR="00F65BCA" w:rsidRDefault="00216117">
                        <w:pPr>
                          <w:pStyle w:val="TableParagraph"/>
                          <w:spacing w:before="23"/>
                          <w:ind w:left="58" w:right="39"/>
                          <w:jc w:val="center"/>
                          <w:rPr>
                            <w:sz w:val="9"/>
                          </w:rPr>
                        </w:pPr>
                        <w:r>
                          <w:rPr>
                            <w:sz w:val="9"/>
                          </w:rPr>
                          <w:t>1 850,351328</w:t>
                        </w:r>
                      </w:p>
                    </w:tc>
                  </w:tr>
                  <w:tr w:rsidR="00F65BCA" w14:paraId="1B768EE4" w14:textId="77777777">
                    <w:trPr>
                      <w:trHeight w:val="153"/>
                    </w:trPr>
                    <w:tc>
                      <w:tcPr>
                        <w:tcW w:w="998" w:type="dxa"/>
                        <w:vMerge/>
                        <w:tcBorders>
                          <w:top w:val="nil"/>
                        </w:tcBorders>
                        <w:shd w:val="clear" w:color="auto" w:fill="FCE4D6"/>
                      </w:tcPr>
                      <w:p w14:paraId="4CAB1594" w14:textId="77777777" w:rsidR="00F65BCA" w:rsidRDefault="00F65BCA">
                        <w:pPr>
                          <w:rPr>
                            <w:sz w:val="2"/>
                            <w:szCs w:val="2"/>
                          </w:rPr>
                        </w:pPr>
                      </w:p>
                    </w:tc>
                    <w:tc>
                      <w:tcPr>
                        <w:tcW w:w="866" w:type="dxa"/>
                        <w:vMerge w:val="restart"/>
                        <w:shd w:val="clear" w:color="auto" w:fill="FCE4D6"/>
                      </w:tcPr>
                      <w:p w14:paraId="5A67AD19" w14:textId="77777777" w:rsidR="00F65BCA" w:rsidRDefault="00F65BCA">
                        <w:pPr>
                          <w:pStyle w:val="TableParagraph"/>
                          <w:spacing w:before="10"/>
                          <w:rPr>
                            <w:rFonts w:ascii="Calibri"/>
                            <w:sz w:val="14"/>
                          </w:rPr>
                        </w:pPr>
                      </w:p>
                      <w:p w14:paraId="56688C38" w14:textId="77777777" w:rsidR="00F65BCA" w:rsidRDefault="00216117">
                        <w:pPr>
                          <w:pStyle w:val="TableParagraph"/>
                          <w:spacing w:before="1"/>
                          <w:ind w:left="122"/>
                          <w:rPr>
                            <w:sz w:val="9"/>
                          </w:rPr>
                        </w:pPr>
                        <w:r>
                          <w:rPr>
                            <w:sz w:val="9"/>
                          </w:rPr>
                          <w:t>1351-1450 ccm</w:t>
                        </w:r>
                      </w:p>
                    </w:tc>
                    <w:tc>
                      <w:tcPr>
                        <w:tcW w:w="866" w:type="dxa"/>
                        <w:shd w:val="clear" w:color="auto" w:fill="FCE4D6"/>
                      </w:tcPr>
                      <w:p w14:paraId="03D82F04"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17906ACC" w14:textId="77777777" w:rsidR="00F65BCA" w:rsidRDefault="00216117">
                        <w:pPr>
                          <w:pStyle w:val="TableParagraph"/>
                          <w:spacing w:before="23"/>
                          <w:ind w:left="20"/>
                          <w:jc w:val="center"/>
                          <w:rPr>
                            <w:sz w:val="9"/>
                          </w:rPr>
                        </w:pPr>
                        <w:r>
                          <w:rPr>
                            <w:w w:val="101"/>
                            <w:sz w:val="9"/>
                          </w:rPr>
                          <w:t>-</w:t>
                        </w:r>
                      </w:p>
                    </w:tc>
                    <w:tc>
                      <w:tcPr>
                        <w:tcW w:w="991" w:type="dxa"/>
                      </w:tcPr>
                      <w:p w14:paraId="1A5DCC62" w14:textId="77777777" w:rsidR="00F65BCA" w:rsidRDefault="00216117">
                        <w:pPr>
                          <w:pStyle w:val="TableParagraph"/>
                          <w:spacing w:before="23"/>
                          <w:ind w:left="58" w:right="39"/>
                          <w:jc w:val="center"/>
                          <w:rPr>
                            <w:sz w:val="9"/>
                          </w:rPr>
                        </w:pPr>
                        <w:r>
                          <w:rPr>
                            <w:sz w:val="9"/>
                          </w:rPr>
                          <w:t>1 554,295116</w:t>
                        </w:r>
                      </w:p>
                    </w:tc>
                  </w:tr>
                  <w:tr w:rsidR="00F65BCA" w14:paraId="776A7BD4" w14:textId="77777777">
                    <w:trPr>
                      <w:trHeight w:val="153"/>
                    </w:trPr>
                    <w:tc>
                      <w:tcPr>
                        <w:tcW w:w="998" w:type="dxa"/>
                        <w:vMerge/>
                        <w:tcBorders>
                          <w:top w:val="nil"/>
                        </w:tcBorders>
                        <w:shd w:val="clear" w:color="auto" w:fill="FCE4D6"/>
                      </w:tcPr>
                      <w:p w14:paraId="2E5478A7" w14:textId="77777777" w:rsidR="00F65BCA" w:rsidRDefault="00F65BCA">
                        <w:pPr>
                          <w:rPr>
                            <w:sz w:val="2"/>
                            <w:szCs w:val="2"/>
                          </w:rPr>
                        </w:pPr>
                      </w:p>
                    </w:tc>
                    <w:tc>
                      <w:tcPr>
                        <w:tcW w:w="866" w:type="dxa"/>
                        <w:vMerge/>
                        <w:tcBorders>
                          <w:top w:val="nil"/>
                        </w:tcBorders>
                        <w:shd w:val="clear" w:color="auto" w:fill="FCE4D6"/>
                      </w:tcPr>
                      <w:p w14:paraId="79A55E81" w14:textId="77777777" w:rsidR="00F65BCA" w:rsidRDefault="00F65BCA">
                        <w:pPr>
                          <w:rPr>
                            <w:sz w:val="2"/>
                            <w:szCs w:val="2"/>
                          </w:rPr>
                        </w:pPr>
                      </w:p>
                    </w:tc>
                    <w:tc>
                      <w:tcPr>
                        <w:tcW w:w="866" w:type="dxa"/>
                        <w:shd w:val="clear" w:color="auto" w:fill="FCE4D6"/>
                      </w:tcPr>
                      <w:p w14:paraId="582771C6"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7C449CF5" w14:textId="77777777" w:rsidR="00F65BCA" w:rsidRDefault="00216117">
                        <w:pPr>
                          <w:pStyle w:val="TableParagraph"/>
                          <w:spacing w:before="23"/>
                          <w:ind w:left="20"/>
                          <w:jc w:val="center"/>
                          <w:rPr>
                            <w:sz w:val="9"/>
                          </w:rPr>
                        </w:pPr>
                        <w:r>
                          <w:rPr>
                            <w:w w:val="101"/>
                            <w:sz w:val="9"/>
                          </w:rPr>
                          <w:t>-</w:t>
                        </w:r>
                      </w:p>
                    </w:tc>
                    <w:tc>
                      <w:tcPr>
                        <w:tcW w:w="991" w:type="dxa"/>
                      </w:tcPr>
                      <w:p w14:paraId="6F464FA6" w14:textId="77777777" w:rsidR="00F65BCA" w:rsidRDefault="00216117">
                        <w:pPr>
                          <w:pStyle w:val="TableParagraph"/>
                          <w:spacing w:before="23"/>
                          <w:ind w:left="58" w:right="39"/>
                          <w:jc w:val="center"/>
                          <w:rPr>
                            <w:sz w:val="9"/>
                          </w:rPr>
                        </w:pPr>
                        <w:r>
                          <w:rPr>
                            <w:sz w:val="9"/>
                          </w:rPr>
                          <w:t>1 702,323222</w:t>
                        </w:r>
                      </w:p>
                    </w:tc>
                  </w:tr>
                  <w:tr w:rsidR="00F65BCA" w14:paraId="090BD948" w14:textId="77777777">
                    <w:trPr>
                      <w:trHeight w:val="153"/>
                    </w:trPr>
                    <w:tc>
                      <w:tcPr>
                        <w:tcW w:w="998" w:type="dxa"/>
                        <w:vMerge/>
                        <w:tcBorders>
                          <w:top w:val="nil"/>
                        </w:tcBorders>
                        <w:shd w:val="clear" w:color="auto" w:fill="FCE4D6"/>
                      </w:tcPr>
                      <w:p w14:paraId="4B1D5CD7" w14:textId="77777777" w:rsidR="00F65BCA" w:rsidRDefault="00F65BCA">
                        <w:pPr>
                          <w:rPr>
                            <w:sz w:val="2"/>
                            <w:szCs w:val="2"/>
                          </w:rPr>
                        </w:pPr>
                      </w:p>
                    </w:tc>
                    <w:tc>
                      <w:tcPr>
                        <w:tcW w:w="866" w:type="dxa"/>
                        <w:vMerge/>
                        <w:tcBorders>
                          <w:top w:val="nil"/>
                        </w:tcBorders>
                        <w:shd w:val="clear" w:color="auto" w:fill="FCE4D6"/>
                      </w:tcPr>
                      <w:p w14:paraId="407F8271" w14:textId="77777777" w:rsidR="00F65BCA" w:rsidRDefault="00F65BCA">
                        <w:pPr>
                          <w:rPr>
                            <w:sz w:val="2"/>
                            <w:szCs w:val="2"/>
                          </w:rPr>
                        </w:pPr>
                      </w:p>
                    </w:tc>
                    <w:tc>
                      <w:tcPr>
                        <w:tcW w:w="866" w:type="dxa"/>
                        <w:shd w:val="clear" w:color="auto" w:fill="FCE4D6"/>
                      </w:tcPr>
                      <w:p w14:paraId="76BBF6D3"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23F8EB53" w14:textId="77777777" w:rsidR="00F65BCA" w:rsidRDefault="00216117">
                        <w:pPr>
                          <w:pStyle w:val="TableParagraph"/>
                          <w:spacing w:before="23"/>
                          <w:ind w:left="20"/>
                          <w:jc w:val="center"/>
                          <w:rPr>
                            <w:sz w:val="9"/>
                          </w:rPr>
                        </w:pPr>
                        <w:r>
                          <w:rPr>
                            <w:w w:val="101"/>
                            <w:sz w:val="9"/>
                          </w:rPr>
                          <w:t>-</w:t>
                        </w:r>
                      </w:p>
                    </w:tc>
                    <w:tc>
                      <w:tcPr>
                        <w:tcW w:w="991" w:type="dxa"/>
                      </w:tcPr>
                      <w:p w14:paraId="1F688D92" w14:textId="77777777" w:rsidR="00F65BCA" w:rsidRDefault="00216117">
                        <w:pPr>
                          <w:pStyle w:val="TableParagraph"/>
                          <w:spacing w:before="23"/>
                          <w:ind w:left="58" w:right="39"/>
                          <w:jc w:val="center"/>
                          <w:rPr>
                            <w:sz w:val="9"/>
                          </w:rPr>
                        </w:pPr>
                        <w:r>
                          <w:rPr>
                            <w:sz w:val="9"/>
                          </w:rPr>
                          <w:t>1 850,351328</w:t>
                        </w:r>
                      </w:p>
                    </w:tc>
                  </w:tr>
                  <w:tr w:rsidR="00F65BCA" w14:paraId="2AF0D22A" w14:textId="77777777">
                    <w:trPr>
                      <w:trHeight w:val="153"/>
                    </w:trPr>
                    <w:tc>
                      <w:tcPr>
                        <w:tcW w:w="998" w:type="dxa"/>
                        <w:vMerge/>
                        <w:tcBorders>
                          <w:top w:val="nil"/>
                        </w:tcBorders>
                        <w:shd w:val="clear" w:color="auto" w:fill="FCE4D6"/>
                      </w:tcPr>
                      <w:p w14:paraId="269B5E53" w14:textId="77777777" w:rsidR="00F65BCA" w:rsidRDefault="00F65BCA">
                        <w:pPr>
                          <w:rPr>
                            <w:sz w:val="2"/>
                            <w:szCs w:val="2"/>
                          </w:rPr>
                        </w:pPr>
                      </w:p>
                    </w:tc>
                    <w:tc>
                      <w:tcPr>
                        <w:tcW w:w="866" w:type="dxa"/>
                        <w:vMerge w:val="restart"/>
                        <w:shd w:val="clear" w:color="auto" w:fill="FCE4D6"/>
                      </w:tcPr>
                      <w:p w14:paraId="317E4E5A" w14:textId="77777777" w:rsidR="00F65BCA" w:rsidRDefault="00F65BCA">
                        <w:pPr>
                          <w:pStyle w:val="TableParagraph"/>
                          <w:spacing w:before="10"/>
                          <w:rPr>
                            <w:rFonts w:ascii="Calibri"/>
                            <w:sz w:val="14"/>
                          </w:rPr>
                        </w:pPr>
                      </w:p>
                      <w:p w14:paraId="55908F03" w14:textId="77777777" w:rsidR="00F65BCA" w:rsidRDefault="00216117">
                        <w:pPr>
                          <w:pStyle w:val="TableParagraph"/>
                          <w:spacing w:before="1"/>
                          <w:ind w:left="122"/>
                          <w:rPr>
                            <w:sz w:val="9"/>
                          </w:rPr>
                        </w:pPr>
                        <w:r>
                          <w:rPr>
                            <w:sz w:val="9"/>
                          </w:rPr>
                          <w:t>1451-1650 ccm</w:t>
                        </w:r>
                      </w:p>
                    </w:tc>
                    <w:tc>
                      <w:tcPr>
                        <w:tcW w:w="866" w:type="dxa"/>
                        <w:shd w:val="clear" w:color="auto" w:fill="FCE4D6"/>
                      </w:tcPr>
                      <w:p w14:paraId="25CB4866"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02A53086" w14:textId="77777777" w:rsidR="00F65BCA" w:rsidRDefault="00216117">
                        <w:pPr>
                          <w:pStyle w:val="TableParagraph"/>
                          <w:spacing w:before="23"/>
                          <w:ind w:left="20"/>
                          <w:jc w:val="center"/>
                          <w:rPr>
                            <w:sz w:val="9"/>
                          </w:rPr>
                        </w:pPr>
                        <w:r>
                          <w:rPr>
                            <w:w w:val="101"/>
                            <w:sz w:val="9"/>
                          </w:rPr>
                          <w:t>-</w:t>
                        </w:r>
                      </w:p>
                    </w:tc>
                    <w:tc>
                      <w:tcPr>
                        <w:tcW w:w="991" w:type="dxa"/>
                      </w:tcPr>
                      <w:p w14:paraId="16433264" w14:textId="77777777" w:rsidR="00F65BCA" w:rsidRDefault="00216117">
                        <w:pPr>
                          <w:pStyle w:val="TableParagraph"/>
                          <w:spacing w:before="23"/>
                          <w:ind w:left="58" w:right="39"/>
                          <w:jc w:val="center"/>
                          <w:rPr>
                            <w:sz w:val="9"/>
                          </w:rPr>
                        </w:pPr>
                        <w:r>
                          <w:rPr>
                            <w:sz w:val="9"/>
                          </w:rPr>
                          <w:t>1 593,945501</w:t>
                        </w:r>
                      </w:p>
                    </w:tc>
                  </w:tr>
                  <w:tr w:rsidR="00F65BCA" w14:paraId="1B95440E" w14:textId="77777777">
                    <w:trPr>
                      <w:trHeight w:val="153"/>
                    </w:trPr>
                    <w:tc>
                      <w:tcPr>
                        <w:tcW w:w="998" w:type="dxa"/>
                        <w:vMerge/>
                        <w:tcBorders>
                          <w:top w:val="nil"/>
                        </w:tcBorders>
                        <w:shd w:val="clear" w:color="auto" w:fill="FCE4D6"/>
                      </w:tcPr>
                      <w:p w14:paraId="73BB69B3" w14:textId="77777777" w:rsidR="00F65BCA" w:rsidRDefault="00F65BCA">
                        <w:pPr>
                          <w:rPr>
                            <w:sz w:val="2"/>
                            <w:szCs w:val="2"/>
                          </w:rPr>
                        </w:pPr>
                      </w:p>
                    </w:tc>
                    <w:tc>
                      <w:tcPr>
                        <w:tcW w:w="866" w:type="dxa"/>
                        <w:vMerge/>
                        <w:tcBorders>
                          <w:top w:val="nil"/>
                        </w:tcBorders>
                        <w:shd w:val="clear" w:color="auto" w:fill="FCE4D6"/>
                      </w:tcPr>
                      <w:p w14:paraId="77D2ED10" w14:textId="77777777" w:rsidR="00F65BCA" w:rsidRDefault="00F65BCA">
                        <w:pPr>
                          <w:rPr>
                            <w:sz w:val="2"/>
                            <w:szCs w:val="2"/>
                          </w:rPr>
                        </w:pPr>
                      </w:p>
                    </w:tc>
                    <w:tc>
                      <w:tcPr>
                        <w:tcW w:w="866" w:type="dxa"/>
                        <w:shd w:val="clear" w:color="auto" w:fill="FCE4D6"/>
                      </w:tcPr>
                      <w:p w14:paraId="71DD7486"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57CC204E" w14:textId="77777777" w:rsidR="00F65BCA" w:rsidRDefault="00216117">
                        <w:pPr>
                          <w:pStyle w:val="TableParagraph"/>
                          <w:spacing w:before="23"/>
                          <w:ind w:left="20"/>
                          <w:jc w:val="center"/>
                          <w:rPr>
                            <w:sz w:val="9"/>
                          </w:rPr>
                        </w:pPr>
                        <w:r>
                          <w:rPr>
                            <w:w w:val="101"/>
                            <w:sz w:val="9"/>
                          </w:rPr>
                          <w:t>-</w:t>
                        </w:r>
                      </w:p>
                    </w:tc>
                    <w:tc>
                      <w:tcPr>
                        <w:tcW w:w="991" w:type="dxa"/>
                      </w:tcPr>
                      <w:p w14:paraId="4D003244" w14:textId="77777777" w:rsidR="00F65BCA" w:rsidRDefault="00216117">
                        <w:pPr>
                          <w:pStyle w:val="TableParagraph"/>
                          <w:spacing w:before="23"/>
                          <w:ind w:left="58" w:right="39"/>
                          <w:jc w:val="center"/>
                          <w:rPr>
                            <w:sz w:val="9"/>
                          </w:rPr>
                        </w:pPr>
                        <w:r>
                          <w:rPr>
                            <w:sz w:val="9"/>
                          </w:rPr>
                          <w:t>1 745,749835</w:t>
                        </w:r>
                      </w:p>
                    </w:tc>
                  </w:tr>
                  <w:tr w:rsidR="00F65BCA" w14:paraId="2E1A3989" w14:textId="77777777">
                    <w:trPr>
                      <w:trHeight w:val="153"/>
                    </w:trPr>
                    <w:tc>
                      <w:tcPr>
                        <w:tcW w:w="998" w:type="dxa"/>
                        <w:vMerge/>
                        <w:tcBorders>
                          <w:top w:val="nil"/>
                        </w:tcBorders>
                        <w:shd w:val="clear" w:color="auto" w:fill="FCE4D6"/>
                      </w:tcPr>
                      <w:p w14:paraId="48608F66" w14:textId="77777777" w:rsidR="00F65BCA" w:rsidRDefault="00F65BCA">
                        <w:pPr>
                          <w:rPr>
                            <w:sz w:val="2"/>
                            <w:szCs w:val="2"/>
                          </w:rPr>
                        </w:pPr>
                      </w:p>
                    </w:tc>
                    <w:tc>
                      <w:tcPr>
                        <w:tcW w:w="866" w:type="dxa"/>
                        <w:vMerge/>
                        <w:tcBorders>
                          <w:top w:val="nil"/>
                        </w:tcBorders>
                        <w:shd w:val="clear" w:color="auto" w:fill="FCE4D6"/>
                      </w:tcPr>
                      <w:p w14:paraId="3B6A0C61" w14:textId="77777777" w:rsidR="00F65BCA" w:rsidRDefault="00F65BCA">
                        <w:pPr>
                          <w:rPr>
                            <w:sz w:val="2"/>
                            <w:szCs w:val="2"/>
                          </w:rPr>
                        </w:pPr>
                      </w:p>
                    </w:tc>
                    <w:tc>
                      <w:tcPr>
                        <w:tcW w:w="866" w:type="dxa"/>
                        <w:shd w:val="clear" w:color="auto" w:fill="FCE4D6"/>
                      </w:tcPr>
                      <w:p w14:paraId="6E69B449"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6836468F" w14:textId="77777777" w:rsidR="00F65BCA" w:rsidRDefault="00216117">
                        <w:pPr>
                          <w:pStyle w:val="TableParagraph"/>
                          <w:spacing w:before="23"/>
                          <w:ind w:left="20"/>
                          <w:jc w:val="center"/>
                          <w:rPr>
                            <w:sz w:val="9"/>
                          </w:rPr>
                        </w:pPr>
                        <w:r>
                          <w:rPr>
                            <w:w w:val="101"/>
                            <w:sz w:val="9"/>
                          </w:rPr>
                          <w:t>-</w:t>
                        </w:r>
                      </w:p>
                    </w:tc>
                    <w:tc>
                      <w:tcPr>
                        <w:tcW w:w="991" w:type="dxa"/>
                      </w:tcPr>
                      <w:p w14:paraId="053DC77A" w14:textId="77777777" w:rsidR="00F65BCA" w:rsidRDefault="00216117">
                        <w:pPr>
                          <w:pStyle w:val="TableParagraph"/>
                          <w:spacing w:before="23"/>
                          <w:ind w:left="58" w:right="39"/>
                          <w:jc w:val="center"/>
                          <w:rPr>
                            <w:sz w:val="9"/>
                          </w:rPr>
                        </w:pPr>
                        <w:r>
                          <w:rPr>
                            <w:sz w:val="9"/>
                          </w:rPr>
                          <w:t>1 897,554168</w:t>
                        </w:r>
                      </w:p>
                    </w:tc>
                  </w:tr>
                  <w:tr w:rsidR="00F65BCA" w14:paraId="6D66B0F4" w14:textId="77777777">
                    <w:trPr>
                      <w:trHeight w:val="153"/>
                    </w:trPr>
                    <w:tc>
                      <w:tcPr>
                        <w:tcW w:w="998" w:type="dxa"/>
                        <w:vMerge/>
                        <w:tcBorders>
                          <w:top w:val="nil"/>
                        </w:tcBorders>
                        <w:shd w:val="clear" w:color="auto" w:fill="FCE4D6"/>
                      </w:tcPr>
                      <w:p w14:paraId="3F1E08AC" w14:textId="77777777" w:rsidR="00F65BCA" w:rsidRDefault="00F65BCA">
                        <w:pPr>
                          <w:rPr>
                            <w:sz w:val="2"/>
                            <w:szCs w:val="2"/>
                          </w:rPr>
                        </w:pPr>
                      </w:p>
                    </w:tc>
                    <w:tc>
                      <w:tcPr>
                        <w:tcW w:w="866" w:type="dxa"/>
                        <w:vMerge w:val="restart"/>
                        <w:shd w:val="clear" w:color="auto" w:fill="FCE4D6"/>
                      </w:tcPr>
                      <w:p w14:paraId="7E3F8865" w14:textId="77777777" w:rsidR="00F65BCA" w:rsidRDefault="00F65BCA">
                        <w:pPr>
                          <w:pStyle w:val="TableParagraph"/>
                          <w:spacing w:before="10"/>
                          <w:rPr>
                            <w:rFonts w:ascii="Calibri"/>
                            <w:sz w:val="14"/>
                          </w:rPr>
                        </w:pPr>
                      </w:p>
                      <w:p w14:paraId="666089B1" w14:textId="77777777" w:rsidR="00F65BCA" w:rsidRDefault="00216117">
                        <w:pPr>
                          <w:pStyle w:val="TableParagraph"/>
                          <w:spacing w:before="1"/>
                          <w:ind w:left="122"/>
                          <w:rPr>
                            <w:sz w:val="9"/>
                          </w:rPr>
                        </w:pPr>
                        <w:r>
                          <w:rPr>
                            <w:sz w:val="9"/>
                          </w:rPr>
                          <w:t>1651-1800 ccm</w:t>
                        </w:r>
                      </w:p>
                    </w:tc>
                    <w:tc>
                      <w:tcPr>
                        <w:tcW w:w="866" w:type="dxa"/>
                        <w:shd w:val="clear" w:color="auto" w:fill="FCE4D6"/>
                      </w:tcPr>
                      <w:p w14:paraId="208F4702"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33A3ED4C" w14:textId="77777777" w:rsidR="00F65BCA" w:rsidRDefault="00216117">
                        <w:pPr>
                          <w:pStyle w:val="TableParagraph"/>
                          <w:spacing w:before="23"/>
                          <w:ind w:left="20"/>
                          <w:jc w:val="center"/>
                          <w:rPr>
                            <w:sz w:val="9"/>
                          </w:rPr>
                        </w:pPr>
                        <w:r>
                          <w:rPr>
                            <w:w w:val="101"/>
                            <w:sz w:val="9"/>
                          </w:rPr>
                          <w:t>-</w:t>
                        </w:r>
                      </w:p>
                    </w:tc>
                    <w:tc>
                      <w:tcPr>
                        <w:tcW w:w="991" w:type="dxa"/>
                      </w:tcPr>
                      <w:p w14:paraId="32D340B8" w14:textId="77777777" w:rsidR="00F65BCA" w:rsidRDefault="00216117">
                        <w:pPr>
                          <w:pStyle w:val="TableParagraph"/>
                          <w:spacing w:before="23"/>
                          <w:ind w:left="58" w:right="39"/>
                          <w:jc w:val="center"/>
                          <w:rPr>
                            <w:sz w:val="9"/>
                          </w:rPr>
                        </w:pPr>
                        <w:r>
                          <w:rPr>
                            <w:sz w:val="9"/>
                          </w:rPr>
                          <w:t>1 633,595887</w:t>
                        </w:r>
                      </w:p>
                    </w:tc>
                  </w:tr>
                  <w:tr w:rsidR="00F65BCA" w14:paraId="60559574" w14:textId="77777777">
                    <w:trPr>
                      <w:trHeight w:val="153"/>
                    </w:trPr>
                    <w:tc>
                      <w:tcPr>
                        <w:tcW w:w="998" w:type="dxa"/>
                        <w:vMerge/>
                        <w:tcBorders>
                          <w:top w:val="nil"/>
                        </w:tcBorders>
                        <w:shd w:val="clear" w:color="auto" w:fill="FCE4D6"/>
                      </w:tcPr>
                      <w:p w14:paraId="179F5FE1" w14:textId="77777777" w:rsidR="00F65BCA" w:rsidRDefault="00F65BCA">
                        <w:pPr>
                          <w:rPr>
                            <w:sz w:val="2"/>
                            <w:szCs w:val="2"/>
                          </w:rPr>
                        </w:pPr>
                      </w:p>
                    </w:tc>
                    <w:tc>
                      <w:tcPr>
                        <w:tcW w:w="866" w:type="dxa"/>
                        <w:vMerge/>
                        <w:tcBorders>
                          <w:top w:val="nil"/>
                        </w:tcBorders>
                        <w:shd w:val="clear" w:color="auto" w:fill="FCE4D6"/>
                      </w:tcPr>
                      <w:p w14:paraId="582DE91E" w14:textId="77777777" w:rsidR="00F65BCA" w:rsidRDefault="00F65BCA">
                        <w:pPr>
                          <w:rPr>
                            <w:sz w:val="2"/>
                            <w:szCs w:val="2"/>
                          </w:rPr>
                        </w:pPr>
                      </w:p>
                    </w:tc>
                    <w:tc>
                      <w:tcPr>
                        <w:tcW w:w="866" w:type="dxa"/>
                        <w:shd w:val="clear" w:color="auto" w:fill="FCE4D6"/>
                      </w:tcPr>
                      <w:p w14:paraId="74550E72"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7E18107D" w14:textId="77777777" w:rsidR="00F65BCA" w:rsidRDefault="00216117">
                        <w:pPr>
                          <w:pStyle w:val="TableParagraph"/>
                          <w:spacing w:before="23"/>
                          <w:ind w:left="20"/>
                          <w:jc w:val="center"/>
                          <w:rPr>
                            <w:sz w:val="9"/>
                          </w:rPr>
                        </w:pPr>
                        <w:r>
                          <w:rPr>
                            <w:w w:val="101"/>
                            <w:sz w:val="9"/>
                          </w:rPr>
                          <w:t>-</w:t>
                        </w:r>
                      </w:p>
                    </w:tc>
                    <w:tc>
                      <w:tcPr>
                        <w:tcW w:w="991" w:type="dxa"/>
                      </w:tcPr>
                      <w:p w14:paraId="7C3D8CF5" w14:textId="77777777" w:rsidR="00F65BCA" w:rsidRDefault="00216117">
                        <w:pPr>
                          <w:pStyle w:val="TableParagraph"/>
                          <w:spacing w:before="23"/>
                          <w:ind w:left="58" w:right="39"/>
                          <w:jc w:val="center"/>
                          <w:rPr>
                            <w:sz w:val="9"/>
                          </w:rPr>
                        </w:pPr>
                        <w:r>
                          <w:rPr>
                            <w:sz w:val="9"/>
                          </w:rPr>
                          <w:t>1 789,176447</w:t>
                        </w:r>
                      </w:p>
                    </w:tc>
                  </w:tr>
                  <w:tr w:rsidR="00F65BCA" w14:paraId="756DAA00" w14:textId="77777777">
                    <w:trPr>
                      <w:trHeight w:val="153"/>
                    </w:trPr>
                    <w:tc>
                      <w:tcPr>
                        <w:tcW w:w="998" w:type="dxa"/>
                        <w:vMerge/>
                        <w:tcBorders>
                          <w:top w:val="nil"/>
                        </w:tcBorders>
                        <w:shd w:val="clear" w:color="auto" w:fill="FCE4D6"/>
                      </w:tcPr>
                      <w:p w14:paraId="4E53661F" w14:textId="77777777" w:rsidR="00F65BCA" w:rsidRDefault="00F65BCA">
                        <w:pPr>
                          <w:rPr>
                            <w:sz w:val="2"/>
                            <w:szCs w:val="2"/>
                          </w:rPr>
                        </w:pPr>
                      </w:p>
                    </w:tc>
                    <w:tc>
                      <w:tcPr>
                        <w:tcW w:w="866" w:type="dxa"/>
                        <w:vMerge/>
                        <w:tcBorders>
                          <w:top w:val="nil"/>
                        </w:tcBorders>
                        <w:shd w:val="clear" w:color="auto" w:fill="FCE4D6"/>
                      </w:tcPr>
                      <w:p w14:paraId="70818B13" w14:textId="77777777" w:rsidR="00F65BCA" w:rsidRDefault="00F65BCA">
                        <w:pPr>
                          <w:rPr>
                            <w:sz w:val="2"/>
                            <w:szCs w:val="2"/>
                          </w:rPr>
                        </w:pPr>
                      </w:p>
                    </w:tc>
                    <w:tc>
                      <w:tcPr>
                        <w:tcW w:w="866" w:type="dxa"/>
                        <w:shd w:val="clear" w:color="auto" w:fill="FCE4D6"/>
                      </w:tcPr>
                      <w:p w14:paraId="34C1539C"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77B15D50" w14:textId="77777777" w:rsidR="00F65BCA" w:rsidRDefault="00216117">
                        <w:pPr>
                          <w:pStyle w:val="TableParagraph"/>
                          <w:spacing w:before="23"/>
                          <w:ind w:left="20"/>
                          <w:jc w:val="center"/>
                          <w:rPr>
                            <w:sz w:val="9"/>
                          </w:rPr>
                        </w:pPr>
                        <w:r>
                          <w:rPr>
                            <w:w w:val="101"/>
                            <w:sz w:val="9"/>
                          </w:rPr>
                          <w:t>-</w:t>
                        </w:r>
                      </w:p>
                    </w:tc>
                    <w:tc>
                      <w:tcPr>
                        <w:tcW w:w="991" w:type="dxa"/>
                      </w:tcPr>
                      <w:p w14:paraId="6A55B780" w14:textId="77777777" w:rsidR="00F65BCA" w:rsidRDefault="00216117">
                        <w:pPr>
                          <w:pStyle w:val="TableParagraph"/>
                          <w:spacing w:before="23"/>
                          <w:ind w:left="58" w:right="39"/>
                          <w:jc w:val="center"/>
                          <w:rPr>
                            <w:sz w:val="9"/>
                          </w:rPr>
                        </w:pPr>
                        <w:r>
                          <w:rPr>
                            <w:sz w:val="9"/>
                          </w:rPr>
                          <w:t>1 944,757008</w:t>
                        </w:r>
                      </w:p>
                    </w:tc>
                  </w:tr>
                  <w:tr w:rsidR="00F65BCA" w14:paraId="3E58DEAD" w14:textId="77777777">
                    <w:trPr>
                      <w:trHeight w:val="153"/>
                    </w:trPr>
                    <w:tc>
                      <w:tcPr>
                        <w:tcW w:w="998" w:type="dxa"/>
                        <w:vMerge/>
                        <w:tcBorders>
                          <w:top w:val="nil"/>
                        </w:tcBorders>
                        <w:shd w:val="clear" w:color="auto" w:fill="FCE4D6"/>
                      </w:tcPr>
                      <w:p w14:paraId="0B1FAF8C" w14:textId="77777777" w:rsidR="00F65BCA" w:rsidRDefault="00F65BCA">
                        <w:pPr>
                          <w:rPr>
                            <w:sz w:val="2"/>
                            <w:szCs w:val="2"/>
                          </w:rPr>
                        </w:pPr>
                      </w:p>
                    </w:tc>
                    <w:tc>
                      <w:tcPr>
                        <w:tcW w:w="866" w:type="dxa"/>
                        <w:vMerge w:val="restart"/>
                        <w:shd w:val="clear" w:color="auto" w:fill="FCE4D6"/>
                      </w:tcPr>
                      <w:p w14:paraId="599E56EA" w14:textId="77777777" w:rsidR="00F65BCA" w:rsidRDefault="00F65BCA">
                        <w:pPr>
                          <w:pStyle w:val="TableParagraph"/>
                          <w:spacing w:before="10"/>
                          <w:rPr>
                            <w:rFonts w:ascii="Calibri"/>
                            <w:sz w:val="14"/>
                          </w:rPr>
                        </w:pPr>
                      </w:p>
                      <w:p w14:paraId="2A792CAB" w14:textId="77777777" w:rsidR="00F65BCA" w:rsidRDefault="00216117">
                        <w:pPr>
                          <w:pStyle w:val="TableParagraph"/>
                          <w:spacing w:before="1"/>
                          <w:ind w:left="122"/>
                          <w:rPr>
                            <w:sz w:val="9"/>
                          </w:rPr>
                        </w:pPr>
                        <w:r>
                          <w:rPr>
                            <w:sz w:val="9"/>
                          </w:rPr>
                          <w:t>1801-1850 ccm</w:t>
                        </w:r>
                      </w:p>
                    </w:tc>
                    <w:tc>
                      <w:tcPr>
                        <w:tcW w:w="866" w:type="dxa"/>
                        <w:shd w:val="clear" w:color="auto" w:fill="FCE4D6"/>
                      </w:tcPr>
                      <w:p w14:paraId="05B377EA"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510BECAD" w14:textId="77777777" w:rsidR="00F65BCA" w:rsidRDefault="00216117">
                        <w:pPr>
                          <w:pStyle w:val="TableParagraph"/>
                          <w:spacing w:before="23"/>
                          <w:ind w:left="20"/>
                          <w:jc w:val="center"/>
                          <w:rPr>
                            <w:sz w:val="9"/>
                          </w:rPr>
                        </w:pPr>
                        <w:r>
                          <w:rPr>
                            <w:w w:val="101"/>
                            <w:sz w:val="9"/>
                          </w:rPr>
                          <w:t>-</w:t>
                        </w:r>
                      </w:p>
                    </w:tc>
                    <w:tc>
                      <w:tcPr>
                        <w:tcW w:w="991" w:type="dxa"/>
                      </w:tcPr>
                      <w:p w14:paraId="51838A2E" w14:textId="77777777" w:rsidR="00F65BCA" w:rsidRDefault="00216117">
                        <w:pPr>
                          <w:pStyle w:val="TableParagraph"/>
                          <w:spacing w:before="23"/>
                          <w:ind w:left="58" w:right="39"/>
                          <w:jc w:val="center"/>
                          <w:rPr>
                            <w:sz w:val="9"/>
                          </w:rPr>
                        </w:pPr>
                        <w:r>
                          <w:rPr>
                            <w:sz w:val="9"/>
                          </w:rPr>
                          <w:t>1 760,477121</w:t>
                        </w:r>
                      </w:p>
                    </w:tc>
                  </w:tr>
                  <w:tr w:rsidR="00F65BCA" w14:paraId="67742C0B" w14:textId="77777777">
                    <w:trPr>
                      <w:trHeight w:val="153"/>
                    </w:trPr>
                    <w:tc>
                      <w:tcPr>
                        <w:tcW w:w="998" w:type="dxa"/>
                        <w:vMerge/>
                        <w:tcBorders>
                          <w:top w:val="nil"/>
                        </w:tcBorders>
                        <w:shd w:val="clear" w:color="auto" w:fill="FCE4D6"/>
                      </w:tcPr>
                      <w:p w14:paraId="72637620" w14:textId="77777777" w:rsidR="00F65BCA" w:rsidRDefault="00F65BCA">
                        <w:pPr>
                          <w:rPr>
                            <w:sz w:val="2"/>
                            <w:szCs w:val="2"/>
                          </w:rPr>
                        </w:pPr>
                      </w:p>
                    </w:tc>
                    <w:tc>
                      <w:tcPr>
                        <w:tcW w:w="866" w:type="dxa"/>
                        <w:vMerge/>
                        <w:tcBorders>
                          <w:top w:val="nil"/>
                        </w:tcBorders>
                        <w:shd w:val="clear" w:color="auto" w:fill="FCE4D6"/>
                      </w:tcPr>
                      <w:p w14:paraId="6CB79D50" w14:textId="77777777" w:rsidR="00F65BCA" w:rsidRDefault="00F65BCA">
                        <w:pPr>
                          <w:rPr>
                            <w:sz w:val="2"/>
                            <w:szCs w:val="2"/>
                          </w:rPr>
                        </w:pPr>
                      </w:p>
                    </w:tc>
                    <w:tc>
                      <w:tcPr>
                        <w:tcW w:w="866" w:type="dxa"/>
                        <w:shd w:val="clear" w:color="auto" w:fill="FCE4D6"/>
                      </w:tcPr>
                      <w:p w14:paraId="5B1AF149"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33A754AA" w14:textId="77777777" w:rsidR="00F65BCA" w:rsidRDefault="00216117">
                        <w:pPr>
                          <w:pStyle w:val="TableParagraph"/>
                          <w:spacing w:before="23"/>
                          <w:ind w:left="20"/>
                          <w:jc w:val="center"/>
                          <w:rPr>
                            <w:sz w:val="9"/>
                          </w:rPr>
                        </w:pPr>
                        <w:r>
                          <w:rPr>
                            <w:w w:val="101"/>
                            <w:sz w:val="9"/>
                          </w:rPr>
                          <w:t>-</w:t>
                        </w:r>
                      </w:p>
                    </w:tc>
                    <w:tc>
                      <w:tcPr>
                        <w:tcW w:w="991" w:type="dxa"/>
                      </w:tcPr>
                      <w:p w14:paraId="3567BAC0" w14:textId="77777777" w:rsidR="00F65BCA" w:rsidRDefault="00216117">
                        <w:pPr>
                          <w:pStyle w:val="TableParagraph"/>
                          <w:spacing w:before="23"/>
                          <w:ind w:left="58" w:right="39"/>
                          <w:jc w:val="center"/>
                          <w:rPr>
                            <w:sz w:val="9"/>
                          </w:rPr>
                        </w:pPr>
                        <w:r>
                          <w:rPr>
                            <w:sz w:val="9"/>
                          </w:rPr>
                          <w:t>1 928,141608</w:t>
                        </w:r>
                      </w:p>
                    </w:tc>
                  </w:tr>
                  <w:tr w:rsidR="00F65BCA" w14:paraId="237CBEA8" w14:textId="77777777">
                    <w:trPr>
                      <w:trHeight w:val="153"/>
                    </w:trPr>
                    <w:tc>
                      <w:tcPr>
                        <w:tcW w:w="998" w:type="dxa"/>
                        <w:vMerge/>
                        <w:tcBorders>
                          <w:top w:val="nil"/>
                        </w:tcBorders>
                        <w:shd w:val="clear" w:color="auto" w:fill="FCE4D6"/>
                      </w:tcPr>
                      <w:p w14:paraId="6ECA8918" w14:textId="77777777" w:rsidR="00F65BCA" w:rsidRDefault="00F65BCA">
                        <w:pPr>
                          <w:rPr>
                            <w:sz w:val="2"/>
                            <w:szCs w:val="2"/>
                          </w:rPr>
                        </w:pPr>
                      </w:p>
                    </w:tc>
                    <w:tc>
                      <w:tcPr>
                        <w:tcW w:w="866" w:type="dxa"/>
                        <w:vMerge/>
                        <w:tcBorders>
                          <w:top w:val="nil"/>
                        </w:tcBorders>
                        <w:shd w:val="clear" w:color="auto" w:fill="FCE4D6"/>
                      </w:tcPr>
                      <w:p w14:paraId="6AFA5B85" w14:textId="77777777" w:rsidR="00F65BCA" w:rsidRDefault="00F65BCA">
                        <w:pPr>
                          <w:rPr>
                            <w:sz w:val="2"/>
                            <w:szCs w:val="2"/>
                          </w:rPr>
                        </w:pPr>
                      </w:p>
                    </w:tc>
                    <w:tc>
                      <w:tcPr>
                        <w:tcW w:w="866" w:type="dxa"/>
                        <w:shd w:val="clear" w:color="auto" w:fill="FCE4D6"/>
                      </w:tcPr>
                      <w:p w14:paraId="2195FC9F"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12092A9E" w14:textId="77777777" w:rsidR="00F65BCA" w:rsidRDefault="00216117">
                        <w:pPr>
                          <w:pStyle w:val="TableParagraph"/>
                          <w:spacing w:before="23"/>
                          <w:ind w:left="20"/>
                          <w:jc w:val="center"/>
                          <w:rPr>
                            <w:sz w:val="9"/>
                          </w:rPr>
                        </w:pPr>
                        <w:r>
                          <w:rPr>
                            <w:w w:val="101"/>
                            <w:sz w:val="9"/>
                          </w:rPr>
                          <w:t>-</w:t>
                        </w:r>
                      </w:p>
                    </w:tc>
                    <w:tc>
                      <w:tcPr>
                        <w:tcW w:w="991" w:type="dxa"/>
                      </w:tcPr>
                      <w:p w14:paraId="04B4B47C" w14:textId="77777777" w:rsidR="00F65BCA" w:rsidRDefault="00216117">
                        <w:pPr>
                          <w:pStyle w:val="TableParagraph"/>
                          <w:spacing w:before="23"/>
                          <w:ind w:left="58" w:right="39"/>
                          <w:jc w:val="center"/>
                          <w:rPr>
                            <w:sz w:val="9"/>
                          </w:rPr>
                        </w:pPr>
                        <w:r>
                          <w:rPr>
                            <w:sz w:val="9"/>
                          </w:rPr>
                          <w:t>2 095,806096</w:t>
                        </w:r>
                      </w:p>
                    </w:tc>
                  </w:tr>
                  <w:tr w:rsidR="00F65BCA" w14:paraId="6A3925CA" w14:textId="77777777">
                    <w:trPr>
                      <w:trHeight w:val="153"/>
                    </w:trPr>
                    <w:tc>
                      <w:tcPr>
                        <w:tcW w:w="998" w:type="dxa"/>
                        <w:vMerge/>
                        <w:tcBorders>
                          <w:top w:val="nil"/>
                        </w:tcBorders>
                        <w:shd w:val="clear" w:color="auto" w:fill="FCE4D6"/>
                      </w:tcPr>
                      <w:p w14:paraId="03AB030F" w14:textId="77777777" w:rsidR="00F65BCA" w:rsidRDefault="00F65BCA">
                        <w:pPr>
                          <w:rPr>
                            <w:sz w:val="2"/>
                            <w:szCs w:val="2"/>
                          </w:rPr>
                        </w:pPr>
                      </w:p>
                    </w:tc>
                    <w:tc>
                      <w:tcPr>
                        <w:tcW w:w="866" w:type="dxa"/>
                        <w:vMerge w:val="restart"/>
                        <w:shd w:val="clear" w:color="auto" w:fill="FCE4D6"/>
                      </w:tcPr>
                      <w:p w14:paraId="52A109A0" w14:textId="77777777" w:rsidR="00F65BCA" w:rsidRDefault="00F65BCA">
                        <w:pPr>
                          <w:pStyle w:val="TableParagraph"/>
                          <w:spacing w:before="10"/>
                          <w:rPr>
                            <w:rFonts w:ascii="Calibri"/>
                            <w:sz w:val="14"/>
                          </w:rPr>
                        </w:pPr>
                      </w:p>
                      <w:p w14:paraId="06FB1B4A" w14:textId="77777777" w:rsidR="00F65BCA" w:rsidRDefault="00216117">
                        <w:pPr>
                          <w:pStyle w:val="TableParagraph"/>
                          <w:spacing w:before="1"/>
                          <w:ind w:left="122"/>
                          <w:rPr>
                            <w:sz w:val="9"/>
                          </w:rPr>
                        </w:pPr>
                        <w:r>
                          <w:rPr>
                            <w:sz w:val="9"/>
                          </w:rPr>
                          <w:t>1851-1900 ccm</w:t>
                        </w:r>
                      </w:p>
                    </w:tc>
                    <w:tc>
                      <w:tcPr>
                        <w:tcW w:w="866" w:type="dxa"/>
                        <w:shd w:val="clear" w:color="auto" w:fill="FCE4D6"/>
                      </w:tcPr>
                      <w:p w14:paraId="6A52A964"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0039546C" w14:textId="77777777" w:rsidR="00F65BCA" w:rsidRDefault="00216117">
                        <w:pPr>
                          <w:pStyle w:val="TableParagraph"/>
                          <w:spacing w:before="23"/>
                          <w:ind w:left="20"/>
                          <w:jc w:val="center"/>
                          <w:rPr>
                            <w:sz w:val="9"/>
                          </w:rPr>
                        </w:pPr>
                        <w:r>
                          <w:rPr>
                            <w:w w:val="101"/>
                            <w:sz w:val="9"/>
                          </w:rPr>
                          <w:t>-</w:t>
                        </w:r>
                      </w:p>
                    </w:tc>
                    <w:tc>
                      <w:tcPr>
                        <w:tcW w:w="991" w:type="dxa"/>
                      </w:tcPr>
                      <w:p w14:paraId="326866B6" w14:textId="77777777" w:rsidR="00F65BCA" w:rsidRDefault="00216117">
                        <w:pPr>
                          <w:pStyle w:val="TableParagraph"/>
                          <w:spacing w:before="23"/>
                          <w:ind w:left="58" w:right="38"/>
                          <w:jc w:val="center"/>
                          <w:rPr>
                            <w:sz w:val="9"/>
                          </w:rPr>
                        </w:pPr>
                        <w:r>
                          <w:rPr>
                            <w:sz w:val="9"/>
                          </w:rPr>
                          <w:t>1 760,477121</w:t>
                        </w:r>
                      </w:p>
                    </w:tc>
                  </w:tr>
                  <w:tr w:rsidR="00F65BCA" w14:paraId="01E4F260" w14:textId="77777777">
                    <w:trPr>
                      <w:trHeight w:val="153"/>
                    </w:trPr>
                    <w:tc>
                      <w:tcPr>
                        <w:tcW w:w="998" w:type="dxa"/>
                        <w:vMerge/>
                        <w:tcBorders>
                          <w:top w:val="nil"/>
                        </w:tcBorders>
                        <w:shd w:val="clear" w:color="auto" w:fill="FCE4D6"/>
                      </w:tcPr>
                      <w:p w14:paraId="2D6B9E29" w14:textId="77777777" w:rsidR="00F65BCA" w:rsidRDefault="00F65BCA">
                        <w:pPr>
                          <w:rPr>
                            <w:sz w:val="2"/>
                            <w:szCs w:val="2"/>
                          </w:rPr>
                        </w:pPr>
                      </w:p>
                    </w:tc>
                    <w:tc>
                      <w:tcPr>
                        <w:tcW w:w="866" w:type="dxa"/>
                        <w:vMerge/>
                        <w:tcBorders>
                          <w:top w:val="nil"/>
                        </w:tcBorders>
                        <w:shd w:val="clear" w:color="auto" w:fill="FCE4D6"/>
                      </w:tcPr>
                      <w:p w14:paraId="149F5454" w14:textId="77777777" w:rsidR="00F65BCA" w:rsidRDefault="00F65BCA">
                        <w:pPr>
                          <w:rPr>
                            <w:sz w:val="2"/>
                            <w:szCs w:val="2"/>
                          </w:rPr>
                        </w:pPr>
                      </w:p>
                    </w:tc>
                    <w:tc>
                      <w:tcPr>
                        <w:tcW w:w="866" w:type="dxa"/>
                        <w:shd w:val="clear" w:color="auto" w:fill="FCE4D6"/>
                      </w:tcPr>
                      <w:p w14:paraId="3F72CE4B"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3260DA6E" w14:textId="77777777" w:rsidR="00F65BCA" w:rsidRDefault="00216117">
                        <w:pPr>
                          <w:pStyle w:val="TableParagraph"/>
                          <w:spacing w:before="23"/>
                          <w:ind w:left="20"/>
                          <w:jc w:val="center"/>
                          <w:rPr>
                            <w:sz w:val="9"/>
                          </w:rPr>
                        </w:pPr>
                        <w:r>
                          <w:rPr>
                            <w:w w:val="101"/>
                            <w:sz w:val="9"/>
                          </w:rPr>
                          <w:t>-</w:t>
                        </w:r>
                      </w:p>
                    </w:tc>
                    <w:tc>
                      <w:tcPr>
                        <w:tcW w:w="991" w:type="dxa"/>
                      </w:tcPr>
                      <w:p w14:paraId="48A876DE" w14:textId="77777777" w:rsidR="00F65BCA" w:rsidRDefault="00216117">
                        <w:pPr>
                          <w:pStyle w:val="TableParagraph"/>
                          <w:spacing w:before="23"/>
                          <w:ind w:left="58" w:right="38"/>
                          <w:jc w:val="center"/>
                          <w:rPr>
                            <w:sz w:val="9"/>
                          </w:rPr>
                        </w:pPr>
                        <w:r>
                          <w:rPr>
                            <w:sz w:val="9"/>
                          </w:rPr>
                          <w:t>1 928,141608</w:t>
                        </w:r>
                      </w:p>
                    </w:tc>
                  </w:tr>
                  <w:tr w:rsidR="00F65BCA" w14:paraId="3DDBF9B9" w14:textId="77777777">
                    <w:trPr>
                      <w:trHeight w:val="153"/>
                    </w:trPr>
                    <w:tc>
                      <w:tcPr>
                        <w:tcW w:w="998" w:type="dxa"/>
                        <w:vMerge/>
                        <w:tcBorders>
                          <w:top w:val="nil"/>
                        </w:tcBorders>
                        <w:shd w:val="clear" w:color="auto" w:fill="FCE4D6"/>
                      </w:tcPr>
                      <w:p w14:paraId="47330A8A" w14:textId="77777777" w:rsidR="00F65BCA" w:rsidRDefault="00F65BCA">
                        <w:pPr>
                          <w:rPr>
                            <w:sz w:val="2"/>
                            <w:szCs w:val="2"/>
                          </w:rPr>
                        </w:pPr>
                      </w:p>
                    </w:tc>
                    <w:tc>
                      <w:tcPr>
                        <w:tcW w:w="866" w:type="dxa"/>
                        <w:vMerge/>
                        <w:tcBorders>
                          <w:top w:val="nil"/>
                        </w:tcBorders>
                        <w:shd w:val="clear" w:color="auto" w:fill="FCE4D6"/>
                      </w:tcPr>
                      <w:p w14:paraId="0C283CC9" w14:textId="77777777" w:rsidR="00F65BCA" w:rsidRDefault="00F65BCA">
                        <w:pPr>
                          <w:rPr>
                            <w:sz w:val="2"/>
                            <w:szCs w:val="2"/>
                          </w:rPr>
                        </w:pPr>
                      </w:p>
                    </w:tc>
                    <w:tc>
                      <w:tcPr>
                        <w:tcW w:w="866" w:type="dxa"/>
                        <w:shd w:val="clear" w:color="auto" w:fill="FCE4D6"/>
                      </w:tcPr>
                      <w:p w14:paraId="7EB09DAB"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589DA13B" w14:textId="77777777" w:rsidR="00F65BCA" w:rsidRDefault="00216117">
                        <w:pPr>
                          <w:pStyle w:val="TableParagraph"/>
                          <w:spacing w:before="23"/>
                          <w:ind w:left="20"/>
                          <w:jc w:val="center"/>
                          <w:rPr>
                            <w:sz w:val="9"/>
                          </w:rPr>
                        </w:pPr>
                        <w:r>
                          <w:rPr>
                            <w:w w:val="101"/>
                            <w:sz w:val="9"/>
                          </w:rPr>
                          <w:t>-</w:t>
                        </w:r>
                      </w:p>
                    </w:tc>
                    <w:tc>
                      <w:tcPr>
                        <w:tcW w:w="991" w:type="dxa"/>
                      </w:tcPr>
                      <w:p w14:paraId="323F34DE" w14:textId="77777777" w:rsidR="00F65BCA" w:rsidRDefault="00216117">
                        <w:pPr>
                          <w:pStyle w:val="TableParagraph"/>
                          <w:spacing w:before="23"/>
                          <w:ind w:left="58" w:right="39"/>
                          <w:jc w:val="center"/>
                          <w:rPr>
                            <w:sz w:val="9"/>
                          </w:rPr>
                        </w:pPr>
                        <w:r>
                          <w:rPr>
                            <w:sz w:val="9"/>
                          </w:rPr>
                          <w:t>2 095,806096</w:t>
                        </w:r>
                      </w:p>
                    </w:tc>
                  </w:tr>
                  <w:tr w:rsidR="00F65BCA" w14:paraId="4716ECA8" w14:textId="77777777">
                    <w:trPr>
                      <w:trHeight w:val="153"/>
                    </w:trPr>
                    <w:tc>
                      <w:tcPr>
                        <w:tcW w:w="998" w:type="dxa"/>
                        <w:vMerge/>
                        <w:tcBorders>
                          <w:top w:val="nil"/>
                        </w:tcBorders>
                        <w:shd w:val="clear" w:color="auto" w:fill="FCE4D6"/>
                      </w:tcPr>
                      <w:p w14:paraId="3B07F637" w14:textId="77777777" w:rsidR="00F65BCA" w:rsidRDefault="00F65BCA">
                        <w:pPr>
                          <w:rPr>
                            <w:sz w:val="2"/>
                            <w:szCs w:val="2"/>
                          </w:rPr>
                        </w:pPr>
                      </w:p>
                    </w:tc>
                    <w:tc>
                      <w:tcPr>
                        <w:tcW w:w="866" w:type="dxa"/>
                        <w:vMerge w:val="restart"/>
                        <w:shd w:val="clear" w:color="auto" w:fill="FCE4D6"/>
                      </w:tcPr>
                      <w:p w14:paraId="3B7D64D0" w14:textId="77777777" w:rsidR="00F65BCA" w:rsidRDefault="00F65BCA">
                        <w:pPr>
                          <w:pStyle w:val="TableParagraph"/>
                          <w:spacing w:before="10"/>
                          <w:rPr>
                            <w:rFonts w:ascii="Calibri"/>
                            <w:sz w:val="14"/>
                          </w:rPr>
                        </w:pPr>
                      </w:p>
                      <w:p w14:paraId="54914851" w14:textId="77777777" w:rsidR="00F65BCA" w:rsidRDefault="00216117">
                        <w:pPr>
                          <w:pStyle w:val="TableParagraph"/>
                          <w:spacing w:before="1"/>
                          <w:ind w:left="122"/>
                          <w:rPr>
                            <w:sz w:val="9"/>
                          </w:rPr>
                        </w:pPr>
                        <w:r>
                          <w:rPr>
                            <w:sz w:val="9"/>
                          </w:rPr>
                          <w:t>1901-2000 ccm</w:t>
                        </w:r>
                      </w:p>
                    </w:tc>
                    <w:tc>
                      <w:tcPr>
                        <w:tcW w:w="866" w:type="dxa"/>
                        <w:shd w:val="clear" w:color="auto" w:fill="FCE4D6"/>
                      </w:tcPr>
                      <w:p w14:paraId="64903393"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0B177AAD" w14:textId="77777777" w:rsidR="00F65BCA" w:rsidRDefault="00216117">
                        <w:pPr>
                          <w:pStyle w:val="TableParagraph"/>
                          <w:spacing w:before="23"/>
                          <w:ind w:left="20"/>
                          <w:jc w:val="center"/>
                          <w:rPr>
                            <w:sz w:val="9"/>
                          </w:rPr>
                        </w:pPr>
                        <w:r>
                          <w:rPr>
                            <w:w w:val="101"/>
                            <w:sz w:val="9"/>
                          </w:rPr>
                          <w:t>-</w:t>
                        </w:r>
                      </w:p>
                    </w:tc>
                    <w:tc>
                      <w:tcPr>
                        <w:tcW w:w="991" w:type="dxa"/>
                      </w:tcPr>
                      <w:p w14:paraId="1ECA0462" w14:textId="77777777" w:rsidR="00F65BCA" w:rsidRDefault="00216117">
                        <w:pPr>
                          <w:pStyle w:val="TableParagraph"/>
                          <w:spacing w:before="23"/>
                          <w:ind w:left="58" w:right="39"/>
                          <w:jc w:val="center"/>
                          <w:rPr>
                            <w:sz w:val="9"/>
                          </w:rPr>
                        </w:pPr>
                        <w:r>
                          <w:rPr>
                            <w:sz w:val="9"/>
                          </w:rPr>
                          <w:t>1 839,777892</w:t>
                        </w:r>
                      </w:p>
                    </w:tc>
                  </w:tr>
                  <w:tr w:rsidR="00F65BCA" w14:paraId="508D558D" w14:textId="77777777">
                    <w:trPr>
                      <w:trHeight w:val="153"/>
                    </w:trPr>
                    <w:tc>
                      <w:tcPr>
                        <w:tcW w:w="998" w:type="dxa"/>
                        <w:vMerge/>
                        <w:tcBorders>
                          <w:top w:val="nil"/>
                        </w:tcBorders>
                        <w:shd w:val="clear" w:color="auto" w:fill="FCE4D6"/>
                      </w:tcPr>
                      <w:p w14:paraId="5581C6B1" w14:textId="77777777" w:rsidR="00F65BCA" w:rsidRDefault="00F65BCA">
                        <w:pPr>
                          <w:rPr>
                            <w:sz w:val="2"/>
                            <w:szCs w:val="2"/>
                          </w:rPr>
                        </w:pPr>
                      </w:p>
                    </w:tc>
                    <w:tc>
                      <w:tcPr>
                        <w:tcW w:w="866" w:type="dxa"/>
                        <w:vMerge/>
                        <w:tcBorders>
                          <w:top w:val="nil"/>
                        </w:tcBorders>
                        <w:shd w:val="clear" w:color="auto" w:fill="FCE4D6"/>
                      </w:tcPr>
                      <w:p w14:paraId="6EB05016" w14:textId="77777777" w:rsidR="00F65BCA" w:rsidRDefault="00F65BCA">
                        <w:pPr>
                          <w:rPr>
                            <w:sz w:val="2"/>
                            <w:szCs w:val="2"/>
                          </w:rPr>
                        </w:pPr>
                      </w:p>
                    </w:tc>
                    <w:tc>
                      <w:tcPr>
                        <w:tcW w:w="866" w:type="dxa"/>
                        <w:shd w:val="clear" w:color="auto" w:fill="FCE4D6"/>
                      </w:tcPr>
                      <w:p w14:paraId="7CFD4962"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1BF53C4D" w14:textId="77777777" w:rsidR="00F65BCA" w:rsidRDefault="00216117">
                        <w:pPr>
                          <w:pStyle w:val="TableParagraph"/>
                          <w:spacing w:before="23"/>
                          <w:ind w:left="20"/>
                          <w:jc w:val="center"/>
                          <w:rPr>
                            <w:sz w:val="9"/>
                          </w:rPr>
                        </w:pPr>
                        <w:r>
                          <w:rPr>
                            <w:w w:val="101"/>
                            <w:sz w:val="9"/>
                          </w:rPr>
                          <w:t>-</w:t>
                        </w:r>
                      </w:p>
                    </w:tc>
                    <w:tc>
                      <w:tcPr>
                        <w:tcW w:w="991" w:type="dxa"/>
                      </w:tcPr>
                      <w:p w14:paraId="2A1707A7" w14:textId="77777777" w:rsidR="00F65BCA" w:rsidRDefault="00216117">
                        <w:pPr>
                          <w:pStyle w:val="TableParagraph"/>
                          <w:spacing w:before="23"/>
                          <w:ind w:left="58" w:right="38"/>
                          <w:jc w:val="center"/>
                          <w:rPr>
                            <w:sz w:val="9"/>
                          </w:rPr>
                        </w:pPr>
                        <w:r>
                          <w:rPr>
                            <w:sz w:val="9"/>
                          </w:rPr>
                          <w:t>2 014,994834</w:t>
                        </w:r>
                      </w:p>
                    </w:tc>
                  </w:tr>
                  <w:tr w:rsidR="00F65BCA" w14:paraId="04C63AB0" w14:textId="77777777">
                    <w:trPr>
                      <w:trHeight w:val="153"/>
                    </w:trPr>
                    <w:tc>
                      <w:tcPr>
                        <w:tcW w:w="998" w:type="dxa"/>
                        <w:vMerge/>
                        <w:tcBorders>
                          <w:top w:val="nil"/>
                        </w:tcBorders>
                        <w:shd w:val="clear" w:color="auto" w:fill="FCE4D6"/>
                      </w:tcPr>
                      <w:p w14:paraId="5917F1CA" w14:textId="77777777" w:rsidR="00F65BCA" w:rsidRDefault="00F65BCA">
                        <w:pPr>
                          <w:rPr>
                            <w:sz w:val="2"/>
                            <w:szCs w:val="2"/>
                          </w:rPr>
                        </w:pPr>
                      </w:p>
                    </w:tc>
                    <w:tc>
                      <w:tcPr>
                        <w:tcW w:w="866" w:type="dxa"/>
                        <w:vMerge/>
                        <w:tcBorders>
                          <w:top w:val="nil"/>
                        </w:tcBorders>
                        <w:shd w:val="clear" w:color="auto" w:fill="FCE4D6"/>
                      </w:tcPr>
                      <w:p w14:paraId="06A3BDFC" w14:textId="77777777" w:rsidR="00F65BCA" w:rsidRDefault="00F65BCA">
                        <w:pPr>
                          <w:rPr>
                            <w:sz w:val="2"/>
                            <w:szCs w:val="2"/>
                          </w:rPr>
                        </w:pPr>
                      </w:p>
                    </w:tc>
                    <w:tc>
                      <w:tcPr>
                        <w:tcW w:w="866" w:type="dxa"/>
                        <w:shd w:val="clear" w:color="auto" w:fill="FCE4D6"/>
                      </w:tcPr>
                      <w:p w14:paraId="52BC19BA"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1533E2B8" w14:textId="77777777" w:rsidR="00F65BCA" w:rsidRDefault="00216117">
                        <w:pPr>
                          <w:pStyle w:val="TableParagraph"/>
                          <w:spacing w:before="23"/>
                          <w:ind w:left="20"/>
                          <w:jc w:val="center"/>
                          <w:rPr>
                            <w:sz w:val="9"/>
                          </w:rPr>
                        </w:pPr>
                        <w:r>
                          <w:rPr>
                            <w:w w:val="101"/>
                            <w:sz w:val="9"/>
                          </w:rPr>
                          <w:t>-</w:t>
                        </w:r>
                      </w:p>
                    </w:tc>
                    <w:tc>
                      <w:tcPr>
                        <w:tcW w:w="991" w:type="dxa"/>
                      </w:tcPr>
                      <w:p w14:paraId="028D60C6" w14:textId="77777777" w:rsidR="00F65BCA" w:rsidRDefault="00216117">
                        <w:pPr>
                          <w:pStyle w:val="TableParagraph"/>
                          <w:spacing w:before="23"/>
                          <w:ind w:left="58" w:right="39"/>
                          <w:jc w:val="center"/>
                          <w:rPr>
                            <w:sz w:val="9"/>
                          </w:rPr>
                        </w:pPr>
                        <w:r>
                          <w:rPr>
                            <w:sz w:val="9"/>
                          </w:rPr>
                          <w:t>2 190,211776</w:t>
                        </w:r>
                      </w:p>
                    </w:tc>
                  </w:tr>
                  <w:tr w:rsidR="00F65BCA" w14:paraId="56020DEE" w14:textId="77777777">
                    <w:trPr>
                      <w:trHeight w:val="153"/>
                    </w:trPr>
                    <w:tc>
                      <w:tcPr>
                        <w:tcW w:w="998" w:type="dxa"/>
                        <w:vMerge/>
                        <w:tcBorders>
                          <w:top w:val="nil"/>
                        </w:tcBorders>
                        <w:shd w:val="clear" w:color="auto" w:fill="FCE4D6"/>
                      </w:tcPr>
                      <w:p w14:paraId="43C6329A" w14:textId="77777777" w:rsidR="00F65BCA" w:rsidRDefault="00F65BCA">
                        <w:pPr>
                          <w:rPr>
                            <w:sz w:val="2"/>
                            <w:szCs w:val="2"/>
                          </w:rPr>
                        </w:pPr>
                      </w:p>
                    </w:tc>
                    <w:tc>
                      <w:tcPr>
                        <w:tcW w:w="866" w:type="dxa"/>
                        <w:vMerge w:val="restart"/>
                        <w:shd w:val="clear" w:color="auto" w:fill="FCE4D6"/>
                      </w:tcPr>
                      <w:p w14:paraId="2590256A" w14:textId="77777777" w:rsidR="00F65BCA" w:rsidRDefault="00F65BCA">
                        <w:pPr>
                          <w:pStyle w:val="TableParagraph"/>
                          <w:spacing w:before="10"/>
                          <w:rPr>
                            <w:rFonts w:ascii="Calibri"/>
                            <w:sz w:val="14"/>
                          </w:rPr>
                        </w:pPr>
                      </w:p>
                      <w:p w14:paraId="25F81825" w14:textId="77777777" w:rsidR="00F65BCA" w:rsidRDefault="00216117">
                        <w:pPr>
                          <w:pStyle w:val="TableParagraph"/>
                          <w:spacing w:before="1"/>
                          <w:ind w:left="122"/>
                          <w:rPr>
                            <w:sz w:val="9"/>
                          </w:rPr>
                        </w:pPr>
                        <w:r>
                          <w:rPr>
                            <w:sz w:val="9"/>
                          </w:rPr>
                          <w:t>2001-2500 ccm</w:t>
                        </w:r>
                      </w:p>
                    </w:tc>
                    <w:tc>
                      <w:tcPr>
                        <w:tcW w:w="866" w:type="dxa"/>
                        <w:shd w:val="clear" w:color="auto" w:fill="FCE4D6"/>
                      </w:tcPr>
                      <w:p w14:paraId="39C3059B"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09BACDB3" w14:textId="77777777" w:rsidR="00F65BCA" w:rsidRDefault="00216117">
                        <w:pPr>
                          <w:pStyle w:val="TableParagraph"/>
                          <w:spacing w:before="23"/>
                          <w:ind w:left="20"/>
                          <w:jc w:val="center"/>
                          <w:rPr>
                            <w:sz w:val="9"/>
                          </w:rPr>
                        </w:pPr>
                        <w:r>
                          <w:rPr>
                            <w:w w:val="101"/>
                            <w:sz w:val="9"/>
                          </w:rPr>
                          <w:t>-</w:t>
                        </w:r>
                      </w:p>
                    </w:tc>
                    <w:tc>
                      <w:tcPr>
                        <w:tcW w:w="991" w:type="dxa"/>
                      </w:tcPr>
                      <w:p w14:paraId="5E71FCF4" w14:textId="77777777" w:rsidR="00F65BCA" w:rsidRDefault="00216117">
                        <w:pPr>
                          <w:pStyle w:val="TableParagraph"/>
                          <w:spacing w:before="23"/>
                          <w:ind w:left="58" w:right="39"/>
                          <w:jc w:val="center"/>
                          <w:rPr>
                            <w:sz w:val="9"/>
                          </w:rPr>
                        </w:pPr>
                        <w:r>
                          <w:rPr>
                            <w:sz w:val="9"/>
                          </w:rPr>
                          <w:t>2 101,470437</w:t>
                        </w:r>
                      </w:p>
                    </w:tc>
                  </w:tr>
                  <w:tr w:rsidR="00F65BCA" w14:paraId="26D46FF5" w14:textId="77777777">
                    <w:trPr>
                      <w:trHeight w:val="153"/>
                    </w:trPr>
                    <w:tc>
                      <w:tcPr>
                        <w:tcW w:w="998" w:type="dxa"/>
                        <w:vMerge/>
                        <w:tcBorders>
                          <w:top w:val="nil"/>
                        </w:tcBorders>
                        <w:shd w:val="clear" w:color="auto" w:fill="FCE4D6"/>
                      </w:tcPr>
                      <w:p w14:paraId="27DD55E1" w14:textId="77777777" w:rsidR="00F65BCA" w:rsidRDefault="00F65BCA">
                        <w:pPr>
                          <w:rPr>
                            <w:sz w:val="2"/>
                            <w:szCs w:val="2"/>
                          </w:rPr>
                        </w:pPr>
                      </w:p>
                    </w:tc>
                    <w:tc>
                      <w:tcPr>
                        <w:tcW w:w="866" w:type="dxa"/>
                        <w:vMerge/>
                        <w:tcBorders>
                          <w:top w:val="nil"/>
                        </w:tcBorders>
                        <w:shd w:val="clear" w:color="auto" w:fill="FCE4D6"/>
                      </w:tcPr>
                      <w:p w14:paraId="71345A39" w14:textId="77777777" w:rsidR="00F65BCA" w:rsidRDefault="00F65BCA">
                        <w:pPr>
                          <w:rPr>
                            <w:sz w:val="2"/>
                            <w:szCs w:val="2"/>
                          </w:rPr>
                        </w:pPr>
                      </w:p>
                    </w:tc>
                    <w:tc>
                      <w:tcPr>
                        <w:tcW w:w="866" w:type="dxa"/>
                        <w:shd w:val="clear" w:color="auto" w:fill="FCE4D6"/>
                      </w:tcPr>
                      <w:p w14:paraId="00763379"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51A158B0" w14:textId="77777777" w:rsidR="00F65BCA" w:rsidRDefault="00216117">
                        <w:pPr>
                          <w:pStyle w:val="TableParagraph"/>
                          <w:spacing w:before="23"/>
                          <w:ind w:left="20"/>
                          <w:jc w:val="center"/>
                          <w:rPr>
                            <w:sz w:val="9"/>
                          </w:rPr>
                        </w:pPr>
                        <w:r>
                          <w:rPr>
                            <w:w w:val="101"/>
                            <w:sz w:val="9"/>
                          </w:rPr>
                          <w:t>-</w:t>
                        </w:r>
                      </w:p>
                    </w:tc>
                    <w:tc>
                      <w:tcPr>
                        <w:tcW w:w="991" w:type="dxa"/>
                      </w:tcPr>
                      <w:p w14:paraId="35D42677" w14:textId="77777777" w:rsidR="00F65BCA" w:rsidRDefault="00216117">
                        <w:pPr>
                          <w:pStyle w:val="TableParagraph"/>
                          <w:spacing w:before="23"/>
                          <w:ind w:left="58" w:right="38"/>
                          <w:jc w:val="center"/>
                          <w:rPr>
                            <w:sz w:val="9"/>
                          </w:rPr>
                        </w:pPr>
                        <w:r>
                          <w:rPr>
                            <w:sz w:val="9"/>
                          </w:rPr>
                          <w:t>2 301,610478</w:t>
                        </w:r>
                      </w:p>
                    </w:tc>
                  </w:tr>
                  <w:tr w:rsidR="00F65BCA" w14:paraId="39A2EDDD" w14:textId="77777777">
                    <w:trPr>
                      <w:trHeight w:val="153"/>
                    </w:trPr>
                    <w:tc>
                      <w:tcPr>
                        <w:tcW w:w="998" w:type="dxa"/>
                        <w:vMerge/>
                        <w:tcBorders>
                          <w:top w:val="nil"/>
                        </w:tcBorders>
                        <w:shd w:val="clear" w:color="auto" w:fill="FCE4D6"/>
                      </w:tcPr>
                      <w:p w14:paraId="3ED7E3D8" w14:textId="77777777" w:rsidR="00F65BCA" w:rsidRDefault="00F65BCA">
                        <w:pPr>
                          <w:rPr>
                            <w:sz w:val="2"/>
                            <w:szCs w:val="2"/>
                          </w:rPr>
                        </w:pPr>
                      </w:p>
                    </w:tc>
                    <w:tc>
                      <w:tcPr>
                        <w:tcW w:w="866" w:type="dxa"/>
                        <w:vMerge/>
                        <w:tcBorders>
                          <w:top w:val="nil"/>
                        </w:tcBorders>
                        <w:shd w:val="clear" w:color="auto" w:fill="FCE4D6"/>
                      </w:tcPr>
                      <w:p w14:paraId="7B4CA723" w14:textId="77777777" w:rsidR="00F65BCA" w:rsidRDefault="00F65BCA">
                        <w:pPr>
                          <w:rPr>
                            <w:sz w:val="2"/>
                            <w:szCs w:val="2"/>
                          </w:rPr>
                        </w:pPr>
                      </w:p>
                    </w:tc>
                    <w:tc>
                      <w:tcPr>
                        <w:tcW w:w="866" w:type="dxa"/>
                        <w:shd w:val="clear" w:color="auto" w:fill="FCE4D6"/>
                      </w:tcPr>
                      <w:p w14:paraId="46B4E978"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256D6EE5" w14:textId="77777777" w:rsidR="00F65BCA" w:rsidRDefault="00216117">
                        <w:pPr>
                          <w:pStyle w:val="TableParagraph"/>
                          <w:spacing w:before="23"/>
                          <w:ind w:left="20"/>
                          <w:jc w:val="center"/>
                          <w:rPr>
                            <w:sz w:val="9"/>
                          </w:rPr>
                        </w:pPr>
                        <w:r>
                          <w:rPr>
                            <w:w w:val="101"/>
                            <w:sz w:val="9"/>
                          </w:rPr>
                          <w:t>-</w:t>
                        </w:r>
                      </w:p>
                    </w:tc>
                    <w:tc>
                      <w:tcPr>
                        <w:tcW w:w="991" w:type="dxa"/>
                      </w:tcPr>
                      <w:p w14:paraId="724419E9" w14:textId="77777777" w:rsidR="00F65BCA" w:rsidRDefault="00216117">
                        <w:pPr>
                          <w:pStyle w:val="TableParagraph"/>
                          <w:spacing w:before="23"/>
                          <w:ind w:left="58" w:right="39"/>
                          <w:jc w:val="center"/>
                          <w:rPr>
                            <w:sz w:val="9"/>
                          </w:rPr>
                        </w:pPr>
                        <w:r>
                          <w:rPr>
                            <w:sz w:val="9"/>
                          </w:rPr>
                          <w:t>2 501,750520</w:t>
                        </w:r>
                      </w:p>
                    </w:tc>
                  </w:tr>
                  <w:tr w:rsidR="00F65BCA" w14:paraId="2B25C3D1" w14:textId="77777777">
                    <w:trPr>
                      <w:trHeight w:val="153"/>
                    </w:trPr>
                    <w:tc>
                      <w:tcPr>
                        <w:tcW w:w="998" w:type="dxa"/>
                        <w:vMerge/>
                        <w:tcBorders>
                          <w:top w:val="nil"/>
                        </w:tcBorders>
                        <w:shd w:val="clear" w:color="auto" w:fill="FCE4D6"/>
                      </w:tcPr>
                      <w:p w14:paraId="3A8C189E" w14:textId="77777777" w:rsidR="00F65BCA" w:rsidRDefault="00F65BCA">
                        <w:pPr>
                          <w:rPr>
                            <w:sz w:val="2"/>
                            <w:szCs w:val="2"/>
                          </w:rPr>
                        </w:pPr>
                      </w:p>
                    </w:tc>
                    <w:tc>
                      <w:tcPr>
                        <w:tcW w:w="866" w:type="dxa"/>
                        <w:vMerge w:val="restart"/>
                        <w:shd w:val="clear" w:color="auto" w:fill="FCE4D6"/>
                      </w:tcPr>
                      <w:p w14:paraId="2B993D5E" w14:textId="77777777" w:rsidR="00F65BCA" w:rsidRDefault="00F65BCA">
                        <w:pPr>
                          <w:pStyle w:val="TableParagraph"/>
                          <w:spacing w:before="10"/>
                          <w:rPr>
                            <w:rFonts w:ascii="Calibri"/>
                            <w:sz w:val="14"/>
                          </w:rPr>
                        </w:pPr>
                      </w:p>
                      <w:p w14:paraId="30D3FC11" w14:textId="77777777" w:rsidR="00F65BCA" w:rsidRDefault="00216117">
                        <w:pPr>
                          <w:pStyle w:val="TableParagraph"/>
                          <w:spacing w:before="1"/>
                          <w:ind w:left="211"/>
                          <w:rPr>
                            <w:sz w:val="9"/>
                          </w:rPr>
                        </w:pPr>
                        <w:r>
                          <w:rPr>
                            <w:sz w:val="9"/>
                          </w:rPr>
                          <w:t>&gt;2500 ccm</w:t>
                        </w:r>
                      </w:p>
                    </w:tc>
                    <w:tc>
                      <w:tcPr>
                        <w:tcW w:w="866" w:type="dxa"/>
                        <w:shd w:val="clear" w:color="auto" w:fill="FCE4D6"/>
                      </w:tcPr>
                      <w:p w14:paraId="4F79E580"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12664ABA" w14:textId="77777777" w:rsidR="00F65BCA" w:rsidRDefault="00216117">
                        <w:pPr>
                          <w:pStyle w:val="TableParagraph"/>
                          <w:spacing w:before="23"/>
                          <w:ind w:left="20"/>
                          <w:jc w:val="center"/>
                          <w:rPr>
                            <w:sz w:val="9"/>
                          </w:rPr>
                        </w:pPr>
                        <w:r>
                          <w:rPr>
                            <w:w w:val="101"/>
                            <w:sz w:val="9"/>
                          </w:rPr>
                          <w:t>-</w:t>
                        </w:r>
                      </w:p>
                    </w:tc>
                    <w:tc>
                      <w:tcPr>
                        <w:tcW w:w="991" w:type="dxa"/>
                      </w:tcPr>
                      <w:p w14:paraId="794D7245" w14:textId="77777777" w:rsidR="00F65BCA" w:rsidRDefault="00216117">
                        <w:pPr>
                          <w:pStyle w:val="TableParagraph"/>
                          <w:spacing w:before="23"/>
                          <w:ind w:left="58" w:right="39"/>
                          <w:jc w:val="center"/>
                          <w:rPr>
                            <w:sz w:val="9"/>
                          </w:rPr>
                        </w:pPr>
                        <w:r>
                          <w:rPr>
                            <w:sz w:val="9"/>
                          </w:rPr>
                          <w:t>2 188,701285</w:t>
                        </w:r>
                      </w:p>
                    </w:tc>
                  </w:tr>
                  <w:tr w:rsidR="00F65BCA" w14:paraId="158BC025" w14:textId="77777777">
                    <w:trPr>
                      <w:trHeight w:val="153"/>
                    </w:trPr>
                    <w:tc>
                      <w:tcPr>
                        <w:tcW w:w="998" w:type="dxa"/>
                        <w:vMerge/>
                        <w:tcBorders>
                          <w:top w:val="nil"/>
                        </w:tcBorders>
                        <w:shd w:val="clear" w:color="auto" w:fill="FCE4D6"/>
                      </w:tcPr>
                      <w:p w14:paraId="62D6016A" w14:textId="77777777" w:rsidR="00F65BCA" w:rsidRDefault="00F65BCA">
                        <w:pPr>
                          <w:rPr>
                            <w:sz w:val="2"/>
                            <w:szCs w:val="2"/>
                          </w:rPr>
                        </w:pPr>
                      </w:p>
                    </w:tc>
                    <w:tc>
                      <w:tcPr>
                        <w:tcW w:w="866" w:type="dxa"/>
                        <w:vMerge/>
                        <w:tcBorders>
                          <w:top w:val="nil"/>
                        </w:tcBorders>
                        <w:shd w:val="clear" w:color="auto" w:fill="FCE4D6"/>
                      </w:tcPr>
                      <w:p w14:paraId="47012D34" w14:textId="77777777" w:rsidR="00F65BCA" w:rsidRDefault="00F65BCA">
                        <w:pPr>
                          <w:rPr>
                            <w:sz w:val="2"/>
                            <w:szCs w:val="2"/>
                          </w:rPr>
                        </w:pPr>
                      </w:p>
                    </w:tc>
                    <w:tc>
                      <w:tcPr>
                        <w:tcW w:w="866" w:type="dxa"/>
                        <w:shd w:val="clear" w:color="auto" w:fill="FCE4D6"/>
                      </w:tcPr>
                      <w:p w14:paraId="132FFABC"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32B2C5C8" w14:textId="77777777" w:rsidR="00F65BCA" w:rsidRDefault="00216117">
                        <w:pPr>
                          <w:pStyle w:val="TableParagraph"/>
                          <w:spacing w:before="23"/>
                          <w:ind w:left="20"/>
                          <w:jc w:val="center"/>
                          <w:rPr>
                            <w:sz w:val="9"/>
                          </w:rPr>
                        </w:pPr>
                        <w:r>
                          <w:rPr>
                            <w:w w:val="101"/>
                            <w:sz w:val="9"/>
                          </w:rPr>
                          <w:t>-</w:t>
                        </w:r>
                      </w:p>
                    </w:tc>
                    <w:tc>
                      <w:tcPr>
                        <w:tcW w:w="991" w:type="dxa"/>
                      </w:tcPr>
                      <w:p w14:paraId="0F5A4813" w14:textId="77777777" w:rsidR="00F65BCA" w:rsidRDefault="00216117">
                        <w:pPr>
                          <w:pStyle w:val="TableParagraph"/>
                          <w:spacing w:before="23"/>
                          <w:ind w:left="58" w:right="38"/>
                          <w:jc w:val="center"/>
                          <w:rPr>
                            <w:sz w:val="9"/>
                          </w:rPr>
                        </w:pPr>
                        <w:r>
                          <w:rPr>
                            <w:sz w:val="9"/>
                          </w:rPr>
                          <w:t>2 397,149027</w:t>
                        </w:r>
                      </w:p>
                    </w:tc>
                  </w:tr>
                  <w:tr w:rsidR="00F65BCA" w14:paraId="356BB7DC" w14:textId="77777777">
                    <w:trPr>
                      <w:trHeight w:val="153"/>
                    </w:trPr>
                    <w:tc>
                      <w:tcPr>
                        <w:tcW w:w="998" w:type="dxa"/>
                        <w:vMerge/>
                        <w:tcBorders>
                          <w:top w:val="nil"/>
                        </w:tcBorders>
                        <w:shd w:val="clear" w:color="auto" w:fill="FCE4D6"/>
                      </w:tcPr>
                      <w:p w14:paraId="2D570A9C" w14:textId="77777777" w:rsidR="00F65BCA" w:rsidRDefault="00F65BCA">
                        <w:pPr>
                          <w:rPr>
                            <w:sz w:val="2"/>
                            <w:szCs w:val="2"/>
                          </w:rPr>
                        </w:pPr>
                      </w:p>
                    </w:tc>
                    <w:tc>
                      <w:tcPr>
                        <w:tcW w:w="866" w:type="dxa"/>
                        <w:vMerge/>
                        <w:tcBorders>
                          <w:top w:val="nil"/>
                        </w:tcBorders>
                        <w:shd w:val="clear" w:color="auto" w:fill="FCE4D6"/>
                      </w:tcPr>
                      <w:p w14:paraId="7F3EBADD" w14:textId="77777777" w:rsidR="00F65BCA" w:rsidRDefault="00F65BCA">
                        <w:pPr>
                          <w:rPr>
                            <w:sz w:val="2"/>
                            <w:szCs w:val="2"/>
                          </w:rPr>
                        </w:pPr>
                      </w:p>
                    </w:tc>
                    <w:tc>
                      <w:tcPr>
                        <w:tcW w:w="866" w:type="dxa"/>
                        <w:shd w:val="clear" w:color="auto" w:fill="FCE4D6"/>
                      </w:tcPr>
                      <w:p w14:paraId="2493B955"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5239ADE5" w14:textId="77777777" w:rsidR="00F65BCA" w:rsidRDefault="00216117">
                        <w:pPr>
                          <w:pStyle w:val="TableParagraph"/>
                          <w:spacing w:before="23"/>
                          <w:ind w:left="20"/>
                          <w:jc w:val="center"/>
                          <w:rPr>
                            <w:sz w:val="9"/>
                          </w:rPr>
                        </w:pPr>
                        <w:r>
                          <w:rPr>
                            <w:w w:val="101"/>
                            <w:sz w:val="9"/>
                          </w:rPr>
                          <w:t>-</w:t>
                        </w:r>
                      </w:p>
                    </w:tc>
                    <w:tc>
                      <w:tcPr>
                        <w:tcW w:w="991" w:type="dxa"/>
                      </w:tcPr>
                      <w:p w14:paraId="09D116FE" w14:textId="77777777" w:rsidR="00F65BCA" w:rsidRDefault="00216117">
                        <w:pPr>
                          <w:pStyle w:val="TableParagraph"/>
                          <w:spacing w:before="23"/>
                          <w:ind w:left="58" w:right="39"/>
                          <w:jc w:val="center"/>
                          <w:rPr>
                            <w:sz w:val="9"/>
                          </w:rPr>
                        </w:pPr>
                        <w:r>
                          <w:rPr>
                            <w:sz w:val="9"/>
                          </w:rPr>
                          <w:t>2 605,596768</w:t>
                        </w:r>
                      </w:p>
                    </w:tc>
                  </w:tr>
                  <w:tr w:rsidR="00F65BCA" w14:paraId="02871201" w14:textId="77777777">
                    <w:trPr>
                      <w:trHeight w:val="153"/>
                    </w:trPr>
                    <w:tc>
                      <w:tcPr>
                        <w:tcW w:w="998" w:type="dxa"/>
                        <w:vMerge w:val="restart"/>
                        <w:shd w:val="clear" w:color="auto" w:fill="FCE4D6"/>
                      </w:tcPr>
                      <w:p w14:paraId="0079457F" w14:textId="77777777" w:rsidR="00F65BCA" w:rsidRDefault="00F65BCA">
                        <w:pPr>
                          <w:pStyle w:val="TableParagraph"/>
                          <w:rPr>
                            <w:rFonts w:ascii="Calibri"/>
                            <w:sz w:val="10"/>
                          </w:rPr>
                        </w:pPr>
                      </w:p>
                      <w:p w14:paraId="476BD30E" w14:textId="77777777" w:rsidR="00F65BCA" w:rsidRDefault="00F65BCA">
                        <w:pPr>
                          <w:pStyle w:val="TableParagraph"/>
                          <w:rPr>
                            <w:rFonts w:ascii="Calibri"/>
                            <w:sz w:val="10"/>
                          </w:rPr>
                        </w:pPr>
                      </w:p>
                      <w:p w14:paraId="0E8CA997" w14:textId="77777777" w:rsidR="00F65BCA" w:rsidRDefault="00F65BCA">
                        <w:pPr>
                          <w:pStyle w:val="TableParagraph"/>
                          <w:rPr>
                            <w:rFonts w:ascii="Calibri"/>
                            <w:sz w:val="10"/>
                          </w:rPr>
                        </w:pPr>
                      </w:p>
                      <w:p w14:paraId="4552BB34" w14:textId="77777777" w:rsidR="00F65BCA" w:rsidRDefault="00F65BCA">
                        <w:pPr>
                          <w:pStyle w:val="TableParagraph"/>
                          <w:rPr>
                            <w:rFonts w:ascii="Calibri"/>
                            <w:sz w:val="10"/>
                          </w:rPr>
                        </w:pPr>
                      </w:p>
                      <w:p w14:paraId="11E4A052" w14:textId="77777777" w:rsidR="00F65BCA" w:rsidRDefault="00F65BCA">
                        <w:pPr>
                          <w:pStyle w:val="TableParagraph"/>
                          <w:rPr>
                            <w:rFonts w:ascii="Calibri"/>
                            <w:sz w:val="10"/>
                          </w:rPr>
                        </w:pPr>
                      </w:p>
                      <w:p w14:paraId="0AE728E2" w14:textId="77777777" w:rsidR="00F65BCA" w:rsidRDefault="00F65BCA">
                        <w:pPr>
                          <w:pStyle w:val="TableParagraph"/>
                          <w:rPr>
                            <w:rFonts w:ascii="Calibri"/>
                            <w:sz w:val="10"/>
                          </w:rPr>
                        </w:pPr>
                      </w:p>
                      <w:p w14:paraId="61181754" w14:textId="77777777" w:rsidR="00F65BCA" w:rsidRDefault="00F65BCA">
                        <w:pPr>
                          <w:pStyle w:val="TableParagraph"/>
                          <w:rPr>
                            <w:rFonts w:ascii="Calibri"/>
                            <w:sz w:val="10"/>
                          </w:rPr>
                        </w:pPr>
                      </w:p>
                      <w:p w14:paraId="7443D850" w14:textId="77777777" w:rsidR="00F65BCA" w:rsidRDefault="00F65BCA">
                        <w:pPr>
                          <w:pStyle w:val="TableParagraph"/>
                          <w:rPr>
                            <w:rFonts w:ascii="Calibri"/>
                            <w:sz w:val="10"/>
                          </w:rPr>
                        </w:pPr>
                      </w:p>
                      <w:p w14:paraId="69CE7D5B" w14:textId="77777777" w:rsidR="00F65BCA" w:rsidRDefault="00F65BCA">
                        <w:pPr>
                          <w:pStyle w:val="TableParagraph"/>
                          <w:rPr>
                            <w:rFonts w:ascii="Calibri"/>
                            <w:sz w:val="10"/>
                          </w:rPr>
                        </w:pPr>
                      </w:p>
                      <w:p w14:paraId="31ABF57C" w14:textId="77777777" w:rsidR="00F65BCA" w:rsidRDefault="00F65BCA">
                        <w:pPr>
                          <w:pStyle w:val="TableParagraph"/>
                          <w:rPr>
                            <w:rFonts w:ascii="Calibri"/>
                            <w:sz w:val="10"/>
                          </w:rPr>
                        </w:pPr>
                      </w:p>
                      <w:p w14:paraId="2CF55F54" w14:textId="77777777" w:rsidR="00F65BCA" w:rsidRDefault="00F65BCA">
                        <w:pPr>
                          <w:pStyle w:val="TableParagraph"/>
                          <w:rPr>
                            <w:rFonts w:ascii="Calibri"/>
                            <w:sz w:val="10"/>
                          </w:rPr>
                        </w:pPr>
                      </w:p>
                      <w:p w14:paraId="5C56E5B7" w14:textId="77777777" w:rsidR="00F65BCA" w:rsidRDefault="00F65BCA">
                        <w:pPr>
                          <w:pStyle w:val="TableParagraph"/>
                          <w:rPr>
                            <w:rFonts w:ascii="Calibri"/>
                            <w:sz w:val="10"/>
                          </w:rPr>
                        </w:pPr>
                      </w:p>
                      <w:p w14:paraId="0CB79345" w14:textId="77777777" w:rsidR="00F65BCA" w:rsidRDefault="00F65BCA">
                        <w:pPr>
                          <w:pStyle w:val="TableParagraph"/>
                          <w:rPr>
                            <w:rFonts w:ascii="Calibri"/>
                            <w:sz w:val="10"/>
                          </w:rPr>
                        </w:pPr>
                      </w:p>
                      <w:p w14:paraId="79998638" w14:textId="77777777" w:rsidR="00F65BCA" w:rsidRDefault="00F65BCA">
                        <w:pPr>
                          <w:pStyle w:val="TableParagraph"/>
                          <w:rPr>
                            <w:rFonts w:ascii="Calibri"/>
                            <w:sz w:val="10"/>
                          </w:rPr>
                        </w:pPr>
                      </w:p>
                      <w:p w14:paraId="11BF0F7A" w14:textId="77777777" w:rsidR="00F65BCA" w:rsidRDefault="00F65BCA">
                        <w:pPr>
                          <w:pStyle w:val="TableParagraph"/>
                          <w:rPr>
                            <w:rFonts w:ascii="Calibri"/>
                            <w:sz w:val="10"/>
                          </w:rPr>
                        </w:pPr>
                      </w:p>
                      <w:p w14:paraId="69C17BFB" w14:textId="77777777" w:rsidR="00F65BCA" w:rsidRDefault="00F65BCA">
                        <w:pPr>
                          <w:pStyle w:val="TableParagraph"/>
                          <w:rPr>
                            <w:rFonts w:ascii="Calibri"/>
                            <w:sz w:val="10"/>
                          </w:rPr>
                        </w:pPr>
                      </w:p>
                      <w:p w14:paraId="3EBE4305" w14:textId="77777777" w:rsidR="00F65BCA" w:rsidRDefault="00F65BCA">
                        <w:pPr>
                          <w:pStyle w:val="TableParagraph"/>
                          <w:rPr>
                            <w:rFonts w:ascii="Calibri"/>
                            <w:sz w:val="10"/>
                          </w:rPr>
                        </w:pPr>
                      </w:p>
                      <w:p w14:paraId="241DF3CE" w14:textId="77777777" w:rsidR="00F65BCA" w:rsidRDefault="00F65BCA">
                        <w:pPr>
                          <w:pStyle w:val="TableParagraph"/>
                          <w:rPr>
                            <w:rFonts w:ascii="Calibri"/>
                            <w:sz w:val="10"/>
                          </w:rPr>
                        </w:pPr>
                      </w:p>
                      <w:p w14:paraId="2C1EE946" w14:textId="77777777" w:rsidR="00F65BCA" w:rsidRDefault="00F65BCA">
                        <w:pPr>
                          <w:pStyle w:val="TableParagraph"/>
                          <w:rPr>
                            <w:rFonts w:ascii="Calibri"/>
                            <w:sz w:val="10"/>
                          </w:rPr>
                        </w:pPr>
                      </w:p>
                      <w:p w14:paraId="38E7E830" w14:textId="77777777" w:rsidR="00F65BCA" w:rsidRDefault="00F65BCA">
                        <w:pPr>
                          <w:pStyle w:val="TableParagraph"/>
                          <w:rPr>
                            <w:rFonts w:ascii="Calibri"/>
                            <w:sz w:val="10"/>
                          </w:rPr>
                        </w:pPr>
                      </w:p>
                      <w:p w14:paraId="33C35766" w14:textId="77777777" w:rsidR="00F65BCA" w:rsidRDefault="00F65BCA">
                        <w:pPr>
                          <w:pStyle w:val="TableParagraph"/>
                          <w:spacing w:before="8"/>
                          <w:rPr>
                            <w:rFonts w:ascii="Calibri"/>
                            <w:sz w:val="10"/>
                          </w:rPr>
                        </w:pPr>
                      </w:p>
                      <w:p w14:paraId="67FCB55A" w14:textId="77777777" w:rsidR="00F65BCA" w:rsidRDefault="00216117">
                        <w:pPr>
                          <w:pStyle w:val="TableParagraph"/>
                          <w:spacing w:line="266" w:lineRule="auto"/>
                          <w:ind w:left="410" w:hanging="360"/>
                          <w:rPr>
                            <w:sz w:val="9"/>
                          </w:rPr>
                        </w:pPr>
                        <w:r>
                          <w:rPr>
                            <w:sz w:val="9"/>
                          </w:rPr>
                          <w:t>nákladní automobil do 3,5 t</w:t>
                        </w:r>
                      </w:p>
                    </w:tc>
                    <w:tc>
                      <w:tcPr>
                        <w:tcW w:w="866" w:type="dxa"/>
                        <w:vMerge w:val="restart"/>
                        <w:shd w:val="clear" w:color="auto" w:fill="FCE4D6"/>
                      </w:tcPr>
                      <w:p w14:paraId="64C61A9B" w14:textId="77777777" w:rsidR="00F65BCA" w:rsidRDefault="00F65BCA">
                        <w:pPr>
                          <w:pStyle w:val="TableParagraph"/>
                          <w:spacing w:before="10"/>
                          <w:rPr>
                            <w:rFonts w:ascii="Calibri"/>
                            <w:sz w:val="14"/>
                          </w:rPr>
                        </w:pPr>
                      </w:p>
                      <w:p w14:paraId="1EF78F24" w14:textId="77777777" w:rsidR="00F65BCA" w:rsidRDefault="00216117">
                        <w:pPr>
                          <w:pStyle w:val="TableParagraph"/>
                          <w:spacing w:before="1"/>
                          <w:ind w:left="197"/>
                          <w:rPr>
                            <w:sz w:val="9"/>
                          </w:rPr>
                        </w:pPr>
                        <w:r>
                          <w:rPr>
                            <w:sz w:val="9"/>
                          </w:rPr>
                          <w:t>0-1000 ccm</w:t>
                        </w:r>
                      </w:p>
                    </w:tc>
                    <w:tc>
                      <w:tcPr>
                        <w:tcW w:w="866" w:type="dxa"/>
                        <w:shd w:val="clear" w:color="auto" w:fill="FCE4D6"/>
                      </w:tcPr>
                      <w:p w14:paraId="1A3B21F6"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69929196" w14:textId="77777777" w:rsidR="00F65BCA" w:rsidRDefault="00216117">
                        <w:pPr>
                          <w:pStyle w:val="TableParagraph"/>
                          <w:spacing w:before="23"/>
                          <w:ind w:left="20"/>
                          <w:jc w:val="center"/>
                          <w:rPr>
                            <w:sz w:val="9"/>
                          </w:rPr>
                        </w:pPr>
                        <w:r>
                          <w:rPr>
                            <w:w w:val="101"/>
                            <w:sz w:val="9"/>
                          </w:rPr>
                          <w:t>-</w:t>
                        </w:r>
                      </w:p>
                    </w:tc>
                    <w:tc>
                      <w:tcPr>
                        <w:tcW w:w="991" w:type="dxa"/>
                      </w:tcPr>
                      <w:p w14:paraId="36E822AD" w14:textId="77777777" w:rsidR="00F65BCA" w:rsidRDefault="00216117">
                        <w:pPr>
                          <w:pStyle w:val="TableParagraph"/>
                          <w:spacing w:before="23"/>
                          <w:ind w:left="58" w:right="39"/>
                          <w:jc w:val="center"/>
                          <w:rPr>
                            <w:sz w:val="9"/>
                          </w:rPr>
                        </w:pPr>
                        <w:r>
                          <w:rPr>
                            <w:sz w:val="9"/>
                          </w:rPr>
                          <w:t>959,697144</w:t>
                        </w:r>
                      </w:p>
                    </w:tc>
                  </w:tr>
                  <w:tr w:rsidR="00F65BCA" w14:paraId="17EBB374" w14:textId="77777777">
                    <w:trPr>
                      <w:trHeight w:val="153"/>
                    </w:trPr>
                    <w:tc>
                      <w:tcPr>
                        <w:tcW w:w="998" w:type="dxa"/>
                        <w:vMerge/>
                        <w:tcBorders>
                          <w:top w:val="nil"/>
                        </w:tcBorders>
                        <w:shd w:val="clear" w:color="auto" w:fill="FCE4D6"/>
                      </w:tcPr>
                      <w:p w14:paraId="12CA6AF6" w14:textId="77777777" w:rsidR="00F65BCA" w:rsidRDefault="00F65BCA">
                        <w:pPr>
                          <w:rPr>
                            <w:sz w:val="2"/>
                            <w:szCs w:val="2"/>
                          </w:rPr>
                        </w:pPr>
                      </w:p>
                    </w:tc>
                    <w:tc>
                      <w:tcPr>
                        <w:tcW w:w="866" w:type="dxa"/>
                        <w:vMerge/>
                        <w:tcBorders>
                          <w:top w:val="nil"/>
                        </w:tcBorders>
                        <w:shd w:val="clear" w:color="auto" w:fill="FCE4D6"/>
                      </w:tcPr>
                      <w:p w14:paraId="7A76147E" w14:textId="77777777" w:rsidR="00F65BCA" w:rsidRDefault="00F65BCA">
                        <w:pPr>
                          <w:rPr>
                            <w:sz w:val="2"/>
                            <w:szCs w:val="2"/>
                          </w:rPr>
                        </w:pPr>
                      </w:p>
                    </w:tc>
                    <w:tc>
                      <w:tcPr>
                        <w:tcW w:w="866" w:type="dxa"/>
                        <w:shd w:val="clear" w:color="auto" w:fill="FCE4D6"/>
                      </w:tcPr>
                      <w:p w14:paraId="1EFD0E4D"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6D1A626E" w14:textId="77777777" w:rsidR="00F65BCA" w:rsidRDefault="00216117">
                        <w:pPr>
                          <w:pStyle w:val="TableParagraph"/>
                          <w:spacing w:before="23"/>
                          <w:ind w:left="20"/>
                          <w:jc w:val="center"/>
                          <w:rPr>
                            <w:sz w:val="9"/>
                          </w:rPr>
                        </w:pPr>
                        <w:r>
                          <w:rPr>
                            <w:w w:val="101"/>
                            <w:sz w:val="9"/>
                          </w:rPr>
                          <w:t>-</w:t>
                        </w:r>
                      </w:p>
                    </w:tc>
                    <w:tc>
                      <w:tcPr>
                        <w:tcW w:w="991" w:type="dxa"/>
                      </w:tcPr>
                      <w:p w14:paraId="283F1A96" w14:textId="77777777" w:rsidR="00F65BCA" w:rsidRDefault="00216117">
                        <w:pPr>
                          <w:pStyle w:val="TableParagraph"/>
                          <w:spacing w:before="23"/>
                          <w:ind w:left="58" w:right="38"/>
                          <w:jc w:val="center"/>
                          <w:rPr>
                            <w:sz w:val="9"/>
                          </w:rPr>
                        </w:pPr>
                        <w:r>
                          <w:rPr>
                            <w:sz w:val="9"/>
                          </w:rPr>
                          <w:t>1 051,096872</w:t>
                        </w:r>
                      </w:p>
                    </w:tc>
                  </w:tr>
                  <w:tr w:rsidR="00F65BCA" w14:paraId="30BA4FC6" w14:textId="77777777">
                    <w:trPr>
                      <w:trHeight w:val="153"/>
                    </w:trPr>
                    <w:tc>
                      <w:tcPr>
                        <w:tcW w:w="998" w:type="dxa"/>
                        <w:vMerge/>
                        <w:tcBorders>
                          <w:top w:val="nil"/>
                        </w:tcBorders>
                        <w:shd w:val="clear" w:color="auto" w:fill="FCE4D6"/>
                      </w:tcPr>
                      <w:p w14:paraId="48501D24" w14:textId="77777777" w:rsidR="00F65BCA" w:rsidRDefault="00F65BCA">
                        <w:pPr>
                          <w:rPr>
                            <w:sz w:val="2"/>
                            <w:szCs w:val="2"/>
                          </w:rPr>
                        </w:pPr>
                      </w:p>
                    </w:tc>
                    <w:tc>
                      <w:tcPr>
                        <w:tcW w:w="866" w:type="dxa"/>
                        <w:vMerge/>
                        <w:tcBorders>
                          <w:top w:val="nil"/>
                        </w:tcBorders>
                        <w:shd w:val="clear" w:color="auto" w:fill="FCE4D6"/>
                      </w:tcPr>
                      <w:p w14:paraId="447ACA2A" w14:textId="77777777" w:rsidR="00F65BCA" w:rsidRDefault="00F65BCA">
                        <w:pPr>
                          <w:rPr>
                            <w:sz w:val="2"/>
                            <w:szCs w:val="2"/>
                          </w:rPr>
                        </w:pPr>
                      </w:p>
                    </w:tc>
                    <w:tc>
                      <w:tcPr>
                        <w:tcW w:w="866" w:type="dxa"/>
                        <w:shd w:val="clear" w:color="auto" w:fill="FCE4D6"/>
                      </w:tcPr>
                      <w:p w14:paraId="35AA902A"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6B696C1A" w14:textId="77777777" w:rsidR="00F65BCA" w:rsidRDefault="00216117">
                        <w:pPr>
                          <w:pStyle w:val="TableParagraph"/>
                          <w:spacing w:before="23"/>
                          <w:ind w:left="20"/>
                          <w:jc w:val="center"/>
                          <w:rPr>
                            <w:sz w:val="9"/>
                          </w:rPr>
                        </w:pPr>
                        <w:r>
                          <w:rPr>
                            <w:w w:val="101"/>
                            <w:sz w:val="9"/>
                          </w:rPr>
                          <w:t>-</w:t>
                        </w:r>
                      </w:p>
                    </w:tc>
                    <w:tc>
                      <w:tcPr>
                        <w:tcW w:w="991" w:type="dxa"/>
                      </w:tcPr>
                      <w:p w14:paraId="46652146" w14:textId="77777777" w:rsidR="00F65BCA" w:rsidRDefault="00216117">
                        <w:pPr>
                          <w:pStyle w:val="TableParagraph"/>
                          <w:spacing w:before="23"/>
                          <w:ind w:left="58" w:right="39"/>
                          <w:jc w:val="center"/>
                          <w:rPr>
                            <w:sz w:val="9"/>
                          </w:rPr>
                        </w:pPr>
                        <w:r>
                          <w:rPr>
                            <w:sz w:val="9"/>
                          </w:rPr>
                          <w:t>1 142,496600</w:t>
                        </w:r>
                      </w:p>
                    </w:tc>
                  </w:tr>
                  <w:tr w:rsidR="00F65BCA" w14:paraId="77B191EB" w14:textId="77777777">
                    <w:trPr>
                      <w:trHeight w:val="153"/>
                    </w:trPr>
                    <w:tc>
                      <w:tcPr>
                        <w:tcW w:w="998" w:type="dxa"/>
                        <w:vMerge/>
                        <w:tcBorders>
                          <w:top w:val="nil"/>
                        </w:tcBorders>
                        <w:shd w:val="clear" w:color="auto" w:fill="FCE4D6"/>
                      </w:tcPr>
                      <w:p w14:paraId="7693347F" w14:textId="77777777" w:rsidR="00F65BCA" w:rsidRDefault="00F65BCA">
                        <w:pPr>
                          <w:rPr>
                            <w:sz w:val="2"/>
                            <w:szCs w:val="2"/>
                          </w:rPr>
                        </w:pPr>
                      </w:p>
                    </w:tc>
                    <w:tc>
                      <w:tcPr>
                        <w:tcW w:w="866" w:type="dxa"/>
                        <w:vMerge w:val="restart"/>
                        <w:shd w:val="clear" w:color="auto" w:fill="FCE4D6"/>
                      </w:tcPr>
                      <w:p w14:paraId="0851D69D" w14:textId="77777777" w:rsidR="00F65BCA" w:rsidRDefault="00F65BCA">
                        <w:pPr>
                          <w:pStyle w:val="TableParagraph"/>
                          <w:spacing w:before="10"/>
                          <w:rPr>
                            <w:rFonts w:ascii="Calibri"/>
                            <w:sz w:val="14"/>
                          </w:rPr>
                        </w:pPr>
                      </w:p>
                      <w:p w14:paraId="46A2FCDB" w14:textId="77777777" w:rsidR="00F65BCA" w:rsidRDefault="00216117">
                        <w:pPr>
                          <w:pStyle w:val="TableParagraph"/>
                          <w:spacing w:before="1"/>
                          <w:ind w:left="122"/>
                          <w:rPr>
                            <w:sz w:val="9"/>
                          </w:rPr>
                        </w:pPr>
                        <w:r>
                          <w:rPr>
                            <w:sz w:val="9"/>
                          </w:rPr>
                          <w:t>1001-1200 ccm</w:t>
                        </w:r>
                      </w:p>
                    </w:tc>
                    <w:tc>
                      <w:tcPr>
                        <w:tcW w:w="866" w:type="dxa"/>
                        <w:shd w:val="clear" w:color="auto" w:fill="FCE4D6"/>
                      </w:tcPr>
                      <w:p w14:paraId="75CB43C2"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11F36064" w14:textId="77777777" w:rsidR="00F65BCA" w:rsidRDefault="00216117">
                        <w:pPr>
                          <w:pStyle w:val="TableParagraph"/>
                          <w:spacing w:before="23"/>
                          <w:ind w:left="20"/>
                          <w:jc w:val="center"/>
                          <w:rPr>
                            <w:sz w:val="9"/>
                          </w:rPr>
                        </w:pPr>
                        <w:r>
                          <w:rPr>
                            <w:w w:val="101"/>
                            <w:sz w:val="9"/>
                          </w:rPr>
                          <w:t>-</w:t>
                        </w:r>
                      </w:p>
                    </w:tc>
                    <w:tc>
                      <w:tcPr>
                        <w:tcW w:w="991" w:type="dxa"/>
                      </w:tcPr>
                      <w:p w14:paraId="40C599FF" w14:textId="77777777" w:rsidR="00F65BCA" w:rsidRDefault="00216117">
                        <w:pPr>
                          <w:pStyle w:val="TableParagraph"/>
                          <w:spacing w:before="23"/>
                          <w:ind w:left="58" w:right="39"/>
                          <w:jc w:val="center"/>
                          <w:rPr>
                            <w:sz w:val="9"/>
                          </w:rPr>
                        </w:pPr>
                        <w:r>
                          <w:rPr>
                            <w:sz w:val="9"/>
                          </w:rPr>
                          <w:t>1 669,873031</w:t>
                        </w:r>
                      </w:p>
                    </w:tc>
                  </w:tr>
                  <w:tr w:rsidR="00F65BCA" w14:paraId="70C6906A" w14:textId="77777777">
                    <w:trPr>
                      <w:trHeight w:val="153"/>
                    </w:trPr>
                    <w:tc>
                      <w:tcPr>
                        <w:tcW w:w="998" w:type="dxa"/>
                        <w:vMerge/>
                        <w:tcBorders>
                          <w:top w:val="nil"/>
                        </w:tcBorders>
                        <w:shd w:val="clear" w:color="auto" w:fill="FCE4D6"/>
                      </w:tcPr>
                      <w:p w14:paraId="7237CCBE" w14:textId="77777777" w:rsidR="00F65BCA" w:rsidRDefault="00F65BCA">
                        <w:pPr>
                          <w:rPr>
                            <w:sz w:val="2"/>
                            <w:szCs w:val="2"/>
                          </w:rPr>
                        </w:pPr>
                      </w:p>
                    </w:tc>
                    <w:tc>
                      <w:tcPr>
                        <w:tcW w:w="866" w:type="dxa"/>
                        <w:vMerge/>
                        <w:tcBorders>
                          <w:top w:val="nil"/>
                        </w:tcBorders>
                        <w:shd w:val="clear" w:color="auto" w:fill="FCE4D6"/>
                      </w:tcPr>
                      <w:p w14:paraId="61B69646" w14:textId="77777777" w:rsidR="00F65BCA" w:rsidRDefault="00F65BCA">
                        <w:pPr>
                          <w:rPr>
                            <w:sz w:val="2"/>
                            <w:szCs w:val="2"/>
                          </w:rPr>
                        </w:pPr>
                      </w:p>
                    </w:tc>
                    <w:tc>
                      <w:tcPr>
                        <w:tcW w:w="866" w:type="dxa"/>
                        <w:shd w:val="clear" w:color="auto" w:fill="FCE4D6"/>
                      </w:tcPr>
                      <w:p w14:paraId="34AFE202"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5A7E33C0" w14:textId="77777777" w:rsidR="00F65BCA" w:rsidRDefault="00216117">
                        <w:pPr>
                          <w:pStyle w:val="TableParagraph"/>
                          <w:spacing w:before="23"/>
                          <w:ind w:left="20"/>
                          <w:jc w:val="center"/>
                          <w:rPr>
                            <w:sz w:val="9"/>
                          </w:rPr>
                        </w:pPr>
                        <w:r>
                          <w:rPr>
                            <w:w w:val="101"/>
                            <w:sz w:val="9"/>
                          </w:rPr>
                          <w:t>-</w:t>
                        </w:r>
                      </w:p>
                    </w:tc>
                    <w:tc>
                      <w:tcPr>
                        <w:tcW w:w="991" w:type="dxa"/>
                      </w:tcPr>
                      <w:p w14:paraId="36944277" w14:textId="77777777" w:rsidR="00F65BCA" w:rsidRDefault="00216117">
                        <w:pPr>
                          <w:pStyle w:val="TableParagraph"/>
                          <w:spacing w:before="23"/>
                          <w:ind w:left="58" w:right="38"/>
                          <w:jc w:val="center"/>
                          <w:rPr>
                            <w:sz w:val="9"/>
                          </w:rPr>
                        </w:pPr>
                        <w:r>
                          <w:rPr>
                            <w:sz w:val="9"/>
                          </w:rPr>
                          <w:t>1 828,908557</w:t>
                        </w:r>
                      </w:p>
                    </w:tc>
                  </w:tr>
                  <w:tr w:rsidR="00F65BCA" w14:paraId="1FE80F8F" w14:textId="77777777">
                    <w:trPr>
                      <w:trHeight w:val="153"/>
                    </w:trPr>
                    <w:tc>
                      <w:tcPr>
                        <w:tcW w:w="998" w:type="dxa"/>
                        <w:vMerge/>
                        <w:tcBorders>
                          <w:top w:val="nil"/>
                        </w:tcBorders>
                        <w:shd w:val="clear" w:color="auto" w:fill="FCE4D6"/>
                      </w:tcPr>
                      <w:p w14:paraId="0C9F33C3" w14:textId="77777777" w:rsidR="00F65BCA" w:rsidRDefault="00F65BCA">
                        <w:pPr>
                          <w:rPr>
                            <w:sz w:val="2"/>
                            <w:szCs w:val="2"/>
                          </w:rPr>
                        </w:pPr>
                      </w:p>
                    </w:tc>
                    <w:tc>
                      <w:tcPr>
                        <w:tcW w:w="866" w:type="dxa"/>
                        <w:vMerge/>
                        <w:tcBorders>
                          <w:top w:val="nil"/>
                        </w:tcBorders>
                        <w:shd w:val="clear" w:color="auto" w:fill="FCE4D6"/>
                      </w:tcPr>
                      <w:p w14:paraId="5291800D" w14:textId="77777777" w:rsidR="00F65BCA" w:rsidRDefault="00F65BCA">
                        <w:pPr>
                          <w:rPr>
                            <w:sz w:val="2"/>
                            <w:szCs w:val="2"/>
                          </w:rPr>
                        </w:pPr>
                      </w:p>
                    </w:tc>
                    <w:tc>
                      <w:tcPr>
                        <w:tcW w:w="866" w:type="dxa"/>
                        <w:shd w:val="clear" w:color="auto" w:fill="FCE4D6"/>
                      </w:tcPr>
                      <w:p w14:paraId="32EA661D"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655C35E2" w14:textId="77777777" w:rsidR="00F65BCA" w:rsidRDefault="00216117">
                        <w:pPr>
                          <w:pStyle w:val="TableParagraph"/>
                          <w:spacing w:before="23"/>
                          <w:ind w:left="20"/>
                          <w:jc w:val="center"/>
                          <w:rPr>
                            <w:sz w:val="9"/>
                          </w:rPr>
                        </w:pPr>
                        <w:r>
                          <w:rPr>
                            <w:w w:val="101"/>
                            <w:sz w:val="9"/>
                          </w:rPr>
                          <w:t>-</w:t>
                        </w:r>
                      </w:p>
                    </w:tc>
                    <w:tc>
                      <w:tcPr>
                        <w:tcW w:w="991" w:type="dxa"/>
                      </w:tcPr>
                      <w:p w14:paraId="1D8C06A8" w14:textId="77777777" w:rsidR="00F65BCA" w:rsidRDefault="00216117">
                        <w:pPr>
                          <w:pStyle w:val="TableParagraph"/>
                          <w:spacing w:before="23"/>
                          <w:ind w:left="58" w:right="39"/>
                          <w:jc w:val="center"/>
                          <w:rPr>
                            <w:sz w:val="9"/>
                          </w:rPr>
                        </w:pPr>
                        <w:r>
                          <w:rPr>
                            <w:sz w:val="9"/>
                          </w:rPr>
                          <w:t>1 987,944084</w:t>
                        </w:r>
                      </w:p>
                    </w:tc>
                  </w:tr>
                  <w:tr w:rsidR="00F65BCA" w14:paraId="30955AE3" w14:textId="77777777">
                    <w:trPr>
                      <w:trHeight w:val="153"/>
                    </w:trPr>
                    <w:tc>
                      <w:tcPr>
                        <w:tcW w:w="998" w:type="dxa"/>
                        <w:vMerge/>
                        <w:tcBorders>
                          <w:top w:val="nil"/>
                        </w:tcBorders>
                        <w:shd w:val="clear" w:color="auto" w:fill="FCE4D6"/>
                      </w:tcPr>
                      <w:p w14:paraId="24A9A117" w14:textId="77777777" w:rsidR="00F65BCA" w:rsidRDefault="00F65BCA">
                        <w:pPr>
                          <w:rPr>
                            <w:sz w:val="2"/>
                            <w:szCs w:val="2"/>
                          </w:rPr>
                        </w:pPr>
                      </w:p>
                    </w:tc>
                    <w:tc>
                      <w:tcPr>
                        <w:tcW w:w="866" w:type="dxa"/>
                        <w:vMerge w:val="restart"/>
                        <w:shd w:val="clear" w:color="auto" w:fill="FCE4D6"/>
                      </w:tcPr>
                      <w:p w14:paraId="1A95B56B" w14:textId="77777777" w:rsidR="00F65BCA" w:rsidRDefault="00F65BCA">
                        <w:pPr>
                          <w:pStyle w:val="TableParagraph"/>
                          <w:spacing w:before="10"/>
                          <w:rPr>
                            <w:rFonts w:ascii="Calibri"/>
                            <w:sz w:val="14"/>
                          </w:rPr>
                        </w:pPr>
                      </w:p>
                      <w:p w14:paraId="7C5D76F9" w14:textId="77777777" w:rsidR="00F65BCA" w:rsidRDefault="00216117">
                        <w:pPr>
                          <w:pStyle w:val="TableParagraph"/>
                          <w:spacing w:before="1"/>
                          <w:ind w:left="122"/>
                          <w:rPr>
                            <w:sz w:val="9"/>
                          </w:rPr>
                        </w:pPr>
                        <w:r>
                          <w:rPr>
                            <w:sz w:val="9"/>
                          </w:rPr>
                          <w:t>1201-1350 ccm</w:t>
                        </w:r>
                      </w:p>
                    </w:tc>
                    <w:tc>
                      <w:tcPr>
                        <w:tcW w:w="866" w:type="dxa"/>
                        <w:shd w:val="clear" w:color="auto" w:fill="FCE4D6"/>
                      </w:tcPr>
                      <w:p w14:paraId="28AA3C00"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25CC8420" w14:textId="77777777" w:rsidR="00F65BCA" w:rsidRDefault="00216117">
                        <w:pPr>
                          <w:pStyle w:val="TableParagraph"/>
                          <w:spacing w:before="23"/>
                          <w:ind w:left="20"/>
                          <w:jc w:val="center"/>
                          <w:rPr>
                            <w:sz w:val="9"/>
                          </w:rPr>
                        </w:pPr>
                        <w:r>
                          <w:rPr>
                            <w:w w:val="101"/>
                            <w:sz w:val="9"/>
                          </w:rPr>
                          <w:t>-</w:t>
                        </w:r>
                      </w:p>
                    </w:tc>
                    <w:tc>
                      <w:tcPr>
                        <w:tcW w:w="991" w:type="dxa"/>
                      </w:tcPr>
                      <w:p w14:paraId="31F574FA" w14:textId="77777777" w:rsidR="00F65BCA" w:rsidRDefault="00216117">
                        <w:pPr>
                          <w:pStyle w:val="TableParagraph"/>
                          <w:spacing w:before="23"/>
                          <w:ind w:left="58" w:right="39"/>
                          <w:jc w:val="center"/>
                          <w:rPr>
                            <w:sz w:val="9"/>
                          </w:rPr>
                        </w:pPr>
                        <w:r>
                          <w:rPr>
                            <w:sz w:val="9"/>
                          </w:rPr>
                          <w:t>1 881,006402</w:t>
                        </w:r>
                      </w:p>
                    </w:tc>
                  </w:tr>
                  <w:tr w:rsidR="00F65BCA" w14:paraId="2EB241B6" w14:textId="77777777">
                    <w:trPr>
                      <w:trHeight w:val="153"/>
                    </w:trPr>
                    <w:tc>
                      <w:tcPr>
                        <w:tcW w:w="998" w:type="dxa"/>
                        <w:vMerge/>
                        <w:tcBorders>
                          <w:top w:val="nil"/>
                        </w:tcBorders>
                        <w:shd w:val="clear" w:color="auto" w:fill="FCE4D6"/>
                      </w:tcPr>
                      <w:p w14:paraId="6CCC758D" w14:textId="77777777" w:rsidR="00F65BCA" w:rsidRDefault="00F65BCA">
                        <w:pPr>
                          <w:rPr>
                            <w:sz w:val="2"/>
                            <w:szCs w:val="2"/>
                          </w:rPr>
                        </w:pPr>
                      </w:p>
                    </w:tc>
                    <w:tc>
                      <w:tcPr>
                        <w:tcW w:w="866" w:type="dxa"/>
                        <w:vMerge/>
                        <w:tcBorders>
                          <w:top w:val="nil"/>
                        </w:tcBorders>
                        <w:shd w:val="clear" w:color="auto" w:fill="FCE4D6"/>
                      </w:tcPr>
                      <w:p w14:paraId="7AC6A02D" w14:textId="77777777" w:rsidR="00F65BCA" w:rsidRDefault="00F65BCA">
                        <w:pPr>
                          <w:rPr>
                            <w:sz w:val="2"/>
                            <w:szCs w:val="2"/>
                          </w:rPr>
                        </w:pPr>
                      </w:p>
                    </w:tc>
                    <w:tc>
                      <w:tcPr>
                        <w:tcW w:w="866" w:type="dxa"/>
                        <w:shd w:val="clear" w:color="auto" w:fill="FCE4D6"/>
                      </w:tcPr>
                      <w:p w14:paraId="30FBC53A"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45CA04AE" w14:textId="77777777" w:rsidR="00F65BCA" w:rsidRDefault="00216117">
                        <w:pPr>
                          <w:pStyle w:val="TableParagraph"/>
                          <w:spacing w:before="23"/>
                          <w:ind w:left="20"/>
                          <w:jc w:val="center"/>
                          <w:rPr>
                            <w:sz w:val="9"/>
                          </w:rPr>
                        </w:pPr>
                        <w:r>
                          <w:rPr>
                            <w:w w:val="101"/>
                            <w:sz w:val="9"/>
                          </w:rPr>
                          <w:t>-</w:t>
                        </w:r>
                      </w:p>
                    </w:tc>
                    <w:tc>
                      <w:tcPr>
                        <w:tcW w:w="991" w:type="dxa"/>
                      </w:tcPr>
                      <w:p w14:paraId="72227368" w14:textId="77777777" w:rsidR="00F65BCA" w:rsidRDefault="00216117">
                        <w:pPr>
                          <w:pStyle w:val="TableParagraph"/>
                          <w:spacing w:before="23"/>
                          <w:ind w:left="58" w:right="38"/>
                          <w:jc w:val="center"/>
                          <w:rPr>
                            <w:sz w:val="9"/>
                          </w:rPr>
                        </w:pPr>
                        <w:r>
                          <w:rPr>
                            <w:sz w:val="9"/>
                          </w:rPr>
                          <w:t>2 060,149869</w:t>
                        </w:r>
                      </w:p>
                    </w:tc>
                  </w:tr>
                  <w:tr w:rsidR="00F65BCA" w14:paraId="0C9BE78B" w14:textId="77777777">
                    <w:trPr>
                      <w:trHeight w:val="153"/>
                    </w:trPr>
                    <w:tc>
                      <w:tcPr>
                        <w:tcW w:w="998" w:type="dxa"/>
                        <w:vMerge/>
                        <w:tcBorders>
                          <w:top w:val="nil"/>
                        </w:tcBorders>
                        <w:shd w:val="clear" w:color="auto" w:fill="FCE4D6"/>
                      </w:tcPr>
                      <w:p w14:paraId="078FB05F" w14:textId="77777777" w:rsidR="00F65BCA" w:rsidRDefault="00F65BCA">
                        <w:pPr>
                          <w:rPr>
                            <w:sz w:val="2"/>
                            <w:szCs w:val="2"/>
                          </w:rPr>
                        </w:pPr>
                      </w:p>
                    </w:tc>
                    <w:tc>
                      <w:tcPr>
                        <w:tcW w:w="866" w:type="dxa"/>
                        <w:vMerge/>
                        <w:tcBorders>
                          <w:top w:val="nil"/>
                        </w:tcBorders>
                        <w:shd w:val="clear" w:color="auto" w:fill="FCE4D6"/>
                      </w:tcPr>
                      <w:p w14:paraId="2E6DEA67" w14:textId="77777777" w:rsidR="00F65BCA" w:rsidRDefault="00F65BCA">
                        <w:pPr>
                          <w:rPr>
                            <w:sz w:val="2"/>
                            <w:szCs w:val="2"/>
                          </w:rPr>
                        </w:pPr>
                      </w:p>
                    </w:tc>
                    <w:tc>
                      <w:tcPr>
                        <w:tcW w:w="866" w:type="dxa"/>
                        <w:shd w:val="clear" w:color="auto" w:fill="FCE4D6"/>
                      </w:tcPr>
                      <w:p w14:paraId="49C64C9B"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5775B252" w14:textId="77777777" w:rsidR="00F65BCA" w:rsidRDefault="00216117">
                        <w:pPr>
                          <w:pStyle w:val="TableParagraph"/>
                          <w:spacing w:before="23"/>
                          <w:ind w:left="20"/>
                          <w:jc w:val="center"/>
                          <w:rPr>
                            <w:sz w:val="9"/>
                          </w:rPr>
                        </w:pPr>
                        <w:r>
                          <w:rPr>
                            <w:w w:val="101"/>
                            <w:sz w:val="9"/>
                          </w:rPr>
                          <w:t>-</w:t>
                        </w:r>
                      </w:p>
                    </w:tc>
                    <w:tc>
                      <w:tcPr>
                        <w:tcW w:w="991" w:type="dxa"/>
                      </w:tcPr>
                      <w:p w14:paraId="5946CFBA" w14:textId="77777777" w:rsidR="00F65BCA" w:rsidRDefault="00216117">
                        <w:pPr>
                          <w:pStyle w:val="TableParagraph"/>
                          <w:spacing w:before="23"/>
                          <w:ind w:left="58" w:right="39"/>
                          <w:jc w:val="center"/>
                          <w:rPr>
                            <w:sz w:val="9"/>
                          </w:rPr>
                        </w:pPr>
                        <w:r>
                          <w:rPr>
                            <w:sz w:val="9"/>
                          </w:rPr>
                          <w:t>2 239,293336</w:t>
                        </w:r>
                      </w:p>
                    </w:tc>
                  </w:tr>
                  <w:tr w:rsidR="00F65BCA" w14:paraId="77341104" w14:textId="77777777">
                    <w:trPr>
                      <w:trHeight w:val="153"/>
                    </w:trPr>
                    <w:tc>
                      <w:tcPr>
                        <w:tcW w:w="998" w:type="dxa"/>
                        <w:vMerge/>
                        <w:tcBorders>
                          <w:top w:val="nil"/>
                        </w:tcBorders>
                        <w:shd w:val="clear" w:color="auto" w:fill="FCE4D6"/>
                      </w:tcPr>
                      <w:p w14:paraId="540E7239" w14:textId="77777777" w:rsidR="00F65BCA" w:rsidRDefault="00F65BCA">
                        <w:pPr>
                          <w:rPr>
                            <w:sz w:val="2"/>
                            <w:szCs w:val="2"/>
                          </w:rPr>
                        </w:pPr>
                      </w:p>
                    </w:tc>
                    <w:tc>
                      <w:tcPr>
                        <w:tcW w:w="866" w:type="dxa"/>
                        <w:vMerge w:val="restart"/>
                        <w:shd w:val="clear" w:color="auto" w:fill="FCE4D6"/>
                      </w:tcPr>
                      <w:p w14:paraId="4940CD6C" w14:textId="77777777" w:rsidR="00F65BCA" w:rsidRDefault="00F65BCA">
                        <w:pPr>
                          <w:pStyle w:val="TableParagraph"/>
                          <w:spacing w:before="10"/>
                          <w:rPr>
                            <w:rFonts w:ascii="Calibri"/>
                            <w:sz w:val="14"/>
                          </w:rPr>
                        </w:pPr>
                      </w:p>
                      <w:p w14:paraId="56158478" w14:textId="77777777" w:rsidR="00F65BCA" w:rsidRDefault="00216117">
                        <w:pPr>
                          <w:pStyle w:val="TableParagraph"/>
                          <w:spacing w:before="1"/>
                          <w:ind w:left="122"/>
                          <w:rPr>
                            <w:sz w:val="9"/>
                          </w:rPr>
                        </w:pPr>
                        <w:r>
                          <w:rPr>
                            <w:sz w:val="9"/>
                          </w:rPr>
                          <w:t>1351-1450 ccm</w:t>
                        </w:r>
                      </w:p>
                    </w:tc>
                    <w:tc>
                      <w:tcPr>
                        <w:tcW w:w="866" w:type="dxa"/>
                        <w:shd w:val="clear" w:color="auto" w:fill="FCE4D6"/>
                      </w:tcPr>
                      <w:p w14:paraId="1287E070"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01B9F14C" w14:textId="77777777" w:rsidR="00F65BCA" w:rsidRDefault="00216117">
                        <w:pPr>
                          <w:pStyle w:val="TableParagraph"/>
                          <w:spacing w:before="23"/>
                          <w:ind w:left="20"/>
                          <w:jc w:val="center"/>
                          <w:rPr>
                            <w:sz w:val="9"/>
                          </w:rPr>
                        </w:pPr>
                        <w:r>
                          <w:rPr>
                            <w:w w:val="101"/>
                            <w:sz w:val="9"/>
                          </w:rPr>
                          <w:t>-</w:t>
                        </w:r>
                      </w:p>
                    </w:tc>
                    <w:tc>
                      <w:tcPr>
                        <w:tcW w:w="991" w:type="dxa"/>
                      </w:tcPr>
                      <w:p w14:paraId="556AA475" w14:textId="77777777" w:rsidR="00F65BCA" w:rsidRDefault="00216117">
                        <w:pPr>
                          <w:pStyle w:val="TableParagraph"/>
                          <w:spacing w:before="23"/>
                          <w:ind w:left="58" w:right="39"/>
                          <w:jc w:val="center"/>
                          <w:rPr>
                            <w:sz w:val="9"/>
                          </w:rPr>
                        </w:pPr>
                        <w:r>
                          <w:rPr>
                            <w:sz w:val="9"/>
                          </w:rPr>
                          <w:t>1 881,006402</w:t>
                        </w:r>
                      </w:p>
                    </w:tc>
                  </w:tr>
                  <w:tr w:rsidR="00F65BCA" w14:paraId="25E3E179" w14:textId="77777777">
                    <w:trPr>
                      <w:trHeight w:val="153"/>
                    </w:trPr>
                    <w:tc>
                      <w:tcPr>
                        <w:tcW w:w="998" w:type="dxa"/>
                        <w:vMerge/>
                        <w:tcBorders>
                          <w:top w:val="nil"/>
                        </w:tcBorders>
                        <w:shd w:val="clear" w:color="auto" w:fill="FCE4D6"/>
                      </w:tcPr>
                      <w:p w14:paraId="237DC89B" w14:textId="77777777" w:rsidR="00F65BCA" w:rsidRDefault="00F65BCA">
                        <w:pPr>
                          <w:rPr>
                            <w:sz w:val="2"/>
                            <w:szCs w:val="2"/>
                          </w:rPr>
                        </w:pPr>
                      </w:p>
                    </w:tc>
                    <w:tc>
                      <w:tcPr>
                        <w:tcW w:w="866" w:type="dxa"/>
                        <w:vMerge/>
                        <w:tcBorders>
                          <w:top w:val="nil"/>
                        </w:tcBorders>
                        <w:shd w:val="clear" w:color="auto" w:fill="FCE4D6"/>
                      </w:tcPr>
                      <w:p w14:paraId="2B85A96B" w14:textId="77777777" w:rsidR="00F65BCA" w:rsidRDefault="00F65BCA">
                        <w:pPr>
                          <w:rPr>
                            <w:sz w:val="2"/>
                            <w:szCs w:val="2"/>
                          </w:rPr>
                        </w:pPr>
                      </w:p>
                    </w:tc>
                    <w:tc>
                      <w:tcPr>
                        <w:tcW w:w="866" w:type="dxa"/>
                        <w:shd w:val="clear" w:color="auto" w:fill="FCE4D6"/>
                      </w:tcPr>
                      <w:p w14:paraId="41C12FCF"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2B53EC0C" w14:textId="77777777" w:rsidR="00F65BCA" w:rsidRDefault="00216117">
                        <w:pPr>
                          <w:pStyle w:val="TableParagraph"/>
                          <w:spacing w:before="23"/>
                          <w:ind w:left="20"/>
                          <w:jc w:val="center"/>
                          <w:rPr>
                            <w:sz w:val="9"/>
                          </w:rPr>
                        </w:pPr>
                        <w:r>
                          <w:rPr>
                            <w:w w:val="101"/>
                            <w:sz w:val="9"/>
                          </w:rPr>
                          <w:t>-</w:t>
                        </w:r>
                      </w:p>
                    </w:tc>
                    <w:tc>
                      <w:tcPr>
                        <w:tcW w:w="991" w:type="dxa"/>
                      </w:tcPr>
                      <w:p w14:paraId="4D9345A6" w14:textId="77777777" w:rsidR="00F65BCA" w:rsidRDefault="00216117">
                        <w:pPr>
                          <w:pStyle w:val="TableParagraph"/>
                          <w:spacing w:before="23"/>
                          <w:ind w:left="58" w:right="38"/>
                          <w:jc w:val="center"/>
                          <w:rPr>
                            <w:sz w:val="9"/>
                          </w:rPr>
                        </w:pPr>
                        <w:r>
                          <w:rPr>
                            <w:sz w:val="9"/>
                          </w:rPr>
                          <w:t>2 060,149869</w:t>
                        </w:r>
                      </w:p>
                    </w:tc>
                  </w:tr>
                  <w:tr w:rsidR="00F65BCA" w14:paraId="40809CE3" w14:textId="77777777">
                    <w:trPr>
                      <w:trHeight w:val="153"/>
                    </w:trPr>
                    <w:tc>
                      <w:tcPr>
                        <w:tcW w:w="998" w:type="dxa"/>
                        <w:vMerge/>
                        <w:tcBorders>
                          <w:top w:val="nil"/>
                        </w:tcBorders>
                        <w:shd w:val="clear" w:color="auto" w:fill="FCE4D6"/>
                      </w:tcPr>
                      <w:p w14:paraId="324DB593" w14:textId="77777777" w:rsidR="00F65BCA" w:rsidRDefault="00F65BCA">
                        <w:pPr>
                          <w:rPr>
                            <w:sz w:val="2"/>
                            <w:szCs w:val="2"/>
                          </w:rPr>
                        </w:pPr>
                      </w:p>
                    </w:tc>
                    <w:tc>
                      <w:tcPr>
                        <w:tcW w:w="866" w:type="dxa"/>
                        <w:vMerge/>
                        <w:tcBorders>
                          <w:top w:val="nil"/>
                        </w:tcBorders>
                        <w:shd w:val="clear" w:color="auto" w:fill="FCE4D6"/>
                      </w:tcPr>
                      <w:p w14:paraId="6A3BA157" w14:textId="77777777" w:rsidR="00F65BCA" w:rsidRDefault="00F65BCA">
                        <w:pPr>
                          <w:rPr>
                            <w:sz w:val="2"/>
                            <w:szCs w:val="2"/>
                          </w:rPr>
                        </w:pPr>
                      </w:p>
                    </w:tc>
                    <w:tc>
                      <w:tcPr>
                        <w:tcW w:w="866" w:type="dxa"/>
                        <w:shd w:val="clear" w:color="auto" w:fill="FCE4D6"/>
                      </w:tcPr>
                      <w:p w14:paraId="0CA977C0"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5C63BEDD" w14:textId="77777777" w:rsidR="00F65BCA" w:rsidRDefault="00216117">
                        <w:pPr>
                          <w:pStyle w:val="TableParagraph"/>
                          <w:spacing w:before="23"/>
                          <w:ind w:left="20"/>
                          <w:jc w:val="center"/>
                          <w:rPr>
                            <w:sz w:val="9"/>
                          </w:rPr>
                        </w:pPr>
                        <w:r>
                          <w:rPr>
                            <w:w w:val="101"/>
                            <w:sz w:val="9"/>
                          </w:rPr>
                          <w:t>-</w:t>
                        </w:r>
                      </w:p>
                    </w:tc>
                    <w:tc>
                      <w:tcPr>
                        <w:tcW w:w="991" w:type="dxa"/>
                      </w:tcPr>
                      <w:p w14:paraId="799E1460" w14:textId="77777777" w:rsidR="00F65BCA" w:rsidRDefault="00216117">
                        <w:pPr>
                          <w:pStyle w:val="TableParagraph"/>
                          <w:spacing w:before="23"/>
                          <w:ind w:left="58" w:right="39"/>
                          <w:jc w:val="center"/>
                          <w:rPr>
                            <w:sz w:val="9"/>
                          </w:rPr>
                        </w:pPr>
                        <w:r>
                          <w:rPr>
                            <w:sz w:val="9"/>
                          </w:rPr>
                          <w:t>2 239,293336</w:t>
                        </w:r>
                      </w:p>
                    </w:tc>
                  </w:tr>
                  <w:tr w:rsidR="00F65BCA" w14:paraId="2260AAC1" w14:textId="77777777">
                    <w:trPr>
                      <w:trHeight w:val="153"/>
                    </w:trPr>
                    <w:tc>
                      <w:tcPr>
                        <w:tcW w:w="998" w:type="dxa"/>
                        <w:vMerge/>
                        <w:tcBorders>
                          <w:top w:val="nil"/>
                        </w:tcBorders>
                        <w:shd w:val="clear" w:color="auto" w:fill="FCE4D6"/>
                      </w:tcPr>
                      <w:p w14:paraId="210F8D9A" w14:textId="77777777" w:rsidR="00F65BCA" w:rsidRDefault="00F65BCA">
                        <w:pPr>
                          <w:rPr>
                            <w:sz w:val="2"/>
                            <w:szCs w:val="2"/>
                          </w:rPr>
                        </w:pPr>
                      </w:p>
                    </w:tc>
                    <w:tc>
                      <w:tcPr>
                        <w:tcW w:w="866" w:type="dxa"/>
                        <w:vMerge w:val="restart"/>
                        <w:shd w:val="clear" w:color="auto" w:fill="FCE4D6"/>
                      </w:tcPr>
                      <w:p w14:paraId="6CB81E51" w14:textId="77777777" w:rsidR="00F65BCA" w:rsidRDefault="00F65BCA">
                        <w:pPr>
                          <w:pStyle w:val="TableParagraph"/>
                          <w:spacing w:before="10"/>
                          <w:rPr>
                            <w:rFonts w:ascii="Calibri"/>
                            <w:sz w:val="14"/>
                          </w:rPr>
                        </w:pPr>
                      </w:p>
                      <w:p w14:paraId="6E6FED4D" w14:textId="77777777" w:rsidR="00F65BCA" w:rsidRDefault="00216117">
                        <w:pPr>
                          <w:pStyle w:val="TableParagraph"/>
                          <w:spacing w:before="1"/>
                          <w:ind w:left="122"/>
                          <w:rPr>
                            <w:sz w:val="9"/>
                          </w:rPr>
                        </w:pPr>
                        <w:r>
                          <w:rPr>
                            <w:sz w:val="9"/>
                          </w:rPr>
                          <w:t>1451-1650 ccm</w:t>
                        </w:r>
                      </w:p>
                    </w:tc>
                    <w:tc>
                      <w:tcPr>
                        <w:tcW w:w="866" w:type="dxa"/>
                        <w:shd w:val="clear" w:color="auto" w:fill="FCE4D6"/>
                      </w:tcPr>
                      <w:p w14:paraId="56EFA81F"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43117E8F" w14:textId="77777777" w:rsidR="00F65BCA" w:rsidRDefault="00216117">
                        <w:pPr>
                          <w:pStyle w:val="TableParagraph"/>
                          <w:spacing w:before="23"/>
                          <w:ind w:left="20"/>
                          <w:jc w:val="center"/>
                          <w:rPr>
                            <w:sz w:val="9"/>
                          </w:rPr>
                        </w:pPr>
                        <w:r>
                          <w:rPr>
                            <w:w w:val="101"/>
                            <w:sz w:val="9"/>
                          </w:rPr>
                          <w:t>-</w:t>
                        </w:r>
                      </w:p>
                    </w:tc>
                    <w:tc>
                      <w:tcPr>
                        <w:tcW w:w="991" w:type="dxa"/>
                      </w:tcPr>
                      <w:p w14:paraId="113110DD" w14:textId="77777777" w:rsidR="00F65BCA" w:rsidRDefault="00216117">
                        <w:pPr>
                          <w:pStyle w:val="TableParagraph"/>
                          <w:spacing w:before="23"/>
                          <w:ind w:left="58" w:right="39"/>
                          <w:jc w:val="center"/>
                          <w:rPr>
                            <w:sz w:val="9"/>
                          </w:rPr>
                        </w:pPr>
                        <w:r>
                          <w:rPr>
                            <w:sz w:val="9"/>
                          </w:rPr>
                          <w:t>1 928,991259</w:t>
                        </w:r>
                      </w:p>
                    </w:tc>
                  </w:tr>
                  <w:tr w:rsidR="00F65BCA" w14:paraId="2E06A707" w14:textId="77777777">
                    <w:trPr>
                      <w:trHeight w:val="153"/>
                    </w:trPr>
                    <w:tc>
                      <w:tcPr>
                        <w:tcW w:w="998" w:type="dxa"/>
                        <w:vMerge/>
                        <w:tcBorders>
                          <w:top w:val="nil"/>
                        </w:tcBorders>
                        <w:shd w:val="clear" w:color="auto" w:fill="FCE4D6"/>
                      </w:tcPr>
                      <w:p w14:paraId="718377FD" w14:textId="77777777" w:rsidR="00F65BCA" w:rsidRDefault="00F65BCA">
                        <w:pPr>
                          <w:rPr>
                            <w:sz w:val="2"/>
                            <w:szCs w:val="2"/>
                          </w:rPr>
                        </w:pPr>
                      </w:p>
                    </w:tc>
                    <w:tc>
                      <w:tcPr>
                        <w:tcW w:w="866" w:type="dxa"/>
                        <w:vMerge/>
                        <w:tcBorders>
                          <w:top w:val="nil"/>
                        </w:tcBorders>
                        <w:shd w:val="clear" w:color="auto" w:fill="FCE4D6"/>
                      </w:tcPr>
                      <w:p w14:paraId="5B9F28DC" w14:textId="77777777" w:rsidR="00F65BCA" w:rsidRDefault="00F65BCA">
                        <w:pPr>
                          <w:rPr>
                            <w:sz w:val="2"/>
                            <w:szCs w:val="2"/>
                          </w:rPr>
                        </w:pPr>
                      </w:p>
                    </w:tc>
                    <w:tc>
                      <w:tcPr>
                        <w:tcW w:w="866" w:type="dxa"/>
                        <w:shd w:val="clear" w:color="auto" w:fill="FCE4D6"/>
                      </w:tcPr>
                      <w:p w14:paraId="03EF54D2"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0F95A80D" w14:textId="77777777" w:rsidR="00F65BCA" w:rsidRDefault="00216117">
                        <w:pPr>
                          <w:pStyle w:val="TableParagraph"/>
                          <w:spacing w:before="23"/>
                          <w:ind w:left="20"/>
                          <w:jc w:val="center"/>
                          <w:rPr>
                            <w:sz w:val="9"/>
                          </w:rPr>
                        </w:pPr>
                        <w:r>
                          <w:rPr>
                            <w:w w:val="101"/>
                            <w:sz w:val="9"/>
                          </w:rPr>
                          <w:t>-</w:t>
                        </w:r>
                      </w:p>
                    </w:tc>
                    <w:tc>
                      <w:tcPr>
                        <w:tcW w:w="991" w:type="dxa"/>
                      </w:tcPr>
                      <w:p w14:paraId="7B5CB131" w14:textId="77777777" w:rsidR="00F65BCA" w:rsidRDefault="00216117">
                        <w:pPr>
                          <w:pStyle w:val="TableParagraph"/>
                          <w:spacing w:before="23"/>
                          <w:ind w:left="58" w:right="38"/>
                          <w:jc w:val="center"/>
                          <w:rPr>
                            <w:sz w:val="9"/>
                          </w:rPr>
                        </w:pPr>
                        <w:r>
                          <w:rPr>
                            <w:sz w:val="9"/>
                          </w:rPr>
                          <w:t>2 112,704713</w:t>
                        </w:r>
                      </w:p>
                    </w:tc>
                  </w:tr>
                  <w:tr w:rsidR="00F65BCA" w14:paraId="220BBF54" w14:textId="77777777">
                    <w:trPr>
                      <w:trHeight w:val="153"/>
                    </w:trPr>
                    <w:tc>
                      <w:tcPr>
                        <w:tcW w:w="998" w:type="dxa"/>
                        <w:vMerge/>
                        <w:tcBorders>
                          <w:top w:val="nil"/>
                        </w:tcBorders>
                        <w:shd w:val="clear" w:color="auto" w:fill="FCE4D6"/>
                      </w:tcPr>
                      <w:p w14:paraId="504285B1" w14:textId="77777777" w:rsidR="00F65BCA" w:rsidRDefault="00F65BCA">
                        <w:pPr>
                          <w:rPr>
                            <w:sz w:val="2"/>
                            <w:szCs w:val="2"/>
                          </w:rPr>
                        </w:pPr>
                      </w:p>
                    </w:tc>
                    <w:tc>
                      <w:tcPr>
                        <w:tcW w:w="866" w:type="dxa"/>
                        <w:vMerge/>
                        <w:tcBorders>
                          <w:top w:val="nil"/>
                        </w:tcBorders>
                        <w:shd w:val="clear" w:color="auto" w:fill="FCE4D6"/>
                      </w:tcPr>
                      <w:p w14:paraId="230FC273" w14:textId="77777777" w:rsidR="00F65BCA" w:rsidRDefault="00F65BCA">
                        <w:pPr>
                          <w:rPr>
                            <w:sz w:val="2"/>
                            <w:szCs w:val="2"/>
                          </w:rPr>
                        </w:pPr>
                      </w:p>
                    </w:tc>
                    <w:tc>
                      <w:tcPr>
                        <w:tcW w:w="866" w:type="dxa"/>
                        <w:shd w:val="clear" w:color="auto" w:fill="FCE4D6"/>
                      </w:tcPr>
                      <w:p w14:paraId="2EA385E1"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5253C2E2" w14:textId="77777777" w:rsidR="00F65BCA" w:rsidRDefault="00216117">
                        <w:pPr>
                          <w:pStyle w:val="TableParagraph"/>
                          <w:spacing w:before="23"/>
                          <w:ind w:left="20"/>
                          <w:jc w:val="center"/>
                          <w:rPr>
                            <w:sz w:val="9"/>
                          </w:rPr>
                        </w:pPr>
                        <w:r>
                          <w:rPr>
                            <w:w w:val="101"/>
                            <w:sz w:val="9"/>
                          </w:rPr>
                          <w:t>-</w:t>
                        </w:r>
                      </w:p>
                    </w:tc>
                    <w:tc>
                      <w:tcPr>
                        <w:tcW w:w="991" w:type="dxa"/>
                      </w:tcPr>
                      <w:p w14:paraId="72683024" w14:textId="77777777" w:rsidR="00F65BCA" w:rsidRDefault="00216117">
                        <w:pPr>
                          <w:pStyle w:val="TableParagraph"/>
                          <w:spacing w:before="23"/>
                          <w:ind w:left="58" w:right="39"/>
                          <w:jc w:val="center"/>
                          <w:rPr>
                            <w:sz w:val="9"/>
                          </w:rPr>
                        </w:pPr>
                        <w:r>
                          <w:rPr>
                            <w:sz w:val="9"/>
                          </w:rPr>
                          <w:t>2 296,418166</w:t>
                        </w:r>
                      </w:p>
                    </w:tc>
                  </w:tr>
                  <w:tr w:rsidR="00F65BCA" w14:paraId="04F27A28" w14:textId="77777777">
                    <w:trPr>
                      <w:trHeight w:val="153"/>
                    </w:trPr>
                    <w:tc>
                      <w:tcPr>
                        <w:tcW w:w="998" w:type="dxa"/>
                        <w:vMerge/>
                        <w:tcBorders>
                          <w:top w:val="nil"/>
                        </w:tcBorders>
                        <w:shd w:val="clear" w:color="auto" w:fill="FCE4D6"/>
                      </w:tcPr>
                      <w:p w14:paraId="37B7C2DF" w14:textId="77777777" w:rsidR="00F65BCA" w:rsidRDefault="00F65BCA">
                        <w:pPr>
                          <w:rPr>
                            <w:sz w:val="2"/>
                            <w:szCs w:val="2"/>
                          </w:rPr>
                        </w:pPr>
                      </w:p>
                    </w:tc>
                    <w:tc>
                      <w:tcPr>
                        <w:tcW w:w="866" w:type="dxa"/>
                        <w:vMerge w:val="restart"/>
                        <w:shd w:val="clear" w:color="auto" w:fill="FCE4D6"/>
                      </w:tcPr>
                      <w:p w14:paraId="1FBBB82F" w14:textId="77777777" w:rsidR="00F65BCA" w:rsidRDefault="00F65BCA">
                        <w:pPr>
                          <w:pStyle w:val="TableParagraph"/>
                          <w:spacing w:before="10"/>
                          <w:rPr>
                            <w:rFonts w:ascii="Calibri"/>
                            <w:sz w:val="14"/>
                          </w:rPr>
                        </w:pPr>
                      </w:p>
                      <w:p w14:paraId="7F95AE60" w14:textId="77777777" w:rsidR="00F65BCA" w:rsidRDefault="00216117">
                        <w:pPr>
                          <w:pStyle w:val="TableParagraph"/>
                          <w:spacing w:before="1"/>
                          <w:ind w:left="122"/>
                          <w:rPr>
                            <w:sz w:val="9"/>
                          </w:rPr>
                        </w:pPr>
                        <w:r>
                          <w:rPr>
                            <w:sz w:val="9"/>
                          </w:rPr>
                          <w:t>1651-1800 ccm</w:t>
                        </w:r>
                      </w:p>
                    </w:tc>
                    <w:tc>
                      <w:tcPr>
                        <w:tcW w:w="866" w:type="dxa"/>
                        <w:shd w:val="clear" w:color="auto" w:fill="FCE4D6"/>
                      </w:tcPr>
                      <w:p w14:paraId="2C4F87C5"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021863D1" w14:textId="77777777" w:rsidR="00F65BCA" w:rsidRDefault="00216117">
                        <w:pPr>
                          <w:pStyle w:val="TableParagraph"/>
                          <w:spacing w:before="23"/>
                          <w:ind w:left="20"/>
                          <w:jc w:val="center"/>
                          <w:rPr>
                            <w:sz w:val="9"/>
                          </w:rPr>
                        </w:pPr>
                        <w:r>
                          <w:rPr>
                            <w:w w:val="101"/>
                            <w:sz w:val="9"/>
                          </w:rPr>
                          <w:t>-</w:t>
                        </w:r>
                      </w:p>
                    </w:tc>
                    <w:tc>
                      <w:tcPr>
                        <w:tcW w:w="991" w:type="dxa"/>
                      </w:tcPr>
                      <w:p w14:paraId="7CB9F4D5" w14:textId="77777777" w:rsidR="00F65BCA" w:rsidRDefault="00216117">
                        <w:pPr>
                          <w:pStyle w:val="TableParagraph"/>
                          <w:spacing w:before="23"/>
                          <w:ind w:left="58" w:right="39"/>
                          <w:jc w:val="center"/>
                          <w:rPr>
                            <w:sz w:val="9"/>
                          </w:rPr>
                        </w:pPr>
                        <w:r>
                          <w:rPr>
                            <w:sz w:val="9"/>
                          </w:rPr>
                          <w:t>1 976,976117</w:t>
                        </w:r>
                      </w:p>
                    </w:tc>
                  </w:tr>
                  <w:tr w:rsidR="00F65BCA" w14:paraId="6208ADE6" w14:textId="77777777">
                    <w:trPr>
                      <w:trHeight w:val="153"/>
                    </w:trPr>
                    <w:tc>
                      <w:tcPr>
                        <w:tcW w:w="998" w:type="dxa"/>
                        <w:vMerge/>
                        <w:tcBorders>
                          <w:top w:val="nil"/>
                        </w:tcBorders>
                        <w:shd w:val="clear" w:color="auto" w:fill="FCE4D6"/>
                      </w:tcPr>
                      <w:p w14:paraId="654514CA" w14:textId="77777777" w:rsidR="00F65BCA" w:rsidRDefault="00F65BCA">
                        <w:pPr>
                          <w:rPr>
                            <w:sz w:val="2"/>
                            <w:szCs w:val="2"/>
                          </w:rPr>
                        </w:pPr>
                      </w:p>
                    </w:tc>
                    <w:tc>
                      <w:tcPr>
                        <w:tcW w:w="866" w:type="dxa"/>
                        <w:vMerge/>
                        <w:tcBorders>
                          <w:top w:val="nil"/>
                        </w:tcBorders>
                        <w:shd w:val="clear" w:color="auto" w:fill="FCE4D6"/>
                      </w:tcPr>
                      <w:p w14:paraId="263B756E" w14:textId="77777777" w:rsidR="00F65BCA" w:rsidRDefault="00F65BCA">
                        <w:pPr>
                          <w:rPr>
                            <w:sz w:val="2"/>
                            <w:szCs w:val="2"/>
                          </w:rPr>
                        </w:pPr>
                      </w:p>
                    </w:tc>
                    <w:tc>
                      <w:tcPr>
                        <w:tcW w:w="866" w:type="dxa"/>
                        <w:shd w:val="clear" w:color="auto" w:fill="FCE4D6"/>
                      </w:tcPr>
                      <w:p w14:paraId="5214D3F4"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04140D10" w14:textId="77777777" w:rsidR="00F65BCA" w:rsidRDefault="00216117">
                        <w:pPr>
                          <w:pStyle w:val="TableParagraph"/>
                          <w:spacing w:before="23"/>
                          <w:ind w:left="20"/>
                          <w:jc w:val="center"/>
                          <w:rPr>
                            <w:sz w:val="9"/>
                          </w:rPr>
                        </w:pPr>
                        <w:r>
                          <w:rPr>
                            <w:w w:val="101"/>
                            <w:sz w:val="9"/>
                          </w:rPr>
                          <w:t>-</w:t>
                        </w:r>
                      </w:p>
                    </w:tc>
                    <w:tc>
                      <w:tcPr>
                        <w:tcW w:w="991" w:type="dxa"/>
                      </w:tcPr>
                      <w:p w14:paraId="1045D4FD" w14:textId="77777777" w:rsidR="00F65BCA" w:rsidRDefault="00216117">
                        <w:pPr>
                          <w:pStyle w:val="TableParagraph"/>
                          <w:spacing w:before="23"/>
                          <w:ind w:left="58" w:right="38"/>
                          <w:jc w:val="center"/>
                          <w:rPr>
                            <w:sz w:val="9"/>
                          </w:rPr>
                        </w:pPr>
                        <w:r>
                          <w:rPr>
                            <w:sz w:val="9"/>
                          </w:rPr>
                          <w:t>2 165,259556</w:t>
                        </w:r>
                      </w:p>
                    </w:tc>
                  </w:tr>
                  <w:tr w:rsidR="00F65BCA" w14:paraId="07349125" w14:textId="77777777">
                    <w:trPr>
                      <w:trHeight w:val="153"/>
                    </w:trPr>
                    <w:tc>
                      <w:tcPr>
                        <w:tcW w:w="998" w:type="dxa"/>
                        <w:vMerge/>
                        <w:tcBorders>
                          <w:top w:val="nil"/>
                        </w:tcBorders>
                        <w:shd w:val="clear" w:color="auto" w:fill="FCE4D6"/>
                      </w:tcPr>
                      <w:p w14:paraId="02042F0B" w14:textId="77777777" w:rsidR="00F65BCA" w:rsidRDefault="00F65BCA">
                        <w:pPr>
                          <w:rPr>
                            <w:sz w:val="2"/>
                            <w:szCs w:val="2"/>
                          </w:rPr>
                        </w:pPr>
                      </w:p>
                    </w:tc>
                    <w:tc>
                      <w:tcPr>
                        <w:tcW w:w="866" w:type="dxa"/>
                        <w:vMerge/>
                        <w:tcBorders>
                          <w:top w:val="nil"/>
                        </w:tcBorders>
                        <w:shd w:val="clear" w:color="auto" w:fill="FCE4D6"/>
                      </w:tcPr>
                      <w:p w14:paraId="758D6E58" w14:textId="77777777" w:rsidR="00F65BCA" w:rsidRDefault="00F65BCA">
                        <w:pPr>
                          <w:rPr>
                            <w:sz w:val="2"/>
                            <w:szCs w:val="2"/>
                          </w:rPr>
                        </w:pPr>
                      </w:p>
                    </w:tc>
                    <w:tc>
                      <w:tcPr>
                        <w:tcW w:w="866" w:type="dxa"/>
                        <w:shd w:val="clear" w:color="auto" w:fill="FCE4D6"/>
                      </w:tcPr>
                      <w:p w14:paraId="4DCF0C66"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1B1B7B26" w14:textId="77777777" w:rsidR="00F65BCA" w:rsidRDefault="00216117">
                        <w:pPr>
                          <w:pStyle w:val="TableParagraph"/>
                          <w:spacing w:before="23"/>
                          <w:ind w:left="20"/>
                          <w:jc w:val="center"/>
                          <w:rPr>
                            <w:sz w:val="9"/>
                          </w:rPr>
                        </w:pPr>
                        <w:r>
                          <w:rPr>
                            <w:w w:val="101"/>
                            <w:sz w:val="9"/>
                          </w:rPr>
                          <w:t>-</w:t>
                        </w:r>
                      </w:p>
                    </w:tc>
                    <w:tc>
                      <w:tcPr>
                        <w:tcW w:w="991" w:type="dxa"/>
                      </w:tcPr>
                      <w:p w14:paraId="08502F55" w14:textId="77777777" w:rsidR="00F65BCA" w:rsidRDefault="00216117">
                        <w:pPr>
                          <w:pStyle w:val="TableParagraph"/>
                          <w:spacing w:before="23"/>
                          <w:ind w:left="58" w:right="39"/>
                          <w:jc w:val="center"/>
                          <w:rPr>
                            <w:sz w:val="9"/>
                          </w:rPr>
                        </w:pPr>
                        <w:r>
                          <w:rPr>
                            <w:sz w:val="9"/>
                          </w:rPr>
                          <w:t>2 353,542996</w:t>
                        </w:r>
                      </w:p>
                    </w:tc>
                  </w:tr>
                  <w:tr w:rsidR="00F65BCA" w14:paraId="598C52B8" w14:textId="77777777">
                    <w:trPr>
                      <w:trHeight w:val="153"/>
                    </w:trPr>
                    <w:tc>
                      <w:tcPr>
                        <w:tcW w:w="998" w:type="dxa"/>
                        <w:vMerge/>
                        <w:tcBorders>
                          <w:top w:val="nil"/>
                        </w:tcBorders>
                        <w:shd w:val="clear" w:color="auto" w:fill="FCE4D6"/>
                      </w:tcPr>
                      <w:p w14:paraId="06B0F3F0" w14:textId="77777777" w:rsidR="00F65BCA" w:rsidRDefault="00F65BCA">
                        <w:pPr>
                          <w:rPr>
                            <w:sz w:val="2"/>
                            <w:szCs w:val="2"/>
                          </w:rPr>
                        </w:pPr>
                      </w:p>
                    </w:tc>
                    <w:tc>
                      <w:tcPr>
                        <w:tcW w:w="866" w:type="dxa"/>
                        <w:vMerge w:val="restart"/>
                        <w:shd w:val="clear" w:color="auto" w:fill="FCE4D6"/>
                      </w:tcPr>
                      <w:p w14:paraId="4D8AFA34" w14:textId="77777777" w:rsidR="00F65BCA" w:rsidRDefault="00F65BCA">
                        <w:pPr>
                          <w:pStyle w:val="TableParagraph"/>
                          <w:spacing w:before="10"/>
                          <w:rPr>
                            <w:rFonts w:ascii="Calibri"/>
                            <w:sz w:val="14"/>
                          </w:rPr>
                        </w:pPr>
                      </w:p>
                      <w:p w14:paraId="67AD89AF" w14:textId="77777777" w:rsidR="00F65BCA" w:rsidRDefault="00216117">
                        <w:pPr>
                          <w:pStyle w:val="TableParagraph"/>
                          <w:spacing w:before="1"/>
                          <w:ind w:left="122"/>
                          <w:rPr>
                            <w:sz w:val="9"/>
                          </w:rPr>
                        </w:pPr>
                        <w:r>
                          <w:rPr>
                            <w:sz w:val="9"/>
                          </w:rPr>
                          <w:t>1801-1850 ccm</w:t>
                        </w:r>
                      </w:p>
                    </w:tc>
                    <w:tc>
                      <w:tcPr>
                        <w:tcW w:w="866" w:type="dxa"/>
                        <w:shd w:val="clear" w:color="auto" w:fill="FCE4D6"/>
                      </w:tcPr>
                      <w:p w14:paraId="0787F4E4"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05CA7B0A" w14:textId="77777777" w:rsidR="00F65BCA" w:rsidRDefault="00216117">
                        <w:pPr>
                          <w:pStyle w:val="TableParagraph"/>
                          <w:spacing w:before="23"/>
                          <w:ind w:left="20"/>
                          <w:jc w:val="center"/>
                          <w:rPr>
                            <w:sz w:val="9"/>
                          </w:rPr>
                        </w:pPr>
                        <w:r>
                          <w:rPr>
                            <w:w w:val="101"/>
                            <w:sz w:val="9"/>
                          </w:rPr>
                          <w:t>-</w:t>
                        </w:r>
                      </w:p>
                    </w:tc>
                    <w:tc>
                      <w:tcPr>
                        <w:tcW w:w="991" w:type="dxa"/>
                      </w:tcPr>
                      <w:p w14:paraId="43DEE88D" w14:textId="77777777" w:rsidR="00F65BCA" w:rsidRDefault="00216117">
                        <w:pPr>
                          <w:pStyle w:val="TableParagraph"/>
                          <w:spacing w:before="23"/>
                          <w:ind w:left="58" w:right="39"/>
                          <w:jc w:val="center"/>
                          <w:rPr>
                            <w:sz w:val="9"/>
                          </w:rPr>
                        </w:pPr>
                        <w:r>
                          <w:rPr>
                            <w:sz w:val="9"/>
                          </w:rPr>
                          <w:t>2 130,527660</w:t>
                        </w:r>
                      </w:p>
                    </w:tc>
                  </w:tr>
                  <w:tr w:rsidR="00F65BCA" w14:paraId="7ADC1591" w14:textId="77777777">
                    <w:trPr>
                      <w:trHeight w:val="153"/>
                    </w:trPr>
                    <w:tc>
                      <w:tcPr>
                        <w:tcW w:w="998" w:type="dxa"/>
                        <w:vMerge/>
                        <w:tcBorders>
                          <w:top w:val="nil"/>
                        </w:tcBorders>
                        <w:shd w:val="clear" w:color="auto" w:fill="FCE4D6"/>
                      </w:tcPr>
                      <w:p w14:paraId="774E5374" w14:textId="77777777" w:rsidR="00F65BCA" w:rsidRDefault="00F65BCA">
                        <w:pPr>
                          <w:rPr>
                            <w:sz w:val="2"/>
                            <w:szCs w:val="2"/>
                          </w:rPr>
                        </w:pPr>
                      </w:p>
                    </w:tc>
                    <w:tc>
                      <w:tcPr>
                        <w:tcW w:w="866" w:type="dxa"/>
                        <w:vMerge/>
                        <w:tcBorders>
                          <w:top w:val="nil"/>
                        </w:tcBorders>
                        <w:shd w:val="clear" w:color="auto" w:fill="FCE4D6"/>
                      </w:tcPr>
                      <w:p w14:paraId="12E47797" w14:textId="77777777" w:rsidR="00F65BCA" w:rsidRDefault="00F65BCA">
                        <w:pPr>
                          <w:rPr>
                            <w:sz w:val="2"/>
                            <w:szCs w:val="2"/>
                          </w:rPr>
                        </w:pPr>
                      </w:p>
                    </w:tc>
                    <w:tc>
                      <w:tcPr>
                        <w:tcW w:w="866" w:type="dxa"/>
                        <w:shd w:val="clear" w:color="auto" w:fill="FCE4D6"/>
                      </w:tcPr>
                      <w:p w14:paraId="61CC8570"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7E28129E" w14:textId="77777777" w:rsidR="00F65BCA" w:rsidRDefault="00216117">
                        <w:pPr>
                          <w:pStyle w:val="TableParagraph"/>
                          <w:spacing w:before="23"/>
                          <w:ind w:left="20"/>
                          <w:jc w:val="center"/>
                          <w:rPr>
                            <w:sz w:val="9"/>
                          </w:rPr>
                        </w:pPr>
                        <w:r>
                          <w:rPr>
                            <w:w w:val="101"/>
                            <w:sz w:val="9"/>
                          </w:rPr>
                          <w:t>-</w:t>
                        </w:r>
                      </w:p>
                    </w:tc>
                    <w:tc>
                      <w:tcPr>
                        <w:tcW w:w="991" w:type="dxa"/>
                      </w:tcPr>
                      <w:p w14:paraId="625F3E0B" w14:textId="77777777" w:rsidR="00F65BCA" w:rsidRDefault="00216117">
                        <w:pPr>
                          <w:pStyle w:val="TableParagraph"/>
                          <w:spacing w:before="23"/>
                          <w:ind w:left="58" w:right="38"/>
                          <w:jc w:val="center"/>
                          <w:rPr>
                            <w:sz w:val="9"/>
                          </w:rPr>
                        </w:pPr>
                        <w:r>
                          <w:rPr>
                            <w:sz w:val="9"/>
                          </w:rPr>
                          <w:t>2 333,435056</w:t>
                        </w:r>
                      </w:p>
                    </w:tc>
                  </w:tr>
                  <w:tr w:rsidR="00F65BCA" w14:paraId="77411A94" w14:textId="77777777">
                    <w:trPr>
                      <w:trHeight w:val="153"/>
                    </w:trPr>
                    <w:tc>
                      <w:tcPr>
                        <w:tcW w:w="998" w:type="dxa"/>
                        <w:vMerge/>
                        <w:tcBorders>
                          <w:top w:val="nil"/>
                        </w:tcBorders>
                        <w:shd w:val="clear" w:color="auto" w:fill="FCE4D6"/>
                      </w:tcPr>
                      <w:p w14:paraId="68345941" w14:textId="77777777" w:rsidR="00F65BCA" w:rsidRDefault="00F65BCA">
                        <w:pPr>
                          <w:rPr>
                            <w:sz w:val="2"/>
                            <w:szCs w:val="2"/>
                          </w:rPr>
                        </w:pPr>
                      </w:p>
                    </w:tc>
                    <w:tc>
                      <w:tcPr>
                        <w:tcW w:w="866" w:type="dxa"/>
                        <w:vMerge/>
                        <w:tcBorders>
                          <w:top w:val="nil"/>
                        </w:tcBorders>
                        <w:shd w:val="clear" w:color="auto" w:fill="FCE4D6"/>
                      </w:tcPr>
                      <w:p w14:paraId="3B50FCF0" w14:textId="77777777" w:rsidR="00F65BCA" w:rsidRDefault="00F65BCA">
                        <w:pPr>
                          <w:rPr>
                            <w:sz w:val="2"/>
                            <w:szCs w:val="2"/>
                          </w:rPr>
                        </w:pPr>
                      </w:p>
                    </w:tc>
                    <w:tc>
                      <w:tcPr>
                        <w:tcW w:w="866" w:type="dxa"/>
                        <w:shd w:val="clear" w:color="auto" w:fill="FCE4D6"/>
                      </w:tcPr>
                      <w:p w14:paraId="2D04535D"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19FED7E7" w14:textId="77777777" w:rsidR="00F65BCA" w:rsidRDefault="00216117">
                        <w:pPr>
                          <w:pStyle w:val="TableParagraph"/>
                          <w:spacing w:before="23"/>
                          <w:ind w:left="20"/>
                          <w:jc w:val="center"/>
                          <w:rPr>
                            <w:sz w:val="9"/>
                          </w:rPr>
                        </w:pPr>
                        <w:r>
                          <w:rPr>
                            <w:w w:val="101"/>
                            <w:sz w:val="9"/>
                          </w:rPr>
                          <w:t>-</w:t>
                        </w:r>
                      </w:p>
                    </w:tc>
                    <w:tc>
                      <w:tcPr>
                        <w:tcW w:w="991" w:type="dxa"/>
                      </w:tcPr>
                      <w:p w14:paraId="60AD6679" w14:textId="77777777" w:rsidR="00F65BCA" w:rsidRDefault="00216117">
                        <w:pPr>
                          <w:pStyle w:val="TableParagraph"/>
                          <w:spacing w:before="23"/>
                          <w:ind w:left="58" w:right="39"/>
                          <w:jc w:val="center"/>
                          <w:rPr>
                            <w:sz w:val="9"/>
                          </w:rPr>
                        </w:pPr>
                        <w:r>
                          <w:rPr>
                            <w:sz w:val="9"/>
                          </w:rPr>
                          <w:t>2 536,342452</w:t>
                        </w:r>
                      </w:p>
                    </w:tc>
                  </w:tr>
                  <w:tr w:rsidR="00F65BCA" w14:paraId="06DBA425" w14:textId="77777777">
                    <w:trPr>
                      <w:trHeight w:val="153"/>
                    </w:trPr>
                    <w:tc>
                      <w:tcPr>
                        <w:tcW w:w="998" w:type="dxa"/>
                        <w:vMerge/>
                        <w:tcBorders>
                          <w:top w:val="nil"/>
                        </w:tcBorders>
                        <w:shd w:val="clear" w:color="auto" w:fill="FCE4D6"/>
                      </w:tcPr>
                      <w:p w14:paraId="17A58BD1" w14:textId="77777777" w:rsidR="00F65BCA" w:rsidRDefault="00F65BCA">
                        <w:pPr>
                          <w:rPr>
                            <w:sz w:val="2"/>
                            <w:szCs w:val="2"/>
                          </w:rPr>
                        </w:pPr>
                      </w:p>
                    </w:tc>
                    <w:tc>
                      <w:tcPr>
                        <w:tcW w:w="866" w:type="dxa"/>
                        <w:vMerge w:val="restart"/>
                        <w:shd w:val="clear" w:color="auto" w:fill="FCE4D6"/>
                      </w:tcPr>
                      <w:p w14:paraId="44F181B4" w14:textId="77777777" w:rsidR="00F65BCA" w:rsidRDefault="00F65BCA">
                        <w:pPr>
                          <w:pStyle w:val="TableParagraph"/>
                          <w:spacing w:before="10"/>
                          <w:rPr>
                            <w:rFonts w:ascii="Calibri"/>
                            <w:sz w:val="14"/>
                          </w:rPr>
                        </w:pPr>
                      </w:p>
                      <w:p w14:paraId="0009B9C0" w14:textId="77777777" w:rsidR="00F65BCA" w:rsidRDefault="00216117">
                        <w:pPr>
                          <w:pStyle w:val="TableParagraph"/>
                          <w:spacing w:before="1"/>
                          <w:ind w:left="122"/>
                          <w:rPr>
                            <w:sz w:val="9"/>
                          </w:rPr>
                        </w:pPr>
                        <w:r>
                          <w:rPr>
                            <w:sz w:val="9"/>
                          </w:rPr>
                          <w:t>1851-1900 ccm</w:t>
                        </w:r>
                      </w:p>
                    </w:tc>
                    <w:tc>
                      <w:tcPr>
                        <w:tcW w:w="866" w:type="dxa"/>
                        <w:shd w:val="clear" w:color="auto" w:fill="FCE4D6"/>
                      </w:tcPr>
                      <w:p w14:paraId="1027A8AF"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5C7F0250" w14:textId="77777777" w:rsidR="00F65BCA" w:rsidRDefault="00216117">
                        <w:pPr>
                          <w:pStyle w:val="TableParagraph"/>
                          <w:spacing w:before="23"/>
                          <w:ind w:left="20"/>
                          <w:jc w:val="center"/>
                          <w:rPr>
                            <w:sz w:val="9"/>
                          </w:rPr>
                        </w:pPr>
                        <w:r>
                          <w:rPr>
                            <w:w w:val="101"/>
                            <w:sz w:val="9"/>
                          </w:rPr>
                          <w:t>-</w:t>
                        </w:r>
                      </w:p>
                    </w:tc>
                    <w:tc>
                      <w:tcPr>
                        <w:tcW w:w="991" w:type="dxa"/>
                      </w:tcPr>
                      <w:p w14:paraId="0F889C2A" w14:textId="77777777" w:rsidR="00F65BCA" w:rsidRDefault="00216117">
                        <w:pPr>
                          <w:pStyle w:val="TableParagraph"/>
                          <w:spacing w:before="23"/>
                          <w:ind w:left="58" w:right="39"/>
                          <w:jc w:val="center"/>
                          <w:rPr>
                            <w:sz w:val="9"/>
                          </w:rPr>
                        </w:pPr>
                        <w:r>
                          <w:rPr>
                            <w:sz w:val="9"/>
                          </w:rPr>
                          <w:t>2 130,527660</w:t>
                        </w:r>
                      </w:p>
                    </w:tc>
                  </w:tr>
                  <w:tr w:rsidR="00F65BCA" w14:paraId="068C46E3" w14:textId="77777777">
                    <w:trPr>
                      <w:trHeight w:val="153"/>
                    </w:trPr>
                    <w:tc>
                      <w:tcPr>
                        <w:tcW w:w="998" w:type="dxa"/>
                        <w:vMerge/>
                        <w:tcBorders>
                          <w:top w:val="nil"/>
                        </w:tcBorders>
                        <w:shd w:val="clear" w:color="auto" w:fill="FCE4D6"/>
                      </w:tcPr>
                      <w:p w14:paraId="3334CB5A" w14:textId="77777777" w:rsidR="00F65BCA" w:rsidRDefault="00F65BCA">
                        <w:pPr>
                          <w:rPr>
                            <w:sz w:val="2"/>
                            <w:szCs w:val="2"/>
                          </w:rPr>
                        </w:pPr>
                      </w:p>
                    </w:tc>
                    <w:tc>
                      <w:tcPr>
                        <w:tcW w:w="866" w:type="dxa"/>
                        <w:vMerge/>
                        <w:tcBorders>
                          <w:top w:val="nil"/>
                        </w:tcBorders>
                        <w:shd w:val="clear" w:color="auto" w:fill="FCE4D6"/>
                      </w:tcPr>
                      <w:p w14:paraId="0B6A001C" w14:textId="77777777" w:rsidR="00F65BCA" w:rsidRDefault="00F65BCA">
                        <w:pPr>
                          <w:rPr>
                            <w:sz w:val="2"/>
                            <w:szCs w:val="2"/>
                          </w:rPr>
                        </w:pPr>
                      </w:p>
                    </w:tc>
                    <w:tc>
                      <w:tcPr>
                        <w:tcW w:w="866" w:type="dxa"/>
                        <w:shd w:val="clear" w:color="auto" w:fill="FCE4D6"/>
                      </w:tcPr>
                      <w:p w14:paraId="7C92DF6D"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29924DB6" w14:textId="77777777" w:rsidR="00F65BCA" w:rsidRDefault="00216117">
                        <w:pPr>
                          <w:pStyle w:val="TableParagraph"/>
                          <w:spacing w:before="23"/>
                          <w:ind w:left="20"/>
                          <w:jc w:val="center"/>
                          <w:rPr>
                            <w:sz w:val="9"/>
                          </w:rPr>
                        </w:pPr>
                        <w:r>
                          <w:rPr>
                            <w:w w:val="101"/>
                            <w:sz w:val="9"/>
                          </w:rPr>
                          <w:t>-</w:t>
                        </w:r>
                      </w:p>
                    </w:tc>
                    <w:tc>
                      <w:tcPr>
                        <w:tcW w:w="991" w:type="dxa"/>
                      </w:tcPr>
                      <w:p w14:paraId="6CBC155B" w14:textId="77777777" w:rsidR="00F65BCA" w:rsidRDefault="00216117">
                        <w:pPr>
                          <w:pStyle w:val="TableParagraph"/>
                          <w:spacing w:before="23"/>
                          <w:ind w:left="58" w:right="38"/>
                          <w:jc w:val="center"/>
                          <w:rPr>
                            <w:sz w:val="9"/>
                          </w:rPr>
                        </w:pPr>
                        <w:r>
                          <w:rPr>
                            <w:sz w:val="9"/>
                          </w:rPr>
                          <w:t>2 333,435056</w:t>
                        </w:r>
                      </w:p>
                    </w:tc>
                  </w:tr>
                  <w:tr w:rsidR="00F65BCA" w14:paraId="066DEE03" w14:textId="77777777">
                    <w:trPr>
                      <w:trHeight w:val="153"/>
                    </w:trPr>
                    <w:tc>
                      <w:tcPr>
                        <w:tcW w:w="998" w:type="dxa"/>
                        <w:vMerge/>
                        <w:tcBorders>
                          <w:top w:val="nil"/>
                        </w:tcBorders>
                        <w:shd w:val="clear" w:color="auto" w:fill="FCE4D6"/>
                      </w:tcPr>
                      <w:p w14:paraId="4E882BA2" w14:textId="77777777" w:rsidR="00F65BCA" w:rsidRDefault="00F65BCA">
                        <w:pPr>
                          <w:rPr>
                            <w:sz w:val="2"/>
                            <w:szCs w:val="2"/>
                          </w:rPr>
                        </w:pPr>
                      </w:p>
                    </w:tc>
                    <w:tc>
                      <w:tcPr>
                        <w:tcW w:w="866" w:type="dxa"/>
                        <w:vMerge/>
                        <w:tcBorders>
                          <w:top w:val="nil"/>
                        </w:tcBorders>
                        <w:shd w:val="clear" w:color="auto" w:fill="FCE4D6"/>
                      </w:tcPr>
                      <w:p w14:paraId="58FED665" w14:textId="77777777" w:rsidR="00F65BCA" w:rsidRDefault="00F65BCA">
                        <w:pPr>
                          <w:rPr>
                            <w:sz w:val="2"/>
                            <w:szCs w:val="2"/>
                          </w:rPr>
                        </w:pPr>
                      </w:p>
                    </w:tc>
                    <w:tc>
                      <w:tcPr>
                        <w:tcW w:w="866" w:type="dxa"/>
                        <w:shd w:val="clear" w:color="auto" w:fill="FCE4D6"/>
                      </w:tcPr>
                      <w:p w14:paraId="4373B3C9"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48C510B8" w14:textId="77777777" w:rsidR="00F65BCA" w:rsidRDefault="00216117">
                        <w:pPr>
                          <w:pStyle w:val="TableParagraph"/>
                          <w:spacing w:before="23"/>
                          <w:ind w:left="20"/>
                          <w:jc w:val="center"/>
                          <w:rPr>
                            <w:sz w:val="9"/>
                          </w:rPr>
                        </w:pPr>
                        <w:r>
                          <w:rPr>
                            <w:w w:val="101"/>
                            <w:sz w:val="9"/>
                          </w:rPr>
                          <w:t>-</w:t>
                        </w:r>
                      </w:p>
                    </w:tc>
                    <w:tc>
                      <w:tcPr>
                        <w:tcW w:w="991" w:type="dxa"/>
                      </w:tcPr>
                      <w:p w14:paraId="4B1F2F7F" w14:textId="77777777" w:rsidR="00F65BCA" w:rsidRDefault="00216117">
                        <w:pPr>
                          <w:pStyle w:val="TableParagraph"/>
                          <w:spacing w:before="23"/>
                          <w:ind w:left="58" w:right="39"/>
                          <w:jc w:val="center"/>
                          <w:rPr>
                            <w:sz w:val="9"/>
                          </w:rPr>
                        </w:pPr>
                        <w:r>
                          <w:rPr>
                            <w:sz w:val="9"/>
                          </w:rPr>
                          <w:t>2 536,342452</w:t>
                        </w:r>
                      </w:p>
                    </w:tc>
                  </w:tr>
                  <w:tr w:rsidR="00F65BCA" w14:paraId="11DC9A11" w14:textId="77777777">
                    <w:trPr>
                      <w:trHeight w:val="153"/>
                    </w:trPr>
                    <w:tc>
                      <w:tcPr>
                        <w:tcW w:w="998" w:type="dxa"/>
                        <w:vMerge/>
                        <w:tcBorders>
                          <w:top w:val="nil"/>
                        </w:tcBorders>
                        <w:shd w:val="clear" w:color="auto" w:fill="FCE4D6"/>
                      </w:tcPr>
                      <w:p w14:paraId="42509885" w14:textId="77777777" w:rsidR="00F65BCA" w:rsidRDefault="00F65BCA">
                        <w:pPr>
                          <w:rPr>
                            <w:sz w:val="2"/>
                            <w:szCs w:val="2"/>
                          </w:rPr>
                        </w:pPr>
                      </w:p>
                    </w:tc>
                    <w:tc>
                      <w:tcPr>
                        <w:tcW w:w="866" w:type="dxa"/>
                        <w:vMerge w:val="restart"/>
                        <w:shd w:val="clear" w:color="auto" w:fill="FCE4D6"/>
                      </w:tcPr>
                      <w:p w14:paraId="28F7FF55" w14:textId="77777777" w:rsidR="00F65BCA" w:rsidRDefault="00F65BCA">
                        <w:pPr>
                          <w:pStyle w:val="TableParagraph"/>
                          <w:spacing w:before="10"/>
                          <w:rPr>
                            <w:rFonts w:ascii="Calibri"/>
                            <w:sz w:val="14"/>
                          </w:rPr>
                        </w:pPr>
                      </w:p>
                      <w:p w14:paraId="4D0B31A0" w14:textId="77777777" w:rsidR="00F65BCA" w:rsidRDefault="00216117">
                        <w:pPr>
                          <w:pStyle w:val="TableParagraph"/>
                          <w:spacing w:before="1"/>
                          <w:ind w:left="122"/>
                          <w:rPr>
                            <w:sz w:val="9"/>
                          </w:rPr>
                        </w:pPr>
                        <w:r>
                          <w:rPr>
                            <w:sz w:val="9"/>
                          </w:rPr>
                          <w:t>1901-2000 ccm</w:t>
                        </w:r>
                      </w:p>
                    </w:tc>
                    <w:tc>
                      <w:tcPr>
                        <w:tcW w:w="866" w:type="dxa"/>
                        <w:shd w:val="clear" w:color="auto" w:fill="FCE4D6"/>
                      </w:tcPr>
                      <w:p w14:paraId="417BA77C"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3FD50A27" w14:textId="77777777" w:rsidR="00F65BCA" w:rsidRDefault="00216117">
                        <w:pPr>
                          <w:pStyle w:val="TableParagraph"/>
                          <w:spacing w:before="23"/>
                          <w:ind w:left="20"/>
                          <w:jc w:val="center"/>
                          <w:rPr>
                            <w:sz w:val="9"/>
                          </w:rPr>
                        </w:pPr>
                        <w:r>
                          <w:rPr>
                            <w:w w:val="101"/>
                            <w:sz w:val="9"/>
                          </w:rPr>
                          <w:t>-</w:t>
                        </w:r>
                      </w:p>
                    </w:tc>
                    <w:tc>
                      <w:tcPr>
                        <w:tcW w:w="991" w:type="dxa"/>
                      </w:tcPr>
                      <w:p w14:paraId="6AF3464B" w14:textId="77777777" w:rsidR="00F65BCA" w:rsidRDefault="00216117">
                        <w:pPr>
                          <w:pStyle w:val="TableParagraph"/>
                          <w:spacing w:before="23"/>
                          <w:ind w:left="58" w:right="39"/>
                          <w:jc w:val="center"/>
                          <w:rPr>
                            <w:sz w:val="9"/>
                          </w:rPr>
                        </w:pPr>
                        <w:r>
                          <w:rPr>
                            <w:sz w:val="9"/>
                          </w:rPr>
                          <w:t>2 226,497374</w:t>
                        </w:r>
                      </w:p>
                    </w:tc>
                  </w:tr>
                  <w:tr w:rsidR="00F65BCA" w14:paraId="2BBC21C3" w14:textId="77777777">
                    <w:trPr>
                      <w:trHeight w:val="153"/>
                    </w:trPr>
                    <w:tc>
                      <w:tcPr>
                        <w:tcW w:w="998" w:type="dxa"/>
                        <w:vMerge/>
                        <w:tcBorders>
                          <w:top w:val="nil"/>
                        </w:tcBorders>
                        <w:shd w:val="clear" w:color="auto" w:fill="FCE4D6"/>
                      </w:tcPr>
                      <w:p w14:paraId="570F4A87" w14:textId="77777777" w:rsidR="00F65BCA" w:rsidRDefault="00F65BCA">
                        <w:pPr>
                          <w:rPr>
                            <w:sz w:val="2"/>
                            <w:szCs w:val="2"/>
                          </w:rPr>
                        </w:pPr>
                      </w:p>
                    </w:tc>
                    <w:tc>
                      <w:tcPr>
                        <w:tcW w:w="866" w:type="dxa"/>
                        <w:vMerge/>
                        <w:tcBorders>
                          <w:top w:val="nil"/>
                        </w:tcBorders>
                        <w:shd w:val="clear" w:color="auto" w:fill="FCE4D6"/>
                      </w:tcPr>
                      <w:p w14:paraId="00AAFA68" w14:textId="77777777" w:rsidR="00F65BCA" w:rsidRDefault="00F65BCA">
                        <w:pPr>
                          <w:rPr>
                            <w:sz w:val="2"/>
                            <w:szCs w:val="2"/>
                          </w:rPr>
                        </w:pPr>
                      </w:p>
                    </w:tc>
                    <w:tc>
                      <w:tcPr>
                        <w:tcW w:w="866" w:type="dxa"/>
                        <w:shd w:val="clear" w:color="auto" w:fill="FCE4D6"/>
                      </w:tcPr>
                      <w:p w14:paraId="3A5527B2"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6FE0AF2E" w14:textId="77777777" w:rsidR="00F65BCA" w:rsidRDefault="00216117">
                        <w:pPr>
                          <w:pStyle w:val="TableParagraph"/>
                          <w:spacing w:before="23"/>
                          <w:ind w:left="20"/>
                          <w:jc w:val="center"/>
                          <w:rPr>
                            <w:sz w:val="9"/>
                          </w:rPr>
                        </w:pPr>
                        <w:r>
                          <w:rPr>
                            <w:w w:val="101"/>
                            <w:sz w:val="9"/>
                          </w:rPr>
                          <w:t>-</w:t>
                        </w:r>
                      </w:p>
                    </w:tc>
                    <w:tc>
                      <w:tcPr>
                        <w:tcW w:w="991" w:type="dxa"/>
                      </w:tcPr>
                      <w:p w14:paraId="19AD6303" w14:textId="77777777" w:rsidR="00F65BCA" w:rsidRDefault="00216117">
                        <w:pPr>
                          <w:pStyle w:val="TableParagraph"/>
                          <w:spacing w:before="23"/>
                          <w:ind w:left="58" w:right="38"/>
                          <w:jc w:val="center"/>
                          <w:rPr>
                            <w:sz w:val="9"/>
                          </w:rPr>
                        </w:pPr>
                        <w:r>
                          <w:rPr>
                            <w:sz w:val="9"/>
                          </w:rPr>
                          <w:t>2 438,544743</w:t>
                        </w:r>
                      </w:p>
                    </w:tc>
                  </w:tr>
                  <w:tr w:rsidR="00F65BCA" w14:paraId="21631443" w14:textId="77777777">
                    <w:trPr>
                      <w:trHeight w:val="153"/>
                    </w:trPr>
                    <w:tc>
                      <w:tcPr>
                        <w:tcW w:w="998" w:type="dxa"/>
                        <w:vMerge/>
                        <w:tcBorders>
                          <w:top w:val="nil"/>
                        </w:tcBorders>
                        <w:shd w:val="clear" w:color="auto" w:fill="FCE4D6"/>
                      </w:tcPr>
                      <w:p w14:paraId="6B680E1A" w14:textId="77777777" w:rsidR="00F65BCA" w:rsidRDefault="00F65BCA">
                        <w:pPr>
                          <w:rPr>
                            <w:sz w:val="2"/>
                            <w:szCs w:val="2"/>
                          </w:rPr>
                        </w:pPr>
                      </w:p>
                    </w:tc>
                    <w:tc>
                      <w:tcPr>
                        <w:tcW w:w="866" w:type="dxa"/>
                        <w:vMerge/>
                        <w:tcBorders>
                          <w:top w:val="nil"/>
                        </w:tcBorders>
                        <w:shd w:val="clear" w:color="auto" w:fill="FCE4D6"/>
                      </w:tcPr>
                      <w:p w14:paraId="11F1FA9A" w14:textId="77777777" w:rsidR="00F65BCA" w:rsidRDefault="00F65BCA">
                        <w:pPr>
                          <w:rPr>
                            <w:sz w:val="2"/>
                            <w:szCs w:val="2"/>
                          </w:rPr>
                        </w:pPr>
                      </w:p>
                    </w:tc>
                    <w:tc>
                      <w:tcPr>
                        <w:tcW w:w="866" w:type="dxa"/>
                        <w:shd w:val="clear" w:color="auto" w:fill="FCE4D6"/>
                      </w:tcPr>
                      <w:p w14:paraId="0B27A2DE"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0A9FC59D" w14:textId="77777777" w:rsidR="00F65BCA" w:rsidRDefault="00216117">
                        <w:pPr>
                          <w:pStyle w:val="TableParagraph"/>
                          <w:spacing w:before="23"/>
                          <w:ind w:left="20"/>
                          <w:jc w:val="center"/>
                          <w:rPr>
                            <w:sz w:val="9"/>
                          </w:rPr>
                        </w:pPr>
                        <w:r>
                          <w:rPr>
                            <w:w w:val="101"/>
                            <w:sz w:val="9"/>
                          </w:rPr>
                          <w:t>-</w:t>
                        </w:r>
                      </w:p>
                    </w:tc>
                    <w:tc>
                      <w:tcPr>
                        <w:tcW w:w="991" w:type="dxa"/>
                      </w:tcPr>
                      <w:p w14:paraId="2E6CDCE5" w14:textId="77777777" w:rsidR="00F65BCA" w:rsidRDefault="00216117">
                        <w:pPr>
                          <w:pStyle w:val="TableParagraph"/>
                          <w:spacing w:before="23"/>
                          <w:ind w:left="58" w:right="39"/>
                          <w:jc w:val="center"/>
                          <w:rPr>
                            <w:sz w:val="9"/>
                          </w:rPr>
                        </w:pPr>
                        <w:r>
                          <w:rPr>
                            <w:sz w:val="9"/>
                          </w:rPr>
                          <w:t>2 650,592112</w:t>
                        </w:r>
                      </w:p>
                    </w:tc>
                  </w:tr>
                  <w:tr w:rsidR="00F65BCA" w14:paraId="1DEB6AC8" w14:textId="77777777">
                    <w:trPr>
                      <w:trHeight w:val="153"/>
                    </w:trPr>
                    <w:tc>
                      <w:tcPr>
                        <w:tcW w:w="998" w:type="dxa"/>
                        <w:vMerge/>
                        <w:tcBorders>
                          <w:top w:val="nil"/>
                        </w:tcBorders>
                        <w:shd w:val="clear" w:color="auto" w:fill="FCE4D6"/>
                      </w:tcPr>
                      <w:p w14:paraId="710D045C" w14:textId="77777777" w:rsidR="00F65BCA" w:rsidRDefault="00F65BCA">
                        <w:pPr>
                          <w:rPr>
                            <w:sz w:val="2"/>
                            <w:szCs w:val="2"/>
                          </w:rPr>
                        </w:pPr>
                      </w:p>
                    </w:tc>
                    <w:tc>
                      <w:tcPr>
                        <w:tcW w:w="866" w:type="dxa"/>
                        <w:vMerge w:val="restart"/>
                        <w:shd w:val="clear" w:color="auto" w:fill="FCE4D6"/>
                      </w:tcPr>
                      <w:p w14:paraId="1B6D3C34" w14:textId="77777777" w:rsidR="00F65BCA" w:rsidRDefault="00F65BCA">
                        <w:pPr>
                          <w:pStyle w:val="TableParagraph"/>
                          <w:spacing w:before="10"/>
                          <w:rPr>
                            <w:rFonts w:ascii="Calibri"/>
                            <w:sz w:val="14"/>
                          </w:rPr>
                        </w:pPr>
                      </w:p>
                      <w:p w14:paraId="48AB5741" w14:textId="77777777" w:rsidR="00F65BCA" w:rsidRDefault="00216117">
                        <w:pPr>
                          <w:pStyle w:val="TableParagraph"/>
                          <w:spacing w:before="1"/>
                          <w:ind w:left="122"/>
                          <w:rPr>
                            <w:sz w:val="9"/>
                          </w:rPr>
                        </w:pPr>
                        <w:r>
                          <w:rPr>
                            <w:sz w:val="9"/>
                          </w:rPr>
                          <w:t>2001-2500 ccm</w:t>
                        </w:r>
                      </w:p>
                    </w:tc>
                    <w:tc>
                      <w:tcPr>
                        <w:tcW w:w="866" w:type="dxa"/>
                        <w:shd w:val="clear" w:color="auto" w:fill="FCE4D6"/>
                      </w:tcPr>
                      <w:p w14:paraId="703F3393"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43AA7BDF" w14:textId="77777777" w:rsidR="00F65BCA" w:rsidRDefault="00216117">
                        <w:pPr>
                          <w:pStyle w:val="TableParagraph"/>
                          <w:spacing w:before="23"/>
                          <w:ind w:left="20"/>
                          <w:jc w:val="center"/>
                          <w:rPr>
                            <w:sz w:val="9"/>
                          </w:rPr>
                        </w:pPr>
                        <w:r>
                          <w:rPr>
                            <w:w w:val="101"/>
                            <w:sz w:val="9"/>
                          </w:rPr>
                          <w:t>-</w:t>
                        </w:r>
                      </w:p>
                    </w:tc>
                    <w:tc>
                      <w:tcPr>
                        <w:tcW w:w="991" w:type="dxa"/>
                      </w:tcPr>
                      <w:p w14:paraId="7E5F0262" w14:textId="77777777" w:rsidR="00F65BCA" w:rsidRDefault="00216117">
                        <w:pPr>
                          <w:pStyle w:val="TableParagraph"/>
                          <w:spacing w:before="23"/>
                          <w:ind w:left="58" w:right="39"/>
                          <w:jc w:val="center"/>
                          <w:rPr>
                            <w:sz w:val="9"/>
                          </w:rPr>
                        </w:pPr>
                        <w:r>
                          <w:rPr>
                            <w:sz w:val="9"/>
                          </w:rPr>
                          <w:t>2 543,197432</w:t>
                        </w:r>
                      </w:p>
                    </w:tc>
                  </w:tr>
                  <w:tr w:rsidR="00F65BCA" w14:paraId="44741FC7" w14:textId="77777777">
                    <w:trPr>
                      <w:trHeight w:val="153"/>
                    </w:trPr>
                    <w:tc>
                      <w:tcPr>
                        <w:tcW w:w="998" w:type="dxa"/>
                        <w:vMerge/>
                        <w:tcBorders>
                          <w:top w:val="nil"/>
                        </w:tcBorders>
                        <w:shd w:val="clear" w:color="auto" w:fill="FCE4D6"/>
                      </w:tcPr>
                      <w:p w14:paraId="6B6C33D3" w14:textId="77777777" w:rsidR="00F65BCA" w:rsidRDefault="00F65BCA">
                        <w:pPr>
                          <w:rPr>
                            <w:sz w:val="2"/>
                            <w:szCs w:val="2"/>
                          </w:rPr>
                        </w:pPr>
                      </w:p>
                    </w:tc>
                    <w:tc>
                      <w:tcPr>
                        <w:tcW w:w="866" w:type="dxa"/>
                        <w:vMerge/>
                        <w:tcBorders>
                          <w:top w:val="nil"/>
                        </w:tcBorders>
                        <w:shd w:val="clear" w:color="auto" w:fill="FCE4D6"/>
                      </w:tcPr>
                      <w:p w14:paraId="310D1632" w14:textId="77777777" w:rsidR="00F65BCA" w:rsidRDefault="00F65BCA">
                        <w:pPr>
                          <w:rPr>
                            <w:sz w:val="2"/>
                            <w:szCs w:val="2"/>
                          </w:rPr>
                        </w:pPr>
                      </w:p>
                    </w:tc>
                    <w:tc>
                      <w:tcPr>
                        <w:tcW w:w="866" w:type="dxa"/>
                        <w:shd w:val="clear" w:color="auto" w:fill="FCE4D6"/>
                      </w:tcPr>
                      <w:p w14:paraId="5E194F68"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0C08416B" w14:textId="77777777" w:rsidR="00F65BCA" w:rsidRDefault="00216117">
                        <w:pPr>
                          <w:pStyle w:val="TableParagraph"/>
                          <w:spacing w:before="23"/>
                          <w:ind w:left="20"/>
                          <w:jc w:val="center"/>
                          <w:rPr>
                            <w:sz w:val="9"/>
                          </w:rPr>
                        </w:pPr>
                        <w:r>
                          <w:rPr>
                            <w:w w:val="101"/>
                            <w:sz w:val="9"/>
                          </w:rPr>
                          <w:t>-</w:t>
                        </w:r>
                      </w:p>
                    </w:tc>
                    <w:tc>
                      <w:tcPr>
                        <w:tcW w:w="991" w:type="dxa"/>
                      </w:tcPr>
                      <w:p w14:paraId="33C26A48" w14:textId="77777777" w:rsidR="00F65BCA" w:rsidRDefault="00216117">
                        <w:pPr>
                          <w:pStyle w:val="TableParagraph"/>
                          <w:spacing w:before="23"/>
                          <w:ind w:left="58" w:right="38"/>
                          <w:jc w:val="center"/>
                          <w:rPr>
                            <w:sz w:val="9"/>
                          </w:rPr>
                        </w:pPr>
                        <w:r>
                          <w:rPr>
                            <w:sz w:val="9"/>
                          </w:rPr>
                          <w:t>2 785,406711</w:t>
                        </w:r>
                      </w:p>
                    </w:tc>
                  </w:tr>
                  <w:tr w:rsidR="00F65BCA" w14:paraId="43CAA154" w14:textId="77777777">
                    <w:trPr>
                      <w:trHeight w:val="153"/>
                    </w:trPr>
                    <w:tc>
                      <w:tcPr>
                        <w:tcW w:w="998" w:type="dxa"/>
                        <w:vMerge/>
                        <w:tcBorders>
                          <w:top w:val="nil"/>
                        </w:tcBorders>
                        <w:shd w:val="clear" w:color="auto" w:fill="FCE4D6"/>
                      </w:tcPr>
                      <w:p w14:paraId="35F3E40B" w14:textId="77777777" w:rsidR="00F65BCA" w:rsidRDefault="00F65BCA">
                        <w:pPr>
                          <w:rPr>
                            <w:sz w:val="2"/>
                            <w:szCs w:val="2"/>
                          </w:rPr>
                        </w:pPr>
                      </w:p>
                    </w:tc>
                    <w:tc>
                      <w:tcPr>
                        <w:tcW w:w="866" w:type="dxa"/>
                        <w:vMerge/>
                        <w:tcBorders>
                          <w:top w:val="nil"/>
                        </w:tcBorders>
                        <w:shd w:val="clear" w:color="auto" w:fill="FCE4D6"/>
                      </w:tcPr>
                      <w:p w14:paraId="68805029" w14:textId="77777777" w:rsidR="00F65BCA" w:rsidRDefault="00F65BCA">
                        <w:pPr>
                          <w:rPr>
                            <w:sz w:val="2"/>
                            <w:szCs w:val="2"/>
                          </w:rPr>
                        </w:pPr>
                      </w:p>
                    </w:tc>
                    <w:tc>
                      <w:tcPr>
                        <w:tcW w:w="866" w:type="dxa"/>
                        <w:shd w:val="clear" w:color="auto" w:fill="FCE4D6"/>
                      </w:tcPr>
                      <w:p w14:paraId="1D9030C1"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3FAB1941" w14:textId="77777777" w:rsidR="00F65BCA" w:rsidRDefault="00216117">
                        <w:pPr>
                          <w:pStyle w:val="TableParagraph"/>
                          <w:spacing w:before="23"/>
                          <w:ind w:left="20"/>
                          <w:jc w:val="center"/>
                          <w:rPr>
                            <w:sz w:val="9"/>
                          </w:rPr>
                        </w:pPr>
                        <w:r>
                          <w:rPr>
                            <w:w w:val="101"/>
                            <w:sz w:val="9"/>
                          </w:rPr>
                          <w:t>-</w:t>
                        </w:r>
                      </w:p>
                    </w:tc>
                    <w:tc>
                      <w:tcPr>
                        <w:tcW w:w="991" w:type="dxa"/>
                      </w:tcPr>
                      <w:p w14:paraId="21F4B4D9" w14:textId="77777777" w:rsidR="00F65BCA" w:rsidRDefault="00216117">
                        <w:pPr>
                          <w:pStyle w:val="TableParagraph"/>
                          <w:spacing w:before="23"/>
                          <w:ind w:left="58" w:right="39"/>
                          <w:jc w:val="center"/>
                          <w:rPr>
                            <w:sz w:val="9"/>
                          </w:rPr>
                        </w:pPr>
                        <w:r>
                          <w:rPr>
                            <w:sz w:val="9"/>
                          </w:rPr>
                          <w:t>3 027,615990</w:t>
                        </w:r>
                      </w:p>
                    </w:tc>
                  </w:tr>
                  <w:tr w:rsidR="00F65BCA" w14:paraId="6365A2BB" w14:textId="77777777">
                    <w:trPr>
                      <w:trHeight w:val="153"/>
                    </w:trPr>
                    <w:tc>
                      <w:tcPr>
                        <w:tcW w:w="998" w:type="dxa"/>
                        <w:vMerge/>
                        <w:tcBorders>
                          <w:top w:val="nil"/>
                        </w:tcBorders>
                        <w:shd w:val="clear" w:color="auto" w:fill="FCE4D6"/>
                      </w:tcPr>
                      <w:p w14:paraId="4F9BEBB5" w14:textId="77777777" w:rsidR="00F65BCA" w:rsidRDefault="00F65BCA">
                        <w:pPr>
                          <w:rPr>
                            <w:sz w:val="2"/>
                            <w:szCs w:val="2"/>
                          </w:rPr>
                        </w:pPr>
                      </w:p>
                    </w:tc>
                    <w:tc>
                      <w:tcPr>
                        <w:tcW w:w="866" w:type="dxa"/>
                        <w:vMerge w:val="restart"/>
                        <w:shd w:val="clear" w:color="auto" w:fill="FCE4D6"/>
                      </w:tcPr>
                      <w:p w14:paraId="2BAE5094" w14:textId="77777777" w:rsidR="00F65BCA" w:rsidRDefault="00F65BCA">
                        <w:pPr>
                          <w:pStyle w:val="TableParagraph"/>
                          <w:spacing w:before="10"/>
                          <w:rPr>
                            <w:rFonts w:ascii="Calibri"/>
                            <w:sz w:val="14"/>
                          </w:rPr>
                        </w:pPr>
                      </w:p>
                      <w:p w14:paraId="5955FEBA" w14:textId="77777777" w:rsidR="00F65BCA" w:rsidRDefault="00216117">
                        <w:pPr>
                          <w:pStyle w:val="TableParagraph"/>
                          <w:spacing w:before="1"/>
                          <w:ind w:left="211"/>
                          <w:rPr>
                            <w:sz w:val="9"/>
                          </w:rPr>
                        </w:pPr>
                        <w:r>
                          <w:rPr>
                            <w:sz w:val="9"/>
                          </w:rPr>
                          <w:t>&gt;2500 ccm</w:t>
                        </w:r>
                      </w:p>
                    </w:tc>
                    <w:tc>
                      <w:tcPr>
                        <w:tcW w:w="866" w:type="dxa"/>
                        <w:shd w:val="clear" w:color="auto" w:fill="FCE4D6"/>
                      </w:tcPr>
                      <w:p w14:paraId="531A11EA" w14:textId="77777777" w:rsidR="00F65BCA" w:rsidRDefault="00216117">
                        <w:pPr>
                          <w:pStyle w:val="TableParagraph"/>
                          <w:spacing w:before="23"/>
                          <w:ind w:left="106" w:right="93"/>
                          <w:jc w:val="center"/>
                          <w:rPr>
                            <w:sz w:val="9"/>
                          </w:rPr>
                        </w:pPr>
                        <w:r>
                          <w:rPr>
                            <w:sz w:val="9"/>
                          </w:rPr>
                          <w:t>0-60 kW</w:t>
                        </w:r>
                      </w:p>
                    </w:tc>
                    <w:tc>
                      <w:tcPr>
                        <w:tcW w:w="708" w:type="dxa"/>
                        <w:shd w:val="clear" w:color="auto" w:fill="FCE4D6"/>
                      </w:tcPr>
                      <w:p w14:paraId="2A2E30E0" w14:textId="77777777" w:rsidR="00F65BCA" w:rsidRDefault="00216117">
                        <w:pPr>
                          <w:pStyle w:val="TableParagraph"/>
                          <w:spacing w:before="23"/>
                          <w:ind w:left="20"/>
                          <w:jc w:val="center"/>
                          <w:rPr>
                            <w:sz w:val="9"/>
                          </w:rPr>
                        </w:pPr>
                        <w:r>
                          <w:rPr>
                            <w:w w:val="101"/>
                            <w:sz w:val="9"/>
                          </w:rPr>
                          <w:t>-</w:t>
                        </w:r>
                      </w:p>
                    </w:tc>
                    <w:tc>
                      <w:tcPr>
                        <w:tcW w:w="991" w:type="dxa"/>
                      </w:tcPr>
                      <w:p w14:paraId="4915C64F" w14:textId="77777777" w:rsidR="00F65BCA" w:rsidRDefault="00216117">
                        <w:pPr>
                          <w:pStyle w:val="TableParagraph"/>
                          <w:spacing w:before="23"/>
                          <w:ind w:left="58" w:right="39"/>
                          <w:jc w:val="center"/>
                          <w:rPr>
                            <w:sz w:val="9"/>
                          </w:rPr>
                        </w:pPr>
                        <w:r>
                          <w:rPr>
                            <w:sz w:val="9"/>
                          </w:rPr>
                          <w:t>2 648,764117</w:t>
                        </w:r>
                      </w:p>
                    </w:tc>
                  </w:tr>
                  <w:tr w:rsidR="00F65BCA" w14:paraId="3584E885" w14:textId="77777777">
                    <w:trPr>
                      <w:trHeight w:val="153"/>
                    </w:trPr>
                    <w:tc>
                      <w:tcPr>
                        <w:tcW w:w="998" w:type="dxa"/>
                        <w:vMerge/>
                        <w:tcBorders>
                          <w:top w:val="nil"/>
                        </w:tcBorders>
                        <w:shd w:val="clear" w:color="auto" w:fill="FCE4D6"/>
                      </w:tcPr>
                      <w:p w14:paraId="4D20DE90" w14:textId="77777777" w:rsidR="00F65BCA" w:rsidRDefault="00F65BCA">
                        <w:pPr>
                          <w:rPr>
                            <w:sz w:val="2"/>
                            <w:szCs w:val="2"/>
                          </w:rPr>
                        </w:pPr>
                      </w:p>
                    </w:tc>
                    <w:tc>
                      <w:tcPr>
                        <w:tcW w:w="866" w:type="dxa"/>
                        <w:vMerge/>
                        <w:tcBorders>
                          <w:top w:val="nil"/>
                        </w:tcBorders>
                        <w:shd w:val="clear" w:color="auto" w:fill="FCE4D6"/>
                      </w:tcPr>
                      <w:p w14:paraId="0107131B" w14:textId="77777777" w:rsidR="00F65BCA" w:rsidRDefault="00F65BCA">
                        <w:pPr>
                          <w:rPr>
                            <w:sz w:val="2"/>
                            <w:szCs w:val="2"/>
                          </w:rPr>
                        </w:pPr>
                      </w:p>
                    </w:tc>
                    <w:tc>
                      <w:tcPr>
                        <w:tcW w:w="866" w:type="dxa"/>
                        <w:shd w:val="clear" w:color="auto" w:fill="FCE4D6"/>
                      </w:tcPr>
                      <w:p w14:paraId="0774AFA7" w14:textId="77777777" w:rsidR="00F65BCA" w:rsidRDefault="00216117">
                        <w:pPr>
                          <w:pStyle w:val="TableParagraph"/>
                          <w:spacing w:before="23"/>
                          <w:ind w:left="106" w:right="90"/>
                          <w:jc w:val="center"/>
                          <w:rPr>
                            <w:sz w:val="9"/>
                          </w:rPr>
                        </w:pPr>
                        <w:r>
                          <w:rPr>
                            <w:sz w:val="9"/>
                          </w:rPr>
                          <w:t>61-90 kW</w:t>
                        </w:r>
                      </w:p>
                    </w:tc>
                    <w:tc>
                      <w:tcPr>
                        <w:tcW w:w="708" w:type="dxa"/>
                        <w:shd w:val="clear" w:color="auto" w:fill="FCE4D6"/>
                      </w:tcPr>
                      <w:p w14:paraId="22836007" w14:textId="77777777" w:rsidR="00F65BCA" w:rsidRDefault="00216117">
                        <w:pPr>
                          <w:pStyle w:val="TableParagraph"/>
                          <w:spacing w:before="23"/>
                          <w:ind w:left="20"/>
                          <w:jc w:val="center"/>
                          <w:rPr>
                            <w:sz w:val="9"/>
                          </w:rPr>
                        </w:pPr>
                        <w:r>
                          <w:rPr>
                            <w:w w:val="101"/>
                            <w:sz w:val="9"/>
                          </w:rPr>
                          <w:t>-</w:t>
                        </w:r>
                      </w:p>
                    </w:tc>
                    <w:tc>
                      <w:tcPr>
                        <w:tcW w:w="991" w:type="dxa"/>
                      </w:tcPr>
                      <w:p w14:paraId="2507C107" w14:textId="77777777" w:rsidR="00F65BCA" w:rsidRDefault="00216117">
                        <w:pPr>
                          <w:pStyle w:val="TableParagraph"/>
                          <w:spacing w:before="23"/>
                          <w:ind w:left="58" w:right="38"/>
                          <w:jc w:val="center"/>
                          <w:rPr>
                            <w:sz w:val="9"/>
                          </w:rPr>
                        </w:pPr>
                        <w:r>
                          <w:rPr>
                            <w:sz w:val="9"/>
                          </w:rPr>
                          <w:t>2 901,027367</w:t>
                        </w:r>
                      </w:p>
                    </w:tc>
                  </w:tr>
                  <w:tr w:rsidR="00F65BCA" w14:paraId="729A79C1" w14:textId="77777777">
                    <w:trPr>
                      <w:trHeight w:val="153"/>
                    </w:trPr>
                    <w:tc>
                      <w:tcPr>
                        <w:tcW w:w="998" w:type="dxa"/>
                        <w:vMerge/>
                        <w:tcBorders>
                          <w:top w:val="nil"/>
                        </w:tcBorders>
                        <w:shd w:val="clear" w:color="auto" w:fill="FCE4D6"/>
                      </w:tcPr>
                      <w:p w14:paraId="46D916A3" w14:textId="77777777" w:rsidR="00F65BCA" w:rsidRDefault="00F65BCA">
                        <w:pPr>
                          <w:rPr>
                            <w:sz w:val="2"/>
                            <w:szCs w:val="2"/>
                          </w:rPr>
                        </w:pPr>
                      </w:p>
                    </w:tc>
                    <w:tc>
                      <w:tcPr>
                        <w:tcW w:w="866" w:type="dxa"/>
                        <w:vMerge/>
                        <w:tcBorders>
                          <w:top w:val="nil"/>
                        </w:tcBorders>
                        <w:shd w:val="clear" w:color="auto" w:fill="FCE4D6"/>
                      </w:tcPr>
                      <w:p w14:paraId="114644FB" w14:textId="77777777" w:rsidR="00F65BCA" w:rsidRDefault="00F65BCA">
                        <w:pPr>
                          <w:rPr>
                            <w:sz w:val="2"/>
                            <w:szCs w:val="2"/>
                          </w:rPr>
                        </w:pPr>
                      </w:p>
                    </w:tc>
                    <w:tc>
                      <w:tcPr>
                        <w:tcW w:w="866" w:type="dxa"/>
                        <w:shd w:val="clear" w:color="auto" w:fill="FCE4D6"/>
                      </w:tcPr>
                      <w:p w14:paraId="4FD11BE3" w14:textId="77777777" w:rsidR="00F65BCA" w:rsidRDefault="00216117">
                        <w:pPr>
                          <w:pStyle w:val="TableParagraph"/>
                          <w:spacing w:before="23"/>
                          <w:ind w:left="106" w:right="93"/>
                          <w:jc w:val="center"/>
                          <w:rPr>
                            <w:sz w:val="9"/>
                          </w:rPr>
                        </w:pPr>
                        <w:r>
                          <w:rPr>
                            <w:sz w:val="9"/>
                          </w:rPr>
                          <w:t>&gt;90 kW</w:t>
                        </w:r>
                      </w:p>
                    </w:tc>
                    <w:tc>
                      <w:tcPr>
                        <w:tcW w:w="708" w:type="dxa"/>
                        <w:shd w:val="clear" w:color="auto" w:fill="FCE4D6"/>
                      </w:tcPr>
                      <w:p w14:paraId="2427B0FA" w14:textId="77777777" w:rsidR="00F65BCA" w:rsidRDefault="00216117">
                        <w:pPr>
                          <w:pStyle w:val="TableParagraph"/>
                          <w:spacing w:before="23"/>
                          <w:ind w:left="20"/>
                          <w:jc w:val="center"/>
                          <w:rPr>
                            <w:sz w:val="9"/>
                          </w:rPr>
                        </w:pPr>
                        <w:r>
                          <w:rPr>
                            <w:w w:val="101"/>
                            <w:sz w:val="9"/>
                          </w:rPr>
                          <w:t>-</w:t>
                        </w:r>
                      </w:p>
                    </w:tc>
                    <w:tc>
                      <w:tcPr>
                        <w:tcW w:w="991" w:type="dxa"/>
                      </w:tcPr>
                      <w:p w14:paraId="21BD34AC" w14:textId="77777777" w:rsidR="00F65BCA" w:rsidRDefault="00216117">
                        <w:pPr>
                          <w:pStyle w:val="TableParagraph"/>
                          <w:spacing w:before="23"/>
                          <w:ind w:left="58" w:right="39"/>
                          <w:jc w:val="center"/>
                          <w:rPr>
                            <w:sz w:val="9"/>
                          </w:rPr>
                        </w:pPr>
                        <w:r>
                          <w:rPr>
                            <w:sz w:val="9"/>
                          </w:rPr>
                          <w:t>3 153,290616</w:t>
                        </w:r>
                      </w:p>
                    </w:tc>
                  </w:tr>
                  <w:tr w:rsidR="00F65BCA" w14:paraId="097CF1E6" w14:textId="77777777">
                    <w:trPr>
                      <w:trHeight w:val="153"/>
                    </w:trPr>
                    <w:tc>
                      <w:tcPr>
                        <w:tcW w:w="998" w:type="dxa"/>
                        <w:shd w:val="clear" w:color="auto" w:fill="FCE4D6"/>
                      </w:tcPr>
                      <w:p w14:paraId="2B3DE810" w14:textId="77777777" w:rsidR="00F65BCA" w:rsidRDefault="00216117">
                        <w:pPr>
                          <w:pStyle w:val="TableParagraph"/>
                          <w:spacing w:before="23"/>
                          <w:ind w:left="8"/>
                          <w:jc w:val="center"/>
                          <w:rPr>
                            <w:sz w:val="9"/>
                          </w:rPr>
                        </w:pPr>
                        <w:r>
                          <w:rPr>
                            <w:sz w:val="9"/>
                          </w:rPr>
                          <w:t>speciální automobil</w:t>
                        </w:r>
                      </w:p>
                    </w:tc>
                    <w:tc>
                      <w:tcPr>
                        <w:tcW w:w="866" w:type="dxa"/>
                        <w:shd w:val="clear" w:color="auto" w:fill="FCE4D6"/>
                      </w:tcPr>
                      <w:p w14:paraId="00FC668A" w14:textId="77777777" w:rsidR="00F65BCA" w:rsidRDefault="00216117">
                        <w:pPr>
                          <w:pStyle w:val="TableParagraph"/>
                          <w:spacing w:before="23"/>
                          <w:ind w:left="20"/>
                          <w:jc w:val="center"/>
                          <w:rPr>
                            <w:sz w:val="9"/>
                          </w:rPr>
                        </w:pPr>
                        <w:r>
                          <w:rPr>
                            <w:w w:val="101"/>
                            <w:sz w:val="9"/>
                          </w:rPr>
                          <w:t>-</w:t>
                        </w:r>
                      </w:p>
                    </w:tc>
                    <w:tc>
                      <w:tcPr>
                        <w:tcW w:w="866" w:type="dxa"/>
                        <w:shd w:val="clear" w:color="auto" w:fill="FCE4D6"/>
                      </w:tcPr>
                      <w:p w14:paraId="6DF65C80" w14:textId="77777777" w:rsidR="00F65BCA" w:rsidRDefault="00216117">
                        <w:pPr>
                          <w:pStyle w:val="TableParagraph"/>
                          <w:spacing w:before="23"/>
                          <w:ind w:left="20"/>
                          <w:jc w:val="center"/>
                          <w:rPr>
                            <w:sz w:val="9"/>
                          </w:rPr>
                        </w:pPr>
                        <w:r>
                          <w:rPr>
                            <w:w w:val="101"/>
                            <w:sz w:val="9"/>
                          </w:rPr>
                          <w:t>-</w:t>
                        </w:r>
                      </w:p>
                    </w:tc>
                    <w:tc>
                      <w:tcPr>
                        <w:tcW w:w="708" w:type="dxa"/>
                        <w:shd w:val="clear" w:color="auto" w:fill="FCE4D6"/>
                      </w:tcPr>
                      <w:p w14:paraId="1F478653" w14:textId="77777777" w:rsidR="00F65BCA" w:rsidRDefault="00216117">
                        <w:pPr>
                          <w:pStyle w:val="TableParagraph"/>
                          <w:spacing w:before="23"/>
                          <w:ind w:left="21"/>
                          <w:jc w:val="center"/>
                          <w:rPr>
                            <w:sz w:val="9"/>
                          </w:rPr>
                        </w:pPr>
                        <w:r>
                          <w:rPr>
                            <w:w w:val="101"/>
                            <w:sz w:val="9"/>
                          </w:rPr>
                          <w:t>-</w:t>
                        </w:r>
                      </w:p>
                    </w:tc>
                    <w:tc>
                      <w:tcPr>
                        <w:tcW w:w="991" w:type="dxa"/>
                      </w:tcPr>
                      <w:p w14:paraId="15F8EBDB" w14:textId="77777777" w:rsidR="00F65BCA" w:rsidRDefault="00216117">
                        <w:pPr>
                          <w:pStyle w:val="TableParagraph"/>
                          <w:spacing w:before="23"/>
                          <w:ind w:left="58" w:right="38"/>
                          <w:jc w:val="center"/>
                          <w:rPr>
                            <w:sz w:val="9"/>
                          </w:rPr>
                        </w:pPr>
                        <w:r>
                          <w:rPr>
                            <w:sz w:val="9"/>
                          </w:rPr>
                          <w:t>4 672,924600</w:t>
                        </w:r>
                      </w:p>
                    </w:tc>
                  </w:tr>
                  <w:tr w:rsidR="00F65BCA" w14:paraId="6C2575D1" w14:textId="77777777">
                    <w:trPr>
                      <w:trHeight w:val="371"/>
                    </w:trPr>
                    <w:tc>
                      <w:tcPr>
                        <w:tcW w:w="998" w:type="dxa"/>
                        <w:shd w:val="clear" w:color="auto" w:fill="F8CBAD"/>
                      </w:tcPr>
                      <w:p w14:paraId="1958C705" w14:textId="77777777" w:rsidR="00F65BCA" w:rsidRDefault="00216117">
                        <w:pPr>
                          <w:pStyle w:val="TableParagraph"/>
                          <w:spacing w:before="73" w:line="278" w:lineRule="auto"/>
                          <w:ind w:left="314" w:right="45" w:hanging="252"/>
                          <w:rPr>
                            <w:b/>
                            <w:sz w:val="9"/>
                          </w:rPr>
                        </w:pPr>
                        <w:r>
                          <w:rPr>
                            <w:b/>
                            <w:sz w:val="9"/>
                          </w:rPr>
                          <w:t>Nákladní a speciální nad 3,5 t</w:t>
                        </w:r>
                      </w:p>
                    </w:tc>
                    <w:tc>
                      <w:tcPr>
                        <w:tcW w:w="866" w:type="dxa"/>
                        <w:shd w:val="clear" w:color="auto" w:fill="F8CBAD"/>
                      </w:tcPr>
                      <w:p w14:paraId="7DD7C2B6" w14:textId="77777777" w:rsidR="00F65BCA" w:rsidRDefault="00F65BCA">
                        <w:pPr>
                          <w:pStyle w:val="TableParagraph"/>
                          <w:spacing w:before="11"/>
                          <w:rPr>
                            <w:rFonts w:ascii="Calibri"/>
                            <w:sz w:val="10"/>
                          </w:rPr>
                        </w:pPr>
                      </w:p>
                      <w:p w14:paraId="5955AD49" w14:textId="77777777" w:rsidR="00F65BCA" w:rsidRDefault="00216117">
                        <w:pPr>
                          <w:pStyle w:val="TableParagraph"/>
                          <w:ind w:left="106" w:right="95"/>
                          <w:jc w:val="center"/>
                          <w:rPr>
                            <w:b/>
                            <w:sz w:val="9"/>
                          </w:rPr>
                        </w:pPr>
                        <w:r>
                          <w:rPr>
                            <w:b/>
                            <w:sz w:val="9"/>
                          </w:rPr>
                          <w:t>Objem motoru</w:t>
                        </w:r>
                      </w:p>
                    </w:tc>
                    <w:tc>
                      <w:tcPr>
                        <w:tcW w:w="866" w:type="dxa"/>
                        <w:shd w:val="clear" w:color="auto" w:fill="F8CBAD"/>
                      </w:tcPr>
                      <w:p w14:paraId="46E5BC62" w14:textId="77777777" w:rsidR="00F65BCA" w:rsidRDefault="00F65BCA">
                        <w:pPr>
                          <w:pStyle w:val="TableParagraph"/>
                          <w:spacing w:before="11"/>
                          <w:rPr>
                            <w:rFonts w:ascii="Calibri"/>
                            <w:sz w:val="10"/>
                          </w:rPr>
                        </w:pPr>
                      </w:p>
                      <w:p w14:paraId="7678E6E5" w14:textId="77777777" w:rsidR="00F65BCA" w:rsidRDefault="00216117">
                        <w:pPr>
                          <w:pStyle w:val="TableParagraph"/>
                          <w:ind w:left="106" w:right="92"/>
                          <w:jc w:val="center"/>
                          <w:rPr>
                            <w:b/>
                            <w:sz w:val="9"/>
                          </w:rPr>
                        </w:pPr>
                        <w:r>
                          <w:rPr>
                            <w:b/>
                            <w:sz w:val="9"/>
                          </w:rPr>
                          <w:t>Výkon motoru</w:t>
                        </w:r>
                      </w:p>
                    </w:tc>
                    <w:tc>
                      <w:tcPr>
                        <w:tcW w:w="708" w:type="dxa"/>
                        <w:shd w:val="clear" w:color="auto" w:fill="F8CBAD"/>
                      </w:tcPr>
                      <w:p w14:paraId="173EE398" w14:textId="77777777" w:rsidR="00F65BCA" w:rsidRDefault="00216117">
                        <w:pPr>
                          <w:pStyle w:val="TableParagraph"/>
                          <w:spacing w:before="73" w:line="278" w:lineRule="auto"/>
                          <w:ind w:left="147" w:right="121" w:firstLine="36"/>
                          <w:rPr>
                            <w:b/>
                            <w:sz w:val="9"/>
                          </w:rPr>
                        </w:pPr>
                        <w:r>
                          <w:rPr>
                            <w:b/>
                            <w:sz w:val="9"/>
                          </w:rPr>
                          <w:t>Celková hmotnost</w:t>
                        </w:r>
                      </w:p>
                    </w:tc>
                    <w:tc>
                      <w:tcPr>
                        <w:tcW w:w="991" w:type="dxa"/>
                        <w:shd w:val="clear" w:color="auto" w:fill="F8CBAD"/>
                      </w:tcPr>
                      <w:p w14:paraId="62ADF032" w14:textId="77777777" w:rsidR="00F65BCA" w:rsidRDefault="00F65BCA">
                        <w:pPr>
                          <w:pStyle w:val="TableParagraph"/>
                          <w:spacing w:before="11"/>
                          <w:rPr>
                            <w:rFonts w:ascii="Calibri"/>
                            <w:sz w:val="10"/>
                          </w:rPr>
                        </w:pPr>
                      </w:p>
                      <w:p w14:paraId="45E48DEC" w14:textId="77777777" w:rsidR="00F65BCA" w:rsidRDefault="00216117">
                        <w:pPr>
                          <w:pStyle w:val="TableParagraph"/>
                          <w:ind w:left="58" w:right="46"/>
                          <w:jc w:val="center"/>
                          <w:rPr>
                            <w:b/>
                            <w:sz w:val="9"/>
                          </w:rPr>
                        </w:pPr>
                        <w:r>
                          <w:rPr>
                            <w:b/>
                            <w:sz w:val="9"/>
                          </w:rPr>
                          <w:t>Roční pojistné v Kč</w:t>
                        </w:r>
                      </w:p>
                    </w:tc>
                  </w:tr>
                  <w:tr w:rsidR="00F65BCA" w14:paraId="03498E18" w14:textId="77777777">
                    <w:trPr>
                      <w:trHeight w:val="153"/>
                    </w:trPr>
                    <w:tc>
                      <w:tcPr>
                        <w:tcW w:w="998" w:type="dxa"/>
                        <w:vMerge w:val="restart"/>
                        <w:shd w:val="clear" w:color="auto" w:fill="FCE4D6"/>
                      </w:tcPr>
                      <w:p w14:paraId="7425C005" w14:textId="77777777" w:rsidR="00F65BCA" w:rsidRDefault="00F65BCA">
                        <w:pPr>
                          <w:pStyle w:val="TableParagraph"/>
                          <w:rPr>
                            <w:rFonts w:ascii="Calibri"/>
                            <w:sz w:val="10"/>
                          </w:rPr>
                        </w:pPr>
                      </w:p>
                      <w:p w14:paraId="67446BA3" w14:textId="77777777" w:rsidR="00F65BCA" w:rsidRDefault="00F65BCA">
                        <w:pPr>
                          <w:pStyle w:val="TableParagraph"/>
                          <w:spacing w:before="9"/>
                          <w:rPr>
                            <w:rFonts w:ascii="Calibri"/>
                            <w:sz w:val="13"/>
                          </w:rPr>
                        </w:pPr>
                      </w:p>
                      <w:p w14:paraId="46E234BD" w14:textId="77777777" w:rsidR="00F65BCA" w:rsidRDefault="00216117">
                        <w:pPr>
                          <w:pStyle w:val="TableParagraph"/>
                          <w:spacing w:line="266" w:lineRule="auto"/>
                          <w:ind w:left="410" w:hanging="387"/>
                          <w:rPr>
                            <w:sz w:val="9"/>
                          </w:rPr>
                        </w:pPr>
                        <w:r>
                          <w:rPr>
                            <w:sz w:val="9"/>
                          </w:rPr>
                          <w:t>nákladní automobil nad 3,5 t</w:t>
                        </w:r>
                      </w:p>
                    </w:tc>
                    <w:tc>
                      <w:tcPr>
                        <w:tcW w:w="866" w:type="dxa"/>
                        <w:shd w:val="clear" w:color="auto" w:fill="FCE4D6"/>
                      </w:tcPr>
                      <w:p w14:paraId="6F0E1F68" w14:textId="77777777" w:rsidR="00F65BCA" w:rsidRDefault="00216117">
                        <w:pPr>
                          <w:pStyle w:val="TableParagraph"/>
                          <w:spacing w:before="23"/>
                          <w:ind w:left="19"/>
                          <w:jc w:val="center"/>
                          <w:rPr>
                            <w:sz w:val="9"/>
                          </w:rPr>
                        </w:pPr>
                        <w:r>
                          <w:rPr>
                            <w:w w:val="101"/>
                            <w:sz w:val="9"/>
                          </w:rPr>
                          <w:t>-</w:t>
                        </w:r>
                      </w:p>
                    </w:tc>
                    <w:tc>
                      <w:tcPr>
                        <w:tcW w:w="866" w:type="dxa"/>
                        <w:vMerge w:val="restart"/>
                        <w:shd w:val="clear" w:color="auto" w:fill="FCE4D6"/>
                      </w:tcPr>
                      <w:p w14:paraId="0BD7D671" w14:textId="77777777" w:rsidR="00F65BCA" w:rsidRDefault="00F65BCA">
                        <w:pPr>
                          <w:pStyle w:val="TableParagraph"/>
                          <w:spacing w:before="4"/>
                          <w:rPr>
                            <w:rFonts w:ascii="Calibri"/>
                            <w:sz w:val="8"/>
                          </w:rPr>
                        </w:pPr>
                      </w:p>
                      <w:p w14:paraId="724A51B0" w14:textId="77777777" w:rsidR="00F65BCA" w:rsidRDefault="00216117">
                        <w:pPr>
                          <w:pStyle w:val="TableParagraph"/>
                          <w:spacing w:before="1"/>
                          <w:ind w:left="240"/>
                          <w:rPr>
                            <w:sz w:val="9"/>
                          </w:rPr>
                        </w:pPr>
                        <w:r>
                          <w:rPr>
                            <w:sz w:val="9"/>
                          </w:rPr>
                          <w:t>0-200 kW</w:t>
                        </w:r>
                      </w:p>
                    </w:tc>
                    <w:tc>
                      <w:tcPr>
                        <w:tcW w:w="708" w:type="dxa"/>
                        <w:shd w:val="clear" w:color="auto" w:fill="FCE4D6"/>
                      </w:tcPr>
                      <w:p w14:paraId="282CC653" w14:textId="77777777" w:rsidR="00F65BCA" w:rsidRDefault="00216117">
                        <w:pPr>
                          <w:pStyle w:val="TableParagraph"/>
                          <w:spacing w:before="23"/>
                          <w:ind w:left="39" w:right="17"/>
                          <w:jc w:val="center"/>
                          <w:rPr>
                            <w:sz w:val="9"/>
                          </w:rPr>
                        </w:pPr>
                        <w:r>
                          <w:rPr>
                            <w:sz w:val="9"/>
                          </w:rPr>
                          <w:t>3501-12000 kg</w:t>
                        </w:r>
                      </w:p>
                    </w:tc>
                    <w:tc>
                      <w:tcPr>
                        <w:tcW w:w="991" w:type="dxa"/>
                      </w:tcPr>
                      <w:p w14:paraId="58C11B84" w14:textId="77777777" w:rsidR="00F65BCA" w:rsidRDefault="00216117">
                        <w:pPr>
                          <w:pStyle w:val="TableParagraph"/>
                          <w:spacing w:before="23"/>
                          <w:ind w:left="58" w:right="38"/>
                          <w:jc w:val="center"/>
                          <w:rPr>
                            <w:sz w:val="9"/>
                          </w:rPr>
                        </w:pPr>
                        <w:r>
                          <w:rPr>
                            <w:sz w:val="9"/>
                          </w:rPr>
                          <w:t>17 682,95760</w:t>
                        </w:r>
                      </w:p>
                    </w:tc>
                  </w:tr>
                  <w:tr w:rsidR="00F65BCA" w14:paraId="7850A6B5" w14:textId="77777777">
                    <w:trPr>
                      <w:trHeight w:val="158"/>
                    </w:trPr>
                    <w:tc>
                      <w:tcPr>
                        <w:tcW w:w="998" w:type="dxa"/>
                        <w:vMerge/>
                        <w:tcBorders>
                          <w:top w:val="nil"/>
                        </w:tcBorders>
                        <w:shd w:val="clear" w:color="auto" w:fill="FCE4D6"/>
                      </w:tcPr>
                      <w:p w14:paraId="37DCDADA" w14:textId="77777777" w:rsidR="00F65BCA" w:rsidRDefault="00F65BCA">
                        <w:pPr>
                          <w:rPr>
                            <w:sz w:val="2"/>
                            <w:szCs w:val="2"/>
                          </w:rPr>
                        </w:pPr>
                      </w:p>
                    </w:tc>
                    <w:tc>
                      <w:tcPr>
                        <w:tcW w:w="866" w:type="dxa"/>
                        <w:shd w:val="clear" w:color="auto" w:fill="FCE4D6"/>
                      </w:tcPr>
                      <w:p w14:paraId="2EC4B683" w14:textId="77777777" w:rsidR="00F65BCA" w:rsidRDefault="00216117">
                        <w:pPr>
                          <w:pStyle w:val="TableParagraph"/>
                          <w:spacing w:before="25"/>
                          <w:ind w:left="19"/>
                          <w:jc w:val="center"/>
                          <w:rPr>
                            <w:sz w:val="9"/>
                          </w:rPr>
                        </w:pPr>
                        <w:r>
                          <w:rPr>
                            <w:w w:val="101"/>
                            <w:sz w:val="9"/>
                          </w:rPr>
                          <w:t>-</w:t>
                        </w:r>
                      </w:p>
                    </w:tc>
                    <w:tc>
                      <w:tcPr>
                        <w:tcW w:w="866" w:type="dxa"/>
                        <w:vMerge/>
                        <w:tcBorders>
                          <w:top w:val="nil"/>
                        </w:tcBorders>
                        <w:shd w:val="clear" w:color="auto" w:fill="FCE4D6"/>
                      </w:tcPr>
                      <w:p w14:paraId="4B9A9DD9" w14:textId="77777777" w:rsidR="00F65BCA" w:rsidRDefault="00F65BCA">
                        <w:pPr>
                          <w:rPr>
                            <w:sz w:val="2"/>
                            <w:szCs w:val="2"/>
                          </w:rPr>
                        </w:pPr>
                      </w:p>
                    </w:tc>
                    <w:tc>
                      <w:tcPr>
                        <w:tcW w:w="708" w:type="dxa"/>
                        <w:shd w:val="clear" w:color="auto" w:fill="FCE4D6"/>
                      </w:tcPr>
                      <w:p w14:paraId="05A67B02" w14:textId="77777777" w:rsidR="00F65BCA" w:rsidRDefault="00216117">
                        <w:pPr>
                          <w:pStyle w:val="TableParagraph"/>
                          <w:spacing w:before="25"/>
                          <w:ind w:left="36" w:right="17"/>
                          <w:jc w:val="center"/>
                          <w:rPr>
                            <w:sz w:val="9"/>
                          </w:rPr>
                        </w:pPr>
                        <w:r>
                          <w:rPr>
                            <w:sz w:val="9"/>
                          </w:rPr>
                          <w:t>&gt;12000 kg</w:t>
                        </w:r>
                      </w:p>
                    </w:tc>
                    <w:tc>
                      <w:tcPr>
                        <w:tcW w:w="991" w:type="dxa"/>
                      </w:tcPr>
                      <w:p w14:paraId="5EC9A1CA" w14:textId="77777777" w:rsidR="00F65BCA" w:rsidRDefault="00216117">
                        <w:pPr>
                          <w:pStyle w:val="TableParagraph"/>
                          <w:spacing w:before="25"/>
                          <w:ind w:left="58" w:right="38"/>
                          <w:jc w:val="center"/>
                          <w:rPr>
                            <w:sz w:val="9"/>
                          </w:rPr>
                        </w:pPr>
                        <w:r>
                          <w:rPr>
                            <w:sz w:val="9"/>
                          </w:rPr>
                          <w:t>18 036,61675</w:t>
                        </w:r>
                      </w:p>
                    </w:tc>
                  </w:tr>
                  <w:tr w:rsidR="00F65BCA" w14:paraId="73A1AC20" w14:textId="77777777">
                    <w:trPr>
                      <w:trHeight w:val="153"/>
                    </w:trPr>
                    <w:tc>
                      <w:tcPr>
                        <w:tcW w:w="998" w:type="dxa"/>
                        <w:vMerge/>
                        <w:tcBorders>
                          <w:top w:val="nil"/>
                        </w:tcBorders>
                        <w:shd w:val="clear" w:color="auto" w:fill="FCE4D6"/>
                      </w:tcPr>
                      <w:p w14:paraId="49187646" w14:textId="77777777" w:rsidR="00F65BCA" w:rsidRDefault="00F65BCA">
                        <w:pPr>
                          <w:rPr>
                            <w:sz w:val="2"/>
                            <w:szCs w:val="2"/>
                          </w:rPr>
                        </w:pPr>
                      </w:p>
                    </w:tc>
                    <w:tc>
                      <w:tcPr>
                        <w:tcW w:w="866" w:type="dxa"/>
                        <w:shd w:val="clear" w:color="auto" w:fill="FCE4D6"/>
                      </w:tcPr>
                      <w:p w14:paraId="4A7E3378" w14:textId="77777777" w:rsidR="00F65BCA" w:rsidRDefault="00216117">
                        <w:pPr>
                          <w:pStyle w:val="TableParagraph"/>
                          <w:spacing w:before="23"/>
                          <w:ind w:left="19"/>
                          <w:jc w:val="center"/>
                          <w:rPr>
                            <w:sz w:val="9"/>
                          </w:rPr>
                        </w:pPr>
                        <w:r>
                          <w:rPr>
                            <w:w w:val="101"/>
                            <w:sz w:val="9"/>
                          </w:rPr>
                          <w:t>-</w:t>
                        </w:r>
                      </w:p>
                    </w:tc>
                    <w:tc>
                      <w:tcPr>
                        <w:tcW w:w="866" w:type="dxa"/>
                        <w:vMerge w:val="restart"/>
                        <w:shd w:val="clear" w:color="auto" w:fill="FCE4D6"/>
                      </w:tcPr>
                      <w:p w14:paraId="66896CD7" w14:textId="77777777" w:rsidR="00F65BCA" w:rsidRDefault="00F65BCA">
                        <w:pPr>
                          <w:pStyle w:val="TableParagraph"/>
                          <w:spacing w:before="2"/>
                          <w:rPr>
                            <w:rFonts w:ascii="Calibri"/>
                            <w:sz w:val="8"/>
                          </w:rPr>
                        </w:pPr>
                      </w:p>
                      <w:p w14:paraId="412163AD" w14:textId="77777777" w:rsidR="00F65BCA" w:rsidRDefault="00216117">
                        <w:pPr>
                          <w:pStyle w:val="TableParagraph"/>
                          <w:ind w:left="255"/>
                          <w:rPr>
                            <w:sz w:val="9"/>
                          </w:rPr>
                        </w:pPr>
                        <w:r>
                          <w:rPr>
                            <w:sz w:val="9"/>
                          </w:rPr>
                          <w:t>&gt;200 kW</w:t>
                        </w:r>
                      </w:p>
                    </w:tc>
                    <w:tc>
                      <w:tcPr>
                        <w:tcW w:w="708" w:type="dxa"/>
                        <w:shd w:val="clear" w:color="auto" w:fill="FCE4D6"/>
                      </w:tcPr>
                      <w:p w14:paraId="38F9A915" w14:textId="77777777" w:rsidR="00F65BCA" w:rsidRDefault="00216117">
                        <w:pPr>
                          <w:pStyle w:val="TableParagraph"/>
                          <w:spacing w:before="23"/>
                          <w:ind w:left="39" w:right="17"/>
                          <w:jc w:val="center"/>
                          <w:rPr>
                            <w:sz w:val="9"/>
                          </w:rPr>
                        </w:pPr>
                        <w:r>
                          <w:rPr>
                            <w:sz w:val="9"/>
                          </w:rPr>
                          <w:t>3501-12000 kg</w:t>
                        </w:r>
                      </w:p>
                    </w:tc>
                    <w:tc>
                      <w:tcPr>
                        <w:tcW w:w="991" w:type="dxa"/>
                      </w:tcPr>
                      <w:p w14:paraId="5CD85E2C" w14:textId="77777777" w:rsidR="00F65BCA" w:rsidRDefault="00216117">
                        <w:pPr>
                          <w:pStyle w:val="TableParagraph"/>
                          <w:spacing w:before="23"/>
                          <w:ind w:left="58" w:right="38"/>
                          <w:jc w:val="center"/>
                          <w:rPr>
                            <w:sz w:val="9"/>
                          </w:rPr>
                        </w:pPr>
                        <w:r>
                          <w:rPr>
                            <w:sz w:val="9"/>
                          </w:rPr>
                          <w:t>21 219,54912</w:t>
                        </w:r>
                      </w:p>
                    </w:tc>
                  </w:tr>
                  <w:tr w:rsidR="00F65BCA" w14:paraId="182D8D15" w14:textId="77777777">
                    <w:trPr>
                      <w:trHeight w:val="153"/>
                    </w:trPr>
                    <w:tc>
                      <w:tcPr>
                        <w:tcW w:w="998" w:type="dxa"/>
                        <w:vMerge/>
                        <w:tcBorders>
                          <w:top w:val="nil"/>
                        </w:tcBorders>
                        <w:shd w:val="clear" w:color="auto" w:fill="FCE4D6"/>
                      </w:tcPr>
                      <w:p w14:paraId="1C554848" w14:textId="77777777" w:rsidR="00F65BCA" w:rsidRDefault="00F65BCA">
                        <w:pPr>
                          <w:rPr>
                            <w:sz w:val="2"/>
                            <w:szCs w:val="2"/>
                          </w:rPr>
                        </w:pPr>
                      </w:p>
                    </w:tc>
                    <w:tc>
                      <w:tcPr>
                        <w:tcW w:w="866" w:type="dxa"/>
                        <w:shd w:val="clear" w:color="auto" w:fill="FCE4D6"/>
                      </w:tcPr>
                      <w:p w14:paraId="0EC2A0FD" w14:textId="77777777" w:rsidR="00F65BCA" w:rsidRDefault="00216117">
                        <w:pPr>
                          <w:pStyle w:val="TableParagraph"/>
                          <w:spacing w:before="23"/>
                          <w:ind w:left="19"/>
                          <w:jc w:val="center"/>
                          <w:rPr>
                            <w:sz w:val="9"/>
                          </w:rPr>
                        </w:pPr>
                        <w:r>
                          <w:rPr>
                            <w:w w:val="101"/>
                            <w:sz w:val="9"/>
                          </w:rPr>
                          <w:t>-</w:t>
                        </w:r>
                      </w:p>
                    </w:tc>
                    <w:tc>
                      <w:tcPr>
                        <w:tcW w:w="866" w:type="dxa"/>
                        <w:vMerge/>
                        <w:tcBorders>
                          <w:top w:val="nil"/>
                        </w:tcBorders>
                        <w:shd w:val="clear" w:color="auto" w:fill="FCE4D6"/>
                      </w:tcPr>
                      <w:p w14:paraId="5BA6D18A" w14:textId="77777777" w:rsidR="00F65BCA" w:rsidRDefault="00F65BCA">
                        <w:pPr>
                          <w:rPr>
                            <w:sz w:val="2"/>
                            <w:szCs w:val="2"/>
                          </w:rPr>
                        </w:pPr>
                      </w:p>
                    </w:tc>
                    <w:tc>
                      <w:tcPr>
                        <w:tcW w:w="708" w:type="dxa"/>
                        <w:shd w:val="clear" w:color="auto" w:fill="FCE4D6"/>
                      </w:tcPr>
                      <w:p w14:paraId="29C18DDA" w14:textId="77777777" w:rsidR="00F65BCA" w:rsidRDefault="00216117">
                        <w:pPr>
                          <w:pStyle w:val="TableParagraph"/>
                          <w:spacing w:before="23"/>
                          <w:ind w:left="36" w:right="17"/>
                          <w:jc w:val="center"/>
                          <w:rPr>
                            <w:sz w:val="9"/>
                          </w:rPr>
                        </w:pPr>
                        <w:r>
                          <w:rPr>
                            <w:sz w:val="9"/>
                          </w:rPr>
                          <w:t>&gt;12000 kg</w:t>
                        </w:r>
                      </w:p>
                    </w:tc>
                    <w:tc>
                      <w:tcPr>
                        <w:tcW w:w="991" w:type="dxa"/>
                      </w:tcPr>
                      <w:p w14:paraId="016B9B32" w14:textId="77777777" w:rsidR="00F65BCA" w:rsidRDefault="00216117">
                        <w:pPr>
                          <w:pStyle w:val="TableParagraph"/>
                          <w:spacing w:before="23"/>
                          <w:ind w:left="58" w:right="38"/>
                          <w:jc w:val="center"/>
                          <w:rPr>
                            <w:sz w:val="9"/>
                          </w:rPr>
                        </w:pPr>
                        <w:r>
                          <w:rPr>
                            <w:sz w:val="9"/>
                          </w:rPr>
                          <w:t>21 643,94010</w:t>
                        </w:r>
                      </w:p>
                    </w:tc>
                  </w:tr>
                  <w:tr w:rsidR="00F65BCA" w14:paraId="4EE504FA" w14:textId="77777777">
                    <w:trPr>
                      <w:trHeight w:val="153"/>
                    </w:trPr>
                    <w:tc>
                      <w:tcPr>
                        <w:tcW w:w="998" w:type="dxa"/>
                        <w:vMerge/>
                        <w:tcBorders>
                          <w:top w:val="nil"/>
                        </w:tcBorders>
                        <w:shd w:val="clear" w:color="auto" w:fill="FCE4D6"/>
                      </w:tcPr>
                      <w:p w14:paraId="268A0FC9" w14:textId="77777777" w:rsidR="00F65BCA" w:rsidRDefault="00F65BCA">
                        <w:pPr>
                          <w:rPr>
                            <w:sz w:val="2"/>
                            <w:szCs w:val="2"/>
                          </w:rPr>
                        </w:pPr>
                      </w:p>
                    </w:tc>
                    <w:tc>
                      <w:tcPr>
                        <w:tcW w:w="866" w:type="dxa"/>
                        <w:shd w:val="clear" w:color="auto" w:fill="FCE4D6"/>
                      </w:tcPr>
                      <w:p w14:paraId="198C56FE" w14:textId="77777777" w:rsidR="00F65BCA" w:rsidRDefault="00216117">
                        <w:pPr>
                          <w:pStyle w:val="TableParagraph"/>
                          <w:spacing w:before="23"/>
                          <w:ind w:left="98" w:right="95"/>
                          <w:jc w:val="center"/>
                          <w:rPr>
                            <w:i/>
                            <w:sz w:val="9"/>
                          </w:rPr>
                        </w:pPr>
                        <w:r>
                          <w:rPr>
                            <w:i/>
                            <w:sz w:val="9"/>
                          </w:rPr>
                          <w:t>&gt;10000 ccm</w:t>
                        </w:r>
                      </w:p>
                    </w:tc>
                    <w:tc>
                      <w:tcPr>
                        <w:tcW w:w="866" w:type="dxa"/>
                        <w:shd w:val="clear" w:color="auto" w:fill="FCE4D6"/>
                      </w:tcPr>
                      <w:p w14:paraId="37F21C9D" w14:textId="77777777" w:rsidR="00F65BCA" w:rsidRDefault="00216117">
                        <w:pPr>
                          <w:pStyle w:val="TableParagraph"/>
                          <w:spacing w:before="23"/>
                          <w:ind w:left="96" w:right="95"/>
                          <w:jc w:val="center"/>
                          <w:rPr>
                            <w:i/>
                            <w:sz w:val="9"/>
                          </w:rPr>
                        </w:pPr>
                        <w:r>
                          <w:rPr>
                            <w:i/>
                            <w:sz w:val="9"/>
                          </w:rPr>
                          <w:t>&gt;250 kW</w:t>
                        </w:r>
                      </w:p>
                    </w:tc>
                    <w:tc>
                      <w:tcPr>
                        <w:tcW w:w="708" w:type="dxa"/>
                        <w:shd w:val="clear" w:color="auto" w:fill="FCE4D6"/>
                      </w:tcPr>
                      <w:p w14:paraId="5E40760F" w14:textId="77777777" w:rsidR="00F65BCA" w:rsidRDefault="00216117">
                        <w:pPr>
                          <w:pStyle w:val="TableParagraph"/>
                          <w:spacing w:before="23"/>
                          <w:ind w:left="22" w:right="17"/>
                          <w:jc w:val="center"/>
                          <w:rPr>
                            <w:i/>
                            <w:sz w:val="9"/>
                          </w:rPr>
                        </w:pPr>
                        <w:r>
                          <w:rPr>
                            <w:i/>
                            <w:sz w:val="9"/>
                          </w:rPr>
                          <w:t>&gt;12000 kg</w:t>
                        </w:r>
                      </w:p>
                    </w:tc>
                    <w:tc>
                      <w:tcPr>
                        <w:tcW w:w="991" w:type="dxa"/>
                      </w:tcPr>
                      <w:p w14:paraId="69FDF676" w14:textId="77777777" w:rsidR="00F65BCA" w:rsidRDefault="00216117">
                        <w:pPr>
                          <w:pStyle w:val="TableParagraph"/>
                          <w:spacing w:before="23"/>
                          <w:ind w:left="58" w:right="39"/>
                          <w:jc w:val="center"/>
                          <w:rPr>
                            <w:sz w:val="9"/>
                          </w:rPr>
                        </w:pPr>
                        <w:r>
                          <w:rPr>
                            <w:sz w:val="9"/>
                          </w:rPr>
                          <w:t>30 696,00000</w:t>
                        </w:r>
                      </w:p>
                    </w:tc>
                  </w:tr>
                  <w:tr w:rsidR="00F65BCA" w14:paraId="4225DA30" w14:textId="77777777">
                    <w:trPr>
                      <w:trHeight w:val="153"/>
                    </w:trPr>
                    <w:tc>
                      <w:tcPr>
                        <w:tcW w:w="998" w:type="dxa"/>
                        <w:vMerge w:val="restart"/>
                        <w:shd w:val="clear" w:color="auto" w:fill="FCE4D6"/>
                      </w:tcPr>
                      <w:p w14:paraId="42FCCB2E" w14:textId="77777777" w:rsidR="00F65BCA" w:rsidRDefault="00F65BCA">
                        <w:pPr>
                          <w:pStyle w:val="TableParagraph"/>
                          <w:spacing w:before="10"/>
                          <w:rPr>
                            <w:rFonts w:ascii="Calibri"/>
                            <w:sz w:val="14"/>
                          </w:rPr>
                        </w:pPr>
                      </w:p>
                      <w:p w14:paraId="770B6DD0" w14:textId="77777777" w:rsidR="00F65BCA" w:rsidRDefault="00216117">
                        <w:pPr>
                          <w:pStyle w:val="TableParagraph"/>
                          <w:spacing w:before="1"/>
                          <w:ind w:left="105"/>
                          <w:rPr>
                            <w:sz w:val="9"/>
                          </w:rPr>
                        </w:pPr>
                        <w:r>
                          <w:rPr>
                            <w:sz w:val="9"/>
                          </w:rPr>
                          <w:t>speciální automobil</w:t>
                        </w:r>
                      </w:p>
                    </w:tc>
                    <w:tc>
                      <w:tcPr>
                        <w:tcW w:w="866" w:type="dxa"/>
                        <w:shd w:val="clear" w:color="auto" w:fill="FCE4D6"/>
                      </w:tcPr>
                      <w:p w14:paraId="0C80B70E" w14:textId="77777777" w:rsidR="00F65BCA" w:rsidRDefault="00216117">
                        <w:pPr>
                          <w:pStyle w:val="TableParagraph"/>
                          <w:spacing w:before="23"/>
                          <w:ind w:left="19"/>
                          <w:jc w:val="center"/>
                          <w:rPr>
                            <w:sz w:val="9"/>
                          </w:rPr>
                        </w:pPr>
                        <w:r>
                          <w:rPr>
                            <w:w w:val="101"/>
                            <w:sz w:val="9"/>
                          </w:rPr>
                          <w:t>-</w:t>
                        </w:r>
                      </w:p>
                    </w:tc>
                    <w:tc>
                      <w:tcPr>
                        <w:tcW w:w="866" w:type="dxa"/>
                        <w:shd w:val="clear" w:color="auto" w:fill="FCE4D6"/>
                      </w:tcPr>
                      <w:p w14:paraId="40FB5C8B" w14:textId="77777777" w:rsidR="00F65BCA" w:rsidRDefault="00216117">
                        <w:pPr>
                          <w:pStyle w:val="TableParagraph"/>
                          <w:spacing w:before="23"/>
                          <w:ind w:left="20"/>
                          <w:jc w:val="center"/>
                          <w:rPr>
                            <w:sz w:val="9"/>
                          </w:rPr>
                        </w:pPr>
                        <w:r>
                          <w:rPr>
                            <w:w w:val="101"/>
                            <w:sz w:val="9"/>
                          </w:rPr>
                          <w:t>-</w:t>
                        </w:r>
                      </w:p>
                    </w:tc>
                    <w:tc>
                      <w:tcPr>
                        <w:tcW w:w="708" w:type="dxa"/>
                        <w:shd w:val="clear" w:color="auto" w:fill="FCE4D6"/>
                      </w:tcPr>
                      <w:p w14:paraId="061A0CC7" w14:textId="77777777" w:rsidR="00F65BCA" w:rsidRDefault="00216117">
                        <w:pPr>
                          <w:pStyle w:val="TableParagraph"/>
                          <w:spacing w:before="23"/>
                          <w:ind w:left="39" w:right="17"/>
                          <w:jc w:val="center"/>
                          <w:rPr>
                            <w:sz w:val="9"/>
                          </w:rPr>
                        </w:pPr>
                        <w:r>
                          <w:rPr>
                            <w:sz w:val="9"/>
                          </w:rPr>
                          <w:t>3501-12000 kg</w:t>
                        </w:r>
                      </w:p>
                    </w:tc>
                    <w:tc>
                      <w:tcPr>
                        <w:tcW w:w="991" w:type="dxa"/>
                      </w:tcPr>
                      <w:p w14:paraId="3068DE53" w14:textId="77777777" w:rsidR="00F65BCA" w:rsidRDefault="00216117">
                        <w:pPr>
                          <w:pStyle w:val="TableParagraph"/>
                          <w:spacing w:before="23"/>
                          <w:ind w:left="58" w:right="38"/>
                          <w:jc w:val="center"/>
                          <w:rPr>
                            <w:sz w:val="9"/>
                          </w:rPr>
                        </w:pPr>
                        <w:r>
                          <w:rPr>
                            <w:sz w:val="9"/>
                          </w:rPr>
                          <w:t>21 643,01920</w:t>
                        </w:r>
                      </w:p>
                    </w:tc>
                  </w:tr>
                  <w:tr w:rsidR="00F65BCA" w14:paraId="112BD4FF" w14:textId="77777777">
                    <w:trPr>
                      <w:trHeight w:val="153"/>
                    </w:trPr>
                    <w:tc>
                      <w:tcPr>
                        <w:tcW w:w="998" w:type="dxa"/>
                        <w:vMerge/>
                        <w:tcBorders>
                          <w:top w:val="nil"/>
                        </w:tcBorders>
                        <w:shd w:val="clear" w:color="auto" w:fill="FCE4D6"/>
                      </w:tcPr>
                      <w:p w14:paraId="41303A94" w14:textId="77777777" w:rsidR="00F65BCA" w:rsidRDefault="00F65BCA">
                        <w:pPr>
                          <w:rPr>
                            <w:sz w:val="2"/>
                            <w:szCs w:val="2"/>
                          </w:rPr>
                        </w:pPr>
                      </w:p>
                    </w:tc>
                    <w:tc>
                      <w:tcPr>
                        <w:tcW w:w="866" w:type="dxa"/>
                        <w:shd w:val="clear" w:color="auto" w:fill="FCE4D6"/>
                      </w:tcPr>
                      <w:p w14:paraId="7244231E" w14:textId="77777777" w:rsidR="00F65BCA" w:rsidRDefault="00216117">
                        <w:pPr>
                          <w:pStyle w:val="TableParagraph"/>
                          <w:spacing w:before="23"/>
                          <w:ind w:left="19"/>
                          <w:jc w:val="center"/>
                          <w:rPr>
                            <w:sz w:val="9"/>
                          </w:rPr>
                        </w:pPr>
                        <w:r>
                          <w:rPr>
                            <w:w w:val="101"/>
                            <w:sz w:val="9"/>
                          </w:rPr>
                          <w:t>-</w:t>
                        </w:r>
                      </w:p>
                    </w:tc>
                    <w:tc>
                      <w:tcPr>
                        <w:tcW w:w="866" w:type="dxa"/>
                        <w:shd w:val="clear" w:color="auto" w:fill="FCE4D6"/>
                      </w:tcPr>
                      <w:p w14:paraId="3B04308F" w14:textId="77777777" w:rsidR="00F65BCA" w:rsidRDefault="00216117">
                        <w:pPr>
                          <w:pStyle w:val="TableParagraph"/>
                          <w:spacing w:before="23"/>
                          <w:ind w:left="20"/>
                          <w:jc w:val="center"/>
                          <w:rPr>
                            <w:sz w:val="9"/>
                          </w:rPr>
                        </w:pPr>
                        <w:r>
                          <w:rPr>
                            <w:w w:val="101"/>
                            <w:sz w:val="9"/>
                          </w:rPr>
                          <w:t>-</w:t>
                        </w:r>
                      </w:p>
                    </w:tc>
                    <w:tc>
                      <w:tcPr>
                        <w:tcW w:w="708" w:type="dxa"/>
                        <w:shd w:val="clear" w:color="auto" w:fill="FCE4D6"/>
                      </w:tcPr>
                      <w:p w14:paraId="2AC79EC4" w14:textId="77777777" w:rsidR="00F65BCA" w:rsidRDefault="00216117">
                        <w:pPr>
                          <w:pStyle w:val="TableParagraph"/>
                          <w:spacing w:before="23"/>
                          <w:ind w:left="36" w:right="17"/>
                          <w:jc w:val="center"/>
                          <w:rPr>
                            <w:sz w:val="9"/>
                          </w:rPr>
                        </w:pPr>
                        <w:r>
                          <w:rPr>
                            <w:sz w:val="9"/>
                          </w:rPr>
                          <w:t>&gt;12000 kg</w:t>
                        </w:r>
                      </w:p>
                    </w:tc>
                    <w:tc>
                      <w:tcPr>
                        <w:tcW w:w="991" w:type="dxa"/>
                      </w:tcPr>
                      <w:p w14:paraId="47227D40" w14:textId="77777777" w:rsidR="00F65BCA" w:rsidRDefault="00216117">
                        <w:pPr>
                          <w:pStyle w:val="TableParagraph"/>
                          <w:spacing w:before="23"/>
                          <w:ind w:left="58" w:right="38"/>
                          <w:jc w:val="center"/>
                          <w:rPr>
                            <w:sz w:val="9"/>
                          </w:rPr>
                        </w:pPr>
                        <w:r>
                          <w:rPr>
                            <w:sz w:val="9"/>
                          </w:rPr>
                          <w:t>21 643,01920</w:t>
                        </w:r>
                      </w:p>
                    </w:tc>
                  </w:tr>
                  <w:tr w:rsidR="00F65BCA" w14:paraId="6ABDFA23" w14:textId="77777777">
                    <w:trPr>
                      <w:trHeight w:val="153"/>
                    </w:trPr>
                    <w:tc>
                      <w:tcPr>
                        <w:tcW w:w="998" w:type="dxa"/>
                        <w:vMerge/>
                        <w:tcBorders>
                          <w:top w:val="nil"/>
                        </w:tcBorders>
                        <w:shd w:val="clear" w:color="auto" w:fill="FCE4D6"/>
                      </w:tcPr>
                      <w:p w14:paraId="5996FED2" w14:textId="77777777" w:rsidR="00F65BCA" w:rsidRDefault="00F65BCA">
                        <w:pPr>
                          <w:rPr>
                            <w:sz w:val="2"/>
                            <w:szCs w:val="2"/>
                          </w:rPr>
                        </w:pPr>
                      </w:p>
                    </w:tc>
                    <w:tc>
                      <w:tcPr>
                        <w:tcW w:w="866" w:type="dxa"/>
                        <w:shd w:val="clear" w:color="auto" w:fill="FCE4D6"/>
                      </w:tcPr>
                      <w:p w14:paraId="10BAA35F" w14:textId="77777777" w:rsidR="00F65BCA" w:rsidRDefault="00216117">
                        <w:pPr>
                          <w:pStyle w:val="TableParagraph"/>
                          <w:spacing w:before="23"/>
                          <w:ind w:left="98" w:right="95"/>
                          <w:jc w:val="center"/>
                          <w:rPr>
                            <w:i/>
                            <w:sz w:val="9"/>
                          </w:rPr>
                        </w:pPr>
                        <w:r>
                          <w:rPr>
                            <w:i/>
                            <w:sz w:val="9"/>
                          </w:rPr>
                          <w:t>&gt;10000 ccm</w:t>
                        </w:r>
                      </w:p>
                    </w:tc>
                    <w:tc>
                      <w:tcPr>
                        <w:tcW w:w="866" w:type="dxa"/>
                        <w:shd w:val="clear" w:color="auto" w:fill="FCE4D6"/>
                      </w:tcPr>
                      <w:p w14:paraId="631A2842" w14:textId="77777777" w:rsidR="00F65BCA" w:rsidRDefault="00216117">
                        <w:pPr>
                          <w:pStyle w:val="TableParagraph"/>
                          <w:spacing w:before="23"/>
                          <w:ind w:left="96" w:right="95"/>
                          <w:jc w:val="center"/>
                          <w:rPr>
                            <w:i/>
                            <w:sz w:val="9"/>
                          </w:rPr>
                        </w:pPr>
                        <w:r>
                          <w:rPr>
                            <w:i/>
                            <w:sz w:val="9"/>
                          </w:rPr>
                          <w:t>&gt;250 kW</w:t>
                        </w:r>
                      </w:p>
                    </w:tc>
                    <w:tc>
                      <w:tcPr>
                        <w:tcW w:w="708" w:type="dxa"/>
                        <w:shd w:val="clear" w:color="auto" w:fill="FCE4D6"/>
                      </w:tcPr>
                      <w:p w14:paraId="7D876761" w14:textId="77777777" w:rsidR="00F65BCA" w:rsidRDefault="00216117">
                        <w:pPr>
                          <w:pStyle w:val="TableParagraph"/>
                          <w:spacing w:before="23"/>
                          <w:ind w:left="22" w:right="17"/>
                          <w:jc w:val="center"/>
                          <w:rPr>
                            <w:i/>
                            <w:sz w:val="9"/>
                          </w:rPr>
                        </w:pPr>
                        <w:r>
                          <w:rPr>
                            <w:i/>
                            <w:sz w:val="9"/>
                          </w:rPr>
                          <w:t>&gt;12000 kg</w:t>
                        </w:r>
                      </w:p>
                    </w:tc>
                    <w:tc>
                      <w:tcPr>
                        <w:tcW w:w="991" w:type="dxa"/>
                      </w:tcPr>
                      <w:p w14:paraId="4E95FAA9" w14:textId="77777777" w:rsidR="00F65BCA" w:rsidRDefault="00216117">
                        <w:pPr>
                          <w:pStyle w:val="TableParagraph"/>
                          <w:spacing w:before="23"/>
                          <w:ind w:left="58" w:right="39"/>
                          <w:jc w:val="center"/>
                          <w:rPr>
                            <w:sz w:val="9"/>
                          </w:rPr>
                        </w:pPr>
                        <w:r>
                          <w:rPr>
                            <w:sz w:val="9"/>
                          </w:rPr>
                          <w:t>30 696,00000</w:t>
                        </w:r>
                      </w:p>
                    </w:tc>
                  </w:tr>
                  <w:tr w:rsidR="00F65BCA" w14:paraId="03D34A08" w14:textId="77777777">
                    <w:trPr>
                      <w:trHeight w:val="371"/>
                    </w:trPr>
                    <w:tc>
                      <w:tcPr>
                        <w:tcW w:w="998" w:type="dxa"/>
                        <w:shd w:val="clear" w:color="auto" w:fill="F8CBAD"/>
                      </w:tcPr>
                      <w:p w14:paraId="1531FB44" w14:textId="77777777" w:rsidR="00F65BCA" w:rsidRDefault="00F65BCA">
                        <w:pPr>
                          <w:pStyle w:val="TableParagraph"/>
                          <w:spacing w:before="11"/>
                          <w:rPr>
                            <w:rFonts w:ascii="Calibri"/>
                            <w:sz w:val="10"/>
                          </w:rPr>
                        </w:pPr>
                      </w:p>
                      <w:p w14:paraId="39811E6B" w14:textId="77777777" w:rsidR="00F65BCA" w:rsidRDefault="00216117">
                        <w:pPr>
                          <w:pStyle w:val="TableParagraph"/>
                          <w:ind w:left="10"/>
                          <w:jc w:val="center"/>
                          <w:rPr>
                            <w:b/>
                            <w:sz w:val="9"/>
                          </w:rPr>
                        </w:pPr>
                        <w:r>
                          <w:rPr>
                            <w:b/>
                            <w:sz w:val="9"/>
                          </w:rPr>
                          <w:t>Tahače</w:t>
                        </w:r>
                      </w:p>
                    </w:tc>
                    <w:tc>
                      <w:tcPr>
                        <w:tcW w:w="866" w:type="dxa"/>
                        <w:shd w:val="clear" w:color="auto" w:fill="F8CBAD"/>
                      </w:tcPr>
                      <w:p w14:paraId="2978C9FC" w14:textId="77777777" w:rsidR="00F65BCA" w:rsidRDefault="00F65BCA">
                        <w:pPr>
                          <w:pStyle w:val="TableParagraph"/>
                          <w:spacing w:before="11"/>
                          <w:rPr>
                            <w:rFonts w:ascii="Calibri"/>
                            <w:sz w:val="10"/>
                          </w:rPr>
                        </w:pPr>
                      </w:p>
                      <w:p w14:paraId="19E99D98" w14:textId="77777777" w:rsidR="00F65BCA" w:rsidRDefault="00216117">
                        <w:pPr>
                          <w:pStyle w:val="TableParagraph"/>
                          <w:ind w:left="106" w:right="95"/>
                          <w:jc w:val="center"/>
                          <w:rPr>
                            <w:b/>
                            <w:sz w:val="9"/>
                          </w:rPr>
                        </w:pPr>
                        <w:r>
                          <w:rPr>
                            <w:b/>
                            <w:sz w:val="9"/>
                          </w:rPr>
                          <w:t>Objem motoru</w:t>
                        </w:r>
                      </w:p>
                    </w:tc>
                    <w:tc>
                      <w:tcPr>
                        <w:tcW w:w="866" w:type="dxa"/>
                        <w:shd w:val="clear" w:color="auto" w:fill="F8CBAD"/>
                      </w:tcPr>
                      <w:p w14:paraId="324F89EA" w14:textId="77777777" w:rsidR="00F65BCA" w:rsidRDefault="00F65BCA">
                        <w:pPr>
                          <w:pStyle w:val="TableParagraph"/>
                          <w:spacing w:before="11"/>
                          <w:rPr>
                            <w:rFonts w:ascii="Calibri"/>
                            <w:sz w:val="10"/>
                          </w:rPr>
                        </w:pPr>
                      </w:p>
                      <w:p w14:paraId="306AAA9A" w14:textId="77777777" w:rsidR="00F65BCA" w:rsidRDefault="00216117">
                        <w:pPr>
                          <w:pStyle w:val="TableParagraph"/>
                          <w:ind w:left="106" w:right="92"/>
                          <w:jc w:val="center"/>
                          <w:rPr>
                            <w:b/>
                            <w:sz w:val="9"/>
                          </w:rPr>
                        </w:pPr>
                        <w:r>
                          <w:rPr>
                            <w:b/>
                            <w:sz w:val="9"/>
                          </w:rPr>
                          <w:t>Výkon motoru</w:t>
                        </w:r>
                      </w:p>
                    </w:tc>
                    <w:tc>
                      <w:tcPr>
                        <w:tcW w:w="708" w:type="dxa"/>
                        <w:shd w:val="clear" w:color="auto" w:fill="F8CBAD"/>
                      </w:tcPr>
                      <w:p w14:paraId="071FB28F" w14:textId="77777777" w:rsidR="00F65BCA" w:rsidRDefault="00216117">
                        <w:pPr>
                          <w:pStyle w:val="TableParagraph"/>
                          <w:spacing w:before="73" w:line="278" w:lineRule="auto"/>
                          <w:ind w:left="147" w:right="121" w:firstLine="36"/>
                          <w:rPr>
                            <w:b/>
                            <w:sz w:val="9"/>
                          </w:rPr>
                        </w:pPr>
                        <w:r>
                          <w:rPr>
                            <w:b/>
                            <w:sz w:val="9"/>
                          </w:rPr>
                          <w:t>Celková hmotnost</w:t>
                        </w:r>
                      </w:p>
                    </w:tc>
                    <w:tc>
                      <w:tcPr>
                        <w:tcW w:w="991" w:type="dxa"/>
                        <w:shd w:val="clear" w:color="auto" w:fill="F8CBAD"/>
                      </w:tcPr>
                      <w:p w14:paraId="6611DEE8" w14:textId="77777777" w:rsidR="00F65BCA" w:rsidRDefault="00F65BCA">
                        <w:pPr>
                          <w:pStyle w:val="TableParagraph"/>
                          <w:spacing w:before="11"/>
                          <w:rPr>
                            <w:rFonts w:ascii="Calibri"/>
                            <w:sz w:val="10"/>
                          </w:rPr>
                        </w:pPr>
                      </w:p>
                      <w:p w14:paraId="56A144A5" w14:textId="77777777" w:rsidR="00F65BCA" w:rsidRDefault="00216117">
                        <w:pPr>
                          <w:pStyle w:val="TableParagraph"/>
                          <w:ind w:left="58" w:right="46"/>
                          <w:jc w:val="center"/>
                          <w:rPr>
                            <w:b/>
                            <w:sz w:val="9"/>
                          </w:rPr>
                        </w:pPr>
                        <w:r>
                          <w:rPr>
                            <w:b/>
                            <w:sz w:val="9"/>
                          </w:rPr>
                          <w:t>Roční pojistné v Kč</w:t>
                        </w:r>
                      </w:p>
                    </w:tc>
                  </w:tr>
                  <w:tr w:rsidR="00F65BCA" w14:paraId="15420C82" w14:textId="77777777">
                    <w:trPr>
                      <w:trHeight w:val="153"/>
                    </w:trPr>
                    <w:tc>
                      <w:tcPr>
                        <w:tcW w:w="998" w:type="dxa"/>
                        <w:vMerge w:val="restart"/>
                        <w:shd w:val="clear" w:color="auto" w:fill="FCE4D6"/>
                      </w:tcPr>
                      <w:p w14:paraId="5BCBD172" w14:textId="77777777" w:rsidR="00F65BCA" w:rsidRDefault="00F65BCA">
                        <w:pPr>
                          <w:pStyle w:val="TableParagraph"/>
                          <w:spacing w:before="10"/>
                          <w:rPr>
                            <w:rFonts w:ascii="Calibri"/>
                            <w:sz w:val="14"/>
                          </w:rPr>
                        </w:pPr>
                      </w:p>
                      <w:p w14:paraId="352EF9A0" w14:textId="77777777" w:rsidR="00F65BCA" w:rsidRDefault="00216117">
                        <w:pPr>
                          <w:pStyle w:val="TableParagraph"/>
                          <w:spacing w:before="1"/>
                          <w:ind w:left="230"/>
                          <w:rPr>
                            <w:sz w:val="9"/>
                          </w:rPr>
                        </w:pPr>
                        <w:r>
                          <w:rPr>
                            <w:sz w:val="9"/>
                          </w:rPr>
                          <w:t>tahač návěsů</w:t>
                        </w:r>
                      </w:p>
                    </w:tc>
                    <w:tc>
                      <w:tcPr>
                        <w:tcW w:w="866" w:type="dxa"/>
                        <w:shd w:val="clear" w:color="auto" w:fill="FCE4D6"/>
                      </w:tcPr>
                      <w:p w14:paraId="662B4896" w14:textId="77777777" w:rsidR="00F65BCA" w:rsidRDefault="00216117">
                        <w:pPr>
                          <w:pStyle w:val="TableParagraph"/>
                          <w:spacing w:before="23"/>
                          <w:ind w:left="19"/>
                          <w:jc w:val="center"/>
                          <w:rPr>
                            <w:sz w:val="9"/>
                          </w:rPr>
                        </w:pPr>
                        <w:r>
                          <w:rPr>
                            <w:w w:val="101"/>
                            <w:sz w:val="9"/>
                          </w:rPr>
                          <w:t>-</w:t>
                        </w:r>
                      </w:p>
                    </w:tc>
                    <w:tc>
                      <w:tcPr>
                        <w:tcW w:w="866" w:type="dxa"/>
                        <w:shd w:val="clear" w:color="auto" w:fill="FCE4D6"/>
                      </w:tcPr>
                      <w:p w14:paraId="258C9E0D" w14:textId="77777777" w:rsidR="00F65BCA" w:rsidRDefault="00216117">
                        <w:pPr>
                          <w:pStyle w:val="TableParagraph"/>
                          <w:spacing w:before="23"/>
                          <w:ind w:left="20"/>
                          <w:jc w:val="center"/>
                          <w:rPr>
                            <w:sz w:val="9"/>
                          </w:rPr>
                        </w:pPr>
                        <w:r>
                          <w:rPr>
                            <w:w w:val="101"/>
                            <w:sz w:val="9"/>
                          </w:rPr>
                          <w:t>-</w:t>
                        </w:r>
                      </w:p>
                    </w:tc>
                    <w:tc>
                      <w:tcPr>
                        <w:tcW w:w="708" w:type="dxa"/>
                        <w:shd w:val="clear" w:color="auto" w:fill="FCE4D6"/>
                      </w:tcPr>
                      <w:p w14:paraId="1E98205B" w14:textId="77777777" w:rsidR="00F65BCA" w:rsidRDefault="00216117">
                        <w:pPr>
                          <w:pStyle w:val="TableParagraph"/>
                          <w:spacing w:before="23"/>
                          <w:ind w:left="39" w:right="17"/>
                          <w:jc w:val="center"/>
                          <w:rPr>
                            <w:sz w:val="9"/>
                          </w:rPr>
                        </w:pPr>
                        <w:r>
                          <w:rPr>
                            <w:sz w:val="9"/>
                          </w:rPr>
                          <w:t>0-3500 kg</w:t>
                        </w:r>
                      </w:p>
                    </w:tc>
                    <w:tc>
                      <w:tcPr>
                        <w:tcW w:w="991" w:type="dxa"/>
                      </w:tcPr>
                      <w:p w14:paraId="4D1E0F69" w14:textId="77777777" w:rsidR="00F65BCA" w:rsidRDefault="00216117">
                        <w:pPr>
                          <w:pStyle w:val="TableParagraph"/>
                          <w:spacing w:before="23"/>
                          <w:ind w:left="58" w:right="36"/>
                          <w:jc w:val="center"/>
                          <w:rPr>
                            <w:sz w:val="9"/>
                          </w:rPr>
                        </w:pPr>
                        <w:r>
                          <w:rPr>
                            <w:sz w:val="9"/>
                          </w:rPr>
                          <w:t>62 004,00</w:t>
                        </w:r>
                      </w:p>
                    </w:tc>
                  </w:tr>
                  <w:tr w:rsidR="00F65BCA" w14:paraId="7A4DF01D" w14:textId="77777777">
                    <w:trPr>
                      <w:trHeight w:val="153"/>
                    </w:trPr>
                    <w:tc>
                      <w:tcPr>
                        <w:tcW w:w="998" w:type="dxa"/>
                        <w:vMerge/>
                        <w:tcBorders>
                          <w:top w:val="nil"/>
                        </w:tcBorders>
                        <w:shd w:val="clear" w:color="auto" w:fill="FCE4D6"/>
                      </w:tcPr>
                      <w:p w14:paraId="21E69724" w14:textId="77777777" w:rsidR="00F65BCA" w:rsidRDefault="00F65BCA">
                        <w:pPr>
                          <w:rPr>
                            <w:sz w:val="2"/>
                            <w:szCs w:val="2"/>
                          </w:rPr>
                        </w:pPr>
                      </w:p>
                    </w:tc>
                    <w:tc>
                      <w:tcPr>
                        <w:tcW w:w="866" w:type="dxa"/>
                        <w:shd w:val="clear" w:color="auto" w:fill="FCE4D6"/>
                      </w:tcPr>
                      <w:p w14:paraId="26411799" w14:textId="77777777" w:rsidR="00F65BCA" w:rsidRDefault="00216117">
                        <w:pPr>
                          <w:pStyle w:val="TableParagraph"/>
                          <w:spacing w:before="23"/>
                          <w:ind w:left="19"/>
                          <w:jc w:val="center"/>
                          <w:rPr>
                            <w:sz w:val="9"/>
                          </w:rPr>
                        </w:pPr>
                        <w:r>
                          <w:rPr>
                            <w:w w:val="101"/>
                            <w:sz w:val="9"/>
                          </w:rPr>
                          <w:t>-</w:t>
                        </w:r>
                      </w:p>
                    </w:tc>
                    <w:tc>
                      <w:tcPr>
                        <w:tcW w:w="866" w:type="dxa"/>
                        <w:shd w:val="clear" w:color="auto" w:fill="FCE4D6"/>
                      </w:tcPr>
                      <w:p w14:paraId="2A33020E" w14:textId="77777777" w:rsidR="00F65BCA" w:rsidRDefault="00216117">
                        <w:pPr>
                          <w:pStyle w:val="TableParagraph"/>
                          <w:spacing w:before="23"/>
                          <w:ind w:left="20"/>
                          <w:jc w:val="center"/>
                          <w:rPr>
                            <w:sz w:val="9"/>
                          </w:rPr>
                        </w:pPr>
                        <w:r>
                          <w:rPr>
                            <w:w w:val="101"/>
                            <w:sz w:val="9"/>
                          </w:rPr>
                          <w:t>-</w:t>
                        </w:r>
                      </w:p>
                    </w:tc>
                    <w:tc>
                      <w:tcPr>
                        <w:tcW w:w="708" w:type="dxa"/>
                        <w:shd w:val="clear" w:color="auto" w:fill="FCE4D6"/>
                      </w:tcPr>
                      <w:p w14:paraId="01E292C7" w14:textId="77777777" w:rsidR="00F65BCA" w:rsidRDefault="00216117">
                        <w:pPr>
                          <w:pStyle w:val="TableParagraph"/>
                          <w:spacing w:before="23"/>
                          <w:ind w:left="39" w:right="17"/>
                          <w:jc w:val="center"/>
                          <w:rPr>
                            <w:sz w:val="9"/>
                          </w:rPr>
                        </w:pPr>
                        <w:r>
                          <w:rPr>
                            <w:sz w:val="9"/>
                          </w:rPr>
                          <w:t>3501-12000 kg</w:t>
                        </w:r>
                      </w:p>
                    </w:tc>
                    <w:tc>
                      <w:tcPr>
                        <w:tcW w:w="991" w:type="dxa"/>
                      </w:tcPr>
                      <w:p w14:paraId="6C259EE7" w14:textId="77777777" w:rsidR="00F65BCA" w:rsidRDefault="00216117">
                        <w:pPr>
                          <w:pStyle w:val="TableParagraph"/>
                          <w:spacing w:before="23"/>
                          <w:ind w:left="58" w:right="36"/>
                          <w:jc w:val="center"/>
                          <w:rPr>
                            <w:sz w:val="9"/>
                          </w:rPr>
                        </w:pPr>
                        <w:r>
                          <w:rPr>
                            <w:sz w:val="9"/>
                          </w:rPr>
                          <w:t>62 004,00</w:t>
                        </w:r>
                      </w:p>
                    </w:tc>
                  </w:tr>
                  <w:tr w:rsidR="00F65BCA" w14:paraId="1BEA8C97" w14:textId="77777777">
                    <w:trPr>
                      <w:trHeight w:val="153"/>
                    </w:trPr>
                    <w:tc>
                      <w:tcPr>
                        <w:tcW w:w="998" w:type="dxa"/>
                        <w:vMerge/>
                        <w:tcBorders>
                          <w:top w:val="nil"/>
                        </w:tcBorders>
                        <w:shd w:val="clear" w:color="auto" w:fill="FCE4D6"/>
                      </w:tcPr>
                      <w:p w14:paraId="1B01848B" w14:textId="77777777" w:rsidR="00F65BCA" w:rsidRDefault="00F65BCA">
                        <w:pPr>
                          <w:rPr>
                            <w:sz w:val="2"/>
                            <w:szCs w:val="2"/>
                          </w:rPr>
                        </w:pPr>
                      </w:p>
                    </w:tc>
                    <w:tc>
                      <w:tcPr>
                        <w:tcW w:w="866" w:type="dxa"/>
                        <w:shd w:val="clear" w:color="auto" w:fill="FCE4D6"/>
                      </w:tcPr>
                      <w:p w14:paraId="244693A7" w14:textId="77777777" w:rsidR="00F65BCA" w:rsidRDefault="00216117">
                        <w:pPr>
                          <w:pStyle w:val="TableParagraph"/>
                          <w:spacing w:before="23"/>
                          <w:ind w:left="19"/>
                          <w:jc w:val="center"/>
                          <w:rPr>
                            <w:sz w:val="9"/>
                          </w:rPr>
                        </w:pPr>
                        <w:r>
                          <w:rPr>
                            <w:w w:val="101"/>
                            <w:sz w:val="9"/>
                          </w:rPr>
                          <w:t>-</w:t>
                        </w:r>
                      </w:p>
                    </w:tc>
                    <w:tc>
                      <w:tcPr>
                        <w:tcW w:w="866" w:type="dxa"/>
                        <w:shd w:val="clear" w:color="auto" w:fill="FCE4D6"/>
                      </w:tcPr>
                      <w:p w14:paraId="429B2843" w14:textId="77777777" w:rsidR="00F65BCA" w:rsidRDefault="00216117">
                        <w:pPr>
                          <w:pStyle w:val="TableParagraph"/>
                          <w:spacing w:before="23"/>
                          <w:ind w:left="20"/>
                          <w:jc w:val="center"/>
                          <w:rPr>
                            <w:sz w:val="9"/>
                          </w:rPr>
                        </w:pPr>
                        <w:r>
                          <w:rPr>
                            <w:w w:val="101"/>
                            <w:sz w:val="9"/>
                          </w:rPr>
                          <w:t>-</w:t>
                        </w:r>
                      </w:p>
                    </w:tc>
                    <w:tc>
                      <w:tcPr>
                        <w:tcW w:w="708" w:type="dxa"/>
                        <w:shd w:val="clear" w:color="auto" w:fill="FCE4D6"/>
                      </w:tcPr>
                      <w:p w14:paraId="55646DD4" w14:textId="77777777" w:rsidR="00F65BCA" w:rsidRDefault="00216117">
                        <w:pPr>
                          <w:pStyle w:val="TableParagraph"/>
                          <w:spacing w:before="23"/>
                          <w:ind w:left="36" w:right="17"/>
                          <w:jc w:val="center"/>
                          <w:rPr>
                            <w:sz w:val="9"/>
                          </w:rPr>
                        </w:pPr>
                        <w:r>
                          <w:rPr>
                            <w:sz w:val="9"/>
                          </w:rPr>
                          <w:t>&gt;12000 kg</w:t>
                        </w:r>
                      </w:p>
                    </w:tc>
                    <w:tc>
                      <w:tcPr>
                        <w:tcW w:w="991" w:type="dxa"/>
                      </w:tcPr>
                      <w:p w14:paraId="08D62F8B" w14:textId="77777777" w:rsidR="00F65BCA" w:rsidRDefault="00216117">
                        <w:pPr>
                          <w:pStyle w:val="TableParagraph"/>
                          <w:spacing w:before="23"/>
                          <w:ind w:left="58" w:right="36"/>
                          <w:jc w:val="center"/>
                          <w:rPr>
                            <w:sz w:val="9"/>
                          </w:rPr>
                        </w:pPr>
                        <w:r>
                          <w:rPr>
                            <w:sz w:val="9"/>
                          </w:rPr>
                          <w:t>62 004,00</w:t>
                        </w:r>
                      </w:p>
                    </w:tc>
                  </w:tr>
                  <w:tr w:rsidR="00F65BCA" w14:paraId="1D4C74CA" w14:textId="77777777">
                    <w:trPr>
                      <w:trHeight w:val="371"/>
                    </w:trPr>
                    <w:tc>
                      <w:tcPr>
                        <w:tcW w:w="998" w:type="dxa"/>
                        <w:shd w:val="clear" w:color="auto" w:fill="F8CBAD"/>
                      </w:tcPr>
                      <w:p w14:paraId="10202CF6" w14:textId="77777777" w:rsidR="00F65BCA" w:rsidRDefault="00F65BCA">
                        <w:pPr>
                          <w:pStyle w:val="TableParagraph"/>
                          <w:spacing w:before="11"/>
                          <w:rPr>
                            <w:rFonts w:ascii="Calibri"/>
                            <w:sz w:val="10"/>
                          </w:rPr>
                        </w:pPr>
                      </w:p>
                      <w:p w14:paraId="3D69A45F" w14:textId="77777777" w:rsidR="00F65BCA" w:rsidRDefault="00216117">
                        <w:pPr>
                          <w:pStyle w:val="TableParagraph"/>
                          <w:ind w:left="12"/>
                          <w:jc w:val="center"/>
                          <w:rPr>
                            <w:b/>
                            <w:sz w:val="9"/>
                          </w:rPr>
                        </w:pPr>
                        <w:r>
                          <w:rPr>
                            <w:b/>
                            <w:sz w:val="9"/>
                          </w:rPr>
                          <w:t>Přípojná vozidla</w:t>
                        </w:r>
                      </w:p>
                    </w:tc>
                    <w:tc>
                      <w:tcPr>
                        <w:tcW w:w="866" w:type="dxa"/>
                        <w:shd w:val="clear" w:color="auto" w:fill="F8CBAD"/>
                      </w:tcPr>
                      <w:p w14:paraId="18D3A389" w14:textId="77777777" w:rsidR="00F65BCA" w:rsidRDefault="00F65BCA">
                        <w:pPr>
                          <w:pStyle w:val="TableParagraph"/>
                          <w:spacing w:before="11"/>
                          <w:rPr>
                            <w:rFonts w:ascii="Calibri"/>
                            <w:sz w:val="10"/>
                          </w:rPr>
                        </w:pPr>
                      </w:p>
                      <w:p w14:paraId="0A357C24" w14:textId="77777777" w:rsidR="00F65BCA" w:rsidRDefault="00216117">
                        <w:pPr>
                          <w:pStyle w:val="TableParagraph"/>
                          <w:ind w:left="106" w:right="95"/>
                          <w:jc w:val="center"/>
                          <w:rPr>
                            <w:b/>
                            <w:sz w:val="9"/>
                          </w:rPr>
                        </w:pPr>
                        <w:r>
                          <w:rPr>
                            <w:b/>
                            <w:sz w:val="9"/>
                          </w:rPr>
                          <w:t>Objem motoru</w:t>
                        </w:r>
                      </w:p>
                    </w:tc>
                    <w:tc>
                      <w:tcPr>
                        <w:tcW w:w="866" w:type="dxa"/>
                        <w:shd w:val="clear" w:color="auto" w:fill="F8CBAD"/>
                      </w:tcPr>
                      <w:p w14:paraId="40E81B7D" w14:textId="77777777" w:rsidR="00F65BCA" w:rsidRDefault="00F65BCA">
                        <w:pPr>
                          <w:pStyle w:val="TableParagraph"/>
                          <w:spacing w:before="11"/>
                          <w:rPr>
                            <w:rFonts w:ascii="Calibri"/>
                            <w:sz w:val="10"/>
                          </w:rPr>
                        </w:pPr>
                      </w:p>
                      <w:p w14:paraId="23735CE9" w14:textId="77777777" w:rsidR="00F65BCA" w:rsidRDefault="00216117">
                        <w:pPr>
                          <w:pStyle w:val="TableParagraph"/>
                          <w:ind w:left="106" w:right="92"/>
                          <w:jc w:val="center"/>
                          <w:rPr>
                            <w:b/>
                            <w:sz w:val="9"/>
                          </w:rPr>
                        </w:pPr>
                        <w:r>
                          <w:rPr>
                            <w:b/>
                            <w:sz w:val="9"/>
                          </w:rPr>
                          <w:t>Výkon motoru</w:t>
                        </w:r>
                      </w:p>
                    </w:tc>
                    <w:tc>
                      <w:tcPr>
                        <w:tcW w:w="708" w:type="dxa"/>
                        <w:shd w:val="clear" w:color="auto" w:fill="F8CBAD"/>
                      </w:tcPr>
                      <w:p w14:paraId="1BC00999" w14:textId="77777777" w:rsidR="00F65BCA" w:rsidRDefault="00216117">
                        <w:pPr>
                          <w:pStyle w:val="TableParagraph"/>
                          <w:spacing w:before="73" w:line="278" w:lineRule="auto"/>
                          <w:ind w:left="147" w:right="121" w:firstLine="36"/>
                          <w:rPr>
                            <w:b/>
                            <w:sz w:val="9"/>
                          </w:rPr>
                        </w:pPr>
                        <w:r>
                          <w:rPr>
                            <w:b/>
                            <w:sz w:val="9"/>
                          </w:rPr>
                          <w:t>Celková hmotnost</w:t>
                        </w:r>
                      </w:p>
                    </w:tc>
                    <w:tc>
                      <w:tcPr>
                        <w:tcW w:w="991" w:type="dxa"/>
                        <w:shd w:val="clear" w:color="auto" w:fill="F8CBAD"/>
                      </w:tcPr>
                      <w:p w14:paraId="313CF9D7" w14:textId="77777777" w:rsidR="00F65BCA" w:rsidRDefault="00F65BCA">
                        <w:pPr>
                          <w:pStyle w:val="TableParagraph"/>
                          <w:spacing w:before="11"/>
                          <w:rPr>
                            <w:rFonts w:ascii="Calibri"/>
                            <w:sz w:val="10"/>
                          </w:rPr>
                        </w:pPr>
                      </w:p>
                      <w:p w14:paraId="0B497CFC" w14:textId="77777777" w:rsidR="00F65BCA" w:rsidRDefault="00216117">
                        <w:pPr>
                          <w:pStyle w:val="TableParagraph"/>
                          <w:ind w:left="58" w:right="46"/>
                          <w:jc w:val="center"/>
                          <w:rPr>
                            <w:b/>
                            <w:sz w:val="9"/>
                          </w:rPr>
                        </w:pPr>
                        <w:r>
                          <w:rPr>
                            <w:b/>
                            <w:sz w:val="9"/>
                          </w:rPr>
                          <w:t>Roční pojistné v Kč</w:t>
                        </w:r>
                      </w:p>
                    </w:tc>
                  </w:tr>
                </w:tbl>
                <w:p w14:paraId="1929276D" w14:textId="77777777" w:rsidR="00F65BCA" w:rsidRDefault="00F65BCA">
                  <w:pPr>
                    <w:pStyle w:val="Zkladntext"/>
                  </w:pPr>
                </w:p>
              </w:txbxContent>
            </v:textbox>
            <w10:wrap anchorx="page"/>
          </v:shape>
        </w:pict>
      </w:r>
      <w:r w:rsidR="00216117">
        <w:rPr>
          <w:rFonts w:ascii="Calibri" w:hAnsi="Calibri"/>
          <w:spacing w:val="-2"/>
          <w:w w:val="120"/>
          <w:sz w:val="2"/>
        </w:rPr>
        <w:t>#</w:t>
      </w:r>
      <w:r w:rsidR="00216117">
        <w:rPr>
          <w:rFonts w:ascii="Calibri" w:hAnsi="Calibri"/>
          <w:spacing w:val="-1"/>
          <w:w w:val="104"/>
          <w:sz w:val="11"/>
        </w:rPr>
        <w:t>Důvěrn</w:t>
      </w:r>
      <w:r w:rsidR="00216117">
        <w:rPr>
          <w:rFonts w:ascii="Calibri" w:hAnsi="Calibri"/>
          <w:w w:val="104"/>
          <w:sz w:val="11"/>
        </w:rPr>
        <w:t>é</w:t>
      </w:r>
      <w:r w:rsidR="00216117">
        <w:rPr>
          <w:rFonts w:ascii="Times New Roman" w:hAnsi="Times New Roman"/>
          <w:spacing w:val="-2"/>
          <w:sz w:val="11"/>
        </w:rPr>
        <w:t xml:space="preserve"> </w:t>
      </w:r>
      <w:r w:rsidR="00216117">
        <w:rPr>
          <w:rFonts w:ascii="Calibri" w:hAnsi="Calibri"/>
          <w:w w:val="104"/>
          <w:sz w:val="11"/>
        </w:rPr>
        <w:t>/</w:t>
      </w:r>
      <w:r w:rsidR="00216117">
        <w:rPr>
          <w:rFonts w:ascii="Times New Roman" w:hAnsi="Times New Roman"/>
          <w:spacing w:val="-2"/>
          <w:sz w:val="11"/>
        </w:rPr>
        <w:t xml:space="preserve"> </w:t>
      </w:r>
      <w:r w:rsidR="00216117">
        <w:rPr>
          <w:rFonts w:ascii="Calibri" w:hAnsi="Calibri"/>
          <w:spacing w:val="-1"/>
          <w:w w:val="104"/>
          <w:sz w:val="11"/>
        </w:rPr>
        <w:t>Confidential</w:t>
      </w:r>
    </w:p>
    <w:p w14:paraId="0AAACEB7" w14:textId="77777777" w:rsidR="00F65BCA" w:rsidRDefault="00F65BCA">
      <w:pPr>
        <w:rPr>
          <w:rFonts w:ascii="Calibri" w:hAnsi="Calibri"/>
          <w:sz w:val="11"/>
        </w:rPr>
        <w:sectPr w:rsidR="00F65BCA">
          <w:pgSz w:w="11900" w:h="16840"/>
          <w:pgMar w:top="760" w:right="640" w:bottom="280" w:left="500" w:header="708" w:footer="708" w:gutter="0"/>
          <w:cols w:space="708"/>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866"/>
        <w:gridCol w:w="866"/>
        <w:gridCol w:w="708"/>
        <w:gridCol w:w="991"/>
      </w:tblGrid>
      <w:tr w:rsidR="00F65BCA" w14:paraId="224056D7" w14:textId="77777777">
        <w:trPr>
          <w:trHeight w:val="153"/>
        </w:trPr>
        <w:tc>
          <w:tcPr>
            <w:tcW w:w="998" w:type="dxa"/>
            <w:vMerge w:val="restart"/>
            <w:shd w:val="clear" w:color="auto" w:fill="FCE4D6"/>
          </w:tcPr>
          <w:p w14:paraId="55C8F2E2" w14:textId="77777777" w:rsidR="00F65BCA" w:rsidRDefault="00F65BCA">
            <w:pPr>
              <w:pStyle w:val="TableParagraph"/>
              <w:spacing w:before="10"/>
              <w:rPr>
                <w:rFonts w:ascii="Calibri"/>
                <w:sz w:val="7"/>
              </w:rPr>
            </w:pPr>
          </w:p>
          <w:p w14:paraId="191AAEFB" w14:textId="77777777" w:rsidR="00F65BCA" w:rsidRDefault="00216117">
            <w:pPr>
              <w:pStyle w:val="TableParagraph"/>
              <w:ind w:left="12"/>
              <w:jc w:val="center"/>
              <w:rPr>
                <w:sz w:val="9"/>
              </w:rPr>
            </w:pPr>
            <w:r>
              <w:rPr>
                <w:sz w:val="9"/>
              </w:rPr>
              <w:t>přívěs</w:t>
            </w:r>
          </w:p>
        </w:tc>
        <w:tc>
          <w:tcPr>
            <w:tcW w:w="866" w:type="dxa"/>
            <w:shd w:val="clear" w:color="auto" w:fill="FCE4D6"/>
          </w:tcPr>
          <w:p w14:paraId="2FB795B9" w14:textId="77777777" w:rsidR="00F65BCA" w:rsidRDefault="00216117">
            <w:pPr>
              <w:pStyle w:val="TableParagraph"/>
              <w:spacing w:before="19"/>
              <w:ind w:left="19"/>
              <w:jc w:val="center"/>
              <w:rPr>
                <w:sz w:val="9"/>
              </w:rPr>
            </w:pPr>
            <w:r>
              <w:rPr>
                <w:w w:val="101"/>
                <w:sz w:val="9"/>
              </w:rPr>
              <w:t>-</w:t>
            </w:r>
          </w:p>
        </w:tc>
        <w:tc>
          <w:tcPr>
            <w:tcW w:w="866" w:type="dxa"/>
            <w:shd w:val="clear" w:color="auto" w:fill="FCE4D6"/>
          </w:tcPr>
          <w:p w14:paraId="30F79913"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25B83097" w14:textId="77777777" w:rsidR="00F65BCA" w:rsidRDefault="00216117">
            <w:pPr>
              <w:pStyle w:val="TableParagraph"/>
              <w:spacing w:before="19"/>
              <w:ind w:left="36" w:right="17"/>
              <w:jc w:val="center"/>
              <w:rPr>
                <w:sz w:val="9"/>
              </w:rPr>
            </w:pPr>
            <w:r>
              <w:rPr>
                <w:sz w:val="9"/>
              </w:rPr>
              <w:t>0-750 kg</w:t>
            </w:r>
          </w:p>
        </w:tc>
        <w:tc>
          <w:tcPr>
            <w:tcW w:w="991" w:type="dxa"/>
          </w:tcPr>
          <w:p w14:paraId="262CDDA9" w14:textId="77777777" w:rsidR="00F65BCA" w:rsidRDefault="00216117">
            <w:pPr>
              <w:pStyle w:val="TableParagraph"/>
              <w:spacing w:before="19"/>
              <w:ind w:left="58" w:right="36"/>
              <w:jc w:val="center"/>
              <w:rPr>
                <w:sz w:val="9"/>
              </w:rPr>
            </w:pPr>
            <w:r>
              <w:rPr>
                <w:sz w:val="9"/>
              </w:rPr>
              <w:t>83,3682</w:t>
            </w:r>
          </w:p>
        </w:tc>
      </w:tr>
      <w:tr w:rsidR="00F65BCA" w14:paraId="2E64D364" w14:textId="77777777">
        <w:trPr>
          <w:trHeight w:val="153"/>
        </w:trPr>
        <w:tc>
          <w:tcPr>
            <w:tcW w:w="998" w:type="dxa"/>
            <w:vMerge/>
            <w:tcBorders>
              <w:top w:val="nil"/>
            </w:tcBorders>
            <w:shd w:val="clear" w:color="auto" w:fill="FCE4D6"/>
          </w:tcPr>
          <w:p w14:paraId="195043A9" w14:textId="77777777" w:rsidR="00F65BCA" w:rsidRDefault="00F65BCA">
            <w:pPr>
              <w:rPr>
                <w:sz w:val="2"/>
                <w:szCs w:val="2"/>
              </w:rPr>
            </w:pPr>
          </w:p>
        </w:tc>
        <w:tc>
          <w:tcPr>
            <w:tcW w:w="866" w:type="dxa"/>
            <w:shd w:val="clear" w:color="auto" w:fill="FCE4D6"/>
          </w:tcPr>
          <w:p w14:paraId="37405DCC" w14:textId="77777777" w:rsidR="00F65BCA" w:rsidRDefault="00216117">
            <w:pPr>
              <w:pStyle w:val="TableParagraph"/>
              <w:spacing w:before="19"/>
              <w:ind w:left="19"/>
              <w:jc w:val="center"/>
              <w:rPr>
                <w:sz w:val="9"/>
              </w:rPr>
            </w:pPr>
            <w:r>
              <w:rPr>
                <w:w w:val="101"/>
                <w:sz w:val="9"/>
              </w:rPr>
              <w:t>-</w:t>
            </w:r>
          </w:p>
        </w:tc>
        <w:tc>
          <w:tcPr>
            <w:tcW w:w="866" w:type="dxa"/>
            <w:shd w:val="clear" w:color="auto" w:fill="FCE4D6"/>
          </w:tcPr>
          <w:p w14:paraId="3B5B25D0"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32C67A13" w14:textId="77777777" w:rsidR="00F65BCA" w:rsidRDefault="00216117">
            <w:pPr>
              <w:pStyle w:val="TableParagraph"/>
              <w:spacing w:before="19"/>
              <w:ind w:left="36" w:right="17"/>
              <w:jc w:val="center"/>
              <w:rPr>
                <w:sz w:val="9"/>
              </w:rPr>
            </w:pPr>
            <w:r>
              <w:rPr>
                <w:sz w:val="9"/>
              </w:rPr>
              <w:t>&gt;750 kg</w:t>
            </w:r>
          </w:p>
        </w:tc>
        <w:tc>
          <w:tcPr>
            <w:tcW w:w="991" w:type="dxa"/>
          </w:tcPr>
          <w:p w14:paraId="0345F8C2" w14:textId="77777777" w:rsidR="00F65BCA" w:rsidRDefault="00216117">
            <w:pPr>
              <w:pStyle w:val="TableParagraph"/>
              <w:spacing w:before="19"/>
              <w:ind w:left="58" w:right="39"/>
              <w:jc w:val="center"/>
              <w:rPr>
                <w:sz w:val="9"/>
              </w:rPr>
            </w:pPr>
            <w:r>
              <w:rPr>
                <w:sz w:val="9"/>
              </w:rPr>
              <w:t>196,7490</w:t>
            </w:r>
          </w:p>
        </w:tc>
      </w:tr>
      <w:tr w:rsidR="00F65BCA" w14:paraId="585583E9" w14:textId="77777777">
        <w:trPr>
          <w:trHeight w:val="153"/>
        </w:trPr>
        <w:tc>
          <w:tcPr>
            <w:tcW w:w="998" w:type="dxa"/>
            <w:vMerge w:val="restart"/>
            <w:shd w:val="clear" w:color="auto" w:fill="FCE4D6"/>
          </w:tcPr>
          <w:p w14:paraId="6D0E5D8C" w14:textId="77777777" w:rsidR="00F65BCA" w:rsidRDefault="00F65BCA">
            <w:pPr>
              <w:pStyle w:val="TableParagraph"/>
              <w:spacing w:before="7"/>
              <w:rPr>
                <w:rFonts w:ascii="Calibri"/>
                <w:sz w:val="11"/>
              </w:rPr>
            </w:pPr>
          </w:p>
          <w:p w14:paraId="5B27B9DF" w14:textId="77777777" w:rsidR="00F65BCA" w:rsidRDefault="00216117">
            <w:pPr>
              <w:pStyle w:val="TableParagraph"/>
              <w:ind w:left="47"/>
              <w:rPr>
                <w:sz w:val="9"/>
              </w:rPr>
            </w:pPr>
            <w:r>
              <w:rPr>
                <w:sz w:val="9"/>
              </w:rPr>
              <w:t>pracovní stroj přípojný</w:t>
            </w:r>
          </w:p>
        </w:tc>
        <w:tc>
          <w:tcPr>
            <w:tcW w:w="866" w:type="dxa"/>
            <w:shd w:val="clear" w:color="auto" w:fill="FCE4D6"/>
          </w:tcPr>
          <w:p w14:paraId="1E127D26" w14:textId="77777777" w:rsidR="00F65BCA" w:rsidRDefault="00216117">
            <w:pPr>
              <w:pStyle w:val="TableParagraph"/>
              <w:spacing w:before="19"/>
              <w:ind w:left="19"/>
              <w:jc w:val="center"/>
              <w:rPr>
                <w:sz w:val="9"/>
              </w:rPr>
            </w:pPr>
            <w:r>
              <w:rPr>
                <w:w w:val="101"/>
                <w:sz w:val="9"/>
              </w:rPr>
              <w:t>-</w:t>
            </w:r>
          </w:p>
        </w:tc>
        <w:tc>
          <w:tcPr>
            <w:tcW w:w="866" w:type="dxa"/>
            <w:shd w:val="clear" w:color="auto" w:fill="FCE4D6"/>
          </w:tcPr>
          <w:p w14:paraId="4657EC2D"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360C5E3A" w14:textId="77777777" w:rsidR="00F65BCA" w:rsidRDefault="00216117">
            <w:pPr>
              <w:pStyle w:val="TableParagraph"/>
              <w:spacing w:before="19"/>
              <w:ind w:left="36" w:right="17"/>
              <w:jc w:val="center"/>
              <w:rPr>
                <w:sz w:val="9"/>
              </w:rPr>
            </w:pPr>
            <w:r>
              <w:rPr>
                <w:sz w:val="9"/>
              </w:rPr>
              <w:t>0-750 kg</w:t>
            </w:r>
          </w:p>
        </w:tc>
        <w:tc>
          <w:tcPr>
            <w:tcW w:w="991" w:type="dxa"/>
          </w:tcPr>
          <w:p w14:paraId="1387B5C8" w14:textId="77777777" w:rsidR="00F65BCA" w:rsidRDefault="00216117">
            <w:pPr>
              <w:pStyle w:val="TableParagraph"/>
              <w:spacing w:before="19"/>
              <w:ind w:left="58" w:right="36"/>
              <w:jc w:val="center"/>
              <w:rPr>
                <w:sz w:val="9"/>
              </w:rPr>
            </w:pPr>
            <w:r>
              <w:rPr>
                <w:sz w:val="9"/>
              </w:rPr>
              <w:t>83,3682</w:t>
            </w:r>
          </w:p>
        </w:tc>
      </w:tr>
      <w:tr w:rsidR="00F65BCA" w14:paraId="28247F86" w14:textId="77777777">
        <w:trPr>
          <w:trHeight w:val="244"/>
        </w:trPr>
        <w:tc>
          <w:tcPr>
            <w:tcW w:w="998" w:type="dxa"/>
            <w:vMerge/>
            <w:tcBorders>
              <w:top w:val="nil"/>
            </w:tcBorders>
            <w:shd w:val="clear" w:color="auto" w:fill="FCE4D6"/>
          </w:tcPr>
          <w:p w14:paraId="63B25BB5" w14:textId="77777777" w:rsidR="00F65BCA" w:rsidRDefault="00F65BCA">
            <w:pPr>
              <w:rPr>
                <w:sz w:val="2"/>
                <w:szCs w:val="2"/>
              </w:rPr>
            </w:pPr>
          </w:p>
        </w:tc>
        <w:tc>
          <w:tcPr>
            <w:tcW w:w="866" w:type="dxa"/>
            <w:shd w:val="clear" w:color="auto" w:fill="FCE4D6"/>
          </w:tcPr>
          <w:p w14:paraId="4C751555" w14:textId="77777777" w:rsidR="00F65BCA" w:rsidRDefault="00216117">
            <w:pPr>
              <w:pStyle w:val="TableParagraph"/>
              <w:spacing w:before="65"/>
              <w:ind w:left="19"/>
              <w:jc w:val="center"/>
              <w:rPr>
                <w:sz w:val="9"/>
              </w:rPr>
            </w:pPr>
            <w:r>
              <w:rPr>
                <w:w w:val="101"/>
                <w:sz w:val="9"/>
              </w:rPr>
              <w:t>-</w:t>
            </w:r>
          </w:p>
        </w:tc>
        <w:tc>
          <w:tcPr>
            <w:tcW w:w="866" w:type="dxa"/>
            <w:shd w:val="clear" w:color="auto" w:fill="FCE4D6"/>
          </w:tcPr>
          <w:p w14:paraId="42C02AE8" w14:textId="77777777" w:rsidR="00F65BCA" w:rsidRDefault="00216117">
            <w:pPr>
              <w:pStyle w:val="TableParagraph"/>
              <w:spacing w:before="65"/>
              <w:ind w:left="20"/>
              <w:jc w:val="center"/>
              <w:rPr>
                <w:sz w:val="9"/>
              </w:rPr>
            </w:pPr>
            <w:r>
              <w:rPr>
                <w:w w:val="101"/>
                <w:sz w:val="9"/>
              </w:rPr>
              <w:t>-</w:t>
            </w:r>
          </w:p>
        </w:tc>
        <w:tc>
          <w:tcPr>
            <w:tcW w:w="708" w:type="dxa"/>
            <w:shd w:val="clear" w:color="auto" w:fill="FCE4D6"/>
          </w:tcPr>
          <w:p w14:paraId="613AD5A1" w14:textId="77777777" w:rsidR="00F65BCA" w:rsidRDefault="00216117">
            <w:pPr>
              <w:pStyle w:val="TableParagraph"/>
              <w:spacing w:before="65"/>
              <w:ind w:left="36" w:right="17"/>
              <w:jc w:val="center"/>
              <w:rPr>
                <w:sz w:val="9"/>
              </w:rPr>
            </w:pPr>
            <w:r>
              <w:rPr>
                <w:sz w:val="9"/>
              </w:rPr>
              <w:t>&gt;750 kg</w:t>
            </w:r>
          </w:p>
        </w:tc>
        <w:tc>
          <w:tcPr>
            <w:tcW w:w="991" w:type="dxa"/>
          </w:tcPr>
          <w:p w14:paraId="2922690A" w14:textId="77777777" w:rsidR="00F65BCA" w:rsidRDefault="00216117">
            <w:pPr>
              <w:pStyle w:val="TableParagraph"/>
              <w:spacing w:before="65"/>
              <w:ind w:left="58" w:right="39"/>
              <w:jc w:val="center"/>
              <w:rPr>
                <w:sz w:val="9"/>
              </w:rPr>
            </w:pPr>
            <w:r>
              <w:rPr>
                <w:sz w:val="9"/>
              </w:rPr>
              <w:t>196,7490</w:t>
            </w:r>
          </w:p>
        </w:tc>
      </w:tr>
      <w:tr w:rsidR="00F65BCA" w14:paraId="1A25343A" w14:textId="77777777">
        <w:trPr>
          <w:trHeight w:val="153"/>
        </w:trPr>
        <w:tc>
          <w:tcPr>
            <w:tcW w:w="998" w:type="dxa"/>
            <w:shd w:val="clear" w:color="auto" w:fill="FCE4D6"/>
          </w:tcPr>
          <w:p w14:paraId="1B3CF7D2" w14:textId="77777777" w:rsidR="00F65BCA" w:rsidRDefault="00216117">
            <w:pPr>
              <w:pStyle w:val="TableParagraph"/>
              <w:spacing w:before="19"/>
              <w:ind w:left="10"/>
              <w:jc w:val="center"/>
              <w:rPr>
                <w:sz w:val="9"/>
              </w:rPr>
            </w:pPr>
            <w:r>
              <w:rPr>
                <w:sz w:val="9"/>
              </w:rPr>
              <w:t>návěs</w:t>
            </w:r>
          </w:p>
        </w:tc>
        <w:tc>
          <w:tcPr>
            <w:tcW w:w="866" w:type="dxa"/>
            <w:shd w:val="clear" w:color="auto" w:fill="FCE4D6"/>
          </w:tcPr>
          <w:p w14:paraId="0CFBF95A" w14:textId="77777777" w:rsidR="00F65BCA" w:rsidRDefault="00216117">
            <w:pPr>
              <w:pStyle w:val="TableParagraph"/>
              <w:spacing w:before="19"/>
              <w:ind w:left="19"/>
              <w:jc w:val="center"/>
              <w:rPr>
                <w:sz w:val="9"/>
              </w:rPr>
            </w:pPr>
            <w:r>
              <w:rPr>
                <w:w w:val="101"/>
                <w:sz w:val="9"/>
              </w:rPr>
              <w:t>-</w:t>
            </w:r>
          </w:p>
        </w:tc>
        <w:tc>
          <w:tcPr>
            <w:tcW w:w="866" w:type="dxa"/>
            <w:shd w:val="clear" w:color="auto" w:fill="FCE4D6"/>
          </w:tcPr>
          <w:p w14:paraId="39999ECE"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556E05A6" w14:textId="77777777" w:rsidR="00F65BCA" w:rsidRDefault="00216117">
            <w:pPr>
              <w:pStyle w:val="TableParagraph"/>
              <w:spacing w:before="19"/>
              <w:ind w:left="20"/>
              <w:jc w:val="center"/>
              <w:rPr>
                <w:sz w:val="9"/>
              </w:rPr>
            </w:pPr>
            <w:r>
              <w:rPr>
                <w:w w:val="101"/>
                <w:sz w:val="9"/>
              </w:rPr>
              <w:t>-</w:t>
            </w:r>
          </w:p>
        </w:tc>
        <w:tc>
          <w:tcPr>
            <w:tcW w:w="991" w:type="dxa"/>
          </w:tcPr>
          <w:p w14:paraId="78DB8FB6" w14:textId="77777777" w:rsidR="00F65BCA" w:rsidRDefault="00216117">
            <w:pPr>
              <w:pStyle w:val="TableParagraph"/>
              <w:spacing w:before="19"/>
              <w:ind w:left="58" w:right="39"/>
              <w:jc w:val="center"/>
              <w:rPr>
                <w:sz w:val="9"/>
              </w:rPr>
            </w:pPr>
            <w:r>
              <w:rPr>
                <w:sz w:val="9"/>
              </w:rPr>
              <w:t>2 019,6240</w:t>
            </w:r>
          </w:p>
        </w:tc>
      </w:tr>
      <w:tr w:rsidR="00F65BCA" w14:paraId="1CCBE38D" w14:textId="77777777">
        <w:trPr>
          <w:trHeight w:val="153"/>
        </w:trPr>
        <w:tc>
          <w:tcPr>
            <w:tcW w:w="998" w:type="dxa"/>
            <w:vMerge w:val="restart"/>
            <w:shd w:val="clear" w:color="auto" w:fill="FCE4D6"/>
          </w:tcPr>
          <w:p w14:paraId="20515955" w14:textId="77777777" w:rsidR="00F65BCA" w:rsidRDefault="00216117">
            <w:pPr>
              <w:pStyle w:val="TableParagraph"/>
              <w:spacing w:before="84" w:line="266" w:lineRule="auto"/>
              <w:ind w:left="345" w:right="158" w:hanging="166"/>
              <w:rPr>
                <w:sz w:val="9"/>
              </w:rPr>
            </w:pPr>
            <w:r>
              <w:rPr>
                <w:sz w:val="9"/>
              </w:rPr>
              <w:t>přípojná vozidla traktorů</w:t>
            </w:r>
          </w:p>
        </w:tc>
        <w:tc>
          <w:tcPr>
            <w:tcW w:w="866" w:type="dxa"/>
            <w:shd w:val="clear" w:color="auto" w:fill="FCE4D6"/>
          </w:tcPr>
          <w:p w14:paraId="6BDCD78F" w14:textId="77777777" w:rsidR="00F65BCA" w:rsidRDefault="00216117">
            <w:pPr>
              <w:pStyle w:val="TableParagraph"/>
              <w:spacing w:before="19"/>
              <w:ind w:left="19"/>
              <w:jc w:val="center"/>
              <w:rPr>
                <w:sz w:val="9"/>
              </w:rPr>
            </w:pPr>
            <w:r>
              <w:rPr>
                <w:w w:val="101"/>
                <w:sz w:val="9"/>
              </w:rPr>
              <w:t>-</w:t>
            </w:r>
          </w:p>
        </w:tc>
        <w:tc>
          <w:tcPr>
            <w:tcW w:w="866" w:type="dxa"/>
            <w:shd w:val="clear" w:color="auto" w:fill="FCE4D6"/>
          </w:tcPr>
          <w:p w14:paraId="1246864F"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369B33D4" w14:textId="77777777" w:rsidR="00F65BCA" w:rsidRDefault="00216117">
            <w:pPr>
              <w:pStyle w:val="TableParagraph"/>
              <w:spacing w:before="19"/>
              <w:ind w:left="36" w:right="17"/>
              <w:jc w:val="center"/>
              <w:rPr>
                <w:sz w:val="9"/>
              </w:rPr>
            </w:pPr>
            <w:r>
              <w:rPr>
                <w:sz w:val="9"/>
              </w:rPr>
              <w:t>0-750 kg</w:t>
            </w:r>
          </w:p>
        </w:tc>
        <w:tc>
          <w:tcPr>
            <w:tcW w:w="991" w:type="dxa"/>
          </w:tcPr>
          <w:p w14:paraId="7B202F84" w14:textId="77777777" w:rsidR="00F65BCA" w:rsidRDefault="00216117">
            <w:pPr>
              <w:pStyle w:val="TableParagraph"/>
              <w:spacing w:before="19"/>
              <w:ind w:left="58" w:right="36"/>
              <w:jc w:val="center"/>
              <w:rPr>
                <w:sz w:val="9"/>
              </w:rPr>
            </w:pPr>
            <w:r>
              <w:rPr>
                <w:sz w:val="9"/>
              </w:rPr>
              <w:t>83,3682</w:t>
            </w:r>
          </w:p>
        </w:tc>
      </w:tr>
      <w:tr w:rsidR="00F65BCA" w14:paraId="6954AD3F" w14:textId="77777777">
        <w:trPr>
          <w:trHeight w:val="244"/>
        </w:trPr>
        <w:tc>
          <w:tcPr>
            <w:tcW w:w="998" w:type="dxa"/>
            <w:vMerge/>
            <w:tcBorders>
              <w:top w:val="nil"/>
            </w:tcBorders>
            <w:shd w:val="clear" w:color="auto" w:fill="FCE4D6"/>
          </w:tcPr>
          <w:p w14:paraId="54E550CB" w14:textId="77777777" w:rsidR="00F65BCA" w:rsidRDefault="00F65BCA">
            <w:pPr>
              <w:rPr>
                <w:sz w:val="2"/>
                <w:szCs w:val="2"/>
              </w:rPr>
            </w:pPr>
          </w:p>
        </w:tc>
        <w:tc>
          <w:tcPr>
            <w:tcW w:w="866" w:type="dxa"/>
            <w:shd w:val="clear" w:color="auto" w:fill="FCE4D6"/>
          </w:tcPr>
          <w:p w14:paraId="7C595AE7" w14:textId="77777777" w:rsidR="00F65BCA" w:rsidRDefault="00216117">
            <w:pPr>
              <w:pStyle w:val="TableParagraph"/>
              <w:spacing w:before="65"/>
              <w:ind w:left="19"/>
              <w:jc w:val="center"/>
              <w:rPr>
                <w:sz w:val="9"/>
              </w:rPr>
            </w:pPr>
            <w:r>
              <w:rPr>
                <w:w w:val="101"/>
                <w:sz w:val="9"/>
              </w:rPr>
              <w:t>-</w:t>
            </w:r>
          </w:p>
        </w:tc>
        <w:tc>
          <w:tcPr>
            <w:tcW w:w="866" w:type="dxa"/>
            <w:shd w:val="clear" w:color="auto" w:fill="FCE4D6"/>
          </w:tcPr>
          <w:p w14:paraId="0B0143FC" w14:textId="77777777" w:rsidR="00F65BCA" w:rsidRDefault="00216117">
            <w:pPr>
              <w:pStyle w:val="TableParagraph"/>
              <w:spacing w:before="65"/>
              <w:ind w:left="20"/>
              <w:jc w:val="center"/>
              <w:rPr>
                <w:sz w:val="9"/>
              </w:rPr>
            </w:pPr>
            <w:r>
              <w:rPr>
                <w:w w:val="101"/>
                <w:sz w:val="9"/>
              </w:rPr>
              <w:t>-</w:t>
            </w:r>
          </w:p>
        </w:tc>
        <w:tc>
          <w:tcPr>
            <w:tcW w:w="708" w:type="dxa"/>
            <w:shd w:val="clear" w:color="auto" w:fill="FCE4D6"/>
          </w:tcPr>
          <w:p w14:paraId="4A99DBF5" w14:textId="77777777" w:rsidR="00F65BCA" w:rsidRDefault="00216117">
            <w:pPr>
              <w:pStyle w:val="TableParagraph"/>
              <w:spacing w:before="65"/>
              <w:ind w:left="36" w:right="17"/>
              <w:jc w:val="center"/>
              <w:rPr>
                <w:sz w:val="9"/>
              </w:rPr>
            </w:pPr>
            <w:r>
              <w:rPr>
                <w:sz w:val="9"/>
              </w:rPr>
              <w:t>&gt;750 kg</w:t>
            </w:r>
          </w:p>
        </w:tc>
        <w:tc>
          <w:tcPr>
            <w:tcW w:w="991" w:type="dxa"/>
          </w:tcPr>
          <w:p w14:paraId="0B9835CD" w14:textId="77777777" w:rsidR="00F65BCA" w:rsidRDefault="00216117">
            <w:pPr>
              <w:pStyle w:val="TableParagraph"/>
              <w:spacing w:before="65"/>
              <w:ind w:left="58" w:right="39"/>
              <w:jc w:val="center"/>
              <w:rPr>
                <w:sz w:val="9"/>
              </w:rPr>
            </w:pPr>
            <w:r>
              <w:rPr>
                <w:sz w:val="9"/>
              </w:rPr>
              <w:t>196,7490</w:t>
            </w:r>
          </w:p>
        </w:tc>
      </w:tr>
      <w:tr w:rsidR="00F65BCA" w14:paraId="3DADF474" w14:textId="77777777">
        <w:trPr>
          <w:trHeight w:val="371"/>
        </w:trPr>
        <w:tc>
          <w:tcPr>
            <w:tcW w:w="998" w:type="dxa"/>
            <w:shd w:val="clear" w:color="auto" w:fill="F8CBAD"/>
          </w:tcPr>
          <w:p w14:paraId="7087376E" w14:textId="77777777" w:rsidR="00F65BCA" w:rsidRDefault="00F65BCA">
            <w:pPr>
              <w:pStyle w:val="TableParagraph"/>
              <w:spacing w:before="7"/>
              <w:rPr>
                <w:rFonts w:ascii="Calibri"/>
                <w:sz w:val="10"/>
              </w:rPr>
            </w:pPr>
          </w:p>
          <w:p w14:paraId="0E66663C" w14:textId="77777777" w:rsidR="00F65BCA" w:rsidRDefault="00216117">
            <w:pPr>
              <w:pStyle w:val="TableParagraph"/>
              <w:ind w:left="15"/>
              <w:jc w:val="center"/>
              <w:rPr>
                <w:b/>
                <w:sz w:val="9"/>
              </w:rPr>
            </w:pPr>
            <w:r>
              <w:rPr>
                <w:b/>
                <w:sz w:val="9"/>
              </w:rPr>
              <w:t>Autobusy a trolejbusy</w:t>
            </w:r>
          </w:p>
        </w:tc>
        <w:tc>
          <w:tcPr>
            <w:tcW w:w="866" w:type="dxa"/>
            <w:shd w:val="clear" w:color="auto" w:fill="F8CBAD"/>
          </w:tcPr>
          <w:p w14:paraId="096CB53C" w14:textId="77777777" w:rsidR="00F65BCA" w:rsidRDefault="00F65BCA">
            <w:pPr>
              <w:pStyle w:val="TableParagraph"/>
              <w:spacing w:before="7"/>
              <w:rPr>
                <w:rFonts w:ascii="Calibri"/>
                <w:sz w:val="10"/>
              </w:rPr>
            </w:pPr>
          </w:p>
          <w:p w14:paraId="2A71836F" w14:textId="77777777" w:rsidR="00F65BCA" w:rsidRDefault="00216117">
            <w:pPr>
              <w:pStyle w:val="TableParagraph"/>
              <w:ind w:left="106" w:right="95"/>
              <w:jc w:val="center"/>
              <w:rPr>
                <w:b/>
                <w:sz w:val="9"/>
              </w:rPr>
            </w:pPr>
            <w:r>
              <w:rPr>
                <w:b/>
                <w:sz w:val="9"/>
              </w:rPr>
              <w:t>Objem motoru</w:t>
            </w:r>
          </w:p>
        </w:tc>
        <w:tc>
          <w:tcPr>
            <w:tcW w:w="866" w:type="dxa"/>
            <w:shd w:val="clear" w:color="auto" w:fill="F8CBAD"/>
          </w:tcPr>
          <w:p w14:paraId="5FCBFB7C" w14:textId="77777777" w:rsidR="00F65BCA" w:rsidRDefault="00F65BCA">
            <w:pPr>
              <w:pStyle w:val="TableParagraph"/>
              <w:spacing w:before="7"/>
              <w:rPr>
                <w:rFonts w:ascii="Calibri"/>
                <w:sz w:val="10"/>
              </w:rPr>
            </w:pPr>
          </w:p>
          <w:p w14:paraId="2F7BACCC" w14:textId="77777777" w:rsidR="00F65BCA" w:rsidRDefault="00216117">
            <w:pPr>
              <w:pStyle w:val="TableParagraph"/>
              <w:ind w:left="106" w:right="92"/>
              <w:jc w:val="center"/>
              <w:rPr>
                <w:b/>
                <w:sz w:val="9"/>
              </w:rPr>
            </w:pPr>
            <w:r>
              <w:rPr>
                <w:b/>
                <w:sz w:val="9"/>
              </w:rPr>
              <w:t>Výkon motoru</w:t>
            </w:r>
          </w:p>
        </w:tc>
        <w:tc>
          <w:tcPr>
            <w:tcW w:w="708" w:type="dxa"/>
            <w:shd w:val="clear" w:color="auto" w:fill="F8CBAD"/>
          </w:tcPr>
          <w:p w14:paraId="36A0E567" w14:textId="77777777" w:rsidR="00F65BCA" w:rsidRDefault="00216117">
            <w:pPr>
              <w:pStyle w:val="TableParagraph"/>
              <w:spacing w:before="69" w:line="278" w:lineRule="auto"/>
              <w:ind w:left="147" w:right="121" w:firstLine="36"/>
              <w:rPr>
                <w:b/>
                <w:sz w:val="9"/>
              </w:rPr>
            </w:pPr>
            <w:r>
              <w:rPr>
                <w:b/>
                <w:sz w:val="9"/>
              </w:rPr>
              <w:t>Celková hmotnost</w:t>
            </w:r>
          </w:p>
        </w:tc>
        <w:tc>
          <w:tcPr>
            <w:tcW w:w="991" w:type="dxa"/>
            <w:shd w:val="clear" w:color="auto" w:fill="F8CBAD"/>
          </w:tcPr>
          <w:p w14:paraId="558D6B58" w14:textId="77777777" w:rsidR="00F65BCA" w:rsidRDefault="00F65BCA">
            <w:pPr>
              <w:pStyle w:val="TableParagraph"/>
              <w:spacing w:before="7"/>
              <w:rPr>
                <w:rFonts w:ascii="Calibri"/>
                <w:sz w:val="10"/>
              </w:rPr>
            </w:pPr>
          </w:p>
          <w:p w14:paraId="2D5C0163" w14:textId="77777777" w:rsidR="00F65BCA" w:rsidRDefault="00216117">
            <w:pPr>
              <w:pStyle w:val="TableParagraph"/>
              <w:ind w:left="58" w:right="46"/>
              <w:jc w:val="center"/>
              <w:rPr>
                <w:b/>
                <w:sz w:val="9"/>
              </w:rPr>
            </w:pPr>
            <w:r>
              <w:rPr>
                <w:b/>
                <w:sz w:val="9"/>
              </w:rPr>
              <w:t>Roční pojistné v Kč</w:t>
            </w:r>
          </w:p>
        </w:tc>
      </w:tr>
      <w:tr w:rsidR="00F65BCA" w14:paraId="3944444C" w14:textId="77777777">
        <w:trPr>
          <w:trHeight w:val="153"/>
        </w:trPr>
        <w:tc>
          <w:tcPr>
            <w:tcW w:w="998" w:type="dxa"/>
            <w:vMerge w:val="restart"/>
            <w:shd w:val="clear" w:color="auto" w:fill="FCE4D6"/>
          </w:tcPr>
          <w:p w14:paraId="5587D68A" w14:textId="77777777" w:rsidR="00F65BCA" w:rsidRDefault="00F65BCA">
            <w:pPr>
              <w:pStyle w:val="TableParagraph"/>
              <w:spacing w:before="10"/>
              <w:rPr>
                <w:rFonts w:ascii="Calibri"/>
                <w:sz w:val="7"/>
              </w:rPr>
            </w:pPr>
          </w:p>
          <w:p w14:paraId="573E4226" w14:textId="77777777" w:rsidR="00F65BCA" w:rsidRDefault="00216117">
            <w:pPr>
              <w:pStyle w:val="TableParagraph"/>
              <w:ind w:left="338"/>
              <w:rPr>
                <w:sz w:val="9"/>
              </w:rPr>
            </w:pPr>
            <w:r>
              <w:rPr>
                <w:sz w:val="9"/>
              </w:rPr>
              <w:t>autobus</w:t>
            </w:r>
          </w:p>
        </w:tc>
        <w:tc>
          <w:tcPr>
            <w:tcW w:w="866" w:type="dxa"/>
            <w:shd w:val="clear" w:color="auto" w:fill="FCE4D6"/>
          </w:tcPr>
          <w:p w14:paraId="0A7C99BA" w14:textId="77777777" w:rsidR="00F65BCA" w:rsidRDefault="00216117">
            <w:pPr>
              <w:pStyle w:val="TableParagraph"/>
              <w:spacing w:before="19"/>
              <w:ind w:left="19"/>
              <w:jc w:val="center"/>
              <w:rPr>
                <w:sz w:val="9"/>
              </w:rPr>
            </w:pPr>
            <w:r>
              <w:rPr>
                <w:w w:val="101"/>
                <w:sz w:val="9"/>
              </w:rPr>
              <w:t>-</w:t>
            </w:r>
          </w:p>
        </w:tc>
        <w:tc>
          <w:tcPr>
            <w:tcW w:w="866" w:type="dxa"/>
            <w:shd w:val="clear" w:color="auto" w:fill="FCE4D6"/>
          </w:tcPr>
          <w:p w14:paraId="692239F4"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6116271F" w14:textId="77777777" w:rsidR="00F65BCA" w:rsidRDefault="00216117">
            <w:pPr>
              <w:pStyle w:val="TableParagraph"/>
              <w:spacing w:before="19"/>
              <w:ind w:left="38" w:right="17"/>
              <w:jc w:val="center"/>
              <w:rPr>
                <w:sz w:val="9"/>
              </w:rPr>
            </w:pPr>
            <w:r>
              <w:rPr>
                <w:sz w:val="9"/>
              </w:rPr>
              <w:t>0-5000 kg</w:t>
            </w:r>
          </w:p>
        </w:tc>
        <w:tc>
          <w:tcPr>
            <w:tcW w:w="991" w:type="dxa"/>
          </w:tcPr>
          <w:p w14:paraId="29E7B62A" w14:textId="77777777" w:rsidR="00F65BCA" w:rsidRDefault="00216117">
            <w:pPr>
              <w:pStyle w:val="TableParagraph"/>
              <w:spacing w:before="19"/>
              <w:ind w:left="58" w:right="36"/>
              <w:jc w:val="center"/>
              <w:rPr>
                <w:sz w:val="9"/>
              </w:rPr>
            </w:pPr>
            <w:r>
              <w:rPr>
                <w:sz w:val="9"/>
              </w:rPr>
              <w:t>6 841,007</w:t>
            </w:r>
          </w:p>
        </w:tc>
      </w:tr>
      <w:tr w:rsidR="00F65BCA" w14:paraId="334DC808" w14:textId="77777777">
        <w:trPr>
          <w:trHeight w:val="153"/>
        </w:trPr>
        <w:tc>
          <w:tcPr>
            <w:tcW w:w="998" w:type="dxa"/>
            <w:vMerge/>
            <w:tcBorders>
              <w:top w:val="nil"/>
            </w:tcBorders>
            <w:shd w:val="clear" w:color="auto" w:fill="FCE4D6"/>
          </w:tcPr>
          <w:p w14:paraId="0AFCE5B0" w14:textId="77777777" w:rsidR="00F65BCA" w:rsidRDefault="00F65BCA">
            <w:pPr>
              <w:rPr>
                <w:sz w:val="2"/>
                <w:szCs w:val="2"/>
              </w:rPr>
            </w:pPr>
          </w:p>
        </w:tc>
        <w:tc>
          <w:tcPr>
            <w:tcW w:w="866" w:type="dxa"/>
            <w:shd w:val="clear" w:color="auto" w:fill="FCE4D6"/>
          </w:tcPr>
          <w:p w14:paraId="23044EC1" w14:textId="77777777" w:rsidR="00F65BCA" w:rsidRDefault="00216117">
            <w:pPr>
              <w:pStyle w:val="TableParagraph"/>
              <w:spacing w:before="19"/>
              <w:ind w:left="19"/>
              <w:jc w:val="center"/>
              <w:rPr>
                <w:sz w:val="9"/>
              </w:rPr>
            </w:pPr>
            <w:r>
              <w:rPr>
                <w:w w:val="101"/>
                <w:sz w:val="9"/>
              </w:rPr>
              <w:t>-</w:t>
            </w:r>
          </w:p>
        </w:tc>
        <w:tc>
          <w:tcPr>
            <w:tcW w:w="866" w:type="dxa"/>
            <w:shd w:val="clear" w:color="auto" w:fill="FCE4D6"/>
          </w:tcPr>
          <w:p w14:paraId="774E1654"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09BB9B04" w14:textId="77777777" w:rsidR="00F65BCA" w:rsidRDefault="00216117">
            <w:pPr>
              <w:pStyle w:val="TableParagraph"/>
              <w:spacing w:before="19"/>
              <w:ind w:left="38" w:right="17"/>
              <w:jc w:val="center"/>
              <w:rPr>
                <w:sz w:val="9"/>
              </w:rPr>
            </w:pPr>
            <w:r>
              <w:rPr>
                <w:sz w:val="9"/>
              </w:rPr>
              <w:t>&gt;5000 kg</w:t>
            </w:r>
          </w:p>
        </w:tc>
        <w:tc>
          <w:tcPr>
            <w:tcW w:w="991" w:type="dxa"/>
          </w:tcPr>
          <w:p w14:paraId="7D369DB9" w14:textId="77777777" w:rsidR="00F65BCA" w:rsidRDefault="00216117">
            <w:pPr>
              <w:pStyle w:val="TableParagraph"/>
              <w:spacing w:before="19"/>
              <w:ind w:left="58" w:right="39"/>
              <w:jc w:val="center"/>
              <w:rPr>
                <w:sz w:val="9"/>
              </w:rPr>
            </w:pPr>
            <w:r>
              <w:rPr>
                <w:sz w:val="9"/>
              </w:rPr>
              <w:t>30 696,000</w:t>
            </w:r>
          </w:p>
        </w:tc>
      </w:tr>
      <w:tr w:rsidR="00F65BCA" w14:paraId="17148FCA" w14:textId="77777777">
        <w:trPr>
          <w:trHeight w:val="153"/>
        </w:trPr>
        <w:tc>
          <w:tcPr>
            <w:tcW w:w="998" w:type="dxa"/>
            <w:shd w:val="clear" w:color="auto" w:fill="FCE4D6"/>
          </w:tcPr>
          <w:p w14:paraId="49FF9E44" w14:textId="77777777" w:rsidR="00F65BCA" w:rsidRDefault="00216117">
            <w:pPr>
              <w:pStyle w:val="TableParagraph"/>
              <w:spacing w:before="19"/>
              <w:ind w:left="13"/>
              <w:jc w:val="center"/>
              <w:rPr>
                <w:sz w:val="9"/>
              </w:rPr>
            </w:pPr>
            <w:r>
              <w:rPr>
                <w:sz w:val="9"/>
              </w:rPr>
              <w:t>autobus pro MHD</w:t>
            </w:r>
          </w:p>
        </w:tc>
        <w:tc>
          <w:tcPr>
            <w:tcW w:w="866" w:type="dxa"/>
            <w:shd w:val="clear" w:color="auto" w:fill="FCE4D6"/>
          </w:tcPr>
          <w:p w14:paraId="6E677BDB" w14:textId="77777777" w:rsidR="00F65BCA" w:rsidRDefault="00216117">
            <w:pPr>
              <w:pStyle w:val="TableParagraph"/>
              <w:spacing w:before="19"/>
              <w:ind w:left="19"/>
              <w:jc w:val="center"/>
              <w:rPr>
                <w:sz w:val="9"/>
              </w:rPr>
            </w:pPr>
            <w:r>
              <w:rPr>
                <w:w w:val="101"/>
                <w:sz w:val="9"/>
              </w:rPr>
              <w:t>-</w:t>
            </w:r>
          </w:p>
        </w:tc>
        <w:tc>
          <w:tcPr>
            <w:tcW w:w="866" w:type="dxa"/>
            <w:shd w:val="clear" w:color="auto" w:fill="FCE4D6"/>
          </w:tcPr>
          <w:p w14:paraId="130762A5"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1D5FFE94" w14:textId="77777777" w:rsidR="00F65BCA" w:rsidRDefault="00216117">
            <w:pPr>
              <w:pStyle w:val="TableParagraph"/>
              <w:spacing w:before="19"/>
              <w:ind w:left="20"/>
              <w:jc w:val="center"/>
              <w:rPr>
                <w:sz w:val="9"/>
              </w:rPr>
            </w:pPr>
            <w:r>
              <w:rPr>
                <w:w w:val="101"/>
                <w:sz w:val="9"/>
              </w:rPr>
              <w:t>-</w:t>
            </w:r>
          </w:p>
        </w:tc>
        <w:tc>
          <w:tcPr>
            <w:tcW w:w="991" w:type="dxa"/>
          </w:tcPr>
          <w:p w14:paraId="06B634CF" w14:textId="77777777" w:rsidR="00F65BCA" w:rsidRDefault="00216117">
            <w:pPr>
              <w:pStyle w:val="TableParagraph"/>
              <w:spacing w:before="19"/>
              <w:ind w:left="58" w:right="39"/>
              <w:jc w:val="center"/>
              <w:rPr>
                <w:sz w:val="9"/>
              </w:rPr>
            </w:pPr>
            <w:r>
              <w:rPr>
                <w:sz w:val="9"/>
              </w:rPr>
              <w:t>30 696,000</w:t>
            </w:r>
          </w:p>
        </w:tc>
      </w:tr>
      <w:tr w:rsidR="00F65BCA" w14:paraId="263B8596" w14:textId="77777777">
        <w:trPr>
          <w:trHeight w:val="153"/>
        </w:trPr>
        <w:tc>
          <w:tcPr>
            <w:tcW w:w="998" w:type="dxa"/>
            <w:vMerge w:val="restart"/>
            <w:shd w:val="clear" w:color="auto" w:fill="FCE4D6"/>
          </w:tcPr>
          <w:p w14:paraId="0ADD00C4" w14:textId="77777777" w:rsidR="00F65BCA" w:rsidRDefault="00F65BCA">
            <w:pPr>
              <w:pStyle w:val="TableParagraph"/>
              <w:spacing w:before="10"/>
              <w:rPr>
                <w:rFonts w:ascii="Calibri"/>
                <w:sz w:val="7"/>
              </w:rPr>
            </w:pPr>
          </w:p>
          <w:p w14:paraId="5B732483" w14:textId="77777777" w:rsidR="00F65BCA" w:rsidRDefault="00216117">
            <w:pPr>
              <w:pStyle w:val="TableParagraph"/>
              <w:ind w:left="326"/>
              <w:rPr>
                <w:sz w:val="9"/>
              </w:rPr>
            </w:pPr>
            <w:r>
              <w:rPr>
                <w:sz w:val="9"/>
              </w:rPr>
              <w:t>trolejbus</w:t>
            </w:r>
          </w:p>
        </w:tc>
        <w:tc>
          <w:tcPr>
            <w:tcW w:w="866" w:type="dxa"/>
            <w:shd w:val="clear" w:color="auto" w:fill="FCE4D6"/>
          </w:tcPr>
          <w:p w14:paraId="6B4C901A" w14:textId="77777777" w:rsidR="00F65BCA" w:rsidRDefault="00216117">
            <w:pPr>
              <w:pStyle w:val="TableParagraph"/>
              <w:spacing w:before="19"/>
              <w:ind w:left="19"/>
              <w:jc w:val="center"/>
              <w:rPr>
                <w:sz w:val="9"/>
              </w:rPr>
            </w:pPr>
            <w:r>
              <w:rPr>
                <w:w w:val="101"/>
                <w:sz w:val="9"/>
              </w:rPr>
              <w:t>-</w:t>
            </w:r>
          </w:p>
        </w:tc>
        <w:tc>
          <w:tcPr>
            <w:tcW w:w="866" w:type="dxa"/>
            <w:shd w:val="clear" w:color="auto" w:fill="FCE4D6"/>
          </w:tcPr>
          <w:p w14:paraId="73411F77"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24611955" w14:textId="77777777" w:rsidR="00F65BCA" w:rsidRDefault="00216117">
            <w:pPr>
              <w:pStyle w:val="TableParagraph"/>
              <w:spacing w:before="19"/>
              <w:ind w:left="38" w:right="17"/>
              <w:jc w:val="center"/>
              <w:rPr>
                <w:sz w:val="9"/>
              </w:rPr>
            </w:pPr>
            <w:r>
              <w:rPr>
                <w:sz w:val="9"/>
              </w:rPr>
              <w:t>0-5000 kg</w:t>
            </w:r>
          </w:p>
        </w:tc>
        <w:tc>
          <w:tcPr>
            <w:tcW w:w="991" w:type="dxa"/>
          </w:tcPr>
          <w:p w14:paraId="3C15AA85" w14:textId="77777777" w:rsidR="00F65BCA" w:rsidRDefault="00216117">
            <w:pPr>
              <w:pStyle w:val="TableParagraph"/>
              <w:spacing w:before="19"/>
              <w:ind w:left="58" w:right="39"/>
              <w:jc w:val="center"/>
              <w:rPr>
                <w:sz w:val="9"/>
              </w:rPr>
            </w:pPr>
            <w:r>
              <w:rPr>
                <w:sz w:val="9"/>
              </w:rPr>
              <w:t>30 696,000</w:t>
            </w:r>
          </w:p>
        </w:tc>
      </w:tr>
      <w:tr w:rsidR="00F65BCA" w14:paraId="1ABA3CBC" w14:textId="77777777">
        <w:trPr>
          <w:trHeight w:val="153"/>
        </w:trPr>
        <w:tc>
          <w:tcPr>
            <w:tcW w:w="998" w:type="dxa"/>
            <w:vMerge/>
            <w:tcBorders>
              <w:top w:val="nil"/>
            </w:tcBorders>
            <w:shd w:val="clear" w:color="auto" w:fill="FCE4D6"/>
          </w:tcPr>
          <w:p w14:paraId="54809A17" w14:textId="77777777" w:rsidR="00F65BCA" w:rsidRDefault="00F65BCA">
            <w:pPr>
              <w:rPr>
                <w:sz w:val="2"/>
                <w:szCs w:val="2"/>
              </w:rPr>
            </w:pPr>
          </w:p>
        </w:tc>
        <w:tc>
          <w:tcPr>
            <w:tcW w:w="866" w:type="dxa"/>
            <w:shd w:val="clear" w:color="auto" w:fill="FCE4D6"/>
          </w:tcPr>
          <w:p w14:paraId="64A452F3" w14:textId="77777777" w:rsidR="00F65BCA" w:rsidRDefault="00216117">
            <w:pPr>
              <w:pStyle w:val="TableParagraph"/>
              <w:spacing w:before="19"/>
              <w:jc w:val="center"/>
              <w:rPr>
                <w:i/>
                <w:sz w:val="9"/>
              </w:rPr>
            </w:pPr>
            <w:r>
              <w:rPr>
                <w:i/>
                <w:w w:val="101"/>
                <w:sz w:val="9"/>
              </w:rPr>
              <w:t>-</w:t>
            </w:r>
          </w:p>
        </w:tc>
        <w:tc>
          <w:tcPr>
            <w:tcW w:w="866" w:type="dxa"/>
            <w:shd w:val="clear" w:color="auto" w:fill="FCE4D6"/>
          </w:tcPr>
          <w:p w14:paraId="0F0F1204" w14:textId="77777777" w:rsidR="00F65BCA" w:rsidRDefault="00216117">
            <w:pPr>
              <w:pStyle w:val="TableParagraph"/>
              <w:spacing w:before="19"/>
              <w:ind w:left="1"/>
              <w:jc w:val="center"/>
              <w:rPr>
                <w:i/>
                <w:sz w:val="9"/>
              </w:rPr>
            </w:pPr>
            <w:r>
              <w:rPr>
                <w:i/>
                <w:w w:val="101"/>
                <w:sz w:val="9"/>
              </w:rPr>
              <w:t>-</w:t>
            </w:r>
          </w:p>
        </w:tc>
        <w:tc>
          <w:tcPr>
            <w:tcW w:w="708" w:type="dxa"/>
            <w:shd w:val="clear" w:color="auto" w:fill="FCE4D6"/>
          </w:tcPr>
          <w:p w14:paraId="5032DFD8" w14:textId="77777777" w:rsidR="00F65BCA" w:rsidRDefault="00216117">
            <w:pPr>
              <w:pStyle w:val="TableParagraph"/>
              <w:spacing w:before="19"/>
              <w:ind w:left="19" w:right="17"/>
              <w:jc w:val="center"/>
              <w:rPr>
                <w:i/>
                <w:sz w:val="9"/>
              </w:rPr>
            </w:pPr>
            <w:r>
              <w:rPr>
                <w:i/>
                <w:sz w:val="9"/>
              </w:rPr>
              <w:t>&gt;5000 kg</w:t>
            </w:r>
          </w:p>
        </w:tc>
        <w:tc>
          <w:tcPr>
            <w:tcW w:w="991" w:type="dxa"/>
          </w:tcPr>
          <w:p w14:paraId="4AC24ABE" w14:textId="77777777" w:rsidR="00F65BCA" w:rsidRDefault="00216117">
            <w:pPr>
              <w:pStyle w:val="TableParagraph"/>
              <w:spacing w:before="19"/>
              <w:ind w:left="58" w:right="39"/>
              <w:jc w:val="center"/>
              <w:rPr>
                <w:sz w:val="9"/>
              </w:rPr>
            </w:pPr>
            <w:r>
              <w:rPr>
                <w:sz w:val="9"/>
              </w:rPr>
              <w:t>30 696,000</w:t>
            </w:r>
          </w:p>
        </w:tc>
      </w:tr>
      <w:tr w:rsidR="00F65BCA" w14:paraId="1B979BFA" w14:textId="77777777">
        <w:trPr>
          <w:trHeight w:val="371"/>
        </w:trPr>
        <w:tc>
          <w:tcPr>
            <w:tcW w:w="998" w:type="dxa"/>
            <w:shd w:val="clear" w:color="auto" w:fill="F8CBAD"/>
          </w:tcPr>
          <w:p w14:paraId="75B8A660" w14:textId="77777777" w:rsidR="00F65BCA" w:rsidRDefault="00F65BCA">
            <w:pPr>
              <w:pStyle w:val="TableParagraph"/>
              <w:spacing w:before="7"/>
              <w:rPr>
                <w:rFonts w:ascii="Calibri"/>
                <w:sz w:val="10"/>
              </w:rPr>
            </w:pPr>
          </w:p>
          <w:p w14:paraId="47D3A5EA" w14:textId="77777777" w:rsidR="00F65BCA" w:rsidRDefault="00216117">
            <w:pPr>
              <w:pStyle w:val="TableParagraph"/>
              <w:ind w:left="12"/>
              <w:jc w:val="center"/>
              <w:rPr>
                <w:b/>
                <w:sz w:val="9"/>
              </w:rPr>
            </w:pPr>
            <w:r>
              <w:rPr>
                <w:b/>
                <w:sz w:val="9"/>
              </w:rPr>
              <w:t>Pracovní stroje</w:t>
            </w:r>
          </w:p>
        </w:tc>
        <w:tc>
          <w:tcPr>
            <w:tcW w:w="866" w:type="dxa"/>
            <w:shd w:val="clear" w:color="auto" w:fill="F8CBAD"/>
          </w:tcPr>
          <w:p w14:paraId="1D90D15C" w14:textId="77777777" w:rsidR="00F65BCA" w:rsidRDefault="00F65BCA">
            <w:pPr>
              <w:pStyle w:val="TableParagraph"/>
              <w:spacing w:before="7"/>
              <w:rPr>
                <w:rFonts w:ascii="Calibri"/>
                <w:sz w:val="10"/>
              </w:rPr>
            </w:pPr>
          </w:p>
          <w:p w14:paraId="57BC779C" w14:textId="77777777" w:rsidR="00F65BCA" w:rsidRDefault="00216117">
            <w:pPr>
              <w:pStyle w:val="TableParagraph"/>
              <w:ind w:left="106" w:right="95"/>
              <w:jc w:val="center"/>
              <w:rPr>
                <w:b/>
                <w:sz w:val="9"/>
              </w:rPr>
            </w:pPr>
            <w:r>
              <w:rPr>
                <w:b/>
                <w:sz w:val="9"/>
              </w:rPr>
              <w:t>Objem motoru</w:t>
            </w:r>
          </w:p>
        </w:tc>
        <w:tc>
          <w:tcPr>
            <w:tcW w:w="866" w:type="dxa"/>
            <w:shd w:val="clear" w:color="auto" w:fill="F8CBAD"/>
          </w:tcPr>
          <w:p w14:paraId="7445768F" w14:textId="77777777" w:rsidR="00F65BCA" w:rsidRDefault="00F65BCA">
            <w:pPr>
              <w:pStyle w:val="TableParagraph"/>
              <w:spacing w:before="7"/>
              <w:rPr>
                <w:rFonts w:ascii="Calibri"/>
                <w:sz w:val="10"/>
              </w:rPr>
            </w:pPr>
          </w:p>
          <w:p w14:paraId="27E23274" w14:textId="77777777" w:rsidR="00F65BCA" w:rsidRDefault="00216117">
            <w:pPr>
              <w:pStyle w:val="TableParagraph"/>
              <w:ind w:left="106" w:right="92"/>
              <w:jc w:val="center"/>
              <w:rPr>
                <w:b/>
                <w:sz w:val="9"/>
              </w:rPr>
            </w:pPr>
            <w:r>
              <w:rPr>
                <w:b/>
                <w:sz w:val="9"/>
              </w:rPr>
              <w:t>Výkon motoru</w:t>
            </w:r>
          </w:p>
        </w:tc>
        <w:tc>
          <w:tcPr>
            <w:tcW w:w="708" w:type="dxa"/>
            <w:shd w:val="clear" w:color="auto" w:fill="F8CBAD"/>
          </w:tcPr>
          <w:p w14:paraId="2BB65233" w14:textId="77777777" w:rsidR="00F65BCA" w:rsidRDefault="00216117">
            <w:pPr>
              <w:pStyle w:val="TableParagraph"/>
              <w:spacing w:before="69" w:line="278" w:lineRule="auto"/>
              <w:ind w:left="147" w:right="121" w:firstLine="36"/>
              <w:rPr>
                <w:b/>
                <w:sz w:val="9"/>
              </w:rPr>
            </w:pPr>
            <w:r>
              <w:rPr>
                <w:b/>
                <w:sz w:val="9"/>
              </w:rPr>
              <w:t>Celková hmotnost</w:t>
            </w:r>
          </w:p>
        </w:tc>
        <w:tc>
          <w:tcPr>
            <w:tcW w:w="991" w:type="dxa"/>
            <w:shd w:val="clear" w:color="auto" w:fill="F8CBAD"/>
          </w:tcPr>
          <w:p w14:paraId="0C7C4200" w14:textId="77777777" w:rsidR="00F65BCA" w:rsidRDefault="00F65BCA">
            <w:pPr>
              <w:pStyle w:val="TableParagraph"/>
              <w:spacing w:before="7"/>
              <w:rPr>
                <w:rFonts w:ascii="Calibri"/>
                <w:sz w:val="10"/>
              </w:rPr>
            </w:pPr>
          </w:p>
          <w:p w14:paraId="15FCBAD1" w14:textId="77777777" w:rsidR="00F65BCA" w:rsidRDefault="00216117">
            <w:pPr>
              <w:pStyle w:val="TableParagraph"/>
              <w:ind w:left="58" w:right="46"/>
              <w:jc w:val="center"/>
              <w:rPr>
                <w:b/>
                <w:sz w:val="9"/>
              </w:rPr>
            </w:pPr>
            <w:r>
              <w:rPr>
                <w:b/>
                <w:sz w:val="9"/>
              </w:rPr>
              <w:t>Roční pojistné v Kč</w:t>
            </w:r>
          </w:p>
        </w:tc>
      </w:tr>
      <w:tr w:rsidR="00F65BCA" w14:paraId="19194ABB" w14:textId="77777777">
        <w:trPr>
          <w:trHeight w:val="153"/>
        </w:trPr>
        <w:tc>
          <w:tcPr>
            <w:tcW w:w="998" w:type="dxa"/>
            <w:shd w:val="clear" w:color="auto" w:fill="FCE4D6"/>
          </w:tcPr>
          <w:p w14:paraId="22477434" w14:textId="77777777" w:rsidR="00F65BCA" w:rsidRDefault="00216117">
            <w:pPr>
              <w:pStyle w:val="TableParagraph"/>
              <w:spacing w:before="19"/>
              <w:ind w:left="11"/>
              <w:jc w:val="center"/>
              <w:rPr>
                <w:sz w:val="9"/>
              </w:rPr>
            </w:pPr>
            <w:r>
              <w:rPr>
                <w:sz w:val="9"/>
              </w:rPr>
              <w:t>traktor</w:t>
            </w:r>
          </w:p>
        </w:tc>
        <w:tc>
          <w:tcPr>
            <w:tcW w:w="866" w:type="dxa"/>
            <w:shd w:val="clear" w:color="auto" w:fill="FCE4D6"/>
          </w:tcPr>
          <w:p w14:paraId="2A41B314" w14:textId="77777777" w:rsidR="00F65BCA" w:rsidRDefault="00216117">
            <w:pPr>
              <w:pStyle w:val="TableParagraph"/>
              <w:spacing w:before="19"/>
              <w:ind w:left="19"/>
              <w:jc w:val="center"/>
              <w:rPr>
                <w:sz w:val="9"/>
              </w:rPr>
            </w:pPr>
            <w:r>
              <w:rPr>
                <w:w w:val="101"/>
                <w:sz w:val="9"/>
              </w:rPr>
              <w:t>-</w:t>
            </w:r>
          </w:p>
        </w:tc>
        <w:tc>
          <w:tcPr>
            <w:tcW w:w="866" w:type="dxa"/>
            <w:shd w:val="clear" w:color="auto" w:fill="FCE4D6"/>
          </w:tcPr>
          <w:p w14:paraId="357FC4FB"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01B4AC4D" w14:textId="77777777" w:rsidR="00F65BCA" w:rsidRDefault="00216117">
            <w:pPr>
              <w:pStyle w:val="TableParagraph"/>
              <w:spacing w:before="19"/>
              <w:ind w:left="20"/>
              <w:jc w:val="center"/>
              <w:rPr>
                <w:sz w:val="9"/>
              </w:rPr>
            </w:pPr>
            <w:r>
              <w:rPr>
                <w:w w:val="101"/>
                <w:sz w:val="9"/>
              </w:rPr>
              <w:t>-</w:t>
            </w:r>
          </w:p>
        </w:tc>
        <w:tc>
          <w:tcPr>
            <w:tcW w:w="991" w:type="dxa"/>
          </w:tcPr>
          <w:p w14:paraId="0B42B4A8" w14:textId="77777777" w:rsidR="00F65BCA" w:rsidRDefault="00216117">
            <w:pPr>
              <w:pStyle w:val="TableParagraph"/>
              <w:spacing w:before="19"/>
              <w:ind w:left="58" w:right="39"/>
              <w:jc w:val="center"/>
              <w:rPr>
                <w:sz w:val="9"/>
              </w:rPr>
            </w:pPr>
            <w:r>
              <w:rPr>
                <w:sz w:val="9"/>
              </w:rPr>
              <w:t>687,91</w:t>
            </w:r>
          </w:p>
        </w:tc>
      </w:tr>
      <w:tr w:rsidR="00F65BCA" w14:paraId="15190623" w14:textId="77777777">
        <w:trPr>
          <w:trHeight w:val="220"/>
        </w:trPr>
        <w:tc>
          <w:tcPr>
            <w:tcW w:w="998" w:type="dxa"/>
            <w:shd w:val="clear" w:color="auto" w:fill="FCE4D6"/>
          </w:tcPr>
          <w:p w14:paraId="7A54AD28" w14:textId="77777777" w:rsidR="00F65BCA" w:rsidRDefault="00216117">
            <w:pPr>
              <w:pStyle w:val="TableParagraph"/>
              <w:spacing w:line="99" w:lineRule="exact"/>
              <w:ind w:left="191"/>
              <w:rPr>
                <w:sz w:val="9"/>
              </w:rPr>
            </w:pPr>
            <w:r>
              <w:rPr>
                <w:sz w:val="9"/>
              </w:rPr>
              <w:t>motorový vozík</w:t>
            </w:r>
          </w:p>
          <w:p w14:paraId="1D83C232" w14:textId="77777777" w:rsidR="00F65BCA" w:rsidRDefault="00216117">
            <w:pPr>
              <w:pStyle w:val="TableParagraph"/>
              <w:spacing w:before="11" w:line="90" w:lineRule="exact"/>
              <w:ind w:left="237"/>
              <w:rPr>
                <w:sz w:val="9"/>
              </w:rPr>
            </w:pPr>
            <w:r>
              <w:rPr>
                <w:sz w:val="9"/>
              </w:rPr>
              <w:t>(malotraktor)</w:t>
            </w:r>
          </w:p>
        </w:tc>
        <w:tc>
          <w:tcPr>
            <w:tcW w:w="866" w:type="dxa"/>
            <w:shd w:val="clear" w:color="auto" w:fill="FCE4D6"/>
          </w:tcPr>
          <w:p w14:paraId="62BDAE30" w14:textId="77777777" w:rsidR="00F65BCA" w:rsidRDefault="00216117">
            <w:pPr>
              <w:pStyle w:val="TableParagraph"/>
              <w:spacing w:before="53"/>
              <w:ind w:left="19"/>
              <w:jc w:val="center"/>
              <w:rPr>
                <w:sz w:val="9"/>
              </w:rPr>
            </w:pPr>
            <w:r>
              <w:rPr>
                <w:w w:val="101"/>
                <w:sz w:val="9"/>
              </w:rPr>
              <w:t>-</w:t>
            </w:r>
          </w:p>
        </w:tc>
        <w:tc>
          <w:tcPr>
            <w:tcW w:w="866" w:type="dxa"/>
            <w:shd w:val="clear" w:color="auto" w:fill="FCE4D6"/>
          </w:tcPr>
          <w:p w14:paraId="21D03FDB" w14:textId="77777777" w:rsidR="00F65BCA" w:rsidRDefault="00216117">
            <w:pPr>
              <w:pStyle w:val="TableParagraph"/>
              <w:spacing w:before="53"/>
              <w:ind w:left="20"/>
              <w:jc w:val="center"/>
              <w:rPr>
                <w:sz w:val="9"/>
              </w:rPr>
            </w:pPr>
            <w:r>
              <w:rPr>
                <w:w w:val="101"/>
                <w:sz w:val="9"/>
              </w:rPr>
              <w:t>-</w:t>
            </w:r>
          </w:p>
        </w:tc>
        <w:tc>
          <w:tcPr>
            <w:tcW w:w="708" w:type="dxa"/>
            <w:shd w:val="clear" w:color="auto" w:fill="FCE4D6"/>
          </w:tcPr>
          <w:p w14:paraId="4D2E74EC" w14:textId="77777777" w:rsidR="00F65BCA" w:rsidRDefault="00216117">
            <w:pPr>
              <w:pStyle w:val="TableParagraph"/>
              <w:spacing w:before="53"/>
              <w:ind w:left="20"/>
              <w:jc w:val="center"/>
              <w:rPr>
                <w:sz w:val="9"/>
              </w:rPr>
            </w:pPr>
            <w:r>
              <w:rPr>
                <w:w w:val="101"/>
                <w:sz w:val="9"/>
              </w:rPr>
              <w:t>-</w:t>
            </w:r>
          </w:p>
        </w:tc>
        <w:tc>
          <w:tcPr>
            <w:tcW w:w="991" w:type="dxa"/>
          </w:tcPr>
          <w:p w14:paraId="0A485CB3" w14:textId="77777777" w:rsidR="00F65BCA" w:rsidRDefault="00216117">
            <w:pPr>
              <w:pStyle w:val="TableParagraph"/>
              <w:spacing w:before="53"/>
              <w:ind w:left="58" w:right="39"/>
              <w:jc w:val="center"/>
              <w:rPr>
                <w:sz w:val="9"/>
              </w:rPr>
            </w:pPr>
            <w:r>
              <w:rPr>
                <w:sz w:val="9"/>
              </w:rPr>
              <w:t>364,39</w:t>
            </w:r>
          </w:p>
        </w:tc>
      </w:tr>
      <w:tr w:rsidR="00F65BCA" w14:paraId="09FDB237" w14:textId="77777777">
        <w:trPr>
          <w:trHeight w:val="220"/>
        </w:trPr>
        <w:tc>
          <w:tcPr>
            <w:tcW w:w="998" w:type="dxa"/>
            <w:shd w:val="clear" w:color="auto" w:fill="FCE4D6"/>
          </w:tcPr>
          <w:p w14:paraId="7C0D2EA6" w14:textId="77777777" w:rsidR="00F65BCA" w:rsidRDefault="00216117">
            <w:pPr>
              <w:pStyle w:val="TableParagraph"/>
              <w:spacing w:line="99" w:lineRule="exact"/>
              <w:ind w:left="222"/>
              <w:rPr>
                <w:sz w:val="9"/>
              </w:rPr>
            </w:pPr>
            <w:r>
              <w:rPr>
                <w:sz w:val="9"/>
              </w:rPr>
              <w:t>pracovní</w:t>
            </w:r>
            <w:r>
              <w:rPr>
                <w:spacing w:val="2"/>
                <w:sz w:val="9"/>
              </w:rPr>
              <w:t xml:space="preserve"> </w:t>
            </w:r>
            <w:r>
              <w:rPr>
                <w:sz w:val="9"/>
              </w:rPr>
              <w:t>stroj</w:t>
            </w:r>
          </w:p>
          <w:p w14:paraId="20C39084" w14:textId="77777777" w:rsidR="00F65BCA" w:rsidRDefault="00216117">
            <w:pPr>
              <w:pStyle w:val="TableParagraph"/>
              <w:spacing w:before="11" w:line="90" w:lineRule="exact"/>
              <w:ind w:left="268"/>
              <w:rPr>
                <w:sz w:val="9"/>
              </w:rPr>
            </w:pPr>
            <w:r>
              <w:rPr>
                <w:sz w:val="9"/>
              </w:rPr>
              <w:t>samojízdný</w:t>
            </w:r>
          </w:p>
        </w:tc>
        <w:tc>
          <w:tcPr>
            <w:tcW w:w="866" w:type="dxa"/>
            <w:shd w:val="clear" w:color="auto" w:fill="FCE4D6"/>
          </w:tcPr>
          <w:p w14:paraId="098BD553" w14:textId="77777777" w:rsidR="00F65BCA" w:rsidRDefault="00216117">
            <w:pPr>
              <w:pStyle w:val="TableParagraph"/>
              <w:spacing w:before="53"/>
              <w:ind w:left="19"/>
              <w:jc w:val="center"/>
              <w:rPr>
                <w:sz w:val="9"/>
              </w:rPr>
            </w:pPr>
            <w:r>
              <w:rPr>
                <w:w w:val="101"/>
                <w:sz w:val="9"/>
              </w:rPr>
              <w:t>-</w:t>
            </w:r>
          </w:p>
        </w:tc>
        <w:tc>
          <w:tcPr>
            <w:tcW w:w="866" w:type="dxa"/>
            <w:shd w:val="clear" w:color="auto" w:fill="FCE4D6"/>
          </w:tcPr>
          <w:p w14:paraId="54837B90" w14:textId="77777777" w:rsidR="00F65BCA" w:rsidRDefault="00216117">
            <w:pPr>
              <w:pStyle w:val="TableParagraph"/>
              <w:spacing w:before="53"/>
              <w:ind w:left="20"/>
              <w:jc w:val="center"/>
              <w:rPr>
                <w:sz w:val="9"/>
              </w:rPr>
            </w:pPr>
            <w:r>
              <w:rPr>
                <w:w w:val="101"/>
                <w:sz w:val="9"/>
              </w:rPr>
              <w:t>-</w:t>
            </w:r>
          </w:p>
        </w:tc>
        <w:tc>
          <w:tcPr>
            <w:tcW w:w="708" w:type="dxa"/>
            <w:shd w:val="clear" w:color="auto" w:fill="FCE4D6"/>
          </w:tcPr>
          <w:p w14:paraId="532815CF" w14:textId="77777777" w:rsidR="00F65BCA" w:rsidRDefault="00216117">
            <w:pPr>
              <w:pStyle w:val="TableParagraph"/>
              <w:spacing w:before="53"/>
              <w:ind w:left="20"/>
              <w:jc w:val="center"/>
              <w:rPr>
                <w:sz w:val="9"/>
              </w:rPr>
            </w:pPr>
            <w:r>
              <w:rPr>
                <w:w w:val="101"/>
                <w:sz w:val="9"/>
              </w:rPr>
              <w:t>-</w:t>
            </w:r>
          </w:p>
        </w:tc>
        <w:tc>
          <w:tcPr>
            <w:tcW w:w="991" w:type="dxa"/>
          </w:tcPr>
          <w:p w14:paraId="43D97F84" w14:textId="77777777" w:rsidR="00F65BCA" w:rsidRDefault="00216117">
            <w:pPr>
              <w:pStyle w:val="TableParagraph"/>
              <w:spacing w:before="53"/>
              <w:ind w:left="58" w:right="39"/>
              <w:jc w:val="center"/>
              <w:rPr>
                <w:sz w:val="9"/>
              </w:rPr>
            </w:pPr>
            <w:r>
              <w:rPr>
                <w:sz w:val="9"/>
              </w:rPr>
              <w:t>687,91</w:t>
            </w:r>
          </w:p>
        </w:tc>
      </w:tr>
      <w:tr w:rsidR="00F65BCA" w14:paraId="60912850" w14:textId="77777777">
        <w:trPr>
          <w:trHeight w:val="371"/>
        </w:trPr>
        <w:tc>
          <w:tcPr>
            <w:tcW w:w="998" w:type="dxa"/>
            <w:shd w:val="clear" w:color="auto" w:fill="F8CBAD"/>
          </w:tcPr>
          <w:p w14:paraId="64AA917D" w14:textId="77777777" w:rsidR="00F65BCA" w:rsidRDefault="00F65BCA">
            <w:pPr>
              <w:pStyle w:val="TableParagraph"/>
              <w:spacing w:before="7"/>
              <w:rPr>
                <w:rFonts w:ascii="Calibri"/>
                <w:sz w:val="10"/>
              </w:rPr>
            </w:pPr>
          </w:p>
          <w:p w14:paraId="7E9C5A5F" w14:textId="77777777" w:rsidR="00F65BCA" w:rsidRDefault="00216117">
            <w:pPr>
              <w:pStyle w:val="TableParagraph"/>
              <w:ind w:left="15"/>
              <w:jc w:val="center"/>
              <w:rPr>
                <w:b/>
                <w:sz w:val="9"/>
              </w:rPr>
            </w:pPr>
            <w:r>
              <w:rPr>
                <w:b/>
                <w:sz w:val="9"/>
              </w:rPr>
              <w:t>Motocykly a čtyřkolky</w:t>
            </w:r>
          </w:p>
        </w:tc>
        <w:tc>
          <w:tcPr>
            <w:tcW w:w="866" w:type="dxa"/>
            <w:shd w:val="clear" w:color="auto" w:fill="F8CBAD"/>
          </w:tcPr>
          <w:p w14:paraId="4F43F947" w14:textId="77777777" w:rsidR="00F65BCA" w:rsidRDefault="00F65BCA">
            <w:pPr>
              <w:pStyle w:val="TableParagraph"/>
              <w:spacing w:before="7"/>
              <w:rPr>
                <w:rFonts w:ascii="Calibri"/>
                <w:sz w:val="10"/>
              </w:rPr>
            </w:pPr>
          </w:p>
          <w:p w14:paraId="7DBF01EA" w14:textId="77777777" w:rsidR="00F65BCA" w:rsidRDefault="00216117">
            <w:pPr>
              <w:pStyle w:val="TableParagraph"/>
              <w:ind w:left="106" w:right="95"/>
              <w:jc w:val="center"/>
              <w:rPr>
                <w:b/>
                <w:sz w:val="9"/>
              </w:rPr>
            </w:pPr>
            <w:r>
              <w:rPr>
                <w:b/>
                <w:sz w:val="9"/>
              </w:rPr>
              <w:t>Objem motoru</w:t>
            </w:r>
          </w:p>
        </w:tc>
        <w:tc>
          <w:tcPr>
            <w:tcW w:w="866" w:type="dxa"/>
            <w:shd w:val="clear" w:color="auto" w:fill="F8CBAD"/>
          </w:tcPr>
          <w:p w14:paraId="23B96825" w14:textId="77777777" w:rsidR="00F65BCA" w:rsidRDefault="00F65BCA">
            <w:pPr>
              <w:pStyle w:val="TableParagraph"/>
              <w:spacing w:before="7"/>
              <w:rPr>
                <w:rFonts w:ascii="Calibri"/>
                <w:sz w:val="10"/>
              </w:rPr>
            </w:pPr>
          </w:p>
          <w:p w14:paraId="1ADD09EB" w14:textId="77777777" w:rsidR="00F65BCA" w:rsidRDefault="00216117">
            <w:pPr>
              <w:pStyle w:val="TableParagraph"/>
              <w:ind w:left="106" w:right="92"/>
              <w:jc w:val="center"/>
              <w:rPr>
                <w:b/>
                <w:sz w:val="9"/>
              </w:rPr>
            </w:pPr>
            <w:r>
              <w:rPr>
                <w:b/>
                <w:sz w:val="9"/>
              </w:rPr>
              <w:t>Výkon motoru</w:t>
            </w:r>
          </w:p>
        </w:tc>
        <w:tc>
          <w:tcPr>
            <w:tcW w:w="708" w:type="dxa"/>
            <w:shd w:val="clear" w:color="auto" w:fill="F8CBAD"/>
          </w:tcPr>
          <w:p w14:paraId="2CD231DF" w14:textId="77777777" w:rsidR="00F65BCA" w:rsidRDefault="00216117">
            <w:pPr>
              <w:pStyle w:val="TableParagraph"/>
              <w:spacing w:before="69" w:line="278" w:lineRule="auto"/>
              <w:ind w:left="147" w:right="121" w:firstLine="36"/>
              <w:rPr>
                <w:b/>
                <w:sz w:val="9"/>
              </w:rPr>
            </w:pPr>
            <w:r>
              <w:rPr>
                <w:b/>
                <w:sz w:val="9"/>
              </w:rPr>
              <w:t>Celková hmotnost</w:t>
            </w:r>
          </w:p>
        </w:tc>
        <w:tc>
          <w:tcPr>
            <w:tcW w:w="991" w:type="dxa"/>
            <w:shd w:val="clear" w:color="auto" w:fill="F8CBAD"/>
          </w:tcPr>
          <w:p w14:paraId="16D00604" w14:textId="77777777" w:rsidR="00F65BCA" w:rsidRDefault="00F65BCA">
            <w:pPr>
              <w:pStyle w:val="TableParagraph"/>
              <w:spacing w:before="7"/>
              <w:rPr>
                <w:rFonts w:ascii="Calibri"/>
                <w:sz w:val="10"/>
              </w:rPr>
            </w:pPr>
          </w:p>
          <w:p w14:paraId="45837E4D" w14:textId="77777777" w:rsidR="00F65BCA" w:rsidRDefault="00216117">
            <w:pPr>
              <w:pStyle w:val="TableParagraph"/>
              <w:ind w:left="58" w:right="46"/>
              <w:jc w:val="center"/>
              <w:rPr>
                <w:b/>
                <w:sz w:val="9"/>
              </w:rPr>
            </w:pPr>
            <w:r>
              <w:rPr>
                <w:b/>
                <w:sz w:val="9"/>
              </w:rPr>
              <w:t>Roční pojistné v Kč</w:t>
            </w:r>
          </w:p>
        </w:tc>
      </w:tr>
      <w:tr w:rsidR="00F65BCA" w14:paraId="533B4FEE" w14:textId="77777777">
        <w:trPr>
          <w:trHeight w:val="153"/>
        </w:trPr>
        <w:tc>
          <w:tcPr>
            <w:tcW w:w="998" w:type="dxa"/>
            <w:vMerge w:val="restart"/>
            <w:shd w:val="clear" w:color="auto" w:fill="FCE4D6"/>
          </w:tcPr>
          <w:p w14:paraId="3BC464D2" w14:textId="77777777" w:rsidR="00F65BCA" w:rsidRDefault="00F65BCA">
            <w:pPr>
              <w:pStyle w:val="TableParagraph"/>
              <w:rPr>
                <w:rFonts w:ascii="Calibri"/>
                <w:sz w:val="10"/>
              </w:rPr>
            </w:pPr>
          </w:p>
          <w:p w14:paraId="785CAB5F" w14:textId="77777777" w:rsidR="00F65BCA" w:rsidRDefault="00F65BCA">
            <w:pPr>
              <w:pStyle w:val="TableParagraph"/>
              <w:spacing w:before="3"/>
              <w:rPr>
                <w:rFonts w:ascii="Calibri"/>
                <w:sz w:val="11"/>
              </w:rPr>
            </w:pPr>
          </w:p>
          <w:p w14:paraId="1627489C" w14:textId="77777777" w:rsidR="00F65BCA" w:rsidRDefault="00216117">
            <w:pPr>
              <w:pStyle w:val="TableParagraph"/>
              <w:ind w:left="316"/>
              <w:rPr>
                <w:sz w:val="9"/>
              </w:rPr>
            </w:pPr>
            <w:r>
              <w:rPr>
                <w:sz w:val="9"/>
              </w:rPr>
              <w:t>motocykl</w:t>
            </w:r>
          </w:p>
        </w:tc>
        <w:tc>
          <w:tcPr>
            <w:tcW w:w="866" w:type="dxa"/>
            <w:shd w:val="clear" w:color="auto" w:fill="FCE4D6"/>
          </w:tcPr>
          <w:p w14:paraId="7C194E21" w14:textId="77777777" w:rsidR="00F65BCA" w:rsidRDefault="00216117">
            <w:pPr>
              <w:pStyle w:val="TableParagraph"/>
              <w:spacing w:before="19"/>
              <w:ind w:left="106" w:right="92"/>
              <w:jc w:val="center"/>
              <w:rPr>
                <w:sz w:val="9"/>
              </w:rPr>
            </w:pPr>
            <w:r>
              <w:rPr>
                <w:sz w:val="9"/>
              </w:rPr>
              <w:t>0-50 ccm</w:t>
            </w:r>
          </w:p>
        </w:tc>
        <w:tc>
          <w:tcPr>
            <w:tcW w:w="866" w:type="dxa"/>
            <w:shd w:val="clear" w:color="auto" w:fill="FCE4D6"/>
          </w:tcPr>
          <w:p w14:paraId="71D73070"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676A1A9E" w14:textId="77777777" w:rsidR="00F65BCA" w:rsidRDefault="00216117">
            <w:pPr>
              <w:pStyle w:val="TableParagraph"/>
              <w:spacing w:before="19"/>
              <w:ind w:left="20"/>
              <w:jc w:val="center"/>
              <w:rPr>
                <w:sz w:val="9"/>
              </w:rPr>
            </w:pPr>
            <w:r>
              <w:rPr>
                <w:w w:val="101"/>
                <w:sz w:val="9"/>
              </w:rPr>
              <w:t>-</w:t>
            </w:r>
          </w:p>
        </w:tc>
        <w:tc>
          <w:tcPr>
            <w:tcW w:w="991" w:type="dxa"/>
          </w:tcPr>
          <w:p w14:paraId="6C8C08D2" w14:textId="77777777" w:rsidR="00F65BCA" w:rsidRDefault="00216117">
            <w:pPr>
              <w:pStyle w:val="TableParagraph"/>
              <w:spacing w:before="19"/>
              <w:ind w:left="58" w:right="39"/>
              <w:jc w:val="center"/>
              <w:rPr>
                <w:sz w:val="9"/>
              </w:rPr>
            </w:pPr>
            <w:r>
              <w:rPr>
                <w:sz w:val="9"/>
              </w:rPr>
              <w:t>739,8696</w:t>
            </w:r>
          </w:p>
        </w:tc>
      </w:tr>
      <w:tr w:rsidR="00F65BCA" w14:paraId="645E783A" w14:textId="77777777">
        <w:trPr>
          <w:trHeight w:val="153"/>
        </w:trPr>
        <w:tc>
          <w:tcPr>
            <w:tcW w:w="998" w:type="dxa"/>
            <w:vMerge/>
            <w:tcBorders>
              <w:top w:val="nil"/>
            </w:tcBorders>
            <w:shd w:val="clear" w:color="auto" w:fill="FCE4D6"/>
          </w:tcPr>
          <w:p w14:paraId="2576502E" w14:textId="77777777" w:rsidR="00F65BCA" w:rsidRDefault="00F65BCA">
            <w:pPr>
              <w:rPr>
                <w:sz w:val="2"/>
                <w:szCs w:val="2"/>
              </w:rPr>
            </w:pPr>
          </w:p>
        </w:tc>
        <w:tc>
          <w:tcPr>
            <w:tcW w:w="866" w:type="dxa"/>
            <w:shd w:val="clear" w:color="auto" w:fill="FCE4D6"/>
          </w:tcPr>
          <w:p w14:paraId="46EEABB5" w14:textId="77777777" w:rsidR="00F65BCA" w:rsidRDefault="00216117">
            <w:pPr>
              <w:pStyle w:val="TableParagraph"/>
              <w:spacing w:before="19"/>
              <w:ind w:left="106" w:right="92"/>
              <w:jc w:val="center"/>
              <w:rPr>
                <w:sz w:val="9"/>
              </w:rPr>
            </w:pPr>
            <w:r>
              <w:rPr>
                <w:sz w:val="9"/>
              </w:rPr>
              <w:t>51-350 ccm</w:t>
            </w:r>
          </w:p>
        </w:tc>
        <w:tc>
          <w:tcPr>
            <w:tcW w:w="866" w:type="dxa"/>
            <w:shd w:val="clear" w:color="auto" w:fill="FCE4D6"/>
          </w:tcPr>
          <w:p w14:paraId="4D3E2508"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641F7B6C" w14:textId="77777777" w:rsidR="00F65BCA" w:rsidRDefault="00216117">
            <w:pPr>
              <w:pStyle w:val="TableParagraph"/>
              <w:spacing w:before="19"/>
              <w:ind w:left="20"/>
              <w:jc w:val="center"/>
              <w:rPr>
                <w:sz w:val="9"/>
              </w:rPr>
            </w:pPr>
            <w:r>
              <w:rPr>
                <w:w w:val="101"/>
                <w:sz w:val="9"/>
              </w:rPr>
              <w:t>-</w:t>
            </w:r>
          </w:p>
        </w:tc>
        <w:tc>
          <w:tcPr>
            <w:tcW w:w="991" w:type="dxa"/>
          </w:tcPr>
          <w:p w14:paraId="26CEBE12" w14:textId="77777777" w:rsidR="00F65BCA" w:rsidRDefault="00216117">
            <w:pPr>
              <w:pStyle w:val="TableParagraph"/>
              <w:spacing w:before="19"/>
              <w:ind w:left="58" w:right="39"/>
              <w:jc w:val="center"/>
              <w:rPr>
                <w:sz w:val="9"/>
              </w:rPr>
            </w:pPr>
            <w:r>
              <w:rPr>
                <w:sz w:val="9"/>
              </w:rPr>
              <w:t>1 694,3014</w:t>
            </w:r>
          </w:p>
        </w:tc>
      </w:tr>
      <w:tr w:rsidR="00F65BCA" w14:paraId="5D192DD0" w14:textId="77777777">
        <w:trPr>
          <w:trHeight w:val="153"/>
        </w:trPr>
        <w:tc>
          <w:tcPr>
            <w:tcW w:w="998" w:type="dxa"/>
            <w:vMerge/>
            <w:tcBorders>
              <w:top w:val="nil"/>
            </w:tcBorders>
            <w:shd w:val="clear" w:color="auto" w:fill="FCE4D6"/>
          </w:tcPr>
          <w:p w14:paraId="1737320C" w14:textId="77777777" w:rsidR="00F65BCA" w:rsidRDefault="00F65BCA">
            <w:pPr>
              <w:rPr>
                <w:sz w:val="2"/>
                <w:szCs w:val="2"/>
              </w:rPr>
            </w:pPr>
          </w:p>
        </w:tc>
        <w:tc>
          <w:tcPr>
            <w:tcW w:w="866" w:type="dxa"/>
            <w:shd w:val="clear" w:color="auto" w:fill="FCE4D6"/>
          </w:tcPr>
          <w:p w14:paraId="3B87BC31" w14:textId="77777777" w:rsidR="00F65BCA" w:rsidRDefault="00216117">
            <w:pPr>
              <w:pStyle w:val="TableParagraph"/>
              <w:spacing w:before="19"/>
              <w:ind w:left="106" w:right="89"/>
              <w:jc w:val="center"/>
              <w:rPr>
                <w:sz w:val="9"/>
              </w:rPr>
            </w:pPr>
            <w:r>
              <w:rPr>
                <w:sz w:val="9"/>
              </w:rPr>
              <w:t>351-500 ccm</w:t>
            </w:r>
          </w:p>
        </w:tc>
        <w:tc>
          <w:tcPr>
            <w:tcW w:w="866" w:type="dxa"/>
            <w:shd w:val="clear" w:color="auto" w:fill="FCE4D6"/>
          </w:tcPr>
          <w:p w14:paraId="614B88BA"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29C93B1D" w14:textId="77777777" w:rsidR="00F65BCA" w:rsidRDefault="00216117">
            <w:pPr>
              <w:pStyle w:val="TableParagraph"/>
              <w:spacing w:before="19"/>
              <w:ind w:left="20"/>
              <w:jc w:val="center"/>
              <w:rPr>
                <w:sz w:val="9"/>
              </w:rPr>
            </w:pPr>
            <w:r>
              <w:rPr>
                <w:w w:val="101"/>
                <w:sz w:val="9"/>
              </w:rPr>
              <w:t>-</w:t>
            </w:r>
          </w:p>
        </w:tc>
        <w:tc>
          <w:tcPr>
            <w:tcW w:w="991" w:type="dxa"/>
          </w:tcPr>
          <w:p w14:paraId="27ED7E76" w14:textId="77777777" w:rsidR="00F65BCA" w:rsidRDefault="00216117">
            <w:pPr>
              <w:pStyle w:val="TableParagraph"/>
              <w:spacing w:before="19"/>
              <w:ind w:left="58" w:right="39"/>
              <w:jc w:val="center"/>
              <w:rPr>
                <w:sz w:val="9"/>
              </w:rPr>
            </w:pPr>
            <w:r>
              <w:rPr>
                <w:sz w:val="9"/>
              </w:rPr>
              <w:t>4 920,1328</w:t>
            </w:r>
          </w:p>
        </w:tc>
      </w:tr>
      <w:tr w:rsidR="00F65BCA" w14:paraId="62B2441D" w14:textId="77777777">
        <w:trPr>
          <w:trHeight w:val="153"/>
        </w:trPr>
        <w:tc>
          <w:tcPr>
            <w:tcW w:w="998" w:type="dxa"/>
            <w:vMerge/>
            <w:tcBorders>
              <w:top w:val="nil"/>
            </w:tcBorders>
            <w:shd w:val="clear" w:color="auto" w:fill="FCE4D6"/>
          </w:tcPr>
          <w:p w14:paraId="29FF6034" w14:textId="77777777" w:rsidR="00F65BCA" w:rsidRDefault="00F65BCA">
            <w:pPr>
              <w:rPr>
                <w:sz w:val="2"/>
                <w:szCs w:val="2"/>
              </w:rPr>
            </w:pPr>
          </w:p>
        </w:tc>
        <w:tc>
          <w:tcPr>
            <w:tcW w:w="866" w:type="dxa"/>
            <w:shd w:val="clear" w:color="auto" w:fill="FCE4D6"/>
          </w:tcPr>
          <w:p w14:paraId="451A63FC" w14:textId="77777777" w:rsidR="00F65BCA" w:rsidRDefault="00216117">
            <w:pPr>
              <w:pStyle w:val="TableParagraph"/>
              <w:spacing w:before="19"/>
              <w:ind w:left="106" w:right="89"/>
              <w:jc w:val="center"/>
              <w:rPr>
                <w:sz w:val="9"/>
              </w:rPr>
            </w:pPr>
            <w:r>
              <w:rPr>
                <w:sz w:val="9"/>
              </w:rPr>
              <w:t>&gt;500 ccm</w:t>
            </w:r>
          </w:p>
        </w:tc>
        <w:tc>
          <w:tcPr>
            <w:tcW w:w="866" w:type="dxa"/>
            <w:shd w:val="clear" w:color="auto" w:fill="FCE4D6"/>
          </w:tcPr>
          <w:p w14:paraId="207AA420"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1BF7107B" w14:textId="77777777" w:rsidR="00F65BCA" w:rsidRDefault="00216117">
            <w:pPr>
              <w:pStyle w:val="TableParagraph"/>
              <w:spacing w:before="19"/>
              <w:ind w:left="20"/>
              <w:jc w:val="center"/>
              <w:rPr>
                <w:sz w:val="9"/>
              </w:rPr>
            </w:pPr>
            <w:r>
              <w:rPr>
                <w:w w:val="101"/>
                <w:sz w:val="9"/>
              </w:rPr>
              <w:t>-</w:t>
            </w:r>
          </w:p>
        </w:tc>
        <w:tc>
          <w:tcPr>
            <w:tcW w:w="991" w:type="dxa"/>
          </w:tcPr>
          <w:p w14:paraId="704002A4" w14:textId="77777777" w:rsidR="00F65BCA" w:rsidRDefault="00216117">
            <w:pPr>
              <w:pStyle w:val="TableParagraph"/>
              <w:spacing w:before="19"/>
              <w:ind w:left="58" w:right="39"/>
              <w:jc w:val="center"/>
              <w:rPr>
                <w:sz w:val="9"/>
              </w:rPr>
            </w:pPr>
            <w:r>
              <w:rPr>
                <w:sz w:val="9"/>
              </w:rPr>
              <w:t>6 052,1333</w:t>
            </w:r>
          </w:p>
        </w:tc>
      </w:tr>
      <w:tr w:rsidR="00F65BCA" w14:paraId="02B8ECD7" w14:textId="77777777">
        <w:trPr>
          <w:trHeight w:val="153"/>
        </w:trPr>
        <w:tc>
          <w:tcPr>
            <w:tcW w:w="998" w:type="dxa"/>
            <w:vMerge w:val="restart"/>
            <w:shd w:val="clear" w:color="auto" w:fill="FCE4D6"/>
          </w:tcPr>
          <w:p w14:paraId="6BEBF429" w14:textId="77777777" w:rsidR="00F65BCA" w:rsidRDefault="00F65BCA">
            <w:pPr>
              <w:pStyle w:val="TableParagraph"/>
              <w:rPr>
                <w:rFonts w:ascii="Calibri"/>
                <w:sz w:val="10"/>
              </w:rPr>
            </w:pPr>
          </w:p>
          <w:p w14:paraId="5602AAC0" w14:textId="77777777" w:rsidR="00F65BCA" w:rsidRDefault="00F65BCA">
            <w:pPr>
              <w:pStyle w:val="TableParagraph"/>
              <w:spacing w:before="3"/>
              <w:rPr>
                <w:rFonts w:ascii="Calibri"/>
                <w:sz w:val="11"/>
              </w:rPr>
            </w:pPr>
          </w:p>
          <w:p w14:paraId="3F5D6A48" w14:textId="77777777" w:rsidR="00F65BCA" w:rsidRDefault="00216117">
            <w:pPr>
              <w:pStyle w:val="TableParagraph"/>
              <w:ind w:left="122"/>
              <w:rPr>
                <w:sz w:val="9"/>
              </w:rPr>
            </w:pPr>
            <w:r>
              <w:rPr>
                <w:sz w:val="9"/>
              </w:rPr>
              <w:t>tříkolky a čtyřkolky</w:t>
            </w:r>
          </w:p>
        </w:tc>
        <w:tc>
          <w:tcPr>
            <w:tcW w:w="866" w:type="dxa"/>
            <w:shd w:val="clear" w:color="auto" w:fill="FCE4D6"/>
          </w:tcPr>
          <w:p w14:paraId="7DC32086" w14:textId="77777777" w:rsidR="00F65BCA" w:rsidRDefault="00216117">
            <w:pPr>
              <w:pStyle w:val="TableParagraph"/>
              <w:spacing w:before="19"/>
              <w:ind w:left="106" w:right="92"/>
              <w:jc w:val="center"/>
              <w:rPr>
                <w:sz w:val="9"/>
              </w:rPr>
            </w:pPr>
            <w:r>
              <w:rPr>
                <w:sz w:val="9"/>
              </w:rPr>
              <w:t>0-50 ccm</w:t>
            </w:r>
          </w:p>
        </w:tc>
        <w:tc>
          <w:tcPr>
            <w:tcW w:w="866" w:type="dxa"/>
            <w:shd w:val="clear" w:color="auto" w:fill="FCE4D6"/>
          </w:tcPr>
          <w:p w14:paraId="41C3A2C0"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09477326" w14:textId="77777777" w:rsidR="00F65BCA" w:rsidRDefault="00216117">
            <w:pPr>
              <w:pStyle w:val="TableParagraph"/>
              <w:spacing w:before="19"/>
              <w:ind w:left="20"/>
              <w:jc w:val="center"/>
              <w:rPr>
                <w:sz w:val="9"/>
              </w:rPr>
            </w:pPr>
            <w:r>
              <w:rPr>
                <w:w w:val="101"/>
                <w:sz w:val="9"/>
              </w:rPr>
              <w:t>-</w:t>
            </w:r>
          </w:p>
        </w:tc>
        <w:tc>
          <w:tcPr>
            <w:tcW w:w="991" w:type="dxa"/>
          </w:tcPr>
          <w:p w14:paraId="151932A7" w14:textId="77777777" w:rsidR="00F65BCA" w:rsidRDefault="00216117">
            <w:pPr>
              <w:pStyle w:val="TableParagraph"/>
              <w:spacing w:before="19"/>
              <w:ind w:left="58" w:right="39"/>
              <w:jc w:val="center"/>
              <w:rPr>
                <w:sz w:val="9"/>
              </w:rPr>
            </w:pPr>
            <w:r>
              <w:rPr>
                <w:sz w:val="9"/>
              </w:rPr>
              <w:t>739,8696</w:t>
            </w:r>
          </w:p>
        </w:tc>
      </w:tr>
      <w:tr w:rsidR="00F65BCA" w14:paraId="6C9FAE4A" w14:textId="77777777">
        <w:trPr>
          <w:trHeight w:val="153"/>
        </w:trPr>
        <w:tc>
          <w:tcPr>
            <w:tcW w:w="998" w:type="dxa"/>
            <w:vMerge/>
            <w:tcBorders>
              <w:top w:val="nil"/>
            </w:tcBorders>
            <w:shd w:val="clear" w:color="auto" w:fill="FCE4D6"/>
          </w:tcPr>
          <w:p w14:paraId="0B62A21D" w14:textId="77777777" w:rsidR="00F65BCA" w:rsidRDefault="00F65BCA">
            <w:pPr>
              <w:rPr>
                <w:sz w:val="2"/>
                <w:szCs w:val="2"/>
              </w:rPr>
            </w:pPr>
          </w:p>
        </w:tc>
        <w:tc>
          <w:tcPr>
            <w:tcW w:w="866" w:type="dxa"/>
            <w:shd w:val="clear" w:color="auto" w:fill="FCE4D6"/>
          </w:tcPr>
          <w:p w14:paraId="61F1FA3E" w14:textId="77777777" w:rsidR="00F65BCA" w:rsidRDefault="00216117">
            <w:pPr>
              <w:pStyle w:val="TableParagraph"/>
              <w:spacing w:before="19"/>
              <w:ind w:left="106" w:right="92"/>
              <w:jc w:val="center"/>
              <w:rPr>
                <w:sz w:val="9"/>
              </w:rPr>
            </w:pPr>
            <w:r>
              <w:rPr>
                <w:sz w:val="9"/>
              </w:rPr>
              <w:t>51-350 ccm</w:t>
            </w:r>
          </w:p>
        </w:tc>
        <w:tc>
          <w:tcPr>
            <w:tcW w:w="866" w:type="dxa"/>
            <w:shd w:val="clear" w:color="auto" w:fill="FCE4D6"/>
          </w:tcPr>
          <w:p w14:paraId="1B1A06D7"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508526FE" w14:textId="77777777" w:rsidR="00F65BCA" w:rsidRDefault="00216117">
            <w:pPr>
              <w:pStyle w:val="TableParagraph"/>
              <w:spacing w:before="19"/>
              <w:ind w:left="20"/>
              <w:jc w:val="center"/>
              <w:rPr>
                <w:sz w:val="9"/>
              </w:rPr>
            </w:pPr>
            <w:r>
              <w:rPr>
                <w:w w:val="101"/>
                <w:sz w:val="9"/>
              </w:rPr>
              <w:t>-</w:t>
            </w:r>
          </w:p>
        </w:tc>
        <w:tc>
          <w:tcPr>
            <w:tcW w:w="991" w:type="dxa"/>
          </w:tcPr>
          <w:p w14:paraId="1F35C3A7" w14:textId="77777777" w:rsidR="00F65BCA" w:rsidRDefault="00216117">
            <w:pPr>
              <w:pStyle w:val="TableParagraph"/>
              <w:spacing w:before="19"/>
              <w:ind w:left="58" w:right="39"/>
              <w:jc w:val="center"/>
              <w:rPr>
                <w:sz w:val="9"/>
              </w:rPr>
            </w:pPr>
            <w:r>
              <w:rPr>
                <w:sz w:val="9"/>
              </w:rPr>
              <w:t>1 694,3014</w:t>
            </w:r>
          </w:p>
        </w:tc>
      </w:tr>
      <w:tr w:rsidR="00F65BCA" w14:paraId="622A909B" w14:textId="77777777">
        <w:trPr>
          <w:trHeight w:val="153"/>
        </w:trPr>
        <w:tc>
          <w:tcPr>
            <w:tcW w:w="998" w:type="dxa"/>
            <w:vMerge/>
            <w:tcBorders>
              <w:top w:val="nil"/>
            </w:tcBorders>
            <w:shd w:val="clear" w:color="auto" w:fill="FCE4D6"/>
          </w:tcPr>
          <w:p w14:paraId="44EE37CE" w14:textId="77777777" w:rsidR="00F65BCA" w:rsidRDefault="00F65BCA">
            <w:pPr>
              <w:rPr>
                <w:sz w:val="2"/>
                <w:szCs w:val="2"/>
              </w:rPr>
            </w:pPr>
          </w:p>
        </w:tc>
        <w:tc>
          <w:tcPr>
            <w:tcW w:w="866" w:type="dxa"/>
            <w:shd w:val="clear" w:color="auto" w:fill="FCE4D6"/>
          </w:tcPr>
          <w:p w14:paraId="01DFBB79" w14:textId="77777777" w:rsidR="00F65BCA" w:rsidRDefault="00216117">
            <w:pPr>
              <w:pStyle w:val="TableParagraph"/>
              <w:spacing w:before="19"/>
              <w:ind w:left="106" w:right="89"/>
              <w:jc w:val="center"/>
              <w:rPr>
                <w:sz w:val="9"/>
              </w:rPr>
            </w:pPr>
            <w:r>
              <w:rPr>
                <w:sz w:val="9"/>
              </w:rPr>
              <w:t>351-500 ccm</w:t>
            </w:r>
          </w:p>
        </w:tc>
        <w:tc>
          <w:tcPr>
            <w:tcW w:w="866" w:type="dxa"/>
            <w:shd w:val="clear" w:color="auto" w:fill="FCE4D6"/>
          </w:tcPr>
          <w:p w14:paraId="7F27B811"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31CD5D57" w14:textId="77777777" w:rsidR="00F65BCA" w:rsidRDefault="00216117">
            <w:pPr>
              <w:pStyle w:val="TableParagraph"/>
              <w:spacing w:before="19"/>
              <w:ind w:left="20"/>
              <w:jc w:val="center"/>
              <w:rPr>
                <w:sz w:val="9"/>
              </w:rPr>
            </w:pPr>
            <w:r>
              <w:rPr>
                <w:w w:val="101"/>
                <w:sz w:val="9"/>
              </w:rPr>
              <w:t>-</w:t>
            </w:r>
          </w:p>
        </w:tc>
        <w:tc>
          <w:tcPr>
            <w:tcW w:w="991" w:type="dxa"/>
          </w:tcPr>
          <w:p w14:paraId="2E829212" w14:textId="77777777" w:rsidR="00F65BCA" w:rsidRDefault="00216117">
            <w:pPr>
              <w:pStyle w:val="TableParagraph"/>
              <w:spacing w:before="19"/>
              <w:ind w:left="58" w:right="39"/>
              <w:jc w:val="center"/>
              <w:rPr>
                <w:sz w:val="9"/>
              </w:rPr>
            </w:pPr>
            <w:r>
              <w:rPr>
                <w:sz w:val="9"/>
              </w:rPr>
              <w:t>4 920,1328</w:t>
            </w:r>
          </w:p>
        </w:tc>
      </w:tr>
      <w:tr w:rsidR="00F65BCA" w14:paraId="4351BBE6" w14:textId="77777777">
        <w:trPr>
          <w:trHeight w:val="153"/>
        </w:trPr>
        <w:tc>
          <w:tcPr>
            <w:tcW w:w="998" w:type="dxa"/>
            <w:vMerge/>
            <w:tcBorders>
              <w:top w:val="nil"/>
            </w:tcBorders>
            <w:shd w:val="clear" w:color="auto" w:fill="FCE4D6"/>
          </w:tcPr>
          <w:p w14:paraId="15FA82DF" w14:textId="77777777" w:rsidR="00F65BCA" w:rsidRDefault="00F65BCA">
            <w:pPr>
              <w:rPr>
                <w:sz w:val="2"/>
                <w:szCs w:val="2"/>
              </w:rPr>
            </w:pPr>
          </w:p>
        </w:tc>
        <w:tc>
          <w:tcPr>
            <w:tcW w:w="866" w:type="dxa"/>
            <w:shd w:val="clear" w:color="auto" w:fill="FCE4D6"/>
          </w:tcPr>
          <w:p w14:paraId="467B6274" w14:textId="77777777" w:rsidR="00F65BCA" w:rsidRDefault="00216117">
            <w:pPr>
              <w:pStyle w:val="TableParagraph"/>
              <w:spacing w:before="19"/>
              <w:ind w:left="106" w:right="89"/>
              <w:jc w:val="center"/>
              <w:rPr>
                <w:sz w:val="9"/>
              </w:rPr>
            </w:pPr>
            <w:r>
              <w:rPr>
                <w:sz w:val="9"/>
              </w:rPr>
              <w:t>&gt;500 ccm</w:t>
            </w:r>
          </w:p>
        </w:tc>
        <w:tc>
          <w:tcPr>
            <w:tcW w:w="866" w:type="dxa"/>
            <w:shd w:val="clear" w:color="auto" w:fill="FCE4D6"/>
          </w:tcPr>
          <w:p w14:paraId="067CD3E3"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7DD95379" w14:textId="77777777" w:rsidR="00F65BCA" w:rsidRDefault="00216117">
            <w:pPr>
              <w:pStyle w:val="TableParagraph"/>
              <w:spacing w:before="19"/>
              <w:ind w:left="20"/>
              <w:jc w:val="center"/>
              <w:rPr>
                <w:sz w:val="9"/>
              </w:rPr>
            </w:pPr>
            <w:r>
              <w:rPr>
                <w:w w:val="101"/>
                <w:sz w:val="9"/>
              </w:rPr>
              <w:t>-</w:t>
            </w:r>
          </w:p>
        </w:tc>
        <w:tc>
          <w:tcPr>
            <w:tcW w:w="991" w:type="dxa"/>
          </w:tcPr>
          <w:p w14:paraId="15644903" w14:textId="77777777" w:rsidR="00F65BCA" w:rsidRDefault="00216117">
            <w:pPr>
              <w:pStyle w:val="TableParagraph"/>
              <w:spacing w:before="19"/>
              <w:ind w:left="58" w:right="39"/>
              <w:jc w:val="center"/>
              <w:rPr>
                <w:sz w:val="9"/>
              </w:rPr>
            </w:pPr>
            <w:r>
              <w:rPr>
                <w:sz w:val="9"/>
              </w:rPr>
              <w:t>6 052,1333</w:t>
            </w:r>
          </w:p>
        </w:tc>
      </w:tr>
      <w:tr w:rsidR="00F65BCA" w14:paraId="2E3B1A4C" w14:textId="77777777">
        <w:trPr>
          <w:trHeight w:val="371"/>
        </w:trPr>
        <w:tc>
          <w:tcPr>
            <w:tcW w:w="998" w:type="dxa"/>
            <w:shd w:val="clear" w:color="auto" w:fill="F8CBAD"/>
          </w:tcPr>
          <w:p w14:paraId="31A24F28" w14:textId="77777777" w:rsidR="00F65BCA" w:rsidRDefault="00F65BCA">
            <w:pPr>
              <w:pStyle w:val="TableParagraph"/>
              <w:spacing w:before="7"/>
              <w:rPr>
                <w:rFonts w:ascii="Calibri"/>
                <w:sz w:val="10"/>
              </w:rPr>
            </w:pPr>
          </w:p>
          <w:p w14:paraId="3AC37AE3" w14:textId="77777777" w:rsidR="00F65BCA" w:rsidRDefault="00216117">
            <w:pPr>
              <w:pStyle w:val="TableParagraph"/>
              <w:ind w:left="12"/>
              <w:jc w:val="center"/>
              <w:rPr>
                <w:b/>
                <w:sz w:val="9"/>
              </w:rPr>
            </w:pPr>
            <w:r>
              <w:rPr>
                <w:b/>
                <w:sz w:val="9"/>
              </w:rPr>
              <w:t>Ostatní vozidla</w:t>
            </w:r>
          </w:p>
        </w:tc>
        <w:tc>
          <w:tcPr>
            <w:tcW w:w="866" w:type="dxa"/>
            <w:shd w:val="clear" w:color="auto" w:fill="F8CBAD"/>
          </w:tcPr>
          <w:p w14:paraId="784E29A2" w14:textId="77777777" w:rsidR="00F65BCA" w:rsidRDefault="00F65BCA">
            <w:pPr>
              <w:pStyle w:val="TableParagraph"/>
              <w:spacing w:before="7"/>
              <w:rPr>
                <w:rFonts w:ascii="Calibri"/>
                <w:sz w:val="10"/>
              </w:rPr>
            </w:pPr>
          </w:p>
          <w:p w14:paraId="69A01D84" w14:textId="77777777" w:rsidR="00F65BCA" w:rsidRDefault="00216117">
            <w:pPr>
              <w:pStyle w:val="TableParagraph"/>
              <w:ind w:left="106" w:right="95"/>
              <w:jc w:val="center"/>
              <w:rPr>
                <w:b/>
                <w:sz w:val="9"/>
              </w:rPr>
            </w:pPr>
            <w:r>
              <w:rPr>
                <w:b/>
                <w:sz w:val="9"/>
              </w:rPr>
              <w:t>Objem motoru</w:t>
            </w:r>
          </w:p>
        </w:tc>
        <w:tc>
          <w:tcPr>
            <w:tcW w:w="866" w:type="dxa"/>
            <w:shd w:val="clear" w:color="auto" w:fill="F8CBAD"/>
          </w:tcPr>
          <w:p w14:paraId="3E993FEC" w14:textId="77777777" w:rsidR="00F65BCA" w:rsidRDefault="00F65BCA">
            <w:pPr>
              <w:pStyle w:val="TableParagraph"/>
              <w:spacing w:before="7"/>
              <w:rPr>
                <w:rFonts w:ascii="Calibri"/>
                <w:sz w:val="10"/>
              </w:rPr>
            </w:pPr>
          </w:p>
          <w:p w14:paraId="18361AF3" w14:textId="77777777" w:rsidR="00F65BCA" w:rsidRDefault="00216117">
            <w:pPr>
              <w:pStyle w:val="TableParagraph"/>
              <w:ind w:left="106" w:right="92"/>
              <w:jc w:val="center"/>
              <w:rPr>
                <w:b/>
                <w:sz w:val="9"/>
              </w:rPr>
            </w:pPr>
            <w:r>
              <w:rPr>
                <w:b/>
                <w:sz w:val="9"/>
              </w:rPr>
              <w:t>Výkon motoru</w:t>
            </w:r>
          </w:p>
        </w:tc>
        <w:tc>
          <w:tcPr>
            <w:tcW w:w="708" w:type="dxa"/>
            <w:shd w:val="clear" w:color="auto" w:fill="F8CBAD"/>
          </w:tcPr>
          <w:p w14:paraId="6EB4AA6D" w14:textId="77777777" w:rsidR="00F65BCA" w:rsidRDefault="00216117">
            <w:pPr>
              <w:pStyle w:val="TableParagraph"/>
              <w:spacing w:before="69" w:line="278" w:lineRule="auto"/>
              <w:ind w:left="147" w:right="121" w:firstLine="36"/>
              <w:rPr>
                <w:b/>
                <w:sz w:val="9"/>
              </w:rPr>
            </w:pPr>
            <w:r>
              <w:rPr>
                <w:b/>
                <w:sz w:val="9"/>
              </w:rPr>
              <w:t>Celková hmotnost</w:t>
            </w:r>
          </w:p>
        </w:tc>
        <w:tc>
          <w:tcPr>
            <w:tcW w:w="991" w:type="dxa"/>
            <w:shd w:val="clear" w:color="auto" w:fill="F8CBAD"/>
          </w:tcPr>
          <w:p w14:paraId="23FB02BF" w14:textId="77777777" w:rsidR="00F65BCA" w:rsidRDefault="00F65BCA">
            <w:pPr>
              <w:pStyle w:val="TableParagraph"/>
              <w:spacing w:before="7"/>
              <w:rPr>
                <w:rFonts w:ascii="Calibri"/>
                <w:sz w:val="10"/>
              </w:rPr>
            </w:pPr>
          </w:p>
          <w:p w14:paraId="6FA529A2" w14:textId="77777777" w:rsidR="00F65BCA" w:rsidRDefault="00216117">
            <w:pPr>
              <w:pStyle w:val="TableParagraph"/>
              <w:ind w:left="58" w:right="46"/>
              <w:jc w:val="center"/>
              <w:rPr>
                <w:b/>
                <w:sz w:val="9"/>
              </w:rPr>
            </w:pPr>
            <w:r>
              <w:rPr>
                <w:b/>
                <w:sz w:val="9"/>
              </w:rPr>
              <w:t>Roční pojistné v Kč</w:t>
            </w:r>
          </w:p>
        </w:tc>
      </w:tr>
      <w:tr w:rsidR="00F65BCA" w14:paraId="25098617" w14:textId="77777777">
        <w:trPr>
          <w:trHeight w:val="158"/>
        </w:trPr>
        <w:tc>
          <w:tcPr>
            <w:tcW w:w="998" w:type="dxa"/>
            <w:vMerge w:val="restart"/>
            <w:shd w:val="clear" w:color="auto" w:fill="FCE4D6"/>
          </w:tcPr>
          <w:p w14:paraId="2C6CA58F" w14:textId="77777777" w:rsidR="00F65BCA" w:rsidRDefault="00F65BCA">
            <w:pPr>
              <w:pStyle w:val="TableParagraph"/>
              <w:spacing w:before="3"/>
              <w:rPr>
                <w:rFonts w:ascii="Calibri"/>
                <w:sz w:val="8"/>
              </w:rPr>
            </w:pPr>
          </w:p>
          <w:p w14:paraId="5F183185" w14:textId="77777777" w:rsidR="00F65BCA" w:rsidRDefault="00216117">
            <w:pPr>
              <w:pStyle w:val="TableParagraph"/>
              <w:ind w:left="326"/>
              <w:rPr>
                <w:sz w:val="9"/>
              </w:rPr>
            </w:pPr>
            <w:r>
              <w:rPr>
                <w:sz w:val="9"/>
              </w:rPr>
              <w:t>jiný druh</w:t>
            </w:r>
          </w:p>
        </w:tc>
        <w:tc>
          <w:tcPr>
            <w:tcW w:w="866" w:type="dxa"/>
            <w:shd w:val="clear" w:color="auto" w:fill="FCE4D6"/>
          </w:tcPr>
          <w:p w14:paraId="3E309B9A" w14:textId="77777777" w:rsidR="00F65BCA" w:rsidRDefault="00216117">
            <w:pPr>
              <w:pStyle w:val="TableParagraph"/>
              <w:spacing w:before="21"/>
              <w:ind w:left="19"/>
              <w:jc w:val="center"/>
              <w:rPr>
                <w:sz w:val="9"/>
              </w:rPr>
            </w:pPr>
            <w:r>
              <w:rPr>
                <w:w w:val="101"/>
                <w:sz w:val="9"/>
              </w:rPr>
              <w:t>-</w:t>
            </w:r>
          </w:p>
        </w:tc>
        <w:tc>
          <w:tcPr>
            <w:tcW w:w="866" w:type="dxa"/>
            <w:shd w:val="clear" w:color="auto" w:fill="FCE4D6"/>
          </w:tcPr>
          <w:p w14:paraId="69CE2614" w14:textId="77777777" w:rsidR="00F65BCA" w:rsidRDefault="00216117">
            <w:pPr>
              <w:pStyle w:val="TableParagraph"/>
              <w:spacing w:before="21"/>
              <w:ind w:left="106" w:right="90"/>
              <w:jc w:val="center"/>
              <w:rPr>
                <w:sz w:val="9"/>
              </w:rPr>
            </w:pPr>
            <w:r>
              <w:rPr>
                <w:sz w:val="9"/>
              </w:rPr>
              <w:t>0-5 kW</w:t>
            </w:r>
          </w:p>
        </w:tc>
        <w:tc>
          <w:tcPr>
            <w:tcW w:w="708" w:type="dxa"/>
            <w:shd w:val="clear" w:color="auto" w:fill="FCE4D6"/>
          </w:tcPr>
          <w:p w14:paraId="2497C3E1" w14:textId="77777777" w:rsidR="00F65BCA" w:rsidRDefault="00216117">
            <w:pPr>
              <w:pStyle w:val="TableParagraph"/>
              <w:spacing w:before="21"/>
              <w:ind w:left="20"/>
              <w:jc w:val="center"/>
              <w:rPr>
                <w:sz w:val="9"/>
              </w:rPr>
            </w:pPr>
            <w:r>
              <w:rPr>
                <w:w w:val="101"/>
                <w:sz w:val="9"/>
              </w:rPr>
              <w:t>-</w:t>
            </w:r>
          </w:p>
        </w:tc>
        <w:tc>
          <w:tcPr>
            <w:tcW w:w="991" w:type="dxa"/>
          </w:tcPr>
          <w:p w14:paraId="6D4256D1" w14:textId="77777777" w:rsidR="00F65BCA" w:rsidRDefault="00216117">
            <w:pPr>
              <w:pStyle w:val="TableParagraph"/>
              <w:spacing w:before="21"/>
              <w:ind w:left="58" w:right="39"/>
              <w:jc w:val="center"/>
              <w:rPr>
                <w:sz w:val="9"/>
              </w:rPr>
            </w:pPr>
            <w:r>
              <w:rPr>
                <w:sz w:val="9"/>
              </w:rPr>
              <w:t>479,47</w:t>
            </w:r>
          </w:p>
        </w:tc>
      </w:tr>
      <w:tr w:rsidR="00F65BCA" w14:paraId="05D203B9" w14:textId="77777777">
        <w:trPr>
          <w:trHeight w:val="158"/>
        </w:trPr>
        <w:tc>
          <w:tcPr>
            <w:tcW w:w="998" w:type="dxa"/>
            <w:vMerge/>
            <w:tcBorders>
              <w:top w:val="nil"/>
            </w:tcBorders>
            <w:shd w:val="clear" w:color="auto" w:fill="FCE4D6"/>
          </w:tcPr>
          <w:p w14:paraId="7969E510" w14:textId="77777777" w:rsidR="00F65BCA" w:rsidRDefault="00F65BCA">
            <w:pPr>
              <w:rPr>
                <w:sz w:val="2"/>
                <w:szCs w:val="2"/>
              </w:rPr>
            </w:pPr>
          </w:p>
        </w:tc>
        <w:tc>
          <w:tcPr>
            <w:tcW w:w="866" w:type="dxa"/>
            <w:shd w:val="clear" w:color="auto" w:fill="FCE4D6"/>
          </w:tcPr>
          <w:p w14:paraId="6E85864E" w14:textId="77777777" w:rsidR="00F65BCA" w:rsidRDefault="00216117">
            <w:pPr>
              <w:pStyle w:val="TableParagraph"/>
              <w:spacing w:before="21"/>
              <w:ind w:left="19"/>
              <w:jc w:val="center"/>
              <w:rPr>
                <w:sz w:val="9"/>
              </w:rPr>
            </w:pPr>
            <w:r>
              <w:rPr>
                <w:w w:val="101"/>
                <w:sz w:val="9"/>
              </w:rPr>
              <w:t>-</w:t>
            </w:r>
          </w:p>
        </w:tc>
        <w:tc>
          <w:tcPr>
            <w:tcW w:w="866" w:type="dxa"/>
            <w:shd w:val="clear" w:color="auto" w:fill="FCE4D6"/>
          </w:tcPr>
          <w:p w14:paraId="137E42F8" w14:textId="77777777" w:rsidR="00F65BCA" w:rsidRDefault="00216117">
            <w:pPr>
              <w:pStyle w:val="TableParagraph"/>
              <w:spacing w:before="21"/>
              <w:ind w:left="106" w:right="90"/>
              <w:jc w:val="center"/>
              <w:rPr>
                <w:sz w:val="9"/>
              </w:rPr>
            </w:pPr>
            <w:r>
              <w:rPr>
                <w:sz w:val="9"/>
              </w:rPr>
              <w:t>&gt;5 kW</w:t>
            </w:r>
          </w:p>
        </w:tc>
        <w:tc>
          <w:tcPr>
            <w:tcW w:w="708" w:type="dxa"/>
            <w:shd w:val="clear" w:color="auto" w:fill="FCE4D6"/>
          </w:tcPr>
          <w:p w14:paraId="6DDBD578" w14:textId="77777777" w:rsidR="00F65BCA" w:rsidRDefault="00216117">
            <w:pPr>
              <w:pStyle w:val="TableParagraph"/>
              <w:spacing w:before="21"/>
              <w:ind w:left="20"/>
              <w:jc w:val="center"/>
              <w:rPr>
                <w:sz w:val="9"/>
              </w:rPr>
            </w:pPr>
            <w:r>
              <w:rPr>
                <w:w w:val="101"/>
                <w:sz w:val="9"/>
              </w:rPr>
              <w:t>-</w:t>
            </w:r>
          </w:p>
        </w:tc>
        <w:tc>
          <w:tcPr>
            <w:tcW w:w="991" w:type="dxa"/>
          </w:tcPr>
          <w:p w14:paraId="25995155" w14:textId="77777777" w:rsidR="00F65BCA" w:rsidRDefault="00216117">
            <w:pPr>
              <w:pStyle w:val="TableParagraph"/>
              <w:spacing w:before="21"/>
              <w:ind w:left="58" w:right="39"/>
              <w:jc w:val="center"/>
              <w:rPr>
                <w:sz w:val="9"/>
              </w:rPr>
            </w:pPr>
            <w:r>
              <w:rPr>
                <w:sz w:val="9"/>
              </w:rPr>
              <w:t>4 794,65</w:t>
            </w:r>
          </w:p>
        </w:tc>
      </w:tr>
      <w:tr w:rsidR="00F65BCA" w14:paraId="6EF2E55D" w14:textId="77777777">
        <w:trPr>
          <w:trHeight w:val="153"/>
        </w:trPr>
        <w:tc>
          <w:tcPr>
            <w:tcW w:w="998" w:type="dxa"/>
            <w:shd w:val="clear" w:color="auto" w:fill="FCE4D6"/>
          </w:tcPr>
          <w:p w14:paraId="64E57B83" w14:textId="77777777" w:rsidR="00F65BCA" w:rsidRDefault="00216117">
            <w:pPr>
              <w:pStyle w:val="TableParagraph"/>
              <w:spacing w:before="19"/>
              <w:ind w:left="10"/>
              <w:jc w:val="center"/>
              <w:rPr>
                <w:sz w:val="9"/>
              </w:rPr>
            </w:pPr>
            <w:r>
              <w:rPr>
                <w:sz w:val="9"/>
              </w:rPr>
              <w:t>ostatní vozidla</w:t>
            </w:r>
          </w:p>
        </w:tc>
        <w:tc>
          <w:tcPr>
            <w:tcW w:w="866" w:type="dxa"/>
            <w:shd w:val="clear" w:color="auto" w:fill="FCE4D6"/>
          </w:tcPr>
          <w:p w14:paraId="52C05057" w14:textId="77777777" w:rsidR="00F65BCA" w:rsidRDefault="00216117">
            <w:pPr>
              <w:pStyle w:val="TableParagraph"/>
              <w:spacing w:before="19"/>
              <w:ind w:left="19"/>
              <w:jc w:val="center"/>
              <w:rPr>
                <w:sz w:val="9"/>
              </w:rPr>
            </w:pPr>
            <w:r>
              <w:rPr>
                <w:w w:val="101"/>
                <w:sz w:val="9"/>
              </w:rPr>
              <w:t>-</w:t>
            </w:r>
          </w:p>
        </w:tc>
        <w:tc>
          <w:tcPr>
            <w:tcW w:w="866" w:type="dxa"/>
            <w:shd w:val="clear" w:color="auto" w:fill="FCE4D6"/>
          </w:tcPr>
          <w:p w14:paraId="36D70E32" w14:textId="77777777" w:rsidR="00F65BCA" w:rsidRDefault="00216117">
            <w:pPr>
              <w:pStyle w:val="TableParagraph"/>
              <w:spacing w:before="19"/>
              <w:ind w:left="20"/>
              <w:jc w:val="center"/>
              <w:rPr>
                <w:sz w:val="9"/>
              </w:rPr>
            </w:pPr>
            <w:r>
              <w:rPr>
                <w:w w:val="101"/>
                <w:sz w:val="9"/>
              </w:rPr>
              <w:t>-</w:t>
            </w:r>
          </w:p>
        </w:tc>
        <w:tc>
          <w:tcPr>
            <w:tcW w:w="708" w:type="dxa"/>
            <w:shd w:val="clear" w:color="auto" w:fill="FCE4D6"/>
          </w:tcPr>
          <w:p w14:paraId="73485FEA" w14:textId="77777777" w:rsidR="00F65BCA" w:rsidRDefault="00216117">
            <w:pPr>
              <w:pStyle w:val="TableParagraph"/>
              <w:spacing w:before="19"/>
              <w:ind w:left="20"/>
              <w:jc w:val="center"/>
              <w:rPr>
                <w:sz w:val="9"/>
              </w:rPr>
            </w:pPr>
            <w:r>
              <w:rPr>
                <w:w w:val="101"/>
                <w:sz w:val="9"/>
              </w:rPr>
              <w:t>-</w:t>
            </w:r>
          </w:p>
        </w:tc>
        <w:tc>
          <w:tcPr>
            <w:tcW w:w="991" w:type="dxa"/>
          </w:tcPr>
          <w:p w14:paraId="3A948659" w14:textId="77777777" w:rsidR="00F65BCA" w:rsidRDefault="00216117">
            <w:pPr>
              <w:pStyle w:val="TableParagraph"/>
              <w:spacing w:before="19"/>
              <w:ind w:left="58" w:right="39"/>
              <w:jc w:val="center"/>
              <w:rPr>
                <w:sz w:val="9"/>
              </w:rPr>
            </w:pPr>
            <w:r>
              <w:rPr>
                <w:sz w:val="9"/>
              </w:rPr>
              <w:t>1 867,17</w:t>
            </w:r>
          </w:p>
        </w:tc>
      </w:tr>
    </w:tbl>
    <w:p w14:paraId="7756033D" w14:textId="77777777" w:rsidR="00F65BCA" w:rsidRDefault="00F65BCA">
      <w:pPr>
        <w:pStyle w:val="Zkladntext"/>
        <w:rPr>
          <w:rFonts w:ascii="Calibri"/>
          <w:sz w:val="20"/>
        </w:rPr>
      </w:pPr>
    </w:p>
    <w:p w14:paraId="39C72F13" w14:textId="77777777" w:rsidR="00F65BCA" w:rsidRDefault="00F65BCA">
      <w:pPr>
        <w:pStyle w:val="Zkladntext"/>
        <w:rPr>
          <w:rFonts w:ascii="Calibri"/>
          <w:sz w:val="20"/>
        </w:rPr>
      </w:pPr>
    </w:p>
    <w:p w14:paraId="2965C5BE" w14:textId="77777777" w:rsidR="00F65BCA" w:rsidRDefault="00F65BCA">
      <w:pPr>
        <w:pStyle w:val="Zkladntext"/>
        <w:rPr>
          <w:rFonts w:ascii="Calibri"/>
          <w:sz w:val="20"/>
        </w:rPr>
      </w:pPr>
    </w:p>
    <w:p w14:paraId="405FDBB2" w14:textId="77777777" w:rsidR="00F65BCA" w:rsidRDefault="00F65BCA">
      <w:pPr>
        <w:pStyle w:val="Zkladntext"/>
        <w:rPr>
          <w:rFonts w:ascii="Calibri"/>
          <w:sz w:val="20"/>
        </w:rPr>
      </w:pPr>
    </w:p>
    <w:p w14:paraId="387C150E" w14:textId="77777777" w:rsidR="00F65BCA" w:rsidRDefault="00F65BCA">
      <w:pPr>
        <w:pStyle w:val="Zkladntext"/>
        <w:rPr>
          <w:rFonts w:ascii="Calibri"/>
          <w:sz w:val="20"/>
        </w:rPr>
      </w:pPr>
    </w:p>
    <w:p w14:paraId="0B408851" w14:textId="77777777" w:rsidR="00F65BCA" w:rsidRDefault="00F65BCA">
      <w:pPr>
        <w:pStyle w:val="Zkladntext"/>
        <w:rPr>
          <w:rFonts w:ascii="Calibri"/>
          <w:sz w:val="20"/>
        </w:rPr>
      </w:pPr>
    </w:p>
    <w:p w14:paraId="45BA30D1" w14:textId="77777777" w:rsidR="00F65BCA" w:rsidRDefault="00F65BCA">
      <w:pPr>
        <w:pStyle w:val="Zkladntext"/>
        <w:rPr>
          <w:rFonts w:ascii="Calibri"/>
          <w:sz w:val="20"/>
        </w:rPr>
      </w:pPr>
    </w:p>
    <w:p w14:paraId="12EF8DE8" w14:textId="77777777" w:rsidR="00F65BCA" w:rsidRDefault="00F65BCA">
      <w:pPr>
        <w:pStyle w:val="Zkladntext"/>
        <w:rPr>
          <w:rFonts w:ascii="Calibri"/>
          <w:sz w:val="20"/>
        </w:rPr>
      </w:pPr>
    </w:p>
    <w:p w14:paraId="0B23B7CE" w14:textId="77777777" w:rsidR="00F65BCA" w:rsidRDefault="00F65BCA">
      <w:pPr>
        <w:pStyle w:val="Zkladntext"/>
        <w:rPr>
          <w:rFonts w:ascii="Calibri"/>
          <w:sz w:val="20"/>
        </w:rPr>
      </w:pPr>
    </w:p>
    <w:p w14:paraId="744F07FD" w14:textId="77777777" w:rsidR="00F65BCA" w:rsidRDefault="00F65BCA">
      <w:pPr>
        <w:pStyle w:val="Zkladntext"/>
        <w:rPr>
          <w:rFonts w:ascii="Calibri"/>
          <w:sz w:val="20"/>
        </w:rPr>
      </w:pPr>
    </w:p>
    <w:p w14:paraId="16F270EB" w14:textId="77777777" w:rsidR="00F65BCA" w:rsidRDefault="00F65BCA">
      <w:pPr>
        <w:pStyle w:val="Zkladntext"/>
        <w:rPr>
          <w:rFonts w:ascii="Calibri"/>
          <w:sz w:val="20"/>
        </w:rPr>
      </w:pPr>
    </w:p>
    <w:p w14:paraId="6DE2B286" w14:textId="77777777" w:rsidR="00F65BCA" w:rsidRDefault="00F65BCA">
      <w:pPr>
        <w:pStyle w:val="Zkladntext"/>
        <w:rPr>
          <w:rFonts w:ascii="Calibri"/>
          <w:sz w:val="20"/>
        </w:rPr>
      </w:pPr>
    </w:p>
    <w:p w14:paraId="2CE79FA3" w14:textId="77777777" w:rsidR="00F65BCA" w:rsidRDefault="00F65BCA">
      <w:pPr>
        <w:pStyle w:val="Zkladntext"/>
        <w:rPr>
          <w:rFonts w:ascii="Calibri"/>
          <w:sz w:val="20"/>
        </w:rPr>
      </w:pPr>
    </w:p>
    <w:p w14:paraId="4CE40BDA" w14:textId="77777777" w:rsidR="00F65BCA" w:rsidRDefault="00F65BCA">
      <w:pPr>
        <w:pStyle w:val="Zkladntext"/>
        <w:rPr>
          <w:rFonts w:ascii="Calibri"/>
          <w:sz w:val="20"/>
        </w:rPr>
      </w:pPr>
    </w:p>
    <w:p w14:paraId="63A789A7" w14:textId="77777777" w:rsidR="00F65BCA" w:rsidRDefault="00F65BCA">
      <w:pPr>
        <w:pStyle w:val="Zkladntext"/>
        <w:rPr>
          <w:rFonts w:ascii="Calibri"/>
          <w:sz w:val="20"/>
        </w:rPr>
      </w:pPr>
    </w:p>
    <w:p w14:paraId="2D58B53E" w14:textId="77777777" w:rsidR="00F65BCA" w:rsidRDefault="00F65BCA">
      <w:pPr>
        <w:pStyle w:val="Zkladntext"/>
        <w:rPr>
          <w:rFonts w:ascii="Calibri"/>
          <w:sz w:val="20"/>
        </w:rPr>
      </w:pPr>
    </w:p>
    <w:p w14:paraId="3F2DE2BE" w14:textId="77777777" w:rsidR="00F65BCA" w:rsidRDefault="00F65BCA">
      <w:pPr>
        <w:pStyle w:val="Zkladntext"/>
        <w:rPr>
          <w:rFonts w:ascii="Calibri"/>
          <w:sz w:val="20"/>
        </w:rPr>
      </w:pPr>
    </w:p>
    <w:p w14:paraId="5E6056FB" w14:textId="77777777" w:rsidR="00F65BCA" w:rsidRDefault="00F65BCA">
      <w:pPr>
        <w:pStyle w:val="Zkladntext"/>
        <w:rPr>
          <w:rFonts w:ascii="Calibri"/>
          <w:sz w:val="20"/>
        </w:rPr>
      </w:pPr>
    </w:p>
    <w:p w14:paraId="30F5D1B9" w14:textId="77777777" w:rsidR="00F65BCA" w:rsidRDefault="00F65BCA">
      <w:pPr>
        <w:pStyle w:val="Zkladntext"/>
        <w:rPr>
          <w:rFonts w:ascii="Calibri"/>
          <w:sz w:val="20"/>
        </w:rPr>
      </w:pPr>
    </w:p>
    <w:p w14:paraId="617B6751" w14:textId="77777777" w:rsidR="00F65BCA" w:rsidRDefault="00F65BCA">
      <w:pPr>
        <w:pStyle w:val="Zkladntext"/>
        <w:rPr>
          <w:rFonts w:ascii="Calibri"/>
          <w:sz w:val="20"/>
        </w:rPr>
      </w:pPr>
    </w:p>
    <w:p w14:paraId="563788B5" w14:textId="77777777" w:rsidR="00F65BCA" w:rsidRDefault="00F65BCA">
      <w:pPr>
        <w:pStyle w:val="Zkladntext"/>
        <w:rPr>
          <w:rFonts w:ascii="Calibri"/>
          <w:sz w:val="20"/>
        </w:rPr>
      </w:pPr>
    </w:p>
    <w:p w14:paraId="2B847261" w14:textId="77777777" w:rsidR="00F65BCA" w:rsidRDefault="00F65BCA">
      <w:pPr>
        <w:pStyle w:val="Zkladntext"/>
        <w:rPr>
          <w:rFonts w:ascii="Calibri"/>
          <w:sz w:val="20"/>
        </w:rPr>
      </w:pPr>
    </w:p>
    <w:p w14:paraId="1324B8ED" w14:textId="77777777" w:rsidR="00F65BCA" w:rsidRDefault="00F65BCA">
      <w:pPr>
        <w:pStyle w:val="Zkladntext"/>
        <w:rPr>
          <w:rFonts w:ascii="Calibri"/>
          <w:sz w:val="20"/>
        </w:rPr>
      </w:pPr>
    </w:p>
    <w:p w14:paraId="02D70CBB" w14:textId="77777777" w:rsidR="00F65BCA" w:rsidRDefault="00F65BCA">
      <w:pPr>
        <w:pStyle w:val="Zkladntext"/>
        <w:rPr>
          <w:rFonts w:ascii="Calibri"/>
          <w:sz w:val="20"/>
        </w:rPr>
      </w:pPr>
    </w:p>
    <w:p w14:paraId="0F1010FE" w14:textId="77777777" w:rsidR="00F65BCA" w:rsidRDefault="00F65BCA">
      <w:pPr>
        <w:pStyle w:val="Zkladntext"/>
        <w:rPr>
          <w:rFonts w:ascii="Calibri"/>
          <w:sz w:val="20"/>
        </w:rPr>
      </w:pPr>
    </w:p>
    <w:p w14:paraId="76689672" w14:textId="77777777" w:rsidR="00F65BCA" w:rsidRDefault="00F65BCA">
      <w:pPr>
        <w:pStyle w:val="Zkladntext"/>
        <w:rPr>
          <w:rFonts w:ascii="Calibri"/>
          <w:sz w:val="20"/>
        </w:rPr>
      </w:pPr>
    </w:p>
    <w:p w14:paraId="256090C5" w14:textId="77777777" w:rsidR="00F65BCA" w:rsidRDefault="00F65BCA">
      <w:pPr>
        <w:pStyle w:val="Zkladntext"/>
        <w:rPr>
          <w:rFonts w:ascii="Calibri"/>
          <w:sz w:val="20"/>
        </w:rPr>
      </w:pPr>
    </w:p>
    <w:p w14:paraId="049EAB10" w14:textId="77777777" w:rsidR="00F65BCA" w:rsidRDefault="00F65BCA">
      <w:pPr>
        <w:pStyle w:val="Zkladntext"/>
        <w:rPr>
          <w:rFonts w:ascii="Calibri"/>
          <w:sz w:val="20"/>
        </w:rPr>
      </w:pPr>
    </w:p>
    <w:p w14:paraId="561541F4" w14:textId="77777777" w:rsidR="00F65BCA" w:rsidRDefault="00F65BCA">
      <w:pPr>
        <w:pStyle w:val="Zkladntext"/>
        <w:rPr>
          <w:rFonts w:ascii="Calibri"/>
          <w:sz w:val="20"/>
        </w:rPr>
      </w:pPr>
    </w:p>
    <w:p w14:paraId="08900FE0" w14:textId="77777777" w:rsidR="00F65BCA" w:rsidRDefault="00F65BCA">
      <w:pPr>
        <w:pStyle w:val="Zkladntext"/>
        <w:rPr>
          <w:rFonts w:ascii="Calibri"/>
          <w:sz w:val="20"/>
        </w:rPr>
      </w:pPr>
    </w:p>
    <w:p w14:paraId="19BDBCE0" w14:textId="77777777" w:rsidR="00F65BCA" w:rsidRDefault="00F65BCA">
      <w:pPr>
        <w:pStyle w:val="Zkladntext"/>
        <w:rPr>
          <w:rFonts w:ascii="Calibri"/>
          <w:sz w:val="20"/>
        </w:rPr>
      </w:pPr>
    </w:p>
    <w:p w14:paraId="1F038F34" w14:textId="77777777" w:rsidR="00F65BCA" w:rsidRDefault="00F65BCA">
      <w:pPr>
        <w:pStyle w:val="Zkladntext"/>
        <w:rPr>
          <w:rFonts w:ascii="Calibri"/>
          <w:sz w:val="20"/>
        </w:rPr>
      </w:pPr>
    </w:p>
    <w:p w14:paraId="66998FB6" w14:textId="77777777" w:rsidR="00F65BCA" w:rsidRDefault="00F65BCA">
      <w:pPr>
        <w:pStyle w:val="Zkladntext"/>
        <w:rPr>
          <w:rFonts w:ascii="Calibri"/>
          <w:sz w:val="20"/>
        </w:rPr>
      </w:pPr>
    </w:p>
    <w:p w14:paraId="2C2B2072" w14:textId="77777777" w:rsidR="00F65BCA" w:rsidRDefault="00F65BCA">
      <w:pPr>
        <w:pStyle w:val="Zkladntext"/>
        <w:rPr>
          <w:rFonts w:ascii="Calibri"/>
          <w:sz w:val="20"/>
        </w:rPr>
      </w:pPr>
    </w:p>
    <w:p w14:paraId="0D887B67" w14:textId="77777777" w:rsidR="00F65BCA" w:rsidRDefault="00F65BCA">
      <w:pPr>
        <w:pStyle w:val="Zkladntext"/>
        <w:rPr>
          <w:rFonts w:ascii="Calibri"/>
          <w:sz w:val="20"/>
        </w:rPr>
      </w:pPr>
    </w:p>
    <w:p w14:paraId="47F2C48E" w14:textId="77777777" w:rsidR="00F65BCA" w:rsidRDefault="00F65BCA">
      <w:pPr>
        <w:pStyle w:val="Zkladntext"/>
        <w:rPr>
          <w:rFonts w:ascii="Calibri"/>
          <w:sz w:val="20"/>
        </w:rPr>
      </w:pPr>
    </w:p>
    <w:p w14:paraId="476B66E2" w14:textId="77777777" w:rsidR="00F65BCA" w:rsidRDefault="00F65BCA">
      <w:pPr>
        <w:pStyle w:val="Zkladntext"/>
        <w:rPr>
          <w:rFonts w:ascii="Calibri"/>
          <w:sz w:val="20"/>
        </w:rPr>
      </w:pPr>
    </w:p>
    <w:p w14:paraId="7E56CA22" w14:textId="77777777" w:rsidR="00F65BCA" w:rsidRDefault="00F65BCA">
      <w:pPr>
        <w:pStyle w:val="Zkladntext"/>
        <w:spacing w:before="8"/>
        <w:rPr>
          <w:rFonts w:ascii="Calibri"/>
          <w:sz w:val="16"/>
        </w:rPr>
      </w:pPr>
    </w:p>
    <w:p w14:paraId="629578FB" w14:textId="77777777" w:rsidR="00F65BCA" w:rsidRDefault="00216117">
      <w:pPr>
        <w:spacing w:before="82"/>
        <w:ind w:left="104"/>
        <w:rPr>
          <w:rFonts w:ascii="Calibri" w:hAnsi="Calibri"/>
          <w:sz w:val="11"/>
        </w:rPr>
      </w:pPr>
      <w:r>
        <w:rPr>
          <w:rFonts w:ascii="Calibri" w:hAnsi="Calibri"/>
          <w:spacing w:val="-2"/>
          <w:w w:val="120"/>
          <w:sz w:val="2"/>
        </w:rPr>
        <w:t>#</w:t>
      </w:r>
      <w:r>
        <w:rPr>
          <w:rFonts w:ascii="Calibri" w:hAnsi="Calibri"/>
          <w:spacing w:val="-1"/>
          <w:w w:val="104"/>
          <w:sz w:val="11"/>
        </w:rPr>
        <w:t>Důvěrn</w:t>
      </w:r>
      <w:r>
        <w:rPr>
          <w:rFonts w:ascii="Calibri" w:hAnsi="Calibri"/>
          <w:w w:val="104"/>
          <w:sz w:val="11"/>
        </w:rPr>
        <w:t>é</w:t>
      </w:r>
      <w:r>
        <w:rPr>
          <w:rFonts w:ascii="Times New Roman" w:hAnsi="Times New Roman"/>
          <w:spacing w:val="-2"/>
          <w:sz w:val="11"/>
        </w:rPr>
        <w:t xml:space="preserve"> </w:t>
      </w:r>
      <w:r>
        <w:rPr>
          <w:rFonts w:ascii="Calibri" w:hAnsi="Calibri"/>
          <w:w w:val="104"/>
          <w:sz w:val="11"/>
        </w:rPr>
        <w:t>/</w:t>
      </w:r>
      <w:r>
        <w:rPr>
          <w:rFonts w:ascii="Times New Roman" w:hAnsi="Times New Roman"/>
          <w:spacing w:val="-2"/>
          <w:sz w:val="11"/>
        </w:rPr>
        <w:t xml:space="preserve"> </w:t>
      </w:r>
      <w:r>
        <w:rPr>
          <w:rFonts w:ascii="Calibri" w:hAnsi="Calibri"/>
          <w:spacing w:val="-1"/>
          <w:w w:val="104"/>
          <w:sz w:val="11"/>
        </w:rPr>
        <w:t>Confidential</w:t>
      </w:r>
    </w:p>
    <w:p w14:paraId="1B4F0E20" w14:textId="77777777" w:rsidR="00F65BCA" w:rsidRDefault="00F65BCA">
      <w:pPr>
        <w:rPr>
          <w:rFonts w:ascii="Calibri" w:hAnsi="Calibri"/>
          <w:sz w:val="11"/>
        </w:rPr>
        <w:sectPr w:rsidR="00F65BCA">
          <w:pgSz w:w="11900" w:h="16840"/>
          <w:pgMar w:top="820" w:right="640" w:bottom="280" w:left="500" w:header="708" w:footer="708" w:gutter="0"/>
          <w:cols w:space="708"/>
        </w:sectPr>
      </w:pPr>
    </w:p>
    <w:p w14:paraId="42DDAC67" w14:textId="77777777" w:rsidR="00F65BCA" w:rsidRDefault="00000000">
      <w:pPr>
        <w:pStyle w:val="Zkladntext"/>
        <w:rPr>
          <w:rFonts w:ascii="Calibri"/>
          <w:sz w:val="20"/>
        </w:rPr>
      </w:pPr>
      <w:r>
        <w:lastRenderedPageBreak/>
        <w:pict w14:anchorId="79418DD3">
          <v:group id="_x0000_s2550" style="position:absolute;margin-left:412.55pt;margin-top:260.15pt;width:80.9pt;height:20.9pt;z-index:251674624;mso-position-horizontal-relative:page;mso-position-vertical-relative:page" coordorigin="8251,5203" coordsize="1618,418">
            <v:line id="_x0000_s2564" style="position:absolute" from="8251,5248" to="9869,5248" strokecolor="#f8cbad" strokeweight="4.44pt"/>
            <v:rect id="_x0000_s2563" style="position:absolute;left:8251;top:5289;width:1011;height:332" fillcolor="#fce4d6" stroked="f"/>
            <v:line id="_x0000_s2562" style="position:absolute" from="8252,5203" to="8252,5621" strokeweight=".12pt"/>
            <v:shape id="_x0000_s2561" style="position:absolute;left:9260;top:5205;width:608;height:416" coordorigin="9260,5206" coordsize="608,416" o:spt="100" adj="0,,0" path="m9260,5206r,415m9868,5206r,415e" filled="f" strokeweight=".12pt">
              <v:stroke joinstyle="round"/>
              <v:formulas/>
              <v:path arrowok="t" o:connecttype="segments"/>
            </v:shape>
            <v:line id="_x0000_s2560" style="position:absolute" from="8254,5204" to="9869,5204" strokeweight=".12pt"/>
            <v:shape id="_x0000_s2559" style="position:absolute;left:8253;top:5290;width:1616;height:87" coordorigin="8254,5291" coordsize="1616,87" o:spt="100" adj="0,,0" path="m8254,5291r1615,m8254,5377r1615,e" filled="f" strokeweight=".12pt">
              <v:stroke joinstyle="round"/>
              <v:formulas/>
              <v:path arrowok="t" o:connecttype="segments"/>
            </v:shape>
            <v:line id="_x0000_s2558" style="position:absolute" from="8254,5620" to="9869,5620" strokeweight=".12pt"/>
            <v:shape id="_x0000_s2557" type="#_x0000_t202" style="position:absolute;left:8515;top:5230;width:503;height:35" filled="f" stroked="f">
              <v:textbox inset="0,0,0,0">
                <w:txbxContent>
                  <w:p w14:paraId="0256F432" w14:textId="77777777" w:rsidR="00F65BCA" w:rsidRDefault="00216117">
                    <w:pPr>
                      <w:rPr>
                        <w:b/>
                        <w:sz w:val="3"/>
                      </w:rPr>
                    </w:pPr>
                    <w:r>
                      <w:rPr>
                        <w:b/>
                        <w:w w:val="105"/>
                        <w:sz w:val="3"/>
                      </w:rPr>
                      <w:t>Akceptace doporučené opravny</w:t>
                    </w:r>
                  </w:p>
                </w:txbxContent>
              </v:textbox>
            </v:shape>
            <v:shape id="_x0000_s2556" type="#_x0000_t202" style="position:absolute;left:9307;top:5210;width:530;height:35" filled="f" stroked="f">
              <v:textbox inset="0,0,0,0">
                <w:txbxContent>
                  <w:p w14:paraId="05980158" w14:textId="77777777" w:rsidR="00F65BCA" w:rsidRDefault="00216117">
                    <w:pPr>
                      <w:rPr>
                        <w:b/>
                        <w:sz w:val="3"/>
                      </w:rPr>
                    </w:pPr>
                    <w:r>
                      <w:rPr>
                        <w:b/>
                        <w:w w:val="105"/>
                        <w:sz w:val="3"/>
                      </w:rPr>
                      <w:t>Koeficient akceptace doporučené</w:t>
                    </w:r>
                  </w:p>
                </w:txbxContent>
              </v:textbox>
            </v:shape>
            <v:shape id="_x0000_s2555" type="#_x0000_t202" style="position:absolute;left:9535;top:5482;width:81;height:35" filled="f" stroked="f">
              <v:textbox inset="0,0,0,0">
                <w:txbxContent>
                  <w:p w14:paraId="2475E7CF" w14:textId="77777777" w:rsidR="00F65BCA" w:rsidRDefault="00216117">
                    <w:pPr>
                      <w:rPr>
                        <w:sz w:val="3"/>
                      </w:rPr>
                    </w:pPr>
                    <w:r>
                      <w:rPr>
                        <w:w w:val="105"/>
                        <w:sz w:val="3"/>
                      </w:rPr>
                      <w:t>1,00</w:t>
                    </w:r>
                  </w:p>
                </w:txbxContent>
              </v:textbox>
            </v:shape>
            <v:shape id="_x0000_s2554" type="#_x0000_t202" style="position:absolute;left:8738;top:5482;width:59;height:35" filled="f" stroked="f">
              <v:textbox inset="0,0,0,0">
                <w:txbxContent>
                  <w:p w14:paraId="7D6A4A86" w14:textId="77777777" w:rsidR="00F65BCA" w:rsidRDefault="00216117">
                    <w:pPr>
                      <w:rPr>
                        <w:sz w:val="3"/>
                      </w:rPr>
                    </w:pPr>
                    <w:r>
                      <w:rPr>
                        <w:w w:val="105"/>
                        <w:sz w:val="3"/>
                      </w:rPr>
                      <w:t>Ne</w:t>
                    </w:r>
                  </w:p>
                </w:txbxContent>
              </v:textbox>
            </v:shape>
            <v:shape id="_x0000_s2553" type="#_x0000_t202" style="position:absolute;left:9260;top:5290;width:608;height:87" filled="f" strokeweight=".12pt">
              <v:textbox inset="0,0,0,0">
                <w:txbxContent>
                  <w:p w14:paraId="056F375E" w14:textId="77777777" w:rsidR="00F65BCA" w:rsidRDefault="00F65BCA">
                    <w:pPr>
                      <w:rPr>
                        <w:rFonts w:ascii="Calibri"/>
                        <w:sz w:val="2"/>
                      </w:rPr>
                    </w:pPr>
                  </w:p>
                  <w:p w14:paraId="16ABCC1F" w14:textId="77777777" w:rsidR="00F65BCA" w:rsidRDefault="00216117">
                    <w:pPr>
                      <w:ind w:left="253" w:right="251"/>
                      <w:jc w:val="center"/>
                      <w:rPr>
                        <w:sz w:val="3"/>
                      </w:rPr>
                    </w:pPr>
                    <w:r>
                      <w:rPr>
                        <w:w w:val="105"/>
                        <w:sz w:val="3"/>
                      </w:rPr>
                      <w:t>0,96</w:t>
                    </w:r>
                  </w:p>
                </w:txbxContent>
              </v:textbox>
            </v:shape>
            <v:shape id="_x0000_s2552" type="#_x0000_t202" style="position:absolute;left:8728;top:5316;width:76;height:35" filled="f" stroked="f">
              <v:textbox inset="0,0,0,0">
                <w:txbxContent>
                  <w:p w14:paraId="59BD6B90" w14:textId="77777777" w:rsidR="00F65BCA" w:rsidRDefault="00216117">
                    <w:pPr>
                      <w:rPr>
                        <w:sz w:val="3"/>
                      </w:rPr>
                    </w:pPr>
                    <w:r>
                      <w:rPr>
                        <w:w w:val="105"/>
                        <w:sz w:val="3"/>
                      </w:rPr>
                      <w:t>Ano</w:t>
                    </w:r>
                  </w:p>
                </w:txbxContent>
              </v:textbox>
            </v:shape>
            <v:shape id="_x0000_s2551" type="#_x0000_t202" style="position:absolute;left:9261;top:5292;width:605;height:3" fillcolor="#f8cbad" stroked="f">
              <v:textbox inset="0,0,0,0">
                <w:txbxContent>
                  <w:p w14:paraId="39805639" w14:textId="77777777" w:rsidR="00F65BCA" w:rsidRDefault="00216117">
                    <w:pPr>
                      <w:spacing w:line="6" w:lineRule="exact"/>
                      <w:ind w:left="220" w:right="221"/>
                      <w:jc w:val="center"/>
                      <w:rPr>
                        <w:b/>
                        <w:sz w:val="3"/>
                      </w:rPr>
                    </w:pPr>
                    <w:r>
                      <w:rPr>
                        <w:b/>
                        <w:w w:val="105"/>
                        <w:sz w:val="3"/>
                      </w:rPr>
                      <w:t>opravny</w:t>
                    </w:r>
                  </w:p>
                </w:txbxContent>
              </v:textbox>
            </v:shape>
            <w10:wrap anchorx="page" anchory="page"/>
          </v:group>
        </w:pict>
      </w:r>
      <w:r>
        <w:pict w14:anchorId="62EADD3F">
          <v:group id="_x0000_s2536" style="position:absolute;margin-left:412.55pt;margin-top:293.05pt;width:80.9pt;height:16.7pt;z-index:251681792;mso-position-horizontal-relative:page;mso-position-vertical-relative:page" coordorigin="8251,5861" coordsize="1618,334">
            <v:line id="_x0000_s2549" style="position:absolute" from="8251,5905" to="9869,5905" strokecolor="#f8cbad" strokeweight="4.44pt"/>
            <v:rect id="_x0000_s2548" style="position:absolute;left:8251;top:5947;width:1011;height:248" fillcolor="#fce4d6" stroked="f"/>
            <v:line id="_x0000_s2547" style="position:absolute" from="8252,5861" to="8252,6194" strokeweight=".12pt"/>
            <v:shape id="_x0000_s2546" style="position:absolute;left:9260;top:5863;width:608;height:332" coordorigin="9260,5863" coordsize="608,332" o:spt="100" adj="0,,0" path="m9260,5863r,331m9868,5863r,331e" filled="f" strokeweight=".12pt">
              <v:stroke joinstyle="round"/>
              <v:formulas/>
              <v:path arrowok="t" o:connecttype="segments"/>
            </v:shape>
            <v:shape id="_x0000_s2545" style="position:absolute;left:8253;top:5862;width:1616;height:87" coordorigin="8254,5862" coordsize="1616,87" o:spt="100" adj="0,,0" path="m8254,5862r1615,m8254,5948r1615,e" filled="f" strokeweight=".12pt">
              <v:stroke joinstyle="round"/>
              <v:formulas/>
              <v:path arrowok="t" o:connecttype="segments"/>
            </v:shape>
            <v:line id="_x0000_s2544" style="position:absolute" from="8254,6035" to="9869,6035" strokeweight=".12pt"/>
            <v:line id="_x0000_s2543" style="position:absolute" from="8254,6193" to="9869,6193" strokeweight=".12pt"/>
            <v:shape id="_x0000_s2542" type="#_x0000_t202" style="position:absolute;left:9535;top:6096;width:81;height:35" filled="f" stroked="f">
              <v:textbox inset="0,0,0,0">
                <w:txbxContent>
                  <w:p w14:paraId="2D964B51" w14:textId="77777777" w:rsidR="00F65BCA" w:rsidRDefault="00216117">
                    <w:pPr>
                      <w:rPr>
                        <w:sz w:val="3"/>
                      </w:rPr>
                    </w:pPr>
                    <w:r>
                      <w:rPr>
                        <w:w w:val="105"/>
                        <w:sz w:val="3"/>
                      </w:rPr>
                      <w:t>1,00</w:t>
                    </w:r>
                  </w:p>
                </w:txbxContent>
              </v:textbox>
            </v:shape>
            <v:shape id="_x0000_s2541" type="#_x0000_t202" style="position:absolute;left:8738;top:6096;width:59;height:35" filled="f" stroked="f">
              <v:textbox inset="0,0,0,0">
                <w:txbxContent>
                  <w:p w14:paraId="5DE230D5" w14:textId="77777777" w:rsidR="00F65BCA" w:rsidRDefault="00216117">
                    <w:pPr>
                      <w:rPr>
                        <w:sz w:val="3"/>
                      </w:rPr>
                    </w:pPr>
                    <w:r>
                      <w:rPr>
                        <w:w w:val="105"/>
                        <w:sz w:val="3"/>
                      </w:rPr>
                      <w:t>Ne</w:t>
                    </w:r>
                  </w:p>
                </w:txbxContent>
              </v:textbox>
            </v:shape>
            <v:shape id="_x0000_s2540" type="#_x0000_t202" style="position:absolute;left:9260;top:5948;width:608;height:87" filled="f" strokeweight=".12pt">
              <v:textbox inset="0,0,0,0">
                <w:txbxContent>
                  <w:p w14:paraId="23CC74F3" w14:textId="77777777" w:rsidR="00F65BCA" w:rsidRDefault="00F65BCA">
                    <w:pPr>
                      <w:rPr>
                        <w:rFonts w:ascii="Calibri"/>
                        <w:sz w:val="2"/>
                      </w:rPr>
                    </w:pPr>
                  </w:p>
                  <w:p w14:paraId="75AF4C17" w14:textId="77777777" w:rsidR="00F65BCA" w:rsidRDefault="00216117">
                    <w:pPr>
                      <w:ind w:left="253" w:right="251"/>
                      <w:jc w:val="center"/>
                      <w:rPr>
                        <w:sz w:val="3"/>
                      </w:rPr>
                    </w:pPr>
                    <w:r>
                      <w:rPr>
                        <w:w w:val="105"/>
                        <w:sz w:val="3"/>
                      </w:rPr>
                      <w:t>1,50</w:t>
                    </w:r>
                  </w:p>
                </w:txbxContent>
              </v:textbox>
            </v:shape>
            <v:shape id="_x0000_s2539" type="#_x0000_t202" style="position:absolute;left:8728;top:5974;width:76;height:35" filled="f" stroked="f">
              <v:textbox inset="0,0,0,0">
                <w:txbxContent>
                  <w:p w14:paraId="65EEBF52" w14:textId="77777777" w:rsidR="00F65BCA" w:rsidRDefault="00216117">
                    <w:pPr>
                      <w:rPr>
                        <w:sz w:val="3"/>
                      </w:rPr>
                    </w:pPr>
                    <w:r>
                      <w:rPr>
                        <w:w w:val="105"/>
                        <w:sz w:val="3"/>
                      </w:rPr>
                      <w:t>Ano</w:t>
                    </w:r>
                  </w:p>
                </w:txbxContent>
              </v:textbox>
            </v:shape>
            <v:shape id="_x0000_s2538" type="#_x0000_t202" style="position:absolute;left:9261;top:5949;width:605;height:3" fillcolor="#f8cbad" stroked="f">
              <v:textbox inset="0,0,0,0">
                <w:txbxContent>
                  <w:p w14:paraId="7B31BD2F" w14:textId="77777777" w:rsidR="00F65BCA" w:rsidRDefault="00216117">
                    <w:pPr>
                      <w:spacing w:line="27" w:lineRule="exact"/>
                      <w:ind w:left="79"/>
                      <w:rPr>
                        <w:b/>
                        <w:sz w:val="3"/>
                      </w:rPr>
                    </w:pPr>
                    <w:r>
                      <w:rPr>
                        <w:b/>
                        <w:w w:val="105"/>
                        <w:sz w:val="3"/>
                      </w:rPr>
                      <w:t>Koeficient opravy v zahraničí</w:t>
                    </w:r>
                  </w:p>
                </w:txbxContent>
              </v:textbox>
            </v:shape>
            <v:shape id="_x0000_s2537" type="#_x0000_t202" style="position:absolute;left:8253;top:5949;width:1006;height:3" fillcolor="#f8cbad" stroked="f">
              <v:textbox inset="0,0,0,0">
                <w:txbxContent>
                  <w:p w14:paraId="5DD1D968" w14:textId="77777777" w:rsidR="00F65BCA" w:rsidRDefault="00216117">
                    <w:pPr>
                      <w:spacing w:line="27" w:lineRule="exact"/>
                      <w:ind w:left="342" w:right="343"/>
                      <w:jc w:val="center"/>
                      <w:rPr>
                        <w:b/>
                        <w:sz w:val="3"/>
                      </w:rPr>
                    </w:pPr>
                    <w:r>
                      <w:rPr>
                        <w:b/>
                        <w:w w:val="105"/>
                        <w:sz w:val="3"/>
                      </w:rPr>
                      <w:t>Oprava v zahraničí</w:t>
                    </w:r>
                  </w:p>
                </w:txbxContent>
              </v:textbox>
            </v:shape>
            <w10:wrap anchorx="page" anchory="page"/>
          </v:group>
        </w:pict>
      </w:r>
      <w:r>
        <w:pict w14:anchorId="6736B4FE">
          <v:group id="_x0000_s2518" style="position:absolute;margin-left:412.55pt;margin-top:317.5pt;width:80.9pt;height:30.6pt;z-index:251691008;mso-position-horizontal-relative:page;mso-position-vertical-relative:page" coordorigin="8251,6350" coordsize="1618,612">
            <v:line id="_x0000_s2535" style="position:absolute" from="8251,6395" to="9869,6395" strokecolor="#f8cbad" strokeweight="4.44pt"/>
            <v:rect id="_x0000_s2534" style="position:absolute;left:8251;top:6436;width:1011;height:526" fillcolor="#fce4d6" stroked="f"/>
            <v:line id="_x0000_s2533" style="position:absolute" from="8252,6350" to="8252,6962" strokeweight=".12pt"/>
            <v:shape id="_x0000_s2532" style="position:absolute;left:9260;top:6352;width:608;height:610" coordorigin="9260,6353" coordsize="608,610" o:spt="100" adj="0,,0" path="m9260,6353r,609m9868,6353r,609e" filled="f" strokeweight=".12pt">
              <v:stroke joinstyle="round"/>
              <v:formulas/>
              <v:path arrowok="t" o:connecttype="segments"/>
            </v:shape>
            <v:line id="_x0000_s2531" style="position:absolute" from="8254,6352" to="9869,6352" strokeweight=".12pt"/>
            <v:line id="_x0000_s2530" style="position:absolute" from="8254,6438" to="9869,6438" strokeweight=".12pt"/>
            <v:line id="_x0000_s2529" style="position:absolute" from="8254,6524" to="9869,6524" strokeweight=".12pt"/>
            <v:line id="_x0000_s2528" style="position:absolute" from="8254,6743" to="9869,6743" strokeweight=".12pt"/>
            <v:line id="_x0000_s2527" style="position:absolute" from="8254,6961" to="9869,6961" strokeweight=".12pt"/>
            <v:shape id="_x0000_s2526" type="#_x0000_t202" style="position:absolute;left:9535;top:6835;width:81;height:35" filled="f" stroked="f">
              <v:textbox inset="0,0,0,0">
                <w:txbxContent>
                  <w:p w14:paraId="2DEAD6E8" w14:textId="77777777" w:rsidR="00F65BCA" w:rsidRDefault="00216117">
                    <w:pPr>
                      <w:rPr>
                        <w:sz w:val="3"/>
                      </w:rPr>
                    </w:pPr>
                    <w:r>
                      <w:rPr>
                        <w:w w:val="105"/>
                        <w:sz w:val="3"/>
                      </w:rPr>
                      <w:t>1,10</w:t>
                    </w:r>
                  </w:p>
                </w:txbxContent>
              </v:textbox>
            </v:shape>
            <v:shape id="_x0000_s2525" type="#_x0000_t202" style="position:absolute;left:8728;top:6835;width:76;height:35" filled="f" stroked="f">
              <v:textbox inset="0,0,0,0">
                <w:txbxContent>
                  <w:p w14:paraId="203570D9" w14:textId="77777777" w:rsidR="00F65BCA" w:rsidRDefault="00216117">
                    <w:pPr>
                      <w:rPr>
                        <w:sz w:val="3"/>
                      </w:rPr>
                    </w:pPr>
                    <w:r>
                      <w:rPr>
                        <w:w w:val="105"/>
                        <w:sz w:val="3"/>
                      </w:rPr>
                      <w:t>Jiné</w:t>
                    </w:r>
                  </w:p>
                </w:txbxContent>
              </v:textbox>
            </v:shape>
            <v:shape id="_x0000_s2524" type="#_x0000_t202" style="position:absolute;left:9535;top:6617;width:81;height:35" filled="f" stroked="f">
              <v:textbox inset="0,0,0,0">
                <w:txbxContent>
                  <w:p w14:paraId="7F300838" w14:textId="77777777" w:rsidR="00F65BCA" w:rsidRDefault="00216117">
                    <w:pPr>
                      <w:rPr>
                        <w:sz w:val="3"/>
                      </w:rPr>
                    </w:pPr>
                    <w:r>
                      <w:rPr>
                        <w:w w:val="105"/>
                        <w:sz w:val="3"/>
                      </w:rPr>
                      <w:t>1,00</w:t>
                    </w:r>
                  </w:p>
                </w:txbxContent>
              </v:textbox>
            </v:shape>
            <v:shape id="_x0000_s2523" type="#_x0000_t202" style="position:absolute;left:8252;top:6524;width:1008;height:219" fillcolor="#fce4d6" strokeweight=".12pt">
              <v:textbox inset="0,0,0,0">
                <w:txbxContent>
                  <w:p w14:paraId="6AA239EA" w14:textId="77777777" w:rsidR="00F65BCA" w:rsidRDefault="00F65BCA">
                    <w:pPr>
                      <w:rPr>
                        <w:rFonts w:ascii="Calibri"/>
                        <w:sz w:val="2"/>
                      </w:rPr>
                    </w:pPr>
                  </w:p>
                  <w:p w14:paraId="6C94C083" w14:textId="77777777" w:rsidR="00F65BCA" w:rsidRDefault="00F65BCA">
                    <w:pPr>
                      <w:rPr>
                        <w:rFonts w:ascii="Calibri"/>
                        <w:sz w:val="2"/>
                      </w:rPr>
                    </w:pPr>
                  </w:p>
                  <w:p w14:paraId="21AA611F" w14:textId="77777777" w:rsidR="00F65BCA" w:rsidRDefault="00F65BCA">
                    <w:pPr>
                      <w:rPr>
                        <w:rFonts w:ascii="Calibri"/>
                        <w:sz w:val="2"/>
                      </w:rPr>
                    </w:pPr>
                  </w:p>
                  <w:p w14:paraId="205C9BBC" w14:textId="77777777" w:rsidR="00F65BCA" w:rsidRDefault="00F65BCA">
                    <w:pPr>
                      <w:rPr>
                        <w:rFonts w:ascii="Calibri"/>
                        <w:sz w:val="2"/>
                      </w:rPr>
                    </w:pPr>
                  </w:p>
                  <w:p w14:paraId="1BCF3AFD" w14:textId="77777777" w:rsidR="00F65BCA" w:rsidRDefault="00216117">
                    <w:pPr>
                      <w:ind w:left="239"/>
                      <w:rPr>
                        <w:sz w:val="3"/>
                      </w:rPr>
                    </w:pPr>
                    <w:r>
                      <w:rPr>
                        <w:w w:val="105"/>
                        <w:sz w:val="3"/>
                      </w:rPr>
                      <w:t>Evropa (mimo vybrané země dle VPP)</w:t>
                    </w:r>
                  </w:p>
                </w:txbxContent>
              </v:textbox>
            </v:shape>
            <v:shape id="_x0000_s2522" type="#_x0000_t202" style="position:absolute;left:9260;top:6438;width:608;height:87" filled="f" strokeweight=".12pt">
              <v:textbox inset="0,0,0,0">
                <w:txbxContent>
                  <w:p w14:paraId="1B97E084" w14:textId="77777777" w:rsidR="00F65BCA" w:rsidRDefault="00F65BCA">
                    <w:pPr>
                      <w:rPr>
                        <w:rFonts w:ascii="Calibri"/>
                        <w:sz w:val="2"/>
                      </w:rPr>
                    </w:pPr>
                  </w:p>
                  <w:p w14:paraId="2C8CE685" w14:textId="77777777" w:rsidR="00F65BCA" w:rsidRDefault="00216117">
                    <w:pPr>
                      <w:ind w:left="253" w:right="251"/>
                      <w:jc w:val="center"/>
                      <w:rPr>
                        <w:sz w:val="3"/>
                      </w:rPr>
                    </w:pPr>
                    <w:r>
                      <w:rPr>
                        <w:w w:val="105"/>
                        <w:sz w:val="3"/>
                      </w:rPr>
                      <w:t>0,95</w:t>
                    </w:r>
                  </w:p>
                </w:txbxContent>
              </v:textbox>
            </v:shape>
            <v:shape id="_x0000_s2521" type="#_x0000_t202" style="position:absolute;left:8252;top:6438;width:1008;height:87" fillcolor="#fce4d6" strokeweight=".12pt">
              <v:textbox inset="0,0,0,0">
                <w:txbxContent>
                  <w:p w14:paraId="6C34440F" w14:textId="77777777" w:rsidR="00F65BCA" w:rsidRDefault="00F65BCA">
                    <w:pPr>
                      <w:rPr>
                        <w:rFonts w:ascii="Calibri"/>
                        <w:sz w:val="2"/>
                      </w:rPr>
                    </w:pPr>
                  </w:p>
                  <w:p w14:paraId="2C23D2C2" w14:textId="77777777" w:rsidR="00F65BCA" w:rsidRDefault="00216117">
                    <w:pPr>
                      <w:ind w:left="359" w:right="359"/>
                      <w:jc w:val="center"/>
                      <w:rPr>
                        <w:sz w:val="3"/>
                      </w:rPr>
                    </w:pPr>
                    <w:r>
                      <w:rPr>
                        <w:w w:val="105"/>
                        <w:sz w:val="3"/>
                      </w:rPr>
                      <w:t>Česká republika</w:t>
                    </w:r>
                  </w:p>
                </w:txbxContent>
              </v:textbox>
            </v:shape>
            <v:shape id="_x0000_s2520" type="#_x0000_t202" style="position:absolute;left:9261;top:6439;width:605;height:3" fillcolor="#f8cbad" stroked="f">
              <v:textbox inset="0,0,0,0">
                <w:txbxContent>
                  <w:p w14:paraId="7ACA8FFE" w14:textId="77777777" w:rsidR="00F65BCA" w:rsidRDefault="00216117">
                    <w:pPr>
                      <w:spacing w:line="27" w:lineRule="exact"/>
                      <w:ind w:left="83"/>
                      <w:rPr>
                        <w:b/>
                        <w:sz w:val="3"/>
                      </w:rPr>
                    </w:pPr>
                    <w:r>
                      <w:rPr>
                        <w:b/>
                        <w:w w:val="105"/>
                        <w:sz w:val="3"/>
                      </w:rPr>
                      <w:t>Koeficient územního rozsahu</w:t>
                    </w:r>
                  </w:p>
                </w:txbxContent>
              </v:textbox>
            </v:shape>
            <v:shape id="_x0000_s2519" type="#_x0000_t202" style="position:absolute;left:8253;top:6439;width:1006;height:3" fillcolor="#f8cbad" stroked="f">
              <v:textbox inset="0,0,0,0">
                <w:txbxContent>
                  <w:p w14:paraId="334AD7DE" w14:textId="77777777" w:rsidR="00F65BCA" w:rsidRDefault="00216117">
                    <w:pPr>
                      <w:spacing w:line="27" w:lineRule="exact"/>
                      <w:ind w:left="342" w:right="342"/>
                      <w:jc w:val="center"/>
                      <w:rPr>
                        <w:b/>
                        <w:sz w:val="3"/>
                      </w:rPr>
                    </w:pPr>
                    <w:r>
                      <w:rPr>
                        <w:b/>
                        <w:w w:val="105"/>
                        <w:sz w:val="3"/>
                      </w:rPr>
                      <w:t>Územní rozsah</w:t>
                    </w:r>
                  </w:p>
                </w:txbxContent>
              </v:textbox>
            </v:shape>
            <w10:wrap anchorx="page" anchory="page"/>
          </v:group>
        </w:pict>
      </w:r>
      <w:r>
        <w:pict w14:anchorId="38CA5ED2">
          <v:group id="_x0000_s2503" style="position:absolute;margin-left:412.55pt;margin-top:352.3pt;width:80.9pt;height:17.4pt;z-index:251700224;mso-position-horizontal-relative:page;mso-position-vertical-relative:page" coordorigin="8251,7046" coordsize="1618,348">
            <v:line id="_x0000_s2517" style="position:absolute" from="8251,7091" to="9869,7091" strokecolor="#f8cbad" strokeweight="4.44pt"/>
            <v:rect id="_x0000_s2516" style="position:absolute;left:8251;top:7132;width:1011;height:262" fillcolor="#fce4d6" stroked="f"/>
            <v:line id="_x0000_s2515" style="position:absolute" from="8252,7046" to="8252,7394" strokeweight=".12pt"/>
            <v:shape id="_x0000_s2514" style="position:absolute;left:8253;top:7047;width:1616;height:347" coordorigin="8254,7048" coordsize="1616,347" o:spt="100" adj="0,,0" path="m9260,7049r,345m9868,7049r,345m8254,7048r1615,m8254,7134r1615,m8254,7220r1615,e" filled="f" strokeweight=".12pt">
              <v:stroke joinstyle="round"/>
              <v:formulas/>
              <v:path arrowok="t" o:connecttype="segments"/>
            </v:shape>
            <v:line id="_x0000_s2513" style="position:absolute" from="8254,7307" to="9869,7307" strokeweight=".12pt"/>
            <v:line id="_x0000_s2512" style="position:absolute" from="8254,7393" to="9869,7393" strokeweight=".12pt"/>
            <v:shape id="_x0000_s2511" type="#_x0000_t202" style="position:absolute;left:8659;top:7073;width:214;height:35" filled="f" stroked="f">
              <v:textbox inset="0,0,0,0">
                <w:txbxContent>
                  <w:p w14:paraId="3F5A0A0B" w14:textId="77777777" w:rsidR="00F65BCA" w:rsidRDefault="00216117">
                    <w:pPr>
                      <w:rPr>
                        <w:b/>
                        <w:sz w:val="3"/>
                      </w:rPr>
                    </w:pPr>
                    <w:r>
                      <w:rPr>
                        <w:b/>
                        <w:w w:val="105"/>
                        <w:sz w:val="3"/>
                      </w:rPr>
                      <w:t>Zabezpečení</w:t>
                    </w:r>
                  </w:p>
                </w:txbxContent>
              </v:textbox>
            </v:shape>
            <v:shape id="_x0000_s2510" type="#_x0000_t202" style="position:absolute;left:9384;top:7073;width:377;height:35" filled="f" stroked="f">
              <v:textbox inset="0,0,0,0">
                <w:txbxContent>
                  <w:p w14:paraId="446A3463" w14:textId="77777777" w:rsidR="00F65BCA" w:rsidRDefault="00216117">
                    <w:pPr>
                      <w:rPr>
                        <w:b/>
                        <w:sz w:val="3"/>
                      </w:rPr>
                    </w:pPr>
                    <w:r>
                      <w:rPr>
                        <w:b/>
                        <w:w w:val="105"/>
                        <w:sz w:val="3"/>
                      </w:rPr>
                      <w:t>Koeficient zabezpečení</w:t>
                    </w:r>
                  </w:p>
                </w:txbxContent>
              </v:textbox>
            </v:shape>
            <v:shape id="_x0000_s2509" type="#_x0000_t202" style="position:absolute;left:9260;top:7306;width:608;height:87" filled="f" strokeweight=".12pt">
              <v:textbox inset="0,0,0,0">
                <w:txbxContent>
                  <w:p w14:paraId="7BFB1781" w14:textId="77777777" w:rsidR="00F65BCA" w:rsidRDefault="00F65BCA">
                    <w:pPr>
                      <w:rPr>
                        <w:rFonts w:ascii="Calibri"/>
                        <w:sz w:val="2"/>
                      </w:rPr>
                    </w:pPr>
                  </w:p>
                  <w:p w14:paraId="6AC1AF9D" w14:textId="77777777" w:rsidR="00F65BCA" w:rsidRDefault="00216117">
                    <w:pPr>
                      <w:ind w:left="253" w:right="251"/>
                      <w:jc w:val="center"/>
                      <w:rPr>
                        <w:sz w:val="3"/>
                      </w:rPr>
                    </w:pPr>
                    <w:r>
                      <w:rPr>
                        <w:w w:val="105"/>
                        <w:sz w:val="3"/>
                      </w:rPr>
                      <w:t>0,90</w:t>
                    </w:r>
                  </w:p>
                </w:txbxContent>
              </v:textbox>
            </v:shape>
            <v:shape id="_x0000_s2508" type="#_x0000_t202" style="position:absolute;left:8714;top:7332;width:108;height:35" filled="f" stroked="f">
              <v:textbox inset="0,0,0,0">
                <w:txbxContent>
                  <w:p w14:paraId="42EFBBC0" w14:textId="77777777" w:rsidR="00F65BCA" w:rsidRDefault="00216117">
                    <w:pPr>
                      <w:rPr>
                        <w:sz w:val="3"/>
                      </w:rPr>
                    </w:pPr>
                    <w:r>
                      <w:rPr>
                        <w:w w:val="105"/>
                        <w:sz w:val="3"/>
                      </w:rPr>
                      <w:t>aktivní</w:t>
                    </w:r>
                  </w:p>
                </w:txbxContent>
              </v:textbox>
            </v:shape>
            <v:shape id="_x0000_s2507" type="#_x0000_t202" style="position:absolute;left:9260;top:7220;width:608;height:87" filled="f" strokeweight=".12pt">
              <v:textbox inset="0,0,0,0">
                <w:txbxContent>
                  <w:p w14:paraId="34732791" w14:textId="77777777" w:rsidR="00F65BCA" w:rsidRDefault="00F65BCA">
                    <w:pPr>
                      <w:rPr>
                        <w:rFonts w:ascii="Calibri"/>
                        <w:sz w:val="2"/>
                      </w:rPr>
                    </w:pPr>
                  </w:p>
                  <w:p w14:paraId="40C1B6AD" w14:textId="77777777" w:rsidR="00F65BCA" w:rsidRDefault="00216117">
                    <w:pPr>
                      <w:ind w:left="253" w:right="251"/>
                      <w:jc w:val="center"/>
                      <w:rPr>
                        <w:sz w:val="3"/>
                      </w:rPr>
                    </w:pPr>
                    <w:r>
                      <w:rPr>
                        <w:w w:val="105"/>
                        <w:sz w:val="3"/>
                      </w:rPr>
                      <w:t>0,95</w:t>
                    </w:r>
                  </w:p>
                </w:txbxContent>
              </v:textbox>
            </v:shape>
            <v:shape id="_x0000_s2506" type="#_x0000_t202" style="position:absolute;left:8709;top:7246;width:116;height:35" filled="f" stroked="f">
              <v:textbox inset="0,0,0,0">
                <w:txbxContent>
                  <w:p w14:paraId="5ED208B6" w14:textId="77777777" w:rsidR="00F65BCA" w:rsidRDefault="00216117">
                    <w:pPr>
                      <w:rPr>
                        <w:sz w:val="3"/>
                      </w:rPr>
                    </w:pPr>
                    <w:r>
                      <w:rPr>
                        <w:w w:val="105"/>
                        <w:sz w:val="3"/>
                      </w:rPr>
                      <w:t>pasivní</w:t>
                    </w:r>
                  </w:p>
                </w:txbxContent>
              </v:textbox>
            </v:shape>
            <v:shape id="_x0000_s2505" type="#_x0000_t202" style="position:absolute;left:9260;top:7134;width:608;height:87" filled="f" strokeweight=".12pt">
              <v:textbox inset="0,0,0,0">
                <w:txbxContent>
                  <w:p w14:paraId="6B70AE2B" w14:textId="77777777" w:rsidR="00F65BCA" w:rsidRDefault="00F65BCA">
                    <w:pPr>
                      <w:rPr>
                        <w:rFonts w:ascii="Calibri"/>
                        <w:sz w:val="2"/>
                      </w:rPr>
                    </w:pPr>
                  </w:p>
                  <w:p w14:paraId="5CD6A187" w14:textId="77777777" w:rsidR="00F65BCA" w:rsidRDefault="00216117">
                    <w:pPr>
                      <w:ind w:left="253" w:right="251"/>
                      <w:jc w:val="center"/>
                      <w:rPr>
                        <w:sz w:val="3"/>
                      </w:rPr>
                    </w:pPr>
                    <w:r>
                      <w:rPr>
                        <w:w w:val="105"/>
                        <w:sz w:val="3"/>
                      </w:rPr>
                      <w:t>0,97</w:t>
                    </w:r>
                  </w:p>
                </w:txbxContent>
              </v:textbox>
            </v:shape>
            <v:shape id="_x0000_s2504" type="#_x0000_t202" style="position:absolute;left:8252;top:7134;width:1008;height:87" fillcolor="#fce4d6" strokeweight=".12pt">
              <v:textbox inset="0,0,0,0">
                <w:txbxContent>
                  <w:p w14:paraId="5A9A3998" w14:textId="77777777" w:rsidR="00F65BCA" w:rsidRDefault="00F65BCA">
                    <w:pPr>
                      <w:rPr>
                        <w:rFonts w:ascii="Calibri"/>
                        <w:sz w:val="2"/>
                      </w:rPr>
                    </w:pPr>
                  </w:p>
                  <w:p w14:paraId="69A07394" w14:textId="77777777" w:rsidR="00F65BCA" w:rsidRDefault="00216117">
                    <w:pPr>
                      <w:ind w:left="359" w:right="357"/>
                      <w:jc w:val="center"/>
                      <w:rPr>
                        <w:sz w:val="3"/>
                      </w:rPr>
                    </w:pPr>
                    <w:r>
                      <w:rPr>
                        <w:w w:val="105"/>
                        <w:sz w:val="3"/>
                      </w:rPr>
                      <w:t>mechanické</w:t>
                    </w:r>
                  </w:p>
                </w:txbxContent>
              </v:textbox>
            </v:shape>
            <w10:wrap anchorx="page" anchory="page"/>
          </v:group>
        </w:pict>
      </w:r>
      <w:r>
        <w:pict w14:anchorId="46A4835E">
          <v:group id="_x0000_s2486" style="position:absolute;margin-left:412.55pt;margin-top:373.9pt;width:80.9pt;height:29.8pt;z-index:251711488;mso-position-horizontal-relative:page;mso-position-vertical-relative:page" coordorigin="8251,7478" coordsize="1618,596">
            <v:line id="_x0000_s2502" style="position:absolute" from="8251,7523" to="9869,7523" strokecolor="#f8cbad" strokeweight="4.44pt"/>
            <v:rect id="_x0000_s2501" style="position:absolute;left:8251;top:7564;width:1011;height:509" fillcolor="#fce4d6" stroked="f"/>
            <v:line id="_x0000_s2500" style="position:absolute" from="8252,7478" to="8252,8074" strokeweight=".12pt"/>
            <v:shape id="_x0000_s2499" style="position:absolute;left:8253;top:7479;width:1616;height:594" coordorigin="8254,7480" coordsize="1616,594" o:spt="100" adj="0,,0" path="m9260,7481r,593m9868,7481r,593m8254,7480r1615,e" filled="f" strokeweight=".12pt">
              <v:stroke joinstyle="round"/>
              <v:formulas/>
              <v:path arrowok="t" o:connecttype="segments"/>
            </v:shape>
            <v:shape id="_x0000_s2498" style="position:absolute;left:8253;top:7566;width:1616;height:173" coordorigin="8254,7566" coordsize="1616,173" o:spt="100" adj="0,,0" path="m8254,7566r1615,m8254,7652r1615,m8254,7739r1615,e" filled="f" strokeweight=".12pt">
              <v:stroke joinstyle="round"/>
              <v:formulas/>
              <v:path arrowok="t" o:connecttype="segments"/>
            </v:shape>
            <v:shape id="_x0000_s2497" style="position:absolute;left:8253;top:7825;width:1616;height:248" coordorigin="8254,7825" coordsize="1616,248" o:spt="100" adj="0,,0" path="m8254,7825r1615,m8254,8072r1615,e" filled="f" strokeweight=".12pt">
              <v:stroke joinstyle="round"/>
              <v:formulas/>
              <v:path arrowok="t" o:connecttype="segments"/>
            </v:shape>
            <v:shape id="_x0000_s2496" type="#_x0000_t202" style="position:absolute;left:8608;top:7505;width:315;height:35" filled="f" stroked="f">
              <v:textbox inset="0,0,0,0">
                <w:txbxContent>
                  <w:p w14:paraId="5CD12A92" w14:textId="77777777" w:rsidR="00F65BCA" w:rsidRDefault="00216117">
                    <w:pPr>
                      <w:rPr>
                        <w:b/>
                        <w:sz w:val="3"/>
                      </w:rPr>
                    </w:pPr>
                    <w:r>
                      <w:rPr>
                        <w:b/>
                        <w:w w:val="105"/>
                        <w:sz w:val="3"/>
                      </w:rPr>
                      <w:t>Způsob financování</w:t>
                    </w:r>
                  </w:p>
                </w:txbxContent>
              </v:textbox>
            </v:shape>
            <v:shape id="_x0000_s2495" type="#_x0000_t202" style="position:absolute;left:9393;top:7505;width:360;height:35" filled="f" stroked="f">
              <v:textbox inset="0,0,0,0">
                <w:txbxContent>
                  <w:p w14:paraId="43C61154" w14:textId="77777777" w:rsidR="00F65BCA" w:rsidRDefault="00216117">
                    <w:pPr>
                      <w:rPr>
                        <w:b/>
                        <w:sz w:val="3"/>
                      </w:rPr>
                    </w:pPr>
                    <w:r>
                      <w:rPr>
                        <w:b/>
                        <w:w w:val="105"/>
                        <w:sz w:val="3"/>
                      </w:rPr>
                      <w:t>Koeficient financování</w:t>
                    </w:r>
                  </w:p>
                </w:txbxContent>
              </v:textbox>
            </v:shape>
            <v:shape id="_x0000_s2494" type="#_x0000_t202" style="position:absolute;left:9535;top:7932;width:81;height:35" filled="f" stroked="f">
              <v:textbox inset="0,0,0,0">
                <w:txbxContent>
                  <w:p w14:paraId="5A225C91" w14:textId="77777777" w:rsidR="00F65BCA" w:rsidRDefault="00216117">
                    <w:pPr>
                      <w:rPr>
                        <w:sz w:val="3"/>
                      </w:rPr>
                    </w:pPr>
                    <w:r>
                      <w:rPr>
                        <w:w w:val="105"/>
                        <w:sz w:val="3"/>
                      </w:rPr>
                      <w:t>1,00</w:t>
                    </w:r>
                  </w:p>
                </w:txbxContent>
              </v:textbox>
            </v:shape>
            <v:shape id="_x0000_s2493" type="#_x0000_t202" style="position:absolute;left:8714;top:7932;width:103;height:35" filled="f" stroked="f">
              <v:textbox inset="0,0,0,0">
                <w:txbxContent>
                  <w:p w14:paraId="5FAE3833" w14:textId="77777777" w:rsidR="00F65BCA" w:rsidRDefault="00216117">
                    <w:pPr>
                      <w:rPr>
                        <w:sz w:val="3"/>
                      </w:rPr>
                    </w:pPr>
                    <w:r>
                      <w:rPr>
                        <w:w w:val="105"/>
                        <w:sz w:val="3"/>
                      </w:rPr>
                      <w:t>žádný</w:t>
                    </w:r>
                  </w:p>
                </w:txbxContent>
              </v:textbox>
            </v:shape>
            <v:shape id="_x0000_s2492" type="#_x0000_t202" style="position:absolute;left:9260;top:7738;width:608;height:87" filled="f" strokeweight=".12pt">
              <v:textbox inset="0,0,0,0">
                <w:txbxContent>
                  <w:p w14:paraId="0808B048" w14:textId="77777777" w:rsidR="00F65BCA" w:rsidRDefault="00F65BCA">
                    <w:pPr>
                      <w:rPr>
                        <w:rFonts w:ascii="Calibri"/>
                        <w:sz w:val="2"/>
                      </w:rPr>
                    </w:pPr>
                  </w:p>
                  <w:p w14:paraId="505F816A" w14:textId="77777777" w:rsidR="00F65BCA" w:rsidRDefault="00216117">
                    <w:pPr>
                      <w:ind w:left="253" w:right="251"/>
                      <w:jc w:val="center"/>
                      <w:rPr>
                        <w:sz w:val="3"/>
                      </w:rPr>
                    </w:pPr>
                    <w:r>
                      <w:rPr>
                        <w:w w:val="105"/>
                        <w:sz w:val="3"/>
                      </w:rPr>
                      <w:t>1,40</w:t>
                    </w:r>
                  </w:p>
                </w:txbxContent>
              </v:textbox>
            </v:shape>
            <v:shape id="_x0000_s2491" type="#_x0000_t202" style="position:absolute;left:8252;top:7738;width:1008;height:87" fillcolor="#fce4d6" strokeweight=".12pt">
              <v:textbox inset="0,0,0,0">
                <w:txbxContent>
                  <w:p w14:paraId="132D6E35" w14:textId="77777777" w:rsidR="00F65BCA" w:rsidRDefault="00F65BCA">
                    <w:pPr>
                      <w:rPr>
                        <w:rFonts w:ascii="Calibri"/>
                        <w:sz w:val="2"/>
                      </w:rPr>
                    </w:pPr>
                  </w:p>
                  <w:p w14:paraId="50E9A55E" w14:textId="77777777" w:rsidR="00F65BCA" w:rsidRDefault="00216117">
                    <w:pPr>
                      <w:ind w:left="359" w:right="359"/>
                      <w:jc w:val="center"/>
                      <w:rPr>
                        <w:sz w:val="3"/>
                      </w:rPr>
                    </w:pPr>
                    <w:r>
                      <w:rPr>
                        <w:w w:val="105"/>
                        <w:sz w:val="3"/>
                      </w:rPr>
                      <w:t>operativní leasing</w:t>
                    </w:r>
                  </w:p>
                </w:txbxContent>
              </v:textbox>
            </v:shape>
            <v:shape id="_x0000_s2490" type="#_x0000_t202" style="position:absolute;left:9260;top:7652;width:608;height:87" filled="f" strokeweight=".12pt">
              <v:textbox inset="0,0,0,0">
                <w:txbxContent>
                  <w:p w14:paraId="180ED52D" w14:textId="77777777" w:rsidR="00F65BCA" w:rsidRDefault="00F65BCA">
                    <w:pPr>
                      <w:rPr>
                        <w:rFonts w:ascii="Calibri"/>
                        <w:sz w:val="2"/>
                      </w:rPr>
                    </w:pPr>
                  </w:p>
                  <w:p w14:paraId="0C14D60C" w14:textId="77777777" w:rsidR="00F65BCA" w:rsidRDefault="00216117">
                    <w:pPr>
                      <w:ind w:left="253" w:right="251"/>
                      <w:jc w:val="center"/>
                      <w:rPr>
                        <w:sz w:val="3"/>
                      </w:rPr>
                    </w:pPr>
                    <w:r>
                      <w:rPr>
                        <w:w w:val="105"/>
                        <w:sz w:val="3"/>
                      </w:rPr>
                      <w:t>1,00</w:t>
                    </w:r>
                  </w:p>
                </w:txbxContent>
              </v:textbox>
            </v:shape>
            <v:shape id="_x0000_s2489" type="#_x0000_t202" style="position:absolute;left:8728;top:7678;width:76;height:35" filled="f" stroked="f">
              <v:textbox inset="0,0,0,0">
                <w:txbxContent>
                  <w:p w14:paraId="2214A4D8" w14:textId="77777777" w:rsidR="00F65BCA" w:rsidRDefault="00216117">
                    <w:pPr>
                      <w:rPr>
                        <w:sz w:val="3"/>
                      </w:rPr>
                    </w:pPr>
                    <w:r>
                      <w:rPr>
                        <w:w w:val="105"/>
                        <w:sz w:val="3"/>
                      </w:rPr>
                      <w:t>úvěr</w:t>
                    </w:r>
                  </w:p>
                </w:txbxContent>
              </v:textbox>
            </v:shape>
            <v:shape id="_x0000_s2488" type="#_x0000_t202" style="position:absolute;left:9260;top:7566;width:608;height:87" filled="f" strokeweight=".12pt">
              <v:textbox inset="0,0,0,0">
                <w:txbxContent>
                  <w:p w14:paraId="070B7ED5" w14:textId="77777777" w:rsidR="00F65BCA" w:rsidRDefault="00F65BCA">
                    <w:pPr>
                      <w:rPr>
                        <w:rFonts w:ascii="Calibri"/>
                        <w:sz w:val="2"/>
                      </w:rPr>
                    </w:pPr>
                  </w:p>
                  <w:p w14:paraId="5F0D5352" w14:textId="77777777" w:rsidR="00F65BCA" w:rsidRDefault="00216117">
                    <w:pPr>
                      <w:ind w:left="253" w:right="251"/>
                      <w:jc w:val="center"/>
                      <w:rPr>
                        <w:sz w:val="3"/>
                      </w:rPr>
                    </w:pPr>
                    <w:r>
                      <w:rPr>
                        <w:w w:val="105"/>
                        <w:sz w:val="3"/>
                      </w:rPr>
                      <w:t>1,00</w:t>
                    </w:r>
                  </w:p>
                </w:txbxContent>
              </v:textbox>
            </v:shape>
            <v:shape id="_x0000_s2487" type="#_x0000_t202" style="position:absolute;left:8252;top:7566;width:1008;height:87" fillcolor="#fce4d6" strokeweight=".12pt">
              <v:textbox inset="0,0,0,0">
                <w:txbxContent>
                  <w:p w14:paraId="14D6A169" w14:textId="77777777" w:rsidR="00F65BCA" w:rsidRDefault="00F65BCA">
                    <w:pPr>
                      <w:rPr>
                        <w:rFonts w:ascii="Calibri"/>
                        <w:sz w:val="2"/>
                      </w:rPr>
                    </w:pPr>
                  </w:p>
                  <w:p w14:paraId="08FAFC6F" w14:textId="77777777" w:rsidR="00F65BCA" w:rsidRDefault="00216117">
                    <w:pPr>
                      <w:ind w:left="359" w:right="359"/>
                      <w:jc w:val="center"/>
                      <w:rPr>
                        <w:sz w:val="3"/>
                      </w:rPr>
                    </w:pPr>
                    <w:r>
                      <w:rPr>
                        <w:w w:val="105"/>
                        <w:sz w:val="3"/>
                      </w:rPr>
                      <w:t>finanční leasing</w:t>
                    </w:r>
                  </w:p>
                </w:txbxContent>
              </v:textbox>
            </v:shape>
            <w10:wrap anchorx="page" anchory="page"/>
          </v:group>
        </w:pict>
      </w:r>
      <w:r>
        <w:pict w14:anchorId="30508843">
          <v:group id="_x0000_s2482" style="position:absolute;margin-left:34.7pt;margin-top:60.6pt;width:168.6pt;height:10.8pt;z-index:251713536;mso-position-horizontal-relative:page;mso-position-vertical-relative:page" coordorigin="694,1212" coordsize="3372,216">
            <v:shape id="_x0000_s2485" style="position:absolute;left:698;top:1212;width:3368;height:216" coordorigin="698,1212" coordsize="3368,216" o:spt="100" adj="0,,0" path="m4066,1423r-3368,l698,1428r3368,l4066,1423t,-211l698,1212r,5l4066,1217r,-5e" fillcolor="black" stroked="f">
              <v:stroke joinstyle="round"/>
              <v:formulas/>
              <v:path arrowok="t" o:connecttype="segments"/>
            </v:shape>
            <v:line id="_x0000_s2484" style="position:absolute" from="696,1212" to="696,1428" strokeweight=".24pt"/>
            <v:shape id="_x0000_s2483" type="#_x0000_t202" style="position:absolute;left:698;top:1214;width:3368;height:214" fillcolor="#f8cbad" stroked="f">
              <v:textbox inset="0,0,0,0">
                <w:txbxContent>
                  <w:p w14:paraId="2D33FFA5" w14:textId="77777777" w:rsidR="00F65BCA" w:rsidRDefault="00F65BCA">
                    <w:pPr>
                      <w:rPr>
                        <w:rFonts w:ascii="Calibri"/>
                        <w:sz w:val="2"/>
                      </w:rPr>
                    </w:pPr>
                  </w:p>
                  <w:p w14:paraId="3EE32D7D" w14:textId="77777777" w:rsidR="00F65BCA" w:rsidRDefault="00F65BCA">
                    <w:pPr>
                      <w:rPr>
                        <w:rFonts w:ascii="Calibri"/>
                        <w:sz w:val="2"/>
                      </w:rPr>
                    </w:pPr>
                  </w:p>
                  <w:p w14:paraId="2C54F85E" w14:textId="77777777" w:rsidR="00F65BCA" w:rsidRDefault="00216117">
                    <w:pPr>
                      <w:ind w:left="876" w:right="878"/>
                      <w:jc w:val="center"/>
                      <w:rPr>
                        <w:b/>
                        <w:sz w:val="3"/>
                      </w:rPr>
                    </w:pPr>
                    <w:r>
                      <w:rPr>
                        <w:b/>
                        <w:w w:val="105"/>
                        <w:sz w:val="3"/>
                      </w:rPr>
                      <w:t>Sazby</w:t>
                    </w:r>
                    <w:r>
                      <w:rPr>
                        <w:b/>
                        <w:spacing w:val="-1"/>
                        <w:w w:val="105"/>
                        <w:sz w:val="3"/>
                      </w:rPr>
                      <w:t xml:space="preserve"> </w:t>
                    </w:r>
                    <w:r>
                      <w:rPr>
                        <w:b/>
                        <w:w w:val="105"/>
                        <w:sz w:val="3"/>
                      </w:rPr>
                      <w:t>HAV:</w:t>
                    </w:r>
                  </w:p>
                  <w:p w14:paraId="52C8ED76" w14:textId="77777777" w:rsidR="00F65BCA" w:rsidRDefault="00F65BCA">
                    <w:pPr>
                      <w:rPr>
                        <w:b/>
                        <w:sz w:val="2"/>
                      </w:rPr>
                    </w:pPr>
                  </w:p>
                  <w:p w14:paraId="014AB45E" w14:textId="77777777" w:rsidR="00F65BCA" w:rsidRDefault="00F65BCA">
                    <w:pPr>
                      <w:rPr>
                        <w:b/>
                        <w:sz w:val="2"/>
                      </w:rPr>
                    </w:pPr>
                  </w:p>
                  <w:p w14:paraId="29F62E3A" w14:textId="77777777" w:rsidR="00F65BCA" w:rsidRDefault="00216117">
                    <w:pPr>
                      <w:spacing w:before="1"/>
                      <w:ind w:left="876" w:right="878"/>
                      <w:jc w:val="center"/>
                      <w:rPr>
                        <w:b/>
                        <w:sz w:val="3"/>
                      </w:rPr>
                    </w:pPr>
                    <w:r>
                      <w:rPr>
                        <w:b/>
                        <w:w w:val="105"/>
                        <w:sz w:val="3"/>
                      </w:rPr>
                      <w:t xml:space="preserve">Varianta: All Risk; Spoluúčast: </w:t>
                    </w:r>
                    <w:r>
                      <w:rPr>
                        <w:b/>
                        <w:w w:val="105"/>
                        <w:sz w:val="3"/>
                      </w:rPr>
                      <w:t>5%, minimálně však 5 000 Kč; Užití: běžné; Dlouhodobost: jiné; Stáří: 0 let</w:t>
                    </w:r>
                  </w:p>
                </w:txbxContent>
              </v:textbox>
            </v:shape>
            <w10:wrap anchorx="page" anchory="page"/>
          </v:group>
        </w:pict>
      </w:r>
      <w:r>
        <w:pict w14:anchorId="1C884763">
          <v:shape id="_x0000_s2481" type="#_x0000_t202" style="position:absolute;margin-left:412.55pt;margin-top:60.7pt;width:121.1pt;height:12.5pt;z-index:251714560;mso-position-horizontal-relative:page;mso-position-vertical-relative:page" fillcolor="#ffc" strokeweight=".24pt">
            <v:textbox inset="0,0,0,0">
              <w:txbxContent>
                <w:p w14:paraId="2460DA21" w14:textId="77777777" w:rsidR="00F65BCA" w:rsidRDefault="00F65BCA">
                  <w:pPr>
                    <w:pStyle w:val="Zkladntext"/>
                    <w:rPr>
                      <w:rFonts w:ascii="Calibri"/>
                      <w:sz w:val="2"/>
                    </w:rPr>
                  </w:pPr>
                </w:p>
                <w:p w14:paraId="329CDD89" w14:textId="77777777" w:rsidR="00F65BCA" w:rsidRDefault="00216117">
                  <w:pPr>
                    <w:ind w:left="7" w:right="7"/>
                    <w:jc w:val="center"/>
                    <w:rPr>
                      <w:b/>
                      <w:sz w:val="3"/>
                    </w:rPr>
                  </w:pPr>
                  <w:r>
                    <w:rPr>
                      <w:b/>
                      <w:w w:val="105"/>
                      <w:sz w:val="3"/>
                    </w:rPr>
                    <w:t>VÝPOČET:</w:t>
                  </w:r>
                </w:p>
                <w:p w14:paraId="46EB976D" w14:textId="77777777" w:rsidR="00F65BCA" w:rsidRDefault="00F65BCA">
                  <w:pPr>
                    <w:pStyle w:val="Zkladntext"/>
                    <w:rPr>
                      <w:b/>
                      <w:sz w:val="2"/>
                    </w:rPr>
                  </w:pPr>
                </w:p>
                <w:p w14:paraId="571D1573" w14:textId="77777777" w:rsidR="00F65BCA" w:rsidRDefault="00F65BCA">
                  <w:pPr>
                    <w:pStyle w:val="Zkladntext"/>
                    <w:spacing w:before="1"/>
                    <w:rPr>
                      <w:b/>
                      <w:sz w:val="2"/>
                    </w:rPr>
                  </w:pPr>
                </w:p>
                <w:p w14:paraId="11CCC95A" w14:textId="77777777" w:rsidR="00F65BCA" w:rsidRDefault="00216117">
                  <w:pPr>
                    <w:spacing w:line="283" w:lineRule="auto"/>
                    <w:ind w:left="7" w:right="7"/>
                    <w:jc w:val="center"/>
                    <w:rPr>
                      <w:b/>
                      <w:sz w:val="3"/>
                    </w:rPr>
                  </w:pPr>
                  <w:r>
                    <w:rPr>
                      <w:b/>
                      <w:w w:val="105"/>
                      <w:sz w:val="3"/>
                    </w:rPr>
                    <w:t xml:space="preserve">Pojistné HAV = </w:t>
                  </w:r>
                  <w:r>
                    <w:rPr>
                      <w:b/>
                      <w:w w:val="105"/>
                      <w:sz w:val="3"/>
                    </w:rPr>
                    <w:t>MAXIMUM(1500; ZAOKROUHLIT(Pojistná částka * Sazba * Koeficient stáří vozidla * Koeficient varianty krytí * Koeficient akceptace doporučené opravny * Koeficient opravy v zahraničí * Koeficient územního rozsahu * Koeficient zabezpečení * Koeficient užití vozidla HAV * Koeficient financování / 12; 0 DESETINNÝCH MÍST) * 12)</w:t>
                  </w:r>
                </w:p>
              </w:txbxContent>
            </v:textbox>
            <w10:wrap anchorx="page" anchory="page"/>
          </v:shape>
        </w:pict>
      </w:r>
      <w:r>
        <w:pict w14:anchorId="33275AA9">
          <v:shape id="_x0000_s2480" type="#_x0000_t202" style="position:absolute;margin-left:205.7pt;margin-top:60.7pt;width:187.2pt;height:10.6pt;z-index:251715584;mso-position-horizontal-relative:page;mso-position-vertical-relative:page" fillcolor="#f8cbad" strokeweight=".24pt">
            <v:textbox inset="0,0,0,0">
              <w:txbxContent>
                <w:p w14:paraId="7907FD97" w14:textId="77777777" w:rsidR="00F65BCA" w:rsidRDefault="00F65BCA">
                  <w:pPr>
                    <w:pStyle w:val="Zkladntext"/>
                    <w:rPr>
                      <w:rFonts w:ascii="Calibri"/>
                      <w:sz w:val="2"/>
                    </w:rPr>
                  </w:pPr>
                </w:p>
                <w:p w14:paraId="42988F74" w14:textId="77777777" w:rsidR="00F65BCA" w:rsidRDefault="00F65BCA">
                  <w:pPr>
                    <w:pStyle w:val="Zkladntext"/>
                    <w:rPr>
                      <w:rFonts w:ascii="Calibri"/>
                      <w:sz w:val="2"/>
                    </w:rPr>
                  </w:pPr>
                </w:p>
                <w:p w14:paraId="71C429E2" w14:textId="77777777" w:rsidR="00F65BCA" w:rsidRDefault="00F65BCA">
                  <w:pPr>
                    <w:pStyle w:val="Zkladntext"/>
                    <w:rPr>
                      <w:rFonts w:ascii="Calibri"/>
                      <w:sz w:val="2"/>
                    </w:rPr>
                  </w:pPr>
                </w:p>
                <w:p w14:paraId="0D87ADA7" w14:textId="77777777" w:rsidR="00F65BCA" w:rsidRDefault="00216117">
                  <w:pPr>
                    <w:spacing w:before="14"/>
                    <w:ind w:left="1674" w:right="1671"/>
                    <w:jc w:val="center"/>
                    <w:rPr>
                      <w:b/>
                      <w:sz w:val="3"/>
                    </w:rPr>
                  </w:pPr>
                  <w:r>
                    <w:rPr>
                      <w:b/>
                      <w:w w:val="105"/>
                      <w:sz w:val="3"/>
                    </w:rPr>
                    <w:t>Pojistná částka (tis. Kč)</w:t>
                  </w:r>
                </w:p>
              </w:txbxContent>
            </v:textbox>
            <w10:wrap anchorx="page" anchory="page"/>
          </v:shape>
        </w:pict>
      </w:r>
      <w:r>
        <w:pict w14:anchorId="07CDD9FE">
          <v:shape id="_x0000_s2479" type="#_x0000_t202" style="position:absolute;margin-left:34.8pt;margin-top:71pt;width:358.3pt;height:713.95pt;z-index:251716608;mso-position-horizontal-relative:page;mso-position-vertical-relative:page" filled="f" stroked="f">
            <v:textbox inset="0,0,0,0">
              <w:txbxContent>
                <w:tbl>
                  <w:tblPr>
                    <w:tblStyle w:val="TableNormal"/>
                    <w:tblW w:w="0" w:type="auto"/>
                    <w:tblInd w:w="2" w:type="dxa"/>
                    <w:tblBorders>
                      <w:top w:val="single" w:sz="48" w:space="0" w:color="F8CBAD"/>
                      <w:left w:val="single" w:sz="48" w:space="0" w:color="F8CBAD"/>
                      <w:bottom w:val="single" w:sz="48" w:space="0" w:color="F8CBAD"/>
                      <w:right w:val="single" w:sz="48" w:space="0" w:color="F8CBAD"/>
                      <w:insideH w:val="single" w:sz="48" w:space="0" w:color="F8CBAD"/>
                      <w:insideV w:val="single" w:sz="48" w:space="0" w:color="F8CBAD"/>
                    </w:tblBorders>
                    <w:tblLayout w:type="fixed"/>
                    <w:tblLook w:val="01E0" w:firstRow="1" w:lastRow="1" w:firstColumn="1" w:lastColumn="1" w:noHBand="0" w:noVBand="0"/>
                  </w:tblPr>
                  <w:tblGrid>
                    <w:gridCol w:w="526"/>
                    <w:gridCol w:w="732"/>
                    <w:gridCol w:w="958"/>
                    <w:gridCol w:w="576"/>
                    <w:gridCol w:w="576"/>
                    <w:gridCol w:w="50"/>
                    <w:gridCol w:w="288"/>
                    <w:gridCol w:w="288"/>
                    <w:gridCol w:w="288"/>
                    <w:gridCol w:w="288"/>
                    <w:gridCol w:w="288"/>
                    <w:gridCol w:w="288"/>
                    <w:gridCol w:w="288"/>
                    <w:gridCol w:w="288"/>
                    <w:gridCol w:w="288"/>
                    <w:gridCol w:w="288"/>
                    <w:gridCol w:w="288"/>
                    <w:gridCol w:w="288"/>
                    <w:gridCol w:w="288"/>
                  </w:tblGrid>
                  <w:tr w:rsidR="00F65BCA" w14:paraId="36ACF947" w14:textId="77777777">
                    <w:trPr>
                      <w:trHeight w:val="554"/>
                    </w:trPr>
                    <w:tc>
                      <w:tcPr>
                        <w:tcW w:w="526" w:type="dxa"/>
                        <w:vMerge w:val="restart"/>
                        <w:tcBorders>
                          <w:left w:val="single" w:sz="2" w:space="0" w:color="000000"/>
                          <w:bottom w:val="single" w:sz="2" w:space="0" w:color="000000"/>
                          <w:right w:val="single" w:sz="2" w:space="0" w:color="000000"/>
                        </w:tcBorders>
                        <w:shd w:val="clear" w:color="auto" w:fill="FCE4D6"/>
                      </w:tcPr>
                      <w:p w14:paraId="7057B074" w14:textId="77777777" w:rsidR="00F65BCA" w:rsidRDefault="00216117">
                        <w:pPr>
                          <w:pStyle w:val="TableParagraph"/>
                          <w:spacing w:line="43" w:lineRule="exact"/>
                          <w:ind w:left="148"/>
                          <w:rPr>
                            <w:b/>
                            <w:sz w:val="3"/>
                          </w:rPr>
                        </w:pPr>
                        <w:r>
                          <w:rPr>
                            <w:b/>
                            <w:w w:val="105"/>
                            <w:sz w:val="3"/>
                          </w:rPr>
                          <w:t>Vozidla do 3,5t</w:t>
                        </w:r>
                      </w:p>
                      <w:p w14:paraId="6F19454E" w14:textId="77777777" w:rsidR="00F65BCA" w:rsidRDefault="00F65BCA">
                        <w:pPr>
                          <w:pStyle w:val="TableParagraph"/>
                          <w:rPr>
                            <w:rFonts w:ascii="Calibri"/>
                            <w:sz w:val="2"/>
                          </w:rPr>
                        </w:pPr>
                      </w:p>
                      <w:p w14:paraId="3784A238" w14:textId="77777777" w:rsidR="00F65BCA" w:rsidRDefault="00F65BCA">
                        <w:pPr>
                          <w:pStyle w:val="TableParagraph"/>
                          <w:rPr>
                            <w:rFonts w:ascii="Calibri"/>
                            <w:sz w:val="2"/>
                          </w:rPr>
                        </w:pPr>
                      </w:p>
                      <w:p w14:paraId="765012EF" w14:textId="77777777" w:rsidR="00F65BCA" w:rsidRDefault="00F65BCA">
                        <w:pPr>
                          <w:pStyle w:val="TableParagraph"/>
                          <w:rPr>
                            <w:rFonts w:ascii="Calibri"/>
                            <w:sz w:val="2"/>
                          </w:rPr>
                        </w:pPr>
                      </w:p>
                      <w:p w14:paraId="78F35DCC" w14:textId="77777777" w:rsidR="00F65BCA" w:rsidRDefault="00F65BCA">
                        <w:pPr>
                          <w:pStyle w:val="TableParagraph"/>
                          <w:rPr>
                            <w:rFonts w:ascii="Calibri"/>
                            <w:sz w:val="2"/>
                          </w:rPr>
                        </w:pPr>
                      </w:p>
                      <w:p w14:paraId="2B62486E" w14:textId="77777777" w:rsidR="00F65BCA" w:rsidRDefault="00F65BCA">
                        <w:pPr>
                          <w:pStyle w:val="TableParagraph"/>
                          <w:rPr>
                            <w:rFonts w:ascii="Calibri"/>
                            <w:sz w:val="2"/>
                          </w:rPr>
                        </w:pPr>
                      </w:p>
                      <w:p w14:paraId="74817E66" w14:textId="77777777" w:rsidR="00F65BCA" w:rsidRDefault="00F65BCA">
                        <w:pPr>
                          <w:pStyle w:val="TableParagraph"/>
                          <w:rPr>
                            <w:rFonts w:ascii="Calibri"/>
                            <w:sz w:val="2"/>
                          </w:rPr>
                        </w:pPr>
                      </w:p>
                      <w:p w14:paraId="26DAF21D" w14:textId="77777777" w:rsidR="00F65BCA" w:rsidRDefault="00F65BCA">
                        <w:pPr>
                          <w:pStyle w:val="TableParagraph"/>
                          <w:rPr>
                            <w:rFonts w:ascii="Calibri"/>
                            <w:sz w:val="2"/>
                          </w:rPr>
                        </w:pPr>
                      </w:p>
                      <w:p w14:paraId="3886FB1B" w14:textId="77777777" w:rsidR="00F65BCA" w:rsidRDefault="00F65BCA">
                        <w:pPr>
                          <w:pStyle w:val="TableParagraph"/>
                          <w:rPr>
                            <w:rFonts w:ascii="Calibri"/>
                            <w:sz w:val="2"/>
                          </w:rPr>
                        </w:pPr>
                      </w:p>
                      <w:p w14:paraId="2D5C19F8" w14:textId="77777777" w:rsidR="00F65BCA" w:rsidRDefault="00F65BCA">
                        <w:pPr>
                          <w:pStyle w:val="TableParagraph"/>
                          <w:rPr>
                            <w:rFonts w:ascii="Calibri"/>
                            <w:sz w:val="2"/>
                          </w:rPr>
                        </w:pPr>
                      </w:p>
                      <w:p w14:paraId="415D0CCB" w14:textId="77777777" w:rsidR="00F65BCA" w:rsidRDefault="00F65BCA">
                        <w:pPr>
                          <w:pStyle w:val="TableParagraph"/>
                          <w:rPr>
                            <w:rFonts w:ascii="Calibri"/>
                            <w:sz w:val="2"/>
                          </w:rPr>
                        </w:pPr>
                      </w:p>
                      <w:p w14:paraId="29C0AF73" w14:textId="77777777" w:rsidR="00F65BCA" w:rsidRDefault="00F65BCA">
                        <w:pPr>
                          <w:pStyle w:val="TableParagraph"/>
                          <w:rPr>
                            <w:rFonts w:ascii="Calibri"/>
                            <w:sz w:val="2"/>
                          </w:rPr>
                        </w:pPr>
                      </w:p>
                      <w:p w14:paraId="6017913D" w14:textId="77777777" w:rsidR="00F65BCA" w:rsidRDefault="00F65BCA">
                        <w:pPr>
                          <w:pStyle w:val="TableParagraph"/>
                          <w:rPr>
                            <w:rFonts w:ascii="Calibri"/>
                            <w:sz w:val="2"/>
                          </w:rPr>
                        </w:pPr>
                      </w:p>
                      <w:p w14:paraId="032BAF6D" w14:textId="77777777" w:rsidR="00F65BCA" w:rsidRDefault="00F65BCA">
                        <w:pPr>
                          <w:pStyle w:val="TableParagraph"/>
                          <w:rPr>
                            <w:rFonts w:ascii="Calibri"/>
                            <w:sz w:val="2"/>
                          </w:rPr>
                        </w:pPr>
                      </w:p>
                      <w:p w14:paraId="3DF5890B" w14:textId="77777777" w:rsidR="00F65BCA" w:rsidRDefault="00F65BCA">
                        <w:pPr>
                          <w:pStyle w:val="TableParagraph"/>
                          <w:rPr>
                            <w:rFonts w:ascii="Calibri"/>
                            <w:sz w:val="2"/>
                          </w:rPr>
                        </w:pPr>
                      </w:p>
                      <w:p w14:paraId="0F97376E" w14:textId="77777777" w:rsidR="00F65BCA" w:rsidRDefault="00F65BCA">
                        <w:pPr>
                          <w:pStyle w:val="TableParagraph"/>
                          <w:rPr>
                            <w:rFonts w:ascii="Calibri"/>
                            <w:sz w:val="2"/>
                          </w:rPr>
                        </w:pPr>
                      </w:p>
                      <w:p w14:paraId="37362591" w14:textId="77777777" w:rsidR="00F65BCA" w:rsidRDefault="00F65BCA">
                        <w:pPr>
                          <w:pStyle w:val="TableParagraph"/>
                          <w:rPr>
                            <w:rFonts w:ascii="Calibri"/>
                            <w:sz w:val="2"/>
                          </w:rPr>
                        </w:pPr>
                      </w:p>
                      <w:p w14:paraId="334C04C4" w14:textId="77777777" w:rsidR="00F65BCA" w:rsidRDefault="00F65BCA">
                        <w:pPr>
                          <w:pStyle w:val="TableParagraph"/>
                          <w:rPr>
                            <w:rFonts w:ascii="Calibri"/>
                            <w:sz w:val="2"/>
                          </w:rPr>
                        </w:pPr>
                      </w:p>
                      <w:p w14:paraId="065FABEC" w14:textId="77777777" w:rsidR="00F65BCA" w:rsidRDefault="00F65BCA">
                        <w:pPr>
                          <w:pStyle w:val="TableParagraph"/>
                          <w:rPr>
                            <w:rFonts w:ascii="Calibri"/>
                            <w:sz w:val="2"/>
                          </w:rPr>
                        </w:pPr>
                      </w:p>
                      <w:p w14:paraId="1F53329C" w14:textId="77777777" w:rsidR="00F65BCA" w:rsidRDefault="00F65BCA">
                        <w:pPr>
                          <w:pStyle w:val="TableParagraph"/>
                          <w:rPr>
                            <w:rFonts w:ascii="Calibri"/>
                            <w:sz w:val="2"/>
                          </w:rPr>
                        </w:pPr>
                      </w:p>
                      <w:p w14:paraId="55C95526" w14:textId="77777777" w:rsidR="00F65BCA" w:rsidRDefault="00F65BCA">
                        <w:pPr>
                          <w:pStyle w:val="TableParagraph"/>
                          <w:rPr>
                            <w:rFonts w:ascii="Calibri"/>
                            <w:sz w:val="2"/>
                          </w:rPr>
                        </w:pPr>
                      </w:p>
                      <w:p w14:paraId="27D481C6" w14:textId="77777777" w:rsidR="00F65BCA" w:rsidRDefault="00F65BCA">
                        <w:pPr>
                          <w:pStyle w:val="TableParagraph"/>
                          <w:rPr>
                            <w:rFonts w:ascii="Calibri"/>
                            <w:sz w:val="2"/>
                          </w:rPr>
                        </w:pPr>
                      </w:p>
                      <w:p w14:paraId="1E836325" w14:textId="77777777" w:rsidR="00F65BCA" w:rsidRDefault="00F65BCA">
                        <w:pPr>
                          <w:pStyle w:val="TableParagraph"/>
                          <w:rPr>
                            <w:rFonts w:ascii="Calibri"/>
                            <w:sz w:val="2"/>
                          </w:rPr>
                        </w:pPr>
                      </w:p>
                      <w:p w14:paraId="317F5098" w14:textId="77777777" w:rsidR="00F65BCA" w:rsidRDefault="00F65BCA">
                        <w:pPr>
                          <w:pStyle w:val="TableParagraph"/>
                          <w:rPr>
                            <w:rFonts w:ascii="Calibri"/>
                            <w:sz w:val="2"/>
                          </w:rPr>
                        </w:pPr>
                      </w:p>
                      <w:p w14:paraId="7C439C00" w14:textId="77777777" w:rsidR="00F65BCA" w:rsidRDefault="00F65BCA">
                        <w:pPr>
                          <w:pStyle w:val="TableParagraph"/>
                          <w:rPr>
                            <w:rFonts w:ascii="Calibri"/>
                            <w:sz w:val="2"/>
                          </w:rPr>
                        </w:pPr>
                      </w:p>
                      <w:p w14:paraId="48C4A276" w14:textId="77777777" w:rsidR="00F65BCA" w:rsidRDefault="00F65BCA">
                        <w:pPr>
                          <w:pStyle w:val="TableParagraph"/>
                          <w:rPr>
                            <w:rFonts w:ascii="Calibri"/>
                            <w:sz w:val="2"/>
                          </w:rPr>
                        </w:pPr>
                      </w:p>
                      <w:p w14:paraId="3A996973" w14:textId="77777777" w:rsidR="00F65BCA" w:rsidRDefault="00F65BCA">
                        <w:pPr>
                          <w:pStyle w:val="TableParagraph"/>
                          <w:rPr>
                            <w:rFonts w:ascii="Calibri"/>
                            <w:sz w:val="2"/>
                          </w:rPr>
                        </w:pPr>
                      </w:p>
                      <w:p w14:paraId="2A6F3FCA" w14:textId="77777777" w:rsidR="00F65BCA" w:rsidRDefault="00F65BCA">
                        <w:pPr>
                          <w:pStyle w:val="TableParagraph"/>
                          <w:rPr>
                            <w:rFonts w:ascii="Calibri"/>
                            <w:sz w:val="2"/>
                          </w:rPr>
                        </w:pPr>
                      </w:p>
                      <w:p w14:paraId="08EEE827" w14:textId="77777777" w:rsidR="00F65BCA" w:rsidRDefault="00F65BCA">
                        <w:pPr>
                          <w:pStyle w:val="TableParagraph"/>
                          <w:rPr>
                            <w:rFonts w:ascii="Calibri"/>
                            <w:sz w:val="2"/>
                          </w:rPr>
                        </w:pPr>
                      </w:p>
                      <w:p w14:paraId="504CC362" w14:textId="77777777" w:rsidR="00F65BCA" w:rsidRDefault="00F65BCA">
                        <w:pPr>
                          <w:pStyle w:val="TableParagraph"/>
                          <w:rPr>
                            <w:rFonts w:ascii="Calibri"/>
                            <w:sz w:val="2"/>
                          </w:rPr>
                        </w:pPr>
                      </w:p>
                      <w:p w14:paraId="2BF06EAE" w14:textId="77777777" w:rsidR="00F65BCA" w:rsidRDefault="00F65BCA">
                        <w:pPr>
                          <w:pStyle w:val="TableParagraph"/>
                          <w:rPr>
                            <w:rFonts w:ascii="Calibri"/>
                            <w:sz w:val="2"/>
                          </w:rPr>
                        </w:pPr>
                      </w:p>
                      <w:p w14:paraId="41D2C827" w14:textId="77777777" w:rsidR="00F65BCA" w:rsidRDefault="00F65BCA">
                        <w:pPr>
                          <w:pStyle w:val="TableParagraph"/>
                          <w:rPr>
                            <w:rFonts w:ascii="Calibri"/>
                            <w:sz w:val="2"/>
                          </w:rPr>
                        </w:pPr>
                      </w:p>
                      <w:p w14:paraId="4E5549D2" w14:textId="77777777" w:rsidR="00F65BCA" w:rsidRDefault="00F65BCA">
                        <w:pPr>
                          <w:pStyle w:val="TableParagraph"/>
                          <w:rPr>
                            <w:rFonts w:ascii="Calibri"/>
                            <w:sz w:val="2"/>
                          </w:rPr>
                        </w:pPr>
                      </w:p>
                      <w:p w14:paraId="38FDEC55" w14:textId="77777777" w:rsidR="00F65BCA" w:rsidRDefault="00F65BCA">
                        <w:pPr>
                          <w:pStyle w:val="TableParagraph"/>
                          <w:rPr>
                            <w:rFonts w:ascii="Calibri"/>
                            <w:sz w:val="2"/>
                          </w:rPr>
                        </w:pPr>
                      </w:p>
                      <w:p w14:paraId="00605A11" w14:textId="77777777" w:rsidR="00F65BCA" w:rsidRDefault="00F65BCA">
                        <w:pPr>
                          <w:pStyle w:val="TableParagraph"/>
                          <w:rPr>
                            <w:rFonts w:ascii="Calibri"/>
                            <w:sz w:val="2"/>
                          </w:rPr>
                        </w:pPr>
                      </w:p>
                      <w:p w14:paraId="0B6BE1D8" w14:textId="77777777" w:rsidR="00F65BCA" w:rsidRDefault="00F65BCA">
                        <w:pPr>
                          <w:pStyle w:val="TableParagraph"/>
                          <w:rPr>
                            <w:rFonts w:ascii="Calibri"/>
                            <w:sz w:val="2"/>
                          </w:rPr>
                        </w:pPr>
                      </w:p>
                      <w:p w14:paraId="44C3E0A1" w14:textId="77777777" w:rsidR="00F65BCA" w:rsidRDefault="00F65BCA">
                        <w:pPr>
                          <w:pStyle w:val="TableParagraph"/>
                          <w:rPr>
                            <w:rFonts w:ascii="Calibri"/>
                            <w:sz w:val="2"/>
                          </w:rPr>
                        </w:pPr>
                      </w:p>
                      <w:p w14:paraId="298D5B72" w14:textId="77777777" w:rsidR="00F65BCA" w:rsidRDefault="00F65BCA">
                        <w:pPr>
                          <w:pStyle w:val="TableParagraph"/>
                          <w:rPr>
                            <w:rFonts w:ascii="Calibri"/>
                            <w:sz w:val="2"/>
                          </w:rPr>
                        </w:pPr>
                      </w:p>
                      <w:p w14:paraId="2EF9DC3D" w14:textId="77777777" w:rsidR="00F65BCA" w:rsidRDefault="00F65BCA">
                        <w:pPr>
                          <w:pStyle w:val="TableParagraph"/>
                          <w:rPr>
                            <w:rFonts w:ascii="Calibri"/>
                            <w:sz w:val="2"/>
                          </w:rPr>
                        </w:pPr>
                      </w:p>
                      <w:p w14:paraId="4282D000" w14:textId="77777777" w:rsidR="00F65BCA" w:rsidRDefault="00F65BCA">
                        <w:pPr>
                          <w:pStyle w:val="TableParagraph"/>
                          <w:rPr>
                            <w:rFonts w:ascii="Calibri"/>
                            <w:sz w:val="2"/>
                          </w:rPr>
                        </w:pPr>
                      </w:p>
                      <w:p w14:paraId="2F72608D" w14:textId="77777777" w:rsidR="00F65BCA" w:rsidRDefault="00F65BCA">
                        <w:pPr>
                          <w:pStyle w:val="TableParagraph"/>
                          <w:rPr>
                            <w:rFonts w:ascii="Calibri"/>
                            <w:sz w:val="2"/>
                          </w:rPr>
                        </w:pPr>
                      </w:p>
                      <w:p w14:paraId="51EEBED0" w14:textId="77777777" w:rsidR="00F65BCA" w:rsidRDefault="00F65BCA">
                        <w:pPr>
                          <w:pStyle w:val="TableParagraph"/>
                          <w:rPr>
                            <w:rFonts w:ascii="Calibri"/>
                            <w:sz w:val="2"/>
                          </w:rPr>
                        </w:pPr>
                      </w:p>
                      <w:p w14:paraId="4F1B173D" w14:textId="77777777" w:rsidR="00F65BCA" w:rsidRDefault="00F65BCA">
                        <w:pPr>
                          <w:pStyle w:val="TableParagraph"/>
                          <w:rPr>
                            <w:rFonts w:ascii="Calibri"/>
                            <w:sz w:val="2"/>
                          </w:rPr>
                        </w:pPr>
                      </w:p>
                      <w:p w14:paraId="5D576BA8" w14:textId="77777777" w:rsidR="00F65BCA" w:rsidRDefault="00F65BCA">
                        <w:pPr>
                          <w:pStyle w:val="TableParagraph"/>
                          <w:rPr>
                            <w:rFonts w:ascii="Calibri"/>
                            <w:sz w:val="2"/>
                          </w:rPr>
                        </w:pPr>
                      </w:p>
                      <w:p w14:paraId="7DC9E677" w14:textId="77777777" w:rsidR="00F65BCA" w:rsidRDefault="00F65BCA">
                        <w:pPr>
                          <w:pStyle w:val="TableParagraph"/>
                          <w:rPr>
                            <w:rFonts w:ascii="Calibri"/>
                            <w:sz w:val="2"/>
                          </w:rPr>
                        </w:pPr>
                      </w:p>
                      <w:p w14:paraId="459B6CA6" w14:textId="77777777" w:rsidR="00F65BCA" w:rsidRDefault="00F65BCA">
                        <w:pPr>
                          <w:pStyle w:val="TableParagraph"/>
                          <w:rPr>
                            <w:rFonts w:ascii="Calibri"/>
                            <w:sz w:val="2"/>
                          </w:rPr>
                        </w:pPr>
                      </w:p>
                      <w:p w14:paraId="76A3FB3C" w14:textId="77777777" w:rsidR="00F65BCA" w:rsidRDefault="00F65BCA">
                        <w:pPr>
                          <w:pStyle w:val="TableParagraph"/>
                          <w:rPr>
                            <w:rFonts w:ascii="Calibri"/>
                            <w:sz w:val="2"/>
                          </w:rPr>
                        </w:pPr>
                      </w:p>
                      <w:p w14:paraId="0BEA3253" w14:textId="77777777" w:rsidR="00F65BCA" w:rsidRDefault="00F65BCA">
                        <w:pPr>
                          <w:pStyle w:val="TableParagraph"/>
                          <w:rPr>
                            <w:rFonts w:ascii="Calibri"/>
                            <w:sz w:val="2"/>
                          </w:rPr>
                        </w:pPr>
                      </w:p>
                      <w:p w14:paraId="329941A4" w14:textId="77777777" w:rsidR="00F65BCA" w:rsidRDefault="00F65BCA">
                        <w:pPr>
                          <w:pStyle w:val="TableParagraph"/>
                          <w:rPr>
                            <w:rFonts w:ascii="Calibri"/>
                            <w:sz w:val="2"/>
                          </w:rPr>
                        </w:pPr>
                      </w:p>
                      <w:p w14:paraId="3C77FFDA" w14:textId="77777777" w:rsidR="00F65BCA" w:rsidRDefault="00F65BCA">
                        <w:pPr>
                          <w:pStyle w:val="TableParagraph"/>
                          <w:rPr>
                            <w:rFonts w:ascii="Calibri"/>
                            <w:sz w:val="2"/>
                          </w:rPr>
                        </w:pPr>
                      </w:p>
                      <w:p w14:paraId="629F2EC7" w14:textId="77777777" w:rsidR="00F65BCA" w:rsidRDefault="00F65BCA">
                        <w:pPr>
                          <w:pStyle w:val="TableParagraph"/>
                          <w:rPr>
                            <w:rFonts w:ascii="Calibri"/>
                            <w:sz w:val="2"/>
                          </w:rPr>
                        </w:pPr>
                      </w:p>
                      <w:p w14:paraId="0FD2674E" w14:textId="77777777" w:rsidR="00F65BCA" w:rsidRDefault="00F65BCA">
                        <w:pPr>
                          <w:pStyle w:val="TableParagraph"/>
                          <w:rPr>
                            <w:rFonts w:ascii="Calibri"/>
                            <w:sz w:val="2"/>
                          </w:rPr>
                        </w:pPr>
                      </w:p>
                      <w:p w14:paraId="15D1DB1A" w14:textId="77777777" w:rsidR="00F65BCA" w:rsidRDefault="00F65BCA">
                        <w:pPr>
                          <w:pStyle w:val="TableParagraph"/>
                          <w:rPr>
                            <w:rFonts w:ascii="Calibri"/>
                            <w:sz w:val="2"/>
                          </w:rPr>
                        </w:pPr>
                      </w:p>
                      <w:p w14:paraId="2ECF3E07" w14:textId="77777777" w:rsidR="00F65BCA" w:rsidRDefault="00F65BCA">
                        <w:pPr>
                          <w:pStyle w:val="TableParagraph"/>
                          <w:rPr>
                            <w:rFonts w:ascii="Calibri"/>
                            <w:sz w:val="2"/>
                          </w:rPr>
                        </w:pPr>
                      </w:p>
                      <w:p w14:paraId="5F8B5441" w14:textId="77777777" w:rsidR="00F65BCA" w:rsidRDefault="00F65BCA">
                        <w:pPr>
                          <w:pStyle w:val="TableParagraph"/>
                          <w:rPr>
                            <w:rFonts w:ascii="Calibri"/>
                            <w:sz w:val="2"/>
                          </w:rPr>
                        </w:pPr>
                      </w:p>
                      <w:p w14:paraId="7F2C26EA" w14:textId="77777777" w:rsidR="00F65BCA" w:rsidRDefault="00F65BCA">
                        <w:pPr>
                          <w:pStyle w:val="TableParagraph"/>
                          <w:rPr>
                            <w:rFonts w:ascii="Calibri"/>
                            <w:sz w:val="2"/>
                          </w:rPr>
                        </w:pPr>
                      </w:p>
                      <w:p w14:paraId="5BDDCF06" w14:textId="77777777" w:rsidR="00F65BCA" w:rsidRDefault="00F65BCA">
                        <w:pPr>
                          <w:pStyle w:val="TableParagraph"/>
                          <w:rPr>
                            <w:rFonts w:ascii="Calibri"/>
                            <w:sz w:val="2"/>
                          </w:rPr>
                        </w:pPr>
                      </w:p>
                      <w:p w14:paraId="675C084C" w14:textId="77777777" w:rsidR="00F65BCA" w:rsidRDefault="00F65BCA">
                        <w:pPr>
                          <w:pStyle w:val="TableParagraph"/>
                          <w:rPr>
                            <w:rFonts w:ascii="Calibri"/>
                            <w:sz w:val="2"/>
                          </w:rPr>
                        </w:pPr>
                      </w:p>
                      <w:p w14:paraId="50B733C2" w14:textId="77777777" w:rsidR="00F65BCA" w:rsidRDefault="00F65BCA">
                        <w:pPr>
                          <w:pStyle w:val="TableParagraph"/>
                          <w:rPr>
                            <w:rFonts w:ascii="Calibri"/>
                            <w:sz w:val="2"/>
                          </w:rPr>
                        </w:pPr>
                      </w:p>
                      <w:p w14:paraId="1F4985C0" w14:textId="77777777" w:rsidR="00F65BCA" w:rsidRDefault="00F65BCA">
                        <w:pPr>
                          <w:pStyle w:val="TableParagraph"/>
                          <w:rPr>
                            <w:rFonts w:ascii="Calibri"/>
                            <w:sz w:val="2"/>
                          </w:rPr>
                        </w:pPr>
                      </w:p>
                      <w:p w14:paraId="629CDC48" w14:textId="77777777" w:rsidR="00F65BCA" w:rsidRDefault="00F65BCA">
                        <w:pPr>
                          <w:pStyle w:val="TableParagraph"/>
                          <w:rPr>
                            <w:rFonts w:ascii="Calibri"/>
                            <w:sz w:val="2"/>
                          </w:rPr>
                        </w:pPr>
                      </w:p>
                      <w:p w14:paraId="36BBA593" w14:textId="77777777" w:rsidR="00F65BCA" w:rsidRDefault="00F65BCA">
                        <w:pPr>
                          <w:pStyle w:val="TableParagraph"/>
                          <w:rPr>
                            <w:rFonts w:ascii="Calibri"/>
                            <w:sz w:val="2"/>
                          </w:rPr>
                        </w:pPr>
                      </w:p>
                      <w:p w14:paraId="57CBD610" w14:textId="77777777" w:rsidR="00F65BCA" w:rsidRDefault="00F65BCA">
                        <w:pPr>
                          <w:pStyle w:val="TableParagraph"/>
                          <w:rPr>
                            <w:rFonts w:ascii="Calibri"/>
                            <w:sz w:val="2"/>
                          </w:rPr>
                        </w:pPr>
                      </w:p>
                      <w:p w14:paraId="41DFFF9A" w14:textId="77777777" w:rsidR="00F65BCA" w:rsidRDefault="00F65BCA">
                        <w:pPr>
                          <w:pStyle w:val="TableParagraph"/>
                          <w:rPr>
                            <w:rFonts w:ascii="Calibri"/>
                            <w:sz w:val="2"/>
                          </w:rPr>
                        </w:pPr>
                      </w:p>
                      <w:p w14:paraId="495D7DFA" w14:textId="77777777" w:rsidR="00F65BCA" w:rsidRDefault="00F65BCA">
                        <w:pPr>
                          <w:pStyle w:val="TableParagraph"/>
                          <w:rPr>
                            <w:rFonts w:ascii="Calibri"/>
                            <w:sz w:val="2"/>
                          </w:rPr>
                        </w:pPr>
                      </w:p>
                      <w:p w14:paraId="22B6C127" w14:textId="77777777" w:rsidR="00F65BCA" w:rsidRDefault="00F65BCA">
                        <w:pPr>
                          <w:pStyle w:val="TableParagraph"/>
                          <w:rPr>
                            <w:rFonts w:ascii="Calibri"/>
                            <w:sz w:val="2"/>
                          </w:rPr>
                        </w:pPr>
                      </w:p>
                      <w:p w14:paraId="581CCD22" w14:textId="77777777" w:rsidR="00F65BCA" w:rsidRDefault="00F65BCA">
                        <w:pPr>
                          <w:pStyle w:val="TableParagraph"/>
                          <w:rPr>
                            <w:rFonts w:ascii="Calibri"/>
                            <w:sz w:val="2"/>
                          </w:rPr>
                        </w:pPr>
                      </w:p>
                      <w:p w14:paraId="63F674A1" w14:textId="77777777" w:rsidR="00F65BCA" w:rsidRDefault="00F65BCA">
                        <w:pPr>
                          <w:pStyle w:val="TableParagraph"/>
                          <w:rPr>
                            <w:rFonts w:ascii="Calibri"/>
                            <w:sz w:val="2"/>
                          </w:rPr>
                        </w:pPr>
                      </w:p>
                      <w:p w14:paraId="00E5382F" w14:textId="77777777" w:rsidR="00F65BCA" w:rsidRDefault="00F65BCA">
                        <w:pPr>
                          <w:pStyle w:val="TableParagraph"/>
                          <w:rPr>
                            <w:rFonts w:ascii="Calibri"/>
                            <w:sz w:val="2"/>
                          </w:rPr>
                        </w:pPr>
                      </w:p>
                      <w:p w14:paraId="74A90191" w14:textId="77777777" w:rsidR="00F65BCA" w:rsidRDefault="00F65BCA">
                        <w:pPr>
                          <w:pStyle w:val="TableParagraph"/>
                          <w:rPr>
                            <w:rFonts w:ascii="Calibri"/>
                            <w:sz w:val="2"/>
                          </w:rPr>
                        </w:pPr>
                      </w:p>
                      <w:p w14:paraId="12AE151C" w14:textId="77777777" w:rsidR="00F65BCA" w:rsidRDefault="00F65BCA">
                        <w:pPr>
                          <w:pStyle w:val="TableParagraph"/>
                          <w:rPr>
                            <w:rFonts w:ascii="Calibri"/>
                            <w:sz w:val="2"/>
                          </w:rPr>
                        </w:pPr>
                      </w:p>
                      <w:p w14:paraId="3B6C94BC" w14:textId="77777777" w:rsidR="00F65BCA" w:rsidRDefault="00F65BCA">
                        <w:pPr>
                          <w:pStyle w:val="TableParagraph"/>
                          <w:rPr>
                            <w:rFonts w:ascii="Calibri"/>
                            <w:sz w:val="2"/>
                          </w:rPr>
                        </w:pPr>
                      </w:p>
                      <w:p w14:paraId="4F92C7AA" w14:textId="77777777" w:rsidR="00F65BCA" w:rsidRDefault="00F65BCA">
                        <w:pPr>
                          <w:pStyle w:val="TableParagraph"/>
                          <w:rPr>
                            <w:rFonts w:ascii="Calibri"/>
                            <w:sz w:val="2"/>
                          </w:rPr>
                        </w:pPr>
                      </w:p>
                      <w:p w14:paraId="4D0296A7" w14:textId="77777777" w:rsidR="00F65BCA" w:rsidRDefault="00F65BCA">
                        <w:pPr>
                          <w:pStyle w:val="TableParagraph"/>
                          <w:rPr>
                            <w:rFonts w:ascii="Calibri"/>
                            <w:sz w:val="2"/>
                          </w:rPr>
                        </w:pPr>
                      </w:p>
                      <w:p w14:paraId="775A72F6" w14:textId="77777777" w:rsidR="00F65BCA" w:rsidRDefault="00F65BCA">
                        <w:pPr>
                          <w:pStyle w:val="TableParagraph"/>
                          <w:rPr>
                            <w:rFonts w:ascii="Calibri"/>
                            <w:sz w:val="2"/>
                          </w:rPr>
                        </w:pPr>
                      </w:p>
                      <w:p w14:paraId="63F92F97" w14:textId="77777777" w:rsidR="00F65BCA" w:rsidRDefault="00F65BCA">
                        <w:pPr>
                          <w:pStyle w:val="TableParagraph"/>
                          <w:rPr>
                            <w:rFonts w:ascii="Calibri"/>
                            <w:sz w:val="2"/>
                          </w:rPr>
                        </w:pPr>
                      </w:p>
                      <w:p w14:paraId="69A3A72B" w14:textId="77777777" w:rsidR="00F65BCA" w:rsidRDefault="00F65BCA">
                        <w:pPr>
                          <w:pStyle w:val="TableParagraph"/>
                          <w:rPr>
                            <w:rFonts w:ascii="Calibri"/>
                            <w:sz w:val="2"/>
                          </w:rPr>
                        </w:pPr>
                      </w:p>
                      <w:p w14:paraId="46510B5D" w14:textId="77777777" w:rsidR="00F65BCA" w:rsidRDefault="00F65BCA">
                        <w:pPr>
                          <w:pStyle w:val="TableParagraph"/>
                          <w:rPr>
                            <w:rFonts w:ascii="Calibri"/>
                            <w:sz w:val="2"/>
                          </w:rPr>
                        </w:pPr>
                      </w:p>
                      <w:p w14:paraId="2E2DDA75" w14:textId="77777777" w:rsidR="00F65BCA" w:rsidRDefault="00F65BCA">
                        <w:pPr>
                          <w:pStyle w:val="TableParagraph"/>
                          <w:rPr>
                            <w:rFonts w:ascii="Calibri"/>
                            <w:sz w:val="2"/>
                          </w:rPr>
                        </w:pPr>
                      </w:p>
                      <w:p w14:paraId="30229505" w14:textId="77777777" w:rsidR="00F65BCA" w:rsidRDefault="00F65BCA">
                        <w:pPr>
                          <w:pStyle w:val="TableParagraph"/>
                          <w:rPr>
                            <w:rFonts w:ascii="Calibri"/>
                            <w:sz w:val="2"/>
                          </w:rPr>
                        </w:pPr>
                      </w:p>
                      <w:p w14:paraId="39BBA47A" w14:textId="77777777" w:rsidR="00F65BCA" w:rsidRDefault="00F65BCA">
                        <w:pPr>
                          <w:pStyle w:val="TableParagraph"/>
                          <w:rPr>
                            <w:rFonts w:ascii="Calibri"/>
                            <w:sz w:val="2"/>
                          </w:rPr>
                        </w:pPr>
                      </w:p>
                      <w:p w14:paraId="6EA1B6FB" w14:textId="77777777" w:rsidR="00F65BCA" w:rsidRDefault="00F65BCA">
                        <w:pPr>
                          <w:pStyle w:val="TableParagraph"/>
                          <w:rPr>
                            <w:rFonts w:ascii="Calibri"/>
                            <w:sz w:val="2"/>
                          </w:rPr>
                        </w:pPr>
                      </w:p>
                      <w:p w14:paraId="4CF5B325" w14:textId="77777777" w:rsidR="00F65BCA" w:rsidRDefault="00F65BCA">
                        <w:pPr>
                          <w:pStyle w:val="TableParagraph"/>
                          <w:rPr>
                            <w:rFonts w:ascii="Calibri"/>
                            <w:sz w:val="2"/>
                          </w:rPr>
                        </w:pPr>
                      </w:p>
                      <w:p w14:paraId="08E664F1" w14:textId="77777777" w:rsidR="00F65BCA" w:rsidRDefault="00F65BCA">
                        <w:pPr>
                          <w:pStyle w:val="TableParagraph"/>
                          <w:rPr>
                            <w:rFonts w:ascii="Calibri"/>
                            <w:sz w:val="2"/>
                          </w:rPr>
                        </w:pPr>
                      </w:p>
                      <w:p w14:paraId="09BB2481" w14:textId="77777777" w:rsidR="00F65BCA" w:rsidRDefault="00F65BCA">
                        <w:pPr>
                          <w:pStyle w:val="TableParagraph"/>
                          <w:rPr>
                            <w:rFonts w:ascii="Calibri"/>
                            <w:sz w:val="2"/>
                          </w:rPr>
                        </w:pPr>
                      </w:p>
                      <w:p w14:paraId="6B74301E" w14:textId="77777777" w:rsidR="00F65BCA" w:rsidRDefault="00F65BCA">
                        <w:pPr>
                          <w:pStyle w:val="TableParagraph"/>
                          <w:rPr>
                            <w:rFonts w:ascii="Calibri"/>
                            <w:sz w:val="2"/>
                          </w:rPr>
                        </w:pPr>
                      </w:p>
                      <w:p w14:paraId="6366E522" w14:textId="77777777" w:rsidR="00F65BCA" w:rsidRDefault="00F65BCA">
                        <w:pPr>
                          <w:pStyle w:val="TableParagraph"/>
                          <w:rPr>
                            <w:rFonts w:ascii="Calibri"/>
                            <w:sz w:val="2"/>
                          </w:rPr>
                        </w:pPr>
                      </w:p>
                      <w:p w14:paraId="7D713B77" w14:textId="77777777" w:rsidR="00F65BCA" w:rsidRDefault="00F65BCA">
                        <w:pPr>
                          <w:pStyle w:val="TableParagraph"/>
                          <w:rPr>
                            <w:rFonts w:ascii="Calibri"/>
                            <w:sz w:val="2"/>
                          </w:rPr>
                        </w:pPr>
                      </w:p>
                      <w:p w14:paraId="7C033691" w14:textId="77777777" w:rsidR="00F65BCA" w:rsidRDefault="00F65BCA">
                        <w:pPr>
                          <w:pStyle w:val="TableParagraph"/>
                          <w:rPr>
                            <w:rFonts w:ascii="Calibri"/>
                            <w:sz w:val="2"/>
                          </w:rPr>
                        </w:pPr>
                      </w:p>
                      <w:p w14:paraId="22516013" w14:textId="77777777" w:rsidR="00F65BCA" w:rsidRDefault="00F65BCA">
                        <w:pPr>
                          <w:pStyle w:val="TableParagraph"/>
                          <w:rPr>
                            <w:rFonts w:ascii="Calibri"/>
                            <w:sz w:val="2"/>
                          </w:rPr>
                        </w:pPr>
                      </w:p>
                      <w:p w14:paraId="26DF7512" w14:textId="77777777" w:rsidR="00F65BCA" w:rsidRDefault="00F65BCA">
                        <w:pPr>
                          <w:pStyle w:val="TableParagraph"/>
                          <w:rPr>
                            <w:rFonts w:ascii="Calibri"/>
                            <w:sz w:val="2"/>
                          </w:rPr>
                        </w:pPr>
                      </w:p>
                      <w:p w14:paraId="659B07E8" w14:textId="77777777" w:rsidR="00F65BCA" w:rsidRDefault="00F65BCA">
                        <w:pPr>
                          <w:pStyle w:val="TableParagraph"/>
                          <w:rPr>
                            <w:rFonts w:ascii="Calibri"/>
                            <w:sz w:val="2"/>
                          </w:rPr>
                        </w:pPr>
                      </w:p>
                      <w:p w14:paraId="078B3D5B" w14:textId="77777777" w:rsidR="00F65BCA" w:rsidRDefault="00F65BCA">
                        <w:pPr>
                          <w:pStyle w:val="TableParagraph"/>
                          <w:rPr>
                            <w:rFonts w:ascii="Calibri"/>
                            <w:sz w:val="2"/>
                          </w:rPr>
                        </w:pPr>
                      </w:p>
                      <w:p w14:paraId="03BD7905" w14:textId="77777777" w:rsidR="00F65BCA" w:rsidRDefault="00F65BCA">
                        <w:pPr>
                          <w:pStyle w:val="TableParagraph"/>
                          <w:rPr>
                            <w:rFonts w:ascii="Calibri"/>
                            <w:sz w:val="2"/>
                          </w:rPr>
                        </w:pPr>
                      </w:p>
                      <w:p w14:paraId="16D867B2" w14:textId="77777777" w:rsidR="00F65BCA" w:rsidRDefault="00F65BCA">
                        <w:pPr>
                          <w:pStyle w:val="TableParagraph"/>
                          <w:rPr>
                            <w:rFonts w:ascii="Calibri"/>
                            <w:sz w:val="2"/>
                          </w:rPr>
                        </w:pPr>
                      </w:p>
                      <w:p w14:paraId="070ED7F5" w14:textId="77777777" w:rsidR="00F65BCA" w:rsidRDefault="00F65BCA">
                        <w:pPr>
                          <w:pStyle w:val="TableParagraph"/>
                          <w:rPr>
                            <w:rFonts w:ascii="Calibri"/>
                            <w:sz w:val="2"/>
                          </w:rPr>
                        </w:pPr>
                      </w:p>
                      <w:p w14:paraId="5F7F7FA2" w14:textId="77777777" w:rsidR="00F65BCA" w:rsidRDefault="00F65BCA">
                        <w:pPr>
                          <w:pStyle w:val="TableParagraph"/>
                          <w:rPr>
                            <w:rFonts w:ascii="Calibri"/>
                            <w:sz w:val="2"/>
                          </w:rPr>
                        </w:pPr>
                      </w:p>
                      <w:p w14:paraId="39505B72" w14:textId="77777777" w:rsidR="00F65BCA" w:rsidRDefault="00F65BCA">
                        <w:pPr>
                          <w:pStyle w:val="TableParagraph"/>
                          <w:rPr>
                            <w:rFonts w:ascii="Calibri"/>
                            <w:sz w:val="2"/>
                          </w:rPr>
                        </w:pPr>
                      </w:p>
                      <w:p w14:paraId="5AD0E5FA" w14:textId="77777777" w:rsidR="00F65BCA" w:rsidRDefault="00F65BCA">
                        <w:pPr>
                          <w:pStyle w:val="TableParagraph"/>
                          <w:rPr>
                            <w:rFonts w:ascii="Calibri"/>
                            <w:sz w:val="2"/>
                          </w:rPr>
                        </w:pPr>
                      </w:p>
                      <w:p w14:paraId="1B137F30" w14:textId="77777777" w:rsidR="00F65BCA" w:rsidRDefault="00F65BCA">
                        <w:pPr>
                          <w:pStyle w:val="TableParagraph"/>
                          <w:rPr>
                            <w:rFonts w:ascii="Calibri"/>
                            <w:sz w:val="2"/>
                          </w:rPr>
                        </w:pPr>
                      </w:p>
                      <w:p w14:paraId="56032655" w14:textId="77777777" w:rsidR="00F65BCA" w:rsidRDefault="00F65BCA">
                        <w:pPr>
                          <w:pStyle w:val="TableParagraph"/>
                          <w:rPr>
                            <w:rFonts w:ascii="Calibri"/>
                            <w:sz w:val="2"/>
                          </w:rPr>
                        </w:pPr>
                      </w:p>
                      <w:p w14:paraId="51E2792C" w14:textId="77777777" w:rsidR="00F65BCA" w:rsidRDefault="00F65BCA">
                        <w:pPr>
                          <w:pStyle w:val="TableParagraph"/>
                          <w:rPr>
                            <w:rFonts w:ascii="Calibri"/>
                            <w:sz w:val="2"/>
                          </w:rPr>
                        </w:pPr>
                      </w:p>
                      <w:p w14:paraId="784F7535" w14:textId="77777777" w:rsidR="00F65BCA" w:rsidRDefault="00F65BCA">
                        <w:pPr>
                          <w:pStyle w:val="TableParagraph"/>
                          <w:rPr>
                            <w:rFonts w:ascii="Calibri"/>
                            <w:sz w:val="2"/>
                          </w:rPr>
                        </w:pPr>
                      </w:p>
                      <w:p w14:paraId="1B50657F" w14:textId="77777777" w:rsidR="00F65BCA" w:rsidRDefault="00F65BCA">
                        <w:pPr>
                          <w:pStyle w:val="TableParagraph"/>
                          <w:rPr>
                            <w:rFonts w:ascii="Calibri"/>
                            <w:sz w:val="2"/>
                          </w:rPr>
                        </w:pPr>
                      </w:p>
                      <w:p w14:paraId="76527AB2" w14:textId="77777777" w:rsidR="00F65BCA" w:rsidRDefault="00F65BCA">
                        <w:pPr>
                          <w:pStyle w:val="TableParagraph"/>
                          <w:rPr>
                            <w:rFonts w:ascii="Calibri"/>
                            <w:sz w:val="2"/>
                          </w:rPr>
                        </w:pPr>
                      </w:p>
                      <w:p w14:paraId="5539FC65" w14:textId="77777777" w:rsidR="00F65BCA" w:rsidRDefault="00F65BCA">
                        <w:pPr>
                          <w:pStyle w:val="TableParagraph"/>
                          <w:rPr>
                            <w:rFonts w:ascii="Calibri"/>
                            <w:sz w:val="2"/>
                          </w:rPr>
                        </w:pPr>
                      </w:p>
                      <w:p w14:paraId="2C9480BD" w14:textId="77777777" w:rsidR="00F65BCA" w:rsidRDefault="00F65BCA">
                        <w:pPr>
                          <w:pStyle w:val="TableParagraph"/>
                          <w:rPr>
                            <w:rFonts w:ascii="Calibri"/>
                            <w:sz w:val="2"/>
                          </w:rPr>
                        </w:pPr>
                      </w:p>
                      <w:p w14:paraId="581BA887" w14:textId="77777777" w:rsidR="00F65BCA" w:rsidRDefault="00F65BCA">
                        <w:pPr>
                          <w:pStyle w:val="TableParagraph"/>
                          <w:rPr>
                            <w:rFonts w:ascii="Calibri"/>
                            <w:sz w:val="2"/>
                          </w:rPr>
                        </w:pPr>
                      </w:p>
                      <w:p w14:paraId="381D2307" w14:textId="77777777" w:rsidR="00F65BCA" w:rsidRDefault="00F65BCA">
                        <w:pPr>
                          <w:pStyle w:val="TableParagraph"/>
                          <w:rPr>
                            <w:rFonts w:ascii="Calibri"/>
                            <w:sz w:val="2"/>
                          </w:rPr>
                        </w:pPr>
                      </w:p>
                      <w:p w14:paraId="50D5912B" w14:textId="77777777" w:rsidR="00F65BCA" w:rsidRDefault="00F65BCA">
                        <w:pPr>
                          <w:pStyle w:val="TableParagraph"/>
                          <w:rPr>
                            <w:rFonts w:ascii="Calibri"/>
                            <w:sz w:val="2"/>
                          </w:rPr>
                        </w:pPr>
                      </w:p>
                      <w:p w14:paraId="2C2EFF5B" w14:textId="77777777" w:rsidR="00F65BCA" w:rsidRDefault="00F65BCA">
                        <w:pPr>
                          <w:pStyle w:val="TableParagraph"/>
                          <w:rPr>
                            <w:rFonts w:ascii="Calibri"/>
                            <w:sz w:val="2"/>
                          </w:rPr>
                        </w:pPr>
                      </w:p>
                      <w:p w14:paraId="22070CA5" w14:textId="77777777" w:rsidR="00F65BCA" w:rsidRDefault="00F65BCA">
                        <w:pPr>
                          <w:pStyle w:val="TableParagraph"/>
                          <w:rPr>
                            <w:rFonts w:ascii="Calibri"/>
                            <w:sz w:val="2"/>
                          </w:rPr>
                        </w:pPr>
                      </w:p>
                      <w:p w14:paraId="037CCD78" w14:textId="77777777" w:rsidR="00F65BCA" w:rsidRDefault="00F65BCA">
                        <w:pPr>
                          <w:pStyle w:val="TableParagraph"/>
                          <w:rPr>
                            <w:rFonts w:ascii="Calibri"/>
                            <w:sz w:val="2"/>
                          </w:rPr>
                        </w:pPr>
                      </w:p>
                      <w:p w14:paraId="65E3188F" w14:textId="77777777" w:rsidR="00F65BCA" w:rsidRDefault="00F65BCA">
                        <w:pPr>
                          <w:pStyle w:val="TableParagraph"/>
                          <w:rPr>
                            <w:rFonts w:ascii="Calibri"/>
                            <w:sz w:val="2"/>
                          </w:rPr>
                        </w:pPr>
                      </w:p>
                      <w:p w14:paraId="543206FB" w14:textId="77777777" w:rsidR="00F65BCA" w:rsidRDefault="00F65BCA">
                        <w:pPr>
                          <w:pStyle w:val="TableParagraph"/>
                          <w:rPr>
                            <w:rFonts w:ascii="Calibri"/>
                            <w:sz w:val="2"/>
                          </w:rPr>
                        </w:pPr>
                      </w:p>
                      <w:p w14:paraId="1E42ADA4" w14:textId="77777777" w:rsidR="00F65BCA" w:rsidRDefault="00F65BCA">
                        <w:pPr>
                          <w:pStyle w:val="TableParagraph"/>
                          <w:rPr>
                            <w:rFonts w:ascii="Calibri"/>
                            <w:sz w:val="2"/>
                          </w:rPr>
                        </w:pPr>
                      </w:p>
                      <w:p w14:paraId="7F0C39FA" w14:textId="77777777" w:rsidR="00F65BCA" w:rsidRDefault="00F65BCA">
                        <w:pPr>
                          <w:pStyle w:val="TableParagraph"/>
                          <w:rPr>
                            <w:rFonts w:ascii="Calibri"/>
                            <w:sz w:val="2"/>
                          </w:rPr>
                        </w:pPr>
                      </w:p>
                      <w:p w14:paraId="13191E04" w14:textId="77777777" w:rsidR="00F65BCA" w:rsidRDefault="00F65BCA">
                        <w:pPr>
                          <w:pStyle w:val="TableParagraph"/>
                          <w:rPr>
                            <w:rFonts w:ascii="Calibri"/>
                            <w:sz w:val="2"/>
                          </w:rPr>
                        </w:pPr>
                      </w:p>
                      <w:p w14:paraId="45A12C09" w14:textId="77777777" w:rsidR="00F65BCA" w:rsidRDefault="00F65BCA">
                        <w:pPr>
                          <w:pStyle w:val="TableParagraph"/>
                          <w:rPr>
                            <w:rFonts w:ascii="Calibri"/>
                            <w:sz w:val="2"/>
                          </w:rPr>
                        </w:pPr>
                      </w:p>
                      <w:p w14:paraId="53233208" w14:textId="77777777" w:rsidR="00F65BCA" w:rsidRDefault="00F65BCA">
                        <w:pPr>
                          <w:pStyle w:val="TableParagraph"/>
                          <w:rPr>
                            <w:rFonts w:ascii="Calibri"/>
                            <w:sz w:val="2"/>
                          </w:rPr>
                        </w:pPr>
                      </w:p>
                      <w:p w14:paraId="084331CE" w14:textId="77777777" w:rsidR="00F65BCA" w:rsidRDefault="00F65BCA">
                        <w:pPr>
                          <w:pStyle w:val="TableParagraph"/>
                          <w:rPr>
                            <w:rFonts w:ascii="Calibri"/>
                            <w:sz w:val="2"/>
                          </w:rPr>
                        </w:pPr>
                      </w:p>
                      <w:p w14:paraId="14DA5799" w14:textId="77777777" w:rsidR="00F65BCA" w:rsidRDefault="00F65BCA">
                        <w:pPr>
                          <w:pStyle w:val="TableParagraph"/>
                          <w:rPr>
                            <w:rFonts w:ascii="Calibri"/>
                            <w:sz w:val="2"/>
                          </w:rPr>
                        </w:pPr>
                      </w:p>
                      <w:p w14:paraId="175F3F0F" w14:textId="77777777" w:rsidR="00F65BCA" w:rsidRDefault="00F65BCA">
                        <w:pPr>
                          <w:pStyle w:val="TableParagraph"/>
                          <w:rPr>
                            <w:rFonts w:ascii="Calibri"/>
                            <w:sz w:val="2"/>
                          </w:rPr>
                        </w:pPr>
                      </w:p>
                      <w:p w14:paraId="3C02D7F3" w14:textId="77777777" w:rsidR="00F65BCA" w:rsidRDefault="00F65BCA">
                        <w:pPr>
                          <w:pStyle w:val="TableParagraph"/>
                          <w:rPr>
                            <w:rFonts w:ascii="Calibri"/>
                            <w:sz w:val="2"/>
                          </w:rPr>
                        </w:pPr>
                      </w:p>
                      <w:p w14:paraId="54235347" w14:textId="77777777" w:rsidR="00F65BCA" w:rsidRDefault="00F65BCA">
                        <w:pPr>
                          <w:pStyle w:val="TableParagraph"/>
                          <w:rPr>
                            <w:rFonts w:ascii="Calibri"/>
                            <w:sz w:val="2"/>
                          </w:rPr>
                        </w:pPr>
                      </w:p>
                      <w:p w14:paraId="6A3EA800" w14:textId="77777777" w:rsidR="00F65BCA" w:rsidRDefault="00F65BCA">
                        <w:pPr>
                          <w:pStyle w:val="TableParagraph"/>
                          <w:rPr>
                            <w:rFonts w:ascii="Calibri"/>
                            <w:sz w:val="2"/>
                          </w:rPr>
                        </w:pPr>
                      </w:p>
                      <w:p w14:paraId="00C006B5" w14:textId="77777777" w:rsidR="00F65BCA" w:rsidRDefault="00F65BCA">
                        <w:pPr>
                          <w:pStyle w:val="TableParagraph"/>
                          <w:rPr>
                            <w:rFonts w:ascii="Calibri"/>
                            <w:sz w:val="2"/>
                          </w:rPr>
                        </w:pPr>
                      </w:p>
                      <w:p w14:paraId="61CE0726" w14:textId="77777777" w:rsidR="00F65BCA" w:rsidRDefault="00F65BCA">
                        <w:pPr>
                          <w:pStyle w:val="TableParagraph"/>
                          <w:rPr>
                            <w:rFonts w:ascii="Calibri"/>
                            <w:sz w:val="2"/>
                          </w:rPr>
                        </w:pPr>
                      </w:p>
                      <w:p w14:paraId="37F51BE4" w14:textId="77777777" w:rsidR="00F65BCA" w:rsidRDefault="00F65BCA">
                        <w:pPr>
                          <w:pStyle w:val="TableParagraph"/>
                          <w:rPr>
                            <w:rFonts w:ascii="Calibri"/>
                            <w:sz w:val="2"/>
                          </w:rPr>
                        </w:pPr>
                      </w:p>
                      <w:p w14:paraId="513BCC06" w14:textId="77777777" w:rsidR="00F65BCA" w:rsidRDefault="00F65BCA">
                        <w:pPr>
                          <w:pStyle w:val="TableParagraph"/>
                          <w:rPr>
                            <w:rFonts w:ascii="Calibri"/>
                            <w:sz w:val="2"/>
                          </w:rPr>
                        </w:pPr>
                      </w:p>
                      <w:p w14:paraId="7E0EE5FB" w14:textId="77777777" w:rsidR="00F65BCA" w:rsidRDefault="00F65BCA">
                        <w:pPr>
                          <w:pStyle w:val="TableParagraph"/>
                          <w:rPr>
                            <w:rFonts w:ascii="Calibri"/>
                            <w:sz w:val="2"/>
                          </w:rPr>
                        </w:pPr>
                      </w:p>
                      <w:p w14:paraId="1C99CC4A" w14:textId="77777777" w:rsidR="00F65BCA" w:rsidRDefault="00F65BCA">
                        <w:pPr>
                          <w:pStyle w:val="TableParagraph"/>
                          <w:rPr>
                            <w:rFonts w:ascii="Calibri"/>
                            <w:sz w:val="2"/>
                          </w:rPr>
                        </w:pPr>
                      </w:p>
                      <w:p w14:paraId="533F0155" w14:textId="77777777" w:rsidR="00F65BCA" w:rsidRDefault="00F65BCA">
                        <w:pPr>
                          <w:pStyle w:val="TableParagraph"/>
                          <w:rPr>
                            <w:rFonts w:ascii="Calibri"/>
                            <w:sz w:val="2"/>
                          </w:rPr>
                        </w:pPr>
                      </w:p>
                      <w:p w14:paraId="3322FA8A" w14:textId="77777777" w:rsidR="00F65BCA" w:rsidRDefault="00F65BCA">
                        <w:pPr>
                          <w:pStyle w:val="TableParagraph"/>
                          <w:rPr>
                            <w:rFonts w:ascii="Calibri"/>
                            <w:sz w:val="2"/>
                          </w:rPr>
                        </w:pPr>
                      </w:p>
                      <w:p w14:paraId="5FF23FBF" w14:textId="77777777" w:rsidR="00F65BCA" w:rsidRDefault="00F65BCA">
                        <w:pPr>
                          <w:pStyle w:val="TableParagraph"/>
                          <w:rPr>
                            <w:rFonts w:ascii="Calibri"/>
                            <w:sz w:val="2"/>
                          </w:rPr>
                        </w:pPr>
                      </w:p>
                      <w:p w14:paraId="6B846464" w14:textId="77777777" w:rsidR="00F65BCA" w:rsidRDefault="00F65BCA">
                        <w:pPr>
                          <w:pStyle w:val="TableParagraph"/>
                          <w:rPr>
                            <w:rFonts w:ascii="Calibri"/>
                            <w:sz w:val="2"/>
                          </w:rPr>
                        </w:pPr>
                      </w:p>
                      <w:p w14:paraId="510C40A5" w14:textId="77777777" w:rsidR="00F65BCA" w:rsidRDefault="00F65BCA">
                        <w:pPr>
                          <w:pStyle w:val="TableParagraph"/>
                          <w:rPr>
                            <w:rFonts w:ascii="Calibri"/>
                            <w:sz w:val="2"/>
                          </w:rPr>
                        </w:pPr>
                      </w:p>
                      <w:p w14:paraId="5E18DE92" w14:textId="77777777" w:rsidR="00F65BCA" w:rsidRDefault="00F65BCA">
                        <w:pPr>
                          <w:pStyle w:val="TableParagraph"/>
                          <w:rPr>
                            <w:rFonts w:ascii="Calibri"/>
                            <w:sz w:val="2"/>
                          </w:rPr>
                        </w:pPr>
                      </w:p>
                      <w:p w14:paraId="7B1F5EB4" w14:textId="77777777" w:rsidR="00F65BCA" w:rsidRDefault="00F65BCA">
                        <w:pPr>
                          <w:pStyle w:val="TableParagraph"/>
                          <w:rPr>
                            <w:rFonts w:ascii="Calibri"/>
                            <w:sz w:val="2"/>
                          </w:rPr>
                        </w:pPr>
                      </w:p>
                      <w:p w14:paraId="7D810D28" w14:textId="77777777" w:rsidR="00F65BCA" w:rsidRDefault="00F65BCA">
                        <w:pPr>
                          <w:pStyle w:val="TableParagraph"/>
                          <w:rPr>
                            <w:rFonts w:ascii="Calibri"/>
                            <w:sz w:val="2"/>
                          </w:rPr>
                        </w:pPr>
                      </w:p>
                      <w:p w14:paraId="5AE2BBC7" w14:textId="77777777" w:rsidR="00F65BCA" w:rsidRDefault="00F65BCA">
                        <w:pPr>
                          <w:pStyle w:val="TableParagraph"/>
                          <w:rPr>
                            <w:rFonts w:ascii="Calibri"/>
                            <w:sz w:val="2"/>
                          </w:rPr>
                        </w:pPr>
                      </w:p>
                      <w:p w14:paraId="474AB20F" w14:textId="77777777" w:rsidR="00F65BCA" w:rsidRDefault="00F65BCA">
                        <w:pPr>
                          <w:pStyle w:val="TableParagraph"/>
                          <w:rPr>
                            <w:rFonts w:ascii="Calibri"/>
                            <w:sz w:val="2"/>
                          </w:rPr>
                        </w:pPr>
                      </w:p>
                      <w:p w14:paraId="179DD174" w14:textId="77777777" w:rsidR="00F65BCA" w:rsidRDefault="00F65BCA">
                        <w:pPr>
                          <w:pStyle w:val="TableParagraph"/>
                          <w:rPr>
                            <w:rFonts w:ascii="Calibri"/>
                            <w:sz w:val="2"/>
                          </w:rPr>
                        </w:pPr>
                      </w:p>
                      <w:p w14:paraId="1C79071D" w14:textId="77777777" w:rsidR="00F65BCA" w:rsidRDefault="00F65BCA">
                        <w:pPr>
                          <w:pStyle w:val="TableParagraph"/>
                          <w:rPr>
                            <w:rFonts w:ascii="Calibri"/>
                            <w:sz w:val="2"/>
                          </w:rPr>
                        </w:pPr>
                      </w:p>
                      <w:p w14:paraId="6A12B14F" w14:textId="77777777" w:rsidR="00F65BCA" w:rsidRDefault="00F65BCA">
                        <w:pPr>
                          <w:pStyle w:val="TableParagraph"/>
                          <w:rPr>
                            <w:rFonts w:ascii="Calibri"/>
                            <w:sz w:val="2"/>
                          </w:rPr>
                        </w:pPr>
                      </w:p>
                      <w:p w14:paraId="6A29125E" w14:textId="77777777" w:rsidR="00F65BCA" w:rsidRDefault="00F65BCA">
                        <w:pPr>
                          <w:pStyle w:val="TableParagraph"/>
                          <w:rPr>
                            <w:rFonts w:ascii="Calibri"/>
                            <w:sz w:val="2"/>
                          </w:rPr>
                        </w:pPr>
                      </w:p>
                      <w:p w14:paraId="44B284DA" w14:textId="77777777" w:rsidR="00F65BCA" w:rsidRDefault="00F65BCA">
                        <w:pPr>
                          <w:pStyle w:val="TableParagraph"/>
                          <w:rPr>
                            <w:rFonts w:ascii="Calibri"/>
                            <w:sz w:val="2"/>
                          </w:rPr>
                        </w:pPr>
                      </w:p>
                      <w:p w14:paraId="0F9F7DD5" w14:textId="77777777" w:rsidR="00F65BCA" w:rsidRDefault="00F65BCA">
                        <w:pPr>
                          <w:pStyle w:val="TableParagraph"/>
                          <w:rPr>
                            <w:rFonts w:ascii="Calibri"/>
                            <w:sz w:val="2"/>
                          </w:rPr>
                        </w:pPr>
                      </w:p>
                      <w:p w14:paraId="74AB17A9" w14:textId="77777777" w:rsidR="00F65BCA" w:rsidRDefault="00F65BCA">
                        <w:pPr>
                          <w:pStyle w:val="TableParagraph"/>
                          <w:rPr>
                            <w:rFonts w:ascii="Calibri"/>
                            <w:sz w:val="2"/>
                          </w:rPr>
                        </w:pPr>
                      </w:p>
                      <w:p w14:paraId="62B7B2F1" w14:textId="77777777" w:rsidR="00F65BCA" w:rsidRDefault="00F65BCA">
                        <w:pPr>
                          <w:pStyle w:val="TableParagraph"/>
                          <w:rPr>
                            <w:rFonts w:ascii="Calibri"/>
                            <w:sz w:val="2"/>
                          </w:rPr>
                        </w:pPr>
                      </w:p>
                      <w:p w14:paraId="3C58ADD4" w14:textId="77777777" w:rsidR="00F65BCA" w:rsidRDefault="00F65BCA">
                        <w:pPr>
                          <w:pStyle w:val="TableParagraph"/>
                          <w:rPr>
                            <w:rFonts w:ascii="Calibri"/>
                            <w:sz w:val="2"/>
                          </w:rPr>
                        </w:pPr>
                      </w:p>
                      <w:p w14:paraId="31117588" w14:textId="77777777" w:rsidR="00F65BCA" w:rsidRDefault="00F65BCA">
                        <w:pPr>
                          <w:pStyle w:val="TableParagraph"/>
                          <w:rPr>
                            <w:rFonts w:ascii="Calibri"/>
                            <w:sz w:val="2"/>
                          </w:rPr>
                        </w:pPr>
                      </w:p>
                      <w:p w14:paraId="05D6C23E" w14:textId="77777777" w:rsidR="00F65BCA" w:rsidRDefault="00F65BCA">
                        <w:pPr>
                          <w:pStyle w:val="TableParagraph"/>
                          <w:rPr>
                            <w:rFonts w:ascii="Calibri"/>
                            <w:sz w:val="2"/>
                          </w:rPr>
                        </w:pPr>
                      </w:p>
                      <w:p w14:paraId="1AE68437" w14:textId="77777777" w:rsidR="00F65BCA" w:rsidRDefault="00F65BCA">
                        <w:pPr>
                          <w:pStyle w:val="TableParagraph"/>
                          <w:rPr>
                            <w:rFonts w:ascii="Calibri"/>
                            <w:sz w:val="2"/>
                          </w:rPr>
                        </w:pPr>
                      </w:p>
                      <w:p w14:paraId="186AF498" w14:textId="77777777" w:rsidR="00F65BCA" w:rsidRDefault="00F65BCA">
                        <w:pPr>
                          <w:pStyle w:val="TableParagraph"/>
                          <w:rPr>
                            <w:rFonts w:ascii="Calibri"/>
                            <w:sz w:val="2"/>
                          </w:rPr>
                        </w:pPr>
                      </w:p>
                      <w:p w14:paraId="5A36310D" w14:textId="77777777" w:rsidR="00F65BCA" w:rsidRDefault="00F65BCA">
                        <w:pPr>
                          <w:pStyle w:val="TableParagraph"/>
                          <w:rPr>
                            <w:rFonts w:ascii="Calibri"/>
                            <w:sz w:val="2"/>
                          </w:rPr>
                        </w:pPr>
                      </w:p>
                      <w:p w14:paraId="6C04A4A6" w14:textId="77777777" w:rsidR="00F65BCA" w:rsidRDefault="00F65BCA">
                        <w:pPr>
                          <w:pStyle w:val="TableParagraph"/>
                          <w:rPr>
                            <w:rFonts w:ascii="Calibri"/>
                            <w:sz w:val="2"/>
                          </w:rPr>
                        </w:pPr>
                      </w:p>
                      <w:p w14:paraId="092D67D9" w14:textId="77777777" w:rsidR="00F65BCA" w:rsidRDefault="00F65BCA">
                        <w:pPr>
                          <w:pStyle w:val="TableParagraph"/>
                          <w:rPr>
                            <w:rFonts w:ascii="Calibri"/>
                            <w:sz w:val="2"/>
                          </w:rPr>
                        </w:pPr>
                      </w:p>
                      <w:p w14:paraId="2DF5A6E8" w14:textId="77777777" w:rsidR="00F65BCA" w:rsidRDefault="00F65BCA">
                        <w:pPr>
                          <w:pStyle w:val="TableParagraph"/>
                          <w:rPr>
                            <w:rFonts w:ascii="Calibri"/>
                            <w:sz w:val="2"/>
                          </w:rPr>
                        </w:pPr>
                      </w:p>
                      <w:p w14:paraId="4410D92A" w14:textId="77777777" w:rsidR="00F65BCA" w:rsidRDefault="00F65BCA">
                        <w:pPr>
                          <w:pStyle w:val="TableParagraph"/>
                          <w:rPr>
                            <w:rFonts w:ascii="Calibri"/>
                            <w:sz w:val="2"/>
                          </w:rPr>
                        </w:pPr>
                      </w:p>
                      <w:p w14:paraId="5567F3A7" w14:textId="77777777" w:rsidR="00F65BCA" w:rsidRDefault="00F65BCA">
                        <w:pPr>
                          <w:pStyle w:val="TableParagraph"/>
                          <w:rPr>
                            <w:rFonts w:ascii="Calibri"/>
                            <w:sz w:val="2"/>
                          </w:rPr>
                        </w:pPr>
                      </w:p>
                      <w:p w14:paraId="0FFB2DE1" w14:textId="77777777" w:rsidR="00F65BCA" w:rsidRDefault="00F65BCA">
                        <w:pPr>
                          <w:pStyle w:val="TableParagraph"/>
                          <w:rPr>
                            <w:rFonts w:ascii="Calibri"/>
                            <w:sz w:val="2"/>
                          </w:rPr>
                        </w:pPr>
                      </w:p>
                      <w:p w14:paraId="321BCCE8" w14:textId="77777777" w:rsidR="00F65BCA" w:rsidRDefault="00F65BCA">
                        <w:pPr>
                          <w:pStyle w:val="TableParagraph"/>
                          <w:rPr>
                            <w:rFonts w:ascii="Calibri"/>
                            <w:sz w:val="2"/>
                          </w:rPr>
                        </w:pPr>
                      </w:p>
                      <w:p w14:paraId="6F90B4A6" w14:textId="77777777" w:rsidR="00F65BCA" w:rsidRDefault="00F65BCA">
                        <w:pPr>
                          <w:pStyle w:val="TableParagraph"/>
                          <w:rPr>
                            <w:rFonts w:ascii="Calibri"/>
                            <w:sz w:val="2"/>
                          </w:rPr>
                        </w:pPr>
                      </w:p>
                      <w:p w14:paraId="1D6F3260" w14:textId="77777777" w:rsidR="00F65BCA" w:rsidRDefault="00F65BCA">
                        <w:pPr>
                          <w:pStyle w:val="TableParagraph"/>
                          <w:rPr>
                            <w:rFonts w:ascii="Calibri"/>
                            <w:sz w:val="2"/>
                          </w:rPr>
                        </w:pPr>
                      </w:p>
                      <w:p w14:paraId="4DEC6045" w14:textId="77777777" w:rsidR="00F65BCA" w:rsidRDefault="00F65BCA">
                        <w:pPr>
                          <w:pStyle w:val="TableParagraph"/>
                          <w:rPr>
                            <w:rFonts w:ascii="Calibri"/>
                            <w:sz w:val="2"/>
                          </w:rPr>
                        </w:pPr>
                      </w:p>
                      <w:p w14:paraId="00361747" w14:textId="77777777" w:rsidR="00F65BCA" w:rsidRDefault="00F65BCA">
                        <w:pPr>
                          <w:pStyle w:val="TableParagraph"/>
                          <w:rPr>
                            <w:rFonts w:ascii="Calibri"/>
                            <w:sz w:val="2"/>
                          </w:rPr>
                        </w:pPr>
                      </w:p>
                      <w:p w14:paraId="3627BAF6" w14:textId="77777777" w:rsidR="00F65BCA" w:rsidRDefault="00F65BCA">
                        <w:pPr>
                          <w:pStyle w:val="TableParagraph"/>
                          <w:rPr>
                            <w:rFonts w:ascii="Calibri"/>
                            <w:sz w:val="2"/>
                          </w:rPr>
                        </w:pPr>
                      </w:p>
                      <w:p w14:paraId="2D3C43BD" w14:textId="77777777" w:rsidR="00F65BCA" w:rsidRDefault="00F65BCA">
                        <w:pPr>
                          <w:pStyle w:val="TableParagraph"/>
                          <w:rPr>
                            <w:rFonts w:ascii="Calibri"/>
                            <w:sz w:val="2"/>
                          </w:rPr>
                        </w:pPr>
                      </w:p>
                      <w:p w14:paraId="7BFF7FC0" w14:textId="77777777" w:rsidR="00F65BCA" w:rsidRDefault="00F65BCA">
                        <w:pPr>
                          <w:pStyle w:val="TableParagraph"/>
                          <w:rPr>
                            <w:rFonts w:ascii="Calibri"/>
                            <w:sz w:val="2"/>
                          </w:rPr>
                        </w:pPr>
                      </w:p>
                      <w:p w14:paraId="13D4DDA4" w14:textId="77777777" w:rsidR="00F65BCA" w:rsidRDefault="00F65BCA">
                        <w:pPr>
                          <w:pStyle w:val="TableParagraph"/>
                          <w:rPr>
                            <w:rFonts w:ascii="Calibri"/>
                            <w:sz w:val="2"/>
                          </w:rPr>
                        </w:pPr>
                      </w:p>
                      <w:p w14:paraId="68479DD7" w14:textId="77777777" w:rsidR="00F65BCA" w:rsidRDefault="00F65BCA">
                        <w:pPr>
                          <w:pStyle w:val="TableParagraph"/>
                          <w:rPr>
                            <w:rFonts w:ascii="Calibri"/>
                            <w:sz w:val="2"/>
                          </w:rPr>
                        </w:pPr>
                      </w:p>
                      <w:p w14:paraId="1E7F22F7" w14:textId="77777777" w:rsidR="00F65BCA" w:rsidRDefault="00F65BCA">
                        <w:pPr>
                          <w:pStyle w:val="TableParagraph"/>
                          <w:rPr>
                            <w:rFonts w:ascii="Calibri"/>
                            <w:sz w:val="2"/>
                          </w:rPr>
                        </w:pPr>
                      </w:p>
                      <w:p w14:paraId="0E6D19C0" w14:textId="77777777" w:rsidR="00F65BCA" w:rsidRDefault="00F65BCA">
                        <w:pPr>
                          <w:pStyle w:val="TableParagraph"/>
                          <w:rPr>
                            <w:rFonts w:ascii="Calibri"/>
                            <w:sz w:val="2"/>
                          </w:rPr>
                        </w:pPr>
                      </w:p>
                      <w:p w14:paraId="0A81A130" w14:textId="77777777" w:rsidR="00F65BCA" w:rsidRDefault="00F65BCA">
                        <w:pPr>
                          <w:pStyle w:val="TableParagraph"/>
                          <w:rPr>
                            <w:rFonts w:ascii="Calibri"/>
                            <w:sz w:val="2"/>
                          </w:rPr>
                        </w:pPr>
                      </w:p>
                      <w:p w14:paraId="2A115806" w14:textId="77777777" w:rsidR="00F65BCA" w:rsidRDefault="00F65BCA">
                        <w:pPr>
                          <w:pStyle w:val="TableParagraph"/>
                          <w:rPr>
                            <w:rFonts w:ascii="Calibri"/>
                            <w:sz w:val="2"/>
                          </w:rPr>
                        </w:pPr>
                      </w:p>
                      <w:p w14:paraId="766AB0BF" w14:textId="77777777" w:rsidR="00F65BCA" w:rsidRDefault="00F65BCA">
                        <w:pPr>
                          <w:pStyle w:val="TableParagraph"/>
                          <w:rPr>
                            <w:rFonts w:ascii="Calibri"/>
                            <w:sz w:val="2"/>
                          </w:rPr>
                        </w:pPr>
                      </w:p>
                      <w:p w14:paraId="760B9608" w14:textId="77777777" w:rsidR="00F65BCA" w:rsidRDefault="00F65BCA">
                        <w:pPr>
                          <w:pStyle w:val="TableParagraph"/>
                          <w:rPr>
                            <w:rFonts w:ascii="Calibri"/>
                            <w:sz w:val="2"/>
                          </w:rPr>
                        </w:pPr>
                      </w:p>
                      <w:p w14:paraId="35879A7B" w14:textId="77777777" w:rsidR="00F65BCA" w:rsidRDefault="00F65BCA">
                        <w:pPr>
                          <w:pStyle w:val="TableParagraph"/>
                          <w:rPr>
                            <w:rFonts w:ascii="Calibri"/>
                            <w:sz w:val="2"/>
                          </w:rPr>
                        </w:pPr>
                      </w:p>
                      <w:p w14:paraId="2E3E37FA" w14:textId="77777777" w:rsidR="00F65BCA" w:rsidRDefault="00F65BCA">
                        <w:pPr>
                          <w:pStyle w:val="TableParagraph"/>
                          <w:rPr>
                            <w:rFonts w:ascii="Calibri"/>
                            <w:sz w:val="2"/>
                          </w:rPr>
                        </w:pPr>
                      </w:p>
                      <w:p w14:paraId="23F63CC0" w14:textId="77777777" w:rsidR="00F65BCA" w:rsidRDefault="00216117">
                        <w:pPr>
                          <w:pStyle w:val="TableParagraph"/>
                          <w:spacing w:before="14"/>
                          <w:ind w:left="143"/>
                          <w:rPr>
                            <w:sz w:val="3"/>
                          </w:rPr>
                        </w:pPr>
                        <w:r>
                          <w:rPr>
                            <w:spacing w:val="-1"/>
                            <w:w w:val="105"/>
                            <w:sz w:val="3"/>
                          </w:rPr>
                          <w:t>osobní</w:t>
                        </w:r>
                        <w:r>
                          <w:rPr>
                            <w:spacing w:val="-6"/>
                            <w:w w:val="105"/>
                            <w:sz w:val="3"/>
                          </w:rPr>
                          <w:t xml:space="preserve"> </w:t>
                        </w:r>
                        <w:r>
                          <w:rPr>
                            <w:w w:val="105"/>
                            <w:sz w:val="3"/>
                          </w:rPr>
                          <w:t>automobil</w:t>
                        </w:r>
                      </w:p>
                    </w:tc>
                    <w:tc>
                      <w:tcPr>
                        <w:tcW w:w="732" w:type="dxa"/>
                        <w:vMerge w:val="restart"/>
                        <w:tcBorders>
                          <w:left w:val="single" w:sz="2" w:space="0" w:color="000000"/>
                          <w:bottom w:val="single" w:sz="2" w:space="0" w:color="000000"/>
                          <w:right w:val="single" w:sz="2" w:space="0" w:color="000000"/>
                        </w:tcBorders>
                        <w:shd w:val="clear" w:color="auto" w:fill="FCE4D6"/>
                      </w:tcPr>
                      <w:p w14:paraId="38855DCE" w14:textId="77777777" w:rsidR="00F65BCA" w:rsidRDefault="00216117">
                        <w:pPr>
                          <w:pStyle w:val="TableParagraph"/>
                          <w:spacing w:line="43" w:lineRule="exact"/>
                          <w:ind w:left="18" w:right="18"/>
                          <w:jc w:val="center"/>
                          <w:rPr>
                            <w:b/>
                            <w:sz w:val="3"/>
                          </w:rPr>
                        </w:pPr>
                        <w:r>
                          <w:rPr>
                            <w:b/>
                            <w:w w:val="105"/>
                            <w:sz w:val="3"/>
                          </w:rPr>
                          <w:t>Tovární značka</w:t>
                        </w:r>
                      </w:p>
                      <w:p w14:paraId="6F6C6952" w14:textId="77777777" w:rsidR="00F65BCA" w:rsidRDefault="00F65BCA">
                        <w:pPr>
                          <w:pStyle w:val="TableParagraph"/>
                          <w:rPr>
                            <w:rFonts w:ascii="Calibri"/>
                            <w:sz w:val="2"/>
                          </w:rPr>
                        </w:pPr>
                      </w:p>
                      <w:p w14:paraId="2D11658D" w14:textId="77777777" w:rsidR="00F65BCA" w:rsidRDefault="00F65BCA">
                        <w:pPr>
                          <w:pStyle w:val="TableParagraph"/>
                          <w:rPr>
                            <w:rFonts w:ascii="Calibri"/>
                            <w:sz w:val="2"/>
                          </w:rPr>
                        </w:pPr>
                      </w:p>
                      <w:p w14:paraId="0F71A852" w14:textId="77777777" w:rsidR="00F65BCA" w:rsidRDefault="00F65BCA">
                        <w:pPr>
                          <w:pStyle w:val="TableParagraph"/>
                          <w:rPr>
                            <w:rFonts w:ascii="Calibri"/>
                            <w:sz w:val="2"/>
                          </w:rPr>
                        </w:pPr>
                      </w:p>
                      <w:p w14:paraId="1652F9F4" w14:textId="77777777" w:rsidR="00F65BCA" w:rsidRDefault="00F65BCA">
                        <w:pPr>
                          <w:pStyle w:val="TableParagraph"/>
                          <w:rPr>
                            <w:rFonts w:ascii="Calibri"/>
                            <w:sz w:val="2"/>
                          </w:rPr>
                        </w:pPr>
                      </w:p>
                      <w:p w14:paraId="084BC6E8" w14:textId="77777777" w:rsidR="00F65BCA" w:rsidRDefault="00F65BCA">
                        <w:pPr>
                          <w:pStyle w:val="TableParagraph"/>
                          <w:rPr>
                            <w:rFonts w:ascii="Calibri"/>
                            <w:sz w:val="2"/>
                          </w:rPr>
                        </w:pPr>
                      </w:p>
                      <w:p w14:paraId="5E1A6DC6" w14:textId="77777777" w:rsidR="00F65BCA" w:rsidRDefault="00F65BCA">
                        <w:pPr>
                          <w:pStyle w:val="TableParagraph"/>
                          <w:rPr>
                            <w:rFonts w:ascii="Calibri"/>
                            <w:sz w:val="2"/>
                          </w:rPr>
                        </w:pPr>
                      </w:p>
                      <w:p w14:paraId="36F22750" w14:textId="77777777" w:rsidR="00F65BCA" w:rsidRDefault="00F65BCA">
                        <w:pPr>
                          <w:pStyle w:val="TableParagraph"/>
                          <w:rPr>
                            <w:rFonts w:ascii="Calibri"/>
                            <w:sz w:val="2"/>
                          </w:rPr>
                        </w:pPr>
                      </w:p>
                      <w:p w14:paraId="02DAEE80" w14:textId="77777777" w:rsidR="00F65BCA" w:rsidRDefault="00F65BCA">
                        <w:pPr>
                          <w:pStyle w:val="TableParagraph"/>
                          <w:rPr>
                            <w:rFonts w:ascii="Calibri"/>
                            <w:sz w:val="2"/>
                          </w:rPr>
                        </w:pPr>
                      </w:p>
                      <w:p w14:paraId="23FC4E16" w14:textId="77777777" w:rsidR="00F65BCA" w:rsidRDefault="00F65BCA">
                        <w:pPr>
                          <w:pStyle w:val="TableParagraph"/>
                          <w:rPr>
                            <w:rFonts w:ascii="Calibri"/>
                            <w:sz w:val="2"/>
                          </w:rPr>
                        </w:pPr>
                      </w:p>
                      <w:p w14:paraId="214C7491" w14:textId="77777777" w:rsidR="00F65BCA" w:rsidRDefault="00F65BCA">
                        <w:pPr>
                          <w:pStyle w:val="TableParagraph"/>
                          <w:rPr>
                            <w:rFonts w:ascii="Calibri"/>
                            <w:sz w:val="2"/>
                          </w:rPr>
                        </w:pPr>
                      </w:p>
                      <w:p w14:paraId="0D20AF9A" w14:textId="77777777" w:rsidR="00F65BCA" w:rsidRDefault="00F65BCA">
                        <w:pPr>
                          <w:pStyle w:val="TableParagraph"/>
                          <w:rPr>
                            <w:rFonts w:ascii="Calibri"/>
                            <w:sz w:val="2"/>
                          </w:rPr>
                        </w:pPr>
                      </w:p>
                      <w:p w14:paraId="39FD6104" w14:textId="77777777" w:rsidR="00F65BCA" w:rsidRDefault="00F65BCA">
                        <w:pPr>
                          <w:pStyle w:val="TableParagraph"/>
                          <w:rPr>
                            <w:rFonts w:ascii="Calibri"/>
                            <w:sz w:val="2"/>
                          </w:rPr>
                        </w:pPr>
                      </w:p>
                      <w:p w14:paraId="487FA786" w14:textId="77777777" w:rsidR="00F65BCA" w:rsidRDefault="00F65BCA">
                        <w:pPr>
                          <w:pStyle w:val="TableParagraph"/>
                          <w:rPr>
                            <w:rFonts w:ascii="Calibri"/>
                            <w:sz w:val="2"/>
                          </w:rPr>
                        </w:pPr>
                      </w:p>
                      <w:p w14:paraId="644AAE0C" w14:textId="77777777" w:rsidR="00F65BCA" w:rsidRDefault="00F65BCA">
                        <w:pPr>
                          <w:pStyle w:val="TableParagraph"/>
                          <w:rPr>
                            <w:rFonts w:ascii="Calibri"/>
                            <w:sz w:val="2"/>
                          </w:rPr>
                        </w:pPr>
                      </w:p>
                      <w:p w14:paraId="2003F18E" w14:textId="77777777" w:rsidR="00F65BCA" w:rsidRDefault="00F65BCA">
                        <w:pPr>
                          <w:pStyle w:val="TableParagraph"/>
                          <w:rPr>
                            <w:rFonts w:ascii="Calibri"/>
                            <w:sz w:val="2"/>
                          </w:rPr>
                        </w:pPr>
                      </w:p>
                      <w:p w14:paraId="52569D57" w14:textId="77777777" w:rsidR="00F65BCA" w:rsidRDefault="00F65BCA">
                        <w:pPr>
                          <w:pStyle w:val="TableParagraph"/>
                          <w:rPr>
                            <w:rFonts w:ascii="Calibri"/>
                            <w:sz w:val="2"/>
                          </w:rPr>
                        </w:pPr>
                      </w:p>
                      <w:p w14:paraId="5FDEFAC1" w14:textId="77777777" w:rsidR="00F65BCA" w:rsidRDefault="00F65BCA">
                        <w:pPr>
                          <w:pStyle w:val="TableParagraph"/>
                          <w:rPr>
                            <w:rFonts w:ascii="Calibri"/>
                            <w:sz w:val="2"/>
                          </w:rPr>
                        </w:pPr>
                      </w:p>
                      <w:p w14:paraId="0846AA63" w14:textId="77777777" w:rsidR="00F65BCA" w:rsidRDefault="00F65BCA">
                        <w:pPr>
                          <w:pStyle w:val="TableParagraph"/>
                          <w:rPr>
                            <w:rFonts w:ascii="Calibri"/>
                            <w:sz w:val="2"/>
                          </w:rPr>
                        </w:pPr>
                      </w:p>
                      <w:p w14:paraId="1A035D80" w14:textId="77777777" w:rsidR="00F65BCA" w:rsidRDefault="00F65BCA">
                        <w:pPr>
                          <w:pStyle w:val="TableParagraph"/>
                          <w:rPr>
                            <w:rFonts w:ascii="Calibri"/>
                            <w:sz w:val="2"/>
                          </w:rPr>
                        </w:pPr>
                      </w:p>
                      <w:p w14:paraId="0E26C08F" w14:textId="77777777" w:rsidR="00F65BCA" w:rsidRDefault="00F65BCA">
                        <w:pPr>
                          <w:pStyle w:val="TableParagraph"/>
                          <w:rPr>
                            <w:rFonts w:ascii="Calibri"/>
                            <w:sz w:val="2"/>
                          </w:rPr>
                        </w:pPr>
                      </w:p>
                      <w:p w14:paraId="7FB5E53E" w14:textId="77777777" w:rsidR="00F65BCA" w:rsidRDefault="00F65BCA">
                        <w:pPr>
                          <w:pStyle w:val="TableParagraph"/>
                          <w:rPr>
                            <w:rFonts w:ascii="Calibri"/>
                            <w:sz w:val="2"/>
                          </w:rPr>
                        </w:pPr>
                      </w:p>
                      <w:p w14:paraId="00287DAE" w14:textId="77777777" w:rsidR="00F65BCA" w:rsidRDefault="00216117">
                        <w:pPr>
                          <w:pStyle w:val="TableParagraph"/>
                          <w:spacing w:before="15"/>
                          <w:ind w:left="18" w:right="14"/>
                          <w:jc w:val="center"/>
                          <w:rPr>
                            <w:sz w:val="3"/>
                          </w:rPr>
                        </w:pPr>
                        <w:r>
                          <w:rPr>
                            <w:w w:val="105"/>
                            <w:sz w:val="3"/>
                          </w:rPr>
                          <w:t>Škoda</w:t>
                        </w:r>
                      </w:p>
                    </w:tc>
                    <w:tc>
                      <w:tcPr>
                        <w:tcW w:w="958" w:type="dxa"/>
                        <w:vMerge w:val="restart"/>
                        <w:tcBorders>
                          <w:left w:val="single" w:sz="2" w:space="0" w:color="000000"/>
                          <w:bottom w:val="single" w:sz="2" w:space="0" w:color="000000"/>
                          <w:right w:val="single" w:sz="2" w:space="0" w:color="000000"/>
                        </w:tcBorders>
                        <w:shd w:val="clear" w:color="auto" w:fill="FCE4D6"/>
                      </w:tcPr>
                      <w:p w14:paraId="2C6A1CF5" w14:textId="77777777" w:rsidR="00F65BCA" w:rsidRDefault="00216117">
                        <w:pPr>
                          <w:pStyle w:val="TableParagraph"/>
                          <w:spacing w:line="43" w:lineRule="exact"/>
                          <w:ind w:left="370" w:right="371"/>
                          <w:jc w:val="center"/>
                          <w:rPr>
                            <w:b/>
                            <w:sz w:val="3"/>
                          </w:rPr>
                        </w:pPr>
                        <w:r>
                          <w:rPr>
                            <w:b/>
                            <w:w w:val="105"/>
                            <w:sz w:val="3"/>
                          </w:rPr>
                          <w:t>Typ vozidla</w:t>
                        </w:r>
                      </w:p>
                      <w:p w14:paraId="7DE5A4F0" w14:textId="77777777" w:rsidR="00F65BCA" w:rsidRDefault="00F65BCA">
                        <w:pPr>
                          <w:pStyle w:val="TableParagraph"/>
                          <w:rPr>
                            <w:rFonts w:ascii="Calibri"/>
                            <w:sz w:val="2"/>
                          </w:rPr>
                        </w:pPr>
                      </w:p>
                      <w:p w14:paraId="6DF593C8" w14:textId="77777777" w:rsidR="00F65BCA" w:rsidRDefault="00F65BCA">
                        <w:pPr>
                          <w:pStyle w:val="TableParagraph"/>
                          <w:rPr>
                            <w:rFonts w:ascii="Calibri"/>
                            <w:sz w:val="2"/>
                          </w:rPr>
                        </w:pPr>
                      </w:p>
                      <w:p w14:paraId="01333E98" w14:textId="77777777" w:rsidR="00F65BCA" w:rsidRDefault="00F65BCA">
                        <w:pPr>
                          <w:pStyle w:val="TableParagraph"/>
                          <w:rPr>
                            <w:rFonts w:ascii="Calibri"/>
                            <w:sz w:val="2"/>
                          </w:rPr>
                        </w:pPr>
                      </w:p>
                      <w:p w14:paraId="25F50617" w14:textId="77777777" w:rsidR="00F65BCA" w:rsidRDefault="00F65BCA">
                        <w:pPr>
                          <w:pStyle w:val="TableParagraph"/>
                          <w:rPr>
                            <w:rFonts w:ascii="Calibri"/>
                            <w:sz w:val="2"/>
                          </w:rPr>
                        </w:pPr>
                      </w:p>
                      <w:p w14:paraId="43F77507" w14:textId="77777777" w:rsidR="00F65BCA" w:rsidRDefault="00F65BCA">
                        <w:pPr>
                          <w:pStyle w:val="TableParagraph"/>
                          <w:rPr>
                            <w:rFonts w:ascii="Calibri"/>
                            <w:sz w:val="2"/>
                          </w:rPr>
                        </w:pPr>
                      </w:p>
                      <w:p w14:paraId="07515644" w14:textId="77777777" w:rsidR="00F65BCA" w:rsidRDefault="00F65BCA">
                        <w:pPr>
                          <w:pStyle w:val="TableParagraph"/>
                          <w:rPr>
                            <w:rFonts w:ascii="Calibri"/>
                            <w:sz w:val="2"/>
                          </w:rPr>
                        </w:pPr>
                      </w:p>
                      <w:p w14:paraId="566719DC" w14:textId="77777777" w:rsidR="00F65BCA" w:rsidRDefault="00F65BCA">
                        <w:pPr>
                          <w:pStyle w:val="TableParagraph"/>
                          <w:rPr>
                            <w:rFonts w:ascii="Calibri"/>
                            <w:sz w:val="2"/>
                          </w:rPr>
                        </w:pPr>
                      </w:p>
                      <w:p w14:paraId="4C57FEBD" w14:textId="77777777" w:rsidR="00F65BCA" w:rsidRDefault="00216117">
                        <w:pPr>
                          <w:pStyle w:val="TableParagraph"/>
                          <w:spacing w:before="16" w:line="283" w:lineRule="auto"/>
                          <w:ind w:left="4" w:right="6"/>
                          <w:rPr>
                            <w:sz w:val="3"/>
                          </w:rPr>
                        </w:pPr>
                        <w:r>
                          <w:rPr>
                            <w:w w:val="105"/>
                            <w:sz w:val="3"/>
                          </w:rPr>
                          <w:t xml:space="preserve">100; 1000; 105; 110; 1100; 120; 1202; 125; 130; 135; 136; FABIA; FABIA COMBI; FABIA PRAKTIK; FABIA SEDAN; FAVORIT; FAVORIT PICK UP; FELICIA; FELICIA COMBI; FELICIA COMBI VAN; FELICIA FUN; FELICIA PICK UP; FELICIA PICK UP M98; FORMAN; </w:t>
                        </w:r>
                        <w:r>
                          <w:rPr>
                            <w:w w:val="105"/>
                            <w:sz w:val="3"/>
                          </w:rPr>
                          <w:t>FORMAN;VAN; GARDE; PICK UP; PRAKTIK</w:t>
                        </w:r>
                      </w:p>
                    </w:tc>
                    <w:tc>
                      <w:tcPr>
                        <w:tcW w:w="576" w:type="dxa"/>
                        <w:tcBorders>
                          <w:left w:val="single" w:sz="2" w:space="0" w:color="000000"/>
                          <w:bottom w:val="single" w:sz="2" w:space="0" w:color="000000"/>
                          <w:right w:val="single" w:sz="2" w:space="0" w:color="000000"/>
                        </w:tcBorders>
                        <w:shd w:val="clear" w:color="auto" w:fill="FCE4D6"/>
                      </w:tcPr>
                      <w:p w14:paraId="66D46F20" w14:textId="77777777" w:rsidR="00F65BCA" w:rsidRDefault="00216117">
                        <w:pPr>
                          <w:pStyle w:val="TableParagraph"/>
                          <w:spacing w:line="43" w:lineRule="exact"/>
                          <w:ind w:left="128" w:right="128"/>
                          <w:jc w:val="center"/>
                          <w:rPr>
                            <w:b/>
                            <w:sz w:val="3"/>
                          </w:rPr>
                        </w:pPr>
                        <w:r>
                          <w:rPr>
                            <w:b/>
                            <w:w w:val="105"/>
                            <w:sz w:val="3"/>
                          </w:rPr>
                          <w:t>Objem</w:t>
                        </w:r>
                        <w:r>
                          <w:rPr>
                            <w:b/>
                            <w:spacing w:val="-2"/>
                            <w:w w:val="105"/>
                            <w:sz w:val="3"/>
                          </w:rPr>
                          <w:t xml:space="preserve"> </w:t>
                        </w:r>
                        <w:r>
                          <w:rPr>
                            <w:b/>
                            <w:w w:val="105"/>
                            <w:sz w:val="3"/>
                          </w:rPr>
                          <w:t>motoru</w:t>
                        </w:r>
                      </w:p>
                      <w:p w14:paraId="7EB80FFD" w14:textId="77777777" w:rsidR="00F65BCA" w:rsidRDefault="00F65BCA">
                        <w:pPr>
                          <w:pStyle w:val="TableParagraph"/>
                          <w:rPr>
                            <w:rFonts w:ascii="Calibri"/>
                            <w:sz w:val="2"/>
                          </w:rPr>
                        </w:pPr>
                      </w:p>
                      <w:p w14:paraId="764A564A" w14:textId="77777777" w:rsidR="00F65BCA" w:rsidRDefault="00F65BCA">
                        <w:pPr>
                          <w:pStyle w:val="TableParagraph"/>
                          <w:rPr>
                            <w:rFonts w:ascii="Calibri"/>
                            <w:sz w:val="2"/>
                          </w:rPr>
                        </w:pPr>
                      </w:p>
                      <w:p w14:paraId="1CDD5EFA" w14:textId="77777777" w:rsidR="00F65BCA" w:rsidRDefault="00F65BCA">
                        <w:pPr>
                          <w:pStyle w:val="TableParagraph"/>
                          <w:rPr>
                            <w:rFonts w:ascii="Calibri"/>
                            <w:sz w:val="2"/>
                          </w:rPr>
                        </w:pPr>
                      </w:p>
                      <w:p w14:paraId="73916DAA" w14:textId="77777777" w:rsidR="00F65BCA" w:rsidRDefault="00F65BCA">
                        <w:pPr>
                          <w:pStyle w:val="TableParagraph"/>
                          <w:rPr>
                            <w:rFonts w:ascii="Calibri"/>
                            <w:sz w:val="2"/>
                          </w:rPr>
                        </w:pPr>
                      </w:p>
                      <w:p w14:paraId="2D291296" w14:textId="77777777" w:rsidR="00F65BCA" w:rsidRDefault="00F65BCA">
                        <w:pPr>
                          <w:pStyle w:val="TableParagraph"/>
                          <w:rPr>
                            <w:rFonts w:ascii="Calibri"/>
                            <w:sz w:val="2"/>
                          </w:rPr>
                        </w:pPr>
                      </w:p>
                      <w:p w14:paraId="1BBAD9D7" w14:textId="77777777" w:rsidR="00F65BCA" w:rsidRDefault="00F65BCA">
                        <w:pPr>
                          <w:pStyle w:val="TableParagraph"/>
                          <w:rPr>
                            <w:rFonts w:ascii="Calibri"/>
                            <w:sz w:val="2"/>
                          </w:rPr>
                        </w:pPr>
                      </w:p>
                      <w:p w14:paraId="6A43BC4F" w14:textId="77777777" w:rsidR="00F65BCA" w:rsidRDefault="00F65BCA">
                        <w:pPr>
                          <w:pStyle w:val="TableParagraph"/>
                          <w:rPr>
                            <w:rFonts w:ascii="Calibri"/>
                            <w:sz w:val="2"/>
                          </w:rPr>
                        </w:pPr>
                      </w:p>
                      <w:p w14:paraId="439C0D2C" w14:textId="77777777" w:rsidR="00F65BCA" w:rsidRDefault="00F65BCA">
                        <w:pPr>
                          <w:pStyle w:val="TableParagraph"/>
                          <w:rPr>
                            <w:rFonts w:ascii="Calibri"/>
                            <w:sz w:val="2"/>
                          </w:rPr>
                        </w:pPr>
                      </w:p>
                      <w:p w14:paraId="54B22F18" w14:textId="77777777" w:rsidR="00F65BCA" w:rsidRDefault="00216117">
                        <w:pPr>
                          <w:pStyle w:val="TableParagraph"/>
                          <w:spacing w:before="15"/>
                          <w:ind w:left="129" w:right="127"/>
                          <w:jc w:val="center"/>
                          <w:rPr>
                            <w:sz w:val="3"/>
                          </w:rPr>
                        </w:pPr>
                        <w:r>
                          <w:rPr>
                            <w:w w:val="105"/>
                            <w:sz w:val="3"/>
                          </w:rPr>
                          <w:t>0-1000</w:t>
                        </w:r>
                        <w:r>
                          <w:rPr>
                            <w:spacing w:val="-5"/>
                            <w:w w:val="105"/>
                            <w:sz w:val="3"/>
                          </w:rPr>
                          <w:t xml:space="preserve"> </w:t>
                        </w:r>
                        <w:r>
                          <w:rPr>
                            <w:w w:val="105"/>
                            <w:sz w:val="3"/>
                          </w:rPr>
                          <w:t>ccm</w:t>
                        </w:r>
                      </w:p>
                    </w:tc>
                    <w:tc>
                      <w:tcPr>
                        <w:tcW w:w="576" w:type="dxa"/>
                        <w:tcBorders>
                          <w:left w:val="single" w:sz="2" w:space="0" w:color="000000"/>
                          <w:bottom w:val="single" w:sz="2" w:space="0" w:color="000000"/>
                          <w:right w:val="single" w:sz="2" w:space="0" w:color="000000"/>
                        </w:tcBorders>
                        <w:shd w:val="clear" w:color="auto" w:fill="FCE4D6"/>
                      </w:tcPr>
                      <w:p w14:paraId="52C58AF4" w14:textId="77777777" w:rsidR="00F65BCA" w:rsidRDefault="00216117">
                        <w:pPr>
                          <w:pStyle w:val="TableParagraph"/>
                          <w:spacing w:line="43" w:lineRule="exact"/>
                          <w:ind w:left="129" w:right="128"/>
                          <w:jc w:val="center"/>
                          <w:rPr>
                            <w:b/>
                            <w:sz w:val="3"/>
                          </w:rPr>
                        </w:pPr>
                        <w:r>
                          <w:rPr>
                            <w:b/>
                            <w:w w:val="105"/>
                            <w:sz w:val="3"/>
                          </w:rPr>
                          <w:t>Celková hmotnost</w:t>
                        </w:r>
                      </w:p>
                      <w:p w14:paraId="7F70874E" w14:textId="77777777" w:rsidR="00F65BCA" w:rsidRDefault="00F65BCA">
                        <w:pPr>
                          <w:pStyle w:val="TableParagraph"/>
                          <w:rPr>
                            <w:rFonts w:ascii="Calibri"/>
                            <w:sz w:val="2"/>
                          </w:rPr>
                        </w:pPr>
                      </w:p>
                      <w:p w14:paraId="1B03C548" w14:textId="77777777" w:rsidR="00F65BCA" w:rsidRDefault="00F65BCA">
                        <w:pPr>
                          <w:pStyle w:val="TableParagraph"/>
                          <w:rPr>
                            <w:rFonts w:ascii="Calibri"/>
                            <w:sz w:val="2"/>
                          </w:rPr>
                        </w:pPr>
                      </w:p>
                      <w:p w14:paraId="7AB41E10" w14:textId="77777777" w:rsidR="00F65BCA" w:rsidRDefault="00F65BCA">
                        <w:pPr>
                          <w:pStyle w:val="TableParagraph"/>
                          <w:rPr>
                            <w:rFonts w:ascii="Calibri"/>
                            <w:sz w:val="2"/>
                          </w:rPr>
                        </w:pPr>
                      </w:p>
                      <w:p w14:paraId="6AF253E1" w14:textId="77777777" w:rsidR="00F65BCA" w:rsidRDefault="00F65BCA">
                        <w:pPr>
                          <w:pStyle w:val="TableParagraph"/>
                          <w:rPr>
                            <w:rFonts w:ascii="Calibri"/>
                            <w:sz w:val="2"/>
                          </w:rPr>
                        </w:pPr>
                      </w:p>
                      <w:p w14:paraId="6D88D98B" w14:textId="77777777" w:rsidR="00F65BCA" w:rsidRDefault="00F65BCA">
                        <w:pPr>
                          <w:pStyle w:val="TableParagraph"/>
                          <w:rPr>
                            <w:rFonts w:ascii="Calibri"/>
                            <w:sz w:val="2"/>
                          </w:rPr>
                        </w:pPr>
                      </w:p>
                      <w:p w14:paraId="360E9E9C" w14:textId="77777777" w:rsidR="00F65BCA" w:rsidRDefault="00F65BCA">
                        <w:pPr>
                          <w:pStyle w:val="TableParagraph"/>
                          <w:rPr>
                            <w:rFonts w:ascii="Calibri"/>
                            <w:sz w:val="2"/>
                          </w:rPr>
                        </w:pPr>
                      </w:p>
                      <w:p w14:paraId="69E79CE9" w14:textId="77777777" w:rsidR="00F65BCA" w:rsidRDefault="00F65BCA">
                        <w:pPr>
                          <w:pStyle w:val="TableParagraph"/>
                          <w:rPr>
                            <w:rFonts w:ascii="Calibri"/>
                            <w:sz w:val="2"/>
                          </w:rPr>
                        </w:pPr>
                      </w:p>
                      <w:p w14:paraId="757B9977" w14:textId="77777777" w:rsidR="00F65BCA" w:rsidRDefault="00F65BCA">
                        <w:pPr>
                          <w:pStyle w:val="TableParagraph"/>
                          <w:rPr>
                            <w:rFonts w:ascii="Calibri"/>
                            <w:sz w:val="2"/>
                          </w:rPr>
                        </w:pPr>
                      </w:p>
                      <w:p w14:paraId="21BB6FFB" w14:textId="77777777" w:rsidR="00F65BCA" w:rsidRDefault="00216117">
                        <w:pPr>
                          <w:pStyle w:val="TableParagraph"/>
                          <w:spacing w:before="15"/>
                          <w:ind w:left="3"/>
                          <w:jc w:val="center"/>
                          <w:rPr>
                            <w:sz w:val="3"/>
                          </w:rPr>
                        </w:pPr>
                        <w:r>
                          <w:rPr>
                            <w:w w:val="103"/>
                            <w:sz w:val="3"/>
                          </w:rPr>
                          <w:t>-</w:t>
                        </w:r>
                      </w:p>
                    </w:tc>
                    <w:tc>
                      <w:tcPr>
                        <w:tcW w:w="50" w:type="dxa"/>
                        <w:vMerge w:val="restart"/>
                        <w:tcBorders>
                          <w:top w:val="nil"/>
                          <w:left w:val="single" w:sz="2" w:space="0" w:color="000000"/>
                          <w:bottom w:val="nil"/>
                          <w:right w:val="single" w:sz="2" w:space="0" w:color="000000"/>
                        </w:tcBorders>
                      </w:tcPr>
                      <w:p w14:paraId="2EC3AC81" w14:textId="77777777" w:rsidR="00F65BCA" w:rsidRDefault="00F65BCA">
                        <w:pPr>
                          <w:pStyle w:val="TableParagraph"/>
                          <w:rPr>
                            <w:rFonts w:ascii="Times New Roman"/>
                            <w:sz w:val="2"/>
                          </w:rPr>
                        </w:pPr>
                      </w:p>
                    </w:tc>
                    <w:tc>
                      <w:tcPr>
                        <w:tcW w:w="288" w:type="dxa"/>
                        <w:tcBorders>
                          <w:left w:val="single" w:sz="2" w:space="0" w:color="000000"/>
                          <w:bottom w:val="single" w:sz="2" w:space="0" w:color="000000"/>
                          <w:right w:val="single" w:sz="2" w:space="0" w:color="000000"/>
                        </w:tcBorders>
                      </w:tcPr>
                      <w:p w14:paraId="23BD8CCF" w14:textId="77777777" w:rsidR="00F65BCA" w:rsidRDefault="00216117">
                        <w:pPr>
                          <w:pStyle w:val="TableParagraph"/>
                          <w:spacing w:line="43" w:lineRule="exact"/>
                          <w:ind w:left="24" w:right="22"/>
                          <w:jc w:val="center"/>
                          <w:rPr>
                            <w:b/>
                            <w:sz w:val="3"/>
                          </w:rPr>
                        </w:pPr>
                        <w:r>
                          <w:rPr>
                            <w:b/>
                            <w:w w:val="105"/>
                            <w:sz w:val="3"/>
                          </w:rPr>
                          <w:t>0-99</w:t>
                        </w:r>
                      </w:p>
                      <w:p w14:paraId="39CFA0AA" w14:textId="77777777" w:rsidR="00F65BCA" w:rsidRDefault="00F65BCA">
                        <w:pPr>
                          <w:pStyle w:val="TableParagraph"/>
                          <w:rPr>
                            <w:rFonts w:ascii="Calibri"/>
                            <w:sz w:val="2"/>
                          </w:rPr>
                        </w:pPr>
                      </w:p>
                      <w:p w14:paraId="6D536DD3" w14:textId="77777777" w:rsidR="00F65BCA" w:rsidRDefault="00F65BCA">
                        <w:pPr>
                          <w:pStyle w:val="TableParagraph"/>
                          <w:rPr>
                            <w:rFonts w:ascii="Calibri"/>
                            <w:sz w:val="2"/>
                          </w:rPr>
                        </w:pPr>
                      </w:p>
                      <w:p w14:paraId="34A93037" w14:textId="77777777" w:rsidR="00F65BCA" w:rsidRDefault="00F65BCA">
                        <w:pPr>
                          <w:pStyle w:val="TableParagraph"/>
                          <w:rPr>
                            <w:rFonts w:ascii="Calibri"/>
                            <w:sz w:val="2"/>
                          </w:rPr>
                        </w:pPr>
                      </w:p>
                      <w:p w14:paraId="59AB6B7F" w14:textId="77777777" w:rsidR="00F65BCA" w:rsidRDefault="00F65BCA">
                        <w:pPr>
                          <w:pStyle w:val="TableParagraph"/>
                          <w:rPr>
                            <w:rFonts w:ascii="Calibri"/>
                            <w:sz w:val="2"/>
                          </w:rPr>
                        </w:pPr>
                      </w:p>
                      <w:p w14:paraId="2047C5D9" w14:textId="77777777" w:rsidR="00F65BCA" w:rsidRDefault="00F65BCA">
                        <w:pPr>
                          <w:pStyle w:val="TableParagraph"/>
                          <w:rPr>
                            <w:rFonts w:ascii="Calibri"/>
                            <w:sz w:val="2"/>
                          </w:rPr>
                        </w:pPr>
                      </w:p>
                      <w:p w14:paraId="7C7DE015" w14:textId="77777777" w:rsidR="00F65BCA" w:rsidRDefault="00F65BCA">
                        <w:pPr>
                          <w:pStyle w:val="TableParagraph"/>
                          <w:rPr>
                            <w:rFonts w:ascii="Calibri"/>
                            <w:sz w:val="2"/>
                          </w:rPr>
                        </w:pPr>
                      </w:p>
                      <w:p w14:paraId="040A860F" w14:textId="77777777" w:rsidR="00F65BCA" w:rsidRDefault="00F65BCA">
                        <w:pPr>
                          <w:pStyle w:val="TableParagraph"/>
                          <w:rPr>
                            <w:rFonts w:ascii="Calibri"/>
                            <w:sz w:val="2"/>
                          </w:rPr>
                        </w:pPr>
                      </w:p>
                      <w:p w14:paraId="22C5ADD1" w14:textId="77777777" w:rsidR="00F65BCA" w:rsidRDefault="00F65BCA">
                        <w:pPr>
                          <w:pStyle w:val="TableParagraph"/>
                          <w:rPr>
                            <w:rFonts w:ascii="Calibri"/>
                            <w:sz w:val="2"/>
                          </w:rPr>
                        </w:pPr>
                      </w:p>
                      <w:p w14:paraId="14A9DF87" w14:textId="77777777" w:rsidR="00F65BCA" w:rsidRDefault="00216117">
                        <w:pPr>
                          <w:pStyle w:val="TableParagraph"/>
                          <w:spacing w:before="15"/>
                          <w:ind w:left="24" w:right="24"/>
                          <w:jc w:val="center"/>
                          <w:rPr>
                            <w:sz w:val="3"/>
                          </w:rPr>
                        </w:pPr>
                        <w:r>
                          <w:rPr>
                            <w:w w:val="105"/>
                            <w:sz w:val="3"/>
                          </w:rPr>
                          <w:t>0,89022086%</w:t>
                        </w:r>
                      </w:p>
                    </w:tc>
                    <w:tc>
                      <w:tcPr>
                        <w:tcW w:w="288" w:type="dxa"/>
                        <w:tcBorders>
                          <w:left w:val="single" w:sz="2" w:space="0" w:color="000000"/>
                          <w:bottom w:val="single" w:sz="2" w:space="0" w:color="000000"/>
                          <w:right w:val="single" w:sz="2" w:space="0" w:color="000000"/>
                        </w:tcBorders>
                      </w:tcPr>
                      <w:p w14:paraId="53F10526" w14:textId="77777777" w:rsidR="00F65BCA" w:rsidRDefault="00216117">
                        <w:pPr>
                          <w:pStyle w:val="TableParagraph"/>
                          <w:spacing w:line="43" w:lineRule="exact"/>
                          <w:ind w:left="85"/>
                          <w:rPr>
                            <w:b/>
                            <w:sz w:val="3"/>
                          </w:rPr>
                        </w:pPr>
                        <w:r>
                          <w:rPr>
                            <w:b/>
                            <w:w w:val="105"/>
                            <w:sz w:val="3"/>
                          </w:rPr>
                          <w:t>100-199</w:t>
                        </w:r>
                      </w:p>
                      <w:p w14:paraId="605F6B1A" w14:textId="77777777" w:rsidR="00F65BCA" w:rsidRDefault="00F65BCA">
                        <w:pPr>
                          <w:pStyle w:val="TableParagraph"/>
                          <w:rPr>
                            <w:rFonts w:ascii="Calibri"/>
                            <w:sz w:val="2"/>
                          </w:rPr>
                        </w:pPr>
                      </w:p>
                      <w:p w14:paraId="479CBEA7" w14:textId="77777777" w:rsidR="00F65BCA" w:rsidRDefault="00F65BCA">
                        <w:pPr>
                          <w:pStyle w:val="TableParagraph"/>
                          <w:rPr>
                            <w:rFonts w:ascii="Calibri"/>
                            <w:sz w:val="2"/>
                          </w:rPr>
                        </w:pPr>
                      </w:p>
                      <w:p w14:paraId="634AF052" w14:textId="77777777" w:rsidR="00F65BCA" w:rsidRDefault="00F65BCA">
                        <w:pPr>
                          <w:pStyle w:val="TableParagraph"/>
                          <w:rPr>
                            <w:rFonts w:ascii="Calibri"/>
                            <w:sz w:val="2"/>
                          </w:rPr>
                        </w:pPr>
                      </w:p>
                      <w:p w14:paraId="4CF269F5" w14:textId="77777777" w:rsidR="00F65BCA" w:rsidRDefault="00F65BCA">
                        <w:pPr>
                          <w:pStyle w:val="TableParagraph"/>
                          <w:rPr>
                            <w:rFonts w:ascii="Calibri"/>
                            <w:sz w:val="2"/>
                          </w:rPr>
                        </w:pPr>
                      </w:p>
                      <w:p w14:paraId="0AD7B2A0" w14:textId="77777777" w:rsidR="00F65BCA" w:rsidRDefault="00F65BCA">
                        <w:pPr>
                          <w:pStyle w:val="TableParagraph"/>
                          <w:rPr>
                            <w:rFonts w:ascii="Calibri"/>
                            <w:sz w:val="2"/>
                          </w:rPr>
                        </w:pPr>
                      </w:p>
                      <w:p w14:paraId="0FEC56B4" w14:textId="77777777" w:rsidR="00F65BCA" w:rsidRDefault="00F65BCA">
                        <w:pPr>
                          <w:pStyle w:val="TableParagraph"/>
                          <w:rPr>
                            <w:rFonts w:ascii="Calibri"/>
                            <w:sz w:val="2"/>
                          </w:rPr>
                        </w:pPr>
                      </w:p>
                      <w:p w14:paraId="78C7022A" w14:textId="77777777" w:rsidR="00F65BCA" w:rsidRDefault="00F65BCA">
                        <w:pPr>
                          <w:pStyle w:val="TableParagraph"/>
                          <w:rPr>
                            <w:rFonts w:ascii="Calibri"/>
                            <w:sz w:val="2"/>
                          </w:rPr>
                        </w:pPr>
                      </w:p>
                      <w:p w14:paraId="05AB101B" w14:textId="77777777" w:rsidR="00F65BCA" w:rsidRDefault="00F65BCA">
                        <w:pPr>
                          <w:pStyle w:val="TableParagraph"/>
                          <w:rPr>
                            <w:rFonts w:ascii="Calibri"/>
                            <w:sz w:val="2"/>
                          </w:rPr>
                        </w:pPr>
                      </w:p>
                      <w:p w14:paraId="0E957F41" w14:textId="77777777" w:rsidR="00F65BCA" w:rsidRDefault="00216117">
                        <w:pPr>
                          <w:pStyle w:val="TableParagraph"/>
                          <w:spacing w:before="15"/>
                          <w:ind w:left="47"/>
                          <w:rPr>
                            <w:sz w:val="3"/>
                          </w:rPr>
                        </w:pPr>
                        <w:r>
                          <w:rPr>
                            <w:w w:val="105"/>
                            <w:sz w:val="3"/>
                          </w:rPr>
                          <w:t>0,83458206%</w:t>
                        </w:r>
                      </w:p>
                    </w:tc>
                    <w:tc>
                      <w:tcPr>
                        <w:tcW w:w="288" w:type="dxa"/>
                        <w:tcBorders>
                          <w:left w:val="single" w:sz="2" w:space="0" w:color="000000"/>
                          <w:bottom w:val="single" w:sz="2" w:space="0" w:color="000000"/>
                          <w:right w:val="single" w:sz="2" w:space="0" w:color="000000"/>
                        </w:tcBorders>
                      </w:tcPr>
                      <w:p w14:paraId="183F90DF" w14:textId="77777777" w:rsidR="00F65BCA" w:rsidRDefault="00216117">
                        <w:pPr>
                          <w:pStyle w:val="TableParagraph"/>
                          <w:spacing w:line="43" w:lineRule="exact"/>
                          <w:ind w:left="85"/>
                          <w:rPr>
                            <w:b/>
                            <w:sz w:val="3"/>
                          </w:rPr>
                        </w:pPr>
                        <w:r>
                          <w:rPr>
                            <w:b/>
                            <w:w w:val="105"/>
                            <w:sz w:val="3"/>
                          </w:rPr>
                          <w:t>200-299</w:t>
                        </w:r>
                      </w:p>
                      <w:p w14:paraId="59A56D96" w14:textId="77777777" w:rsidR="00F65BCA" w:rsidRDefault="00F65BCA">
                        <w:pPr>
                          <w:pStyle w:val="TableParagraph"/>
                          <w:rPr>
                            <w:rFonts w:ascii="Calibri"/>
                            <w:sz w:val="2"/>
                          </w:rPr>
                        </w:pPr>
                      </w:p>
                      <w:p w14:paraId="3A6A04A2" w14:textId="77777777" w:rsidR="00F65BCA" w:rsidRDefault="00F65BCA">
                        <w:pPr>
                          <w:pStyle w:val="TableParagraph"/>
                          <w:rPr>
                            <w:rFonts w:ascii="Calibri"/>
                            <w:sz w:val="2"/>
                          </w:rPr>
                        </w:pPr>
                      </w:p>
                      <w:p w14:paraId="10409F55" w14:textId="77777777" w:rsidR="00F65BCA" w:rsidRDefault="00F65BCA">
                        <w:pPr>
                          <w:pStyle w:val="TableParagraph"/>
                          <w:rPr>
                            <w:rFonts w:ascii="Calibri"/>
                            <w:sz w:val="2"/>
                          </w:rPr>
                        </w:pPr>
                      </w:p>
                      <w:p w14:paraId="1A2D499C" w14:textId="77777777" w:rsidR="00F65BCA" w:rsidRDefault="00F65BCA">
                        <w:pPr>
                          <w:pStyle w:val="TableParagraph"/>
                          <w:rPr>
                            <w:rFonts w:ascii="Calibri"/>
                            <w:sz w:val="2"/>
                          </w:rPr>
                        </w:pPr>
                      </w:p>
                      <w:p w14:paraId="566DB552" w14:textId="77777777" w:rsidR="00F65BCA" w:rsidRDefault="00F65BCA">
                        <w:pPr>
                          <w:pStyle w:val="TableParagraph"/>
                          <w:rPr>
                            <w:rFonts w:ascii="Calibri"/>
                            <w:sz w:val="2"/>
                          </w:rPr>
                        </w:pPr>
                      </w:p>
                      <w:p w14:paraId="49D1E7DA" w14:textId="77777777" w:rsidR="00F65BCA" w:rsidRDefault="00F65BCA">
                        <w:pPr>
                          <w:pStyle w:val="TableParagraph"/>
                          <w:rPr>
                            <w:rFonts w:ascii="Calibri"/>
                            <w:sz w:val="2"/>
                          </w:rPr>
                        </w:pPr>
                      </w:p>
                      <w:p w14:paraId="14B8609A" w14:textId="77777777" w:rsidR="00F65BCA" w:rsidRDefault="00F65BCA">
                        <w:pPr>
                          <w:pStyle w:val="TableParagraph"/>
                          <w:rPr>
                            <w:rFonts w:ascii="Calibri"/>
                            <w:sz w:val="2"/>
                          </w:rPr>
                        </w:pPr>
                      </w:p>
                      <w:p w14:paraId="005EB596" w14:textId="77777777" w:rsidR="00F65BCA" w:rsidRDefault="00F65BCA">
                        <w:pPr>
                          <w:pStyle w:val="TableParagraph"/>
                          <w:rPr>
                            <w:rFonts w:ascii="Calibri"/>
                            <w:sz w:val="2"/>
                          </w:rPr>
                        </w:pPr>
                      </w:p>
                      <w:p w14:paraId="4C68F377" w14:textId="77777777" w:rsidR="00F65BCA" w:rsidRDefault="00216117">
                        <w:pPr>
                          <w:pStyle w:val="TableParagraph"/>
                          <w:spacing w:before="15"/>
                          <w:ind w:left="47"/>
                          <w:rPr>
                            <w:sz w:val="3"/>
                          </w:rPr>
                        </w:pPr>
                        <w:r>
                          <w:rPr>
                            <w:w w:val="105"/>
                            <w:sz w:val="3"/>
                          </w:rPr>
                          <w:t>0,79563490%</w:t>
                        </w:r>
                      </w:p>
                    </w:tc>
                    <w:tc>
                      <w:tcPr>
                        <w:tcW w:w="288" w:type="dxa"/>
                        <w:tcBorders>
                          <w:left w:val="single" w:sz="2" w:space="0" w:color="000000"/>
                          <w:bottom w:val="single" w:sz="2" w:space="0" w:color="000000"/>
                          <w:right w:val="single" w:sz="2" w:space="0" w:color="000000"/>
                        </w:tcBorders>
                      </w:tcPr>
                      <w:p w14:paraId="7150EA01" w14:textId="77777777" w:rsidR="00F65BCA" w:rsidRDefault="00216117">
                        <w:pPr>
                          <w:pStyle w:val="TableParagraph"/>
                          <w:spacing w:line="43" w:lineRule="exact"/>
                          <w:ind w:left="85"/>
                          <w:rPr>
                            <w:b/>
                            <w:sz w:val="3"/>
                          </w:rPr>
                        </w:pPr>
                        <w:r>
                          <w:rPr>
                            <w:b/>
                            <w:w w:val="105"/>
                            <w:sz w:val="3"/>
                          </w:rPr>
                          <w:t>300-399</w:t>
                        </w:r>
                      </w:p>
                      <w:p w14:paraId="482E256B" w14:textId="77777777" w:rsidR="00F65BCA" w:rsidRDefault="00F65BCA">
                        <w:pPr>
                          <w:pStyle w:val="TableParagraph"/>
                          <w:rPr>
                            <w:rFonts w:ascii="Calibri"/>
                            <w:sz w:val="2"/>
                          </w:rPr>
                        </w:pPr>
                      </w:p>
                      <w:p w14:paraId="2D5E59DB" w14:textId="77777777" w:rsidR="00F65BCA" w:rsidRDefault="00F65BCA">
                        <w:pPr>
                          <w:pStyle w:val="TableParagraph"/>
                          <w:rPr>
                            <w:rFonts w:ascii="Calibri"/>
                            <w:sz w:val="2"/>
                          </w:rPr>
                        </w:pPr>
                      </w:p>
                      <w:p w14:paraId="17A9F430" w14:textId="77777777" w:rsidR="00F65BCA" w:rsidRDefault="00F65BCA">
                        <w:pPr>
                          <w:pStyle w:val="TableParagraph"/>
                          <w:rPr>
                            <w:rFonts w:ascii="Calibri"/>
                            <w:sz w:val="2"/>
                          </w:rPr>
                        </w:pPr>
                      </w:p>
                      <w:p w14:paraId="6E098FCE" w14:textId="77777777" w:rsidR="00F65BCA" w:rsidRDefault="00F65BCA">
                        <w:pPr>
                          <w:pStyle w:val="TableParagraph"/>
                          <w:rPr>
                            <w:rFonts w:ascii="Calibri"/>
                            <w:sz w:val="2"/>
                          </w:rPr>
                        </w:pPr>
                      </w:p>
                      <w:p w14:paraId="7FDEBEC7" w14:textId="77777777" w:rsidR="00F65BCA" w:rsidRDefault="00F65BCA">
                        <w:pPr>
                          <w:pStyle w:val="TableParagraph"/>
                          <w:rPr>
                            <w:rFonts w:ascii="Calibri"/>
                            <w:sz w:val="2"/>
                          </w:rPr>
                        </w:pPr>
                      </w:p>
                      <w:p w14:paraId="1F49DCB2" w14:textId="77777777" w:rsidR="00F65BCA" w:rsidRDefault="00F65BCA">
                        <w:pPr>
                          <w:pStyle w:val="TableParagraph"/>
                          <w:rPr>
                            <w:rFonts w:ascii="Calibri"/>
                            <w:sz w:val="2"/>
                          </w:rPr>
                        </w:pPr>
                      </w:p>
                      <w:p w14:paraId="6FA44AA3" w14:textId="77777777" w:rsidR="00F65BCA" w:rsidRDefault="00F65BCA">
                        <w:pPr>
                          <w:pStyle w:val="TableParagraph"/>
                          <w:rPr>
                            <w:rFonts w:ascii="Calibri"/>
                            <w:sz w:val="2"/>
                          </w:rPr>
                        </w:pPr>
                      </w:p>
                      <w:p w14:paraId="0CD05557" w14:textId="77777777" w:rsidR="00F65BCA" w:rsidRDefault="00F65BCA">
                        <w:pPr>
                          <w:pStyle w:val="TableParagraph"/>
                          <w:rPr>
                            <w:rFonts w:ascii="Calibri"/>
                            <w:sz w:val="2"/>
                          </w:rPr>
                        </w:pPr>
                      </w:p>
                      <w:p w14:paraId="2F66A37A" w14:textId="77777777" w:rsidR="00F65BCA" w:rsidRDefault="00216117">
                        <w:pPr>
                          <w:pStyle w:val="TableParagraph"/>
                          <w:spacing w:before="15"/>
                          <w:ind w:left="47"/>
                          <w:rPr>
                            <w:sz w:val="3"/>
                          </w:rPr>
                        </w:pPr>
                        <w:r>
                          <w:rPr>
                            <w:w w:val="105"/>
                            <w:sz w:val="3"/>
                          </w:rPr>
                          <w:t>0,75112385%</w:t>
                        </w:r>
                      </w:p>
                    </w:tc>
                    <w:tc>
                      <w:tcPr>
                        <w:tcW w:w="288" w:type="dxa"/>
                        <w:tcBorders>
                          <w:left w:val="single" w:sz="2" w:space="0" w:color="000000"/>
                          <w:bottom w:val="single" w:sz="2" w:space="0" w:color="000000"/>
                          <w:right w:val="single" w:sz="2" w:space="0" w:color="000000"/>
                        </w:tcBorders>
                      </w:tcPr>
                      <w:p w14:paraId="0F9A53FE" w14:textId="77777777" w:rsidR="00F65BCA" w:rsidRDefault="00216117">
                        <w:pPr>
                          <w:pStyle w:val="TableParagraph"/>
                          <w:spacing w:line="43" w:lineRule="exact"/>
                          <w:ind w:left="85"/>
                          <w:rPr>
                            <w:b/>
                            <w:sz w:val="3"/>
                          </w:rPr>
                        </w:pPr>
                        <w:r>
                          <w:rPr>
                            <w:b/>
                            <w:w w:val="105"/>
                            <w:sz w:val="3"/>
                          </w:rPr>
                          <w:t>400-499</w:t>
                        </w:r>
                      </w:p>
                      <w:p w14:paraId="2E94F47E" w14:textId="77777777" w:rsidR="00F65BCA" w:rsidRDefault="00F65BCA">
                        <w:pPr>
                          <w:pStyle w:val="TableParagraph"/>
                          <w:rPr>
                            <w:rFonts w:ascii="Calibri"/>
                            <w:sz w:val="2"/>
                          </w:rPr>
                        </w:pPr>
                      </w:p>
                      <w:p w14:paraId="2374489D" w14:textId="77777777" w:rsidR="00F65BCA" w:rsidRDefault="00F65BCA">
                        <w:pPr>
                          <w:pStyle w:val="TableParagraph"/>
                          <w:rPr>
                            <w:rFonts w:ascii="Calibri"/>
                            <w:sz w:val="2"/>
                          </w:rPr>
                        </w:pPr>
                      </w:p>
                      <w:p w14:paraId="3F126369" w14:textId="77777777" w:rsidR="00F65BCA" w:rsidRDefault="00F65BCA">
                        <w:pPr>
                          <w:pStyle w:val="TableParagraph"/>
                          <w:rPr>
                            <w:rFonts w:ascii="Calibri"/>
                            <w:sz w:val="2"/>
                          </w:rPr>
                        </w:pPr>
                      </w:p>
                      <w:p w14:paraId="3F7C8BB6" w14:textId="77777777" w:rsidR="00F65BCA" w:rsidRDefault="00F65BCA">
                        <w:pPr>
                          <w:pStyle w:val="TableParagraph"/>
                          <w:rPr>
                            <w:rFonts w:ascii="Calibri"/>
                            <w:sz w:val="2"/>
                          </w:rPr>
                        </w:pPr>
                      </w:p>
                      <w:p w14:paraId="2808936B" w14:textId="77777777" w:rsidR="00F65BCA" w:rsidRDefault="00F65BCA">
                        <w:pPr>
                          <w:pStyle w:val="TableParagraph"/>
                          <w:rPr>
                            <w:rFonts w:ascii="Calibri"/>
                            <w:sz w:val="2"/>
                          </w:rPr>
                        </w:pPr>
                      </w:p>
                      <w:p w14:paraId="6C0C4297" w14:textId="77777777" w:rsidR="00F65BCA" w:rsidRDefault="00F65BCA">
                        <w:pPr>
                          <w:pStyle w:val="TableParagraph"/>
                          <w:rPr>
                            <w:rFonts w:ascii="Calibri"/>
                            <w:sz w:val="2"/>
                          </w:rPr>
                        </w:pPr>
                      </w:p>
                      <w:p w14:paraId="2D638914" w14:textId="77777777" w:rsidR="00F65BCA" w:rsidRDefault="00F65BCA">
                        <w:pPr>
                          <w:pStyle w:val="TableParagraph"/>
                          <w:rPr>
                            <w:rFonts w:ascii="Calibri"/>
                            <w:sz w:val="2"/>
                          </w:rPr>
                        </w:pPr>
                      </w:p>
                      <w:p w14:paraId="5E8E7F3C" w14:textId="77777777" w:rsidR="00F65BCA" w:rsidRDefault="00F65BCA">
                        <w:pPr>
                          <w:pStyle w:val="TableParagraph"/>
                          <w:rPr>
                            <w:rFonts w:ascii="Calibri"/>
                            <w:sz w:val="2"/>
                          </w:rPr>
                        </w:pPr>
                      </w:p>
                      <w:p w14:paraId="1BB3F8C4" w14:textId="77777777" w:rsidR="00F65BCA" w:rsidRDefault="00216117">
                        <w:pPr>
                          <w:pStyle w:val="TableParagraph"/>
                          <w:spacing w:before="15"/>
                          <w:ind w:left="47"/>
                          <w:rPr>
                            <w:sz w:val="3"/>
                          </w:rPr>
                        </w:pPr>
                        <w:r>
                          <w:rPr>
                            <w:w w:val="105"/>
                            <w:sz w:val="3"/>
                          </w:rPr>
                          <w:t>0,71217669%</w:t>
                        </w:r>
                      </w:p>
                    </w:tc>
                    <w:tc>
                      <w:tcPr>
                        <w:tcW w:w="288" w:type="dxa"/>
                        <w:tcBorders>
                          <w:left w:val="single" w:sz="2" w:space="0" w:color="000000"/>
                          <w:bottom w:val="single" w:sz="2" w:space="0" w:color="000000"/>
                          <w:right w:val="single" w:sz="2" w:space="0" w:color="000000"/>
                        </w:tcBorders>
                      </w:tcPr>
                      <w:p w14:paraId="625B341E" w14:textId="77777777" w:rsidR="00F65BCA" w:rsidRDefault="00216117">
                        <w:pPr>
                          <w:pStyle w:val="TableParagraph"/>
                          <w:spacing w:line="43" w:lineRule="exact"/>
                          <w:ind w:left="85"/>
                          <w:rPr>
                            <w:b/>
                            <w:sz w:val="3"/>
                          </w:rPr>
                        </w:pPr>
                        <w:r>
                          <w:rPr>
                            <w:b/>
                            <w:w w:val="105"/>
                            <w:sz w:val="3"/>
                          </w:rPr>
                          <w:t>500-599</w:t>
                        </w:r>
                      </w:p>
                      <w:p w14:paraId="5FEB5696" w14:textId="77777777" w:rsidR="00F65BCA" w:rsidRDefault="00F65BCA">
                        <w:pPr>
                          <w:pStyle w:val="TableParagraph"/>
                          <w:rPr>
                            <w:rFonts w:ascii="Calibri"/>
                            <w:sz w:val="2"/>
                          </w:rPr>
                        </w:pPr>
                      </w:p>
                      <w:p w14:paraId="6265A3B6" w14:textId="77777777" w:rsidR="00F65BCA" w:rsidRDefault="00F65BCA">
                        <w:pPr>
                          <w:pStyle w:val="TableParagraph"/>
                          <w:rPr>
                            <w:rFonts w:ascii="Calibri"/>
                            <w:sz w:val="2"/>
                          </w:rPr>
                        </w:pPr>
                      </w:p>
                      <w:p w14:paraId="70467A8B" w14:textId="77777777" w:rsidR="00F65BCA" w:rsidRDefault="00F65BCA">
                        <w:pPr>
                          <w:pStyle w:val="TableParagraph"/>
                          <w:rPr>
                            <w:rFonts w:ascii="Calibri"/>
                            <w:sz w:val="2"/>
                          </w:rPr>
                        </w:pPr>
                      </w:p>
                      <w:p w14:paraId="5AD8293F" w14:textId="77777777" w:rsidR="00F65BCA" w:rsidRDefault="00F65BCA">
                        <w:pPr>
                          <w:pStyle w:val="TableParagraph"/>
                          <w:rPr>
                            <w:rFonts w:ascii="Calibri"/>
                            <w:sz w:val="2"/>
                          </w:rPr>
                        </w:pPr>
                      </w:p>
                      <w:p w14:paraId="31B32E61" w14:textId="77777777" w:rsidR="00F65BCA" w:rsidRDefault="00F65BCA">
                        <w:pPr>
                          <w:pStyle w:val="TableParagraph"/>
                          <w:rPr>
                            <w:rFonts w:ascii="Calibri"/>
                            <w:sz w:val="2"/>
                          </w:rPr>
                        </w:pPr>
                      </w:p>
                      <w:p w14:paraId="42070692" w14:textId="77777777" w:rsidR="00F65BCA" w:rsidRDefault="00F65BCA">
                        <w:pPr>
                          <w:pStyle w:val="TableParagraph"/>
                          <w:rPr>
                            <w:rFonts w:ascii="Calibri"/>
                            <w:sz w:val="2"/>
                          </w:rPr>
                        </w:pPr>
                      </w:p>
                      <w:p w14:paraId="2293E5E2" w14:textId="77777777" w:rsidR="00F65BCA" w:rsidRDefault="00F65BCA">
                        <w:pPr>
                          <w:pStyle w:val="TableParagraph"/>
                          <w:rPr>
                            <w:rFonts w:ascii="Calibri"/>
                            <w:sz w:val="2"/>
                          </w:rPr>
                        </w:pPr>
                      </w:p>
                      <w:p w14:paraId="1EE6D696" w14:textId="77777777" w:rsidR="00F65BCA" w:rsidRDefault="00F65BCA">
                        <w:pPr>
                          <w:pStyle w:val="TableParagraph"/>
                          <w:rPr>
                            <w:rFonts w:ascii="Calibri"/>
                            <w:sz w:val="2"/>
                          </w:rPr>
                        </w:pPr>
                      </w:p>
                      <w:p w14:paraId="18C2F6E9" w14:textId="77777777" w:rsidR="00F65BCA" w:rsidRDefault="00216117">
                        <w:pPr>
                          <w:pStyle w:val="TableParagraph"/>
                          <w:spacing w:before="15"/>
                          <w:ind w:left="47"/>
                          <w:rPr>
                            <w:sz w:val="3"/>
                          </w:rPr>
                        </w:pPr>
                        <w:r>
                          <w:rPr>
                            <w:w w:val="105"/>
                            <w:sz w:val="3"/>
                          </w:rPr>
                          <w:t>0,66210177%</w:t>
                        </w:r>
                      </w:p>
                    </w:tc>
                    <w:tc>
                      <w:tcPr>
                        <w:tcW w:w="288" w:type="dxa"/>
                        <w:tcBorders>
                          <w:left w:val="single" w:sz="2" w:space="0" w:color="000000"/>
                          <w:bottom w:val="single" w:sz="2" w:space="0" w:color="000000"/>
                          <w:right w:val="single" w:sz="2" w:space="0" w:color="000000"/>
                        </w:tcBorders>
                      </w:tcPr>
                      <w:p w14:paraId="0A8707E3" w14:textId="77777777" w:rsidR="00F65BCA" w:rsidRDefault="00216117">
                        <w:pPr>
                          <w:pStyle w:val="TableParagraph"/>
                          <w:spacing w:line="43" w:lineRule="exact"/>
                          <w:ind w:left="85"/>
                          <w:rPr>
                            <w:b/>
                            <w:sz w:val="3"/>
                          </w:rPr>
                        </w:pPr>
                        <w:r>
                          <w:rPr>
                            <w:b/>
                            <w:w w:val="105"/>
                            <w:sz w:val="3"/>
                          </w:rPr>
                          <w:t>600-699</w:t>
                        </w:r>
                      </w:p>
                      <w:p w14:paraId="79464EA0" w14:textId="77777777" w:rsidR="00F65BCA" w:rsidRDefault="00F65BCA">
                        <w:pPr>
                          <w:pStyle w:val="TableParagraph"/>
                          <w:rPr>
                            <w:rFonts w:ascii="Calibri"/>
                            <w:sz w:val="2"/>
                          </w:rPr>
                        </w:pPr>
                      </w:p>
                      <w:p w14:paraId="1943550D" w14:textId="77777777" w:rsidR="00F65BCA" w:rsidRDefault="00F65BCA">
                        <w:pPr>
                          <w:pStyle w:val="TableParagraph"/>
                          <w:rPr>
                            <w:rFonts w:ascii="Calibri"/>
                            <w:sz w:val="2"/>
                          </w:rPr>
                        </w:pPr>
                      </w:p>
                      <w:p w14:paraId="47229031" w14:textId="77777777" w:rsidR="00F65BCA" w:rsidRDefault="00F65BCA">
                        <w:pPr>
                          <w:pStyle w:val="TableParagraph"/>
                          <w:rPr>
                            <w:rFonts w:ascii="Calibri"/>
                            <w:sz w:val="2"/>
                          </w:rPr>
                        </w:pPr>
                      </w:p>
                      <w:p w14:paraId="140271AF" w14:textId="77777777" w:rsidR="00F65BCA" w:rsidRDefault="00F65BCA">
                        <w:pPr>
                          <w:pStyle w:val="TableParagraph"/>
                          <w:rPr>
                            <w:rFonts w:ascii="Calibri"/>
                            <w:sz w:val="2"/>
                          </w:rPr>
                        </w:pPr>
                      </w:p>
                      <w:p w14:paraId="3CCFFDCC" w14:textId="77777777" w:rsidR="00F65BCA" w:rsidRDefault="00F65BCA">
                        <w:pPr>
                          <w:pStyle w:val="TableParagraph"/>
                          <w:rPr>
                            <w:rFonts w:ascii="Calibri"/>
                            <w:sz w:val="2"/>
                          </w:rPr>
                        </w:pPr>
                      </w:p>
                      <w:p w14:paraId="12484FEE" w14:textId="77777777" w:rsidR="00F65BCA" w:rsidRDefault="00F65BCA">
                        <w:pPr>
                          <w:pStyle w:val="TableParagraph"/>
                          <w:rPr>
                            <w:rFonts w:ascii="Calibri"/>
                            <w:sz w:val="2"/>
                          </w:rPr>
                        </w:pPr>
                      </w:p>
                      <w:p w14:paraId="7B2F289C" w14:textId="77777777" w:rsidR="00F65BCA" w:rsidRDefault="00F65BCA">
                        <w:pPr>
                          <w:pStyle w:val="TableParagraph"/>
                          <w:rPr>
                            <w:rFonts w:ascii="Calibri"/>
                            <w:sz w:val="2"/>
                          </w:rPr>
                        </w:pPr>
                      </w:p>
                      <w:p w14:paraId="5B35EFFE" w14:textId="77777777" w:rsidR="00F65BCA" w:rsidRDefault="00F65BCA">
                        <w:pPr>
                          <w:pStyle w:val="TableParagraph"/>
                          <w:rPr>
                            <w:rFonts w:ascii="Calibri"/>
                            <w:sz w:val="2"/>
                          </w:rPr>
                        </w:pPr>
                      </w:p>
                      <w:p w14:paraId="3F44BEE9" w14:textId="77777777" w:rsidR="00F65BCA" w:rsidRDefault="00216117">
                        <w:pPr>
                          <w:pStyle w:val="TableParagraph"/>
                          <w:spacing w:before="15"/>
                          <w:ind w:left="47"/>
                          <w:rPr>
                            <w:sz w:val="3"/>
                          </w:rPr>
                        </w:pPr>
                        <w:r>
                          <w:rPr>
                            <w:w w:val="105"/>
                            <w:sz w:val="3"/>
                          </w:rPr>
                          <w:t>0,61202684%</w:t>
                        </w:r>
                      </w:p>
                    </w:tc>
                    <w:tc>
                      <w:tcPr>
                        <w:tcW w:w="288" w:type="dxa"/>
                        <w:tcBorders>
                          <w:left w:val="single" w:sz="2" w:space="0" w:color="000000"/>
                          <w:bottom w:val="single" w:sz="2" w:space="0" w:color="000000"/>
                          <w:right w:val="single" w:sz="2" w:space="0" w:color="000000"/>
                        </w:tcBorders>
                      </w:tcPr>
                      <w:p w14:paraId="4B5CD01A" w14:textId="77777777" w:rsidR="00F65BCA" w:rsidRDefault="00216117">
                        <w:pPr>
                          <w:pStyle w:val="TableParagraph"/>
                          <w:spacing w:line="43" w:lineRule="exact"/>
                          <w:ind w:left="85"/>
                          <w:rPr>
                            <w:b/>
                            <w:sz w:val="3"/>
                          </w:rPr>
                        </w:pPr>
                        <w:r>
                          <w:rPr>
                            <w:b/>
                            <w:w w:val="105"/>
                            <w:sz w:val="3"/>
                          </w:rPr>
                          <w:t>700-799</w:t>
                        </w:r>
                      </w:p>
                      <w:p w14:paraId="42A85F05" w14:textId="77777777" w:rsidR="00F65BCA" w:rsidRDefault="00F65BCA">
                        <w:pPr>
                          <w:pStyle w:val="TableParagraph"/>
                          <w:rPr>
                            <w:rFonts w:ascii="Calibri"/>
                            <w:sz w:val="2"/>
                          </w:rPr>
                        </w:pPr>
                      </w:p>
                      <w:p w14:paraId="50521A08" w14:textId="77777777" w:rsidR="00F65BCA" w:rsidRDefault="00F65BCA">
                        <w:pPr>
                          <w:pStyle w:val="TableParagraph"/>
                          <w:rPr>
                            <w:rFonts w:ascii="Calibri"/>
                            <w:sz w:val="2"/>
                          </w:rPr>
                        </w:pPr>
                      </w:p>
                      <w:p w14:paraId="78BD8F3A" w14:textId="77777777" w:rsidR="00F65BCA" w:rsidRDefault="00F65BCA">
                        <w:pPr>
                          <w:pStyle w:val="TableParagraph"/>
                          <w:rPr>
                            <w:rFonts w:ascii="Calibri"/>
                            <w:sz w:val="2"/>
                          </w:rPr>
                        </w:pPr>
                      </w:p>
                      <w:p w14:paraId="1B2C9A9C" w14:textId="77777777" w:rsidR="00F65BCA" w:rsidRDefault="00F65BCA">
                        <w:pPr>
                          <w:pStyle w:val="TableParagraph"/>
                          <w:rPr>
                            <w:rFonts w:ascii="Calibri"/>
                            <w:sz w:val="2"/>
                          </w:rPr>
                        </w:pPr>
                      </w:p>
                      <w:p w14:paraId="193413F0" w14:textId="77777777" w:rsidR="00F65BCA" w:rsidRDefault="00F65BCA">
                        <w:pPr>
                          <w:pStyle w:val="TableParagraph"/>
                          <w:rPr>
                            <w:rFonts w:ascii="Calibri"/>
                            <w:sz w:val="2"/>
                          </w:rPr>
                        </w:pPr>
                      </w:p>
                      <w:p w14:paraId="7DED99AD" w14:textId="77777777" w:rsidR="00F65BCA" w:rsidRDefault="00F65BCA">
                        <w:pPr>
                          <w:pStyle w:val="TableParagraph"/>
                          <w:rPr>
                            <w:rFonts w:ascii="Calibri"/>
                            <w:sz w:val="2"/>
                          </w:rPr>
                        </w:pPr>
                      </w:p>
                      <w:p w14:paraId="1F2D8A98" w14:textId="77777777" w:rsidR="00F65BCA" w:rsidRDefault="00F65BCA">
                        <w:pPr>
                          <w:pStyle w:val="TableParagraph"/>
                          <w:rPr>
                            <w:rFonts w:ascii="Calibri"/>
                            <w:sz w:val="2"/>
                          </w:rPr>
                        </w:pPr>
                      </w:p>
                      <w:p w14:paraId="312AAFBA" w14:textId="77777777" w:rsidR="00F65BCA" w:rsidRDefault="00F65BCA">
                        <w:pPr>
                          <w:pStyle w:val="TableParagraph"/>
                          <w:rPr>
                            <w:rFonts w:ascii="Calibri"/>
                            <w:sz w:val="2"/>
                          </w:rPr>
                        </w:pPr>
                      </w:p>
                      <w:p w14:paraId="4DA4497D" w14:textId="77777777" w:rsidR="00F65BCA" w:rsidRDefault="00216117">
                        <w:pPr>
                          <w:pStyle w:val="TableParagraph"/>
                          <w:spacing w:before="15"/>
                          <w:ind w:left="47"/>
                          <w:rPr>
                            <w:sz w:val="3"/>
                          </w:rPr>
                        </w:pPr>
                        <w:r>
                          <w:rPr>
                            <w:w w:val="105"/>
                            <w:sz w:val="3"/>
                          </w:rPr>
                          <w:t>0,55638804%</w:t>
                        </w:r>
                      </w:p>
                    </w:tc>
                    <w:tc>
                      <w:tcPr>
                        <w:tcW w:w="288" w:type="dxa"/>
                        <w:tcBorders>
                          <w:left w:val="single" w:sz="2" w:space="0" w:color="000000"/>
                          <w:bottom w:val="single" w:sz="2" w:space="0" w:color="000000"/>
                          <w:right w:val="single" w:sz="2" w:space="0" w:color="000000"/>
                        </w:tcBorders>
                      </w:tcPr>
                      <w:p w14:paraId="32A40EDC" w14:textId="77777777" w:rsidR="00F65BCA" w:rsidRDefault="00216117">
                        <w:pPr>
                          <w:pStyle w:val="TableParagraph"/>
                          <w:spacing w:line="43" w:lineRule="exact"/>
                          <w:ind w:left="86"/>
                          <w:rPr>
                            <w:b/>
                            <w:sz w:val="3"/>
                          </w:rPr>
                        </w:pPr>
                        <w:r>
                          <w:rPr>
                            <w:b/>
                            <w:w w:val="105"/>
                            <w:sz w:val="3"/>
                          </w:rPr>
                          <w:t>800-999</w:t>
                        </w:r>
                      </w:p>
                      <w:p w14:paraId="5ADAEE94" w14:textId="77777777" w:rsidR="00F65BCA" w:rsidRDefault="00F65BCA">
                        <w:pPr>
                          <w:pStyle w:val="TableParagraph"/>
                          <w:rPr>
                            <w:rFonts w:ascii="Calibri"/>
                            <w:sz w:val="2"/>
                          </w:rPr>
                        </w:pPr>
                      </w:p>
                      <w:p w14:paraId="1BFF89BF" w14:textId="77777777" w:rsidR="00F65BCA" w:rsidRDefault="00F65BCA">
                        <w:pPr>
                          <w:pStyle w:val="TableParagraph"/>
                          <w:rPr>
                            <w:rFonts w:ascii="Calibri"/>
                            <w:sz w:val="2"/>
                          </w:rPr>
                        </w:pPr>
                      </w:p>
                      <w:p w14:paraId="35542008" w14:textId="77777777" w:rsidR="00F65BCA" w:rsidRDefault="00F65BCA">
                        <w:pPr>
                          <w:pStyle w:val="TableParagraph"/>
                          <w:rPr>
                            <w:rFonts w:ascii="Calibri"/>
                            <w:sz w:val="2"/>
                          </w:rPr>
                        </w:pPr>
                      </w:p>
                      <w:p w14:paraId="775D9CDC" w14:textId="77777777" w:rsidR="00F65BCA" w:rsidRDefault="00F65BCA">
                        <w:pPr>
                          <w:pStyle w:val="TableParagraph"/>
                          <w:rPr>
                            <w:rFonts w:ascii="Calibri"/>
                            <w:sz w:val="2"/>
                          </w:rPr>
                        </w:pPr>
                      </w:p>
                      <w:p w14:paraId="5D578879" w14:textId="77777777" w:rsidR="00F65BCA" w:rsidRDefault="00F65BCA">
                        <w:pPr>
                          <w:pStyle w:val="TableParagraph"/>
                          <w:rPr>
                            <w:rFonts w:ascii="Calibri"/>
                            <w:sz w:val="2"/>
                          </w:rPr>
                        </w:pPr>
                      </w:p>
                      <w:p w14:paraId="021B812C" w14:textId="77777777" w:rsidR="00F65BCA" w:rsidRDefault="00F65BCA">
                        <w:pPr>
                          <w:pStyle w:val="TableParagraph"/>
                          <w:rPr>
                            <w:rFonts w:ascii="Calibri"/>
                            <w:sz w:val="2"/>
                          </w:rPr>
                        </w:pPr>
                      </w:p>
                      <w:p w14:paraId="74372815" w14:textId="77777777" w:rsidR="00F65BCA" w:rsidRDefault="00F65BCA">
                        <w:pPr>
                          <w:pStyle w:val="TableParagraph"/>
                          <w:rPr>
                            <w:rFonts w:ascii="Calibri"/>
                            <w:sz w:val="2"/>
                          </w:rPr>
                        </w:pPr>
                      </w:p>
                      <w:p w14:paraId="0309A931" w14:textId="77777777" w:rsidR="00F65BCA" w:rsidRDefault="00F65BCA">
                        <w:pPr>
                          <w:pStyle w:val="TableParagraph"/>
                          <w:rPr>
                            <w:rFonts w:ascii="Calibri"/>
                            <w:sz w:val="2"/>
                          </w:rPr>
                        </w:pPr>
                      </w:p>
                      <w:p w14:paraId="24AC7513" w14:textId="77777777" w:rsidR="00F65BCA" w:rsidRDefault="00216117">
                        <w:pPr>
                          <w:pStyle w:val="TableParagraph"/>
                          <w:spacing w:before="15"/>
                          <w:ind w:left="47"/>
                          <w:rPr>
                            <w:sz w:val="3"/>
                          </w:rPr>
                        </w:pPr>
                        <w:r>
                          <w:rPr>
                            <w:w w:val="105"/>
                            <w:sz w:val="3"/>
                          </w:rPr>
                          <w:t>0,55638804%</w:t>
                        </w:r>
                      </w:p>
                    </w:tc>
                    <w:tc>
                      <w:tcPr>
                        <w:tcW w:w="288" w:type="dxa"/>
                        <w:tcBorders>
                          <w:left w:val="single" w:sz="2" w:space="0" w:color="000000"/>
                          <w:bottom w:val="single" w:sz="2" w:space="0" w:color="000000"/>
                          <w:right w:val="single" w:sz="2" w:space="0" w:color="000000"/>
                        </w:tcBorders>
                      </w:tcPr>
                      <w:p w14:paraId="07141D32" w14:textId="77777777" w:rsidR="00F65BCA" w:rsidRDefault="00216117">
                        <w:pPr>
                          <w:pStyle w:val="TableParagraph"/>
                          <w:spacing w:line="43" w:lineRule="exact"/>
                          <w:ind w:left="69"/>
                          <w:rPr>
                            <w:b/>
                            <w:sz w:val="3"/>
                          </w:rPr>
                        </w:pPr>
                        <w:r>
                          <w:rPr>
                            <w:b/>
                            <w:w w:val="105"/>
                            <w:sz w:val="3"/>
                          </w:rPr>
                          <w:t>1000-1499</w:t>
                        </w:r>
                      </w:p>
                      <w:p w14:paraId="29B0AFA1" w14:textId="77777777" w:rsidR="00F65BCA" w:rsidRDefault="00F65BCA">
                        <w:pPr>
                          <w:pStyle w:val="TableParagraph"/>
                          <w:rPr>
                            <w:rFonts w:ascii="Calibri"/>
                            <w:sz w:val="2"/>
                          </w:rPr>
                        </w:pPr>
                      </w:p>
                      <w:p w14:paraId="7A4E6A42" w14:textId="77777777" w:rsidR="00F65BCA" w:rsidRDefault="00F65BCA">
                        <w:pPr>
                          <w:pStyle w:val="TableParagraph"/>
                          <w:rPr>
                            <w:rFonts w:ascii="Calibri"/>
                            <w:sz w:val="2"/>
                          </w:rPr>
                        </w:pPr>
                      </w:p>
                      <w:p w14:paraId="2D4F5DB7" w14:textId="77777777" w:rsidR="00F65BCA" w:rsidRDefault="00F65BCA">
                        <w:pPr>
                          <w:pStyle w:val="TableParagraph"/>
                          <w:rPr>
                            <w:rFonts w:ascii="Calibri"/>
                            <w:sz w:val="2"/>
                          </w:rPr>
                        </w:pPr>
                      </w:p>
                      <w:p w14:paraId="58CAF325" w14:textId="77777777" w:rsidR="00F65BCA" w:rsidRDefault="00F65BCA">
                        <w:pPr>
                          <w:pStyle w:val="TableParagraph"/>
                          <w:rPr>
                            <w:rFonts w:ascii="Calibri"/>
                            <w:sz w:val="2"/>
                          </w:rPr>
                        </w:pPr>
                      </w:p>
                      <w:p w14:paraId="7CDEBF16" w14:textId="77777777" w:rsidR="00F65BCA" w:rsidRDefault="00F65BCA">
                        <w:pPr>
                          <w:pStyle w:val="TableParagraph"/>
                          <w:rPr>
                            <w:rFonts w:ascii="Calibri"/>
                            <w:sz w:val="2"/>
                          </w:rPr>
                        </w:pPr>
                      </w:p>
                      <w:p w14:paraId="0855975F" w14:textId="77777777" w:rsidR="00F65BCA" w:rsidRDefault="00F65BCA">
                        <w:pPr>
                          <w:pStyle w:val="TableParagraph"/>
                          <w:rPr>
                            <w:rFonts w:ascii="Calibri"/>
                            <w:sz w:val="2"/>
                          </w:rPr>
                        </w:pPr>
                      </w:p>
                      <w:p w14:paraId="569CCC09" w14:textId="77777777" w:rsidR="00F65BCA" w:rsidRDefault="00F65BCA">
                        <w:pPr>
                          <w:pStyle w:val="TableParagraph"/>
                          <w:rPr>
                            <w:rFonts w:ascii="Calibri"/>
                            <w:sz w:val="2"/>
                          </w:rPr>
                        </w:pPr>
                      </w:p>
                      <w:p w14:paraId="584C5BC5" w14:textId="77777777" w:rsidR="00F65BCA" w:rsidRDefault="00F65BCA">
                        <w:pPr>
                          <w:pStyle w:val="TableParagraph"/>
                          <w:rPr>
                            <w:rFonts w:ascii="Calibri"/>
                            <w:sz w:val="2"/>
                          </w:rPr>
                        </w:pPr>
                      </w:p>
                      <w:p w14:paraId="046980FE" w14:textId="77777777" w:rsidR="00F65BCA" w:rsidRDefault="00216117">
                        <w:pPr>
                          <w:pStyle w:val="TableParagraph"/>
                          <w:spacing w:before="15"/>
                          <w:ind w:left="47"/>
                          <w:rPr>
                            <w:sz w:val="3"/>
                          </w:rPr>
                        </w:pPr>
                        <w:r>
                          <w:rPr>
                            <w:w w:val="105"/>
                            <w:sz w:val="3"/>
                          </w:rPr>
                          <w:t>0,66766565%</w:t>
                        </w:r>
                      </w:p>
                    </w:tc>
                    <w:tc>
                      <w:tcPr>
                        <w:tcW w:w="288" w:type="dxa"/>
                        <w:tcBorders>
                          <w:left w:val="single" w:sz="2" w:space="0" w:color="000000"/>
                          <w:bottom w:val="single" w:sz="2" w:space="0" w:color="000000"/>
                          <w:right w:val="single" w:sz="2" w:space="0" w:color="000000"/>
                        </w:tcBorders>
                      </w:tcPr>
                      <w:p w14:paraId="5E863D61" w14:textId="77777777" w:rsidR="00F65BCA" w:rsidRDefault="00216117">
                        <w:pPr>
                          <w:pStyle w:val="TableParagraph"/>
                          <w:spacing w:line="43" w:lineRule="exact"/>
                          <w:ind w:left="69"/>
                          <w:rPr>
                            <w:b/>
                            <w:sz w:val="3"/>
                          </w:rPr>
                        </w:pPr>
                        <w:r>
                          <w:rPr>
                            <w:b/>
                            <w:w w:val="105"/>
                            <w:sz w:val="3"/>
                          </w:rPr>
                          <w:t>1500-1999</w:t>
                        </w:r>
                      </w:p>
                      <w:p w14:paraId="5EED996A" w14:textId="77777777" w:rsidR="00F65BCA" w:rsidRDefault="00F65BCA">
                        <w:pPr>
                          <w:pStyle w:val="TableParagraph"/>
                          <w:rPr>
                            <w:rFonts w:ascii="Calibri"/>
                            <w:sz w:val="2"/>
                          </w:rPr>
                        </w:pPr>
                      </w:p>
                      <w:p w14:paraId="5C2355EB" w14:textId="77777777" w:rsidR="00F65BCA" w:rsidRDefault="00F65BCA">
                        <w:pPr>
                          <w:pStyle w:val="TableParagraph"/>
                          <w:rPr>
                            <w:rFonts w:ascii="Calibri"/>
                            <w:sz w:val="2"/>
                          </w:rPr>
                        </w:pPr>
                      </w:p>
                      <w:p w14:paraId="52A3ED1D" w14:textId="77777777" w:rsidR="00F65BCA" w:rsidRDefault="00F65BCA">
                        <w:pPr>
                          <w:pStyle w:val="TableParagraph"/>
                          <w:rPr>
                            <w:rFonts w:ascii="Calibri"/>
                            <w:sz w:val="2"/>
                          </w:rPr>
                        </w:pPr>
                      </w:p>
                      <w:p w14:paraId="75CC5C15" w14:textId="77777777" w:rsidR="00F65BCA" w:rsidRDefault="00F65BCA">
                        <w:pPr>
                          <w:pStyle w:val="TableParagraph"/>
                          <w:rPr>
                            <w:rFonts w:ascii="Calibri"/>
                            <w:sz w:val="2"/>
                          </w:rPr>
                        </w:pPr>
                      </w:p>
                      <w:p w14:paraId="3BF576B5" w14:textId="77777777" w:rsidR="00F65BCA" w:rsidRDefault="00F65BCA">
                        <w:pPr>
                          <w:pStyle w:val="TableParagraph"/>
                          <w:rPr>
                            <w:rFonts w:ascii="Calibri"/>
                            <w:sz w:val="2"/>
                          </w:rPr>
                        </w:pPr>
                      </w:p>
                      <w:p w14:paraId="52D7D8F1" w14:textId="77777777" w:rsidR="00F65BCA" w:rsidRDefault="00F65BCA">
                        <w:pPr>
                          <w:pStyle w:val="TableParagraph"/>
                          <w:rPr>
                            <w:rFonts w:ascii="Calibri"/>
                            <w:sz w:val="2"/>
                          </w:rPr>
                        </w:pPr>
                      </w:p>
                      <w:p w14:paraId="3DAA7190" w14:textId="77777777" w:rsidR="00F65BCA" w:rsidRDefault="00F65BCA">
                        <w:pPr>
                          <w:pStyle w:val="TableParagraph"/>
                          <w:rPr>
                            <w:rFonts w:ascii="Calibri"/>
                            <w:sz w:val="2"/>
                          </w:rPr>
                        </w:pPr>
                      </w:p>
                      <w:p w14:paraId="4ED37D40" w14:textId="77777777" w:rsidR="00F65BCA" w:rsidRDefault="00F65BCA">
                        <w:pPr>
                          <w:pStyle w:val="TableParagraph"/>
                          <w:rPr>
                            <w:rFonts w:ascii="Calibri"/>
                            <w:sz w:val="2"/>
                          </w:rPr>
                        </w:pPr>
                      </w:p>
                      <w:p w14:paraId="2278D539" w14:textId="77777777" w:rsidR="00F65BCA" w:rsidRDefault="00216117">
                        <w:pPr>
                          <w:pStyle w:val="TableParagraph"/>
                          <w:spacing w:before="15"/>
                          <w:ind w:left="47"/>
                          <w:rPr>
                            <w:sz w:val="3"/>
                          </w:rPr>
                        </w:pPr>
                        <w:r>
                          <w:rPr>
                            <w:w w:val="105"/>
                            <w:sz w:val="3"/>
                          </w:rPr>
                          <w:t>0,75112385%</w:t>
                        </w:r>
                      </w:p>
                    </w:tc>
                    <w:tc>
                      <w:tcPr>
                        <w:tcW w:w="288" w:type="dxa"/>
                        <w:tcBorders>
                          <w:left w:val="single" w:sz="2" w:space="0" w:color="000000"/>
                          <w:bottom w:val="single" w:sz="2" w:space="0" w:color="000000"/>
                          <w:right w:val="single" w:sz="2" w:space="0" w:color="000000"/>
                        </w:tcBorders>
                      </w:tcPr>
                      <w:p w14:paraId="10989E70" w14:textId="77777777" w:rsidR="00F65BCA" w:rsidRDefault="00216117">
                        <w:pPr>
                          <w:pStyle w:val="TableParagraph"/>
                          <w:spacing w:line="43" w:lineRule="exact"/>
                          <w:ind w:left="69"/>
                          <w:rPr>
                            <w:b/>
                            <w:sz w:val="3"/>
                          </w:rPr>
                        </w:pPr>
                        <w:r>
                          <w:rPr>
                            <w:b/>
                            <w:w w:val="105"/>
                            <w:sz w:val="3"/>
                          </w:rPr>
                          <w:t>2000-2499</w:t>
                        </w:r>
                      </w:p>
                      <w:p w14:paraId="4A02E10A" w14:textId="77777777" w:rsidR="00F65BCA" w:rsidRDefault="00F65BCA">
                        <w:pPr>
                          <w:pStyle w:val="TableParagraph"/>
                          <w:rPr>
                            <w:rFonts w:ascii="Calibri"/>
                            <w:sz w:val="2"/>
                          </w:rPr>
                        </w:pPr>
                      </w:p>
                      <w:p w14:paraId="6B8018DE" w14:textId="77777777" w:rsidR="00F65BCA" w:rsidRDefault="00F65BCA">
                        <w:pPr>
                          <w:pStyle w:val="TableParagraph"/>
                          <w:rPr>
                            <w:rFonts w:ascii="Calibri"/>
                            <w:sz w:val="2"/>
                          </w:rPr>
                        </w:pPr>
                      </w:p>
                      <w:p w14:paraId="2C46ED7E" w14:textId="77777777" w:rsidR="00F65BCA" w:rsidRDefault="00F65BCA">
                        <w:pPr>
                          <w:pStyle w:val="TableParagraph"/>
                          <w:rPr>
                            <w:rFonts w:ascii="Calibri"/>
                            <w:sz w:val="2"/>
                          </w:rPr>
                        </w:pPr>
                      </w:p>
                      <w:p w14:paraId="3811C388" w14:textId="77777777" w:rsidR="00F65BCA" w:rsidRDefault="00F65BCA">
                        <w:pPr>
                          <w:pStyle w:val="TableParagraph"/>
                          <w:rPr>
                            <w:rFonts w:ascii="Calibri"/>
                            <w:sz w:val="2"/>
                          </w:rPr>
                        </w:pPr>
                      </w:p>
                      <w:p w14:paraId="1C86FA32" w14:textId="77777777" w:rsidR="00F65BCA" w:rsidRDefault="00F65BCA">
                        <w:pPr>
                          <w:pStyle w:val="TableParagraph"/>
                          <w:rPr>
                            <w:rFonts w:ascii="Calibri"/>
                            <w:sz w:val="2"/>
                          </w:rPr>
                        </w:pPr>
                      </w:p>
                      <w:p w14:paraId="01391614" w14:textId="77777777" w:rsidR="00F65BCA" w:rsidRDefault="00F65BCA">
                        <w:pPr>
                          <w:pStyle w:val="TableParagraph"/>
                          <w:rPr>
                            <w:rFonts w:ascii="Calibri"/>
                            <w:sz w:val="2"/>
                          </w:rPr>
                        </w:pPr>
                      </w:p>
                      <w:p w14:paraId="06109C71" w14:textId="77777777" w:rsidR="00F65BCA" w:rsidRDefault="00F65BCA">
                        <w:pPr>
                          <w:pStyle w:val="TableParagraph"/>
                          <w:rPr>
                            <w:rFonts w:ascii="Calibri"/>
                            <w:sz w:val="2"/>
                          </w:rPr>
                        </w:pPr>
                      </w:p>
                      <w:p w14:paraId="464E3DBE" w14:textId="77777777" w:rsidR="00F65BCA" w:rsidRDefault="00F65BCA">
                        <w:pPr>
                          <w:pStyle w:val="TableParagraph"/>
                          <w:rPr>
                            <w:rFonts w:ascii="Calibri"/>
                            <w:sz w:val="2"/>
                          </w:rPr>
                        </w:pPr>
                      </w:p>
                      <w:p w14:paraId="42A38B2E" w14:textId="77777777" w:rsidR="00F65BCA" w:rsidRDefault="00216117">
                        <w:pPr>
                          <w:pStyle w:val="TableParagraph"/>
                          <w:spacing w:before="15"/>
                          <w:ind w:left="47"/>
                          <w:rPr>
                            <w:sz w:val="3"/>
                          </w:rPr>
                        </w:pPr>
                        <w:r>
                          <w:rPr>
                            <w:w w:val="105"/>
                            <w:sz w:val="3"/>
                          </w:rPr>
                          <w:t>0,75112385%</w:t>
                        </w:r>
                      </w:p>
                    </w:tc>
                    <w:tc>
                      <w:tcPr>
                        <w:tcW w:w="288" w:type="dxa"/>
                        <w:tcBorders>
                          <w:left w:val="single" w:sz="2" w:space="0" w:color="000000"/>
                          <w:bottom w:val="single" w:sz="2" w:space="0" w:color="000000"/>
                          <w:right w:val="single" w:sz="2" w:space="0" w:color="000000"/>
                        </w:tcBorders>
                      </w:tcPr>
                      <w:p w14:paraId="171F468B" w14:textId="77777777" w:rsidR="00F65BCA" w:rsidRDefault="00216117">
                        <w:pPr>
                          <w:pStyle w:val="TableParagraph"/>
                          <w:spacing w:line="43" w:lineRule="exact"/>
                          <w:ind w:left="88"/>
                          <w:rPr>
                            <w:b/>
                            <w:sz w:val="3"/>
                          </w:rPr>
                        </w:pPr>
                        <w:r>
                          <w:rPr>
                            <w:b/>
                            <w:w w:val="105"/>
                            <w:sz w:val="3"/>
                          </w:rPr>
                          <w:t>&gt;=2500</w:t>
                        </w:r>
                      </w:p>
                      <w:p w14:paraId="25E20C61" w14:textId="77777777" w:rsidR="00F65BCA" w:rsidRDefault="00F65BCA">
                        <w:pPr>
                          <w:pStyle w:val="TableParagraph"/>
                          <w:rPr>
                            <w:rFonts w:ascii="Calibri"/>
                            <w:sz w:val="2"/>
                          </w:rPr>
                        </w:pPr>
                      </w:p>
                      <w:p w14:paraId="6C019C75" w14:textId="77777777" w:rsidR="00F65BCA" w:rsidRDefault="00F65BCA">
                        <w:pPr>
                          <w:pStyle w:val="TableParagraph"/>
                          <w:rPr>
                            <w:rFonts w:ascii="Calibri"/>
                            <w:sz w:val="2"/>
                          </w:rPr>
                        </w:pPr>
                      </w:p>
                      <w:p w14:paraId="14DC2FB0" w14:textId="77777777" w:rsidR="00F65BCA" w:rsidRDefault="00F65BCA">
                        <w:pPr>
                          <w:pStyle w:val="TableParagraph"/>
                          <w:rPr>
                            <w:rFonts w:ascii="Calibri"/>
                            <w:sz w:val="2"/>
                          </w:rPr>
                        </w:pPr>
                      </w:p>
                      <w:p w14:paraId="5E1E3E17" w14:textId="77777777" w:rsidR="00F65BCA" w:rsidRDefault="00F65BCA">
                        <w:pPr>
                          <w:pStyle w:val="TableParagraph"/>
                          <w:rPr>
                            <w:rFonts w:ascii="Calibri"/>
                            <w:sz w:val="2"/>
                          </w:rPr>
                        </w:pPr>
                      </w:p>
                      <w:p w14:paraId="4940D950" w14:textId="77777777" w:rsidR="00F65BCA" w:rsidRDefault="00F65BCA">
                        <w:pPr>
                          <w:pStyle w:val="TableParagraph"/>
                          <w:rPr>
                            <w:rFonts w:ascii="Calibri"/>
                            <w:sz w:val="2"/>
                          </w:rPr>
                        </w:pPr>
                      </w:p>
                      <w:p w14:paraId="57DDAD8C" w14:textId="77777777" w:rsidR="00F65BCA" w:rsidRDefault="00F65BCA">
                        <w:pPr>
                          <w:pStyle w:val="TableParagraph"/>
                          <w:rPr>
                            <w:rFonts w:ascii="Calibri"/>
                            <w:sz w:val="2"/>
                          </w:rPr>
                        </w:pPr>
                      </w:p>
                      <w:p w14:paraId="6E57CBBE" w14:textId="77777777" w:rsidR="00F65BCA" w:rsidRDefault="00F65BCA">
                        <w:pPr>
                          <w:pStyle w:val="TableParagraph"/>
                          <w:rPr>
                            <w:rFonts w:ascii="Calibri"/>
                            <w:sz w:val="2"/>
                          </w:rPr>
                        </w:pPr>
                      </w:p>
                      <w:p w14:paraId="393029D7" w14:textId="77777777" w:rsidR="00F65BCA" w:rsidRDefault="00F65BCA">
                        <w:pPr>
                          <w:pStyle w:val="TableParagraph"/>
                          <w:rPr>
                            <w:rFonts w:ascii="Calibri"/>
                            <w:sz w:val="2"/>
                          </w:rPr>
                        </w:pPr>
                      </w:p>
                      <w:p w14:paraId="07C1F3A7" w14:textId="77777777" w:rsidR="00F65BCA" w:rsidRDefault="00216117">
                        <w:pPr>
                          <w:pStyle w:val="TableParagraph"/>
                          <w:spacing w:before="15"/>
                          <w:ind w:left="47"/>
                          <w:rPr>
                            <w:sz w:val="3"/>
                          </w:rPr>
                        </w:pPr>
                        <w:r>
                          <w:rPr>
                            <w:w w:val="105"/>
                            <w:sz w:val="3"/>
                          </w:rPr>
                          <w:t>0,83458206%</w:t>
                        </w:r>
                      </w:p>
                    </w:tc>
                  </w:tr>
                  <w:tr w:rsidR="00F65BCA" w14:paraId="5D404C2F" w14:textId="77777777">
                    <w:trPr>
                      <w:trHeight w:val="112"/>
                    </w:trPr>
                    <w:tc>
                      <w:tcPr>
                        <w:tcW w:w="526" w:type="dxa"/>
                        <w:vMerge/>
                        <w:tcBorders>
                          <w:top w:val="nil"/>
                          <w:left w:val="single" w:sz="2" w:space="0" w:color="000000"/>
                          <w:bottom w:val="single" w:sz="2" w:space="0" w:color="000000"/>
                          <w:right w:val="single" w:sz="2" w:space="0" w:color="000000"/>
                        </w:tcBorders>
                        <w:shd w:val="clear" w:color="auto" w:fill="FCE4D6"/>
                      </w:tcPr>
                      <w:p w14:paraId="24E3E7B2"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63C5567"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63A54408"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62FCB29" w14:textId="77777777" w:rsidR="00F65BCA" w:rsidRDefault="00F65BCA">
                        <w:pPr>
                          <w:pStyle w:val="TableParagraph"/>
                          <w:rPr>
                            <w:rFonts w:ascii="Calibri"/>
                            <w:sz w:val="2"/>
                          </w:rPr>
                        </w:pPr>
                      </w:p>
                      <w:p w14:paraId="0291BF16" w14:textId="77777777" w:rsidR="00F65BCA" w:rsidRDefault="00216117">
                        <w:pPr>
                          <w:pStyle w:val="TableParagraph"/>
                          <w:spacing w:before="15"/>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C5C64A4" w14:textId="77777777" w:rsidR="00F65BCA" w:rsidRDefault="00F65BCA">
                        <w:pPr>
                          <w:pStyle w:val="TableParagraph"/>
                          <w:rPr>
                            <w:rFonts w:ascii="Calibri"/>
                            <w:sz w:val="2"/>
                          </w:rPr>
                        </w:pPr>
                      </w:p>
                      <w:p w14:paraId="6F8DC384" w14:textId="77777777" w:rsidR="00F65BCA" w:rsidRDefault="00216117">
                        <w:pPr>
                          <w:pStyle w:val="TableParagraph"/>
                          <w:spacing w:before="15"/>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2C928AED"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0CE87633" w14:textId="77777777" w:rsidR="00F65BCA" w:rsidRDefault="00F65BCA">
                        <w:pPr>
                          <w:pStyle w:val="TableParagraph"/>
                          <w:rPr>
                            <w:rFonts w:ascii="Calibri"/>
                            <w:sz w:val="2"/>
                          </w:rPr>
                        </w:pPr>
                      </w:p>
                      <w:p w14:paraId="4D0B3CAC" w14:textId="77777777" w:rsidR="00F65BCA" w:rsidRDefault="00216117">
                        <w:pPr>
                          <w:pStyle w:val="TableParagraph"/>
                          <w:spacing w:before="15"/>
                          <w:ind w:left="24" w:right="24"/>
                          <w:jc w:val="center"/>
                          <w:rPr>
                            <w:sz w:val="3"/>
                          </w:rPr>
                        </w:pPr>
                        <w:r>
                          <w:rPr>
                            <w:w w:val="105"/>
                            <w:sz w:val="3"/>
                          </w:rPr>
                          <w:t>1,07538680%</w:t>
                        </w:r>
                      </w:p>
                    </w:tc>
                    <w:tc>
                      <w:tcPr>
                        <w:tcW w:w="288" w:type="dxa"/>
                        <w:tcBorders>
                          <w:top w:val="single" w:sz="2" w:space="0" w:color="000000"/>
                          <w:left w:val="single" w:sz="2" w:space="0" w:color="000000"/>
                          <w:bottom w:val="single" w:sz="2" w:space="0" w:color="000000"/>
                          <w:right w:val="single" w:sz="2" w:space="0" w:color="000000"/>
                        </w:tcBorders>
                      </w:tcPr>
                      <w:p w14:paraId="43236A86" w14:textId="77777777" w:rsidR="00F65BCA" w:rsidRDefault="00F65BCA">
                        <w:pPr>
                          <w:pStyle w:val="TableParagraph"/>
                          <w:rPr>
                            <w:rFonts w:ascii="Calibri"/>
                            <w:sz w:val="2"/>
                          </w:rPr>
                        </w:pPr>
                      </w:p>
                      <w:p w14:paraId="40BA80EE" w14:textId="77777777" w:rsidR="00F65BCA" w:rsidRDefault="00216117">
                        <w:pPr>
                          <w:pStyle w:val="TableParagraph"/>
                          <w:spacing w:before="15"/>
                          <w:ind w:left="24" w:right="24"/>
                          <w:jc w:val="center"/>
                          <w:rPr>
                            <w:sz w:val="3"/>
                          </w:rPr>
                        </w:pPr>
                        <w:r>
                          <w:rPr>
                            <w:w w:val="105"/>
                            <w:sz w:val="3"/>
                          </w:rPr>
                          <w:t>1,00817513%</w:t>
                        </w:r>
                      </w:p>
                    </w:tc>
                    <w:tc>
                      <w:tcPr>
                        <w:tcW w:w="288" w:type="dxa"/>
                        <w:tcBorders>
                          <w:top w:val="single" w:sz="2" w:space="0" w:color="000000"/>
                          <w:left w:val="single" w:sz="2" w:space="0" w:color="000000"/>
                          <w:bottom w:val="single" w:sz="2" w:space="0" w:color="000000"/>
                          <w:right w:val="single" w:sz="2" w:space="0" w:color="000000"/>
                        </w:tcBorders>
                      </w:tcPr>
                      <w:p w14:paraId="4DF0F3AA" w14:textId="77777777" w:rsidR="00F65BCA" w:rsidRDefault="00F65BCA">
                        <w:pPr>
                          <w:pStyle w:val="TableParagraph"/>
                          <w:rPr>
                            <w:rFonts w:ascii="Calibri"/>
                            <w:sz w:val="2"/>
                          </w:rPr>
                        </w:pPr>
                      </w:p>
                      <w:p w14:paraId="2FC0AC5B" w14:textId="77777777" w:rsidR="00F65BCA" w:rsidRDefault="00216117">
                        <w:pPr>
                          <w:pStyle w:val="TableParagraph"/>
                          <w:spacing w:before="15"/>
                          <w:ind w:left="24" w:right="24"/>
                          <w:jc w:val="center"/>
                          <w:rPr>
                            <w:sz w:val="3"/>
                          </w:rPr>
                        </w:pPr>
                        <w:r>
                          <w:rPr>
                            <w:w w:val="105"/>
                            <w:sz w:val="3"/>
                          </w:rPr>
                          <w:t>0,96112696%</w:t>
                        </w:r>
                      </w:p>
                    </w:tc>
                    <w:tc>
                      <w:tcPr>
                        <w:tcW w:w="288" w:type="dxa"/>
                        <w:tcBorders>
                          <w:top w:val="single" w:sz="2" w:space="0" w:color="000000"/>
                          <w:left w:val="single" w:sz="2" w:space="0" w:color="000000"/>
                          <w:bottom w:val="single" w:sz="2" w:space="0" w:color="000000"/>
                          <w:right w:val="single" w:sz="2" w:space="0" w:color="000000"/>
                        </w:tcBorders>
                      </w:tcPr>
                      <w:p w14:paraId="0DA0F29B" w14:textId="77777777" w:rsidR="00F65BCA" w:rsidRDefault="00F65BCA">
                        <w:pPr>
                          <w:pStyle w:val="TableParagraph"/>
                          <w:rPr>
                            <w:rFonts w:ascii="Calibri"/>
                            <w:sz w:val="2"/>
                          </w:rPr>
                        </w:pPr>
                      </w:p>
                      <w:p w14:paraId="7287EC16" w14:textId="77777777" w:rsidR="00F65BCA" w:rsidRDefault="00216117">
                        <w:pPr>
                          <w:pStyle w:val="TableParagraph"/>
                          <w:spacing w:before="15"/>
                          <w:ind w:left="24" w:right="24"/>
                          <w:jc w:val="center"/>
                          <w:rPr>
                            <w:sz w:val="3"/>
                          </w:rPr>
                        </w:pPr>
                        <w:r>
                          <w:rPr>
                            <w:w w:val="105"/>
                            <w:sz w:val="3"/>
                          </w:rPr>
                          <w:t>0,90735762%</w:t>
                        </w:r>
                      </w:p>
                    </w:tc>
                    <w:tc>
                      <w:tcPr>
                        <w:tcW w:w="288" w:type="dxa"/>
                        <w:tcBorders>
                          <w:top w:val="single" w:sz="2" w:space="0" w:color="000000"/>
                          <w:left w:val="single" w:sz="2" w:space="0" w:color="000000"/>
                          <w:bottom w:val="single" w:sz="2" w:space="0" w:color="000000"/>
                          <w:right w:val="single" w:sz="2" w:space="0" w:color="000000"/>
                        </w:tcBorders>
                      </w:tcPr>
                      <w:p w14:paraId="637908A4" w14:textId="77777777" w:rsidR="00F65BCA" w:rsidRDefault="00F65BCA">
                        <w:pPr>
                          <w:pStyle w:val="TableParagraph"/>
                          <w:rPr>
                            <w:rFonts w:ascii="Calibri"/>
                            <w:sz w:val="2"/>
                          </w:rPr>
                        </w:pPr>
                      </w:p>
                      <w:p w14:paraId="354D7723" w14:textId="77777777" w:rsidR="00F65BCA" w:rsidRDefault="00216117">
                        <w:pPr>
                          <w:pStyle w:val="TableParagraph"/>
                          <w:spacing w:before="15"/>
                          <w:ind w:left="24" w:right="24"/>
                          <w:jc w:val="center"/>
                          <w:rPr>
                            <w:sz w:val="3"/>
                          </w:rPr>
                        </w:pPr>
                        <w:r>
                          <w:rPr>
                            <w:w w:val="105"/>
                            <w:sz w:val="3"/>
                          </w:rPr>
                          <w:t>0,86030944%</w:t>
                        </w:r>
                      </w:p>
                    </w:tc>
                    <w:tc>
                      <w:tcPr>
                        <w:tcW w:w="288" w:type="dxa"/>
                        <w:tcBorders>
                          <w:top w:val="single" w:sz="2" w:space="0" w:color="000000"/>
                          <w:left w:val="single" w:sz="2" w:space="0" w:color="000000"/>
                          <w:bottom w:val="single" w:sz="2" w:space="0" w:color="000000"/>
                          <w:right w:val="single" w:sz="2" w:space="0" w:color="000000"/>
                        </w:tcBorders>
                      </w:tcPr>
                      <w:p w14:paraId="77E04158" w14:textId="77777777" w:rsidR="00F65BCA" w:rsidRDefault="00F65BCA">
                        <w:pPr>
                          <w:pStyle w:val="TableParagraph"/>
                          <w:rPr>
                            <w:rFonts w:ascii="Calibri"/>
                            <w:sz w:val="2"/>
                          </w:rPr>
                        </w:pPr>
                      </w:p>
                      <w:p w14:paraId="7137BFAE" w14:textId="77777777" w:rsidR="00F65BCA" w:rsidRDefault="00216117">
                        <w:pPr>
                          <w:pStyle w:val="TableParagraph"/>
                          <w:spacing w:before="15"/>
                          <w:ind w:left="24" w:right="24"/>
                          <w:jc w:val="center"/>
                          <w:rPr>
                            <w:sz w:val="3"/>
                          </w:rPr>
                        </w:pPr>
                        <w:r>
                          <w:rPr>
                            <w:w w:val="105"/>
                            <w:sz w:val="3"/>
                          </w:rPr>
                          <w:t>0,79981894%</w:t>
                        </w:r>
                      </w:p>
                    </w:tc>
                    <w:tc>
                      <w:tcPr>
                        <w:tcW w:w="288" w:type="dxa"/>
                        <w:tcBorders>
                          <w:top w:val="single" w:sz="2" w:space="0" w:color="000000"/>
                          <w:left w:val="single" w:sz="2" w:space="0" w:color="000000"/>
                          <w:bottom w:val="single" w:sz="2" w:space="0" w:color="000000"/>
                          <w:right w:val="single" w:sz="2" w:space="0" w:color="000000"/>
                        </w:tcBorders>
                      </w:tcPr>
                      <w:p w14:paraId="02C17A04" w14:textId="77777777" w:rsidR="00F65BCA" w:rsidRDefault="00F65BCA">
                        <w:pPr>
                          <w:pStyle w:val="TableParagraph"/>
                          <w:rPr>
                            <w:rFonts w:ascii="Calibri"/>
                            <w:sz w:val="2"/>
                          </w:rPr>
                        </w:pPr>
                      </w:p>
                      <w:p w14:paraId="53728C0C" w14:textId="77777777" w:rsidR="00F65BCA" w:rsidRDefault="00216117">
                        <w:pPr>
                          <w:pStyle w:val="TableParagraph"/>
                          <w:spacing w:before="15"/>
                          <w:ind w:left="24" w:right="24"/>
                          <w:jc w:val="center"/>
                          <w:rPr>
                            <w:sz w:val="3"/>
                          </w:rPr>
                        </w:pPr>
                        <w:r>
                          <w:rPr>
                            <w:w w:val="105"/>
                            <w:sz w:val="3"/>
                          </w:rPr>
                          <w:t>0,73932843%</w:t>
                        </w:r>
                      </w:p>
                    </w:tc>
                    <w:tc>
                      <w:tcPr>
                        <w:tcW w:w="288" w:type="dxa"/>
                        <w:tcBorders>
                          <w:top w:val="single" w:sz="2" w:space="0" w:color="000000"/>
                          <w:left w:val="single" w:sz="2" w:space="0" w:color="000000"/>
                          <w:bottom w:val="single" w:sz="2" w:space="0" w:color="000000"/>
                          <w:right w:val="single" w:sz="2" w:space="0" w:color="000000"/>
                        </w:tcBorders>
                      </w:tcPr>
                      <w:p w14:paraId="6C7382B9" w14:textId="77777777" w:rsidR="00F65BCA" w:rsidRDefault="00F65BCA">
                        <w:pPr>
                          <w:pStyle w:val="TableParagraph"/>
                          <w:rPr>
                            <w:rFonts w:ascii="Calibri"/>
                            <w:sz w:val="2"/>
                          </w:rPr>
                        </w:pPr>
                      </w:p>
                      <w:p w14:paraId="266AE64C" w14:textId="77777777" w:rsidR="00F65BCA" w:rsidRDefault="00216117">
                        <w:pPr>
                          <w:pStyle w:val="TableParagraph"/>
                          <w:spacing w:before="15"/>
                          <w:ind w:left="24" w:right="24"/>
                          <w:jc w:val="center"/>
                          <w:rPr>
                            <w:sz w:val="3"/>
                          </w:rPr>
                        </w:pPr>
                        <w:r>
                          <w:rPr>
                            <w:w w:val="105"/>
                            <w:sz w:val="3"/>
                          </w:rPr>
                          <w:t>0,67211675%</w:t>
                        </w:r>
                      </w:p>
                    </w:tc>
                    <w:tc>
                      <w:tcPr>
                        <w:tcW w:w="288" w:type="dxa"/>
                        <w:tcBorders>
                          <w:top w:val="single" w:sz="2" w:space="0" w:color="000000"/>
                          <w:left w:val="single" w:sz="2" w:space="0" w:color="000000"/>
                          <w:bottom w:val="single" w:sz="2" w:space="0" w:color="000000"/>
                          <w:right w:val="single" w:sz="2" w:space="0" w:color="000000"/>
                        </w:tcBorders>
                      </w:tcPr>
                      <w:p w14:paraId="6E11CB72" w14:textId="77777777" w:rsidR="00F65BCA" w:rsidRDefault="00F65BCA">
                        <w:pPr>
                          <w:pStyle w:val="TableParagraph"/>
                          <w:rPr>
                            <w:rFonts w:ascii="Calibri"/>
                            <w:sz w:val="2"/>
                          </w:rPr>
                        </w:pPr>
                      </w:p>
                      <w:p w14:paraId="3BB6CC73" w14:textId="77777777" w:rsidR="00F65BCA" w:rsidRDefault="00216117">
                        <w:pPr>
                          <w:pStyle w:val="TableParagraph"/>
                          <w:spacing w:before="15"/>
                          <w:ind w:left="24" w:right="24"/>
                          <w:jc w:val="center"/>
                          <w:rPr>
                            <w:sz w:val="3"/>
                          </w:rPr>
                        </w:pPr>
                        <w:r>
                          <w:rPr>
                            <w:w w:val="105"/>
                            <w:sz w:val="3"/>
                          </w:rPr>
                          <w:t>0,67211675%</w:t>
                        </w:r>
                      </w:p>
                    </w:tc>
                    <w:tc>
                      <w:tcPr>
                        <w:tcW w:w="288" w:type="dxa"/>
                        <w:tcBorders>
                          <w:top w:val="single" w:sz="2" w:space="0" w:color="000000"/>
                          <w:left w:val="single" w:sz="2" w:space="0" w:color="000000"/>
                          <w:bottom w:val="single" w:sz="2" w:space="0" w:color="000000"/>
                          <w:right w:val="single" w:sz="2" w:space="0" w:color="000000"/>
                        </w:tcBorders>
                      </w:tcPr>
                      <w:p w14:paraId="6ECE3150" w14:textId="77777777" w:rsidR="00F65BCA" w:rsidRDefault="00F65BCA">
                        <w:pPr>
                          <w:pStyle w:val="TableParagraph"/>
                          <w:rPr>
                            <w:rFonts w:ascii="Calibri"/>
                            <w:sz w:val="2"/>
                          </w:rPr>
                        </w:pPr>
                      </w:p>
                      <w:p w14:paraId="7746CC96" w14:textId="77777777" w:rsidR="00F65BCA" w:rsidRDefault="00216117">
                        <w:pPr>
                          <w:pStyle w:val="TableParagraph"/>
                          <w:spacing w:before="15"/>
                          <w:ind w:left="24" w:right="24"/>
                          <w:jc w:val="center"/>
                          <w:rPr>
                            <w:sz w:val="3"/>
                          </w:rPr>
                        </w:pPr>
                        <w:r>
                          <w:rPr>
                            <w:w w:val="105"/>
                            <w:sz w:val="3"/>
                          </w:rPr>
                          <w:t>0,80654010%</w:t>
                        </w:r>
                      </w:p>
                    </w:tc>
                    <w:tc>
                      <w:tcPr>
                        <w:tcW w:w="288" w:type="dxa"/>
                        <w:tcBorders>
                          <w:top w:val="single" w:sz="2" w:space="0" w:color="000000"/>
                          <w:left w:val="single" w:sz="2" w:space="0" w:color="000000"/>
                          <w:bottom w:val="single" w:sz="2" w:space="0" w:color="000000"/>
                          <w:right w:val="single" w:sz="2" w:space="0" w:color="000000"/>
                        </w:tcBorders>
                      </w:tcPr>
                      <w:p w14:paraId="72238083" w14:textId="77777777" w:rsidR="00F65BCA" w:rsidRDefault="00F65BCA">
                        <w:pPr>
                          <w:pStyle w:val="TableParagraph"/>
                          <w:rPr>
                            <w:rFonts w:ascii="Calibri"/>
                            <w:sz w:val="2"/>
                          </w:rPr>
                        </w:pPr>
                      </w:p>
                      <w:p w14:paraId="570622B1" w14:textId="77777777" w:rsidR="00F65BCA" w:rsidRDefault="00216117">
                        <w:pPr>
                          <w:pStyle w:val="TableParagraph"/>
                          <w:spacing w:before="15"/>
                          <w:ind w:left="24" w:right="24"/>
                          <w:jc w:val="center"/>
                          <w:rPr>
                            <w:sz w:val="3"/>
                          </w:rPr>
                        </w:pPr>
                        <w:r>
                          <w:rPr>
                            <w:w w:val="105"/>
                            <w:sz w:val="3"/>
                          </w:rPr>
                          <w:t>0,90735762%</w:t>
                        </w:r>
                      </w:p>
                    </w:tc>
                    <w:tc>
                      <w:tcPr>
                        <w:tcW w:w="288" w:type="dxa"/>
                        <w:tcBorders>
                          <w:top w:val="single" w:sz="2" w:space="0" w:color="000000"/>
                          <w:left w:val="single" w:sz="2" w:space="0" w:color="000000"/>
                          <w:bottom w:val="single" w:sz="2" w:space="0" w:color="000000"/>
                          <w:right w:val="single" w:sz="2" w:space="0" w:color="000000"/>
                        </w:tcBorders>
                      </w:tcPr>
                      <w:p w14:paraId="216DB8F1" w14:textId="77777777" w:rsidR="00F65BCA" w:rsidRDefault="00F65BCA">
                        <w:pPr>
                          <w:pStyle w:val="TableParagraph"/>
                          <w:rPr>
                            <w:rFonts w:ascii="Calibri"/>
                            <w:sz w:val="2"/>
                          </w:rPr>
                        </w:pPr>
                      </w:p>
                      <w:p w14:paraId="095CCAD3" w14:textId="77777777" w:rsidR="00F65BCA" w:rsidRDefault="00216117">
                        <w:pPr>
                          <w:pStyle w:val="TableParagraph"/>
                          <w:spacing w:before="15"/>
                          <w:ind w:left="24" w:right="24"/>
                          <w:jc w:val="center"/>
                          <w:rPr>
                            <w:sz w:val="3"/>
                          </w:rPr>
                        </w:pPr>
                        <w:r>
                          <w:rPr>
                            <w:w w:val="105"/>
                            <w:sz w:val="3"/>
                          </w:rPr>
                          <w:t>0,90735762%</w:t>
                        </w:r>
                      </w:p>
                    </w:tc>
                    <w:tc>
                      <w:tcPr>
                        <w:tcW w:w="288" w:type="dxa"/>
                        <w:tcBorders>
                          <w:top w:val="single" w:sz="2" w:space="0" w:color="000000"/>
                          <w:left w:val="single" w:sz="2" w:space="0" w:color="000000"/>
                          <w:bottom w:val="single" w:sz="2" w:space="0" w:color="000000"/>
                          <w:right w:val="single" w:sz="2" w:space="0" w:color="000000"/>
                        </w:tcBorders>
                      </w:tcPr>
                      <w:p w14:paraId="47DDA8E4" w14:textId="77777777" w:rsidR="00F65BCA" w:rsidRDefault="00F65BCA">
                        <w:pPr>
                          <w:pStyle w:val="TableParagraph"/>
                          <w:rPr>
                            <w:rFonts w:ascii="Calibri"/>
                            <w:sz w:val="2"/>
                          </w:rPr>
                        </w:pPr>
                      </w:p>
                      <w:p w14:paraId="1DA4FB10" w14:textId="77777777" w:rsidR="00F65BCA" w:rsidRDefault="00216117">
                        <w:pPr>
                          <w:pStyle w:val="TableParagraph"/>
                          <w:spacing w:before="15"/>
                          <w:ind w:left="24" w:right="24"/>
                          <w:jc w:val="center"/>
                          <w:rPr>
                            <w:sz w:val="3"/>
                          </w:rPr>
                        </w:pPr>
                        <w:r>
                          <w:rPr>
                            <w:w w:val="105"/>
                            <w:sz w:val="3"/>
                          </w:rPr>
                          <w:t>1,00817513%</w:t>
                        </w:r>
                      </w:p>
                    </w:tc>
                  </w:tr>
                  <w:tr w:rsidR="00F65BCA" w14:paraId="7B80915B"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06B789D5"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4A2F734A"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1966BF98" w14:textId="77777777" w:rsidR="00F65BCA" w:rsidRDefault="00F65BCA">
                        <w:pPr>
                          <w:pStyle w:val="TableParagraph"/>
                          <w:rPr>
                            <w:rFonts w:ascii="Calibri"/>
                            <w:sz w:val="2"/>
                          </w:rPr>
                        </w:pPr>
                      </w:p>
                      <w:p w14:paraId="15D0D84D" w14:textId="77777777" w:rsidR="00F65BCA" w:rsidRDefault="00F65BCA">
                        <w:pPr>
                          <w:pStyle w:val="TableParagraph"/>
                          <w:rPr>
                            <w:rFonts w:ascii="Calibri"/>
                            <w:sz w:val="2"/>
                          </w:rPr>
                        </w:pPr>
                      </w:p>
                      <w:p w14:paraId="0806D0A7" w14:textId="77777777" w:rsidR="00F65BCA" w:rsidRDefault="00216117">
                        <w:pPr>
                          <w:pStyle w:val="TableParagraph"/>
                          <w:spacing w:line="283" w:lineRule="auto"/>
                          <w:ind w:left="4" w:right="6"/>
                          <w:rPr>
                            <w:sz w:val="3"/>
                          </w:rPr>
                        </w:pPr>
                        <w:r>
                          <w:rPr>
                            <w:w w:val="105"/>
                            <w:sz w:val="3"/>
                          </w:rPr>
                          <w:t>1203; CITIGO; ENYAQ; KAMIQ; KAROQ; RAPID; RAPID SPACEBACK; ROOMSTER; SCALA; YETI</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87F3F82" w14:textId="77777777" w:rsidR="00F65BCA" w:rsidRDefault="00F65BCA">
                        <w:pPr>
                          <w:pStyle w:val="TableParagraph"/>
                          <w:rPr>
                            <w:rFonts w:ascii="Calibri"/>
                            <w:sz w:val="2"/>
                          </w:rPr>
                        </w:pPr>
                      </w:p>
                      <w:p w14:paraId="14B4117B"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B0F5873" w14:textId="77777777" w:rsidR="00F65BCA" w:rsidRDefault="00F65BCA">
                        <w:pPr>
                          <w:pStyle w:val="TableParagraph"/>
                          <w:rPr>
                            <w:rFonts w:ascii="Calibri"/>
                            <w:sz w:val="2"/>
                          </w:rPr>
                        </w:pPr>
                      </w:p>
                      <w:p w14:paraId="76C11987"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8FD4381"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713A89E" w14:textId="77777777" w:rsidR="00F65BCA" w:rsidRDefault="00F65BCA">
                        <w:pPr>
                          <w:pStyle w:val="TableParagraph"/>
                          <w:rPr>
                            <w:rFonts w:ascii="Calibri"/>
                            <w:sz w:val="2"/>
                          </w:rPr>
                        </w:pPr>
                      </w:p>
                      <w:p w14:paraId="28389FCC"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1F572C41" w14:textId="77777777" w:rsidR="00F65BCA" w:rsidRDefault="00F65BCA">
                        <w:pPr>
                          <w:pStyle w:val="TableParagraph"/>
                          <w:rPr>
                            <w:rFonts w:ascii="Calibri"/>
                            <w:sz w:val="2"/>
                          </w:rPr>
                        </w:pPr>
                      </w:p>
                      <w:p w14:paraId="6E49769A"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1357EC9B" w14:textId="77777777" w:rsidR="00F65BCA" w:rsidRDefault="00F65BCA">
                        <w:pPr>
                          <w:pStyle w:val="TableParagraph"/>
                          <w:rPr>
                            <w:rFonts w:ascii="Calibri"/>
                            <w:sz w:val="2"/>
                          </w:rPr>
                        </w:pPr>
                      </w:p>
                      <w:p w14:paraId="2F1CB71F"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7BA9FEAB" w14:textId="77777777" w:rsidR="00F65BCA" w:rsidRDefault="00F65BCA">
                        <w:pPr>
                          <w:pStyle w:val="TableParagraph"/>
                          <w:rPr>
                            <w:rFonts w:ascii="Calibri"/>
                            <w:sz w:val="2"/>
                          </w:rPr>
                        </w:pPr>
                      </w:p>
                      <w:p w14:paraId="439BE13A"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4E1C58B1" w14:textId="77777777" w:rsidR="00F65BCA" w:rsidRDefault="00F65BCA">
                        <w:pPr>
                          <w:pStyle w:val="TableParagraph"/>
                          <w:rPr>
                            <w:rFonts w:ascii="Calibri"/>
                            <w:sz w:val="2"/>
                          </w:rPr>
                        </w:pPr>
                      </w:p>
                      <w:p w14:paraId="30836A59"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3C93AF53" w14:textId="77777777" w:rsidR="00F65BCA" w:rsidRDefault="00F65BCA">
                        <w:pPr>
                          <w:pStyle w:val="TableParagraph"/>
                          <w:rPr>
                            <w:rFonts w:ascii="Calibri"/>
                            <w:sz w:val="2"/>
                          </w:rPr>
                        </w:pPr>
                      </w:p>
                      <w:p w14:paraId="08B9D893"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5CB63593" w14:textId="77777777" w:rsidR="00F65BCA" w:rsidRDefault="00F65BCA">
                        <w:pPr>
                          <w:pStyle w:val="TableParagraph"/>
                          <w:rPr>
                            <w:rFonts w:ascii="Calibri"/>
                            <w:sz w:val="2"/>
                          </w:rPr>
                        </w:pPr>
                      </w:p>
                      <w:p w14:paraId="55322EC1"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0138809A" w14:textId="77777777" w:rsidR="00F65BCA" w:rsidRDefault="00F65BCA">
                        <w:pPr>
                          <w:pStyle w:val="TableParagraph"/>
                          <w:rPr>
                            <w:rFonts w:ascii="Calibri"/>
                            <w:sz w:val="2"/>
                          </w:rPr>
                        </w:pPr>
                      </w:p>
                      <w:p w14:paraId="6FAA494B"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72CAA8AC" w14:textId="77777777" w:rsidR="00F65BCA" w:rsidRDefault="00F65BCA">
                        <w:pPr>
                          <w:pStyle w:val="TableParagraph"/>
                          <w:rPr>
                            <w:rFonts w:ascii="Calibri"/>
                            <w:sz w:val="2"/>
                          </w:rPr>
                        </w:pPr>
                      </w:p>
                      <w:p w14:paraId="63B5BF8D"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4E8261CF" w14:textId="77777777" w:rsidR="00F65BCA" w:rsidRDefault="00F65BCA">
                        <w:pPr>
                          <w:pStyle w:val="TableParagraph"/>
                          <w:rPr>
                            <w:rFonts w:ascii="Calibri"/>
                            <w:sz w:val="2"/>
                          </w:rPr>
                        </w:pPr>
                      </w:p>
                      <w:p w14:paraId="7AEF1704"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4152E5F8" w14:textId="77777777" w:rsidR="00F65BCA" w:rsidRDefault="00F65BCA">
                        <w:pPr>
                          <w:pStyle w:val="TableParagraph"/>
                          <w:rPr>
                            <w:rFonts w:ascii="Calibri"/>
                            <w:sz w:val="2"/>
                          </w:rPr>
                        </w:pPr>
                      </w:p>
                      <w:p w14:paraId="244D3C21"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42087A15" w14:textId="77777777" w:rsidR="00F65BCA" w:rsidRDefault="00F65BCA">
                        <w:pPr>
                          <w:pStyle w:val="TableParagraph"/>
                          <w:rPr>
                            <w:rFonts w:ascii="Calibri"/>
                            <w:sz w:val="2"/>
                          </w:rPr>
                        </w:pPr>
                      </w:p>
                      <w:p w14:paraId="5A404507"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6EA50FBB" w14:textId="77777777" w:rsidR="00F65BCA" w:rsidRDefault="00F65BCA">
                        <w:pPr>
                          <w:pStyle w:val="TableParagraph"/>
                          <w:rPr>
                            <w:rFonts w:ascii="Calibri"/>
                            <w:sz w:val="2"/>
                          </w:rPr>
                        </w:pPr>
                      </w:p>
                      <w:p w14:paraId="4D59723E" w14:textId="77777777" w:rsidR="00F65BCA" w:rsidRDefault="00216117">
                        <w:pPr>
                          <w:pStyle w:val="TableParagraph"/>
                          <w:ind w:left="24" w:right="24"/>
                          <w:jc w:val="center"/>
                          <w:rPr>
                            <w:sz w:val="3"/>
                          </w:rPr>
                        </w:pPr>
                        <w:r>
                          <w:rPr>
                            <w:w w:val="105"/>
                            <w:sz w:val="3"/>
                          </w:rPr>
                          <w:t>0,95940000%</w:t>
                        </w:r>
                      </w:p>
                    </w:tc>
                  </w:tr>
                  <w:tr w:rsidR="00F65BCA" w14:paraId="3F5F110A"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0E55524A"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7A4288AB"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6581F344"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55E6E51" w14:textId="77777777" w:rsidR="00F65BCA" w:rsidRDefault="00F65BCA">
                        <w:pPr>
                          <w:pStyle w:val="TableParagraph"/>
                          <w:rPr>
                            <w:rFonts w:ascii="Calibri"/>
                            <w:sz w:val="2"/>
                          </w:rPr>
                        </w:pPr>
                      </w:p>
                      <w:p w14:paraId="52BAE182"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66A0806" w14:textId="77777777" w:rsidR="00F65BCA" w:rsidRDefault="00F65BCA">
                        <w:pPr>
                          <w:pStyle w:val="TableParagraph"/>
                          <w:rPr>
                            <w:rFonts w:ascii="Calibri"/>
                            <w:sz w:val="2"/>
                          </w:rPr>
                        </w:pPr>
                      </w:p>
                      <w:p w14:paraId="0CC2B92E"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2546DBE0"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A6DE2C3" w14:textId="77777777" w:rsidR="00F65BCA" w:rsidRDefault="00F65BCA">
                        <w:pPr>
                          <w:pStyle w:val="TableParagraph"/>
                          <w:rPr>
                            <w:rFonts w:ascii="Calibri"/>
                            <w:sz w:val="2"/>
                          </w:rPr>
                        </w:pPr>
                      </w:p>
                      <w:p w14:paraId="54A12A21"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45DA2548" w14:textId="77777777" w:rsidR="00F65BCA" w:rsidRDefault="00F65BCA">
                        <w:pPr>
                          <w:pStyle w:val="TableParagraph"/>
                          <w:rPr>
                            <w:rFonts w:ascii="Calibri"/>
                            <w:sz w:val="2"/>
                          </w:rPr>
                        </w:pPr>
                      </w:p>
                      <w:p w14:paraId="5CD50735"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7382641A" w14:textId="77777777" w:rsidR="00F65BCA" w:rsidRDefault="00F65BCA">
                        <w:pPr>
                          <w:pStyle w:val="TableParagraph"/>
                          <w:rPr>
                            <w:rFonts w:ascii="Calibri"/>
                            <w:sz w:val="2"/>
                          </w:rPr>
                        </w:pPr>
                      </w:p>
                      <w:p w14:paraId="6C473034"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0211375A" w14:textId="77777777" w:rsidR="00F65BCA" w:rsidRDefault="00F65BCA">
                        <w:pPr>
                          <w:pStyle w:val="TableParagraph"/>
                          <w:rPr>
                            <w:rFonts w:ascii="Calibri"/>
                            <w:sz w:val="2"/>
                          </w:rPr>
                        </w:pPr>
                      </w:p>
                      <w:p w14:paraId="69851FEE"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3326DC0F" w14:textId="77777777" w:rsidR="00F65BCA" w:rsidRDefault="00F65BCA">
                        <w:pPr>
                          <w:pStyle w:val="TableParagraph"/>
                          <w:rPr>
                            <w:rFonts w:ascii="Calibri"/>
                            <w:sz w:val="2"/>
                          </w:rPr>
                        </w:pPr>
                      </w:p>
                      <w:p w14:paraId="74D4F9D2"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2980ED58" w14:textId="77777777" w:rsidR="00F65BCA" w:rsidRDefault="00F65BCA">
                        <w:pPr>
                          <w:pStyle w:val="TableParagraph"/>
                          <w:rPr>
                            <w:rFonts w:ascii="Calibri"/>
                            <w:sz w:val="2"/>
                          </w:rPr>
                        </w:pPr>
                      </w:p>
                      <w:p w14:paraId="521E0CC7"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65DD16E4" w14:textId="77777777" w:rsidR="00F65BCA" w:rsidRDefault="00F65BCA">
                        <w:pPr>
                          <w:pStyle w:val="TableParagraph"/>
                          <w:rPr>
                            <w:rFonts w:ascii="Calibri"/>
                            <w:sz w:val="2"/>
                          </w:rPr>
                        </w:pPr>
                      </w:p>
                      <w:p w14:paraId="6DC4188B"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16EE8608" w14:textId="77777777" w:rsidR="00F65BCA" w:rsidRDefault="00F65BCA">
                        <w:pPr>
                          <w:pStyle w:val="TableParagraph"/>
                          <w:rPr>
                            <w:rFonts w:ascii="Calibri"/>
                            <w:sz w:val="2"/>
                          </w:rPr>
                        </w:pPr>
                      </w:p>
                      <w:p w14:paraId="5798AC5C"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17191BE4" w14:textId="77777777" w:rsidR="00F65BCA" w:rsidRDefault="00F65BCA">
                        <w:pPr>
                          <w:pStyle w:val="TableParagraph"/>
                          <w:rPr>
                            <w:rFonts w:ascii="Calibri"/>
                            <w:sz w:val="2"/>
                          </w:rPr>
                        </w:pPr>
                      </w:p>
                      <w:p w14:paraId="394FC4D5"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443EF266" w14:textId="77777777" w:rsidR="00F65BCA" w:rsidRDefault="00F65BCA">
                        <w:pPr>
                          <w:pStyle w:val="TableParagraph"/>
                          <w:rPr>
                            <w:rFonts w:ascii="Calibri"/>
                            <w:sz w:val="2"/>
                          </w:rPr>
                        </w:pPr>
                      </w:p>
                      <w:p w14:paraId="3DE616C9"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3F04EDCB" w14:textId="77777777" w:rsidR="00F65BCA" w:rsidRDefault="00F65BCA">
                        <w:pPr>
                          <w:pStyle w:val="TableParagraph"/>
                          <w:rPr>
                            <w:rFonts w:ascii="Calibri"/>
                            <w:sz w:val="2"/>
                          </w:rPr>
                        </w:pPr>
                      </w:p>
                      <w:p w14:paraId="3B23573E"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5D6BED6" w14:textId="77777777" w:rsidR="00F65BCA" w:rsidRDefault="00F65BCA">
                        <w:pPr>
                          <w:pStyle w:val="TableParagraph"/>
                          <w:rPr>
                            <w:rFonts w:ascii="Calibri"/>
                            <w:sz w:val="2"/>
                          </w:rPr>
                        </w:pPr>
                      </w:p>
                      <w:p w14:paraId="2A64055D"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A2E90A8" w14:textId="77777777" w:rsidR="00F65BCA" w:rsidRDefault="00F65BCA">
                        <w:pPr>
                          <w:pStyle w:val="TableParagraph"/>
                          <w:rPr>
                            <w:rFonts w:ascii="Calibri"/>
                            <w:sz w:val="2"/>
                          </w:rPr>
                        </w:pPr>
                      </w:p>
                      <w:p w14:paraId="47706EFF" w14:textId="77777777" w:rsidR="00F65BCA" w:rsidRDefault="00216117">
                        <w:pPr>
                          <w:pStyle w:val="TableParagraph"/>
                          <w:ind w:left="24" w:right="24"/>
                          <w:jc w:val="center"/>
                          <w:rPr>
                            <w:sz w:val="3"/>
                          </w:rPr>
                        </w:pPr>
                        <w:r>
                          <w:rPr>
                            <w:w w:val="105"/>
                            <w:sz w:val="3"/>
                          </w:rPr>
                          <w:t>1,15895520%</w:t>
                        </w:r>
                      </w:p>
                    </w:tc>
                  </w:tr>
                  <w:tr w:rsidR="00F65BCA" w14:paraId="337A3960"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3D1D95C2"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3307073F"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2FADD893" w14:textId="77777777" w:rsidR="00F65BCA" w:rsidRDefault="00F65BCA">
                        <w:pPr>
                          <w:pStyle w:val="TableParagraph"/>
                          <w:rPr>
                            <w:rFonts w:ascii="Calibri"/>
                            <w:sz w:val="2"/>
                          </w:rPr>
                        </w:pPr>
                      </w:p>
                      <w:p w14:paraId="3B5A4D54" w14:textId="77777777" w:rsidR="00F65BCA" w:rsidRDefault="00216117">
                        <w:pPr>
                          <w:pStyle w:val="TableParagraph"/>
                          <w:spacing w:line="40" w:lineRule="atLeast"/>
                          <w:ind w:left="4" w:right="7"/>
                          <w:rPr>
                            <w:sz w:val="3"/>
                          </w:rPr>
                        </w:pPr>
                        <w:r>
                          <w:rPr>
                            <w:w w:val="105"/>
                            <w:sz w:val="3"/>
                          </w:rPr>
                          <w:t>OCTAVIA;</w:t>
                        </w:r>
                        <w:r>
                          <w:rPr>
                            <w:spacing w:val="-4"/>
                            <w:w w:val="105"/>
                            <w:sz w:val="3"/>
                          </w:rPr>
                          <w:t xml:space="preserve"> </w:t>
                        </w:r>
                        <w:r>
                          <w:rPr>
                            <w:w w:val="105"/>
                            <w:sz w:val="3"/>
                          </w:rPr>
                          <w:t>OCTAVIA</w:t>
                        </w:r>
                        <w:r>
                          <w:rPr>
                            <w:spacing w:val="-4"/>
                            <w:w w:val="105"/>
                            <w:sz w:val="3"/>
                          </w:rPr>
                          <w:t xml:space="preserve"> </w:t>
                        </w:r>
                        <w:r>
                          <w:rPr>
                            <w:w w:val="105"/>
                            <w:sz w:val="3"/>
                          </w:rPr>
                          <w:t>COM</w:t>
                        </w:r>
                        <w:r>
                          <w:rPr>
                            <w:spacing w:val="-4"/>
                            <w:w w:val="105"/>
                            <w:sz w:val="3"/>
                          </w:rPr>
                          <w:t xml:space="preserve"> </w:t>
                        </w:r>
                        <w:r>
                          <w:rPr>
                            <w:w w:val="105"/>
                            <w:sz w:val="3"/>
                          </w:rPr>
                          <w:t>II;</w:t>
                        </w:r>
                        <w:r>
                          <w:rPr>
                            <w:spacing w:val="-4"/>
                            <w:w w:val="105"/>
                            <w:sz w:val="3"/>
                          </w:rPr>
                          <w:t xml:space="preserve"> </w:t>
                        </w:r>
                        <w:r>
                          <w:rPr>
                            <w:w w:val="105"/>
                            <w:sz w:val="3"/>
                          </w:rPr>
                          <w:t>OCTAVIA</w:t>
                        </w:r>
                        <w:r>
                          <w:rPr>
                            <w:spacing w:val="-3"/>
                            <w:w w:val="105"/>
                            <w:sz w:val="3"/>
                          </w:rPr>
                          <w:t xml:space="preserve"> </w:t>
                        </w:r>
                        <w:r>
                          <w:rPr>
                            <w:w w:val="105"/>
                            <w:sz w:val="3"/>
                          </w:rPr>
                          <w:t>COM</w:t>
                        </w:r>
                        <w:r>
                          <w:rPr>
                            <w:spacing w:val="-5"/>
                            <w:w w:val="105"/>
                            <w:sz w:val="3"/>
                          </w:rPr>
                          <w:t xml:space="preserve"> </w:t>
                        </w:r>
                        <w:r>
                          <w:rPr>
                            <w:w w:val="105"/>
                            <w:sz w:val="3"/>
                          </w:rPr>
                          <w:t>III;</w:t>
                        </w:r>
                        <w:r>
                          <w:rPr>
                            <w:spacing w:val="-3"/>
                            <w:w w:val="105"/>
                            <w:sz w:val="3"/>
                          </w:rPr>
                          <w:t xml:space="preserve"> </w:t>
                        </w:r>
                        <w:r>
                          <w:rPr>
                            <w:w w:val="105"/>
                            <w:sz w:val="3"/>
                          </w:rPr>
                          <w:t>OCTAVIA</w:t>
                        </w:r>
                        <w:r>
                          <w:rPr>
                            <w:spacing w:val="-4"/>
                            <w:w w:val="105"/>
                            <w:sz w:val="3"/>
                          </w:rPr>
                          <w:t xml:space="preserve"> </w:t>
                        </w:r>
                        <w:r>
                          <w:rPr>
                            <w:w w:val="105"/>
                            <w:sz w:val="3"/>
                          </w:rPr>
                          <w:t>COMBI; OCTAVIA COMBI TOUR; OCTAVIA II; OCTAVIA III; OCTAVIA TOUR</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25565C3" w14:textId="77777777" w:rsidR="00F65BCA" w:rsidRDefault="00F65BCA">
                        <w:pPr>
                          <w:pStyle w:val="TableParagraph"/>
                          <w:rPr>
                            <w:rFonts w:ascii="Calibri"/>
                            <w:sz w:val="2"/>
                          </w:rPr>
                        </w:pPr>
                      </w:p>
                      <w:p w14:paraId="712D9FEF"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E5D9991" w14:textId="77777777" w:rsidR="00F65BCA" w:rsidRDefault="00F65BCA">
                        <w:pPr>
                          <w:pStyle w:val="TableParagraph"/>
                          <w:rPr>
                            <w:rFonts w:ascii="Calibri"/>
                            <w:sz w:val="2"/>
                          </w:rPr>
                        </w:pPr>
                      </w:p>
                      <w:p w14:paraId="67D958B8"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82D6D3A"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1C41081" w14:textId="77777777" w:rsidR="00F65BCA" w:rsidRDefault="00F65BCA">
                        <w:pPr>
                          <w:pStyle w:val="TableParagraph"/>
                          <w:rPr>
                            <w:rFonts w:ascii="Calibri"/>
                            <w:sz w:val="2"/>
                          </w:rPr>
                        </w:pPr>
                      </w:p>
                      <w:p w14:paraId="79B9F4CF"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6DF1A222" w14:textId="77777777" w:rsidR="00F65BCA" w:rsidRDefault="00F65BCA">
                        <w:pPr>
                          <w:pStyle w:val="TableParagraph"/>
                          <w:rPr>
                            <w:rFonts w:ascii="Calibri"/>
                            <w:sz w:val="2"/>
                          </w:rPr>
                        </w:pPr>
                      </w:p>
                      <w:p w14:paraId="69E5D2C8"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30D43A2B" w14:textId="77777777" w:rsidR="00F65BCA" w:rsidRDefault="00F65BCA">
                        <w:pPr>
                          <w:pStyle w:val="TableParagraph"/>
                          <w:rPr>
                            <w:rFonts w:ascii="Calibri"/>
                            <w:sz w:val="2"/>
                          </w:rPr>
                        </w:pPr>
                      </w:p>
                      <w:p w14:paraId="58C85298"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18157C4B" w14:textId="77777777" w:rsidR="00F65BCA" w:rsidRDefault="00F65BCA">
                        <w:pPr>
                          <w:pStyle w:val="TableParagraph"/>
                          <w:rPr>
                            <w:rFonts w:ascii="Calibri"/>
                            <w:sz w:val="2"/>
                          </w:rPr>
                        </w:pPr>
                      </w:p>
                      <w:p w14:paraId="0B4E1261"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4D23D181" w14:textId="77777777" w:rsidR="00F65BCA" w:rsidRDefault="00F65BCA">
                        <w:pPr>
                          <w:pStyle w:val="TableParagraph"/>
                          <w:rPr>
                            <w:rFonts w:ascii="Calibri"/>
                            <w:sz w:val="2"/>
                          </w:rPr>
                        </w:pPr>
                      </w:p>
                      <w:p w14:paraId="72291987"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2DC53DD0" w14:textId="77777777" w:rsidR="00F65BCA" w:rsidRDefault="00F65BCA">
                        <w:pPr>
                          <w:pStyle w:val="TableParagraph"/>
                          <w:rPr>
                            <w:rFonts w:ascii="Calibri"/>
                            <w:sz w:val="2"/>
                          </w:rPr>
                        </w:pPr>
                      </w:p>
                      <w:p w14:paraId="02E13274"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1459301C" w14:textId="77777777" w:rsidR="00F65BCA" w:rsidRDefault="00F65BCA">
                        <w:pPr>
                          <w:pStyle w:val="TableParagraph"/>
                          <w:rPr>
                            <w:rFonts w:ascii="Calibri"/>
                            <w:sz w:val="2"/>
                          </w:rPr>
                        </w:pPr>
                      </w:p>
                      <w:p w14:paraId="3C975CD8"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15D19D91" w14:textId="77777777" w:rsidR="00F65BCA" w:rsidRDefault="00F65BCA">
                        <w:pPr>
                          <w:pStyle w:val="TableParagraph"/>
                          <w:rPr>
                            <w:rFonts w:ascii="Calibri"/>
                            <w:sz w:val="2"/>
                          </w:rPr>
                        </w:pPr>
                      </w:p>
                      <w:p w14:paraId="25968803"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1AECA7BE" w14:textId="77777777" w:rsidR="00F65BCA" w:rsidRDefault="00F65BCA">
                        <w:pPr>
                          <w:pStyle w:val="TableParagraph"/>
                          <w:rPr>
                            <w:rFonts w:ascii="Calibri"/>
                            <w:sz w:val="2"/>
                          </w:rPr>
                        </w:pPr>
                      </w:p>
                      <w:p w14:paraId="03EBF6E6"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0E6B84FD" w14:textId="77777777" w:rsidR="00F65BCA" w:rsidRDefault="00F65BCA">
                        <w:pPr>
                          <w:pStyle w:val="TableParagraph"/>
                          <w:rPr>
                            <w:rFonts w:ascii="Calibri"/>
                            <w:sz w:val="2"/>
                          </w:rPr>
                        </w:pPr>
                      </w:p>
                      <w:p w14:paraId="4DD99090"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2E8BB610" w14:textId="77777777" w:rsidR="00F65BCA" w:rsidRDefault="00F65BCA">
                        <w:pPr>
                          <w:pStyle w:val="TableParagraph"/>
                          <w:rPr>
                            <w:rFonts w:ascii="Calibri"/>
                            <w:sz w:val="2"/>
                          </w:rPr>
                        </w:pPr>
                      </w:p>
                      <w:p w14:paraId="40D43DCF"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2953F84E" w14:textId="77777777" w:rsidR="00F65BCA" w:rsidRDefault="00F65BCA">
                        <w:pPr>
                          <w:pStyle w:val="TableParagraph"/>
                          <w:rPr>
                            <w:rFonts w:ascii="Calibri"/>
                            <w:sz w:val="2"/>
                          </w:rPr>
                        </w:pPr>
                      </w:p>
                      <w:p w14:paraId="15699477"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0E7161B1" w14:textId="77777777" w:rsidR="00F65BCA" w:rsidRDefault="00F65BCA">
                        <w:pPr>
                          <w:pStyle w:val="TableParagraph"/>
                          <w:rPr>
                            <w:rFonts w:ascii="Calibri"/>
                            <w:sz w:val="2"/>
                          </w:rPr>
                        </w:pPr>
                      </w:p>
                      <w:p w14:paraId="2EBD6937" w14:textId="77777777" w:rsidR="00F65BCA" w:rsidRDefault="00216117">
                        <w:pPr>
                          <w:pStyle w:val="TableParagraph"/>
                          <w:ind w:left="24" w:right="24"/>
                          <w:jc w:val="center"/>
                          <w:rPr>
                            <w:sz w:val="3"/>
                          </w:rPr>
                        </w:pPr>
                        <w:r>
                          <w:rPr>
                            <w:w w:val="105"/>
                            <w:sz w:val="3"/>
                          </w:rPr>
                          <w:t>1,07731026%</w:t>
                        </w:r>
                      </w:p>
                    </w:tc>
                  </w:tr>
                  <w:tr w:rsidR="00F65BCA" w14:paraId="77792A93"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72F7DBE8"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29BC50CA"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38741273"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7F4A10A" w14:textId="77777777" w:rsidR="00F65BCA" w:rsidRDefault="00F65BCA">
                        <w:pPr>
                          <w:pStyle w:val="TableParagraph"/>
                          <w:rPr>
                            <w:rFonts w:ascii="Calibri"/>
                            <w:sz w:val="2"/>
                          </w:rPr>
                        </w:pPr>
                      </w:p>
                      <w:p w14:paraId="5ED2DF9D"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AD961DA" w14:textId="77777777" w:rsidR="00F65BCA" w:rsidRDefault="00F65BCA">
                        <w:pPr>
                          <w:pStyle w:val="TableParagraph"/>
                          <w:rPr>
                            <w:rFonts w:ascii="Calibri"/>
                            <w:sz w:val="2"/>
                          </w:rPr>
                        </w:pPr>
                      </w:p>
                      <w:p w14:paraId="608BBD89"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BF32CB3"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B06B980" w14:textId="77777777" w:rsidR="00F65BCA" w:rsidRDefault="00F65BCA">
                        <w:pPr>
                          <w:pStyle w:val="TableParagraph"/>
                          <w:rPr>
                            <w:rFonts w:ascii="Calibri"/>
                            <w:sz w:val="2"/>
                          </w:rPr>
                        </w:pPr>
                      </w:p>
                      <w:p w14:paraId="7C0741AE"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3D6FBCDA" w14:textId="77777777" w:rsidR="00F65BCA" w:rsidRDefault="00F65BCA">
                        <w:pPr>
                          <w:pStyle w:val="TableParagraph"/>
                          <w:rPr>
                            <w:rFonts w:ascii="Calibri"/>
                            <w:sz w:val="2"/>
                          </w:rPr>
                        </w:pPr>
                      </w:p>
                      <w:p w14:paraId="02ACCECA"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3A85DBD2" w14:textId="77777777" w:rsidR="00F65BCA" w:rsidRDefault="00F65BCA">
                        <w:pPr>
                          <w:pStyle w:val="TableParagraph"/>
                          <w:rPr>
                            <w:rFonts w:ascii="Calibri"/>
                            <w:sz w:val="2"/>
                          </w:rPr>
                        </w:pPr>
                      </w:p>
                      <w:p w14:paraId="3C4EE939"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3A5609B2" w14:textId="77777777" w:rsidR="00F65BCA" w:rsidRDefault="00F65BCA">
                        <w:pPr>
                          <w:pStyle w:val="TableParagraph"/>
                          <w:rPr>
                            <w:rFonts w:ascii="Calibri"/>
                            <w:sz w:val="2"/>
                          </w:rPr>
                        </w:pPr>
                      </w:p>
                      <w:p w14:paraId="11BED147"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606F3B93" w14:textId="77777777" w:rsidR="00F65BCA" w:rsidRDefault="00F65BCA">
                        <w:pPr>
                          <w:pStyle w:val="TableParagraph"/>
                          <w:rPr>
                            <w:rFonts w:ascii="Calibri"/>
                            <w:sz w:val="2"/>
                          </w:rPr>
                        </w:pPr>
                      </w:p>
                      <w:p w14:paraId="264D6BBE"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032B1CBD" w14:textId="77777777" w:rsidR="00F65BCA" w:rsidRDefault="00F65BCA">
                        <w:pPr>
                          <w:pStyle w:val="TableParagraph"/>
                          <w:rPr>
                            <w:rFonts w:ascii="Calibri"/>
                            <w:sz w:val="2"/>
                          </w:rPr>
                        </w:pPr>
                      </w:p>
                      <w:p w14:paraId="27FA216E"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41E1373B" w14:textId="77777777" w:rsidR="00F65BCA" w:rsidRDefault="00F65BCA">
                        <w:pPr>
                          <w:pStyle w:val="TableParagraph"/>
                          <w:rPr>
                            <w:rFonts w:ascii="Calibri"/>
                            <w:sz w:val="2"/>
                          </w:rPr>
                        </w:pPr>
                      </w:p>
                      <w:p w14:paraId="78109ABC"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300D295D" w14:textId="77777777" w:rsidR="00F65BCA" w:rsidRDefault="00F65BCA">
                        <w:pPr>
                          <w:pStyle w:val="TableParagraph"/>
                          <w:rPr>
                            <w:rFonts w:ascii="Calibri"/>
                            <w:sz w:val="2"/>
                          </w:rPr>
                        </w:pPr>
                      </w:p>
                      <w:p w14:paraId="03F8B36C"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7707F984" w14:textId="77777777" w:rsidR="00F65BCA" w:rsidRDefault="00F65BCA">
                        <w:pPr>
                          <w:pStyle w:val="TableParagraph"/>
                          <w:rPr>
                            <w:rFonts w:ascii="Calibri"/>
                            <w:sz w:val="2"/>
                          </w:rPr>
                        </w:pPr>
                      </w:p>
                      <w:p w14:paraId="07FC4181"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7369B1C6" w14:textId="77777777" w:rsidR="00F65BCA" w:rsidRDefault="00F65BCA">
                        <w:pPr>
                          <w:pStyle w:val="TableParagraph"/>
                          <w:rPr>
                            <w:rFonts w:ascii="Calibri"/>
                            <w:sz w:val="2"/>
                          </w:rPr>
                        </w:pPr>
                      </w:p>
                      <w:p w14:paraId="38D5F6CF"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036A4309" w14:textId="77777777" w:rsidR="00F65BCA" w:rsidRDefault="00F65BCA">
                        <w:pPr>
                          <w:pStyle w:val="TableParagraph"/>
                          <w:rPr>
                            <w:rFonts w:ascii="Calibri"/>
                            <w:sz w:val="2"/>
                          </w:rPr>
                        </w:pPr>
                      </w:p>
                      <w:p w14:paraId="1E9A6FF6"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25C5F2FB" w14:textId="77777777" w:rsidR="00F65BCA" w:rsidRDefault="00F65BCA">
                        <w:pPr>
                          <w:pStyle w:val="TableParagraph"/>
                          <w:rPr>
                            <w:rFonts w:ascii="Calibri"/>
                            <w:sz w:val="2"/>
                          </w:rPr>
                        </w:pPr>
                      </w:p>
                      <w:p w14:paraId="36074D05"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51227761" w14:textId="77777777" w:rsidR="00F65BCA" w:rsidRDefault="00F65BCA">
                        <w:pPr>
                          <w:pStyle w:val="TableParagraph"/>
                          <w:rPr>
                            <w:rFonts w:ascii="Calibri"/>
                            <w:sz w:val="2"/>
                          </w:rPr>
                        </w:pPr>
                      </w:p>
                      <w:p w14:paraId="324AB7C7" w14:textId="77777777" w:rsidR="00F65BCA" w:rsidRDefault="00216117">
                        <w:pPr>
                          <w:pStyle w:val="TableParagraph"/>
                          <w:ind w:left="24" w:right="24"/>
                          <w:jc w:val="center"/>
                          <w:rPr>
                            <w:sz w:val="3"/>
                          </w:rPr>
                        </w:pPr>
                        <w:r>
                          <w:rPr>
                            <w:w w:val="105"/>
                            <w:sz w:val="3"/>
                          </w:rPr>
                          <w:t>1,30139079%</w:t>
                        </w:r>
                      </w:p>
                    </w:tc>
                  </w:tr>
                  <w:tr w:rsidR="00F65BCA" w14:paraId="78DB023B"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7E634F12"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42DD678A"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42D9F8AB" w14:textId="77777777" w:rsidR="00F65BCA" w:rsidRDefault="00F65BCA">
                        <w:pPr>
                          <w:pStyle w:val="TableParagraph"/>
                          <w:rPr>
                            <w:rFonts w:ascii="Calibri"/>
                            <w:sz w:val="2"/>
                          </w:rPr>
                        </w:pPr>
                      </w:p>
                      <w:p w14:paraId="3F25824D" w14:textId="77777777" w:rsidR="00F65BCA" w:rsidRDefault="00F65BCA">
                        <w:pPr>
                          <w:pStyle w:val="TableParagraph"/>
                          <w:rPr>
                            <w:rFonts w:ascii="Calibri"/>
                            <w:sz w:val="2"/>
                          </w:rPr>
                        </w:pPr>
                      </w:p>
                      <w:p w14:paraId="1D049712" w14:textId="77777777" w:rsidR="00F65BCA" w:rsidRDefault="00216117">
                        <w:pPr>
                          <w:pStyle w:val="TableParagraph"/>
                          <w:spacing w:line="283" w:lineRule="auto"/>
                          <w:ind w:left="4" w:right="6"/>
                          <w:rPr>
                            <w:sz w:val="3"/>
                          </w:rPr>
                        </w:pPr>
                        <w:r>
                          <w:rPr>
                            <w:w w:val="105"/>
                            <w:sz w:val="3"/>
                          </w:rPr>
                          <w:t>JINÉ; KODIAQ; SUPERB; SUPERB COM II; SUPERB COM III; SUPERB COMBI; SUPERB II; SUPERB III</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42451DF" w14:textId="77777777" w:rsidR="00F65BCA" w:rsidRDefault="00F65BCA">
                        <w:pPr>
                          <w:pStyle w:val="TableParagraph"/>
                          <w:rPr>
                            <w:rFonts w:ascii="Calibri"/>
                            <w:sz w:val="2"/>
                          </w:rPr>
                        </w:pPr>
                      </w:p>
                      <w:p w14:paraId="1065CB08"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C2A9E6A" w14:textId="77777777" w:rsidR="00F65BCA" w:rsidRDefault="00F65BCA">
                        <w:pPr>
                          <w:pStyle w:val="TableParagraph"/>
                          <w:rPr>
                            <w:rFonts w:ascii="Calibri"/>
                            <w:sz w:val="2"/>
                          </w:rPr>
                        </w:pPr>
                      </w:p>
                      <w:p w14:paraId="7A0C1E4C"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DF348FD"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943E3A8" w14:textId="77777777" w:rsidR="00F65BCA" w:rsidRDefault="00F65BCA">
                        <w:pPr>
                          <w:pStyle w:val="TableParagraph"/>
                          <w:rPr>
                            <w:rFonts w:ascii="Calibri"/>
                            <w:sz w:val="2"/>
                          </w:rPr>
                        </w:pPr>
                      </w:p>
                      <w:p w14:paraId="7C818463" w14:textId="77777777" w:rsidR="00F65BCA" w:rsidRDefault="00216117">
                        <w:pPr>
                          <w:pStyle w:val="TableParagraph"/>
                          <w:ind w:left="24" w:right="24"/>
                          <w:jc w:val="center"/>
                          <w:rPr>
                            <w:sz w:val="3"/>
                          </w:rPr>
                        </w:pPr>
                        <w:r>
                          <w:rPr>
                            <w:w w:val="105"/>
                            <w:sz w:val="3"/>
                          </w:rPr>
                          <w:t>1,34479738%</w:t>
                        </w:r>
                      </w:p>
                    </w:tc>
                    <w:tc>
                      <w:tcPr>
                        <w:tcW w:w="288" w:type="dxa"/>
                        <w:tcBorders>
                          <w:top w:val="single" w:sz="2" w:space="0" w:color="000000"/>
                          <w:left w:val="single" w:sz="2" w:space="0" w:color="000000"/>
                          <w:bottom w:val="single" w:sz="2" w:space="0" w:color="000000"/>
                          <w:right w:val="single" w:sz="2" w:space="0" w:color="000000"/>
                        </w:tcBorders>
                      </w:tcPr>
                      <w:p w14:paraId="0FC0BA6F" w14:textId="77777777" w:rsidR="00F65BCA" w:rsidRDefault="00F65BCA">
                        <w:pPr>
                          <w:pStyle w:val="TableParagraph"/>
                          <w:rPr>
                            <w:rFonts w:ascii="Calibri"/>
                            <w:sz w:val="2"/>
                          </w:rPr>
                        </w:pPr>
                      </w:p>
                      <w:p w14:paraId="6FBD0086" w14:textId="77777777" w:rsidR="00F65BCA" w:rsidRDefault="00216117">
                        <w:pPr>
                          <w:pStyle w:val="TableParagraph"/>
                          <w:ind w:left="24" w:right="24"/>
                          <w:jc w:val="center"/>
                          <w:rPr>
                            <w:sz w:val="3"/>
                          </w:rPr>
                        </w:pPr>
                        <w:r>
                          <w:rPr>
                            <w:w w:val="105"/>
                            <w:sz w:val="3"/>
                          </w:rPr>
                          <w:t>1,26074754%</w:t>
                        </w:r>
                      </w:p>
                    </w:tc>
                    <w:tc>
                      <w:tcPr>
                        <w:tcW w:w="288" w:type="dxa"/>
                        <w:tcBorders>
                          <w:top w:val="single" w:sz="2" w:space="0" w:color="000000"/>
                          <w:left w:val="single" w:sz="2" w:space="0" w:color="000000"/>
                          <w:bottom w:val="single" w:sz="2" w:space="0" w:color="000000"/>
                          <w:right w:val="single" w:sz="2" w:space="0" w:color="000000"/>
                        </w:tcBorders>
                      </w:tcPr>
                      <w:p w14:paraId="40CA0A78" w14:textId="77777777" w:rsidR="00F65BCA" w:rsidRDefault="00F65BCA">
                        <w:pPr>
                          <w:pStyle w:val="TableParagraph"/>
                          <w:rPr>
                            <w:rFonts w:ascii="Calibri"/>
                            <w:sz w:val="2"/>
                          </w:rPr>
                        </w:pPr>
                      </w:p>
                      <w:p w14:paraId="220065C0" w14:textId="77777777" w:rsidR="00F65BCA" w:rsidRDefault="00216117">
                        <w:pPr>
                          <w:pStyle w:val="TableParagraph"/>
                          <w:ind w:left="24" w:right="24"/>
                          <w:jc w:val="center"/>
                          <w:rPr>
                            <w:sz w:val="3"/>
                          </w:rPr>
                        </w:pPr>
                        <w:r>
                          <w:rPr>
                            <w:w w:val="105"/>
                            <w:sz w:val="3"/>
                          </w:rPr>
                          <w:t>1,20191265%</w:t>
                        </w:r>
                      </w:p>
                    </w:tc>
                    <w:tc>
                      <w:tcPr>
                        <w:tcW w:w="288" w:type="dxa"/>
                        <w:tcBorders>
                          <w:top w:val="single" w:sz="2" w:space="0" w:color="000000"/>
                          <w:left w:val="single" w:sz="2" w:space="0" w:color="000000"/>
                          <w:bottom w:val="single" w:sz="2" w:space="0" w:color="000000"/>
                          <w:right w:val="single" w:sz="2" w:space="0" w:color="000000"/>
                        </w:tcBorders>
                      </w:tcPr>
                      <w:p w14:paraId="044C4D85" w14:textId="77777777" w:rsidR="00F65BCA" w:rsidRDefault="00F65BCA">
                        <w:pPr>
                          <w:pStyle w:val="TableParagraph"/>
                          <w:rPr>
                            <w:rFonts w:ascii="Calibri"/>
                            <w:sz w:val="2"/>
                          </w:rPr>
                        </w:pPr>
                      </w:p>
                      <w:p w14:paraId="7E46A7D4" w14:textId="77777777" w:rsidR="00F65BCA" w:rsidRDefault="00216117">
                        <w:pPr>
                          <w:pStyle w:val="TableParagraph"/>
                          <w:ind w:left="24" w:right="24"/>
                          <w:jc w:val="center"/>
                          <w:rPr>
                            <w:sz w:val="3"/>
                          </w:rPr>
                        </w:pPr>
                        <w:r>
                          <w:rPr>
                            <w:w w:val="105"/>
                            <w:sz w:val="3"/>
                          </w:rPr>
                          <w:t>1,13467279%</w:t>
                        </w:r>
                      </w:p>
                    </w:tc>
                    <w:tc>
                      <w:tcPr>
                        <w:tcW w:w="288" w:type="dxa"/>
                        <w:tcBorders>
                          <w:top w:val="single" w:sz="2" w:space="0" w:color="000000"/>
                          <w:left w:val="single" w:sz="2" w:space="0" w:color="000000"/>
                          <w:bottom w:val="single" w:sz="2" w:space="0" w:color="000000"/>
                          <w:right w:val="single" w:sz="2" w:space="0" w:color="000000"/>
                        </w:tcBorders>
                      </w:tcPr>
                      <w:p w14:paraId="77A158EA" w14:textId="77777777" w:rsidR="00F65BCA" w:rsidRDefault="00F65BCA">
                        <w:pPr>
                          <w:pStyle w:val="TableParagraph"/>
                          <w:rPr>
                            <w:rFonts w:ascii="Calibri"/>
                            <w:sz w:val="2"/>
                          </w:rPr>
                        </w:pPr>
                      </w:p>
                      <w:p w14:paraId="03DCEE3D" w14:textId="77777777" w:rsidR="00F65BCA" w:rsidRDefault="00216117">
                        <w:pPr>
                          <w:pStyle w:val="TableParagraph"/>
                          <w:ind w:left="24" w:right="24"/>
                          <w:jc w:val="center"/>
                          <w:rPr>
                            <w:sz w:val="3"/>
                          </w:rPr>
                        </w:pPr>
                        <w:r>
                          <w:rPr>
                            <w:w w:val="105"/>
                            <w:sz w:val="3"/>
                          </w:rPr>
                          <w:t>1,07583790%</w:t>
                        </w:r>
                      </w:p>
                    </w:tc>
                    <w:tc>
                      <w:tcPr>
                        <w:tcW w:w="288" w:type="dxa"/>
                        <w:tcBorders>
                          <w:top w:val="single" w:sz="2" w:space="0" w:color="000000"/>
                          <w:left w:val="single" w:sz="2" w:space="0" w:color="000000"/>
                          <w:bottom w:val="single" w:sz="2" w:space="0" w:color="000000"/>
                          <w:right w:val="single" w:sz="2" w:space="0" w:color="000000"/>
                        </w:tcBorders>
                      </w:tcPr>
                      <w:p w14:paraId="4DAC5CEC" w14:textId="77777777" w:rsidR="00F65BCA" w:rsidRDefault="00F65BCA">
                        <w:pPr>
                          <w:pStyle w:val="TableParagraph"/>
                          <w:rPr>
                            <w:rFonts w:ascii="Calibri"/>
                            <w:sz w:val="2"/>
                          </w:rPr>
                        </w:pPr>
                      </w:p>
                      <w:p w14:paraId="68759D81" w14:textId="77777777" w:rsidR="00F65BCA" w:rsidRDefault="00216117">
                        <w:pPr>
                          <w:pStyle w:val="TableParagraph"/>
                          <w:ind w:left="24" w:right="24"/>
                          <w:jc w:val="center"/>
                          <w:rPr>
                            <w:sz w:val="3"/>
                          </w:rPr>
                        </w:pPr>
                        <w:r>
                          <w:rPr>
                            <w:w w:val="105"/>
                            <w:sz w:val="3"/>
                          </w:rPr>
                          <w:t>1,00019305%</w:t>
                        </w:r>
                      </w:p>
                    </w:tc>
                    <w:tc>
                      <w:tcPr>
                        <w:tcW w:w="288" w:type="dxa"/>
                        <w:tcBorders>
                          <w:top w:val="single" w:sz="2" w:space="0" w:color="000000"/>
                          <w:left w:val="single" w:sz="2" w:space="0" w:color="000000"/>
                          <w:bottom w:val="single" w:sz="2" w:space="0" w:color="000000"/>
                          <w:right w:val="single" w:sz="2" w:space="0" w:color="000000"/>
                        </w:tcBorders>
                      </w:tcPr>
                      <w:p w14:paraId="03283A8E" w14:textId="77777777" w:rsidR="00F65BCA" w:rsidRDefault="00F65BCA">
                        <w:pPr>
                          <w:pStyle w:val="TableParagraph"/>
                          <w:rPr>
                            <w:rFonts w:ascii="Calibri"/>
                            <w:sz w:val="2"/>
                          </w:rPr>
                        </w:pPr>
                      </w:p>
                      <w:p w14:paraId="395B0126" w14:textId="77777777" w:rsidR="00F65BCA" w:rsidRDefault="00216117">
                        <w:pPr>
                          <w:pStyle w:val="TableParagraph"/>
                          <w:ind w:left="24" w:right="24"/>
                          <w:jc w:val="center"/>
                          <w:rPr>
                            <w:sz w:val="3"/>
                          </w:rPr>
                        </w:pPr>
                        <w:r>
                          <w:rPr>
                            <w:w w:val="105"/>
                            <w:sz w:val="3"/>
                          </w:rPr>
                          <w:t>0,92454820%</w:t>
                        </w:r>
                      </w:p>
                    </w:tc>
                    <w:tc>
                      <w:tcPr>
                        <w:tcW w:w="288" w:type="dxa"/>
                        <w:tcBorders>
                          <w:top w:val="single" w:sz="2" w:space="0" w:color="000000"/>
                          <w:left w:val="single" w:sz="2" w:space="0" w:color="000000"/>
                          <w:bottom w:val="single" w:sz="2" w:space="0" w:color="000000"/>
                          <w:right w:val="single" w:sz="2" w:space="0" w:color="000000"/>
                        </w:tcBorders>
                      </w:tcPr>
                      <w:p w14:paraId="7347E50C" w14:textId="77777777" w:rsidR="00F65BCA" w:rsidRDefault="00F65BCA">
                        <w:pPr>
                          <w:pStyle w:val="TableParagraph"/>
                          <w:rPr>
                            <w:rFonts w:ascii="Calibri"/>
                            <w:sz w:val="2"/>
                          </w:rPr>
                        </w:pPr>
                      </w:p>
                      <w:p w14:paraId="282AF0D3" w14:textId="77777777" w:rsidR="00F65BCA" w:rsidRDefault="00216117">
                        <w:pPr>
                          <w:pStyle w:val="TableParagraph"/>
                          <w:ind w:left="24" w:right="24"/>
                          <w:jc w:val="center"/>
                          <w:rPr>
                            <w:sz w:val="3"/>
                          </w:rPr>
                        </w:pPr>
                        <w:r>
                          <w:rPr>
                            <w:w w:val="105"/>
                            <w:sz w:val="3"/>
                          </w:rPr>
                          <w:t>0,84049836%</w:t>
                        </w:r>
                      </w:p>
                    </w:tc>
                    <w:tc>
                      <w:tcPr>
                        <w:tcW w:w="288" w:type="dxa"/>
                        <w:tcBorders>
                          <w:top w:val="single" w:sz="2" w:space="0" w:color="000000"/>
                          <w:left w:val="single" w:sz="2" w:space="0" w:color="000000"/>
                          <w:bottom w:val="single" w:sz="2" w:space="0" w:color="000000"/>
                          <w:right w:val="single" w:sz="2" w:space="0" w:color="000000"/>
                        </w:tcBorders>
                      </w:tcPr>
                      <w:p w14:paraId="1265A50C" w14:textId="77777777" w:rsidR="00F65BCA" w:rsidRDefault="00F65BCA">
                        <w:pPr>
                          <w:pStyle w:val="TableParagraph"/>
                          <w:rPr>
                            <w:rFonts w:ascii="Calibri"/>
                            <w:sz w:val="2"/>
                          </w:rPr>
                        </w:pPr>
                      </w:p>
                      <w:p w14:paraId="60798165" w14:textId="77777777" w:rsidR="00F65BCA" w:rsidRDefault="00216117">
                        <w:pPr>
                          <w:pStyle w:val="TableParagraph"/>
                          <w:ind w:left="24" w:right="24"/>
                          <w:jc w:val="center"/>
                          <w:rPr>
                            <w:sz w:val="3"/>
                          </w:rPr>
                        </w:pPr>
                        <w:r>
                          <w:rPr>
                            <w:w w:val="105"/>
                            <w:sz w:val="3"/>
                          </w:rPr>
                          <w:t>0,84049836%</w:t>
                        </w:r>
                      </w:p>
                    </w:tc>
                    <w:tc>
                      <w:tcPr>
                        <w:tcW w:w="288" w:type="dxa"/>
                        <w:tcBorders>
                          <w:top w:val="single" w:sz="2" w:space="0" w:color="000000"/>
                          <w:left w:val="single" w:sz="2" w:space="0" w:color="000000"/>
                          <w:bottom w:val="single" w:sz="2" w:space="0" w:color="000000"/>
                          <w:right w:val="single" w:sz="2" w:space="0" w:color="000000"/>
                        </w:tcBorders>
                      </w:tcPr>
                      <w:p w14:paraId="3065D6D6" w14:textId="77777777" w:rsidR="00F65BCA" w:rsidRDefault="00F65BCA">
                        <w:pPr>
                          <w:pStyle w:val="TableParagraph"/>
                          <w:rPr>
                            <w:rFonts w:ascii="Calibri"/>
                            <w:sz w:val="2"/>
                          </w:rPr>
                        </w:pPr>
                      </w:p>
                      <w:p w14:paraId="4DEF8CBC" w14:textId="77777777" w:rsidR="00F65BCA" w:rsidRDefault="00216117">
                        <w:pPr>
                          <w:pStyle w:val="TableParagraph"/>
                          <w:ind w:left="24" w:right="24"/>
                          <w:jc w:val="center"/>
                          <w:rPr>
                            <w:sz w:val="3"/>
                          </w:rPr>
                        </w:pPr>
                        <w:r>
                          <w:rPr>
                            <w:w w:val="105"/>
                            <w:sz w:val="3"/>
                          </w:rPr>
                          <w:t>1,00859803%</w:t>
                        </w:r>
                      </w:p>
                    </w:tc>
                    <w:tc>
                      <w:tcPr>
                        <w:tcW w:w="288" w:type="dxa"/>
                        <w:tcBorders>
                          <w:top w:val="single" w:sz="2" w:space="0" w:color="000000"/>
                          <w:left w:val="single" w:sz="2" w:space="0" w:color="000000"/>
                          <w:bottom w:val="single" w:sz="2" w:space="0" w:color="000000"/>
                          <w:right w:val="single" w:sz="2" w:space="0" w:color="000000"/>
                        </w:tcBorders>
                      </w:tcPr>
                      <w:p w14:paraId="79F6DC97" w14:textId="77777777" w:rsidR="00F65BCA" w:rsidRDefault="00F65BCA">
                        <w:pPr>
                          <w:pStyle w:val="TableParagraph"/>
                          <w:rPr>
                            <w:rFonts w:ascii="Calibri"/>
                            <w:sz w:val="2"/>
                          </w:rPr>
                        </w:pPr>
                      </w:p>
                      <w:p w14:paraId="0E7973F6" w14:textId="77777777" w:rsidR="00F65BCA" w:rsidRDefault="00216117">
                        <w:pPr>
                          <w:pStyle w:val="TableParagraph"/>
                          <w:ind w:left="24" w:right="24"/>
                          <w:jc w:val="center"/>
                          <w:rPr>
                            <w:sz w:val="3"/>
                          </w:rPr>
                        </w:pPr>
                        <w:r>
                          <w:rPr>
                            <w:w w:val="105"/>
                            <w:sz w:val="3"/>
                          </w:rPr>
                          <w:t>1,13467279%</w:t>
                        </w:r>
                      </w:p>
                    </w:tc>
                    <w:tc>
                      <w:tcPr>
                        <w:tcW w:w="288" w:type="dxa"/>
                        <w:tcBorders>
                          <w:top w:val="single" w:sz="2" w:space="0" w:color="000000"/>
                          <w:left w:val="single" w:sz="2" w:space="0" w:color="000000"/>
                          <w:bottom w:val="single" w:sz="2" w:space="0" w:color="000000"/>
                          <w:right w:val="single" w:sz="2" w:space="0" w:color="000000"/>
                        </w:tcBorders>
                      </w:tcPr>
                      <w:p w14:paraId="64625571" w14:textId="77777777" w:rsidR="00F65BCA" w:rsidRDefault="00F65BCA">
                        <w:pPr>
                          <w:pStyle w:val="TableParagraph"/>
                          <w:rPr>
                            <w:rFonts w:ascii="Calibri"/>
                            <w:sz w:val="2"/>
                          </w:rPr>
                        </w:pPr>
                      </w:p>
                      <w:p w14:paraId="2B74CF48" w14:textId="77777777" w:rsidR="00F65BCA" w:rsidRDefault="00216117">
                        <w:pPr>
                          <w:pStyle w:val="TableParagraph"/>
                          <w:ind w:left="24" w:right="24"/>
                          <w:jc w:val="center"/>
                          <w:rPr>
                            <w:sz w:val="3"/>
                          </w:rPr>
                        </w:pPr>
                        <w:r>
                          <w:rPr>
                            <w:w w:val="105"/>
                            <w:sz w:val="3"/>
                          </w:rPr>
                          <w:t>1,13467279%</w:t>
                        </w:r>
                      </w:p>
                    </w:tc>
                    <w:tc>
                      <w:tcPr>
                        <w:tcW w:w="288" w:type="dxa"/>
                        <w:tcBorders>
                          <w:top w:val="single" w:sz="2" w:space="0" w:color="000000"/>
                          <w:left w:val="single" w:sz="2" w:space="0" w:color="000000"/>
                          <w:bottom w:val="single" w:sz="2" w:space="0" w:color="000000"/>
                          <w:right w:val="single" w:sz="2" w:space="0" w:color="000000"/>
                        </w:tcBorders>
                      </w:tcPr>
                      <w:p w14:paraId="3B40C0F8" w14:textId="77777777" w:rsidR="00F65BCA" w:rsidRDefault="00F65BCA">
                        <w:pPr>
                          <w:pStyle w:val="TableParagraph"/>
                          <w:rPr>
                            <w:rFonts w:ascii="Calibri"/>
                            <w:sz w:val="2"/>
                          </w:rPr>
                        </w:pPr>
                      </w:p>
                      <w:p w14:paraId="3E37AC55" w14:textId="77777777" w:rsidR="00F65BCA" w:rsidRDefault="00216117">
                        <w:pPr>
                          <w:pStyle w:val="TableParagraph"/>
                          <w:ind w:left="24" w:right="24"/>
                          <w:jc w:val="center"/>
                          <w:rPr>
                            <w:sz w:val="3"/>
                          </w:rPr>
                        </w:pPr>
                        <w:r>
                          <w:rPr>
                            <w:w w:val="105"/>
                            <w:sz w:val="3"/>
                          </w:rPr>
                          <w:t>1,26074754%</w:t>
                        </w:r>
                      </w:p>
                    </w:tc>
                  </w:tr>
                  <w:tr w:rsidR="00F65BCA" w14:paraId="3573504A"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04F18AF9"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416D178C"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112D2C54"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D0A5D86" w14:textId="77777777" w:rsidR="00F65BCA" w:rsidRDefault="00F65BCA">
                        <w:pPr>
                          <w:pStyle w:val="TableParagraph"/>
                          <w:rPr>
                            <w:rFonts w:ascii="Calibri"/>
                            <w:sz w:val="2"/>
                          </w:rPr>
                        </w:pPr>
                      </w:p>
                      <w:p w14:paraId="61B28A56"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971E8F9" w14:textId="77777777" w:rsidR="00F65BCA" w:rsidRDefault="00F65BCA">
                        <w:pPr>
                          <w:pStyle w:val="TableParagraph"/>
                          <w:rPr>
                            <w:rFonts w:ascii="Calibri"/>
                            <w:sz w:val="2"/>
                          </w:rPr>
                        </w:pPr>
                      </w:p>
                      <w:p w14:paraId="4203693B"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7E8CEEF"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95759C6" w14:textId="77777777" w:rsidR="00F65BCA" w:rsidRDefault="00F65BCA">
                        <w:pPr>
                          <w:pStyle w:val="TableParagraph"/>
                          <w:rPr>
                            <w:rFonts w:ascii="Calibri"/>
                            <w:sz w:val="2"/>
                          </w:rPr>
                        </w:pPr>
                      </w:p>
                      <w:p w14:paraId="071BEE8E" w14:textId="77777777" w:rsidR="00F65BCA" w:rsidRDefault="00216117">
                        <w:pPr>
                          <w:pStyle w:val="TableParagraph"/>
                          <w:ind w:left="24" w:right="24"/>
                          <w:jc w:val="center"/>
                          <w:rPr>
                            <w:sz w:val="3"/>
                          </w:rPr>
                        </w:pPr>
                        <w:r>
                          <w:rPr>
                            <w:w w:val="105"/>
                            <w:sz w:val="3"/>
                          </w:rPr>
                          <w:t>1,62451523%</w:t>
                        </w:r>
                      </w:p>
                    </w:tc>
                    <w:tc>
                      <w:tcPr>
                        <w:tcW w:w="288" w:type="dxa"/>
                        <w:tcBorders>
                          <w:top w:val="single" w:sz="2" w:space="0" w:color="000000"/>
                          <w:left w:val="single" w:sz="2" w:space="0" w:color="000000"/>
                          <w:bottom w:val="single" w:sz="2" w:space="0" w:color="000000"/>
                          <w:right w:val="single" w:sz="2" w:space="0" w:color="000000"/>
                        </w:tcBorders>
                      </w:tcPr>
                      <w:p w14:paraId="559B6718" w14:textId="77777777" w:rsidR="00F65BCA" w:rsidRDefault="00F65BCA">
                        <w:pPr>
                          <w:pStyle w:val="TableParagraph"/>
                          <w:rPr>
                            <w:rFonts w:ascii="Calibri"/>
                            <w:sz w:val="2"/>
                          </w:rPr>
                        </w:pPr>
                      </w:p>
                      <w:p w14:paraId="45CEF5AF" w14:textId="77777777" w:rsidR="00F65BCA" w:rsidRDefault="00216117">
                        <w:pPr>
                          <w:pStyle w:val="TableParagraph"/>
                          <w:ind w:left="24" w:right="24"/>
                          <w:jc w:val="center"/>
                          <w:rPr>
                            <w:sz w:val="3"/>
                          </w:rPr>
                        </w:pPr>
                        <w:r>
                          <w:rPr>
                            <w:w w:val="105"/>
                            <w:sz w:val="3"/>
                          </w:rPr>
                          <w:t>1,52298303%</w:t>
                        </w:r>
                      </w:p>
                    </w:tc>
                    <w:tc>
                      <w:tcPr>
                        <w:tcW w:w="288" w:type="dxa"/>
                        <w:tcBorders>
                          <w:top w:val="single" w:sz="2" w:space="0" w:color="000000"/>
                          <w:left w:val="single" w:sz="2" w:space="0" w:color="000000"/>
                          <w:bottom w:val="single" w:sz="2" w:space="0" w:color="000000"/>
                          <w:right w:val="single" w:sz="2" w:space="0" w:color="000000"/>
                        </w:tcBorders>
                      </w:tcPr>
                      <w:p w14:paraId="2FB41EFB" w14:textId="77777777" w:rsidR="00F65BCA" w:rsidRDefault="00F65BCA">
                        <w:pPr>
                          <w:pStyle w:val="TableParagraph"/>
                          <w:rPr>
                            <w:rFonts w:ascii="Calibri"/>
                            <w:sz w:val="2"/>
                          </w:rPr>
                        </w:pPr>
                      </w:p>
                      <w:p w14:paraId="2C1545F2" w14:textId="77777777" w:rsidR="00F65BCA" w:rsidRDefault="00216117">
                        <w:pPr>
                          <w:pStyle w:val="TableParagraph"/>
                          <w:ind w:left="24" w:right="24"/>
                          <w:jc w:val="center"/>
                          <w:rPr>
                            <w:sz w:val="3"/>
                          </w:rPr>
                        </w:pPr>
                        <w:r>
                          <w:rPr>
                            <w:w w:val="105"/>
                            <w:sz w:val="3"/>
                          </w:rPr>
                          <w:t>1,45191049%</w:t>
                        </w:r>
                      </w:p>
                    </w:tc>
                    <w:tc>
                      <w:tcPr>
                        <w:tcW w:w="288" w:type="dxa"/>
                        <w:tcBorders>
                          <w:top w:val="single" w:sz="2" w:space="0" w:color="000000"/>
                          <w:left w:val="single" w:sz="2" w:space="0" w:color="000000"/>
                          <w:bottom w:val="single" w:sz="2" w:space="0" w:color="000000"/>
                          <w:right w:val="single" w:sz="2" w:space="0" w:color="000000"/>
                        </w:tcBorders>
                      </w:tcPr>
                      <w:p w14:paraId="472928AF" w14:textId="77777777" w:rsidR="00F65BCA" w:rsidRDefault="00F65BCA">
                        <w:pPr>
                          <w:pStyle w:val="TableParagraph"/>
                          <w:rPr>
                            <w:rFonts w:ascii="Calibri"/>
                            <w:sz w:val="2"/>
                          </w:rPr>
                        </w:pPr>
                      </w:p>
                      <w:p w14:paraId="110A9E44" w14:textId="77777777" w:rsidR="00F65BCA" w:rsidRDefault="00216117">
                        <w:pPr>
                          <w:pStyle w:val="TableParagraph"/>
                          <w:ind w:left="24" w:right="24"/>
                          <w:jc w:val="center"/>
                          <w:rPr>
                            <w:sz w:val="3"/>
                          </w:rPr>
                        </w:pPr>
                        <w:r>
                          <w:rPr>
                            <w:w w:val="105"/>
                            <w:sz w:val="3"/>
                          </w:rPr>
                          <w:t>1,37068473%</w:t>
                        </w:r>
                      </w:p>
                    </w:tc>
                    <w:tc>
                      <w:tcPr>
                        <w:tcW w:w="288" w:type="dxa"/>
                        <w:tcBorders>
                          <w:top w:val="single" w:sz="2" w:space="0" w:color="000000"/>
                          <w:left w:val="single" w:sz="2" w:space="0" w:color="000000"/>
                          <w:bottom w:val="single" w:sz="2" w:space="0" w:color="000000"/>
                          <w:right w:val="single" w:sz="2" w:space="0" w:color="000000"/>
                        </w:tcBorders>
                      </w:tcPr>
                      <w:p w14:paraId="5F663E44" w14:textId="77777777" w:rsidR="00F65BCA" w:rsidRDefault="00F65BCA">
                        <w:pPr>
                          <w:pStyle w:val="TableParagraph"/>
                          <w:rPr>
                            <w:rFonts w:ascii="Calibri"/>
                            <w:sz w:val="2"/>
                          </w:rPr>
                        </w:pPr>
                      </w:p>
                      <w:p w14:paraId="706F8CF1" w14:textId="77777777" w:rsidR="00F65BCA" w:rsidRDefault="00216117">
                        <w:pPr>
                          <w:pStyle w:val="TableParagraph"/>
                          <w:ind w:left="24" w:right="24"/>
                          <w:jc w:val="center"/>
                          <w:rPr>
                            <w:sz w:val="3"/>
                          </w:rPr>
                        </w:pPr>
                        <w:r>
                          <w:rPr>
                            <w:w w:val="105"/>
                            <w:sz w:val="3"/>
                          </w:rPr>
                          <w:t>1,29961218%</w:t>
                        </w:r>
                      </w:p>
                    </w:tc>
                    <w:tc>
                      <w:tcPr>
                        <w:tcW w:w="288" w:type="dxa"/>
                        <w:tcBorders>
                          <w:top w:val="single" w:sz="2" w:space="0" w:color="000000"/>
                          <w:left w:val="single" w:sz="2" w:space="0" w:color="000000"/>
                          <w:bottom w:val="single" w:sz="2" w:space="0" w:color="000000"/>
                          <w:right w:val="single" w:sz="2" w:space="0" w:color="000000"/>
                        </w:tcBorders>
                      </w:tcPr>
                      <w:p w14:paraId="027EFC61" w14:textId="77777777" w:rsidR="00F65BCA" w:rsidRDefault="00F65BCA">
                        <w:pPr>
                          <w:pStyle w:val="TableParagraph"/>
                          <w:rPr>
                            <w:rFonts w:ascii="Calibri"/>
                            <w:sz w:val="2"/>
                          </w:rPr>
                        </w:pPr>
                      </w:p>
                      <w:p w14:paraId="5CA4CE68" w14:textId="77777777" w:rsidR="00F65BCA" w:rsidRDefault="00216117">
                        <w:pPr>
                          <w:pStyle w:val="TableParagraph"/>
                          <w:ind w:left="24" w:right="24"/>
                          <w:jc w:val="center"/>
                          <w:rPr>
                            <w:sz w:val="3"/>
                          </w:rPr>
                        </w:pPr>
                        <w:r>
                          <w:rPr>
                            <w:w w:val="105"/>
                            <w:sz w:val="3"/>
                          </w:rPr>
                          <w:t>1,20823320%</w:t>
                        </w:r>
                      </w:p>
                    </w:tc>
                    <w:tc>
                      <w:tcPr>
                        <w:tcW w:w="288" w:type="dxa"/>
                        <w:tcBorders>
                          <w:top w:val="single" w:sz="2" w:space="0" w:color="000000"/>
                          <w:left w:val="single" w:sz="2" w:space="0" w:color="000000"/>
                          <w:bottom w:val="single" w:sz="2" w:space="0" w:color="000000"/>
                          <w:right w:val="single" w:sz="2" w:space="0" w:color="000000"/>
                        </w:tcBorders>
                      </w:tcPr>
                      <w:p w14:paraId="398F5C54" w14:textId="77777777" w:rsidR="00F65BCA" w:rsidRDefault="00F65BCA">
                        <w:pPr>
                          <w:pStyle w:val="TableParagraph"/>
                          <w:rPr>
                            <w:rFonts w:ascii="Calibri"/>
                            <w:sz w:val="2"/>
                          </w:rPr>
                        </w:pPr>
                      </w:p>
                      <w:p w14:paraId="4BD5C640" w14:textId="77777777" w:rsidR="00F65BCA" w:rsidRDefault="00216117">
                        <w:pPr>
                          <w:pStyle w:val="TableParagraph"/>
                          <w:ind w:left="24" w:right="24"/>
                          <w:jc w:val="center"/>
                          <w:rPr>
                            <w:sz w:val="3"/>
                          </w:rPr>
                        </w:pPr>
                        <w:r>
                          <w:rPr>
                            <w:w w:val="105"/>
                            <w:sz w:val="3"/>
                          </w:rPr>
                          <w:t>1,11685422%</w:t>
                        </w:r>
                      </w:p>
                    </w:tc>
                    <w:tc>
                      <w:tcPr>
                        <w:tcW w:w="288" w:type="dxa"/>
                        <w:tcBorders>
                          <w:top w:val="single" w:sz="2" w:space="0" w:color="000000"/>
                          <w:left w:val="single" w:sz="2" w:space="0" w:color="000000"/>
                          <w:bottom w:val="single" w:sz="2" w:space="0" w:color="000000"/>
                          <w:right w:val="single" w:sz="2" w:space="0" w:color="000000"/>
                        </w:tcBorders>
                      </w:tcPr>
                      <w:p w14:paraId="632366E1" w14:textId="77777777" w:rsidR="00F65BCA" w:rsidRDefault="00F65BCA">
                        <w:pPr>
                          <w:pStyle w:val="TableParagraph"/>
                          <w:rPr>
                            <w:rFonts w:ascii="Calibri"/>
                            <w:sz w:val="2"/>
                          </w:rPr>
                        </w:pPr>
                      </w:p>
                      <w:p w14:paraId="602EB993" w14:textId="77777777" w:rsidR="00F65BCA" w:rsidRDefault="00216117">
                        <w:pPr>
                          <w:pStyle w:val="TableParagraph"/>
                          <w:ind w:left="24" w:right="24"/>
                          <w:jc w:val="center"/>
                          <w:rPr>
                            <w:sz w:val="3"/>
                          </w:rPr>
                        </w:pPr>
                        <w:r>
                          <w:rPr>
                            <w:w w:val="105"/>
                            <w:sz w:val="3"/>
                          </w:rPr>
                          <w:t>1,01532202%</w:t>
                        </w:r>
                      </w:p>
                    </w:tc>
                    <w:tc>
                      <w:tcPr>
                        <w:tcW w:w="288" w:type="dxa"/>
                        <w:tcBorders>
                          <w:top w:val="single" w:sz="2" w:space="0" w:color="000000"/>
                          <w:left w:val="single" w:sz="2" w:space="0" w:color="000000"/>
                          <w:bottom w:val="single" w:sz="2" w:space="0" w:color="000000"/>
                          <w:right w:val="single" w:sz="2" w:space="0" w:color="000000"/>
                        </w:tcBorders>
                      </w:tcPr>
                      <w:p w14:paraId="7B92358F" w14:textId="77777777" w:rsidR="00F65BCA" w:rsidRDefault="00F65BCA">
                        <w:pPr>
                          <w:pStyle w:val="TableParagraph"/>
                          <w:rPr>
                            <w:rFonts w:ascii="Calibri"/>
                            <w:sz w:val="2"/>
                          </w:rPr>
                        </w:pPr>
                      </w:p>
                      <w:p w14:paraId="331DA423" w14:textId="77777777" w:rsidR="00F65BCA" w:rsidRDefault="00216117">
                        <w:pPr>
                          <w:pStyle w:val="TableParagraph"/>
                          <w:ind w:left="24" w:right="24"/>
                          <w:jc w:val="center"/>
                          <w:rPr>
                            <w:sz w:val="3"/>
                          </w:rPr>
                        </w:pPr>
                        <w:r>
                          <w:rPr>
                            <w:w w:val="105"/>
                            <w:sz w:val="3"/>
                          </w:rPr>
                          <w:t>1,01532202%</w:t>
                        </w:r>
                      </w:p>
                    </w:tc>
                    <w:tc>
                      <w:tcPr>
                        <w:tcW w:w="288" w:type="dxa"/>
                        <w:tcBorders>
                          <w:top w:val="single" w:sz="2" w:space="0" w:color="000000"/>
                          <w:left w:val="single" w:sz="2" w:space="0" w:color="000000"/>
                          <w:bottom w:val="single" w:sz="2" w:space="0" w:color="000000"/>
                          <w:right w:val="single" w:sz="2" w:space="0" w:color="000000"/>
                        </w:tcBorders>
                      </w:tcPr>
                      <w:p w14:paraId="132EAFDB" w14:textId="77777777" w:rsidR="00F65BCA" w:rsidRDefault="00F65BCA">
                        <w:pPr>
                          <w:pStyle w:val="TableParagraph"/>
                          <w:rPr>
                            <w:rFonts w:ascii="Calibri"/>
                            <w:sz w:val="2"/>
                          </w:rPr>
                        </w:pPr>
                      </w:p>
                      <w:p w14:paraId="011D0F92" w14:textId="77777777" w:rsidR="00F65BCA" w:rsidRDefault="00216117">
                        <w:pPr>
                          <w:pStyle w:val="TableParagraph"/>
                          <w:ind w:left="24" w:right="24"/>
                          <w:jc w:val="center"/>
                          <w:rPr>
                            <w:sz w:val="3"/>
                          </w:rPr>
                        </w:pPr>
                        <w:r>
                          <w:rPr>
                            <w:w w:val="105"/>
                            <w:sz w:val="3"/>
                          </w:rPr>
                          <w:t>1,21838642%</w:t>
                        </w:r>
                      </w:p>
                    </w:tc>
                    <w:tc>
                      <w:tcPr>
                        <w:tcW w:w="288" w:type="dxa"/>
                        <w:tcBorders>
                          <w:top w:val="single" w:sz="2" w:space="0" w:color="000000"/>
                          <w:left w:val="single" w:sz="2" w:space="0" w:color="000000"/>
                          <w:bottom w:val="single" w:sz="2" w:space="0" w:color="000000"/>
                          <w:right w:val="single" w:sz="2" w:space="0" w:color="000000"/>
                        </w:tcBorders>
                      </w:tcPr>
                      <w:p w14:paraId="52EB118E" w14:textId="77777777" w:rsidR="00F65BCA" w:rsidRDefault="00F65BCA">
                        <w:pPr>
                          <w:pStyle w:val="TableParagraph"/>
                          <w:rPr>
                            <w:rFonts w:ascii="Calibri"/>
                            <w:sz w:val="2"/>
                          </w:rPr>
                        </w:pPr>
                      </w:p>
                      <w:p w14:paraId="1F0D534C" w14:textId="77777777" w:rsidR="00F65BCA" w:rsidRDefault="00216117">
                        <w:pPr>
                          <w:pStyle w:val="TableParagraph"/>
                          <w:ind w:left="24" w:right="24"/>
                          <w:jc w:val="center"/>
                          <w:rPr>
                            <w:sz w:val="3"/>
                          </w:rPr>
                        </w:pPr>
                        <w:r>
                          <w:rPr>
                            <w:w w:val="105"/>
                            <w:sz w:val="3"/>
                          </w:rPr>
                          <w:t>1,37068473%</w:t>
                        </w:r>
                      </w:p>
                    </w:tc>
                    <w:tc>
                      <w:tcPr>
                        <w:tcW w:w="288" w:type="dxa"/>
                        <w:tcBorders>
                          <w:top w:val="single" w:sz="2" w:space="0" w:color="000000"/>
                          <w:left w:val="single" w:sz="2" w:space="0" w:color="000000"/>
                          <w:bottom w:val="single" w:sz="2" w:space="0" w:color="000000"/>
                          <w:right w:val="single" w:sz="2" w:space="0" w:color="000000"/>
                        </w:tcBorders>
                      </w:tcPr>
                      <w:p w14:paraId="5D416053" w14:textId="77777777" w:rsidR="00F65BCA" w:rsidRDefault="00F65BCA">
                        <w:pPr>
                          <w:pStyle w:val="TableParagraph"/>
                          <w:rPr>
                            <w:rFonts w:ascii="Calibri"/>
                            <w:sz w:val="2"/>
                          </w:rPr>
                        </w:pPr>
                      </w:p>
                      <w:p w14:paraId="30194890" w14:textId="77777777" w:rsidR="00F65BCA" w:rsidRDefault="00216117">
                        <w:pPr>
                          <w:pStyle w:val="TableParagraph"/>
                          <w:ind w:left="24" w:right="24"/>
                          <w:jc w:val="center"/>
                          <w:rPr>
                            <w:sz w:val="3"/>
                          </w:rPr>
                        </w:pPr>
                        <w:r>
                          <w:rPr>
                            <w:w w:val="105"/>
                            <w:sz w:val="3"/>
                          </w:rPr>
                          <w:t>1,37068473%</w:t>
                        </w:r>
                      </w:p>
                    </w:tc>
                    <w:tc>
                      <w:tcPr>
                        <w:tcW w:w="288" w:type="dxa"/>
                        <w:tcBorders>
                          <w:top w:val="single" w:sz="2" w:space="0" w:color="000000"/>
                          <w:left w:val="single" w:sz="2" w:space="0" w:color="000000"/>
                          <w:bottom w:val="single" w:sz="2" w:space="0" w:color="000000"/>
                          <w:right w:val="single" w:sz="2" w:space="0" w:color="000000"/>
                        </w:tcBorders>
                      </w:tcPr>
                      <w:p w14:paraId="5501922E" w14:textId="77777777" w:rsidR="00F65BCA" w:rsidRDefault="00F65BCA">
                        <w:pPr>
                          <w:pStyle w:val="TableParagraph"/>
                          <w:rPr>
                            <w:rFonts w:ascii="Calibri"/>
                            <w:sz w:val="2"/>
                          </w:rPr>
                        </w:pPr>
                      </w:p>
                      <w:p w14:paraId="3851CEB2" w14:textId="77777777" w:rsidR="00F65BCA" w:rsidRDefault="00216117">
                        <w:pPr>
                          <w:pStyle w:val="TableParagraph"/>
                          <w:ind w:left="24" w:right="24"/>
                          <w:jc w:val="center"/>
                          <w:rPr>
                            <w:sz w:val="3"/>
                          </w:rPr>
                        </w:pPr>
                        <w:r>
                          <w:rPr>
                            <w:w w:val="105"/>
                            <w:sz w:val="3"/>
                          </w:rPr>
                          <w:t>1,52298303%</w:t>
                        </w:r>
                      </w:p>
                    </w:tc>
                  </w:tr>
                  <w:tr w:rsidR="00F65BCA" w14:paraId="47C51FFD"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23DC079E"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4B1CFEFB" w14:textId="77777777" w:rsidR="00F65BCA" w:rsidRDefault="00F65BCA">
                        <w:pPr>
                          <w:pStyle w:val="TableParagraph"/>
                          <w:rPr>
                            <w:rFonts w:ascii="Calibri"/>
                            <w:sz w:val="2"/>
                          </w:rPr>
                        </w:pPr>
                      </w:p>
                      <w:p w14:paraId="326EC112" w14:textId="77777777" w:rsidR="00F65BCA" w:rsidRDefault="00F65BCA">
                        <w:pPr>
                          <w:pStyle w:val="TableParagraph"/>
                          <w:rPr>
                            <w:rFonts w:ascii="Calibri"/>
                            <w:sz w:val="2"/>
                          </w:rPr>
                        </w:pPr>
                      </w:p>
                      <w:p w14:paraId="5DF199DE" w14:textId="77777777" w:rsidR="00F65BCA" w:rsidRDefault="00F65BCA">
                        <w:pPr>
                          <w:pStyle w:val="TableParagraph"/>
                          <w:rPr>
                            <w:rFonts w:ascii="Calibri"/>
                            <w:sz w:val="2"/>
                          </w:rPr>
                        </w:pPr>
                      </w:p>
                      <w:p w14:paraId="18A8BAAF" w14:textId="77777777" w:rsidR="00F65BCA" w:rsidRDefault="00F65BCA">
                        <w:pPr>
                          <w:pStyle w:val="TableParagraph"/>
                          <w:rPr>
                            <w:rFonts w:ascii="Calibri"/>
                            <w:sz w:val="2"/>
                          </w:rPr>
                        </w:pPr>
                      </w:p>
                      <w:p w14:paraId="1C0E87AB" w14:textId="77777777" w:rsidR="00F65BCA" w:rsidRDefault="00F65BCA">
                        <w:pPr>
                          <w:pStyle w:val="TableParagraph"/>
                          <w:rPr>
                            <w:rFonts w:ascii="Calibri"/>
                            <w:sz w:val="2"/>
                          </w:rPr>
                        </w:pPr>
                      </w:p>
                      <w:p w14:paraId="74777885" w14:textId="77777777" w:rsidR="00F65BCA" w:rsidRDefault="00F65BCA">
                        <w:pPr>
                          <w:pStyle w:val="TableParagraph"/>
                          <w:rPr>
                            <w:rFonts w:ascii="Calibri"/>
                            <w:sz w:val="2"/>
                          </w:rPr>
                        </w:pPr>
                      </w:p>
                      <w:p w14:paraId="26577882" w14:textId="77777777" w:rsidR="00F65BCA" w:rsidRDefault="00F65BCA">
                        <w:pPr>
                          <w:pStyle w:val="TableParagraph"/>
                          <w:rPr>
                            <w:rFonts w:ascii="Calibri"/>
                            <w:sz w:val="2"/>
                          </w:rPr>
                        </w:pPr>
                      </w:p>
                      <w:p w14:paraId="04B6E62D" w14:textId="77777777" w:rsidR="00F65BCA" w:rsidRDefault="00F65BCA">
                        <w:pPr>
                          <w:pStyle w:val="TableParagraph"/>
                          <w:rPr>
                            <w:rFonts w:ascii="Calibri"/>
                            <w:sz w:val="2"/>
                          </w:rPr>
                        </w:pPr>
                      </w:p>
                      <w:p w14:paraId="77A902BE" w14:textId="77777777" w:rsidR="00F65BCA" w:rsidRDefault="00F65BCA">
                        <w:pPr>
                          <w:pStyle w:val="TableParagraph"/>
                          <w:rPr>
                            <w:rFonts w:ascii="Calibri"/>
                            <w:sz w:val="2"/>
                          </w:rPr>
                        </w:pPr>
                      </w:p>
                      <w:p w14:paraId="29DB2E48" w14:textId="77777777" w:rsidR="00F65BCA" w:rsidRDefault="00F65BCA">
                        <w:pPr>
                          <w:pStyle w:val="TableParagraph"/>
                          <w:rPr>
                            <w:rFonts w:ascii="Calibri"/>
                            <w:sz w:val="2"/>
                          </w:rPr>
                        </w:pPr>
                      </w:p>
                      <w:p w14:paraId="588B525A" w14:textId="77777777" w:rsidR="00F65BCA" w:rsidRDefault="00F65BCA">
                        <w:pPr>
                          <w:pStyle w:val="TableParagraph"/>
                          <w:rPr>
                            <w:rFonts w:ascii="Calibri"/>
                            <w:sz w:val="2"/>
                          </w:rPr>
                        </w:pPr>
                      </w:p>
                      <w:p w14:paraId="73E32A7F" w14:textId="77777777" w:rsidR="00F65BCA" w:rsidRDefault="00F65BCA">
                        <w:pPr>
                          <w:pStyle w:val="TableParagraph"/>
                          <w:rPr>
                            <w:rFonts w:ascii="Calibri"/>
                            <w:sz w:val="2"/>
                          </w:rPr>
                        </w:pPr>
                      </w:p>
                      <w:p w14:paraId="6CE2483D" w14:textId="77777777" w:rsidR="00F65BCA" w:rsidRDefault="00F65BCA">
                        <w:pPr>
                          <w:pStyle w:val="TableParagraph"/>
                          <w:rPr>
                            <w:rFonts w:ascii="Calibri"/>
                            <w:sz w:val="2"/>
                          </w:rPr>
                        </w:pPr>
                      </w:p>
                      <w:p w14:paraId="3FFA40F9" w14:textId="77777777" w:rsidR="00F65BCA" w:rsidRDefault="00216117">
                        <w:pPr>
                          <w:pStyle w:val="TableParagraph"/>
                          <w:ind w:left="18" w:right="18"/>
                          <w:jc w:val="center"/>
                          <w:rPr>
                            <w:sz w:val="3"/>
                          </w:rPr>
                        </w:pPr>
                        <w:r>
                          <w:rPr>
                            <w:w w:val="105"/>
                            <w:sz w:val="3"/>
                          </w:rPr>
                          <w:t>VW</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7E9B7130" w14:textId="77777777" w:rsidR="00F65BCA" w:rsidRDefault="00F65BCA">
                        <w:pPr>
                          <w:pStyle w:val="TableParagraph"/>
                          <w:rPr>
                            <w:rFonts w:ascii="Calibri"/>
                            <w:sz w:val="2"/>
                          </w:rPr>
                        </w:pPr>
                      </w:p>
                      <w:p w14:paraId="2C522B63" w14:textId="77777777" w:rsidR="00F65BCA" w:rsidRDefault="00216117">
                        <w:pPr>
                          <w:pStyle w:val="TableParagraph"/>
                          <w:spacing w:line="40" w:lineRule="atLeast"/>
                          <w:ind w:left="4" w:right="11"/>
                          <w:jc w:val="both"/>
                          <w:rPr>
                            <w:sz w:val="3"/>
                          </w:rPr>
                        </w:pPr>
                        <w:r>
                          <w:rPr>
                            <w:w w:val="105"/>
                            <w:sz w:val="3"/>
                          </w:rPr>
                          <w:t>CADDY</w:t>
                        </w:r>
                        <w:r>
                          <w:rPr>
                            <w:spacing w:val="-3"/>
                            <w:w w:val="105"/>
                            <w:sz w:val="3"/>
                          </w:rPr>
                          <w:t xml:space="preserve"> </w:t>
                        </w:r>
                        <w:r>
                          <w:rPr>
                            <w:w w:val="105"/>
                            <w:sz w:val="3"/>
                          </w:rPr>
                          <w:t>MAXI;</w:t>
                        </w:r>
                        <w:r>
                          <w:rPr>
                            <w:spacing w:val="-2"/>
                            <w:w w:val="105"/>
                            <w:sz w:val="3"/>
                          </w:rPr>
                          <w:t xml:space="preserve"> </w:t>
                        </w:r>
                        <w:r>
                          <w:rPr>
                            <w:w w:val="105"/>
                            <w:sz w:val="3"/>
                          </w:rPr>
                          <w:t>CADDY</w:t>
                        </w:r>
                        <w:r>
                          <w:rPr>
                            <w:spacing w:val="-2"/>
                            <w:w w:val="105"/>
                            <w:sz w:val="3"/>
                          </w:rPr>
                          <w:t xml:space="preserve"> </w:t>
                        </w:r>
                        <w:r>
                          <w:rPr>
                            <w:w w:val="105"/>
                            <w:sz w:val="3"/>
                          </w:rPr>
                          <w:t>MAXI</w:t>
                        </w:r>
                        <w:r>
                          <w:rPr>
                            <w:spacing w:val="-4"/>
                            <w:w w:val="105"/>
                            <w:sz w:val="3"/>
                          </w:rPr>
                          <w:t xml:space="preserve"> </w:t>
                        </w:r>
                        <w:r>
                          <w:rPr>
                            <w:w w:val="105"/>
                            <w:sz w:val="3"/>
                          </w:rPr>
                          <w:t>KOMBI;</w:t>
                        </w:r>
                        <w:r>
                          <w:rPr>
                            <w:spacing w:val="-3"/>
                            <w:w w:val="105"/>
                            <w:sz w:val="3"/>
                          </w:rPr>
                          <w:t xml:space="preserve"> </w:t>
                        </w:r>
                        <w:r>
                          <w:rPr>
                            <w:w w:val="105"/>
                            <w:sz w:val="3"/>
                          </w:rPr>
                          <w:t>CADDY</w:t>
                        </w:r>
                        <w:r>
                          <w:rPr>
                            <w:spacing w:val="-2"/>
                            <w:w w:val="105"/>
                            <w:sz w:val="3"/>
                          </w:rPr>
                          <w:t xml:space="preserve"> </w:t>
                        </w:r>
                        <w:r>
                          <w:rPr>
                            <w:w w:val="105"/>
                            <w:sz w:val="3"/>
                          </w:rPr>
                          <w:t>VAN;</w:t>
                        </w:r>
                        <w:r>
                          <w:rPr>
                            <w:spacing w:val="-2"/>
                            <w:w w:val="105"/>
                            <w:sz w:val="3"/>
                          </w:rPr>
                          <w:t xml:space="preserve"> </w:t>
                        </w:r>
                        <w:r>
                          <w:rPr>
                            <w:w w:val="105"/>
                            <w:sz w:val="3"/>
                          </w:rPr>
                          <w:t>CRAFTER</w:t>
                        </w:r>
                        <w:r>
                          <w:rPr>
                            <w:spacing w:val="-4"/>
                            <w:w w:val="105"/>
                            <w:sz w:val="3"/>
                          </w:rPr>
                          <w:t xml:space="preserve"> </w:t>
                        </w:r>
                        <w:r>
                          <w:rPr>
                            <w:w w:val="105"/>
                            <w:sz w:val="3"/>
                          </w:rPr>
                          <w:t>DO 3,5T;</w:t>
                        </w:r>
                        <w:r>
                          <w:rPr>
                            <w:spacing w:val="-2"/>
                            <w:w w:val="105"/>
                            <w:sz w:val="3"/>
                          </w:rPr>
                          <w:t xml:space="preserve"> </w:t>
                        </w:r>
                        <w:r>
                          <w:rPr>
                            <w:w w:val="105"/>
                            <w:sz w:val="3"/>
                          </w:rPr>
                          <w:t>LT</w:t>
                        </w:r>
                        <w:r>
                          <w:rPr>
                            <w:spacing w:val="-4"/>
                            <w:w w:val="105"/>
                            <w:sz w:val="3"/>
                          </w:rPr>
                          <w:t xml:space="preserve"> </w:t>
                        </w:r>
                        <w:r>
                          <w:rPr>
                            <w:w w:val="105"/>
                            <w:sz w:val="3"/>
                          </w:rPr>
                          <w:t>28;</w:t>
                        </w:r>
                        <w:r>
                          <w:rPr>
                            <w:spacing w:val="-2"/>
                            <w:w w:val="105"/>
                            <w:sz w:val="3"/>
                          </w:rPr>
                          <w:t xml:space="preserve"> </w:t>
                        </w:r>
                        <w:r>
                          <w:rPr>
                            <w:w w:val="105"/>
                            <w:sz w:val="3"/>
                          </w:rPr>
                          <w:t>LT</w:t>
                        </w:r>
                        <w:r>
                          <w:rPr>
                            <w:spacing w:val="-4"/>
                            <w:w w:val="105"/>
                            <w:sz w:val="3"/>
                          </w:rPr>
                          <w:t xml:space="preserve"> </w:t>
                        </w:r>
                        <w:r>
                          <w:rPr>
                            <w:w w:val="105"/>
                            <w:sz w:val="3"/>
                          </w:rPr>
                          <w:t>30;</w:t>
                        </w:r>
                        <w:r>
                          <w:rPr>
                            <w:spacing w:val="-1"/>
                            <w:w w:val="105"/>
                            <w:sz w:val="3"/>
                          </w:rPr>
                          <w:t xml:space="preserve"> </w:t>
                        </w:r>
                        <w:r>
                          <w:rPr>
                            <w:w w:val="105"/>
                            <w:sz w:val="3"/>
                          </w:rPr>
                          <w:t>LT</w:t>
                        </w:r>
                        <w:r>
                          <w:rPr>
                            <w:spacing w:val="-4"/>
                            <w:w w:val="105"/>
                            <w:sz w:val="3"/>
                          </w:rPr>
                          <w:t xml:space="preserve"> </w:t>
                        </w:r>
                        <w:r>
                          <w:rPr>
                            <w:w w:val="105"/>
                            <w:sz w:val="3"/>
                          </w:rPr>
                          <w:t>31;</w:t>
                        </w:r>
                        <w:r>
                          <w:rPr>
                            <w:spacing w:val="-2"/>
                            <w:w w:val="105"/>
                            <w:sz w:val="3"/>
                          </w:rPr>
                          <w:t xml:space="preserve"> </w:t>
                        </w:r>
                        <w:r>
                          <w:rPr>
                            <w:w w:val="105"/>
                            <w:sz w:val="3"/>
                          </w:rPr>
                          <w:t>LT</w:t>
                        </w:r>
                        <w:r>
                          <w:rPr>
                            <w:spacing w:val="-4"/>
                            <w:w w:val="105"/>
                            <w:sz w:val="3"/>
                          </w:rPr>
                          <w:t xml:space="preserve"> </w:t>
                        </w:r>
                        <w:r>
                          <w:rPr>
                            <w:w w:val="105"/>
                            <w:sz w:val="3"/>
                          </w:rPr>
                          <w:t>35;</w:t>
                        </w:r>
                        <w:r>
                          <w:rPr>
                            <w:spacing w:val="-2"/>
                            <w:w w:val="105"/>
                            <w:sz w:val="3"/>
                          </w:rPr>
                          <w:t xml:space="preserve"> </w:t>
                        </w:r>
                        <w:r>
                          <w:rPr>
                            <w:w w:val="105"/>
                            <w:sz w:val="3"/>
                          </w:rPr>
                          <w:t>POLO</w:t>
                        </w:r>
                        <w:r>
                          <w:rPr>
                            <w:spacing w:val="-2"/>
                            <w:w w:val="105"/>
                            <w:sz w:val="3"/>
                          </w:rPr>
                          <w:t xml:space="preserve"> </w:t>
                        </w:r>
                        <w:r>
                          <w:rPr>
                            <w:w w:val="105"/>
                            <w:sz w:val="3"/>
                          </w:rPr>
                          <w:t>VAN;</w:t>
                        </w:r>
                        <w:r>
                          <w:rPr>
                            <w:spacing w:val="-2"/>
                            <w:w w:val="105"/>
                            <w:sz w:val="3"/>
                          </w:rPr>
                          <w:t xml:space="preserve"> </w:t>
                        </w:r>
                        <w:r>
                          <w:rPr>
                            <w:w w:val="105"/>
                            <w:sz w:val="3"/>
                          </w:rPr>
                          <w:t>T4;</w:t>
                        </w:r>
                        <w:r>
                          <w:rPr>
                            <w:spacing w:val="-2"/>
                            <w:w w:val="105"/>
                            <w:sz w:val="3"/>
                          </w:rPr>
                          <w:t xml:space="preserve"> </w:t>
                        </w:r>
                        <w:r>
                          <w:rPr>
                            <w:w w:val="105"/>
                            <w:sz w:val="3"/>
                          </w:rPr>
                          <w:t>TRANSPORTER; TRANSPORTÉR T5; TRANSPORTÉR</w:t>
                        </w:r>
                        <w:r>
                          <w:rPr>
                            <w:spacing w:val="-2"/>
                            <w:w w:val="105"/>
                            <w:sz w:val="3"/>
                          </w:rPr>
                          <w:t xml:space="preserve"> </w:t>
                        </w:r>
                        <w:r>
                          <w:rPr>
                            <w:w w:val="105"/>
                            <w:sz w:val="3"/>
                          </w:rPr>
                          <w:t>T6</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7572CA2" w14:textId="77777777" w:rsidR="00F65BCA" w:rsidRDefault="00F65BCA">
                        <w:pPr>
                          <w:pStyle w:val="TableParagraph"/>
                          <w:rPr>
                            <w:rFonts w:ascii="Calibri"/>
                            <w:sz w:val="2"/>
                          </w:rPr>
                        </w:pPr>
                      </w:p>
                      <w:p w14:paraId="1658417C"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2D4E479" w14:textId="77777777" w:rsidR="00F65BCA" w:rsidRDefault="00F65BCA">
                        <w:pPr>
                          <w:pStyle w:val="TableParagraph"/>
                          <w:rPr>
                            <w:rFonts w:ascii="Calibri"/>
                            <w:sz w:val="2"/>
                          </w:rPr>
                        </w:pPr>
                      </w:p>
                      <w:p w14:paraId="4C4DD929"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190E69D"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0EEC0462" w14:textId="77777777" w:rsidR="00F65BCA" w:rsidRDefault="00F65BCA">
                        <w:pPr>
                          <w:pStyle w:val="TableParagraph"/>
                          <w:rPr>
                            <w:rFonts w:ascii="Calibri"/>
                            <w:sz w:val="2"/>
                          </w:rPr>
                        </w:pPr>
                      </w:p>
                      <w:p w14:paraId="0F70D3EF"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767F315E" w14:textId="77777777" w:rsidR="00F65BCA" w:rsidRDefault="00F65BCA">
                        <w:pPr>
                          <w:pStyle w:val="TableParagraph"/>
                          <w:rPr>
                            <w:rFonts w:ascii="Calibri"/>
                            <w:sz w:val="2"/>
                          </w:rPr>
                        </w:pPr>
                      </w:p>
                      <w:p w14:paraId="0895D02C"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765FE68C" w14:textId="77777777" w:rsidR="00F65BCA" w:rsidRDefault="00F65BCA">
                        <w:pPr>
                          <w:pStyle w:val="TableParagraph"/>
                          <w:rPr>
                            <w:rFonts w:ascii="Calibri"/>
                            <w:sz w:val="2"/>
                          </w:rPr>
                        </w:pPr>
                      </w:p>
                      <w:p w14:paraId="581C7C66"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57DD327D" w14:textId="77777777" w:rsidR="00F65BCA" w:rsidRDefault="00F65BCA">
                        <w:pPr>
                          <w:pStyle w:val="TableParagraph"/>
                          <w:rPr>
                            <w:rFonts w:ascii="Calibri"/>
                            <w:sz w:val="2"/>
                          </w:rPr>
                        </w:pPr>
                      </w:p>
                      <w:p w14:paraId="5BE6D2A7"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412C4A6D" w14:textId="77777777" w:rsidR="00F65BCA" w:rsidRDefault="00F65BCA">
                        <w:pPr>
                          <w:pStyle w:val="TableParagraph"/>
                          <w:rPr>
                            <w:rFonts w:ascii="Calibri"/>
                            <w:sz w:val="2"/>
                          </w:rPr>
                        </w:pPr>
                      </w:p>
                      <w:p w14:paraId="5B3017CE"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5F0E1C5D" w14:textId="77777777" w:rsidR="00F65BCA" w:rsidRDefault="00F65BCA">
                        <w:pPr>
                          <w:pStyle w:val="TableParagraph"/>
                          <w:rPr>
                            <w:rFonts w:ascii="Calibri"/>
                            <w:sz w:val="2"/>
                          </w:rPr>
                        </w:pPr>
                      </w:p>
                      <w:p w14:paraId="3B631685"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6363B405" w14:textId="77777777" w:rsidR="00F65BCA" w:rsidRDefault="00F65BCA">
                        <w:pPr>
                          <w:pStyle w:val="TableParagraph"/>
                          <w:rPr>
                            <w:rFonts w:ascii="Calibri"/>
                            <w:sz w:val="2"/>
                          </w:rPr>
                        </w:pPr>
                      </w:p>
                      <w:p w14:paraId="02FE1D81"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69BE90BD" w14:textId="77777777" w:rsidR="00F65BCA" w:rsidRDefault="00F65BCA">
                        <w:pPr>
                          <w:pStyle w:val="TableParagraph"/>
                          <w:rPr>
                            <w:rFonts w:ascii="Calibri"/>
                            <w:sz w:val="2"/>
                          </w:rPr>
                        </w:pPr>
                      </w:p>
                      <w:p w14:paraId="4EC38950"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3E77AD0F" w14:textId="77777777" w:rsidR="00F65BCA" w:rsidRDefault="00F65BCA">
                        <w:pPr>
                          <w:pStyle w:val="TableParagraph"/>
                          <w:rPr>
                            <w:rFonts w:ascii="Calibri"/>
                            <w:sz w:val="2"/>
                          </w:rPr>
                        </w:pPr>
                      </w:p>
                      <w:p w14:paraId="103700FA"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292D3935" w14:textId="77777777" w:rsidR="00F65BCA" w:rsidRDefault="00F65BCA">
                        <w:pPr>
                          <w:pStyle w:val="TableParagraph"/>
                          <w:rPr>
                            <w:rFonts w:ascii="Calibri"/>
                            <w:sz w:val="2"/>
                          </w:rPr>
                        </w:pPr>
                      </w:p>
                      <w:p w14:paraId="46F87D8C"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45F52ECA" w14:textId="77777777" w:rsidR="00F65BCA" w:rsidRDefault="00F65BCA">
                        <w:pPr>
                          <w:pStyle w:val="TableParagraph"/>
                          <w:rPr>
                            <w:rFonts w:ascii="Calibri"/>
                            <w:sz w:val="2"/>
                          </w:rPr>
                        </w:pPr>
                      </w:p>
                      <w:p w14:paraId="6A10C76F"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20BFD52D" w14:textId="77777777" w:rsidR="00F65BCA" w:rsidRDefault="00F65BCA">
                        <w:pPr>
                          <w:pStyle w:val="TableParagraph"/>
                          <w:rPr>
                            <w:rFonts w:ascii="Calibri"/>
                            <w:sz w:val="2"/>
                          </w:rPr>
                        </w:pPr>
                      </w:p>
                      <w:p w14:paraId="7A61EFBE"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1A374868" w14:textId="77777777" w:rsidR="00F65BCA" w:rsidRDefault="00F65BCA">
                        <w:pPr>
                          <w:pStyle w:val="TableParagraph"/>
                          <w:rPr>
                            <w:rFonts w:ascii="Calibri"/>
                            <w:sz w:val="2"/>
                          </w:rPr>
                        </w:pPr>
                      </w:p>
                      <w:p w14:paraId="55E18556" w14:textId="77777777" w:rsidR="00F65BCA" w:rsidRDefault="00216117">
                        <w:pPr>
                          <w:pStyle w:val="TableParagraph"/>
                          <w:ind w:left="24" w:right="24"/>
                          <w:jc w:val="center"/>
                          <w:rPr>
                            <w:sz w:val="3"/>
                          </w:rPr>
                        </w:pPr>
                        <w:r>
                          <w:rPr>
                            <w:w w:val="105"/>
                            <w:sz w:val="3"/>
                          </w:rPr>
                          <w:t>0,95940000%</w:t>
                        </w:r>
                      </w:p>
                    </w:tc>
                  </w:tr>
                  <w:tr w:rsidR="00F65BCA" w14:paraId="19ED7DB5"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70690E64"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0959F83C"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5B94CA78"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6285208" w14:textId="77777777" w:rsidR="00F65BCA" w:rsidRDefault="00F65BCA">
                        <w:pPr>
                          <w:pStyle w:val="TableParagraph"/>
                          <w:rPr>
                            <w:rFonts w:ascii="Calibri"/>
                            <w:sz w:val="2"/>
                          </w:rPr>
                        </w:pPr>
                      </w:p>
                      <w:p w14:paraId="03DFE117"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ECADD49" w14:textId="77777777" w:rsidR="00F65BCA" w:rsidRDefault="00F65BCA">
                        <w:pPr>
                          <w:pStyle w:val="TableParagraph"/>
                          <w:rPr>
                            <w:rFonts w:ascii="Calibri"/>
                            <w:sz w:val="2"/>
                          </w:rPr>
                        </w:pPr>
                      </w:p>
                      <w:p w14:paraId="079820A0"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2284B33"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0ED9E2C2" w14:textId="77777777" w:rsidR="00F65BCA" w:rsidRDefault="00F65BCA">
                        <w:pPr>
                          <w:pStyle w:val="TableParagraph"/>
                          <w:rPr>
                            <w:rFonts w:ascii="Calibri"/>
                            <w:sz w:val="2"/>
                          </w:rPr>
                        </w:pPr>
                      </w:p>
                      <w:p w14:paraId="57DCF06F"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5200C8DC" w14:textId="77777777" w:rsidR="00F65BCA" w:rsidRDefault="00F65BCA">
                        <w:pPr>
                          <w:pStyle w:val="TableParagraph"/>
                          <w:rPr>
                            <w:rFonts w:ascii="Calibri"/>
                            <w:sz w:val="2"/>
                          </w:rPr>
                        </w:pPr>
                      </w:p>
                      <w:p w14:paraId="03268767"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782527F9" w14:textId="77777777" w:rsidR="00F65BCA" w:rsidRDefault="00F65BCA">
                        <w:pPr>
                          <w:pStyle w:val="TableParagraph"/>
                          <w:rPr>
                            <w:rFonts w:ascii="Calibri"/>
                            <w:sz w:val="2"/>
                          </w:rPr>
                        </w:pPr>
                      </w:p>
                      <w:p w14:paraId="447B6615"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4D081051" w14:textId="77777777" w:rsidR="00F65BCA" w:rsidRDefault="00F65BCA">
                        <w:pPr>
                          <w:pStyle w:val="TableParagraph"/>
                          <w:rPr>
                            <w:rFonts w:ascii="Calibri"/>
                            <w:sz w:val="2"/>
                          </w:rPr>
                        </w:pPr>
                      </w:p>
                      <w:p w14:paraId="4966C15A"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06146FF1" w14:textId="77777777" w:rsidR="00F65BCA" w:rsidRDefault="00F65BCA">
                        <w:pPr>
                          <w:pStyle w:val="TableParagraph"/>
                          <w:rPr>
                            <w:rFonts w:ascii="Calibri"/>
                            <w:sz w:val="2"/>
                          </w:rPr>
                        </w:pPr>
                      </w:p>
                      <w:p w14:paraId="591726A6"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68328DB0" w14:textId="77777777" w:rsidR="00F65BCA" w:rsidRDefault="00F65BCA">
                        <w:pPr>
                          <w:pStyle w:val="TableParagraph"/>
                          <w:rPr>
                            <w:rFonts w:ascii="Calibri"/>
                            <w:sz w:val="2"/>
                          </w:rPr>
                        </w:pPr>
                      </w:p>
                      <w:p w14:paraId="76727B8A"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20FA5ED6" w14:textId="77777777" w:rsidR="00F65BCA" w:rsidRDefault="00F65BCA">
                        <w:pPr>
                          <w:pStyle w:val="TableParagraph"/>
                          <w:rPr>
                            <w:rFonts w:ascii="Calibri"/>
                            <w:sz w:val="2"/>
                          </w:rPr>
                        </w:pPr>
                      </w:p>
                      <w:p w14:paraId="4014FB67"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7FFD7914" w14:textId="77777777" w:rsidR="00F65BCA" w:rsidRDefault="00F65BCA">
                        <w:pPr>
                          <w:pStyle w:val="TableParagraph"/>
                          <w:rPr>
                            <w:rFonts w:ascii="Calibri"/>
                            <w:sz w:val="2"/>
                          </w:rPr>
                        </w:pPr>
                      </w:p>
                      <w:p w14:paraId="3A1AEC3A"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35E53F91" w14:textId="77777777" w:rsidR="00F65BCA" w:rsidRDefault="00F65BCA">
                        <w:pPr>
                          <w:pStyle w:val="TableParagraph"/>
                          <w:rPr>
                            <w:rFonts w:ascii="Calibri"/>
                            <w:sz w:val="2"/>
                          </w:rPr>
                        </w:pPr>
                      </w:p>
                      <w:p w14:paraId="36C476FE"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2A15B588" w14:textId="77777777" w:rsidR="00F65BCA" w:rsidRDefault="00F65BCA">
                        <w:pPr>
                          <w:pStyle w:val="TableParagraph"/>
                          <w:rPr>
                            <w:rFonts w:ascii="Calibri"/>
                            <w:sz w:val="2"/>
                          </w:rPr>
                        </w:pPr>
                      </w:p>
                      <w:p w14:paraId="1DE1F248"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00187FC3" w14:textId="77777777" w:rsidR="00F65BCA" w:rsidRDefault="00F65BCA">
                        <w:pPr>
                          <w:pStyle w:val="TableParagraph"/>
                          <w:rPr>
                            <w:rFonts w:ascii="Calibri"/>
                            <w:sz w:val="2"/>
                          </w:rPr>
                        </w:pPr>
                      </w:p>
                      <w:p w14:paraId="46EA19E1"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1DEFB5DE" w14:textId="77777777" w:rsidR="00F65BCA" w:rsidRDefault="00F65BCA">
                        <w:pPr>
                          <w:pStyle w:val="TableParagraph"/>
                          <w:rPr>
                            <w:rFonts w:ascii="Calibri"/>
                            <w:sz w:val="2"/>
                          </w:rPr>
                        </w:pPr>
                      </w:p>
                      <w:p w14:paraId="1020C0B2"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38D253C" w14:textId="77777777" w:rsidR="00F65BCA" w:rsidRDefault="00F65BCA">
                        <w:pPr>
                          <w:pStyle w:val="TableParagraph"/>
                          <w:rPr>
                            <w:rFonts w:ascii="Calibri"/>
                            <w:sz w:val="2"/>
                          </w:rPr>
                        </w:pPr>
                      </w:p>
                      <w:p w14:paraId="68DA4DF4" w14:textId="77777777" w:rsidR="00F65BCA" w:rsidRDefault="00216117">
                        <w:pPr>
                          <w:pStyle w:val="TableParagraph"/>
                          <w:ind w:left="24" w:right="24"/>
                          <w:jc w:val="center"/>
                          <w:rPr>
                            <w:sz w:val="3"/>
                          </w:rPr>
                        </w:pPr>
                        <w:r>
                          <w:rPr>
                            <w:w w:val="105"/>
                            <w:sz w:val="3"/>
                          </w:rPr>
                          <w:t>1,15895520%</w:t>
                        </w:r>
                      </w:p>
                    </w:tc>
                  </w:tr>
                  <w:tr w:rsidR="00F65BCA" w14:paraId="3F87E8D6"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46FC4A17"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7B33D2E"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123EEBF9" w14:textId="77777777" w:rsidR="00F65BCA" w:rsidRDefault="00F65BCA">
                        <w:pPr>
                          <w:pStyle w:val="TableParagraph"/>
                          <w:rPr>
                            <w:rFonts w:ascii="Calibri"/>
                            <w:sz w:val="2"/>
                          </w:rPr>
                        </w:pPr>
                      </w:p>
                      <w:p w14:paraId="12EF7644" w14:textId="77777777" w:rsidR="00F65BCA" w:rsidRDefault="00216117">
                        <w:pPr>
                          <w:pStyle w:val="TableParagraph"/>
                          <w:spacing w:line="40" w:lineRule="atLeast"/>
                          <w:ind w:left="4" w:right="21"/>
                          <w:rPr>
                            <w:sz w:val="3"/>
                          </w:rPr>
                        </w:pPr>
                        <w:r>
                          <w:rPr>
                            <w:w w:val="105"/>
                            <w:sz w:val="3"/>
                          </w:rPr>
                          <w:t>E-GOLF; E-UP; GOLF; GOLF CABRIOLET; GOLF PLUS; GOLF VARIANT; POLO; POLO CLASSIC; POLO COUPE; POLO V; POLO VARIANT; UP</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798DB22" w14:textId="77777777" w:rsidR="00F65BCA" w:rsidRDefault="00F65BCA">
                        <w:pPr>
                          <w:pStyle w:val="TableParagraph"/>
                          <w:rPr>
                            <w:rFonts w:ascii="Calibri"/>
                            <w:sz w:val="2"/>
                          </w:rPr>
                        </w:pPr>
                      </w:p>
                      <w:p w14:paraId="0E1B6552"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C0AB695" w14:textId="77777777" w:rsidR="00F65BCA" w:rsidRDefault="00F65BCA">
                        <w:pPr>
                          <w:pStyle w:val="TableParagraph"/>
                          <w:rPr>
                            <w:rFonts w:ascii="Calibri"/>
                            <w:sz w:val="2"/>
                          </w:rPr>
                        </w:pPr>
                      </w:p>
                      <w:p w14:paraId="520B4A05"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6237E22"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AAA896F" w14:textId="77777777" w:rsidR="00F65BCA" w:rsidRDefault="00F65BCA">
                        <w:pPr>
                          <w:pStyle w:val="TableParagraph"/>
                          <w:rPr>
                            <w:rFonts w:ascii="Calibri"/>
                            <w:sz w:val="2"/>
                          </w:rPr>
                        </w:pPr>
                      </w:p>
                      <w:p w14:paraId="2B67522C"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35C83C93" w14:textId="77777777" w:rsidR="00F65BCA" w:rsidRDefault="00F65BCA">
                        <w:pPr>
                          <w:pStyle w:val="TableParagraph"/>
                          <w:rPr>
                            <w:rFonts w:ascii="Calibri"/>
                            <w:sz w:val="2"/>
                          </w:rPr>
                        </w:pPr>
                      </w:p>
                      <w:p w14:paraId="5DC89E08"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74636F72" w14:textId="77777777" w:rsidR="00F65BCA" w:rsidRDefault="00F65BCA">
                        <w:pPr>
                          <w:pStyle w:val="TableParagraph"/>
                          <w:rPr>
                            <w:rFonts w:ascii="Calibri"/>
                            <w:sz w:val="2"/>
                          </w:rPr>
                        </w:pPr>
                      </w:p>
                      <w:p w14:paraId="25B760C0"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070774CE" w14:textId="77777777" w:rsidR="00F65BCA" w:rsidRDefault="00F65BCA">
                        <w:pPr>
                          <w:pStyle w:val="TableParagraph"/>
                          <w:rPr>
                            <w:rFonts w:ascii="Calibri"/>
                            <w:sz w:val="2"/>
                          </w:rPr>
                        </w:pPr>
                      </w:p>
                      <w:p w14:paraId="4418A826"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00F7A52E" w14:textId="77777777" w:rsidR="00F65BCA" w:rsidRDefault="00F65BCA">
                        <w:pPr>
                          <w:pStyle w:val="TableParagraph"/>
                          <w:rPr>
                            <w:rFonts w:ascii="Calibri"/>
                            <w:sz w:val="2"/>
                          </w:rPr>
                        </w:pPr>
                      </w:p>
                      <w:p w14:paraId="3788945A"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0DB014D8" w14:textId="77777777" w:rsidR="00F65BCA" w:rsidRDefault="00F65BCA">
                        <w:pPr>
                          <w:pStyle w:val="TableParagraph"/>
                          <w:rPr>
                            <w:rFonts w:ascii="Calibri"/>
                            <w:sz w:val="2"/>
                          </w:rPr>
                        </w:pPr>
                      </w:p>
                      <w:p w14:paraId="371C60BC"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56B7E3F6" w14:textId="77777777" w:rsidR="00F65BCA" w:rsidRDefault="00F65BCA">
                        <w:pPr>
                          <w:pStyle w:val="TableParagraph"/>
                          <w:rPr>
                            <w:rFonts w:ascii="Calibri"/>
                            <w:sz w:val="2"/>
                          </w:rPr>
                        </w:pPr>
                      </w:p>
                      <w:p w14:paraId="67B14223"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16431687" w14:textId="77777777" w:rsidR="00F65BCA" w:rsidRDefault="00F65BCA">
                        <w:pPr>
                          <w:pStyle w:val="TableParagraph"/>
                          <w:rPr>
                            <w:rFonts w:ascii="Calibri"/>
                            <w:sz w:val="2"/>
                          </w:rPr>
                        </w:pPr>
                      </w:p>
                      <w:p w14:paraId="26C3FC68"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47B6E092" w14:textId="77777777" w:rsidR="00F65BCA" w:rsidRDefault="00F65BCA">
                        <w:pPr>
                          <w:pStyle w:val="TableParagraph"/>
                          <w:rPr>
                            <w:rFonts w:ascii="Calibri"/>
                            <w:sz w:val="2"/>
                          </w:rPr>
                        </w:pPr>
                      </w:p>
                      <w:p w14:paraId="4DD2231F"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119A2D30" w14:textId="77777777" w:rsidR="00F65BCA" w:rsidRDefault="00F65BCA">
                        <w:pPr>
                          <w:pStyle w:val="TableParagraph"/>
                          <w:rPr>
                            <w:rFonts w:ascii="Calibri"/>
                            <w:sz w:val="2"/>
                          </w:rPr>
                        </w:pPr>
                      </w:p>
                      <w:p w14:paraId="62C44481"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1E85004D" w14:textId="77777777" w:rsidR="00F65BCA" w:rsidRDefault="00F65BCA">
                        <w:pPr>
                          <w:pStyle w:val="TableParagraph"/>
                          <w:rPr>
                            <w:rFonts w:ascii="Calibri"/>
                            <w:sz w:val="2"/>
                          </w:rPr>
                        </w:pPr>
                      </w:p>
                      <w:p w14:paraId="6F6951FA"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367AD304" w14:textId="77777777" w:rsidR="00F65BCA" w:rsidRDefault="00F65BCA">
                        <w:pPr>
                          <w:pStyle w:val="TableParagraph"/>
                          <w:rPr>
                            <w:rFonts w:ascii="Calibri"/>
                            <w:sz w:val="2"/>
                          </w:rPr>
                        </w:pPr>
                      </w:p>
                      <w:p w14:paraId="20FE0936"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4CB41E67" w14:textId="77777777" w:rsidR="00F65BCA" w:rsidRDefault="00F65BCA">
                        <w:pPr>
                          <w:pStyle w:val="TableParagraph"/>
                          <w:rPr>
                            <w:rFonts w:ascii="Calibri"/>
                            <w:sz w:val="2"/>
                          </w:rPr>
                        </w:pPr>
                      </w:p>
                      <w:p w14:paraId="34FF41B1" w14:textId="77777777" w:rsidR="00F65BCA" w:rsidRDefault="00216117">
                        <w:pPr>
                          <w:pStyle w:val="TableParagraph"/>
                          <w:ind w:left="24" w:right="24"/>
                          <w:jc w:val="center"/>
                          <w:rPr>
                            <w:sz w:val="3"/>
                          </w:rPr>
                        </w:pPr>
                        <w:r>
                          <w:rPr>
                            <w:w w:val="105"/>
                            <w:sz w:val="3"/>
                          </w:rPr>
                          <w:t>1,07731026%</w:t>
                        </w:r>
                      </w:p>
                    </w:tc>
                  </w:tr>
                  <w:tr w:rsidR="00F65BCA" w14:paraId="66A989FD"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5BFC22CC"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72CFC9C4"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287C665B"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76F782A" w14:textId="77777777" w:rsidR="00F65BCA" w:rsidRDefault="00F65BCA">
                        <w:pPr>
                          <w:pStyle w:val="TableParagraph"/>
                          <w:rPr>
                            <w:rFonts w:ascii="Calibri"/>
                            <w:sz w:val="2"/>
                          </w:rPr>
                        </w:pPr>
                      </w:p>
                      <w:p w14:paraId="1A61CB90"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4CB00CC" w14:textId="77777777" w:rsidR="00F65BCA" w:rsidRDefault="00F65BCA">
                        <w:pPr>
                          <w:pStyle w:val="TableParagraph"/>
                          <w:rPr>
                            <w:rFonts w:ascii="Calibri"/>
                            <w:sz w:val="2"/>
                          </w:rPr>
                        </w:pPr>
                      </w:p>
                      <w:p w14:paraId="6AEA4F66"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9F4EC39"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04171D67" w14:textId="77777777" w:rsidR="00F65BCA" w:rsidRDefault="00F65BCA">
                        <w:pPr>
                          <w:pStyle w:val="TableParagraph"/>
                          <w:rPr>
                            <w:rFonts w:ascii="Calibri"/>
                            <w:sz w:val="2"/>
                          </w:rPr>
                        </w:pPr>
                      </w:p>
                      <w:p w14:paraId="05CFB1F7"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0BEB1764" w14:textId="77777777" w:rsidR="00F65BCA" w:rsidRDefault="00F65BCA">
                        <w:pPr>
                          <w:pStyle w:val="TableParagraph"/>
                          <w:rPr>
                            <w:rFonts w:ascii="Calibri"/>
                            <w:sz w:val="2"/>
                          </w:rPr>
                        </w:pPr>
                      </w:p>
                      <w:p w14:paraId="54ED15D1"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266ADF80" w14:textId="77777777" w:rsidR="00F65BCA" w:rsidRDefault="00F65BCA">
                        <w:pPr>
                          <w:pStyle w:val="TableParagraph"/>
                          <w:rPr>
                            <w:rFonts w:ascii="Calibri"/>
                            <w:sz w:val="2"/>
                          </w:rPr>
                        </w:pPr>
                      </w:p>
                      <w:p w14:paraId="6D0CEC8B"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23DB6F6F" w14:textId="77777777" w:rsidR="00F65BCA" w:rsidRDefault="00F65BCA">
                        <w:pPr>
                          <w:pStyle w:val="TableParagraph"/>
                          <w:rPr>
                            <w:rFonts w:ascii="Calibri"/>
                            <w:sz w:val="2"/>
                          </w:rPr>
                        </w:pPr>
                      </w:p>
                      <w:p w14:paraId="344EAE32"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497D88D5" w14:textId="77777777" w:rsidR="00F65BCA" w:rsidRDefault="00F65BCA">
                        <w:pPr>
                          <w:pStyle w:val="TableParagraph"/>
                          <w:rPr>
                            <w:rFonts w:ascii="Calibri"/>
                            <w:sz w:val="2"/>
                          </w:rPr>
                        </w:pPr>
                      </w:p>
                      <w:p w14:paraId="6FF736F5"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7A043E33" w14:textId="77777777" w:rsidR="00F65BCA" w:rsidRDefault="00F65BCA">
                        <w:pPr>
                          <w:pStyle w:val="TableParagraph"/>
                          <w:rPr>
                            <w:rFonts w:ascii="Calibri"/>
                            <w:sz w:val="2"/>
                          </w:rPr>
                        </w:pPr>
                      </w:p>
                      <w:p w14:paraId="0FD32BA2"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333D9821" w14:textId="77777777" w:rsidR="00F65BCA" w:rsidRDefault="00F65BCA">
                        <w:pPr>
                          <w:pStyle w:val="TableParagraph"/>
                          <w:rPr>
                            <w:rFonts w:ascii="Calibri"/>
                            <w:sz w:val="2"/>
                          </w:rPr>
                        </w:pPr>
                      </w:p>
                      <w:p w14:paraId="5D01FF41"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30AA5594" w14:textId="77777777" w:rsidR="00F65BCA" w:rsidRDefault="00F65BCA">
                        <w:pPr>
                          <w:pStyle w:val="TableParagraph"/>
                          <w:rPr>
                            <w:rFonts w:ascii="Calibri"/>
                            <w:sz w:val="2"/>
                          </w:rPr>
                        </w:pPr>
                      </w:p>
                      <w:p w14:paraId="11A1D700"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08C1D260" w14:textId="77777777" w:rsidR="00F65BCA" w:rsidRDefault="00F65BCA">
                        <w:pPr>
                          <w:pStyle w:val="TableParagraph"/>
                          <w:rPr>
                            <w:rFonts w:ascii="Calibri"/>
                            <w:sz w:val="2"/>
                          </w:rPr>
                        </w:pPr>
                      </w:p>
                      <w:p w14:paraId="0EB06945"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20C33EFB" w14:textId="77777777" w:rsidR="00F65BCA" w:rsidRDefault="00F65BCA">
                        <w:pPr>
                          <w:pStyle w:val="TableParagraph"/>
                          <w:rPr>
                            <w:rFonts w:ascii="Calibri"/>
                            <w:sz w:val="2"/>
                          </w:rPr>
                        </w:pPr>
                      </w:p>
                      <w:p w14:paraId="7D53DE86"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158CB57D" w14:textId="77777777" w:rsidR="00F65BCA" w:rsidRDefault="00F65BCA">
                        <w:pPr>
                          <w:pStyle w:val="TableParagraph"/>
                          <w:rPr>
                            <w:rFonts w:ascii="Calibri"/>
                            <w:sz w:val="2"/>
                          </w:rPr>
                        </w:pPr>
                      </w:p>
                      <w:p w14:paraId="521B4B29"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C1F3A0F" w14:textId="77777777" w:rsidR="00F65BCA" w:rsidRDefault="00F65BCA">
                        <w:pPr>
                          <w:pStyle w:val="TableParagraph"/>
                          <w:rPr>
                            <w:rFonts w:ascii="Calibri"/>
                            <w:sz w:val="2"/>
                          </w:rPr>
                        </w:pPr>
                      </w:p>
                      <w:p w14:paraId="55034D4E"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AB98CEA" w14:textId="77777777" w:rsidR="00F65BCA" w:rsidRDefault="00F65BCA">
                        <w:pPr>
                          <w:pStyle w:val="TableParagraph"/>
                          <w:rPr>
                            <w:rFonts w:ascii="Calibri"/>
                            <w:sz w:val="2"/>
                          </w:rPr>
                        </w:pPr>
                      </w:p>
                      <w:p w14:paraId="3B5FD635" w14:textId="77777777" w:rsidR="00F65BCA" w:rsidRDefault="00216117">
                        <w:pPr>
                          <w:pStyle w:val="TableParagraph"/>
                          <w:ind w:left="24" w:right="24"/>
                          <w:jc w:val="center"/>
                          <w:rPr>
                            <w:sz w:val="3"/>
                          </w:rPr>
                        </w:pPr>
                        <w:r>
                          <w:rPr>
                            <w:w w:val="105"/>
                            <w:sz w:val="3"/>
                          </w:rPr>
                          <w:t>1,30139079%</w:t>
                        </w:r>
                      </w:p>
                    </w:tc>
                  </w:tr>
                  <w:tr w:rsidR="00F65BCA" w14:paraId="2371C62C" w14:textId="77777777">
                    <w:trPr>
                      <w:trHeight w:val="155"/>
                    </w:trPr>
                    <w:tc>
                      <w:tcPr>
                        <w:tcW w:w="526" w:type="dxa"/>
                        <w:vMerge/>
                        <w:tcBorders>
                          <w:top w:val="nil"/>
                          <w:left w:val="single" w:sz="2" w:space="0" w:color="000000"/>
                          <w:bottom w:val="single" w:sz="2" w:space="0" w:color="000000"/>
                          <w:right w:val="single" w:sz="2" w:space="0" w:color="000000"/>
                        </w:tcBorders>
                        <w:shd w:val="clear" w:color="auto" w:fill="FCE4D6"/>
                      </w:tcPr>
                      <w:p w14:paraId="111FADD8"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075CDF69"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10F36B81" w14:textId="77777777" w:rsidR="00F65BCA" w:rsidRDefault="00216117">
                        <w:pPr>
                          <w:pStyle w:val="TableParagraph"/>
                          <w:spacing w:before="13" w:line="40" w:lineRule="atLeast"/>
                          <w:ind w:left="4"/>
                          <w:rPr>
                            <w:sz w:val="3"/>
                          </w:rPr>
                        </w:pPr>
                        <w:r>
                          <w:rPr>
                            <w:w w:val="105"/>
                            <w:sz w:val="3"/>
                          </w:rPr>
                          <w:t>AMAROK; ARTEON; BEETLE; BORA; BORA VARIANT; CADDY; CADDY KOMBI; CALIFORNIA; CARAVELLE; CC; CORRADO; EOS; FOX; GOLF SPORTSVAN; ID.3; JETTA; JINÉ; LUPO; MULTIVAN; NEW BEETLE; NEW BEETLE CABRIO; PASSAT; PASSAT ALLTRACK; PASSAT CC; PASSAT VARIANT; PHAETON; SCIROCCO; SHARAN; SHUTTLE; TARRO; T-CROSS; TIGUAN; TOUAREG; TOURAN; T-ROC; VENTO</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56FFBB8" w14:textId="77777777" w:rsidR="00F65BCA" w:rsidRDefault="00F65BCA">
                        <w:pPr>
                          <w:pStyle w:val="TableParagraph"/>
                          <w:rPr>
                            <w:rFonts w:ascii="Calibri"/>
                            <w:sz w:val="2"/>
                          </w:rPr>
                        </w:pPr>
                      </w:p>
                      <w:p w14:paraId="1418A31B" w14:textId="77777777" w:rsidR="00F65BCA" w:rsidRDefault="00F65BCA">
                        <w:pPr>
                          <w:pStyle w:val="TableParagraph"/>
                          <w:rPr>
                            <w:rFonts w:ascii="Calibri"/>
                            <w:sz w:val="2"/>
                          </w:rPr>
                        </w:pPr>
                      </w:p>
                      <w:p w14:paraId="1035ED72" w14:textId="77777777" w:rsidR="00F65BCA" w:rsidRDefault="00216117">
                        <w:pPr>
                          <w:pStyle w:val="TableParagraph"/>
                          <w:spacing w:before="13"/>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FE2EF73" w14:textId="77777777" w:rsidR="00F65BCA" w:rsidRDefault="00F65BCA">
                        <w:pPr>
                          <w:pStyle w:val="TableParagraph"/>
                          <w:rPr>
                            <w:rFonts w:ascii="Calibri"/>
                            <w:sz w:val="2"/>
                          </w:rPr>
                        </w:pPr>
                      </w:p>
                      <w:p w14:paraId="40090218" w14:textId="77777777" w:rsidR="00F65BCA" w:rsidRDefault="00F65BCA">
                        <w:pPr>
                          <w:pStyle w:val="TableParagraph"/>
                          <w:rPr>
                            <w:rFonts w:ascii="Calibri"/>
                            <w:sz w:val="2"/>
                          </w:rPr>
                        </w:pPr>
                      </w:p>
                      <w:p w14:paraId="34A21B2D" w14:textId="77777777" w:rsidR="00F65BCA" w:rsidRDefault="00216117">
                        <w:pPr>
                          <w:pStyle w:val="TableParagraph"/>
                          <w:spacing w:before="13"/>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49F959A0"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7DF02584" w14:textId="77777777" w:rsidR="00F65BCA" w:rsidRDefault="00F65BCA">
                        <w:pPr>
                          <w:pStyle w:val="TableParagraph"/>
                          <w:rPr>
                            <w:rFonts w:ascii="Calibri"/>
                            <w:sz w:val="2"/>
                          </w:rPr>
                        </w:pPr>
                      </w:p>
                      <w:p w14:paraId="00DC235B" w14:textId="77777777" w:rsidR="00F65BCA" w:rsidRDefault="00F65BCA">
                        <w:pPr>
                          <w:pStyle w:val="TableParagraph"/>
                          <w:rPr>
                            <w:rFonts w:ascii="Calibri"/>
                            <w:sz w:val="2"/>
                          </w:rPr>
                        </w:pPr>
                      </w:p>
                      <w:p w14:paraId="18450AD7" w14:textId="77777777" w:rsidR="00F65BCA" w:rsidRDefault="00216117">
                        <w:pPr>
                          <w:pStyle w:val="TableParagraph"/>
                          <w:spacing w:before="13"/>
                          <w:ind w:left="24" w:right="24"/>
                          <w:jc w:val="center"/>
                          <w:rPr>
                            <w:sz w:val="3"/>
                          </w:rPr>
                        </w:pPr>
                        <w:r>
                          <w:rPr>
                            <w:w w:val="105"/>
                            <w:sz w:val="3"/>
                          </w:rPr>
                          <w:t>1,34479738%</w:t>
                        </w:r>
                      </w:p>
                    </w:tc>
                    <w:tc>
                      <w:tcPr>
                        <w:tcW w:w="288" w:type="dxa"/>
                        <w:tcBorders>
                          <w:top w:val="single" w:sz="2" w:space="0" w:color="000000"/>
                          <w:left w:val="single" w:sz="2" w:space="0" w:color="000000"/>
                          <w:bottom w:val="single" w:sz="2" w:space="0" w:color="000000"/>
                          <w:right w:val="single" w:sz="2" w:space="0" w:color="000000"/>
                        </w:tcBorders>
                      </w:tcPr>
                      <w:p w14:paraId="2BBD971A" w14:textId="77777777" w:rsidR="00F65BCA" w:rsidRDefault="00F65BCA">
                        <w:pPr>
                          <w:pStyle w:val="TableParagraph"/>
                          <w:rPr>
                            <w:rFonts w:ascii="Calibri"/>
                            <w:sz w:val="2"/>
                          </w:rPr>
                        </w:pPr>
                      </w:p>
                      <w:p w14:paraId="235A79E1" w14:textId="77777777" w:rsidR="00F65BCA" w:rsidRDefault="00F65BCA">
                        <w:pPr>
                          <w:pStyle w:val="TableParagraph"/>
                          <w:rPr>
                            <w:rFonts w:ascii="Calibri"/>
                            <w:sz w:val="2"/>
                          </w:rPr>
                        </w:pPr>
                      </w:p>
                      <w:p w14:paraId="61027C20" w14:textId="77777777" w:rsidR="00F65BCA" w:rsidRDefault="00216117">
                        <w:pPr>
                          <w:pStyle w:val="TableParagraph"/>
                          <w:spacing w:before="13"/>
                          <w:ind w:left="24" w:right="24"/>
                          <w:jc w:val="center"/>
                          <w:rPr>
                            <w:sz w:val="3"/>
                          </w:rPr>
                        </w:pPr>
                        <w:r>
                          <w:rPr>
                            <w:w w:val="105"/>
                            <w:sz w:val="3"/>
                          </w:rPr>
                          <w:t>1,26074754%</w:t>
                        </w:r>
                      </w:p>
                    </w:tc>
                    <w:tc>
                      <w:tcPr>
                        <w:tcW w:w="288" w:type="dxa"/>
                        <w:tcBorders>
                          <w:top w:val="single" w:sz="2" w:space="0" w:color="000000"/>
                          <w:left w:val="single" w:sz="2" w:space="0" w:color="000000"/>
                          <w:bottom w:val="single" w:sz="2" w:space="0" w:color="000000"/>
                          <w:right w:val="single" w:sz="2" w:space="0" w:color="000000"/>
                        </w:tcBorders>
                      </w:tcPr>
                      <w:p w14:paraId="3760AF7B" w14:textId="77777777" w:rsidR="00F65BCA" w:rsidRDefault="00F65BCA">
                        <w:pPr>
                          <w:pStyle w:val="TableParagraph"/>
                          <w:rPr>
                            <w:rFonts w:ascii="Calibri"/>
                            <w:sz w:val="2"/>
                          </w:rPr>
                        </w:pPr>
                      </w:p>
                      <w:p w14:paraId="1338C75F" w14:textId="77777777" w:rsidR="00F65BCA" w:rsidRDefault="00F65BCA">
                        <w:pPr>
                          <w:pStyle w:val="TableParagraph"/>
                          <w:rPr>
                            <w:rFonts w:ascii="Calibri"/>
                            <w:sz w:val="2"/>
                          </w:rPr>
                        </w:pPr>
                      </w:p>
                      <w:p w14:paraId="04453825" w14:textId="77777777" w:rsidR="00F65BCA" w:rsidRDefault="00216117">
                        <w:pPr>
                          <w:pStyle w:val="TableParagraph"/>
                          <w:spacing w:before="13"/>
                          <w:ind w:left="24" w:right="24"/>
                          <w:jc w:val="center"/>
                          <w:rPr>
                            <w:sz w:val="3"/>
                          </w:rPr>
                        </w:pPr>
                        <w:r>
                          <w:rPr>
                            <w:w w:val="105"/>
                            <w:sz w:val="3"/>
                          </w:rPr>
                          <w:t>1,20191265%</w:t>
                        </w:r>
                      </w:p>
                    </w:tc>
                    <w:tc>
                      <w:tcPr>
                        <w:tcW w:w="288" w:type="dxa"/>
                        <w:tcBorders>
                          <w:top w:val="single" w:sz="2" w:space="0" w:color="000000"/>
                          <w:left w:val="single" w:sz="2" w:space="0" w:color="000000"/>
                          <w:bottom w:val="single" w:sz="2" w:space="0" w:color="000000"/>
                          <w:right w:val="single" w:sz="2" w:space="0" w:color="000000"/>
                        </w:tcBorders>
                      </w:tcPr>
                      <w:p w14:paraId="6E87927E" w14:textId="77777777" w:rsidR="00F65BCA" w:rsidRDefault="00F65BCA">
                        <w:pPr>
                          <w:pStyle w:val="TableParagraph"/>
                          <w:rPr>
                            <w:rFonts w:ascii="Calibri"/>
                            <w:sz w:val="2"/>
                          </w:rPr>
                        </w:pPr>
                      </w:p>
                      <w:p w14:paraId="620BEEAC" w14:textId="77777777" w:rsidR="00F65BCA" w:rsidRDefault="00F65BCA">
                        <w:pPr>
                          <w:pStyle w:val="TableParagraph"/>
                          <w:rPr>
                            <w:rFonts w:ascii="Calibri"/>
                            <w:sz w:val="2"/>
                          </w:rPr>
                        </w:pPr>
                      </w:p>
                      <w:p w14:paraId="7ED022E8" w14:textId="77777777" w:rsidR="00F65BCA" w:rsidRDefault="00216117">
                        <w:pPr>
                          <w:pStyle w:val="TableParagraph"/>
                          <w:spacing w:before="13"/>
                          <w:ind w:left="24" w:right="24"/>
                          <w:jc w:val="center"/>
                          <w:rPr>
                            <w:sz w:val="3"/>
                          </w:rPr>
                        </w:pPr>
                        <w:r>
                          <w:rPr>
                            <w:w w:val="105"/>
                            <w:sz w:val="3"/>
                          </w:rPr>
                          <w:t>1,13467279%</w:t>
                        </w:r>
                      </w:p>
                    </w:tc>
                    <w:tc>
                      <w:tcPr>
                        <w:tcW w:w="288" w:type="dxa"/>
                        <w:tcBorders>
                          <w:top w:val="single" w:sz="2" w:space="0" w:color="000000"/>
                          <w:left w:val="single" w:sz="2" w:space="0" w:color="000000"/>
                          <w:bottom w:val="single" w:sz="2" w:space="0" w:color="000000"/>
                          <w:right w:val="single" w:sz="2" w:space="0" w:color="000000"/>
                        </w:tcBorders>
                      </w:tcPr>
                      <w:p w14:paraId="11D82A1A" w14:textId="77777777" w:rsidR="00F65BCA" w:rsidRDefault="00F65BCA">
                        <w:pPr>
                          <w:pStyle w:val="TableParagraph"/>
                          <w:rPr>
                            <w:rFonts w:ascii="Calibri"/>
                            <w:sz w:val="2"/>
                          </w:rPr>
                        </w:pPr>
                      </w:p>
                      <w:p w14:paraId="2CD3D8D3" w14:textId="77777777" w:rsidR="00F65BCA" w:rsidRDefault="00F65BCA">
                        <w:pPr>
                          <w:pStyle w:val="TableParagraph"/>
                          <w:rPr>
                            <w:rFonts w:ascii="Calibri"/>
                            <w:sz w:val="2"/>
                          </w:rPr>
                        </w:pPr>
                      </w:p>
                      <w:p w14:paraId="5631E507" w14:textId="77777777" w:rsidR="00F65BCA" w:rsidRDefault="00216117">
                        <w:pPr>
                          <w:pStyle w:val="TableParagraph"/>
                          <w:spacing w:before="13"/>
                          <w:ind w:left="24" w:right="24"/>
                          <w:jc w:val="center"/>
                          <w:rPr>
                            <w:sz w:val="3"/>
                          </w:rPr>
                        </w:pPr>
                        <w:r>
                          <w:rPr>
                            <w:w w:val="105"/>
                            <w:sz w:val="3"/>
                          </w:rPr>
                          <w:t>1,07583790%</w:t>
                        </w:r>
                      </w:p>
                    </w:tc>
                    <w:tc>
                      <w:tcPr>
                        <w:tcW w:w="288" w:type="dxa"/>
                        <w:tcBorders>
                          <w:top w:val="single" w:sz="2" w:space="0" w:color="000000"/>
                          <w:left w:val="single" w:sz="2" w:space="0" w:color="000000"/>
                          <w:bottom w:val="single" w:sz="2" w:space="0" w:color="000000"/>
                          <w:right w:val="single" w:sz="2" w:space="0" w:color="000000"/>
                        </w:tcBorders>
                      </w:tcPr>
                      <w:p w14:paraId="532C173B" w14:textId="77777777" w:rsidR="00F65BCA" w:rsidRDefault="00F65BCA">
                        <w:pPr>
                          <w:pStyle w:val="TableParagraph"/>
                          <w:rPr>
                            <w:rFonts w:ascii="Calibri"/>
                            <w:sz w:val="2"/>
                          </w:rPr>
                        </w:pPr>
                      </w:p>
                      <w:p w14:paraId="5D841C88" w14:textId="77777777" w:rsidR="00F65BCA" w:rsidRDefault="00F65BCA">
                        <w:pPr>
                          <w:pStyle w:val="TableParagraph"/>
                          <w:rPr>
                            <w:rFonts w:ascii="Calibri"/>
                            <w:sz w:val="2"/>
                          </w:rPr>
                        </w:pPr>
                      </w:p>
                      <w:p w14:paraId="30476F0A" w14:textId="77777777" w:rsidR="00F65BCA" w:rsidRDefault="00216117">
                        <w:pPr>
                          <w:pStyle w:val="TableParagraph"/>
                          <w:spacing w:before="13"/>
                          <w:ind w:left="24" w:right="24"/>
                          <w:jc w:val="center"/>
                          <w:rPr>
                            <w:sz w:val="3"/>
                          </w:rPr>
                        </w:pPr>
                        <w:r>
                          <w:rPr>
                            <w:w w:val="105"/>
                            <w:sz w:val="3"/>
                          </w:rPr>
                          <w:t>1,00019305%</w:t>
                        </w:r>
                      </w:p>
                    </w:tc>
                    <w:tc>
                      <w:tcPr>
                        <w:tcW w:w="288" w:type="dxa"/>
                        <w:tcBorders>
                          <w:top w:val="single" w:sz="2" w:space="0" w:color="000000"/>
                          <w:left w:val="single" w:sz="2" w:space="0" w:color="000000"/>
                          <w:bottom w:val="single" w:sz="2" w:space="0" w:color="000000"/>
                          <w:right w:val="single" w:sz="2" w:space="0" w:color="000000"/>
                        </w:tcBorders>
                      </w:tcPr>
                      <w:p w14:paraId="3F7BA01C" w14:textId="77777777" w:rsidR="00F65BCA" w:rsidRDefault="00F65BCA">
                        <w:pPr>
                          <w:pStyle w:val="TableParagraph"/>
                          <w:rPr>
                            <w:rFonts w:ascii="Calibri"/>
                            <w:sz w:val="2"/>
                          </w:rPr>
                        </w:pPr>
                      </w:p>
                      <w:p w14:paraId="04BA24F9" w14:textId="77777777" w:rsidR="00F65BCA" w:rsidRDefault="00F65BCA">
                        <w:pPr>
                          <w:pStyle w:val="TableParagraph"/>
                          <w:rPr>
                            <w:rFonts w:ascii="Calibri"/>
                            <w:sz w:val="2"/>
                          </w:rPr>
                        </w:pPr>
                      </w:p>
                      <w:p w14:paraId="74290CEA" w14:textId="77777777" w:rsidR="00F65BCA" w:rsidRDefault="00216117">
                        <w:pPr>
                          <w:pStyle w:val="TableParagraph"/>
                          <w:spacing w:before="13"/>
                          <w:ind w:left="24" w:right="24"/>
                          <w:jc w:val="center"/>
                          <w:rPr>
                            <w:sz w:val="3"/>
                          </w:rPr>
                        </w:pPr>
                        <w:r>
                          <w:rPr>
                            <w:w w:val="105"/>
                            <w:sz w:val="3"/>
                          </w:rPr>
                          <w:t>0,92454820%</w:t>
                        </w:r>
                      </w:p>
                    </w:tc>
                    <w:tc>
                      <w:tcPr>
                        <w:tcW w:w="288" w:type="dxa"/>
                        <w:tcBorders>
                          <w:top w:val="single" w:sz="2" w:space="0" w:color="000000"/>
                          <w:left w:val="single" w:sz="2" w:space="0" w:color="000000"/>
                          <w:bottom w:val="single" w:sz="2" w:space="0" w:color="000000"/>
                          <w:right w:val="single" w:sz="2" w:space="0" w:color="000000"/>
                        </w:tcBorders>
                      </w:tcPr>
                      <w:p w14:paraId="65E17081" w14:textId="77777777" w:rsidR="00F65BCA" w:rsidRDefault="00F65BCA">
                        <w:pPr>
                          <w:pStyle w:val="TableParagraph"/>
                          <w:rPr>
                            <w:rFonts w:ascii="Calibri"/>
                            <w:sz w:val="2"/>
                          </w:rPr>
                        </w:pPr>
                      </w:p>
                      <w:p w14:paraId="14A5FCAD" w14:textId="77777777" w:rsidR="00F65BCA" w:rsidRDefault="00F65BCA">
                        <w:pPr>
                          <w:pStyle w:val="TableParagraph"/>
                          <w:rPr>
                            <w:rFonts w:ascii="Calibri"/>
                            <w:sz w:val="2"/>
                          </w:rPr>
                        </w:pPr>
                      </w:p>
                      <w:p w14:paraId="3EDB3D55" w14:textId="77777777" w:rsidR="00F65BCA" w:rsidRDefault="00216117">
                        <w:pPr>
                          <w:pStyle w:val="TableParagraph"/>
                          <w:spacing w:before="13"/>
                          <w:ind w:left="24" w:right="24"/>
                          <w:jc w:val="center"/>
                          <w:rPr>
                            <w:sz w:val="3"/>
                          </w:rPr>
                        </w:pPr>
                        <w:r>
                          <w:rPr>
                            <w:w w:val="105"/>
                            <w:sz w:val="3"/>
                          </w:rPr>
                          <w:t>0,84049836%</w:t>
                        </w:r>
                      </w:p>
                    </w:tc>
                    <w:tc>
                      <w:tcPr>
                        <w:tcW w:w="288" w:type="dxa"/>
                        <w:tcBorders>
                          <w:top w:val="single" w:sz="2" w:space="0" w:color="000000"/>
                          <w:left w:val="single" w:sz="2" w:space="0" w:color="000000"/>
                          <w:bottom w:val="single" w:sz="2" w:space="0" w:color="000000"/>
                          <w:right w:val="single" w:sz="2" w:space="0" w:color="000000"/>
                        </w:tcBorders>
                      </w:tcPr>
                      <w:p w14:paraId="7BCCC077" w14:textId="77777777" w:rsidR="00F65BCA" w:rsidRDefault="00F65BCA">
                        <w:pPr>
                          <w:pStyle w:val="TableParagraph"/>
                          <w:rPr>
                            <w:rFonts w:ascii="Calibri"/>
                            <w:sz w:val="2"/>
                          </w:rPr>
                        </w:pPr>
                      </w:p>
                      <w:p w14:paraId="79008638" w14:textId="77777777" w:rsidR="00F65BCA" w:rsidRDefault="00F65BCA">
                        <w:pPr>
                          <w:pStyle w:val="TableParagraph"/>
                          <w:rPr>
                            <w:rFonts w:ascii="Calibri"/>
                            <w:sz w:val="2"/>
                          </w:rPr>
                        </w:pPr>
                      </w:p>
                      <w:p w14:paraId="242A0F40" w14:textId="77777777" w:rsidR="00F65BCA" w:rsidRDefault="00216117">
                        <w:pPr>
                          <w:pStyle w:val="TableParagraph"/>
                          <w:spacing w:before="13"/>
                          <w:ind w:left="24" w:right="24"/>
                          <w:jc w:val="center"/>
                          <w:rPr>
                            <w:sz w:val="3"/>
                          </w:rPr>
                        </w:pPr>
                        <w:r>
                          <w:rPr>
                            <w:w w:val="105"/>
                            <w:sz w:val="3"/>
                          </w:rPr>
                          <w:t>0,84049836%</w:t>
                        </w:r>
                      </w:p>
                    </w:tc>
                    <w:tc>
                      <w:tcPr>
                        <w:tcW w:w="288" w:type="dxa"/>
                        <w:tcBorders>
                          <w:top w:val="single" w:sz="2" w:space="0" w:color="000000"/>
                          <w:left w:val="single" w:sz="2" w:space="0" w:color="000000"/>
                          <w:bottom w:val="single" w:sz="2" w:space="0" w:color="000000"/>
                          <w:right w:val="single" w:sz="2" w:space="0" w:color="000000"/>
                        </w:tcBorders>
                      </w:tcPr>
                      <w:p w14:paraId="7C97DC4B" w14:textId="77777777" w:rsidR="00F65BCA" w:rsidRDefault="00F65BCA">
                        <w:pPr>
                          <w:pStyle w:val="TableParagraph"/>
                          <w:rPr>
                            <w:rFonts w:ascii="Calibri"/>
                            <w:sz w:val="2"/>
                          </w:rPr>
                        </w:pPr>
                      </w:p>
                      <w:p w14:paraId="68EB257A" w14:textId="77777777" w:rsidR="00F65BCA" w:rsidRDefault="00F65BCA">
                        <w:pPr>
                          <w:pStyle w:val="TableParagraph"/>
                          <w:rPr>
                            <w:rFonts w:ascii="Calibri"/>
                            <w:sz w:val="2"/>
                          </w:rPr>
                        </w:pPr>
                      </w:p>
                      <w:p w14:paraId="20099975" w14:textId="77777777" w:rsidR="00F65BCA" w:rsidRDefault="00216117">
                        <w:pPr>
                          <w:pStyle w:val="TableParagraph"/>
                          <w:spacing w:before="13"/>
                          <w:ind w:left="24" w:right="24"/>
                          <w:jc w:val="center"/>
                          <w:rPr>
                            <w:sz w:val="3"/>
                          </w:rPr>
                        </w:pPr>
                        <w:r>
                          <w:rPr>
                            <w:w w:val="105"/>
                            <w:sz w:val="3"/>
                          </w:rPr>
                          <w:t>1,00859803%</w:t>
                        </w:r>
                      </w:p>
                    </w:tc>
                    <w:tc>
                      <w:tcPr>
                        <w:tcW w:w="288" w:type="dxa"/>
                        <w:tcBorders>
                          <w:top w:val="single" w:sz="2" w:space="0" w:color="000000"/>
                          <w:left w:val="single" w:sz="2" w:space="0" w:color="000000"/>
                          <w:bottom w:val="single" w:sz="2" w:space="0" w:color="000000"/>
                          <w:right w:val="single" w:sz="2" w:space="0" w:color="000000"/>
                        </w:tcBorders>
                      </w:tcPr>
                      <w:p w14:paraId="2B50D2B4" w14:textId="77777777" w:rsidR="00F65BCA" w:rsidRDefault="00F65BCA">
                        <w:pPr>
                          <w:pStyle w:val="TableParagraph"/>
                          <w:rPr>
                            <w:rFonts w:ascii="Calibri"/>
                            <w:sz w:val="2"/>
                          </w:rPr>
                        </w:pPr>
                      </w:p>
                      <w:p w14:paraId="56B01BE1" w14:textId="77777777" w:rsidR="00F65BCA" w:rsidRDefault="00F65BCA">
                        <w:pPr>
                          <w:pStyle w:val="TableParagraph"/>
                          <w:rPr>
                            <w:rFonts w:ascii="Calibri"/>
                            <w:sz w:val="2"/>
                          </w:rPr>
                        </w:pPr>
                      </w:p>
                      <w:p w14:paraId="3D2A746F" w14:textId="77777777" w:rsidR="00F65BCA" w:rsidRDefault="00216117">
                        <w:pPr>
                          <w:pStyle w:val="TableParagraph"/>
                          <w:spacing w:before="13"/>
                          <w:ind w:left="24" w:right="24"/>
                          <w:jc w:val="center"/>
                          <w:rPr>
                            <w:sz w:val="3"/>
                          </w:rPr>
                        </w:pPr>
                        <w:r>
                          <w:rPr>
                            <w:w w:val="105"/>
                            <w:sz w:val="3"/>
                          </w:rPr>
                          <w:t>1,13467279%</w:t>
                        </w:r>
                      </w:p>
                    </w:tc>
                    <w:tc>
                      <w:tcPr>
                        <w:tcW w:w="288" w:type="dxa"/>
                        <w:tcBorders>
                          <w:top w:val="single" w:sz="2" w:space="0" w:color="000000"/>
                          <w:left w:val="single" w:sz="2" w:space="0" w:color="000000"/>
                          <w:bottom w:val="single" w:sz="2" w:space="0" w:color="000000"/>
                          <w:right w:val="single" w:sz="2" w:space="0" w:color="000000"/>
                        </w:tcBorders>
                      </w:tcPr>
                      <w:p w14:paraId="20C19D2B" w14:textId="77777777" w:rsidR="00F65BCA" w:rsidRDefault="00F65BCA">
                        <w:pPr>
                          <w:pStyle w:val="TableParagraph"/>
                          <w:rPr>
                            <w:rFonts w:ascii="Calibri"/>
                            <w:sz w:val="2"/>
                          </w:rPr>
                        </w:pPr>
                      </w:p>
                      <w:p w14:paraId="3EB7421A" w14:textId="77777777" w:rsidR="00F65BCA" w:rsidRDefault="00F65BCA">
                        <w:pPr>
                          <w:pStyle w:val="TableParagraph"/>
                          <w:rPr>
                            <w:rFonts w:ascii="Calibri"/>
                            <w:sz w:val="2"/>
                          </w:rPr>
                        </w:pPr>
                      </w:p>
                      <w:p w14:paraId="176FC43A" w14:textId="77777777" w:rsidR="00F65BCA" w:rsidRDefault="00216117">
                        <w:pPr>
                          <w:pStyle w:val="TableParagraph"/>
                          <w:spacing w:before="13"/>
                          <w:ind w:left="24" w:right="24"/>
                          <w:jc w:val="center"/>
                          <w:rPr>
                            <w:sz w:val="3"/>
                          </w:rPr>
                        </w:pPr>
                        <w:r>
                          <w:rPr>
                            <w:w w:val="105"/>
                            <w:sz w:val="3"/>
                          </w:rPr>
                          <w:t>1,13467279%</w:t>
                        </w:r>
                      </w:p>
                    </w:tc>
                    <w:tc>
                      <w:tcPr>
                        <w:tcW w:w="288" w:type="dxa"/>
                        <w:tcBorders>
                          <w:top w:val="single" w:sz="2" w:space="0" w:color="000000"/>
                          <w:left w:val="single" w:sz="2" w:space="0" w:color="000000"/>
                          <w:bottom w:val="single" w:sz="2" w:space="0" w:color="000000"/>
                          <w:right w:val="single" w:sz="2" w:space="0" w:color="000000"/>
                        </w:tcBorders>
                      </w:tcPr>
                      <w:p w14:paraId="35C7A450" w14:textId="77777777" w:rsidR="00F65BCA" w:rsidRDefault="00F65BCA">
                        <w:pPr>
                          <w:pStyle w:val="TableParagraph"/>
                          <w:rPr>
                            <w:rFonts w:ascii="Calibri"/>
                            <w:sz w:val="2"/>
                          </w:rPr>
                        </w:pPr>
                      </w:p>
                      <w:p w14:paraId="46F7503A" w14:textId="77777777" w:rsidR="00F65BCA" w:rsidRDefault="00F65BCA">
                        <w:pPr>
                          <w:pStyle w:val="TableParagraph"/>
                          <w:rPr>
                            <w:rFonts w:ascii="Calibri"/>
                            <w:sz w:val="2"/>
                          </w:rPr>
                        </w:pPr>
                      </w:p>
                      <w:p w14:paraId="18CD9FA2" w14:textId="77777777" w:rsidR="00F65BCA" w:rsidRDefault="00216117">
                        <w:pPr>
                          <w:pStyle w:val="TableParagraph"/>
                          <w:spacing w:before="13"/>
                          <w:ind w:left="24" w:right="24"/>
                          <w:jc w:val="center"/>
                          <w:rPr>
                            <w:sz w:val="3"/>
                          </w:rPr>
                        </w:pPr>
                        <w:r>
                          <w:rPr>
                            <w:w w:val="105"/>
                            <w:sz w:val="3"/>
                          </w:rPr>
                          <w:t>1,26074754%</w:t>
                        </w:r>
                      </w:p>
                    </w:tc>
                  </w:tr>
                  <w:tr w:rsidR="00F65BCA" w14:paraId="4F2F1EB0" w14:textId="77777777">
                    <w:trPr>
                      <w:trHeight w:val="155"/>
                    </w:trPr>
                    <w:tc>
                      <w:tcPr>
                        <w:tcW w:w="526" w:type="dxa"/>
                        <w:vMerge/>
                        <w:tcBorders>
                          <w:top w:val="nil"/>
                          <w:left w:val="single" w:sz="2" w:space="0" w:color="000000"/>
                          <w:bottom w:val="single" w:sz="2" w:space="0" w:color="000000"/>
                          <w:right w:val="single" w:sz="2" w:space="0" w:color="000000"/>
                        </w:tcBorders>
                        <w:shd w:val="clear" w:color="auto" w:fill="FCE4D6"/>
                      </w:tcPr>
                      <w:p w14:paraId="5ECC41ED"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D0A06EC"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64B8862A"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5FFF1D2" w14:textId="77777777" w:rsidR="00F65BCA" w:rsidRDefault="00F65BCA">
                        <w:pPr>
                          <w:pStyle w:val="TableParagraph"/>
                          <w:rPr>
                            <w:rFonts w:ascii="Calibri"/>
                            <w:sz w:val="2"/>
                          </w:rPr>
                        </w:pPr>
                      </w:p>
                      <w:p w14:paraId="16ECC2BC" w14:textId="77777777" w:rsidR="00F65BCA" w:rsidRDefault="00F65BCA">
                        <w:pPr>
                          <w:pStyle w:val="TableParagraph"/>
                          <w:rPr>
                            <w:rFonts w:ascii="Calibri"/>
                            <w:sz w:val="2"/>
                          </w:rPr>
                        </w:pPr>
                      </w:p>
                      <w:p w14:paraId="13F757AD" w14:textId="77777777" w:rsidR="00F65BCA" w:rsidRDefault="00216117">
                        <w:pPr>
                          <w:pStyle w:val="TableParagraph"/>
                          <w:spacing w:before="13"/>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2EB563A" w14:textId="77777777" w:rsidR="00F65BCA" w:rsidRDefault="00F65BCA">
                        <w:pPr>
                          <w:pStyle w:val="TableParagraph"/>
                          <w:rPr>
                            <w:rFonts w:ascii="Calibri"/>
                            <w:sz w:val="2"/>
                          </w:rPr>
                        </w:pPr>
                      </w:p>
                      <w:p w14:paraId="6957A265" w14:textId="77777777" w:rsidR="00F65BCA" w:rsidRDefault="00F65BCA">
                        <w:pPr>
                          <w:pStyle w:val="TableParagraph"/>
                          <w:rPr>
                            <w:rFonts w:ascii="Calibri"/>
                            <w:sz w:val="2"/>
                          </w:rPr>
                        </w:pPr>
                      </w:p>
                      <w:p w14:paraId="61FDE6CA" w14:textId="77777777" w:rsidR="00F65BCA" w:rsidRDefault="00216117">
                        <w:pPr>
                          <w:pStyle w:val="TableParagraph"/>
                          <w:spacing w:before="13"/>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48BB503"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EAC27ED" w14:textId="77777777" w:rsidR="00F65BCA" w:rsidRDefault="00F65BCA">
                        <w:pPr>
                          <w:pStyle w:val="TableParagraph"/>
                          <w:rPr>
                            <w:rFonts w:ascii="Calibri"/>
                            <w:sz w:val="2"/>
                          </w:rPr>
                        </w:pPr>
                      </w:p>
                      <w:p w14:paraId="0D84A843" w14:textId="77777777" w:rsidR="00F65BCA" w:rsidRDefault="00F65BCA">
                        <w:pPr>
                          <w:pStyle w:val="TableParagraph"/>
                          <w:rPr>
                            <w:rFonts w:ascii="Calibri"/>
                            <w:sz w:val="2"/>
                          </w:rPr>
                        </w:pPr>
                      </w:p>
                      <w:p w14:paraId="3537BACD" w14:textId="77777777" w:rsidR="00F65BCA" w:rsidRDefault="00216117">
                        <w:pPr>
                          <w:pStyle w:val="TableParagraph"/>
                          <w:spacing w:before="13"/>
                          <w:ind w:left="24" w:right="24"/>
                          <w:jc w:val="center"/>
                          <w:rPr>
                            <w:sz w:val="3"/>
                          </w:rPr>
                        </w:pPr>
                        <w:r>
                          <w:rPr>
                            <w:w w:val="105"/>
                            <w:sz w:val="3"/>
                          </w:rPr>
                          <w:t>1,62451523%</w:t>
                        </w:r>
                      </w:p>
                    </w:tc>
                    <w:tc>
                      <w:tcPr>
                        <w:tcW w:w="288" w:type="dxa"/>
                        <w:tcBorders>
                          <w:top w:val="single" w:sz="2" w:space="0" w:color="000000"/>
                          <w:left w:val="single" w:sz="2" w:space="0" w:color="000000"/>
                          <w:bottom w:val="single" w:sz="2" w:space="0" w:color="000000"/>
                          <w:right w:val="single" w:sz="2" w:space="0" w:color="000000"/>
                        </w:tcBorders>
                      </w:tcPr>
                      <w:p w14:paraId="3606279C" w14:textId="77777777" w:rsidR="00F65BCA" w:rsidRDefault="00F65BCA">
                        <w:pPr>
                          <w:pStyle w:val="TableParagraph"/>
                          <w:rPr>
                            <w:rFonts w:ascii="Calibri"/>
                            <w:sz w:val="2"/>
                          </w:rPr>
                        </w:pPr>
                      </w:p>
                      <w:p w14:paraId="252A5D0C" w14:textId="77777777" w:rsidR="00F65BCA" w:rsidRDefault="00F65BCA">
                        <w:pPr>
                          <w:pStyle w:val="TableParagraph"/>
                          <w:rPr>
                            <w:rFonts w:ascii="Calibri"/>
                            <w:sz w:val="2"/>
                          </w:rPr>
                        </w:pPr>
                      </w:p>
                      <w:p w14:paraId="654052E0" w14:textId="77777777" w:rsidR="00F65BCA" w:rsidRDefault="00216117">
                        <w:pPr>
                          <w:pStyle w:val="TableParagraph"/>
                          <w:spacing w:before="13"/>
                          <w:ind w:left="24" w:right="24"/>
                          <w:jc w:val="center"/>
                          <w:rPr>
                            <w:sz w:val="3"/>
                          </w:rPr>
                        </w:pPr>
                        <w:r>
                          <w:rPr>
                            <w:w w:val="105"/>
                            <w:sz w:val="3"/>
                          </w:rPr>
                          <w:t>1,52298303%</w:t>
                        </w:r>
                      </w:p>
                    </w:tc>
                    <w:tc>
                      <w:tcPr>
                        <w:tcW w:w="288" w:type="dxa"/>
                        <w:tcBorders>
                          <w:top w:val="single" w:sz="2" w:space="0" w:color="000000"/>
                          <w:left w:val="single" w:sz="2" w:space="0" w:color="000000"/>
                          <w:bottom w:val="single" w:sz="2" w:space="0" w:color="000000"/>
                          <w:right w:val="single" w:sz="2" w:space="0" w:color="000000"/>
                        </w:tcBorders>
                      </w:tcPr>
                      <w:p w14:paraId="6FB83A15" w14:textId="77777777" w:rsidR="00F65BCA" w:rsidRDefault="00F65BCA">
                        <w:pPr>
                          <w:pStyle w:val="TableParagraph"/>
                          <w:rPr>
                            <w:rFonts w:ascii="Calibri"/>
                            <w:sz w:val="2"/>
                          </w:rPr>
                        </w:pPr>
                      </w:p>
                      <w:p w14:paraId="09992840" w14:textId="77777777" w:rsidR="00F65BCA" w:rsidRDefault="00F65BCA">
                        <w:pPr>
                          <w:pStyle w:val="TableParagraph"/>
                          <w:rPr>
                            <w:rFonts w:ascii="Calibri"/>
                            <w:sz w:val="2"/>
                          </w:rPr>
                        </w:pPr>
                      </w:p>
                      <w:p w14:paraId="53A9D306" w14:textId="77777777" w:rsidR="00F65BCA" w:rsidRDefault="00216117">
                        <w:pPr>
                          <w:pStyle w:val="TableParagraph"/>
                          <w:spacing w:before="13"/>
                          <w:ind w:left="24" w:right="24"/>
                          <w:jc w:val="center"/>
                          <w:rPr>
                            <w:sz w:val="3"/>
                          </w:rPr>
                        </w:pPr>
                        <w:r>
                          <w:rPr>
                            <w:w w:val="105"/>
                            <w:sz w:val="3"/>
                          </w:rPr>
                          <w:t>1,45191049%</w:t>
                        </w:r>
                      </w:p>
                    </w:tc>
                    <w:tc>
                      <w:tcPr>
                        <w:tcW w:w="288" w:type="dxa"/>
                        <w:tcBorders>
                          <w:top w:val="single" w:sz="2" w:space="0" w:color="000000"/>
                          <w:left w:val="single" w:sz="2" w:space="0" w:color="000000"/>
                          <w:bottom w:val="single" w:sz="2" w:space="0" w:color="000000"/>
                          <w:right w:val="single" w:sz="2" w:space="0" w:color="000000"/>
                        </w:tcBorders>
                      </w:tcPr>
                      <w:p w14:paraId="35117ABA" w14:textId="77777777" w:rsidR="00F65BCA" w:rsidRDefault="00F65BCA">
                        <w:pPr>
                          <w:pStyle w:val="TableParagraph"/>
                          <w:rPr>
                            <w:rFonts w:ascii="Calibri"/>
                            <w:sz w:val="2"/>
                          </w:rPr>
                        </w:pPr>
                      </w:p>
                      <w:p w14:paraId="7A9DFA79" w14:textId="77777777" w:rsidR="00F65BCA" w:rsidRDefault="00F65BCA">
                        <w:pPr>
                          <w:pStyle w:val="TableParagraph"/>
                          <w:rPr>
                            <w:rFonts w:ascii="Calibri"/>
                            <w:sz w:val="2"/>
                          </w:rPr>
                        </w:pPr>
                      </w:p>
                      <w:p w14:paraId="199EEA0C" w14:textId="77777777" w:rsidR="00F65BCA" w:rsidRDefault="00216117">
                        <w:pPr>
                          <w:pStyle w:val="TableParagraph"/>
                          <w:spacing w:before="13"/>
                          <w:ind w:left="24" w:right="24"/>
                          <w:jc w:val="center"/>
                          <w:rPr>
                            <w:sz w:val="3"/>
                          </w:rPr>
                        </w:pPr>
                        <w:r>
                          <w:rPr>
                            <w:w w:val="105"/>
                            <w:sz w:val="3"/>
                          </w:rPr>
                          <w:t>1,37068473%</w:t>
                        </w:r>
                      </w:p>
                    </w:tc>
                    <w:tc>
                      <w:tcPr>
                        <w:tcW w:w="288" w:type="dxa"/>
                        <w:tcBorders>
                          <w:top w:val="single" w:sz="2" w:space="0" w:color="000000"/>
                          <w:left w:val="single" w:sz="2" w:space="0" w:color="000000"/>
                          <w:bottom w:val="single" w:sz="2" w:space="0" w:color="000000"/>
                          <w:right w:val="single" w:sz="2" w:space="0" w:color="000000"/>
                        </w:tcBorders>
                      </w:tcPr>
                      <w:p w14:paraId="00858C08" w14:textId="77777777" w:rsidR="00F65BCA" w:rsidRDefault="00F65BCA">
                        <w:pPr>
                          <w:pStyle w:val="TableParagraph"/>
                          <w:rPr>
                            <w:rFonts w:ascii="Calibri"/>
                            <w:sz w:val="2"/>
                          </w:rPr>
                        </w:pPr>
                      </w:p>
                      <w:p w14:paraId="1E59AED4" w14:textId="77777777" w:rsidR="00F65BCA" w:rsidRDefault="00F65BCA">
                        <w:pPr>
                          <w:pStyle w:val="TableParagraph"/>
                          <w:rPr>
                            <w:rFonts w:ascii="Calibri"/>
                            <w:sz w:val="2"/>
                          </w:rPr>
                        </w:pPr>
                      </w:p>
                      <w:p w14:paraId="7194BD07" w14:textId="77777777" w:rsidR="00F65BCA" w:rsidRDefault="00216117">
                        <w:pPr>
                          <w:pStyle w:val="TableParagraph"/>
                          <w:spacing w:before="13"/>
                          <w:ind w:left="24" w:right="24"/>
                          <w:jc w:val="center"/>
                          <w:rPr>
                            <w:sz w:val="3"/>
                          </w:rPr>
                        </w:pPr>
                        <w:r>
                          <w:rPr>
                            <w:w w:val="105"/>
                            <w:sz w:val="3"/>
                          </w:rPr>
                          <w:t>1,29961218%</w:t>
                        </w:r>
                      </w:p>
                    </w:tc>
                    <w:tc>
                      <w:tcPr>
                        <w:tcW w:w="288" w:type="dxa"/>
                        <w:tcBorders>
                          <w:top w:val="single" w:sz="2" w:space="0" w:color="000000"/>
                          <w:left w:val="single" w:sz="2" w:space="0" w:color="000000"/>
                          <w:bottom w:val="single" w:sz="2" w:space="0" w:color="000000"/>
                          <w:right w:val="single" w:sz="2" w:space="0" w:color="000000"/>
                        </w:tcBorders>
                      </w:tcPr>
                      <w:p w14:paraId="72249BDB" w14:textId="77777777" w:rsidR="00F65BCA" w:rsidRDefault="00F65BCA">
                        <w:pPr>
                          <w:pStyle w:val="TableParagraph"/>
                          <w:rPr>
                            <w:rFonts w:ascii="Calibri"/>
                            <w:sz w:val="2"/>
                          </w:rPr>
                        </w:pPr>
                      </w:p>
                      <w:p w14:paraId="017C0EC8" w14:textId="77777777" w:rsidR="00F65BCA" w:rsidRDefault="00F65BCA">
                        <w:pPr>
                          <w:pStyle w:val="TableParagraph"/>
                          <w:rPr>
                            <w:rFonts w:ascii="Calibri"/>
                            <w:sz w:val="2"/>
                          </w:rPr>
                        </w:pPr>
                      </w:p>
                      <w:p w14:paraId="0F4FC9A1" w14:textId="77777777" w:rsidR="00F65BCA" w:rsidRDefault="00216117">
                        <w:pPr>
                          <w:pStyle w:val="TableParagraph"/>
                          <w:spacing w:before="13"/>
                          <w:ind w:left="24" w:right="24"/>
                          <w:jc w:val="center"/>
                          <w:rPr>
                            <w:sz w:val="3"/>
                          </w:rPr>
                        </w:pPr>
                        <w:r>
                          <w:rPr>
                            <w:w w:val="105"/>
                            <w:sz w:val="3"/>
                          </w:rPr>
                          <w:t>1,20823320%</w:t>
                        </w:r>
                      </w:p>
                    </w:tc>
                    <w:tc>
                      <w:tcPr>
                        <w:tcW w:w="288" w:type="dxa"/>
                        <w:tcBorders>
                          <w:top w:val="single" w:sz="2" w:space="0" w:color="000000"/>
                          <w:left w:val="single" w:sz="2" w:space="0" w:color="000000"/>
                          <w:bottom w:val="single" w:sz="2" w:space="0" w:color="000000"/>
                          <w:right w:val="single" w:sz="2" w:space="0" w:color="000000"/>
                        </w:tcBorders>
                      </w:tcPr>
                      <w:p w14:paraId="02F6D719" w14:textId="77777777" w:rsidR="00F65BCA" w:rsidRDefault="00F65BCA">
                        <w:pPr>
                          <w:pStyle w:val="TableParagraph"/>
                          <w:rPr>
                            <w:rFonts w:ascii="Calibri"/>
                            <w:sz w:val="2"/>
                          </w:rPr>
                        </w:pPr>
                      </w:p>
                      <w:p w14:paraId="52A67C23" w14:textId="77777777" w:rsidR="00F65BCA" w:rsidRDefault="00F65BCA">
                        <w:pPr>
                          <w:pStyle w:val="TableParagraph"/>
                          <w:rPr>
                            <w:rFonts w:ascii="Calibri"/>
                            <w:sz w:val="2"/>
                          </w:rPr>
                        </w:pPr>
                      </w:p>
                      <w:p w14:paraId="57F526B1" w14:textId="77777777" w:rsidR="00F65BCA" w:rsidRDefault="00216117">
                        <w:pPr>
                          <w:pStyle w:val="TableParagraph"/>
                          <w:spacing w:before="13"/>
                          <w:ind w:left="24" w:right="24"/>
                          <w:jc w:val="center"/>
                          <w:rPr>
                            <w:sz w:val="3"/>
                          </w:rPr>
                        </w:pPr>
                        <w:r>
                          <w:rPr>
                            <w:w w:val="105"/>
                            <w:sz w:val="3"/>
                          </w:rPr>
                          <w:t>1,11685422%</w:t>
                        </w:r>
                      </w:p>
                    </w:tc>
                    <w:tc>
                      <w:tcPr>
                        <w:tcW w:w="288" w:type="dxa"/>
                        <w:tcBorders>
                          <w:top w:val="single" w:sz="2" w:space="0" w:color="000000"/>
                          <w:left w:val="single" w:sz="2" w:space="0" w:color="000000"/>
                          <w:bottom w:val="single" w:sz="2" w:space="0" w:color="000000"/>
                          <w:right w:val="single" w:sz="2" w:space="0" w:color="000000"/>
                        </w:tcBorders>
                      </w:tcPr>
                      <w:p w14:paraId="72DA3089" w14:textId="77777777" w:rsidR="00F65BCA" w:rsidRDefault="00F65BCA">
                        <w:pPr>
                          <w:pStyle w:val="TableParagraph"/>
                          <w:rPr>
                            <w:rFonts w:ascii="Calibri"/>
                            <w:sz w:val="2"/>
                          </w:rPr>
                        </w:pPr>
                      </w:p>
                      <w:p w14:paraId="3784E89D" w14:textId="77777777" w:rsidR="00F65BCA" w:rsidRDefault="00F65BCA">
                        <w:pPr>
                          <w:pStyle w:val="TableParagraph"/>
                          <w:rPr>
                            <w:rFonts w:ascii="Calibri"/>
                            <w:sz w:val="2"/>
                          </w:rPr>
                        </w:pPr>
                      </w:p>
                      <w:p w14:paraId="00DC97CB" w14:textId="77777777" w:rsidR="00F65BCA" w:rsidRDefault="00216117">
                        <w:pPr>
                          <w:pStyle w:val="TableParagraph"/>
                          <w:spacing w:before="13"/>
                          <w:ind w:left="24" w:right="24"/>
                          <w:jc w:val="center"/>
                          <w:rPr>
                            <w:sz w:val="3"/>
                          </w:rPr>
                        </w:pPr>
                        <w:r>
                          <w:rPr>
                            <w:w w:val="105"/>
                            <w:sz w:val="3"/>
                          </w:rPr>
                          <w:t>1,01532202%</w:t>
                        </w:r>
                      </w:p>
                    </w:tc>
                    <w:tc>
                      <w:tcPr>
                        <w:tcW w:w="288" w:type="dxa"/>
                        <w:tcBorders>
                          <w:top w:val="single" w:sz="2" w:space="0" w:color="000000"/>
                          <w:left w:val="single" w:sz="2" w:space="0" w:color="000000"/>
                          <w:bottom w:val="single" w:sz="2" w:space="0" w:color="000000"/>
                          <w:right w:val="single" w:sz="2" w:space="0" w:color="000000"/>
                        </w:tcBorders>
                      </w:tcPr>
                      <w:p w14:paraId="29B80889" w14:textId="77777777" w:rsidR="00F65BCA" w:rsidRDefault="00F65BCA">
                        <w:pPr>
                          <w:pStyle w:val="TableParagraph"/>
                          <w:rPr>
                            <w:rFonts w:ascii="Calibri"/>
                            <w:sz w:val="2"/>
                          </w:rPr>
                        </w:pPr>
                      </w:p>
                      <w:p w14:paraId="142C35AF" w14:textId="77777777" w:rsidR="00F65BCA" w:rsidRDefault="00F65BCA">
                        <w:pPr>
                          <w:pStyle w:val="TableParagraph"/>
                          <w:rPr>
                            <w:rFonts w:ascii="Calibri"/>
                            <w:sz w:val="2"/>
                          </w:rPr>
                        </w:pPr>
                      </w:p>
                      <w:p w14:paraId="7F14253E" w14:textId="77777777" w:rsidR="00F65BCA" w:rsidRDefault="00216117">
                        <w:pPr>
                          <w:pStyle w:val="TableParagraph"/>
                          <w:spacing w:before="13"/>
                          <w:ind w:left="24" w:right="24"/>
                          <w:jc w:val="center"/>
                          <w:rPr>
                            <w:sz w:val="3"/>
                          </w:rPr>
                        </w:pPr>
                        <w:r>
                          <w:rPr>
                            <w:w w:val="105"/>
                            <w:sz w:val="3"/>
                          </w:rPr>
                          <w:t>1,01532202%</w:t>
                        </w:r>
                      </w:p>
                    </w:tc>
                    <w:tc>
                      <w:tcPr>
                        <w:tcW w:w="288" w:type="dxa"/>
                        <w:tcBorders>
                          <w:top w:val="single" w:sz="2" w:space="0" w:color="000000"/>
                          <w:left w:val="single" w:sz="2" w:space="0" w:color="000000"/>
                          <w:bottom w:val="single" w:sz="2" w:space="0" w:color="000000"/>
                          <w:right w:val="single" w:sz="2" w:space="0" w:color="000000"/>
                        </w:tcBorders>
                      </w:tcPr>
                      <w:p w14:paraId="42E5B997" w14:textId="77777777" w:rsidR="00F65BCA" w:rsidRDefault="00F65BCA">
                        <w:pPr>
                          <w:pStyle w:val="TableParagraph"/>
                          <w:rPr>
                            <w:rFonts w:ascii="Calibri"/>
                            <w:sz w:val="2"/>
                          </w:rPr>
                        </w:pPr>
                      </w:p>
                      <w:p w14:paraId="020DB40B" w14:textId="77777777" w:rsidR="00F65BCA" w:rsidRDefault="00F65BCA">
                        <w:pPr>
                          <w:pStyle w:val="TableParagraph"/>
                          <w:rPr>
                            <w:rFonts w:ascii="Calibri"/>
                            <w:sz w:val="2"/>
                          </w:rPr>
                        </w:pPr>
                      </w:p>
                      <w:p w14:paraId="62C0C9D5" w14:textId="77777777" w:rsidR="00F65BCA" w:rsidRDefault="00216117">
                        <w:pPr>
                          <w:pStyle w:val="TableParagraph"/>
                          <w:spacing w:before="13"/>
                          <w:ind w:left="24" w:right="24"/>
                          <w:jc w:val="center"/>
                          <w:rPr>
                            <w:sz w:val="3"/>
                          </w:rPr>
                        </w:pPr>
                        <w:r>
                          <w:rPr>
                            <w:w w:val="105"/>
                            <w:sz w:val="3"/>
                          </w:rPr>
                          <w:t>1,21838642%</w:t>
                        </w:r>
                      </w:p>
                    </w:tc>
                    <w:tc>
                      <w:tcPr>
                        <w:tcW w:w="288" w:type="dxa"/>
                        <w:tcBorders>
                          <w:top w:val="single" w:sz="2" w:space="0" w:color="000000"/>
                          <w:left w:val="single" w:sz="2" w:space="0" w:color="000000"/>
                          <w:bottom w:val="single" w:sz="2" w:space="0" w:color="000000"/>
                          <w:right w:val="single" w:sz="2" w:space="0" w:color="000000"/>
                        </w:tcBorders>
                      </w:tcPr>
                      <w:p w14:paraId="190BE74C" w14:textId="77777777" w:rsidR="00F65BCA" w:rsidRDefault="00F65BCA">
                        <w:pPr>
                          <w:pStyle w:val="TableParagraph"/>
                          <w:rPr>
                            <w:rFonts w:ascii="Calibri"/>
                            <w:sz w:val="2"/>
                          </w:rPr>
                        </w:pPr>
                      </w:p>
                      <w:p w14:paraId="78B4FCD6" w14:textId="77777777" w:rsidR="00F65BCA" w:rsidRDefault="00F65BCA">
                        <w:pPr>
                          <w:pStyle w:val="TableParagraph"/>
                          <w:rPr>
                            <w:rFonts w:ascii="Calibri"/>
                            <w:sz w:val="2"/>
                          </w:rPr>
                        </w:pPr>
                      </w:p>
                      <w:p w14:paraId="5254A0B7" w14:textId="77777777" w:rsidR="00F65BCA" w:rsidRDefault="00216117">
                        <w:pPr>
                          <w:pStyle w:val="TableParagraph"/>
                          <w:spacing w:before="13"/>
                          <w:ind w:left="24" w:right="24"/>
                          <w:jc w:val="center"/>
                          <w:rPr>
                            <w:sz w:val="3"/>
                          </w:rPr>
                        </w:pPr>
                        <w:r>
                          <w:rPr>
                            <w:w w:val="105"/>
                            <w:sz w:val="3"/>
                          </w:rPr>
                          <w:t>1,37068473%</w:t>
                        </w:r>
                      </w:p>
                    </w:tc>
                    <w:tc>
                      <w:tcPr>
                        <w:tcW w:w="288" w:type="dxa"/>
                        <w:tcBorders>
                          <w:top w:val="single" w:sz="2" w:space="0" w:color="000000"/>
                          <w:left w:val="single" w:sz="2" w:space="0" w:color="000000"/>
                          <w:bottom w:val="single" w:sz="2" w:space="0" w:color="000000"/>
                          <w:right w:val="single" w:sz="2" w:space="0" w:color="000000"/>
                        </w:tcBorders>
                      </w:tcPr>
                      <w:p w14:paraId="13A679CE" w14:textId="77777777" w:rsidR="00F65BCA" w:rsidRDefault="00F65BCA">
                        <w:pPr>
                          <w:pStyle w:val="TableParagraph"/>
                          <w:rPr>
                            <w:rFonts w:ascii="Calibri"/>
                            <w:sz w:val="2"/>
                          </w:rPr>
                        </w:pPr>
                      </w:p>
                      <w:p w14:paraId="749B87D5" w14:textId="77777777" w:rsidR="00F65BCA" w:rsidRDefault="00F65BCA">
                        <w:pPr>
                          <w:pStyle w:val="TableParagraph"/>
                          <w:rPr>
                            <w:rFonts w:ascii="Calibri"/>
                            <w:sz w:val="2"/>
                          </w:rPr>
                        </w:pPr>
                      </w:p>
                      <w:p w14:paraId="0DB6F8D5" w14:textId="77777777" w:rsidR="00F65BCA" w:rsidRDefault="00216117">
                        <w:pPr>
                          <w:pStyle w:val="TableParagraph"/>
                          <w:spacing w:before="13"/>
                          <w:ind w:left="24" w:right="24"/>
                          <w:jc w:val="center"/>
                          <w:rPr>
                            <w:sz w:val="3"/>
                          </w:rPr>
                        </w:pPr>
                        <w:r>
                          <w:rPr>
                            <w:w w:val="105"/>
                            <w:sz w:val="3"/>
                          </w:rPr>
                          <w:t>1,37068473%</w:t>
                        </w:r>
                      </w:p>
                    </w:tc>
                    <w:tc>
                      <w:tcPr>
                        <w:tcW w:w="288" w:type="dxa"/>
                        <w:tcBorders>
                          <w:top w:val="single" w:sz="2" w:space="0" w:color="000000"/>
                          <w:left w:val="single" w:sz="2" w:space="0" w:color="000000"/>
                          <w:bottom w:val="single" w:sz="2" w:space="0" w:color="000000"/>
                          <w:right w:val="single" w:sz="2" w:space="0" w:color="000000"/>
                        </w:tcBorders>
                      </w:tcPr>
                      <w:p w14:paraId="3F74BFFF" w14:textId="77777777" w:rsidR="00F65BCA" w:rsidRDefault="00F65BCA">
                        <w:pPr>
                          <w:pStyle w:val="TableParagraph"/>
                          <w:rPr>
                            <w:rFonts w:ascii="Calibri"/>
                            <w:sz w:val="2"/>
                          </w:rPr>
                        </w:pPr>
                      </w:p>
                      <w:p w14:paraId="7CF67173" w14:textId="77777777" w:rsidR="00F65BCA" w:rsidRDefault="00F65BCA">
                        <w:pPr>
                          <w:pStyle w:val="TableParagraph"/>
                          <w:rPr>
                            <w:rFonts w:ascii="Calibri"/>
                            <w:sz w:val="2"/>
                          </w:rPr>
                        </w:pPr>
                      </w:p>
                      <w:p w14:paraId="156B447D" w14:textId="77777777" w:rsidR="00F65BCA" w:rsidRDefault="00216117">
                        <w:pPr>
                          <w:pStyle w:val="TableParagraph"/>
                          <w:spacing w:before="13"/>
                          <w:ind w:left="24" w:right="24"/>
                          <w:jc w:val="center"/>
                          <w:rPr>
                            <w:sz w:val="3"/>
                          </w:rPr>
                        </w:pPr>
                        <w:r>
                          <w:rPr>
                            <w:w w:val="105"/>
                            <w:sz w:val="3"/>
                          </w:rPr>
                          <w:t>1,52298303%</w:t>
                        </w:r>
                      </w:p>
                    </w:tc>
                  </w:tr>
                  <w:tr w:rsidR="00F65BCA" w14:paraId="5766A034"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5DB93761"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258E5E3B" w14:textId="77777777" w:rsidR="00F65BCA" w:rsidRDefault="00F65BCA">
                        <w:pPr>
                          <w:pStyle w:val="TableParagraph"/>
                          <w:rPr>
                            <w:rFonts w:ascii="Calibri"/>
                            <w:sz w:val="2"/>
                          </w:rPr>
                        </w:pPr>
                      </w:p>
                      <w:p w14:paraId="61C1B6AD" w14:textId="77777777" w:rsidR="00F65BCA" w:rsidRDefault="00F65BCA">
                        <w:pPr>
                          <w:pStyle w:val="TableParagraph"/>
                          <w:rPr>
                            <w:rFonts w:ascii="Calibri"/>
                            <w:sz w:val="2"/>
                          </w:rPr>
                        </w:pPr>
                      </w:p>
                      <w:p w14:paraId="5F8A025B" w14:textId="77777777" w:rsidR="00F65BCA" w:rsidRDefault="00F65BCA">
                        <w:pPr>
                          <w:pStyle w:val="TableParagraph"/>
                          <w:rPr>
                            <w:rFonts w:ascii="Calibri"/>
                            <w:sz w:val="2"/>
                          </w:rPr>
                        </w:pPr>
                      </w:p>
                      <w:p w14:paraId="4C895265" w14:textId="77777777" w:rsidR="00F65BCA" w:rsidRDefault="00F65BCA">
                        <w:pPr>
                          <w:pStyle w:val="TableParagraph"/>
                          <w:rPr>
                            <w:rFonts w:ascii="Calibri"/>
                            <w:sz w:val="2"/>
                          </w:rPr>
                        </w:pPr>
                      </w:p>
                      <w:p w14:paraId="4B2AD7C3" w14:textId="77777777" w:rsidR="00F65BCA" w:rsidRDefault="00F65BCA">
                        <w:pPr>
                          <w:pStyle w:val="TableParagraph"/>
                          <w:rPr>
                            <w:rFonts w:ascii="Calibri"/>
                            <w:sz w:val="2"/>
                          </w:rPr>
                        </w:pPr>
                      </w:p>
                      <w:p w14:paraId="45A44355" w14:textId="77777777" w:rsidR="00F65BCA" w:rsidRDefault="00F65BCA">
                        <w:pPr>
                          <w:pStyle w:val="TableParagraph"/>
                          <w:rPr>
                            <w:rFonts w:ascii="Calibri"/>
                            <w:sz w:val="2"/>
                          </w:rPr>
                        </w:pPr>
                      </w:p>
                      <w:p w14:paraId="49B7F882" w14:textId="77777777" w:rsidR="00F65BCA" w:rsidRDefault="00F65BCA">
                        <w:pPr>
                          <w:pStyle w:val="TableParagraph"/>
                          <w:rPr>
                            <w:rFonts w:ascii="Calibri"/>
                            <w:sz w:val="2"/>
                          </w:rPr>
                        </w:pPr>
                      </w:p>
                      <w:p w14:paraId="31C56AE5" w14:textId="77777777" w:rsidR="00F65BCA" w:rsidRDefault="00F65BCA">
                        <w:pPr>
                          <w:pStyle w:val="TableParagraph"/>
                          <w:spacing w:before="8"/>
                          <w:rPr>
                            <w:rFonts w:ascii="Calibri"/>
                            <w:sz w:val="2"/>
                          </w:rPr>
                        </w:pPr>
                      </w:p>
                      <w:p w14:paraId="7DA29A98" w14:textId="77777777" w:rsidR="00F65BCA" w:rsidRDefault="00216117">
                        <w:pPr>
                          <w:pStyle w:val="TableParagraph"/>
                          <w:ind w:left="18" w:right="15"/>
                          <w:jc w:val="center"/>
                          <w:rPr>
                            <w:sz w:val="3"/>
                          </w:rPr>
                        </w:pPr>
                        <w:r>
                          <w:rPr>
                            <w:w w:val="105"/>
                            <w:sz w:val="3"/>
                          </w:rPr>
                          <w:t>Chevrolet</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211BD64" w14:textId="77777777" w:rsidR="00F65BCA" w:rsidRDefault="00F65BCA">
                        <w:pPr>
                          <w:pStyle w:val="TableParagraph"/>
                          <w:rPr>
                            <w:rFonts w:ascii="Calibri"/>
                            <w:sz w:val="2"/>
                          </w:rPr>
                        </w:pPr>
                      </w:p>
                      <w:p w14:paraId="5D9B8F0D" w14:textId="77777777" w:rsidR="00F65BCA" w:rsidRDefault="00216117">
                        <w:pPr>
                          <w:pStyle w:val="TableParagraph"/>
                          <w:spacing w:line="40" w:lineRule="atLeast"/>
                          <w:ind w:left="4" w:right="-1"/>
                          <w:rPr>
                            <w:sz w:val="3"/>
                          </w:rPr>
                        </w:pPr>
                        <w:r>
                          <w:rPr>
                            <w:w w:val="105"/>
                            <w:sz w:val="3"/>
                          </w:rPr>
                          <w:t>AVEO; CAPTIVA; CAVALIER; CRUZE; EPICA; EVANDA; KALOS; LACETTI; LACETTI STATION WAGON; MATIZ; NUBIRA; ORLANDO; SPARK; TACUMA; TRAX; VENTURE</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3CBCAE0" w14:textId="77777777" w:rsidR="00F65BCA" w:rsidRDefault="00F65BCA">
                        <w:pPr>
                          <w:pStyle w:val="TableParagraph"/>
                          <w:rPr>
                            <w:rFonts w:ascii="Calibri"/>
                            <w:sz w:val="2"/>
                          </w:rPr>
                        </w:pPr>
                      </w:p>
                      <w:p w14:paraId="2C32D575"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533BA6D" w14:textId="77777777" w:rsidR="00F65BCA" w:rsidRDefault="00F65BCA">
                        <w:pPr>
                          <w:pStyle w:val="TableParagraph"/>
                          <w:rPr>
                            <w:rFonts w:ascii="Calibri"/>
                            <w:sz w:val="2"/>
                          </w:rPr>
                        </w:pPr>
                      </w:p>
                      <w:p w14:paraId="1C83C808"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069DABFC"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9DB8430" w14:textId="77777777" w:rsidR="00F65BCA" w:rsidRDefault="00F65BCA">
                        <w:pPr>
                          <w:pStyle w:val="TableParagraph"/>
                          <w:rPr>
                            <w:rFonts w:ascii="Calibri"/>
                            <w:sz w:val="2"/>
                          </w:rPr>
                        </w:pPr>
                      </w:p>
                      <w:p w14:paraId="256B14A2"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1803539C" w14:textId="77777777" w:rsidR="00F65BCA" w:rsidRDefault="00F65BCA">
                        <w:pPr>
                          <w:pStyle w:val="TableParagraph"/>
                          <w:rPr>
                            <w:rFonts w:ascii="Calibri"/>
                            <w:sz w:val="2"/>
                          </w:rPr>
                        </w:pPr>
                      </w:p>
                      <w:p w14:paraId="52AB4975"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102DF9C7" w14:textId="77777777" w:rsidR="00F65BCA" w:rsidRDefault="00F65BCA">
                        <w:pPr>
                          <w:pStyle w:val="TableParagraph"/>
                          <w:rPr>
                            <w:rFonts w:ascii="Calibri"/>
                            <w:sz w:val="2"/>
                          </w:rPr>
                        </w:pPr>
                      </w:p>
                      <w:p w14:paraId="4ED40CD3"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37FCEA12" w14:textId="77777777" w:rsidR="00F65BCA" w:rsidRDefault="00F65BCA">
                        <w:pPr>
                          <w:pStyle w:val="TableParagraph"/>
                          <w:rPr>
                            <w:rFonts w:ascii="Calibri"/>
                            <w:sz w:val="2"/>
                          </w:rPr>
                        </w:pPr>
                      </w:p>
                      <w:p w14:paraId="7CAC9232"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03718A52" w14:textId="77777777" w:rsidR="00F65BCA" w:rsidRDefault="00F65BCA">
                        <w:pPr>
                          <w:pStyle w:val="TableParagraph"/>
                          <w:rPr>
                            <w:rFonts w:ascii="Calibri"/>
                            <w:sz w:val="2"/>
                          </w:rPr>
                        </w:pPr>
                      </w:p>
                      <w:p w14:paraId="35D40C89"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22F1A5B5" w14:textId="77777777" w:rsidR="00F65BCA" w:rsidRDefault="00F65BCA">
                        <w:pPr>
                          <w:pStyle w:val="TableParagraph"/>
                          <w:rPr>
                            <w:rFonts w:ascii="Calibri"/>
                            <w:sz w:val="2"/>
                          </w:rPr>
                        </w:pPr>
                      </w:p>
                      <w:p w14:paraId="2B6EE49A"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5844A53C" w14:textId="77777777" w:rsidR="00F65BCA" w:rsidRDefault="00F65BCA">
                        <w:pPr>
                          <w:pStyle w:val="TableParagraph"/>
                          <w:rPr>
                            <w:rFonts w:ascii="Calibri"/>
                            <w:sz w:val="2"/>
                          </w:rPr>
                        </w:pPr>
                      </w:p>
                      <w:p w14:paraId="5C83DEF7"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4A0D8059" w14:textId="77777777" w:rsidR="00F65BCA" w:rsidRDefault="00F65BCA">
                        <w:pPr>
                          <w:pStyle w:val="TableParagraph"/>
                          <w:rPr>
                            <w:rFonts w:ascii="Calibri"/>
                            <w:sz w:val="2"/>
                          </w:rPr>
                        </w:pPr>
                      </w:p>
                      <w:p w14:paraId="0301AF47"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72ADDB35" w14:textId="77777777" w:rsidR="00F65BCA" w:rsidRDefault="00F65BCA">
                        <w:pPr>
                          <w:pStyle w:val="TableParagraph"/>
                          <w:rPr>
                            <w:rFonts w:ascii="Calibri"/>
                            <w:sz w:val="2"/>
                          </w:rPr>
                        </w:pPr>
                      </w:p>
                      <w:p w14:paraId="12BF64BD"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53886107" w14:textId="77777777" w:rsidR="00F65BCA" w:rsidRDefault="00F65BCA">
                        <w:pPr>
                          <w:pStyle w:val="TableParagraph"/>
                          <w:rPr>
                            <w:rFonts w:ascii="Calibri"/>
                            <w:sz w:val="2"/>
                          </w:rPr>
                        </w:pPr>
                      </w:p>
                      <w:p w14:paraId="31FF367D"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26DA374C" w14:textId="77777777" w:rsidR="00F65BCA" w:rsidRDefault="00F65BCA">
                        <w:pPr>
                          <w:pStyle w:val="TableParagraph"/>
                          <w:rPr>
                            <w:rFonts w:ascii="Calibri"/>
                            <w:sz w:val="2"/>
                          </w:rPr>
                        </w:pPr>
                      </w:p>
                      <w:p w14:paraId="1C8828F1"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2E976039" w14:textId="77777777" w:rsidR="00F65BCA" w:rsidRDefault="00F65BCA">
                        <w:pPr>
                          <w:pStyle w:val="TableParagraph"/>
                          <w:rPr>
                            <w:rFonts w:ascii="Calibri"/>
                            <w:sz w:val="2"/>
                          </w:rPr>
                        </w:pPr>
                      </w:p>
                      <w:p w14:paraId="005326CE"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110453E0" w14:textId="77777777" w:rsidR="00F65BCA" w:rsidRDefault="00F65BCA">
                        <w:pPr>
                          <w:pStyle w:val="TableParagraph"/>
                          <w:rPr>
                            <w:rFonts w:ascii="Calibri"/>
                            <w:sz w:val="2"/>
                          </w:rPr>
                        </w:pPr>
                      </w:p>
                      <w:p w14:paraId="6E128434" w14:textId="77777777" w:rsidR="00F65BCA" w:rsidRDefault="00216117">
                        <w:pPr>
                          <w:pStyle w:val="TableParagraph"/>
                          <w:ind w:left="24" w:right="24"/>
                          <w:jc w:val="center"/>
                          <w:rPr>
                            <w:sz w:val="3"/>
                          </w:rPr>
                        </w:pPr>
                        <w:r>
                          <w:rPr>
                            <w:w w:val="105"/>
                            <w:sz w:val="3"/>
                          </w:rPr>
                          <w:t>1,07731026%</w:t>
                        </w:r>
                      </w:p>
                    </w:tc>
                  </w:tr>
                  <w:tr w:rsidR="00F65BCA" w14:paraId="10DD24C2"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171CCABA"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469A0142"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1D2F29F4"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5693B7A" w14:textId="77777777" w:rsidR="00F65BCA" w:rsidRDefault="00F65BCA">
                        <w:pPr>
                          <w:pStyle w:val="TableParagraph"/>
                          <w:rPr>
                            <w:rFonts w:ascii="Calibri"/>
                            <w:sz w:val="2"/>
                          </w:rPr>
                        </w:pPr>
                      </w:p>
                      <w:p w14:paraId="211B75E3"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58652A4" w14:textId="77777777" w:rsidR="00F65BCA" w:rsidRDefault="00F65BCA">
                        <w:pPr>
                          <w:pStyle w:val="TableParagraph"/>
                          <w:rPr>
                            <w:rFonts w:ascii="Calibri"/>
                            <w:sz w:val="2"/>
                          </w:rPr>
                        </w:pPr>
                      </w:p>
                      <w:p w14:paraId="7D1D3ADC"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5680F98"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42B15DB" w14:textId="77777777" w:rsidR="00F65BCA" w:rsidRDefault="00F65BCA">
                        <w:pPr>
                          <w:pStyle w:val="TableParagraph"/>
                          <w:rPr>
                            <w:rFonts w:ascii="Calibri"/>
                            <w:sz w:val="2"/>
                          </w:rPr>
                        </w:pPr>
                      </w:p>
                      <w:p w14:paraId="63F25204"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62414D06" w14:textId="77777777" w:rsidR="00F65BCA" w:rsidRDefault="00F65BCA">
                        <w:pPr>
                          <w:pStyle w:val="TableParagraph"/>
                          <w:rPr>
                            <w:rFonts w:ascii="Calibri"/>
                            <w:sz w:val="2"/>
                          </w:rPr>
                        </w:pPr>
                      </w:p>
                      <w:p w14:paraId="7E34DCC2"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4D05E8CD" w14:textId="77777777" w:rsidR="00F65BCA" w:rsidRDefault="00F65BCA">
                        <w:pPr>
                          <w:pStyle w:val="TableParagraph"/>
                          <w:rPr>
                            <w:rFonts w:ascii="Calibri"/>
                            <w:sz w:val="2"/>
                          </w:rPr>
                        </w:pPr>
                      </w:p>
                      <w:p w14:paraId="76C0D0B8"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5E141149" w14:textId="77777777" w:rsidR="00F65BCA" w:rsidRDefault="00F65BCA">
                        <w:pPr>
                          <w:pStyle w:val="TableParagraph"/>
                          <w:rPr>
                            <w:rFonts w:ascii="Calibri"/>
                            <w:sz w:val="2"/>
                          </w:rPr>
                        </w:pPr>
                      </w:p>
                      <w:p w14:paraId="42E813D5"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5C4DA4F3" w14:textId="77777777" w:rsidR="00F65BCA" w:rsidRDefault="00F65BCA">
                        <w:pPr>
                          <w:pStyle w:val="TableParagraph"/>
                          <w:rPr>
                            <w:rFonts w:ascii="Calibri"/>
                            <w:sz w:val="2"/>
                          </w:rPr>
                        </w:pPr>
                      </w:p>
                      <w:p w14:paraId="29BDDE90"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740FFD72" w14:textId="77777777" w:rsidR="00F65BCA" w:rsidRDefault="00F65BCA">
                        <w:pPr>
                          <w:pStyle w:val="TableParagraph"/>
                          <w:rPr>
                            <w:rFonts w:ascii="Calibri"/>
                            <w:sz w:val="2"/>
                          </w:rPr>
                        </w:pPr>
                      </w:p>
                      <w:p w14:paraId="247AF507"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1C16D5B4" w14:textId="77777777" w:rsidR="00F65BCA" w:rsidRDefault="00F65BCA">
                        <w:pPr>
                          <w:pStyle w:val="TableParagraph"/>
                          <w:rPr>
                            <w:rFonts w:ascii="Calibri"/>
                            <w:sz w:val="2"/>
                          </w:rPr>
                        </w:pPr>
                      </w:p>
                      <w:p w14:paraId="33110ACC"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2FD7F4A0" w14:textId="77777777" w:rsidR="00F65BCA" w:rsidRDefault="00F65BCA">
                        <w:pPr>
                          <w:pStyle w:val="TableParagraph"/>
                          <w:rPr>
                            <w:rFonts w:ascii="Calibri"/>
                            <w:sz w:val="2"/>
                          </w:rPr>
                        </w:pPr>
                      </w:p>
                      <w:p w14:paraId="0AD060AA"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7719189F" w14:textId="77777777" w:rsidR="00F65BCA" w:rsidRDefault="00F65BCA">
                        <w:pPr>
                          <w:pStyle w:val="TableParagraph"/>
                          <w:rPr>
                            <w:rFonts w:ascii="Calibri"/>
                            <w:sz w:val="2"/>
                          </w:rPr>
                        </w:pPr>
                      </w:p>
                      <w:p w14:paraId="18D274D0"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5CD81C83" w14:textId="77777777" w:rsidR="00F65BCA" w:rsidRDefault="00F65BCA">
                        <w:pPr>
                          <w:pStyle w:val="TableParagraph"/>
                          <w:rPr>
                            <w:rFonts w:ascii="Calibri"/>
                            <w:sz w:val="2"/>
                          </w:rPr>
                        </w:pPr>
                      </w:p>
                      <w:p w14:paraId="69CABC55"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21A7F48E" w14:textId="77777777" w:rsidR="00F65BCA" w:rsidRDefault="00F65BCA">
                        <w:pPr>
                          <w:pStyle w:val="TableParagraph"/>
                          <w:rPr>
                            <w:rFonts w:ascii="Calibri"/>
                            <w:sz w:val="2"/>
                          </w:rPr>
                        </w:pPr>
                      </w:p>
                      <w:p w14:paraId="435D9FBC"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9C5D951" w14:textId="77777777" w:rsidR="00F65BCA" w:rsidRDefault="00F65BCA">
                        <w:pPr>
                          <w:pStyle w:val="TableParagraph"/>
                          <w:rPr>
                            <w:rFonts w:ascii="Calibri"/>
                            <w:sz w:val="2"/>
                          </w:rPr>
                        </w:pPr>
                      </w:p>
                      <w:p w14:paraId="362EF974"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4324A8E3" w14:textId="77777777" w:rsidR="00F65BCA" w:rsidRDefault="00F65BCA">
                        <w:pPr>
                          <w:pStyle w:val="TableParagraph"/>
                          <w:rPr>
                            <w:rFonts w:ascii="Calibri"/>
                            <w:sz w:val="2"/>
                          </w:rPr>
                        </w:pPr>
                      </w:p>
                      <w:p w14:paraId="706FECD2" w14:textId="77777777" w:rsidR="00F65BCA" w:rsidRDefault="00216117">
                        <w:pPr>
                          <w:pStyle w:val="TableParagraph"/>
                          <w:ind w:left="24" w:right="24"/>
                          <w:jc w:val="center"/>
                          <w:rPr>
                            <w:sz w:val="3"/>
                          </w:rPr>
                        </w:pPr>
                        <w:r>
                          <w:rPr>
                            <w:w w:val="105"/>
                            <w:sz w:val="3"/>
                          </w:rPr>
                          <w:t>1,30139079%</w:t>
                        </w:r>
                      </w:p>
                    </w:tc>
                  </w:tr>
                  <w:tr w:rsidR="00F65BCA" w14:paraId="4FF035B6" w14:textId="77777777">
                    <w:trPr>
                      <w:trHeight w:val="131"/>
                    </w:trPr>
                    <w:tc>
                      <w:tcPr>
                        <w:tcW w:w="526" w:type="dxa"/>
                        <w:vMerge/>
                        <w:tcBorders>
                          <w:top w:val="nil"/>
                          <w:left w:val="single" w:sz="2" w:space="0" w:color="000000"/>
                          <w:bottom w:val="single" w:sz="2" w:space="0" w:color="000000"/>
                          <w:right w:val="single" w:sz="2" w:space="0" w:color="000000"/>
                        </w:tcBorders>
                        <w:shd w:val="clear" w:color="auto" w:fill="FCE4D6"/>
                      </w:tcPr>
                      <w:p w14:paraId="0ED7F2AF"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0D85CCA3"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108515E" w14:textId="77777777" w:rsidR="00F65BCA" w:rsidRDefault="00216117">
                        <w:pPr>
                          <w:pStyle w:val="TableParagraph"/>
                          <w:spacing w:before="8" w:line="40" w:lineRule="atLeast"/>
                          <w:ind w:left="4" w:right="21"/>
                          <w:rPr>
                            <w:sz w:val="3"/>
                          </w:rPr>
                        </w:pPr>
                        <w:r>
                          <w:rPr>
                            <w:w w:val="105"/>
                            <w:sz w:val="3"/>
                          </w:rPr>
                          <w:t>ALERO; ASTRO VAN; AVALANCHE; BERETTA; BLAZER; CAMARO; CAPRISE; COBALT; COLORADO; CORVETTE; EQUINOX; EXPRESS; HHR; CHEVY VAN; IMPALA; JINÉ; LUMINA; MALIBU; METRO; MONTE CARLO; NIVA; PRIZM; SILVERADO; SSR; SUBURBAN; TAHOE; TRACKER; TRAILBLAZER; TRANS SPORT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7268048" w14:textId="77777777" w:rsidR="00F65BCA" w:rsidRDefault="00F65BCA">
                        <w:pPr>
                          <w:pStyle w:val="TableParagraph"/>
                          <w:rPr>
                            <w:rFonts w:ascii="Calibri"/>
                            <w:sz w:val="2"/>
                          </w:rPr>
                        </w:pPr>
                      </w:p>
                      <w:p w14:paraId="3B140AAC" w14:textId="77777777" w:rsidR="00F65BCA" w:rsidRDefault="00F65BCA">
                        <w:pPr>
                          <w:pStyle w:val="TableParagraph"/>
                          <w:rPr>
                            <w:rFonts w:ascii="Calibri"/>
                            <w:sz w:val="2"/>
                          </w:rPr>
                        </w:pPr>
                      </w:p>
                      <w:p w14:paraId="0AEA2B06" w14:textId="77777777" w:rsidR="00F65BCA" w:rsidRDefault="00216117">
                        <w:pPr>
                          <w:pStyle w:val="TableParagraph"/>
                          <w:spacing w:before="1"/>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481440B" w14:textId="77777777" w:rsidR="00F65BCA" w:rsidRDefault="00F65BCA">
                        <w:pPr>
                          <w:pStyle w:val="TableParagraph"/>
                          <w:rPr>
                            <w:rFonts w:ascii="Calibri"/>
                            <w:sz w:val="2"/>
                          </w:rPr>
                        </w:pPr>
                      </w:p>
                      <w:p w14:paraId="7E1C430B" w14:textId="77777777" w:rsidR="00F65BCA" w:rsidRDefault="00F65BCA">
                        <w:pPr>
                          <w:pStyle w:val="TableParagraph"/>
                          <w:rPr>
                            <w:rFonts w:ascii="Calibri"/>
                            <w:sz w:val="2"/>
                          </w:rPr>
                        </w:pPr>
                      </w:p>
                      <w:p w14:paraId="1D44F02A" w14:textId="77777777" w:rsidR="00F65BCA" w:rsidRDefault="00216117">
                        <w:pPr>
                          <w:pStyle w:val="TableParagraph"/>
                          <w:spacing w:before="1"/>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8BE35C6"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421E7D0" w14:textId="77777777" w:rsidR="00F65BCA" w:rsidRDefault="00F65BCA">
                        <w:pPr>
                          <w:pStyle w:val="TableParagraph"/>
                          <w:rPr>
                            <w:rFonts w:ascii="Calibri"/>
                            <w:sz w:val="2"/>
                          </w:rPr>
                        </w:pPr>
                      </w:p>
                      <w:p w14:paraId="13C6EC35" w14:textId="77777777" w:rsidR="00F65BCA" w:rsidRDefault="00F65BCA">
                        <w:pPr>
                          <w:pStyle w:val="TableParagraph"/>
                          <w:rPr>
                            <w:rFonts w:ascii="Calibri"/>
                            <w:sz w:val="2"/>
                          </w:rPr>
                        </w:pPr>
                      </w:p>
                      <w:p w14:paraId="51607855" w14:textId="77777777" w:rsidR="00F65BCA" w:rsidRDefault="00216117">
                        <w:pPr>
                          <w:pStyle w:val="TableParagraph"/>
                          <w:spacing w:before="1"/>
                          <w:ind w:left="24" w:right="24"/>
                          <w:jc w:val="center"/>
                          <w:rPr>
                            <w:sz w:val="3"/>
                          </w:rPr>
                        </w:pPr>
                        <w:r>
                          <w:rPr>
                            <w:w w:val="105"/>
                            <w:sz w:val="3"/>
                          </w:rPr>
                          <w:t>1,79088000%</w:t>
                        </w:r>
                      </w:p>
                    </w:tc>
                    <w:tc>
                      <w:tcPr>
                        <w:tcW w:w="288" w:type="dxa"/>
                        <w:tcBorders>
                          <w:top w:val="single" w:sz="2" w:space="0" w:color="000000"/>
                          <w:left w:val="single" w:sz="2" w:space="0" w:color="000000"/>
                          <w:bottom w:val="single" w:sz="2" w:space="0" w:color="000000"/>
                          <w:right w:val="single" w:sz="2" w:space="0" w:color="000000"/>
                        </w:tcBorders>
                      </w:tcPr>
                      <w:p w14:paraId="7CF52EDD" w14:textId="77777777" w:rsidR="00F65BCA" w:rsidRDefault="00F65BCA">
                        <w:pPr>
                          <w:pStyle w:val="TableParagraph"/>
                          <w:rPr>
                            <w:rFonts w:ascii="Calibri"/>
                            <w:sz w:val="2"/>
                          </w:rPr>
                        </w:pPr>
                      </w:p>
                      <w:p w14:paraId="6513DA41" w14:textId="77777777" w:rsidR="00F65BCA" w:rsidRDefault="00F65BCA">
                        <w:pPr>
                          <w:pStyle w:val="TableParagraph"/>
                          <w:rPr>
                            <w:rFonts w:ascii="Calibri"/>
                            <w:sz w:val="2"/>
                          </w:rPr>
                        </w:pPr>
                      </w:p>
                      <w:p w14:paraId="45A8E720" w14:textId="77777777" w:rsidR="00F65BCA" w:rsidRDefault="00216117">
                        <w:pPr>
                          <w:pStyle w:val="TableParagraph"/>
                          <w:spacing w:before="1"/>
                          <w:ind w:left="24" w:right="24"/>
                          <w:jc w:val="center"/>
                          <w:rPr>
                            <w:sz w:val="3"/>
                          </w:rPr>
                        </w:pPr>
                        <w:r>
                          <w:rPr>
                            <w:w w:val="105"/>
                            <w:sz w:val="3"/>
                          </w:rPr>
                          <w:t>1,67895000%</w:t>
                        </w:r>
                      </w:p>
                    </w:tc>
                    <w:tc>
                      <w:tcPr>
                        <w:tcW w:w="288" w:type="dxa"/>
                        <w:tcBorders>
                          <w:top w:val="single" w:sz="2" w:space="0" w:color="000000"/>
                          <w:left w:val="single" w:sz="2" w:space="0" w:color="000000"/>
                          <w:bottom w:val="single" w:sz="2" w:space="0" w:color="000000"/>
                          <w:right w:val="single" w:sz="2" w:space="0" w:color="000000"/>
                        </w:tcBorders>
                      </w:tcPr>
                      <w:p w14:paraId="7BB78599" w14:textId="77777777" w:rsidR="00F65BCA" w:rsidRDefault="00F65BCA">
                        <w:pPr>
                          <w:pStyle w:val="TableParagraph"/>
                          <w:rPr>
                            <w:rFonts w:ascii="Calibri"/>
                            <w:sz w:val="2"/>
                          </w:rPr>
                        </w:pPr>
                      </w:p>
                      <w:p w14:paraId="4A8D29A7" w14:textId="77777777" w:rsidR="00F65BCA" w:rsidRDefault="00F65BCA">
                        <w:pPr>
                          <w:pStyle w:val="TableParagraph"/>
                          <w:rPr>
                            <w:rFonts w:ascii="Calibri"/>
                            <w:sz w:val="2"/>
                          </w:rPr>
                        </w:pPr>
                      </w:p>
                      <w:p w14:paraId="2483DB3D" w14:textId="77777777" w:rsidR="00F65BCA" w:rsidRDefault="00216117">
                        <w:pPr>
                          <w:pStyle w:val="TableParagraph"/>
                          <w:spacing w:before="1"/>
                          <w:ind w:left="24" w:right="24"/>
                          <w:jc w:val="center"/>
                          <w:rPr>
                            <w:sz w:val="3"/>
                          </w:rPr>
                        </w:pPr>
                        <w:r>
                          <w:rPr>
                            <w:w w:val="105"/>
                            <w:sz w:val="3"/>
                          </w:rPr>
                          <w:t>1,60059900%</w:t>
                        </w:r>
                      </w:p>
                    </w:tc>
                    <w:tc>
                      <w:tcPr>
                        <w:tcW w:w="288" w:type="dxa"/>
                        <w:tcBorders>
                          <w:top w:val="single" w:sz="2" w:space="0" w:color="000000"/>
                          <w:left w:val="single" w:sz="2" w:space="0" w:color="000000"/>
                          <w:bottom w:val="single" w:sz="2" w:space="0" w:color="000000"/>
                          <w:right w:val="single" w:sz="2" w:space="0" w:color="000000"/>
                        </w:tcBorders>
                      </w:tcPr>
                      <w:p w14:paraId="717E7864" w14:textId="77777777" w:rsidR="00F65BCA" w:rsidRDefault="00F65BCA">
                        <w:pPr>
                          <w:pStyle w:val="TableParagraph"/>
                          <w:rPr>
                            <w:rFonts w:ascii="Calibri"/>
                            <w:sz w:val="2"/>
                          </w:rPr>
                        </w:pPr>
                      </w:p>
                      <w:p w14:paraId="1BDD8E3D" w14:textId="77777777" w:rsidR="00F65BCA" w:rsidRDefault="00F65BCA">
                        <w:pPr>
                          <w:pStyle w:val="TableParagraph"/>
                          <w:rPr>
                            <w:rFonts w:ascii="Calibri"/>
                            <w:sz w:val="2"/>
                          </w:rPr>
                        </w:pPr>
                      </w:p>
                      <w:p w14:paraId="1DA68205" w14:textId="77777777" w:rsidR="00F65BCA" w:rsidRDefault="00216117">
                        <w:pPr>
                          <w:pStyle w:val="TableParagraph"/>
                          <w:spacing w:before="1"/>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17D6B4B6" w14:textId="77777777" w:rsidR="00F65BCA" w:rsidRDefault="00F65BCA">
                        <w:pPr>
                          <w:pStyle w:val="TableParagraph"/>
                          <w:rPr>
                            <w:rFonts w:ascii="Calibri"/>
                            <w:sz w:val="2"/>
                          </w:rPr>
                        </w:pPr>
                      </w:p>
                      <w:p w14:paraId="22DF7B1E" w14:textId="77777777" w:rsidR="00F65BCA" w:rsidRDefault="00F65BCA">
                        <w:pPr>
                          <w:pStyle w:val="TableParagraph"/>
                          <w:rPr>
                            <w:rFonts w:ascii="Calibri"/>
                            <w:sz w:val="2"/>
                          </w:rPr>
                        </w:pPr>
                      </w:p>
                      <w:p w14:paraId="7282EEEF" w14:textId="77777777" w:rsidR="00F65BCA" w:rsidRDefault="00216117">
                        <w:pPr>
                          <w:pStyle w:val="TableParagraph"/>
                          <w:spacing w:before="1"/>
                          <w:ind w:left="24" w:right="24"/>
                          <w:jc w:val="center"/>
                          <w:rPr>
                            <w:sz w:val="3"/>
                          </w:rPr>
                        </w:pPr>
                        <w:r>
                          <w:rPr>
                            <w:w w:val="105"/>
                            <w:sz w:val="3"/>
                          </w:rPr>
                          <w:t>1,43270400%</w:t>
                        </w:r>
                      </w:p>
                    </w:tc>
                    <w:tc>
                      <w:tcPr>
                        <w:tcW w:w="288" w:type="dxa"/>
                        <w:tcBorders>
                          <w:top w:val="single" w:sz="2" w:space="0" w:color="000000"/>
                          <w:left w:val="single" w:sz="2" w:space="0" w:color="000000"/>
                          <w:bottom w:val="single" w:sz="2" w:space="0" w:color="000000"/>
                          <w:right w:val="single" w:sz="2" w:space="0" w:color="000000"/>
                        </w:tcBorders>
                      </w:tcPr>
                      <w:p w14:paraId="24153A24" w14:textId="77777777" w:rsidR="00F65BCA" w:rsidRDefault="00F65BCA">
                        <w:pPr>
                          <w:pStyle w:val="TableParagraph"/>
                          <w:rPr>
                            <w:rFonts w:ascii="Calibri"/>
                            <w:sz w:val="2"/>
                          </w:rPr>
                        </w:pPr>
                      </w:p>
                      <w:p w14:paraId="5D643F88" w14:textId="77777777" w:rsidR="00F65BCA" w:rsidRDefault="00F65BCA">
                        <w:pPr>
                          <w:pStyle w:val="TableParagraph"/>
                          <w:rPr>
                            <w:rFonts w:ascii="Calibri"/>
                            <w:sz w:val="2"/>
                          </w:rPr>
                        </w:pPr>
                      </w:p>
                      <w:p w14:paraId="69E6370B" w14:textId="77777777" w:rsidR="00F65BCA" w:rsidRDefault="00216117">
                        <w:pPr>
                          <w:pStyle w:val="TableParagraph"/>
                          <w:spacing w:before="1"/>
                          <w:ind w:left="24" w:right="24"/>
                          <w:jc w:val="center"/>
                          <w:rPr>
                            <w:sz w:val="3"/>
                          </w:rPr>
                        </w:pPr>
                        <w:r>
                          <w:rPr>
                            <w:w w:val="105"/>
                            <w:sz w:val="3"/>
                          </w:rPr>
                          <w:t>1,33196700%</w:t>
                        </w:r>
                      </w:p>
                    </w:tc>
                    <w:tc>
                      <w:tcPr>
                        <w:tcW w:w="288" w:type="dxa"/>
                        <w:tcBorders>
                          <w:top w:val="single" w:sz="2" w:space="0" w:color="000000"/>
                          <w:left w:val="single" w:sz="2" w:space="0" w:color="000000"/>
                          <w:bottom w:val="single" w:sz="2" w:space="0" w:color="000000"/>
                          <w:right w:val="single" w:sz="2" w:space="0" w:color="000000"/>
                        </w:tcBorders>
                      </w:tcPr>
                      <w:p w14:paraId="3FDA9DC1" w14:textId="77777777" w:rsidR="00F65BCA" w:rsidRDefault="00F65BCA">
                        <w:pPr>
                          <w:pStyle w:val="TableParagraph"/>
                          <w:rPr>
                            <w:rFonts w:ascii="Calibri"/>
                            <w:sz w:val="2"/>
                          </w:rPr>
                        </w:pPr>
                      </w:p>
                      <w:p w14:paraId="40E2B926" w14:textId="77777777" w:rsidR="00F65BCA" w:rsidRDefault="00F65BCA">
                        <w:pPr>
                          <w:pStyle w:val="TableParagraph"/>
                          <w:rPr>
                            <w:rFonts w:ascii="Calibri"/>
                            <w:sz w:val="2"/>
                          </w:rPr>
                        </w:pPr>
                      </w:p>
                      <w:p w14:paraId="54E5BDF2" w14:textId="77777777" w:rsidR="00F65BCA" w:rsidRDefault="00216117">
                        <w:pPr>
                          <w:pStyle w:val="TableParagraph"/>
                          <w:spacing w:before="1"/>
                          <w:ind w:left="24" w:right="24"/>
                          <w:jc w:val="center"/>
                          <w:rPr>
                            <w:sz w:val="3"/>
                          </w:rPr>
                        </w:pPr>
                        <w:r>
                          <w:rPr>
                            <w:w w:val="105"/>
                            <w:sz w:val="3"/>
                          </w:rPr>
                          <w:t>1,23123000%</w:t>
                        </w:r>
                      </w:p>
                    </w:tc>
                    <w:tc>
                      <w:tcPr>
                        <w:tcW w:w="288" w:type="dxa"/>
                        <w:tcBorders>
                          <w:top w:val="single" w:sz="2" w:space="0" w:color="000000"/>
                          <w:left w:val="single" w:sz="2" w:space="0" w:color="000000"/>
                          <w:bottom w:val="single" w:sz="2" w:space="0" w:color="000000"/>
                          <w:right w:val="single" w:sz="2" w:space="0" w:color="000000"/>
                        </w:tcBorders>
                      </w:tcPr>
                      <w:p w14:paraId="0CB4D046" w14:textId="77777777" w:rsidR="00F65BCA" w:rsidRDefault="00F65BCA">
                        <w:pPr>
                          <w:pStyle w:val="TableParagraph"/>
                          <w:rPr>
                            <w:rFonts w:ascii="Calibri"/>
                            <w:sz w:val="2"/>
                          </w:rPr>
                        </w:pPr>
                      </w:p>
                      <w:p w14:paraId="0FA6BB5D" w14:textId="77777777" w:rsidR="00F65BCA" w:rsidRDefault="00F65BCA">
                        <w:pPr>
                          <w:pStyle w:val="TableParagraph"/>
                          <w:rPr>
                            <w:rFonts w:ascii="Calibri"/>
                            <w:sz w:val="2"/>
                          </w:rPr>
                        </w:pPr>
                      </w:p>
                      <w:p w14:paraId="0A6E9F87" w14:textId="77777777" w:rsidR="00F65BCA" w:rsidRDefault="00216117">
                        <w:pPr>
                          <w:pStyle w:val="TableParagraph"/>
                          <w:spacing w:before="1"/>
                          <w:ind w:left="24" w:right="24"/>
                          <w:jc w:val="center"/>
                          <w:rPr>
                            <w:sz w:val="3"/>
                          </w:rPr>
                        </w:pPr>
                        <w:r>
                          <w:rPr>
                            <w:w w:val="105"/>
                            <w:sz w:val="3"/>
                          </w:rPr>
                          <w:t>1,11930000%</w:t>
                        </w:r>
                      </w:p>
                    </w:tc>
                    <w:tc>
                      <w:tcPr>
                        <w:tcW w:w="288" w:type="dxa"/>
                        <w:tcBorders>
                          <w:top w:val="single" w:sz="2" w:space="0" w:color="000000"/>
                          <w:left w:val="single" w:sz="2" w:space="0" w:color="000000"/>
                          <w:bottom w:val="single" w:sz="2" w:space="0" w:color="000000"/>
                          <w:right w:val="single" w:sz="2" w:space="0" w:color="000000"/>
                        </w:tcBorders>
                      </w:tcPr>
                      <w:p w14:paraId="50EAAF1F" w14:textId="77777777" w:rsidR="00F65BCA" w:rsidRDefault="00F65BCA">
                        <w:pPr>
                          <w:pStyle w:val="TableParagraph"/>
                          <w:rPr>
                            <w:rFonts w:ascii="Calibri"/>
                            <w:sz w:val="2"/>
                          </w:rPr>
                        </w:pPr>
                      </w:p>
                      <w:p w14:paraId="564D1120" w14:textId="77777777" w:rsidR="00F65BCA" w:rsidRDefault="00F65BCA">
                        <w:pPr>
                          <w:pStyle w:val="TableParagraph"/>
                          <w:rPr>
                            <w:rFonts w:ascii="Calibri"/>
                            <w:sz w:val="2"/>
                          </w:rPr>
                        </w:pPr>
                      </w:p>
                      <w:p w14:paraId="6596E2CC" w14:textId="77777777" w:rsidR="00F65BCA" w:rsidRDefault="00216117">
                        <w:pPr>
                          <w:pStyle w:val="TableParagraph"/>
                          <w:spacing w:before="1"/>
                          <w:ind w:left="24" w:right="24"/>
                          <w:jc w:val="center"/>
                          <w:rPr>
                            <w:sz w:val="3"/>
                          </w:rPr>
                        </w:pPr>
                        <w:r>
                          <w:rPr>
                            <w:w w:val="105"/>
                            <w:sz w:val="3"/>
                          </w:rPr>
                          <w:t>1,11930000%</w:t>
                        </w:r>
                      </w:p>
                    </w:tc>
                    <w:tc>
                      <w:tcPr>
                        <w:tcW w:w="288" w:type="dxa"/>
                        <w:tcBorders>
                          <w:top w:val="single" w:sz="2" w:space="0" w:color="000000"/>
                          <w:left w:val="single" w:sz="2" w:space="0" w:color="000000"/>
                          <w:bottom w:val="single" w:sz="2" w:space="0" w:color="000000"/>
                          <w:right w:val="single" w:sz="2" w:space="0" w:color="000000"/>
                        </w:tcBorders>
                      </w:tcPr>
                      <w:p w14:paraId="688794B5" w14:textId="77777777" w:rsidR="00F65BCA" w:rsidRDefault="00F65BCA">
                        <w:pPr>
                          <w:pStyle w:val="TableParagraph"/>
                          <w:rPr>
                            <w:rFonts w:ascii="Calibri"/>
                            <w:sz w:val="2"/>
                          </w:rPr>
                        </w:pPr>
                      </w:p>
                      <w:p w14:paraId="3460D379" w14:textId="77777777" w:rsidR="00F65BCA" w:rsidRDefault="00F65BCA">
                        <w:pPr>
                          <w:pStyle w:val="TableParagraph"/>
                          <w:rPr>
                            <w:rFonts w:ascii="Calibri"/>
                            <w:sz w:val="2"/>
                          </w:rPr>
                        </w:pPr>
                      </w:p>
                      <w:p w14:paraId="019D9C22" w14:textId="77777777" w:rsidR="00F65BCA" w:rsidRDefault="00216117">
                        <w:pPr>
                          <w:pStyle w:val="TableParagraph"/>
                          <w:spacing w:before="1"/>
                          <w:ind w:left="24" w:right="24"/>
                          <w:jc w:val="center"/>
                          <w:rPr>
                            <w:sz w:val="3"/>
                          </w:rPr>
                        </w:pPr>
                        <w:r>
                          <w:rPr>
                            <w:w w:val="105"/>
                            <w:sz w:val="3"/>
                          </w:rPr>
                          <w:t>1,34316000%</w:t>
                        </w:r>
                      </w:p>
                    </w:tc>
                    <w:tc>
                      <w:tcPr>
                        <w:tcW w:w="288" w:type="dxa"/>
                        <w:tcBorders>
                          <w:top w:val="single" w:sz="2" w:space="0" w:color="000000"/>
                          <w:left w:val="single" w:sz="2" w:space="0" w:color="000000"/>
                          <w:bottom w:val="single" w:sz="2" w:space="0" w:color="000000"/>
                          <w:right w:val="single" w:sz="2" w:space="0" w:color="000000"/>
                        </w:tcBorders>
                      </w:tcPr>
                      <w:p w14:paraId="167B694B" w14:textId="77777777" w:rsidR="00F65BCA" w:rsidRDefault="00F65BCA">
                        <w:pPr>
                          <w:pStyle w:val="TableParagraph"/>
                          <w:rPr>
                            <w:rFonts w:ascii="Calibri"/>
                            <w:sz w:val="2"/>
                          </w:rPr>
                        </w:pPr>
                      </w:p>
                      <w:p w14:paraId="17832AC8" w14:textId="77777777" w:rsidR="00F65BCA" w:rsidRDefault="00F65BCA">
                        <w:pPr>
                          <w:pStyle w:val="TableParagraph"/>
                          <w:rPr>
                            <w:rFonts w:ascii="Calibri"/>
                            <w:sz w:val="2"/>
                          </w:rPr>
                        </w:pPr>
                      </w:p>
                      <w:p w14:paraId="1E0CF30B" w14:textId="77777777" w:rsidR="00F65BCA" w:rsidRDefault="00216117">
                        <w:pPr>
                          <w:pStyle w:val="TableParagraph"/>
                          <w:spacing w:before="1"/>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71D4A78D" w14:textId="77777777" w:rsidR="00F65BCA" w:rsidRDefault="00F65BCA">
                        <w:pPr>
                          <w:pStyle w:val="TableParagraph"/>
                          <w:rPr>
                            <w:rFonts w:ascii="Calibri"/>
                            <w:sz w:val="2"/>
                          </w:rPr>
                        </w:pPr>
                      </w:p>
                      <w:p w14:paraId="062CB769" w14:textId="77777777" w:rsidR="00F65BCA" w:rsidRDefault="00F65BCA">
                        <w:pPr>
                          <w:pStyle w:val="TableParagraph"/>
                          <w:rPr>
                            <w:rFonts w:ascii="Calibri"/>
                            <w:sz w:val="2"/>
                          </w:rPr>
                        </w:pPr>
                      </w:p>
                      <w:p w14:paraId="7C84F7A8" w14:textId="77777777" w:rsidR="00F65BCA" w:rsidRDefault="00216117">
                        <w:pPr>
                          <w:pStyle w:val="TableParagraph"/>
                          <w:spacing w:before="1"/>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141DD0EF" w14:textId="77777777" w:rsidR="00F65BCA" w:rsidRDefault="00F65BCA">
                        <w:pPr>
                          <w:pStyle w:val="TableParagraph"/>
                          <w:rPr>
                            <w:rFonts w:ascii="Calibri"/>
                            <w:sz w:val="2"/>
                          </w:rPr>
                        </w:pPr>
                      </w:p>
                      <w:p w14:paraId="56E51FB0" w14:textId="77777777" w:rsidR="00F65BCA" w:rsidRDefault="00F65BCA">
                        <w:pPr>
                          <w:pStyle w:val="TableParagraph"/>
                          <w:rPr>
                            <w:rFonts w:ascii="Calibri"/>
                            <w:sz w:val="2"/>
                          </w:rPr>
                        </w:pPr>
                      </w:p>
                      <w:p w14:paraId="2EFD8BFD" w14:textId="77777777" w:rsidR="00F65BCA" w:rsidRDefault="00216117">
                        <w:pPr>
                          <w:pStyle w:val="TableParagraph"/>
                          <w:spacing w:before="1"/>
                          <w:ind w:left="24" w:right="24"/>
                          <w:jc w:val="center"/>
                          <w:rPr>
                            <w:sz w:val="3"/>
                          </w:rPr>
                        </w:pPr>
                        <w:r>
                          <w:rPr>
                            <w:w w:val="105"/>
                            <w:sz w:val="3"/>
                          </w:rPr>
                          <w:t>1,67895000%</w:t>
                        </w:r>
                      </w:p>
                    </w:tc>
                  </w:tr>
                  <w:tr w:rsidR="00F65BCA" w14:paraId="4C4593B3" w14:textId="77777777">
                    <w:trPr>
                      <w:trHeight w:val="131"/>
                    </w:trPr>
                    <w:tc>
                      <w:tcPr>
                        <w:tcW w:w="526" w:type="dxa"/>
                        <w:vMerge/>
                        <w:tcBorders>
                          <w:top w:val="nil"/>
                          <w:left w:val="single" w:sz="2" w:space="0" w:color="000000"/>
                          <w:bottom w:val="single" w:sz="2" w:space="0" w:color="000000"/>
                          <w:right w:val="single" w:sz="2" w:space="0" w:color="000000"/>
                        </w:tcBorders>
                        <w:shd w:val="clear" w:color="auto" w:fill="FCE4D6"/>
                      </w:tcPr>
                      <w:p w14:paraId="4D4967ED"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1424BCA7"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60660611"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503AB3E" w14:textId="77777777" w:rsidR="00F65BCA" w:rsidRDefault="00F65BCA">
                        <w:pPr>
                          <w:pStyle w:val="TableParagraph"/>
                          <w:rPr>
                            <w:rFonts w:ascii="Calibri"/>
                            <w:sz w:val="2"/>
                          </w:rPr>
                        </w:pPr>
                      </w:p>
                      <w:p w14:paraId="38CD4709" w14:textId="77777777" w:rsidR="00F65BCA" w:rsidRDefault="00F65BCA">
                        <w:pPr>
                          <w:pStyle w:val="TableParagraph"/>
                          <w:rPr>
                            <w:rFonts w:ascii="Calibri"/>
                            <w:sz w:val="2"/>
                          </w:rPr>
                        </w:pPr>
                      </w:p>
                      <w:p w14:paraId="362AF21F" w14:textId="77777777" w:rsidR="00F65BCA" w:rsidRDefault="00216117">
                        <w:pPr>
                          <w:pStyle w:val="TableParagraph"/>
                          <w:spacing w:before="1"/>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8975E8A" w14:textId="77777777" w:rsidR="00F65BCA" w:rsidRDefault="00F65BCA">
                        <w:pPr>
                          <w:pStyle w:val="TableParagraph"/>
                          <w:rPr>
                            <w:rFonts w:ascii="Calibri"/>
                            <w:sz w:val="2"/>
                          </w:rPr>
                        </w:pPr>
                      </w:p>
                      <w:p w14:paraId="52128E5A" w14:textId="77777777" w:rsidR="00F65BCA" w:rsidRDefault="00F65BCA">
                        <w:pPr>
                          <w:pStyle w:val="TableParagraph"/>
                          <w:rPr>
                            <w:rFonts w:ascii="Calibri"/>
                            <w:sz w:val="2"/>
                          </w:rPr>
                        </w:pPr>
                      </w:p>
                      <w:p w14:paraId="2CEBF1B5" w14:textId="77777777" w:rsidR="00F65BCA" w:rsidRDefault="00216117">
                        <w:pPr>
                          <w:pStyle w:val="TableParagraph"/>
                          <w:spacing w:before="1"/>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2A46C84"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8E3F3E6" w14:textId="77777777" w:rsidR="00F65BCA" w:rsidRDefault="00F65BCA">
                        <w:pPr>
                          <w:pStyle w:val="TableParagraph"/>
                          <w:rPr>
                            <w:rFonts w:ascii="Calibri"/>
                            <w:sz w:val="2"/>
                          </w:rPr>
                        </w:pPr>
                      </w:p>
                      <w:p w14:paraId="4C10806B" w14:textId="77777777" w:rsidR="00F65BCA" w:rsidRDefault="00F65BCA">
                        <w:pPr>
                          <w:pStyle w:val="TableParagraph"/>
                          <w:rPr>
                            <w:rFonts w:ascii="Calibri"/>
                            <w:sz w:val="2"/>
                          </w:rPr>
                        </w:pPr>
                      </w:p>
                      <w:p w14:paraId="301B55C0" w14:textId="77777777" w:rsidR="00F65BCA" w:rsidRDefault="00216117">
                        <w:pPr>
                          <w:pStyle w:val="TableParagraph"/>
                          <w:spacing w:before="1"/>
                          <w:ind w:left="24" w:right="24"/>
                          <w:jc w:val="center"/>
                          <w:rPr>
                            <w:sz w:val="3"/>
                          </w:rPr>
                        </w:pPr>
                        <w:r>
                          <w:rPr>
                            <w:w w:val="105"/>
                            <w:sz w:val="3"/>
                          </w:rPr>
                          <w:t>2,16338304%</w:t>
                        </w:r>
                      </w:p>
                    </w:tc>
                    <w:tc>
                      <w:tcPr>
                        <w:tcW w:w="288" w:type="dxa"/>
                        <w:tcBorders>
                          <w:top w:val="single" w:sz="2" w:space="0" w:color="000000"/>
                          <w:left w:val="single" w:sz="2" w:space="0" w:color="000000"/>
                          <w:bottom w:val="single" w:sz="2" w:space="0" w:color="000000"/>
                          <w:right w:val="single" w:sz="2" w:space="0" w:color="000000"/>
                        </w:tcBorders>
                      </w:tcPr>
                      <w:p w14:paraId="23B5682A" w14:textId="77777777" w:rsidR="00F65BCA" w:rsidRDefault="00F65BCA">
                        <w:pPr>
                          <w:pStyle w:val="TableParagraph"/>
                          <w:rPr>
                            <w:rFonts w:ascii="Calibri"/>
                            <w:sz w:val="2"/>
                          </w:rPr>
                        </w:pPr>
                      </w:p>
                      <w:p w14:paraId="0169DCB1" w14:textId="77777777" w:rsidR="00F65BCA" w:rsidRDefault="00F65BCA">
                        <w:pPr>
                          <w:pStyle w:val="TableParagraph"/>
                          <w:rPr>
                            <w:rFonts w:ascii="Calibri"/>
                            <w:sz w:val="2"/>
                          </w:rPr>
                        </w:pPr>
                      </w:p>
                      <w:p w14:paraId="55442613" w14:textId="77777777" w:rsidR="00F65BCA" w:rsidRDefault="00216117">
                        <w:pPr>
                          <w:pStyle w:val="TableParagraph"/>
                          <w:spacing w:before="1"/>
                          <w:ind w:left="24" w:right="24"/>
                          <w:jc w:val="center"/>
                          <w:rPr>
                            <w:sz w:val="3"/>
                          </w:rPr>
                        </w:pPr>
                        <w:r>
                          <w:rPr>
                            <w:w w:val="105"/>
                            <w:sz w:val="3"/>
                          </w:rPr>
                          <w:t>2,02817160%</w:t>
                        </w:r>
                      </w:p>
                    </w:tc>
                    <w:tc>
                      <w:tcPr>
                        <w:tcW w:w="288" w:type="dxa"/>
                        <w:tcBorders>
                          <w:top w:val="single" w:sz="2" w:space="0" w:color="000000"/>
                          <w:left w:val="single" w:sz="2" w:space="0" w:color="000000"/>
                          <w:bottom w:val="single" w:sz="2" w:space="0" w:color="000000"/>
                          <w:right w:val="single" w:sz="2" w:space="0" w:color="000000"/>
                        </w:tcBorders>
                      </w:tcPr>
                      <w:p w14:paraId="32759473" w14:textId="77777777" w:rsidR="00F65BCA" w:rsidRDefault="00F65BCA">
                        <w:pPr>
                          <w:pStyle w:val="TableParagraph"/>
                          <w:rPr>
                            <w:rFonts w:ascii="Calibri"/>
                            <w:sz w:val="2"/>
                          </w:rPr>
                        </w:pPr>
                      </w:p>
                      <w:p w14:paraId="63CCD425" w14:textId="77777777" w:rsidR="00F65BCA" w:rsidRDefault="00F65BCA">
                        <w:pPr>
                          <w:pStyle w:val="TableParagraph"/>
                          <w:rPr>
                            <w:rFonts w:ascii="Calibri"/>
                            <w:sz w:val="2"/>
                          </w:rPr>
                        </w:pPr>
                      </w:p>
                      <w:p w14:paraId="43F37D83" w14:textId="77777777" w:rsidR="00F65BCA" w:rsidRDefault="00216117">
                        <w:pPr>
                          <w:pStyle w:val="TableParagraph"/>
                          <w:spacing w:before="1"/>
                          <w:ind w:left="24" w:right="24"/>
                          <w:jc w:val="center"/>
                          <w:rPr>
                            <w:sz w:val="3"/>
                          </w:rPr>
                        </w:pPr>
                        <w:r>
                          <w:rPr>
                            <w:w w:val="105"/>
                            <w:sz w:val="3"/>
                          </w:rPr>
                          <w:t>1,93352359%</w:t>
                        </w:r>
                      </w:p>
                    </w:tc>
                    <w:tc>
                      <w:tcPr>
                        <w:tcW w:w="288" w:type="dxa"/>
                        <w:tcBorders>
                          <w:top w:val="single" w:sz="2" w:space="0" w:color="000000"/>
                          <w:left w:val="single" w:sz="2" w:space="0" w:color="000000"/>
                          <w:bottom w:val="single" w:sz="2" w:space="0" w:color="000000"/>
                          <w:right w:val="single" w:sz="2" w:space="0" w:color="000000"/>
                        </w:tcBorders>
                      </w:tcPr>
                      <w:p w14:paraId="6F22DDE8" w14:textId="77777777" w:rsidR="00F65BCA" w:rsidRDefault="00F65BCA">
                        <w:pPr>
                          <w:pStyle w:val="TableParagraph"/>
                          <w:rPr>
                            <w:rFonts w:ascii="Calibri"/>
                            <w:sz w:val="2"/>
                          </w:rPr>
                        </w:pPr>
                      </w:p>
                      <w:p w14:paraId="27A80CE3" w14:textId="77777777" w:rsidR="00F65BCA" w:rsidRDefault="00F65BCA">
                        <w:pPr>
                          <w:pStyle w:val="TableParagraph"/>
                          <w:rPr>
                            <w:rFonts w:ascii="Calibri"/>
                            <w:sz w:val="2"/>
                          </w:rPr>
                        </w:pPr>
                      </w:p>
                      <w:p w14:paraId="750320D3" w14:textId="77777777" w:rsidR="00F65BCA" w:rsidRDefault="00216117">
                        <w:pPr>
                          <w:pStyle w:val="TableParagraph"/>
                          <w:spacing w:before="1"/>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140F3FFB" w14:textId="77777777" w:rsidR="00F65BCA" w:rsidRDefault="00F65BCA">
                        <w:pPr>
                          <w:pStyle w:val="TableParagraph"/>
                          <w:rPr>
                            <w:rFonts w:ascii="Calibri"/>
                            <w:sz w:val="2"/>
                          </w:rPr>
                        </w:pPr>
                      </w:p>
                      <w:p w14:paraId="28164771" w14:textId="77777777" w:rsidR="00F65BCA" w:rsidRDefault="00F65BCA">
                        <w:pPr>
                          <w:pStyle w:val="TableParagraph"/>
                          <w:rPr>
                            <w:rFonts w:ascii="Calibri"/>
                            <w:sz w:val="2"/>
                          </w:rPr>
                        </w:pPr>
                      </w:p>
                      <w:p w14:paraId="79BF89EC" w14:textId="77777777" w:rsidR="00F65BCA" w:rsidRDefault="00216117">
                        <w:pPr>
                          <w:pStyle w:val="TableParagraph"/>
                          <w:spacing w:before="1"/>
                          <w:ind w:left="24" w:right="24"/>
                          <w:jc w:val="center"/>
                          <w:rPr>
                            <w:sz w:val="3"/>
                          </w:rPr>
                        </w:pPr>
                        <w:r>
                          <w:rPr>
                            <w:w w:val="105"/>
                            <w:sz w:val="3"/>
                          </w:rPr>
                          <w:t>1,73070643%</w:t>
                        </w:r>
                      </w:p>
                    </w:tc>
                    <w:tc>
                      <w:tcPr>
                        <w:tcW w:w="288" w:type="dxa"/>
                        <w:tcBorders>
                          <w:top w:val="single" w:sz="2" w:space="0" w:color="000000"/>
                          <w:left w:val="single" w:sz="2" w:space="0" w:color="000000"/>
                          <w:bottom w:val="single" w:sz="2" w:space="0" w:color="000000"/>
                          <w:right w:val="single" w:sz="2" w:space="0" w:color="000000"/>
                        </w:tcBorders>
                      </w:tcPr>
                      <w:p w14:paraId="441B14B3" w14:textId="77777777" w:rsidR="00F65BCA" w:rsidRDefault="00F65BCA">
                        <w:pPr>
                          <w:pStyle w:val="TableParagraph"/>
                          <w:rPr>
                            <w:rFonts w:ascii="Calibri"/>
                            <w:sz w:val="2"/>
                          </w:rPr>
                        </w:pPr>
                      </w:p>
                      <w:p w14:paraId="5DF5FB81" w14:textId="77777777" w:rsidR="00F65BCA" w:rsidRDefault="00F65BCA">
                        <w:pPr>
                          <w:pStyle w:val="TableParagraph"/>
                          <w:rPr>
                            <w:rFonts w:ascii="Calibri"/>
                            <w:sz w:val="2"/>
                          </w:rPr>
                        </w:pPr>
                      </w:p>
                      <w:p w14:paraId="40BE73F5" w14:textId="77777777" w:rsidR="00F65BCA" w:rsidRDefault="00216117">
                        <w:pPr>
                          <w:pStyle w:val="TableParagraph"/>
                          <w:spacing w:before="1"/>
                          <w:ind w:left="24" w:right="24"/>
                          <w:jc w:val="center"/>
                          <w:rPr>
                            <w:sz w:val="3"/>
                          </w:rPr>
                        </w:pPr>
                        <w:r>
                          <w:rPr>
                            <w:w w:val="105"/>
                            <w:sz w:val="3"/>
                          </w:rPr>
                          <w:t>1,60901614%</w:t>
                        </w:r>
                      </w:p>
                    </w:tc>
                    <w:tc>
                      <w:tcPr>
                        <w:tcW w:w="288" w:type="dxa"/>
                        <w:tcBorders>
                          <w:top w:val="single" w:sz="2" w:space="0" w:color="000000"/>
                          <w:left w:val="single" w:sz="2" w:space="0" w:color="000000"/>
                          <w:bottom w:val="single" w:sz="2" w:space="0" w:color="000000"/>
                          <w:right w:val="single" w:sz="2" w:space="0" w:color="000000"/>
                        </w:tcBorders>
                      </w:tcPr>
                      <w:p w14:paraId="65734DA7" w14:textId="77777777" w:rsidR="00F65BCA" w:rsidRDefault="00F65BCA">
                        <w:pPr>
                          <w:pStyle w:val="TableParagraph"/>
                          <w:rPr>
                            <w:rFonts w:ascii="Calibri"/>
                            <w:sz w:val="2"/>
                          </w:rPr>
                        </w:pPr>
                      </w:p>
                      <w:p w14:paraId="1376DCBB" w14:textId="77777777" w:rsidR="00F65BCA" w:rsidRDefault="00F65BCA">
                        <w:pPr>
                          <w:pStyle w:val="TableParagraph"/>
                          <w:rPr>
                            <w:rFonts w:ascii="Calibri"/>
                            <w:sz w:val="2"/>
                          </w:rPr>
                        </w:pPr>
                      </w:p>
                      <w:p w14:paraId="51FEBC56" w14:textId="77777777" w:rsidR="00F65BCA" w:rsidRDefault="00216117">
                        <w:pPr>
                          <w:pStyle w:val="TableParagraph"/>
                          <w:spacing w:before="1"/>
                          <w:ind w:left="24" w:right="24"/>
                          <w:jc w:val="center"/>
                          <w:rPr>
                            <w:sz w:val="3"/>
                          </w:rPr>
                        </w:pPr>
                        <w:r>
                          <w:rPr>
                            <w:w w:val="105"/>
                            <w:sz w:val="3"/>
                          </w:rPr>
                          <w:t>1,48732584%</w:t>
                        </w:r>
                      </w:p>
                    </w:tc>
                    <w:tc>
                      <w:tcPr>
                        <w:tcW w:w="288" w:type="dxa"/>
                        <w:tcBorders>
                          <w:top w:val="single" w:sz="2" w:space="0" w:color="000000"/>
                          <w:left w:val="single" w:sz="2" w:space="0" w:color="000000"/>
                          <w:bottom w:val="single" w:sz="2" w:space="0" w:color="000000"/>
                          <w:right w:val="single" w:sz="2" w:space="0" w:color="000000"/>
                        </w:tcBorders>
                      </w:tcPr>
                      <w:p w14:paraId="348C173E" w14:textId="77777777" w:rsidR="00F65BCA" w:rsidRDefault="00F65BCA">
                        <w:pPr>
                          <w:pStyle w:val="TableParagraph"/>
                          <w:rPr>
                            <w:rFonts w:ascii="Calibri"/>
                            <w:sz w:val="2"/>
                          </w:rPr>
                        </w:pPr>
                      </w:p>
                      <w:p w14:paraId="7D6483DB" w14:textId="77777777" w:rsidR="00F65BCA" w:rsidRDefault="00F65BCA">
                        <w:pPr>
                          <w:pStyle w:val="TableParagraph"/>
                          <w:rPr>
                            <w:rFonts w:ascii="Calibri"/>
                            <w:sz w:val="2"/>
                          </w:rPr>
                        </w:pPr>
                      </w:p>
                      <w:p w14:paraId="14235CB3" w14:textId="77777777" w:rsidR="00F65BCA" w:rsidRDefault="00216117">
                        <w:pPr>
                          <w:pStyle w:val="TableParagraph"/>
                          <w:spacing w:before="1"/>
                          <w:ind w:left="24" w:right="24"/>
                          <w:jc w:val="center"/>
                          <w:rPr>
                            <w:sz w:val="3"/>
                          </w:rPr>
                        </w:pPr>
                        <w:r>
                          <w:rPr>
                            <w:w w:val="105"/>
                            <w:sz w:val="3"/>
                          </w:rPr>
                          <w:t>1,35211440%</w:t>
                        </w:r>
                      </w:p>
                    </w:tc>
                    <w:tc>
                      <w:tcPr>
                        <w:tcW w:w="288" w:type="dxa"/>
                        <w:tcBorders>
                          <w:top w:val="single" w:sz="2" w:space="0" w:color="000000"/>
                          <w:left w:val="single" w:sz="2" w:space="0" w:color="000000"/>
                          <w:bottom w:val="single" w:sz="2" w:space="0" w:color="000000"/>
                          <w:right w:val="single" w:sz="2" w:space="0" w:color="000000"/>
                        </w:tcBorders>
                      </w:tcPr>
                      <w:p w14:paraId="2BA8077C" w14:textId="77777777" w:rsidR="00F65BCA" w:rsidRDefault="00F65BCA">
                        <w:pPr>
                          <w:pStyle w:val="TableParagraph"/>
                          <w:rPr>
                            <w:rFonts w:ascii="Calibri"/>
                            <w:sz w:val="2"/>
                          </w:rPr>
                        </w:pPr>
                      </w:p>
                      <w:p w14:paraId="6833EC52" w14:textId="77777777" w:rsidR="00F65BCA" w:rsidRDefault="00F65BCA">
                        <w:pPr>
                          <w:pStyle w:val="TableParagraph"/>
                          <w:rPr>
                            <w:rFonts w:ascii="Calibri"/>
                            <w:sz w:val="2"/>
                          </w:rPr>
                        </w:pPr>
                      </w:p>
                      <w:p w14:paraId="2AFE028C" w14:textId="77777777" w:rsidR="00F65BCA" w:rsidRDefault="00216117">
                        <w:pPr>
                          <w:pStyle w:val="TableParagraph"/>
                          <w:spacing w:before="1"/>
                          <w:ind w:left="24" w:right="24"/>
                          <w:jc w:val="center"/>
                          <w:rPr>
                            <w:sz w:val="3"/>
                          </w:rPr>
                        </w:pPr>
                        <w:r>
                          <w:rPr>
                            <w:w w:val="105"/>
                            <w:sz w:val="3"/>
                          </w:rPr>
                          <w:t>1,35211440%</w:t>
                        </w:r>
                      </w:p>
                    </w:tc>
                    <w:tc>
                      <w:tcPr>
                        <w:tcW w:w="288" w:type="dxa"/>
                        <w:tcBorders>
                          <w:top w:val="single" w:sz="2" w:space="0" w:color="000000"/>
                          <w:left w:val="single" w:sz="2" w:space="0" w:color="000000"/>
                          <w:bottom w:val="single" w:sz="2" w:space="0" w:color="000000"/>
                          <w:right w:val="single" w:sz="2" w:space="0" w:color="000000"/>
                        </w:tcBorders>
                      </w:tcPr>
                      <w:p w14:paraId="6DB478E4" w14:textId="77777777" w:rsidR="00F65BCA" w:rsidRDefault="00F65BCA">
                        <w:pPr>
                          <w:pStyle w:val="TableParagraph"/>
                          <w:rPr>
                            <w:rFonts w:ascii="Calibri"/>
                            <w:sz w:val="2"/>
                          </w:rPr>
                        </w:pPr>
                      </w:p>
                      <w:p w14:paraId="3F8EC055" w14:textId="77777777" w:rsidR="00F65BCA" w:rsidRDefault="00F65BCA">
                        <w:pPr>
                          <w:pStyle w:val="TableParagraph"/>
                          <w:rPr>
                            <w:rFonts w:ascii="Calibri"/>
                            <w:sz w:val="2"/>
                          </w:rPr>
                        </w:pPr>
                      </w:p>
                      <w:p w14:paraId="6275604F" w14:textId="77777777" w:rsidR="00F65BCA" w:rsidRDefault="00216117">
                        <w:pPr>
                          <w:pStyle w:val="TableParagraph"/>
                          <w:spacing w:before="1"/>
                          <w:ind w:left="24" w:right="24"/>
                          <w:jc w:val="center"/>
                          <w:rPr>
                            <w:sz w:val="3"/>
                          </w:rPr>
                        </w:pPr>
                        <w:r>
                          <w:rPr>
                            <w:w w:val="105"/>
                            <w:sz w:val="3"/>
                          </w:rPr>
                          <w:t>1,62253728%</w:t>
                        </w:r>
                      </w:p>
                    </w:tc>
                    <w:tc>
                      <w:tcPr>
                        <w:tcW w:w="288" w:type="dxa"/>
                        <w:tcBorders>
                          <w:top w:val="single" w:sz="2" w:space="0" w:color="000000"/>
                          <w:left w:val="single" w:sz="2" w:space="0" w:color="000000"/>
                          <w:bottom w:val="single" w:sz="2" w:space="0" w:color="000000"/>
                          <w:right w:val="single" w:sz="2" w:space="0" w:color="000000"/>
                        </w:tcBorders>
                      </w:tcPr>
                      <w:p w14:paraId="4BFC91F6" w14:textId="77777777" w:rsidR="00F65BCA" w:rsidRDefault="00F65BCA">
                        <w:pPr>
                          <w:pStyle w:val="TableParagraph"/>
                          <w:rPr>
                            <w:rFonts w:ascii="Calibri"/>
                            <w:sz w:val="2"/>
                          </w:rPr>
                        </w:pPr>
                      </w:p>
                      <w:p w14:paraId="33786D59" w14:textId="77777777" w:rsidR="00F65BCA" w:rsidRDefault="00F65BCA">
                        <w:pPr>
                          <w:pStyle w:val="TableParagraph"/>
                          <w:rPr>
                            <w:rFonts w:ascii="Calibri"/>
                            <w:sz w:val="2"/>
                          </w:rPr>
                        </w:pPr>
                      </w:p>
                      <w:p w14:paraId="2E07C726" w14:textId="77777777" w:rsidR="00F65BCA" w:rsidRDefault="00216117">
                        <w:pPr>
                          <w:pStyle w:val="TableParagraph"/>
                          <w:spacing w:before="1"/>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7B6FD225" w14:textId="77777777" w:rsidR="00F65BCA" w:rsidRDefault="00F65BCA">
                        <w:pPr>
                          <w:pStyle w:val="TableParagraph"/>
                          <w:rPr>
                            <w:rFonts w:ascii="Calibri"/>
                            <w:sz w:val="2"/>
                          </w:rPr>
                        </w:pPr>
                      </w:p>
                      <w:p w14:paraId="0BDDD160" w14:textId="77777777" w:rsidR="00F65BCA" w:rsidRDefault="00F65BCA">
                        <w:pPr>
                          <w:pStyle w:val="TableParagraph"/>
                          <w:rPr>
                            <w:rFonts w:ascii="Calibri"/>
                            <w:sz w:val="2"/>
                          </w:rPr>
                        </w:pPr>
                      </w:p>
                      <w:p w14:paraId="57B61422" w14:textId="77777777" w:rsidR="00F65BCA" w:rsidRDefault="00216117">
                        <w:pPr>
                          <w:pStyle w:val="TableParagraph"/>
                          <w:spacing w:before="1"/>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7F2F4865" w14:textId="77777777" w:rsidR="00F65BCA" w:rsidRDefault="00F65BCA">
                        <w:pPr>
                          <w:pStyle w:val="TableParagraph"/>
                          <w:rPr>
                            <w:rFonts w:ascii="Calibri"/>
                            <w:sz w:val="2"/>
                          </w:rPr>
                        </w:pPr>
                      </w:p>
                      <w:p w14:paraId="53F9480C" w14:textId="77777777" w:rsidR="00F65BCA" w:rsidRDefault="00F65BCA">
                        <w:pPr>
                          <w:pStyle w:val="TableParagraph"/>
                          <w:rPr>
                            <w:rFonts w:ascii="Calibri"/>
                            <w:sz w:val="2"/>
                          </w:rPr>
                        </w:pPr>
                      </w:p>
                      <w:p w14:paraId="1D4DC9DB" w14:textId="77777777" w:rsidR="00F65BCA" w:rsidRDefault="00216117">
                        <w:pPr>
                          <w:pStyle w:val="TableParagraph"/>
                          <w:spacing w:before="1"/>
                          <w:ind w:left="24" w:right="24"/>
                          <w:jc w:val="center"/>
                          <w:rPr>
                            <w:sz w:val="3"/>
                          </w:rPr>
                        </w:pPr>
                        <w:r>
                          <w:rPr>
                            <w:w w:val="105"/>
                            <w:sz w:val="3"/>
                          </w:rPr>
                          <w:t>2,02817160%</w:t>
                        </w:r>
                      </w:p>
                    </w:tc>
                  </w:tr>
                  <w:tr w:rsidR="00F65BCA" w14:paraId="476B2A16"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24401C43"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4A88EED6" w14:textId="77777777" w:rsidR="00F65BCA" w:rsidRDefault="00F65BCA">
                        <w:pPr>
                          <w:pStyle w:val="TableParagraph"/>
                          <w:rPr>
                            <w:rFonts w:ascii="Calibri"/>
                            <w:sz w:val="2"/>
                          </w:rPr>
                        </w:pPr>
                      </w:p>
                      <w:p w14:paraId="023F5FF0" w14:textId="77777777" w:rsidR="00F65BCA" w:rsidRDefault="00F65BCA">
                        <w:pPr>
                          <w:pStyle w:val="TableParagraph"/>
                          <w:rPr>
                            <w:rFonts w:ascii="Calibri"/>
                            <w:sz w:val="2"/>
                          </w:rPr>
                        </w:pPr>
                      </w:p>
                      <w:p w14:paraId="545025A5" w14:textId="77777777" w:rsidR="00F65BCA" w:rsidRDefault="00F65BCA">
                        <w:pPr>
                          <w:pStyle w:val="TableParagraph"/>
                          <w:rPr>
                            <w:rFonts w:ascii="Calibri"/>
                            <w:sz w:val="2"/>
                          </w:rPr>
                        </w:pPr>
                      </w:p>
                      <w:p w14:paraId="21C11246" w14:textId="77777777" w:rsidR="00F65BCA" w:rsidRDefault="00F65BCA">
                        <w:pPr>
                          <w:pStyle w:val="TableParagraph"/>
                          <w:rPr>
                            <w:rFonts w:ascii="Calibri"/>
                            <w:sz w:val="2"/>
                          </w:rPr>
                        </w:pPr>
                      </w:p>
                      <w:p w14:paraId="06E6BE0E" w14:textId="77777777" w:rsidR="00F65BCA" w:rsidRDefault="00F65BCA">
                        <w:pPr>
                          <w:pStyle w:val="TableParagraph"/>
                          <w:rPr>
                            <w:rFonts w:ascii="Calibri"/>
                            <w:sz w:val="2"/>
                          </w:rPr>
                        </w:pPr>
                      </w:p>
                      <w:p w14:paraId="5D15E285" w14:textId="77777777" w:rsidR="00F65BCA" w:rsidRDefault="00F65BCA">
                        <w:pPr>
                          <w:pStyle w:val="TableParagraph"/>
                          <w:spacing w:before="6"/>
                          <w:rPr>
                            <w:rFonts w:ascii="Calibri"/>
                            <w:sz w:val="2"/>
                          </w:rPr>
                        </w:pPr>
                      </w:p>
                      <w:p w14:paraId="2B9FF471" w14:textId="77777777" w:rsidR="00F65BCA" w:rsidRDefault="00216117">
                        <w:pPr>
                          <w:pStyle w:val="TableParagraph"/>
                          <w:ind w:left="18" w:right="14"/>
                          <w:jc w:val="center"/>
                          <w:rPr>
                            <w:sz w:val="3"/>
                          </w:rPr>
                        </w:pPr>
                        <w:r>
                          <w:rPr>
                            <w:w w:val="105"/>
                            <w:sz w:val="3"/>
                          </w:rPr>
                          <w:t>Mazda</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32714AA6" w14:textId="77777777" w:rsidR="00F65BCA" w:rsidRDefault="00F65BCA">
                        <w:pPr>
                          <w:pStyle w:val="TableParagraph"/>
                          <w:rPr>
                            <w:rFonts w:ascii="Calibri"/>
                            <w:sz w:val="2"/>
                          </w:rPr>
                        </w:pPr>
                      </w:p>
                      <w:p w14:paraId="3F49939A" w14:textId="77777777" w:rsidR="00F65BCA" w:rsidRDefault="00F65BCA">
                        <w:pPr>
                          <w:pStyle w:val="TableParagraph"/>
                          <w:rPr>
                            <w:rFonts w:ascii="Calibri"/>
                            <w:sz w:val="2"/>
                          </w:rPr>
                        </w:pPr>
                      </w:p>
                      <w:p w14:paraId="04B057DC" w14:textId="77777777" w:rsidR="00F65BCA" w:rsidRDefault="00216117">
                        <w:pPr>
                          <w:pStyle w:val="TableParagraph"/>
                          <w:spacing w:before="17"/>
                          <w:ind w:left="4"/>
                          <w:rPr>
                            <w:sz w:val="3"/>
                          </w:rPr>
                        </w:pPr>
                        <w:r>
                          <w:rPr>
                            <w:w w:val="105"/>
                            <w:sz w:val="3"/>
                          </w:rPr>
                          <w:t>121 VAN; B 2500; B-FIGHTER; BT-50</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C274F63" w14:textId="77777777" w:rsidR="00F65BCA" w:rsidRDefault="00F65BCA">
                        <w:pPr>
                          <w:pStyle w:val="TableParagraph"/>
                          <w:rPr>
                            <w:rFonts w:ascii="Calibri"/>
                            <w:sz w:val="2"/>
                          </w:rPr>
                        </w:pPr>
                      </w:p>
                      <w:p w14:paraId="0B1D7936"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4BFC3FE" w14:textId="77777777" w:rsidR="00F65BCA" w:rsidRDefault="00F65BCA">
                        <w:pPr>
                          <w:pStyle w:val="TableParagraph"/>
                          <w:rPr>
                            <w:rFonts w:ascii="Calibri"/>
                            <w:sz w:val="2"/>
                          </w:rPr>
                        </w:pPr>
                      </w:p>
                      <w:p w14:paraId="4BCEA3AA"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51699A08"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B47069D" w14:textId="77777777" w:rsidR="00F65BCA" w:rsidRDefault="00F65BCA">
                        <w:pPr>
                          <w:pStyle w:val="TableParagraph"/>
                          <w:rPr>
                            <w:rFonts w:ascii="Calibri"/>
                            <w:sz w:val="2"/>
                          </w:rPr>
                        </w:pPr>
                      </w:p>
                      <w:p w14:paraId="4ED5897B"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7108025B" w14:textId="77777777" w:rsidR="00F65BCA" w:rsidRDefault="00F65BCA">
                        <w:pPr>
                          <w:pStyle w:val="TableParagraph"/>
                          <w:rPr>
                            <w:rFonts w:ascii="Calibri"/>
                            <w:sz w:val="2"/>
                          </w:rPr>
                        </w:pPr>
                      </w:p>
                      <w:p w14:paraId="5B4F529F"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0D217774" w14:textId="77777777" w:rsidR="00F65BCA" w:rsidRDefault="00F65BCA">
                        <w:pPr>
                          <w:pStyle w:val="TableParagraph"/>
                          <w:rPr>
                            <w:rFonts w:ascii="Calibri"/>
                            <w:sz w:val="2"/>
                          </w:rPr>
                        </w:pPr>
                      </w:p>
                      <w:p w14:paraId="57F060E0"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3BC15302" w14:textId="77777777" w:rsidR="00F65BCA" w:rsidRDefault="00F65BCA">
                        <w:pPr>
                          <w:pStyle w:val="TableParagraph"/>
                          <w:rPr>
                            <w:rFonts w:ascii="Calibri"/>
                            <w:sz w:val="2"/>
                          </w:rPr>
                        </w:pPr>
                      </w:p>
                      <w:p w14:paraId="029A4135"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72C43AAF" w14:textId="77777777" w:rsidR="00F65BCA" w:rsidRDefault="00F65BCA">
                        <w:pPr>
                          <w:pStyle w:val="TableParagraph"/>
                          <w:rPr>
                            <w:rFonts w:ascii="Calibri"/>
                            <w:sz w:val="2"/>
                          </w:rPr>
                        </w:pPr>
                      </w:p>
                      <w:p w14:paraId="6D0C40C3"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0A1D6D0F" w14:textId="77777777" w:rsidR="00F65BCA" w:rsidRDefault="00F65BCA">
                        <w:pPr>
                          <w:pStyle w:val="TableParagraph"/>
                          <w:rPr>
                            <w:rFonts w:ascii="Calibri"/>
                            <w:sz w:val="2"/>
                          </w:rPr>
                        </w:pPr>
                      </w:p>
                      <w:p w14:paraId="25ED8170"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238B66E1" w14:textId="77777777" w:rsidR="00F65BCA" w:rsidRDefault="00F65BCA">
                        <w:pPr>
                          <w:pStyle w:val="TableParagraph"/>
                          <w:rPr>
                            <w:rFonts w:ascii="Calibri"/>
                            <w:sz w:val="2"/>
                          </w:rPr>
                        </w:pPr>
                      </w:p>
                      <w:p w14:paraId="35F67A44"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4BBD42D7" w14:textId="77777777" w:rsidR="00F65BCA" w:rsidRDefault="00F65BCA">
                        <w:pPr>
                          <w:pStyle w:val="TableParagraph"/>
                          <w:rPr>
                            <w:rFonts w:ascii="Calibri"/>
                            <w:sz w:val="2"/>
                          </w:rPr>
                        </w:pPr>
                      </w:p>
                      <w:p w14:paraId="36BA1E87"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1D31F484" w14:textId="77777777" w:rsidR="00F65BCA" w:rsidRDefault="00F65BCA">
                        <w:pPr>
                          <w:pStyle w:val="TableParagraph"/>
                          <w:rPr>
                            <w:rFonts w:ascii="Calibri"/>
                            <w:sz w:val="2"/>
                          </w:rPr>
                        </w:pPr>
                      </w:p>
                      <w:p w14:paraId="207E2CC5"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2388399D" w14:textId="77777777" w:rsidR="00F65BCA" w:rsidRDefault="00F65BCA">
                        <w:pPr>
                          <w:pStyle w:val="TableParagraph"/>
                          <w:rPr>
                            <w:rFonts w:ascii="Calibri"/>
                            <w:sz w:val="2"/>
                          </w:rPr>
                        </w:pPr>
                      </w:p>
                      <w:p w14:paraId="3C1710C8"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5BEB8CD7" w14:textId="77777777" w:rsidR="00F65BCA" w:rsidRDefault="00F65BCA">
                        <w:pPr>
                          <w:pStyle w:val="TableParagraph"/>
                          <w:rPr>
                            <w:rFonts w:ascii="Calibri"/>
                            <w:sz w:val="2"/>
                          </w:rPr>
                        </w:pPr>
                      </w:p>
                      <w:p w14:paraId="7686F92E"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33125B30" w14:textId="77777777" w:rsidR="00F65BCA" w:rsidRDefault="00F65BCA">
                        <w:pPr>
                          <w:pStyle w:val="TableParagraph"/>
                          <w:rPr>
                            <w:rFonts w:ascii="Calibri"/>
                            <w:sz w:val="2"/>
                          </w:rPr>
                        </w:pPr>
                      </w:p>
                      <w:p w14:paraId="6241157B"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75E1EFBD" w14:textId="77777777" w:rsidR="00F65BCA" w:rsidRDefault="00F65BCA">
                        <w:pPr>
                          <w:pStyle w:val="TableParagraph"/>
                          <w:rPr>
                            <w:rFonts w:ascii="Calibri"/>
                            <w:sz w:val="2"/>
                          </w:rPr>
                        </w:pPr>
                      </w:p>
                      <w:p w14:paraId="77B7209D" w14:textId="77777777" w:rsidR="00F65BCA" w:rsidRDefault="00216117">
                        <w:pPr>
                          <w:pStyle w:val="TableParagraph"/>
                          <w:ind w:left="24" w:right="24"/>
                          <w:jc w:val="center"/>
                          <w:rPr>
                            <w:sz w:val="3"/>
                          </w:rPr>
                        </w:pPr>
                        <w:r>
                          <w:rPr>
                            <w:w w:val="105"/>
                            <w:sz w:val="3"/>
                          </w:rPr>
                          <w:t>0,95940000%</w:t>
                        </w:r>
                      </w:p>
                    </w:tc>
                  </w:tr>
                  <w:tr w:rsidR="00F65BCA" w14:paraId="416587AC"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753A5BFD"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AE7FC7C"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10CDF964"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8E52AB9" w14:textId="77777777" w:rsidR="00F65BCA" w:rsidRDefault="00F65BCA">
                        <w:pPr>
                          <w:pStyle w:val="TableParagraph"/>
                          <w:rPr>
                            <w:rFonts w:ascii="Calibri"/>
                            <w:sz w:val="2"/>
                          </w:rPr>
                        </w:pPr>
                      </w:p>
                      <w:p w14:paraId="1AA4DA4B"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15735FB" w14:textId="77777777" w:rsidR="00F65BCA" w:rsidRDefault="00F65BCA">
                        <w:pPr>
                          <w:pStyle w:val="TableParagraph"/>
                          <w:rPr>
                            <w:rFonts w:ascii="Calibri"/>
                            <w:sz w:val="2"/>
                          </w:rPr>
                        </w:pPr>
                      </w:p>
                      <w:p w14:paraId="49BEA3A4"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198B308"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4A18F553" w14:textId="77777777" w:rsidR="00F65BCA" w:rsidRDefault="00F65BCA">
                        <w:pPr>
                          <w:pStyle w:val="TableParagraph"/>
                          <w:rPr>
                            <w:rFonts w:ascii="Calibri"/>
                            <w:sz w:val="2"/>
                          </w:rPr>
                        </w:pPr>
                      </w:p>
                      <w:p w14:paraId="3A884C91"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19EE213B" w14:textId="77777777" w:rsidR="00F65BCA" w:rsidRDefault="00F65BCA">
                        <w:pPr>
                          <w:pStyle w:val="TableParagraph"/>
                          <w:rPr>
                            <w:rFonts w:ascii="Calibri"/>
                            <w:sz w:val="2"/>
                          </w:rPr>
                        </w:pPr>
                      </w:p>
                      <w:p w14:paraId="5F7DA401"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7209B6D1" w14:textId="77777777" w:rsidR="00F65BCA" w:rsidRDefault="00F65BCA">
                        <w:pPr>
                          <w:pStyle w:val="TableParagraph"/>
                          <w:rPr>
                            <w:rFonts w:ascii="Calibri"/>
                            <w:sz w:val="2"/>
                          </w:rPr>
                        </w:pPr>
                      </w:p>
                      <w:p w14:paraId="79B764D0"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0BA36731" w14:textId="77777777" w:rsidR="00F65BCA" w:rsidRDefault="00F65BCA">
                        <w:pPr>
                          <w:pStyle w:val="TableParagraph"/>
                          <w:rPr>
                            <w:rFonts w:ascii="Calibri"/>
                            <w:sz w:val="2"/>
                          </w:rPr>
                        </w:pPr>
                      </w:p>
                      <w:p w14:paraId="16BA7E5F"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0B8EC580" w14:textId="77777777" w:rsidR="00F65BCA" w:rsidRDefault="00F65BCA">
                        <w:pPr>
                          <w:pStyle w:val="TableParagraph"/>
                          <w:rPr>
                            <w:rFonts w:ascii="Calibri"/>
                            <w:sz w:val="2"/>
                          </w:rPr>
                        </w:pPr>
                      </w:p>
                      <w:p w14:paraId="7F3B81CF"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28EFD8E3" w14:textId="77777777" w:rsidR="00F65BCA" w:rsidRDefault="00F65BCA">
                        <w:pPr>
                          <w:pStyle w:val="TableParagraph"/>
                          <w:rPr>
                            <w:rFonts w:ascii="Calibri"/>
                            <w:sz w:val="2"/>
                          </w:rPr>
                        </w:pPr>
                      </w:p>
                      <w:p w14:paraId="14604B84"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4D3DD2A1" w14:textId="77777777" w:rsidR="00F65BCA" w:rsidRDefault="00F65BCA">
                        <w:pPr>
                          <w:pStyle w:val="TableParagraph"/>
                          <w:rPr>
                            <w:rFonts w:ascii="Calibri"/>
                            <w:sz w:val="2"/>
                          </w:rPr>
                        </w:pPr>
                      </w:p>
                      <w:p w14:paraId="57C655DC"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6ED8BDEC" w14:textId="77777777" w:rsidR="00F65BCA" w:rsidRDefault="00F65BCA">
                        <w:pPr>
                          <w:pStyle w:val="TableParagraph"/>
                          <w:rPr>
                            <w:rFonts w:ascii="Calibri"/>
                            <w:sz w:val="2"/>
                          </w:rPr>
                        </w:pPr>
                      </w:p>
                      <w:p w14:paraId="0BFB013F"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376B80C4" w14:textId="77777777" w:rsidR="00F65BCA" w:rsidRDefault="00F65BCA">
                        <w:pPr>
                          <w:pStyle w:val="TableParagraph"/>
                          <w:rPr>
                            <w:rFonts w:ascii="Calibri"/>
                            <w:sz w:val="2"/>
                          </w:rPr>
                        </w:pPr>
                      </w:p>
                      <w:p w14:paraId="32379F7E"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1AEE78C5" w14:textId="77777777" w:rsidR="00F65BCA" w:rsidRDefault="00F65BCA">
                        <w:pPr>
                          <w:pStyle w:val="TableParagraph"/>
                          <w:rPr>
                            <w:rFonts w:ascii="Calibri"/>
                            <w:sz w:val="2"/>
                          </w:rPr>
                        </w:pPr>
                      </w:p>
                      <w:p w14:paraId="499BE8CB"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7D3E9BAB" w14:textId="77777777" w:rsidR="00F65BCA" w:rsidRDefault="00F65BCA">
                        <w:pPr>
                          <w:pStyle w:val="TableParagraph"/>
                          <w:rPr>
                            <w:rFonts w:ascii="Calibri"/>
                            <w:sz w:val="2"/>
                          </w:rPr>
                        </w:pPr>
                      </w:p>
                      <w:p w14:paraId="65E6ECD9"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6719393D" w14:textId="77777777" w:rsidR="00F65BCA" w:rsidRDefault="00F65BCA">
                        <w:pPr>
                          <w:pStyle w:val="TableParagraph"/>
                          <w:rPr>
                            <w:rFonts w:ascii="Calibri"/>
                            <w:sz w:val="2"/>
                          </w:rPr>
                        </w:pPr>
                      </w:p>
                      <w:p w14:paraId="4DB5D564"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3C83D4F" w14:textId="77777777" w:rsidR="00F65BCA" w:rsidRDefault="00F65BCA">
                        <w:pPr>
                          <w:pStyle w:val="TableParagraph"/>
                          <w:rPr>
                            <w:rFonts w:ascii="Calibri"/>
                            <w:sz w:val="2"/>
                          </w:rPr>
                        </w:pPr>
                      </w:p>
                      <w:p w14:paraId="43E4F3B0" w14:textId="77777777" w:rsidR="00F65BCA" w:rsidRDefault="00216117">
                        <w:pPr>
                          <w:pStyle w:val="TableParagraph"/>
                          <w:ind w:left="24" w:right="24"/>
                          <w:jc w:val="center"/>
                          <w:rPr>
                            <w:sz w:val="3"/>
                          </w:rPr>
                        </w:pPr>
                        <w:r>
                          <w:rPr>
                            <w:w w:val="105"/>
                            <w:sz w:val="3"/>
                          </w:rPr>
                          <w:t>1,15895520%</w:t>
                        </w:r>
                      </w:p>
                    </w:tc>
                  </w:tr>
                  <w:tr w:rsidR="00F65BCA" w14:paraId="7096428F"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6F129810"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3760A210"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11360A38" w14:textId="77777777" w:rsidR="00F65BCA" w:rsidRDefault="00216117">
                        <w:pPr>
                          <w:pStyle w:val="TableParagraph"/>
                          <w:spacing w:before="4"/>
                          <w:ind w:left="4"/>
                          <w:rPr>
                            <w:sz w:val="3"/>
                          </w:rPr>
                        </w:pPr>
                        <w:r>
                          <w:rPr>
                            <w:w w:val="105"/>
                            <w:sz w:val="3"/>
                          </w:rPr>
                          <w:t>121;</w:t>
                        </w:r>
                        <w:r>
                          <w:rPr>
                            <w:spacing w:val="-1"/>
                            <w:w w:val="105"/>
                            <w:sz w:val="3"/>
                          </w:rPr>
                          <w:t xml:space="preserve"> </w:t>
                        </w:r>
                        <w:r>
                          <w:rPr>
                            <w:w w:val="105"/>
                            <w:sz w:val="3"/>
                          </w:rPr>
                          <w:t>2;</w:t>
                        </w:r>
                        <w:r>
                          <w:rPr>
                            <w:spacing w:val="-1"/>
                            <w:w w:val="105"/>
                            <w:sz w:val="3"/>
                          </w:rPr>
                          <w:t xml:space="preserve"> </w:t>
                        </w:r>
                        <w:r>
                          <w:rPr>
                            <w:w w:val="105"/>
                            <w:sz w:val="3"/>
                          </w:rPr>
                          <w:t>3;</w:t>
                        </w:r>
                        <w:r>
                          <w:rPr>
                            <w:spacing w:val="-1"/>
                            <w:w w:val="105"/>
                            <w:sz w:val="3"/>
                          </w:rPr>
                          <w:t xml:space="preserve"> </w:t>
                        </w:r>
                        <w:r>
                          <w:rPr>
                            <w:w w:val="105"/>
                            <w:sz w:val="3"/>
                          </w:rPr>
                          <w:t>323;</w:t>
                        </w:r>
                        <w:r>
                          <w:rPr>
                            <w:spacing w:val="-1"/>
                            <w:w w:val="105"/>
                            <w:sz w:val="3"/>
                          </w:rPr>
                          <w:t xml:space="preserve"> </w:t>
                        </w:r>
                        <w:r>
                          <w:rPr>
                            <w:w w:val="105"/>
                            <w:sz w:val="3"/>
                          </w:rPr>
                          <w:t>323</w:t>
                        </w:r>
                        <w:r>
                          <w:rPr>
                            <w:spacing w:val="-3"/>
                            <w:w w:val="105"/>
                            <w:sz w:val="3"/>
                          </w:rPr>
                          <w:t xml:space="preserve"> </w:t>
                        </w:r>
                        <w:r>
                          <w:rPr>
                            <w:w w:val="105"/>
                            <w:sz w:val="3"/>
                          </w:rPr>
                          <w:t>COUPE;</w:t>
                        </w:r>
                        <w:r>
                          <w:rPr>
                            <w:spacing w:val="-1"/>
                            <w:w w:val="105"/>
                            <w:sz w:val="3"/>
                          </w:rPr>
                          <w:t xml:space="preserve"> </w:t>
                        </w:r>
                        <w:r>
                          <w:rPr>
                            <w:w w:val="105"/>
                            <w:sz w:val="3"/>
                          </w:rPr>
                          <w:t>323</w:t>
                        </w:r>
                        <w:r>
                          <w:rPr>
                            <w:spacing w:val="-2"/>
                            <w:w w:val="105"/>
                            <w:sz w:val="3"/>
                          </w:rPr>
                          <w:t xml:space="preserve"> </w:t>
                        </w:r>
                        <w:r>
                          <w:rPr>
                            <w:w w:val="105"/>
                            <w:sz w:val="3"/>
                          </w:rPr>
                          <w:t>F;</w:t>
                        </w:r>
                        <w:r>
                          <w:rPr>
                            <w:spacing w:val="-1"/>
                            <w:w w:val="105"/>
                            <w:sz w:val="3"/>
                          </w:rPr>
                          <w:t xml:space="preserve"> </w:t>
                        </w:r>
                        <w:r>
                          <w:rPr>
                            <w:w w:val="105"/>
                            <w:sz w:val="3"/>
                          </w:rPr>
                          <w:t>323</w:t>
                        </w:r>
                        <w:r>
                          <w:rPr>
                            <w:spacing w:val="-3"/>
                            <w:w w:val="105"/>
                            <w:sz w:val="3"/>
                          </w:rPr>
                          <w:t xml:space="preserve"> </w:t>
                        </w:r>
                        <w:r>
                          <w:rPr>
                            <w:w w:val="105"/>
                            <w:sz w:val="3"/>
                          </w:rPr>
                          <w:t>WAGON;</w:t>
                        </w:r>
                        <w:r>
                          <w:rPr>
                            <w:spacing w:val="-1"/>
                            <w:w w:val="105"/>
                            <w:sz w:val="3"/>
                          </w:rPr>
                          <w:t xml:space="preserve"> </w:t>
                        </w:r>
                        <w:r>
                          <w:rPr>
                            <w:w w:val="105"/>
                            <w:sz w:val="3"/>
                          </w:rPr>
                          <w:t>5;</w:t>
                        </w:r>
                        <w:r>
                          <w:rPr>
                            <w:spacing w:val="-1"/>
                            <w:w w:val="105"/>
                            <w:sz w:val="3"/>
                          </w:rPr>
                          <w:t xml:space="preserve"> </w:t>
                        </w:r>
                        <w:r>
                          <w:rPr>
                            <w:w w:val="105"/>
                            <w:sz w:val="3"/>
                          </w:rPr>
                          <w:t>6;</w:t>
                        </w:r>
                        <w:r>
                          <w:rPr>
                            <w:spacing w:val="-1"/>
                            <w:w w:val="105"/>
                            <w:sz w:val="3"/>
                          </w:rPr>
                          <w:t xml:space="preserve"> </w:t>
                        </w:r>
                        <w:r>
                          <w:rPr>
                            <w:w w:val="105"/>
                            <w:sz w:val="3"/>
                          </w:rPr>
                          <w:t>6</w:t>
                        </w:r>
                        <w:r>
                          <w:rPr>
                            <w:spacing w:val="-2"/>
                            <w:w w:val="105"/>
                            <w:sz w:val="3"/>
                          </w:rPr>
                          <w:t xml:space="preserve"> </w:t>
                        </w:r>
                        <w:r>
                          <w:rPr>
                            <w:w w:val="105"/>
                            <w:sz w:val="3"/>
                          </w:rPr>
                          <w:t>WAGON;</w:t>
                        </w:r>
                      </w:p>
                      <w:p w14:paraId="6132C7FB" w14:textId="77777777" w:rsidR="00F65BCA" w:rsidRDefault="00216117">
                        <w:pPr>
                          <w:pStyle w:val="TableParagraph"/>
                          <w:spacing w:before="6"/>
                          <w:ind w:left="4" w:right="-15"/>
                          <w:rPr>
                            <w:sz w:val="3"/>
                          </w:rPr>
                        </w:pPr>
                        <w:r>
                          <w:rPr>
                            <w:w w:val="105"/>
                            <w:sz w:val="3"/>
                          </w:rPr>
                          <w:t>626;</w:t>
                        </w:r>
                        <w:r>
                          <w:rPr>
                            <w:spacing w:val="-4"/>
                            <w:w w:val="105"/>
                            <w:sz w:val="3"/>
                          </w:rPr>
                          <w:t xml:space="preserve"> </w:t>
                        </w:r>
                        <w:r>
                          <w:rPr>
                            <w:w w:val="105"/>
                            <w:sz w:val="3"/>
                          </w:rPr>
                          <w:t>626</w:t>
                        </w:r>
                        <w:r>
                          <w:rPr>
                            <w:spacing w:val="-5"/>
                            <w:w w:val="105"/>
                            <w:sz w:val="3"/>
                          </w:rPr>
                          <w:t xml:space="preserve"> </w:t>
                        </w:r>
                        <w:r>
                          <w:rPr>
                            <w:w w:val="105"/>
                            <w:sz w:val="3"/>
                          </w:rPr>
                          <w:t>WAGON;</w:t>
                        </w:r>
                        <w:r>
                          <w:rPr>
                            <w:spacing w:val="-4"/>
                            <w:w w:val="105"/>
                            <w:sz w:val="3"/>
                          </w:rPr>
                          <w:t xml:space="preserve"> </w:t>
                        </w:r>
                        <w:r>
                          <w:rPr>
                            <w:w w:val="105"/>
                            <w:sz w:val="3"/>
                          </w:rPr>
                          <w:t>929</w:t>
                        </w:r>
                        <w:r>
                          <w:rPr>
                            <w:spacing w:val="-5"/>
                            <w:w w:val="105"/>
                            <w:sz w:val="3"/>
                          </w:rPr>
                          <w:t xml:space="preserve"> </w:t>
                        </w:r>
                        <w:r>
                          <w:rPr>
                            <w:w w:val="105"/>
                            <w:sz w:val="3"/>
                          </w:rPr>
                          <w:t>COUPE;</w:t>
                        </w:r>
                        <w:r>
                          <w:rPr>
                            <w:spacing w:val="-4"/>
                            <w:w w:val="105"/>
                            <w:sz w:val="3"/>
                          </w:rPr>
                          <w:t xml:space="preserve"> </w:t>
                        </w:r>
                        <w:r>
                          <w:rPr>
                            <w:w w:val="105"/>
                            <w:sz w:val="3"/>
                          </w:rPr>
                          <w:t>929</w:t>
                        </w:r>
                        <w:r>
                          <w:rPr>
                            <w:spacing w:val="-4"/>
                            <w:w w:val="105"/>
                            <w:sz w:val="3"/>
                          </w:rPr>
                          <w:t xml:space="preserve"> </w:t>
                        </w:r>
                        <w:r>
                          <w:rPr>
                            <w:w w:val="105"/>
                            <w:sz w:val="3"/>
                          </w:rPr>
                          <w:t>SEDAN;</w:t>
                        </w:r>
                        <w:r>
                          <w:rPr>
                            <w:spacing w:val="-4"/>
                            <w:w w:val="105"/>
                            <w:sz w:val="3"/>
                          </w:rPr>
                          <w:t xml:space="preserve"> </w:t>
                        </w:r>
                        <w:r>
                          <w:rPr>
                            <w:w w:val="105"/>
                            <w:sz w:val="3"/>
                          </w:rPr>
                          <w:t>CX-3;</w:t>
                        </w:r>
                        <w:r>
                          <w:rPr>
                            <w:spacing w:val="-4"/>
                            <w:w w:val="105"/>
                            <w:sz w:val="3"/>
                          </w:rPr>
                          <w:t xml:space="preserve"> </w:t>
                        </w:r>
                        <w:r>
                          <w:rPr>
                            <w:w w:val="105"/>
                            <w:sz w:val="3"/>
                          </w:rPr>
                          <w:t>CX-5;</w:t>
                        </w:r>
                        <w:r>
                          <w:rPr>
                            <w:spacing w:val="-4"/>
                            <w:w w:val="105"/>
                            <w:sz w:val="3"/>
                          </w:rPr>
                          <w:t xml:space="preserve"> </w:t>
                        </w:r>
                        <w:r>
                          <w:rPr>
                            <w:w w:val="105"/>
                            <w:sz w:val="3"/>
                          </w:rPr>
                          <w:t>CX-7;</w:t>
                        </w:r>
                        <w:r>
                          <w:rPr>
                            <w:spacing w:val="-4"/>
                            <w:w w:val="105"/>
                            <w:sz w:val="3"/>
                          </w:rPr>
                          <w:t xml:space="preserve"> </w:t>
                        </w:r>
                        <w:r>
                          <w:rPr>
                            <w:w w:val="105"/>
                            <w:sz w:val="3"/>
                          </w:rPr>
                          <w:t>CX-</w:t>
                        </w:r>
                      </w:p>
                      <w:p w14:paraId="742EC684" w14:textId="77777777" w:rsidR="00F65BCA" w:rsidRDefault="00216117">
                        <w:pPr>
                          <w:pStyle w:val="TableParagraph"/>
                          <w:spacing w:before="1" w:line="40" w:lineRule="atLeast"/>
                          <w:ind w:left="4" w:right="6"/>
                          <w:rPr>
                            <w:sz w:val="3"/>
                          </w:rPr>
                        </w:pPr>
                        <w:r>
                          <w:rPr>
                            <w:w w:val="105"/>
                            <w:sz w:val="3"/>
                          </w:rPr>
                          <w:t>9; DEMIO; E 2000; E 2200; JINÉ; MPV; MX; PREMACY; RX; TRIBUTE; XEDOS 6; XEDOS 9</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182AA18" w14:textId="77777777" w:rsidR="00F65BCA" w:rsidRDefault="00F65BCA">
                        <w:pPr>
                          <w:pStyle w:val="TableParagraph"/>
                          <w:rPr>
                            <w:rFonts w:ascii="Calibri"/>
                            <w:sz w:val="2"/>
                          </w:rPr>
                        </w:pPr>
                      </w:p>
                      <w:p w14:paraId="4CC4232D"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B8641A1" w14:textId="77777777" w:rsidR="00F65BCA" w:rsidRDefault="00F65BCA">
                        <w:pPr>
                          <w:pStyle w:val="TableParagraph"/>
                          <w:rPr>
                            <w:rFonts w:ascii="Calibri"/>
                            <w:sz w:val="2"/>
                          </w:rPr>
                        </w:pPr>
                      </w:p>
                      <w:p w14:paraId="08906D85"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27C64B5A"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7D4592D5" w14:textId="77777777" w:rsidR="00F65BCA" w:rsidRDefault="00F65BCA">
                        <w:pPr>
                          <w:pStyle w:val="TableParagraph"/>
                          <w:rPr>
                            <w:rFonts w:ascii="Calibri"/>
                            <w:sz w:val="2"/>
                          </w:rPr>
                        </w:pPr>
                      </w:p>
                      <w:p w14:paraId="711EFF18"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4D2D3687" w14:textId="77777777" w:rsidR="00F65BCA" w:rsidRDefault="00F65BCA">
                        <w:pPr>
                          <w:pStyle w:val="TableParagraph"/>
                          <w:rPr>
                            <w:rFonts w:ascii="Calibri"/>
                            <w:sz w:val="2"/>
                          </w:rPr>
                        </w:pPr>
                      </w:p>
                      <w:p w14:paraId="5A91A7CB"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20DEECEA" w14:textId="77777777" w:rsidR="00F65BCA" w:rsidRDefault="00F65BCA">
                        <w:pPr>
                          <w:pStyle w:val="TableParagraph"/>
                          <w:rPr>
                            <w:rFonts w:ascii="Calibri"/>
                            <w:sz w:val="2"/>
                          </w:rPr>
                        </w:pPr>
                      </w:p>
                      <w:p w14:paraId="2333A281"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0EEDEC02" w14:textId="77777777" w:rsidR="00F65BCA" w:rsidRDefault="00F65BCA">
                        <w:pPr>
                          <w:pStyle w:val="TableParagraph"/>
                          <w:rPr>
                            <w:rFonts w:ascii="Calibri"/>
                            <w:sz w:val="2"/>
                          </w:rPr>
                        </w:pPr>
                      </w:p>
                      <w:p w14:paraId="5883C498"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5219DA14" w14:textId="77777777" w:rsidR="00F65BCA" w:rsidRDefault="00F65BCA">
                        <w:pPr>
                          <w:pStyle w:val="TableParagraph"/>
                          <w:rPr>
                            <w:rFonts w:ascii="Calibri"/>
                            <w:sz w:val="2"/>
                          </w:rPr>
                        </w:pPr>
                      </w:p>
                      <w:p w14:paraId="44D00975"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7C079F52" w14:textId="77777777" w:rsidR="00F65BCA" w:rsidRDefault="00F65BCA">
                        <w:pPr>
                          <w:pStyle w:val="TableParagraph"/>
                          <w:rPr>
                            <w:rFonts w:ascii="Calibri"/>
                            <w:sz w:val="2"/>
                          </w:rPr>
                        </w:pPr>
                      </w:p>
                      <w:p w14:paraId="4B781A7A"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599CA6BE" w14:textId="77777777" w:rsidR="00F65BCA" w:rsidRDefault="00F65BCA">
                        <w:pPr>
                          <w:pStyle w:val="TableParagraph"/>
                          <w:rPr>
                            <w:rFonts w:ascii="Calibri"/>
                            <w:sz w:val="2"/>
                          </w:rPr>
                        </w:pPr>
                      </w:p>
                      <w:p w14:paraId="69B59A7E"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76F4BAF2" w14:textId="77777777" w:rsidR="00F65BCA" w:rsidRDefault="00F65BCA">
                        <w:pPr>
                          <w:pStyle w:val="TableParagraph"/>
                          <w:rPr>
                            <w:rFonts w:ascii="Calibri"/>
                            <w:sz w:val="2"/>
                          </w:rPr>
                        </w:pPr>
                      </w:p>
                      <w:p w14:paraId="25B4DAB0"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263666AF" w14:textId="77777777" w:rsidR="00F65BCA" w:rsidRDefault="00F65BCA">
                        <w:pPr>
                          <w:pStyle w:val="TableParagraph"/>
                          <w:rPr>
                            <w:rFonts w:ascii="Calibri"/>
                            <w:sz w:val="2"/>
                          </w:rPr>
                        </w:pPr>
                      </w:p>
                      <w:p w14:paraId="100E0BC3"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05E5F68F" w14:textId="77777777" w:rsidR="00F65BCA" w:rsidRDefault="00F65BCA">
                        <w:pPr>
                          <w:pStyle w:val="TableParagraph"/>
                          <w:rPr>
                            <w:rFonts w:ascii="Calibri"/>
                            <w:sz w:val="2"/>
                          </w:rPr>
                        </w:pPr>
                      </w:p>
                      <w:p w14:paraId="623080B2"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79C62811" w14:textId="77777777" w:rsidR="00F65BCA" w:rsidRDefault="00F65BCA">
                        <w:pPr>
                          <w:pStyle w:val="TableParagraph"/>
                          <w:rPr>
                            <w:rFonts w:ascii="Calibri"/>
                            <w:sz w:val="2"/>
                          </w:rPr>
                        </w:pPr>
                      </w:p>
                      <w:p w14:paraId="41FC1A99"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7F953453" w14:textId="77777777" w:rsidR="00F65BCA" w:rsidRDefault="00F65BCA">
                        <w:pPr>
                          <w:pStyle w:val="TableParagraph"/>
                          <w:rPr>
                            <w:rFonts w:ascii="Calibri"/>
                            <w:sz w:val="2"/>
                          </w:rPr>
                        </w:pPr>
                      </w:p>
                      <w:p w14:paraId="1A053EB4"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56433E41" w14:textId="77777777" w:rsidR="00F65BCA" w:rsidRDefault="00F65BCA">
                        <w:pPr>
                          <w:pStyle w:val="TableParagraph"/>
                          <w:rPr>
                            <w:rFonts w:ascii="Calibri"/>
                            <w:sz w:val="2"/>
                          </w:rPr>
                        </w:pPr>
                      </w:p>
                      <w:p w14:paraId="6CB82CA9" w14:textId="77777777" w:rsidR="00F65BCA" w:rsidRDefault="00216117">
                        <w:pPr>
                          <w:pStyle w:val="TableParagraph"/>
                          <w:ind w:left="24" w:right="24"/>
                          <w:jc w:val="center"/>
                          <w:rPr>
                            <w:sz w:val="3"/>
                          </w:rPr>
                        </w:pPr>
                        <w:r>
                          <w:rPr>
                            <w:w w:val="105"/>
                            <w:sz w:val="3"/>
                          </w:rPr>
                          <w:t>1,07731026%</w:t>
                        </w:r>
                      </w:p>
                    </w:tc>
                  </w:tr>
                  <w:tr w:rsidR="00F65BCA" w14:paraId="2917EA74"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4F8448D5"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20EAE7FA"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6ED21811"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CF23180" w14:textId="77777777" w:rsidR="00F65BCA" w:rsidRDefault="00F65BCA">
                        <w:pPr>
                          <w:pStyle w:val="TableParagraph"/>
                          <w:rPr>
                            <w:rFonts w:ascii="Calibri"/>
                            <w:sz w:val="2"/>
                          </w:rPr>
                        </w:pPr>
                      </w:p>
                      <w:p w14:paraId="4261AF93"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8997D75" w14:textId="77777777" w:rsidR="00F65BCA" w:rsidRDefault="00F65BCA">
                        <w:pPr>
                          <w:pStyle w:val="TableParagraph"/>
                          <w:rPr>
                            <w:rFonts w:ascii="Calibri"/>
                            <w:sz w:val="2"/>
                          </w:rPr>
                        </w:pPr>
                      </w:p>
                      <w:p w14:paraId="736ED049"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D39781A"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0C179C1" w14:textId="77777777" w:rsidR="00F65BCA" w:rsidRDefault="00F65BCA">
                        <w:pPr>
                          <w:pStyle w:val="TableParagraph"/>
                          <w:rPr>
                            <w:rFonts w:ascii="Calibri"/>
                            <w:sz w:val="2"/>
                          </w:rPr>
                        </w:pPr>
                      </w:p>
                      <w:p w14:paraId="3968A1C7"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7E131FC3" w14:textId="77777777" w:rsidR="00F65BCA" w:rsidRDefault="00F65BCA">
                        <w:pPr>
                          <w:pStyle w:val="TableParagraph"/>
                          <w:rPr>
                            <w:rFonts w:ascii="Calibri"/>
                            <w:sz w:val="2"/>
                          </w:rPr>
                        </w:pPr>
                      </w:p>
                      <w:p w14:paraId="3EB67F31"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7A3A3E4F" w14:textId="77777777" w:rsidR="00F65BCA" w:rsidRDefault="00F65BCA">
                        <w:pPr>
                          <w:pStyle w:val="TableParagraph"/>
                          <w:rPr>
                            <w:rFonts w:ascii="Calibri"/>
                            <w:sz w:val="2"/>
                          </w:rPr>
                        </w:pPr>
                      </w:p>
                      <w:p w14:paraId="27754FCA"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5A82D238" w14:textId="77777777" w:rsidR="00F65BCA" w:rsidRDefault="00F65BCA">
                        <w:pPr>
                          <w:pStyle w:val="TableParagraph"/>
                          <w:rPr>
                            <w:rFonts w:ascii="Calibri"/>
                            <w:sz w:val="2"/>
                          </w:rPr>
                        </w:pPr>
                      </w:p>
                      <w:p w14:paraId="67C7A660"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146B0A0" w14:textId="77777777" w:rsidR="00F65BCA" w:rsidRDefault="00F65BCA">
                        <w:pPr>
                          <w:pStyle w:val="TableParagraph"/>
                          <w:rPr>
                            <w:rFonts w:ascii="Calibri"/>
                            <w:sz w:val="2"/>
                          </w:rPr>
                        </w:pPr>
                      </w:p>
                      <w:p w14:paraId="3FF2DEB7"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6356DE3B" w14:textId="77777777" w:rsidR="00F65BCA" w:rsidRDefault="00F65BCA">
                        <w:pPr>
                          <w:pStyle w:val="TableParagraph"/>
                          <w:rPr>
                            <w:rFonts w:ascii="Calibri"/>
                            <w:sz w:val="2"/>
                          </w:rPr>
                        </w:pPr>
                      </w:p>
                      <w:p w14:paraId="16986FC7"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7104DFCF" w14:textId="77777777" w:rsidR="00F65BCA" w:rsidRDefault="00F65BCA">
                        <w:pPr>
                          <w:pStyle w:val="TableParagraph"/>
                          <w:rPr>
                            <w:rFonts w:ascii="Calibri"/>
                            <w:sz w:val="2"/>
                          </w:rPr>
                        </w:pPr>
                      </w:p>
                      <w:p w14:paraId="630B0314"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38821246" w14:textId="77777777" w:rsidR="00F65BCA" w:rsidRDefault="00F65BCA">
                        <w:pPr>
                          <w:pStyle w:val="TableParagraph"/>
                          <w:rPr>
                            <w:rFonts w:ascii="Calibri"/>
                            <w:sz w:val="2"/>
                          </w:rPr>
                        </w:pPr>
                      </w:p>
                      <w:p w14:paraId="7103D281"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3AAF9F37" w14:textId="77777777" w:rsidR="00F65BCA" w:rsidRDefault="00F65BCA">
                        <w:pPr>
                          <w:pStyle w:val="TableParagraph"/>
                          <w:rPr>
                            <w:rFonts w:ascii="Calibri"/>
                            <w:sz w:val="2"/>
                          </w:rPr>
                        </w:pPr>
                      </w:p>
                      <w:p w14:paraId="7E7BE0A9"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7166B1DF" w14:textId="77777777" w:rsidR="00F65BCA" w:rsidRDefault="00F65BCA">
                        <w:pPr>
                          <w:pStyle w:val="TableParagraph"/>
                          <w:rPr>
                            <w:rFonts w:ascii="Calibri"/>
                            <w:sz w:val="2"/>
                          </w:rPr>
                        </w:pPr>
                      </w:p>
                      <w:p w14:paraId="0BC2A93B"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45E30198" w14:textId="77777777" w:rsidR="00F65BCA" w:rsidRDefault="00F65BCA">
                        <w:pPr>
                          <w:pStyle w:val="TableParagraph"/>
                          <w:rPr>
                            <w:rFonts w:ascii="Calibri"/>
                            <w:sz w:val="2"/>
                          </w:rPr>
                        </w:pPr>
                      </w:p>
                      <w:p w14:paraId="30C0F0CC"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4E28E02" w14:textId="77777777" w:rsidR="00F65BCA" w:rsidRDefault="00F65BCA">
                        <w:pPr>
                          <w:pStyle w:val="TableParagraph"/>
                          <w:rPr>
                            <w:rFonts w:ascii="Calibri"/>
                            <w:sz w:val="2"/>
                          </w:rPr>
                        </w:pPr>
                      </w:p>
                      <w:p w14:paraId="326EE301"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63077600" w14:textId="77777777" w:rsidR="00F65BCA" w:rsidRDefault="00F65BCA">
                        <w:pPr>
                          <w:pStyle w:val="TableParagraph"/>
                          <w:rPr>
                            <w:rFonts w:ascii="Calibri"/>
                            <w:sz w:val="2"/>
                          </w:rPr>
                        </w:pPr>
                      </w:p>
                      <w:p w14:paraId="3046D9A2" w14:textId="77777777" w:rsidR="00F65BCA" w:rsidRDefault="00216117">
                        <w:pPr>
                          <w:pStyle w:val="TableParagraph"/>
                          <w:ind w:left="24" w:right="24"/>
                          <w:jc w:val="center"/>
                          <w:rPr>
                            <w:sz w:val="3"/>
                          </w:rPr>
                        </w:pPr>
                        <w:r>
                          <w:rPr>
                            <w:w w:val="105"/>
                            <w:sz w:val="3"/>
                          </w:rPr>
                          <w:t>1,30139079%</w:t>
                        </w:r>
                      </w:p>
                    </w:tc>
                  </w:tr>
                  <w:tr w:rsidR="00F65BCA" w14:paraId="5B557526"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158A2C60"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70D5163F" w14:textId="77777777" w:rsidR="00F65BCA" w:rsidRDefault="00F65BCA">
                        <w:pPr>
                          <w:pStyle w:val="TableParagraph"/>
                          <w:rPr>
                            <w:rFonts w:ascii="Calibri"/>
                            <w:sz w:val="2"/>
                          </w:rPr>
                        </w:pPr>
                      </w:p>
                      <w:p w14:paraId="39C351A5" w14:textId="77777777" w:rsidR="00F65BCA" w:rsidRDefault="00F65BCA">
                        <w:pPr>
                          <w:pStyle w:val="TableParagraph"/>
                          <w:rPr>
                            <w:rFonts w:ascii="Calibri"/>
                            <w:sz w:val="2"/>
                          </w:rPr>
                        </w:pPr>
                      </w:p>
                      <w:p w14:paraId="151FEA01" w14:textId="77777777" w:rsidR="00F65BCA" w:rsidRDefault="00F65BCA">
                        <w:pPr>
                          <w:pStyle w:val="TableParagraph"/>
                          <w:rPr>
                            <w:rFonts w:ascii="Calibri"/>
                            <w:sz w:val="2"/>
                          </w:rPr>
                        </w:pPr>
                      </w:p>
                      <w:p w14:paraId="0460F1A6" w14:textId="77777777" w:rsidR="00F65BCA" w:rsidRDefault="00F65BCA">
                        <w:pPr>
                          <w:pStyle w:val="TableParagraph"/>
                          <w:rPr>
                            <w:rFonts w:ascii="Calibri"/>
                            <w:sz w:val="2"/>
                          </w:rPr>
                        </w:pPr>
                      </w:p>
                      <w:p w14:paraId="16231325" w14:textId="77777777" w:rsidR="00F65BCA" w:rsidRDefault="00F65BCA">
                        <w:pPr>
                          <w:pStyle w:val="TableParagraph"/>
                          <w:rPr>
                            <w:rFonts w:ascii="Calibri"/>
                            <w:sz w:val="2"/>
                          </w:rPr>
                        </w:pPr>
                      </w:p>
                      <w:p w14:paraId="5AA241DD" w14:textId="77777777" w:rsidR="00F65BCA" w:rsidRDefault="00F65BCA">
                        <w:pPr>
                          <w:pStyle w:val="TableParagraph"/>
                          <w:rPr>
                            <w:rFonts w:ascii="Calibri"/>
                            <w:sz w:val="2"/>
                          </w:rPr>
                        </w:pPr>
                      </w:p>
                      <w:p w14:paraId="1DC5A9CF" w14:textId="77777777" w:rsidR="00F65BCA" w:rsidRDefault="00F65BCA">
                        <w:pPr>
                          <w:pStyle w:val="TableParagraph"/>
                          <w:rPr>
                            <w:rFonts w:ascii="Calibri"/>
                            <w:sz w:val="2"/>
                          </w:rPr>
                        </w:pPr>
                      </w:p>
                      <w:p w14:paraId="43101A9A" w14:textId="77777777" w:rsidR="00F65BCA" w:rsidRDefault="00F65BCA">
                        <w:pPr>
                          <w:pStyle w:val="TableParagraph"/>
                          <w:rPr>
                            <w:rFonts w:ascii="Calibri"/>
                            <w:sz w:val="2"/>
                          </w:rPr>
                        </w:pPr>
                      </w:p>
                      <w:p w14:paraId="5BD96CD2" w14:textId="77777777" w:rsidR="00F65BCA" w:rsidRDefault="00F65BCA">
                        <w:pPr>
                          <w:pStyle w:val="TableParagraph"/>
                          <w:spacing w:before="7"/>
                          <w:rPr>
                            <w:rFonts w:ascii="Calibri"/>
                            <w:sz w:val="2"/>
                          </w:rPr>
                        </w:pPr>
                      </w:p>
                      <w:p w14:paraId="3F309D30" w14:textId="77777777" w:rsidR="00F65BCA" w:rsidRDefault="00216117">
                        <w:pPr>
                          <w:pStyle w:val="TableParagraph"/>
                          <w:ind w:left="18" w:right="16"/>
                          <w:jc w:val="center"/>
                          <w:rPr>
                            <w:sz w:val="3"/>
                          </w:rPr>
                        </w:pPr>
                        <w:r>
                          <w:rPr>
                            <w:w w:val="105"/>
                            <w:sz w:val="3"/>
                          </w:rPr>
                          <w:t>Mercedes</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470B1FAA" w14:textId="77777777" w:rsidR="00F65BCA" w:rsidRDefault="00F65BCA">
                        <w:pPr>
                          <w:pStyle w:val="TableParagraph"/>
                          <w:rPr>
                            <w:rFonts w:ascii="Calibri"/>
                            <w:sz w:val="2"/>
                          </w:rPr>
                        </w:pPr>
                      </w:p>
                      <w:p w14:paraId="10CAA5CF" w14:textId="77777777" w:rsidR="00F65BCA" w:rsidRDefault="00F65BCA">
                        <w:pPr>
                          <w:pStyle w:val="TableParagraph"/>
                          <w:rPr>
                            <w:rFonts w:ascii="Calibri"/>
                            <w:sz w:val="2"/>
                          </w:rPr>
                        </w:pPr>
                      </w:p>
                      <w:p w14:paraId="4947C300" w14:textId="77777777" w:rsidR="00F65BCA" w:rsidRDefault="00216117">
                        <w:pPr>
                          <w:pStyle w:val="TableParagraph"/>
                          <w:spacing w:before="17"/>
                          <w:ind w:left="4"/>
                          <w:rPr>
                            <w:sz w:val="3"/>
                          </w:rPr>
                        </w:pPr>
                        <w:r>
                          <w:rPr>
                            <w:w w:val="105"/>
                            <w:sz w:val="3"/>
                          </w:rPr>
                          <w:t>SPRINTER DO 3,5t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110B7CE" w14:textId="77777777" w:rsidR="00F65BCA" w:rsidRDefault="00F65BCA">
                        <w:pPr>
                          <w:pStyle w:val="TableParagraph"/>
                          <w:rPr>
                            <w:rFonts w:ascii="Calibri"/>
                            <w:sz w:val="2"/>
                          </w:rPr>
                        </w:pPr>
                      </w:p>
                      <w:p w14:paraId="59684DC0"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17B9884" w14:textId="77777777" w:rsidR="00F65BCA" w:rsidRDefault="00F65BCA">
                        <w:pPr>
                          <w:pStyle w:val="TableParagraph"/>
                          <w:rPr>
                            <w:rFonts w:ascii="Calibri"/>
                            <w:sz w:val="2"/>
                          </w:rPr>
                        </w:pPr>
                      </w:p>
                      <w:p w14:paraId="4D96CAA8"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2CE96C8B"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11F5DE5A" w14:textId="77777777" w:rsidR="00F65BCA" w:rsidRDefault="00F65BCA">
                        <w:pPr>
                          <w:pStyle w:val="TableParagraph"/>
                          <w:rPr>
                            <w:rFonts w:ascii="Calibri"/>
                            <w:sz w:val="2"/>
                          </w:rPr>
                        </w:pPr>
                      </w:p>
                      <w:p w14:paraId="205FCB9C"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1612D9E5" w14:textId="77777777" w:rsidR="00F65BCA" w:rsidRDefault="00F65BCA">
                        <w:pPr>
                          <w:pStyle w:val="TableParagraph"/>
                          <w:rPr>
                            <w:rFonts w:ascii="Calibri"/>
                            <w:sz w:val="2"/>
                          </w:rPr>
                        </w:pPr>
                      </w:p>
                      <w:p w14:paraId="6C3DDED6"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1C9A9DDF" w14:textId="77777777" w:rsidR="00F65BCA" w:rsidRDefault="00F65BCA">
                        <w:pPr>
                          <w:pStyle w:val="TableParagraph"/>
                          <w:rPr>
                            <w:rFonts w:ascii="Calibri"/>
                            <w:sz w:val="2"/>
                          </w:rPr>
                        </w:pPr>
                      </w:p>
                      <w:p w14:paraId="72A73DAA"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14F591CE" w14:textId="77777777" w:rsidR="00F65BCA" w:rsidRDefault="00F65BCA">
                        <w:pPr>
                          <w:pStyle w:val="TableParagraph"/>
                          <w:rPr>
                            <w:rFonts w:ascii="Calibri"/>
                            <w:sz w:val="2"/>
                          </w:rPr>
                        </w:pPr>
                      </w:p>
                      <w:p w14:paraId="2BE746CE"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629424CD" w14:textId="77777777" w:rsidR="00F65BCA" w:rsidRDefault="00F65BCA">
                        <w:pPr>
                          <w:pStyle w:val="TableParagraph"/>
                          <w:rPr>
                            <w:rFonts w:ascii="Calibri"/>
                            <w:sz w:val="2"/>
                          </w:rPr>
                        </w:pPr>
                      </w:p>
                      <w:p w14:paraId="6854AFC0"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13E74C71" w14:textId="77777777" w:rsidR="00F65BCA" w:rsidRDefault="00F65BCA">
                        <w:pPr>
                          <w:pStyle w:val="TableParagraph"/>
                          <w:rPr>
                            <w:rFonts w:ascii="Calibri"/>
                            <w:sz w:val="2"/>
                          </w:rPr>
                        </w:pPr>
                      </w:p>
                      <w:p w14:paraId="2B6C4FE9"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754274B5" w14:textId="77777777" w:rsidR="00F65BCA" w:rsidRDefault="00F65BCA">
                        <w:pPr>
                          <w:pStyle w:val="TableParagraph"/>
                          <w:rPr>
                            <w:rFonts w:ascii="Calibri"/>
                            <w:sz w:val="2"/>
                          </w:rPr>
                        </w:pPr>
                      </w:p>
                      <w:p w14:paraId="11844682"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1A919B5B" w14:textId="77777777" w:rsidR="00F65BCA" w:rsidRDefault="00F65BCA">
                        <w:pPr>
                          <w:pStyle w:val="TableParagraph"/>
                          <w:rPr>
                            <w:rFonts w:ascii="Calibri"/>
                            <w:sz w:val="2"/>
                          </w:rPr>
                        </w:pPr>
                      </w:p>
                      <w:p w14:paraId="5F01B964"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6032082B" w14:textId="77777777" w:rsidR="00F65BCA" w:rsidRDefault="00F65BCA">
                        <w:pPr>
                          <w:pStyle w:val="TableParagraph"/>
                          <w:rPr>
                            <w:rFonts w:ascii="Calibri"/>
                            <w:sz w:val="2"/>
                          </w:rPr>
                        </w:pPr>
                      </w:p>
                      <w:p w14:paraId="7A704776"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40728502" w14:textId="77777777" w:rsidR="00F65BCA" w:rsidRDefault="00F65BCA">
                        <w:pPr>
                          <w:pStyle w:val="TableParagraph"/>
                          <w:rPr>
                            <w:rFonts w:ascii="Calibri"/>
                            <w:sz w:val="2"/>
                          </w:rPr>
                        </w:pPr>
                      </w:p>
                      <w:p w14:paraId="04658369"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456EF2EA" w14:textId="77777777" w:rsidR="00F65BCA" w:rsidRDefault="00F65BCA">
                        <w:pPr>
                          <w:pStyle w:val="TableParagraph"/>
                          <w:rPr>
                            <w:rFonts w:ascii="Calibri"/>
                            <w:sz w:val="2"/>
                          </w:rPr>
                        </w:pPr>
                      </w:p>
                      <w:p w14:paraId="4C69D572"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132E5979" w14:textId="77777777" w:rsidR="00F65BCA" w:rsidRDefault="00F65BCA">
                        <w:pPr>
                          <w:pStyle w:val="TableParagraph"/>
                          <w:rPr>
                            <w:rFonts w:ascii="Calibri"/>
                            <w:sz w:val="2"/>
                          </w:rPr>
                        </w:pPr>
                      </w:p>
                      <w:p w14:paraId="742B2F60"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37C56D76" w14:textId="77777777" w:rsidR="00F65BCA" w:rsidRDefault="00F65BCA">
                        <w:pPr>
                          <w:pStyle w:val="TableParagraph"/>
                          <w:rPr>
                            <w:rFonts w:ascii="Calibri"/>
                            <w:sz w:val="2"/>
                          </w:rPr>
                        </w:pPr>
                      </w:p>
                      <w:p w14:paraId="2C051DD0" w14:textId="77777777" w:rsidR="00F65BCA" w:rsidRDefault="00216117">
                        <w:pPr>
                          <w:pStyle w:val="TableParagraph"/>
                          <w:ind w:left="24" w:right="24"/>
                          <w:jc w:val="center"/>
                          <w:rPr>
                            <w:sz w:val="3"/>
                          </w:rPr>
                        </w:pPr>
                        <w:r>
                          <w:rPr>
                            <w:w w:val="105"/>
                            <w:sz w:val="3"/>
                          </w:rPr>
                          <w:t>0,95940000%</w:t>
                        </w:r>
                      </w:p>
                    </w:tc>
                  </w:tr>
                  <w:tr w:rsidR="00F65BCA" w14:paraId="063B034B"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787C22AB"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4D4B0197"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5188E747"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C1D7E71" w14:textId="77777777" w:rsidR="00F65BCA" w:rsidRDefault="00F65BCA">
                        <w:pPr>
                          <w:pStyle w:val="TableParagraph"/>
                          <w:rPr>
                            <w:rFonts w:ascii="Calibri"/>
                            <w:sz w:val="2"/>
                          </w:rPr>
                        </w:pPr>
                      </w:p>
                      <w:p w14:paraId="62885AE3"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413AC41" w14:textId="77777777" w:rsidR="00F65BCA" w:rsidRDefault="00F65BCA">
                        <w:pPr>
                          <w:pStyle w:val="TableParagraph"/>
                          <w:rPr>
                            <w:rFonts w:ascii="Calibri"/>
                            <w:sz w:val="2"/>
                          </w:rPr>
                        </w:pPr>
                      </w:p>
                      <w:p w14:paraId="21C401C5"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784B955"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9C6D8C2" w14:textId="77777777" w:rsidR="00F65BCA" w:rsidRDefault="00F65BCA">
                        <w:pPr>
                          <w:pStyle w:val="TableParagraph"/>
                          <w:rPr>
                            <w:rFonts w:ascii="Calibri"/>
                            <w:sz w:val="2"/>
                          </w:rPr>
                        </w:pPr>
                      </w:p>
                      <w:p w14:paraId="1C764D17"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01783131" w14:textId="77777777" w:rsidR="00F65BCA" w:rsidRDefault="00F65BCA">
                        <w:pPr>
                          <w:pStyle w:val="TableParagraph"/>
                          <w:rPr>
                            <w:rFonts w:ascii="Calibri"/>
                            <w:sz w:val="2"/>
                          </w:rPr>
                        </w:pPr>
                      </w:p>
                      <w:p w14:paraId="7B03E35D"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5F365A53" w14:textId="77777777" w:rsidR="00F65BCA" w:rsidRDefault="00F65BCA">
                        <w:pPr>
                          <w:pStyle w:val="TableParagraph"/>
                          <w:rPr>
                            <w:rFonts w:ascii="Calibri"/>
                            <w:sz w:val="2"/>
                          </w:rPr>
                        </w:pPr>
                      </w:p>
                      <w:p w14:paraId="43340AFA"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3E95F715" w14:textId="77777777" w:rsidR="00F65BCA" w:rsidRDefault="00F65BCA">
                        <w:pPr>
                          <w:pStyle w:val="TableParagraph"/>
                          <w:rPr>
                            <w:rFonts w:ascii="Calibri"/>
                            <w:sz w:val="2"/>
                          </w:rPr>
                        </w:pPr>
                      </w:p>
                      <w:p w14:paraId="1A34A770"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7108401D" w14:textId="77777777" w:rsidR="00F65BCA" w:rsidRDefault="00F65BCA">
                        <w:pPr>
                          <w:pStyle w:val="TableParagraph"/>
                          <w:rPr>
                            <w:rFonts w:ascii="Calibri"/>
                            <w:sz w:val="2"/>
                          </w:rPr>
                        </w:pPr>
                      </w:p>
                      <w:p w14:paraId="64907CDD"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16130C85" w14:textId="77777777" w:rsidR="00F65BCA" w:rsidRDefault="00F65BCA">
                        <w:pPr>
                          <w:pStyle w:val="TableParagraph"/>
                          <w:rPr>
                            <w:rFonts w:ascii="Calibri"/>
                            <w:sz w:val="2"/>
                          </w:rPr>
                        </w:pPr>
                      </w:p>
                      <w:p w14:paraId="73D402CF"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277CBDC1" w14:textId="77777777" w:rsidR="00F65BCA" w:rsidRDefault="00F65BCA">
                        <w:pPr>
                          <w:pStyle w:val="TableParagraph"/>
                          <w:rPr>
                            <w:rFonts w:ascii="Calibri"/>
                            <w:sz w:val="2"/>
                          </w:rPr>
                        </w:pPr>
                      </w:p>
                      <w:p w14:paraId="77886702"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46E4A605" w14:textId="77777777" w:rsidR="00F65BCA" w:rsidRDefault="00F65BCA">
                        <w:pPr>
                          <w:pStyle w:val="TableParagraph"/>
                          <w:rPr>
                            <w:rFonts w:ascii="Calibri"/>
                            <w:sz w:val="2"/>
                          </w:rPr>
                        </w:pPr>
                      </w:p>
                      <w:p w14:paraId="4CC1F60B"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4808D0DF" w14:textId="77777777" w:rsidR="00F65BCA" w:rsidRDefault="00F65BCA">
                        <w:pPr>
                          <w:pStyle w:val="TableParagraph"/>
                          <w:rPr>
                            <w:rFonts w:ascii="Calibri"/>
                            <w:sz w:val="2"/>
                          </w:rPr>
                        </w:pPr>
                      </w:p>
                      <w:p w14:paraId="1541E2CA"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1BA628D1" w14:textId="77777777" w:rsidR="00F65BCA" w:rsidRDefault="00F65BCA">
                        <w:pPr>
                          <w:pStyle w:val="TableParagraph"/>
                          <w:rPr>
                            <w:rFonts w:ascii="Calibri"/>
                            <w:sz w:val="2"/>
                          </w:rPr>
                        </w:pPr>
                      </w:p>
                      <w:p w14:paraId="50788DB3"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3BE0F993" w14:textId="77777777" w:rsidR="00F65BCA" w:rsidRDefault="00F65BCA">
                        <w:pPr>
                          <w:pStyle w:val="TableParagraph"/>
                          <w:rPr>
                            <w:rFonts w:ascii="Calibri"/>
                            <w:sz w:val="2"/>
                          </w:rPr>
                        </w:pPr>
                      </w:p>
                      <w:p w14:paraId="40D3454F"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0416B76D" w14:textId="77777777" w:rsidR="00F65BCA" w:rsidRDefault="00F65BCA">
                        <w:pPr>
                          <w:pStyle w:val="TableParagraph"/>
                          <w:rPr>
                            <w:rFonts w:ascii="Calibri"/>
                            <w:sz w:val="2"/>
                          </w:rPr>
                        </w:pPr>
                      </w:p>
                      <w:p w14:paraId="76878E43"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49698CFC" w14:textId="77777777" w:rsidR="00F65BCA" w:rsidRDefault="00F65BCA">
                        <w:pPr>
                          <w:pStyle w:val="TableParagraph"/>
                          <w:rPr>
                            <w:rFonts w:ascii="Calibri"/>
                            <w:sz w:val="2"/>
                          </w:rPr>
                        </w:pPr>
                      </w:p>
                      <w:p w14:paraId="71528812" w14:textId="77777777" w:rsidR="00F65BCA" w:rsidRDefault="00216117">
                        <w:pPr>
                          <w:pStyle w:val="TableParagraph"/>
                          <w:ind w:left="24" w:right="24"/>
                          <w:jc w:val="center"/>
                          <w:rPr>
                            <w:sz w:val="3"/>
                          </w:rPr>
                        </w:pPr>
                        <w:r>
                          <w:rPr>
                            <w:w w:val="105"/>
                            <w:sz w:val="3"/>
                          </w:rPr>
                          <w:t>1,15895520%</w:t>
                        </w:r>
                      </w:p>
                    </w:tc>
                  </w:tr>
                  <w:tr w:rsidR="00F65BCA" w14:paraId="3B9F6E8A" w14:textId="77777777">
                    <w:trPr>
                      <w:trHeight w:val="155"/>
                    </w:trPr>
                    <w:tc>
                      <w:tcPr>
                        <w:tcW w:w="526" w:type="dxa"/>
                        <w:vMerge/>
                        <w:tcBorders>
                          <w:top w:val="nil"/>
                          <w:left w:val="single" w:sz="2" w:space="0" w:color="000000"/>
                          <w:bottom w:val="single" w:sz="2" w:space="0" w:color="000000"/>
                          <w:right w:val="single" w:sz="2" w:space="0" w:color="000000"/>
                        </w:tcBorders>
                        <w:shd w:val="clear" w:color="auto" w:fill="FCE4D6"/>
                      </w:tcPr>
                      <w:p w14:paraId="20FA0554"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32AB1A05"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911F5A0" w14:textId="77777777" w:rsidR="00F65BCA" w:rsidRDefault="00F65BCA">
                        <w:pPr>
                          <w:pStyle w:val="TableParagraph"/>
                          <w:rPr>
                            <w:rFonts w:ascii="Calibri"/>
                            <w:sz w:val="2"/>
                          </w:rPr>
                        </w:pPr>
                      </w:p>
                      <w:p w14:paraId="7108E3B9" w14:textId="77777777" w:rsidR="00F65BCA" w:rsidRDefault="00216117">
                        <w:pPr>
                          <w:pStyle w:val="TableParagraph"/>
                          <w:spacing w:before="13" w:line="283" w:lineRule="auto"/>
                          <w:ind w:left="4" w:right="-6"/>
                          <w:rPr>
                            <w:sz w:val="3"/>
                          </w:rPr>
                        </w:pPr>
                        <w:r>
                          <w:rPr>
                            <w:w w:val="105"/>
                            <w:sz w:val="3"/>
                          </w:rPr>
                          <w:t>C</w:t>
                        </w:r>
                        <w:r>
                          <w:rPr>
                            <w:spacing w:val="-4"/>
                            <w:w w:val="105"/>
                            <w:sz w:val="3"/>
                          </w:rPr>
                          <w:t xml:space="preserve"> </w:t>
                        </w:r>
                        <w:r>
                          <w:rPr>
                            <w:w w:val="105"/>
                            <w:sz w:val="3"/>
                          </w:rPr>
                          <w:t>220;</w:t>
                        </w:r>
                        <w:r>
                          <w:rPr>
                            <w:spacing w:val="-2"/>
                            <w:w w:val="105"/>
                            <w:sz w:val="3"/>
                          </w:rPr>
                          <w:t xml:space="preserve"> </w:t>
                        </w:r>
                        <w:r>
                          <w:rPr>
                            <w:w w:val="105"/>
                            <w:sz w:val="3"/>
                          </w:rPr>
                          <w:t>CITAN;</w:t>
                        </w:r>
                        <w:r>
                          <w:rPr>
                            <w:spacing w:val="-2"/>
                            <w:w w:val="105"/>
                            <w:sz w:val="3"/>
                          </w:rPr>
                          <w:t xml:space="preserve"> </w:t>
                        </w:r>
                        <w:r>
                          <w:rPr>
                            <w:w w:val="105"/>
                            <w:sz w:val="3"/>
                          </w:rPr>
                          <w:t>JINÉ;</w:t>
                        </w:r>
                        <w:r>
                          <w:rPr>
                            <w:spacing w:val="-2"/>
                            <w:w w:val="105"/>
                            <w:sz w:val="3"/>
                          </w:rPr>
                          <w:t xml:space="preserve"> </w:t>
                        </w:r>
                        <w:r>
                          <w:rPr>
                            <w:w w:val="105"/>
                            <w:sz w:val="3"/>
                          </w:rPr>
                          <w:t>MARCO</w:t>
                        </w:r>
                        <w:r>
                          <w:rPr>
                            <w:spacing w:val="-3"/>
                            <w:w w:val="105"/>
                            <w:sz w:val="3"/>
                          </w:rPr>
                          <w:t xml:space="preserve"> </w:t>
                        </w:r>
                        <w:r>
                          <w:rPr>
                            <w:w w:val="105"/>
                            <w:sz w:val="3"/>
                          </w:rPr>
                          <w:t>POLO;</w:t>
                        </w:r>
                        <w:r>
                          <w:rPr>
                            <w:spacing w:val="-2"/>
                            <w:w w:val="105"/>
                            <w:sz w:val="3"/>
                          </w:rPr>
                          <w:t xml:space="preserve"> </w:t>
                        </w:r>
                        <w:r>
                          <w:rPr>
                            <w:w w:val="105"/>
                            <w:sz w:val="3"/>
                          </w:rPr>
                          <w:t>TŘÍDA</w:t>
                        </w:r>
                        <w:r>
                          <w:rPr>
                            <w:spacing w:val="-2"/>
                            <w:w w:val="105"/>
                            <w:sz w:val="3"/>
                          </w:rPr>
                          <w:t xml:space="preserve"> </w:t>
                        </w:r>
                        <w:r>
                          <w:rPr>
                            <w:w w:val="105"/>
                            <w:sz w:val="3"/>
                          </w:rPr>
                          <w:t>A;</w:t>
                        </w:r>
                        <w:r>
                          <w:rPr>
                            <w:spacing w:val="-2"/>
                            <w:w w:val="105"/>
                            <w:sz w:val="3"/>
                          </w:rPr>
                          <w:t xml:space="preserve"> </w:t>
                        </w:r>
                        <w:r>
                          <w:rPr>
                            <w:w w:val="105"/>
                            <w:sz w:val="3"/>
                          </w:rPr>
                          <w:t>TŘÍDA</w:t>
                        </w:r>
                        <w:r>
                          <w:rPr>
                            <w:spacing w:val="-2"/>
                            <w:w w:val="105"/>
                            <w:sz w:val="3"/>
                          </w:rPr>
                          <w:t xml:space="preserve"> </w:t>
                        </w:r>
                        <w:r>
                          <w:rPr>
                            <w:w w:val="105"/>
                            <w:sz w:val="3"/>
                          </w:rPr>
                          <w:t>B;</w:t>
                        </w:r>
                        <w:r>
                          <w:rPr>
                            <w:spacing w:val="-2"/>
                            <w:w w:val="105"/>
                            <w:sz w:val="3"/>
                          </w:rPr>
                          <w:t xml:space="preserve"> </w:t>
                        </w:r>
                        <w:r>
                          <w:rPr>
                            <w:w w:val="105"/>
                            <w:sz w:val="3"/>
                          </w:rPr>
                          <w:t>TŘÍDA</w:t>
                        </w:r>
                        <w:r>
                          <w:rPr>
                            <w:spacing w:val="-2"/>
                            <w:w w:val="105"/>
                            <w:sz w:val="3"/>
                          </w:rPr>
                          <w:t xml:space="preserve"> </w:t>
                        </w:r>
                        <w:r>
                          <w:rPr>
                            <w:w w:val="105"/>
                            <w:sz w:val="3"/>
                          </w:rPr>
                          <w:t>C; TŘÍDA CL; TŘÍDA CLA; TŘÍDA CLC; TŘÍDA CLK; TŘÍDA CLS; TŘÍDA E; TŘÍDA G; TŘÍDA GL; TŘÍDA GLA; TŘÍDA GLC; TŘÍDA GLE; TŘÍDA GLK; TŘÍDA GLS; TŘÍDA GLX; TŘÍDA GT; TŘÍDA M; TŘÍDA</w:t>
                        </w:r>
                        <w:r>
                          <w:rPr>
                            <w:spacing w:val="-3"/>
                            <w:w w:val="105"/>
                            <w:sz w:val="3"/>
                          </w:rPr>
                          <w:t xml:space="preserve"> </w:t>
                        </w:r>
                        <w:r>
                          <w:rPr>
                            <w:w w:val="105"/>
                            <w:sz w:val="3"/>
                          </w:rPr>
                          <w:t>R;</w:t>
                        </w:r>
                        <w:r>
                          <w:rPr>
                            <w:spacing w:val="-3"/>
                            <w:w w:val="105"/>
                            <w:sz w:val="3"/>
                          </w:rPr>
                          <w:t xml:space="preserve"> </w:t>
                        </w:r>
                        <w:r>
                          <w:rPr>
                            <w:w w:val="105"/>
                            <w:sz w:val="3"/>
                          </w:rPr>
                          <w:t>TŘÍDA</w:t>
                        </w:r>
                        <w:r>
                          <w:rPr>
                            <w:spacing w:val="-2"/>
                            <w:w w:val="105"/>
                            <w:sz w:val="3"/>
                          </w:rPr>
                          <w:t xml:space="preserve"> </w:t>
                        </w:r>
                        <w:r>
                          <w:rPr>
                            <w:w w:val="105"/>
                            <w:sz w:val="3"/>
                          </w:rPr>
                          <w:t>S;</w:t>
                        </w:r>
                        <w:r>
                          <w:rPr>
                            <w:spacing w:val="-3"/>
                            <w:w w:val="105"/>
                            <w:sz w:val="3"/>
                          </w:rPr>
                          <w:t xml:space="preserve"> </w:t>
                        </w:r>
                        <w:r>
                          <w:rPr>
                            <w:w w:val="105"/>
                            <w:sz w:val="3"/>
                          </w:rPr>
                          <w:t>TŘÍDA</w:t>
                        </w:r>
                        <w:r>
                          <w:rPr>
                            <w:spacing w:val="-3"/>
                            <w:w w:val="105"/>
                            <w:sz w:val="3"/>
                          </w:rPr>
                          <w:t xml:space="preserve"> </w:t>
                        </w:r>
                        <w:r>
                          <w:rPr>
                            <w:w w:val="105"/>
                            <w:sz w:val="3"/>
                          </w:rPr>
                          <w:t>SE;</w:t>
                        </w:r>
                        <w:r>
                          <w:rPr>
                            <w:spacing w:val="-2"/>
                            <w:w w:val="105"/>
                            <w:sz w:val="3"/>
                          </w:rPr>
                          <w:t xml:space="preserve"> </w:t>
                        </w:r>
                        <w:r>
                          <w:rPr>
                            <w:w w:val="105"/>
                            <w:sz w:val="3"/>
                          </w:rPr>
                          <w:t>TŘÍDA</w:t>
                        </w:r>
                        <w:r>
                          <w:rPr>
                            <w:spacing w:val="-3"/>
                            <w:w w:val="105"/>
                            <w:sz w:val="3"/>
                          </w:rPr>
                          <w:t xml:space="preserve"> </w:t>
                        </w:r>
                        <w:r>
                          <w:rPr>
                            <w:w w:val="105"/>
                            <w:sz w:val="3"/>
                          </w:rPr>
                          <w:t>SEC;</w:t>
                        </w:r>
                        <w:r>
                          <w:rPr>
                            <w:spacing w:val="-3"/>
                            <w:w w:val="105"/>
                            <w:sz w:val="3"/>
                          </w:rPr>
                          <w:t xml:space="preserve"> </w:t>
                        </w:r>
                        <w:r>
                          <w:rPr>
                            <w:w w:val="105"/>
                            <w:sz w:val="3"/>
                          </w:rPr>
                          <w:t>TŘÍDA</w:t>
                        </w:r>
                        <w:r>
                          <w:rPr>
                            <w:spacing w:val="-2"/>
                            <w:w w:val="105"/>
                            <w:sz w:val="3"/>
                          </w:rPr>
                          <w:t xml:space="preserve"> </w:t>
                        </w:r>
                        <w:r>
                          <w:rPr>
                            <w:w w:val="105"/>
                            <w:sz w:val="3"/>
                          </w:rPr>
                          <w:t>SL;</w:t>
                        </w:r>
                        <w:r>
                          <w:rPr>
                            <w:spacing w:val="-3"/>
                            <w:w w:val="105"/>
                            <w:sz w:val="3"/>
                          </w:rPr>
                          <w:t xml:space="preserve"> </w:t>
                        </w:r>
                        <w:r>
                          <w:rPr>
                            <w:w w:val="105"/>
                            <w:sz w:val="3"/>
                          </w:rPr>
                          <w:t>TŘÍDA</w:t>
                        </w:r>
                        <w:r>
                          <w:rPr>
                            <w:spacing w:val="-3"/>
                            <w:w w:val="105"/>
                            <w:sz w:val="3"/>
                          </w:rPr>
                          <w:t xml:space="preserve"> </w:t>
                        </w:r>
                        <w:r>
                          <w:rPr>
                            <w:w w:val="105"/>
                            <w:sz w:val="3"/>
                          </w:rPr>
                          <w:t>SLK; TŘÍDA</w:t>
                        </w:r>
                        <w:r>
                          <w:rPr>
                            <w:spacing w:val="-3"/>
                            <w:w w:val="105"/>
                            <w:sz w:val="3"/>
                          </w:rPr>
                          <w:t xml:space="preserve"> </w:t>
                        </w:r>
                        <w:r>
                          <w:rPr>
                            <w:w w:val="105"/>
                            <w:sz w:val="3"/>
                          </w:rPr>
                          <w:t>SLR;</w:t>
                        </w:r>
                        <w:r>
                          <w:rPr>
                            <w:spacing w:val="-3"/>
                            <w:w w:val="105"/>
                            <w:sz w:val="3"/>
                          </w:rPr>
                          <w:t xml:space="preserve"> </w:t>
                        </w:r>
                        <w:r>
                          <w:rPr>
                            <w:w w:val="105"/>
                            <w:sz w:val="3"/>
                          </w:rPr>
                          <w:t>TŘÍDA</w:t>
                        </w:r>
                        <w:r>
                          <w:rPr>
                            <w:spacing w:val="-3"/>
                            <w:w w:val="105"/>
                            <w:sz w:val="3"/>
                          </w:rPr>
                          <w:t xml:space="preserve"> </w:t>
                        </w:r>
                        <w:r>
                          <w:rPr>
                            <w:w w:val="105"/>
                            <w:sz w:val="3"/>
                          </w:rPr>
                          <w:t>SLS;</w:t>
                        </w:r>
                        <w:r>
                          <w:rPr>
                            <w:spacing w:val="-3"/>
                            <w:w w:val="105"/>
                            <w:sz w:val="3"/>
                          </w:rPr>
                          <w:t xml:space="preserve"> </w:t>
                        </w:r>
                        <w:r>
                          <w:rPr>
                            <w:w w:val="105"/>
                            <w:sz w:val="3"/>
                          </w:rPr>
                          <w:t>TŘÍDA</w:t>
                        </w:r>
                        <w:r>
                          <w:rPr>
                            <w:spacing w:val="-3"/>
                            <w:w w:val="105"/>
                            <w:sz w:val="3"/>
                          </w:rPr>
                          <w:t xml:space="preserve"> </w:t>
                        </w:r>
                        <w:r>
                          <w:rPr>
                            <w:w w:val="105"/>
                            <w:sz w:val="3"/>
                          </w:rPr>
                          <w:t>V;</w:t>
                        </w:r>
                        <w:r>
                          <w:rPr>
                            <w:spacing w:val="-3"/>
                            <w:w w:val="105"/>
                            <w:sz w:val="3"/>
                          </w:rPr>
                          <w:t xml:space="preserve"> </w:t>
                        </w:r>
                        <w:r>
                          <w:rPr>
                            <w:w w:val="105"/>
                            <w:sz w:val="3"/>
                          </w:rPr>
                          <w:t>TŘÍDA</w:t>
                        </w:r>
                        <w:r>
                          <w:rPr>
                            <w:spacing w:val="-3"/>
                            <w:w w:val="105"/>
                            <w:sz w:val="3"/>
                          </w:rPr>
                          <w:t xml:space="preserve"> </w:t>
                        </w:r>
                        <w:r>
                          <w:rPr>
                            <w:w w:val="105"/>
                            <w:sz w:val="3"/>
                          </w:rPr>
                          <w:t>X;</w:t>
                        </w:r>
                        <w:r>
                          <w:rPr>
                            <w:spacing w:val="-3"/>
                            <w:w w:val="105"/>
                            <w:sz w:val="3"/>
                          </w:rPr>
                          <w:t xml:space="preserve"> </w:t>
                        </w:r>
                        <w:r>
                          <w:rPr>
                            <w:w w:val="105"/>
                            <w:sz w:val="3"/>
                          </w:rPr>
                          <w:t>VANEO;</w:t>
                        </w:r>
                        <w:r>
                          <w:rPr>
                            <w:spacing w:val="-3"/>
                            <w:w w:val="105"/>
                            <w:sz w:val="3"/>
                          </w:rPr>
                          <w:t xml:space="preserve"> </w:t>
                        </w:r>
                        <w:r>
                          <w:rPr>
                            <w:w w:val="105"/>
                            <w:sz w:val="3"/>
                          </w:rPr>
                          <w:t>VIANO;</w:t>
                        </w:r>
                        <w:r>
                          <w:rPr>
                            <w:spacing w:val="-2"/>
                            <w:w w:val="105"/>
                            <w:sz w:val="3"/>
                          </w:rPr>
                          <w:t xml:space="preserve"> </w:t>
                        </w:r>
                        <w:r>
                          <w:rPr>
                            <w:w w:val="105"/>
                            <w:sz w:val="3"/>
                          </w:rPr>
                          <w:t>VITO</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D151FEC" w14:textId="77777777" w:rsidR="00F65BCA" w:rsidRDefault="00F65BCA">
                        <w:pPr>
                          <w:pStyle w:val="TableParagraph"/>
                          <w:rPr>
                            <w:rFonts w:ascii="Calibri"/>
                            <w:sz w:val="2"/>
                          </w:rPr>
                        </w:pPr>
                      </w:p>
                      <w:p w14:paraId="2E769A58" w14:textId="77777777" w:rsidR="00F65BCA" w:rsidRDefault="00F65BCA">
                        <w:pPr>
                          <w:pStyle w:val="TableParagraph"/>
                          <w:rPr>
                            <w:rFonts w:ascii="Calibri"/>
                            <w:sz w:val="2"/>
                          </w:rPr>
                        </w:pPr>
                      </w:p>
                      <w:p w14:paraId="170BF451" w14:textId="77777777" w:rsidR="00F65BCA" w:rsidRDefault="00216117">
                        <w:pPr>
                          <w:pStyle w:val="TableParagraph"/>
                          <w:spacing w:before="13"/>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0A892CE" w14:textId="77777777" w:rsidR="00F65BCA" w:rsidRDefault="00F65BCA">
                        <w:pPr>
                          <w:pStyle w:val="TableParagraph"/>
                          <w:rPr>
                            <w:rFonts w:ascii="Calibri"/>
                            <w:sz w:val="2"/>
                          </w:rPr>
                        </w:pPr>
                      </w:p>
                      <w:p w14:paraId="1E14B856" w14:textId="77777777" w:rsidR="00F65BCA" w:rsidRDefault="00F65BCA">
                        <w:pPr>
                          <w:pStyle w:val="TableParagraph"/>
                          <w:rPr>
                            <w:rFonts w:ascii="Calibri"/>
                            <w:sz w:val="2"/>
                          </w:rPr>
                        </w:pPr>
                      </w:p>
                      <w:p w14:paraId="1BF08A5E" w14:textId="77777777" w:rsidR="00F65BCA" w:rsidRDefault="00216117">
                        <w:pPr>
                          <w:pStyle w:val="TableParagraph"/>
                          <w:spacing w:before="13"/>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5F90ACB"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E1FF4FF" w14:textId="77777777" w:rsidR="00F65BCA" w:rsidRDefault="00F65BCA">
                        <w:pPr>
                          <w:pStyle w:val="TableParagraph"/>
                          <w:rPr>
                            <w:rFonts w:ascii="Calibri"/>
                            <w:sz w:val="2"/>
                          </w:rPr>
                        </w:pPr>
                      </w:p>
                      <w:p w14:paraId="5B06C02A" w14:textId="77777777" w:rsidR="00F65BCA" w:rsidRDefault="00F65BCA">
                        <w:pPr>
                          <w:pStyle w:val="TableParagraph"/>
                          <w:rPr>
                            <w:rFonts w:ascii="Calibri"/>
                            <w:sz w:val="2"/>
                          </w:rPr>
                        </w:pPr>
                      </w:p>
                      <w:p w14:paraId="2D06E9E5" w14:textId="77777777" w:rsidR="00F65BCA" w:rsidRDefault="00216117">
                        <w:pPr>
                          <w:pStyle w:val="TableParagraph"/>
                          <w:spacing w:before="13"/>
                          <w:ind w:left="24" w:right="24"/>
                          <w:jc w:val="center"/>
                          <w:rPr>
                            <w:sz w:val="3"/>
                          </w:rPr>
                        </w:pPr>
                        <w:r>
                          <w:rPr>
                            <w:w w:val="105"/>
                            <w:sz w:val="3"/>
                          </w:rPr>
                          <w:t>1,79088000%</w:t>
                        </w:r>
                      </w:p>
                    </w:tc>
                    <w:tc>
                      <w:tcPr>
                        <w:tcW w:w="288" w:type="dxa"/>
                        <w:tcBorders>
                          <w:top w:val="single" w:sz="2" w:space="0" w:color="000000"/>
                          <w:left w:val="single" w:sz="2" w:space="0" w:color="000000"/>
                          <w:bottom w:val="single" w:sz="2" w:space="0" w:color="000000"/>
                          <w:right w:val="single" w:sz="2" w:space="0" w:color="000000"/>
                        </w:tcBorders>
                      </w:tcPr>
                      <w:p w14:paraId="7D47B979" w14:textId="77777777" w:rsidR="00F65BCA" w:rsidRDefault="00F65BCA">
                        <w:pPr>
                          <w:pStyle w:val="TableParagraph"/>
                          <w:rPr>
                            <w:rFonts w:ascii="Calibri"/>
                            <w:sz w:val="2"/>
                          </w:rPr>
                        </w:pPr>
                      </w:p>
                      <w:p w14:paraId="43A35B81" w14:textId="77777777" w:rsidR="00F65BCA" w:rsidRDefault="00F65BCA">
                        <w:pPr>
                          <w:pStyle w:val="TableParagraph"/>
                          <w:rPr>
                            <w:rFonts w:ascii="Calibri"/>
                            <w:sz w:val="2"/>
                          </w:rPr>
                        </w:pPr>
                      </w:p>
                      <w:p w14:paraId="6CFA4A23" w14:textId="77777777" w:rsidR="00F65BCA" w:rsidRDefault="00216117">
                        <w:pPr>
                          <w:pStyle w:val="TableParagraph"/>
                          <w:spacing w:before="13"/>
                          <w:ind w:left="24" w:right="24"/>
                          <w:jc w:val="center"/>
                          <w:rPr>
                            <w:sz w:val="3"/>
                          </w:rPr>
                        </w:pPr>
                        <w:r>
                          <w:rPr>
                            <w:w w:val="105"/>
                            <w:sz w:val="3"/>
                          </w:rPr>
                          <w:t>1,67895000%</w:t>
                        </w:r>
                      </w:p>
                    </w:tc>
                    <w:tc>
                      <w:tcPr>
                        <w:tcW w:w="288" w:type="dxa"/>
                        <w:tcBorders>
                          <w:top w:val="single" w:sz="2" w:space="0" w:color="000000"/>
                          <w:left w:val="single" w:sz="2" w:space="0" w:color="000000"/>
                          <w:bottom w:val="single" w:sz="2" w:space="0" w:color="000000"/>
                          <w:right w:val="single" w:sz="2" w:space="0" w:color="000000"/>
                        </w:tcBorders>
                      </w:tcPr>
                      <w:p w14:paraId="58FB1E98" w14:textId="77777777" w:rsidR="00F65BCA" w:rsidRDefault="00F65BCA">
                        <w:pPr>
                          <w:pStyle w:val="TableParagraph"/>
                          <w:rPr>
                            <w:rFonts w:ascii="Calibri"/>
                            <w:sz w:val="2"/>
                          </w:rPr>
                        </w:pPr>
                      </w:p>
                      <w:p w14:paraId="34D18D0E" w14:textId="77777777" w:rsidR="00F65BCA" w:rsidRDefault="00F65BCA">
                        <w:pPr>
                          <w:pStyle w:val="TableParagraph"/>
                          <w:rPr>
                            <w:rFonts w:ascii="Calibri"/>
                            <w:sz w:val="2"/>
                          </w:rPr>
                        </w:pPr>
                      </w:p>
                      <w:p w14:paraId="661D11C6" w14:textId="77777777" w:rsidR="00F65BCA" w:rsidRDefault="00216117">
                        <w:pPr>
                          <w:pStyle w:val="TableParagraph"/>
                          <w:spacing w:before="13"/>
                          <w:ind w:left="24" w:right="24"/>
                          <w:jc w:val="center"/>
                          <w:rPr>
                            <w:sz w:val="3"/>
                          </w:rPr>
                        </w:pPr>
                        <w:r>
                          <w:rPr>
                            <w:w w:val="105"/>
                            <w:sz w:val="3"/>
                          </w:rPr>
                          <w:t>1,60059900%</w:t>
                        </w:r>
                      </w:p>
                    </w:tc>
                    <w:tc>
                      <w:tcPr>
                        <w:tcW w:w="288" w:type="dxa"/>
                        <w:tcBorders>
                          <w:top w:val="single" w:sz="2" w:space="0" w:color="000000"/>
                          <w:left w:val="single" w:sz="2" w:space="0" w:color="000000"/>
                          <w:bottom w:val="single" w:sz="2" w:space="0" w:color="000000"/>
                          <w:right w:val="single" w:sz="2" w:space="0" w:color="000000"/>
                        </w:tcBorders>
                      </w:tcPr>
                      <w:p w14:paraId="043FC1E8" w14:textId="77777777" w:rsidR="00F65BCA" w:rsidRDefault="00F65BCA">
                        <w:pPr>
                          <w:pStyle w:val="TableParagraph"/>
                          <w:rPr>
                            <w:rFonts w:ascii="Calibri"/>
                            <w:sz w:val="2"/>
                          </w:rPr>
                        </w:pPr>
                      </w:p>
                      <w:p w14:paraId="1CFEA71E" w14:textId="77777777" w:rsidR="00F65BCA" w:rsidRDefault="00F65BCA">
                        <w:pPr>
                          <w:pStyle w:val="TableParagraph"/>
                          <w:rPr>
                            <w:rFonts w:ascii="Calibri"/>
                            <w:sz w:val="2"/>
                          </w:rPr>
                        </w:pPr>
                      </w:p>
                      <w:p w14:paraId="705DE876" w14:textId="77777777" w:rsidR="00F65BCA" w:rsidRDefault="00216117">
                        <w:pPr>
                          <w:pStyle w:val="TableParagraph"/>
                          <w:spacing w:before="13"/>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5DABEA68" w14:textId="77777777" w:rsidR="00F65BCA" w:rsidRDefault="00F65BCA">
                        <w:pPr>
                          <w:pStyle w:val="TableParagraph"/>
                          <w:rPr>
                            <w:rFonts w:ascii="Calibri"/>
                            <w:sz w:val="2"/>
                          </w:rPr>
                        </w:pPr>
                      </w:p>
                      <w:p w14:paraId="274C7538" w14:textId="77777777" w:rsidR="00F65BCA" w:rsidRDefault="00F65BCA">
                        <w:pPr>
                          <w:pStyle w:val="TableParagraph"/>
                          <w:rPr>
                            <w:rFonts w:ascii="Calibri"/>
                            <w:sz w:val="2"/>
                          </w:rPr>
                        </w:pPr>
                      </w:p>
                      <w:p w14:paraId="3B39AC3A" w14:textId="77777777" w:rsidR="00F65BCA" w:rsidRDefault="00216117">
                        <w:pPr>
                          <w:pStyle w:val="TableParagraph"/>
                          <w:spacing w:before="13"/>
                          <w:ind w:left="24" w:right="24"/>
                          <w:jc w:val="center"/>
                          <w:rPr>
                            <w:sz w:val="3"/>
                          </w:rPr>
                        </w:pPr>
                        <w:r>
                          <w:rPr>
                            <w:w w:val="105"/>
                            <w:sz w:val="3"/>
                          </w:rPr>
                          <w:t>1,43270400%</w:t>
                        </w:r>
                      </w:p>
                    </w:tc>
                    <w:tc>
                      <w:tcPr>
                        <w:tcW w:w="288" w:type="dxa"/>
                        <w:tcBorders>
                          <w:top w:val="single" w:sz="2" w:space="0" w:color="000000"/>
                          <w:left w:val="single" w:sz="2" w:space="0" w:color="000000"/>
                          <w:bottom w:val="single" w:sz="2" w:space="0" w:color="000000"/>
                          <w:right w:val="single" w:sz="2" w:space="0" w:color="000000"/>
                        </w:tcBorders>
                      </w:tcPr>
                      <w:p w14:paraId="2E910078" w14:textId="77777777" w:rsidR="00F65BCA" w:rsidRDefault="00F65BCA">
                        <w:pPr>
                          <w:pStyle w:val="TableParagraph"/>
                          <w:rPr>
                            <w:rFonts w:ascii="Calibri"/>
                            <w:sz w:val="2"/>
                          </w:rPr>
                        </w:pPr>
                      </w:p>
                      <w:p w14:paraId="0BCBB571" w14:textId="77777777" w:rsidR="00F65BCA" w:rsidRDefault="00F65BCA">
                        <w:pPr>
                          <w:pStyle w:val="TableParagraph"/>
                          <w:rPr>
                            <w:rFonts w:ascii="Calibri"/>
                            <w:sz w:val="2"/>
                          </w:rPr>
                        </w:pPr>
                      </w:p>
                      <w:p w14:paraId="20FC6C38" w14:textId="77777777" w:rsidR="00F65BCA" w:rsidRDefault="00216117">
                        <w:pPr>
                          <w:pStyle w:val="TableParagraph"/>
                          <w:spacing w:before="13"/>
                          <w:ind w:left="24" w:right="24"/>
                          <w:jc w:val="center"/>
                          <w:rPr>
                            <w:sz w:val="3"/>
                          </w:rPr>
                        </w:pPr>
                        <w:r>
                          <w:rPr>
                            <w:w w:val="105"/>
                            <w:sz w:val="3"/>
                          </w:rPr>
                          <w:t>1,33196700%</w:t>
                        </w:r>
                      </w:p>
                    </w:tc>
                    <w:tc>
                      <w:tcPr>
                        <w:tcW w:w="288" w:type="dxa"/>
                        <w:tcBorders>
                          <w:top w:val="single" w:sz="2" w:space="0" w:color="000000"/>
                          <w:left w:val="single" w:sz="2" w:space="0" w:color="000000"/>
                          <w:bottom w:val="single" w:sz="2" w:space="0" w:color="000000"/>
                          <w:right w:val="single" w:sz="2" w:space="0" w:color="000000"/>
                        </w:tcBorders>
                      </w:tcPr>
                      <w:p w14:paraId="0ED074B7" w14:textId="77777777" w:rsidR="00F65BCA" w:rsidRDefault="00F65BCA">
                        <w:pPr>
                          <w:pStyle w:val="TableParagraph"/>
                          <w:rPr>
                            <w:rFonts w:ascii="Calibri"/>
                            <w:sz w:val="2"/>
                          </w:rPr>
                        </w:pPr>
                      </w:p>
                      <w:p w14:paraId="6E1A582F" w14:textId="77777777" w:rsidR="00F65BCA" w:rsidRDefault="00F65BCA">
                        <w:pPr>
                          <w:pStyle w:val="TableParagraph"/>
                          <w:rPr>
                            <w:rFonts w:ascii="Calibri"/>
                            <w:sz w:val="2"/>
                          </w:rPr>
                        </w:pPr>
                      </w:p>
                      <w:p w14:paraId="03B5FCC3" w14:textId="77777777" w:rsidR="00F65BCA" w:rsidRDefault="00216117">
                        <w:pPr>
                          <w:pStyle w:val="TableParagraph"/>
                          <w:spacing w:before="13"/>
                          <w:ind w:left="24" w:right="24"/>
                          <w:jc w:val="center"/>
                          <w:rPr>
                            <w:sz w:val="3"/>
                          </w:rPr>
                        </w:pPr>
                        <w:r>
                          <w:rPr>
                            <w:w w:val="105"/>
                            <w:sz w:val="3"/>
                          </w:rPr>
                          <w:t>1,23123000%</w:t>
                        </w:r>
                      </w:p>
                    </w:tc>
                    <w:tc>
                      <w:tcPr>
                        <w:tcW w:w="288" w:type="dxa"/>
                        <w:tcBorders>
                          <w:top w:val="single" w:sz="2" w:space="0" w:color="000000"/>
                          <w:left w:val="single" w:sz="2" w:space="0" w:color="000000"/>
                          <w:bottom w:val="single" w:sz="2" w:space="0" w:color="000000"/>
                          <w:right w:val="single" w:sz="2" w:space="0" w:color="000000"/>
                        </w:tcBorders>
                      </w:tcPr>
                      <w:p w14:paraId="77AE77B7" w14:textId="77777777" w:rsidR="00F65BCA" w:rsidRDefault="00F65BCA">
                        <w:pPr>
                          <w:pStyle w:val="TableParagraph"/>
                          <w:rPr>
                            <w:rFonts w:ascii="Calibri"/>
                            <w:sz w:val="2"/>
                          </w:rPr>
                        </w:pPr>
                      </w:p>
                      <w:p w14:paraId="7B338E21" w14:textId="77777777" w:rsidR="00F65BCA" w:rsidRDefault="00F65BCA">
                        <w:pPr>
                          <w:pStyle w:val="TableParagraph"/>
                          <w:rPr>
                            <w:rFonts w:ascii="Calibri"/>
                            <w:sz w:val="2"/>
                          </w:rPr>
                        </w:pPr>
                      </w:p>
                      <w:p w14:paraId="03E08280" w14:textId="77777777" w:rsidR="00F65BCA" w:rsidRDefault="00216117">
                        <w:pPr>
                          <w:pStyle w:val="TableParagraph"/>
                          <w:spacing w:before="13"/>
                          <w:ind w:left="24" w:right="24"/>
                          <w:jc w:val="center"/>
                          <w:rPr>
                            <w:sz w:val="3"/>
                          </w:rPr>
                        </w:pPr>
                        <w:r>
                          <w:rPr>
                            <w:w w:val="105"/>
                            <w:sz w:val="3"/>
                          </w:rPr>
                          <w:t>1,11930000%</w:t>
                        </w:r>
                      </w:p>
                    </w:tc>
                    <w:tc>
                      <w:tcPr>
                        <w:tcW w:w="288" w:type="dxa"/>
                        <w:tcBorders>
                          <w:top w:val="single" w:sz="2" w:space="0" w:color="000000"/>
                          <w:left w:val="single" w:sz="2" w:space="0" w:color="000000"/>
                          <w:bottom w:val="single" w:sz="2" w:space="0" w:color="000000"/>
                          <w:right w:val="single" w:sz="2" w:space="0" w:color="000000"/>
                        </w:tcBorders>
                      </w:tcPr>
                      <w:p w14:paraId="56FB1B60" w14:textId="77777777" w:rsidR="00F65BCA" w:rsidRDefault="00F65BCA">
                        <w:pPr>
                          <w:pStyle w:val="TableParagraph"/>
                          <w:rPr>
                            <w:rFonts w:ascii="Calibri"/>
                            <w:sz w:val="2"/>
                          </w:rPr>
                        </w:pPr>
                      </w:p>
                      <w:p w14:paraId="7A561886" w14:textId="77777777" w:rsidR="00F65BCA" w:rsidRDefault="00F65BCA">
                        <w:pPr>
                          <w:pStyle w:val="TableParagraph"/>
                          <w:rPr>
                            <w:rFonts w:ascii="Calibri"/>
                            <w:sz w:val="2"/>
                          </w:rPr>
                        </w:pPr>
                      </w:p>
                      <w:p w14:paraId="53F7C709" w14:textId="77777777" w:rsidR="00F65BCA" w:rsidRDefault="00216117">
                        <w:pPr>
                          <w:pStyle w:val="TableParagraph"/>
                          <w:spacing w:before="13"/>
                          <w:ind w:left="24" w:right="24"/>
                          <w:jc w:val="center"/>
                          <w:rPr>
                            <w:sz w:val="3"/>
                          </w:rPr>
                        </w:pPr>
                        <w:r>
                          <w:rPr>
                            <w:w w:val="105"/>
                            <w:sz w:val="3"/>
                          </w:rPr>
                          <w:t>1,11930000%</w:t>
                        </w:r>
                      </w:p>
                    </w:tc>
                    <w:tc>
                      <w:tcPr>
                        <w:tcW w:w="288" w:type="dxa"/>
                        <w:tcBorders>
                          <w:top w:val="single" w:sz="2" w:space="0" w:color="000000"/>
                          <w:left w:val="single" w:sz="2" w:space="0" w:color="000000"/>
                          <w:bottom w:val="single" w:sz="2" w:space="0" w:color="000000"/>
                          <w:right w:val="single" w:sz="2" w:space="0" w:color="000000"/>
                        </w:tcBorders>
                      </w:tcPr>
                      <w:p w14:paraId="639B95EF" w14:textId="77777777" w:rsidR="00F65BCA" w:rsidRDefault="00F65BCA">
                        <w:pPr>
                          <w:pStyle w:val="TableParagraph"/>
                          <w:rPr>
                            <w:rFonts w:ascii="Calibri"/>
                            <w:sz w:val="2"/>
                          </w:rPr>
                        </w:pPr>
                      </w:p>
                      <w:p w14:paraId="62D3E0B7" w14:textId="77777777" w:rsidR="00F65BCA" w:rsidRDefault="00F65BCA">
                        <w:pPr>
                          <w:pStyle w:val="TableParagraph"/>
                          <w:rPr>
                            <w:rFonts w:ascii="Calibri"/>
                            <w:sz w:val="2"/>
                          </w:rPr>
                        </w:pPr>
                      </w:p>
                      <w:p w14:paraId="7560C616" w14:textId="77777777" w:rsidR="00F65BCA" w:rsidRDefault="00216117">
                        <w:pPr>
                          <w:pStyle w:val="TableParagraph"/>
                          <w:spacing w:before="13"/>
                          <w:ind w:left="24" w:right="24"/>
                          <w:jc w:val="center"/>
                          <w:rPr>
                            <w:sz w:val="3"/>
                          </w:rPr>
                        </w:pPr>
                        <w:r>
                          <w:rPr>
                            <w:w w:val="105"/>
                            <w:sz w:val="3"/>
                          </w:rPr>
                          <w:t>1,34316000%</w:t>
                        </w:r>
                      </w:p>
                    </w:tc>
                    <w:tc>
                      <w:tcPr>
                        <w:tcW w:w="288" w:type="dxa"/>
                        <w:tcBorders>
                          <w:top w:val="single" w:sz="2" w:space="0" w:color="000000"/>
                          <w:left w:val="single" w:sz="2" w:space="0" w:color="000000"/>
                          <w:bottom w:val="single" w:sz="2" w:space="0" w:color="000000"/>
                          <w:right w:val="single" w:sz="2" w:space="0" w:color="000000"/>
                        </w:tcBorders>
                      </w:tcPr>
                      <w:p w14:paraId="1C9C32A1" w14:textId="77777777" w:rsidR="00F65BCA" w:rsidRDefault="00F65BCA">
                        <w:pPr>
                          <w:pStyle w:val="TableParagraph"/>
                          <w:rPr>
                            <w:rFonts w:ascii="Calibri"/>
                            <w:sz w:val="2"/>
                          </w:rPr>
                        </w:pPr>
                      </w:p>
                      <w:p w14:paraId="2F4F0F0D" w14:textId="77777777" w:rsidR="00F65BCA" w:rsidRDefault="00F65BCA">
                        <w:pPr>
                          <w:pStyle w:val="TableParagraph"/>
                          <w:rPr>
                            <w:rFonts w:ascii="Calibri"/>
                            <w:sz w:val="2"/>
                          </w:rPr>
                        </w:pPr>
                      </w:p>
                      <w:p w14:paraId="070120EB" w14:textId="77777777" w:rsidR="00F65BCA" w:rsidRDefault="00216117">
                        <w:pPr>
                          <w:pStyle w:val="TableParagraph"/>
                          <w:spacing w:before="13"/>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51589DE1" w14:textId="77777777" w:rsidR="00F65BCA" w:rsidRDefault="00F65BCA">
                        <w:pPr>
                          <w:pStyle w:val="TableParagraph"/>
                          <w:rPr>
                            <w:rFonts w:ascii="Calibri"/>
                            <w:sz w:val="2"/>
                          </w:rPr>
                        </w:pPr>
                      </w:p>
                      <w:p w14:paraId="4FAD97A8" w14:textId="77777777" w:rsidR="00F65BCA" w:rsidRDefault="00F65BCA">
                        <w:pPr>
                          <w:pStyle w:val="TableParagraph"/>
                          <w:rPr>
                            <w:rFonts w:ascii="Calibri"/>
                            <w:sz w:val="2"/>
                          </w:rPr>
                        </w:pPr>
                      </w:p>
                      <w:p w14:paraId="519FD67B" w14:textId="77777777" w:rsidR="00F65BCA" w:rsidRDefault="00216117">
                        <w:pPr>
                          <w:pStyle w:val="TableParagraph"/>
                          <w:spacing w:before="13"/>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7BF40D56" w14:textId="77777777" w:rsidR="00F65BCA" w:rsidRDefault="00F65BCA">
                        <w:pPr>
                          <w:pStyle w:val="TableParagraph"/>
                          <w:rPr>
                            <w:rFonts w:ascii="Calibri"/>
                            <w:sz w:val="2"/>
                          </w:rPr>
                        </w:pPr>
                      </w:p>
                      <w:p w14:paraId="5CB0A895" w14:textId="77777777" w:rsidR="00F65BCA" w:rsidRDefault="00F65BCA">
                        <w:pPr>
                          <w:pStyle w:val="TableParagraph"/>
                          <w:rPr>
                            <w:rFonts w:ascii="Calibri"/>
                            <w:sz w:val="2"/>
                          </w:rPr>
                        </w:pPr>
                      </w:p>
                      <w:p w14:paraId="00403E37" w14:textId="77777777" w:rsidR="00F65BCA" w:rsidRDefault="00216117">
                        <w:pPr>
                          <w:pStyle w:val="TableParagraph"/>
                          <w:spacing w:before="13"/>
                          <w:ind w:left="24" w:right="24"/>
                          <w:jc w:val="center"/>
                          <w:rPr>
                            <w:sz w:val="3"/>
                          </w:rPr>
                        </w:pPr>
                        <w:r>
                          <w:rPr>
                            <w:w w:val="105"/>
                            <w:sz w:val="3"/>
                          </w:rPr>
                          <w:t>1,67895000%</w:t>
                        </w:r>
                      </w:p>
                    </w:tc>
                  </w:tr>
                  <w:tr w:rsidR="00F65BCA" w14:paraId="4CFF7B15" w14:textId="77777777">
                    <w:trPr>
                      <w:trHeight w:val="155"/>
                    </w:trPr>
                    <w:tc>
                      <w:tcPr>
                        <w:tcW w:w="526" w:type="dxa"/>
                        <w:vMerge/>
                        <w:tcBorders>
                          <w:top w:val="nil"/>
                          <w:left w:val="single" w:sz="2" w:space="0" w:color="000000"/>
                          <w:bottom w:val="single" w:sz="2" w:space="0" w:color="000000"/>
                          <w:right w:val="single" w:sz="2" w:space="0" w:color="000000"/>
                        </w:tcBorders>
                        <w:shd w:val="clear" w:color="auto" w:fill="FCE4D6"/>
                      </w:tcPr>
                      <w:p w14:paraId="6E608491"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07CA8E23"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00BB9814"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7C5F60E" w14:textId="77777777" w:rsidR="00F65BCA" w:rsidRDefault="00F65BCA">
                        <w:pPr>
                          <w:pStyle w:val="TableParagraph"/>
                          <w:rPr>
                            <w:rFonts w:ascii="Calibri"/>
                            <w:sz w:val="2"/>
                          </w:rPr>
                        </w:pPr>
                      </w:p>
                      <w:p w14:paraId="407D592B" w14:textId="77777777" w:rsidR="00F65BCA" w:rsidRDefault="00F65BCA">
                        <w:pPr>
                          <w:pStyle w:val="TableParagraph"/>
                          <w:rPr>
                            <w:rFonts w:ascii="Calibri"/>
                            <w:sz w:val="2"/>
                          </w:rPr>
                        </w:pPr>
                      </w:p>
                      <w:p w14:paraId="23D2A302" w14:textId="77777777" w:rsidR="00F65BCA" w:rsidRDefault="00216117">
                        <w:pPr>
                          <w:pStyle w:val="TableParagraph"/>
                          <w:spacing w:before="13"/>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2C45C24" w14:textId="77777777" w:rsidR="00F65BCA" w:rsidRDefault="00F65BCA">
                        <w:pPr>
                          <w:pStyle w:val="TableParagraph"/>
                          <w:rPr>
                            <w:rFonts w:ascii="Calibri"/>
                            <w:sz w:val="2"/>
                          </w:rPr>
                        </w:pPr>
                      </w:p>
                      <w:p w14:paraId="220FB7CF" w14:textId="77777777" w:rsidR="00F65BCA" w:rsidRDefault="00F65BCA">
                        <w:pPr>
                          <w:pStyle w:val="TableParagraph"/>
                          <w:rPr>
                            <w:rFonts w:ascii="Calibri"/>
                            <w:sz w:val="2"/>
                          </w:rPr>
                        </w:pPr>
                      </w:p>
                      <w:p w14:paraId="500B34CC" w14:textId="77777777" w:rsidR="00F65BCA" w:rsidRDefault="00216117">
                        <w:pPr>
                          <w:pStyle w:val="TableParagraph"/>
                          <w:spacing w:before="13"/>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58F56394"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8FA0D11" w14:textId="77777777" w:rsidR="00F65BCA" w:rsidRDefault="00F65BCA">
                        <w:pPr>
                          <w:pStyle w:val="TableParagraph"/>
                          <w:rPr>
                            <w:rFonts w:ascii="Calibri"/>
                            <w:sz w:val="2"/>
                          </w:rPr>
                        </w:pPr>
                      </w:p>
                      <w:p w14:paraId="0BD41906" w14:textId="77777777" w:rsidR="00F65BCA" w:rsidRDefault="00F65BCA">
                        <w:pPr>
                          <w:pStyle w:val="TableParagraph"/>
                          <w:rPr>
                            <w:rFonts w:ascii="Calibri"/>
                            <w:sz w:val="2"/>
                          </w:rPr>
                        </w:pPr>
                      </w:p>
                      <w:p w14:paraId="62D0B878" w14:textId="77777777" w:rsidR="00F65BCA" w:rsidRDefault="00216117">
                        <w:pPr>
                          <w:pStyle w:val="TableParagraph"/>
                          <w:spacing w:before="13"/>
                          <w:ind w:left="24" w:right="24"/>
                          <w:jc w:val="center"/>
                          <w:rPr>
                            <w:sz w:val="3"/>
                          </w:rPr>
                        </w:pPr>
                        <w:r>
                          <w:rPr>
                            <w:w w:val="105"/>
                            <w:sz w:val="3"/>
                          </w:rPr>
                          <w:t>2,16338304%</w:t>
                        </w:r>
                      </w:p>
                    </w:tc>
                    <w:tc>
                      <w:tcPr>
                        <w:tcW w:w="288" w:type="dxa"/>
                        <w:tcBorders>
                          <w:top w:val="single" w:sz="2" w:space="0" w:color="000000"/>
                          <w:left w:val="single" w:sz="2" w:space="0" w:color="000000"/>
                          <w:bottom w:val="single" w:sz="2" w:space="0" w:color="000000"/>
                          <w:right w:val="single" w:sz="2" w:space="0" w:color="000000"/>
                        </w:tcBorders>
                      </w:tcPr>
                      <w:p w14:paraId="7C41C3C2" w14:textId="77777777" w:rsidR="00F65BCA" w:rsidRDefault="00F65BCA">
                        <w:pPr>
                          <w:pStyle w:val="TableParagraph"/>
                          <w:rPr>
                            <w:rFonts w:ascii="Calibri"/>
                            <w:sz w:val="2"/>
                          </w:rPr>
                        </w:pPr>
                      </w:p>
                      <w:p w14:paraId="01FFE676" w14:textId="77777777" w:rsidR="00F65BCA" w:rsidRDefault="00F65BCA">
                        <w:pPr>
                          <w:pStyle w:val="TableParagraph"/>
                          <w:rPr>
                            <w:rFonts w:ascii="Calibri"/>
                            <w:sz w:val="2"/>
                          </w:rPr>
                        </w:pPr>
                      </w:p>
                      <w:p w14:paraId="5138EF71" w14:textId="77777777" w:rsidR="00F65BCA" w:rsidRDefault="00216117">
                        <w:pPr>
                          <w:pStyle w:val="TableParagraph"/>
                          <w:spacing w:before="13"/>
                          <w:ind w:left="24" w:right="24"/>
                          <w:jc w:val="center"/>
                          <w:rPr>
                            <w:sz w:val="3"/>
                          </w:rPr>
                        </w:pPr>
                        <w:r>
                          <w:rPr>
                            <w:w w:val="105"/>
                            <w:sz w:val="3"/>
                          </w:rPr>
                          <w:t>2,02817160%</w:t>
                        </w:r>
                      </w:p>
                    </w:tc>
                    <w:tc>
                      <w:tcPr>
                        <w:tcW w:w="288" w:type="dxa"/>
                        <w:tcBorders>
                          <w:top w:val="single" w:sz="2" w:space="0" w:color="000000"/>
                          <w:left w:val="single" w:sz="2" w:space="0" w:color="000000"/>
                          <w:bottom w:val="single" w:sz="2" w:space="0" w:color="000000"/>
                          <w:right w:val="single" w:sz="2" w:space="0" w:color="000000"/>
                        </w:tcBorders>
                      </w:tcPr>
                      <w:p w14:paraId="1046B333" w14:textId="77777777" w:rsidR="00F65BCA" w:rsidRDefault="00F65BCA">
                        <w:pPr>
                          <w:pStyle w:val="TableParagraph"/>
                          <w:rPr>
                            <w:rFonts w:ascii="Calibri"/>
                            <w:sz w:val="2"/>
                          </w:rPr>
                        </w:pPr>
                      </w:p>
                      <w:p w14:paraId="03555A49" w14:textId="77777777" w:rsidR="00F65BCA" w:rsidRDefault="00F65BCA">
                        <w:pPr>
                          <w:pStyle w:val="TableParagraph"/>
                          <w:rPr>
                            <w:rFonts w:ascii="Calibri"/>
                            <w:sz w:val="2"/>
                          </w:rPr>
                        </w:pPr>
                      </w:p>
                      <w:p w14:paraId="7C75632E" w14:textId="77777777" w:rsidR="00F65BCA" w:rsidRDefault="00216117">
                        <w:pPr>
                          <w:pStyle w:val="TableParagraph"/>
                          <w:spacing w:before="13"/>
                          <w:ind w:left="24" w:right="24"/>
                          <w:jc w:val="center"/>
                          <w:rPr>
                            <w:sz w:val="3"/>
                          </w:rPr>
                        </w:pPr>
                        <w:r>
                          <w:rPr>
                            <w:w w:val="105"/>
                            <w:sz w:val="3"/>
                          </w:rPr>
                          <w:t>1,93352359%</w:t>
                        </w:r>
                      </w:p>
                    </w:tc>
                    <w:tc>
                      <w:tcPr>
                        <w:tcW w:w="288" w:type="dxa"/>
                        <w:tcBorders>
                          <w:top w:val="single" w:sz="2" w:space="0" w:color="000000"/>
                          <w:left w:val="single" w:sz="2" w:space="0" w:color="000000"/>
                          <w:bottom w:val="single" w:sz="2" w:space="0" w:color="000000"/>
                          <w:right w:val="single" w:sz="2" w:space="0" w:color="000000"/>
                        </w:tcBorders>
                      </w:tcPr>
                      <w:p w14:paraId="3E6AD28D" w14:textId="77777777" w:rsidR="00F65BCA" w:rsidRDefault="00F65BCA">
                        <w:pPr>
                          <w:pStyle w:val="TableParagraph"/>
                          <w:rPr>
                            <w:rFonts w:ascii="Calibri"/>
                            <w:sz w:val="2"/>
                          </w:rPr>
                        </w:pPr>
                      </w:p>
                      <w:p w14:paraId="231C38ED" w14:textId="77777777" w:rsidR="00F65BCA" w:rsidRDefault="00F65BCA">
                        <w:pPr>
                          <w:pStyle w:val="TableParagraph"/>
                          <w:rPr>
                            <w:rFonts w:ascii="Calibri"/>
                            <w:sz w:val="2"/>
                          </w:rPr>
                        </w:pPr>
                      </w:p>
                      <w:p w14:paraId="0CC09D70" w14:textId="77777777" w:rsidR="00F65BCA" w:rsidRDefault="00216117">
                        <w:pPr>
                          <w:pStyle w:val="TableParagraph"/>
                          <w:spacing w:before="13"/>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54649426" w14:textId="77777777" w:rsidR="00F65BCA" w:rsidRDefault="00F65BCA">
                        <w:pPr>
                          <w:pStyle w:val="TableParagraph"/>
                          <w:rPr>
                            <w:rFonts w:ascii="Calibri"/>
                            <w:sz w:val="2"/>
                          </w:rPr>
                        </w:pPr>
                      </w:p>
                      <w:p w14:paraId="31945411" w14:textId="77777777" w:rsidR="00F65BCA" w:rsidRDefault="00F65BCA">
                        <w:pPr>
                          <w:pStyle w:val="TableParagraph"/>
                          <w:rPr>
                            <w:rFonts w:ascii="Calibri"/>
                            <w:sz w:val="2"/>
                          </w:rPr>
                        </w:pPr>
                      </w:p>
                      <w:p w14:paraId="2269D6FC" w14:textId="77777777" w:rsidR="00F65BCA" w:rsidRDefault="00216117">
                        <w:pPr>
                          <w:pStyle w:val="TableParagraph"/>
                          <w:spacing w:before="13"/>
                          <w:ind w:left="24" w:right="24"/>
                          <w:jc w:val="center"/>
                          <w:rPr>
                            <w:sz w:val="3"/>
                          </w:rPr>
                        </w:pPr>
                        <w:r>
                          <w:rPr>
                            <w:w w:val="105"/>
                            <w:sz w:val="3"/>
                          </w:rPr>
                          <w:t>1,73070643%</w:t>
                        </w:r>
                      </w:p>
                    </w:tc>
                    <w:tc>
                      <w:tcPr>
                        <w:tcW w:w="288" w:type="dxa"/>
                        <w:tcBorders>
                          <w:top w:val="single" w:sz="2" w:space="0" w:color="000000"/>
                          <w:left w:val="single" w:sz="2" w:space="0" w:color="000000"/>
                          <w:bottom w:val="single" w:sz="2" w:space="0" w:color="000000"/>
                          <w:right w:val="single" w:sz="2" w:space="0" w:color="000000"/>
                        </w:tcBorders>
                      </w:tcPr>
                      <w:p w14:paraId="51694DF9" w14:textId="77777777" w:rsidR="00F65BCA" w:rsidRDefault="00F65BCA">
                        <w:pPr>
                          <w:pStyle w:val="TableParagraph"/>
                          <w:rPr>
                            <w:rFonts w:ascii="Calibri"/>
                            <w:sz w:val="2"/>
                          </w:rPr>
                        </w:pPr>
                      </w:p>
                      <w:p w14:paraId="4FE12DC9" w14:textId="77777777" w:rsidR="00F65BCA" w:rsidRDefault="00F65BCA">
                        <w:pPr>
                          <w:pStyle w:val="TableParagraph"/>
                          <w:rPr>
                            <w:rFonts w:ascii="Calibri"/>
                            <w:sz w:val="2"/>
                          </w:rPr>
                        </w:pPr>
                      </w:p>
                      <w:p w14:paraId="0CA65A2E" w14:textId="77777777" w:rsidR="00F65BCA" w:rsidRDefault="00216117">
                        <w:pPr>
                          <w:pStyle w:val="TableParagraph"/>
                          <w:spacing w:before="13"/>
                          <w:ind w:left="24" w:right="24"/>
                          <w:jc w:val="center"/>
                          <w:rPr>
                            <w:sz w:val="3"/>
                          </w:rPr>
                        </w:pPr>
                        <w:r>
                          <w:rPr>
                            <w:w w:val="105"/>
                            <w:sz w:val="3"/>
                          </w:rPr>
                          <w:t>1,60901614%</w:t>
                        </w:r>
                      </w:p>
                    </w:tc>
                    <w:tc>
                      <w:tcPr>
                        <w:tcW w:w="288" w:type="dxa"/>
                        <w:tcBorders>
                          <w:top w:val="single" w:sz="2" w:space="0" w:color="000000"/>
                          <w:left w:val="single" w:sz="2" w:space="0" w:color="000000"/>
                          <w:bottom w:val="single" w:sz="2" w:space="0" w:color="000000"/>
                          <w:right w:val="single" w:sz="2" w:space="0" w:color="000000"/>
                        </w:tcBorders>
                      </w:tcPr>
                      <w:p w14:paraId="64DE483D" w14:textId="77777777" w:rsidR="00F65BCA" w:rsidRDefault="00F65BCA">
                        <w:pPr>
                          <w:pStyle w:val="TableParagraph"/>
                          <w:rPr>
                            <w:rFonts w:ascii="Calibri"/>
                            <w:sz w:val="2"/>
                          </w:rPr>
                        </w:pPr>
                      </w:p>
                      <w:p w14:paraId="3E862879" w14:textId="77777777" w:rsidR="00F65BCA" w:rsidRDefault="00F65BCA">
                        <w:pPr>
                          <w:pStyle w:val="TableParagraph"/>
                          <w:rPr>
                            <w:rFonts w:ascii="Calibri"/>
                            <w:sz w:val="2"/>
                          </w:rPr>
                        </w:pPr>
                      </w:p>
                      <w:p w14:paraId="3BCB7B68" w14:textId="77777777" w:rsidR="00F65BCA" w:rsidRDefault="00216117">
                        <w:pPr>
                          <w:pStyle w:val="TableParagraph"/>
                          <w:spacing w:before="13"/>
                          <w:ind w:left="24" w:right="24"/>
                          <w:jc w:val="center"/>
                          <w:rPr>
                            <w:sz w:val="3"/>
                          </w:rPr>
                        </w:pPr>
                        <w:r>
                          <w:rPr>
                            <w:w w:val="105"/>
                            <w:sz w:val="3"/>
                          </w:rPr>
                          <w:t>1,48732584%</w:t>
                        </w:r>
                      </w:p>
                    </w:tc>
                    <w:tc>
                      <w:tcPr>
                        <w:tcW w:w="288" w:type="dxa"/>
                        <w:tcBorders>
                          <w:top w:val="single" w:sz="2" w:space="0" w:color="000000"/>
                          <w:left w:val="single" w:sz="2" w:space="0" w:color="000000"/>
                          <w:bottom w:val="single" w:sz="2" w:space="0" w:color="000000"/>
                          <w:right w:val="single" w:sz="2" w:space="0" w:color="000000"/>
                        </w:tcBorders>
                      </w:tcPr>
                      <w:p w14:paraId="084A0945" w14:textId="77777777" w:rsidR="00F65BCA" w:rsidRDefault="00F65BCA">
                        <w:pPr>
                          <w:pStyle w:val="TableParagraph"/>
                          <w:rPr>
                            <w:rFonts w:ascii="Calibri"/>
                            <w:sz w:val="2"/>
                          </w:rPr>
                        </w:pPr>
                      </w:p>
                      <w:p w14:paraId="1B52504B" w14:textId="77777777" w:rsidR="00F65BCA" w:rsidRDefault="00F65BCA">
                        <w:pPr>
                          <w:pStyle w:val="TableParagraph"/>
                          <w:rPr>
                            <w:rFonts w:ascii="Calibri"/>
                            <w:sz w:val="2"/>
                          </w:rPr>
                        </w:pPr>
                      </w:p>
                      <w:p w14:paraId="3FDF17E0" w14:textId="77777777" w:rsidR="00F65BCA" w:rsidRDefault="00216117">
                        <w:pPr>
                          <w:pStyle w:val="TableParagraph"/>
                          <w:spacing w:before="13"/>
                          <w:ind w:left="24" w:right="24"/>
                          <w:jc w:val="center"/>
                          <w:rPr>
                            <w:sz w:val="3"/>
                          </w:rPr>
                        </w:pPr>
                        <w:r>
                          <w:rPr>
                            <w:w w:val="105"/>
                            <w:sz w:val="3"/>
                          </w:rPr>
                          <w:t>1,35211440%</w:t>
                        </w:r>
                      </w:p>
                    </w:tc>
                    <w:tc>
                      <w:tcPr>
                        <w:tcW w:w="288" w:type="dxa"/>
                        <w:tcBorders>
                          <w:top w:val="single" w:sz="2" w:space="0" w:color="000000"/>
                          <w:left w:val="single" w:sz="2" w:space="0" w:color="000000"/>
                          <w:bottom w:val="single" w:sz="2" w:space="0" w:color="000000"/>
                          <w:right w:val="single" w:sz="2" w:space="0" w:color="000000"/>
                        </w:tcBorders>
                      </w:tcPr>
                      <w:p w14:paraId="6CA3C2EA" w14:textId="77777777" w:rsidR="00F65BCA" w:rsidRDefault="00F65BCA">
                        <w:pPr>
                          <w:pStyle w:val="TableParagraph"/>
                          <w:rPr>
                            <w:rFonts w:ascii="Calibri"/>
                            <w:sz w:val="2"/>
                          </w:rPr>
                        </w:pPr>
                      </w:p>
                      <w:p w14:paraId="61798357" w14:textId="77777777" w:rsidR="00F65BCA" w:rsidRDefault="00F65BCA">
                        <w:pPr>
                          <w:pStyle w:val="TableParagraph"/>
                          <w:rPr>
                            <w:rFonts w:ascii="Calibri"/>
                            <w:sz w:val="2"/>
                          </w:rPr>
                        </w:pPr>
                      </w:p>
                      <w:p w14:paraId="0DB09606" w14:textId="77777777" w:rsidR="00F65BCA" w:rsidRDefault="00216117">
                        <w:pPr>
                          <w:pStyle w:val="TableParagraph"/>
                          <w:spacing w:before="13"/>
                          <w:ind w:left="24" w:right="24"/>
                          <w:jc w:val="center"/>
                          <w:rPr>
                            <w:sz w:val="3"/>
                          </w:rPr>
                        </w:pPr>
                        <w:r>
                          <w:rPr>
                            <w:w w:val="105"/>
                            <w:sz w:val="3"/>
                          </w:rPr>
                          <w:t>1,35211440%</w:t>
                        </w:r>
                      </w:p>
                    </w:tc>
                    <w:tc>
                      <w:tcPr>
                        <w:tcW w:w="288" w:type="dxa"/>
                        <w:tcBorders>
                          <w:top w:val="single" w:sz="2" w:space="0" w:color="000000"/>
                          <w:left w:val="single" w:sz="2" w:space="0" w:color="000000"/>
                          <w:bottom w:val="single" w:sz="2" w:space="0" w:color="000000"/>
                          <w:right w:val="single" w:sz="2" w:space="0" w:color="000000"/>
                        </w:tcBorders>
                      </w:tcPr>
                      <w:p w14:paraId="4A78097E" w14:textId="77777777" w:rsidR="00F65BCA" w:rsidRDefault="00F65BCA">
                        <w:pPr>
                          <w:pStyle w:val="TableParagraph"/>
                          <w:rPr>
                            <w:rFonts w:ascii="Calibri"/>
                            <w:sz w:val="2"/>
                          </w:rPr>
                        </w:pPr>
                      </w:p>
                      <w:p w14:paraId="7A111224" w14:textId="77777777" w:rsidR="00F65BCA" w:rsidRDefault="00F65BCA">
                        <w:pPr>
                          <w:pStyle w:val="TableParagraph"/>
                          <w:rPr>
                            <w:rFonts w:ascii="Calibri"/>
                            <w:sz w:val="2"/>
                          </w:rPr>
                        </w:pPr>
                      </w:p>
                      <w:p w14:paraId="7BF1FA71" w14:textId="77777777" w:rsidR="00F65BCA" w:rsidRDefault="00216117">
                        <w:pPr>
                          <w:pStyle w:val="TableParagraph"/>
                          <w:spacing w:before="13"/>
                          <w:ind w:left="24" w:right="24"/>
                          <w:jc w:val="center"/>
                          <w:rPr>
                            <w:sz w:val="3"/>
                          </w:rPr>
                        </w:pPr>
                        <w:r>
                          <w:rPr>
                            <w:w w:val="105"/>
                            <w:sz w:val="3"/>
                          </w:rPr>
                          <w:t>1,62253728%</w:t>
                        </w:r>
                      </w:p>
                    </w:tc>
                    <w:tc>
                      <w:tcPr>
                        <w:tcW w:w="288" w:type="dxa"/>
                        <w:tcBorders>
                          <w:top w:val="single" w:sz="2" w:space="0" w:color="000000"/>
                          <w:left w:val="single" w:sz="2" w:space="0" w:color="000000"/>
                          <w:bottom w:val="single" w:sz="2" w:space="0" w:color="000000"/>
                          <w:right w:val="single" w:sz="2" w:space="0" w:color="000000"/>
                        </w:tcBorders>
                      </w:tcPr>
                      <w:p w14:paraId="0D21BB90" w14:textId="77777777" w:rsidR="00F65BCA" w:rsidRDefault="00F65BCA">
                        <w:pPr>
                          <w:pStyle w:val="TableParagraph"/>
                          <w:rPr>
                            <w:rFonts w:ascii="Calibri"/>
                            <w:sz w:val="2"/>
                          </w:rPr>
                        </w:pPr>
                      </w:p>
                      <w:p w14:paraId="62253630" w14:textId="77777777" w:rsidR="00F65BCA" w:rsidRDefault="00F65BCA">
                        <w:pPr>
                          <w:pStyle w:val="TableParagraph"/>
                          <w:rPr>
                            <w:rFonts w:ascii="Calibri"/>
                            <w:sz w:val="2"/>
                          </w:rPr>
                        </w:pPr>
                      </w:p>
                      <w:p w14:paraId="489CB617" w14:textId="77777777" w:rsidR="00F65BCA" w:rsidRDefault="00216117">
                        <w:pPr>
                          <w:pStyle w:val="TableParagraph"/>
                          <w:spacing w:before="13"/>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3F02645A" w14:textId="77777777" w:rsidR="00F65BCA" w:rsidRDefault="00F65BCA">
                        <w:pPr>
                          <w:pStyle w:val="TableParagraph"/>
                          <w:rPr>
                            <w:rFonts w:ascii="Calibri"/>
                            <w:sz w:val="2"/>
                          </w:rPr>
                        </w:pPr>
                      </w:p>
                      <w:p w14:paraId="59D09BEC" w14:textId="77777777" w:rsidR="00F65BCA" w:rsidRDefault="00F65BCA">
                        <w:pPr>
                          <w:pStyle w:val="TableParagraph"/>
                          <w:rPr>
                            <w:rFonts w:ascii="Calibri"/>
                            <w:sz w:val="2"/>
                          </w:rPr>
                        </w:pPr>
                      </w:p>
                      <w:p w14:paraId="32FA94A9" w14:textId="77777777" w:rsidR="00F65BCA" w:rsidRDefault="00216117">
                        <w:pPr>
                          <w:pStyle w:val="TableParagraph"/>
                          <w:spacing w:before="13"/>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5225EEC3" w14:textId="77777777" w:rsidR="00F65BCA" w:rsidRDefault="00F65BCA">
                        <w:pPr>
                          <w:pStyle w:val="TableParagraph"/>
                          <w:rPr>
                            <w:rFonts w:ascii="Calibri"/>
                            <w:sz w:val="2"/>
                          </w:rPr>
                        </w:pPr>
                      </w:p>
                      <w:p w14:paraId="144580BD" w14:textId="77777777" w:rsidR="00F65BCA" w:rsidRDefault="00F65BCA">
                        <w:pPr>
                          <w:pStyle w:val="TableParagraph"/>
                          <w:rPr>
                            <w:rFonts w:ascii="Calibri"/>
                            <w:sz w:val="2"/>
                          </w:rPr>
                        </w:pPr>
                      </w:p>
                      <w:p w14:paraId="49689A97" w14:textId="77777777" w:rsidR="00F65BCA" w:rsidRDefault="00216117">
                        <w:pPr>
                          <w:pStyle w:val="TableParagraph"/>
                          <w:spacing w:before="13"/>
                          <w:ind w:left="24" w:right="24"/>
                          <w:jc w:val="center"/>
                          <w:rPr>
                            <w:sz w:val="3"/>
                          </w:rPr>
                        </w:pPr>
                        <w:r>
                          <w:rPr>
                            <w:w w:val="105"/>
                            <w:sz w:val="3"/>
                          </w:rPr>
                          <w:t>2,02817160%</w:t>
                        </w:r>
                      </w:p>
                    </w:tc>
                  </w:tr>
                  <w:tr w:rsidR="00F65BCA" w14:paraId="7B46AC61"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0021A182"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253DB9A4" w14:textId="77777777" w:rsidR="00F65BCA" w:rsidRDefault="00F65BCA">
                        <w:pPr>
                          <w:pStyle w:val="TableParagraph"/>
                          <w:rPr>
                            <w:rFonts w:ascii="Calibri"/>
                            <w:sz w:val="2"/>
                          </w:rPr>
                        </w:pPr>
                      </w:p>
                      <w:p w14:paraId="4C079202" w14:textId="77777777" w:rsidR="00F65BCA" w:rsidRDefault="00F65BCA">
                        <w:pPr>
                          <w:pStyle w:val="TableParagraph"/>
                          <w:rPr>
                            <w:rFonts w:ascii="Calibri"/>
                            <w:sz w:val="2"/>
                          </w:rPr>
                        </w:pPr>
                      </w:p>
                      <w:p w14:paraId="59793F40" w14:textId="77777777" w:rsidR="00F65BCA" w:rsidRDefault="00F65BCA">
                        <w:pPr>
                          <w:pStyle w:val="TableParagraph"/>
                          <w:rPr>
                            <w:rFonts w:ascii="Calibri"/>
                            <w:sz w:val="2"/>
                          </w:rPr>
                        </w:pPr>
                      </w:p>
                      <w:p w14:paraId="1B7C6301" w14:textId="77777777" w:rsidR="00F65BCA" w:rsidRDefault="00F65BCA">
                        <w:pPr>
                          <w:pStyle w:val="TableParagraph"/>
                          <w:rPr>
                            <w:rFonts w:ascii="Calibri"/>
                            <w:sz w:val="2"/>
                          </w:rPr>
                        </w:pPr>
                      </w:p>
                      <w:p w14:paraId="0DEECE4B" w14:textId="77777777" w:rsidR="00F65BCA" w:rsidRDefault="00F65BCA">
                        <w:pPr>
                          <w:pStyle w:val="TableParagraph"/>
                          <w:rPr>
                            <w:rFonts w:ascii="Calibri"/>
                            <w:sz w:val="2"/>
                          </w:rPr>
                        </w:pPr>
                      </w:p>
                      <w:p w14:paraId="1D6CDE2D" w14:textId="77777777" w:rsidR="00F65BCA" w:rsidRDefault="00F65BCA">
                        <w:pPr>
                          <w:pStyle w:val="TableParagraph"/>
                          <w:rPr>
                            <w:rFonts w:ascii="Calibri"/>
                            <w:sz w:val="2"/>
                          </w:rPr>
                        </w:pPr>
                      </w:p>
                      <w:p w14:paraId="74943066" w14:textId="77777777" w:rsidR="00F65BCA" w:rsidRDefault="00F65BCA">
                        <w:pPr>
                          <w:pStyle w:val="TableParagraph"/>
                          <w:rPr>
                            <w:rFonts w:ascii="Calibri"/>
                            <w:sz w:val="2"/>
                          </w:rPr>
                        </w:pPr>
                      </w:p>
                      <w:p w14:paraId="7411A0E7" w14:textId="77777777" w:rsidR="00F65BCA" w:rsidRDefault="00F65BCA">
                        <w:pPr>
                          <w:pStyle w:val="TableParagraph"/>
                          <w:rPr>
                            <w:rFonts w:ascii="Calibri"/>
                            <w:sz w:val="2"/>
                          </w:rPr>
                        </w:pPr>
                      </w:p>
                      <w:p w14:paraId="6356B4D4" w14:textId="77777777" w:rsidR="00F65BCA" w:rsidRDefault="00F65BCA">
                        <w:pPr>
                          <w:pStyle w:val="TableParagraph"/>
                          <w:spacing w:before="5"/>
                          <w:rPr>
                            <w:rFonts w:ascii="Calibri"/>
                            <w:sz w:val="2"/>
                          </w:rPr>
                        </w:pPr>
                      </w:p>
                      <w:p w14:paraId="10640D0C" w14:textId="77777777" w:rsidR="00F65BCA" w:rsidRDefault="00216117">
                        <w:pPr>
                          <w:pStyle w:val="TableParagraph"/>
                          <w:ind w:left="18" w:right="15"/>
                          <w:jc w:val="center"/>
                          <w:rPr>
                            <w:sz w:val="3"/>
                          </w:rPr>
                        </w:pPr>
                        <w:r>
                          <w:rPr>
                            <w:w w:val="105"/>
                            <w:sz w:val="3"/>
                          </w:rPr>
                          <w:t>Mitsubishi</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9554BA4" w14:textId="77777777" w:rsidR="00F65BCA" w:rsidRDefault="00F65BCA">
                        <w:pPr>
                          <w:pStyle w:val="TableParagraph"/>
                          <w:rPr>
                            <w:rFonts w:ascii="Calibri"/>
                            <w:sz w:val="2"/>
                          </w:rPr>
                        </w:pPr>
                      </w:p>
                      <w:p w14:paraId="0843BAF5" w14:textId="77777777" w:rsidR="00F65BCA" w:rsidRDefault="00F65BCA">
                        <w:pPr>
                          <w:pStyle w:val="TableParagraph"/>
                          <w:rPr>
                            <w:rFonts w:ascii="Calibri"/>
                            <w:sz w:val="2"/>
                          </w:rPr>
                        </w:pPr>
                      </w:p>
                      <w:p w14:paraId="2967FD75" w14:textId="77777777" w:rsidR="00F65BCA" w:rsidRDefault="00216117">
                        <w:pPr>
                          <w:pStyle w:val="TableParagraph"/>
                          <w:spacing w:before="17"/>
                          <w:ind w:left="4"/>
                          <w:rPr>
                            <w:sz w:val="3"/>
                          </w:rPr>
                        </w:pPr>
                        <w:r>
                          <w:rPr>
                            <w:w w:val="105"/>
                            <w:sz w:val="3"/>
                          </w:rPr>
                          <w:t>CANTER 3; CANTER 35; L 200; L 300; L 400; PAJERO PICK UP</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5732AAD" w14:textId="77777777" w:rsidR="00F65BCA" w:rsidRDefault="00F65BCA">
                        <w:pPr>
                          <w:pStyle w:val="TableParagraph"/>
                          <w:rPr>
                            <w:rFonts w:ascii="Calibri"/>
                            <w:sz w:val="2"/>
                          </w:rPr>
                        </w:pPr>
                      </w:p>
                      <w:p w14:paraId="7E38F906"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AB654A3" w14:textId="77777777" w:rsidR="00F65BCA" w:rsidRDefault="00F65BCA">
                        <w:pPr>
                          <w:pStyle w:val="TableParagraph"/>
                          <w:rPr>
                            <w:rFonts w:ascii="Calibri"/>
                            <w:sz w:val="2"/>
                          </w:rPr>
                        </w:pPr>
                      </w:p>
                      <w:p w14:paraId="6FD9DBFC"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3D94C88"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1259CC29" w14:textId="77777777" w:rsidR="00F65BCA" w:rsidRDefault="00F65BCA">
                        <w:pPr>
                          <w:pStyle w:val="TableParagraph"/>
                          <w:rPr>
                            <w:rFonts w:ascii="Calibri"/>
                            <w:sz w:val="2"/>
                          </w:rPr>
                        </w:pPr>
                      </w:p>
                      <w:p w14:paraId="19F9F0B4"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2493D886" w14:textId="77777777" w:rsidR="00F65BCA" w:rsidRDefault="00F65BCA">
                        <w:pPr>
                          <w:pStyle w:val="TableParagraph"/>
                          <w:rPr>
                            <w:rFonts w:ascii="Calibri"/>
                            <w:sz w:val="2"/>
                          </w:rPr>
                        </w:pPr>
                      </w:p>
                      <w:p w14:paraId="56E649D2"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5BAADF85" w14:textId="77777777" w:rsidR="00F65BCA" w:rsidRDefault="00F65BCA">
                        <w:pPr>
                          <w:pStyle w:val="TableParagraph"/>
                          <w:rPr>
                            <w:rFonts w:ascii="Calibri"/>
                            <w:sz w:val="2"/>
                          </w:rPr>
                        </w:pPr>
                      </w:p>
                      <w:p w14:paraId="454DD02D"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5538268A" w14:textId="77777777" w:rsidR="00F65BCA" w:rsidRDefault="00F65BCA">
                        <w:pPr>
                          <w:pStyle w:val="TableParagraph"/>
                          <w:rPr>
                            <w:rFonts w:ascii="Calibri"/>
                            <w:sz w:val="2"/>
                          </w:rPr>
                        </w:pPr>
                      </w:p>
                      <w:p w14:paraId="662B4DF4"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265A70F8" w14:textId="77777777" w:rsidR="00F65BCA" w:rsidRDefault="00F65BCA">
                        <w:pPr>
                          <w:pStyle w:val="TableParagraph"/>
                          <w:rPr>
                            <w:rFonts w:ascii="Calibri"/>
                            <w:sz w:val="2"/>
                          </w:rPr>
                        </w:pPr>
                      </w:p>
                      <w:p w14:paraId="76ACA013"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5785EBC4" w14:textId="77777777" w:rsidR="00F65BCA" w:rsidRDefault="00F65BCA">
                        <w:pPr>
                          <w:pStyle w:val="TableParagraph"/>
                          <w:rPr>
                            <w:rFonts w:ascii="Calibri"/>
                            <w:sz w:val="2"/>
                          </w:rPr>
                        </w:pPr>
                      </w:p>
                      <w:p w14:paraId="47B2A993"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2C205168" w14:textId="77777777" w:rsidR="00F65BCA" w:rsidRDefault="00F65BCA">
                        <w:pPr>
                          <w:pStyle w:val="TableParagraph"/>
                          <w:rPr>
                            <w:rFonts w:ascii="Calibri"/>
                            <w:sz w:val="2"/>
                          </w:rPr>
                        </w:pPr>
                      </w:p>
                      <w:p w14:paraId="6EDFD6EC"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1C451B44" w14:textId="77777777" w:rsidR="00F65BCA" w:rsidRDefault="00F65BCA">
                        <w:pPr>
                          <w:pStyle w:val="TableParagraph"/>
                          <w:rPr>
                            <w:rFonts w:ascii="Calibri"/>
                            <w:sz w:val="2"/>
                          </w:rPr>
                        </w:pPr>
                      </w:p>
                      <w:p w14:paraId="2233B92D"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3553B30A" w14:textId="77777777" w:rsidR="00F65BCA" w:rsidRDefault="00F65BCA">
                        <w:pPr>
                          <w:pStyle w:val="TableParagraph"/>
                          <w:rPr>
                            <w:rFonts w:ascii="Calibri"/>
                            <w:sz w:val="2"/>
                          </w:rPr>
                        </w:pPr>
                      </w:p>
                      <w:p w14:paraId="6708493E"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43EEBBB8" w14:textId="77777777" w:rsidR="00F65BCA" w:rsidRDefault="00F65BCA">
                        <w:pPr>
                          <w:pStyle w:val="TableParagraph"/>
                          <w:rPr>
                            <w:rFonts w:ascii="Calibri"/>
                            <w:sz w:val="2"/>
                          </w:rPr>
                        </w:pPr>
                      </w:p>
                      <w:p w14:paraId="38A466C6"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1607871C" w14:textId="77777777" w:rsidR="00F65BCA" w:rsidRDefault="00F65BCA">
                        <w:pPr>
                          <w:pStyle w:val="TableParagraph"/>
                          <w:rPr>
                            <w:rFonts w:ascii="Calibri"/>
                            <w:sz w:val="2"/>
                          </w:rPr>
                        </w:pPr>
                      </w:p>
                      <w:p w14:paraId="39D6F418"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065F1C08" w14:textId="77777777" w:rsidR="00F65BCA" w:rsidRDefault="00F65BCA">
                        <w:pPr>
                          <w:pStyle w:val="TableParagraph"/>
                          <w:rPr>
                            <w:rFonts w:ascii="Calibri"/>
                            <w:sz w:val="2"/>
                          </w:rPr>
                        </w:pPr>
                      </w:p>
                      <w:p w14:paraId="09C3142F"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1BEA082C" w14:textId="77777777" w:rsidR="00F65BCA" w:rsidRDefault="00F65BCA">
                        <w:pPr>
                          <w:pStyle w:val="TableParagraph"/>
                          <w:rPr>
                            <w:rFonts w:ascii="Calibri"/>
                            <w:sz w:val="2"/>
                          </w:rPr>
                        </w:pPr>
                      </w:p>
                      <w:p w14:paraId="7C484331" w14:textId="77777777" w:rsidR="00F65BCA" w:rsidRDefault="00216117">
                        <w:pPr>
                          <w:pStyle w:val="TableParagraph"/>
                          <w:ind w:left="24" w:right="24"/>
                          <w:jc w:val="center"/>
                          <w:rPr>
                            <w:sz w:val="3"/>
                          </w:rPr>
                        </w:pPr>
                        <w:r>
                          <w:rPr>
                            <w:w w:val="105"/>
                            <w:sz w:val="3"/>
                          </w:rPr>
                          <w:t>1,07731026%</w:t>
                        </w:r>
                      </w:p>
                    </w:tc>
                  </w:tr>
                  <w:tr w:rsidR="00F65BCA" w14:paraId="7B3F2500"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614FEF8F"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2A6378F"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4DAE5765"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45B8D7E" w14:textId="77777777" w:rsidR="00F65BCA" w:rsidRDefault="00F65BCA">
                        <w:pPr>
                          <w:pStyle w:val="TableParagraph"/>
                          <w:rPr>
                            <w:rFonts w:ascii="Calibri"/>
                            <w:sz w:val="2"/>
                          </w:rPr>
                        </w:pPr>
                      </w:p>
                      <w:p w14:paraId="374FDF69"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E3A814F" w14:textId="77777777" w:rsidR="00F65BCA" w:rsidRDefault="00F65BCA">
                        <w:pPr>
                          <w:pStyle w:val="TableParagraph"/>
                          <w:rPr>
                            <w:rFonts w:ascii="Calibri"/>
                            <w:sz w:val="2"/>
                          </w:rPr>
                        </w:pPr>
                      </w:p>
                      <w:p w14:paraId="757F7615"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5E20149"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A581886" w14:textId="77777777" w:rsidR="00F65BCA" w:rsidRDefault="00F65BCA">
                        <w:pPr>
                          <w:pStyle w:val="TableParagraph"/>
                          <w:rPr>
                            <w:rFonts w:ascii="Calibri"/>
                            <w:sz w:val="2"/>
                          </w:rPr>
                        </w:pPr>
                      </w:p>
                      <w:p w14:paraId="60B19FB3"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194879C2" w14:textId="77777777" w:rsidR="00F65BCA" w:rsidRDefault="00F65BCA">
                        <w:pPr>
                          <w:pStyle w:val="TableParagraph"/>
                          <w:rPr>
                            <w:rFonts w:ascii="Calibri"/>
                            <w:sz w:val="2"/>
                          </w:rPr>
                        </w:pPr>
                      </w:p>
                      <w:p w14:paraId="0C73D841"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533BE1BF" w14:textId="77777777" w:rsidR="00F65BCA" w:rsidRDefault="00F65BCA">
                        <w:pPr>
                          <w:pStyle w:val="TableParagraph"/>
                          <w:rPr>
                            <w:rFonts w:ascii="Calibri"/>
                            <w:sz w:val="2"/>
                          </w:rPr>
                        </w:pPr>
                      </w:p>
                      <w:p w14:paraId="3B5035B4"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0F2901A7" w14:textId="77777777" w:rsidR="00F65BCA" w:rsidRDefault="00F65BCA">
                        <w:pPr>
                          <w:pStyle w:val="TableParagraph"/>
                          <w:rPr>
                            <w:rFonts w:ascii="Calibri"/>
                            <w:sz w:val="2"/>
                          </w:rPr>
                        </w:pPr>
                      </w:p>
                      <w:p w14:paraId="33310D2E"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BD3694F" w14:textId="77777777" w:rsidR="00F65BCA" w:rsidRDefault="00F65BCA">
                        <w:pPr>
                          <w:pStyle w:val="TableParagraph"/>
                          <w:rPr>
                            <w:rFonts w:ascii="Calibri"/>
                            <w:sz w:val="2"/>
                          </w:rPr>
                        </w:pPr>
                      </w:p>
                      <w:p w14:paraId="787C0677"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4910EC5B" w14:textId="77777777" w:rsidR="00F65BCA" w:rsidRDefault="00F65BCA">
                        <w:pPr>
                          <w:pStyle w:val="TableParagraph"/>
                          <w:rPr>
                            <w:rFonts w:ascii="Calibri"/>
                            <w:sz w:val="2"/>
                          </w:rPr>
                        </w:pPr>
                      </w:p>
                      <w:p w14:paraId="294832E8"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51D5AB92" w14:textId="77777777" w:rsidR="00F65BCA" w:rsidRDefault="00F65BCA">
                        <w:pPr>
                          <w:pStyle w:val="TableParagraph"/>
                          <w:rPr>
                            <w:rFonts w:ascii="Calibri"/>
                            <w:sz w:val="2"/>
                          </w:rPr>
                        </w:pPr>
                      </w:p>
                      <w:p w14:paraId="0D23F036"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36C2F7DF" w14:textId="77777777" w:rsidR="00F65BCA" w:rsidRDefault="00F65BCA">
                        <w:pPr>
                          <w:pStyle w:val="TableParagraph"/>
                          <w:rPr>
                            <w:rFonts w:ascii="Calibri"/>
                            <w:sz w:val="2"/>
                          </w:rPr>
                        </w:pPr>
                      </w:p>
                      <w:p w14:paraId="70ABFEF3"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1160A16C" w14:textId="77777777" w:rsidR="00F65BCA" w:rsidRDefault="00F65BCA">
                        <w:pPr>
                          <w:pStyle w:val="TableParagraph"/>
                          <w:rPr>
                            <w:rFonts w:ascii="Calibri"/>
                            <w:sz w:val="2"/>
                          </w:rPr>
                        </w:pPr>
                      </w:p>
                      <w:p w14:paraId="431D6A80"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5A8B882A" w14:textId="77777777" w:rsidR="00F65BCA" w:rsidRDefault="00F65BCA">
                        <w:pPr>
                          <w:pStyle w:val="TableParagraph"/>
                          <w:rPr>
                            <w:rFonts w:ascii="Calibri"/>
                            <w:sz w:val="2"/>
                          </w:rPr>
                        </w:pPr>
                      </w:p>
                      <w:p w14:paraId="35F3A107"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5E75675A" w14:textId="77777777" w:rsidR="00F65BCA" w:rsidRDefault="00F65BCA">
                        <w:pPr>
                          <w:pStyle w:val="TableParagraph"/>
                          <w:rPr>
                            <w:rFonts w:ascii="Calibri"/>
                            <w:sz w:val="2"/>
                          </w:rPr>
                        </w:pPr>
                      </w:p>
                      <w:p w14:paraId="590AD16B"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0F10DB07" w14:textId="77777777" w:rsidR="00F65BCA" w:rsidRDefault="00F65BCA">
                        <w:pPr>
                          <w:pStyle w:val="TableParagraph"/>
                          <w:rPr>
                            <w:rFonts w:ascii="Calibri"/>
                            <w:sz w:val="2"/>
                          </w:rPr>
                        </w:pPr>
                      </w:p>
                      <w:p w14:paraId="14AF5744"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25B37644" w14:textId="77777777" w:rsidR="00F65BCA" w:rsidRDefault="00F65BCA">
                        <w:pPr>
                          <w:pStyle w:val="TableParagraph"/>
                          <w:rPr>
                            <w:rFonts w:ascii="Calibri"/>
                            <w:sz w:val="2"/>
                          </w:rPr>
                        </w:pPr>
                      </w:p>
                      <w:p w14:paraId="70CCC8C5" w14:textId="77777777" w:rsidR="00F65BCA" w:rsidRDefault="00216117">
                        <w:pPr>
                          <w:pStyle w:val="TableParagraph"/>
                          <w:ind w:left="24" w:right="24"/>
                          <w:jc w:val="center"/>
                          <w:rPr>
                            <w:sz w:val="3"/>
                          </w:rPr>
                        </w:pPr>
                        <w:r>
                          <w:rPr>
                            <w:w w:val="105"/>
                            <w:sz w:val="3"/>
                          </w:rPr>
                          <w:t>1,30139079%</w:t>
                        </w:r>
                      </w:p>
                    </w:tc>
                  </w:tr>
                  <w:tr w:rsidR="00F65BCA" w14:paraId="609455EF" w14:textId="77777777">
                    <w:trPr>
                      <w:trHeight w:val="153"/>
                    </w:trPr>
                    <w:tc>
                      <w:tcPr>
                        <w:tcW w:w="526" w:type="dxa"/>
                        <w:vMerge/>
                        <w:tcBorders>
                          <w:top w:val="nil"/>
                          <w:left w:val="single" w:sz="2" w:space="0" w:color="000000"/>
                          <w:bottom w:val="single" w:sz="2" w:space="0" w:color="000000"/>
                          <w:right w:val="single" w:sz="2" w:space="0" w:color="000000"/>
                        </w:tcBorders>
                        <w:shd w:val="clear" w:color="auto" w:fill="FCE4D6"/>
                      </w:tcPr>
                      <w:p w14:paraId="407B5F85"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80C4828"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A391460" w14:textId="77777777" w:rsidR="00F65BCA" w:rsidRDefault="00216117">
                        <w:pPr>
                          <w:pStyle w:val="TableParagraph"/>
                          <w:spacing w:before="10" w:line="40" w:lineRule="atLeast"/>
                          <w:ind w:left="4" w:right="-17"/>
                          <w:rPr>
                            <w:sz w:val="3"/>
                          </w:rPr>
                        </w:pPr>
                        <w:r>
                          <w:rPr>
                            <w:w w:val="105"/>
                            <w:sz w:val="3"/>
                          </w:rPr>
                          <w:t>3000 GT; ASX; CARISMA; COLT; ECLIPSE; ECLIPSE CROSS; ENDEAVOR; GALANT; GALANT KOMBI; GRANDIS; I-MIEV; JINÉ; LANCER; LANCER ESTATE; LANCER EVOLUTION; LANCER STATION WAGON; MONTERO; OUTLANDER; PAJERO; PAJERO MT; PAJERO PININ; PAJERO SPORT; PAJERO WAGON; SIGMA; SIGMA KOMBI; SPACE GEAR; SPACE RUNNER; SPACE STAR; SPACE WAGON; STARION</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ACF8BA8" w14:textId="77777777" w:rsidR="00F65BCA" w:rsidRDefault="00F65BCA">
                        <w:pPr>
                          <w:pStyle w:val="TableParagraph"/>
                          <w:rPr>
                            <w:rFonts w:ascii="Calibri"/>
                            <w:sz w:val="2"/>
                          </w:rPr>
                        </w:pPr>
                      </w:p>
                      <w:p w14:paraId="772D6B45" w14:textId="77777777" w:rsidR="00F65BCA" w:rsidRDefault="00F65BCA">
                        <w:pPr>
                          <w:pStyle w:val="TableParagraph"/>
                          <w:spacing w:before="10"/>
                          <w:rPr>
                            <w:rFonts w:ascii="Calibri"/>
                            <w:sz w:val="2"/>
                          </w:rPr>
                        </w:pPr>
                      </w:p>
                      <w:p w14:paraId="24791B99"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52474DA" w14:textId="77777777" w:rsidR="00F65BCA" w:rsidRDefault="00F65BCA">
                        <w:pPr>
                          <w:pStyle w:val="TableParagraph"/>
                          <w:rPr>
                            <w:rFonts w:ascii="Calibri"/>
                            <w:sz w:val="2"/>
                          </w:rPr>
                        </w:pPr>
                      </w:p>
                      <w:p w14:paraId="72A3B8D7" w14:textId="77777777" w:rsidR="00F65BCA" w:rsidRDefault="00F65BCA">
                        <w:pPr>
                          <w:pStyle w:val="TableParagraph"/>
                          <w:spacing w:before="10"/>
                          <w:rPr>
                            <w:rFonts w:ascii="Calibri"/>
                            <w:sz w:val="2"/>
                          </w:rPr>
                        </w:pPr>
                      </w:p>
                      <w:p w14:paraId="0DF714A8"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5AE030F2"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5C28B6E" w14:textId="77777777" w:rsidR="00F65BCA" w:rsidRDefault="00F65BCA">
                        <w:pPr>
                          <w:pStyle w:val="TableParagraph"/>
                          <w:rPr>
                            <w:rFonts w:ascii="Calibri"/>
                            <w:sz w:val="2"/>
                          </w:rPr>
                        </w:pPr>
                      </w:p>
                      <w:p w14:paraId="736BDACB" w14:textId="77777777" w:rsidR="00F65BCA" w:rsidRDefault="00F65BCA">
                        <w:pPr>
                          <w:pStyle w:val="TableParagraph"/>
                          <w:spacing w:before="10"/>
                          <w:rPr>
                            <w:rFonts w:ascii="Calibri"/>
                            <w:sz w:val="2"/>
                          </w:rPr>
                        </w:pPr>
                      </w:p>
                      <w:p w14:paraId="0BB583CD" w14:textId="77777777" w:rsidR="00F65BCA" w:rsidRDefault="00216117">
                        <w:pPr>
                          <w:pStyle w:val="TableParagraph"/>
                          <w:ind w:left="24" w:right="24"/>
                          <w:jc w:val="center"/>
                          <w:rPr>
                            <w:sz w:val="3"/>
                          </w:rPr>
                        </w:pPr>
                        <w:r>
                          <w:rPr>
                            <w:w w:val="105"/>
                            <w:sz w:val="3"/>
                          </w:rPr>
                          <w:t>1,24041466%</w:t>
                        </w:r>
                      </w:p>
                    </w:tc>
                    <w:tc>
                      <w:tcPr>
                        <w:tcW w:w="288" w:type="dxa"/>
                        <w:tcBorders>
                          <w:top w:val="single" w:sz="2" w:space="0" w:color="000000"/>
                          <w:left w:val="single" w:sz="2" w:space="0" w:color="000000"/>
                          <w:bottom w:val="single" w:sz="2" w:space="0" w:color="000000"/>
                          <w:right w:val="single" w:sz="2" w:space="0" w:color="000000"/>
                        </w:tcBorders>
                      </w:tcPr>
                      <w:p w14:paraId="4D8E123C" w14:textId="77777777" w:rsidR="00F65BCA" w:rsidRDefault="00F65BCA">
                        <w:pPr>
                          <w:pStyle w:val="TableParagraph"/>
                          <w:rPr>
                            <w:rFonts w:ascii="Calibri"/>
                            <w:sz w:val="2"/>
                          </w:rPr>
                        </w:pPr>
                      </w:p>
                      <w:p w14:paraId="5E5E5B91" w14:textId="77777777" w:rsidR="00F65BCA" w:rsidRDefault="00F65BCA">
                        <w:pPr>
                          <w:pStyle w:val="TableParagraph"/>
                          <w:spacing w:before="10"/>
                          <w:rPr>
                            <w:rFonts w:ascii="Calibri"/>
                            <w:sz w:val="2"/>
                          </w:rPr>
                        </w:pPr>
                      </w:p>
                      <w:p w14:paraId="64EBA65C" w14:textId="77777777" w:rsidR="00F65BCA" w:rsidRDefault="00216117">
                        <w:pPr>
                          <w:pStyle w:val="TableParagraph"/>
                          <w:ind w:left="24" w:right="24"/>
                          <w:jc w:val="center"/>
                          <w:rPr>
                            <w:sz w:val="3"/>
                          </w:rPr>
                        </w:pPr>
                        <w:r>
                          <w:rPr>
                            <w:w w:val="105"/>
                            <w:sz w:val="3"/>
                          </w:rPr>
                          <w:t>1,16288874%</w:t>
                        </w:r>
                      </w:p>
                    </w:tc>
                    <w:tc>
                      <w:tcPr>
                        <w:tcW w:w="288" w:type="dxa"/>
                        <w:tcBorders>
                          <w:top w:val="single" w:sz="2" w:space="0" w:color="000000"/>
                          <w:left w:val="single" w:sz="2" w:space="0" w:color="000000"/>
                          <w:bottom w:val="single" w:sz="2" w:space="0" w:color="000000"/>
                          <w:right w:val="single" w:sz="2" w:space="0" w:color="000000"/>
                        </w:tcBorders>
                      </w:tcPr>
                      <w:p w14:paraId="3F5A0BB6" w14:textId="77777777" w:rsidR="00F65BCA" w:rsidRDefault="00F65BCA">
                        <w:pPr>
                          <w:pStyle w:val="TableParagraph"/>
                          <w:rPr>
                            <w:rFonts w:ascii="Calibri"/>
                            <w:sz w:val="2"/>
                          </w:rPr>
                        </w:pPr>
                      </w:p>
                      <w:p w14:paraId="7C801B5B" w14:textId="77777777" w:rsidR="00F65BCA" w:rsidRDefault="00F65BCA">
                        <w:pPr>
                          <w:pStyle w:val="TableParagraph"/>
                          <w:spacing w:before="10"/>
                          <w:rPr>
                            <w:rFonts w:ascii="Calibri"/>
                            <w:sz w:val="2"/>
                          </w:rPr>
                        </w:pPr>
                      </w:p>
                      <w:p w14:paraId="59A674E2" w14:textId="77777777" w:rsidR="00F65BCA" w:rsidRDefault="00216117">
                        <w:pPr>
                          <w:pStyle w:val="TableParagraph"/>
                          <w:ind w:left="24" w:right="24"/>
                          <w:jc w:val="center"/>
                          <w:rPr>
                            <w:sz w:val="3"/>
                          </w:rPr>
                        </w:pPr>
                        <w:r>
                          <w:rPr>
                            <w:w w:val="105"/>
                            <w:sz w:val="3"/>
                          </w:rPr>
                          <w:t>1,10862060%</w:t>
                        </w:r>
                      </w:p>
                    </w:tc>
                    <w:tc>
                      <w:tcPr>
                        <w:tcW w:w="288" w:type="dxa"/>
                        <w:tcBorders>
                          <w:top w:val="single" w:sz="2" w:space="0" w:color="000000"/>
                          <w:left w:val="single" w:sz="2" w:space="0" w:color="000000"/>
                          <w:bottom w:val="single" w:sz="2" w:space="0" w:color="000000"/>
                          <w:right w:val="single" w:sz="2" w:space="0" w:color="000000"/>
                        </w:tcBorders>
                      </w:tcPr>
                      <w:p w14:paraId="61DEE1A2" w14:textId="77777777" w:rsidR="00F65BCA" w:rsidRDefault="00F65BCA">
                        <w:pPr>
                          <w:pStyle w:val="TableParagraph"/>
                          <w:rPr>
                            <w:rFonts w:ascii="Calibri"/>
                            <w:sz w:val="2"/>
                          </w:rPr>
                        </w:pPr>
                      </w:p>
                      <w:p w14:paraId="3E82F465" w14:textId="77777777" w:rsidR="00F65BCA" w:rsidRDefault="00F65BCA">
                        <w:pPr>
                          <w:pStyle w:val="TableParagraph"/>
                          <w:spacing w:before="10"/>
                          <w:rPr>
                            <w:rFonts w:ascii="Calibri"/>
                            <w:sz w:val="2"/>
                          </w:rPr>
                        </w:pPr>
                      </w:p>
                      <w:p w14:paraId="40E699CA"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69A69EB7" w14:textId="77777777" w:rsidR="00F65BCA" w:rsidRDefault="00F65BCA">
                        <w:pPr>
                          <w:pStyle w:val="TableParagraph"/>
                          <w:rPr>
                            <w:rFonts w:ascii="Calibri"/>
                            <w:sz w:val="2"/>
                          </w:rPr>
                        </w:pPr>
                      </w:p>
                      <w:p w14:paraId="3823C57F" w14:textId="77777777" w:rsidR="00F65BCA" w:rsidRDefault="00F65BCA">
                        <w:pPr>
                          <w:pStyle w:val="TableParagraph"/>
                          <w:spacing w:before="10"/>
                          <w:rPr>
                            <w:rFonts w:ascii="Calibri"/>
                            <w:sz w:val="2"/>
                          </w:rPr>
                        </w:pPr>
                      </w:p>
                      <w:p w14:paraId="4F5C6C02" w14:textId="77777777" w:rsidR="00F65BCA" w:rsidRDefault="00216117">
                        <w:pPr>
                          <w:pStyle w:val="TableParagraph"/>
                          <w:ind w:left="24" w:right="24"/>
                          <w:jc w:val="center"/>
                          <w:rPr>
                            <w:sz w:val="3"/>
                          </w:rPr>
                        </w:pPr>
                        <w:r>
                          <w:rPr>
                            <w:w w:val="105"/>
                            <w:sz w:val="3"/>
                          </w:rPr>
                          <w:t>0,99233172%</w:t>
                        </w:r>
                      </w:p>
                    </w:tc>
                    <w:tc>
                      <w:tcPr>
                        <w:tcW w:w="288" w:type="dxa"/>
                        <w:tcBorders>
                          <w:top w:val="single" w:sz="2" w:space="0" w:color="000000"/>
                          <w:left w:val="single" w:sz="2" w:space="0" w:color="000000"/>
                          <w:bottom w:val="single" w:sz="2" w:space="0" w:color="000000"/>
                          <w:right w:val="single" w:sz="2" w:space="0" w:color="000000"/>
                        </w:tcBorders>
                      </w:tcPr>
                      <w:p w14:paraId="27A85E85" w14:textId="77777777" w:rsidR="00F65BCA" w:rsidRDefault="00F65BCA">
                        <w:pPr>
                          <w:pStyle w:val="TableParagraph"/>
                          <w:rPr>
                            <w:rFonts w:ascii="Calibri"/>
                            <w:sz w:val="2"/>
                          </w:rPr>
                        </w:pPr>
                      </w:p>
                      <w:p w14:paraId="013EED56" w14:textId="77777777" w:rsidR="00F65BCA" w:rsidRDefault="00F65BCA">
                        <w:pPr>
                          <w:pStyle w:val="TableParagraph"/>
                          <w:spacing w:before="10"/>
                          <w:rPr>
                            <w:rFonts w:ascii="Calibri"/>
                            <w:sz w:val="2"/>
                          </w:rPr>
                        </w:pPr>
                      </w:p>
                      <w:p w14:paraId="6623A7A0" w14:textId="77777777" w:rsidR="00F65BCA" w:rsidRDefault="00216117">
                        <w:pPr>
                          <w:pStyle w:val="TableParagraph"/>
                          <w:ind w:left="24" w:right="24"/>
                          <w:jc w:val="center"/>
                          <w:rPr>
                            <w:sz w:val="3"/>
                          </w:rPr>
                        </w:pPr>
                        <w:r>
                          <w:rPr>
                            <w:w w:val="105"/>
                            <w:sz w:val="3"/>
                          </w:rPr>
                          <w:t>0,92255840%</w:t>
                        </w:r>
                      </w:p>
                    </w:tc>
                    <w:tc>
                      <w:tcPr>
                        <w:tcW w:w="288" w:type="dxa"/>
                        <w:tcBorders>
                          <w:top w:val="single" w:sz="2" w:space="0" w:color="000000"/>
                          <w:left w:val="single" w:sz="2" w:space="0" w:color="000000"/>
                          <w:bottom w:val="single" w:sz="2" w:space="0" w:color="000000"/>
                          <w:right w:val="single" w:sz="2" w:space="0" w:color="000000"/>
                        </w:tcBorders>
                      </w:tcPr>
                      <w:p w14:paraId="00E2857D" w14:textId="77777777" w:rsidR="00F65BCA" w:rsidRDefault="00F65BCA">
                        <w:pPr>
                          <w:pStyle w:val="TableParagraph"/>
                          <w:rPr>
                            <w:rFonts w:ascii="Calibri"/>
                            <w:sz w:val="2"/>
                          </w:rPr>
                        </w:pPr>
                      </w:p>
                      <w:p w14:paraId="0D27BB9E" w14:textId="77777777" w:rsidR="00F65BCA" w:rsidRDefault="00F65BCA">
                        <w:pPr>
                          <w:pStyle w:val="TableParagraph"/>
                          <w:spacing w:before="10"/>
                          <w:rPr>
                            <w:rFonts w:ascii="Calibri"/>
                            <w:sz w:val="2"/>
                          </w:rPr>
                        </w:pPr>
                      </w:p>
                      <w:p w14:paraId="48556082" w14:textId="77777777" w:rsidR="00F65BCA" w:rsidRDefault="00216117">
                        <w:pPr>
                          <w:pStyle w:val="TableParagraph"/>
                          <w:ind w:left="24" w:right="24"/>
                          <w:jc w:val="center"/>
                          <w:rPr>
                            <w:sz w:val="3"/>
                          </w:rPr>
                        </w:pPr>
                        <w:r>
                          <w:rPr>
                            <w:w w:val="105"/>
                            <w:sz w:val="3"/>
                          </w:rPr>
                          <w:t>0,85278508%</w:t>
                        </w:r>
                      </w:p>
                    </w:tc>
                    <w:tc>
                      <w:tcPr>
                        <w:tcW w:w="288" w:type="dxa"/>
                        <w:tcBorders>
                          <w:top w:val="single" w:sz="2" w:space="0" w:color="000000"/>
                          <w:left w:val="single" w:sz="2" w:space="0" w:color="000000"/>
                          <w:bottom w:val="single" w:sz="2" w:space="0" w:color="000000"/>
                          <w:right w:val="single" w:sz="2" w:space="0" w:color="000000"/>
                        </w:tcBorders>
                      </w:tcPr>
                      <w:p w14:paraId="0E6444D7" w14:textId="77777777" w:rsidR="00F65BCA" w:rsidRDefault="00F65BCA">
                        <w:pPr>
                          <w:pStyle w:val="TableParagraph"/>
                          <w:rPr>
                            <w:rFonts w:ascii="Calibri"/>
                            <w:sz w:val="2"/>
                          </w:rPr>
                        </w:pPr>
                      </w:p>
                      <w:p w14:paraId="37B1B397" w14:textId="77777777" w:rsidR="00F65BCA" w:rsidRDefault="00F65BCA">
                        <w:pPr>
                          <w:pStyle w:val="TableParagraph"/>
                          <w:spacing w:before="10"/>
                          <w:rPr>
                            <w:rFonts w:ascii="Calibri"/>
                            <w:sz w:val="2"/>
                          </w:rPr>
                        </w:pPr>
                      </w:p>
                      <w:p w14:paraId="37436646" w14:textId="77777777" w:rsidR="00F65BCA" w:rsidRDefault="00216117">
                        <w:pPr>
                          <w:pStyle w:val="TableParagraph"/>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2FB74AAC" w14:textId="77777777" w:rsidR="00F65BCA" w:rsidRDefault="00F65BCA">
                        <w:pPr>
                          <w:pStyle w:val="TableParagraph"/>
                          <w:rPr>
                            <w:rFonts w:ascii="Calibri"/>
                            <w:sz w:val="2"/>
                          </w:rPr>
                        </w:pPr>
                      </w:p>
                      <w:p w14:paraId="25B867A7" w14:textId="77777777" w:rsidR="00F65BCA" w:rsidRDefault="00F65BCA">
                        <w:pPr>
                          <w:pStyle w:val="TableParagraph"/>
                          <w:spacing w:before="10"/>
                          <w:rPr>
                            <w:rFonts w:ascii="Calibri"/>
                            <w:sz w:val="2"/>
                          </w:rPr>
                        </w:pPr>
                      </w:p>
                      <w:p w14:paraId="2E6D29DE" w14:textId="77777777" w:rsidR="00F65BCA" w:rsidRDefault="00216117">
                        <w:pPr>
                          <w:pStyle w:val="TableParagraph"/>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2CEBE5F8" w14:textId="77777777" w:rsidR="00F65BCA" w:rsidRDefault="00F65BCA">
                        <w:pPr>
                          <w:pStyle w:val="TableParagraph"/>
                          <w:rPr>
                            <w:rFonts w:ascii="Calibri"/>
                            <w:sz w:val="2"/>
                          </w:rPr>
                        </w:pPr>
                      </w:p>
                      <w:p w14:paraId="70E21709" w14:textId="77777777" w:rsidR="00F65BCA" w:rsidRDefault="00F65BCA">
                        <w:pPr>
                          <w:pStyle w:val="TableParagraph"/>
                          <w:spacing w:before="10"/>
                          <w:rPr>
                            <w:rFonts w:ascii="Calibri"/>
                            <w:sz w:val="2"/>
                          </w:rPr>
                        </w:pPr>
                      </w:p>
                      <w:p w14:paraId="2C9A9A19" w14:textId="77777777" w:rsidR="00F65BCA" w:rsidRDefault="00216117">
                        <w:pPr>
                          <w:pStyle w:val="TableParagraph"/>
                          <w:ind w:left="24" w:right="24"/>
                          <w:jc w:val="center"/>
                          <w:rPr>
                            <w:sz w:val="3"/>
                          </w:rPr>
                        </w:pPr>
                        <w:r>
                          <w:rPr>
                            <w:w w:val="105"/>
                            <w:sz w:val="3"/>
                          </w:rPr>
                          <w:t>0,93031099%</w:t>
                        </w:r>
                      </w:p>
                    </w:tc>
                    <w:tc>
                      <w:tcPr>
                        <w:tcW w:w="288" w:type="dxa"/>
                        <w:tcBorders>
                          <w:top w:val="single" w:sz="2" w:space="0" w:color="000000"/>
                          <w:left w:val="single" w:sz="2" w:space="0" w:color="000000"/>
                          <w:bottom w:val="single" w:sz="2" w:space="0" w:color="000000"/>
                          <w:right w:val="single" w:sz="2" w:space="0" w:color="000000"/>
                        </w:tcBorders>
                      </w:tcPr>
                      <w:p w14:paraId="4216853A" w14:textId="77777777" w:rsidR="00F65BCA" w:rsidRDefault="00F65BCA">
                        <w:pPr>
                          <w:pStyle w:val="TableParagraph"/>
                          <w:rPr>
                            <w:rFonts w:ascii="Calibri"/>
                            <w:sz w:val="2"/>
                          </w:rPr>
                        </w:pPr>
                      </w:p>
                      <w:p w14:paraId="7501DB3B" w14:textId="77777777" w:rsidR="00F65BCA" w:rsidRDefault="00F65BCA">
                        <w:pPr>
                          <w:pStyle w:val="TableParagraph"/>
                          <w:spacing w:before="10"/>
                          <w:rPr>
                            <w:rFonts w:ascii="Calibri"/>
                            <w:sz w:val="2"/>
                          </w:rPr>
                        </w:pPr>
                      </w:p>
                      <w:p w14:paraId="63446C7A"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530282E0" w14:textId="77777777" w:rsidR="00F65BCA" w:rsidRDefault="00F65BCA">
                        <w:pPr>
                          <w:pStyle w:val="TableParagraph"/>
                          <w:rPr>
                            <w:rFonts w:ascii="Calibri"/>
                            <w:sz w:val="2"/>
                          </w:rPr>
                        </w:pPr>
                      </w:p>
                      <w:p w14:paraId="22639D33" w14:textId="77777777" w:rsidR="00F65BCA" w:rsidRDefault="00F65BCA">
                        <w:pPr>
                          <w:pStyle w:val="TableParagraph"/>
                          <w:spacing w:before="10"/>
                          <w:rPr>
                            <w:rFonts w:ascii="Calibri"/>
                            <w:sz w:val="2"/>
                          </w:rPr>
                        </w:pPr>
                      </w:p>
                      <w:p w14:paraId="62926E7D"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26A59DC2" w14:textId="77777777" w:rsidR="00F65BCA" w:rsidRDefault="00F65BCA">
                        <w:pPr>
                          <w:pStyle w:val="TableParagraph"/>
                          <w:rPr>
                            <w:rFonts w:ascii="Calibri"/>
                            <w:sz w:val="2"/>
                          </w:rPr>
                        </w:pPr>
                      </w:p>
                      <w:p w14:paraId="3AA1E7FB" w14:textId="77777777" w:rsidR="00F65BCA" w:rsidRDefault="00F65BCA">
                        <w:pPr>
                          <w:pStyle w:val="TableParagraph"/>
                          <w:spacing w:before="10"/>
                          <w:rPr>
                            <w:rFonts w:ascii="Calibri"/>
                            <w:sz w:val="2"/>
                          </w:rPr>
                        </w:pPr>
                      </w:p>
                      <w:p w14:paraId="704D4D1D" w14:textId="77777777" w:rsidR="00F65BCA" w:rsidRDefault="00216117">
                        <w:pPr>
                          <w:pStyle w:val="TableParagraph"/>
                          <w:ind w:left="24" w:right="24"/>
                          <w:jc w:val="center"/>
                          <w:rPr>
                            <w:sz w:val="3"/>
                          </w:rPr>
                        </w:pPr>
                        <w:r>
                          <w:rPr>
                            <w:w w:val="105"/>
                            <w:sz w:val="3"/>
                          </w:rPr>
                          <w:t>1,16288874%</w:t>
                        </w:r>
                      </w:p>
                    </w:tc>
                  </w:tr>
                  <w:tr w:rsidR="00F65BCA" w14:paraId="51DF2479" w14:textId="77777777">
                    <w:trPr>
                      <w:trHeight w:val="153"/>
                    </w:trPr>
                    <w:tc>
                      <w:tcPr>
                        <w:tcW w:w="526" w:type="dxa"/>
                        <w:vMerge/>
                        <w:tcBorders>
                          <w:top w:val="nil"/>
                          <w:left w:val="single" w:sz="2" w:space="0" w:color="000000"/>
                          <w:bottom w:val="single" w:sz="2" w:space="0" w:color="000000"/>
                          <w:right w:val="single" w:sz="2" w:space="0" w:color="000000"/>
                        </w:tcBorders>
                        <w:shd w:val="clear" w:color="auto" w:fill="FCE4D6"/>
                      </w:tcPr>
                      <w:p w14:paraId="35B18A2A"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770E4D03"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7AAD7189"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AE981F0" w14:textId="77777777" w:rsidR="00F65BCA" w:rsidRDefault="00F65BCA">
                        <w:pPr>
                          <w:pStyle w:val="TableParagraph"/>
                          <w:rPr>
                            <w:rFonts w:ascii="Calibri"/>
                            <w:sz w:val="2"/>
                          </w:rPr>
                        </w:pPr>
                      </w:p>
                      <w:p w14:paraId="1B2AC70E" w14:textId="77777777" w:rsidR="00F65BCA" w:rsidRDefault="00F65BCA">
                        <w:pPr>
                          <w:pStyle w:val="TableParagraph"/>
                          <w:spacing w:before="10"/>
                          <w:rPr>
                            <w:rFonts w:ascii="Calibri"/>
                            <w:sz w:val="2"/>
                          </w:rPr>
                        </w:pPr>
                      </w:p>
                      <w:p w14:paraId="53232918"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6EC62BA" w14:textId="77777777" w:rsidR="00F65BCA" w:rsidRDefault="00F65BCA">
                        <w:pPr>
                          <w:pStyle w:val="TableParagraph"/>
                          <w:rPr>
                            <w:rFonts w:ascii="Calibri"/>
                            <w:sz w:val="2"/>
                          </w:rPr>
                        </w:pPr>
                      </w:p>
                      <w:p w14:paraId="3594275A" w14:textId="77777777" w:rsidR="00F65BCA" w:rsidRDefault="00F65BCA">
                        <w:pPr>
                          <w:pStyle w:val="TableParagraph"/>
                          <w:spacing w:before="10"/>
                          <w:rPr>
                            <w:rFonts w:ascii="Calibri"/>
                            <w:sz w:val="2"/>
                          </w:rPr>
                        </w:pPr>
                      </w:p>
                      <w:p w14:paraId="0FB680DD"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77A579A"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B7FAD6C" w14:textId="77777777" w:rsidR="00F65BCA" w:rsidRDefault="00F65BCA">
                        <w:pPr>
                          <w:pStyle w:val="TableParagraph"/>
                          <w:rPr>
                            <w:rFonts w:ascii="Calibri"/>
                            <w:sz w:val="2"/>
                          </w:rPr>
                        </w:pPr>
                      </w:p>
                      <w:p w14:paraId="4C2CF973" w14:textId="77777777" w:rsidR="00F65BCA" w:rsidRDefault="00F65BCA">
                        <w:pPr>
                          <w:pStyle w:val="TableParagraph"/>
                          <w:spacing w:before="10"/>
                          <w:rPr>
                            <w:rFonts w:ascii="Calibri"/>
                            <w:sz w:val="2"/>
                          </w:rPr>
                        </w:pPr>
                      </w:p>
                      <w:p w14:paraId="746A9C39" w14:textId="77777777" w:rsidR="00F65BCA" w:rsidRDefault="00216117">
                        <w:pPr>
                          <w:pStyle w:val="TableParagraph"/>
                          <w:ind w:left="24" w:right="24"/>
                          <w:jc w:val="center"/>
                          <w:rPr>
                            <w:sz w:val="3"/>
                          </w:rPr>
                        </w:pPr>
                        <w:r>
                          <w:rPr>
                            <w:w w:val="105"/>
                            <w:sz w:val="3"/>
                          </w:rPr>
                          <w:t>1,49842090%</w:t>
                        </w:r>
                      </w:p>
                    </w:tc>
                    <w:tc>
                      <w:tcPr>
                        <w:tcW w:w="288" w:type="dxa"/>
                        <w:tcBorders>
                          <w:top w:val="single" w:sz="2" w:space="0" w:color="000000"/>
                          <w:left w:val="single" w:sz="2" w:space="0" w:color="000000"/>
                          <w:bottom w:val="single" w:sz="2" w:space="0" w:color="000000"/>
                          <w:right w:val="single" w:sz="2" w:space="0" w:color="000000"/>
                        </w:tcBorders>
                      </w:tcPr>
                      <w:p w14:paraId="38F822AE" w14:textId="77777777" w:rsidR="00F65BCA" w:rsidRDefault="00F65BCA">
                        <w:pPr>
                          <w:pStyle w:val="TableParagraph"/>
                          <w:rPr>
                            <w:rFonts w:ascii="Calibri"/>
                            <w:sz w:val="2"/>
                          </w:rPr>
                        </w:pPr>
                      </w:p>
                      <w:p w14:paraId="22573D50" w14:textId="77777777" w:rsidR="00F65BCA" w:rsidRDefault="00F65BCA">
                        <w:pPr>
                          <w:pStyle w:val="TableParagraph"/>
                          <w:spacing w:before="10"/>
                          <w:rPr>
                            <w:rFonts w:ascii="Calibri"/>
                            <w:sz w:val="2"/>
                          </w:rPr>
                        </w:pPr>
                      </w:p>
                      <w:p w14:paraId="07D7E036" w14:textId="77777777" w:rsidR="00F65BCA" w:rsidRDefault="00216117">
                        <w:pPr>
                          <w:pStyle w:val="TableParagraph"/>
                          <w:ind w:left="24" w:right="24"/>
                          <w:jc w:val="center"/>
                          <w:rPr>
                            <w:sz w:val="3"/>
                          </w:rPr>
                        </w:pPr>
                        <w:r>
                          <w:rPr>
                            <w:w w:val="105"/>
                            <w:sz w:val="3"/>
                          </w:rPr>
                          <w:t>1,40476960%</w:t>
                        </w:r>
                      </w:p>
                    </w:tc>
                    <w:tc>
                      <w:tcPr>
                        <w:tcW w:w="288" w:type="dxa"/>
                        <w:tcBorders>
                          <w:top w:val="single" w:sz="2" w:space="0" w:color="000000"/>
                          <w:left w:val="single" w:sz="2" w:space="0" w:color="000000"/>
                          <w:bottom w:val="single" w:sz="2" w:space="0" w:color="000000"/>
                          <w:right w:val="single" w:sz="2" w:space="0" w:color="000000"/>
                        </w:tcBorders>
                      </w:tcPr>
                      <w:p w14:paraId="7FC1294B" w14:textId="77777777" w:rsidR="00F65BCA" w:rsidRDefault="00F65BCA">
                        <w:pPr>
                          <w:pStyle w:val="TableParagraph"/>
                          <w:rPr>
                            <w:rFonts w:ascii="Calibri"/>
                            <w:sz w:val="2"/>
                          </w:rPr>
                        </w:pPr>
                      </w:p>
                      <w:p w14:paraId="305A0C7F" w14:textId="77777777" w:rsidR="00F65BCA" w:rsidRDefault="00F65BCA">
                        <w:pPr>
                          <w:pStyle w:val="TableParagraph"/>
                          <w:spacing w:before="10"/>
                          <w:rPr>
                            <w:rFonts w:ascii="Calibri"/>
                            <w:sz w:val="2"/>
                          </w:rPr>
                        </w:pPr>
                      </w:p>
                      <w:p w14:paraId="099E2D7F" w14:textId="77777777" w:rsidR="00F65BCA" w:rsidRDefault="00216117">
                        <w:pPr>
                          <w:pStyle w:val="TableParagraph"/>
                          <w:ind w:left="24" w:right="24"/>
                          <w:jc w:val="center"/>
                          <w:rPr>
                            <w:sz w:val="3"/>
                          </w:rPr>
                        </w:pPr>
                        <w:r>
                          <w:rPr>
                            <w:w w:val="105"/>
                            <w:sz w:val="3"/>
                          </w:rPr>
                          <w:t>1,33921368%</w:t>
                        </w:r>
                      </w:p>
                    </w:tc>
                    <w:tc>
                      <w:tcPr>
                        <w:tcW w:w="288" w:type="dxa"/>
                        <w:tcBorders>
                          <w:top w:val="single" w:sz="2" w:space="0" w:color="000000"/>
                          <w:left w:val="single" w:sz="2" w:space="0" w:color="000000"/>
                          <w:bottom w:val="single" w:sz="2" w:space="0" w:color="000000"/>
                          <w:right w:val="single" w:sz="2" w:space="0" w:color="000000"/>
                        </w:tcBorders>
                      </w:tcPr>
                      <w:p w14:paraId="14440DF2" w14:textId="77777777" w:rsidR="00F65BCA" w:rsidRDefault="00F65BCA">
                        <w:pPr>
                          <w:pStyle w:val="TableParagraph"/>
                          <w:rPr>
                            <w:rFonts w:ascii="Calibri"/>
                            <w:sz w:val="2"/>
                          </w:rPr>
                        </w:pPr>
                      </w:p>
                      <w:p w14:paraId="11D7C838" w14:textId="77777777" w:rsidR="00F65BCA" w:rsidRDefault="00F65BCA">
                        <w:pPr>
                          <w:pStyle w:val="TableParagraph"/>
                          <w:spacing w:before="10"/>
                          <w:rPr>
                            <w:rFonts w:ascii="Calibri"/>
                            <w:sz w:val="2"/>
                          </w:rPr>
                        </w:pPr>
                      </w:p>
                      <w:p w14:paraId="1E28D4E0"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1F7B689F" w14:textId="77777777" w:rsidR="00F65BCA" w:rsidRDefault="00F65BCA">
                        <w:pPr>
                          <w:pStyle w:val="TableParagraph"/>
                          <w:rPr>
                            <w:rFonts w:ascii="Calibri"/>
                            <w:sz w:val="2"/>
                          </w:rPr>
                        </w:pPr>
                      </w:p>
                      <w:p w14:paraId="5C696E08" w14:textId="77777777" w:rsidR="00F65BCA" w:rsidRDefault="00F65BCA">
                        <w:pPr>
                          <w:pStyle w:val="TableParagraph"/>
                          <w:spacing w:before="10"/>
                          <w:rPr>
                            <w:rFonts w:ascii="Calibri"/>
                            <w:sz w:val="2"/>
                          </w:rPr>
                        </w:pPr>
                      </w:p>
                      <w:p w14:paraId="53AF13AE" w14:textId="77777777" w:rsidR="00F65BCA" w:rsidRDefault="00216117">
                        <w:pPr>
                          <w:pStyle w:val="TableParagraph"/>
                          <w:ind w:left="24" w:right="24"/>
                          <w:jc w:val="center"/>
                          <w:rPr>
                            <w:sz w:val="3"/>
                          </w:rPr>
                        </w:pPr>
                        <w:r>
                          <w:rPr>
                            <w:w w:val="105"/>
                            <w:sz w:val="3"/>
                          </w:rPr>
                          <w:t>1,19873672%</w:t>
                        </w:r>
                      </w:p>
                    </w:tc>
                    <w:tc>
                      <w:tcPr>
                        <w:tcW w:w="288" w:type="dxa"/>
                        <w:tcBorders>
                          <w:top w:val="single" w:sz="2" w:space="0" w:color="000000"/>
                          <w:left w:val="single" w:sz="2" w:space="0" w:color="000000"/>
                          <w:bottom w:val="single" w:sz="2" w:space="0" w:color="000000"/>
                          <w:right w:val="single" w:sz="2" w:space="0" w:color="000000"/>
                        </w:tcBorders>
                      </w:tcPr>
                      <w:p w14:paraId="7E92CDD4" w14:textId="77777777" w:rsidR="00F65BCA" w:rsidRDefault="00F65BCA">
                        <w:pPr>
                          <w:pStyle w:val="TableParagraph"/>
                          <w:rPr>
                            <w:rFonts w:ascii="Calibri"/>
                            <w:sz w:val="2"/>
                          </w:rPr>
                        </w:pPr>
                      </w:p>
                      <w:p w14:paraId="60EF3320" w14:textId="77777777" w:rsidR="00F65BCA" w:rsidRDefault="00F65BCA">
                        <w:pPr>
                          <w:pStyle w:val="TableParagraph"/>
                          <w:spacing w:before="10"/>
                          <w:rPr>
                            <w:rFonts w:ascii="Calibri"/>
                            <w:sz w:val="2"/>
                          </w:rPr>
                        </w:pPr>
                      </w:p>
                      <w:p w14:paraId="53894F3B" w14:textId="77777777" w:rsidR="00F65BCA" w:rsidRDefault="00216117">
                        <w:pPr>
                          <w:pStyle w:val="TableParagraph"/>
                          <w:ind w:left="24" w:right="24"/>
                          <w:jc w:val="center"/>
                          <w:rPr>
                            <w:sz w:val="3"/>
                          </w:rPr>
                        </w:pPr>
                        <w:r>
                          <w:rPr>
                            <w:w w:val="105"/>
                            <w:sz w:val="3"/>
                          </w:rPr>
                          <w:t>1,11445055%</w:t>
                        </w:r>
                      </w:p>
                    </w:tc>
                    <w:tc>
                      <w:tcPr>
                        <w:tcW w:w="288" w:type="dxa"/>
                        <w:tcBorders>
                          <w:top w:val="single" w:sz="2" w:space="0" w:color="000000"/>
                          <w:left w:val="single" w:sz="2" w:space="0" w:color="000000"/>
                          <w:bottom w:val="single" w:sz="2" w:space="0" w:color="000000"/>
                          <w:right w:val="single" w:sz="2" w:space="0" w:color="000000"/>
                        </w:tcBorders>
                      </w:tcPr>
                      <w:p w14:paraId="55B166E5" w14:textId="77777777" w:rsidR="00F65BCA" w:rsidRDefault="00F65BCA">
                        <w:pPr>
                          <w:pStyle w:val="TableParagraph"/>
                          <w:rPr>
                            <w:rFonts w:ascii="Calibri"/>
                            <w:sz w:val="2"/>
                          </w:rPr>
                        </w:pPr>
                      </w:p>
                      <w:p w14:paraId="11C53E94" w14:textId="77777777" w:rsidR="00F65BCA" w:rsidRDefault="00F65BCA">
                        <w:pPr>
                          <w:pStyle w:val="TableParagraph"/>
                          <w:spacing w:before="10"/>
                          <w:rPr>
                            <w:rFonts w:ascii="Calibri"/>
                            <w:sz w:val="2"/>
                          </w:rPr>
                        </w:pPr>
                      </w:p>
                      <w:p w14:paraId="56FE7002" w14:textId="77777777" w:rsidR="00F65BCA" w:rsidRDefault="00216117">
                        <w:pPr>
                          <w:pStyle w:val="TableParagraph"/>
                          <w:ind w:left="24" w:right="24"/>
                          <w:jc w:val="center"/>
                          <w:rPr>
                            <w:sz w:val="3"/>
                          </w:rPr>
                        </w:pPr>
                        <w:r>
                          <w:rPr>
                            <w:w w:val="105"/>
                            <w:sz w:val="3"/>
                          </w:rPr>
                          <w:t>1,03016437%</w:t>
                        </w:r>
                      </w:p>
                    </w:tc>
                    <w:tc>
                      <w:tcPr>
                        <w:tcW w:w="288" w:type="dxa"/>
                        <w:tcBorders>
                          <w:top w:val="single" w:sz="2" w:space="0" w:color="000000"/>
                          <w:left w:val="single" w:sz="2" w:space="0" w:color="000000"/>
                          <w:bottom w:val="single" w:sz="2" w:space="0" w:color="000000"/>
                          <w:right w:val="single" w:sz="2" w:space="0" w:color="000000"/>
                        </w:tcBorders>
                      </w:tcPr>
                      <w:p w14:paraId="7A1BD810" w14:textId="77777777" w:rsidR="00F65BCA" w:rsidRDefault="00F65BCA">
                        <w:pPr>
                          <w:pStyle w:val="TableParagraph"/>
                          <w:rPr>
                            <w:rFonts w:ascii="Calibri"/>
                            <w:sz w:val="2"/>
                          </w:rPr>
                        </w:pPr>
                      </w:p>
                      <w:p w14:paraId="193CC7C4" w14:textId="77777777" w:rsidR="00F65BCA" w:rsidRDefault="00F65BCA">
                        <w:pPr>
                          <w:pStyle w:val="TableParagraph"/>
                          <w:spacing w:before="10"/>
                          <w:rPr>
                            <w:rFonts w:ascii="Calibri"/>
                            <w:sz w:val="2"/>
                          </w:rPr>
                        </w:pPr>
                      </w:p>
                      <w:p w14:paraId="4BC857AF" w14:textId="77777777" w:rsidR="00F65BCA" w:rsidRDefault="00216117">
                        <w:pPr>
                          <w:pStyle w:val="TableParagraph"/>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5FD8B83A" w14:textId="77777777" w:rsidR="00F65BCA" w:rsidRDefault="00F65BCA">
                        <w:pPr>
                          <w:pStyle w:val="TableParagraph"/>
                          <w:rPr>
                            <w:rFonts w:ascii="Calibri"/>
                            <w:sz w:val="2"/>
                          </w:rPr>
                        </w:pPr>
                      </w:p>
                      <w:p w14:paraId="1820793E" w14:textId="77777777" w:rsidR="00F65BCA" w:rsidRDefault="00F65BCA">
                        <w:pPr>
                          <w:pStyle w:val="TableParagraph"/>
                          <w:spacing w:before="10"/>
                          <w:rPr>
                            <w:rFonts w:ascii="Calibri"/>
                            <w:sz w:val="2"/>
                          </w:rPr>
                        </w:pPr>
                      </w:p>
                      <w:p w14:paraId="30D7EFC7" w14:textId="77777777" w:rsidR="00F65BCA" w:rsidRDefault="00216117">
                        <w:pPr>
                          <w:pStyle w:val="TableParagraph"/>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67167E3B" w14:textId="77777777" w:rsidR="00F65BCA" w:rsidRDefault="00F65BCA">
                        <w:pPr>
                          <w:pStyle w:val="TableParagraph"/>
                          <w:rPr>
                            <w:rFonts w:ascii="Calibri"/>
                            <w:sz w:val="2"/>
                          </w:rPr>
                        </w:pPr>
                      </w:p>
                      <w:p w14:paraId="64F58E93" w14:textId="77777777" w:rsidR="00F65BCA" w:rsidRDefault="00F65BCA">
                        <w:pPr>
                          <w:pStyle w:val="TableParagraph"/>
                          <w:spacing w:before="10"/>
                          <w:rPr>
                            <w:rFonts w:ascii="Calibri"/>
                            <w:sz w:val="2"/>
                          </w:rPr>
                        </w:pPr>
                      </w:p>
                      <w:p w14:paraId="3B6B81E2" w14:textId="77777777" w:rsidR="00F65BCA" w:rsidRDefault="00216117">
                        <w:pPr>
                          <w:pStyle w:val="TableParagraph"/>
                          <w:ind w:left="24" w:right="24"/>
                          <w:jc w:val="center"/>
                          <w:rPr>
                            <w:sz w:val="3"/>
                          </w:rPr>
                        </w:pPr>
                        <w:r>
                          <w:rPr>
                            <w:w w:val="105"/>
                            <w:sz w:val="3"/>
                          </w:rPr>
                          <w:t>1,12381568%</w:t>
                        </w:r>
                      </w:p>
                    </w:tc>
                    <w:tc>
                      <w:tcPr>
                        <w:tcW w:w="288" w:type="dxa"/>
                        <w:tcBorders>
                          <w:top w:val="single" w:sz="2" w:space="0" w:color="000000"/>
                          <w:left w:val="single" w:sz="2" w:space="0" w:color="000000"/>
                          <w:bottom w:val="single" w:sz="2" w:space="0" w:color="000000"/>
                          <w:right w:val="single" w:sz="2" w:space="0" w:color="000000"/>
                        </w:tcBorders>
                      </w:tcPr>
                      <w:p w14:paraId="266284D5" w14:textId="77777777" w:rsidR="00F65BCA" w:rsidRDefault="00F65BCA">
                        <w:pPr>
                          <w:pStyle w:val="TableParagraph"/>
                          <w:rPr>
                            <w:rFonts w:ascii="Calibri"/>
                            <w:sz w:val="2"/>
                          </w:rPr>
                        </w:pPr>
                      </w:p>
                      <w:p w14:paraId="2C8EAF07" w14:textId="77777777" w:rsidR="00F65BCA" w:rsidRDefault="00F65BCA">
                        <w:pPr>
                          <w:pStyle w:val="TableParagraph"/>
                          <w:spacing w:before="10"/>
                          <w:rPr>
                            <w:rFonts w:ascii="Calibri"/>
                            <w:sz w:val="2"/>
                          </w:rPr>
                        </w:pPr>
                      </w:p>
                      <w:p w14:paraId="78DD7C9A"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640210B6" w14:textId="77777777" w:rsidR="00F65BCA" w:rsidRDefault="00F65BCA">
                        <w:pPr>
                          <w:pStyle w:val="TableParagraph"/>
                          <w:rPr>
                            <w:rFonts w:ascii="Calibri"/>
                            <w:sz w:val="2"/>
                          </w:rPr>
                        </w:pPr>
                      </w:p>
                      <w:p w14:paraId="3E47FE31" w14:textId="77777777" w:rsidR="00F65BCA" w:rsidRDefault="00F65BCA">
                        <w:pPr>
                          <w:pStyle w:val="TableParagraph"/>
                          <w:spacing w:before="10"/>
                          <w:rPr>
                            <w:rFonts w:ascii="Calibri"/>
                            <w:sz w:val="2"/>
                          </w:rPr>
                        </w:pPr>
                      </w:p>
                      <w:p w14:paraId="6AEF831A"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01856C78" w14:textId="77777777" w:rsidR="00F65BCA" w:rsidRDefault="00F65BCA">
                        <w:pPr>
                          <w:pStyle w:val="TableParagraph"/>
                          <w:rPr>
                            <w:rFonts w:ascii="Calibri"/>
                            <w:sz w:val="2"/>
                          </w:rPr>
                        </w:pPr>
                      </w:p>
                      <w:p w14:paraId="769ED9FC" w14:textId="77777777" w:rsidR="00F65BCA" w:rsidRDefault="00F65BCA">
                        <w:pPr>
                          <w:pStyle w:val="TableParagraph"/>
                          <w:spacing w:before="10"/>
                          <w:rPr>
                            <w:rFonts w:ascii="Calibri"/>
                            <w:sz w:val="2"/>
                          </w:rPr>
                        </w:pPr>
                      </w:p>
                      <w:p w14:paraId="471D80B3" w14:textId="77777777" w:rsidR="00F65BCA" w:rsidRDefault="00216117">
                        <w:pPr>
                          <w:pStyle w:val="TableParagraph"/>
                          <w:ind w:left="24" w:right="24"/>
                          <w:jc w:val="center"/>
                          <w:rPr>
                            <w:sz w:val="3"/>
                          </w:rPr>
                        </w:pPr>
                        <w:r>
                          <w:rPr>
                            <w:w w:val="105"/>
                            <w:sz w:val="3"/>
                          </w:rPr>
                          <w:t>1,40476960%</w:t>
                        </w:r>
                      </w:p>
                    </w:tc>
                  </w:tr>
                  <w:tr w:rsidR="00F65BCA" w14:paraId="4561DC2B"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788720CD"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7302596C" w14:textId="77777777" w:rsidR="00F65BCA" w:rsidRDefault="00F65BCA">
                        <w:pPr>
                          <w:pStyle w:val="TableParagraph"/>
                          <w:rPr>
                            <w:rFonts w:ascii="Calibri"/>
                            <w:sz w:val="2"/>
                          </w:rPr>
                        </w:pPr>
                      </w:p>
                      <w:p w14:paraId="3C2D754D" w14:textId="77777777" w:rsidR="00F65BCA" w:rsidRDefault="00F65BCA">
                        <w:pPr>
                          <w:pStyle w:val="TableParagraph"/>
                          <w:rPr>
                            <w:rFonts w:ascii="Calibri"/>
                            <w:sz w:val="2"/>
                          </w:rPr>
                        </w:pPr>
                      </w:p>
                      <w:p w14:paraId="36F9E88F" w14:textId="77777777" w:rsidR="00F65BCA" w:rsidRDefault="00F65BCA">
                        <w:pPr>
                          <w:pStyle w:val="TableParagraph"/>
                          <w:rPr>
                            <w:rFonts w:ascii="Calibri"/>
                            <w:sz w:val="2"/>
                          </w:rPr>
                        </w:pPr>
                      </w:p>
                      <w:p w14:paraId="2C5B8AC5" w14:textId="77777777" w:rsidR="00F65BCA" w:rsidRDefault="00F65BCA">
                        <w:pPr>
                          <w:pStyle w:val="TableParagraph"/>
                          <w:rPr>
                            <w:rFonts w:ascii="Calibri"/>
                            <w:sz w:val="2"/>
                          </w:rPr>
                        </w:pPr>
                      </w:p>
                      <w:p w14:paraId="4EE772B8" w14:textId="77777777" w:rsidR="00F65BCA" w:rsidRDefault="00F65BCA">
                        <w:pPr>
                          <w:pStyle w:val="TableParagraph"/>
                          <w:rPr>
                            <w:rFonts w:ascii="Calibri"/>
                            <w:sz w:val="2"/>
                          </w:rPr>
                        </w:pPr>
                      </w:p>
                      <w:p w14:paraId="2028DDCE" w14:textId="77777777" w:rsidR="00F65BCA" w:rsidRDefault="00F65BCA">
                        <w:pPr>
                          <w:pStyle w:val="TableParagraph"/>
                          <w:rPr>
                            <w:rFonts w:ascii="Calibri"/>
                            <w:sz w:val="2"/>
                          </w:rPr>
                        </w:pPr>
                      </w:p>
                      <w:p w14:paraId="5AD1DCF5" w14:textId="77777777" w:rsidR="00F65BCA" w:rsidRDefault="00F65BCA">
                        <w:pPr>
                          <w:pStyle w:val="TableParagraph"/>
                          <w:rPr>
                            <w:rFonts w:ascii="Calibri"/>
                            <w:sz w:val="2"/>
                          </w:rPr>
                        </w:pPr>
                      </w:p>
                      <w:p w14:paraId="40169AE4" w14:textId="77777777" w:rsidR="00F65BCA" w:rsidRDefault="00F65BCA">
                        <w:pPr>
                          <w:pStyle w:val="TableParagraph"/>
                          <w:rPr>
                            <w:rFonts w:ascii="Calibri"/>
                            <w:sz w:val="2"/>
                          </w:rPr>
                        </w:pPr>
                      </w:p>
                      <w:p w14:paraId="3E40E848" w14:textId="77777777" w:rsidR="00F65BCA" w:rsidRDefault="00F65BCA">
                        <w:pPr>
                          <w:pStyle w:val="TableParagraph"/>
                          <w:rPr>
                            <w:rFonts w:ascii="Calibri"/>
                            <w:sz w:val="2"/>
                          </w:rPr>
                        </w:pPr>
                      </w:p>
                      <w:p w14:paraId="5B1BE89F" w14:textId="77777777" w:rsidR="00F65BCA" w:rsidRDefault="00F65BCA">
                        <w:pPr>
                          <w:pStyle w:val="TableParagraph"/>
                          <w:rPr>
                            <w:rFonts w:ascii="Calibri"/>
                            <w:sz w:val="2"/>
                          </w:rPr>
                        </w:pPr>
                      </w:p>
                      <w:p w14:paraId="58B80D21" w14:textId="77777777" w:rsidR="00F65BCA" w:rsidRDefault="00F65BCA">
                        <w:pPr>
                          <w:pStyle w:val="TableParagraph"/>
                          <w:rPr>
                            <w:rFonts w:ascii="Calibri"/>
                            <w:sz w:val="2"/>
                          </w:rPr>
                        </w:pPr>
                      </w:p>
                      <w:p w14:paraId="27DC7E03" w14:textId="77777777" w:rsidR="00F65BCA" w:rsidRDefault="00F65BCA">
                        <w:pPr>
                          <w:pStyle w:val="TableParagraph"/>
                          <w:rPr>
                            <w:rFonts w:ascii="Calibri"/>
                            <w:sz w:val="2"/>
                          </w:rPr>
                        </w:pPr>
                      </w:p>
                      <w:p w14:paraId="50DAF675" w14:textId="77777777" w:rsidR="00F65BCA" w:rsidRDefault="00216117">
                        <w:pPr>
                          <w:pStyle w:val="TableParagraph"/>
                          <w:spacing w:before="16"/>
                          <w:ind w:left="18" w:right="16"/>
                          <w:jc w:val="center"/>
                          <w:rPr>
                            <w:sz w:val="3"/>
                          </w:rPr>
                        </w:pPr>
                        <w:r>
                          <w:rPr>
                            <w:w w:val="105"/>
                            <w:sz w:val="3"/>
                          </w:rPr>
                          <w:t>Nissan</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7B2DB746" w14:textId="77777777" w:rsidR="00F65BCA" w:rsidRDefault="00F65BCA">
                        <w:pPr>
                          <w:pStyle w:val="TableParagraph"/>
                          <w:rPr>
                            <w:rFonts w:ascii="Calibri"/>
                            <w:sz w:val="2"/>
                          </w:rPr>
                        </w:pPr>
                      </w:p>
                      <w:p w14:paraId="23DCF14B" w14:textId="77777777" w:rsidR="00F65BCA" w:rsidRDefault="00216117">
                        <w:pPr>
                          <w:pStyle w:val="TableParagraph"/>
                          <w:spacing w:line="40" w:lineRule="atLeast"/>
                          <w:ind w:left="4" w:right="27"/>
                          <w:rPr>
                            <w:sz w:val="3"/>
                          </w:rPr>
                        </w:pPr>
                        <w:r>
                          <w:rPr>
                            <w:w w:val="105"/>
                            <w:sz w:val="3"/>
                          </w:rPr>
                          <w:t>ATLEON DO 3,5T; CABSTAR; DOUBLE CAB; KING CAB; KUBISTAR; L 35; NAVARA; NP 300; NP 300 PICK UP; NV 200; PICK-UP; PRIMASTAR</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E217D45" w14:textId="77777777" w:rsidR="00F65BCA" w:rsidRDefault="00F65BCA">
                        <w:pPr>
                          <w:pStyle w:val="TableParagraph"/>
                          <w:rPr>
                            <w:rFonts w:ascii="Calibri"/>
                            <w:sz w:val="2"/>
                          </w:rPr>
                        </w:pPr>
                      </w:p>
                      <w:p w14:paraId="15CFB4A8"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C525CC8" w14:textId="77777777" w:rsidR="00F65BCA" w:rsidRDefault="00F65BCA">
                        <w:pPr>
                          <w:pStyle w:val="TableParagraph"/>
                          <w:rPr>
                            <w:rFonts w:ascii="Calibri"/>
                            <w:sz w:val="2"/>
                          </w:rPr>
                        </w:pPr>
                      </w:p>
                      <w:p w14:paraId="5EBE56FF"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471C5585"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509A3D6" w14:textId="77777777" w:rsidR="00F65BCA" w:rsidRDefault="00F65BCA">
                        <w:pPr>
                          <w:pStyle w:val="TableParagraph"/>
                          <w:rPr>
                            <w:rFonts w:ascii="Calibri"/>
                            <w:sz w:val="2"/>
                          </w:rPr>
                        </w:pPr>
                      </w:p>
                      <w:p w14:paraId="7DDF1E62"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739D870A" w14:textId="77777777" w:rsidR="00F65BCA" w:rsidRDefault="00F65BCA">
                        <w:pPr>
                          <w:pStyle w:val="TableParagraph"/>
                          <w:rPr>
                            <w:rFonts w:ascii="Calibri"/>
                            <w:sz w:val="2"/>
                          </w:rPr>
                        </w:pPr>
                      </w:p>
                      <w:p w14:paraId="7D528B22"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62B084F8" w14:textId="77777777" w:rsidR="00F65BCA" w:rsidRDefault="00F65BCA">
                        <w:pPr>
                          <w:pStyle w:val="TableParagraph"/>
                          <w:rPr>
                            <w:rFonts w:ascii="Calibri"/>
                            <w:sz w:val="2"/>
                          </w:rPr>
                        </w:pPr>
                      </w:p>
                      <w:p w14:paraId="28EA1468"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371DAC5A" w14:textId="77777777" w:rsidR="00F65BCA" w:rsidRDefault="00F65BCA">
                        <w:pPr>
                          <w:pStyle w:val="TableParagraph"/>
                          <w:rPr>
                            <w:rFonts w:ascii="Calibri"/>
                            <w:sz w:val="2"/>
                          </w:rPr>
                        </w:pPr>
                      </w:p>
                      <w:p w14:paraId="0869D8FB"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5FB5D851" w14:textId="77777777" w:rsidR="00F65BCA" w:rsidRDefault="00F65BCA">
                        <w:pPr>
                          <w:pStyle w:val="TableParagraph"/>
                          <w:rPr>
                            <w:rFonts w:ascii="Calibri"/>
                            <w:sz w:val="2"/>
                          </w:rPr>
                        </w:pPr>
                      </w:p>
                      <w:p w14:paraId="5E389209"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3B4751B7" w14:textId="77777777" w:rsidR="00F65BCA" w:rsidRDefault="00F65BCA">
                        <w:pPr>
                          <w:pStyle w:val="TableParagraph"/>
                          <w:rPr>
                            <w:rFonts w:ascii="Calibri"/>
                            <w:sz w:val="2"/>
                          </w:rPr>
                        </w:pPr>
                      </w:p>
                      <w:p w14:paraId="3A16A948"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1268F3CB" w14:textId="77777777" w:rsidR="00F65BCA" w:rsidRDefault="00F65BCA">
                        <w:pPr>
                          <w:pStyle w:val="TableParagraph"/>
                          <w:rPr>
                            <w:rFonts w:ascii="Calibri"/>
                            <w:sz w:val="2"/>
                          </w:rPr>
                        </w:pPr>
                      </w:p>
                      <w:p w14:paraId="5F5D74E8"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1F5AD109" w14:textId="77777777" w:rsidR="00F65BCA" w:rsidRDefault="00F65BCA">
                        <w:pPr>
                          <w:pStyle w:val="TableParagraph"/>
                          <w:rPr>
                            <w:rFonts w:ascii="Calibri"/>
                            <w:sz w:val="2"/>
                          </w:rPr>
                        </w:pPr>
                      </w:p>
                      <w:p w14:paraId="7A11F732"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1E452A75" w14:textId="77777777" w:rsidR="00F65BCA" w:rsidRDefault="00F65BCA">
                        <w:pPr>
                          <w:pStyle w:val="TableParagraph"/>
                          <w:rPr>
                            <w:rFonts w:ascii="Calibri"/>
                            <w:sz w:val="2"/>
                          </w:rPr>
                        </w:pPr>
                      </w:p>
                      <w:p w14:paraId="5E7A968E"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1FEEAD70" w14:textId="77777777" w:rsidR="00F65BCA" w:rsidRDefault="00F65BCA">
                        <w:pPr>
                          <w:pStyle w:val="TableParagraph"/>
                          <w:rPr>
                            <w:rFonts w:ascii="Calibri"/>
                            <w:sz w:val="2"/>
                          </w:rPr>
                        </w:pPr>
                      </w:p>
                      <w:p w14:paraId="22807216"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34A58C03" w14:textId="77777777" w:rsidR="00F65BCA" w:rsidRDefault="00F65BCA">
                        <w:pPr>
                          <w:pStyle w:val="TableParagraph"/>
                          <w:rPr>
                            <w:rFonts w:ascii="Calibri"/>
                            <w:sz w:val="2"/>
                          </w:rPr>
                        </w:pPr>
                      </w:p>
                      <w:p w14:paraId="4DF916A5"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67E6A3B0" w14:textId="77777777" w:rsidR="00F65BCA" w:rsidRDefault="00F65BCA">
                        <w:pPr>
                          <w:pStyle w:val="TableParagraph"/>
                          <w:rPr>
                            <w:rFonts w:ascii="Calibri"/>
                            <w:sz w:val="2"/>
                          </w:rPr>
                        </w:pPr>
                      </w:p>
                      <w:p w14:paraId="1622786C"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437286C6" w14:textId="77777777" w:rsidR="00F65BCA" w:rsidRDefault="00F65BCA">
                        <w:pPr>
                          <w:pStyle w:val="TableParagraph"/>
                          <w:rPr>
                            <w:rFonts w:ascii="Calibri"/>
                            <w:sz w:val="2"/>
                          </w:rPr>
                        </w:pPr>
                      </w:p>
                      <w:p w14:paraId="1BA934F8" w14:textId="77777777" w:rsidR="00F65BCA" w:rsidRDefault="00216117">
                        <w:pPr>
                          <w:pStyle w:val="TableParagraph"/>
                          <w:ind w:left="24" w:right="24"/>
                          <w:jc w:val="center"/>
                          <w:rPr>
                            <w:sz w:val="3"/>
                          </w:rPr>
                        </w:pPr>
                        <w:r>
                          <w:rPr>
                            <w:w w:val="105"/>
                            <w:sz w:val="3"/>
                          </w:rPr>
                          <w:t>1,07731026%</w:t>
                        </w:r>
                      </w:p>
                    </w:tc>
                  </w:tr>
                  <w:tr w:rsidR="00F65BCA" w14:paraId="747AB5C8"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564841CD"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2D1129B2"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06794B70"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64FBCE2" w14:textId="77777777" w:rsidR="00F65BCA" w:rsidRDefault="00F65BCA">
                        <w:pPr>
                          <w:pStyle w:val="TableParagraph"/>
                          <w:rPr>
                            <w:rFonts w:ascii="Calibri"/>
                            <w:sz w:val="2"/>
                          </w:rPr>
                        </w:pPr>
                      </w:p>
                      <w:p w14:paraId="6C0E28F4"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6460668" w14:textId="77777777" w:rsidR="00F65BCA" w:rsidRDefault="00F65BCA">
                        <w:pPr>
                          <w:pStyle w:val="TableParagraph"/>
                          <w:rPr>
                            <w:rFonts w:ascii="Calibri"/>
                            <w:sz w:val="2"/>
                          </w:rPr>
                        </w:pPr>
                      </w:p>
                      <w:p w14:paraId="7770C807"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CB6A550"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45F0AFC6" w14:textId="77777777" w:rsidR="00F65BCA" w:rsidRDefault="00F65BCA">
                        <w:pPr>
                          <w:pStyle w:val="TableParagraph"/>
                          <w:rPr>
                            <w:rFonts w:ascii="Calibri"/>
                            <w:sz w:val="2"/>
                          </w:rPr>
                        </w:pPr>
                      </w:p>
                      <w:p w14:paraId="3D94243C"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773EDB73" w14:textId="77777777" w:rsidR="00F65BCA" w:rsidRDefault="00F65BCA">
                        <w:pPr>
                          <w:pStyle w:val="TableParagraph"/>
                          <w:rPr>
                            <w:rFonts w:ascii="Calibri"/>
                            <w:sz w:val="2"/>
                          </w:rPr>
                        </w:pPr>
                      </w:p>
                      <w:p w14:paraId="4175B9D2"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5C668E9F" w14:textId="77777777" w:rsidR="00F65BCA" w:rsidRDefault="00F65BCA">
                        <w:pPr>
                          <w:pStyle w:val="TableParagraph"/>
                          <w:rPr>
                            <w:rFonts w:ascii="Calibri"/>
                            <w:sz w:val="2"/>
                          </w:rPr>
                        </w:pPr>
                      </w:p>
                      <w:p w14:paraId="657A41BA"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1E385FDA" w14:textId="77777777" w:rsidR="00F65BCA" w:rsidRDefault="00F65BCA">
                        <w:pPr>
                          <w:pStyle w:val="TableParagraph"/>
                          <w:rPr>
                            <w:rFonts w:ascii="Calibri"/>
                            <w:sz w:val="2"/>
                          </w:rPr>
                        </w:pPr>
                      </w:p>
                      <w:p w14:paraId="73C1FB85"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3DB0889" w14:textId="77777777" w:rsidR="00F65BCA" w:rsidRDefault="00F65BCA">
                        <w:pPr>
                          <w:pStyle w:val="TableParagraph"/>
                          <w:rPr>
                            <w:rFonts w:ascii="Calibri"/>
                            <w:sz w:val="2"/>
                          </w:rPr>
                        </w:pPr>
                      </w:p>
                      <w:p w14:paraId="34E36D47"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13E3F9DD" w14:textId="77777777" w:rsidR="00F65BCA" w:rsidRDefault="00F65BCA">
                        <w:pPr>
                          <w:pStyle w:val="TableParagraph"/>
                          <w:rPr>
                            <w:rFonts w:ascii="Calibri"/>
                            <w:sz w:val="2"/>
                          </w:rPr>
                        </w:pPr>
                      </w:p>
                      <w:p w14:paraId="2BF54830"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7BDF160D" w14:textId="77777777" w:rsidR="00F65BCA" w:rsidRDefault="00F65BCA">
                        <w:pPr>
                          <w:pStyle w:val="TableParagraph"/>
                          <w:rPr>
                            <w:rFonts w:ascii="Calibri"/>
                            <w:sz w:val="2"/>
                          </w:rPr>
                        </w:pPr>
                      </w:p>
                      <w:p w14:paraId="385DEEE7"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06A2E944" w14:textId="77777777" w:rsidR="00F65BCA" w:rsidRDefault="00F65BCA">
                        <w:pPr>
                          <w:pStyle w:val="TableParagraph"/>
                          <w:rPr>
                            <w:rFonts w:ascii="Calibri"/>
                            <w:sz w:val="2"/>
                          </w:rPr>
                        </w:pPr>
                      </w:p>
                      <w:p w14:paraId="32DB84E9"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2A86A2C2" w14:textId="77777777" w:rsidR="00F65BCA" w:rsidRDefault="00F65BCA">
                        <w:pPr>
                          <w:pStyle w:val="TableParagraph"/>
                          <w:rPr>
                            <w:rFonts w:ascii="Calibri"/>
                            <w:sz w:val="2"/>
                          </w:rPr>
                        </w:pPr>
                      </w:p>
                      <w:p w14:paraId="0A1EA43A"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548EFDF1" w14:textId="77777777" w:rsidR="00F65BCA" w:rsidRDefault="00F65BCA">
                        <w:pPr>
                          <w:pStyle w:val="TableParagraph"/>
                          <w:rPr>
                            <w:rFonts w:ascii="Calibri"/>
                            <w:sz w:val="2"/>
                          </w:rPr>
                        </w:pPr>
                      </w:p>
                      <w:p w14:paraId="0CB0DB39"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77D6D6EC" w14:textId="77777777" w:rsidR="00F65BCA" w:rsidRDefault="00F65BCA">
                        <w:pPr>
                          <w:pStyle w:val="TableParagraph"/>
                          <w:rPr>
                            <w:rFonts w:ascii="Calibri"/>
                            <w:sz w:val="2"/>
                          </w:rPr>
                        </w:pPr>
                      </w:p>
                      <w:p w14:paraId="080004F0"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03CA1F91" w14:textId="77777777" w:rsidR="00F65BCA" w:rsidRDefault="00F65BCA">
                        <w:pPr>
                          <w:pStyle w:val="TableParagraph"/>
                          <w:rPr>
                            <w:rFonts w:ascii="Calibri"/>
                            <w:sz w:val="2"/>
                          </w:rPr>
                        </w:pPr>
                      </w:p>
                      <w:p w14:paraId="7C29AFE0"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664D1909" w14:textId="77777777" w:rsidR="00F65BCA" w:rsidRDefault="00F65BCA">
                        <w:pPr>
                          <w:pStyle w:val="TableParagraph"/>
                          <w:rPr>
                            <w:rFonts w:ascii="Calibri"/>
                            <w:sz w:val="2"/>
                          </w:rPr>
                        </w:pPr>
                      </w:p>
                      <w:p w14:paraId="36C6676E" w14:textId="77777777" w:rsidR="00F65BCA" w:rsidRDefault="00216117">
                        <w:pPr>
                          <w:pStyle w:val="TableParagraph"/>
                          <w:ind w:left="24" w:right="24"/>
                          <w:jc w:val="center"/>
                          <w:rPr>
                            <w:sz w:val="3"/>
                          </w:rPr>
                        </w:pPr>
                        <w:r>
                          <w:rPr>
                            <w:w w:val="105"/>
                            <w:sz w:val="3"/>
                          </w:rPr>
                          <w:t>1,30139079%</w:t>
                        </w:r>
                      </w:p>
                    </w:tc>
                  </w:tr>
                  <w:tr w:rsidR="00F65BCA" w14:paraId="64B37101" w14:textId="77777777">
                    <w:trPr>
                      <w:trHeight w:val="237"/>
                    </w:trPr>
                    <w:tc>
                      <w:tcPr>
                        <w:tcW w:w="526" w:type="dxa"/>
                        <w:vMerge/>
                        <w:tcBorders>
                          <w:top w:val="nil"/>
                          <w:left w:val="single" w:sz="2" w:space="0" w:color="000000"/>
                          <w:bottom w:val="single" w:sz="2" w:space="0" w:color="000000"/>
                          <w:right w:val="single" w:sz="2" w:space="0" w:color="000000"/>
                        </w:tcBorders>
                        <w:shd w:val="clear" w:color="auto" w:fill="FCE4D6"/>
                      </w:tcPr>
                      <w:p w14:paraId="229CBD28"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721178FA"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235AF9AC" w14:textId="77777777" w:rsidR="00F65BCA" w:rsidRDefault="00216117">
                        <w:pPr>
                          <w:pStyle w:val="TableParagraph"/>
                          <w:spacing w:before="13" w:line="40" w:lineRule="atLeast"/>
                          <w:ind w:left="4" w:right="-19"/>
                          <w:rPr>
                            <w:sz w:val="3"/>
                          </w:rPr>
                        </w:pPr>
                        <w:r>
                          <w:rPr>
                            <w:w w:val="105"/>
                            <w:sz w:val="3"/>
                          </w:rPr>
                          <w:t>100 NX; 200 SX; 240 SX; 300 ZX; 350 Z; 370Z; ALMERA; ALMERA TINO; ALTIMA; ARMADA; BLUEBIRD; BLUEBIRD COMBI; CUBE; EVALIA; FRONTIER; GT-R; INTERSTAR; JINÉ; JUKE; LAUREL; LEAF; MAXIMA; MAXIMA QX; MICRA; MICRA C+C; MURANO; MURANO II; MURANO;3,5 V6; NOTE; NV400 DO 3,5; PATHFINDER; PATROL; PATROL GR; PATROL HR; PIXO; PRAIRIE; PRIMERA; PRIMERA KOMBI; PULSAR; QASHQAI; QUEST; SENTRA; SERENA; SILVIA; STANZA; SUNNY; SUNNY COMBI; TEANA; TERRANO; TERRANO II; TERRANO II WAGON; TIIDA; TITAN; TRADE; URVAN; VANETTE; VANETTE CARGO; X TERRA; X-TRAIL</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428EFDB" w14:textId="77777777" w:rsidR="00F65BCA" w:rsidRDefault="00F65BCA">
                        <w:pPr>
                          <w:pStyle w:val="TableParagraph"/>
                          <w:rPr>
                            <w:rFonts w:ascii="Calibri"/>
                            <w:sz w:val="2"/>
                          </w:rPr>
                        </w:pPr>
                      </w:p>
                      <w:p w14:paraId="6186A37C" w14:textId="77777777" w:rsidR="00F65BCA" w:rsidRDefault="00F65BCA">
                        <w:pPr>
                          <w:pStyle w:val="TableParagraph"/>
                          <w:rPr>
                            <w:rFonts w:ascii="Calibri"/>
                            <w:sz w:val="2"/>
                          </w:rPr>
                        </w:pPr>
                      </w:p>
                      <w:p w14:paraId="053AC0DD" w14:textId="77777777" w:rsidR="00F65BCA" w:rsidRDefault="00F65BCA">
                        <w:pPr>
                          <w:pStyle w:val="TableParagraph"/>
                          <w:rPr>
                            <w:rFonts w:ascii="Calibri"/>
                            <w:sz w:val="2"/>
                          </w:rPr>
                        </w:pPr>
                      </w:p>
                      <w:p w14:paraId="3A059894" w14:textId="77777777" w:rsidR="00F65BCA" w:rsidRDefault="00F65BCA">
                        <w:pPr>
                          <w:pStyle w:val="TableParagraph"/>
                          <w:spacing w:before="4"/>
                          <w:rPr>
                            <w:rFonts w:ascii="Calibri"/>
                            <w:sz w:val="2"/>
                          </w:rPr>
                        </w:pPr>
                      </w:p>
                      <w:p w14:paraId="03BB4BBF" w14:textId="77777777" w:rsidR="00F65BCA" w:rsidRDefault="00216117">
                        <w:pPr>
                          <w:pStyle w:val="TableParagraph"/>
                          <w:spacing w:before="1"/>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3559A08" w14:textId="77777777" w:rsidR="00F65BCA" w:rsidRDefault="00F65BCA">
                        <w:pPr>
                          <w:pStyle w:val="TableParagraph"/>
                          <w:rPr>
                            <w:rFonts w:ascii="Calibri"/>
                            <w:sz w:val="2"/>
                          </w:rPr>
                        </w:pPr>
                      </w:p>
                      <w:p w14:paraId="4602EEDC" w14:textId="77777777" w:rsidR="00F65BCA" w:rsidRDefault="00F65BCA">
                        <w:pPr>
                          <w:pStyle w:val="TableParagraph"/>
                          <w:rPr>
                            <w:rFonts w:ascii="Calibri"/>
                            <w:sz w:val="2"/>
                          </w:rPr>
                        </w:pPr>
                      </w:p>
                      <w:p w14:paraId="79925279" w14:textId="77777777" w:rsidR="00F65BCA" w:rsidRDefault="00F65BCA">
                        <w:pPr>
                          <w:pStyle w:val="TableParagraph"/>
                          <w:rPr>
                            <w:rFonts w:ascii="Calibri"/>
                            <w:sz w:val="2"/>
                          </w:rPr>
                        </w:pPr>
                      </w:p>
                      <w:p w14:paraId="7D72E304" w14:textId="77777777" w:rsidR="00F65BCA" w:rsidRDefault="00F65BCA">
                        <w:pPr>
                          <w:pStyle w:val="TableParagraph"/>
                          <w:spacing w:before="4"/>
                          <w:rPr>
                            <w:rFonts w:ascii="Calibri"/>
                            <w:sz w:val="2"/>
                          </w:rPr>
                        </w:pPr>
                      </w:p>
                      <w:p w14:paraId="3B7C026B" w14:textId="77777777" w:rsidR="00F65BCA" w:rsidRDefault="00216117">
                        <w:pPr>
                          <w:pStyle w:val="TableParagraph"/>
                          <w:spacing w:before="1"/>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F75A75A"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7FA1F16C" w14:textId="77777777" w:rsidR="00F65BCA" w:rsidRDefault="00F65BCA">
                        <w:pPr>
                          <w:pStyle w:val="TableParagraph"/>
                          <w:rPr>
                            <w:rFonts w:ascii="Calibri"/>
                            <w:sz w:val="2"/>
                          </w:rPr>
                        </w:pPr>
                      </w:p>
                      <w:p w14:paraId="02B7B240" w14:textId="77777777" w:rsidR="00F65BCA" w:rsidRDefault="00F65BCA">
                        <w:pPr>
                          <w:pStyle w:val="TableParagraph"/>
                          <w:rPr>
                            <w:rFonts w:ascii="Calibri"/>
                            <w:sz w:val="2"/>
                          </w:rPr>
                        </w:pPr>
                      </w:p>
                      <w:p w14:paraId="5C3DF805" w14:textId="77777777" w:rsidR="00F65BCA" w:rsidRDefault="00F65BCA">
                        <w:pPr>
                          <w:pStyle w:val="TableParagraph"/>
                          <w:rPr>
                            <w:rFonts w:ascii="Calibri"/>
                            <w:sz w:val="2"/>
                          </w:rPr>
                        </w:pPr>
                      </w:p>
                      <w:p w14:paraId="5060CF8E" w14:textId="77777777" w:rsidR="00F65BCA" w:rsidRDefault="00F65BCA">
                        <w:pPr>
                          <w:pStyle w:val="TableParagraph"/>
                          <w:spacing w:before="4"/>
                          <w:rPr>
                            <w:rFonts w:ascii="Calibri"/>
                            <w:sz w:val="2"/>
                          </w:rPr>
                        </w:pPr>
                      </w:p>
                      <w:p w14:paraId="2D074F1B" w14:textId="77777777" w:rsidR="00F65BCA" w:rsidRDefault="00216117">
                        <w:pPr>
                          <w:pStyle w:val="TableParagraph"/>
                          <w:spacing w:before="1"/>
                          <w:ind w:left="24" w:right="24"/>
                          <w:jc w:val="center"/>
                          <w:rPr>
                            <w:sz w:val="3"/>
                          </w:rPr>
                        </w:pPr>
                        <w:r>
                          <w:rPr>
                            <w:w w:val="105"/>
                            <w:sz w:val="3"/>
                          </w:rPr>
                          <w:t>1,24041466%</w:t>
                        </w:r>
                      </w:p>
                    </w:tc>
                    <w:tc>
                      <w:tcPr>
                        <w:tcW w:w="288" w:type="dxa"/>
                        <w:tcBorders>
                          <w:top w:val="single" w:sz="2" w:space="0" w:color="000000"/>
                          <w:left w:val="single" w:sz="2" w:space="0" w:color="000000"/>
                          <w:bottom w:val="single" w:sz="2" w:space="0" w:color="000000"/>
                          <w:right w:val="single" w:sz="2" w:space="0" w:color="000000"/>
                        </w:tcBorders>
                      </w:tcPr>
                      <w:p w14:paraId="0C729475" w14:textId="77777777" w:rsidR="00F65BCA" w:rsidRDefault="00F65BCA">
                        <w:pPr>
                          <w:pStyle w:val="TableParagraph"/>
                          <w:rPr>
                            <w:rFonts w:ascii="Calibri"/>
                            <w:sz w:val="2"/>
                          </w:rPr>
                        </w:pPr>
                      </w:p>
                      <w:p w14:paraId="22B5F139" w14:textId="77777777" w:rsidR="00F65BCA" w:rsidRDefault="00F65BCA">
                        <w:pPr>
                          <w:pStyle w:val="TableParagraph"/>
                          <w:rPr>
                            <w:rFonts w:ascii="Calibri"/>
                            <w:sz w:val="2"/>
                          </w:rPr>
                        </w:pPr>
                      </w:p>
                      <w:p w14:paraId="38F3CB55" w14:textId="77777777" w:rsidR="00F65BCA" w:rsidRDefault="00F65BCA">
                        <w:pPr>
                          <w:pStyle w:val="TableParagraph"/>
                          <w:rPr>
                            <w:rFonts w:ascii="Calibri"/>
                            <w:sz w:val="2"/>
                          </w:rPr>
                        </w:pPr>
                      </w:p>
                      <w:p w14:paraId="7BCC5B7C" w14:textId="77777777" w:rsidR="00F65BCA" w:rsidRDefault="00F65BCA">
                        <w:pPr>
                          <w:pStyle w:val="TableParagraph"/>
                          <w:spacing w:before="4"/>
                          <w:rPr>
                            <w:rFonts w:ascii="Calibri"/>
                            <w:sz w:val="2"/>
                          </w:rPr>
                        </w:pPr>
                      </w:p>
                      <w:p w14:paraId="69DE9B8E" w14:textId="77777777" w:rsidR="00F65BCA" w:rsidRDefault="00216117">
                        <w:pPr>
                          <w:pStyle w:val="TableParagraph"/>
                          <w:spacing w:before="1"/>
                          <w:ind w:left="24" w:right="24"/>
                          <w:jc w:val="center"/>
                          <w:rPr>
                            <w:sz w:val="3"/>
                          </w:rPr>
                        </w:pPr>
                        <w:r>
                          <w:rPr>
                            <w:w w:val="105"/>
                            <w:sz w:val="3"/>
                          </w:rPr>
                          <w:t>1,16288874%</w:t>
                        </w:r>
                      </w:p>
                    </w:tc>
                    <w:tc>
                      <w:tcPr>
                        <w:tcW w:w="288" w:type="dxa"/>
                        <w:tcBorders>
                          <w:top w:val="single" w:sz="2" w:space="0" w:color="000000"/>
                          <w:left w:val="single" w:sz="2" w:space="0" w:color="000000"/>
                          <w:bottom w:val="single" w:sz="2" w:space="0" w:color="000000"/>
                          <w:right w:val="single" w:sz="2" w:space="0" w:color="000000"/>
                        </w:tcBorders>
                      </w:tcPr>
                      <w:p w14:paraId="1C028C00" w14:textId="77777777" w:rsidR="00F65BCA" w:rsidRDefault="00F65BCA">
                        <w:pPr>
                          <w:pStyle w:val="TableParagraph"/>
                          <w:rPr>
                            <w:rFonts w:ascii="Calibri"/>
                            <w:sz w:val="2"/>
                          </w:rPr>
                        </w:pPr>
                      </w:p>
                      <w:p w14:paraId="28C1A7AE" w14:textId="77777777" w:rsidR="00F65BCA" w:rsidRDefault="00F65BCA">
                        <w:pPr>
                          <w:pStyle w:val="TableParagraph"/>
                          <w:rPr>
                            <w:rFonts w:ascii="Calibri"/>
                            <w:sz w:val="2"/>
                          </w:rPr>
                        </w:pPr>
                      </w:p>
                      <w:p w14:paraId="284A8339" w14:textId="77777777" w:rsidR="00F65BCA" w:rsidRDefault="00F65BCA">
                        <w:pPr>
                          <w:pStyle w:val="TableParagraph"/>
                          <w:rPr>
                            <w:rFonts w:ascii="Calibri"/>
                            <w:sz w:val="2"/>
                          </w:rPr>
                        </w:pPr>
                      </w:p>
                      <w:p w14:paraId="4D98E059" w14:textId="77777777" w:rsidR="00F65BCA" w:rsidRDefault="00F65BCA">
                        <w:pPr>
                          <w:pStyle w:val="TableParagraph"/>
                          <w:spacing w:before="4"/>
                          <w:rPr>
                            <w:rFonts w:ascii="Calibri"/>
                            <w:sz w:val="2"/>
                          </w:rPr>
                        </w:pPr>
                      </w:p>
                      <w:p w14:paraId="7CE38A79" w14:textId="77777777" w:rsidR="00F65BCA" w:rsidRDefault="00216117">
                        <w:pPr>
                          <w:pStyle w:val="TableParagraph"/>
                          <w:spacing w:before="1"/>
                          <w:ind w:left="24" w:right="24"/>
                          <w:jc w:val="center"/>
                          <w:rPr>
                            <w:sz w:val="3"/>
                          </w:rPr>
                        </w:pPr>
                        <w:r>
                          <w:rPr>
                            <w:w w:val="105"/>
                            <w:sz w:val="3"/>
                          </w:rPr>
                          <w:t>1,10862060%</w:t>
                        </w:r>
                      </w:p>
                    </w:tc>
                    <w:tc>
                      <w:tcPr>
                        <w:tcW w:w="288" w:type="dxa"/>
                        <w:tcBorders>
                          <w:top w:val="single" w:sz="2" w:space="0" w:color="000000"/>
                          <w:left w:val="single" w:sz="2" w:space="0" w:color="000000"/>
                          <w:bottom w:val="single" w:sz="2" w:space="0" w:color="000000"/>
                          <w:right w:val="single" w:sz="2" w:space="0" w:color="000000"/>
                        </w:tcBorders>
                      </w:tcPr>
                      <w:p w14:paraId="4044437C" w14:textId="77777777" w:rsidR="00F65BCA" w:rsidRDefault="00F65BCA">
                        <w:pPr>
                          <w:pStyle w:val="TableParagraph"/>
                          <w:rPr>
                            <w:rFonts w:ascii="Calibri"/>
                            <w:sz w:val="2"/>
                          </w:rPr>
                        </w:pPr>
                      </w:p>
                      <w:p w14:paraId="15DDCBE2" w14:textId="77777777" w:rsidR="00F65BCA" w:rsidRDefault="00F65BCA">
                        <w:pPr>
                          <w:pStyle w:val="TableParagraph"/>
                          <w:rPr>
                            <w:rFonts w:ascii="Calibri"/>
                            <w:sz w:val="2"/>
                          </w:rPr>
                        </w:pPr>
                      </w:p>
                      <w:p w14:paraId="78E35CCA" w14:textId="77777777" w:rsidR="00F65BCA" w:rsidRDefault="00F65BCA">
                        <w:pPr>
                          <w:pStyle w:val="TableParagraph"/>
                          <w:rPr>
                            <w:rFonts w:ascii="Calibri"/>
                            <w:sz w:val="2"/>
                          </w:rPr>
                        </w:pPr>
                      </w:p>
                      <w:p w14:paraId="456B9A5B" w14:textId="77777777" w:rsidR="00F65BCA" w:rsidRDefault="00F65BCA">
                        <w:pPr>
                          <w:pStyle w:val="TableParagraph"/>
                          <w:spacing w:before="4"/>
                          <w:rPr>
                            <w:rFonts w:ascii="Calibri"/>
                            <w:sz w:val="2"/>
                          </w:rPr>
                        </w:pPr>
                      </w:p>
                      <w:p w14:paraId="4C0D8154" w14:textId="77777777" w:rsidR="00F65BCA" w:rsidRDefault="00216117">
                        <w:pPr>
                          <w:pStyle w:val="TableParagraph"/>
                          <w:spacing w:before="1"/>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3D275F6A" w14:textId="77777777" w:rsidR="00F65BCA" w:rsidRDefault="00F65BCA">
                        <w:pPr>
                          <w:pStyle w:val="TableParagraph"/>
                          <w:rPr>
                            <w:rFonts w:ascii="Calibri"/>
                            <w:sz w:val="2"/>
                          </w:rPr>
                        </w:pPr>
                      </w:p>
                      <w:p w14:paraId="2A842E91" w14:textId="77777777" w:rsidR="00F65BCA" w:rsidRDefault="00F65BCA">
                        <w:pPr>
                          <w:pStyle w:val="TableParagraph"/>
                          <w:rPr>
                            <w:rFonts w:ascii="Calibri"/>
                            <w:sz w:val="2"/>
                          </w:rPr>
                        </w:pPr>
                      </w:p>
                      <w:p w14:paraId="2BFB27F9" w14:textId="77777777" w:rsidR="00F65BCA" w:rsidRDefault="00F65BCA">
                        <w:pPr>
                          <w:pStyle w:val="TableParagraph"/>
                          <w:rPr>
                            <w:rFonts w:ascii="Calibri"/>
                            <w:sz w:val="2"/>
                          </w:rPr>
                        </w:pPr>
                      </w:p>
                      <w:p w14:paraId="5D39573E" w14:textId="77777777" w:rsidR="00F65BCA" w:rsidRDefault="00F65BCA">
                        <w:pPr>
                          <w:pStyle w:val="TableParagraph"/>
                          <w:spacing w:before="4"/>
                          <w:rPr>
                            <w:rFonts w:ascii="Calibri"/>
                            <w:sz w:val="2"/>
                          </w:rPr>
                        </w:pPr>
                      </w:p>
                      <w:p w14:paraId="7BD4D2EA" w14:textId="77777777" w:rsidR="00F65BCA" w:rsidRDefault="00216117">
                        <w:pPr>
                          <w:pStyle w:val="TableParagraph"/>
                          <w:spacing w:before="1"/>
                          <w:ind w:left="24" w:right="24"/>
                          <w:jc w:val="center"/>
                          <w:rPr>
                            <w:sz w:val="3"/>
                          </w:rPr>
                        </w:pPr>
                        <w:r>
                          <w:rPr>
                            <w:w w:val="105"/>
                            <w:sz w:val="3"/>
                          </w:rPr>
                          <w:t>0,99233172%</w:t>
                        </w:r>
                      </w:p>
                    </w:tc>
                    <w:tc>
                      <w:tcPr>
                        <w:tcW w:w="288" w:type="dxa"/>
                        <w:tcBorders>
                          <w:top w:val="single" w:sz="2" w:space="0" w:color="000000"/>
                          <w:left w:val="single" w:sz="2" w:space="0" w:color="000000"/>
                          <w:bottom w:val="single" w:sz="2" w:space="0" w:color="000000"/>
                          <w:right w:val="single" w:sz="2" w:space="0" w:color="000000"/>
                        </w:tcBorders>
                      </w:tcPr>
                      <w:p w14:paraId="2EAC62B4" w14:textId="77777777" w:rsidR="00F65BCA" w:rsidRDefault="00F65BCA">
                        <w:pPr>
                          <w:pStyle w:val="TableParagraph"/>
                          <w:rPr>
                            <w:rFonts w:ascii="Calibri"/>
                            <w:sz w:val="2"/>
                          </w:rPr>
                        </w:pPr>
                      </w:p>
                      <w:p w14:paraId="26536B6F" w14:textId="77777777" w:rsidR="00F65BCA" w:rsidRDefault="00F65BCA">
                        <w:pPr>
                          <w:pStyle w:val="TableParagraph"/>
                          <w:rPr>
                            <w:rFonts w:ascii="Calibri"/>
                            <w:sz w:val="2"/>
                          </w:rPr>
                        </w:pPr>
                      </w:p>
                      <w:p w14:paraId="694D4535" w14:textId="77777777" w:rsidR="00F65BCA" w:rsidRDefault="00F65BCA">
                        <w:pPr>
                          <w:pStyle w:val="TableParagraph"/>
                          <w:rPr>
                            <w:rFonts w:ascii="Calibri"/>
                            <w:sz w:val="2"/>
                          </w:rPr>
                        </w:pPr>
                      </w:p>
                      <w:p w14:paraId="5464F1D2" w14:textId="77777777" w:rsidR="00F65BCA" w:rsidRDefault="00F65BCA">
                        <w:pPr>
                          <w:pStyle w:val="TableParagraph"/>
                          <w:spacing w:before="4"/>
                          <w:rPr>
                            <w:rFonts w:ascii="Calibri"/>
                            <w:sz w:val="2"/>
                          </w:rPr>
                        </w:pPr>
                      </w:p>
                      <w:p w14:paraId="3F9DF0E3" w14:textId="77777777" w:rsidR="00F65BCA" w:rsidRDefault="00216117">
                        <w:pPr>
                          <w:pStyle w:val="TableParagraph"/>
                          <w:spacing w:before="1"/>
                          <w:ind w:left="24" w:right="24"/>
                          <w:jc w:val="center"/>
                          <w:rPr>
                            <w:sz w:val="3"/>
                          </w:rPr>
                        </w:pPr>
                        <w:r>
                          <w:rPr>
                            <w:w w:val="105"/>
                            <w:sz w:val="3"/>
                          </w:rPr>
                          <w:t>0,92255840%</w:t>
                        </w:r>
                      </w:p>
                    </w:tc>
                    <w:tc>
                      <w:tcPr>
                        <w:tcW w:w="288" w:type="dxa"/>
                        <w:tcBorders>
                          <w:top w:val="single" w:sz="2" w:space="0" w:color="000000"/>
                          <w:left w:val="single" w:sz="2" w:space="0" w:color="000000"/>
                          <w:bottom w:val="single" w:sz="2" w:space="0" w:color="000000"/>
                          <w:right w:val="single" w:sz="2" w:space="0" w:color="000000"/>
                        </w:tcBorders>
                      </w:tcPr>
                      <w:p w14:paraId="292F0803" w14:textId="77777777" w:rsidR="00F65BCA" w:rsidRDefault="00F65BCA">
                        <w:pPr>
                          <w:pStyle w:val="TableParagraph"/>
                          <w:rPr>
                            <w:rFonts w:ascii="Calibri"/>
                            <w:sz w:val="2"/>
                          </w:rPr>
                        </w:pPr>
                      </w:p>
                      <w:p w14:paraId="0C5322E0" w14:textId="77777777" w:rsidR="00F65BCA" w:rsidRDefault="00F65BCA">
                        <w:pPr>
                          <w:pStyle w:val="TableParagraph"/>
                          <w:rPr>
                            <w:rFonts w:ascii="Calibri"/>
                            <w:sz w:val="2"/>
                          </w:rPr>
                        </w:pPr>
                      </w:p>
                      <w:p w14:paraId="6C6D9F4C" w14:textId="77777777" w:rsidR="00F65BCA" w:rsidRDefault="00F65BCA">
                        <w:pPr>
                          <w:pStyle w:val="TableParagraph"/>
                          <w:rPr>
                            <w:rFonts w:ascii="Calibri"/>
                            <w:sz w:val="2"/>
                          </w:rPr>
                        </w:pPr>
                      </w:p>
                      <w:p w14:paraId="44852217" w14:textId="77777777" w:rsidR="00F65BCA" w:rsidRDefault="00F65BCA">
                        <w:pPr>
                          <w:pStyle w:val="TableParagraph"/>
                          <w:spacing w:before="4"/>
                          <w:rPr>
                            <w:rFonts w:ascii="Calibri"/>
                            <w:sz w:val="2"/>
                          </w:rPr>
                        </w:pPr>
                      </w:p>
                      <w:p w14:paraId="4279B362" w14:textId="77777777" w:rsidR="00F65BCA" w:rsidRDefault="00216117">
                        <w:pPr>
                          <w:pStyle w:val="TableParagraph"/>
                          <w:spacing w:before="1"/>
                          <w:ind w:left="24" w:right="24"/>
                          <w:jc w:val="center"/>
                          <w:rPr>
                            <w:sz w:val="3"/>
                          </w:rPr>
                        </w:pPr>
                        <w:r>
                          <w:rPr>
                            <w:w w:val="105"/>
                            <w:sz w:val="3"/>
                          </w:rPr>
                          <w:t>0,85278508%</w:t>
                        </w:r>
                      </w:p>
                    </w:tc>
                    <w:tc>
                      <w:tcPr>
                        <w:tcW w:w="288" w:type="dxa"/>
                        <w:tcBorders>
                          <w:top w:val="single" w:sz="2" w:space="0" w:color="000000"/>
                          <w:left w:val="single" w:sz="2" w:space="0" w:color="000000"/>
                          <w:bottom w:val="single" w:sz="2" w:space="0" w:color="000000"/>
                          <w:right w:val="single" w:sz="2" w:space="0" w:color="000000"/>
                        </w:tcBorders>
                      </w:tcPr>
                      <w:p w14:paraId="51E38713" w14:textId="77777777" w:rsidR="00F65BCA" w:rsidRDefault="00F65BCA">
                        <w:pPr>
                          <w:pStyle w:val="TableParagraph"/>
                          <w:rPr>
                            <w:rFonts w:ascii="Calibri"/>
                            <w:sz w:val="2"/>
                          </w:rPr>
                        </w:pPr>
                      </w:p>
                      <w:p w14:paraId="20C1C0E4" w14:textId="77777777" w:rsidR="00F65BCA" w:rsidRDefault="00F65BCA">
                        <w:pPr>
                          <w:pStyle w:val="TableParagraph"/>
                          <w:rPr>
                            <w:rFonts w:ascii="Calibri"/>
                            <w:sz w:val="2"/>
                          </w:rPr>
                        </w:pPr>
                      </w:p>
                      <w:p w14:paraId="4411AE43" w14:textId="77777777" w:rsidR="00F65BCA" w:rsidRDefault="00F65BCA">
                        <w:pPr>
                          <w:pStyle w:val="TableParagraph"/>
                          <w:rPr>
                            <w:rFonts w:ascii="Calibri"/>
                            <w:sz w:val="2"/>
                          </w:rPr>
                        </w:pPr>
                      </w:p>
                      <w:p w14:paraId="75572C75" w14:textId="77777777" w:rsidR="00F65BCA" w:rsidRDefault="00F65BCA">
                        <w:pPr>
                          <w:pStyle w:val="TableParagraph"/>
                          <w:spacing w:before="4"/>
                          <w:rPr>
                            <w:rFonts w:ascii="Calibri"/>
                            <w:sz w:val="2"/>
                          </w:rPr>
                        </w:pPr>
                      </w:p>
                      <w:p w14:paraId="2C5188D4" w14:textId="77777777" w:rsidR="00F65BCA" w:rsidRDefault="00216117">
                        <w:pPr>
                          <w:pStyle w:val="TableParagraph"/>
                          <w:spacing w:before="1"/>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4EFAFE76" w14:textId="77777777" w:rsidR="00F65BCA" w:rsidRDefault="00F65BCA">
                        <w:pPr>
                          <w:pStyle w:val="TableParagraph"/>
                          <w:rPr>
                            <w:rFonts w:ascii="Calibri"/>
                            <w:sz w:val="2"/>
                          </w:rPr>
                        </w:pPr>
                      </w:p>
                      <w:p w14:paraId="0E00DFB8" w14:textId="77777777" w:rsidR="00F65BCA" w:rsidRDefault="00F65BCA">
                        <w:pPr>
                          <w:pStyle w:val="TableParagraph"/>
                          <w:rPr>
                            <w:rFonts w:ascii="Calibri"/>
                            <w:sz w:val="2"/>
                          </w:rPr>
                        </w:pPr>
                      </w:p>
                      <w:p w14:paraId="52934A11" w14:textId="77777777" w:rsidR="00F65BCA" w:rsidRDefault="00F65BCA">
                        <w:pPr>
                          <w:pStyle w:val="TableParagraph"/>
                          <w:rPr>
                            <w:rFonts w:ascii="Calibri"/>
                            <w:sz w:val="2"/>
                          </w:rPr>
                        </w:pPr>
                      </w:p>
                      <w:p w14:paraId="778D5F2A" w14:textId="77777777" w:rsidR="00F65BCA" w:rsidRDefault="00F65BCA">
                        <w:pPr>
                          <w:pStyle w:val="TableParagraph"/>
                          <w:spacing w:before="4"/>
                          <w:rPr>
                            <w:rFonts w:ascii="Calibri"/>
                            <w:sz w:val="2"/>
                          </w:rPr>
                        </w:pPr>
                      </w:p>
                      <w:p w14:paraId="0588CB2B" w14:textId="77777777" w:rsidR="00F65BCA" w:rsidRDefault="00216117">
                        <w:pPr>
                          <w:pStyle w:val="TableParagraph"/>
                          <w:spacing w:before="1"/>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6BE6DC4D" w14:textId="77777777" w:rsidR="00F65BCA" w:rsidRDefault="00F65BCA">
                        <w:pPr>
                          <w:pStyle w:val="TableParagraph"/>
                          <w:rPr>
                            <w:rFonts w:ascii="Calibri"/>
                            <w:sz w:val="2"/>
                          </w:rPr>
                        </w:pPr>
                      </w:p>
                      <w:p w14:paraId="129E7235" w14:textId="77777777" w:rsidR="00F65BCA" w:rsidRDefault="00F65BCA">
                        <w:pPr>
                          <w:pStyle w:val="TableParagraph"/>
                          <w:rPr>
                            <w:rFonts w:ascii="Calibri"/>
                            <w:sz w:val="2"/>
                          </w:rPr>
                        </w:pPr>
                      </w:p>
                      <w:p w14:paraId="63901506" w14:textId="77777777" w:rsidR="00F65BCA" w:rsidRDefault="00F65BCA">
                        <w:pPr>
                          <w:pStyle w:val="TableParagraph"/>
                          <w:rPr>
                            <w:rFonts w:ascii="Calibri"/>
                            <w:sz w:val="2"/>
                          </w:rPr>
                        </w:pPr>
                      </w:p>
                      <w:p w14:paraId="298362BE" w14:textId="77777777" w:rsidR="00F65BCA" w:rsidRDefault="00F65BCA">
                        <w:pPr>
                          <w:pStyle w:val="TableParagraph"/>
                          <w:spacing w:before="4"/>
                          <w:rPr>
                            <w:rFonts w:ascii="Calibri"/>
                            <w:sz w:val="2"/>
                          </w:rPr>
                        </w:pPr>
                      </w:p>
                      <w:p w14:paraId="306FEB84" w14:textId="77777777" w:rsidR="00F65BCA" w:rsidRDefault="00216117">
                        <w:pPr>
                          <w:pStyle w:val="TableParagraph"/>
                          <w:spacing w:before="1"/>
                          <w:ind w:left="24" w:right="24"/>
                          <w:jc w:val="center"/>
                          <w:rPr>
                            <w:sz w:val="3"/>
                          </w:rPr>
                        </w:pPr>
                        <w:r>
                          <w:rPr>
                            <w:w w:val="105"/>
                            <w:sz w:val="3"/>
                          </w:rPr>
                          <w:t>0,93031099%</w:t>
                        </w:r>
                      </w:p>
                    </w:tc>
                    <w:tc>
                      <w:tcPr>
                        <w:tcW w:w="288" w:type="dxa"/>
                        <w:tcBorders>
                          <w:top w:val="single" w:sz="2" w:space="0" w:color="000000"/>
                          <w:left w:val="single" w:sz="2" w:space="0" w:color="000000"/>
                          <w:bottom w:val="single" w:sz="2" w:space="0" w:color="000000"/>
                          <w:right w:val="single" w:sz="2" w:space="0" w:color="000000"/>
                        </w:tcBorders>
                      </w:tcPr>
                      <w:p w14:paraId="50AAEE49" w14:textId="77777777" w:rsidR="00F65BCA" w:rsidRDefault="00F65BCA">
                        <w:pPr>
                          <w:pStyle w:val="TableParagraph"/>
                          <w:rPr>
                            <w:rFonts w:ascii="Calibri"/>
                            <w:sz w:val="2"/>
                          </w:rPr>
                        </w:pPr>
                      </w:p>
                      <w:p w14:paraId="48843D5C" w14:textId="77777777" w:rsidR="00F65BCA" w:rsidRDefault="00F65BCA">
                        <w:pPr>
                          <w:pStyle w:val="TableParagraph"/>
                          <w:rPr>
                            <w:rFonts w:ascii="Calibri"/>
                            <w:sz w:val="2"/>
                          </w:rPr>
                        </w:pPr>
                      </w:p>
                      <w:p w14:paraId="1432E045" w14:textId="77777777" w:rsidR="00F65BCA" w:rsidRDefault="00F65BCA">
                        <w:pPr>
                          <w:pStyle w:val="TableParagraph"/>
                          <w:rPr>
                            <w:rFonts w:ascii="Calibri"/>
                            <w:sz w:val="2"/>
                          </w:rPr>
                        </w:pPr>
                      </w:p>
                      <w:p w14:paraId="7ED2757A" w14:textId="77777777" w:rsidR="00F65BCA" w:rsidRDefault="00F65BCA">
                        <w:pPr>
                          <w:pStyle w:val="TableParagraph"/>
                          <w:spacing w:before="4"/>
                          <w:rPr>
                            <w:rFonts w:ascii="Calibri"/>
                            <w:sz w:val="2"/>
                          </w:rPr>
                        </w:pPr>
                      </w:p>
                      <w:p w14:paraId="6AF1D549" w14:textId="77777777" w:rsidR="00F65BCA" w:rsidRDefault="00216117">
                        <w:pPr>
                          <w:pStyle w:val="TableParagraph"/>
                          <w:spacing w:before="1"/>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5A90370C" w14:textId="77777777" w:rsidR="00F65BCA" w:rsidRDefault="00F65BCA">
                        <w:pPr>
                          <w:pStyle w:val="TableParagraph"/>
                          <w:rPr>
                            <w:rFonts w:ascii="Calibri"/>
                            <w:sz w:val="2"/>
                          </w:rPr>
                        </w:pPr>
                      </w:p>
                      <w:p w14:paraId="699CA5FE" w14:textId="77777777" w:rsidR="00F65BCA" w:rsidRDefault="00F65BCA">
                        <w:pPr>
                          <w:pStyle w:val="TableParagraph"/>
                          <w:rPr>
                            <w:rFonts w:ascii="Calibri"/>
                            <w:sz w:val="2"/>
                          </w:rPr>
                        </w:pPr>
                      </w:p>
                      <w:p w14:paraId="3998EAEC" w14:textId="77777777" w:rsidR="00F65BCA" w:rsidRDefault="00F65BCA">
                        <w:pPr>
                          <w:pStyle w:val="TableParagraph"/>
                          <w:rPr>
                            <w:rFonts w:ascii="Calibri"/>
                            <w:sz w:val="2"/>
                          </w:rPr>
                        </w:pPr>
                      </w:p>
                      <w:p w14:paraId="3A793DEB" w14:textId="77777777" w:rsidR="00F65BCA" w:rsidRDefault="00F65BCA">
                        <w:pPr>
                          <w:pStyle w:val="TableParagraph"/>
                          <w:spacing w:before="4"/>
                          <w:rPr>
                            <w:rFonts w:ascii="Calibri"/>
                            <w:sz w:val="2"/>
                          </w:rPr>
                        </w:pPr>
                      </w:p>
                      <w:p w14:paraId="58494692" w14:textId="77777777" w:rsidR="00F65BCA" w:rsidRDefault="00216117">
                        <w:pPr>
                          <w:pStyle w:val="TableParagraph"/>
                          <w:spacing w:before="1"/>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0E2545F4" w14:textId="77777777" w:rsidR="00F65BCA" w:rsidRDefault="00F65BCA">
                        <w:pPr>
                          <w:pStyle w:val="TableParagraph"/>
                          <w:rPr>
                            <w:rFonts w:ascii="Calibri"/>
                            <w:sz w:val="2"/>
                          </w:rPr>
                        </w:pPr>
                      </w:p>
                      <w:p w14:paraId="46F95F3B" w14:textId="77777777" w:rsidR="00F65BCA" w:rsidRDefault="00F65BCA">
                        <w:pPr>
                          <w:pStyle w:val="TableParagraph"/>
                          <w:rPr>
                            <w:rFonts w:ascii="Calibri"/>
                            <w:sz w:val="2"/>
                          </w:rPr>
                        </w:pPr>
                      </w:p>
                      <w:p w14:paraId="67C7401C" w14:textId="77777777" w:rsidR="00F65BCA" w:rsidRDefault="00F65BCA">
                        <w:pPr>
                          <w:pStyle w:val="TableParagraph"/>
                          <w:rPr>
                            <w:rFonts w:ascii="Calibri"/>
                            <w:sz w:val="2"/>
                          </w:rPr>
                        </w:pPr>
                      </w:p>
                      <w:p w14:paraId="61F35EAB" w14:textId="77777777" w:rsidR="00F65BCA" w:rsidRDefault="00F65BCA">
                        <w:pPr>
                          <w:pStyle w:val="TableParagraph"/>
                          <w:spacing w:before="4"/>
                          <w:rPr>
                            <w:rFonts w:ascii="Calibri"/>
                            <w:sz w:val="2"/>
                          </w:rPr>
                        </w:pPr>
                      </w:p>
                      <w:p w14:paraId="5083A08F" w14:textId="77777777" w:rsidR="00F65BCA" w:rsidRDefault="00216117">
                        <w:pPr>
                          <w:pStyle w:val="TableParagraph"/>
                          <w:spacing w:before="1"/>
                          <w:ind w:left="24" w:right="24"/>
                          <w:jc w:val="center"/>
                          <w:rPr>
                            <w:sz w:val="3"/>
                          </w:rPr>
                        </w:pPr>
                        <w:r>
                          <w:rPr>
                            <w:w w:val="105"/>
                            <w:sz w:val="3"/>
                          </w:rPr>
                          <w:t>1,16288874%</w:t>
                        </w:r>
                      </w:p>
                    </w:tc>
                  </w:tr>
                  <w:tr w:rsidR="00F65BCA" w14:paraId="23DC7347" w14:textId="77777777">
                    <w:trPr>
                      <w:trHeight w:val="237"/>
                    </w:trPr>
                    <w:tc>
                      <w:tcPr>
                        <w:tcW w:w="526" w:type="dxa"/>
                        <w:vMerge/>
                        <w:tcBorders>
                          <w:top w:val="nil"/>
                          <w:left w:val="single" w:sz="2" w:space="0" w:color="000000"/>
                          <w:bottom w:val="single" w:sz="2" w:space="0" w:color="000000"/>
                          <w:right w:val="single" w:sz="2" w:space="0" w:color="000000"/>
                        </w:tcBorders>
                        <w:shd w:val="clear" w:color="auto" w:fill="FCE4D6"/>
                      </w:tcPr>
                      <w:p w14:paraId="53031226"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37DC0D07"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0FEC9B7D"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315CB01" w14:textId="77777777" w:rsidR="00F65BCA" w:rsidRDefault="00F65BCA">
                        <w:pPr>
                          <w:pStyle w:val="TableParagraph"/>
                          <w:rPr>
                            <w:rFonts w:ascii="Calibri"/>
                            <w:sz w:val="2"/>
                          </w:rPr>
                        </w:pPr>
                      </w:p>
                      <w:p w14:paraId="76198880" w14:textId="77777777" w:rsidR="00F65BCA" w:rsidRDefault="00F65BCA">
                        <w:pPr>
                          <w:pStyle w:val="TableParagraph"/>
                          <w:rPr>
                            <w:rFonts w:ascii="Calibri"/>
                            <w:sz w:val="2"/>
                          </w:rPr>
                        </w:pPr>
                      </w:p>
                      <w:p w14:paraId="4C969DF9" w14:textId="77777777" w:rsidR="00F65BCA" w:rsidRDefault="00F65BCA">
                        <w:pPr>
                          <w:pStyle w:val="TableParagraph"/>
                          <w:rPr>
                            <w:rFonts w:ascii="Calibri"/>
                            <w:sz w:val="2"/>
                          </w:rPr>
                        </w:pPr>
                      </w:p>
                      <w:p w14:paraId="49373398" w14:textId="77777777" w:rsidR="00F65BCA" w:rsidRDefault="00F65BCA">
                        <w:pPr>
                          <w:pStyle w:val="TableParagraph"/>
                          <w:spacing w:before="4"/>
                          <w:rPr>
                            <w:rFonts w:ascii="Calibri"/>
                            <w:sz w:val="2"/>
                          </w:rPr>
                        </w:pPr>
                      </w:p>
                      <w:p w14:paraId="65C33BC3" w14:textId="77777777" w:rsidR="00F65BCA" w:rsidRDefault="00216117">
                        <w:pPr>
                          <w:pStyle w:val="TableParagraph"/>
                          <w:spacing w:before="1"/>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DD8971D" w14:textId="77777777" w:rsidR="00F65BCA" w:rsidRDefault="00F65BCA">
                        <w:pPr>
                          <w:pStyle w:val="TableParagraph"/>
                          <w:rPr>
                            <w:rFonts w:ascii="Calibri"/>
                            <w:sz w:val="2"/>
                          </w:rPr>
                        </w:pPr>
                      </w:p>
                      <w:p w14:paraId="4929DCE5" w14:textId="77777777" w:rsidR="00F65BCA" w:rsidRDefault="00F65BCA">
                        <w:pPr>
                          <w:pStyle w:val="TableParagraph"/>
                          <w:rPr>
                            <w:rFonts w:ascii="Calibri"/>
                            <w:sz w:val="2"/>
                          </w:rPr>
                        </w:pPr>
                      </w:p>
                      <w:p w14:paraId="660C2138" w14:textId="77777777" w:rsidR="00F65BCA" w:rsidRDefault="00F65BCA">
                        <w:pPr>
                          <w:pStyle w:val="TableParagraph"/>
                          <w:rPr>
                            <w:rFonts w:ascii="Calibri"/>
                            <w:sz w:val="2"/>
                          </w:rPr>
                        </w:pPr>
                      </w:p>
                      <w:p w14:paraId="7A634DFD" w14:textId="77777777" w:rsidR="00F65BCA" w:rsidRDefault="00F65BCA">
                        <w:pPr>
                          <w:pStyle w:val="TableParagraph"/>
                          <w:spacing w:before="4"/>
                          <w:rPr>
                            <w:rFonts w:ascii="Calibri"/>
                            <w:sz w:val="2"/>
                          </w:rPr>
                        </w:pPr>
                      </w:p>
                      <w:p w14:paraId="4EB3CB49" w14:textId="77777777" w:rsidR="00F65BCA" w:rsidRDefault="00216117">
                        <w:pPr>
                          <w:pStyle w:val="TableParagraph"/>
                          <w:spacing w:before="1"/>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28A8A68"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77EC9E48" w14:textId="77777777" w:rsidR="00F65BCA" w:rsidRDefault="00F65BCA">
                        <w:pPr>
                          <w:pStyle w:val="TableParagraph"/>
                          <w:rPr>
                            <w:rFonts w:ascii="Calibri"/>
                            <w:sz w:val="2"/>
                          </w:rPr>
                        </w:pPr>
                      </w:p>
                      <w:p w14:paraId="4B811C94" w14:textId="77777777" w:rsidR="00F65BCA" w:rsidRDefault="00F65BCA">
                        <w:pPr>
                          <w:pStyle w:val="TableParagraph"/>
                          <w:rPr>
                            <w:rFonts w:ascii="Calibri"/>
                            <w:sz w:val="2"/>
                          </w:rPr>
                        </w:pPr>
                      </w:p>
                      <w:p w14:paraId="33322D50" w14:textId="77777777" w:rsidR="00F65BCA" w:rsidRDefault="00F65BCA">
                        <w:pPr>
                          <w:pStyle w:val="TableParagraph"/>
                          <w:rPr>
                            <w:rFonts w:ascii="Calibri"/>
                            <w:sz w:val="2"/>
                          </w:rPr>
                        </w:pPr>
                      </w:p>
                      <w:p w14:paraId="27011DD8" w14:textId="77777777" w:rsidR="00F65BCA" w:rsidRDefault="00F65BCA">
                        <w:pPr>
                          <w:pStyle w:val="TableParagraph"/>
                          <w:spacing w:before="4"/>
                          <w:rPr>
                            <w:rFonts w:ascii="Calibri"/>
                            <w:sz w:val="2"/>
                          </w:rPr>
                        </w:pPr>
                      </w:p>
                      <w:p w14:paraId="70E2C1C1" w14:textId="77777777" w:rsidR="00F65BCA" w:rsidRDefault="00216117">
                        <w:pPr>
                          <w:pStyle w:val="TableParagraph"/>
                          <w:spacing w:before="1"/>
                          <w:ind w:left="24" w:right="24"/>
                          <w:jc w:val="center"/>
                          <w:rPr>
                            <w:sz w:val="3"/>
                          </w:rPr>
                        </w:pPr>
                        <w:r>
                          <w:rPr>
                            <w:w w:val="105"/>
                            <w:sz w:val="3"/>
                          </w:rPr>
                          <w:t>1,49842090%</w:t>
                        </w:r>
                      </w:p>
                    </w:tc>
                    <w:tc>
                      <w:tcPr>
                        <w:tcW w:w="288" w:type="dxa"/>
                        <w:tcBorders>
                          <w:top w:val="single" w:sz="2" w:space="0" w:color="000000"/>
                          <w:left w:val="single" w:sz="2" w:space="0" w:color="000000"/>
                          <w:bottom w:val="single" w:sz="2" w:space="0" w:color="000000"/>
                          <w:right w:val="single" w:sz="2" w:space="0" w:color="000000"/>
                        </w:tcBorders>
                      </w:tcPr>
                      <w:p w14:paraId="46300498" w14:textId="77777777" w:rsidR="00F65BCA" w:rsidRDefault="00F65BCA">
                        <w:pPr>
                          <w:pStyle w:val="TableParagraph"/>
                          <w:rPr>
                            <w:rFonts w:ascii="Calibri"/>
                            <w:sz w:val="2"/>
                          </w:rPr>
                        </w:pPr>
                      </w:p>
                      <w:p w14:paraId="3B2D223F" w14:textId="77777777" w:rsidR="00F65BCA" w:rsidRDefault="00F65BCA">
                        <w:pPr>
                          <w:pStyle w:val="TableParagraph"/>
                          <w:rPr>
                            <w:rFonts w:ascii="Calibri"/>
                            <w:sz w:val="2"/>
                          </w:rPr>
                        </w:pPr>
                      </w:p>
                      <w:p w14:paraId="4D879B5C" w14:textId="77777777" w:rsidR="00F65BCA" w:rsidRDefault="00F65BCA">
                        <w:pPr>
                          <w:pStyle w:val="TableParagraph"/>
                          <w:rPr>
                            <w:rFonts w:ascii="Calibri"/>
                            <w:sz w:val="2"/>
                          </w:rPr>
                        </w:pPr>
                      </w:p>
                      <w:p w14:paraId="665FF568" w14:textId="77777777" w:rsidR="00F65BCA" w:rsidRDefault="00F65BCA">
                        <w:pPr>
                          <w:pStyle w:val="TableParagraph"/>
                          <w:spacing w:before="4"/>
                          <w:rPr>
                            <w:rFonts w:ascii="Calibri"/>
                            <w:sz w:val="2"/>
                          </w:rPr>
                        </w:pPr>
                      </w:p>
                      <w:p w14:paraId="0A568095" w14:textId="77777777" w:rsidR="00F65BCA" w:rsidRDefault="00216117">
                        <w:pPr>
                          <w:pStyle w:val="TableParagraph"/>
                          <w:spacing w:before="1"/>
                          <w:ind w:left="24" w:right="24"/>
                          <w:jc w:val="center"/>
                          <w:rPr>
                            <w:sz w:val="3"/>
                          </w:rPr>
                        </w:pPr>
                        <w:r>
                          <w:rPr>
                            <w:w w:val="105"/>
                            <w:sz w:val="3"/>
                          </w:rPr>
                          <w:t>1,40476960%</w:t>
                        </w:r>
                      </w:p>
                    </w:tc>
                    <w:tc>
                      <w:tcPr>
                        <w:tcW w:w="288" w:type="dxa"/>
                        <w:tcBorders>
                          <w:top w:val="single" w:sz="2" w:space="0" w:color="000000"/>
                          <w:left w:val="single" w:sz="2" w:space="0" w:color="000000"/>
                          <w:bottom w:val="single" w:sz="2" w:space="0" w:color="000000"/>
                          <w:right w:val="single" w:sz="2" w:space="0" w:color="000000"/>
                        </w:tcBorders>
                      </w:tcPr>
                      <w:p w14:paraId="338F99E3" w14:textId="77777777" w:rsidR="00F65BCA" w:rsidRDefault="00F65BCA">
                        <w:pPr>
                          <w:pStyle w:val="TableParagraph"/>
                          <w:rPr>
                            <w:rFonts w:ascii="Calibri"/>
                            <w:sz w:val="2"/>
                          </w:rPr>
                        </w:pPr>
                      </w:p>
                      <w:p w14:paraId="270F776D" w14:textId="77777777" w:rsidR="00F65BCA" w:rsidRDefault="00F65BCA">
                        <w:pPr>
                          <w:pStyle w:val="TableParagraph"/>
                          <w:rPr>
                            <w:rFonts w:ascii="Calibri"/>
                            <w:sz w:val="2"/>
                          </w:rPr>
                        </w:pPr>
                      </w:p>
                      <w:p w14:paraId="176561E6" w14:textId="77777777" w:rsidR="00F65BCA" w:rsidRDefault="00F65BCA">
                        <w:pPr>
                          <w:pStyle w:val="TableParagraph"/>
                          <w:rPr>
                            <w:rFonts w:ascii="Calibri"/>
                            <w:sz w:val="2"/>
                          </w:rPr>
                        </w:pPr>
                      </w:p>
                      <w:p w14:paraId="27696B1B" w14:textId="77777777" w:rsidR="00F65BCA" w:rsidRDefault="00F65BCA">
                        <w:pPr>
                          <w:pStyle w:val="TableParagraph"/>
                          <w:spacing w:before="4"/>
                          <w:rPr>
                            <w:rFonts w:ascii="Calibri"/>
                            <w:sz w:val="2"/>
                          </w:rPr>
                        </w:pPr>
                      </w:p>
                      <w:p w14:paraId="123EA747" w14:textId="77777777" w:rsidR="00F65BCA" w:rsidRDefault="00216117">
                        <w:pPr>
                          <w:pStyle w:val="TableParagraph"/>
                          <w:spacing w:before="1"/>
                          <w:ind w:left="24" w:right="24"/>
                          <w:jc w:val="center"/>
                          <w:rPr>
                            <w:sz w:val="3"/>
                          </w:rPr>
                        </w:pPr>
                        <w:r>
                          <w:rPr>
                            <w:w w:val="105"/>
                            <w:sz w:val="3"/>
                          </w:rPr>
                          <w:t>1,33921368%</w:t>
                        </w:r>
                      </w:p>
                    </w:tc>
                    <w:tc>
                      <w:tcPr>
                        <w:tcW w:w="288" w:type="dxa"/>
                        <w:tcBorders>
                          <w:top w:val="single" w:sz="2" w:space="0" w:color="000000"/>
                          <w:left w:val="single" w:sz="2" w:space="0" w:color="000000"/>
                          <w:bottom w:val="single" w:sz="2" w:space="0" w:color="000000"/>
                          <w:right w:val="single" w:sz="2" w:space="0" w:color="000000"/>
                        </w:tcBorders>
                      </w:tcPr>
                      <w:p w14:paraId="08A418AD" w14:textId="77777777" w:rsidR="00F65BCA" w:rsidRDefault="00F65BCA">
                        <w:pPr>
                          <w:pStyle w:val="TableParagraph"/>
                          <w:rPr>
                            <w:rFonts w:ascii="Calibri"/>
                            <w:sz w:val="2"/>
                          </w:rPr>
                        </w:pPr>
                      </w:p>
                      <w:p w14:paraId="1A535C13" w14:textId="77777777" w:rsidR="00F65BCA" w:rsidRDefault="00F65BCA">
                        <w:pPr>
                          <w:pStyle w:val="TableParagraph"/>
                          <w:rPr>
                            <w:rFonts w:ascii="Calibri"/>
                            <w:sz w:val="2"/>
                          </w:rPr>
                        </w:pPr>
                      </w:p>
                      <w:p w14:paraId="0AFFF35D" w14:textId="77777777" w:rsidR="00F65BCA" w:rsidRDefault="00F65BCA">
                        <w:pPr>
                          <w:pStyle w:val="TableParagraph"/>
                          <w:rPr>
                            <w:rFonts w:ascii="Calibri"/>
                            <w:sz w:val="2"/>
                          </w:rPr>
                        </w:pPr>
                      </w:p>
                      <w:p w14:paraId="1827DB94" w14:textId="77777777" w:rsidR="00F65BCA" w:rsidRDefault="00F65BCA">
                        <w:pPr>
                          <w:pStyle w:val="TableParagraph"/>
                          <w:spacing w:before="4"/>
                          <w:rPr>
                            <w:rFonts w:ascii="Calibri"/>
                            <w:sz w:val="2"/>
                          </w:rPr>
                        </w:pPr>
                      </w:p>
                      <w:p w14:paraId="4C1F775C" w14:textId="77777777" w:rsidR="00F65BCA" w:rsidRDefault="00216117">
                        <w:pPr>
                          <w:pStyle w:val="TableParagraph"/>
                          <w:spacing w:before="1"/>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6E32DFE8" w14:textId="77777777" w:rsidR="00F65BCA" w:rsidRDefault="00F65BCA">
                        <w:pPr>
                          <w:pStyle w:val="TableParagraph"/>
                          <w:rPr>
                            <w:rFonts w:ascii="Calibri"/>
                            <w:sz w:val="2"/>
                          </w:rPr>
                        </w:pPr>
                      </w:p>
                      <w:p w14:paraId="30C4BF2B" w14:textId="77777777" w:rsidR="00F65BCA" w:rsidRDefault="00F65BCA">
                        <w:pPr>
                          <w:pStyle w:val="TableParagraph"/>
                          <w:rPr>
                            <w:rFonts w:ascii="Calibri"/>
                            <w:sz w:val="2"/>
                          </w:rPr>
                        </w:pPr>
                      </w:p>
                      <w:p w14:paraId="06E6A014" w14:textId="77777777" w:rsidR="00F65BCA" w:rsidRDefault="00F65BCA">
                        <w:pPr>
                          <w:pStyle w:val="TableParagraph"/>
                          <w:rPr>
                            <w:rFonts w:ascii="Calibri"/>
                            <w:sz w:val="2"/>
                          </w:rPr>
                        </w:pPr>
                      </w:p>
                      <w:p w14:paraId="5897CF5E" w14:textId="77777777" w:rsidR="00F65BCA" w:rsidRDefault="00F65BCA">
                        <w:pPr>
                          <w:pStyle w:val="TableParagraph"/>
                          <w:spacing w:before="4"/>
                          <w:rPr>
                            <w:rFonts w:ascii="Calibri"/>
                            <w:sz w:val="2"/>
                          </w:rPr>
                        </w:pPr>
                      </w:p>
                      <w:p w14:paraId="52FB3A84" w14:textId="77777777" w:rsidR="00F65BCA" w:rsidRDefault="00216117">
                        <w:pPr>
                          <w:pStyle w:val="TableParagraph"/>
                          <w:spacing w:before="1"/>
                          <w:ind w:left="24" w:right="24"/>
                          <w:jc w:val="center"/>
                          <w:rPr>
                            <w:sz w:val="3"/>
                          </w:rPr>
                        </w:pPr>
                        <w:r>
                          <w:rPr>
                            <w:w w:val="105"/>
                            <w:sz w:val="3"/>
                          </w:rPr>
                          <w:t>1,19873672%</w:t>
                        </w:r>
                      </w:p>
                    </w:tc>
                    <w:tc>
                      <w:tcPr>
                        <w:tcW w:w="288" w:type="dxa"/>
                        <w:tcBorders>
                          <w:top w:val="single" w:sz="2" w:space="0" w:color="000000"/>
                          <w:left w:val="single" w:sz="2" w:space="0" w:color="000000"/>
                          <w:bottom w:val="single" w:sz="2" w:space="0" w:color="000000"/>
                          <w:right w:val="single" w:sz="2" w:space="0" w:color="000000"/>
                        </w:tcBorders>
                      </w:tcPr>
                      <w:p w14:paraId="0B00ACFA" w14:textId="77777777" w:rsidR="00F65BCA" w:rsidRDefault="00F65BCA">
                        <w:pPr>
                          <w:pStyle w:val="TableParagraph"/>
                          <w:rPr>
                            <w:rFonts w:ascii="Calibri"/>
                            <w:sz w:val="2"/>
                          </w:rPr>
                        </w:pPr>
                      </w:p>
                      <w:p w14:paraId="33F8B030" w14:textId="77777777" w:rsidR="00F65BCA" w:rsidRDefault="00F65BCA">
                        <w:pPr>
                          <w:pStyle w:val="TableParagraph"/>
                          <w:rPr>
                            <w:rFonts w:ascii="Calibri"/>
                            <w:sz w:val="2"/>
                          </w:rPr>
                        </w:pPr>
                      </w:p>
                      <w:p w14:paraId="668BF235" w14:textId="77777777" w:rsidR="00F65BCA" w:rsidRDefault="00F65BCA">
                        <w:pPr>
                          <w:pStyle w:val="TableParagraph"/>
                          <w:rPr>
                            <w:rFonts w:ascii="Calibri"/>
                            <w:sz w:val="2"/>
                          </w:rPr>
                        </w:pPr>
                      </w:p>
                      <w:p w14:paraId="21D7D41E" w14:textId="77777777" w:rsidR="00F65BCA" w:rsidRDefault="00F65BCA">
                        <w:pPr>
                          <w:pStyle w:val="TableParagraph"/>
                          <w:spacing w:before="4"/>
                          <w:rPr>
                            <w:rFonts w:ascii="Calibri"/>
                            <w:sz w:val="2"/>
                          </w:rPr>
                        </w:pPr>
                      </w:p>
                      <w:p w14:paraId="6FF135D9" w14:textId="77777777" w:rsidR="00F65BCA" w:rsidRDefault="00216117">
                        <w:pPr>
                          <w:pStyle w:val="TableParagraph"/>
                          <w:spacing w:before="1"/>
                          <w:ind w:left="24" w:right="24"/>
                          <w:jc w:val="center"/>
                          <w:rPr>
                            <w:sz w:val="3"/>
                          </w:rPr>
                        </w:pPr>
                        <w:r>
                          <w:rPr>
                            <w:w w:val="105"/>
                            <w:sz w:val="3"/>
                          </w:rPr>
                          <w:t>1,11445055%</w:t>
                        </w:r>
                      </w:p>
                    </w:tc>
                    <w:tc>
                      <w:tcPr>
                        <w:tcW w:w="288" w:type="dxa"/>
                        <w:tcBorders>
                          <w:top w:val="single" w:sz="2" w:space="0" w:color="000000"/>
                          <w:left w:val="single" w:sz="2" w:space="0" w:color="000000"/>
                          <w:bottom w:val="single" w:sz="2" w:space="0" w:color="000000"/>
                          <w:right w:val="single" w:sz="2" w:space="0" w:color="000000"/>
                        </w:tcBorders>
                      </w:tcPr>
                      <w:p w14:paraId="13ABB375" w14:textId="77777777" w:rsidR="00F65BCA" w:rsidRDefault="00F65BCA">
                        <w:pPr>
                          <w:pStyle w:val="TableParagraph"/>
                          <w:rPr>
                            <w:rFonts w:ascii="Calibri"/>
                            <w:sz w:val="2"/>
                          </w:rPr>
                        </w:pPr>
                      </w:p>
                      <w:p w14:paraId="3D103917" w14:textId="77777777" w:rsidR="00F65BCA" w:rsidRDefault="00F65BCA">
                        <w:pPr>
                          <w:pStyle w:val="TableParagraph"/>
                          <w:rPr>
                            <w:rFonts w:ascii="Calibri"/>
                            <w:sz w:val="2"/>
                          </w:rPr>
                        </w:pPr>
                      </w:p>
                      <w:p w14:paraId="326AF9ED" w14:textId="77777777" w:rsidR="00F65BCA" w:rsidRDefault="00F65BCA">
                        <w:pPr>
                          <w:pStyle w:val="TableParagraph"/>
                          <w:rPr>
                            <w:rFonts w:ascii="Calibri"/>
                            <w:sz w:val="2"/>
                          </w:rPr>
                        </w:pPr>
                      </w:p>
                      <w:p w14:paraId="4D02D961" w14:textId="77777777" w:rsidR="00F65BCA" w:rsidRDefault="00F65BCA">
                        <w:pPr>
                          <w:pStyle w:val="TableParagraph"/>
                          <w:spacing w:before="4"/>
                          <w:rPr>
                            <w:rFonts w:ascii="Calibri"/>
                            <w:sz w:val="2"/>
                          </w:rPr>
                        </w:pPr>
                      </w:p>
                      <w:p w14:paraId="015A47BE" w14:textId="77777777" w:rsidR="00F65BCA" w:rsidRDefault="00216117">
                        <w:pPr>
                          <w:pStyle w:val="TableParagraph"/>
                          <w:spacing w:before="1"/>
                          <w:ind w:left="24" w:right="24"/>
                          <w:jc w:val="center"/>
                          <w:rPr>
                            <w:sz w:val="3"/>
                          </w:rPr>
                        </w:pPr>
                        <w:r>
                          <w:rPr>
                            <w:w w:val="105"/>
                            <w:sz w:val="3"/>
                          </w:rPr>
                          <w:t>1,03016437%</w:t>
                        </w:r>
                      </w:p>
                    </w:tc>
                    <w:tc>
                      <w:tcPr>
                        <w:tcW w:w="288" w:type="dxa"/>
                        <w:tcBorders>
                          <w:top w:val="single" w:sz="2" w:space="0" w:color="000000"/>
                          <w:left w:val="single" w:sz="2" w:space="0" w:color="000000"/>
                          <w:bottom w:val="single" w:sz="2" w:space="0" w:color="000000"/>
                          <w:right w:val="single" w:sz="2" w:space="0" w:color="000000"/>
                        </w:tcBorders>
                      </w:tcPr>
                      <w:p w14:paraId="7F7EEDE8" w14:textId="77777777" w:rsidR="00F65BCA" w:rsidRDefault="00F65BCA">
                        <w:pPr>
                          <w:pStyle w:val="TableParagraph"/>
                          <w:rPr>
                            <w:rFonts w:ascii="Calibri"/>
                            <w:sz w:val="2"/>
                          </w:rPr>
                        </w:pPr>
                      </w:p>
                      <w:p w14:paraId="4379CBBA" w14:textId="77777777" w:rsidR="00F65BCA" w:rsidRDefault="00F65BCA">
                        <w:pPr>
                          <w:pStyle w:val="TableParagraph"/>
                          <w:rPr>
                            <w:rFonts w:ascii="Calibri"/>
                            <w:sz w:val="2"/>
                          </w:rPr>
                        </w:pPr>
                      </w:p>
                      <w:p w14:paraId="328979E9" w14:textId="77777777" w:rsidR="00F65BCA" w:rsidRDefault="00F65BCA">
                        <w:pPr>
                          <w:pStyle w:val="TableParagraph"/>
                          <w:rPr>
                            <w:rFonts w:ascii="Calibri"/>
                            <w:sz w:val="2"/>
                          </w:rPr>
                        </w:pPr>
                      </w:p>
                      <w:p w14:paraId="5F16A33A" w14:textId="77777777" w:rsidR="00F65BCA" w:rsidRDefault="00F65BCA">
                        <w:pPr>
                          <w:pStyle w:val="TableParagraph"/>
                          <w:spacing w:before="4"/>
                          <w:rPr>
                            <w:rFonts w:ascii="Calibri"/>
                            <w:sz w:val="2"/>
                          </w:rPr>
                        </w:pPr>
                      </w:p>
                      <w:p w14:paraId="0280E222" w14:textId="77777777" w:rsidR="00F65BCA" w:rsidRDefault="00216117">
                        <w:pPr>
                          <w:pStyle w:val="TableParagraph"/>
                          <w:spacing w:before="1"/>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256FE1B5" w14:textId="77777777" w:rsidR="00F65BCA" w:rsidRDefault="00F65BCA">
                        <w:pPr>
                          <w:pStyle w:val="TableParagraph"/>
                          <w:rPr>
                            <w:rFonts w:ascii="Calibri"/>
                            <w:sz w:val="2"/>
                          </w:rPr>
                        </w:pPr>
                      </w:p>
                      <w:p w14:paraId="5032AECD" w14:textId="77777777" w:rsidR="00F65BCA" w:rsidRDefault="00F65BCA">
                        <w:pPr>
                          <w:pStyle w:val="TableParagraph"/>
                          <w:rPr>
                            <w:rFonts w:ascii="Calibri"/>
                            <w:sz w:val="2"/>
                          </w:rPr>
                        </w:pPr>
                      </w:p>
                      <w:p w14:paraId="4368DB58" w14:textId="77777777" w:rsidR="00F65BCA" w:rsidRDefault="00F65BCA">
                        <w:pPr>
                          <w:pStyle w:val="TableParagraph"/>
                          <w:rPr>
                            <w:rFonts w:ascii="Calibri"/>
                            <w:sz w:val="2"/>
                          </w:rPr>
                        </w:pPr>
                      </w:p>
                      <w:p w14:paraId="28B395E3" w14:textId="77777777" w:rsidR="00F65BCA" w:rsidRDefault="00F65BCA">
                        <w:pPr>
                          <w:pStyle w:val="TableParagraph"/>
                          <w:spacing w:before="4"/>
                          <w:rPr>
                            <w:rFonts w:ascii="Calibri"/>
                            <w:sz w:val="2"/>
                          </w:rPr>
                        </w:pPr>
                      </w:p>
                      <w:p w14:paraId="0C89F3EB" w14:textId="77777777" w:rsidR="00F65BCA" w:rsidRDefault="00216117">
                        <w:pPr>
                          <w:pStyle w:val="TableParagraph"/>
                          <w:spacing w:before="1"/>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235F38AB" w14:textId="77777777" w:rsidR="00F65BCA" w:rsidRDefault="00F65BCA">
                        <w:pPr>
                          <w:pStyle w:val="TableParagraph"/>
                          <w:rPr>
                            <w:rFonts w:ascii="Calibri"/>
                            <w:sz w:val="2"/>
                          </w:rPr>
                        </w:pPr>
                      </w:p>
                      <w:p w14:paraId="170DB7BD" w14:textId="77777777" w:rsidR="00F65BCA" w:rsidRDefault="00F65BCA">
                        <w:pPr>
                          <w:pStyle w:val="TableParagraph"/>
                          <w:rPr>
                            <w:rFonts w:ascii="Calibri"/>
                            <w:sz w:val="2"/>
                          </w:rPr>
                        </w:pPr>
                      </w:p>
                      <w:p w14:paraId="044E894F" w14:textId="77777777" w:rsidR="00F65BCA" w:rsidRDefault="00F65BCA">
                        <w:pPr>
                          <w:pStyle w:val="TableParagraph"/>
                          <w:rPr>
                            <w:rFonts w:ascii="Calibri"/>
                            <w:sz w:val="2"/>
                          </w:rPr>
                        </w:pPr>
                      </w:p>
                      <w:p w14:paraId="53F63F4A" w14:textId="77777777" w:rsidR="00F65BCA" w:rsidRDefault="00F65BCA">
                        <w:pPr>
                          <w:pStyle w:val="TableParagraph"/>
                          <w:spacing w:before="4"/>
                          <w:rPr>
                            <w:rFonts w:ascii="Calibri"/>
                            <w:sz w:val="2"/>
                          </w:rPr>
                        </w:pPr>
                      </w:p>
                      <w:p w14:paraId="28E6DE70" w14:textId="77777777" w:rsidR="00F65BCA" w:rsidRDefault="00216117">
                        <w:pPr>
                          <w:pStyle w:val="TableParagraph"/>
                          <w:spacing w:before="1"/>
                          <w:ind w:left="24" w:right="24"/>
                          <w:jc w:val="center"/>
                          <w:rPr>
                            <w:sz w:val="3"/>
                          </w:rPr>
                        </w:pPr>
                        <w:r>
                          <w:rPr>
                            <w:w w:val="105"/>
                            <w:sz w:val="3"/>
                          </w:rPr>
                          <w:t>1,12381568%</w:t>
                        </w:r>
                      </w:p>
                    </w:tc>
                    <w:tc>
                      <w:tcPr>
                        <w:tcW w:w="288" w:type="dxa"/>
                        <w:tcBorders>
                          <w:top w:val="single" w:sz="2" w:space="0" w:color="000000"/>
                          <w:left w:val="single" w:sz="2" w:space="0" w:color="000000"/>
                          <w:bottom w:val="single" w:sz="2" w:space="0" w:color="000000"/>
                          <w:right w:val="single" w:sz="2" w:space="0" w:color="000000"/>
                        </w:tcBorders>
                      </w:tcPr>
                      <w:p w14:paraId="3BF03F63" w14:textId="77777777" w:rsidR="00F65BCA" w:rsidRDefault="00F65BCA">
                        <w:pPr>
                          <w:pStyle w:val="TableParagraph"/>
                          <w:rPr>
                            <w:rFonts w:ascii="Calibri"/>
                            <w:sz w:val="2"/>
                          </w:rPr>
                        </w:pPr>
                      </w:p>
                      <w:p w14:paraId="0ABC847F" w14:textId="77777777" w:rsidR="00F65BCA" w:rsidRDefault="00F65BCA">
                        <w:pPr>
                          <w:pStyle w:val="TableParagraph"/>
                          <w:rPr>
                            <w:rFonts w:ascii="Calibri"/>
                            <w:sz w:val="2"/>
                          </w:rPr>
                        </w:pPr>
                      </w:p>
                      <w:p w14:paraId="7D33B335" w14:textId="77777777" w:rsidR="00F65BCA" w:rsidRDefault="00F65BCA">
                        <w:pPr>
                          <w:pStyle w:val="TableParagraph"/>
                          <w:rPr>
                            <w:rFonts w:ascii="Calibri"/>
                            <w:sz w:val="2"/>
                          </w:rPr>
                        </w:pPr>
                      </w:p>
                      <w:p w14:paraId="436EE580" w14:textId="77777777" w:rsidR="00F65BCA" w:rsidRDefault="00F65BCA">
                        <w:pPr>
                          <w:pStyle w:val="TableParagraph"/>
                          <w:spacing w:before="4"/>
                          <w:rPr>
                            <w:rFonts w:ascii="Calibri"/>
                            <w:sz w:val="2"/>
                          </w:rPr>
                        </w:pPr>
                      </w:p>
                      <w:p w14:paraId="1067330C" w14:textId="77777777" w:rsidR="00F65BCA" w:rsidRDefault="00216117">
                        <w:pPr>
                          <w:pStyle w:val="TableParagraph"/>
                          <w:spacing w:before="1"/>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621E1B24" w14:textId="77777777" w:rsidR="00F65BCA" w:rsidRDefault="00F65BCA">
                        <w:pPr>
                          <w:pStyle w:val="TableParagraph"/>
                          <w:rPr>
                            <w:rFonts w:ascii="Calibri"/>
                            <w:sz w:val="2"/>
                          </w:rPr>
                        </w:pPr>
                      </w:p>
                      <w:p w14:paraId="38040E5E" w14:textId="77777777" w:rsidR="00F65BCA" w:rsidRDefault="00F65BCA">
                        <w:pPr>
                          <w:pStyle w:val="TableParagraph"/>
                          <w:rPr>
                            <w:rFonts w:ascii="Calibri"/>
                            <w:sz w:val="2"/>
                          </w:rPr>
                        </w:pPr>
                      </w:p>
                      <w:p w14:paraId="0EA80145" w14:textId="77777777" w:rsidR="00F65BCA" w:rsidRDefault="00F65BCA">
                        <w:pPr>
                          <w:pStyle w:val="TableParagraph"/>
                          <w:rPr>
                            <w:rFonts w:ascii="Calibri"/>
                            <w:sz w:val="2"/>
                          </w:rPr>
                        </w:pPr>
                      </w:p>
                      <w:p w14:paraId="5E4574BA" w14:textId="77777777" w:rsidR="00F65BCA" w:rsidRDefault="00F65BCA">
                        <w:pPr>
                          <w:pStyle w:val="TableParagraph"/>
                          <w:spacing w:before="4"/>
                          <w:rPr>
                            <w:rFonts w:ascii="Calibri"/>
                            <w:sz w:val="2"/>
                          </w:rPr>
                        </w:pPr>
                      </w:p>
                      <w:p w14:paraId="299BFA69" w14:textId="77777777" w:rsidR="00F65BCA" w:rsidRDefault="00216117">
                        <w:pPr>
                          <w:pStyle w:val="TableParagraph"/>
                          <w:spacing w:before="1"/>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5FE244C4" w14:textId="77777777" w:rsidR="00F65BCA" w:rsidRDefault="00F65BCA">
                        <w:pPr>
                          <w:pStyle w:val="TableParagraph"/>
                          <w:rPr>
                            <w:rFonts w:ascii="Calibri"/>
                            <w:sz w:val="2"/>
                          </w:rPr>
                        </w:pPr>
                      </w:p>
                      <w:p w14:paraId="0674FD01" w14:textId="77777777" w:rsidR="00F65BCA" w:rsidRDefault="00F65BCA">
                        <w:pPr>
                          <w:pStyle w:val="TableParagraph"/>
                          <w:rPr>
                            <w:rFonts w:ascii="Calibri"/>
                            <w:sz w:val="2"/>
                          </w:rPr>
                        </w:pPr>
                      </w:p>
                      <w:p w14:paraId="511AD51F" w14:textId="77777777" w:rsidR="00F65BCA" w:rsidRDefault="00F65BCA">
                        <w:pPr>
                          <w:pStyle w:val="TableParagraph"/>
                          <w:rPr>
                            <w:rFonts w:ascii="Calibri"/>
                            <w:sz w:val="2"/>
                          </w:rPr>
                        </w:pPr>
                      </w:p>
                      <w:p w14:paraId="0D6EE43A" w14:textId="77777777" w:rsidR="00F65BCA" w:rsidRDefault="00F65BCA">
                        <w:pPr>
                          <w:pStyle w:val="TableParagraph"/>
                          <w:spacing w:before="4"/>
                          <w:rPr>
                            <w:rFonts w:ascii="Calibri"/>
                            <w:sz w:val="2"/>
                          </w:rPr>
                        </w:pPr>
                      </w:p>
                      <w:p w14:paraId="72363000" w14:textId="77777777" w:rsidR="00F65BCA" w:rsidRDefault="00216117">
                        <w:pPr>
                          <w:pStyle w:val="TableParagraph"/>
                          <w:spacing w:before="1"/>
                          <w:ind w:left="24" w:right="24"/>
                          <w:jc w:val="center"/>
                          <w:rPr>
                            <w:sz w:val="3"/>
                          </w:rPr>
                        </w:pPr>
                        <w:r>
                          <w:rPr>
                            <w:w w:val="105"/>
                            <w:sz w:val="3"/>
                          </w:rPr>
                          <w:t>1,40476960%</w:t>
                        </w:r>
                      </w:p>
                    </w:tc>
                  </w:tr>
                  <w:tr w:rsidR="00F65BCA" w14:paraId="5EAB006F"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5B3F2742"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20D1FF39" w14:textId="77777777" w:rsidR="00F65BCA" w:rsidRDefault="00F65BCA">
                        <w:pPr>
                          <w:pStyle w:val="TableParagraph"/>
                          <w:rPr>
                            <w:rFonts w:ascii="Calibri"/>
                            <w:sz w:val="2"/>
                          </w:rPr>
                        </w:pPr>
                      </w:p>
                      <w:p w14:paraId="3338E4EE" w14:textId="77777777" w:rsidR="00F65BCA" w:rsidRDefault="00F65BCA">
                        <w:pPr>
                          <w:pStyle w:val="TableParagraph"/>
                          <w:rPr>
                            <w:rFonts w:ascii="Calibri"/>
                            <w:sz w:val="2"/>
                          </w:rPr>
                        </w:pPr>
                      </w:p>
                      <w:p w14:paraId="28B35348" w14:textId="77777777" w:rsidR="00F65BCA" w:rsidRDefault="00F65BCA">
                        <w:pPr>
                          <w:pStyle w:val="TableParagraph"/>
                          <w:rPr>
                            <w:rFonts w:ascii="Calibri"/>
                            <w:sz w:val="2"/>
                          </w:rPr>
                        </w:pPr>
                      </w:p>
                      <w:p w14:paraId="028EBC50" w14:textId="77777777" w:rsidR="00F65BCA" w:rsidRDefault="00F65BCA">
                        <w:pPr>
                          <w:pStyle w:val="TableParagraph"/>
                          <w:rPr>
                            <w:rFonts w:ascii="Calibri"/>
                            <w:sz w:val="2"/>
                          </w:rPr>
                        </w:pPr>
                      </w:p>
                      <w:p w14:paraId="38DB03A8" w14:textId="77777777" w:rsidR="00F65BCA" w:rsidRDefault="00F65BCA">
                        <w:pPr>
                          <w:pStyle w:val="TableParagraph"/>
                          <w:rPr>
                            <w:rFonts w:ascii="Calibri"/>
                            <w:sz w:val="2"/>
                          </w:rPr>
                        </w:pPr>
                      </w:p>
                      <w:p w14:paraId="45281F85" w14:textId="77777777" w:rsidR="00F65BCA" w:rsidRDefault="00F65BCA">
                        <w:pPr>
                          <w:pStyle w:val="TableParagraph"/>
                          <w:rPr>
                            <w:rFonts w:ascii="Calibri"/>
                            <w:sz w:val="2"/>
                          </w:rPr>
                        </w:pPr>
                      </w:p>
                      <w:p w14:paraId="2F4E19D8" w14:textId="77777777" w:rsidR="00F65BCA" w:rsidRDefault="00F65BCA">
                        <w:pPr>
                          <w:pStyle w:val="TableParagraph"/>
                          <w:rPr>
                            <w:rFonts w:ascii="Calibri"/>
                            <w:sz w:val="2"/>
                          </w:rPr>
                        </w:pPr>
                      </w:p>
                      <w:p w14:paraId="624235DA" w14:textId="77777777" w:rsidR="00F65BCA" w:rsidRDefault="00F65BCA">
                        <w:pPr>
                          <w:pStyle w:val="TableParagraph"/>
                          <w:rPr>
                            <w:rFonts w:ascii="Calibri"/>
                            <w:sz w:val="2"/>
                          </w:rPr>
                        </w:pPr>
                      </w:p>
                      <w:p w14:paraId="2118E9DA" w14:textId="77777777" w:rsidR="00F65BCA" w:rsidRDefault="00F65BCA">
                        <w:pPr>
                          <w:pStyle w:val="TableParagraph"/>
                          <w:spacing w:before="5"/>
                          <w:rPr>
                            <w:rFonts w:ascii="Calibri"/>
                            <w:sz w:val="2"/>
                          </w:rPr>
                        </w:pPr>
                      </w:p>
                      <w:p w14:paraId="53D01B1F" w14:textId="77777777" w:rsidR="00F65BCA" w:rsidRDefault="00216117">
                        <w:pPr>
                          <w:pStyle w:val="TableParagraph"/>
                          <w:ind w:left="18" w:right="18"/>
                          <w:jc w:val="center"/>
                          <w:rPr>
                            <w:sz w:val="3"/>
                          </w:rPr>
                        </w:pPr>
                        <w:r>
                          <w:rPr>
                            <w:w w:val="105"/>
                            <w:sz w:val="3"/>
                          </w:rPr>
                          <w:t>Peugeot</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71AD66AD" w14:textId="77777777" w:rsidR="00F65BCA" w:rsidRDefault="00F65BCA">
                        <w:pPr>
                          <w:pStyle w:val="TableParagraph"/>
                          <w:rPr>
                            <w:rFonts w:ascii="Calibri"/>
                            <w:sz w:val="2"/>
                          </w:rPr>
                        </w:pPr>
                      </w:p>
                      <w:p w14:paraId="2448E2B3" w14:textId="77777777" w:rsidR="00F65BCA" w:rsidRDefault="00F65BCA">
                        <w:pPr>
                          <w:pStyle w:val="TableParagraph"/>
                          <w:rPr>
                            <w:rFonts w:ascii="Calibri"/>
                            <w:sz w:val="2"/>
                          </w:rPr>
                        </w:pPr>
                      </w:p>
                      <w:p w14:paraId="1B2DBD94" w14:textId="77777777" w:rsidR="00F65BCA" w:rsidRDefault="00216117">
                        <w:pPr>
                          <w:pStyle w:val="TableParagraph"/>
                          <w:spacing w:line="283" w:lineRule="auto"/>
                          <w:ind w:left="4" w:right="-19"/>
                          <w:rPr>
                            <w:sz w:val="3"/>
                          </w:rPr>
                        </w:pPr>
                        <w:r>
                          <w:rPr>
                            <w:w w:val="105"/>
                            <w:sz w:val="3"/>
                          </w:rPr>
                          <w:t>106 VAN; 504 PICK UP; BOXER DO 3,5t; EXPERT; J5; PARTNER; RANCH</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4CE945B" w14:textId="77777777" w:rsidR="00F65BCA" w:rsidRDefault="00F65BCA">
                        <w:pPr>
                          <w:pStyle w:val="TableParagraph"/>
                          <w:rPr>
                            <w:rFonts w:ascii="Calibri"/>
                            <w:sz w:val="2"/>
                          </w:rPr>
                        </w:pPr>
                      </w:p>
                      <w:p w14:paraId="441E4CBD"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972B4CB" w14:textId="77777777" w:rsidR="00F65BCA" w:rsidRDefault="00F65BCA">
                        <w:pPr>
                          <w:pStyle w:val="TableParagraph"/>
                          <w:rPr>
                            <w:rFonts w:ascii="Calibri"/>
                            <w:sz w:val="2"/>
                          </w:rPr>
                        </w:pPr>
                      </w:p>
                      <w:p w14:paraId="208EAA30"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C23B022"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028C0C6" w14:textId="77777777" w:rsidR="00F65BCA" w:rsidRDefault="00F65BCA">
                        <w:pPr>
                          <w:pStyle w:val="TableParagraph"/>
                          <w:rPr>
                            <w:rFonts w:ascii="Calibri"/>
                            <w:sz w:val="2"/>
                          </w:rPr>
                        </w:pPr>
                      </w:p>
                      <w:p w14:paraId="56783D27"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5DCED71C" w14:textId="77777777" w:rsidR="00F65BCA" w:rsidRDefault="00F65BCA">
                        <w:pPr>
                          <w:pStyle w:val="TableParagraph"/>
                          <w:rPr>
                            <w:rFonts w:ascii="Calibri"/>
                            <w:sz w:val="2"/>
                          </w:rPr>
                        </w:pPr>
                      </w:p>
                      <w:p w14:paraId="631F341F"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3F1F7921" w14:textId="77777777" w:rsidR="00F65BCA" w:rsidRDefault="00F65BCA">
                        <w:pPr>
                          <w:pStyle w:val="TableParagraph"/>
                          <w:rPr>
                            <w:rFonts w:ascii="Calibri"/>
                            <w:sz w:val="2"/>
                          </w:rPr>
                        </w:pPr>
                      </w:p>
                      <w:p w14:paraId="3576C819"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28E72A25" w14:textId="77777777" w:rsidR="00F65BCA" w:rsidRDefault="00F65BCA">
                        <w:pPr>
                          <w:pStyle w:val="TableParagraph"/>
                          <w:rPr>
                            <w:rFonts w:ascii="Calibri"/>
                            <w:sz w:val="2"/>
                          </w:rPr>
                        </w:pPr>
                      </w:p>
                      <w:p w14:paraId="474896B9"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46CB0369" w14:textId="77777777" w:rsidR="00F65BCA" w:rsidRDefault="00F65BCA">
                        <w:pPr>
                          <w:pStyle w:val="TableParagraph"/>
                          <w:rPr>
                            <w:rFonts w:ascii="Calibri"/>
                            <w:sz w:val="2"/>
                          </w:rPr>
                        </w:pPr>
                      </w:p>
                      <w:p w14:paraId="754EA291"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64BF8331" w14:textId="77777777" w:rsidR="00F65BCA" w:rsidRDefault="00F65BCA">
                        <w:pPr>
                          <w:pStyle w:val="TableParagraph"/>
                          <w:rPr>
                            <w:rFonts w:ascii="Calibri"/>
                            <w:sz w:val="2"/>
                          </w:rPr>
                        </w:pPr>
                      </w:p>
                      <w:p w14:paraId="2218EC02"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3122D036" w14:textId="77777777" w:rsidR="00F65BCA" w:rsidRDefault="00F65BCA">
                        <w:pPr>
                          <w:pStyle w:val="TableParagraph"/>
                          <w:rPr>
                            <w:rFonts w:ascii="Calibri"/>
                            <w:sz w:val="2"/>
                          </w:rPr>
                        </w:pPr>
                      </w:p>
                      <w:p w14:paraId="1F9A6609"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01492683" w14:textId="77777777" w:rsidR="00F65BCA" w:rsidRDefault="00F65BCA">
                        <w:pPr>
                          <w:pStyle w:val="TableParagraph"/>
                          <w:rPr>
                            <w:rFonts w:ascii="Calibri"/>
                            <w:sz w:val="2"/>
                          </w:rPr>
                        </w:pPr>
                      </w:p>
                      <w:p w14:paraId="6E572EC0"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21A980AD" w14:textId="77777777" w:rsidR="00F65BCA" w:rsidRDefault="00F65BCA">
                        <w:pPr>
                          <w:pStyle w:val="TableParagraph"/>
                          <w:rPr>
                            <w:rFonts w:ascii="Calibri"/>
                            <w:sz w:val="2"/>
                          </w:rPr>
                        </w:pPr>
                      </w:p>
                      <w:p w14:paraId="7EBA34B3"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4884BEA6" w14:textId="77777777" w:rsidR="00F65BCA" w:rsidRDefault="00F65BCA">
                        <w:pPr>
                          <w:pStyle w:val="TableParagraph"/>
                          <w:rPr>
                            <w:rFonts w:ascii="Calibri"/>
                            <w:sz w:val="2"/>
                          </w:rPr>
                        </w:pPr>
                      </w:p>
                      <w:p w14:paraId="2792B774"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4294AC1D" w14:textId="77777777" w:rsidR="00F65BCA" w:rsidRDefault="00F65BCA">
                        <w:pPr>
                          <w:pStyle w:val="TableParagraph"/>
                          <w:rPr>
                            <w:rFonts w:ascii="Calibri"/>
                            <w:sz w:val="2"/>
                          </w:rPr>
                        </w:pPr>
                      </w:p>
                      <w:p w14:paraId="5C9BBF9B"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5E128CCD" w14:textId="77777777" w:rsidR="00F65BCA" w:rsidRDefault="00F65BCA">
                        <w:pPr>
                          <w:pStyle w:val="TableParagraph"/>
                          <w:rPr>
                            <w:rFonts w:ascii="Calibri"/>
                            <w:sz w:val="2"/>
                          </w:rPr>
                        </w:pPr>
                      </w:p>
                      <w:p w14:paraId="08B0791B"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7522B21C" w14:textId="77777777" w:rsidR="00F65BCA" w:rsidRDefault="00F65BCA">
                        <w:pPr>
                          <w:pStyle w:val="TableParagraph"/>
                          <w:rPr>
                            <w:rFonts w:ascii="Calibri"/>
                            <w:sz w:val="2"/>
                          </w:rPr>
                        </w:pPr>
                      </w:p>
                      <w:p w14:paraId="4F17C9F1" w14:textId="77777777" w:rsidR="00F65BCA" w:rsidRDefault="00216117">
                        <w:pPr>
                          <w:pStyle w:val="TableParagraph"/>
                          <w:ind w:left="24" w:right="24"/>
                          <w:jc w:val="center"/>
                          <w:rPr>
                            <w:sz w:val="3"/>
                          </w:rPr>
                        </w:pPr>
                        <w:r>
                          <w:rPr>
                            <w:w w:val="105"/>
                            <w:sz w:val="3"/>
                          </w:rPr>
                          <w:t>0,95940000%</w:t>
                        </w:r>
                      </w:p>
                    </w:tc>
                  </w:tr>
                  <w:tr w:rsidR="00F65BCA" w14:paraId="63A1209B"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613C9304"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6BE0E17C"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2D373481"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9E6066A" w14:textId="77777777" w:rsidR="00F65BCA" w:rsidRDefault="00F65BCA">
                        <w:pPr>
                          <w:pStyle w:val="TableParagraph"/>
                          <w:rPr>
                            <w:rFonts w:ascii="Calibri"/>
                            <w:sz w:val="2"/>
                          </w:rPr>
                        </w:pPr>
                      </w:p>
                      <w:p w14:paraId="4890EA46"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A784A21" w14:textId="77777777" w:rsidR="00F65BCA" w:rsidRDefault="00F65BCA">
                        <w:pPr>
                          <w:pStyle w:val="TableParagraph"/>
                          <w:rPr>
                            <w:rFonts w:ascii="Calibri"/>
                            <w:sz w:val="2"/>
                          </w:rPr>
                        </w:pPr>
                      </w:p>
                      <w:p w14:paraId="73C0D7DC"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48260723"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75EC9910" w14:textId="77777777" w:rsidR="00F65BCA" w:rsidRDefault="00F65BCA">
                        <w:pPr>
                          <w:pStyle w:val="TableParagraph"/>
                          <w:rPr>
                            <w:rFonts w:ascii="Calibri"/>
                            <w:sz w:val="2"/>
                          </w:rPr>
                        </w:pPr>
                      </w:p>
                      <w:p w14:paraId="10B8E25E"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1FD0E4D3" w14:textId="77777777" w:rsidR="00F65BCA" w:rsidRDefault="00F65BCA">
                        <w:pPr>
                          <w:pStyle w:val="TableParagraph"/>
                          <w:rPr>
                            <w:rFonts w:ascii="Calibri"/>
                            <w:sz w:val="2"/>
                          </w:rPr>
                        </w:pPr>
                      </w:p>
                      <w:p w14:paraId="2BE740BB"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61AB03BF" w14:textId="77777777" w:rsidR="00F65BCA" w:rsidRDefault="00F65BCA">
                        <w:pPr>
                          <w:pStyle w:val="TableParagraph"/>
                          <w:rPr>
                            <w:rFonts w:ascii="Calibri"/>
                            <w:sz w:val="2"/>
                          </w:rPr>
                        </w:pPr>
                      </w:p>
                      <w:p w14:paraId="78BBB0F7"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5380FA3A" w14:textId="77777777" w:rsidR="00F65BCA" w:rsidRDefault="00F65BCA">
                        <w:pPr>
                          <w:pStyle w:val="TableParagraph"/>
                          <w:rPr>
                            <w:rFonts w:ascii="Calibri"/>
                            <w:sz w:val="2"/>
                          </w:rPr>
                        </w:pPr>
                      </w:p>
                      <w:p w14:paraId="160C5EB6"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739A2536" w14:textId="77777777" w:rsidR="00F65BCA" w:rsidRDefault="00F65BCA">
                        <w:pPr>
                          <w:pStyle w:val="TableParagraph"/>
                          <w:rPr>
                            <w:rFonts w:ascii="Calibri"/>
                            <w:sz w:val="2"/>
                          </w:rPr>
                        </w:pPr>
                      </w:p>
                      <w:p w14:paraId="7B927230"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3C339918" w14:textId="77777777" w:rsidR="00F65BCA" w:rsidRDefault="00F65BCA">
                        <w:pPr>
                          <w:pStyle w:val="TableParagraph"/>
                          <w:rPr>
                            <w:rFonts w:ascii="Calibri"/>
                            <w:sz w:val="2"/>
                          </w:rPr>
                        </w:pPr>
                      </w:p>
                      <w:p w14:paraId="2284F8B9"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6246A43A" w14:textId="77777777" w:rsidR="00F65BCA" w:rsidRDefault="00F65BCA">
                        <w:pPr>
                          <w:pStyle w:val="TableParagraph"/>
                          <w:rPr>
                            <w:rFonts w:ascii="Calibri"/>
                            <w:sz w:val="2"/>
                          </w:rPr>
                        </w:pPr>
                      </w:p>
                      <w:p w14:paraId="4B1728CD"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5285113F" w14:textId="77777777" w:rsidR="00F65BCA" w:rsidRDefault="00F65BCA">
                        <w:pPr>
                          <w:pStyle w:val="TableParagraph"/>
                          <w:rPr>
                            <w:rFonts w:ascii="Calibri"/>
                            <w:sz w:val="2"/>
                          </w:rPr>
                        </w:pPr>
                      </w:p>
                      <w:p w14:paraId="55F37062"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772B38EA" w14:textId="77777777" w:rsidR="00F65BCA" w:rsidRDefault="00F65BCA">
                        <w:pPr>
                          <w:pStyle w:val="TableParagraph"/>
                          <w:rPr>
                            <w:rFonts w:ascii="Calibri"/>
                            <w:sz w:val="2"/>
                          </w:rPr>
                        </w:pPr>
                      </w:p>
                      <w:p w14:paraId="503356A1"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5C8F2E6F" w14:textId="77777777" w:rsidR="00F65BCA" w:rsidRDefault="00F65BCA">
                        <w:pPr>
                          <w:pStyle w:val="TableParagraph"/>
                          <w:rPr>
                            <w:rFonts w:ascii="Calibri"/>
                            <w:sz w:val="2"/>
                          </w:rPr>
                        </w:pPr>
                      </w:p>
                      <w:p w14:paraId="7BF55141"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0D3B3143" w14:textId="77777777" w:rsidR="00F65BCA" w:rsidRDefault="00F65BCA">
                        <w:pPr>
                          <w:pStyle w:val="TableParagraph"/>
                          <w:rPr>
                            <w:rFonts w:ascii="Calibri"/>
                            <w:sz w:val="2"/>
                          </w:rPr>
                        </w:pPr>
                      </w:p>
                      <w:p w14:paraId="32DD9A8D"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7A7EEA70" w14:textId="77777777" w:rsidR="00F65BCA" w:rsidRDefault="00F65BCA">
                        <w:pPr>
                          <w:pStyle w:val="TableParagraph"/>
                          <w:rPr>
                            <w:rFonts w:ascii="Calibri"/>
                            <w:sz w:val="2"/>
                          </w:rPr>
                        </w:pPr>
                      </w:p>
                      <w:p w14:paraId="71F4B502"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3D10456" w14:textId="77777777" w:rsidR="00F65BCA" w:rsidRDefault="00F65BCA">
                        <w:pPr>
                          <w:pStyle w:val="TableParagraph"/>
                          <w:rPr>
                            <w:rFonts w:ascii="Calibri"/>
                            <w:sz w:val="2"/>
                          </w:rPr>
                        </w:pPr>
                      </w:p>
                      <w:p w14:paraId="14A045C4" w14:textId="77777777" w:rsidR="00F65BCA" w:rsidRDefault="00216117">
                        <w:pPr>
                          <w:pStyle w:val="TableParagraph"/>
                          <w:ind w:left="24" w:right="24"/>
                          <w:jc w:val="center"/>
                          <w:rPr>
                            <w:sz w:val="3"/>
                          </w:rPr>
                        </w:pPr>
                        <w:r>
                          <w:rPr>
                            <w:w w:val="105"/>
                            <w:sz w:val="3"/>
                          </w:rPr>
                          <w:t>1,15895520%</w:t>
                        </w:r>
                      </w:p>
                    </w:tc>
                  </w:tr>
                  <w:tr w:rsidR="00F65BCA" w14:paraId="2C30C019" w14:textId="77777777">
                    <w:trPr>
                      <w:trHeight w:val="153"/>
                    </w:trPr>
                    <w:tc>
                      <w:tcPr>
                        <w:tcW w:w="526" w:type="dxa"/>
                        <w:vMerge/>
                        <w:tcBorders>
                          <w:top w:val="nil"/>
                          <w:left w:val="single" w:sz="2" w:space="0" w:color="000000"/>
                          <w:bottom w:val="single" w:sz="2" w:space="0" w:color="000000"/>
                          <w:right w:val="single" w:sz="2" w:space="0" w:color="000000"/>
                        </w:tcBorders>
                        <w:shd w:val="clear" w:color="auto" w:fill="FCE4D6"/>
                      </w:tcPr>
                      <w:p w14:paraId="376CC130"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623C10F9"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356405B0" w14:textId="77777777" w:rsidR="00F65BCA" w:rsidRDefault="00216117">
                        <w:pPr>
                          <w:pStyle w:val="TableParagraph"/>
                          <w:spacing w:before="16"/>
                          <w:ind w:left="4"/>
                          <w:rPr>
                            <w:sz w:val="3"/>
                          </w:rPr>
                        </w:pPr>
                        <w:r>
                          <w:rPr>
                            <w:w w:val="105"/>
                            <w:sz w:val="3"/>
                          </w:rPr>
                          <w:t>108;</w:t>
                        </w:r>
                        <w:r>
                          <w:rPr>
                            <w:spacing w:val="-4"/>
                            <w:w w:val="105"/>
                            <w:sz w:val="3"/>
                          </w:rPr>
                          <w:t xml:space="preserve"> </w:t>
                        </w:r>
                        <w:r>
                          <w:rPr>
                            <w:w w:val="105"/>
                            <w:sz w:val="3"/>
                          </w:rPr>
                          <w:t>1007;</w:t>
                        </w:r>
                        <w:r>
                          <w:rPr>
                            <w:spacing w:val="-3"/>
                            <w:w w:val="105"/>
                            <w:sz w:val="3"/>
                          </w:rPr>
                          <w:t xml:space="preserve"> </w:t>
                        </w:r>
                        <w:r>
                          <w:rPr>
                            <w:w w:val="105"/>
                            <w:sz w:val="3"/>
                          </w:rPr>
                          <w:t>106;</w:t>
                        </w:r>
                        <w:r>
                          <w:rPr>
                            <w:spacing w:val="-3"/>
                            <w:w w:val="105"/>
                            <w:sz w:val="3"/>
                          </w:rPr>
                          <w:t xml:space="preserve"> </w:t>
                        </w:r>
                        <w:r>
                          <w:rPr>
                            <w:w w:val="105"/>
                            <w:sz w:val="3"/>
                          </w:rPr>
                          <w:t>107;</w:t>
                        </w:r>
                        <w:r>
                          <w:rPr>
                            <w:spacing w:val="-3"/>
                            <w:w w:val="105"/>
                            <w:sz w:val="3"/>
                          </w:rPr>
                          <w:t xml:space="preserve"> </w:t>
                        </w:r>
                        <w:r>
                          <w:rPr>
                            <w:w w:val="105"/>
                            <w:sz w:val="3"/>
                          </w:rPr>
                          <w:t>2008;</w:t>
                        </w:r>
                        <w:r>
                          <w:rPr>
                            <w:spacing w:val="-3"/>
                            <w:w w:val="105"/>
                            <w:sz w:val="3"/>
                          </w:rPr>
                          <w:t xml:space="preserve"> </w:t>
                        </w:r>
                        <w:r>
                          <w:rPr>
                            <w:w w:val="105"/>
                            <w:sz w:val="3"/>
                          </w:rPr>
                          <w:t>205;</w:t>
                        </w:r>
                        <w:r>
                          <w:rPr>
                            <w:spacing w:val="-3"/>
                            <w:w w:val="105"/>
                            <w:sz w:val="3"/>
                          </w:rPr>
                          <w:t xml:space="preserve"> </w:t>
                        </w:r>
                        <w:r>
                          <w:rPr>
                            <w:w w:val="105"/>
                            <w:sz w:val="3"/>
                          </w:rPr>
                          <w:t>205</w:t>
                        </w:r>
                        <w:r>
                          <w:rPr>
                            <w:spacing w:val="-4"/>
                            <w:w w:val="105"/>
                            <w:sz w:val="3"/>
                          </w:rPr>
                          <w:t xml:space="preserve"> </w:t>
                        </w:r>
                        <w:r>
                          <w:rPr>
                            <w:w w:val="105"/>
                            <w:sz w:val="3"/>
                          </w:rPr>
                          <w:t>CABRIOLET;</w:t>
                        </w:r>
                        <w:r>
                          <w:rPr>
                            <w:spacing w:val="-3"/>
                            <w:w w:val="105"/>
                            <w:sz w:val="3"/>
                          </w:rPr>
                          <w:t xml:space="preserve"> </w:t>
                        </w:r>
                        <w:r>
                          <w:rPr>
                            <w:w w:val="105"/>
                            <w:sz w:val="3"/>
                          </w:rPr>
                          <w:t>206;</w:t>
                        </w:r>
                        <w:r>
                          <w:rPr>
                            <w:spacing w:val="-3"/>
                            <w:w w:val="105"/>
                            <w:sz w:val="3"/>
                          </w:rPr>
                          <w:t xml:space="preserve"> </w:t>
                        </w:r>
                        <w:r>
                          <w:rPr>
                            <w:w w:val="105"/>
                            <w:sz w:val="3"/>
                          </w:rPr>
                          <w:t>206</w:t>
                        </w:r>
                        <w:r>
                          <w:rPr>
                            <w:spacing w:val="-4"/>
                            <w:w w:val="105"/>
                            <w:sz w:val="3"/>
                          </w:rPr>
                          <w:t xml:space="preserve"> </w:t>
                        </w:r>
                        <w:r>
                          <w:rPr>
                            <w:w w:val="105"/>
                            <w:sz w:val="3"/>
                          </w:rPr>
                          <w:t>CC;</w:t>
                        </w:r>
                        <w:r>
                          <w:rPr>
                            <w:spacing w:val="-3"/>
                            <w:w w:val="105"/>
                            <w:sz w:val="3"/>
                          </w:rPr>
                          <w:t xml:space="preserve"> </w:t>
                        </w:r>
                        <w:r>
                          <w:rPr>
                            <w:w w:val="105"/>
                            <w:sz w:val="3"/>
                          </w:rPr>
                          <w:t>206</w:t>
                        </w:r>
                      </w:p>
                      <w:p w14:paraId="593AF39F" w14:textId="77777777" w:rsidR="00F65BCA" w:rsidRDefault="00216117">
                        <w:pPr>
                          <w:pStyle w:val="TableParagraph"/>
                          <w:spacing w:before="6"/>
                          <w:ind w:left="4"/>
                          <w:rPr>
                            <w:sz w:val="3"/>
                          </w:rPr>
                        </w:pPr>
                        <w:r>
                          <w:rPr>
                            <w:w w:val="105"/>
                            <w:sz w:val="3"/>
                          </w:rPr>
                          <w:t>SW;</w:t>
                        </w:r>
                        <w:r>
                          <w:rPr>
                            <w:spacing w:val="-2"/>
                            <w:w w:val="105"/>
                            <w:sz w:val="3"/>
                          </w:rPr>
                          <w:t xml:space="preserve"> </w:t>
                        </w:r>
                        <w:r>
                          <w:rPr>
                            <w:w w:val="105"/>
                            <w:sz w:val="3"/>
                          </w:rPr>
                          <w:t>207;</w:t>
                        </w:r>
                        <w:r>
                          <w:rPr>
                            <w:spacing w:val="-1"/>
                            <w:w w:val="105"/>
                            <w:sz w:val="3"/>
                          </w:rPr>
                          <w:t xml:space="preserve"> </w:t>
                        </w:r>
                        <w:r>
                          <w:rPr>
                            <w:w w:val="105"/>
                            <w:sz w:val="3"/>
                          </w:rPr>
                          <w:t>207</w:t>
                        </w:r>
                        <w:r>
                          <w:rPr>
                            <w:spacing w:val="-3"/>
                            <w:w w:val="105"/>
                            <w:sz w:val="3"/>
                          </w:rPr>
                          <w:t xml:space="preserve"> </w:t>
                        </w:r>
                        <w:r>
                          <w:rPr>
                            <w:w w:val="105"/>
                            <w:sz w:val="3"/>
                          </w:rPr>
                          <w:t>CC;</w:t>
                        </w:r>
                        <w:r>
                          <w:rPr>
                            <w:spacing w:val="-2"/>
                            <w:w w:val="105"/>
                            <w:sz w:val="3"/>
                          </w:rPr>
                          <w:t xml:space="preserve"> </w:t>
                        </w:r>
                        <w:r>
                          <w:rPr>
                            <w:w w:val="105"/>
                            <w:sz w:val="3"/>
                          </w:rPr>
                          <w:t>207</w:t>
                        </w:r>
                        <w:r>
                          <w:rPr>
                            <w:spacing w:val="-2"/>
                            <w:w w:val="105"/>
                            <w:sz w:val="3"/>
                          </w:rPr>
                          <w:t xml:space="preserve"> </w:t>
                        </w:r>
                        <w:r>
                          <w:rPr>
                            <w:w w:val="105"/>
                            <w:sz w:val="3"/>
                          </w:rPr>
                          <w:t>SW;</w:t>
                        </w:r>
                        <w:r>
                          <w:rPr>
                            <w:spacing w:val="-2"/>
                            <w:w w:val="105"/>
                            <w:sz w:val="3"/>
                          </w:rPr>
                          <w:t xml:space="preserve"> </w:t>
                        </w:r>
                        <w:r>
                          <w:rPr>
                            <w:w w:val="105"/>
                            <w:sz w:val="3"/>
                          </w:rPr>
                          <w:t>208;</w:t>
                        </w:r>
                        <w:r>
                          <w:rPr>
                            <w:spacing w:val="-1"/>
                            <w:w w:val="105"/>
                            <w:sz w:val="3"/>
                          </w:rPr>
                          <w:t xml:space="preserve"> </w:t>
                        </w:r>
                        <w:r>
                          <w:rPr>
                            <w:w w:val="105"/>
                            <w:sz w:val="3"/>
                          </w:rPr>
                          <w:t>3008;</w:t>
                        </w:r>
                        <w:r>
                          <w:rPr>
                            <w:spacing w:val="-2"/>
                            <w:w w:val="105"/>
                            <w:sz w:val="3"/>
                          </w:rPr>
                          <w:t xml:space="preserve"> </w:t>
                        </w:r>
                        <w:r>
                          <w:rPr>
                            <w:w w:val="105"/>
                            <w:sz w:val="3"/>
                          </w:rPr>
                          <w:t>301;</w:t>
                        </w:r>
                        <w:r>
                          <w:rPr>
                            <w:spacing w:val="-1"/>
                            <w:w w:val="105"/>
                            <w:sz w:val="3"/>
                          </w:rPr>
                          <w:t xml:space="preserve"> </w:t>
                        </w:r>
                        <w:r>
                          <w:rPr>
                            <w:w w:val="105"/>
                            <w:sz w:val="3"/>
                          </w:rPr>
                          <w:t>305;</w:t>
                        </w:r>
                        <w:r>
                          <w:rPr>
                            <w:spacing w:val="-2"/>
                            <w:w w:val="105"/>
                            <w:sz w:val="3"/>
                          </w:rPr>
                          <w:t xml:space="preserve"> </w:t>
                        </w:r>
                        <w:r>
                          <w:rPr>
                            <w:w w:val="105"/>
                            <w:sz w:val="3"/>
                          </w:rPr>
                          <w:t>305</w:t>
                        </w:r>
                        <w:r>
                          <w:rPr>
                            <w:spacing w:val="-2"/>
                            <w:w w:val="105"/>
                            <w:sz w:val="3"/>
                          </w:rPr>
                          <w:t xml:space="preserve"> </w:t>
                        </w:r>
                        <w:r>
                          <w:rPr>
                            <w:w w:val="105"/>
                            <w:sz w:val="3"/>
                          </w:rPr>
                          <w:t>BREAK;</w:t>
                        </w:r>
                        <w:r>
                          <w:rPr>
                            <w:spacing w:val="-2"/>
                            <w:w w:val="105"/>
                            <w:sz w:val="3"/>
                          </w:rPr>
                          <w:t xml:space="preserve"> </w:t>
                        </w:r>
                        <w:r>
                          <w:rPr>
                            <w:w w:val="105"/>
                            <w:sz w:val="3"/>
                          </w:rPr>
                          <w:t>306;</w:t>
                        </w:r>
                      </w:p>
                      <w:p w14:paraId="45A10DED" w14:textId="77777777" w:rsidR="00F65BCA" w:rsidRDefault="00216117">
                        <w:pPr>
                          <w:pStyle w:val="TableParagraph"/>
                          <w:spacing w:before="6"/>
                          <w:ind w:left="4"/>
                          <w:rPr>
                            <w:sz w:val="3"/>
                          </w:rPr>
                        </w:pPr>
                        <w:r>
                          <w:rPr>
                            <w:w w:val="105"/>
                            <w:sz w:val="3"/>
                          </w:rPr>
                          <w:t>306</w:t>
                        </w:r>
                        <w:r>
                          <w:rPr>
                            <w:spacing w:val="-4"/>
                            <w:w w:val="105"/>
                            <w:sz w:val="3"/>
                          </w:rPr>
                          <w:t xml:space="preserve"> </w:t>
                        </w:r>
                        <w:r>
                          <w:rPr>
                            <w:w w:val="105"/>
                            <w:sz w:val="3"/>
                          </w:rPr>
                          <w:t>BREAK;</w:t>
                        </w:r>
                        <w:r>
                          <w:rPr>
                            <w:spacing w:val="-2"/>
                            <w:w w:val="105"/>
                            <w:sz w:val="3"/>
                          </w:rPr>
                          <w:t xml:space="preserve"> </w:t>
                        </w:r>
                        <w:r>
                          <w:rPr>
                            <w:w w:val="105"/>
                            <w:sz w:val="3"/>
                          </w:rPr>
                          <w:t>306</w:t>
                        </w:r>
                        <w:r>
                          <w:rPr>
                            <w:spacing w:val="-3"/>
                            <w:w w:val="105"/>
                            <w:sz w:val="3"/>
                          </w:rPr>
                          <w:t xml:space="preserve"> </w:t>
                        </w:r>
                        <w:r>
                          <w:rPr>
                            <w:w w:val="105"/>
                            <w:sz w:val="3"/>
                          </w:rPr>
                          <w:t>CABRIOLET;</w:t>
                        </w:r>
                        <w:r>
                          <w:rPr>
                            <w:spacing w:val="-3"/>
                            <w:w w:val="105"/>
                            <w:sz w:val="3"/>
                          </w:rPr>
                          <w:t xml:space="preserve"> </w:t>
                        </w:r>
                        <w:r>
                          <w:rPr>
                            <w:w w:val="105"/>
                            <w:sz w:val="3"/>
                          </w:rPr>
                          <w:t>307;</w:t>
                        </w:r>
                        <w:r>
                          <w:rPr>
                            <w:spacing w:val="-2"/>
                            <w:w w:val="105"/>
                            <w:sz w:val="3"/>
                          </w:rPr>
                          <w:t xml:space="preserve"> </w:t>
                        </w:r>
                        <w:r>
                          <w:rPr>
                            <w:w w:val="105"/>
                            <w:sz w:val="3"/>
                          </w:rPr>
                          <w:t>307</w:t>
                        </w:r>
                        <w:r>
                          <w:rPr>
                            <w:spacing w:val="-3"/>
                            <w:w w:val="105"/>
                            <w:sz w:val="3"/>
                          </w:rPr>
                          <w:t xml:space="preserve"> </w:t>
                        </w:r>
                        <w:r>
                          <w:rPr>
                            <w:w w:val="105"/>
                            <w:sz w:val="3"/>
                          </w:rPr>
                          <w:t>BREAK;</w:t>
                        </w:r>
                        <w:r>
                          <w:rPr>
                            <w:spacing w:val="-2"/>
                            <w:w w:val="105"/>
                            <w:sz w:val="3"/>
                          </w:rPr>
                          <w:t xml:space="preserve"> </w:t>
                        </w:r>
                        <w:r>
                          <w:rPr>
                            <w:w w:val="105"/>
                            <w:sz w:val="3"/>
                          </w:rPr>
                          <w:t>307</w:t>
                        </w:r>
                        <w:r>
                          <w:rPr>
                            <w:spacing w:val="-4"/>
                            <w:w w:val="105"/>
                            <w:sz w:val="3"/>
                          </w:rPr>
                          <w:t xml:space="preserve"> </w:t>
                        </w:r>
                        <w:r>
                          <w:rPr>
                            <w:w w:val="105"/>
                            <w:sz w:val="3"/>
                          </w:rPr>
                          <w:t>CC;</w:t>
                        </w:r>
                        <w:r>
                          <w:rPr>
                            <w:spacing w:val="-2"/>
                            <w:w w:val="105"/>
                            <w:sz w:val="3"/>
                          </w:rPr>
                          <w:t xml:space="preserve"> </w:t>
                        </w:r>
                        <w:r>
                          <w:rPr>
                            <w:w w:val="105"/>
                            <w:sz w:val="3"/>
                          </w:rPr>
                          <w:t>307</w:t>
                        </w:r>
                        <w:r>
                          <w:rPr>
                            <w:spacing w:val="-3"/>
                            <w:w w:val="105"/>
                            <w:sz w:val="3"/>
                          </w:rPr>
                          <w:t xml:space="preserve"> </w:t>
                        </w:r>
                        <w:r>
                          <w:rPr>
                            <w:w w:val="105"/>
                            <w:sz w:val="3"/>
                          </w:rPr>
                          <w:t>SW;</w:t>
                        </w:r>
                      </w:p>
                      <w:p w14:paraId="4EA01DE8" w14:textId="77777777" w:rsidR="00F65BCA" w:rsidRDefault="00216117">
                        <w:pPr>
                          <w:pStyle w:val="TableParagraph"/>
                          <w:spacing w:before="7"/>
                          <w:ind w:left="4"/>
                          <w:rPr>
                            <w:sz w:val="3"/>
                          </w:rPr>
                        </w:pPr>
                        <w:r>
                          <w:rPr>
                            <w:w w:val="105"/>
                            <w:sz w:val="3"/>
                          </w:rPr>
                          <w:t>308;</w:t>
                        </w:r>
                        <w:r>
                          <w:rPr>
                            <w:spacing w:val="-2"/>
                            <w:w w:val="105"/>
                            <w:sz w:val="3"/>
                          </w:rPr>
                          <w:t xml:space="preserve"> </w:t>
                        </w:r>
                        <w:r>
                          <w:rPr>
                            <w:w w:val="105"/>
                            <w:sz w:val="3"/>
                          </w:rPr>
                          <w:t>308</w:t>
                        </w:r>
                        <w:r>
                          <w:rPr>
                            <w:spacing w:val="-3"/>
                            <w:w w:val="105"/>
                            <w:sz w:val="3"/>
                          </w:rPr>
                          <w:t xml:space="preserve"> </w:t>
                        </w:r>
                        <w:r>
                          <w:rPr>
                            <w:w w:val="105"/>
                            <w:sz w:val="3"/>
                          </w:rPr>
                          <w:t>CC;</w:t>
                        </w:r>
                        <w:r>
                          <w:rPr>
                            <w:spacing w:val="-2"/>
                            <w:w w:val="105"/>
                            <w:sz w:val="3"/>
                          </w:rPr>
                          <w:t xml:space="preserve"> </w:t>
                        </w:r>
                        <w:r>
                          <w:rPr>
                            <w:w w:val="105"/>
                            <w:sz w:val="3"/>
                          </w:rPr>
                          <w:t>308</w:t>
                        </w:r>
                        <w:r>
                          <w:rPr>
                            <w:spacing w:val="-3"/>
                            <w:w w:val="105"/>
                            <w:sz w:val="3"/>
                          </w:rPr>
                          <w:t xml:space="preserve"> </w:t>
                        </w:r>
                        <w:r>
                          <w:rPr>
                            <w:w w:val="105"/>
                            <w:sz w:val="3"/>
                          </w:rPr>
                          <w:t>SW;</w:t>
                        </w:r>
                        <w:r>
                          <w:rPr>
                            <w:spacing w:val="-2"/>
                            <w:w w:val="105"/>
                            <w:sz w:val="3"/>
                          </w:rPr>
                          <w:t xml:space="preserve"> </w:t>
                        </w:r>
                        <w:r>
                          <w:rPr>
                            <w:w w:val="105"/>
                            <w:sz w:val="3"/>
                          </w:rPr>
                          <w:t>309;</w:t>
                        </w:r>
                        <w:r>
                          <w:rPr>
                            <w:spacing w:val="-2"/>
                            <w:w w:val="105"/>
                            <w:sz w:val="3"/>
                          </w:rPr>
                          <w:t xml:space="preserve"> </w:t>
                        </w:r>
                        <w:r>
                          <w:rPr>
                            <w:w w:val="105"/>
                            <w:sz w:val="3"/>
                          </w:rPr>
                          <w:t>4007;</w:t>
                        </w:r>
                        <w:r>
                          <w:rPr>
                            <w:spacing w:val="-2"/>
                            <w:w w:val="105"/>
                            <w:sz w:val="3"/>
                          </w:rPr>
                          <w:t xml:space="preserve"> </w:t>
                        </w:r>
                        <w:r>
                          <w:rPr>
                            <w:w w:val="105"/>
                            <w:sz w:val="3"/>
                          </w:rPr>
                          <w:t>4008;</w:t>
                        </w:r>
                        <w:r>
                          <w:rPr>
                            <w:spacing w:val="-2"/>
                            <w:w w:val="105"/>
                            <w:sz w:val="3"/>
                          </w:rPr>
                          <w:t xml:space="preserve"> </w:t>
                        </w:r>
                        <w:r>
                          <w:rPr>
                            <w:w w:val="105"/>
                            <w:sz w:val="3"/>
                          </w:rPr>
                          <w:t>405;</w:t>
                        </w:r>
                        <w:r>
                          <w:rPr>
                            <w:spacing w:val="-1"/>
                            <w:w w:val="105"/>
                            <w:sz w:val="3"/>
                          </w:rPr>
                          <w:t xml:space="preserve"> </w:t>
                        </w:r>
                        <w:r>
                          <w:rPr>
                            <w:w w:val="105"/>
                            <w:sz w:val="3"/>
                          </w:rPr>
                          <w:t>405</w:t>
                        </w:r>
                        <w:r>
                          <w:rPr>
                            <w:spacing w:val="-3"/>
                            <w:w w:val="105"/>
                            <w:sz w:val="3"/>
                          </w:rPr>
                          <w:t xml:space="preserve"> </w:t>
                        </w:r>
                        <w:r>
                          <w:rPr>
                            <w:w w:val="105"/>
                            <w:sz w:val="3"/>
                          </w:rPr>
                          <w:t>BREAK;</w:t>
                        </w:r>
                        <w:r>
                          <w:rPr>
                            <w:spacing w:val="-2"/>
                            <w:w w:val="105"/>
                            <w:sz w:val="3"/>
                          </w:rPr>
                          <w:t xml:space="preserve"> </w:t>
                        </w:r>
                        <w:r>
                          <w:rPr>
                            <w:w w:val="105"/>
                            <w:sz w:val="3"/>
                          </w:rPr>
                          <w:t>406;</w:t>
                        </w:r>
                        <w:r>
                          <w:rPr>
                            <w:spacing w:val="-2"/>
                            <w:w w:val="105"/>
                            <w:sz w:val="3"/>
                          </w:rPr>
                          <w:t xml:space="preserve"> </w:t>
                        </w:r>
                        <w:r>
                          <w:rPr>
                            <w:w w:val="105"/>
                            <w:sz w:val="3"/>
                          </w:rPr>
                          <w:t>406</w:t>
                        </w:r>
                      </w:p>
                      <w:p w14:paraId="6FA81AD4" w14:textId="77777777" w:rsidR="00F65BCA" w:rsidRDefault="00216117">
                        <w:pPr>
                          <w:pStyle w:val="TableParagraph"/>
                          <w:spacing w:before="6"/>
                          <w:ind w:left="4"/>
                          <w:rPr>
                            <w:sz w:val="3"/>
                          </w:rPr>
                        </w:pPr>
                        <w:r>
                          <w:rPr>
                            <w:w w:val="105"/>
                            <w:sz w:val="3"/>
                          </w:rPr>
                          <w:t>BREAK;</w:t>
                        </w:r>
                        <w:r>
                          <w:rPr>
                            <w:spacing w:val="-2"/>
                            <w:w w:val="105"/>
                            <w:sz w:val="3"/>
                          </w:rPr>
                          <w:t xml:space="preserve"> </w:t>
                        </w:r>
                        <w:r>
                          <w:rPr>
                            <w:w w:val="105"/>
                            <w:sz w:val="3"/>
                          </w:rPr>
                          <w:t>406</w:t>
                        </w:r>
                        <w:r>
                          <w:rPr>
                            <w:spacing w:val="-4"/>
                            <w:w w:val="105"/>
                            <w:sz w:val="3"/>
                          </w:rPr>
                          <w:t xml:space="preserve"> </w:t>
                        </w:r>
                        <w:r>
                          <w:rPr>
                            <w:w w:val="105"/>
                            <w:sz w:val="3"/>
                          </w:rPr>
                          <w:t>COUPÉ;</w:t>
                        </w:r>
                        <w:r>
                          <w:rPr>
                            <w:spacing w:val="-1"/>
                            <w:w w:val="105"/>
                            <w:sz w:val="3"/>
                          </w:rPr>
                          <w:t xml:space="preserve"> </w:t>
                        </w:r>
                        <w:r>
                          <w:rPr>
                            <w:w w:val="105"/>
                            <w:sz w:val="3"/>
                          </w:rPr>
                          <w:t>407;</w:t>
                        </w:r>
                        <w:r>
                          <w:rPr>
                            <w:spacing w:val="-2"/>
                            <w:w w:val="105"/>
                            <w:sz w:val="3"/>
                          </w:rPr>
                          <w:t xml:space="preserve"> </w:t>
                        </w:r>
                        <w:r>
                          <w:rPr>
                            <w:w w:val="105"/>
                            <w:sz w:val="3"/>
                          </w:rPr>
                          <w:t>407</w:t>
                        </w:r>
                        <w:r>
                          <w:rPr>
                            <w:spacing w:val="-3"/>
                            <w:w w:val="105"/>
                            <w:sz w:val="3"/>
                          </w:rPr>
                          <w:t xml:space="preserve"> </w:t>
                        </w:r>
                        <w:r>
                          <w:rPr>
                            <w:w w:val="105"/>
                            <w:sz w:val="3"/>
                          </w:rPr>
                          <w:t>COUPÉ;</w:t>
                        </w:r>
                        <w:r>
                          <w:rPr>
                            <w:spacing w:val="-2"/>
                            <w:w w:val="105"/>
                            <w:sz w:val="3"/>
                          </w:rPr>
                          <w:t xml:space="preserve"> </w:t>
                        </w:r>
                        <w:r>
                          <w:rPr>
                            <w:w w:val="105"/>
                            <w:sz w:val="3"/>
                          </w:rPr>
                          <w:t>407</w:t>
                        </w:r>
                        <w:r>
                          <w:rPr>
                            <w:spacing w:val="-3"/>
                            <w:w w:val="105"/>
                            <w:sz w:val="3"/>
                          </w:rPr>
                          <w:t xml:space="preserve"> </w:t>
                        </w:r>
                        <w:r>
                          <w:rPr>
                            <w:w w:val="105"/>
                            <w:sz w:val="3"/>
                          </w:rPr>
                          <w:t>SW;</w:t>
                        </w:r>
                        <w:r>
                          <w:rPr>
                            <w:spacing w:val="-2"/>
                            <w:w w:val="105"/>
                            <w:sz w:val="3"/>
                          </w:rPr>
                          <w:t xml:space="preserve"> </w:t>
                        </w:r>
                        <w:r>
                          <w:rPr>
                            <w:w w:val="105"/>
                            <w:sz w:val="3"/>
                          </w:rPr>
                          <w:t>5008;</w:t>
                        </w:r>
                        <w:r>
                          <w:rPr>
                            <w:spacing w:val="-2"/>
                            <w:w w:val="105"/>
                            <w:sz w:val="3"/>
                          </w:rPr>
                          <w:t xml:space="preserve"> </w:t>
                        </w:r>
                        <w:r>
                          <w:rPr>
                            <w:w w:val="105"/>
                            <w:sz w:val="3"/>
                          </w:rPr>
                          <w:t>505;</w:t>
                        </w:r>
                        <w:r>
                          <w:rPr>
                            <w:spacing w:val="-2"/>
                            <w:w w:val="105"/>
                            <w:sz w:val="3"/>
                          </w:rPr>
                          <w:t xml:space="preserve"> </w:t>
                        </w:r>
                        <w:r>
                          <w:rPr>
                            <w:w w:val="105"/>
                            <w:sz w:val="3"/>
                          </w:rPr>
                          <w:t>505</w:t>
                        </w:r>
                      </w:p>
                      <w:p w14:paraId="1F1A3725" w14:textId="77777777" w:rsidR="00F65BCA" w:rsidRDefault="00216117">
                        <w:pPr>
                          <w:pStyle w:val="TableParagraph"/>
                          <w:spacing w:before="1" w:line="40" w:lineRule="atLeast"/>
                          <w:ind w:left="4" w:right="41"/>
                          <w:rPr>
                            <w:sz w:val="3"/>
                          </w:rPr>
                        </w:pPr>
                        <w:r>
                          <w:rPr>
                            <w:w w:val="105"/>
                            <w:sz w:val="3"/>
                          </w:rPr>
                          <w:t>BREAK; 508; 508 SW; 605; 607; 806; 807; BIPPER; ION; JINÉ; RCZ; RIFTER; TRAVELLER</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BC2514B" w14:textId="77777777" w:rsidR="00F65BCA" w:rsidRDefault="00F65BCA">
                        <w:pPr>
                          <w:pStyle w:val="TableParagraph"/>
                          <w:rPr>
                            <w:rFonts w:ascii="Calibri"/>
                            <w:sz w:val="2"/>
                          </w:rPr>
                        </w:pPr>
                      </w:p>
                      <w:p w14:paraId="78B595B1" w14:textId="77777777" w:rsidR="00F65BCA" w:rsidRDefault="00F65BCA">
                        <w:pPr>
                          <w:pStyle w:val="TableParagraph"/>
                          <w:spacing w:before="10"/>
                          <w:rPr>
                            <w:rFonts w:ascii="Calibri"/>
                            <w:sz w:val="2"/>
                          </w:rPr>
                        </w:pPr>
                      </w:p>
                      <w:p w14:paraId="693C9345"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3EAB487" w14:textId="77777777" w:rsidR="00F65BCA" w:rsidRDefault="00F65BCA">
                        <w:pPr>
                          <w:pStyle w:val="TableParagraph"/>
                          <w:rPr>
                            <w:rFonts w:ascii="Calibri"/>
                            <w:sz w:val="2"/>
                          </w:rPr>
                        </w:pPr>
                      </w:p>
                      <w:p w14:paraId="6E1C7F8C" w14:textId="77777777" w:rsidR="00F65BCA" w:rsidRDefault="00F65BCA">
                        <w:pPr>
                          <w:pStyle w:val="TableParagraph"/>
                          <w:spacing w:before="10"/>
                          <w:rPr>
                            <w:rFonts w:ascii="Calibri"/>
                            <w:sz w:val="2"/>
                          </w:rPr>
                        </w:pPr>
                      </w:p>
                      <w:p w14:paraId="56561C43"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408720AA"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1AFCE9EF" w14:textId="77777777" w:rsidR="00F65BCA" w:rsidRDefault="00F65BCA">
                        <w:pPr>
                          <w:pStyle w:val="TableParagraph"/>
                          <w:rPr>
                            <w:rFonts w:ascii="Calibri"/>
                            <w:sz w:val="2"/>
                          </w:rPr>
                        </w:pPr>
                      </w:p>
                      <w:p w14:paraId="73A736EF" w14:textId="77777777" w:rsidR="00F65BCA" w:rsidRDefault="00F65BCA">
                        <w:pPr>
                          <w:pStyle w:val="TableParagraph"/>
                          <w:spacing w:before="10"/>
                          <w:rPr>
                            <w:rFonts w:ascii="Calibri"/>
                            <w:sz w:val="2"/>
                          </w:rPr>
                        </w:pPr>
                      </w:p>
                      <w:p w14:paraId="70F3691B"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45141B6E" w14:textId="77777777" w:rsidR="00F65BCA" w:rsidRDefault="00F65BCA">
                        <w:pPr>
                          <w:pStyle w:val="TableParagraph"/>
                          <w:rPr>
                            <w:rFonts w:ascii="Calibri"/>
                            <w:sz w:val="2"/>
                          </w:rPr>
                        </w:pPr>
                      </w:p>
                      <w:p w14:paraId="2F6D3715" w14:textId="77777777" w:rsidR="00F65BCA" w:rsidRDefault="00F65BCA">
                        <w:pPr>
                          <w:pStyle w:val="TableParagraph"/>
                          <w:spacing w:before="10"/>
                          <w:rPr>
                            <w:rFonts w:ascii="Calibri"/>
                            <w:sz w:val="2"/>
                          </w:rPr>
                        </w:pPr>
                      </w:p>
                      <w:p w14:paraId="0BE6FE98"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37C1B827" w14:textId="77777777" w:rsidR="00F65BCA" w:rsidRDefault="00F65BCA">
                        <w:pPr>
                          <w:pStyle w:val="TableParagraph"/>
                          <w:rPr>
                            <w:rFonts w:ascii="Calibri"/>
                            <w:sz w:val="2"/>
                          </w:rPr>
                        </w:pPr>
                      </w:p>
                      <w:p w14:paraId="1DC28D15" w14:textId="77777777" w:rsidR="00F65BCA" w:rsidRDefault="00F65BCA">
                        <w:pPr>
                          <w:pStyle w:val="TableParagraph"/>
                          <w:spacing w:before="10"/>
                          <w:rPr>
                            <w:rFonts w:ascii="Calibri"/>
                            <w:sz w:val="2"/>
                          </w:rPr>
                        </w:pPr>
                      </w:p>
                      <w:p w14:paraId="4BAB1B18"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7E3B57F5" w14:textId="77777777" w:rsidR="00F65BCA" w:rsidRDefault="00F65BCA">
                        <w:pPr>
                          <w:pStyle w:val="TableParagraph"/>
                          <w:rPr>
                            <w:rFonts w:ascii="Calibri"/>
                            <w:sz w:val="2"/>
                          </w:rPr>
                        </w:pPr>
                      </w:p>
                      <w:p w14:paraId="45AA55F4" w14:textId="77777777" w:rsidR="00F65BCA" w:rsidRDefault="00F65BCA">
                        <w:pPr>
                          <w:pStyle w:val="TableParagraph"/>
                          <w:spacing w:before="10"/>
                          <w:rPr>
                            <w:rFonts w:ascii="Calibri"/>
                            <w:sz w:val="2"/>
                          </w:rPr>
                        </w:pPr>
                      </w:p>
                      <w:p w14:paraId="32B04689"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2F8EC7E4" w14:textId="77777777" w:rsidR="00F65BCA" w:rsidRDefault="00F65BCA">
                        <w:pPr>
                          <w:pStyle w:val="TableParagraph"/>
                          <w:rPr>
                            <w:rFonts w:ascii="Calibri"/>
                            <w:sz w:val="2"/>
                          </w:rPr>
                        </w:pPr>
                      </w:p>
                      <w:p w14:paraId="139752AB" w14:textId="77777777" w:rsidR="00F65BCA" w:rsidRDefault="00F65BCA">
                        <w:pPr>
                          <w:pStyle w:val="TableParagraph"/>
                          <w:spacing w:before="10"/>
                          <w:rPr>
                            <w:rFonts w:ascii="Calibri"/>
                            <w:sz w:val="2"/>
                          </w:rPr>
                        </w:pPr>
                      </w:p>
                      <w:p w14:paraId="2F4B1F9F"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7008E4C2" w14:textId="77777777" w:rsidR="00F65BCA" w:rsidRDefault="00F65BCA">
                        <w:pPr>
                          <w:pStyle w:val="TableParagraph"/>
                          <w:rPr>
                            <w:rFonts w:ascii="Calibri"/>
                            <w:sz w:val="2"/>
                          </w:rPr>
                        </w:pPr>
                      </w:p>
                      <w:p w14:paraId="203CEA0E" w14:textId="77777777" w:rsidR="00F65BCA" w:rsidRDefault="00F65BCA">
                        <w:pPr>
                          <w:pStyle w:val="TableParagraph"/>
                          <w:spacing w:before="10"/>
                          <w:rPr>
                            <w:rFonts w:ascii="Calibri"/>
                            <w:sz w:val="2"/>
                          </w:rPr>
                        </w:pPr>
                      </w:p>
                      <w:p w14:paraId="5BEBCD10"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0026BE93" w14:textId="77777777" w:rsidR="00F65BCA" w:rsidRDefault="00F65BCA">
                        <w:pPr>
                          <w:pStyle w:val="TableParagraph"/>
                          <w:rPr>
                            <w:rFonts w:ascii="Calibri"/>
                            <w:sz w:val="2"/>
                          </w:rPr>
                        </w:pPr>
                      </w:p>
                      <w:p w14:paraId="6969C61F" w14:textId="77777777" w:rsidR="00F65BCA" w:rsidRDefault="00F65BCA">
                        <w:pPr>
                          <w:pStyle w:val="TableParagraph"/>
                          <w:spacing w:before="10"/>
                          <w:rPr>
                            <w:rFonts w:ascii="Calibri"/>
                            <w:sz w:val="2"/>
                          </w:rPr>
                        </w:pPr>
                      </w:p>
                      <w:p w14:paraId="19E2805D"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21631D45" w14:textId="77777777" w:rsidR="00F65BCA" w:rsidRDefault="00F65BCA">
                        <w:pPr>
                          <w:pStyle w:val="TableParagraph"/>
                          <w:rPr>
                            <w:rFonts w:ascii="Calibri"/>
                            <w:sz w:val="2"/>
                          </w:rPr>
                        </w:pPr>
                      </w:p>
                      <w:p w14:paraId="72669D5B" w14:textId="77777777" w:rsidR="00F65BCA" w:rsidRDefault="00F65BCA">
                        <w:pPr>
                          <w:pStyle w:val="TableParagraph"/>
                          <w:spacing w:before="10"/>
                          <w:rPr>
                            <w:rFonts w:ascii="Calibri"/>
                            <w:sz w:val="2"/>
                          </w:rPr>
                        </w:pPr>
                      </w:p>
                      <w:p w14:paraId="65AF9C39"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1D0933C4" w14:textId="77777777" w:rsidR="00F65BCA" w:rsidRDefault="00F65BCA">
                        <w:pPr>
                          <w:pStyle w:val="TableParagraph"/>
                          <w:rPr>
                            <w:rFonts w:ascii="Calibri"/>
                            <w:sz w:val="2"/>
                          </w:rPr>
                        </w:pPr>
                      </w:p>
                      <w:p w14:paraId="05139FC1" w14:textId="77777777" w:rsidR="00F65BCA" w:rsidRDefault="00F65BCA">
                        <w:pPr>
                          <w:pStyle w:val="TableParagraph"/>
                          <w:spacing w:before="10"/>
                          <w:rPr>
                            <w:rFonts w:ascii="Calibri"/>
                            <w:sz w:val="2"/>
                          </w:rPr>
                        </w:pPr>
                      </w:p>
                      <w:p w14:paraId="5CE44F68"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3DC72DA3" w14:textId="77777777" w:rsidR="00F65BCA" w:rsidRDefault="00F65BCA">
                        <w:pPr>
                          <w:pStyle w:val="TableParagraph"/>
                          <w:rPr>
                            <w:rFonts w:ascii="Calibri"/>
                            <w:sz w:val="2"/>
                          </w:rPr>
                        </w:pPr>
                      </w:p>
                      <w:p w14:paraId="1D2E8C6D" w14:textId="77777777" w:rsidR="00F65BCA" w:rsidRDefault="00F65BCA">
                        <w:pPr>
                          <w:pStyle w:val="TableParagraph"/>
                          <w:spacing w:before="10"/>
                          <w:rPr>
                            <w:rFonts w:ascii="Calibri"/>
                            <w:sz w:val="2"/>
                          </w:rPr>
                        </w:pPr>
                      </w:p>
                      <w:p w14:paraId="1DCDECA5"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7FFC2E82" w14:textId="77777777" w:rsidR="00F65BCA" w:rsidRDefault="00F65BCA">
                        <w:pPr>
                          <w:pStyle w:val="TableParagraph"/>
                          <w:rPr>
                            <w:rFonts w:ascii="Calibri"/>
                            <w:sz w:val="2"/>
                          </w:rPr>
                        </w:pPr>
                      </w:p>
                      <w:p w14:paraId="089136C1" w14:textId="77777777" w:rsidR="00F65BCA" w:rsidRDefault="00F65BCA">
                        <w:pPr>
                          <w:pStyle w:val="TableParagraph"/>
                          <w:spacing w:before="10"/>
                          <w:rPr>
                            <w:rFonts w:ascii="Calibri"/>
                            <w:sz w:val="2"/>
                          </w:rPr>
                        </w:pPr>
                      </w:p>
                      <w:p w14:paraId="45EE319A"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5DF1B038" w14:textId="77777777" w:rsidR="00F65BCA" w:rsidRDefault="00F65BCA">
                        <w:pPr>
                          <w:pStyle w:val="TableParagraph"/>
                          <w:rPr>
                            <w:rFonts w:ascii="Calibri"/>
                            <w:sz w:val="2"/>
                          </w:rPr>
                        </w:pPr>
                      </w:p>
                      <w:p w14:paraId="1C0234EE" w14:textId="77777777" w:rsidR="00F65BCA" w:rsidRDefault="00F65BCA">
                        <w:pPr>
                          <w:pStyle w:val="TableParagraph"/>
                          <w:spacing w:before="10"/>
                          <w:rPr>
                            <w:rFonts w:ascii="Calibri"/>
                            <w:sz w:val="2"/>
                          </w:rPr>
                        </w:pPr>
                      </w:p>
                      <w:p w14:paraId="1BB5471C"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1475BCF0" w14:textId="77777777" w:rsidR="00F65BCA" w:rsidRDefault="00F65BCA">
                        <w:pPr>
                          <w:pStyle w:val="TableParagraph"/>
                          <w:rPr>
                            <w:rFonts w:ascii="Calibri"/>
                            <w:sz w:val="2"/>
                          </w:rPr>
                        </w:pPr>
                      </w:p>
                      <w:p w14:paraId="03DE0CC5" w14:textId="77777777" w:rsidR="00F65BCA" w:rsidRDefault="00F65BCA">
                        <w:pPr>
                          <w:pStyle w:val="TableParagraph"/>
                          <w:spacing w:before="10"/>
                          <w:rPr>
                            <w:rFonts w:ascii="Calibri"/>
                            <w:sz w:val="2"/>
                          </w:rPr>
                        </w:pPr>
                      </w:p>
                      <w:p w14:paraId="789CA347" w14:textId="77777777" w:rsidR="00F65BCA" w:rsidRDefault="00216117">
                        <w:pPr>
                          <w:pStyle w:val="TableParagraph"/>
                          <w:ind w:left="24" w:right="24"/>
                          <w:jc w:val="center"/>
                          <w:rPr>
                            <w:sz w:val="3"/>
                          </w:rPr>
                        </w:pPr>
                        <w:r>
                          <w:rPr>
                            <w:w w:val="105"/>
                            <w:sz w:val="3"/>
                          </w:rPr>
                          <w:t>1,07731026%</w:t>
                        </w:r>
                      </w:p>
                    </w:tc>
                  </w:tr>
                  <w:tr w:rsidR="00F65BCA" w14:paraId="5A01C70D" w14:textId="77777777">
                    <w:trPr>
                      <w:trHeight w:val="153"/>
                    </w:trPr>
                    <w:tc>
                      <w:tcPr>
                        <w:tcW w:w="526" w:type="dxa"/>
                        <w:vMerge/>
                        <w:tcBorders>
                          <w:top w:val="nil"/>
                          <w:left w:val="single" w:sz="2" w:space="0" w:color="000000"/>
                          <w:bottom w:val="single" w:sz="2" w:space="0" w:color="000000"/>
                          <w:right w:val="single" w:sz="2" w:space="0" w:color="000000"/>
                        </w:tcBorders>
                        <w:shd w:val="clear" w:color="auto" w:fill="FCE4D6"/>
                      </w:tcPr>
                      <w:p w14:paraId="654648BC"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4614357"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326141CA"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825AC69" w14:textId="77777777" w:rsidR="00F65BCA" w:rsidRDefault="00F65BCA">
                        <w:pPr>
                          <w:pStyle w:val="TableParagraph"/>
                          <w:rPr>
                            <w:rFonts w:ascii="Calibri"/>
                            <w:sz w:val="2"/>
                          </w:rPr>
                        </w:pPr>
                      </w:p>
                      <w:p w14:paraId="385423AB" w14:textId="77777777" w:rsidR="00F65BCA" w:rsidRDefault="00F65BCA">
                        <w:pPr>
                          <w:pStyle w:val="TableParagraph"/>
                          <w:spacing w:before="10"/>
                          <w:rPr>
                            <w:rFonts w:ascii="Calibri"/>
                            <w:sz w:val="2"/>
                          </w:rPr>
                        </w:pPr>
                      </w:p>
                      <w:p w14:paraId="0EE923B3"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10B55EF" w14:textId="77777777" w:rsidR="00F65BCA" w:rsidRDefault="00F65BCA">
                        <w:pPr>
                          <w:pStyle w:val="TableParagraph"/>
                          <w:rPr>
                            <w:rFonts w:ascii="Calibri"/>
                            <w:sz w:val="2"/>
                          </w:rPr>
                        </w:pPr>
                      </w:p>
                      <w:p w14:paraId="4AEC6560" w14:textId="77777777" w:rsidR="00F65BCA" w:rsidRDefault="00F65BCA">
                        <w:pPr>
                          <w:pStyle w:val="TableParagraph"/>
                          <w:spacing w:before="10"/>
                          <w:rPr>
                            <w:rFonts w:ascii="Calibri"/>
                            <w:sz w:val="2"/>
                          </w:rPr>
                        </w:pPr>
                      </w:p>
                      <w:p w14:paraId="69F9EC83"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3F35939"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19B2AE4F" w14:textId="77777777" w:rsidR="00F65BCA" w:rsidRDefault="00F65BCA">
                        <w:pPr>
                          <w:pStyle w:val="TableParagraph"/>
                          <w:rPr>
                            <w:rFonts w:ascii="Calibri"/>
                            <w:sz w:val="2"/>
                          </w:rPr>
                        </w:pPr>
                      </w:p>
                      <w:p w14:paraId="76D5D4ED" w14:textId="77777777" w:rsidR="00F65BCA" w:rsidRDefault="00F65BCA">
                        <w:pPr>
                          <w:pStyle w:val="TableParagraph"/>
                          <w:spacing w:before="10"/>
                          <w:rPr>
                            <w:rFonts w:ascii="Calibri"/>
                            <w:sz w:val="2"/>
                          </w:rPr>
                        </w:pPr>
                      </w:p>
                      <w:p w14:paraId="04568C33"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074D3D00" w14:textId="77777777" w:rsidR="00F65BCA" w:rsidRDefault="00F65BCA">
                        <w:pPr>
                          <w:pStyle w:val="TableParagraph"/>
                          <w:rPr>
                            <w:rFonts w:ascii="Calibri"/>
                            <w:sz w:val="2"/>
                          </w:rPr>
                        </w:pPr>
                      </w:p>
                      <w:p w14:paraId="3929CC84" w14:textId="77777777" w:rsidR="00F65BCA" w:rsidRDefault="00F65BCA">
                        <w:pPr>
                          <w:pStyle w:val="TableParagraph"/>
                          <w:spacing w:before="10"/>
                          <w:rPr>
                            <w:rFonts w:ascii="Calibri"/>
                            <w:sz w:val="2"/>
                          </w:rPr>
                        </w:pPr>
                      </w:p>
                      <w:p w14:paraId="1397C18B"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3FE89FF4" w14:textId="77777777" w:rsidR="00F65BCA" w:rsidRDefault="00F65BCA">
                        <w:pPr>
                          <w:pStyle w:val="TableParagraph"/>
                          <w:rPr>
                            <w:rFonts w:ascii="Calibri"/>
                            <w:sz w:val="2"/>
                          </w:rPr>
                        </w:pPr>
                      </w:p>
                      <w:p w14:paraId="5A4D1ECB" w14:textId="77777777" w:rsidR="00F65BCA" w:rsidRDefault="00F65BCA">
                        <w:pPr>
                          <w:pStyle w:val="TableParagraph"/>
                          <w:spacing w:before="10"/>
                          <w:rPr>
                            <w:rFonts w:ascii="Calibri"/>
                            <w:sz w:val="2"/>
                          </w:rPr>
                        </w:pPr>
                      </w:p>
                      <w:p w14:paraId="5BA332B4"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1EDCFEE1" w14:textId="77777777" w:rsidR="00F65BCA" w:rsidRDefault="00F65BCA">
                        <w:pPr>
                          <w:pStyle w:val="TableParagraph"/>
                          <w:rPr>
                            <w:rFonts w:ascii="Calibri"/>
                            <w:sz w:val="2"/>
                          </w:rPr>
                        </w:pPr>
                      </w:p>
                      <w:p w14:paraId="1F2ACF43" w14:textId="77777777" w:rsidR="00F65BCA" w:rsidRDefault="00F65BCA">
                        <w:pPr>
                          <w:pStyle w:val="TableParagraph"/>
                          <w:spacing w:before="10"/>
                          <w:rPr>
                            <w:rFonts w:ascii="Calibri"/>
                            <w:sz w:val="2"/>
                          </w:rPr>
                        </w:pPr>
                      </w:p>
                      <w:p w14:paraId="485E08CB"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5A842A36" w14:textId="77777777" w:rsidR="00F65BCA" w:rsidRDefault="00F65BCA">
                        <w:pPr>
                          <w:pStyle w:val="TableParagraph"/>
                          <w:rPr>
                            <w:rFonts w:ascii="Calibri"/>
                            <w:sz w:val="2"/>
                          </w:rPr>
                        </w:pPr>
                      </w:p>
                      <w:p w14:paraId="1B544AFC" w14:textId="77777777" w:rsidR="00F65BCA" w:rsidRDefault="00F65BCA">
                        <w:pPr>
                          <w:pStyle w:val="TableParagraph"/>
                          <w:spacing w:before="10"/>
                          <w:rPr>
                            <w:rFonts w:ascii="Calibri"/>
                            <w:sz w:val="2"/>
                          </w:rPr>
                        </w:pPr>
                      </w:p>
                      <w:p w14:paraId="0BCD7892"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64973667" w14:textId="77777777" w:rsidR="00F65BCA" w:rsidRDefault="00F65BCA">
                        <w:pPr>
                          <w:pStyle w:val="TableParagraph"/>
                          <w:rPr>
                            <w:rFonts w:ascii="Calibri"/>
                            <w:sz w:val="2"/>
                          </w:rPr>
                        </w:pPr>
                      </w:p>
                      <w:p w14:paraId="180F048F" w14:textId="77777777" w:rsidR="00F65BCA" w:rsidRDefault="00F65BCA">
                        <w:pPr>
                          <w:pStyle w:val="TableParagraph"/>
                          <w:spacing w:before="10"/>
                          <w:rPr>
                            <w:rFonts w:ascii="Calibri"/>
                            <w:sz w:val="2"/>
                          </w:rPr>
                        </w:pPr>
                      </w:p>
                      <w:p w14:paraId="132E8E16"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7C0D94F1" w14:textId="77777777" w:rsidR="00F65BCA" w:rsidRDefault="00F65BCA">
                        <w:pPr>
                          <w:pStyle w:val="TableParagraph"/>
                          <w:rPr>
                            <w:rFonts w:ascii="Calibri"/>
                            <w:sz w:val="2"/>
                          </w:rPr>
                        </w:pPr>
                      </w:p>
                      <w:p w14:paraId="3017CF2C" w14:textId="77777777" w:rsidR="00F65BCA" w:rsidRDefault="00F65BCA">
                        <w:pPr>
                          <w:pStyle w:val="TableParagraph"/>
                          <w:spacing w:before="10"/>
                          <w:rPr>
                            <w:rFonts w:ascii="Calibri"/>
                            <w:sz w:val="2"/>
                          </w:rPr>
                        </w:pPr>
                      </w:p>
                      <w:p w14:paraId="1C739AEF"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1A0B9566" w14:textId="77777777" w:rsidR="00F65BCA" w:rsidRDefault="00F65BCA">
                        <w:pPr>
                          <w:pStyle w:val="TableParagraph"/>
                          <w:rPr>
                            <w:rFonts w:ascii="Calibri"/>
                            <w:sz w:val="2"/>
                          </w:rPr>
                        </w:pPr>
                      </w:p>
                      <w:p w14:paraId="496F23F9" w14:textId="77777777" w:rsidR="00F65BCA" w:rsidRDefault="00F65BCA">
                        <w:pPr>
                          <w:pStyle w:val="TableParagraph"/>
                          <w:spacing w:before="10"/>
                          <w:rPr>
                            <w:rFonts w:ascii="Calibri"/>
                            <w:sz w:val="2"/>
                          </w:rPr>
                        </w:pPr>
                      </w:p>
                      <w:p w14:paraId="47C3F0F5"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42FFB741" w14:textId="77777777" w:rsidR="00F65BCA" w:rsidRDefault="00F65BCA">
                        <w:pPr>
                          <w:pStyle w:val="TableParagraph"/>
                          <w:rPr>
                            <w:rFonts w:ascii="Calibri"/>
                            <w:sz w:val="2"/>
                          </w:rPr>
                        </w:pPr>
                      </w:p>
                      <w:p w14:paraId="672600B1" w14:textId="77777777" w:rsidR="00F65BCA" w:rsidRDefault="00F65BCA">
                        <w:pPr>
                          <w:pStyle w:val="TableParagraph"/>
                          <w:spacing w:before="10"/>
                          <w:rPr>
                            <w:rFonts w:ascii="Calibri"/>
                            <w:sz w:val="2"/>
                          </w:rPr>
                        </w:pPr>
                      </w:p>
                      <w:p w14:paraId="37F57C77"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5FB4A5DD" w14:textId="77777777" w:rsidR="00F65BCA" w:rsidRDefault="00F65BCA">
                        <w:pPr>
                          <w:pStyle w:val="TableParagraph"/>
                          <w:rPr>
                            <w:rFonts w:ascii="Calibri"/>
                            <w:sz w:val="2"/>
                          </w:rPr>
                        </w:pPr>
                      </w:p>
                      <w:p w14:paraId="304BF7D0" w14:textId="77777777" w:rsidR="00F65BCA" w:rsidRDefault="00F65BCA">
                        <w:pPr>
                          <w:pStyle w:val="TableParagraph"/>
                          <w:spacing w:before="10"/>
                          <w:rPr>
                            <w:rFonts w:ascii="Calibri"/>
                            <w:sz w:val="2"/>
                          </w:rPr>
                        </w:pPr>
                      </w:p>
                      <w:p w14:paraId="6D6EA8F2"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49544992" w14:textId="77777777" w:rsidR="00F65BCA" w:rsidRDefault="00F65BCA">
                        <w:pPr>
                          <w:pStyle w:val="TableParagraph"/>
                          <w:rPr>
                            <w:rFonts w:ascii="Calibri"/>
                            <w:sz w:val="2"/>
                          </w:rPr>
                        </w:pPr>
                      </w:p>
                      <w:p w14:paraId="4197310B" w14:textId="77777777" w:rsidR="00F65BCA" w:rsidRDefault="00F65BCA">
                        <w:pPr>
                          <w:pStyle w:val="TableParagraph"/>
                          <w:spacing w:before="10"/>
                          <w:rPr>
                            <w:rFonts w:ascii="Calibri"/>
                            <w:sz w:val="2"/>
                          </w:rPr>
                        </w:pPr>
                      </w:p>
                      <w:p w14:paraId="60414604"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4327EB2F" w14:textId="77777777" w:rsidR="00F65BCA" w:rsidRDefault="00F65BCA">
                        <w:pPr>
                          <w:pStyle w:val="TableParagraph"/>
                          <w:rPr>
                            <w:rFonts w:ascii="Calibri"/>
                            <w:sz w:val="2"/>
                          </w:rPr>
                        </w:pPr>
                      </w:p>
                      <w:p w14:paraId="6D763AD8" w14:textId="77777777" w:rsidR="00F65BCA" w:rsidRDefault="00F65BCA">
                        <w:pPr>
                          <w:pStyle w:val="TableParagraph"/>
                          <w:spacing w:before="10"/>
                          <w:rPr>
                            <w:rFonts w:ascii="Calibri"/>
                            <w:sz w:val="2"/>
                          </w:rPr>
                        </w:pPr>
                      </w:p>
                      <w:p w14:paraId="6BBC6953"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362194E8" w14:textId="77777777" w:rsidR="00F65BCA" w:rsidRDefault="00F65BCA">
                        <w:pPr>
                          <w:pStyle w:val="TableParagraph"/>
                          <w:rPr>
                            <w:rFonts w:ascii="Calibri"/>
                            <w:sz w:val="2"/>
                          </w:rPr>
                        </w:pPr>
                      </w:p>
                      <w:p w14:paraId="415A5695" w14:textId="77777777" w:rsidR="00F65BCA" w:rsidRDefault="00F65BCA">
                        <w:pPr>
                          <w:pStyle w:val="TableParagraph"/>
                          <w:spacing w:before="10"/>
                          <w:rPr>
                            <w:rFonts w:ascii="Calibri"/>
                            <w:sz w:val="2"/>
                          </w:rPr>
                        </w:pPr>
                      </w:p>
                      <w:p w14:paraId="41B864DA" w14:textId="77777777" w:rsidR="00F65BCA" w:rsidRDefault="00216117">
                        <w:pPr>
                          <w:pStyle w:val="TableParagraph"/>
                          <w:ind w:left="24" w:right="24"/>
                          <w:jc w:val="center"/>
                          <w:rPr>
                            <w:sz w:val="3"/>
                          </w:rPr>
                        </w:pPr>
                        <w:r>
                          <w:rPr>
                            <w:w w:val="105"/>
                            <w:sz w:val="3"/>
                          </w:rPr>
                          <w:t>1,30139079%</w:t>
                        </w:r>
                      </w:p>
                    </w:tc>
                  </w:tr>
                  <w:tr w:rsidR="00F65BCA" w14:paraId="2A72B88A"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113E1EFC"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1737542F" w14:textId="77777777" w:rsidR="00F65BCA" w:rsidRDefault="00F65BCA">
                        <w:pPr>
                          <w:pStyle w:val="TableParagraph"/>
                          <w:rPr>
                            <w:rFonts w:ascii="Calibri"/>
                            <w:sz w:val="2"/>
                          </w:rPr>
                        </w:pPr>
                      </w:p>
                      <w:p w14:paraId="40A5501D" w14:textId="77777777" w:rsidR="00F65BCA" w:rsidRDefault="00F65BCA">
                        <w:pPr>
                          <w:pStyle w:val="TableParagraph"/>
                          <w:rPr>
                            <w:rFonts w:ascii="Calibri"/>
                            <w:sz w:val="2"/>
                          </w:rPr>
                        </w:pPr>
                      </w:p>
                      <w:p w14:paraId="20FF357D" w14:textId="77777777" w:rsidR="00F65BCA" w:rsidRDefault="00F65BCA">
                        <w:pPr>
                          <w:pStyle w:val="TableParagraph"/>
                          <w:rPr>
                            <w:rFonts w:ascii="Calibri"/>
                            <w:sz w:val="2"/>
                          </w:rPr>
                        </w:pPr>
                      </w:p>
                      <w:p w14:paraId="79B3C4CA" w14:textId="77777777" w:rsidR="00F65BCA" w:rsidRDefault="00F65BCA">
                        <w:pPr>
                          <w:pStyle w:val="TableParagraph"/>
                          <w:rPr>
                            <w:rFonts w:ascii="Calibri"/>
                            <w:sz w:val="2"/>
                          </w:rPr>
                        </w:pPr>
                      </w:p>
                      <w:p w14:paraId="0091650F" w14:textId="77777777" w:rsidR="00F65BCA" w:rsidRDefault="00F65BCA">
                        <w:pPr>
                          <w:pStyle w:val="TableParagraph"/>
                          <w:rPr>
                            <w:rFonts w:ascii="Calibri"/>
                            <w:sz w:val="2"/>
                          </w:rPr>
                        </w:pPr>
                      </w:p>
                      <w:p w14:paraId="64DEA4AC" w14:textId="77777777" w:rsidR="00F65BCA" w:rsidRDefault="00F65BCA">
                        <w:pPr>
                          <w:pStyle w:val="TableParagraph"/>
                          <w:rPr>
                            <w:rFonts w:ascii="Calibri"/>
                            <w:sz w:val="2"/>
                          </w:rPr>
                        </w:pPr>
                      </w:p>
                      <w:p w14:paraId="4C604B7A" w14:textId="77777777" w:rsidR="00F65BCA" w:rsidRDefault="00F65BCA">
                        <w:pPr>
                          <w:pStyle w:val="TableParagraph"/>
                          <w:rPr>
                            <w:rFonts w:ascii="Calibri"/>
                            <w:sz w:val="2"/>
                          </w:rPr>
                        </w:pPr>
                      </w:p>
                      <w:p w14:paraId="253C6954" w14:textId="77777777" w:rsidR="00F65BCA" w:rsidRDefault="00F65BCA">
                        <w:pPr>
                          <w:pStyle w:val="TableParagraph"/>
                          <w:rPr>
                            <w:rFonts w:ascii="Calibri"/>
                            <w:sz w:val="2"/>
                          </w:rPr>
                        </w:pPr>
                      </w:p>
                      <w:p w14:paraId="19A18579" w14:textId="77777777" w:rsidR="00F65BCA" w:rsidRDefault="00F65BCA">
                        <w:pPr>
                          <w:pStyle w:val="TableParagraph"/>
                          <w:rPr>
                            <w:rFonts w:ascii="Calibri"/>
                            <w:sz w:val="2"/>
                          </w:rPr>
                        </w:pPr>
                      </w:p>
                      <w:p w14:paraId="648A3125" w14:textId="77777777" w:rsidR="00F65BCA" w:rsidRDefault="00F65BCA">
                        <w:pPr>
                          <w:pStyle w:val="TableParagraph"/>
                          <w:rPr>
                            <w:rFonts w:ascii="Calibri"/>
                            <w:sz w:val="2"/>
                          </w:rPr>
                        </w:pPr>
                      </w:p>
                      <w:p w14:paraId="248C4F81" w14:textId="77777777" w:rsidR="00F65BCA" w:rsidRDefault="00F65BCA">
                        <w:pPr>
                          <w:pStyle w:val="TableParagraph"/>
                          <w:rPr>
                            <w:rFonts w:ascii="Calibri"/>
                            <w:sz w:val="2"/>
                          </w:rPr>
                        </w:pPr>
                      </w:p>
                      <w:p w14:paraId="35D2D364" w14:textId="77777777" w:rsidR="00F65BCA" w:rsidRDefault="00216117">
                        <w:pPr>
                          <w:pStyle w:val="TableParagraph"/>
                          <w:spacing w:before="16"/>
                          <w:ind w:left="18" w:right="18"/>
                          <w:jc w:val="center"/>
                          <w:rPr>
                            <w:sz w:val="3"/>
                          </w:rPr>
                        </w:pPr>
                        <w:r>
                          <w:rPr>
                            <w:w w:val="105"/>
                            <w:sz w:val="3"/>
                          </w:rPr>
                          <w:t>Renault</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740480C3" w14:textId="77777777" w:rsidR="00F65BCA" w:rsidRDefault="00F65BCA">
                        <w:pPr>
                          <w:pStyle w:val="TableParagraph"/>
                          <w:rPr>
                            <w:rFonts w:ascii="Calibri"/>
                            <w:sz w:val="2"/>
                          </w:rPr>
                        </w:pPr>
                      </w:p>
                      <w:p w14:paraId="6BCCA615" w14:textId="77777777" w:rsidR="00F65BCA" w:rsidRDefault="00F65BCA">
                        <w:pPr>
                          <w:pStyle w:val="TableParagraph"/>
                          <w:rPr>
                            <w:rFonts w:ascii="Calibri"/>
                            <w:sz w:val="2"/>
                          </w:rPr>
                        </w:pPr>
                      </w:p>
                      <w:p w14:paraId="250C6D8A" w14:textId="77777777" w:rsidR="00F65BCA" w:rsidRDefault="00216117">
                        <w:pPr>
                          <w:pStyle w:val="TableParagraph"/>
                          <w:spacing w:line="283" w:lineRule="auto"/>
                          <w:ind w:left="4" w:right="-18"/>
                          <w:rPr>
                            <w:sz w:val="3"/>
                          </w:rPr>
                        </w:pPr>
                        <w:r>
                          <w:rPr>
                            <w:w w:val="105"/>
                            <w:sz w:val="3"/>
                          </w:rPr>
                          <w:t>CLIO VAN; EXPRESS; KANGOO EXPRESS; MASCOTT; MASTER DO 3,5 T; MAXITY DO 3,5T; RAPID; TRAFIC</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8D30EFD" w14:textId="77777777" w:rsidR="00F65BCA" w:rsidRDefault="00F65BCA">
                        <w:pPr>
                          <w:pStyle w:val="TableParagraph"/>
                          <w:rPr>
                            <w:rFonts w:ascii="Calibri"/>
                            <w:sz w:val="2"/>
                          </w:rPr>
                        </w:pPr>
                      </w:p>
                      <w:p w14:paraId="03F2E12C"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7B4FF9F" w14:textId="77777777" w:rsidR="00F65BCA" w:rsidRDefault="00F65BCA">
                        <w:pPr>
                          <w:pStyle w:val="TableParagraph"/>
                          <w:rPr>
                            <w:rFonts w:ascii="Calibri"/>
                            <w:sz w:val="2"/>
                          </w:rPr>
                        </w:pPr>
                      </w:p>
                      <w:p w14:paraId="15BF37CD"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3CC806C"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7679DFB" w14:textId="77777777" w:rsidR="00F65BCA" w:rsidRDefault="00F65BCA">
                        <w:pPr>
                          <w:pStyle w:val="TableParagraph"/>
                          <w:rPr>
                            <w:rFonts w:ascii="Calibri"/>
                            <w:sz w:val="2"/>
                          </w:rPr>
                        </w:pPr>
                      </w:p>
                      <w:p w14:paraId="1D246B7F"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193C9B4A" w14:textId="77777777" w:rsidR="00F65BCA" w:rsidRDefault="00F65BCA">
                        <w:pPr>
                          <w:pStyle w:val="TableParagraph"/>
                          <w:rPr>
                            <w:rFonts w:ascii="Calibri"/>
                            <w:sz w:val="2"/>
                          </w:rPr>
                        </w:pPr>
                      </w:p>
                      <w:p w14:paraId="451E298B"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312C9429" w14:textId="77777777" w:rsidR="00F65BCA" w:rsidRDefault="00F65BCA">
                        <w:pPr>
                          <w:pStyle w:val="TableParagraph"/>
                          <w:rPr>
                            <w:rFonts w:ascii="Calibri"/>
                            <w:sz w:val="2"/>
                          </w:rPr>
                        </w:pPr>
                      </w:p>
                      <w:p w14:paraId="163CBA7F"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32CB4632" w14:textId="77777777" w:rsidR="00F65BCA" w:rsidRDefault="00F65BCA">
                        <w:pPr>
                          <w:pStyle w:val="TableParagraph"/>
                          <w:rPr>
                            <w:rFonts w:ascii="Calibri"/>
                            <w:sz w:val="2"/>
                          </w:rPr>
                        </w:pPr>
                      </w:p>
                      <w:p w14:paraId="3B50BE83"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23A972F8" w14:textId="77777777" w:rsidR="00F65BCA" w:rsidRDefault="00F65BCA">
                        <w:pPr>
                          <w:pStyle w:val="TableParagraph"/>
                          <w:rPr>
                            <w:rFonts w:ascii="Calibri"/>
                            <w:sz w:val="2"/>
                          </w:rPr>
                        </w:pPr>
                      </w:p>
                      <w:p w14:paraId="36AC6398"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0E758D59" w14:textId="77777777" w:rsidR="00F65BCA" w:rsidRDefault="00F65BCA">
                        <w:pPr>
                          <w:pStyle w:val="TableParagraph"/>
                          <w:rPr>
                            <w:rFonts w:ascii="Calibri"/>
                            <w:sz w:val="2"/>
                          </w:rPr>
                        </w:pPr>
                      </w:p>
                      <w:p w14:paraId="4EBC3B9D"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2647DD4A" w14:textId="77777777" w:rsidR="00F65BCA" w:rsidRDefault="00F65BCA">
                        <w:pPr>
                          <w:pStyle w:val="TableParagraph"/>
                          <w:rPr>
                            <w:rFonts w:ascii="Calibri"/>
                            <w:sz w:val="2"/>
                          </w:rPr>
                        </w:pPr>
                      </w:p>
                      <w:p w14:paraId="2E011EE6"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7C0B2E2D" w14:textId="77777777" w:rsidR="00F65BCA" w:rsidRDefault="00F65BCA">
                        <w:pPr>
                          <w:pStyle w:val="TableParagraph"/>
                          <w:rPr>
                            <w:rFonts w:ascii="Calibri"/>
                            <w:sz w:val="2"/>
                          </w:rPr>
                        </w:pPr>
                      </w:p>
                      <w:p w14:paraId="53F75F45"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540EBBB2" w14:textId="77777777" w:rsidR="00F65BCA" w:rsidRDefault="00F65BCA">
                        <w:pPr>
                          <w:pStyle w:val="TableParagraph"/>
                          <w:rPr>
                            <w:rFonts w:ascii="Calibri"/>
                            <w:sz w:val="2"/>
                          </w:rPr>
                        </w:pPr>
                      </w:p>
                      <w:p w14:paraId="54438F81"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3EE51AA9" w14:textId="77777777" w:rsidR="00F65BCA" w:rsidRDefault="00F65BCA">
                        <w:pPr>
                          <w:pStyle w:val="TableParagraph"/>
                          <w:rPr>
                            <w:rFonts w:ascii="Calibri"/>
                            <w:sz w:val="2"/>
                          </w:rPr>
                        </w:pPr>
                      </w:p>
                      <w:p w14:paraId="763C9437"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0D0F057C" w14:textId="77777777" w:rsidR="00F65BCA" w:rsidRDefault="00F65BCA">
                        <w:pPr>
                          <w:pStyle w:val="TableParagraph"/>
                          <w:rPr>
                            <w:rFonts w:ascii="Calibri"/>
                            <w:sz w:val="2"/>
                          </w:rPr>
                        </w:pPr>
                      </w:p>
                      <w:p w14:paraId="14521122"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2B6809D6" w14:textId="77777777" w:rsidR="00F65BCA" w:rsidRDefault="00F65BCA">
                        <w:pPr>
                          <w:pStyle w:val="TableParagraph"/>
                          <w:rPr>
                            <w:rFonts w:ascii="Calibri"/>
                            <w:sz w:val="2"/>
                          </w:rPr>
                        </w:pPr>
                      </w:p>
                      <w:p w14:paraId="514E3154"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3FC75482" w14:textId="77777777" w:rsidR="00F65BCA" w:rsidRDefault="00F65BCA">
                        <w:pPr>
                          <w:pStyle w:val="TableParagraph"/>
                          <w:rPr>
                            <w:rFonts w:ascii="Calibri"/>
                            <w:sz w:val="2"/>
                          </w:rPr>
                        </w:pPr>
                      </w:p>
                      <w:p w14:paraId="5D01D5C4" w14:textId="77777777" w:rsidR="00F65BCA" w:rsidRDefault="00216117">
                        <w:pPr>
                          <w:pStyle w:val="TableParagraph"/>
                          <w:ind w:left="24" w:right="24"/>
                          <w:jc w:val="center"/>
                          <w:rPr>
                            <w:sz w:val="3"/>
                          </w:rPr>
                        </w:pPr>
                        <w:r>
                          <w:rPr>
                            <w:w w:val="105"/>
                            <w:sz w:val="3"/>
                          </w:rPr>
                          <w:t>0,95940000%</w:t>
                        </w:r>
                      </w:p>
                    </w:tc>
                  </w:tr>
                  <w:tr w:rsidR="00F65BCA" w14:paraId="728F16EE"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0E1E5509"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3CB0F803"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6C275857"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C74E5DC" w14:textId="77777777" w:rsidR="00F65BCA" w:rsidRDefault="00F65BCA">
                        <w:pPr>
                          <w:pStyle w:val="TableParagraph"/>
                          <w:rPr>
                            <w:rFonts w:ascii="Calibri"/>
                            <w:sz w:val="2"/>
                          </w:rPr>
                        </w:pPr>
                      </w:p>
                      <w:p w14:paraId="6BA30442"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7E741EC" w14:textId="77777777" w:rsidR="00F65BCA" w:rsidRDefault="00F65BCA">
                        <w:pPr>
                          <w:pStyle w:val="TableParagraph"/>
                          <w:rPr>
                            <w:rFonts w:ascii="Calibri"/>
                            <w:sz w:val="2"/>
                          </w:rPr>
                        </w:pPr>
                      </w:p>
                      <w:p w14:paraId="2DD8F4F2"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739A534"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7983AC0E" w14:textId="77777777" w:rsidR="00F65BCA" w:rsidRDefault="00F65BCA">
                        <w:pPr>
                          <w:pStyle w:val="TableParagraph"/>
                          <w:rPr>
                            <w:rFonts w:ascii="Calibri"/>
                            <w:sz w:val="2"/>
                          </w:rPr>
                        </w:pPr>
                      </w:p>
                      <w:p w14:paraId="4B6C9224"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1F2F4F10" w14:textId="77777777" w:rsidR="00F65BCA" w:rsidRDefault="00F65BCA">
                        <w:pPr>
                          <w:pStyle w:val="TableParagraph"/>
                          <w:rPr>
                            <w:rFonts w:ascii="Calibri"/>
                            <w:sz w:val="2"/>
                          </w:rPr>
                        </w:pPr>
                      </w:p>
                      <w:p w14:paraId="74F8E66F"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0BAD376C" w14:textId="77777777" w:rsidR="00F65BCA" w:rsidRDefault="00F65BCA">
                        <w:pPr>
                          <w:pStyle w:val="TableParagraph"/>
                          <w:rPr>
                            <w:rFonts w:ascii="Calibri"/>
                            <w:sz w:val="2"/>
                          </w:rPr>
                        </w:pPr>
                      </w:p>
                      <w:p w14:paraId="0F33F0E5"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56AD3FAE" w14:textId="77777777" w:rsidR="00F65BCA" w:rsidRDefault="00F65BCA">
                        <w:pPr>
                          <w:pStyle w:val="TableParagraph"/>
                          <w:rPr>
                            <w:rFonts w:ascii="Calibri"/>
                            <w:sz w:val="2"/>
                          </w:rPr>
                        </w:pPr>
                      </w:p>
                      <w:p w14:paraId="4F70E2C8"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38B8F410" w14:textId="77777777" w:rsidR="00F65BCA" w:rsidRDefault="00F65BCA">
                        <w:pPr>
                          <w:pStyle w:val="TableParagraph"/>
                          <w:rPr>
                            <w:rFonts w:ascii="Calibri"/>
                            <w:sz w:val="2"/>
                          </w:rPr>
                        </w:pPr>
                      </w:p>
                      <w:p w14:paraId="2A77E8C0"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5528C68B" w14:textId="77777777" w:rsidR="00F65BCA" w:rsidRDefault="00F65BCA">
                        <w:pPr>
                          <w:pStyle w:val="TableParagraph"/>
                          <w:rPr>
                            <w:rFonts w:ascii="Calibri"/>
                            <w:sz w:val="2"/>
                          </w:rPr>
                        </w:pPr>
                      </w:p>
                      <w:p w14:paraId="1855B690"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2B4973A7" w14:textId="77777777" w:rsidR="00F65BCA" w:rsidRDefault="00F65BCA">
                        <w:pPr>
                          <w:pStyle w:val="TableParagraph"/>
                          <w:rPr>
                            <w:rFonts w:ascii="Calibri"/>
                            <w:sz w:val="2"/>
                          </w:rPr>
                        </w:pPr>
                      </w:p>
                      <w:p w14:paraId="3BE69021"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17342040" w14:textId="77777777" w:rsidR="00F65BCA" w:rsidRDefault="00F65BCA">
                        <w:pPr>
                          <w:pStyle w:val="TableParagraph"/>
                          <w:rPr>
                            <w:rFonts w:ascii="Calibri"/>
                            <w:sz w:val="2"/>
                          </w:rPr>
                        </w:pPr>
                      </w:p>
                      <w:p w14:paraId="45C5FE0F"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57B051E0" w14:textId="77777777" w:rsidR="00F65BCA" w:rsidRDefault="00F65BCA">
                        <w:pPr>
                          <w:pStyle w:val="TableParagraph"/>
                          <w:rPr>
                            <w:rFonts w:ascii="Calibri"/>
                            <w:sz w:val="2"/>
                          </w:rPr>
                        </w:pPr>
                      </w:p>
                      <w:p w14:paraId="2241E2B5"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54A2F58C" w14:textId="77777777" w:rsidR="00F65BCA" w:rsidRDefault="00F65BCA">
                        <w:pPr>
                          <w:pStyle w:val="TableParagraph"/>
                          <w:rPr>
                            <w:rFonts w:ascii="Calibri"/>
                            <w:sz w:val="2"/>
                          </w:rPr>
                        </w:pPr>
                      </w:p>
                      <w:p w14:paraId="0AB2D3C1"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09724911" w14:textId="77777777" w:rsidR="00F65BCA" w:rsidRDefault="00F65BCA">
                        <w:pPr>
                          <w:pStyle w:val="TableParagraph"/>
                          <w:rPr>
                            <w:rFonts w:ascii="Calibri"/>
                            <w:sz w:val="2"/>
                          </w:rPr>
                        </w:pPr>
                      </w:p>
                      <w:p w14:paraId="0069BC44"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73681AD2" w14:textId="77777777" w:rsidR="00F65BCA" w:rsidRDefault="00F65BCA">
                        <w:pPr>
                          <w:pStyle w:val="TableParagraph"/>
                          <w:rPr>
                            <w:rFonts w:ascii="Calibri"/>
                            <w:sz w:val="2"/>
                          </w:rPr>
                        </w:pPr>
                      </w:p>
                      <w:p w14:paraId="7BD9EB3D"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7222829C" w14:textId="77777777" w:rsidR="00F65BCA" w:rsidRDefault="00F65BCA">
                        <w:pPr>
                          <w:pStyle w:val="TableParagraph"/>
                          <w:rPr>
                            <w:rFonts w:ascii="Calibri"/>
                            <w:sz w:val="2"/>
                          </w:rPr>
                        </w:pPr>
                      </w:p>
                      <w:p w14:paraId="30F999D4" w14:textId="77777777" w:rsidR="00F65BCA" w:rsidRDefault="00216117">
                        <w:pPr>
                          <w:pStyle w:val="TableParagraph"/>
                          <w:ind w:left="24" w:right="24"/>
                          <w:jc w:val="center"/>
                          <w:rPr>
                            <w:sz w:val="3"/>
                          </w:rPr>
                        </w:pPr>
                        <w:r>
                          <w:rPr>
                            <w:w w:val="105"/>
                            <w:sz w:val="3"/>
                          </w:rPr>
                          <w:t>1,15895520%</w:t>
                        </w:r>
                      </w:p>
                    </w:tc>
                  </w:tr>
                  <w:tr w:rsidR="00F65BCA" w14:paraId="2563293F" w14:textId="77777777">
                    <w:trPr>
                      <w:trHeight w:val="213"/>
                    </w:trPr>
                    <w:tc>
                      <w:tcPr>
                        <w:tcW w:w="526" w:type="dxa"/>
                        <w:vMerge/>
                        <w:tcBorders>
                          <w:top w:val="nil"/>
                          <w:left w:val="single" w:sz="2" w:space="0" w:color="000000"/>
                          <w:bottom w:val="single" w:sz="2" w:space="0" w:color="000000"/>
                          <w:right w:val="single" w:sz="2" w:space="0" w:color="000000"/>
                        </w:tcBorders>
                        <w:shd w:val="clear" w:color="auto" w:fill="FCE4D6"/>
                      </w:tcPr>
                      <w:p w14:paraId="766F9C26"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32C64907"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7BEC68AE" w14:textId="77777777" w:rsidR="00F65BCA" w:rsidRDefault="00216117">
                        <w:pPr>
                          <w:pStyle w:val="TableParagraph"/>
                          <w:spacing w:line="29" w:lineRule="exact"/>
                          <w:ind w:left="4"/>
                          <w:rPr>
                            <w:sz w:val="3"/>
                          </w:rPr>
                        </w:pPr>
                        <w:r>
                          <w:rPr>
                            <w:w w:val="105"/>
                            <w:sz w:val="3"/>
                          </w:rPr>
                          <w:t>Alaskan; AVANTIME; CAPTUR; CLIO; CLIO GRANDTOUR;</w:t>
                        </w:r>
                      </w:p>
                      <w:p w14:paraId="3778E4EE" w14:textId="77777777" w:rsidR="00F65BCA" w:rsidRDefault="00216117">
                        <w:pPr>
                          <w:pStyle w:val="TableParagraph"/>
                          <w:spacing w:line="40" w:lineRule="atLeast"/>
                          <w:ind w:left="4" w:right="13"/>
                          <w:rPr>
                            <w:sz w:val="3"/>
                          </w:rPr>
                        </w:pPr>
                        <w:r>
                          <w:rPr>
                            <w:w w:val="105"/>
                            <w:sz w:val="3"/>
                          </w:rPr>
                          <w:t>ESPACE; FLUENCE; FUEGO; GRAND ESPACE; GRAND MODUS; GRAND SCÉNIC; JINÉ; KADJAR; KANGOO; KOLEOS; LAGUNA; LAGUNA COMBI; LAGUNA COUPÉ; LAGUNA GRANDTOUR; LATITUDE; MÉGANE; MÉGANE CABRIOLET; MÉGANE COMBI; MÉGANE COUPE; MÉGANE GENERATION; MÉGANE GRAND SCÉNIC; MÉGANE GRANDTOUR; MÉGANE SCÉNIC; MÉGANE SCÉNIC RX4; MÉGANE SEDAN; MODUS; R11; R18; R19; R20; R21; R25; R4; R5; R6; R9; SAFRANE; SCÉNIC; SPORT SPIDER; TALISMAN; THALIA; TWINGO; VEL SATIS; WIND; ZOÉ</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3F352E8" w14:textId="77777777" w:rsidR="00F65BCA" w:rsidRDefault="00F65BCA">
                        <w:pPr>
                          <w:pStyle w:val="TableParagraph"/>
                          <w:rPr>
                            <w:rFonts w:ascii="Calibri"/>
                            <w:sz w:val="2"/>
                          </w:rPr>
                        </w:pPr>
                      </w:p>
                      <w:p w14:paraId="18C05CF5" w14:textId="77777777" w:rsidR="00F65BCA" w:rsidRDefault="00F65BCA">
                        <w:pPr>
                          <w:pStyle w:val="TableParagraph"/>
                          <w:rPr>
                            <w:rFonts w:ascii="Calibri"/>
                            <w:sz w:val="2"/>
                          </w:rPr>
                        </w:pPr>
                      </w:p>
                      <w:p w14:paraId="26BAF234" w14:textId="77777777" w:rsidR="00F65BCA" w:rsidRDefault="00F65BCA">
                        <w:pPr>
                          <w:pStyle w:val="TableParagraph"/>
                          <w:rPr>
                            <w:rFonts w:ascii="Calibri"/>
                            <w:sz w:val="2"/>
                          </w:rPr>
                        </w:pPr>
                      </w:p>
                      <w:p w14:paraId="6CEA8E81" w14:textId="77777777" w:rsidR="00F65BCA" w:rsidRDefault="00216117">
                        <w:pPr>
                          <w:pStyle w:val="TableParagraph"/>
                          <w:spacing w:before="17"/>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D69CDFD" w14:textId="77777777" w:rsidR="00F65BCA" w:rsidRDefault="00F65BCA">
                        <w:pPr>
                          <w:pStyle w:val="TableParagraph"/>
                          <w:rPr>
                            <w:rFonts w:ascii="Calibri"/>
                            <w:sz w:val="2"/>
                          </w:rPr>
                        </w:pPr>
                      </w:p>
                      <w:p w14:paraId="5F106F19" w14:textId="77777777" w:rsidR="00F65BCA" w:rsidRDefault="00F65BCA">
                        <w:pPr>
                          <w:pStyle w:val="TableParagraph"/>
                          <w:rPr>
                            <w:rFonts w:ascii="Calibri"/>
                            <w:sz w:val="2"/>
                          </w:rPr>
                        </w:pPr>
                      </w:p>
                      <w:p w14:paraId="14830C98" w14:textId="77777777" w:rsidR="00F65BCA" w:rsidRDefault="00F65BCA">
                        <w:pPr>
                          <w:pStyle w:val="TableParagraph"/>
                          <w:rPr>
                            <w:rFonts w:ascii="Calibri"/>
                            <w:sz w:val="2"/>
                          </w:rPr>
                        </w:pPr>
                      </w:p>
                      <w:p w14:paraId="0286D606" w14:textId="77777777" w:rsidR="00F65BCA" w:rsidRDefault="00216117">
                        <w:pPr>
                          <w:pStyle w:val="TableParagraph"/>
                          <w:spacing w:before="17"/>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09CD5D81"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688CF9F" w14:textId="77777777" w:rsidR="00F65BCA" w:rsidRDefault="00F65BCA">
                        <w:pPr>
                          <w:pStyle w:val="TableParagraph"/>
                          <w:rPr>
                            <w:rFonts w:ascii="Calibri"/>
                            <w:sz w:val="2"/>
                          </w:rPr>
                        </w:pPr>
                      </w:p>
                      <w:p w14:paraId="6991C23E" w14:textId="77777777" w:rsidR="00F65BCA" w:rsidRDefault="00F65BCA">
                        <w:pPr>
                          <w:pStyle w:val="TableParagraph"/>
                          <w:rPr>
                            <w:rFonts w:ascii="Calibri"/>
                            <w:sz w:val="2"/>
                          </w:rPr>
                        </w:pPr>
                      </w:p>
                      <w:p w14:paraId="17D5BE06" w14:textId="77777777" w:rsidR="00F65BCA" w:rsidRDefault="00F65BCA">
                        <w:pPr>
                          <w:pStyle w:val="TableParagraph"/>
                          <w:rPr>
                            <w:rFonts w:ascii="Calibri"/>
                            <w:sz w:val="2"/>
                          </w:rPr>
                        </w:pPr>
                      </w:p>
                      <w:p w14:paraId="7DE7A0C7" w14:textId="77777777" w:rsidR="00F65BCA" w:rsidRDefault="00216117">
                        <w:pPr>
                          <w:pStyle w:val="TableParagraph"/>
                          <w:spacing w:before="17"/>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3A0FDFC4" w14:textId="77777777" w:rsidR="00F65BCA" w:rsidRDefault="00F65BCA">
                        <w:pPr>
                          <w:pStyle w:val="TableParagraph"/>
                          <w:rPr>
                            <w:rFonts w:ascii="Calibri"/>
                            <w:sz w:val="2"/>
                          </w:rPr>
                        </w:pPr>
                      </w:p>
                      <w:p w14:paraId="0E082438" w14:textId="77777777" w:rsidR="00F65BCA" w:rsidRDefault="00F65BCA">
                        <w:pPr>
                          <w:pStyle w:val="TableParagraph"/>
                          <w:rPr>
                            <w:rFonts w:ascii="Calibri"/>
                            <w:sz w:val="2"/>
                          </w:rPr>
                        </w:pPr>
                      </w:p>
                      <w:p w14:paraId="69622CCB" w14:textId="77777777" w:rsidR="00F65BCA" w:rsidRDefault="00F65BCA">
                        <w:pPr>
                          <w:pStyle w:val="TableParagraph"/>
                          <w:rPr>
                            <w:rFonts w:ascii="Calibri"/>
                            <w:sz w:val="2"/>
                          </w:rPr>
                        </w:pPr>
                      </w:p>
                      <w:p w14:paraId="765D4747" w14:textId="77777777" w:rsidR="00F65BCA" w:rsidRDefault="00216117">
                        <w:pPr>
                          <w:pStyle w:val="TableParagraph"/>
                          <w:spacing w:before="17"/>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73845F55" w14:textId="77777777" w:rsidR="00F65BCA" w:rsidRDefault="00F65BCA">
                        <w:pPr>
                          <w:pStyle w:val="TableParagraph"/>
                          <w:rPr>
                            <w:rFonts w:ascii="Calibri"/>
                            <w:sz w:val="2"/>
                          </w:rPr>
                        </w:pPr>
                      </w:p>
                      <w:p w14:paraId="384A397D" w14:textId="77777777" w:rsidR="00F65BCA" w:rsidRDefault="00F65BCA">
                        <w:pPr>
                          <w:pStyle w:val="TableParagraph"/>
                          <w:rPr>
                            <w:rFonts w:ascii="Calibri"/>
                            <w:sz w:val="2"/>
                          </w:rPr>
                        </w:pPr>
                      </w:p>
                      <w:p w14:paraId="128C42C2" w14:textId="77777777" w:rsidR="00F65BCA" w:rsidRDefault="00F65BCA">
                        <w:pPr>
                          <w:pStyle w:val="TableParagraph"/>
                          <w:rPr>
                            <w:rFonts w:ascii="Calibri"/>
                            <w:sz w:val="2"/>
                          </w:rPr>
                        </w:pPr>
                      </w:p>
                      <w:p w14:paraId="29E9D7DB" w14:textId="77777777" w:rsidR="00F65BCA" w:rsidRDefault="00216117">
                        <w:pPr>
                          <w:pStyle w:val="TableParagraph"/>
                          <w:spacing w:before="17"/>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0B0ABC10" w14:textId="77777777" w:rsidR="00F65BCA" w:rsidRDefault="00F65BCA">
                        <w:pPr>
                          <w:pStyle w:val="TableParagraph"/>
                          <w:rPr>
                            <w:rFonts w:ascii="Calibri"/>
                            <w:sz w:val="2"/>
                          </w:rPr>
                        </w:pPr>
                      </w:p>
                      <w:p w14:paraId="35DD5A93" w14:textId="77777777" w:rsidR="00F65BCA" w:rsidRDefault="00F65BCA">
                        <w:pPr>
                          <w:pStyle w:val="TableParagraph"/>
                          <w:rPr>
                            <w:rFonts w:ascii="Calibri"/>
                            <w:sz w:val="2"/>
                          </w:rPr>
                        </w:pPr>
                      </w:p>
                      <w:p w14:paraId="07E88C0D" w14:textId="77777777" w:rsidR="00F65BCA" w:rsidRDefault="00F65BCA">
                        <w:pPr>
                          <w:pStyle w:val="TableParagraph"/>
                          <w:rPr>
                            <w:rFonts w:ascii="Calibri"/>
                            <w:sz w:val="2"/>
                          </w:rPr>
                        </w:pPr>
                      </w:p>
                      <w:p w14:paraId="7F518F9B" w14:textId="77777777" w:rsidR="00F65BCA" w:rsidRDefault="00216117">
                        <w:pPr>
                          <w:pStyle w:val="TableParagraph"/>
                          <w:spacing w:before="17"/>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76FF390C" w14:textId="77777777" w:rsidR="00F65BCA" w:rsidRDefault="00F65BCA">
                        <w:pPr>
                          <w:pStyle w:val="TableParagraph"/>
                          <w:rPr>
                            <w:rFonts w:ascii="Calibri"/>
                            <w:sz w:val="2"/>
                          </w:rPr>
                        </w:pPr>
                      </w:p>
                      <w:p w14:paraId="383C786C" w14:textId="77777777" w:rsidR="00F65BCA" w:rsidRDefault="00F65BCA">
                        <w:pPr>
                          <w:pStyle w:val="TableParagraph"/>
                          <w:rPr>
                            <w:rFonts w:ascii="Calibri"/>
                            <w:sz w:val="2"/>
                          </w:rPr>
                        </w:pPr>
                      </w:p>
                      <w:p w14:paraId="02E492D7" w14:textId="77777777" w:rsidR="00F65BCA" w:rsidRDefault="00F65BCA">
                        <w:pPr>
                          <w:pStyle w:val="TableParagraph"/>
                          <w:rPr>
                            <w:rFonts w:ascii="Calibri"/>
                            <w:sz w:val="2"/>
                          </w:rPr>
                        </w:pPr>
                      </w:p>
                      <w:p w14:paraId="15E20026" w14:textId="77777777" w:rsidR="00F65BCA" w:rsidRDefault="00216117">
                        <w:pPr>
                          <w:pStyle w:val="TableParagraph"/>
                          <w:spacing w:before="17"/>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1A2C7492" w14:textId="77777777" w:rsidR="00F65BCA" w:rsidRDefault="00F65BCA">
                        <w:pPr>
                          <w:pStyle w:val="TableParagraph"/>
                          <w:rPr>
                            <w:rFonts w:ascii="Calibri"/>
                            <w:sz w:val="2"/>
                          </w:rPr>
                        </w:pPr>
                      </w:p>
                      <w:p w14:paraId="3680C973" w14:textId="77777777" w:rsidR="00F65BCA" w:rsidRDefault="00F65BCA">
                        <w:pPr>
                          <w:pStyle w:val="TableParagraph"/>
                          <w:rPr>
                            <w:rFonts w:ascii="Calibri"/>
                            <w:sz w:val="2"/>
                          </w:rPr>
                        </w:pPr>
                      </w:p>
                      <w:p w14:paraId="05BD1467" w14:textId="77777777" w:rsidR="00F65BCA" w:rsidRDefault="00F65BCA">
                        <w:pPr>
                          <w:pStyle w:val="TableParagraph"/>
                          <w:rPr>
                            <w:rFonts w:ascii="Calibri"/>
                            <w:sz w:val="2"/>
                          </w:rPr>
                        </w:pPr>
                      </w:p>
                      <w:p w14:paraId="41C45BCE" w14:textId="77777777" w:rsidR="00F65BCA" w:rsidRDefault="00216117">
                        <w:pPr>
                          <w:pStyle w:val="TableParagraph"/>
                          <w:spacing w:before="17"/>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2502C401" w14:textId="77777777" w:rsidR="00F65BCA" w:rsidRDefault="00F65BCA">
                        <w:pPr>
                          <w:pStyle w:val="TableParagraph"/>
                          <w:rPr>
                            <w:rFonts w:ascii="Calibri"/>
                            <w:sz w:val="2"/>
                          </w:rPr>
                        </w:pPr>
                      </w:p>
                      <w:p w14:paraId="76262FDA" w14:textId="77777777" w:rsidR="00F65BCA" w:rsidRDefault="00F65BCA">
                        <w:pPr>
                          <w:pStyle w:val="TableParagraph"/>
                          <w:rPr>
                            <w:rFonts w:ascii="Calibri"/>
                            <w:sz w:val="2"/>
                          </w:rPr>
                        </w:pPr>
                      </w:p>
                      <w:p w14:paraId="3206C811" w14:textId="77777777" w:rsidR="00F65BCA" w:rsidRDefault="00F65BCA">
                        <w:pPr>
                          <w:pStyle w:val="TableParagraph"/>
                          <w:rPr>
                            <w:rFonts w:ascii="Calibri"/>
                            <w:sz w:val="2"/>
                          </w:rPr>
                        </w:pPr>
                      </w:p>
                      <w:p w14:paraId="4935F00B" w14:textId="77777777" w:rsidR="00F65BCA" w:rsidRDefault="00216117">
                        <w:pPr>
                          <w:pStyle w:val="TableParagraph"/>
                          <w:spacing w:before="17"/>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3546B4DB" w14:textId="77777777" w:rsidR="00F65BCA" w:rsidRDefault="00F65BCA">
                        <w:pPr>
                          <w:pStyle w:val="TableParagraph"/>
                          <w:rPr>
                            <w:rFonts w:ascii="Calibri"/>
                            <w:sz w:val="2"/>
                          </w:rPr>
                        </w:pPr>
                      </w:p>
                      <w:p w14:paraId="74950DBF" w14:textId="77777777" w:rsidR="00F65BCA" w:rsidRDefault="00F65BCA">
                        <w:pPr>
                          <w:pStyle w:val="TableParagraph"/>
                          <w:rPr>
                            <w:rFonts w:ascii="Calibri"/>
                            <w:sz w:val="2"/>
                          </w:rPr>
                        </w:pPr>
                      </w:p>
                      <w:p w14:paraId="153D5093" w14:textId="77777777" w:rsidR="00F65BCA" w:rsidRDefault="00F65BCA">
                        <w:pPr>
                          <w:pStyle w:val="TableParagraph"/>
                          <w:rPr>
                            <w:rFonts w:ascii="Calibri"/>
                            <w:sz w:val="2"/>
                          </w:rPr>
                        </w:pPr>
                      </w:p>
                      <w:p w14:paraId="6C48D85D" w14:textId="77777777" w:rsidR="00F65BCA" w:rsidRDefault="00216117">
                        <w:pPr>
                          <w:pStyle w:val="TableParagraph"/>
                          <w:spacing w:before="17"/>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41A15422" w14:textId="77777777" w:rsidR="00F65BCA" w:rsidRDefault="00F65BCA">
                        <w:pPr>
                          <w:pStyle w:val="TableParagraph"/>
                          <w:rPr>
                            <w:rFonts w:ascii="Calibri"/>
                            <w:sz w:val="2"/>
                          </w:rPr>
                        </w:pPr>
                      </w:p>
                      <w:p w14:paraId="65256900" w14:textId="77777777" w:rsidR="00F65BCA" w:rsidRDefault="00F65BCA">
                        <w:pPr>
                          <w:pStyle w:val="TableParagraph"/>
                          <w:rPr>
                            <w:rFonts w:ascii="Calibri"/>
                            <w:sz w:val="2"/>
                          </w:rPr>
                        </w:pPr>
                      </w:p>
                      <w:p w14:paraId="673A1E3B" w14:textId="77777777" w:rsidR="00F65BCA" w:rsidRDefault="00F65BCA">
                        <w:pPr>
                          <w:pStyle w:val="TableParagraph"/>
                          <w:rPr>
                            <w:rFonts w:ascii="Calibri"/>
                            <w:sz w:val="2"/>
                          </w:rPr>
                        </w:pPr>
                      </w:p>
                      <w:p w14:paraId="3BA6B997" w14:textId="77777777" w:rsidR="00F65BCA" w:rsidRDefault="00216117">
                        <w:pPr>
                          <w:pStyle w:val="TableParagraph"/>
                          <w:spacing w:before="17"/>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062AAEE0" w14:textId="77777777" w:rsidR="00F65BCA" w:rsidRDefault="00F65BCA">
                        <w:pPr>
                          <w:pStyle w:val="TableParagraph"/>
                          <w:rPr>
                            <w:rFonts w:ascii="Calibri"/>
                            <w:sz w:val="2"/>
                          </w:rPr>
                        </w:pPr>
                      </w:p>
                      <w:p w14:paraId="2E8372C3" w14:textId="77777777" w:rsidR="00F65BCA" w:rsidRDefault="00F65BCA">
                        <w:pPr>
                          <w:pStyle w:val="TableParagraph"/>
                          <w:rPr>
                            <w:rFonts w:ascii="Calibri"/>
                            <w:sz w:val="2"/>
                          </w:rPr>
                        </w:pPr>
                      </w:p>
                      <w:p w14:paraId="03D65CD7" w14:textId="77777777" w:rsidR="00F65BCA" w:rsidRDefault="00F65BCA">
                        <w:pPr>
                          <w:pStyle w:val="TableParagraph"/>
                          <w:rPr>
                            <w:rFonts w:ascii="Calibri"/>
                            <w:sz w:val="2"/>
                          </w:rPr>
                        </w:pPr>
                      </w:p>
                      <w:p w14:paraId="51B447D8" w14:textId="77777777" w:rsidR="00F65BCA" w:rsidRDefault="00216117">
                        <w:pPr>
                          <w:pStyle w:val="TableParagraph"/>
                          <w:spacing w:before="17"/>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0C351BF6" w14:textId="77777777" w:rsidR="00F65BCA" w:rsidRDefault="00F65BCA">
                        <w:pPr>
                          <w:pStyle w:val="TableParagraph"/>
                          <w:rPr>
                            <w:rFonts w:ascii="Calibri"/>
                            <w:sz w:val="2"/>
                          </w:rPr>
                        </w:pPr>
                      </w:p>
                      <w:p w14:paraId="6C7E74D2" w14:textId="77777777" w:rsidR="00F65BCA" w:rsidRDefault="00F65BCA">
                        <w:pPr>
                          <w:pStyle w:val="TableParagraph"/>
                          <w:rPr>
                            <w:rFonts w:ascii="Calibri"/>
                            <w:sz w:val="2"/>
                          </w:rPr>
                        </w:pPr>
                      </w:p>
                      <w:p w14:paraId="4A548EEE" w14:textId="77777777" w:rsidR="00F65BCA" w:rsidRDefault="00F65BCA">
                        <w:pPr>
                          <w:pStyle w:val="TableParagraph"/>
                          <w:rPr>
                            <w:rFonts w:ascii="Calibri"/>
                            <w:sz w:val="2"/>
                          </w:rPr>
                        </w:pPr>
                      </w:p>
                      <w:p w14:paraId="28FC1701" w14:textId="77777777" w:rsidR="00F65BCA" w:rsidRDefault="00216117">
                        <w:pPr>
                          <w:pStyle w:val="TableParagraph"/>
                          <w:spacing w:before="17"/>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6A0B5355" w14:textId="77777777" w:rsidR="00F65BCA" w:rsidRDefault="00F65BCA">
                        <w:pPr>
                          <w:pStyle w:val="TableParagraph"/>
                          <w:rPr>
                            <w:rFonts w:ascii="Calibri"/>
                            <w:sz w:val="2"/>
                          </w:rPr>
                        </w:pPr>
                      </w:p>
                      <w:p w14:paraId="4F88D924" w14:textId="77777777" w:rsidR="00F65BCA" w:rsidRDefault="00F65BCA">
                        <w:pPr>
                          <w:pStyle w:val="TableParagraph"/>
                          <w:rPr>
                            <w:rFonts w:ascii="Calibri"/>
                            <w:sz w:val="2"/>
                          </w:rPr>
                        </w:pPr>
                      </w:p>
                      <w:p w14:paraId="4FFF1E2F" w14:textId="77777777" w:rsidR="00F65BCA" w:rsidRDefault="00F65BCA">
                        <w:pPr>
                          <w:pStyle w:val="TableParagraph"/>
                          <w:rPr>
                            <w:rFonts w:ascii="Calibri"/>
                            <w:sz w:val="2"/>
                          </w:rPr>
                        </w:pPr>
                      </w:p>
                      <w:p w14:paraId="0935BE54" w14:textId="77777777" w:rsidR="00F65BCA" w:rsidRDefault="00216117">
                        <w:pPr>
                          <w:pStyle w:val="TableParagraph"/>
                          <w:spacing w:before="17"/>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6DD35A67" w14:textId="77777777" w:rsidR="00F65BCA" w:rsidRDefault="00F65BCA">
                        <w:pPr>
                          <w:pStyle w:val="TableParagraph"/>
                          <w:rPr>
                            <w:rFonts w:ascii="Calibri"/>
                            <w:sz w:val="2"/>
                          </w:rPr>
                        </w:pPr>
                      </w:p>
                      <w:p w14:paraId="604022F8" w14:textId="77777777" w:rsidR="00F65BCA" w:rsidRDefault="00F65BCA">
                        <w:pPr>
                          <w:pStyle w:val="TableParagraph"/>
                          <w:rPr>
                            <w:rFonts w:ascii="Calibri"/>
                            <w:sz w:val="2"/>
                          </w:rPr>
                        </w:pPr>
                      </w:p>
                      <w:p w14:paraId="178A602F" w14:textId="77777777" w:rsidR="00F65BCA" w:rsidRDefault="00F65BCA">
                        <w:pPr>
                          <w:pStyle w:val="TableParagraph"/>
                          <w:rPr>
                            <w:rFonts w:ascii="Calibri"/>
                            <w:sz w:val="2"/>
                          </w:rPr>
                        </w:pPr>
                      </w:p>
                      <w:p w14:paraId="3298A79E" w14:textId="77777777" w:rsidR="00F65BCA" w:rsidRDefault="00216117">
                        <w:pPr>
                          <w:pStyle w:val="TableParagraph"/>
                          <w:spacing w:before="17"/>
                          <w:ind w:left="24" w:right="24"/>
                          <w:jc w:val="center"/>
                          <w:rPr>
                            <w:sz w:val="3"/>
                          </w:rPr>
                        </w:pPr>
                        <w:r>
                          <w:rPr>
                            <w:w w:val="105"/>
                            <w:sz w:val="3"/>
                          </w:rPr>
                          <w:t>1,07731026%</w:t>
                        </w:r>
                      </w:p>
                    </w:tc>
                  </w:tr>
                  <w:tr w:rsidR="00F65BCA" w14:paraId="04E56315" w14:textId="77777777">
                    <w:trPr>
                      <w:trHeight w:val="213"/>
                    </w:trPr>
                    <w:tc>
                      <w:tcPr>
                        <w:tcW w:w="526" w:type="dxa"/>
                        <w:vMerge/>
                        <w:tcBorders>
                          <w:top w:val="nil"/>
                          <w:left w:val="single" w:sz="2" w:space="0" w:color="000000"/>
                          <w:bottom w:val="single" w:sz="2" w:space="0" w:color="000000"/>
                          <w:right w:val="single" w:sz="2" w:space="0" w:color="000000"/>
                        </w:tcBorders>
                        <w:shd w:val="clear" w:color="auto" w:fill="FCE4D6"/>
                      </w:tcPr>
                      <w:p w14:paraId="68322F59"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684F64E3"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48DE4676"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241E939" w14:textId="77777777" w:rsidR="00F65BCA" w:rsidRDefault="00F65BCA">
                        <w:pPr>
                          <w:pStyle w:val="TableParagraph"/>
                          <w:rPr>
                            <w:rFonts w:ascii="Calibri"/>
                            <w:sz w:val="2"/>
                          </w:rPr>
                        </w:pPr>
                      </w:p>
                      <w:p w14:paraId="059CE6B5" w14:textId="77777777" w:rsidR="00F65BCA" w:rsidRDefault="00F65BCA">
                        <w:pPr>
                          <w:pStyle w:val="TableParagraph"/>
                          <w:rPr>
                            <w:rFonts w:ascii="Calibri"/>
                            <w:sz w:val="2"/>
                          </w:rPr>
                        </w:pPr>
                      </w:p>
                      <w:p w14:paraId="6F4B6DAA" w14:textId="77777777" w:rsidR="00F65BCA" w:rsidRDefault="00F65BCA">
                        <w:pPr>
                          <w:pStyle w:val="TableParagraph"/>
                          <w:rPr>
                            <w:rFonts w:ascii="Calibri"/>
                            <w:sz w:val="2"/>
                          </w:rPr>
                        </w:pPr>
                      </w:p>
                      <w:p w14:paraId="3BBB10A3" w14:textId="77777777" w:rsidR="00F65BCA" w:rsidRDefault="00216117">
                        <w:pPr>
                          <w:pStyle w:val="TableParagraph"/>
                          <w:spacing w:before="17"/>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27A1D0D" w14:textId="77777777" w:rsidR="00F65BCA" w:rsidRDefault="00F65BCA">
                        <w:pPr>
                          <w:pStyle w:val="TableParagraph"/>
                          <w:rPr>
                            <w:rFonts w:ascii="Calibri"/>
                            <w:sz w:val="2"/>
                          </w:rPr>
                        </w:pPr>
                      </w:p>
                      <w:p w14:paraId="71B93B69" w14:textId="77777777" w:rsidR="00F65BCA" w:rsidRDefault="00F65BCA">
                        <w:pPr>
                          <w:pStyle w:val="TableParagraph"/>
                          <w:rPr>
                            <w:rFonts w:ascii="Calibri"/>
                            <w:sz w:val="2"/>
                          </w:rPr>
                        </w:pPr>
                      </w:p>
                      <w:p w14:paraId="6A29141E" w14:textId="77777777" w:rsidR="00F65BCA" w:rsidRDefault="00F65BCA">
                        <w:pPr>
                          <w:pStyle w:val="TableParagraph"/>
                          <w:rPr>
                            <w:rFonts w:ascii="Calibri"/>
                            <w:sz w:val="2"/>
                          </w:rPr>
                        </w:pPr>
                      </w:p>
                      <w:p w14:paraId="44F5AF2B" w14:textId="77777777" w:rsidR="00F65BCA" w:rsidRDefault="00216117">
                        <w:pPr>
                          <w:pStyle w:val="TableParagraph"/>
                          <w:spacing w:before="17"/>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204DF085"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910E75F" w14:textId="77777777" w:rsidR="00F65BCA" w:rsidRDefault="00F65BCA">
                        <w:pPr>
                          <w:pStyle w:val="TableParagraph"/>
                          <w:rPr>
                            <w:rFonts w:ascii="Calibri"/>
                            <w:sz w:val="2"/>
                          </w:rPr>
                        </w:pPr>
                      </w:p>
                      <w:p w14:paraId="4889052C" w14:textId="77777777" w:rsidR="00F65BCA" w:rsidRDefault="00F65BCA">
                        <w:pPr>
                          <w:pStyle w:val="TableParagraph"/>
                          <w:rPr>
                            <w:rFonts w:ascii="Calibri"/>
                            <w:sz w:val="2"/>
                          </w:rPr>
                        </w:pPr>
                      </w:p>
                      <w:p w14:paraId="4B9844C5" w14:textId="77777777" w:rsidR="00F65BCA" w:rsidRDefault="00F65BCA">
                        <w:pPr>
                          <w:pStyle w:val="TableParagraph"/>
                          <w:rPr>
                            <w:rFonts w:ascii="Calibri"/>
                            <w:sz w:val="2"/>
                          </w:rPr>
                        </w:pPr>
                      </w:p>
                      <w:p w14:paraId="2B9326F7" w14:textId="77777777" w:rsidR="00F65BCA" w:rsidRDefault="00216117">
                        <w:pPr>
                          <w:pStyle w:val="TableParagraph"/>
                          <w:spacing w:before="17"/>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474A8CB3" w14:textId="77777777" w:rsidR="00F65BCA" w:rsidRDefault="00F65BCA">
                        <w:pPr>
                          <w:pStyle w:val="TableParagraph"/>
                          <w:rPr>
                            <w:rFonts w:ascii="Calibri"/>
                            <w:sz w:val="2"/>
                          </w:rPr>
                        </w:pPr>
                      </w:p>
                      <w:p w14:paraId="120486FF" w14:textId="77777777" w:rsidR="00F65BCA" w:rsidRDefault="00F65BCA">
                        <w:pPr>
                          <w:pStyle w:val="TableParagraph"/>
                          <w:rPr>
                            <w:rFonts w:ascii="Calibri"/>
                            <w:sz w:val="2"/>
                          </w:rPr>
                        </w:pPr>
                      </w:p>
                      <w:p w14:paraId="52BBA18D" w14:textId="77777777" w:rsidR="00F65BCA" w:rsidRDefault="00F65BCA">
                        <w:pPr>
                          <w:pStyle w:val="TableParagraph"/>
                          <w:rPr>
                            <w:rFonts w:ascii="Calibri"/>
                            <w:sz w:val="2"/>
                          </w:rPr>
                        </w:pPr>
                      </w:p>
                      <w:p w14:paraId="033191EA" w14:textId="77777777" w:rsidR="00F65BCA" w:rsidRDefault="00216117">
                        <w:pPr>
                          <w:pStyle w:val="TableParagraph"/>
                          <w:spacing w:before="17"/>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1FB782DF" w14:textId="77777777" w:rsidR="00F65BCA" w:rsidRDefault="00F65BCA">
                        <w:pPr>
                          <w:pStyle w:val="TableParagraph"/>
                          <w:rPr>
                            <w:rFonts w:ascii="Calibri"/>
                            <w:sz w:val="2"/>
                          </w:rPr>
                        </w:pPr>
                      </w:p>
                      <w:p w14:paraId="5E2455B7" w14:textId="77777777" w:rsidR="00F65BCA" w:rsidRDefault="00F65BCA">
                        <w:pPr>
                          <w:pStyle w:val="TableParagraph"/>
                          <w:rPr>
                            <w:rFonts w:ascii="Calibri"/>
                            <w:sz w:val="2"/>
                          </w:rPr>
                        </w:pPr>
                      </w:p>
                      <w:p w14:paraId="32F940DF" w14:textId="77777777" w:rsidR="00F65BCA" w:rsidRDefault="00F65BCA">
                        <w:pPr>
                          <w:pStyle w:val="TableParagraph"/>
                          <w:rPr>
                            <w:rFonts w:ascii="Calibri"/>
                            <w:sz w:val="2"/>
                          </w:rPr>
                        </w:pPr>
                      </w:p>
                      <w:p w14:paraId="1F3A7A5D" w14:textId="77777777" w:rsidR="00F65BCA" w:rsidRDefault="00216117">
                        <w:pPr>
                          <w:pStyle w:val="TableParagraph"/>
                          <w:spacing w:before="17"/>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217502FA" w14:textId="77777777" w:rsidR="00F65BCA" w:rsidRDefault="00F65BCA">
                        <w:pPr>
                          <w:pStyle w:val="TableParagraph"/>
                          <w:rPr>
                            <w:rFonts w:ascii="Calibri"/>
                            <w:sz w:val="2"/>
                          </w:rPr>
                        </w:pPr>
                      </w:p>
                      <w:p w14:paraId="20FFE559" w14:textId="77777777" w:rsidR="00F65BCA" w:rsidRDefault="00F65BCA">
                        <w:pPr>
                          <w:pStyle w:val="TableParagraph"/>
                          <w:rPr>
                            <w:rFonts w:ascii="Calibri"/>
                            <w:sz w:val="2"/>
                          </w:rPr>
                        </w:pPr>
                      </w:p>
                      <w:p w14:paraId="140E4779" w14:textId="77777777" w:rsidR="00F65BCA" w:rsidRDefault="00F65BCA">
                        <w:pPr>
                          <w:pStyle w:val="TableParagraph"/>
                          <w:rPr>
                            <w:rFonts w:ascii="Calibri"/>
                            <w:sz w:val="2"/>
                          </w:rPr>
                        </w:pPr>
                      </w:p>
                      <w:p w14:paraId="02D8B305" w14:textId="77777777" w:rsidR="00F65BCA" w:rsidRDefault="00216117">
                        <w:pPr>
                          <w:pStyle w:val="TableParagraph"/>
                          <w:spacing w:before="17"/>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4E5873EC" w14:textId="77777777" w:rsidR="00F65BCA" w:rsidRDefault="00F65BCA">
                        <w:pPr>
                          <w:pStyle w:val="TableParagraph"/>
                          <w:rPr>
                            <w:rFonts w:ascii="Calibri"/>
                            <w:sz w:val="2"/>
                          </w:rPr>
                        </w:pPr>
                      </w:p>
                      <w:p w14:paraId="32640BEA" w14:textId="77777777" w:rsidR="00F65BCA" w:rsidRDefault="00F65BCA">
                        <w:pPr>
                          <w:pStyle w:val="TableParagraph"/>
                          <w:rPr>
                            <w:rFonts w:ascii="Calibri"/>
                            <w:sz w:val="2"/>
                          </w:rPr>
                        </w:pPr>
                      </w:p>
                      <w:p w14:paraId="4329DF0F" w14:textId="77777777" w:rsidR="00F65BCA" w:rsidRDefault="00F65BCA">
                        <w:pPr>
                          <w:pStyle w:val="TableParagraph"/>
                          <w:rPr>
                            <w:rFonts w:ascii="Calibri"/>
                            <w:sz w:val="2"/>
                          </w:rPr>
                        </w:pPr>
                      </w:p>
                      <w:p w14:paraId="385F0E21" w14:textId="77777777" w:rsidR="00F65BCA" w:rsidRDefault="00216117">
                        <w:pPr>
                          <w:pStyle w:val="TableParagraph"/>
                          <w:spacing w:before="17"/>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31ADCD00" w14:textId="77777777" w:rsidR="00F65BCA" w:rsidRDefault="00F65BCA">
                        <w:pPr>
                          <w:pStyle w:val="TableParagraph"/>
                          <w:rPr>
                            <w:rFonts w:ascii="Calibri"/>
                            <w:sz w:val="2"/>
                          </w:rPr>
                        </w:pPr>
                      </w:p>
                      <w:p w14:paraId="739E37A3" w14:textId="77777777" w:rsidR="00F65BCA" w:rsidRDefault="00F65BCA">
                        <w:pPr>
                          <w:pStyle w:val="TableParagraph"/>
                          <w:rPr>
                            <w:rFonts w:ascii="Calibri"/>
                            <w:sz w:val="2"/>
                          </w:rPr>
                        </w:pPr>
                      </w:p>
                      <w:p w14:paraId="17C962BA" w14:textId="77777777" w:rsidR="00F65BCA" w:rsidRDefault="00F65BCA">
                        <w:pPr>
                          <w:pStyle w:val="TableParagraph"/>
                          <w:rPr>
                            <w:rFonts w:ascii="Calibri"/>
                            <w:sz w:val="2"/>
                          </w:rPr>
                        </w:pPr>
                      </w:p>
                      <w:p w14:paraId="23DD2C73" w14:textId="77777777" w:rsidR="00F65BCA" w:rsidRDefault="00216117">
                        <w:pPr>
                          <w:pStyle w:val="TableParagraph"/>
                          <w:spacing w:before="17"/>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76FEF810" w14:textId="77777777" w:rsidR="00F65BCA" w:rsidRDefault="00F65BCA">
                        <w:pPr>
                          <w:pStyle w:val="TableParagraph"/>
                          <w:rPr>
                            <w:rFonts w:ascii="Calibri"/>
                            <w:sz w:val="2"/>
                          </w:rPr>
                        </w:pPr>
                      </w:p>
                      <w:p w14:paraId="2E7F782C" w14:textId="77777777" w:rsidR="00F65BCA" w:rsidRDefault="00F65BCA">
                        <w:pPr>
                          <w:pStyle w:val="TableParagraph"/>
                          <w:rPr>
                            <w:rFonts w:ascii="Calibri"/>
                            <w:sz w:val="2"/>
                          </w:rPr>
                        </w:pPr>
                      </w:p>
                      <w:p w14:paraId="6B31FB49" w14:textId="77777777" w:rsidR="00F65BCA" w:rsidRDefault="00F65BCA">
                        <w:pPr>
                          <w:pStyle w:val="TableParagraph"/>
                          <w:rPr>
                            <w:rFonts w:ascii="Calibri"/>
                            <w:sz w:val="2"/>
                          </w:rPr>
                        </w:pPr>
                      </w:p>
                      <w:p w14:paraId="77820E69" w14:textId="77777777" w:rsidR="00F65BCA" w:rsidRDefault="00216117">
                        <w:pPr>
                          <w:pStyle w:val="TableParagraph"/>
                          <w:spacing w:before="17"/>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536FCBC1" w14:textId="77777777" w:rsidR="00F65BCA" w:rsidRDefault="00F65BCA">
                        <w:pPr>
                          <w:pStyle w:val="TableParagraph"/>
                          <w:rPr>
                            <w:rFonts w:ascii="Calibri"/>
                            <w:sz w:val="2"/>
                          </w:rPr>
                        </w:pPr>
                      </w:p>
                      <w:p w14:paraId="02E87D77" w14:textId="77777777" w:rsidR="00F65BCA" w:rsidRDefault="00F65BCA">
                        <w:pPr>
                          <w:pStyle w:val="TableParagraph"/>
                          <w:rPr>
                            <w:rFonts w:ascii="Calibri"/>
                            <w:sz w:val="2"/>
                          </w:rPr>
                        </w:pPr>
                      </w:p>
                      <w:p w14:paraId="2C21E33F" w14:textId="77777777" w:rsidR="00F65BCA" w:rsidRDefault="00F65BCA">
                        <w:pPr>
                          <w:pStyle w:val="TableParagraph"/>
                          <w:rPr>
                            <w:rFonts w:ascii="Calibri"/>
                            <w:sz w:val="2"/>
                          </w:rPr>
                        </w:pPr>
                      </w:p>
                      <w:p w14:paraId="2B17B764" w14:textId="77777777" w:rsidR="00F65BCA" w:rsidRDefault="00216117">
                        <w:pPr>
                          <w:pStyle w:val="TableParagraph"/>
                          <w:spacing w:before="17"/>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47E33718" w14:textId="77777777" w:rsidR="00F65BCA" w:rsidRDefault="00F65BCA">
                        <w:pPr>
                          <w:pStyle w:val="TableParagraph"/>
                          <w:rPr>
                            <w:rFonts w:ascii="Calibri"/>
                            <w:sz w:val="2"/>
                          </w:rPr>
                        </w:pPr>
                      </w:p>
                      <w:p w14:paraId="72C55D4C" w14:textId="77777777" w:rsidR="00F65BCA" w:rsidRDefault="00F65BCA">
                        <w:pPr>
                          <w:pStyle w:val="TableParagraph"/>
                          <w:rPr>
                            <w:rFonts w:ascii="Calibri"/>
                            <w:sz w:val="2"/>
                          </w:rPr>
                        </w:pPr>
                      </w:p>
                      <w:p w14:paraId="189914B0" w14:textId="77777777" w:rsidR="00F65BCA" w:rsidRDefault="00F65BCA">
                        <w:pPr>
                          <w:pStyle w:val="TableParagraph"/>
                          <w:rPr>
                            <w:rFonts w:ascii="Calibri"/>
                            <w:sz w:val="2"/>
                          </w:rPr>
                        </w:pPr>
                      </w:p>
                      <w:p w14:paraId="43BB62F4" w14:textId="77777777" w:rsidR="00F65BCA" w:rsidRDefault="00216117">
                        <w:pPr>
                          <w:pStyle w:val="TableParagraph"/>
                          <w:spacing w:before="17"/>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06CFFB44" w14:textId="77777777" w:rsidR="00F65BCA" w:rsidRDefault="00F65BCA">
                        <w:pPr>
                          <w:pStyle w:val="TableParagraph"/>
                          <w:rPr>
                            <w:rFonts w:ascii="Calibri"/>
                            <w:sz w:val="2"/>
                          </w:rPr>
                        </w:pPr>
                      </w:p>
                      <w:p w14:paraId="73E72442" w14:textId="77777777" w:rsidR="00F65BCA" w:rsidRDefault="00F65BCA">
                        <w:pPr>
                          <w:pStyle w:val="TableParagraph"/>
                          <w:rPr>
                            <w:rFonts w:ascii="Calibri"/>
                            <w:sz w:val="2"/>
                          </w:rPr>
                        </w:pPr>
                      </w:p>
                      <w:p w14:paraId="0566FFE7" w14:textId="77777777" w:rsidR="00F65BCA" w:rsidRDefault="00F65BCA">
                        <w:pPr>
                          <w:pStyle w:val="TableParagraph"/>
                          <w:rPr>
                            <w:rFonts w:ascii="Calibri"/>
                            <w:sz w:val="2"/>
                          </w:rPr>
                        </w:pPr>
                      </w:p>
                      <w:p w14:paraId="5B73E136" w14:textId="77777777" w:rsidR="00F65BCA" w:rsidRDefault="00216117">
                        <w:pPr>
                          <w:pStyle w:val="TableParagraph"/>
                          <w:spacing w:before="17"/>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0793B979" w14:textId="77777777" w:rsidR="00F65BCA" w:rsidRDefault="00F65BCA">
                        <w:pPr>
                          <w:pStyle w:val="TableParagraph"/>
                          <w:rPr>
                            <w:rFonts w:ascii="Calibri"/>
                            <w:sz w:val="2"/>
                          </w:rPr>
                        </w:pPr>
                      </w:p>
                      <w:p w14:paraId="493F1D2A" w14:textId="77777777" w:rsidR="00F65BCA" w:rsidRDefault="00F65BCA">
                        <w:pPr>
                          <w:pStyle w:val="TableParagraph"/>
                          <w:rPr>
                            <w:rFonts w:ascii="Calibri"/>
                            <w:sz w:val="2"/>
                          </w:rPr>
                        </w:pPr>
                      </w:p>
                      <w:p w14:paraId="154EB5AB" w14:textId="77777777" w:rsidR="00F65BCA" w:rsidRDefault="00F65BCA">
                        <w:pPr>
                          <w:pStyle w:val="TableParagraph"/>
                          <w:rPr>
                            <w:rFonts w:ascii="Calibri"/>
                            <w:sz w:val="2"/>
                          </w:rPr>
                        </w:pPr>
                      </w:p>
                      <w:p w14:paraId="079C19B2" w14:textId="77777777" w:rsidR="00F65BCA" w:rsidRDefault="00216117">
                        <w:pPr>
                          <w:pStyle w:val="TableParagraph"/>
                          <w:spacing w:before="17"/>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0A927A77" w14:textId="77777777" w:rsidR="00F65BCA" w:rsidRDefault="00F65BCA">
                        <w:pPr>
                          <w:pStyle w:val="TableParagraph"/>
                          <w:rPr>
                            <w:rFonts w:ascii="Calibri"/>
                            <w:sz w:val="2"/>
                          </w:rPr>
                        </w:pPr>
                      </w:p>
                      <w:p w14:paraId="3070CE92" w14:textId="77777777" w:rsidR="00F65BCA" w:rsidRDefault="00F65BCA">
                        <w:pPr>
                          <w:pStyle w:val="TableParagraph"/>
                          <w:rPr>
                            <w:rFonts w:ascii="Calibri"/>
                            <w:sz w:val="2"/>
                          </w:rPr>
                        </w:pPr>
                      </w:p>
                      <w:p w14:paraId="72B17860" w14:textId="77777777" w:rsidR="00F65BCA" w:rsidRDefault="00F65BCA">
                        <w:pPr>
                          <w:pStyle w:val="TableParagraph"/>
                          <w:rPr>
                            <w:rFonts w:ascii="Calibri"/>
                            <w:sz w:val="2"/>
                          </w:rPr>
                        </w:pPr>
                      </w:p>
                      <w:p w14:paraId="1D63E3B4" w14:textId="77777777" w:rsidR="00F65BCA" w:rsidRDefault="00216117">
                        <w:pPr>
                          <w:pStyle w:val="TableParagraph"/>
                          <w:spacing w:before="17"/>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1C23285D" w14:textId="77777777" w:rsidR="00F65BCA" w:rsidRDefault="00F65BCA">
                        <w:pPr>
                          <w:pStyle w:val="TableParagraph"/>
                          <w:rPr>
                            <w:rFonts w:ascii="Calibri"/>
                            <w:sz w:val="2"/>
                          </w:rPr>
                        </w:pPr>
                      </w:p>
                      <w:p w14:paraId="0BD04590" w14:textId="77777777" w:rsidR="00F65BCA" w:rsidRDefault="00F65BCA">
                        <w:pPr>
                          <w:pStyle w:val="TableParagraph"/>
                          <w:rPr>
                            <w:rFonts w:ascii="Calibri"/>
                            <w:sz w:val="2"/>
                          </w:rPr>
                        </w:pPr>
                      </w:p>
                      <w:p w14:paraId="50096D9E" w14:textId="77777777" w:rsidR="00F65BCA" w:rsidRDefault="00F65BCA">
                        <w:pPr>
                          <w:pStyle w:val="TableParagraph"/>
                          <w:rPr>
                            <w:rFonts w:ascii="Calibri"/>
                            <w:sz w:val="2"/>
                          </w:rPr>
                        </w:pPr>
                      </w:p>
                      <w:p w14:paraId="14BF2B1B" w14:textId="77777777" w:rsidR="00F65BCA" w:rsidRDefault="00216117">
                        <w:pPr>
                          <w:pStyle w:val="TableParagraph"/>
                          <w:spacing w:before="17"/>
                          <w:ind w:left="24" w:right="24"/>
                          <w:jc w:val="center"/>
                          <w:rPr>
                            <w:sz w:val="3"/>
                          </w:rPr>
                        </w:pPr>
                        <w:r>
                          <w:rPr>
                            <w:w w:val="105"/>
                            <w:sz w:val="3"/>
                          </w:rPr>
                          <w:t>1,30139079%</w:t>
                        </w:r>
                      </w:p>
                    </w:tc>
                  </w:tr>
                  <w:tr w:rsidR="00F65BCA" w14:paraId="1302EA0F"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6F16DFE9"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5B98F231" w14:textId="77777777" w:rsidR="00F65BCA" w:rsidRDefault="00F65BCA">
                        <w:pPr>
                          <w:pStyle w:val="TableParagraph"/>
                          <w:rPr>
                            <w:rFonts w:ascii="Calibri"/>
                            <w:sz w:val="2"/>
                          </w:rPr>
                        </w:pPr>
                      </w:p>
                      <w:p w14:paraId="15902815" w14:textId="77777777" w:rsidR="00F65BCA" w:rsidRDefault="00F65BCA">
                        <w:pPr>
                          <w:pStyle w:val="TableParagraph"/>
                          <w:rPr>
                            <w:rFonts w:ascii="Calibri"/>
                            <w:sz w:val="2"/>
                          </w:rPr>
                        </w:pPr>
                      </w:p>
                      <w:p w14:paraId="565E5EC8" w14:textId="77777777" w:rsidR="00F65BCA" w:rsidRDefault="00F65BCA">
                        <w:pPr>
                          <w:pStyle w:val="TableParagraph"/>
                          <w:rPr>
                            <w:rFonts w:ascii="Calibri"/>
                            <w:sz w:val="2"/>
                          </w:rPr>
                        </w:pPr>
                      </w:p>
                      <w:p w14:paraId="7D66FE7C" w14:textId="77777777" w:rsidR="00F65BCA" w:rsidRDefault="00F65BCA">
                        <w:pPr>
                          <w:pStyle w:val="TableParagraph"/>
                          <w:rPr>
                            <w:rFonts w:ascii="Calibri"/>
                            <w:sz w:val="2"/>
                          </w:rPr>
                        </w:pPr>
                      </w:p>
                      <w:p w14:paraId="733DE776" w14:textId="77777777" w:rsidR="00F65BCA" w:rsidRDefault="00F65BCA">
                        <w:pPr>
                          <w:pStyle w:val="TableParagraph"/>
                          <w:rPr>
                            <w:rFonts w:ascii="Calibri"/>
                            <w:sz w:val="2"/>
                          </w:rPr>
                        </w:pPr>
                      </w:p>
                      <w:p w14:paraId="28E582FE" w14:textId="77777777" w:rsidR="00F65BCA" w:rsidRDefault="00F65BCA">
                        <w:pPr>
                          <w:pStyle w:val="TableParagraph"/>
                          <w:spacing w:before="6"/>
                          <w:rPr>
                            <w:rFonts w:ascii="Calibri"/>
                            <w:sz w:val="2"/>
                          </w:rPr>
                        </w:pPr>
                      </w:p>
                      <w:p w14:paraId="07DF1E1F" w14:textId="77777777" w:rsidR="00F65BCA" w:rsidRDefault="00216117">
                        <w:pPr>
                          <w:pStyle w:val="TableParagraph"/>
                          <w:ind w:left="18" w:right="17"/>
                          <w:jc w:val="center"/>
                          <w:rPr>
                            <w:sz w:val="3"/>
                          </w:rPr>
                        </w:pPr>
                        <w:r>
                          <w:rPr>
                            <w:w w:val="105"/>
                            <w:sz w:val="3"/>
                          </w:rPr>
                          <w:t>Suzuki</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1593488E" w14:textId="77777777" w:rsidR="00F65BCA" w:rsidRDefault="00F65BCA">
                        <w:pPr>
                          <w:pStyle w:val="TableParagraph"/>
                          <w:rPr>
                            <w:rFonts w:ascii="Calibri"/>
                            <w:sz w:val="2"/>
                          </w:rPr>
                        </w:pPr>
                      </w:p>
                      <w:p w14:paraId="4E533964" w14:textId="77777777" w:rsidR="00F65BCA" w:rsidRDefault="00F65BCA">
                        <w:pPr>
                          <w:pStyle w:val="TableParagraph"/>
                          <w:rPr>
                            <w:rFonts w:ascii="Calibri"/>
                            <w:sz w:val="2"/>
                          </w:rPr>
                        </w:pPr>
                      </w:p>
                      <w:p w14:paraId="69CD87F1" w14:textId="77777777" w:rsidR="00F65BCA" w:rsidRDefault="00216117">
                        <w:pPr>
                          <w:pStyle w:val="TableParagraph"/>
                          <w:spacing w:before="17"/>
                          <w:ind w:left="4"/>
                          <w:rPr>
                            <w:sz w:val="3"/>
                          </w:rPr>
                        </w:pPr>
                        <w:r>
                          <w:rPr>
                            <w:w w:val="105"/>
                            <w:sz w:val="3"/>
                          </w:rPr>
                          <w:t>CARRY VAN</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CE527DB" w14:textId="77777777" w:rsidR="00F65BCA" w:rsidRDefault="00F65BCA">
                        <w:pPr>
                          <w:pStyle w:val="TableParagraph"/>
                          <w:rPr>
                            <w:rFonts w:ascii="Calibri"/>
                            <w:sz w:val="2"/>
                          </w:rPr>
                        </w:pPr>
                      </w:p>
                      <w:p w14:paraId="4E36C756"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68A12B9" w14:textId="77777777" w:rsidR="00F65BCA" w:rsidRDefault="00F65BCA">
                        <w:pPr>
                          <w:pStyle w:val="TableParagraph"/>
                          <w:rPr>
                            <w:rFonts w:ascii="Calibri"/>
                            <w:sz w:val="2"/>
                          </w:rPr>
                        </w:pPr>
                      </w:p>
                      <w:p w14:paraId="19FD0CF0"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BE622D7"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6D348CD" w14:textId="77777777" w:rsidR="00F65BCA" w:rsidRDefault="00F65BCA">
                        <w:pPr>
                          <w:pStyle w:val="TableParagraph"/>
                          <w:rPr>
                            <w:rFonts w:ascii="Calibri"/>
                            <w:sz w:val="2"/>
                          </w:rPr>
                        </w:pPr>
                      </w:p>
                      <w:p w14:paraId="529CD13D"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6513F929" w14:textId="77777777" w:rsidR="00F65BCA" w:rsidRDefault="00F65BCA">
                        <w:pPr>
                          <w:pStyle w:val="TableParagraph"/>
                          <w:rPr>
                            <w:rFonts w:ascii="Calibri"/>
                            <w:sz w:val="2"/>
                          </w:rPr>
                        </w:pPr>
                      </w:p>
                      <w:p w14:paraId="4A4A783B"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25F33D36" w14:textId="77777777" w:rsidR="00F65BCA" w:rsidRDefault="00F65BCA">
                        <w:pPr>
                          <w:pStyle w:val="TableParagraph"/>
                          <w:rPr>
                            <w:rFonts w:ascii="Calibri"/>
                            <w:sz w:val="2"/>
                          </w:rPr>
                        </w:pPr>
                      </w:p>
                      <w:p w14:paraId="7F8008EB"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6DE32A6F" w14:textId="77777777" w:rsidR="00F65BCA" w:rsidRDefault="00F65BCA">
                        <w:pPr>
                          <w:pStyle w:val="TableParagraph"/>
                          <w:rPr>
                            <w:rFonts w:ascii="Calibri"/>
                            <w:sz w:val="2"/>
                          </w:rPr>
                        </w:pPr>
                      </w:p>
                      <w:p w14:paraId="3EDFE953"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2F06D884" w14:textId="77777777" w:rsidR="00F65BCA" w:rsidRDefault="00F65BCA">
                        <w:pPr>
                          <w:pStyle w:val="TableParagraph"/>
                          <w:rPr>
                            <w:rFonts w:ascii="Calibri"/>
                            <w:sz w:val="2"/>
                          </w:rPr>
                        </w:pPr>
                      </w:p>
                      <w:p w14:paraId="34ACFEBE"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6BB5A11A" w14:textId="77777777" w:rsidR="00F65BCA" w:rsidRDefault="00F65BCA">
                        <w:pPr>
                          <w:pStyle w:val="TableParagraph"/>
                          <w:rPr>
                            <w:rFonts w:ascii="Calibri"/>
                            <w:sz w:val="2"/>
                          </w:rPr>
                        </w:pPr>
                      </w:p>
                      <w:p w14:paraId="31F259BB"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39693B5E" w14:textId="77777777" w:rsidR="00F65BCA" w:rsidRDefault="00F65BCA">
                        <w:pPr>
                          <w:pStyle w:val="TableParagraph"/>
                          <w:rPr>
                            <w:rFonts w:ascii="Calibri"/>
                            <w:sz w:val="2"/>
                          </w:rPr>
                        </w:pPr>
                      </w:p>
                      <w:p w14:paraId="15175639"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3B5390B7" w14:textId="77777777" w:rsidR="00F65BCA" w:rsidRDefault="00F65BCA">
                        <w:pPr>
                          <w:pStyle w:val="TableParagraph"/>
                          <w:rPr>
                            <w:rFonts w:ascii="Calibri"/>
                            <w:sz w:val="2"/>
                          </w:rPr>
                        </w:pPr>
                      </w:p>
                      <w:p w14:paraId="0FE38550"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267E16D2" w14:textId="77777777" w:rsidR="00F65BCA" w:rsidRDefault="00F65BCA">
                        <w:pPr>
                          <w:pStyle w:val="TableParagraph"/>
                          <w:rPr>
                            <w:rFonts w:ascii="Calibri"/>
                            <w:sz w:val="2"/>
                          </w:rPr>
                        </w:pPr>
                      </w:p>
                      <w:p w14:paraId="4E3E3813"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43FA1D2C" w14:textId="77777777" w:rsidR="00F65BCA" w:rsidRDefault="00F65BCA">
                        <w:pPr>
                          <w:pStyle w:val="TableParagraph"/>
                          <w:rPr>
                            <w:rFonts w:ascii="Calibri"/>
                            <w:sz w:val="2"/>
                          </w:rPr>
                        </w:pPr>
                      </w:p>
                      <w:p w14:paraId="6D3E0CE1"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00810329" w14:textId="77777777" w:rsidR="00F65BCA" w:rsidRDefault="00F65BCA">
                        <w:pPr>
                          <w:pStyle w:val="TableParagraph"/>
                          <w:rPr>
                            <w:rFonts w:ascii="Calibri"/>
                            <w:sz w:val="2"/>
                          </w:rPr>
                        </w:pPr>
                      </w:p>
                      <w:p w14:paraId="7062F344"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1F1B5A76" w14:textId="77777777" w:rsidR="00F65BCA" w:rsidRDefault="00F65BCA">
                        <w:pPr>
                          <w:pStyle w:val="TableParagraph"/>
                          <w:rPr>
                            <w:rFonts w:ascii="Calibri"/>
                            <w:sz w:val="2"/>
                          </w:rPr>
                        </w:pPr>
                      </w:p>
                      <w:p w14:paraId="776A2F50"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3FA61715" w14:textId="77777777" w:rsidR="00F65BCA" w:rsidRDefault="00F65BCA">
                        <w:pPr>
                          <w:pStyle w:val="TableParagraph"/>
                          <w:rPr>
                            <w:rFonts w:ascii="Calibri"/>
                            <w:sz w:val="2"/>
                          </w:rPr>
                        </w:pPr>
                      </w:p>
                      <w:p w14:paraId="61D066C1" w14:textId="77777777" w:rsidR="00F65BCA" w:rsidRDefault="00216117">
                        <w:pPr>
                          <w:pStyle w:val="TableParagraph"/>
                          <w:ind w:left="24" w:right="24"/>
                          <w:jc w:val="center"/>
                          <w:rPr>
                            <w:sz w:val="3"/>
                          </w:rPr>
                        </w:pPr>
                        <w:r>
                          <w:rPr>
                            <w:w w:val="105"/>
                            <w:sz w:val="3"/>
                          </w:rPr>
                          <w:t>0,95940000%</w:t>
                        </w:r>
                      </w:p>
                    </w:tc>
                  </w:tr>
                  <w:tr w:rsidR="00F65BCA" w14:paraId="662FF7AF"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71DA0329"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3B82132"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59DE6B2E"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4C2B2C1" w14:textId="77777777" w:rsidR="00F65BCA" w:rsidRDefault="00F65BCA">
                        <w:pPr>
                          <w:pStyle w:val="TableParagraph"/>
                          <w:rPr>
                            <w:rFonts w:ascii="Calibri"/>
                            <w:sz w:val="2"/>
                          </w:rPr>
                        </w:pPr>
                      </w:p>
                      <w:p w14:paraId="7C50774B"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5FD68A4" w14:textId="77777777" w:rsidR="00F65BCA" w:rsidRDefault="00F65BCA">
                        <w:pPr>
                          <w:pStyle w:val="TableParagraph"/>
                          <w:rPr>
                            <w:rFonts w:ascii="Calibri"/>
                            <w:sz w:val="2"/>
                          </w:rPr>
                        </w:pPr>
                      </w:p>
                      <w:p w14:paraId="55A420BC"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488BF3D"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D1D5310" w14:textId="77777777" w:rsidR="00F65BCA" w:rsidRDefault="00F65BCA">
                        <w:pPr>
                          <w:pStyle w:val="TableParagraph"/>
                          <w:rPr>
                            <w:rFonts w:ascii="Calibri"/>
                            <w:sz w:val="2"/>
                          </w:rPr>
                        </w:pPr>
                      </w:p>
                      <w:p w14:paraId="490866BA"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6259C635" w14:textId="77777777" w:rsidR="00F65BCA" w:rsidRDefault="00F65BCA">
                        <w:pPr>
                          <w:pStyle w:val="TableParagraph"/>
                          <w:rPr>
                            <w:rFonts w:ascii="Calibri"/>
                            <w:sz w:val="2"/>
                          </w:rPr>
                        </w:pPr>
                      </w:p>
                      <w:p w14:paraId="2915DAE3"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467B0511" w14:textId="77777777" w:rsidR="00F65BCA" w:rsidRDefault="00F65BCA">
                        <w:pPr>
                          <w:pStyle w:val="TableParagraph"/>
                          <w:rPr>
                            <w:rFonts w:ascii="Calibri"/>
                            <w:sz w:val="2"/>
                          </w:rPr>
                        </w:pPr>
                      </w:p>
                      <w:p w14:paraId="787E2567"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1A6DE485" w14:textId="77777777" w:rsidR="00F65BCA" w:rsidRDefault="00F65BCA">
                        <w:pPr>
                          <w:pStyle w:val="TableParagraph"/>
                          <w:rPr>
                            <w:rFonts w:ascii="Calibri"/>
                            <w:sz w:val="2"/>
                          </w:rPr>
                        </w:pPr>
                      </w:p>
                      <w:p w14:paraId="04E47ECA"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4CE0AEE6" w14:textId="77777777" w:rsidR="00F65BCA" w:rsidRDefault="00F65BCA">
                        <w:pPr>
                          <w:pStyle w:val="TableParagraph"/>
                          <w:rPr>
                            <w:rFonts w:ascii="Calibri"/>
                            <w:sz w:val="2"/>
                          </w:rPr>
                        </w:pPr>
                      </w:p>
                      <w:p w14:paraId="62A28B23"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10C0B8E6" w14:textId="77777777" w:rsidR="00F65BCA" w:rsidRDefault="00F65BCA">
                        <w:pPr>
                          <w:pStyle w:val="TableParagraph"/>
                          <w:rPr>
                            <w:rFonts w:ascii="Calibri"/>
                            <w:sz w:val="2"/>
                          </w:rPr>
                        </w:pPr>
                      </w:p>
                      <w:p w14:paraId="4C821AB5"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364772B6" w14:textId="77777777" w:rsidR="00F65BCA" w:rsidRDefault="00F65BCA">
                        <w:pPr>
                          <w:pStyle w:val="TableParagraph"/>
                          <w:rPr>
                            <w:rFonts w:ascii="Calibri"/>
                            <w:sz w:val="2"/>
                          </w:rPr>
                        </w:pPr>
                      </w:p>
                      <w:p w14:paraId="6E088B9A"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58E08AD4" w14:textId="77777777" w:rsidR="00F65BCA" w:rsidRDefault="00F65BCA">
                        <w:pPr>
                          <w:pStyle w:val="TableParagraph"/>
                          <w:rPr>
                            <w:rFonts w:ascii="Calibri"/>
                            <w:sz w:val="2"/>
                          </w:rPr>
                        </w:pPr>
                      </w:p>
                      <w:p w14:paraId="393AD8D5"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219D39D9" w14:textId="77777777" w:rsidR="00F65BCA" w:rsidRDefault="00F65BCA">
                        <w:pPr>
                          <w:pStyle w:val="TableParagraph"/>
                          <w:rPr>
                            <w:rFonts w:ascii="Calibri"/>
                            <w:sz w:val="2"/>
                          </w:rPr>
                        </w:pPr>
                      </w:p>
                      <w:p w14:paraId="27C104D6"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32E358C4" w14:textId="77777777" w:rsidR="00F65BCA" w:rsidRDefault="00F65BCA">
                        <w:pPr>
                          <w:pStyle w:val="TableParagraph"/>
                          <w:rPr>
                            <w:rFonts w:ascii="Calibri"/>
                            <w:sz w:val="2"/>
                          </w:rPr>
                        </w:pPr>
                      </w:p>
                      <w:p w14:paraId="56D11491"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2E0EF5D0" w14:textId="77777777" w:rsidR="00F65BCA" w:rsidRDefault="00F65BCA">
                        <w:pPr>
                          <w:pStyle w:val="TableParagraph"/>
                          <w:rPr>
                            <w:rFonts w:ascii="Calibri"/>
                            <w:sz w:val="2"/>
                          </w:rPr>
                        </w:pPr>
                      </w:p>
                      <w:p w14:paraId="0EF8FF10"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015DBBC5" w14:textId="77777777" w:rsidR="00F65BCA" w:rsidRDefault="00F65BCA">
                        <w:pPr>
                          <w:pStyle w:val="TableParagraph"/>
                          <w:rPr>
                            <w:rFonts w:ascii="Calibri"/>
                            <w:sz w:val="2"/>
                          </w:rPr>
                        </w:pPr>
                      </w:p>
                      <w:p w14:paraId="03F91577"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05B91FBF" w14:textId="77777777" w:rsidR="00F65BCA" w:rsidRDefault="00F65BCA">
                        <w:pPr>
                          <w:pStyle w:val="TableParagraph"/>
                          <w:rPr>
                            <w:rFonts w:ascii="Calibri"/>
                            <w:sz w:val="2"/>
                          </w:rPr>
                        </w:pPr>
                      </w:p>
                      <w:p w14:paraId="2A039320" w14:textId="77777777" w:rsidR="00F65BCA" w:rsidRDefault="00216117">
                        <w:pPr>
                          <w:pStyle w:val="TableParagraph"/>
                          <w:ind w:left="24" w:right="24"/>
                          <w:jc w:val="center"/>
                          <w:rPr>
                            <w:sz w:val="3"/>
                          </w:rPr>
                        </w:pPr>
                        <w:r>
                          <w:rPr>
                            <w:w w:val="105"/>
                            <w:sz w:val="3"/>
                          </w:rPr>
                          <w:t>1,15895520%</w:t>
                        </w:r>
                      </w:p>
                    </w:tc>
                  </w:tr>
                  <w:tr w:rsidR="00F65BCA" w14:paraId="69C45981"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593DE0C5"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35E4CA7F"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25393751" w14:textId="77777777" w:rsidR="00F65BCA" w:rsidRDefault="00216117">
                        <w:pPr>
                          <w:pStyle w:val="TableParagraph"/>
                          <w:spacing w:before="4" w:line="283" w:lineRule="auto"/>
                          <w:ind w:left="4" w:right="-18"/>
                          <w:rPr>
                            <w:sz w:val="3"/>
                          </w:rPr>
                        </w:pPr>
                        <w:r>
                          <w:rPr>
                            <w:w w:val="105"/>
                            <w:sz w:val="3"/>
                          </w:rPr>
                          <w:t>ALTO; BALENO; BALENO COMBI; CELERIO; GRAND VITARA; IGNIS; JIMNY; JINÉ; KIZASHI; LIANA; SAMURAI; S-CROSS; SPLASH; SUPER CARRY; SWIFT; SWIFT CABRIO; SX4; VITARA;</w:t>
                        </w:r>
                      </w:p>
                      <w:p w14:paraId="1F0BD55A" w14:textId="77777777" w:rsidR="00F65BCA" w:rsidRDefault="00216117">
                        <w:pPr>
                          <w:pStyle w:val="TableParagraph"/>
                          <w:spacing w:line="21" w:lineRule="exact"/>
                          <w:ind w:left="4"/>
                          <w:rPr>
                            <w:sz w:val="3"/>
                          </w:rPr>
                        </w:pPr>
                        <w:r>
                          <w:rPr>
                            <w:w w:val="105"/>
                            <w:sz w:val="3"/>
                          </w:rPr>
                          <w:t>VITARA X; WAGON R+</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40496A5" w14:textId="77777777" w:rsidR="00F65BCA" w:rsidRDefault="00F65BCA">
                        <w:pPr>
                          <w:pStyle w:val="TableParagraph"/>
                          <w:rPr>
                            <w:rFonts w:ascii="Calibri"/>
                            <w:sz w:val="2"/>
                          </w:rPr>
                        </w:pPr>
                      </w:p>
                      <w:p w14:paraId="5F13ED37"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A803671" w14:textId="77777777" w:rsidR="00F65BCA" w:rsidRDefault="00F65BCA">
                        <w:pPr>
                          <w:pStyle w:val="TableParagraph"/>
                          <w:rPr>
                            <w:rFonts w:ascii="Calibri"/>
                            <w:sz w:val="2"/>
                          </w:rPr>
                        </w:pPr>
                      </w:p>
                      <w:p w14:paraId="43B55043"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DD4F18F"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0D43BEEA" w14:textId="77777777" w:rsidR="00F65BCA" w:rsidRDefault="00F65BCA">
                        <w:pPr>
                          <w:pStyle w:val="TableParagraph"/>
                          <w:rPr>
                            <w:rFonts w:ascii="Calibri"/>
                            <w:sz w:val="2"/>
                          </w:rPr>
                        </w:pPr>
                      </w:p>
                      <w:p w14:paraId="7AFFC0D1"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4094F967" w14:textId="77777777" w:rsidR="00F65BCA" w:rsidRDefault="00F65BCA">
                        <w:pPr>
                          <w:pStyle w:val="TableParagraph"/>
                          <w:rPr>
                            <w:rFonts w:ascii="Calibri"/>
                            <w:sz w:val="2"/>
                          </w:rPr>
                        </w:pPr>
                      </w:p>
                      <w:p w14:paraId="2E30B86A"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1E1F85BD" w14:textId="77777777" w:rsidR="00F65BCA" w:rsidRDefault="00F65BCA">
                        <w:pPr>
                          <w:pStyle w:val="TableParagraph"/>
                          <w:rPr>
                            <w:rFonts w:ascii="Calibri"/>
                            <w:sz w:val="2"/>
                          </w:rPr>
                        </w:pPr>
                      </w:p>
                      <w:p w14:paraId="3A5A6539"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38EA1313" w14:textId="77777777" w:rsidR="00F65BCA" w:rsidRDefault="00F65BCA">
                        <w:pPr>
                          <w:pStyle w:val="TableParagraph"/>
                          <w:rPr>
                            <w:rFonts w:ascii="Calibri"/>
                            <w:sz w:val="2"/>
                          </w:rPr>
                        </w:pPr>
                      </w:p>
                      <w:p w14:paraId="06EA91CE"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6FE82D67" w14:textId="77777777" w:rsidR="00F65BCA" w:rsidRDefault="00F65BCA">
                        <w:pPr>
                          <w:pStyle w:val="TableParagraph"/>
                          <w:rPr>
                            <w:rFonts w:ascii="Calibri"/>
                            <w:sz w:val="2"/>
                          </w:rPr>
                        </w:pPr>
                      </w:p>
                      <w:p w14:paraId="3922B0A5"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02DF76E6" w14:textId="77777777" w:rsidR="00F65BCA" w:rsidRDefault="00F65BCA">
                        <w:pPr>
                          <w:pStyle w:val="TableParagraph"/>
                          <w:rPr>
                            <w:rFonts w:ascii="Calibri"/>
                            <w:sz w:val="2"/>
                          </w:rPr>
                        </w:pPr>
                      </w:p>
                      <w:p w14:paraId="51E0F792"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3E8687B7" w14:textId="77777777" w:rsidR="00F65BCA" w:rsidRDefault="00F65BCA">
                        <w:pPr>
                          <w:pStyle w:val="TableParagraph"/>
                          <w:rPr>
                            <w:rFonts w:ascii="Calibri"/>
                            <w:sz w:val="2"/>
                          </w:rPr>
                        </w:pPr>
                      </w:p>
                      <w:p w14:paraId="4A1142A2"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133621D0" w14:textId="77777777" w:rsidR="00F65BCA" w:rsidRDefault="00F65BCA">
                        <w:pPr>
                          <w:pStyle w:val="TableParagraph"/>
                          <w:rPr>
                            <w:rFonts w:ascii="Calibri"/>
                            <w:sz w:val="2"/>
                          </w:rPr>
                        </w:pPr>
                      </w:p>
                      <w:p w14:paraId="1EBBDDB0"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28347A76" w14:textId="77777777" w:rsidR="00F65BCA" w:rsidRDefault="00F65BCA">
                        <w:pPr>
                          <w:pStyle w:val="TableParagraph"/>
                          <w:rPr>
                            <w:rFonts w:ascii="Calibri"/>
                            <w:sz w:val="2"/>
                          </w:rPr>
                        </w:pPr>
                      </w:p>
                      <w:p w14:paraId="004ACC53"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508D3C41" w14:textId="77777777" w:rsidR="00F65BCA" w:rsidRDefault="00F65BCA">
                        <w:pPr>
                          <w:pStyle w:val="TableParagraph"/>
                          <w:rPr>
                            <w:rFonts w:ascii="Calibri"/>
                            <w:sz w:val="2"/>
                          </w:rPr>
                        </w:pPr>
                      </w:p>
                      <w:p w14:paraId="554D7AFB"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1873D098" w14:textId="77777777" w:rsidR="00F65BCA" w:rsidRDefault="00F65BCA">
                        <w:pPr>
                          <w:pStyle w:val="TableParagraph"/>
                          <w:rPr>
                            <w:rFonts w:ascii="Calibri"/>
                            <w:sz w:val="2"/>
                          </w:rPr>
                        </w:pPr>
                      </w:p>
                      <w:p w14:paraId="2E160FCB"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1F68978B" w14:textId="77777777" w:rsidR="00F65BCA" w:rsidRDefault="00F65BCA">
                        <w:pPr>
                          <w:pStyle w:val="TableParagraph"/>
                          <w:rPr>
                            <w:rFonts w:ascii="Calibri"/>
                            <w:sz w:val="2"/>
                          </w:rPr>
                        </w:pPr>
                      </w:p>
                      <w:p w14:paraId="0A8A7D33"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7DF1CEDD" w14:textId="77777777" w:rsidR="00F65BCA" w:rsidRDefault="00F65BCA">
                        <w:pPr>
                          <w:pStyle w:val="TableParagraph"/>
                          <w:rPr>
                            <w:rFonts w:ascii="Calibri"/>
                            <w:sz w:val="2"/>
                          </w:rPr>
                        </w:pPr>
                      </w:p>
                      <w:p w14:paraId="4099DD1C" w14:textId="77777777" w:rsidR="00F65BCA" w:rsidRDefault="00216117">
                        <w:pPr>
                          <w:pStyle w:val="TableParagraph"/>
                          <w:ind w:left="24" w:right="24"/>
                          <w:jc w:val="center"/>
                          <w:rPr>
                            <w:sz w:val="3"/>
                          </w:rPr>
                        </w:pPr>
                        <w:r>
                          <w:rPr>
                            <w:w w:val="105"/>
                            <w:sz w:val="3"/>
                          </w:rPr>
                          <w:t>1,07731026%</w:t>
                        </w:r>
                      </w:p>
                    </w:tc>
                  </w:tr>
                  <w:tr w:rsidR="00F65BCA" w14:paraId="6F34CA3A"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2CAA9E01"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287C54AC"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44C908D3"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F646549" w14:textId="77777777" w:rsidR="00F65BCA" w:rsidRDefault="00F65BCA">
                        <w:pPr>
                          <w:pStyle w:val="TableParagraph"/>
                          <w:rPr>
                            <w:rFonts w:ascii="Calibri"/>
                            <w:sz w:val="2"/>
                          </w:rPr>
                        </w:pPr>
                      </w:p>
                      <w:p w14:paraId="798E8B2A"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C7DCEF4" w14:textId="77777777" w:rsidR="00F65BCA" w:rsidRDefault="00F65BCA">
                        <w:pPr>
                          <w:pStyle w:val="TableParagraph"/>
                          <w:rPr>
                            <w:rFonts w:ascii="Calibri"/>
                            <w:sz w:val="2"/>
                          </w:rPr>
                        </w:pPr>
                      </w:p>
                      <w:p w14:paraId="31795ADB"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79F52E9"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63C75D5" w14:textId="77777777" w:rsidR="00F65BCA" w:rsidRDefault="00F65BCA">
                        <w:pPr>
                          <w:pStyle w:val="TableParagraph"/>
                          <w:rPr>
                            <w:rFonts w:ascii="Calibri"/>
                            <w:sz w:val="2"/>
                          </w:rPr>
                        </w:pPr>
                      </w:p>
                      <w:p w14:paraId="68814744"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4297E235" w14:textId="77777777" w:rsidR="00F65BCA" w:rsidRDefault="00F65BCA">
                        <w:pPr>
                          <w:pStyle w:val="TableParagraph"/>
                          <w:rPr>
                            <w:rFonts w:ascii="Calibri"/>
                            <w:sz w:val="2"/>
                          </w:rPr>
                        </w:pPr>
                      </w:p>
                      <w:p w14:paraId="57CDD150"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0DE3BD89" w14:textId="77777777" w:rsidR="00F65BCA" w:rsidRDefault="00F65BCA">
                        <w:pPr>
                          <w:pStyle w:val="TableParagraph"/>
                          <w:rPr>
                            <w:rFonts w:ascii="Calibri"/>
                            <w:sz w:val="2"/>
                          </w:rPr>
                        </w:pPr>
                      </w:p>
                      <w:p w14:paraId="74EAF194"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7442BF89" w14:textId="77777777" w:rsidR="00F65BCA" w:rsidRDefault="00F65BCA">
                        <w:pPr>
                          <w:pStyle w:val="TableParagraph"/>
                          <w:rPr>
                            <w:rFonts w:ascii="Calibri"/>
                            <w:sz w:val="2"/>
                          </w:rPr>
                        </w:pPr>
                      </w:p>
                      <w:p w14:paraId="3FBAE5E1"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0011AD01" w14:textId="77777777" w:rsidR="00F65BCA" w:rsidRDefault="00F65BCA">
                        <w:pPr>
                          <w:pStyle w:val="TableParagraph"/>
                          <w:rPr>
                            <w:rFonts w:ascii="Calibri"/>
                            <w:sz w:val="2"/>
                          </w:rPr>
                        </w:pPr>
                      </w:p>
                      <w:p w14:paraId="41269EAF"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01A27692" w14:textId="77777777" w:rsidR="00F65BCA" w:rsidRDefault="00F65BCA">
                        <w:pPr>
                          <w:pStyle w:val="TableParagraph"/>
                          <w:rPr>
                            <w:rFonts w:ascii="Calibri"/>
                            <w:sz w:val="2"/>
                          </w:rPr>
                        </w:pPr>
                      </w:p>
                      <w:p w14:paraId="50AB7BBB"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5DB693B8" w14:textId="77777777" w:rsidR="00F65BCA" w:rsidRDefault="00F65BCA">
                        <w:pPr>
                          <w:pStyle w:val="TableParagraph"/>
                          <w:rPr>
                            <w:rFonts w:ascii="Calibri"/>
                            <w:sz w:val="2"/>
                          </w:rPr>
                        </w:pPr>
                      </w:p>
                      <w:p w14:paraId="404DD688"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052BED56" w14:textId="77777777" w:rsidR="00F65BCA" w:rsidRDefault="00F65BCA">
                        <w:pPr>
                          <w:pStyle w:val="TableParagraph"/>
                          <w:rPr>
                            <w:rFonts w:ascii="Calibri"/>
                            <w:sz w:val="2"/>
                          </w:rPr>
                        </w:pPr>
                      </w:p>
                      <w:p w14:paraId="013CAC20"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0FA3FDBA" w14:textId="77777777" w:rsidR="00F65BCA" w:rsidRDefault="00F65BCA">
                        <w:pPr>
                          <w:pStyle w:val="TableParagraph"/>
                          <w:rPr>
                            <w:rFonts w:ascii="Calibri"/>
                            <w:sz w:val="2"/>
                          </w:rPr>
                        </w:pPr>
                      </w:p>
                      <w:p w14:paraId="21498198"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1BFD6BF7" w14:textId="77777777" w:rsidR="00F65BCA" w:rsidRDefault="00F65BCA">
                        <w:pPr>
                          <w:pStyle w:val="TableParagraph"/>
                          <w:rPr>
                            <w:rFonts w:ascii="Calibri"/>
                            <w:sz w:val="2"/>
                          </w:rPr>
                        </w:pPr>
                      </w:p>
                      <w:p w14:paraId="6423A65A"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46B1B50E" w14:textId="77777777" w:rsidR="00F65BCA" w:rsidRDefault="00F65BCA">
                        <w:pPr>
                          <w:pStyle w:val="TableParagraph"/>
                          <w:rPr>
                            <w:rFonts w:ascii="Calibri"/>
                            <w:sz w:val="2"/>
                          </w:rPr>
                        </w:pPr>
                      </w:p>
                      <w:p w14:paraId="2A7BC0E4"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68A3A665" w14:textId="77777777" w:rsidR="00F65BCA" w:rsidRDefault="00F65BCA">
                        <w:pPr>
                          <w:pStyle w:val="TableParagraph"/>
                          <w:rPr>
                            <w:rFonts w:ascii="Calibri"/>
                            <w:sz w:val="2"/>
                          </w:rPr>
                        </w:pPr>
                      </w:p>
                      <w:p w14:paraId="69335A0A"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2121A4E" w14:textId="77777777" w:rsidR="00F65BCA" w:rsidRDefault="00F65BCA">
                        <w:pPr>
                          <w:pStyle w:val="TableParagraph"/>
                          <w:rPr>
                            <w:rFonts w:ascii="Calibri"/>
                            <w:sz w:val="2"/>
                          </w:rPr>
                        </w:pPr>
                      </w:p>
                      <w:p w14:paraId="3B881906" w14:textId="77777777" w:rsidR="00F65BCA" w:rsidRDefault="00216117">
                        <w:pPr>
                          <w:pStyle w:val="TableParagraph"/>
                          <w:ind w:left="24" w:right="24"/>
                          <w:jc w:val="center"/>
                          <w:rPr>
                            <w:sz w:val="3"/>
                          </w:rPr>
                        </w:pPr>
                        <w:r>
                          <w:rPr>
                            <w:w w:val="105"/>
                            <w:sz w:val="3"/>
                          </w:rPr>
                          <w:t>1,30139079%</w:t>
                        </w:r>
                      </w:p>
                    </w:tc>
                  </w:tr>
                  <w:tr w:rsidR="00F65BCA" w14:paraId="7BBC7482"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573F051C"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27B3EEB2" w14:textId="77777777" w:rsidR="00F65BCA" w:rsidRDefault="00F65BCA">
                        <w:pPr>
                          <w:pStyle w:val="TableParagraph"/>
                          <w:rPr>
                            <w:rFonts w:ascii="Calibri"/>
                            <w:sz w:val="2"/>
                          </w:rPr>
                        </w:pPr>
                      </w:p>
                      <w:p w14:paraId="3CD8EF3E" w14:textId="77777777" w:rsidR="00F65BCA" w:rsidRDefault="00F65BCA">
                        <w:pPr>
                          <w:pStyle w:val="TableParagraph"/>
                          <w:rPr>
                            <w:rFonts w:ascii="Calibri"/>
                            <w:sz w:val="2"/>
                          </w:rPr>
                        </w:pPr>
                      </w:p>
                      <w:p w14:paraId="695EE96C" w14:textId="77777777" w:rsidR="00F65BCA" w:rsidRDefault="00F65BCA">
                        <w:pPr>
                          <w:pStyle w:val="TableParagraph"/>
                          <w:rPr>
                            <w:rFonts w:ascii="Calibri"/>
                            <w:sz w:val="2"/>
                          </w:rPr>
                        </w:pPr>
                      </w:p>
                      <w:p w14:paraId="792DD482" w14:textId="77777777" w:rsidR="00F65BCA" w:rsidRDefault="00F65BCA">
                        <w:pPr>
                          <w:pStyle w:val="TableParagraph"/>
                          <w:rPr>
                            <w:rFonts w:ascii="Calibri"/>
                            <w:sz w:val="2"/>
                          </w:rPr>
                        </w:pPr>
                      </w:p>
                      <w:p w14:paraId="6E3E7E3A" w14:textId="77777777" w:rsidR="00F65BCA" w:rsidRDefault="00F65BCA">
                        <w:pPr>
                          <w:pStyle w:val="TableParagraph"/>
                          <w:rPr>
                            <w:rFonts w:ascii="Calibri"/>
                            <w:sz w:val="2"/>
                          </w:rPr>
                        </w:pPr>
                      </w:p>
                      <w:p w14:paraId="6E7D72C6" w14:textId="77777777" w:rsidR="00F65BCA" w:rsidRDefault="00F65BCA">
                        <w:pPr>
                          <w:pStyle w:val="TableParagraph"/>
                          <w:spacing w:before="6"/>
                          <w:rPr>
                            <w:rFonts w:ascii="Calibri"/>
                            <w:sz w:val="2"/>
                          </w:rPr>
                        </w:pPr>
                      </w:p>
                      <w:p w14:paraId="5DA911EF" w14:textId="77777777" w:rsidR="00F65BCA" w:rsidRDefault="00216117">
                        <w:pPr>
                          <w:pStyle w:val="TableParagraph"/>
                          <w:ind w:left="18" w:right="14"/>
                          <w:jc w:val="center"/>
                          <w:rPr>
                            <w:sz w:val="3"/>
                          </w:rPr>
                        </w:pPr>
                        <w:r>
                          <w:rPr>
                            <w:w w:val="105"/>
                            <w:sz w:val="3"/>
                          </w:rPr>
                          <w:t>Tatra</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3A21EF57" w14:textId="77777777" w:rsidR="00F65BCA" w:rsidRDefault="00F65BCA">
                        <w:pPr>
                          <w:pStyle w:val="TableParagraph"/>
                          <w:rPr>
                            <w:rFonts w:ascii="Calibri"/>
                            <w:sz w:val="2"/>
                          </w:rPr>
                        </w:pPr>
                      </w:p>
                      <w:p w14:paraId="42E7BD90" w14:textId="77777777" w:rsidR="00F65BCA" w:rsidRDefault="00F65BCA">
                        <w:pPr>
                          <w:pStyle w:val="TableParagraph"/>
                          <w:rPr>
                            <w:rFonts w:ascii="Calibri"/>
                            <w:sz w:val="2"/>
                          </w:rPr>
                        </w:pPr>
                      </w:p>
                      <w:p w14:paraId="4F6018CD" w14:textId="77777777" w:rsidR="00F65BCA" w:rsidRDefault="00216117">
                        <w:pPr>
                          <w:pStyle w:val="TableParagraph"/>
                          <w:spacing w:before="17"/>
                          <w:ind w:left="4"/>
                          <w:rPr>
                            <w:sz w:val="3"/>
                          </w:rPr>
                        </w:pPr>
                        <w:r>
                          <w:rPr>
                            <w:w w:val="105"/>
                            <w:sz w:val="3"/>
                          </w:rPr>
                          <w:t>BETA</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4A441FF" w14:textId="77777777" w:rsidR="00F65BCA" w:rsidRDefault="00F65BCA">
                        <w:pPr>
                          <w:pStyle w:val="TableParagraph"/>
                          <w:rPr>
                            <w:rFonts w:ascii="Calibri"/>
                            <w:sz w:val="2"/>
                          </w:rPr>
                        </w:pPr>
                      </w:p>
                      <w:p w14:paraId="1C849F18"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6D80BD3" w14:textId="77777777" w:rsidR="00F65BCA" w:rsidRDefault="00F65BCA">
                        <w:pPr>
                          <w:pStyle w:val="TableParagraph"/>
                          <w:rPr>
                            <w:rFonts w:ascii="Calibri"/>
                            <w:sz w:val="2"/>
                          </w:rPr>
                        </w:pPr>
                      </w:p>
                      <w:p w14:paraId="494A68A8"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469DC80D"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E107E74" w14:textId="77777777" w:rsidR="00F65BCA" w:rsidRDefault="00F65BCA">
                        <w:pPr>
                          <w:pStyle w:val="TableParagraph"/>
                          <w:rPr>
                            <w:rFonts w:ascii="Calibri"/>
                            <w:sz w:val="2"/>
                          </w:rPr>
                        </w:pPr>
                      </w:p>
                      <w:p w14:paraId="49CFF8EA"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4A8CFB81" w14:textId="77777777" w:rsidR="00F65BCA" w:rsidRDefault="00F65BCA">
                        <w:pPr>
                          <w:pStyle w:val="TableParagraph"/>
                          <w:rPr>
                            <w:rFonts w:ascii="Calibri"/>
                            <w:sz w:val="2"/>
                          </w:rPr>
                        </w:pPr>
                      </w:p>
                      <w:p w14:paraId="1D995D2E"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1F9874F8" w14:textId="77777777" w:rsidR="00F65BCA" w:rsidRDefault="00F65BCA">
                        <w:pPr>
                          <w:pStyle w:val="TableParagraph"/>
                          <w:rPr>
                            <w:rFonts w:ascii="Calibri"/>
                            <w:sz w:val="2"/>
                          </w:rPr>
                        </w:pPr>
                      </w:p>
                      <w:p w14:paraId="36CC1DF8"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4FA67EB2" w14:textId="77777777" w:rsidR="00F65BCA" w:rsidRDefault="00F65BCA">
                        <w:pPr>
                          <w:pStyle w:val="TableParagraph"/>
                          <w:rPr>
                            <w:rFonts w:ascii="Calibri"/>
                            <w:sz w:val="2"/>
                          </w:rPr>
                        </w:pPr>
                      </w:p>
                      <w:p w14:paraId="41575711"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4EB4104D" w14:textId="77777777" w:rsidR="00F65BCA" w:rsidRDefault="00F65BCA">
                        <w:pPr>
                          <w:pStyle w:val="TableParagraph"/>
                          <w:rPr>
                            <w:rFonts w:ascii="Calibri"/>
                            <w:sz w:val="2"/>
                          </w:rPr>
                        </w:pPr>
                      </w:p>
                      <w:p w14:paraId="6CE22DBD"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3C01AEB6" w14:textId="77777777" w:rsidR="00F65BCA" w:rsidRDefault="00F65BCA">
                        <w:pPr>
                          <w:pStyle w:val="TableParagraph"/>
                          <w:rPr>
                            <w:rFonts w:ascii="Calibri"/>
                            <w:sz w:val="2"/>
                          </w:rPr>
                        </w:pPr>
                      </w:p>
                      <w:p w14:paraId="27984A1F"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18603E1D" w14:textId="77777777" w:rsidR="00F65BCA" w:rsidRDefault="00F65BCA">
                        <w:pPr>
                          <w:pStyle w:val="TableParagraph"/>
                          <w:rPr>
                            <w:rFonts w:ascii="Calibri"/>
                            <w:sz w:val="2"/>
                          </w:rPr>
                        </w:pPr>
                      </w:p>
                      <w:p w14:paraId="3F3B9083"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6B23D159" w14:textId="77777777" w:rsidR="00F65BCA" w:rsidRDefault="00F65BCA">
                        <w:pPr>
                          <w:pStyle w:val="TableParagraph"/>
                          <w:rPr>
                            <w:rFonts w:ascii="Calibri"/>
                            <w:sz w:val="2"/>
                          </w:rPr>
                        </w:pPr>
                      </w:p>
                      <w:p w14:paraId="5823226A"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56EC29AD" w14:textId="77777777" w:rsidR="00F65BCA" w:rsidRDefault="00F65BCA">
                        <w:pPr>
                          <w:pStyle w:val="TableParagraph"/>
                          <w:rPr>
                            <w:rFonts w:ascii="Calibri"/>
                            <w:sz w:val="2"/>
                          </w:rPr>
                        </w:pPr>
                      </w:p>
                      <w:p w14:paraId="3D07C4A3"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6E0F858B" w14:textId="77777777" w:rsidR="00F65BCA" w:rsidRDefault="00F65BCA">
                        <w:pPr>
                          <w:pStyle w:val="TableParagraph"/>
                          <w:rPr>
                            <w:rFonts w:ascii="Calibri"/>
                            <w:sz w:val="2"/>
                          </w:rPr>
                        </w:pPr>
                      </w:p>
                      <w:p w14:paraId="648307A6"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11C969B6" w14:textId="77777777" w:rsidR="00F65BCA" w:rsidRDefault="00F65BCA">
                        <w:pPr>
                          <w:pStyle w:val="TableParagraph"/>
                          <w:rPr>
                            <w:rFonts w:ascii="Calibri"/>
                            <w:sz w:val="2"/>
                          </w:rPr>
                        </w:pPr>
                      </w:p>
                      <w:p w14:paraId="76E92F00"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6ABD0291" w14:textId="77777777" w:rsidR="00F65BCA" w:rsidRDefault="00F65BCA">
                        <w:pPr>
                          <w:pStyle w:val="TableParagraph"/>
                          <w:rPr>
                            <w:rFonts w:ascii="Calibri"/>
                            <w:sz w:val="2"/>
                          </w:rPr>
                        </w:pPr>
                      </w:p>
                      <w:p w14:paraId="70186058"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723510D8" w14:textId="77777777" w:rsidR="00F65BCA" w:rsidRDefault="00F65BCA">
                        <w:pPr>
                          <w:pStyle w:val="TableParagraph"/>
                          <w:rPr>
                            <w:rFonts w:ascii="Calibri"/>
                            <w:sz w:val="2"/>
                          </w:rPr>
                        </w:pPr>
                      </w:p>
                      <w:p w14:paraId="78D4187D" w14:textId="77777777" w:rsidR="00F65BCA" w:rsidRDefault="00216117">
                        <w:pPr>
                          <w:pStyle w:val="TableParagraph"/>
                          <w:ind w:left="24" w:right="24"/>
                          <w:jc w:val="center"/>
                          <w:rPr>
                            <w:sz w:val="3"/>
                          </w:rPr>
                        </w:pPr>
                        <w:r>
                          <w:rPr>
                            <w:w w:val="105"/>
                            <w:sz w:val="3"/>
                          </w:rPr>
                          <w:t>0,95940000%</w:t>
                        </w:r>
                      </w:p>
                    </w:tc>
                  </w:tr>
                  <w:tr w:rsidR="00F65BCA" w14:paraId="0685DC99"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07CE9E3C"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1C9912C8"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377231DD"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2EFAF65" w14:textId="77777777" w:rsidR="00F65BCA" w:rsidRDefault="00F65BCA">
                        <w:pPr>
                          <w:pStyle w:val="TableParagraph"/>
                          <w:rPr>
                            <w:rFonts w:ascii="Calibri"/>
                            <w:sz w:val="2"/>
                          </w:rPr>
                        </w:pPr>
                      </w:p>
                      <w:p w14:paraId="302893CD"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FBAFEB5" w14:textId="77777777" w:rsidR="00F65BCA" w:rsidRDefault="00F65BCA">
                        <w:pPr>
                          <w:pStyle w:val="TableParagraph"/>
                          <w:rPr>
                            <w:rFonts w:ascii="Calibri"/>
                            <w:sz w:val="2"/>
                          </w:rPr>
                        </w:pPr>
                      </w:p>
                      <w:p w14:paraId="63CA3A6C"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03024D0"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20128C3" w14:textId="77777777" w:rsidR="00F65BCA" w:rsidRDefault="00F65BCA">
                        <w:pPr>
                          <w:pStyle w:val="TableParagraph"/>
                          <w:rPr>
                            <w:rFonts w:ascii="Calibri"/>
                            <w:sz w:val="2"/>
                          </w:rPr>
                        </w:pPr>
                      </w:p>
                      <w:p w14:paraId="71859B93"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2DAE5555" w14:textId="77777777" w:rsidR="00F65BCA" w:rsidRDefault="00F65BCA">
                        <w:pPr>
                          <w:pStyle w:val="TableParagraph"/>
                          <w:rPr>
                            <w:rFonts w:ascii="Calibri"/>
                            <w:sz w:val="2"/>
                          </w:rPr>
                        </w:pPr>
                      </w:p>
                      <w:p w14:paraId="140C6C55"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3BA4B32C" w14:textId="77777777" w:rsidR="00F65BCA" w:rsidRDefault="00F65BCA">
                        <w:pPr>
                          <w:pStyle w:val="TableParagraph"/>
                          <w:rPr>
                            <w:rFonts w:ascii="Calibri"/>
                            <w:sz w:val="2"/>
                          </w:rPr>
                        </w:pPr>
                      </w:p>
                      <w:p w14:paraId="387A84F6"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4F4BB35F" w14:textId="77777777" w:rsidR="00F65BCA" w:rsidRDefault="00F65BCA">
                        <w:pPr>
                          <w:pStyle w:val="TableParagraph"/>
                          <w:rPr>
                            <w:rFonts w:ascii="Calibri"/>
                            <w:sz w:val="2"/>
                          </w:rPr>
                        </w:pPr>
                      </w:p>
                      <w:p w14:paraId="262D33D5"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2F2A3092" w14:textId="77777777" w:rsidR="00F65BCA" w:rsidRDefault="00F65BCA">
                        <w:pPr>
                          <w:pStyle w:val="TableParagraph"/>
                          <w:rPr>
                            <w:rFonts w:ascii="Calibri"/>
                            <w:sz w:val="2"/>
                          </w:rPr>
                        </w:pPr>
                      </w:p>
                      <w:p w14:paraId="009621BE"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1A991B31" w14:textId="77777777" w:rsidR="00F65BCA" w:rsidRDefault="00F65BCA">
                        <w:pPr>
                          <w:pStyle w:val="TableParagraph"/>
                          <w:rPr>
                            <w:rFonts w:ascii="Calibri"/>
                            <w:sz w:val="2"/>
                          </w:rPr>
                        </w:pPr>
                      </w:p>
                      <w:p w14:paraId="7EB4DDDF"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7BB0ACC1" w14:textId="77777777" w:rsidR="00F65BCA" w:rsidRDefault="00F65BCA">
                        <w:pPr>
                          <w:pStyle w:val="TableParagraph"/>
                          <w:rPr>
                            <w:rFonts w:ascii="Calibri"/>
                            <w:sz w:val="2"/>
                          </w:rPr>
                        </w:pPr>
                      </w:p>
                      <w:p w14:paraId="43E0708F"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144AEEF3" w14:textId="77777777" w:rsidR="00F65BCA" w:rsidRDefault="00F65BCA">
                        <w:pPr>
                          <w:pStyle w:val="TableParagraph"/>
                          <w:rPr>
                            <w:rFonts w:ascii="Calibri"/>
                            <w:sz w:val="2"/>
                          </w:rPr>
                        </w:pPr>
                      </w:p>
                      <w:p w14:paraId="19BDA151"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1AE26D61" w14:textId="77777777" w:rsidR="00F65BCA" w:rsidRDefault="00F65BCA">
                        <w:pPr>
                          <w:pStyle w:val="TableParagraph"/>
                          <w:rPr>
                            <w:rFonts w:ascii="Calibri"/>
                            <w:sz w:val="2"/>
                          </w:rPr>
                        </w:pPr>
                      </w:p>
                      <w:p w14:paraId="7B8AEA9E"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1B579B13" w14:textId="77777777" w:rsidR="00F65BCA" w:rsidRDefault="00F65BCA">
                        <w:pPr>
                          <w:pStyle w:val="TableParagraph"/>
                          <w:rPr>
                            <w:rFonts w:ascii="Calibri"/>
                            <w:sz w:val="2"/>
                          </w:rPr>
                        </w:pPr>
                      </w:p>
                      <w:p w14:paraId="0AE4DC22"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08DDA89F" w14:textId="77777777" w:rsidR="00F65BCA" w:rsidRDefault="00F65BCA">
                        <w:pPr>
                          <w:pStyle w:val="TableParagraph"/>
                          <w:rPr>
                            <w:rFonts w:ascii="Calibri"/>
                            <w:sz w:val="2"/>
                          </w:rPr>
                        </w:pPr>
                      </w:p>
                      <w:p w14:paraId="3A9A8BF1"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5F76E85" w14:textId="77777777" w:rsidR="00F65BCA" w:rsidRDefault="00F65BCA">
                        <w:pPr>
                          <w:pStyle w:val="TableParagraph"/>
                          <w:rPr>
                            <w:rFonts w:ascii="Calibri"/>
                            <w:sz w:val="2"/>
                          </w:rPr>
                        </w:pPr>
                      </w:p>
                      <w:p w14:paraId="1057D995"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1542E6DF" w14:textId="77777777" w:rsidR="00F65BCA" w:rsidRDefault="00F65BCA">
                        <w:pPr>
                          <w:pStyle w:val="TableParagraph"/>
                          <w:rPr>
                            <w:rFonts w:ascii="Calibri"/>
                            <w:sz w:val="2"/>
                          </w:rPr>
                        </w:pPr>
                      </w:p>
                      <w:p w14:paraId="429FC643" w14:textId="77777777" w:rsidR="00F65BCA" w:rsidRDefault="00216117">
                        <w:pPr>
                          <w:pStyle w:val="TableParagraph"/>
                          <w:ind w:left="24" w:right="24"/>
                          <w:jc w:val="center"/>
                          <w:rPr>
                            <w:sz w:val="3"/>
                          </w:rPr>
                        </w:pPr>
                        <w:r>
                          <w:rPr>
                            <w:w w:val="105"/>
                            <w:sz w:val="3"/>
                          </w:rPr>
                          <w:t>1,15895520%</w:t>
                        </w:r>
                      </w:p>
                    </w:tc>
                  </w:tr>
                  <w:tr w:rsidR="00F65BCA" w14:paraId="2D791822"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586C8E68"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7A007CB"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3157D2AF" w14:textId="77777777" w:rsidR="00F65BCA" w:rsidRDefault="00F65BCA">
                        <w:pPr>
                          <w:pStyle w:val="TableParagraph"/>
                          <w:rPr>
                            <w:rFonts w:ascii="Calibri"/>
                            <w:sz w:val="2"/>
                          </w:rPr>
                        </w:pPr>
                      </w:p>
                      <w:p w14:paraId="113A588C" w14:textId="77777777" w:rsidR="00F65BCA" w:rsidRDefault="00F65BCA">
                        <w:pPr>
                          <w:pStyle w:val="TableParagraph"/>
                          <w:rPr>
                            <w:rFonts w:ascii="Calibri"/>
                            <w:sz w:val="2"/>
                          </w:rPr>
                        </w:pPr>
                      </w:p>
                      <w:p w14:paraId="0663A597" w14:textId="77777777" w:rsidR="00F65BCA" w:rsidRDefault="00216117">
                        <w:pPr>
                          <w:pStyle w:val="TableParagraph"/>
                          <w:spacing w:before="17"/>
                          <w:ind w:left="4"/>
                          <w:rPr>
                            <w:sz w:val="3"/>
                          </w:rPr>
                        </w:pPr>
                        <w:r>
                          <w:rPr>
                            <w:w w:val="105"/>
                            <w:sz w:val="3"/>
                          </w:rPr>
                          <w:t>JINÉ; T 613; T 700</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7D44435" w14:textId="77777777" w:rsidR="00F65BCA" w:rsidRDefault="00F65BCA">
                        <w:pPr>
                          <w:pStyle w:val="TableParagraph"/>
                          <w:rPr>
                            <w:rFonts w:ascii="Calibri"/>
                            <w:sz w:val="2"/>
                          </w:rPr>
                        </w:pPr>
                      </w:p>
                      <w:p w14:paraId="6549817D"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FF98940" w14:textId="77777777" w:rsidR="00F65BCA" w:rsidRDefault="00F65BCA">
                        <w:pPr>
                          <w:pStyle w:val="TableParagraph"/>
                          <w:rPr>
                            <w:rFonts w:ascii="Calibri"/>
                            <w:sz w:val="2"/>
                          </w:rPr>
                        </w:pPr>
                      </w:p>
                      <w:p w14:paraId="33134B38"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06397D90"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692A519" w14:textId="77777777" w:rsidR="00F65BCA" w:rsidRDefault="00F65BCA">
                        <w:pPr>
                          <w:pStyle w:val="TableParagraph"/>
                          <w:rPr>
                            <w:rFonts w:ascii="Calibri"/>
                            <w:sz w:val="2"/>
                          </w:rPr>
                        </w:pPr>
                      </w:p>
                      <w:p w14:paraId="22D49B3B" w14:textId="77777777" w:rsidR="00F65BCA" w:rsidRDefault="00216117">
                        <w:pPr>
                          <w:pStyle w:val="TableParagraph"/>
                          <w:ind w:left="24" w:right="24"/>
                          <w:jc w:val="center"/>
                          <w:rPr>
                            <w:sz w:val="3"/>
                          </w:rPr>
                        </w:pPr>
                        <w:r>
                          <w:rPr>
                            <w:w w:val="105"/>
                            <w:sz w:val="3"/>
                          </w:rPr>
                          <w:t>1,24041466%</w:t>
                        </w:r>
                      </w:p>
                    </w:tc>
                    <w:tc>
                      <w:tcPr>
                        <w:tcW w:w="288" w:type="dxa"/>
                        <w:tcBorders>
                          <w:top w:val="single" w:sz="2" w:space="0" w:color="000000"/>
                          <w:left w:val="single" w:sz="2" w:space="0" w:color="000000"/>
                          <w:bottom w:val="single" w:sz="2" w:space="0" w:color="000000"/>
                          <w:right w:val="single" w:sz="2" w:space="0" w:color="000000"/>
                        </w:tcBorders>
                      </w:tcPr>
                      <w:p w14:paraId="5153F688" w14:textId="77777777" w:rsidR="00F65BCA" w:rsidRDefault="00F65BCA">
                        <w:pPr>
                          <w:pStyle w:val="TableParagraph"/>
                          <w:rPr>
                            <w:rFonts w:ascii="Calibri"/>
                            <w:sz w:val="2"/>
                          </w:rPr>
                        </w:pPr>
                      </w:p>
                      <w:p w14:paraId="1D259FEB" w14:textId="77777777" w:rsidR="00F65BCA" w:rsidRDefault="00216117">
                        <w:pPr>
                          <w:pStyle w:val="TableParagraph"/>
                          <w:ind w:left="24" w:right="24"/>
                          <w:jc w:val="center"/>
                          <w:rPr>
                            <w:sz w:val="3"/>
                          </w:rPr>
                        </w:pPr>
                        <w:r>
                          <w:rPr>
                            <w:w w:val="105"/>
                            <w:sz w:val="3"/>
                          </w:rPr>
                          <w:t>1,16288874%</w:t>
                        </w:r>
                      </w:p>
                    </w:tc>
                    <w:tc>
                      <w:tcPr>
                        <w:tcW w:w="288" w:type="dxa"/>
                        <w:tcBorders>
                          <w:top w:val="single" w:sz="2" w:space="0" w:color="000000"/>
                          <w:left w:val="single" w:sz="2" w:space="0" w:color="000000"/>
                          <w:bottom w:val="single" w:sz="2" w:space="0" w:color="000000"/>
                          <w:right w:val="single" w:sz="2" w:space="0" w:color="000000"/>
                        </w:tcBorders>
                      </w:tcPr>
                      <w:p w14:paraId="4774AC0C" w14:textId="77777777" w:rsidR="00F65BCA" w:rsidRDefault="00F65BCA">
                        <w:pPr>
                          <w:pStyle w:val="TableParagraph"/>
                          <w:rPr>
                            <w:rFonts w:ascii="Calibri"/>
                            <w:sz w:val="2"/>
                          </w:rPr>
                        </w:pPr>
                      </w:p>
                      <w:p w14:paraId="61F9329B" w14:textId="77777777" w:rsidR="00F65BCA" w:rsidRDefault="00216117">
                        <w:pPr>
                          <w:pStyle w:val="TableParagraph"/>
                          <w:ind w:left="24" w:right="24"/>
                          <w:jc w:val="center"/>
                          <w:rPr>
                            <w:sz w:val="3"/>
                          </w:rPr>
                        </w:pPr>
                        <w:r>
                          <w:rPr>
                            <w:w w:val="105"/>
                            <w:sz w:val="3"/>
                          </w:rPr>
                          <w:t>1,10862060%</w:t>
                        </w:r>
                      </w:p>
                    </w:tc>
                    <w:tc>
                      <w:tcPr>
                        <w:tcW w:w="288" w:type="dxa"/>
                        <w:tcBorders>
                          <w:top w:val="single" w:sz="2" w:space="0" w:color="000000"/>
                          <w:left w:val="single" w:sz="2" w:space="0" w:color="000000"/>
                          <w:bottom w:val="single" w:sz="2" w:space="0" w:color="000000"/>
                          <w:right w:val="single" w:sz="2" w:space="0" w:color="000000"/>
                        </w:tcBorders>
                      </w:tcPr>
                      <w:p w14:paraId="301753E1" w14:textId="77777777" w:rsidR="00F65BCA" w:rsidRDefault="00F65BCA">
                        <w:pPr>
                          <w:pStyle w:val="TableParagraph"/>
                          <w:rPr>
                            <w:rFonts w:ascii="Calibri"/>
                            <w:sz w:val="2"/>
                          </w:rPr>
                        </w:pPr>
                      </w:p>
                      <w:p w14:paraId="09F9A3FA"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49145B00" w14:textId="77777777" w:rsidR="00F65BCA" w:rsidRDefault="00F65BCA">
                        <w:pPr>
                          <w:pStyle w:val="TableParagraph"/>
                          <w:rPr>
                            <w:rFonts w:ascii="Calibri"/>
                            <w:sz w:val="2"/>
                          </w:rPr>
                        </w:pPr>
                      </w:p>
                      <w:p w14:paraId="2CF3FD25" w14:textId="77777777" w:rsidR="00F65BCA" w:rsidRDefault="00216117">
                        <w:pPr>
                          <w:pStyle w:val="TableParagraph"/>
                          <w:ind w:left="24" w:right="24"/>
                          <w:jc w:val="center"/>
                          <w:rPr>
                            <w:sz w:val="3"/>
                          </w:rPr>
                        </w:pPr>
                        <w:r>
                          <w:rPr>
                            <w:w w:val="105"/>
                            <w:sz w:val="3"/>
                          </w:rPr>
                          <w:t>0,99233172%</w:t>
                        </w:r>
                      </w:p>
                    </w:tc>
                    <w:tc>
                      <w:tcPr>
                        <w:tcW w:w="288" w:type="dxa"/>
                        <w:tcBorders>
                          <w:top w:val="single" w:sz="2" w:space="0" w:color="000000"/>
                          <w:left w:val="single" w:sz="2" w:space="0" w:color="000000"/>
                          <w:bottom w:val="single" w:sz="2" w:space="0" w:color="000000"/>
                          <w:right w:val="single" w:sz="2" w:space="0" w:color="000000"/>
                        </w:tcBorders>
                      </w:tcPr>
                      <w:p w14:paraId="27434EBB" w14:textId="77777777" w:rsidR="00F65BCA" w:rsidRDefault="00F65BCA">
                        <w:pPr>
                          <w:pStyle w:val="TableParagraph"/>
                          <w:rPr>
                            <w:rFonts w:ascii="Calibri"/>
                            <w:sz w:val="2"/>
                          </w:rPr>
                        </w:pPr>
                      </w:p>
                      <w:p w14:paraId="5C30310D" w14:textId="77777777" w:rsidR="00F65BCA" w:rsidRDefault="00216117">
                        <w:pPr>
                          <w:pStyle w:val="TableParagraph"/>
                          <w:ind w:left="24" w:right="24"/>
                          <w:jc w:val="center"/>
                          <w:rPr>
                            <w:sz w:val="3"/>
                          </w:rPr>
                        </w:pPr>
                        <w:r>
                          <w:rPr>
                            <w:w w:val="105"/>
                            <w:sz w:val="3"/>
                          </w:rPr>
                          <w:t>0,92255840%</w:t>
                        </w:r>
                      </w:p>
                    </w:tc>
                    <w:tc>
                      <w:tcPr>
                        <w:tcW w:w="288" w:type="dxa"/>
                        <w:tcBorders>
                          <w:top w:val="single" w:sz="2" w:space="0" w:color="000000"/>
                          <w:left w:val="single" w:sz="2" w:space="0" w:color="000000"/>
                          <w:bottom w:val="single" w:sz="2" w:space="0" w:color="000000"/>
                          <w:right w:val="single" w:sz="2" w:space="0" w:color="000000"/>
                        </w:tcBorders>
                      </w:tcPr>
                      <w:p w14:paraId="3FD6A6C0" w14:textId="77777777" w:rsidR="00F65BCA" w:rsidRDefault="00F65BCA">
                        <w:pPr>
                          <w:pStyle w:val="TableParagraph"/>
                          <w:rPr>
                            <w:rFonts w:ascii="Calibri"/>
                            <w:sz w:val="2"/>
                          </w:rPr>
                        </w:pPr>
                      </w:p>
                      <w:p w14:paraId="28C7E43A" w14:textId="77777777" w:rsidR="00F65BCA" w:rsidRDefault="00216117">
                        <w:pPr>
                          <w:pStyle w:val="TableParagraph"/>
                          <w:ind w:left="24" w:right="24"/>
                          <w:jc w:val="center"/>
                          <w:rPr>
                            <w:sz w:val="3"/>
                          </w:rPr>
                        </w:pPr>
                        <w:r>
                          <w:rPr>
                            <w:w w:val="105"/>
                            <w:sz w:val="3"/>
                          </w:rPr>
                          <w:t>0,85278508%</w:t>
                        </w:r>
                      </w:p>
                    </w:tc>
                    <w:tc>
                      <w:tcPr>
                        <w:tcW w:w="288" w:type="dxa"/>
                        <w:tcBorders>
                          <w:top w:val="single" w:sz="2" w:space="0" w:color="000000"/>
                          <w:left w:val="single" w:sz="2" w:space="0" w:color="000000"/>
                          <w:bottom w:val="single" w:sz="2" w:space="0" w:color="000000"/>
                          <w:right w:val="single" w:sz="2" w:space="0" w:color="000000"/>
                        </w:tcBorders>
                      </w:tcPr>
                      <w:p w14:paraId="178B3BB2" w14:textId="77777777" w:rsidR="00F65BCA" w:rsidRDefault="00F65BCA">
                        <w:pPr>
                          <w:pStyle w:val="TableParagraph"/>
                          <w:rPr>
                            <w:rFonts w:ascii="Calibri"/>
                            <w:sz w:val="2"/>
                          </w:rPr>
                        </w:pPr>
                      </w:p>
                      <w:p w14:paraId="537DDF19" w14:textId="77777777" w:rsidR="00F65BCA" w:rsidRDefault="00216117">
                        <w:pPr>
                          <w:pStyle w:val="TableParagraph"/>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1EE4AE35" w14:textId="77777777" w:rsidR="00F65BCA" w:rsidRDefault="00F65BCA">
                        <w:pPr>
                          <w:pStyle w:val="TableParagraph"/>
                          <w:rPr>
                            <w:rFonts w:ascii="Calibri"/>
                            <w:sz w:val="2"/>
                          </w:rPr>
                        </w:pPr>
                      </w:p>
                      <w:p w14:paraId="45FBDEDA" w14:textId="77777777" w:rsidR="00F65BCA" w:rsidRDefault="00216117">
                        <w:pPr>
                          <w:pStyle w:val="TableParagraph"/>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6AA1227D" w14:textId="77777777" w:rsidR="00F65BCA" w:rsidRDefault="00F65BCA">
                        <w:pPr>
                          <w:pStyle w:val="TableParagraph"/>
                          <w:rPr>
                            <w:rFonts w:ascii="Calibri"/>
                            <w:sz w:val="2"/>
                          </w:rPr>
                        </w:pPr>
                      </w:p>
                      <w:p w14:paraId="42B518AF" w14:textId="77777777" w:rsidR="00F65BCA" w:rsidRDefault="00216117">
                        <w:pPr>
                          <w:pStyle w:val="TableParagraph"/>
                          <w:ind w:left="24" w:right="24"/>
                          <w:jc w:val="center"/>
                          <w:rPr>
                            <w:sz w:val="3"/>
                          </w:rPr>
                        </w:pPr>
                        <w:r>
                          <w:rPr>
                            <w:w w:val="105"/>
                            <w:sz w:val="3"/>
                          </w:rPr>
                          <w:t>0,93031099%</w:t>
                        </w:r>
                      </w:p>
                    </w:tc>
                    <w:tc>
                      <w:tcPr>
                        <w:tcW w:w="288" w:type="dxa"/>
                        <w:tcBorders>
                          <w:top w:val="single" w:sz="2" w:space="0" w:color="000000"/>
                          <w:left w:val="single" w:sz="2" w:space="0" w:color="000000"/>
                          <w:bottom w:val="single" w:sz="2" w:space="0" w:color="000000"/>
                          <w:right w:val="single" w:sz="2" w:space="0" w:color="000000"/>
                        </w:tcBorders>
                      </w:tcPr>
                      <w:p w14:paraId="3880D468" w14:textId="77777777" w:rsidR="00F65BCA" w:rsidRDefault="00F65BCA">
                        <w:pPr>
                          <w:pStyle w:val="TableParagraph"/>
                          <w:rPr>
                            <w:rFonts w:ascii="Calibri"/>
                            <w:sz w:val="2"/>
                          </w:rPr>
                        </w:pPr>
                      </w:p>
                      <w:p w14:paraId="416163A9"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503927FB" w14:textId="77777777" w:rsidR="00F65BCA" w:rsidRDefault="00F65BCA">
                        <w:pPr>
                          <w:pStyle w:val="TableParagraph"/>
                          <w:rPr>
                            <w:rFonts w:ascii="Calibri"/>
                            <w:sz w:val="2"/>
                          </w:rPr>
                        </w:pPr>
                      </w:p>
                      <w:p w14:paraId="3BBF9D01"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40F6FA84" w14:textId="77777777" w:rsidR="00F65BCA" w:rsidRDefault="00F65BCA">
                        <w:pPr>
                          <w:pStyle w:val="TableParagraph"/>
                          <w:rPr>
                            <w:rFonts w:ascii="Calibri"/>
                            <w:sz w:val="2"/>
                          </w:rPr>
                        </w:pPr>
                      </w:p>
                      <w:p w14:paraId="5DF57AE9" w14:textId="77777777" w:rsidR="00F65BCA" w:rsidRDefault="00216117">
                        <w:pPr>
                          <w:pStyle w:val="TableParagraph"/>
                          <w:ind w:left="24" w:right="24"/>
                          <w:jc w:val="center"/>
                          <w:rPr>
                            <w:sz w:val="3"/>
                          </w:rPr>
                        </w:pPr>
                        <w:r>
                          <w:rPr>
                            <w:w w:val="105"/>
                            <w:sz w:val="3"/>
                          </w:rPr>
                          <w:t>1,16288874%</w:t>
                        </w:r>
                      </w:p>
                    </w:tc>
                  </w:tr>
                  <w:tr w:rsidR="00F65BCA" w14:paraId="296BCFDF"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199FA1E0"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1C11D9D5"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73DE707B"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78E100D" w14:textId="77777777" w:rsidR="00F65BCA" w:rsidRDefault="00F65BCA">
                        <w:pPr>
                          <w:pStyle w:val="TableParagraph"/>
                          <w:rPr>
                            <w:rFonts w:ascii="Calibri"/>
                            <w:sz w:val="2"/>
                          </w:rPr>
                        </w:pPr>
                      </w:p>
                      <w:p w14:paraId="600A95D1"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1225DA0" w14:textId="77777777" w:rsidR="00F65BCA" w:rsidRDefault="00F65BCA">
                        <w:pPr>
                          <w:pStyle w:val="TableParagraph"/>
                          <w:rPr>
                            <w:rFonts w:ascii="Calibri"/>
                            <w:sz w:val="2"/>
                          </w:rPr>
                        </w:pPr>
                      </w:p>
                      <w:p w14:paraId="6E6E8FC6"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228E982A"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3705933" w14:textId="77777777" w:rsidR="00F65BCA" w:rsidRDefault="00F65BCA">
                        <w:pPr>
                          <w:pStyle w:val="TableParagraph"/>
                          <w:rPr>
                            <w:rFonts w:ascii="Calibri"/>
                            <w:sz w:val="2"/>
                          </w:rPr>
                        </w:pPr>
                      </w:p>
                      <w:p w14:paraId="181AE07B" w14:textId="77777777" w:rsidR="00F65BCA" w:rsidRDefault="00216117">
                        <w:pPr>
                          <w:pStyle w:val="TableParagraph"/>
                          <w:ind w:left="24" w:right="24"/>
                          <w:jc w:val="center"/>
                          <w:rPr>
                            <w:sz w:val="3"/>
                          </w:rPr>
                        </w:pPr>
                        <w:r>
                          <w:rPr>
                            <w:w w:val="105"/>
                            <w:sz w:val="3"/>
                          </w:rPr>
                          <w:t>1,49842090%</w:t>
                        </w:r>
                      </w:p>
                    </w:tc>
                    <w:tc>
                      <w:tcPr>
                        <w:tcW w:w="288" w:type="dxa"/>
                        <w:tcBorders>
                          <w:top w:val="single" w:sz="2" w:space="0" w:color="000000"/>
                          <w:left w:val="single" w:sz="2" w:space="0" w:color="000000"/>
                          <w:bottom w:val="single" w:sz="2" w:space="0" w:color="000000"/>
                          <w:right w:val="single" w:sz="2" w:space="0" w:color="000000"/>
                        </w:tcBorders>
                      </w:tcPr>
                      <w:p w14:paraId="5A229830" w14:textId="77777777" w:rsidR="00F65BCA" w:rsidRDefault="00F65BCA">
                        <w:pPr>
                          <w:pStyle w:val="TableParagraph"/>
                          <w:rPr>
                            <w:rFonts w:ascii="Calibri"/>
                            <w:sz w:val="2"/>
                          </w:rPr>
                        </w:pPr>
                      </w:p>
                      <w:p w14:paraId="7C354A8B" w14:textId="77777777" w:rsidR="00F65BCA" w:rsidRDefault="00216117">
                        <w:pPr>
                          <w:pStyle w:val="TableParagraph"/>
                          <w:ind w:left="24" w:right="24"/>
                          <w:jc w:val="center"/>
                          <w:rPr>
                            <w:sz w:val="3"/>
                          </w:rPr>
                        </w:pPr>
                        <w:r>
                          <w:rPr>
                            <w:w w:val="105"/>
                            <w:sz w:val="3"/>
                          </w:rPr>
                          <w:t>1,40476960%</w:t>
                        </w:r>
                      </w:p>
                    </w:tc>
                    <w:tc>
                      <w:tcPr>
                        <w:tcW w:w="288" w:type="dxa"/>
                        <w:tcBorders>
                          <w:top w:val="single" w:sz="2" w:space="0" w:color="000000"/>
                          <w:left w:val="single" w:sz="2" w:space="0" w:color="000000"/>
                          <w:bottom w:val="single" w:sz="2" w:space="0" w:color="000000"/>
                          <w:right w:val="single" w:sz="2" w:space="0" w:color="000000"/>
                        </w:tcBorders>
                      </w:tcPr>
                      <w:p w14:paraId="23799FEC" w14:textId="77777777" w:rsidR="00F65BCA" w:rsidRDefault="00F65BCA">
                        <w:pPr>
                          <w:pStyle w:val="TableParagraph"/>
                          <w:rPr>
                            <w:rFonts w:ascii="Calibri"/>
                            <w:sz w:val="2"/>
                          </w:rPr>
                        </w:pPr>
                      </w:p>
                      <w:p w14:paraId="0BF8EA18" w14:textId="77777777" w:rsidR="00F65BCA" w:rsidRDefault="00216117">
                        <w:pPr>
                          <w:pStyle w:val="TableParagraph"/>
                          <w:ind w:left="24" w:right="24"/>
                          <w:jc w:val="center"/>
                          <w:rPr>
                            <w:sz w:val="3"/>
                          </w:rPr>
                        </w:pPr>
                        <w:r>
                          <w:rPr>
                            <w:w w:val="105"/>
                            <w:sz w:val="3"/>
                          </w:rPr>
                          <w:t>1,33921368%</w:t>
                        </w:r>
                      </w:p>
                    </w:tc>
                    <w:tc>
                      <w:tcPr>
                        <w:tcW w:w="288" w:type="dxa"/>
                        <w:tcBorders>
                          <w:top w:val="single" w:sz="2" w:space="0" w:color="000000"/>
                          <w:left w:val="single" w:sz="2" w:space="0" w:color="000000"/>
                          <w:bottom w:val="single" w:sz="2" w:space="0" w:color="000000"/>
                          <w:right w:val="single" w:sz="2" w:space="0" w:color="000000"/>
                        </w:tcBorders>
                      </w:tcPr>
                      <w:p w14:paraId="67394786" w14:textId="77777777" w:rsidR="00F65BCA" w:rsidRDefault="00F65BCA">
                        <w:pPr>
                          <w:pStyle w:val="TableParagraph"/>
                          <w:rPr>
                            <w:rFonts w:ascii="Calibri"/>
                            <w:sz w:val="2"/>
                          </w:rPr>
                        </w:pPr>
                      </w:p>
                      <w:p w14:paraId="1B79D159"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2B610BDD" w14:textId="77777777" w:rsidR="00F65BCA" w:rsidRDefault="00F65BCA">
                        <w:pPr>
                          <w:pStyle w:val="TableParagraph"/>
                          <w:rPr>
                            <w:rFonts w:ascii="Calibri"/>
                            <w:sz w:val="2"/>
                          </w:rPr>
                        </w:pPr>
                      </w:p>
                      <w:p w14:paraId="4510F088" w14:textId="77777777" w:rsidR="00F65BCA" w:rsidRDefault="00216117">
                        <w:pPr>
                          <w:pStyle w:val="TableParagraph"/>
                          <w:ind w:left="24" w:right="24"/>
                          <w:jc w:val="center"/>
                          <w:rPr>
                            <w:sz w:val="3"/>
                          </w:rPr>
                        </w:pPr>
                        <w:r>
                          <w:rPr>
                            <w:w w:val="105"/>
                            <w:sz w:val="3"/>
                          </w:rPr>
                          <w:t>1,19873672%</w:t>
                        </w:r>
                      </w:p>
                    </w:tc>
                    <w:tc>
                      <w:tcPr>
                        <w:tcW w:w="288" w:type="dxa"/>
                        <w:tcBorders>
                          <w:top w:val="single" w:sz="2" w:space="0" w:color="000000"/>
                          <w:left w:val="single" w:sz="2" w:space="0" w:color="000000"/>
                          <w:bottom w:val="single" w:sz="2" w:space="0" w:color="000000"/>
                          <w:right w:val="single" w:sz="2" w:space="0" w:color="000000"/>
                        </w:tcBorders>
                      </w:tcPr>
                      <w:p w14:paraId="35E863AE" w14:textId="77777777" w:rsidR="00F65BCA" w:rsidRDefault="00F65BCA">
                        <w:pPr>
                          <w:pStyle w:val="TableParagraph"/>
                          <w:rPr>
                            <w:rFonts w:ascii="Calibri"/>
                            <w:sz w:val="2"/>
                          </w:rPr>
                        </w:pPr>
                      </w:p>
                      <w:p w14:paraId="2F44CE9F" w14:textId="77777777" w:rsidR="00F65BCA" w:rsidRDefault="00216117">
                        <w:pPr>
                          <w:pStyle w:val="TableParagraph"/>
                          <w:ind w:left="24" w:right="24"/>
                          <w:jc w:val="center"/>
                          <w:rPr>
                            <w:sz w:val="3"/>
                          </w:rPr>
                        </w:pPr>
                        <w:r>
                          <w:rPr>
                            <w:w w:val="105"/>
                            <w:sz w:val="3"/>
                          </w:rPr>
                          <w:t>1,11445055%</w:t>
                        </w:r>
                      </w:p>
                    </w:tc>
                    <w:tc>
                      <w:tcPr>
                        <w:tcW w:w="288" w:type="dxa"/>
                        <w:tcBorders>
                          <w:top w:val="single" w:sz="2" w:space="0" w:color="000000"/>
                          <w:left w:val="single" w:sz="2" w:space="0" w:color="000000"/>
                          <w:bottom w:val="single" w:sz="2" w:space="0" w:color="000000"/>
                          <w:right w:val="single" w:sz="2" w:space="0" w:color="000000"/>
                        </w:tcBorders>
                      </w:tcPr>
                      <w:p w14:paraId="7DB77D61" w14:textId="77777777" w:rsidR="00F65BCA" w:rsidRDefault="00F65BCA">
                        <w:pPr>
                          <w:pStyle w:val="TableParagraph"/>
                          <w:rPr>
                            <w:rFonts w:ascii="Calibri"/>
                            <w:sz w:val="2"/>
                          </w:rPr>
                        </w:pPr>
                      </w:p>
                      <w:p w14:paraId="0351E75B" w14:textId="77777777" w:rsidR="00F65BCA" w:rsidRDefault="00216117">
                        <w:pPr>
                          <w:pStyle w:val="TableParagraph"/>
                          <w:ind w:left="24" w:right="24"/>
                          <w:jc w:val="center"/>
                          <w:rPr>
                            <w:sz w:val="3"/>
                          </w:rPr>
                        </w:pPr>
                        <w:r>
                          <w:rPr>
                            <w:w w:val="105"/>
                            <w:sz w:val="3"/>
                          </w:rPr>
                          <w:t>1,03016437%</w:t>
                        </w:r>
                      </w:p>
                    </w:tc>
                    <w:tc>
                      <w:tcPr>
                        <w:tcW w:w="288" w:type="dxa"/>
                        <w:tcBorders>
                          <w:top w:val="single" w:sz="2" w:space="0" w:color="000000"/>
                          <w:left w:val="single" w:sz="2" w:space="0" w:color="000000"/>
                          <w:bottom w:val="single" w:sz="2" w:space="0" w:color="000000"/>
                          <w:right w:val="single" w:sz="2" w:space="0" w:color="000000"/>
                        </w:tcBorders>
                      </w:tcPr>
                      <w:p w14:paraId="78253DEF" w14:textId="77777777" w:rsidR="00F65BCA" w:rsidRDefault="00F65BCA">
                        <w:pPr>
                          <w:pStyle w:val="TableParagraph"/>
                          <w:rPr>
                            <w:rFonts w:ascii="Calibri"/>
                            <w:sz w:val="2"/>
                          </w:rPr>
                        </w:pPr>
                      </w:p>
                      <w:p w14:paraId="47C5FCA7" w14:textId="77777777" w:rsidR="00F65BCA" w:rsidRDefault="00216117">
                        <w:pPr>
                          <w:pStyle w:val="TableParagraph"/>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117A62C5" w14:textId="77777777" w:rsidR="00F65BCA" w:rsidRDefault="00F65BCA">
                        <w:pPr>
                          <w:pStyle w:val="TableParagraph"/>
                          <w:rPr>
                            <w:rFonts w:ascii="Calibri"/>
                            <w:sz w:val="2"/>
                          </w:rPr>
                        </w:pPr>
                      </w:p>
                      <w:p w14:paraId="1F2BD9B7" w14:textId="77777777" w:rsidR="00F65BCA" w:rsidRDefault="00216117">
                        <w:pPr>
                          <w:pStyle w:val="TableParagraph"/>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704BF328" w14:textId="77777777" w:rsidR="00F65BCA" w:rsidRDefault="00F65BCA">
                        <w:pPr>
                          <w:pStyle w:val="TableParagraph"/>
                          <w:rPr>
                            <w:rFonts w:ascii="Calibri"/>
                            <w:sz w:val="2"/>
                          </w:rPr>
                        </w:pPr>
                      </w:p>
                      <w:p w14:paraId="2CBC2FC8" w14:textId="77777777" w:rsidR="00F65BCA" w:rsidRDefault="00216117">
                        <w:pPr>
                          <w:pStyle w:val="TableParagraph"/>
                          <w:ind w:left="24" w:right="24"/>
                          <w:jc w:val="center"/>
                          <w:rPr>
                            <w:sz w:val="3"/>
                          </w:rPr>
                        </w:pPr>
                        <w:r>
                          <w:rPr>
                            <w:w w:val="105"/>
                            <w:sz w:val="3"/>
                          </w:rPr>
                          <w:t>1,12381568%</w:t>
                        </w:r>
                      </w:p>
                    </w:tc>
                    <w:tc>
                      <w:tcPr>
                        <w:tcW w:w="288" w:type="dxa"/>
                        <w:tcBorders>
                          <w:top w:val="single" w:sz="2" w:space="0" w:color="000000"/>
                          <w:left w:val="single" w:sz="2" w:space="0" w:color="000000"/>
                          <w:bottom w:val="single" w:sz="2" w:space="0" w:color="000000"/>
                          <w:right w:val="single" w:sz="2" w:space="0" w:color="000000"/>
                        </w:tcBorders>
                      </w:tcPr>
                      <w:p w14:paraId="4A81D503" w14:textId="77777777" w:rsidR="00F65BCA" w:rsidRDefault="00F65BCA">
                        <w:pPr>
                          <w:pStyle w:val="TableParagraph"/>
                          <w:rPr>
                            <w:rFonts w:ascii="Calibri"/>
                            <w:sz w:val="2"/>
                          </w:rPr>
                        </w:pPr>
                      </w:p>
                      <w:p w14:paraId="71D5A742"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2C7E80A5" w14:textId="77777777" w:rsidR="00F65BCA" w:rsidRDefault="00F65BCA">
                        <w:pPr>
                          <w:pStyle w:val="TableParagraph"/>
                          <w:rPr>
                            <w:rFonts w:ascii="Calibri"/>
                            <w:sz w:val="2"/>
                          </w:rPr>
                        </w:pPr>
                      </w:p>
                      <w:p w14:paraId="0C1A028D"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5CE08F12" w14:textId="77777777" w:rsidR="00F65BCA" w:rsidRDefault="00F65BCA">
                        <w:pPr>
                          <w:pStyle w:val="TableParagraph"/>
                          <w:rPr>
                            <w:rFonts w:ascii="Calibri"/>
                            <w:sz w:val="2"/>
                          </w:rPr>
                        </w:pPr>
                      </w:p>
                      <w:p w14:paraId="2DDD9A0E" w14:textId="77777777" w:rsidR="00F65BCA" w:rsidRDefault="00216117">
                        <w:pPr>
                          <w:pStyle w:val="TableParagraph"/>
                          <w:ind w:left="24" w:right="24"/>
                          <w:jc w:val="center"/>
                          <w:rPr>
                            <w:sz w:val="3"/>
                          </w:rPr>
                        </w:pPr>
                        <w:r>
                          <w:rPr>
                            <w:w w:val="105"/>
                            <w:sz w:val="3"/>
                          </w:rPr>
                          <w:t>1,40476960%</w:t>
                        </w:r>
                      </w:p>
                    </w:tc>
                  </w:tr>
                  <w:tr w:rsidR="00F65BCA" w14:paraId="5B049589"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28126E1D"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61708AD" w14:textId="77777777" w:rsidR="00F65BCA" w:rsidRDefault="00F65BCA">
                        <w:pPr>
                          <w:pStyle w:val="TableParagraph"/>
                          <w:rPr>
                            <w:rFonts w:ascii="Calibri"/>
                            <w:sz w:val="2"/>
                          </w:rPr>
                        </w:pPr>
                      </w:p>
                      <w:p w14:paraId="1CB4D341" w14:textId="77777777" w:rsidR="00F65BCA" w:rsidRDefault="00F65BCA">
                        <w:pPr>
                          <w:pStyle w:val="TableParagraph"/>
                          <w:rPr>
                            <w:rFonts w:ascii="Calibri"/>
                            <w:sz w:val="2"/>
                          </w:rPr>
                        </w:pPr>
                      </w:p>
                      <w:p w14:paraId="6019287F" w14:textId="77777777" w:rsidR="00F65BCA" w:rsidRDefault="00F65BCA">
                        <w:pPr>
                          <w:pStyle w:val="TableParagraph"/>
                          <w:rPr>
                            <w:rFonts w:ascii="Calibri"/>
                            <w:sz w:val="2"/>
                          </w:rPr>
                        </w:pPr>
                      </w:p>
                      <w:p w14:paraId="40337FB5" w14:textId="77777777" w:rsidR="00F65BCA" w:rsidRDefault="00F65BCA">
                        <w:pPr>
                          <w:pStyle w:val="TableParagraph"/>
                          <w:rPr>
                            <w:rFonts w:ascii="Calibri"/>
                            <w:sz w:val="2"/>
                          </w:rPr>
                        </w:pPr>
                      </w:p>
                      <w:p w14:paraId="12B707FE" w14:textId="77777777" w:rsidR="00F65BCA" w:rsidRDefault="00F65BCA">
                        <w:pPr>
                          <w:pStyle w:val="TableParagraph"/>
                          <w:rPr>
                            <w:rFonts w:ascii="Calibri"/>
                            <w:sz w:val="2"/>
                          </w:rPr>
                        </w:pPr>
                      </w:p>
                      <w:p w14:paraId="12BA4875" w14:textId="77777777" w:rsidR="00F65BCA" w:rsidRDefault="00F65BCA">
                        <w:pPr>
                          <w:pStyle w:val="TableParagraph"/>
                          <w:rPr>
                            <w:rFonts w:ascii="Calibri"/>
                            <w:sz w:val="2"/>
                          </w:rPr>
                        </w:pPr>
                      </w:p>
                      <w:p w14:paraId="0F7A784A" w14:textId="77777777" w:rsidR="00F65BCA" w:rsidRDefault="00F65BCA">
                        <w:pPr>
                          <w:pStyle w:val="TableParagraph"/>
                          <w:rPr>
                            <w:rFonts w:ascii="Calibri"/>
                            <w:sz w:val="2"/>
                          </w:rPr>
                        </w:pPr>
                      </w:p>
                      <w:p w14:paraId="686562CE" w14:textId="77777777" w:rsidR="00F65BCA" w:rsidRDefault="00F65BCA">
                        <w:pPr>
                          <w:pStyle w:val="TableParagraph"/>
                          <w:rPr>
                            <w:rFonts w:ascii="Calibri"/>
                            <w:sz w:val="2"/>
                          </w:rPr>
                        </w:pPr>
                      </w:p>
                      <w:p w14:paraId="148C7452" w14:textId="77777777" w:rsidR="00F65BCA" w:rsidRDefault="00F65BCA">
                        <w:pPr>
                          <w:pStyle w:val="TableParagraph"/>
                          <w:rPr>
                            <w:rFonts w:ascii="Calibri"/>
                            <w:sz w:val="2"/>
                          </w:rPr>
                        </w:pPr>
                      </w:p>
                      <w:p w14:paraId="6B572E73" w14:textId="77777777" w:rsidR="00F65BCA" w:rsidRDefault="00F65BCA">
                        <w:pPr>
                          <w:pStyle w:val="TableParagraph"/>
                          <w:rPr>
                            <w:rFonts w:ascii="Calibri"/>
                            <w:sz w:val="2"/>
                          </w:rPr>
                        </w:pPr>
                      </w:p>
                      <w:p w14:paraId="0A9DE89E" w14:textId="77777777" w:rsidR="00F65BCA" w:rsidRDefault="00F65BCA">
                        <w:pPr>
                          <w:pStyle w:val="TableParagraph"/>
                          <w:rPr>
                            <w:rFonts w:ascii="Calibri"/>
                            <w:sz w:val="2"/>
                          </w:rPr>
                        </w:pPr>
                      </w:p>
                      <w:p w14:paraId="66F1AC2B" w14:textId="77777777" w:rsidR="00F65BCA" w:rsidRDefault="00F65BCA">
                        <w:pPr>
                          <w:pStyle w:val="TableParagraph"/>
                          <w:rPr>
                            <w:rFonts w:ascii="Calibri"/>
                            <w:sz w:val="2"/>
                          </w:rPr>
                        </w:pPr>
                      </w:p>
                      <w:p w14:paraId="6066E55B" w14:textId="77777777" w:rsidR="00F65BCA" w:rsidRDefault="00F65BCA">
                        <w:pPr>
                          <w:pStyle w:val="TableParagraph"/>
                          <w:rPr>
                            <w:rFonts w:ascii="Calibri"/>
                            <w:sz w:val="2"/>
                          </w:rPr>
                        </w:pPr>
                      </w:p>
                      <w:p w14:paraId="6679B7F0" w14:textId="77777777" w:rsidR="00F65BCA" w:rsidRDefault="00216117">
                        <w:pPr>
                          <w:pStyle w:val="TableParagraph"/>
                          <w:ind w:left="18" w:right="14"/>
                          <w:jc w:val="center"/>
                          <w:rPr>
                            <w:sz w:val="3"/>
                          </w:rPr>
                        </w:pPr>
                        <w:r>
                          <w:rPr>
                            <w:w w:val="105"/>
                            <w:sz w:val="3"/>
                          </w:rPr>
                          <w:t>Toyota</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69250E5" w14:textId="77777777" w:rsidR="00F65BCA" w:rsidRDefault="00F65BCA">
                        <w:pPr>
                          <w:pStyle w:val="TableParagraph"/>
                          <w:rPr>
                            <w:rFonts w:ascii="Calibri"/>
                            <w:sz w:val="2"/>
                          </w:rPr>
                        </w:pPr>
                      </w:p>
                      <w:p w14:paraId="163651D0" w14:textId="77777777" w:rsidR="00F65BCA" w:rsidRDefault="00F65BCA">
                        <w:pPr>
                          <w:pStyle w:val="TableParagraph"/>
                          <w:rPr>
                            <w:rFonts w:ascii="Calibri"/>
                            <w:sz w:val="2"/>
                          </w:rPr>
                        </w:pPr>
                      </w:p>
                      <w:p w14:paraId="3CED4C43" w14:textId="77777777" w:rsidR="00F65BCA" w:rsidRDefault="00216117">
                        <w:pPr>
                          <w:pStyle w:val="TableParagraph"/>
                          <w:spacing w:line="283" w:lineRule="auto"/>
                          <w:ind w:left="4" w:right="4"/>
                          <w:rPr>
                            <w:sz w:val="3"/>
                          </w:rPr>
                        </w:pPr>
                        <w:r>
                          <w:rPr>
                            <w:w w:val="105"/>
                            <w:sz w:val="3"/>
                          </w:rPr>
                          <w:t>COROLLA VAN; LAND CRUISER VAN; PROACE VAN; PROACE VERSO; VERSO VAN; YARIS VAN</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6938CEA" w14:textId="77777777" w:rsidR="00F65BCA" w:rsidRDefault="00F65BCA">
                        <w:pPr>
                          <w:pStyle w:val="TableParagraph"/>
                          <w:rPr>
                            <w:rFonts w:ascii="Calibri"/>
                            <w:sz w:val="2"/>
                          </w:rPr>
                        </w:pPr>
                      </w:p>
                      <w:p w14:paraId="1591E066"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85A7868" w14:textId="77777777" w:rsidR="00F65BCA" w:rsidRDefault="00F65BCA">
                        <w:pPr>
                          <w:pStyle w:val="TableParagraph"/>
                          <w:rPr>
                            <w:rFonts w:ascii="Calibri"/>
                            <w:sz w:val="2"/>
                          </w:rPr>
                        </w:pPr>
                      </w:p>
                      <w:p w14:paraId="61C9EEF8"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AE17AFC"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737D5AF" w14:textId="77777777" w:rsidR="00F65BCA" w:rsidRDefault="00F65BCA">
                        <w:pPr>
                          <w:pStyle w:val="TableParagraph"/>
                          <w:rPr>
                            <w:rFonts w:ascii="Calibri"/>
                            <w:sz w:val="2"/>
                          </w:rPr>
                        </w:pPr>
                      </w:p>
                      <w:p w14:paraId="140D8700"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6600B81B" w14:textId="77777777" w:rsidR="00F65BCA" w:rsidRDefault="00F65BCA">
                        <w:pPr>
                          <w:pStyle w:val="TableParagraph"/>
                          <w:rPr>
                            <w:rFonts w:ascii="Calibri"/>
                            <w:sz w:val="2"/>
                          </w:rPr>
                        </w:pPr>
                      </w:p>
                      <w:p w14:paraId="44A3CAFC"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5AAF03F5" w14:textId="77777777" w:rsidR="00F65BCA" w:rsidRDefault="00F65BCA">
                        <w:pPr>
                          <w:pStyle w:val="TableParagraph"/>
                          <w:rPr>
                            <w:rFonts w:ascii="Calibri"/>
                            <w:sz w:val="2"/>
                          </w:rPr>
                        </w:pPr>
                      </w:p>
                      <w:p w14:paraId="0737A2C0"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7C6B63EE" w14:textId="77777777" w:rsidR="00F65BCA" w:rsidRDefault="00F65BCA">
                        <w:pPr>
                          <w:pStyle w:val="TableParagraph"/>
                          <w:rPr>
                            <w:rFonts w:ascii="Calibri"/>
                            <w:sz w:val="2"/>
                          </w:rPr>
                        </w:pPr>
                      </w:p>
                      <w:p w14:paraId="3EE5ACE7"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0C26F51C" w14:textId="77777777" w:rsidR="00F65BCA" w:rsidRDefault="00F65BCA">
                        <w:pPr>
                          <w:pStyle w:val="TableParagraph"/>
                          <w:rPr>
                            <w:rFonts w:ascii="Calibri"/>
                            <w:sz w:val="2"/>
                          </w:rPr>
                        </w:pPr>
                      </w:p>
                      <w:p w14:paraId="4D95E8D2"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0B119C3B" w14:textId="77777777" w:rsidR="00F65BCA" w:rsidRDefault="00F65BCA">
                        <w:pPr>
                          <w:pStyle w:val="TableParagraph"/>
                          <w:rPr>
                            <w:rFonts w:ascii="Calibri"/>
                            <w:sz w:val="2"/>
                          </w:rPr>
                        </w:pPr>
                      </w:p>
                      <w:p w14:paraId="3DA3320A"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38C382B9" w14:textId="77777777" w:rsidR="00F65BCA" w:rsidRDefault="00F65BCA">
                        <w:pPr>
                          <w:pStyle w:val="TableParagraph"/>
                          <w:rPr>
                            <w:rFonts w:ascii="Calibri"/>
                            <w:sz w:val="2"/>
                          </w:rPr>
                        </w:pPr>
                      </w:p>
                      <w:p w14:paraId="3F7ACBEC"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64EDF8F8" w14:textId="77777777" w:rsidR="00F65BCA" w:rsidRDefault="00F65BCA">
                        <w:pPr>
                          <w:pStyle w:val="TableParagraph"/>
                          <w:rPr>
                            <w:rFonts w:ascii="Calibri"/>
                            <w:sz w:val="2"/>
                          </w:rPr>
                        </w:pPr>
                      </w:p>
                      <w:p w14:paraId="187532F0"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632FE9CB" w14:textId="77777777" w:rsidR="00F65BCA" w:rsidRDefault="00F65BCA">
                        <w:pPr>
                          <w:pStyle w:val="TableParagraph"/>
                          <w:rPr>
                            <w:rFonts w:ascii="Calibri"/>
                            <w:sz w:val="2"/>
                          </w:rPr>
                        </w:pPr>
                      </w:p>
                      <w:p w14:paraId="4028EAF6"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7CCAAD84" w14:textId="77777777" w:rsidR="00F65BCA" w:rsidRDefault="00F65BCA">
                        <w:pPr>
                          <w:pStyle w:val="TableParagraph"/>
                          <w:rPr>
                            <w:rFonts w:ascii="Calibri"/>
                            <w:sz w:val="2"/>
                          </w:rPr>
                        </w:pPr>
                      </w:p>
                      <w:p w14:paraId="066F8C1B"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005E91B3" w14:textId="77777777" w:rsidR="00F65BCA" w:rsidRDefault="00F65BCA">
                        <w:pPr>
                          <w:pStyle w:val="TableParagraph"/>
                          <w:rPr>
                            <w:rFonts w:ascii="Calibri"/>
                            <w:sz w:val="2"/>
                          </w:rPr>
                        </w:pPr>
                      </w:p>
                      <w:p w14:paraId="470821BF"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1E036C30" w14:textId="77777777" w:rsidR="00F65BCA" w:rsidRDefault="00F65BCA">
                        <w:pPr>
                          <w:pStyle w:val="TableParagraph"/>
                          <w:rPr>
                            <w:rFonts w:ascii="Calibri"/>
                            <w:sz w:val="2"/>
                          </w:rPr>
                        </w:pPr>
                      </w:p>
                      <w:p w14:paraId="045A4076"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1567AC3D" w14:textId="77777777" w:rsidR="00F65BCA" w:rsidRDefault="00F65BCA">
                        <w:pPr>
                          <w:pStyle w:val="TableParagraph"/>
                          <w:rPr>
                            <w:rFonts w:ascii="Calibri"/>
                            <w:sz w:val="2"/>
                          </w:rPr>
                        </w:pPr>
                      </w:p>
                      <w:p w14:paraId="45474A92" w14:textId="77777777" w:rsidR="00F65BCA" w:rsidRDefault="00216117">
                        <w:pPr>
                          <w:pStyle w:val="TableParagraph"/>
                          <w:ind w:left="24" w:right="24"/>
                          <w:jc w:val="center"/>
                          <w:rPr>
                            <w:sz w:val="3"/>
                          </w:rPr>
                        </w:pPr>
                        <w:r>
                          <w:rPr>
                            <w:w w:val="105"/>
                            <w:sz w:val="3"/>
                          </w:rPr>
                          <w:t>0,95940000%</w:t>
                        </w:r>
                      </w:p>
                    </w:tc>
                  </w:tr>
                  <w:tr w:rsidR="00F65BCA" w14:paraId="46C942C0"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59E98215"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6E304D3F"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4E10601F"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5447760" w14:textId="77777777" w:rsidR="00F65BCA" w:rsidRDefault="00F65BCA">
                        <w:pPr>
                          <w:pStyle w:val="TableParagraph"/>
                          <w:rPr>
                            <w:rFonts w:ascii="Calibri"/>
                            <w:sz w:val="2"/>
                          </w:rPr>
                        </w:pPr>
                      </w:p>
                      <w:p w14:paraId="0EA49038"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A3D6EDD" w14:textId="77777777" w:rsidR="00F65BCA" w:rsidRDefault="00F65BCA">
                        <w:pPr>
                          <w:pStyle w:val="TableParagraph"/>
                          <w:rPr>
                            <w:rFonts w:ascii="Calibri"/>
                            <w:sz w:val="2"/>
                          </w:rPr>
                        </w:pPr>
                      </w:p>
                      <w:p w14:paraId="01D2E8CF"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339FC7B"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297C5C4" w14:textId="77777777" w:rsidR="00F65BCA" w:rsidRDefault="00F65BCA">
                        <w:pPr>
                          <w:pStyle w:val="TableParagraph"/>
                          <w:rPr>
                            <w:rFonts w:ascii="Calibri"/>
                            <w:sz w:val="2"/>
                          </w:rPr>
                        </w:pPr>
                      </w:p>
                      <w:p w14:paraId="038ABAD6"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7C2E53EB" w14:textId="77777777" w:rsidR="00F65BCA" w:rsidRDefault="00F65BCA">
                        <w:pPr>
                          <w:pStyle w:val="TableParagraph"/>
                          <w:rPr>
                            <w:rFonts w:ascii="Calibri"/>
                            <w:sz w:val="2"/>
                          </w:rPr>
                        </w:pPr>
                      </w:p>
                      <w:p w14:paraId="185656B5"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43492CCE" w14:textId="77777777" w:rsidR="00F65BCA" w:rsidRDefault="00F65BCA">
                        <w:pPr>
                          <w:pStyle w:val="TableParagraph"/>
                          <w:rPr>
                            <w:rFonts w:ascii="Calibri"/>
                            <w:sz w:val="2"/>
                          </w:rPr>
                        </w:pPr>
                      </w:p>
                      <w:p w14:paraId="6948A683"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2328DAF7" w14:textId="77777777" w:rsidR="00F65BCA" w:rsidRDefault="00F65BCA">
                        <w:pPr>
                          <w:pStyle w:val="TableParagraph"/>
                          <w:rPr>
                            <w:rFonts w:ascii="Calibri"/>
                            <w:sz w:val="2"/>
                          </w:rPr>
                        </w:pPr>
                      </w:p>
                      <w:p w14:paraId="7164F45E"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48FFB4A8" w14:textId="77777777" w:rsidR="00F65BCA" w:rsidRDefault="00F65BCA">
                        <w:pPr>
                          <w:pStyle w:val="TableParagraph"/>
                          <w:rPr>
                            <w:rFonts w:ascii="Calibri"/>
                            <w:sz w:val="2"/>
                          </w:rPr>
                        </w:pPr>
                      </w:p>
                      <w:p w14:paraId="14C26A46"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0173BFB9" w14:textId="77777777" w:rsidR="00F65BCA" w:rsidRDefault="00F65BCA">
                        <w:pPr>
                          <w:pStyle w:val="TableParagraph"/>
                          <w:rPr>
                            <w:rFonts w:ascii="Calibri"/>
                            <w:sz w:val="2"/>
                          </w:rPr>
                        </w:pPr>
                      </w:p>
                      <w:p w14:paraId="508EC9D6"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10E20856" w14:textId="77777777" w:rsidR="00F65BCA" w:rsidRDefault="00F65BCA">
                        <w:pPr>
                          <w:pStyle w:val="TableParagraph"/>
                          <w:rPr>
                            <w:rFonts w:ascii="Calibri"/>
                            <w:sz w:val="2"/>
                          </w:rPr>
                        </w:pPr>
                      </w:p>
                      <w:p w14:paraId="4A669845"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5CEC5E6A" w14:textId="77777777" w:rsidR="00F65BCA" w:rsidRDefault="00F65BCA">
                        <w:pPr>
                          <w:pStyle w:val="TableParagraph"/>
                          <w:rPr>
                            <w:rFonts w:ascii="Calibri"/>
                            <w:sz w:val="2"/>
                          </w:rPr>
                        </w:pPr>
                      </w:p>
                      <w:p w14:paraId="72EEF00E"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537C4A56" w14:textId="77777777" w:rsidR="00F65BCA" w:rsidRDefault="00F65BCA">
                        <w:pPr>
                          <w:pStyle w:val="TableParagraph"/>
                          <w:rPr>
                            <w:rFonts w:ascii="Calibri"/>
                            <w:sz w:val="2"/>
                          </w:rPr>
                        </w:pPr>
                      </w:p>
                      <w:p w14:paraId="623CABD1"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4C986451" w14:textId="77777777" w:rsidR="00F65BCA" w:rsidRDefault="00F65BCA">
                        <w:pPr>
                          <w:pStyle w:val="TableParagraph"/>
                          <w:rPr>
                            <w:rFonts w:ascii="Calibri"/>
                            <w:sz w:val="2"/>
                          </w:rPr>
                        </w:pPr>
                      </w:p>
                      <w:p w14:paraId="0D4D46C7"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68A1017A" w14:textId="77777777" w:rsidR="00F65BCA" w:rsidRDefault="00F65BCA">
                        <w:pPr>
                          <w:pStyle w:val="TableParagraph"/>
                          <w:rPr>
                            <w:rFonts w:ascii="Calibri"/>
                            <w:sz w:val="2"/>
                          </w:rPr>
                        </w:pPr>
                      </w:p>
                      <w:p w14:paraId="03C2A693"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D7D158A" w14:textId="77777777" w:rsidR="00F65BCA" w:rsidRDefault="00F65BCA">
                        <w:pPr>
                          <w:pStyle w:val="TableParagraph"/>
                          <w:rPr>
                            <w:rFonts w:ascii="Calibri"/>
                            <w:sz w:val="2"/>
                          </w:rPr>
                        </w:pPr>
                      </w:p>
                      <w:p w14:paraId="22B03B8E"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DE98A0E" w14:textId="77777777" w:rsidR="00F65BCA" w:rsidRDefault="00F65BCA">
                        <w:pPr>
                          <w:pStyle w:val="TableParagraph"/>
                          <w:rPr>
                            <w:rFonts w:ascii="Calibri"/>
                            <w:sz w:val="2"/>
                          </w:rPr>
                        </w:pPr>
                      </w:p>
                      <w:p w14:paraId="63622243" w14:textId="77777777" w:rsidR="00F65BCA" w:rsidRDefault="00216117">
                        <w:pPr>
                          <w:pStyle w:val="TableParagraph"/>
                          <w:ind w:left="24" w:right="24"/>
                          <w:jc w:val="center"/>
                          <w:rPr>
                            <w:sz w:val="3"/>
                          </w:rPr>
                        </w:pPr>
                        <w:r>
                          <w:rPr>
                            <w:w w:val="105"/>
                            <w:sz w:val="3"/>
                          </w:rPr>
                          <w:t>1,15895520%</w:t>
                        </w:r>
                      </w:p>
                    </w:tc>
                  </w:tr>
                  <w:tr w:rsidR="00F65BCA" w14:paraId="78B0A663" w14:textId="77777777">
                    <w:trPr>
                      <w:trHeight w:val="242"/>
                    </w:trPr>
                    <w:tc>
                      <w:tcPr>
                        <w:tcW w:w="526" w:type="dxa"/>
                        <w:vMerge/>
                        <w:tcBorders>
                          <w:top w:val="nil"/>
                          <w:left w:val="single" w:sz="2" w:space="0" w:color="000000"/>
                          <w:bottom w:val="single" w:sz="2" w:space="0" w:color="000000"/>
                          <w:right w:val="single" w:sz="2" w:space="0" w:color="000000"/>
                        </w:tcBorders>
                        <w:shd w:val="clear" w:color="auto" w:fill="FCE4D6"/>
                      </w:tcPr>
                      <w:p w14:paraId="3212947F"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0DD79053"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21C87EDF" w14:textId="77777777" w:rsidR="00F65BCA" w:rsidRDefault="00216117">
                        <w:pPr>
                          <w:pStyle w:val="TableParagraph"/>
                          <w:spacing w:before="18" w:line="40" w:lineRule="atLeast"/>
                          <w:ind w:left="4" w:right="-10"/>
                          <w:rPr>
                            <w:sz w:val="3"/>
                          </w:rPr>
                        </w:pPr>
                        <w:r>
                          <w:rPr>
                            <w:w w:val="105"/>
                            <w:sz w:val="3"/>
                          </w:rPr>
                          <w:t>4 RUNNER; AURIS; AURIS TOURING SPORTS; AVALON; AVENSIS; AVENSIS KOMBI; AVENSIS VERSO; AVENSIS WAGON; AYGO; CAMRY; CAMRY WAGON; CARINA; CARINA E; CARINA</w:t>
                        </w:r>
                        <w:r>
                          <w:rPr>
                            <w:spacing w:val="-3"/>
                            <w:w w:val="105"/>
                            <w:sz w:val="3"/>
                          </w:rPr>
                          <w:t xml:space="preserve"> </w:t>
                        </w:r>
                        <w:r>
                          <w:rPr>
                            <w:w w:val="105"/>
                            <w:sz w:val="3"/>
                          </w:rPr>
                          <w:t>E</w:t>
                        </w:r>
                        <w:r>
                          <w:rPr>
                            <w:spacing w:val="-3"/>
                            <w:w w:val="105"/>
                            <w:sz w:val="3"/>
                          </w:rPr>
                          <w:t xml:space="preserve"> </w:t>
                        </w:r>
                        <w:r>
                          <w:rPr>
                            <w:w w:val="105"/>
                            <w:sz w:val="3"/>
                          </w:rPr>
                          <w:t>WAGON;</w:t>
                        </w:r>
                        <w:r>
                          <w:rPr>
                            <w:spacing w:val="-3"/>
                            <w:w w:val="105"/>
                            <w:sz w:val="3"/>
                          </w:rPr>
                          <w:t xml:space="preserve"> </w:t>
                        </w:r>
                        <w:r>
                          <w:rPr>
                            <w:w w:val="105"/>
                            <w:sz w:val="3"/>
                          </w:rPr>
                          <w:t>CARINA</w:t>
                        </w:r>
                        <w:r>
                          <w:rPr>
                            <w:spacing w:val="-2"/>
                            <w:w w:val="105"/>
                            <w:sz w:val="3"/>
                          </w:rPr>
                          <w:t xml:space="preserve"> </w:t>
                        </w:r>
                        <w:r>
                          <w:rPr>
                            <w:w w:val="105"/>
                            <w:sz w:val="3"/>
                          </w:rPr>
                          <w:t>WAGON;</w:t>
                        </w:r>
                        <w:r>
                          <w:rPr>
                            <w:spacing w:val="-3"/>
                            <w:w w:val="105"/>
                            <w:sz w:val="3"/>
                          </w:rPr>
                          <w:t xml:space="preserve"> </w:t>
                        </w:r>
                        <w:r>
                          <w:rPr>
                            <w:w w:val="105"/>
                            <w:sz w:val="3"/>
                          </w:rPr>
                          <w:t>CELICA;</w:t>
                        </w:r>
                        <w:r>
                          <w:rPr>
                            <w:spacing w:val="-3"/>
                            <w:w w:val="105"/>
                            <w:sz w:val="3"/>
                          </w:rPr>
                          <w:t xml:space="preserve"> </w:t>
                        </w:r>
                        <w:r>
                          <w:rPr>
                            <w:w w:val="105"/>
                            <w:sz w:val="3"/>
                          </w:rPr>
                          <w:t>C-HR;</w:t>
                        </w:r>
                        <w:r>
                          <w:rPr>
                            <w:spacing w:val="-2"/>
                            <w:w w:val="105"/>
                            <w:sz w:val="3"/>
                          </w:rPr>
                          <w:t xml:space="preserve"> </w:t>
                        </w:r>
                        <w:r>
                          <w:rPr>
                            <w:w w:val="105"/>
                            <w:sz w:val="3"/>
                          </w:rPr>
                          <w:t>COROLLA; COROLLA VERSO; COROLLA WAGON; DYNA; ECHO; FJ CRUISER; FORTUNER; GT86; HIACE; HIGHLANDER; HILUX; IQ; JINÉ; LAND CRUISER; LITE-ACE; MATRIX; MODEL F; MR 2; PASEO; PICNIC; PREVIA; PRIUS; PRIUS PLUS; RAV 4; RAV 4 WAGON; SEQUOIA; SIENNA; STARLET; SUPRA; TACOMA; TERCEL; TUNDRA; URBAN CRUISER; VENZA; VERSO; YARIS; YARIS</w:t>
                        </w:r>
                        <w:r>
                          <w:rPr>
                            <w:spacing w:val="1"/>
                            <w:w w:val="105"/>
                            <w:sz w:val="3"/>
                          </w:rPr>
                          <w:t xml:space="preserve"> </w:t>
                        </w:r>
                        <w:r>
                          <w:rPr>
                            <w:w w:val="105"/>
                            <w:sz w:val="3"/>
                          </w:rPr>
                          <w:t>VERSO</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3B7E5C3" w14:textId="77777777" w:rsidR="00F65BCA" w:rsidRDefault="00F65BCA">
                        <w:pPr>
                          <w:pStyle w:val="TableParagraph"/>
                          <w:rPr>
                            <w:rFonts w:ascii="Calibri"/>
                            <w:sz w:val="2"/>
                          </w:rPr>
                        </w:pPr>
                      </w:p>
                      <w:p w14:paraId="60F63EE2" w14:textId="77777777" w:rsidR="00F65BCA" w:rsidRDefault="00F65BCA">
                        <w:pPr>
                          <w:pStyle w:val="TableParagraph"/>
                          <w:rPr>
                            <w:rFonts w:ascii="Calibri"/>
                            <w:sz w:val="2"/>
                          </w:rPr>
                        </w:pPr>
                      </w:p>
                      <w:p w14:paraId="61D74428" w14:textId="77777777" w:rsidR="00F65BCA" w:rsidRDefault="00F65BCA">
                        <w:pPr>
                          <w:pStyle w:val="TableParagraph"/>
                          <w:rPr>
                            <w:rFonts w:ascii="Calibri"/>
                            <w:sz w:val="2"/>
                          </w:rPr>
                        </w:pPr>
                      </w:p>
                      <w:p w14:paraId="1A5EAD7E" w14:textId="77777777" w:rsidR="00F65BCA" w:rsidRDefault="00F65BCA">
                        <w:pPr>
                          <w:pStyle w:val="TableParagraph"/>
                          <w:spacing w:before="7"/>
                          <w:rPr>
                            <w:rFonts w:ascii="Calibri"/>
                            <w:sz w:val="2"/>
                          </w:rPr>
                        </w:pPr>
                      </w:p>
                      <w:p w14:paraId="3D327106"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326BA23" w14:textId="77777777" w:rsidR="00F65BCA" w:rsidRDefault="00F65BCA">
                        <w:pPr>
                          <w:pStyle w:val="TableParagraph"/>
                          <w:rPr>
                            <w:rFonts w:ascii="Calibri"/>
                            <w:sz w:val="2"/>
                          </w:rPr>
                        </w:pPr>
                      </w:p>
                      <w:p w14:paraId="0FBFAB15" w14:textId="77777777" w:rsidR="00F65BCA" w:rsidRDefault="00F65BCA">
                        <w:pPr>
                          <w:pStyle w:val="TableParagraph"/>
                          <w:rPr>
                            <w:rFonts w:ascii="Calibri"/>
                            <w:sz w:val="2"/>
                          </w:rPr>
                        </w:pPr>
                      </w:p>
                      <w:p w14:paraId="4712FA5A" w14:textId="77777777" w:rsidR="00F65BCA" w:rsidRDefault="00F65BCA">
                        <w:pPr>
                          <w:pStyle w:val="TableParagraph"/>
                          <w:rPr>
                            <w:rFonts w:ascii="Calibri"/>
                            <w:sz w:val="2"/>
                          </w:rPr>
                        </w:pPr>
                      </w:p>
                      <w:p w14:paraId="3E1B319A" w14:textId="77777777" w:rsidR="00F65BCA" w:rsidRDefault="00F65BCA">
                        <w:pPr>
                          <w:pStyle w:val="TableParagraph"/>
                          <w:spacing w:before="7"/>
                          <w:rPr>
                            <w:rFonts w:ascii="Calibri"/>
                            <w:sz w:val="2"/>
                          </w:rPr>
                        </w:pPr>
                      </w:p>
                      <w:p w14:paraId="344AB1CB"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0939236"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85CF6D0" w14:textId="77777777" w:rsidR="00F65BCA" w:rsidRDefault="00F65BCA">
                        <w:pPr>
                          <w:pStyle w:val="TableParagraph"/>
                          <w:rPr>
                            <w:rFonts w:ascii="Calibri"/>
                            <w:sz w:val="2"/>
                          </w:rPr>
                        </w:pPr>
                      </w:p>
                      <w:p w14:paraId="11755132" w14:textId="77777777" w:rsidR="00F65BCA" w:rsidRDefault="00F65BCA">
                        <w:pPr>
                          <w:pStyle w:val="TableParagraph"/>
                          <w:rPr>
                            <w:rFonts w:ascii="Calibri"/>
                            <w:sz w:val="2"/>
                          </w:rPr>
                        </w:pPr>
                      </w:p>
                      <w:p w14:paraId="5CB8B784" w14:textId="77777777" w:rsidR="00F65BCA" w:rsidRDefault="00F65BCA">
                        <w:pPr>
                          <w:pStyle w:val="TableParagraph"/>
                          <w:rPr>
                            <w:rFonts w:ascii="Calibri"/>
                            <w:sz w:val="2"/>
                          </w:rPr>
                        </w:pPr>
                      </w:p>
                      <w:p w14:paraId="35652051" w14:textId="77777777" w:rsidR="00F65BCA" w:rsidRDefault="00F65BCA">
                        <w:pPr>
                          <w:pStyle w:val="TableParagraph"/>
                          <w:spacing w:before="7"/>
                          <w:rPr>
                            <w:rFonts w:ascii="Calibri"/>
                            <w:sz w:val="2"/>
                          </w:rPr>
                        </w:pPr>
                      </w:p>
                      <w:p w14:paraId="03958358" w14:textId="77777777" w:rsidR="00F65BCA" w:rsidRDefault="00216117">
                        <w:pPr>
                          <w:pStyle w:val="TableParagraph"/>
                          <w:ind w:left="24" w:right="24"/>
                          <w:jc w:val="center"/>
                          <w:rPr>
                            <w:sz w:val="3"/>
                          </w:rPr>
                        </w:pPr>
                        <w:r>
                          <w:rPr>
                            <w:w w:val="105"/>
                            <w:sz w:val="3"/>
                          </w:rPr>
                          <w:t>1,24041466%</w:t>
                        </w:r>
                      </w:p>
                    </w:tc>
                    <w:tc>
                      <w:tcPr>
                        <w:tcW w:w="288" w:type="dxa"/>
                        <w:tcBorders>
                          <w:top w:val="single" w:sz="2" w:space="0" w:color="000000"/>
                          <w:left w:val="single" w:sz="2" w:space="0" w:color="000000"/>
                          <w:bottom w:val="single" w:sz="2" w:space="0" w:color="000000"/>
                          <w:right w:val="single" w:sz="2" w:space="0" w:color="000000"/>
                        </w:tcBorders>
                      </w:tcPr>
                      <w:p w14:paraId="19DC7820" w14:textId="77777777" w:rsidR="00F65BCA" w:rsidRDefault="00F65BCA">
                        <w:pPr>
                          <w:pStyle w:val="TableParagraph"/>
                          <w:rPr>
                            <w:rFonts w:ascii="Calibri"/>
                            <w:sz w:val="2"/>
                          </w:rPr>
                        </w:pPr>
                      </w:p>
                      <w:p w14:paraId="39F91D18" w14:textId="77777777" w:rsidR="00F65BCA" w:rsidRDefault="00F65BCA">
                        <w:pPr>
                          <w:pStyle w:val="TableParagraph"/>
                          <w:rPr>
                            <w:rFonts w:ascii="Calibri"/>
                            <w:sz w:val="2"/>
                          </w:rPr>
                        </w:pPr>
                      </w:p>
                      <w:p w14:paraId="24DE07C6" w14:textId="77777777" w:rsidR="00F65BCA" w:rsidRDefault="00F65BCA">
                        <w:pPr>
                          <w:pStyle w:val="TableParagraph"/>
                          <w:rPr>
                            <w:rFonts w:ascii="Calibri"/>
                            <w:sz w:val="2"/>
                          </w:rPr>
                        </w:pPr>
                      </w:p>
                      <w:p w14:paraId="74DCF98A" w14:textId="77777777" w:rsidR="00F65BCA" w:rsidRDefault="00F65BCA">
                        <w:pPr>
                          <w:pStyle w:val="TableParagraph"/>
                          <w:spacing w:before="7"/>
                          <w:rPr>
                            <w:rFonts w:ascii="Calibri"/>
                            <w:sz w:val="2"/>
                          </w:rPr>
                        </w:pPr>
                      </w:p>
                      <w:p w14:paraId="5C5E0F54" w14:textId="77777777" w:rsidR="00F65BCA" w:rsidRDefault="00216117">
                        <w:pPr>
                          <w:pStyle w:val="TableParagraph"/>
                          <w:ind w:left="24" w:right="24"/>
                          <w:jc w:val="center"/>
                          <w:rPr>
                            <w:sz w:val="3"/>
                          </w:rPr>
                        </w:pPr>
                        <w:r>
                          <w:rPr>
                            <w:w w:val="105"/>
                            <w:sz w:val="3"/>
                          </w:rPr>
                          <w:t>1,16288874%</w:t>
                        </w:r>
                      </w:p>
                    </w:tc>
                    <w:tc>
                      <w:tcPr>
                        <w:tcW w:w="288" w:type="dxa"/>
                        <w:tcBorders>
                          <w:top w:val="single" w:sz="2" w:space="0" w:color="000000"/>
                          <w:left w:val="single" w:sz="2" w:space="0" w:color="000000"/>
                          <w:bottom w:val="single" w:sz="2" w:space="0" w:color="000000"/>
                          <w:right w:val="single" w:sz="2" w:space="0" w:color="000000"/>
                        </w:tcBorders>
                      </w:tcPr>
                      <w:p w14:paraId="1F7EEE72" w14:textId="77777777" w:rsidR="00F65BCA" w:rsidRDefault="00F65BCA">
                        <w:pPr>
                          <w:pStyle w:val="TableParagraph"/>
                          <w:rPr>
                            <w:rFonts w:ascii="Calibri"/>
                            <w:sz w:val="2"/>
                          </w:rPr>
                        </w:pPr>
                      </w:p>
                      <w:p w14:paraId="638E5897" w14:textId="77777777" w:rsidR="00F65BCA" w:rsidRDefault="00F65BCA">
                        <w:pPr>
                          <w:pStyle w:val="TableParagraph"/>
                          <w:rPr>
                            <w:rFonts w:ascii="Calibri"/>
                            <w:sz w:val="2"/>
                          </w:rPr>
                        </w:pPr>
                      </w:p>
                      <w:p w14:paraId="66E97624" w14:textId="77777777" w:rsidR="00F65BCA" w:rsidRDefault="00F65BCA">
                        <w:pPr>
                          <w:pStyle w:val="TableParagraph"/>
                          <w:rPr>
                            <w:rFonts w:ascii="Calibri"/>
                            <w:sz w:val="2"/>
                          </w:rPr>
                        </w:pPr>
                      </w:p>
                      <w:p w14:paraId="25662264" w14:textId="77777777" w:rsidR="00F65BCA" w:rsidRDefault="00F65BCA">
                        <w:pPr>
                          <w:pStyle w:val="TableParagraph"/>
                          <w:spacing w:before="7"/>
                          <w:rPr>
                            <w:rFonts w:ascii="Calibri"/>
                            <w:sz w:val="2"/>
                          </w:rPr>
                        </w:pPr>
                      </w:p>
                      <w:p w14:paraId="5A420B9A" w14:textId="77777777" w:rsidR="00F65BCA" w:rsidRDefault="00216117">
                        <w:pPr>
                          <w:pStyle w:val="TableParagraph"/>
                          <w:ind w:left="24" w:right="24"/>
                          <w:jc w:val="center"/>
                          <w:rPr>
                            <w:sz w:val="3"/>
                          </w:rPr>
                        </w:pPr>
                        <w:r>
                          <w:rPr>
                            <w:w w:val="105"/>
                            <w:sz w:val="3"/>
                          </w:rPr>
                          <w:t>1,10862060%</w:t>
                        </w:r>
                      </w:p>
                    </w:tc>
                    <w:tc>
                      <w:tcPr>
                        <w:tcW w:w="288" w:type="dxa"/>
                        <w:tcBorders>
                          <w:top w:val="single" w:sz="2" w:space="0" w:color="000000"/>
                          <w:left w:val="single" w:sz="2" w:space="0" w:color="000000"/>
                          <w:bottom w:val="single" w:sz="2" w:space="0" w:color="000000"/>
                          <w:right w:val="single" w:sz="2" w:space="0" w:color="000000"/>
                        </w:tcBorders>
                      </w:tcPr>
                      <w:p w14:paraId="32C3F268" w14:textId="77777777" w:rsidR="00F65BCA" w:rsidRDefault="00F65BCA">
                        <w:pPr>
                          <w:pStyle w:val="TableParagraph"/>
                          <w:rPr>
                            <w:rFonts w:ascii="Calibri"/>
                            <w:sz w:val="2"/>
                          </w:rPr>
                        </w:pPr>
                      </w:p>
                      <w:p w14:paraId="223742FE" w14:textId="77777777" w:rsidR="00F65BCA" w:rsidRDefault="00F65BCA">
                        <w:pPr>
                          <w:pStyle w:val="TableParagraph"/>
                          <w:rPr>
                            <w:rFonts w:ascii="Calibri"/>
                            <w:sz w:val="2"/>
                          </w:rPr>
                        </w:pPr>
                      </w:p>
                      <w:p w14:paraId="3D11E17E" w14:textId="77777777" w:rsidR="00F65BCA" w:rsidRDefault="00F65BCA">
                        <w:pPr>
                          <w:pStyle w:val="TableParagraph"/>
                          <w:rPr>
                            <w:rFonts w:ascii="Calibri"/>
                            <w:sz w:val="2"/>
                          </w:rPr>
                        </w:pPr>
                      </w:p>
                      <w:p w14:paraId="720462BB" w14:textId="77777777" w:rsidR="00F65BCA" w:rsidRDefault="00F65BCA">
                        <w:pPr>
                          <w:pStyle w:val="TableParagraph"/>
                          <w:spacing w:before="7"/>
                          <w:rPr>
                            <w:rFonts w:ascii="Calibri"/>
                            <w:sz w:val="2"/>
                          </w:rPr>
                        </w:pPr>
                      </w:p>
                      <w:p w14:paraId="2D4C9679"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6E356138" w14:textId="77777777" w:rsidR="00F65BCA" w:rsidRDefault="00F65BCA">
                        <w:pPr>
                          <w:pStyle w:val="TableParagraph"/>
                          <w:rPr>
                            <w:rFonts w:ascii="Calibri"/>
                            <w:sz w:val="2"/>
                          </w:rPr>
                        </w:pPr>
                      </w:p>
                      <w:p w14:paraId="10DF8334" w14:textId="77777777" w:rsidR="00F65BCA" w:rsidRDefault="00F65BCA">
                        <w:pPr>
                          <w:pStyle w:val="TableParagraph"/>
                          <w:rPr>
                            <w:rFonts w:ascii="Calibri"/>
                            <w:sz w:val="2"/>
                          </w:rPr>
                        </w:pPr>
                      </w:p>
                      <w:p w14:paraId="69B91E0E" w14:textId="77777777" w:rsidR="00F65BCA" w:rsidRDefault="00F65BCA">
                        <w:pPr>
                          <w:pStyle w:val="TableParagraph"/>
                          <w:rPr>
                            <w:rFonts w:ascii="Calibri"/>
                            <w:sz w:val="2"/>
                          </w:rPr>
                        </w:pPr>
                      </w:p>
                      <w:p w14:paraId="7DC2F9D1" w14:textId="77777777" w:rsidR="00F65BCA" w:rsidRDefault="00F65BCA">
                        <w:pPr>
                          <w:pStyle w:val="TableParagraph"/>
                          <w:spacing w:before="7"/>
                          <w:rPr>
                            <w:rFonts w:ascii="Calibri"/>
                            <w:sz w:val="2"/>
                          </w:rPr>
                        </w:pPr>
                      </w:p>
                      <w:p w14:paraId="3BF6B4FF" w14:textId="77777777" w:rsidR="00F65BCA" w:rsidRDefault="00216117">
                        <w:pPr>
                          <w:pStyle w:val="TableParagraph"/>
                          <w:ind w:left="24" w:right="24"/>
                          <w:jc w:val="center"/>
                          <w:rPr>
                            <w:sz w:val="3"/>
                          </w:rPr>
                        </w:pPr>
                        <w:r>
                          <w:rPr>
                            <w:w w:val="105"/>
                            <w:sz w:val="3"/>
                          </w:rPr>
                          <w:t>0,99233172%</w:t>
                        </w:r>
                      </w:p>
                    </w:tc>
                    <w:tc>
                      <w:tcPr>
                        <w:tcW w:w="288" w:type="dxa"/>
                        <w:tcBorders>
                          <w:top w:val="single" w:sz="2" w:space="0" w:color="000000"/>
                          <w:left w:val="single" w:sz="2" w:space="0" w:color="000000"/>
                          <w:bottom w:val="single" w:sz="2" w:space="0" w:color="000000"/>
                          <w:right w:val="single" w:sz="2" w:space="0" w:color="000000"/>
                        </w:tcBorders>
                      </w:tcPr>
                      <w:p w14:paraId="028A6E09" w14:textId="77777777" w:rsidR="00F65BCA" w:rsidRDefault="00F65BCA">
                        <w:pPr>
                          <w:pStyle w:val="TableParagraph"/>
                          <w:rPr>
                            <w:rFonts w:ascii="Calibri"/>
                            <w:sz w:val="2"/>
                          </w:rPr>
                        </w:pPr>
                      </w:p>
                      <w:p w14:paraId="13AC091E" w14:textId="77777777" w:rsidR="00F65BCA" w:rsidRDefault="00F65BCA">
                        <w:pPr>
                          <w:pStyle w:val="TableParagraph"/>
                          <w:rPr>
                            <w:rFonts w:ascii="Calibri"/>
                            <w:sz w:val="2"/>
                          </w:rPr>
                        </w:pPr>
                      </w:p>
                      <w:p w14:paraId="49E68011" w14:textId="77777777" w:rsidR="00F65BCA" w:rsidRDefault="00F65BCA">
                        <w:pPr>
                          <w:pStyle w:val="TableParagraph"/>
                          <w:rPr>
                            <w:rFonts w:ascii="Calibri"/>
                            <w:sz w:val="2"/>
                          </w:rPr>
                        </w:pPr>
                      </w:p>
                      <w:p w14:paraId="2ACBF78D" w14:textId="77777777" w:rsidR="00F65BCA" w:rsidRDefault="00F65BCA">
                        <w:pPr>
                          <w:pStyle w:val="TableParagraph"/>
                          <w:spacing w:before="7"/>
                          <w:rPr>
                            <w:rFonts w:ascii="Calibri"/>
                            <w:sz w:val="2"/>
                          </w:rPr>
                        </w:pPr>
                      </w:p>
                      <w:p w14:paraId="6DE49ADC" w14:textId="77777777" w:rsidR="00F65BCA" w:rsidRDefault="00216117">
                        <w:pPr>
                          <w:pStyle w:val="TableParagraph"/>
                          <w:ind w:left="24" w:right="24"/>
                          <w:jc w:val="center"/>
                          <w:rPr>
                            <w:sz w:val="3"/>
                          </w:rPr>
                        </w:pPr>
                        <w:r>
                          <w:rPr>
                            <w:w w:val="105"/>
                            <w:sz w:val="3"/>
                          </w:rPr>
                          <w:t>0,92255840%</w:t>
                        </w:r>
                      </w:p>
                    </w:tc>
                    <w:tc>
                      <w:tcPr>
                        <w:tcW w:w="288" w:type="dxa"/>
                        <w:tcBorders>
                          <w:top w:val="single" w:sz="2" w:space="0" w:color="000000"/>
                          <w:left w:val="single" w:sz="2" w:space="0" w:color="000000"/>
                          <w:bottom w:val="single" w:sz="2" w:space="0" w:color="000000"/>
                          <w:right w:val="single" w:sz="2" w:space="0" w:color="000000"/>
                        </w:tcBorders>
                      </w:tcPr>
                      <w:p w14:paraId="7615E46D" w14:textId="77777777" w:rsidR="00F65BCA" w:rsidRDefault="00F65BCA">
                        <w:pPr>
                          <w:pStyle w:val="TableParagraph"/>
                          <w:rPr>
                            <w:rFonts w:ascii="Calibri"/>
                            <w:sz w:val="2"/>
                          </w:rPr>
                        </w:pPr>
                      </w:p>
                      <w:p w14:paraId="40E92933" w14:textId="77777777" w:rsidR="00F65BCA" w:rsidRDefault="00F65BCA">
                        <w:pPr>
                          <w:pStyle w:val="TableParagraph"/>
                          <w:rPr>
                            <w:rFonts w:ascii="Calibri"/>
                            <w:sz w:val="2"/>
                          </w:rPr>
                        </w:pPr>
                      </w:p>
                      <w:p w14:paraId="4BDE7041" w14:textId="77777777" w:rsidR="00F65BCA" w:rsidRDefault="00F65BCA">
                        <w:pPr>
                          <w:pStyle w:val="TableParagraph"/>
                          <w:rPr>
                            <w:rFonts w:ascii="Calibri"/>
                            <w:sz w:val="2"/>
                          </w:rPr>
                        </w:pPr>
                      </w:p>
                      <w:p w14:paraId="2F854894" w14:textId="77777777" w:rsidR="00F65BCA" w:rsidRDefault="00F65BCA">
                        <w:pPr>
                          <w:pStyle w:val="TableParagraph"/>
                          <w:spacing w:before="7"/>
                          <w:rPr>
                            <w:rFonts w:ascii="Calibri"/>
                            <w:sz w:val="2"/>
                          </w:rPr>
                        </w:pPr>
                      </w:p>
                      <w:p w14:paraId="273E1CE0" w14:textId="77777777" w:rsidR="00F65BCA" w:rsidRDefault="00216117">
                        <w:pPr>
                          <w:pStyle w:val="TableParagraph"/>
                          <w:ind w:left="24" w:right="24"/>
                          <w:jc w:val="center"/>
                          <w:rPr>
                            <w:sz w:val="3"/>
                          </w:rPr>
                        </w:pPr>
                        <w:r>
                          <w:rPr>
                            <w:w w:val="105"/>
                            <w:sz w:val="3"/>
                          </w:rPr>
                          <w:t>0,85278508%</w:t>
                        </w:r>
                      </w:p>
                    </w:tc>
                    <w:tc>
                      <w:tcPr>
                        <w:tcW w:w="288" w:type="dxa"/>
                        <w:tcBorders>
                          <w:top w:val="single" w:sz="2" w:space="0" w:color="000000"/>
                          <w:left w:val="single" w:sz="2" w:space="0" w:color="000000"/>
                          <w:bottom w:val="single" w:sz="2" w:space="0" w:color="000000"/>
                          <w:right w:val="single" w:sz="2" w:space="0" w:color="000000"/>
                        </w:tcBorders>
                      </w:tcPr>
                      <w:p w14:paraId="14E67F51" w14:textId="77777777" w:rsidR="00F65BCA" w:rsidRDefault="00F65BCA">
                        <w:pPr>
                          <w:pStyle w:val="TableParagraph"/>
                          <w:rPr>
                            <w:rFonts w:ascii="Calibri"/>
                            <w:sz w:val="2"/>
                          </w:rPr>
                        </w:pPr>
                      </w:p>
                      <w:p w14:paraId="69AEF3E8" w14:textId="77777777" w:rsidR="00F65BCA" w:rsidRDefault="00F65BCA">
                        <w:pPr>
                          <w:pStyle w:val="TableParagraph"/>
                          <w:rPr>
                            <w:rFonts w:ascii="Calibri"/>
                            <w:sz w:val="2"/>
                          </w:rPr>
                        </w:pPr>
                      </w:p>
                      <w:p w14:paraId="77CFEEEF" w14:textId="77777777" w:rsidR="00F65BCA" w:rsidRDefault="00F65BCA">
                        <w:pPr>
                          <w:pStyle w:val="TableParagraph"/>
                          <w:rPr>
                            <w:rFonts w:ascii="Calibri"/>
                            <w:sz w:val="2"/>
                          </w:rPr>
                        </w:pPr>
                      </w:p>
                      <w:p w14:paraId="7F0E36FD" w14:textId="77777777" w:rsidR="00F65BCA" w:rsidRDefault="00F65BCA">
                        <w:pPr>
                          <w:pStyle w:val="TableParagraph"/>
                          <w:spacing w:before="7"/>
                          <w:rPr>
                            <w:rFonts w:ascii="Calibri"/>
                            <w:sz w:val="2"/>
                          </w:rPr>
                        </w:pPr>
                      </w:p>
                      <w:p w14:paraId="5F6084F7" w14:textId="77777777" w:rsidR="00F65BCA" w:rsidRDefault="00216117">
                        <w:pPr>
                          <w:pStyle w:val="TableParagraph"/>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14D9D7B7" w14:textId="77777777" w:rsidR="00F65BCA" w:rsidRDefault="00F65BCA">
                        <w:pPr>
                          <w:pStyle w:val="TableParagraph"/>
                          <w:rPr>
                            <w:rFonts w:ascii="Calibri"/>
                            <w:sz w:val="2"/>
                          </w:rPr>
                        </w:pPr>
                      </w:p>
                      <w:p w14:paraId="0435551C" w14:textId="77777777" w:rsidR="00F65BCA" w:rsidRDefault="00F65BCA">
                        <w:pPr>
                          <w:pStyle w:val="TableParagraph"/>
                          <w:rPr>
                            <w:rFonts w:ascii="Calibri"/>
                            <w:sz w:val="2"/>
                          </w:rPr>
                        </w:pPr>
                      </w:p>
                      <w:p w14:paraId="0D0ECD8B" w14:textId="77777777" w:rsidR="00F65BCA" w:rsidRDefault="00F65BCA">
                        <w:pPr>
                          <w:pStyle w:val="TableParagraph"/>
                          <w:rPr>
                            <w:rFonts w:ascii="Calibri"/>
                            <w:sz w:val="2"/>
                          </w:rPr>
                        </w:pPr>
                      </w:p>
                      <w:p w14:paraId="0BF01415" w14:textId="77777777" w:rsidR="00F65BCA" w:rsidRDefault="00F65BCA">
                        <w:pPr>
                          <w:pStyle w:val="TableParagraph"/>
                          <w:spacing w:before="7"/>
                          <w:rPr>
                            <w:rFonts w:ascii="Calibri"/>
                            <w:sz w:val="2"/>
                          </w:rPr>
                        </w:pPr>
                      </w:p>
                      <w:p w14:paraId="143F2127" w14:textId="77777777" w:rsidR="00F65BCA" w:rsidRDefault="00216117">
                        <w:pPr>
                          <w:pStyle w:val="TableParagraph"/>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54E79F7F" w14:textId="77777777" w:rsidR="00F65BCA" w:rsidRDefault="00F65BCA">
                        <w:pPr>
                          <w:pStyle w:val="TableParagraph"/>
                          <w:rPr>
                            <w:rFonts w:ascii="Calibri"/>
                            <w:sz w:val="2"/>
                          </w:rPr>
                        </w:pPr>
                      </w:p>
                      <w:p w14:paraId="54DEAC2B" w14:textId="77777777" w:rsidR="00F65BCA" w:rsidRDefault="00F65BCA">
                        <w:pPr>
                          <w:pStyle w:val="TableParagraph"/>
                          <w:rPr>
                            <w:rFonts w:ascii="Calibri"/>
                            <w:sz w:val="2"/>
                          </w:rPr>
                        </w:pPr>
                      </w:p>
                      <w:p w14:paraId="7D7FD013" w14:textId="77777777" w:rsidR="00F65BCA" w:rsidRDefault="00F65BCA">
                        <w:pPr>
                          <w:pStyle w:val="TableParagraph"/>
                          <w:rPr>
                            <w:rFonts w:ascii="Calibri"/>
                            <w:sz w:val="2"/>
                          </w:rPr>
                        </w:pPr>
                      </w:p>
                      <w:p w14:paraId="2B5E5CAB" w14:textId="77777777" w:rsidR="00F65BCA" w:rsidRDefault="00F65BCA">
                        <w:pPr>
                          <w:pStyle w:val="TableParagraph"/>
                          <w:spacing w:before="7"/>
                          <w:rPr>
                            <w:rFonts w:ascii="Calibri"/>
                            <w:sz w:val="2"/>
                          </w:rPr>
                        </w:pPr>
                      </w:p>
                      <w:p w14:paraId="5E15D806" w14:textId="77777777" w:rsidR="00F65BCA" w:rsidRDefault="00216117">
                        <w:pPr>
                          <w:pStyle w:val="TableParagraph"/>
                          <w:ind w:left="24" w:right="24"/>
                          <w:jc w:val="center"/>
                          <w:rPr>
                            <w:sz w:val="3"/>
                          </w:rPr>
                        </w:pPr>
                        <w:r>
                          <w:rPr>
                            <w:w w:val="105"/>
                            <w:sz w:val="3"/>
                          </w:rPr>
                          <w:t>0,93031099%</w:t>
                        </w:r>
                      </w:p>
                    </w:tc>
                    <w:tc>
                      <w:tcPr>
                        <w:tcW w:w="288" w:type="dxa"/>
                        <w:tcBorders>
                          <w:top w:val="single" w:sz="2" w:space="0" w:color="000000"/>
                          <w:left w:val="single" w:sz="2" w:space="0" w:color="000000"/>
                          <w:bottom w:val="single" w:sz="2" w:space="0" w:color="000000"/>
                          <w:right w:val="single" w:sz="2" w:space="0" w:color="000000"/>
                        </w:tcBorders>
                      </w:tcPr>
                      <w:p w14:paraId="070D3819" w14:textId="77777777" w:rsidR="00F65BCA" w:rsidRDefault="00F65BCA">
                        <w:pPr>
                          <w:pStyle w:val="TableParagraph"/>
                          <w:rPr>
                            <w:rFonts w:ascii="Calibri"/>
                            <w:sz w:val="2"/>
                          </w:rPr>
                        </w:pPr>
                      </w:p>
                      <w:p w14:paraId="212DC95C" w14:textId="77777777" w:rsidR="00F65BCA" w:rsidRDefault="00F65BCA">
                        <w:pPr>
                          <w:pStyle w:val="TableParagraph"/>
                          <w:rPr>
                            <w:rFonts w:ascii="Calibri"/>
                            <w:sz w:val="2"/>
                          </w:rPr>
                        </w:pPr>
                      </w:p>
                      <w:p w14:paraId="7492A3B0" w14:textId="77777777" w:rsidR="00F65BCA" w:rsidRDefault="00F65BCA">
                        <w:pPr>
                          <w:pStyle w:val="TableParagraph"/>
                          <w:rPr>
                            <w:rFonts w:ascii="Calibri"/>
                            <w:sz w:val="2"/>
                          </w:rPr>
                        </w:pPr>
                      </w:p>
                      <w:p w14:paraId="389E8BE7" w14:textId="77777777" w:rsidR="00F65BCA" w:rsidRDefault="00F65BCA">
                        <w:pPr>
                          <w:pStyle w:val="TableParagraph"/>
                          <w:spacing w:before="7"/>
                          <w:rPr>
                            <w:rFonts w:ascii="Calibri"/>
                            <w:sz w:val="2"/>
                          </w:rPr>
                        </w:pPr>
                      </w:p>
                      <w:p w14:paraId="3569E53A"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3A8BA069" w14:textId="77777777" w:rsidR="00F65BCA" w:rsidRDefault="00F65BCA">
                        <w:pPr>
                          <w:pStyle w:val="TableParagraph"/>
                          <w:rPr>
                            <w:rFonts w:ascii="Calibri"/>
                            <w:sz w:val="2"/>
                          </w:rPr>
                        </w:pPr>
                      </w:p>
                      <w:p w14:paraId="1995BAC8" w14:textId="77777777" w:rsidR="00F65BCA" w:rsidRDefault="00F65BCA">
                        <w:pPr>
                          <w:pStyle w:val="TableParagraph"/>
                          <w:rPr>
                            <w:rFonts w:ascii="Calibri"/>
                            <w:sz w:val="2"/>
                          </w:rPr>
                        </w:pPr>
                      </w:p>
                      <w:p w14:paraId="202B4DF2" w14:textId="77777777" w:rsidR="00F65BCA" w:rsidRDefault="00F65BCA">
                        <w:pPr>
                          <w:pStyle w:val="TableParagraph"/>
                          <w:rPr>
                            <w:rFonts w:ascii="Calibri"/>
                            <w:sz w:val="2"/>
                          </w:rPr>
                        </w:pPr>
                      </w:p>
                      <w:p w14:paraId="3859F4BD" w14:textId="77777777" w:rsidR="00F65BCA" w:rsidRDefault="00F65BCA">
                        <w:pPr>
                          <w:pStyle w:val="TableParagraph"/>
                          <w:spacing w:before="7"/>
                          <w:rPr>
                            <w:rFonts w:ascii="Calibri"/>
                            <w:sz w:val="2"/>
                          </w:rPr>
                        </w:pPr>
                      </w:p>
                      <w:p w14:paraId="6E0EB67F"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457C1D0C" w14:textId="77777777" w:rsidR="00F65BCA" w:rsidRDefault="00F65BCA">
                        <w:pPr>
                          <w:pStyle w:val="TableParagraph"/>
                          <w:rPr>
                            <w:rFonts w:ascii="Calibri"/>
                            <w:sz w:val="2"/>
                          </w:rPr>
                        </w:pPr>
                      </w:p>
                      <w:p w14:paraId="45733963" w14:textId="77777777" w:rsidR="00F65BCA" w:rsidRDefault="00F65BCA">
                        <w:pPr>
                          <w:pStyle w:val="TableParagraph"/>
                          <w:rPr>
                            <w:rFonts w:ascii="Calibri"/>
                            <w:sz w:val="2"/>
                          </w:rPr>
                        </w:pPr>
                      </w:p>
                      <w:p w14:paraId="706D779C" w14:textId="77777777" w:rsidR="00F65BCA" w:rsidRDefault="00F65BCA">
                        <w:pPr>
                          <w:pStyle w:val="TableParagraph"/>
                          <w:rPr>
                            <w:rFonts w:ascii="Calibri"/>
                            <w:sz w:val="2"/>
                          </w:rPr>
                        </w:pPr>
                      </w:p>
                      <w:p w14:paraId="3292840C" w14:textId="77777777" w:rsidR="00F65BCA" w:rsidRDefault="00F65BCA">
                        <w:pPr>
                          <w:pStyle w:val="TableParagraph"/>
                          <w:spacing w:before="7"/>
                          <w:rPr>
                            <w:rFonts w:ascii="Calibri"/>
                            <w:sz w:val="2"/>
                          </w:rPr>
                        </w:pPr>
                      </w:p>
                      <w:p w14:paraId="39E09B40" w14:textId="77777777" w:rsidR="00F65BCA" w:rsidRDefault="00216117">
                        <w:pPr>
                          <w:pStyle w:val="TableParagraph"/>
                          <w:ind w:left="24" w:right="24"/>
                          <w:jc w:val="center"/>
                          <w:rPr>
                            <w:sz w:val="3"/>
                          </w:rPr>
                        </w:pPr>
                        <w:r>
                          <w:rPr>
                            <w:w w:val="105"/>
                            <w:sz w:val="3"/>
                          </w:rPr>
                          <w:t>1,16288874%</w:t>
                        </w:r>
                      </w:p>
                    </w:tc>
                  </w:tr>
                  <w:tr w:rsidR="00F65BCA" w14:paraId="2E3B1983" w14:textId="77777777">
                    <w:trPr>
                      <w:trHeight w:val="242"/>
                    </w:trPr>
                    <w:tc>
                      <w:tcPr>
                        <w:tcW w:w="526" w:type="dxa"/>
                        <w:vMerge/>
                        <w:tcBorders>
                          <w:top w:val="nil"/>
                          <w:left w:val="single" w:sz="2" w:space="0" w:color="000000"/>
                          <w:bottom w:val="single" w:sz="2" w:space="0" w:color="000000"/>
                          <w:right w:val="single" w:sz="2" w:space="0" w:color="000000"/>
                        </w:tcBorders>
                        <w:shd w:val="clear" w:color="auto" w:fill="FCE4D6"/>
                      </w:tcPr>
                      <w:p w14:paraId="2BEC1063"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1A3D7983"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436B5E5F"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9103CCE" w14:textId="77777777" w:rsidR="00F65BCA" w:rsidRDefault="00F65BCA">
                        <w:pPr>
                          <w:pStyle w:val="TableParagraph"/>
                          <w:rPr>
                            <w:rFonts w:ascii="Calibri"/>
                            <w:sz w:val="2"/>
                          </w:rPr>
                        </w:pPr>
                      </w:p>
                      <w:p w14:paraId="4EF95997" w14:textId="77777777" w:rsidR="00F65BCA" w:rsidRDefault="00F65BCA">
                        <w:pPr>
                          <w:pStyle w:val="TableParagraph"/>
                          <w:rPr>
                            <w:rFonts w:ascii="Calibri"/>
                            <w:sz w:val="2"/>
                          </w:rPr>
                        </w:pPr>
                      </w:p>
                      <w:p w14:paraId="4EEEDCE2" w14:textId="77777777" w:rsidR="00F65BCA" w:rsidRDefault="00F65BCA">
                        <w:pPr>
                          <w:pStyle w:val="TableParagraph"/>
                          <w:rPr>
                            <w:rFonts w:ascii="Calibri"/>
                            <w:sz w:val="2"/>
                          </w:rPr>
                        </w:pPr>
                      </w:p>
                      <w:p w14:paraId="3C9C9A93" w14:textId="77777777" w:rsidR="00F65BCA" w:rsidRDefault="00F65BCA">
                        <w:pPr>
                          <w:pStyle w:val="TableParagraph"/>
                          <w:spacing w:before="7"/>
                          <w:rPr>
                            <w:rFonts w:ascii="Calibri"/>
                            <w:sz w:val="2"/>
                          </w:rPr>
                        </w:pPr>
                      </w:p>
                      <w:p w14:paraId="5EE2D663"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F477DC4" w14:textId="77777777" w:rsidR="00F65BCA" w:rsidRDefault="00F65BCA">
                        <w:pPr>
                          <w:pStyle w:val="TableParagraph"/>
                          <w:rPr>
                            <w:rFonts w:ascii="Calibri"/>
                            <w:sz w:val="2"/>
                          </w:rPr>
                        </w:pPr>
                      </w:p>
                      <w:p w14:paraId="34B08DF6" w14:textId="77777777" w:rsidR="00F65BCA" w:rsidRDefault="00F65BCA">
                        <w:pPr>
                          <w:pStyle w:val="TableParagraph"/>
                          <w:rPr>
                            <w:rFonts w:ascii="Calibri"/>
                            <w:sz w:val="2"/>
                          </w:rPr>
                        </w:pPr>
                      </w:p>
                      <w:p w14:paraId="7442F453" w14:textId="77777777" w:rsidR="00F65BCA" w:rsidRDefault="00F65BCA">
                        <w:pPr>
                          <w:pStyle w:val="TableParagraph"/>
                          <w:rPr>
                            <w:rFonts w:ascii="Calibri"/>
                            <w:sz w:val="2"/>
                          </w:rPr>
                        </w:pPr>
                      </w:p>
                      <w:p w14:paraId="47A40BD0" w14:textId="77777777" w:rsidR="00F65BCA" w:rsidRDefault="00F65BCA">
                        <w:pPr>
                          <w:pStyle w:val="TableParagraph"/>
                          <w:spacing w:before="7"/>
                          <w:rPr>
                            <w:rFonts w:ascii="Calibri"/>
                            <w:sz w:val="2"/>
                          </w:rPr>
                        </w:pPr>
                      </w:p>
                      <w:p w14:paraId="7B66078C"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43C6FA9"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D946C26" w14:textId="77777777" w:rsidR="00F65BCA" w:rsidRDefault="00F65BCA">
                        <w:pPr>
                          <w:pStyle w:val="TableParagraph"/>
                          <w:rPr>
                            <w:rFonts w:ascii="Calibri"/>
                            <w:sz w:val="2"/>
                          </w:rPr>
                        </w:pPr>
                      </w:p>
                      <w:p w14:paraId="7205F220" w14:textId="77777777" w:rsidR="00F65BCA" w:rsidRDefault="00F65BCA">
                        <w:pPr>
                          <w:pStyle w:val="TableParagraph"/>
                          <w:rPr>
                            <w:rFonts w:ascii="Calibri"/>
                            <w:sz w:val="2"/>
                          </w:rPr>
                        </w:pPr>
                      </w:p>
                      <w:p w14:paraId="6926AD6F" w14:textId="77777777" w:rsidR="00F65BCA" w:rsidRDefault="00F65BCA">
                        <w:pPr>
                          <w:pStyle w:val="TableParagraph"/>
                          <w:rPr>
                            <w:rFonts w:ascii="Calibri"/>
                            <w:sz w:val="2"/>
                          </w:rPr>
                        </w:pPr>
                      </w:p>
                      <w:p w14:paraId="0BD86640" w14:textId="77777777" w:rsidR="00F65BCA" w:rsidRDefault="00F65BCA">
                        <w:pPr>
                          <w:pStyle w:val="TableParagraph"/>
                          <w:spacing w:before="7"/>
                          <w:rPr>
                            <w:rFonts w:ascii="Calibri"/>
                            <w:sz w:val="2"/>
                          </w:rPr>
                        </w:pPr>
                      </w:p>
                      <w:p w14:paraId="07D76072" w14:textId="77777777" w:rsidR="00F65BCA" w:rsidRDefault="00216117">
                        <w:pPr>
                          <w:pStyle w:val="TableParagraph"/>
                          <w:ind w:left="24" w:right="24"/>
                          <w:jc w:val="center"/>
                          <w:rPr>
                            <w:sz w:val="3"/>
                          </w:rPr>
                        </w:pPr>
                        <w:r>
                          <w:rPr>
                            <w:w w:val="105"/>
                            <w:sz w:val="3"/>
                          </w:rPr>
                          <w:t>1,49842090%</w:t>
                        </w:r>
                      </w:p>
                    </w:tc>
                    <w:tc>
                      <w:tcPr>
                        <w:tcW w:w="288" w:type="dxa"/>
                        <w:tcBorders>
                          <w:top w:val="single" w:sz="2" w:space="0" w:color="000000"/>
                          <w:left w:val="single" w:sz="2" w:space="0" w:color="000000"/>
                          <w:bottom w:val="single" w:sz="2" w:space="0" w:color="000000"/>
                          <w:right w:val="single" w:sz="2" w:space="0" w:color="000000"/>
                        </w:tcBorders>
                      </w:tcPr>
                      <w:p w14:paraId="6C9BBBEB" w14:textId="77777777" w:rsidR="00F65BCA" w:rsidRDefault="00F65BCA">
                        <w:pPr>
                          <w:pStyle w:val="TableParagraph"/>
                          <w:rPr>
                            <w:rFonts w:ascii="Calibri"/>
                            <w:sz w:val="2"/>
                          </w:rPr>
                        </w:pPr>
                      </w:p>
                      <w:p w14:paraId="2D8523A7" w14:textId="77777777" w:rsidR="00F65BCA" w:rsidRDefault="00F65BCA">
                        <w:pPr>
                          <w:pStyle w:val="TableParagraph"/>
                          <w:rPr>
                            <w:rFonts w:ascii="Calibri"/>
                            <w:sz w:val="2"/>
                          </w:rPr>
                        </w:pPr>
                      </w:p>
                      <w:p w14:paraId="67B58C1E" w14:textId="77777777" w:rsidR="00F65BCA" w:rsidRDefault="00F65BCA">
                        <w:pPr>
                          <w:pStyle w:val="TableParagraph"/>
                          <w:rPr>
                            <w:rFonts w:ascii="Calibri"/>
                            <w:sz w:val="2"/>
                          </w:rPr>
                        </w:pPr>
                      </w:p>
                      <w:p w14:paraId="3ACD3B8E" w14:textId="77777777" w:rsidR="00F65BCA" w:rsidRDefault="00F65BCA">
                        <w:pPr>
                          <w:pStyle w:val="TableParagraph"/>
                          <w:spacing w:before="7"/>
                          <w:rPr>
                            <w:rFonts w:ascii="Calibri"/>
                            <w:sz w:val="2"/>
                          </w:rPr>
                        </w:pPr>
                      </w:p>
                      <w:p w14:paraId="6E729C90" w14:textId="77777777" w:rsidR="00F65BCA" w:rsidRDefault="00216117">
                        <w:pPr>
                          <w:pStyle w:val="TableParagraph"/>
                          <w:ind w:left="24" w:right="24"/>
                          <w:jc w:val="center"/>
                          <w:rPr>
                            <w:sz w:val="3"/>
                          </w:rPr>
                        </w:pPr>
                        <w:r>
                          <w:rPr>
                            <w:w w:val="105"/>
                            <w:sz w:val="3"/>
                          </w:rPr>
                          <w:t>1,40476960%</w:t>
                        </w:r>
                      </w:p>
                    </w:tc>
                    <w:tc>
                      <w:tcPr>
                        <w:tcW w:w="288" w:type="dxa"/>
                        <w:tcBorders>
                          <w:top w:val="single" w:sz="2" w:space="0" w:color="000000"/>
                          <w:left w:val="single" w:sz="2" w:space="0" w:color="000000"/>
                          <w:bottom w:val="single" w:sz="2" w:space="0" w:color="000000"/>
                          <w:right w:val="single" w:sz="2" w:space="0" w:color="000000"/>
                        </w:tcBorders>
                      </w:tcPr>
                      <w:p w14:paraId="3DED2252" w14:textId="77777777" w:rsidR="00F65BCA" w:rsidRDefault="00F65BCA">
                        <w:pPr>
                          <w:pStyle w:val="TableParagraph"/>
                          <w:rPr>
                            <w:rFonts w:ascii="Calibri"/>
                            <w:sz w:val="2"/>
                          </w:rPr>
                        </w:pPr>
                      </w:p>
                      <w:p w14:paraId="4D4A6DBE" w14:textId="77777777" w:rsidR="00F65BCA" w:rsidRDefault="00F65BCA">
                        <w:pPr>
                          <w:pStyle w:val="TableParagraph"/>
                          <w:rPr>
                            <w:rFonts w:ascii="Calibri"/>
                            <w:sz w:val="2"/>
                          </w:rPr>
                        </w:pPr>
                      </w:p>
                      <w:p w14:paraId="3B60F694" w14:textId="77777777" w:rsidR="00F65BCA" w:rsidRDefault="00F65BCA">
                        <w:pPr>
                          <w:pStyle w:val="TableParagraph"/>
                          <w:rPr>
                            <w:rFonts w:ascii="Calibri"/>
                            <w:sz w:val="2"/>
                          </w:rPr>
                        </w:pPr>
                      </w:p>
                      <w:p w14:paraId="11E05C77" w14:textId="77777777" w:rsidR="00F65BCA" w:rsidRDefault="00F65BCA">
                        <w:pPr>
                          <w:pStyle w:val="TableParagraph"/>
                          <w:spacing w:before="7"/>
                          <w:rPr>
                            <w:rFonts w:ascii="Calibri"/>
                            <w:sz w:val="2"/>
                          </w:rPr>
                        </w:pPr>
                      </w:p>
                      <w:p w14:paraId="67480CC2" w14:textId="77777777" w:rsidR="00F65BCA" w:rsidRDefault="00216117">
                        <w:pPr>
                          <w:pStyle w:val="TableParagraph"/>
                          <w:ind w:left="24" w:right="24"/>
                          <w:jc w:val="center"/>
                          <w:rPr>
                            <w:sz w:val="3"/>
                          </w:rPr>
                        </w:pPr>
                        <w:r>
                          <w:rPr>
                            <w:w w:val="105"/>
                            <w:sz w:val="3"/>
                          </w:rPr>
                          <w:t>1,33921368%</w:t>
                        </w:r>
                      </w:p>
                    </w:tc>
                    <w:tc>
                      <w:tcPr>
                        <w:tcW w:w="288" w:type="dxa"/>
                        <w:tcBorders>
                          <w:top w:val="single" w:sz="2" w:space="0" w:color="000000"/>
                          <w:left w:val="single" w:sz="2" w:space="0" w:color="000000"/>
                          <w:bottom w:val="single" w:sz="2" w:space="0" w:color="000000"/>
                          <w:right w:val="single" w:sz="2" w:space="0" w:color="000000"/>
                        </w:tcBorders>
                      </w:tcPr>
                      <w:p w14:paraId="521E4BE9" w14:textId="77777777" w:rsidR="00F65BCA" w:rsidRDefault="00F65BCA">
                        <w:pPr>
                          <w:pStyle w:val="TableParagraph"/>
                          <w:rPr>
                            <w:rFonts w:ascii="Calibri"/>
                            <w:sz w:val="2"/>
                          </w:rPr>
                        </w:pPr>
                      </w:p>
                      <w:p w14:paraId="6F5316E3" w14:textId="77777777" w:rsidR="00F65BCA" w:rsidRDefault="00F65BCA">
                        <w:pPr>
                          <w:pStyle w:val="TableParagraph"/>
                          <w:rPr>
                            <w:rFonts w:ascii="Calibri"/>
                            <w:sz w:val="2"/>
                          </w:rPr>
                        </w:pPr>
                      </w:p>
                      <w:p w14:paraId="61A1FC39" w14:textId="77777777" w:rsidR="00F65BCA" w:rsidRDefault="00F65BCA">
                        <w:pPr>
                          <w:pStyle w:val="TableParagraph"/>
                          <w:rPr>
                            <w:rFonts w:ascii="Calibri"/>
                            <w:sz w:val="2"/>
                          </w:rPr>
                        </w:pPr>
                      </w:p>
                      <w:p w14:paraId="1E55F6FE" w14:textId="77777777" w:rsidR="00F65BCA" w:rsidRDefault="00F65BCA">
                        <w:pPr>
                          <w:pStyle w:val="TableParagraph"/>
                          <w:spacing w:before="7"/>
                          <w:rPr>
                            <w:rFonts w:ascii="Calibri"/>
                            <w:sz w:val="2"/>
                          </w:rPr>
                        </w:pPr>
                      </w:p>
                      <w:p w14:paraId="62F13168"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5A015964" w14:textId="77777777" w:rsidR="00F65BCA" w:rsidRDefault="00F65BCA">
                        <w:pPr>
                          <w:pStyle w:val="TableParagraph"/>
                          <w:rPr>
                            <w:rFonts w:ascii="Calibri"/>
                            <w:sz w:val="2"/>
                          </w:rPr>
                        </w:pPr>
                      </w:p>
                      <w:p w14:paraId="00CF3FC7" w14:textId="77777777" w:rsidR="00F65BCA" w:rsidRDefault="00F65BCA">
                        <w:pPr>
                          <w:pStyle w:val="TableParagraph"/>
                          <w:rPr>
                            <w:rFonts w:ascii="Calibri"/>
                            <w:sz w:val="2"/>
                          </w:rPr>
                        </w:pPr>
                      </w:p>
                      <w:p w14:paraId="29CE5EBB" w14:textId="77777777" w:rsidR="00F65BCA" w:rsidRDefault="00F65BCA">
                        <w:pPr>
                          <w:pStyle w:val="TableParagraph"/>
                          <w:rPr>
                            <w:rFonts w:ascii="Calibri"/>
                            <w:sz w:val="2"/>
                          </w:rPr>
                        </w:pPr>
                      </w:p>
                      <w:p w14:paraId="6D14F091" w14:textId="77777777" w:rsidR="00F65BCA" w:rsidRDefault="00F65BCA">
                        <w:pPr>
                          <w:pStyle w:val="TableParagraph"/>
                          <w:spacing w:before="7"/>
                          <w:rPr>
                            <w:rFonts w:ascii="Calibri"/>
                            <w:sz w:val="2"/>
                          </w:rPr>
                        </w:pPr>
                      </w:p>
                      <w:p w14:paraId="575DDEB3" w14:textId="77777777" w:rsidR="00F65BCA" w:rsidRDefault="00216117">
                        <w:pPr>
                          <w:pStyle w:val="TableParagraph"/>
                          <w:ind w:left="24" w:right="24"/>
                          <w:jc w:val="center"/>
                          <w:rPr>
                            <w:sz w:val="3"/>
                          </w:rPr>
                        </w:pPr>
                        <w:r>
                          <w:rPr>
                            <w:w w:val="105"/>
                            <w:sz w:val="3"/>
                          </w:rPr>
                          <w:t>1,19873672%</w:t>
                        </w:r>
                      </w:p>
                    </w:tc>
                    <w:tc>
                      <w:tcPr>
                        <w:tcW w:w="288" w:type="dxa"/>
                        <w:tcBorders>
                          <w:top w:val="single" w:sz="2" w:space="0" w:color="000000"/>
                          <w:left w:val="single" w:sz="2" w:space="0" w:color="000000"/>
                          <w:bottom w:val="single" w:sz="2" w:space="0" w:color="000000"/>
                          <w:right w:val="single" w:sz="2" w:space="0" w:color="000000"/>
                        </w:tcBorders>
                      </w:tcPr>
                      <w:p w14:paraId="4735708A" w14:textId="77777777" w:rsidR="00F65BCA" w:rsidRDefault="00F65BCA">
                        <w:pPr>
                          <w:pStyle w:val="TableParagraph"/>
                          <w:rPr>
                            <w:rFonts w:ascii="Calibri"/>
                            <w:sz w:val="2"/>
                          </w:rPr>
                        </w:pPr>
                      </w:p>
                      <w:p w14:paraId="682B2D1B" w14:textId="77777777" w:rsidR="00F65BCA" w:rsidRDefault="00F65BCA">
                        <w:pPr>
                          <w:pStyle w:val="TableParagraph"/>
                          <w:rPr>
                            <w:rFonts w:ascii="Calibri"/>
                            <w:sz w:val="2"/>
                          </w:rPr>
                        </w:pPr>
                      </w:p>
                      <w:p w14:paraId="5B6E4FE1" w14:textId="77777777" w:rsidR="00F65BCA" w:rsidRDefault="00F65BCA">
                        <w:pPr>
                          <w:pStyle w:val="TableParagraph"/>
                          <w:rPr>
                            <w:rFonts w:ascii="Calibri"/>
                            <w:sz w:val="2"/>
                          </w:rPr>
                        </w:pPr>
                      </w:p>
                      <w:p w14:paraId="31FB5A3C" w14:textId="77777777" w:rsidR="00F65BCA" w:rsidRDefault="00F65BCA">
                        <w:pPr>
                          <w:pStyle w:val="TableParagraph"/>
                          <w:spacing w:before="7"/>
                          <w:rPr>
                            <w:rFonts w:ascii="Calibri"/>
                            <w:sz w:val="2"/>
                          </w:rPr>
                        </w:pPr>
                      </w:p>
                      <w:p w14:paraId="12C16E11" w14:textId="77777777" w:rsidR="00F65BCA" w:rsidRDefault="00216117">
                        <w:pPr>
                          <w:pStyle w:val="TableParagraph"/>
                          <w:ind w:left="24" w:right="24"/>
                          <w:jc w:val="center"/>
                          <w:rPr>
                            <w:sz w:val="3"/>
                          </w:rPr>
                        </w:pPr>
                        <w:r>
                          <w:rPr>
                            <w:w w:val="105"/>
                            <w:sz w:val="3"/>
                          </w:rPr>
                          <w:t>1,11445055%</w:t>
                        </w:r>
                      </w:p>
                    </w:tc>
                    <w:tc>
                      <w:tcPr>
                        <w:tcW w:w="288" w:type="dxa"/>
                        <w:tcBorders>
                          <w:top w:val="single" w:sz="2" w:space="0" w:color="000000"/>
                          <w:left w:val="single" w:sz="2" w:space="0" w:color="000000"/>
                          <w:bottom w:val="single" w:sz="2" w:space="0" w:color="000000"/>
                          <w:right w:val="single" w:sz="2" w:space="0" w:color="000000"/>
                        </w:tcBorders>
                      </w:tcPr>
                      <w:p w14:paraId="21A8337B" w14:textId="77777777" w:rsidR="00F65BCA" w:rsidRDefault="00F65BCA">
                        <w:pPr>
                          <w:pStyle w:val="TableParagraph"/>
                          <w:rPr>
                            <w:rFonts w:ascii="Calibri"/>
                            <w:sz w:val="2"/>
                          </w:rPr>
                        </w:pPr>
                      </w:p>
                      <w:p w14:paraId="4CCBBD17" w14:textId="77777777" w:rsidR="00F65BCA" w:rsidRDefault="00F65BCA">
                        <w:pPr>
                          <w:pStyle w:val="TableParagraph"/>
                          <w:rPr>
                            <w:rFonts w:ascii="Calibri"/>
                            <w:sz w:val="2"/>
                          </w:rPr>
                        </w:pPr>
                      </w:p>
                      <w:p w14:paraId="3F21F92B" w14:textId="77777777" w:rsidR="00F65BCA" w:rsidRDefault="00F65BCA">
                        <w:pPr>
                          <w:pStyle w:val="TableParagraph"/>
                          <w:rPr>
                            <w:rFonts w:ascii="Calibri"/>
                            <w:sz w:val="2"/>
                          </w:rPr>
                        </w:pPr>
                      </w:p>
                      <w:p w14:paraId="1560A9FC" w14:textId="77777777" w:rsidR="00F65BCA" w:rsidRDefault="00F65BCA">
                        <w:pPr>
                          <w:pStyle w:val="TableParagraph"/>
                          <w:spacing w:before="7"/>
                          <w:rPr>
                            <w:rFonts w:ascii="Calibri"/>
                            <w:sz w:val="2"/>
                          </w:rPr>
                        </w:pPr>
                      </w:p>
                      <w:p w14:paraId="3865E756" w14:textId="77777777" w:rsidR="00F65BCA" w:rsidRDefault="00216117">
                        <w:pPr>
                          <w:pStyle w:val="TableParagraph"/>
                          <w:ind w:left="24" w:right="24"/>
                          <w:jc w:val="center"/>
                          <w:rPr>
                            <w:sz w:val="3"/>
                          </w:rPr>
                        </w:pPr>
                        <w:r>
                          <w:rPr>
                            <w:w w:val="105"/>
                            <w:sz w:val="3"/>
                          </w:rPr>
                          <w:t>1,03016437%</w:t>
                        </w:r>
                      </w:p>
                    </w:tc>
                    <w:tc>
                      <w:tcPr>
                        <w:tcW w:w="288" w:type="dxa"/>
                        <w:tcBorders>
                          <w:top w:val="single" w:sz="2" w:space="0" w:color="000000"/>
                          <w:left w:val="single" w:sz="2" w:space="0" w:color="000000"/>
                          <w:bottom w:val="single" w:sz="2" w:space="0" w:color="000000"/>
                          <w:right w:val="single" w:sz="2" w:space="0" w:color="000000"/>
                        </w:tcBorders>
                      </w:tcPr>
                      <w:p w14:paraId="3868B053" w14:textId="77777777" w:rsidR="00F65BCA" w:rsidRDefault="00F65BCA">
                        <w:pPr>
                          <w:pStyle w:val="TableParagraph"/>
                          <w:rPr>
                            <w:rFonts w:ascii="Calibri"/>
                            <w:sz w:val="2"/>
                          </w:rPr>
                        </w:pPr>
                      </w:p>
                      <w:p w14:paraId="23413114" w14:textId="77777777" w:rsidR="00F65BCA" w:rsidRDefault="00F65BCA">
                        <w:pPr>
                          <w:pStyle w:val="TableParagraph"/>
                          <w:rPr>
                            <w:rFonts w:ascii="Calibri"/>
                            <w:sz w:val="2"/>
                          </w:rPr>
                        </w:pPr>
                      </w:p>
                      <w:p w14:paraId="17048656" w14:textId="77777777" w:rsidR="00F65BCA" w:rsidRDefault="00F65BCA">
                        <w:pPr>
                          <w:pStyle w:val="TableParagraph"/>
                          <w:rPr>
                            <w:rFonts w:ascii="Calibri"/>
                            <w:sz w:val="2"/>
                          </w:rPr>
                        </w:pPr>
                      </w:p>
                      <w:p w14:paraId="23A26251" w14:textId="77777777" w:rsidR="00F65BCA" w:rsidRDefault="00F65BCA">
                        <w:pPr>
                          <w:pStyle w:val="TableParagraph"/>
                          <w:spacing w:before="7"/>
                          <w:rPr>
                            <w:rFonts w:ascii="Calibri"/>
                            <w:sz w:val="2"/>
                          </w:rPr>
                        </w:pPr>
                      </w:p>
                      <w:p w14:paraId="27A2856F" w14:textId="77777777" w:rsidR="00F65BCA" w:rsidRDefault="00216117">
                        <w:pPr>
                          <w:pStyle w:val="TableParagraph"/>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20E5BC28" w14:textId="77777777" w:rsidR="00F65BCA" w:rsidRDefault="00F65BCA">
                        <w:pPr>
                          <w:pStyle w:val="TableParagraph"/>
                          <w:rPr>
                            <w:rFonts w:ascii="Calibri"/>
                            <w:sz w:val="2"/>
                          </w:rPr>
                        </w:pPr>
                      </w:p>
                      <w:p w14:paraId="2870134A" w14:textId="77777777" w:rsidR="00F65BCA" w:rsidRDefault="00F65BCA">
                        <w:pPr>
                          <w:pStyle w:val="TableParagraph"/>
                          <w:rPr>
                            <w:rFonts w:ascii="Calibri"/>
                            <w:sz w:val="2"/>
                          </w:rPr>
                        </w:pPr>
                      </w:p>
                      <w:p w14:paraId="6EA0BFAB" w14:textId="77777777" w:rsidR="00F65BCA" w:rsidRDefault="00F65BCA">
                        <w:pPr>
                          <w:pStyle w:val="TableParagraph"/>
                          <w:rPr>
                            <w:rFonts w:ascii="Calibri"/>
                            <w:sz w:val="2"/>
                          </w:rPr>
                        </w:pPr>
                      </w:p>
                      <w:p w14:paraId="27E5EF65" w14:textId="77777777" w:rsidR="00F65BCA" w:rsidRDefault="00F65BCA">
                        <w:pPr>
                          <w:pStyle w:val="TableParagraph"/>
                          <w:spacing w:before="7"/>
                          <w:rPr>
                            <w:rFonts w:ascii="Calibri"/>
                            <w:sz w:val="2"/>
                          </w:rPr>
                        </w:pPr>
                      </w:p>
                      <w:p w14:paraId="3B1DBB4D" w14:textId="77777777" w:rsidR="00F65BCA" w:rsidRDefault="00216117">
                        <w:pPr>
                          <w:pStyle w:val="TableParagraph"/>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7EA748FE" w14:textId="77777777" w:rsidR="00F65BCA" w:rsidRDefault="00F65BCA">
                        <w:pPr>
                          <w:pStyle w:val="TableParagraph"/>
                          <w:rPr>
                            <w:rFonts w:ascii="Calibri"/>
                            <w:sz w:val="2"/>
                          </w:rPr>
                        </w:pPr>
                      </w:p>
                      <w:p w14:paraId="72A8382C" w14:textId="77777777" w:rsidR="00F65BCA" w:rsidRDefault="00F65BCA">
                        <w:pPr>
                          <w:pStyle w:val="TableParagraph"/>
                          <w:rPr>
                            <w:rFonts w:ascii="Calibri"/>
                            <w:sz w:val="2"/>
                          </w:rPr>
                        </w:pPr>
                      </w:p>
                      <w:p w14:paraId="3A7FF296" w14:textId="77777777" w:rsidR="00F65BCA" w:rsidRDefault="00F65BCA">
                        <w:pPr>
                          <w:pStyle w:val="TableParagraph"/>
                          <w:rPr>
                            <w:rFonts w:ascii="Calibri"/>
                            <w:sz w:val="2"/>
                          </w:rPr>
                        </w:pPr>
                      </w:p>
                      <w:p w14:paraId="598A2F0B" w14:textId="77777777" w:rsidR="00F65BCA" w:rsidRDefault="00F65BCA">
                        <w:pPr>
                          <w:pStyle w:val="TableParagraph"/>
                          <w:spacing w:before="7"/>
                          <w:rPr>
                            <w:rFonts w:ascii="Calibri"/>
                            <w:sz w:val="2"/>
                          </w:rPr>
                        </w:pPr>
                      </w:p>
                      <w:p w14:paraId="253BAEEF" w14:textId="77777777" w:rsidR="00F65BCA" w:rsidRDefault="00216117">
                        <w:pPr>
                          <w:pStyle w:val="TableParagraph"/>
                          <w:ind w:left="24" w:right="24"/>
                          <w:jc w:val="center"/>
                          <w:rPr>
                            <w:sz w:val="3"/>
                          </w:rPr>
                        </w:pPr>
                        <w:r>
                          <w:rPr>
                            <w:w w:val="105"/>
                            <w:sz w:val="3"/>
                          </w:rPr>
                          <w:t>1,12381568%</w:t>
                        </w:r>
                      </w:p>
                    </w:tc>
                    <w:tc>
                      <w:tcPr>
                        <w:tcW w:w="288" w:type="dxa"/>
                        <w:tcBorders>
                          <w:top w:val="single" w:sz="2" w:space="0" w:color="000000"/>
                          <w:left w:val="single" w:sz="2" w:space="0" w:color="000000"/>
                          <w:bottom w:val="single" w:sz="2" w:space="0" w:color="000000"/>
                          <w:right w:val="single" w:sz="2" w:space="0" w:color="000000"/>
                        </w:tcBorders>
                      </w:tcPr>
                      <w:p w14:paraId="7DB2DCEA" w14:textId="77777777" w:rsidR="00F65BCA" w:rsidRDefault="00F65BCA">
                        <w:pPr>
                          <w:pStyle w:val="TableParagraph"/>
                          <w:rPr>
                            <w:rFonts w:ascii="Calibri"/>
                            <w:sz w:val="2"/>
                          </w:rPr>
                        </w:pPr>
                      </w:p>
                      <w:p w14:paraId="51D1F1E5" w14:textId="77777777" w:rsidR="00F65BCA" w:rsidRDefault="00F65BCA">
                        <w:pPr>
                          <w:pStyle w:val="TableParagraph"/>
                          <w:rPr>
                            <w:rFonts w:ascii="Calibri"/>
                            <w:sz w:val="2"/>
                          </w:rPr>
                        </w:pPr>
                      </w:p>
                      <w:p w14:paraId="7E39C5D0" w14:textId="77777777" w:rsidR="00F65BCA" w:rsidRDefault="00F65BCA">
                        <w:pPr>
                          <w:pStyle w:val="TableParagraph"/>
                          <w:rPr>
                            <w:rFonts w:ascii="Calibri"/>
                            <w:sz w:val="2"/>
                          </w:rPr>
                        </w:pPr>
                      </w:p>
                      <w:p w14:paraId="0966C4C9" w14:textId="77777777" w:rsidR="00F65BCA" w:rsidRDefault="00F65BCA">
                        <w:pPr>
                          <w:pStyle w:val="TableParagraph"/>
                          <w:spacing w:before="7"/>
                          <w:rPr>
                            <w:rFonts w:ascii="Calibri"/>
                            <w:sz w:val="2"/>
                          </w:rPr>
                        </w:pPr>
                      </w:p>
                      <w:p w14:paraId="46980F30"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528B78CE" w14:textId="77777777" w:rsidR="00F65BCA" w:rsidRDefault="00F65BCA">
                        <w:pPr>
                          <w:pStyle w:val="TableParagraph"/>
                          <w:rPr>
                            <w:rFonts w:ascii="Calibri"/>
                            <w:sz w:val="2"/>
                          </w:rPr>
                        </w:pPr>
                      </w:p>
                      <w:p w14:paraId="4BA664E8" w14:textId="77777777" w:rsidR="00F65BCA" w:rsidRDefault="00F65BCA">
                        <w:pPr>
                          <w:pStyle w:val="TableParagraph"/>
                          <w:rPr>
                            <w:rFonts w:ascii="Calibri"/>
                            <w:sz w:val="2"/>
                          </w:rPr>
                        </w:pPr>
                      </w:p>
                      <w:p w14:paraId="4979EB9A" w14:textId="77777777" w:rsidR="00F65BCA" w:rsidRDefault="00F65BCA">
                        <w:pPr>
                          <w:pStyle w:val="TableParagraph"/>
                          <w:rPr>
                            <w:rFonts w:ascii="Calibri"/>
                            <w:sz w:val="2"/>
                          </w:rPr>
                        </w:pPr>
                      </w:p>
                      <w:p w14:paraId="65504C2F" w14:textId="77777777" w:rsidR="00F65BCA" w:rsidRDefault="00F65BCA">
                        <w:pPr>
                          <w:pStyle w:val="TableParagraph"/>
                          <w:spacing w:before="7"/>
                          <w:rPr>
                            <w:rFonts w:ascii="Calibri"/>
                            <w:sz w:val="2"/>
                          </w:rPr>
                        </w:pPr>
                      </w:p>
                      <w:p w14:paraId="54878DBA"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6F54EC90" w14:textId="77777777" w:rsidR="00F65BCA" w:rsidRDefault="00F65BCA">
                        <w:pPr>
                          <w:pStyle w:val="TableParagraph"/>
                          <w:rPr>
                            <w:rFonts w:ascii="Calibri"/>
                            <w:sz w:val="2"/>
                          </w:rPr>
                        </w:pPr>
                      </w:p>
                      <w:p w14:paraId="280441E8" w14:textId="77777777" w:rsidR="00F65BCA" w:rsidRDefault="00F65BCA">
                        <w:pPr>
                          <w:pStyle w:val="TableParagraph"/>
                          <w:rPr>
                            <w:rFonts w:ascii="Calibri"/>
                            <w:sz w:val="2"/>
                          </w:rPr>
                        </w:pPr>
                      </w:p>
                      <w:p w14:paraId="466122D8" w14:textId="77777777" w:rsidR="00F65BCA" w:rsidRDefault="00F65BCA">
                        <w:pPr>
                          <w:pStyle w:val="TableParagraph"/>
                          <w:rPr>
                            <w:rFonts w:ascii="Calibri"/>
                            <w:sz w:val="2"/>
                          </w:rPr>
                        </w:pPr>
                      </w:p>
                      <w:p w14:paraId="17828FD7" w14:textId="77777777" w:rsidR="00F65BCA" w:rsidRDefault="00F65BCA">
                        <w:pPr>
                          <w:pStyle w:val="TableParagraph"/>
                          <w:spacing w:before="7"/>
                          <w:rPr>
                            <w:rFonts w:ascii="Calibri"/>
                            <w:sz w:val="2"/>
                          </w:rPr>
                        </w:pPr>
                      </w:p>
                      <w:p w14:paraId="06D4D6A5" w14:textId="77777777" w:rsidR="00F65BCA" w:rsidRDefault="00216117">
                        <w:pPr>
                          <w:pStyle w:val="TableParagraph"/>
                          <w:ind w:left="24" w:right="24"/>
                          <w:jc w:val="center"/>
                          <w:rPr>
                            <w:sz w:val="3"/>
                          </w:rPr>
                        </w:pPr>
                        <w:r>
                          <w:rPr>
                            <w:w w:val="105"/>
                            <w:sz w:val="3"/>
                          </w:rPr>
                          <w:t>1,40476960%</w:t>
                        </w:r>
                      </w:p>
                    </w:tc>
                  </w:tr>
                  <w:tr w:rsidR="00F65BCA" w14:paraId="3A4430AE"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2C4E7874"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596FC704" w14:textId="77777777" w:rsidR="00F65BCA" w:rsidRDefault="00F65BCA">
                        <w:pPr>
                          <w:pStyle w:val="TableParagraph"/>
                          <w:rPr>
                            <w:rFonts w:ascii="Calibri"/>
                            <w:sz w:val="2"/>
                          </w:rPr>
                        </w:pPr>
                      </w:p>
                      <w:p w14:paraId="3032CC3B" w14:textId="77777777" w:rsidR="00F65BCA" w:rsidRDefault="00F65BCA">
                        <w:pPr>
                          <w:pStyle w:val="TableParagraph"/>
                          <w:rPr>
                            <w:rFonts w:ascii="Calibri"/>
                            <w:sz w:val="2"/>
                          </w:rPr>
                        </w:pPr>
                      </w:p>
                      <w:p w14:paraId="27D1BCDD" w14:textId="77777777" w:rsidR="00F65BCA" w:rsidRDefault="00F65BCA">
                        <w:pPr>
                          <w:pStyle w:val="TableParagraph"/>
                          <w:rPr>
                            <w:rFonts w:ascii="Calibri"/>
                            <w:sz w:val="2"/>
                          </w:rPr>
                        </w:pPr>
                      </w:p>
                      <w:p w14:paraId="3447446D" w14:textId="77777777" w:rsidR="00F65BCA" w:rsidRDefault="00F65BCA">
                        <w:pPr>
                          <w:pStyle w:val="TableParagraph"/>
                          <w:rPr>
                            <w:rFonts w:ascii="Calibri"/>
                            <w:sz w:val="2"/>
                          </w:rPr>
                        </w:pPr>
                      </w:p>
                      <w:p w14:paraId="2D18D0C8" w14:textId="77777777" w:rsidR="00F65BCA" w:rsidRDefault="00F65BCA">
                        <w:pPr>
                          <w:pStyle w:val="TableParagraph"/>
                          <w:rPr>
                            <w:rFonts w:ascii="Calibri"/>
                            <w:sz w:val="2"/>
                          </w:rPr>
                        </w:pPr>
                      </w:p>
                      <w:p w14:paraId="2C0E5190" w14:textId="77777777" w:rsidR="00F65BCA" w:rsidRDefault="00F65BCA">
                        <w:pPr>
                          <w:pStyle w:val="TableParagraph"/>
                          <w:spacing w:before="6"/>
                          <w:rPr>
                            <w:rFonts w:ascii="Calibri"/>
                            <w:sz w:val="2"/>
                          </w:rPr>
                        </w:pPr>
                      </w:p>
                      <w:p w14:paraId="3C5BD109" w14:textId="77777777" w:rsidR="00F65BCA" w:rsidRDefault="00216117">
                        <w:pPr>
                          <w:pStyle w:val="TableParagraph"/>
                          <w:ind w:left="18" w:right="16"/>
                          <w:jc w:val="center"/>
                          <w:rPr>
                            <w:sz w:val="3"/>
                          </w:rPr>
                        </w:pPr>
                        <w:r>
                          <w:rPr>
                            <w:w w:val="105"/>
                            <w:sz w:val="3"/>
                          </w:rPr>
                          <w:t>Zastava</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296F2A4D" w14:textId="77777777" w:rsidR="00F65BCA" w:rsidRDefault="00F65BCA">
                        <w:pPr>
                          <w:pStyle w:val="TableParagraph"/>
                          <w:rPr>
                            <w:rFonts w:ascii="Calibri"/>
                            <w:sz w:val="2"/>
                          </w:rPr>
                        </w:pPr>
                      </w:p>
                      <w:p w14:paraId="28B69242" w14:textId="77777777" w:rsidR="00F65BCA" w:rsidRDefault="00F65BCA">
                        <w:pPr>
                          <w:pStyle w:val="TableParagraph"/>
                          <w:rPr>
                            <w:rFonts w:ascii="Calibri"/>
                            <w:sz w:val="2"/>
                          </w:rPr>
                        </w:pPr>
                      </w:p>
                      <w:p w14:paraId="7F15AFFC" w14:textId="77777777" w:rsidR="00F65BCA" w:rsidRDefault="00216117">
                        <w:pPr>
                          <w:pStyle w:val="TableParagraph"/>
                          <w:spacing w:before="17"/>
                          <w:ind w:left="4"/>
                          <w:rPr>
                            <w:sz w:val="3"/>
                          </w:rPr>
                        </w:pPr>
                        <w:r>
                          <w:rPr>
                            <w:w w:val="105"/>
                            <w:sz w:val="3"/>
                          </w:rPr>
                          <w:t>YUGO RIVAL 35</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E0D57B8" w14:textId="77777777" w:rsidR="00F65BCA" w:rsidRDefault="00F65BCA">
                        <w:pPr>
                          <w:pStyle w:val="TableParagraph"/>
                          <w:rPr>
                            <w:rFonts w:ascii="Calibri"/>
                            <w:sz w:val="2"/>
                          </w:rPr>
                        </w:pPr>
                      </w:p>
                      <w:p w14:paraId="60EB33BD"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A2CCA47" w14:textId="77777777" w:rsidR="00F65BCA" w:rsidRDefault="00F65BCA">
                        <w:pPr>
                          <w:pStyle w:val="TableParagraph"/>
                          <w:rPr>
                            <w:rFonts w:ascii="Calibri"/>
                            <w:sz w:val="2"/>
                          </w:rPr>
                        </w:pPr>
                      </w:p>
                      <w:p w14:paraId="6358DFDB"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390BB22"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4267FABE" w14:textId="77777777" w:rsidR="00F65BCA" w:rsidRDefault="00F65BCA">
                        <w:pPr>
                          <w:pStyle w:val="TableParagraph"/>
                          <w:rPr>
                            <w:rFonts w:ascii="Calibri"/>
                            <w:sz w:val="2"/>
                          </w:rPr>
                        </w:pPr>
                      </w:p>
                      <w:p w14:paraId="2A0B1A60"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06FF9611" w14:textId="77777777" w:rsidR="00F65BCA" w:rsidRDefault="00F65BCA">
                        <w:pPr>
                          <w:pStyle w:val="TableParagraph"/>
                          <w:rPr>
                            <w:rFonts w:ascii="Calibri"/>
                            <w:sz w:val="2"/>
                          </w:rPr>
                        </w:pPr>
                      </w:p>
                      <w:p w14:paraId="162CBEB4"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4D9CBF87" w14:textId="77777777" w:rsidR="00F65BCA" w:rsidRDefault="00F65BCA">
                        <w:pPr>
                          <w:pStyle w:val="TableParagraph"/>
                          <w:rPr>
                            <w:rFonts w:ascii="Calibri"/>
                            <w:sz w:val="2"/>
                          </w:rPr>
                        </w:pPr>
                      </w:p>
                      <w:p w14:paraId="116C8A78"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0C08CAB4" w14:textId="77777777" w:rsidR="00F65BCA" w:rsidRDefault="00F65BCA">
                        <w:pPr>
                          <w:pStyle w:val="TableParagraph"/>
                          <w:rPr>
                            <w:rFonts w:ascii="Calibri"/>
                            <w:sz w:val="2"/>
                          </w:rPr>
                        </w:pPr>
                      </w:p>
                      <w:p w14:paraId="48551C34"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0427D54E" w14:textId="77777777" w:rsidR="00F65BCA" w:rsidRDefault="00F65BCA">
                        <w:pPr>
                          <w:pStyle w:val="TableParagraph"/>
                          <w:rPr>
                            <w:rFonts w:ascii="Calibri"/>
                            <w:sz w:val="2"/>
                          </w:rPr>
                        </w:pPr>
                      </w:p>
                      <w:p w14:paraId="072EBFB8"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277DBA08" w14:textId="77777777" w:rsidR="00F65BCA" w:rsidRDefault="00F65BCA">
                        <w:pPr>
                          <w:pStyle w:val="TableParagraph"/>
                          <w:rPr>
                            <w:rFonts w:ascii="Calibri"/>
                            <w:sz w:val="2"/>
                          </w:rPr>
                        </w:pPr>
                      </w:p>
                      <w:p w14:paraId="1D5683A0"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1B0445E1" w14:textId="77777777" w:rsidR="00F65BCA" w:rsidRDefault="00F65BCA">
                        <w:pPr>
                          <w:pStyle w:val="TableParagraph"/>
                          <w:rPr>
                            <w:rFonts w:ascii="Calibri"/>
                            <w:sz w:val="2"/>
                          </w:rPr>
                        </w:pPr>
                      </w:p>
                      <w:p w14:paraId="0DF9776C"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366723EE" w14:textId="77777777" w:rsidR="00F65BCA" w:rsidRDefault="00F65BCA">
                        <w:pPr>
                          <w:pStyle w:val="TableParagraph"/>
                          <w:rPr>
                            <w:rFonts w:ascii="Calibri"/>
                            <w:sz w:val="2"/>
                          </w:rPr>
                        </w:pPr>
                      </w:p>
                      <w:p w14:paraId="2DDA360E"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275893B3" w14:textId="77777777" w:rsidR="00F65BCA" w:rsidRDefault="00F65BCA">
                        <w:pPr>
                          <w:pStyle w:val="TableParagraph"/>
                          <w:rPr>
                            <w:rFonts w:ascii="Calibri"/>
                            <w:sz w:val="2"/>
                          </w:rPr>
                        </w:pPr>
                      </w:p>
                      <w:p w14:paraId="0C2700FD"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4F5D9DE9" w14:textId="77777777" w:rsidR="00F65BCA" w:rsidRDefault="00F65BCA">
                        <w:pPr>
                          <w:pStyle w:val="TableParagraph"/>
                          <w:rPr>
                            <w:rFonts w:ascii="Calibri"/>
                            <w:sz w:val="2"/>
                          </w:rPr>
                        </w:pPr>
                      </w:p>
                      <w:p w14:paraId="557FCFBB"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23511BD7" w14:textId="77777777" w:rsidR="00F65BCA" w:rsidRDefault="00F65BCA">
                        <w:pPr>
                          <w:pStyle w:val="TableParagraph"/>
                          <w:rPr>
                            <w:rFonts w:ascii="Calibri"/>
                            <w:sz w:val="2"/>
                          </w:rPr>
                        </w:pPr>
                      </w:p>
                      <w:p w14:paraId="79A5D7F3"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6A5A851A" w14:textId="77777777" w:rsidR="00F65BCA" w:rsidRDefault="00F65BCA">
                        <w:pPr>
                          <w:pStyle w:val="TableParagraph"/>
                          <w:rPr>
                            <w:rFonts w:ascii="Calibri"/>
                            <w:sz w:val="2"/>
                          </w:rPr>
                        </w:pPr>
                      </w:p>
                      <w:p w14:paraId="2DB13227"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01DDD7BD" w14:textId="77777777" w:rsidR="00F65BCA" w:rsidRDefault="00F65BCA">
                        <w:pPr>
                          <w:pStyle w:val="TableParagraph"/>
                          <w:rPr>
                            <w:rFonts w:ascii="Calibri"/>
                            <w:sz w:val="2"/>
                          </w:rPr>
                        </w:pPr>
                      </w:p>
                      <w:p w14:paraId="36AA31C5" w14:textId="77777777" w:rsidR="00F65BCA" w:rsidRDefault="00216117">
                        <w:pPr>
                          <w:pStyle w:val="TableParagraph"/>
                          <w:ind w:left="24" w:right="24"/>
                          <w:jc w:val="center"/>
                          <w:rPr>
                            <w:sz w:val="3"/>
                          </w:rPr>
                        </w:pPr>
                        <w:r>
                          <w:rPr>
                            <w:w w:val="105"/>
                            <w:sz w:val="3"/>
                          </w:rPr>
                          <w:t>0,95940000%</w:t>
                        </w:r>
                      </w:p>
                    </w:tc>
                  </w:tr>
                  <w:tr w:rsidR="00F65BCA" w14:paraId="40596A5E"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650C5315"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24DC3E99"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305A31A0"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F2E89E4" w14:textId="77777777" w:rsidR="00F65BCA" w:rsidRDefault="00F65BCA">
                        <w:pPr>
                          <w:pStyle w:val="TableParagraph"/>
                          <w:rPr>
                            <w:rFonts w:ascii="Calibri"/>
                            <w:sz w:val="2"/>
                          </w:rPr>
                        </w:pPr>
                      </w:p>
                      <w:p w14:paraId="076C9D3D"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CD8E37B" w14:textId="77777777" w:rsidR="00F65BCA" w:rsidRDefault="00F65BCA">
                        <w:pPr>
                          <w:pStyle w:val="TableParagraph"/>
                          <w:rPr>
                            <w:rFonts w:ascii="Calibri"/>
                            <w:sz w:val="2"/>
                          </w:rPr>
                        </w:pPr>
                      </w:p>
                      <w:p w14:paraId="579BD9F9"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105FBB4"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D95DE7E" w14:textId="77777777" w:rsidR="00F65BCA" w:rsidRDefault="00F65BCA">
                        <w:pPr>
                          <w:pStyle w:val="TableParagraph"/>
                          <w:rPr>
                            <w:rFonts w:ascii="Calibri"/>
                            <w:sz w:val="2"/>
                          </w:rPr>
                        </w:pPr>
                      </w:p>
                      <w:p w14:paraId="698540CB"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38138E5A" w14:textId="77777777" w:rsidR="00F65BCA" w:rsidRDefault="00F65BCA">
                        <w:pPr>
                          <w:pStyle w:val="TableParagraph"/>
                          <w:rPr>
                            <w:rFonts w:ascii="Calibri"/>
                            <w:sz w:val="2"/>
                          </w:rPr>
                        </w:pPr>
                      </w:p>
                      <w:p w14:paraId="6148EE08"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45E092DB" w14:textId="77777777" w:rsidR="00F65BCA" w:rsidRDefault="00F65BCA">
                        <w:pPr>
                          <w:pStyle w:val="TableParagraph"/>
                          <w:rPr>
                            <w:rFonts w:ascii="Calibri"/>
                            <w:sz w:val="2"/>
                          </w:rPr>
                        </w:pPr>
                      </w:p>
                      <w:p w14:paraId="536EAF41"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58462655" w14:textId="77777777" w:rsidR="00F65BCA" w:rsidRDefault="00F65BCA">
                        <w:pPr>
                          <w:pStyle w:val="TableParagraph"/>
                          <w:rPr>
                            <w:rFonts w:ascii="Calibri"/>
                            <w:sz w:val="2"/>
                          </w:rPr>
                        </w:pPr>
                      </w:p>
                      <w:p w14:paraId="16395CEE"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31AEC5F7" w14:textId="77777777" w:rsidR="00F65BCA" w:rsidRDefault="00F65BCA">
                        <w:pPr>
                          <w:pStyle w:val="TableParagraph"/>
                          <w:rPr>
                            <w:rFonts w:ascii="Calibri"/>
                            <w:sz w:val="2"/>
                          </w:rPr>
                        </w:pPr>
                      </w:p>
                      <w:p w14:paraId="18ED74B7"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68A35E1B" w14:textId="77777777" w:rsidR="00F65BCA" w:rsidRDefault="00F65BCA">
                        <w:pPr>
                          <w:pStyle w:val="TableParagraph"/>
                          <w:rPr>
                            <w:rFonts w:ascii="Calibri"/>
                            <w:sz w:val="2"/>
                          </w:rPr>
                        </w:pPr>
                      </w:p>
                      <w:p w14:paraId="5E5E128A"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59FA2514" w14:textId="77777777" w:rsidR="00F65BCA" w:rsidRDefault="00F65BCA">
                        <w:pPr>
                          <w:pStyle w:val="TableParagraph"/>
                          <w:rPr>
                            <w:rFonts w:ascii="Calibri"/>
                            <w:sz w:val="2"/>
                          </w:rPr>
                        </w:pPr>
                      </w:p>
                      <w:p w14:paraId="6C6D4E26"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385BF87F" w14:textId="77777777" w:rsidR="00F65BCA" w:rsidRDefault="00F65BCA">
                        <w:pPr>
                          <w:pStyle w:val="TableParagraph"/>
                          <w:rPr>
                            <w:rFonts w:ascii="Calibri"/>
                            <w:sz w:val="2"/>
                          </w:rPr>
                        </w:pPr>
                      </w:p>
                      <w:p w14:paraId="3B59012B"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608EB113" w14:textId="77777777" w:rsidR="00F65BCA" w:rsidRDefault="00F65BCA">
                        <w:pPr>
                          <w:pStyle w:val="TableParagraph"/>
                          <w:rPr>
                            <w:rFonts w:ascii="Calibri"/>
                            <w:sz w:val="2"/>
                          </w:rPr>
                        </w:pPr>
                      </w:p>
                      <w:p w14:paraId="5D2C19AA"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7FE180F2" w14:textId="77777777" w:rsidR="00F65BCA" w:rsidRDefault="00F65BCA">
                        <w:pPr>
                          <w:pStyle w:val="TableParagraph"/>
                          <w:rPr>
                            <w:rFonts w:ascii="Calibri"/>
                            <w:sz w:val="2"/>
                          </w:rPr>
                        </w:pPr>
                      </w:p>
                      <w:p w14:paraId="091CBD3A"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2E94108B" w14:textId="77777777" w:rsidR="00F65BCA" w:rsidRDefault="00F65BCA">
                        <w:pPr>
                          <w:pStyle w:val="TableParagraph"/>
                          <w:rPr>
                            <w:rFonts w:ascii="Calibri"/>
                            <w:sz w:val="2"/>
                          </w:rPr>
                        </w:pPr>
                      </w:p>
                      <w:p w14:paraId="014B805D"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4888176C" w14:textId="77777777" w:rsidR="00F65BCA" w:rsidRDefault="00F65BCA">
                        <w:pPr>
                          <w:pStyle w:val="TableParagraph"/>
                          <w:rPr>
                            <w:rFonts w:ascii="Calibri"/>
                            <w:sz w:val="2"/>
                          </w:rPr>
                        </w:pPr>
                      </w:p>
                      <w:p w14:paraId="27F76773"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9486438" w14:textId="77777777" w:rsidR="00F65BCA" w:rsidRDefault="00F65BCA">
                        <w:pPr>
                          <w:pStyle w:val="TableParagraph"/>
                          <w:rPr>
                            <w:rFonts w:ascii="Calibri"/>
                            <w:sz w:val="2"/>
                          </w:rPr>
                        </w:pPr>
                      </w:p>
                      <w:p w14:paraId="49399016" w14:textId="77777777" w:rsidR="00F65BCA" w:rsidRDefault="00216117">
                        <w:pPr>
                          <w:pStyle w:val="TableParagraph"/>
                          <w:ind w:left="24" w:right="24"/>
                          <w:jc w:val="center"/>
                          <w:rPr>
                            <w:sz w:val="3"/>
                          </w:rPr>
                        </w:pPr>
                        <w:r>
                          <w:rPr>
                            <w:w w:val="105"/>
                            <w:sz w:val="3"/>
                          </w:rPr>
                          <w:t>1,15895520%</w:t>
                        </w:r>
                      </w:p>
                    </w:tc>
                  </w:tr>
                  <w:tr w:rsidR="00F65BCA" w14:paraId="28066355"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415271D6"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12E608D8"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1DEE01BD" w14:textId="77777777" w:rsidR="00F65BCA" w:rsidRDefault="00F65BCA">
                        <w:pPr>
                          <w:pStyle w:val="TableParagraph"/>
                          <w:rPr>
                            <w:rFonts w:ascii="Calibri"/>
                            <w:sz w:val="2"/>
                          </w:rPr>
                        </w:pPr>
                      </w:p>
                      <w:p w14:paraId="4EC57D23" w14:textId="77777777" w:rsidR="00F65BCA" w:rsidRDefault="00F65BCA">
                        <w:pPr>
                          <w:pStyle w:val="TableParagraph"/>
                          <w:rPr>
                            <w:rFonts w:ascii="Calibri"/>
                            <w:sz w:val="2"/>
                          </w:rPr>
                        </w:pPr>
                      </w:p>
                      <w:p w14:paraId="095E7A84" w14:textId="77777777" w:rsidR="00F65BCA" w:rsidRDefault="00216117">
                        <w:pPr>
                          <w:pStyle w:val="TableParagraph"/>
                          <w:spacing w:before="17"/>
                          <w:ind w:left="4"/>
                          <w:rPr>
                            <w:sz w:val="3"/>
                          </w:rPr>
                        </w:pPr>
                        <w:r>
                          <w:rPr>
                            <w:w w:val="105"/>
                            <w:sz w:val="3"/>
                          </w:rPr>
                          <w:t>1100; 1300; JINÉ</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88EC26B" w14:textId="77777777" w:rsidR="00F65BCA" w:rsidRDefault="00F65BCA">
                        <w:pPr>
                          <w:pStyle w:val="TableParagraph"/>
                          <w:rPr>
                            <w:rFonts w:ascii="Calibri"/>
                            <w:sz w:val="2"/>
                          </w:rPr>
                        </w:pPr>
                      </w:p>
                      <w:p w14:paraId="67C539A4"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4414051" w14:textId="77777777" w:rsidR="00F65BCA" w:rsidRDefault="00F65BCA">
                        <w:pPr>
                          <w:pStyle w:val="TableParagraph"/>
                          <w:rPr>
                            <w:rFonts w:ascii="Calibri"/>
                            <w:sz w:val="2"/>
                          </w:rPr>
                        </w:pPr>
                      </w:p>
                      <w:p w14:paraId="264D20F2"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7F59C42"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4788099" w14:textId="77777777" w:rsidR="00F65BCA" w:rsidRDefault="00F65BCA">
                        <w:pPr>
                          <w:pStyle w:val="TableParagraph"/>
                          <w:rPr>
                            <w:rFonts w:ascii="Calibri"/>
                            <w:sz w:val="2"/>
                          </w:rPr>
                        </w:pPr>
                      </w:p>
                      <w:p w14:paraId="3DEA215C" w14:textId="77777777" w:rsidR="00F65BCA" w:rsidRDefault="00216117">
                        <w:pPr>
                          <w:pStyle w:val="TableParagraph"/>
                          <w:ind w:left="24" w:right="24"/>
                          <w:jc w:val="center"/>
                          <w:rPr>
                            <w:sz w:val="3"/>
                          </w:rPr>
                        </w:pPr>
                        <w:r>
                          <w:rPr>
                            <w:w w:val="105"/>
                            <w:sz w:val="3"/>
                          </w:rPr>
                          <w:t>1,79088000%</w:t>
                        </w:r>
                      </w:p>
                    </w:tc>
                    <w:tc>
                      <w:tcPr>
                        <w:tcW w:w="288" w:type="dxa"/>
                        <w:tcBorders>
                          <w:top w:val="single" w:sz="2" w:space="0" w:color="000000"/>
                          <w:left w:val="single" w:sz="2" w:space="0" w:color="000000"/>
                          <w:bottom w:val="single" w:sz="2" w:space="0" w:color="000000"/>
                          <w:right w:val="single" w:sz="2" w:space="0" w:color="000000"/>
                        </w:tcBorders>
                      </w:tcPr>
                      <w:p w14:paraId="5A0E8D9A" w14:textId="77777777" w:rsidR="00F65BCA" w:rsidRDefault="00F65BCA">
                        <w:pPr>
                          <w:pStyle w:val="TableParagraph"/>
                          <w:rPr>
                            <w:rFonts w:ascii="Calibri"/>
                            <w:sz w:val="2"/>
                          </w:rPr>
                        </w:pPr>
                      </w:p>
                      <w:p w14:paraId="7B5B3C36" w14:textId="77777777" w:rsidR="00F65BCA" w:rsidRDefault="00216117">
                        <w:pPr>
                          <w:pStyle w:val="TableParagraph"/>
                          <w:ind w:left="24" w:right="24"/>
                          <w:jc w:val="center"/>
                          <w:rPr>
                            <w:sz w:val="3"/>
                          </w:rPr>
                        </w:pPr>
                        <w:r>
                          <w:rPr>
                            <w:w w:val="105"/>
                            <w:sz w:val="3"/>
                          </w:rPr>
                          <w:t>1,67895000%</w:t>
                        </w:r>
                      </w:p>
                    </w:tc>
                    <w:tc>
                      <w:tcPr>
                        <w:tcW w:w="288" w:type="dxa"/>
                        <w:tcBorders>
                          <w:top w:val="single" w:sz="2" w:space="0" w:color="000000"/>
                          <w:left w:val="single" w:sz="2" w:space="0" w:color="000000"/>
                          <w:bottom w:val="single" w:sz="2" w:space="0" w:color="000000"/>
                          <w:right w:val="single" w:sz="2" w:space="0" w:color="000000"/>
                        </w:tcBorders>
                      </w:tcPr>
                      <w:p w14:paraId="7621D9B4" w14:textId="77777777" w:rsidR="00F65BCA" w:rsidRDefault="00F65BCA">
                        <w:pPr>
                          <w:pStyle w:val="TableParagraph"/>
                          <w:rPr>
                            <w:rFonts w:ascii="Calibri"/>
                            <w:sz w:val="2"/>
                          </w:rPr>
                        </w:pPr>
                      </w:p>
                      <w:p w14:paraId="0BA9B26C" w14:textId="77777777" w:rsidR="00F65BCA" w:rsidRDefault="00216117">
                        <w:pPr>
                          <w:pStyle w:val="TableParagraph"/>
                          <w:ind w:left="24" w:right="24"/>
                          <w:jc w:val="center"/>
                          <w:rPr>
                            <w:sz w:val="3"/>
                          </w:rPr>
                        </w:pPr>
                        <w:r>
                          <w:rPr>
                            <w:w w:val="105"/>
                            <w:sz w:val="3"/>
                          </w:rPr>
                          <w:t>1,60059900%</w:t>
                        </w:r>
                      </w:p>
                    </w:tc>
                    <w:tc>
                      <w:tcPr>
                        <w:tcW w:w="288" w:type="dxa"/>
                        <w:tcBorders>
                          <w:top w:val="single" w:sz="2" w:space="0" w:color="000000"/>
                          <w:left w:val="single" w:sz="2" w:space="0" w:color="000000"/>
                          <w:bottom w:val="single" w:sz="2" w:space="0" w:color="000000"/>
                          <w:right w:val="single" w:sz="2" w:space="0" w:color="000000"/>
                        </w:tcBorders>
                      </w:tcPr>
                      <w:p w14:paraId="082E9F99" w14:textId="77777777" w:rsidR="00F65BCA" w:rsidRDefault="00F65BCA">
                        <w:pPr>
                          <w:pStyle w:val="TableParagraph"/>
                          <w:rPr>
                            <w:rFonts w:ascii="Calibri"/>
                            <w:sz w:val="2"/>
                          </w:rPr>
                        </w:pPr>
                      </w:p>
                      <w:p w14:paraId="7FAD5332" w14:textId="77777777" w:rsidR="00F65BCA" w:rsidRDefault="00216117">
                        <w:pPr>
                          <w:pStyle w:val="TableParagraph"/>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375DA238" w14:textId="77777777" w:rsidR="00F65BCA" w:rsidRDefault="00F65BCA">
                        <w:pPr>
                          <w:pStyle w:val="TableParagraph"/>
                          <w:rPr>
                            <w:rFonts w:ascii="Calibri"/>
                            <w:sz w:val="2"/>
                          </w:rPr>
                        </w:pPr>
                      </w:p>
                      <w:p w14:paraId="1E251E54" w14:textId="77777777" w:rsidR="00F65BCA" w:rsidRDefault="00216117">
                        <w:pPr>
                          <w:pStyle w:val="TableParagraph"/>
                          <w:ind w:left="24" w:right="24"/>
                          <w:jc w:val="center"/>
                          <w:rPr>
                            <w:sz w:val="3"/>
                          </w:rPr>
                        </w:pPr>
                        <w:r>
                          <w:rPr>
                            <w:w w:val="105"/>
                            <w:sz w:val="3"/>
                          </w:rPr>
                          <w:t>1,43270400%</w:t>
                        </w:r>
                      </w:p>
                    </w:tc>
                    <w:tc>
                      <w:tcPr>
                        <w:tcW w:w="288" w:type="dxa"/>
                        <w:tcBorders>
                          <w:top w:val="single" w:sz="2" w:space="0" w:color="000000"/>
                          <w:left w:val="single" w:sz="2" w:space="0" w:color="000000"/>
                          <w:bottom w:val="single" w:sz="2" w:space="0" w:color="000000"/>
                          <w:right w:val="single" w:sz="2" w:space="0" w:color="000000"/>
                        </w:tcBorders>
                      </w:tcPr>
                      <w:p w14:paraId="11094A25" w14:textId="77777777" w:rsidR="00F65BCA" w:rsidRDefault="00F65BCA">
                        <w:pPr>
                          <w:pStyle w:val="TableParagraph"/>
                          <w:rPr>
                            <w:rFonts w:ascii="Calibri"/>
                            <w:sz w:val="2"/>
                          </w:rPr>
                        </w:pPr>
                      </w:p>
                      <w:p w14:paraId="2C6E27D0" w14:textId="77777777" w:rsidR="00F65BCA" w:rsidRDefault="00216117">
                        <w:pPr>
                          <w:pStyle w:val="TableParagraph"/>
                          <w:ind w:left="24" w:right="24"/>
                          <w:jc w:val="center"/>
                          <w:rPr>
                            <w:sz w:val="3"/>
                          </w:rPr>
                        </w:pPr>
                        <w:r>
                          <w:rPr>
                            <w:w w:val="105"/>
                            <w:sz w:val="3"/>
                          </w:rPr>
                          <w:t>1,33196700%</w:t>
                        </w:r>
                      </w:p>
                    </w:tc>
                    <w:tc>
                      <w:tcPr>
                        <w:tcW w:w="288" w:type="dxa"/>
                        <w:tcBorders>
                          <w:top w:val="single" w:sz="2" w:space="0" w:color="000000"/>
                          <w:left w:val="single" w:sz="2" w:space="0" w:color="000000"/>
                          <w:bottom w:val="single" w:sz="2" w:space="0" w:color="000000"/>
                          <w:right w:val="single" w:sz="2" w:space="0" w:color="000000"/>
                        </w:tcBorders>
                      </w:tcPr>
                      <w:p w14:paraId="18FA1D26" w14:textId="77777777" w:rsidR="00F65BCA" w:rsidRDefault="00F65BCA">
                        <w:pPr>
                          <w:pStyle w:val="TableParagraph"/>
                          <w:rPr>
                            <w:rFonts w:ascii="Calibri"/>
                            <w:sz w:val="2"/>
                          </w:rPr>
                        </w:pPr>
                      </w:p>
                      <w:p w14:paraId="4E3CF253" w14:textId="77777777" w:rsidR="00F65BCA" w:rsidRDefault="00216117">
                        <w:pPr>
                          <w:pStyle w:val="TableParagraph"/>
                          <w:ind w:left="24" w:right="24"/>
                          <w:jc w:val="center"/>
                          <w:rPr>
                            <w:sz w:val="3"/>
                          </w:rPr>
                        </w:pPr>
                        <w:r>
                          <w:rPr>
                            <w:w w:val="105"/>
                            <w:sz w:val="3"/>
                          </w:rPr>
                          <w:t>1,23123000%</w:t>
                        </w:r>
                      </w:p>
                    </w:tc>
                    <w:tc>
                      <w:tcPr>
                        <w:tcW w:w="288" w:type="dxa"/>
                        <w:tcBorders>
                          <w:top w:val="single" w:sz="2" w:space="0" w:color="000000"/>
                          <w:left w:val="single" w:sz="2" w:space="0" w:color="000000"/>
                          <w:bottom w:val="single" w:sz="2" w:space="0" w:color="000000"/>
                          <w:right w:val="single" w:sz="2" w:space="0" w:color="000000"/>
                        </w:tcBorders>
                      </w:tcPr>
                      <w:p w14:paraId="13294AD9" w14:textId="77777777" w:rsidR="00F65BCA" w:rsidRDefault="00F65BCA">
                        <w:pPr>
                          <w:pStyle w:val="TableParagraph"/>
                          <w:rPr>
                            <w:rFonts w:ascii="Calibri"/>
                            <w:sz w:val="2"/>
                          </w:rPr>
                        </w:pPr>
                      </w:p>
                      <w:p w14:paraId="32292181" w14:textId="77777777" w:rsidR="00F65BCA" w:rsidRDefault="00216117">
                        <w:pPr>
                          <w:pStyle w:val="TableParagraph"/>
                          <w:ind w:left="24" w:right="24"/>
                          <w:jc w:val="center"/>
                          <w:rPr>
                            <w:sz w:val="3"/>
                          </w:rPr>
                        </w:pPr>
                        <w:r>
                          <w:rPr>
                            <w:w w:val="105"/>
                            <w:sz w:val="3"/>
                          </w:rPr>
                          <w:t>1,11930000%</w:t>
                        </w:r>
                      </w:p>
                    </w:tc>
                    <w:tc>
                      <w:tcPr>
                        <w:tcW w:w="288" w:type="dxa"/>
                        <w:tcBorders>
                          <w:top w:val="single" w:sz="2" w:space="0" w:color="000000"/>
                          <w:left w:val="single" w:sz="2" w:space="0" w:color="000000"/>
                          <w:bottom w:val="single" w:sz="2" w:space="0" w:color="000000"/>
                          <w:right w:val="single" w:sz="2" w:space="0" w:color="000000"/>
                        </w:tcBorders>
                      </w:tcPr>
                      <w:p w14:paraId="6EF70DF4" w14:textId="77777777" w:rsidR="00F65BCA" w:rsidRDefault="00F65BCA">
                        <w:pPr>
                          <w:pStyle w:val="TableParagraph"/>
                          <w:rPr>
                            <w:rFonts w:ascii="Calibri"/>
                            <w:sz w:val="2"/>
                          </w:rPr>
                        </w:pPr>
                      </w:p>
                      <w:p w14:paraId="16DF3D68" w14:textId="77777777" w:rsidR="00F65BCA" w:rsidRDefault="00216117">
                        <w:pPr>
                          <w:pStyle w:val="TableParagraph"/>
                          <w:ind w:left="24" w:right="24"/>
                          <w:jc w:val="center"/>
                          <w:rPr>
                            <w:sz w:val="3"/>
                          </w:rPr>
                        </w:pPr>
                        <w:r>
                          <w:rPr>
                            <w:w w:val="105"/>
                            <w:sz w:val="3"/>
                          </w:rPr>
                          <w:t>1,11930000%</w:t>
                        </w:r>
                      </w:p>
                    </w:tc>
                    <w:tc>
                      <w:tcPr>
                        <w:tcW w:w="288" w:type="dxa"/>
                        <w:tcBorders>
                          <w:top w:val="single" w:sz="2" w:space="0" w:color="000000"/>
                          <w:left w:val="single" w:sz="2" w:space="0" w:color="000000"/>
                          <w:bottom w:val="single" w:sz="2" w:space="0" w:color="000000"/>
                          <w:right w:val="single" w:sz="2" w:space="0" w:color="000000"/>
                        </w:tcBorders>
                      </w:tcPr>
                      <w:p w14:paraId="0D438AB0" w14:textId="77777777" w:rsidR="00F65BCA" w:rsidRDefault="00F65BCA">
                        <w:pPr>
                          <w:pStyle w:val="TableParagraph"/>
                          <w:rPr>
                            <w:rFonts w:ascii="Calibri"/>
                            <w:sz w:val="2"/>
                          </w:rPr>
                        </w:pPr>
                      </w:p>
                      <w:p w14:paraId="732C357C" w14:textId="77777777" w:rsidR="00F65BCA" w:rsidRDefault="00216117">
                        <w:pPr>
                          <w:pStyle w:val="TableParagraph"/>
                          <w:ind w:left="24" w:right="24"/>
                          <w:jc w:val="center"/>
                          <w:rPr>
                            <w:sz w:val="3"/>
                          </w:rPr>
                        </w:pPr>
                        <w:r>
                          <w:rPr>
                            <w:w w:val="105"/>
                            <w:sz w:val="3"/>
                          </w:rPr>
                          <w:t>1,34316000%</w:t>
                        </w:r>
                      </w:p>
                    </w:tc>
                    <w:tc>
                      <w:tcPr>
                        <w:tcW w:w="288" w:type="dxa"/>
                        <w:tcBorders>
                          <w:top w:val="single" w:sz="2" w:space="0" w:color="000000"/>
                          <w:left w:val="single" w:sz="2" w:space="0" w:color="000000"/>
                          <w:bottom w:val="single" w:sz="2" w:space="0" w:color="000000"/>
                          <w:right w:val="single" w:sz="2" w:space="0" w:color="000000"/>
                        </w:tcBorders>
                      </w:tcPr>
                      <w:p w14:paraId="020CD50E" w14:textId="77777777" w:rsidR="00F65BCA" w:rsidRDefault="00F65BCA">
                        <w:pPr>
                          <w:pStyle w:val="TableParagraph"/>
                          <w:rPr>
                            <w:rFonts w:ascii="Calibri"/>
                            <w:sz w:val="2"/>
                          </w:rPr>
                        </w:pPr>
                      </w:p>
                      <w:p w14:paraId="41562911" w14:textId="77777777" w:rsidR="00F65BCA" w:rsidRDefault="00216117">
                        <w:pPr>
                          <w:pStyle w:val="TableParagraph"/>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217246C0" w14:textId="77777777" w:rsidR="00F65BCA" w:rsidRDefault="00F65BCA">
                        <w:pPr>
                          <w:pStyle w:val="TableParagraph"/>
                          <w:rPr>
                            <w:rFonts w:ascii="Calibri"/>
                            <w:sz w:val="2"/>
                          </w:rPr>
                        </w:pPr>
                      </w:p>
                      <w:p w14:paraId="3810E880" w14:textId="77777777" w:rsidR="00F65BCA" w:rsidRDefault="00216117">
                        <w:pPr>
                          <w:pStyle w:val="TableParagraph"/>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7BB44B8A" w14:textId="77777777" w:rsidR="00F65BCA" w:rsidRDefault="00F65BCA">
                        <w:pPr>
                          <w:pStyle w:val="TableParagraph"/>
                          <w:rPr>
                            <w:rFonts w:ascii="Calibri"/>
                            <w:sz w:val="2"/>
                          </w:rPr>
                        </w:pPr>
                      </w:p>
                      <w:p w14:paraId="4EC2F38E" w14:textId="77777777" w:rsidR="00F65BCA" w:rsidRDefault="00216117">
                        <w:pPr>
                          <w:pStyle w:val="TableParagraph"/>
                          <w:ind w:left="24" w:right="24"/>
                          <w:jc w:val="center"/>
                          <w:rPr>
                            <w:sz w:val="3"/>
                          </w:rPr>
                        </w:pPr>
                        <w:r>
                          <w:rPr>
                            <w:w w:val="105"/>
                            <w:sz w:val="3"/>
                          </w:rPr>
                          <w:t>1,67895000%</w:t>
                        </w:r>
                      </w:p>
                    </w:tc>
                  </w:tr>
                  <w:tr w:rsidR="00F65BCA" w14:paraId="23887B15"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181D7811"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3D93E2E4"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6D741FF0"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AFA3599" w14:textId="77777777" w:rsidR="00F65BCA" w:rsidRDefault="00F65BCA">
                        <w:pPr>
                          <w:pStyle w:val="TableParagraph"/>
                          <w:rPr>
                            <w:rFonts w:ascii="Calibri"/>
                            <w:sz w:val="2"/>
                          </w:rPr>
                        </w:pPr>
                      </w:p>
                      <w:p w14:paraId="0BE6E85B"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46CA042" w14:textId="77777777" w:rsidR="00F65BCA" w:rsidRDefault="00F65BCA">
                        <w:pPr>
                          <w:pStyle w:val="TableParagraph"/>
                          <w:rPr>
                            <w:rFonts w:ascii="Calibri"/>
                            <w:sz w:val="2"/>
                          </w:rPr>
                        </w:pPr>
                      </w:p>
                      <w:p w14:paraId="464CDC78"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0DB2AEEE"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1AED90F1" w14:textId="77777777" w:rsidR="00F65BCA" w:rsidRDefault="00F65BCA">
                        <w:pPr>
                          <w:pStyle w:val="TableParagraph"/>
                          <w:rPr>
                            <w:rFonts w:ascii="Calibri"/>
                            <w:sz w:val="2"/>
                          </w:rPr>
                        </w:pPr>
                      </w:p>
                      <w:p w14:paraId="26DE3509" w14:textId="77777777" w:rsidR="00F65BCA" w:rsidRDefault="00216117">
                        <w:pPr>
                          <w:pStyle w:val="TableParagraph"/>
                          <w:ind w:left="24" w:right="24"/>
                          <w:jc w:val="center"/>
                          <w:rPr>
                            <w:sz w:val="3"/>
                          </w:rPr>
                        </w:pPr>
                        <w:r>
                          <w:rPr>
                            <w:w w:val="105"/>
                            <w:sz w:val="3"/>
                          </w:rPr>
                          <w:t>2,16338304%</w:t>
                        </w:r>
                      </w:p>
                    </w:tc>
                    <w:tc>
                      <w:tcPr>
                        <w:tcW w:w="288" w:type="dxa"/>
                        <w:tcBorders>
                          <w:top w:val="single" w:sz="2" w:space="0" w:color="000000"/>
                          <w:left w:val="single" w:sz="2" w:space="0" w:color="000000"/>
                          <w:bottom w:val="single" w:sz="2" w:space="0" w:color="000000"/>
                          <w:right w:val="single" w:sz="2" w:space="0" w:color="000000"/>
                        </w:tcBorders>
                      </w:tcPr>
                      <w:p w14:paraId="35A558B0" w14:textId="77777777" w:rsidR="00F65BCA" w:rsidRDefault="00F65BCA">
                        <w:pPr>
                          <w:pStyle w:val="TableParagraph"/>
                          <w:rPr>
                            <w:rFonts w:ascii="Calibri"/>
                            <w:sz w:val="2"/>
                          </w:rPr>
                        </w:pPr>
                      </w:p>
                      <w:p w14:paraId="2348172E" w14:textId="77777777" w:rsidR="00F65BCA" w:rsidRDefault="00216117">
                        <w:pPr>
                          <w:pStyle w:val="TableParagraph"/>
                          <w:ind w:left="24" w:right="24"/>
                          <w:jc w:val="center"/>
                          <w:rPr>
                            <w:sz w:val="3"/>
                          </w:rPr>
                        </w:pPr>
                        <w:r>
                          <w:rPr>
                            <w:w w:val="105"/>
                            <w:sz w:val="3"/>
                          </w:rPr>
                          <w:t>2,02817160%</w:t>
                        </w:r>
                      </w:p>
                    </w:tc>
                    <w:tc>
                      <w:tcPr>
                        <w:tcW w:w="288" w:type="dxa"/>
                        <w:tcBorders>
                          <w:top w:val="single" w:sz="2" w:space="0" w:color="000000"/>
                          <w:left w:val="single" w:sz="2" w:space="0" w:color="000000"/>
                          <w:bottom w:val="single" w:sz="2" w:space="0" w:color="000000"/>
                          <w:right w:val="single" w:sz="2" w:space="0" w:color="000000"/>
                        </w:tcBorders>
                      </w:tcPr>
                      <w:p w14:paraId="1FADFEE1" w14:textId="77777777" w:rsidR="00F65BCA" w:rsidRDefault="00F65BCA">
                        <w:pPr>
                          <w:pStyle w:val="TableParagraph"/>
                          <w:rPr>
                            <w:rFonts w:ascii="Calibri"/>
                            <w:sz w:val="2"/>
                          </w:rPr>
                        </w:pPr>
                      </w:p>
                      <w:p w14:paraId="7117B5EF" w14:textId="77777777" w:rsidR="00F65BCA" w:rsidRDefault="00216117">
                        <w:pPr>
                          <w:pStyle w:val="TableParagraph"/>
                          <w:ind w:left="24" w:right="24"/>
                          <w:jc w:val="center"/>
                          <w:rPr>
                            <w:sz w:val="3"/>
                          </w:rPr>
                        </w:pPr>
                        <w:r>
                          <w:rPr>
                            <w:w w:val="105"/>
                            <w:sz w:val="3"/>
                          </w:rPr>
                          <w:t>1,93352359%</w:t>
                        </w:r>
                      </w:p>
                    </w:tc>
                    <w:tc>
                      <w:tcPr>
                        <w:tcW w:w="288" w:type="dxa"/>
                        <w:tcBorders>
                          <w:top w:val="single" w:sz="2" w:space="0" w:color="000000"/>
                          <w:left w:val="single" w:sz="2" w:space="0" w:color="000000"/>
                          <w:bottom w:val="single" w:sz="2" w:space="0" w:color="000000"/>
                          <w:right w:val="single" w:sz="2" w:space="0" w:color="000000"/>
                        </w:tcBorders>
                      </w:tcPr>
                      <w:p w14:paraId="35AB7481" w14:textId="77777777" w:rsidR="00F65BCA" w:rsidRDefault="00F65BCA">
                        <w:pPr>
                          <w:pStyle w:val="TableParagraph"/>
                          <w:rPr>
                            <w:rFonts w:ascii="Calibri"/>
                            <w:sz w:val="2"/>
                          </w:rPr>
                        </w:pPr>
                      </w:p>
                      <w:p w14:paraId="0DA15B3F" w14:textId="77777777" w:rsidR="00F65BCA" w:rsidRDefault="00216117">
                        <w:pPr>
                          <w:pStyle w:val="TableParagraph"/>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02364653" w14:textId="77777777" w:rsidR="00F65BCA" w:rsidRDefault="00F65BCA">
                        <w:pPr>
                          <w:pStyle w:val="TableParagraph"/>
                          <w:rPr>
                            <w:rFonts w:ascii="Calibri"/>
                            <w:sz w:val="2"/>
                          </w:rPr>
                        </w:pPr>
                      </w:p>
                      <w:p w14:paraId="773487BC" w14:textId="77777777" w:rsidR="00F65BCA" w:rsidRDefault="00216117">
                        <w:pPr>
                          <w:pStyle w:val="TableParagraph"/>
                          <w:ind w:left="24" w:right="24"/>
                          <w:jc w:val="center"/>
                          <w:rPr>
                            <w:sz w:val="3"/>
                          </w:rPr>
                        </w:pPr>
                        <w:r>
                          <w:rPr>
                            <w:w w:val="105"/>
                            <w:sz w:val="3"/>
                          </w:rPr>
                          <w:t>1,73070643%</w:t>
                        </w:r>
                      </w:p>
                    </w:tc>
                    <w:tc>
                      <w:tcPr>
                        <w:tcW w:w="288" w:type="dxa"/>
                        <w:tcBorders>
                          <w:top w:val="single" w:sz="2" w:space="0" w:color="000000"/>
                          <w:left w:val="single" w:sz="2" w:space="0" w:color="000000"/>
                          <w:bottom w:val="single" w:sz="2" w:space="0" w:color="000000"/>
                          <w:right w:val="single" w:sz="2" w:space="0" w:color="000000"/>
                        </w:tcBorders>
                      </w:tcPr>
                      <w:p w14:paraId="3548303C" w14:textId="77777777" w:rsidR="00F65BCA" w:rsidRDefault="00F65BCA">
                        <w:pPr>
                          <w:pStyle w:val="TableParagraph"/>
                          <w:rPr>
                            <w:rFonts w:ascii="Calibri"/>
                            <w:sz w:val="2"/>
                          </w:rPr>
                        </w:pPr>
                      </w:p>
                      <w:p w14:paraId="2D6F3ECC" w14:textId="77777777" w:rsidR="00F65BCA" w:rsidRDefault="00216117">
                        <w:pPr>
                          <w:pStyle w:val="TableParagraph"/>
                          <w:ind w:left="24" w:right="24"/>
                          <w:jc w:val="center"/>
                          <w:rPr>
                            <w:sz w:val="3"/>
                          </w:rPr>
                        </w:pPr>
                        <w:r>
                          <w:rPr>
                            <w:w w:val="105"/>
                            <w:sz w:val="3"/>
                          </w:rPr>
                          <w:t>1,60901614%</w:t>
                        </w:r>
                      </w:p>
                    </w:tc>
                    <w:tc>
                      <w:tcPr>
                        <w:tcW w:w="288" w:type="dxa"/>
                        <w:tcBorders>
                          <w:top w:val="single" w:sz="2" w:space="0" w:color="000000"/>
                          <w:left w:val="single" w:sz="2" w:space="0" w:color="000000"/>
                          <w:bottom w:val="single" w:sz="2" w:space="0" w:color="000000"/>
                          <w:right w:val="single" w:sz="2" w:space="0" w:color="000000"/>
                        </w:tcBorders>
                      </w:tcPr>
                      <w:p w14:paraId="1FC8D926" w14:textId="77777777" w:rsidR="00F65BCA" w:rsidRDefault="00F65BCA">
                        <w:pPr>
                          <w:pStyle w:val="TableParagraph"/>
                          <w:rPr>
                            <w:rFonts w:ascii="Calibri"/>
                            <w:sz w:val="2"/>
                          </w:rPr>
                        </w:pPr>
                      </w:p>
                      <w:p w14:paraId="773F53C1" w14:textId="77777777" w:rsidR="00F65BCA" w:rsidRDefault="00216117">
                        <w:pPr>
                          <w:pStyle w:val="TableParagraph"/>
                          <w:ind w:left="24" w:right="24"/>
                          <w:jc w:val="center"/>
                          <w:rPr>
                            <w:sz w:val="3"/>
                          </w:rPr>
                        </w:pPr>
                        <w:r>
                          <w:rPr>
                            <w:w w:val="105"/>
                            <w:sz w:val="3"/>
                          </w:rPr>
                          <w:t>1,48732584%</w:t>
                        </w:r>
                      </w:p>
                    </w:tc>
                    <w:tc>
                      <w:tcPr>
                        <w:tcW w:w="288" w:type="dxa"/>
                        <w:tcBorders>
                          <w:top w:val="single" w:sz="2" w:space="0" w:color="000000"/>
                          <w:left w:val="single" w:sz="2" w:space="0" w:color="000000"/>
                          <w:bottom w:val="single" w:sz="2" w:space="0" w:color="000000"/>
                          <w:right w:val="single" w:sz="2" w:space="0" w:color="000000"/>
                        </w:tcBorders>
                      </w:tcPr>
                      <w:p w14:paraId="537D01DB" w14:textId="77777777" w:rsidR="00F65BCA" w:rsidRDefault="00F65BCA">
                        <w:pPr>
                          <w:pStyle w:val="TableParagraph"/>
                          <w:rPr>
                            <w:rFonts w:ascii="Calibri"/>
                            <w:sz w:val="2"/>
                          </w:rPr>
                        </w:pPr>
                      </w:p>
                      <w:p w14:paraId="7DBD1A61" w14:textId="77777777" w:rsidR="00F65BCA" w:rsidRDefault="00216117">
                        <w:pPr>
                          <w:pStyle w:val="TableParagraph"/>
                          <w:ind w:left="24" w:right="24"/>
                          <w:jc w:val="center"/>
                          <w:rPr>
                            <w:sz w:val="3"/>
                          </w:rPr>
                        </w:pPr>
                        <w:r>
                          <w:rPr>
                            <w:w w:val="105"/>
                            <w:sz w:val="3"/>
                          </w:rPr>
                          <w:t>1,35211440%</w:t>
                        </w:r>
                      </w:p>
                    </w:tc>
                    <w:tc>
                      <w:tcPr>
                        <w:tcW w:w="288" w:type="dxa"/>
                        <w:tcBorders>
                          <w:top w:val="single" w:sz="2" w:space="0" w:color="000000"/>
                          <w:left w:val="single" w:sz="2" w:space="0" w:color="000000"/>
                          <w:bottom w:val="single" w:sz="2" w:space="0" w:color="000000"/>
                          <w:right w:val="single" w:sz="2" w:space="0" w:color="000000"/>
                        </w:tcBorders>
                      </w:tcPr>
                      <w:p w14:paraId="5AA9E3B0" w14:textId="77777777" w:rsidR="00F65BCA" w:rsidRDefault="00F65BCA">
                        <w:pPr>
                          <w:pStyle w:val="TableParagraph"/>
                          <w:rPr>
                            <w:rFonts w:ascii="Calibri"/>
                            <w:sz w:val="2"/>
                          </w:rPr>
                        </w:pPr>
                      </w:p>
                      <w:p w14:paraId="4290B8DE" w14:textId="77777777" w:rsidR="00F65BCA" w:rsidRDefault="00216117">
                        <w:pPr>
                          <w:pStyle w:val="TableParagraph"/>
                          <w:ind w:left="24" w:right="24"/>
                          <w:jc w:val="center"/>
                          <w:rPr>
                            <w:sz w:val="3"/>
                          </w:rPr>
                        </w:pPr>
                        <w:r>
                          <w:rPr>
                            <w:w w:val="105"/>
                            <w:sz w:val="3"/>
                          </w:rPr>
                          <w:t>1,35211440%</w:t>
                        </w:r>
                      </w:p>
                    </w:tc>
                    <w:tc>
                      <w:tcPr>
                        <w:tcW w:w="288" w:type="dxa"/>
                        <w:tcBorders>
                          <w:top w:val="single" w:sz="2" w:space="0" w:color="000000"/>
                          <w:left w:val="single" w:sz="2" w:space="0" w:color="000000"/>
                          <w:bottom w:val="single" w:sz="2" w:space="0" w:color="000000"/>
                          <w:right w:val="single" w:sz="2" w:space="0" w:color="000000"/>
                        </w:tcBorders>
                      </w:tcPr>
                      <w:p w14:paraId="451105FF" w14:textId="77777777" w:rsidR="00F65BCA" w:rsidRDefault="00F65BCA">
                        <w:pPr>
                          <w:pStyle w:val="TableParagraph"/>
                          <w:rPr>
                            <w:rFonts w:ascii="Calibri"/>
                            <w:sz w:val="2"/>
                          </w:rPr>
                        </w:pPr>
                      </w:p>
                      <w:p w14:paraId="391FF050" w14:textId="77777777" w:rsidR="00F65BCA" w:rsidRDefault="00216117">
                        <w:pPr>
                          <w:pStyle w:val="TableParagraph"/>
                          <w:ind w:left="24" w:right="24"/>
                          <w:jc w:val="center"/>
                          <w:rPr>
                            <w:sz w:val="3"/>
                          </w:rPr>
                        </w:pPr>
                        <w:r>
                          <w:rPr>
                            <w:w w:val="105"/>
                            <w:sz w:val="3"/>
                          </w:rPr>
                          <w:t>1,62253728%</w:t>
                        </w:r>
                      </w:p>
                    </w:tc>
                    <w:tc>
                      <w:tcPr>
                        <w:tcW w:w="288" w:type="dxa"/>
                        <w:tcBorders>
                          <w:top w:val="single" w:sz="2" w:space="0" w:color="000000"/>
                          <w:left w:val="single" w:sz="2" w:space="0" w:color="000000"/>
                          <w:bottom w:val="single" w:sz="2" w:space="0" w:color="000000"/>
                          <w:right w:val="single" w:sz="2" w:space="0" w:color="000000"/>
                        </w:tcBorders>
                      </w:tcPr>
                      <w:p w14:paraId="1952FD63" w14:textId="77777777" w:rsidR="00F65BCA" w:rsidRDefault="00F65BCA">
                        <w:pPr>
                          <w:pStyle w:val="TableParagraph"/>
                          <w:rPr>
                            <w:rFonts w:ascii="Calibri"/>
                            <w:sz w:val="2"/>
                          </w:rPr>
                        </w:pPr>
                      </w:p>
                      <w:p w14:paraId="1FCF8E04" w14:textId="77777777" w:rsidR="00F65BCA" w:rsidRDefault="00216117">
                        <w:pPr>
                          <w:pStyle w:val="TableParagraph"/>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7887FB21" w14:textId="77777777" w:rsidR="00F65BCA" w:rsidRDefault="00F65BCA">
                        <w:pPr>
                          <w:pStyle w:val="TableParagraph"/>
                          <w:rPr>
                            <w:rFonts w:ascii="Calibri"/>
                            <w:sz w:val="2"/>
                          </w:rPr>
                        </w:pPr>
                      </w:p>
                      <w:p w14:paraId="13BA0C5D" w14:textId="77777777" w:rsidR="00F65BCA" w:rsidRDefault="00216117">
                        <w:pPr>
                          <w:pStyle w:val="TableParagraph"/>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63790A80" w14:textId="77777777" w:rsidR="00F65BCA" w:rsidRDefault="00F65BCA">
                        <w:pPr>
                          <w:pStyle w:val="TableParagraph"/>
                          <w:rPr>
                            <w:rFonts w:ascii="Calibri"/>
                            <w:sz w:val="2"/>
                          </w:rPr>
                        </w:pPr>
                      </w:p>
                      <w:p w14:paraId="3594AB9D" w14:textId="77777777" w:rsidR="00F65BCA" w:rsidRDefault="00216117">
                        <w:pPr>
                          <w:pStyle w:val="TableParagraph"/>
                          <w:ind w:left="24" w:right="24"/>
                          <w:jc w:val="center"/>
                          <w:rPr>
                            <w:sz w:val="3"/>
                          </w:rPr>
                        </w:pPr>
                        <w:r>
                          <w:rPr>
                            <w:w w:val="105"/>
                            <w:sz w:val="3"/>
                          </w:rPr>
                          <w:t>2,02817160%</w:t>
                        </w:r>
                      </w:p>
                    </w:tc>
                  </w:tr>
                  <w:tr w:rsidR="00F65BCA" w14:paraId="0A3A8C3C"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45E68E53"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38EEDABF" w14:textId="77777777" w:rsidR="00F65BCA" w:rsidRDefault="00F65BCA">
                        <w:pPr>
                          <w:pStyle w:val="TableParagraph"/>
                          <w:rPr>
                            <w:rFonts w:ascii="Calibri"/>
                            <w:sz w:val="2"/>
                          </w:rPr>
                        </w:pPr>
                      </w:p>
                      <w:p w14:paraId="3E4AAE00" w14:textId="77777777" w:rsidR="00F65BCA" w:rsidRDefault="00F65BCA">
                        <w:pPr>
                          <w:pStyle w:val="TableParagraph"/>
                          <w:rPr>
                            <w:rFonts w:ascii="Calibri"/>
                            <w:sz w:val="2"/>
                          </w:rPr>
                        </w:pPr>
                      </w:p>
                      <w:p w14:paraId="5201FCF5" w14:textId="77777777" w:rsidR="00F65BCA" w:rsidRDefault="00216117">
                        <w:pPr>
                          <w:pStyle w:val="TableParagraph"/>
                          <w:spacing w:before="17"/>
                          <w:ind w:left="18" w:right="11"/>
                          <w:jc w:val="center"/>
                          <w:rPr>
                            <w:sz w:val="3"/>
                          </w:rPr>
                        </w:pPr>
                        <w:r>
                          <w:rPr>
                            <w:w w:val="105"/>
                            <w:sz w:val="3"/>
                          </w:rPr>
                          <w:t>MTX</w:t>
                        </w:r>
                      </w:p>
                    </w:tc>
                    <w:tc>
                      <w:tcPr>
                        <w:tcW w:w="958" w:type="dxa"/>
                        <w:tcBorders>
                          <w:top w:val="single" w:sz="2" w:space="0" w:color="000000"/>
                          <w:left w:val="single" w:sz="2" w:space="0" w:color="000000"/>
                          <w:bottom w:val="single" w:sz="2" w:space="0" w:color="000000"/>
                          <w:right w:val="single" w:sz="2" w:space="0" w:color="000000"/>
                        </w:tcBorders>
                        <w:shd w:val="clear" w:color="auto" w:fill="FCE4D6"/>
                      </w:tcPr>
                      <w:p w14:paraId="31521D5E" w14:textId="77777777" w:rsidR="00F65BCA" w:rsidRDefault="00F65BCA">
                        <w:pPr>
                          <w:pStyle w:val="TableParagraph"/>
                          <w:rPr>
                            <w:rFonts w:ascii="Calibri"/>
                            <w:sz w:val="2"/>
                          </w:rPr>
                        </w:pPr>
                      </w:p>
                      <w:p w14:paraId="363D7B3C" w14:textId="77777777" w:rsidR="00F65BCA" w:rsidRDefault="00216117">
                        <w:pPr>
                          <w:pStyle w:val="TableParagraph"/>
                          <w:ind w:left="1"/>
                          <w:jc w:val="center"/>
                          <w:rPr>
                            <w:sz w:val="3"/>
                          </w:rPr>
                        </w:pPr>
                        <w:r>
                          <w:rPr>
                            <w:w w:val="103"/>
                            <w:sz w:val="3"/>
                          </w:rPr>
                          <w: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FAD8FB3" w14:textId="77777777" w:rsidR="00F65BCA" w:rsidRDefault="00F65BCA">
                        <w:pPr>
                          <w:pStyle w:val="TableParagraph"/>
                          <w:rPr>
                            <w:rFonts w:ascii="Calibri"/>
                            <w:sz w:val="2"/>
                          </w:rPr>
                        </w:pPr>
                      </w:p>
                      <w:p w14:paraId="706EBD3C"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35EA6B3" w14:textId="77777777" w:rsidR="00F65BCA" w:rsidRDefault="00F65BCA">
                        <w:pPr>
                          <w:pStyle w:val="TableParagraph"/>
                          <w:rPr>
                            <w:rFonts w:ascii="Calibri"/>
                            <w:sz w:val="2"/>
                          </w:rPr>
                        </w:pPr>
                      </w:p>
                      <w:p w14:paraId="412DFD44"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C59E42F"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F93A7AE" w14:textId="77777777" w:rsidR="00F65BCA" w:rsidRDefault="00F65BCA">
                        <w:pPr>
                          <w:pStyle w:val="TableParagraph"/>
                          <w:rPr>
                            <w:rFonts w:ascii="Calibri"/>
                            <w:sz w:val="2"/>
                          </w:rPr>
                        </w:pPr>
                      </w:p>
                      <w:p w14:paraId="1E94986D" w14:textId="77777777" w:rsidR="00F65BCA" w:rsidRDefault="00216117">
                        <w:pPr>
                          <w:pStyle w:val="TableParagraph"/>
                          <w:ind w:left="24" w:right="24"/>
                          <w:jc w:val="center"/>
                          <w:rPr>
                            <w:sz w:val="3"/>
                          </w:rPr>
                        </w:pPr>
                        <w:r>
                          <w:rPr>
                            <w:w w:val="105"/>
                            <w:sz w:val="3"/>
                          </w:rPr>
                          <w:t>0,89022086%</w:t>
                        </w:r>
                      </w:p>
                    </w:tc>
                    <w:tc>
                      <w:tcPr>
                        <w:tcW w:w="288" w:type="dxa"/>
                        <w:tcBorders>
                          <w:top w:val="single" w:sz="2" w:space="0" w:color="000000"/>
                          <w:left w:val="single" w:sz="2" w:space="0" w:color="000000"/>
                          <w:bottom w:val="single" w:sz="2" w:space="0" w:color="000000"/>
                          <w:right w:val="single" w:sz="2" w:space="0" w:color="000000"/>
                        </w:tcBorders>
                      </w:tcPr>
                      <w:p w14:paraId="45A85BBF" w14:textId="77777777" w:rsidR="00F65BCA" w:rsidRDefault="00F65BCA">
                        <w:pPr>
                          <w:pStyle w:val="TableParagraph"/>
                          <w:rPr>
                            <w:rFonts w:ascii="Calibri"/>
                            <w:sz w:val="2"/>
                          </w:rPr>
                        </w:pPr>
                      </w:p>
                      <w:p w14:paraId="66D49988" w14:textId="77777777" w:rsidR="00F65BCA" w:rsidRDefault="00216117">
                        <w:pPr>
                          <w:pStyle w:val="TableParagraph"/>
                          <w:ind w:left="24" w:right="24"/>
                          <w:jc w:val="center"/>
                          <w:rPr>
                            <w:sz w:val="3"/>
                          </w:rPr>
                        </w:pPr>
                        <w:r>
                          <w:rPr>
                            <w:w w:val="105"/>
                            <w:sz w:val="3"/>
                          </w:rPr>
                          <w:t>0,83458206%</w:t>
                        </w:r>
                      </w:p>
                    </w:tc>
                    <w:tc>
                      <w:tcPr>
                        <w:tcW w:w="288" w:type="dxa"/>
                        <w:tcBorders>
                          <w:top w:val="single" w:sz="2" w:space="0" w:color="000000"/>
                          <w:left w:val="single" w:sz="2" w:space="0" w:color="000000"/>
                          <w:bottom w:val="single" w:sz="2" w:space="0" w:color="000000"/>
                          <w:right w:val="single" w:sz="2" w:space="0" w:color="000000"/>
                        </w:tcBorders>
                      </w:tcPr>
                      <w:p w14:paraId="0512ECDF" w14:textId="77777777" w:rsidR="00F65BCA" w:rsidRDefault="00F65BCA">
                        <w:pPr>
                          <w:pStyle w:val="TableParagraph"/>
                          <w:rPr>
                            <w:rFonts w:ascii="Calibri"/>
                            <w:sz w:val="2"/>
                          </w:rPr>
                        </w:pPr>
                      </w:p>
                      <w:p w14:paraId="4215E128" w14:textId="77777777" w:rsidR="00F65BCA" w:rsidRDefault="00216117">
                        <w:pPr>
                          <w:pStyle w:val="TableParagraph"/>
                          <w:ind w:left="24" w:right="24"/>
                          <w:jc w:val="center"/>
                          <w:rPr>
                            <w:sz w:val="3"/>
                          </w:rPr>
                        </w:pPr>
                        <w:r>
                          <w:rPr>
                            <w:w w:val="105"/>
                            <w:sz w:val="3"/>
                          </w:rPr>
                          <w:t>0,79563490%</w:t>
                        </w:r>
                      </w:p>
                    </w:tc>
                    <w:tc>
                      <w:tcPr>
                        <w:tcW w:w="288" w:type="dxa"/>
                        <w:tcBorders>
                          <w:top w:val="single" w:sz="2" w:space="0" w:color="000000"/>
                          <w:left w:val="single" w:sz="2" w:space="0" w:color="000000"/>
                          <w:bottom w:val="single" w:sz="2" w:space="0" w:color="000000"/>
                          <w:right w:val="single" w:sz="2" w:space="0" w:color="000000"/>
                        </w:tcBorders>
                      </w:tcPr>
                      <w:p w14:paraId="5C6B9392" w14:textId="77777777" w:rsidR="00F65BCA" w:rsidRDefault="00F65BCA">
                        <w:pPr>
                          <w:pStyle w:val="TableParagraph"/>
                          <w:rPr>
                            <w:rFonts w:ascii="Calibri"/>
                            <w:sz w:val="2"/>
                          </w:rPr>
                        </w:pPr>
                      </w:p>
                      <w:p w14:paraId="2609324A" w14:textId="77777777" w:rsidR="00F65BCA" w:rsidRDefault="00216117">
                        <w:pPr>
                          <w:pStyle w:val="TableParagraph"/>
                          <w:ind w:left="24" w:right="24"/>
                          <w:jc w:val="center"/>
                          <w:rPr>
                            <w:sz w:val="3"/>
                          </w:rPr>
                        </w:pPr>
                        <w:r>
                          <w:rPr>
                            <w:w w:val="105"/>
                            <w:sz w:val="3"/>
                          </w:rPr>
                          <w:t>0,75112385%</w:t>
                        </w:r>
                      </w:p>
                    </w:tc>
                    <w:tc>
                      <w:tcPr>
                        <w:tcW w:w="288" w:type="dxa"/>
                        <w:tcBorders>
                          <w:top w:val="single" w:sz="2" w:space="0" w:color="000000"/>
                          <w:left w:val="single" w:sz="2" w:space="0" w:color="000000"/>
                          <w:bottom w:val="single" w:sz="2" w:space="0" w:color="000000"/>
                          <w:right w:val="single" w:sz="2" w:space="0" w:color="000000"/>
                        </w:tcBorders>
                      </w:tcPr>
                      <w:p w14:paraId="49DB0A16" w14:textId="77777777" w:rsidR="00F65BCA" w:rsidRDefault="00F65BCA">
                        <w:pPr>
                          <w:pStyle w:val="TableParagraph"/>
                          <w:rPr>
                            <w:rFonts w:ascii="Calibri"/>
                            <w:sz w:val="2"/>
                          </w:rPr>
                        </w:pPr>
                      </w:p>
                      <w:p w14:paraId="731ED996" w14:textId="77777777" w:rsidR="00F65BCA" w:rsidRDefault="00216117">
                        <w:pPr>
                          <w:pStyle w:val="TableParagraph"/>
                          <w:ind w:left="24" w:right="24"/>
                          <w:jc w:val="center"/>
                          <w:rPr>
                            <w:sz w:val="3"/>
                          </w:rPr>
                        </w:pPr>
                        <w:r>
                          <w:rPr>
                            <w:w w:val="105"/>
                            <w:sz w:val="3"/>
                          </w:rPr>
                          <w:t>0,71217669%</w:t>
                        </w:r>
                      </w:p>
                    </w:tc>
                    <w:tc>
                      <w:tcPr>
                        <w:tcW w:w="288" w:type="dxa"/>
                        <w:tcBorders>
                          <w:top w:val="single" w:sz="2" w:space="0" w:color="000000"/>
                          <w:left w:val="single" w:sz="2" w:space="0" w:color="000000"/>
                          <w:bottom w:val="single" w:sz="2" w:space="0" w:color="000000"/>
                          <w:right w:val="single" w:sz="2" w:space="0" w:color="000000"/>
                        </w:tcBorders>
                      </w:tcPr>
                      <w:p w14:paraId="018E4968" w14:textId="77777777" w:rsidR="00F65BCA" w:rsidRDefault="00F65BCA">
                        <w:pPr>
                          <w:pStyle w:val="TableParagraph"/>
                          <w:rPr>
                            <w:rFonts w:ascii="Calibri"/>
                            <w:sz w:val="2"/>
                          </w:rPr>
                        </w:pPr>
                      </w:p>
                      <w:p w14:paraId="4AA2BC46" w14:textId="77777777" w:rsidR="00F65BCA" w:rsidRDefault="00216117">
                        <w:pPr>
                          <w:pStyle w:val="TableParagraph"/>
                          <w:ind w:left="24" w:right="24"/>
                          <w:jc w:val="center"/>
                          <w:rPr>
                            <w:sz w:val="3"/>
                          </w:rPr>
                        </w:pPr>
                        <w:r>
                          <w:rPr>
                            <w:w w:val="105"/>
                            <w:sz w:val="3"/>
                          </w:rPr>
                          <w:t>0,66210177%</w:t>
                        </w:r>
                      </w:p>
                    </w:tc>
                    <w:tc>
                      <w:tcPr>
                        <w:tcW w:w="288" w:type="dxa"/>
                        <w:tcBorders>
                          <w:top w:val="single" w:sz="2" w:space="0" w:color="000000"/>
                          <w:left w:val="single" w:sz="2" w:space="0" w:color="000000"/>
                          <w:bottom w:val="single" w:sz="2" w:space="0" w:color="000000"/>
                          <w:right w:val="single" w:sz="2" w:space="0" w:color="000000"/>
                        </w:tcBorders>
                      </w:tcPr>
                      <w:p w14:paraId="601DAAB0" w14:textId="77777777" w:rsidR="00F65BCA" w:rsidRDefault="00F65BCA">
                        <w:pPr>
                          <w:pStyle w:val="TableParagraph"/>
                          <w:rPr>
                            <w:rFonts w:ascii="Calibri"/>
                            <w:sz w:val="2"/>
                          </w:rPr>
                        </w:pPr>
                      </w:p>
                      <w:p w14:paraId="6D29FE66" w14:textId="77777777" w:rsidR="00F65BCA" w:rsidRDefault="00216117">
                        <w:pPr>
                          <w:pStyle w:val="TableParagraph"/>
                          <w:ind w:left="24" w:right="24"/>
                          <w:jc w:val="center"/>
                          <w:rPr>
                            <w:sz w:val="3"/>
                          </w:rPr>
                        </w:pPr>
                        <w:r>
                          <w:rPr>
                            <w:w w:val="105"/>
                            <w:sz w:val="3"/>
                          </w:rPr>
                          <w:t>0,61202684%</w:t>
                        </w:r>
                      </w:p>
                    </w:tc>
                    <w:tc>
                      <w:tcPr>
                        <w:tcW w:w="288" w:type="dxa"/>
                        <w:tcBorders>
                          <w:top w:val="single" w:sz="2" w:space="0" w:color="000000"/>
                          <w:left w:val="single" w:sz="2" w:space="0" w:color="000000"/>
                          <w:bottom w:val="single" w:sz="2" w:space="0" w:color="000000"/>
                          <w:right w:val="single" w:sz="2" w:space="0" w:color="000000"/>
                        </w:tcBorders>
                      </w:tcPr>
                      <w:p w14:paraId="7F116E6F" w14:textId="77777777" w:rsidR="00F65BCA" w:rsidRDefault="00F65BCA">
                        <w:pPr>
                          <w:pStyle w:val="TableParagraph"/>
                          <w:rPr>
                            <w:rFonts w:ascii="Calibri"/>
                            <w:sz w:val="2"/>
                          </w:rPr>
                        </w:pPr>
                      </w:p>
                      <w:p w14:paraId="5AC6A15E" w14:textId="77777777" w:rsidR="00F65BCA" w:rsidRDefault="00216117">
                        <w:pPr>
                          <w:pStyle w:val="TableParagraph"/>
                          <w:ind w:left="24" w:right="24"/>
                          <w:jc w:val="center"/>
                          <w:rPr>
                            <w:sz w:val="3"/>
                          </w:rPr>
                        </w:pPr>
                        <w:r>
                          <w:rPr>
                            <w:w w:val="105"/>
                            <w:sz w:val="3"/>
                          </w:rPr>
                          <w:t>0,55638804%</w:t>
                        </w:r>
                      </w:p>
                    </w:tc>
                    <w:tc>
                      <w:tcPr>
                        <w:tcW w:w="288" w:type="dxa"/>
                        <w:tcBorders>
                          <w:top w:val="single" w:sz="2" w:space="0" w:color="000000"/>
                          <w:left w:val="single" w:sz="2" w:space="0" w:color="000000"/>
                          <w:bottom w:val="single" w:sz="2" w:space="0" w:color="000000"/>
                          <w:right w:val="single" w:sz="2" w:space="0" w:color="000000"/>
                        </w:tcBorders>
                      </w:tcPr>
                      <w:p w14:paraId="11297588" w14:textId="77777777" w:rsidR="00F65BCA" w:rsidRDefault="00F65BCA">
                        <w:pPr>
                          <w:pStyle w:val="TableParagraph"/>
                          <w:rPr>
                            <w:rFonts w:ascii="Calibri"/>
                            <w:sz w:val="2"/>
                          </w:rPr>
                        </w:pPr>
                      </w:p>
                      <w:p w14:paraId="7E8EA8D6" w14:textId="77777777" w:rsidR="00F65BCA" w:rsidRDefault="00216117">
                        <w:pPr>
                          <w:pStyle w:val="TableParagraph"/>
                          <w:ind w:left="24" w:right="24"/>
                          <w:jc w:val="center"/>
                          <w:rPr>
                            <w:sz w:val="3"/>
                          </w:rPr>
                        </w:pPr>
                        <w:r>
                          <w:rPr>
                            <w:w w:val="105"/>
                            <w:sz w:val="3"/>
                          </w:rPr>
                          <w:t>0,55638804%</w:t>
                        </w:r>
                      </w:p>
                    </w:tc>
                    <w:tc>
                      <w:tcPr>
                        <w:tcW w:w="288" w:type="dxa"/>
                        <w:tcBorders>
                          <w:top w:val="single" w:sz="2" w:space="0" w:color="000000"/>
                          <w:left w:val="single" w:sz="2" w:space="0" w:color="000000"/>
                          <w:bottom w:val="single" w:sz="2" w:space="0" w:color="000000"/>
                          <w:right w:val="single" w:sz="2" w:space="0" w:color="000000"/>
                        </w:tcBorders>
                      </w:tcPr>
                      <w:p w14:paraId="41F0100E" w14:textId="77777777" w:rsidR="00F65BCA" w:rsidRDefault="00F65BCA">
                        <w:pPr>
                          <w:pStyle w:val="TableParagraph"/>
                          <w:rPr>
                            <w:rFonts w:ascii="Calibri"/>
                            <w:sz w:val="2"/>
                          </w:rPr>
                        </w:pPr>
                      </w:p>
                      <w:p w14:paraId="31A4BBBC" w14:textId="77777777" w:rsidR="00F65BCA" w:rsidRDefault="00216117">
                        <w:pPr>
                          <w:pStyle w:val="TableParagraph"/>
                          <w:ind w:left="24" w:right="24"/>
                          <w:jc w:val="center"/>
                          <w:rPr>
                            <w:sz w:val="3"/>
                          </w:rPr>
                        </w:pPr>
                        <w:r>
                          <w:rPr>
                            <w:w w:val="105"/>
                            <w:sz w:val="3"/>
                          </w:rPr>
                          <w:t>0,66766565%</w:t>
                        </w:r>
                      </w:p>
                    </w:tc>
                    <w:tc>
                      <w:tcPr>
                        <w:tcW w:w="288" w:type="dxa"/>
                        <w:tcBorders>
                          <w:top w:val="single" w:sz="2" w:space="0" w:color="000000"/>
                          <w:left w:val="single" w:sz="2" w:space="0" w:color="000000"/>
                          <w:bottom w:val="single" w:sz="2" w:space="0" w:color="000000"/>
                          <w:right w:val="single" w:sz="2" w:space="0" w:color="000000"/>
                        </w:tcBorders>
                      </w:tcPr>
                      <w:p w14:paraId="17C2DC30" w14:textId="77777777" w:rsidR="00F65BCA" w:rsidRDefault="00F65BCA">
                        <w:pPr>
                          <w:pStyle w:val="TableParagraph"/>
                          <w:rPr>
                            <w:rFonts w:ascii="Calibri"/>
                            <w:sz w:val="2"/>
                          </w:rPr>
                        </w:pPr>
                      </w:p>
                      <w:p w14:paraId="2985DC74" w14:textId="77777777" w:rsidR="00F65BCA" w:rsidRDefault="00216117">
                        <w:pPr>
                          <w:pStyle w:val="TableParagraph"/>
                          <w:ind w:left="24" w:right="24"/>
                          <w:jc w:val="center"/>
                          <w:rPr>
                            <w:sz w:val="3"/>
                          </w:rPr>
                        </w:pPr>
                        <w:r>
                          <w:rPr>
                            <w:w w:val="105"/>
                            <w:sz w:val="3"/>
                          </w:rPr>
                          <w:t>0,75112385%</w:t>
                        </w:r>
                      </w:p>
                    </w:tc>
                    <w:tc>
                      <w:tcPr>
                        <w:tcW w:w="288" w:type="dxa"/>
                        <w:tcBorders>
                          <w:top w:val="single" w:sz="2" w:space="0" w:color="000000"/>
                          <w:left w:val="single" w:sz="2" w:space="0" w:color="000000"/>
                          <w:bottom w:val="single" w:sz="2" w:space="0" w:color="000000"/>
                          <w:right w:val="single" w:sz="2" w:space="0" w:color="000000"/>
                        </w:tcBorders>
                      </w:tcPr>
                      <w:p w14:paraId="0F671EC4" w14:textId="77777777" w:rsidR="00F65BCA" w:rsidRDefault="00F65BCA">
                        <w:pPr>
                          <w:pStyle w:val="TableParagraph"/>
                          <w:rPr>
                            <w:rFonts w:ascii="Calibri"/>
                            <w:sz w:val="2"/>
                          </w:rPr>
                        </w:pPr>
                      </w:p>
                      <w:p w14:paraId="021409C4" w14:textId="77777777" w:rsidR="00F65BCA" w:rsidRDefault="00216117">
                        <w:pPr>
                          <w:pStyle w:val="TableParagraph"/>
                          <w:ind w:left="24" w:right="24"/>
                          <w:jc w:val="center"/>
                          <w:rPr>
                            <w:sz w:val="3"/>
                          </w:rPr>
                        </w:pPr>
                        <w:r>
                          <w:rPr>
                            <w:w w:val="105"/>
                            <w:sz w:val="3"/>
                          </w:rPr>
                          <w:t>0,75112385%</w:t>
                        </w:r>
                      </w:p>
                    </w:tc>
                    <w:tc>
                      <w:tcPr>
                        <w:tcW w:w="288" w:type="dxa"/>
                        <w:tcBorders>
                          <w:top w:val="single" w:sz="2" w:space="0" w:color="000000"/>
                          <w:left w:val="single" w:sz="2" w:space="0" w:color="000000"/>
                          <w:bottom w:val="single" w:sz="2" w:space="0" w:color="000000"/>
                          <w:right w:val="single" w:sz="2" w:space="0" w:color="000000"/>
                        </w:tcBorders>
                      </w:tcPr>
                      <w:p w14:paraId="55C75F65" w14:textId="77777777" w:rsidR="00F65BCA" w:rsidRDefault="00F65BCA">
                        <w:pPr>
                          <w:pStyle w:val="TableParagraph"/>
                          <w:rPr>
                            <w:rFonts w:ascii="Calibri"/>
                            <w:sz w:val="2"/>
                          </w:rPr>
                        </w:pPr>
                      </w:p>
                      <w:p w14:paraId="5CA39290" w14:textId="77777777" w:rsidR="00F65BCA" w:rsidRDefault="00216117">
                        <w:pPr>
                          <w:pStyle w:val="TableParagraph"/>
                          <w:ind w:left="24" w:right="24"/>
                          <w:jc w:val="center"/>
                          <w:rPr>
                            <w:sz w:val="3"/>
                          </w:rPr>
                        </w:pPr>
                        <w:r>
                          <w:rPr>
                            <w:w w:val="105"/>
                            <w:sz w:val="3"/>
                          </w:rPr>
                          <w:t>0,83458206%</w:t>
                        </w:r>
                      </w:p>
                    </w:tc>
                  </w:tr>
                  <w:tr w:rsidR="00F65BCA" w14:paraId="18A7353E" w14:textId="77777777">
                    <w:trPr>
                      <w:trHeight w:val="81"/>
                    </w:trPr>
                    <w:tc>
                      <w:tcPr>
                        <w:tcW w:w="526" w:type="dxa"/>
                        <w:vMerge/>
                        <w:tcBorders>
                          <w:top w:val="nil"/>
                          <w:left w:val="single" w:sz="2" w:space="0" w:color="000000"/>
                          <w:bottom w:val="single" w:sz="2" w:space="0" w:color="000000"/>
                          <w:right w:val="single" w:sz="2" w:space="0" w:color="000000"/>
                        </w:tcBorders>
                        <w:shd w:val="clear" w:color="auto" w:fill="FCE4D6"/>
                      </w:tcPr>
                      <w:p w14:paraId="03229F2F"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62418931" w14:textId="77777777" w:rsidR="00F65BCA" w:rsidRDefault="00F65BCA">
                        <w:pPr>
                          <w:rPr>
                            <w:sz w:val="2"/>
                            <w:szCs w:val="2"/>
                          </w:rPr>
                        </w:pPr>
                      </w:p>
                    </w:tc>
                    <w:tc>
                      <w:tcPr>
                        <w:tcW w:w="958" w:type="dxa"/>
                        <w:tcBorders>
                          <w:top w:val="single" w:sz="2" w:space="0" w:color="000000"/>
                          <w:left w:val="single" w:sz="2" w:space="0" w:color="000000"/>
                          <w:bottom w:val="single" w:sz="2" w:space="0" w:color="000000"/>
                          <w:right w:val="single" w:sz="2" w:space="0" w:color="000000"/>
                        </w:tcBorders>
                        <w:shd w:val="clear" w:color="auto" w:fill="FCE4D6"/>
                      </w:tcPr>
                      <w:p w14:paraId="073902B6" w14:textId="77777777" w:rsidR="00F65BCA" w:rsidRDefault="00F65BCA">
                        <w:pPr>
                          <w:pStyle w:val="TableParagraph"/>
                          <w:rPr>
                            <w:rFonts w:ascii="Calibri"/>
                            <w:sz w:val="2"/>
                          </w:rPr>
                        </w:pPr>
                      </w:p>
                      <w:p w14:paraId="3129A56F" w14:textId="77777777" w:rsidR="00F65BCA" w:rsidRDefault="00216117">
                        <w:pPr>
                          <w:pStyle w:val="TableParagraph"/>
                          <w:ind w:left="1"/>
                          <w:jc w:val="center"/>
                          <w:rPr>
                            <w:sz w:val="3"/>
                          </w:rPr>
                        </w:pPr>
                        <w:r>
                          <w:rPr>
                            <w:w w:val="103"/>
                            <w:sz w:val="3"/>
                          </w:rPr>
                          <w: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5BC5856" w14:textId="77777777" w:rsidR="00F65BCA" w:rsidRDefault="00F65BCA">
                        <w:pPr>
                          <w:pStyle w:val="TableParagraph"/>
                          <w:rPr>
                            <w:rFonts w:ascii="Calibri"/>
                            <w:sz w:val="2"/>
                          </w:rPr>
                        </w:pPr>
                      </w:p>
                      <w:p w14:paraId="459599E2"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73D4740" w14:textId="77777777" w:rsidR="00F65BCA" w:rsidRDefault="00F65BCA">
                        <w:pPr>
                          <w:pStyle w:val="TableParagraph"/>
                          <w:rPr>
                            <w:rFonts w:ascii="Calibri"/>
                            <w:sz w:val="2"/>
                          </w:rPr>
                        </w:pPr>
                      </w:p>
                      <w:p w14:paraId="24E3150E"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6AB7368"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A7734E5" w14:textId="77777777" w:rsidR="00F65BCA" w:rsidRDefault="00F65BCA">
                        <w:pPr>
                          <w:pStyle w:val="TableParagraph"/>
                          <w:rPr>
                            <w:rFonts w:ascii="Calibri"/>
                            <w:sz w:val="2"/>
                          </w:rPr>
                        </w:pPr>
                      </w:p>
                      <w:p w14:paraId="7A352668" w14:textId="77777777" w:rsidR="00F65BCA" w:rsidRDefault="00216117">
                        <w:pPr>
                          <w:pStyle w:val="TableParagraph"/>
                          <w:ind w:left="24" w:right="24"/>
                          <w:jc w:val="center"/>
                          <w:rPr>
                            <w:sz w:val="3"/>
                          </w:rPr>
                        </w:pPr>
                        <w:r>
                          <w:rPr>
                            <w:w w:val="105"/>
                            <w:sz w:val="3"/>
                          </w:rPr>
                          <w:t>1,07538680%</w:t>
                        </w:r>
                      </w:p>
                    </w:tc>
                    <w:tc>
                      <w:tcPr>
                        <w:tcW w:w="288" w:type="dxa"/>
                        <w:tcBorders>
                          <w:top w:val="single" w:sz="2" w:space="0" w:color="000000"/>
                          <w:left w:val="single" w:sz="2" w:space="0" w:color="000000"/>
                          <w:bottom w:val="single" w:sz="2" w:space="0" w:color="000000"/>
                          <w:right w:val="single" w:sz="2" w:space="0" w:color="000000"/>
                        </w:tcBorders>
                      </w:tcPr>
                      <w:p w14:paraId="640F4F3A" w14:textId="77777777" w:rsidR="00F65BCA" w:rsidRDefault="00F65BCA">
                        <w:pPr>
                          <w:pStyle w:val="TableParagraph"/>
                          <w:rPr>
                            <w:rFonts w:ascii="Calibri"/>
                            <w:sz w:val="2"/>
                          </w:rPr>
                        </w:pPr>
                      </w:p>
                      <w:p w14:paraId="3A5F5031" w14:textId="77777777" w:rsidR="00F65BCA" w:rsidRDefault="00216117">
                        <w:pPr>
                          <w:pStyle w:val="TableParagraph"/>
                          <w:ind w:left="24" w:right="24"/>
                          <w:jc w:val="center"/>
                          <w:rPr>
                            <w:sz w:val="3"/>
                          </w:rPr>
                        </w:pPr>
                        <w:r>
                          <w:rPr>
                            <w:w w:val="105"/>
                            <w:sz w:val="3"/>
                          </w:rPr>
                          <w:t>1,00817513%</w:t>
                        </w:r>
                      </w:p>
                    </w:tc>
                    <w:tc>
                      <w:tcPr>
                        <w:tcW w:w="288" w:type="dxa"/>
                        <w:tcBorders>
                          <w:top w:val="single" w:sz="2" w:space="0" w:color="000000"/>
                          <w:left w:val="single" w:sz="2" w:space="0" w:color="000000"/>
                          <w:bottom w:val="single" w:sz="2" w:space="0" w:color="000000"/>
                          <w:right w:val="single" w:sz="2" w:space="0" w:color="000000"/>
                        </w:tcBorders>
                      </w:tcPr>
                      <w:p w14:paraId="759445C2" w14:textId="77777777" w:rsidR="00F65BCA" w:rsidRDefault="00F65BCA">
                        <w:pPr>
                          <w:pStyle w:val="TableParagraph"/>
                          <w:rPr>
                            <w:rFonts w:ascii="Calibri"/>
                            <w:sz w:val="2"/>
                          </w:rPr>
                        </w:pPr>
                      </w:p>
                      <w:p w14:paraId="54451B23" w14:textId="77777777" w:rsidR="00F65BCA" w:rsidRDefault="00216117">
                        <w:pPr>
                          <w:pStyle w:val="TableParagraph"/>
                          <w:ind w:left="24" w:right="24"/>
                          <w:jc w:val="center"/>
                          <w:rPr>
                            <w:sz w:val="3"/>
                          </w:rPr>
                        </w:pPr>
                        <w:r>
                          <w:rPr>
                            <w:w w:val="105"/>
                            <w:sz w:val="3"/>
                          </w:rPr>
                          <w:t>0,96112696%</w:t>
                        </w:r>
                      </w:p>
                    </w:tc>
                    <w:tc>
                      <w:tcPr>
                        <w:tcW w:w="288" w:type="dxa"/>
                        <w:tcBorders>
                          <w:top w:val="single" w:sz="2" w:space="0" w:color="000000"/>
                          <w:left w:val="single" w:sz="2" w:space="0" w:color="000000"/>
                          <w:bottom w:val="single" w:sz="2" w:space="0" w:color="000000"/>
                          <w:right w:val="single" w:sz="2" w:space="0" w:color="000000"/>
                        </w:tcBorders>
                      </w:tcPr>
                      <w:p w14:paraId="7A2EEAB3" w14:textId="77777777" w:rsidR="00F65BCA" w:rsidRDefault="00F65BCA">
                        <w:pPr>
                          <w:pStyle w:val="TableParagraph"/>
                          <w:rPr>
                            <w:rFonts w:ascii="Calibri"/>
                            <w:sz w:val="2"/>
                          </w:rPr>
                        </w:pPr>
                      </w:p>
                      <w:p w14:paraId="74EEBED3" w14:textId="77777777" w:rsidR="00F65BCA" w:rsidRDefault="00216117">
                        <w:pPr>
                          <w:pStyle w:val="TableParagraph"/>
                          <w:ind w:left="24" w:right="24"/>
                          <w:jc w:val="center"/>
                          <w:rPr>
                            <w:sz w:val="3"/>
                          </w:rPr>
                        </w:pPr>
                        <w:r>
                          <w:rPr>
                            <w:w w:val="105"/>
                            <w:sz w:val="3"/>
                          </w:rPr>
                          <w:t>0,90735762%</w:t>
                        </w:r>
                      </w:p>
                    </w:tc>
                    <w:tc>
                      <w:tcPr>
                        <w:tcW w:w="288" w:type="dxa"/>
                        <w:tcBorders>
                          <w:top w:val="single" w:sz="2" w:space="0" w:color="000000"/>
                          <w:left w:val="single" w:sz="2" w:space="0" w:color="000000"/>
                          <w:bottom w:val="single" w:sz="2" w:space="0" w:color="000000"/>
                          <w:right w:val="single" w:sz="2" w:space="0" w:color="000000"/>
                        </w:tcBorders>
                      </w:tcPr>
                      <w:p w14:paraId="061B90C7" w14:textId="77777777" w:rsidR="00F65BCA" w:rsidRDefault="00F65BCA">
                        <w:pPr>
                          <w:pStyle w:val="TableParagraph"/>
                          <w:rPr>
                            <w:rFonts w:ascii="Calibri"/>
                            <w:sz w:val="2"/>
                          </w:rPr>
                        </w:pPr>
                      </w:p>
                      <w:p w14:paraId="6A8DD9F6" w14:textId="77777777" w:rsidR="00F65BCA" w:rsidRDefault="00216117">
                        <w:pPr>
                          <w:pStyle w:val="TableParagraph"/>
                          <w:ind w:left="24" w:right="24"/>
                          <w:jc w:val="center"/>
                          <w:rPr>
                            <w:sz w:val="3"/>
                          </w:rPr>
                        </w:pPr>
                        <w:r>
                          <w:rPr>
                            <w:w w:val="105"/>
                            <w:sz w:val="3"/>
                          </w:rPr>
                          <w:t>0,86030944%</w:t>
                        </w:r>
                      </w:p>
                    </w:tc>
                    <w:tc>
                      <w:tcPr>
                        <w:tcW w:w="288" w:type="dxa"/>
                        <w:tcBorders>
                          <w:top w:val="single" w:sz="2" w:space="0" w:color="000000"/>
                          <w:left w:val="single" w:sz="2" w:space="0" w:color="000000"/>
                          <w:bottom w:val="single" w:sz="2" w:space="0" w:color="000000"/>
                          <w:right w:val="single" w:sz="2" w:space="0" w:color="000000"/>
                        </w:tcBorders>
                      </w:tcPr>
                      <w:p w14:paraId="5EEFB0FF" w14:textId="77777777" w:rsidR="00F65BCA" w:rsidRDefault="00F65BCA">
                        <w:pPr>
                          <w:pStyle w:val="TableParagraph"/>
                          <w:rPr>
                            <w:rFonts w:ascii="Calibri"/>
                            <w:sz w:val="2"/>
                          </w:rPr>
                        </w:pPr>
                      </w:p>
                      <w:p w14:paraId="2C65FF6E" w14:textId="77777777" w:rsidR="00F65BCA" w:rsidRDefault="00216117">
                        <w:pPr>
                          <w:pStyle w:val="TableParagraph"/>
                          <w:ind w:left="24" w:right="24"/>
                          <w:jc w:val="center"/>
                          <w:rPr>
                            <w:sz w:val="3"/>
                          </w:rPr>
                        </w:pPr>
                        <w:r>
                          <w:rPr>
                            <w:w w:val="105"/>
                            <w:sz w:val="3"/>
                          </w:rPr>
                          <w:t>0,79981894%</w:t>
                        </w:r>
                      </w:p>
                    </w:tc>
                    <w:tc>
                      <w:tcPr>
                        <w:tcW w:w="288" w:type="dxa"/>
                        <w:tcBorders>
                          <w:top w:val="single" w:sz="2" w:space="0" w:color="000000"/>
                          <w:left w:val="single" w:sz="2" w:space="0" w:color="000000"/>
                          <w:bottom w:val="single" w:sz="2" w:space="0" w:color="000000"/>
                          <w:right w:val="single" w:sz="2" w:space="0" w:color="000000"/>
                        </w:tcBorders>
                      </w:tcPr>
                      <w:p w14:paraId="6004DBCD" w14:textId="77777777" w:rsidR="00F65BCA" w:rsidRDefault="00F65BCA">
                        <w:pPr>
                          <w:pStyle w:val="TableParagraph"/>
                          <w:rPr>
                            <w:rFonts w:ascii="Calibri"/>
                            <w:sz w:val="2"/>
                          </w:rPr>
                        </w:pPr>
                      </w:p>
                      <w:p w14:paraId="35713432" w14:textId="77777777" w:rsidR="00F65BCA" w:rsidRDefault="00216117">
                        <w:pPr>
                          <w:pStyle w:val="TableParagraph"/>
                          <w:ind w:left="24" w:right="24"/>
                          <w:jc w:val="center"/>
                          <w:rPr>
                            <w:sz w:val="3"/>
                          </w:rPr>
                        </w:pPr>
                        <w:r>
                          <w:rPr>
                            <w:w w:val="105"/>
                            <w:sz w:val="3"/>
                          </w:rPr>
                          <w:t>0,73932843%</w:t>
                        </w:r>
                      </w:p>
                    </w:tc>
                    <w:tc>
                      <w:tcPr>
                        <w:tcW w:w="288" w:type="dxa"/>
                        <w:tcBorders>
                          <w:top w:val="single" w:sz="2" w:space="0" w:color="000000"/>
                          <w:left w:val="single" w:sz="2" w:space="0" w:color="000000"/>
                          <w:bottom w:val="single" w:sz="2" w:space="0" w:color="000000"/>
                          <w:right w:val="single" w:sz="2" w:space="0" w:color="000000"/>
                        </w:tcBorders>
                      </w:tcPr>
                      <w:p w14:paraId="52EC2B25" w14:textId="77777777" w:rsidR="00F65BCA" w:rsidRDefault="00F65BCA">
                        <w:pPr>
                          <w:pStyle w:val="TableParagraph"/>
                          <w:rPr>
                            <w:rFonts w:ascii="Calibri"/>
                            <w:sz w:val="2"/>
                          </w:rPr>
                        </w:pPr>
                      </w:p>
                      <w:p w14:paraId="49400122" w14:textId="77777777" w:rsidR="00F65BCA" w:rsidRDefault="00216117">
                        <w:pPr>
                          <w:pStyle w:val="TableParagraph"/>
                          <w:ind w:left="24" w:right="24"/>
                          <w:jc w:val="center"/>
                          <w:rPr>
                            <w:sz w:val="3"/>
                          </w:rPr>
                        </w:pPr>
                        <w:r>
                          <w:rPr>
                            <w:w w:val="105"/>
                            <w:sz w:val="3"/>
                          </w:rPr>
                          <w:t>0,67211675%</w:t>
                        </w:r>
                      </w:p>
                    </w:tc>
                    <w:tc>
                      <w:tcPr>
                        <w:tcW w:w="288" w:type="dxa"/>
                        <w:tcBorders>
                          <w:top w:val="single" w:sz="2" w:space="0" w:color="000000"/>
                          <w:left w:val="single" w:sz="2" w:space="0" w:color="000000"/>
                          <w:bottom w:val="single" w:sz="2" w:space="0" w:color="000000"/>
                          <w:right w:val="single" w:sz="2" w:space="0" w:color="000000"/>
                        </w:tcBorders>
                      </w:tcPr>
                      <w:p w14:paraId="37785543" w14:textId="77777777" w:rsidR="00F65BCA" w:rsidRDefault="00F65BCA">
                        <w:pPr>
                          <w:pStyle w:val="TableParagraph"/>
                          <w:rPr>
                            <w:rFonts w:ascii="Calibri"/>
                            <w:sz w:val="2"/>
                          </w:rPr>
                        </w:pPr>
                      </w:p>
                      <w:p w14:paraId="1E6BB200" w14:textId="77777777" w:rsidR="00F65BCA" w:rsidRDefault="00216117">
                        <w:pPr>
                          <w:pStyle w:val="TableParagraph"/>
                          <w:ind w:left="24" w:right="24"/>
                          <w:jc w:val="center"/>
                          <w:rPr>
                            <w:sz w:val="3"/>
                          </w:rPr>
                        </w:pPr>
                        <w:r>
                          <w:rPr>
                            <w:w w:val="105"/>
                            <w:sz w:val="3"/>
                          </w:rPr>
                          <w:t>0,67211675%</w:t>
                        </w:r>
                      </w:p>
                    </w:tc>
                    <w:tc>
                      <w:tcPr>
                        <w:tcW w:w="288" w:type="dxa"/>
                        <w:tcBorders>
                          <w:top w:val="single" w:sz="2" w:space="0" w:color="000000"/>
                          <w:left w:val="single" w:sz="2" w:space="0" w:color="000000"/>
                          <w:bottom w:val="single" w:sz="2" w:space="0" w:color="000000"/>
                          <w:right w:val="single" w:sz="2" w:space="0" w:color="000000"/>
                        </w:tcBorders>
                      </w:tcPr>
                      <w:p w14:paraId="2498687E" w14:textId="77777777" w:rsidR="00F65BCA" w:rsidRDefault="00F65BCA">
                        <w:pPr>
                          <w:pStyle w:val="TableParagraph"/>
                          <w:rPr>
                            <w:rFonts w:ascii="Calibri"/>
                            <w:sz w:val="2"/>
                          </w:rPr>
                        </w:pPr>
                      </w:p>
                      <w:p w14:paraId="05ED6FFC" w14:textId="77777777" w:rsidR="00F65BCA" w:rsidRDefault="00216117">
                        <w:pPr>
                          <w:pStyle w:val="TableParagraph"/>
                          <w:ind w:left="24" w:right="24"/>
                          <w:jc w:val="center"/>
                          <w:rPr>
                            <w:sz w:val="3"/>
                          </w:rPr>
                        </w:pPr>
                        <w:r>
                          <w:rPr>
                            <w:w w:val="105"/>
                            <w:sz w:val="3"/>
                          </w:rPr>
                          <w:t>0,80654010%</w:t>
                        </w:r>
                      </w:p>
                    </w:tc>
                    <w:tc>
                      <w:tcPr>
                        <w:tcW w:w="288" w:type="dxa"/>
                        <w:tcBorders>
                          <w:top w:val="single" w:sz="2" w:space="0" w:color="000000"/>
                          <w:left w:val="single" w:sz="2" w:space="0" w:color="000000"/>
                          <w:bottom w:val="single" w:sz="2" w:space="0" w:color="000000"/>
                          <w:right w:val="single" w:sz="2" w:space="0" w:color="000000"/>
                        </w:tcBorders>
                      </w:tcPr>
                      <w:p w14:paraId="00EDD198" w14:textId="77777777" w:rsidR="00F65BCA" w:rsidRDefault="00F65BCA">
                        <w:pPr>
                          <w:pStyle w:val="TableParagraph"/>
                          <w:rPr>
                            <w:rFonts w:ascii="Calibri"/>
                            <w:sz w:val="2"/>
                          </w:rPr>
                        </w:pPr>
                      </w:p>
                      <w:p w14:paraId="3E8E6CCA" w14:textId="77777777" w:rsidR="00F65BCA" w:rsidRDefault="00216117">
                        <w:pPr>
                          <w:pStyle w:val="TableParagraph"/>
                          <w:ind w:left="24" w:right="24"/>
                          <w:jc w:val="center"/>
                          <w:rPr>
                            <w:sz w:val="3"/>
                          </w:rPr>
                        </w:pPr>
                        <w:r>
                          <w:rPr>
                            <w:w w:val="105"/>
                            <w:sz w:val="3"/>
                          </w:rPr>
                          <w:t>0,90735762%</w:t>
                        </w:r>
                      </w:p>
                    </w:tc>
                    <w:tc>
                      <w:tcPr>
                        <w:tcW w:w="288" w:type="dxa"/>
                        <w:tcBorders>
                          <w:top w:val="single" w:sz="2" w:space="0" w:color="000000"/>
                          <w:left w:val="single" w:sz="2" w:space="0" w:color="000000"/>
                          <w:bottom w:val="single" w:sz="2" w:space="0" w:color="000000"/>
                          <w:right w:val="single" w:sz="2" w:space="0" w:color="000000"/>
                        </w:tcBorders>
                      </w:tcPr>
                      <w:p w14:paraId="78F0608A" w14:textId="77777777" w:rsidR="00F65BCA" w:rsidRDefault="00F65BCA">
                        <w:pPr>
                          <w:pStyle w:val="TableParagraph"/>
                          <w:rPr>
                            <w:rFonts w:ascii="Calibri"/>
                            <w:sz w:val="2"/>
                          </w:rPr>
                        </w:pPr>
                      </w:p>
                      <w:p w14:paraId="38B48DA9" w14:textId="77777777" w:rsidR="00F65BCA" w:rsidRDefault="00216117">
                        <w:pPr>
                          <w:pStyle w:val="TableParagraph"/>
                          <w:ind w:left="24" w:right="24"/>
                          <w:jc w:val="center"/>
                          <w:rPr>
                            <w:sz w:val="3"/>
                          </w:rPr>
                        </w:pPr>
                        <w:r>
                          <w:rPr>
                            <w:w w:val="105"/>
                            <w:sz w:val="3"/>
                          </w:rPr>
                          <w:t>0,90735762%</w:t>
                        </w:r>
                      </w:p>
                    </w:tc>
                    <w:tc>
                      <w:tcPr>
                        <w:tcW w:w="288" w:type="dxa"/>
                        <w:tcBorders>
                          <w:top w:val="single" w:sz="2" w:space="0" w:color="000000"/>
                          <w:left w:val="single" w:sz="2" w:space="0" w:color="000000"/>
                          <w:bottom w:val="single" w:sz="2" w:space="0" w:color="000000"/>
                          <w:right w:val="single" w:sz="2" w:space="0" w:color="000000"/>
                        </w:tcBorders>
                      </w:tcPr>
                      <w:p w14:paraId="01AB6C3B" w14:textId="77777777" w:rsidR="00F65BCA" w:rsidRDefault="00F65BCA">
                        <w:pPr>
                          <w:pStyle w:val="TableParagraph"/>
                          <w:rPr>
                            <w:rFonts w:ascii="Calibri"/>
                            <w:sz w:val="2"/>
                          </w:rPr>
                        </w:pPr>
                      </w:p>
                      <w:p w14:paraId="2863D320" w14:textId="77777777" w:rsidR="00F65BCA" w:rsidRDefault="00216117">
                        <w:pPr>
                          <w:pStyle w:val="TableParagraph"/>
                          <w:ind w:left="24" w:right="24"/>
                          <w:jc w:val="center"/>
                          <w:rPr>
                            <w:sz w:val="3"/>
                          </w:rPr>
                        </w:pPr>
                        <w:r>
                          <w:rPr>
                            <w:w w:val="105"/>
                            <w:sz w:val="3"/>
                          </w:rPr>
                          <w:t>1,00817513%</w:t>
                        </w:r>
                      </w:p>
                    </w:tc>
                  </w:tr>
                  <w:tr w:rsidR="00F65BCA" w14:paraId="48AD0623" w14:textId="77777777">
                    <w:trPr>
                      <w:trHeight w:val="110"/>
                    </w:trPr>
                    <w:tc>
                      <w:tcPr>
                        <w:tcW w:w="526" w:type="dxa"/>
                        <w:vMerge/>
                        <w:tcBorders>
                          <w:top w:val="nil"/>
                          <w:left w:val="single" w:sz="2" w:space="0" w:color="000000"/>
                          <w:bottom w:val="single" w:sz="2" w:space="0" w:color="000000"/>
                          <w:right w:val="single" w:sz="2" w:space="0" w:color="000000"/>
                        </w:tcBorders>
                        <w:shd w:val="clear" w:color="auto" w:fill="FCE4D6"/>
                      </w:tcPr>
                      <w:p w14:paraId="61B241FF"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0E9AAF81" w14:textId="77777777" w:rsidR="00F65BCA" w:rsidRDefault="00216117">
                        <w:pPr>
                          <w:pStyle w:val="TableParagraph"/>
                          <w:spacing w:before="8" w:line="40" w:lineRule="atLeast"/>
                          <w:ind w:left="18" w:right="18"/>
                          <w:jc w:val="center"/>
                          <w:rPr>
                            <w:sz w:val="3"/>
                          </w:rPr>
                        </w:pPr>
                        <w:r>
                          <w:rPr>
                            <w:w w:val="105"/>
                            <w:sz w:val="3"/>
                          </w:rPr>
                          <w:t>Abarth; Acura; Alke; ARO; Beta; Bonetti; Citroën; Daewoo; Daewoo FSO; Desta; DS; Fiat; Ford; FSO; Fuso; Isuzu; Iveco; Kia; Lada; LDV; MAN; Polski Fiat; Streetscooter; Tavria; TAZ; Terrier; UAZ; VAZ; Yugo</w:t>
                        </w:r>
                      </w:p>
                    </w:tc>
                    <w:tc>
                      <w:tcPr>
                        <w:tcW w:w="958" w:type="dxa"/>
                        <w:tcBorders>
                          <w:top w:val="single" w:sz="2" w:space="0" w:color="000000"/>
                          <w:left w:val="single" w:sz="2" w:space="0" w:color="000000"/>
                          <w:bottom w:val="single" w:sz="2" w:space="0" w:color="000000"/>
                          <w:right w:val="single" w:sz="2" w:space="0" w:color="000000"/>
                        </w:tcBorders>
                        <w:shd w:val="clear" w:color="auto" w:fill="FCE4D6"/>
                      </w:tcPr>
                      <w:p w14:paraId="5F4B8F80" w14:textId="77777777" w:rsidR="00F65BCA" w:rsidRDefault="00F65BCA">
                        <w:pPr>
                          <w:pStyle w:val="TableParagraph"/>
                          <w:rPr>
                            <w:rFonts w:ascii="Calibri"/>
                            <w:sz w:val="2"/>
                          </w:rPr>
                        </w:pPr>
                      </w:p>
                      <w:p w14:paraId="70CCFEB5" w14:textId="77777777" w:rsidR="00F65BCA" w:rsidRDefault="00216117">
                        <w:pPr>
                          <w:pStyle w:val="TableParagraph"/>
                          <w:spacing w:before="13"/>
                          <w:ind w:left="1"/>
                          <w:jc w:val="center"/>
                          <w:rPr>
                            <w:sz w:val="3"/>
                          </w:rPr>
                        </w:pPr>
                        <w:r>
                          <w:rPr>
                            <w:w w:val="103"/>
                            <w:sz w:val="3"/>
                          </w:rPr>
                          <w: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3546476" w14:textId="77777777" w:rsidR="00F65BCA" w:rsidRDefault="00F65BCA">
                        <w:pPr>
                          <w:pStyle w:val="TableParagraph"/>
                          <w:rPr>
                            <w:rFonts w:ascii="Calibri"/>
                            <w:sz w:val="2"/>
                          </w:rPr>
                        </w:pPr>
                      </w:p>
                      <w:p w14:paraId="579EBC56" w14:textId="77777777" w:rsidR="00F65BCA" w:rsidRDefault="00216117">
                        <w:pPr>
                          <w:pStyle w:val="TableParagraph"/>
                          <w:spacing w:before="13"/>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FAC154B" w14:textId="77777777" w:rsidR="00F65BCA" w:rsidRDefault="00F65BCA">
                        <w:pPr>
                          <w:pStyle w:val="TableParagraph"/>
                          <w:rPr>
                            <w:rFonts w:ascii="Calibri"/>
                            <w:sz w:val="2"/>
                          </w:rPr>
                        </w:pPr>
                      </w:p>
                      <w:p w14:paraId="07B9DE3A" w14:textId="77777777" w:rsidR="00F65BCA" w:rsidRDefault="00216117">
                        <w:pPr>
                          <w:pStyle w:val="TableParagraph"/>
                          <w:spacing w:before="13"/>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008F13D7"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0BF8DE80" w14:textId="77777777" w:rsidR="00F65BCA" w:rsidRDefault="00F65BCA">
                        <w:pPr>
                          <w:pStyle w:val="TableParagraph"/>
                          <w:rPr>
                            <w:rFonts w:ascii="Calibri"/>
                            <w:sz w:val="2"/>
                          </w:rPr>
                        </w:pPr>
                      </w:p>
                      <w:p w14:paraId="657C7B3D" w14:textId="77777777" w:rsidR="00F65BCA" w:rsidRDefault="00216117">
                        <w:pPr>
                          <w:pStyle w:val="TableParagraph"/>
                          <w:spacing w:before="13"/>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7390B4FA" w14:textId="77777777" w:rsidR="00F65BCA" w:rsidRDefault="00F65BCA">
                        <w:pPr>
                          <w:pStyle w:val="TableParagraph"/>
                          <w:rPr>
                            <w:rFonts w:ascii="Calibri"/>
                            <w:sz w:val="2"/>
                          </w:rPr>
                        </w:pPr>
                      </w:p>
                      <w:p w14:paraId="117BCCDD" w14:textId="77777777" w:rsidR="00F65BCA" w:rsidRDefault="00216117">
                        <w:pPr>
                          <w:pStyle w:val="TableParagraph"/>
                          <w:spacing w:before="13"/>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556EFF71" w14:textId="77777777" w:rsidR="00F65BCA" w:rsidRDefault="00F65BCA">
                        <w:pPr>
                          <w:pStyle w:val="TableParagraph"/>
                          <w:rPr>
                            <w:rFonts w:ascii="Calibri"/>
                            <w:sz w:val="2"/>
                          </w:rPr>
                        </w:pPr>
                      </w:p>
                      <w:p w14:paraId="1E4A84FE" w14:textId="77777777" w:rsidR="00F65BCA" w:rsidRDefault="00216117">
                        <w:pPr>
                          <w:pStyle w:val="TableParagraph"/>
                          <w:spacing w:before="13"/>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2BDCD02D" w14:textId="77777777" w:rsidR="00F65BCA" w:rsidRDefault="00F65BCA">
                        <w:pPr>
                          <w:pStyle w:val="TableParagraph"/>
                          <w:rPr>
                            <w:rFonts w:ascii="Calibri"/>
                            <w:sz w:val="2"/>
                          </w:rPr>
                        </w:pPr>
                      </w:p>
                      <w:p w14:paraId="512B2843" w14:textId="77777777" w:rsidR="00F65BCA" w:rsidRDefault="00216117">
                        <w:pPr>
                          <w:pStyle w:val="TableParagraph"/>
                          <w:spacing w:before="13"/>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7FB46AFA" w14:textId="77777777" w:rsidR="00F65BCA" w:rsidRDefault="00F65BCA">
                        <w:pPr>
                          <w:pStyle w:val="TableParagraph"/>
                          <w:rPr>
                            <w:rFonts w:ascii="Calibri"/>
                            <w:sz w:val="2"/>
                          </w:rPr>
                        </w:pPr>
                      </w:p>
                      <w:p w14:paraId="4778F474" w14:textId="77777777" w:rsidR="00F65BCA" w:rsidRDefault="00216117">
                        <w:pPr>
                          <w:pStyle w:val="TableParagraph"/>
                          <w:spacing w:before="13"/>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0646D4E5" w14:textId="77777777" w:rsidR="00F65BCA" w:rsidRDefault="00F65BCA">
                        <w:pPr>
                          <w:pStyle w:val="TableParagraph"/>
                          <w:rPr>
                            <w:rFonts w:ascii="Calibri"/>
                            <w:sz w:val="2"/>
                          </w:rPr>
                        </w:pPr>
                      </w:p>
                      <w:p w14:paraId="666204FE" w14:textId="77777777" w:rsidR="00F65BCA" w:rsidRDefault="00216117">
                        <w:pPr>
                          <w:pStyle w:val="TableParagraph"/>
                          <w:spacing w:before="13"/>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59668021" w14:textId="77777777" w:rsidR="00F65BCA" w:rsidRDefault="00F65BCA">
                        <w:pPr>
                          <w:pStyle w:val="TableParagraph"/>
                          <w:rPr>
                            <w:rFonts w:ascii="Calibri"/>
                            <w:sz w:val="2"/>
                          </w:rPr>
                        </w:pPr>
                      </w:p>
                      <w:p w14:paraId="4C4E557E" w14:textId="77777777" w:rsidR="00F65BCA" w:rsidRDefault="00216117">
                        <w:pPr>
                          <w:pStyle w:val="TableParagraph"/>
                          <w:spacing w:before="13"/>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7432A500" w14:textId="77777777" w:rsidR="00F65BCA" w:rsidRDefault="00F65BCA">
                        <w:pPr>
                          <w:pStyle w:val="TableParagraph"/>
                          <w:rPr>
                            <w:rFonts w:ascii="Calibri"/>
                            <w:sz w:val="2"/>
                          </w:rPr>
                        </w:pPr>
                      </w:p>
                      <w:p w14:paraId="55F0F639" w14:textId="77777777" w:rsidR="00F65BCA" w:rsidRDefault="00216117">
                        <w:pPr>
                          <w:pStyle w:val="TableParagraph"/>
                          <w:spacing w:before="13"/>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1822C10D" w14:textId="77777777" w:rsidR="00F65BCA" w:rsidRDefault="00F65BCA">
                        <w:pPr>
                          <w:pStyle w:val="TableParagraph"/>
                          <w:rPr>
                            <w:rFonts w:ascii="Calibri"/>
                            <w:sz w:val="2"/>
                          </w:rPr>
                        </w:pPr>
                      </w:p>
                      <w:p w14:paraId="0854C91F" w14:textId="77777777" w:rsidR="00F65BCA" w:rsidRDefault="00216117">
                        <w:pPr>
                          <w:pStyle w:val="TableParagraph"/>
                          <w:spacing w:before="13"/>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37B462FC" w14:textId="77777777" w:rsidR="00F65BCA" w:rsidRDefault="00F65BCA">
                        <w:pPr>
                          <w:pStyle w:val="TableParagraph"/>
                          <w:rPr>
                            <w:rFonts w:ascii="Calibri"/>
                            <w:sz w:val="2"/>
                          </w:rPr>
                        </w:pPr>
                      </w:p>
                      <w:p w14:paraId="1E462448" w14:textId="77777777" w:rsidR="00F65BCA" w:rsidRDefault="00216117">
                        <w:pPr>
                          <w:pStyle w:val="TableParagraph"/>
                          <w:spacing w:before="13"/>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03EAA39E" w14:textId="77777777" w:rsidR="00F65BCA" w:rsidRDefault="00F65BCA">
                        <w:pPr>
                          <w:pStyle w:val="TableParagraph"/>
                          <w:rPr>
                            <w:rFonts w:ascii="Calibri"/>
                            <w:sz w:val="2"/>
                          </w:rPr>
                        </w:pPr>
                      </w:p>
                      <w:p w14:paraId="5B93A67C" w14:textId="77777777" w:rsidR="00F65BCA" w:rsidRDefault="00216117">
                        <w:pPr>
                          <w:pStyle w:val="TableParagraph"/>
                          <w:spacing w:before="13"/>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4A66C4D4" w14:textId="77777777" w:rsidR="00F65BCA" w:rsidRDefault="00F65BCA">
                        <w:pPr>
                          <w:pStyle w:val="TableParagraph"/>
                          <w:rPr>
                            <w:rFonts w:ascii="Calibri"/>
                            <w:sz w:val="2"/>
                          </w:rPr>
                        </w:pPr>
                      </w:p>
                      <w:p w14:paraId="6399D46D" w14:textId="77777777" w:rsidR="00F65BCA" w:rsidRDefault="00216117">
                        <w:pPr>
                          <w:pStyle w:val="TableParagraph"/>
                          <w:spacing w:before="13"/>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1F774A84" w14:textId="77777777" w:rsidR="00F65BCA" w:rsidRDefault="00F65BCA">
                        <w:pPr>
                          <w:pStyle w:val="TableParagraph"/>
                          <w:rPr>
                            <w:rFonts w:ascii="Calibri"/>
                            <w:sz w:val="2"/>
                          </w:rPr>
                        </w:pPr>
                      </w:p>
                      <w:p w14:paraId="3E727987" w14:textId="77777777" w:rsidR="00F65BCA" w:rsidRDefault="00216117">
                        <w:pPr>
                          <w:pStyle w:val="TableParagraph"/>
                          <w:spacing w:before="13"/>
                          <w:ind w:left="24" w:right="24"/>
                          <w:jc w:val="center"/>
                          <w:rPr>
                            <w:sz w:val="3"/>
                          </w:rPr>
                        </w:pPr>
                        <w:r>
                          <w:rPr>
                            <w:w w:val="105"/>
                            <w:sz w:val="3"/>
                          </w:rPr>
                          <w:t>0,95940000%</w:t>
                        </w:r>
                      </w:p>
                    </w:tc>
                  </w:tr>
                  <w:tr w:rsidR="00F65BCA" w14:paraId="366EB65B" w14:textId="77777777">
                    <w:trPr>
                      <w:trHeight w:val="110"/>
                    </w:trPr>
                    <w:tc>
                      <w:tcPr>
                        <w:tcW w:w="526" w:type="dxa"/>
                        <w:vMerge/>
                        <w:tcBorders>
                          <w:top w:val="nil"/>
                          <w:left w:val="single" w:sz="2" w:space="0" w:color="000000"/>
                          <w:bottom w:val="single" w:sz="2" w:space="0" w:color="000000"/>
                          <w:right w:val="single" w:sz="2" w:space="0" w:color="000000"/>
                        </w:tcBorders>
                        <w:shd w:val="clear" w:color="auto" w:fill="FCE4D6"/>
                      </w:tcPr>
                      <w:p w14:paraId="30D13B3E"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65DA7AC9" w14:textId="77777777" w:rsidR="00F65BCA" w:rsidRDefault="00F65BCA">
                        <w:pPr>
                          <w:rPr>
                            <w:sz w:val="2"/>
                            <w:szCs w:val="2"/>
                          </w:rPr>
                        </w:pPr>
                      </w:p>
                    </w:tc>
                    <w:tc>
                      <w:tcPr>
                        <w:tcW w:w="958" w:type="dxa"/>
                        <w:tcBorders>
                          <w:top w:val="single" w:sz="2" w:space="0" w:color="000000"/>
                          <w:left w:val="single" w:sz="2" w:space="0" w:color="000000"/>
                          <w:bottom w:val="single" w:sz="2" w:space="0" w:color="000000"/>
                          <w:right w:val="single" w:sz="2" w:space="0" w:color="000000"/>
                        </w:tcBorders>
                        <w:shd w:val="clear" w:color="auto" w:fill="FCE4D6"/>
                      </w:tcPr>
                      <w:p w14:paraId="09A552E1" w14:textId="77777777" w:rsidR="00F65BCA" w:rsidRDefault="00F65BCA">
                        <w:pPr>
                          <w:pStyle w:val="TableParagraph"/>
                          <w:rPr>
                            <w:rFonts w:ascii="Calibri"/>
                            <w:sz w:val="2"/>
                          </w:rPr>
                        </w:pPr>
                      </w:p>
                      <w:p w14:paraId="26693DC2" w14:textId="77777777" w:rsidR="00F65BCA" w:rsidRDefault="00216117">
                        <w:pPr>
                          <w:pStyle w:val="TableParagraph"/>
                          <w:spacing w:before="13"/>
                          <w:ind w:left="1"/>
                          <w:jc w:val="center"/>
                          <w:rPr>
                            <w:sz w:val="3"/>
                          </w:rPr>
                        </w:pPr>
                        <w:r>
                          <w:rPr>
                            <w:w w:val="103"/>
                            <w:sz w:val="3"/>
                          </w:rPr>
                          <w: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E7301E9" w14:textId="77777777" w:rsidR="00F65BCA" w:rsidRDefault="00F65BCA">
                        <w:pPr>
                          <w:pStyle w:val="TableParagraph"/>
                          <w:rPr>
                            <w:rFonts w:ascii="Calibri"/>
                            <w:sz w:val="2"/>
                          </w:rPr>
                        </w:pPr>
                      </w:p>
                      <w:p w14:paraId="0D1D1799" w14:textId="77777777" w:rsidR="00F65BCA" w:rsidRDefault="00216117">
                        <w:pPr>
                          <w:pStyle w:val="TableParagraph"/>
                          <w:spacing w:before="13"/>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01EF4CB" w14:textId="77777777" w:rsidR="00F65BCA" w:rsidRDefault="00F65BCA">
                        <w:pPr>
                          <w:pStyle w:val="TableParagraph"/>
                          <w:rPr>
                            <w:rFonts w:ascii="Calibri"/>
                            <w:sz w:val="2"/>
                          </w:rPr>
                        </w:pPr>
                      </w:p>
                      <w:p w14:paraId="2EA1C9AB" w14:textId="77777777" w:rsidR="00F65BCA" w:rsidRDefault="00216117">
                        <w:pPr>
                          <w:pStyle w:val="TableParagraph"/>
                          <w:spacing w:before="13"/>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0FC26843"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0267C3A" w14:textId="77777777" w:rsidR="00F65BCA" w:rsidRDefault="00F65BCA">
                        <w:pPr>
                          <w:pStyle w:val="TableParagraph"/>
                          <w:rPr>
                            <w:rFonts w:ascii="Calibri"/>
                            <w:sz w:val="2"/>
                          </w:rPr>
                        </w:pPr>
                      </w:p>
                      <w:p w14:paraId="4F788527" w14:textId="77777777" w:rsidR="00F65BCA" w:rsidRDefault="00216117">
                        <w:pPr>
                          <w:pStyle w:val="TableParagraph"/>
                          <w:spacing w:before="13"/>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5D98F8F7" w14:textId="77777777" w:rsidR="00F65BCA" w:rsidRDefault="00F65BCA">
                        <w:pPr>
                          <w:pStyle w:val="TableParagraph"/>
                          <w:rPr>
                            <w:rFonts w:ascii="Calibri"/>
                            <w:sz w:val="2"/>
                          </w:rPr>
                        </w:pPr>
                      </w:p>
                      <w:p w14:paraId="509406BA" w14:textId="77777777" w:rsidR="00F65BCA" w:rsidRDefault="00216117">
                        <w:pPr>
                          <w:pStyle w:val="TableParagraph"/>
                          <w:spacing w:before="13"/>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59D2F618" w14:textId="77777777" w:rsidR="00F65BCA" w:rsidRDefault="00F65BCA">
                        <w:pPr>
                          <w:pStyle w:val="TableParagraph"/>
                          <w:rPr>
                            <w:rFonts w:ascii="Calibri"/>
                            <w:sz w:val="2"/>
                          </w:rPr>
                        </w:pPr>
                      </w:p>
                      <w:p w14:paraId="0D37DF79" w14:textId="77777777" w:rsidR="00F65BCA" w:rsidRDefault="00216117">
                        <w:pPr>
                          <w:pStyle w:val="TableParagraph"/>
                          <w:spacing w:before="13"/>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3384D5E3" w14:textId="77777777" w:rsidR="00F65BCA" w:rsidRDefault="00F65BCA">
                        <w:pPr>
                          <w:pStyle w:val="TableParagraph"/>
                          <w:rPr>
                            <w:rFonts w:ascii="Calibri"/>
                            <w:sz w:val="2"/>
                          </w:rPr>
                        </w:pPr>
                      </w:p>
                      <w:p w14:paraId="0A0E3066" w14:textId="77777777" w:rsidR="00F65BCA" w:rsidRDefault="00216117">
                        <w:pPr>
                          <w:pStyle w:val="TableParagraph"/>
                          <w:spacing w:before="13"/>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D635EBE" w14:textId="77777777" w:rsidR="00F65BCA" w:rsidRDefault="00F65BCA">
                        <w:pPr>
                          <w:pStyle w:val="TableParagraph"/>
                          <w:rPr>
                            <w:rFonts w:ascii="Calibri"/>
                            <w:sz w:val="2"/>
                          </w:rPr>
                        </w:pPr>
                      </w:p>
                      <w:p w14:paraId="483686E0" w14:textId="77777777" w:rsidR="00F65BCA" w:rsidRDefault="00216117">
                        <w:pPr>
                          <w:pStyle w:val="TableParagraph"/>
                          <w:spacing w:before="13"/>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6EE10FC5" w14:textId="77777777" w:rsidR="00F65BCA" w:rsidRDefault="00F65BCA">
                        <w:pPr>
                          <w:pStyle w:val="TableParagraph"/>
                          <w:rPr>
                            <w:rFonts w:ascii="Calibri"/>
                            <w:sz w:val="2"/>
                          </w:rPr>
                        </w:pPr>
                      </w:p>
                      <w:p w14:paraId="4B26F4F2" w14:textId="77777777" w:rsidR="00F65BCA" w:rsidRDefault="00216117">
                        <w:pPr>
                          <w:pStyle w:val="TableParagraph"/>
                          <w:spacing w:before="13"/>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308FD5D6" w14:textId="77777777" w:rsidR="00F65BCA" w:rsidRDefault="00F65BCA">
                        <w:pPr>
                          <w:pStyle w:val="TableParagraph"/>
                          <w:rPr>
                            <w:rFonts w:ascii="Calibri"/>
                            <w:sz w:val="2"/>
                          </w:rPr>
                        </w:pPr>
                      </w:p>
                      <w:p w14:paraId="190B3821" w14:textId="77777777" w:rsidR="00F65BCA" w:rsidRDefault="00216117">
                        <w:pPr>
                          <w:pStyle w:val="TableParagraph"/>
                          <w:spacing w:before="13"/>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5E75051B" w14:textId="77777777" w:rsidR="00F65BCA" w:rsidRDefault="00F65BCA">
                        <w:pPr>
                          <w:pStyle w:val="TableParagraph"/>
                          <w:rPr>
                            <w:rFonts w:ascii="Calibri"/>
                            <w:sz w:val="2"/>
                          </w:rPr>
                        </w:pPr>
                      </w:p>
                      <w:p w14:paraId="4A51C2B6" w14:textId="77777777" w:rsidR="00F65BCA" w:rsidRDefault="00216117">
                        <w:pPr>
                          <w:pStyle w:val="TableParagraph"/>
                          <w:spacing w:before="13"/>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3DA79B28" w14:textId="77777777" w:rsidR="00F65BCA" w:rsidRDefault="00F65BCA">
                        <w:pPr>
                          <w:pStyle w:val="TableParagraph"/>
                          <w:rPr>
                            <w:rFonts w:ascii="Calibri"/>
                            <w:sz w:val="2"/>
                          </w:rPr>
                        </w:pPr>
                      </w:p>
                      <w:p w14:paraId="61F81B9B" w14:textId="77777777" w:rsidR="00F65BCA" w:rsidRDefault="00216117">
                        <w:pPr>
                          <w:pStyle w:val="TableParagraph"/>
                          <w:spacing w:before="13"/>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0647ED7E" w14:textId="77777777" w:rsidR="00F65BCA" w:rsidRDefault="00F65BCA">
                        <w:pPr>
                          <w:pStyle w:val="TableParagraph"/>
                          <w:rPr>
                            <w:rFonts w:ascii="Calibri"/>
                            <w:sz w:val="2"/>
                          </w:rPr>
                        </w:pPr>
                      </w:p>
                      <w:p w14:paraId="106EA8A2" w14:textId="77777777" w:rsidR="00F65BCA" w:rsidRDefault="00216117">
                        <w:pPr>
                          <w:pStyle w:val="TableParagraph"/>
                          <w:spacing w:before="13"/>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004808A0" w14:textId="77777777" w:rsidR="00F65BCA" w:rsidRDefault="00F65BCA">
                        <w:pPr>
                          <w:pStyle w:val="TableParagraph"/>
                          <w:rPr>
                            <w:rFonts w:ascii="Calibri"/>
                            <w:sz w:val="2"/>
                          </w:rPr>
                        </w:pPr>
                      </w:p>
                      <w:p w14:paraId="667F9752" w14:textId="77777777" w:rsidR="00F65BCA" w:rsidRDefault="00216117">
                        <w:pPr>
                          <w:pStyle w:val="TableParagraph"/>
                          <w:spacing w:before="13"/>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47DD23A5" w14:textId="77777777" w:rsidR="00F65BCA" w:rsidRDefault="00F65BCA">
                        <w:pPr>
                          <w:pStyle w:val="TableParagraph"/>
                          <w:rPr>
                            <w:rFonts w:ascii="Calibri"/>
                            <w:sz w:val="2"/>
                          </w:rPr>
                        </w:pPr>
                      </w:p>
                      <w:p w14:paraId="09AD46AA" w14:textId="77777777" w:rsidR="00F65BCA" w:rsidRDefault="00216117">
                        <w:pPr>
                          <w:pStyle w:val="TableParagraph"/>
                          <w:spacing w:before="13"/>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77C9371" w14:textId="77777777" w:rsidR="00F65BCA" w:rsidRDefault="00F65BCA">
                        <w:pPr>
                          <w:pStyle w:val="TableParagraph"/>
                          <w:rPr>
                            <w:rFonts w:ascii="Calibri"/>
                            <w:sz w:val="2"/>
                          </w:rPr>
                        </w:pPr>
                      </w:p>
                      <w:p w14:paraId="61312BEB" w14:textId="77777777" w:rsidR="00F65BCA" w:rsidRDefault="00216117">
                        <w:pPr>
                          <w:pStyle w:val="TableParagraph"/>
                          <w:spacing w:before="13"/>
                          <w:ind w:left="24" w:right="24"/>
                          <w:jc w:val="center"/>
                          <w:rPr>
                            <w:sz w:val="3"/>
                          </w:rPr>
                        </w:pPr>
                        <w:r>
                          <w:rPr>
                            <w:w w:val="105"/>
                            <w:sz w:val="3"/>
                          </w:rPr>
                          <w:t>1,15895520%</w:t>
                        </w:r>
                      </w:p>
                    </w:tc>
                  </w:tr>
                  <w:tr w:rsidR="00F65BCA" w14:paraId="7E5ABC7B" w14:textId="77777777">
                    <w:trPr>
                      <w:trHeight w:val="115"/>
                    </w:trPr>
                    <w:tc>
                      <w:tcPr>
                        <w:tcW w:w="526" w:type="dxa"/>
                        <w:vMerge/>
                        <w:tcBorders>
                          <w:top w:val="nil"/>
                          <w:left w:val="single" w:sz="2" w:space="0" w:color="000000"/>
                          <w:bottom w:val="single" w:sz="2" w:space="0" w:color="000000"/>
                          <w:right w:val="single" w:sz="2" w:space="0" w:color="000000"/>
                        </w:tcBorders>
                        <w:shd w:val="clear" w:color="auto" w:fill="FCE4D6"/>
                      </w:tcPr>
                      <w:p w14:paraId="50568EAF"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23ACB04F" w14:textId="77777777" w:rsidR="00F65BCA" w:rsidRDefault="00216117">
                        <w:pPr>
                          <w:pStyle w:val="TableParagraph"/>
                          <w:spacing w:before="13" w:line="40" w:lineRule="atLeast"/>
                          <w:ind w:left="4" w:right="1"/>
                          <w:jc w:val="center"/>
                          <w:rPr>
                            <w:sz w:val="3"/>
                          </w:rPr>
                        </w:pPr>
                        <w:r>
                          <w:rPr>
                            <w:w w:val="105"/>
                            <w:sz w:val="3"/>
                          </w:rPr>
                          <w:t>AGM; Barkas; Boki; Dacia; DAF; Daihatsu; Datsun; Dong Feng; Genesis; Giotti Victoria; Honda; Hyundai; Magma; Maruti; Multicar; Oltcit; Opel; Pfau; Piaggio; Proton; Rag; Ross; SAP; SCAM; Tata; Volvo</w:t>
                        </w:r>
                      </w:p>
                    </w:tc>
                    <w:tc>
                      <w:tcPr>
                        <w:tcW w:w="958" w:type="dxa"/>
                        <w:tcBorders>
                          <w:top w:val="single" w:sz="2" w:space="0" w:color="000000"/>
                          <w:left w:val="single" w:sz="2" w:space="0" w:color="000000"/>
                          <w:bottom w:val="single" w:sz="2" w:space="0" w:color="000000"/>
                          <w:right w:val="single" w:sz="2" w:space="0" w:color="000000"/>
                        </w:tcBorders>
                        <w:shd w:val="clear" w:color="auto" w:fill="FCE4D6"/>
                      </w:tcPr>
                      <w:p w14:paraId="32F48D48" w14:textId="77777777" w:rsidR="00F65BCA" w:rsidRDefault="00F65BCA">
                        <w:pPr>
                          <w:pStyle w:val="TableParagraph"/>
                          <w:rPr>
                            <w:rFonts w:ascii="Calibri"/>
                            <w:sz w:val="2"/>
                          </w:rPr>
                        </w:pPr>
                      </w:p>
                      <w:p w14:paraId="6ADCE10A" w14:textId="77777777" w:rsidR="00F65BCA" w:rsidRDefault="00216117">
                        <w:pPr>
                          <w:pStyle w:val="TableParagraph"/>
                          <w:spacing w:before="15"/>
                          <w:ind w:left="1"/>
                          <w:jc w:val="center"/>
                          <w:rPr>
                            <w:sz w:val="3"/>
                          </w:rPr>
                        </w:pPr>
                        <w:r>
                          <w:rPr>
                            <w:w w:val="103"/>
                            <w:sz w:val="3"/>
                          </w:rPr>
                          <w: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6B22D53" w14:textId="77777777" w:rsidR="00F65BCA" w:rsidRDefault="00F65BCA">
                        <w:pPr>
                          <w:pStyle w:val="TableParagraph"/>
                          <w:rPr>
                            <w:rFonts w:ascii="Calibri"/>
                            <w:sz w:val="2"/>
                          </w:rPr>
                        </w:pPr>
                      </w:p>
                      <w:p w14:paraId="6C81AA2F" w14:textId="77777777" w:rsidR="00F65BCA" w:rsidRDefault="00216117">
                        <w:pPr>
                          <w:pStyle w:val="TableParagraph"/>
                          <w:spacing w:before="15"/>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56AAF88" w14:textId="77777777" w:rsidR="00F65BCA" w:rsidRDefault="00F65BCA">
                        <w:pPr>
                          <w:pStyle w:val="TableParagraph"/>
                          <w:rPr>
                            <w:rFonts w:ascii="Calibri"/>
                            <w:sz w:val="2"/>
                          </w:rPr>
                        </w:pPr>
                      </w:p>
                      <w:p w14:paraId="28DCC1F5" w14:textId="77777777" w:rsidR="00F65BCA" w:rsidRDefault="00216117">
                        <w:pPr>
                          <w:pStyle w:val="TableParagraph"/>
                          <w:spacing w:before="15"/>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809ADC5"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65C2945" w14:textId="77777777" w:rsidR="00F65BCA" w:rsidRDefault="00F65BCA">
                        <w:pPr>
                          <w:pStyle w:val="TableParagraph"/>
                          <w:rPr>
                            <w:rFonts w:ascii="Calibri"/>
                            <w:sz w:val="2"/>
                          </w:rPr>
                        </w:pPr>
                      </w:p>
                      <w:p w14:paraId="78A81993" w14:textId="77777777" w:rsidR="00F65BCA" w:rsidRDefault="00216117">
                        <w:pPr>
                          <w:pStyle w:val="TableParagraph"/>
                          <w:spacing w:before="15"/>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63EA109D" w14:textId="77777777" w:rsidR="00F65BCA" w:rsidRDefault="00F65BCA">
                        <w:pPr>
                          <w:pStyle w:val="TableParagraph"/>
                          <w:rPr>
                            <w:rFonts w:ascii="Calibri"/>
                            <w:sz w:val="2"/>
                          </w:rPr>
                        </w:pPr>
                      </w:p>
                      <w:p w14:paraId="258C4CC0" w14:textId="77777777" w:rsidR="00F65BCA" w:rsidRDefault="00216117">
                        <w:pPr>
                          <w:pStyle w:val="TableParagraph"/>
                          <w:spacing w:before="15"/>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126922F1" w14:textId="77777777" w:rsidR="00F65BCA" w:rsidRDefault="00F65BCA">
                        <w:pPr>
                          <w:pStyle w:val="TableParagraph"/>
                          <w:rPr>
                            <w:rFonts w:ascii="Calibri"/>
                            <w:sz w:val="2"/>
                          </w:rPr>
                        </w:pPr>
                      </w:p>
                      <w:p w14:paraId="666E2C13" w14:textId="77777777" w:rsidR="00F65BCA" w:rsidRDefault="00216117">
                        <w:pPr>
                          <w:pStyle w:val="TableParagraph"/>
                          <w:spacing w:before="15"/>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2B9DBB68" w14:textId="77777777" w:rsidR="00F65BCA" w:rsidRDefault="00F65BCA">
                        <w:pPr>
                          <w:pStyle w:val="TableParagraph"/>
                          <w:rPr>
                            <w:rFonts w:ascii="Calibri"/>
                            <w:sz w:val="2"/>
                          </w:rPr>
                        </w:pPr>
                      </w:p>
                      <w:p w14:paraId="5D2B4AD6" w14:textId="77777777" w:rsidR="00F65BCA" w:rsidRDefault="00216117">
                        <w:pPr>
                          <w:pStyle w:val="TableParagraph"/>
                          <w:spacing w:before="15"/>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60E2ED93" w14:textId="77777777" w:rsidR="00F65BCA" w:rsidRDefault="00F65BCA">
                        <w:pPr>
                          <w:pStyle w:val="TableParagraph"/>
                          <w:rPr>
                            <w:rFonts w:ascii="Calibri"/>
                            <w:sz w:val="2"/>
                          </w:rPr>
                        </w:pPr>
                      </w:p>
                      <w:p w14:paraId="7CC10793" w14:textId="77777777" w:rsidR="00F65BCA" w:rsidRDefault="00216117">
                        <w:pPr>
                          <w:pStyle w:val="TableParagraph"/>
                          <w:spacing w:before="15"/>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144C972E" w14:textId="77777777" w:rsidR="00F65BCA" w:rsidRDefault="00F65BCA">
                        <w:pPr>
                          <w:pStyle w:val="TableParagraph"/>
                          <w:rPr>
                            <w:rFonts w:ascii="Calibri"/>
                            <w:sz w:val="2"/>
                          </w:rPr>
                        </w:pPr>
                      </w:p>
                      <w:p w14:paraId="59506E17" w14:textId="77777777" w:rsidR="00F65BCA" w:rsidRDefault="00216117">
                        <w:pPr>
                          <w:pStyle w:val="TableParagraph"/>
                          <w:spacing w:before="15"/>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7D9C52E6" w14:textId="77777777" w:rsidR="00F65BCA" w:rsidRDefault="00F65BCA">
                        <w:pPr>
                          <w:pStyle w:val="TableParagraph"/>
                          <w:rPr>
                            <w:rFonts w:ascii="Calibri"/>
                            <w:sz w:val="2"/>
                          </w:rPr>
                        </w:pPr>
                      </w:p>
                      <w:p w14:paraId="71254CFE" w14:textId="77777777" w:rsidR="00F65BCA" w:rsidRDefault="00216117">
                        <w:pPr>
                          <w:pStyle w:val="TableParagraph"/>
                          <w:spacing w:before="15"/>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3F07ADD3" w14:textId="77777777" w:rsidR="00F65BCA" w:rsidRDefault="00F65BCA">
                        <w:pPr>
                          <w:pStyle w:val="TableParagraph"/>
                          <w:rPr>
                            <w:rFonts w:ascii="Calibri"/>
                            <w:sz w:val="2"/>
                          </w:rPr>
                        </w:pPr>
                      </w:p>
                      <w:p w14:paraId="24A453BE" w14:textId="77777777" w:rsidR="00F65BCA" w:rsidRDefault="00216117">
                        <w:pPr>
                          <w:pStyle w:val="TableParagraph"/>
                          <w:spacing w:before="15"/>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4F2D5C91" w14:textId="77777777" w:rsidR="00F65BCA" w:rsidRDefault="00F65BCA">
                        <w:pPr>
                          <w:pStyle w:val="TableParagraph"/>
                          <w:rPr>
                            <w:rFonts w:ascii="Calibri"/>
                            <w:sz w:val="2"/>
                          </w:rPr>
                        </w:pPr>
                      </w:p>
                      <w:p w14:paraId="1A44F787" w14:textId="77777777" w:rsidR="00F65BCA" w:rsidRDefault="00216117">
                        <w:pPr>
                          <w:pStyle w:val="TableParagraph"/>
                          <w:spacing w:before="15"/>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62D8A924" w14:textId="77777777" w:rsidR="00F65BCA" w:rsidRDefault="00F65BCA">
                        <w:pPr>
                          <w:pStyle w:val="TableParagraph"/>
                          <w:rPr>
                            <w:rFonts w:ascii="Calibri"/>
                            <w:sz w:val="2"/>
                          </w:rPr>
                        </w:pPr>
                      </w:p>
                      <w:p w14:paraId="2CDDC5A3" w14:textId="77777777" w:rsidR="00F65BCA" w:rsidRDefault="00216117">
                        <w:pPr>
                          <w:pStyle w:val="TableParagraph"/>
                          <w:spacing w:before="15"/>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52F3C5D8" w14:textId="77777777" w:rsidR="00F65BCA" w:rsidRDefault="00F65BCA">
                        <w:pPr>
                          <w:pStyle w:val="TableParagraph"/>
                          <w:rPr>
                            <w:rFonts w:ascii="Calibri"/>
                            <w:sz w:val="2"/>
                          </w:rPr>
                        </w:pPr>
                      </w:p>
                      <w:p w14:paraId="6CF9E22E" w14:textId="77777777" w:rsidR="00F65BCA" w:rsidRDefault="00216117">
                        <w:pPr>
                          <w:pStyle w:val="TableParagraph"/>
                          <w:spacing w:before="15"/>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4967026F" w14:textId="77777777" w:rsidR="00F65BCA" w:rsidRDefault="00F65BCA">
                        <w:pPr>
                          <w:pStyle w:val="TableParagraph"/>
                          <w:rPr>
                            <w:rFonts w:ascii="Calibri"/>
                            <w:sz w:val="2"/>
                          </w:rPr>
                        </w:pPr>
                      </w:p>
                      <w:p w14:paraId="0FD542C1" w14:textId="77777777" w:rsidR="00F65BCA" w:rsidRDefault="00216117">
                        <w:pPr>
                          <w:pStyle w:val="TableParagraph"/>
                          <w:spacing w:before="15"/>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036EA535" w14:textId="77777777" w:rsidR="00F65BCA" w:rsidRDefault="00F65BCA">
                        <w:pPr>
                          <w:pStyle w:val="TableParagraph"/>
                          <w:rPr>
                            <w:rFonts w:ascii="Calibri"/>
                            <w:sz w:val="2"/>
                          </w:rPr>
                        </w:pPr>
                      </w:p>
                      <w:p w14:paraId="46C4937B" w14:textId="77777777" w:rsidR="00F65BCA" w:rsidRDefault="00216117">
                        <w:pPr>
                          <w:pStyle w:val="TableParagraph"/>
                          <w:spacing w:before="15"/>
                          <w:ind w:left="24" w:right="24"/>
                          <w:jc w:val="center"/>
                          <w:rPr>
                            <w:sz w:val="3"/>
                          </w:rPr>
                        </w:pPr>
                        <w:r>
                          <w:rPr>
                            <w:w w:val="105"/>
                            <w:sz w:val="3"/>
                          </w:rPr>
                          <w:t>1,07731026%</w:t>
                        </w:r>
                      </w:p>
                    </w:tc>
                  </w:tr>
                  <w:tr w:rsidR="00F65BCA" w14:paraId="79CFDA23" w14:textId="77777777">
                    <w:trPr>
                      <w:trHeight w:val="115"/>
                    </w:trPr>
                    <w:tc>
                      <w:tcPr>
                        <w:tcW w:w="526" w:type="dxa"/>
                        <w:vMerge/>
                        <w:tcBorders>
                          <w:top w:val="nil"/>
                          <w:left w:val="single" w:sz="2" w:space="0" w:color="000000"/>
                          <w:bottom w:val="single" w:sz="2" w:space="0" w:color="000000"/>
                          <w:right w:val="single" w:sz="2" w:space="0" w:color="000000"/>
                        </w:tcBorders>
                        <w:shd w:val="clear" w:color="auto" w:fill="FCE4D6"/>
                      </w:tcPr>
                      <w:p w14:paraId="79FDC2FA"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172DDA3F" w14:textId="77777777" w:rsidR="00F65BCA" w:rsidRDefault="00F65BCA">
                        <w:pPr>
                          <w:rPr>
                            <w:sz w:val="2"/>
                            <w:szCs w:val="2"/>
                          </w:rPr>
                        </w:pPr>
                      </w:p>
                    </w:tc>
                    <w:tc>
                      <w:tcPr>
                        <w:tcW w:w="958" w:type="dxa"/>
                        <w:tcBorders>
                          <w:top w:val="single" w:sz="2" w:space="0" w:color="000000"/>
                          <w:left w:val="single" w:sz="2" w:space="0" w:color="000000"/>
                          <w:bottom w:val="single" w:sz="2" w:space="0" w:color="000000"/>
                          <w:right w:val="single" w:sz="2" w:space="0" w:color="000000"/>
                        </w:tcBorders>
                        <w:shd w:val="clear" w:color="auto" w:fill="FCE4D6"/>
                      </w:tcPr>
                      <w:p w14:paraId="551A6C3E" w14:textId="77777777" w:rsidR="00F65BCA" w:rsidRDefault="00F65BCA">
                        <w:pPr>
                          <w:pStyle w:val="TableParagraph"/>
                          <w:rPr>
                            <w:rFonts w:ascii="Calibri"/>
                            <w:sz w:val="2"/>
                          </w:rPr>
                        </w:pPr>
                      </w:p>
                      <w:p w14:paraId="71B759B1" w14:textId="77777777" w:rsidR="00F65BCA" w:rsidRDefault="00216117">
                        <w:pPr>
                          <w:pStyle w:val="TableParagraph"/>
                          <w:spacing w:before="15"/>
                          <w:ind w:left="1"/>
                          <w:jc w:val="center"/>
                          <w:rPr>
                            <w:sz w:val="3"/>
                          </w:rPr>
                        </w:pPr>
                        <w:r>
                          <w:rPr>
                            <w:w w:val="103"/>
                            <w:sz w:val="3"/>
                          </w:rPr>
                          <w: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1F8CCF8" w14:textId="77777777" w:rsidR="00F65BCA" w:rsidRDefault="00F65BCA">
                        <w:pPr>
                          <w:pStyle w:val="TableParagraph"/>
                          <w:rPr>
                            <w:rFonts w:ascii="Calibri"/>
                            <w:sz w:val="2"/>
                          </w:rPr>
                        </w:pPr>
                      </w:p>
                      <w:p w14:paraId="60DC0EB3" w14:textId="77777777" w:rsidR="00F65BCA" w:rsidRDefault="00216117">
                        <w:pPr>
                          <w:pStyle w:val="TableParagraph"/>
                          <w:spacing w:before="15"/>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52CC33D" w14:textId="77777777" w:rsidR="00F65BCA" w:rsidRDefault="00F65BCA">
                        <w:pPr>
                          <w:pStyle w:val="TableParagraph"/>
                          <w:rPr>
                            <w:rFonts w:ascii="Calibri"/>
                            <w:sz w:val="2"/>
                          </w:rPr>
                        </w:pPr>
                      </w:p>
                      <w:p w14:paraId="514AEFAC" w14:textId="77777777" w:rsidR="00F65BCA" w:rsidRDefault="00216117">
                        <w:pPr>
                          <w:pStyle w:val="TableParagraph"/>
                          <w:spacing w:before="15"/>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42D984B5"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DC4EAD2" w14:textId="77777777" w:rsidR="00F65BCA" w:rsidRDefault="00F65BCA">
                        <w:pPr>
                          <w:pStyle w:val="TableParagraph"/>
                          <w:rPr>
                            <w:rFonts w:ascii="Calibri"/>
                            <w:sz w:val="2"/>
                          </w:rPr>
                        </w:pPr>
                      </w:p>
                      <w:p w14:paraId="767156AC" w14:textId="77777777" w:rsidR="00F65BCA" w:rsidRDefault="00216117">
                        <w:pPr>
                          <w:pStyle w:val="TableParagraph"/>
                          <w:spacing w:before="15"/>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75170343" w14:textId="77777777" w:rsidR="00F65BCA" w:rsidRDefault="00F65BCA">
                        <w:pPr>
                          <w:pStyle w:val="TableParagraph"/>
                          <w:rPr>
                            <w:rFonts w:ascii="Calibri"/>
                            <w:sz w:val="2"/>
                          </w:rPr>
                        </w:pPr>
                      </w:p>
                      <w:p w14:paraId="0EE50812" w14:textId="77777777" w:rsidR="00F65BCA" w:rsidRDefault="00216117">
                        <w:pPr>
                          <w:pStyle w:val="TableParagraph"/>
                          <w:spacing w:before="15"/>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03734F38" w14:textId="77777777" w:rsidR="00F65BCA" w:rsidRDefault="00F65BCA">
                        <w:pPr>
                          <w:pStyle w:val="TableParagraph"/>
                          <w:rPr>
                            <w:rFonts w:ascii="Calibri"/>
                            <w:sz w:val="2"/>
                          </w:rPr>
                        </w:pPr>
                      </w:p>
                      <w:p w14:paraId="79B2BF0D" w14:textId="77777777" w:rsidR="00F65BCA" w:rsidRDefault="00216117">
                        <w:pPr>
                          <w:pStyle w:val="TableParagraph"/>
                          <w:spacing w:before="15"/>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59586044" w14:textId="77777777" w:rsidR="00F65BCA" w:rsidRDefault="00F65BCA">
                        <w:pPr>
                          <w:pStyle w:val="TableParagraph"/>
                          <w:rPr>
                            <w:rFonts w:ascii="Calibri"/>
                            <w:sz w:val="2"/>
                          </w:rPr>
                        </w:pPr>
                      </w:p>
                      <w:p w14:paraId="2E71E500" w14:textId="77777777" w:rsidR="00F65BCA" w:rsidRDefault="00216117">
                        <w:pPr>
                          <w:pStyle w:val="TableParagraph"/>
                          <w:spacing w:before="15"/>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626AF1BC" w14:textId="77777777" w:rsidR="00F65BCA" w:rsidRDefault="00F65BCA">
                        <w:pPr>
                          <w:pStyle w:val="TableParagraph"/>
                          <w:rPr>
                            <w:rFonts w:ascii="Calibri"/>
                            <w:sz w:val="2"/>
                          </w:rPr>
                        </w:pPr>
                      </w:p>
                      <w:p w14:paraId="3BC8B71A" w14:textId="77777777" w:rsidR="00F65BCA" w:rsidRDefault="00216117">
                        <w:pPr>
                          <w:pStyle w:val="TableParagraph"/>
                          <w:spacing w:before="15"/>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1E253950" w14:textId="77777777" w:rsidR="00F65BCA" w:rsidRDefault="00F65BCA">
                        <w:pPr>
                          <w:pStyle w:val="TableParagraph"/>
                          <w:rPr>
                            <w:rFonts w:ascii="Calibri"/>
                            <w:sz w:val="2"/>
                          </w:rPr>
                        </w:pPr>
                      </w:p>
                      <w:p w14:paraId="151475E0" w14:textId="77777777" w:rsidR="00F65BCA" w:rsidRDefault="00216117">
                        <w:pPr>
                          <w:pStyle w:val="TableParagraph"/>
                          <w:spacing w:before="15"/>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4CFAD49C" w14:textId="77777777" w:rsidR="00F65BCA" w:rsidRDefault="00F65BCA">
                        <w:pPr>
                          <w:pStyle w:val="TableParagraph"/>
                          <w:rPr>
                            <w:rFonts w:ascii="Calibri"/>
                            <w:sz w:val="2"/>
                          </w:rPr>
                        </w:pPr>
                      </w:p>
                      <w:p w14:paraId="4DBB5464" w14:textId="77777777" w:rsidR="00F65BCA" w:rsidRDefault="00216117">
                        <w:pPr>
                          <w:pStyle w:val="TableParagraph"/>
                          <w:spacing w:before="15"/>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26A15380" w14:textId="77777777" w:rsidR="00F65BCA" w:rsidRDefault="00F65BCA">
                        <w:pPr>
                          <w:pStyle w:val="TableParagraph"/>
                          <w:rPr>
                            <w:rFonts w:ascii="Calibri"/>
                            <w:sz w:val="2"/>
                          </w:rPr>
                        </w:pPr>
                      </w:p>
                      <w:p w14:paraId="160D20CE" w14:textId="77777777" w:rsidR="00F65BCA" w:rsidRDefault="00216117">
                        <w:pPr>
                          <w:pStyle w:val="TableParagraph"/>
                          <w:spacing w:before="15"/>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10B0475F" w14:textId="77777777" w:rsidR="00F65BCA" w:rsidRDefault="00F65BCA">
                        <w:pPr>
                          <w:pStyle w:val="TableParagraph"/>
                          <w:rPr>
                            <w:rFonts w:ascii="Calibri"/>
                            <w:sz w:val="2"/>
                          </w:rPr>
                        </w:pPr>
                      </w:p>
                      <w:p w14:paraId="55AEB465" w14:textId="77777777" w:rsidR="00F65BCA" w:rsidRDefault="00216117">
                        <w:pPr>
                          <w:pStyle w:val="TableParagraph"/>
                          <w:spacing w:before="15"/>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2A4B58F7" w14:textId="77777777" w:rsidR="00F65BCA" w:rsidRDefault="00F65BCA">
                        <w:pPr>
                          <w:pStyle w:val="TableParagraph"/>
                          <w:rPr>
                            <w:rFonts w:ascii="Calibri"/>
                            <w:sz w:val="2"/>
                          </w:rPr>
                        </w:pPr>
                      </w:p>
                      <w:p w14:paraId="27A0C024" w14:textId="77777777" w:rsidR="00F65BCA" w:rsidRDefault="00216117">
                        <w:pPr>
                          <w:pStyle w:val="TableParagraph"/>
                          <w:spacing w:before="15"/>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5CF7F8B2" w14:textId="77777777" w:rsidR="00F65BCA" w:rsidRDefault="00F65BCA">
                        <w:pPr>
                          <w:pStyle w:val="TableParagraph"/>
                          <w:rPr>
                            <w:rFonts w:ascii="Calibri"/>
                            <w:sz w:val="2"/>
                          </w:rPr>
                        </w:pPr>
                      </w:p>
                      <w:p w14:paraId="300CB9C7" w14:textId="77777777" w:rsidR="00F65BCA" w:rsidRDefault="00216117">
                        <w:pPr>
                          <w:pStyle w:val="TableParagraph"/>
                          <w:spacing w:before="15"/>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33FDD75" w14:textId="77777777" w:rsidR="00F65BCA" w:rsidRDefault="00F65BCA">
                        <w:pPr>
                          <w:pStyle w:val="TableParagraph"/>
                          <w:rPr>
                            <w:rFonts w:ascii="Calibri"/>
                            <w:sz w:val="2"/>
                          </w:rPr>
                        </w:pPr>
                      </w:p>
                      <w:p w14:paraId="741FCD5C" w14:textId="77777777" w:rsidR="00F65BCA" w:rsidRDefault="00216117">
                        <w:pPr>
                          <w:pStyle w:val="TableParagraph"/>
                          <w:spacing w:before="15"/>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03162601" w14:textId="77777777" w:rsidR="00F65BCA" w:rsidRDefault="00F65BCA">
                        <w:pPr>
                          <w:pStyle w:val="TableParagraph"/>
                          <w:rPr>
                            <w:rFonts w:ascii="Calibri"/>
                            <w:sz w:val="2"/>
                          </w:rPr>
                        </w:pPr>
                      </w:p>
                      <w:p w14:paraId="03BCB747" w14:textId="77777777" w:rsidR="00F65BCA" w:rsidRDefault="00216117">
                        <w:pPr>
                          <w:pStyle w:val="TableParagraph"/>
                          <w:spacing w:before="15"/>
                          <w:ind w:left="24" w:right="24"/>
                          <w:jc w:val="center"/>
                          <w:rPr>
                            <w:sz w:val="3"/>
                          </w:rPr>
                        </w:pPr>
                        <w:r>
                          <w:rPr>
                            <w:w w:val="105"/>
                            <w:sz w:val="3"/>
                          </w:rPr>
                          <w:t>1,30139079%</w:t>
                        </w:r>
                      </w:p>
                    </w:tc>
                  </w:tr>
                  <w:tr w:rsidR="00F65BCA" w14:paraId="1CFEF051" w14:textId="77777777">
                    <w:trPr>
                      <w:trHeight w:val="201"/>
                    </w:trPr>
                    <w:tc>
                      <w:tcPr>
                        <w:tcW w:w="526" w:type="dxa"/>
                        <w:vMerge/>
                        <w:tcBorders>
                          <w:top w:val="nil"/>
                          <w:left w:val="single" w:sz="2" w:space="0" w:color="000000"/>
                          <w:bottom w:val="single" w:sz="2" w:space="0" w:color="000000"/>
                          <w:right w:val="single" w:sz="2" w:space="0" w:color="000000"/>
                        </w:tcBorders>
                        <w:shd w:val="clear" w:color="auto" w:fill="FCE4D6"/>
                      </w:tcPr>
                      <w:p w14:paraId="35F05C27"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10C2101" w14:textId="77777777" w:rsidR="00F65BCA" w:rsidRDefault="00216117">
                        <w:pPr>
                          <w:pStyle w:val="TableParagraph"/>
                          <w:spacing w:before="18" w:line="40" w:lineRule="atLeast"/>
                          <w:ind w:left="9" w:right="6" w:firstLine="2"/>
                          <w:jc w:val="center"/>
                          <w:rPr>
                            <w:sz w:val="3"/>
                          </w:rPr>
                        </w:pPr>
                        <w:r>
                          <w:rPr>
                            <w:w w:val="105"/>
                            <w:sz w:val="3"/>
                          </w:rPr>
                          <w:t>Adria;</w:t>
                        </w:r>
                        <w:r>
                          <w:rPr>
                            <w:spacing w:val="-3"/>
                            <w:w w:val="105"/>
                            <w:sz w:val="3"/>
                          </w:rPr>
                          <w:t xml:space="preserve"> </w:t>
                        </w:r>
                        <w:r>
                          <w:rPr>
                            <w:w w:val="105"/>
                            <w:sz w:val="3"/>
                          </w:rPr>
                          <w:t>Alfa</w:t>
                        </w:r>
                        <w:r>
                          <w:rPr>
                            <w:spacing w:val="-4"/>
                            <w:w w:val="105"/>
                            <w:sz w:val="3"/>
                          </w:rPr>
                          <w:t xml:space="preserve"> </w:t>
                        </w:r>
                        <w:r>
                          <w:rPr>
                            <w:w w:val="105"/>
                            <w:sz w:val="3"/>
                          </w:rPr>
                          <w:t>Romeo;</w:t>
                        </w:r>
                        <w:r>
                          <w:rPr>
                            <w:spacing w:val="-3"/>
                            <w:w w:val="105"/>
                            <w:sz w:val="3"/>
                          </w:rPr>
                          <w:t xml:space="preserve"> </w:t>
                        </w:r>
                        <w:r>
                          <w:rPr>
                            <w:w w:val="105"/>
                            <w:sz w:val="3"/>
                          </w:rPr>
                          <w:t>Alpine;</w:t>
                        </w:r>
                        <w:r>
                          <w:rPr>
                            <w:spacing w:val="-3"/>
                            <w:w w:val="105"/>
                            <w:sz w:val="3"/>
                          </w:rPr>
                          <w:t xml:space="preserve"> </w:t>
                        </w:r>
                        <w:r>
                          <w:rPr>
                            <w:w w:val="105"/>
                            <w:sz w:val="3"/>
                          </w:rPr>
                          <w:t>Arca;</w:t>
                        </w:r>
                        <w:r>
                          <w:rPr>
                            <w:spacing w:val="-3"/>
                            <w:w w:val="105"/>
                            <w:sz w:val="3"/>
                          </w:rPr>
                          <w:t xml:space="preserve"> </w:t>
                        </w:r>
                        <w:r>
                          <w:rPr>
                            <w:w w:val="105"/>
                            <w:sz w:val="3"/>
                          </w:rPr>
                          <w:t>Autostar;</w:t>
                        </w:r>
                        <w:r>
                          <w:rPr>
                            <w:spacing w:val="-3"/>
                            <w:w w:val="105"/>
                            <w:sz w:val="3"/>
                          </w:rPr>
                          <w:t xml:space="preserve"> </w:t>
                        </w:r>
                        <w:r>
                          <w:rPr>
                            <w:w w:val="105"/>
                            <w:sz w:val="3"/>
                          </w:rPr>
                          <w:t>Bavaria; Benimar; Bremach; Bürstner; Capron; Carthago; Concorde; Cupra; Dethleffs; Elnagh; Eura-Mobil; Gaz; Hobby; Homecar; Hymer; Challenger; Chausson; Knaus; Laika; MCC Smart; McLouis; Miller;</w:t>
                        </w:r>
                        <w:r>
                          <w:rPr>
                            <w:spacing w:val="-2"/>
                            <w:w w:val="105"/>
                            <w:sz w:val="3"/>
                          </w:rPr>
                          <w:t xml:space="preserve"> </w:t>
                        </w:r>
                        <w:r>
                          <w:rPr>
                            <w:w w:val="105"/>
                            <w:sz w:val="3"/>
                          </w:rPr>
                          <w:t>Mini;</w:t>
                        </w:r>
                        <w:r>
                          <w:rPr>
                            <w:spacing w:val="-2"/>
                            <w:w w:val="105"/>
                            <w:sz w:val="3"/>
                          </w:rPr>
                          <w:t xml:space="preserve"> </w:t>
                        </w:r>
                        <w:r>
                          <w:rPr>
                            <w:w w:val="105"/>
                            <w:sz w:val="3"/>
                          </w:rPr>
                          <w:t>Mobilvetta;</w:t>
                        </w:r>
                        <w:r>
                          <w:rPr>
                            <w:spacing w:val="-2"/>
                            <w:w w:val="105"/>
                            <w:sz w:val="3"/>
                          </w:rPr>
                          <w:t xml:space="preserve"> </w:t>
                        </w:r>
                        <w:r>
                          <w:rPr>
                            <w:w w:val="105"/>
                            <w:sz w:val="3"/>
                          </w:rPr>
                          <w:t>Pilote;</w:t>
                        </w:r>
                        <w:r>
                          <w:rPr>
                            <w:spacing w:val="-2"/>
                            <w:w w:val="105"/>
                            <w:sz w:val="3"/>
                          </w:rPr>
                          <w:t xml:space="preserve"> </w:t>
                        </w:r>
                        <w:r>
                          <w:rPr>
                            <w:w w:val="105"/>
                            <w:sz w:val="3"/>
                          </w:rPr>
                          <w:t>PLA;</w:t>
                        </w:r>
                        <w:r>
                          <w:rPr>
                            <w:spacing w:val="-2"/>
                            <w:w w:val="105"/>
                            <w:sz w:val="3"/>
                          </w:rPr>
                          <w:t xml:space="preserve"> </w:t>
                        </w:r>
                        <w:r>
                          <w:rPr>
                            <w:w w:val="105"/>
                            <w:sz w:val="3"/>
                          </w:rPr>
                          <w:t>Possl;</w:t>
                        </w:r>
                        <w:r>
                          <w:rPr>
                            <w:spacing w:val="-2"/>
                            <w:w w:val="105"/>
                            <w:sz w:val="3"/>
                          </w:rPr>
                          <w:t xml:space="preserve"> </w:t>
                        </w:r>
                        <w:r>
                          <w:rPr>
                            <w:w w:val="105"/>
                            <w:sz w:val="3"/>
                          </w:rPr>
                          <w:t>Rapido; Rimor; Roller team; Rover; Saab; SEA; Seat; Smart; SsangYong; Subaru; Tec; Trigano; Weinsberg;</w:t>
                        </w:r>
                        <w:r>
                          <w:rPr>
                            <w:spacing w:val="1"/>
                            <w:w w:val="105"/>
                            <w:sz w:val="3"/>
                          </w:rPr>
                          <w:t xml:space="preserve"> </w:t>
                        </w:r>
                        <w:r>
                          <w:rPr>
                            <w:w w:val="105"/>
                            <w:sz w:val="3"/>
                          </w:rPr>
                          <w:t>Wingamm</w:t>
                        </w:r>
                      </w:p>
                    </w:tc>
                    <w:tc>
                      <w:tcPr>
                        <w:tcW w:w="958" w:type="dxa"/>
                        <w:tcBorders>
                          <w:top w:val="single" w:sz="2" w:space="0" w:color="000000"/>
                          <w:left w:val="single" w:sz="2" w:space="0" w:color="000000"/>
                          <w:bottom w:val="single" w:sz="2" w:space="0" w:color="000000"/>
                          <w:right w:val="single" w:sz="2" w:space="0" w:color="000000"/>
                        </w:tcBorders>
                        <w:shd w:val="clear" w:color="auto" w:fill="FCE4D6"/>
                      </w:tcPr>
                      <w:p w14:paraId="295AFF3A" w14:textId="77777777" w:rsidR="00F65BCA" w:rsidRDefault="00F65BCA">
                        <w:pPr>
                          <w:pStyle w:val="TableParagraph"/>
                          <w:rPr>
                            <w:rFonts w:ascii="Calibri"/>
                            <w:sz w:val="2"/>
                          </w:rPr>
                        </w:pPr>
                      </w:p>
                      <w:p w14:paraId="22FE2213" w14:textId="77777777" w:rsidR="00F65BCA" w:rsidRDefault="00F65BCA">
                        <w:pPr>
                          <w:pStyle w:val="TableParagraph"/>
                          <w:rPr>
                            <w:rFonts w:ascii="Calibri"/>
                            <w:sz w:val="2"/>
                          </w:rPr>
                        </w:pPr>
                      </w:p>
                      <w:p w14:paraId="0A6DE9C1" w14:textId="77777777" w:rsidR="00F65BCA" w:rsidRDefault="00F65BCA">
                        <w:pPr>
                          <w:pStyle w:val="TableParagraph"/>
                          <w:spacing w:before="10"/>
                          <w:rPr>
                            <w:rFonts w:ascii="Calibri"/>
                            <w:sz w:val="2"/>
                          </w:rPr>
                        </w:pPr>
                      </w:p>
                      <w:p w14:paraId="35AD4317" w14:textId="77777777" w:rsidR="00F65BCA" w:rsidRDefault="00216117">
                        <w:pPr>
                          <w:pStyle w:val="TableParagraph"/>
                          <w:ind w:left="1"/>
                          <w:jc w:val="center"/>
                          <w:rPr>
                            <w:sz w:val="3"/>
                          </w:rPr>
                        </w:pPr>
                        <w:r>
                          <w:rPr>
                            <w:w w:val="103"/>
                            <w:sz w:val="3"/>
                          </w:rPr>
                          <w: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2F3A91D" w14:textId="77777777" w:rsidR="00F65BCA" w:rsidRDefault="00F65BCA">
                        <w:pPr>
                          <w:pStyle w:val="TableParagraph"/>
                          <w:rPr>
                            <w:rFonts w:ascii="Calibri"/>
                            <w:sz w:val="2"/>
                          </w:rPr>
                        </w:pPr>
                      </w:p>
                      <w:p w14:paraId="68AB9C9E" w14:textId="77777777" w:rsidR="00F65BCA" w:rsidRDefault="00F65BCA">
                        <w:pPr>
                          <w:pStyle w:val="TableParagraph"/>
                          <w:rPr>
                            <w:rFonts w:ascii="Calibri"/>
                            <w:sz w:val="2"/>
                          </w:rPr>
                        </w:pPr>
                      </w:p>
                      <w:p w14:paraId="1AA4467F" w14:textId="77777777" w:rsidR="00F65BCA" w:rsidRDefault="00F65BCA">
                        <w:pPr>
                          <w:pStyle w:val="TableParagraph"/>
                          <w:spacing w:before="10"/>
                          <w:rPr>
                            <w:rFonts w:ascii="Calibri"/>
                            <w:sz w:val="2"/>
                          </w:rPr>
                        </w:pPr>
                      </w:p>
                      <w:p w14:paraId="2B313B99"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AC81EAC" w14:textId="77777777" w:rsidR="00F65BCA" w:rsidRDefault="00F65BCA">
                        <w:pPr>
                          <w:pStyle w:val="TableParagraph"/>
                          <w:rPr>
                            <w:rFonts w:ascii="Calibri"/>
                            <w:sz w:val="2"/>
                          </w:rPr>
                        </w:pPr>
                      </w:p>
                      <w:p w14:paraId="0A4D67E8" w14:textId="77777777" w:rsidR="00F65BCA" w:rsidRDefault="00F65BCA">
                        <w:pPr>
                          <w:pStyle w:val="TableParagraph"/>
                          <w:rPr>
                            <w:rFonts w:ascii="Calibri"/>
                            <w:sz w:val="2"/>
                          </w:rPr>
                        </w:pPr>
                      </w:p>
                      <w:p w14:paraId="5697E454" w14:textId="77777777" w:rsidR="00F65BCA" w:rsidRDefault="00F65BCA">
                        <w:pPr>
                          <w:pStyle w:val="TableParagraph"/>
                          <w:spacing w:before="10"/>
                          <w:rPr>
                            <w:rFonts w:ascii="Calibri"/>
                            <w:sz w:val="2"/>
                          </w:rPr>
                        </w:pPr>
                      </w:p>
                      <w:p w14:paraId="1C1F5B6F"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A0380E5"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7374CDA5" w14:textId="77777777" w:rsidR="00F65BCA" w:rsidRDefault="00F65BCA">
                        <w:pPr>
                          <w:pStyle w:val="TableParagraph"/>
                          <w:rPr>
                            <w:rFonts w:ascii="Calibri"/>
                            <w:sz w:val="2"/>
                          </w:rPr>
                        </w:pPr>
                      </w:p>
                      <w:p w14:paraId="630227E7" w14:textId="77777777" w:rsidR="00F65BCA" w:rsidRDefault="00F65BCA">
                        <w:pPr>
                          <w:pStyle w:val="TableParagraph"/>
                          <w:rPr>
                            <w:rFonts w:ascii="Calibri"/>
                            <w:sz w:val="2"/>
                          </w:rPr>
                        </w:pPr>
                      </w:p>
                      <w:p w14:paraId="64C1B796" w14:textId="77777777" w:rsidR="00F65BCA" w:rsidRDefault="00F65BCA">
                        <w:pPr>
                          <w:pStyle w:val="TableParagraph"/>
                          <w:spacing w:before="10"/>
                          <w:rPr>
                            <w:rFonts w:ascii="Calibri"/>
                            <w:sz w:val="2"/>
                          </w:rPr>
                        </w:pPr>
                      </w:p>
                      <w:p w14:paraId="76ACDA31" w14:textId="77777777" w:rsidR="00F65BCA" w:rsidRDefault="00216117">
                        <w:pPr>
                          <w:pStyle w:val="TableParagraph"/>
                          <w:ind w:left="24" w:right="24"/>
                          <w:jc w:val="center"/>
                          <w:rPr>
                            <w:sz w:val="3"/>
                          </w:rPr>
                        </w:pPr>
                        <w:r>
                          <w:rPr>
                            <w:w w:val="105"/>
                            <w:sz w:val="3"/>
                          </w:rPr>
                          <w:t>1,24041466%</w:t>
                        </w:r>
                      </w:p>
                    </w:tc>
                    <w:tc>
                      <w:tcPr>
                        <w:tcW w:w="288" w:type="dxa"/>
                        <w:tcBorders>
                          <w:top w:val="single" w:sz="2" w:space="0" w:color="000000"/>
                          <w:left w:val="single" w:sz="2" w:space="0" w:color="000000"/>
                          <w:bottom w:val="single" w:sz="2" w:space="0" w:color="000000"/>
                          <w:right w:val="single" w:sz="2" w:space="0" w:color="000000"/>
                        </w:tcBorders>
                      </w:tcPr>
                      <w:p w14:paraId="603B8ECC" w14:textId="77777777" w:rsidR="00F65BCA" w:rsidRDefault="00F65BCA">
                        <w:pPr>
                          <w:pStyle w:val="TableParagraph"/>
                          <w:rPr>
                            <w:rFonts w:ascii="Calibri"/>
                            <w:sz w:val="2"/>
                          </w:rPr>
                        </w:pPr>
                      </w:p>
                      <w:p w14:paraId="67E211D5" w14:textId="77777777" w:rsidR="00F65BCA" w:rsidRDefault="00F65BCA">
                        <w:pPr>
                          <w:pStyle w:val="TableParagraph"/>
                          <w:rPr>
                            <w:rFonts w:ascii="Calibri"/>
                            <w:sz w:val="2"/>
                          </w:rPr>
                        </w:pPr>
                      </w:p>
                      <w:p w14:paraId="66D2FD88" w14:textId="77777777" w:rsidR="00F65BCA" w:rsidRDefault="00F65BCA">
                        <w:pPr>
                          <w:pStyle w:val="TableParagraph"/>
                          <w:spacing w:before="10"/>
                          <w:rPr>
                            <w:rFonts w:ascii="Calibri"/>
                            <w:sz w:val="2"/>
                          </w:rPr>
                        </w:pPr>
                      </w:p>
                      <w:p w14:paraId="47552C7D" w14:textId="77777777" w:rsidR="00F65BCA" w:rsidRDefault="00216117">
                        <w:pPr>
                          <w:pStyle w:val="TableParagraph"/>
                          <w:ind w:left="24" w:right="24"/>
                          <w:jc w:val="center"/>
                          <w:rPr>
                            <w:sz w:val="3"/>
                          </w:rPr>
                        </w:pPr>
                        <w:r>
                          <w:rPr>
                            <w:w w:val="105"/>
                            <w:sz w:val="3"/>
                          </w:rPr>
                          <w:t>1,16288874%</w:t>
                        </w:r>
                      </w:p>
                    </w:tc>
                    <w:tc>
                      <w:tcPr>
                        <w:tcW w:w="288" w:type="dxa"/>
                        <w:tcBorders>
                          <w:top w:val="single" w:sz="2" w:space="0" w:color="000000"/>
                          <w:left w:val="single" w:sz="2" w:space="0" w:color="000000"/>
                          <w:bottom w:val="single" w:sz="2" w:space="0" w:color="000000"/>
                          <w:right w:val="single" w:sz="2" w:space="0" w:color="000000"/>
                        </w:tcBorders>
                      </w:tcPr>
                      <w:p w14:paraId="29988856" w14:textId="77777777" w:rsidR="00F65BCA" w:rsidRDefault="00F65BCA">
                        <w:pPr>
                          <w:pStyle w:val="TableParagraph"/>
                          <w:rPr>
                            <w:rFonts w:ascii="Calibri"/>
                            <w:sz w:val="2"/>
                          </w:rPr>
                        </w:pPr>
                      </w:p>
                      <w:p w14:paraId="5BB3054F" w14:textId="77777777" w:rsidR="00F65BCA" w:rsidRDefault="00F65BCA">
                        <w:pPr>
                          <w:pStyle w:val="TableParagraph"/>
                          <w:rPr>
                            <w:rFonts w:ascii="Calibri"/>
                            <w:sz w:val="2"/>
                          </w:rPr>
                        </w:pPr>
                      </w:p>
                      <w:p w14:paraId="7DDF9F22" w14:textId="77777777" w:rsidR="00F65BCA" w:rsidRDefault="00F65BCA">
                        <w:pPr>
                          <w:pStyle w:val="TableParagraph"/>
                          <w:spacing w:before="10"/>
                          <w:rPr>
                            <w:rFonts w:ascii="Calibri"/>
                            <w:sz w:val="2"/>
                          </w:rPr>
                        </w:pPr>
                      </w:p>
                      <w:p w14:paraId="06E8C9BA" w14:textId="77777777" w:rsidR="00F65BCA" w:rsidRDefault="00216117">
                        <w:pPr>
                          <w:pStyle w:val="TableParagraph"/>
                          <w:ind w:left="24" w:right="24"/>
                          <w:jc w:val="center"/>
                          <w:rPr>
                            <w:sz w:val="3"/>
                          </w:rPr>
                        </w:pPr>
                        <w:r>
                          <w:rPr>
                            <w:w w:val="105"/>
                            <w:sz w:val="3"/>
                          </w:rPr>
                          <w:t>1,10862060%</w:t>
                        </w:r>
                      </w:p>
                    </w:tc>
                    <w:tc>
                      <w:tcPr>
                        <w:tcW w:w="288" w:type="dxa"/>
                        <w:tcBorders>
                          <w:top w:val="single" w:sz="2" w:space="0" w:color="000000"/>
                          <w:left w:val="single" w:sz="2" w:space="0" w:color="000000"/>
                          <w:bottom w:val="single" w:sz="2" w:space="0" w:color="000000"/>
                          <w:right w:val="single" w:sz="2" w:space="0" w:color="000000"/>
                        </w:tcBorders>
                      </w:tcPr>
                      <w:p w14:paraId="2B8F871D" w14:textId="77777777" w:rsidR="00F65BCA" w:rsidRDefault="00F65BCA">
                        <w:pPr>
                          <w:pStyle w:val="TableParagraph"/>
                          <w:rPr>
                            <w:rFonts w:ascii="Calibri"/>
                            <w:sz w:val="2"/>
                          </w:rPr>
                        </w:pPr>
                      </w:p>
                      <w:p w14:paraId="3C3F3342" w14:textId="77777777" w:rsidR="00F65BCA" w:rsidRDefault="00F65BCA">
                        <w:pPr>
                          <w:pStyle w:val="TableParagraph"/>
                          <w:rPr>
                            <w:rFonts w:ascii="Calibri"/>
                            <w:sz w:val="2"/>
                          </w:rPr>
                        </w:pPr>
                      </w:p>
                      <w:p w14:paraId="5F9E4F01" w14:textId="77777777" w:rsidR="00F65BCA" w:rsidRDefault="00F65BCA">
                        <w:pPr>
                          <w:pStyle w:val="TableParagraph"/>
                          <w:spacing w:before="10"/>
                          <w:rPr>
                            <w:rFonts w:ascii="Calibri"/>
                            <w:sz w:val="2"/>
                          </w:rPr>
                        </w:pPr>
                      </w:p>
                      <w:p w14:paraId="5749C602"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443E231A" w14:textId="77777777" w:rsidR="00F65BCA" w:rsidRDefault="00F65BCA">
                        <w:pPr>
                          <w:pStyle w:val="TableParagraph"/>
                          <w:rPr>
                            <w:rFonts w:ascii="Calibri"/>
                            <w:sz w:val="2"/>
                          </w:rPr>
                        </w:pPr>
                      </w:p>
                      <w:p w14:paraId="1ED57743" w14:textId="77777777" w:rsidR="00F65BCA" w:rsidRDefault="00F65BCA">
                        <w:pPr>
                          <w:pStyle w:val="TableParagraph"/>
                          <w:rPr>
                            <w:rFonts w:ascii="Calibri"/>
                            <w:sz w:val="2"/>
                          </w:rPr>
                        </w:pPr>
                      </w:p>
                      <w:p w14:paraId="7E4CFE82" w14:textId="77777777" w:rsidR="00F65BCA" w:rsidRDefault="00F65BCA">
                        <w:pPr>
                          <w:pStyle w:val="TableParagraph"/>
                          <w:spacing w:before="10"/>
                          <w:rPr>
                            <w:rFonts w:ascii="Calibri"/>
                            <w:sz w:val="2"/>
                          </w:rPr>
                        </w:pPr>
                      </w:p>
                      <w:p w14:paraId="6ACCB1C4" w14:textId="77777777" w:rsidR="00F65BCA" w:rsidRDefault="00216117">
                        <w:pPr>
                          <w:pStyle w:val="TableParagraph"/>
                          <w:ind w:left="24" w:right="24"/>
                          <w:jc w:val="center"/>
                          <w:rPr>
                            <w:sz w:val="3"/>
                          </w:rPr>
                        </w:pPr>
                        <w:r>
                          <w:rPr>
                            <w:w w:val="105"/>
                            <w:sz w:val="3"/>
                          </w:rPr>
                          <w:t>0,99233172%</w:t>
                        </w:r>
                      </w:p>
                    </w:tc>
                    <w:tc>
                      <w:tcPr>
                        <w:tcW w:w="288" w:type="dxa"/>
                        <w:tcBorders>
                          <w:top w:val="single" w:sz="2" w:space="0" w:color="000000"/>
                          <w:left w:val="single" w:sz="2" w:space="0" w:color="000000"/>
                          <w:bottom w:val="single" w:sz="2" w:space="0" w:color="000000"/>
                          <w:right w:val="single" w:sz="2" w:space="0" w:color="000000"/>
                        </w:tcBorders>
                      </w:tcPr>
                      <w:p w14:paraId="49CCA5D0" w14:textId="77777777" w:rsidR="00F65BCA" w:rsidRDefault="00F65BCA">
                        <w:pPr>
                          <w:pStyle w:val="TableParagraph"/>
                          <w:rPr>
                            <w:rFonts w:ascii="Calibri"/>
                            <w:sz w:val="2"/>
                          </w:rPr>
                        </w:pPr>
                      </w:p>
                      <w:p w14:paraId="4B01EEE9" w14:textId="77777777" w:rsidR="00F65BCA" w:rsidRDefault="00F65BCA">
                        <w:pPr>
                          <w:pStyle w:val="TableParagraph"/>
                          <w:rPr>
                            <w:rFonts w:ascii="Calibri"/>
                            <w:sz w:val="2"/>
                          </w:rPr>
                        </w:pPr>
                      </w:p>
                      <w:p w14:paraId="24372C06" w14:textId="77777777" w:rsidR="00F65BCA" w:rsidRDefault="00F65BCA">
                        <w:pPr>
                          <w:pStyle w:val="TableParagraph"/>
                          <w:spacing w:before="10"/>
                          <w:rPr>
                            <w:rFonts w:ascii="Calibri"/>
                            <w:sz w:val="2"/>
                          </w:rPr>
                        </w:pPr>
                      </w:p>
                      <w:p w14:paraId="73A0B1AD" w14:textId="77777777" w:rsidR="00F65BCA" w:rsidRDefault="00216117">
                        <w:pPr>
                          <w:pStyle w:val="TableParagraph"/>
                          <w:ind w:left="24" w:right="24"/>
                          <w:jc w:val="center"/>
                          <w:rPr>
                            <w:sz w:val="3"/>
                          </w:rPr>
                        </w:pPr>
                        <w:r>
                          <w:rPr>
                            <w:w w:val="105"/>
                            <w:sz w:val="3"/>
                          </w:rPr>
                          <w:t>0,92255840%</w:t>
                        </w:r>
                      </w:p>
                    </w:tc>
                    <w:tc>
                      <w:tcPr>
                        <w:tcW w:w="288" w:type="dxa"/>
                        <w:tcBorders>
                          <w:top w:val="single" w:sz="2" w:space="0" w:color="000000"/>
                          <w:left w:val="single" w:sz="2" w:space="0" w:color="000000"/>
                          <w:bottom w:val="single" w:sz="2" w:space="0" w:color="000000"/>
                          <w:right w:val="single" w:sz="2" w:space="0" w:color="000000"/>
                        </w:tcBorders>
                      </w:tcPr>
                      <w:p w14:paraId="76CD2F55" w14:textId="77777777" w:rsidR="00F65BCA" w:rsidRDefault="00F65BCA">
                        <w:pPr>
                          <w:pStyle w:val="TableParagraph"/>
                          <w:rPr>
                            <w:rFonts w:ascii="Calibri"/>
                            <w:sz w:val="2"/>
                          </w:rPr>
                        </w:pPr>
                      </w:p>
                      <w:p w14:paraId="389DC8E4" w14:textId="77777777" w:rsidR="00F65BCA" w:rsidRDefault="00F65BCA">
                        <w:pPr>
                          <w:pStyle w:val="TableParagraph"/>
                          <w:rPr>
                            <w:rFonts w:ascii="Calibri"/>
                            <w:sz w:val="2"/>
                          </w:rPr>
                        </w:pPr>
                      </w:p>
                      <w:p w14:paraId="183093CB" w14:textId="77777777" w:rsidR="00F65BCA" w:rsidRDefault="00F65BCA">
                        <w:pPr>
                          <w:pStyle w:val="TableParagraph"/>
                          <w:spacing w:before="10"/>
                          <w:rPr>
                            <w:rFonts w:ascii="Calibri"/>
                            <w:sz w:val="2"/>
                          </w:rPr>
                        </w:pPr>
                      </w:p>
                      <w:p w14:paraId="1AA298BB" w14:textId="77777777" w:rsidR="00F65BCA" w:rsidRDefault="00216117">
                        <w:pPr>
                          <w:pStyle w:val="TableParagraph"/>
                          <w:ind w:left="24" w:right="24"/>
                          <w:jc w:val="center"/>
                          <w:rPr>
                            <w:sz w:val="3"/>
                          </w:rPr>
                        </w:pPr>
                        <w:r>
                          <w:rPr>
                            <w:w w:val="105"/>
                            <w:sz w:val="3"/>
                          </w:rPr>
                          <w:t>0,85278508%</w:t>
                        </w:r>
                      </w:p>
                    </w:tc>
                    <w:tc>
                      <w:tcPr>
                        <w:tcW w:w="288" w:type="dxa"/>
                        <w:tcBorders>
                          <w:top w:val="single" w:sz="2" w:space="0" w:color="000000"/>
                          <w:left w:val="single" w:sz="2" w:space="0" w:color="000000"/>
                          <w:bottom w:val="single" w:sz="2" w:space="0" w:color="000000"/>
                          <w:right w:val="single" w:sz="2" w:space="0" w:color="000000"/>
                        </w:tcBorders>
                      </w:tcPr>
                      <w:p w14:paraId="6ACA0A6F" w14:textId="77777777" w:rsidR="00F65BCA" w:rsidRDefault="00F65BCA">
                        <w:pPr>
                          <w:pStyle w:val="TableParagraph"/>
                          <w:rPr>
                            <w:rFonts w:ascii="Calibri"/>
                            <w:sz w:val="2"/>
                          </w:rPr>
                        </w:pPr>
                      </w:p>
                      <w:p w14:paraId="63FF2F9F" w14:textId="77777777" w:rsidR="00F65BCA" w:rsidRDefault="00F65BCA">
                        <w:pPr>
                          <w:pStyle w:val="TableParagraph"/>
                          <w:rPr>
                            <w:rFonts w:ascii="Calibri"/>
                            <w:sz w:val="2"/>
                          </w:rPr>
                        </w:pPr>
                      </w:p>
                      <w:p w14:paraId="4FD2C4CC" w14:textId="77777777" w:rsidR="00F65BCA" w:rsidRDefault="00F65BCA">
                        <w:pPr>
                          <w:pStyle w:val="TableParagraph"/>
                          <w:spacing w:before="10"/>
                          <w:rPr>
                            <w:rFonts w:ascii="Calibri"/>
                            <w:sz w:val="2"/>
                          </w:rPr>
                        </w:pPr>
                      </w:p>
                      <w:p w14:paraId="63D49E5F" w14:textId="77777777" w:rsidR="00F65BCA" w:rsidRDefault="00216117">
                        <w:pPr>
                          <w:pStyle w:val="TableParagraph"/>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6ECCA1AA" w14:textId="77777777" w:rsidR="00F65BCA" w:rsidRDefault="00F65BCA">
                        <w:pPr>
                          <w:pStyle w:val="TableParagraph"/>
                          <w:rPr>
                            <w:rFonts w:ascii="Calibri"/>
                            <w:sz w:val="2"/>
                          </w:rPr>
                        </w:pPr>
                      </w:p>
                      <w:p w14:paraId="3B62D9F7" w14:textId="77777777" w:rsidR="00F65BCA" w:rsidRDefault="00F65BCA">
                        <w:pPr>
                          <w:pStyle w:val="TableParagraph"/>
                          <w:rPr>
                            <w:rFonts w:ascii="Calibri"/>
                            <w:sz w:val="2"/>
                          </w:rPr>
                        </w:pPr>
                      </w:p>
                      <w:p w14:paraId="5A509F16" w14:textId="77777777" w:rsidR="00F65BCA" w:rsidRDefault="00F65BCA">
                        <w:pPr>
                          <w:pStyle w:val="TableParagraph"/>
                          <w:spacing w:before="10"/>
                          <w:rPr>
                            <w:rFonts w:ascii="Calibri"/>
                            <w:sz w:val="2"/>
                          </w:rPr>
                        </w:pPr>
                      </w:p>
                      <w:p w14:paraId="61F3FE55" w14:textId="77777777" w:rsidR="00F65BCA" w:rsidRDefault="00216117">
                        <w:pPr>
                          <w:pStyle w:val="TableParagraph"/>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6870FFEF" w14:textId="77777777" w:rsidR="00F65BCA" w:rsidRDefault="00F65BCA">
                        <w:pPr>
                          <w:pStyle w:val="TableParagraph"/>
                          <w:rPr>
                            <w:rFonts w:ascii="Calibri"/>
                            <w:sz w:val="2"/>
                          </w:rPr>
                        </w:pPr>
                      </w:p>
                      <w:p w14:paraId="521753BB" w14:textId="77777777" w:rsidR="00F65BCA" w:rsidRDefault="00F65BCA">
                        <w:pPr>
                          <w:pStyle w:val="TableParagraph"/>
                          <w:rPr>
                            <w:rFonts w:ascii="Calibri"/>
                            <w:sz w:val="2"/>
                          </w:rPr>
                        </w:pPr>
                      </w:p>
                      <w:p w14:paraId="63F419F4" w14:textId="77777777" w:rsidR="00F65BCA" w:rsidRDefault="00F65BCA">
                        <w:pPr>
                          <w:pStyle w:val="TableParagraph"/>
                          <w:spacing w:before="10"/>
                          <w:rPr>
                            <w:rFonts w:ascii="Calibri"/>
                            <w:sz w:val="2"/>
                          </w:rPr>
                        </w:pPr>
                      </w:p>
                      <w:p w14:paraId="26948A7F" w14:textId="77777777" w:rsidR="00F65BCA" w:rsidRDefault="00216117">
                        <w:pPr>
                          <w:pStyle w:val="TableParagraph"/>
                          <w:ind w:left="24" w:right="24"/>
                          <w:jc w:val="center"/>
                          <w:rPr>
                            <w:sz w:val="3"/>
                          </w:rPr>
                        </w:pPr>
                        <w:r>
                          <w:rPr>
                            <w:w w:val="105"/>
                            <w:sz w:val="3"/>
                          </w:rPr>
                          <w:t>0,93031099%</w:t>
                        </w:r>
                      </w:p>
                    </w:tc>
                    <w:tc>
                      <w:tcPr>
                        <w:tcW w:w="288" w:type="dxa"/>
                        <w:tcBorders>
                          <w:top w:val="single" w:sz="2" w:space="0" w:color="000000"/>
                          <w:left w:val="single" w:sz="2" w:space="0" w:color="000000"/>
                          <w:bottom w:val="single" w:sz="2" w:space="0" w:color="000000"/>
                          <w:right w:val="single" w:sz="2" w:space="0" w:color="000000"/>
                        </w:tcBorders>
                      </w:tcPr>
                      <w:p w14:paraId="2B91F059" w14:textId="77777777" w:rsidR="00F65BCA" w:rsidRDefault="00F65BCA">
                        <w:pPr>
                          <w:pStyle w:val="TableParagraph"/>
                          <w:rPr>
                            <w:rFonts w:ascii="Calibri"/>
                            <w:sz w:val="2"/>
                          </w:rPr>
                        </w:pPr>
                      </w:p>
                      <w:p w14:paraId="18BE4161" w14:textId="77777777" w:rsidR="00F65BCA" w:rsidRDefault="00F65BCA">
                        <w:pPr>
                          <w:pStyle w:val="TableParagraph"/>
                          <w:rPr>
                            <w:rFonts w:ascii="Calibri"/>
                            <w:sz w:val="2"/>
                          </w:rPr>
                        </w:pPr>
                      </w:p>
                      <w:p w14:paraId="55DEDECF" w14:textId="77777777" w:rsidR="00F65BCA" w:rsidRDefault="00F65BCA">
                        <w:pPr>
                          <w:pStyle w:val="TableParagraph"/>
                          <w:spacing w:before="10"/>
                          <w:rPr>
                            <w:rFonts w:ascii="Calibri"/>
                            <w:sz w:val="2"/>
                          </w:rPr>
                        </w:pPr>
                      </w:p>
                      <w:p w14:paraId="62168A5B"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15C6B920" w14:textId="77777777" w:rsidR="00F65BCA" w:rsidRDefault="00F65BCA">
                        <w:pPr>
                          <w:pStyle w:val="TableParagraph"/>
                          <w:rPr>
                            <w:rFonts w:ascii="Calibri"/>
                            <w:sz w:val="2"/>
                          </w:rPr>
                        </w:pPr>
                      </w:p>
                      <w:p w14:paraId="03B8C1F7" w14:textId="77777777" w:rsidR="00F65BCA" w:rsidRDefault="00F65BCA">
                        <w:pPr>
                          <w:pStyle w:val="TableParagraph"/>
                          <w:rPr>
                            <w:rFonts w:ascii="Calibri"/>
                            <w:sz w:val="2"/>
                          </w:rPr>
                        </w:pPr>
                      </w:p>
                      <w:p w14:paraId="61F5E331" w14:textId="77777777" w:rsidR="00F65BCA" w:rsidRDefault="00F65BCA">
                        <w:pPr>
                          <w:pStyle w:val="TableParagraph"/>
                          <w:spacing w:before="10"/>
                          <w:rPr>
                            <w:rFonts w:ascii="Calibri"/>
                            <w:sz w:val="2"/>
                          </w:rPr>
                        </w:pPr>
                      </w:p>
                      <w:p w14:paraId="3119AD10"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4111059F" w14:textId="77777777" w:rsidR="00F65BCA" w:rsidRDefault="00F65BCA">
                        <w:pPr>
                          <w:pStyle w:val="TableParagraph"/>
                          <w:rPr>
                            <w:rFonts w:ascii="Calibri"/>
                            <w:sz w:val="2"/>
                          </w:rPr>
                        </w:pPr>
                      </w:p>
                      <w:p w14:paraId="45117130" w14:textId="77777777" w:rsidR="00F65BCA" w:rsidRDefault="00F65BCA">
                        <w:pPr>
                          <w:pStyle w:val="TableParagraph"/>
                          <w:rPr>
                            <w:rFonts w:ascii="Calibri"/>
                            <w:sz w:val="2"/>
                          </w:rPr>
                        </w:pPr>
                      </w:p>
                      <w:p w14:paraId="493022C4" w14:textId="77777777" w:rsidR="00F65BCA" w:rsidRDefault="00F65BCA">
                        <w:pPr>
                          <w:pStyle w:val="TableParagraph"/>
                          <w:spacing w:before="10"/>
                          <w:rPr>
                            <w:rFonts w:ascii="Calibri"/>
                            <w:sz w:val="2"/>
                          </w:rPr>
                        </w:pPr>
                      </w:p>
                      <w:p w14:paraId="56B29B5C" w14:textId="77777777" w:rsidR="00F65BCA" w:rsidRDefault="00216117">
                        <w:pPr>
                          <w:pStyle w:val="TableParagraph"/>
                          <w:ind w:left="24" w:right="24"/>
                          <w:jc w:val="center"/>
                          <w:rPr>
                            <w:sz w:val="3"/>
                          </w:rPr>
                        </w:pPr>
                        <w:r>
                          <w:rPr>
                            <w:w w:val="105"/>
                            <w:sz w:val="3"/>
                          </w:rPr>
                          <w:t>1,16288874%</w:t>
                        </w:r>
                      </w:p>
                    </w:tc>
                  </w:tr>
                  <w:tr w:rsidR="00F65BCA" w14:paraId="46680D1E" w14:textId="77777777">
                    <w:trPr>
                      <w:trHeight w:val="201"/>
                    </w:trPr>
                    <w:tc>
                      <w:tcPr>
                        <w:tcW w:w="526" w:type="dxa"/>
                        <w:vMerge/>
                        <w:tcBorders>
                          <w:top w:val="nil"/>
                          <w:left w:val="single" w:sz="2" w:space="0" w:color="000000"/>
                          <w:bottom w:val="single" w:sz="2" w:space="0" w:color="000000"/>
                          <w:right w:val="single" w:sz="2" w:space="0" w:color="000000"/>
                        </w:tcBorders>
                        <w:shd w:val="clear" w:color="auto" w:fill="FCE4D6"/>
                      </w:tcPr>
                      <w:p w14:paraId="7B56095F"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2EB27953" w14:textId="77777777" w:rsidR="00F65BCA" w:rsidRDefault="00F65BCA">
                        <w:pPr>
                          <w:rPr>
                            <w:sz w:val="2"/>
                            <w:szCs w:val="2"/>
                          </w:rPr>
                        </w:pPr>
                      </w:p>
                    </w:tc>
                    <w:tc>
                      <w:tcPr>
                        <w:tcW w:w="958" w:type="dxa"/>
                        <w:tcBorders>
                          <w:top w:val="single" w:sz="2" w:space="0" w:color="000000"/>
                          <w:left w:val="single" w:sz="2" w:space="0" w:color="000000"/>
                          <w:bottom w:val="single" w:sz="2" w:space="0" w:color="000000"/>
                          <w:right w:val="single" w:sz="2" w:space="0" w:color="000000"/>
                        </w:tcBorders>
                        <w:shd w:val="clear" w:color="auto" w:fill="FCE4D6"/>
                      </w:tcPr>
                      <w:p w14:paraId="0FE529B7" w14:textId="77777777" w:rsidR="00F65BCA" w:rsidRDefault="00F65BCA">
                        <w:pPr>
                          <w:pStyle w:val="TableParagraph"/>
                          <w:rPr>
                            <w:rFonts w:ascii="Calibri"/>
                            <w:sz w:val="2"/>
                          </w:rPr>
                        </w:pPr>
                      </w:p>
                      <w:p w14:paraId="657E0CAC" w14:textId="77777777" w:rsidR="00F65BCA" w:rsidRDefault="00F65BCA">
                        <w:pPr>
                          <w:pStyle w:val="TableParagraph"/>
                          <w:rPr>
                            <w:rFonts w:ascii="Calibri"/>
                            <w:sz w:val="2"/>
                          </w:rPr>
                        </w:pPr>
                      </w:p>
                      <w:p w14:paraId="2FB90F5B" w14:textId="77777777" w:rsidR="00F65BCA" w:rsidRDefault="00F65BCA">
                        <w:pPr>
                          <w:pStyle w:val="TableParagraph"/>
                          <w:spacing w:before="10"/>
                          <w:rPr>
                            <w:rFonts w:ascii="Calibri"/>
                            <w:sz w:val="2"/>
                          </w:rPr>
                        </w:pPr>
                      </w:p>
                      <w:p w14:paraId="698EECF9" w14:textId="77777777" w:rsidR="00F65BCA" w:rsidRDefault="00216117">
                        <w:pPr>
                          <w:pStyle w:val="TableParagraph"/>
                          <w:ind w:left="1"/>
                          <w:jc w:val="center"/>
                          <w:rPr>
                            <w:sz w:val="3"/>
                          </w:rPr>
                        </w:pPr>
                        <w:r>
                          <w:rPr>
                            <w:w w:val="103"/>
                            <w:sz w:val="3"/>
                          </w:rPr>
                          <w: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B260146" w14:textId="77777777" w:rsidR="00F65BCA" w:rsidRDefault="00F65BCA">
                        <w:pPr>
                          <w:pStyle w:val="TableParagraph"/>
                          <w:rPr>
                            <w:rFonts w:ascii="Calibri"/>
                            <w:sz w:val="2"/>
                          </w:rPr>
                        </w:pPr>
                      </w:p>
                      <w:p w14:paraId="6C0B94B9" w14:textId="77777777" w:rsidR="00F65BCA" w:rsidRDefault="00F65BCA">
                        <w:pPr>
                          <w:pStyle w:val="TableParagraph"/>
                          <w:rPr>
                            <w:rFonts w:ascii="Calibri"/>
                            <w:sz w:val="2"/>
                          </w:rPr>
                        </w:pPr>
                      </w:p>
                      <w:p w14:paraId="13556330" w14:textId="77777777" w:rsidR="00F65BCA" w:rsidRDefault="00F65BCA">
                        <w:pPr>
                          <w:pStyle w:val="TableParagraph"/>
                          <w:spacing w:before="10"/>
                          <w:rPr>
                            <w:rFonts w:ascii="Calibri"/>
                            <w:sz w:val="2"/>
                          </w:rPr>
                        </w:pPr>
                      </w:p>
                      <w:p w14:paraId="4DCAE428"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B9FA373" w14:textId="77777777" w:rsidR="00F65BCA" w:rsidRDefault="00F65BCA">
                        <w:pPr>
                          <w:pStyle w:val="TableParagraph"/>
                          <w:rPr>
                            <w:rFonts w:ascii="Calibri"/>
                            <w:sz w:val="2"/>
                          </w:rPr>
                        </w:pPr>
                      </w:p>
                      <w:p w14:paraId="364E7993" w14:textId="77777777" w:rsidR="00F65BCA" w:rsidRDefault="00F65BCA">
                        <w:pPr>
                          <w:pStyle w:val="TableParagraph"/>
                          <w:rPr>
                            <w:rFonts w:ascii="Calibri"/>
                            <w:sz w:val="2"/>
                          </w:rPr>
                        </w:pPr>
                      </w:p>
                      <w:p w14:paraId="7B9ACD8C" w14:textId="77777777" w:rsidR="00F65BCA" w:rsidRDefault="00F65BCA">
                        <w:pPr>
                          <w:pStyle w:val="TableParagraph"/>
                          <w:spacing w:before="10"/>
                          <w:rPr>
                            <w:rFonts w:ascii="Calibri"/>
                            <w:sz w:val="2"/>
                          </w:rPr>
                        </w:pPr>
                      </w:p>
                      <w:p w14:paraId="7CCC6932"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48EC8E63"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61F431B" w14:textId="77777777" w:rsidR="00F65BCA" w:rsidRDefault="00F65BCA">
                        <w:pPr>
                          <w:pStyle w:val="TableParagraph"/>
                          <w:rPr>
                            <w:rFonts w:ascii="Calibri"/>
                            <w:sz w:val="2"/>
                          </w:rPr>
                        </w:pPr>
                      </w:p>
                      <w:p w14:paraId="685E4629" w14:textId="77777777" w:rsidR="00F65BCA" w:rsidRDefault="00F65BCA">
                        <w:pPr>
                          <w:pStyle w:val="TableParagraph"/>
                          <w:rPr>
                            <w:rFonts w:ascii="Calibri"/>
                            <w:sz w:val="2"/>
                          </w:rPr>
                        </w:pPr>
                      </w:p>
                      <w:p w14:paraId="03B68D8E" w14:textId="77777777" w:rsidR="00F65BCA" w:rsidRDefault="00F65BCA">
                        <w:pPr>
                          <w:pStyle w:val="TableParagraph"/>
                          <w:spacing w:before="10"/>
                          <w:rPr>
                            <w:rFonts w:ascii="Calibri"/>
                            <w:sz w:val="2"/>
                          </w:rPr>
                        </w:pPr>
                      </w:p>
                      <w:p w14:paraId="0D614154" w14:textId="77777777" w:rsidR="00F65BCA" w:rsidRDefault="00216117">
                        <w:pPr>
                          <w:pStyle w:val="TableParagraph"/>
                          <w:ind w:left="24" w:right="24"/>
                          <w:jc w:val="center"/>
                          <w:rPr>
                            <w:sz w:val="3"/>
                          </w:rPr>
                        </w:pPr>
                        <w:r>
                          <w:rPr>
                            <w:w w:val="105"/>
                            <w:sz w:val="3"/>
                          </w:rPr>
                          <w:t>1,49842090%</w:t>
                        </w:r>
                      </w:p>
                    </w:tc>
                    <w:tc>
                      <w:tcPr>
                        <w:tcW w:w="288" w:type="dxa"/>
                        <w:tcBorders>
                          <w:top w:val="single" w:sz="2" w:space="0" w:color="000000"/>
                          <w:left w:val="single" w:sz="2" w:space="0" w:color="000000"/>
                          <w:bottom w:val="single" w:sz="2" w:space="0" w:color="000000"/>
                          <w:right w:val="single" w:sz="2" w:space="0" w:color="000000"/>
                        </w:tcBorders>
                      </w:tcPr>
                      <w:p w14:paraId="6713E497" w14:textId="77777777" w:rsidR="00F65BCA" w:rsidRDefault="00F65BCA">
                        <w:pPr>
                          <w:pStyle w:val="TableParagraph"/>
                          <w:rPr>
                            <w:rFonts w:ascii="Calibri"/>
                            <w:sz w:val="2"/>
                          </w:rPr>
                        </w:pPr>
                      </w:p>
                      <w:p w14:paraId="01357416" w14:textId="77777777" w:rsidR="00F65BCA" w:rsidRDefault="00F65BCA">
                        <w:pPr>
                          <w:pStyle w:val="TableParagraph"/>
                          <w:rPr>
                            <w:rFonts w:ascii="Calibri"/>
                            <w:sz w:val="2"/>
                          </w:rPr>
                        </w:pPr>
                      </w:p>
                      <w:p w14:paraId="7AB333CD" w14:textId="77777777" w:rsidR="00F65BCA" w:rsidRDefault="00F65BCA">
                        <w:pPr>
                          <w:pStyle w:val="TableParagraph"/>
                          <w:spacing w:before="10"/>
                          <w:rPr>
                            <w:rFonts w:ascii="Calibri"/>
                            <w:sz w:val="2"/>
                          </w:rPr>
                        </w:pPr>
                      </w:p>
                      <w:p w14:paraId="47D72813" w14:textId="77777777" w:rsidR="00F65BCA" w:rsidRDefault="00216117">
                        <w:pPr>
                          <w:pStyle w:val="TableParagraph"/>
                          <w:ind w:left="24" w:right="24"/>
                          <w:jc w:val="center"/>
                          <w:rPr>
                            <w:sz w:val="3"/>
                          </w:rPr>
                        </w:pPr>
                        <w:r>
                          <w:rPr>
                            <w:w w:val="105"/>
                            <w:sz w:val="3"/>
                          </w:rPr>
                          <w:t>1,40476960%</w:t>
                        </w:r>
                      </w:p>
                    </w:tc>
                    <w:tc>
                      <w:tcPr>
                        <w:tcW w:w="288" w:type="dxa"/>
                        <w:tcBorders>
                          <w:top w:val="single" w:sz="2" w:space="0" w:color="000000"/>
                          <w:left w:val="single" w:sz="2" w:space="0" w:color="000000"/>
                          <w:bottom w:val="single" w:sz="2" w:space="0" w:color="000000"/>
                          <w:right w:val="single" w:sz="2" w:space="0" w:color="000000"/>
                        </w:tcBorders>
                      </w:tcPr>
                      <w:p w14:paraId="242935CC" w14:textId="77777777" w:rsidR="00F65BCA" w:rsidRDefault="00F65BCA">
                        <w:pPr>
                          <w:pStyle w:val="TableParagraph"/>
                          <w:rPr>
                            <w:rFonts w:ascii="Calibri"/>
                            <w:sz w:val="2"/>
                          </w:rPr>
                        </w:pPr>
                      </w:p>
                      <w:p w14:paraId="5C01A53B" w14:textId="77777777" w:rsidR="00F65BCA" w:rsidRDefault="00F65BCA">
                        <w:pPr>
                          <w:pStyle w:val="TableParagraph"/>
                          <w:rPr>
                            <w:rFonts w:ascii="Calibri"/>
                            <w:sz w:val="2"/>
                          </w:rPr>
                        </w:pPr>
                      </w:p>
                      <w:p w14:paraId="462CA545" w14:textId="77777777" w:rsidR="00F65BCA" w:rsidRDefault="00F65BCA">
                        <w:pPr>
                          <w:pStyle w:val="TableParagraph"/>
                          <w:spacing w:before="10"/>
                          <w:rPr>
                            <w:rFonts w:ascii="Calibri"/>
                            <w:sz w:val="2"/>
                          </w:rPr>
                        </w:pPr>
                      </w:p>
                      <w:p w14:paraId="39CD23EE" w14:textId="77777777" w:rsidR="00F65BCA" w:rsidRDefault="00216117">
                        <w:pPr>
                          <w:pStyle w:val="TableParagraph"/>
                          <w:ind w:left="24" w:right="24"/>
                          <w:jc w:val="center"/>
                          <w:rPr>
                            <w:sz w:val="3"/>
                          </w:rPr>
                        </w:pPr>
                        <w:r>
                          <w:rPr>
                            <w:w w:val="105"/>
                            <w:sz w:val="3"/>
                          </w:rPr>
                          <w:t>1,33921368%</w:t>
                        </w:r>
                      </w:p>
                    </w:tc>
                    <w:tc>
                      <w:tcPr>
                        <w:tcW w:w="288" w:type="dxa"/>
                        <w:tcBorders>
                          <w:top w:val="single" w:sz="2" w:space="0" w:color="000000"/>
                          <w:left w:val="single" w:sz="2" w:space="0" w:color="000000"/>
                          <w:bottom w:val="single" w:sz="2" w:space="0" w:color="000000"/>
                          <w:right w:val="single" w:sz="2" w:space="0" w:color="000000"/>
                        </w:tcBorders>
                      </w:tcPr>
                      <w:p w14:paraId="0DE82F77" w14:textId="77777777" w:rsidR="00F65BCA" w:rsidRDefault="00F65BCA">
                        <w:pPr>
                          <w:pStyle w:val="TableParagraph"/>
                          <w:rPr>
                            <w:rFonts w:ascii="Calibri"/>
                            <w:sz w:val="2"/>
                          </w:rPr>
                        </w:pPr>
                      </w:p>
                      <w:p w14:paraId="1F719F15" w14:textId="77777777" w:rsidR="00F65BCA" w:rsidRDefault="00F65BCA">
                        <w:pPr>
                          <w:pStyle w:val="TableParagraph"/>
                          <w:rPr>
                            <w:rFonts w:ascii="Calibri"/>
                            <w:sz w:val="2"/>
                          </w:rPr>
                        </w:pPr>
                      </w:p>
                      <w:p w14:paraId="64F09A9B" w14:textId="77777777" w:rsidR="00F65BCA" w:rsidRDefault="00F65BCA">
                        <w:pPr>
                          <w:pStyle w:val="TableParagraph"/>
                          <w:spacing w:before="10"/>
                          <w:rPr>
                            <w:rFonts w:ascii="Calibri"/>
                            <w:sz w:val="2"/>
                          </w:rPr>
                        </w:pPr>
                      </w:p>
                      <w:p w14:paraId="7D680C10"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1BA3C743" w14:textId="77777777" w:rsidR="00F65BCA" w:rsidRDefault="00F65BCA">
                        <w:pPr>
                          <w:pStyle w:val="TableParagraph"/>
                          <w:rPr>
                            <w:rFonts w:ascii="Calibri"/>
                            <w:sz w:val="2"/>
                          </w:rPr>
                        </w:pPr>
                      </w:p>
                      <w:p w14:paraId="75201C25" w14:textId="77777777" w:rsidR="00F65BCA" w:rsidRDefault="00F65BCA">
                        <w:pPr>
                          <w:pStyle w:val="TableParagraph"/>
                          <w:rPr>
                            <w:rFonts w:ascii="Calibri"/>
                            <w:sz w:val="2"/>
                          </w:rPr>
                        </w:pPr>
                      </w:p>
                      <w:p w14:paraId="6BE4AA3B" w14:textId="77777777" w:rsidR="00F65BCA" w:rsidRDefault="00F65BCA">
                        <w:pPr>
                          <w:pStyle w:val="TableParagraph"/>
                          <w:spacing w:before="10"/>
                          <w:rPr>
                            <w:rFonts w:ascii="Calibri"/>
                            <w:sz w:val="2"/>
                          </w:rPr>
                        </w:pPr>
                      </w:p>
                      <w:p w14:paraId="3E637DC3" w14:textId="77777777" w:rsidR="00F65BCA" w:rsidRDefault="00216117">
                        <w:pPr>
                          <w:pStyle w:val="TableParagraph"/>
                          <w:ind w:left="24" w:right="24"/>
                          <w:jc w:val="center"/>
                          <w:rPr>
                            <w:sz w:val="3"/>
                          </w:rPr>
                        </w:pPr>
                        <w:r>
                          <w:rPr>
                            <w:w w:val="105"/>
                            <w:sz w:val="3"/>
                          </w:rPr>
                          <w:t>1,19873672%</w:t>
                        </w:r>
                      </w:p>
                    </w:tc>
                    <w:tc>
                      <w:tcPr>
                        <w:tcW w:w="288" w:type="dxa"/>
                        <w:tcBorders>
                          <w:top w:val="single" w:sz="2" w:space="0" w:color="000000"/>
                          <w:left w:val="single" w:sz="2" w:space="0" w:color="000000"/>
                          <w:bottom w:val="single" w:sz="2" w:space="0" w:color="000000"/>
                          <w:right w:val="single" w:sz="2" w:space="0" w:color="000000"/>
                        </w:tcBorders>
                      </w:tcPr>
                      <w:p w14:paraId="09DC8413" w14:textId="77777777" w:rsidR="00F65BCA" w:rsidRDefault="00F65BCA">
                        <w:pPr>
                          <w:pStyle w:val="TableParagraph"/>
                          <w:rPr>
                            <w:rFonts w:ascii="Calibri"/>
                            <w:sz w:val="2"/>
                          </w:rPr>
                        </w:pPr>
                      </w:p>
                      <w:p w14:paraId="6BC38565" w14:textId="77777777" w:rsidR="00F65BCA" w:rsidRDefault="00F65BCA">
                        <w:pPr>
                          <w:pStyle w:val="TableParagraph"/>
                          <w:rPr>
                            <w:rFonts w:ascii="Calibri"/>
                            <w:sz w:val="2"/>
                          </w:rPr>
                        </w:pPr>
                      </w:p>
                      <w:p w14:paraId="46E1723F" w14:textId="77777777" w:rsidR="00F65BCA" w:rsidRDefault="00F65BCA">
                        <w:pPr>
                          <w:pStyle w:val="TableParagraph"/>
                          <w:spacing w:before="10"/>
                          <w:rPr>
                            <w:rFonts w:ascii="Calibri"/>
                            <w:sz w:val="2"/>
                          </w:rPr>
                        </w:pPr>
                      </w:p>
                      <w:p w14:paraId="51E8ACC8" w14:textId="77777777" w:rsidR="00F65BCA" w:rsidRDefault="00216117">
                        <w:pPr>
                          <w:pStyle w:val="TableParagraph"/>
                          <w:ind w:left="24" w:right="24"/>
                          <w:jc w:val="center"/>
                          <w:rPr>
                            <w:sz w:val="3"/>
                          </w:rPr>
                        </w:pPr>
                        <w:r>
                          <w:rPr>
                            <w:w w:val="105"/>
                            <w:sz w:val="3"/>
                          </w:rPr>
                          <w:t>1,11445055%</w:t>
                        </w:r>
                      </w:p>
                    </w:tc>
                    <w:tc>
                      <w:tcPr>
                        <w:tcW w:w="288" w:type="dxa"/>
                        <w:tcBorders>
                          <w:top w:val="single" w:sz="2" w:space="0" w:color="000000"/>
                          <w:left w:val="single" w:sz="2" w:space="0" w:color="000000"/>
                          <w:bottom w:val="single" w:sz="2" w:space="0" w:color="000000"/>
                          <w:right w:val="single" w:sz="2" w:space="0" w:color="000000"/>
                        </w:tcBorders>
                      </w:tcPr>
                      <w:p w14:paraId="663962F3" w14:textId="77777777" w:rsidR="00F65BCA" w:rsidRDefault="00F65BCA">
                        <w:pPr>
                          <w:pStyle w:val="TableParagraph"/>
                          <w:rPr>
                            <w:rFonts w:ascii="Calibri"/>
                            <w:sz w:val="2"/>
                          </w:rPr>
                        </w:pPr>
                      </w:p>
                      <w:p w14:paraId="4295EC81" w14:textId="77777777" w:rsidR="00F65BCA" w:rsidRDefault="00F65BCA">
                        <w:pPr>
                          <w:pStyle w:val="TableParagraph"/>
                          <w:rPr>
                            <w:rFonts w:ascii="Calibri"/>
                            <w:sz w:val="2"/>
                          </w:rPr>
                        </w:pPr>
                      </w:p>
                      <w:p w14:paraId="0C9EDDBE" w14:textId="77777777" w:rsidR="00F65BCA" w:rsidRDefault="00F65BCA">
                        <w:pPr>
                          <w:pStyle w:val="TableParagraph"/>
                          <w:spacing w:before="10"/>
                          <w:rPr>
                            <w:rFonts w:ascii="Calibri"/>
                            <w:sz w:val="2"/>
                          </w:rPr>
                        </w:pPr>
                      </w:p>
                      <w:p w14:paraId="45AD8370" w14:textId="77777777" w:rsidR="00F65BCA" w:rsidRDefault="00216117">
                        <w:pPr>
                          <w:pStyle w:val="TableParagraph"/>
                          <w:ind w:left="24" w:right="24"/>
                          <w:jc w:val="center"/>
                          <w:rPr>
                            <w:sz w:val="3"/>
                          </w:rPr>
                        </w:pPr>
                        <w:r>
                          <w:rPr>
                            <w:w w:val="105"/>
                            <w:sz w:val="3"/>
                          </w:rPr>
                          <w:t>1,03016437%</w:t>
                        </w:r>
                      </w:p>
                    </w:tc>
                    <w:tc>
                      <w:tcPr>
                        <w:tcW w:w="288" w:type="dxa"/>
                        <w:tcBorders>
                          <w:top w:val="single" w:sz="2" w:space="0" w:color="000000"/>
                          <w:left w:val="single" w:sz="2" w:space="0" w:color="000000"/>
                          <w:bottom w:val="single" w:sz="2" w:space="0" w:color="000000"/>
                          <w:right w:val="single" w:sz="2" w:space="0" w:color="000000"/>
                        </w:tcBorders>
                      </w:tcPr>
                      <w:p w14:paraId="2C98291E" w14:textId="77777777" w:rsidR="00F65BCA" w:rsidRDefault="00F65BCA">
                        <w:pPr>
                          <w:pStyle w:val="TableParagraph"/>
                          <w:rPr>
                            <w:rFonts w:ascii="Calibri"/>
                            <w:sz w:val="2"/>
                          </w:rPr>
                        </w:pPr>
                      </w:p>
                      <w:p w14:paraId="646E3E09" w14:textId="77777777" w:rsidR="00F65BCA" w:rsidRDefault="00F65BCA">
                        <w:pPr>
                          <w:pStyle w:val="TableParagraph"/>
                          <w:rPr>
                            <w:rFonts w:ascii="Calibri"/>
                            <w:sz w:val="2"/>
                          </w:rPr>
                        </w:pPr>
                      </w:p>
                      <w:p w14:paraId="744ECCD0" w14:textId="77777777" w:rsidR="00F65BCA" w:rsidRDefault="00F65BCA">
                        <w:pPr>
                          <w:pStyle w:val="TableParagraph"/>
                          <w:spacing w:before="10"/>
                          <w:rPr>
                            <w:rFonts w:ascii="Calibri"/>
                            <w:sz w:val="2"/>
                          </w:rPr>
                        </w:pPr>
                      </w:p>
                      <w:p w14:paraId="0E1436D6" w14:textId="77777777" w:rsidR="00F65BCA" w:rsidRDefault="00216117">
                        <w:pPr>
                          <w:pStyle w:val="TableParagraph"/>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3888592E" w14:textId="77777777" w:rsidR="00F65BCA" w:rsidRDefault="00F65BCA">
                        <w:pPr>
                          <w:pStyle w:val="TableParagraph"/>
                          <w:rPr>
                            <w:rFonts w:ascii="Calibri"/>
                            <w:sz w:val="2"/>
                          </w:rPr>
                        </w:pPr>
                      </w:p>
                      <w:p w14:paraId="61D1FE58" w14:textId="77777777" w:rsidR="00F65BCA" w:rsidRDefault="00F65BCA">
                        <w:pPr>
                          <w:pStyle w:val="TableParagraph"/>
                          <w:rPr>
                            <w:rFonts w:ascii="Calibri"/>
                            <w:sz w:val="2"/>
                          </w:rPr>
                        </w:pPr>
                      </w:p>
                      <w:p w14:paraId="50175E7E" w14:textId="77777777" w:rsidR="00F65BCA" w:rsidRDefault="00F65BCA">
                        <w:pPr>
                          <w:pStyle w:val="TableParagraph"/>
                          <w:spacing w:before="10"/>
                          <w:rPr>
                            <w:rFonts w:ascii="Calibri"/>
                            <w:sz w:val="2"/>
                          </w:rPr>
                        </w:pPr>
                      </w:p>
                      <w:p w14:paraId="2B90F086" w14:textId="77777777" w:rsidR="00F65BCA" w:rsidRDefault="00216117">
                        <w:pPr>
                          <w:pStyle w:val="TableParagraph"/>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72681BF8" w14:textId="77777777" w:rsidR="00F65BCA" w:rsidRDefault="00F65BCA">
                        <w:pPr>
                          <w:pStyle w:val="TableParagraph"/>
                          <w:rPr>
                            <w:rFonts w:ascii="Calibri"/>
                            <w:sz w:val="2"/>
                          </w:rPr>
                        </w:pPr>
                      </w:p>
                      <w:p w14:paraId="1F05EA63" w14:textId="77777777" w:rsidR="00F65BCA" w:rsidRDefault="00F65BCA">
                        <w:pPr>
                          <w:pStyle w:val="TableParagraph"/>
                          <w:rPr>
                            <w:rFonts w:ascii="Calibri"/>
                            <w:sz w:val="2"/>
                          </w:rPr>
                        </w:pPr>
                      </w:p>
                      <w:p w14:paraId="40FDA404" w14:textId="77777777" w:rsidR="00F65BCA" w:rsidRDefault="00F65BCA">
                        <w:pPr>
                          <w:pStyle w:val="TableParagraph"/>
                          <w:spacing w:before="10"/>
                          <w:rPr>
                            <w:rFonts w:ascii="Calibri"/>
                            <w:sz w:val="2"/>
                          </w:rPr>
                        </w:pPr>
                      </w:p>
                      <w:p w14:paraId="5D8A154D" w14:textId="77777777" w:rsidR="00F65BCA" w:rsidRDefault="00216117">
                        <w:pPr>
                          <w:pStyle w:val="TableParagraph"/>
                          <w:ind w:left="24" w:right="24"/>
                          <w:jc w:val="center"/>
                          <w:rPr>
                            <w:sz w:val="3"/>
                          </w:rPr>
                        </w:pPr>
                        <w:r>
                          <w:rPr>
                            <w:w w:val="105"/>
                            <w:sz w:val="3"/>
                          </w:rPr>
                          <w:t>1,12381568%</w:t>
                        </w:r>
                      </w:p>
                    </w:tc>
                    <w:tc>
                      <w:tcPr>
                        <w:tcW w:w="288" w:type="dxa"/>
                        <w:tcBorders>
                          <w:top w:val="single" w:sz="2" w:space="0" w:color="000000"/>
                          <w:left w:val="single" w:sz="2" w:space="0" w:color="000000"/>
                          <w:bottom w:val="single" w:sz="2" w:space="0" w:color="000000"/>
                          <w:right w:val="single" w:sz="2" w:space="0" w:color="000000"/>
                        </w:tcBorders>
                      </w:tcPr>
                      <w:p w14:paraId="156021BD" w14:textId="77777777" w:rsidR="00F65BCA" w:rsidRDefault="00F65BCA">
                        <w:pPr>
                          <w:pStyle w:val="TableParagraph"/>
                          <w:rPr>
                            <w:rFonts w:ascii="Calibri"/>
                            <w:sz w:val="2"/>
                          </w:rPr>
                        </w:pPr>
                      </w:p>
                      <w:p w14:paraId="23FAFF51" w14:textId="77777777" w:rsidR="00F65BCA" w:rsidRDefault="00F65BCA">
                        <w:pPr>
                          <w:pStyle w:val="TableParagraph"/>
                          <w:rPr>
                            <w:rFonts w:ascii="Calibri"/>
                            <w:sz w:val="2"/>
                          </w:rPr>
                        </w:pPr>
                      </w:p>
                      <w:p w14:paraId="6F218DFB" w14:textId="77777777" w:rsidR="00F65BCA" w:rsidRDefault="00F65BCA">
                        <w:pPr>
                          <w:pStyle w:val="TableParagraph"/>
                          <w:spacing w:before="10"/>
                          <w:rPr>
                            <w:rFonts w:ascii="Calibri"/>
                            <w:sz w:val="2"/>
                          </w:rPr>
                        </w:pPr>
                      </w:p>
                      <w:p w14:paraId="7550C1ED"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362CA918" w14:textId="77777777" w:rsidR="00F65BCA" w:rsidRDefault="00F65BCA">
                        <w:pPr>
                          <w:pStyle w:val="TableParagraph"/>
                          <w:rPr>
                            <w:rFonts w:ascii="Calibri"/>
                            <w:sz w:val="2"/>
                          </w:rPr>
                        </w:pPr>
                      </w:p>
                      <w:p w14:paraId="6A5FCB44" w14:textId="77777777" w:rsidR="00F65BCA" w:rsidRDefault="00F65BCA">
                        <w:pPr>
                          <w:pStyle w:val="TableParagraph"/>
                          <w:rPr>
                            <w:rFonts w:ascii="Calibri"/>
                            <w:sz w:val="2"/>
                          </w:rPr>
                        </w:pPr>
                      </w:p>
                      <w:p w14:paraId="7805EFD4" w14:textId="77777777" w:rsidR="00F65BCA" w:rsidRDefault="00F65BCA">
                        <w:pPr>
                          <w:pStyle w:val="TableParagraph"/>
                          <w:spacing w:before="10"/>
                          <w:rPr>
                            <w:rFonts w:ascii="Calibri"/>
                            <w:sz w:val="2"/>
                          </w:rPr>
                        </w:pPr>
                      </w:p>
                      <w:p w14:paraId="16CE8916"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0C6DC838" w14:textId="77777777" w:rsidR="00F65BCA" w:rsidRDefault="00F65BCA">
                        <w:pPr>
                          <w:pStyle w:val="TableParagraph"/>
                          <w:rPr>
                            <w:rFonts w:ascii="Calibri"/>
                            <w:sz w:val="2"/>
                          </w:rPr>
                        </w:pPr>
                      </w:p>
                      <w:p w14:paraId="6AA6BACC" w14:textId="77777777" w:rsidR="00F65BCA" w:rsidRDefault="00F65BCA">
                        <w:pPr>
                          <w:pStyle w:val="TableParagraph"/>
                          <w:rPr>
                            <w:rFonts w:ascii="Calibri"/>
                            <w:sz w:val="2"/>
                          </w:rPr>
                        </w:pPr>
                      </w:p>
                      <w:p w14:paraId="195915A1" w14:textId="77777777" w:rsidR="00F65BCA" w:rsidRDefault="00F65BCA">
                        <w:pPr>
                          <w:pStyle w:val="TableParagraph"/>
                          <w:spacing w:before="10"/>
                          <w:rPr>
                            <w:rFonts w:ascii="Calibri"/>
                            <w:sz w:val="2"/>
                          </w:rPr>
                        </w:pPr>
                      </w:p>
                      <w:p w14:paraId="099F7C16" w14:textId="77777777" w:rsidR="00F65BCA" w:rsidRDefault="00216117">
                        <w:pPr>
                          <w:pStyle w:val="TableParagraph"/>
                          <w:ind w:left="24" w:right="24"/>
                          <w:jc w:val="center"/>
                          <w:rPr>
                            <w:sz w:val="3"/>
                          </w:rPr>
                        </w:pPr>
                        <w:r>
                          <w:rPr>
                            <w:w w:val="105"/>
                            <w:sz w:val="3"/>
                          </w:rPr>
                          <w:t>1,40476960%</w:t>
                        </w:r>
                      </w:p>
                    </w:tc>
                  </w:tr>
                  <w:tr w:rsidR="00F65BCA" w14:paraId="328A9F7D" w14:textId="77777777">
                    <w:trPr>
                      <w:trHeight w:val="371"/>
                    </w:trPr>
                    <w:tc>
                      <w:tcPr>
                        <w:tcW w:w="526" w:type="dxa"/>
                        <w:vMerge/>
                        <w:tcBorders>
                          <w:top w:val="nil"/>
                          <w:left w:val="single" w:sz="2" w:space="0" w:color="000000"/>
                          <w:bottom w:val="single" w:sz="2" w:space="0" w:color="000000"/>
                          <w:right w:val="single" w:sz="2" w:space="0" w:color="000000"/>
                        </w:tcBorders>
                        <w:shd w:val="clear" w:color="auto" w:fill="FCE4D6"/>
                      </w:tcPr>
                      <w:p w14:paraId="20CC096C"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4E923FB0" w14:textId="77777777" w:rsidR="00F65BCA" w:rsidRDefault="00F65BCA">
                        <w:pPr>
                          <w:pStyle w:val="TableParagraph"/>
                          <w:rPr>
                            <w:rFonts w:ascii="Calibri"/>
                            <w:sz w:val="2"/>
                          </w:rPr>
                        </w:pPr>
                      </w:p>
                      <w:p w14:paraId="5BA21967" w14:textId="77777777" w:rsidR="00F65BCA" w:rsidRDefault="00F65BCA">
                        <w:pPr>
                          <w:pStyle w:val="TableParagraph"/>
                          <w:rPr>
                            <w:rFonts w:ascii="Calibri"/>
                            <w:sz w:val="2"/>
                          </w:rPr>
                        </w:pPr>
                      </w:p>
                      <w:p w14:paraId="74B575C8" w14:textId="77777777" w:rsidR="00F65BCA" w:rsidRDefault="00216117">
                        <w:pPr>
                          <w:pStyle w:val="TableParagraph"/>
                          <w:spacing w:before="1" w:line="283" w:lineRule="auto"/>
                          <w:ind w:left="6" w:right="4" w:firstLine="2"/>
                          <w:jc w:val="center"/>
                          <w:rPr>
                            <w:sz w:val="3"/>
                          </w:rPr>
                        </w:pPr>
                        <w:r>
                          <w:rPr>
                            <w:w w:val="105"/>
                            <w:sz w:val="3"/>
                          </w:rPr>
                          <w:t>Aero; Ariel; Asia; Aston Martin; Attack; Audi; Austin; Autobianchi; Auverland; Avia; Bentley; Bitter; BMW; BMW Alpina; Brilliance; Buick; Cadillac; Caterham; Daimler Company; Dodge; Eagle; Ferrari; Fisker; Geo; Gillet; GMC; Gonow; Gordon; Great Wall; Honker; Hotrod; Hummer; Chrysler;</w:t>
                        </w:r>
                        <w:r>
                          <w:rPr>
                            <w:spacing w:val="-3"/>
                            <w:w w:val="105"/>
                            <w:sz w:val="3"/>
                          </w:rPr>
                          <w:t xml:space="preserve"> </w:t>
                        </w:r>
                        <w:r>
                          <w:rPr>
                            <w:w w:val="105"/>
                            <w:sz w:val="3"/>
                          </w:rPr>
                          <w:t>Infiniti;</w:t>
                        </w:r>
                        <w:r>
                          <w:rPr>
                            <w:spacing w:val="-3"/>
                            <w:w w:val="105"/>
                            <w:sz w:val="3"/>
                          </w:rPr>
                          <w:t xml:space="preserve"> </w:t>
                        </w:r>
                        <w:r>
                          <w:rPr>
                            <w:w w:val="105"/>
                            <w:sz w:val="3"/>
                          </w:rPr>
                          <w:t>Jaguar;</w:t>
                        </w:r>
                        <w:r>
                          <w:rPr>
                            <w:spacing w:val="-3"/>
                            <w:w w:val="105"/>
                            <w:sz w:val="3"/>
                          </w:rPr>
                          <w:t xml:space="preserve"> </w:t>
                        </w:r>
                        <w:r>
                          <w:rPr>
                            <w:w w:val="105"/>
                            <w:sz w:val="3"/>
                          </w:rPr>
                          <w:t>Jeep;</w:t>
                        </w:r>
                        <w:r>
                          <w:rPr>
                            <w:spacing w:val="-3"/>
                            <w:w w:val="105"/>
                            <w:sz w:val="3"/>
                          </w:rPr>
                          <w:t xml:space="preserve"> </w:t>
                        </w:r>
                        <w:r>
                          <w:rPr>
                            <w:w w:val="105"/>
                            <w:sz w:val="3"/>
                          </w:rPr>
                          <w:t>K1;</w:t>
                        </w:r>
                        <w:r>
                          <w:rPr>
                            <w:spacing w:val="-3"/>
                            <w:w w:val="105"/>
                            <w:sz w:val="3"/>
                          </w:rPr>
                          <w:t xml:space="preserve"> </w:t>
                        </w:r>
                        <w:r>
                          <w:rPr>
                            <w:w w:val="105"/>
                            <w:sz w:val="3"/>
                          </w:rPr>
                          <w:t>Kaipan;</w:t>
                        </w:r>
                        <w:r>
                          <w:rPr>
                            <w:spacing w:val="-3"/>
                            <w:w w:val="105"/>
                            <w:sz w:val="3"/>
                          </w:rPr>
                          <w:t xml:space="preserve"> </w:t>
                        </w:r>
                        <w:r>
                          <w:rPr>
                            <w:w w:val="105"/>
                            <w:sz w:val="3"/>
                          </w:rPr>
                          <w:t>Kiefer; Ladog; Lamborghini; Lancia; Land Rover; Lexus; Lincoln; Lotus; Mahindra; Marcos; Martin Motors; Maserati;</w:t>
                        </w:r>
                        <w:r>
                          <w:rPr>
                            <w:spacing w:val="-3"/>
                            <w:w w:val="105"/>
                            <w:sz w:val="3"/>
                          </w:rPr>
                          <w:t xml:space="preserve"> </w:t>
                        </w:r>
                        <w:r>
                          <w:rPr>
                            <w:w w:val="105"/>
                            <w:sz w:val="3"/>
                          </w:rPr>
                          <w:t>Maybach;</w:t>
                        </w:r>
                        <w:r>
                          <w:rPr>
                            <w:spacing w:val="-2"/>
                            <w:w w:val="105"/>
                            <w:sz w:val="3"/>
                          </w:rPr>
                          <w:t xml:space="preserve"> </w:t>
                        </w:r>
                        <w:r>
                          <w:rPr>
                            <w:w w:val="105"/>
                            <w:sz w:val="3"/>
                          </w:rPr>
                          <w:t>McLaren;</w:t>
                        </w:r>
                        <w:r>
                          <w:rPr>
                            <w:spacing w:val="-2"/>
                            <w:w w:val="105"/>
                            <w:sz w:val="3"/>
                          </w:rPr>
                          <w:t xml:space="preserve"> </w:t>
                        </w:r>
                        <w:r>
                          <w:rPr>
                            <w:w w:val="105"/>
                            <w:sz w:val="3"/>
                          </w:rPr>
                          <w:t>Mega;</w:t>
                        </w:r>
                        <w:r>
                          <w:rPr>
                            <w:spacing w:val="-2"/>
                            <w:w w:val="105"/>
                            <w:sz w:val="3"/>
                          </w:rPr>
                          <w:t xml:space="preserve"> </w:t>
                        </w:r>
                        <w:r>
                          <w:rPr>
                            <w:w w:val="105"/>
                            <w:sz w:val="3"/>
                          </w:rPr>
                          <w:t>Mercury;</w:t>
                        </w:r>
                        <w:r>
                          <w:rPr>
                            <w:spacing w:val="-2"/>
                            <w:w w:val="105"/>
                            <w:sz w:val="3"/>
                          </w:rPr>
                          <w:t xml:space="preserve"> </w:t>
                        </w:r>
                        <w:r>
                          <w:rPr>
                            <w:w w:val="105"/>
                            <w:sz w:val="3"/>
                          </w:rPr>
                          <w:t>MG; Morgan;</w:t>
                        </w:r>
                        <w:r>
                          <w:rPr>
                            <w:spacing w:val="-4"/>
                            <w:w w:val="105"/>
                            <w:sz w:val="3"/>
                          </w:rPr>
                          <w:t xml:space="preserve"> </w:t>
                        </w:r>
                        <w:r>
                          <w:rPr>
                            <w:w w:val="105"/>
                            <w:sz w:val="3"/>
                          </w:rPr>
                          <w:t>Moskvič;</w:t>
                        </w:r>
                        <w:r>
                          <w:rPr>
                            <w:spacing w:val="-3"/>
                            <w:w w:val="105"/>
                            <w:sz w:val="3"/>
                          </w:rPr>
                          <w:t xml:space="preserve"> </w:t>
                        </w:r>
                        <w:r>
                          <w:rPr>
                            <w:w w:val="105"/>
                            <w:sz w:val="3"/>
                          </w:rPr>
                          <w:t>Neuvedeno;</w:t>
                        </w:r>
                        <w:r>
                          <w:rPr>
                            <w:spacing w:val="-3"/>
                            <w:w w:val="105"/>
                            <w:sz w:val="3"/>
                          </w:rPr>
                          <w:t xml:space="preserve"> </w:t>
                        </w:r>
                        <w:r>
                          <w:rPr>
                            <w:w w:val="105"/>
                            <w:sz w:val="3"/>
                          </w:rPr>
                          <w:t>Oldsmobile;</w:t>
                        </w:r>
                        <w:r>
                          <w:rPr>
                            <w:spacing w:val="-3"/>
                            <w:w w:val="105"/>
                            <w:sz w:val="3"/>
                          </w:rPr>
                          <w:t xml:space="preserve"> </w:t>
                        </w:r>
                        <w:r>
                          <w:rPr>
                            <w:w w:val="105"/>
                            <w:sz w:val="3"/>
                          </w:rPr>
                          <w:t>PGO; Plymouth; Poběda; Pontiac; Porsche; Praga; Radical;</w:t>
                        </w:r>
                        <w:r>
                          <w:rPr>
                            <w:spacing w:val="-2"/>
                            <w:w w:val="105"/>
                            <w:sz w:val="3"/>
                          </w:rPr>
                          <w:t xml:space="preserve"> </w:t>
                        </w:r>
                        <w:r>
                          <w:rPr>
                            <w:w w:val="105"/>
                            <w:sz w:val="3"/>
                          </w:rPr>
                          <w:t>RAF;</w:t>
                        </w:r>
                        <w:r>
                          <w:rPr>
                            <w:spacing w:val="-2"/>
                            <w:w w:val="105"/>
                            <w:sz w:val="3"/>
                          </w:rPr>
                          <w:t xml:space="preserve"> </w:t>
                        </w:r>
                        <w:r>
                          <w:rPr>
                            <w:w w:val="105"/>
                            <w:sz w:val="3"/>
                          </w:rPr>
                          <w:t>Rolls</w:t>
                        </w:r>
                        <w:r>
                          <w:rPr>
                            <w:spacing w:val="-2"/>
                            <w:w w:val="105"/>
                            <w:sz w:val="3"/>
                          </w:rPr>
                          <w:t xml:space="preserve"> </w:t>
                        </w:r>
                        <w:r>
                          <w:rPr>
                            <w:w w:val="105"/>
                            <w:sz w:val="3"/>
                          </w:rPr>
                          <w:t>Royce;</w:t>
                        </w:r>
                        <w:r>
                          <w:rPr>
                            <w:spacing w:val="-1"/>
                            <w:w w:val="105"/>
                            <w:sz w:val="3"/>
                          </w:rPr>
                          <w:t xml:space="preserve"> </w:t>
                        </w:r>
                        <w:r>
                          <w:rPr>
                            <w:w w:val="105"/>
                            <w:sz w:val="3"/>
                          </w:rPr>
                          <w:t>SAM;</w:t>
                        </w:r>
                        <w:r>
                          <w:rPr>
                            <w:spacing w:val="-2"/>
                            <w:w w:val="105"/>
                            <w:sz w:val="3"/>
                          </w:rPr>
                          <w:t xml:space="preserve"> </w:t>
                        </w:r>
                        <w:r>
                          <w:rPr>
                            <w:w w:val="105"/>
                            <w:sz w:val="3"/>
                          </w:rPr>
                          <w:t>Santana;</w:t>
                        </w:r>
                        <w:r>
                          <w:rPr>
                            <w:spacing w:val="-2"/>
                            <w:w w:val="105"/>
                            <w:sz w:val="3"/>
                          </w:rPr>
                          <w:t xml:space="preserve"> </w:t>
                        </w:r>
                        <w:r>
                          <w:rPr>
                            <w:w w:val="105"/>
                            <w:sz w:val="3"/>
                          </w:rPr>
                          <w:t>Saturn; Shuanghuan;</w:t>
                        </w:r>
                        <w:r>
                          <w:rPr>
                            <w:spacing w:val="-5"/>
                            <w:w w:val="105"/>
                            <w:sz w:val="3"/>
                          </w:rPr>
                          <w:t xml:space="preserve"> </w:t>
                        </w:r>
                        <w:r>
                          <w:rPr>
                            <w:w w:val="105"/>
                            <w:sz w:val="3"/>
                          </w:rPr>
                          <w:t>Singer;</w:t>
                        </w:r>
                        <w:r>
                          <w:rPr>
                            <w:spacing w:val="-4"/>
                            <w:w w:val="105"/>
                            <w:sz w:val="3"/>
                          </w:rPr>
                          <w:t xml:space="preserve"> </w:t>
                        </w:r>
                        <w:r>
                          <w:rPr>
                            <w:w w:val="105"/>
                            <w:sz w:val="3"/>
                          </w:rPr>
                          <w:t>Spyker;</w:t>
                        </w:r>
                        <w:r>
                          <w:rPr>
                            <w:spacing w:val="-4"/>
                            <w:w w:val="105"/>
                            <w:sz w:val="3"/>
                          </w:rPr>
                          <w:t xml:space="preserve"> </w:t>
                        </w:r>
                        <w:r>
                          <w:rPr>
                            <w:w w:val="105"/>
                            <w:sz w:val="3"/>
                          </w:rPr>
                          <w:t>Tesla;</w:t>
                        </w:r>
                        <w:r>
                          <w:rPr>
                            <w:spacing w:val="-5"/>
                            <w:w w:val="105"/>
                            <w:sz w:val="3"/>
                          </w:rPr>
                          <w:t xml:space="preserve"> </w:t>
                        </w:r>
                        <w:r>
                          <w:rPr>
                            <w:w w:val="105"/>
                            <w:sz w:val="3"/>
                          </w:rPr>
                          <w:t>Thunderbold; Trabant; Triumph; Volha; Walter; Wanderer; Wartburg; Wiesmann;</w:t>
                        </w:r>
                        <w:r>
                          <w:rPr>
                            <w:spacing w:val="1"/>
                            <w:w w:val="105"/>
                            <w:sz w:val="3"/>
                          </w:rPr>
                          <w:t xml:space="preserve"> </w:t>
                        </w:r>
                        <w:r>
                          <w:rPr>
                            <w:w w:val="105"/>
                            <w:sz w:val="3"/>
                          </w:rPr>
                          <w:t>Yes</w:t>
                        </w:r>
                      </w:p>
                    </w:tc>
                    <w:tc>
                      <w:tcPr>
                        <w:tcW w:w="958" w:type="dxa"/>
                        <w:tcBorders>
                          <w:top w:val="single" w:sz="2" w:space="0" w:color="000000"/>
                          <w:left w:val="single" w:sz="2" w:space="0" w:color="000000"/>
                          <w:bottom w:val="single" w:sz="2" w:space="0" w:color="000000"/>
                          <w:right w:val="single" w:sz="2" w:space="0" w:color="000000"/>
                        </w:tcBorders>
                        <w:shd w:val="clear" w:color="auto" w:fill="FCE4D6"/>
                      </w:tcPr>
                      <w:p w14:paraId="7074730A" w14:textId="77777777" w:rsidR="00F65BCA" w:rsidRDefault="00F65BCA">
                        <w:pPr>
                          <w:pStyle w:val="TableParagraph"/>
                          <w:rPr>
                            <w:rFonts w:ascii="Calibri"/>
                            <w:sz w:val="2"/>
                          </w:rPr>
                        </w:pPr>
                      </w:p>
                      <w:p w14:paraId="3E6E2A5D" w14:textId="77777777" w:rsidR="00F65BCA" w:rsidRDefault="00F65BCA">
                        <w:pPr>
                          <w:pStyle w:val="TableParagraph"/>
                          <w:rPr>
                            <w:rFonts w:ascii="Calibri"/>
                            <w:sz w:val="2"/>
                          </w:rPr>
                        </w:pPr>
                      </w:p>
                      <w:p w14:paraId="235C02A3" w14:textId="77777777" w:rsidR="00F65BCA" w:rsidRDefault="00F65BCA">
                        <w:pPr>
                          <w:pStyle w:val="TableParagraph"/>
                          <w:rPr>
                            <w:rFonts w:ascii="Calibri"/>
                            <w:sz w:val="2"/>
                          </w:rPr>
                        </w:pPr>
                      </w:p>
                      <w:p w14:paraId="1BDDDA52" w14:textId="77777777" w:rsidR="00F65BCA" w:rsidRDefault="00F65BCA">
                        <w:pPr>
                          <w:pStyle w:val="TableParagraph"/>
                          <w:rPr>
                            <w:rFonts w:ascii="Calibri"/>
                            <w:sz w:val="2"/>
                          </w:rPr>
                        </w:pPr>
                      </w:p>
                      <w:p w14:paraId="290D2A9F" w14:textId="77777777" w:rsidR="00F65BCA" w:rsidRDefault="00F65BCA">
                        <w:pPr>
                          <w:pStyle w:val="TableParagraph"/>
                          <w:rPr>
                            <w:rFonts w:ascii="Calibri"/>
                            <w:sz w:val="2"/>
                          </w:rPr>
                        </w:pPr>
                      </w:p>
                      <w:p w14:paraId="7928DD64" w14:textId="77777777" w:rsidR="00F65BCA" w:rsidRDefault="00F65BCA">
                        <w:pPr>
                          <w:pStyle w:val="TableParagraph"/>
                          <w:rPr>
                            <w:rFonts w:ascii="Calibri"/>
                            <w:sz w:val="2"/>
                          </w:rPr>
                        </w:pPr>
                      </w:p>
                      <w:p w14:paraId="2FC2380B" w14:textId="77777777" w:rsidR="00F65BCA" w:rsidRDefault="00F65BCA">
                        <w:pPr>
                          <w:pStyle w:val="TableParagraph"/>
                          <w:rPr>
                            <w:rFonts w:ascii="Calibri"/>
                            <w:sz w:val="2"/>
                          </w:rPr>
                        </w:pPr>
                      </w:p>
                      <w:p w14:paraId="48ECDB6E" w14:textId="77777777" w:rsidR="00F65BCA" w:rsidRDefault="00216117">
                        <w:pPr>
                          <w:pStyle w:val="TableParagraph"/>
                          <w:ind w:left="1"/>
                          <w:jc w:val="center"/>
                          <w:rPr>
                            <w:sz w:val="3"/>
                          </w:rPr>
                        </w:pPr>
                        <w:r>
                          <w:rPr>
                            <w:w w:val="103"/>
                            <w:sz w:val="3"/>
                          </w:rPr>
                          <w: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1AAF835" w14:textId="77777777" w:rsidR="00F65BCA" w:rsidRDefault="00F65BCA">
                        <w:pPr>
                          <w:pStyle w:val="TableParagraph"/>
                          <w:rPr>
                            <w:rFonts w:ascii="Calibri"/>
                            <w:sz w:val="2"/>
                          </w:rPr>
                        </w:pPr>
                      </w:p>
                      <w:p w14:paraId="5700DCA6" w14:textId="77777777" w:rsidR="00F65BCA" w:rsidRDefault="00F65BCA">
                        <w:pPr>
                          <w:pStyle w:val="TableParagraph"/>
                          <w:rPr>
                            <w:rFonts w:ascii="Calibri"/>
                            <w:sz w:val="2"/>
                          </w:rPr>
                        </w:pPr>
                      </w:p>
                      <w:p w14:paraId="571DAC83" w14:textId="77777777" w:rsidR="00F65BCA" w:rsidRDefault="00F65BCA">
                        <w:pPr>
                          <w:pStyle w:val="TableParagraph"/>
                          <w:rPr>
                            <w:rFonts w:ascii="Calibri"/>
                            <w:sz w:val="2"/>
                          </w:rPr>
                        </w:pPr>
                      </w:p>
                      <w:p w14:paraId="2870001F" w14:textId="77777777" w:rsidR="00F65BCA" w:rsidRDefault="00F65BCA">
                        <w:pPr>
                          <w:pStyle w:val="TableParagraph"/>
                          <w:rPr>
                            <w:rFonts w:ascii="Calibri"/>
                            <w:sz w:val="2"/>
                          </w:rPr>
                        </w:pPr>
                      </w:p>
                      <w:p w14:paraId="6BC179A1" w14:textId="77777777" w:rsidR="00F65BCA" w:rsidRDefault="00F65BCA">
                        <w:pPr>
                          <w:pStyle w:val="TableParagraph"/>
                          <w:rPr>
                            <w:rFonts w:ascii="Calibri"/>
                            <w:sz w:val="2"/>
                          </w:rPr>
                        </w:pPr>
                      </w:p>
                      <w:p w14:paraId="7864038E" w14:textId="77777777" w:rsidR="00F65BCA" w:rsidRDefault="00F65BCA">
                        <w:pPr>
                          <w:pStyle w:val="TableParagraph"/>
                          <w:rPr>
                            <w:rFonts w:ascii="Calibri"/>
                            <w:sz w:val="2"/>
                          </w:rPr>
                        </w:pPr>
                      </w:p>
                      <w:p w14:paraId="2FE95859" w14:textId="77777777" w:rsidR="00F65BCA" w:rsidRDefault="00F65BCA">
                        <w:pPr>
                          <w:pStyle w:val="TableParagraph"/>
                          <w:rPr>
                            <w:rFonts w:ascii="Calibri"/>
                            <w:sz w:val="2"/>
                          </w:rPr>
                        </w:pPr>
                      </w:p>
                      <w:p w14:paraId="25EF0841"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E1C68BF" w14:textId="77777777" w:rsidR="00F65BCA" w:rsidRDefault="00F65BCA">
                        <w:pPr>
                          <w:pStyle w:val="TableParagraph"/>
                          <w:rPr>
                            <w:rFonts w:ascii="Calibri"/>
                            <w:sz w:val="2"/>
                          </w:rPr>
                        </w:pPr>
                      </w:p>
                      <w:p w14:paraId="02EB5E01" w14:textId="77777777" w:rsidR="00F65BCA" w:rsidRDefault="00F65BCA">
                        <w:pPr>
                          <w:pStyle w:val="TableParagraph"/>
                          <w:rPr>
                            <w:rFonts w:ascii="Calibri"/>
                            <w:sz w:val="2"/>
                          </w:rPr>
                        </w:pPr>
                      </w:p>
                      <w:p w14:paraId="1A81EE15" w14:textId="77777777" w:rsidR="00F65BCA" w:rsidRDefault="00F65BCA">
                        <w:pPr>
                          <w:pStyle w:val="TableParagraph"/>
                          <w:rPr>
                            <w:rFonts w:ascii="Calibri"/>
                            <w:sz w:val="2"/>
                          </w:rPr>
                        </w:pPr>
                      </w:p>
                      <w:p w14:paraId="05976B6F" w14:textId="77777777" w:rsidR="00F65BCA" w:rsidRDefault="00F65BCA">
                        <w:pPr>
                          <w:pStyle w:val="TableParagraph"/>
                          <w:rPr>
                            <w:rFonts w:ascii="Calibri"/>
                            <w:sz w:val="2"/>
                          </w:rPr>
                        </w:pPr>
                      </w:p>
                      <w:p w14:paraId="1D01369A" w14:textId="77777777" w:rsidR="00F65BCA" w:rsidRDefault="00F65BCA">
                        <w:pPr>
                          <w:pStyle w:val="TableParagraph"/>
                          <w:rPr>
                            <w:rFonts w:ascii="Calibri"/>
                            <w:sz w:val="2"/>
                          </w:rPr>
                        </w:pPr>
                      </w:p>
                      <w:p w14:paraId="52986B0A" w14:textId="77777777" w:rsidR="00F65BCA" w:rsidRDefault="00F65BCA">
                        <w:pPr>
                          <w:pStyle w:val="TableParagraph"/>
                          <w:rPr>
                            <w:rFonts w:ascii="Calibri"/>
                            <w:sz w:val="2"/>
                          </w:rPr>
                        </w:pPr>
                      </w:p>
                      <w:p w14:paraId="3C4F4835" w14:textId="77777777" w:rsidR="00F65BCA" w:rsidRDefault="00F65BCA">
                        <w:pPr>
                          <w:pStyle w:val="TableParagraph"/>
                          <w:rPr>
                            <w:rFonts w:ascii="Calibri"/>
                            <w:sz w:val="2"/>
                          </w:rPr>
                        </w:pPr>
                      </w:p>
                      <w:p w14:paraId="4891F078"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21C315EB"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42CA88B" w14:textId="77777777" w:rsidR="00F65BCA" w:rsidRDefault="00F65BCA">
                        <w:pPr>
                          <w:pStyle w:val="TableParagraph"/>
                          <w:rPr>
                            <w:rFonts w:ascii="Calibri"/>
                            <w:sz w:val="2"/>
                          </w:rPr>
                        </w:pPr>
                      </w:p>
                      <w:p w14:paraId="504AC3F9" w14:textId="77777777" w:rsidR="00F65BCA" w:rsidRDefault="00F65BCA">
                        <w:pPr>
                          <w:pStyle w:val="TableParagraph"/>
                          <w:rPr>
                            <w:rFonts w:ascii="Calibri"/>
                            <w:sz w:val="2"/>
                          </w:rPr>
                        </w:pPr>
                      </w:p>
                      <w:p w14:paraId="5F4CFB60" w14:textId="77777777" w:rsidR="00F65BCA" w:rsidRDefault="00F65BCA">
                        <w:pPr>
                          <w:pStyle w:val="TableParagraph"/>
                          <w:rPr>
                            <w:rFonts w:ascii="Calibri"/>
                            <w:sz w:val="2"/>
                          </w:rPr>
                        </w:pPr>
                      </w:p>
                      <w:p w14:paraId="27547C80" w14:textId="77777777" w:rsidR="00F65BCA" w:rsidRDefault="00F65BCA">
                        <w:pPr>
                          <w:pStyle w:val="TableParagraph"/>
                          <w:rPr>
                            <w:rFonts w:ascii="Calibri"/>
                            <w:sz w:val="2"/>
                          </w:rPr>
                        </w:pPr>
                      </w:p>
                      <w:p w14:paraId="6F39002E" w14:textId="77777777" w:rsidR="00F65BCA" w:rsidRDefault="00F65BCA">
                        <w:pPr>
                          <w:pStyle w:val="TableParagraph"/>
                          <w:rPr>
                            <w:rFonts w:ascii="Calibri"/>
                            <w:sz w:val="2"/>
                          </w:rPr>
                        </w:pPr>
                      </w:p>
                      <w:p w14:paraId="78C8E210" w14:textId="77777777" w:rsidR="00F65BCA" w:rsidRDefault="00F65BCA">
                        <w:pPr>
                          <w:pStyle w:val="TableParagraph"/>
                          <w:rPr>
                            <w:rFonts w:ascii="Calibri"/>
                            <w:sz w:val="2"/>
                          </w:rPr>
                        </w:pPr>
                      </w:p>
                      <w:p w14:paraId="4D957BAB" w14:textId="77777777" w:rsidR="00F65BCA" w:rsidRDefault="00F65BCA">
                        <w:pPr>
                          <w:pStyle w:val="TableParagraph"/>
                          <w:rPr>
                            <w:rFonts w:ascii="Calibri"/>
                            <w:sz w:val="2"/>
                          </w:rPr>
                        </w:pPr>
                      </w:p>
                      <w:p w14:paraId="7AB632B3" w14:textId="77777777" w:rsidR="00F65BCA" w:rsidRDefault="00216117">
                        <w:pPr>
                          <w:pStyle w:val="TableParagraph"/>
                          <w:ind w:left="24" w:right="24"/>
                          <w:jc w:val="center"/>
                          <w:rPr>
                            <w:sz w:val="3"/>
                          </w:rPr>
                        </w:pPr>
                        <w:r>
                          <w:rPr>
                            <w:w w:val="105"/>
                            <w:sz w:val="3"/>
                          </w:rPr>
                          <w:t>1,79088000%</w:t>
                        </w:r>
                      </w:p>
                    </w:tc>
                    <w:tc>
                      <w:tcPr>
                        <w:tcW w:w="288" w:type="dxa"/>
                        <w:tcBorders>
                          <w:top w:val="single" w:sz="2" w:space="0" w:color="000000"/>
                          <w:left w:val="single" w:sz="2" w:space="0" w:color="000000"/>
                          <w:bottom w:val="single" w:sz="2" w:space="0" w:color="000000"/>
                          <w:right w:val="single" w:sz="2" w:space="0" w:color="000000"/>
                        </w:tcBorders>
                      </w:tcPr>
                      <w:p w14:paraId="3AC3E63A" w14:textId="77777777" w:rsidR="00F65BCA" w:rsidRDefault="00F65BCA">
                        <w:pPr>
                          <w:pStyle w:val="TableParagraph"/>
                          <w:rPr>
                            <w:rFonts w:ascii="Calibri"/>
                            <w:sz w:val="2"/>
                          </w:rPr>
                        </w:pPr>
                      </w:p>
                      <w:p w14:paraId="086419D0" w14:textId="77777777" w:rsidR="00F65BCA" w:rsidRDefault="00F65BCA">
                        <w:pPr>
                          <w:pStyle w:val="TableParagraph"/>
                          <w:rPr>
                            <w:rFonts w:ascii="Calibri"/>
                            <w:sz w:val="2"/>
                          </w:rPr>
                        </w:pPr>
                      </w:p>
                      <w:p w14:paraId="033EF2C5" w14:textId="77777777" w:rsidR="00F65BCA" w:rsidRDefault="00F65BCA">
                        <w:pPr>
                          <w:pStyle w:val="TableParagraph"/>
                          <w:rPr>
                            <w:rFonts w:ascii="Calibri"/>
                            <w:sz w:val="2"/>
                          </w:rPr>
                        </w:pPr>
                      </w:p>
                      <w:p w14:paraId="20F41781" w14:textId="77777777" w:rsidR="00F65BCA" w:rsidRDefault="00F65BCA">
                        <w:pPr>
                          <w:pStyle w:val="TableParagraph"/>
                          <w:rPr>
                            <w:rFonts w:ascii="Calibri"/>
                            <w:sz w:val="2"/>
                          </w:rPr>
                        </w:pPr>
                      </w:p>
                      <w:p w14:paraId="4F368296" w14:textId="77777777" w:rsidR="00F65BCA" w:rsidRDefault="00F65BCA">
                        <w:pPr>
                          <w:pStyle w:val="TableParagraph"/>
                          <w:rPr>
                            <w:rFonts w:ascii="Calibri"/>
                            <w:sz w:val="2"/>
                          </w:rPr>
                        </w:pPr>
                      </w:p>
                      <w:p w14:paraId="793C9359" w14:textId="77777777" w:rsidR="00F65BCA" w:rsidRDefault="00F65BCA">
                        <w:pPr>
                          <w:pStyle w:val="TableParagraph"/>
                          <w:rPr>
                            <w:rFonts w:ascii="Calibri"/>
                            <w:sz w:val="2"/>
                          </w:rPr>
                        </w:pPr>
                      </w:p>
                      <w:p w14:paraId="23EDBBE3" w14:textId="77777777" w:rsidR="00F65BCA" w:rsidRDefault="00F65BCA">
                        <w:pPr>
                          <w:pStyle w:val="TableParagraph"/>
                          <w:rPr>
                            <w:rFonts w:ascii="Calibri"/>
                            <w:sz w:val="2"/>
                          </w:rPr>
                        </w:pPr>
                      </w:p>
                      <w:p w14:paraId="724DC55C" w14:textId="77777777" w:rsidR="00F65BCA" w:rsidRDefault="00216117">
                        <w:pPr>
                          <w:pStyle w:val="TableParagraph"/>
                          <w:ind w:left="24" w:right="24"/>
                          <w:jc w:val="center"/>
                          <w:rPr>
                            <w:sz w:val="3"/>
                          </w:rPr>
                        </w:pPr>
                        <w:r>
                          <w:rPr>
                            <w:w w:val="105"/>
                            <w:sz w:val="3"/>
                          </w:rPr>
                          <w:t>1,67895000%</w:t>
                        </w:r>
                      </w:p>
                    </w:tc>
                    <w:tc>
                      <w:tcPr>
                        <w:tcW w:w="288" w:type="dxa"/>
                        <w:tcBorders>
                          <w:top w:val="single" w:sz="2" w:space="0" w:color="000000"/>
                          <w:left w:val="single" w:sz="2" w:space="0" w:color="000000"/>
                          <w:bottom w:val="single" w:sz="2" w:space="0" w:color="000000"/>
                          <w:right w:val="single" w:sz="2" w:space="0" w:color="000000"/>
                        </w:tcBorders>
                      </w:tcPr>
                      <w:p w14:paraId="2C9948B8" w14:textId="77777777" w:rsidR="00F65BCA" w:rsidRDefault="00F65BCA">
                        <w:pPr>
                          <w:pStyle w:val="TableParagraph"/>
                          <w:rPr>
                            <w:rFonts w:ascii="Calibri"/>
                            <w:sz w:val="2"/>
                          </w:rPr>
                        </w:pPr>
                      </w:p>
                      <w:p w14:paraId="0F877CB6" w14:textId="77777777" w:rsidR="00F65BCA" w:rsidRDefault="00F65BCA">
                        <w:pPr>
                          <w:pStyle w:val="TableParagraph"/>
                          <w:rPr>
                            <w:rFonts w:ascii="Calibri"/>
                            <w:sz w:val="2"/>
                          </w:rPr>
                        </w:pPr>
                      </w:p>
                      <w:p w14:paraId="5BC7F8A1" w14:textId="77777777" w:rsidR="00F65BCA" w:rsidRDefault="00F65BCA">
                        <w:pPr>
                          <w:pStyle w:val="TableParagraph"/>
                          <w:rPr>
                            <w:rFonts w:ascii="Calibri"/>
                            <w:sz w:val="2"/>
                          </w:rPr>
                        </w:pPr>
                      </w:p>
                      <w:p w14:paraId="219A2044" w14:textId="77777777" w:rsidR="00F65BCA" w:rsidRDefault="00F65BCA">
                        <w:pPr>
                          <w:pStyle w:val="TableParagraph"/>
                          <w:rPr>
                            <w:rFonts w:ascii="Calibri"/>
                            <w:sz w:val="2"/>
                          </w:rPr>
                        </w:pPr>
                      </w:p>
                      <w:p w14:paraId="30D49A22" w14:textId="77777777" w:rsidR="00F65BCA" w:rsidRDefault="00F65BCA">
                        <w:pPr>
                          <w:pStyle w:val="TableParagraph"/>
                          <w:rPr>
                            <w:rFonts w:ascii="Calibri"/>
                            <w:sz w:val="2"/>
                          </w:rPr>
                        </w:pPr>
                      </w:p>
                      <w:p w14:paraId="6729E47D" w14:textId="77777777" w:rsidR="00F65BCA" w:rsidRDefault="00F65BCA">
                        <w:pPr>
                          <w:pStyle w:val="TableParagraph"/>
                          <w:rPr>
                            <w:rFonts w:ascii="Calibri"/>
                            <w:sz w:val="2"/>
                          </w:rPr>
                        </w:pPr>
                      </w:p>
                      <w:p w14:paraId="4D2F7CF4" w14:textId="77777777" w:rsidR="00F65BCA" w:rsidRDefault="00F65BCA">
                        <w:pPr>
                          <w:pStyle w:val="TableParagraph"/>
                          <w:rPr>
                            <w:rFonts w:ascii="Calibri"/>
                            <w:sz w:val="2"/>
                          </w:rPr>
                        </w:pPr>
                      </w:p>
                      <w:p w14:paraId="31D98BE9" w14:textId="77777777" w:rsidR="00F65BCA" w:rsidRDefault="00216117">
                        <w:pPr>
                          <w:pStyle w:val="TableParagraph"/>
                          <w:ind w:left="24" w:right="24"/>
                          <w:jc w:val="center"/>
                          <w:rPr>
                            <w:sz w:val="3"/>
                          </w:rPr>
                        </w:pPr>
                        <w:r>
                          <w:rPr>
                            <w:w w:val="105"/>
                            <w:sz w:val="3"/>
                          </w:rPr>
                          <w:t>1,60059900%</w:t>
                        </w:r>
                      </w:p>
                    </w:tc>
                    <w:tc>
                      <w:tcPr>
                        <w:tcW w:w="288" w:type="dxa"/>
                        <w:tcBorders>
                          <w:top w:val="single" w:sz="2" w:space="0" w:color="000000"/>
                          <w:left w:val="single" w:sz="2" w:space="0" w:color="000000"/>
                          <w:bottom w:val="single" w:sz="2" w:space="0" w:color="000000"/>
                          <w:right w:val="single" w:sz="2" w:space="0" w:color="000000"/>
                        </w:tcBorders>
                      </w:tcPr>
                      <w:p w14:paraId="01D9395F" w14:textId="77777777" w:rsidR="00F65BCA" w:rsidRDefault="00F65BCA">
                        <w:pPr>
                          <w:pStyle w:val="TableParagraph"/>
                          <w:rPr>
                            <w:rFonts w:ascii="Calibri"/>
                            <w:sz w:val="2"/>
                          </w:rPr>
                        </w:pPr>
                      </w:p>
                      <w:p w14:paraId="057AAF2E" w14:textId="77777777" w:rsidR="00F65BCA" w:rsidRDefault="00F65BCA">
                        <w:pPr>
                          <w:pStyle w:val="TableParagraph"/>
                          <w:rPr>
                            <w:rFonts w:ascii="Calibri"/>
                            <w:sz w:val="2"/>
                          </w:rPr>
                        </w:pPr>
                      </w:p>
                      <w:p w14:paraId="4E9F3DFF" w14:textId="77777777" w:rsidR="00F65BCA" w:rsidRDefault="00F65BCA">
                        <w:pPr>
                          <w:pStyle w:val="TableParagraph"/>
                          <w:rPr>
                            <w:rFonts w:ascii="Calibri"/>
                            <w:sz w:val="2"/>
                          </w:rPr>
                        </w:pPr>
                      </w:p>
                      <w:p w14:paraId="4E1A38A4" w14:textId="77777777" w:rsidR="00F65BCA" w:rsidRDefault="00F65BCA">
                        <w:pPr>
                          <w:pStyle w:val="TableParagraph"/>
                          <w:rPr>
                            <w:rFonts w:ascii="Calibri"/>
                            <w:sz w:val="2"/>
                          </w:rPr>
                        </w:pPr>
                      </w:p>
                      <w:p w14:paraId="5EFBD467" w14:textId="77777777" w:rsidR="00F65BCA" w:rsidRDefault="00F65BCA">
                        <w:pPr>
                          <w:pStyle w:val="TableParagraph"/>
                          <w:rPr>
                            <w:rFonts w:ascii="Calibri"/>
                            <w:sz w:val="2"/>
                          </w:rPr>
                        </w:pPr>
                      </w:p>
                      <w:p w14:paraId="7E1051AD" w14:textId="77777777" w:rsidR="00F65BCA" w:rsidRDefault="00F65BCA">
                        <w:pPr>
                          <w:pStyle w:val="TableParagraph"/>
                          <w:rPr>
                            <w:rFonts w:ascii="Calibri"/>
                            <w:sz w:val="2"/>
                          </w:rPr>
                        </w:pPr>
                      </w:p>
                      <w:p w14:paraId="531A4704" w14:textId="77777777" w:rsidR="00F65BCA" w:rsidRDefault="00F65BCA">
                        <w:pPr>
                          <w:pStyle w:val="TableParagraph"/>
                          <w:rPr>
                            <w:rFonts w:ascii="Calibri"/>
                            <w:sz w:val="2"/>
                          </w:rPr>
                        </w:pPr>
                      </w:p>
                      <w:p w14:paraId="32235752" w14:textId="77777777" w:rsidR="00F65BCA" w:rsidRDefault="00216117">
                        <w:pPr>
                          <w:pStyle w:val="TableParagraph"/>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10D9A9BA" w14:textId="77777777" w:rsidR="00F65BCA" w:rsidRDefault="00F65BCA">
                        <w:pPr>
                          <w:pStyle w:val="TableParagraph"/>
                          <w:rPr>
                            <w:rFonts w:ascii="Calibri"/>
                            <w:sz w:val="2"/>
                          </w:rPr>
                        </w:pPr>
                      </w:p>
                      <w:p w14:paraId="0950FC3F" w14:textId="77777777" w:rsidR="00F65BCA" w:rsidRDefault="00F65BCA">
                        <w:pPr>
                          <w:pStyle w:val="TableParagraph"/>
                          <w:rPr>
                            <w:rFonts w:ascii="Calibri"/>
                            <w:sz w:val="2"/>
                          </w:rPr>
                        </w:pPr>
                      </w:p>
                      <w:p w14:paraId="02E9AECB" w14:textId="77777777" w:rsidR="00F65BCA" w:rsidRDefault="00F65BCA">
                        <w:pPr>
                          <w:pStyle w:val="TableParagraph"/>
                          <w:rPr>
                            <w:rFonts w:ascii="Calibri"/>
                            <w:sz w:val="2"/>
                          </w:rPr>
                        </w:pPr>
                      </w:p>
                      <w:p w14:paraId="59E3542C" w14:textId="77777777" w:rsidR="00F65BCA" w:rsidRDefault="00F65BCA">
                        <w:pPr>
                          <w:pStyle w:val="TableParagraph"/>
                          <w:rPr>
                            <w:rFonts w:ascii="Calibri"/>
                            <w:sz w:val="2"/>
                          </w:rPr>
                        </w:pPr>
                      </w:p>
                      <w:p w14:paraId="0120FF32" w14:textId="77777777" w:rsidR="00F65BCA" w:rsidRDefault="00F65BCA">
                        <w:pPr>
                          <w:pStyle w:val="TableParagraph"/>
                          <w:rPr>
                            <w:rFonts w:ascii="Calibri"/>
                            <w:sz w:val="2"/>
                          </w:rPr>
                        </w:pPr>
                      </w:p>
                      <w:p w14:paraId="69EAD829" w14:textId="77777777" w:rsidR="00F65BCA" w:rsidRDefault="00F65BCA">
                        <w:pPr>
                          <w:pStyle w:val="TableParagraph"/>
                          <w:rPr>
                            <w:rFonts w:ascii="Calibri"/>
                            <w:sz w:val="2"/>
                          </w:rPr>
                        </w:pPr>
                      </w:p>
                      <w:p w14:paraId="7173832C" w14:textId="77777777" w:rsidR="00F65BCA" w:rsidRDefault="00F65BCA">
                        <w:pPr>
                          <w:pStyle w:val="TableParagraph"/>
                          <w:rPr>
                            <w:rFonts w:ascii="Calibri"/>
                            <w:sz w:val="2"/>
                          </w:rPr>
                        </w:pPr>
                      </w:p>
                      <w:p w14:paraId="777C11F6" w14:textId="77777777" w:rsidR="00F65BCA" w:rsidRDefault="00216117">
                        <w:pPr>
                          <w:pStyle w:val="TableParagraph"/>
                          <w:ind w:left="24" w:right="24"/>
                          <w:jc w:val="center"/>
                          <w:rPr>
                            <w:sz w:val="3"/>
                          </w:rPr>
                        </w:pPr>
                        <w:r>
                          <w:rPr>
                            <w:w w:val="105"/>
                            <w:sz w:val="3"/>
                          </w:rPr>
                          <w:t>1,43270400%</w:t>
                        </w:r>
                      </w:p>
                    </w:tc>
                    <w:tc>
                      <w:tcPr>
                        <w:tcW w:w="288" w:type="dxa"/>
                        <w:tcBorders>
                          <w:top w:val="single" w:sz="2" w:space="0" w:color="000000"/>
                          <w:left w:val="single" w:sz="2" w:space="0" w:color="000000"/>
                          <w:bottom w:val="single" w:sz="2" w:space="0" w:color="000000"/>
                          <w:right w:val="single" w:sz="2" w:space="0" w:color="000000"/>
                        </w:tcBorders>
                      </w:tcPr>
                      <w:p w14:paraId="6DCA089E" w14:textId="77777777" w:rsidR="00F65BCA" w:rsidRDefault="00F65BCA">
                        <w:pPr>
                          <w:pStyle w:val="TableParagraph"/>
                          <w:rPr>
                            <w:rFonts w:ascii="Calibri"/>
                            <w:sz w:val="2"/>
                          </w:rPr>
                        </w:pPr>
                      </w:p>
                      <w:p w14:paraId="7AB99825" w14:textId="77777777" w:rsidR="00F65BCA" w:rsidRDefault="00F65BCA">
                        <w:pPr>
                          <w:pStyle w:val="TableParagraph"/>
                          <w:rPr>
                            <w:rFonts w:ascii="Calibri"/>
                            <w:sz w:val="2"/>
                          </w:rPr>
                        </w:pPr>
                      </w:p>
                      <w:p w14:paraId="3D0EC24C" w14:textId="77777777" w:rsidR="00F65BCA" w:rsidRDefault="00F65BCA">
                        <w:pPr>
                          <w:pStyle w:val="TableParagraph"/>
                          <w:rPr>
                            <w:rFonts w:ascii="Calibri"/>
                            <w:sz w:val="2"/>
                          </w:rPr>
                        </w:pPr>
                      </w:p>
                      <w:p w14:paraId="7A40A503" w14:textId="77777777" w:rsidR="00F65BCA" w:rsidRDefault="00F65BCA">
                        <w:pPr>
                          <w:pStyle w:val="TableParagraph"/>
                          <w:rPr>
                            <w:rFonts w:ascii="Calibri"/>
                            <w:sz w:val="2"/>
                          </w:rPr>
                        </w:pPr>
                      </w:p>
                      <w:p w14:paraId="1D076844" w14:textId="77777777" w:rsidR="00F65BCA" w:rsidRDefault="00F65BCA">
                        <w:pPr>
                          <w:pStyle w:val="TableParagraph"/>
                          <w:rPr>
                            <w:rFonts w:ascii="Calibri"/>
                            <w:sz w:val="2"/>
                          </w:rPr>
                        </w:pPr>
                      </w:p>
                      <w:p w14:paraId="4037BC10" w14:textId="77777777" w:rsidR="00F65BCA" w:rsidRDefault="00F65BCA">
                        <w:pPr>
                          <w:pStyle w:val="TableParagraph"/>
                          <w:rPr>
                            <w:rFonts w:ascii="Calibri"/>
                            <w:sz w:val="2"/>
                          </w:rPr>
                        </w:pPr>
                      </w:p>
                      <w:p w14:paraId="353696F7" w14:textId="77777777" w:rsidR="00F65BCA" w:rsidRDefault="00F65BCA">
                        <w:pPr>
                          <w:pStyle w:val="TableParagraph"/>
                          <w:rPr>
                            <w:rFonts w:ascii="Calibri"/>
                            <w:sz w:val="2"/>
                          </w:rPr>
                        </w:pPr>
                      </w:p>
                      <w:p w14:paraId="0A4A63D1" w14:textId="77777777" w:rsidR="00F65BCA" w:rsidRDefault="00216117">
                        <w:pPr>
                          <w:pStyle w:val="TableParagraph"/>
                          <w:ind w:left="24" w:right="24"/>
                          <w:jc w:val="center"/>
                          <w:rPr>
                            <w:sz w:val="3"/>
                          </w:rPr>
                        </w:pPr>
                        <w:r>
                          <w:rPr>
                            <w:w w:val="105"/>
                            <w:sz w:val="3"/>
                          </w:rPr>
                          <w:t>1,33196700%</w:t>
                        </w:r>
                      </w:p>
                    </w:tc>
                    <w:tc>
                      <w:tcPr>
                        <w:tcW w:w="288" w:type="dxa"/>
                        <w:tcBorders>
                          <w:top w:val="single" w:sz="2" w:space="0" w:color="000000"/>
                          <w:left w:val="single" w:sz="2" w:space="0" w:color="000000"/>
                          <w:bottom w:val="single" w:sz="2" w:space="0" w:color="000000"/>
                          <w:right w:val="single" w:sz="2" w:space="0" w:color="000000"/>
                        </w:tcBorders>
                      </w:tcPr>
                      <w:p w14:paraId="62E3F37C" w14:textId="77777777" w:rsidR="00F65BCA" w:rsidRDefault="00F65BCA">
                        <w:pPr>
                          <w:pStyle w:val="TableParagraph"/>
                          <w:rPr>
                            <w:rFonts w:ascii="Calibri"/>
                            <w:sz w:val="2"/>
                          </w:rPr>
                        </w:pPr>
                      </w:p>
                      <w:p w14:paraId="5E00BC7A" w14:textId="77777777" w:rsidR="00F65BCA" w:rsidRDefault="00F65BCA">
                        <w:pPr>
                          <w:pStyle w:val="TableParagraph"/>
                          <w:rPr>
                            <w:rFonts w:ascii="Calibri"/>
                            <w:sz w:val="2"/>
                          </w:rPr>
                        </w:pPr>
                      </w:p>
                      <w:p w14:paraId="5D4B8BC1" w14:textId="77777777" w:rsidR="00F65BCA" w:rsidRDefault="00F65BCA">
                        <w:pPr>
                          <w:pStyle w:val="TableParagraph"/>
                          <w:rPr>
                            <w:rFonts w:ascii="Calibri"/>
                            <w:sz w:val="2"/>
                          </w:rPr>
                        </w:pPr>
                      </w:p>
                      <w:p w14:paraId="363D597C" w14:textId="77777777" w:rsidR="00F65BCA" w:rsidRDefault="00F65BCA">
                        <w:pPr>
                          <w:pStyle w:val="TableParagraph"/>
                          <w:rPr>
                            <w:rFonts w:ascii="Calibri"/>
                            <w:sz w:val="2"/>
                          </w:rPr>
                        </w:pPr>
                      </w:p>
                      <w:p w14:paraId="6A9EB2E0" w14:textId="77777777" w:rsidR="00F65BCA" w:rsidRDefault="00F65BCA">
                        <w:pPr>
                          <w:pStyle w:val="TableParagraph"/>
                          <w:rPr>
                            <w:rFonts w:ascii="Calibri"/>
                            <w:sz w:val="2"/>
                          </w:rPr>
                        </w:pPr>
                      </w:p>
                      <w:p w14:paraId="65412A7E" w14:textId="77777777" w:rsidR="00F65BCA" w:rsidRDefault="00F65BCA">
                        <w:pPr>
                          <w:pStyle w:val="TableParagraph"/>
                          <w:rPr>
                            <w:rFonts w:ascii="Calibri"/>
                            <w:sz w:val="2"/>
                          </w:rPr>
                        </w:pPr>
                      </w:p>
                      <w:p w14:paraId="10080BED" w14:textId="77777777" w:rsidR="00F65BCA" w:rsidRDefault="00F65BCA">
                        <w:pPr>
                          <w:pStyle w:val="TableParagraph"/>
                          <w:rPr>
                            <w:rFonts w:ascii="Calibri"/>
                            <w:sz w:val="2"/>
                          </w:rPr>
                        </w:pPr>
                      </w:p>
                      <w:p w14:paraId="1FBE4902" w14:textId="77777777" w:rsidR="00F65BCA" w:rsidRDefault="00216117">
                        <w:pPr>
                          <w:pStyle w:val="TableParagraph"/>
                          <w:ind w:left="24" w:right="24"/>
                          <w:jc w:val="center"/>
                          <w:rPr>
                            <w:sz w:val="3"/>
                          </w:rPr>
                        </w:pPr>
                        <w:r>
                          <w:rPr>
                            <w:w w:val="105"/>
                            <w:sz w:val="3"/>
                          </w:rPr>
                          <w:t>1,23123000%</w:t>
                        </w:r>
                      </w:p>
                    </w:tc>
                    <w:tc>
                      <w:tcPr>
                        <w:tcW w:w="288" w:type="dxa"/>
                        <w:tcBorders>
                          <w:top w:val="single" w:sz="2" w:space="0" w:color="000000"/>
                          <w:left w:val="single" w:sz="2" w:space="0" w:color="000000"/>
                          <w:bottom w:val="single" w:sz="2" w:space="0" w:color="000000"/>
                          <w:right w:val="single" w:sz="2" w:space="0" w:color="000000"/>
                        </w:tcBorders>
                      </w:tcPr>
                      <w:p w14:paraId="62039742" w14:textId="77777777" w:rsidR="00F65BCA" w:rsidRDefault="00F65BCA">
                        <w:pPr>
                          <w:pStyle w:val="TableParagraph"/>
                          <w:rPr>
                            <w:rFonts w:ascii="Calibri"/>
                            <w:sz w:val="2"/>
                          </w:rPr>
                        </w:pPr>
                      </w:p>
                      <w:p w14:paraId="3ECEAE65" w14:textId="77777777" w:rsidR="00F65BCA" w:rsidRDefault="00F65BCA">
                        <w:pPr>
                          <w:pStyle w:val="TableParagraph"/>
                          <w:rPr>
                            <w:rFonts w:ascii="Calibri"/>
                            <w:sz w:val="2"/>
                          </w:rPr>
                        </w:pPr>
                      </w:p>
                      <w:p w14:paraId="1A05365B" w14:textId="77777777" w:rsidR="00F65BCA" w:rsidRDefault="00F65BCA">
                        <w:pPr>
                          <w:pStyle w:val="TableParagraph"/>
                          <w:rPr>
                            <w:rFonts w:ascii="Calibri"/>
                            <w:sz w:val="2"/>
                          </w:rPr>
                        </w:pPr>
                      </w:p>
                      <w:p w14:paraId="5502F67B" w14:textId="77777777" w:rsidR="00F65BCA" w:rsidRDefault="00F65BCA">
                        <w:pPr>
                          <w:pStyle w:val="TableParagraph"/>
                          <w:rPr>
                            <w:rFonts w:ascii="Calibri"/>
                            <w:sz w:val="2"/>
                          </w:rPr>
                        </w:pPr>
                      </w:p>
                      <w:p w14:paraId="6DB6BA14" w14:textId="77777777" w:rsidR="00F65BCA" w:rsidRDefault="00F65BCA">
                        <w:pPr>
                          <w:pStyle w:val="TableParagraph"/>
                          <w:rPr>
                            <w:rFonts w:ascii="Calibri"/>
                            <w:sz w:val="2"/>
                          </w:rPr>
                        </w:pPr>
                      </w:p>
                      <w:p w14:paraId="160D729A" w14:textId="77777777" w:rsidR="00F65BCA" w:rsidRDefault="00F65BCA">
                        <w:pPr>
                          <w:pStyle w:val="TableParagraph"/>
                          <w:rPr>
                            <w:rFonts w:ascii="Calibri"/>
                            <w:sz w:val="2"/>
                          </w:rPr>
                        </w:pPr>
                      </w:p>
                      <w:p w14:paraId="1CF22FA0" w14:textId="77777777" w:rsidR="00F65BCA" w:rsidRDefault="00F65BCA">
                        <w:pPr>
                          <w:pStyle w:val="TableParagraph"/>
                          <w:rPr>
                            <w:rFonts w:ascii="Calibri"/>
                            <w:sz w:val="2"/>
                          </w:rPr>
                        </w:pPr>
                      </w:p>
                      <w:p w14:paraId="1219D103" w14:textId="77777777" w:rsidR="00F65BCA" w:rsidRDefault="00216117">
                        <w:pPr>
                          <w:pStyle w:val="TableParagraph"/>
                          <w:ind w:left="24" w:right="24"/>
                          <w:jc w:val="center"/>
                          <w:rPr>
                            <w:sz w:val="3"/>
                          </w:rPr>
                        </w:pPr>
                        <w:r>
                          <w:rPr>
                            <w:w w:val="105"/>
                            <w:sz w:val="3"/>
                          </w:rPr>
                          <w:t>1,11930000%</w:t>
                        </w:r>
                      </w:p>
                    </w:tc>
                    <w:tc>
                      <w:tcPr>
                        <w:tcW w:w="288" w:type="dxa"/>
                        <w:tcBorders>
                          <w:top w:val="single" w:sz="2" w:space="0" w:color="000000"/>
                          <w:left w:val="single" w:sz="2" w:space="0" w:color="000000"/>
                          <w:bottom w:val="single" w:sz="2" w:space="0" w:color="000000"/>
                          <w:right w:val="single" w:sz="2" w:space="0" w:color="000000"/>
                        </w:tcBorders>
                      </w:tcPr>
                      <w:p w14:paraId="0374294C" w14:textId="77777777" w:rsidR="00F65BCA" w:rsidRDefault="00F65BCA">
                        <w:pPr>
                          <w:pStyle w:val="TableParagraph"/>
                          <w:rPr>
                            <w:rFonts w:ascii="Calibri"/>
                            <w:sz w:val="2"/>
                          </w:rPr>
                        </w:pPr>
                      </w:p>
                      <w:p w14:paraId="1A610DD9" w14:textId="77777777" w:rsidR="00F65BCA" w:rsidRDefault="00F65BCA">
                        <w:pPr>
                          <w:pStyle w:val="TableParagraph"/>
                          <w:rPr>
                            <w:rFonts w:ascii="Calibri"/>
                            <w:sz w:val="2"/>
                          </w:rPr>
                        </w:pPr>
                      </w:p>
                      <w:p w14:paraId="185CEB04" w14:textId="77777777" w:rsidR="00F65BCA" w:rsidRDefault="00F65BCA">
                        <w:pPr>
                          <w:pStyle w:val="TableParagraph"/>
                          <w:rPr>
                            <w:rFonts w:ascii="Calibri"/>
                            <w:sz w:val="2"/>
                          </w:rPr>
                        </w:pPr>
                      </w:p>
                      <w:p w14:paraId="3FB0C03C" w14:textId="77777777" w:rsidR="00F65BCA" w:rsidRDefault="00F65BCA">
                        <w:pPr>
                          <w:pStyle w:val="TableParagraph"/>
                          <w:rPr>
                            <w:rFonts w:ascii="Calibri"/>
                            <w:sz w:val="2"/>
                          </w:rPr>
                        </w:pPr>
                      </w:p>
                      <w:p w14:paraId="7ACB9815" w14:textId="77777777" w:rsidR="00F65BCA" w:rsidRDefault="00F65BCA">
                        <w:pPr>
                          <w:pStyle w:val="TableParagraph"/>
                          <w:rPr>
                            <w:rFonts w:ascii="Calibri"/>
                            <w:sz w:val="2"/>
                          </w:rPr>
                        </w:pPr>
                      </w:p>
                      <w:p w14:paraId="6F96591C" w14:textId="77777777" w:rsidR="00F65BCA" w:rsidRDefault="00F65BCA">
                        <w:pPr>
                          <w:pStyle w:val="TableParagraph"/>
                          <w:rPr>
                            <w:rFonts w:ascii="Calibri"/>
                            <w:sz w:val="2"/>
                          </w:rPr>
                        </w:pPr>
                      </w:p>
                      <w:p w14:paraId="75E56E32" w14:textId="77777777" w:rsidR="00F65BCA" w:rsidRDefault="00F65BCA">
                        <w:pPr>
                          <w:pStyle w:val="TableParagraph"/>
                          <w:rPr>
                            <w:rFonts w:ascii="Calibri"/>
                            <w:sz w:val="2"/>
                          </w:rPr>
                        </w:pPr>
                      </w:p>
                      <w:p w14:paraId="7DC16B12" w14:textId="77777777" w:rsidR="00F65BCA" w:rsidRDefault="00216117">
                        <w:pPr>
                          <w:pStyle w:val="TableParagraph"/>
                          <w:ind w:left="24" w:right="24"/>
                          <w:jc w:val="center"/>
                          <w:rPr>
                            <w:sz w:val="3"/>
                          </w:rPr>
                        </w:pPr>
                        <w:r>
                          <w:rPr>
                            <w:w w:val="105"/>
                            <w:sz w:val="3"/>
                          </w:rPr>
                          <w:t>1,11930000%</w:t>
                        </w:r>
                      </w:p>
                    </w:tc>
                    <w:tc>
                      <w:tcPr>
                        <w:tcW w:w="288" w:type="dxa"/>
                        <w:tcBorders>
                          <w:top w:val="single" w:sz="2" w:space="0" w:color="000000"/>
                          <w:left w:val="single" w:sz="2" w:space="0" w:color="000000"/>
                          <w:bottom w:val="single" w:sz="2" w:space="0" w:color="000000"/>
                          <w:right w:val="single" w:sz="2" w:space="0" w:color="000000"/>
                        </w:tcBorders>
                      </w:tcPr>
                      <w:p w14:paraId="00359BF0" w14:textId="77777777" w:rsidR="00F65BCA" w:rsidRDefault="00F65BCA">
                        <w:pPr>
                          <w:pStyle w:val="TableParagraph"/>
                          <w:rPr>
                            <w:rFonts w:ascii="Calibri"/>
                            <w:sz w:val="2"/>
                          </w:rPr>
                        </w:pPr>
                      </w:p>
                      <w:p w14:paraId="23ABE62F" w14:textId="77777777" w:rsidR="00F65BCA" w:rsidRDefault="00F65BCA">
                        <w:pPr>
                          <w:pStyle w:val="TableParagraph"/>
                          <w:rPr>
                            <w:rFonts w:ascii="Calibri"/>
                            <w:sz w:val="2"/>
                          </w:rPr>
                        </w:pPr>
                      </w:p>
                      <w:p w14:paraId="14AA620F" w14:textId="77777777" w:rsidR="00F65BCA" w:rsidRDefault="00F65BCA">
                        <w:pPr>
                          <w:pStyle w:val="TableParagraph"/>
                          <w:rPr>
                            <w:rFonts w:ascii="Calibri"/>
                            <w:sz w:val="2"/>
                          </w:rPr>
                        </w:pPr>
                      </w:p>
                      <w:p w14:paraId="6780982A" w14:textId="77777777" w:rsidR="00F65BCA" w:rsidRDefault="00F65BCA">
                        <w:pPr>
                          <w:pStyle w:val="TableParagraph"/>
                          <w:rPr>
                            <w:rFonts w:ascii="Calibri"/>
                            <w:sz w:val="2"/>
                          </w:rPr>
                        </w:pPr>
                      </w:p>
                      <w:p w14:paraId="4B5A5E5F" w14:textId="77777777" w:rsidR="00F65BCA" w:rsidRDefault="00F65BCA">
                        <w:pPr>
                          <w:pStyle w:val="TableParagraph"/>
                          <w:rPr>
                            <w:rFonts w:ascii="Calibri"/>
                            <w:sz w:val="2"/>
                          </w:rPr>
                        </w:pPr>
                      </w:p>
                      <w:p w14:paraId="64E3378E" w14:textId="77777777" w:rsidR="00F65BCA" w:rsidRDefault="00F65BCA">
                        <w:pPr>
                          <w:pStyle w:val="TableParagraph"/>
                          <w:rPr>
                            <w:rFonts w:ascii="Calibri"/>
                            <w:sz w:val="2"/>
                          </w:rPr>
                        </w:pPr>
                      </w:p>
                      <w:p w14:paraId="7BD722A4" w14:textId="77777777" w:rsidR="00F65BCA" w:rsidRDefault="00F65BCA">
                        <w:pPr>
                          <w:pStyle w:val="TableParagraph"/>
                          <w:rPr>
                            <w:rFonts w:ascii="Calibri"/>
                            <w:sz w:val="2"/>
                          </w:rPr>
                        </w:pPr>
                      </w:p>
                      <w:p w14:paraId="0758E88A" w14:textId="77777777" w:rsidR="00F65BCA" w:rsidRDefault="00216117">
                        <w:pPr>
                          <w:pStyle w:val="TableParagraph"/>
                          <w:ind w:left="24" w:right="24"/>
                          <w:jc w:val="center"/>
                          <w:rPr>
                            <w:sz w:val="3"/>
                          </w:rPr>
                        </w:pPr>
                        <w:r>
                          <w:rPr>
                            <w:w w:val="105"/>
                            <w:sz w:val="3"/>
                          </w:rPr>
                          <w:t>1,34316000%</w:t>
                        </w:r>
                      </w:p>
                    </w:tc>
                    <w:tc>
                      <w:tcPr>
                        <w:tcW w:w="288" w:type="dxa"/>
                        <w:tcBorders>
                          <w:top w:val="single" w:sz="2" w:space="0" w:color="000000"/>
                          <w:left w:val="single" w:sz="2" w:space="0" w:color="000000"/>
                          <w:bottom w:val="single" w:sz="2" w:space="0" w:color="000000"/>
                          <w:right w:val="single" w:sz="2" w:space="0" w:color="000000"/>
                        </w:tcBorders>
                      </w:tcPr>
                      <w:p w14:paraId="78DDAC74" w14:textId="77777777" w:rsidR="00F65BCA" w:rsidRDefault="00F65BCA">
                        <w:pPr>
                          <w:pStyle w:val="TableParagraph"/>
                          <w:rPr>
                            <w:rFonts w:ascii="Calibri"/>
                            <w:sz w:val="2"/>
                          </w:rPr>
                        </w:pPr>
                      </w:p>
                      <w:p w14:paraId="6B2DD26D" w14:textId="77777777" w:rsidR="00F65BCA" w:rsidRDefault="00F65BCA">
                        <w:pPr>
                          <w:pStyle w:val="TableParagraph"/>
                          <w:rPr>
                            <w:rFonts w:ascii="Calibri"/>
                            <w:sz w:val="2"/>
                          </w:rPr>
                        </w:pPr>
                      </w:p>
                      <w:p w14:paraId="57EE9C34" w14:textId="77777777" w:rsidR="00F65BCA" w:rsidRDefault="00F65BCA">
                        <w:pPr>
                          <w:pStyle w:val="TableParagraph"/>
                          <w:rPr>
                            <w:rFonts w:ascii="Calibri"/>
                            <w:sz w:val="2"/>
                          </w:rPr>
                        </w:pPr>
                      </w:p>
                      <w:p w14:paraId="77EB536D" w14:textId="77777777" w:rsidR="00F65BCA" w:rsidRDefault="00F65BCA">
                        <w:pPr>
                          <w:pStyle w:val="TableParagraph"/>
                          <w:rPr>
                            <w:rFonts w:ascii="Calibri"/>
                            <w:sz w:val="2"/>
                          </w:rPr>
                        </w:pPr>
                      </w:p>
                      <w:p w14:paraId="19EC62F4" w14:textId="77777777" w:rsidR="00F65BCA" w:rsidRDefault="00F65BCA">
                        <w:pPr>
                          <w:pStyle w:val="TableParagraph"/>
                          <w:rPr>
                            <w:rFonts w:ascii="Calibri"/>
                            <w:sz w:val="2"/>
                          </w:rPr>
                        </w:pPr>
                      </w:p>
                      <w:p w14:paraId="1C9CE2EA" w14:textId="77777777" w:rsidR="00F65BCA" w:rsidRDefault="00F65BCA">
                        <w:pPr>
                          <w:pStyle w:val="TableParagraph"/>
                          <w:rPr>
                            <w:rFonts w:ascii="Calibri"/>
                            <w:sz w:val="2"/>
                          </w:rPr>
                        </w:pPr>
                      </w:p>
                      <w:p w14:paraId="49B9EE4B" w14:textId="77777777" w:rsidR="00F65BCA" w:rsidRDefault="00F65BCA">
                        <w:pPr>
                          <w:pStyle w:val="TableParagraph"/>
                          <w:rPr>
                            <w:rFonts w:ascii="Calibri"/>
                            <w:sz w:val="2"/>
                          </w:rPr>
                        </w:pPr>
                      </w:p>
                      <w:p w14:paraId="7CF7916D" w14:textId="77777777" w:rsidR="00F65BCA" w:rsidRDefault="00216117">
                        <w:pPr>
                          <w:pStyle w:val="TableParagraph"/>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40930F2A" w14:textId="77777777" w:rsidR="00F65BCA" w:rsidRDefault="00F65BCA">
                        <w:pPr>
                          <w:pStyle w:val="TableParagraph"/>
                          <w:rPr>
                            <w:rFonts w:ascii="Calibri"/>
                            <w:sz w:val="2"/>
                          </w:rPr>
                        </w:pPr>
                      </w:p>
                      <w:p w14:paraId="64B98ECE" w14:textId="77777777" w:rsidR="00F65BCA" w:rsidRDefault="00F65BCA">
                        <w:pPr>
                          <w:pStyle w:val="TableParagraph"/>
                          <w:rPr>
                            <w:rFonts w:ascii="Calibri"/>
                            <w:sz w:val="2"/>
                          </w:rPr>
                        </w:pPr>
                      </w:p>
                      <w:p w14:paraId="3DA858CA" w14:textId="77777777" w:rsidR="00F65BCA" w:rsidRDefault="00F65BCA">
                        <w:pPr>
                          <w:pStyle w:val="TableParagraph"/>
                          <w:rPr>
                            <w:rFonts w:ascii="Calibri"/>
                            <w:sz w:val="2"/>
                          </w:rPr>
                        </w:pPr>
                      </w:p>
                      <w:p w14:paraId="7E63230F" w14:textId="77777777" w:rsidR="00F65BCA" w:rsidRDefault="00F65BCA">
                        <w:pPr>
                          <w:pStyle w:val="TableParagraph"/>
                          <w:rPr>
                            <w:rFonts w:ascii="Calibri"/>
                            <w:sz w:val="2"/>
                          </w:rPr>
                        </w:pPr>
                      </w:p>
                      <w:p w14:paraId="3C44E2F2" w14:textId="77777777" w:rsidR="00F65BCA" w:rsidRDefault="00F65BCA">
                        <w:pPr>
                          <w:pStyle w:val="TableParagraph"/>
                          <w:rPr>
                            <w:rFonts w:ascii="Calibri"/>
                            <w:sz w:val="2"/>
                          </w:rPr>
                        </w:pPr>
                      </w:p>
                      <w:p w14:paraId="39C3385A" w14:textId="77777777" w:rsidR="00F65BCA" w:rsidRDefault="00F65BCA">
                        <w:pPr>
                          <w:pStyle w:val="TableParagraph"/>
                          <w:rPr>
                            <w:rFonts w:ascii="Calibri"/>
                            <w:sz w:val="2"/>
                          </w:rPr>
                        </w:pPr>
                      </w:p>
                      <w:p w14:paraId="1155B7C1" w14:textId="77777777" w:rsidR="00F65BCA" w:rsidRDefault="00F65BCA">
                        <w:pPr>
                          <w:pStyle w:val="TableParagraph"/>
                          <w:rPr>
                            <w:rFonts w:ascii="Calibri"/>
                            <w:sz w:val="2"/>
                          </w:rPr>
                        </w:pPr>
                      </w:p>
                      <w:p w14:paraId="20771F89" w14:textId="77777777" w:rsidR="00F65BCA" w:rsidRDefault="00216117">
                        <w:pPr>
                          <w:pStyle w:val="TableParagraph"/>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15019BFF" w14:textId="77777777" w:rsidR="00F65BCA" w:rsidRDefault="00F65BCA">
                        <w:pPr>
                          <w:pStyle w:val="TableParagraph"/>
                          <w:rPr>
                            <w:rFonts w:ascii="Calibri"/>
                            <w:sz w:val="2"/>
                          </w:rPr>
                        </w:pPr>
                      </w:p>
                      <w:p w14:paraId="79CA3537" w14:textId="77777777" w:rsidR="00F65BCA" w:rsidRDefault="00F65BCA">
                        <w:pPr>
                          <w:pStyle w:val="TableParagraph"/>
                          <w:rPr>
                            <w:rFonts w:ascii="Calibri"/>
                            <w:sz w:val="2"/>
                          </w:rPr>
                        </w:pPr>
                      </w:p>
                      <w:p w14:paraId="5D6865EE" w14:textId="77777777" w:rsidR="00F65BCA" w:rsidRDefault="00F65BCA">
                        <w:pPr>
                          <w:pStyle w:val="TableParagraph"/>
                          <w:rPr>
                            <w:rFonts w:ascii="Calibri"/>
                            <w:sz w:val="2"/>
                          </w:rPr>
                        </w:pPr>
                      </w:p>
                      <w:p w14:paraId="091B4B7B" w14:textId="77777777" w:rsidR="00F65BCA" w:rsidRDefault="00F65BCA">
                        <w:pPr>
                          <w:pStyle w:val="TableParagraph"/>
                          <w:rPr>
                            <w:rFonts w:ascii="Calibri"/>
                            <w:sz w:val="2"/>
                          </w:rPr>
                        </w:pPr>
                      </w:p>
                      <w:p w14:paraId="772B765C" w14:textId="77777777" w:rsidR="00F65BCA" w:rsidRDefault="00F65BCA">
                        <w:pPr>
                          <w:pStyle w:val="TableParagraph"/>
                          <w:rPr>
                            <w:rFonts w:ascii="Calibri"/>
                            <w:sz w:val="2"/>
                          </w:rPr>
                        </w:pPr>
                      </w:p>
                      <w:p w14:paraId="5968AEF7" w14:textId="77777777" w:rsidR="00F65BCA" w:rsidRDefault="00F65BCA">
                        <w:pPr>
                          <w:pStyle w:val="TableParagraph"/>
                          <w:rPr>
                            <w:rFonts w:ascii="Calibri"/>
                            <w:sz w:val="2"/>
                          </w:rPr>
                        </w:pPr>
                      </w:p>
                      <w:p w14:paraId="200D2A33" w14:textId="77777777" w:rsidR="00F65BCA" w:rsidRDefault="00F65BCA">
                        <w:pPr>
                          <w:pStyle w:val="TableParagraph"/>
                          <w:rPr>
                            <w:rFonts w:ascii="Calibri"/>
                            <w:sz w:val="2"/>
                          </w:rPr>
                        </w:pPr>
                      </w:p>
                      <w:p w14:paraId="3418B2A8" w14:textId="77777777" w:rsidR="00F65BCA" w:rsidRDefault="00216117">
                        <w:pPr>
                          <w:pStyle w:val="TableParagraph"/>
                          <w:ind w:left="24" w:right="24"/>
                          <w:jc w:val="center"/>
                          <w:rPr>
                            <w:sz w:val="3"/>
                          </w:rPr>
                        </w:pPr>
                        <w:r>
                          <w:rPr>
                            <w:w w:val="105"/>
                            <w:sz w:val="3"/>
                          </w:rPr>
                          <w:t>1,67895000%</w:t>
                        </w:r>
                      </w:p>
                    </w:tc>
                  </w:tr>
                  <w:tr w:rsidR="00F65BCA" w14:paraId="67C37893" w14:textId="77777777">
                    <w:trPr>
                      <w:trHeight w:val="371"/>
                    </w:trPr>
                    <w:tc>
                      <w:tcPr>
                        <w:tcW w:w="526" w:type="dxa"/>
                        <w:vMerge/>
                        <w:tcBorders>
                          <w:top w:val="nil"/>
                          <w:left w:val="single" w:sz="2" w:space="0" w:color="000000"/>
                          <w:bottom w:val="single" w:sz="2" w:space="0" w:color="000000"/>
                          <w:right w:val="single" w:sz="2" w:space="0" w:color="000000"/>
                        </w:tcBorders>
                        <w:shd w:val="clear" w:color="auto" w:fill="FCE4D6"/>
                      </w:tcPr>
                      <w:p w14:paraId="0B154AB1"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4ADF1854" w14:textId="77777777" w:rsidR="00F65BCA" w:rsidRDefault="00F65BCA">
                        <w:pPr>
                          <w:rPr>
                            <w:sz w:val="2"/>
                            <w:szCs w:val="2"/>
                          </w:rPr>
                        </w:pPr>
                      </w:p>
                    </w:tc>
                    <w:tc>
                      <w:tcPr>
                        <w:tcW w:w="958" w:type="dxa"/>
                        <w:tcBorders>
                          <w:top w:val="single" w:sz="2" w:space="0" w:color="000000"/>
                          <w:left w:val="single" w:sz="2" w:space="0" w:color="000000"/>
                          <w:bottom w:val="single" w:sz="2" w:space="0" w:color="000000"/>
                          <w:right w:val="single" w:sz="2" w:space="0" w:color="000000"/>
                        </w:tcBorders>
                        <w:shd w:val="clear" w:color="auto" w:fill="FCE4D6"/>
                      </w:tcPr>
                      <w:p w14:paraId="6BB538E9" w14:textId="77777777" w:rsidR="00F65BCA" w:rsidRDefault="00F65BCA">
                        <w:pPr>
                          <w:pStyle w:val="TableParagraph"/>
                          <w:rPr>
                            <w:rFonts w:ascii="Calibri"/>
                            <w:sz w:val="2"/>
                          </w:rPr>
                        </w:pPr>
                      </w:p>
                      <w:p w14:paraId="22554027" w14:textId="77777777" w:rsidR="00F65BCA" w:rsidRDefault="00F65BCA">
                        <w:pPr>
                          <w:pStyle w:val="TableParagraph"/>
                          <w:rPr>
                            <w:rFonts w:ascii="Calibri"/>
                            <w:sz w:val="2"/>
                          </w:rPr>
                        </w:pPr>
                      </w:p>
                      <w:p w14:paraId="3B8AD53C" w14:textId="77777777" w:rsidR="00F65BCA" w:rsidRDefault="00F65BCA">
                        <w:pPr>
                          <w:pStyle w:val="TableParagraph"/>
                          <w:rPr>
                            <w:rFonts w:ascii="Calibri"/>
                            <w:sz w:val="2"/>
                          </w:rPr>
                        </w:pPr>
                      </w:p>
                      <w:p w14:paraId="58233A0F" w14:textId="77777777" w:rsidR="00F65BCA" w:rsidRDefault="00F65BCA">
                        <w:pPr>
                          <w:pStyle w:val="TableParagraph"/>
                          <w:rPr>
                            <w:rFonts w:ascii="Calibri"/>
                            <w:sz w:val="2"/>
                          </w:rPr>
                        </w:pPr>
                      </w:p>
                      <w:p w14:paraId="5A77346E" w14:textId="77777777" w:rsidR="00F65BCA" w:rsidRDefault="00F65BCA">
                        <w:pPr>
                          <w:pStyle w:val="TableParagraph"/>
                          <w:rPr>
                            <w:rFonts w:ascii="Calibri"/>
                            <w:sz w:val="2"/>
                          </w:rPr>
                        </w:pPr>
                      </w:p>
                      <w:p w14:paraId="2A2337C7" w14:textId="77777777" w:rsidR="00F65BCA" w:rsidRDefault="00F65BCA">
                        <w:pPr>
                          <w:pStyle w:val="TableParagraph"/>
                          <w:rPr>
                            <w:rFonts w:ascii="Calibri"/>
                            <w:sz w:val="2"/>
                          </w:rPr>
                        </w:pPr>
                      </w:p>
                      <w:p w14:paraId="241FA2A3" w14:textId="77777777" w:rsidR="00F65BCA" w:rsidRDefault="00F65BCA">
                        <w:pPr>
                          <w:pStyle w:val="TableParagraph"/>
                          <w:rPr>
                            <w:rFonts w:ascii="Calibri"/>
                            <w:sz w:val="2"/>
                          </w:rPr>
                        </w:pPr>
                      </w:p>
                      <w:p w14:paraId="6CAF1CC8" w14:textId="77777777" w:rsidR="00F65BCA" w:rsidRDefault="00216117">
                        <w:pPr>
                          <w:pStyle w:val="TableParagraph"/>
                          <w:ind w:left="1"/>
                          <w:jc w:val="center"/>
                          <w:rPr>
                            <w:sz w:val="3"/>
                          </w:rPr>
                        </w:pPr>
                        <w:r>
                          <w:rPr>
                            <w:w w:val="103"/>
                            <w:sz w:val="3"/>
                          </w:rPr>
                          <w: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4F00F22" w14:textId="77777777" w:rsidR="00F65BCA" w:rsidRDefault="00F65BCA">
                        <w:pPr>
                          <w:pStyle w:val="TableParagraph"/>
                          <w:rPr>
                            <w:rFonts w:ascii="Calibri"/>
                            <w:sz w:val="2"/>
                          </w:rPr>
                        </w:pPr>
                      </w:p>
                      <w:p w14:paraId="5881432C" w14:textId="77777777" w:rsidR="00F65BCA" w:rsidRDefault="00F65BCA">
                        <w:pPr>
                          <w:pStyle w:val="TableParagraph"/>
                          <w:rPr>
                            <w:rFonts w:ascii="Calibri"/>
                            <w:sz w:val="2"/>
                          </w:rPr>
                        </w:pPr>
                      </w:p>
                      <w:p w14:paraId="71FAD52F" w14:textId="77777777" w:rsidR="00F65BCA" w:rsidRDefault="00F65BCA">
                        <w:pPr>
                          <w:pStyle w:val="TableParagraph"/>
                          <w:rPr>
                            <w:rFonts w:ascii="Calibri"/>
                            <w:sz w:val="2"/>
                          </w:rPr>
                        </w:pPr>
                      </w:p>
                      <w:p w14:paraId="3ED162FC" w14:textId="77777777" w:rsidR="00F65BCA" w:rsidRDefault="00F65BCA">
                        <w:pPr>
                          <w:pStyle w:val="TableParagraph"/>
                          <w:rPr>
                            <w:rFonts w:ascii="Calibri"/>
                            <w:sz w:val="2"/>
                          </w:rPr>
                        </w:pPr>
                      </w:p>
                      <w:p w14:paraId="01CF4195" w14:textId="77777777" w:rsidR="00F65BCA" w:rsidRDefault="00F65BCA">
                        <w:pPr>
                          <w:pStyle w:val="TableParagraph"/>
                          <w:rPr>
                            <w:rFonts w:ascii="Calibri"/>
                            <w:sz w:val="2"/>
                          </w:rPr>
                        </w:pPr>
                      </w:p>
                      <w:p w14:paraId="0713910D" w14:textId="77777777" w:rsidR="00F65BCA" w:rsidRDefault="00F65BCA">
                        <w:pPr>
                          <w:pStyle w:val="TableParagraph"/>
                          <w:rPr>
                            <w:rFonts w:ascii="Calibri"/>
                            <w:sz w:val="2"/>
                          </w:rPr>
                        </w:pPr>
                      </w:p>
                      <w:p w14:paraId="14B061BD" w14:textId="77777777" w:rsidR="00F65BCA" w:rsidRDefault="00F65BCA">
                        <w:pPr>
                          <w:pStyle w:val="TableParagraph"/>
                          <w:rPr>
                            <w:rFonts w:ascii="Calibri"/>
                            <w:sz w:val="2"/>
                          </w:rPr>
                        </w:pPr>
                      </w:p>
                      <w:p w14:paraId="4DA25B1A"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88DE207" w14:textId="77777777" w:rsidR="00F65BCA" w:rsidRDefault="00F65BCA">
                        <w:pPr>
                          <w:pStyle w:val="TableParagraph"/>
                          <w:rPr>
                            <w:rFonts w:ascii="Calibri"/>
                            <w:sz w:val="2"/>
                          </w:rPr>
                        </w:pPr>
                      </w:p>
                      <w:p w14:paraId="26250627" w14:textId="77777777" w:rsidR="00F65BCA" w:rsidRDefault="00F65BCA">
                        <w:pPr>
                          <w:pStyle w:val="TableParagraph"/>
                          <w:rPr>
                            <w:rFonts w:ascii="Calibri"/>
                            <w:sz w:val="2"/>
                          </w:rPr>
                        </w:pPr>
                      </w:p>
                      <w:p w14:paraId="7569D750" w14:textId="77777777" w:rsidR="00F65BCA" w:rsidRDefault="00F65BCA">
                        <w:pPr>
                          <w:pStyle w:val="TableParagraph"/>
                          <w:rPr>
                            <w:rFonts w:ascii="Calibri"/>
                            <w:sz w:val="2"/>
                          </w:rPr>
                        </w:pPr>
                      </w:p>
                      <w:p w14:paraId="78760D66" w14:textId="77777777" w:rsidR="00F65BCA" w:rsidRDefault="00F65BCA">
                        <w:pPr>
                          <w:pStyle w:val="TableParagraph"/>
                          <w:rPr>
                            <w:rFonts w:ascii="Calibri"/>
                            <w:sz w:val="2"/>
                          </w:rPr>
                        </w:pPr>
                      </w:p>
                      <w:p w14:paraId="63ECED46" w14:textId="77777777" w:rsidR="00F65BCA" w:rsidRDefault="00F65BCA">
                        <w:pPr>
                          <w:pStyle w:val="TableParagraph"/>
                          <w:rPr>
                            <w:rFonts w:ascii="Calibri"/>
                            <w:sz w:val="2"/>
                          </w:rPr>
                        </w:pPr>
                      </w:p>
                      <w:p w14:paraId="135793F0" w14:textId="77777777" w:rsidR="00F65BCA" w:rsidRDefault="00F65BCA">
                        <w:pPr>
                          <w:pStyle w:val="TableParagraph"/>
                          <w:rPr>
                            <w:rFonts w:ascii="Calibri"/>
                            <w:sz w:val="2"/>
                          </w:rPr>
                        </w:pPr>
                      </w:p>
                      <w:p w14:paraId="21D31B2E" w14:textId="77777777" w:rsidR="00F65BCA" w:rsidRDefault="00F65BCA">
                        <w:pPr>
                          <w:pStyle w:val="TableParagraph"/>
                          <w:rPr>
                            <w:rFonts w:ascii="Calibri"/>
                            <w:sz w:val="2"/>
                          </w:rPr>
                        </w:pPr>
                      </w:p>
                      <w:p w14:paraId="3AC68802"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D5C7576"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0F132DAD" w14:textId="77777777" w:rsidR="00F65BCA" w:rsidRDefault="00F65BCA">
                        <w:pPr>
                          <w:pStyle w:val="TableParagraph"/>
                          <w:rPr>
                            <w:rFonts w:ascii="Calibri"/>
                            <w:sz w:val="2"/>
                          </w:rPr>
                        </w:pPr>
                      </w:p>
                      <w:p w14:paraId="6DCBF86C" w14:textId="77777777" w:rsidR="00F65BCA" w:rsidRDefault="00F65BCA">
                        <w:pPr>
                          <w:pStyle w:val="TableParagraph"/>
                          <w:rPr>
                            <w:rFonts w:ascii="Calibri"/>
                            <w:sz w:val="2"/>
                          </w:rPr>
                        </w:pPr>
                      </w:p>
                      <w:p w14:paraId="45063860" w14:textId="77777777" w:rsidR="00F65BCA" w:rsidRDefault="00F65BCA">
                        <w:pPr>
                          <w:pStyle w:val="TableParagraph"/>
                          <w:rPr>
                            <w:rFonts w:ascii="Calibri"/>
                            <w:sz w:val="2"/>
                          </w:rPr>
                        </w:pPr>
                      </w:p>
                      <w:p w14:paraId="1AAD9F82" w14:textId="77777777" w:rsidR="00F65BCA" w:rsidRDefault="00F65BCA">
                        <w:pPr>
                          <w:pStyle w:val="TableParagraph"/>
                          <w:rPr>
                            <w:rFonts w:ascii="Calibri"/>
                            <w:sz w:val="2"/>
                          </w:rPr>
                        </w:pPr>
                      </w:p>
                      <w:p w14:paraId="11CCEF88" w14:textId="77777777" w:rsidR="00F65BCA" w:rsidRDefault="00F65BCA">
                        <w:pPr>
                          <w:pStyle w:val="TableParagraph"/>
                          <w:rPr>
                            <w:rFonts w:ascii="Calibri"/>
                            <w:sz w:val="2"/>
                          </w:rPr>
                        </w:pPr>
                      </w:p>
                      <w:p w14:paraId="7E0DFBCF" w14:textId="77777777" w:rsidR="00F65BCA" w:rsidRDefault="00F65BCA">
                        <w:pPr>
                          <w:pStyle w:val="TableParagraph"/>
                          <w:rPr>
                            <w:rFonts w:ascii="Calibri"/>
                            <w:sz w:val="2"/>
                          </w:rPr>
                        </w:pPr>
                      </w:p>
                      <w:p w14:paraId="7982385F" w14:textId="77777777" w:rsidR="00F65BCA" w:rsidRDefault="00F65BCA">
                        <w:pPr>
                          <w:pStyle w:val="TableParagraph"/>
                          <w:rPr>
                            <w:rFonts w:ascii="Calibri"/>
                            <w:sz w:val="2"/>
                          </w:rPr>
                        </w:pPr>
                      </w:p>
                      <w:p w14:paraId="13B97E3D" w14:textId="77777777" w:rsidR="00F65BCA" w:rsidRDefault="00216117">
                        <w:pPr>
                          <w:pStyle w:val="TableParagraph"/>
                          <w:ind w:left="24" w:right="24"/>
                          <w:jc w:val="center"/>
                          <w:rPr>
                            <w:sz w:val="3"/>
                          </w:rPr>
                        </w:pPr>
                        <w:r>
                          <w:rPr>
                            <w:w w:val="105"/>
                            <w:sz w:val="3"/>
                          </w:rPr>
                          <w:t>2,16338304%</w:t>
                        </w:r>
                      </w:p>
                    </w:tc>
                    <w:tc>
                      <w:tcPr>
                        <w:tcW w:w="288" w:type="dxa"/>
                        <w:tcBorders>
                          <w:top w:val="single" w:sz="2" w:space="0" w:color="000000"/>
                          <w:left w:val="single" w:sz="2" w:space="0" w:color="000000"/>
                          <w:bottom w:val="single" w:sz="2" w:space="0" w:color="000000"/>
                          <w:right w:val="single" w:sz="2" w:space="0" w:color="000000"/>
                        </w:tcBorders>
                      </w:tcPr>
                      <w:p w14:paraId="4E2CA906" w14:textId="77777777" w:rsidR="00F65BCA" w:rsidRDefault="00F65BCA">
                        <w:pPr>
                          <w:pStyle w:val="TableParagraph"/>
                          <w:rPr>
                            <w:rFonts w:ascii="Calibri"/>
                            <w:sz w:val="2"/>
                          </w:rPr>
                        </w:pPr>
                      </w:p>
                      <w:p w14:paraId="225D343B" w14:textId="77777777" w:rsidR="00F65BCA" w:rsidRDefault="00F65BCA">
                        <w:pPr>
                          <w:pStyle w:val="TableParagraph"/>
                          <w:rPr>
                            <w:rFonts w:ascii="Calibri"/>
                            <w:sz w:val="2"/>
                          </w:rPr>
                        </w:pPr>
                      </w:p>
                      <w:p w14:paraId="6CA9883C" w14:textId="77777777" w:rsidR="00F65BCA" w:rsidRDefault="00F65BCA">
                        <w:pPr>
                          <w:pStyle w:val="TableParagraph"/>
                          <w:rPr>
                            <w:rFonts w:ascii="Calibri"/>
                            <w:sz w:val="2"/>
                          </w:rPr>
                        </w:pPr>
                      </w:p>
                      <w:p w14:paraId="3EDC469B" w14:textId="77777777" w:rsidR="00F65BCA" w:rsidRDefault="00F65BCA">
                        <w:pPr>
                          <w:pStyle w:val="TableParagraph"/>
                          <w:rPr>
                            <w:rFonts w:ascii="Calibri"/>
                            <w:sz w:val="2"/>
                          </w:rPr>
                        </w:pPr>
                      </w:p>
                      <w:p w14:paraId="238D75DD" w14:textId="77777777" w:rsidR="00F65BCA" w:rsidRDefault="00F65BCA">
                        <w:pPr>
                          <w:pStyle w:val="TableParagraph"/>
                          <w:rPr>
                            <w:rFonts w:ascii="Calibri"/>
                            <w:sz w:val="2"/>
                          </w:rPr>
                        </w:pPr>
                      </w:p>
                      <w:p w14:paraId="04EF52B1" w14:textId="77777777" w:rsidR="00F65BCA" w:rsidRDefault="00F65BCA">
                        <w:pPr>
                          <w:pStyle w:val="TableParagraph"/>
                          <w:rPr>
                            <w:rFonts w:ascii="Calibri"/>
                            <w:sz w:val="2"/>
                          </w:rPr>
                        </w:pPr>
                      </w:p>
                      <w:p w14:paraId="6C43F4A3" w14:textId="77777777" w:rsidR="00F65BCA" w:rsidRDefault="00F65BCA">
                        <w:pPr>
                          <w:pStyle w:val="TableParagraph"/>
                          <w:rPr>
                            <w:rFonts w:ascii="Calibri"/>
                            <w:sz w:val="2"/>
                          </w:rPr>
                        </w:pPr>
                      </w:p>
                      <w:p w14:paraId="060D1518" w14:textId="77777777" w:rsidR="00F65BCA" w:rsidRDefault="00216117">
                        <w:pPr>
                          <w:pStyle w:val="TableParagraph"/>
                          <w:ind w:left="24" w:right="24"/>
                          <w:jc w:val="center"/>
                          <w:rPr>
                            <w:sz w:val="3"/>
                          </w:rPr>
                        </w:pPr>
                        <w:r>
                          <w:rPr>
                            <w:w w:val="105"/>
                            <w:sz w:val="3"/>
                          </w:rPr>
                          <w:t>2,02817160%</w:t>
                        </w:r>
                      </w:p>
                    </w:tc>
                    <w:tc>
                      <w:tcPr>
                        <w:tcW w:w="288" w:type="dxa"/>
                        <w:tcBorders>
                          <w:top w:val="single" w:sz="2" w:space="0" w:color="000000"/>
                          <w:left w:val="single" w:sz="2" w:space="0" w:color="000000"/>
                          <w:bottom w:val="single" w:sz="2" w:space="0" w:color="000000"/>
                          <w:right w:val="single" w:sz="2" w:space="0" w:color="000000"/>
                        </w:tcBorders>
                      </w:tcPr>
                      <w:p w14:paraId="3EEEE135" w14:textId="77777777" w:rsidR="00F65BCA" w:rsidRDefault="00F65BCA">
                        <w:pPr>
                          <w:pStyle w:val="TableParagraph"/>
                          <w:rPr>
                            <w:rFonts w:ascii="Calibri"/>
                            <w:sz w:val="2"/>
                          </w:rPr>
                        </w:pPr>
                      </w:p>
                      <w:p w14:paraId="6D427D87" w14:textId="77777777" w:rsidR="00F65BCA" w:rsidRDefault="00F65BCA">
                        <w:pPr>
                          <w:pStyle w:val="TableParagraph"/>
                          <w:rPr>
                            <w:rFonts w:ascii="Calibri"/>
                            <w:sz w:val="2"/>
                          </w:rPr>
                        </w:pPr>
                      </w:p>
                      <w:p w14:paraId="2AD684A1" w14:textId="77777777" w:rsidR="00F65BCA" w:rsidRDefault="00F65BCA">
                        <w:pPr>
                          <w:pStyle w:val="TableParagraph"/>
                          <w:rPr>
                            <w:rFonts w:ascii="Calibri"/>
                            <w:sz w:val="2"/>
                          </w:rPr>
                        </w:pPr>
                      </w:p>
                      <w:p w14:paraId="02AACD37" w14:textId="77777777" w:rsidR="00F65BCA" w:rsidRDefault="00F65BCA">
                        <w:pPr>
                          <w:pStyle w:val="TableParagraph"/>
                          <w:rPr>
                            <w:rFonts w:ascii="Calibri"/>
                            <w:sz w:val="2"/>
                          </w:rPr>
                        </w:pPr>
                      </w:p>
                      <w:p w14:paraId="6D8F5759" w14:textId="77777777" w:rsidR="00F65BCA" w:rsidRDefault="00F65BCA">
                        <w:pPr>
                          <w:pStyle w:val="TableParagraph"/>
                          <w:rPr>
                            <w:rFonts w:ascii="Calibri"/>
                            <w:sz w:val="2"/>
                          </w:rPr>
                        </w:pPr>
                      </w:p>
                      <w:p w14:paraId="2F16DD28" w14:textId="77777777" w:rsidR="00F65BCA" w:rsidRDefault="00F65BCA">
                        <w:pPr>
                          <w:pStyle w:val="TableParagraph"/>
                          <w:rPr>
                            <w:rFonts w:ascii="Calibri"/>
                            <w:sz w:val="2"/>
                          </w:rPr>
                        </w:pPr>
                      </w:p>
                      <w:p w14:paraId="1B2F20A0" w14:textId="77777777" w:rsidR="00F65BCA" w:rsidRDefault="00F65BCA">
                        <w:pPr>
                          <w:pStyle w:val="TableParagraph"/>
                          <w:rPr>
                            <w:rFonts w:ascii="Calibri"/>
                            <w:sz w:val="2"/>
                          </w:rPr>
                        </w:pPr>
                      </w:p>
                      <w:p w14:paraId="7A034C79" w14:textId="77777777" w:rsidR="00F65BCA" w:rsidRDefault="00216117">
                        <w:pPr>
                          <w:pStyle w:val="TableParagraph"/>
                          <w:ind w:left="24" w:right="24"/>
                          <w:jc w:val="center"/>
                          <w:rPr>
                            <w:sz w:val="3"/>
                          </w:rPr>
                        </w:pPr>
                        <w:r>
                          <w:rPr>
                            <w:w w:val="105"/>
                            <w:sz w:val="3"/>
                          </w:rPr>
                          <w:t>1,93352359%</w:t>
                        </w:r>
                      </w:p>
                    </w:tc>
                    <w:tc>
                      <w:tcPr>
                        <w:tcW w:w="288" w:type="dxa"/>
                        <w:tcBorders>
                          <w:top w:val="single" w:sz="2" w:space="0" w:color="000000"/>
                          <w:left w:val="single" w:sz="2" w:space="0" w:color="000000"/>
                          <w:bottom w:val="single" w:sz="2" w:space="0" w:color="000000"/>
                          <w:right w:val="single" w:sz="2" w:space="0" w:color="000000"/>
                        </w:tcBorders>
                      </w:tcPr>
                      <w:p w14:paraId="6B99C08E" w14:textId="77777777" w:rsidR="00F65BCA" w:rsidRDefault="00F65BCA">
                        <w:pPr>
                          <w:pStyle w:val="TableParagraph"/>
                          <w:rPr>
                            <w:rFonts w:ascii="Calibri"/>
                            <w:sz w:val="2"/>
                          </w:rPr>
                        </w:pPr>
                      </w:p>
                      <w:p w14:paraId="047CF882" w14:textId="77777777" w:rsidR="00F65BCA" w:rsidRDefault="00F65BCA">
                        <w:pPr>
                          <w:pStyle w:val="TableParagraph"/>
                          <w:rPr>
                            <w:rFonts w:ascii="Calibri"/>
                            <w:sz w:val="2"/>
                          </w:rPr>
                        </w:pPr>
                      </w:p>
                      <w:p w14:paraId="49563C83" w14:textId="77777777" w:rsidR="00F65BCA" w:rsidRDefault="00F65BCA">
                        <w:pPr>
                          <w:pStyle w:val="TableParagraph"/>
                          <w:rPr>
                            <w:rFonts w:ascii="Calibri"/>
                            <w:sz w:val="2"/>
                          </w:rPr>
                        </w:pPr>
                      </w:p>
                      <w:p w14:paraId="0C5C4AA7" w14:textId="77777777" w:rsidR="00F65BCA" w:rsidRDefault="00F65BCA">
                        <w:pPr>
                          <w:pStyle w:val="TableParagraph"/>
                          <w:rPr>
                            <w:rFonts w:ascii="Calibri"/>
                            <w:sz w:val="2"/>
                          </w:rPr>
                        </w:pPr>
                      </w:p>
                      <w:p w14:paraId="4BA8B312" w14:textId="77777777" w:rsidR="00F65BCA" w:rsidRDefault="00F65BCA">
                        <w:pPr>
                          <w:pStyle w:val="TableParagraph"/>
                          <w:rPr>
                            <w:rFonts w:ascii="Calibri"/>
                            <w:sz w:val="2"/>
                          </w:rPr>
                        </w:pPr>
                      </w:p>
                      <w:p w14:paraId="21EAA18B" w14:textId="77777777" w:rsidR="00F65BCA" w:rsidRDefault="00F65BCA">
                        <w:pPr>
                          <w:pStyle w:val="TableParagraph"/>
                          <w:rPr>
                            <w:rFonts w:ascii="Calibri"/>
                            <w:sz w:val="2"/>
                          </w:rPr>
                        </w:pPr>
                      </w:p>
                      <w:p w14:paraId="41440978" w14:textId="77777777" w:rsidR="00F65BCA" w:rsidRDefault="00F65BCA">
                        <w:pPr>
                          <w:pStyle w:val="TableParagraph"/>
                          <w:rPr>
                            <w:rFonts w:ascii="Calibri"/>
                            <w:sz w:val="2"/>
                          </w:rPr>
                        </w:pPr>
                      </w:p>
                      <w:p w14:paraId="6A2C0E5E" w14:textId="77777777" w:rsidR="00F65BCA" w:rsidRDefault="00216117">
                        <w:pPr>
                          <w:pStyle w:val="TableParagraph"/>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37301AD2" w14:textId="77777777" w:rsidR="00F65BCA" w:rsidRDefault="00F65BCA">
                        <w:pPr>
                          <w:pStyle w:val="TableParagraph"/>
                          <w:rPr>
                            <w:rFonts w:ascii="Calibri"/>
                            <w:sz w:val="2"/>
                          </w:rPr>
                        </w:pPr>
                      </w:p>
                      <w:p w14:paraId="4B81A8A1" w14:textId="77777777" w:rsidR="00F65BCA" w:rsidRDefault="00F65BCA">
                        <w:pPr>
                          <w:pStyle w:val="TableParagraph"/>
                          <w:rPr>
                            <w:rFonts w:ascii="Calibri"/>
                            <w:sz w:val="2"/>
                          </w:rPr>
                        </w:pPr>
                      </w:p>
                      <w:p w14:paraId="482F071F" w14:textId="77777777" w:rsidR="00F65BCA" w:rsidRDefault="00F65BCA">
                        <w:pPr>
                          <w:pStyle w:val="TableParagraph"/>
                          <w:rPr>
                            <w:rFonts w:ascii="Calibri"/>
                            <w:sz w:val="2"/>
                          </w:rPr>
                        </w:pPr>
                      </w:p>
                      <w:p w14:paraId="4F3119E9" w14:textId="77777777" w:rsidR="00F65BCA" w:rsidRDefault="00F65BCA">
                        <w:pPr>
                          <w:pStyle w:val="TableParagraph"/>
                          <w:rPr>
                            <w:rFonts w:ascii="Calibri"/>
                            <w:sz w:val="2"/>
                          </w:rPr>
                        </w:pPr>
                      </w:p>
                      <w:p w14:paraId="29BBDDD5" w14:textId="77777777" w:rsidR="00F65BCA" w:rsidRDefault="00F65BCA">
                        <w:pPr>
                          <w:pStyle w:val="TableParagraph"/>
                          <w:rPr>
                            <w:rFonts w:ascii="Calibri"/>
                            <w:sz w:val="2"/>
                          </w:rPr>
                        </w:pPr>
                      </w:p>
                      <w:p w14:paraId="2739F438" w14:textId="77777777" w:rsidR="00F65BCA" w:rsidRDefault="00F65BCA">
                        <w:pPr>
                          <w:pStyle w:val="TableParagraph"/>
                          <w:rPr>
                            <w:rFonts w:ascii="Calibri"/>
                            <w:sz w:val="2"/>
                          </w:rPr>
                        </w:pPr>
                      </w:p>
                      <w:p w14:paraId="755AD8E4" w14:textId="77777777" w:rsidR="00F65BCA" w:rsidRDefault="00F65BCA">
                        <w:pPr>
                          <w:pStyle w:val="TableParagraph"/>
                          <w:rPr>
                            <w:rFonts w:ascii="Calibri"/>
                            <w:sz w:val="2"/>
                          </w:rPr>
                        </w:pPr>
                      </w:p>
                      <w:p w14:paraId="393F86C9" w14:textId="77777777" w:rsidR="00F65BCA" w:rsidRDefault="00216117">
                        <w:pPr>
                          <w:pStyle w:val="TableParagraph"/>
                          <w:ind w:left="24" w:right="24"/>
                          <w:jc w:val="center"/>
                          <w:rPr>
                            <w:sz w:val="3"/>
                          </w:rPr>
                        </w:pPr>
                        <w:r>
                          <w:rPr>
                            <w:w w:val="105"/>
                            <w:sz w:val="3"/>
                          </w:rPr>
                          <w:t>1,73070643%</w:t>
                        </w:r>
                      </w:p>
                    </w:tc>
                    <w:tc>
                      <w:tcPr>
                        <w:tcW w:w="288" w:type="dxa"/>
                        <w:tcBorders>
                          <w:top w:val="single" w:sz="2" w:space="0" w:color="000000"/>
                          <w:left w:val="single" w:sz="2" w:space="0" w:color="000000"/>
                          <w:bottom w:val="single" w:sz="2" w:space="0" w:color="000000"/>
                          <w:right w:val="single" w:sz="2" w:space="0" w:color="000000"/>
                        </w:tcBorders>
                      </w:tcPr>
                      <w:p w14:paraId="55228C7C" w14:textId="77777777" w:rsidR="00F65BCA" w:rsidRDefault="00F65BCA">
                        <w:pPr>
                          <w:pStyle w:val="TableParagraph"/>
                          <w:rPr>
                            <w:rFonts w:ascii="Calibri"/>
                            <w:sz w:val="2"/>
                          </w:rPr>
                        </w:pPr>
                      </w:p>
                      <w:p w14:paraId="2974451E" w14:textId="77777777" w:rsidR="00F65BCA" w:rsidRDefault="00F65BCA">
                        <w:pPr>
                          <w:pStyle w:val="TableParagraph"/>
                          <w:rPr>
                            <w:rFonts w:ascii="Calibri"/>
                            <w:sz w:val="2"/>
                          </w:rPr>
                        </w:pPr>
                      </w:p>
                      <w:p w14:paraId="6C8C6218" w14:textId="77777777" w:rsidR="00F65BCA" w:rsidRDefault="00F65BCA">
                        <w:pPr>
                          <w:pStyle w:val="TableParagraph"/>
                          <w:rPr>
                            <w:rFonts w:ascii="Calibri"/>
                            <w:sz w:val="2"/>
                          </w:rPr>
                        </w:pPr>
                      </w:p>
                      <w:p w14:paraId="609C1686" w14:textId="77777777" w:rsidR="00F65BCA" w:rsidRDefault="00F65BCA">
                        <w:pPr>
                          <w:pStyle w:val="TableParagraph"/>
                          <w:rPr>
                            <w:rFonts w:ascii="Calibri"/>
                            <w:sz w:val="2"/>
                          </w:rPr>
                        </w:pPr>
                      </w:p>
                      <w:p w14:paraId="5F18EA6B" w14:textId="77777777" w:rsidR="00F65BCA" w:rsidRDefault="00F65BCA">
                        <w:pPr>
                          <w:pStyle w:val="TableParagraph"/>
                          <w:rPr>
                            <w:rFonts w:ascii="Calibri"/>
                            <w:sz w:val="2"/>
                          </w:rPr>
                        </w:pPr>
                      </w:p>
                      <w:p w14:paraId="59E5FF9C" w14:textId="77777777" w:rsidR="00F65BCA" w:rsidRDefault="00F65BCA">
                        <w:pPr>
                          <w:pStyle w:val="TableParagraph"/>
                          <w:rPr>
                            <w:rFonts w:ascii="Calibri"/>
                            <w:sz w:val="2"/>
                          </w:rPr>
                        </w:pPr>
                      </w:p>
                      <w:p w14:paraId="678BDD5C" w14:textId="77777777" w:rsidR="00F65BCA" w:rsidRDefault="00F65BCA">
                        <w:pPr>
                          <w:pStyle w:val="TableParagraph"/>
                          <w:rPr>
                            <w:rFonts w:ascii="Calibri"/>
                            <w:sz w:val="2"/>
                          </w:rPr>
                        </w:pPr>
                      </w:p>
                      <w:p w14:paraId="7BB7FC84" w14:textId="77777777" w:rsidR="00F65BCA" w:rsidRDefault="00216117">
                        <w:pPr>
                          <w:pStyle w:val="TableParagraph"/>
                          <w:ind w:left="24" w:right="24"/>
                          <w:jc w:val="center"/>
                          <w:rPr>
                            <w:sz w:val="3"/>
                          </w:rPr>
                        </w:pPr>
                        <w:r>
                          <w:rPr>
                            <w:w w:val="105"/>
                            <w:sz w:val="3"/>
                          </w:rPr>
                          <w:t>1,60901614%</w:t>
                        </w:r>
                      </w:p>
                    </w:tc>
                    <w:tc>
                      <w:tcPr>
                        <w:tcW w:w="288" w:type="dxa"/>
                        <w:tcBorders>
                          <w:top w:val="single" w:sz="2" w:space="0" w:color="000000"/>
                          <w:left w:val="single" w:sz="2" w:space="0" w:color="000000"/>
                          <w:bottom w:val="single" w:sz="2" w:space="0" w:color="000000"/>
                          <w:right w:val="single" w:sz="2" w:space="0" w:color="000000"/>
                        </w:tcBorders>
                      </w:tcPr>
                      <w:p w14:paraId="5C5F5BF2" w14:textId="77777777" w:rsidR="00F65BCA" w:rsidRDefault="00F65BCA">
                        <w:pPr>
                          <w:pStyle w:val="TableParagraph"/>
                          <w:rPr>
                            <w:rFonts w:ascii="Calibri"/>
                            <w:sz w:val="2"/>
                          </w:rPr>
                        </w:pPr>
                      </w:p>
                      <w:p w14:paraId="515746D4" w14:textId="77777777" w:rsidR="00F65BCA" w:rsidRDefault="00F65BCA">
                        <w:pPr>
                          <w:pStyle w:val="TableParagraph"/>
                          <w:rPr>
                            <w:rFonts w:ascii="Calibri"/>
                            <w:sz w:val="2"/>
                          </w:rPr>
                        </w:pPr>
                      </w:p>
                      <w:p w14:paraId="1C450CC8" w14:textId="77777777" w:rsidR="00F65BCA" w:rsidRDefault="00F65BCA">
                        <w:pPr>
                          <w:pStyle w:val="TableParagraph"/>
                          <w:rPr>
                            <w:rFonts w:ascii="Calibri"/>
                            <w:sz w:val="2"/>
                          </w:rPr>
                        </w:pPr>
                      </w:p>
                      <w:p w14:paraId="20081F5D" w14:textId="77777777" w:rsidR="00F65BCA" w:rsidRDefault="00F65BCA">
                        <w:pPr>
                          <w:pStyle w:val="TableParagraph"/>
                          <w:rPr>
                            <w:rFonts w:ascii="Calibri"/>
                            <w:sz w:val="2"/>
                          </w:rPr>
                        </w:pPr>
                      </w:p>
                      <w:p w14:paraId="72A7E9EE" w14:textId="77777777" w:rsidR="00F65BCA" w:rsidRDefault="00F65BCA">
                        <w:pPr>
                          <w:pStyle w:val="TableParagraph"/>
                          <w:rPr>
                            <w:rFonts w:ascii="Calibri"/>
                            <w:sz w:val="2"/>
                          </w:rPr>
                        </w:pPr>
                      </w:p>
                      <w:p w14:paraId="2EC643AD" w14:textId="77777777" w:rsidR="00F65BCA" w:rsidRDefault="00F65BCA">
                        <w:pPr>
                          <w:pStyle w:val="TableParagraph"/>
                          <w:rPr>
                            <w:rFonts w:ascii="Calibri"/>
                            <w:sz w:val="2"/>
                          </w:rPr>
                        </w:pPr>
                      </w:p>
                      <w:p w14:paraId="071F1333" w14:textId="77777777" w:rsidR="00F65BCA" w:rsidRDefault="00F65BCA">
                        <w:pPr>
                          <w:pStyle w:val="TableParagraph"/>
                          <w:rPr>
                            <w:rFonts w:ascii="Calibri"/>
                            <w:sz w:val="2"/>
                          </w:rPr>
                        </w:pPr>
                      </w:p>
                      <w:p w14:paraId="4E304CB7" w14:textId="77777777" w:rsidR="00F65BCA" w:rsidRDefault="00216117">
                        <w:pPr>
                          <w:pStyle w:val="TableParagraph"/>
                          <w:ind w:left="24" w:right="24"/>
                          <w:jc w:val="center"/>
                          <w:rPr>
                            <w:sz w:val="3"/>
                          </w:rPr>
                        </w:pPr>
                        <w:r>
                          <w:rPr>
                            <w:w w:val="105"/>
                            <w:sz w:val="3"/>
                          </w:rPr>
                          <w:t>1,48732584%</w:t>
                        </w:r>
                      </w:p>
                    </w:tc>
                    <w:tc>
                      <w:tcPr>
                        <w:tcW w:w="288" w:type="dxa"/>
                        <w:tcBorders>
                          <w:top w:val="single" w:sz="2" w:space="0" w:color="000000"/>
                          <w:left w:val="single" w:sz="2" w:space="0" w:color="000000"/>
                          <w:bottom w:val="single" w:sz="2" w:space="0" w:color="000000"/>
                          <w:right w:val="single" w:sz="2" w:space="0" w:color="000000"/>
                        </w:tcBorders>
                      </w:tcPr>
                      <w:p w14:paraId="2DFBE35F" w14:textId="77777777" w:rsidR="00F65BCA" w:rsidRDefault="00F65BCA">
                        <w:pPr>
                          <w:pStyle w:val="TableParagraph"/>
                          <w:rPr>
                            <w:rFonts w:ascii="Calibri"/>
                            <w:sz w:val="2"/>
                          </w:rPr>
                        </w:pPr>
                      </w:p>
                      <w:p w14:paraId="334E73A7" w14:textId="77777777" w:rsidR="00F65BCA" w:rsidRDefault="00F65BCA">
                        <w:pPr>
                          <w:pStyle w:val="TableParagraph"/>
                          <w:rPr>
                            <w:rFonts w:ascii="Calibri"/>
                            <w:sz w:val="2"/>
                          </w:rPr>
                        </w:pPr>
                      </w:p>
                      <w:p w14:paraId="63B793B9" w14:textId="77777777" w:rsidR="00F65BCA" w:rsidRDefault="00F65BCA">
                        <w:pPr>
                          <w:pStyle w:val="TableParagraph"/>
                          <w:rPr>
                            <w:rFonts w:ascii="Calibri"/>
                            <w:sz w:val="2"/>
                          </w:rPr>
                        </w:pPr>
                      </w:p>
                      <w:p w14:paraId="14AB1A0B" w14:textId="77777777" w:rsidR="00F65BCA" w:rsidRDefault="00F65BCA">
                        <w:pPr>
                          <w:pStyle w:val="TableParagraph"/>
                          <w:rPr>
                            <w:rFonts w:ascii="Calibri"/>
                            <w:sz w:val="2"/>
                          </w:rPr>
                        </w:pPr>
                      </w:p>
                      <w:p w14:paraId="0312D8D0" w14:textId="77777777" w:rsidR="00F65BCA" w:rsidRDefault="00F65BCA">
                        <w:pPr>
                          <w:pStyle w:val="TableParagraph"/>
                          <w:rPr>
                            <w:rFonts w:ascii="Calibri"/>
                            <w:sz w:val="2"/>
                          </w:rPr>
                        </w:pPr>
                      </w:p>
                      <w:p w14:paraId="05145B9D" w14:textId="77777777" w:rsidR="00F65BCA" w:rsidRDefault="00F65BCA">
                        <w:pPr>
                          <w:pStyle w:val="TableParagraph"/>
                          <w:rPr>
                            <w:rFonts w:ascii="Calibri"/>
                            <w:sz w:val="2"/>
                          </w:rPr>
                        </w:pPr>
                      </w:p>
                      <w:p w14:paraId="790B446A" w14:textId="77777777" w:rsidR="00F65BCA" w:rsidRDefault="00F65BCA">
                        <w:pPr>
                          <w:pStyle w:val="TableParagraph"/>
                          <w:rPr>
                            <w:rFonts w:ascii="Calibri"/>
                            <w:sz w:val="2"/>
                          </w:rPr>
                        </w:pPr>
                      </w:p>
                      <w:p w14:paraId="404C980D" w14:textId="77777777" w:rsidR="00F65BCA" w:rsidRDefault="00216117">
                        <w:pPr>
                          <w:pStyle w:val="TableParagraph"/>
                          <w:ind w:left="24" w:right="24"/>
                          <w:jc w:val="center"/>
                          <w:rPr>
                            <w:sz w:val="3"/>
                          </w:rPr>
                        </w:pPr>
                        <w:r>
                          <w:rPr>
                            <w:w w:val="105"/>
                            <w:sz w:val="3"/>
                          </w:rPr>
                          <w:t>1,35211440%</w:t>
                        </w:r>
                      </w:p>
                    </w:tc>
                    <w:tc>
                      <w:tcPr>
                        <w:tcW w:w="288" w:type="dxa"/>
                        <w:tcBorders>
                          <w:top w:val="single" w:sz="2" w:space="0" w:color="000000"/>
                          <w:left w:val="single" w:sz="2" w:space="0" w:color="000000"/>
                          <w:bottom w:val="single" w:sz="2" w:space="0" w:color="000000"/>
                          <w:right w:val="single" w:sz="2" w:space="0" w:color="000000"/>
                        </w:tcBorders>
                      </w:tcPr>
                      <w:p w14:paraId="5571F786" w14:textId="77777777" w:rsidR="00F65BCA" w:rsidRDefault="00F65BCA">
                        <w:pPr>
                          <w:pStyle w:val="TableParagraph"/>
                          <w:rPr>
                            <w:rFonts w:ascii="Calibri"/>
                            <w:sz w:val="2"/>
                          </w:rPr>
                        </w:pPr>
                      </w:p>
                      <w:p w14:paraId="1031B07E" w14:textId="77777777" w:rsidR="00F65BCA" w:rsidRDefault="00F65BCA">
                        <w:pPr>
                          <w:pStyle w:val="TableParagraph"/>
                          <w:rPr>
                            <w:rFonts w:ascii="Calibri"/>
                            <w:sz w:val="2"/>
                          </w:rPr>
                        </w:pPr>
                      </w:p>
                      <w:p w14:paraId="5D4C78F6" w14:textId="77777777" w:rsidR="00F65BCA" w:rsidRDefault="00F65BCA">
                        <w:pPr>
                          <w:pStyle w:val="TableParagraph"/>
                          <w:rPr>
                            <w:rFonts w:ascii="Calibri"/>
                            <w:sz w:val="2"/>
                          </w:rPr>
                        </w:pPr>
                      </w:p>
                      <w:p w14:paraId="59C94F21" w14:textId="77777777" w:rsidR="00F65BCA" w:rsidRDefault="00F65BCA">
                        <w:pPr>
                          <w:pStyle w:val="TableParagraph"/>
                          <w:rPr>
                            <w:rFonts w:ascii="Calibri"/>
                            <w:sz w:val="2"/>
                          </w:rPr>
                        </w:pPr>
                      </w:p>
                      <w:p w14:paraId="1AED960F" w14:textId="77777777" w:rsidR="00F65BCA" w:rsidRDefault="00F65BCA">
                        <w:pPr>
                          <w:pStyle w:val="TableParagraph"/>
                          <w:rPr>
                            <w:rFonts w:ascii="Calibri"/>
                            <w:sz w:val="2"/>
                          </w:rPr>
                        </w:pPr>
                      </w:p>
                      <w:p w14:paraId="27A27499" w14:textId="77777777" w:rsidR="00F65BCA" w:rsidRDefault="00F65BCA">
                        <w:pPr>
                          <w:pStyle w:val="TableParagraph"/>
                          <w:rPr>
                            <w:rFonts w:ascii="Calibri"/>
                            <w:sz w:val="2"/>
                          </w:rPr>
                        </w:pPr>
                      </w:p>
                      <w:p w14:paraId="1E5FDF6F" w14:textId="77777777" w:rsidR="00F65BCA" w:rsidRDefault="00F65BCA">
                        <w:pPr>
                          <w:pStyle w:val="TableParagraph"/>
                          <w:rPr>
                            <w:rFonts w:ascii="Calibri"/>
                            <w:sz w:val="2"/>
                          </w:rPr>
                        </w:pPr>
                      </w:p>
                      <w:p w14:paraId="5F0B7499" w14:textId="77777777" w:rsidR="00F65BCA" w:rsidRDefault="00216117">
                        <w:pPr>
                          <w:pStyle w:val="TableParagraph"/>
                          <w:ind w:left="24" w:right="24"/>
                          <w:jc w:val="center"/>
                          <w:rPr>
                            <w:sz w:val="3"/>
                          </w:rPr>
                        </w:pPr>
                        <w:r>
                          <w:rPr>
                            <w:w w:val="105"/>
                            <w:sz w:val="3"/>
                          </w:rPr>
                          <w:t>1,35211440%</w:t>
                        </w:r>
                      </w:p>
                    </w:tc>
                    <w:tc>
                      <w:tcPr>
                        <w:tcW w:w="288" w:type="dxa"/>
                        <w:tcBorders>
                          <w:top w:val="single" w:sz="2" w:space="0" w:color="000000"/>
                          <w:left w:val="single" w:sz="2" w:space="0" w:color="000000"/>
                          <w:bottom w:val="single" w:sz="2" w:space="0" w:color="000000"/>
                          <w:right w:val="single" w:sz="2" w:space="0" w:color="000000"/>
                        </w:tcBorders>
                      </w:tcPr>
                      <w:p w14:paraId="5584F22A" w14:textId="77777777" w:rsidR="00F65BCA" w:rsidRDefault="00F65BCA">
                        <w:pPr>
                          <w:pStyle w:val="TableParagraph"/>
                          <w:rPr>
                            <w:rFonts w:ascii="Calibri"/>
                            <w:sz w:val="2"/>
                          </w:rPr>
                        </w:pPr>
                      </w:p>
                      <w:p w14:paraId="684B1444" w14:textId="77777777" w:rsidR="00F65BCA" w:rsidRDefault="00F65BCA">
                        <w:pPr>
                          <w:pStyle w:val="TableParagraph"/>
                          <w:rPr>
                            <w:rFonts w:ascii="Calibri"/>
                            <w:sz w:val="2"/>
                          </w:rPr>
                        </w:pPr>
                      </w:p>
                      <w:p w14:paraId="23555AD5" w14:textId="77777777" w:rsidR="00F65BCA" w:rsidRDefault="00F65BCA">
                        <w:pPr>
                          <w:pStyle w:val="TableParagraph"/>
                          <w:rPr>
                            <w:rFonts w:ascii="Calibri"/>
                            <w:sz w:val="2"/>
                          </w:rPr>
                        </w:pPr>
                      </w:p>
                      <w:p w14:paraId="1C8A66F6" w14:textId="77777777" w:rsidR="00F65BCA" w:rsidRDefault="00F65BCA">
                        <w:pPr>
                          <w:pStyle w:val="TableParagraph"/>
                          <w:rPr>
                            <w:rFonts w:ascii="Calibri"/>
                            <w:sz w:val="2"/>
                          </w:rPr>
                        </w:pPr>
                      </w:p>
                      <w:p w14:paraId="049CAD15" w14:textId="77777777" w:rsidR="00F65BCA" w:rsidRDefault="00F65BCA">
                        <w:pPr>
                          <w:pStyle w:val="TableParagraph"/>
                          <w:rPr>
                            <w:rFonts w:ascii="Calibri"/>
                            <w:sz w:val="2"/>
                          </w:rPr>
                        </w:pPr>
                      </w:p>
                      <w:p w14:paraId="09A8BD93" w14:textId="77777777" w:rsidR="00F65BCA" w:rsidRDefault="00F65BCA">
                        <w:pPr>
                          <w:pStyle w:val="TableParagraph"/>
                          <w:rPr>
                            <w:rFonts w:ascii="Calibri"/>
                            <w:sz w:val="2"/>
                          </w:rPr>
                        </w:pPr>
                      </w:p>
                      <w:p w14:paraId="297D53B2" w14:textId="77777777" w:rsidR="00F65BCA" w:rsidRDefault="00F65BCA">
                        <w:pPr>
                          <w:pStyle w:val="TableParagraph"/>
                          <w:rPr>
                            <w:rFonts w:ascii="Calibri"/>
                            <w:sz w:val="2"/>
                          </w:rPr>
                        </w:pPr>
                      </w:p>
                      <w:p w14:paraId="48009C58" w14:textId="77777777" w:rsidR="00F65BCA" w:rsidRDefault="00216117">
                        <w:pPr>
                          <w:pStyle w:val="TableParagraph"/>
                          <w:ind w:left="24" w:right="24"/>
                          <w:jc w:val="center"/>
                          <w:rPr>
                            <w:sz w:val="3"/>
                          </w:rPr>
                        </w:pPr>
                        <w:r>
                          <w:rPr>
                            <w:w w:val="105"/>
                            <w:sz w:val="3"/>
                          </w:rPr>
                          <w:t>1,62253728%</w:t>
                        </w:r>
                      </w:p>
                    </w:tc>
                    <w:tc>
                      <w:tcPr>
                        <w:tcW w:w="288" w:type="dxa"/>
                        <w:tcBorders>
                          <w:top w:val="single" w:sz="2" w:space="0" w:color="000000"/>
                          <w:left w:val="single" w:sz="2" w:space="0" w:color="000000"/>
                          <w:bottom w:val="single" w:sz="2" w:space="0" w:color="000000"/>
                          <w:right w:val="single" w:sz="2" w:space="0" w:color="000000"/>
                        </w:tcBorders>
                      </w:tcPr>
                      <w:p w14:paraId="5A7ABD26" w14:textId="77777777" w:rsidR="00F65BCA" w:rsidRDefault="00F65BCA">
                        <w:pPr>
                          <w:pStyle w:val="TableParagraph"/>
                          <w:rPr>
                            <w:rFonts w:ascii="Calibri"/>
                            <w:sz w:val="2"/>
                          </w:rPr>
                        </w:pPr>
                      </w:p>
                      <w:p w14:paraId="31B74B33" w14:textId="77777777" w:rsidR="00F65BCA" w:rsidRDefault="00F65BCA">
                        <w:pPr>
                          <w:pStyle w:val="TableParagraph"/>
                          <w:rPr>
                            <w:rFonts w:ascii="Calibri"/>
                            <w:sz w:val="2"/>
                          </w:rPr>
                        </w:pPr>
                      </w:p>
                      <w:p w14:paraId="5FCCA8AF" w14:textId="77777777" w:rsidR="00F65BCA" w:rsidRDefault="00F65BCA">
                        <w:pPr>
                          <w:pStyle w:val="TableParagraph"/>
                          <w:rPr>
                            <w:rFonts w:ascii="Calibri"/>
                            <w:sz w:val="2"/>
                          </w:rPr>
                        </w:pPr>
                      </w:p>
                      <w:p w14:paraId="49703484" w14:textId="77777777" w:rsidR="00F65BCA" w:rsidRDefault="00F65BCA">
                        <w:pPr>
                          <w:pStyle w:val="TableParagraph"/>
                          <w:rPr>
                            <w:rFonts w:ascii="Calibri"/>
                            <w:sz w:val="2"/>
                          </w:rPr>
                        </w:pPr>
                      </w:p>
                      <w:p w14:paraId="709B77DA" w14:textId="77777777" w:rsidR="00F65BCA" w:rsidRDefault="00F65BCA">
                        <w:pPr>
                          <w:pStyle w:val="TableParagraph"/>
                          <w:rPr>
                            <w:rFonts w:ascii="Calibri"/>
                            <w:sz w:val="2"/>
                          </w:rPr>
                        </w:pPr>
                      </w:p>
                      <w:p w14:paraId="1751E67A" w14:textId="77777777" w:rsidR="00F65BCA" w:rsidRDefault="00F65BCA">
                        <w:pPr>
                          <w:pStyle w:val="TableParagraph"/>
                          <w:rPr>
                            <w:rFonts w:ascii="Calibri"/>
                            <w:sz w:val="2"/>
                          </w:rPr>
                        </w:pPr>
                      </w:p>
                      <w:p w14:paraId="3C038899" w14:textId="77777777" w:rsidR="00F65BCA" w:rsidRDefault="00F65BCA">
                        <w:pPr>
                          <w:pStyle w:val="TableParagraph"/>
                          <w:rPr>
                            <w:rFonts w:ascii="Calibri"/>
                            <w:sz w:val="2"/>
                          </w:rPr>
                        </w:pPr>
                      </w:p>
                      <w:p w14:paraId="6E9C2AD9" w14:textId="77777777" w:rsidR="00F65BCA" w:rsidRDefault="00216117">
                        <w:pPr>
                          <w:pStyle w:val="TableParagraph"/>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7824BBCB" w14:textId="77777777" w:rsidR="00F65BCA" w:rsidRDefault="00F65BCA">
                        <w:pPr>
                          <w:pStyle w:val="TableParagraph"/>
                          <w:rPr>
                            <w:rFonts w:ascii="Calibri"/>
                            <w:sz w:val="2"/>
                          </w:rPr>
                        </w:pPr>
                      </w:p>
                      <w:p w14:paraId="3445496B" w14:textId="77777777" w:rsidR="00F65BCA" w:rsidRDefault="00F65BCA">
                        <w:pPr>
                          <w:pStyle w:val="TableParagraph"/>
                          <w:rPr>
                            <w:rFonts w:ascii="Calibri"/>
                            <w:sz w:val="2"/>
                          </w:rPr>
                        </w:pPr>
                      </w:p>
                      <w:p w14:paraId="611E4C49" w14:textId="77777777" w:rsidR="00F65BCA" w:rsidRDefault="00F65BCA">
                        <w:pPr>
                          <w:pStyle w:val="TableParagraph"/>
                          <w:rPr>
                            <w:rFonts w:ascii="Calibri"/>
                            <w:sz w:val="2"/>
                          </w:rPr>
                        </w:pPr>
                      </w:p>
                      <w:p w14:paraId="6261721F" w14:textId="77777777" w:rsidR="00F65BCA" w:rsidRDefault="00F65BCA">
                        <w:pPr>
                          <w:pStyle w:val="TableParagraph"/>
                          <w:rPr>
                            <w:rFonts w:ascii="Calibri"/>
                            <w:sz w:val="2"/>
                          </w:rPr>
                        </w:pPr>
                      </w:p>
                      <w:p w14:paraId="4F63F4CA" w14:textId="77777777" w:rsidR="00F65BCA" w:rsidRDefault="00F65BCA">
                        <w:pPr>
                          <w:pStyle w:val="TableParagraph"/>
                          <w:rPr>
                            <w:rFonts w:ascii="Calibri"/>
                            <w:sz w:val="2"/>
                          </w:rPr>
                        </w:pPr>
                      </w:p>
                      <w:p w14:paraId="48B2C7F1" w14:textId="77777777" w:rsidR="00F65BCA" w:rsidRDefault="00F65BCA">
                        <w:pPr>
                          <w:pStyle w:val="TableParagraph"/>
                          <w:rPr>
                            <w:rFonts w:ascii="Calibri"/>
                            <w:sz w:val="2"/>
                          </w:rPr>
                        </w:pPr>
                      </w:p>
                      <w:p w14:paraId="0DAD4B3C" w14:textId="77777777" w:rsidR="00F65BCA" w:rsidRDefault="00F65BCA">
                        <w:pPr>
                          <w:pStyle w:val="TableParagraph"/>
                          <w:rPr>
                            <w:rFonts w:ascii="Calibri"/>
                            <w:sz w:val="2"/>
                          </w:rPr>
                        </w:pPr>
                      </w:p>
                      <w:p w14:paraId="4C2BF8BD" w14:textId="77777777" w:rsidR="00F65BCA" w:rsidRDefault="00216117">
                        <w:pPr>
                          <w:pStyle w:val="TableParagraph"/>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4DF2507D" w14:textId="77777777" w:rsidR="00F65BCA" w:rsidRDefault="00F65BCA">
                        <w:pPr>
                          <w:pStyle w:val="TableParagraph"/>
                          <w:rPr>
                            <w:rFonts w:ascii="Calibri"/>
                            <w:sz w:val="2"/>
                          </w:rPr>
                        </w:pPr>
                      </w:p>
                      <w:p w14:paraId="64069F7A" w14:textId="77777777" w:rsidR="00F65BCA" w:rsidRDefault="00F65BCA">
                        <w:pPr>
                          <w:pStyle w:val="TableParagraph"/>
                          <w:rPr>
                            <w:rFonts w:ascii="Calibri"/>
                            <w:sz w:val="2"/>
                          </w:rPr>
                        </w:pPr>
                      </w:p>
                      <w:p w14:paraId="6D2103E1" w14:textId="77777777" w:rsidR="00F65BCA" w:rsidRDefault="00F65BCA">
                        <w:pPr>
                          <w:pStyle w:val="TableParagraph"/>
                          <w:rPr>
                            <w:rFonts w:ascii="Calibri"/>
                            <w:sz w:val="2"/>
                          </w:rPr>
                        </w:pPr>
                      </w:p>
                      <w:p w14:paraId="269EB28B" w14:textId="77777777" w:rsidR="00F65BCA" w:rsidRDefault="00F65BCA">
                        <w:pPr>
                          <w:pStyle w:val="TableParagraph"/>
                          <w:rPr>
                            <w:rFonts w:ascii="Calibri"/>
                            <w:sz w:val="2"/>
                          </w:rPr>
                        </w:pPr>
                      </w:p>
                      <w:p w14:paraId="3134563D" w14:textId="77777777" w:rsidR="00F65BCA" w:rsidRDefault="00F65BCA">
                        <w:pPr>
                          <w:pStyle w:val="TableParagraph"/>
                          <w:rPr>
                            <w:rFonts w:ascii="Calibri"/>
                            <w:sz w:val="2"/>
                          </w:rPr>
                        </w:pPr>
                      </w:p>
                      <w:p w14:paraId="3FDD3089" w14:textId="77777777" w:rsidR="00F65BCA" w:rsidRDefault="00F65BCA">
                        <w:pPr>
                          <w:pStyle w:val="TableParagraph"/>
                          <w:rPr>
                            <w:rFonts w:ascii="Calibri"/>
                            <w:sz w:val="2"/>
                          </w:rPr>
                        </w:pPr>
                      </w:p>
                      <w:p w14:paraId="239BD176" w14:textId="77777777" w:rsidR="00F65BCA" w:rsidRDefault="00F65BCA">
                        <w:pPr>
                          <w:pStyle w:val="TableParagraph"/>
                          <w:rPr>
                            <w:rFonts w:ascii="Calibri"/>
                            <w:sz w:val="2"/>
                          </w:rPr>
                        </w:pPr>
                      </w:p>
                      <w:p w14:paraId="2BBF5F9B" w14:textId="77777777" w:rsidR="00F65BCA" w:rsidRDefault="00216117">
                        <w:pPr>
                          <w:pStyle w:val="TableParagraph"/>
                          <w:ind w:left="24" w:right="24"/>
                          <w:jc w:val="center"/>
                          <w:rPr>
                            <w:sz w:val="3"/>
                          </w:rPr>
                        </w:pPr>
                        <w:r>
                          <w:rPr>
                            <w:w w:val="105"/>
                            <w:sz w:val="3"/>
                          </w:rPr>
                          <w:t>2,02817160%</w:t>
                        </w:r>
                      </w:p>
                    </w:tc>
                  </w:tr>
                  <w:tr w:rsidR="00F65BCA" w14:paraId="1B94D265" w14:textId="77777777">
                    <w:trPr>
                      <w:trHeight w:val="115"/>
                    </w:trPr>
                    <w:tc>
                      <w:tcPr>
                        <w:tcW w:w="526" w:type="dxa"/>
                        <w:vMerge w:val="restart"/>
                        <w:tcBorders>
                          <w:top w:val="single" w:sz="2" w:space="0" w:color="000000"/>
                          <w:left w:val="single" w:sz="2" w:space="0" w:color="000000"/>
                          <w:bottom w:val="nil"/>
                          <w:right w:val="single" w:sz="2" w:space="0" w:color="000000"/>
                        </w:tcBorders>
                        <w:shd w:val="clear" w:color="auto" w:fill="FCE4D6"/>
                      </w:tcPr>
                      <w:p w14:paraId="50F5933E" w14:textId="77777777" w:rsidR="00F65BCA" w:rsidRDefault="00F65BCA">
                        <w:pPr>
                          <w:pStyle w:val="TableParagraph"/>
                          <w:rPr>
                            <w:rFonts w:ascii="Calibri"/>
                            <w:sz w:val="2"/>
                          </w:rPr>
                        </w:pPr>
                      </w:p>
                      <w:p w14:paraId="781E8451" w14:textId="77777777" w:rsidR="00F65BCA" w:rsidRDefault="00F65BCA">
                        <w:pPr>
                          <w:pStyle w:val="TableParagraph"/>
                          <w:rPr>
                            <w:rFonts w:ascii="Calibri"/>
                            <w:sz w:val="2"/>
                          </w:rPr>
                        </w:pPr>
                      </w:p>
                      <w:p w14:paraId="45C70C9D" w14:textId="77777777" w:rsidR="00F65BCA" w:rsidRDefault="00F65BCA">
                        <w:pPr>
                          <w:pStyle w:val="TableParagraph"/>
                          <w:rPr>
                            <w:rFonts w:ascii="Calibri"/>
                            <w:sz w:val="2"/>
                          </w:rPr>
                        </w:pPr>
                      </w:p>
                      <w:p w14:paraId="003BC02D" w14:textId="77777777" w:rsidR="00F65BCA" w:rsidRDefault="00F65BCA">
                        <w:pPr>
                          <w:pStyle w:val="TableParagraph"/>
                          <w:rPr>
                            <w:rFonts w:ascii="Calibri"/>
                            <w:sz w:val="2"/>
                          </w:rPr>
                        </w:pPr>
                      </w:p>
                      <w:p w14:paraId="0F48295C" w14:textId="77777777" w:rsidR="00F65BCA" w:rsidRDefault="00F65BCA">
                        <w:pPr>
                          <w:pStyle w:val="TableParagraph"/>
                          <w:rPr>
                            <w:rFonts w:ascii="Calibri"/>
                            <w:sz w:val="2"/>
                          </w:rPr>
                        </w:pPr>
                      </w:p>
                      <w:p w14:paraId="5E676BF0" w14:textId="77777777" w:rsidR="00F65BCA" w:rsidRDefault="00F65BCA">
                        <w:pPr>
                          <w:pStyle w:val="TableParagraph"/>
                          <w:rPr>
                            <w:rFonts w:ascii="Calibri"/>
                            <w:sz w:val="2"/>
                          </w:rPr>
                        </w:pPr>
                      </w:p>
                      <w:p w14:paraId="40A4C344" w14:textId="77777777" w:rsidR="00F65BCA" w:rsidRDefault="00F65BCA">
                        <w:pPr>
                          <w:pStyle w:val="TableParagraph"/>
                          <w:rPr>
                            <w:rFonts w:ascii="Calibri"/>
                            <w:sz w:val="2"/>
                          </w:rPr>
                        </w:pPr>
                      </w:p>
                      <w:p w14:paraId="0BE3D508" w14:textId="77777777" w:rsidR="00F65BCA" w:rsidRDefault="00F65BCA">
                        <w:pPr>
                          <w:pStyle w:val="TableParagraph"/>
                          <w:rPr>
                            <w:rFonts w:ascii="Calibri"/>
                            <w:sz w:val="2"/>
                          </w:rPr>
                        </w:pPr>
                      </w:p>
                      <w:p w14:paraId="3E7058C4" w14:textId="77777777" w:rsidR="00F65BCA" w:rsidRDefault="00F65BCA">
                        <w:pPr>
                          <w:pStyle w:val="TableParagraph"/>
                          <w:rPr>
                            <w:rFonts w:ascii="Calibri"/>
                            <w:sz w:val="2"/>
                          </w:rPr>
                        </w:pPr>
                      </w:p>
                      <w:p w14:paraId="770A2E44" w14:textId="77777777" w:rsidR="00F65BCA" w:rsidRDefault="00F65BCA">
                        <w:pPr>
                          <w:pStyle w:val="TableParagraph"/>
                          <w:rPr>
                            <w:rFonts w:ascii="Calibri"/>
                            <w:sz w:val="2"/>
                          </w:rPr>
                        </w:pPr>
                      </w:p>
                      <w:p w14:paraId="5C9DE974" w14:textId="77777777" w:rsidR="00F65BCA" w:rsidRDefault="00F65BCA">
                        <w:pPr>
                          <w:pStyle w:val="TableParagraph"/>
                          <w:rPr>
                            <w:rFonts w:ascii="Calibri"/>
                            <w:sz w:val="2"/>
                          </w:rPr>
                        </w:pPr>
                      </w:p>
                      <w:p w14:paraId="3111DFA2" w14:textId="77777777" w:rsidR="00F65BCA" w:rsidRDefault="00F65BCA">
                        <w:pPr>
                          <w:pStyle w:val="TableParagraph"/>
                          <w:rPr>
                            <w:rFonts w:ascii="Calibri"/>
                            <w:sz w:val="2"/>
                          </w:rPr>
                        </w:pPr>
                      </w:p>
                      <w:p w14:paraId="15BD1130" w14:textId="77777777" w:rsidR="00F65BCA" w:rsidRDefault="00F65BCA">
                        <w:pPr>
                          <w:pStyle w:val="TableParagraph"/>
                          <w:rPr>
                            <w:rFonts w:ascii="Calibri"/>
                            <w:sz w:val="2"/>
                          </w:rPr>
                        </w:pPr>
                      </w:p>
                      <w:p w14:paraId="11490EEB" w14:textId="77777777" w:rsidR="00F65BCA" w:rsidRDefault="00F65BCA">
                        <w:pPr>
                          <w:pStyle w:val="TableParagraph"/>
                          <w:rPr>
                            <w:rFonts w:ascii="Calibri"/>
                            <w:sz w:val="2"/>
                          </w:rPr>
                        </w:pPr>
                      </w:p>
                      <w:p w14:paraId="3ACE14DA" w14:textId="77777777" w:rsidR="00F65BCA" w:rsidRDefault="00F65BCA">
                        <w:pPr>
                          <w:pStyle w:val="TableParagraph"/>
                          <w:rPr>
                            <w:rFonts w:ascii="Calibri"/>
                            <w:sz w:val="2"/>
                          </w:rPr>
                        </w:pPr>
                      </w:p>
                      <w:p w14:paraId="0F02D3FA" w14:textId="77777777" w:rsidR="00F65BCA" w:rsidRDefault="00F65BCA">
                        <w:pPr>
                          <w:pStyle w:val="TableParagraph"/>
                          <w:rPr>
                            <w:rFonts w:ascii="Calibri"/>
                            <w:sz w:val="2"/>
                          </w:rPr>
                        </w:pPr>
                      </w:p>
                      <w:p w14:paraId="7A8ADD0E" w14:textId="77777777" w:rsidR="00F65BCA" w:rsidRDefault="00F65BCA">
                        <w:pPr>
                          <w:pStyle w:val="TableParagraph"/>
                          <w:rPr>
                            <w:rFonts w:ascii="Calibri"/>
                            <w:sz w:val="2"/>
                          </w:rPr>
                        </w:pPr>
                      </w:p>
                      <w:p w14:paraId="3C4F6DFA" w14:textId="77777777" w:rsidR="00F65BCA" w:rsidRDefault="00F65BCA">
                        <w:pPr>
                          <w:pStyle w:val="TableParagraph"/>
                          <w:rPr>
                            <w:rFonts w:ascii="Calibri"/>
                            <w:sz w:val="2"/>
                          </w:rPr>
                        </w:pPr>
                      </w:p>
                      <w:p w14:paraId="4E3AEE74" w14:textId="77777777" w:rsidR="00F65BCA" w:rsidRDefault="00F65BCA">
                        <w:pPr>
                          <w:pStyle w:val="TableParagraph"/>
                          <w:rPr>
                            <w:rFonts w:ascii="Calibri"/>
                            <w:sz w:val="2"/>
                          </w:rPr>
                        </w:pPr>
                      </w:p>
                      <w:p w14:paraId="45DAC1CA" w14:textId="77777777" w:rsidR="00F65BCA" w:rsidRDefault="00F65BCA">
                        <w:pPr>
                          <w:pStyle w:val="TableParagraph"/>
                          <w:rPr>
                            <w:rFonts w:ascii="Calibri"/>
                            <w:sz w:val="2"/>
                          </w:rPr>
                        </w:pPr>
                      </w:p>
                      <w:p w14:paraId="74494091" w14:textId="77777777" w:rsidR="00F65BCA" w:rsidRDefault="00F65BCA">
                        <w:pPr>
                          <w:pStyle w:val="TableParagraph"/>
                          <w:rPr>
                            <w:rFonts w:ascii="Calibri"/>
                            <w:sz w:val="2"/>
                          </w:rPr>
                        </w:pPr>
                      </w:p>
                      <w:p w14:paraId="393EE0E1" w14:textId="77777777" w:rsidR="00F65BCA" w:rsidRDefault="00F65BCA">
                        <w:pPr>
                          <w:pStyle w:val="TableParagraph"/>
                          <w:rPr>
                            <w:rFonts w:ascii="Calibri"/>
                            <w:sz w:val="2"/>
                          </w:rPr>
                        </w:pPr>
                      </w:p>
                      <w:p w14:paraId="3C45E849" w14:textId="77777777" w:rsidR="00F65BCA" w:rsidRDefault="00F65BCA">
                        <w:pPr>
                          <w:pStyle w:val="TableParagraph"/>
                          <w:rPr>
                            <w:rFonts w:ascii="Calibri"/>
                            <w:sz w:val="2"/>
                          </w:rPr>
                        </w:pPr>
                      </w:p>
                      <w:p w14:paraId="60ED1C79" w14:textId="77777777" w:rsidR="00F65BCA" w:rsidRDefault="00F65BCA">
                        <w:pPr>
                          <w:pStyle w:val="TableParagraph"/>
                          <w:rPr>
                            <w:rFonts w:ascii="Calibri"/>
                            <w:sz w:val="2"/>
                          </w:rPr>
                        </w:pPr>
                      </w:p>
                      <w:p w14:paraId="036A33A4" w14:textId="77777777" w:rsidR="00F65BCA" w:rsidRDefault="00F65BCA">
                        <w:pPr>
                          <w:pStyle w:val="TableParagraph"/>
                          <w:rPr>
                            <w:rFonts w:ascii="Calibri"/>
                            <w:sz w:val="2"/>
                          </w:rPr>
                        </w:pPr>
                      </w:p>
                      <w:p w14:paraId="1C4BBA5A" w14:textId="77777777" w:rsidR="00F65BCA" w:rsidRDefault="00F65BCA">
                        <w:pPr>
                          <w:pStyle w:val="TableParagraph"/>
                          <w:rPr>
                            <w:rFonts w:ascii="Calibri"/>
                            <w:sz w:val="2"/>
                          </w:rPr>
                        </w:pPr>
                      </w:p>
                      <w:p w14:paraId="2038C2C6" w14:textId="77777777" w:rsidR="00F65BCA" w:rsidRDefault="00F65BCA">
                        <w:pPr>
                          <w:pStyle w:val="TableParagraph"/>
                          <w:rPr>
                            <w:rFonts w:ascii="Calibri"/>
                            <w:sz w:val="2"/>
                          </w:rPr>
                        </w:pPr>
                      </w:p>
                      <w:p w14:paraId="3C94E29F" w14:textId="77777777" w:rsidR="00F65BCA" w:rsidRDefault="00F65BCA">
                        <w:pPr>
                          <w:pStyle w:val="TableParagraph"/>
                          <w:rPr>
                            <w:rFonts w:ascii="Calibri"/>
                            <w:sz w:val="2"/>
                          </w:rPr>
                        </w:pPr>
                      </w:p>
                      <w:p w14:paraId="36C6CC8C" w14:textId="77777777" w:rsidR="00F65BCA" w:rsidRDefault="00F65BCA">
                        <w:pPr>
                          <w:pStyle w:val="TableParagraph"/>
                          <w:rPr>
                            <w:rFonts w:ascii="Calibri"/>
                            <w:sz w:val="2"/>
                          </w:rPr>
                        </w:pPr>
                      </w:p>
                      <w:p w14:paraId="03A1E816" w14:textId="77777777" w:rsidR="00F65BCA" w:rsidRDefault="00F65BCA">
                        <w:pPr>
                          <w:pStyle w:val="TableParagraph"/>
                          <w:rPr>
                            <w:rFonts w:ascii="Calibri"/>
                            <w:sz w:val="2"/>
                          </w:rPr>
                        </w:pPr>
                      </w:p>
                      <w:p w14:paraId="75514392" w14:textId="77777777" w:rsidR="00F65BCA" w:rsidRDefault="00F65BCA">
                        <w:pPr>
                          <w:pStyle w:val="TableParagraph"/>
                          <w:rPr>
                            <w:rFonts w:ascii="Calibri"/>
                            <w:sz w:val="2"/>
                          </w:rPr>
                        </w:pPr>
                      </w:p>
                      <w:p w14:paraId="499A1EFE" w14:textId="77777777" w:rsidR="00F65BCA" w:rsidRDefault="00F65BCA">
                        <w:pPr>
                          <w:pStyle w:val="TableParagraph"/>
                          <w:rPr>
                            <w:rFonts w:ascii="Calibri"/>
                            <w:sz w:val="2"/>
                          </w:rPr>
                        </w:pPr>
                      </w:p>
                      <w:p w14:paraId="38A3BFEE" w14:textId="77777777" w:rsidR="00F65BCA" w:rsidRDefault="00F65BCA">
                        <w:pPr>
                          <w:pStyle w:val="TableParagraph"/>
                          <w:rPr>
                            <w:rFonts w:ascii="Calibri"/>
                            <w:sz w:val="2"/>
                          </w:rPr>
                        </w:pPr>
                      </w:p>
                      <w:p w14:paraId="7D06D623" w14:textId="77777777" w:rsidR="00F65BCA" w:rsidRDefault="00F65BCA">
                        <w:pPr>
                          <w:pStyle w:val="TableParagraph"/>
                          <w:rPr>
                            <w:rFonts w:ascii="Calibri"/>
                            <w:sz w:val="2"/>
                          </w:rPr>
                        </w:pPr>
                      </w:p>
                      <w:p w14:paraId="0A520444" w14:textId="77777777" w:rsidR="00F65BCA" w:rsidRDefault="00F65BCA">
                        <w:pPr>
                          <w:pStyle w:val="TableParagraph"/>
                          <w:rPr>
                            <w:rFonts w:ascii="Calibri"/>
                            <w:sz w:val="2"/>
                          </w:rPr>
                        </w:pPr>
                      </w:p>
                      <w:p w14:paraId="077A4873" w14:textId="77777777" w:rsidR="00F65BCA" w:rsidRDefault="00F65BCA">
                        <w:pPr>
                          <w:pStyle w:val="TableParagraph"/>
                          <w:rPr>
                            <w:rFonts w:ascii="Calibri"/>
                            <w:sz w:val="2"/>
                          </w:rPr>
                        </w:pPr>
                      </w:p>
                      <w:p w14:paraId="793A098A" w14:textId="77777777" w:rsidR="00F65BCA" w:rsidRDefault="00F65BCA">
                        <w:pPr>
                          <w:pStyle w:val="TableParagraph"/>
                          <w:rPr>
                            <w:rFonts w:ascii="Calibri"/>
                            <w:sz w:val="2"/>
                          </w:rPr>
                        </w:pPr>
                      </w:p>
                      <w:p w14:paraId="428CE1F4" w14:textId="77777777" w:rsidR="00F65BCA" w:rsidRDefault="00F65BCA">
                        <w:pPr>
                          <w:pStyle w:val="TableParagraph"/>
                          <w:rPr>
                            <w:rFonts w:ascii="Calibri"/>
                            <w:sz w:val="2"/>
                          </w:rPr>
                        </w:pPr>
                      </w:p>
                      <w:p w14:paraId="31C519FE" w14:textId="77777777" w:rsidR="00F65BCA" w:rsidRDefault="00F65BCA">
                        <w:pPr>
                          <w:pStyle w:val="TableParagraph"/>
                          <w:rPr>
                            <w:rFonts w:ascii="Calibri"/>
                            <w:sz w:val="2"/>
                          </w:rPr>
                        </w:pPr>
                      </w:p>
                      <w:p w14:paraId="718302A2" w14:textId="77777777" w:rsidR="00F65BCA" w:rsidRDefault="00F65BCA">
                        <w:pPr>
                          <w:pStyle w:val="TableParagraph"/>
                          <w:rPr>
                            <w:rFonts w:ascii="Calibri"/>
                            <w:sz w:val="2"/>
                          </w:rPr>
                        </w:pPr>
                      </w:p>
                      <w:p w14:paraId="4A08E721" w14:textId="77777777" w:rsidR="00F65BCA" w:rsidRDefault="00F65BCA">
                        <w:pPr>
                          <w:pStyle w:val="TableParagraph"/>
                          <w:rPr>
                            <w:rFonts w:ascii="Calibri"/>
                            <w:sz w:val="2"/>
                          </w:rPr>
                        </w:pPr>
                      </w:p>
                      <w:p w14:paraId="5297B494" w14:textId="77777777" w:rsidR="00F65BCA" w:rsidRDefault="00F65BCA">
                        <w:pPr>
                          <w:pStyle w:val="TableParagraph"/>
                          <w:rPr>
                            <w:rFonts w:ascii="Calibri"/>
                            <w:sz w:val="2"/>
                          </w:rPr>
                        </w:pPr>
                      </w:p>
                      <w:p w14:paraId="20F77892" w14:textId="77777777" w:rsidR="00F65BCA" w:rsidRDefault="00F65BCA">
                        <w:pPr>
                          <w:pStyle w:val="TableParagraph"/>
                          <w:rPr>
                            <w:rFonts w:ascii="Calibri"/>
                            <w:sz w:val="2"/>
                          </w:rPr>
                        </w:pPr>
                      </w:p>
                      <w:p w14:paraId="50D9349B" w14:textId="77777777" w:rsidR="00F65BCA" w:rsidRDefault="00F65BCA">
                        <w:pPr>
                          <w:pStyle w:val="TableParagraph"/>
                          <w:rPr>
                            <w:rFonts w:ascii="Calibri"/>
                            <w:sz w:val="2"/>
                          </w:rPr>
                        </w:pPr>
                      </w:p>
                      <w:p w14:paraId="37C407A9" w14:textId="77777777" w:rsidR="00F65BCA" w:rsidRDefault="00F65BCA">
                        <w:pPr>
                          <w:pStyle w:val="TableParagraph"/>
                          <w:rPr>
                            <w:rFonts w:ascii="Calibri"/>
                            <w:sz w:val="2"/>
                          </w:rPr>
                        </w:pPr>
                      </w:p>
                      <w:p w14:paraId="7666A0B4" w14:textId="77777777" w:rsidR="00F65BCA" w:rsidRDefault="00F65BCA">
                        <w:pPr>
                          <w:pStyle w:val="TableParagraph"/>
                          <w:rPr>
                            <w:rFonts w:ascii="Calibri"/>
                            <w:sz w:val="2"/>
                          </w:rPr>
                        </w:pPr>
                      </w:p>
                      <w:p w14:paraId="5A301013" w14:textId="77777777" w:rsidR="00F65BCA" w:rsidRDefault="00F65BCA">
                        <w:pPr>
                          <w:pStyle w:val="TableParagraph"/>
                          <w:rPr>
                            <w:rFonts w:ascii="Calibri"/>
                            <w:sz w:val="2"/>
                          </w:rPr>
                        </w:pPr>
                      </w:p>
                      <w:p w14:paraId="00E59E52" w14:textId="77777777" w:rsidR="00F65BCA" w:rsidRDefault="00F65BCA">
                        <w:pPr>
                          <w:pStyle w:val="TableParagraph"/>
                          <w:rPr>
                            <w:rFonts w:ascii="Calibri"/>
                            <w:sz w:val="2"/>
                          </w:rPr>
                        </w:pPr>
                      </w:p>
                      <w:p w14:paraId="03F7551B" w14:textId="77777777" w:rsidR="00F65BCA" w:rsidRDefault="00F65BCA">
                        <w:pPr>
                          <w:pStyle w:val="TableParagraph"/>
                          <w:rPr>
                            <w:rFonts w:ascii="Calibri"/>
                            <w:sz w:val="2"/>
                          </w:rPr>
                        </w:pPr>
                      </w:p>
                      <w:p w14:paraId="4288B1D2" w14:textId="77777777" w:rsidR="00F65BCA" w:rsidRDefault="00F65BCA">
                        <w:pPr>
                          <w:pStyle w:val="TableParagraph"/>
                          <w:rPr>
                            <w:rFonts w:ascii="Calibri"/>
                            <w:sz w:val="2"/>
                          </w:rPr>
                        </w:pPr>
                      </w:p>
                      <w:p w14:paraId="111A8F6E" w14:textId="77777777" w:rsidR="00F65BCA" w:rsidRDefault="00F65BCA">
                        <w:pPr>
                          <w:pStyle w:val="TableParagraph"/>
                          <w:rPr>
                            <w:rFonts w:ascii="Calibri"/>
                            <w:sz w:val="2"/>
                          </w:rPr>
                        </w:pPr>
                      </w:p>
                      <w:p w14:paraId="42FD23C9" w14:textId="77777777" w:rsidR="00F65BCA" w:rsidRDefault="00F65BCA">
                        <w:pPr>
                          <w:pStyle w:val="TableParagraph"/>
                          <w:rPr>
                            <w:rFonts w:ascii="Calibri"/>
                            <w:sz w:val="2"/>
                          </w:rPr>
                        </w:pPr>
                      </w:p>
                      <w:p w14:paraId="0452B209" w14:textId="77777777" w:rsidR="00F65BCA" w:rsidRDefault="00F65BCA">
                        <w:pPr>
                          <w:pStyle w:val="TableParagraph"/>
                          <w:rPr>
                            <w:rFonts w:ascii="Calibri"/>
                            <w:sz w:val="2"/>
                          </w:rPr>
                        </w:pPr>
                      </w:p>
                      <w:p w14:paraId="7384B8D7" w14:textId="77777777" w:rsidR="00F65BCA" w:rsidRDefault="00F65BCA">
                        <w:pPr>
                          <w:pStyle w:val="TableParagraph"/>
                          <w:rPr>
                            <w:rFonts w:ascii="Calibri"/>
                            <w:sz w:val="2"/>
                          </w:rPr>
                        </w:pPr>
                      </w:p>
                      <w:p w14:paraId="45B40B70" w14:textId="77777777" w:rsidR="00F65BCA" w:rsidRDefault="00F65BCA">
                        <w:pPr>
                          <w:pStyle w:val="TableParagraph"/>
                          <w:rPr>
                            <w:rFonts w:ascii="Calibri"/>
                            <w:sz w:val="2"/>
                          </w:rPr>
                        </w:pPr>
                      </w:p>
                      <w:p w14:paraId="2727A0EE" w14:textId="77777777" w:rsidR="00F65BCA" w:rsidRDefault="00F65BCA">
                        <w:pPr>
                          <w:pStyle w:val="TableParagraph"/>
                          <w:rPr>
                            <w:rFonts w:ascii="Calibri"/>
                            <w:sz w:val="2"/>
                          </w:rPr>
                        </w:pPr>
                      </w:p>
                      <w:p w14:paraId="36558AC0" w14:textId="77777777" w:rsidR="00F65BCA" w:rsidRDefault="00F65BCA">
                        <w:pPr>
                          <w:pStyle w:val="TableParagraph"/>
                          <w:rPr>
                            <w:rFonts w:ascii="Calibri"/>
                            <w:sz w:val="2"/>
                          </w:rPr>
                        </w:pPr>
                      </w:p>
                      <w:p w14:paraId="0AB8BBC0" w14:textId="77777777" w:rsidR="00F65BCA" w:rsidRDefault="00F65BCA">
                        <w:pPr>
                          <w:pStyle w:val="TableParagraph"/>
                          <w:rPr>
                            <w:rFonts w:ascii="Calibri"/>
                            <w:sz w:val="2"/>
                          </w:rPr>
                        </w:pPr>
                      </w:p>
                      <w:p w14:paraId="6C07599D" w14:textId="77777777" w:rsidR="00F65BCA" w:rsidRDefault="00F65BCA">
                        <w:pPr>
                          <w:pStyle w:val="TableParagraph"/>
                          <w:rPr>
                            <w:rFonts w:ascii="Calibri"/>
                            <w:sz w:val="2"/>
                          </w:rPr>
                        </w:pPr>
                      </w:p>
                      <w:p w14:paraId="7105C3F5" w14:textId="77777777" w:rsidR="00F65BCA" w:rsidRDefault="00F65BCA">
                        <w:pPr>
                          <w:pStyle w:val="TableParagraph"/>
                          <w:rPr>
                            <w:rFonts w:ascii="Calibri"/>
                            <w:sz w:val="2"/>
                          </w:rPr>
                        </w:pPr>
                      </w:p>
                      <w:p w14:paraId="053B8BD0" w14:textId="77777777" w:rsidR="00F65BCA" w:rsidRDefault="00F65BCA">
                        <w:pPr>
                          <w:pStyle w:val="TableParagraph"/>
                          <w:rPr>
                            <w:rFonts w:ascii="Calibri"/>
                            <w:sz w:val="2"/>
                          </w:rPr>
                        </w:pPr>
                      </w:p>
                      <w:p w14:paraId="586F5D23" w14:textId="77777777" w:rsidR="00F65BCA" w:rsidRDefault="00F65BCA">
                        <w:pPr>
                          <w:pStyle w:val="TableParagraph"/>
                          <w:rPr>
                            <w:rFonts w:ascii="Calibri"/>
                            <w:sz w:val="2"/>
                          </w:rPr>
                        </w:pPr>
                      </w:p>
                      <w:p w14:paraId="4354F8DB" w14:textId="77777777" w:rsidR="00F65BCA" w:rsidRDefault="00F65BCA">
                        <w:pPr>
                          <w:pStyle w:val="TableParagraph"/>
                          <w:rPr>
                            <w:rFonts w:ascii="Calibri"/>
                            <w:sz w:val="2"/>
                          </w:rPr>
                        </w:pPr>
                      </w:p>
                      <w:p w14:paraId="2DDBCE0A" w14:textId="77777777" w:rsidR="00F65BCA" w:rsidRDefault="00F65BCA">
                        <w:pPr>
                          <w:pStyle w:val="TableParagraph"/>
                          <w:rPr>
                            <w:rFonts w:ascii="Calibri"/>
                            <w:sz w:val="2"/>
                          </w:rPr>
                        </w:pPr>
                      </w:p>
                      <w:p w14:paraId="647C1F5C" w14:textId="77777777" w:rsidR="00F65BCA" w:rsidRDefault="00F65BCA">
                        <w:pPr>
                          <w:pStyle w:val="TableParagraph"/>
                          <w:rPr>
                            <w:rFonts w:ascii="Calibri"/>
                            <w:sz w:val="2"/>
                          </w:rPr>
                        </w:pPr>
                      </w:p>
                      <w:p w14:paraId="08CC0270" w14:textId="77777777" w:rsidR="00F65BCA" w:rsidRDefault="00F65BCA">
                        <w:pPr>
                          <w:pStyle w:val="TableParagraph"/>
                          <w:rPr>
                            <w:rFonts w:ascii="Calibri"/>
                            <w:sz w:val="2"/>
                          </w:rPr>
                        </w:pPr>
                      </w:p>
                      <w:p w14:paraId="15863963" w14:textId="77777777" w:rsidR="00F65BCA" w:rsidRDefault="00F65BCA">
                        <w:pPr>
                          <w:pStyle w:val="TableParagraph"/>
                          <w:rPr>
                            <w:rFonts w:ascii="Calibri"/>
                            <w:sz w:val="2"/>
                          </w:rPr>
                        </w:pPr>
                      </w:p>
                      <w:p w14:paraId="5954555E" w14:textId="77777777" w:rsidR="00F65BCA" w:rsidRDefault="00F65BCA">
                        <w:pPr>
                          <w:pStyle w:val="TableParagraph"/>
                          <w:rPr>
                            <w:rFonts w:ascii="Calibri"/>
                            <w:sz w:val="2"/>
                          </w:rPr>
                        </w:pPr>
                      </w:p>
                      <w:p w14:paraId="135BDF27" w14:textId="77777777" w:rsidR="00F65BCA" w:rsidRDefault="00F65BCA">
                        <w:pPr>
                          <w:pStyle w:val="TableParagraph"/>
                          <w:rPr>
                            <w:rFonts w:ascii="Calibri"/>
                            <w:sz w:val="2"/>
                          </w:rPr>
                        </w:pPr>
                      </w:p>
                      <w:p w14:paraId="468C9324" w14:textId="77777777" w:rsidR="00F65BCA" w:rsidRDefault="00F65BCA">
                        <w:pPr>
                          <w:pStyle w:val="TableParagraph"/>
                          <w:rPr>
                            <w:rFonts w:ascii="Calibri"/>
                            <w:sz w:val="2"/>
                          </w:rPr>
                        </w:pPr>
                      </w:p>
                      <w:p w14:paraId="19F599DB" w14:textId="77777777" w:rsidR="00F65BCA" w:rsidRDefault="00F65BCA">
                        <w:pPr>
                          <w:pStyle w:val="TableParagraph"/>
                          <w:rPr>
                            <w:rFonts w:ascii="Calibri"/>
                            <w:sz w:val="2"/>
                          </w:rPr>
                        </w:pPr>
                      </w:p>
                      <w:p w14:paraId="7E1C2EDC" w14:textId="77777777" w:rsidR="00F65BCA" w:rsidRDefault="00F65BCA">
                        <w:pPr>
                          <w:pStyle w:val="TableParagraph"/>
                          <w:rPr>
                            <w:rFonts w:ascii="Calibri"/>
                            <w:sz w:val="2"/>
                          </w:rPr>
                        </w:pPr>
                      </w:p>
                      <w:p w14:paraId="1A3EB8FE" w14:textId="77777777" w:rsidR="00F65BCA" w:rsidRDefault="00F65BCA">
                        <w:pPr>
                          <w:pStyle w:val="TableParagraph"/>
                          <w:rPr>
                            <w:rFonts w:ascii="Calibri"/>
                            <w:sz w:val="2"/>
                          </w:rPr>
                        </w:pPr>
                      </w:p>
                      <w:p w14:paraId="734BA08B" w14:textId="77777777" w:rsidR="00F65BCA" w:rsidRDefault="00F65BCA">
                        <w:pPr>
                          <w:pStyle w:val="TableParagraph"/>
                          <w:rPr>
                            <w:rFonts w:ascii="Calibri"/>
                            <w:sz w:val="2"/>
                          </w:rPr>
                        </w:pPr>
                      </w:p>
                      <w:p w14:paraId="375ADE25" w14:textId="77777777" w:rsidR="00F65BCA" w:rsidRDefault="00F65BCA">
                        <w:pPr>
                          <w:pStyle w:val="TableParagraph"/>
                          <w:rPr>
                            <w:rFonts w:ascii="Calibri"/>
                            <w:sz w:val="2"/>
                          </w:rPr>
                        </w:pPr>
                      </w:p>
                      <w:p w14:paraId="34090FC7" w14:textId="77777777" w:rsidR="00F65BCA" w:rsidRDefault="00F65BCA">
                        <w:pPr>
                          <w:pStyle w:val="TableParagraph"/>
                          <w:rPr>
                            <w:rFonts w:ascii="Calibri"/>
                            <w:sz w:val="2"/>
                          </w:rPr>
                        </w:pPr>
                      </w:p>
                      <w:p w14:paraId="5AAF1311" w14:textId="77777777" w:rsidR="00F65BCA" w:rsidRDefault="00F65BCA">
                        <w:pPr>
                          <w:pStyle w:val="TableParagraph"/>
                          <w:rPr>
                            <w:rFonts w:ascii="Calibri"/>
                            <w:sz w:val="2"/>
                          </w:rPr>
                        </w:pPr>
                      </w:p>
                      <w:p w14:paraId="097B61D9" w14:textId="77777777" w:rsidR="00F65BCA" w:rsidRDefault="00F65BCA">
                        <w:pPr>
                          <w:pStyle w:val="TableParagraph"/>
                          <w:rPr>
                            <w:rFonts w:ascii="Calibri"/>
                            <w:sz w:val="2"/>
                          </w:rPr>
                        </w:pPr>
                      </w:p>
                      <w:p w14:paraId="5D65802C" w14:textId="77777777" w:rsidR="00F65BCA" w:rsidRDefault="00F65BCA">
                        <w:pPr>
                          <w:pStyle w:val="TableParagraph"/>
                          <w:rPr>
                            <w:rFonts w:ascii="Calibri"/>
                            <w:sz w:val="2"/>
                          </w:rPr>
                        </w:pPr>
                      </w:p>
                      <w:p w14:paraId="19F2F69F" w14:textId="77777777" w:rsidR="00F65BCA" w:rsidRDefault="00F65BCA">
                        <w:pPr>
                          <w:pStyle w:val="TableParagraph"/>
                          <w:rPr>
                            <w:rFonts w:ascii="Calibri"/>
                            <w:sz w:val="2"/>
                          </w:rPr>
                        </w:pPr>
                      </w:p>
                      <w:p w14:paraId="18EBF50D" w14:textId="77777777" w:rsidR="00F65BCA" w:rsidRDefault="00F65BCA">
                        <w:pPr>
                          <w:pStyle w:val="TableParagraph"/>
                          <w:rPr>
                            <w:rFonts w:ascii="Calibri"/>
                            <w:sz w:val="2"/>
                          </w:rPr>
                        </w:pPr>
                      </w:p>
                      <w:p w14:paraId="2F24AB8C" w14:textId="77777777" w:rsidR="00F65BCA" w:rsidRDefault="00F65BCA">
                        <w:pPr>
                          <w:pStyle w:val="TableParagraph"/>
                          <w:rPr>
                            <w:rFonts w:ascii="Calibri"/>
                            <w:sz w:val="2"/>
                          </w:rPr>
                        </w:pPr>
                      </w:p>
                      <w:p w14:paraId="2CD5D9B3" w14:textId="77777777" w:rsidR="00F65BCA" w:rsidRDefault="00F65BCA">
                        <w:pPr>
                          <w:pStyle w:val="TableParagraph"/>
                          <w:rPr>
                            <w:rFonts w:ascii="Calibri"/>
                            <w:sz w:val="2"/>
                          </w:rPr>
                        </w:pPr>
                      </w:p>
                      <w:p w14:paraId="230D7894" w14:textId="77777777" w:rsidR="00F65BCA" w:rsidRDefault="00F65BCA">
                        <w:pPr>
                          <w:pStyle w:val="TableParagraph"/>
                          <w:rPr>
                            <w:rFonts w:ascii="Calibri"/>
                            <w:sz w:val="2"/>
                          </w:rPr>
                        </w:pPr>
                      </w:p>
                      <w:p w14:paraId="56D7835B" w14:textId="77777777" w:rsidR="00F65BCA" w:rsidRDefault="00F65BCA">
                        <w:pPr>
                          <w:pStyle w:val="TableParagraph"/>
                          <w:rPr>
                            <w:rFonts w:ascii="Calibri"/>
                            <w:sz w:val="2"/>
                          </w:rPr>
                        </w:pPr>
                      </w:p>
                      <w:p w14:paraId="24D71FBD" w14:textId="77777777" w:rsidR="00F65BCA" w:rsidRDefault="00F65BCA">
                        <w:pPr>
                          <w:pStyle w:val="TableParagraph"/>
                          <w:rPr>
                            <w:rFonts w:ascii="Calibri"/>
                            <w:sz w:val="2"/>
                          </w:rPr>
                        </w:pPr>
                      </w:p>
                      <w:p w14:paraId="6BE95BCA" w14:textId="77777777" w:rsidR="00F65BCA" w:rsidRDefault="00F65BCA">
                        <w:pPr>
                          <w:pStyle w:val="TableParagraph"/>
                          <w:rPr>
                            <w:rFonts w:ascii="Calibri"/>
                            <w:sz w:val="2"/>
                          </w:rPr>
                        </w:pPr>
                      </w:p>
                      <w:p w14:paraId="7273552F" w14:textId="77777777" w:rsidR="00F65BCA" w:rsidRDefault="00F65BCA">
                        <w:pPr>
                          <w:pStyle w:val="TableParagraph"/>
                          <w:rPr>
                            <w:rFonts w:ascii="Calibri"/>
                            <w:sz w:val="2"/>
                          </w:rPr>
                        </w:pPr>
                      </w:p>
                      <w:p w14:paraId="4D97CF34" w14:textId="77777777" w:rsidR="00F65BCA" w:rsidRDefault="00F65BCA">
                        <w:pPr>
                          <w:pStyle w:val="TableParagraph"/>
                          <w:rPr>
                            <w:rFonts w:ascii="Calibri"/>
                            <w:sz w:val="2"/>
                          </w:rPr>
                        </w:pPr>
                      </w:p>
                      <w:p w14:paraId="53F4E3B8" w14:textId="77777777" w:rsidR="00F65BCA" w:rsidRDefault="00F65BCA">
                        <w:pPr>
                          <w:pStyle w:val="TableParagraph"/>
                          <w:rPr>
                            <w:rFonts w:ascii="Calibri"/>
                            <w:sz w:val="2"/>
                          </w:rPr>
                        </w:pPr>
                      </w:p>
                      <w:p w14:paraId="74D0DDE9" w14:textId="77777777" w:rsidR="00F65BCA" w:rsidRDefault="00F65BCA">
                        <w:pPr>
                          <w:pStyle w:val="TableParagraph"/>
                          <w:rPr>
                            <w:rFonts w:ascii="Calibri"/>
                            <w:sz w:val="2"/>
                          </w:rPr>
                        </w:pPr>
                      </w:p>
                      <w:p w14:paraId="0BDE2C35" w14:textId="77777777" w:rsidR="00F65BCA" w:rsidRDefault="00F65BCA">
                        <w:pPr>
                          <w:pStyle w:val="TableParagraph"/>
                          <w:rPr>
                            <w:rFonts w:ascii="Calibri"/>
                            <w:sz w:val="2"/>
                          </w:rPr>
                        </w:pPr>
                      </w:p>
                      <w:p w14:paraId="6552AAC5" w14:textId="77777777" w:rsidR="00F65BCA" w:rsidRDefault="00F65BCA">
                        <w:pPr>
                          <w:pStyle w:val="TableParagraph"/>
                          <w:rPr>
                            <w:rFonts w:ascii="Calibri"/>
                            <w:sz w:val="2"/>
                          </w:rPr>
                        </w:pPr>
                      </w:p>
                      <w:p w14:paraId="2F6E2647" w14:textId="77777777" w:rsidR="00F65BCA" w:rsidRDefault="00F65BCA">
                        <w:pPr>
                          <w:pStyle w:val="TableParagraph"/>
                          <w:rPr>
                            <w:rFonts w:ascii="Calibri"/>
                            <w:sz w:val="2"/>
                          </w:rPr>
                        </w:pPr>
                      </w:p>
                      <w:p w14:paraId="2FBF3C0C" w14:textId="77777777" w:rsidR="00F65BCA" w:rsidRDefault="00F65BCA">
                        <w:pPr>
                          <w:pStyle w:val="TableParagraph"/>
                          <w:rPr>
                            <w:rFonts w:ascii="Calibri"/>
                            <w:sz w:val="2"/>
                          </w:rPr>
                        </w:pPr>
                      </w:p>
                      <w:p w14:paraId="566F726C" w14:textId="77777777" w:rsidR="00F65BCA" w:rsidRDefault="00F65BCA">
                        <w:pPr>
                          <w:pStyle w:val="TableParagraph"/>
                          <w:rPr>
                            <w:rFonts w:ascii="Calibri"/>
                            <w:sz w:val="2"/>
                          </w:rPr>
                        </w:pPr>
                      </w:p>
                      <w:p w14:paraId="0C857FD1" w14:textId="77777777" w:rsidR="00F65BCA" w:rsidRDefault="00F65BCA">
                        <w:pPr>
                          <w:pStyle w:val="TableParagraph"/>
                          <w:rPr>
                            <w:rFonts w:ascii="Calibri"/>
                            <w:sz w:val="2"/>
                          </w:rPr>
                        </w:pPr>
                      </w:p>
                      <w:p w14:paraId="78851B96" w14:textId="77777777" w:rsidR="00F65BCA" w:rsidRDefault="00F65BCA">
                        <w:pPr>
                          <w:pStyle w:val="TableParagraph"/>
                          <w:rPr>
                            <w:rFonts w:ascii="Calibri"/>
                            <w:sz w:val="2"/>
                          </w:rPr>
                        </w:pPr>
                      </w:p>
                      <w:p w14:paraId="25803F35" w14:textId="77777777" w:rsidR="00F65BCA" w:rsidRDefault="00F65BCA">
                        <w:pPr>
                          <w:pStyle w:val="TableParagraph"/>
                          <w:rPr>
                            <w:rFonts w:ascii="Calibri"/>
                            <w:sz w:val="2"/>
                          </w:rPr>
                        </w:pPr>
                      </w:p>
                      <w:p w14:paraId="44059584" w14:textId="77777777" w:rsidR="00F65BCA" w:rsidRDefault="00F65BCA">
                        <w:pPr>
                          <w:pStyle w:val="TableParagraph"/>
                          <w:rPr>
                            <w:rFonts w:ascii="Calibri"/>
                            <w:sz w:val="2"/>
                          </w:rPr>
                        </w:pPr>
                      </w:p>
                      <w:p w14:paraId="2545CAD0" w14:textId="77777777" w:rsidR="00F65BCA" w:rsidRDefault="00F65BCA">
                        <w:pPr>
                          <w:pStyle w:val="TableParagraph"/>
                          <w:rPr>
                            <w:rFonts w:ascii="Calibri"/>
                            <w:sz w:val="2"/>
                          </w:rPr>
                        </w:pPr>
                      </w:p>
                      <w:p w14:paraId="01824996" w14:textId="77777777" w:rsidR="00F65BCA" w:rsidRDefault="00F65BCA">
                        <w:pPr>
                          <w:pStyle w:val="TableParagraph"/>
                          <w:rPr>
                            <w:rFonts w:ascii="Calibri"/>
                            <w:sz w:val="2"/>
                          </w:rPr>
                        </w:pPr>
                      </w:p>
                      <w:p w14:paraId="7E4D9F8F" w14:textId="77777777" w:rsidR="00F65BCA" w:rsidRDefault="00F65BCA">
                        <w:pPr>
                          <w:pStyle w:val="TableParagraph"/>
                          <w:rPr>
                            <w:rFonts w:ascii="Calibri"/>
                            <w:sz w:val="2"/>
                          </w:rPr>
                        </w:pPr>
                      </w:p>
                      <w:p w14:paraId="02EF2744" w14:textId="77777777" w:rsidR="00F65BCA" w:rsidRDefault="00F65BCA">
                        <w:pPr>
                          <w:pStyle w:val="TableParagraph"/>
                          <w:rPr>
                            <w:rFonts w:ascii="Calibri"/>
                            <w:sz w:val="2"/>
                          </w:rPr>
                        </w:pPr>
                      </w:p>
                      <w:p w14:paraId="2BC21387" w14:textId="77777777" w:rsidR="00F65BCA" w:rsidRDefault="00F65BCA">
                        <w:pPr>
                          <w:pStyle w:val="TableParagraph"/>
                          <w:rPr>
                            <w:rFonts w:ascii="Calibri"/>
                            <w:sz w:val="2"/>
                          </w:rPr>
                        </w:pPr>
                      </w:p>
                      <w:p w14:paraId="4F73E1E2" w14:textId="77777777" w:rsidR="00F65BCA" w:rsidRDefault="00F65BCA">
                        <w:pPr>
                          <w:pStyle w:val="TableParagraph"/>
                          <w:rPr>
                            <w:rFonts w:ascii="Calibri"/>
                            <w:sz w:val="2"/>
                          </w:rPr>
                        </w:pPr>
                      </w:p>
                      <w:p w14:paraId="2BAD82A7" w14:textId="77777777" w:rsidR="00F65BCA" w:rsidRDefault="00F65BCA">
                        <w:pPr>
                          <w:pStyle w:val="TableParagraph"/>
                          <w:rPr>
                            <w:rFonts w:ascii="Calibri"/>
                            <w:sz w:val="2"/>
                          </w:rPr>
                        </w:pPr>
                      </w:p>
                      <w:p w14:paraId="3A7A1B8F" w14:textId="77777777" w:rsidR="00F65BCA" w:rsidRDefault="00F65BCA">
                        <w:pPr>
                          <w:pStyle w:val="TableParagraph"/>
                          <w:rPr>
                            <w:rFonts w:ascii="Calibri"/>
                            <w:sz w:val="2"/>
                          </w:rPr>
                        </w:pPr>
                      </w:p>
                      <w:p w14:paraId="797FFD16" w14:textId="77777777" w:rsidR="00F65BCA" w:rsidRDefault="00F65BCA">
                        <w:pPr>
                          <w:pStyle w:val="TableParagraph"/>
                          <w:rPr>
                            <w:rFonts w:ascii="Calibri"/>
                            <w:sz w:val="2"/>
                          </w:rPr>
                        </w:pPr>
                      </w:p>
                      <w:p w14:paraId="3E1D216A" w14:textId="77777777" w:rsidR="00F65BCA" w:rsidRDefault="00F65BCA">
                        <w:pPr>
                          <w:pStyle w:val="TableParagraph"/>
                          <w:rPr>
                            <w:rFonts w:ascii="Calibri"/>
                            <w:sz w:val="2"/>
                          </w:rPr>
                        </w:pPr>
                      </w:p>
                      <w:p w14:paraId="7E97B30D" w14:textId="77777777" w:rsidR="00F65BCA" w:rsidRDefault="00F65BCA">
                        <w:pPr>
                          <w:pStyle w:val="TableParagraph"/>
                          <w:rPr>
                            <w:rFonts w:ascii="Calibri"/>
                            <w:sz w:val="2"/>
                          </w:rPr>
                        </w:pPr>
                      </w:p>
                      <w:p w14:paraId="1CBCE7DF" w14:textId="77777777" w:rsidR="00F65BCA" w:rsidRDefault="00F65BCA">
                        <w:pPr>
                          <w:pStyle w:val="TableParagraph"/>
                          <w:rPr>
                            <w:rFonts w:ascii="Calibri"/>
                            <w:sz w:val="2"/>
                          </w:rPr>
                        </w:pPr>
                      </w:p>
                      <w:p w14:paraId="16180A17" w14:textId="77777777" w:rsidR="00F65BCA" w:rsidRDefault="00F65BCA">
                        <w:pPr>
                          <w:pStyle w:val="TableParagraph"/>
                          <w:rPr>
                            <w:rFonts w:ascii="Calibri"/>
                            <w:sz w:val="2"/>
                          </w:rPr>
                        </w:pPr>
                      </w:p>
                      <w:p w14:paraId="3347D10C" w14:textId="77777777" w:rsidR="00F65BCA" w:rsidRDefault="00F65BCA">
                        <w:pPr>
                          <w:pStyle w:val="TableParagraph"/>
                          <w:rPr>
                            <w:rFonts w:ascii="Calibri"/>
                            <w:sz w:val="2"/>
                          </w:rPr>
                        </w:pPr>
                      </w:p>
                      <w:p w14:paraId="652B9824" w14:textId="77777777" w:rsidR="00F65BCA" w:rsidRDefault="00F65BCA">
                        <w:pPr>
                          <w:pStyle w:val="TableParagraph"/>
                          <w:rPr>
                            <w:rFonts w:ascii="Calibri"/>
                            <w:sz w:val="2"/>
                          </w:rPr>
                        </w:pPr>
                      </w:p>
                      <w:p w14:paraId="547894AA" w14:textId="77777777" w:rsidR="00F65BCA" w:rsidRDefault="00F65BCA">
                        <w:pPr>
                          <w:pStyle w:val="TableParagraph"/>
                          <w:rPr>
                            <w:rFonts w:ascii="Calibri"/>
                            <w:sz w:val="2"/>
                          </w:rPr>
                        </w:pPr>
                      </w:p>
                      <w:p w14:paraId="30EC13B4" w14:textId="77777777" w:rsidR="00F65BCA" w:rsidRDefault="00F65BCA">
                        <w:pPr>
                          <w:pStyle w:val="TableParagraph"/>
                          <w:rPr>
                            <w:rFonts w:ascii="Calibri"/>
                            <w:sz w:val="2"/>
                          </w:rPr>
                        </w:pPr>
                      </w:p>
                      <w:p w14:paraId="6BBCA0FA" w14:textId="77777777" w:rsidR="00F65BCA" w:rsidRDefault="00F65BCA">
                        <w:pPr>
                          <w:pStyle w:val="TableParagraph"/>
                          <w:rPr>
                            <w:rFonts w:ascii="Calibri"/>
                            <w:sz w:val="2"/>
                          </w:rPr>
                        </w:pPr>
                      </w:p>
                      <w:p w14:paraId="3E7886B0" w14:textId="77777777" w:rsidR="00F65BCA" w:rsidRDefault="00F65BCA">
                        <w:pPr>
                          <w:pStyle w:val="TableParagraph"/>
                          <w:rPr>
                            <w:rFonts w:ascii="Calibri"/>
                            <w:sz w:val="2"/>
                          </w:rPr>
                        </w:pPr>
                      </w:p>
                      <w:p w14:paraId="30D3EF1F" w14:textId="77777777" w:rsidR="00F65BCA" w:rsidRDefault="00F65BCA">
                        <w:pPr>
                          <w:pStyle w:val="TableParagraph"/>
                          <w:rPr>
                            <w:rFonts w:ascii="Calibri"/>
                            <w:sz w:val="2"/>
                          </w:rPr>
                        </w:pPr>
                      </w:p>
                      <w:p w14:paraId="4D89424A" w14:textId="77777777" w:rsidR="00F65BCA" w:rsidRDefault="00F65BCA">
                        <w:pPr>
                          <w:pStyle w:val="TableParagraph"/>
                          <w:rPr>
                            <w:rFonts w:ascii="Calibri"/>
                            <w:sz w:val="2"/>
                          </w:rPr>
                        </w:pPr>
                      </w:p>
                      <w:p w14:paraId="25C0FC68" w14:textId="77777777" w:rsidR="00F65BCA" w:rsidRDefault="00F65BCA">
                        <w:pPr>
                          <w:pStyle w:val="TableParagraph"/>
                          <w:rPr>
                            <w:rFonts w:ascii="Calibri"/>
                            <w:sz w:val="2"/>
                          </w:rPr>
                        </w:pPr>
                      </w:p>
                      <w:p w14:paraId="779FEE5B" w14:textId="77777777" w:rsidR="00F65BCA" w:rsidRDefault="00F65BCA">
                        <w:pPr>
                          <w:pStyle w:val="TableParagraph"/>
                          <w:rPr>
                            <w:rFonts w:ascii="Calibri"/>
                            <w:sz w:val="2"/>
                          </w:rPr>
                        </w:pPr>
                      </w:p>
                      <w:p w14:paraId="4D880B53" w14:textId="77777777" w:rsidR="00F65BCA" w:rsidRDefault="00F65BCA">
                        <w:pPr>
                          <w:pStyle w:val="TableParagraph"/>
                          <w:rPr>
                            <w:rFonts w:ascii="Calibri"/>
                            <w:sz w:val="2"/>
                          </w:rPr>
                        </w:pPr>
                      </w:p>
                      <w:p w14:paraId="77274923" w14:textId="77777777" w:rsidR="00F65BCA" w:rsidRDefault="00F65BCA">
                        <w:pPr>
                          <w:pStyle w:val="TableParagraph"/>
                          <w:rPr>
                            <w:rFonts w:ascii="Calibri"/>
                            <w:sz w:val="2"/>
                          </w:rPr>
                        </w:pPr>
                      </w:p>
                      <w:p w14:paraId="392DC9B0" w14:textId="77777777" w:rsidR="00F65BCA" w:rsidRDefault="00F65BCA">
                        <w:pPr>
                          <w:pStyle w:val="TableParagraph"/>
                          <w:rPr>
                            <w:rFonts w:ascii="Calibri"/>
                            <w:sz w:val="2"/>
                          </w:rPr>
                        </w:pPr>
                      </w:p>
                      <w:p w14:paraId="2C9F3616" w14:textId="77777777" w:rsidR="00F65BCA" w:rsidRDefault="00F65BCA">
                        <w:pPr>
                          <w:pStyle w:val="TableParagraph"/>
                          <w:rPr>
                            <w:rFonts w:ascii="Calibri"/>
                            <w:sz w:val="2"/>
                          </w:rPr>
                        </w:pPr>
                      </w:p>
                      <w:p w14:paraId="72EAB8F7" w14:textId="77777777" w:rsidR="00F65BCA" w:rsidRDefault="00F65BCA">
                        <w:pPr>
                          <w:pStyle w:val="TableParagraph"/>
                          <w:rPr>
                            <w:rFonts w:ascii="Calibri"/>
                            <w:sz w:val="2"/>
                          </w:rPr>
                        </w:pPr>
                      </w:p>
                      <w:p w14:paraId="31C6C6CE" w14:textId="77777777" w:rsidR="00F65BCA" w:rsidRDefault="00F65BCA">
                        <w:pPr>
                          <w:pStyle w:val="TableParagraph"/>
                          <w:rPr>
                            <w:rFonts w:ascii="Calibri"/>
                            <w:sz w:val="2"/>
                          </w:rPr>
                        </w:pPr>
                      </w:p>
                      <w:p w14:paraId="31C5960B" w14:textId="77777777" w:rsidR="00F65BCA" w:rsidRDefault="00F65BCA">
                        <w:pPr>
                          <w:pStyle w:val="TableParagraph"/>
                          <w:rPr>
                            <w:rFonts w:ascii="Calibri"/>
                            <w:sz w:val="2"/>
                          </w:rPr>
                        </w:pPr>
                      </w:p>
                      <w:p w14:paraId="0419E93C" w14:textId="77777777" w:rsidR="00F65BCA" w:rsidRDefault="00F65BCA">
                        <w:pPr>
                          <w:pStyle w:val="TableParagraph"/>
                          <w:rPr>
                            <w:rFonts w:ascii="Calibri"/>
                            <w:sz w:val="2"/>
                          </w:rPr>
                        </w:pPr>
                      </w:p>
                      <w:p w14:paraId="71154FFA" w14:textId="77777777" w:rsidR="00F65BCA" w:rsidRDefault="00F65BCA">
                        <w:pPr>
                          <w:pStyle w:val="TableParagraph"/>
                          <w:rPr>
                            <w:rFonts w:ascii="Calibri"/>
                            <w:sz w:val="2"/>
                          </w:rPr>
                        </w:pPr>
                      </w:p>
                      <w:p w14:paraId="59AA17F7" w14:textId="77777777" w:rsidR="00F65BCA" w:rsidRDefault="00F65BCA">
                        <w:pPr>
                          <w:pStyle w:val="TableParagraph"/>
                          <w:rPr>
                            <w:rFonts w:ascii="Calibri"/>
                            <w:sz w:val="2"/>
                          </w:rPr>
                        </w:pPr>
                      </w:p>
                      <w:p w14:paraId="6D66392B" w14:textId="77777777" w:rsidR="00F65BCA" w:rsidRDefault="00F65BCA">
                        <w:pPr>
                          <w:pStyle w:val="TableParagraph"/>
                          <w:rPr>
                            <w:rFonts w:ascii="Calibri"/>
                            <w:sz w:val="2"/>
                          </w:rPr>
                        </w:pPr>
                      </w:p>
                      <w:p w14:paraId="05AC09AE" w14:textId="77777777" w:rsidR="00F65BCA" w:rsidRDefault="00F65BCA">
                        <w:pPr>
                          <w:pStyle w:val="TableParagraph"/>
                          <w:rPr>
                            <w:rFonts w:ascii="Calibri"/>
                            <w:sz w:val="2"/>
                          </w:rPr>
                        </w:pPr>
                      </w:p>
                      <w:p w14:paraId="33FC10C8" w14:textId="77777777" w:rsidR="00F65BCA" w:rsidRDefault="00F65BCA">
                        <w:pPr>
                          <w:pStyle w:val="TableParagraph"/>
                          <w:rPr>
                            <w:rFonts w:ascii="Calibri"/>
                            <w:sz w:val="2"/>
                          </w:rPr>
                        </w:pPr>
                      </w:p>
                      <w:p w14:paraId="681CA7D0" w14:textId="77777777" w:rsidR="00F65BCA" w:rsidRDefault="00F65BCA">
                        <w:pPr>
                          <w:pStyle w:val="TableParagraph"/>
                          <w:rPr>
                            <w:rFonts w:ascii="Calibri"/>
                            <w:sz w:val="2"/>
                          </w:rPr>
                        </w:pPr>
                      </w:p>
                      <w:p w14:paraId="2E5ECAA1" w14:textId="77777777" w:rsidR="00F65BCA" w:rsidRDefault="00F65BCA">
                        <w:pPr>
                          <w:pStyle w:val="TableParagraph"/>
                          <w:rPr>
                            <w:rFonts w:ascii="Calibri"/>
                            <w:sz w:val="2"/>
                          </w:rPr>
                        </w:pPr>
                      </w:p>
                      <w:p w14:paraId="059043D4" w14:textId="77777777" w:rsidR="00F65BCA" w:rsidRDefault="00F65BCA">
                        <w:pPr>
                          <w:pStyle w:val="TableParagraph"/>
                          <w:rPr>
                            <w:rFonts w:ascii="Calibri"/>
                            <w:sz w:val="2"/>
                          </w:rPr>
                        </w:pPr>
                      </w:p>
                      <w:p w14:paraId="0A86DE7B" w14:textId="77777777" w:rsidR="00F65BCA" w:rsidRDefault="00F65BCA">
                        <w:pPr>
                          <w:pStyle w:val="TableParagraph"/>
                          <w:rPr>
                            <w:rFonts w:ascii="Calibri"/>
                            <w:sz w:val="2"/>
                          </w:rPr>
                        </w:pPr>
                      </w:p>
                      <w:p w14:paraId="7311CC94" w14:textId="77777777" w:rsidR="00F65BCA" w:rsidRDefault="00F65BCA">
                        <w:pPr>
                          <w:pStyle w:val="TableParagraph"/>
                          <w:rPr>
                            <w:rFonts w:ascii="Calibri"/>
                            <w:sz w:val="2"/>
                          </w:rPr>
                        </w:pPr>
                      </w:p>
                      <w:p w14:paraId="0CE236F1" w14:textId="77777777" w:rsidR="00F65BCA" w:rsidRDefault="00F65BCA">
                        <w:pPr>
                          <w:pStyle w:val="TableParagraph"/>
                          <w:rPr>
                            <w:rFonts w:ascii="Calibri"/>
                            <w:sz w:val="2"/>
                          </w:rPr>
                        </w:pPr>
                      </w:p>
                      <w:p w14:paraId="5D6261B0" w14:textId="77777777" w:rsidR="00F65BCA" w:rsidRDefault="00F65BCA">
                        <w:pPr>
                          <w:pStyle w:val="TableParagraph"/>
                          <w:rPr>
                            <w:rFonts w:ascii="Calibri"/>
                            <w:sz w:val="2"/>
                          </w:rPr>
                        </w:pPr>
                      </w:p>
                      <w:p w14:paraId="224A883D" w14:textId="77777777" w:rsidR="00F65BCA" w:rsidRDefault="00F65BCA">
                        <w:pPr>
                          <w:pStyle w:val="TableParagraph"/>
                          <w:rPr>
                            <w:rFonts w:ascii="Calibri"/>
                            <w:sz w:val="2"/>
                          </w:rPr>
                        </w:pPr>
                      </w:p>
                      <w:p w14:paraId="205943D6" w14:textId="77777777" w:rsidR="00F65BCA" w:rsidRDefault="00F65BCA">
                        <w:pPr>
                          <w:pStyle w:val="TableParagraph"/>
                          <w:rPr>
                            <w:rFonts w:ascii="Calibri"/>
                            <w:sz w:val="2"/>
                          </w:rPr>
                        </w:pPr>
                      </w:p>
                      <w:p w14:paraId="1B8C1AA6" w14:textId="77777777" w:rsidR="00F65BCA" w:rsidRDefault="00F65BCA">
                        <w:pPr>
                          <w:pStyle w:val="TableParagraph"/>
                          <w:rPr>
                            <w:rFonts w:ascii="Calibri"/>
                            <w:sz w:val="2"/>
                          </w:rPr>
                        </w:pPr>
                      </w:p>
                      <w:p w14:paraId="68E704BB" w14:textId="77777777" w:rsidR="00F65BCA" w:rsidRDefault="00F65BCA">
                        <w:pPr>
                          <w:pStyle w:val="TableParagraph"/>
                          <w:rPr>
                            <w:rFonts w:ascii="Calibri"/>
                            <w:sz w:val="2"/>
                          </w:rPr>
                        </w:pPr>
                      </w:p>
                      <w:p w14:paraId="01AD5D25" w14:textId="77777777" w:rsidR="00F65BCA" w:rsidRDefault="00F65BCA">
                        <w:pPr>
                          <w:pStyle w:val="TableParagraph"/>
                          <w:rPr>
                            <w:rFonts w:ascii="Calibri"/>
                            <w:sz w:val="2"/>
                          </w:rPr>
                        </w:pPr>
                      </w:p>
                      <w:p w14:paraId="72DAF46F" w14:textId="77777777" w:rsidR="00F65BCA" w:rsidRDefault="00F65BCA">
                        <w:pPr>
                          <w:pStyle w:val="TableParagraph"/>
                          <w:rPr>
                            <w:rFonts w:ascii="Calibri"/>
                            <w:sz w:val="2"/>
                          </w:rPr>
                        </w:pPr>
                      </w:p>
                      <w:p w14:paraId="54E035AB" w14:textId="77777777" w:rsidR="00F65BCA" w:rsidRDefault="00F65BCA">
                        <w:pPr>
                          <w:pStyle w:val="TableParagraph"/>
                          <w:rPr>
                            <w:rFonts w:ascii="Calibri"/>
                            <w:sz w:val="2"/>
                          </w:rPr>
                        </w:pPr>
                      </w:p>
                      <w:p w14:paraId="3877CEE4" w14:textId="77777777" w:rsidR="00F65BCA" w:rsidRDefault="00F65BCA">
                        <w:pPr>
                          <w:pStyle w:val="TableParagraph"/>
                          <w:rPr>
                            <w:rFonts w:ascii="Calibri"/>
                            <w:sz w:val="2"/>
                          </w:rPr>
                        </w:pPr>
                      </w:p>
                      <w:p w14:paraId="6748DEA3" w14:textId="77777777" w:rsidR="00F65BCA" w:rsidRDefault="00F65BCA">
                        <w:pPr>
                          <w:pStyle w:val="TableParagraph"/>
                          <w:rPr>
                            <w:rFonts w:ascii="Calibri"/>
                            <w:sz w:val="2"/>
                          </w:rPr>
                        </w:pPr>
                      </w:p>
                      <w:p w14:paraId="7191FCF0" w14:textId="77777777" w:rsidR="00F65BCA" w:rsidRDefault="00F65BCA">
                        <w:pPr>
                          <w:pStyle w:val="TableParagraph"/>
                          <w:rPr>
                            <w:rFonts w:ascii="Calibri"/>
                            <w:sz w:val="2"/>
                          </w:rPr>
                        </w:pPr>
                      </w:p>
                      <w:p w14:paraId="08A16858" w14:textId="77777777" w:rsidR="00F65BCA" w:rsidRDefault="00F65BCA">
                        <w:pPr>
                          <w:pStyle w:val="TableParagraph"/>
                          <w:rPr>
                            <w:rFonts w:ascii="Calibri"/>
                            <w:sz w:val="2"/>
                          </w:rPr>
                        </w:pPr>
                      </w:p>
                      <w:p w14:paraId="332CB3D6" w14:textId="77777777" w:rsidR="00F65BCA" w:rsidRDefault="00F65BCA">
                        <w:pPr>
                          <w:pStyle w:val="TableParagraph"/>
                          <w:rPr>
                            <w:rFonts w:ascii="Calibri"/>
                            <w:sz w:val="2"/>
                          </w:rPr>
                        </w:pPr>
                      </w:p>
                      <w:p w14:paraId="54FBF79A" w14:textId="77777777" w:rsidR="00F65BCA" w:rsidRDefault="00F65BCA">
                        <w:pPr>
                          <w:pStyle w:val="TableParagraph"/>
                          <w:rPr>
                            <w:rFonts w:ascii="Calibri"/>
                            <w:sz w:val="2"/>
                          </w:rPr>
                        </w:pPr>
                      </w:p>
                      <w:p w14:paraId="6156A722" w14:textId="77777777" w:rsidR="00F65BCA" w:rsidRDefault="00F65BCA">
                        <w:pPr>
                          <w:pStyle w:val="TableParagraph"/>
                          <w:rPr>
                            <w:rFonts w:ascii="Calibri"/>
                            <w:sz w:val="2"/>
                          </w:rPr>
                        </w:pPr>
                      </w:p>
                      <w:p w14:paraId="5456BB89" w14:textId="77777777" w:rsidR="00F65BCA" w:rsidRDefault="00F65BCA">
                        <w:pPr>
                          <w:pStyle w:val="TableParagraph"/>
                          <w:rPr>
                            <w:rFonts w:ascii="Calibri"/>
                            <w:sz w:val="2"/>
                          </w:rPr>
                        </w:pPr>
                      </w:p>
                      <w:p w14:paraId="1E655E19" w14:textId="77777777" w:rsidR="00F65BCA" w:rsidRDefault="00F65BCA">
                        <w:pPr>
                          <w:pStyle w:val="TableParagraph"/>
                          <w:rPr>
                            <w:rFonts w:ascii="Calibri"/>
                            <w:sz w:val="2"/>
                          </w:rPr>
                        </w:pPr>
                      </w:p>
                      <w:p w14:paraId="31D7AB11" w14:textId="77777777" w:rsidR="00F65BCA" w:rsidRDefault="00F65BCA">
                        <w:pPr>
                          <w:pStyle w:val="TableParagraph"/>
                          <w:rPr>
                            <w:rFonts w:ascii="Calibri"/>
                            <w:sz w:val="2"/>
                          </w:rPr>
                        </w:pPr>
                      </w:p>
                      <w:p w14:paraId="39CA77AE" w14:textId="77777777" w:rsidR="00F65BCA" w:rsidRDefault="00F65BCA">
                        <w:pPr>
                          <w:pStyle w:val="TableParagraph"/>
                          <w:rPr>
                            <w:rFonts w:ascii="Calibri"/>
                            <w:sz w:val="2"/>
                          </w:rPr>
                        </w:pPr>
                      </w:p>
                      <w:p w14:paraId="275E1326" w14:textId="77777777" w:rsidR="00F65BCA" w:rsidRDefault="00F65BCA">
                        <w:pPr>
                          <w:pStyle w:val="TableParagraph"/>
                          <w:rPr>
                            <w:rFonts w:ascii="Calibri"/>
                            <w:sz w:val="2"/>
                          </w:rPr>
                        </w:pPr>
                      </w:p>
                      <w:p w14:paraId="5F11507A" w14:textId="77777777" w:rsidR="00F65BCA" w:rsidRDefault="00F65BCA">
                        <w:pPr>
                          <w:pStyle w:val="TableParagraph"/>
                          <w:rPr>
                            <w:rFonts w:ascii="Calibri"/>
                            <w:sz w:val="2"/>
                          </w:rPr>
                        </w:pPr>
                      </w:p>
                      <w:p w14:paraId="36493096" w14:textId="77777777" w:rsidR="00F65BCA" w:rsidRDefault="00F65BCA">
                        <w:pPr>
                          <w:pStyle w:val="TableParagraph"/>
                          <w:rPr>
                            <w:rFonts w:ascii="Calibri"/>
                            <w:sz w:val="2"/>
                          </w:rPr>
                        </w:pPr>
                      </w:p>
                      <w:p w14:paraId="30D9C349" w14:textId="77777777" w:rsidR="00F65BCA" w:rsidRDefault="00F65BCA">
                        <w:pPr>
                          <w:pStyle w:val="TableParagraph"/>
                          <w:rPr>
                            <w:rFonts w:ascii="Calibri"/>
                            <w:sz w:val="2"/>
                          </w:rPr>
                        </w:pPr>
                      </w:p>
                      <w:p w14:paraId="2D25845D" w14:textId="77777777" w:rsidR="00F65BCA" w:rsidRDefault="00F65BCA">
                        <w:pPr>
                          <w:pStyle w:val="TableParagraph"/>
                          <w:rPr>
                            <w:rFonts w:ascii="Calibri"/>
                            <w:sz w:val="2"/>
                          </w:rPr>
                        </w:pPr>
                      </w:p>
                      <w:p w14:paraId="1353AA25" w14:textId="77777777" w:rsidR="00F65BCA" w:rsidRDefault="00F65BCA">
                        <w:pPr>
                          <w:pStyle w:val="TableParagraph"/>
                          <w:rPr>
                            <w:rFonts w:ascii="Calibri"/>
                            <w:sz w:val="2"/>
                          </w:rPr>
                        </w:pPr>
                      </w:p>
                      <w:p w14:paraId="0BB3166D" w14:textId="77777777" w:rsidR="00F65BCA" w:rsidRDefault="00F65BCA">
                        <w:pPr>
                          <w:pStyle w:val="TableParagraph"/>
                          <w:rPr>
                            <w:rFonts w:ascii="Calibri"/>
                            <w:sz w:val="2"/>
                          </w:rPr>
                        </w:pPr>
                      </w:p>
                      <w:p w14:paraId="707003EC" w14:textId="77777777" w:rsidR="00F65BCA" w:rsidRDefault="00F65BCA">
                        <w:pPr>
                          <w:pStyle w:val="TableParagraph"/>
                          <w:rPr>
                            <w:rFonts w:ascii="Calibri"/>
                            <w:sz w:val="2"/>
                          </w:rPr>
                        </w:pPr>
                      </w:p>
                      <w:p w14:paraId="14537B02" w14:textId="77777777" w:rsidR="00F65BCA" w:rsidRDefault="00F65BCA">
                        <w:pPr>
                          <w:pStyle w:val="TableParagraph"/>
                          <w:rPr>
                            <w:rFonts w:ascii="Calibri"/>
                            <w:sz w:val="2"/>
                          </w:rPr>
                        </w:pPr>
                      </w:p>
                      <w:p w14:paraId="61A2C262" w14:textId="77777777" w:rsidR="00F65BCA" w:rsidRDefault="00F65BCA">
                        <w:pPr>
                          <w:pStyle w:val="TableParagraph"/>
                          <w:rPr>
                            <w:rFonts w:ascii="Calibri"/>
                            <w:sz w:val="2"/>
                          </w:rPr>
                        </w:pPr>
                      </w:p>
                      <w:p w14:paraId="3C080E75" w14:textId="77777777" w:rsidR="00F65BCA" w:rsidRDefault="00F65BCA">
                        <w:pPr>
                          <w:pStyle w:val="TableParagraph"/>
                          <w:rPr>
                            <w:rFonts w:ascii="Calibri"/>
                            <w:sz w:val="2"/>
                          </w:rPr>
                        </w:pPr>
                      </w:p>
                      <w:p w14:paraId="1C1F64B7" w14:textId="77777777" w:rsidR="00F65BCA" w:rsidRDefault="00F65BCA">
                        <w:pPr>
                          <w:pStyle w:val="TableParagraph"/>
                          <w:spacing w:before="11"/>
                          <w:rPr>
                            <w:rFonts w:ascii="Calibri"/>
                            <w:sz w:val="2"/>
                          </w:rPr>
                        </w:pPr>
                      </w:p>
                      <w:p w14:paraId="7B677B85" w14:textId="77777777" w:rsidR="00F65BCA" w:rsidRDefault="00216117">
                        <w:pPr>
                          <w:pStyle w:val="TableParagraph"/>
                          <w:ind w:left="74"/>
                          <w:rPr>
                            <w:sz w:val="3"/>
                          </w:rPr>
                        </w:pPr>
                        <w:r>
                          <w:rPr>
                            <w:w w:val="105"/>
                            <w:sz w:val="3"/>
                          </w:rPr>
                          <w:t>nákladní automobil do 3,5 t</w:t>
                        </w: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4BFAA29D" w14:textId="77777777" w:rsidR="00F65BCA" w:rsidRDefault="00F65BCA">
                        <w:pPr>
                          <w:pStyle w:val="TableParagraph"/>
                          <w:rPr>
                            <w:rFonts w:ascii="Calibri"/>
                            <w:sz w:val="2"/>
                          </w:rPr>
                        </w:pPr>
                      </w:p>
                      <w:p w14:paraId="693D4044" w14:textId="77777777" w:rsidR="00F65BCA" w:rsidRDefault="00F65BCA">
                        <w:pPr>
                          <w:pStyle w:val="TableParagraph"/>
                          <w:rPr>
                            <w:rFonts w:ascii="Calibri"/>
                            <w:sz w:val="2"/>
                          </w:rPr>
                        </w:pPr>
                      </w:p>
                      <w:p w14:paraId="6DD76BBC" w14:textId="77777777" w:rsidR="00F65BCA" w:rsidRDefault="00F65BCA">
                        <w:pPr>
                          <w:pStyle w:val="TableParagraph"/>
                          <w:rPr>
                            <w:rFonts w:ascii="Calibri"/>
                            <w:sz w:val="2"/>
                          </w:rPr>
                        </w:pPr>
                      </w:p>
                      <w:p w14:paraId="7C4CEEE0" w14:textId="77777777" w:rsidR="00F65BCA" w:rsidRDefault="00F65BCA">
                        <w:pPr>
                          <w:pStyle w:val="TableParagraph"/>
                          <w:rPr>
                            <w:rFonts w:ascii="Calibri"/>
                            <w:sz w:val="2"/>
                          </w:rPr>
                        </w:pPr>
                      </w:p>
                      <w:p w14:paraId="2E74F0A7" w14:textId="77777777" w:rsidR="00F65BCA" w:rsidRDefault="00F65BCA">
                        <w:pPr>
                          <w:pStyle w:val="TableParagraph"/>
                          <w:rPr>
                            <w:rFonts w:ascii="Calibri"/>
                            <w:sz w:val="2"/>
                          </w:rPr>
                        </w:pPr>
                      </w:p>
                      <w:p w14:paraId="5740F216" w14:textId="77777777" w:rsidR="00F65BCA" w:rsidRDefault="00F65BCA">
                        <w:pPr>
                          <w:pStyle w:val="TableParagraph"/>
                          <w:rPr>
                            <w:rFonts w:ascii="Calibri"/>
                            <w:sz w:val="2"/>
                          </w:rPr>
                        </w:pPr>
                      </w:p>
                      <w:p w14:paraId="71941167" w14:textId="77777777" w:rsidR="00F65BCA" w:rsidRDefault="00F65BCA">
                        <w:pPr>
                          <w:pStyle w:val="TableParagraph"/>
                          <w:rPr>
                            <w:rFonts w:ascii="Calibri"/>
                            <w:sz w:val="2"/>
                          </w:rPr>
                        </w:pPr>
                      </w:p>
                      <w:p w14:paraId="586C8D55" w14:textId="77777777" w:rsidR="00F65BCA" w:rsidRDefault="00F65BCA">
                        <w:pPr>
                          <w:pStyle w:val="TableParagraph"/>
                          <w:rPr>
                            <w:rFonts w:ascii="Calibri"/>
                            <w:sz w:val="2"/>
                          </w:rPr>
                        </w:pPr>
                      </w:p>
                      <w:p w14:paraId="5776EBE4" w14:textId="77777777" w:rsidR="00F65BCA" w:rsidRDefault="00F65BCA">
                        <w:pPr>
                          <w:pStyle w:val="TableParagraph"/>
                          <w:rPr>
                            <w:rFonts w:ascii="Calibri"/>
                            <w:sz w:val="2"/>
                          </w:rPr>
                        </w:pPr>
                      </w:p>
                      <w:p w14:paraId="084466E5" w14:textId="77777777" w:rsidR="00F65BCA" w:rsidRDefault="00F65BCA">
                        <w:pPr>
                          <w:pStyle w:val="TableParagraph"/>
                          <w:rPr>
                            <w:rFonts w:ascii="Calibri"/>
                            <w:sz w:val="2"/>
                          </w:rPr>
                        </w:pPr>
                      </w:p>
                      <w:p w14:paraId="432C033B" w14:textId="77777777" w:rsidR="00F65BCA" w:rsidRDefault="00F65BCA">
                        <w:pPr>
                          <w:pStyle w:val="TableParagraph"/>
                          <w:rPr>
                            <w:rFonts w:ascii="Calibri"/>
                            <w:sz w:val="2"/>
                          </w:rPr>
                        </w:pPr>
                      </w:p>
                      <w:p w14:paraId="0A84D670" w14:textId="77777777" w:rsidR="00F65BCA" w:rsidRDefault="00F65BCA">
                        <w:pPr>
                          <w:pStyle w:val="TableParagraph"/>
                          <w:rPr>
                            <w:rFonts w:ascii="Calibri"/>
                            <w:sz w:val="2"/>
                          </w:rPr>
                        </w:pPr>
                      </w:p>
                      <w:p w14:paraId="25233EA9" w14:textId="77777777" w:rsidR="00F65BCA" w:rsidRDefault="00F65BCA">
                        <w:pPr>
                          <w:pStyle w:val="TableParagraph"/>
                          <w:rPr>
                            <w:rFonts w:ascii="Calibri"/>
                            <w:sz w:val="2"/>
                          </w:rPr>
                        </w:pPr>
                      </w:p>
                      <w:p w14:paraId="5427A72B" w14:textId="77777777" w:rsidR="00F65BCA" w:rsidRDefault="00F65BCA">
                        <w:pPr>
                          <w:pStyle w:val="TableParagraph"/>
                          <w:rPr>
                            <w:rFonts w:ascii="Calibri"/>
                            <w:sz w:val="2"/>
                          </w:rPr>
                        </w:pPr>
                      </w:p>
                      <w:p w14:paraId="10450B4B" w14:textId="77777777" w:rsidR="00F65BCA" w:rsidRDefault="00216117">
                        <w:pPr>
                          <w:pStyle w:val="TableParagraph"/>
                          <w:spacing w:before="17"/>
                          <w:ind w:left="18" w:right="14"/>
                          <w:jc w:val="center"/>
                          <w:rPr>
                            <w:sz w:val="3"/>
                          </w:rPr>
                        </w:pPr>
                        <w:r>
                          <w:rPr>
                            <w:w w:val="105"/>
                            <w:sz w:val="3"/>
                          </w:rPr>
                          <w:t>Škoda</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43CEFA96" w14:textId="77777777" w:rsidR="00F65BCA" w:rsidRDefault="00216117">
                        <w:pPr>
                          <w:pStyle w:val="TableParagraph"/>
                          <w:spacing w:before="13" w:line="40" w:lineRule="atLeast"/>
                          <w:ind w:left="4" w:right="6"/>
                          <w:rPr>
                            <w:sz w:val="3"/>
                          </w:rPr>
                        </w:pPr>
                        <w:r>
                          <w:rPr>
                            <w:w w:val="105"/>
                            <w:sz w:val="3"/>
                          </w:rPr>
                          <w:t>100; 1000; 105; 110; 1100; 120; 1202; 125; 130; 135; 136; FABIA; FABIA COMBI; FABIA PRAKTIK; FABIA SEDAN; FAVORIT; FAVORIT PICK UP; FELICIA; FELICIA COMBI; FELICIA COMBI VAN; FELICIA FUN; FELICIA PICK UP; FELICIA PICK UP M98; FORMAN; FORMAN;VAN; GARDE; PICK UP; PRAKTIK</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6702B20" w14:textId="77777777" w:rsidR="00F65BCA" w:rsidRDefault="00F65BCA">
                        <w:pPr>
                          <w:pStyle w:val="TableParagraph"/>
                          <w:rPr>
                            <w:rFonts w:ascii="Calibri"/>
                            <w:sz w:val="2"/>
                          </w:rPr>
                        </w:pPr>
                      </w:p>
                      <w:p w14:paraId="48335446" w14:textId="77777777" w:rsidR="00F65BCA" w:rsidRDefault="00216117">
                        <w:pPr>
                          <w:pStyle w:val="TableParagraph"/>
                          <w:spacing w:before="15"/>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434DFC3" w14:textId="77777777" w:rsidR="00F65BCA" w:rsidRDefault="00F65BCA">
                        <w:pPr>
                          <w:pStyle w:val="TableParagraph"/>
                          <w:rPr>
                            <w:rFonts w:ascii="Calibri"/>
                            <w:sz w:val="2"/>
                          </w:rPr>
                        </w:pPr>
                      </w:p>
                      <w:p w14:paraId="2B792FFB" w14:textId="77777777" w:rsidR="00F65BCA" w:rsidRDefault="00216117">
                        <w:pPr>
                          <w:pStyle w:val="TableParagraph"/>
                          <w:spacing w:before="15"/>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33278A3"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24AF7DB" w14:textId="77777777" w:rsidR="00F65BCA" w:rsidRDefault="00F65BCA">
                        <w:pPr>
                          <w:pStyle w:val="TableParagraph"/>
                          <w:rPr>
                            <w:rFonts w:ascii="Calibri"/>
                            <w:sz w:val="2"/>
                          </w:rPr>
                        </w:pPr>
                      </w:p>
                      <w:p w14:paraId="311362F4" w14:textId="77777777" w:rsidR="00F65BCA" w:rsidRDefault="00216117">
                        <w:pPr>
                          <w:pStyle w:val="TableParagraph"/>
                          <w:spacing w:before="15"/>
                          <w:ind w:left="24" w:right="24"/>
                          <w:jc w:val="center"/>
                          <w:rPr>
                            <w:sz w:val="3"/>
                          </w:rPr>
                        </w:pPr>
                        <w:r>
                          <w:rPr>
                            <w:w w:val="105"/>
                            <w:sz w:val="3"/>
                          </w:rPr>
                          <w:t>0,89022086%</w:t>
                        </w:r>
                      </w:p>
                    </w:tc>
                    <w:tc>
                      <w:tcPr>
                        <w:tcW w:w="288" w:type="dxa"/>
                        <w:tcBorders>
                          <w:top w:val="single" w:sz="2" w:space="0" w:color="000000"/>
                          <w:left w:val="single" w:sz="2" w:space="0" w:color="000000"/>
                          <w:bottom w:val="single" w:sz="2" w:space="0" w:color="000000"/>
                          <w:right w:val="single" w:sz="2" w:space="0" w:color="000000"/>
                        </w:tcBorders>
                      </w:tcPr>
                      <w:p w14:paraId="4FC7EEAD" w14:textId="77777777" w:rsidR="00F65BCA" w:rsidRDefault="00F65BCA">
                        <w:pPr>
                          <w:pStyle w:val="TableParagraph"/>
                          <w:rPr>
                            <w:rFonts w:ascii="Calibri"/>
                            <w:sz w:val="2"/>
                          </w:rPr>
                        </w:pPr>
                      </w:p>
                      <w:p w14:paraId="441C39FD" w14:textId="77777777" w:rsidR="00F65BCA" w:rsidRDefault="00216117">
                        <w:pPr>
                          <w:pStyle w:val="TableParagraph"/>
                          <w:spacing w:before="15"/>
                          <w:ind w:left="24" w:right="24"/>
                          <w:jc w:val="center"/>
                          <w:rPr>
                            <w:sz w:val="3"/>
                          </w:rPr>
                        </w:pPr>
                        <w:r>
                          <w:rPr>
                            <w:w w:val="105"/>
                            <w:sz w:val="3"/>
                          </w:rPr>
                          <w:t>0,83458206%</w:t>
                        </w:r>
                      </w:p>
                    </w:tc>
                    <w:tc>
                      <w:tcPr>
                        <w:tcW w:w="288" w:type="dxa"/>
                        <w:tcBorders>
                          <w:top w:val="single" w:sz="2" w:space="0" w:color="000000"/>
                          <w:left w:val="single" w:sz="2" w:space="0" w:color="000000"/>
                          <w:bottom w:val="single" w:sz="2" w:space="0" w:color="000000"/>
                          <w:right w:val="single" w:sz="2" w:space="0" w:color="000000"/>
                        </w:tcBorders>
                      </w:tcPr>
                      <w:p w14:paraId="09E98245" w14:textId="77777777" w:rsidR="00F65BCA" w:rsidRDefault="00F65BCA">
                        <w:pPr>
                          <w:pStyle w:val="TableParagraph"/>
                          <w:rPr>
                            <w:rFonts w:ascii="Calibri"/>
                            <w:sz w:val="2"/>
                          </w:rPr>
                        </w:pPr>
                      </w:p>
                      <w:p w14:paraId="5E373EFF" w14:textId="77777777" w:rsidR="00F65BCA" w:rsidRDefault="00216117">
                        <w:pPr>
                          <w:pStyle w:val="TableParagraph"/>
                          <w:spacing w:before="15"/>
                          <w:ind w:left="24" w:right="24"/>
                          <w:jc w:val="center"/>
                          <w:rPr>
                            <w:sz w:val="3"/>
                          </w:rPr>
                        </w:pPr>
                        <w:r>
                          <w:rPr>
                            <w:w w:val="105"/>
                            <w:sz w:val="3"/>
                          </w:rPr>
                          <w:t>0,79563490%</w:t>
                        </w:r>
                      </w:p>
                    </w:tc>
                    <w:tc>
                      <w:tcPr>
                        <w:tcW w:w="288" w:type="dxa"/>
                        <w:tcBorders>
                          <w:top w:val="single" w:sz="2" w:space="0" w:color="000000"/>
                          <w:left w:val="single" w:sz="2" w:space="0" w:color="000000"/>
                          <w:bottom w:val="single" w:sz="2" w:space="0" w:color="000000"/>
                          <w:right w:val="single" w:sz="2" w:space="0" w:color="000000"/>
                        </w:tcBorders>
                      </w:tcPr>
                      <w:p w14:paraId="0878A3BE" w14:textId="77777777" w:rsidR="00F65BCA" w:rsidRDefault="00F65BCA">
                        <w:pPr>
                          <w:pStyle w:val="TableParagraph"/>
                          <w:rPr>
                            <w:rFonts w:ascii="Calibri"/>
                            <w:sz w:val="2"/>
                          </w:rPr>
                        </w:pPr>
                      </w:p>
                      <w:p w14:paraId="172E611B" w14:textId="77777777" w:rsidR="00F65BCA" w:rsidRDefault="00216117">
                        <w:pPr>
                          <w:pStyle w:val="TableParagraph"/>
                          <w:spacing w:before="15"/>
                          <w:ind w:left="24" w:right="24"/>
                          <w:jc w:val="center"/>
                          <w:rPr>
                            <w:sz w:val="3"/>
                          </w:rPr>
                        </w:pPr>
                        <w:r>
                          <w:rPr>
                            <w:w w:val="105"/>
                            <w:sz w:val="3"/>
                          </w:rPr>
                          <w:t>0,75112385%</w:t>
                        </w:r>
                      </w:p>
                    </w:tc>
                    <w:tc>
                      <w:tcPr>
                        <w:tcW w:w="288" w:type="dxa"/>
                        <w:tcBorders>
                          <w:top w:val="single" w:sz="2" w:space="0" w:color="000000"/>
                          <w:left w:val="single" w:sz="2" w:space="0" w:color="000000"/>
                          <w:bottom w:val="single" w:sz="2" w:space="0" w:color="000000"/>
                          <w:right w:val="single" w:sz="2" w:space="0" w:color="000000"/>
                        </w:tcBorders>
                      </w:tcPr>
                      <w:p w14:paraId="694FFB4F" w14:textId="77777777" w:rsidR="00F65BCA" w:rsidRDefault="00F65BCA">
                        <w:pPr>
                          <w:pStyle w:val="TableParagraph"/>
                          <w:rPr>
                            <w:rFonts w:ascii="Calibri"/>
                            <w:sz w:val="2"/>
                          </w:rPr>
                        </w:pPr>
                      </w:p>
                      <w:p w14:paraId="3C68EFE0" w14:textId="77777777" w:rsidR="00F65BCA" w:rsidRDefault="00216117">
                        <w:pPr>
                          <w:pStyle w:val="TableParagraph"/>
                          <w:spacing w:before="15"/>
                          <w:ind w:left="24" w:right="24"/>
                          <w:jc w:val="center"/>
                          <w:rPr>
                            <w:sz w:val="3"/>
                          </w:rPr>
                        </w:pPr>
                        <w:r>
                          <w:rPr>
                            <w:w w:val="105"/>
                            <w:sz w:val="3"/>
                          </w:rPr>
                          <w:t>0,71217669%</w:t>
                        </w:r>
                      </w:p>
                    </w:tc>
                    <w:tc>
                      <w:tcPr>
                        <w:tcW w:w="288" w:type="dxa"/>
                        <w:tcBorders>
                          <w:top w:val="single" w:sz="2" w:space="0" w:color="000000"/>
                          <w:left w:val="single" w:sz="2" w:space="0" w:color="000000"/>
                          <w:bottom w:val="single" w:sz="2" w:space="0" w:color="000000"/>
                          <w:right w:val="single" w:sz="2" w:space="0" w:color="000000"/>
                        </w:tcBorders>
                      </w:tcPr>
                      <w:p w14:paraId="20C7269D" w14:textId="77777777" w:rsidR="00F65BCA" w:rsidRDefault="00F65BCA">
                        <w:pPr>
                          <w:pStyle w:val="TableParagraph"/>
                          <w:rPr>
                            <w:rFonts w:ascii="Calibri"/>
                            <w:sz w:val="2"/>
                          </w:rPr>
                        </w:pPr>
                      </w:p>
                      <w:p w14:paraId="13211E65" w14:textId="77777777" w:rsidR="00F65BCA" w:rsidRDefault="00216117">
                        <w:pPr>
                          <w:pStyle w:val="TableParagraph"/>
                          <w:spacing w:before="15"/>
                          <w:ind w:left="24" w:right="24"/>
                          <w:jc w:val="center"/>
                          <w:rPr>
                            <w:sz w:val="3"/>
                          </w:rPr>
                        </w:pPr>
                        <w:r>
                          <w:rPr>
                            <w:w w:val="105"/>
                            <w:sz w:val="3"/>
                          </w:rPr>
                          <w:t>0,66210177%</w:t>
                        </w:r>
                      </w:p>
                    </w:tc>
                    <w:tc>
                      <w:tcPr>
                        <w:tcW w:w="288" w:type="dxa"/>
                        <w:tcBorders>
                          <w:top w:val="single" w:sz="2" w:space="0" w:color="000000"/>
                          <w:left w:val="single" w:sz="2" w:space="0" w:color="000000"/>
                          <w:bottom w:val="single" w:sz="2" w:space="0" w:color="000000"/>
                          <w:right w:val="single" w:sz="2" w:space="0" w:color="000000"/>
                        </w:tcBorders>
                      </w:tcPr>
                      <w:p w14:paraId="7897B57F" w14:textId="77777777" w:rsidR="00F65BCA" w:rsidRDefault="00F65BCA">
                        <w:pPr>
                          <w:pStyle w:val="TableParagraph"/>
                          <w:rPr>
                            <w:rFonts w:ascii="Calibri"/>
                            <w:sz w:val="2"/>
                          </w:rPr>
                        </w:pPr>
                      </w:p>
                      <w:p w14:paraId="6F1ABACD" w14:textId="77777777" w:rsidR="00F65BCA" w:rsidRDefault="00216117">
                        <w:pPr>
                          <w:pStyle w:val="TableParagraph"/>
                          <w:spacing w:before="15"/>
                          <w:ind w:left="24" w:right="24"/>
                          <w:jc w:val="center"/>
                          <w:rPr>
                            <w:sz w:val="3"/>
                          </w:rPr>
                        </w:pPr>
                        <w:r>
                          <w:rPr>
                            <w:w w:val="105"/>
                            <w:sz w:val="3"/>
                          </w:rPr>
                          <w:t>0,61202684%</w:t>
                        </w:r>
                      </w:p>
                    </w:tc>
                    <w:tc>
                      <w:tcPr>
                        <w:tcW w:w="288" w:type="dxa"/>
                        <w:tcBorders>
                          <w:top w:val="single" w:sz="2" w:space="0" w:color="000000"/>
                          <w:left w:val="single" w:sz="2" w:space="0" w:color="000000"/>
                          <w:bottom w:val="single" w:sz="2" w:space="0" w:color="000000"/>
                          <w:right w:val="single" w:sz="2" w:space="0" w:color="000000"/>
                        </w:tcBorders>
                      </w:tcPr>
                      <w:p w14:paraId="6F7D3970" w14:textId="77777777" w:rsidR="00F65BCA" w:rsidRDefault="00F65BCA">
                        <w:pPr>
                          <w:pStyle w:val="TableParagraph"/>
                          <w:rPr>
                            <w:rFonts w:ascii="Calibri"/>
                            <w:sz w:val="2"/>
                          </w:rPr>
                        </w:pPr>
                      </w:p>
                      <w:p w14:paraId="32117E57" w14:textId="77777777" w:rsidR="00F65BCA" w:rsidRDefault="00216117">
                        <w:pPr>
                          <w:pStyle w:val="TableParagraph"/>
                          <w:spacing w:before="15"/>
                          <w:ind w:left="24" w:right="24"/>
                          <w:jc w:val="center"/>
                          <w:rPr>
                            <w:sz w:val="3"/>
                          </w:rPr>
                        </w:pPr>
                        <w:r>
                          <w:rPr>
                            <w:w w:val="105"/>
                            <w:sz w:val="3"/>
                          </w:rPr>
                          <w:t>0,55638804%</w:t>
                        </w:r>
                      </w:p>
                    </w:tc>
                    <w:tc>
                      <w:tcPr>
                        <w:tcW w:w="288" w:type="dxa"/>
                        <w:tcBorders>
                          <w:top w:val="single" w:sz="2" w:space="0" w:color="000000"/>
                          <w:left w:val="single" w:sz="2" w:space="0" w:color="000000"/>
                          <w:bottom w:val="single" w:sz="2" w:space="0" w:color="000000"/>
                          <w:right w:val="single" w:sz="2" w:space="0" w:color="000000"/>
                        </w:tcBorders>
                      </w:tcPr>
                      <w:p w14:paraId="6428A4CC" w14:textId="77777777" w:rsidR="00F65BCA" w:rsidRDefault="00F65BCA">
                        <w:pPr>
                          <w:pStyle w:val="TableParagraph"/>
                          <w:rPr>
                            <w:rFonts w:ascii="Calibri"/>
                            <w:sz w:val="2"/>
                          </w:rPr>
                        </w:pPr>
                      </w:p>
                      <w:p w14:paraId="0647141C" w14:textId="77777777" w:rsidR="00F65BCA" w:rsidRDefault="00216117">
                        <w:pPr>
                          <w:pStyle w:val="TableParagraph"/>
                          <w:spacing w:before="15"/>
                          <w:ind w:left="24" w:right="24"/>
                          <w:jc w:val="center"/>
                          <w:rPr>
                            <w:sz w:val="3"/>
                          </w:rPr>
                        </w:pPr>
                        <w:r>
                          <w:rPr>
                            <w:w w:val="105"/>
                            <w:sz w:val="3"/>
                          </w:rPr>
                          <w:t>0,55638804%</w:t>
                        </w:r>
                      </w:p>
                    </w:tc>
                    <w:tc>
                      <w:tcPr>
                        <w:tcW w:w="288" w:type="dxa"/>
                        <w:tcBorders>
                          <w:top w:val="single" w:sz="2" w:space="0" w:color="000000"/>
                          <w:left w:val="single" w:sz="2" w:space="0" w:color="000000"/>
                          <w:bottom w:val="single" w:sz="2" w:space="0" w:color="000000"/>
                          <w:right w:val="single" w:sz="2" w:space="0" w:color="000000"/>
                        </w:tcBorders>
                      </w:tcPr>
                      <w:p w14:paraId="6FDB1C28" w14:textId="77777777" w:rsidR="00F65BCA" w:rsidRDefault="00F65BCA">
                        <w:pPr>
                          <w:pStyle w:val="TableParagraph"/>
                          <w:rPr>
                            <w:rFonts w:ascii="Calibri"/>
                            <w:sz w:val="2"/>
                          </w:rPr>
                        </w:pPr>
                      </w:p>
                      <w:p w14:paraId="43D42E41" w14:textId="77777777" w:rsidR="00F65BCA" w:rsidRDefault="00216117">
                        <w:pPr>
                          <w:pStyle w:val="TableParagraph"/>
                          <w:spacing w:before="15"/>
                          <w:ind w:left="24" w:right="24"/>
                          <w:jc w:val="center"/>
                          <w:rPr>
                            <w:sz w:val="3"/>
                          </w:rPr>
                        </w:pPr>
                        <w:r>
                          <w:rPr>
                            <w:w w:val="105"/>
                            <w:sz w:val="3"/>
                          </w:rPr>
                          <w:t>0,66766565%</w:t>
                        </w:r>
                      </w:p>
                    </w:tc>
                    <w:tc>
                      <w:tcPr>
                        <w:tcW w:w="288" w:type="dxa"/>
                        <w:tcBorders>
                          <w:top w:val="single" w:sz="2" w:space="0" w:color="000000"/>
                          <w:left w:val="single" w:sz="2" w:space="0" w:color="000000"/>
                          <w:bottom w:val="single" w:sz="2" w:space="0" w:color="000000"/>
                          <w:right w:val="single" w:sz="2" w:space="0" w:color="000000"/>
                        </w:tcBorders>
                      </w:tcPr>
                      <w:p w14:paraId="3DFF5A0A" w14:textId="77777777" w:rsidR="00F65BCA" w:rsidRDefault="00F65BCA">
                        <w:pPr>
                          <w:pStyle w:val="TableParagraph"/>
                          <w:rPr>
                            <w:rFonts w:ascii="Calibri"/>
                            <w:sz w:val="2"/>
                          </w:rPr>
                        </w:pPr>
                      </w:p>
                      <w:p w14:paraId="082E1717" w14:textId="77777777" w:rsidR="00F65BCA" w:rsidRDefault="00216117">
                        <w:pPr>
                          <w:pStyle w:val="TableParagraph"/>
                          <w:spacing w:before="15"/>
                          <w:ind w:left="24" w:right="24"/>
                          <w:jc w:val="center"/>
                          <w:rPr>
                            <w:sz w:val="3"/>
                          </w:rPr>
                        </w:pPr>
                        <w:r>
                          <w:rPr>
                            <w:w w:val="105"/>
                            <w:sz w:val="3"/>
                          </w:rPr>
                          <w:t>0,75112385%</w:t>
                        </w:r>
                      </w:p>
                    </w:tc>
                    <w:tc>
                      <w:tcPr>
                        <w:tcW w:w="288" w:type="dxa"/>
                        <w:tcBorders>
                          <w:top w:val="single" w:sz="2" w:space="0" w:color="000000"/>
                          <w:left w:val="single" w:sz="2" w:space="0" w:color="000000"/>
                          <w:bottom w:val="single" w:sz="2" w:space="0" w:color="000000"/>
                          <w:right w:val="single" w:sz="2" w:space="0" w:color="000000"/>
                        </w:tcBorders>
                      </w:tcPr>
                      <w:p w14:paraId="6B387E95" w14:textId="77777777" w:rsidR="00F65BCA" w:rsidRDefault="00F65BCA">
                        <w:pPr>
                          <w:pStyle w:val="TableParagraph"/>
                          <w:rPr>
                            <w:rFonts w:ascii="Calibri"/>
                            <w:sz w:val="2"/>
                          </w:rPr>
                        </w:pPr>
                      </w:p>
                      <w:p w14:paraId="715D00EE" w14:textId="77777777" w:rsidR="00F65BCA" w:rsidRDefault="00216117">
                        <w:pPr>
                          <w:pStyle w:val="TableParagraph"/>
                          <w:spacing w:before="15"/>
                          <w:ind w:left="24" w:right="24"/>
                          <w:jc w:val="center"/>
                          <w:rPr>
                            <w:sz w:val="3"/>
                          </w:rPr>
                        </w:pPr>
                        <w:r>
                          <w:rPr>
                            <w:w w:val="105"/>
                            <w:sz w:val="3"/>
                          </w:rPr>
                          <w:t>0,75112385%</w:t>
                        </w:r>
                      </w:p>
                    </w:tc>
                    <w:tc>
                      <w:tcPr>
                        <w:tcW w:w="288" w:type="dxa"/>
                        <w:tcBorders>
                          <w:top w:val="single" w:sz="2" w:space="0" w:color="000000"/>
                          <w:left w:val="single" w:sz="2" w:space="0" w:color="000000"/>
                          <w:bottom w:val="single" w:sz="2" w:space="0" w:color="000000"/>
                          <w:right w:val="single" w:sz="2" w:space="0" w:color="000000"/>
                        </w:tcBorders>
                      </w:tcPr>
                      <w:p w14:paraId="17F98C65" w14:textId="77777777" w:rsidR="00F65BCA" w:rsidRDefault="00F65BCA">
                        <w:pPr>
                          <w:pStyle w:val="TableParagraph"/>
                          <w:rPr>
                            <w:rFonts w:ascii="Calibri"/>
                            <w:sz w:val="2"/>
                          </w:rPr>
                        </w:pPr>
                      </w:p>
                      <w:p w14:paraId="5B8BC1C0" w14:textId="77777777" w:rsidR="00F65BCA" w:rsidRDefault="00216117">
                        <w:pPr>
                          <w:pStyle w:val="TableParagraph"/>
                          <w:spacing w:before="15"/>
                          <w:ind w:left="24" w:right="24"/>
                          <w:jc w:val="center"/>
                          <w:rPr>
                            <w:sz w:val="3"/>
                          </w:rPr>
                        </w:pPr>
                        <w:r>
                          <w:rPr>
                            <w:w w:val="105"/>
                            <w:sz w:val="3"/>
                          </w:rPr>
                          <w:t>0,83458206%</w:t>
                        </w:r>
                      </w:p>
                    </w:tc>
                  </w:tr>
                  <w:tr w:rsidR="00F65BCA" w14:paraId="768B717E" w14:textId="77777777">
                    <w:trPr>
                      <w:trHeight w:val="115"/>
                    </w:trPr>
                    <w:tc>
                      <w:tcPr>
                        <w:tcW w:w="526" w:type="dxa"/>
                        <w:vMerge/>
                        <w:tcBorders>
                          <w:top w:val="nil"/>
                          <w:left w:val="single" w:sz="2" w:space="0" w:color="000000"/>
                          <w:bottom w:val="nil"/>
                          <w:right w:val="single" w:sz="2" w:space="0" w:color="000000"/>
                        </w:tcBorders>
                        <w:shd w:val="clear" w:color="auto" w:fill="FCE4D6"/>
                      </w:tcPr>
                      <w:p w14:paraId="375838E5"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4E8B789D"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579F0D8E"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BD7D75B" w14:textId="77777777" w:rsidR="00F65BCA" w:rsidRDefault="00F65BCA">
                        <w:pPr>
                          <w:pStyle w:val="TableParagraph"/>
                          <w:rPr>
                            <w:rFonts w:ascii="Calibri"/>
                            <w:sz w:val="2"/>
                          </w:rPr>
                        </w:pPr>
                      </w:p>
                      <w:p w14:paraId="726D7E92" w14:textId="77777777" w:rsidR="00F65BCA" w:rsidRDefault="00216117">
                        <w:pPr>
                          <w:pStyle w:val="TableParagraph"/>
                          <w:spacing w:before="15"/>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D9D8FF0" w14:textId="77777777" w:rsidR="00F65BCA" w:rsidRDefault="00F65BCA">
                        <w:pPr>
                          <w:pStyle w:val="TableParagraph"/>
                          <w:rPr>
                            <w:rFonts w:ascii="Calibri"/>
                            <w:sz w:val="2"/>
                          </w:rPr>
                        </w:pPr>
                      </w:p>
                      <w:p w14:paraId="50A7CF6A" w14:textId="77777777" w:rsidR="00F65BCA" w:rsidRDefault="00216117">
                        <w:pPr>
                          <w:pStyle w:val="TableParagraph"/>
                          <w:spacing w:before="15"/>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50CCFEA2"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351609F" w14:textId="77777777" w:rsidR="00F65BCA" w:rsidRDefault="00F65BCA">
                        <w:pPr>
                          <w:pStyle w:val="TableParagraph"/>
                          <w:rPr>
                            <w:rFonts w:ascii="Calibri"/>
                            <w:sz w:val="2"/>
                          </w:rPr>
                        </w:pPr>
                      </w:p>
                      <w:p w14:paraId="43F49073" w14:textId="77777777" w:rsidR="00F65BCA" w:rsidRDefault="00216117">
                        <w:pPr>
                          <w:pStyle w:val="TableParagraph"/>
                          <w:spacing w:before="15"/>
                          <w:ind w:left="24" w:right="24"/>
                          <w:jc w:val="center"/>
                          <w:rPr>
                            <w:sz w:val="3"/>
                          </w:rPr>
                        </w:pPr>
                        <w:r>
                          <w:rPr>
                            <w:w w:val="105"/>
                            <w:sz w:val="3"/>
                          </w:rPr>
                          <w:t>1,07538680%</w:t>
                        </w:r>
                      </w:p>
                    </w:tc>
                    <w:tc>
                      <w:tcPr>
                        <w:tcW w:w="288" w:type="dxa"/>
                        <w:tcBorders>
                          <w:top w:val="single" w:sz="2" w:space="0" w:color="000000"/>
                          <w:left w:val="single" w:sz="2" w:space="0" w:color="000000"/>
                          <w:bottom w:val="single" w:sz="2" w:space="0" w:color="000000"/>
                          <w:right w:val="single" w:sz="2" w:space="0" w:color="000000"/>
                        </w:tcBorders>
                      </w:tcPr>
                      <w:p w14:paraId="185659B5" w14:textId="77777777" w:rsidR="00F65BCA" w:rsidRDefault="00F65BCA">
                        <w:pPr>
                          <w:pStyle w:val="TableParagraph"/>
                          <w:rPr>
                            <w:rFonts w:ascii="Calibri"/>
                            <w:sz w:val="2"/>
                          </w:rPr>
                        </w:pPr>
                      </w:p>
                      <w:p w14:paraId="43BC24A2" w14:textId="77777777" w:rsidR="00F65BCA" w:rsidRDefault="00216117">
                        <w:pPr>
                          <w:pStyle w:val="TableParagraph"/>
                          <w:spacing w:before="15"/>
                          <w:ind w:left="24" w:right="24"/>
                          <w:jc w:val="center"/>
                          <w:rPr>
                            <w:sz w:val="3"/>
                          </w:rPr>
                        </w:pPr>
                        <w:r>
                          <w:rPr>
                            <w:w w:val="105"/>
                            <w:sz w:val="3"/>
                          </w:rPr>
                          <w:t>1,00817513%</w:t>
                        </w:r>
                      </w:p>
                    </w:tc>
                    <w:tc>
                      <w:tcPr>
                        <w:tcW w:w="288" w:type="dxa"/>
                        <w:tcBorders>
                          <w:top w:val="single" w:sz="2" w:space="0" w:color="000000"/>
                          <w:left w:val="single" w:sz="2" w:space="0" w:color="000000"/>
                          <w:bottom w:val="single" w:sz="2" w:space="0" w:color="000000"/>
                          <w:right w:val="single" w:sz="2" w:space="0" w:color="000000"/>
                        </w:tcBorders>
                      </w:tcPr>
                      <w:p w14:paraId="23D63751" w14:textId="77777777" w:rsidR="00F65BCA" w:rsidRDefault="00F65BCA">
                        <w:pPr>
                          <w:pStyle w:val="TableParagraph"/>
                          <w:rPr>
                            <w:rFonts w:ascii="Calibri"/>
                            <w:sz w:val="2"/>
                          </w:rPr>
                        </w:pPr>
                      </w:p>
                      <w:p w14:paraId="6C14D772" w14:textId="77777777" w:rsidR="00F65BCA" w:rsidRDefault="00216117">
                        <w:pPr>
                          <w:pStyle w:val="TableParagraph"/>
                          <w:spacing w:before="15"/>
                          <w:ind w:left="24" w:right="24"/>
                          <w:jc w:val="center"/>
                          <w:rPr>
                            <w:sz w:val="3"/>
                          </w:rPr>
                        </w:pPr>
                        <w:r>
                          <w:rPr>
                            <w:w w:val="105"/>
                            <w:sz w:val="3"/>
                          </w:rPr>
                          <w:t>0,96112696%</w:t>
                        </w:r>
                      </w:p>
                    </w:tc>
                    <w:tc>
                      <w:tcPr>
                        <w:tcW w:w="288" w:type="dxa"/>
                        <w:tcBorders>
                          <w:top w:val="single" w:sz="2" w:space="0" w:color="000000"/>
                          <w:left w:val="single" w:sz="2" w:space="0" w:color="000000"/>
                          <w:bottom w:val="single" w:sz="2" w:space="0" w:color="000000"/>
                          <w:right w:val="single" w:sz="2" w:space="0" w:color="000000"/>
                        </w:tcBorders>
                      </w:tcPr>
                      <w:p w14:paraId="769A1304" w14:textId="77777777" w:rsidR="00F65BCA" w:rsidRDefault="00F65BCA">
                        <w:pPr>
                          <w:pStyle w:val="TableParagraph"/>
                          <w:rPr>
                            <w:rFonts w:ascii="Calibri"/>
                            <w:sz w:val="2"/>
                          </w:rPr>
                        </w:pPr>
                      </w:p>
                      <w:p w14:paraId="0FD88228" w14:textId="77777777" w:rsidR="00F65BCA" w:rsidRDefault="00216117">
                        <w:pPr>
                          <w:pStyle w:val="TableParagraph"/>
                          <w:spacing w:before="15"/>
                          <w:ind w:left="24" w:right="24"/>
                          <w:jc w:val="center"/>
                          <w:rPr>
                            <w:sz w:val="3"/>
                          </w:rPr>
                        </w:pPr>
                        <w:r>
                          <w:rPr>
                            <w:w w:val="105"/>
                            <w:sz w:val="3"/>
                          </w:rPr>
                          <w:t>0,90735762%</w:t>
                        </w:r>
                      </w:p>
                    </w:tc>
                    <w:tc>
                      <w:tcPr>
                        <w:tcW w:w="288" w:type="dxa"/>
                        <w:tcBorders>
                          <w:top w:val="single" w:sz="2" w:space="0" w:color="000000"/>
                          <w:left w:val="single" w:sz="2" w:space="0" w:color="000000"/>
                          <w:bottom w:val="single" w:sz="2" w:space="0" w:color="000000"/>
                          <w:right w:val="single" w:sz="2" w:space="0" w:color="000000"/>
                        </w:tcBorders>
                      </w:tcPr>
                      <w:p w14:paraId="0005FC32" w14:textId="77777777" w:rsidR="00F65BCA" w:rsidRDefault="00F65BCA">
                        <w:pPr>
                          <w:pStyle w:val="TableParagraph"/>
                          <w:rPr>
                            <w:rFonts w:ascii="Calibri"/>
                            <w:sz w:val="2"/>
                          </w:rPr>
                        </w:pPr>
                      </w:p>
                      <w:p w14:paraId="00A8BE78" w14:textId="77777777" w:rsidR="00F65BCA" w:rsidRDefault="00216117">
                        <w:pPr>
                          <w:pStyle w:val="TableParagraph"/>
                          <w:spacing w:before="15"/>
                          <w:ind w:left="24" w:right="24"/>
                          <w:jc w:val="center"/>
                          <w:rPr>
                            <w:sz w:val="3"/>
                          </w:rPr>
                        </w:pPr>
                        <w:r>
                          <w:rPr>
                            <w:w w:val="105"/>
                            <w:sz w:val="3"/>
                          </w:rPr>
                          <w:t>0,86030944%</w:t>
                        </w:r>
                      </w:p>
                    </w:tc>
                    <w:tc>
                      <w:tcPr>
                        <w:tcW w:w="288" w:type="dxa"/>
                        <w:tcBorders>
                          <w:top w:val="single" w:sz="2" w:space="0" w:color="000000"/>
                          <w:left w:val="single" w:sz="2" w:space="0" w:color="000000"/>
                          <w:bottom w:val="single" w:sz="2" w:space="0" w:color="000000"/>
                          <w:right w:val="single" w:sz="2" w:space="0" w:color="000000"/>
                        </w:tcBorders>
                      </w:tcPr>
                      <w:p w14:paraId="649FACD4" w14:textId="77777777" w:rsidR="00F65BCA" w:rsidRDefault="00F65BCA">
                        <w:pPr>
                          <w:pStyle w:val="TableParagraph"/>
                          <w:rPr>
                            <w:rFonts w:ascii="Calibri"/>
                            <w:sz w:val="2"/>
                          </w:rPr>
                        </w:pPr>
                      </w:p>
                      <w:p w14:paraId="5CB62117" w14:textId="77777777" w:rsidR="00F65BCA" w:rsidRDefault="00216117">
                        <w:pPr>
                          <w:pStyle w:val="TableParagraph"/>
                          <w:spacing w:before="15"/>
                          <w:ind w:left="24" w:right="24"/>
                          <w:jc w:val="center"/>
                          <w:rPr>
                            <w:sz w:val="3"/>
                          </w:rPr>
                        </w:pPr>
                        <w:r>
                          <w:rPr>
                            <w:w w:val="105"/>
                            <w:sz w:val="3"/>
                          </w:rPr>
                          <w:t>0,79981894%</w:t>
                        </w:r>
                      </w:p>
                    </w:tc>
                    <w:tc>
                      <w:tcPr>
                        <w:tcW w:w="288" w:type="dxa"/>
                        <w:tcBorders>
                          <w:top w:val="single" w:sz="2" w:space="0" w:color="000000"/>
                          <w:left w:val="single" w:sz="2" w:space="0" w:color="000000"/>
                          <w:bottom w:val="single" w:sz="2" w:space="0" w:color="000000"/>
                          <w:right w:val="single" w:sz="2" w:space="0" w:color="000000"/>
                        </w:tcBorders>
                      </w:tcPr>
                      <w:p w14:paraId="52205CC0" w14:textId="77777777" w:rsidR="00F65BCA" w:rsidRDefault="00F65BCA">
                        <w:pPr>
                          <w:pStyle w:val="TableParagraph"/>
                          <w:rPr>
                            <w:rFonts w:ascii="Calibri"/>
                            <w:sz w:val="2"/>
                          </w:rPr>
                        </w:pPr>
                      </w:p>
                      <w:p w14:paraId="3E931315" w14:textId="77777777" w:rsidR="00F65BCA" w:rsidRDefault="00216117">
                        <w:pPr>
                          <w:pStyle w:val="TableParagraph"/>
                          <w:spacing w:before="15"/>
                          <w:ind w:left="24" w:right="24"/>
                          <w:jc w:val="center"/>
                          <w:rPr>
                            <w:sz w:val="3"/>
                          </w:rPr>
                        </w:pPr>
                        <w:r>
                          <w:rPr>
                            <w:w w:val="105"/>
                            <w:sz w:val="3"/>
                          </w:rPr>
                          <w:t>0,73932843%</w:t>
                        </w:r>
                      </w:p>
                    </w:tc>
                    <w:tc>
                      <w:tcPr>
                        <w:tcW w:w="288" w:type="dxa"/>
                        <w:tcBorders>
                          <w:top w:val="single" w:sz="2" w:space="0" w:color="000000"/>
                          <w:left w:val="single" w:sz="2" w:space="0" w:color="000000"/>
                          <w:bottom w:val="single" w:sz="2" w:space="0" w:color="000000"/>
                          <w:right w:val="single" w:sz="2" w:space="0" w:color="000000"/>
                        </w:tcBorders>
                      </w:tcPr>
                      <w:p w14:paraId="2B4FE499" w14:textId="77777777" w:rsidR="00F65BCA" w:rsidRDefault="00F65BCA">
                        <w:pPr>
                          <w:pStyle w:val="TableParagraph"/>
                          <w:rPr>
                            <w:rFonts w:ascii="Calibri"/>
                            <w:sz w:val="2"/>
                          </w:rPr>
                        </w:pPr>
                      </w:p>
                      <w:p w14:paraId="33017E80" w14:textId="77777777" w:rsidR="00F65BCA" w:rsidRDefault="00216117">
                        <w:pPr>
                          <w:pStyle w:val="TableParagraph"/>
                          <w:spacing w:before="15"/>
                          <w:ind w:left="24" w:right="24"/>
                          <w:jc w:val="center"/>
                          <w:rPr>
                            <w:sz w:val="3"/>
                          </w:rPr>
                        </w:pPr>
                        <w:r>
                          <w:rPr>
                            <w:w w:val="105"/>
                            <w:sz w:val="3"/>
                          </w:rPr>
                          <w:t>0,67211675%</w:t>
                        </w:r>
                      </w:p>
                    </w:tc>
                    <w:tc>
                      <w:tcPr>
                        <w:tcW w:w="288" w:type="dxa"/>
                        <w:tcBorders>
                          <w:top w:val="single" w:sz="2" w:space="0" w:color="000000"/>
                          <w:left w:val="single" w:sz="2" w:space="0" w:color="000000"/>
                          <w:bottom w:val="single" w:sz="2" w:space="0" w:color="000000"/>
                          <w:right w:val="single" w:sz="2" w:space="0" w:color="000000"/>
                        </w:tcBorders>
                      </w:tcPr>
                      <w:p w14:paraId="5B5EC1D3" w14:textId="77777777" w:rsidR="00F65BCA" w:rsidRDefault="00F65BCA">
                        <w:pPr>
                          <w:pStyle w:val="TableParagraph"/>
                          <w:rPr>
                            <w:rFonts w:ascii="Calibri"/>
                            <w:sz w:val="2"/>
                          </w:rPr>
                        </w:pPr>
                      </w:p>
                      <w:p w14:paraId="5D3EA6E0" w14:textId="77777777" w:rsidR="00F65BCA" w:rsidRDefault="00216117">
                        <w:pPr>
                          <w:pStyle w:val="TableParagraph"/>
                          <w:spacing w:before="15"/>
                          <w:ind w:left="24" w:right="24"/>
                          <w:jc w:val="center"/>
                          <w:rPr>
                            <w:sz w:val="3"/>
                          </w:rPr>
                        </w:pPr>
                        <w:r>
                          <w:rPr>
                            <w:w w:val="105"/>
                            <w:sz w:val="3"/>
                          </w:rPr>
                          <w:t>0,67211675%</w:t>
                        </w:r>
                      </w:p>
                    </w:tc>
                    <w:tc>
                      <w:tcPr>
                        <w:tcW w:w="288" w:type="dxa"/>
                        <w:tcBorders>
                          <w:top w:val="single" w:sz="2" w:space="0" w:color="000000"/>
                          <w:left w:val="single" w:sz="2" w:space="0" w:color="000000"/>
                          <w:bottom w:val="single" w:sz="2" w:space="0" w:color="000000"/>
                          <w:right w:val="single" w:sz="2" w:space="0" w:color="000000"/>
                        </w:tcBorders>
                      </w:tcPr>
                      <w:p w14:paraId="4794B671" w14:textId="77777777" w:rsidR="00F65BCA" w:rsidRDefault="00F65BCA">
                        <w:pPr>
                          <w:pStyle w:val="TableParagraph"/>
                          <w:rPr>
                            <w:rFonts w:ascii="Calibri"/>
                            <w:sz w:val="2"/>
                          </w:rPr>
                        </w:pPr>
                      </w:p>
                      <w:p w14:paraId="2F27E970" w14:textId="77777777" w:rsidR="00F65BCA" w:rsidRDefault="00216117">
                        <w:pPr>
                          <w:pStyle w:val="TableParagraph"/>
                          <w:spacing w:before="15"/>
                          <w:ind w:left="24" w:right="24"/>
                          <w:jc w:val="center"/>
                          <w:rPr>
                            <w:sz w:val="3"/>
                          </w:rPr>
                        </w:pPr>
                        <w:r>
                          <w:rPr>
                            <w:w w:val="105"/>
                            <w:sz w:val="3"/>
                          </w:rPr>
                          <w:t>0,80654010%</w:t>
                        </w:r>
                      </w:p>
                    </w:tc>
                    <w:tc>
                      <w:tcPr>
                        <w:tcW w:w="288" w:type="dxa"/>
                        <w:tcBorders>
                          <w:top w:val="single" w:sz="2" w:space="0" w:color="000000"/>
                          <w:left w:val="single" w:sz="2" w:space="0" w:color="000000"/>
                          <w:bottom w:val="single" w:sz="2" w:space="0" w:color="000000"/>
                          <w:right w:val="single" w:sz="2" w:space="0" w:color="000000"/>
                        </w:tcBorders>
                      </w:tcPr>
                      <w:p w14:paraId="2933461B" w14:textId="77777777" w:rsidR="00F65BCA" w:rsidRDefault="00F65BCA">
                        <w:pPr>
                          <w:pStyle w:val="TableParagraph"/>
                          <w:rPr>
                            <w:rFonts w:ascii="Calibri"/>
                            <w:sz w:val="2"/>
                          </w:rPr>
                        </w:pPr>
                      </w:p>
                      <w:p w14:paraId="2F153A2C" w14:textId="77777777" w:rsidR="00F65BCA" w:rsidRDefault="00216117">
                        <w:pPr>
                          <w:pStyle w:val="TableParagraph"/>
                          <w:spacing w:before="15"/>
                          <w:ind w:left="24" w:right="24"/>
                          <w:jc w:val="center"/>
                          <w:rPr>
                            <w:sz w:val="3"/>
                          </w:rPr>
                        </w:pPr>
                        <w:r>
                          <w:rPr>
                            <w:w w:val="105"/>
                            <w:sz w:val="3"/>
                          </w:rPr>
                          <w:t>0,90735762%</w:t>
                        </w:r>
                      </w:p>
                    </w:tc>
                    <w:tc>
                      <w:tcPr>
                        <w:tcW w:w="288" w:type="dxa"/>
                        <w:tcBorders>
                          <w:top w:val="single" w:sz="2" w:space="0" w:color="000000"/>
                          <w:left w:val="single" w:sz="2" w:space="0" w:color="000000"/>
                          <w:bottom w:val="single" w:sz="2" w:space="0" w:color="000000"/>
                          <w:right w:val="single" w:sz="2" w:space="0" w:color="000000"/>
                        </w:tcBorders>
                      </w:tcPr>
                      <w:p w14:paraId="5C6584F2" w14:textId="77777777" w:rsidR="00F65BCA" w:rsidRDefault="00F65BCA">
                        <w:pPr>
                          <w:pStyle w:val="TableParagraph"/>
                          <w:rPr>
                            <w:rFonts w:ascii="Calibri"/>
                            <w:sz w:val="2"/>
                          </w:rPr>
                        </w:pPr>
                      </w:p>
                      <w:p w14:paraId="3DAA2562" w14:textId="77777777" w:rsidR="00F65BCA" w:rsidRDefault="00216117">
                        <w:pPr>
                          <w:pStyle w:val="TableParagraph"/>
                          <w:spacing w:before="15"/>
                          <w:ind w:left="24" w:right="24"/>
                          <w:jc w:val="center"/>
                          <w:rPr>
                            <w:sz w:val="3"/>
                          </w:rPr>
                        </w:pPr>
                        <w:r>
                          <w:rPr>
                            <w:w w:val="105"/>
                            <w:sz w:val="3"/>
                          </w:rPr>
                          <w:t>0,90735762%</w:t>
                        </w:r>
                      </w:p>
                    </w:tc>
                    <w:tc>
                      <w:tcPr>
                        <w:tcW w:w="288" w:type="dxa"/>
                        <w:tcBorders>
                          <w:top w:val="single" w:sz="2" w:space="0" w:color="000000"/>
                          <w:left w:val="single" w:sz="2" w:space="0" w:color="000000"/>
                          <w:bottom w:val="single" w:sz="2" w:space="0" w:color="000000"/>
                          <w:right w:val="single" w:sz="2" w:space="0" w:color="000000"/>
                        </w:tcBorders>
                      </w:tcPr>
                      <w:p w14:paraId="436908E7" w14:textId="77777777" w:rsidR="00F65BCA" w:rsidRDefault="00F65BCA">
                        <w:pPr>
                          <w:pStyle w:val="TableParagraph"/>
                          <w:rPr>
                            <w:rFonts w:ascii="Calibri"/>
                            <w:sz w:val="2"/>
                          </w:rPr>
                        </w:pPr>
                      </w:p>
                      <w:p w14:paraId="2F8759C4" w14:textId="77777777" w:rsidR="00F65BCA" w:rsidRDefault="00216117">
                        <w:pPr>
                          <w:pStyle w:val="TableParagraph"/>
                          <w:spacing w:before="15"/>
                          <w:ind w:left="24" w:right="24"/>
                          <w:jc w:val="center"/>
                          <w:rPr>
                            <w:sz w:val="3"/>
                          </w:rPr>
                        </w:pPr>
                        <w:r>
                          <w:rPr>
                            <w:w w:val="105"/>
                            <w:sz w:val="3"/>
                          </w:rPr>
                          <w:t>1,00817513%</w:t>
                        </w:r>
                      </w:p>
                    </w:tc>
                  </w:tr>
                  <w:tr w:rsidR="00F65BCA" w14:paraId="5ED97094"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5E8DDEF1"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03AE9A3F"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5C601C6E" w14:textId="77777777" w:rsidR="00F65BCA" w:rsidRDefault="00F65BCA">
                        <w:pPr>
                          <w:pStyle w:val="TableParagraph"/>
                          <w:rPr>
                            <w:rFonts w:ascii="Calibri"/>
                            <w:sz w:val="2"/>
                          </w:rPr>
                        </w:pPr>
                      </w:p>
                      <w:p w14:paraId="6E2F94FB" w14:textId="77777777" w:rsidR="00F65BCA" w:rsidRDefault="00F65BCA">
                        <w:pPr>
                          <w:pStyle w:val="TableParagraph"/>
                          <w:rPr>
                            <w:rFonts w:ascii="Calibri"/>
                            <w:sz w:val="2"/>
                          </w:rPr>
                        </w:pPr>
                      </w:p>
                      <w:p w14:paraId="3273460A" w14:textId="77777777" w:rsidR="00F65BCA" w:rsidRDefault="00216117">
                        <w:pPr>
                          <w:pStyle w:val="TableParagraph"/>
                          <w:spacing w:line="283" w:lineRule="auto"/>
                          <w:ind w:left="4" w:right="6"/>
                          <w:rPr>
                            <w:sz w:val="3"/>
                          </w:rPr>
                        </w:pPr>
                        <w:r>
                          <w:rPr>
                            <w:w w:val="105"/>
                            <w:sz w:val="3"/>
                          </w:rPr>
                          <w:t>1203; CITIGO; ENYAQ; KAMIQ; KAROQ; RAPID; RAPID SPACEBACK; ROOMSTER; SCALA; YETI</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B52B3FE" w14:textId="77777777" w:rsidR="00F65BCA" w:rsidRDefault="00F65BCA">
                        <w:pPr>
                          <w:pStyle w:val="TableParagraph"/>
                          <w:rPr>
                            <w:rFonts w:ascii="Calibri"/>
                            <w:sz w:val="2"/>
                          </w:rPr>
                        </w:pPr>
                      </w:p>
                      <w:p w14:paraId="7ECFE040"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7DAF44F" w14:textId="77777777" w:rsidR="00F65BCA" w:rsidRDefault="00F65BCA">
                        <w:pPr>
                          <w:pStyle w:val="TableParagraph"/>
                          <w:rPr>
                            <w:rFonts w:ascii="Calibri"/>
                            <w:sz w:val="2"/>
                          </w:rPr>
                        </w:pPr>
                      </w:p>
                      <w:p w14:paraId="75DB3451"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572FB69"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723F23D" w14:textId="77777777" w:rsidR="00F65BCA" w:rsidRDefault="00F65BCA">
                        <w:pPr>
                          <w:pStyle w:val="TableParagraph"/>
                          <w:rPr>
                            <w:rFonts w:ascii="Calibri"/>
                            <w:sz w:val="2"/>
                          </w:rPr>
                        </w:pPr>
                      </w:p>
                      <w:p w14:paraId="1910FB2F"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3B80F891" w14:textId="77777777" w:rsidR="00F65BCA" w:rsidRDefault="00F65BCA">
                        <w:pPr>
                          <w:pStyle w:val="TableParagraph"/>
                          <w:rPr>
                            <w:rFonts w:ascii="Calibri"/>
                            <w:sz w:val="2"/>
                          </w:rPr>
                        </w:pPr>
                      </w:p>
                      <w:p w14:paraId="5DCC98E2"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0D11F783" w14:textId="77777777" w:rsidR="00F65BCA" w:rsidRDefault="00F65BCA">
                        <w:pPr>
                          <w:pStyle w:val="TableParagraph"/>
                          <w:rPr>
                            <w:rFonts w:ascii="Calibri"/>
                            <w:sz w:val="2"/>
                          </w:rPr>
                        </w:pPr>
                      </w:p>
                      <w:p w14:paraId="0551152A"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12A5A50E" w14:textId="77777777" w:rsidR="00F65BCA" w:rsidRDefault="00F65BCA">
                        <w:pPr>
                          <w:pStyle w:val="TableParagraph"/>
                          <w:rPr>
                            <w:rFonts w:ascii="Calibri"/>
                            <w:sz w:val="2"/>
                          </w:rPr>
                        </w:pPr>
                      </w:p>
                      <w:p w14:paraId="77B9D7C9"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2F9821B9" w14:textId="77777777" w:rsidR="00F65BCA" w:rsidRDefault="00F65BCA">
                        <w:pPr>
                          <w:pStyle w:val="TableParagraph"/>
                          <w:rPr>
                            <w:rFonts w:ascii="Calibri"/>
                            <w:sz w:val="2"/>
                          </w:rPr>
                        </w:pPr>
                      </w:p>
                      <w:p w14:paraId="7A5278AA"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48EC1661" w14:textId="77777777" w:rsidR="00F65BCA" w:rsidRDefault="00F65BCA">
                        <w:pPr>
                          <w:pStyle w:val="TableParagraph"/>
                          <w:rPr>
                            <w:rFonts w:ascii="Calibri"/>
                            <w:sz w:val="2"/>
                          </w:rPr>
                        </w:pPr>
                      </w:p>
                      <w:p w14:paraId="24237490"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7F3B6C4F" w14:textId="77777777" w:rsidR="00F65BCA" w:rsidRDefault="00F65BCA">
                        <w:pPr>
                          <w:pStyle w:val="TableParagraph"/>
                          <w:rPr>
                            <w:rFonts w:ascii="Calibri"/>
                            <w:sz w:val="2"/>
                          </w:rPr>
                        </w:pPr>
                      </w:p>
                      <w:p w14:paraId="25B71527"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7BB335C8" w14:textId="77777777" w:rsidR="00F65BCA" w:rsidRDefault="00F65BCA">
                        <w:pPr>
                          <w:pStyle w:val="TableParagraph"/>
                          <w:rPr>
                            <w:rFonts w:ascii="Calibri"/>
                            <w:sz w:val="2"/>
                          </w:rPr>
                        </w:pPr>
                      </w:p>
                      <w:p w14:paraId="252337D6"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5321E216" w14:textId="77777777" w:rsidR="00F65BCA" w:rsidRDefault="00F65BCA">
                        <w:pPr>
                          <w:pStyle w:val="TableParagraph"/>
                          <w:rPr>
                            <w:rFonts w:ascii="Calibri"/>
                            <w:sz w:val="2"/>
                          </w:rPr>
                        </w:pPr>
                      </w:p>
                      <w:p w14:paraId="55EB3B8F"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3C58C76C" w14:textId="77777777" w:rsidR="00F65BCA" w:rsidRDefault="00F65BCA">
                        <w:pPr>
                          <w:pStyle w:val="TableParagraph"/>
                          <w:rPr>
                            <w:rFonts w:ascii="Calibri"/>
                            <w:sz w:val="2"/>
                          </w:rPr>
                        </w:pPr>
                      </w:p>
                      <w:p w14:paraId="34E75858"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2A350734" w14:textId="77777777" w:rsidR="00F65BCA" w:rsidRDefault="00F65BCA">
                        <w:pPr>
                          <w:pStyle w:val="TableParagraph"/>
                          <w:rPr>
                            <w:rFonts w:ascii="Calibri"/>
                            <w:sz w:val="2"/>
                          </w:rPr>
                        </w:pPr>
                      </w:p>
                      <w:p w14:paraId="4F622A8F"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04079388" w14:textId="77777777" w:rsidR="00F65BCA" w:rsidRDefault="00F65BCA">
                        <w:pPr>
                          <w:pStyle w:val="TableParagraph"/>
                          <w:rPr>
                            <w:rFonts w:ascii="Calibri"/>
                            <w:sz w:val="2"/>
                          </w:rPr>
                        </w:pPr>
                      </w:p>
                      <w:p w14:paraId="31B38B3E"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4FF1A443" w14:textId="77777777" w:rsidR="00F65BCA" w:rsidRDefault="00F65BCA">
                        <w:pPr>
                          <w:pStyle w:val="TableParagraph"/>
                          <w:rPr>
                            <w:rFonts w:ascii="Calibri"/>
                            <w:sz w:val="2"/>
                          </w:rPr>
                        </w:pPr>
                      </w:p>
                      <w:p w14:paraId="043776E9" w14:textId="77777777" w:rsidR="00F65BCA" w:rsidRDefault="00216117">
                        <w:pPr>
                          <w:pStyle w:val="TableParagraph"/>
                          <w:ind w:left="24" w:right="24"/>
                          <w:jc w:val="center"/>
                          <w:rPr>
                            <w:sz w:val="3"/>
                          </w:rPr>
                        </w:pPr>
                        <w:r>
                          <w:rPr>
                            <w:w w:val="105"/>
                            <w:sz w:val="3"/>
                          </w:rPr>
                          <w:t>0,95940000%</w:t>
                        </w:r>
                      </w:p>
                    </w:tc>
                  </w:tr>
                  <w:tr w:rsidR="00F65BCA" w14:paraId="15137864"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56C0D6D9"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3EFF310D"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5F09A0FA"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F718E2F" w14:textId="77777777" w:rsidR="00F65BCA" w:rsidRDefault="00F65BCA">
                        <w:pPr>
                          <w:pStyle w:val="TableParagraph"/>
                          <w:rPr>
                            <w:rFonts w:ascii="Calibri"/>
                            <w:sz w:val="2"/>
                          </w:rPr>
                        </w:pPr>
                      </w:p>
                      <w:p w14:paraId="1268621D"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988BF7C" w14:textId="77777777" w:rsidR="00F65BCA" w:rsidRDefault="00F65BCA">
                        <w:pPr>
                          <w:pStyle w:val="TableParagraph"/>
                          <w:rPr>
                            <w:rFonts w:ascii="Calibri"/>
                            <w:sz w:val="2"/>
                          </w:rPr>
                        </w:pPr>
                      </w:p>
                      <w:p w14:paraId="1E26E6CB"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5570BF0E"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15E5699" w14:textId="77777777" w:rsidR="00F65BCA" w:rsidRDefault="00F65BCA">
                        <w:pPr>
                          <w:pStyle w:val="TableParagraph"/>
                          <w:rPr>
                            <w:rFonts w:ascii="Calibri"/>
                            <w:sz w:val="2"/>
                          </w:rPr>
                        </w:pPr>
                      </w:p>
                      <w:p w14:paraId="7B2D159A"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0BA2B5FA" w14:textId="77777777" w:rsidR="00F65BCA" w:rsidRDefault="00F65BCA">
                        <w:pPr>
                          <w:pStyle w:val="TableParagraph"/>
                          <w:rPr>
                            <w:rFonts w:ascii="Calibri"/>
                            <w:sz w:val="2"/>
                          </w:rPr>
                        </w:pPr>
                      </w:p>
                      <w:p w14:paraId="7C2BE333"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3AB82240" w14:textId="77777777" w:rsidR="00F65BCA" w:rsidRDefault="00F65BCA">
                        <w:pPr>
                          <w:pStyle w:val="TableParagraph"/>
                          <w:rPr>
                            <w:rFonts w:ascii="Calibri"/>
                            <w:sz w:val="2"/>
                          </w:rPr>
                        </w:pPr>
                      </w:p>
                      <w:p w14:paraId="4506BB81"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2E541DEE" w14:textId="77777777" w:rsidR="00F65BCA" w:rsidRDefault="00F65BCA">
                        <w:pPr>
                          <w:pStyle w:val="TableParagraph"/>
                          <w:rPr>
                            <w:rFonts w:ascii="Calibri"/>
                            <w:sz w:val="2"/>
                          </w:rPr>
                        </w:pPr>
                      </w:p>
                      <w:p w14:paraId="6C0CF3AC"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47ED00E0" w14:textId="77777777" w:rsidR="00F65BCA" w:rsidRDefault="00F65BCA">
                        <w:pPr>
                          <w:pStyle w:val="TableParagraph"/>
                          <w:rPr>
                            <w:rFonts w:ascii="Calibri"/>
                            <w:sz w:val="2"/>
                          </w:rPr>
                        </w:pPr>
                      </w:p>
                      <w:p w14:paraId="6A4760B9"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4F5680C2" w14:textId="77777777" w:rsidR="00F65BCA" w:rsidRDefault="00F65BCA">
                        <w:pPr>
                          <w:pStyle w:val="TableParagraph"/>
                          <w:rPr>
                            <w:rFonts w:ascii="Calibri"/>
                            <w:sz w:val="2"/>
                          </w:rPr>
                        </w:pPr>
                      </w:p>
                      <w:p w14:paraId="44966D5D"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59EE6F49" w14:textId="77777777" w:rsidR="00F65BCA" w:rsidRDefault="00F65BCA">
                        <w:pPr>
                          <w:pStyle w:val="TableParagraph"/>
                          <w:rPr>
                            <w:rFonts w:ascii="Calibri"/>
                            <w:sz w:val="2"/>
                          </w:rPr>
                        </w:pPr>
                      </w:p>
                      <w:p w14:paraId="2B302FF1"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72AC0405" w14:textId="77777777" w:rsidR="00F65BCA" w:rsidRDefault="00F65BCA">
                        <w:pPr>
                          <w:pStyle w:val="TableParagraph"/>
                          <w:rPr>
                            <w:rFonts w:ascii="Calibri"/>
                            <w:sz w:val="2"/>
                          </w:rPr>
                        </w:pPr>
                      </w:p>
                      <w:p w14:paraId="4C231AFE"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79CF60C1" w14:textId="77777777" w:rsidR="00F65BCA" w:rsidRDefault="00F65BCA">
                        <w:pPr>
                          <w:pStyle w:val="TableParagraph"/>
                          <w:rPr>
                            <w:rFonts w:ascii="Calibri"/>
                            <w:sz w:val="2"/>
                          </w:rPr>
                        </w:pPr>
                      </w:p>
                      <w:p w14:paraId="23BFCE31"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1055EDDE" w14:textId="77777777" w:rsidR="00F65BCA" w:rsidRDefault="00F65BCA">
                        <w:pPr>
                          <w:pStyle w:val="TableParagraph"/>
                          <w:rPr>
                            <w:rFonts w:ascii="Calibri"/>
                            <w:sz w:val="2"/>
                          </w:rPr>
                        </w:pPr>
                      </w:p>
                      <w:p w14:paraId="4B931CBD"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65C25640" w14:textId="77777777" w:rsidR="00F65BCA" w:rsidRDefault="00F65BCA">
                        <w:pPr>
                          <w:pStyle w:val="TableParagraph"/>
                          <w:rPr>
                            <w:rFonts w:ascii="Calibri"/>
                            <w:sz w:val="2"/>
                          </w:rPr>
                        </w:pPr>
                      </w:p>
                      <w:p w14:paraId="6B73BC0D"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20220A7" w14:textId="77777777" w:rsidR="00F65BCA" w:rsidRDefault="00F65BCA">
                        <w:pPr>
                          <w:pStyle w:val="TableParagraph"/>
                          <w:rPr>
                            <w:rFonts w:ascii="Calibri"/>
                            <w:sz w:val="2"/>
                          </w:rPr>
                        </w:pPr>
                      </w:p>
                      <w:p w14:paraId="36AB9018"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6EC3B1FF" w14:textId="77777777" w:rsidR="00F65BCA" w:rsidRDefault="00F65BCA">
                        <w:pPr>
                          <w:pStyle w:val="TableParagraph"/>
                          <w:rPr>
                            <w:rFonts w:ascii="Calibri"/>
                            <w:sz w:val="2"/>
                          </w:rPr>
                        </w:pPr>
                      </w:p>
                      <w:p w14:paraId="64907633" w14:textId="77777777" w:rsidR="00F65BCA" w:rsidRDefault="00216117">
                        <w:pPr>
                          <w:pStyle w:val="TableParagraph"/>
                          <w:ind w:left="24" w:right="24"/>
                          <w:jc w:val="center"/>
                          <w:rPr>
                            <w:sz w:val="3"/>
                          </w:rPr>
                        </w:pPr>
                        <w:r>
                          <w:rPr>
                            <w:w w:val="105"/>
                            <w:sz w:val="3"/>
                          </w:rPr>
                          <w:t>1,15895520%</w:t>
                        </w:r>
                      </w:p>
                    </w:tc>
                  </w:tr>
                  <w:tr w:rsidR="00F65BCA" w14:paraId="4DB42012"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26FE6374"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083A2BCA"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3AAEA545" w14:textId="77777777" w:rsidR="00F65BCA" w:rsidRDefault="00F65BCA">
                        <w:pPr>
                          <w:pStyle w:val="TableParagraph"/>
                          <w:rPr>
                            <w:rFonts w:ascii="Calibri"/>
                            <w:sz w:val="2"/>
                          </w:rPr>
                        </w:pPr>
                      </w:p>
                      <w:p w14:paraId="59072D71" w14:textId="77777777" w:rsidR="00F65BCA" w:rsidRDefault="00216117">
                        <w:pPr>
                          <w:pStyle w:val="TableParagraph"/>
                          <w:spacing w:line="40" w:lineRule="atLeast"/>
                          <w:ind w:left="4" w:right="7"/>
                          <w:rPr>
                            <w:sz w:val="3"/>
                          </w:rPr>
                        </w:pPr>
                        <w:r>
                          <w:rPr>
                            <w:w w:val="105"/>
                            <w:sz w:val="3"/>
                          </w:rPr>
                          <w:t>OCTAVIA;</w:t>
                        </w:r>
                        <w:r>
                          <w:rPr>
                            <w:spacing w:val="-4"/>
                            <w:w w:val="105"/>
                            <w:sz w:val="3"/>
                          </w:rPr>
                          <w:t xml:space="preserve"> </w:t>
                        </w:r>
                        <w:r>
                          <w:rPr>
                            <w:w w:val="105"/>
                            <w:sz w:val="3"/>
                          </w:rPr>
                          <w:t>OCTAVIA</w:t>
                        </w:r>
                        <w:r>
                          <w:rPr>
                            <w:spacing w:val="-4"/>
                            <w:w w:val="105"/>
                            <w:sz w:val="3"/>
                          </w:rPr>
                          <w:t xml:space="preserve"> </w:t>
                        </w:r>
                        <w:r>
                          <w:rPr>
                            <w:w w:val="105"/>
                            <w:sz w:val="3"/>
                          </w:rPr>
                          <w:t>COM</w:t>
                        </w:r>
                        <w:r>
                          <w:rPr>
                            <w:spacing w:val="-4"/>
                            <w:w w:val="105"/>
                            <w:sz w:val="3"/>
                          </w:rPr>
                          <w:t xml:space="preserve"> </w:t>
                        </w:r>
                        <w:r>
                          <w:rPr>
                            <w:w w:val="105"/>
                            <w:sz w:val="3"/>
                          </w:rPr>
                          <w:t>II;</w:t>
                        </w:r>
                        <w:r>
                          <w:rPr>
                            <w:spacing w:val="-4"/>
                            <w:w w:val="105"/>
                            <w:sz w:val="3"/>
                          </w:rPr>
                          <w:t xml:space="preserve"> </w:t>
                        </w:r>
                        <w:r>
                          <w:rPr>
                            <w:w w:val="105"/>
                            <w:sz w:val="3"/>
                          </w:rPr>
                          <w:t>OCTAVIA</w:t>
                        </w:r>
                        <w:r>
                          <w:rPr>
                            <w:spacing w:val="-3"/>
                            <w:w w:val="105"/>
                            <w:sz w:val="3"/>
                          </w:rPr>
                          <w:t xml:space="preserve"> </w:t>
                        </w:r>
                        <w:r>
                          <w:rPr>
                            <w:w w:val="105"/>
                            <w:sz w:val="3"/>
                          </w:rPr>
                          <w:t>COM</w:t>
                        </w:r>
                        <w:r>
                          <w:rPr>
                            <w:spacing w:val="-5"/>
                            <w:w w:val="105"/>
                            <w:sz w:val="3"/>
                          </w:rPr>
                          <w:t xml:space="preserve"> </w:t>
                        </w:r>
                        <w:r>
                          <w:rPr>
                            <w:w w:val="105"/>
                            <w:sz w:val="3"/>
                          </w:rPr>
                          <w:t>III;</w:t>
                        </w:r>
                        <w:r>
                          <w:rPr>
                            <w:spacing w:val="-3"/>
                            <w:w w:val="105"/>
                            <w:sz w:val="3"/>
                          </w:rPr>
                          <w:t xml:space="preserve"> </w:t>
                        </w:r>
                        <w:r>
                          <w:rPr>
                            <w:w w:val="105"/>
                            <w:sz w:val="3"/>
                          </w:rPr>
                          <w:t>OCTAVIA</w:t>
                        </w:r>
                        <w:r>
                          <w:rPr>
                            <w:spacing w:val="-4"/>
                            <w:w w:val="105"/>
                            <w:sz w:val="3"/>
                          </w:rPr>
                          <w:t xml:space="preserve"> </w:t>
                        </w:r>
                        <w:r>
                          <w:rPr>
                            <w:w w:val="105"/>
                            <w:sz w:val="3"/>
                          </w:rPr>
                          <w:t>COMBI; OCTAVIA COMBI TOUR; OCTAVIA II; OCTAVIA III; OCTAVIA TOUR</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3673F0A" w14:textId="77777777" w:rsidR="00F65BCA" w:rsidRDefault="00F65BCA">
                        <w:pPr>
                          <w:pStyle w:val="TableParagraph"/>
                          <w:rPr>
                            <w:rFonts w:ascii="Calibri"/>
                            <w:sz w:val="2"/>
                          </w:rPr>
                        </w:pPr>
                      </w:p>
                      <w:p w14:paraId="2AEA2732"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3EE645B" w14:textId="77777777" w:rsidR="00F65BCA" w:rsidRDefault="00F65BCA">
                        <w:pPr>
                          <w:pStyle w:val="TableParagraph"/>
                          <w:rPr>
                            <w:rFonts w:ascii="Calibri"/>
                            <w:sz w:val="2"/>
                          </w:rPr>
                        </w:pPr>
                      </w:p>
                      <w:p w14:paraId="1B8CE3EF"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0710F875"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1184F8F" w14:textId="77777777" w:rsidR="00F65BCA" w:rsidRDefault="00F65BCA">
                        <w:pPr>
                          <w:pStyle w:val="TableParagraph"/>
                          <w:rPr>
                            <w:rFonts w:ascii="Calibri"/>
                            <w:sz w:val="2"/>
                          </w:rPr>
                        </w:pPr>
                      </w:p>
                      <w:p w14:paraId="0CB0FD7D"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7CF96465" w14:textId="77777777" w:rsidR="00F65BCA" w:rsidRDefault="00F65BCA">
                        <w:pPr>
                          <w:pStyle w:val="TableParagraph"/>
                          <w:rPr>
                            <w:rFonts w:ascii="Calibri"/>
                            <w:sz w:val="2"/>
                          </w:rPr>
                        </w:pPr>
                      </w:p>
                      <w:p w14:paraId="068D7B8B"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7CC938EB" w14:textId="77777777" w:rsidR="00F65BCA" w:rsidRDefault="00F65BCA">
                        <w:pPr>
                          <w:pStyle w:val="TableParagraph"/>
                          <w:rPr>
                            <w:rFonts w:ascii="Calibri"/>
                            <w:sz w:val="2"/>
                          </w:rPr>
                        </w:pPr>
                      </w:p>
                      <w:p w14:paraId="4E997CC4"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71544C88" w14:textId="77777777" w:rsidR="00F65BCA" w:rsidRDefault="00F65BCA">
                        <w:pPr>
                          <w:pStyle w:val="TableParagraph"/>
                          <w:rPr>
                            <w:rFonts w:ascii="Calibri"/>
                            <w:sz w:val="2"/>
                          </w:rPr>
                        </w:pPr>
                      </w:p>
                      <w:p w14:paraId="4A08FBBC"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55AE3EBA" w14:textId="77777777" w:rsidR="00F65BCA" w:rsidRDefault="00F65BCA">
                        <w:pPr>
                          <w:pStyle w:val="TableParagraph"/>
                          <w:rPr>
                            <w:rFonts w:ascii="Calibri"/>
                            <w:sz w:val="2"/>
                          </w:rPr>
                        </w:pPr>
                      </w:p>
                      <w:p w14:paraId="18A940D6"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30290E5C" w14:textId="77777777" w:rsidR="00F65BCA" w:rsidRDefault="00F65BCA">
                        <w:pPr>
                          <w:pStyle w:val="TableParagraph"/>
                          <w:rPr>
                            <w:rFonts w:ascii="Calibri"/>
                            <w:sz w:val="2"/>
                          </w:rPr>
                        </w:pPr>
                      </w:p>
                      <w:p w14:paraId="3218B73D"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793A7480" w14:textId="77777777" w:rsidR="00F65BCA" w:rsidRDefault="00F65BCA">
                        <w:pPr>
                          <w:pStyle w:val="TableParagraph"/>
                          <w:rPr>
                            <w:rFonts w:ascii="Calibri"/>
                            <w:sz w:val="2"/>
                          </w:rPr>
                        </w:pPr>
                      </w:p>
                      <w:p w14:paraId="52944E6E"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1E91BC96" w14:textId="77777777" w:rsidR="00F65BCA" w:rsidRDefault="00F65BCA">
                        <w:pPr>
                          <w:pStyle w:val="TableParagraph"/>
                          <w:rPr>
                            <w:rFonts w:ascii="Calibri"/>
                            <w:sz w:val="2"/>
                          </w:rPr>
                        </w:pPr>
                      </w:p>
                      <w:p w14:paraId="57FC8C2D"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0E9A7158" w14:textId="77777777" w:rsidR="00F65BCA" w:rsidRDefault="00F65BCA">
                        <w:pPr>
                          <w:pStyle w:val="TableParagraph"/>
                          <w:rPr>
                            <w:rFonts w:ascii="Calibri"/>
                            <w:sz w:val="2"/>
                          </w:rPr>
                        </w:pPr>
                      </w:p>
                      <w:p w14:paraId="55FAEC06"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163D7EB8" w14:textId="77777777" w:rsidR="00F65BCA" w:rsidRDefault="00F65BCA">
                        <w:pPr>
                          <w:pStyle w:val="TableParagraph"/>
                          <w:rPr>
                            <w:rFonts w:ascii="Calibri"/>
                            <w:sz w:val="2"/>
                          </w:rPr>
                        </w:pPr>
                      </w:p>
                      <w:p w14:paraId="503318D5"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534C81DD" w14:textId="77777777" w:rsidR="00F65BCA" w:rsidRDefault="00F65BCA">
                        <w:pPr>
                          <w:pStyle w:val="TableParagraph"/>
                          <w:rPr>
                            <w:rFonts w:ascii="Calibri"/>
                            <w:sz w:val="2"/>
                          </w:rPr>
                        </w:pPr>
                      </w:p>
                      <w:p w14:paraId="391ED700"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6F2ADB10" w14:textId="77777777" w:rsidR="00F65BCA" w:rsidRDefault="00F65BCA">
                        <w:pPr>
                          <w:pStyle w:val="TableParagraph"/>
                          <w:rPr>
                            <w:rFonts w:ascii="Calibri"/>
                            <w:sz w:val="2"/>
                          </w:rPr>
                        </w:pPr>
                      </w:p>
                      <w:p w14:paraId="5A22DA44"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061C3A73" w14:textId="77777777" w:rsidR="00F65BCA" w:rsidRDefault="00F65BCA">
                        <w:pPr>
                          <w:pStyle w:val="TableParagraph"/>
                          <w:rPr>
                            <w:rFonts w:ascii="Calibri"/>
                            <w:sz w:val="2"/>
                          </w:rPr>
                        </w:pPr>
                      </w:p>
                      <w:p w14:paraId="03FAF5CB" w14:textId="77777777" w:rsidR="00F65BCA" w:rsidRDefault="00216117">
                        <w:pPr>
                          <w:pStyle w:val="TableParagraph"/>
                          <w:ind w:left="24" w:right="24"/>
                          <w:jc w:val="center"/>
                          <w:rPr>
                            <w:sz w:val="3"/>
                          </w:rPr>
                        </w:pPr>
                        <w:r>
                          <w:rPr>
                            <w:w w:val="105"/>
                            <w:sz w:val="3"/>
                          </w:rPr>
                          <w:t>1,07731026%</w:t>
                        </w:r>
                      </w:p>
                    </w:tc>
                  </w:tr>
                  <w:tr w:rsidR="00F65BCA" w14:paraId="322337F9"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123F3CA4"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1F061AD9"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4840C44F"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7B7DD7E" w14:textId="77777777" w:rsidR="00F65BCA" w:rsidRDefault="00F65BCA">
                        <w:pPr>
                          <w:pStyle w:val="TableParagraph"/>
                          <w:rPr>
                            <w:rFonts w:ascii="Calibri"/>
                            <w:sz w:val="2"/>
                          </w:rPr>
                        </w:pPr>
                      </w:p>
                      <w:p w14:paraId="63B91FF6"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00BFD81" w14:textId="77777777" w:rsidR="00F65BCA" w:rsidRDefault="00F65BCA">
                        <w:pPr>
                          <w:pStyle w:val="TableParagraph"/>
                          <w:rPr>
                            <w:rFonts w:ascii="Calibri"/>
                            <w:sz w:val="2"/>
                          </w:rPr>
                        </w:pPr>
                      </w:p>
                      <w:p w14:paraId="77090F3B"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19A54AD"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08AF4FA3" w14:textId="77777777" w:rsidR="00F65BCA" w:rsidRDefault="00F65BCA">
                        <w:pPr>
                          <w:pStyle w:val="TableParagraph"/>
                          <w:rPr>
                            <w:rFonts w:ascii="Calibri"/>
                            <w:sz w:val="2"/>
                          </w:rPr>
                        </w:pPr>
                      </w:p>
                      <w:p w14:paraId="488ECB13"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29116DD9" w14:textId="77777777" w:rsidR="00F65BCA" w:rsidRDefault="00F65BCA">
                        <w:pPr>
                          <w:pStyle w:val="TableParagraph"/>
                          <w:rPr>
                            <w:rFonts w:ascii="Calibri"/>
                            <w:sz w:val="2"/>
                          </w:rPr>
                        </w:pPr>
                      </w:p>
                      <w:p w14:paraId="1CAFDE6C"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21F49EBE" w14:textId="77777777" w:rsidR="00F65BCA" w:rsidRDefault="00F65BCA">
                        <w:pPr>
                          <w:pStyle w:val="TableParagraph"/>
                          <w:rPr>
                            <w:rFonts w:ascii="Calibri"/>
                            <w:sz w:val="2"/>
                          </w:rPr>
                        </w:pPr>
                      </w:p>
                      <w:p w14:paraId="407A99C4"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3A69DDA1" w14:textId="77777777" w:rsidR="00F65BCA" w:rsidRDefault="00F65BCA">
                        <w:pPr>
                          <w:pStyle w:val="TableParagraph"/>
                          <w:rPr>
                            <w:rFonts w:ascii="Calibri"/>
                            <w:sz w:val="2"/>
                          </w:rPr>
                        </w:pPr>
                      </w:p>
                      <w:p w14:paraId="0A6832C6"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5A707BC4" w14:textId="77777777" w:rsidR="00F65BCA" w:rsidRDefault="00F65BCA">
                        <w:pPr>
                          <w:pStyle w:val="TableParagraph"/>
                          <w:rPr>
                            <w:rFonts w:ascii="Calibri"/>
                            <w:sz w:val="2"/>
                          </w:rPr>
                        </w:pPr>
                      </w:p>
                      <w:p w14:paraId="284903FE"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142AEF6F" w14:textId="77777777" w:rsidR="00F65BCA" w:rsidRDefault="00F65BCA">
                        <w:pPr>
                          <w:pStyle w:val="TableParagraph"/>
                          <w:rPr>
                            <w:rFonts w:ascii="Calibri"/>
                            <w:sz w:val="2"/>
                          </w:rPr>
                        </w:pPr>
                      </w:p>
                      <w:p w14:paraId="4E3025BA"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28243773" w14:textId="77777777" w:rsidR="00F65BCA" w:rsidRDefault="00F65BCA">
                        <w:pPr>
                          <w:pStyle w:val="TableParagraph"/>
                          <w:rPr>
                            <w:rFonts w:ascii="Calibri"/>
                            <w:sz w:val="2"/>
                          </w:rPr>
                        </w:pPr>
                      </w:p>
                      <w:p w14:paraId="106FF951"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32BC574B" w14:textId="77777777" w:rsidR="00F65BCA" w:rsidRDefault="00F65BCA">
                        <w:pPr>
                          <w:pStyle w:val="TableParagraph"/>
                          <w:rPr>
                            <w:rFonts w:ascii="Calibri"/>
                            <w:sz w:val="2"/>
                          </w:rPr>
                        </w:pPr>
                      </w:p>
                      <w:p w14:paraId="7E6D9AEE"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4DDD8FA0" w14:textId="77777777" w:rsidR="00F65BCA" w:rsidRDefault="00F65BCA">
                        <w:pPr>
                          <w:pStyle w:val="TableParagraph"/>
                          <w:rPr>
                            <w:rFonts w:ascii="Calibri"/>
                            <w:sz w:val="2"/>
                          </w:rPr>
                        </w:pPr>
                      </w:p>
                      <w:p w14:paraId="47DBCE02"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567AF73F" w14:textId="77777777" w:rsidR="00F65BCA" w:rsidRDefault="00F65BCA">
                        <w:pPr>
                          <w:pStyle w:val="TableParagraph"/>
                          <w:rPr>
                            <w:rFonts w:ascii="Calibri"/>
                            <w:sz w:val="2"/>
                          </w:rPr>
                        </w:pPr>
                      </w:p>
                      <w:p w14:paraId="466C0188"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3883897C" w14:textId="77777777" w:rsidR="00F65BCA" w:rsidRDefault="00F65BCA">
                        <w:pPr>
                          <w:pStyle w:val="TableParagraph"/>
                          <w:rPr>
                            <w:rFonts w:ascii="Calibri"/>
                            <w:sz w:val="2"/>
                          </w:rPr>
                        </w:pPr>
                      </w:p>
                      <w:p w14:paraId="293E340A"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525F1CE1" w14:textId="77777777" w:rsidR="00F65BCA" w:rsidRDefault="00F65BCA">
                        <w:pPr>
                          <w:pStyle w:val="TableParagraph"/>
                          <w:rPr>
                            <w:rFonts w:ascii="Calibri"/>
                            <w:sz w:val="2"/>
                          </w:rPr>
                        </w:pPr>
                      </w:p>
                      <w:p w14:paraId="25E3B4E3"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2B9F3771" w14:textId="77777777" w:rsidR="00F65BCA" w:rsidRDefault="00F65BCA">
                        <w:pPr>
                          <w:pStyle w:val="TableParagraph"/>
                          <w:rPr>
                            <w:rFonts w:ascii="Calibri"/>
                            <w:sz w:val="2"/>
                          </w:rPr>
                        </w:pPr>
                      </w:p>
                      <w:p w14:paraId="161EAEC3" w14:textId="77777777" w:rsidR="00F65BCA" w:rsidRDefault="00216117">
                        <w:pPr>
                          <w:pStyle w:val="TableParagraph"/>
                          <w:ind w:left="24" w:right="24"/>
                          <w:jc w:val="center"/>
                          <w:rPr>
                            <w:sz w:val="3"/>
                          </w:rPr>
                        </w:pPr>
                        <w:r>
                          <w:rPr>
                            <w:w w:val="105"/>
                            <w:sz w:val="3"/>
                          </w:rPr>
                          <w:t>1,30139079%</w:t>
                        </w:r>
                      </w:p>
                    </w:tc>
                  </w:tr>
                  <w:tr w:rsidR="00F65BCA" w14:paraId="5A1A738A"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0C2709BA"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0ACD5DF"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1195B9C9" w14:textId="77777777" w:rsidR="00F65BCA" w:rsidRDefault="00F65BCA">
                        <w:pPr>
                          <w:pStyle w:val="TableParagraph"/>
                          <w:rPr>
                            <w:rFonts w:ascii="Calibri"/>
                            <w:sz w:val="2"/>
                          </w:rPr>
                        </w:pPr>
                      </w:p>
                      <w:p w14:paraId="38050B78" w14:textId="77777777" w:rsidR="00F65BCA" w:rsidRDefault="00F65BCA">
                        <w:pPr>
                          <w:pStyle w:val="TableParagraph"/>
                          <w:rPr>
                            <w:rFonts w:ascii="Calibri"/>
                            <w:sz w:val="2"/>
                          </w:rPr>
                        </w:pPr>
                      </w:p>
                      <w:p w14:paraId="3495BDF5" w14:textId="77777777" w:rsidR="00F65BCA" w:rsidRDefault="00216117">
                        <w:pPr>
                          <w:pStyle w:val="TableParagraph"/>
                          <w:spacing w:line="283" w:lineRule="auto"/>
                          <w:ind w:left="4" w:right="6"/>
                          <w:rPr>
                            <w:sz w:val="3"/>
                          </w:rPr>
                        </w:pPr>
                        <w:r>
                          <w:rPr>
                            <w:w w:val="105"/>
                            <w:sz w:val="3"/>
                          </w:rPr>
                          <w:t>JINÉ; KODIAQ; SUPERB; SUPERB COM II; SUPERB COM III; SUPERB COMBI; SUPERB II; SUPERB III</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FA51ECB" w14:textId="77777777" w:rsidR="00F65BCA" w:rsidRDefault="00F65BCA">
                        <w:pPr>
                          <w:pStyle w:val="TableParagraph"/>
                          <w:rPr>
                            <w:rFonts w:ascii="Calibri"/>
                            <w:sz w:val="2"/>
                          </w:rPr>
                        </w:pPr>
                      </w:p>
                      <w:p w14:paraId="2C9B33D4"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9201D03" w14:textId="77777777" w:rsidR="00F65BCA" w:rsidRDefault="00F65BCA">
                        <w:pPr>
                          <w:pStyle w:val="TableParagraph"/>
                          <w:rPr>
                            <w:rFonts w:ascii="Calibri"/>
                            <w:sz w:val="2"/>
                          </w:rPr>
                        </w:pPr>
                      </w:p>
                      <w:p w14:paraId="4005E37E"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CF525BA"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3B518F4" w14:textId="77777777" w:rsidR="00F65BCA" w:rsidRDefault="00F65BCA">
                        <w:pPr>
                          <w:pStyle w:val="TableParagraph"/>
                          <w:rPr>
                            <w:rFonts w:ascii="Calibri"/>
                            <w:sz w:val="2"/>
                          </w:rPr>
                        </w:pPr>
                      </w:p>
                      <w:p w14:paraId="758B0DF2" w14:textId="77777777" w:rsidR="00F65BCA" w:rsidRDefault="00216117">
                        <w:pPr>
                          <w:pStyle w:val="TableParagraph"/>
                          <w:ind w:left="24" w:right="24"/>
                          <w:jc w:val="center"/>
                          <w:rPr>
                            <w:sz w:val="3"/>
                          </w:rPr>
                        </w:pPr>
                        <w:r>
                          <w:rPr>
                            <w:w w:val="105"/>
                            <w:sz w:val="3"/>
                          </w:rPr>
                          <w:t>1,34479738%</w:t>
                        </w:r>
                      </w:p>
                    </w:tc>
                    <w:tc>
                      <w:tcPr>
                        <w:tcW w:w="288" w:type="dxa"/>
                        <w:tcBorders>
                          <w:top w:val="single" w:sz="2" w:space="0" w:color="000000"/>
                          <w:left w:val="single" w:sz="2" w:space="0" w:color="000000"/>
                          <w:bottom w:val="single" w:sz="2" w:space="0" w:color="000000"/>
                          <w:right w:val="single" w:sz="2" w:space="0" w:color="000000"/>
                        </w:tcBorders>
                      </w:tcPr>
                      <w:p w14:paraId="72A2FDCA" w14:textId="77777777" w:rsidR="00F65BCA" w:rsidRDefault="00F65BCA">
                        <w:pPr>
                          <w:pStyle w:val="TableParagraph"/>
                          <w:rPr>
                            <w:rFonts w:ascii="Calibri"/>
                            <w:sz w:val="2"/>
                          </w:rPr>
                        </w:pPr>
                      </w:p>
                      <w:p w14:paraId="71EF1867" w14:textId="77777777" w:rsidR="00F65BCA" w:rsidRDefault="00216117">
                        <w:pPr>
                          <w:pStyle w:val="TableParagraph"/>
                          <w:ind w:left="24" w:right="24"/>
                          <w:jc w:val="center"/>
                          <w:rPr>
                            <w:sz w:val="3"/>
                          </w:rPr>
                        </w:pPr>
                        <w:r>
                          <w:rPr>
                            <w:w w:val="105"/>
                            <w:sz w:val="3"/>
                          </w:rPr>
                          <w:t>1,26074754%</w:t>
                        </w:r>
                      </w:p>
                    </w:tc>
                    <w:tc>
                      <w:tcPr>
                        <w:tcW w:w="288" w:type="dxa"/>
                        <w:tcBorders>
                          <w:top w:val="single" w:sz="2" w:space="0" w:color="000000"/>
                          <w:left w:val="single" w:sz="2" w:space="0" w:color="000000"/>
                          <w:bottom w:val="single" w:sz="2" w:space="0" w:color="000000"/>
                          <w:right w:val="single" w:sz="2" w:space="0" w:color="000000"/>
                        </w:tcBorders>
                      </w:tcPr>
                      <w:p w14:paraId="7C882884" w14:textId="77777777" w:rsidR="00F65BCA" w:rsidRDefault="00F65BCA">
                        <w:pPr>
                          <w:pStyle w:val="TableParagraph"/>
                          <w:rPr>
                            <w:rFonts w:ascii="Calibri"/>
                            <w:sz w:val="2"/>
                          </w:rPr>
                        </w:pPr>
                      </w:p>
                      <w:p w14:paraId="0E874EF6" w14:textId="77777777" w:rsidR="00F65BCA" w:rsidRDefault="00216117">
                        <w:pPr>
                          <w:pStyle w:val="TableParagraph"/>
                          <w:ind w:left="24" w:right="24"/>
                          <w:jc w:val="center"/>
                          <w:rPr>
                            <w:sz w:val="3"/>
                          </w:rPr>
                        </w:pPr>
                        <w:r>
                          <w:rPr>
                            <w:w w:val="105"/>
                            <w:sz w:val="3"/>
                          </w:rPr>
                          <w:t>1,20191265%</w:t>
                        </w:r>
                      </w:p>
                    </w:tc>
                    <w:tc>
                      <w:tcPr>
                        <w:tcW w:w="288" w:type="dxa"/>
                        <w:tcBorders>
                          <w:top w:val="single" w:sz="2" w:space="0" w:color="000000"/>
                          <w:left w:val="single" w:sz="2" w:space="0" w:color="000000"/>
                          <w:bottom w:val="single" w:sz="2" w:space="0" w:color="000000"/>
                          <w:right w:val="single" w:sz="2" w:space="0" w:color="000000"/>
                        </w:tcBorders>
                      </w:tcPr>
                      <w:p w14:paraId="77ECE258" w14:textId="77777777" w:rsidR="00F65BCA" w:rsidRDefault="00F65BCA">
                        <w:pPr>
                          <w:pStyle w:val="TableParagraph"/>
                          <w:rPr>
                            <w:rFonts w:ascii="Calibri"/>
                            <w:sz w:val="2"/>
                          </w:rPr>
                        </w:pPr>
                      </w:p>
                      <w:p w14:paraId="55B445E6" w14:textId="77777777" w:rsidR="00F65BCA" w:rsidRDefault="00216117">
                        <w:pPr>
                          <w:pStyle w:val="TableParagraph"/>
                          <w:ind w:left="24" w:right="24"/>
                          <w:jc w:val="center"/>
                          <w:rPr>
                            <w:sz w:val="3"/>
                          </w:rPr>
                        </w:pPr>
                        <w:r>
                          <w:rPr>
                            <w:w w:val="105"/>
                            <w:sz w:val="3"/>
                          </w:rPr>
                          <w:t>1,13467279%</w:t>
                        </w:r>
                      </w:p>
                    </w:tc>
                    <w:tc>
                      <w:tcPr>
                        <w:tcW w:w="288" w:type="dxa"/>
                        <w:tcBorders>
                          <w:top w:val="single" w:sz="2" w:space="0" w:color="000000"/>
                          <w:left w:val="single" w:sz="2" w:space="0" w:color="000000"/>
                          <w:bottom w:val="single" w:sz="2" w:space="0" w:color="000000"/>
                          <w:right w:val="single" w:sz="2" w:space="0" w:color="000000"/>
                        </w:tcBorders>
                      </w:tcPr>
                      <w:p w14:paraId="7FEA732D" w14:textId="77777777" w:rsidR="00F65BCA" w:rsidRDefault="00F65BCA">
                        <w:pPr>
                          <w:pStyle w:val="TableParagraph"/>
                          <w:rPr>
                            <w:rFonts w:ascii="Calibri"/>
                            <w:sz w:val="2"/>
                          </w:rPr>
                        </w:pPr>
                      </w:p>
                      <w:p w14:paraId="60517165" w14:textId="77777777" w:rsidR="00F65BCA" w:rsidRDefault="00216117">
                        <w:pPr>
                          <w:pStyle w:val="TableParagraph"/>
                          <w:ind w:left="24" w:right="24"/>
                          <w:jc w:val="center"/>
                          <w:rPr>
                            <w:sz w:val="3"/>
                          </w:rPr>
                        </w:pPr>
                        <w:r>
                          <w:rPr>
                            <w:w w:val="105"/>
                            <w:sz w:val="3"/>
                          </w:rPr>
                          <w:t>1,07583790%</w:t>
                        </w:r>
                      </w:p>
                    </w:tc>
                    <w:tc>
                      <w:tcPr>
                        <w:tcW w:w="288" w:type="dxa"/>
                        <w:tcBorders>
                          <w:top w:val="single" w:sz="2" w:space="0" w:color="000000"/>
                          <w:left w:val="single" w:sz="2" w:space="0" w:color="000000"/>
                          <w:bottom w:val="single" w:sz="2" w:space="0" w:color="000000"/>
                          <w:right w:val="single" w:sz="2" w:space="0" w:color="000000"/>
                        </w:tcBorders>
                      </w:tcPr>
                      <w:p w14:paraId="2F7806D6" w14:textId="77777777" w:rsidR="00F65BCA" w:rsidRDefault="00F65BCA">
                        <w:pPr>
                          <w:pStyle w:val="TableParagraph"/>
                          <w:rPr>
                            <w:rFonts w:ascii="Calibri"/>
                            <w:sz w:val="2"/>
                          </w:rPr>
                        </w:pPr>
                      </w:p>
                      <w:p w14:paraId="2AAAFCBC" w14:textId="77777777" w:rsidR="00F65BCA" w:rsidRDefault="00216117">
                        <w:pPr>
                          <w:pStyle w:val="TableParagraph"/>
                          <w:ind w:left="24" w:right="24"/>
                          <w:jc w:val="center"/>
                          <w:rPr>
                            <w:sz w:val="3"/>
                          </w:rPr>
                        </w:pPr>
                        <w:r>
                          <w:rPr>
                            <w:w w:val="105"/>
                            <w:sz w:val="3"/>
                          </w:rPr>
                          <w:t>1,00019305%</w:t>
                        </w:r>
                      </w:p>
                    </w:tc>
                    <w:tc>
                      <w:tcPr>
                        <w:tcW w:w="288" w:type="dxa"/>
                        <w:tcBorders>
                          <w:top w:val="single" w:sz="2" w:space="0" w:color="000000"/>
                          <w:left w:val="single" w:sz="2" w:space="0" w:color="000000"/>
                          <w:bottom w:val="single" w:sz="2" w:space="0" w:color="000000"/>
                          <w:right w:val="single" w:sz="2" w:space="0" w:color="000000"/>
                        </w:tcBorders>
                      </w:tcPr>
                      <w:p w14:paraId="7CAE8C96" w14:textId="77777777" w:rsidR="00F65BCA" w:rsidRDefault="00F65BCA">
                        <w:pPr>
                          <w:pStyle w:val="TableParagraph"/>
                          <w:rPr>
                            <w:rFonts w:ascii="Calibri"/>
                            <w:sz w:val="2"/>
                          </w:rPr>
                        </w:pPr>
                      </w:p>
                      <w:p w14:paraId="4F5463F5" w14:textId="77777777" w:rsidR="00F65BCA" w:rsidRDefault="00216117">
                        <w:pPr>
                          <w:pStyle w:val="TableParagraph"/>
                          <w:ind w:left="24" w:right="24"/>
                          <w:jc w:val="center"/>
                          <w:rPr>
                            <w:sz w:val="3"/>
                          </w:rPr>
                        </w:pPr>
                        <w:r>
                          <w:rPr>
                            <w:w w:val="105"/>
                            <w:sz w:val="3"/>
                          </w:rPr>
                          <w:t>0,92454820%</w:t>
                        </w:r>
                      </w:p>
                    </w:tc>
                    <w:tc>
                      <w:tcPr>
                        <w:tcW w:w="288" w:type="dxa"/>
                        <w:tcBorders>
                          <w:top w:val="single" w:sz="2" w:space="0" w:color="000000"/>
                          <w:left w:val="single" w:sz="2" w:space="0" w:color="000000"/>
                          <w:bottom w:val="single" w:sz="2" w:space="0" w:color="000000"/>
                          <w:right w:val="single" w:sz="2" w:space="0" w:color="000000"/>
                        </w:tcBorders>
                      </w:tcPr>
                      <w:p w14:paraId="738B8571" w14:textId="77777777" w:rsidR="00F65BCA" w:rsidRDefault="00F65BCA">
                        <w:pPr>
                          <w:pStyle w:val="TableParagraph"/>
                          <w:rPr>
                            <w:rFonts w:ascii="Calibri"/>
                            <w:sz w:val="2"/>
                          </w:rPr>
                        </w:pPr>
                      </w:p>
                      <w:p w14:paraId="4A8B3F47" w14:textId="77777777" w:rsidR="00F65BCA" w:rsidRDefault="00216117">
                        <w:pPr>
                          <w:pStyle w:val="TableParagraph"/>
                          <w:ind w:left="24" w:right="24"/>
                          <w:jc w:val="center"/>
                          <w:rPr>
                            <w:sz w:val="3"/>
                          </w:rPr>
                        </w:pPr>
                        <w:r>
                          <w:rPr>
                            <w:w w:val="105"/>
                            <w:sz w:val="3"/>
                          </w:rPr>
                          <w:t>0,84049836%</w:t>
                        </w:r>
                      </w:p>
                    </w:tc>
                    <w:tc>
                      <w:tcPr>
                        <w:tcW w:w="288" w:type="dxa"/>
                        <w:tcBorders>
                          <w:top w:val="single" w:sz="2" w:space="0" w:color="000000"/>
                          <w:left w:val="single" w:sz="2" w:space="0" w:color="000000"/>
                          <w:bottom w:val="single" w:sz="2" w:space="0" w:color="000000"/>
                          <w:right w:val="single" w:sz="2" w:space="0" w:color="000000"/>
                        </w:tcBorders>
                      </w:tcPr>
                      <w:p w14:paraId="5B07711D" w14:textId="77777777" w:rsidR="00F65BCA" w:rsidRDefault="00F65BCA">
                        <w:pPr>
                          <w:pStyle w:val="TableParagraph"/>
                          <w:rPr>
                            <w:rFonts w:ascii="Calibri"/>
                            <w:sz w:val="2"/>
                          </w:rPr>
                        </w:pPr>
                      </w:p>
                      <w:p w14:paraId="478B5C12" w14:textId="77777777" w:rsidR="00F65BCA" w:rsidRDefault="00216117">
                        <w:pPr>
                          <w:pStyle w:val="TableParagraph"/>
                          <w:ind w:left="24" w:right="24"/>
                          <w:jc w:val="center"/>
                          <w:rPr>
                            <w:sz w:val="3"/>
                          </w:rPr>
                        </w:pPr>
                        <w:r>
                          <w:rPr>
                            <w:w w:val="105"/>
                            <w:sz w:val="3"/>
                          </w:rPr>
                          <w:t>0,84049836%</w:t>
                        </w:r>
                      </w:p>
                    </w:tc>
                    <w:tc>
                      <w:tcPr>
                        <w:tcW w:w="288" w:type="dxa"/>
                        <w:tcBorders>
                          <w:top w:val="single" w:sz="2" w:space="0" w:color="000000"/>
                          <w:left w:val="single" w:sz="2" w:space="0" w:color="000000"/>
                          <w:bottom w:val="single" w:sz="2" w:space="0" w:color="000000"/>
                          <w:right w:val="single" w:sz="2" w:space="0" w:color="000000"/>
                        </w:tcBorders>
                      </w:tcPr>
                      <w:p w14:paraId="48580604" w14:textId="77777777" w:rsidR="00F65BCA" w:rsidRDefault="00F65BCA">
                        <w:pPr>
                          <w:pStyle w:val="TableParagraph"/>
                          <w:rPr>
                            <w:rFonts w:ascii="Calibri"/>
                            <w:sz w:val="2"/>
                          </w:rPr>
                        </w:pPr>
                      </w:p>
                      <w:p w14:paraId="73EB9B5F" w14:textId="77777777" w:rsidR="00F65BCA" w:rsidRDefault="00216117">
                        <w:pPr>
                          <w:pStyle w:val="TableParagraph"/>
                          <w:ind w:left="24" w:right="24"/>
                          <w:jc w:val="center"/>
                          <w:rPr>
                            <w:sz w:val="3"/>
                          </w:rPr>
                        </w:pPr>
                        <w:r>
                          <w:rPr>
                            <w:w w:val="105"/>
                            <w:sz w:val="3"/>
                          </w:rPr>
                          <w:t>1,00859803%</w:t>
                        </w:r>
                      </w:p>
                    </w:tc>
                    <w:tc>
                      <w:tcPr>
                        <w:tcW w:w="288" w:type="dxa"/>
                        <w:tcBorders>
                          <w:top w:val="single" w:sz="2" w:space="0" w:color="000000"/>
                          <w:left w:val="single" w:sz="2" w:space="0" w:color="000000"/>
                          <w:bottom w:val="single" w:sz="2" w:space="0" w:color="000000"/>
                          <w:right w:val="single" w:sz="2" w:space="0" w:color="000000"/>
                        </w:tcBorders>
                      </w:tcPr>
                      <w:p w14:paraId="30B47623" w14:textId="77777777" w:rsidR="00F65BCA" w:rsidRDefault="00F65BCA">
                        <w:pPr>
                          <w:pStyle w:val="TableParagraph"/>
                          <w:rPr>
                            <w:rFonts w:ascii="Calibri"/>
                            <w:sz w:val="2"/>
                          </w:rPr>
                        </w:pPr>
                      </w:p>
                      <w:p w14:paraId="1624E27A" w14:textId="77777777" w:rsidR="00F65BCA" w:rsidRDefault="00216117">
                        <w:pPr>
                          <w:pStyle w:val="TableParagraph"/>
                          <w:ind w:left="24" w:right="24"/>
                          <w:jc w:val="center"/>
                          <w:rPr>
                            <w:sz w:val="3"/>
                          </w:rPr>
                        </w:pPr>
                        <w:r>
                          <w:rPr>
                            <w:w w:val="105"/>
                            <w:sz w:val="3"/>
                          </w:rPr>
                          <w:t>1,13467279%</w:t>
                        </w:r>
                      </w:p>
                    </w:tc>
                    <w:tc>
                      <w:tcPr>
                        <w:tcW w:w="288" w:type="dxa"/>
                        <w:tcBorders>
                          <w:top w:val="single" w:sz="2" w:space="0" w:color="000000"/>
                          <w:left w:val="single" w:sz="2" w:space="0" w:color="000000"/>
                          <w:bottom w:val="single" w:sz="2" w:space="0" w:color="000000"/>
                          <w:right w:val="single" w:sz="2" w:space="0" w:color="000000"/>
                        </w:tcBorders>
                      </w:tcPr>
                      <w:p w14:paraId="201119EB" w14:textId="77777777" w:rsidR="00F65BCA" w:rsidRDefault="00F65BCA">
                        <w:pPr>
                          <w:pStyle w:val="TableParagraph"/>
                          <w:rPr>
                            <w:rFonts w:ascii="Calibri"/>
                            <w:sz w:val="2"/>
                          </w:rPr>
                        </w:pPr>
                      </w:p>
                      <w:p w14:paraId="4B1C1DAB" w14:textId="77777777" w:rsidR="00F65BCA" w:rsidRDefault="00216117">
                        <w:pPr>
                          <w:pStyle w:val="TableParagraph"/>
                          <w:ind w:left="24" w:right="24"/>
                          <w:jc w:val="center"/>
                          <w:rPr>
                            <w:sz w:val="3"/>
                          </w:rPr>
                        </w:pPr>
                        <w:r>
                          <w:rPr>
                            <w:w w:val="105"/>
                            <w:sz w:val="3"/>
                          </w:rPr>
                          <w:t>1,13467279%</w:t>
                        </w:r>
                      </w:p>
                    </w:tc>
                    <w:tc>
                      <w:tcPr>
                        <w:tcW w:w="288" w:type="dxa"/>
                        <w:tcBorders>
                          <w:top w:val="single" w:sz="2" w:space="0" w:color="000000"/>
                          <w:left w:val="single" w:sz="2" w:space="0" w:color="000000"/>
                          <w:bottom w:val="single" w:sz="2" w:space="0" w:color="000000"/>
                          <w:right w:val="single" w:sz="2" w:space="0" w:color="000000"/>
                        </w:tcBorders>
                      </w:tcPr>
                      <w:p w14:paraId="10AB0609" w14:textId="77777777" w:rsidR="00F65BCA" w:rsidRDefault="00F65BCA">
                        <w:pPr>
                          <w:pStyle w:val="TableParagraph"/>
                          <w:rPr>
                            <w:rFonts w:ascii="Calibri"/>
                            <w:sz w:val="2"/>
                          </w:rPr>
                        </w:pPr>
                      </w:p>
                      <w:p w14:paraId="0C1343BD" w14:textId="77777777" w:rsidR="00F65BCA" w:rsidRDefault="00216117">
                        <w:pPr>
                          <w:pStyle w:val="TableParagraph"/>
                          <w:ind w:left="24" w:right="24"/>
                          <w:jc w:val="center"/>
                          <w:rPr>
                            <w:sz w:val="3"/>
                          </w:rPr>
                        </w:pPr>
                        <w:r>
                          <w:rPr>
                            <w:w w:val="105"/>
                            <w:sz w:val="3"/>
                          </w:rPr>
                          <w:t>1,26074754%</w:t>
                        </w:r>
                      </w:p>
                    </w:tc>
                  </w:tr>
                  <w:tr w:rsidR="00F65BCA" w14:paraId="4F989124"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43CF52B8"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03A531AB"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736F11E8"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70EF89B" w14:textId="77777777" w:rsidR="00F65BCA" w:rsidRDefault="00F65BCA">
                        <w:pPr>
                          <w:pStyle w:val="TableParagraph"/>
                          <w:rPr>
                            <w:rFonts w:ascii="Calibri"/>
                            <w:sz w:val="2"/>
                          </w:rPr>
                        </w:pPr>
                      </w:p>
                      <w:p w14:paraId="64640795"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C83BE96" w14:textId="77777777" w:rsidR="00F65BCA" w:rsidRDefault="00F65BCA">
                        <w:pPr>
                          <w:pStyle w:val="TableParagraph"/>
                          <w:rPr>
                            <w:rFonts w:ascii="Calibri"/>
                            <w:sz w:val="2"/>
                          </w:rPr>
                        </w:pPr>
                      </w:p>
                      <w:p w14:paraId="15336A12"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078E577"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907F785" w14:textId="77777777" w:rsidR="00F65BCA" w:rsidRDefault="00F65BCA">
                        <w:pPr>
                          <w:pStyle w:val="TableParagraph"/>
                          <w:rPr>
                            <w:rFonts w:ascii="Calibri"/>
                            <w:sz w:val="2"/>
                          </w:rPr>
                        </w:pPr>
                      </w:p>
                      <w:p w14:paraId="71AF9BBB" w14:textId="77777777" w:rsidR="00F65BCA" w:rsidRDefault="00216117">
                        <w:pPr>
                          <w:pStyle w:val="TableParagraph"/>
                          <w:ind w:left="24" w:right="24"/>
                          <w:jc w:val="center"/>
                          <w:rPr>
                            <w:sz w:val="3"/>
                          </w:rPr>
                        </w:pPr>
                        <w:r>
                          <w:rPr>
                            <w:w w:val="105"/>
                            <w:sz w:val="3"/>
                          </w:rPr>
                          <w:t>1,62451523%</w:t>
                        </w:r>
                      </w:p>
                    </w:tc>
                    <w:tc>
                      <w:tcPr>
                        <w:tcW w:w="288" w:type="dxa"/>
                        <w:tcBorders>
                          <w:top w:val="single" w:sz="2" w:space="0" w:color="000000"/>
                          <w:left w:val="single" w:sz="2" w:space="0" w:color="000000"/>
                          <w:bottom w:val="single" w:sz="2" w:space="0" w:color="000000"/>
                          <w:right w:val="single" w:sz="2" w:space="0" w:color="000000"/>
                        </w:tcBorders>
                      </w:tcPr>
                      <w:p w14:paraId="78F63CC8" w14:textId="77777777" w:rsidR="00F65BCA" w:rsidRDefault="00F65BCA">
                        <w:pPr>
                          <w:pStyle w:val="TableParagraph"/>
                          <w:rPr>
                            <w:rFonts w:ascii="Calibri"/>
                            <w:sz w:val="2"/>
                          </w:rPr>
                        </w:pPr>
                      </w:p>
                      <w:p w14:paraId="1986BB92" w14:textId="77777777" w:rsidR="00F65BCA" w:rsidRDefault="00216117">
                        <w:pPr>
                          <w:pStyle w:val="TableParagraph"/>
                          <w:ind w:left="24" w:right="24"/>
                          <w:jc w:val="center"/>
                          <w:rPr>
                            <w:sz w:val="3"/>
                          </w:rPr>
                        </w:pPr>
                        <w:r>
                          <w:rPr>
                            <w:w w:val="105"/>
                            <w:sz w:val="3"/>
                          </w:rPr>
                          <w:t>1,52298303%</w:t>
                        </w:r>
                      </w:p>
                    </w:tc>
                    <w:tc>
                      <w:tcPr>
                        <w:tcW w:w="288" w:type="dxa"/>
                        <w:tcBorders>
                          <w:top w:val="single" w:sz="2" w:space="0" w:color="000000"/>
                          <w:left w:val="single" w:sz="2" w:space="0" w:color="000000"/>
                          <w:bottom w:val="single" w:sz="2" w:space="0" w:color="000000"/>
                          <w:right w:val="single" w:sz="2" w:space="0" w:color="000000"/>
                        </w:tcBorders>
                      </w:tcPr>
                      <w:p w14:paraId="60D68DB4" w14:textId="77777777" w:rsidR="00F65BCA" w:rsidRDefault="00F65BCA">
                        <w:pPr>
                          <w:pStyle w:val="TableParagraph"/>
                          <w:rPr>
                            <w:rFonts w:ascii="Calibri"/>
                            <w:sz w:val="2"/>
                          </w:rPr>
                        </w:pPr>
                      </w:p>
                      <w:p w14:paraId="22071F0A" w14:textId="77777777" w:rsidR="00F65BCA" w:rsidRDefault="00216117">
                        <w:pPr>
                          <w:pStyle w:val="TableParagraph"/>
                          <w:ind w:left="24" w:right="24"/>
                          <w:jc w:val="center"/>
                          <w:rPr>
                            <w:sz w:val="3"/>
                          </w:rPr>
                        </w:pPr>
                        <w:r>
                          <w:rPr>
                            <w:w w:val="105"/>
                            <w:sz w:val="3"/>
                          </w:rPr>
                          <w:t>1,45191049%</w:t>
                        </w:r>
                      </w:p>
                    </w:tc>
                    <w:tc>
                      <w:tcPr>
                        <w:tcW w:w="288" w:type="dxa"/>
                        <w:tcBorders>
                          <w:top w:val="single" w:sz="2" w:space="0" w:color="000000"/>
                          <w:left w:val="single" w:sz="2" w:space="0" w:color="000000"/>
                          <w:bottom w:val="single" w:sz="2" w:space="0" w:color="000000"/>
                          <w:right w:val="single" w:sz="2" w:space="0" w:color="000000"/>
                        </w:tcBorders>
                      </w:tcPr>
                      <w:p w14:paraId="063E84A6" w14:textId="77777777" w:rsidR="00F65BCA" w:rsidRDefault="00F65BCA">
                        <w:pPr>
                          <w:pStyle w:val="TableParagraph"/>
                          <w:rPr>
                            <w:rFonts w:ascii="Calibri"/>
                            <w:sz w:val="2"/>
                          </w:rPr>
                        </w:pPr>
                      </w:p>
                      <w:p w14:paraId="277388C2" w14:textId="77777777" w:rsidR="00F65BCA" w:rsidRDefault="00216117">
                        <w:pPr>
                          <w:pStyle w:val="TableParagraph"/>
                          <w:ind w:left="24" w:right="24"/>
                          <w:jc w:val="center"/>
                          <w:rPr>
                            <w:sz w:val="3"/>
                          </w:rPr>
                        </w:pPr>
                        <w:r>
                          <w:rPr>
                            <w:w w:val="105"/>
                            <w:sz w:val="3"/>
                          </w:rPr>
                          <w:t>1,37068473%</w:t>
                        </w:r>
                      </w:p>
                    </w:tc>
                    <w:tc>
                      <w:tcPr>
                        <w:tcW w:w="288" w:type="dxa"/>
                        <w:tcBorders>
                          <w:top w:val="single" w:sz="2" w:space="0" w:color="000000"/>
                          <w:left w:val="single" w:sz="2" w:space="0" w:color="000000"/>
                          <w:bottom w:val="single" w:sz="2" w:space="0" w:color="000000"/>
                          <w:right w:val="single" w:sz="2" w:space="0" w:color="000000"/>
                        </w:tcBorders>
                      </w:tcPr>
                      <w:p w14:paraId="165233A6" w14:textId="77777777" w:rsidR="00F65BCA" w:rsidRDefault="00F65BCA">
                        <w:pPr>
                          <w:pStyle w:val="TableParagraph"/>
                          <w:rPr>
                            <w:rFonts w:ascii="Calibri"/>
                            <w:sz w:val="2"/>
                          </w:rPr>
                        </w:pPr>
                      </w:p>
                      <w:p w14:paraId="6A94317B" w14:textId="77777777" w:rsidR="00F65BCA" w:rsidRDefault="00216117">
                        <w:pPr>
                          <w:pStyle w:val="TableParagraph"/>
                          <w:ind w:left="24" w:right="24"/>
                          <w:jc w:val="center"/>
                          <w:rPr>
                            <w:sz w:val="3"/>
                          </w:rPr>
                        </w:pPr>
                        <w:r>
                          <w:rPr>
                            <w:w w:val="105"/>
                            <w:sz w:val="3"/>
                          </w:rPr>
                          <w:t>1,29961218%</w:t>
                        </w:r>
                      </w:p>
                    </w:tc>
                    <w:tc>
                      <w:tcPr>
                        <w:tcW w:w="288" w:type="dxa"/>
                        <w:tcBorders>
                          <w:top w:val="single" w:sz="2" w:space="0" w:color="000000"/>
                          <w:left w:val="single" w:sz="2" w:space="0" w:color="000000"/>
                          <w:bottom w:val="single" w:sz="2" w:space="0" w:color="000000"/>
                          <w:right w:val="single" w:sz="2" w:space="0" w:color="000000"/>
                        </w:tcBorders>
                      </w:tcPr>
                      <w:p w14:paraId="523B3524" w14:textId="77777777" w:rsidR="00F65BCA" w:rsidRDefault="00F65BCA">
                        <w:pPr>
                          <w:pStyle w:val="TableParagraph"/>
                          <w:rPr>
                            <w:rFonts w:ascii="Calibri"/>
                            <w:sz w:val="2"/>
                          </w:rPr>
                        </w:pPr>
                      </w:p>
                      <w:p w14:paraId="447290C7" w14:textId="77777777" w:rsidR="00F65BCA" w:rsidRDefault="00216117">
                        <w:pPr>
                          <w:pStyle w:val="TableParagraph"/>
                          <w:ind w:left="24" w:right="24"/>
                          <w:jc w:val="center"/>
                          <w:rPr>
                            <w:sz w:val="3"/>
                          </w:rPr>
                        </w:pPr>
                        <w:r>
                          <w:rPr>
                            <w:w w:val="105"/>
                            <w:sz w:val="3"/>
                          </w:rPr>
                          <w:t>1,20823320%</w:t>
                        </w:r>
                      </w:p>
                    </w:tc>
                    <w:tc>
                      <w:tcPr>
                        <w:tcW w:w="288" w:type="dxa"/>
                        <w:tcBorders>
                          <w:top w:val="single" w:sz="2" w:space="0" w:color="000000"/>
                          <w:left w:val="single" w:sz="2" w:space="0" w:color="000000"/>
                          <w:bottom w:val="single" w:sz="2" w:space="0" w:color="000000"/>
                          <w:right w:val="single" w:sz="2" w:space="0" w:color="000000"/>
                        </w:tcBorders>
                      </w:tcPr>
                      <w:p w14:paraId="7A28EEF1" w14:textId="77777777" w:rsidR="00F65BCA" w:rsidRDefault="00F65BCA">
                        <w:pPr>
                          <w:pStyle w:val="TableParagraph"/>
                          <w:rPr>
                            <w:rFonts w:ascii="Calibri"/>
                            <w:sz w:val="2"/>
                          </w:rPr>
                        </w:pPr>
                      </w:p>
                      <w:p w14:paraId="0F638CCA" w14:textId="77777777" w:rsidR="00F65BCA" w:rsidRDefault="00216117">
                        <w:pPr>
                          <w:pStyle w:val="TableParagraph"/>
                          <w:ind w:left="24" w:right="24"/>
                          <w:jc w:val="center"/>
                          <w:rPr>
                            <w:sz w:val="3"/>
                          </w:rPr>
                        </w:pPr>
                        <w:r>
                          <w:rPr>
                            <w:w w:val="105"/>
                            <w:sz w:val="3"/>
                          </w:rPr>
                          <w:t>1,11685422%</w:t>
                        </w:r>
                      </w:p>
                    </w:tc>
                    <w:tc>
                      <w:tcPr>
                        <w:tcW w:w="288" w:type="dxa"/>
                        <w:tcBorders>
                          <w:top w:val="single" w:sz="2" w:space="0" w:color="000000"/>
                          <w:left w:val="single" w:sz="2" w:space="0" w:color="000000"/>
                          <w:bottom w:val="single" w:sz="2" w:space="0" w:color="000000"/>
                          <w:right w:val="single" w:sz="2" w:space="0" w:color="000000"/>
                        </w:tcBorders>
                      </w:tcPr>
                      <w:p w14:paraId="791CD0F6" w14:textId="77777777" w:rsidR="00F65BCA" w:rsidRDefault="00F65BCA">
                        <w:pPr>
                          <w:pStyle w:val="TableParagraph"/>
                          <w:rPr>
                            <w:rFonts w:ascii="Calibri"/>
                            <w:sz w:val="2"/>
                          </w:rPr>
                        </w:pPr>
                      </w:p>
                      <w:p w14:paraId="61895451" w14:textId="77777777" w:rsidR="00F65BCA" w:rsidRDefault="00216117">
                        <w:pPr>
                          <w:pStyle w:val="TableParagraph"/>
                          <w:ind w:left="24" w:right="24"/>
                          <w:jc w:val="center"/>
                          <w:rPr>
                            <w:sz w:val="3"/>
                          </w:rPr>
                        </w:pPr>
                        <w:r>
                          <w:rPr>
                            <w:w w:val="105"/>
                            <w:sz w:val="3"/>
                          </w:rPr>
                          <w:t>1,01532202%</w:t>
                        </w:r>
                      </w:p>
                    </w:tc>
                    <w:tc>
                      <w:tcPr>
                        <w:tcW w:w="288" w:type="dxa"/>
                        <w:tcBorders>
                          <w:top w:val="single" w:sz="2" w:space="0" w:color="000000"/>
                          <w:left w:val="single" w:sz="2" w:space="0" w:color="000000"/>
                          <w:bottom w:val="single" w:sz="2" w:space="0" w:color="000000"/>
                          <w:right w:val="single" w:sz="2" w:space="0" w:color="000000"/>
                        </w:tcBorders>
                      </w:tcPr>
                      <w:p w14:paraId="6C749771" w14:textId="77777777" w:rsidR="00F65BCA" w:rsidRDefault="00F65BCA">
                        <w:pPr>
                          <w:pStyle w:val="TableParagraph"/>
                          <w:rPr>
                            <w:rFonts w:ascii="Calibri"/>
                            <w:sz w:val="2"/>
                          </w:rPr>
                        </w:pPr>
                      </w:p>
                      <w:p w14:paraId="4FE2B918" w14:textId="77777777" w:rsidR="00F65BCA" w:rsidRDefault="00216117">
                        <w:pPr>
                          <w:pStyle w:val="TableParagraph"/>
                          <w:ind w:left="24" w:right="24"/>
                          <w:jc w:val="center"/>
                          <w:rPr>
                            <w:sz w:val="3"/>
                          </w:rPr>
                        </w:pPr>
                        <w:r>
                          <w:rPr>
                            <w:w w:val="105"/>
                            <w:sz w:val="3"/>
                          </w:rPr>
                          <w:t>1,01532202%</w:t>
                        </w:r>
                      </w:p>
                    </w:tc>
                    <w:tc>
                      <w:tcPr>
                        <w:tcW w:w="288" w:type="dxa"/>
                        <w:tcBorders>
                          <w:top w:val="single" w:sz="2" w:space="0" w:color="000000"/>
                          <w:left w:val="single" w:sz="2" w:space="0" w:color="000000"/>
                          <w:bottom w:val="single" w:sz="2" w:space="0" w:color="000000"/>
                          <w:right w:val="single" w:sz="2" w:space="0" w:color="000000"/>
                        </w:tcBorders>
                      </w:tcPr>
                      <w:p w14:paraId="47E3AF0D" w14:textId="77777777" w:rsidR="00F65BCA" w:rsidRDefault="00F65BCA">
                        <w:pPr>
                          <w:pStyle w:val="TableParagraph"/>
                          <w:rPr>
                            <w:rFonts w:ascii="Calibri"/>
                            <w:sz w:val="2"/>
                          </w:rPr>
                        </w:pPr>
                      </w:p>
                      <w:p w14:paraId="04BF5DB1" w14:textId="77777777" w:rsidR="00F65BCA" w:rsidRDefault="00216117">
                        <w:pPr>
                          <w:pStyle w:val="TableParagraph"/>
                          <w:ind w:left="24" w:right="24"/>
                          <w:jc w:val="center"/>
                          <w:rPr>
                            <w:sz w:val="3"/>
                          </w:rPr>
                        </w:pPr>
                        <w:r>
                          <w:rPr>
                            <w:w w:val="105"/>
                            <w:sz w:val="3"/>
                          </w:rPr>
                          <w:t>1,21838642%</w:t>
                        </w:r>
                      </w:p>
                    </w:tc>
                    <w:tc>
                      <w:tcPr>
                        <w:tcW w:w="288" w:type="dxa"/>
                        <w:tcBorders>
                          <w:top w:val="single" w:sz="2" w:space="0" w:color="000000"/>
                          <w:left w:val="single" w:sz="2" w:space="0" w:color="000000"/>
                          <w:bottom w:val="single" w:sz="2" w:space="0" w:color="000000"/>
                          <w:right w:val="single" w:sz="2" w:space="0" w:color="000000"/>
                        </w:tcBorders>
                      </w:tcPr>
                      <w:p w14:paraId="3C7A0C38" w14:textId="77777777" w:rsidR="00F65BCA" w:rsidRDefault="00F65BCA">
                        <w:pPr>
                          <w:pStyle w:val="TableParagraph"/>
                          <w:rPr>
                            <w:rFonts w:ascii="Calibri"/>
                            <w:sz w:val="2"/>
                          </w:rPr>
                        </w:pPr>
                      </w:p>
                      <w:p w14:paraId="31338DAC" w14:textId="77777777" w:rsidR="00F65BCA" w:rsidRDefault="00216117">
                        <w:pPr>
                          <w:pStyle w:val="TableParagraph"/>
                          <w:ind w:left="24" w:right="24"/>
                          <w:jc w:val="center"/>
                          <w:rPr>
                            <w:sz w:val="3"/>
                          </w:rPr>
                        </w:pPr>
                        <w:r>
                          <w:rPr>
                            <w:w w:val="105"/>
                            <w:sz w:val="3"/>
                          </w:rPr>
                          <w:t>1,37068473%</w:t>
                        </w:r>
                      </w:p>
                    </w:tc>
                    <w:tc>
                      <w:tcPr>
                        <w:tcW w:w="288" w:type="dxa"/>
                        <w:tcBorders>
                          <w:top w:val="single" w:sz="2" w:space="0" w:color="000000"/>
                          <w:left w:val="single" w:sz="2" w:space="0" w:color="000000"/>
                          <w:bottom w:val="single" w:sz="2" w:space="0" w:color="000000"/>
                          <w:right w:val="single" w:sz="2" w:space="0" w:color="000000"/>
                        </w:tcBorders>
                      </w:tcPr>
                      <w:p w14:paraId="21CEC458" w14:textId="77777777" w:rsidR="00F65BCA" w:rsidRDefault="00F65BCA">
                        <w:pPr>
                          <w:pStyle w:val="TableParagraph"/>
                          <w:rPr>
                            <w:rFonts w:ascii="Calibri"/>
                            <w:sz w:val="2"/>
                          </w:rPr>
                        </w:pPr>
                      </w:p>
                      <w:p w14:paraId="144F3B0A" w14:textId="77777777" w:rsidR="00F65BCA" w:rsidRDefault="00216117">
                        <w:pPr>
                          <w:pStyle w:val="TableParagraph"/>
                          <w:ind w:left="24" w:right="24"/>
                          <w:jc w:val="center"/>
                          <w:rPr>
                            <w:sz w:val="3"/>
                          </w:rPr>
                        </w:pPr>
                        <w:r>
                          <w:rPr>
                            <w:w w:val="105"/>
                            <w:sz w:val="3"/>
                          </w:rPr>
                          <w:t>1,37068473%</w:t>
                        </w:r>
                      </w:p>
                    </w:tc>
                    <w:tc>
                      <w:tcPr>
                        <w:tcW w:w="288" w:type="dxa"/>
                        <w:tcBorders>
                          <w:top w:val="single" w:sz="2" w:space="0" w:color="000000"/>
                          <w:left w:val="single" w:sz="2" w:space="0" w:color="000000"/>
                          <w:bottom w:val="single" w:sz="2" w:space="0" w:color="000000"/>
                          <w:right w:val="single" w:sz="2" w:space="0" w:color="000000"/>
                        </w:tcBorders>
                      </w:tcPr>
                      <w:p w14:paraId="3E98A4A8" w14:textId="77777777" w:rsidR="00F65BCA" w:rsidRDefault="00F65BCA">
                        <w:pPr>
                          <w:pStyle w:val="TableParagraph"/>
                          <w:rPr>
                            <w:rFonts w:ascii="Calibri"/>
                            <w:sz w:val="2"/>
                          </w:rPr>
                        </w:pPr>
                      </w:p>
                      <w:p w14:paraId="00F19973" w14:textId="77777777" w:rsidR="00F65BCA" w:rsidRDefault="00216117">
                        <w:pPr>
                          <w:pStyle w:val="TableParagraph"/>
                          <w:ind w:left="24" w:right="24"/>
                          <w:jc w:val="center"/>
                          <w:rPr>
                            <w:sz w:val="3"/>
                          </w:rPr>
                        </w:pPr>
                        <w:r>
                          <w:rPr>
                            <w:w w:val="105"/>
                            <w:sz w:val="3"/>
                          </w:rPr>
                          <w:t>1,52298303%</w:t>
                        </w:r>
                      </w:p>
                    </w:tc>
                  </w:tr>
                  <w:tr w:rsidR="00F65BCA" w14:paraId="6EF95911"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2B04ED0B"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77069190" w14:textId="77777777" w:rsidR="00F65BCA" w:rsidRDefault="00F65BCA">
                        <w:pPr>
                          <w:pStyle w:val="TableParagraph"/>
                          <w:rPr>
                            <w:rFonts w:ascii="Calibri"/>
                            <w:sz w:val="2"/>
                          </w:rPr>
                        </w:pPr>
                      </w:p>
                      <w:p w14:paraId="520B47F5" w14:textId="77777777" w:rsidR="00F65BCA" w:rsidRDefault="00F65BCA">
                        <w:pPr>
                          <w:pStyle w:val="TableParagraph"/>
                          <w:rPr>
                            <w:rFonts w:ascii="Calibri"/>
                            <w:sz w:val="2"/>
                          </w:rPr>
                        </w:pPr>
                      </w:p>
                      <w:p w14:paraId="15D46B95" w14:textId="77777777" w:rsidR="00F65BCA" w:rsidRDefault="00F65BCA">
                        <w:pPr>
                          <w:pStyle w:val="TableParagraph"/>
                          <w:rPr>
                            <w:rFonts w:ascii="Calibri"/>
                            <w:sz w:val="2"/>
                          </w:rPr>
                        </w:pPr>
                      </w:p>
                      <w:p w14:paraId="112FE3FC" w14:textId="77777777" w:rsidR="00F65BCA" w:rsidRDefault="00F65BCA">
                        <w:pPr>
                          <w:pStyle w:val="TableParagraph"/>
                          <w:rPr>
                            <w:rFonts w:ascii="Calibri"/>
                            <w:sz w:val="2"/>
                          </w:rPr>
                        </w:pPr>
                      </w:p>
                      <w:p w14:paraId="7549FE81" w14:textId="77777777" w:rsidR="00F65BCA" w:rsidRDefault="00F65BCA">
                        <w:pPr>
                          <w:pStyle w:val="TableParagraph"/>
                          <w:rPr>
                            <w:rFonts w:ascii="Calibri"/>
                            <w:sz w:val="2"/>
                          </w:rPr>
                        </w:pPr>
                      </w:p>
                      <w:p w14:paraId="32B59167" w14:textId="77777777" w:rsidR="00F65BCA" w:rsidRDefault="00F65BCA">
                        <w:pPr>
                          <w:pStyle w:val="TableParagraph"/>
                          <w:rPr>
                            <w:rFonts w:ascii="Calibri"/>
                            <w:sz w:val="2"/>
                          </w:rPr>
                        </w:pPr>
                      </w:p>
                      <w:p w14:paraId="7A97DDAD" w14:textId="77777777" w:rsidR="00F65BCA" w:rsidRDefault="00F65BCA">
                        <w:pPr>
                          <w:pStyle w:val="TableParagraph"/>
                          <w:rPr>
                            <w:rFonts w:ascii="Calibri"/>
                            <w:sz w:val="2"/>
                          </w:rPr>
                        </w:pPr>
                      </w:p>
                      <w:p w14:paraId="2F203E12" w14:textId="77777777" w:rsidR="00F65BCA" w:rsidRDefault="00F65BCA">
                        <w:pPr>
                          <w:pStyle w:val="TableParagraph"/>
                          <w:rPr>
                            <w:rFonts w:ascii="Calibri"/>
                            <w:sz w:val="2"/>
                          </w:rPr>
                        </w:pPr>
                      </w:p>
                      <w:p w14:paraId="02F9F4B6" w14:textId="77777777" w:rsidR="00F65BCA" w:rsidRDefault="00F65BCA">
                        <w:pPr>
                          <w:pStyle w:val="TableParagraph"/>
                          <w:rPr>
                            <w:rFonts w:ascii="Calibri"/>
                            <w:sz w:val="2"/>
                          </w:rPr>
                        </w:pPr>
                      </w:p>
                      <w:p w14:paraId="4A2D981F" w14:textId="77777777" w:rsidR="00F65BCA" w:rsidRDefault="00F65BCA">
                        <w:pPr>
                          <w:pStyle w:val="TableParagraph"/>
                          <w:rPr>
                            <w:rFonts w:ascii="Calibri"/>
                            <w:sz w:val="2"/>
                          </w:rPr>
                        </w:pPr>
                      </w:p>
                      <w:p w14:paraId="5231CB55" w14:textId="77777777" w:rsidR="00F65BCA" w:rsidRDefault="00F65BCA">
                        <w:pPr>
                          <w:pStyle w:val="TableParagraph"/>
                          <w:rPr>
                            <w:rFonts w:ascii="Calibri"/>
                            <w:sz w:val="2"/>
                          </w:rPr>
                        </w:pPr>
                      </w:p>
                      <w:p w14:paraId="5B526633" w14:textId="77777777" w:rsidR="00F65BCA" w:rsidRDefault="00F65BCA">
                        <w:pPr>
                          <w:pStyle w:val="TableParagraph"/>
                          <w:spacing w:before="11"/>
                          <w:rPr>
                            <w:rFonts w:ascii="Calibri"/>
                            <w:sz w:val="2"/>
                          </w:rPr>
                        </w:pPr>
                      </w:p>
                      <w:p w14:paraId="0327A911" w14:textId="77777777" w:rsidR="00F65BCA" w:rsidRDefault="00216117">
                        <w:pPr>
                          <w:pStyle w:val="TableParagraph"/>
                          <w:ind w:left="18" w:right="18"/>
                          <w:jc w:val="center"/>
                          <w:rPr>
                            <w:sz w:val="3"/>
                          </w:rPr>
                        </w:pPr>
                        <w:r>
                          <w:rPr>
                            <w:w w:val="105"/>
                            <w:sz w:val="3"/>
                          </w:rPr>
                          <w:t>VW</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238DB24A" w14:textId="77777777" w:rsidR="00F65BCA" w:rsidRDefault="00F65BCA">
                        <w:pPr>
                          <w:pStyle w:val="TableParagraph"/>
                          <w:rPr>
                            <w:rFonts w:ascii="Calibri"/>
                            <w:sz w:val="2"/>
                          </w:rPr>
                        </w:pPr>
                      </w:p>
                      <w:p w14:paraId="0DFD94CF" w14:textId="77777777" w:rsidR="00F65BCA" w:rsidRDefault="00216117">
                        <w:pPr>
                          <w:pStyle w:val="TableParagraph"/>
                          <w:spacing w:line="40" w:lineRule="atLeast"/>
                          <w:ind w:left="4" w:right="11"/>
                          <w:jc w:val="both"/>
                          <w:rPr>
                            <w:sz w:val="3"/>
                          </w:rPr>
                        </w:pPr>
                        <w:r>
                          <w:rPr>
                            <w:w w:val="105"/>
                            <w:sz w:val="3"/>
                          </w:rPr>
                          <w:t>CADDY</w:t>
                        </w:r>
                        <w:r>
                          <w:rPr>
                            <w:spacing w:val="-3"/>
                            <w:w w:val="105"/>
                            <w:sz w:val="3"/>
                          </w:rPr>
                          <w:t xml:space="preserve"> </w:t>
                        </w:r>
                        <w:r>
                          <w:rPr>
                            <w:w w:val="105"/>
                            <w:sz w:val="3"/>
                          </w:rPr>
                          <w:t>MAXI;</w:t>
                        </w:r>
                        <w:r>
                          <w:rPr>
                            <w:spacing w:val="-2"/>
                            <w:w w:val="105"/>
                            <w:sz w:val="3"/>
                          </w:rPr>
                          <w:t xml:space="preserve"> </w:t>
                        </w:r>
                        <w:r>
                          <w:rPr>
                            <w:w w:val="105"/>
                            <w:sz w:val="3"/>
                          </w:rPr>
                          <w:t>CADDY</w:t>
                        </w:r>
                        <w:r>
                          <w:rPr>
                            <w:spacing w:val="-2"/>
                            <w:w w:val="105"/>
                            <w:sz w:val="3"/>
                          </w:rPr>
                          <w:t xml:space="preserve"> </w:t>
                        </w:r>
                        <w:r>
                          <w:rPr>
                            <w:w w:val="105"/>
                            <w:sz w:val="3"/>
                          </w:rPr>
                          <w:t>MAXI</w:t>
                        </w:r>
                        <w:r>
                          <w:rPr>
                            <w:spacing w:val="-4"/>
                            <w:w w:val="105"/>
                            <w:sz w:val="3"/>
                          </w:rPr>
                          <w:t xml:space="preserve"> </w:t>
                        </w:r>
                        <w:r>
                          <w:rPr>
                            <w:w w:val="105"/>
                            <w:sz w:val="3"/>
                          </w:rPr>
                          <w:t>KOMBI;</w:t>
                        </w:r>
                        <w:r>
                          <w:rPr>
                            <w:spacing w:val="-3"/>
                            <w:w w:val="105"/>
                            <w:sz w:val="3"/>
                          </w:rPr>
                          <w:t xml:space="preserve"> </w:t>
                        </w:r>
                        <w:r>
                          <w:rPr>
                            <w:w w:val="105"/>
                            <w:sz w:val="3"/>
                          </w:rPr>
                          <w:t>CADDY</w:t>
                        </w:r>
                        <w:r>
                          <w:rPr>
                            <w:spacing w:val="-2"/>
                            <w:w w:val="105"/>
                            <w:sz w:val="3"/>
                          </w:rPr>
                          <w:t xml:space="preserve"> </w:t>
                        </w:r>
                        <w:r>
                          <w:rPr>
                            <w:w w:val="105"/>
                            <w:sz w:val="3"/>
                          </w:rPr>
                          <w:t>VAN;</w:t>
                        </w:r>
                        <w:r>
                          <w:rPr>
                            <w:spacing w:val="-2"/>
                            <w:w w:val="105"/>
                            <w:sz w:val="3"/>
                          </w:rPr>
                          <w:t xml:space="preserve"> </w:t>
                        </w:r>
                        <w:r>
                          <w:rPr>
                            <w:w w:val="105"/>
                            <w:sz w:val="3"/>
                          </w:rPr>
                          <w:t>CRAFTER</w:t>
                        </w:r>
                        <w:r>
                          <w:rPr>
                            <w:spacing w:val="-4"/>
                            <w:w w:val="105"/>
                            <w:sz w:val="3"/>
                          </w:rPr>
                          <w:t xml:space="preserve"> </w:t>
                        </w:r>
                        <w:r>
                          <w:rPr>
                            <w:w w:val="105"/>
                            <w:sz w:val="3"/>
                          </w:rPr>
                          <w:t>DO 3,5T;</w:t>
                        </w:r>
                        <w:r>
                          <w:rPr>
                            <w:spacing w:val="-2"/>
                            <w:w w:val="105"/>
                            <w:sz w:val="3"/>
                          </w:rPr>
                          <w:t xml:space="preserve"> </w:t>
                        </w:r>
                        <w:r>
                          <w:rPr>
                            <w:w w:val="105"/>
                            <w:sz w:val="3"/>
                          </w:rPr>
                          <w:t>LT</w:t>
                        </w:r>
                        <w:r>
                          <w:rPr>
                            <w:spacing w:val="-4"/>
                            <w:w w:val="105"/>
                            <w:sz w:val="3"/>
                          </w:rPr>
                          <w:t xml:space="preserve"> </w:t>
                        </w:r>
                        <w:r>
                          <w:rPr>
                            <w:w w:val="105"/>
                            <w:sz w:val="3"/>
                          </w:rPr>
                          <w:t>28;</w:t>
                        </w:r>
                        <w:r>
                          <w:rPr>
                            <w:spacing w:val="-2"/>
                            <w:w w:val="105"/>
                            <w:sz w:val="3"/>
                          </w:rPr>
                          <w:t xml:space="preserve"> </w:t>
                        </w:r>
                        <w:r>
                          <w:rPr>
                            <w:w w:val="105"/>
                            <w:sz w:val="3"/>
                          </w:rPr>
                          <w:t>LT</w:t>
                        </w:r>
                        <w:r>
                          <w:rPr>
                            <w:spacing w:val="-4"/>
                            <w:w w:val="105"/>
                            <w:sz w:val="3"/>
                          </w:rPr>
                          <w:t xml:space="preserve"> </w:t>
                        </w:r>
                        <w:r>
                          <w:rPr>
                            <w:w w:val="105"/>
                            <w:sz w:val="3"/>
                          </w:rPr>
                          <w:t>30;</w:t>
                        </w:r>
                        <w:r>
                          <w:rPr>
                            <w:spacing w:val="-1"/>
                            <w:w w:val="105"/>
                            <w:sz w:val="3"/>
                          </w:rPr>
                          <w:t xml:space="preserve"> </w:t>
                        </w:r>
                        <w:r>
                          <w:rPr>
                            <w:w w:val="105"/>
                            <w:sz w:val="3"/>
                          </w:rPr>
                          <w:t>LT</w:t>
                        </w:r>
                        <w:r>
                          <w:rPr>
                            <w:spacing w:val="-4"/>
                            <w:w w:val="105"/>
                            <w:sz w:val="3"/>
                          </w:rPr>
                          <w:t xml:space="preserve"> </w:t>
                        </w:r>
                        <w:r>
                          <w:rPr>
                            <w:w w:val="105"/>
                            <w:sz w:val="3"/>
                          </w:rPr>
                          <w:t>31;</w:t>
                        </w:r>
                        <w:r>
                          <w:rPr>
                            <w:spacing w:val="-2"/>
                            <w:w w:val="105"/>
                            <w:sz w:val="3"/>
                          </w:rPr>
                          <w:t xml:space="preserve"> </w:t>
                        </w:r>
                        <w:r>
                          <w:rPr>
                            <w:w w:val="105"/>
                            <w:sz w:val="3"/>
                          </w:rPr>
                          <w:t>LT</w:t>
                        </w:r>
                        <w:r>
                          <w:rPr>
                            <w:spacing w:val="-4"/>
                            <w:w w:val="105"/>
                            <w:sz w:val="3"/>
                          </w:rPr>
                          <w:t xml:space="preserve"> </w:t>
                        </w:r>
                        <w:r>
                          <w:rPr>
                            <w:w w:val="105"/>
                            <w:sz w:val="3"/>
                          </w:rPr>
                          <w:t>35;</w:t>
                        </w:r>
                        <w:r>
                          <w:rPr>
                            <w:spacing w:val="-2"/>
                            <w:w w:val="105"/>
                            <w:sz w:val="3"/>
                          </w:rPr>
                          <w:t xml:space="preserve"> </w:t>
                        </w:r>
                        <w:r>
                          <w:rPr>
                            <w:w w:val="105"/>
                            <w:sz w:val="3"/>
                          </w:rPr>
                          <w:t>POLO</w:t>
                        </w:r>
                        <w:r>
                          <w:rPr>
                            <w:spacing w:val="-2"/>
                            <w:w w:val="105"/>
                            <w:sz w:val="3"/>
                          </w:rPr>
                          <w:t xml:space="preserve"> </w:t>
                        </w:r>
                        <w:r>
                          <w:rPr>
                            <w:w w:val="105"/>
                            <w:sz w:val="3"/>
                          </w:rPr>
                          <w:t>VAN;</w:t>
                        </w:r>
                        <w:r>
                          <w:rPr>
                            <w:spacing w:val="-2"/>
                            <w:w w:val="105"/>
                            <w:sz w:val="3"/>
                          </w:rPr>
                          <w:t xml:space="preserve"> </w:t>
                        </w:r>
                        <w:r>
                          <w:rPr>
                            <w:w w:val="105"/>
                            <w:sz w:val="3"/>
                          </w:rPr>
                          <w:t>T4;</w:t>
                        </w:r>
                        <w:r>
                          <w:rPr>
                            <w:spacing w:val="-2"/>
                            <w:w w:val="105"/>
                            <w:sz w:val="3"/>
                          </w:rPr>
                          <w:t xml:space="preserve"> </w:t>
                        </w:r>
                        <w:r>
                          <w:rPr>
                            <w:w w:val="105"/>
                            <w:sz w:val="3"/>
                          </w:rPr>
                          <w:t>TRANSPORTER; TRANSPORTÉR T5; TRANSPORTÉR</w:t>
                        </w:r>
                        <w:r>
                          <w:rPr>
                            <w:spacing w:val="-2"/>
                            <w:w w:val="105"/>
                            <w:sz w:val="3"/>
                          </w:rPr>
                          <w:t xml:space="preserve"> </w:t>
                        </w:r>
                        <w:r>
                          <w:rPr>
                            <w:w w:val="105"/>
                            <w:sz w:val="3"/>
                          </w:rPr>
                          <w:t>T6</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4427E19" w14:textId="77777777" w:rsidR="00F65BCA" w:rsidRDefault="00F65BCA">
                        <w:pPr>
                          <w:pStyle w:val="TableParagraph"/>
                          <w:rPr>
                            <w:rFonts w:ascii="Calibri"/>
                            <w:sz w:val="2"/>
                          </w:rPr>
                        </w:pPr>
                      </w:p>
                      <w:p w14:paraId="15EC6811"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96105A1" w14:textId="77777777" w:rsidR="00F65BCA" w:rsidRDefault="00F65BCA">
                        <w:pPr>
                          <w:pStyle w:val="TableParagraph"/>
                          <w:rPr>
                            <w:rFonts w:ascii="Calibri"/>
                            <w:sz w:val="2"/>
                          </w:rPr>
                        </w:pPr>
                      </w:p>
                      <w:p w14:paraId="0A21C6D6"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4CD5AEF2"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CA56463" w14:textId="77777777" w:rsidR="00F65BCA" w:rsidRDefault="00F65BCA">
                        <w:pPr>
                          <w:pStyle w:val="TableParagraph"/>
                          <w:rPr>
                            <w:rFonts w:ascii="Calibri"/>
                            <w:sz w:val="2"/>
                          </w:rPr>
                        </w:pPr>
                      </w:p>
                      <w:p w14:paraId="30090813"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6587A022" w14:textId="77777777" w:rsidR="00F65BCA" w:rsidRDefault="00F65BCA">
                        <w:pPr>
                          <w:pStyle w:val="TableParagraph"/>
                          <w:rPr>
                            <w:rFonts w:ascii="Calibri"/>
                            <w:sz w:val="2"/>
                          </w:rPr>
                        </w:pPr>
                      </w:p>
                      <w:p w14:paraId="1F173363"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581B1A2E" w14:textId="77777777" w:rsidR="00F65BCA" w:rsidRDefault="00F65BCA">
                        <w:pPr>
                          <w:pStyle w:val="TableParagraph"/>
                          <w:rPr>
                            <w:rFonts w:ascii="Calibri"/>
                            <w:sz w:val="2"/>
                          </w:rPr>
                        </w:pPr>
                      </w:p>
                      <w:p w14:paraId="22C83FEA"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7748A861" w14:textId="77777777" w:rsidR="00F65BCA" w:rsidRDefault="00F65BCA">
                        <w:pPr>
                          <w:pStyle w:val="TableParagraph"/>
                          <w:rPr>
                            <w:rFonts w:ascii="Calibri"/>
                            <w:sz w:val="2"/>
                          </w:rPr>
                        </w:pPr>
                      </w:p>
                      <w:p w14:paraId="3970902B"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2E579013" w14:textId="77777777" w:rsidR="00F65BCA" w:rsidRDefault="00F65BCA">
                        <w:pPr>
                          <w:pStyle w:val="TableParagraph"/>
                          <w:rPr>
                            <w:rFonts w:ascii="Calibri"/>
                            <w:sz w:val="2"/>
                          </w:rPr>
                        </w:pPr>
                      </w:p>
                      <w:p w14:paraId="703EE332"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379EDB24" w14:textId="77777777" w:rsidR="00F65BCA" w:rsidRDefault="00F65BCA">
                        <w:pPr>
                          <w:pStyle w:val="TableParagraph"/>
                          <w:rPr>
                            <w:rFonts w:ascii="Calibri"/>
                            <w:sz w:val="2"/>
                          </w:rPr>
                        </w:pPr>
                      </w:p>
                      <w:p w14:paraId="6449D628"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7FA9B3D0" w14:textId="77777777" w:rsidR="00F65BCA" w:rsidRDefault="00F65BCA">
                        <w:pPr>
                          <w:pStyle w:val="TableParagraph"/>
                          <w:rPr>
                            <w:rFonts w:ascii="Calibri"/>
                            <w:sz w:val="2"/>
                          </w:rPr>
                        </w:pPr>
                      </w:p>
                      <w:p w14:paraId="2C64395C"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1BF94F92" w14:textId="77777777" w:rsidR="00F65BCA" w:rsidRDefault="00F65BCA">
                        <w:pPr>
                          <w:pStyle w:val="TableParagraph"/>
                          <w:rPr>
                            <w:rFonts w:ascii="Calibri"/>
                            <w:sz w:val="2"/>
                          </w:rPr>
                        </w:pPr>
                      </w:p>
                      <w:p w14:paraId="466E6303"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13D9552A" w14:textId="77777777" w:rsidR="00F65BCA" w:rsidRDefault="00F65BCA">
                        <w:pPr>
                          <w:pStyle w:val="TableParagraph"/>
                          <w:rPr>
                            <w:rFonts w:ascii="Calibri"/>
                            <w:sz w:val="2"/>
                          </w:rPr>
                        </w:pPr>
                      </w:p>
                      <w:p w14:paraId="13A4F564"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3A66BB98" w14:textId="77777777" w:rsidR="00F65BCA" w:rsidRDefault="00F65BCA">
                        <w:pPr>
                          <w:pStyle w:val="TableParagraph"/>
                          <w:rPr>
                            <w:rFonts w:ascii="Calibri"/>
                            <w:sz w:val="2"/>
                          </w:rPr>
                        </w:pPr>
                      </w:p>
                      <w:p w14:paraId="12378DE3"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784B04DE" w14:textId="77777777" w:rsidR="00F65BCA" w:rsidRDefault="00F65BCA">
                        <w:pPr>
                          <w:pStyle w:val="TableParagraph"/>
                          <w:rPr>
                            <w:rFonts w:ascii="Calibri"/>
                            <w:sz w:val="2"/>
                          </w:rPr>
                        </w:pPr>
                      </w:p>
                      <w:p w14:paraId="7106BCD2"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2A86AE04" w14:textId="77777777" w:rsidR="00F65BCA" w:rsidRDefault="00F65BCA">
                        <w:pPr>
                          <w:pStyle w:val="TableParagraph"/>
                          <w:rPr>
                            <w:rFonts w:ascii="Calibri"/>
                            <w:sz w:val="2"/>
                          </w:rPr>
                        </w:pPr>
                      </w:p>
                      <w:p w14:paraId="0BCE8E52"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0E36A27B" w14:textId="77777777" w:rsidR="00F65BCA" w:rsidRDefault="00F65BCA">
                        <w:pPr>
                          <w:pStyle w:val="TableParagraph"/>
                          <w:rPr>
                            <w:rFonts w:ascii="Calibri"/>
                            <w:sz w:val="2"/>
                          </w:rPr>
                        </w:pPr>
                      </w:p>
                      <w:p w14:paraId="6103EF1F" w14:textId="77777777" w:rsidR="00F65BCA" w:rsidRDefault="00216117">
                        <w:pPr>
                          <w:pStyle w:val="TableParagraph"/>
                          <w:ind w:left="24" w:right="24"/>
                          <w:jc w:val="center"/>
                          <w:rPr>
                            <w:sz w:val="3"/>
                          </w:rPr>
                        </w:pPr>
                        <w:r>
                          <w:rPr>
                            <w:w w:val="105"/>
                            <w:sz w:val="3"/>
                          </w:rPr>
                          <w:t>0,95940000%</w:t>
                        </w:r>
                      </w:p>
                    </w:tc>
                  </w:tr>
                  <w:tr w:rsidR="00F65BCA" w14:paraId="681C2B38"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6EDAD516"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C2DAD31"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5F5A28E9"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0E05301" w14:textId="77777777" w:rsidR="00F65BCA" w:rsidRDefault="00F65BCA">
                        <w:pPr>
                          <w:pStyle w:val="TableParagraph"/>
                          <w:rPr>
                            <w:rFonts w:ascii="Calibri"/>
                            <w:sz w:val="2"/>
                          </w:rPr>
                        </w:pPr>
                      </w:p>
                      <w:p w14:paraId="58DD1777"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4DA22B9" w14:textId="77777777" w:rsidR="00F65BCA" w:rsidRDefault="00F65BCA">
                        <w:pPr>
                          <w:pStyle w:val="TableParagraph"/>
                          <w:rPr>
                            <w:rFonts w:ascii="Calibri"/>
                            <w:sz w:val="2"/>
                          </w:rPr>
                        </w:pPr>
                      </w:p>
                      <w:p w14:paraId="2F72DBAA"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461D508"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183690AA" w14:textId="77777777" w:rsidR="00F65BCA" w:rsidRDefault="00F65BCA">
                        <w:pPr>
                          <w:pStyle w:val="TableParagraph"/>
                          <w:rPr>
                            <w:rFonts w:ascii="Calibri"/>
                            <w:sz w:val="2"/>
                          </w:rPr>
                        </w:pPr>
                      </w:p>
                      <w:p w14:paraId="00588DCC"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60447BE3" w14:textId="77777777" w:rsidR="00F65BCA" w:rsidRDefault="00F65BCA">
                        <w:pPr>
                          <w:pStyle w:val="TableParagraph"/>
                          <w:rPr>
                            <w:rFonts w:ascii="Calibri"/>
                            <w:sz w:val="2"/>
                          </w:rPr>
                        </w:pPr>
                      </w:p>
                      <w:p w14:paraId="3E5196D2"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5B13D8F8" w14:textId="77777777" w:rsidR="00F65BCA" w:rsidRDefault="00F65BCA">
                        <w:pPr>
                          <w:pStyle w:val="TableParagraph"/>
                          <w:rPr>
                            <w:rFonts w:ascii="Calibri"/>
                            <w:sz w:val="2"/>
                          </w:rPr>
                        </w:pPr>
                      </w:p>
                      <w:p w14:paraId="23778467"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3B1F22E2" w14:textId="77777777" w:rsidR="00F65BCA" w:rsidRDefault="00F65BCA">
                        <w:pPr>
                          <w:pStyle w:val="TableParagraph"/>
                          <w:rPr>
                            <w:rFonts w:ascii="Calibri"/>
                            <w:sz w:val="2"/>
                          </w:rPr>
                        </w:pPr>
                      </w:p>
                      <w:p w14:paraId="348A0C2C"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2F01C62F" w14:textId="77777777" w:rsidR="00F65BCA" w:rsidRDefault="00F65BCA">
                        <w:pPr>
                          <w:pStyle w:val="TableParagraph"/>
                          <w:rPr>
                            <w:rFonts w:ascii="Calibri"/>
                            <w:sz w:val="2"/>
                          </w:rPr>
                        </w:pPr>
                      </w:p>
                      <w:p w14:paraId="721CB683"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5292BDB1" w14:textId="77777777" w:rsidR="00F65BCA" w:rsidRDefault="00F65BCA">
                        <w:pPr>
                          <w:pStyle w:val="TableParagraph"/>
                          <w:rPr>
                            <w:rFonts w:ascii="Calibri"/>
                            <w:sz w:val="2"/>
                          </w:rPr>
                        </w:pPr>
                      </w:p>
                      <w:p w14:paraId="6284241D"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026A4D32" w14:textId="77777777" w:rsidR="00F65BCA" w:rsidRDefault="00F65BCA">
                        <w:pPr>
                          <w:pStyle w:val="TableParagraph"/>
                          <w:rPr>
                            <w:rFonts w:ascii="Calibri"/>
                            <w:sz w:val="2"/>
                          </w:rPr>
                        </w:pPr>
                      </w:p>
                      <w:p w14:paraId="432036C7"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45E2524D" w14:textId="77777777" w:rsidR="00F65BCA" w:rsidRDefault="00F65BCA">
                        <w:pPr>
                          <w:pStyle w:val="TableParagraph"/>
                          <w:rPr>
                            <w:rFonts w:ascii="Calibri"/>
                            <w:sz w:val="2"/>
                          </w:rPr>
                        </w:pPr>
                      </w:p>
                      <w:p w14:paraId="167C34EF"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360769F3" w14:textId="77777777" w:rsidR="00F65BCA" w:rsidRDefault="00F65BCA">
                        <w:pPr>
                          <w:pStyle w:val="TableParagraph"/>
                          <w:rPr>
                            <w:rFonts w:ascii="Calibri"/>
                            <w:sz w:val="2"/>
                          </w:rPr>
                        </w:pPr>
                      </w:p>
                      <w:p w14:paraId="557860CC"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062663EE" w14:textId="77777777" w:rsidR="00F65BCA" w:rsidRDefault="00F65BCA">
                        <w:pPr>
                          <w:pStyle w:val="TableParagraph"/>
                          <w:rPr>
                            <w:rFonts w:ascii="Calibri"/>
                            <w:sz w:val="2"/>
                          </w:rPr>
                        </w:pPr>
                      </w:p>
                      <w:p w14:paraId="09D45192"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3149F2AE" w14:textId="77777777" w:rsidR="00F65BCA" w:rsidRDefault="00F65BCA">
                        <w:pPr>
                          <w:pStyle w:val="TableParagraph"/>
                          <w:rPr>
                            <w:rFonts w:ascii="Calibri"/>
                            <w:sz w:val="2"/>
                          </w:rPr>
                        </w:pPr>
                      </w:p>
                      <w:p w14:paraId="7CEFD03A"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17144B2A" w14:textId="77777777" w:rsidR="00F65BCA" w:rsidRDefault="00F65BCA">
                        <w:pPr>
                          <w:pStyle w:val="TableParagraph"/>
                          <w:rPr>
                            <w:rFonts w:ascii="Calibri"/>
                            <w:sz w:val="2"/>
                          </w:rPr>
                        </w:pPr>
                      </w:p>
                      <w:p w14:paraId="00945B1C"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677F446" w14:textId="77777777" w:rsidR="00F65BCA" w:rsidRDefault="00F65BCA">
                        <w:pPr>
                          <w:pStyle w:val="TableParagraph"/>
                          <w:rPr>
                            <w:rFonts w:ascii="Calibri"/>
                            <w:sz w:val="2"/>
                          </w:rPr>
                        </w:pPr>
                      </w:p>
                      <w:p w14:paraId="52E2F6A0" w14:textId="77777777" w:rsidR="00F65BCA" w:rsidRDefault="00216117">
                        <w:pPr>
                          <w:pStyle w:val="TableParagraph"/>
                          <w:ind w:left="24" w:right="24"/>
                          <w:jc w:val="center"/>
                          <w:rPr>
                            <w:sz w:val="3"/>
                          </w:rPr>
                        </w:pPr>
                        <w:r>
                          <w:rPr>
                            <w:w w:val="105"/>
                            <w:sz w:val="3"/>
                          </w:rPr>
                          <w:t>1,15895520%</w:t>
                        </w:r>
                      </w:p>
                    </w:tc>
                  </w:tr>
                  <w:tr w:rsidR="00F65BCA" w14:paraId="42633658"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1BB2EE0B"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3A62E8A6"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7F83FB2C" w14:textId="77777777" w:rsidR="00F65BCA" w:rsidRDefault="00F65BCA">
                        <w:pPr>
                          <w:pStyle w:val="TableParagraph"/>
                          <w:rPr>
                            <w:rFonts w:ascii="Calibri"/>
                            <w:sz w:val="2"/>
                          </w:rPr>
                        </w:pPr>
                      </w:p>
                      <w:p w14:paraId="0547C325" w14:textId="77777777" w:rsidR="00F65BCA" w:rsidRDefault="00216117">
                        <w:pPr>
                          <w:pStyle w:val="TableParagraph"/>
                          <w:spacing w:line="40" w:lineRule="atLeast"/>
                          <w:ind w:left="4" w:right="21"/>
                          <w:rPr>
                            <w:sz w:val="3"/>
                          </w:rPr>
                        </w:pPr>
                        <w:r>
                          <w:rPr>
                            <w:w w:val="105"/>
                            <w:sz w:val="3"/>
                          </w:rPr>
                          <w:t>E-GOLF; E-UP; GOLF; GOLF CABRIOLET; GOLF PLUS; GOLF VARIANT; POLO; POLO CLASSIC; POLO COUPE; POLO V; POLO VARIANT; UP</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D16152B" w14:textId="77777777" w:rsidR="00F65BCA" w:rsidRDefault="00F65BCA">
                        <w:pPr>
                          <w:pStyle w:val="TableParagraph"/>
                          <w:rPr>
                            <w:rFonts w:ascii="Calibri"/>
                            <w:sz w:val="2"/>
                          </w:rPr>
                        </w:pPr>
                      </w:p>
                      <w:p w14:paraId="4336EB56"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CEF1E7B" w14:textId="77777777" w:rsidR="00F65BCA" w:rsidRDefault="00F65BCA">
                        <w:pPr>
                          <w:pStyle w:val="TableParagraph"/>
                          <w:rPr>
                            <w:rFonts w:ascii="Calibri"/>
                            <w:sz w:val="2"/>
                          </w:rPr>
                        </w:pPr>
                      </w:p>
                      <w:p w14:paraId="6C711F29"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4AC556DD"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0FA23694" w14:textId="77777777" w:rsidR="00F65BCA" w:rsidRDefault="00F65BCA">
                        <w:pPr>
                          <w:pStyle w:val="TableParagraph"/>
                          <w:rPr>
                            <w:rFonts w:ascii="Calibri"/>
                            <w:sz w:val="2"/>
                          </w:rPr>
                        </w:pPr>
                      </w:p>
                      <w:p w14:paraId="5D147A85"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75AD2757" w14:textId="77777777" w:rsidR="00F65BCA" w:rsidRDefault="00F65BCA">
                        <w:pPr>
                          <w:pStyle w:val="TableParagraph"/>
                          <w:rPr>
                            <w:rFonts w:ascii="Calibri"/>
                            <w:sz w:val="2"/>
                          </w:rPr>
                        </w:pPr>
                      </w:p>
                      <w:p w14:paraId="0ECB2B72"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234E6B30" w14:textId="77777777" w:rsidR="00F65BCA" w:rsidRDefault="00F65BCA">
                        <w:pPr>
                          <w:pStyle w:val="TableParagraph"/>
                          <w:rPr>
                            <w:rFonts w:ascii="Calibri"/>
                            <w:sz w:val="2"/>
                          </w:rPr>
                        </w:pPr>
                      </w:p>
                      <w:p w14:paraId="1272E1D0"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5C4DA614" w14:textId="77777777" w:rsidR="00F65BCA" w:rsidRDefault="00F65BCA">
                        <w:pPr>
                          <w:pStyle w:val="TableParagraph"/>
                          <w:rPr>
                            <w:rFonts w:ascii="Calibri"/>
                            <w:sz w:val="2"/>
                          </w:rPr>
                        </w:pPr>
                      </w:p>
                      <w:p w14:paraId="29E92BFA"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7148E012" w14:textId="77777777" w:rsidR="00F65BCA" w:rsidRDefault="00F65BCA">
                        <w:pPr>
                          <w:pStyle w:val="TableParagraph"/>
                          <w:rPr>
                            <w:rFonts w:ascii="Calibri"/>
                            <w:sz w:val="2"/>
                          </w:rPr>
                        </w:pPr>
                      </w:p>
                      <w:p w14:paraId="13C912F8"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23E97476" w14:textId="77777777" w:rsidR="00F65BCA" w:rsidRDefault="00F65BCA">
                        <w:pPr>
                          <w:pStyle w:val="TableParagraph"/>
                          <w:rPr>
                            <w:rFonts w:ascii="Calibri"/>
                            <w:sz w:val="2"/>
                          </w:rPr>
                        </w:pPr>
                      </w:p>
                      <w:p w14:paraId="4E258777"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10CACDB4" w14:textId="77777777" w:rsidR="00F65BCA" w:rsidRDefault="00F65BCA">
                        <w:pPr>
                          <w:pStyle w:val="TableParagraph"/>
                          <w:rPr>
                            <w:rFonts w:ascii="Calibri"/>
                            <w:sz w:val="2"/>
                          </w:rPr>
                        </w:pPr>
                      </w:p>
                      <w:p w14:paraId="4F423454"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39DE4E5C" w14:textId="77777777" w:rsidR="00F65BCA" w:rsidRDefault="00F65BCA">
                        <w:pPr>
                          <w:pStyle w:val="TableParagraph"/>
                          <w:rPr>
                            <w:rFonts w:ascii="Calibri"/>
                            <w:sz w:val="2"/>
                          </w:rPr>
                        </w:pPr>
                      </w:p>
                      <w:p w14:paraId="20710314"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2A8FE012" w14:textId="77777777" w:rsidR="00F65BCA" w:rsidRDefault="00F65BCA">
                        <w:pPr>
                          <w:pStyle w:val="TableParagraph"/>
                          <w:rPr>
                            <w:rFonts w:ascii="Calibri"/>
                            <w:sz w:val="2"/>
                          </w:rPr>
                        </w:pPr>
                      </w:p>
                      <w:p w14:paraId="6C93E927"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01647C7A" w14:textId="77777777" w:rsidR="00F65BCA" w:rsidRDefault="00F65BCA">
                        <w:pPr>
                          <w:pStyle w:val="TableParagraph"/>
                          <w:rPr>
                            <w:rFonts w:ascii="Calibri"/>
                            <w:sz w:val="2"/>
                          </w:rPr>
                        </w:pPr>
                      </w:p>
                      <w:p w14:paraId="0707F8D0"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57E108A5" w14:textId="77777777" w:rsidR="00F65BCA" w:rsidRDefault="00F65BCA">
                        <w:pPr>
                          <w:pStyle w:val="TableParagraph"/>
                          <w:rPr>
                            <w:rFonts w:ascii="Calibri"/>
                            <w:sz w:val="2"/>
                          </w:rPr>
                        </w:pPr>
                      </w:p>
                      <w:p w14:paraId="6F159969"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2AAB5638" w14:textId="77777777" w:rsidR="00F65BCA" w:rsidRDefault="00F65BCA">
                        <w:pPr>
                          <w:pStyle w:val="TableParagraph"/>
                          <w:rPr>
                            <w:rFonts w:ascii="Calibri"/>
                            <w:sz w:val="2"/>
                          </w:rPr>
                        </w:pPr>
                      </w:p>
                      <w:p w14:paraId="0A176C9A"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3FAE03A5" w14:textId="77777777" w:rsidR="00F65BCA" w:rsidRDefault="00F65BCA">
                        <w:pPr>
                          <w:pStyle w:val="TableParagraph"/>
                          <w:rPr>
                            <w:rFonts w:ascii="Calibri"/>
                            <w:sz w:val="2"/>
                          </w:rPr>
                        </w:pPr>
                      </w:p>
                      <w:p w14:paraId="11CEB785" w14:textId="77777777" w:rsidR="00F65BCA" w:rsidRDefault="00216117">
                        <w:pPr>
                          <w:pStyle w:val="TableParagraph"/>
                          <w:ind w:left="24" w:right="24"/>
                          <w:jc w:val="center"/>
                          <w:rPr>
                            <w:sz w:val="3"/>
                          </w:rPr>
                        </w:pPr>
                        <w:r>
                          <w:rPr>
                            <w:w w:val="105"/>
                            <w:sz w:val="3"/>
                          </w:rPr>
                          <w:t>1,07731026%</w:t>
                        </w:r>
                      </w:p>
                    </w:tc>
                  </w:tr>
                  <w:tr w:rsidR="00F65BCA" w14:paraId="48E84DA3"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73289D51"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782813F9"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349338DC"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EF91E13" w14:textId="77777777" w:rsidR="00F65BCA" w:rsidRDefault="00F65BCA">
                        <w:pPr>
                          <w:pStyle w:val="TableParagraph"/>
                          <w:rPr>
                            <w:rFonts w:ascii="Calibri"/>
                            <w:sz w:val="2"/>
                          </w:rPr>
                        </w:pPr>
                      </w:p>
                      <w:p w14:paraId="060383B1"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FDFC709" w14:textId="77777777" w:rsidR="00F65BCA" w:rsidRDefault="00F65BCA">
                        <w:pPr>
                          <w:pStyle w:val="TableParagraph"/>
                          <w:rPr>
                            <w:rFonts w:ascii="Calibri"/>
                            <w:sz w:val="2"/>
                          </w:rPr>
                        </w:pPr>
                      </w:p>
                      <w:p w14:paraId="56E384C7"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1699E55"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7BEC0D20" w14:textId="77777777" w:rsidR="00F65BCA" w:rsidRDefault="00F65BCA">
                        <w:pPr>
                          <w:pStyle w:val="TableParagraph"/>
                          <w:rPr>
                            <w:rFonts w:ascii="Calibri"/>
                            <w:sz w:val="2"/>
                          </w:rPr>
                        </w:pPr>
                      </w:p>
                      <w:p w14:paraId="29C07458"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573C2737" w14:textId="77777777" w:rsidR="00F65BCA" w:rsidRDefault="00F65BCA">
                        <w:pPr>
                          <w:pStyle w:val="TableParagraph"/>
                          <w:rPr>
                            <w:rFonts w:ascii="Calibri"/>
                            <w:sz w:val="2"/>
                          </w:rPr>
                        </w:pPr>
                      </w:p>
                      <w:p w14:paraId="39B93B41"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1222F107" w14:textId="77777777" w:rsidR="00F65BCA" w:rsidRDefault="00F65BCA">
                        <w:pPr>
                          <w:pStyle w:val="TableParagraph"/>
                          <w:rPr>
                            <w:rFonts w:ascii="Calibri"/>
                            <w:sz w:val="2"/>
                          </w:rPr>
                        </w:pPr>
                      </w:p>
                      <w:p w14:paraId="618546CC"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50F9F539" w14:textId="77777777" w:rsidR="00F65BCA" w:rsidRDefault="00F65BCA">
                        <w:pPr>
                          <w:pStyle w:val="TableParagraph"/>
                          <w:rPr>
                            <w:rFonts w:ascii="Calibri"/>
                            <w:sz w:val="2"/>
                          </w:rPr>
                        </w:pPr>
                      </w:p>
                      <w:p w14:paraId="204161E0"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0754A3DF" w14:textId="77777777" w:rsidR="00F65BCA" w:rsidRDefault="00F65BCA">
                        <w:pPr>
                          <w:pStyle w:val="TableParagraph"/>
                          <w:rPr>
                            <w:rFonts w:ascii="Calibri"/>
                            <w:sz w:val="2"/>
                          </w:rPr>
                        </w:pPr>
                      </w:p>
                      <w:p w14:paraId="551F5F27"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2F923D66" w14:textId="77777777" w:rsidR="00F65BCA" w:rsidRDefault="00F65BCA">
                        <w:pPr>
                          <w:pStyle w:val="TableParagraph"/>
                          <w:rPr>
                            <w:rFonts w:ascii="Calibri"/>
                            <w:sz w:val="2"/>
                          </w:rPr>
                        </w:pPr>
                      </w:p>
                      <w:p w14:paraId="184A50EB"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760EF932" w14:textId="77777777" w:rsidR="00F65BCA" w:rsidRDefault="00F65BCA">
                        <w:pPr>
                          <w:pStyle w:val="TableParagraph"/>
                          <w:rPr>
                            <w:rFonts w:ascii="Calibri"/>
                            <w:sz w:val="2"/>
                          </w:rPr>
                        </w:pPr>
                      </w:p>
                      <w:p w14:paraId="377AEB5A"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01A39CAA" w14:textId="77777777" w:rsidR="00F65BCA" w:rsidRDefault="00F65BCA">
                        <w:pPr>
                          <w:pStyle w:val="TableParagraph"/>
                          <w:rPr>
                            <w:rFonts w:ascii="Calibri"/>
                            <w:sz w:val="2"/>
                          </w:rPr>
                        </w:pPr>
                      </w:p>
                      <w:p w14:paraId="7CBDC560"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1749E6BE" w14:textId="77777777" w:rsidR="00F65BCA" w:rsidRDefault="00F65BCA">
                        <w:pPr>
                          <w:pStyle w:val="TableParagraph"/>
                          <w:rPr>
                            <w:rFonts w:ascii="Calibri"/>
                            <w:sz w:val="2"/>
                          </w:rPr>
                        </w:pPr>
                      </w:p>
                      <w:p w14:paraId="0925D793"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0BCBDFFF" w14:textId="77777777" w:rsidR="00F65BCA" w:rsidRDefault="00F65BCA">
                        <w:pPr>
                          <w:pStyle w:val="TableParagraph"/>
                          <w:rPr>
                            <w:rFonts w:ascii="Calibri"/>
                            <w:sz w:val="2"/>
                          </w:rPr>
                        </w:pPr>
                      </w:p>
                      <w:p w14:paraId="275CF8F4"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34C76EC6" w14:textId="77777777" w:rsidR="00F65BCA" w:rsidRDefault="00F65BCA">
                        <w:pPr>
                          <w:pStyle w:val="TableParagraph"/>
                          <w:rPr>
                            <w:rFonts w:ascii="Calibri"/>
                            <w:sz w:val="2"/>
                          </w:rPr>
                        </w:pPr>
                      </w:p>
                      <w:p w14:paraId="61F17C5E"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083D0535" w14:textId="77777777" w:rsidR="00F65BCA" w:rsidRDefault="00F65BCA">
                        <w:pPr>
                          <w:pStyle w:val="TableParagraph"/>
                          <w:rPr>
                            <w:rFonts w:ascii="Calibri"/>
                            <w:sz w:val="2"/>
                          </w:rPr>
                        </w:pPr>
                      </w:p>
                      <w:p w14:paraId="27FD7AAD"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42581012" w14:textId="77777777" w:rsidR="00F65BCA" w:rsidRDefault="00F65BCA">
                        <w:pPr>
                          <w:pStyle w:val="TableParagraph"/>
                          <w:rPr>
                            <w:rFonts w:ascii="Calibri"/>
                            <w:sz w:val="2"/>
                          </w:rPr>
                        </w:pPr>
                      </w:p>
                      <w:p w14:paraId="476D587B" w14:textId="77777777" w:rsidR="00F65BCA" w:rsidRDefault="00216117">
                        <w:pPr>
                          <w:pStyle w:val="TableParagraph"/>
                          <w:ind w:left="24" w:right="24"/>
                          <w:jc w:val="center"/>
                          <w:rPr>
                            <w:sz w:val="3"/>
                          </w:rPr>
                        </w:pPr>
                        <w:r>
                          <w:rPr>
                            <w:w w:val="105"/>
                            <w:sz w:val="3"/>
                          </w:rPr>
                          <w:t>1,30139079%</w:t>
                        </w:r>
                      </w:p>
                    </w:tc>
                  </w:tr>
                  <w:tr w:rsidR="00F65BCA" w14:paraId="5C2483ED" w14:textId="77777777">
                    <w:trPr>
                      <w:trHeight w:val="146"/>
                    </w:trPr>
                    <w:tc>
                      <w:tcPr>
                        <w:tcW w:w="526" w:type="dxa"/>
                        <w:vMerge/>
                        <w:tcBorders>
                          <w:top w:val="nil"/>
                          <w:left w:val="single" w:sz="2" w:space="0" w:color="000000"/>
                          <w:bottom w:val="nil"/>
                          <w:right w:val="single" w:sz="2" w:space="0" w:color="000000"/>
                        </w:tcBorders>
                        <w:shd w:val="clear" w:color="auto" w:fill="FCE4D6"/>
                      </w:tcPr>
                      <w:p w14:paraId="12F72FB9"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2FEE86F4"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CBC01B3" w14:textId="77777777" w:rsidR="00F65BCA" w:rsidRDefault="00216117">
                        <w:pPr>
                          <w:pStyle w:val="TableParagraph"/>
                          <w:spacing w:before="3" w:line="40" w:lineRule="atLeast"/>
                          <w:ind w:left="4"/>
                          <w:rPr>
                            <w:sz w:val="3"/>
                          </w:rPr>
                        </w:pPr>
                        <w:r>
                          <w:rPr>
                            <w:w w:val="105"/>
                            <w:sz w:val="3"/>
                          </w:rPr>
                          <w:t>AMAROK; ARTEON; BEETLE; BORA; BORA VARIANT; CADDY; CADDY KOMBI; CALIFORNIA; CARAVELLE; CC; CORRADO; EOS; FOX; GOLF SPORTSVAN; ID.3; JETTA; JINÉ; LUPO; MULTIVAN; NEW BEETLE; NEW BEETLE CABRIO; PASSAT; PASSAT ALLTRACK; PASSAT CC; PASSAT VARIANT; PHAETON; SCIROCCO; SHARAN; SHUTTLE; TARRO; T-CROSS; TIGUAN; TOUAREG; TOURAN; T-ROC; VENTO</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39A1FAD" w14:textId="77777777" w:rsidR="00F65BCA" w:rsidRDefault="00F65BCA">
                        <w:pPr>
                          <w:pStyle w:val="TableParagraph"/>
                          <w:rPr>
                            <w:rFonts w:ascii="Calibri"/>
                            <w:sz w:val="2"/>
                          </w:rPr>
                        </w:pPr>
                      </w:p>
                      <w:p w14:paraId="4ABDD5D6" w14:textId="77777777" w:rsidR="00F65BCA" w:rsidRDefault="00F65BCA">
                        <w:pPr>
                          <w:pStyle w:val="TableParagraph"/>
                          <w:spacing w:before="8"/>
                          <w:rPr>
                            <w:rFonts w:ascii="Calibri"/>
                            <w:sz w:val="2"/>
                          </w:rPr>
                        </w:pPr>
                      </w:p>
                      <w:p w14:paraId="6FC1501A"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62ADBB8" w14:textId="77777777" w:rsidR="00F65BCA" w:rsidRDefault="00F65BCA">
                        <w:pPr>
                          <w:pStyle w:val="TableParagraph"/>
                          <w:rPr>
                            <w:rFonts w:ascii="Calibri"/>
                            <w:sz w:val="2"/>
                          </w:rPr>
                        </w:pPr>
                      </w:p>
                      <w:p w14:paraId="153C1FCD" w14:textId="77777777" w:rsidR="00F65BCA" w:rsidRDefault="00F65BCA">
                        <w:pPr>
                          <w:pStyle w:val="TableParagraph"/>
                          <w:spacing w:before="8"/>
                          <w:rPr>
                            <w:rFonts w:ascii="Calibri"/>
                            <w:sz w:val="2"/>
                          </w:rPr>
                        </w:pPr>
                      </w:p>
                      <w:p w14:paraId="3E9CBBE9"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DE1BB94"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77E5DFC0" w14:textId="77777777" w:rsidR="00F65BCA" w:rsidRDefault="00F65BCA">
                        <w:pPr>
                          <w:pStyle w:val="TableParagraph"/>
                          <w:rPr>
                            <w:rFonts w:ascii="Calibri"/>
                            <w:sz w:val="2"/>
                          </w:rPr>
                        </w:pPr>
                      </w:p>
                      <w:p w14:paraId="48C5B16D" w14:textId="77777777" w:rsidR="00F65BCA" w:rsidRDefault="00F65BCA">
                        <w:pPr>
                          <w:pStyle w:val="TableParagraph"/>
                          <w:spacing w:before="8"/>
                          <w:rPr>
                            <w:rFonts w:ascii="Calibri"/>
                            <w:sz w:val="2"/>
                          </w:rPr>
                        </w:pPr>
                      </w:p>
                      <w:p w14:paraId="633472FE" w14:textId="77777777" w:rsidR="00F65BCA" w:rsidRDefault="00216117">
                        <w:pPr>
                          <w:pStyle w:val="TableParagraph"/>
                          <w:ind w:left="24" w:right="24"/>
                          <w:jc w:val="center"/>
                          <w:rPr>
                            <w:sz w:val="3"/>
                          </w:rPr>
                        </w:pPr>
                        <w:r>
                          <w:rPr>
                            <w:w w:val="105"/>
                            <w:sz w:val="3"/>
                          </w:rPr>
                          <w:t>1,34479738%</w:t>
                        </w:r>
                      </w:p>
                    </w:tc>
                    <w:tc>
                      <w:tcPr>
                        <w:tcW w:w="288" w:type="dxa"/>
                        <w:tcBorders>
                          <w:top w:val="single" w:sz="2" w:space="0" w:color="000000"/>
                          <w:left w:val="single" w:sz="2" w:space="0" w:color="000000"/>
                          <w:bottom w:val="single" w:sz="2" w:space="0" w:color="000000"/>
                          <w:right w:val="single" w:sz="2" w:space="0" w:color="000000"/>
                        </w:tcBorders>
                      </w:tcPr>
                      <w:p w14:paraId="6E2C76A7" w14:textId="77777777" w:rsidR="00F65BCA" w:rsidRDefault="00F65BCA">
                        <w:pPr>
                          <w:pStyle w:val="TableParagraph"/>
                          <w:rPr>
                            <w:rFonts w:ascii="Calibri"/>
                            <w:sz w:val="2"/>
                          </w:rPr>
                        </w:pPr>
                      </w:p>
                      <w:p w14:paraId="3AD0D297" w14:textId="77777777" w:rsidR="00F65BCA" w:rsidRDefault="00F65BCA">
                        <w:pPr>
                          <w:pStyle w:val="TableParagraph"/>
                          <w:spacing w:before="8"/>
                          <w:rPr>
                            <w:rFonts w:ascii="Calibri"/>
                            <w:sz w:val="2"/>
                          </w:rPr>
                        </w:pPr>
                      </w:p>
                      <w:p w14:paraId="782BB050" w14:textId="77777777" w:rsidR="00F65BCA" w:rsidRDefault="00216117">
                        <w:pPr>
                          <w:pStyle w:val="TableParagraph"/>
                          <w:ind w:left="24" w:right="24"/>
                          <w:jc w:val="center"/>
                          <w:rPr>
                            <w:sz w:val="3"/>
                          </w:rPr>
                        </w:pPr>
                        <w:r>
                          <w:rPr>
                            <w:w w:val="105"/>
                            <w:sz w:val="3"/>
                          </w:rPr>
                          <w:t>1,26074754%</w:t>
                        </w:r>
                      </w:p>
                    </w:tc>
                    <w:tc>
                      <w:tcPr>
                        <w:tcW w:w="288" w:type="dxa"/>
                        <w:tcBorders>
                          <w:top w:val="single" w:sz="2" w:space="0" w:color="000000"/>
                          <w:left w:val="single" w:sz="2" w:space="0" w:color="000000"/>
                          <w:bottom w:val="single" w:sz="2" w:space="0" w:color="000000"/>
                          <w:right w:val="single" w:sz="2" w:space="0" w:color="000000"/>
                        </w:tcBorders>
                      </w:tcPr>
                      <w:p w14:paraId="3F17D583" w14:textId="77777777" w:rsidR="00F65BCA" w:rsidRDefault="00F65BCA">
                        <w:pPr>
                          <w:pStyle w:val="TableParagraph"/>
                          <w:rPr>
                            <w:rFonts w:ascii="Calibri"/>
                            <w:sz w:val="2"/>
                          </w:rPr>
                        </w:pPr>
                      </w:p>
                      <w:p w14:paraId="1066E486" w14:textId="77777777" w:rsidR="00F65BCA" w:rsidRDefault="00F65BCA">
                        <w:pPr>
                          <w:pStyle w:val="TableParagraph"/>
                          <w:spacing w:before="8"/>
                          <w:rPr>
                            <w:rFonts w:ascii="Calibri"/>
                            <w:sz w:val="2"/>
                          </w:rPr>
                        </w:pPr>
                      </w:p>
                      <w:p w14:paraId="5659ABAA" w14:textId="77777777" w:rsidR="00F65BCA" w:rsidRDefault="00216117">
                        <w:pPr>
                          <w:pStyle w:val="TableParagraph"/>
                          <w:ind w:left="24" w:right="24"/>
                          <w:jc w:val="center"/>
                          <w:rPr>
                            <w:sz w:val="3"/>
                          </w:rPr>
                        </w:pPr>
                        <w:r>
                          <w:rPr>
                            <w:w w:val="105"/>
                            <w:sz w:val="3"/>
                          </w:rPr>
                          <w:t>1,20191265%</w:t>
                        </w:r>
                      </w:p>
                    </w:tc>
                    <w:tc>
                      <w:tcPr>
                        <w:tcW w:w="288" w:type="dxa"/>
                        <w:tcBorders>
                          <w:top w:val="single" w:sz="2" w:space="0" w:color="000000"/>
                          <w:left w:val="single" w:sz="2" w:space="0" w:color="000000"/>
                          <w:bottom w:val="single" w:sz="2" w:space="0" w:color="000000"/>
                          <w:right w:val="single" w:sz="2" w:space="0" w:color="000000"/>
                        </w:tcBorders>
                      </w:tcPr>
                      <w:p w14:paraId="491B816F" w14:textId="77777777" w:rsidR="00F65BCA" w:rsidRDefault="00F65BCA">
                        <w:pPr>
                          <w:pStyle w:val="TableParagraph"/>
                          <w:rPr>
                            <w:rFonts w:ascii="Calibri"/>
                            <w:sz w:val="2"/>
                          </w:rPr>
                        </w:pPr>
                      </w:p>
                      <w:p w14:paraId="3F414FA6" w14:textId="77777777" w:rsidR="00F65BCA" w:rsidRDefault="00F65BCA">
                        <w:pPr>
                          <w:pStyle w:val="TableParagraph"/>
                          <w:spacing w:before="8"/>
                          <w:rPr>
                            <w:rFonts w:ascii="Calibri"/>
                            <w:sz w:val="2"/>
                          </w:rPr>
                        </w:pPr>
                      </w:p>
                      <w:p w14:paraId="4799625B" w14:textId="77777777" w:rsidR="00F65BCA" w:rsidRDefault="00216117">
                        <w:pPr>
                          <w:pStyle w:val="TableParagraph"/>
                          <w:ind w:left="24" w:right="24"/>
                          <w:jc w:val="center"/>
                          <w:rPr>
                            <w:sz w:val="3"/>
                          </w:rPr>
                        </w:pPr>
                        <w:r>
                          <w:rPr>
                            <w:w w:val="105"/>
                            <w:sz w:val="3"/>
                          </w:rPr>
                          <w:t>1,13467279%</w:t>
                        </w:r>
                      </w:p>
                    </w:tc>
                    <w:tc>
                      <w:tcPr>
                        <w:tcW w:w="288" w:type="dxa"/>
                        <w:tcBorders>
                          <w:top w:val="single" w:sz="2" w:space="0" w:color="000000"/>
                          <w:left w:val="single" w:sz="2" w:space="0" w:color="000000"/>
                          <w:bottom w:val="single" w:sz="2" w:space="0" w:color="000000"/>
                          <w:right w:val="single" w:sz="2" w:space="0" w:color="000000"/>
                        </w:tcBorders>
                      </w:tcPr>
                      <w:p w14:paraId="625F08BC" w14:textId="77777777" w:rsidR="00F65BCA" w:rsidRDefault="00F65BCA">
                        <w:pPr>
                          <w:pStyle w:val="TableParagraph"/>
                          <w:rPr>
                            <w:rFonts w:ascii="Calibri"/>
                            <w:sz w:val="2"/>
                          </w:rPr>
                        </w:pPr>
                      </w:p>
                      <w:p w14:paraId="72DEFFAB" w14:textId="77777777" w:rsidR="00F65BCA" w:rsidRDefault="00F65BCA">
                        <w:pPr>
                          <w:pStyle w:val="TableParagraph"/>
                          <w:spacing w:before="8"/>
                          <w:rPr>
                            <w:rFonts w:ascii="Calibri"/>
                            <w:sz w:val="2"/>
                          </w:rPr>
                        </w:pPr>
                      </w:p>
                      <w:p w14:paraId="7003281F" w14:textId="77777777" w:rsidR="00F65BCA" w:rsidRDefault="00216117">
                        <w:pPr>
                          <w:pStyle w:val="TableParagraph"/>
                          <w:ind w:left="24" w:right="24"/>
                          <w:jc w:val="center"/>
                          <w:rPr>
                            <w:sz w:val="3"/>
                          </w:rPr>
                        </w:pPr>
                        <w:r>
                          <w:rPr>
                            <w:w w:val="105"/>
                            <w:sz w:val="3"/>
                          </w:rPr>
                          <w:t>1,07583790%</w:t>
                        </w:r>
                      </w:p>
                    </w:tc>
                    <w:tc>
                      <w:tcPr>
                        <w:tcW w:w="288" w:type="dxa"/>
                        <w:tcBorders>
                          <w:top w:val="single" w:sz="2" w:space="0" w:color="000000"/>
                          <w:left w:val="single" w:sz="2" w:space="0" w:color="000000"/>
                          <w:bottom w:val="single" w:sz="2" w:space="0" w:color="000000"/>
                          <w:right w:val="single" w:sz="2" w:space="0" w:color="000000"/>
                        </w:tcBorders>
                      </w:tcPr>
                      <w:p w14:paraId="442727C5" w14:textId="77777777" w:rsidR="00F65BCA" w:rsidRDefault="00F65BCA">
                        <w:pPr>
                          <w:pStyle w:val="TableParagraph"/>
                          <w:rPr>
                            <w:rFonts w:ascii="Calibri"/>
                            <w:sz w:val="2"/>
                          </w:rPr>
                        </w:pPr>
                      </w:p>
                      <w:p w14:paraId="2D2D89CF" w14:textId="77777777" w:rsidR="00F65BCA" w:rsidRDefault="00F65BCA">
                        <w:pPr>
                          <w:pStyle w:val="TableParagraph"/>
                          <w:spacing w:before="8"/>
                          <w:rPr>
                            <w:rFonts w:ascii="Calibri"/>
                            <w:sz w:val="2"/>
                          </w:rPr>
                        </w:pPr>
                      </w:p>
                      <w:p w14:paraId="470C8A7D" w14:textId="77777777" w:rsidR="00F65BCA" w:rsidRDefault="00216117">
                        <w:pPr>
                          <w:pStyle w:val="TableParagraph"/>
                          <w:ind w:left="24" w:right="24"/>
                          <w:jc w:val="center"/>
                          <w:rPr>
                            <w:sz w:val="3"/>
                          </w:rPr>
                        </w:pPr>
                        <w:r>
                          <w:rPr>
                            <w:w w:val="105"/>
                            <w:sz w:val="3"/>
                          </w:rPr>
                          <w:t>1,00019305%</w:t>
                        </w:r>
                      </w:p>
                    </w:tc>
                    <w:tc>
                      <w:tcPr>
                        <w:tcW w:w="288" w:type="dxa"/>
                        <w:tcBorders>
                          <w:top w:val="single" w:sz="2" w:space="0" w:color="000000"/>
                          <w:left w:val="single" w:sz="2" w:space="0" w:color="000000"/>
                          <w:bottom w:val="single" w:sz="2" w:space="0" w:color="000000"/>
                          <w:right w:val="single" w:sz="2" w:space="0" w:color="000000"/>
                        </w:tcBorders>
                      </w:tcPr>
                      <w:p w14:paraId="4729B168" w14:textId="77777777" w:rsidR="00F65BCA" w:rsidRDefault="00F65BCA">
                        <w:pPr>
                          <w:pStyle w:val="TableParagraph"/>
                          <w:rPr>
                            <w:rFonts w:ascii="Calibri"/>
                            <w:sz w:val="2"/>
                          </w:rPr>
                        </w:pPr>
                      </w:p>
                      <w:p w14:paraId="2587AE03" w14:textId="77777777" w:rsidR="00F65BCA" w:rsidRDefault="00F65BCA">
                        <w:pPr>
                          <w:pStyle w:val="TableParagraph"/>
                          <w:spacing w:before="8"/>
                          <w:rPr>
                            <w:rFonts w:ascii="Calibri"/>
                            <w:sz w:val="2"/>
                          </w:rPr>
                        </w:pPr>
                      </w:p>
                      <w:p w14:paraId="612B6AA7" w14:textId="77777777" w:rsidR="00F65BCA" w:rsidRDefault="00216117">
                        <w:pPr>
                          <w:pStyle w:val="TableParagraph"/>
                          <w:ind w:left="24" w:right="24"/>
                          <w:jc w:val="center"/>
                          <w:rPr>
                            <w:sz w:val="3"/>
                          </w:rPr>
                        </w:pPr>
                        <w:r>
                          <w:rPr>
                            <w:w w:val="105"/>
                            <w:sz w:val="3"/>
                          </w:rPr>
                          <w:t>0,92454820%</w:t>
                        </w:r>
                      </w:p>
                    </w:tc>
                    <w:tc>
                      <w:tcPr>
                        <w:tcW w:w="288" w:type="dxa"/>
                        <w:tcBorders>
                          <w:top w:val="single" w:sz="2" w:space="0" w:color="000000"/>
                          <w:left w:val="single" w:sz="2" w:space="0" w:color="000000"/>
                          <w:bottom w:val="single" w:sz="2" w:space="0" w:color="000000"/>
                          <w:right w:val="single" w:sz="2" w:space="0" w:color="000000"/>
                        </w:tcBorders>
                      </w:tcPr>
                      <w:p w14:paraId="59A76008" w14:textId="77777777" w:rsidR="00F65BCA" w:rsidRDefault="00F65BCA">
                        <w:pPr>
                          <w:pStyle w:val="TableParagraph"/>
                          <w:rPr>
                            <w:rFonts w:ascii="Calibri"/>
                            <w:sz w:val="2"/>
                          </w:rPr>
                        </w:pPr>
                      </w:p>
                      <w:p w14:paraId="051C0B2C" w14:textId="77777777" w:rsidR="00F65BCA" w:rsidRDefault="00F65BCA">
                        <w:pPr>
                          <w:pStyle w:val="TableParagraph"/>
                          <w:spacing w:before="8"/>
                          <w:rPr>
                            <w:rFonts w:ascii="Calibri"/>
                            <w:sz w:val="2"/>
                          </w:rPr>
                        </w:pPr>
                      </w:p>
                      <w:p w14:paraId="1FE5388E" w14:textId="77777777" w:rsidR="00F65BCA" w:rsidRDefault="00216117">
                        <w:pPr>
                          <w:pStyle w:val="TableParagraph"/>
                          <w:ind w:left="24" w:right="24"/>
                          <w:jc w:val="center"/>
                          <w:rPr>
                            <w:sz w:val="3"/>
                          </w:rPr>
                        </w:pPr>
                        <w:r>
                          <w:rPr>
                            <w:w w:val="105"/>
                            <w:sz w:val="3"/>
                          </w:rPr>
                          <w:t>0,84049836%</w:t>
                        </w:r>
                      </w:p>
                    </w:tc>
                    <w:tc>
                      <w:tcPr>
                        <w:tcW w:w="288" w:type="dxa"/>
                        <w:tcBorders>
                          <w:top w:val="single" w:sz="2" w:space="0" w:color="000000"/>
                          <w:left w:val="single" w:sz="2" w:space="0" w:color="000000"/>
                          <w:bottom w:val="single" w:sz="2" w:space="0" w:color="000000"/>
                          <w:right w:val="single" w:sz="2" w:space="0" w:color="000000"/>
                        </w:tcBorders>
                      </w:tcPr>
                      <w:p w14:paraId="37B76173" w14:textId="77777777" w:rsidR="00F65BCA" w:rsidRDefault="00F65BCA">
                        <w:pPr>
                          <w:pStyle w:val="TableParagraph"/>
                          <w:rPr>
                            <w:rFonts w:ascii="Calibri"/>
                            <w:sz w:val="2"/>
                          </w:rPr>
                        </w:pPr>
                      </w:p>
                      <w:p w14:paraId="112245A8" w14:textId="77777777" w:rsidR="00F65BCA" w:rsidRDefault="00F65BCA">
                        <w:pPr>
                          <w:pStyle w:val="TableParagraph"/>
                          <w:spacing w:before="8"/>
                          <w:rPr>
                            <w:rFonts w:ascii="Calibri"/>
                            <w:sz w:val="2"/>
                          </w:rPr>
                        </w:pPr>
                      </w:p>
                      <w:p w14:paraId="6AD6FF71" w14:textId="77777777" w:rsidR="00F65BCA" w:rsidRDefault="00216117">
                        <w:pPr>
                          <w:pStyle w:val="TableParagraph"/>
                          <w:ind w:left="24" w:right="24"/>
                          <w:jc w:val="center"/>
                          <w:rPr>
                            <w:sz w:val="3"/>
                          </w:rPr>
                        </w:pPr>
                        <w:r>
                          <w:rPr>
                            <w:w w:val="105"/>
                            <w:sz w:val="3"/>
                          </w:rPr>
                          <w:t>0,84049836%</w:t>
                        </w:r>
                      </w:p>
                    </w:tc>
                    <w:tc>
                      <w:tcPr>
                        <w:tcW w:w="288" w:type="dxa"/>
                        <w:tcBorders>
                          <w:top w:val="single" w:sz="2" w:space="0" w:color="000000"/>
                          <w:left w:val="single" w:sz="2" w:space="0" w:color="000000"/>
                          <w:bottom w:val="single" w:sz="2" w:space="0" w:color="000000"/>
                          <w:right w:val="single" w:sz="2" w:space="0" w:color="000000"/>
                        </w:tcBorders>
                      </w:tcPr>
                      <w:p w14:paraId="551281D8" w14:textId="77777777" w:rsidR="00F65BCA" w:rsidRDefault="00F65BCA">
                        <w:pPr>
                          <w:pStyle w:val="TableParagraph"/>
                          <w:rPr>
                            <w:rFonts w:ascii="Calibri"/>
                            <w:sz w:val="2"/>
                          </w:rPr>
                        </w:pPr>
                      </w:p>
                      <w:p w14:paraId="420C159C" w14:textId="77777777" w:rsidR="00F65BCA" w:rsidRDefault="00F65BCA">
                        <w:pPr>
                          <w:pStyle w:val="TableParagraph"/>
                          <w:spacing w:before="8"/>
                          <w:rPr>
                            <w:rFonts w:ascii="Calibri"/>
                            <w:sz w:val="2"/>
                          </w:rPr>
                        </w:pPr>
                      </w:p>
                      <w:p w14:paraId="64A5C8DA" w14:textId="77777777" w:rsidR="00F65BCA" w:rsidRDefault="00216117">
                        <w:pPr>
                          <w:pStyle w:val="TableParagraph"/>
                          <w:ind w:left="24" w:right="24"/>
                          <w:jc w:val="center"/>
                          <w:rPr>
                            <w:sz w:val="3"/>
                          </w:rPr>
                        </w:pPr>
                        <w:r>
                          <w:rPr>
                            <w:w w:val="105"/>
                            <w:sz w:val="3"/>
                          </w:rPr>
                          <w:t>1,00859803%</w:t>
                        </w:r>
                      </w:p>
                    </w:tc>
                    <w:tc>
                      <w:tcPr>
                        <w:tcW w:w="288" w:type="dxa"/>
                        <w:tcBorders>
                          <w:top w:val="single" w:sz="2" w:space="0" w:color="000000"/>
                          <w:left w:val="single" w:sz="2" w:space="0" w:color="000000"/>
                          <w:bottom w:val="single" w:sz="2" w:space="0" w:color="000000"/>
                          <w:right w:val="single" w:sz="2" w:space="0" w:color="000000"/>
                        </w:tcBorders>
                      </w:tcPr>
                      <w:p w14:paraId="47174277" w14:textId="77777777" w:rsidR="00F65BCA" w:rsidRDefault="00F65BCA">
                        <w:pPr>
                          <w:pStyle w:val="TableParagraph"/>
                          <w:rPr>
                            <w:rFonts w:ascii="Calibri"/>
                            <w:sz w:val="2"/>
                          </w:rPr>
                        </w:pPr>
                      </w:p>
                      <w:p w14:paraId="625D9EF4" w14:textId="77777777" w:rsidR="00F65BCA" w:rsidRDefault="00F65BCA">
                        <w:pPr>
                          <w:pStyle w:val="TableParagraph"/>
                          <w:spacing w:before="8"/>
                          <w:rPr>
                            <w:rFonts w:ascii="Calibri"/>
                            <w:sz w:val="2"/>
                          </w:rPr>
                        </w:pPr>
                      </w:p>
                      <w:p w14:paraId="3CA7DAAC" w14:textId="77777777" w:rsidR="00F65BCA" w:rsidRDefault="00216117">
                        <w:pPr>
                          <w:pStyle w:val="TableParagraph"/>
                          <w:ind w:left="24" w:right="24"/>
                          <w:jc w:val="center"/>
                          <w:rPr>
                            <w:sz w:val="3"/>
                          </w:rPr>
                        </w:pPr>
                        <w:r>
                          <w:rPr>
                            <w:w w:val="105"/>
                            <w:sz w:val="3"/>
                          </w:rPr>
                          <w:t>1,13467279%</w:t>
                        </w:r>
                      </w:p>
                    </w:tc>
                    <w:tc>
                      <w:tcPr>
                        <w:tcW w:w="288" w:type="dxa"/>
                        <w:tcBorders>
                          <w:top w:val="single" w:sz="2" w:space="0" w:color="000000"/>
                          <w:left w:val="single" w:sz="2" w:space="0" w:color="000000"/>
                          <w:bottom w:val="single" w:sz="2" w:space="0" w:color="000000"/>
                          <w:right w:val="single" w:sz="2" w:space="0" w:color="000000"/>
                        </w:tcBorders>
                      </w:tcPr>
                      <w:p w14:paraId="0E7CBEC5" w14:textId="77777777" w:rsidR="00F65BCA" w:rsidRDefault="00F65BCA">
                        <w:pPr>
                          <w:pStyle w:val="TableParagraph"/>
                          <w:rPr>
                            <w:rFonts w:ascii="Calibri"/>
                            <w:sz w:val="2"/>
                          </w:rPr>
                        </w:pPr>
                      </w:p>
                      <w:p w14:paraId="62AF4D94" w14:textId="77777777" w:rsidR="00F65BCA" w:rsidRDefault="00F65BCA">
                        <w:pPr>
                          <w:pStyle w:val="TableParagraph"/>
                          <w:spacing w:before="8"/>
                          <w:rPr>
                            <w:rFonts w:ascii="Calibri"/>
                            <w:sz w:val="2"/>
                          </w:rPr>
                        </w:pPr>
                      </w:p>
                      <w:p w14:paraId="7A400193" w14:textId="77777777" w:rsidR="00F65BCA" w:rsidRDefault="00216117">
                        <w:pPr>
                          <w:pStyle w:val="TableParagraph"/>
                          <w:ind w:left="24" w:right="24"/>
                          <w:jc w:val="center"/>
                          <w:rPr>
                            <w:sz w:val="3"/>
                          </w:rPr>
                        </w:pPr>
                        <w:r>
                          <w:rPr>
                            <w:w w:val="105"/>
                            <w:sz w:val="3"/>
                          </w:rPr>
                          <w:t>1,13467279%</w:t>
                        </w:r>
                      </w:p>
                    </w:tc>
                    <w:tc>
                      <w:tcPr>
                        <w:tcW w:w="288" w:type="dxa"/>
                        <w:tcBorders>
                          <w:top w:val="single" w:sz="2" w:space="0" w:color="000000"/>
                          <w:left w:val="single" w:sz="2" w:space="0" w:color="000000"/>
                          <w:bottom w:val="single" w:sz="2" w:space="0" w:color="000000"/>
                          <w:right w:val="single" w:sz="2" w:space="0" w:color="000000"/>
                        </w:tcBorders>
                      </w:tcPr>
                      <w:p w14:paraId="04896A4E" w14:textId="77777777" w:rsidR="00F65BCA" w:rsidRDefault="00F65BCA">
                        <w:pPr>
                          <w:pStyle w:val="TableParagraph"/>
                          <w:rPr>
                            <w:rFonts w:ascii="Calibri"/>
                            <w:sz w:val="2"/>
                          </w:rPr>
                        </w:pPr>
                      </w:p>
                      <w:p w14:paraId="26BFD63A" w14:textId="77777777" w:rsidR="00F65BCA" w:rsidRDefault="00F65BCA">
                        <w:pPr>
                          <w:pStyle w:val="TableParagraph"/>
                          <w:spacing w:before="8"/>
                          <w:rPr>
                            <w:rFonts w:ascii="Calibri"/>
                            <w:sz w:val="2"/>
                          </w:rPr>
                        </w:pPr>
                      </w:p>
                      <w:p w14:paraId="288A4923" w14:textId="77777777" w:rsidR="00F65BCA" w:rsidRDefault="00216117">
                        <w:pPr>
                          <w:pStyle w:val="TableParagraph"/>
                          <w:ind w:left="24" w:right="24"/>
                          <w:jc w:val="center"/>
                          <w:rPr>
                            <w:sz w:val="3"/>
                          </w:rPr>
                        </w:pPr>
                        <w:r>
                          <w:rPr>
                            <w:w w:val="105"/>
                            <w:sz w:val="3"/>
                          </w:rPr>
                          <w:t>1,26074754%</w:t>
                        </w:r>
                      </w:p>
                    </w:tc>
                  </w:tr>
                  <w:tr w:rsidR="00F65BCA" w14:paraId="415BCD8A" w14:textId="77777777">
                    <w:trPr>
                      <w:trHeight w:val="146"/>
                    </w:trPr>
                    <w:tc>
                      <w:tcPr>
                        <w:tcW w:w="526" w:type="dxa"/>
                        <w:vMerge/>
                        <w:tcBorders>
                          <w:top w:val="nil"/>
                          <w:left w:val="single" w:sz="2" w:space="0" w:color="000000"/>
                          <w:bottom w:val="nil"/>
                          <w:right w:val="single" w:sz="2" w:space="0" w:color="000000"/>
                        </w:tcBorders>
                        <w:shd w:val="clear" w:color="auto" w:fill="FCE4D6"/>
                      </w:tcPr>
                      <w:p w14:paraId="7FE60E7C"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37C6A0C3"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5A121A1A"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380394E" w14:textId="77777777" w:rsidR="00F65BCA" w:rsidRDefault="00F65BCA">
                        <w:pPr>
                          <w:pStyle w:val="TableParagraph"/>
                          <w:rPr>
                            <w:rFonts w:ascii="Calibri"/>
                            <w:sz w:val="2"/>
                          </w:rPr>
                        </w:pPr>
                      </w:p>
                      <w:p w14:paraId="6923215A" w14:textId="77777777" w:rsidR="00F65BCA" w:rsidRDefault="00F65BCA">
                        <w:pPr>
                          <w:pStyle w:val="TableParagraph"/>
                          <w:spacing w:before="8"/>
                          <w:rPr>
                            <w:rFonts w:ascii="Calibri"/>
                            <w:sz w:val="2"/>
                          </w:rPr>
                        </w:pPr>
                      </w:p>
                      <w:p w14:paraId="03C3667F"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A3FBFB8" w14:textId="77777777" w:rsidR="00F65BCA" w:rsidRDefault="00F65BCA">
                        <w:pPr>
                          <w:pStyle w:val="TableParagraph"/>
                          <w:rPr>
                            <w:rFonts w:ascii="Calibri"/>
                            <w:sz w:val="2"/>
                          </w:rPr>
                        </w:pPr>
                      </w:p>
                      <w:p w14:paraId="7AAAEEC6" w14:textId="77777777" w:rsidR="00F65BCA" w:rsidRDefault="00F65BCA">
                        <w:pPr>
                          <w:pStyle w:val="TableParagraph"/>
                          <w:spacing w:before="8"/>
                          <w:rPr>
                            <w:rFonts w:ascii="Calibri"/>
                            <w:sz w:val="2"/>
                          </w:rPr>
                        </w:pPr>
                      </w:p>
                      <w:p w14:paraId="0A9728BB"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40238B7"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4446B9D1" w14:textId="77777777" w:rsidR="00F65BCA" w:rsidRDefault="00F65BCA">
                        <w:pPr>
                          <w:pStyle w:val="TableParagraph"/>
                          <w:rPr>
                            <w:rFonts w:ascii="Calibri"/>
                            <w:sz w:val="2"/>
                          </w:rPr>
                        </w:pPr>
                      </w:p>
                      <w:p w14:paraId="685371FF" w14:textId="77777777" w:rsidR="00F65BCA" w:rsidRDefault="00F65BCA">
                        <w:pPr>
                          <w:pStyle w:val="TableParagraph"/>
                          <w:spacing w:before="8"/>
                          <w:rPr>
                            <w:rFonts w:ascii="Calibri"/>
                            <w:sz w:val="2"/>
                          </w:rPr>
                        </w:pPr>
                      </w:p>
                      <w:p w14:paraId="64493321" w14:textId="77777777" w:rsidR="00F65BCA" w:rsidRDefault="00216117">
                        <w:pPr>
                          <w:pStyle w:val="TableParagraph"/>
                          <w:ind w:left="24" w:right="24"/>
                          <w:jc w:val="center"/>
                          <w:rPr>
                            <w:sz w:val="3"/>
                          </w:rPr>
                        </w:pPr>
                        <w:r>
                          <w:rPr>
                            <w:w w:val="105"/>
                            <w:sz w:val="3"/>
                          </w:rPr>
                          <w:t>1,62451523%</w:t>
                        </w:r>
                      </w:p>
                    </w:tc>
                    <w:tc>
                      <w:tcPr>
                        <w:tcW w:w="288" w:type="dxa"/>
                        <w:tcBorders>
                          <w:top w:val="single" w:sz="2" w:space="0" w:color="000000"/>
                          <w:left w:val="single" w:sz="2" w:space="0" w:color="000000"/>
                          <w:bottom w:val="single" w:sz="2" w:space="0" w:color="000000"/>
                          <w:right w:val="single" w:sz="2" w:space="0" w:color="000000"/>
                        </w:tcBorders>
                      </w:tcPr>
                      <w:p w14:paraId="673B5D9D" w14:textId="77777777" w:rsidR="00F65BCA" w:rsidRDefault="00F65BCA">
                        <w:pPr>
                          <w:pStyle w:val="TableParagraph"/>
                          <w:rPr>
                            <w:rFonts w:ascii="Calibri"/>
                            <w:sz w:val="2"/>
                          </w:rPr>
                        </w:pPr>
                      </w:p>
                      <w:p w14:paraId="6B834E10" w14:textId="77777777" w:rsidR="00F65BCA" w:rsidRDefault="00F65BCA">
                        <w:pPr>
                          <w:pStyle w:val="TableParagraph"/>
                          <w:spacing w:before="8"/>
                          <w:rPr>
                            <w:rFonts w:ascii="Calibri"/>
                            <w:sz w:val="2"/>
                          </w:rPr>
                        </w:pPr>
                      </w:p>
                      <w:p w14:paraId="2756A996" w14:textId="77777777" w:rsidR="00F65BCA" w:rsidRDefault="00216117">
                        <w:pPr>
                          <w:pStyle w:val="TableParagraph"/>
                          <w:ind w:left="24" w:right="24"/>
                          <w:jc w:val="center"/>
                          <w:rPr>
                            <w:sz w:val="3"/>
                          </w:rPr>
                        </w:pPr>
                        <w:r>
                          <w:rPr>
                            <w:w w:val="105"/>
                            <w:sz w:val="3"/>
                          </w:rPr>
                          <w:t>1,52298303%</w:t>
                        </w:r>
                      </w:p>
                    </w:tc>
                    <w:tc>
                      <w:tcPr>
                        <w:tcW w:w="288" w:type="dxa"/>
                        <w:tcBorders>
                          <w:top w:val="single" w:sz="2" w:space="0" w:color="000000"/>
                          <w:left w:val="single" w:sz="2" w:space="0" w:color="000000"/>
                          <w:bottom w:val="single" w:sz="2" w:space="0" w:color="000000"/>
                          <w:right w:val="single" w:sz="2" w:space="0" w:color="000000"/>
                        </w:tcBorders>
                      </w:tcPr>
                      <w:p w14:paraId="42B49704" w14:textId="77777777" w:rsidR="00F65BCA" w:rsidRDefault="00F65BCA">
                        <w:pPr>
                          <w:pStyle w:val="TableParagraph"/>
                          <w:rPr>
                            <w:rFonts w:ascii="Calibri"/>
                            <w:sz w:val="2"/>
                          </w:rPr>
                        </w:pPr>
                      </w:p>
                      <w:p w14:paraId="25123EC9" w14:textId="77777777" w:rsidR="00F65BCA" w:rsidRDefault="00F65BCA">
                        <w:pPr>
                          <w:pStyle w:val="TableParagraph"/>
                          <w:spacing w:before="8"/>
                          <w:rPr>
                            <w:rFonts w:ascii="Calibri"/>
                            <w:sz w:val="2"/>
                          </w:rPr>
                        </w:pPr>
                      </w:p>
                      <w:p w14:paraId="47FF5FB0" w14:textId="77777777" w:rsidR="00F65BCA" w:rsidRDefault="00216117">
                        <w:pPr>
                          <w:pStyle w:val="TableParagraph"/>
                          <w:ind w:left="24" w:right="24"/>
                          <w:jc w:val="center"/>
                          <w:rPr>
                            <w:sz w:val="3"/>
                          </w:rPr>
                        </w:pPr>
                        <w:r>
                          <w:rPr>
                            <w:w w:val="105"/>
                            <w:sz w:val="3"/>
                          </w:rPr>
                          <w:t>1,45191049%</w:t>
                        </w:r>
                      </w:p>
                    </w:tc>
                    <w:tc>
                      <w:tcPr>
                        <w:tcW w:w="288" w:type="dxa"/>
                        <w:tcBorders>
                          <w:top w:val="single" w:sz="2" w:space="0" w:color="000000"/>
                          <w:left w:val="single" w:sz="2" w:space="0" w:color="000000"/>
                          <w:bottom w:val="single" w:sz="2" w:space="0" w:color="000000"/>
                          <w:right w:val="single" w:sz="2" w:space="0" w:color="000000"/>
                        </w:tcBorders>
                      </w:tcPr>
                      <w:p w14:paraId="2B06C565" w14:textId="77777777" w:rsidR="00F65BCA" w:rsidRDefault="00F65BCA">
                        <w:pPr>
                          <w:pStyle w:val="TableParagraph"/>
                          <w:rPr>
                            <w:rFonts w:ascii="Calibri"/>
                            <w:sz w:val="2"/>
                          </w:rPr>
                        </w:pPr>
                      </w:p>
                      <w:p w14:paraId="3DCF8118" w14:textId="77777777" w:rsidR="00F65BCA" w:rsidRDefault="00F65BCA">
                        <w:pPr>
                          <w:pStyle w:val="TableParagraph"/>
                          <w:spacing w:before="8"/>
                          <w:rPr>
                            <w:rFonts w:ascii="Calibri"/>
                            <w:sz w:val="2"/>
                          </w:rPr>
                        </w:pPr>
                      </w:p>
                      <w:p w14:paraId="5C98418B" w14:textId="77777777" w:rsidR="00F65BCA" w:rsidRDefault="00216117">
                        <w:pPr>
                          <w:pStyle w:val="TableParagraph"/>
                          <w:ind w:left="24" w:right="24"/>
                          <w:jc w:val="center"/>
                          <w:rPr>
                            <w:sz w:val="3"/>
                          </w:rPr>
                        </w:pPr>
                        <w:r>
                          <w:rPr>
                            <w:w w:val="105"/>
                            <w:sz w:val="3"/>
                          </w:rPr>
                          <w:t>1,37068473%</w:t>
                        </w:r>
                      </w:p>
                    </w:tc>
                    <w:tc>
                      <w:tcPr>
                        <w:tcW w:w="288" w:type="dxa"/>
                        <w:tcBorders>
                          <w:top w:val="single" w:sz="2" w:space="0" w:color="000000"/>
                          <w:left w:val="single" w:sz="2" w:space="0" w:color="000000"/>
                          <w:bottom w:val="single" w:sz="2" w:space="0" w:color="000000"/>
                          <w:right w:val="single" w:sz="2" w:space="0" w:color="000000"/>
                        </w:tcBorders>
                      </w:tcPr>
                      <w:p w14:paraId="58176ACE" w14:textId="77777777" w:rsidR="00F65BCA" w:rsidRDefault="00F65BCA">
                        <w:pPr>
                          <w:pStyle w:val="TableParagraph"/>
                          <w:rPr>
                            <w:rFonts w:ascii="Calibri"/>
                            <w:sz w:val="2"/>
                          </w:rPr>
                        </w:pPr>
                      </w:p>
                      <w:p w14:paraId="15693D9A" w14:textId="77777777" w:rsidR="00F65BCA" w:rsidRDefault="00F65BCA">
                        <w:pPr>
                          <w:pStyle w:val="TableParagraph"/>
                          <w:spacing w:before="8"/>
                          <w:rPr>
                            <w:rFonts w:ascii="Calibri"/>
                            <w:sz w:val="2"/>
                          </w:rPr>
                        </w:pPr>
                      </w:p>
                      <w:p w14:paraId="016CEB7B" w14:textId="77777777" w:rsidR="00F65BCA" w:rsidRDefault="00216117">
                        <w:pPr>
                          <w:pStyle w:val="TableParagraph"/>
                          <w:ind w:left="24" w:right="24"/>
                          <w:jc w:val="center"/>
                          <w:rPr>
                            <w:sz w:val="3"/>
                          </w:rPr>
                        </w:pPr>
                        <w:r>
                          <w:rPr>
                            <w:w w:val="105"/>
                            <w:sz w:val="3"/>
                          </w:rPr>
                          <w:t>1,29961218%</w:t>
                        </w:r>
                      </w:p>
                    </w:tc>
                    <w:tc>
                      <w:tcPr>
                        <w:tcW w:w="288" w:type="dxa"/>
                        <w:tcBorders>
                          <w:top w:val="single" w:sz="2" w:space="0" w:color="000000"/>
                          <w:left w:val="single" w:sz="2" w:space="0" w:color="000000"/>
                          <w:bottom w:val="single" w:sz="2" w:space="0" w:color="000000"/>
                          <w:right w:val="single" w:sz="2" w:space="0" w:color="000000"/>
                        </w:tcBorders>
                      </w:tcPr>
                      <w:p w14:paraId="4A927971" w14:textId="77777777" w:rsidR="00F65BCA" w:rsidRDefault="00F65BCA">
                        <w:pPr>
                          <w:pStyle w:val="TableParagraph"/>
                          <w:rPr>
                            <w:rFonts w:ascii="Calibri"/>
                            <w:sz w:val="2"/>
                          </w:rPr>
                        </w:pPr>
                      </w:p>
                      <w:p w14:paraId="7049C0E3" w14:textId="77777777" w:rsidR="00F65BCA" w:rsidRDefault="00F65BCA">
                        <w:pPr>
                          <w:pStyle w:val="TableParagraph"/>
                          <w:spacing w:before="8"/>
                          <w:rPr>
                            <w:rFonts w:ascii="Calibri"/>
                            <w:sz w:val="2"/>
                          </w:rPr>
                        </w:pPr>
                      </w:p>
                      <w:p w14:paraId="5879ABCA" w14:textId="77777777" w:rsidR="00F65BCA" w:rsidRDefault="00216117">
                        <w:pPr>
                          <w:pStyle w:val="TableParagraph"/>
                          <w:ind w:left="24" w:right="24"/>
                          <w:jc w:val="center"/>
                          <w:rPr>
                            <w:sz w:val="3"/>
                          </w:rPr>
                        </w:pPr>
                        <w:r>
                          <w:rPr>
                            <w:w w:val="105"/>
                            <w:sz w:val="3"/>
                          </w:rPr>
                          <w:t>1,20823320%</w:t>
                        </w:r>
                      </w:p>
                    </w:tc>
                    <w:tc>
                      <w:tcPr>
                        <w:tcW w:w="288" w:type="dxa"/>
                        <w:tcBorders>
                          <w:top w:val="single" w:sz="2" w:space="0" w:color="000000"/>
                          <w:left w:val="single" w:sz="2" w:space="0" w:color="000000"/>
                          <w:bottom w:val="single" w:sz="2" w:space="0" w:color="000000"/>
                          <w:right w:val="single" w:sz="2" w:space="0" w:color="000000"/>
                        </w:tcBorders>
                      </w:tcPr>
                      <w:p w14:paraId="4EC050CE" w14:textId="77777777" w:rsidR="00F65BCA" w:rsidRDefault="00F65BCA">
                        <w:pPr>
                          <w:pStyle w:val="TableParagraph"/>
                          <w:rPr>
                            <w:rFonts w:ascii="Calibri"/>
                            <w:sz w:val="2"/>
                          </w:rPr>
                        </w:pPr>
                      </w:p>
                      <w:p w14:paraId="42E8C24E" w14:textId="77777777" w:rsidR="00F65BCA" w:rsidRDefault="00F65BCA">
                        <w:pPr>
                          <w:pStyle w:val="TableParagraph"/>
                          <w:spacing w:before="8"/>
                          <w:rPr>
                            <w:rFonts w:ascii="Calibri"/>
                            <w:sz w:val="2"/>
                          </w:rPr>
                        </w:pPr>
                      </w:p>
                      <w:p w14:paraId="76731182" w14:textId="77777777" w:rsidR="00F65BCA" w:rsidRDefault="00216117">
                        <w:pPr>
                          <w:pStyle w:val="TableParagraph"/>
                          <w:ind w:left="24" w:right="24"/>
                          <w:jc w:val="center"/>
                          <w:rPr>
                            <w:sz w:val="3"/>
                          </w:rPr>
                        </w:pPr>
                        <w:r>
                          <w:rPr>
                            <w:w w:val="105"/>
                            <w:sz w:val="3"/>
                          </w:rPr>
                          <w:t>1,11685422%</w:t>
                        </w:r>
                      </w:p>
                    </w:tc>
                    <w:tc>
                      <w:tcPr>
                        <w:tcW w:w="288" w:type="dxa"/>
                        <w:tcBorders>
                          <w:top w:val="single" w:sz="2" w:space="0" w:color="000000"/>
                          <w:left w:val="single" w:sz="2" w:space="0" w:color="000000"/>
                          <w:bottom w:val="single" w:sz="2" w:space="0" w:color="000000"/>
                          <w:right w:val="single" w:sz="2" w:space="0" w:color="000000"/>
                        </w:tcBorders>
                      </w:tcPr>
                      <w:p w14:paraId="3773AD00" w14:textId="77777777" w:rsidR="00F65BCA" w:rsidRDefault="00F65BCA">
                        <w:pPr>
                          <w:pStyle w:val="TableParagraph"/>
                          <w:rPr>
                            <w:rFonts w:ascii="Calibri"/>
                            <w:sz w:val="2"/>
                          </w:rPr>
                        </w:pPr>
                      </w:p>
                      <w:p w14:paraId="6BC0ADBE" w14:textId="77777777" w:rsidR="00F65BCA" w:rsidRDefault="00F65BCA">
                        <w:pPr>
                          <w:pStyle w:val="TableParagraph"/>
                          <w:spacing w:before="8"/>
                          <w:rPr>
                            <w:rFonts w:ascii="Calibri"/>
                            <w:sz w:val="2"/>
                          </w:rPr>
                        </w:pPr>
                      </w:p>
                      <w:p w14:paraId="59D63C92" w14:textId="77777777" w:rsidR="00F65BCA" w:rsidRDefault="00216117">
                        <w:pPr>
                          <w:pStyle w:val="TableParagraph"/>
                          <w:ind w:left="24" w:right="24"/>
                          <w:jc w:val="center"/>
                          <w:rPr>
                            <w:sz w:val="3"/>
                          </w:rPr>
                        </w:pPr>
                        <w:r>
                          <w:rPr>
                            <w:w w:val="105"/>
                            <w:sz w:val="3"/>
                          </w:rPr>
                          <w:t>1,01532202%</w:t>
                        </w:r>
                      </w:p>
                    </w:tc>
                    <w:tc>
                      <w:tcPr>
                        <w:tcW w:w="288" w:type="dxa"/>
                        <w:tcBorders>
                          <w:top w:val="single" w:sz="2" w:space="0" w:color="000000"/>
                          <w:left w:val="single" w:sz="2" w:space="0" w:color="000000"/>
                          <w:bottom w:val="single" w:sz="2" w:space="0" w:color="000000"/>
                          <w:right w:val="single" w:sz="2" w:space="0" w:color="000000"/>
                        </w:tcBorders>
                      </w:tcPr>
                      <w:p w14:paraId="0ADE9245" w14:textId="77777777" w:rsidR="00F65BCA" w:rsidRDefault="00F65BCA">
                        <w:pPr>
                          <w:pStyle w:val="TableParagraph"/>
                          <w:rPr>
                            <w:rFonts w:ascii="Calibri"/>
                            <w:sz w:val="2"/>
                          </w:rPr>
                        </w:pPr>
                      </w:p>
                      <w:p w14:paraId="179E23C1" w14:textId="77777777" w:rsidR="00F65BCA" w:rsidRDefault="00F65BCA">
                        <w:pPr>
                          <w:pStyle w:val="TableParagraph"/>
                          <w:spacing w:before="8"/>
                          <w:rPr>
                            <w:rFonts w:ascii="Calibri"/>
                            <w:sz w:val="2"/>
                          </w:rPr>
                        </w:pPr>
                      </w:p>
                      <w:p w14:paraId="28CE6FEB" w14:textId="77777777" w:rsidR="00F65BCA" w:rsidRDefault="00216117">
                        <w:pPr>
                          <w:pStyle w:val="TableParagraph"/>
                          <w:ind w:left="24" w:right="24"/>
                          <w:jc w:val="center"/>
                          <w:rPr>
                            <w:sz w:val="3"/>
                          </w:rPr>
                        </w:pPr>
                        <w:r>
                          <w:rPr>
                            <w:w w:val="105"/>
                            <w:sz w:val="3"/>
                          </w:rPr>
                          <w:t>1,01532202%</w:t>
                        </w:r>
                      </w:p>
                    </w:tc>
                    <w:tc>
                      <w:tcPr>
                        <w:tcW w:w="288" w:type="dxa"/>
                        <w:tcBorders>
                          <w:top w:val="single" w:sz="2" w:space="0" w:color="000000"/>
                          <w:left w:val="single" w:sz="2" w:space="0" w:color="000000"/>
                          <w:bottom w:val="single" w:sz="2" w:space="0" w:color="000000"/>
                          <w:right w:val="single" w:sz="2" w:space="0" w:color="000000"/>
                        </w:tcBorders>
                      </w:tcPr>
                      <w:p w14:paraId="12A844D1" w14:textId="77777777" w:rsidR="00F65BCA" w:rsidRDefault="00F65BCA">
                        <w:pPr>
                          <w:pStyle w:val="TableParagraph"/>
                          <w:rPr>
                            <w:rFonts w:ascii="Calibri"/>
                            <w:sz w:val="2"/>
                          </w:rPr>
                        </w:pPr>
                      </w:p>
                      <w:p w14:paraId="5C64D37A" w14:textId="77777777" w:rsidR="00F65BCA" w:rsidRDefault="00F65BCA">
                        <w:pPr>
                          <w:pStyle w:val="TableParagraph"/>
                          <w:spacing w:before="8"/>
                          <w:rPr>
                            <w:rFonts w:ascii="Calibri"/>
                            <w:sz w:val="2"/>
                          </w:rPr>
                        </w:pPr>
                      </w:p>
                      <w:p w14:paraId="2311C916" w14:textId="77777777" w:rsidR="00F65BCA" w:rsidRDefault="00216117">
                        <w:pPr>
                          <w:pStyle w:val="TableParagraph"/>
                          <w:ind w:left="24" w:right="24"/>
                          <w:jc w:val="center"/>
                          <w:rPr>
                            <w:sz w:val="3"/>
                          </w:rPr>
                        </w:pPr>
                        <w:r>
                          <w:rPr>
                            <w:w w:val="105"/>
                            <w:sz w:val="3"/>
                          </w:rPr>
                          <w:t>1,21838642%</w:t>
                        </w:r>
                      </w:p>
                    </w:tc>
                    <w:tc>
                      <w:tcPr>
                        <w:tcW w:w="288" w:type="dxa"/>
                        <w:tcBorders>
                          <w:top w:val="single" w:sz="2" w:space="0" w:color="000000"/>
                          <w:left w:val="single" w:sz="2" w:space="0" w:color="000000"/>
                          <w:bottom w:val="single" w:sz="2" w:space="0" w:color="000000"/>
                          <w:right w:val="single" w:sz="2" w:space="0" w:color="000000"/>
                        </w:tcBorders>
                      </w:tcPr>
                      <w:p w14:paraId="7C5C1BB1" w14:textId="77777777" w:rsidR="00F65BCA" w:rsidRDefault="00F65BCA">
                        <w:pPr>
                          <w:pStyle w:val="TableParagraph"/>
                          <w:rPr>
                            <w:rFonts w:ascii="Calibri"/>
                            <w:sz w:val="2"/>
                          </w:rPr>
                        </w:pPr>
                      </w:p>
                      <w:p w14:paraId="749F592C" w14:textId="77777777" w:rsidR="00F65BCA" w:rsidRDefault="00F65BCA">
                        <w:pPr>
                          <w:pStyle w:val="TableParagraph"/>
                          <w:spacing w:before="8"/>
                          <w:rPr>
                            <w:rFonts w:ascii="Calibri"/>
                            <w:sz w:val="2"/>
                          </w:rPr>
                        </w:pPr>
                      </w:p>
                      <w:p w14:paraId="202CE133" w14:textId="77777777" w:rsidR="00F65BCA" w:rsidRDefault="00216117">
                        <w:pPr>
                          <w:pStyle w:val="TableParagraph"/>
                          <w:ind w:left="24" w:right="24"/>
                          <w:jc w:val="center"/>
                          <w:rPr>
                            <w:sz w:val="3"/>
                          </w:rPr>
                        </w:pPr>
                        <w:r>
                          <w:rPr>
                            <w:w w:val="105"/>
                            <w:sz w:val="3"/>
                          </w:rPr>
                          <w:t>1,37068473%</w:t>
                        </w:r>
                      </w:p>
                    </w:tc>
                    <w:tc>
                      <w:tcPr>
                        <w:tcW w:w="288" w:type="dxa"/>
                        <w:tcBorders>
                          <w:top w:val="single" w:sz="2" w:space="0" w:color="000000"/>
                          <w:left w:val="single" w:sz="2" w:space="0" w:color="000000"/>
                          <w:bottom w:val="single" w:sz="2" w:space="0" w:color="000000"/>
                          <w:right w:val="single" w:sz="2" w:space="0" w:color="000000"/>
                        </w:tcBorders>
                      </w:tcPr>
                      <w:p w14:paraId="74C830E0" w14:textId="77777777" w:rsidR="00F65BCA" w:rsidRDefault="00F65BCA">
                        <w:pPr>
                          <w:pStyle w:val="TableParagraph"/>
                          <w:rPr>
                            <w:rFonts w:ascii="Calibri"/>
                            <w:sz w:val="2"/>
                          </w:rPr>
                        </w:pPr>
                      </w:p>
                      <w:p w14:paraId="3F07E8ED" w14:textId="77777777" w:rsidR="00F65BCA" w:rsidRDefault="00F65BCA">
                        <w:pPr>
                          <w:pStyle w:val="TableParagraph"/>
                          <w:spacing w:before="8"/>
                          <w:rPr>
                            <w:rFonts w:ascii="Calibri"/>
                            <w:sz w:val="2"/>
                          </w:rPr>
                        </w:pPr>
                      </w:p>
                      <w:p w14:paraId="2D7FA723" w14:textId="77777777" w:rsidR="00F65BCA" w:rsidRDefault="00216117">
                        <w:pPr>
                          <w:pStyle w:val="TableParagraph"/>
                          <w:ind w:left="24" w:right="24"/>
                          <w:jc w:val="center"/>
                          <w:rPr>
                            <w:sz w:val="3"/>
                          </w:rPr>
                        </w:pPr>
                        <w:r>
                          <w:rPr>
                            <w:w w:val="105"/>
                            <w:sz w:val="3"/>
                          </w:rPr>
                          <w:t>1,37068473%</w:t>
                        </w:r>
                      </w:p>
                    </w:tc>
                    <w:tc>
                      <w:tcPr>
                        <w:tcW w:w="288" w:type="dxa"/>
                        <w:tcBorders>
                          <w:top w:val="single" w:sz="2" w:space="0" w:color="000000"/>
                          <w:left w:val="single" w:sz="2" w:space="0" w:color="000000"/>
                          <w:bottom w:val="single" w:sz="2" w:space="0" w:color="000000"/>
                          <w:right w:val="single" w:sz="2" w:space="0" w:color="000000"/>
                        </w:tcBorders>
                      </w:tcPr>
                      <w:p w14:paraId="153BB7CB" w14:textId="77777777" w:rsidR="00F65BCA" w:rsidRDefault="00F65BCA">
                        <w:pPr>
                          <w:pStyle w:val="TableParagraph"/>
                          <w:rPr>
                            <w:rFonts w:ascii="Calibri"/>
                            <w:sz w:val="2"/>
                          </w:rPr>
                        </w:pPr>
                      </w:p>
                      <w:p w14:paraId="2F06A490" w14:textId="77777777" w:rsidR="00F65BCA" w:rsidRDefault="00F65BCA">
                        <w:pPr>
                          <w:pStyle w:val="TableParagraph"/>
                          <w:spacing w:before="8"/>
                          <w:rPr>
                            <w:rFonts w:ascii="Calibri"/>
                            <w:sz w:val="2"/>
                          </w:rPr>
                        </w:pPr>
                      </w:p>
                      <w:p w14:paraId="2CE3FC89" w14:textId="77777777" w:rsidR="00F65BCA" w:rsidRDefault="00216117">
                        <w:pPr>
                          <w:pStyle w:val="TableParagraph"/>
                          <w:ind w:left="24" w:right="24"/>
                          <w:jc w:val="center"/>
                          <w:rPr>
                            <w:sz w:val="3"/>
                          </w:rPr>
                        </w:pPr>
                        <w:r>
                          <w:rPr>
                            <w:w w:val="105"/>
                            <w:sz w:val="3"/>
                          </w:rPr>
                          <w:t>1,52298303%</w:t>
                        </w:r>
                      </w:p>
                    </w:tc>
                  </w:tr>
                  <w:tr w:rsidR="00F65BCA" w14:paraId="436BC8B4"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79E902B1"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7B193F27" w14:textId="77777777" w:rsidR="00F65BCA" w:rsidRDefault="00F65BCA">
                        <w:pPr>
                          <w:pStyle w:val="TableParagraph"/>
                          <w:rPr>
                            <w:rFonts w:ascii="Calibri"/>
                            <w:sz w:val="2"/>
                          </w:rPr>
                        </w:pPr>
                      </w:p>
                      <w:p w14:paraId="1298A8F1" w14:textId="77777777" w:rsidR="00F65BCA" w:rsidRDefault="00F65BCA">
                        <w:pPr>
                          <w:pStyle w:val="TableParagraph"/>
                          <w:rPr>
                            <w:rFonts w:ascii="Calibri"/>
                            <w:sz w:val="2"/>
                          </w:rPr>
                        </w:pPr>
                      </w:p>
                      <w:p w14:paraId="0595DD14" w14:textId="77777777" w:rsidR="00F65BCA" w:rsidRDefault="00F65BCA">
                        <w:pPr>
                          <w:pStyle w:val="TableParagraph"/>
                          <w:rPr>
                            <w:rFonts w:ascii="Calibri"/>
                            <w:sz w:val="2"/>
                          </w:rPr>
                        </w:pPr>
                      </w:p>
                      <w:p w14:paraId="614EEC3B" w14:textId="77777777" w:rsidR="00F65BCA" w:rsidRDefault="00F65BCA">
                        <w:pPr>
                          <w:pStyle w:val="TableParagraph"/>
                          <w:rPr>
                            <w:rFonts w:ascii="Calibri"/>
                            <w:sz w:val="2"/>
                          </w:rPr>
                        </w:pPr>
                      </w:p>
                      <w:p w14:paraId="2BC97478" w14:textId="77777777" w:rsidR="00F65BCA" w:rsidRDefault="00F65BCA">
                        <w:pPr>
                          <w:pStyle w:val="TableParagraph"/>
                          <w:rPr>
                            <w:rFonts w:ascii="Calibri"/>
                            <w:sz w:val="2"/>
                          </w:rPr>
                        </w:pPr>
                      </w:p>
                      <w:p w14:paraId="6A85DBAF" w14:textId="77777777" w:rsidR="00F65BCA" w:rsidRDefault="00F65BCA">
                        <w:pPr>
                          <w:pStyle w:val="TableParagraph"/>
                          <w:rPr>
                            <w:rFonts w:ascii="Calibri"/>
                            <w:sz w:val="2"/>
                          </w:rPr>
                        </w:pPr>
                      </w:p>
                      <w:p w14:paraId="2C49BC57" w14:textId="77777777" w:rsidR="00F65BCA" w:rsidRDefault="00F65BCA">
                        <w:pPr>
                          <w:pStyle w:val="TableParagraph"/>
                          <w:rPr>
                            <w:rFonts w:ascii="Calibri"/>
                            <w:sz w:val="2"/>
                          </w:rPr>
                        </w:pPr>
                      </w:p>
                      <w:p w14:paraId="23CB216F" w14:textId="77777777" w:rsidR="00F65BCA" w:rsidRDefault="00F65BCA">
                        <w:pPr>
                          <w:pStyle w:val="TableParagraph"/>
                          <w:spacing w:before="8"/>
                          <w:rPr>
                            <w:rFonts w:ascii="Calibri"/>
                            <w:sz w:val="2"/>
                          </w:rPr>
                        </w:pPr>
                      </w:p>
                      <w:p w14:paraId="42CE7245" w14:textId="77777777" w:rsidR="00F65BCA" w:rsidRDefault="00216117">
                        <w:pPr>
                          <w:pStyle w:val="TableParagraph"/>
                          <w:ind w:left="18" w:right="15"/>
                          <w:jc w:val="center"/>
                          <w:rPr>
                            <w:sz w:val="3"/>
                          </w:rPr>
                        </w:pPr>
                        <w:r>
                          <w:rPr>
                            <w:w w:val="105"/>
                            <w:sz w:val="3"/>
                          </w:rPr>
                          <w:t>Chevrolet</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05029DD5" w14:textId="77777777" w:rsidR="00F65BCA" w:rsidRDefault="00F65BCA">
                        <w:pPr>
                          <w:pStyle w:val="TableParagraph"/>
                          <w:rPr>
                            <w:rFonts w:ascii="Calibri"/>
                            <w:sz w:val="2"/>
                          </w:rPr>
                        </w:pPr>
                      </w:p>
                      <w:p w14:paraId="506DA2E9" w14:textId="77777777" w:rsidR="00F65BCA" w:rsidRDefault="00216117">
                        <w:pPr>
                          <w:pStyle w:val="TableParagraph"/>
                          <w:spacing w:line="40" w:lineRule="atLeast"/>
                          <w:ind w:left="4" w:right="-1"/>
                          <w:rPr>
                            <w:sz w:val="3"/>
                          </w:rPr>
                        </w:pPr>
                        <w:r>
                          <w:rPr>
                            <w:w w:val="105"/>
                            <w:sz w:val="3"/>
                          </w:rPr>
                          <w:t>AVEO; CAPTIVA; CAVALIER; CRUZE; EPICA; EVANDA; KALOS; LACETTI; LACETTI STATION WAGON; MATIZ; NUBIRA; ORLANDO; SPARK; TACUMA; TRAX; VENTURE</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90F96C5" w14:textId="77777777" w:rsidR="00F65BCA" w:rsidRDefault="00F65BCA">
                        <w:pPr>
                          <w:pStyle w:val="TableParagraph"/>
                          <w:rPr>
                            <w:rFonts w:ascii="Calibri"/>
                            <w:sz w:val="2"/>
                          </w:rPr>
                        </w:pPr>
                      </w:p>
                      <w:p w14:paraId="0617BA0B"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748ED7E" w14:textId="77777777" w:rsidR="00F65BCA" w:rsidRDefault="00F65BCA">
                        <w:pPr>
                          <w:pStyle w:val="TableParagraph"/>
                          <w:rPr>
                            <w:rFonts w:ascii="Calibri"/>
                            <w:sz w:val="2"/>
                          </w:rPr>
                        </w:pPr>
                      </w:p>
                      <w:p w14:paraId="23CBEF24"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1A1EEED"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1C57D271" w14:textId="77777777" w:rsidR="00F65BCA" w:rsidRDefault="00F65BCA">
                        <w:pPr>
                          <w:pStyle w:val="TableParagraph"/>
                          <w:rPr>
                            <w:rFonts w:ascii="Calibri"/>
                            <w:sz w:val="2"/>
                          </w:rPr>
                        </w:pPr>
                      </w:p>
                      <w:p w14:paraId="7030F271"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20D1DE80" w14:textId="77777777" w:rsidR="00F65BCA" w:rsidRDefault="00F65BCA">
                        <w:pPr>
                          <w:pStyle w:val="TableParagraph"/>
                          <w:rPr>
                            <w:rFonts w:ascii="Calibri"/>
                            <w:sz w:val="2"/>
                          </w:rPr>
                        </w:pPr>
                      </w:p>
                      <w:p w14:paraId="2E519B4F"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0BBFF221" w14:textId="77777777" w:rsidR="00F65BCA" w:rsidRDefault="00F65BCA">
                        <w:pPr>
                          <w:pStyle w:val="TableParagraph"/>
                          <w:rPr>
                            <w:rFonts w:ascii="Calibri"/>
                            <w:sz w:val="2"/>
                          </w:rPr>
                        </w:pPr>
                      </w:p>
                      <w:p w14:paraId="5DB899F4"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0DF707CD" w14:textId="77777777" w:rsidR="00F65BCA" w:rsidRDefault="00F65BCA">
                        <w:pPr>
                          <w:pStyle w:val="TableParagraph"/>
                          <w:rPr>
                            <w:rFonts w:ascii="Calibri"/>
                            <w:sz w:val="2"/>
                          </w:rPr>
                        </w:pPr>
                      </w:p>
                      <w:p w14:paraId="58F2F500"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7BADDD4F" w14:textId="77777777" w:rsidR="00F65BCA" w:rsidRDefault="00F65BCA">
                        <w:pPr>
                          <w:pStyle w:val="TableParagraph"/>
                          <w:rPr>
                            <w:rFonts w:ascii="Calibri"/>
                            <w:sz w:val="2"/>
                          </w:rPr>
                        </w:pPr>
                      </w:p>
                      <w:p w14:paraId="58101782"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7C62C125" w14:textId="77777777" w:rsidR="00F65BCA" w:rsidRDefault="00F65BCA">
                        <w:pPr>
                          <w:pStyle w:val="TableParagraph"/>
                          <w:rPr>
                            <w:rFonts w:ascii="Calibri"/>
                            <w:sz w:val="2"/>
                          </w:rPr>
                        </w:pPr>
                      </w:p>
                      <w:p w14:paraId="7398B05C"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43B2A671" w14:textId="77777777" w:rsidR="00F65BCA" w:rsidRDefault="00F65BCA">
                        <w:pPr>
                          <w:pStyle w:val="TableParagraph"/>
                          <w:rPr>
                            <w:rFonts w:ascii="Calibri"/>
                            <w:sz w:val="2"/>
                          </w:rPr>
                        </w:pPr>
                      </w:p>
                      <w:p w14:paraId="37A821FB"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482C675C" w14:textId="77777777" w:rsidR="00F65BCA" w:rsidRDefault="00F65BCA">
                        <w:pPr>
                          <w:pStyle w:val="TableParagraph"/>
                          <w:rPr>
                            <w:rFonts w:ascii="Calibri"/>
                            <w:sz w:val="2"/>
                          </w:rPr>
                        </w:pPr>
                      </w:p>
                      <w:p w14:paraId="6A8611B5"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34622C10" w14:textId="77777777" w:rsidR="00F65BCA" w:rsidRDefault="00F65BCA">
                        <w:pPr>
                          <w:pStyle w:val="TableParagraph"/>
                          <w:rPr>
                            <w:rFonts w:ascii="Calibri"/>
                            <w:sz w:val="2"/>
                          </w:rPr>
                        </w:pPr>
                      </w:p>
                      <w:p w14:paraId="35413D73"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22DF443D" w14:textId="77777777" w:rsidR="00F65BCA" w:rsidRDefault="00F65BCA">
                        <w:pPr>
                          <w:pStyle w:val="TableParagraph"/>
                          <w:rPr>
                            <w:rFonts w:ascii="Calibri"/>
                            <w:sz w:val="2"/>
                          </w:rPr>
                        </w:pPr>
                      </w:p>
                      <w:p w14:paraId="6A499B5E"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24DA62BB" w14:textId="77777777" w:rsidR="00F65BCA" w:rsidRDefault="00F65BCA">
                        <w:pPr>
                          <w:pStyle w:val="TableParagraph"/>
                          <w:rPr>
                            <w:rFonts w:ascii="Calibri"/>
                            <w:sz w:val="2"/>
                          </w:rPr>
                        </w:pPr>
                      </w:p>
                      <w:p w14:paraId="690A63E4"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4EA7185D" w14:textId="77777777" w:rsidR="00F65BCA" w:rsidRDefault="00F65BCA">
                        <w:pPr>
                          <w:pStyle w:val="TableParagraph"/>
                          <w:rPr>
                            <w:rFonts w:ascii="Calibri"/>
                            <w:sz w:val="2"/>
                          </w:rPr>
                        </w:pPr>
                      </w:p>
                      <w:p w14:paraId="7B5E8F42"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75AAD142" w14:textId="77777777" w:rsidR="00F65BCA" w:rsidRDefault="00F65BCA">
                        <w:pPr>
                          <w:pStyle w:val="TableParagraph"/>
                          <w:rPr>
                            <w:rFonts w:ascii="Calibri"/>
                            <w:sz w:val="2"/>
                          </w:rPr>
                        </w:pPr>
                      </w:p>
                      <w:p w14:paraId="352ABB9A" w14:textId="77777777" w:rsidR="00F65BCA" w:rsidRDefault="00216117">
                        <w:pPr>
                          <w:pStyle w:val="TableParagraph"/>
                          <w:ind w:left="24" w:right="24"/>
                          <w:jc w:val="center"/>
                          <w:rPr>
                            <w:sz w:val="3"/>
                          </w:rPr>
                        </w:pPr>
                        <w:r>
                          <w:rPr>
                            <w:w w:val="105"/>
                            <w:sz w:val="3"/>
                          </w:rPr>
                          <w:t>1,07731026%</w:t>
                        </w:r>
                      </w:p>
                    </w:tc>
                  </w:tr>
                  <w:tr w:rsidR="00F65BCA" w14:paraId="3452FE74"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18FF7F5A"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1CC570FF"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5D8C9D2F"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676F6E7" w14:textId="77777777" w:rsidR="00F65BCA" w:rsidRDefault="00F65BCA">
                        <w:pPr>
                          <w:pStyle w:val="TableParagraph"/>
                          <w:rPr>
                            <w:rFonts w:ascii="Calibri"/>
                            <w:sz w:val="2"/>
                          </w:rPr>
                        </w:pPr>
                      </w:p>
                      <w:p w14:paraId="4CEAEC29"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B72BEA1" w14:textId="77777777" w:rsidR="00F65BCA" w:rsidRDefault="00F65BCA">
                        <w:pPr>
                          <w:pStyle w:val="TableParagraph"/>
                          <w:rPr>
                            <w:rFonts w:ascii="Calibri"/>
                            <w:sz w:val="2"/>
                          </w:rPr>
                        </w:pPr>
                      </w:p>
                      <w:p w14:paraId="2C08093F"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4B5778F2"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75C7CB8E" w14:textId="77777777" w:rsidR="00F65BCA" w:rsidRDefault="00F65BCA">
                        <w:pPr>
                          <w:pStyle w:val="TableParagraph"/>
                          <w:rPr>
                            <w:rFonts w:ascii="Calibri"/>
                            <w:sz w:val="2"/>
                          </w:rPr>
                        </w:pPr>
                      </w:p>
                      <w:p w14:paraId="0CD8F928"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7ADB1CAA" w14:textId="77777777" w:rsidR="00F65BCA" w:rsidRDefault="00F65BCA">
                        <w:pPr>
                          <w:pStyle w:val="TableParagraph"/>
                          <w:rPr>
                            <w:rFonts w:ascii="Calibri"/>
                            <w:sz w:val="2"/>
                          </w:rPr>
                        </w:pPr>
                      </w:p>
                      <w:p w14:paraId="42E79B3F"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4A3B9288" w14:textId="77777777" w:rsidR="00F65BCA" w:rsidRDefault="00F65BCA">
                        <w:pPr>
                          <w:pStyle w:val="TableParagraph"/>
                          <w:rPr>
                            <w:rFonts w:ascii="Calibri"/>
                            <w:sz w:val="2"/>
                          </w:rPr>
                        </w:pPr>
                      </w:p>
                      <w:p w14:paraId="6A7152A8"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187CDC69" w14:textId="77777777" w:rsidR="00F65BCA" w:rsidRDefault="00F65BCA">
                        <w:pPr>
                          <w:pStyle w:val="TableParagraph"/>
                          <w:rPr>
                            <w:rFonts w:ascii="Calibri"/>
                            <w:sz w:val="2"/>
                          </w:rPr>
                        </w:pPr>
                      </w:p>
                      <w:p w14:paraId="092078C5"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3DC5E220" w14:textId="77777777" w:rsidR="00F65BCA" w:rsidRDefault="00F65BCA">
                        <w:pPr>
                          <w:pStyle w:val="TableParagraph"/>
                          <w:rPr>
                            <w:rFonts w:ascii="Calibri"/>
                            <w:sz w:val="2"/>
                          </w:rPr>
                        </w:pPr>
                      </w:p>
                      <w:p w14:paraId="6B80C72E"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46661C95" w14:textId="77777777" w:rsidR="00F65BCA" w:rsidRDefault="00F65BCA">
                        <w:pPr>
                          <w:pStyle w:val="TableParagraph"/>
                          <w:rPr>
                            <w:rFonts w:ascii="Calibri"/>
                            <w:sz w:val="2"/>
                          </w:rPr>
                        </w:pPr>
                      </w:p>
                      <w:p w14:paraId="5663571F"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3C1215AE" w14:textId="77777777" w:rsidR="00F65BCA" w:rsidRDefault="00F65BCA">
                        <w:pPr>
                          <w:pStyle w:val="TableParagraph"/>
                          <w:rPr>
                            <w:rFonts w:ascii="Calibri"/>
                            <w:sz w:val="2"/>
                          </w:rPr>
                        </w:pPr>
                      </w:p>
                      <w:p w14:paraId="1CD690C0"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6E7BD5BC" w14:textId="77777777" w:rsidR="00F65BCA" w:rsidRDefault="00F65BCA">
                        <w:pPr>
                          <w:pStyle w:val="TableParagraph"/>
                          <w:rPr>
                            <w:rFonts w:ascii="Calibri"/>
                            <w:sz w:val="2"/>
                          </w:rPr>
                        </w:pPr>
                      </w:p>
                      <w:p w14:paraId="1FC39226"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2CCA713B" w14:textId="77777777" w:rsidR="00F65BCA" w:rsidRDefault="00F65BCA">
                        <w:pPr>
                          <w:pStyle w:val="TableParagraph"/>
                          <w:rPr>
                            <w:rFonts w:ascii="Calibri"/>
                            <w:sz w:val="2"/>
                          </w:rPr>
                        </w:pPr>
                      </w:p>
                      <w:p w14:paraId="6D66AB77"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16CCD591" w14:textId="77777777" w:rsidR="00F65BCA" w:rsidRDefault="00F65BCA">
                        <w:pPr>
                          <w:pStyle w:val="TableParagraph"/>
                          <w:rPr>
                            <w:rFonts w:ascii="Calibri"/>
                            <w:sz w:val="2"/>
                          </w:rPr>
                        </w:pPr>
                      </w:p>
                      <w:p w14:paraId="4B29CD5A"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1DB7DFF2" w14:textId="77777777" w:rsidR="00F65BCA" w:rsidRDefault="00F65BCA">
                        <w:pPr>
                          <w:pStyle w:val="TableParagraph"/>
                          <w:rPr>
                            <w:rFonts w:ascii="Calibri"/>
                            <w:sz w:val="2"/>
                          </w:rPr>
                        </w:pPr>
                      </w:p>
                      <w:p w14:paraId="3217101F"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39D23A7F" w14:textId="77777777" w:rsidR="00F65BCA" w:rsidRDefault="00F65BCA">
                        <w:pPr>
                          <w:pStyle w:val="TableParagraph"/>
                          <w:rPr>
                            <w:rFonts w:ascii="Calibri"/>
                            <w:sz w:val="2"/>
                          </w:rPr>
                        </w:pPr>
                      </w:p>
                      <w:p w14:paraId="511AEDAE"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111D1A5C" w14:textId="77777777" w:rsidR="00F65BCA" w:rsidRDefault="00F65BCA">
                        <w:pPr>
                          <w:pStyle w:val="TableParagraph"/>
                          <w:rPr>
                            <w:rFonts w:ascii="Calibri"/>
                            <w:sz w:val="2"/>
                          </w:rPr>
                        </w:pPr>
                      </w:p>
                      <w:p w14:paraId="2488EF59" w14:textId="77777777" w:rsidR="00F65BCA" w:rsidRDefault="00216117">
                        <w:pPr>
                          <w:pStyle w:val="TableParagraph"/>
                          <w:ind w:left="24" w:right="24"/>
                          <w:jc w:val="center"/>
                          <w:rPr>
                            <w:sz w:val="3"/>
                          </w:rPr>
                        </w:pPr>
                        <w:r>
                          <w:rPr>
                            <w:w w:val="105"/>
                            <w:sz w:val="3"/>
                          </w:rPr>
                          <w:t>1,30139079%</w:t>
                        </w:r>
                      </w:p>
                    </w:tc>
                  </w:tr>
                  <w:tr w:rsidR="00F65BCA" w14:paraId="4200FCCE" w14:textId="77777777">
                    <w:trPr>
                      <w:trHeight w:val="131"/>
                    </w:trPr>
                    <w:tc>
                      <w:tcPr>
                        <w:tcW w:w="526" w:type="dxa"/>
                        <w:vMerge/>
                        <w:tcBorders>
                          <w:top w:val="nil"/>
                          <w:left w:val="single" w:sz="2" w:space="0" w:color="000000"/>
                          <w:bottom w:val="nil"/>
                          <w:right w:val="single" w:sz="2" w:space="0" w:color="000000"/>
                        </w:tcBorders>
                        <w:shd w:val="clear" w:color="auto" w:fill="FCE4D6"/>
                      </w:tcPr>
                      <w:p w14:paraId="6EF868CD"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4AD9774F"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13C2EED7" w14:textId="77777777" w:rsidR="00F65BCA" w:rsidRDefault="00216117">
                        <w:pPr>
                          <w:pStyle w:val="TableParagraph"/>
                          <w:spacing w:before="8" w:line="40" w:lineRule="atLeast"/>
                          <w:ind w:left="4" w:right="21"/>
                          <w:rPr>
                            <w:sz w:val="3"/>
                          </w:rPr>
                        </w:pPr>
                        <w:r>
                          <w:rPr>
                            <w:w w:val="105"/>
                            <w:sz w:val="3"/>
                          </w:rPr>
                          <w:t>ALERO; ASTRO VAN; AVALANCHE; BERETTA; BLAZER; CAMARO; CAPRISE; COBALT; COLORADO; CORVETTE; EQUINOX; EXPRESS; HHR; CHEVY VAN; IMPALA; JINÉ; LUMINA; MALIBU; METRO; MONTE CARLO; NIVA; PRIZM; SILVERADO; SSR; SUBURBAN; TAHOE; TRACKER; TRAILBLAZER; TRANS SPORT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851591D" w14:textId="77777777" w:rsidR="00F65BCA" w:rsidRDefault="00F65BCA">
                        <w:pPr>
                          <w:pStyle w:val="TableParagraph"/>
                          <w:rPr>
                            <w:rFonts w:ascii="Calibri"/>
                            <w:sz w:val="2"/>
                          </w:rPr>
                        </w:pPr>
                      </w:p>
                      <w:p w14:paraId="23D4916B" w14:textId="77777777" w:rsidR="00F65BCA" w:rsidRDefault="00F65BCA">
                        <w:pPr>
                          <w:pStyle w:val="TableParagraph"/>
                          <w:rPr>
                            <w:rFonts w:ascii="Calibri"/>
                            <w:sz w:val="2"/>
                          </w:rPr>
                        </w:pPr>
                      </w:p>
                      <w:p w14:paraId="2CDB6E38" w14:textId="77777777" w:rsidR="00F65BCA" w:rsidRDefault="00216117">
                        <w:pPr>
                          <w:pStyle w:val="TableParagraph"/>
                          <w:spacing w:before="1"/>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9202498" w14:textId="77777777" w:rsidR="00F65BCA" w:rsidRDefault="00F65BCA">
                        <w:pPr>
                          <w:pStyle w:val="TableParagraph"/>
                          <w:rPr>
                            <w:rFonts w:ascii="Calibri"/>
                            <w:sz w:val="2"/>
                          </w:rPr>
                        </w:pPr>
                      </w:p>
                      <w:p w14:paraId="6128DBA5" w14:textId="77777777" w:rsidR="00F65BCA" w:rsidRDefault="00F65BCA">
                        <w:pPr>
                          <w:pStyle w:val="TableParagraph"/>
                          <w:rPr>
                            <w:rFonts w:ascii="Calibri"/>
                            <w:sz w:val="2"/>
                          </w:rPr>
                        </w:pPr>
                      </w:p>
                      <w:p w14:paraId="777F2FAA" w14:textId="77777777" w:rsidR="00F65BCA" w:rsidRDefault="00216117">
                        <w:pPr>
                          <w:pStyle w:val="TableParagraph"/>
                          <w:spacing w:before="1"/>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5548E15"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77DBA93F" w14:textId="77777777" w:rsidR="00F65BCA" w:rsidRDefault="00F65BCA">
                        <w:pPr>
                          <w:pStyle w:val="TableParagraph"/>
                          <w:rPr>
                            <w:rFonts w:ascii="Calibri"/>
                            <w:sz w:val="2"/>
                          </w:rPr>
                        </w:pPr>
                      </w:p>
                      <w:p w14:paraId="40F8CC20" w14:textId="77777777" w:rsidR="00F65BCA" w:rsidRDefault="00F65BCA">
                        <w:pPr>
                          <w:pStyle w:val="TableParagraph"/>
                          <w:rPr>
                            <w:rFonts w:ascii="Calibri"/>
                            <w:sz w:val="2"/>
                          </w:rPr>
                        </w:pPr>
                      </w:p>
                      <w:p w14:paraId="23BBB361" w14:textId="77777777" w:rsidR="00F65BCA" w:rsidRDefault="00216117">
                        <w:pPr>
                          <w:pStyle w:val="TableParagraph"/>
                          <w:spacing w:before="1"/>
                          <w:ind w:left="24" w:right="24"/>
                          <w:jc w:val="center"/>
                          <w:rPr>
                            <w:sz w:val="3"/>
                          </w:rPr>
                        </w:pPr>
                        <w:r>
                          <w:rPr>
                            <w:w w:val="105"/>
                            <w:sz w:val="3"/>
                          </w:rPr>
                          <w:t>1,79088000%</w:t>
                        </w:r>
                      </w:p>
                    </w:tc>
                    <w:tc>
                      <w:tcPr>
                        <w:tcW w:w="288" w:type="dxa"/>
                        <w:tcBorders>
                          <w:top w:val="single" w:sz="2" w:space="0" w:color="000000"/>
                          <w:left w:val="single" w:sz="2" w:space="0" w:color="000000"/>
                          <w:bottom w:val="single" w:sz="2" w:space="0" w:color="000000"/>
                          <w:right w:val="single" w:sz="2" w:space="0" w:color="000000"/>
                        </w:tcBorders>
                      </w:tcPr>
                      <w:p w14:paraId="72DD5C36" w14:textId="77777777" w:rsidR="00F65BCA" w:rsidRDefault="00F65BCA">
                        <w:pPr>
                          <w:pStyle w:val="TableParagraph"/>
                          <w:rPr>
                            <w:rFonts w:ascii="Calibri"/>
                            <w:sz w:val="2"/>
                          </w:rPr>
                        </w:pPr>
                      </w:p>
                      <w:p w14:paraId="31278ADD" w14:textId="77777777" w:rsidR="00F65BCA" w:rsidRDefault="00F65BCA">
                        <w:pPr>
                          <w:pStyle w:val="TableParagraph"/>
                          <w:rPr>
                            <w:rFonts w:ascii="Calibri"/>
                            <w:sz w:val="2"/>
                          </w:rPr>
                        </w:pPr>
                      </w:p>
                      <w:p w14:paraId="550714E1" w14:textId="77777777" w:rsidR="00F65BCA" w:rsidRDefault="00216117">
                        <w:pPr>
                          <w:pStyle w:val="TableParagraph"/>
                          <w:spacing w:before="1"/>
                          <w:ind w:left="24" w:right="24"/>
                          <w:jc w:val="center"/>
                          <w:rPr>
                            <w:sz w:val="3"/>
                          </w:rPr>
                        </w:pPr>
                        <w:r>
                          <w:rPr>
                            <w:w w:val="105"/>
                            <w:sz w:val="3"/>
                          </w:rPr>
                          <w:t>1,67895000%</w:t>
                        </w:r>
                      </w:p>
                    </w:tc>
                    <w:tc>
                      <w:tcPr>
                        <w:tcW w:w="288" w:type="dxa"/>
                        <w:tcBorders>
                          <w:top w:val="single" w:sz="2" w:space="0" w:color="000000"/>
                          <w:left w:val="single" w:sz="2" w:space="0" w:color="000000"/>
                          <w:bottom w:val="single" w:sz="2" w:space="0" w:color="000000"/>
                          <w:right w:val="single" w:sz="2" w:space="0" w:color="000000"/>
                        </w:tcBorders>
                      </w:tcPr>
                      <w:p w14:paraId="0BB8D85A" w14:textId="77777777" w:rsidR="00F65BCA" w:rsidRDefault="00F65BCA">
                        <w:pPr>
                          <w:pStyle w:val="TableParagraph"/>
                          <w:rPr>
                            <w:rFonts w:ascii="Calibri"/>
                            <w:sz w:val="2"/>
                          </w:rPr>
                        </w:pPr>
                      </w:p>
                      <w:p w14:paraId="4D50BBA7" w14:textId="77777777" w:rsidR="00F65BCA" w:rsidRDefault="00F65BCA">
                        <w:pPr>
                          <w:pStyle w:val="TableParagraph"/>
                          <w:rPr>
                            <w:rFonts w:ascii="Calibri"/>
                            <w:sz w:val="2"/>
                          </w:rPr>
                        </w:pPr>
                      </w:p>
                      <w:p w14:paraId="2D3BD008" w14:textId="77777777" w:rsidR="00F65BCA" w:rsidRDefault="00216117">
                        <w:pPr>
                          <w:pStyle w:val="TableParagraph"/>
                          <w:spacing w:before="1"/>
                          <w:ind w:left="24" w:right="24"/>
                          <w:jc w:val="center"/>
                          <w:rPr>
                            <w:sz w:val="3"/>
                          </w:rPr>
                        </w:pPr>
                        <w:r>
                          <w:rPr>
                            <w:w w:val="105"/>
                            <w:sz w:val="3"/>
                          </w:rPr>
                          <w:t>1,60059900%</w:t>
                        </w:r>
                      </w:p>
                    </w:tc>
                    <w:tc>
                      <w:tcPr>
                        <w:tcW w:w="288" w:type="dxa"/>
                        <w:tcBorders>
                          <w:top w:val="single" w:sz="2" w:space="0" w:color="000000"/>
                          <w:left w:val="single" w:sz="2" w:space="0" w:color="000000"/>
                          <w:bottom w:val="single" w:sz="2" w:space="0" w:color="000000"/>
                          <w:right w:val="single" w:sz="2" w:space="0" w:color="000000"/>
                        </w:tcBorders>
                      </w:tcPr>
                      <w:p w14:paraId="6AA89EFE" w14:textId="77777777" w:rsidR="00F65BCA" w:rsidRDefault="00F65BCA">
                        <w:pPr>
                          <w:pStyle w:val="TableParagraph"/>
                          <w:rPr>
                            <w:rFonts w:ascii="Calibri"/>
                            <w:sz w:val="2"/>
                          </w:rPr>
                        </w:pPr>
                      </w:p>
                      <w:p w14:paraId="61E8592D" w14:textId="77777777" w:rsidR="00F65BCA" w:rsidRDefault="00F65BCA">
                        <w:pPr>
                          <w:pStyle w:val="TableParagraph"/>
                          <w:rPr>
                            <w:rFonts w:ascii="Calibri"/>
                            <w:sz w:val="2"/>
                          </w:rPr>
                        </w:pPr>
                      </w:p>
                      <w:p w14:paraId="29B20A8F" w14:textId="77777777" w:rsidR="00F65BCA" w:rsidRDefault="00216117">
                        <w:pPr>
                          <w:pStyle w:val="TableParagraph"/>
                          <w:spacing w:before="1"/>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2E4BE96A" w14:textId="77777777" w:rsidR="00F65BCA" w:rsidRDefault="00F65BCA">
                        <w:pPr>
                          <w:pStyle w:val="TableParagraph"/>
                          <w:rPr>
                            <w:rFonts w:ascii="Calibri"/>
                            <w:sz w:val="2"/>
                          </w:rPr>
                        </w:pPr>
                      </w:p>
                      <w:p w14:paraId="31465CB4" w14:textId="77777777" w:rsidR="00F65BCA" w:rsidRDefault="00F65BCA">
                        <w:pPr>
                          <w:pStyle w:val="TableParagraph"/>
                          <w:rPr>
                            <w:rFonts w:ascii="Calibri"/>
                            <w:sz w:val="2"/>
                          </w:rPr>
                        </w:pPr>
                      </w:p>
                      <w:p w14:paraId="735F2D05" w14:textId="77777777" w:rsidR="00F65BCA" w:rsidRDefault="00216117">
                        <w:pPr>
                          <w:pStyle w:val="TableParagraph"/>
                          <w:spacing w:before="1"/>
                          <w:ind w:left="24" w:right="24"/>
                          <w:jc w:val="center"/>
                          <w:rPr>
                            <w:sz w:val="3"/>
                          </w:rPr>
                        </w:pPr>
                        <w:r>
                          <w:rPr>
                            <w:w w:val="105"/>
                            <w:sz w:val="3"/>
                          </w:rPr>
                          <w:t>1,43270400%</w:t>
                        </w:r>
                      </w:p>
                    </w:tc>
                    <w:tc>
                      <w:tcPr>
                        <w:tcW w:w="288" w:type="dxa"/>
                        <w:tcBorders>
                          <w:top w:val="single" w:sz="2" w:space="0" w:color="000000"/>
                          <w:left w:val="single" w:sz="2" w:space="0" w:color="000000"/>
                          <w:bottom w:val="single" w:sz="2" w:space="0" w:color="000000"/>
                          <w:right w:val="single" w:sz="2" w:space="0" w:color="000000"/>
                        </w:tcBorders>
                      </w:tcPr>
                      <w:p w14:paraId="254F0B89" w14:textId="77777777" w:rsidR="00F65BCA" w:rsidRDefault="00F65BCA">
                        <w:pPr>
                          <w:pStyle w:val="TableParagraph"/>
                          <w:rPr>
                            <w:rFonts w:ascii="Calibri"/>
                            <w:sz w:val="2"/>
                          </w:rPr>
                        </w:pPr>
                      </w:p>
                      <w:p w14:paraId="647A3DD7" w14:textId="77777777" w:rsidR="00F65BCA" w:rsidRDefault="00F65BCA">
                        <w:pPr>
                          <w:pStyle w:val="TableParagraph"/>
                          <w:rPr>
                            <w:rFonts w:ascii="Calibri"/>
                            <w:sz w:val="2"/>
                          </w:rPr>
                        </w:pPr>
                      </w:p>
                      <w:p w14:paraId="40A34E5A" w14:textId="77777777" w:rsidR="00F65BCA" w:rsidRDefault="00216117">
                        <w:pPr>
                          <w:pStyle w:val="TableParagraph"/>
                          <w:spacing w:before="1"/>
                          <w:ind w:left="24" w:right="24"/>
                          <w:jc w:val="center"/>
                          <w:rPr>
                            <w:sz w:val="3"/>
                          </w:rPr>
                        </w:pPr>
                        <w:r>
                          <w:rPr>
                            <w:w w:val="105"/>
                            <w:sz w:val="3"/>
                          </w:rPr>
                          <w:t>1,33196700%</w:t>
                        </w:r>
                      </w:p>
                    </w:tc>
                    <w:tc>
                      <w:tcPr>
                        <w:tcW w:w="288" w:type="dxa"/>
                        <w:tcBorders>
                          <w:top w:val="single" w:sz="2" w:space="0" w:color="000000"/>
                          <w:left w:val="single" w:sz="2" w:space="0" w:color="000000"/>
                          <w:bottom w:val="single" w:sz="2" w:space="0" w:color="000000"/>
                          <w:right w:val="single" w:sz="2" w:space="0" w:color="000000"/>
                        </w:tcBorders>
                      </w:tcPr>
                      <w:p w14:paraId="5401A617" w14:textId="77777777" w:rsidR="00F65BCA" w:rsidRDefault="00F65BCA">
                        <w:pPr>
                          <w:pStyle w:val="TableParagraph"/>
                          <w:rPr>
                            <w:rFonts w:ascii="Calibri"/>
                            <w:sz w:val="2"/>
                          </w:rPr>
                        </w:pPr>
                      </w:p>
                      <w:p w14:paraId="5E4DA090" w14:textId="77777777" w:rsidR="00F65BCA" w:rsidRDefault="00F65BCA">
                        <w:pPr>
                          <w:pStyle w:val="TableParagraph"/>
                          <w:rPr>
                            <w:rFonts w:ascii="Calibri"/>
                            <w:sz w:val="2"/>
                          </w:rPr>
                        </w:pPr>
                      </w:p>
                      <w:p w14:paraId="631596D7" w14:textId="77777777" w:rsidR="00F65BCA" w:rsidRDefault="00216117">
                        <w:pPr>
                          <w:pStyle w:val="TableParagraph"/>
                          <w:spacing w:before="1"/>
                          <w:ind w:left="24" w:right="24"/>
                          <w:jc w:val="center"/>
                          <w:rPr>
                            <w:sz w:val="3"/>
                          </w:rPr>
                        </w:pPr>
                        <w:r>
                          <w:rPr>
                            <w:w w:val="105"/>
                            <w:sz w:val="3"/>
                          </w:rPr>
                          <w:t>1,23123000%</w:t>
                        </w:r>
                      </w:p>
                    </w:tc>
                    <w:tc>
                      <w:tcPr>
                        <w:tcW w:w="288" w:type="dxa"/>
                        <w:tcBorders>
                          <w:top w:val="single" w:sz="2" w:space="0" w:color="000000"/>
                          <w:left w:val="single" w:sz="2" w:space="0" w:color="000000"/>
                          <w:bottom w:val="single" w:sz="2" w:space="0" w:color="000000"/>
                          <w:right w:val="single" w:sz="2" w:space="0" w:color="000000"/>
                        </w:tcBorders>
                      </w:tcPr>
                      <w:p w14:paraId="4E48B0D6" w14:textId="77777777" w:rsidR="00F65BCA" w:rsidRDefault="00F65BCA">
                        <w:pPr>
                          <w:pStyle w:val="TableParagraph"/>
                          <w:rPr>
                            <w:rFonts w:ascii="Calibri"/>
                            <w:sz w:val="2"/>
                          </w:rPr>
                        </w:pPr>
                      </w:p>
                      <w:p w14:paraId="55B4EFD0" w14:textId="77777777" w:rsidR="00F65BCA" w:rsidRDefault="00F65BCA">
                        <w:pPr>
                          <w:pStyle w:val="TableParagraph"/>
                          <w:rPr>
                            <w:rFonts w:ascii="Calibri"/>
                            <w:sz w:val="2"/>
                          </w:rPr>
                        </w:pPr>
                      </w:p>
                      <w:p w14:paraId="1960D1E3" w14:textId="77777777" w:rsidR="00F65BCA" w:rsidRDefault="00216117">
                        <w:pPr>
                          <w:pStyle w:val="TableParagraph"/>
                          <w:spacing w:before="1"/>
                          <w:ind w:left="24" w:right="24"/>
                          <w:jc w:val="center"/>
                          <w:rPr>
                            <w:sz w:val="3"/>
                          </w:rPr>
                        </w:pPr>
                        <w:r>
                          <w:rPr>
                            <w:w w:val="105"/>
                            <w:sz w:val="3"/>
                          </w:rPr>
                          <w:t>1,11930000%</w:t>
                        </w:r>
                      </w:p>
                    </w:tc>
                    <w:tc>
                      <w:tcPr>
                        <w:tcW w:w="288" w:type="dxa"/>
                        <w:tcBorders>
                          <w:top w:val="single" w:sz="2" w:space="0" w:color="000000"/>
                          <w:left w:val="single" w:sz="2" w:space="0" w:color="000000"/>
                          <w:bottom w:val="single" w:sz="2" w:space="0" w:color="000000"/>
                          <w:right w:val="single" w:sz="2" w:space="0" w:color="000000"/>
                        </w:tcBorders>
                      </w:tcPr>
                      <w:p w14:paraId="3260A458" w14:textId="77777777" w:rsidR="00F65BCA" w:rsidRDefault="00F65BCA">
                        <w:pPr>
                          <w:pStyle w:val="TableParagraph"/>
                          <w:rPr>
                            <w:rFonts w:ascii="Calibri"/>
                            <w:sz w:val="2"/>
                          </w:rPr>
                        </w:pPr>
                      </w:p>
                      <w:p w14:paraId="408D8442" w14:textId="77777777" w:rsidR="00F65BCA" w:rsidRDefault="00F65BCA">
                        <w:pPr>
                          <w:pStyle w:val="TableParagraph"/>
                          <w:rPr>
                            <w:rFonts w:ascii="Calibri"/>
                            <w:sz w:val="2"/>
                          </w:rPr>
                        </w:pPr>
                      </w:p>
                      <w:p w14:paraId="1017ABF9" w14:textId="77777777" w:rsidR="00F65BCA" w:rsidRDefault="00216117">
                        <w:pPr>
                          <w:pStyle w:val="TableParagraph"/>
                          <w:spacing w:before="1"/>
                          <w:ind w:left="24" w:right="24"/>
                          <w:jc w:val="center"/>
                          <w:rPr>
                            <w:sz w:val="3"/>
                          </w:rPr>
                        </w:pPr>
                        <w:r>
                          <w:rPr>
                            <w:w w:val="105"/>
                            <w:sz w:val="3"/>
                          </w:rPr>
                          <w:t>1,11930000%</w:t>
                        </w:r>
                      </w:p>
                    </w:tc>
                    <w:tc>
                      <w:tcPr>
                        <w:tcW w:w="288" w:type="dxa"/>
                        <w:tcBorders>
                          <w:top w:val="single" w:sz="2" w:space="0" w:color="000000"/>
                          <w:left w:val="single" w:sz="2" w:space="0" w:color="000000"/>
                          <w:bottom w:val="single" w:sz="2" w:space="0" w:color="000000"/>
                          <w:right w:val="single" w:sz="2" w:space="0" w:color="000000"/>
                        </w:tcBorders>
                      </w:tcPr>
                      <w:p w14:paraId="772D3AAF" w14:textId="77777777" w:rsidR="00F65BCA" w:rsidRDefault="00F65BCA">
                        <w:pPr>
                          <w:pStyle w:val="TableParagraph"/>
                          <w:rPr>
                            <w:rFonts w:ascii="Calibri"/>
                            <w:sz w:val="2"/>
                          </w:rPr>
                        </w:pPr>
                      </w:p>
                      <w:p w14:paraId="1D313381" w14:textId="77777777" w:rsidR="00F65BCA" w:rsidRDefault="00F65BCA">
                        <w:pPr>
                          <w:pStyle w:val="TableParagraph"/>
                          <w:rPr>
                            <w:rFonts w:ascii="Calibri"/>
                            <w:sz w:val="2"/>
                          </w:rPr>
                        </w:pPr>
                      </w:p>
                      <w:p w14:paraId="03918CF2" w14:textId="77777777" w:rsidR="00F65BCA" w:rsidRDefault="00216117">
                        <w:pPr>
                          <w:pStyle w:val="TableParagraph"/>
                          <w:spacing w:before="1"/>
                          <w:ind w:left="24" w:right="24"/>
                          <w:jc w:val="center"/>
                          <w:rPr>
                            <w:sz w:val="3"/>
                          </w:rPr>
                        </w:pPr>
                        <w:r>
                          <w:rPr>
                            <w:w w:val="105"/>
                            <w:sz w:val="3"/>
                          </w:rPr>
                          <w:t>1,34316000%</w:t>
                        </w:r>
                      </w:p>
                    </w:tc>
                    <w:tc>
                      <w:tcPr>
                        <w:tcW w:w="288" w:type="dxa"/>
                        <w:tcBorders>
                          <w:top w:val="single" w:sz="2" w:space="0" w:color="000000"/>
                          <w:left w:val="single" w:sz="2" w:space="0" w:color="000000"/>
                          <w:bottom w:val="single" w:sz="2" w:space="0" w:color="000000"/>
                          <w:right w:val="single" w:sz="2" w:space="0" w:color="000000"/>
                        </w:tcBorders>
                      </w:tcPr>
                      <w:p w14:paraId="01D8D26B" w14:textId="77777777" w:rsidR="00F65BCA" w:rsidRDefault="00F65BCA">
                        <w:pPr>
                          <w:pStyle w:val="TableParagraph"/>
                          <w:rPr>
                            <w:rFonts w:ascii="Calibri"/>
                            <w:sz w:val="2"/>
                          </w:rPr>
                        </w:pPr>
                      </w:p>
                      <w:p w14:paraId="760D16AE" w14:textId="77777777" w:rsidR="00F65BCA" w:rsidRDefault="00F65BCA">
                        <w:pPr>
                          <w:pStyle w:val="TableParagraph"/>
                          <w:rPr>
                            <w:rFonts w:ascii="Calibri"/>
                            <w:sz w:val="2"/>
                          </w:rPr>
                        </w:pPr>
                      </w:p>
                      <w:p w14:paraId="6F2BF9D0" w14:textId="77777777" w:rsidR="00F65BCA" w:rsidRDefault="00216117">
                        <w:pPr>
                          <w:pStyle w:val="TableParagraph"/>
                          <w:spacing w:before="1"/>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051B8100" w14:textId="77777777" w:rsidR="00F65BCA" w:rsidRDefault="00F65BCA">
                        <w:pPr>
                          <w:pStyle w:val="TableParagraph"/>
                          <w:rPr>
                            <w:rFonts w:ascii="Calibri"/>
                            <w:sz w:val="2"/>
                          </w:rPr>
                        </w:pPr>
                      </w:p>
                      <w:p w14:paraId="0B3087CA" w14:textId="77777777" w:rsidR="00F65BCA" w:rsidRDefault="00F65BCA">
                        <w:pPr>
                          <w:pStyle w:val="TableParagraph"/>
                          <w:rPr>
                            <w:rFonts w:ascii="Calibri"/>
                            <w:sz w:val="2"/>
                          </w:rPr>
                        </w:pPr>
                      </w:p>
                      <w:p w14:paraId="5FD5F8FE" w14:textId="77777777" w:rsidR="00F65BCA" w:rsidRDefault="00216117">
                        <w:pPr>
                          <w:pStyle w:val="TableParagraph"/>
                          <w:spacing w:before="1"/>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2EBE1359" w14:textId="77777777" w:rsidR="00F65BCA" w:rsidRDefault="00F65BCA">
                        <w:pPr>
                          <w:pStyle w:val="TableParagraph"/>
                          <w:rPr>
                            <w:rFonts w:ascii="Calibri"/>
                            <w:sz w:val="2"/>
                          </w:rPr>
                        </w:pPr>
                      </w:p>
                      <w:p w14:paraId="4CF90676" w14:textId="77777777" w:rsidR="00F65BCA" w:rsidRDefault="00F65BCA">
                        <w:pPr>
                          <w:pStyle w:val="TableParagraph"/>
                          <w:rPr>
                            <w:rFonts w:ascii="Calibri"/>
                            <w:sz w:val="2"/>
                          </w:rPr>
                        </w:pPr>
                      </w:p>
                      <w:p w14:paraId="0879C180" w14:textId="77777777" w:rsidR="00F65BCA" w:rsidRDefault="00216117">
                        <w:pPr>
                          <w:pStyle w:val="TableParagraph"/>
                          <w:spacing w:before="1"/>
                          <w:ind w:left="24" w:right="24"/>
                          <w:jc w:val="center"/>
                          <w:rPr>
                            <w:sz w:val="3"/>
                          </w:rPr>
                        </w:pPr>
                        <w:r>
                          <w:rPr>
                            <w:w w:val="105"/>
                            <w:sz w:val="3"/>
                          </w:rPr>
                          <w:t>1,67895000%</w:t>
                        </w:r>
                      </w:p>
                    </w:tc>
                  </w:tr>
                  <w:tr w:rsidR="00F65BCA" w14:paraId="7BFA3E4C" w14:textId="77777777">
                    <w:trPr>
                      <w:trHeight w:val="131"/>
                    </w:trPr>
                    <w:tc>
                      <w:tcPr>
                        <w:tcW w:w="526" w:type="dxa"/>
                        <w:vMerge/>
                        <w:tcBorders>
                          <w:top w:val="nil"/>
                          <w:left w:val="single" w:sz="2" w:space="0" w:color="000000"/>
                          <w:bottom w:val="nil"/>
                          <w:right w:val="single" w:sz="2" w:space="0" w:color="000000"/>
                        </w:tcBorders>
                        <w:shd w:val="clear" w:color="auto" w:fill="FCE4D6"/>
                      </w:tcPr>
                      <w:p w14:paraId="3AEF323E"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05675256"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67CE709A"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5C2A918" w14:textId="77777777" w:rsidR="00F65BCA" w:rsidRDefault="00F65BCA">
                        <w:pPr>
                          <w:pStyle w:val="TableParagraph"/>
                          <w:rPr>
                            <w:rFonts w:ascii="Calibri"/>
                            <w:sz w:val="2"/>
                          </w:rPr>
                        </w:pPr>
                      </w:p>
                      <w:p w14:paraId="47DE062A" w14:textId="77777777" w:rsidR="00F65BCA" w:rsidRDefault="00F65BCA">
                        <w:pPr>
                          <w:pStyle w:val="TableParagraph"/>
                          <w:rPr>
                            <w:rFonts w:ascii="Calibri"/>
                            <w:sz w:val="2"/>
                          </w:rPr>
                        </w:pPr>
                      </w:p>
                      <w:p w14:paraId="2B9F4A42" w14:textId="77777777" w:rsidR="00F65BCA" w:rsidRDefault="00216117">
                        <w:pPr>
                          <w:pStyle w:val="TableParagraph"/>
                          <w:spacing w:before="1"/>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8F08704" w14:textId="77777777" w:rsidR="00F65BCA" w:rsidRDefault="00F65BCA">
                        <w:pPr>
                          <w:pStyle w:val="TableParagraph"/>
                          <w:rPr>
                            <w:rFonts w:ascii="Calibri"/>
                            <w:sz w:val="2"/>
                          </w:rPr>
                        </w:pPr>
                      </w:p>
                      <w:p w14:paraId="5E787167" w14:textId="77777777" w:rsidR="00F65BCA" w:rsidRDefault="00F65BCA">
                        <w:pPr>
                          <w:pStyle w:val="TableParagraph"/>
                          <w:rPr>
                            <w:rFonts w:ascii="Calibri"/>
                            <w:sz w:val="2"/>
                          </w:rPr>
                        </w:pPr>
                      </w:p>
                      <w:p w14:paraId="4DA36B29" w14:textId="77777777" w:rsidR="00F65BCA" w:rsidRDefault="00216117">
                        <w:pPr>
                          <w:pStyle w:val="TableParagraph"/>
                          <w:spacing w:before="1"/>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152EF92"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5BD6831" w14:textId="77777777" w:rsidR="00F65BCA" w:rsidRDefault="00F65BCA">
                        <w:pPr>
                          <w:pStyle w:val="TableParagraph"/>
                          <w:rPr>
                            <w:rFonts w:ascii="Calibri"/>
                            <w:sz w:val="2"/>
                          </w:rPr>
                        </w:pPr>
                      </w:p>
                      <w:p w14:paraId="3E52E376" w14:textId="77777777" w:rsidR="00F65BCA" w:rsidRDefault="00F65BCA">
                        <w:pPr>
                          <w:pStyle w:val="TableParagraph"/>
                          <w:rPr>
                            <w:rFonts w:ascii="Calibri"/>
                            <w:sz w:val="2"/>
                          </w:rPr>
                        </w:pPr>
                      </w:p>
                      <w:p w14:paraId="0CED0089" w14:textId="77777777" w:rsidR="00F65BCA" w:rsidRDefault="00216117">
                        <w:pPr>
                          <w:pStyle w:val="TableParagraph"/>
                          <w:spacing w:before="1"/>
                          <w:ind w:left="24" w:right="24"/>
                          <w:jc w:val="center"/>
                          <w:rPr>
                            <w:sz w:val="3"/>
                          </w:rPr>
                        </w:pPr>
                        <w:r>
                          <w:rPr>
                            <w:w w:val="105"/>
                            <w:sz w:val="3"/>
                          </w:rPr>
                          <w:t>2,16338304%</w:t>
                        </w:r>
                      </w:p>
                    </w:tc>
                    <w:tc>
                      <w:tcPr>
                        <w:tcW w:w="288" w:type="dxa"/>
                        <w:tcBorders>
                          <w:top w:val="single" w:sz="2" w:space="0" w:color="000000"/>
                          <w:left w:val="single" w:sz="2" w:space="0" w:color="000000"/>
                          <w:bottom w:val="single" w:sz="2" w:space="0" w:color="000000"/>
                          <w:right w:val="single" w:sz="2" w:space="0" w:color="000000"/>
                        </w:tcBorders>
                      </w:tcPr>
                      <w:p w14:paraId="7B3A3300" w14:textId="77777777" w:rsidR="00F65BCA" w:rsidRDefault="00F65BCA">
                        <w:pPr>
                          <w:pStyle w:val="TableParagraph"/>
                          <w:rPr>
                            <w:rFonts w:ascii="Calibri"/>
                            <w:sz w:val="2"/>
                          </w:rPr>
                        </w:pPr>
                      </w:p>
                      <w:p w14:paraId="02C37FCA" w14:textId="77777777" w:rsidR="00F65BCA" w:rsidRDefault="00F65BCA">
                        <w:pPr>
                          <w:pStyle w:val="TableParagraph"/>
                          <w:rPr>
                            <w:rFonts w:ascii="Calibri"/>
                            <w:sz w:val="2"/>
                          </w:rPr>
                        </w:pPr>
                      </w:p>
                      <w:p w14:paraId="210A145E" w14:textId="77777777" w:rsidR="00F65BCA" w:rsidRDefault="00216117">
                        <w:pPr>
                          <w:pStyle w:val="TableParagraph"/>
                          <w:spacing w:before="1"/>
                          <w:ind w:left="24" w:right="24"/>
                          <w:jc w:val="center"/>
                          <w:rPr>
                            <w:sz w:val="3"/>
                          </w:rPr>
                        </w:pPr>
                        <w:r>
                          <w:rPr>
                            <w:w w:val="105"/>
                            <w:sz w:val="3"/>
                          </w:rPr>
                          <w:t>2,02817160%</w:t>
                        </w:r>
                      </w:p>
                    </w:tc>
                    <w:tc>
                      <w:tcPr>
                        <w:tcW w:w="288" w:type="dxa"/>
                        <w:tcBorders>
                          <w:top w:val="single" w:sz="2" w:space="0" w:color="000000"/>
                          <w:left w:val="single" w:sz="2" w:space="0" w:color="000000"/>
                          <w:bottom w:val="single" w:sz="2" w:space="0" w:color="000000"/>
                          <w:right w:val="single" w:sz="2" w:space="0" w:color="000000"/>
                        </w:tcBorders>
                      </w:tcPr>
                      <w:p w14:paraId="1ABC2588" w14:textId="77777777" w:rsidR="00F65BCA" w:rsidRDefault="00F65BCA">
                        <w:pPr>
                          <w:pStyle w:val="TableParagraph"/>
                          <w:rPr>
                            <w:rFonts w:ascii="Calibri"/>
                            <w:sz w:val="2"/>
                          </w:rPr>
                        </w:pPr>
                      </w:p>
                      <w:p w14:paraId="3EF8928C" w14:textId="77777777" w:rsidR="00F65BCA" w:rsidRDefault="00F65BCA">
                        <w:pPr>
                          <w:pStyle w:val="TableParagraph"/>
                          <w:rPr>
                            <w:rFonts w:ascii="Calibri"/>
                            <w:sz w:val="2"/>
                          </w:rPr>
                        </w:pPr>
                      </w:p>
                      <w:p w14:paraId="611ACAEA" w14:textId="77777777" w:rsidR="00F65BCA" w:rsidRDefault="00216117">
                        <w:pPr>
                          <w:pStyle w:val="TableParagraph"/>
                          <w:spacing w:before="1"/>
                          <w:ind w:left="24" w:right="24"/>
                          <w:jc w:val="center"/>
                          <w:rPr>
                            <w:sz w:val="3"/>
                          </w:rPr>
                        </w:pPr>
                        <w:r>
                          <w:rPr>
                            <w:w w:val="105"/>
                            <w:sz w:val="3"/>
                          </w:rPr>
                          <w:t>1,93352359%</w:t>
                        </w:r>
                      </w:p>
                    </w:tc>
                    <w:tc>
                      <w:tcPr>
                        <w:tcW w:w="288" w:type="dxa"/>
                        <w:tcBorders>
                          <w:top w:val="single" w:sz="2" w:space="0" w:color="000000"/>
                          <w:left w:val="single" w:sz="2" w:space="0" w:color="000000"/>
                          <w:bottom w:val="single" w:sz="2" w:space="0" w:color="000000"/>
                          <w:right w:val="single" w:sz="2" w:space="0" w:color="000000"/>
                        </w:tcBorders>
                      </w:tcPr>
                      <w:p w14:paraId="5BE76CD7" w14:textId="77777777" w:rsidR="00F65BCA" w:rsidRDefault="00F65BCA">
                        <w:pPr>
                          <w:pStyle w:val="TableParagraph"/>
                          <w:rPr>
                            <w:rFonts w:ascii="Calibri"/>
                            <w:sz w:val="2"/>
                          </w:rPr>
                        </w:pPr>
                      </w:p>
                      <w:p w14:paraId="58475B48" w14:textId="77777777" w:rsidR="00F65BCA" w:rsidRDefault="00F65BCA">
                        <w:pPr>
                          <w:pStyle w:val="TableParagraph"/>
                          <w:rPr>
                            <w:rFonts w:ascii="Calibri"/>
                            <w:sz w:val="2"/>
                          </w:rPr>
                        </w:pPr>
                      </w:p>
                      <w:p w14:paraId="4485B791" w14:textId="77777777" w:rsidR="00F65BCA" w:rsidRDefault="00216117">
                        <w:pPr>
                          <w:pStyle w:val="TableParagraph"/>
                          <w:spacing w:before="1"/>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58E00A6B" w14:textId="77777777" w:rsidR="00F65BCA" w:rsidRDefault="00F65BCA">
                        <w:pPr>
                          <w:pStyle w:val="TableParagraph"/>
                          <w:rPr>
                            <w:rFonts w:ascii="Calibri"/>
                            <w:sz w:val="2"/>
                          </w:rPr>
                        </w:pPr>
                      </w:p>
                      <w:p w14:paraId="25FC956C" w14:textId="77777777" w:rsidR="00F65BCA" w:rsidRDefault="00F65BCA">
                        <w:pPr>
                          <w:pStyle w:val="TableParagraph"/>
                          <w:rPr>
                            <w:rFonts w:ascii="Calibri"/>
                            <w:sz w:val="2"/>
                          </w:rPr>
                        </w:pPr>
                      </w:p>
                      <w:p w14:paraId="65FD0EF3" w14:textId="77777777" w:rsidR="00F65BCA" w:rsidRDefault="00216117">
                        <w:pPr>
                          <w:pStyle w:val="TableParagraph"/>
                          <w:spacing w:before="1"/>
                          <w:ind w:left="24" w:right="24"/>
                          <w:jc w:val="center"/>
                          <w:rPr>
                            <w:sz w:val="3"/>
                          </w:rPr>
                        </w:pPr>
                        <w:r>
                          <w:rPr>
                            <w:w w:val="105"/>
                            <w:sz w:val="3"/>
                          </w:rPr>
                          <w:t>1,73070643%</w:t>
                        </w:r>
                      </w:p>
                    </w:tc>
                    <w:tc>
                      <w:tcPr>
                        <w:tcW w:w="288" w:type="dxa"/>
                        <w:tcBorders>
                          <w:top w:val="single" w:sz="2" w:space="0" w:color="000000"/>
                          <w:left w:val="single" w:sz="2" w:space="0" w:color="000000"/>
                          <w:bottom w:val="single" w:sz="2" w:space="0" w:color="000000"/>
                          <w:right w:val="single" w:sz="2" w:space="0" w:color="000000"/>
                        </w:tcBorders>
                      </w:tcPr>
                      <w:p w14:paraId="38335B64" w14:textId="77777777" w:rsidR="00F65BCA" w:rsidRDefault="00F65BCA">
                        <w:pPr>
                          <w:pStyle w:val="TableParagraph"/>
                          <w:rPr>
                            <w:rFonts w:ascii="Calibri"/>
                            <w:sz w:val="2"/>
                          </w:rPr>
                        </w:pPr>
                      </w:p>
                      <w:p w14:paraId="2545E060" w14:textId="77777777" w:rsidR="00F65BCA" w:rsidRDefault="00F65BCA">
                        <w:pPr>
                          <w:pStyle w:val="TableParagraph"/>
                          <w:rPr>
                            <w:rFonts w:ascii="Calibri"/>
                            <w:sz w:val="2"/>
                          </w:rPr>
                        </w:pPr>
                      </w:p>
                      <w:p w14:paraId="04BD7C93" w14:textId="77777777" w:rsidR="00F65BCA" w:rsidRDefault="00216117">
                        <w:pPr>
                          <w:pStyle w:val="TableParagraph"/>
                          <w:spacing w:before="1"/>
                          <w:ind w:left="24" w:right="24"/>
                          <w:jc w:val="center"/>
                          <w:rPr>
                            <w:sz w:val="3"/>
                          </w:rPr>
                        </w:pPr>
                        <w:r>
                          <w:rPr>
                            <w:w w:val="105"/>
                            <w:sz w:val="3"/>
                          </w:rPr>
                          <w:t>1,60901614%</w:t>
                        </w:r>
                      </w:p>
                    </w:tc>
                    <w:tc>
                      <w:tcPr>
                        <w:tcW w:w="288" w:type="dxa"/>
                        <w:tcBorders>
                          <w:top w:val="single" w:sz="2" w:space="0" w:color="000000"/>
                          <w:left w:val="single" w:sz="2" w:space="0" w:color="000000"/>
                          <w:bottom w:val="single" w:sz="2" w:space="0" w:color="000000"/>
                          <w:right w:val="single" w:sz="2" w:space="0" w:color="000000"/>
                        </w:tcBorders>
                      </w:tcPr>
                      <w:p w14:paraId="7460C1A1" w14:textId="77777777" w:rsidR="00F65BCA" w:rsidRDefault="00F65BCA">
                        <w:pPr>
                          <w:pStyle w:val="TableParagraph"/>
                          <w:rPr>
                            <w:rFonts w:ascii="Calibri"/>
                            <w:sz w:val="2"/>
                          </w:rPr>
                        </w:pPr>
                      </w:p>
                      <w:p w14:paraId="3EF14077" w14:textId="77777777" w:rsidR="00F65BCA" w:rsidRDefault="00F65BCA">
                        <w:pPr>
                          <w:pStyle w:val="TableParagraph"/>
                          <w:rPr>
                            <w:rFonts w:ascii="Calibri"/>
                            <w:sz w:val="2"/>
                          </w:rPr>
                        </w:pPr>
                      </w:p>
                      <w:p w14:paraId="4842DC30" w14:textId="77777777" w:rsidR="00F65BCA" w:rsidRDefault="00216117">
                        <w:pPr>
                          <w:pStyle w:val="TableParagraph"/>
                          <w:spacing w:before="1"/>
                          <w:ind w:left="24" w:right="24"/>
                          <w:jc w:val="center"/>
                          <w:rPr>
                            <w:sz w:val="3"/>
                          </w:rPr>
                        </w:pPr>
                        <w:r>
                          <w:rPr>
                            <w:w w:val="105"/>
                            <w:sz w:val="3"/>
                          </w:rPr>
                          <w:t>1,48732584%</w:t>
                        </w:r>
                      </w:p>
                    </w:tc>
                    <w:tc>
                      <w:tcPr>
                        <w:tcW w:w="288" w:type="dxa"/>
                        <w:tcBorders>
                          <w:top w:val="single" w:sz="2" w:space="0" w:color="000000"/>
                          <w:left w:val="single" w:sz="2" w:space="0" w:color="000000"/>
                          <w:bottom w:val="single" w:sz="2" w:space="0" w:color="000000"/>
                          <w:right w:val="single" w:sz="2" w:space="0" w:color="000000"/>
                        </w:tcBorders>
                      </w:tcPr>
                      <w:p w14:paraId="4805F7CD" w14:textId="77777777" w:rsidR="00F65BCA" w:rsidRDefault="00F65BCA">
                        <w:pPr>
                          <w:pStyle w:val="TableParagraph"/>
                          <w:rPr>
                            <w:rFonts w:ascii="Calibri"/>
                            <w:sz w:val="2"/>
                          </w:rPr>
                        </w:pPr>
                      </w:p>
                      <w:p w14:paraId="28004F90" w14:textId="77777777" w:rsidR="00F65BCA" w:rsidRDefault="00F65BCA">
                        <w:pPr>
                          <w:pStyle w:val="TableParagraph"/>
                          <w:rPr>
                            <w:rFonts w:ascii="Calibri"/>
                            <w:sz w:val="2"/>
                          </w:rPr>
                        </w:pPr>
                      </w:p>
                      <w:p w14:paraId="2EF903DB" w14:textId="77777777" w:rsidR="00F65BCA" w:rsidRDefault="00216117">
                        <w:pPr>
                          <w:pStyle w:val="TableParagraph"/>
                          <w:spacing w:before="1"/>
                          <w:ind w:left="24" w:right="24"/>
                          <w:jc w:val="center"/>
                          <w:rPr>
                            <w:sz w:val="3"/>
                          </w:rPr>
                        </w:pPr>
                        <w:r>
                          <w:rPr>
                            <w:w w:val="105"/>
                            <w:sz w:val="3"/>
                          </w:rPr>
                          <w:t>1,35211440%</w:t>
                        </w:r>
                      </w:p>
                    </w:tc>
                    <w:tc>
                      <w:tcPr>
                        <w:tcW w:w="288" w:type="dxa"/>
                        <w:tcBorders>
                          <w:top w:val="single" w:sz="2" w:space="0" w:color="000000"/>
                          <w:left w:val="single" w:sz="2" w:space="0" w:color="000000"/>
                          <w:bottom w:val="single" w:sz="2" w:space="0" w:color="000000"/>
                          <w:right w:val="single" w:sz="2" w:space="0" w:color="000000"/>
                        </w:tcBorders>
                      </w:tcPr>
                      <w:p w14:paraId="2215B969" w14:textId="77777777" w:rsidR="00F65BCA" w:rsidRDefault="00F65BCA">
                        <w:pPr>
                          <w:pStyle w:val="TableParagraph"/>
                          <w:rPr>
                            <w:rFonts w:ascii="Calibri"/>
                            <w:sz w:val="2"/>
                          </w:rPr>
                        </w:pPr>
                      </w:p>
                      <w:p w14:paraId="3676A43F" w14:textId="77777777" w:rsidR="00F65BCA" w:rsidRDefault="00F65BCA">
                        <w:pPr>
                          <w:pStyle w:val="TableParagraph"/>
                          <w:rPr>
                            <w:rFonts w:ascii="Calibri"/>
                            <w:sz w:val="2"/>
                          </w:rPr>
                        </w:pPr>
                      </w:p>
                      <w:p w14:paraId="0087DA16" w14:textId="77777777" w:rsidR="00F65BCA" w:rsidRDefault="00216117">
                        <w:pPr>
                          <w:pStyle w:val="TableParagraph"/>
                          <w:spacing w:before="1"/>
                          <w:ind w:left="24" w:right="24"/>
                          <w:jc w:val="center"/>
                          <w:rPr>
                            <w:sz w:val="3"/>
                          </w:rPr>
                        </w:pPr>
                        <w:r>
                          <w:rPr>
                            <w:w w:val="105"/>
                            <w:sz w:val="3"/>
                          </w:rPr>
                          <w:t>1,35211440%</w:t>
                        </w:r>
                      </w:p>
                    </w:tc>
                    <w:tc>
                      <w:tcPr>
                        <w:tcW w:w="288" w:type="dxa"/>
                        <w:tcBorders>
                          <w:top w:val="single" w:sz="2" w:space="0" w:color="000000"/>
                          <w:left w:val="single" w:sz="2" w:space="0" w:color="000000"/>
                          <w:bottom w:val="single" w:sz="2" w:space="0" w:color="000000"/>
                          <w:right w:val="single" w:sz="2" w:space="0" w:color="000000"/>
                        </w:tcBorders>
                      </w:tcPr>
                      <w:p w14:paraId="76C61F42" w14:textId="77777777" w:rsidR="00F65BCA" w:rsidRDefault="00F65BCA">
                        <w:pPr>
                          <w:pStyle w:val="TableParagraph"/>
                          <w:rPr>
                            <w:rFonts w:ascii="Calibri"/>
                            <w:sz w:val="2"/>
                          </w:rPr>
                        </w:pPr>
                      </w:p>
                      <w:p w14:paraId="29AA19B2" w14:textId="77777777" w:rsidR="00F65BCA" w:rsidRDefault="00F65BCA">
                        <w:pPr>
                          <w:pStyle w:val="TableParagraph"/>
                          <w:rPr>
                            <w:rFonts w:ascii="Calibri"/>
                            <w:sz w:val="2"/>
                          </w:rPr>
                        </w:pPr>
                      </w:p>
                      <w:p w14:paraId="7DA88446" w14:textId="77777777" w:rsidR="00F65BCA" w:rsidRDefault="00216117">
                        <w:pPr>
                          <w:pStyle w:val="TableParagraph"/>
                          <w:spacing w:before="1"/>
                          <w:ind w:left="24" w:right="24"/>
                          <w:jc w:val="center"/>
                          <w:rPr>
                            <w:sz w:val="3"/>
                          </w:rPr>
                        </w:pPr>
                        <w:r>
                          <w:rPr>
                            <w:w w:val="105"/>
                            <w:sz w:val="3"/>
                          </w:rPr>
                          <w:t>1,62253728%</w:t>
                        </w:r>
                      </w:p>
                    </w:tc>
                    <w:tc>
                      <w:tcPr>
                        <w:tcW w:w="288" w:type="dxa"/>
                        <w:tcBorders>
                          <w:top w:val="single" w:sz="2" w:space="0" w:color="000000"/>
                          <w:left w:val="single" w:sz="2" w:space="0" w:color="000000"/>
                          <w:bottom w:val="single" w:sz="2" w:space="0" w:color="000000"/>
                          <w:right w:val="single" w:sz="2" w:space="0" w:color="000000"/>
                        </w:tcBorders>
                      </w:tcPr>
                      <w:p w14:paraId="44E75DA0" w14:textId="77777777" w:rsidR="00F65BCA" w:rsidRDefault="00F65BCA">
                        <w:pPr>
                          <w:pStyle w:val="TableParagraph"/>
                          <w:rPr>
                            <w:rFonts w:ascii="Calibri"/>
                            <w:sz w:val="2"/>
                          </w:rPr>
                        </w:pPr>
                      </w:p>
                      <w:p w14:paraId="7AFFA80D" w14:textId="77777777" w:rsidR="00F65BCA" w:rsidRDefault="00F65BCA">
                        <w:pPr>
                          <w:pStyle w:val="TableParagraph"/>
                          <w:rPr>
                            <w:rFonts w:ascii="Calibri"/>
                            <w:sz w:val="2"/>
                          </w:rPr>
                        </w:pPr>
                      </w:p>
                      <w:p w14:paraId="3CDEEE43" w14:textId="77777777" w:rsidR="00F65BCA" w:rsidRDefault="00216117">
                        <w:pPr>
                          <w:pStyle w:val="TableParagraph"/>
                          <w:spacing w:before="1"/>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4F675DC6" w14:textId="77777777" w:rsidR="00F65BCA" w:rsidRDefault="00F65BCA">
                        <w:pPr>
                          <w:pStyle w:val="TableParagraph"/>
                          <w:rPr>
                            <w:rFonts w:ascii="Calibri"/>
                            <w:sz w:val="2"/>
                          </w:rPr>
                        </w:pPr>
                      </w:p>
                      <w:p w14:paraId="4B85622D" w14:textId="77777777" w:rsidR="00F65BCA" w:rsidRDefault="00F65BCA">
                        <w:pPr>
                          <w:pStyle w:val="TableParagraph"/>
                          <w:rPr>
                            <w:rFonts w:ascii="Calibri"/>
                            <w:sz w:val="2"/>
                          </w:rPr>
                        </w:pPr>
                      </w:p>
                      <w:p w14:paraId="57142BBE" w14:textId="77777777" w:rsidR="00F65BCA" w:rsidRDefault="00216117">
                        <w:pPr>
                          <w:pStyle w:val="TableParagraph"/>
                          <w:spacing w:before="1"/>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3BDEF83B" w14:textId="77777777" w:rsidR="00F65BCA" w:rsidRDefault="00F65BCA">
                        <w:pPr>
                          <w:pStyle w:val="TableParagraph"/>
                          <w:rPr>
                            <w:rFonts w:ascii="Calibri"/>
                            <w:sz w:val="2"/>
                          </w:rPr>
                        </w:pPr>
                      </w:p>
                      <w:p w14:paraId="73E5D1F6" w14:textId="77777777" w:rsidR="00F65BCA" w:rsidRDefault="00F65BCA">
                        <w:pPr>
                          <w:pStyle w:val="TableParagraph"/>
                          <w:rPr>
                            <w:rFonts w:ascii="Calibri"/>
                            <w:sz w:val="2"/>
                          </w:rPr>
                        </w:pPr>
                      </w:p>
                      <w:p w14:paraId="52B4C519" w14:textId="77777777" w:rsidR="00F65BCA" w:rsidRDefault="00216117">
                        <w:pPr>
                          <w:pStyle w:val="TableParagraph"/>
                          <w:spacing w:before="1"/>
                          <w:ind w:left="24" w:right="24"/>
                          <w:jc w:val="center"/>
                          <w:rPr>
                            <w:sz w:val="3"/>
                          </w:rPr>
                        </w:pPr>
                        <w:r>
                          <w:rPr>
                            <w:w w:val="105"/>
                            <w:sz w:val="3"/>
                          </w:rPr>
                          <w:t>2,02817160%</w:t>
                        </w:r>
                      </w:p>
                    </w:tc>
                  </w:tr>
                  <w:tr w:rsidR="00F65BCA" w14:paraId="5CA705C3"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4A34F13B"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C173594" w14:textId="77777777" w:rsidR="00F65BCA" w:rsidRDefault="00F65BCA">
                        <w:pPr>
                          <w:pStyle w:val="TableParagraph"/>
                          <w:rPr>
                            <w:rFonts w:ascii="Calibri"/>
                            <w:sz w:val="2"/>
                          </w:rPr>
                        </w:pPr>
                      </w:p>
                      <w:p w14:paraId="516F641A" w14:textId="77777777" w:rsidR="00F65BCA" w:rsidRDefault="00F65BCA">
                        <w:pPr>
                          <w:pStyle w:val="TableParagraph"/>
                          <w:rPr>
                            <w:rFonts w:ascii="Calibri"/>
                            <w:sz w:val="2"/>
                          </w:rPr>
                        </w:pPr>
                      </w:p>
                      <w:p w14:paraId="396024AB" w14:textId="77777777" w:rsidR="00F65BCA" w:rsidRDefault="00F65BCA">
                        <w:pPr>
                          <w:pStyle w:val="TableParagraph"/>
                          <w:rPr>
                            <w:rFonts w:ascii="Calibri"/>
                            <w:sz w:val="2"/>
                          </w:rPr>
                        </w:pPr>
                      </w:p>
                      <w:p w14:paraId="386B8B30" w14:textId="77777777" w:rsidR="00F65BCA" w:rsidRDefault="00F65BCA">
                        <w:pPr>
                          <w:pStyle w:val="TableParagraph"/>
                          <w:rPr>
                            <w:rFonts w:ascii="Calibri"/>
                            <w:sz w:val="2"/>
                          </w:rPr>
                        </w:pPr>
                      </w:p>
                      <w:p w14:paraId="10C78CD4" w14:textId="77777777" w:rsidR="00F65BCA" w:rsidRDefault="00F65BCA">
                        <w:pPr>
                          <w:pStyle w:val="TableParagraph"/>
                          <w:rPr>
                            <w:rFonts w:ascii="Calibri"/>
                            <w:sz w:val="2"/>
                          </w:rPr>
                        </w:pPr>
                      </w:p>
                      <w:p w14:paraId="52725311" w14:textId="77777777" w:rsidR="00F65BCA" w:rsidRDefault="00F65BCA">
                        <w:pPr>
                          <w:pStyle w:val="TableParagraph"/>
                          <w:spacing w:before="6"/>
                          <w:rPr>
                            <w:rFonts w:ascii="Calibri"/>
                            <w:sz w:val="2"/>
                          </w:rPr>
                        </w:pPr>
                      </w:p>
                      <w:p w14:paraId="06E999E8" w14:textId="77777777" w:rsidR="00F65BCA" w:rsidRDefault="00216117">
                        <w:pPr>
                          <w:pStyle w:val="TableParagraph"/>
                          <w:ind w:left="18" w:right="14"/>
                          <w:jc w:val="center"/>
                          <w:rPr>
                            <w:sz w:val="3"/>
                          </w:rPr>
                        </w:pPr>
                        <w:r>
                          <w:rPr>
                            <w:w w:val="105"/>
                            <w:sz w:val="3"/>
                          </w:rPr>
                          <w:t>Mazda</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4AC20DE1" w14:textId="77777777" w:rsidR="00F65BCA" w:rsidRDefault="00F65BCA">
                        <w:pPr>
                          <w:pStyle w:val="TableParagraph"/>
                          <w:rPr>
                            <w:rFonts w:ascii="Calibri"/>
                            <w:sz w:val="2"/>
                          </w:rPr>
                        </w:pPr>
                      </w:p>
                      <w:p w14:paraId="119B5E36" w14:textId="77777777" w:rsidR="00F65BCA" w:rsidRDefault="00F65BCA">
                        <w:pPr>
                          <w:pStyle w:val="TableParagraph"/>
                          <w:rPr>
                            <w:rFonts w:ascii="Calibri"/>
                            <w:sz w:val="2"/>
                          </w:rPr>
                        </w:pPr>
                      </w:p>
                      <w:p w14:paraId="1079FF8F" w14:textId="77777777" w:rsidR="00F65BCA" w:rsidRDefault="00216117">
                        <w:pPr>
                          <w:pStyle w:val="TableParagraph"/>
                          <w:spacing w:before="17"/>
                          <w:ind w:left="4"/>
                          <w:rPr>
                            <w:sz w:val="3"/>
                          </w:rPr>
                        </w:pPr>
                        <w:r>
                          <w:rPr>
                            <w:w w:val="105"/>
                            <w:sz w:val="3"/>
                          </w:rPr>
                          <w:t>121 VAN; B 2500; B-FIGHTER; BT-50</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34DBE6F" w14:textId="77777777" w:rsidR="00F65BCA" w:rsidRDefault="00F65BCA">
                        <w:pPr>
                          <w:pStyle w:val="TableParagraph"/>
                          <w:rPr>
                            <w:rFonts w:ascii="Calibri"/>
                            <w:sz w:val="2"/>
                          </w:rPr>
                        </w:pPr>
                      </w:p>
                      <w:p w14:paraId="488F659E"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03A2834" w14:textId="77777777" w:rsidR="00F65BCA" w:rsidRDefault="00F65BCA">
                        <w:pPr>
                          <w:pStyle w:val="TableParagraph"/>
                          <w:rPr>
                            <w:rFonts w:ascii="Calibri"/>
                            <w:sz w:val="2"/>
                          </w:rPr>
                        </w:pPr>
                      </w:p>
                      <w:p w14:paraId="12252983"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6B6392B"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07BBF167" w14:textId="77777777" w:rsidR="00F65BCA" w:rsidRDefault="00F65BCA">
                        <w:pPr>
                          <w:pStyle w:val="TableParagraph"/>
                          <w:rPr>
                            <w:rFonts w:ascii="Calibri"/>
                            <w:sz w:val="2"/>
                          </w:rPr>
                        </w:pPr>
                      </w:p>
                      <w:p w14:paraId="5028BA88"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4588E380" w14:textId="77777777" w:rsidR="00F65BCA" w:rsidRDefault="00F65BCA">
                        <w:pPr>
                          <w:pStyle w:val="TableParagraph"/>
                          <w:rPr>
                            <w:rFonts w:ascii="Calibri"/>
                            <w:sz w:val="2"/>
                          </w:rPr>
                        </w:pPr>
                      </w:p>
                      <w:p w14:paraId="2F8C7526"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3A770FDE" w14:textId="77777777" w:rsidR="00F65BCA" w:rsidRDefault="00F65BCA">
                        <w:pPr>
                          <w:pStyle w:val="TableParagraph"/>
                          <w:rPr>
                            <w:rFonts w:ascii="Calibri"/>
                            <w:sz w:val="2"/>
                          </w:rPr>
                        </w:pPr>
                      </w:p>
                      <w:p w14:paraId="04A8820E"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4F9214B9" w14:textId="77777777" w:rsidR="00F65BCA" w:rsidRDefault="00F65BCA">
                        <w:pPr>
                          <w:pStyle w:val="TableParagraph"/>
                          <w:rPr>
                            <w:rFonts w:ascii="Calibri"/>
                            <w:sz w:val="2"/>
                          </w:rPr>
                        </w:pPr>
                      </w:p>
                      <w:p w14:paraId="3231DB8B"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3DC03146" w14:textId="77777777" w:rsidR="00F65BCA" w:rsidRDefault="00F65BCA">
                        <w:pPr>
                          <w:pStyle w:val="TableParagraph"/>
                          <w:rPr>
                            <w:rFonts w:ascii="Calibri"/>
                            <w:sz w:val="2"/>
                          </w:rPr>
                        </w:pPr>
                      </w:p>
                      <w:p w14:paraId="112F12BD"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55EE9B00" w14:textId="77777777" w:rsidR="00F65BCA" w:rsidRDefault="00F65BCA">
                        <w:pPr>
                          <w:pStyle w:val="TableParagraph"/>
                          <w:rPr>
                            <w:rFonts w:ascii="Calibri"/>
                            <w:sz w:val="2"/>
                          </w:rPr>
                        </w:pPr>
                      </w:p>
                      <w:p w14:paraId="3DBD2DA3"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1D8C8981" w14:textId="77777777" w:rsidR="00F65BCA" w:rsidRDefault="00F65BCA">
                        <w:pPr>
                          <w:pStyle w:val="TableParagraph"/>
                          <w:rPr>
                            <w:rFonts w:ascii="Calibri"/>
                            <w:sz w:val="2"/>
                          </w:rPr>
                        </w:pPr>
                      </w:p>
                      <w:p w14:paraId="3383D1B0"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63100CC6" w14:textId="77777777" w:rsidR="00F65BCA" w:rsidRDefault="00F65BCA">
                        <w:pPr>
                          <w:pStyle w:val="TableParagraph"/>
                          <w:rPr>
                            <w:rFonts w:ascii="Calibri"/>
                            <w:sz w:val="2"/>
                          </w:rPr>
                        </w:pPr>
                      </w:p>
                      <w:p w14:paraId="79C6FED6"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622B620F" w14:textId="77777777" w:rsidR="00F65BCA" w:rsidRDefault="00F65BCA">
                        <w:pPr>
                          <w:pStyle w:val="TableParagraph"/>
                          <w:rPr>
                            <w:rFonts w:ascii="Calibri"/>
                            <w:sz w:val="2"/>
                          </w:rPr>
                        </w:pPr>
                      </w:p>
                      <w:p w14:paraId="355DBF47"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687FDADC" w14:textId="77777777" w:rsidR="00F65BCA" w:rsidRDefault="00F65BCA">
                        <w:pPr>
                          <w:pStyle w:val="TableParagraph"/>
                          <w:rPr>
                            <w:rFonts w:ascii="Calibri"/>
                            <w:sz w:val="2"/>
                          </w:rPr>
                        </w:pPr>
                      </w:p>
                      <w:p w14:paraId="0BFC227C"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62C3AC7C" w14:textId="77777777" w:rsidR="00F65BCA" w:rsidRDefault="00F65BCA">
                        <w:pPr>
                          <w:pStyle w:val="TableParagraph"/>
                          <w:rPr>
                            <w:rFonts w:ascii="Calibri"/>
                            <w:sz w:val="2"/>
                          </w:rPr>
                        </w:pPr>
                      </w:p>
                      <w:p w14:paraId="07BD0F28"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7AFB198A" w14:textId="77777777" w:rsidR="00F65BCA" w:rsidRDefault="00F65BCA">
                        <w:pPr>
                          <w:pStyle w:val="TableParagraph"/>
                          <w:rPr>
                            <w:rFonts w:ascii="Calibri"/>
                            <w:sz w:val="2"/>
                          </w:rPr>
                        </w:pPr>
                      </w:p>
                      <w:p w14:paraId="0E0FC330"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0DBFCC40" w14:textId="77777777" w:rsidR="00F65BCA" w:rsidRDefault="00F65BCA">
                        <w:pPr>
                          <w:pStyle w:val="TableParagraph"/>
                          <w:rPr>
                            <w:rFonts w:ascii="Calibri"/>
                            <w:sz w:val="2"/>
                          </w:rPr>
                        </w:pPr>
                      </w:p>
                      <w:p w14:paraId="120B757D" w14:textId="77777777" w:rsidR="00F65BCA" w:rsidRDefault="00216117">
                        <w:pPr>
                          <w:pStyle w:val="TableParagraph"/>
                          <w:ind w:left="24" w:right="24"/>
                          <w:jc w:val="center"/>
                          <w:rPr>
                            <w:sz w:val="3"/>
                          </w:rPr>
                        </w:pPr>
                        <w:r>
                          <w:rPr>
                            <w:w w:val="105"/>
                            <w:sz w:val="3"/>
                          </w:rPr>
                          <w:t>0,95940000%</w:t>
                        </w:r>
                      </w:p>
                    </w:tc>
                  </w:tr>
                  <w:tr w:rsidR="00F65BCA" w14:paraId="2BFDE8DE"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0E950360"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05AF452F"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2FFDBE3E"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47823C5" w14:textId="77777777" w:rsidR="00F65BCA" w:rsidRDefault="00F65BCA">
                        <w:pPr>
                          <w:pStyle w:val="TableParagraph"/>
                          <w:rPr>
                            <w:rFonts w:ascii="Calibri"/>
                            <w:sz w:val="2"/>
                          </w:rPr>
                        </w:pPr>
                      </w:p>
                      <w:p w14:paraId="00010ED8"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3A31284" w14:textId="77777777" w:rsidR="00F65BCA" w:rsidRDefault="00F65BCA">
                        <w:pPr>
                          <w:pStyle w:val="TableParagraph"/>
                          <w:rPr>
                            <w:rFonts w:ascii="Calibri"/>
                            <w:sz w:val="2"/>
                          </w:rPr>
                        </w:pPr>
                      </w:p>
                      <w:p w14:paraId="620A2593"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A505504"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6DA4169" w14:textId="77777777" w:rsidR="00F65BCA" w:rsidRDefault="00F65BCA">
                        <w:pPr>
                          <w:pStyle w:val="TableParagraph"/>
                          <w:rPr>
                            <w:rFonts w:ascii="Calibri"/>
                            <w:sz w:val="2"/>
                          </w:rPr>
                        </w:pPr>
                      </w:p>
                      <w:p w14:paraId="6E0C3381"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6520DE50" w14:textId="77777777" w:rsidR="00F65BCA" w:rsidRDefault="00F65BCA">
                        <w:pPr>
                          <w:pStyle w:val="TableParagraph"/>
                          <w:rPr>
                            <w:rFonts w:ascii="Calibri"/>
                            <w:sz w:val="2"/>
                          </w:rPr>
                        </w:pPr>
                      </w:p>
                      <w:p w14:paraId="38FD860B"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710C2BCF" w14:textId="77777777" w:rsidR="00F65BCA" w:rsidRDefault="00F65BCA">
                        <w:pPr>
                          <w:pStyle w:val="TableParagraph"/>
                          <w:rPr>
                            <w:rFonts w:ascii="Calibri"/>
                            <w:sz w:val="2"/>
                          </w:rPr>
                        </w:pPr>
                      </w:p>
                      <w:p w14:paraId="7AF99FE7"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55785CEC" w14:textId="77777777" w:rsidR="00F65BCA" w:rsidRDefault="00F65BCA">
                        <w:pPr>
                          <w:pStyle w:val="TableParagraph"/>
                          <w:rPr>
                            <w:rFonts w:ascii="Calibri"/>
                            <w:sz w:val="2"/>
                          </w:rPr>
                        </w:pPr>
                      </w:p>
                      <w:p w14:paraId="0591BB41"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42C96735" w14:textId="77777777" w:rsidR="00F65BCA" w:rsidRDefault="00F65BCA">
                        <w:pPr>
                          <w:pStyle w:val="TableParagraph"/>
                          <w:rPr>
                            <w:rFonts w:ascii="Calibri"/>
                            <w:sz w:val="2"/>
                          </w:rPr>
                        </w:pPr>
                      </w:p>
                      <w:p w14:paraId="438937BE"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022C458D" w14:textId="77777777" w:rsidR="00F65BCA" w:rsidRDefault="00F65BCA">
                        <w:pPr>
                          <w:pStyle w:val="TableParagraph"/>
                          <w:rPr>
                            <w:rFonts w:ascii="Calibri"/>
                            <w:sz w:val="2"/>
                          </w:rPr>
                        </w:pPr>
                      </w:p>
                      <w:p w14:paraId="7774D74F"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5874EE88" w14:textId="77777777" w:rsidR="00F65BCA" w:rsidRDefault="00F65BCA">
                        <w:pPr>
                          <w:pStyle w:val="TableParagraph"/>
                          <w:rPr>
                            <w:rFonts w:ascii="Calibri"/>
                            <w:sz w:val="2"/>
                          </w:rPr>
                        </w:pPr>
                      </w:p>
                      <w:p w14:paraId="18EFB97D"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3FABC155" w14:textId="77777777" w:rsidR="00F65BCA" w:rsidRDefault="00F65BCA">
                        <w:pPr>
                          <w:pStyle w:val="TableParagraph"/>
                          <w:rPr>
                            <w:rFonts w:ascii="Calibri"/>
                            <w:sz w:val="2"/>
                          </w:rPr>
                        </w:pPr>
                      </w:p>
                      <w:p w14:paraId="3B24BA50"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0B0C6023" w14:textId="77777777" w:rsidR="00F65BCA" w:rsidRDefault="00F65BCA">
                        <w:pPr>
                          <w:pStyle w:val="TableParagraph"/>
                          <w:rPr>
                            <w:rFonts w:ascii="Calibri"/>
                            <w:sz w:val="2"/>
                          </w:rPr>
                        </w:pPr>
                      </w:p>
                      <w:p w14:paraId="74D0E6B8"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0D30100A" w14:textId="77777777" w:rsidR="00F65BCA" w:rsidRDefault="00F65BCA">
                        <w:pPr>
                          <w:pStyle w:val="TableParagraph"/>
                          <w:rPr>
                            <w:rFonts w:ascii="Calibri"/>
                            <w:sz w:val="2"/>
                          </w:rPr>
                        </w:pPr>
                      </w:p>
                      <w:p w14:paraId="07E41864"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5488761D" w14:textId="77777777" w:rsidR="00F65BCA" w:rsidRDefault="00F65BCA">
                        <w:pPr>
                          <w:pStyle w:val="TableParagraph"/>
                          <w:rPr>
                            <w:rFonts w:ascii="Calibri"/>
                            <w:sz w:val="2"/>
                          </w:rPr>
                        </w:pPr>
                      </w:p>
                      <w:p w14:paraId="122822CF"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28CC24BC" w14:textId="77777777" w:rsidR="00F65BCA" w:rsidRDefault="00F65BCA">
                        <w:pPr>
                          <w:pStyle w:val="TableParagraph"/>
                          <w:rPr>
                            <w:rFonts w:ascii="Calibri"/>
                            <w:sz w:val="2"/>
                          </w:rPr>
                        </w:pPr>
                      </w:p>
                      <w:p w14:paraId="3AAA095A"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28359F5C" w14:textId="77777777" w:rsidR="00F65BCA" w:rsidRDefault="00F65BCA">
                        <w:pPr>
                          <w:pStyle w:val="TableParagraph"/>
                          <w:rPr>
                            <w:rFonts w:ascii="Calibri"/>
                            <w:sz w:val="2"/>
                          </w:rPr>
                        </w:pPr>
                      </w:p>
                      <w:p w14:paraId="2C2F41D9" w14:textId="77777777" w:rsidR="00F65BCA" w:rsidRDefault="00216117">
                        <w:pPr>
                          <w:pStyle w:val="TableParagraph"/>
                          <w:ind w:left="24" w:right="24"/>
                          <w:jc w:val="center"/>
                          <w:rPr>
                            <w:sz w:val="3"/>
                          </w:rPr>
                        </w:pPr>
                        <w:r>
                          <w:rPr>
                            <w:w w:val="105"/>
                            <w:sz w:val="3"/>
                          </w:rPr>
                          <w:t>1,15895520%</w:t>
                        </w:r>
                      </w:p>
                    </w:tc>
                  </w:tr>
                  <w:tr w:rsidR="00F65BCA" w14:paraId="3896627B"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46DB479E"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6557505D"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1B2E310" w14:textId="77777777" w:rsidR="00F65BCA" w:rsidRDefault="00216117">
                        <w:pPr>
                          <w:pStyle w:val="TableParagraph"/>
                          <w:spacing w:before="4"/>
                          <w:ind w:left="4"/>
                          <w:rPr>
                            <w:sz w:val="3"/>
                          </w:rPr>
                        </w:pPr>
                        <w:r>
                          <w:rPr>
                            <w:w w:val="105"/>
                            <w:sz w:val="3"/>
                          </w:rPr>
                          <w:t>121;</w:t>
                        </w:r>
                        <w:r>
                          <w:rPr>
                            <w:spacing w:val="-1"/>
                            <w:w w:val="105"/>
                            <w:sz w:val="3"/>
                          </w:rPr>
                          <w:t xml:space="preserve"> </w:t>
                        </w:r>
                        <w:r>
                          <w:rPr>
                            <w:w w:val="105"/>
                            <w:sz w:val="3"/>
                          </w:rPr>
                          <w:t>2;</w:t>
                        </w:r>
                        <w:r>
                          <w:rPr>
                            <w:spacing w:val="-1"/>
                            <w:w w:val="105"/>
                            <w:sz w:val="3"/>
                          </w:rPr>
                          <w:t xml:space="preserve"> </w:t>
                        </w:r>
                        <w:r>
                          <w:rPr>
                            <w:w w:val="105"/>
                            <w:sz w:val="3"/>
                          </w:rPr>
                          <w:t>3;</w:t>
                        </w:r>
                        <w:r>
                          <w:rPr>
                            <w:spacing w:val="-1"/>
                            <w:w w:val="105"/>
                            <w:sz w:val="3"/>
                          </w:rPr>
                          <w:t xml:space="preserve"> </w:t>
                        </w:r>
                        <w:r>
                          <w:rPr>
                            <w:w w:val="105"/>
                            <w:sz w:val="3"/>
                          </w:rPr>
                          <w:t>323;</w:t>
                        </w:r>
                        <w:r>
                          <w:rPr>
                            <w:spacing w:val="-1"/>
                            <w:w w:val="105"/>
                            <w:sz w:val="3"/>
                          </w:rPr>
                          <w:t xml:space="preserve"> </w:t>
                        </w:r>
                        <w:r>
                          <w:rPr>
                            <w:w w:val="105"/>
                            <w:sz w:val="3"/>
                          </w:rPr>
                          <w:t>323</w:t>
                        </w:r>
                        <w:r>
                          <w:rPr>
                            <w:spacing w:val="-3"/>
                            <w:w w:val="105"/>
                            <w:sz w:val="3"/>
                          </w:rPr>
                          <w:t xml:space="preserve"> </w:t>
                        </w:r>
                        <w:r>
                          <w:rPr>
                            <w:w w:val="105"/>
                            <w:sz w:val="3"/>
                          </w:rPr>
                          <w:t>COUPE;</w:t>
                        </w:r>
                        <w:r>
                          <w:rPr>
                            <w:spacing w:val="-1"/>
                            <w:w w:val="105"/>
                            <w:sz w:val="3"/>
                          </w:rPr>
                          <w:t xml:space="preserve"> </w:t>
                        </w:r>
                        <w:r>
                          <w:rPr>
                            <w:w w:val="105"/>
                            <w:sz w:val="3"/>
                          </w:rPr>
                          <w:t>323</w:t>
                        </w:r>
                        <w:r>
                          <w:rPr>
                            <w:spacing w:val="-2"/>
                            <w:w w:val="105"/>
                            <w:sz w:val="3"/>
                          </w:rPr>
                          <w:t xml:space="preserve"> </w:t>
                        </w:r>
                        <w:r>
                          <w:rPr>
                            <w:w w:val="105"/>
                            <w:sz w:val="3"/>
                          </w:rPr>
                          <w:t>F;</w:t>
                        </w:r>
                        <w:r>
                          <w:rPr>
                            <w:spacing w:val="-1"/>
                            <w:w w:val="105"/>
                            <w:sz w:val="3"/>
                          </w:rPr>
                          <w:t xml:space="preserve"> </w:t>
                        </w:r>
                        <w:r>
                          <w:rPr>
                            <w:w w:val="105"/>
                            <w:sz w:val="3"/>
                          </w:rPr>
                          <w:t>323</w:t>
                        </w:r>
                        <w:r>
                          <w:rPr>
                            <w:spacing w:val="-3"/>
                            <w:w w:val="105"/>
                            <w:sz w:val="3"/>
                          </w:rPr>
                          <w:t xml:space="preserve"> </w:t>
                        </w:r>
                        <w:r>
                          <w:rPr>
                            <w:w w:val="105"/>
                            <w:sz w:val="3"/>
                          </w:rPr>
                          <w:t>WAGON;</w:t>
                        </w:r>
                        <w:r>
                          <w:rPr>
                            <w:spacing w:val="-1"/>
                            <w:w w:val="105"/>
                            <w:sz w:val="3"/>
                          </w:rPr>
                          <w:t xml:space="preserve"> </w:t>
                        </w:r>
                        <w:r>
                          <w:rPr>
                            <w:w w:val="105"/>
                            <w:sz w:val="3"/>
                          </w:rPr>
                          <w:t>5;</w:t>
                        </w:r>
                        <w:r>
                          <w:rPr>
                            <w:spacing w:val="-1"/>
                            <w:w w:val="105"/>
                            <w:sz w:val="3"/>
                          </w:rPr>
                          <w:t xml:space="preserve"> </w:t>
                        </w:r>
                        <w:r>
                          <w:rPr>
                            <w:w w:val="105"/>
                            <w:sz w:val="3"/>
                          </w:rPr>
                          <w:t>6;</w:t>
                        </w:r>
                        <w:r>
                          <w:rPr>
                            <w:spacing w:val="-1"/>
                            <w:w w:val="105"/>
                            <w:sz w:val="3"/>
                          </w:rPr>
                          <w:t xml:space="preserve"> </w:t>
                        </w:r>
                        <w:r>
                          <w:rPr>
                            <w:w w:val="105"/>
                            <w:sz w:val="3"/>
                          </w:rPr>
                          <w:t>6</w:t>
                        </w:r>
                        <w:r>
                          <w:rPr>
                            <w:spacing w:val="-2"/>
                            <w:w w:val="105"/>
                            <w:sz w:val="3"/>
                          </w:rPr>
                          <w:t xml:space="preserve"> </w:t>
                        </w:r>
                        <w:r>
                          <w:rPr>
                            <w:w w:val="105"/>
                            <w:sz w:val="3"/>
                          </w:rPr>
                          <w:t>WAGON;</w:t>
                        </w:r>
                      </w:p>
                      <w:p w14:paraId="26BDD081" w14:textId="77777777" w:rsidR="00F65BCA" w:rsidRDefault="00216117">
                        <w:pPr>
                          <w:pStyle w:val="TableParagraph"/>
                          <w:spacing w:before="6"/>
                          <w:ind w:left="4"/>
                          <w:rPr>
                            <w:sz w:val="3"/>
                          </w:rPr>
                        </w:pPr>
                        <w:r>
                          <w:rPr>
                            <w:w w:val="105"/>
                            <w:sz w:val="3"/>
                          </w:rPr>
                          <w:t>626;</w:t>
                        </w:r>
                        <w:r>
                          <w:rPr>
                            <w:spacing w:val="-4"/>
                            <w:w w:val="105"/>
                            <w:sz w:val="3"/>
                          </w:rPr>
                          <w:t xml:space="preserve"> </w:t>
                        </w:r>
                        <w:r>
                          <w:rPr>
                            <w:w w:val="105"/>
                            <w:sz w:val="3"/>
                          </w:rPr>
                          <w:t>626</w:t>
                        </w:r>
                        <w:r>
                          <w:rPr>
                            <w:spacing w:val="-5"/>
                            <w:w w:val="105"/>
                            <w:sz w:val="3"/>
                          </w:rPr>
                          <w:t xml:space="preserve"> </w:t>
                        </w:r>
                        <w:r>
                          <w:rPr>
                            <w:w w:val="105"/>
                            <w:sz w:val="3"/>
                          </w:rPr>
                          <w:t>WAGON;</w:t>
                        </w:r>
                        <w:r>
                          <w:rPr>
                            <w:spacing w:val="-4"/>
                            <w:w w:val="105"/>
                            <w:sz w:val="3"/>
                          </w:rPr>
                          <w:t xml:space="preserve"> </w:t>
                        </w:r>
                        <w:r>
                          <w:rPr>
                            <w:w w:val="105"/>
                            <w:sz w:val="3"/>
                          </w:rPr>
                          <w:t>929</w:t>
                        </w:r>
                        <w:r>
                          <w:rPr>
                            <w:spacing w:val="-5"/>
                            <w:w w:val="105"/>
                            <w:sz w:val="3"/>
                          </w:rPr>
                          <w:t xml:space="preserve"> </w:t>
                        </w:r>
                        <w:r>
                          <w:rPr>
                            <w:w w:val="105"/>
                            <w:sz w:val="3"/>
                          </w:rPr>
                          <w:t>COUPE;</w:t>
                        </w:r>
                        <w:r>
                          <w:rPr>
                            <w:spacing w:val="-4"/>
                            <w:w w:val="105"/>
                            <w:sz w:val="3"/>
                          </w:rPr>
                          <w:t xml:space="preserve"> </w:t>
                        </w:r>
                        <w:r>
                          <w:rPr>
                            <w:w w:val="105"/>
                            <w:sz w:val="3"/>
                          </w:rPr>
                          <w:t>929</w:t>
                        </w:r>
                        <w:r>
                          <w:rPr>
                            <w:spacing w:val="-4"/>
                            <w:w w:val="105"/>
                            <w:sz w:val="3"/>
                          </w:rPr>
                          <w:t xml:space="preserve"> </w:t>
                        </w:r>
                        <w:r>
                          <w:rPr>
                            <w:w w:val="105"/>
                            <w:sz w:val="3"/>
                          </w:rPr>
                          <w:t>SEDAN;</w:t>
                        </w:r>
                        <w:r>
                          <w:rPr>
                            <w:spacing w:val="-4"/>
                            <w:w w:val="105"/>
                            <w:sz w:val="3"/>
                          </w:rPr>
                          <w:t xml:space="preserve"> </w:t>
                        </w:r>
                        <w:r>
                          <w:rPr>
                            <w:w w:val="105"/>
                            <w:sz w:val="3"/>
                          </w:rPr>
                          <w:t>CX-3;</w:t>
                        </w:r>
                        <w:r>
                          <w:rPr>
                            <w:spacing w:val="-4"/>
                            <w:w w:val="105"/>
                            <w:sz w:val="3"/>
                          </w:rPr>
                          <w:t xml:space="preserve"> </w:t>
                        </w:r>
                        <w:r>
                          <w:rPr>
                            <w:w w:val="105"/>
                            <w:sz w:val="3"/>
                          </w:rPr>
                          <w:t>CX-5;</w:t>
                        </w:r>
                        <w:r>
                          <w:rPr>
                            <w:spacing w:val="-4"/>
                            <w:w w:val="105"/>
                            <w:sz w:val="3"/>
                          </w:rPr>
                          <w:t xml:space="preserve"> </w:t>
                        </w:r>
                        <w:r>
                          <w:rPr>
                            <w:w w:val="105"/>
                            <w:sz w:val="3"/>
                          </w:rPr>
                          <w:t>CX-7;</w:t>
                        </w:r>
                        <w:r>
                          <w:rPr>
                            <w:spacing w:val="-4"/>
                            <w:w w:val="105"/>
                            <w:sz w:val="3"/>
                          </w:rPr>
                          <w:t xml:space="preserve"> </w:t>
                        </w:r>
                        <w:r>
                          <w:rPr>
                            <w:w w:val="105"/>
                            <w:sz w:val="3"/>
                          </w:rPr>
                          <w:t>CX-</w:t>
                        </w:r>
                      </w:p>
                      <w:p w14:paraId="5AF4A9B9" w14:textId="77777777" w:rsidR="00F65BCA" w:rsidRDefault="00216117">
                        <w:pPr>
                          <w:pStyle w:val="TableParagraph"/>
                          <w:spacing w:before="1" w:line="40" w:lineRule="atLeast"/>
                          <w:ind w:left="4" w:right="6"/>
                          <w:rPr>
                            <w:sz w:val="3"/>
                          </w:rPr>
                        </w:pPr>
                        <w:r>
                          <w:rPr>
                            <w:w w:val="105"/>
                            <w:sz w:val="3"/>
                          </w:rPr>
                          <w:t>9; DEMIO; E 2000; E 2200; JINÉ; MPV; MX; PREMACY; RX; TRIBUTE; XEDOS 6; XEDOS 9</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71FF545" w14:textId="77777777" w:rsidR="00F65BCA" w:rsidRDefault="00F65BCA">
                        <w:pPr>
                          <w:pStyle w:val="TableParagraph"/>
                          <w:rPr>
                            <w:rFonts w:ascii="Calibri"/>
                            <w:sz w:val="2"/>
                          </w:rPr>
                        </w:pPr>
                      </w:p>
                      <w:p w14:paraId="20115AD2"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4D5DC6A" w14:textId="77777777" w:rsidR="00F65BCA" w:rsidRDefault="00F65BCA">
                        <w:pPr>
                          <w:pStyle w:val="TableParagraph"/>
                          <w:rPr>
                            <w:rFonts w:ascii="Calibri"/>
                            <w:sz w:val="2"/>
                          </w:rPr>
                        </w:pPr>
                      </w:p>
                      <w:p w14:paraId="2B75BC34"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5EC1EDBB"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0CA0CC7" w14:textId="77777777" w:rsidR="00F65BCA" w:rsidRDefault="00F65BCA">
                        <w:pPr>
                          <w:pStyle w:val="TableParagraph"/>
                          <w:rPr>
                            <w:rFonts w:ascii="Calibri"/>
                            <w:sz w:val="2"/>
                          </w:rPr>
                        </w:pPr>
                      </w:p>
                      <w:p w14:paraId="72591312"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5E3D7F24" w14:textId="77777777" w:rsidR="00F65BCA" w:rsidRDefault="00F65BCA">
                        <w:pPr>
                          <w:pStyle w:val="TableParagraph"/>
                          <w:rPr>
                            <w:rFonts w:ascii="Calibri"/>
                            <w:sz w:val="2"/>
                          </w:rPr>
                        </w:pPr>
                      </w:p>
                      <w:p w14:paraId="78436D9A"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4DD0B1DE" w14:textId="77777777" w:rsidR="00F65BCA" w:rsidRDefault="00F65BCA">
                        <w:pPr>
                          <w:pStyle w:val="TableParagraph"/>
                          <w:rPr>
                            <w:rFonts w:ascii="Calibri"/>
                            <w:sz w:val="2"/>
                          </w:rPr>
                        </w:pPr>
                      </w:p>
                      <w:p w14:paraId="5A44747A"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0F355C91" w14:textId="77777777" w:rsidR="00F65BCA" w:rsidRDefault="00F65BCA">
                        <w:pPr>
                          <w:pStyle w:val="TableParagraph"/>
                          <w:rPr>
                            <w:rFonts w:ascii="Calibri"/>
                            <w:sz w:val="2"/>
                          </w:rPr>
                        </w:pPr>
                      </w:p>
                      <w:p w14:paraId="0D2CDDE7"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0D499560" w14:textId="77777777" w:rsidR="00F65BCA" w:rsidRDefault="00F65BCA">
                        <w:pPr>
                          <w:pStyle w:val="TableParagraph"/>
                          <w:rPr>
                            <w:rFonts w:ascii="Calibri"/>
                            <w:sz w:val="2"/>
                          </w:rPr>
                        </w:pPr>
                      </w:p>
                      <w:p w14:paraId="5AF44F07"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6988A07F" w14:textId="77777777" w:rsidR="00F65BCA" w:rsidRDefault="00F65BCA">
                        <w:pPr>
                          <w:pStyle w:val="TableParagraph"/>
                          <w:rPr>
                            <w:rFonts w:ascii="Calibri"/>
                            <w:sz w:val="2"/>
                          </w:rPr>
                        </w:pPr>
                      </w:p>
                      <w:p w14:paraId="398229FD"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5191A06E" w14:textId="77777777" w:rsidR="00F65BCA" w:rsidRDefault="00F65BCA">
                        <w:pPr>
                          <w:pStyle w:val="TableParagraph"/>
                          <w:rPr>
                            <w:rFonts w:ascii="Calibri"/>
                            <w:sz w:val="2"/>
                          </w:rPr>
                        </w:pPr>
                      </w:p>
                      <w:p w14:paraId="5AC48DC7"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417FE1C3" w14:textId="77777777" w:rsidR="00F65BCA" w:rsidRDefault="00F65BCA">
                        <w:pPr>
                          <w:pStyle w:val="TableParagraph"/>
                          <w:rPr>
                            <w:rFonts w:ascii="Calibri"/>
                            <w:sz w:val="2"/>
                          </w:rPr>
                        </w:pPr>
                      </w:p>
                      <w:p w14:paraId="6204C0D7"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6B66F17D" w14:textId="77777777" w:rsidR="00F65BCA" w:rsidRDefault="00F65BCA">
                        <w:pPr>
                          <w:pStyle w:val="TableParagraph"/>
                          <w:rPr>
                            <w:rFonts w:ascii="Calibri"/>
                            <w:sz w:val="2"/>
                          </w:rPr>
                        </w:pPr>
                      </w:p>
                      <w:p w14:paraId="674B2C23"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49E931ED" w14:textId="77777777" w:rsidR="00F65BCA" w:rsidRDefault="00F65BCA">
                        <w:pPr>
                          <w:pStyle w:val="TableParagraph"/>
                          <w:rPr>
                            <w:rFonts w:ascii="Calibri"/>
                            <w:sz w:val="2"/>
                          </w:rPr>
                        </w:pPr>
                      </w:p>
                      <w:p w14:paraId="122D2A91"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69C6AB81" w14:textId="77777777" w:rsidR="00F65BCA" w:rsidRDefault="00F65BCA">
                        <w:pPr>
                          <w:pStyle w:val="TableParagraph"/>
                          <w:rPr>
                            <w:rFonts w:ascii="Calibri"/>
                            <w:sz w:val="2"/>
                          </w:rPr>
                        </w:pPr>
                      </w:p>
                      <w:p w14:paraId="05AE61DD"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0DED0147" w14:textId="77777777" w:rsidR="00F65BCA" w:rsidRDefault="00F65BCA">
                        <w:pPr>
                          <w:pStyle w:val="TableParagraph"/>
                          <w:rPr>
                            <w:rFonts w:ascii="Calibri"/>
                            <w:sz w:val="2"/>
                          </w:rPr>
                        </w:pPr>
                      </w:p>
                      <w:p w14:paraId="5856B7CA"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11D5A6AA" w14:textId="77777777" w:rsidR="00F65BCA" w:rsidRDefault="00F65BCA">
                        <w:pPr>
                          <w:pStyle w:val="TableParagraph"/>
                          <w:rPr>
                            <w:rFonts w:ascii="Calibri"/>
                            <w:sz w:val="2"/>
                          </w:rPr>
                        </w:pPr>
                      </w:p>
                      <w:p w14:paraId="4C6778E9" w14:textId="77777777" w:rsidR="00F65BCA" w:rsidRDefault="00216117">
                        <w:pPr>
                          <w:pStyle w:val="TableParagraph"/>
                          <w:ind w:left="24" w:right="24"/>
                          <w:jc w:val="center"/>
                          <w:rPr>
                            <w:sz w:val="3"/>
                          </w:rPr>
                        </w:pPr>
                        <w:r>
                          <w:rPr>
                            <w:w w:val="105"/>
                            <w:sz w:val="3"/>
                          </w:rPr>
                          <w:t>1,07731026%</w:t>
                        </w:r>
                      </w:p>
                    </w:tc>
                  </w:tr>
                  <w:tr w:rsidR="00F65BCA" w14:paraId="701C573E"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7C4CC85F"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28AFCD7D"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7B6AFA51"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211E152" w14:textId="77777777" w:rsidR="00F65BCA" w:rsidRDefault="00F65BCA">
                        <w:pPr>
                          <w:pStyle w:val="TableParagraph"/>
                          <w:rPr>
                            <w:rFonts w:ascii="Calibri"/>
                            <w:sz w:val="2"/>
                          </w:rPr>
                        </w:pPr>
                      </w:p>
                      <w:p w14:paraId="12FDF636"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3DB2CEA" w14:textId="77777777" w:rsidR="00F65BCA" w:rsidRDefault="00F65BCA">
                        <w:pPr>
                          <w:pStyle w:val="TableParagraph"/>
                          <w:rPr>
                            <w:rFonts w:ascii="Calibri"/>
                            <w:sz w:val="2"/>
                          </w:rPr>
                        </w:pPr>
                      </w:p>
                      <w:p w14:paraId="7A56E8CB"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32DA123"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88BC369" w14:textId="77777777" w:rsidR="00F65BCA" w:rsidRDefault="00F65BCA">
                        <w:pPr>
                          <w:pStyle w:val="TableParagraph"/>
                          <w:rPr>
                            <w:rFonts w:ascii="Calibri"/>
                            <w:sz w:val="2"/>
                          </w:rPr>
                        </w:pPr>
                      </w:p>
                      <w:p w14:paraId="64D46B2F"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4420D453" w14:textId="77777777" w:rsidR="00F65BCA" w:rsidRDefault="00F65BCA">
                        <w:pPr>
                          <w:pStyle w:val="TableParagraph"/>
                          <w:rPr>
                            <w:rFonts w:ascii="Calibri"/>
                            <w:sz w:val="2"/>
                          </w:rPr>
                        </w:pPr>
                      </w:p>
                      <w:p w14:paraId="3A7E3D5C"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1804B7A9" w14:textId="77777777" w:rsidR="00F65BCA" w:rsidRDefault="00F65BCA">
                        <w:pPr>
                          <w:pStyle w:val="TableParagraph"/>
                          <w:rPr>
                            <w:rFonts w:ascii="Calibri"/>
                            <w:sz w:val="2"/>
                          </w:rPr>
                        </w:pPr>
                      </w:p>
                      <w:p w14:paraId="08067B94"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7BBFA48B" w14:textId="77777777" w:rsidR="00F65BCA" w:rsidRDefault="00F65BCA">
                        <w:pPr>
                          <w:pStyle w:val="TableParagraph"/>
                          <w:rPr>
                            <w:rFonts w:ascii="Calibri"/>
                            <w:sz w:val="2"/>
                          </w:rPr>
                        </w:pPr>
                      </w:p>
                      <w:p w14:paraId="02186927"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D86ABFF" w14:textId="77777777" w:rsidR="00F65BCA" w:rsidRDefault="00F65BCA">
                        <w:pPr>
                          <w:pStyle w:val="TableParagraph"/>
                          <w:rPr>
                            <w:rFonts w:ascii="Calibri"/>
                            <w:sz w:val="2"/>
                          </w:rPr>
                        </w:pPr>
                      </w:p>
                      <w:p w14:paraId="328143A3"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240C8149" w14:textId="77777777" w:rsidR="00F65BCA" w:rsidRDefault="00F65BCA">
                        <w:pPr>
                          <w:pStyle w:val="TableParagraph"/>
                          <w:rPr>
                            <w:rFonts w:ascii="Calibri"/>
                            <w:sz w:val="2"/>
                          </w:rPr>
                        </w:pPr>
                      </w:p>
                      <w:p w14:paraId="0EC8826C"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3D4025DA" w14:textId="77777777" w:rsidR="00F65BCA" w:rsidRDefault="00F65BCA">
                        <w:pPr>
                          <w:pStyle w:val="TableParagraph"/>
                          <w:rPr>
                            <w:rFonts w:ascii="Calibri"/>
                            <w:sz w:val="2"/>
                          </w:rPr>
                        </w:pPr>
                      </w:p>
                      <w:p w14:paraId="60F8F402"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49B5EC6F" w14:textId="77777777" w:rsidR="00F65BCA" w:rsidRDefault="00F65BCA">
                        <w:pPr>
                          <w:pStyle w:val="TableParagraph"/>
                          <w:rPr>
                            <w:rFonts w:ascii="Calibri"/>
                            <w:sz w:val="2"/>
                          </w:rPr>
                        </w:pPr>
                      </w:p>
                      <w:p w14:paraId="633C33E4"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179F9C4E" w14:textId="77777777" w:rsidR="00F65BCA" w:rsidRDefault="00F65BCA">
                        <w:pPr>
                          <w:pStyle w:val="TableParagraph"/>
                          <w:rPr>
                            <w:rFonts w:ascii="Calibri"/>
                            <w:sz w:val="2"/>
                          </w:rPr>
                        </w:pPr>
                      </w:p>
                      <w:p w14:paraId="613C1415"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58DB48DD" w14:textId="77777777" w:rsidR="00F65BCA" w:rsidRDefault="00F65BCA">
                        <w:pPr>
                          <w:pStyle w:val="TableParagraph"/>
                          <w:rPr>
                            <w:rFonts w:ascii="Calibri"/>
                            <w:sz w:val="2"/>
                          </w:rPr>
                        </w:pPr>
                      </w:p>
                      <w:p w14:paraId="6F871AF4"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2D21E639" w14:textId="77777777" w:rsidR="00F65BCA" w:rsidRDefault="00F65BCA">
                        <w:pPr>
                          <w:pStyle w:val="TableParagraph"/>
                          <w:rPr>
                            <w:rFonts w:ascii="Calibri"/>
                            <w:sz w:val="2"/>
                          </w:rPr>
                        </w:pPr>
                      </w:p>
                      <w:p w14:paraId="0889DB9F"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2BBB1E1B" w14:textId="77777777" w:rsidR="00F65BCA" w:rsidRDefault="00F65BCA">
                        <w:pPr>
                          <w:pStyle w:val="TableParagraph"/>
                          <w:rPr>
                            <w:rFonts w:ascii="Calibri"/>
                            <w:sz w:val="2"/>
                          </w:rPr>
                        </w:pPr>
                      </w:p>
                      <w:p w14:paraId="447EC641"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4E887A4A" w14:textId="77777777" w:rsidR="00F65BCA" w:rsidRDefault="00F65BCA">
                        <w:pPr>
                          <w:pStyle w:val="TableParagraph"/>
                          <w:rPr>
                            <w:rFonts w:ascii="Calibri"/>
                            <w:sz w:val="2"/>
                          </w:rPr>
                        </w:pPr>
                      </w:p>
                      <w:p w14:paraId="64C83815" w14:textId="77777777" w:rsidR="00F65BCA" w:rsidRDefault="00216117">
                        <w:pPr>
                          <w:pStyle w:val="TableParagraph"/>
                          <w:ind w:left="24" w:right="24"/>
                          <w:jc w:val="center"/>
                          <w:rPr>
                            <w:sz w:val="3"/>
                          </w:rPr>
                        </w:pPr>
                        <w:r>
                          <w:rPr>
                            <w:w w:val="105"/>
                            <w:sz w:val="3"/>
                          </w:rPr>
                          <w:t>1,30139079%</w:t>
                        </w:r>
                      </w:p>
                    </w:tc>
                  </w:tr>
                  <w:tr w:rsidR="00F65BCA" w14:paraId="60E6C4FC"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0A4BC8A8"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185D9480" w14:textId="77777777" w:rsidR="00F65BCA" w:rsidRDefault="00F65BCA">
                        <w:pPr>
                          <w:pStyle w:val="TableParagraph"/>
                          <w:rPr>
                            <w:rFonts w:ascii="Calibri"/>
                            <w:sz w:val="2"/>
                          </w:rPr>
                        </w:pPr>
                      </w:p>
                      <w:p w14:paraId="5916A034" w14:textId="77777777" w:rsidR="00F65BCA" w:rsidRDefault="00F65BCA">
                        <w:pPr>
                          <w:pStyle w:val="TableParagraph"/>
                          <w:rPr>
                            <w:rFonts w:ascii="Calibri"/>
                            <w:sz w:val="2"/>
                          </w:rPr>
                        </w:pPr>
                      </w:p>
                      <w:p w14:paraId="540CE373" w14:textId="77777777" w:rsidR="00F65BCA" w:rsidRDefault="00F65BCA">
                        <w:pPr>
                          <w:pStyle w:val="TableParagraph"/>
                          <w:rPr>
                            <w:rFonts w:ascii="Calibri"/>
                            <w:sz w:val="2"/>
                          </w:rPr>
                        </w:pPr>
                      </w:p>
                      <w:p w14:paraId="0D7E9696" w14:textId="77777777" w:rsidR="00F65BCA" w:rsidRDefault="00F65BCA">
                        <w:pPr>
                          <w:pStyle w:val="TableParagraph"/>
                          <w:rPr>
                            <w:rFonts w:ascii="Calibri"/>
                            <w:sz w:val="2"/>
                          </w:rPr>
                        </w:pPr>
                      </w:p>
                      <w:p w14:paraId="4C63A9DF" w14:textId="77777777" w:rsidR="00F65BCA" w:rsidRDefault="00F65BCA">
                        <w:pPr>
                          <w:pStyle w:val="TableParagraph"/>
                          <w:rPr>
                            <w:rFonts w:ascii="Calibri"/>
                            <w:sz w:val="2"/>
                          </w:rPr>
                        </w:pPr>
                      </w:p>
                      <w:p w14:paraId="26789E63" w14:textId="77777777" w:rsidR="00F65BCA" w:rsidRDefault="00F65BCA">
                        <w:pPr>
                          <w:pStyle w:val="TableParagraph"/>
                          <w:rPr>
                            <w:rFonts w:ascii="Calibri"/>
                            <w:sz w:val="2"/>
                          </w:rPr>
                        </w:pPr>
                      </w:p>
                      <w:p w14:paraId="7C6115A7" w14:textId="77777777" w:rsidR="00F65BCA" w:rsidRDefault="00F65BCA">
                        <w:pPr>
                          <w:pStyle w:val="TableParagraph"/>
                          <w:rPr>
                            <w:rFonts w:ascii="Calibri"/>
                            <w:sz w:val="2"/>
                          </w:rPr>
                        </w:pPr>
                      </w:p>
                      <w:p w14:paraId="338891C4" w14:textId="77777777" w:rsidR="00F65BCA" w:rsidRDefault="00F65BCA">
                        <w:pPr>
                          <w:pStyle w:val="TableParagraph"/>
                          <w:rPr>
                            <w:rFonts w:ascii="Calibri"/>
                            <w:sz w:val="2"/>
                          </w:rPr>
                        </w:pPr>
                      </w:p>
                      <w:p w14:paraId="194CEDD6" w14:textId="77777777" w:rsidR="00F65BCA" w:rsidRDefault="00F65BCA">
                        <w:pPr>
                          <w:pStyle w:val="TableParagraph"/>
                          <w:spacing w:before="10"/>
                          <w:rPr>
                            <w:rFonts w:ascii="Calibri"/>
                            <w:sz w:val="2"/>
                          </w:rPr>
                        </w:pPr>
                      </w:p>
                      <w:p w14:paraId="374CF838" w14:textId="77777777" w:rsidR="00F65BCA" w:rsidRDefault="00216117">
                        <w:pPr>
                          <w:pStyle w:val="TableParagraph"/>
                          <w:ind w:left="18" w:right="16"/>
                          <w:jc w:val="center"/>
                          <w:rPr>
                            <w:sz w:val="3"/>
                          </w:rPr>
                        </w:pPr>
                        <w:r>
                          <w:rPr>
                            <w:w w:val="105"/>
                            <w:sz w:val="3"/>
                          </w:rPr>
                          <w:t>Mercedes</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1EDB4F24" w14:textId="77777777" w:rsidR="00F65BCA" w:rsidRDefault="00F65BCA">
                        <w:pPr>
                          <w:pStyle w:val="TableParagraph"/>
                          <w:rPr>
                            <w:rFonts w:ascii="Calibri"/>
                            <w:sz w:val="2"/>
                          </w:rPr>
                        </w:pPr>
                      </w:p>
                      <w:p w14:paraId="5E77E6E7" w14:textId="77777777" w:rsidR="00F65BCA" w:rsidRDefault="00F65BCA">
                        <w:pPr>
                          <w:pStyle w:val="TableParagraph"/>
                          <w:rPr>
                            <w:rFonts w:ascii="Calibri"/>
                            <w:sz w:val="2"/>
                          </w:rPr>
                        </w:pPr>
                      </w:p>
                      <w:p w14:paraId="38E2090E" w14:textId="77777777" w:rsidR="00F65BCA" w:rsidRDefault="00216117">
                        <w:pPr>
                          <w:pStyle w:val="TableParagraph"/>
                          <w:spacing w:before="17"/>
                          <w:ind w:left="4"/>
                          <w:rPr>
                            <w:sz w:val="3"/>
                          </w:rPr>
                        </w:pPr>
                        <w:r>
                          <w:rPr>
                            <w:w w:val="105"/>
                            <w:sz w:val="3"/>
                          </w:rPr>
                          <w:t>SPRINTER DO 3,5t</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2822F75" w14:textId="77777777" w:rsidR="00F65BCA" w:rsidRDefault="00F65BCA">
                        <w:pPr>
                          <w:pStyle w:val="TableParagraph"/>
                          <w:rPr>
                            <w:rFonts w:ascii="Calibri"/>
                            <w:sz w:val="2"/>
                          </w:rPr>
                        </w:pPr>
                      </w:p>
                      <w:p w14:paraId="67637F62"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F1AB14F" w14:textId="77777777" w:rsidR="00F65BCA" w:rsidRDefault="00F65BCA">
                        <w:pPr>
                          <w:pStyle w:val="TableParagraph"/>
                          <w:rPr>
                            <w:rFonts w:ascii="Calibri"/>
                            <w:sz w:val="2"/>
                          </w:rPr>
                        </w:pPr>
                      </w:p>
                      <w:p w14:paraId="6E111450"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20454191"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1BF11EEF" w14:textId="77777777" w:rsidR="00F65BCA" w:rsidRDefault="00F65BCA">
                        <w:pPr>
                          <w:pStyle w:val="TableParagraph"/>
                          <w:rPr>
                            <w:rFonts w:ascii="Calibri"/>
                            <w:sz w:val="2"/>
                          </w:rPr>
                        </w:pPr>
                      </w:p>
                      <w:p w14:paraId="0C3C86B4"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09084CA2" w14:textId="77777777" w:rsidR="00F65BCA" w:rsidRDefault="00F65BCA">
                        <w:pPr>
                          <w:pStyle w:val="TableParagraph"/>
                          <w:rPr>
                            <w:rFonts w:ascii="Calibri"/>
                            <w:sz w:val="2"/>
                          </w:rPr>
                        </w:pPr>
                      </w:p>
                      <w:p w14:paraId="1E70A0E5"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61D933F3" w14:textId="77777777" w:rsidR="00F65BCA" w:rsidRDefault="00F65BCA">
                        <w:pPr>
                          <w:pStyle w:val="TableParagraph"/>
                          <w:rPr>
                            <w:rFonts w:ascii="Calibri"/>
                            <w:sz w:val="2"/>
                          </w:rPr>
                        </w:pPr>
                      </w:p>
                      <w:p w14:paraId="64AAEB69"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0C15F7D6" w14:textId="77777777" w:rsidR="00F65BCA" w:rsidRDefault="00F65BCA">
                        <w:pPr>
                          <w:pStyle w:val="TableParagraph"/>
                          <w:rPr>
                            <w:rFonts w:ascii="Calibri"/>
                            <w:sz w:val="2"/>
                          </w:rPr>
                        </w:pPr>
                      </w:p>
                      <w:p w14:paraId="41D1744E"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1B67AA95" w14:textId="77777777" w:rsidR="00F65BCA" w:rsidRDefault="00F65BCA">
                        <w:pPr>
                          <w:pStyle w:val="TableParagraph"/>
                          <w:rPr>
                            <w:rFonts w:ascii="Calibri"/>
                            <w:sz w:val="2"/>
                          </w:rPr>
                        </w:pPr>
                      </w:p>
                      <w:p w14:paraId="7307CC39"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0D32AC75" w14:textId="77777777" w:rsidR="00F65BCA" w:rsidRDefault="00F65BCA">
                        <w:pPr>
                          <w:pStyle w:val="TableParagraph"/>
                          <w:rPr>
                            <w:rFonts w:ascii="Calibri"/>
                            <w:sz w:val="2"/>
                          </w:rPr>
                        </w:pPr>
                      </w:p>
                      <w:p w14:paraId="6C0EC0D2"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0D081A99" w14:textId="77777777" w:rsidR="00F65BCA" w:rsidRDefault="00F65BCA">
                        <w:pPr>
                          <w:pStyle w:val="TableParagraph"/>
                          <w:rPr>
                            <w:rFonts w:ascii="Calibri"/>
                            <w:sz w:val="2"/>
                          </w:rPr>
                        </w:pPr>
                      </w:p>
                      <w:p w14:paraId="0AF11F0D"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5F40E36D" w14:textId="77777777" w:rsidR="00F65BCA" w:rsidRDefault="00F65BCA">
                        <w:pPr>
                          <w:pStyle w:val="TableParagraph"/>
                          <w:rPr>
                            <w:rFonts w:ascii="Calibri"/>
                            <w:sz w:val="2"/>
                          </w:rPr>
                        </w:pPr>
                      </w:p>
                      <w:p w14:paraId="5761C528"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5CD57356" w14:textId="77777777" w:rsidR="00F65BCA" w:rsidRDefault="00F65BCA">
                        <w:pPr>
                          <w:pStyle w:val="TableParagraph"/>
                          <w:rPr>
                            <w:rFonts w:ascii="Calibri"/>
                            <w:sz w:val="2"/>
                          </w:rPr>
                        </w:pPr>
                      </w:p>
                      <w:p w14:paraId="03B681FD"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0BA56EED" w14:textId="77777777" w:rsidR="00F65BCA" w:rsidRDefault="00F65BCA">
                        <w:pPr>
                          <w:pStyle w:val="TableParagraph"/>
                          <w:rPr>
                            <w:rFonts w:ascii="Calibri"/>
                            <w:sz w:val="2"/>
                          </w:rPr>
                        </w:pPr>
                      </w:p>
                      <w:p w14:paraId="649D2D6C"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7CE47254" w14:textId="77777777" w:rsidR="00F65BCA" w:rsidRDefault="00F65BCA">
                        <w:pPr>
                          <w:pStyle w:val="TableParagraph"/>
                          <w:rPr>
                            <w:rFonts w:ascii="Calibri"/>
                            <w:sz w:val="2"/>
                          </w:rPr>
                        </w:pPr>
                      </w:p>
                      <w:p w14:paraId="63030882"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066A5725" w14:textId="77777777" w:rsidR="00F65BCA" w:rsidRDefault="00F65BCA">
                        <w:pPr>
                          <w:pStyle w:val="TableParagraph"/>
                          <w:rPr>
                            <w:rFonts w:ascii="Calibri"/>
                            <w:sz w:val="2"/>
                          </w:rPr>
                        </w:pPr>
                      </w:p>
                      <w:p w14:paraId="389DD9D8"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1ABAFE2D" w14:textId="77777777" w:rsidR="00F65BCA" w:rsidRDefault="00F65BCA">
                        <w:pPr>
                          <w:pStyle w:val="TableParagraph"/>
                          <w:rPr>
                            <w:rFonts w:ascii="Calibri"/>
                            <w:sz w:val="2"/>
                          </w:rPr>
                        </w:pPr>
                      </w:p>
                      <w:p w14:paraId="12B5BB7F" w14:textId="77777777" w:rsidR="00F65BCA" w:rsidRDefault="00216117">
                        <w:pPr>
                          <w:pStyle w:val="TableParagraph"/>
                          <w:ind w:left="24" w:right="24"/>
                          <w:jc w:val="center"/>
                          <w:rPr>
                            <w:sz w:val="3"/>
                          </w:rPr>
                        </w:pPr>
                        <w:r>
                          <w:rPr>
                            <w:w w:val="105"/>
                            <w:sz w:val="3"/>
                          </w:rPr>
                          <w:t>0,95940000%</w:t>
                        </w:r>
                      </w:p>
                    </w:tc>
                  </w:tr>
                  <w:tr w:rsidR="00F65BCA" w14:paraId="46FFEAD8"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101FED30"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33DB04A8"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744E800A"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292E5C4" w14:textId="77777777" w:rsidR="00F65BCA" w:rsidRDefault="00F65BCA">
                        <w:pPr>
                          <w:pStyle w:val="TableParagraph"/>
                          <w:rPr>
                            <w:rFonts w:ascii="Calibri"/>
                            <w:sz w:val="2"/>
                          </w:rPr>
                        </w:pPr>
                      </w:p>
                      <w:p w14:paraId="5885337E"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91557D3" w14:textId="77777777" w:rsidR="00F65BCA" w:rsidRDefault="00F65BCA">
                        <w:pPr>
                          <w:pStyle w:val="TableParagraph"/>
                          <w:rPr>
                            <w:rFonts w:ascii="Calibri"/>
                            <w:sz w:val="2"/>
                          </w:rPr>
                        </w:pPr>
                      </w:p>
                      <w:p w14:paraId="12D6E51D"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59204A7F"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46D6D67C" w14:textId="77777777" w:rsidR="00F65BCA" w:rsidRDefault="00F65BCA">
                        <w:pPr>
                          <w:pStyle w:val="TableParagraph"/>
                          <w:rPr>
                            <w:rFonts w:ascii="Calibri"/>
                            <w:sz w:val="2"/>
                          </w:rPr>
                        </w:pPr>
                      </w:p>
                      <w:p w14:paraId="3AEF1F8D"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029A2929" w14:textId="77777777" w:rsidR="00F65BCA" w:rsidRDefault="00F65BCA">
                        <w:pPr>
                          <w:pStyle w:val="TableParagraph"/>
                          <w:rPr>
                            <w:rFonts w:ascii="Calibri"/>
                            <w:sz w:val="2"/>
                          </w:rPr>
                        </w:pPr>
                      </w:p>
                      <w:p w14:paraId="6F29C190"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2FF3AFF2" w14:textId="77777777" w:rsidR="00F65BCA" w:rsidRDefault="00F65BCA">
                        <w:pPr>
                          <w:pStyle w:val="TableParagraph"/>
                          <w:rPr>
                            <w:rFonts w:ascii="Calibri"/>
                            <w:sz w:val="2"/>
                          </w:rPr>
                        </w:pPr>
                      </w:p>
                      <w:p w14:paraId="32B1A06B"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636409FA" w14:textId="77777777" w:rsidR="00F65BCA" w:rsidRDefault="00F65BCA">
                        <w:pPr>
                          <w:pStyle w:val="TableParagraph"/>
                          <w:rPr>
                            <w:rFonts w:ascii="Calibri"/>
                            <w:sz w:val="2"/>
                          </w:rPr>
                        </w:pPr>
                      </w:p>
                      <w:p w14:paraId="0FDFA53F"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11D32B2B" w14:textId="77777777" w:rsidR="00F65BCA" w:rsidRDefault="00F65BCA">
                        <w:pPr>
                          <w:pStyle w:val="TableParagraph"/>
                          <w:rPr>
                            <w:rFonts w:ascii="Calibri"/>
                            <w:sz w:val="2"/>
                          </w:rPr>
                        </w:pPr>
                      </w:p>
                      <w:p w14:paraId="6D2BDCD2"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46C35A14" w14:textId="77777777" w:rsidR="00F65BCA" w:rsidRDefault="00F65BCA">
                        <w:pPr>
                          <w:pStyle w:val="TableParagraph"/>
                          <w:rPr>
                            <w:rFonts w:ascii="Calibri"/>
                            <w:sz w:val="2"/>
                          </w:rPr>
                        </w:pPr>
                      </w:p>
                      <w:p w14:paraId="4F63796C"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3635FB01" w14:textId="77777777" w:rsidR="00F65BCA" w:rsidRDefault="00F65BCA">
                        <w:pPr>
                          <w:pStyle w:val="TableParagraph"/>
                          <w:rPr>
                            <w:rFonts w:ascii="Calibri"/>
                            <w:sz w:val="2"/>
                          </w:rPr>
                        </w:pPr>
                      </w:p>
                      <w:p w14:paraId="4FEB15E0"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08B31B47" w14:textId="77777777" w:rsidR="00F65BCA" w:rsidRDefault="00F65BCA">
                        <w:pPr>
                          <w:pStyle w:val="TableParagraph"/>
                          <w:rPr>
                            <w:rFonts w:ascii="Calibri"/>
                            <w:sz w:val="2"/>
                          </w:rPr>
                        </w:pPr>
                      </w:p>
                      <w:p w14:paraId="5A2A31A8"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1FBFE315" w14:textId="77777777" w:rsidR="00F65BCA" w:rsidRDefault="00F65BCA">
                        <w:pPr>
                          <w:pStyle w:val="TableParagraph"/>
                          <w:rPr>
                            <w:rFonts w:ascii="Calibri"/>
                            <w:sz w:val="2"/>
                          </w:rPr>
                        </w:pPr>
                      </w:p>
                      <w:p w14:paraId="1F77696F"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431481C5" w14:textId="77777777" w:rsidR="00F65BCA" w:rsidRDefault="00F65BCA">
                        <w:pPr>
                          <w:pStyle w:val="TableParagraph"/>
                          <w:rPr>
                            <w:rFonts w:ascii="Calibri"/>
                            <w:sz w:val="2"/>
                          </w:rPr>
                        </w:pPr>
                      </w:p>
                      <w:p w14:paraId="04C3301F"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4F19C8A9" w14:textId="77777777" w:rsidR="00F65BCA" w:rsidRDefault="00F65BCA">
                        <w:pPr>
                          <w:pStyle w:val="TableParagraph"/>
                          <w:rPr>
                            <w:rFonts w:ascii="Calibri"/>
                            <w:sz w:val="2"/>
                          </w:rPr>
                        </w:pPr>
                      </w:p>
                      <w:p w14:paraId="2B33EC77"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02034862" w14:textId="77777777" w:rsidR="00F65BCA" w:rsidRDefault="00F65BCA">
                        <w:pPr>
                          <w:pStyle w:val="TableParagraph"/>
                          <w:rPr>
                            <w:rFonts w:ascii="Calibri"/>
                            <w:sz w:val="2"/>
                          </w:rPr>
                        </w:pPr>
                      </w:p>
                      <w:p w14:paraId="52FC7F17"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3BA464A2" w14:textId="77777777" w:rsidR="00F65BCA" w:rsidRDefault="00F65BCA">
                        <w:pPr>
                          <w:pStyle w:val="TableParagraph"/>
                          <w:rPr>
                            <w:rFonts w:ascii="Calibri"/>
                            <w:sz w:val="2"/>
                          </w:rPr>
                        </w:pPr>
                      </w:p>
                      <w:p w14:paraId="2CB56C13" w14:textId="77777777" w:rsidR="00F65BCA" w:rsidRDefault="00216117">
                        <w:pPr>
                          <w:pStyle w:val="TableParagraph"/>
                          <w:ind w:left="24" w:right="24"/>
                          <w:jc w:val="center"/>
                          <w:rPr>
                            <w:sz w:val="3"/>
                          </w:rPr>
                        </w:pPr>
                        <w:r>
                          <w:rPr>
                            <w:w w:val="105"/>
                            <w:sz w:val="3"/>
                          </w:rPr>
                          <w:t>1,15895520%</w:t>
                        </w:r>
                      </w:p>
                    </w:tc>
                  </w:tr>
                  <w:tr w:rsidR="00F65BCA" w14:paraId="33E224C6" w14:textId="77777777">
                    <w:trPr>
                      <w:trHeight w:val="158"/>
                    </w:trPr>
                    <w:tc>
                      <w:tcPr>
                        <w:tcW w:w="526" w:type="dxa"/>
                        <w:vMerge/>
                        <w:tcBorders>
                          <w:top w:val="nil"/>
                          <w:left w:val="single" w:sz="2" w:space="0" w:color="000000"/>
                          <w:bottom w:val="nil"/>
                          <w:right w:val="single" w:sz="2" w:space="0" w:color="000000"/>
                        </w:tcBorders>
                        <w:shd w:val="clear" w:color="auto" w:fill="FCE4D6"/>
                      </w:tcPr>
                      <w:p w14:paraId="62E1476B"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777DC3BC"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2ECB0AC5" w14:textId="77777777" w:rsidR="00F65BCA" w:rsidRDefault="00F65BCA">
                        <w:pPr>
                          <w:pStyle w:val="TableParagraph"/>
                          <w:rPr>
                            <w:rFonts w:ascii="Calibri"/>
                            <w:sz w:val="2"/>
                          </w:rPr>
                        </w:pPr>
                      </w:p>
                      <w:p w14:paraId="3E68EAA1" w14:textId="77777777" w:rsidR="00F65BCA" w:rsidRDefault="00216117">
                        <w:pPr>
                          <w:pStyle w:val="TableParagraph"/>
                          <w:spacing w:before="15" w:line="283" w:lineRule="auto"/>
                          <w:ind w:left="4" w:right="-6"/>
                          <w:rPr>
                            <w:sz w:val="3"/>
                          </w:rPr>
                        </w:pPr>
                        <w:r>
                          <w:rPr>
                            <w:w w:val="105"/>
                            <w:sz w:val="3"/>
                          </w:rPr>
                          <w:t>C</w:t>
                        </w:r>
                        <w:r>
                          <w:rPr>
                            <w:spacing w:val="-4"/>
                            <w:w w:val="105"/>
                            <w:sz w:val="3"/>
                          </w:rPr>
                          <w:t xml:space="preserve"> </w:t>
                        </w:r>
                        <w:r>
                          <w:rPr>
                            <w:w w:val="105"/>
                            <w:sz w:val="3"/>
                          </w:rPr>
                          <w:t>220;</w:t>
                        </w:r>
                        <w:r>
                          <w:rPr>
                            <w:spacing w:val="-2"/>
                            <w:w w:val="105"/>
                            <w:sz w:val="3"/>
                          </w:rPr>
                          <w:t xml:space="preserve"> </w:t>
                        </w:r>
                        <w:r>
                          <w:rPr>
                            <w:w w:val="105"/>
                            <w:sz w:val="3"/>
                          </w:rPr>
                          <w:t>CITAN;</w:t>
                        </w:r>
                        <w:r>
                          <w:rPr>
                            <w:spacing w:val="-2"/>
                            <w:w w:val="105"/>
                            <w:sz w:val="3"/>
                          </w:rPr>
                          <w:t xml:space="preserve"> </w:t>
                        </w:r>
                        <w:r>
                          <w:rPr>
                            <w:w w:val="105"/>
                            <w:sz w:val="3"/>
                          </w:rPr>
                          <w:t>JINÉ;</w:t>
                        </w:r>
                        <w:r>
                          <w:rPr>
                            <w:spacing w:val="-2"/>
                            <w:w w:val="105"/>
                            <w:sz w:val="3"/>
                          </w:rPr>
                          <w:t xml:space="preserve"> </w:t>
                        </w:r>
                        <w:r>
                          <w:rPr>
                            <w:w w:val="105"/>
                            <w:sz w:val="3"/>
                          </w:rPr>
                          <w:t>MARCO</w:t>
                        </w:r>
                        <w:r>
                          <w:rPr>
                            <w:spacing w:val="-3"/>
                            <w:w w:val="105"/>
                            <w:sz w:val="3"/>
                          </w:rPr>
                          <w:t xml:space="preserve"> </w:t>
                        </w:r>
                        <w:r>
                          <w:rPr>
                            <w:w w:val="105"/>
                            <w:sz w:val="3"/>
                          </w:rPr>
                          <w:t>POLO;</w:t>
                        </w:r>
                        <w:r>
                          <w:rPr>
                            <w:spacing w:val="-2"/>
                            <w:w w:val="105"/>
                            <w:sz w:val="3"/>
                          </w:rPr>
                          <w:t xml:space="preserve"> </w:t>
                        </w:r>
                        <w:r>
                          <w:rPr>
                            <w:w w:val="105"/>
                            <w:sz w:val="3"/>
                          </w:rPr>
                          <w:t>TŘÍDA</w:t>
                        </w:r>
                        <w:r>
                          <w:rPr>
                            <w:spacing w:val="-2"/>
                            <w:w w:val="105"/>
                            <w:sz w:val="3"/>
                          </w:rPr>
                          <w:t xml:space="preserve"> </w:t>
                        </w:r>
                        <w:r>
                          <w:rPr>
                            <w:w w:val="105"/>
                            <w:sz w:val="3"/>
                          </w:rPr>
                          <w:t>A;</w:t>
                        </w:r>
                        <w:r>
                          <w:rPr>
                            <w:spacing w:val="-2"/>
                            <w:w w:val="105"/>
                            <w:sz w:val="3"/>
                          </w:rPr>
                          <w:t xml:space="preserve"> </w:t>
                        </w:r>
                        <w:r>
                          <w:rPr>
                            <w:w w:val="105"/>
                            <w:sz w:val="3"/>
                          </w:rPr>
                          <w:t>TŘÍDA</w:t>
                        </w:r>
                        <w:r>
                          <w:rPr>
                            <w:spacing w:val="-2"/>
                            <w:w w:val="105"/>
                            <w:sz w:val="3"/>
                          </w:rPr>
                          <w:t xml:space="preserve"> </w:t>
                        </w:r>
                        <w:r>
                          <w:rPr>
                            <w:w w:val="105"/>
                            <w:sz w:val="3"/>
                          </w:rPr>
                          <w:t>B;</w:t>
                        </w:r>
                        <w:r>
                          <w:rPr>
                            <w:spacing w:val="-2"/>
                            <w:w w:val="105"/>
                            <w:sz w:val="3"/>
                          </w:rPr>
                          <w:t xml:space="preserve"> </w:t>
                        </w:r>
                        <w:r>
                          <w:rPr>
                            <w:w w:val="105"/>
                            <w:sz w:val="3"/>
                          </w:rPr>
                          <w:t>TŘÍDA</w:t>
                        </w:r>
                        <w:r>
                          <w:rPr>
                            <w:spacing w:val="-2"/>
                            <w:w w:val="105"/>
                            <w:sz w:val="3"/>
                          </w:rPr>
                          <w:t xml:space="preserve"> </w:t>
                        </w:r>
                        <w:r>
                          <w:rPr>
                            <w:w w:val="105"/>
                            <w:sz w:val="3"/>
                          </w:rPr>
                          <w:t>C; TŘÍDA CL; TŘÍDA CLA; TŘÍDA CLC; TŘÍDA CLK; TŘÍDA CLS; TŘÍDA E; TŘÍDA G; TŘÍDA GL; TŘÍDA GLA; TŘÍDA GLC; TŘÍDA GLE; TŘÍDA GLK; TŘÍDA GLS; TŘÍDA GLX; TŘÍDA GT; TŘÍDA M; TŘÍDA</w:t>
                        </w:r>
                        <w:r>
                          <w:rPr>
                            <w:spacing w:val="-3"/>
                            <w:w w:val="105"/>
                            <w:sz w:val="3"/>
                          </w:rPr>
                          <w:t xml:space="preserve"> </w:t>
                        </w:r>
                        <w:r>
                          <w:rPr>
                            <w:w w:val="105"/>
                            <w:sz w:val="3"/>
                          </w:rPr>
                          <w:t>R;</w:t>
                        </w:r>
                        <w:r>
                          <w:rPr>
                            <w:spacing w:val="-3"/>
                            <w:w w:val="105"/>
                            <w:sz w:val="3"/>
                          </w:rPr>
                          <w:t xml:space="preserve"> </w:t>
                        </w:r>
                        <w:r>
                          <w:rPr>
                            <w:w w:val="105"/>
                            <w:sz w:val="3"/>
                          </w:rPr>
                          <w:t>TŘÍDA</w:t>
                        </w:r>
                        <w:r>
                          <w:rPr>
                            <w:spacing w:val="-2"/>
                            <w:w w:val="105"/>
                            <w:sz w:val="3"/>
                          </w:rPr>
                          <w:t xml:space="preserve"> </w:t>
                        </w:r>
                        <w:r>
                          <w:rPr>
                            <w:w w:val="105"/>
                            <w:sz w:val="3"/>
                          </w:rPr>
                          <w:t>S;</w:t>
                        </w:r>
                        <w:r>
                          <w:rPr>
                            <w:spacing w:val="-3"/>
                            <w:w w:val="105"/>
                            <w:sz w:val="3"/>
                          </w:rPr>
                          <w:t xml:space="preserve"> </w:t>
                        </w:r>
                        <w:r>
                          <w:rPr>
                            <w:w w:val="105"/>
                            <w:sz w:val="3"/>
                          </w:rPr>
                          <w:t>TŘÍDA</w:t>
                        </w:r>
                        <w:r>
                          <w:rPr>
                            <w:spacing w:val="-3"/>
                            <w:w w:val="105"/>
                            <w:sz w:val="3"/>
                          </w:rPr>
                          <w:t xml:space="preserve"> </w:t>
                        </w:r>
                        <w:r>
                          <w:rPr>
                            <w:w w:val="105"/>
                            <w:sz w:val="3"/>
                          </w:rPr>
                          <w:t>SE;</w:t>
                        </w:r>
                        <w:r>
                          <w:rPr>
                            <w:spacing w:val="-2"/>
                            <w:w w:val="105"/>
                            <w:sz w:val="3"/>
                          </w:rPr>
                          <w:t xml:space="preserve"> </w:t>
                        </w:r>
                        <w:r>
                          <w:rPr>
                            <w:w w:val="105"/>
                            <w:sz w:val="3"/>
                          </w:rPr>
                          <w:t>TŘÍDA</w:t>
                        </w:r>
                        <w:r>
                          <w:rPr>
                            <w:spacing w:val="-3"/>
                            <w:w w:val="105"/>
                            <w:sz w:val="3"/>
                          </w:rPr>
                          <w:t xml:space="preserve"> </w:t>
                        </w:r>
                        <w:r>
                          <w:rPr>
                            <w:w w:val="105"/>
                            <w:sz w:val="3"/>
                          </w:rPr>
                          <w:t>SEC;</w:t>
                        </w:r>
                        <w:r>
                          <w:rPr>
                            <w:spacing w:val="-3"/>
                            <w:w w:val="105"/>
                            <w:sz w:val="3"/>
                          </w:rPr>
                          <w:t xml:space="preserve"> </w:t>
                        </w:r>
                        <w:r>
                          <w:rPr>
                            <w:w w:val="105"/>
                            <w:sz w:val="3"/>
                          </w:rPr>
                          <w:t>TŘÍDA</w:t>
                        </w:r>
                        <w:r>
                          <w:rPr>
                            <w:spacing w:val="-2"/>
                            <w:w w:val="105"/>
                            <w:sz w:val="3"/>
                          </w:rPr>
                          <w:t xml:space="preserve"> </w:t>
                        </w:r>
                        <w:r>
                          <w:rPr>
                            <w:w w:val="105"/>
                            <w:sz w:val="3"/>
                          </w:rPr>
                          <w:t>SL;</w:t>
                        </w:r>
                        <w:r>
                          <w:rPr>
                            <w:spacing w:val="-3"/>
                            <w:w w:val="105"/>
                            <w:sz w:val="3"/>
                          </w:rPr>
                          <w:t xml:space="preserve"> </w:t>
                        </w:r>
                        <w:r>
                          <w:rPr>
                            <w:w w:val="105"/>
                            <w:sz w:val="3"/>
                          </w:rPr>
                          <w:t>TŘÍDA</w:t>
                        </w:r>
                        <w:r>
                          <w:rPr>
                            <w:spacing w:val="-3"/>
                            <w:w w:val="105"/>
                            <w:sz w:val="3"/>
                          </w:rPr>
                          <w:t xml:space="preserve"> </w:t>
                        </w:r>
                        <w:r>
                          <w:rPr>
                            <w:w w:val="105"/>
                            <w:sz w:val="3"/>
                          </w:rPr>
                          <w:t>SLK; TŘÍDA</w:t>
                        </w:r>
                        <w:r>
                          <w:rPr>
                            <w:spacing w:val="-3"/>
                            <w:w w:val="105"/>
                            <w:sz w:val="3"/>
                          </w:rPr>
                          <w:t xml:space="preserve"> </w:t>
                        </w:r>
                        <w:r>
                          <w:rPr>
                            <w:w w:val="105"/>
                            <w:sz w:val="3"/>
                          </w:rPr>
                          <w:t>SLR;</w:t>
                        </w:r>
                        <w:r>
                          <w:rPr>
                            <w:spacing w:val="-3"/>
                            <w:w w:val="105"/>
                            <w:sz w:val="3"/>
                          </w:rPr>
                          <w:t xml:space="preserve"> </w:t>
                        </w:r>
                        <w:r>
                          <w:rPr>
                            <w:w w:val="105"/>
                            <w:sz w:val="3"/>
                          </w:rPr>
                          <w:t>TŘÍDA</w:t>
                        </w:r>
                        <w:r>
                          <w:rPr>
                            <w:spacing w:val="-3"/>
                            <w:w w:val="105"/>
                            <w:sz w:val="3"/>
                          </w:rPr>
                          <w:t xml:space="preserve"> </w:t>
                        </w:r>
                        <w:r>
                          <w:rPr>
                            <w:w w:val="105"/>
                            <w:sz w:val="3"/>
                          </w:rPr>
                          <w:t>SLS;</w:t>
                        </w:r>
                        <w:r>
                          <w:rPr>
                            <w:spacing w:val="-3"/>
                            <w:w w:val="105"/>
                            <w:sz w:val="3"/>
                          </w:rPr>
                          <w:t xml:space="preserve"> </w:t>
                        </w:r>
                        <w:r>
                          <w:rPr>
                            <w:w w:val="105"/>
                            <w:sz w:val="3"/>
                          </w:rPr>
                          <w:t>TŘÍDA</w:t>
                        </w:r>
                        <w:r>
                          <w:rPr>
                            <w:spacing w:val="-3"/>
                            <w:w w:val="105"/>
                            <w:sz w:val="3"/>
                          </w:rPr>
                          <w:t xml:space="preserve"> </w:t>
                        </w:r>
                        <w:r>
                          <w:rPr>
                            <w:w w:val="105"/>
                            <w:sz w:val="3"/>
                          </w:rPr>
                          <w:t>V;</w:t>
                        </w:r>
                        <w:r>
                          <w:rPr>
                            <w:spacing w:val="-3"/>
                            <w:w w:val="105"/>
                            <w:sz w:val="3"/>
                          </w:rPr>
                          <w:t xml:space="preserve"> </w:t>
                        </w:r>
                        <w:r>
                          <w:rPr>
                            <w:w w:val="105"/>
                            <w:sz w:val="3"/>
                          </w:rPr>
                          <w:t>TŘÍDA</w:t>
                        </w:r>
                        <w:r>
                          <w:rPr>
                            <w:spacing w:val="-3"/>
                            <w:w w:val="105"/>
                            <w:sz w:val="3"/>
                          </w:rPr>
                          <w:t xml:space="preserve"> </w:t>
                        </w:r>
                        <w:r>
                          <w:rPr>
                            <w:w w:val="105"/>
                            <w:sz w:val="3"/>
                          </w:rPr>
                          <w:t>X;</w:t>
                        </w:r>
                        <w:r>
                          <w:rPr>
                            <w:spacing w:val="-3"/>
                            <w:w w:val="105"/>
                            <w:sz w:val="3"/>
                          </w:rPr>
                          <w:t xml:space="preserve"> </w:t>
                        </w:r>
                        <w:r>
                          <w:rPr>
                            <w:w w:val="105"/>
                            <w:sz w:val="3"/>
                          </w:rPr>
                          <w:t>VANEO;</w:t>
                        </w:r>
                        <w:r>
                          <w:rPr>
                            <w:spacing w:val="-3"/>
                            <w:w w:val="105"/>
                            <w:sz w:val="3"/>
                          </w:rPr>
                          <w:t xml:space="preserve"> </w:t>
                        </w:r>
                        <w:r>
                          <w:rPr>
                            <w:w w:val="105"/>
                            <w:sz w:val="3"/>
                          </w:rPr>
                          <w:t>VIANO;</w:t>
                        </w:r>
                        <w:r>
                          <w:rPr>
                            <w:spacing w:val="-2"/>
                            <w:w w:val="105"/>
                            <w:sz w:val="3"/>
                          </w:rPr>
                          <w:t xml:space="preserve"> </w:t>
                        </w:r>
                        <w:r>
                          <w:rPr>
                            <w:w w:val="105"/>
                            <w:sz w:val="3"/>
                          </w:rPr>
                          <w:t>VITO</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9FDEBC4" w14:textId="77777777" w:rsidR="00F65BCA" w:rsidRDefault="00F65BCA">
                        <w:pPr>
                          <w:pStyle w:val="TableParagraph"/>
                          <w:rPr>
                            <w:rFonts w:ascii="Calibri"/>
                            <w:sz w:val="2"/>
                          </w:rPr>
                        </w:pPr>
                      </w:p>
                      <w:p w14:paraId="7D4AB0C4" w14:textId="77777777" w:rsidR="00F65BCA" w:rsidRDefault="00F65BCA">
                        <w:pPr>
                          <w:pStyle w:val="TableParagraph"/>
                          <w:rPr>
                            <w:rFonts w:ascii="Calibri"/>
                            <w:sz w:val="2"/>
                          </w:rPr>
                        </w:pPr>
                      </w:p>
                      <w:p w14:paraId="356C44FE" w14:textId="77777777" w:rsidR="00F65BCA" w:rsidRDefault="00216117">
                        <w:pPr>
                          <w:pStyle w:val="TableParagraph"/>
                          <w:spacing w:before="13"/>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59F8C6F" w14:textId="77777777" w:rsidR="00F65BCA" w:rsidRDefault="00F65BCA">
                        <w:pPr>
                          <w:pStyle w:val="TableParagraph"/>
                          <w:rPr>
                            <w:rFonts w:ascii="Calibri"/>
                            <w:sz w:val="2"/>
                          </w:rPr>
                        </w:pPr>
                      </w:p>
                      <w:p w14:paraId="24DB2EBB" w14:textId="77777777" w:rsidR="00F65BCA" w:rsidRDefault="00F65BCA">
                        <w:pPr>
                          <w:pStyle w:val="TableParagraph"/>
                          <w:rPr>
                            <w:rFonts w:ascii="Calibri"/>
                            <w:sz w:val="2"/>
                          </w:rPr>
                        </w:pPr>
                      </w:p>
                      <w:p w14:paraId="079C7C73" w14:textId="77777777" w:rsidR="00F65BCA" w:rsidRDefault="00216117">
                        <w:pPr>
                          <w:pStyle w:val="TableParagraph"/>
                          <w:spacing w:before="13"/>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95F0A51"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E1B844A" w14:textId="77777777" w:rsidR="00F65BCA" w:rsidRDefault="00F65BCA">
                        <w:pPr>
                          <w:pStyle w:val="TableParagraph"/>
                          <w:rPr>
                            <w:rFonts w:ascii="Calibri"/>
                            <w:sz w:val="2"/>
                          </w:rPr>
                        </w:pPr>
                      </w:p>
                      <w:p w14:paraId="30AEF3EF" w14:textId="77777777" w:rsidR="00F65BCA" w:rsidRDefault="00F65BCA">
                        <w:pPr>
                          <w:pStyle w:val="TableParagraph"/>
                          <w:rPr>
                            <w:rFonts w:ascii="Calibri"/>
                            <w:sz w:val="2"/>
                          </w:rPr>
                        </w:pPr>
                      </w:p>
                      <w:p w14:paraId="42D0E4C7" w14:textId="77777777" w:rsidR="00F65BCA" w:rsidRDefault="00216117">
                        <w:pPr>
                          <w:pStyle w:val="TableParagraph"/>
                          <w:spacing w:before="13"/>
                          <w:ind w:left="24" w:right="24"/>
                          <w:jc w:val="center"/>
                          <w:rPr>
                            <w:sz w:val="3"/>
                          </w:rPr>
                        </w:pPr>
                        <w:r>
                          <w:rPr>
                            <w:w w:val="105"/>
                            <w:sz w:val="3"/>
                          </w:rPr>
                          <w:t>1,79088000%</w:t>
                        </w:r>
                      </w:p>
                    </w:tc>
                    <w:tc>
                      <w:tcPr>
                        <w:tcW w:w="288" w:type="dxa"/>
                        <w:tcBorders>
                          <w:top w:val="single" w:sz="2" w:space="0" w:color="000000"/>
                          <w:left w:val="single" w:sz="2" w:space="0" w:color="000000"/>
                          <w:bottom w:val="single" w:sz="2" w:space="0" w:color="000000"/>
                          <w:right w:val="single" w:sz="2" w:space="0" w:color="000000"/>
                        </w:tcBorders>
                      </w:tcPr>
                      <w:p w14:paraId="62E56EAC" w14:textId="77777777" w:rsidR="00F65BCA" w:rsidRDefault="00F65BCA">
                        <w:pPr>
                          <w:pStyle w:val="TableParagraph"/>
                          <w:rPr>
                            <w:rFonts w:ascii="Calibri"/>
                            <w:sz w:val="2"/>
                          </w:rPr>
                        </w:pPr>
                      </w:p>
                      <w:p w14:paraId="16D3A829" w14:textId="77777777" w:rsidR="00F65BCA" w:rsidRDefault="00F65BCA">
                        <w:pPr>
                          <w:pStyle w:val="TableParagraph"/>
                          <w:rPr>
                            <w:rFonts w:ascii="Calibri"/>
                            <w:sz w:val="2"/>
                          </w:rPr>
                        </w:pPr>
                      </w:p>
                      <w:p w14:paraId="50E6E10B" w14:textId="77777777" w:rsidR="00F65BCA" w:rsidRDefault="00216117">
                        <w:pPr>
                          <w:pStyle w:val="TableParagraph"/>
                          <w:spacing w:before="13"/>
                          <w:ind w:left="24" w:right="24"/>
                          <w:jc w:val="center"/>
                          <w:rPr>
                            <w:sz w:val="3"/>
                          </w:rPr>
                        </w:pPr>
                        <w:r>
                          <w:rPr>
                            <w:w w:val="105"/>
                            <w:sz w:val="3"/>
                          </w:rPr>
                          <w:t>1,67895000%</w:t>
                        </w:r>
                      </w:p>
                    </w:tc>
                    <w:tc>
                      <w:tcPr>
                        <w:tcW w:w="288" w:type="dxa"/>
                        <w:tcBorders>
                          <w:top w:val="single" w:sz="2" w:space="0" w:color="000000"/>
                          <w:left w:val="single" w:sz="2" w:space="0" w:color="000000"/>
                          <w:bottom w:val="single" w:sz="2" w:space="0" w:color="000000"/>
                          <w:right w:val="single" w:sz="2" w:space="0" w:color="000000"/>
                        </w:tcBorders>
                      </w:tcPr>
                      <w:p w14:paraId="44544D05" w14:textId="77777777" w:rsidR="00F65BCA" w:rsidRDefault="00F65BCA">
                        <w:pPr>
                          <w:pStyle w:val="TableParagraph"/>
                          <w:rPr>
                            <w:rFonts w:ascii="Calibri"/>
                            <w:sz w:val="2"/>
                          </w:rPr>
                        </w:pPr>
                      </w:p>
                      <w:p w14:paraId="711B937A" w14:textId="77777777" w:rsidR="00F65BCA" w:rsidRDefault="00F65BCA">
                        <w:pPr>
                          <w:pStyle w:val="TableParagraph"/>
                          <w:rPr>
                            <w:rFonts w:ascii="Calibri"/>
                            <w:sz w:val="2"/>
                          </w:rPr>
                        </w:pPr>
                      </w:p>
                      <w:p w14:paraId="49F5A748" w14:textId="77777777" w:rsidR="00F65BCA" w:rsidRDefault="00216117">
                        <w:pPr>
                          <w:pStyle w:val="TableParagraph"/>
                          <w:spacing w:before="13"/>
                          <w:ind w:left="24" w:right="24"/>
                          <w:jc w:val="center"/>
                          <w:rPr>
                            <w:sz w:val="3"/>
                          </w:rPr>
                        </w:pPr>
                        <w:r>
                          <w:rPr>
                            <w:w w:val="105"/>
                            <w:sz w:val="3"/>
                          </w:rPr>
                          <w:t>1,60059900%</w:t>
                        </w:r>
                      </w:p>
                    </w:tc>
                    <w:tc>
                      <w:tcPr>
                        <w:tcW w:w="288" w:type="dxa"/>
                        <w:tcBorders>
                          <w:top w:val="single" w:sz="2" w:space="0" w:color="000000"/>
                          <w:left w:val="single" w:sz="2" w:space="0" w:color="000000"/>
                          <w:bottom w:val="single" w:sz="2" w:space="0" w:color="000000"/>
                          <w:right w:val="single" w:sz="2" w:space="0" w:color="000000"/>
                        </w:tcBorders>
                      </w:tcPr>
                      <w:p w14:paraId="701F47A6" w14:textId="77777777" w:rsidR="00F65BCA" w:rsidRDefault="00F65BCA">
                        <w:pPr>
                          <w:pStyle w:val="TableParagraph"/>
                          <w:rPr>
                            <w:rFonts w:ascii="Calibri"/>
                            <w:sz w:val="2"/>
                          </w:rPr>
                        </w:pPr>
                      </w:p>
                      <w:p w14:paraId="7B0CAAFB" w14:textId="77777777" w:rsidR="00F65BCA" w:rsidRDefault="00F65BCA">
                        <w:pPr>
                          <w:pStyle w:val="TableParagraph"/>
                          <w:rPr>
                            <w:rFonts w:ascii="Calibri"/>
                            <w:sz w:val="2"/>
                          </w:rPr>
                        </w:pPr>
                      </w:p>
                      <w:p w14:paraId="30084CCE" w14:textId="77777777" w:rsidR="00F65BCA" w:rsidRDefault="00216117">
                        <w:pPr>
                          <w:pStyle w:val="TableParagraph"/>
                          <w:spacing w:before="13"/>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49774AC9" w14:textId="77777777" w:rsidR="00F65BCA" w:rsidRDefault="00F65BCA">
                        <w:pPr>
                          <w:pStyle w:val="TableParagraph"/>
                          <w:rPr>
                            <w:rFonts w:ascii="Calibri"/>
                            <w:sz w:val="2"/>
                          </w:rPr>
                        </w:pPr>
                      </w:p>
                      <w:p w14:paraId="007CD398" w14:textId="77777777" w:rsidR="00F65BCA" w:rsidRDefault="00F65BCA">
                        <w:pPr>
                          <w:pStyle w:val="TableParagraph"/>
                          <w:rPr>
                            <w:rFonts w:ascii="Calibri"/>
                            <w:sz w:val="2"/>
                          </w:rPr>
                        </w:pPr>
                      </w:p>
                      <w:p w14:paraId="4FCE2823" w14:textId="77777777" w:rsidR="00F65BCA" w:rsidRDefault="00216117">
                        <w:pPr>
                          <w:pStyle w:val="TableParagraph"/>
                          <w:spacing w:before="13"/>
                          <w:ind w:left="24" w:right="24"/>
                          <w:jc w:val="center"/>
                          <w:rPr>
                            <w:sz w:val="3"/>
                          </w:rPr>
                        </w:pPr>
                        <w:r>
                          <w:rPr>
                            <w:w w:val="105"/>
                            <w:sz w:val="3"/>
                          </w:rPr>
                          <w:t>1,43270400%</w:t>
                        </w:r>
                      </w:p>
                    </w:tc>
                    <w:tc>
                      <w:tcPr>
                        <w:tcW w:w="288" w:type="dxa"/>
                        <w:tcBorders>
                          <w:top w:val="single" w:sz="2" w:space="0" w:color="000000"/>
                          <w:left w:val="single" w:sz="2" w:space="0" w:color="000000"/>
                          <w:bottom w:val="single" w:sz="2" w:space="0" w:color="000000"/>
                          <w:right w:val="single" w:sz="2" w:space="0" w:color="000000"/>
                        </w:tcBorders>
                      </w:tcPr>
                      <w:p w14:paraId="32E6B037" w14:textId="77777777" w:rsidR="00F65BCA" w:rsidRDefault="00F65BCA">
                        <w:pPr>
                          <w:pStyle w:val="TableParagraph"/>
                          <w:rPr>
                            <w:rFonts w:ascii="Calibri"/>
                            <w:sz w:val="2"/>
                          </w:rPr>
                        </w:pPr>
                      </w:p>
                      <w:p w14:paraId="570309B1" w14:textId="77777777" w:rsidR="00F65BCA" w:rsidRDefault="00F65BCA">
                        <w:pPr>
                          <w:pStyle w:val="TableParagraph"/>
                          <w:rPr>
                            <w:rFonts w:ascii="Calibri"/>
                            <w:sz w:val="2"/>
                          </w:rPr>
                        </w:pPr>
                      </w:p>
                      <w:p w14:paraId="2A97B1BB" w14:textId="77777777" w:rsidR="00F65BCA" w:rsidRDefault="00216117">
                        <w:pPr>
                          <w:pStyle w:val="TableParagraph"/>
                          <w:spacing w:before="13"/>
                          <w:ind w:left="24" w:right="24"/>
                          <w:jc w:val="center"/>
                          <w:rPr>
                            <w:sz w:val="3"/>
                          </w:rPr>
                        </w:pPr>
                        <w:r>
                          <w:rPr>
                            <w:w w:val="105"/>
                            <w:sz w:val="3"/>
                          </w:rPr>
                          <w:t>1,33196700%</w:t>
                        </w:r>
                      </w:p>
                    </w:tc>
                    <w:tc>
                      <w:tcPr>
                        <w:tcW w:w="288" w:type="dxa"/>
                        <w:tcBorders>
                          <w:top w:val="single" w:sz="2" w:space="0" w:color="000000"/>
                          <w:left w:val="single" w:sz="2" w:space="0" w:color="000000"/>
                          <w:bottom w:val="single" w:sz="2" w:space="0" w:color="000000"/>
                          <w:right w:val="single" w:sz="2" w:space="0" w:color="000000"/>
                        </w:tcBorders>
                      </w:tcPr>
                      <w:p w14:paraId="188A1207" w14:textId="77777777" w:rsidR="00F65BCA" w:rsidRDefault="00F65BCA">
                        <w:pPr>
                          <w:pStyle w:val="TableParagraph"/>
                          <w:rPr>
                            <w:rFonts w:ascii="Calibri"/>
                            <w:sz w:val="2"/>
                          </w:rPr>
                        </w:pPr>
                      </w:p>
                      <w:p w14:paraId="03E247C6" w14:textId="77777777" w:rsidR="00F65BCA" w:rsidRDefault="00F65BCA">
                        <w:pPr>
                          <w:pStyle w:val="TableParagraph"/>
                          <w:rPr>
                            <w:rFonts w:ascii="Calibri"/>
                            <w:sz w:val="2"/>
                          </w:rPr>
                        </w:pPr>
                      </w:p>
                      <w:p w14:paraId="1AE8375F" w14:textId="77777777" w:rsidR="00F65BCA" w:rsidRDefault="00216117">
                        <w:pPr>
                          <w:pStyle w:val="TableParagraph"/>
                          <w:spacing w:before="13"/>
                          <w:ind w:left="24" w:right="24"/>
                          <w:jc w:val="center"/>
                          <w:rPr>
                            <w:sz w:val="3"/>
                          </w:rPr>
                        </w:pPr>
                        <w:r>
                          <w:rPr>
                            <w:w w:val="105"/>
                            <w:sz w:val="3"/>
                          </w:rPr>
                          <w:t>1,23123000%</w:t>
                        </w:r>
                      </w:p>
                    </w:tc>
                    <w:tc>
                      <w:tcPr>
                        <w:tcW w:w="288" w:type="dxa"/>
                        <w:tcBorders>
                          <w:top w:val="single" w:sz="2" w:space="0" w:color="000000"/>
                          <w:left w:val="single" w:sz="2" w:space="0" w:color="000000"/>
                          <w:bottom w:val="single" w:sz="2" w:space="0" w:color="000000"/>
                          <w:right w:val="single" w:sz="2" w:space="0" w:color="000000"/>
                        </w:tcBorders>
                      </w:tcPr>
                      <w:p w14:paraId="59A0F314" w14:textId="77777777" w:rsidR="00F65BCA" w:rsidRDefault="00F65BCA">
                        <w:pPr>
                          <w:pStyle w:val="TableParagraph"/>
                          <w:rPr>
                            <w:rFonts w:ascii="Calibri"/>
                            <w:sz w:val="2"/>
                          </w:rPr>
                        </w:pPr>
                      </w:p>
                      <w:p w14:paraId="0E9A2F9E" w14:textId="77777777" w:rsidR="00F65BCA" w:rsidRDefault="00F65BCA">
                        <w:pPr>
                          <w:pStyle w:val="TableParagraph"/>
                          <w:rPr>
                            <w:rFonts w:ascii="Calibri"/>
                            <w:sz w:val="2"/>
                          </w:rPr>
                        </w:pPr>
                      </w:p>
                      <w:p w14:paraId="4C2182B6" w14:textId="77777777" w:rsidR="00F65BCA" w:rsidRDefault="00216117">
                        <w:pPr>
                          <w:pStyle w:val="TableParagraph"/>
                          <w:spacing w:before="13"/>
                          <w:ind w:left="24" w:right="24"/>
                          <w:jc w:val="center"/>
                          <w:rPr>
                            <w:sz w:val="3"/>
                          </w:rPr>
                        </w:pPr>
                        <w:r>
                          <w:rPr>
                            <w:w w:val="105"/>
                            <w:sz w:val="3"/>
                          </w:rPr>
                          <w:t>1,11930000%</w:t>
                        </w:r>
                      </w:p>
                    </w:tc>
                    <w:tc>
                      <w:tcPr>
                        <w:tcW w:w="288" w:type="dxa"/>
                        <w:tcBorders>
                          <w:top w:val="single" w:sz="2" w:space="0" w:color="000000"/>
                          <w:left w:val="single" w:sz="2" w:space="0" w:color="000000"/>
                          <w:bottom w:val="single" w:sz="2" w:space="0" w:color="000000"/>
                          <w:right w:val="single" w:sz="2" w:space="0" w:color="000000"/>
                        </w:tcBorders>
                      </w:tcPr>
                      <w:p w14:paraId="3CA05071" w14:textId="77777777" w:rsidR="00F65BCA" w:rsidRDefault="00F65BCA">
                        <w:pPr>
                          <w:pStyle w:val="TableParagraph"/>
                          <w:rPr>
                            <w:rFonts w:ascii="Calibri"/>
                            <w:sz w:val="2"/>
                          </w:rPr>
                        </w:pPr>
                      </w:p>
                      <w:p w14:paraId="6D3ACE19" w14:textId="77777777" w:rsidR="00F65BCA" w:rsidRDefault="00F65BCA">
                        <w:pPr>
                          <w:pStyle w:val="TableParagraph"/>
                          <w:rPr>
                            <w:rFonts w:ascii="Calibri"/>
                            <w:sz w:val="2"/>
                          </w:rPr>
                        </w:pPr>
                      </w:p>
                      <w:p w14:paraId="04018720" w14:textId="77777777" w:rsidR="00F65BCA" w:rsidRDefault="00216117">
                        <w:pPr>
                          <w:pStyle w:val="TableParagraph"/>
                          <w:spacing w:before="13"/>
                          <w:ind w:left="24" w:right="24"/>
                          <w:jc w:val="center"/>
                          <w:rPr>
                            <w:sz w:val="3"/>
                          </w:rPr>
                        </w:pPr>
                        <w:r>
                          <w:rPr>
                            <w:w w:val="105"/>
                            <w:sz w:val="3"/>
                          </w:rPr>
                          <w:t>1,11930000%</w:t>
                        </w:r>
                      </w:p>
                    </w:tc>
                    <w:tc>
                      <w:tcPr>
                        <w:tcW w:w="288" w:type="dxa"/>
                        <w:tcBorders>
                          <w:top w:val="single" w:sz="2" w:space="0" w:color="000000"/>
                          <w:left w:val="single" w:sz="2" w:space="0" w:color="000000"/>
                          <w:bottom w:val="single" w:sz="2" w:space="0" w:color="000000"/>
                          <w:right w:val="single" w:sz="2" w:space="0" w:color="000000"/>
                        </w:tcBorders>
                      </w:tcPr>
                      <w:p w14:paraId="49A99BC9" w14:textId="77777777" w:rsidR="00F65BCA" w:rsidRDefault="00F65BCA">
                        <w:pPr>
                          <w:pStyle w:val="TableParagraph"/>
                          <w:rPr>
                            <w:rFonts w:ascii="Calibri"/>
                            <w:sz w:val="2"/>
                          </w:rPr>
                        </w:pPr>
                      </w:p>
                      <w:p w14:paraId="0ACA3A9A" w14:textId="77777777" w:rsidR="00F65BCA" w:rsidRDefault="00F65BCA">
                        <w:pPr>
                          <w:pStyle w:val="TableParagraph"/>
                          <w:rPr>
                            <w:rFonts w:ascii="Calibri"/>
                            <w:sz w:val="2"/>
                          </w:rPr>
                        </w:pPr>
                      </w:p>
                      <w:p w14:paraId="0B36CB7D" w14:textId="77777777" w:rsidR="00F65BCA" w:rsidRDefault="00216117">
                        <w:pPr>
                          <w:pStyle w:val="TableParagraph"/>
                          <w:spacing w:before="13"/>
                          <w:ind w:left="24" w:right="24"/>
                          <w:jc w:val="center"/>
                          <w:rPr>
                            <w:sz w:val="3"/>
                          </w:rPr>
                        </w:pPr>
                        <w:r>
                          <w:rPr>
                            <w:w w:val="105"/>
                            <w:sz w:val="3"/>
                          </w:rPr>
                          <w:t>1,34316000%</w:t>
                        </w:r>
                      </w:p>
                    </w:tc>
                    <w:tc>
                      <w:tcPr>
                        <w:tcW w:w="288" w:type="dxa"/>
                        <w:tcBorders>
                          <w:top w:val="single" w:sz="2" w:space="0" w:color="000000"/>
                          <w:left w:val="single" w:sz="2" w:space="0" w:color="000000"/>
                          <w:bottom w:val="single" w:sz="2" w:space="0" w:color="000000"/>
                          <w:right w:val="single" w:sz="2" w:space="0" w:color="000000"/>
                        </w:tcBorders>
                      </w:tcPr>
                      <w:p w14:paraId="50292DF6" w14:textId="77777777" w:rsidR="00F65BCA" w:rsidRDefault="00F65BCA">
                        <w:pPr>
                          <w:pStyle w:val="TableParagraph"/>
                          <w:rPr>
                            <w:rFonts w:ascii="Calibri"/>
                            <w:sz w:val="2"/>
                          </w:rPr>
                        </w:pPr>
                      </w:p>
                      <w:p w14:paraId="56D50F02" w14:textId="77777777" w:rsidR="00F65BCA" w:rsidRDefault="00F65BCA">
                        <w:pPr>
                          <w:pStyle w:val="TableParagraph"/>
                          <w:rPr>
                            <w:rFonts w:ascii="Calibri"/>
                            <w:sz w:val="2"/>
                          </w:rPr>
                        </w:pPr>
                      </w:p>
                      <w:p w14:paraId="46AD94FF" w14:textId="77777777" w:rsidR="00F65BCA" w:rsidRDefault="00216117">
                        <w:pPr>
                          <w:pStyle w:val="TableParagraph"/>
                          <w:spacing w:before="13"/>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0C39C93D" w14:textId="77777777" w:rsidR="00F65BCA" w:rsidRDefault="00F65BCA">
                        <w:pPr>
                          <w:pStyle w:val="TableParagraph"/>
                          <w:rPr>
                            <w:rFonts w:ascii="Calibri"/>
                            <w:sz w:val="2"/>
                          </w:rPr>
                        </w:pPr>
                      </w:p>
                      <w:p w14:paraId="1FE9F165" w14:textId="77777777" w:rsidR="00F65BCA" w:rsidRDefault="00F65BCA">
                        <w:pPr>
                          <w:pStyle w:val="TableParagraph"/>
                          <w:rPr>
                            <w:rFonts w:ascii="Calibri"/>
                            <w:sz w:val="2"/>
                          </w:rPr>
                        </w:pPr>
                      </w:p>
                      <w:p w14:paraId="6CDE6710" w14:textId="77777777" w:rsidR="00F65BCA" w:rsidRDefault="00216117">
                        <w:pPr>
                          <w:pStyle w:val="TableParagraph"/>
                          <w:spacing w:before="13"/>
                          <w:ind w:left="24" w:right="24"/>
                          <w:jc w:val="center"/>
                          <w:rPr>
                            <w:sz w:val="3"/>
                          </w:rPr>
                        </w:pPr>
                        <w:r>
                          <w:rPr>
                            <w:w w:val="105"/>
                            <w:sz w:val="3"/>
                          </w:rPr>
                          <w:t>1,51105500%</w:t>
                        </w:r>
                      </w:p>
                    </w:tc>
                    <w:tc>
                      <w:tcPr>
                        <w:tcW w:w="288" w:type="dxa"/>
                        <w:tcBorders>
                          <w:top w:val="single" w:sz="2" w:space="0" w:color="000000"/>
                          <w:left w:val="single" w:sz="2" w:space="0" w:color="000000"/>
                          <w:bottom w:val="single" w:sz="2" w:space="0" w:color="000000"/>
                          <w:right w:val="single" w:sz="2" w:space="0" w:color="000000"/>
                        </w:tcBorders>
                      </w:tcPr>
                      <w:p w14:paraId="2B24B392" w14:textId="77777777" w:rsidR="00F65BCA" w:rsidRDefault="00F65BCA">
                        <w:pPr>
                          <w:pStyle w:val="TableParagraph"/>
                          <w:rPr>
                            <w:rFonts w:ascii="Calibri"/>
                            <w:sz w:val="2"/>
                          </w:rPr>
                        </w:pPr>
                      </w:p>
                      <w:p w14:paraId="3A09AB1A" w14:textId="77777777" w:rsidR="00F65BCA" w:rsidRDefault="00F65BCA">
                        <w:pPr>
                          <w:pStyle w:val="TableParagraph"/>
                          <w:rPr>
                            <w:rFonts w:ascii="Calibri"/>
                            <w:sz w:val="2"/>
                          </w:rPr>
                        </w:pPr>
                      </w:p>
                      <w:p w14:paraId="1FF5CDBA" w14:textId="77777777" w:rsidR="00F65BCA" w:rsidRDefault="00216117">
                        <w:pPr>
                          <w:pStyle w:val="TableParagraph"/>
                          <w:spacing w:before="13"/>
                          <w:ind w:left="24" w:right="24"/>
                          <w:jc w:val="center"/>
                          <w:rPr>
                            <w:sz w:val="3"/>
                          </w:rPr>
                        </w:pPr>
                        <w:r>
                          <w:rPr>
                            <w:w w:val="105"/>
                            <w:sz w:val="3"/>
                          </w:rPr>
                          <w:t>1,67895000%</w:t>
                        </w:r>
                      </w:p>
                    </w:tc>
                  </w:tr>
                  <w:tr w:rsidR="00F65BCA" w14:paraId="08C71780" w14:textId="77777777">
                    <w:trPr>
                      <w:trHeight w:val="158"/>
                    </w:trPr>
                    <w:tc>
                      <w:tcPr>
                        <w:tcW w:w="526" w:type="dxa"/>
                        <w:vMerge/>
                        <w:tcBorders>
                          <w:top w:val="nil"/>
                          <w:left w:val="single" w:sz="2" w:space="0" w:color="000000"/>
                          <w:bottom w:val="nil"/>
                          <w:right w:val="single" w:sz="2" w:space="0" w:color="000000"/>
                        </w:tcBorders>
                        <w:shd w:val="clear" w:color="auto" w:fill="FCE4D6"/>
                      </w:tcPr>
                      <w:p w14:paraId="05A98F5C"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4ED5E37"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31443AC0"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18E9844" w14:textId="77777777" w:rsidR="00F65BCA" w:rsidRDefault="00F65BCA">
                        <w:pPr>
                          <w:pStyle w:val="TableParagraph"/>
                          <w:rPr>
                            <w:rFonts w:ascii="Calibri"/>
                            <w:sz w:val="2"/>
                          </w:rPr>
                        </w:pPr>
                      </w:p>
                      <w:p w14:paraId="76742B3D" w14:textId="77777777" w:rsidR="00F65BCA" w:rsidRDefault="00F65BCA">
                        <w:pPr>
                          <w:pStyle w:val="TableParagraph"/>
                          <w:rPr>
                            <w:rFonts w:ascii="Calibri"/>
                            <w:sz w:val="2"/>
                          </w:rPr>
                        </w:pPr>
                      </w:p>
                      <w:p w14:paraId="61ABA863" w14:textId="77777777" w:rsidR="00F65BCA" w:rsidRDefault="00216117">
                        <w:pPr>
                          <w:pStyle w:val="TableParagraph"/>
                          <w:spacing w:before="13"/>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167C718" w14:textId="77777777" w:rsidR="00F65BCA" w:rsidRDefault="00F65BCA">
                        <w:pPr>
                          <w:pStyle w:val="TableParagraph"/>
                          <w:rPr>
                            <w:rFonts w:ascii="Calibri"/>
                            <w:sz w:val="2"/>
                          </w:rPr>
                        </w:pPr>
                      </w:p>
                      <w:p w14:paraId="554D9120" w14:textId="77777777" w:rsidR="00F65BCA" w:rsidRDefault="00F65BCA">
                        <w:pPr>
                          <w:pStyle w:val="TableParagraph"/>
                          <w:rPr>
                            <w:rFonts w:ascii="Calibri"/>
                            <w:sz w:val="2"/>
                          </w:rPr>
                        </w:pPr>
                      </w:p>
                      <w:p w14:paraId="1BC55550" w14:textId="77777777" w:rsidR="00F65BCA" w:rsidRDefault="00216117">
                        <w:pPr>
                          <w:pStyle w:val="TableParagraph"/>
                          <w:spacing w:before="13"/>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C66ABFC"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09E0DF28" w14:textId="77777777" w:rsidR="00F65BCA" w:rsidRDefault="00F65BCA">
                        <w:pPr>
                          <w:pStyle w:val="TableParagraph"/>
                          <w:rPr>
                            <w:rFonts w:ascii="Calibri"/>
                            <w:sz w:val="2"/>
                          </w:rPr>
                        </w:pPr>
                      </w:p>
                      <w:p w14:paraId="12DDB7B5" w14:textId="77777777" w:rsidR="00F65BCA" w:rsidRDefault="00F65BCA">
                        <w:pPr>
                          <w:pStyle w:val="TableParagraph"/>
                          <w:rPr>
                            <w:rFonts w:ascii="Calibri"/>
                            <w:sz w:val="2"/>
                          </w:rPr>
                        </w:pPr>
                      </w:p>
                      <w:p w14:paraId="5EDD5ABE" w14:textId="77777777" w:rsidR="00F65BCA" w:rsidRDefault="00216117">
                        <w:pPr>
                          <w:pStyle w:val="TableParagraph"/>
                          <w:spacing w:before="13"/>
                          <w:ind w:left="24" w:right="24"/>
                          <w:jc w:val="center"/>
                          <w:rPr>
                            <w:sz w:val="3"/>
                          </w:rPr>
                        </w:pPr>
                        <w:r>
                          <w:rPr>
                            <w:w w:val="105"/>
                            <w:sz w:val="3"/>
                          </w:rPr>
                          <w:t>2,16338304%</w:t>
                        </w:r>
                      </w:p>
                    </w:tc>
                    <w:tc>
                      <w:tcPr>
                        <w:tcW w:w="288" w:type="dxa"/>
                        <w:tcBorders>
                          <w:top w:val="single" w:sz="2" w:space="0" w:color="000000"/>
                          <w:left w:val="single" w:sz="2" w:space="0" w:color="000000"/>
                          <w:bottom w:val="single" w:sz="2" w:space="0" w:color="000000"/>
                          <w:right w:val="single" w:sz="2" w:space="0" w:color="000000"/>
                        </w:tcBorders>
                      </w:tcPr>
                      <w:p w14:paraId="6CEF0981" w14:textId="77777777" w:rsidR="00F65BCA" w:rsidRDefault="00F65BCA">
                        <w:pPr>
                          <w:pStyle w:val="TableParagraph"/>
                          <w:rPr>
                            <w:rFonts w:ascii="Calibri"/>
                            <w:sz w:val="2"/>
                          </w:rPr>
                        </w:pPr>
                      </w:p>
                      <w:p w14:paraId="294C9BF1" w14:textId="77777777" w:rsidR="00F65BCA" w:rsidRDefault="00F65BCA">
                        <w:pPr>
                          <w:pStyle w:val="TableParagraph"/>
                          <w:rPr>
                            <w:rFonts w:ascii="Calibri"/>
                            <w:sz w:val="2"/>
                          </w:rPr>
                        </w:pPr>
                      </w:p>
                      <w:p w14:paraId="7B072C9C" w14:textId="77777777" w:rsidR="00F65BCA" w:rsidRDefault="00216117">
                        <w:pPr>
                          <w:pStyle w:val="TableParagraph"/>
                          <w:spacing w:before="13"/>
                          <w:ind w:left="24" w:right="24"/>
                          <w:jc w:val="center"/>
                          <w:rPr>
                            <w:sz w:val="3"/>
                          </w:rPr>
                        </w:pPr>
                        <w:r>
                          <w:rPr>
                            <w:w w:val="105"/>
                            <w:sz w:val="3"/>
                          </w:rPr>
                          <w:t>2,02817160%</w:t>
                        </w:r>
                      </w:p>
                    </w:tc>
                    <w:tc>
                      <w:tcPr>
                        <w:tcW w:w="288" w:type="dxa"/>
                        <w:tcBorders>
                          <w:top w:val="single" w:sz="2" w:space="0" w:color="000000"/>
                          <w:left w:val="single" w:sz="2" w:space="0" w:color="000000"/>
                          <w:bottom w:val="single" w:sz="2" w:space="0" w:color="000000"/>
                          <w:right w:val="single" w:sz="2" w:space="0" w:color="000000"/>
                        </w:tcBorders>
                      </w:tcPr>
                      <w:p w14:paraId="5D47687D" w14:textId="77777777" w:rsidR="00F65BCA" w:rsidRDefault="00F65BCA">
                        <w:pPr>
                          <w:pStyle w:val="TableParagraph"/>
                          <w:rPr>
                            <w:rFonts w:ascii="Calibri"/>
                            <w:sz w:val="2"/>
                          </w:rPr>
                        </w:pPr>
                      </w:p>
                      <w:p w14:paraId="17805B27" w14:textId="77777777" w:rsidR="00F65BCA" w:rsidRDefault="00F65BCA">
                        <w:pPr>
                          <w:pStyle w:val="TableParagraph"/>
                          <w:rPr>
                            <w:rFonts w:ascii="Calibri"/>
                            <w:sz w:val="2"/>
                          </w:rPr>
                        </w:pPr>
                      </w:p>
                      <w:p w14:paraId="3235B58B" w14:textId="77777777" w:rsidR="00F65BCA" w:rsidRDefault="00216117">
                        <w:pPr>
                          <w:pStyle w:val="TableParagraph"/>
                          <w:spacing w:before="13"/>
                          <w:ind w:left="24" w:right="24"/>
                          <w:jc w:val="center"/>
                          <w:rPr>
                            <w:sz w:val="3"/>
                          </w:rPr>
                        </w:pPr>
                        <w:r>
                          <w:rPr>
                            <w:w w:val="105"/>
                            <w:sz w:val="3"/>
                          </w:rPr>
                          <w:t>1,93352359%</w:t>
                        </w:r>
                      </w:p>
                    </w:tc>
                    <w:tc>
                      <w:tcPr>
                        <w:tcW w:w="288" w:type="dxa"/>
                        <w:tcBorders>
                          <w:top w:val="single" w:sz="2" w:space="0" w:color="000000"/>
                          <w:left w:val="single" w:sz="2" w:space="0" w:color="000000"/>
                          <w:bottom w:val="single" w:sz="2" w:space="0" w:color="000000"/>
                          <w:right w:val="single" w:sz="2" w:space="0" w:color="000000"/>
                        </w:tcBorders>
                      </w:tcPr>
                      <w:p w14:paraId="51826F2F" w14:textId="77777777" w:rsidR="00F65BCA" w:rsidRDefault="00F65BCA">
                        <w:pPr>
                          <w:pStyle w:val="TableParagraph"/>
                          <w:rPr>
                            <w:rFonts w:ascii="Calibri"/>
                            <w:sz w:val="2"/>
                          </w:rPr>
                        </w:pPr>
                      </w:p>
                      <w:p w14:paraId="13F0482D" w14:textId="77777777" w:rsidR="00F65BCA" w:rsidRDefault="00F65BCA">
                        <w:pPr>
                          <w:pStyle w:val="TableParagraph"/>
                          <w:rPr>
                            <w:rFonts w:ascii="Calibri"/>
                            <w:sz w:val="2"/>
                          </w:rPr>
                        </w:pPr>
                      </w:p>
                      <w:p w14:paraId="040DA19F" w14:textId="77777777" w:rsidR="00F65BCA" w:rsidRDefault="00216117">
                        <w:pPr>
                          <w:pStyle w:val="TableParagraph"/>
                          <w:spacing w:before="13"/>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19FDF7E0" w14:textId="77777777" w:rsidR="00F65BCA" w:rsidRDefault="00F65BCA">
                        <w:pPr>
                          <w:pStyle w:val="TableParagraph"/>
                          <w:rPr>
                            <w:rFonts w:ascii="Calibri"/>
                            <w:sz w:val="2"/>
                          </w:rPr>
                        </w:pPr>
                      </w:p>
                      <w:p w14:paraId="3F1B1F2C" w14:textId="77777777" w:rsidR="00F65BCA" w:rsidRDefault="00F65BCA">
                        <w:pPr>
                          <w:pStyle w:val="TableParagraph"/>
                          <w:rPr>
                            <w:rFonts w:ascii="Calibri"/>
                            <w:sz w:val="2"/>
                          </w:rPr>
                        </w:pPr>
                      </w:p>
                      <w:p w14:paraId="0E87A9D0" w14:textId="77777777" w:rsidR="00F65BCA" w:rsidRDefault="00216117">
                        <w:pPr>
                          <w:pStyle w:val="TableParagraph"/>
                          <w:spacing w:before="13"/>
                          <w:ind w:left="24" w:right="24"/>
                          <w:jc w:val="center"/>
                          <w:rPr>
                            <w:sz w:val="3"/>
                          </w:rPr>
                        </w:pPr>
                        <w:r>
                          <w:rPr>
                            <w:w w:val="105"/>
                            <w:sz w:val="3"/>
                          </w:rPr>
                          <w:t>1,73070643%</w:t>
                        </w:r>
                      </w:p>
                    </w:tc>
                    <w:tc>
                      <w:tcPr>
                        <w:tcW w:w="288" w:type="dxa"/>
                        <w:tcBorders>
                          <w:top w:val="single" w:sz="2" w:space="0" w:color="000000"/>
                          <w:left w:val="single" w:sz="2" w:space="0" w:color="000000"/>
                          <w:bottom w:val="single" w:sz="2" w:space="0" w:color="000000"/>
                          <w:right w:val="single" w:sz="2" w:space="0" w:color="000000"/>
                        </w:tcBorders>
                      </w:tcPr>
                      <w:p w14:paraId="058A4757" w14:textId="77777777" w:rsidR="00F65BCA" w:rsidRDefault="00F65BCA">
                        <w:pPr>
                          <w:pStyle w:val="TableParagraph"/>
                          <w:rPr>
                            <w:rFonts w:ascii="Calibri"/>
                            <w:sz w:val="2"/>
                          </w:rPr>
                        </w:pPr>
                      </w:p>
                      <w:p w14:paraId="24DF7F9E" w14:textId="77777777" w:rsidR="00F65BCA" w:rsidRDefault="00F65BCA">
                        <w:pPr>
                          <w:pStyle w:val="TableParagraph"/>
                          <w:rPr>
                            <w:rFonts w:ascii="Calibri"/>
                            <w:sz w:val="2"/>
                          </w:rPr>
                        </w:pPr>
                      </w:p>
                      <w:p w14:paraId="2D2F8DEB" w14:textId="77777777" w:rsidR="00F65BCA" w:rsidRDefault="00216117">
                        <w:pPr>
                          <w:pStyle w:val="TableParagraph"/>
                          <w:spacing w:before="13"/>
                          <w:ind w:left="24" w:right="24"/>
                          <w:jc w:val="center"/>
                          <w:rPr>
                            <w:sz w:val="3"/>
                          </w:rPr>
                        </w:pPr>
                        <w:r>
                          <w:rPr>
                            <w:w w:val="105"/>
                            <w:sz w:val="3"/>
                          </w:rPr>
                          <w:t>1,60901614%</w:t>
                        </w:r>
                      </w:p>
                    </w:tc>
                    <w:tc>
                      <w:tcPr>
                        <w:tcW w:w="288" w:type="dxa"/>
                        <w:tcBorders>
                          <w:top w:val="single" w:sz="2" w:space="0" w:color="000000"/>
                          <w:left w:val="single" w:sz="2" w:space="0" w:color="000000"/>
                          <w:bottom w:val="single" w:sz="2" w:space="0" w:color="000000"/>
                          <w:right w:val="single" w:sz="2" w:space="0" w:color="000000"/>
                        </w:tcBorders>
                      </w:tcPr>
                      <w:p w14:paraId="146428B8" w14:textId="77777777" w:rsidR="00F65BCA" w:rsidRDefault="00F65BCA">
                        <w:pPr>
                          <w:pStyle w:val="TableParagraph"/>
                          <w:rPr>
                            <w:rFonts w:ascii="Calibri"/>
                            <w:sz w:val="2"/>
                          </w:rPr>
                        </w:pPr>
                      </w:p>
                      <w:p w14:paraId="617AE519" w14:textId="77777777" w:rsidR="00F65BCA" w:rsidRDefault="00F65BCA">
                        <w:pPr>
                          <w:pStyle w:val="TableParagraph"/>
                          <w:rPr>
                            <w:rFonts w:ascii="Calibri"/>
                            <w:sz w:val="2"/>
                          </w:rPr>
                        </w:pPr>
                      </w:p>
                      <w:p w14:paraId="42B3CA25" w14:textId="77777777" w:rsidR="00F65BCA" w:rsidRDefault="00216117">
                        <w:pPr>
                          <w:pStyle w:val="TableParagraph"/>
                          <w:spacing w:before="13"/>
                          <w:ind w:left="24" w:right="24"/>
                          <w:jc w:val="center"/>
                          <w:rPr>
                            <w:sz w:val="3"/>
                          </w:rPr>
                        </w:pPr>
                        <w:r>
                          <w:rPr>
                            <w:w w:val="105"/>
                            <w:sz w:val="3"/>
                          </w:rPr>
                          <w:t>1,48732584%</w:t>
                        </w:r>
                      </w:p>
                    </w:tc>
                    <w:tc>
                      <w:tcPr>
                        <w:tcW w:w="288" w:type="dxa"/>
                        <w:tcBorders>
                          <w:top w:val="single" w:sz="2" w:space="0" w:color="000000"/>
                          <w:left w:val="single" w:sz="2" w:space="0" w:color="000000"/>
                          <w:bottom w:val="single" w:sz="2" w:space="0" w:color="000000"/>
                          <w:right w:val="single" w:sz="2" w:space="0" w:color="000000"/>
                        </w:tcBorders>
                      </w:tcPr>
                      <w:p w14:paraId="065ED406" w14:textId="77777777" w:rsidR="00F65BCA" w:rsidRDefault="00F65BCA">
                        <w:pPr>
                          <w:pStyle w:val="TableParagraph"/>
                          <w:rPr>
                            <w:rFonts w:ascii="Calibri"/>
                            <w:sz w:val="2"/>
                          </w:rPr>
                        </w:pPr>
                      </w:p>
                      <w:p w14:paraId="7EF890D7" w14:textId="77777777" w:rsidR="00F65BCA" w:rsidRDefault="00F65BCA">
                        <w:pPr>
                          <w:pStyle w:val="TableParagraph"/>
                          <w:rPr>
                            <w:rFonts w:ascii="Calibri"/>
                            <w:sz w:val="2"/>
                          </w:rPr>
                        </w:pPr>
                      </w:p>
                      <w:p w14:paraId="20D97DD2" w14:textId="77777777" w:rsidR="00F65BCA" w:rsidRDefault="00216117">
                        <w:pPr>
                          <w:pStyle w:val="TableParagraph"/>
                          <w:spacing w:before="13"/>
                          <w:ind w:left="24" w:right="24"/>
                          <w:jc w:val="center"/>
                          <w:rPr>
                            <w:sz w:val="3"/>
                          </w:rPr>
                        </w:pPr>
                        <w:r>
                          <w:rPr>
                            <w:w w:val="105"/>
                            <w:sz w:val="3"/>
                          </w:rPr>
                          <w:t>1,35211440%</w:t>
                        </w:r>
                      </w:p>
                    </w:tc>
                    <w:tc>
                      <w:tcPr>
                        <w:tcW w:w="288" w:type="dxa"/>
                        <w:tcBorders>
                          <w:top w:val="single" w:sz="2" w:space="0" w:color="000000"/>
                          <w:left w:val="single" w:sz="2" w:space="0" w:color="000000"/>
                          <w:bottom w:val="single" w:sz="2" w:space="0" w:color="000000"/>
                          <w:right w:val="single" w:sz="2" w:space="0" w:color="000000"/>
                        </w:tcBorders>
                      </w:tcPr>
                      <w:p w14:paraId="52BCA28D" w14:textId="77777777" w:rsidR="00F65BCA" w:rsidRDefault="00F65BCA">
                        <w:pPr>
                          <w:pStyle w:val="TableParagraph"/>
                          <w:rPr>
                            <w:rFonts w:ascii="Calibri"/>
                            <w:sz w:val="2"/>
                          </w:rPr>
                        </w:pPr>
                      </w:p>
                      <w:p w14:paraId="29B4DD15" w14:textId="77777777" w:rsidR="00F65BCA" w:rsidRDefault="00F65BCA">
                        <w:pPr>
                          <w:pStyle w:val="TableParagraph"/>
                          <w:rPr>
                            <w:rFonts w:ascii="Calibri"/>
                            <w:sz w:val="2"/>
                          </w:rPr>
                        </w:pPr>
                      </w:p>
                      <w:p w14:paraId="1A922AA6" w14:textId="77777777" w:rsidR="00F65BCA" w:rsidRDefault="00216117">
                        <w:pPr>
                          <w:pStyle w:val="TableParagraph"/>
                          <w:spacing w:before="13"/>
                          <w:ind w:left="24" w:right="24"/>
                          <w:jc w:val="center"/>
                          <w:rPr>
                            <w:sz w:val="3"/>
                          </w:rPr>
                        </w:pPr>
                        <w:r>
                          <w:rPr>
                            <w:w w:val="105"/>
                            <w:sz w:val="3"/>
                          </w:rPr>
                          <w:t>1,35211440%</w:t>
                        </w:r>
                      </w:p>
                    </w:tc>
                    <w:tc>
                      <w:tcPr>
                        <w:tcW w:w="288" w:type="dxa"/>
                        <w:tcBorders>
                          <w:top w:val="single" w:sz="2" w:space="0" w:color="000000"/>
                          <w:left w:val="single" w:sz="2" w:space="0" w:color="000000"/>
                          <w:bottom w:val="single" w:sz="2" w:space="0" w:color="000000"/>
                          <w:right w:val="single" w:sz="2" w:space="0" w:color="000000"/>
                        </w:tcBorders>
                      </w:tcPr>
                      <w:p w14:paraId="747AE8BC" w14:textId="77777777" w:rsidR="00F65BCA" w:rsidRDefault="00F65BCA">
                        <w:pPr>
                          <w:pStyle w:val="TableParagraph"/>
                          <w:rPr>
                            <w:rFonts w:ascii="Calibri"/>
                            <w:sz w:val="2"/>
                          </w:rPr>
                        </w:pPr>
                      </w:p>
                      <w:p w14:paraId="2A3F6A9C" w14:textId="77777777" w:rsidR="00F65BCA" w:rsidRDefault="00F65BCA">
                        <w:pPr>
                          <w:pStyle w:val="TableParagraph"/>
                          <w:rPr>
                            <w:rFonts w:ascii="Calibri"/>
                            <w:sz w:val="2"/>
                          </w:rPr>
                        </w:pPr>
                      </w:p>
                      <w:p w14:paraId="5DE9B551" w14:textId="77777777" w:rsidR="00F65BCA" w:rsidRDefault="00216117">
                        <w:pPr>
                          <w:pStyle w:val="TableParagraph"/>
                          <w:spacing w:before="13"/>
                          <w:ind w:left="24" w:right="24"/>
                          <w:jc w:val="center"/>
                          <w:rPr>
                            <w:sz w:val="3"/>
                          </w:rPr>
                        </w:pPr>
                        <w:r>
                          <w:rPr>
                            <w:w w:val="105"/>
                            <w:sz w:val="3"/>
                          </w:rPr>
                          <w:t>1,62253728%</w:t>
                        </w:r>
                      </w:p>
                    </w:tc>
                    <w:tc>
                      <w:tcPr>
                        <w:tcW w:w="288" w:type="dxa"/>
                        <w:tcBorders>
                          <w:top w:val="single" w:sz="2" w:space="0" w:color="000000"/>
                          <w:left w:val="single" w:sz="2" w:space="0" w:color="000000"/>
                          <w:bottom w:val="single" w:sz="2" w:space="0" w:color="000000"/>
                          <w:right w:val="single" w:sz="2" w:space="0" w:color="000000"/>
                        </w:tcBorders>
                      </w:tcPr>
                      <w:p w14:paraId="69DDCBAD" w14:textId="77777777" w:rsidR="00F65BCA" w:rsidRDefault="00F65BCA">
                        <w:pPr>
                          <w:pStyle w:val="TableParagraph"/>
                          <w:rPr>
                            <w:rFonts w:ascii="Calibri"/>
                            <w:sz w:val="2"/>
                          </w:rPr>
                        </w:pPr>
                      </w:p>
                      <w:p w14:paraId="7CDB9139" w14:textId="77777777" w:rsidR="00F65BCA" w:rsidRDefault="00F65BCA">
                        <w:pPr>
                          <w:pStyle w:val="TableParagraph"/>
                          <w:rPr>
                            <w:rFonts w:ascii="Calibri"/>
                            <w:sz w:val="2"/>
                          </w:rPr>
                        </w:pPr>
                      </w:p>
                      <w:p w14:paraId="0E5F2EB2" w14:textId="77777777" w:rsidR="00F65BCA" w:rsidRDefault="00216117">
                        <w:pPr>
                          <w:pStyle w:val="TableParagraph"/>
                          <w:spacing w:before="13"/>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748F2738" w14:textId="77777777" w:rsidR="00F65BCA" w:rsidRDefault="00F65BCA">
                        <w:pPr>
                          <w:pStyle w:val="TableParagraph"/>
                          <w:rPr>
                            <w:rFonts w:ascii="Calibri"/>
                            <w:sz w:val="2"/>
                          </w:rPr>
                        </w:pPr>
                      </w:p>
                      <w:p w14:paraId="32E09744" w14:textId="77777777" w:rsidR="00F65BCA" w:rsidRDefault="00F65BCA">
                        <w:pPr>
                          <w:pStyle w:val="TableParagraph"/>
                          <w:rPr>
                            <w:rFonts w:ascii="Calibri"/>
                            <w:sz w:val="2"/>
                          </w:rPr>
                        </w:pPr>
                      </w:p>
                      <w:p w14:paraId="6D17D25C" w14:textId="77777777" w:rsidR="00F65BCA" w:rsidRDefault="00216117">
                        <w:pPr>
                          <w:pStyle w:val="TableParagraph"/>
                          <w:spacing w:before="13"/>
                          <w:ind w:left="24" w:right="24"/>
                          <w:jc w:val="center"/>
                          <w:rPr>
                            <w:sz w:val="3"/>
                          </w:rPr>
                        </w:pPr>
                        <w:r>
                          <w:rPr>
                            <w:w w:val="105"/>
                            <w:sz w:val="3"/>
                          </w:rPr>
                          <w:t>1,82535444%</w:t>
                        </w:r>
                      </w:p>
                    </w:tc>
                    <w:tc>
                      <w:tcPr>
                        <w:tcW w:w="288" w:type="dxa"/>
                        <w:tcBorders>
                          <w:top w:val="single" w:sz="2" w:space="0" w:color="000000"/>
                          <w:left w:val="single" w:sz="2" w:space="0" w:color="000000"/>
                          <w:bottom w:val="single" w:sz="2" w:space="0" w:color="000000"/>
                          <w:right w:val="single" w:sz="2" w:space="0" w:color="000000"/>
                        </w:tcBorders>
                      </w:tcPr>
                      <w:p w14:paraId="45EDF846" w14:textId="77777777" w:rsidR="00F65BCA" w:rsidRDefault="00F65BCA">
                        <w:pPr>
                          <w:pStyle w:val="TableParagraph"/>
                          <w:rPr>
                            <w:rFonts w:ascii="Calibri"/>
                            <w:sz w:val="2"/>
                          </w:rPr>
                        </w:pPr>
                      </w:p>
                      <w:p w14:paraId="555A8226" w14:textId="77777777" w:rsidR="00F65BCA" w:rsidRDefault="00F65BCA">
                        <w:pPr>
                          <w:pStyle w:val="TableParagraph"/>
                          <w:rPr>
                            <w:rFonts w:ascii="Calibri"/>
                            <w:sz w:val="2"/>
                          </w:rPr>
                        </w:pPr>
                      </w:p>
                      <w:p w14:paraId="0C3FDB27" w14:textId="77777777" w:rsidR="00F65BCA" w:rsidRDefault="00216117">
                        <w:pPr>
                          <w:pStyle w:val="TableParagraph"/>
                          <w:spacing w:before="13"/>
                          <w:ind w:left="24" w:right="24"/>
                          <w:jc w:val="center"/>
                          <w:rPr>
                            <w:sz w:val="3"/>
                          </w:rPr>
                        </w:pPr>
                        <w:r>
                          <w:rPr>
                            <w:w w:val="105"/>
                            <w:sz w:val="3"/>
                          </w:rPr>
                          <w:t>2,02817160%</w:t>
                        </w:r>
                      </w:p>
                    </w:tc>
                  </w:tr>
                  <w:tr w:rsidR="00F65BCA" w14:paraId="5D8C1C2E"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58DD430B"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3B61EA04" w14:textId="77777777" w:rsidR="00F65BCA" w:rsidRDefault="00F65BCA">
                        <w:pPr>
                          <w:pStyle w:val="TableParagraph"/>
                          <w:rPr>
                            <w:rFonts w:ascii="Calibri"/>
                            <w:sz w:val="2"/>
                          </w:rPr>
                        </w:pPr>
                      </w:p>
                      <w:p w14:paraId="365B804F" w14:textId="77777777" w:rsidR="00F65BCA" w:rsidRDefault="00F65BCA">
                        <w:pPr>
                          <w:pStyle w:val="TableParagraph"/>
                          <w:rPr>
                            <w:rFonts w:ascii="Calibri"/>
                            <w:sz w:val="2"/>
                          </w:rPr>
                        </w:pPr>
                      </w:p>
                      <w:p w14:paraId="6F561CE8" w14:textId="77777777" w:rsidR="00F65BCA" w:rsidRDefault="00F65BCA">
                        <w:pPr>
                          <w:pStyle w:val="TableParagraph"/>
                          <w:rPr>
                            <w:rFonts w:ascii="Calibri"/>
                            <w:sz w:val="2"/>
                          </w:rPr>
                        </w:pPr>
                      </w:p>
                      <w:p w14:paraId="559FD1B0" w14:textId="77777777" w:rsidR="00F65BCA" w:rsidRDefault="00F65BCA">
                        <w:pPr>
                          <w:pStyle w:val="TableParagraph"/>
                          <w:rPr>
                            <w:rFonts w:ascii="Calibri"/>
                            <w:sz w:val="2"/>
                          </w:rPr>
                        </w:pPr>
                      </w:p>
                      <w:p w14:paraId="6F3C2BDE" w14:textId="77777777" w:rsidR="00F65BCA" w:rsidRDefault="00F65BCA">
                        <w:pPr>
                          <w:pStyle w:val="TableParagraph"/>
                          <w:rPr>
                            <w:rFonts w:ascii="Calibri"/>
                            <w:sz w:val="2"/>
                          </w:rPr>
                        </w:pPr>
                      </w:p>
                      <w:p w14:paraId="726BE92B" w14:textId="77777777" w:rsidR="00F65BCA" w:rsidRDefault="00F65BCA">
                        <w:pPr>
                          <w:pStyle w:val="TableParagraph"/>
                          <w:rPr>
                            <w:rFonts w:ascii="Calibri"/>
                            <w:sz w:val="2"/>
                          </w:rPr>
                        </w:pPr>
                      </w:p>
                      <w:p w14:paraId="30DD0AD6" w14:textId="77777777" w:rsidR="00F65BCA" w:rsidRDefault="00F65BCA">
                        <w:pPr>
                          <w:pStyle w:val="TableParagraph"/>
                          <w:rPr>
                            <w:rFonts w:ascii="Calibri"/>
                            <w:sz w:val="2"/>
                          </w:rPr>
                        </w:pPr>
                      </w:p>
                      <w:p w14:paraId="2AF58318" w14:textId="77777777" w:rsidR="00F65BCA" w:rsidRDefault="00F65BCA">
                        <w:pPr>
                          <w:pStyle w:val="TableParagraph"/>
                          <w:rPr>
                            <w:rFonts w:ascii="Calibri"/>
                            <w:sz w:val="2"/>
                          </w:rPr>
                        </w:pPr>
                      </w:p>
                      <w:p w14:paraId="27B2F0E8" w14:textId="77777777" w:rsidR="00F65BCA" w:rsidRDefault="00F65BCA">
                        <w:pPr>
                          <w:pStyle w:val="TableParagraph"/>
                          <w:spacing w:before="5"/>
                          <w:rPr>
                            <w:rFonts w:ascii="Calibri"/>
                            <w:sz w:val="2"/>
                          </w:rPr>
                        </w:pPr>
                      </w:p>
                      <w:p w14:paraId="16D0CF2C" w14:textId="77777777" w:rsidR="00F65BCA" w:rsidRDefault="00216117">
                        <w:pPr>
                          <w:pStyle w:val="TableParagraph"/>
                          <w:ind w:left="18" w:right="15"/>
                          <w:jc w:val="center"/>
                          <w:rPr>
                            <w:sz w:val="3"/>
                          </w:rPr>
                        </w:pPr>
                        <w:r>
                          <w:rPr>
                            <w:w w:val="105"/>
                            <w:sz w:val="3"/>
                          </w:rPr>
                          <w:t>Mitsubishi</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3A88B1F" w14:textId="77777777" w:rsidR="00F65BCA" w:rsidRDefault="00F65BCA">
                        <w:pPr>
                          <w:pStyle w:val="TableParagraph"/>
                          <w:rPr>
                            <w:rFonts w:ascii="Calibri"/>
                            <w:sz w:val="2"/>
                          </w:rPr>
                        </w:pPr>
                      </w:p>
                      <w:p w14:paraId="53EE10AF" w14:textId="77777777" w:rsidR="00F65BCA" w:rsidRDefault="00F65BCA">
                        <w:pPr>
                          <w:pStyle w:val="TableParagraph"/>
                          <w:rPr>
                            <w:rFonts w:ascii="Calibri"/>
                            <w:sz w:val="2"/>
                          </w:rPr>
                        </w:pPr>
                      </w:p>
                      <w:p w14:paraId="6F02DD0B" w14:textId="77777777" w:rsidR="00F65BCA" w:rsidRDefault="00216117">
                        <w:pPr>
                          <w:pStyle w:val="TableParagraph"/>
                          <w:spacing w:before="17"/>
                          <w:ind w:left="4"/>
                          <w:rPr>
                            <w:sz w:val="3"/>
                          </w:rPr>
                        </w:pPr>
                        <w:r>
                          <w:rPr>
                            <w:w w:val="105"/>
                            <w:sz w:val="3"/>
                          </w:rPr>
                          <w:t>CANTER 3; CANTER 35; L 200; L 300; L 400; PAJERO PICK UP</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BE6D62C" w14:textId="77777777" w:rsidR="00F65BCA" w:rsidRDefault="00F65BCA">
                        <w:pPr>
                          <w:pStyle w:val="TableParagraph"/>
                          <w:rPr>
                            <w:rFonts w:ascii="Calibri"/>
                            <w:sz w:val="2"/>
                          </w:rPr>
                        </w:pPr>
                      </w:p>
                      <w:p w14:paraId="41B33478"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2F0BB4F" w14:textId="77777777" w:rsidR="00F65BCA" w:rsidRDefault="00F65BCA">
                        <w:pPr>
                          <w:pStyle w:val="TableParagraph"/>
                          <w:rPr>
                            <w:rFonts w:ascii="Calibri"/>
                            <w:sz w:val="2"/>
                          </w:rPr>
                        </w:pPr>
                      </w:p>
                      <w:p w14:paraId="384E85C4"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76E6F4B"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2B067D7" w14:textId="77777777" w:rsidR="00F65BCA" w:rsidRDefault="00F65BCA">
                        <w:pPr>
                          <w:pStyle w:val="TableParagraph"/>
                          <w:rPr>
                            <w:rFonts w:ascii="Calibri"/>
                            <w:sz w:val="2"/>
                          </w:rPr>
                        </w:pPr>
                      </w:p>
                      <w:p w14:paraId="648C638B"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78D3AD6D" w14:textId="77777777" w:rsidR="00F65BCA" w:rsidRDefault="00F65BCA">
                        <w:pPr>
                          <w:pStyle w:val="TableParagraph"/>
                          <w:rPr>
                            <w:rFonts w:ascii="Calibri"/>
                            <w:sz w:val="2"/>
                          </w:rPr>
                        </w:pPr>
                      </w:p>
                      <w:p w14:paraId="6BB117F2"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03F087BE" w14:textId="77777777" w:rsidR="00F65BCA" w:rsidRDefault="00F65BCA">
                        <w:pPr>
                          <w:pStyle w:val="TableParagraph"/>
                          <w:rPr>
                            <w:rFonts w:ascii="Calibri"/>
                            <w:sz w:val="2"/>
                          </w:rPr>
                        </w:pPr>
                      </w:p>
                      <w:p w14:paraId="3D943BFF"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7ACE7369" w14:textId="77777777" w:rsidR="00F65BCA" w:rsidRDefault="00F65BCA">
                        <w:pPr>
                          <w:pStyle w:val="TableParagraph"/>
                          <w:rPr>
                            <w:rFonts w:ascii="Calibri"/>
                            <w:sz w:val="2"/>
                          </w:rPr>
                        </w:pPr>
                      </w:p>
                      <w:p w14:paraId="5D2E71D0"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59D11D57" w14:textId="77777777" w:rsidR="00F65BCA" w:rsidRDefault="00F65BCA">
                        <w:pPr>
                          <w:pStyle w:val="TableParagraph"/>
                          <w:rPr>
                            <w:rFonts w:ascii="Calibri"/>
                            <w:sz w:val="2"/>
                          </w:rPr>
                        </w:pPr>
                      </w:p>
                      <w:p w14:paraId="465F7835"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57936EC8" w14:textId="77777777" w:rsidR="00F65BCA" w:rsidRDefault="00F65BCA">
                        <w:pPr>
                          <w:pStyle w:val="TableParagraph"/>
                          <w:rPr>
                            <w:rFonts w:ascii="Calibri"/>
                            <w:sz w:val="2"/>
                          </w:rPr>
                        </w:pPr>
                      </w:p>
                      <w:p w14:paraId="4E0DCD37"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028699AA" w14:textId="77777777" w:rsidR="00F65BCA" w:rsidRDefault="00F65BCA">
                        <w:pPr>
                          <w:pStyle w:val="TableParagraph"/>
                          <w:rPr>
                            <w:rFonts w:ascii="Calibri"/>
                            <w:sz w:val="2"/>
                          </w:rPr>
                        </w:pPr>
                      </w:p>
                      <w:p w14:paraId="00C1CAB4"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258A1ADC" w14:textId="77777777" w:rsidR="00F65BCA" w:rsidRDefault="00F65BCA">
                        <w:pPr>
                          <w:pStyle w:val="TableParagraph"/>
                          <w:rPr>
                            <w:rFonts w:ascii="Calibri"/>
                            <w:sz w:val="2"/>
                          </w:rPr>
                        </w:pPr>
                      </w:p>
                      <w:p w14:paraId="3E352EA0"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194A8C7A" w14:textId="77777777" w:rsidR="00F65BCA" w:rsidRDefault="00F65BCA">
                        <w:pPr>
                          <w:pStyle w:val="TableParagraph"/>
                          <w:rPr>
                            <w:rFonts w:ascii="Calibri"/>
                            <w:sz w:val="2"/>
                          </w:rPr>
                        </w:pPr>
                      </w:p>
                      <w:p w14:paraId="5BFBE61B"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69B78614" w14:textId="77777777" w:rsidR="00F65BCA" w:rsidRDefault="00F65BCA">
                        <w:pPr>
                          <w:pStyle w:val="TableParagraph"/>
                          <w:rPr>
                            <w:rFonts w:ascii="Calibri"/>
                            <w:sz w:val="2"/>
                          </w:rPr>
                        </w:pPr>
                      </w:p>
                      <w:p w14:paraId="409F992A"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45C3A950" w14:textId="77777777" w:rsidR="00F65BCA" w:rsidRDefault="00F65BCA">
                        <w:pPr>
                          <w:pStyle w:val="TableParagraph"/>
                          <w:rPr>
                            <w:rFonts w:ascii="Calibri"/>
                            <w:sz w:val="2"/>
                          </w:rPr>
                        </w:pPr>
                      </w:p>
                      <w:p w14:paraId="7E433FB8"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74F077FE" w14:textId="77777777" w:rsidR="00F65BCA" w:rsidRDefault="00F65BCA">
                        <w:pPr>
                          <w:pStyle w:val="TableParagraph"/>
                          <w:rPr>
                            <w:rFonts w:ascii="Calibri"/>
                            <w:sz w:val="2"/>
                          </w:rPr>
                        </w:pPr>
                      </w:p>
                      <w:p w14:paraId="483838BE"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2FE5B966" w14:textId="77777777" w:rsidR="00F65BCA" w:rsidRDefault="00F65BCA">
                        <w:pPr>
                          <w:pStyle w:val="TableParagraph"/>
                          <w:rPr>
                            <w:rFonts w:ascii="Calibri"/>
                            <w:sz w:val="2"/>
                          </w:rPr>
                        </w:pPr>
                      </w:p>
                      <w:p w14:paraId="1B0658DF" w14:textId="77777777" w:rsidR="00F65BCA" w:rsidRDefault="00216117">
                        <w:pPr>
                          <w:pStyle w:val="TableParagraph"/>
                          <w:ind w:left="24" w:right="24"/>
                          <w:jc w:val="center"/>
                          <w:rPr>
                            <w:sz w:val="3"/>
                          </w:rPr>
                        </w:pPr>
                        <w:r>
                          <w:rPr>
                            <w:w w:val="105"/>
                            <w:sz w:val="3"/>
                          </w:rPr>
                          <w:t>1,07731026%</w:t>
                        </w:r>
                      </w:p>
                    </w:tc>
                  </w:tr>
                  <w:tr w:rsidR="00F65BCA" w14:paraId="52C80771"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63220140"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2A96EDB6"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7B2A2373"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A9EE5CB" w14:textId="77777777" w:rsidR="00F65BCA" w:rsidRDefault="00F65BCA">
                        <w:pPr>
                          <w:pStyle w:val="TableParagraph"/>
                          <w:rPr>
                            <w:rFonts w:ascii="Calibri"/>
                            <w:sz w:val="2"/>
                          </w:rPr>
                        </w:pPr>
                      </w:p>
                      <w:p w14:paraId="5CE26FB1"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5E3B60F" w14:textId="77777777" w:rsidR="00F65BCA" w:rsidRDefault="00F65BCA">
                        <w:pPr>
                          <w:pStyle w:val="TableParagraph"/>
                          <w:rPr>
                            <w:rFonts w:ascii="Calibri"/>
                            <w:sz w:val="2"/>
                          </w:rPr>
                        </w:pPr>
                      </w:p>
                      <w:p w14:paraId="3BCC58B5"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2973E9F4"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EE2F315" w14:textId="77777777" w:rsidR="00F65BCA" w:rsidRDefault="00F65BCA">
                        <w:pPr>
                          <w:pStyle w:val="TableParagraph"/>
                          <w:rPr>
                            <w:rFonts w:ascii="Calibri"/>
                            <w:sz w:val="2"/>
                          </w:rPr>
                        </w:pPr>
                      </w:p>
                      <w:p w14:paraId="4394445F"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2A0FBEE3" w14:textId="77777777" w:rsidR="00F65BCA" w:rsidRDefault="00F65BCA">
                        <w:pPr>
                          <w:pStyle w:val="TableParagraph"/>
                          <w:rPr>
                            <w:rFonts w:ascii="Calibri"/>
                            <w:sz w:val="2"/>
                          </w:rPr>
                        </w:pPr>
                      </w:p>
                      <w:p w14:paraId="391AE428"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57AF9644" w14:textId="77777777" w:rsidR="00F65BCA" w:rsidRDefault="00F65BCA">
                        <w:pPr>
                          <w:pStyle w:val="TableParagraph"/>
                          <w:rPr>
                            <w:rFonts w:ascii="Calibri"/>
                            <w:sz w:val="2"/>
                          </w:rPr>
                        </w:pPr>
                      </w:p>
                      <w:p w14:paraId="06249057"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43C200B8" w14:textId="77777777" w:rsidR="00F65BCA" w:rsidRDefault="00F65BCA">
                        <w:pPr>
                          <w:pStyle w:val="TableParagraph"/>
                          <w:rPr>
                            <w:rFonts w:ascii="Calibri"/>
                            <w:sz w:val="2"/>
                          </w:rPr>
                        </w:pPr>
                      </w:p>
                      <w:p w14:paraId="04A265A5"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65221367" w14:textId="77777777" w:rsidR="00F65BCA" w:rsidRDefault="00F65BCA">
                        <w:pPr>
                          <w:pStyle w:val="TableParagraph"/>
                          <w:rPr>
                            <w:rFonts w:ascii="Calibri"/>
                            <w:sz w:val="2"/>
                          </w:rPr>
                        </w:pPr>
                      </w:p>
                      <w:p w14:paraId="674F338D"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64799FF5" w14:textId="77777777" w:rsidR="00F65BCA" w:rsidRDefault="00F65BCA">
                        <w:pPr>
                          <w:pStyle w:val="TableParagraph"/>
                          <w:rPr>
                            <w:rFonts w:ascii="Calibri"/>
                            <w:sz w:val="2"/>
                          </w:rPr>
                        </w:pPr>
                      </w:p>
                      <w:p w14:paraId="28FA5DE3"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27F085D0" w14:textId="77777777" w:rsidR="00F65BCA" w:rsidRDefault="00F65BCA">
                        <w:pPr>
                          <w:pStyle w:val="TableParagraph"/>
                          <w:rPr>
                            <w:rFonts w:ascii="Calibri"/>
                            <w:sz w:val="2"/>
                          </w:rPr>
                        </w:pPr>
                      </w:p>
                      <w:p w14:paraId="514A46D1"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298B99FE" w14:textId="77777777" w:rsidR="00F65BCA" w:rsidRDefault="00F65BCA">
                        <w:pPr>
                          <w:pStyle w:val="TableParagraph"/>
                          <w:rPr>
                            <w:rFonts w:ascii="Calibri"/>
                            <w:sz w:val="2"/>
                          </w:rPr>
                        </w:pPr>
                      </w:p>
                      <w:p w14:paraId="6B9F657C"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5D05396F" w14:textId="77777777" w:rsidR="00F65BCA" w:rsidRDefault="00F65BCA">
                        <w:pPr>
                          <w:pStyle w:val="TableParagraph"/>
                          <w:rPr>
                            <w:rFonts w:ascii="Calibri"/>
                            <w:sz w:val="2"/>
                          </w:rPr>
                        </w:pPr>
                      </w:p>
                      <w:p w14:paraId="2C794D0A"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448D39D2" w14:textId="77777777" w:rsidR="00F65BCA" w:rsidRDefault="00F65BCA">
                        <w:pPr>
                          <w:pStyle w:val="TableParagraph"/>
                          <w:rPr>
                            <w:rFonts w:ascii="Calibri"/>
                            <w:sz w:val="2"/>
                          </w:rPr>
                        </w:pPr>
                      </w:p>
                      <w:p w14:paraId="78F0082D"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2B768CDA" w14:textId="77777777" w:rsidR="00F65BCA" w:rsidRDefault="00F65BCA">
                        <w:pPr>
                          <w:pStyle w:val="TableParagraph"/>
                          <w:rPr>
                            <w:rFonts w:ascii="Calibri"/>
                            <w:sz w:val="2"/>
                          </w:rPr>
                        </w:pPr>
                      </w:p>
                      <w:p w14:paraId="7E064D40"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52CE8A15" w14:textId="77777777" w:rsidR="00F65BCA" w:rsidRDefault="00F65BCA">
                        <w:pPr>
                          <w:pStyle w:val="TableParagraph"/>
                          <w:rPr>
                            <w:rFonts w:ascii="Calibri"/>
                            <w:sz w:val="2"/>
                          </w:rPr>
                        </w:pPr>
                      </w:p>
                      <w:p w14:paraId="58942EF4"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47DA32FD" w14:textId="77777777" w:rsidR="00F65BCA" w:rsidRDefault="00F65BCA">
                        <w:pPr>
                          <w:pStyle w:val="TableParagraph"/>
                          <w:rPr>
                            <w:rFonts w:ascii="Calibri"/>
                            <w:sz w:val="2"/>
                          </w:rPr>
                        </w:pPr>
                      </w:p>
                      <w:p w14:paraId="18E2E06A" w14:textId="77777777" w:rsidR="00F65BCA" w:rsidRDefault="00216117">
                        <w:pPr>
                          <w:pStyle w:val="TableParagraph"/>
                          <w:ind w:left="24" w:right="24"/>
                          <w:jc w:val="center"/>
                          <w:rPr>
                            <w:sz w:val="3"/>
                          </w:rPr>
                        </w:pPr>
                        <w:r>
                          <w:rPr>
                            <w:w w:val="105"/>
                            <w:sz w:val="3"/>
                          </w:rPr>
                          <w:t>1,30139079%</w:t>
                        </w:r>
                      </w:p>
                    </w:tc>
                  </w:tr>
                  <w:tr w:rsidR="00F65BCA" w14:paraId="732B01A9" w14:textId="77777777">
                    <w:trPr>
                      <w:trHeight w:val="153"/>
                    </w:trPr>
                    <w:tc>
                      <w:tcPr>
                        <w:tcW w:w="526" w:type="dxa"/>
                        <w:vMerge/>
                        <w:tcBorders>
                          <w:top w:val="nil"/>
                          <w:left w:val="single" w:sz="2" w:space="0" w:color="000000"/>
                          <w:bottom w:val="nil"/>
                          <w:right w:val="single" w:sz="2" w:space="0" w:color="000000"/>
                        </w:tcBorders>
                        <w:shd w:val="clear" w:color="auto" w:fill="FCE4D6"/>
                      </w:tcPr>
                      <w:p w14:paraId="5ED25816"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468A1C42"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3B6AE8C4" w14:textId="77777777" w:rsidR="00F65BCA" w:rsidRDefault="00216117">
                        <w:pPr>
                          <w:pStyle w:val="TableParagraph"/>
                          <w:spacing w:before="10" w:line="40" w:lineRule="atLeast"/>
                          <w:ind w:left="4" w:right="-17"/>
                          <w:rPr>
                            <w:sz w:val="3"/>
                          </w:rPr>
                        </w:pPr>
                        <w:r>
                          <w:rPr>
                            <w:w w:val="105"/>
                            <w:sz w:val="3"/>
                          </w:rPr>
                          <w:t>3000 GT; ASX; CARISMA; COLT; ECLIPSE; ECLIPSE CROSS; ENDEAVOR; GALANT; GALANT KOMBI; GRANDIS; I-MIEV; JINÉ; LANCER; LANCER ESTATE; LANCER EVOLUTION; LANCER STATION WAGON; MONTERO; OUTLANDER; PAJERO; PAJERO MT; PAJERO PININ; PAJERO SPORT; PAJERO WAGON; SIGMA; SIGMA KOMBI; SPACE GEAR; SPACE RUNNER; SPACE STAR; SPACE WAGON; STARION</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F708A69" w14:textId="77777777" w:rsidR="00F65BCA" w:rsidRDefault="00F65BCA">
                        <w:pPr>
                          <w:pStyle w:val="TableParagraph"/>
                          <w:rPr>
                            <w:rFonts w:ascii="Calibri"/>
                            <w:sz w:val="2"/>
                          </w:rPr>
                        </w:pPr>
                      </w:p>
                      <w:p w14:paraId="6B7AA480" w14:textId="77777777" w:rsidR="00F65BCA" w:rsidRDefault="00F65BCA">
                        <w:pPr>
                          <w:pStyle w:val="TableParagraph"/>
                          <w:spacing w:before="10"/>
                          <w:rPr>
                            <w:rFonts w:ascii="Calibri"/>
                            <w:sz w:val="2"/>
                          </w:rPr>
                        </w:pPr>
                      </w:p>
                      <w:p w14:paraId="5B05B1D8"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4848251" w14:textId="77777777" w:rsidR="00F65BCA" w:rsidRDefault="00F65BCA">
                        <w:pPr>
                          <w:pStyle w:val="TableParagraph"/>
                          <w:rPr>
                            <w:rFonts w:ascii="Calibri"/>
                            <w:sz w:val="2"/>
                          </w:rPr>
                        </w:pPr>
                      </w:p>
                      <w:p w14:paraId="6A87FE8B" w14:textId="77777777" w:rsidR="00F65BCA" w:rsidRDefault="00F65BCA">
                        <w:pPr>
                          <w:pStyle w:val="TableParagraph"/>
                          <w:spacing w:before="10"/>
                          <w:rPr>
                            <w:rFonts w:ascii="Calibri"/>
                            <w:sz w:val="2"/>
                          </w:rPr>
                        </w:pPr>
                      </w:p>
                      <w:p w14:paraId="7E3CFF45"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051A0609"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266466F" w14:textId="77777777" w:rsidR="00F65BCA" w:rsidRDefault="00F65BCA">
                        <w:pPr>
                          <w:pStyle w:val="TableParagraph"/>
                          <w:rPr>
                            <w:rFonts w:ascii="Calibri"/>
                            <w:sz w:val="2"/>
                          </w:rPr>
                        </w:pPr>
                      </w:p>
                      <w:p w14:paraId="38A8EEE2" w14:textId="77777777" w:rsidR="00F65BCA" w:rsidRDefault="00F65BCA">
                        <w:pPr>
                          <w:pStyle w:val="TableParagraph"/>
                          <w:spacing w:before="10"/>
                          <w:rPr>
                            <w:rFonts w:ascii="Calibri"/>
                            <w:sz w:val="2"/>
                          </w:rPr>
                        </w:pPr>
                      </w:p>
                      <w:p w14:paraId="43E136C8" w14:textId="77777777" w:rsidR="00F65BCA" w:rsidRDefault="00216117">
                        <w:pPr>
                          <w:pStyle w:val="TableParagraph"/>
                          <w:ind w:left="24" w:right="24"/>
                          <w:jc w:val="center"/>
                          <w:rPr>
                            <w:sz w:val="3"/>
                          </w:rPr>
                        </w:pPr>
                        <w:r>
                          <w:rPr>
                            <w:w w:val="105"/>
                            <w:sz w:val="3"/>
                          </w:rPr>
                          <w:t>1,24041466%</w:t>
                        </w:r>
                      </w:p>
                    </w:tc>
                    <w:tc>
                      <w:tcPr>
                        <w:tcW w:w="288" w:type="dxa"/>
                        <w:tcBorders>
                          <w:top w:val="single" w:sz="2" w:space="0" w:color="000000"/>
                          <w:left w:val="single" w:sz="2" w:space="0" w:color="000000"/>
                          <w:bottom w:val="single" w:sz="2" w:space="0" w:color="000000"/>
                          <w:right w:val="single" w:sz="2" w:space="0" w:color="000000"/>
                        </w:tcBorders>
                      </w:tcPr>
                      <w:p w14:paraId="31FF78F7" w14:textId="77777777" w:rsidR="00F65BCA" w:rsidRDefault="00F65BCA">
                        <w:pPr>
                          <w:pStyle w:val="TableParagraph"/>
                          <w:rPr>
                            <w:rFonts w:ascii="Calibri"/>
                            <w:sz w:val="2"/>
                          </w:rPr>
                        </w:pPr>
                      </w:p>
                      <w:p w14:paraId="30D05B32" w14:textId="77777777" w:rsidR="00F65BCA" w:rsidRDefault="00F65BCA">
                        <w:pPr>
                          <w:pStyle w:val="TableParagraph"/>
                          <w:spacing w:before="10"/>
                          <w:rPr>
                            <w:rFonts w:ascii="Calibri"/>
                            <w:sz w:val="2"/>
                          </w:rPr>
                        </w:pPr>
                      </w:p>
                      <w:p w14:paraId="4447613C" w14:textId="77777777" w:rsidR="00F65BCA" w:rsidRDefault="00216117">
                        <w:pPr>
                          <w:pStyle w:val="TableParagraph"/>
                          <w:ind w:left="24" w:right="24"/>
                          <w:jc w:val="center"/>
                          <w:rPr>
                            <w:sz w:val="3"/>
                          </w:rPr>
                        </w:pPr>
                        <w:r>
                          <w:rPr>
                            <w:w w:val="105"/>
                            <w:sz w:val="3"/>
                          </w:rPr>
                          <w:t>1,16288874%</w:t>
                        </w:r>
                      </w:p>
                    </w:tc>
                    <w:tc>
                      <w:tcPr>
                        <w:tcW w:w="288" w:type="dxa"/>
                        <w:tcBorders>
                          <w:top w:val="single" w:sz="2" w:space="0" w:color="000000"/>
                          <w:left w:val="single" w:sz="2" w:space="0" w:color="000000"/>
                          <w:bottom w:val="single" w:sz="2" w:space="0" w:color="000000"/>
                          <w:right w:val="single" w:sz="2" w:space="0" w:color="000000"/>
                        </w:tcBorders>
                      </w:tcPr>
                      <w:p w14:paraId="016A0CFF" w14:textId="77777777" w:rsidR="00F65BCA" w:rsidRDefault="00F65BCA">
                        <w:pPr>
                          <w:pStyle w:val="TableParagraph"/>
                          <w:rPr>
                            <w:rFonts w:ascii="Calibri"/>
                            <w:sz w:val="2"/>
                          </w:rPr>
                        </w:pPr>
                      </w:p>
                      <w:p w14:paraId="5C815014" w14:textId="77777777" w:rsidR="00F65BCA" w:rsidRDefault="00F65BCA">
                        <w:pPr>
                          <w:pStyle w:val="TableParagraph"/>
                          <w:spacing w:before="10"/>
                          <w:rPr>
                            <w:rFonts w:ascii="Calibri"/>
                            <w:sz w:val="2"/>
                          </w:rPr>
                        </w:pPr>
                      </w:p>
                      <w:p w14:paraId="67E9E701" w14:textId="77777777" w:rsidR="00F65BCA" w:rsidRDefault="00216117">
                        <w:pPr>
                          <w:pStyle w:val="TableParagraph"/>
                          <w:ind w:left="24" w:right="24"/>
                          <w:jc w:val="center"/>
                          <w:rPr>
                            <w:sz w:val="3"/>
                          </w:rPr>
                        </w:pPr>
                        <w:r>
                          <w:rPr>
                            <w:w w:val="105"/>
                            <w:sz w:val="3"/>
                          </w:rPr>
                          <w:t>1,10862060%</w:t>
                        </w:r>
                      </w:p>
                    </w:tc>
                    <w:tc>
                      <w:tcPr>
                        <w:tcW w:w="288" w:type="dxa"/>
                        <w:tcBorders>
                          <w:top w:val="single" w:sz="2" w:space="0" w:color="000000"/>
                          <w:left w:val="single" w:sz="2" w:space="0" w:color="000000"/>
                          <w:bottom w:val="single" w:sz="2" w:space="0" w:color="000000"/>
                          <w:right w:val="single" w:sz="2" w:space="0" w:color="000000"/>
                        </w:tcBorders>
                      </w:tcPr>
                      <w:p w14:paraId="13501192" w14:textId="77777777" w:rsidR="00F65BCA" w:rsidRDefault="00F65BCA">
                        <w:pPr>
                          <w:pStyle w:val="TableParagraph"/>
                          <w:rPr>
                            <w:rFonts w:ascii="Calibri"/>
                            <w:sz w:val="2"/>
                          </w:rPr>
                        </w:pPr>
                      </w:p>
                      <w:p w14:paraId="01BEB95A" w14:textId="77777777" w:rsidR="00F65BCA" w:rsidRDefault="00F65BCA">
                        <w:pPr>
                          <w:pStyle w:val="TableParagraph"/>
                          <w:spacing w:before="10"/>
                          <w:rPr>
                            <w:rFonts w:ascii="Calibri"/>
                            <w:sz w:val="2"/>
                          </w:rPr>
                        </w:pPr>
                      </w:p>
                      <w:p w14:paraId="0CD964BA"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0AF9DB70" w14:textId="77777777" w:rsidR="00F65BCA" w:rsidRDefault="00F65BCA">
                        <w:pPr>
                          <w:pStyle w:val="TableParagraph"/>
                          <w:rPr>
                            <w:rFonts w:ascii="Calibri"/>
                            <w:sz w:val="2"/>
                          </w:rPr>
                        </w:pPr>
                      </w:p>
                      <w:p w14:paraId="2E641412" w14:textId="77777777" w:rsidR="00F65BCA" w:rsidRDefault="00F65BCA">
                        <w:pPr>
                          <w:pStyle w:val="TableParagraph"/>
                          <w:spacing w:before="10"/>
                          <w:rPr>
                            <w:rFonts w:ascii="Calibri"/>
                            <w:sz w:val="2"/>
                          </w:rPr>
                        </w:pPr>
                      </w:p>
                      <w:p w14:paraId="5062D08E" w14:textId="77777777" w:rsidR="00F65BCA" w:rsidRDefault="00216117">
                        <w:pPr>
                          <w:pStyle w:val="TableParagraph"/>
                          <w:ind w:left="24" w:right="24"/>
                          <w:jc w:val="center"/>
                          <w:rPr>
                            <w:sz w:val="3"/>
                          </w:rPr>
                        </w:pPr>
                        <w:r>
                          <w:rPr>
                            <w:w w:val="105"/>
                            <w:sz w:val="3"/>
                          </w:rPr>
                          <w:t>0,99233172%</w:t>
                        </w:r>
                      </w:p>
                    </w:tc>
                    <w:tc>
                      <w:tcPr>
                        <w:tcW w:w="288" w:type="dxa"/>
                        <w:tcBorders>
                          <w:top w:val="single" w:sz="2" w:space="0" w:color="000000"/>
                          <w:left w:val="single" w:sz="2" w:space="0" w:color="000000"/>
                          <w:bottom w:val="single" w:sz="2" w:space="0" w:color="000000"/>
                          <w:right w:val="single" w:sz="2" w:space="0" w:color="000000"/>
                        </w:tcBorders>
                      </w:tcPr>
                      <w:p w14:paraId="79E7BE9C" w14:textId="77777777" w:rsidR="00F65BCA" w:rsidRDefault="00F65BCA">
                        <w:pPr>
                          <w:pStyle w:val="TableParagraph"/>
                          <w:rPr>
                            <w:rFonts w:ascii="Calibri"/>
                            <w:sz w:val="2"/>
                          </w:rPr>
                        </w:pPr>
                      </w:p>
                      <w:p w14:paraId="4A885D82" w14:textId="77777777" w:rsidR="00F65BCA" w:rsidRDefault="00F65BCA">
                        <w:pPr>
                          <w:pStyle w:val="TableParagraph"/>
                          <w:spacing w:before="10"/>
                          <w:rPr>
                            <w:rFonts w:ascii="Calibri"/>
                            <w:sz w:val="2"/>
                          </w:rPr>
                        </w:pPr>
                      </w:p>
                      <w:p w14:paraId="6C78215C" w14:textId="77777777" w:rsidR="00F65BCA" w:rsidRDefault="00216117">
                        <w:pPr>
                          <w:pStyle w:val="TableParagraph"/>
                          <w:ind w:left="24" w:right="24"/>
                          <w:jc w:val="center"/>
                          <w:rPr>
                            <w:sz w:val="3"/>
                          </w:rPr>
                        </w:pPr>
                        <w:r>
                          <w:rPr>
                            <w:w w:val="105"/>
                            <w:sz w:val="3"/>
                          </w:rPr>
                          <w:t>0,92255840%</w:t>
                        </w:r>
                      </w:p>
                    </w:tc>
                    <w:tc>
                      <w:tcPr>
                        <w:tcW w:w="288" w:type="dxa"/>
                        <w:tcBorders>
                          <w:top w:val="single" w:sz="2" w:space="0" w:color="000000"/>
                          <w:left w:val="single" w:sz="2" w:space="0" w:color="000000"/>
                          <w:bottom w:val="single" w:sz="2" w:space="0" w:color="000000"/>
                          <w:right w:val="single" w:sz="2" w:space="0" w:color="000000"/>
                        </w:tcBorders>
                      </w:tcPr>
                      <w:p w14:paraId="57A4BE28" w14:textId="77777777" w:rsidR="00F65BCA" w:rsidRDefault="00F65BCA">
                        <w:pPr>
                          <w:pStyle w:val="TableParagraph"/>
                          <w:rPr>
                            <w:rFonts w:ascii="Calibri"/>
                            <w:sz w:val="2"/>
                          </w:rPr>
                        </w:pPr>
                      </w:p>
                      <w:p w14:paraId="661FE88F" w14:textId="77777777" w:rsidR="00F65BCA" w:rsidRDefault="00F65BCA">
                        <w:pPr>
                          <w:pStyle w:val="TableParagraph"/>
                          <w:spacing w:before="10"/>
                          <w:rPr>
                            <w:rFonts w:ascii="Calibri"/>
                            <w:sz w:val="2"/>
                          </w:rPr>
                        </w:pPr>
                      </w:p>
                      <w:p w14:paraId="7129A298" w14:textId="77777777" w:rsidR="00F65BCA" w:rsidRDefault="00216117">
                        <w:pPr>
                          <w:pStyle w:val="TableParagraph"/>
                          <w:ind w:left="24" w:right="24"/>
                          <w:jc w:val="center"/>
                          <w:rPr>
                            <w:sz w:val="3"/>
                          </w:rPr>
                        </w:pPr>
                        <w:r>
                          <w:rPr>
                            <w:w w:val="105"/>
                            <w:sz w:val="3"/>
                          </w:rPr>
                          <w:t>0,85278508%</w:t>
                        </w:r>
                      </w:p>
                    </w:tc>
                    <w:tc>
                      <w:tcPr>
                        <w:tcW w:w="288" w:type="dxa"/>
                        <w:tcBorders>
                          <w:top w:val="single" w:sz="2" w:space="0" w:color="000000"/>
                          <w:left w:val="single" w:sz="2" w:space="0" w:color="000000"/>
                          <w:bottom w:val="single" w:sz="2" w:space="0" w:color="000000"/>
                          <w:right w:val="single" w:sz="2" w:space="0" w:color="000000"/>
                        </w:tcBorders>
                      </w:tcPr>
                      <w:p w14:paraId="654F8998" w14:textId="77777777" w:rsidR="00F65BCA" w:rsidRDefault="00F65BCA">
                        <w:pPr>
                          <w:pStyle w:val="TableParagraph"/>
                          <w:rPr>
                            <w:rFonts w:ascii="Calibri"/>
                            <w:sz w:val="2"/>
                          </w:rPr>
                        </w:pPr>
                      </w:p>
                      <w:p w14:paraId="375E671C" w14:textId="77777777" w:rsidR="00F65BCA" w:rsidRDefault="00F65BCA">
                        <w:pPr>
                          <w:pStyle w:val="TableParagraph"/>
                          <w:spacing w:before="10"/>
                          <w:rPr>
                            <w:rFonts w:ascii="Calibri"/>
                            <w:sz w:val="2"/>
                          </w:rPr>
                        </w:pPr>
                      </w:p>
                      <w:p w14:paraId="3BA65D50" w14:textId="77777777" w:rsidR="00F65BCA" w:rsidRDefault="00216117">
                        <w:pPr>
                          <w:pStyle w:val="TableParagraph"/>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78568C1E" w14:textId="77777777" w:rsidR="00F65BCA" w:rsidRDefault="00F65BCA">
                        <w:pPr>
                          <w:pStyle w:val="TableParagraph"/>
                          <w:rPr>
                            <w:rFonts w:ascii="Calibri"/>
                            <w:sz w:val="2"/>
                          </w:rPr>
                        </w:pPr>
                      </w:p>
                      <w:p w14:paraId="2B4A54BC" w14:textId="77777777" w:rsidR="00F65BCA" w:rsidRDefault="00F65BCA">
                        <w:pPr>
                          <w:pStyle w:val="TableParagraph"/>
                          <w:spacing w:before="10"/>
                          <w:rPr>
                            <w:rFonts w:ascii="Calibri"/>
                            <w:sz w:val="2"/>
                          </w:rPr>
                        </w:pPr>
                      </w:p>
                      <w:p w14:paraId="5DA17142" w14:textId="77777777" w:rsidR="00F65BCA" w:rsidRDefault="00216117">
                        <w:pPr>
                          <w:pStyle w:val="TableParagraph"/>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1582DD53" w14:textId="77777777" w:rsidR="00F65BCA" w:rsidRDefault="00F65BCA">
                        <w:pPr>
                          <w:pStyle w:val="TableParagraph"/>
                          <w:rPr>
                            <w:rFonts w:ascii="Calibri"/>
                            <w:sz w:val="2"/>
                          </w:rPr>
                        </w:pPr>
                      </w:p>
                      <w:p w14:paraId="587185A7" w14:textId="77777777" w:rsidR="00F65BCA" w:rsidRDefault="00F65BCA">
                        <w:pPr>
                          <w:pStyle w:val="TableParagraph"/>
                          <w:spacing w:before="10"/>
                          <w:rPr>
                            <w:rFonts w:ascii="Calibri"/>
                            <w:sz w:val="2"/>
                          </w:rPr>
                        </w:pPr>
                      </w:p>
                      <w:p w14:paraId="162142F8" w14:textId="77777777" w:rsidR="00F65BCA" w:rsidRDefault="00216117">
                        <w:pPr>
                          <w:pStyle w:val="TableParagraph"/>
                          <w:ind w:left="24" w:right="24"/>
                          <w:jc w:val="center"/>
                          <w:rPr>
                            <w:sz w:val="3"/>
                          </w:rPr>
                        </w:pPr>
                        <w:r>
                          <w:rPr>
                            <w:w w:val="105"/>
                            <w:sz w:val="3"/>
                          </w:rPr>
                          <w:t>0,93031099%</w:t>
                        </w:r>
                      </w:p>
                    </w:tc>
                    <w:tc>
                      <w:tcPr>
                        <w:tcW w:w="288" w:type="dxa"/>
                        <w:tcBorders>
                          <w:top w:val="single" w:sz="2" w:space="0" w:color="000000"/>
                          <w:left w:val="single" w:sz="2" w:space="0" w:color="000000"/>
                          <w:bottom w:val="single" w:sz="2" w:space="0" w:color="000000"/>
                          <w:right w:val="single" w:sz="2" w:space="0" w:color="000000"/>
                        </w:tcBorders>
                      </w:tcPr>
                      <w:p w14:paraId="1512DBC5" w14:textId="77777777" w:rsidR="00F65BCA" w:rsidRDefault="00F65BCA">
                        <w:pPr>
                          <w:pStyle w:val="TableParagraph"/>
                          <w:rPr>
                            <w:rFonts w:ascii="Calibri"/>
                            <w:sz w:val="2"/>
                          </w:rPr>
                        </w:pPr>
                      </w:p>
                      <w:p w14:paraId="0F85C679" w14:textId="77777777" w:rsidR="00F65BCA" w:rsidRDefault="00F65BCA">
                        <w:pPr>
                          <w:pStyle w:val="TableParagraph"/>
                          <w:spacing w:before="10"/>
                          <w:rPr>
                            <w:rFonts w:ascii="Calibri"/>
                            <w:sz w:val="2"/>
                          </w:rPr>
                        </w:pPr>
                      </w:p>
                      <w:p w14:paraId="1A1BC263"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35FD0CCF" w14:textId="77777777" w:rsidR="00F65BCA" w:rsidRDefault="00F65BCA">
                        <w:pPr>
                          <w:pStyle w:val="TableParagraph"/>
                          <w:rPr>
                            <w:rFonts w:ascii="Calibri"/>
                            <w:sz w:val="2"/>
                          </w:rPr>
                        </w:pPr>
                      </w:p>
                      <w:p w14:paraId="47E1278F" w14:textId="77777777" w:rsidR="00F65BCA" w:rsidRDefault="00F65BCA">
                        <w:pPr>
                          <w:pStyle w:val="TableParagraph"/>
                          <w:spacing w:before="10"/>
                          <w:rPr>
                            <w:rFonts w:ascii="Calibri"/>
                            <w:sz w:val="2"/>
                          </w:rPr>
                        </w:pPr>
                      </w:p>
                      <w:p w14:paraId="23B761EE" w14:textId="77777777" w:rsidR="00F65BCA" w:rsidRDefault="00216117">
                        <w:pPr>
                          <w:pStyle w:val="TableParagraph"/>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4D34BE27" w14:textId="77777777" w:rsidR="00F65BCA" w:rsidRDefault="00F65BCA">
                        <w:pPr>
                          <w:pStyle w:val="TableParagraph"/>
                          <w:rPr>
                            <w:rFonts w:ascii="Calibri"/>
                            <w:sz w:val="2"/>
                          </w:rPr>
                        </w:pPr>
                      </w:p>
                      <w:p w14:paraId="7B6FBE13" w14:textId="77777777" w:rsidR="00F65BCA" w:rsidRDefault="00F65BCA">
                        <w:pPr>
                          <w:pStyle w:val="TableParagraph"/>
                          <w:spacing w:before="10"/>
                          <w:rPr>
                            <w:rFonts w:ascii="Calibri"/>
                            <w:sz w:val="2"/>
                          </w:rPr>
                        </w:pPr>
                      </w:p>
                      <w:p w14:paraId="08DBCBED" w14:textId="77777777" w:rsidR="00F65BCA" w:rsidRDefault="00216117">
                        <w:pPr>
                          <w:pStyle w:val="TableParagraph"/>
                          <w:ind w:left="24" w:right="24"/>
                          <w:jc w:val="center"/>
                          <w:rPr>
                            <w:sz w:val="3"/>
                          </w:rPr>
                        </w:pPr>
                        <w:r>
                          <w:rPr>
                            <w:w w:val="105"/>
                            <w:sz w:val="3"/>
                          </w:rPr>
                          <w:t>1,16288874%</w:t>
                        </w:r>
                      </w:p>
                    </w:tc>
                  </w:tr>
                  <w:tr w:rsidR="00F65BCA" w14:paraId="4BF55968" w14:textId="77777777">
                    <w:trPr>
                      <w:trHeight w:val="153"/>
                    </w:trPr>
                    <w:tc>
                      <w:tcPr>
                        <w:tcW w:w="526" w:type="dxa"/>
                        <w:vMerge/>
                        <w:tcBorders>
                          <w:top w:val="nil"/>
                          <w:left w:val="single" w:sz="2" w:space="0" w:color="000000"/>
                          <w:bottom w:val="nil"/>
                          <w:right w:val="single" w:sz="2" w:space="0" w:color="000000"/>
                        </w:tcBorders>
                        <w:shd w:val="clear" w:color="auto" w:fill="FCE4D6"/>
                      </w:tcPr>
                      <w:p w14:paraId="53EBA3EF"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11FCE543"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2DF40239"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506181B" w14:textId="77777777" w:rsidR="00F65BCA" w:rsidRDefault="00F65BCA">
                        <w:pPr>
                          <w:pStyle w:val="TableParagraph"/>
                          <w:rPr>
                            <w:rFonts w:ascii="Calibri"/>
                            <w:sz w:val="2"/>
                          </w:rPr>
                        </w:pPr>
                      </w:p>
                      <w:p w14:paraId="55D77DA7" w14:textId="77777777" w:rsidR="00F65BCA" w:rsidRDefault="00F65BCA">
                        <w:pPr>
                          <w:pStyle w:val="TableParagraph"/>
                          <w:spacing w:before="10"/>
                          <w:rPr>
                            <w:rFonts w:ascii="Calibri"/>
                            <w:sz w:val="2"/>
                          </w:rPr>
                        </w:pPr>
                      </w:p>
                      <w:p w14:paraId="46FC5233"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8EA42E5" w14:textId="77777777" w:rsidR="00F65BCA" w:rsidRDefault="00F65BCA">
                        <w:pPr>
                          <w:pStyle w:val="TableParagraph"/>
                          <w:rPr>
                            <w:rFonts w:ascii="Calibri"/>
                            <w:sz w:val="2"/>
                          </w:rPr>
                        </w:pPr>
                      </w:p>
                      <w:p w14:paraId="2E153943" w14:textId="77777777" w:rsidR="00F65BCA" w:rsidRDefault="00F65BCA">
                        <w:pPr>
                          <w:pStyle w:val="TableParagraph"/>
                          <w:spacing w:before="10"/>
                          <w:rPr>
                            <w:rFonts w:ascii="Calibri"/>
                            <w:sz w:val="2"/>
                          </w:rPr>
                        </w:pPr>
                      </w:p>
                      <w:p w14:paraId="7F4292A8"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80136A3"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199CB95" w14:textId="77777777" w:rsidR="00F65BCA" w:rsidRDefault="00F65BCA">
                        <w:pPr>
                          <w:pStyle w:val="TableParagraph"/>
                          <w:rPr>
                            <w:rFonts w:ascii="Calibri"/>
                            <w:sz w:val="2"/>
                          </w:rPr>
                        </w:pPr>
                      </w:p>
                      <w:p w14:paraId="2423C7BB" w14:textId="77777777" w:rsidR="00F65BCA" w:rsidRDefault="00F65BCA">
                        <w:pPr>
                          <w:pStyle w:val="TableParagraph"/>
                          <w:spacing w:before="10"/>
                          <w:rPr>
                            <w:rFonts w:ascii="Calibri"/>
                            <w:sz w:val="2"/>
                          </w:rPr>
                        </w:pPr>
                      </w:p>
                      <w:p w14:paraId="0BB2180B" w14:textId="77777777" w:rsidR="00F65BCA" w:rsidRDefault="00216117">
                        <w:pPr>
                          <w:pStyle w:val="TableParagraph"/>
                          <w:ind w:left="24" w:right="24"/>
                          <w:jc w:val="center"/>
                          <w:rPr>
                            <w:sz w:val="3"/>
                          </w:rPr>
                        </w:pPr>
                        <w:r>
                          <w:rPr>
                            <w:w w:val="105"/>
                            <w:sz w:val="3"/>
                          </w:rPr>
                          <w:t>1,49842090%</w:t>
                        </w:r>
                      </w:p>
                    </w:tc>
                    <w:tc>
                      <w:tcPr>
                        <w:tcW w:w="288" w:type="dxa"/>
                        <w:tcBorders>
                          <w:top w:val="single" w:sz="2" w:space="0" w:color="000000"/>
                          <w:left w:val="single" w:sz="2" w:space="0" w:color="000000"/>
                          <w:bottom w:val="single" w:sz="2" w:space="0" w:color="000000"/>
                          <w:right w:val="single" w:sz="2" w:space="0" w:color="000000"/>
                        </w:tcBorders>
                      </w:tcPr>
                      <w:p w14:paraId="4A511FEF" w14:textId="77777777" w:rsidR="00F65BCA" w:rsidRDefault="00F65BCA">
                        <w:pPr>
                          <w:pStyle w:val="TableParagraph"/>
                          <w:rPr>
                            <w:rFonts w:ascii="Calibri"/>
                            <w:sz w:val="2"/>
                          </w:rPr>
                        </w:pPr>
                      </w:p>
                      <w:p w14:paraId="2542E7AC" w14:textId="77777777" w:rsidR="00F65BCA" w:rsidRDefault="00F65BCA">
                        <w:pPr>
                          <w:pStyle w:val="TableParagraph"/>
                          <w:spacing w:before="10"/>
                          <w:rPr>
                            <w:rFonts w:ascii="Calibri"/>
                            <w:sz w:val="2"/>
                          </w:rPr>
                        </w:pPr>
                      </w:p>
                      <w:p w14:paraId="12BE6EC7" w14:textId="77777777" w:rsidR="00F65BCA" w:rsidRDefault="00216117">
                        <w:pPr>
                          <w:pStyle w:val="TableParagraph"/>
                          <w:ind w:left="24" w:right="24"/>
                          <w:jc w:val="center"/>
                          <w:rPr>
                            <w:sz w:val="3"/>
                          </w:rPr>
                        </w:pPr>
                        <w:r>
                          <w:rPr>
                            <w:w w:val="105"/>
                            <w:sz w:val="3"/>
                          </w:rPr>
                          <w:t>1,40476960%</w:t>
                        </w:r>
                      </w:p>
                    </w:tc>
                    <w:tc>
                      <w:tcPr>
                        <w:tcW w:w="288" w:type="dxa"/>
                        <w:tcBorders>
                          <w:top w:val="single" w:sz="2" w:space="0" w:color="000000"/>
                          <w:left w:val="single" w:sz="2" w:space="0" w:color="000000"/>
                          <w:bottom w:val="single" w:sz="2" w:space="0" w:color="000000"/>
                          <w:right w:val="single" w:sz="2" w:space="0" w:color="000000"/>
                        </w:tcBorders>
                      </w:tcPr>
                      <w:p w14:paraId="2EAC9219" w14:textId="77777777" w:rsidR="00F65BCA" w:rsidRDefault="00F65BCA">
                        <w:pPr>
                          <w:pStyle w:val="TableParagraph"/>
                          <w:rPr>
                            <w:rFonts w:ascii="Calibri"/>
                            <w:sz w:val="2"/>
                          </w:rPr>
                        </w:pPr>
                      </w:p>
                      <w:p w14:paraId="2D6D9FB3" w14:textId="77777777" w:rsidR="00F65BCA" w:rsidRDefault="00F65BCA">
                        <w:pPr>
                          <w:pStyle w:val="TableParagraph"/>
                          <w:spacing w:before="10"/>
                          <w:rPr>
                            <w:rFonts w:ascii="Calibri"/>
                            <w:sz w:val="2"/>
                          </w:rPr>
                        </w:pPr>
                      </w:p>
                      <w:p w14:paraId="61946EF7" w14:textId="77777777" w:rsidR="00F65BCA" w:rsidRDefault="00216117">
                        <w:pPr>
                          <w:pStyle w:val="TableParagraph"/>
                          <w:ind w:left="24" w:right="24"/>
                          <w:jc w:val="center"/>
                          <w:rPr>
                            <w:sz w:val="3"/>
                          </w:rPr>
                        </w:pPr>
                        <w:r>
                          <w:rPr>
                            <w:w w:val="105"/>
                            <w:sz w:val="3"/>
                          </w:rPr>
                          <w:t>1,33921368%</w:t>
                        </w:r>
                      </w:p>
                    </w:tc>
                    <w:tc>
                      <w:tcPr>
                        <w:tcW w:w="288" w:type="dxa"/>
                        <w:tcBorders>
                          <w:top w:val="single" w:sz="2" w:space="0" w:color="000000"/>
                          <w:left w:val="single" w:sz="2" w:space="0" w:color="000000"/>
                          <w:bottom w:val="single" w:sz="2" w:space="0" w:color="000000"/>
                          <w:right w:val="single" w:sz="2" w:space="0" w:color="000000"/>
                        </w:tcBorders>
                      </w:tcPr>
                      <w:p w14:paraId="1671EAE0" w14:textId="77777777" w:rsidR="00F65BCA" w:rsidRDefault="00F65BCA">
                        <w:pPr>
                          <w:pStyle w:val="TableParagraph"/>
                          <w:rPr>
                            <w:rFonts w:ascii="Calibri"/>
                            <w:sz w:val="2"/>
                          </w:rPr>
                        </w:pPr>
                      </w:p>
                      <w:p w14:paraId="2B4C517E" w14:textId="77777777" w:rsidR="00F65BCA" w:rsidRDefault="00F65BCA">
                        <w:pPr>
                          <w:pStyle w:val="TableParagraph"/>
                          <w:spacing w:before="10"/>
                          <w:rPr>
                            <w:rFonts w:ascii="Calibri"/>
                            <w:sz w:val="2"/>
                          </w:rPr>
                        </w:pPr>
                      </w:p>
                      <w:p w14:paraId="29DF1881"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6EBBDC82" w14:textId="77777777" w:rsidR="00F65BCA" w:rsidRDefault="00F65BCA">
                        <w:pPr>
                          <w:pStyle w:val="TableParagraph"/>
                          <w:rPr>
                            <w:rFonts w:ascii="Calibri"/>
                            <w:sz w:val="2"/>
                          </w:rPr>
                        </w:pPr>
                      </w:p>
                      <w:p w14:paraId="38076AA7" w14:textId="77777777" w:rsidR="00F65BCA" w:rsidRDefault="00F65BCA">
                        <w:pPr>
                          <w:pStyle w:val="TableParagraph"/>
                          <w:spacing w:before="10"/>
                          <w:rPr>
                            <w:rFonts w:ascii="Calibri"/>
                            <w:sz w:val="2"/>
                          </w:rPr>
                        </w:pPr>
                      </w:p>
                      <w:p w14:paraId="0F93533A" w14:textId="77777777" w:rsidR="00F65BCA" w:rsidRDefault="00216117">
                        <w:pPr>
                          <w:pStyle w:val="TableParagraph"/>
                          <w:ind w:left="24" w:right="24"/>
                          <w:jc w:val="center"/>
                          <w:rPr>
                            <w:sz w:val="3"/>
                          </w:rPr>
                        </w:pPr>
                        <w:r>
                          <w:rPr>
                            <w:w w:val="105"/>
                            <w:sz w:val="3"/>
                          </w:rPr>
                          <w:t>1,19873672%</w:t>
                        </w:r>
                      </w:p>
                    </w:tc>
                    <w:tc>
                      <w:tcPr>
                        <w:tcW w:w="288" w:type="dxa"/>
                        <w:tcBorders>
                          <w:top w:val="single" w:sz="2" w:space="0" w:color="000000"/>
                          <w:left w:val="single" w:sz="2" w:space="0" w:color="000000"/>
                          <w:bottom w:val="single" w:sz="2" w:space="0" w:color="000000"/>
                          <w:right w:val="single" w:sz="2" w:space="0" w:color="000000"/>
                        </w:tcBorders>
                      </w:tcPr>
                      <w:p w14:paraId="21EC8148" w14:textId="77777777" w:rsidR="00F65BCA" w:rsidRDefault="00F65BCA">
                        <w:pPr>
                          <w:pStyle w:val="TableParagraph"/>
                          <w:rPr>
                            <w:rFonts w:ascii="Calibri"/>
                            <w:sz w:val="2"/>
                          </w:rPr>
                        </w:pPr>
                      </w:p>
                      <w:p w14:paraId="09287D41" w14:textId="77777777" w:rsidR="00F65BCA" w:rsidRDefault="00F65BCA">
                        <w:pPr>
                          <w:pStyle w:val="TableParagraph"/>
                          <w:spacing w:before="10"/>
                          <w:rPr>
                            <w:rFonts w:ascii="Calibri"/>
                            <w:sz w:val="2"/>
                          </w:rPr>
                        </w:pPr>
                      </w:p>
                      <w:p w14:paraId="7159CEC6" w14:textId="77777777" w:rsidR="00F65BCA" w:rsidRDefault="00216117">
                        <w:pPr>
                          <w:pStyle w:val="TableParagraph"/>
                          <w:ind w:left="24" w:right="24"/>
                          <w:jc w:val="center"/>
                          <w:rPr>
                            <w:sz w:val="3"/>
                          </w:rPr>
                        </w:pPr>
                        <w:r>
                          <w:rPr>
                            <w:w w:val="105"/>
                            <w:sz w:val="3"/>
                          </w:rPr>
                          <w:t>1,11445055%</w:t>
                        </w:r>
                      </w:p>
                    </w:tc>
                    <w:tc>
                      <w:tcPr>
                        <w:tcW w:w="288" w:type="dxa"/>
                        <w:tcBorders>
                          <w:top w:val="single" w:sz="2" w:space="0" w:color="000000"/>
                          <w:left w:val="single" w:sz="2" w:space="0" w:color="000000"/>
                          <w:bottom w:val="single" w:sz="2" w:space="0" w:color="000000"/>
                          <w:right w:val="single" w:sz="2" w:space="0" w:color="000000"/>
                        </w:tcBorders>
                      </w:tcPr>
                      <w:p w14:paraId="1D5E698F" w14:textId="77777777" w:rsidR="00F65BCA" w:rsidRDefault="00F65BCA">
                        <w:pPr>
                          <w:pStyle w:val="TableParagraph"/>
                          <w:rPr>
                            <w:rFonts w:ascii="Calibri"/>
                            <w:sz w:val="2"/>
                          </w:rPr>
                        </w:pPr>
                      </w:p>
                      <w:p w14:paraId="4A044E84" w14:textId="77777777" w:rsidR="00F65BCA" w:rsidRDefault="00F65BCA">
                        <w:pPr>
                          <w:pStyle w:val="TableParagraph"/>
                          <w:spacing w:before="10"/>
                          <w:rPr>
                            <w:rFonts w:ascii="Calibri"/>
                            <w:sz w:val="2"/>
                          </w:rPr>
                        </w:pPr>
                      </w:p>
                      <w:p w14:paraId="2245074E" w14:textId="77777777" w:rsidR="00F65BCA" w:rsidRDefault="00216117">
                        <w:pPr>
                          <w:pStyle w:val="TableParagraph"/>
                          <w:ind w:left="24" w:right="24"/>
                          <w:jc w:val="center"/>
                          <w:rPr>
                            <w:sz w:val="3"/>
                          </w:rPr>
                        </w:pPr>
                        <w:r>
                          <w:rPr>
                            <w:w w:val="105"/>
                            <w:sz w:val="3"/>
                          </w:rPr>
                          <w:t>1,03016437%</w:t>
                        </w:r>
                      </w:p>
                    </w:tc>
                    <w:tc>
                      <w:tcPr>
                        <w:tcW w:w="288" w:type="dxa"/>
                        <w:tcBorders>
                          <w:top w:val="single" w:sz="2" w:space="0" w:color="000000"/>
                          <w:left w:val="single" w:sz="2" w:space="0" w:color="000000"/>
                          <w:bottom w:val="single" w:sz="2" w:space="0" w:color="000000"/>
                          <w:right w:val="single" w:sz="2" w:space="0" w:color="000000"/>
                        </w:tcBorders>
                      </w:tcPr>
                      <w:p w14:paraId="4D35FDA6" w14:textId="77777777" w:rsidR="00F65BCA" w:rsidRDefault="00F65BCA">
                        <w:pPr>
                          <w:pStyle w:val="TableParagraph"/>
                          <w:rPr>
                            <w:rFonts w:ascii="Calibri"/>
                            <w:sz w:val="2"/>
                          </w:rPr>
                        </w:pPr>
                      </w:p>
                      <w:p w14:paraId="2B5099A1" w14:textId="77777777" w:rsidR="00F65BCA" w:rsidRDefault="00F65BCA">
                        <w:pPr>
                          <w:pStyle w:val="TableParagraph"/>
                          <w:spacing w:before="10"/>
                          <w:rPr>
                            <w:rFonts w:ascii="Calibri"/>
                            <w:sz w:val="2"/>
                          </w:rPr>
                        </w:pPr>
                      </w:p>
                      <w:p w14:paraId="4E228489" w14:textId="77777777" w:rsidR="00F65BCA" w:rsidRDefault="00216117">
                        <w:pPr>
                          <w:pStyle w:val="TableParagraph"/>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1D436DD0" w14:textId="77777777" w:rsidR="00F65BCA" w:rsidRDefault="00F65BCA">
                        <w:pPr>
                          <w:pStyle w:val="TableParagraph"/>
                          <w:rPr>
                            <w:rFonts w:ascii="Calibri"/>
                            <w:sz w:val="2"/>
                          </w:rPr>
                        </w:pPr>
                      </w:p>
                      <w:p w14:paraId="3ED88992" w14:textId="77777777" w:rsidR="00F65BCA" w:rsidRDefault="00F65BCA">
                        <w:pPr>
                          <w:pStyle w:val="TableParagraph"/>
                          <w:spacing w:before="10"/>
                          <w:rPr>
                            <w:rFonts w:ascii="Calibri"/>
                            <w:sz w:val="2"/>
                          </w:rPr>
                        </w:pPr>
                      </w:p>
                      <w:p w14:paraId="14228B0C" w14:textId="77777777" w:rsidR="00F65BCA" w:rsidRDefault="00216117">
                        <w:pPr>
                          <w:pStyle w:val="TableParagraph"/>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0C3CF925" w14:textId="77777777" w:rsidR="00F65BCA" w:rsidRDefault="00F65BCA">
                        <w:pPr>
                          <w:pStyle w:val="TableParagraph"/>
                          <w:rPr>
                            <w:rFonts w:ascii="Calibri"/>
                            <w:sz w:val="2"/>
                          </w:rPr>
                        </w:pPr>
                      </w:p>
                      <w:p w14:paraId="1A2EB33F" w14:textId="77777777" w:rsidR="00F65BCA" w:rsidRDefault="00F65BCA">
                        <w:pPr>
                          <w:pStyle w:val="TableParagraph"/>
                          <w:spacing w:before="10"/>
                          <w:rPr>
                            <w:rFonts w:ascii="Calibri"/>
                            <w:sz w:val="2"/>
                          </w:rPr>
                        </w:pPr>
                      </w:p>
                      <w:p w14:paraId="0C9F3136" w14:textId="77777777" w:rsidR="00F65BCA" w:rsidRDefault="00216117">
                        <w:pPr>
                          <w:pStyle w:val="TableParagraph"/>
                          <w:ind w:left="24" w:right="24"/>
                          <w:jc w:val="center"/>
                          <w:rPr>
                            <w:sz w:val="3"/>
                          </w:rPr>
                        </w:pPr>
                        <w:r>
                          <w:rPr>
                            <w:w w:val="105"/>
                            <w:sz w:val="3"/>
                          </w:rPr>
                          <w:t>1,12381568%</w:t>
                        </w:r>
                      </w:p>
                    </w:tc>
                    <w:tc>
                      <w:tcPr>
                        <w:tcW w:w="288" w:type="dxa"/>
                        <w:tcBorders>
                          <w:top w:val="single" w:sz="2" w:space="0" w:color="000000"/>
                          <w:left w:val="single" w:sz="2" w:space="0" w:color="000000"/>
                          <w:bottom w:val="single" w:sz="2" w:space="0" w:color="000000"/>
                          <w:right w:val="single" w:sz="2" w:space="0" w:color="000000"/>
                        </w:tcBorders>
                      </w:tcPr>
                      <w:p w14:paraId="522F965E" w14:textId="77777777" w:rsidR="00F65BCA" w:rsidRDefault="00F65BCA">
                        <w:pPr>
                          <w:pStyle w:val="TableParagraph"/>
                          <w:rPr>
                            <w:rFonts w:ascii="Calibri"/>
                            <w:sz w:val="2"/>
                          </w:rPr>
                        </w:pPr>
                      </w:p>
                      <w:p w14:paraId="06A8855E" w14:textId="77777777" w:rsidR="00F65BCA" w:rsidRDefault="00F65BCA">
                        <w:pPr>
                          <w:pStyle w:val="TableParagraph"/>
                          <w:spacing w:before="10"/>
                          <w:rPr>
                            <w:rFonts w:ascii="Calibri"/>
                            <w:sz w:val="2"/>
                          </w:rPr>
                        </w:pPr>
                      </w:p>
                      <w:p w14:paraId="0A112C3C"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4FDABF68" w14:textId="77777777" w:rsidR="00F65BCA" w:rsidRDefault="00F65BCA">
                        <w:pPr>
                          <w:pStyle w:val="TableParagraph"/>
                          <w:rPr>
                            <w:rFonts w:ascii="Calibri"/>
                            <w:sz w:val="2"/>
                          </w:rPr>
                        </w:pPr>
                      </w:p>
                      <w:p w14:paraId="15EDC8CF" w14:textId="77777777" w:rsidR="00F65BCA" w:rsidRDefault="00F65BCA">
                        <w:pPr>
                          <w:pStyle w:val="TableParagraph"/>
                          <w:spacing w:before="10"/>
                          <w:rPr>
                            <w:rFonts w:ascii="Calibri"/>
                            <w:sz w:val="2"/>
                          </w:rPr>
                        </w:pPr>
                      </w:p>
                      <w:p w14:paraId="5E3D6060" w14:textId="77777777" w:rsidR="00F65BCA" w:rsidRDefault="00216117">
                        <w:pPr>
                          <w:pStyle w:val="TableParagraph"/>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73A71F09" w14:textId="77777777" w:rsidR="00F65BCA" w:rsidRDefault="00F65BCA">
                        <w:pPr>
                          <w:pStyle w:val="TableParagraph"/>
                          <w:rPr>
                            <w:rFonts w:ascii="Calibri"/>
                            <w:sz w:val="2"/>
                          </w:rPr>
                        </w:pPr>
                      </w:p>
                      <w:p w14:paraId="6D5E8624" w14:textId="77777777" w:rsidR="00F65BCA" w:rsidRDefault="00F65BCA">
                        <w:pPr>
                          <w:pStyle w:val="TableParagraph"/>
                          <w:spacing w:before="10"/>
                          <w:rPr>
                            <w:rFonts w:ascii="Calibri"/>
                            <w:sz w:val="2"/>
                          </w:rPr>
                        </w:pPr>
                      </w:p>
                      <w:p w14:paraId="5E4D063E" w14:textId="77777777" w:rsidR="00F65BCA" w:rsidRDefault="00216117">
                        <w:pPr>
                          <w:pStyle w:val="TableParagraph"/>
                          <w:ind w:left="24" w:right="24"/>
                          <w:jc w:val="center"/>
                          <w:rPr>
                            <w:sz w:val="3"/>
                          </w:rPr>
                        </w:pPr>
                        <w:r>
                          <w:rPr>
                            <w:w w:val="105"/>
                            <w:sz w:val="3"/>
                          </w:rPr>
                          <w:t>1,40476960%</w:t>
                        </w:r>
                      </w:p>
                    </w:tc>
                  </w:tr>
                  <w:tr w:rsidR="00F65BCA" w14:paraId="3A566441"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1E73BF4E"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597EC29D" w14:textId="77777777" w:rsidR="00F65BCA" w:rsidRDefault="00F65BCA">
                        <w:pPr>
                          <w:pStyle w:val="TableParagraph"/>
                          <w:rPr>
                            <w:rFonts w:ascii="Calibri"/>
                            <w:sz w:val="2"/>
                          </w:rPr>
                        </w:pPr>
                      </w:p>
                      <w:p w14:paraId="6EFCF279" w14:textId="77777777" w:rsidR="00F65BCA" w:rsidRDefault="00F65BCA">
                        <w:pPr>
                          <w:pStyle w:val="TableParagraph"/>
                          <w:rPr>
                            <w:rFonts w:ascii="Calibri"/>
                            <w:sz w:val="2"/>
                          </w:rPr>
                        </w:pPr>
                      </w:p>
                      <w:p w14:paraId="78EF0C4E" w14:textId="77777777" w:rsidR="00F65BCA" w:rsidRDefault="00F65BCA">
                        <w:pPr>
                          <w:pStyle w:val="TableParagraph"/>
                          <w:rPr>
                            <w:rFonts w:ascii="Calibri"/>
                            <w:sz w:val="2"/>
                          </w:rPr>
                        </w:pPr>
                      </w:p>
                      <w:p w14:paraId="05B81263" w14:textId="77777777" w:rsidR="00F65BCA" w:rsidRDefault="00F65BCA">
                        <w:pPr>
                          <w:pStyle w:val="TableParagraph"/>
                          <w:rPr>
                            <w:rFonts w:ascii="Calibri"/>
                            <w:sz w:val="2"/>
                          </w:rPr>
                        </w:pPr>
                      </w:p>
                      <w:p w14:paraId="01A611CC" w14:textId="77777777" w:rsidR="00F65BCA" w:rsidRDefault="00F65BCA">
                        <w:pPr>
                          <w:pStyle w:val="TableParagraph"/>
                          <w:rPr>
                            <w:rFonts w:ascii="Calibri"/>
                            <w:sz w:val="2"/>
                          </w:rPr>
                        </w:pPr>
                      </w:p>
                      <w:p w14:paraId="5B056A91" w14:textId="77777777" w:rsidR="00F65BCA" w:rsidRDefault="00F65BCA">
                        <w:pPr>
                          <w:pStyle w:val="TableParagraph"/>
                          <w:rPr>
                            <w:rFonts w:ascii="Calibri"/>
                            <w:sz w:val="2"/>
                          </w:rPr>
                        </w:pPr>
                      </w:p>
                      <w:p w14:paraId="79D62400" w14:textId="77777777" w:rsidR="00F65BCA" w:rsidRDefault="00F65BCA">
                        <w:pPr>
                          <w:pStyle w:val="TableParagraph"/>
                          <w:rPr>
                            <w:rFonts w:ascii="Calibri"/>
                            <w:sz w:val="2"/>
                          </w:rPr>
                        </w:pPr>
                      </w:p>
                      <w:p w14:paraId="27300BD0" w14:textId="77777777" w:rsidR="00F65BCA" w:rsidRDefault="00F65BCA">
                        <w:pPr>
                          <w:pStyle w:val="TableParagraph"/>
                          <w:rPr>
                            <w:rFonts w:ascii="Calibri"/>
                            <w:sz w:val="2"/>
                          </w:rPr>
                        </w:pPr>
                      </w:p>
                      <w:p w14:paraId="7941EF1E" w14:textId="77777777" w:rsidR="00F65BCA" w:rsidRDefault="00F65BCA">
                        <w:pPr>
                          <w:pStyle w:val="TableParagraph"/>
                          <w:rPr>
                            <w:rFonts w:ascii="Calibri"/>
                            <w:sz w:val="2"/>
                          </w:rPr>
                        </w:pPr>
                      </w:p>
                      <w:p w14:paraId="717F59D1" w14:textId="77777777" w:rsidR="00F65BCA" w:rsidRDefault="00F65BCA">
                        <w:pPr>
                          <w:pStyle w:val="TableParagraph"/>
                          <w:rPr>
                            <w:rFonts w:ascii="Calibri"/>
                            <w:sz w:val="2"/>
                          </w:rPr>
                        </w:pPr>
                      </w:p>
                      <w:p w14:paraId="3DA593F2" w14:textId="77777777" w:rsidR="00F65BCA" w:rsidRDefault="00F65BCA">
                        <w:pPr>
                          <w:pStyle w:val="TableParagraph"/>
                          <w:rPr>
                            <w:rFonts w:ascii="Calibri"/>
                            <w:sz w:val="2"/>
                          </w:rPr>
                        </w:pPr>
                      </w:p>
                      <w:p w14:paraId="14298FD8" w14:textId="77777777" w:rsidR="00F65BCA" w:rsidRDefault="00F65BCA">
                        <w:pPr>
                          <w:pStyle w:val="TableParagraph"/>
                          <w:rPr>
                            <w:rFonts w:ascii="Calibri"/>
                            <w:sz w:val="2"/>
                          </w:rPr>
                        </w:pPr>
                      </w:p>
                      <w:p w14:paraId="19801EA6" w14:textId="77777777" w:rsidR="00F65BCA" w:rsidRDefault="00216117">
                        <w:pPr>
                          <w:pStyle w:val="TableParagraph"/>
                          <w:spacing w:before="16"/>
                          <w:ind w:left="18" w:right="16"/>
                          <w:jc w:val="center"/>
                          <w:rPr>
                            <w:sz w:val="3"/>
                          </w:rPr>
                        </w:pPr>
                        <w:r>
                          <w:rPr>
                            <w:w w:val="105"/>
                            <w:sz w:val="3"/>
                          </w:rPr>
                          <w:t>Nissan</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3247D3A" w14:textId="77777777" w:rsidR="00F65BCA" w:rsidRDefault="00F65BCA">
                        <w:pPr>
                          <w:pStyle w:val="TableParagraph"/>
                          <w:rPr>
                            <w:rFonts w:ascii="Calibri"/>
                            <w:sz w:val="2"/>
                          </w:rPr>
                        </w:pPr>
                      </w:p>
                      <w:p w14:paraId="09E4F962" w14:textId="77777777" w:rsidR="00F65BCA" w:rsidRDefault="00216117">
                        <w:pPr>
                          <w:pStyle w:val="TableParagraph"/>
                          <w:spacing w:line="40" w:lineRule="atLeast"/>
                          <w:ind w:left="4" w:right="54"/>
                          <w:rPr>
                            <w:sz w:val="3"/>
                          </w:rPr>
                        </w:pPr>
                        <w:r>
                          <w:rPr>
                            <w:w w:val="105"/>
                            <w:sz w:val="3"/>
                          </w:rPr>
                          <w:t>ATLEON DO 3,5T; CABSTAR; DOUBLE CAB; KING CAB; KUBISTAR; L 35; NAVARA; NP 300; NP 300 PICK UP; NV 200; PICK-UP; PRIMASTAR</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303FD9E0" w14:textId="77777777" w:rsidR="00F65BCA" w:rsidRDefault="00F65BCA">
                        <w:pPr>
                          <w:pStyle w:val="TableParagraph"/>
                          <w:rPr>
                            <w:rFonts w:ascii="Calibri"/>
                            <w:sz w:val="2"/>
                          </w:rPr>
                        </w:pPr>
                      </w:p>
                      <w:p w14:paraId="1C9645D6"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C01E5F4" w14:textId="77777777" w:rsidR="00F65BCA" w:rsidRDefault="00F65BCA">
                        <w:pPr>
                          <w:pStyle w:val="TableParagraph"/>
                          <w:rPr>
                            <w:rFonts w:ascii="Calibri"/>
                            <w:sz w:val="2"/>
                          </w:rPr>
                        </w:pPr>
                      </w:p>
                      <w:p w14:paraId="7FDF98DB"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FF7F3E2"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653F55A" w14:textId="77777777" w:rsidR="00F65BCA" w:rsidRDefault="00F65BCA">
                        <w:pPr>
                          <w:pStyle w:val="TableParagraph"/>
                          <w:rPr>
                            <w:rFonts w:ascii="Calibri"/>
                            <w:sz w:val="2"/>
                          </w:rPr>
                        </w:pPr>
                      </w:p>
                      <w:p w14:paraId="7DF845C6"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3899B318" w14:textId="77777777" w:rsidR="00F65BCA" w:rsidRDefault="00F65BCA">
                        <w:pPr>
                          <w:pStyle w:val="TableParagraph"/>
                          <w:rPr>
                            <w:rFonts w:ascii="Calibri"/>
                            <w:sz w:val="2"/>
                          </w:rPr>
                        </w:pPr>
                      </w:p>
                      <w:p w14:paraId="7B78646D"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54B19917" w14:textId="77777777" w:rsidR="00F65BCA" w:rsidRDefault="00F65BCA">
                        <w:pPr>
                          <w:pStyle w:val="TableParagraph"/>
                          <w:rPr>
                            <w:rFonts w:ascii="Calibri"/>
                            <w:sz w:val="2"/>
                          </w:rPr>
                        </w:pPr>
                      </w:p>
                      <w:p w14:paraId="3C4AEBFC"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214BFA37" w14:textId="77777777" w:rsidR="00F65BCA" w:rsidRDefault="00F65BCA">
                        <w:pPr>
                          <w:pStyle w:val="TableParagraph"/>
                          <w:rPr>
                            <w:rFonts w:ascii="Calibri"/>
                            <w:sz w:val="2"/>
                          </w:rPr>
                        </w:pPr>
                      </w:p>
                      <w:p w14:paraId="7ACAD762"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52B5CEC6" w14:textId="77777777" w:rsidR="00F65BCA" w:rsidRDefault="00F65BCA">
                        <w:pPr>
                          <w:pStyle w:val="TableParagraph"/>
                          <w:rPr>
                            <w:rFonts w:ascii="Calibri"/>
                            <w:sz w:val="2"/>
                          </w:rPr>
                        </w:pPr>
                      </w:p>
                      <w:p w14:paraId="23CA6BA8"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2790CAD3" w14:textId="77777777" w:rsidR="00F65BCA" w:rsidRDefault="00F65BCA">
                        <w:pPr>
                          <w:pStyle w:val="TableParagraph"/>
                          <w:rPr>
                            <w:rFonts w:ascii="Calibri"/>
                            <w:sz w:val="2"/>
                          </w:rPr>
                        </w:pPr>
                      </w:p>
                      <w:p w14:paraId="78C1BC5E"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3B64596F" w14:textId="77777777" w:rsidR="00F65BCA" w:rsidRDefault="00F65BCA">
                        <w:pPr>
                          <w:pStyle w:val="TableParagraph"/>
                          <w:rPr>
                            <w:rFonts w:ascii="Calibri"/>
                            <w:sz w:val="2"/>
                          </w:rPr>
                        </w:pPr>
                      </w:p>
                      <w:p w14:paraId="13C7D7C3"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74ACFE8C" w14:textId="77777777" w:rsidR="00F65BCA" w:rsidRDefault="00F65BCA">
                        <w:pPr>
                          <w:pStyle w:val="TableParagraph"/>
                          <w:rPr>
                            <w:rFonts w:ascii="Calibri"/>
                            <w:sz w:val="2"/>
                          </w:rPr>
                        </w:pPr>
                      </w:p>
                      <w:p w14:paraId="2BAE2F3B"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5456B357" w14:textId="77777777" w:rsidR="00F65BCA" w:rsidRDefault="00F65BCA">
                        <w:pPr>
                          <w:pStyle w:val="TableParagraph"/>
                          <w:rPr>
                            <w:rFonts w:ascii="Calibri"/>
                            <w:sz w:val="2"/>
                          </w:rPr>
                        </w:pPr>
                      </w:p>
                      <w:p w14:paraId="1D2AE055"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10ECDA8C" w14:textId="77777777" w:rsidR="00F65BCA" w:rsidRDefault="00F65BCA">
                        <w:pPr>
                          <w:pStyle w:val="TableParagraph"/>
                          <w:rPr>
                            <w:rFonts w:ascii="Calibri"/>
                            <w:sz w:val="2"/>
                          </w:rPr>
                        </w:pPr>
                      </w:p>
                      <w:p w14:paraId="6988F324"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45E49474" w14:textId="77777777" w:rsidR="00F65BCA" w:rsidRDefault="00F65BCA">
                        <w:pPr>
                          <w:pStyle w:val="TableParagraph"/>
                          <w:rPr>
                            <w:rFonts w:ascii="Calibri"/>
                            <w:sz w:val="2"/>
                          </w:rPr>
                        </w:pPr>
                      </w:p>
                      <w:p w14:paraId="6D2000F4"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7FD1702C" w14:textId="77777777" w:rsidR="00F65BCA" w:rsidRDefault="00F65BCA">
                        <w:pPr>
                          <w:pStyle w:val="TableParagraph"/>
                          <w:rPr>
                            <w:rFonts w:ascii="Calibri"/>
                            <w:sz w:val="2"/>
                          </w:rPr>
                        </w:pPr>
                      </w:p>
                      <w:p w14:paraId="20C9389B"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628D4615" w14:textId="77777777" w:rsidR="00F65BCA" w:rsidRDefault="00F65BCA">
                        <w:pPr>
                          <w:pStyle w:val="TableParagraph"/>
                          <w:rPr>
                            <w:rFonts w:ascii="Calibri"/>
                            <w:sz w:val="2"/>
                          </w:rPr>
                        </w:pPr>
                      </w:p>
                      <w:p w14:paraId="60C6812C" w14:textId="77777777" w:rsidR="00F65BCA" w:rsidRDefault="00216117">
                        <w:pPr>
                          <w:pStyle w:val="TableParagraph"/>
                          <w:ind w:left="24" w:right="24"/>
                          <w:jc w:val="center"/>
                          <w:rPr>
                            <w:sz w:val="3"/>
                          </w:rPr>
                        </w:pPr>
                        <w:r>
                          <w:rPr>
                            <w:w w:val="105"/>
                            <w:sz w:val="3"/>
                          </w:rPr>
                          <w:t>1,07731026%</w:t>
                        </w:r>
                      </w:p>
                    </w:tc>
                  </w:tr>
                  <w:tr w:rsidR="00F65BCA" w14:paraId="40E46E98"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1F50E157"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7CE18445"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729C37B6"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E1229A4" w14:textId="77777777" w:rsidR="00F65BCA" w:rsidRDefault="00F65BCA">
                        <w:pPr>
                          <w:pStyle w:val="TableParagraph"/>
                          <w:rPr>
                            <w:rFonts w:ascii="Calibri"/>
                            <w:sz w:val="2"/>
                          </w:rPr>
                        </w:pPr>
                      </w:p>
                      <w:p w14:paraId="49D46167"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3A98AC0" w14:textId="77777777" w:rsidR="00F65BCA" w:rsidRDefault="00F65BCA">
                        <w:pPr>
                          <w:pStyle w:val="TableParagraph"/>
                          <w:rPr>
                            <w:rFonts w:ascii="Calibri"/>
                            <w:sz w:val="2"/>
                          </w:rPr>
                        </w:pPr>
                      </w:p>
                      <w:p w14:paraId="4A3CDBE3"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BCC8249"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0FAEF6CD" w14:textId="77777777" w:rsidR="00F65BCA" w:rsidRDefault="00F65BCA">
                        <w:pPr>
                          <w:pStyle w:val="TableParagraph"/>
                          <w:rPr>
                            <w:rFonts w:ascii="Calibri"/>
                            <w:sz w:val="2"/>
                          </w:rPr>
                        </w:pPr>
                      </w:p>
                      <w:p w14:paraId="463EC680"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715206E5" w14:textId="77777777" w:rsidR="00F65BCA" w:rsidRDefault="00F65BCA">
                        <w:pPr>
                          <w:pStyle w:val="TableParagraph"/>
                          <w:rPr>
                            <w:rFonts w:ascii="Calibri"/>
                            <w:sz w:val="2"/>
                          </w:rPr>
                        </w:pPr>
                      </w:p>
                      <w:p w14:paraId="72DF7CB2"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02BF9C19" w14:textId="77777777" w:rsidR="00F65BCA" w:rsidRDefault="00F65BCA">
                        <w:pPr>
                          <w:pStyle w:val="TableParagraph"/>
                          <w:rPr>
                            <w:rFonts w:ascii="Calibri"/>
                            <w:sz w:val="2"/>
                          </w:rPr>
                        </w:pPr>
                      </w:p>
                      <w:p w14:paraId="0BD4200F"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63DEA309" w14:textId="77777777" w:rsidR="00F65BCA" w:rsidRDefault="00F65BCA">
                        <w:pPr>
                          <w:pStyle w:val="TableParagraph"/>
                          <w:rPr>
                            <w:rFonts w:ascii="Calibri"/>
                            <w:sz w:val="2"/>
                          </w:rPr>
                        </w:pPr>
                      </w:p>
                      <w:p w14:paraId="6F217AF5"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276ECBB" w14:textId="77777777" w:rsidR="00F65BCA" w:rsidRDefault="00F65BCA">
                        <w:pPr>
                          <w:pStyle w:val="TableParagraph"/>
                          <w:rPr>
                            <w:rFonts w:ascii="Calibri"/>
                            <w:sz w:val="2"/>
                          </w:rPr>
                        </w:pPr>
                      </w:p>
                      <w:p w14:paraId="5764B925"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4E1F99FB" w14:textId="77777777" w:rsidR="00F65BCA" w:rsidRDefault="00F65BCA">
                        <w:pPr>
                          <w:pStyle w:val="TableParagraph"/>
                          <w:rPr>
                            <w:rFonts w:ascii="Calibri"/>
                            <w:sz w:val="2"/>
                          </w:rPr>
                        </w:pPr>
                      </w:p>
                      <w:p w14:paraId="2D630E59"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4C2A2FD8" w14:textId="77777777" w:rsidR="00F65BCA" w:rsidRDefault="00F65BCA">
                        <w:pPr>
                          <w:pStyle w:val="TableParagraph"/>
                          <w:rPr>
                            <w:rFonts w:ascii="Calibri"/>
                            <w:sz w:val="2"/>
                          </w:rPr>
                        </w:pPr>
                      </w:p>
                      <w:p w14:paraId="097A3E33"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31B0DE01" w14:textId="77777777" w:rsidR="00F65BCA" w:rsidRDefault="00F65BCA">
                        <w:pPr>
                          <w:pStyle w:val="TableParagraph"/>
                          <w:rPr>
                            <w:rFonts w:ascii="Calibri"/>
                            <w:sz w:val="2"/>
                          </w:rPr>
                        </w:pPr>
                      </w:p>
                      <w:p w14:paraId="69419E08"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155898A9" w14:textId="77777777" w:rsidR="00F65BCA" w:rsidRDefault="00F65BCA">
                        <w:pPr>
                          <w:pStyle w:val="TableParagraph"/>
                          <w:rPr>
                            <w:rFonts w:ascii="Calibri"/>
                            <w:sz w:val="2"/>
                          </w:rPr>
                        </w:pPr>
                      </w:p>
                      <w:p w14:paraId="02E559A0"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33ABF484" w14:textId="77777777" w:rsidR="00F65BCA" w:rsidRDefault="00F65BCA">
                        <w:pPr>
                          <w:pStyle w:val="TableParagraph"/>
                          <w:rPr>
                            <w:rFonts w:ascii="Calibri"/>
                            <w:sz w:val="2"/>
                          </w:rPr>
                        </w:pPr>
                      </w:p>
                      <w:p w14:paraId="66D037EE"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5CFE9D58" w14:textId="77777777" w:rsidR="00F65BCA" w:rsidRDefault="00F65BCA">
                        <w:pPr>
                          <w:pStyle w:val="TableParagraph"/>
                          <w:rPr>
                            <w:rFonts w:ascii="Calibri"/>
                            <w:sz w:val="2"/>
                          </w:rPr>
                        </w:pPr>
                      </w:p>
                      <w:p w14:paraId="2EE72AC9"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561377C" w14:textId="77777777" w:rsidR="00F65BCA" w:rsidRDefault="00F65BCA">
                        <w:pPr>
                          <w:pStyle w:val="TableParagraph"/>
                          <w:rPr>
                            <w:rFonts w:ascii="Calibri"/>
                            <w:sz w:val="2"/>
                          </w:rPr>
                        </w:pPr>
                      </w:p>
                      <w:p w14:paraId="2D9A816A"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1B63929B" w14:textId="77777777" w:rsidR="00F65BCA" w:rsidRDefault="00F65BCA">
                        <w:pPr>
                          <w:pStyle w:val="TableParagraph"/>
                          <w:rPr>
                            <w:rFonts w:ascii="Calibri"/>
                            <w:sz w:val="2"/>
                          </w:rPr>
                        </w:pPr>
                      </w:p>
                      <w:p w14:paraId="55FC08A4" w14:textId="77777777" w:rsidR="00F65BCA" w:rsidRDefault="00216117">
                        <w:pPr>
                          <w:pStyle w:val="TableParagraph"/>
                          <w:ind w:left="24" w:right="24"/>
                          <w:jc w:val="center"/>
                          <w:rPr>
                            <w:sz w:val="3"/>
                          </w:rPr>
                        </w:pPr>
                        <w:r>
                          <w:rPr>
                            <w:w w:val="105"/>
                            <w:sz w:val="3"/>
                          </w:rPr>
                          <w:t>1,30139079%</w:t>
                        </w:r>
                      </w:p>
                    </w:tc>
                  </w:tr>
                  <w:tr w:rsidR="00F65BCA" w14:paraId="44E6EE11" w14:textId="77777777">
                    <w:trPr>
                      <w:trHeight w:val="237"/>
                    </w:trPr>
                    <w:tc>
                      <w:tcPr>
                        <w:tcW w:w="526" w:type="dxa"/>
                        <w:vMerge/>
                        <w:tcBorders>
                          <w:top w:val="nil"/>
                          <w:left w:val="single" w:sz="2" w:space="0" w:color="000000"/>
                          <w:bottom w:val="nil"/>
                          <w:right w:val="single" w:sz="2" w:space="0" w:color="000000"/>
                        </w:tcBorders>
                        <w:shd w:val="clear" w:color="auto" w:fill="FCE4D6"/>
                      </w:tcPr>
                      <w:p w14:paraId="16739018"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6A6B9825"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3CB8C2D2" w14:textId="77777777" w:rsidR="00F65BCA" w:rsidRDefault="00216117">
                        <w:pPr>
                          <w:pStyle w:val="TableParagraph"/>
                          <w:spacing w:before="13" w:line="40" w:lineRule="atLeast"/>
                          <w:ind w:left="4" w:right="-19"/>
                          <w:rPr>
                            <w:sz w:val="3"/>
                          </w:rPr>
                        </w:pPr>
                        <w:r>
                          <w:rPr>
                            <w:w w:val="105"/>
                            <w:sz w:val="3"/>
                          </w:rPr>
                          <w:t>100 NX; 200 SX; 240 SX; 300 ZX; 350 Z; 370Z; ALMERA; ALMERA TINO; ALTIMA; ARMADA; BLUEBIRD; BLUEBIRD COMBI; CUBE; EVALIA; FRONTIER; GT-R; INTERSTAR; JINÉ; JUKE; LAUREL; LEAF; MAXIMA; MAXIMA QX; MICRA; MICRA C+C; MURANO; MURANO II; MURANO;3,5 V6; NOTE; NV400 DO 3,5; PATHFINDER; PATROL; PATROL GR; PATROL HR; PIXO; PRAIRIE; PRIMERA; PRIMERA KOMBI; PULSAR; QASHQAI; QUEST; SENTRA; SERENA; SILVIA; STANZA; SUNNY; SUNNY COMBI; TEANA; TERRANO; TERRANO II; TERRANO II WAGON; TIIDA; TITAN; TRADE; URVAN; VANETTE; VANETTE CARGO; X TERRA; X-TRAIL</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716C40A" w14:textId="77777777" w:rsidR="00F65BCA" w:rsidRDefault="00F65BCA">
                        <w:pPr>
                          <w:pStyle w:val="TableParagraph"/>
                          <w:rPr>
                            <w:rFonts w:ascii="Calibri"/>
                            <w:sz w:val="2"/>
                          </w:rPr>
                        </w:pPr>
                      </w:p>
                      <w:p w14:paraId="5F6B6DA0" w14:textId="77777777" w:rsidR="00F65BCA" w:rsidRDefault="00F65BCA">
                        <w:pPr>
                          <w:pStyle w:val="TableParagraph"/>
                          <w:rPr>
                            <w:rFonts w:ascii="Calibri"/>
                            <w:sz w:val="2"/>
                          </w:rPr>
                        </w:pPr>
                      </w:p>
                      <w:p w14:paraId="37598398" w14:textId="77777777" w:rsidR="00F65BCA" w:rsidRDefault="00F65BCA">
                        <w:pPr>
                          <w:pStyle w:val="TableParagraph"/>
                          <w:rPr>
                            <w:rFonts w:ascii="Calibri"/>
                            <w:sz w:val="2"/>
                          </w:rPr>
                        </w:pPr>
                      </w:p>
                      <w:p w14:paraId="001A2A5A" w14:textId="77777777" w:rsidR="00F65BCA" w:rsidRDefault="00F65BCA">
                        <w:pPr>
                          <w:pStyle w:val="TableParagraph"/>
                          <w:spacing w:before="4"/>
                          <w:rPr>
                            <w:rFonts w:ascii="Calibri"/>
                            <w:sz w:val="2"/>
                          </w:rPr>
                        </w:pPr>
                      </w:p>
                      <w:p w14:paraId="06D760CB" w14:textId="77777777" w:rsidR="00F65BCA" w:rsidRDefault="00216117">
                        <w:pPr>
                          <w:pStyle w:val="TableParagraph"/>
                          <w:spacing w:before="1"/>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FA8F1AA" w14:textId="77777777" w:rsidR="00F65BCA" w:rsidRDefault="00F65BCA">
                        <w:pPr>
                          <w:pStyle w:val="TableParagraph"/>
                          <w:rPr>
                            <w:rFonts w:ascii="Calibri"/>
                            <w:sz w:val="2"/>
                          </w:rPr>
                        </w:pPr>
                      </w:p>
                      <w:p w14:paraId="5F4BC52A" w14:textId="77777777" w:rsidR="00F65BCA" w:rsidRDefault="00F65BCA">
                        <w:pPr>
                          <w:pStyle w:val="TableParagraph"/>
                          <w:rPr>
                            <w:rFonts w:ascii="Calibri"/>
                            <w:sz w:val="2"/>
                          </w:rPr>
                        </w:pPr>
                      </w:p>
                      <w:p w14:paraId="78D7B29C" w14:textId="77777777" w:rsidR="00F65BCA" w:rsidRDefault="00F65BCA">
                        <w:pPr>
                          <w:pStyle w:val="TableParagraph"/>
                          <w:rPr>
                            <w:rFonts w:ascii="Calibri"/>
                            <w:sz w:val="2"/>
                          </w:rPr>
                        </w:pPr>
                      </w:p>
                      <w:p w14:paraId="05EC04CF" w14:textId="77777777" w:rsidR="00F65BCA" w:rsidRDefault="00F65BCA">
                        <w:pPr>
                          <w:pStyle w:val="TableParagraph"/>
                          <w:spacing w:before="4"/>
                          <w:rPr>
                            <w:rFonts w:ascii="Calibri"/>
                            <w:sz w:val="2"/>
                          </w:rPr>
                        </w:pPr>
                      </w:p>
                      <w:p w14:paraId="4A812FAC" w14:textId="77777777" w:rsidR="00F65BCA" w:rsidRDefault="00216117">
                        <w:pPr>
                          <w:pStyle w:val="TableParagraph"/>
                          <w:spacing w:before="1"/>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590EB558"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44FE556" w14:textId="77777777" w:rsidR="00F65BCA" w:rsidRDefault="00F65BCA">
                        <w:pPr>
                          <w:pStyle w:val="TableParagraph"/>
                          <w:rPr>
                            <w:rFonts w:ascii="Calibri"/>
                            <w:sz w:val="2"/>
                          </w:rPr>
                        </w:pPr>
                      </w:p>
                      <w:p w14:paraId="281DCB17" w14:textId="77777777" w:rsidR="00F65BCA" w:rsidRDefault="00F65BCA">
                        <w:pPr>
                          <w:pStyle w:val="TableParagraph"/>
                          <w:rPr>
                            <w:rFonts w:ascii="Calibri"/>
                            <w:sz w:val="2"/>
                          </w:rPr>
                        </w:pPr>
                      </w:p>
                      <w:p w14:paraId="1A0509B3" w14:textId="77777777" w:rsidR="00F65BCA" w:rsidRDefault="00F65BCA">
                        <w:pPr>
                          <w:pStyle w:val="TableParagraph"/>
                          <w:rPr>
                            <w:rFonts w:ascii="Calibri"/>
                            <w:sz w:val="2"/>
                          </w:rPr>
                        </w:pPr>
                      </w:p>
                      <w:p w14:paraId="4E51D16C" w14:textId="77777777" w:rsidR="00F65BCA" w:rsidRDefault="00F65BCA">
                        <w:pPr>
                          <w:pStyle w:val="TableParagraph"/>
                          <w:spacing w:before="4"/>
                          <w:rPr>
                            <w:rFonts w:ascii="Calibri"/>
                            <w:sz w:val="2"/>
                          </w:rPr>
                        </w:pPr>
                      </w:p>
                      <w:p w14:paraId="33DBFB52" w14:textId="77777777" w:rsidR="00F65BCA" w:rsidRDefault="00216117">
                        <w:pPr>
                          <w:pStyle w:val="TableParagraph"/>
                          <w:spacing w:before="1"/>
                          <w:ind w:left="24" w:right="24"/>
                          <w:jc w:val="center"/>
                          <w:rPr>
                            <w:sz w:val="3"/>
                          </w:rPr>
                        </w:pPr>
                        <w:r>
                          <w:rPr>
                            <w:w w:val="105"/>
                            <w:sz w:val="3"/>
                          </w:rPr>
                          <w:t>1,24041466%</w:t>
                        </w:r>
                      </w:p>
                    </w:tc>
                    <w:tc>
                      <w:tcPr>
                        <w:tcW w:w="288" w:type="dxa"/>
                        <w:tcBorders>
                          <w:top w:val="single" w:sz="2" w:space="0" w:color="000000"/>
                          <w:left w:val="single" w:sz="2" w:space="0" w:color="000000"/>
                          <w:bottom w:val="single" w:sz="2" w:space="0" w:color="000000"/>
                          <w:right w:val="single" w:sz="2" w:space="0" w:color="000000"/>
                        </w:tcBorders>
                      </w:tcPr>
                      <w:p w14:paraId="19453F86" w14:textId="77777777" w:rsidR="00F65BCA" w:rsidRDefault="00F65BCA">
                        <w:pPr>
                          <w:pStyle w:val="TableParagraph"/>
                          <w:rPr>
                            <w:rFonts w:ascii="Calibri"/>
                            <w:sz w:val="2"/>
                          </w:rPr>
                        </w:pPr>
                      </w:p>
                      <w:p w14:paraId="10A2BD24" w14:textId="77777777" w:rsidR="00F65BCA" w:rsidRDefault="00F65BCA">
                        <w:pPr>
                          <w:pStyle w:val="TableParagraph"/>
                          <w:rPr>
                            <w:rFonts w:ascii="Calibri"/>
                            <w:sz w:val="2"/>
                          </w:rPr>
                        </w:pPr>
                      </w:p>
                      <w:p w14:paraId="4E3ED02A" w14:textId="77777777" w:rsidR="00F65BCA" w:rsidRDefault="00F65BCA">
                        <w:pPr>
                          <w:pStyle w:val="TableParagraph"/>
                          <w:rPr>
                            <w:rFonts w:ascii="Calibri"/>
                            <w:sz w:val="2"/>
                          </w:rPr>
                        </w:pPr>
                      </w:p>
                      <w:p w14:paraId="5AC4BD0A" w14:textId="77777777" w:rsidR="00F65BCA" w:rsidRDefault="00F65BCA">
                        <w:pPr>
                          <w:pStyle w:val="TableParagraph"/>
                          <w:spacing w:before="4"/>
                          <w:rPr>
                            <w:rFonts w:ascii="Calibri"/>
                            <w:sz w:val="2"/>
                          </w:rPr>
                        </w:pPr>
                      </w:p>
                      <w:p w14:paraId="4895040C" w14:textId="77777777" w:rsidR="00F65BCA" w:rsidRDefault="00216117">
                        <w:pPr>
                          <w:pStyle w:val="TableParagraph"/>
                          <w:spacing w:before="1"/>
                          <w:ind w:left="24" w:right="24"/>
                          <w:jc w:val="center"/>
                          <w:rPr>
                            <w:sz w:val="3"/>
                          </w:rPr>
                        </w:pPr>
                        <w:r>
                          <w:rPr>
                            <w:w w:val="105"/>
                            <w:sz w:val="3"/>
                          </w:rPr>
                          <w:t>1,16288874%</w:t>
                        </w:r>
                      </w:p>
                    </w:tc>
                    <w:tc>
                      <w:tcPr>
                        <w:tcW w:w="288" w:type="dxa"/>
                        <w:tcBorders>
                          <w:top w:val="single" w:sz="2" w:space="0" w:color="000000"/>
                          <w:left w:val="single" w:sz="2" w:space="0" w:color="000000"/>
                          <w:bottom w:val="single" w:sz="2" w:space="0" w:color="000000"/>
                          <w:right w:val="single" w:sz="2" w:space="0" w:color="000000"/>
                        </w:tcBorders>
                      </w:tcPr>
                      <w:p w14:paraId="17C90AEA" w14:textId="77777777" w:rsidR="00F65BCA" w:rsidRDefault="00F65BCA">
                        <w:pPr>
                          <w:pStyle w:val="TableParagraph"/>
                          <w:rPr>
                            <w:rFonts w:ascii="Calibri"/>
                            <w:sz w:val="2"/>
                          </w:rPr>
                        </w:pPr>
                      </w:p>
                      <w:p w14:paraId="16B48296" w14:textId="77777777" w:rsidR="00F65BCA" w:rsidRDefault="00F65BCA">
                        <w:pPr>
                          <w:pStyle w:val="TableParagraph"/>
                          <w:rPr>
                            <w:rFonts w:ascii="Calibri"/>
                            <w:sz w:val="2"/>
                          </w:rPr>
                        </w:pPr>
                      </w:p>
                      <w:p w14:paraId="26026439" w14:textId="77777777" w:rsidR="00F65BCA" w:rsidRDefault="00F65BCA">
                        <w:pPr>
                          <w:pStyle w:val="TableParagraph"/>
                          <w:rPr>
                            <w:rFonts w:ascii="Calibri"/>
                            <w:sz w:val="2"/>
                          </w:rPr>
                        </w:pPr>
                      </w:p>
                      <w:p w14:paraId="44CBAD3B" w14:textId="77777777" w:rsidR="00F65BCA" w:rsidRDefault="00F65BCA">
                        <w:pPr>
                          <w:pStyle w:val="TableParagraph"/>
                          <w:spacing w:before="4"/>
                          <w:rPr>
                            <w:rFonts w:ascii="Calibri"/>
                            <w:sz w:val="2"/>
                          </w:rPr>
                        </w:pPr>
                      </w:p>
                      <w:p w14:paraId="54C1980F" w14:textId="77777777" w:rsidR="00F65BCA" w:rsidRDefault="00216117">
                        <w:pPr>
                          <w:pStyle w:val="TableParagraph"/>
                          <w:spacing w:before="1"/>
                          <w:ind w:left="24" w:right="24"/>
                          <w:jc w:val="center"/>
                          <w:rPr>
                            <w:sz w:val="3"/>
                          </w:rPr>
                        </w:pPr>
                        <w:r>
                          <w:rPr>
                            <w:w w:val="105"/>
                            <w:sz w:val="3"/>
                          </w:rPr>
                          <w:t>1,10862060%</w:t>
                        </w:r>
                      </w:p>
                    </w:tc>
                    <w:tc>
                      <w:tcPr>
                        <w:tcW w:w="288" w:type="dxa"/>
                        <w:tcBorders>
                          <w:top w:val="single" w:sz="2" w:space="0" w:color="000000"/>
                          <w:left w:val="single" w:sz="2" w:space="0" w:color="000000"/>
                          <w:bottom w:val="single" w:sz="2" w:space="0" w:color="000000"/>
                          <w:right w:val="single" w:sz="2" w:space="0" w:color="000000"/>
                        </w:tcBorders>
                      </w:tcPr>
                      <w:p w14:paraId="21F3594F" w14:textId="77777777" w:rsidR="00F65BCA" w:rsidRDefault="00F65BCA">
                        <w:pPr>
                          <w:pStyle w:val="TableParagraph"/>
                          <w:rPr>
                            <w:rFonts w:ascii="Calibri"/>
                            <w:sz w:val="2"/>
                          </w:rPr>
                        </w:pPr>
                      </w:p>
                      <w:p w14:paraId="0FB5E7B8" w14:textId="77777777" w:rsidR="00F65BCA" w:rsidRDefault="00F65BCA">
                        <w:pPr>
                          <w:pStyle w:val="TableParagraph"/>
                          <w:rPr>
                            <w:rFonts w:ascii="Calibri"/>
                            <w:sz w:val="2"/>
                          </w:rPr>
                        </w:pPr>
                      </w:p>
                      <w:p w14:paraId="50874447" w14:textId="77777777" w:rsidR="00F65BCA" w:rsidRDefault="00F65BCA">
                        <w:pPr>
                          <w:pStyle w:val="TableParagraph"/>
                          <w:rPr>
                            <w:rFonts w:ascii="Calibri"/>
                            <w:sz w:val="2"/>
                          </w:rPr>
                        </w:pPr>
                      </w:p>
                      <w:p w14:paraId="705327BD" w14:textId="77777777" w:rsidR="00F65BCA" w:rsidRDefault="00F65BCA">
                        <w:pPr>
                          <w:pStyle w:val="TableParagraph"/>
                          <w:spacing w:before="4"/>
                          <w:rPr>
                            <w:rFonts w:ascii="Calibri"/>
                            <w:sz w:val="2"/>
                          </w:rPr>
                        </w:pPr>
                      </w:p>
                      <w:p w14:paraId="41287698" w14:textId="77777777" w:rsidR="00F65BCA" w:rsidRDefault="00216117">
                        <w:pPr>
                          <w:pStyle w:val="TableParagraph"/>
                          <w:spacing w:before="1"/>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485A85A7" w14:textId="77777777" w:rsidR="00F65BCA" w:rsidRDefault="00F65BCA">
                        <w:pPr>
                          <w:pStyle w:val="TableParagraph"/>
                          <w:rPr>
                            <w:rFonts w:ascii="Calibri"/>
                            <w:sz w:val="2"/>
                          </w:rPr>
                        </w:pPr>
                      </w:p>
                      <w:p w14:paraId="53C628BD" w14:textId="77777777" w:rsidR="00F65BCA" w:rsidRDefault="00F65BCA">
                        <w:pPr>
                          <w:pStyle w:val="TableParagraph"/>
                          <w:rPr>
                            <w:rFonts w:ascii="Calibri"/>
                            <w:sz w:val="2"/>
                          </w:rPr>
                        </w:pPr>
                      </w:p>
                      <w:p w14:paraId="7415C907" w14:textId="77777777" w:rsidR="00F65BCA" w:rsidRDefault="00F65BCA">
                        <w:pPr>
                          <w:pStyle w:val="TableParagraph"/>
                          <w:rPr>
                            <w:rFonts w:ascii="Calibri"/>
                            <w:sz w:val="2"/>
                          </w:rPr>
                        </w:pPr>
                      </w:p>
                      <w:p w14:paraId="02CE00BE" w14:textId="77777777" w:rsidR="00F65BCA" w:rsidRDefault="00F65BCA">
                        <w:pPr>
                          <w:pStyle w:val="TableParagraph"/>
                          <w:spacing w:before="4"/>
                          <w:rPr>
                            <w:rFonts w:ascii="Calibri"/>
                            <w:sz w:val="2"/>
                          </w:rPr>
                        </w:pPr>
                      </w:p>
                      <w:p w14:paraId="33FF1B6B" w14:textId="77777777" w:rsidR="00F65BCA" w:rsidRDefault="00216117">
                        <w:pPr>
                          <w:pStyle w:val="TableParagraph"/>
                          <w:spacing w:before="1"/>
                          <w:ind w:left="24" w:right="24"/>
                          <w:jc w:val="center"/>
                          <w:rPr>
                            <w:sz w:val="3"/>
                          </w:rPr>
                        </w:pPr>
                        <w:r>
                          <w:rPr>
                            <w:w w:val="105"/>
                            <w:sz w:val="3"/>
                          </w:rPr>
                          <w:t>0,99233172%</w:t>
                        </w:r>
                      </w:p>
                    </w:tc>
                    <w:tc>
                      <w:tcPr>
                        <w:tcW w:w="288" w:type="dxa"/>
                        <w:tcBorders>
                          <w:top w:val="single" w:sz="2" w:space="0" w:color="000000"/>
                          <w:left w:val="single" w:sz="2" w:space="0" w:color="000000"/>
                          <w:bottom w:val="single" w:sz="2" w:space="0" w:color="000000"/>
                          <w:right w:val="single" w:sz="2" w:space="0" w:color="000000"/>
                        </w:tcBorders>
                      </w:tcPr>
                      <w:p w14:paraId="5CCB99A9" w14:textId="77777777" w:rsidR="00F65BCA" w:rsidRDefault="00F65BCA">
                        <w:pPr>
                          <w:pStyle w:val="TableParagraph"/>
                          <w:rPr>
                            <w:rFonts w:ascii="Calibri"/>
                            <w:sz w:val="2"/>
                          </w:rPr>
                        </w:pPr>
                      </w:p>
                      <w:p w14:paraId="09D2C54F" w14:textId="77777777" w:rsidR="00F65BCA" w:rsidRDefault="00F65BCA">
                        <w:pPr>
                          <w:pStyle w:val="TableParagraph"/>
                          <w:rPr>
                            <w:rFonts w:ascii="Calibri"/>
                            <w:sz w:val="2"/>
                          </w:rPr>
                        </w:pPr>
                      </w:p>
                      <w:p w14:paraId="75E8242A" w14:textId="77777777" w:rsidR="00F65BCA" w:rsidRDefault="00F65BCA">
                        <w:pPr>
                          <w:pStyle w:val="TableParagraph"/>
                          <w:rPr>
                            <w:rFonts w:ascii="Calibri"/>
                            <w:sz w:val="2"/>
                          </w:rPr>
                        </w:pPr>
                      </w:p>
                      <w:p w14:paraId="65C04F80" w14:textId="77777777" w:rsidR="00F65BCA" w:rsidRDefault="00F65BCA">
                        <w:pPr>
                          <w:pStyle w:val="TableParagraph"/>
                          <w:spacing w:before="4"/>
                          <w:rPr>
                            <w:rFonts w:ascii="Calibri"/>
                            <w:sz w:val="2"/>
                          </w:rPr>
                        </w:pPr>
                      </w:p>
                      <w:p w14:paraId="1DB6BF3D" w14:textId="77777777" w:rsidR="00F65BCA" w:rsidRDefault="00216117">
                        <w:pPr>
                          <w:pStyle w:val="TableParagraph"/>
                          <w:spacing w:before="1"/>
                          <w:ind w:left="24" w:right="24"/>
                          <w:jc w:val="center"/>
                          <w:rPr>
                            <w:sz w:val="3"/>
                          </w:rPr>
                        </w:pPr>
                        <w:r>
                          <w:rPr>
                            <w:w w:val="105"/>
                            <w:sz w:val="3"/>
                          </w:rPr>
                          <w:t>0,92255840%</w:t>
                        </w:r>
                      </w:p>
                    </w:tc>
                    <w:tc>
                      <w:tcPr>
                        <w:tcW w:w="288" w:type="dxa"/>
                        <w:tcBorders>
                          <w:top w:val="single" w:sz="2" w:space="0" w:color="000000"/>
                          <w:left w:val="single" w:sz="2" w:space="0" w:color="000000"/>
                          <w:bottom w:val="single" w:sz="2" w:space="0" w:color="000000"/>
                          <w:right w:val="single" w:sz="2" w:space="0" w:color="000000"/>
                        </w:tcBorders>
                      </w:tcPr>
                      <w:p w14:paraId="06D3438E" w14:textId="77777777" w:rsidR="00F65BCA" w:rsidRDefault="00F65BCA">
                        <w:pPr>
                          <w:pStyle w:val="TableParagraph"/>
                          <w:rPr>
                            <w:rFonts w:ascii="Calibri"/>
                            <w:sz w:val="2"/>
                          </w:rPr>
                        </w:pPr>
                      </w:p>
                      <w:p w14:paraId="71D3617F" w14:textId="77777777" w:rsidR="00F65BCA" w:rsidRDefault="00F65BCA">
                        <w:pPr>
                          <w:pStyle w:val="TableParagraph"/>
                          <w:rPr>
                            <w:rFonts w:ascii="Calibri"/>
                            <w:sz w:val="2"/>
                          </w:rPr>
                        </w:pPr>
                      </w:p>
                      <w:p w14:paraId="555026D8" w14:textId="77777777" w:rsidR="00F65BCA" w:rsidRDefault="00F65BCA">
                        <w:pPr>
                          <w:pStyle w:val="TableParagraph"/>
                          <w:rPr>
                            <w:rFonts w:ascii="Calibri"/>
                            <w:sz w:val="2"/>
                          </w:rPr>
                        </w:pPr>
                      </w:p>
                      <w:p w14:paraId="7EEF00E9" w14:textId="77777777" w:rsidR="00F65BCA" w:rsidRDefault="00F65BCA">
                        <w:pPr>
                          <w:pStyle w:val="TableParagraph"/>
                          <w:spacing w:before="4"/>
                          <w:rPr>
                            <w:rFonts w:ascii="Calibri"/>
                            <w:sz w:val="2"/>
                          </w:rPr>
                        </w:pPr>
                      </w:p>
                      <w:p w14:paraId="3202DFAF" w14:textId="77777777" w:rsidR="00F65BCA" w:rsidRDefault="00216117">
                        <w:pPr>
                          <w:pStyle w:val="TableParagraph"/>
                          <w:spacing w:before="1"/>
                          <w:ind w:left="24" w:right="24"/>
                          <w:jc w:val="center"/>
                          <w:rPr>
                            <w:sz w:val="3"/>
                          </w:rPr>
                        </w:pPr>
                        <w:r>
                          <w:rPr>
                            <w:w w:val="105"/>
                            <w:sz w:val="3"/>
                          </w:rPr>
                          <w:t>0,85278508%</w:t>
                        </w:r>
                      </w:p>
                    </w:tc>
                    <w:tc>
                      <w:tcPr>
                        <w:tcW w:w="288" w:type="dxa"/>
                        <w:tcBorders>
                          <w:top w:val="single" w:sz="2" w:space="0" w:color="000000"/>
                          <w:left w:val="single" w:sz="2" w:space="0" w:color="000000"/>
                          <w:bottom w:val="single" w:sz="2" w:space="0" w:color="000000"/>
                          <w:right w:val="single" w:sz="2" w:space="0" w:color="000000"/>
                        </w:tcBorders>
                      </w:tcPr>
                      <w:p w14:paraId="334C0BED" w14:textId="77777777" w:rsidR="00F65BCA" w:rsidRDefault="00F65BCA">
                        <w:pPr>
                          <w:pStyle w:val="TableParagraph"/>
                          <w:rPr>
                            <w:rFonts w:ascii="Calibri"/>
                            <w:sz w:val="2"/>
                          </w:rPr>
                        </w:pPr>
                      </w:p>
                      <w:p w14:paraId="0772444A" w14:textId="77777777" w:rsidR="00F65BCA" w:rsidRDefault="00F65BCA">
                        <w:pPr>
                          <w:pStyle w:val="TableParagraph"/>
                          <w:rPr>
                            <w:rFonts w:ascii="Calibri"/>
                            <w:sz w:val="2"/>
                          </w:rPr>
                        </w:pPr>
                      </w:p>
                      <w:p w14:paraId="45B27F68" w14:textId="77777777" w:rsidR="00F65BCA" w:rsidRDefault="00F65BCA">
                        <w:pPr>
                          <w:pStyle w:val="TableParagraph"/>
                          <w:rPr>
                            <w:rFonts w:ascii="Calibri"/>
                            <w:sz w:val="2"/>
                          </w:rPr>
                        </w:pPr>
                      </w:p>
                      <w:p w14:paraId="6BCE9F48" w14:textId="77777777" w:rsidR="00F65BCA" w:rsidRDefault="00F65BCA">
                        <w:pPr>
                          <w:pStyle w:val="TableParagraph"/>
                          <w:spacing w:before="4"/>
                          <w:rPr>
                            <w:rFonts w:ascii="Calibri"/>
                            <w:sz w:val="2"/>
                          </w:rPr>
                        </w:pPr>
                      </w:p>
                      <w:p w14:paraId="70C17993" w14:textId="77777777" w:rsidR="00F65BCA" w:rsidRDefault="00216117">
                        <w:pPr>
                          <w:pStyle w:val="TableParagraph"/>
                          <w:spacing w:before="1"/>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4961F64F" w14:textId="77777777" w:rsidR="00F65BCA" w:rsidRDefault="00F65BCA">
                        <w:pPr>
                          <w:pStyle w:val="TableParagraph"/>
                          <w:rPr>
                            <w:rFonts w:ascii="Calibri"/>
                            <w:sz w:val="2"/>
                          </w:rPr>
                        </w:pPr>
                      </w:p>
                      <w:p w14:paraId="4E3322EB" w14:textId="77777777" w:rsidR="00F65BCA" w:rsidRDefault="00F65BCA">
                        <w:pPr>
                          <w:pStyle w:val="TableParagraph"/>
                          <w:rPr>
                            <w:rFonts w:ascii="Calibri"/>
                            <w:sz w:val="2"/>
                          </w:rPr>
                        </w:pPr>
                      </w:p>
                      <w:p w14:paraId="1ACF72A1" w14:textId="77777777" w:rsidR="00F65BCA" w:rsidRDefault="00F65BCA">
                        <w:pPr>
                          <w:pStyle w:val="TableParagraph"/>
                          <w:rPr>
                            <w:rFonts w:ascii="Calibri"/>
                            <w:sz w:val="2"/>
                          </w:rPr>
                        </w:pPr>
                      </w:p>
                      <w:p w14:paraId="236D5B7D" w14:textId="77777777" w:rsidR="00F65BCA" w:rsidRDefault="00F65BCA">
                        <w:pPr>
                          <w:pStyle w:val="TableParagraph"/>
                          <w:spacing w:before="4"/>
                          <w:rPr>
                            <w:rFonts w:ascii="Calibri"/>
                            <w:sz w:val="2"/>
                          </w:rPr>
                        </w:pPr>
                      </w:p>
                      <w:p w14:paraId="355B8B73" w14:textId="77777777" w:rsidR="00F65BCA" w:rsidRDefault="00216117">
                        <w:pPr>
                          <w:pStyle w:val="TableParagraph"/>
                          <w:spacing w:before="1"/>
                          <w:ind w:left="24" w:right="24"/>
                          <w:jc w:val="center"/>
                          <w:rPr>
                            <w:sz w:val="3"/>
                          </w:rPr>
                        </w:pPr>
                        <w:r>
                          <w:rPr>
                            <w:w w:val="105"/>
                            <w:sz w:val="3"/>
                          </w:rPr>
                          <w:t>0,77525916%</w:t>
                        </w:r>
                      </w:p>
                    </w:tc>
                    <w:tc>
                      <w:tcPr>
                        <w:tcW w:w="288" w:type="dxa"/>
                        <w:tcBorders>
                          <w:top w:val="single" w:sz="2" w:space="0" w:color="000000"/>
                          <w:left w:val="single" w:sz="2" w:space="0" w:color="000000"/>
                          <w:bottom w:val="single" w:sz="2" w:space="0" w:color="000000"/>
                          <w:right w:val="single" w:sz="2" w:space="0" w:color="000000"/>
                        </w:tcBorders>
                      </w:tcPr>
                      <w:p w14:paraId="140187BB" w14:textId="77777777" w:rsidR="00F65BCA" w:rsidRDefault="00F65BCA">
                        <w:pPr>
                          <w:pStyle w:val="TableParagraph"/>
                          <w:rPr>
                            <w:rFonts w:ascii="Calibri"/>
                            <w:sz w:val="2"/>
                          </w:rPr>
                        </w:pPr>
                      </w:p>
                      <w:p w14:paraId="19C0D951" w14:textId="77777777" w:rsidR="00F65BCA" w:rsidRDefault="00F65BCA">
                        <w:pPr>
                          <w:pStyle w:val="TableParagraph"/>
                          <w:rPr>
                            <w:rFonts w:ascii="Calibri"/>
                            <w:sz w:val="2"/>
                          </w:rPr>
                        </w:pPr>
                      </w:p>
                      <w:p w14:paraId="165DBDBD" w14:textId="77777777" w:rsidR="00F65BCA" w:rsidRDefault="00F65BCA">
                        <w:pPr>
                          <w:pStyle w:val="TableParagraph"/>
                          <w:rPr>
                            <w:rFonts w:ascii="Calibri"/>
                            <w:sz w:val="2"/>
                          </w:rPr>
                        </w:pPr>
                      </w:p>
                      <w:p w14:paraId="2544AFD0" w14:textId="77777777" w:rsidR="00F65BCA" w:rsidRDefault="00F65BCA">
                        <w:pPr>
                          <w:pStyle w:val="TableParagraph"/>
                          <w:spacing w:before="4"/>
                          <w:rPr>
                            <w:rFonts w:ascii="Calibri"/>
                            <w:sz w:val="2"/>
                          </w:rPr>
                        </w:pPr>
                      </w:p>
                      <w:p w14:paraId="57198239" w14:textId="77777777" w:rsidR="00F65BCA" w:rsidRDefault="00216117">
                        <w:pPr>
                          <w:pStyle w:val="TableParagraph"/>
                          <w:spacing w:before="1"/>
                          <w:ind w:left="24" w:right="24"/>
                          <w:jc w:val="center"/>
                          <w:rPr>
                            <w:sz w:val="3"/>
                          </w:rPr>
                        </w:pPr>
                        <w:r>
                          <w:rPr>
                            <w:w w:val="105"/>
                            <w:sz w:val="3"/>
                          </w:rPr>
                          <w:t>0,93031099%</w:t>
                        </w:r>
                      </w:p>
                    </w:tc>
                    <w:tc>
                      <w:tcPr>
                        <w:tcW w:w="288" w:type="dxa"/>
                        <w:tcBorders>
                          <w:top w:val="single" w:sz="2" w:space="0" w:color="000000"/>
                          <w:left w:val="single" w:sz="2" w:space="0" w:color="000000"/>
                          <w:bottom w:val="single" w:sz="2" w:space="0" w:color="000000"/>
                          <w:right w:val="single" w:sz="2" w:space="0" w:color="000000"/>
                        </w:tcBorders>
                      </w:tcPr>
                      <w:p w14:paraId="08A59F60" w14:textId="77777777" w:rsidR="00F65BCA" w:rsidRDefault="00F65BCA">
                        <w:pPr>
                          <w:pStyle w:val="TableParagraph"/>
                          <w:rPr>
                            <w:rFonts w:ascii="Calibri"/>
                            <w:sz w:val="2"/>
                          </w:rPr>
                        </w:pPr>
                      </w:p>
                      <w:p w14:paraId="54DFD11C" w14:textId="77777777" w:rsidR="00F65BCA" w:rsidRDefault="00F65BCA">
                        <w:pPr>
                          <w:pStyle w:val="TableParagraph"/>
                          <w:rPr>
                            <w:rFonts w:ascii="Calibri"/>
                            <w:sz w:val="2"/>
                          </w:rPr>
                        </w:pPr>
                      </w:p>
                      <w:p w14:paraId="2965F198" w14:textId="77777777" w:rsidR="00F65BCA" w:rsidRDefault="00F65BCA">
                        <w:pPr>
                          <w:pStyle w:val="TableParagraph"/>
                          <w:rPr>
                            <w:rFonts w:ascii="Calibri"/>
                            <w:sz w:val="2"/>
                          </w:rPr>
                        </w:pPr>
                      </w:p>
                      <w:p w14:paraId="46F22691" w14:textId="77777777" w:rsidR="00F65BCA" w:rsidRDefault="00F65BCA">
                        <w:pPr>
                          <w:pStyle w:val="TableParagraph"/>
                          <w:spacing w:before="4"/>
                          <w:rPr>
                            <w:rFonts w:ascii="Calibri"/>
                            <w:sz w:val="2"/>
                          </w:rPr>
                        </w:pPr>
                      </w:p>
                      <w:p w14:paraId="52BE540E" w14:textId="77777777" w:rsidR="00F65BCA" w:rsidRDefault="00216117">
                        <w:pPr>
                          <w:pStyle w:val="TableParagraph"/>
                          <w:spacing w:before="1"/>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6AAB6C95" w14:textId="77777777" w:rsidR="00F65BCA" w:rsidRDefault="00F65BCA">
                        <w:pPr>
                          <w:pStyle w:val="TableParagraph"/>
                          <w:rPr>
                            <w:rFonts w:ascii="Calibri"/>
                            <w:sz w:val="2"/>
                          </w:rPr>
                        </w:pPr>
                      </w:p>
                      <w:p w14:paraId="4D71859E" w14:textId="77777777" w:rsidR="00F65BCA" w:rsidRDefault="00F65BCA">
                        <w:pPr>
                          <w:pStyle w:val="TableParagraph"/>
                          <w:rPr>
                            <w:rFonts w:ascii="Calibri"/>
                            <w:sz w:val="2"/>
                          </w:rPr>
                        </w:pPr>
                      </w:p>
                      <w:p w14:paraId="171FD10C" w14:textId="77777777" w:rsidR="00F65BCA" w:rsidRDefault="00F65BCA">
                        <w:pPr>
                          <w:pStyle w:val="TableParagraph"/>
                          <w:rPr>
                            <w:rFonts w:ascii="Calibri"/>
                            <w:sz w:val="2"/>
                          </w:rPr>
                        </w:pPr>
                      </w:p>
                      <w:p w14:paraId="3AA37A3F" w14:textId="77777777" w:rsidR="00F65BCA" w:rsidRDefault="00F65BCA">
                        <w:pPr>
                          <w:pStyle w:val="TableParagraph"/>
                          <w:spacing w:before="4"/>
                          <w:rPr>
                            <w:rFonts w:ascii="Calibri"/>
                            <w:sz w:val="2"/>
                          </w:rPr>
                        </w:pPr>
                      </w:p>
                      <w:p w14:paraId="2C95A844" w14:textId="77777777" w:rsidR="00F65BCA" w:rsidRDefault="00216117">
                        <w:pPr>
                          <w:pStyle w:val="TableParagraph"/>
                          <w:spacing w:before="1"/>
                          <w:ind w:left="24" w:right="24"/>
                          <w:jc w:val="center"/>
                          <w:rPr>
                            <w:sz w:val="3"/>
                          </w:rPr>
                        </w:pPr>
                        <w:r>
                          <w:rPr>
                            <w:w w:val="105"/>
                            <w:sz w:val="3"/>
                          </w:rPr>
                          <w:t>1,04659987%</w:t>
                        </w:r>
                      </w:p>
                    </w:tc>
                    <w:tc>
                      <w:tcPr>
                        <w:tcW w:w="288" w:type="dxa"/>
                        <w:tcBorders>
                          <w:top w:val="single" w:sz="2" w:space="0" w:color="000000"/>
                          <w:left w:val="single" w:sz="2" w:space="0" w:color="000000"/>
                          <w:bottom w:val="single" w:sz="2" w:space="0" w:color="000000"/>
                          <w:right w:val="single" w:sz="2" w:space="0" w:color="000000"/>
                        </w:tcBorders>
                      </w:tcPr>
                      <w:p w14:paraId="04650954" w14:textId="77777777" w:rsidR="00F65BCA" w:rsidRDefault="00F65BCA">
                        <w:pPr>
                          <w:pStyle w:val="TableParagraph"/>
                          <w:rPr>
                            <w:rFonts w:ascii="Calibri"/>
                            <w:sz w:val="2"/>
                          </w:rPr>
                        </w:pPr>
                      </w:p>
                      <w:p w14:paraId="3323A013" w14:textId="77777777" w:rsidR="00F65BCA" w:rsidRDefault="00F65BCA">
                        <w:pPr>
                          <w:pStyle w:val="TableParagraph"/>
                          <w:rPr>
                            <w:rFonts w:ascii="Calibri"/>
                            <w:sz w:val="2"/>
                          </w:rPr>
                        </w:pPr>
                      </w:p>
                      <w:p w14:paraId="78C0DA75" w14:textId="77777777" w:rsidR="00F65BCA" w:rsidRDefault="00F65BCA">
                        <w:pPr>
                          <w:pStyle w:val="TableParagraph"/>
                          <w:rPr>
                            <w:rFonts w:ascii="Calibri"/>
                            <w:sz w:val="2"/>
                          </w:rPr>
                        </w:pPr>
                      </w:p>
                      <w:p w14:paraId="1989A761" w14:textId="77777777" w:rsidR="00F65BCA" w:rsidRDefault="00F65BCA">
                        <w:pPr>
                          <w:pStyle w:val="TableParagraph"/>
                          <w:spacing w:before="4"/>
                          <w:rPr>
                            <w:rFonts w:ascii="Calibri"/>
                            <w:sz w:val="2"/>
                          </w:rPr>
                        </w:pPr>
                      </w:p>
                      <w:p w14:paraId="50E6E4DE" w14:textId="77777777" w:rsidR="00F65BCA" w:rsidRDefault="00216117">
                        <w:pPr>
                          <w:pStyle w:val="TableParagraph"/>
                          <w:spacing w:before="1"/>
                          <w:ind w:left="24" w:right="24"/>
                          <w:jc w:val="center"/>
                          <w:rPr>
                            <w:sz w:val="3"/>
                          </w:rPr>
                        </w:pPr>
                        <w:r>
                          <w:rPr>
                            <w:w w:val="105"/>
                            <w:sz w:val="3"/>
                          </w:rPr>
                          <w:t>1,16288874%</w:t>
                        </w:r>
                      </w:p>
                    </w:tc>
                  </w:tr>
                  <w:tr w:rsidR="00F65BCA" w14:paraId="01006764" w14:textId="77777777">
                    <w:trPr>
                      <w:trHeight w:val="237"/>
                    </w:trPr>
                    <w:tc>
                      <w:tcPr>
                        <w:tcW w:w="526" w:type="dxa"/>
                        <w:vMerge/>
                        <w:tcBorders>
                          <w:top w:val="nil"/>
                          <w:left w:val="single" w:sz="2" w:space="0" w:color="000000"/>
                          <w:bottom w:val="nil"/>
                          <w:right w:val="single" w:sz="2" w:space="0" w:color="000000"/>
                        </w:tcBorders>
                        <w:shd w:val="clear" w:color="auto" w:fill="FCE4D6"/>
                      </w:tcPr>
                      <w:p w14:paraId="6A47DEB6"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6237D278"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12922415"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B7EEEFB" w14:textId="77777777" w:rsidR="00F65BCA" w:rsidRDefault="00F65BCA">
                        <w:pPr>
                          <w:pStyle w:val="TableParagraph"/>
                          <w:rPr>
                            <w:rFonts w:ascii="Calibri"/>
                            <w:sz w:val="2"/>
                          </w:rPr>
                        </w:pPr>
                      </w:p>
                      <w:p w14:paraId="1FA2D340" w14:textId="77777777" w:rsidR="00F65BCA" w:rsidRDefault="00F65BCA">
                        <w:pPr>
                          <w:pStyle w:val="TableParagraph"/>
                          <w:rPr>
                            <w:rFonts w:ascii="Calibri"/>
                            <w:sz w:val="2"/>
                          </w:rPr>
                        </w:pPr>
                      </w:p>
                      <w:p w14:paraId="448EFD57" w14:textId="77777777" w:rsidR="00F65BCA" w:rsidRDefault="00F65BCA">
                        <w:pPr>
                          <w:pStyle w:val="TableParagraph"/>
                          <w:rPr>
                            <w:rFonts w:ascii="Calibri"/>
                            <w:sz w:val="2"/>
                          </w:rPr>
                        </w:pPr>
                      </w:p>
                      <w:p w14:paraId="3C99CA32" w14:textId="77777777" w:rsidR="00F65BCA" w:rsidRDefault="00F65BCA">
                        <w:pPr>
                          <w:pStyle w:val="TableParagraph"/>
                          <w:spacing w:before="4"/>
                          <w:rPr>
                            <w:rFonts w:ascii="Calibri"/>
                            <w:sz w:val="2"/>
                          </w:rPr>
                        </w:pPr>
                      </w:p>
                      <w:p w14:paraId="72EEC6F7" w14:textId="77777777" w:rsidR="00F65BCA" w:rsidRDefault="00216117">
                        <w:pPr>
                          <w:pStyle w:val="TableParagraph"/>
                          <w:spacing w:before="1"/>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D53D3A9" w14:textId="77777777" w:rsidR="00F65BCA" w:rsidRDefault="00F65BCA">
                        <w:pPr>
                          <w:pStyle w:val="TableParagraph"/>
                          <w:rPr>
                            <w:rFonts w:ascii="Calibri"/>
                            <w:sz w:val="2"/>
                          </w:rPr>
                        </w:pPr>
                      </w:p>
                      <w:p w14:paraId="23EBE3D2" w14:textId="77777777" w:rsidR="00F65BCA" w:rsidRDefault="00F65BCA">
                        <w:pPr>
                          <w:pStyle w:val="TableParagraph"/>
                          <w:rPr>
                            <w:rFonts w:ascii="Calibri"/>
                            <w:sz w:val="2"/>
                          </w:rPr>
                        </w:pPr>
                      </w:p>
                      <w:p w14:paraId="2B8FB892" w14:textId="77777777" w:rsidR="00F65BCA" w:rsidRDefault="00F65BCA">
                        <w:pPr>
                          <w:pStyle w:val="TableParagraph"/>
                          <w:rPr>
                            <w:rFonts w:ascii="Calibri"/>
                            <w:sz w:val="2"/>
                          </w:rPr>
                        </w:pPr>
                      </w:p>
                      <w:p w14:paraId="43A8853E" w14:textId="77777777" w:rsidR="00F65BCA" w:rsidRDefault="00F65BCA">
                        <w:pPr>
                          <w:pStyle w:val="TableParagraph"/>
                          <w:spacing w:before="4"/>
                          <w:rPr>
                            <w:rFonts w:ascii="Calibri"/>
                            <w:sz w:val="2"/>
                          </w:rPr>
                        </w:pPr>
                      </w:p>
                      <w:p w14:paraId="330C6AF3" w14:textId="77777777" w:rsidR="00F65BCA" w:rsidRDefault="00216117">
                        <w:pPr>
                          <w:pStyle w:val="TableParagraph"/>
                          <w:spacing w:before="1"/>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E6FB46E"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1E69DD18" w14:textId="77777777" w:rsidR="00F65BCA" w:rsidRDefault="00F65BCA">
                        <w:pPr>
                          <w:pStyle w:val="TableParagraph"/>
                          <w:rPr>
                            <w:rFonts w:ascii="Calibri"/>
                            <w:sz w:val="2"/>
                          </w:rPr>
                        </w:pPr>
                      </w:p>
                      <w:p w14:paraId="5E53A261" w14:textId="77777777" w:rsidR="00F65BCA" w:rsidRDefault="00F65BCA">
                        <w:pPr>
                          <w:pStyle w:val="TableParagraph"/>
                          <w:rPr>
                            <w:rFonts w:ascii="Calibri"/>
                            <w:sz w:val="2"/>
                          </w:rPr>
                        </w:pPr>
                      </w:p>
                      <w:p w14:paraId="49895A13" w14:textId="77777777" w:rsidR="00F65BCA" w:rsidRDefault="00F65BCA">
                        <w:pPr>
                          <w:pStyle w:val="TableParagraph"/>
                          <w:rPr>
                            <w:rFonts w:ascii="Calibri"/>
                            <w:sz w:val="2"/>
                          </w:rPr>
                        </w:pPr>
                      </w:p>
                      <w:p w14:paraId="355167E4" w14:textId="77777777" w:rsidR="00F65BCA" w:rsidRDefault="00F65BCA">
                        <w:pPr>
                          <w:pStyle w:val="TableParagraph"/>
                          <w:spacing w:before="4"/>
                          <w:rPr>
                            <w:rFonts w:ascii="Calibri"/>
                            <w:sz w:val="2"/>
                          </w:rPr>
                        </w:pPr>
                      </w:p>
                      <w:p w14:paraId="0F0B5944" w14:textId="77777777" w:rsidR="00F65BCA" w:rsidRDefault="00216117">
                        <w:pPr>
                          <w:pStyle w:val="TableParagraph"/>
                          <w:spacing w:before="1"/>
                          <w:ind w:left="24" w:right="24"/>
                          <w:jc w:val="center"/>
                          <w:rPr>
                            <w:sz w:val="3"/>
                          </w:rPr>
                        </w:pPr>
                        <w:r>
                          <w:rPr>
                            <w:w w:val="105"/>
                            <w:sz w:val="3"/>
                          </w:rPr>
                          <w:t>1,49842090%</w:t>
                        </w:r>
                      </w:p>
                    </w:tc>
                    <w:tc>
                      <w:tcPr>
                        <w:tcW w:w="288" w:type="dxa"/>
                        <w:tcBorders>
                          <w:top w:val="single" w:sz="2" w:space="0" w:color="000000"/>
                          <w:left w:val="single" w:sz="2" w:space="0" w:color="000000"/>
                          <w:bottom w:val="single" w:sz="2" w:space="0" w:color="000000"/>
                          <w:right w:val="single" w:sz="2" w:space="0" w:color="000000"/>
                        </w:tcBorders>
                      </w:tcPr>
                      <w:p w14:paraId="416C4B76" w14:textId="77777777" w:rsidR="00F65BCA" w:rsidRDefault="00F65BCA">
                        <w:pPr>
                          <w:pStyle w:val="TableParagraph"/>
                          <w:rPr>
                            <w:rFonts w:ascii="Calibri"/>
                            <w:sz w:val="2"/>
                          </w:rPr>
                        </w:pPr>
                      </w:p>
                      <w:p w14:paraId="7297CBD3" w14:textId="77777777" w:rsidR="00F65BCA" w:rsidRDefault="00F65BCA">
                        <w:pPr>
                          <w:pStyle w:val="TableParagraph"/>
                          <w:rPr>
                            <w:rFonts w:ascii="Calibri"/>
                            <w:sz w:val="2"/>
                          </w:rPr>
                        </w:pPr>
                      </w:p>
                      <w:p w14:paraId="44735550" w14:textId="77777777" w:rsidR="00F65BCA" w:rsidRDefault="00F65BCA">
                        <w:pPr>
                          <w:pStyle w:val="TableParagraph"/>
                          <w:rPr>
                            <w:rFonts w:ascii="Calibri"/>
                            <w:sz w:val="2"/>
                          </w:rPr>
                        </w:pPr>
                      </w:p>
                      <w:p w14:paraId="179CBB0D" w14:textId="77777777" w:rsidR="00F65BCA" w:rsidRDefault="00F65BCA">
                        <w:pPr>
                          <w:pStyle w:val="TableParagraph"/>
                          <w:spacing w:before="4"/>
                          <w:rPr>
                            <w:rFonts w:ascii="Calibri"/>
                            <w:sz w:val="2"/>
                          </w:rPr>
                        </w:pPr>
                      </w:p>
                      <w:p w14:paraId="72C0A528" w14:textId="77777777" w:rsidR="00F65BCA" w:rsidRDefault="00216117">
                        <w:pPr>
                          <w:pStyle w:val="TableParagraph"/>
                          <w:spacing w:before="1"/>
                          <w:ind w:left="24" w:right="24"/>
                          <w:jc w:val="center"/>
                          <w:rPr>
                            <w:sz w:val="3"/>
                          </w:rPr>
                        </w:pPr>
                        <w:r>
                          <w:rPr>
                            <w:w w:val="105"/>
                            <w:sz w:val="3"/>
                          </w:rPr>
                          <w:t>1,40476960%</w:t>
                        </w:r>
                      </w:p>
                    </w:tc>
                    <w:tc>
                      <w:tcPr>
                        <w:tcW w:w="288" w:type="dxa"/>
                        <w:tcBorders>
                          <w:top w:val="single" w:sz="2" w:space="0" w:color="000000"/>
                          <w:left w:val="single" w:sz="2" w:space="0" w:color="000000"/>
                          <w:bottom w:val="single" w:sz="2" w:space="0" w:color="000000"/>
                          <w:right w:val="single" w:sz="2" w:space="0" w:color="000000"/>
                        </w:tcBorders>
                      </w:tcPr>
                      <w:p w14:paraId="638CDBA7" w14:textId="77777777" w:rsidR="00F65BCA" w:rsidRDefault="00F65BCA">
                        <w:pPr>
                          <w:pStyle w:val="TableParagraph"/>
                          <w:rPr>
                            <w:rFonts w:ascii="Calibri"/>
                            <w:sz w:val="2"/>
                          </w:rPr>
                        </w:pPr>
                      </w:p>
                      <w:p w14:paraId="2DD373B4" w14:textId="77777777" w:rsidR="00F65BCA" w:rsidRDefault="00F65BCA">
                        <w:pPr>
                          <w:pStyle w:val="TableParagraph"/>
                          <w:rPr>
                            <w:rFonts w:ascii="Calibri"/>
                            <w:sz w:val="2"/>
                          </w:rPr>
                        </w:pPr>
                      </w:p>
                      <w:p w14:paraId="240A98A8" w14:textId="77777777" w:rsidR="00F65BCA" w:rsidRDefault="00F65BCA">
                        <w:pPr>
                          <w:pStyle w:val="TableParagraph"/>
                          <w:rPr>
                            <w:rFonts w:ascii="Calibri"/>
                            <w:sz w:val="2"/>
                          </w:rPr>
                        </w:pPr>
                      </w:p>
                      <w:p w14:paraId="458F3DD2" w14:textId="77777777" w:rsidR="00F65BCA" w:rsidRDefault="00F65BCA">
                        <w:pPr>
                          <w:pStyle w:val="TableParagraph"/>
                          <w:spacing w:before="4"/>
                          <w:rPr>
                            <w:rFonts w:ascii="Calibri"/>
                            <w:sz w:val="2"/>
                          </w:rPr>
                        </w:pPr>
                      </w:p>
                      <w:p w14:paraId="2343847F" w14:textId="77777777" w:rsidR="00F65BCA" w:rsidRDefault="00216117">
                        <w:pPr>
                          <w:pStyle w:val="TableParagraph"/>
                          <w:spacing w:before="1"/>
                          <w:ind w:left="24" w:right="24"/>
                          <w:jc w:val="center"/>
                          <w:rPr>
                            <w:sz w:val="3"/>
                          </w:rPr>
                        </w:pPr>
                        <w:r>
                          <w:rPr>
                            <w:w w:val="105"/>
                            <w:sz w:val="3"/>
                          </w:rPr>
                          <w:t>1,33921368%</w:t>
                        </w:r>
                      </w:p>
                    </w:tc>
                    <w:tc>
                      <w:tcPr>
                        <w:tcW w:w="288" w:type="dxa"/>
                        <w:tcBorders>
                          <w:top w:val="single" w:sz="2" w:space="0" w:color="000000"/>
                          <w:left w:val="single" w:sz="2" w:space="0" w:color="000000"/>
                          <w:bottom w:val="single" w:sz="2" w:space="0" w:color="000000"/>
                          <w:right w:val="single" w:sz="2" w:space="0" w:color="000000"/>
                        </w:tcBorders>
                      </w:tcPr>
                      <w:p w14:paraId="703EC27E" w14:textId="77777777" w:rsidR="00F65BCA" w:rsidRDefault="00F65BCA">
                        <w:pPr>
                          <w:pStyle w:val="TableParagraph"/>
                          <w:rPr>
                            <w:rFonts w:ascii="Calibri"/>
                            <w:sz w:val="2"/>
                          </w:rPr>
                        </w:pPr>
                      </w:p>
                      <w:p w14:paraId="32B84B1E" w14:textId="77777777" w:rsidR="00F65BCA" w:rsidRDefault="00F65BCA">
                        <w:pPr>
                          <w:pStyle w:val="TableParagraph"/>
                          <w:rPr>
                            <w:rFonts w:ascii="Calibri"/>
                            <w:sz w:val="2"/>
                          </w:rPr>
                        </w:pPr>
                      </w:p>
                      <w:p w14:paraId="632694BD" w14:textId="77777777" w:rsidR="00F65BCA" w:rsidRDefault="00F65BCA">
                        <w:pPr>
                          <w:pStyle w:val="TableParagraph"/>
                          <w:rPr>
                            <w:rFonts w:ascii="Calibri"/>
                            <w:sz w:val="2"/>
                          </w:rPr>
                        </w:pPr>
                      </w:p>
                      <w:p w14:paraId="5A250481" w14:textId="77777777" w:rsidR="00F65BCA" w:rsidRDefault="00F65BCA">
                        <w:pPr>
                          <w:pStyle w:val="TableParagraph"/>
                          <w:spacing w:before="4"/>
                          <w:rPr>
                            <w:rFonts w:ascii="Calibri"/>
                            <w:sz w:val="2"/>
                          </w:rPr>
                        </w:pPr>
                      </w:p>
                      <w:p w14:paraId="592AADA4" w14:textId="77777777" w:rsidR="00F65BCA" w:rsidRDefault="00216117">
                        <w:pPr>
                          <w:pStyle w:val="TableParagraph"/>
                          <w:spacing w:before="1"/>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5554522E" w14:textId="77777777" w:rsidR="00F65BCA" w:rsidRDefault="00F65BCA">
                        <w:pPr>
                          <w:pStyle w:val="TableParagraph"/>
                          <w:rPr>
                            <w:rFonts w:ascii="Calibri"/>
                            <w:sz w:val="2"/>
                          </w:rPr>
                        </w:pPr>
                      </w:p>
                      <w:p w14:paraId="1EE1943E" w14:textId="77777777" w:rsidR="00F65BCA" w:rsidRDefault="00F65BCA">
                        <w:pPr>
                          <w:pStyle w:val="TableParagraph"/>
                          <w:rPr>
                            <w:rFonts w:ascii="Calibri"/>
                            <w:sz w:val="2"/>
                          </w:rPr>
                        </w:pPr>
                      </w:p>
                      <w:p w14:paraId="4F00C6B8" w14:textId="77777777" w:rsidR="00F65BCA" w:rsidRDefault="00F65BCA">
                        <w:pPr>
                          <w:pStyle w:val="TableParagraph"/>
                          <w:rPr>
                            <w:rFonts w:ascii="Calibri"/>
                            <w:sz w:val="2"/>
                          </w:rPr>
                        </w:pPr>
                      </w:p>
                      <w:p w14:paraId="6BD46386" w14:textId="77777777" w:rsidR="00F65BCA" w:rsidRDefault="00F65BCA">
                        <w:pPr>
                          <w:pStyle w:val="TableParagraph"/>
                          <w:spacing w:before="4"/>
                          <w:rPr>
                            <w:rFonts w:ascii="Calibri"/>
                            <w:sz w:val="2"/>
                          </w:rPr>
                        </w:pPr>
                      </w:p>
                      <w:p w14:paraId="4DFAEDFC" w14:textId="77777777" w:rsidR="00F65BCA" w:rsidRDefault="00216117">
                        <w:pPr>
                          <w:pStyle w:val="TableParagraph"/>
                          <w:spacing w:before="1"/>
                          <w:ind w:left="24" w:right="24"/>
                          <w:jc w:val="center"/>
                          <w:rPr>
                            <w:sz w:val="3"/>
                          </w:rPr>
                        </w:pPr>
                        <w:r>
                          <w:rPr>
                            <w:w w:val="105"/>
                            <w:sz w:val="3"/>
                          </w:rPr>
                          <w:t>1,19873672%</w:t>
                        </w:r>
                      </w:p>
                    </w:tc>
                    <w:tc>
                      <w:tcPr>
                        <w:tcW w:w="288" w:type="dxa"/>
                        <w:tcBorders>
                          <w:top w:val="single" w:sz="2" w:space="0" w:color="000000"/>
                          <w:left w:val="single" w:sz="2" w:space="0" w:color="000000"/>
                          <w:bottom w:val="single" w:sz="2" w:space="0" w:color="000000"/>
                          <w:right w:val="single" w:sz="2" w:space="0" w:color="000000"/>
                        </w:tcBorders>
                      </w:tcPr>
                      <w:p w14:paraId="2E88C260" w14:textId="77777777" w:rsidR="00F65BCA" w:rsidRDefault="00F65BCA">
                        <w:pPr>
                          <w:pStyle w:val="TableParagraph"/>
                          <w:rPr>
                            <w:rFonts w:ascii="Calibri"/>
                            <w:sz w:val="2"/>
                          </w:rPr>
                        </w:pPr>
                      </w:p>
                      <w:p w14:paraId="4F95B0F2" w14:textId="77777777" w:rsidR="00F65BCA" w:rsidRDefault="00F65BCA">
                        <w:pPr>
                          <w:pStyle w:val="TableParagraph"/>
                          <w:rPr>
                            <w:rFonts w:ascii="Calibri"/>
                            <w:sz w:val="2"/>
                          </w:rPr>
                        </w:pPr>
                      </w:p>
                      <w:p w14:paraId="3CB2061C" w14:textId="77777777" w:rsidR="00F65BCA" w:rsidRDefault="00F65BCA">
                        <w:pPr>
                          <w:pStyle w:val="TableParagraph"/>
                          <w:rPr>
                            <w:rFonts w:ascii="Calibri"/>
                            <w:sz w:val="2"/>
                          </w:rPr>
                        </w:pPr>
                      </w:p>
                      <w:p w14:paraId="14A143FB" w14:textId="77777777" w:rsidR="00F65BCA" w:rsidRDefault="00F65BCA">
                        <w:pPr>
                          <w:pStyle w:val="TableParagraph"/>
                          <w:spacing w:before="4"/>
                          <w:rPr>
                            <w:rFonts w:ascii="Calibri"/>
                            <w:sz w:val="2"/>
                          </w:rPr>
                        </w:pPr>
                      </w:p>
                      <w:p w14:paraId="09B9A591" w14:textId="77777777" w:rsidR="00F65BCA" w:rsidRDefault="00216117">
                        <w:pPr>
                          <w:pStyle w:val="TableParagraph"/>
                          <w:spacing w:before="1"/>
                          <w:ind w:left="24" w:right="24"/>
                          <w:jc w:val="center"/>
                          <w:rPr>
                            <w:sz w:val="3"/>
                          </w:rPr>
                        </w:pPr>
                        <w:r>
                          <w:rPr>
                            <w:w w:val="105"/>
                            <w:sz w:val="3"/>
                          </w:rPr>
                          <w:t>1,11445055%</w:t>
                        </w:r>
                      </w:p>
                    </w:tc>
                    <w:tc>
                      <w:tcPr>
                        <w:tcW w:w="288" w:type="dxa"/>
                        <w:tcBorders>
                          <w:top w:val="single" w:sz="2" w:space="0" w:color="000000"/>
                          <w:left w:val="single" w:sz="2" w:space="0" w:color="000000"/>
                          <w:bottom w:val="single" w:sz="2" w:space="0" w:color="000000"/>
                          <w:right w:val="single" w:sz="2" w:space="0" w:color="000000"/>
                        </w:tcBorders>
                      </w:tcPr>
                      <w:p w14:paraId="321153B0" w14:textId="77777777" w:rsidR="00F65BCA" w:rsidRDefault="00F65BCA">
                        <w:pPr>
                          <w:pStyle w:val="TableParagraph"/>
                          <w:rPr>
                            <w:rFonts w:ascii="Calibri"/>
                            <w:sz w:val="2"/>
                          </w:rPr>
                        </w:pPr>
                      </w:p>
                      <w:p w14:paraId="5DC460A0" w14:textId="77777777" w:rsidR="00F65BCA" w:rsidRDefault="00F65BCA">
                        <w:pPr>
                          <w:pStyle w:val="TableParagraph"/>
                          <w:rPr>
                            <w:rFonts w:ascii="Calibri"/>
                            <w:sz w:val="2"/>
                          </w:rPr>
                        </w:pPr>
                      </w:p>
                      <w:p w14:paraId="51BBC439" w14:textId="77777777" w:rsidR="00F65BCA" w:rsidRDefault="00F65BCA">
                        <w:pPr>
                          <w:pStyle w:val="TableParagraph"/>
                          <w:rPr>
                            <w:rFonts w:ascii="Calibri"/>
                            <w:sz w:val="2"/>
                          </w:rPr>
                        </w:pPr>
                      </w:p>
                      <w:p w14:paraId="2B63A057" w14:textId="77777777" w:rsidR="00F65BCA" w:rsidRDefault="00F65BCA">
                        <w:pPr>
                          <w:pStyle w:val="TableParagraph"/>
                          <w:spacing w:before="4"/>
                          <w:rPr>
                            <w:rFonts w:ascii="Calibri"/>
                            <w:sz w:val="2"/>
                          </w:rPr>
                        </w:pPr>
                      </w:p>
                      <w:p w14:paraId="280AF715" w14:textId="77777777" w:rsidR="00F65BCA" w:rsidRDefault="00216117">
                        <w:pPr>
                          <w:pStyle w:val="TableParagraph"/>
                          <w:spacing w:before="1"/>
                          <w:ind w:left="24" w:right="24"/>
                          <w:jc w:val="center"/>
                          <w:rPr>
                            <w:sz w:val="3"/>
                          </w:rPr>
                        </w:pPr>
                        <w:r>
                          <w:rPr>
                            <w:w w:val="105"/>
                            <w:sz w:val="3"/>
                          </w:rPr>
                          <w:t>1,03016437%</w:t>
                        </w:r>
                      </w:p>
                    </w:tc>
                    <w:tc>
                      <w:tcPr>
                        <w:tcW w:w="288" w:type="dxa"/>
                        <w:tcBorders>
                          <w:top w:val="single" w:sz="2" w:space="0" w:color="000000"/>
                          <w:left w:val="single" w:sz="2" w:space="0" w:color="000000"/>
                          <w:bottom w:val="single" w:sz="2" w:space="0" w:color="000000"/>
                          <w:right w:val="single" w:sz="2" w:space="0" w:color="000000"/>
                        </w:tcBorders>
                      </w:tcPr>
                      <w:p w14:paraId="47B5B36D" w14:textId="77777777" w:rsidR="00F65BCA" w:rsidRDefault="00F65BCA">
                        <w:pPr>
                          <w:pStyle w:val="TableParagraph"/>
                          <w:rPr>
                            <w:rFonts w:ascii="Calibri"/>
                            <w:sz w:val="2"/>
                          </w:rPr>
                        </w:pPr>
                      </w:p>
                      <w:p w14:paraId="20B12B6D" w14:textId="77777777" w:rsidR="00F65BCA" w:rsidRDefault="00F65BCA">
                        <w:pPr>
                          <w:pStyle w:val="TableParagraph"/>
                          <w:rPr>
                            <w:rFonts w:ascii="Calibri"/>
                            <w:sz w:val="2"/>
                          </w:rPr>
                        </w:pPr>
                      </w:p>
                      <w:p w14:paraId="47DBAB5F" w14:textId="77777777" w:rsidR="00F65BCA" w:rsidRDefault="00F65BCA">
                        <w:pPr>
                          <w:pStyle w:val="TableParagraph"/>
                          <w:rPr>
                            <w:rFonts w:ascii="Calibri"/>
                            <w:sz w:val="2"/>
                          </w:rPr>
                        </w:pPr>
                      </w:p>
                      <w:p w14:paraId="514A2CE2" w14:textId="77777777" w:rsidR="00F65BCA" w:rsidRDefault="00F65BCA">
                        <w:pPr>
                          <w:pStyle w:val="TableParagraph"/>
                          <w:spacing w:before="4"/>
                          <w:rPr>
                            <w:rFonts w:ascii="Calibri"/>
                            <w:sz w:val="2"/>
                          </w:rPr>
                        </w:pPr>
                      </w:p>
                      <w:p w14:paraId="25A8BDFC" w14:textId="77777777" w:rsidR="00F65BCA" w:rsidRDefault="00216117">
                        <w:pPr>
                          <w:pStyle w:val="TableParagraph"/>
                          <w:spacing w:before="1"/>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558D24E4" w14:textId="77777777" w:rsidR="00F65BCA" w:rsidRDefault="00F65BCA">
                        <w:pPr>
                          <w:pStyle w:val="TableParagraph"/>
                          <w:rPr>
                            <w:rFonts w:ascii="Calibri"/>
                            <w:sz w:val="2"/>
                          </w:rPr>
                        </w:pPr>
                      </w:p>
                      <w:p w14:paraId="22CD2F73" w14:textId="77777777" w:rsidR="00F65BCA" w:rsidRDefault="00F65BCA">
                        <w:pPr>
                          <w:pStyle w:val="TableParagraph"/>
                          <w:rPr>
                            <w:rFonts w:ascii="Calibri"/>
                            <w:sz w:val="2"/>
                          </w:rPr>
                        </w:pPr>
                      </w:p>
                      <w:p w14:paraId="34A2027B" w14:textId="77777777" w:rsidR="00F65BCA" w:rsidRDefault="00F65BCA">
                        <w:pPr>
                          <w:pStyle w:val="TableParagraph"/>
                          <w:rPr>
                            <w:rFonts w:ascii="Calibri"/>
                            <w:sz w:val="2"/>
                          </w:rPr>
                        </w:pPr>
                      </w:p>
                      <w:p w14:paraId="4645E8E6" w14:textId="77777777" w:rsidR="00F65BCA" w:rsidRDefault="00F65BCA">
                        <w:pPr>
                          <w:pStyle w:val="TableParagraph"/>
                          <w:spacing w:before="4"/>
                          <w:rPr>
                            <w:rFonts w:ascii="Calibri"/>
                            <w:sz w:val="2"/>
                          </w:rPr>
                        </w:pPr>
                      </w:p>
                      <w:p w14:paraId="03048C96" w14:textId="77777777" w:rsidR="00F65BCA" w:rsidRDefault="00216117">
                        <w:pPr>
                          <w:pStyle w:val="TableParagraph"/>
                          <w:spacing w:before="1"/>
                          <w:ind w:left="24" w:right="24"/>
                          <w:jc w:val="center"/>
                          <w:rPr>
                            <w:sz w:val="3"/>
                          </w:rPr>
                        </w:pPr>
                        <w:r>
                          <w:rPr>
                            <w:w w:val="105"/>
                            <w:sz w:val="3"/>
                          </w:rPr>
                          <w:t>0,93651307%</w:t>
                        </w:r>
                      </w:p>
                    </w:tc>
                    <w:tc>
                      <w:tcPr>
                        <w:tcW w:w="288" w:type="dxa"/>
                        <w:tcBorders>
                          <w:top w:val="single" w:sz="2" w:space="0" w:color="000000"/>
                          <w:left w:val="single" w:sz="2" w:space="0" w:color="000000"/>
                          <w:bottom w:val="single" w:sz="2" w:space="0" w:color="000000"/>
                          <w:right w:val="single" w:sz="2" w:space="0" w:color="000000"/>
                        </w:tcBorders>
                      </w:tcPr>
                      <w:p w14:paraId="6091FF7A" w14:textId="77777777" w:rsidR="00F65BCA" w:rsidRDefault="00F65BCA">
                        <w:pPr>
                          <w:pStyle w:val="TableParagraph"/>
                          <w:rPr>
                            <w:rFonts w:ascii="Calibri"/>
                            <w:sz w:val="2"/>
                          </w:rPr>
                        </w:pPr>
                      </w:p>
                      <w:p w14:paraId="5C02D2DF" w14:textId="77777777" w:rsidR="00F65BCA" w:rsidRDefault="00F65BCA">
                        <w:pPr>
                          <w:pStyle w:val="TableParagraph"/>
                          <w:rPr>
                            <w:rFonts w:ascii="Calibri"/>
                            <w:sz w:val="2"/>
                          </w:rPr>
                        </w:pPr>
                      </w:p>
                      <w:p w14:paraId="7360A6E6" w14:textId="77777777" w:rsidR="00F65BCA" w:rsidRDefault="00F65BCA">
                        <w:pPr>
                          <w:pStyle w:val="TableParagraph"/>
                          <w:rPr>
                            <w:rFonts w:ascii="Calibri"/>
                            <w:sz w:val="2"/>
                          </w:rPr>
                        </w:pPr>
                      </w:p>
                      <w:p w14:paraId="5DEFC95A" w14:textId="77777777" w:rsidR="00F65BCA" w:rsidRDefault="00F65BCA">
                        <w:pPr>
                          <w:pStyle w:val="TableParagraph"/>
                          <w:spacing w:before="4"/>
                          <w:rPr>
                            <w:rFonts w:ascii="Calibri"/>
                            <w:sz w:val="2"/>
                          </w:rPr>
                        </w:pPr>
                      </w:p>
                      <w:p w14:paraId="530C6F04" w14:textId="77777777" w:rsidR="00F65BCA" w:rsidRDefault="00216117">
                        <w:pPr>
                          <w:pStyle w:val="TableParagraph"/>
                          <w:spacing w:before="1"/>
                          <w:ind w:left="24" w:right="24"/>
                          <w:jc w:val="center"/>
                          <w:rPr>
                            <w:sz w:val="3"/>
                          </w:rPr>
                        </w:pPr>
                        <w:r>
                          <w:rPr>
                            <w:w w:val="105"/>
                            <w:sz w:val="3"/>
                          </w:rPr>
                          <w:t>1,12381568%</w:t>
                        </w:r>
                      </w:p>
                    </w:tc>
                    <w:tc>
                      <w:tcPr>
                        <w:tcW w:w="288" w:type="dxa"/>
                        <w:tcBorders>
                          <w:top w:val="single" w:sz="2" w:space="0" w:color="000000"/>
                          <w:left w:val="single" w:sz="2" w:space="0" w:color="000000"/>
                          <w:bottom w:val="single" w:sz="2" w:space="0" w:color="000000"/>
                          <w:right w:val="single" w:sz="2" w:space="0" w:color="000000"/>
                        </w:tcBorders>
                      </w:tcPr>
                      <w:p w14:paraId="1F0BC6D2" w14:textId="77777777" w:rsidR="00F65BCA" w:rsidRDefault="00F65BCA">
                        <w:pPr>
                          <w:pStyle w:val="TableParagraph"/>
                          <w:rPr>
                            <w:rFonts w:ascii="Calibri"/>
                            <w:sz w:val="2"/>
                          </w:rPr>
                        </w:pPr>
                      </w:p>
                      <w:p w14:paraId="21D71C04" w14:textId="77777777" w:rsidR="00F65BCA" w:rsidRDefault="00F65BCA">
                        <w:pPr>
                          <w:pStyle w:val="TableParagraph"/>
                          <w:rPr>
                            <w:rFonts w:ascii="Calibri"/>
                            <w:sz w:val="2"/>
                          </w:rPr>
                        </w:pPr>
                      </w:p>
                      <w:p w14:paraId="545A81FF" w14:textId="77777777" w:rsidR="00F65BCA" w:rsidRDefault="00F65BCA">
                        <w:pPr>
                          <w:pStyle w:val="TableParagraph"/>
                          <w:rPr>
                            <w:rFonts w:ascii="Calibri"/>
                            <w:sz w:val="2"/>
                          </w:rPr>
                        </w:pPr>
                      </w:p>
                      <w:p w14:paraId="2F39E47C" w14:textId="77777777" w:rsidR="00F65BCA" w:rsidRDefault="00F65BCA">
                        <w:pPr>
                          <w:pStyle w:val="TableParagraph"/>
                          <w:spacing w:before="4"/>
                          <w:rPr>
                            <w:rFonts w:ascii="Calibri"/>
                            <w:sz w:val="2"/>
                          </w:rPr>
                        </w:pPr>
                      </w:p>
                      <w:p w14:paraId="5AFF4283" w14:textId="77777777" w:rsidR="00F65BCA" w:rsidRDefault="00216117">
                        <w:pPr>
                          <w:pStyle w:val="TableParagraph"/>
                          <w:spacing w:before="1"/>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0DA770C9" w14:textId="77777777" w:rsidR="00F65BCA" w:rsidRDefault="00F65BCA">
                        <w:pPr>
                          <w:pStyle w:val="TableParagraph"/>
                          <w:rPr>
                            <w:rFonts w:ascii="Calibri"/>
                            <w:sz w:val="2"/>
                          </w:rPr>
                        </w:pPr>
                      </w:p>
                      <w:p w14:paraId="6B9E96A6" w14:textId="77777777" w:rsidR="00F65BCA" w:rsidRDefault="00F65BCA">
                        <w:pPr>
                          <w:pStyle w:val="TableParagraph"/>
                          <w:rPr>
                            <w:rFonts w:ascii="Calibri"/>
                            <w:sz w:val="2"/>
                          </w:rPr>
                        </w:pPr>
                      </w:p>
                      <w:p w14:paraId="3E065105" w14:textId="77777777" w:rsidR="00F65BCA" w:rsidRDefault="00F65BCA">
                        <w:pPr>
                          <w:pStyle w:val="TableParagraph"/>
                          <w:rPr>
                            <w:rFonts w:ascii="Calibri"/>
                            <w:sz w:val="2"/>
                          </w:rPr>
                        </w:pPr>
                      </w:p>
                      <w:p w14:paraId="135F0A41" w14:textId="77777777" w:rsidR="00F65BCA" w:rsidRDefault="00F65BCA">
                        <w:pPr>
                          <w:pStyle w:val="TableParagraph"/>
                          <w:spacing w:before="4"/>
                          <w:rPr>
                            <w:rFonts w:ascii="Calibri"/>
                            <w:sz w:val="2"/>
                          </w:rPr>
                        </w:pPr>
                      </w:p>
                      <w:p w14:paraId="4019267F" w14:textId="77777777" w:rsidR="00F65BCA" w:rsidRDefault="00216117">
                        <w:pPr>
                          <w:pStyle w:val="TableParagraph"/>
                          <w:spacing w:before="1"/>
                          <w:ind w:left="24" w:right="24"/>
                          <w:jc w:val="center"/>
                          <w:rPr>
                            <w:sz w:val="3"/>
                          </w:rPr>
                        </w:pPr>
                        <w:r>
                          <w:rPr>
                            <w:w w:val="105"/>
                            <w:sz w:val="3"/>
                          </w:rPr>
                          <w:t>1,26429264%</w:t>
                        </w:r>
                      </w:p>
                    </w:tc>
                    <w:tc>
                      <w:tcPr>
                        <w:tcW w:w="288" w:type="dxa"/>
                        <w:tcBorders>
                          <w:top w:val="single" w:sz="2" w:space="0" w:color="000000"/>
                          <w:left w:val="single" w:sz="2" w:space="0" w:color="000000"/>
                          <w:bottom w:val="single" w:sz="2" w:space="0" w:color="000000"/>
                          <w:right w:val="single" w:sz="2" w:space="0" w:color="000000"/>
                        </w:tcBorders>
                      </w:tcPr>
                      <w:p w14:paraId="1FE6A989" w14:textId="77777777" w:rsidR="00F65BCA" w:rsidRDefault="00F65BCA">
                        <w:pPr>
                          <w:pStyle w:val="TableParagraph"/>
                          <w:rPr>
                            <w:rFonts w:ascii="Calibri"/>
                            <w:sz w:val="2"/>
                          </w:rPr>
                        </w:pPr>
                      </w:p>
                      <w:p w14:paraId="6F02A69D" w14:textId="77777777" w:rsidR="00F65BCA" w:rsidRDefault="00F65BCA">
                        <w:pPr>
                          <w:pStyle w:val="TableParagraph"/>
                          <w:rPr>
                            <w:rFonts w:ascii="Calibri"/>
                            <w:sz w:val="2"/>
                          </w:rPr>
                        </w:pPr>
                      </w:p>
                      <w:p w14:paraId="53BEB791" w14:textId="77777777" w:rsidR="00F65BCA" w:rsidRDefault="00F65BCA">
                        <w:pPr>
                          <w:pStyle w:val="TableParagraph"/>
                          <w:rPr>
                            <w:rFonts w:ascii="Calibri"/>
                            <w:sz w:val="2"/>
                          </w:rPr>
                        </w:pPr>
                      </w:p>
                      <w:p w14:paraId="56950A1E" w14:textId="77777777" w:rsidR="00F65BCA" w:rsidRDefault="00F65BCA">
                        <w:pPr>
                          <w:pStyle w:val="TableParagraph"/>
                          <w:spacing w:before="4"/>
                          <w:rPr>
                            <w:rFonts w:ascii="Calibri"/>
                            <w:sz w:val="2"/>
                          </w:rPr>
                        </w:pPr>
                      </w:p>
                      <w:p w14:paraId="2EB215F0" w14:textId="77777777" w:rsidR="00F65BCA" w:rsidRDefault="00216117">
                        <w:pPr>
                          <w:pStyle w:val="TableParagraph"/>
                          <w:spacing w:before="1"/>
                          <w:ind w:left="24" w:right="24"/>
                          <w:jc w:val="center"/>
                          <w:rPr>
                            <w:sz w:val="3"/>
                          </w:rPr>
                        </w:pPr>
                        <w:r>
                          <w:rPr>
                            <w:w w:val="105"/>
                            <w:sz w:val="3"/>
                          </w:rPr>
                          <w:t>1,40476960%</w:t>
                        </w:r>
                      </w:p>
                    </w:tc>
                  </w:tr>
                  <w:tr w:rsidR="00F65BCA" w14:paraId="644EC548"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078B1A95"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7E8782E5" w14:textId="77777777" w:rsidR="00F65BCA" w:rsidRDefault="00F65BCA">
                        <w:pPr>
                          <w:pStyle w:val="TableParagraph"/>
                          <w:rPr>
                            <w:rFonts w:ascii="Calibri"/>
                            <w:sz w:val="2"/>
                          </w:rPr>
                        </w:pPr>
                      </w:p>
                      <w:p w14:paraId="2FB57C72" w14:textId="77777777" w:rsidR="00F65BCA" w:rsidRDefault="00F65BCA">
                        <w:pPr>
                          <w:pStyle w:val="TableParagraph"/>
                          <w:rPr>
                            <w:rFonts w:ascii="Calibri"/>
                            <w:sz w:val="2"/>
                          </w:rPr>
                        </w:pPr>
                      </w:p>
                      <w:p w14:paraId="6073FD33" w14:textId="77777777" w:rsidR="00F65BCA" w:rsidRDefault="00F65BCA">
                        <w:pPr>
                          <w:pStyle w:val="TableParagraph"/>
                          <w:rPr>
                            <w:rFonts w:ascii="Calibri"/>
                            <w:sz w:val="2"/>
                          </w:rPr>
                        </w:pPr>
                      </w:p>
                      <w:p w14:paraId="5CC57AEC" w14:textId="77777777" w:rsidR="00F65BCA" w:rsidRDefault="00F65BCA">
                        <w:pPr>
                          <w:pStyle w:val="TableParagraph"/>
                          <w:rPr>
                            <w:rFonts w:ascii="Calibri"/>
                            <w:sz w:val="2"/>
                          </w:rPr>
                        </w:pPr>
                      </w:p>
                      <w:p w14:paraId="1F099112" w14:textId="77777777" w:rsidR="00F65BCA" w:rsidRDefault="00F65BCA">
                        <w:pPr>
                          <w:pStyle w:val="TableParagraph"/>
                          <w:rPr>
                            <w:rFonts w:ascii="Calibri"/>
                            <w:sz w:val="2"/>
                          </w:rPr>
                        </w:pPr>
                      </w:p>
                      <w:p w14:paraId="4D0F1124" w14:textId="77777777" w:rsidR="00F65BCA" w:rsidRDefault="00F65BCA">
                        <w:pPr>
                          <w:pStyle w:val="TableParagraph"/>
                          <w:rPr>
                            <w:rFonts w:ascii="Calibri"/>
                            <w:sz w:val="2"/>
                          </w:rPr>
                        </w:pPr>
                      </w:p>
                      <w:p w14:paraId="5611755B" w14:textId="77777777" w:rsidR="00F65BCA" w:rsidRDefault="00F65BCA">
                        <w:pPr>
                          <w:pStyle w:val="TableParagraph"/>
                          <w:rPr>
                            <w:rFonts w:ascii="Calibri"/>
                            <w:sz w:val="2"/>
                          </w:rPr>
                        </w:pPr>
                      </w:p>
                      <w:p w14:paraId="76D017BF" w14:textId="77777777" w:rsidR="00F65BCA" w:rsidRDefault="00F65BCA">
                        <w:pPr>
                          <w:pStyle w:val="TableParagraph"/>
                          <w:rPr>
                            <w:rFonts w:ascii="Calibri"/>
                            <w:sz w:val="2"/>
                          </w:rPr>
                        </w:pPr>
                      </w:p>
                      <w:p w14:paraId="282BE59C" w14:textId="77777777" w:rsidR="00F65BCA" w:rsidRDefault="00F65BCA">
                        <w:pPr>
                          <w:pStyle w:val="TableParagraph"/>
                          <w:spacing w:before="7"/>
                          <w:rPr>
                            <w:rFonts w:ascii="Calibri"/>
                            <w:sz w:val="2"/>
                          </w:rPr>
                        </w:pPr>
                      </w:p>
                      <w:p w14:paraId="371468D0" w14:textId="77777777" w:rsidR="00F65BCA" w:rsidRDefault="00216117">
                        <w:pPr>
                          <w:pStyle w:val="TableParagraph"/>
                          <w:ind w:left="18" w:right="18"/>
                          <w:jc w:val="center"/>
                          <w:rPr>
                            <w:sz w:val="3"/>
                          </w:rPr>
                        </w:pPr>
                        <w:r>
                          <w:rPr>
                            <w:w w:val="105"/>
                            <w:sz w:val="3"/>
                          </w:rPr>
                          <w:t>Peugeot</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2505D6EB" w14:textId="77777777" w:rsidR="00F65BCA" w:rsidRDefault="00F65BCA">
                        <w:pPr>
                          <w:pStyle w:val="TableParagraph"/>
                          <w:rPr>
                            <w:rFonts w:ascii="Calibri"/>
                            <w:sz w:val="2"/>
                          </w:rPr>
                        </w:pPr>
                      </w:p>
                      <w:p w14:paraId="6C12C9AA" w14:textId="77777777" w:rsidR="00F65BCA" w:rsidRDefault="00F65BCA">
                        <w:pPr>
                          <w:pStyle w:val="TableParagraph"/>
                          <w:rPr>
                            <w:rFonts w:ascii="Calibri"/>
                            <w:sz w:val="2"/>
                          </w:rPr>
                        </w:pPr>
                      </w:p>
                      <w:p w14:paraId="27CF65DC" w14:textId="77777777" w:rsidR="00F65BCA" w:rsidRDefault="00216117">
                        <w:pPr>
                          <w:pStyle w:val="TableParagraph"/>
                          <w:spacing w:line="283" w:lineRule="auto"/>
                          <w:ind w:left="4" w:right="-19"/>
                          <w:rPr>
                            <w:sz w:val="3"/>
                          </w:rPr>
                        </w:pPr>
                        <w:r>
                          <w:rPr>
                            <w:w w:val="105"/>
                            <w:sz w:val="3"/>
                          </w:rPr>
                          <w:t>106 VAN; 504 PICK UP; BOXER DO 3,5t; EXPERT; J5; PARTNER; RANCH</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A83805D" w14:textId="77777777" w:rsidR="00F65BCA" w:rsidRDefault="00F65BCA">
                        <w:pPr>
                          <w:pStyle w:val="TableParagraph"/>
                          <w:rPr>
                            <w:rFonts w:ascii="Calibri"/>
                            <w:sz w:val="2"/>
                          </w:rPr>
                        </w:pPr>
                      </w:p>
                      <w:p w14:paraId="01E048A7"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44FF27B" w14:textId="77777777" w:rsidR="00F65BCA" w:rsidRDefault="00F65BCA">
                        <w:pPr>
                          <w:pStyle w:val="TableParagraph"/>
                          <w:rPr>
                            <w:rFonts w:ascii="Calibri"/>
                            <w:sz w:val="2"/>
                          </w:rPr>
                        </w:pPr>
                      </w:p>
                      <w:p w14:paraId="5A161AEC"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1D13B018"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175752D3" w14:textId="77777777" w:rsidR="00F65BCA" w:rsidRDefault="00F65BCA">
                        <w:pPr>
                          <w:pStyle w:val="TableParagraph"/>
                          <w:rPr>
                            <w:rFonts w:ascii="Calibri"/>
                            <w:sz w:val="2"/>
                          </w:rPr>
                        </w:pPr>
                      </w:p>
                      <w:p w14:paraId="0C1134C8"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0B22A51E" w14:textId="77777777" w:rsidR="00F65BCA" w:rsidRDefault="00F65BCA">
                        <w:pPr>
                          <w:pStyle w:val="TableParagraph"/>
                          <w:rPr>
                            <w:rFonts w:ascii="Calibri"/>
                            <w:sz w:val="2"/>
                          </w:rPr>
                        </w:pPr>
                      </w:p>
                      <w:p w14:paraId="4B2515D0"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68C2A2F4" w14:textId="77777777" w:rsidR="00F65BCA" w:rsidRDefault="00F65BCA">
                        <w:pPr>
                          <w:pStyle w:val="TableParagraph"/>
                          <w:rPr>
                            <w:rFonts w:ascii="Calibri"/>
                            <w:sz w:val="2"/>
                          </w:rPr>
                        </w:pPr>
                      </w:p>
                      <w:p w14:paraId="0DF2550B"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24B537C7" w14:textId="77777777" w:rsidR="00F65BCA" w:rsidRDefault="00F65BCA">
                        <w:pPr>
                          <w:pStyle w:val="TableParagraph"/>
                          <w:rPr>
                            <w:rFonts w:ascii="Calibri"/>
                            <w:sz w:val="2"/>
                          </w:rPr>
                        </w:pPr>
                      </w:p>
                      <w:p w14:paraId="57298A49"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6FAAE6D0" w14:textId="77777777" w:rsidR="00F65BCA" w:rsidRDefault="00F65BCA">
                        <w:pPr>
                          <w:pStyle w:val="TableParagraph"/>
                          <w:rPr>
                            <w:rFonts w:ascii="Calibri"/>
                            <w:sz w:val="2"/>
                          </w:rPr>
                        </w:pPr>
                      </w:p>
                      <w:p w14:paraId="0A65A0AB"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77D17132" w14:textId="77777777" w:rsidR="00F65BCA" w:rsidRDefault="00F65BCA">
                        <w:pPr>
                          <w:pStyle w:val="TableParagraph"/>
                          <w:rPr>
                            <w:rFonts w:ascii="Calibri"/>
                            <w:sz w:val="2"/>
                          </w:rPr>
                        </w:pPr>
                      </w:p>
                      <w:p w14:paraId="38F08A65"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7EFA08A6" w14:textId="77777777" w:rsidR="00F65BCA" w:rsidRDefault="00F65BCA">
                        <w:pPr>
                          <w:pStyle w:val="TableParagraph"/>
                          <w:rPr>
                            <w:rFonts w:ascii="Calibri"/>
                            <w:sz w:val="2"/>
                          </w:rPr>
                        </w:pPr>
                      </w:p>
                      <w:p w14:paraId="592ABED7"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57E825BB" w14:textId="77777777" w:rsidR="00F65BCA" w:rsidRDefault="00F65BCA">
                        <w:pPr>
                          <w:pStyle w:val="TableParagraph"/>
                          <w:rPr>
                            <w:rFonts w:ascii="Calibri"/>
                            <w:sz w:val="2"/>
                          </w:rPr>
                        </w:pPr>
                      </w:p>
                      <w:p w14:paraId="7FFC58C9"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0EE71FC4" w14:textId="77777777" w:rsidR="00F65BCA" w:rsidRDefault="00F65BCA">
                        <w:pPr>
                          <w:pStyle w:val="TableParagraph"/>
                          <w:rPr>
                            <w:rFonts w:ascii="Calibri"/>
                            <w:sz w:val="2"/>
                          </w:rPr>
                        </w:pPr>
                      </w:p>
                      <w:p w14:paraId="53BA68B6"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314FE509" w14:textId="77777777" w:rsidR="00F65BCA" w:rsidRDefault="00F65BCA">
                        <w:pPr>
                          <w:pStyle w:val="TableParagraph"/>
                          <w:rPr>
                            <w:rFonts w:ascii="Calibri"/>
                            <w:sz w:val="2"/>
                          </w:rPr>
                        </w:pPr>
                      </w:p>
                      <w:p w14:paraId="611258B8"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17E26B81" w14:textId="77777777" w:rsidR="00F65BCA" w:rsidRDefault="00F65BCA">
                        <w:pPr>
                          <w:pStyle w:val="TableParagraph"/>
                          <w:rPr>
                            <w:rFonts w:ascii="Calibri"/>
                            <w:sz w:val="2"/>
                          </w:rPr>
                        </w:pPr>
                      </w:p>
                      <w:p w14:paraId="6442F37A"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77837153" w14:textId="77777777" w:rsidR="00F65BCA" w:rsidRDefault="00F65BCA">
                        <w:pPr>
                          <w:pStyle w:val="TableParagraph"/>
                          <w:rPr>
                            <w:rFonts w:ascii="Calibri"/>
                            <w:sz w:val="2"/>
                          </w:rPr>
                        </w:pPr>
                      </w:p>
                      <w:p w14:paraId="089F6D79"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67377938" w14:textId="77777777" w:rsidR="00F65BCA" w:rsidRDefault="00F65BCA">
                        <w:pPr>
                          <w:pStyle w:val="TableParagraph"/>
                          <w:rPr>
                            <w:rFonts w:ascii="Calibri"/>
                            <w:sz w:val="2"/>
                          </w:rPr>
                        </w:pPr>
                      </w:p>
                      <w:p w14:paraId="5632575F" w14:textId="77777777" w:rsidR="00F65BCA" w:rsidRDefault="00216117">
                        <w:pPr>
                          <w:pStyle w:val="TableParagraph"/>
                          <w:ind w:left="24" w:right="24"/>
                          <w:jc w:val="center"/>
                          <w:rPr>
                            <w:sz w:val="3"/>
                          </w:rPr>
                        </w:pPr>
                        <w:r>
                          <w:rPr>
                            <w:w w:val="105"/>
                            <w:sz w:val="3"/>
                          </w:rPr>
                          <w:t>0,95940000%</w:t>
                        </w:r>
                      </w:p>
                    </w:tc>
                  </w:tr>
                  <w:tr w:rsidR="00F65BCA" w14:paraId="18537BDE"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3CF338F8"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9DD4574"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18BE584C"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594E1753" w14:textId="77777777" w:rsidR="00F65BCA" w:rsidRDefault="00F65BCA">
                        <w:pPr>
                          <w:pStyle w:val="TableParagraph"/>
                          <w:rPr>
                            <w:rFonts w:ascii="Calibri"/>
                            <w:sz w:val="2"/>
                          </w:rPr>
                        </w:pPr>
                      </w:p>
                      <w:p w14:paraId="23E1C271"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6ED231F" w14:textId="77777777" w:rsidR="00F65BCA" w:rsidRDefault="00F65BCA">
                        <w:pPr>
                          <w:pStyle w:val="TableParagraph"/>
                          <w:rPr>
                            <w:rFonts w:ascii="Calibri"/>
                            <w:sz w:val="2"/>
                          </w:rPr>
                        </w:pPr>
                      </w:p>
                      <w:p w14:paraId="72692D55"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47FD0440"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5098D428" w14:textId="77777777" w:rsidR="00F65BCA" w:rsidRDefault="00F65BCA">
                        <w:pPr>
                          <w:pStyle w:val="TableParagraph"/>
                          <w:rPr>
                            <w:rFonts w:ascii="Calibri"/>
                            <w:sz w:val="2"/>
                          </w:rPr>
                        </w:pPr>
                      </w:p>
                      <w:p w14:paraId="120FD242"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0401EBA6" w14:textId="77777777" w:rsidR="00F65BCA" w:rsidRDefault="00F65BCA">
                        <w:pPr>
                          <w:pStyle w:val="TableParagraph"/>
                          <w:rPr>
                            <w:rFonts w:ascii="Calibri"/>
                            <w:sz w:val="2"/>
                          </w:rPr>
                        </w:pPr>
                      </w:p>
                      <w:p w14:paraId="58B9DF39"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6DB57614" w14:textId="77777777" w:rsidR="00F65BCA" w:rsidRDefault="00F65BCA">
                        <w:pPr>
                          <w:pStyle w:val="TableParagraph"/>
                          <w:rPr>
                            <w:rFonts w:ascii="Calibri"/>
                            <w:sz w:val="2"/>
                          </w:rPr>
                        </w:pPr>
                      </w:p>
                      <w:p w14:paraId="657FDE71"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75857495" w14:textId="77777777" w:rsidR="00F65BCA" w:rsidRDefault="00F65BCA">
                        <w:pPr>
                          <w:pStyle w:val="TableParagraph"/>
                          <w:rPr>
                            <w:rFonts w:ascii="Calibri"/>
                            <w:sz w:val="2"/>
                          </w:rPr>
                        </w:pPr>
                      </w:p>
                      <w:p w14:paraId="1BD668AC"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0B7A61BC" w14:textId="77777777" w:rsidR="00F65BCA" w:rsidRDefault="00F65BCA">
                        <w:pPr>
                          <w:pStyle w:val="TableParagraph"/>
                          <w:rPr>
                            <w:rFonts w:ascii="Calibri"/>
                            <w:sz w:val="2"/>
                          </w:rPr>
                        </w:pPr>
                      </w:p>
                      <w:p w14:paraId="71041534"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44AE56AA" w14:textId="77777777" w:rsidR="00F65BCA" w:rsidRDefault="00F65BCA">
                        <w:pPr>
                          <w:pStyle w:val="TableParagraph"/>
                          <w:rPr>
                            <w:rFonts w:ascii="Calibri"/>
                            <w:sz w:val="2"/>
                          </w:rPr>
                        </w:pPr>
                      </w:p>
                      <w:p w14:paraId="6F3F8B73"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73D5B6DB" w14:textId="77777777" w:rsidR="00F65BCA" w:rsidRDefault="00F65BCA">
                        <w:pPr>
                          <w:pStyle w:val="TableParagraph"/>
                          <w:rPr>
                            <w:rFonts w:ascii="Calibri"/>
                            <w:sz w:val="2"/>
                          </w:rPr>
                        </w:pPr>
                      </w:p>
                      <w:p w14:paraId="68D4E7F7"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4AD3EB09" w14:textId="77777777" w:rsidR="00F65BCA" w:rsidRDefault="00F65BCA">
                        <w:pPr>
                          <w:pStyle w:val="TableParagraph"/>
                          <w:rPr>
                            <w:rFonts w:ascii="Calibri"/>
                            <w:sz w:val="2"/>
                          </w:rPr>
                        </w:pPr>
                      </w:p>
                      <w:p w14:paraId="3EEC9F39"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16A51737" w14:textId="77777777" w:rsidR="00F65BCA" w:rsidRDefault="00F65BCA">
                        <w:pPr>
                          <w:pStyle w:val="TableParagraph"/>
                          <w:rPr>
                            <w:rFonts w:ascii="Calibri"/>
                            <w:sz w:val="2"/>
                          </w:rPr>
                        </w:pPr>
                      </w:p>
                      <w:p w14:paraId="567853B9"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6130C9A1" w14:textId="77777777" w:rsidR="00F65BCA" w:rsidRDefault="00F65BCA">
                        <w:pPr>
                          <w:pStyle w:val="TableParagraph"/>
                          <w:rPr>
                            <w:rFonts w:ascii="Calibri"/>
                            <w:sz w:val="2"/>
                          </w:rPr>
                        </w:pPr>
                      </w:p>
                      <w:p w14:paraId="27B41522"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429B858E" w14:textId="77777777" w:rsidR="00F65BCA" w:rsidRDefault="00F65BCA">
                        <w:pPr>
                          <w:pStyle w:val="TableParagraph"/>
                          <w:rPr>
                            <w:rFonts w:ascii="Calibri"/>
                            <w:sz w:val="2"/>
                          </w:rPr>
                        </w:pPr>
                      </w:p>
                      <w:p w14:paraId="635F6802"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5E26033F" w14:textId="77777777" w:rsidR="00F65BCA" w:rsidRDefault="00F65BCA">
                        <w:pPr>
                          <w:pStyle w:val="TableParagraph"/>
                          <w:rPr>
                            <w:rFonts w:ascii="Calibri"/>
                            <w:sz w:val="2"/>
                          </w:rPr>
                        </w:pPr>
                      </w:p>
                      <w:p w14:paraId="73575EA7"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79D7138B" w14:textId="77777777" w:rsidR="00F65BCA" w:rsidRDefault="00F65BCA">
                        <w:pPr>
                          <w:pStyle w:val="TableParagraph"/>
                          <w:rPr>
                            <w:rFonts w:ascii="Calibri"/>
                            <w:sz w:val="2"/>
                          </w:rPr>
                        </w:pPr>
                      </w:p>
                      <w:p w14:paraId="4B15A478" w14:textId="77777777" w:rsidR="00F65BCA" w:rsidRDefault="00216117">
                        <w:pPr>
                          <w:pStyle w:val="TableParagraph"/>
                          <w:ind w:left="24" w:right="24"/>
                          <w:jc w:val="center"/>
                          <w:rPr>
                            <w:sz w:val="3"/>
                          </w:rPr>
                        </w:pPr>
                        <w:r>
                          <w:rPr>
                            <w:w w:val="105"/>
                            <w:sz w:val="3"/>
                          </w:rPr>
                          <w:t>1,15895520%</w:t>
                        </w:r>
                      </w:p>
                    </w:tc>
                  </w:tr>
                  <w:tr w:rsidR="00F65BCA" w14:paraId="1353964C" w14:textId="77777777">
                    <w:trPr>
                      <w:trHeight w:val="155"/>
                    </w:trPr>
                    <w:tc>
                      <w:tcPr>
                        <w:tcW w:w="526" w:type="dxa"/>
                        <w:vMerge/>
                        <w:tcBorders>
                          <w:top w:val="nil"/>
                          <w:left w:val="single" w:sz="2" w:space="0" w:color="000000"/>
                          <w:bottom w:val="nil"/>
                          <w:right w:val="single" w:sz="2" w:space="0" w:color="000000"/>
                        </w:tcBorders>
                        <w:shd w:val="clear" w:color="auto" w:fill="FCE4D6"/>
                      </w:tcPr>
                      <w:p w14:paraId="55C3B92E"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0A40921"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3FFF14A6" w14:textId="77777777" w:rsidR="00F65BCA" w:rsidRDefault="00F65BCA">
                        <w:pPr>
                          <w:pStyle w:val="TableParagraph"/>
                          <w:rPr>
                            <w:rFonts w:ascii="Calibri"/>
                            <w:sz w:val="2"/>
                          </w:rPr>
                        </w:pPr>
                      </w:p>
                      <w:p w14:paraId="37C80018" w14:textId="77777777" w:rsidR="00F65BCA" w:rsidRDefault="00216117">
                        <w:pPr>
                          <w:pStyle w:val="TableParagraph"/>
                          <w:ind w:left="4"/>
                          <w:rPr>
                            <w:sz w:val="3"/>
                          </w:rPr>
                        </w:pPr>
                        <w:r>
                          <w:rPr>
                            <w:w w:val="105"/>
                            <w:sz w:val="3"/>
                          </w:rPr>
                          <w:t>108;</w:t>
                        </w:r>
                        <w:r>
                          <w:rPr>
                            <w:spacing w:val="-4"/>
                            <w:w w:val="105"/>
                            <w:sz w:val="3"/>
                          </w:rPr>
                          <w:t xml:space="preserve"> </w:t>
                        </w:r>
                        <w:r>
                          <w:rPr>
                            <w:w w:val="105"/>
                            <w:sz w:val="3"/>
                          </w:rPr>
                          <w:t>1007;</w:t>
                        </w:r>
                        <w:r>
                          <w:rPr>
                            <w:spacing w:val="-3"/>
                            <w:w w:val="105"/>
                            <w:sz w:val="3"/>
                          </w:rPr>
                          <w:t xml:space="preserve"> </w:t>
                        </w:r>
                        <w:r>
                          <w:rPr>
                            <w:w w:val="105"/>
                            <w:sz w:val="3"/>
                          </w:rPr>
                          <w:t>106;</w:t>
                        </w:r>
                        <w:r>
                          <w:rPr>
                            <w:spacing w:val="-3"/>
                            <w:w w:val="105"/>
                            <w:sz w:val="3"/>
                          </w:rPr>
                          <w:t xml:space="preserve"> </w:t>
                        </w:r>
                        <w:r>
                          <w:rPr>
                            <w:w w:val="105"/>
                            <w:sz w:val="3"/>
                          </w:rPr>
                          <w:t>107;</w:t>
                        </w:r>
                        <w:r>
                          <w:rPr>
                            <w:spacing w:val="-3"/>
                            <w:w w:val="105"/>
                            <w:sz w:val="3"/>
                          </w:rPr>
                          <w:t xml:space="preserve"> </w:t>
                        </w:r>
                        <w:r>
                          <w:rPr>
                            <w:w w:val="105"/>
                            <w:sz w:val="3"/>
                          </w:rPr>
                          <w:t>2008;</w:t>
                        </w:r>
                        <w:r>
                          <w:rPr>
                            <w:spacing w:val="-3"/>
                            <w:w w:val="105"/>
                            <w:sz w:val="3"/>
                          </w:rPr>
                          <w:t xml:space="preserve"> </w:t>
                        </w:r>
                        <w:r>
                          <w:rPr>
                            <w:w w:val="105"/>
                            <w:sz w:val="3"/>
                          </w:rPr>
                          <w:t>205;</w:t>
                        </w:r>
                        <w:r>
                          <w:rPr>
                            <w:spacing w:val="-3"/>
                            <w:w w:val="105"/>
                            <w:sz w:val="3"/>
                          </w:rPr>
                          <w:t xml:space="preserve"> </w:t>
                        </w:r>
                        <w:r>
                          <w:rPr>
                            <w:w w:val="105"/>
                            <w:sz w:val="3"/>
                          </w:rPr>
                          <w:t>205</w:t>
                        </w:r>
                        <w:r>
                          <w:rPr>
                            <w:spacing w:val="-4"/>
                            <w:w w:val="105"/>
                            <w:sz w:val="3"/>
                          </w:rPr>
                          <w:t xml:space="preserve"> </w:t>
                        </w:r>
                        <w:r>
                          <w:rPr>
                            <w:w w:val="105"/>
                            <w:sz w:val="3"/>
                          </w:rPr>
                          <w:t>CABRIOLET;</w:t>
                        </w:r>
                        <w:r>
                          <w:rPr>
                            <w:spacing w:val="-3"/>
                            <w:w w:val="105"/>
                            <w:sz w:val="3"/>
                          </w:rPr>
                          <w:t xml:space="preserve"> </w:t>
                        </w:r>
                        <w:r>
                          <w:rPr>
                            <w:w w:val="105"/>
                            <w:sz w:val="3"/>
                          </w:rPr>
                          <w:t>206;</w:t>
                        </w:r>
                        <w:r>
                          <w:rPr>
                            <w:spacing w:val="-3"/>
                            <w:w w:val="105"/>
                            <w:sz w:val="3"/>
                          </w:rPr>
                          <w:t xml:space="preserve"> </w:t>
                        </w:r>
                        <w:r>
                          <w:rPr>
                            <w:w w:val="105"/>
                            <w:sz w:val="3"/>
                          </w:rPr>
                          <w:t>206</w:t>
                        </w:r>
                        <w:r>
                          <w:rPr>
                            <w:spacing w:val="-4"/>
                            <w:w w:val="105"/>
                            <w:sz w:val="3"/>
                          </w:rPr>
                          <w:t xml:space="preserve"> </w:t>
                        </w:r>
                        <w:r>
                          <w:rPr>
                            <w:w w:val="105"/>
                            <w:sz w:val="3"/>
                          </w:rPr>
                          <w:t>CC;</w:t>
                        </w:r>
                        <w:r>
                          <w:rPr>
                            <w:spacing w:val="-3"/>
                            <w:w w:val="105"/>
                            <w:sz w:val="3"/>
                          </w:rPr>
                          <w:t xml:space="preserve"> </w:t>
                        </w:r>
                        <w:r>
                          <w:rPr>
                            <w:w w:val="105"/>
                            <w:sz w:val="3"/>
                          </w:rPr>
                          <w:t>206</w:t>
                        </w:r>
                      </w:p>
                      <w:p w14:paraId="0EB85FC1" w14:textId="77777777" w:rsidR="00F65BCA" w:rsidRDefault="00216117">
                        <w:pPr>
                          <w:pStyle w:val="TableParagraph"/>
                          <w:ind w:left="4"/>
                          <w:rPr>
                            <w:sz w:val="3"/>
                          </w:rPr>
                        </w:pPr>
                        <w:r>
                          <w:rPr>
                            <w:w w:val="105"/>
                            <w:sz w:val="3"/>
                          </w:rPr>
                          <w:t>SW;</w:t>
                        </w:r>
                        <w:r>
                          <w:rPr>
                            <w:spacing w:val="-2"/>
                            <w:w w:val="105"/>
                            <w:sz w:val="3"/>
                          </w:rPr>
                          <w:t xml:space="preserve"> </w:t>
                        </w:r>
                        <w:r>
                          <w:rPr>
                            <w:w w:val="105"/>
                            <w:sz w:val="3"/>
                          </w:rPr>
                          <w:t>207;</w:t>
                        </w:r>
                        <w:r>
                          <w:rPr>
                            <w:spacing w:val="-1"/>
                            <w:w w:val="105"/>
                            <w:sz w:val="3"/>
                          </w:rPr>
                          <w:t xml:space="preserve"> </w:t>
                        </w:r>
                        <w:r>
                          <w:rPr>
                            <w:w w:val="105"/>
                            <w:sz w:val="3"/>
                          </w:rPr>
                          <w:t>207</w:t>
                        </w:r>
                        <w:r>
                          <w:rPr>
                            <w:spacing w:val="-3"/>
                            <w:w w:val="105"/>
                            <w:sz w:val="3"/>
                          </w:rPr>
                          <w:t xml:space="preserve"> </w:t>
                        </w:r>
                        <w:r>
                          <w:rPr>
                            <w:w w:val="105"/>
                            <w:sz w:val="3"/>
                          </w:rPr>
                          <w:t>CC;</w:t>
                        </w:r>
                        <w:r>
                          <w:rPr>
                            <w:spacing w:val="-2"/>
                            <w:w w:val="105"/>
                            <w:sz w:val="3"/>
                          </w:rPr>
                          <w:t xml:space="preserve"> </w:t>
                        </w:r>
                        <w:r>
                          <w:rPr>
                            <w:w w:val="105"/>
                            <w:sz w:val="3"/>
                          </w:rPr>
                          <w:t>207</w:t>
                        </w:r>
                        <w:r>
                          <w:rPr>
                            <w:spacing w:val="-2"/>
                            <w:w w:val="105"/>
                            <w:sz w:val="3"/>
                          </w:rPr>
                          <w:t xml:space="preserve"> </w:t>
                        </w:r>
                        <w:r>
                          <w:rPr>
                            <w:w w:val="105"/>
                            <w:sz w:val="3"/>
                          </w:rPr>
                          <w:t>SW;</w:t>
                        </w:r>
                        <w:r>
                          <w:rPr>
                            <w:spacing w:val="-2"/>
                            <w:w w:val="105"/>
                            <w:sz w:val="3"/>
                          </w:rPr>
                          <w:t xml:space="preserve"> </w:t>
                        </w:r>
                        <w:r>
                          <w:rPr>
                            <w:w w:val="105"/>
                            <w:sz w:val="3"/>
                          </w:rPr>
                          <w:t>208;</w:t>
                        </w:r>
                        <w:r>
                          <w:rPr>
                            <w:spacing w:val="-1"/>
                            <w:w w:val="105"/>
                            <w:sz w:val="3"/>
                          </w:rPr>
                          <w:t xml:space="preserve"> </w:t>
                        </w:r>
                        <w:r>
                          <w:rPr>
                            <w:w w:val="105"/>
                            <w:sz w:val="3"/>
                          </w:rPr>
                          <w:t>3008;</w:t>
                        </w:r>
                        <w:r>
                          <w:rPr>
                            <w:spacing w:val="-2"/>
                            <w:w w:val="105"/>
                            <w:sz w:val="3"/>
                          </w:rPr>
                          <w:t xml:space="preserve"> </w:t>
                        </w:r>
                        <w:r>
                          <w:rPr>
                            <w:w w:val="105"/>
                            <w:sz w:val="3"/>
                          </w:rPr>
                          <w:t>301;</w:t>
                        </w:r>
                        <w:r>
                          <w:rPr>
                            <w:spacing w:val="-1"/>
                            <w:w w:val="105"/>
                            <w:sz w:val="3"/>
                          </w:rPr>
                          <w:t xml:space="preserve"> </w:t>
                        </w:r>
                        <w:r>
                          <w:rPr>
                            <w:w w:val="105"/>
                            <w:sz w:val="3"/>
                          </w:rPr>
                          <w:t>305;</w:t>
                        </w:r>
                        <w:r>
                          <w:rPr>
                            <w:spacing w:val="-2"/>
                            <w:w w:val="105"/>
                            <w:sz w:val="3"/>
                          </w:rPr>
                          <w:t xml:space="preserve"> </w:t>
                        </w:r>
                        <w:r>
                          <w:rPr>
                            <w:w w:val="105"/>
                            <w:sz w:val="3"/>
                          </w:rPr>
                          <w:t>305</w:t>
                        </w:r>
                        <w:r>
                          <w:rPr>
                            <w:spacing w:val="-2"/>
                            <w:w w:val="105"/>
                            <w:sz w:val="3"/>
                          </w:rPr>
                          <w:t xml:space="preserve"> </w:t>
                        </w:r>
                        <w:r>
                          <w:rPr>
                            <w:w w:val="105"/>
                            <w:sz w:val="3"/>
                          </w:rPr>
                          <w:t>BREAK;</w:t>
                        </w:r>
                        <w:r>
                          <w:rPr>
                            <w:spacing w:val="-2"/>
                            <w:w w:val="105"/>
                            <w:sz w:val="3"/>
                          </w:rPr>
                          <w:t xml:space="preserve"> </w:t>
                        </w:r>
                        <w:r>
                          <w:rPr>
                            <w:w w:val="105"/>
                            <w:sz w:val="3"/>
                          </w:rPr>
                          <w:t>306;</w:t>
                        </w:r>
                      </w:p>
                      <w:p w14:paraId="523E2A15" w14:textId="77777777" w:rsidR="00F65BCA" w:rsidRDefault="00216117">
                        <w:pPr>
                          <w:pStyle w:val="TableParagraph"/>
                          <w:spacing w:before="6"/>
                          <w:ind w:left="4"/>
                          <w:rPr>
                            <w:sz w:val="3"/>
                          </w:rPr>
                        </w:pPr>
                        <w:r>
                          <w:rPr>
                            <w:w w:val="105"/>
                            <w:sz w:val="3"/>
                          </w:rPr>
                          <w:t>306</w:t>
                        </w:r>
                        <w:r>
                          <w:rPr>
                            <w:spacing w:val="-4"/>
                            <w:w w:val="105"/>
                            <w:sz w:val="3"/>
                          </w:rPr>
                          <w:t xml:space="preserve"> </w:t>
                        </w:r>
                        <w:r>
                          <w:rPr>
                            <w:w w:val="105"/>
                            <w:sz w:val="3"/>
                          </w:rPr>
                          <w:t>BREAK;</w:t>
                        </w:r>
                        <w:r>
                          <w:rPr>
                            <w:spacing w:val="-2"/>
                            <w:w w:val="105"/>
                            <w:sz w:val="3"/>
                          </w:rPr>
                          <w:t xml:space="preserve"> </w:t>
                        </w:r>
                        <w:r>
                          <w:rPr>
                            <w:w w:val="105"/>
                            <w:sz w:val="3"/>
                          </w:rPr>
                          <w:t>306</w:t>
                        </w:r>
                        <w:r>
                          <w:rPr>
                            <w:spacing w:val="-3"/>
                            <w:w w:val="105"/>
                            <w:sz w:val="3"/>
                          </w:rPr>
                          <w:t xml:space="preserve"> </w:t>
                        </w:r>
                        <w:r>
                          <w:rPr>
                            <w:w w:val="105"/>
                            <w:sz w:val="3"/>
                          </w:rPr>
                          <w:t>CABRIOLET;</w:t>
                        </w:r>
                        <w:r>
                          <w:rPr>
                            <w:spacing w:val="-3"/>
                            <w:w w:val="105"/>
                            <w:sz w:val="3"/>
                          </w:rPr>
                          <w:t xml:space="preserve"> </w:t>
                        </w:r>
                        <w:r>
                          <w:rPr>
                            <w:w w:val="105"/>
                            <w:sz w:val="3"/>
                          </w:rPr>
                          <w:t>307;</w:t>
                        </w:r>
                        <w:r>
                          <w:rPr>
                            <w:spacing w:val="-2"/>
                            <w:w w:val="105"/>
                            <w:sz w:val="3"/>
                          </w:rPr>
                          <w:t xml:space="preserve"> </w:t>
                        </w:r>
                        <w:r>
                          <w:rPr>
                            <w:w w:val="105"/>
                            <w:sz w:val="3"/>
                          </w:rPr>
                          <w:t>307</w:t>
                        </w:r>
                        <w:r>
                          <w:rPr>
                            <w:spacing w:val="-3"/>
                            <w:w w:val="105"/>
                            <w:sz w:val="3"/>
                          </w:rPr>
                          <w:t xml:space="preserve"> </w:t>
                        </w:r>
                        <w:r>
                          <w:rPr>
                            <w:w w:val="105"/>
                            <w:sz w:val="3"/>
                          </w:rPr>
                          <w:t>BREAK;</w:t>
                        </w:r>
                        <w:r>
                          <w:rPr>
                            <w:spacing w:val="-2"/>
                            <w:w w:val="105"/>
                            <w:sz w:val="3"/>
                          </w:rPr>
                          <w:t xml:space="preserve"> </w:t>
                        </w:r>
                        <w:r>
                          <w:rPr>
                            <w:w w:val="105"/>
                            <w:sz w:val="3"/>
                          </w:rPr>
                          <w:t>307</w:t>
                        </w:r>
                        <w:r>
                          <w:rPr>
                            <w:spacing w:val="-4"/>
                            <w:w w:val="105"/>
                            <w:sz w:val="3"/>
                          </w:rPr>
                          <w:t xml:space="preserve"> </w:t>
                        </w:r>
                        <w:r>
                          <w:rPr>
                            <w:w w:val="105"/>
                            <w:sz w:val="3"/>
                          </w:rPr>
                          <w:t>CC;</w:t>
                        </w:r>
                        <w:r>
                          <w:rPr>
                            <w:spacing w:val="-2"/>
                            <w:w w:val="105"/>
                            <w:sz w:val="3"/>
                          </w:rPr>
                          <w:t xml:space="preserve"> </w:t>
                        </w:r>
                        <w:r>
                          <w:rPr>
                            <w:w w:val="105"/>
                            <w:sz w:val="3"/>
                          </w:rPr>
                          <w:t>307</w:t>
                        </w:r>
                        <w:r>
                          <w:rPr>
                            <w:spacing w:val="-3"/>
                            <w:w w:val="105"/>
                            <w:sz w:val="3"/>
                          </w:rPr>
                          <w:t xml:space="preserve"> </w:t>
                        </w:r>
                        <w:r>
                          <w:rPr>
                            <w:w w:val="105"/>
                            <w:sz w:val="3"/>
                          </w:rPr>
                          <w:t>SW;</w:t>
                        </w:r>
                      </w:p>
                      <w:p w14:paraId="35E13F98" w14:textId="77777777" w:rsidR="00F65BCA" w:rsidRDefault="00216117">
                        <w:pPr>
                          <w:pStyle w:val="TableParagraph"/>
                          <w:spacing w:before="7"/>
                          <w:ind w:left="4"/>
                          <w:rPr>
                            <w:sz w:val="3"/>
                          </w:rPr>
                        </w:pPr>
                        <w:r>
                          <w:rPr>
                            <w:w w:val="105"/>
                            <w:sz w:val="3"/>
                          </w:rPr>
                          <w:t>308;</w:t>
                        </w:r>
                        <w:r>
                          <w:rPr>
                            <w:spacing w:val="-2"/>
                            <w:w w:val="105"/>
                            <w:sz w:val="3"/>
                          </w:rPr>
                          <w:t xml:space="preserve"> </w:t>
                        </w:r>
                        <w:r>
                          <w:rPr>
                            <w:w w:val="105"/>
                            <w:sz w:val="3"/>
                          </w:rPr>
                          <w:t>308</w:t>
                        </w:r>
                        <w:r>
                          <w:rPr>
                            <w:spacing w:val="-3"/>
                            <w:w w:val="105"/>
                            <w:sz w:val="3"/>
                          </w:rPr>
                          <w:t xml:space="preserve"> </w:t>
                        </w:r>
                        <w:r>
                          <w:rPr>
                            <w:w w:val="105"/>
                            <w:sz w:val="3"/>
                          </w:rPr>
                          <w:t>CC;</w:t>
                        </w:r>
                        <w:r>
                          <w:rPr>
                            <w:spacing w:val="-2"/>
                            <w:w w:val="105"/>
                            <w:sz w:val="3"/>
                          </w:rPr>
                          <w:t xml:space="preserve"> </w:t>
                        </w:r>
                        <w:r>
                          <w:rPr>
                            <w:w w:val="105"/>
                            <w:sz w:val="3"/>
                          </w:rPr>
                          <w:t>308</w:t>
                        </w:r>
                        <w:r>
                          <w:rPr>
                            <w:spacing w:val="-3"/>
                            <w:w w:val="105"/>
                            <w:sz w:val="3"/>
                          </w:rPr>
                          <w:t xml:space="preserve"> </w:t>
                        </w:r>
                        <w:r>
                          <w:rPr>
                            <w:w w:val="105"/>
                            <w:sz w:val="3"/>
                          </w:rPr>
                          <w:t>SW;</w:t>
                        </w:r>
                        <w:r>
                          <w:rPr>
                            <w:spacing w:val="-2"/>
                            <w:w w:val="105"/>
                            <w:sz w:val="3"/>
                          </w:rPr>
                          <w:t xml:space="preserve"> </w:t>
                        </w:r>
                        <w:r>
                          <w:rPr>
                            <w:w w:val="105"/>
                            <w:sz w:val="3"/>
                          </w:rPr>
                          <w:t>309;</w:t>
                        </w:r>
                        <w:r>
                          <w:rPr>
                            <w:spacing w:val="-2"/>
                            <w:w w:val="105"/>
                            <w:sz w:val="3"/>
                          </w:rPr>
                          <w:t xml:space="preserve"> </w:t>
                        </w:r>
                        <w:r>
                          <w:rPr>
                            <w:w w:val="105"/>
                            <w:sz w:val="3"/>
                          </w:rPr>
                          <w:t>4007;</w:t>
                        </w:r>
                        <w:r>
                          <w:rPr>
                            <w:spacing w:val="-2"/>
                            <w:w w:val="105"/>
                            <w:sz w:val="3"/>
                          </w:rPr>
                          <w:t xml:space="preserve"> </w:t>
                        </w:r>
                        <w:r>
                          <w:rPr>
                            <w:w w:val="105"/>
                            <w:sz w:val="3"/>
                          </w:rPr>
                          <w:t>4008;</w:t>
                        </w:r>
                        <w:r>
                          <w:rPr>
                            <w:spacing w:val="-2"/>
                            <w:w w:val="105"/>
                            <w:sz w:val="3"/>
                          </w:rPr>
                          <w:t xml:space="preserve"> </w:t>
                        </w:r>
                        <w:r>
                          <w:rPr>
                            <w:w w:val="105"/>
                            <w:sz w:val="3"/>
                          </w:rPr>
                          <w:t>405;</w:t>
                        </w:r>
                        <w:r>
                          <w:rPr>
                            <w:spacing w:val="-1"/>
                            <w:w w:val="105"/>
                            <w:sz w:val="3"/>
                          </w:rPr>
                          <w:t xml:space="preserve"> </w:t>
                        </w:r>
                        <w:r>
                          <w:rPr>
                            <w:w w:val="105"/>
                            <w:sz w:val="3"/>
                          </w:rPr>
                          <w:t>405</w:t>
                        </w:r>
                        <w:r>
                          <w:rPr>
                            <w:spacing w:val="-3"/>
                            <w:w w:val="105"/>
                            <w:sz w:val="3"/>
                          </w:rPr>
                          <w:t xml:space="preserve"> </w:t>
                        </w:r>
                        <w:r>
                          <w:rPr>
                            <w:w w:val="105"/>
                            <w:sz w:val="3"/>
                          </w:rPr>
                          <w:t>BREAK;</w:t>
                        </w:r>
                        <w:r>
                          <w:rPr>
                            <w:spacing w:val="-2"/>
                            <w:w w:val="105"/>
                            <w:sz w:val="3"/>
                          </w:rPr>
                          <w:t xml:space="preserve"> </w:t>
                        </w:r>
                        <w:r>
                          <w:rPr>
                            <w:w w:val="105"/>
                            <w:sz w:val="3"/>
                          </w:rPr>
                          <w:t>406;</w:t>
                        </w:r>
                        <w:r>
                          <w:rPr>
                            <w:spacing w:val="-2"/>
                            <w:w w:val="105"/>
                            <w:sz w:val="3"/>
                          </w:rPr>
                          <w:t xml:space="preserve"> </w:t>
                        </w:r>
                        <w:r>
                          <w:rPr>
                            <w:w w:val="105"/>
                            <w:sz w:val="3"/>
                          </w:rPr>
                          <w:t>406</w:t>
                        </w:r>
                      </w:p>
                      <w:p w14:paraId="1D518D80" w14:textId="77777777" w:rsidR="00F65BCA" w:rsidRDefault="00216117">
                        <w:pPr>
                          <w:pStyle w:val="TableParagraph"/>
                          <w:spacing w:before="6"/>
                          <w:ind w:left="4"/>
                          <w:rPr>
                            <w:sz w:val="3"/>
                          </w:rPr>
                        </w:pPr>
                        <w:r>
                          <w:rPr>
                            <w:w w:val="105"/>
                            <w:sz w:val="3"/>
                          </w:rPr>
                          <w:t>BREAK;</w:t>
                        </w:r>
                        <w:r>
                          <w:rPr>
                            <w:spacing w:val="-2"/>
                            <w:w w:val="105"/>
                            <w:sz w:val="3"/>
                          </w:rPr>
                          <w:t xml:space="preserve"> </w:t>
                        </w:r>
                        <w:r>
                          <w:rPr>
                            <w:w w:val="105"/>
                            <w:sz w:val="3"/>
                          </w:rPr>
                          <w:t>406</w:t>
                        </w:r>
                        <w:r>
                          <w:rPr>
                            <w:spacing w:val="-4"/>
                            <w:w w:val="105"/>
                            <w:sz w:val="3"/>
                          </w:rPr>
                          <w:t xml:space="preserve"> </w:t>
                        </w:r>
                        <w:r>
                          <w:rPr>
                            <w:w w:val="105"/>
                            <w:sz w:val="3"/>
                          </w:rPr>
                          <w:t>COUPÉ;</w:t>
                        </w:r>
                        <w:r>
                          <w:rPr>
                            <w:spacing w:val="-1"/>
                            <w:w w:val="105"/>
                            <w:sz w:val="3"/>
                          </w:rPr>
                          <w:t xml:space="preserve"> </w:t>
                        </w:r>
                        <w:r>
                          <w:rPr>
                            <w:w w:val="105"/>
                            <w:sz w:val="3"/>
                          </w:rPr>
                          <w:t>407;</w:t>
                        </w:r>
                        <w:r>
                          <w:rPr>
                            <w:spacing w:val="-2"/>
                            <w:w w:val="105"/>
                            <w:sz w:val="3"/>
                          </w:rPr>
                          <w:t xml:space="preserve"> </w:t>
                        </w:r>
                        <w:r>
                          <w:rPr>
                            <w:w w:val="105"/>
                            <w:sz w:val="3"/>
                          </w:rPr>
                          <w:t>407</w:t>
                        </w:r>
                        <w:r>
                          <w:rPr>
                            <w:spacing w:val="-3"/>
                            <w:w w:val="105"/>
                            <w:sz w:val="3"/>
                          </w:rPr>
                          <w:t xml:space="preserve"> </w:t>
                        </w:r>
                        <w:r>
                          <w:rPr>
                            <w:w w:val="105"/>
                            <w:sz w:val="3"/>
                          </w:rPr>
                          <w:t>COUPÉ;</w:t>
                        </w:r>
                        <w:r>
                          <w:rPr>
                            <w:spacing w:val="-2"/>
                            <w:w w:val="105"/>
                            <w:sz w:val="3"/>
                          </w:rPr>
                          <w:t xml:space="preserve"> </w:t>
                        </w:r>
                        <w:r>
                          <w:rPr>
                            <w:w w:val="105"/>
                            <w:sz w:val="3"/>
                          </w:rPr>
                          <w:t>407</w:t>
                        </w:r>
                        <w:r>
                          <w:rPr>
                            <w:spacing w:val="-3"/>
                            <w:w w:val="105"/>
                            <w:sz w:val="3"/>
                          </w:rPr>
                          <w:t xml:space="preserve"> </w:t>
                        </w:r>
                        <w:r>
                          <w:rPr>
                            <w:w w:val="105"/>
                            <w:sz w:val="3"/>
                          </w:rPr>
                          <w:t>SW;</w:t>
                        </w:r>
                        <w:r>
                          <w:rPr>
                            <w:spacing w:val="-2"/>
                            <w:w w:val="105"/>
                            <w:sz w:val="3"/>
                          </w:rPr>
                          <w:t xml:space="preserve"> </w:t>
                        </w:r>
                        <w:r>
                          <w:rPr>
                            <w:w w:val="105"/>
                            <w:sz w:val="3"/>
                          </w:rPr>
                          <w:t>5008;</w:t>
                        </w:r>
                        <w:r>
                          <w:rPr>
                            <w:spacing w:val="-2"/>
                            <w:w w:val="105"/>
                            <w:sz w:val="3"/>
                          </w:rPr>
                          <w:t xml:space="preserve"> </w:t>
                        </w:r>
                        <w:r>
                          <w:rPr>
                            <w:w w:val="105"/>
                            <w:sz w:val="3"/>
                          </w:rPr>
                          <w:t>505;</w:t>
                        </w:r>
                        <w:r>
                          <w:rPr>
                            <w:spacing w:val="-2"/>
                            <w:w w:val="105"/>
                            <w:sz w:val="3"/>
                          </w:rPr>
                          <w:t xml:space="preserve"> </w:t>
                        </w:r>
                        <w:r>
                          <w:rPr>
                            <w:w w:val="105"/>
                            <w:sz w:val="3"/>
                          </w:rPr>
                          <w:t>505</w:t>
                        </w:r>
                      </w:p>
                      <w:p w14:paraId="5CAE34D3" w14:textId="77777777" w:rsidR="00F65BCA" w:rsidRDefault="00216117">
                        <w:pPr>
                          <w:pStyle w:val="TableParagraph"/>
                          <w:spacing w:before="1" w:line="40" w:lineRule="atLeast"/>
                          <w:ind w:left="4" w:right="41"/>
                          <w:rPr>
                            <w:sz w:val="3"/>
                          </w:rPr>
                        </w:pPr>
                        <w:r>
                          <w:rPr>
                            <w:w w:val="105"/>
                            <w:sz w:val="3"/>
                          </w:rPr>
                          <w:t>BREAK; 508; 508 SW; 605; 607; 806; 807; BIPPER; ION; JINÉ; RCZ; RIFTER; TRAVELLER</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22D6DE0" w14:textId="77777777" w:rsidR="00F65BCA" w:rsidRDefault="00F65BCA">
                        <w:pPr>
                          <w:pStyle w:val="TableParagraph"/>
                          <w:rPr>
                            <w:rFonts w:ascii="Calibri"/>
                            <w:sz w:val="2"/>
                          </w:rPr>
                        </w:pPr>
                      </w:p>
                      <w:p w14:paraId="43DD0171" w14:textId="77777777" w:rsidR="00F65BCA" w:rsidRDefault="00F65BCA">
                        <w:pPr>
                          <w:pStyle w:val="TableParagraph"/>
                          <w:rPr>
                            <w:rFonts w:ascii="Calibri"/>
                            <w:sz w:val="2"/>
                          </w:rPr>
                        </w:pPr>
                      </w:p>
                      <w:p w14:paraId="108D2871" w14:textId="77777777" w:rsidR="00F65BCA" w:rsidRDefault="00216117">
                        <w:pPr>
                          <w:pStyle w:val="TableParagraph"/>
                          <w:spacing w:before="13"/>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255291B" w14:textId="77777777" w:rsidR="00F65BCA" w:rsidRDefault="00F65BCA">
                        <w:pPr>
                          <w:pStyle w:val="TableParagraph"/>
                          <w:rPr>
                            <w:rFonts w:ascii="Calibri"/>
                            <w:sz w:val="2"/>
                          </w:rPr>
                        </w:pPr>
                      </w:p>
                      <w:p w14:paraId="6816B12B" w14:textId="77777777" w:rsidR="00F65BCA" w:rsidRDefault="00F65BCA">
                        <w:pPr>
                          <w:pStyle w:val="TableParagraph"/>
                          <w:rPr>
                            <w:rFonts w:ascii="Calibri"/>
                            <w:sz w:val="2"/>
                          </w:rPr>
                        </w:pPr>
                      </w:p>
                      <w:p w14:paraId="4997BFF2" w14:textId="77777777" w:rsidR="00F65BCA" w:rsidRDefault="00216117">
                        <w:pPr>
                          <w:pStyle w:val="TableParagraph"/>
                          <w:spacing w:before="13"/>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5DAB9462"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1A685BE8" w14:textId="77777777" w:rsidR="00F65BCA" w:rsidRDefault="00F65BCA">
                        <w:pPr>
                          <w:pStyle w:val="TableParagraph"/>
                          <w:rPr>
                            <w:rFonts w:ascii="Calibri"/>
                            <w:sz w:val="2"/>
                          </w:rPr>
                        </w:pPr>
                      </w:p>
                      <w:p w14:paraId="309A80C4" w14:textId="77777777" w:rsidR="00F65BCA" w:rsidRDefault="00F65BCA">
                        <w:pPr>
                          <w:pStyle w:val="TableParagraph"/>
                          <w:rPr>
                            <w:rFonts w:ascii="Calibri"/>
                            <w:sz w:val="2"/>
                          </w:rPr>
                        </w:pPr>
                      </w:p>
                      <w:p w14:paraId="324A9C7F" w14:textId="77777777" w:rsidR="00F65BCA" w:rsidRDefault="00216117">
                        <w:pPr>
                          <w:pStyle w:val="TableParagraph"/>
                          <w:spacing w:before="13"/>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73627DF0" w14:textId="77777777" w:rsidR="00F65BCA" w:rsidRDefault="00F65BCA">
                        <w:pPr>
                          <w:pStyle w:val="TableParagraph"/>
                          <w:rPr>
                            <w:rFonts w:ascii="Calibri"/>
                            <w:sz w:val="2"/>
                          </w:rPr>
                        </w:pPr>
                      </w:p>
                      <w:p w14:paraId="24865D2B" w14:textId="77777777" w:rsidR="00F65BCA" w:rsidRDefault="00F65BCA">
                        <w:pPr>
                          <w:pStyle w:val="TableParagraph"/>
                          <w:rPr>
                            <w:rFonts w:ascii="Calibri"/>
                            <w:sz w:val="2"/>
                          </w:rPr>
                        </w:pPr>
                      </w:p>
                      <w:p w14:paraId="51B1138F" w14:textId="77777777" w:rsidR="00F65BCA" w:rsidRDefault="00216117">
                        <w:pPr>
                          <w:pStyle w:val="TableParagraph"/>
                          <w:spacing w:before="13"/>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11484618" w14:textId="77777777" w:rsidR="00F65BCA" w:rsidRDefault="00F65BCA">
                        <w:pPr>
                          <w:pStyle w:val="TableParagraph"/>
                          <w:rPr>
                            <w:rFonts w:ascii="Calibri"/>
                            <w:sz w:val="2"/>
                          </w:rPr>
                        </w:pPr>
                      </w:p>
                      <w:p w14:paraId="1CB5C4D6" w14:textId="77777777" w:rsidR="00F65BCA" w:rsidRDefault="00F65BCA">
                        <w:pPr>
                          <w:pStyle w:val="TableParagraph"/>
                          <w:rPr>
                            <w:rFonts w:ascii="Calibri"/>
                            <w:sz w:val="2"/>
                          </w:rPr>
                        </w:pPr>
                      </w:p>
                      <w:p w14:paraId="044D0F7A" w14:textId="77777777" w:rsidR="00F65BCA" w:rsidRDefault="00216117">
                        <w:pPr>
                          <w:pStyle w:val="TableParagraph"/>
                          <w:spacing w:before="13"/>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1B57649C" w14:textId="77777777" w:rsidR="00F65BCA" w:rsidRDefault="00F65BCA">
                        <w:pPr>
                          <w:pStyle w:val="TableParagraph"/>
                          <w:rPr>
                            <w:rFonts w:ascii="Calibri"/>
                            <w:sz w:val="2"/>
                          </w:rPr>
                        </w:pPr>
                      </w:p>
                      <w:p w14:paraId="02BB6B60" w14:textId="77777777" w:rsidR="00F65BCA" w:rsidRDefault="00F65BCA">
                        <w:pPr>
                          <w:pStyle w:val="TableParagraph"/>
                          <w:rPr>
                            <w:rFonts w:ascii="Calibri"/>
                            <w:sz w:val="2"/>
                          </w:rPr>
                        </w:pPr>
                      </w:p>
                      <w:p w14:paraId="6B12E5EA" w14:textId="77777777" w:rsidR="00F65BCA" w:rsidRDefault="00216117">
                        <w:pPr>
                          <w:pStyle w:val="TableParagraph"/>
                          <w:spacing w:before="13"/>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4F0B2A03" w14:textId="77777777" w:rsidR="00F65BCA" w:rsidRDefault="00F65BCA">
                        <w:pPr>
                          <w:pStyle w:val="TableParagraph"/>
                          <w:rPr>
                            <w:rFonts w:ascii="Calibri"/>
                            <w:sz w:val="2"/>
                          </w:rPr>
                        </w:pPr>
                      </w:p>
                      <w:p w14:paraId="7A578423" w14:textId="77777777" w:rsidR="00F65BCA" w:rsidRDefault="00F65BCA">
                        <w:pPr>
                          <w:pStyle w:val="TableParagraph"/>
                          <w:rPr>
                            <w:rFonts w:ascii="Calibri"/>
                            <w:sz w:val="2"/>
                          </w:rPr>
                        </w:pPr>
                      </w:p>
                      <w:p w14:paraId="0A7524C2" w14:textId="77777777" w:rsidR="00F65BCA" w:rsidRDefault="00216117">
                        <w:pPr>
                          <w:pStyle w:val="TableParagraph"/>
                          <w:spacing w:before="13"/>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4B0FEBA3" w14:textId="77777777" w:rsidR="00F65BCA" w:rsidRDefault="00F65BCA">
                        <w:pPr>
                          <w:pStyle w:val="TableParagraph"/>
                          <w:rPr>
                            <w:rFonts w:ascii="Calibri"/>
                            <w:sz w:val="2"/>
                          </w:rPr>
                        </w:pPr>
                      </w:p>
                      <w:p w14:paraId="3CCF98CB" w14:textId="77777777" w:rsidR="00F65BCA" w:rsidRDefault="00F65BCA">
                        <w:pPr>
                          <w:pStyle w:val="TableParagraph"/>
                          <w:rPr>
                            <w:rFonts w:ascii="Calibri"/>
                            <w:sz w:val="2"/>
                          </w:rPr>
                        </w:pPr>
                      </w:p>
                      <w:p w14:paraId="03256FA7" w14:textId="77777777" w:rsidR="00F65BCA" w:rsidRDefault="00216117">
                        <w:pPr>
                          <w:pStyle w:val="TableParagraph"/>
                          <w:spacing w:before="13"/>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4E390D38" w14:textId="77777777" w:rsidR="00F65BCA" w:rsidRDefault="00F65BCA">
                        <w:pPr>
                          <w:pStyle w:val="TableParagraph"/>
                          <w:rPr>
                            <w:rFonts w:ascii="Calibri"/>
                            <w:sz w:val="2"/>
                          </w:rPr>
                        </w:pPr>
                      </w:p>
                      <w:p w14:paraId="7DBCF5FC" w14:textId="77777777" w:rsidR="00F65BCA" w:rsidRDefault="00F65BCA">
                        <w:pPr>
                          <w:pStyle w:val="TableParagraph"/>
                          <w:rPr>
                            <w:rFonts w:ascii="Calibri"/>
                            <w:sz w:val="2"/>
                          </w:rPr>
                        </w:pPr>
                      </w:p>
                      <w:p w14:paraId="5535B0D1" w14:textId="77777777" w:rsidR="00F65BCA" w:rsidRDefault="00216117">
                        <w:pPr>
                          <w:pStyle w:val="TableParagraph"/>
                          <w:spacing w:before="13"/>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07CD2DE7" w14:textId="77777777" w:rsidR="00F65BCA" w:rsidRDefault="00F65BCA">
                        <w:pPr>
                          <w:pStyle w:val="TableParagraph"/>
                          <w:rPr>
                            <w:rFonts w:ascii="Calibri"/>
                            <w:sz w:val="2"/>
                          </w:rPr>
                        </w:pPr>
                      </w:p>
                      <w:p w14:paraId="6566A093" w14:textId="77777777" w:rsidR="00F65BCA" w:rsidRDefault="00F65BCA">
                        <w:pPr>
                          <w:pStyle w:val="TableParagraph"/>
                          <w:rPr>
                            <w:rFonts w:ascii="Calibri"/>
                            <w:sz w:val="2"/>
                          </w:rPr>
                        </w:pPr>
                      </w:p>
                      <w:p w14:paraId="2D2B274E" w14:textId="77777777" w:rsidR="00F65BCA" w:rsidRDefault="00216117">
                        <w:pPr>
                          <w:pStyle w:val="TableParagraph"/>
                          <w:spacing w:before="13"/>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6B8FB77F" w14:textId="77777777" w:rsidR="00F65BCA" w:rsidRDefault="00F65BCA">
                        <w:pPr>
                          <w:pStyle w:val="TableParagraph"/>
                          <w:rPr>
                            <w:rFonts w:ascii="Calibri"/>
                            <w:sz w:val="2"/>
                          </w:rPr>
                        </w:pPr>
                      </w:p>
                      <w:p w14:paraId="037F6D04" w14:textId="77777777" w:rsidR="00F65BCA" w:rsidRDefault="00F65BCA">
                        <w:pPr>
                          <w:pStyle w:val="TableParagraph"/>
                          <w:rPr>
                            <w:rFonts w:ascii="Calibri"/>
                            <w:sz w:val="2"/>
                          </w:rPr>
                        </w:pPr>
                      </w:p>
                      <w:p w14:paraId="4A85D8E4" w14:textId="77777777" w:rsidR="00F65BCA" w:rsidRDefault="00216117">
                        <w:pPr>
                          <w:pStyle w:val="TableParagraph"/>
                          <w:spacing w:before="13"/>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0BDE83A4" w14:textId="77777777" w:rsidR="00F65BCA" w:rsidRDefault="00F65BCA">
                        <w:pPr>
                          <w:pStyle w:val="TableParagraph"/>
                          <w:rPr>
                            <w:rFonts w:ascii="Calibri"/>
                            <w:sz w:val="2"/>
                          </w:rPr>
                        </w:pPr>
                      </w:p>
                      <w:p w14:paraId="726CD1C3" w14:textId="77777777" w:rsidR="00F65BCA" w:rsidRDefault="00F65BCA">
                        <w:pPr>
                          <w:pStyle w:val="TableParagraph"/>
                          <w:rPr>
                            <w:rFonts w:ascii="Calibri"/>
                            <w:sz w:val="2"/>
                          </w:rPr>
                        </w:pPr>
                      </w:p>
                      <w:p w14:paraId="53B825F7" w14:textId="77777777" w:rsidR="00F65BCA" w:rsidRDefault="00216117">
                        <w:pPr>
                          <w:pStyle w:val="TableParagraph"/>
                          <w:spacing w:before="13"/>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5A9565F2" w14:textId="77777777" w:rsidR="00F65BCA" w:rsidRDefault="00F65BCA">
                        <w:pPr>
                          <w:pStyle w:val="TableParagraph"/>
                          <w:rPr>
                            <w:rFonts w:ascii="Calibri"/>
                            <w:sz w:val="2"/>
                          </w:rPr>
                        </w:pPr>
                      </w:p>
                      <w:p w14:paraId="3074E05D" w14:textId="77777777" w:rsidR="00F65BCA" w:rsidRDefault="00F65BCA">
                        <w:pPr>
                          <w:pStyle w:val="TableParagraph"/>
                          <w:rPr>
                            <w:rFonts w:ascii="Calibri"/>
                            <w:sz w:val="2"/>
                          </w:rPr>
                        </w:pPr>
                      </w:p>
                      <w:p w14:paraId="0ED01566" w14:textId="77777777" w:rsidR="00F65BCA" w:rsidRDefault="00216117">
                        <w:pPr>
                          <w:pStyle w:val="TableParagraph"/>
                          <w:spacing w:before="13"/>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5FD193B7" w14:textId="77777777" w:rsidR="00F65BCA" w:rsidRDefault="00F65BCA">
                        <w:pPr>
                          <w:pStyle w:val="TableParagraph"/>
                          <w:rPr>
                            <w:rFonts w:ascii="Calibri"/>
                            <w:sz w:val="2"/>
                          </w:rPr>
                        </w:pPr>
                      </w:p>
                      <w:p w14:paraId="061CAD06" w14:textId="77777777" w:rsidR="00F65BCA" w:rsidRDefault="00F65BCA">
                        <w:pPr>
                          <w:pStyle w:val="TableParagraph"/>
                          <w:rPr>
                            <w:rFonts w:ascii="Calibri"/>
                            <w:sz w:val="2"/>
                          </w:rPr>
                        </w:pPr>
                      </w:p>
                      <w:p w14:paraId="152674FB" w14:textId="77777777" w:rsidR="00F65BCA" w:rsidRDefault="00216117">
                        <w:pPr>
                          <w:pStyle w:val="TableParagraph"/>
                          <w:spacing w:before="13"/>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7F6284B1" w14:textId="77777777" w:rsidR="00F65BCA" w:rsidRDefault="00F65BCA">
                        <w:pPr>
                          <w:pStyle w:val="TableParagraph"/>
                          <w:rPr>
                            <w:rFonts w:ascii="Calibri"/>
                            <w:sz w:val="2"/>
                          </w:rPr>
                        </w:pPr>
                      </w:p>
                      <w:p w14:paraId="01896D65" w14:textId="77777777" w:rsidR="00F65BCA" w:rsidRDefault="00F65BCA">
                        <w:pPr>
                          <w:pStyle w:val="TableParagraph"/>
                          <w:rPr>
                            <w:rFonts w:ascii="Calibri"/>
                            <w:sz w:val="2"/>
                          </w:rPr>
                        </w:pPr>
                      </w:p>
                      <w:p w14:paraId="10366F2C" w14:textId="77777777" w:rsidR="00F65BCA" w:rsidRDefault="00216117">
                        <w:pPr>
                          <w:pStyle w:val="TableParagraph"/>
                          <w:spacing w:before="13"/>
                          <w:ind w:left="24" w:right="24"/>
                          <w:jc w:val="center"/>
                          <w:rPr>
                            <w:sz w:val="3"/>
                          </w:rPr>
                        </w:pPr>
                        <w:r>
                          <w:rPr>
                            <w:w w:val="105"/>
                            <w:sz w:val="3"/>
                          </w:rPr>
                          <w:t>1,07731026%</w:t>
                        </w:r>
                      </w:p>
                    </w:tc>
                  </w:tr>
                  <w:tr w:rsidR="00F65BCA" w14:paraId="62DD2BBB" w14:textId="77777777">
                    <w:trPr>
                      <w:trHeight w:val="155"/>
                    </w:trPr>
                    <w:tc>
                      <w:tcPr>
                        <w:tcW w:w="526" w:type="dxa"/>
                        <w:vMerge/>
                        <w:tcBorders>
                          <w:top w:val="nil"/>
                          <w:left w:val="single" w:sz="2" w:space="0" w:color="000000"/>
                          <w:bottom w:val="nil"/>
                          <w:right w:val="single" w:sz="2" w:space="0" w:color="000000"/>
                        </w:tcBorders>
                        <w:shd w:val="clear" w:color="auto" w:fill="FCE4D6"/>
                      </w:tcPr>
                      <w:p w14:paraId="08B9A024"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54413B96"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6597DC05"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DE08AFB" w14:textId="77777777" w:rsidR="00F65BCA" w:rsidRDefault="00F65BCA">
                        <w:pPr>
                          <w:pStyle w:val="TableParagraph"/>
                          <w:rPr>
                            <w:rFonts w:ascii="Calibri"/>
                            <w:sz w:val="2"/>
                          </w:rPr>
                        </w:pPr>
                      </w:p>
                      <w:p w14:paraId="7A406685" w14:textId="77777777" w:rsidR="00F65BCA" w:rsidRDefault="00F65BCA">
                        <w:pPr>
                          <w:pStyle w:val="TableParagraph"/>
                          <w:rPr>
                            <w:rFonts w:ascii="Calibri"/>
                            <w:sz w:val="2"/>
                          </w:rPr>
                        </w:pPr>
                      </w:p>
                      <w:p w14:paraId="13A9E405" w14:textId="77777777" w:rsidR="00F65BCA" w:rsidRDefault="00216117">
                        <w:pPr>
                          <w:pStyle w:val="TableParagraph"/>
                          <w:spacing w:before="13"/>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79D5646" w14:textId="77777777" w:rsidR="00F65BCA" w:rsidRDefault="00F65BCA">
                        <w:pPr>
                          <w:pStyle w:val="TableParagraph"/>
                          <w:rPr>
                            <w:rFonts w:ascii="Calibri"/>
                            <w:sz w:val="2"/>
                          </w:rPr>
                        </w:pPr>
                      </w:p>
                      <w:p w14:paraId="6A03C00D" w14:textId="77777777" w:rsidR="00F65BCA" w:rsidRDefault="00F65BCA">
                        <w:pPr>
                          <w:pStyle w:val="TableParagraph"/>
                          <w:rPr>
                            <w:rFonts w:ascii="Calibri"/>
                            <w:sz w:val="2"/>
                          </w:rPr>
                        </w:pPr>
                      </w:p>
                      <w:p w14:paraId="2CEBA00B" w14:textId="77777777" w:rsidR="00F65BCA" w:rsidRDefault="00216117">
                        <w:pPr>
                          <w:pStyle w:val="TableParagraph"/>
                          <w:spacing w:before="13"/>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667A05C"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307FC583" w14:textId="77777777" w:rsidR="00F65BCA" w:rsidRDefault="00F65BCA">
                        <w:pPr>
                          <w:pStyle w:val="TableParagraph"/>
                          <w:rPr>
                            <w:rFonts w:ascii="Calibri"/>
                            <w:sz w:val="2"/>
                          </w:rPr>
                        </w:pPr>
                      </w:p>
                      <w:p w14:paraId="30C8EF22" w14:textId="77777777" w:rsidR="00F65BCA" w:rsidRDefault="00F65BCA">
                        <w:pPr>
                          <w:pStyle w:val="TableParagraph"/>
                          <w:rPr>
                            <w:rFonts w:ascii="Calibri"/>
                            <w:sz w:val="2"/>
                          </w:rPr>
                        </w:pPr>
                      </w:p>
                      <w:p w14:paraId="278ABC33" w14:textId="77777777" w:rsidR="00F65BCA" w:rsidRDefault="00216117">
                        <w:pPr>
                          <w:pStyle w:val="TableParagraph"/>
                          <w:spacing w:before="13"/>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1062C9FF" w14:textId="77777777" w:rsidR="00F65BCA" w:rsidRDefault="00F65BCA">
                        <w:pPr>
                          <w:pStyle w:val="TableParagraph"/>
                          <w:rPr>
                            <w:rFonts w:ascii="Calibri"/>
                            <w:sz w:val="2"/>
                          </w:rPr>
                        </w:pPr>
                      </w:p>
                      <w:p w14:paraId="38EBEA78" w14:textId="77777777" w:rsidR="00F65BCA" w:rsidRDefault="00F65BCA">
                        <w:pPr>
                          <w:pStyle w:val="TableParagraph"/>
                          <w:rPr>
                            <w:rFonts w:ascii="Calibri"/>
                            <w:sz w:val="2"/>
                          </w:rPr>
                        </w:pPr>
                      </w:p>
                      <w:p w14:paraId="4D8EC53A" w14:textId="77777777" w:rsidR="00F65BCA" w:rsidRDefault="00216117">
                        <w:pPr>
                          <w:pStyle w:val="TableParagraph"/>
                          <w:spacing w:before="13"/>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79310E6B" w14:textId="77777777" w:rsidR="00F65BCA" w:rsidRDefault="00F65BCA">
                        <w:pPr>
                          <w:pStyle w:val="TableParagraph"/>
                          <w:rPr>
                            <w:rFonts w:ascii="Calibri"/>
                            <w:sz w:val="2"/>
                          </w:rPr>
                        </w:pPr>
                      </w:p>
                      <w:p w14:paraId="6A032298" w14:textId="77777777" w:rsidR="00F65BCA" w:rsidRDefault="00F65BCA">
                        <w:pPr>
                          <w:pStyle w:val="TableParagraph"/>
                          <w:rPr>
                            <w:rFonts w:ascii="Calibri"/>
                            <w:sz w:val="2"/>
                          </w:rPr>
                        </w:pPr>
                      </w:p>
                      <w:p w14:paraId="155307A6" w14:textId="77777777" w:rsidR="00F65BCA" w:rsidRDefault="00216117">
                        <w:pPr>
                          <w:pStyle w:val="TableParagraph"/>
                          <w:spacing w:before="13"/>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2D592A65" w14:textId="77777777" w:rsidR="00F65BCA" w:rsidRDefault="00F65BCA">
                        <w:pPr>
                          <w:pStyle w:val="TableParagraph"/>
                          <w:rPr>
                            <w:rFonts w:ascii="Calibri"/>
                            <w:sz w:val="2"/>
                          </w:rPr>
                        </w:pPr>
                      </w:p>
                      <w:p w14:paraId="50BC3C48" w14:textId="77777777" w:rsidR="00F65BCA" w:rsidRDefault="00F65BCA">
                        <w:pPr>
                          <w:pStyle w:val="TableParagraph"/>
                          <w:rPr>
                            <w:rFonts w:ascii="Calibri"/>
                            <w:sz w:val="2"/>
                          </w:rPr>
                        </w:pPr>
                      </w:p>
                      <w:p w14:paraId="60617CF5" w14:textId="77777777" w:rsidR="00F65BCA" w:rsidRDefault="00216117">
                        <w:pPr>
                          <w:pStyle w:val="TableParagraph"/>
                          <w:spacing w:before="13"/>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1703A4F0" w14:textId="77777777" w:rsidR="00F65BCA" w:rsidRDefault="00F65BCA">
                        <w:pPr>
                          <w:pStyle w:val="TableParagraph"/>
                          <w:rPr>
                            <w:rFonts w:ascii="Calibri"/>
                            <w:sz w:val="2"/>
                          </w:rPr>
                        </w:pPr>
                      </w:p>
                      <w:p w14:paraId="01DB4E2D" w14:textId="77777777" w:rsidR="00F65BCA" w:rsidRDefault="00F65BCA">
                        <w:pPr>
                          <w:pStyle w:val="TableParagraph"/>
                          <w:rPr>
                            <w:rFonts w:ascii="Calibri"/>
                            <w:sz w:val="2"/>
                          </w:rPr>
                        </w:pPr>
                      </w:p>
                      <w:p w14:paraId="5552D6A9" w14:textId="77777777" w:rsidR="00F65BCA" w:rsidRDefault="00216117">
                        <w:pPr>
                          <w:pStyle w:val="TableParagraph"/>
                          <w:spacing w:before="13"/>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6601E1B8" w14:textId="77777777" w:rsidR="00F65BCA" w:rsidRDefault="00F65BCA">
                        <w:pPr>
                          <w:pStyle w:val="TableParagraph"/>
                          <w:rPr>
                            <w:rFonts w:ascii="Calibri"/>
                            <w:sz w:val="2"/>
                          </w:rPr>
                        </w:pPr>
                      </w:p>
                      <w:p w14:paraId="713D35E5" w14:textId="77777777" w:rsidR="00F65BCA" w:rsidRDefault="00F65BCA">
                        <w:pPr>
                          <w:pStyle w:val="TableParagraph"/>
                          <w:rPr>
                            <w:rFonts w:ascii="Calibri"/>
                            <w:sz w:val="2"/>
                          </w:rPr>
                        </w:pPr>
                      </w:p>
                      <w:p w14:paraId="54497B2A" w14:textId="77777777" w:rsidR="00F65BCA" w:rsidRDefault="00216117">
                        <w:pPr>
                          <w:pStyle w:val="TableParagraph"/>
                          <w:spacing w:before="13"/>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2206E688" w14:textId="77777777" w:rsidR="00F65BCA" w:rsidRDefault="00F65BCA">
                        <w:pPr>
                          <w:pStyle w:val="TableParagraph"/>
                          <w:rPr>
                            <w:rFonts w:ascii="Calibri"/>
                            <w:sz w:val="2"/>
                          </w:rPr>
                        </w:pPr>
                      </w:p>
                      <w:p w14:paraId="7DC6B4F0" w14:textId="77777777" w:rsidR="00F65BCA" w:rsidRDefault="00F65BCA">
                        <w:pPr>
                          <w:pStyle w:val="TableParagraph"/>
                          <w:rPr>
                            <w:rFonts w:ascii="Calibri"/>
                            <w:sz w:val="2"/>
                          </w:rPr>
                        </w:pPr>
                      </w:p>
                      <w:p w14:paraId="4B184A9B" w14:textId="77777777" w:rsidR="00F65BCA" w:rsidRDefault="00216117">
                        <w:pPr>
                          <w:pStyle w:val="TableParagraph"/>
                          <w:spacing w:before="13"/>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7DF2FA0A" w14:textId="77777777" w:rsidR="00F65BCA" w:rsidRDefault="00F65BCA">
                        <w:pPr>
                          <w:pStyle w:val="TableParagraph"/>
                          <w:rPr>
                            <w:rFonts w:ascii="Calibri"/>
                            <w:sz w:val="2"/>
                          </w:rPr>
                        </w:pPr>
                      </w:p>
                      <w:p w14:paraId="6D6F5AC0" w14:textId="77777777" w:rsidR="00F65BCA" w:rsidRDefault="00F65BCA">
                        <w:pPr>
                          <w:pStyle w:val="TableParagraph"/>
                          <w:rPr>
                            <w:rFonts w:ascii="Calibri"/>
                            <w:sz w:val="2"/>
                          </w:rPr>
                        </w:pPr>
                      </w:p>
                      <w:p w14:paraId="63F9612C" w14:textId="77777777" w:rsidR="00F65BCA" w:rsidRDefault="00216117">
                        <w:pPr>
                          <w:pStyle w:val="TableParagraph"/>
                          <w:spacing w:before="13"/>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7111C4B3" w14:textId="77777777" w:rsidR="00F65BCA" w:rsidRDefault="00F65BCA">
                        <w:pPr>
                          <w:pStyle w:val="TableParagraph"/>
                          <w:rPr>
                            <w:rFonts w:ascii="Calibri"/>
                            <w:sz w:val="2"/>
                          </w:rPr>
                        </w:pPr>
                      </w:p>
                      <w:p w14:paraId="51B4008F" w14:textId="77777777" w:rsidR="00F65BCA" w:rsidRDefault="00F65BCA">
                        <w:pPr>
                          <w:pStyle w:val="TableParagraph"/>
                          <w:rPr>
                            <w:rFonts w:ascii="Calibri"/>
                            <w:sz w:val="2"/>
                          </w:rPr>
                        </w:pPr>
                      </w:p>
                      <w:p w14:paraId="01865FC5" w14:textId="77777777" w:rsidR="00F65BCA" w:rsidRDefault="00216117">
                        <w:pPr>
                          <w:pStyle w:val="TableParagraph"/>
                          <w:spacing w:before="13"/>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1B14B8AC" w14:textId="77777777" w:rsidR="00F65BCA" w:rsidRDefault="00F65BCA">
                        <w:pPr>
                          <w:pStyle w:val="TableParagraph"/>
                          <w:rPr>
                            <w:rFonts w:ascii="Calibri"/>
                            <w:sz w:val="2"/>
                          </w:rPr>
                        </w:pPr>
                      </w:p>
                      <w:p w14:paraId="04FD697E" w14:textId="77777777" w:rsidR="00F65BCA" w:rsidRDefault="00F65BCA">
                        <w:pPr>
                          <w:pStyle w:val="TableParagraph"/>
                          <w:rPr>
                            <w:rFonts w:ascii="Calibri"/>
                            <w:sz w:val="2"/>
                          </w:rPr>
                        </w:pPr>
                      </w:p>
                      <w:p w14:paraId="08C4BEF0" w14:textId="77777777" w:rsidR="00F65BCA" w:rsidRDefault="00216117">
                        <w:pPr>
                          <w:pStyle w:val="TableParagraph"/>
                          <w:spacing w:before="13"/>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7EDDA2D6" w14:textId="77777777" w:rsidR="00F65BCA" w:rsidRDefault="00F65BCA">
                        <w:pPr>
                          <w:pStyle w:val="TableParagraph"/>
                          <w:rPr>
                            <w:rFonts w:ascii="Calibri"/>
                            <w:sz w:val="2"/>
                          </w:rPr>
                        </w:pPr>
                      </w:p>
                      <w:p w14:paraId="17BCE34B" w14:textId="77777777" w:rsidR="00F65BCA" w:rsidRDefault="00F65BCA">
                        <w:pPr>
                          <w:pStyle w:val="TableParagraph"/>
                          <w:rPr>
                            <w:rFonts w:ascii="Calibri"/>
                            <w:sz w:val="2"/>
                          </w:rPr>
                        </w:pPr>
                      </w:p>
                      <w:p w14:paraId="44687390" w14:textId="77777777" w:rsidR="00F65BCA" w:rsidRDefault="00216117">
                        <w:pPr>
                          <w:pStyle w:val="TableParagraph"/>
                          <w:spacing w:before="13"/>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6262171" w14:textId="77777777" w:rsidR="00F65BCA" w:rsidRDefault="00F65BCA">
                        <w:pPr>
                          <w:pStyle w:val="TableParagraph"/>
                          <w:rPr>
                            <w:rFonts w:ascii="Calibri"/>
                            <w:sz w:val="2"/>
                          </w:rPr>
                        </w:pPr>
                      </w:p>
                      <w:p w14:paraId="2FDDECDB" w14:textId="77777777" w:rsidR="00F65BCA" w:rsidRDefault="00F65BCA">
                        <w:pPr>
                          <w:pStyle w:val="TableParagraph"/>
                          <w:rPr>
                            <w:rFonts w:ascii="Calibri"/>
                            <w:sz w:val="2"/>
                          </w:rPr>
                        </w:pPr>
                      </w:p>
                      <w:p w14:paraId="6FD44A53" w14:textId="77777777" w:rsidR="00F65BCA" w:rsidRDefault="00216117">
                        <w:pPr>
                          <w:pStyle w:val="TableParagraph"/>
                          <w:spacing w:before="13"/>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3E3437E8" w14:textId="77777777" w:rsidR="00F65BCA" w:rsidRDefault="00F65BCA">
                        <w:pPr>
                          <w:pStyle w:val="TableParagraph"/>
                          <w:rPr>
                            <w:rFonts w:ascii="Calibri"/>
                            <w:sz w:val="2"/>
                          </w:rPr>
                        </w:pPr>
                      </w:p>
                      <w:p w14:paraId="74518C88" w14:textId="77777777" w:rsidR="00F65BCA" w:rsidRDefault="00F65BCA">
                        <w:pPr>
                          <w:pStyle w:val="TableParagraph"/>
                          <w:rPr>
                            <w:rFonts w:ascii="Calibri"/>
                            <w:sz w:val="2"/>
                          </w:rPr>
                        </w:pPr>
                      </w:p>
                      <w:p w14:paraId="778921A8" w14:textId="77777777" w:rsidR="00F65BCA" w:rsidRDefault="00216117">
                        <w:pPr>
                          <w:pStyle w:val="TableParagraph"/>
                          <w:spacing w:before="13"/>
                          <w:ind w:left="24" w:right="24"/>
                          <w:jc w:val="center"/>
                          <w:rPr>
                            <w:sz w:val="3"/>
                          </w:rPr>
                        </w:pPr>
                        <w:r>
                          <w:rPr>
                            <w:w w:val="105"/>
                            <w:sz w:val="3"/>
                          </w:rPr>
                          <w:t>1,30139079%</w:t>
                        </w:r>
                      </w:p>
                    </w:tc>
                  </w:tr>
                  <w:tr w:rsidR="00F65BCA" w14:paraId="17AA5599"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59E38EF5" w14:textId="77777777" w:rsidR="00F65BCA" w:rsidRDefault="00F65BCA">
                        <w:pPr>
                          <w:rPr>
                            <w:sz w:val="2"/>
                            <w:szCs w:val="2"/>
                          </w:rPr>
                        </w:pPr>
                      </w:p>
                    </w:tc>
                    <w:tc>
                      <w:tcPr>
                        <w:tcW w:w="732"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09F027AC" w14:textId="77777777" w:rsidR="00F65BCA" w:rsidRDefault="00F65BCA">
                        <w:pPr>
                          <w:pStyle w:val="TableParagraph"/>
                          <w:rPr>
                            <w:rFonts w:ascii="Calibri"/>
                            <w:sz w:val="2"/>
                          </w:rPr>
                        </w:pPr>
                      </w:p>
                      <w:p w14:paraId="5D2E9CB7" w14:textId="77777777" w:rsidR="00F65BCA" w:rsidRDefault="00F65BCA">
                        <w:pPr>
                          <w:pStyle w:val="TableParagraph"/>
                          <w:rPr>
                            <w:rFonts w:ascii="Calibri"/>
                            <w:sz w:val="2"/>
                          </w:rPr>
                        </w:pPr>
                      </w:p>
                      <w:p w14:paraId="603F1143" w14:textId="77777777" w:rsidR="00F65BCA" w:rsidRDefault="00F65BCA">
                        <w:pPr>
                          <w:pStyle w:val="TableParagraph"/>
                          <w:rPr>
                            <w:rFonts w:ascii="Calibri"/>
                            <w:sz w:val="2"/>
                          </w:rPr>
                        </w:pPr>
                      </w:p>
                      <w:p w14:paraId="6E86300C" w14:textId="77777777" w:rsidR="00F65BCA" w:rsidRDefault="00F65BCA">
                        <w:pPr>
                          <w:pStyle w:val="TableParagraph"/>
                          <w:rPr>
                            <w:rFonts w:ascii="Calibri"/>
                            <w:sz w:val="2"/>
                          </w:rPr>
                        </w:pPr>
                      </w:p>
                      <w:p w14:paraId="2CEE2E1A" w14:textId="77777777" w:rsidR="00F65BCA" w:rsidRDefault="00F65BCA">
                        <w:pPr>
                          <w:pStyle w:val="TableParagraph"/>
                          <w:rPr>
                            <w:rFonts w:ascii="Calibri"/>
                            <w:sz w:val="2"/>
                          </w:rPr>
                        </w:pPr>
                      </w:p>
                      <w:p w14:paraId="486B6B18" w14:textId="77777777" w:rsidR="00F65BCA" w:rsidRDefault="00F65BCA">
                        <w:pPr>
                          <w:pStyle w:val="TableParagraph"/>
                          <w:rPr>
                            <w:rFonts w:ascii="Calibri"/>
                            <w:sz w:val="2"/>
                          </w:rPr>
                        </w:pPr>
                      </w:p>
                      <w:p w14:paraId="5BF854C7" w14:textId="77777777" w:rsidR="00F65BCA" w:rsidRDefault="00F65BCA">
                        <w:pPr>
                          <w:pStyle w:val="TableParagraph"/>
                          <w:rPr>
                            <w:rFonts w:ascii="Calibri"/>
                            <w:sz w:val="2"/>
                          </w:rPr>
                        </w:pPr>
                      </w:p>
                      <w:p w14:paraId="60D9470F" w14:textId="77777777" w:rsidR="00F65BCA" w:rsidRDefault="00F65BCA">
                        <w:pPr>
                          <w:pStyle w:val="TableParagraph"/>
                          <w:rPr>
                            <w:rFonts w:ascii="Calibri"/>
                            <w:sz w:val="2"/>
                          </w:rPr>
                        </w:pPr>
                      </w:p>
                      <w:p w14:paraId="0A87F274" w14:textId="77777777" w:rsidR="00F65BCA" w:rsidRDefault="00F65BCA">
                        <w:pPr>
                          <w:pStyle w:val="TableParagraph"/>
                          <w:rPr>
                            <w:rFonts w:ascii="Calibri"/>
                            <w:sz w:val="2"/>
                          </w:rPr>
                        </w:pPr>
                      </w:p>
                      <w:p w14:paraId="1C6D041D" w14:textId="77777777" w:rsidR="00F65BCA" w:rsidRDefault="00F65BCA">
                        <w:pPr>
                          <w:pStyle w:val="TableParagraph"/>
                          <w:rPr>
                            <w:rFonts w:ascii="Calibri"/>
                            <w:sz w:val="2"/>
                          </w:rPr>
                        </w:pPr>
                      </w:p>
                      <w:p w14:paraId="1D439A50" w14:textId="77777777" w:rsidR="00F65BCA" w:rsidRDefault="00F65BCA">
                        <w:pPr>
                          <w:pStyle w:val="TableParagraph"/>
                          <w:rPr>
                            <w:rFonts w:ascii="Calibri"/>
                            <w:sz w:val="2"/>
                          </w:rPr>
                        </w:pPr>
                      </w:p>
                      <w:p w14:paraId="4583B75E" w14:textId="77777777" w:rsidR="00F65BCA" w:rsidRDefault="00F65BCA">
                        <w:pPr>
                          <w:pStyle w:val="TableParagraph"/>
                          <w:rPr>
                            <w:rFonts w:ascii="Calibri"/>
                            <w:sz w:val="2"/>
                          </w:rPr>
                        </w:pPr>
                      </w:p>
                      <w:p w14:paraId="691E75DA" w14:textId="77777777" w:rsidR="00F65BCA" w:rsidRDefault="00216117">
                        <w:pPr>
                          <w:pStyle w:val="TableParagraph"/>
                          <w:ind w:left="18" w:right="18"/>
                          <w:jc w:val="center"/>
                          <w:rPr>
                            <w:sz w:val="3"/>
                          </w:rPr>
                        </w:pPr>
                        <w:r>
                          <w:rPr>
                            <w:w w:val="105"/>
                            <w:sz w:val="3"/>
                          </w:rPr>
                          <w:t>Renault</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509C0AD4" w14:textId="77777777" w:rsidR="00F65BCA" w:rsidRDefault="00F65BCA">
                        <w:pPr>
                          <w:pStyle w:val="TableParagraph"/>
                          <w:rPr>
                            <w:rFonts w:ascii="Calibri"/>
                            <w:sz w:val="2"/>
                          </w:rPr>
                        </w:pPr>
                      </w:p>
                      <w:p w14:paraId="0D5850AB" w14:textId="77777777" w:rsidR="00F65BCA" w:rsidRDefault="00F65BCA">
                        <w:pPr>
                          <w:pStyle w:val="TableParagraph"/>
                          <w:rPr>
                            <w:rFonts w:ascii="Calibri"/>
                            <w:sz w:val="2"/>
                          </w:rPr>
                        </w:pPr>
                      </w:p>
                      <w:p w14:paraId="101B67F2" w14:textId="77777777" w:rsidR="00F65BCA" w:rsidRDefault="00216117">
                        <w:pPr>
                          <w:pStyle w:val="TableParagraph"/>
                          <w:spacing w:line="283" w:lineRule="auto"/>
                          <w:ind w:left="4" w:right="-18"/>
                          <w:rPr>
                            <w:sz w:val="3"/>
                          </w:rPr>
                        </w:pPr>
                        <w:r>
                          <w:rPr>
                            <w:w w:val="105"/>
                            <w:sz w:val="3"/>
                          </w:rPr>
                          <w:t>CLIO VAN; EXPRESS; KANGOO EXPRESS; MASCOTT; MASTER DO 3,5 T; MAXITY DO 3,5T; RAPID; TRAFIC</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66F6EC2" w14:textId="77777777" w:rsidR="00F65BCA" w:rsidRDefault="00F65BCA">
                        <w:pPr>
                          <w:pStyle w:val="TableParagraph"/>
                          <w:rPr>
                            <w:rFonts w:ascii="Calibri"/>
                            <w:sz w:val="2"/>
                          </w:rPr>
                        </w:pPr>
                      </w:p>
                      <w:p w14:paraId="7BF8B2A8"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EEAE15A" w14:textId="77777777" w:rsidR="00F65BCA" w:rsidRDefault="00F65BCA">
                        <w:pPr>
                          <w:pStyle w:val="TableParagraph"/>
                          <w:rPr>
                            <w:rFonts w:ascii="Calibri"/>
                            <w:sz w:val="2"/>
                          </w:rPr>
                        </w:pPr>
                      </w:p>
                      <w:p w14:paraId="63D3F928"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560A6DF7"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69296EED" w14:textId="77777777" w:rsidR="00F65BCA" w:rsidRDefault="00F65BCA">
                        <w:pPr>
                          <w:pStyle w:val="TableParagraph"/>
                          <w:rPr>
                            <w:rFonts w:ascii="Calibri"/>
                            <w:sz w:val="2"/>
                          </w:rPr>
                        </w:pPr>
                      </w:p>
                      <w:p w14:paraId="75915DE6"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64CC3EA8" w14:textId="77777777" w:rsidR="00F65BCA" w:rsidRDefault="00F65BCA">
                        <w:pPr>
                          <w:pStyle w:val="TableParagraph"/>
                          <w:rPr>
                            <w:rFonts w:ascii="Calibri"/>
                            <w:sz w:val="2"/>
                          </w:rPr>
                        </w:pPr>
                      </w:p>
                      <w:p w14:paraId="0A8CA7D9"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510FEA20" w14:textId="77777777" w:rsidR="00F65BCA" w:rsidRDefault="00F65BCA">
                        <w:pPr>
                          <w:pStyle w:val="TableParagraph"/>
                          <w:rPr>
                            <w:rFonts w:ascii="Calibri"/>
                            <w:sz w:val="2"/>
                          </w:rPr>
                        </w:pPr>
                      </w:p>
                      <w:p w14:paraId="6A95B39A"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0C17FCF4" w14:textId="77777777" w:rsidR="00F65BCA" w:rsidRDefault="00F65BCA">
                        <w:pPr>
                          <w:pStyle w:val="TableParagraph"/>
                          <w:rPr>
                            <w:rFonts w:ascii="Calibri"/>
                            <w:sz w:val="2"/>
                          </w:rPr>
                        </w:pPr>
                      </w:p>
                      <w:p w14:paraId="0F4FE699"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074E39C7" w14:textId="77777777" w:rsidR="00F65BCA" w:rsidRDefault="00F65BCA">
                        <w:pPr>
                          <w:pStyle w:val="TableParagraph"/>
                          <w:rPr>
                            <w:rFonts w:ascii="Calibri"/>
                            <w:sz w:val="2"/>
                          </w:rPr>
                        </w:pPr>
                      </w:p>
                      <w:p w14:paraId="5F0B31A0"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4B7BB904" w14:textId="77777777" w:rsidR="00F65BCA" w:rsidRDefault="00F65BCA">
                        <w:pPr>
                          <w:pStyle w:val="TableParagraph"/>
                          <w:rPr>
                            <w:rFonts w:ascii="Calibri"/>
                            <w:sz w:val="2"/>
                          </w:rPr>
                        </w:pPr>
                      </w:p>
                      <w:p w14:paraId="6475ABE3"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115010B7" w14:textId="77777777" w:rsidR="00F65BCA" w:rsidRDefault="00F65BCA">
                        <w:pPr>
                          <w:pStyle w:val="TableParagraph"/>
                          <w:rPr>
                            <w:rFonts w:ascii="Calibri"/>
                            <w:sz w:val="2"/>
                          </w:rPr>
                        </w:pPr>
                      </w:p>
                      <w:p w14:paraId="479DE983"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101426CD" w14:textId="77777777" w:rsidR="00F65BCA" w:rsidRDefault="00F65BCA">
                        <w:pPr>
                          <w:pStyle w:val="TableParagraph"/>
                          <w:rPr>
                            <w:rFonts w:ascii="Calibri"/>
                            <w:sz w:val="2"/>
                          </w:rPr>
                        </w:pPr>
                      </w:p>
                      <w:p w14:paraId="702142A3"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470661F3" w14:textId="77777777" w:rsidR="00F65BCA" w:rsidRDefault="00F65BCA">
                        <w:pPr>
                          <w:pStyle w:val="TableParagraph"/>
                          <w:rPr>
                            <w:rFonts w:ascii="Calibri"/>
                            <w:sz w:val="2"/>
                          </w:rPr>
                        </w:pPr>
                      </w:p>
                      <w:p w14:paraId="5AE86F22"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21FC4C9C" w14:textId="77777777" w:rsidR="00F65BCA" w:rsidRDefault="00F65BCA">
                        <w:pPr>
                          <w:pStyle w:val="TableParagraph"/>
                          <w:rPr>
                            <w:rFonts w:ascii="Calibri"/>
                            <w:sz w:val="2"/>
                          </w:rPr>
                        </w:pPr>
                      </w:p>
                      <w:p w14:paraId="6713CDAB"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7DC60085" w14:textId="77777777" w:rsidR="00F65BCA" w:rsidRDefault="00F65BCA">
                        <w:pPr>
                          <w:pStyle w:val="TableParagraph"/>
                          <w:rPr>
                            <w:rFonts w:ascii="Calibri"/>
                            <w:sz w:val="2"/>
                          </w:rPr>
                        </w:pPr>
                      </w:p>
                      <w:p w14:paraId="300EE1A2"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45F2CC4F" w14:textId="77777777" w:rsidR="00F65BCA" w:rsidRDefault="00F65BCA">
                        <w:pPr>
                          <w:pStyle w:val="TableParagraph"/>
                          <w:rPr>
                            <w:rFonts w:ascii="Calibri"/>
                            <w:sz w:val="2"/>
                          </w:rPr>
                        </w:pPr>
                      </w:p>
                      <w:p w14:paraId="0E94BEFB"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7B6F5336" w14:textId="77777777" w:rsidR="00F65BCA" w:rsidRDefault="00F65BCA">
                        <w:pPr>
                          <w:pStyle w:val="TableParagraph"/>
                          <w:rPr>
                            <w:rFonts w:ascii="Calibri"/>
                            <w:sz w:val="2"/>
                          </w:rPr>
                        </w:pPr>
                      </w:p>
                      <w:p w14:paraId="78D82903" w14:textId="77777777" w:rsidR="00F65BCA" w:rsidRDefault="00216117">
                        <w:pPr>
                          <w:pStyle w:val="TableParagraph"/>
                          <w:ind w:left="24" w:right="24"/>
                          <w:jc w:val="center"/>
                          <w:rPr>
                            <w:sz w:val="3"/>
                          </w:rPr>
                        </w:pPr>
                        <w:r>
                          <w:rPr>
                            <w:w w:val="105"/>
                            <w:sz w:val="3"/>
                          </w:rPr>
                          <w:t>0,95940000%</w:t>
                        </w:r>
                      </w:p>
                    </w:tc>
                  </w:tr>
                  <w:tr w:rsidR="00F65BCA" w14:paraId="7C5724CC"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7CA28BA5"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02D43A92"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22D7AFCF"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47805797" w14:textId="77777777" w:rsidR="00F65BCA" w:rsidRDefault="00F65BCA">
                        <w:pPr>
                          <w:pStyle w:val="TableParagraph"/>
                          <w:rPr>
                            <w:rFonts w:ascii="Calibri"/>
                            <w:sz w:val="2"/>
                          </w:rPr>
                        </w:pPr>
                      </w:p>
                      <w:p w14:paraId="21AD1FF6"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9AFED9F" w14:textId="77777777" w:rsidR="00F65BCA" w:rsidRDefault="00F65BCA">
                        <w:pPr>
                          <w:pStyle w:val="TableParagraph"/>
                          <w:rPr>
                            <w:rFonts w:ascii="Calibri"/>
                            <w:sz w:val="2"/>
                          </w:rPr>
                        </w:pPr>
                      </w:p>
                      <w:p w14:paraId="3D3BAAA7"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350EA3DB"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0DB0E493" w14:textId="77777777" w:rsidR="00F65BCA" w:rsidRDefault="00F65BCA">
                        <w:pPr>
                          <w:pStyle w:val="TableParagraph"/>
                          <w:rPr>
                            <w:rFonts w:ascii="Calibri"/>
                            <w:sz w:val="2"/>
                          </w:rPr>
                        </w:pPr>
                      </w:p>
                      <w:p w14:paraId="563D90FA"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12EF9BCB" w14:textId="77777777" w:rsidR="00F65BCA" w:rsidRDefault="00F65BCA">
                        <w:pPr>
                          <w:pStyle w:val="TableParagraph"/>
                          <w:rPr>
                            <w:rFonts w:ascii="Calibri"/>
                            <w:sz w:val="2"/>
                          </w:rPr>
                        </w:pPr>
                      </w:p>
                      <w:p w14:paraId="0D386D7A"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48CC93AC" w14:textId="77777777" w:rsidR="00F65BCA" w:rsidRDefault="00F65BCA">
                        <w:pPr>
                          <w:pStyle w:val="TableParagraph"/>
                          <w:rPr>
                            <w:rFonts w:ascii="Calibri"/>
                            <w:sz w:val="2"/>
                          </w:rPr>
                        </w:pPr>
                      </w:p>
                      <w:p w14:paraId="6B4A09B8"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1263C8B0" w14:textId="77777777" w:rsidR="00F65BCA" w:rsidRDefault="00F65BCA">
                        <w:pPr>
                          <w:pStyle w:val="TableParagraph"/>
                          <w:rPr>
                            <w:rFonts w:ascii="Calibri"/>
                            <w:sz w:val="2"/>
                          </w:rPr>
                        </w:pPr>
                      </w:p>
                      <w:p w14:paraId="1916D0B2"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1B50FE74" w14:textId="77777777" w:rsidR="00F65BCA" w:rsidRDefault="00F65BCA">
                        <w:pPr>
                          <w:pStyle w:val="TableParagraph"/>
                          <w:rPr>
                            <w:rFonts w:ascii="Calibri"/>
                            <w:sz w:val="2"/>
                          </w:rPr>
                        </w:pPr>
                      </w:p>
                      <w:p w14:paraId="0D3E6E0D"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2F10AE42" w14:textId="77777777" w:rsidR="00F65BCA" w:rsidRDefault="00F65BCA">
                        <w:pPr>
                          <w:pStyle w:val="TableParagraph"/>
                          <w:rPr>
                            <w:rFonts w:ascii="Calibri"/>
                            <w:sz w:val="2"/>
                          </w:rPr>
                        </w:pPr>
                      </w:p>
                      <w:p w14:paraId="2DF9E308"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66878791" w14:textId="77777777" w:rsidR="00F65BCA" w:rsidRDefault="00F65BCA">
                        <w:pPr>
                          <w:pStyle w:val="TableParagraph"/>
                          <w:rPr>
                            <w:rFonts w:ascii="Calibri"/>
                            <w:sz w:val="2"/>
                          </w:rPr>
                        </w:pPr>
                      </w:p>
                      <w:p w14:paraId="7868A176"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61071943" w14:textId="77777777" w:rsidR="00F65BCA" w:rsidRDefault="00F65BCA">
                        <w:pPr>
                          <w:pStyle w:val="TableParagraph"/>
                          <w:rPr>
                            <w:rFonts w:ascii="Calibri"/>
                            <w:sz w:val="2"/>
                          </w:rPr>
                        </w:pPr>
                      </w:p>
                      <w:p w14:paraId="686100AB"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6C639E73" w14:textId="77777777" w:rsidR="00F65BCA" w:rsidRDefault="00F65BCA">
                        <w:pPr>
                          <w:pStyle w:val="TableParagraph"/>
                          <w:rPr>
                            <w:rFonts w:ascii="Calibri"/>
                            <w:sz w:val="2"/>
                          </w:rPr>
                        </w:pPr>
                      </w:p>
                      <w:p w14:paraId="44C2850F"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75775DD9" w14:textId="77777777" w:rsidR="00F65BCA" w:rsidRDefault="00F65BCA">
                        <w:pPr>
                          <w:pStyle w:val="TableParagraph"/>
                          <w:rPr>
                            <w:rFonts w:ascii="Calibri"/>
                            <w:sz w:val="2"/>
                          </w:rPr>
                        </w:pPr>
                      </w:p>
                      <w:p w14:paraId="7F584005"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779CF91F" w14:textId="77777777" w:rsidR="00F65BCA" w:rsidRDefault="00F65BCA">
                        <w:pPr>
                          <w:pStyle w:val="TableParagraph"/>
                          <w:rPr>
                            <w:rFonts w:ascii="Calibri"/>
                            <w:sz w:val="2"/>
                          </w:rPr>
                        </w:pPr>
                      </w:p>
                      <w:p w14:paraId="5C0E1D76"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248D13CE" w14:textId="77777777" w:rsidR="00F65BCA" w:rsidRDefault="00F65BCA">
                        <w:pPr>
                          <w:pStyle w:val="TableParagraph"/>
                          <w:rPr>
                            <w:rFonts w:ascii="Calibri"/>
                            <w:sz w:val="2"/>
                          </w:rPr>
                        </w:pPr>
                      </w:p>
                      <w:p w14:paraId="533D9ACE"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7D68A9EC" w14:textId="77777777" w:rsidR="00F65BCA" w:rsidRDefault="00F65BCA">
                        <w:pPr>
                          <w:pStyle w:val="TableParagraph"/>
                          <w:rPr>
                            <w:rFonts w:ascii="Calibri"/>
                            <w:sz w:val="2"/>
                          </w:rPr>
                        </w:pPr>
                      </w:p>
                      <w:p w14:paraId="334BC1D0" w14:textId="77777777" w:rsidR="00F65BCA" w:rsidRDefault="00216117">
                        <w:pPr>
                          <w:pStyle w:val="TableParagraph"/>
                          <w:ind w:left="24" w:right="24"/>
                          <w:jc w:val="center"/>
                          <w:rPr>
                            <w:sz w:val="3"/>
                          </w:rPr>
                        </w:pPr>
                        <w:r>
                          <w:rPr>
                            <w:w w:val="105"/>
                            <w:sz w:val="3"/>
                          </w:rPr>
                          <w:t>1,15895520%</w:t>
                        </w:r>
                      </w:p>
                    </w:tc>
                  </w:tr>
                  <w:tr w:rsidR="00F65BCA" w14:paraId="6CC4AC96" w14:textId="77777777">
                    <w:trPr>
                      <w:trHeight w:val="220"/>
                    </w:trPr>
                    <w:tc>
                      <w:tcPr>
                        <w:tcW w:w="526" w:type="dxa"/>
                        <w:vMerge/>
                        <w:tcBorders>
                          <w:top w:val="nil"/>
                          <w:left w:val="single" w:sz="2" w:space="0" w:color="000000"/>
                          <w:bottom w:val="nil"/>
                          <w:right w:val="single" w:sz="2" w:space="0" w:color="000000"/>
                        </w:tcBorders>
                        <w:shd w:val="clear" w:color="auto" w:fill="FCE4D6"/>
                      </w:tcPr>
                      <w:p w14:paraId="362B96F4"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414AD765" w14:textId="77777777" w:rsidR="00F65BCA" w:rsidRDefault="00F65BCA">
                        <w:pPr>
                          <w:rPr>
                            <w:sz w:val="2"/>
                            <w:szCs w:val="2"/>
                          </w:rPr>
                        </w:pP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6F3625D7" w14:textId="77777777" w:rsidR="00F65BCA" w:rsidRDefault="00216117">
                        <w:pPr>
                          <w:pStyle w:val="TableParagraph"/>
                          <w:spacing w:before="1" w:line="283" w:lineRule="auto"/>
                          <w:ind w:left="4" w:right="13"/>
                          <w:rPr>
                            <w:sz w:val="3"/>
                          </w:rPr>
                        </w:pPr>
                        <w:r>
                          <w:rPr>
                            <w:w w:val="105"/>
                            <w:sz w:val="3"/>
                          </w:rPr>
                          <w:t>Alaskan; AVANTIME; CAPTUR; CLIO; CLIO GRANDTOUR; ESPACE; FLUENCE; FUEGO; GRAND ESPACE; GRAND MODUS; GRAND SCÉNIC; JINÉ; KADJAR; KANGOO; KOLEOS; LAGUNA; LAGUNA COMBI; LAGUNA COUPÉ; LAGUNA GRANDTOUR; LATITUDE; MÉGANE; MÉGANE CABRIOLET; MÉGANE COMBI; MÉGANE COUPE; MÉGANE GENERATION; MÉGANE GRAND SCÉNIC; MÉGANE GRANDTOUR; MÉGANE SCÉNIC; MÉGANE SCÉNIC RX4; MÉGANE SEDAN; MODUS; R11; R18; R19; R20; R21; R25; R4; R5; R6; R9; SAFRANE; SCÉNIC; SPORT SPIDER; TALISMAN; THALIA; TWINGO; VEL</w:t>
                        </w:r>
                      </w:p>
                      <w:p w14:paraId="0B569561" w14:textId="77777777" w:rsidR="00F65BCA" w:rsidRDefault="00216117">
                        <w:pPr>
                          <w:pStyle w:val="TableParagraph"/>
                          <w:spacing w:before="1" w:line="16" w:lineRule="exact"/>
                          <w:ind w:left="4"/>
                          <w:rPr>
                            <w:sz w:val="3"/>
                          </w:rPr>
                        </w:pPr>
                        <w:r>
                          <w:rPr>
                            <w:w w:val="105"/>
                            <w:sz w:val="3"/>
                          </w:rPr>
                          <w:t>SATIS; WIND; ZOÉ</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3AD6FDA" w14:textId="77777777" w:rsidR="00F65BCA" w:rsidRDefault="00F65BCA">
                        <w:pPr>
                          <w:pStyle w:val="TableParagraph"/>
                          <w:rPr>
                            <w:rFonts w:ascii="Calibri"/>
                            <w:sz w:val="2"/>
                          </w:rPr>
                        </w:pPr>
                      </w:p>
                      <w:p w14:paraId="7FA8A7DA" w14:textId="77777777" w:rsidR="00F65BCA" w:rsidRDefault="00F65BCA">
                        <w:pPr>
                          <w:pStyle w:val="TableParagraph"/>
                          <w:rPr>
                            <w:rFonts w:ascii="Calibri"/>
                            <w:sz w:val="2"/>
                          </w:rPr>
                        </w:pPr>
                      </w:p>
                      <w:p w14:paraId="043C561A" w14:textId="77777777" w:rsidR="00F65BCA" w:rsidRDefault="00F65BCA">
                        <w:pPr>
                          <w:pStyle w:val="TableParagraph"/>
                          <w:rPr>
                            <w:rFonts w:ascii="Calibri"/>
                            <w:sz w:val="2"/>
                          </w:rPr>
                        </w:pPr>
                      </w:p>
                      <w:p w14:paraId="19BFD952" w14:textId="77777777" w:rsidR="00F65BCA" w:rsidRDefault="00F65BCA">
                        <w:pPr>
                          <w:pStyle w:val="TableParagraph"/>
                          <w:rPr>
                            <w:rFonts w:ascii="Calibri"/>
                            <w:sz w:val="2"/>
                          </w:rPr>
                        </w:pPr>
                      </w:p>
                      <w:p w14:paraId="7000E944"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6E01C4AB" w14:textId="77777777" w:rsidR="00F65BCA" w:rsidRDefault="00F65BCA">
                        <w:pPr>
                          <w:pStyle w:val="TableParagraph"/>
                          <w:rPr>
                            <w:rFonts w:ascii="Calibri"/>
                            <w:sz w:val="2"/>
                          </w:rPr>
                        </w:pPr>
                      </w:p>
                      <w:p w14:paraId="54E2D4C6" w14:textId="77777777" w:rsidR="00F65BCA" w:rsidRDefault="00F65BCA">
                        <w:pPr>
                          <w:pStyle w:val="TableParagraph"/>
                          <w:rPr>
                            <w:rFonts w:ascii="Calibri"/>
                            <w:sz w:val="2"/>
                          </w:rPr>
                        </w:pPr>
                      </w:p>
                      <w:p w14:paraId="1D098520" w14:textId="77777777" w:rsidR="00F65BCA" w:rsidRDefault="00F65BCA">
                        <w:pPr>
                          <w:pStyle w:val="TableParagraph"/>
                          <w:rPr>
                            <w:rFonts w:ascii="Calibri"/>
                            <w:sz w:val="2"/>
                          </w:rPr>
                        </w:pPr>
                      </w:p>
                      <w:p w14:paraId="1144E442" w14:textId="77777777" w:rsidR="00F65BCA" w:rsidRDefault="00F65BCA">
                        <w:pPr>
                          <w:pStyle w:val="TableParagraph"/>
                          <w:rPr>
                            <w:rFonts w:ascii="Calibri"/>
                            <w:sz w:val="2"/>
                          </w:rPr>
                        </w:pPr>
                      </w:p>
                      <w:p w14:paraId="1AF58455"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57E267E0"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23B7E2A7" w14:textId="77777777" w:rsidR="00F65BCA" w:rsidRDefault="00F65BCA">
                        <w:pPr>
                          <w:pStyle w:val="TableParagraph"/>
                          <w:rPr>
                            <w:rFonts w:ascii="Calibri"/>
                            <w:sz w:val="2"/>
                          </w:rPr>
                        </w:pPr>
                      </w:p>
                      <w:p w14:paraId="607EF82F" w14:textId="77777777" w:rsidR="00F65BCA" w:rsidRDefault="00F65BCA">
                        <w:pPr>
                          <w:pStyle w:val="TableParagraph"/>
                          <w:rPr>
                            <w:rFonts w:ascii="Calibri"/>
                            <w:sz w:val="2"/>
                          </w:rPr>
                        </w:pPr>
                      </w:p>
                      <w:p w14:paraId="020402E9" w14:textId="77777777" w:rsidR="00F65BCA" w:rsidRDefault="00F65BCA">
                        <w:pPr>
                          <w:pStyle w:val="TableParagraph"/>
                          <w:rPr>
                            <w:rFonts w:ascii="Calibri"/>
                            <w:sz w:val="2"/>
                          </w:rPr>
                        </w:pPr>
                      </w:p>
                      <w:p w14:paraId="6EF06455" w14:textId="77777777" w:rsidR="00F65BCA" w:rsidRDefault="00F65BCA">
                        <w:pPr>
                          <w:pStyle w:val="TableParagraph"/>
                          <w:rPr>
                            <w:rFonts w:ascii="Calibri"/>
                            <w:sz w:val="2"/>
                          </w:rPr>
                        </w:pPr>
                      </w:p>
                      <w:p w14:paraId="1745F9DC"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728F2364" w14:textId="77777777" w:rsidR="00F65BCA" w:rsidRDefault="00F65BCA">
                        <w:pPr>
                          <w:pStyle w:val="TableParagraph"/>
                          <w:rPr>
                            <w:rFonts w:ascii="Calibri"/>
                            <w:sz w:val="2"/>
                          </w:rPr>
                        </w:pPr>
                      </w:p>
                      <w:p w14:paraId="784DB58D" w14:textId="77777777" w:rsidR="00F65BCA" w:rsidRDefault="00F65BCA">
                        <w:pPr>
                          <w:pStyle w:val="TableParagraph"/>
                          <w:rPr>
                            <w:rFonts w:ascii="Calibri"/>
                            <w:sz w:val="2"/>
                          </w:rPr>
                        </w:pPr>
                      </w:p>
                      <w:p w14:paraId="583AD6BC" w14:textId="77777777" w:rsidR="00F65BCA" w:rsidRDefault="00F65BCA">
                        <w:pPr>
                          <w:pStyle w:val="TableParagraph"/>
                          <w:rPr>
                            <w:rFonts w:ascii="Calibri"/>
                            <w:sz w:val="2"/>
                          </w:rPr>
                        </w:pPr>
                      </w:p>
                      <w:p w14:paraId="644CD584" w14:textId="77777777" w:rsidR="00F65BCA" w:rsidRDefault="00F65BCA">
                        <w:pPr>
                          <w:pStyle w:val="TableParagraph"/>
                          <w:rPr>
                            <w:rFonts w:ascii="Calibri"/>
                            <w:sz w:val="2"/>
                          </w:rPr>
                        </w:pPr>
                      </w:p>
                      <w:p w14:paraId="72A82661"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37D559FD" w14:textId="77777777" w:rsidR="00F65BCA" w:rsidRDefault="00F65BCA">
                        <w:pPr>
                          <w:pStyle w:val="TableParagraph"/>
                          <w:rPr>
                            <w:rFonts w:ascii="Calibri"/>
                            <w:sz w:val="2"/>
                          </w:rPr>
                        </w:pPr>
                      </w:p>
                      <w:p w14:paraId="0EEA1767" w14:textId="77777777" w:rsidR="00F65BCA" w:rsidRDefault="00F65BCA">
                        <w:pPr>
                          <w:pStyle w:val="TableParagraph"/>
                          <w:rPr>
                            <w:rFonts w:ascii="Calibri"/>
                            <w:sz w:val="2"/>
                          </w:rPr>
                        </w:pPr>
                      </w:p>
                      <w:p w14:paraId="459091C0" w14:textId="77777777" w:rsidR="00F65BCA" w:rsidRDefault="00F65BCA">
                        <w:pPr>
                          <w:pStyle w:val="TableParagraph"/>
                          <w:rPr>
                            <w:rFonts w:ascii="Calibri"/>
                            <w:sz w:val="2"/>
                          </w:rPr>
                        </w:pPr>
                      </w:p>
                      <w:p w14:paraId="56344997" w14:textId="77777777" w:rsidR="00F65BCA" w:rsidRDefault="00F65BCA">
                        <w:pPr>
                          <w:pStyle w:val="TableParagraph"/>
                          <w:rPr>
                            <w:rFonts w:ascii="Calibri"/>
                            <w:sz w:val="2"/>
                          </w:rPr>
                        </w:pPr>
                      </w:p>
                      <w:p w14:paraId="2EF813B4"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7E189ECD" w14:textId="77777777" w:rsidR="00F65BCA" w:rsidRDefault="00F65BCA">
                        <w:pPr>
                          <w:pStyle w:val="TableParagraph"/>
                          <w:rPr>
                            <w:rFonts w:ascii="Calibri"/>
                            <w:sz w:val="2"/>
                          </w:rPr>
                        </w:pPr>
                      </w:p>
                      <w:p w14:paraId="11912A71" w14:textId="77777777" w:rsidR="00F65BCA" w:rsidRDefault="00F65BCA">
                        <w:pPr>
                          <w:pStyle w:val="TableParagraph"/>
                          <w:rPr>
                            <w:rFonts w:ascii="Calibri"/>
                            <w:sz w:val="2"/>
                          </w:rPr>
                        </w:pPr>
                      </w:p>
                      <w:p w14:paraId="0915F038" w14:textId="77777777" w:rsidR="00F65BCA" w:rsidRDefault="00F65BCA">
                        <w:pPr>
                          <w:pStyle w:val="TableParagraph"/>
                          <w:rPr>
                            <w:rFonts w:ascii="Calibri"/>
                            <w:sz w:val="2"/>
                          </w:rPr>
                        </w:pPr>
                      </w:p>
                      <w:p w14:paraId="29AD4C8B" w14:textId="77777777" w:rsidR="00F65BCA" w:rsidRDefault="00F65BCA">
                        <w:pPr>
                          <w:pStyle w:val="TableParagraph"/>
                          <w:rPr>
                            <w:rFonts w:ascii="Calibri"/>
                            <w:sz w:val="2"/>
                          </w:rPr>
                        </w:pPr>
                      </w:p>
                      <w:p w14:paraId="785E2CCF"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4FEA09DE" w14:textId="77777777" w:rsidR="00F65BCA" w:rsidRDefault="00F65BCA">
                        <w:pPr>
                          <w:pStyle w:val="TableParagraph"/>
                          <w:rPr>
                            <w:rFonts w:ascii="Calibri"/>
                            <w:sz w:val="2"/>
                          </w:rPr>
                        </w:pPr>
                      </w:p>
                      <w:p w14:paraId="60896F79" w14:textId="77777777" w:rsidR="00F65BCA" w:rsidRDefault="00F65BCA">
                        <w:pPr>
                          <w:pStyle w:val="TableParagraph"/>
                          <w:rPr>
                            <w:rFonts w:ascii="Calibri"/>
                            <w:sz w:val="2"/>
                          </w:rPr>
                        </w:pPr>
                      </w:p>
                      <w:p w14:paraId="13866F65" w14:textId="77777777" w:rsidR="00F65BCA" w:rsidRDefault="00F65BCA">
                        <w:pPr>
                          <w:pStyle w:val="TableParagraph"/>
                          <w:rPr>
                            <w:rFonts w:ascii="Calibri"/>
                            <w:sz w:val="2"/>
                          </w:rPr>
                        </w:pPr>
                      </w:p>
                      <w:p w14:paraId="276C2187" w14:textId="77777777" w:rsidR="00F65BCA" w:rsidRDefault="00F65BCA">
                        <w:pPr>
                          <w:pStyle w:val="TableParagraph"/>
                          <w:rPr>
                            <w:rFonts w:ascii="Calibri"/>
                            <w:sz w:val="2"/>
                          </w:rPr>
                        </w:pPr>
                      </w:p>
                      <w:p w14:paraId="7A4EF57B"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422C6DCA" w14:textId="77777777" w:rsidR="00F65BCA" w:rsidRDefault="00F65BCA">
                        <w:pPr>
                          <w:pStyle w:val="TableParagraph"/>
                          <w:rPr>
                            <w:rFonts w:ascii="Calibri"/>
                            <w:sz w:val="2"/>
                          </w:rPr>
                        </w:pPr>
                      </w:p>
                      <w:p w14:paraId="3D7CACD5" w14:textId="77777777" w:rsidR="00F65BCA" w:rsidRDefault="00F65BCA">
                        <w:pPr>
                          <w:pStyle w:val="TableParagraph"/>
                          <w:rPr>
                            <w:rFonts w:ascii="Calibri"/>
                            <w:sz w:val="2"/>
                          </w:rPr>
                        </w:pPr>
                      </w:p>
                      <w:p w14:paraId="72FF4809" w14:textId="77777777" w:rsidR="00F65BCA" w:rsidRDefault="00F65BCA">
                        <w:pPr>
                          <w:pStyle w:val="TableParagraph"/>
                          <w:rPr>
                            <w:rFonts w:ascii="Calibri"/>
                            <w:sz w:val="2"/>
                          </w:rPr>
                        </w:pPr>
                      </w:p>
                      <w:p w14:paraId="467B673F" w14:textId="77777777" w:rsidR="00F65BCA" w:rsidRDefault="00F65BCA">
                        <w:pPr>
                          <w:pStyle w:val="TableParagraph"/>
                          <w:rPr>
                            <w:rFonts w:ascii="Calibri"/>
                            <w:sz w:val="2"/>
                          </w:rPr>
                        </w:pPr>
                      </w:p>
                      <w:p w14:paraId="0734BDF9"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0D68A405" w14:textId="77777777" w:rsidR="00F65BCA" w:rsidRDefault="00F65BCA">
                        <w:pPr>
                          <w:pStyle w:val="TableParagraph"/>
                          <w:rPr>
                            <w:rFonts w:ascii="Calibri"/>
                            <w:sz w:val="2"/>
                          </w:rPr>
                        </w:pPr>
                      </w:p>
                      <w:p w14:paraId="02690DE4" w14:textId="77777777" w:rsidR="00F65BCA" w:rsidRDefault="00F65BCA">
                        <w:pPr>
                          <w:pStyle w:val="TableParagraph"/>
                          <w:rPr>
                            <w:rFonts w:ascii="Calibri"/>
                            <w:sz w:val="2"/>
                          </w:rPr>
                        </w:pPr>
                      </w:p>
                      <w:p w14:paraId="13468E8A" w14:textId="77777777" w:rsidR="00F65BCA" w:rsidRDefault="00F65BCA">
                        <w:pPr>
                          <w:pStyle w:val="TableParagraph"/>
                          <w:rPr>
                            <w:rFonts w:ascii="Calibri"/>
                            <w:sz w:val="2"/>
                          </w:rPr>
                        </w:pPr>
                      </w:p>
                      <w:p w14:paraId="14D70C25" w14:textId="77777777" w:rsidR="00F65BCA" w:rsidRDefault="00F65BCA">
                        <w:pPr>
                          <w:pStyle w:val="TableParagraph"/>
                          <w:rPr>
                            <w:rFonts w:ascii="Calibri"/>
                            <w:sz w:val="2"/>
                          </w:rPr>
                        </w:pPr>
                      </w:p>
                      <w:p w14:paraId="18F9A0EA"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3B9EF0B3" w14:textId="77777777" w:rsidR="00F65BCA" w:rsidRDefault="00F65BCA">
                        <w:pPr>
                          <w:pStyle w:val="TableParagraph"/>
                          <w:rPr>
                            <w:rFonts w:ascii="Calibri"/>
                            <w:sz w:val="2"/>
                          </w:rPr>
                        </w:pPr>
                      </w:p>
                      <w:p w14:paraId="5B84C5A3" w14:textId="77777777" w:rsidR="00F65BCA" w:rsidRDefault="00F65BCA">
                        <w:pPr>
                          <w:pStyle w:val="TableParagraph"/>
                          <w:rPr>
                            <w:rFonts w:ascii="Calibri"/>
                            <w:sz w:val="2"/>
                          </w:rPr>
                        </w:pPr>
                      </w:p>
                      <w:p w14:paraId="0F9EEA6A" w14:textId="77777777" w:rsidR="00F65BCA" w:rsidRDefault="00F65BCA">
                        <w:pPr>
                          <w:pStyle w:val="TableParagraph"/>
                          <w:rPr>
                            <w:rFonts w:ascii="Calibri"/>
                            <w:sz w:val="2"/>
                          </w:rPr>
                        </w:pPr>
                      </w:p>
                      <w:p w14:paraId="5E93A312" w14:textId="77777777" w:rsidR="00F65BCA" w:rsidRDefault="00F65BCA">
                        <w:pPr>
                          <w:pStyle w:val="TableParagraph"/>
                          <w:rPr>
                            <w:rFonts w:ascii="Calibri"/>
                            <w:sz w:val="2"/>
                          </w:rPr>
                        </w:pPr>
                      </w:p>
                      <w:p w14:paraId="60E3DD14"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20A5258E" w14:textId="77777777" w:rsidR="00F65BCA" w:rsidRDefault="00F65BCA">
                        <w:pPr>
                          <w:pStyle w:val="TableParagraph"/>
                          <w:rPr>
                            <w:rFonts w:ascii="Calibri"/>
                            <w:sz w:val="2"/>
                          </w:rPr>
                        </w:pPr>
                      </w:p>
                      <w:p w14:paraId="7A9E7187" w14:textId="77777777" w:rsidR="00F65BCA" w:rsidRDefault="00F65BCA">
                        <w:pPr>
                          <w:pStyle w:val="TableParagraph"/>
                          <w:rPr>
                            <w:rFonts w:ascii="Calibri"/>
                            <w:sz w:val="2"/>
                          </w:rPr>
                        </w:pPr>
                      </w:p>
                      <w:p w14:paraId="2B764A0C" w14:textId="77777777" w:rsidR="00F65BCA" w:rsidRDefault="00F65BCA">
                        <w:pPr>
                          <w:pStyle w:val="TableParagraph"/>
                          <w:rPr>
                            <w:rFonts w:ascii="Calibri"/>
                            <w:sz w:val="2"/>
                          </w:rPr>
                        </w:pPr>
                      </w:p>
                      <w:p w14:paraId="74036787" w14:textId="77777777" w:rsidR="00F65BCA" w:rsidRDefault="00F65BCA">
                        <w:pPr>
                          <w:pStyle w:val="TableParagraph"/>
                          <w:rPr>
                            <w:rFonts w:ascii="Calibri"/>
                            <w:sz w:val="2"/>
                          </w:rPr>
                        </w:pPr>
                      </w:p>
                      <w:p w14:paraId="41A79696"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5548CBBD" w14:textId="77777777" w:rsidR="00F65BCA" w:rsidRDefault="00F65BCA">
                        <w:pPr>
                          <w:pStyle w:val="TableParagraph"/>
                          <w:rPr>
                            <w:rFonts w:ascii="Calibri"/>
                            <w:sz w:val="2"/>
                          </w:rPr>
                        </w:pPr>
                      </w:p>
                      <w:p w14:paraId="64BCE3EE" w14:textId="77777777" w:rsidR="00F65BCA" w:rsidRDefault="00F65BCA">
                        <w:pPr>
                          <w:pStyle w:val="TableParagraph"/>
                          <w:rPr>
                            <w:rFonts w:ascii="Calibri"/>
                            <w:sz w:val="2"/>
                          </w:rPr>
                        </w:pPr>
                      </w:p>
                      <w:p w14:paraId="3D810C3C" w14:textId="77777777" w:rsidR="00F65BCA" w:rsidRDefault="00F65BCA">
                        <w:pPr>
                          <w:pStyle w:val="TableParagraph"/>
                          <w:rPr>
                            <w:rFonts w:ascii="Calibri"/>
                            <w:sz w:val="2"/>
                          </w:rPr>
                        </w:pPr>
                      </w:p>
                      <w:p w14:paraId="1ABF2D6B" w14:textId="77777777" w:rsidR="00F65BCA" w:rsidRDefault="00F65BCA">
                        <w:pPr>
                          <w:pStyle w:val="TableParagraph"/>
                          <w:rPr>
                            <w:rFonts w:ascii="Calibri"/>
                            <w:sz w:val="2"/>
                          </w:rPr>
                        </w:pPr>
                      </w:p>
                      <w:p w14:paraId="333E309F"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73DC19ED" w14:textId="77777777" w:rsidR="00F65BCA" w:rsidRDefault="00F65BCA">
                        <w:pPr>
                          <w:pStyle w:val="TableParagraph"/>
                          <w:rPr>
                            <w:rFonts w:ascii="Calibri"/>
                            <w:sz w:val="2"/>
                          </w:rPr>
                        </w:pPr>
                      </w:p>
                      <w:p w14:paraId="5DDB94F4" w14:textId="77777777" w:rsidR="00F65BCA" w:rsidRDefault="00F65BCA">
                        <w:pPr>
                          <w:pStyle w:val="TableParagraph"/>
                          <w:rPr>
                            <w:rFonts w:ascii="Calibri"/>
                            <w:sz w:val="2"/>
                          </w:rPr>
                        </w:pPr>
                      </w:p>
                      <w:p w14:paraId="4BEE3838" w14:textId="77777777" w:rsidR="00F65BCA" w:rsidRDefault="00F65BCA">
                        <w:pPr>
                          <w:pStyle w:val="TableParagraph"/>
                          <w:rPr>
                            <w:rFonts w:ascii="Calibri"/>
                            <w:sz w:val="2"/>
                          </w:rPr>
                        </w:pPr>
                      </w:p>
                      <w:p w14:paraId="0CEFA58C" w14:textId="77777777" w:rsidR="00F65BCA" w:rsidRDefault="00F65BCA">
                        <w:pPr>
                          <w:pStyle w:val="TableParagraph"/>
                          <w:rPr>
                            <w:rFonts w:ascii="Calibri"/>
                            <w:sz w:val="2"/>
                          </w:rPr>
                        </w:pPr>
                      </w:p>
                      <w:p w14:paraId="60AEA03C"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2645F65D" w14:textId="77777777" w:rsidR="00F65BCA" w:rsidRDefault="00F65BCA">
                        <w:pPr>
                          <w:pStyle w:val="TableParagraph"/>
                          <w:rPr>
                            <w:rFonts w:ascii="Calibri"/>
                            <w:sz w:val="2"/>
                          </w:rPr>
                        </w:pPr>
                      </w:p>
                      <w:p w14:paraId="65091C15" w14:textId="77777777" w:rsidR="00F65BCA" w:rsidRDefault="00F65BCA">
                        <w:pPr>
                          <w:pStyle w:val="TableParagraph"/>
                          <w:rPr>
                            <w:rFonts w:ascii="Calibri"/>
                            <w:sz w:val="2"/>
                          </w:rPr>
                        </w:pPr>
                      </w:p>
                      <w:p w14:paraId="29874AB7" w14:textId="77777777" w:rsidR="00F65BCA" w:rsidRDefault="00F65BCA">
                        <w:pPr>
                          <w:pStyle w:val="TableParagraph"/>
                          <w:rPr>
                            <w:rFonts w:ascii="Calibri"/>
                            <w:sz w:val="2"/>
                          </w:rPr>
                        </w:pPr>
                      </w:p>
                      <w:p w14:paraId="464A1656" w14:textId="77777777" w:rsidR="00F65BCA" w:rsidRDefault="00F65BCA">
                        <w:pPr>
                          <w:pStyle w:val="TableParagraph"/>
                          <w:rPr>
                            <w:rFonts w:ascii="Calibri"/>
                            <w:sz w:val="2"/>
                          </w:rPr>
                        </w:pPr>
                      </w:p>
                      <w:p w14:paraId="2347C280"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12FD7980" w14:textId="77777777" w:rsidR="00F65BCA" w:rsidRDefault="00F65BCA">
                        <w:pPr>
                          <w:pStyle w:val="TableParagraph"/>
                          <w:rPr>
                            <w:rFonts w:ascii="Calibri"/>
                            <w:sz w:val="2"/>
                          </w:rPr>
                        </w:pPr>
                      </w:p>
                      <w:p w14:paraId="212AE48A" w14:textId="77777777" w:rsidR="00F65BCA" w:rsidRDefault="00F65BCA">
                        <w:pPr>
                          <w:pStyle w:val="TableParagraph"/>
                          <w:rPr>
                            <w:rFonts w:ascii="Calibri"/>
                            <w:sz w:val="2"/>
                          </w:rPr>
                        </w:pPr>
                      </w:p>
                      <w:p w14:paraId="058E4F17" w14:textId="77777777" w:rsidR="00F65BCA" w:rsidRDefault="00F65BCA">
                        <w:pPr>
                          <w:pStyle w:val="TableParagraph"/>
                          <w:rPr>
                            <w:rFonts w:ascii="Calibri"/>
                            <w:sz w:val="2"/>
                          </w:rPr>
                        </w:pPr>
                      </w:p>
                      <w:p w14:paraId="3F7CC760" w14:textId="77777777" w:rsidR="00F65BCA" w:rsidRDefault="00F65BCA">
                        <w:pPr>
                          <w:pStyle w:val="TableParagraph"/>
                          <w:rPr>
                            <w:rFonts w:ascii="Calibri"/>
                            <w:sz w:val="2"/>
                          </w:rPr>
                        </w:pPr>
                      </w:p>
                      <w:p w14:paraId="30F9732F" w14:textId="77777777" w:rsidR="00F65BCA" w:rsidRDefault="00216117">
                        <w:pPr>
                          <w:pStyle w:val="TableParagraph"/>
                          <w:ind w:left="24" w:right="24"/>
                          <w:jc w:val="center"/>
                          <w:rPr>
                            <w:sz w:val="3"/>
                          </w:rPr>
                        </w:pPr>
                        <w:r>
                          <w:rPr>
                            <w:w w:val="105"/>
                            <w:sz w:val="3"/>
                          </w:rPr>
                          <w:t>1,07731026%</w:t>
                        </w:r>
                      </w:p>
                    </w:tc>
                  </w:tr>
                  <w:tr w:rsidR="00F65BCA" w14:paraId="017147D6" w14:textId="77777777">
                    <w:trPr>
                      <w:trHeight w:val="220"/>
                    </w:trPr>
                    <w:tc>
                      <w:tcPr>
                        <w:tcW w:w="526" w:type="dxa"/>
                        <w:vMerge/>
                        <w:tcBorders>
                          <w:top w:val="nil"/>
                          <w:left w:val="single" w:sz="2" w:space="0" w:color="000000"/>
                          <w:bottom w:val="nil"/>
                          <w:right w:val="single" w:sz="2" w:space="0" w:color="000000"/>
                        </w:tcBorders>
                        <w:shd w:val="clear" w:color="auto" w:fill="FCE4D6"/>
                      </w:tcPr>
                      <w:p w14:paraId="501DE084" w14:textId="77777777" w:rsidR="00F65BCA" w:rsidRDefault="00F65BCA">
                        <w:pPr>
                          <w:rPr>
                            <w:sz w:val="2"/>
                            <w:szCs w:val="2"/>
                          </w:rPr>
                        </w:pPr>
                      </w:p>
                    </w:tc>
                    <w:tc>
                      <w:tcPr>
                        <w:tcW w:w="732" w:type="dxa"/>
                        <w:vMerge/>
                        <w:tcBorders>
                          <w:top w:val="nil"/>
                          <w:left w:val="single" w:sz="2" w:space="0" w:color="000000"/>
                          <w:bottom w:val="single" w:sz="2" w:space="0" w:color="000000"/>
                          <w:right w:val="single" w:sz="2" w:space="0" w:color="000000"/>
                        </w:tcBorders>
                        <w:shd w:val="clear" w:color="auto" w:fill="FCE4D6"/>
                      </w:tcPr>
                      <w:p w14:paraId="253B02B1"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63E318DD"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1A3DCAF3" w14:textId="77777777" w:rsidR="00F65BCA" w:rsidRDefault="00F65BCA">
                        <w:pPr>
                          <w:pStyle w:val="TableParagraph"/>
                          <w:rPr>
                            <w:rFonts w:ascii="Calibri"/>
                            <w:sz w:val="2"/>
                          </w:rPr>
                        </w:pPr>
                      </w:p>
                      <w:p w14:paraId="4F9F9EFF" w14:textId="77777777" w:rsidR="00F65BCA" w:rsidRDefault="00F65BCA">
                        <w:pPr>
                          <w:pStyle w:val="TableParagraph"/>
                          <w:rPr>
                            <w:rFonts w:ascii="Calibri"/>
                            <w:sz w:val="2"/>
                          </w:rPr>
                        </w:pPr>
                      </w:p>
                      <w:p w14:paraId="39A38ADB" w14:textId="77777777" w:rsidR="00F65BCA" w:rsidRDefault="00F65BCA">
                        <w:pPr>
                          <w:pStyle w:val="TableParagraph"/>
                          <w:rPr>
                            <w:rFonts w:ascii="Calibri"/>
                            <w:sz w:val="2"/>
                          </w:rPr>
                        </w:pPr>
                      </w:p>
                      <w:p w14:paraId="5212D4D1" w14:textId="77777777" w:rsidR="00F65BCA" w:rsidRDefault="00F65BCA">
                        <w:pPr>
                          <w:pStyle w:val="TableParagraph"/>
                          <w:rPr>
                            <w:rFonts w:ascii="Calibri"/>
                            <w:sz w:val="2"/>
                          </w:rPr>
                        </w:pPr>
                      </w:p>
                      <w:p w14:paraId="377B26ED"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A911324" w14:textId="77777777" w:rsidR="00F65BCA" w:rsidRDefault="00F65BCA">
                        <w:pPr>
                          <w:pStyle w:val="TableParagraph"/>
                          <w:rPr>
                            <w:rFonts w:ascii="Calibri"/>
                            <w:sz w:val="2"/>
                          </w:rPr>
                        </w:pPr>
                      </w:p>
                      <w:p w14:paraId="7A97F2AA" w14:textId="77777777" w:rsidR="00F65BCA" w:rsidRDefault="00F65BCA">
                        <w:pPr>
                          <w:pStyle w:val="TableParagraph"/>
                          <w:rPr>
                            <w:rFonts w:ascii="Calibri"/>
                            <w:sz w:val="2"/>
                          </w:rPr>
                        </w:pPr>
                      </w:p>
                      <w:p w14:paraId="32455281" w14:textId="77777777" w:rsidR="00F65BCA" w:rsidRDefault="00F65BCA">
                        <w:pPr>
                          <w:pStyle w:val="TableParagraph"/>
                          <w:rPr>
                            <w:rFonts w:ascii="Calibri"/>
                            <w:sz w:val="2"/>
                          </w:rPr>
                        </w:pPr>
                      </w:p>
                      <w:p w14:paraId="287AE453" w14:textId="77777777" w:rsidR="00F65BCA" w:rsidRDefault="00F65BCA">
                        <w:pPr>
                          <w:pStyle w:val="TableParagraph"/>
                          <w:rPr>
                            <w:rFonts w:ascii="Calibri"/>
                            <w:sz w:val="2"/>
                          </w:rPr>
                        </w:pPr>
                      </w:p>
                      <w:p w14:paraId="0D96063E"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4F7A33F1"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1E277FF7" w14:textId="77777777" w:rsidR="00F65BCA" w:rsidRDefault="00F65BCA">
                        <w:pPr>
                          <w:pStyle w:val="TableParagraph"/>
                          <w:rPr>
                            <w:rFonts w:ascii="Calibri"/>
                            <w:sz w:val="2"/>
                          </w:rPr>
                        </w:pPr>
                      </w:p>
                      <w:p w14:paraId="6C64F148" w14:textId="77777777" w:rsidR="00F65BCA" w:rsidRDefault="00F65BCA">
                        <w:pPr>
                          <w:pStyle w:val="TableParagraph"/>
                          <w:rPr>
                            <w:rFonts w:ascii="Calibri"/>
                            <w:sz w:val="2"/>
                          </w:rPr>
                        </w:pPr>
                      </w:p>
                      <w:p w14:paraId="77894D17" w14:textId="77777777" w:rsidR="00F65BCA" w:rsidRDefault="00F65BCA">
                        <w:pPr>
                          <w:pStyle w:val="TableParagraph"/>
                          <w:rPr>
                            <w:rFonts w:ascii="Calibri"/>
                            <w:sz w:val="2"/>
                          </w:rPr>
                        </w:pPr>
                      </w:p>
                      <w:p w14:paraId="695F67F6" w14:textId="77777777" w:rsidR="00F65BCA" w:rsidRDefault="00F65BCA">
                        <w:pPr>
                          <w:pStyle w:val="TableParagraph"/>
                          <w:rPr>
                            <w:rFonts w:ascii="Calibri"/>
                            <w:sz w:val="2"/>
                          </w:rPr>
                        </w:pPr>
                      </w:p>
                      <w:p w14:paraId="0C2424E8" w14:textId="77777777" w:rsidR="00F65BCA" w:rsidRDefault="00216117">
                        <w:pPr>
                          <w:pStyle w:val="TableParagraph"/>
                          <w:ind w:left="24" w:right="24"/>
                          <w:jc w:val="center"/>
                          <w:rPr>
                            <w:sz w:val="3"/>
                          </w:rPr>
                        </w:pPr>
                        <w:r>
                          <w:rPr>
                            <w:w w:val="105"/>
                            <w:sz w:val="3"/>
                          </w:rPr>
                          <w:t>1,38815018%</w:t>
                        </w:r>
                      </w:p>
                    </w:tc>
                    <w:tc>
                      <w:tcPr>
                        <w:tcW w:w="288" w:type="dxa"/>
                        <w:tcBorders>
                          <w:top w:val="single" w:sz="2" w:space="0" w:color="000000"/>
                          <w:left w:val="single" w:sz="2" w:space="0" w:color="000000"/>
                          <w:bottom w:val="single" w:sz="2" w:space="0" w:color="000000"/>
                          <w:right w:val="single" w:sz="2" w:space="0" w:color="000000"/>
                        </w:tcBorders>
                      </w:tcPr>
                      <w:p w14:paraId="61A89845" w14:textId="77777777" w:rsidR="00F65BCA" w:rsidRDefault="00F65BCA">
                        <w:pPr>
                          <w:pStyle w:val="TableParagraph"/>
                          <w:rPr>
                            <w:rFonts w:ascii="Calibri"/>
                            <w:sz w:val="2"/>
                          </w:rPr>
                        </w:pPr>
                      </w:p>
                      <w:p w14:paraId="1BE66D8E" w14:textId="77777777" w:rsidR="00F65BCA" w:rsidRDefault="00F65BCA">
                        <w:pPr>
                          <w:pStyle w:val="TableParagraph"/>
                          <w:rPr>
                            <w:rFonts w:ascii="Calibri"/>
                            <w:sz w:val="2"/>
                          </w:rPr>
                        </w:pPr>
                      </w:p>
                      <w:p w14:paraId="720595EF" w14:textId="77777777" w:rsidR="00F65BCA" w:rsidRDefault="00F65BCA">
                        <w:pPr>
                          <w:pStyle w:val="TableParagraph"/>
                          <w:rPr>
                            <w:rFonts w:ascii="Calibri"/>
                            <w:sz w:val="2"/>
                          </w:rPr>
                        </w:pPr>
                      </w:p>
                      <w:p w14:paraId="5B55D840" w14:textId="77777777" w:rsidR="00F65BCA" w:rsidRDefault="00F65BCA">
                        <w:pPr>
                          <w:pStyle w:val="TableParagraph"/>
                          <w:rPr>
                            <w:rFonts w:ascii="Calibri"/>
                            <w:sz w:val="2"/>
                          </w:rPr>
                        </w:pPr>
                      </w:p>
                      <w:p w14:paraId="0755F4C8" w14:textId="77777777" w:rsidR="00F65BCA" w:rsidRDefault="00216117">
                        <w:pPr>
                          <w:pStyle w:val="TableParagraph"/>
                          <w:ind w:left="24" w:right="24"/>
                          <w:jc w:val="center"/>
                          <w:rPr>
                            <w:sz w:val="3"/>
                          </w:rPr>
                        </w:pPr>
                        <w:r>
                          <w:rPr>
                            <w:w w:val="105"/>
                            <w:sz w:val="3"/>
                          </w:rPr>
                          <w:t>1,30139079%</w:t>
                        </w:r>
                      </w:p>
                    </w:tc>
                    <w:tc>
                      <w:tcPr>
                        <w:tcW w:w="288" w:type="dxa"/>
                        <w:tcBorders>
                          <w:top w:val="single" w:sz="2" w:space="0" w:color="000000"/>
                          <w:left w:val="single" w:sz="2" w:space="0" w:color="000000"/>
                          <w:bottom w:val="single" w:sz="2" w:space="0" w:color="000000"/>
                          <w:right w:val="single" w:sz="2" w:space="0" w:color="000000"/>
                        </w:tcBorders>
                      </w:tcPr>
                      <w:p w14:paraId="079C54DB" w14:textId="77777777" w:rsidR="00F65BCA" w:rsidRDefault="00F65BCA">
                        <w:pPr>
                          <w:pStyle w:val="TableParagraph"/>
                          <w:rPr>
                            <w:rFonts w:ascii="Calibri"/>
                            <w:sz w:val="2"/>
                          </w:rPr>
                        </w:pPr>
                      </w:p>
                      <w:p w14:paraId="137011E1" w14:textId="77777777" w:rsidR="00F65BCA" w:rsidRDefault="00F65BCA">
                        <w:pPr>
                          <w:pStyle w:val="TableParagraph"/>
                          <w:rPr>
                            <w:rFonts w:ascii="Calibri"/>
                            <w:sz w:val="2"/>
                          </w:rPr>
                        </w:pPr>
                      </w:p>
                      <w:p w14:paraId="4D6AA0AE" w14:textId="77777777" w:rsidR="00F65BCA" w:rsidRDefault="00F65BCA">
                        <w:pPr>
                          <w:pStyle w:val="TableParagraph"/>
                          <w:rPr>
                            <w:rFonts w:ascii="Calibri"/>
                            <w:sz w:val="2"/>
                          </w:rPr>
                        </w:pPr>
                      </w:p>
                      <w:p w14:paraId="0EA3190B" w14:textId="77777777" w:rsidR="00F65BCA" w:rsidRDefault="00F65BCA">
                        <w:pPr>
                          <w:pStyle w:val="TableParagraph"/>
                          <w:rPr>
                            <w:rFonts w:ascii="Calibri"/>
                            <w:sz w:val="2"/>
                          </w:rPr>
                        </w:pPr>
                      </w:p>
                      <w:p w14:paraId="220468B4" w14:textId="77777777" w:rsidR="00F65BCA" w:rsidRDefault="00216117">
                        <w:pPr>
                          <w:pStyle w:val="TableParagraph"/>
                          <w:ind w:left="24" w:right="24"/>
                          <w:jc w:val="center"/>
                          <w:rPr>
                            <w:sz w:val="3"/>
                          </w:rPr>
                        </w:pPr>
                        <w:r>
                          <w:rPr>
                            <w:w w:val="105"/>
                            <w:sz w:val="3"/>
                          </w:rPr>
                          <w:t>1,24065922%</w:t>
                        </w:r>
                      </w:p>
                    </w:tc>
                    <w:tc>
                      <w:tcPr>
                        <w:tcW w:w="288" w:type="dxa"/>
                        <w:tcBorders>
                          <w:top w:val="single" w:sz="2" w:space="0" w:color="000000"/>
                          <w:left w:val="single" w:sz="2" w:space="0" w:color="000000"/>
                          <w:bottom w:val="single" w:sz="2" w:space="0" w:color="000000"/>
                          <w:right w:val="single" w:sz="2" w:space="0" w:color="000000"/>
                        </w:tcBorders>
                      </w:tcPr>
                      <w:p w14:paraId="1E319397" w14:textId="77777777" w:rsidR="00F65BCA" w:rsidRDefault="00F65BCA">
                        <w:pPr>
                          <w:pStyle w:val="TableParagraph"/>
                          <w:rPr>
                            <w:rFonts w:ascii="Calibri"/>
                            <w:sz w:val="2"/>
                          </w:rPr>
                        </w:pPr>
                      </w:p>
                      <w:p w14:paraId="6EF7C54B" w14:textId="77777777" w:rsidR="00F65BCA" w:rsidRDefault="00F65BCA">
                        <w:pPr>
                          <w:pStyle w:val="TableParagraph"/>
                          <w:rPr>
                            <w:rFonts w:ascii="Calibri"/>
                            <w:sz w:val="2"/>
                          </w:rPr>
                        </w:pPr>
                      </w:p>
                      <w:p w14:paraId="3258CC5A" w14:textId="77777777" w:rsidR="00F65BCA" w:rsidRDefault="00F65BCA">
                        <w:pPr>
                          <w:pStyle w:val="TableParagraph"/>
                          <w:rPr>
                            <w:rFonts w:ascii="Calibri"/>
                            <w:sz w:val="2"/>
                          </w:rPr>
                        </w:pPr>
                      </w:p>
                      <w:p w14:paraId="13A46726" w14:textId="77777777" w:rsidR="00F65BCA" w:rsidRDefault="00F65BCA">
                        <w:pPr>
                          <w:pStyle w:val="TableParagraph"/>
                          <w:rPr>
                            <w:rFonts w:ascii="Calibri"/>
                            <w:sz w:val="2"/>
                          </w:rPr>
                        </w:pPr>
                      </w:p>
                      <w:p w14:paraId="2515D71A"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51E9C00F" w14:textId="77777777" w:rsidR="00F65BCA" w:rsidRDefault="00F65BCA">
                        <w:pPr>
                          <w:pStyle w:val="TableParagraph"/>
                          <w:rPr>
                            <w:rFonts w:ascii="Calibri"/>
                            <w:sz w:val="2"/>
                          </w:rPr>
                        </w:pPr>
                      </w:p>
                      <w:p w14:paraId="0F79E175" w14:textId="77777777" w:rsidR="00F65BCA" w:rsidRDefault="00F65BCA">
                        <w:pPr>
                          <w:pStyle w:val="TableParagraph"/>
                          <w:rPr>
                            <w:rFonts w:ascii="Calibri"/>
                            <w:sz w:val="2"/>
                          </w:rPr>
                        </w:pPr>
                      </w:p>
                      <w:p w14:paraId="51CB0F75" w14:textId="77777777" w:rsidR="00F65BCA" w:rsidRDefault="00F65BCA">
                        <w:pPr>
                          <w:pStyle w:val="TableParagraph"/>
                          <w:rPr>
                            <w:rFonts w:ascii="Calibri"/>
                            <w:sz w:val="2"/>
                          </w:rPr>
                        </w:pPr>
                      </w:p>
                      <w:p w14:paraId="761CE00E" w14:textId="77777777" w:rsidR="00F65BCA" w:rsidRDefault="00F65BCA">
                        <w:pPr>
                          <w:pStyle w:val="TableParagraph"/>
                          <w:rPr>
                            <w:rFonts w:ascii="Calibri"/>
                            <w:sz w:val="2"/>
                          </w:rPr>
                        </w:pPr>
                      </w:p>
                      <w:p w14:paraId="4CCC7026" w14:textId="77777777" w:rsidR="00F65BCA" w:rsidRDefault="00216117">
                        <w:pPr>
                          <w:pStyle w:val="TableParagraph"/>
                          <w:ind w:left="24" w:right="24"/>
                          <w:jc w:val="center"/>
                          <w:rPr>
                            <w:sz w:val="3"/>
                          </w:rPr>
                        </w:pPr>
                        <w:r>
                          <w:rPr>
                            <w:w w:val="105"/>
                            <w:sz w:val="3"/>
                          </w:rPr>
                          <w:t>1,11052014%</w:t>
                        </w:r>
                      </w:p>
                    </w:tc>
                    <w:tc>
                      <w:tcPr>
                        <w:tcW w:w="288" w:type="dxa"/>
                        <w:tcBorders>
                          <w:top w:val="single" w:sz="2" w:space="0" w:color="000000"/>
                          <w:left w:val="single" w:sz="2" w:space="0" w:color="000000"/>
                          <w:bottom w:val="single" w:sz="2" w:space="0" w:color="000000"/>
                          <w:right w:val="single" w:sz="2" w:space="0" w:color="000000"/>
                        </w:tcBorders>
                      </w:tcPr>
                      <w:p w14:paraId="59F72D68" w14:textId="77777777" w:rsidR="00F65BCA" w:rsidRDefault="00F65BCA">
                        <w:pPr>
                          <w:pStyle w:val="TableParagraph"/>
                          <w:rPr>
                            <w:rFonts w:ascii="Calibri"/>
                            <w:sz w:val="2"/>
                          </w:rPr>
                        </w:pPr>
                      </w:p>
                      <w:p w14:paraId="7A95D32F" w14:textId="77777777" w:rsidR="00F65BCA" w:rsidRDefault="00F65BCA">
                        <w:pPr>
                          <w:pStyle w:val="TableParagraph"/>
                          <w:rPr>
                            <w:rFonts w:ascii="Calibri"/>
                            <w:sz w:val="2"/>
                          </w:rPr>
                        </w:pPr>
                      </w:p>
                      <w:p w14:paraId="60D39B32" w14:textId="77777777" w:rsidR="00F65BCA" w:rsidRDefault="00F65BCA">
                        <w:pPr>
                          <w:pStyle w:val="TableParagraph"/>
                          <w:rPr>
                            <w:rFonts w:ascii="Calibri"/>
                            <w:sz w:val="2"/>
                          </w:rPr>
                        </w:pPr>
                      </w:p>
                      <w:p w14:paraId="30F5C760" w14:textId="77777777" w:rsidR="00F65BCA" w:rsidRDefault="00F65BCA">
                        <w:pPr>
                          <w:pStyle w:val="TableParagraph"/>
                          <w:rPr>
                            <w:rFonts w:ascii="Calibri"/>
                            <w:sz w:val="2"/>
                          </w:rPr>
                        </w:pPr>
                      </w:p>
                      <w:p w14:paraId="5FEE6B2A" w14:textId="77777777" w:rsidR="00F65BCA" w:rsidRDefault="00216117">
                        <w:pPr>
                          <w:pStyle w:val="TableParagraph"/>
                          <w:ind w:left="24" w:right="24"/>
                          <w:jc w:val="center"/>
                          <w:rPr>
                            <w:sz w:val="3"/>
                          </w:rPr>
                        </w:pPr>
                        <w:r>
                          <w:rPr>
                            <w:w w:val="105"/>
                            <w:sz w:val="3"/>
                          </w:rPr>
                          <w:t>1,03243670%</w:t>
                        </w:r>
                      </w:p>
                    </w:tc>
                    <w:tc>
                      <w:tcPr>
                        <w:tcW w:w="288" w:type="dxa"/>
                        <w:tcBorders>
                          <w:top w:val="single" w:sz="2" w:space="0" w:color="000000"/>
                          <w:left w:val="single" w:sz="2" w:space="0" w:color="000000"/>
                          <w:bottom w:val="single" w:sz="2" w:space="0" w:color="000000"/>
                          <w:right w:val="single" w:sz="2" w:space="0" w:color="000000"/>
                        </w:tcBorders>
                      </w:tcPr>
                      <w:p w14:paraId="58921A6D" w14:textId="77777777" w:rsidR="00F65BCA" w:rsidRDefault="00F65BCA">
                        <w:pPr>
                          <w:pStyle w:val="TableParagraph"/>
                          <w:rPr>
                            <w:rFonts w:ascii="Calibri"/>
                            <w:sz w:val="2"/>
                          </w:rPr>
                        </w:pPr>
                      </w:p>
                      <w:p w14:paraId="780C9E36" w14:textId="77777777" w:rsidR="00F65BCA" w:rsidRDefault="00F65BCA">
                        <w:pPr>
                          <w:pStyle w:val="TableParagraph"/>
                          <w:rPr>
                            <w:rFonts w:ascii="Calibri"/>
                            <w:sz w:val="2"/>
                          </w:rPr>
                        </w:pPr>
                      </w:p>
                      <w:p w14:paraId="171E7CEC" w14:textId="77777777" w:rsidR="00F65BCA" w:rsidRDefault="00F65BCA">
                        <w:pPr>
                          <w:pStyle w:val="TableParagraph"/>
                          <w:rPr>
                            <w:rFonts w:ascii="Calibri"/>
                            <w:sz w:val="2"/>
                          </w:rPr>
                        </w:pPr>
                      </w:p>
                      <w:p w14:paraId="07AB3497" w14:textId="77777777" w:rsidR="00F65BCA" w:rsidRDefault="00F65BCA">
                        <w:pPr>
                          <w:pStyle w:val="TableParagraph"/>
                          <w:rPr>
                            <w:rFonts w:ascii="Calibri"/>
                            <w:sz w:val="2"/>
                          </w:rPr>
                        </w:pPr>
                      </w:p>
                      <w:p w14:paraId="4E0D49F0" w14:textId="77777777" w:rsidR="00F65BCA" w:rsidRDefault="00216117">
                        <w:pPr>
                          <w:pStyle w:val="TableParagraph"/>
                          <w:ind w:left="24" w:right="24"/>
                          <w:jc w:val="center"/>
                          <w:rPr>
                            <w:sz w:val="3"/>
                          </w:rPr>
                        </w:pPr>
                        <w:r>
                          <w:rPr>
                            <w:w w:val="105"/>
                            <w:sz w:val="3"/>
                          </w:rPr>
                          <w:t>0,95435325%</w:t>
                        </w:r>
                      </w:p>
                    </w:tc>
                    <w:tc>
                      <w:tcPr>
                        <w:tcW w:w="288" w:type="dxa"/>
                        <w:tcBorders>
                          <w:top w:val="single" w:sz="2" w:space="0" w:color="000000"/>
                          <w:left w:val="single" w:sz="2" w:space="0" w:color="000000"/>
                          <w:bottom w:val="single" w:sz="2" w:space="0" w:color="000000"/>
                          <w:right w:val="single" w:sz="2" w:space="0" w:color="000000"/>
                        </w:tcBorders>
                      </w:tcPr>
                      <w:p w14:paraId="6EDA6828" w14:textId="77777777" w:rsidR="00F65BCA" w:rsidRDefault="00F65BCA">
                        <w:pPr>
                          <w:pStyle w:val="TableParagraph"/>
                          <w:rPr>
                            <w:rFonts w:ascii="Calibri"/>
                            <w:sz w:val="2"/>
                          </w:rPr>
                        </w:pPr>
                      </w:p>
                      <w:p w14:paraId="4BDABCEB" w14:textId="77777777" w:rsidR="00F65BCA" w:rsidRDefault="00F65BCA">
                        <w:pPr>
                          <w:pStyle w:val="TableParagraph"/>
                          <w:rPr>
                            <w:rFonts w:ascii="Calibri"/>
                            <w:sz w:val="2"/>
                          </w:rPr>
                        </w:pPr>
                      </w:p>
                      <w:p w14:paraId="218E5CEA" w14:textId="77777777" w:rsidR="00F65BCA" w:rsidRDefault="00F65BCA">
                        <w:pPr>
                          <w:pStyle w:val="TableParagraph"/>
                          <w:rPr>
                            <w:rFonts w:ascii="Calibri"/>
                            <w:sz w:val="2"/>
                          </w:rPr>
                        </w:pPr>
                      </w:p>
                      <w:p w14:paraId="6D8F32CE" w14:textId="77777777" w:rsidR="00F65BCA" w:rsidRDefault="00F65BCA">
                        <w:pPr>
                          <w:pStyle w:val="TableParagraph"/>
                          <w:rPr>
                            <w:rFonts w:ascii="Calibri"/>
                            <w:sz w:val="2"/>
                          </w:rPr>
                        </w:pPr>
                      </w:p>
                      <w:p w14:paraId="299CF2B6"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0517FCEC" w14:textId="77777777" w:rsidR="00F65BCA" w:rsidRDefault="00F65BCA">
                        <w:pPr>
                          <w:pStyle w:val="TableParagraph"/>
                          <w:rPr>
                            <w:rFonts w:ascii="Calibri"/>
                            <w:sz w:val="2"/>
                          </w:rPr>
                        </w:pPr>
                      </w:p>
                      <w:p w14:paraId="044EA42F" w14:textId="77777777" w:rsidR="00F65BCA" w:rsidRDefault="00F65BCA">
                        <w:pPr>
                          <w:pStyle w:val="TableParagraph"/>
                          <w:rPr>
                            <w:rFonts w:ascii="Calibri"/>
                            <w:sz w:val="2"/>
                          </w:rPr>
                        </w:pPr>
                      </w:p>
                      <w:p w14:paraId="57FD4643" w14:textId="77777777" w:rsidR="00F65BCA" w:rsidRDefault="00F65BCA">
                        <w:pPr>
                          <w:pStyle w:val="TableParagraph"/>
                          <w:rPr>
                            <w:rFonts w:ascii="Calibri"/>
                            <w:sz w:val="2"/>
                          </w:rPr>
                        </w:pPr>
                      </w:p>
                      <w:p w14:paraId="2A7D521B" w14:textId="77777777" w:rsidR="00F65BCA" w:rsidRDefault="00F65BCA">
                        <w:pPr>
                          <w:pStyle w:val="TableParagraph"/>
                          <w:rPr>
                            <w:rFonts w:ascii="Calibri"/>
                            <w:sz w:val="2"/>
                          </w:rPr>
                        </w:pPr>
                      </w:p>
                      <w:p w14:paraId="24C3A084" w14:textId="77777777" w:rsidR="00F65BCA" w:rsidRDefault="00216117">
                        <w:pPr>
                          <w:pStyle w:val="TableParagraph"/>
                          <w:ind w:left="24" w:right="24"/>
                          <w:jc w:val="center"/>
                          <w:rPr>
                            <w:sz w:val="3"/>
                          </w:rPr>
                        </w:pPr>
                        <w:r>
                          <w:rPr>
                            <w:w w:val="105"/>
                            <w:sz w:val="3"/>
                          </w:rPr>
                          <w:t>0,86759386%</w:t>
                        </w:r>
                      </w:p>
                    </w:tc>
                    <w:tc>
                      <w:tcPr>
                        <w:tcW w:w="288" w:type="dxa"/>
                        <w:tcBorders>
                          <w:top w:val="single" w:sz="2" w:space="0" w:color="000000"/>
                          <w:left w:val="single" w:sz="2" w:space="0" w:color="000000"/>
                          <w:bottom w:val="single" w:sz="2" w:space="0" w:color="000000"/>
                          <w:right w:val="single" w:sz="2" w:space="0" w:color="000000"/>
                        </w:tcBorders>
                      </w:tcPr>
                      <w:p w14:paraId="7FF19F19" w14:textId="77777777" w:rsidR="00F65BCA" w:rsidRDefault="00F65BCA">
                        <w:pPr>
                          <w:pStyle w:val="TableParagraph"/>
                          <w:rPr>
                            <w:rFonts w:ascii="Calibri"/>
                            <w:sz w:val="2"/>
                          </w:rPr>
                        </w:pPr>
                      </w:p>
                      <w:p w14:paraId="7371764B" w14:textId="77777777" w:rsidR="00F65BCA" w:rsidRDefault="00F65BCA">
                        <w:pPr>
                          <w:pStyle w:val="TableParagraph"/>
                          <w:rPr>
                            <w:rFonts w:ascii="Calibri"/>
                            <w:sz w:val="2"/>
                          </w:rPr>
                        </w:pPr>
                      </w:p>
                      <w:p w14:paraId="62D410F5" w14:textId="77777777" w:rsidR="00F65BCA" w:rsidRDefault="00F65BCA">
                        <w:pPr>
                          <w:pStyle w:val="TableParagraph"/>
                          <w:rPr>
                            <w:rFonts w:ascii="Calibri"/>
                            <w:sz w:val="2"/>
                          </w:rPr>
                        </w:pPr>
                      </w:p>
                      <w:p w14:paraId="7C9B6EA0" w14:textId="77777777" w:rsidR="00F65BCA" w:rsidRDefault="00F65BCA">
                        <w:pPr>
                          <w:pStyle w:val="TableParagraph"/>
                          <w:rPr>
                            <w:rFonts w:ascii="Calibri"/>
                            <w:sz w:val="2"/>
                          </w:rPr>
                        </w:pPr>
                      </w:p>
                      <w:p w14:paraId="71EFF858" w14:textId="77777777" w:rsidR="00F65BCA" w:rsidRDefault="00216117">
                        <w:pPr>
                          <w:pStyle w:val="TableParagraph"/>
                          <w:ind w:left="24" w:right="24"/>
                          <w:jc w:val="center"/>
                          <w:rPr>
                            <w:sz w:val="3"/>
                          </w:rPr>
                        </w:pPr>
                        <w:r>
                          <w:rPr>
                            <w:w w:val="105"/>
                            <w:sz w:val="3"/>
                          </w:rPr>
                          <w:t>1,04111264%</w:t>
                        </w:r>
                      </w:p>
                    </w:tc>
                    <w:tc>
                      <w:tcPr>
                        <w:tcW w:w="288" w:type="dxa"/>
                        <w:tcBorders>
                          <w:top w:val="single" w:sz="2" w:space="0" w:color="000000"/>
                          <w:left w:val="single" w:sz="2" w:space="0" w:color="000000"/>
                          <w:bottom w:val="single" w:sz="2" w:space="0" w:color="000000"/>
                          <w:right w:val="single" w:sz="2" w:space="0" w:color="000000"/>
                        </w:tcBorders>
                      </w:tcPr>
                      <w:p w14:paraId="1E172A80" w14:textId="77777777" w:rsidR="00F65BCA" w:rsidRDefault="00F65BCA">
                        <w:pPr>
                          <w:pStyle w:val="TableParagraph"/>
                          <w:rPr>
                            <w:rFonts w:ascii="Calibri"/>
                            <w:sz w:val="2"/>
                          </w:rPr>
                        </w:pPr>
                      </w:p>
                      <w:p w14:paraId="79C644F1" w14:textId="77777777" w:rsidR="00F65BCA" w:rsidRDefault="00F65BCA">
                        <w:pPr>
                          <w:pStyle w:val="TableParagraph"/>
                          <w:rPr>
                            <w:rFonts w:ascii="Calibri"/>
                            <w:sz w:val="2"/>
                          </w:rPr>
                        </w:pPr>
                      </w:p>
                      <w:p w14:paraId="464FC697" w14:textId="77777777" w:rsidR="00F65BCA" w:rsidRDefault="00F65BCA">
                        <w:pPr>
                          <w:pStyle w:val="TableParagraph"/>
                          <w:rPr>
                            <w:rFonts w:ascii="Calibri"/>
                            <w:sz w:val="2"/>
                          </w:rPr>
                        </w:pPr>
                      </w:p>
                      <w:p w14:paraId="7D825E33" w14:textId="77777777" w:rsidR="00F65BCA" w:rsidRDefault="00F65BCA">
                        <w:pPr>
                          <w:pStyle w:val="TableParagraph"/>
                          <w:rPr>
                            <w:rFonts w:ascii="Calibri"/>
                            <w:sz w:val="2"/>
                          </w:rPr>
                        </w:pPr>
                      </w:p>
                      <w:p w14:paraId="0D64D872"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70D04216" w14:textId="77777777" w:rsidR="00F65BCA" w:rsidRDefault="00F65BCA">
                        <w:pPr>
                          <w:pStyle w:val="TableParagraph"/>
                          <w:rPr>
                            <w:rFonts w:ascii="Calibri"/>
                            <w:sz w:val="2"/>
                          </w:rPr>
                        </w:pPr>
                      </w:p>
                      <w:p w14:paraId="00843A6F" w14:textId="77777777" w:rsidR="00F65BCA" w:rsidRDefault="00F65BCA">
                        <w:pPr>
                          <w:pStyle w:val="TableParagraph"/>
                          <w:rPr>
                            <w:rFonts w:ascii="Calibri"/>
                            <w:sz w:val="2"/>
                          </w:rPr>
                        </w:pPr>
                      </w:p>
                      <w:p w14:paraId="6BC2724A" w14:textId="77777777" w:rsidR="00F65BCA" w:rsidRDefault="00F65BCA">
                        <w:pPr>
                          <w:pStyle w:val="TableParagraph"/>
                          <w:rPr>
                            <w:rFonts w:ascii="Calibri"/>
                            <w:sz w:val="2"/>
                          </w:rPr>
                        </w:pPr>
                      </w:p>
                      <w:p w14:paraId="1DA7630B" w14:textId="77777777" w:rsidR="00F65BCA" w:rsidRDefault="00F65BCA">
                        <w:pPr>
                          <w:pStyle w:val="TableParagraph"/>
                          <w:rPr>
                            <w:rFonts w:ascii="Calibri"/>
                            <w:sz w:val="2"/>
                          </w:rPr>
                        </w:pPr>
                      </w:p>
                      <w:p w14:paraId="398F5A10" w14:textId="77777777" w:rsidR="00F65BCA" w:rsidRDefault="00216117">
                        <w:pPr>
                          <w:pStyle w:val="TableParagraph"/>
                          <w:ind w:left="24" w:right="24"/>
                          <w:jc w:val="center"/>
                          <w:rPr>
                            <w:sz w:val="3"/>
                          </w:rPr>
                        </w:pPr>
                        <w:r>
                          <w:rPr>
                            <w:w w:val="105"/>
                            <w:sz w:val="3"/>
                          </w:rPr>
                          <w:t>1,17125171%</w:t>
                        </w:r>
                      </w:p>
                    </w:tc>
                    <w:tc>
                      <w:tcPr>
                        <w:tcW w:w="288" w:type="dxa"/>
                        <w:tcBorders>
                          <w:top w:val="single" w:sz="2" w:space="0" w:color="000000"/>
                          <w:left w:val="single" w:sz="2" w:space="0" w:color="000000"/>
                          <w:bottom w:val="single" w:sz="2" w:space="0" w:color="000000"/>
                          <w:right w:val="single" w:sz="2" w:space="0" w:color="000000"/>
                        </w:tcBorders>
                      </w:tcPr>
                      <w:p w14:paraId="4B7EF313" w14:textId="77777777" w:rsidR="00F65BCA" w:rsidRDefault="00F65BCA">
                        <w:pPr>
                          <w:pStyle w:val="TableParagraph"/>
                          <w:rPr>
                            <w:rFonts w:ascii="Calibri"/>
                            <w:sz w:val="2"/>
                          </w:rPr>
                        </w:pPr>
                      </w:p>
                      <w:p w14:paraId="604002E2" w14:textId="77777777" w:rsidR="00F65BCA" w:rsidRDefault="00F65BCA">
                        <w:pPr>
                          <w:pStyle w:val="TableParagraph"/>
                          <w:rPr>
                            <w:rFonts w:ascii="Calibri"/>
                            <w:sz w:val="2"/>
                          </w:rPr>
                        </w:pPr>
                      </w:p>
                      <w:p w14:paraId="12BB6FEC" w14:textId="77777777" w:rsidR="00F65BCA" w:rsidRDefault="00F65BCA">
                        <w:pPr>
                          <w:pStyle w:val="TableParagraph"/>
                          <w:rPr>
                            <w:rFonts w:ascii="Calibri"/>
                            <w:sz w:val="2"/>
                          </w:rPr>
                        </w:pPr>
                      </w:p>
                      <w:p w14:paraId="3BC15FB7" w14:textId="77777777" w:rsidR="00F65BCA" w:rsidRDefault="00F65BCA">
                        <w:pPr>
                          <w:pStyle w:val="TableParagraph"/>
                          <w:rPr>
                            <w:rFonts w:ascii="Calibri"/>
                            <w:sz w:val="2"/>
                          </w:rPr>
                        </w:pPr>
                      </w:p>
                      <w:p w14:paraId="0481C50D" w14:textId="77777777" w:rsidR="00F65BCA" w:rsidRDefault="00216117">
                        <w:pPr>
                          <w:pStyle w:val="TableParagraph"/>
                          <w:ind w:left="24" w:right="24"/>
                          <w:jc w:val="center"/>
                          <w:rPr>
                            <w:sz w:val="3"/>
                          </w:rPr>
                        </w:pPr>
                        <w:r>
                          <w:rPr>
                            <w:w w:val="105"/>
                            <w:sz w:val="3"/>
                          </w:rPr>
                          <w:t>1,30139079%</w:t>
                        </w:r>
                      </w:p>
                    </w:tc>
                  </w:tr>
                  <w:tr w:rsidR="00F65BCA" w14:paraId="59CAF816"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71DD947C" w14:textId="77777777" w:rsidR="00F65BCA" w:rsidRDefault="00F65BCA">
                        <w:pPr>
                          <w:rPr>
                            <w:sz w:val="2"/>
                            <w:szCs w:val="2"/>
                          </w:rPr>
                        </w:pPr>
                      </w:p>
                    </w:tc>
                    <w:tc>
                      <w:tcPr>
                        <w:tcW w:w="732" w:type="dxa"/>
                        <w:vMerge w:val="restart"/>
                        <w:tcBorders>
                          <w:top w:val="single" w:sz="2" w:space="0" w:color="000000"/>
                          <w:left w:val="single" w:sz="2" w:space="0" w:color="000000"/>
                          <w:bottom w:val="nil"/>
                          <w:right w:val="single" w:sz="2" w:space="0" w:color="000000"/>
                        </w:tcBorders>
                        <w:shd w:val="clear" w:color="auto" w:fill="FCE4D6"/>
                      </w:tcPr>
                      <w:p w14:paraId="5C965EA5" w14:textId="77777777" w:rsidR="00F65BCA" w:rsidRDefault="00F65BCA">
                        <w:pPr>
                          <w:pStyle w:val="TableParagraph"/>
                          <w:rPr>
                            <w:rFonts w:ascii="Calibri"/>
                            <w:sz w:val="2"/>
                          </w:rPr>
                        </w:pPr>
                      </w:p>
                      <w:p w14:paraId="0FB9C03A" w14:textId="77777777" w:rsidR="00F65BCA" w:rsidRDefault="00F65BCA">
                        <w:pPr>
                          <w:pStyle w:val="TableParagraph"/>
                          <w:rPr>
                            <w:rFonts w:ascii="Calibri"/>
                            <w:sz w:val="2"/>
                          </w:rPr>
                        </w:pPr>
                      </w:p>
                      <w:p w14:paraId="64103434" w14:textId="77777777" w:rsidR="00F65BCA" w:rsidRDefault="00F65BCA">
                        <w:pPr>
                          <w:pStyle w:val="TableParagraph"/>
                          <w:rPr>
                            <w:rFonts w:ascii="Calibri"/>
                            <w:sz w:val="2"/>
                          </w:rPr>
                        </w:pPr>
                      </w:p>
                      <w:p w14:paraId="5CAFA580" w14:textId="77777777" w:rsidR="00F65BCA" w:rsidRDefault="00F65BCA">
                        <w:pPr>
                          <w:pStyle w:val="TableParagraph"/>
                          <w:rPr>
                            <w:rFonts w:ascii="Calibri"/>
                            <w:sz w:val="2"/>
                          </w:rPr>
                        </w:pPr>
                      </w:p>
                      <w:p w14:paraId="596D0DF1" w14:textId="77777777" w:rsidR="00F65BCA" w:rsidRDefault="00F65BCA">
                        <w:pPr>
                          <w:pStyle w:val="TableParagraph"/>
                          <w:rPr>
                            <w:rFonts w:ascii="Calibri"/>
                            <w:sz w:val="2"/>
                          </w:rPr>
                        </w:pPr>
                      </w:p>
                      <w:p w14:paraId="47BCCCB6" w14:textId="77777777" w:rsidR="00F65BCA" w:rsidRDefault="00F65BCA">
                        <w:pPr>
                          <w:pStyle w:val="TableParagraph"/>
                          <w:spacing w:before="6"/>
                          <w:rPr>
                            <w:rFonts w:ascii="Calibri"/>
                            <w:sz w:val="2"/>
                          </w:rPr>
                        </w:pPr>
                      </w:p>
                      <w:p w14:paraId="31064D1E" w14:textId="77777777" w:rsidR="00F65BCA" w:rsidRDefault="00216117">
                        <w:pPr>
                          <w:pStyle w:val="TableParagraph"/>
                          <w:ind w:left="18" w:right="17"/>
                          <w:jc w:val="center"/>
                          <w:rPr>
                            <w:sz w:val="3"/>
                          </w:rPr>
                        </w:pPr>
                        <w:r>
                          <w:rPr>
                            <w:w w:val="105"/>
                            <w:sz w:val="3"/>
                          </w:rPr>
                          <w:t>Suzuki</w:t>
                        </w:r>
                      </w:p>
                    </w:tc>
                    <w:tc>
                      <w:tcPr>
                        <w:tcW w:w="958" w:type="dxa"/>
                        <w:vMerge w:val="restart"/>
                        <w:tcBorders>
                          <w:top w:val="single" w:sz="2" w:space="0" w:color="000000"/>
                          <w:left w:val="single" w:sz="2" w:space="0" w:color="000000"/>
                          <w:bottom w:val="single" w:sz="2" w:space="0" w:color="000000"/>
                          <w:right w:val="single" w:sz="2" w:space="0" w:color="000000"/>
                        </w:tcBorders>
                        <w:shd w:val="clear" w:color="auto" w:fill="FCE4D6"/>
                      </w:tcPr>
                      <w:p w14:paraId="59C93A0F" w14:textId="77777777" w:rsidR="00F65BCA" w:rsidRDefault="00F65BCA">
                        <w:pPr>
                          <w:pStyle w:val="TableParagraph"/>
                          <w:rPr>
                            <w:rFonts w:ascii="Calibri"/>
                            <w:sz w:val="2"/>
                          </w:rPr>
                        </w:pPr>
                      </w:p>
                      <w:p w14:paraId="17C53A34" w14:textId="77777777" w:rsidR="00F65BCA" w:rsidRDefault="00F65BCA">
                        <w:pPr>
                          <w:pStyle w:val="TableParagraph"/>
                          <w:rPr>
                            <w:rFonts w:ascii="Calibri"/>
                            <w:sz w:val="2"/>
                          </w:rPr>
                        </w:pPr>
                      </w:p>
                      <w:p w14:paraId="04568DD3" w14:textId="77777777" w:rsidR="00F65BCA" w:rsidRDefault="00216117">
                        <w:pPr>
                          <w:pStyle w:val="TableParagraph"/>
                          <w:spacing w:before="17"/>
                          <w:ind w:left="4"/>
                          <w:rPr>
                            <w:sz w:val="3"/>
                          </w:rPr>
                        </w:pPr>
                        <w:r>
                          <w:rPr>
                            <w:w w:val="105"/>
                            <w:sz w:val="3"/>
                          </w:rPr>
                          <w:t>CARRY VAN</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78B7C39" w14:textId="77777777" w:rsidR="00F65BCA" w:rsidRDefault="00F65BCA">
                        <w:pPr>
                          <w:pStyle w:val="TableParagraph"/>
                          <w:rPr>
                            <w:rFonts w:ascii="Calibri"/>
                            <w:sz w:val="2"/>
                          </w:rPr>
                        </w:pPr>
                      </w:p>
                      <w:p w14:paraId="0D293C66"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1FED68C" w14:textId="77777777" w:rsidR="00F65BCA" w:rsidRDefault="00F65BCA">
                        <w:pPr>
                          <w:pStyle w:val="TableParagraph"/>
                          <w:rPr>
                            <w:rFonts w:ascii="Calibri"/>
                            <w:sz w:val="2"/>
                          </w:rPr>
                        </w:pPr>
                      </w:p>
                      <w:p w14:paraId="287962E5"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53D3C136"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7DA8132C" w14:textId="77777777" w:rsidR="00F65BCA" w:rsidRDefault="00F65BCA">
                        <w:pPr>
                          <w:pStyle w:val="TableParagraph"/>
                          <w:rPr>
                            <w:rFonts w:ascii="Calibri"/>
                            <w:sz w:val="2"/>
                          </w:rPr>
                        </w:pPr>
                      </w:p>
                      <w:p w14:paraId="33F48807" w14:textId="77777777" w:rsidR="00F65BCA" w:rsidRDefault="00216117">
                        <w:pPr>
                          <w:pStyle w:val="TableParagraph"/>
                          <w:ind w:left="24" w:right="24"/>
                          <w:jc w:val="center"/>
                          <w:rPr>
                            <w:sz w:val="3"/>
                          </w:rPr>
                        </w:pPr>
                        <w:r>
                          <w:rPr>
                            <w:w w:val="105"/>
                            <w:sz w:val="3"/>
                          </w:rPr>
                          <w:t>1,02336000%</w:t>
                        </w:r>
                      </w:p>
                    </w:tc>
                    <w:tc>
                      <w:tcPr>
                        <w:tcW w:w="288" w:type="dxa"/>
                        <w:tcBorders>
                          <w:top w:val="single" w:sz="2" w:space="0" w:color="000000"/>
                          <w:left w:val="single" w:sz="2" w:space="0" w:color="000000"/>
                          <w:bottom w:val="single" w:sz="2" w:space="0" w:color="000000"/>
                          <w:right w:val="single" w:sz="2" w:space="0" w:color="000000"/>
                        </w:tcBorders>
                      </w:tcPr>
                      <w:p w14:paraId="471356EC" w14:textId="77777777" w:rsidR="00F65BCA" w:rsidRDefault="00F65BCA">
                        <w:pPr>
                          <w:pStyle w:val="TableParagraph"/>
                          <w:rPr>
                            <w:rFonts w:ascii="Calibri"/>
                            <w:sz w:val="2"/>
                          </w:rPr>
                        </w:pPr>
                      </w:p>
                      <w:p w14:paraId="4BFA8888" w14:textId="77777777" w:rsidR="00F65BCA" w:rsidRDefault="00216117">
                        <w:pPr>
                          <w:pStyle w:val="TableParagraph"/>
                          <w:ind w:left="24" w:right="24"/>
                          <w:jc w:val="center"/>
                          <w:rPr>
                            <w:sz w:val="3"/>
                          </w:rPr>
                        </w:pPr>
                        <w:r>
                          <w:rPr>
                            <w:w w:val="105"/>
                            <w:sz w:val="3"/>
                          </w:rPr>
                          <w:t>0,95940000%</w:t>
                        </w:r>
                      </w:p>
                    </w:tc>
                    <w:tc>
                      <w:tcPr>
                        <w:tcW w:w="288" w:type="dxa"/>
                        <w:tcBorders>
                          <w:top w:val="single" w:sz="2" w:space="0" w:color="000000"/>
                          <w:left w:val="single" w:sz="2" w:space="0" w:color="000000"/>
                          <w:bottom w:val="single" w:sz="2" w:space="0" w:color="000000"/>
                          <w:right w:val="single" w:sz="2" w:space="0" w:color="000000"/>
                        </w:tcBorders>
                      </w:tcPr>
                      <w:p w14:paraId="6554995A" w14:textId="77777777" w:rsidR="00F65BCA" w:rsidRDefault="00F65BCA">
                        <w:pPr>
                          <w:pStyle w:val="TableParagraph"/>
                          <w:rPr>
                            <w:rFonts w:ascii="Calibri"/>
                            <w:sz w:val="2"/>
                          </w:rPr>
                        </w:pPr>
                      </w:p>
                      <w:p w14:paraId="798C0AA0" w14:textId="77777777" w:rsidR="00F65BCA" w:rsidRDefault="00216117">
                        <w:pPr>
                          <w:pStyle w:val="TableParagraph"/>
                          <w:ind w:left="24" w:right="24"/>
                          <w:jc w:val="center"/>
                          <w:rPr>
                            <w:sz w:val="3"/>
                          </w:rPr>
                        </w:pPr>
                        <w:r>
                          <w:rPr>
                            <w:w w:val="105"/>
                            <w:sz w:val="3"/>
                          </w:rPr>
                          <w:t>0,91462800%</w:t>
                        </w:r>
                      </w:p>
                    </w:tc>
                    <w:tc>
                      <w:tcPr>
                        <w:tcW w:w="288" w:type="dxa"/>
                        <w:tcBorders>
                          <w:top w:val="single" w:sz="2" w:space="0" w:color="000000"/>
                          <w:left w:val="single" w:sz="2" w:space="0" w:color="000000"/>
                          <w:bottom w:val="single" w:sz="2" w:space="0" w:color="000000"/>
                          <w:right w:val="single" w:sz="2" w:space="0" w:color="000000"/>
                        </w:tcBorders>
                      </w:tcPr>
                      <w:p w14:paraId="0C80A2C6" w14:textId="77777777" w:rsidR="00F65BCA" w:rsidRDefault="00F65BCA">
                        <w:pPr>
                          <w:pStyle w:val="TableParagraph"/>
                          <w:rPr>
                            <w:rFonts w:ascii="Calibri"/>
                            <w:sz w:val="2"/>
                          </w:rPr>
                        </w:pPr>
                      </w:p>
                      <w:p w14:paraId="3DF14924"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6C8FC14B" w14:textId="77777777" w:rsidR="00F65BCA" w:rsidRDefault="00F65BCA">
                        <w:pPr>
                          <w:pStyle w:val="TableParagraph"/>
                          <w:rPr>
                            <w:rFonts w:ascii="Calibri"/>
                            <w:sz w:val="2"/>
                          </w:rPr>
                        </w:pPr>
                      </w:p>
                      <w:p w14:paraId="61F74491" w14:textId="77777777" w:rsidR="00F65BCA" w:rsidRDefault="00216117">
                        <w:pPr>
                          <w:pStyle w:val="TableParagraph"/>
                          <w:ind w:left="24" w:right="24"/>
                          <w:jc w:val="center"/>
                          <w:rPr>
                            <w:sz w:val="3"/>
                          </w:rPr>
                        </w:pPr>
                        <w:r>
                          <w:rPr>
                            <w:w w:val="105"/>
                            <w:sz w:val="3"/>
                          </w:rPr>
                          <w:t>0,81868800%</w:t>
                        </w:r>
                      </w:p>
                    </w:tc>
                    <w:tc>
                      <w:tcPr>
                        <w:tcW w:w="288" w:type="dxa"/>
                        <w:tcBorders>
                          <w:top w:val="single" w:sz="2" w:space="0" w:color="000000"/>
                          <w:left w:val="single" w:sz="2" w:space="0" w:color="000000"/>
                          <w:bottom w:val="single" w:sz="2" w:space="0" w:color="000000"/>
                          <w:right w:val="single" w:sz="2" w:space="0" w:color="000000"/>
                        </w:tcBorders>
                      </w:tcPr>
                      <w:p w14:paraId="660E6549" w14:textId="77777777" w:rsidR="00F65BCA" w:rsidRDefault="00F65BCA">
                        <w:pPr>
                          <w:pStyle w:val="TableParagraph"/>
                          <w:rPr>
                            <w:rFonts w:ascii="Calibri"/>
                            <w:sz w:val="2"/>
                          </w:rPr>
                        </w:pPr>
                      </w:p>
                      <w:p w14:paraId="51508FF7" w14:textId="77777777" w:rsidR="00F65BCA" w:rsidRDefault="00216117">
                        <w:pPr>
                          <w:pStyle w:val="TableParagraph"/>
                          <w:ind w:left="24" w:right="24"/>
                          <w:jc w:val="center"/>
                          <w:rPr>
                            <w:sz w:val="3"/>
                          </w:rPr>
                        </w:pPr>
                        <w:r>
                          <w:rPr>
                            <w:w w:val="105"/>
                            <w:sz w:val="3"/>
                          </w:rPr>
                          <w:t>0,76112400%</w:t>
                        </w:r>
                      </w:p>
                    </w:tc>
                    <w:tc>
                      <w:tcPr>
                        <w:tcW w:w="288" w:type="dxa"/>
                        <w:tcBorders>
                          <w:top w:val="single" w:sz="2" w:space="0" w:color="000000"/>
                          <w:left w:val="single" w:sz="2" w:space="0" w:color="000000"/>
                          <w:bottom w:val="single" w:sz="2" w:space="0" w:color="000000"/>
                          <w:right w:val="single" w:sz="2" w:space="0" w:color="000000"/>
                        </w:tcBorders>
                      </w:tcPr>
                      <w:p w14:paraId="1AAFC688" w14:textId="77777777" w:rsidR="00F65BCA" w:rsidRDefault="00F65BCA">
                        <w:pPr>
                          <w:pStyle w:val="TableParagraph"/>
                          <w:rPr>
                            <w:rFonts w:ascii="Calibri"/>
                            <w:sz w:val="2"/>
                          </w:rPr>
                        </w:pPr>
                      </w:p>
                      <w:p w14:paraId="6460140A" w14:textId="77777777" w:rsidR="00F65BCA" w:rsidRDefault="00216117">
                        <w:pPr>
                          <w:pStyle w:val="TableParagraph"/>
                          <w:ind w:left="24" w:right="24"/>
                          <w:jc w:val="center"/>
                          <w:rPr>
                            <w:sz w:val="3"/>
                          </w:rPr>
                        </w:pPr>
                        <w:r>
                          <w:rPr>
                            <w:w w:val="105"/>
                            <w:sz w:val="3"/>
                          </w:rPr>
                          <w:t>0,70356000%</w:t>
                        </w:r>
                      </w:p>
                    </w:tc>
                    <w:tc>
                      <w:tcPr>
                        <w:tcW w:w="288" w:type="dxa"/>
                        <w:tcBorders>
                          <w:top w:val="single" w:sz="2" w:space="0" w:color="000000"/>
                          <w:left w:val="single" w:sz="2" w:space="0" w:color="000000"/>
                          <w:bottom w:val="single" w:sz="2" w:space="0" w:color="000000"/>
                          <w:right w:val="single" w:sz="2" w:space="0" w:color="000000"/>
                        </w:tcBorders>
                      </w:tcPr>
                      <w:p w14:paraId="54EDAC28" w14:textId="77777777" w:rsidR="00F65BCA" w:rsidRDefault="00F65BCA">
                        <w:pPr>
                          <w:pStyle w:val="TableParagraph"/>
                          <w:rPr>
                            <w:rFonts w:ascii="Calibri"/>
                            <w:sz w:val="2"/>
                          </w:rPr>
                        </w:pPr>
                      </w:p>
                      <w:p w14:paraId="3CF26348"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39D79873" w14:textId="77777777" w:rsidR="00F65BCA" w:rsidRDefault="00F65BCA">
                        <w:pPr>
                          <w:pStyle w:val="TableParagraph"/>
                          <w:rPr>
                            <w:rFonts w:ascii="Calibri"/>
                            <w:sz w:val="2"/>
                          </w:rPr>
                        </w:pPr>
                      </w:p>
                      <w:p w14:paraId="1F003EB5" w14:textId="77777777" w:rsidR="00F65BCA" w:rsidRDefault="00216117">
                        <w:pPr>
                          <w:pStyle w:val="TableParagraph"/>
                          <w:ind w:left="24" w:right="24"/>
                          <w:jc w:val="center"/>
                          <w:rPr>
                            <w:sz w:val="3"/>
                          </w:rPr>
                        </w:pPr>
                        <w:r>
                          <w:rPr>
                            <w:w w:val="105"/>
                            <w:sz w:val="3"/>
                          </w:rPr>
                          <w:t>0,63960000%</w:t>
                        </w:r>
                      </w:p>
                    </w:tc>
                    <w:tc>
                      <w:tcPr>
                        <w:tcW w:w="288" w:type="dxa"/>
                        <w:tcBorders>
                          <w:top w:val="single" w:sz="2" w:space="0" w:color="000000"/>
                          <w:left w:val="single" w:sz="2" w:space="0" w:color="000000"/>
                          <w:bottom w:val="single" w:sz="2" w:space="0" w:color="000000"/>
                          <w:right w:val="single" w:sz="2" w:space="0" w:color="000000"/>
                        </w:tcBorders>
                      </w:tcPr>
                      <w:p w14:paraId="677271CE" w14:textId="77777777" w:rsidR="00F65BCA" w:rsidRDefault="00F65BCA">
                        <w:pPr>
                          <w:pStyle w:val="TableParagraph"/>
                          <w:rPr>
                            <w:rFonts w:ascii="Calibri"/>
                            <w:sz w:val="2"/>
                          </w:rPr>
                        </w:pPr>
                      </w:p>
                      <w:p w14:paraId="2C84D3B0" w14:textId="77777777" w:rsidR="00F65BCA" w:rsidRDefault="00216117">
                        <w:pPr>
                          <w:pStyle w:val="TableParagraph"/>
                          <w:ind w:left="24" w:right="24"/>
                          <w:jc w:val="center"/>
                          <w:rPr>
                            <w:sz w:val="3"/>
                          </w:rPr>
                        </w:pPr>
                        <w:r>
                          <w:rPr>
                            <w:w w:val="105"/>
                            <w:sz w:val="3"/>
                          </w:rPr>
                          <w:t>0,76752000%</w:t>
                        </w:r>
                      </w:p>
                    </w:tc>
                    <w:tc>
                      <w:tcPr>
                        <w:tcW w:w="288" w:type="dxa"/>
                        <w:tcBorders>
                          <w:top w:val="single" w:sz="2" w:space="0" w:color="000000"/>
                          <w:left w:val="single" w:sz="2" w:space="0" w:color="000000"/>
                          <w:bottom w:val="single" w:sz="2" w:space="0" w:color="000000"/>
                          <w:right w:val="single" w:sz="2" w:space="0" w:color="000000"/>
                        </w:tcBorders>
                      </w:tcPr>
                      <w:p w14:paraId="7EB9D755" w14:textId="77777777" w:rsidR="00F65BCA" w:rsidRDefault="00F65BCA">
                        <w:pPr>
                          <w:pStyle w:val="TableParagraph"/>
                          <w:rPr>
                            <w:rFonts w:ascii="Calibri"/>
                            <w:sz w:val="2"/>
                          </w:rPr>
                        </w:pPr>
                      </w:p>
                      <w:p w14:paraId="3A86D443"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6189D5E5" w14:textId="77777777" w:rsidR="00F65BCA" w:rsidRDefault="00F65BCA">
                        <w:pPr>
                          <w:pStyle w:val="TableParagraph"/>
                          <w:rPr>
                            <w:rFonts w:ascii="Calibri"/>
                            <w:sz w:val="2"/>
                          </w:rPr>
                        </w:pPr>
                      </w:p>
                      <w:p w14:paraId="7FDF9DEF" w14:textId="77777777" w:rsidR="00F65BCA" w:rsidRDefault="00216117">
                        <w:pPr>
                          <w:pStyle w:val="TableParagraph"/>
                          <w:ind w:left="24" w:right="24"/>
                          <w:jc w:val="center"/>
                          <w:rPr>
                            <w:sz w:val="3"/>
                          </w:rPr>
                        </w:pPr>
                        <w:r>
                          <w:rPr>
                            <w:w w:val="105"/>
                            <w:sz w:val="3"/>
                          </w:rPr>
                          <w:t>0,86346000%</w:t>
                        </w:r>
                      </w:p>
                    </w:tc>
                    <w:tc>
                      <w:tcPr>
                        <w:tcW w:w="288" w:type="dxa"/>
                        <w:tcBorders>
                          <w:top w:val="single" w:sz="2" w:space="0" w:color="000000"/>
                          <w:left w:val="single" w:sz="2" w:space="0" w:color="000000"/>
                          <w:bottom w:val="single" w:sz="2" w:space="0" w:color="000000"/>
                          <w:right w:val="single" w:sz="2" w:space="0" w:color="000000"/>
                        </w:tcBorders>
                      </w:tcPr>
                      <w:p w14:paraId="40BAE1AB" w14:textId="77777777" w:rsidR="00F65BCA" w:rsidRDefault="00F65BCA">
                        <w:pPr>
                          <w:pStyle w:val="TableParagraph"/>
                          <w:rPr>
                            <w:rFonts w:ascii="Calibri"/>
                            <w:sz w:val="2"/>
                          </w:rPr>
                        </w:pPr>
                      </w:p>
                      <w:p w14:paraId="5C704319" w14:textId="77777777" w:rsidR="00F65BCA" w:rsidRDefault="00216117">
                        <w:pPr>
                          <w:pStyle w:val="TableParagraph"/>
                          <w:ind w:left="24" w:right="24"/>
                          <w:jc w:val="center"/>
                          <w:rPr>
                            <w:sz w:val="3"/>
                          </w:rPr>
                        </w:pPr>
                        <w:r>
                          <w:rPr>
                            <w:w w:val="105"/>
                            <w:sz w:val="3"/>
                          </w:rPr>
                          <w:t>0,95940000%</w:t>
                        </w:r>
                      </w:p>
                    </w:tc>
                  </w:tr>
                  <w:tr w:rsidR="00F65BCA" w14:paraId="016984B1"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5A9C544F" w14:textId="77777777" w:rsidR="00F65BCA" w:rsidRDefault="00F65BCA">
                        <w:pPr>
                          <w:rPr>
                            <w:sz w:val="2"/>
                            <w:szCs w:val="2"/>
                          </w:rPr>
                        </w:pPr>
                      </w:p>
                    </w:tc>
                    <w:tc>
                      <w:tcPr>
                        <w:tcW w:w="732" w:type="dxa"/>
                        <w:vMerge/>
                        <w:tcBorders>
                          <w:top w:val="nil"/>
                          <w:left w:val="single" w:sz="2" w:space="0" w:color="000000"/>
                          <w:bottom w:val="nil"/>
                          <w:right w:val="single" w:sz="2" w:space="0" w:color="000000"/>
                        </w:tcBorders>
                        <w:shd w:val="clear" w:color="auto" w:fill="FCE4D6"/>
                      </w:tcPr>
                      <w:p w14:paraId="3A5B3F41" w14:textId="77777777" w:rsidR="00F65BCA" w:rsidRDefault="00F65BCA">
                        <w:pPr>
                          <w:rPr>
                            <w:sz w:val="2"/>
                            <w:szCs w:val="2"/>
                          </w:rPr>
                        </w:pPr>
                      </w:p>
                    </w:tc>
                    <w:tc>
                      <w:tcPr>
                        <w:tcW w:w="958" w:type="dxa"/>
                        <w:vMerge/>
                        <w:tcBorders>
                          <w:top w:val="nil"/>
                          <w:left w:val="single" w:sz="2" w:space="0" w:color="000000"/>
                          <w:bottom w:val="single" w:sz="2" w:space="0" w:color="000000"/>
                          <w:right w:val="single" w:sz="2" w:space="0" w:color="000000"/>
                        </w:tcBorders>
                        <w:shd w:val="clear" w:color="auto" w:fill="FCE4D6"/>
                      </w:tcPr>
                      <w:p w14:paraId="5996714F" w14:textId="77777777" w:rsidR="00F65BCA" w:rsidRDefault="00F65BCA">
                        <w:pPr>
                          <w:rPr>
                            <w:sz w:val="2"/>
                            <w:szCs w:val="2"/>
                          </w:rPr>
                        </w:pP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B85D596" w14:textId="77777777" w:rsidR="00F65BCA" w:rsidRDefault="00F65BCA">
                        <w:pPr>
                          <w:pStyle w:val="TableParagraph"/>
                          <w:rPr>
                            <w:rFonts w:ascii="Calibri"/>
                            <w:sz w:val="2"/>
                          </w:rPr>
                        </w:pPr>
                      </w:p>
                      <w:p w14:paraId="585FDF4A" w14:textId="77777777" w:rsidR="00F65BCA" w:rsidRDefault="00216117">
                        <w:pPr>
                          <w:pStyle w:val="TableParagraph"/>
                          <w:ind w:left="128" w:right="128"/>
                          <w:jc w:val="center"/>
                          <w:rPr>
                            <w:sz w:val="3"/>
                          </w:rPr>
                        </w:pPr>
                        <w:r>
                          <w:rPr>
                            <w:w w:val="105"/>
                            <w:sz w:val="3"/>
                          </w:rPr>
                          <w:t>&gt;1000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71060733" w14:textId="77777777" w:rsidR="00F65BCA" w:rsidRDefault="00F65BCA">
                        <w:pPr>
                          <w:pStyle w:val="TableParagraph"/>
                          <w:rPr>
                            <w:rFonts w:ascii="Calibri"/>
                            <w:sz w:val="2"/>
                          </w:rPr>
                        </w:pPr>
                      </w:p>
                      <w:p w14:paraId="0F4F3042"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6BFB09D9"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18B5BAAD" w14:textId="77777777" w:rsidR="00F65BCA" w:rsidRDefault="00F65BCA">
                        <w:pPr>
                          <w:pStyle w:val="TableParagraph"/>
                          <w:rPr>
                            <w:rFonts w:ascii="Calibri"/>
                            <w:sz w:val="2"/>
                          </w:rPr>
                        </w:pPr>
                      </w:p>
                      <w:p w14:paraId="0EC7479B" w14:textId="77777777" w:rsidR="00F65BCA" w:rsidRDefault="00216117">
                        <w:pPr>
                          <w:pStyle w:val="TableParagraph"/>
                          <w:ind w:left="24" w:right="24"/>
                          <w:jc w:val="center"/>
                          <w:rPr>
                            <w:sz w:val="3"/>
                          </w:rPr>
                        </w:pPr>
                        <w:r>
                          <w:rPr>
                            <w:w w:val="105"/>
                            <w:sz w:val="3"/>
                          </w:rPr>
                          <w:t>1,23621888%</w:t>
                        </w:r>
                      </w:p>
                    </w:tc>
                    <w:tc>
                      <w:tcPr>
                        <w:tcW w:w="288" w:type="dxa"/>
                        <w:tcBorders>
                          <w:top w:val="single" w:sz="2" w:space="0" w:color="000000"/>
                          <w:left w:val="single" w:sz="2" w:space="0" w:color="000000"/>
                          <w:bottom w:val="single" w:sz="2" w:space="0" w:color="000000"/>
                          <w:right w:val="single" w:sz="2" w:space="0" w:color="000000"/>
                        </w:tcBorders>
                      </w:tcPr>
                      <w:p w14:paraId="0E12C719" w14:textId="77777777" w:rsidR="00F65BCA" w:rsidRDefault="00F65BCA">
                        <w:pPr>
                          <w:pStyle w:val="TableParagraph"/>
                          <w:rPr>
                            <w:rFonts w:ascii="Calibri"/>
                            <w:sz w:val="2"/>
                          </w:rPr>
                        </w:pPr>
                      </w:p>
                      <w:p w14:paraId="016CCFFF" w14:textId="77777777" w:rsidR="00F65BCA" w:rsidRDefault="00216117">
                        <w:pPr>
                          <w:pStyle w:val="TableParagraph"/>
                          <w:ind w:left="24" w:right="24"/>
                          <w:jc w:val="center"/>
                          <w:rPr>
                            <w:sz w:val="3"/>
                          </w:rPr>
                        </w:pPr>
                        <w:r>
                          <w:rPr>
                            <w:w w:val="105"/>
                            <w:sz w:val="3"/>
                          </w:rPr>
                          <w:t>1,15895520%</w:t>
                        </w:r>
                      </w:p>
                    </w:tc>
                    <w:tc>
                      <w:tcPr>
                        <w:tcW w:w="288" w:type="dxa"/>
                        <w:tcBorders>
                          <w:top w:val="single" w:sz="2" w:space="0" w:color="000000"/>
                          <w:left w:val="single" w:sz="2" w:space="0" w:color="000000"/>
                          <w:bottom w:val="single" w:sz="2" w:space="0" w:color="000000"/>
                          <w:right w:val="single" w:sz="2" w:space="0" w:color="000000"/>
                        </w:tcBorders>
                      </w:tcPr>
                      <w:p w14:paraId="467408CF" w14:textId="77777777" w:rsidR="00F65BCA" w:rsidRDefault="00F65BCA">
                        <w:pPr>
                          <w:pStyle w:val="TableParagraph"/>
                          <w:rPr>
                            <w:rFonts w:ascii="Calibri"/>
                            <w:sz w:val="2"/>
                          </w:rPr>
                        </w:pPr>
                      </w:p>
                      <w:p w14:paraId="6C82B641" w14:textId="77777777" w:rsidR="00F65BCA" w:rsidRDefault="00216117">
                        <w:pPr>
                          <w:pStyle w:val="TableParagraph"/>
                          <w:ind w:left="24" w:right="24"/>
                          <w:jc w:val="center"/>
                          <w:rPr>
                            <w:sz w:val="3"/>
                          </w:rPr>
                        </w:pPr>
                        <w:r>
                          <w:rPr>
                            <w:w w:val="105"/>
                            <w:sz w:val="3"/>
                          </w:rPr>
                          <w:t>1,10487062%</w:t>
                        </w:r>
                      </w:p>
                    </w:tc>
                    <w:tc>
                      <w:tcPr>
                        <w:tcW w:w="288" w:type="dxa"/>
                        <w:tcBorders>
                          <w:top w:val="single" w:sz="2" w:space="0" w:color="000000"/>
                          <w:left w:val="single" w:sz="2" w:space="0" w:color="000000"/>
                          <w:bottom w:val="single" w:sz="2" w:space="0" w:color="000000"/>
                          <w:right w:val="single" w:sz="2" w:space="0" w:color="000000"/>
                        </w:tcBorders>
                      </w:tcPr>
                      <w:p w14:paraId="6D96C4BC" w14:textId="77777777" w:rsidR="00F65BCA" w:rsidRDefault="00F65BCA">
                        <w:pPr>
                          <w:pStyle w:val="TableParagraph"/>
                          <w:rPr>
                            <w:rFonts w:ascii="Calibri"/>
                            <w:sz w:val="2"/>
                          </w:rPr>
                        </w:pPr>
                      </w:p>
                      <w:p w14:paraId="4C065A81"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2ACAEA98" w14:textId="77777777" w:rsidR="00F65BCA" w:rsidRDefault="00F65BCA">
                        <w:pPr>
                          <w:pStyle w:val="TableParagraph"/>
                          <w:rPr>
                            <w:rFonts w:ascii="Calibri"/>
                            <w:sz w:val="2"/>
                          </w:rPr>
                        </w:pPr>
                      </w:p>
                      <w:p w14:paraId="459699FE" w14:textId="77777777" w:rsidR="00F65BCA" w:rsidRDefault="00216117">
                        <w:pPr>
                          <w:pStyle w:val="TableParagraph"/>
                          <w:ind w:left="24" w:right="24"/>
                          <w:jc w:val="center"/>
                          <w:rPr>
                            <w:sz w:val="3"/>
                          </w:rPr>
                        </w:pPr>
                        <w:r>
                          <w:rPr>
                            <w:w w:val="105"/>
                            <w:sz w:val="3"/>
                          </w:rPr>
                          <w:t>0,98897510%</w:t>
                        </w:r>
                      </w:p>
                    </w:tc>
                    <w:tc>
                      <w:tcPr>
                        <w:tcW w:w="288" w:type="dxa"/>
                        <w:tcBorders>
                          <w:top w:val="single" w:sz="2" w:space="0" w:color="000000"/>
                          <w:left w:val="single" w:sz="2" w:space="0" w:color="000000"/>
                          <w:bottom w:val="single" w:sz="2" w:space="0" w:color="000000"/>
                          <w:right w:val="single" w:sz="2" w:space="0" w:color="000000"/>
                        </w:tcBorders>
                      </w:tcPr>
                      <w:p w14:paraId="3D9E77C5" w14:textId="77777777" w:rsidR="00F65BCA" w:rsidRDefault="00F65BCA">
                        <w:pPr>
                          <w:pStyle w:val="TableParagraph"/>
                          <w:rPr>
                            <w:rFonts w:ascii="Calibri"/>
                            <w:sz w:val="2"/>
                          </w:rPr>
                        </w:pPr>
                      </w:p>
                      <w:p w14:paraId="036599E3" w14:textId="77777777" w:rsidR="00F65BCA" w:rsidRDefault="00216117">
                        <w:pPr>
                          <w:pStyle w:val="TableParagraph"/>
                          <w:ind w:left="24" w:right="24"/>
                          <w:jc w:val="center"/>
                          <w:rPr>
                            <w:sz w:val="3"/>
                          </w:rPr>
                        </w:pPr>
                        <w:r>
                          <w:rPr>
                            <w:w w:val="105"/>
                            <w:sz w:val="3"/>
                          </w:rPr>
                          <w:t>0,91943779%</w:t>
                        </w:r>
                      </w:p>
                    </w:tc>
                    <w:tc>
                      <w:tcPr>
                        <w:tcW w:w="288" w:type="dxa"/>
                        <w:tcBorders>
                          <w:top w:val="single" w:sz="2" w:space="0" w:color="000000"/>
                          <w:left w:val="single" w:sz="2" w:space="0" w:color="000000"/>
                          <w:bottom w:val="single" w:sz="2" w:space="0" w:color="000000"/>
                          <w:right w:val="single" w:sz="2" w:space="0" w:color="000000"/>
                        </w:tcBorders>
                      </w:tcPr>
                      <w:p w14:paraId="6BCD3A5B" w14:textId="77777777" w:rsidR="00F65BCA" w:rsidRDefault="00F65BCA">
                        <w:pPr>
                          <w:pStyle w:val="TableParagraph"/>
                          <w:rPr>
                            <w:rFonts w:ascii="Calibri"/>
                            <w:sz w:val="2"/>
                          </w:rPr>
                        </w:pPr>
                      </w:p>
                      <w:p w14:paraId="3B44AB4C" w14:textId="77777777" w:rsidR="00F65BCA" w:rsidRDefault="00216117">
                        <w:pPr>
                          <w:pStyle w:val="TableParagraph"/>
                          <w:ind w:left="24" w:right="24"/>
                          <w:jc w:val="center"/>
                          <w:rPr>
                            <w:sz w:val="3"/>
                          </w:rPr>
                        </w:pPr>
                        <w:r>
                          <w:rPr>
                            <w:w w:val="105"/>
                            <w:sz w:val="3"/>
                          </w:rPr>
                          <w:t>0,84990048%</w:t>
                        </w:r>
                      </w:p>
                    </w:tc>
                    <w:tc>
                      <w:tcPr>
                        <w:tcW w:w="288" w:type="dxa"/>
                        <w:tcBorders>
                          <w:top w:val="single" w:sz="2" w:space="0" w:color="000000"/>
                          <w:left w:val="single" w:sz="2" w:space="0" w:color="000000"/>
                          <w:bottom w:val="single" w:sz="2" w:space="0" w:color="000000"/>
                          <w:right w:val="single" w:sz="2" w:space="0" w:color="000000"/>
                        </w:tcBorders>
                      </w:tcPr>
                      <w:p w14:paraId="546C4E5C" w14:textId="77777777" w:rsidR="00F65BCA" w:rsidRDefault="00F65BCA">
                        <w:pPr>
                          <w:pStyle w:val="TableParagraph"/>
                          <w:rPr>
                            <w:rFonts w:ascii="Calibri"/>
                            <w:sz w:val="2"/>
                          </w:rPr>
                        </w:pPr>
                      </w:p>
                      <w:p w14:paraId="5A0711C3"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5C4146B9" w14:textId="77777777" w:rsidR="00F65BCA" w:rsidRDefault="00F65BCA">
                        <w:pPr>
                          <w:pStyle w:val="TableParagraph"/>
                          <w:rPr>
                            <w:rFonts w:ascii="Calibri"/>
                            <w:sz w:val="2"/>
                          </w:rPr>
                        </w:pPr>
                      </w:p>
                      <w:p w14:paraId="4F42FBBA" w14:textId="77777777" w:rsidR="00F65BCA" w:rsidRDefault="00216117">
                        <w:pPr>
                          <w:pStyle w:val="TableParagraph"/>
                          <w:ind w:left="24" w:right="24"/>
                          <w:jc w:val="center"/>
                          <w:rPr>
                            <w:sz w:val="3"/>
                          </w:rPr>
                        </w:pPr>
                        <w:r>
                          <w:rPr>
                            <w:w w:val="105"/>
                            <w:sz w:val="3"/>
                          </w:rPr>
                          <w:t>0,77263680%</w:t>
                        </w:r>
                      </w:p>
                    </w:tc>
                    <w:tc>
                      <w:tcPr>
                        <w:tcW w:w="288" w:type="dxa"/>
                        <w:tcBorders>
                          <w:top w:val="single" w:sz="2" w:space="0" w:color="000000"/>
                          <w:left w:val="single" w:sz="2" w:space="0" w:color="000000"/>
                          <w:bottom w:val="single" w:sz="2" w:space="0" w:color="000000"/>
                          <w:right w:val="single" w:sz="2" w:space="0" w:color="000000"/>
                        </w:tcBorders>
                      </w:tcPr>
                      <w:p w14:paraId="57BFE436" w14:textId="77777777" w:rsidR="00F65BCA" w:rsidRDefault="00F65BCA">
                        <w:pPr>
                          <w:pStyle w:val="TableParagraph"/>
                          <w:rPr>
                            <w:rFonts w:ascii="Calibri"/>
                            <w:sz w:val="2"/>
                          </w:rPr>
                        </w:pPr>
                      </w:p>
                      <w:p w14:paraId="77A2DD0E" w14:textId="77777777" w:rsidR="00F65BCA" w:rsidRDefault="00216117">
                        <w:pPr>
                          <w:pStyle w:val="TableParagraph"/>
                          <w:ind w:left="24" w:right="24"/>
                          <w:jc w:val="center"/>
                          <w:rPr>
                            <w:sz w:val="3"/>
                          </w:rPr>
                        </w:pPr>
                        <w:r>
                          <w:rPr>
                            <w:w w:val="105"/>
                            <w:sz w:val="3"/>
                          </w:rPr>
                          <w:t>0,92716416%</w:t>
                        </w:r>
                      </w:p>
                    </w:tc>
                    <w:tc>
                      <w:tcPr>
                        <w:tcW w:w="288" w:type="dxa"/>
                        <w:tcBorders>
                          <w:top w:val="single" w:sz="2" w:space="0" w:color="000000"/>
                          <w:left w:val="single" w:sz="2" w:space="0" w:color="000000"/>
                          <w:bottom w:val="single" w:sz="2" w:space="0" w:color="000000"/>
                          <w:right w:val="single" w:sz="2" w:space="0" w:color="000000"/>
                        </w:tcBorders>
                      </w:tcPr>
                      <w:p w14:paraId="3E076270" w14:textId="77777777" w:rsidR="00F65BCA" w:rsidRDefault="00F65BCA">
                        <w:pPr>
                          <w:pStyle w:val="TableParagraph"/>
                          <w:rPr>
                            <w:rFonts w:ascii="Calibri"/>
                            <w:sz w:val="2"/>
                          </w:rPr>
                        </w:pPr>
                      </w:p>
                      <w:p w14:paraId="3C58425F"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20F70EA1" w14:textId="77777777" w:rsidR="00F65BCA" w:rsidRDefault="00F65BCA">
                        <w:pPr>
                          <w:pStyle w:val="TableParagraph"/>
                          <w:rPr>
                            <w:rFonts w:ascii="Calibri"/>
                            <w:sz w:val="2"/>
                          </w:rPr>
                        </w:pPr>
                      </w:p>
                      <w:p w14:paraId="40F90158" w14:textId="77777777" w:rsidR="00F65BCA" w:rsidRDefault="00216117">
                        <w:pPr>
                          <w:pStyle w:val="TableParagraph"/>
                          <w:ind w:left="24" w:right="24"/>
                          <w:jc w:val="center"/>
                          <w:rPr>
                            <w:sz w:val="3"/>
                          </w:rPr>
                        </w:pPr>
                        <w:r>
                          <w:rPr>
                            <w:w w:val="105"/>
                            <w:sz w:val="3"/>
                          </w:rPr>
                          <w:t>1,04305968%</w:t>
                        </w:r>
                      </w:p>
                    </w:tc>
                    <w:tc>
                      <w:tcPr>
                        <w:tcW w:w="288" w:type="dxa"/>
                        <w:tcBorders>
                          <w:top w:val="single" w:sz="2" w:space="0" w:color="000000"/>
                          <w:left w:val="single" w:sz="2" w:space="0" w:color="000000"/>
                          <w:bottom w:val="single" w:sz="2" w:space="0" w:color="000000"/>
                          <w:right w:val="single" w:sz="2" w:space="0" w:color="000000"/>
                        </w:tcBorders>
                      </w:tcPr>
                      <w:p w14:paraId="2BB5520E" w14:textId="77777777" w:rsidR="00F65BCA" w:rsidRDefault="00F65BCA">
                        <w:pPr>
                          <w:pStyle w:val="TableParagraph"/>
                          <w:rPr>
                            <w:rFonts w:ascii="Calibri"/>
                            <w:sz w:val="2"/>
                          </w:rPr>
                        </w:pPr>
                      </w:p>
                      <w:p w14:paraId="6619A8B1" w14:textId="77777777" w:rsidR="00F65BCA" w:rsidRDefault="00216117">
                        <w:pPr>
                          <w:pStyle w:val="TableParagraph"/>
                          <w:ind w:left="24" w:right="24"/>
                          <w:jc w:val="center"/>
                          <w:rPr>
                            <w:sz w:val="3"/>
                          </w:rPr>
                        </w:pPr>
                        <w:r>
                          <w:rPr>
                            <w:w w:val="105"/>
                            <w:sz w:val="3"/>
                          </w:rPr>
                          <w:t>1,15895520%</w:t>
                        </w:r>
                      </w:p>
                    </w:tc>
                  </w:tr>
                  <w:tr w:rsidR="00F65BCA" w14:paraId="6785DB04" w14:textId="77777777">
                    <w:trPr>
                      <w:trHeight w:val="81"/>
                    </w:trPr>
                    <w:tc>
                      <w:tcPr>
                        <w:tcW w:w="526" w:type="dxa"/>
                        <w:vMerge/>
                        <w:tcBorders>
                          <w:top w:val="nil"/>
                          <w:left w:val="single" w:sz="2" w:space="0" w:color="000000"/>
                          <w:bottom w:val="nil"/>
                          <w:right w:val="single" w:sz="2" w:space="0" w:color="000000"/>
                        </w:tcBorders>
                        <w:shd w:val="clear" w:color="auto" w:fill="FCE4D6"/>
                      </w:tcPr>
                      <w:p w14:paraId="48142D7A" w14:textId="77777777" w:rsidR="00F65BCA" w:rsidRDefault="00F65BCA">
                        <w:pPr>
                          <w:rPr>
                            <w:sz w:val="2"/>
                            <w:szCs w:val="2"/>
                          </w:rPr>
                        </w:pPr>
                      </w:p>
                    </w:tc>
                    <w:tc>
                      <w:tcPr>
                        <w:tcW w:w="732" w:type="dxa"/>
                        <w:vMerge/>
                        <w:tcBorders>
                          <w:top w:val="nil"/>
                          <w:left w:val="single" w:sz="2" w:space="0" w:color="000000"/>
                          <w:bottom w:val="nil"/>
                          <w:right w:val="single" w:sz="2" w:space="0" w:color="000000"/>
                        </w:tcBorders>
                        <w:shd w:val="clear" w:color="auto" w:fill="FCE4D6"/>
                      </w:tcPr>
                      <w:p w14:paraId="49217D7C" w14:textId="77777777" w:rsidR="00F65BCA" w:rsidRDefault="00F65BCA">
                        <w:pPr>
                          <w:rPr>
                            <w:sz w:val="2"/>
                            <w:szCs w:val="2"/>
                          </w:rPr>
                        </w:pPr>
                      </w:p>
                    </w:tc>
                    <w:tc>
                      <w:tcPr>
                        <w:tcW w:w="958" w:type="dxa"/>
                        <w:tcBorders>
                          <w:top w:val="single" w:sz="2" w:space="0" w:color="000000"/>
                          <w:left w:val="single" w:sz="2" w:space="0" w:color="000000"/>
                          <w:bottom w:val="nil"/>
                          <w:right w:val="single" w:sz="2" w:space="0" w:color="000000"/>
                        </w:tcBorders>
                        <w:shd w:val="clear" w:color="auto" w:fill="FCE4D6"/>
                      </w:tcPr>
                      <w:p w14:paraId="24D7CD06" w14:textId="77777777" w:rsidR="00F65BCA" w:rsidRDefault="00216117">
                        <w:pPr>
                          <w:pStyle w:val="TableParagraph"/>
                          <w:spacing w:before="4"/>
                          <w:ind w:left="4"/>
                          <w:rPr>
                            <w:sz w:val="3"/>
                          </w:rPr>
                        </w:pPr>
                        <w:r>
                          <w:rPr>
                            <w:w w:val="105"/>
                            <w:sz w:val="3"/>
                          </w:rPr>
                          <w:t>ALTO; BALENO; BALENO COMBI; CELERIO; GRAND VITARA;</w:t>
                        </w:r>
                      </w:p>
                      <w:p w14:paraId="05E123E5" w14:textId="77777777" w:rsidR="00F65BCA" w:rsidRDefault="00216117">
                        <w:pPr>
                          <w:pStyle w:val="TableParagraph"/>
                          <w:spacing w:before="6" w:line="16" w:lineRule="exact"/>
                          <w:ind w:left="4"/>
                          <w:rPr>
                            <w:sz w:val="3"/>
                          </w:rPr>
                        </w:pPr>
                        <w:r>
                          <w:rPr>
                            <w:w w:val="105"/>
                            <w:sz w:val="3"/>
                          </w:rPr>
                          <w:t>IGNIS; JIMNY; JINÉ; KIZASHI; LIANA; SAMURAI; S-CROSS;</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292AAAF6" w14:textId="77777777" w:rsidR="00F65BCA" w:rsidRDefault="00F65BCA">
                        <w:pPr>
                          <w:pStyle w:val="TableParagraph"/>
                          <w:rPr>
                            <w:rFonts w:ascii="Calibri"/>
                            <w:sz w:val="2"/>
                          </w:rPr>
                        </w:pPr>
                      </w:p>
                      <w:p w14:paraId="64ED5DA1" w14:textId="77777777" w:rsidR="00F65BCA" w:rsidRDefault="00216117">
                        <w:pPr>
                          <w:pStyle w:val="TableParagraph"/>
                          <w:ind w:left="129" w:right="127"/>
                          <w:jc w:val="center"/>
                          <w:rPr>
                            <w:sz w:val="3"/>
                          </w:rPr>
                        </w:pPr>
                        <w:r>
                          <w:rPr>
                            <w:w w:val="105"/>
                            <w:sz w:val="3"/>
                          </w:rPr>
                          <w:t>0-1000 ccm</w:t>
                        </w:r>
                      </w:p>
                    </w:tc>
                    <w:tc>
                      <w:tcPr>
                        <w:tcW w:w="576" w:type="dxa"/>
                        <w:tcBorders>
                          <w:top w:val="single" w:sz="2" w:space="0" w:color="000000"/>
                          <w:left w:val="single" w:sz="2" w:space="0" w:color="000000"/>
                          <w:bottom w:val="single" w:sz="2" w:space="0" w:color="000000"/>
                          <w:right w:val="single" w:sz="2" w:space="0" w:color="000000"/>
                        </w:tcBorders>
                        <w:shd w:val="clear" w:color="auto" w:fill="FCE4D6"/>
                      </w:tcPr>
                      <w:p w14:paraId="012DE786" w14:textId="77777777" w:rsidR="00F65BCA" w:rsidRDefault="00F65BCA">
                        <w:pPr>
                          <w:pStyle w:val="TableParagraph"/>
                          <w:rPr>
                            <w:rFonts w:ascii="Calibri"/>
                            <w:sz w:val="2"/>
                          </w:rPr>
                        </w:pPr>
                      </w:p>
                      <w:p w14:paraId="5917A0B9" w14:textId="77777777" w:rsidR="00F65BCA" w:rsidRDefault="00216117">
                        <w:pPr>
                          <w:pStyle w:val="TableParagraph"/>
                          <w:ind w:left="282"/>
                          <w:rPr>
                            <w:sz w:val="3"/>
                          </w:rPr>
                        </w:pPr>
                        <w:r>
                          <w:rPr>
                            <w:w w:val="103"/>
                            <w:sz w:val="3"/>
                          </w:rPr>
                          <w:t>-</w:t>
                        </w:r>
                      </w:p>
                    </w:tc>
                    <w:tc>
                      <w:tcPr>
                        <w:tcW w:w="50" w:type="dxa"/>
                        <w:vMerge/>
                        <w:tcBorders>
                          <w:top w:val="nil"/>
                          <w:left w:val="single" w:sz="2" w:space="0" w:color="000000"/>
                          <w:bottom w:val="nil"/>
                          <w:right w:val="single" w:sz="2" w:space="0" w:color="000000"/>
                        </w:tcBorders>
                      </w:tcPr>
                      <w:p w14:paraId="7A7DB704" w14:textId="77777777" w:rsidR="00F65BCA" w:rsidRDefault="00F65BCA">
                        <w:pPr>
                          <w:rPr>
                            <w:sz w:val="2"/>
                            <w:szCs w:val="2"/>
                          </w:rPr>
                        </w:pPr>
                      </w:p>
                    </w:tc>
                    <w:tc>
                      <w:tcPr>
                        <w:tcW w:w="288" w:type="dxa"/>
                        <w:tcBorders>
                          <w:top w:val="single" w:sz="2" w:space="0" w:color="000000"/>
                          <w:left w:val="single" w:sz="2" w:space="0" w:color="000000"/>
                          <w:bottom w:val="single" w:sz="2" w:space="0" w:color="000000"/>
                          <w:right w:val="single" w:sz="2" w:space="0" w:color="000000"/>
                        </w:tcBorders>
                      </w:tcPr>
                      <w:p w14:paraId="43E309A4" w14:textId="77777777" w:rsidR="00F65BCA" w:rsidRDefault="00F65BCA">
                        <w:pPr>
                          <w:pStyle w:val="TableParagraph"/>
                          <w:rPr>
                            <w:rFonts w:ascii="Calibri"/>
                            <w:sz w:val="2"/>
                          </w:rPr>
                        </w:pPr>
                      </w:p>
                      <w:p w14:paraId="77F5B5B6" w14:textId="77777777" w:rsidR="00F65BCA" w:rsidRDefault="00216117">
                        <w:pPr>
                          <w:pStyle w:val="TableParagraph"/>
                          <w:ind w:left="24" w:right="24"/>
                          <w:jc w:val="center"/>
                          <w:rPr>
                            <w:sz w:val="3"/>
                          </w:rPr>
                        </w:pPr>
                        <w:r>
                          <w:rPr>
                            <w:w w:val="105"/>
                            <w:sz w:val="3"/>
                          </w:rPr>
                          <w:t>1,14913094%</w:t>
                        </w:r>
                      </w:p>
                    </w:tc>
                    <w:tc>
                      <w:tcPr>
                        <w:tcW w:w="288" w:type="dxa"/>
                        <w:tcBorders>
                          <w:top w:val="single" w:sz="2" w:space="0" w:color="000000"/>
                          <w:left w:val="single" w:sz="2" w:space="0" w:color="000000"/>
                          <w:bottom w:val="single" w:sz="2" w:space="0" w:color="000000"/>
                          <w:right w:val="single" w:sz="2" w:space="0" w:color="000000"/>
                        </w:tcBorders>
                      </w:tcPr>
                      <w:p w14:paraId="2848FEDB" w14:textId="77777777" w:rsidR="00F65BCA" w:rsidRDefault="00F65BCA">
                        <w:pPr>
                          <w:pStyle w:val="TableParagraph"/>
                          <w:rPr>
                            <w:rFonts w:ascii="Calibri"/>
                            <w:sz w:val="2"/>
                          </w:rPr>
                        </w:pPr>
                      </w:p>
                      <w:p w14:paraId="1365D53A" w14:textId="77777777" w:rsidR="00F65BCA" w:rsidRDefault="00216117">
                        <w:pPr>
                          <w:pStyle w:val="TableParagraph"/>
                          <w:ind w:left="24" w:right="24"/>
                          <w:jc w:val="center"/>
                          <w:rPr>
                            <w:sz w:val="3"/>
                          </w:rPr>
                        </w:pPr>
                        <w:r>
                          <w:rPr>
                            <w:w w:val="105"/>
                            <w:sz w:val="3"/>
                          </w:rPr>
                          <w:t>1,07731026%</w:t>
                        </w:r>
                      </w:p>
                    </w:tc>
                    <w:tc>
                      <w:tcPr>
                        <w:tcW w:w="288" w:type="dxa"/>
                        <w:tcBorders>
                          <w:top w:val="single" w:sz="2" w:space="0" w:color="000000"/>
                          <w:left w:val="single" w:sz="2" w:space="0" w:color="000000"/>
                          <w:bottom w:val="single" w:sz="2" w:space="0" w:color="000000"/>
                          <w:right w:val="single" w:sz="2" w:space="0" w:color="000000"/>
                        </w:tcBorders>
                      </w:tcPr>
                      <w:p w14:paraId="44B1D85A" w14:textId="77777777" w:rsidR="00F65BCA" w:rsidRDefault="00F65BCA">
                        <w:pPr>
                          <w:pStyle w:val="TableParagraph"/>
                          <w:rPr>
                            <w:rFonts w:ascii="Calibri"/>
                            <w:sz w:val="2"/>
                          </w:rPr>
                        </w:pPr>
                      </w:p>
                      <w:p w14:paraId="75C5DD11" w14:textId="77777777" w:rsidR="00F65BCA" w:rsidRDefault="00216117">
                        <w:pPr>
                          <w:pStyle w:val="TableParagraph"/>
                          <w:ind w:left="24" w:right="24"/>
                          <w:jc w:val="center"/>
                          <w:rPr>
                            <w:sz w:val="3"/>
                          </w:rPr>
                        </w:pPr>
                        <w:r>
                          <w:rPr>
                            <w:w w:val="105"/>
                            <w:sz w:val="3"/>
                          </w:rPr>
                          <w:t>1,02703578%</w:t>
                        </w:r>
                      </w:p>
                    </w:tc>
                    <w:tc>
                      <w:tcPr>
                        <w:tcW w:w="288" w:type="dxa"/>
                        <w:tcBorders>
                          <w:top w:val="single" w:sz="2" w:space="0" w:color="000000"/>
                          <w:left w:val="single" w:sz="2" w:space="0" w:color="000000"/>
                          <w:bottom w:val="single" w:sz="2" w:space="0" w:color="000000"/>
                          <w:right w:val="single" w:sz="2" w:space="0" w:color="000000"/>
                        </w:tcBorders>
                      </w:tcPr>
                      <w:p w14:paraId="42BED65A" w14:textId="77777777" w:rsidR="00F65BCA" w:rsidRDefault="00F65BCA">
                        <w:pPr>
                          <w:pStyle w:val="TableParagraph"/>
                          <w:rPr>
                            <w:rFonts w:ascii="Calibri"/>
                            <w:sz w:val="2"/>
                          </w:rPr>
                        </w:pPr>
                      </w:p>
                      <w:p w14:paraId="2E321A3B"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5325139D" w14:textId="77777777" w:rsidR="00F65BCA" w:rsidRDefault="00F65BCA">
                        <w:pPr>
                          <w:pStyle w:val="TableParagraph"/>
                          <w:rPr>
                            <w:rFonts w:ascii="Calibri"/>
                            <w:sz w:val="2"/>
                          </w:rPr>
                        </w:pPr>
                      </w:p>
                      <w:p w14:paraId="506E4121" w14:textId="77777777" w:rsidR="00F65BCA" w:rsidRDefault="00216117">
                        <w:pPr>
                          <w:pStyle w:val="TableParagraph"/>
                          <w:ind w:left="24" w:right="24"/>
                          <w:jc w:val="center"/>
                          <w:rPr>
                            <w:sz w:val="3"/>
                          </w:rPr>
                        </w:pPr>
                        <w:r>
                          <w:rPr>
                            <w:w w:val="105"/>
                            <w:sz w:val="3"/>
                          </w:rPr>
                          <w:t>0,91930476%</w:t>
                        </w:r>
                      </w:p>
                    </w:tc>
                    <w:tc>
                      <w:tcPr>
                        <w:tcW w:w="288" w:type="dxa"/>
                        <w:tcBorders>
                          <w:top w:val="single" w:sz="2" w:space="0" w:color="000000"/>
                          <w:left w:val="single" w:sz="2" w:space="0" w:color="000000"/>
                          <w:bottom w:val="single" w:sz="2" w:space="0" w:color="000000"/>
                          <w:right w:val="single" w:sz="2" w:space="0" w:color="000000"/>
                        </w:tcBorders>
                      </w:tcPr>
                      <w:p w14:paraId="30C579B0" w14:textId="77777777" w:rsidR="00F65BCA" w:rsidRDefault="00F65BCA">
                        <w:pPr>
                          <w:pStyle w:val="TableParagraph"/>
                          <w:rPr>
                            <w:rFonts w:ascii="Calibri"/>
                            <w:sz w:val="2"/>
                          </w:rPr>
                        </w:pPr>
                      </w:p>
                      <w:p w14:paraId="22DA2197" w14:textId="77777777" w:rsidR="00F65BCA" w:rsidRDefault="00216117">
                        <w:pPr>
                          <w:pStyle w:val="TableParagraph"/>
                          <w:ind w:left="24" w:right="24"/>
                          <w:jc w:val="center"/>
                          <w:rPr>
                            <w:sz w:val="3"/>
                          </w:rPr>
                        </w:pPr>
                        <w:r>
                          <w:rPr>
                            <w:w w:val="105"/>
                            <w:sz w:val="3"/>
                          </w:rPr>
                          <w:t>0,85466614%</w:t>
                        </w:r>
                      </w:p>
                    </w:tc>
                    <w:tc>
                      <w:tcPr>
                        <w:tcW w:w="288" w:type="dxa"/>
                        <w:tcBorders>
                          <w:top w:val="single" w:sz="2" w:space="0" w:color="000000"/>
                          <w:left w:val="single" w:sz="2" w:space="0" w:color="000000"/>
                          <w:bottom w:val="single" w:sz="2" w:space="0" w:color="000000"/>
                          <w:right w:val="single" w:sz="2" w:space="0" w:color="000000"/>
                        </w:tcBorders>
                      </w:tcPr>
                      <w:p w14:paraId="254770BA" w14:textId="77777777" w:rsidR="00F65BCA" w:rsidRDefault="00F65BCA">
                        <w:pPr>
                          <w:pStyle w:val="TableParagraph"/>
                          <w:rPr>
                            <w:rFonts w:ascii="Calibri"/>
                            <w:sz w:val="2"/>
                          </w:rPr>
                        </w:pPr>
                      </w:p>
                      <w:p w14:paraId="40BC655D" w14:textId="77777777" w:rsidR="00F65BCA" w:rsidRDefault="00216117">
                        <w:pPr>
                          <w:pStyle w:val="TableParagraph"/>
                          <w:ind w:left="24" w:right="24"/>
                          <w:jc w:val="center"/>
                          <w:rPr>
                            <w:sz w:val="3"/>
                          </w:rPr>
                        </w:pPr>
                        <w:r>
                          <w:rPr>
                            <w:w w:val="105"/>
                            <w:sz w:val="3"/>
                          </w:rPr>
                          <w:t>0,79002752%</w:t>
                        </w:r>
                      </w:p>
                    </w:tc>
                    <w:tc>
                      <w:tcPr>
                        <w:tcW w:w="288" w:type="dxa"/>
                        <w:tcBorders>
                          <w:top w:val="single" w:sz="2" w:space="0" w:color="000000"/>
                          <w:left w:val="single" w:sz="2" w:space="0" w:color="000000"/>
                          <w:bottom w:val="single" w:sz="2" w:space="0" w:color="000000"/>
                          <w:right w:val="single" w:sz="2" w:space="0" w:color="000000"/>
                        </w:tcBorders>
                      </w:tcPr>
                      <w:p w14:paraId="168979CE" w14:textId="77777777" w:rsidR="00F65BCA" w:rsidRDefault="00F65BCA">
                        <w:pPr>
                          <w:pStyle w:val="TableParagraph"/>
                          <w:rPr>
                            <w:rFonts w:ascii="Calibri"/>
                            <w:sz w:val="2"/>
                          </w:rPr>
                        </w:pPr>
                      </w:p>
                      <w:p w14:paraId="33127F38"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67A767B3" w14:textId="77777777" w:rsidR="00F65BCA" w:rsidRDefault="00F65BCA">
                        <w:pPr>
                          <w:pStyle w:val="TableParagraph"/>
                          <w:rPr>
                            <w:rFonts w:ascii="Calibri"/>
                            <w:sz w:val="2"/>
                          </w:rPr>
                        </w:pPr>
                      </w:p>
                      <w:p w14:paraId="1C422E7F" w14:textId="77777777" w:rsidR="00F65BCA" w:rsidRDefault="00216117">
                        <w:pPr>
                          <w:pStyle w:val="TableParagraph"/>
                          <w:ind w:left="24" w:right="24"/>
                          <w:jc w:val="center"/>
                          <w:rPr>
                            <w:sz w:val="3"/>
                          </w:rPr>
                        </w:pPr>
                        <w:r>
                          <w:rPr>
                            <w:w w:val="105"/>
                            <w:sz w:val="3"/>
                          </w:rPr>
                          <w:t>0,71820684%</w:t>
                        </w:r>
                      </w:p>
                    </w:tc>
                    <w:tc>
                      <w:tcPr>
                        <w:tcW w:w="288" w:type="dxa"/>
                        <w:tcBorders>
                          <w:top w:val="single" w:sz="2" w:space="0" w:color="000000"/>
                          <w:left w:val="single" w:sz="2" w:space="0" w:color="000000"/>
                          <w:bottom w:val="single" w:sz="2" w:space="0" w:color="000000"/>
                          <w:right w:val="single" w:sz="2" w:space="0" w:color="000000"/>
                        </w:tcBorders>
                      </w:tcPr>
                      <w:p w14:paraId="31FE8A44" w14:textId="77777777" w:rsidR="00F65BCA" w:rsidRDefault="00F65BCA">
                        <w:pPr>
                          <w:pStyle w:val="TableParagraph"/>
                          <w:rPr>
                            <w:rFonts w:ascii="Calibri"/>
                            <w:sz w:val="2"/>
                          </w:rPr>
                        </w:pPr>
                      </w:p>
                      <w:p w14:paraId="0D0B1B2A" w14:textId="77777777" w:rsidR="00F65BCA" w:rsidRDefault="00216117">
                        <w:pPr>
                          <w:pStyle w:val="TableParagraph"/>
                          <w:ind w:left="24" w:right="24"/>
                          <w:jc w:val="center"/>
                          <w:rPr>
                            <w:sz w:val="3"/>
                          </w:rPr>
                        </w:pPr>
                        <w:r>
                          <w:rPr>
                            <w:w w:val="105"/>
                            <w:sz w:val="3"/>
                          </w:rPr>
                          <w:t>0,86184821%</w:t>
                        </w:r>
                      </w:p>
                    </w:tc>
                    <w:tc>
                      <w:tcPr>
                        <w:tcW w:w="288" w:type="dxa"/>
                        <w:tcBorders>
                          <w:top w:val="single" w:sz="2" w:space="0" w:color="000000"/>
                          <w:left w:val="single" w:sz="2" w:space="0" w:color="000000"/>
                          <w:bottom w:val="single" w:sz="2" w:space="0" w:color="000000"/>
                          <w:right w:val="single" w:sz="2" w:space="0" w:color="000000"/>
                        </w:tcBorders>
                      </w:tcPr>
                      <w:p w14:paraId="7E1DC02B" w14:textId="77777777" w:rsidR="00F65BCA" w:rsidRDefault="00F65BCA">
                        <w:pPr>
                          <w:pStyle w:val="TableParagraph"/>
                          <w:rPr>
                            <w:rFonts w:ascii="Calibri"/>
                            <w:sz w:val="2"/>
                          </w:rPr>
                        </w:pPr>
                      </w:p>
                      <w:p w14:paraId="56622E60"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0F9A035A" w14:textId="77777777" w:rsidR="00F65BCA" w:rsidRDefault="00F65BCA">
                        <w:pPr>
                          <w:pStyle w:val="TableParagraph"/>
                          <w:rPr>
                            <w:rFonts w:ascii="Calibri"/>
                            <w:sz w:val="2"/>
                          </w:rPr>
                        </w:pPr>
                      </w:p>
                      <w:p w14:paraId="227F4B72" w14:textId="77777777" w:rsidR="00F65BCA" w:rsidRDefault="00216117">
                        <w:pPr>
                          <w:pStyle w:val="TableParagraph"/>
                          <w:ind w:left="24" w:right="24"/>
                          <w:jc w:val="center"/>
                          <w:rPr>
                            <w:sz w:val="3"/>
                          </w:rPr>
                        </w:pPr>
                        <w:r>
                          <w:rPr>
                            <w:w w:val="105"/>
                            <w:sz w:val="3"/>
                          </w:rPr>
                          <w:t>0,96957923%</w:t>
                        </w:r>
                      </w:p>
                    </w:tc>
                    <w:tc>
                      <w:tcPr>
                        <w:tcW w:w="288" w:type="dxa"/>
                        <w:tcBorders>
                          <w:top w:val="single" w:sz="2" w:space="0" w:color="000000"/>
                          <w:left w:val="single" w:sz="2" w:space="0" w:color="000000"/>
                          <w:bottom w:val="single" w:sz="2" w:space="0" w:color="000000"/>
                          <w:right w:val="single" w:sz="2" w:space="0" w:color="000000"/>
                        </w:tcBorders>
                      </w:tcPr>
                      <w:p w14:paraId="087E0D4A" w14:textId="77777777" w:rsidR="00F65BCA" w:rsidRDefault="00F65BCA">
                        <w:pPr>
                          <w:pStyle w:val="TableParagraph"/>
                          <w:rPr>
                            <w:rFonts w:ascii="Calibri"/>
                            <w:sz w:val="2"/>
                          </w:rPr>
                        </w:pPr>
                      </w:p>
                      <w:p w14:paraId="66D07E30" w14:textId="77777777" w:rsidR="00F65BCA" w:rsidRDefault="00216117">
                        <w:pPr>
                          <w:pStyle w:val="TableParagraph"/>
                          <w:ind w:left="24" w:right="24"/>
                          <w:jc w:val="center"/>
                          <w:rPr>
                            <w:sz w:val="3"/>
                          </w:rPr>
                        </w:pPr>
                        <w:r>
                          <w:rPr>
                            <w:w w:val="105"/>
                            <w:sz w:val="3"/>
                          </w:rPr>
                          <w:t>1,07731026%</w:t>
                        </w:r>
                      </w:p>
                    </w:tc>
                  </w:tr>
                </w:tbl>
                <w:p w14:paraId="153011A8" w14:textId="77777777" w:rsidR="00F65BCA" w:rsidRDefault="00F65BCA">
                  <w:pPr>
                    <w:pStyle w:val="Zkladntext"/>
                  </w:pPr>
                </w:p>
              </w:txbxContent>
            </v:textbox>
            <w10:wrap anchorx="page" anchory="page"/>
          </v:shape>
        </w:pict>
      </w:r>
      <w:r>
        <w:pict w14:anchorId="7F309B85">
          <v:shape id="_x0000_s2478" type="#_x0000_t202" style="position:absolute;margin-left:412.55pt;margin-top:77.5pt;width:80.95pt;height:64.95pt;z-index:251717632;mso-position-horizontal-relative:page;mso-position-vertical-relative:page"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08"/>
                    <w:gridCol w:w="607"/>
                  </w:tblGrid>
                  <w:tr w:rsidR="00F65BCA" w14:paraId="63E2C2C5" w14:textId="77777777">
                    <w:trPr>
                      <w:trHeight w:val="568"/>
                    </w:trPr>
                    <w:tc>
                      <w:tcPr>
                        <w:tcW w:w="1008" w:type="dxa"/>
                        <w:shd w:val="clear" w:color="auto" w:fill="F8CBAD"/>
                      </w:tcPr>
                      <w:p w14:paraId="658F8458" w14:textId="77777777" w:rsidR="00F65BCA" w:rsidRDefault="00F65BCA">
                        <w:pPr>
                          <w:pStyle w:val="TableParagraph"/>
                          <w:rPr>
                            <w:rFonts w:ascii="Calibri"/>
                            <w:sz w:val="2"/>
                          </w:rPr>
                        </w:pPr>
                      </w:p>
                      <w:p w14:paraId="4DD518C8" w14:textId="77777777" w:rsidR="00F65BCA" w:rsidRDefault="00F65BCA">
                        <w:pPr>
                          <w:pStyle w:val="TableParagraph"/>
                          <w:rPr>
                            <w:rFonts w:ascii="Calibri"/>
                            <w:sz w:val="2"/>
                          </w:rPr>
                        </w:pPr>
                      </w:p>
                      <w:p w14:paraId="03249151" w14:textId="77777777" w:rsidR="00F65BCA" w:rsidRDefault="00F65BCA">
                        <w:pPr>
                          <w:pStyle w:val="TableParagraph"/>
                          <w:rPr>
                            <w:rFonts w:ascii="Calibri"/>
                            <w:sz w:val="2"/>
                          </w:rPr>
                        </w:pPr>
                      </w:p>
                      <w:p w14:paraId="2CE7900B" w14:textId="77777777" w:rsidR="00F65BCA" w:rsidRDefault="00F65BCA">
                        <w:pPr>
                          <w:pStyle w:val="TableParagraph"/>
                          <w:rPr>
                            <w:rFonts w:ascii="Calibri"/>
                            <w:sz w:val="2"/>
                          </w:rPr>
                        </w:pPr>
                      </w:p>
                      <w:p w14:paraId="4A8DB1A4" w14:textId="77777777" w:rsidR="00F65BCA" w:rsidRDefault="00F65BCA">
                        <w:pPr>
                          <w:pStyle w:val="TableParagraph"/>
                          <w:rPr>
                            <w:rFonts w:ascii="Calibri"/>
                            <w:sz w:val="2"/>
                          </w:rPr>
                        </w:pPr>
                      </w:p>
                      <w:p w14:paraId="38E4C189" w14:textId="77777777" w:rsidR="00F65BCA" w:rsidRDefault="00F65BCA">
                        <w:pPr>
                          <w:pStyle w:val="TableParagraph"/>
                          <w:rPr>
                            <w:rFonts w:ascii="Calibri"/>
                            <w:sz w:val="2"/>
                          </w:rPr>
                        </w:pPr>
                      </w:p>
                      <w:p w14:paraId="3AE18042" w14:textId="77777777" w:rsidR="00F65BCA" w:rsidRDefault="00F65BCA">
                        <w:pPr>
                          <w:pStyle w:val="TableParagraph"/>
                          <w:rPr>
                            <w:rFonts w:ascii="Calibri"/>
                            <w:sz w:val="2"/>
                          </w:rPr>
                        </w:pPr>
                      </w:p>
                      <w:p w14:paraId="7802357F" w14:textId="77777777" w:rsidR="00F65BCA" w:rsidRDefault="00F65BCA">
                        <w:pPr>
                          <w:pStyle w:val="TableParagraph"/>
                          <w:rPr>
                            <w:rFonts w:ascii="Calibri"/>
                            <w:sz w:val="2"/>
                          </w:rPr>
                        </w:pPr>
                      </w:p>
                      <w:p w14:paraId="07CB3AF5" w14:textId="77777777" w:rsidR="00F65BCA" w:rsidRDefault="00F65BCA">
                        <w:pPr>
                          <w:pStyle w:val="TableParagraph"/>
                          <w:rPr>
                            <w:rFonts w:ascii="Calibri"/>
                            <w:sz w:val="2"/>
                          </w:rPr>
                        </w:pPr>
                      </w:p>
                      <w:p w14:paraId="1AA1792F" w14:textId="77777777" w:rsidR="00F65BCA" w:rsidRDefault="00F65BCA">
                        <w:pPr>
                          <w:pStyle w:val="TableParagraph"/>
                          <w:rPr>
                            <w:rFonts w:ascii="Calibri"/>
                            <w:sz w:val="2"/>
                          </w:rPr>
                        </w:pPr>
                      </w:p>
                      <w:p w14:paraId="3FB2D20C" w14:textId="77777777" w:rsidR="00F65BCA" w:rsidRDefault="00F65BCA">
                        <w:pPr>
                          <w:pStyle w:val="TableParagraph"/>
                          <w:rPr>
                            <w:rFonts w:ascii="Calibri"/>
                            <w:sz w:val="2"/>
                          </w:rPr>
                        </w:pPr>
                      </w:p>
                      <w:p w14:paraId="4A30E542" w14:textId="77777777" w:rsidR="00F65BCA" w:rsidRDefault="00216117">
                        <w:pPr>
                          <w:pStyle w:val="TableParagraph"/>
                          <w:ind w:left="276" w:right="277"/>
                          <w:jc w:val="center"/>
                          <w:rPr>
                            <w:b/>
                            <w:sz w:val="3"/>
                          </w:rPr>
                        </w:pPr>
                        <w:r>
                          <w:rPr>
                            <w:b/>
                            <w:w w:val="105"/>
                            <w:sz w:val="3"/>
                          </w:rPr>
                          <w:t>Užití vozidla</w:t>
                        </w:r>
                      </w:p>
                    </w:tc>
                    <w:tc>
                      <w:tcPr>
                        <w:tcW w:w="607" w:type="dxa"/>
                        <w:shd w:val="clear" w:color="auto" w:fill="F8CBAD"/>
                      </w:tcPr>
                      <w:p w14:paraId="50D7F914" w14:textId="77777777" w:rsidR="00F65BCA" w:rsidRDefault="00F65BCA">
                        <w:pPr>
                          <w:pStyle w:val="TableParagraph"/>
                          <w:rPr>
                            <w:rFonts w:ascii="Calibri"/>
                            <w:sz w:val="2"/>
                          </w:rPr>
                        </w:pPr>
                      </w:p>
                      <w:p w14:paraId="087B67E2" w14:textId="77777777" w:rsidR="00F65BCA" w:rsidRDefault="00F65BCA">
                        <w:pPr>
                          <w:pStyle w:val="TableParagraph"/>
                          <w:rPr>
                            <w:rFonts w:ascii="Calibri"/>
                            <w:sz w:val="2"/>
                          </w:rPr>
                        </w:pPr>
                      </w:p>
                      <w:p w14:paraId="014D06FF" w14:textId="77777777" w:rsidR="00F65BCA" w:rsidRDefault="00F65BCA">
                        <w:pPr>
                          <w:pStyle w:val="TableParagraph"/>
                          <w:rPr>
                            <w:rFonts w:ascii="Calibri"/>
                            <w:sz w:val="2"/>
                          </w:rPr>
                        </w:pPr>
                      </w:p>
                      <w:p w14:paraId="03121977" w14:textId="77777777" w:rsidR="00F65BCA" w:rsidRDefault="00F65BCA">
                        <w:pPr>
                          <w:pStyle w:val="TableParagraph"/>
                          <w:rPr>
                            <w:rFonts w:ascii="Calibri"/>
                            <w:sz w:val="2"/>
                          </w:rPr>
                        </w:pPr>
                      </w:p>
                      <w:p w14:paraId="68679FE1" w14:textId="77777777" w:rsidR="00F65BCA" w:rsidRDefault="00F65BCA">
                        <w:pPr>
                          <w:pStyle w:val="TableParagraph"/>
                          <w:rPr>
                            <w:rFonts w:ascii="Calibri"/>
                            <w:sz w:val="2"/>
                          </w:rPr>
                        </w:pPr>
                      </w:p>
                      <w:p w14:paraId="6A6D622C" w14:textId="77777777" w:rsidR="00F65BCA" w:rsidRDefault="00F65BCA">
                        <w:pPr>
                          <w:pStyle w:val="TableParagraph"/>
                          <w:rPr>
                            <w:rFonts w:ascii="Calibri"/>
                            <w:sz w:val="2"/>
                          </w:rPr>
                        </w:pPr>
                      </w:p>
                      <w:p w14:paraId="015C2501" w14:textId="77777777" w:rsidR="00F65BCA" w:rsidRDefault="00F65BCA">
                        <w:pPr>
                          <w:pStyle w:val="TableParagraph"/>
                          <w:rPr>
                            <w:rFonts w:ascii="Calibri"/>
                            <w:sz w:val="2"/>
                          </w:rPr>
                        </w:pPr>
                      </w:p>
                      <w:p w14:paraId="470443DF" w14:textId="77777777" w:rsidR="00F65BCA" w:rsidRDefault="00F65BCA">
                        <w:pPr>
                          <w:pStyle w:val="TableParagraph"/>
                          <w:rPr>
                            <w:rFonts w:ascii="Calibri"/>
                            <w:sz w:val="2"/>
                          </w:rPr>
                        </w:pPr>
                      </w:p>
                      <w:p w14:paraId="09AC97CF" w14:textId="77777777" w:rsidR="00F65BCA" w:rsidRDefault="00F65BCA">
                        <w:pPr>
                          <w:pStyle w:val="TableParagraph"/>
                          <w:rPr>
                            <w:rFonts w:ascii="Calibri"/>
                            <w:sz w:val="2"/>
                          </w:rPr>
                        </w:pPr>
                      </w:p>
                      <w:p w14:paraId="3D489E51" w14:textId="77777777" w:rsidR="00F65BCA" w:rsidRDefault="00F65BCA">
                        <w:pPr>
                          <w:pStyle w:val="TableParagraph"/>
                          <w:rPr>
                            <w:rFonts w:ascii="Calibri"/>
                            <w:sz w:val="2"/>
                          </w:rPr>
                        </w:pPr>
                      </w:p>
                      <w:p w14:paraId="25EE5328" w14:textId="77777777" w:rsidR="00F65BCA" w:rsidRDefault="00F65BCA">
                        <w:pPr>
                          <w:pStyle w:val="TableParagraph"/>
                          <w:rPr>
                            <w:rFonts w:ascii="Calibri"/>
                            <w:sz w:val="2"/>
                          </w:rPr>
                        </w:pPr>
                      </w:p>
                      <w:p w14:paraId="42F8F52E" w14:textId="77777777" w:rsidR="00F65BCA" w:rsidRDefault="00216117">
                        <w:pPr>
                          <w:pStyle w:val="TableParagraph"/>
                          <w:ind w:left="74" w:right="73"/>
                          <w:jc w:val="center"/>
                          <w:rPr>
                            <w:b/>
                            <w:sz w:val="3"/>
                          </w:rPr>
                        </w:pPr>
                        <w:r>
                          <w:rPr>
                            <w:b/>
                            <w:w w:val="105"/>
                            <w:sz w:val="3"/>
                          </w:rPr>
                          <w:t>Koeficient užití vozidla HAV</w:t>
                        </w:r>
                      </w:p>
                    </w:tc>
                  </w:tr>
                  <w:tr w:rsidR="00F65BCA" w14:paraId="02F613AC" w14:textId="77777777">
                    <w:trPr>
                      <w:trHeight w:val="112"/>
                    </w:trPr>
                    <w:tc>
                      <w:tcPr>
                        <w:tcW w:w="1008" w:type="dxa"/>
                        <w:shd w:val="clear" w:color="auto" w:fill="FCE4D6"/>
                      </w:tcPr>
                      <w:p w14:paraId="0D56F056" w14:textId="77777777" w:rsidR="00F65BCA" w:rsidRDefault="00F65BCA">
                        <w:pPr>
                          <w:pStyle w:val="TableParagraph"/>
                          <w:rPr>
                            <w:rFonts w:ascii="Calibri"/>
                            <w:sz w:val="2"/>
                          </w:rPr>
                        </w:pPr>
                      </w:p>
                      <w:p w14:paraId="5B4ED4E1" w14:textId="77777777" w:rsidR="00F65BCA" w:rsidRDefault="00216117">
                        <w:pPr>
                          <w:pStyle w:val="TableParagraph"/>
                          <w:spacing w:before="15"/>
                          <w:ind w:left="279" w:right="277"/>
                          <w:jc w:val="center"/>
                          <w:rPr>
                            <w:sz w:val="3"/>
                          </w:rPr>
                        </w:pPr>
                        <w:r>
                          <w:rPr>
                            <w:w w:val="105"/>
                            <w:sz w:val="3"/>
                          </w:rPr>
                          <w:t>běžné</w:t>
                        </w:r>
                      </w:p>
                    </w:tc>
                    <w:tc>
                      <w:tcPr>
                        <w:tcW w:w="607" w:type="dxa"/>
                      </w:tcPr>
                      <w:p w14:paraId="7A499A12" w14:textId="77777777" w:rsidR="00F65BCA" w:rsidRDefault="00F65BCA">
                        <w:pPr>
                          <w:pStyle w:val="TableParagraph"/>
                          <w:rPr>
                            <w:rFonts w:ascii="Calibri"/>
                            <w:sz w:val="2"/>
                          </w:rPr>
                        </w:pPr>
                      </w:p>
                      <w:p w14:paraId="74A898AD" w14:textId="77777777" w:rsidR="00F65BCA" w:rsidRDefault="00216117">
                        <w:pPr>
                          <w:pStyle w:val="TableParagraph"/>
                          <w:spacing w:before="15"/>
                          <w:ind w:left="74" w:right="69"/>
                          <w:jc w:val="center"/>
                          <w:rPr>
                            <w:sz w:val="3"/>
                          </w:rPr>
                        </w:pPr>
                        <w:r>
                          <w:rPr>
                            <w:w w:val="105"/>
                            <w:sz w:val="3"/>
                          </w:rPr>
                          <w:t>1,00</w:t>
                        </w:r>
                      </w:p>
                    </w:tc>
                  </w:tr>
                  <w:tr w:rsidR="00F65BCA" w14:paraId="02ACFF8D" w14:textId="77777777">
                    <w:trPr>
                      <w:trHeight w:val="81"/>
                    </w:trPr>
                    <w:tc>
                      <w:tcPr>
                        <w:tcW w:w="1008" w:type="dxa"/>
                        <w:shd w:val="clear" w:color="auto" w:fill="FCE4D6"/>
                      </w:tcPr>
                      <w:p w14:paraId="355D5379" w14:textId="77777777" w:rsidR="00F65BCA" w:rsidRDefault="00F65BCA">
                        <w:pPr>
                          <w:pStyle w:val="TableParagraph"/>
                          <w:rPr>
                            <w:rFonts w:ascii="Calibri"/>
                            <w:sz w:val="2"/>
                          </w:rPr>
                        </w:pPr>
                      </w:p>
                      <w:p w14:paraId="58582652" w14:textId="77777777" w:rsidR="00F65BCA" w:rsidRDefault="00216117">
                        <w:pPr>
                          <w:pStyle w:val="TableParagraph"/>
                          <w:ind w:left="282" w:right="277"/>
                          <w:jc w:val="center"/>
                          <w:rPr>
                            <w:sz w:val="3"/>
                          </w:rPr>
                        </w:pPr>
                        <w:r>
                          <w:rPr>
                            <w:w w:val="105"/>
                            <w:sz w:val="3"/>
                          </w:rPr>
                          <w:t>půjčovna</w:t>
                        </w:r>
                      </w:p>
                    </w:tc>
                    <w:tc>
                      <w:tcPr>
                        <w:tcW w:w="607" w:type="dxa"/>
                      </w:tcPr>
                      <w:p w14:paraId="48C2EEB5" w14:textId="77777777" w:rsidR="00F65BCA" w:rsidRDefault="00F65BCA">
                        <w:pPr>
                          <w:pStyle w:val="TableParagraph"/>
                          <w:rPr>
                            <w:rFonts w:ascii="Calibri"/>
                            <w:sz w:val="2"/>
                          </w:rPr>
                        </w:pPr>
                      </w:p>
                      <w:p w14:paraId="794C6433" w14:textId="77777777" w:rsidR="00F65BCA" w:rsidRDefault="00216117">
                        <w:pPr>
                          <w:pStyle w:val="TableParagraph"/>
                          <w:ind w:left="74" w:right="69"/>
                          <w:jc w:val="center"/>
                          <w:rPr>
                            <w:sz w:val="3"/>
                          </w:rPr>
                        </w:pPr>
                        <w:r>
                          <w:rPr>
                            <w:w w:val="105"/>
                            <w:sz w:val="3"/>
                          </w:rPr>
                          <w:t>3,00</w:t>
                        </w:r>
                      </w:p>
                    </w:tc>
                  </w:tr>
                  <w:tr w:rsidR="00F65BCA" w14:paraId="704E01C8" w14:textId="77777777">
                    <w:trPr>
                      <w:trHeight w:val="81"/>
                    </w:trPr>
                    <w:tc>
                      <w:tcPr>
                        <w:tcW w:w="1008" w:type="dxa"/>
                        <w:shd w:val="clear" w:color="auto" w:fill="FCE4D6"/>
                      </w:tcPr>
                      <w:p w14:paraId="41D483FD" w14:textId="77777777" w:rsidR="00F65BCA" w:rsidRDefault="00F65BCA">
                        <w:pPr>
                          <w:pStyle w:val="TableParagraph"/>
                          <w:rPr>
                            <w:rFonts w:ascii="Calibri"/>
                            <w:sz w:val="2"/>
                          </w:rPr>
                        </w:pPr>
                      </w:p>
                      <w:p w14:paraId="10D84A7F" w14:textId="77777777" w:rsidR="00F65BCA" w:rsidRDefault="00216117">
                        <w:pPr>
                          <w:pStyle w:val="TableParagraph"/>
                          <w:ind w:left="278" w:right="277"/>
                          <w:jc w:val="center"/>
                          <w:rPr>
                            <w:sz w:val="3"/>
                          </w:rPr>
                        </w:pPr>
                        <w:r>
                          <w:rPr>
                            <w:w w:val="105"/>
                            <w:sz w:val="3"/>
                          </w:rPr>
                          <w:t>s právem přednostní jízdy</w:t>
                        </w:r>
                      </w:p>
                    </w:tc>
                    <w:tc>
                      <w:tcPr>
                        <w:tcW w:w="607" w:type="dxa"/>
                      </w:tcPr>
                      <w:p w14:paraId="54AE9C7D" w14:textId="77777777" w:rsidR="00F65BCA" w:rsidRDefault="00F65BCA">
                        <w:pPr>
                          <w:pStyle w:val="TableParagraph"/>
                          <w:rPr>
                            <w:rFonts w:ascii="Calibri"/>
                            <w:sz w:val="2"/>
                          </w:rPr>
                        </w:pPr>
                      </w:p>
                      <w:p w14:paraId="49B643A6" w14:textId="77777777" w:rsidR="00F65BCA" w:rsidRDefault="00216117">
                        <w:pPr>
                          <w:pStyle w:val="TableParagraph"/>
                          <w:ind w:left="74" w:right="69"/>
                          <w:jc w:val="center"/>
                          <w:rPr>
                            <w:sz w:val="3"/>
                          </w:rPr>
                        </w:pPr>
                        <w:r>
                          <w:rPr>
                            <w:w w:val="105"/>
                            <w:sz w:val="3"/>
                          </w:rPr>
                          <w:t>1,50</w:t>
                        </w:r>
                      </w:p>
                    </w:tc>
                  </w:tr>
                  <w:tr w:rsidR="00F65BCA" w14:paraId="2E0E2688" w14:textId="77777777">
                    <w:trPr>
                      <w:trHeight w:val="81"/>
                    </w:trPr>
                    <w:tc>
                      <w:tcPr>
                        <w:tcW w:w="1008" w:type="dxa"/>
                        <w:shd w:val="clear" w:color="auto" w:fill="FCE4D6"/>
                      </w:tcPr>
                      <w:p w14:paraId="7BA7449F" w14:textId="77777777" w:rsidR="00F65BCA" w:rsidRDefault="00F65BCA">
                        <w:pPr>
                          <w:pStyle w:val="TableParagraph"/>
                          <w:rPr>
                            <w:rFonts w:ascii="Calibri"/>
                            <w:sz w:val="2"/>
                          </w:rPr>
                        </w:pPr>
                      </w:p>
                      <w:p w14:paraId="5B00886A" w14:textId="77777777" w:rsidR="00F65BCA" w:rsidRDefault="00216117">
                        <w:pPr>
                          <w:pStyle w:val="TableParagraph"/>
                          <w:ind w:left="282" w:right="276"/>
                          <w:jc w:val="center"/>
                          <w:rPr>
                            <w:sz w:val="3"/>
                          </w:rPr>
                        </w:pPr>
                        <w:r>
                          <w:rPr>
                            <w:w w:val="105"/>
                            <w:sz w:val="3"/>
                          </w:rPr>
                          <w:t>přeprava nebezpečných věcí</w:t>
                        </w:r>
                      </w:p>
                    </w:tc>
                    <w:tc>
                      <w:tcPr>
                        <w:tcW w:w="607" w:type="dxa"/>
                      </w:tcPr>
                      <w:p w14:paraId="3E7E1FB4" w14:textId="77777777" w:rsidR="00F65BCA" w:rsidRDefault="00F65BCA">
                        <w:pPr>
                          <w:pStyle w:val="TableParagraph"/>
                          <w:rPr>
                            <w:rFonts w:ascii="Calibri"/>
                            <w:sz w:val="2"/>
                          </w:rPr>
                        </w:pPr>
                      </w:p>
                      <w:p w14:paraId="07930407" w14:textId="77777777" w:rsidR="00F65BCA" w:rsidRDefault="00216117">
                        <w:pPr>
                          <w:pStyle w:val="TableParagraph"/>
                          <w:ind w:left="74" w:right="69"/>
                          <w:jc w:val="center"/>
                          <w:rPr>
                            <w:sz w:val="3"/>
                          </w:rPr>
                        </w:pPr>
                        <w:r>
                          <w:rPr>
                            <w:w w:val="105"/>
                            <w:sz w:val="3"/>
                          </w:rPr>
                          <w:t>1,50</w:t>
                        </w:r>
                      </w:p>
                    </w:tc>
                  </w:tr>
                  <w:tr w:rsidR="00F65BCA" w14:paraId="157B285E" w14:textId="77777777">
                    <w:trPr>
                      <w:trHeight w:val="81"/>
                    </w:trPr>
                    <w:tc>
                      <w:tcPr>
                        <w:tcW w:w="1008" w:type="dxa"/>
                        <w:shd w:val="clear" w:color="auto" w:fill="FCE4D6"/>
                      </w:tcPr>
                      <w:p w14:paraId="6FE90CC4" w14:textId="77777777" w:rsidR="00F65BCA" w:rsidRDefault="00F65BCA">
                        <w:pPr>
                          <w:pStyle w:val="TableParagraph"/>
                          <w:rPr>
                            <w:rFonts w:ascii="Calibri"/>
                            <w:sz w:val="2"/>
                          </w:rPr>
                        </w:pPr>
                      </w:p>
                      <w:p w14:paraId="5A9BA17B" w14:textId="77777777" w:rsidR="00F65BCA" w:rsidRDefault="00216117">
                        <w:pPr>
                          <w:pStyle w:val="TableParagraph"/>
                          <w:ind w:left="279" w:right="277"/>
                          <w:jc w:val="center"/>
                          <w:rPr>
                            <w:sz w:val="3"/>
                          </w:rPr>
                        </w:pPr>
                        <w:r>
                          <w:rPr>
                            <w:w w:val="105"/>
                            <w:sz w:val="3"/>
                          </w:rPr>
                          <w:t>taxi</w:t>
                        </w:r>
                      </w:p>
                    </w:tc>
                    <w:tc>
                      <w:tcPr>
                        <w:tcW w:w="607" w:type="dxa"/>
                      </w:tcPr>
                      <w:p w14:paraId="1F8EC347" w14:textId="77777777" w:rsidR="00F65BCA" w:rsidRDefault="00F65BCA">
                        <w:pPr>
                          <w:pStyle w:val="TableParagraph"/>
                          <w:rPr>
                            <w:rFonts w:ascii="Calibri"/>
                            <w:sz w:val="2"/>
                          </w:rPr>
                        </w:pPr>
                      </w:p>
                      <w:p w14:paraId="42E63B3B" w14:textId="77777777" w:rsidR="00F65BCA" w:rsidRDefault="00216117">
                        <w:pPr>
                          <w:pStyle w:val="TableParagraph"/>
                          <w:ind w:left="74" w:right="69"/>
                          <w:jc w:val="center"/>
                          <w:rPr>
                            <w:sz w:val="3"/>
                          </w:rPr>
                        </w:pPr>
                        <w:r>
                          <w:rPr>
                            <w:w w:val="105"/>
                            <w:sz w:val="3"/>
                          </w:rPr>
                          <w:t>2,00</w:t>
                        </w:r>
                      </w:p>
                    </w:tc>
                  </w:tr>
                  <w:tr w:rsidR="00F65BCA" w14:paraId="6CC477B4" w14:textId="77777777">
                    <w:trPr>
                      <w:trHeight w:val="81"/>
                    </w:trPr>
                    <w:tc>
                      <w:tcPr>
                        <w:tcW w:w="1008" w:type="dxa"/>
                        <w:shd w:val="clear" w:color="auto" w:fill="FCE4D6"/>
                      </w:tcPr>
                      <w:p w14:paraId="30C86123" w14:textId="77777777" w:rsidR="00F65BCA" w:rsidRDefault="00F65BCA">
                        <w:pPr>
                          <w:pStyle w:val="TableParagraph"/>
                          <w:rPr>
                            <w:rFonts w:ascii="Calibri"/>
                            <w:sz w:val="2"/>
                          </w:rPr>
                        </w:pPr>
                      </w:p>
                      <w:p w14:paraId="12433E08" w14:textId="77777777" w:rsidR="00F65BCA" w:rsidRDefault="00216117">
                        <w:pPr>
                          <w:pStyle w:val="TableParagraph"/>
                          <w:ind w:left="279" w:right="277"/>
                          <w:jc w:val="center"/>
                          <w:rPr>
                            <w:sz w:val="3"/>
                          </w:rPr>
                        </w:pPr>
                        <w:r>
                          <w:rPr>
                            <w:w w:val="105"/>
                            <w:sz w:val="3"/>
                          </w:rPr>
                          <w:t>veterán</w:t>
                        </w:r>
                      </w:p>
                    </w:tc>
                    <w:tc>
                      <w:tcPr>
                        <w:tcW w:w="607" w:type="dxa"/>
                      </w:tcPr>
                      <w:p w14:paraId="38AF62DE" w14:textId="77777777" w:rsidR="00F65BCA" w:rsidRDefault="00F65BCA">
                        <w:pPr>
                          <w:pStyle w:val="TableParagraph"/>
                          <w:rPr>
                            <w:rFonts w:ascii="Calibri"/>
                            <w:sz w:val="2"/>
                          </w:rPr>
                        </w:pPr>
                      </w:p>
                      <w:p w14:paraId="3B70ADB3" w14:textId="77777777" w:rsidR="00F65BCA" w:rsidRDefault="00216117">
                        <w:pPr>
                          <w:pStyle w:val="TableParagraph"/>
                          <w:ind w:left="74" w:right="69"/>
                          <w:jc w:val="center"/>
                          <w:rPr>
                            <w:sz w:val="3"/>
                          </w:rPr>
                        </w:pPr>
                        <w:r>
                          <w:rPr>
                            <w:w w:val="105"/>
                            <w:sz w:val="3"/>
                          </w:rPr>
                          <w:t>1,00</w:t>
                        </w:r>
                      </w:p>
                    </w:tc>
                  </w:tr>
                  <w:tr w:rsidR="00F65BCA" w14:paraId="4C4BD66A" w14:textId="77777777">
                    <w:trPr>
                      <w:trHeight w:val="81"/>
                    </w:trPr>
                    <w:tc>
                      <w:tcPr>
                        <w:tcW w:w="1008" w:type="dxa"/>
                        <w:shd w:val="clear" w:color="auto" w:fill="FCE4D6"/>
                      </w:tcPr>
                      <w:p w14:paraId="48311FC3" w14:textId="77777777" w:rsidR="00F65BCA" w:rsidRDefault="00F65BCA">
                        <w:pPr>
                          <w:pStyle w:val="TableParagraph"/>
                          <w:rPr>
                            <w:rFonts w:ascii="Calibri"/>
                            <w:sz w:val="2"/>
                          </w:rPr>
                        </w:pPr>
                      </w:p>
                      <w:p w14:paraId="1F9C60EC" w14:textId="77777777" w:rsidR="00F65BCA" w:rsidRDefault="00216117">
                        <w:pPr>
                          <w:pStyle w:val="TableParagraph"/>
                          <w:ind w:left="282" w:right="277"/>
                          <w:jc w:val="center"/>
                          <w:rPr>
                            <w:sz w:val="3"/>
                          </w:rPr>
                        </w:pPr>
                        <w:r>
                          <w:rPr>
                            <w:w w:val="105"/>
                            <w:sz w:val="3"/>
                          </w:rPr>
                          <w:t>trvale manipulační (ZTMRZ)</w:t>
                        </w:r>
                      </w:p>
                    </w:tc>
                    <w:tc>
                      <w:tcPr>
                        <w:tcW w:w="607" w:type="dxa"/>
                      </w:tcPr>
                      <w:p w14:paraId="4D3EF27C" w14:textId="77777777" w:rsidR="00F65BCA" w:rsidRDefault="00F65BCA">
                        <w:pPr>
                          <w:pStyle w:val="TableParagraph"/>
                          <w:rPr>
                            <w:rFonts w:ascii="Calibri"/>
                            <w:sz w:val="2"/>
                          </w:rPr>
                        </w:pPr>
                      </w:p>
                      <w:p w14:paraId="02E95418" w14:textId="77777777" w:rsidR="00F65BCA" w:rsidRDefault="00216117">
                        <w:pPr>
                          <w:pStyle w:val="TableParagraph"/>
                          <w:ind w:left="74" w:right="69"/>
                          <w:jc w:val="center"/>
                          <w:rPr>
                            <w:sz w:val="3"/>
                          </w:rPr>
                        </w:pPr>
                        <w:r>
                          <w:rPr>
                            <w:w w:val="105"/>
                            <w:sz w:val="3"/>
                          </w:rPr>
                          <w:t>1,30</w:t>
                        </w:r>
                      </w:p>
                    </w:tc>
                  </w:tr>
                  <w:tr w:rsidR="00F65BCA" w14:paraId="4E184AC7" w14:textId="77777777">
                    <w:trPr>
                      <w:trHeight w:val="81"/>
                    </w:trPr>
                    <w:tc>
                      <w:tcPr>
                        <w:tcW w:w="1008" w:type="dxa"/>
                        <w:shd w:val="clear" w:color="auto" w:fill="FCE4D6"/>
                      </w:tcPr>
                      <w:p w14:paraId="146D751B" w14:textId="77777777" w:rsidR="00F65BCA" w:rsidRDefault="00F65BCA">
                        <w:pPr>
                          <w:pStyle w:val="TableParagraph"/>
                          <w:rPr>
                            <w:rFonts w:ascii="Calibri"/>
                            <w:sz w:val="2"/>
                          </w:rPr>
                        </w:pPr>
                      </w:p>
                      <w:p w14:paraId="46325A0F" w14:textId="77777777" w:rsidR="00F65BCA" w:rsidRDefault="00216117">
                        <w:pPr>
                          <w:pStyle w:val="TableParagraph"/>
                          <w:ind w:left="279" w:right="277"/>
                          <w:jc w:val="center"/>
                          <w:rPr>
                            <w:sz w:val="3"/>
                          </w:rPr>
                        </w:pPr>
                        <w:r>
                          <w:rPr>
                            <w:w w:val="105"/>
                            <w:sz w:val="3"/>
                          </w:rPr>
                          <w:t>závodní automobil</w:t>
                        </w:r>
                      </w:p>
                    </w:tc>
                    <w:tc>
                      <w:tcPr>
                        <w:tcW w:w="607" w:type="dxa"/>
                      </w:tcPr>
                      <w:p w14:paraId="14B5D5B5" w14:textId="77777777" w:rsidR="00F65BCA" w:rsidRDefault="00F65BCA">
                        <w:pPr>
                          <w:pStyle w:val="TableParagraph"/>
                          <w:rPr>
                            <w:rFonts w:ascii="Calibri"/>
                            <w:sz w:val="2"/>
                          </w:rPr>
                        </w:pPr>
                      </w:p>
                      <w:p w14:paraId="1ED43595" w14:textId="77777777" w:rsidR="00F65BCA" w:rsidRDefault="00216117">
                        <w:pPr>
                          <w:pStyle w:val="TableParagraph"/>
                          <w:ind w:left="74" w:right="69"/>
                          <w:jc w:val="center"/>
                          <w:rPr>
                            <w:sz w:val="3"/>
                          </w:rPr>
                        </w:pPr>
                        <w:r>
                          <w:rPr>
                            <w:w w:val="105"/>
                            <w:sz w:val="3"/>
                          </w:rPr>
                          <w:t>1,00</w:t>
                        </w:r>
                      </w:p>
                    </w:tc>
                  </w:tr>
                </w:tbl>
                <w:p w14:paraId="14F9903C" w14:textId="77777777" w:rsidR="00F65BCA" w:rsidRDefault="00F65BCA">
                  <w:pPr>
                    <w:pStyle w:val="Zkladntext"/>
                  </w:pPr>
                </w:p>
              </w:txbxContent>
            </v:textbox>
            <w10:wrap anchorx="page" anchory="page"/>
          </v:shape>
        </w:pict>
      </w:r>
      <w:r>
        <w:pict w14:anchorId="06CB2AA4">
          <v:shape id="_x0000_s2477" type="#_x0000_t202" style="position:absolute;margin-left:412.55pt;margin-top:144.4pt;width:91.05pt;height:75.3pt;z-index:251718656;mso-position-horizontal-relative:page;mso-position-vertical-relative:page"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08"/>
                    <w:gridCol w:w="607"/>
                    <w:gridCol w:w="201"/>
                  </w:tblGrid>
                  <w:tr w:rsidR="00F65BCA" w14:paraId="7C16A925" w14:textId="77777777">
                    <w:trPr>
                      <w:trHeight w:val="67"/>
                    </w:trPr>
                    <w:tc>
                      <w:tcPr>
                        <w:tcW w:w="1008" w:type="dxa"/>
                        <w:vMerge w:val="restart"/>
                        <w:tcBorders>
                          <w:top w:val="nil"/>
                        </w:tcBorders>
                        <w:shd w:val="clear" w:color="auto" w:fill="F8CBAD"/>
                      </w:tcPr>
                      <w:p w14:paraId="50C5D482" w14:textId="77777777" w:rsidR="00F65BCA" w:rsidRDefault="00F65BCA">
                        <w:pPr>
                          <w:pStyle w:val="TableParagraph"/>
                          <w:rPr>
                            <w:rFonts w:ascii="Calibri"/>
                            <w:sz w:val="2"/>
                          </w:rPr>
                        </w:pPr>
                      </w:p>
                      <w:p w14:paraId="507657F1" w14:textId="77777777" w:rsidR="00F65BCA" w:rsidRDefault="00F65BCA">
                        <w:pPr>
                          <w:pStyle w:val="TableParagraph"/>
                          <w:rPr>
                            <w:rFonts w:ascii="Calibri"/>
                            <w:sz w:val="2"/>
                          </w:rPr>
                        </w:pPr>
                      </w:p>
                      <w:p w14:paraId="671894C9" w14:textId="77777777" w:rsidR="00F65BCA" w:rsidRDefault="00216117">
                        <w:pPr>
                          <w:pStyle w:val="TableParagraph"/>
                          <w:ind w:left="276" w:right="277"/>
                          <w:jc w:val="center"/>
                          <w:rPr>
                            <w:b/>
                            <w:sz w:val="3"/>
                          </w:rPr>
                        </w:pPr>
                        <w:r>
                          <w:rPr>
                            <w:b/>
                            <w:w w:val="105"/>
                            <w:sz w:val="3"/>
                          </w:rPr>
                          <w:t>Stáří vozidla</w:t>
                        </w:r>
                      </w:p>
                    </w:tc>
                    <w:tc>
                      <w:tcPr>
                        <w:tcW w:w="607" w:type="dxa"/>
                        <w:tcBorders>
                          <w:top w:val="single" w:sz="48" w:space="0" w:color="F8CBAD"/>
                        </w:tcBorders>
                        <w:shd w:val="clear" w:color="auto" w:fill="FCE4D6"/>
                      </w:tcPr>
                      <w:p w14:paraId="3510D3DD" w14:textId="77777777" w:rsidR="00F65BCA" w:rsidRDefault="00216117">
                        <w:pPr>
                          <w:pStyle w:val="TableParagraph"/>
                          <w:spacing w:line="43" w:lineRule="exact"/>
                          <w:ind w:right="27"/>
                          <w:jc w:val="right"/>
                          <w:rPr>
                            <w:b/>
                            <w:sz w:val="3"/>
                          </w:rPr>
                        </w:pPr>
                        <w:r>
                          <w:rPr>
                            <w:b/>
                            <w:w w:val="105"/>
                            <w:sz w:val="3"/>
                          </w:rPr>
                          <w:t>Koeficient stáří vozidla</w:t>
                        </w:r>
                      </w:p>
                      <w:p w14:paraId="619C8DE4" w14:textId="77777777" w:rsidR="00F65BCA" w:rsidRDefault="00216117">
                        <w:pPr>
                          <w:pStyle w:val="TableParagraph"/>
                          <w:ind w:right="80"/>
                          <w:jc w:val="right"/>
                          <w:rPr>
                            <w:b/>
                            <w:sz w:val="3"/>
                          </w:rPr>
                        </w:pPr>
                        <w:r>
                          <w:rPr>
                            <w:b/>
                            <w:w w:val="105"/>
                            <w:sz w:val="3"/>
                          </w:rPr>
                          <w:t>nákladní automobil nad 3,5 t</w:t>
                        </w:r>
                      </w:p>
                    </w:tc>
                    <w:tc>
                      <w:tcPr>
                        <w:tcW w:w="201" w:type="dxa"/>
                        <w:vMerge w:val="restart"/>
                        <w:tcBorders>
                          <w:top w:val="single" w:sz="48" w:space="0" w:color="F8CBAD"/>
                          <w:left w:val="nil"/>
                        </w:tcBorders>
                        <w:shd w:val="clear" w:color="auto" w:fill="FCE4D6"/>
                      </w:tcPr>
                      <w:p w14:paraId="4DFC3E0B" w14:textId="77777777" w:rsidR="00F65BCA" w:rsidRDefault="00F65BCA">
                        <w:pPr>
                          <w:pStyle w:val="TableParagraph"/>
                          <w:rPr>
                            <w:rFonts w:ascii="Calibri"/>
                            <w:sz w:val="2"/>
                          </w:rPr>
                        </w:pPr>
                      </w:p>
                      <w:p w14:paraId="60E4FA25" w14:textId="77777777" w:rsidR="00F65BCA" w:rsidRDefault="00F65BCA">
                        <w:pPr>
                          <w:pStyle w:val="TableParagraph"/>
                          <w:rPr>
                            <w:rFonts w:ascii="Calibri"/>
                            <w:sz w:val="2"/>
                          </w:rPr>
                        </w:pPr>
                      </w:p>
                      <w:p w14:paraId="4B5D4897" w14:textId="77777777" w:rsidR="00F65BCA" w:rsidRDefault="00F65BCA">
                        <w:pPr>
                          <w:pStyle w:val="TableParagraph"/>
                          <w:rPr>
                            <w:rFonts w:ascii="Calibri"/>
                            <w:sz w:val="2"/>
                          </w:rPr>
                        </w:pPr>
                      </w:p>
                      <w:p w14:paraId="54B698F4" w14:textId="77777777" w:rsidR="00F65BCA" w:rsidRDefault="00216117">
                        <w:pPr>
                          <w:pStyle w:val="TableParagraph"/>
                          <w:spacing w:before="15"/>
                          <w:ind w:left="48"/>
                          <w:rPr>
                            <w:b/>
                            <w:sz w:val="3"/>
                          </w:rPr>
                        </w:pPr>
                        <w:r>
                          <w:rPr>
                            <w:b/>
                            <w:w w:val="105"/>
                            <w:sz w:val="3"/>
                          </w:rPr>
                          <w:t>Ostatní</w:t>
                        </w:r>
                      </w:p>
                    </w:tc>
                  </w:tr>
                  <w:tr w:rsidR="00F65BCA" w14:paraId="49584F27" w14:textId="77777777">
                    <w:trPr>
                      <w:trHeight w:val="145"/>
                    </w:trPr>
                    <w:tc>
                      <w:tcPr>
                        <w:tcW w:w="1008" w:type="dxa"/>
                        <w:vMerge/>
                        <w:tcBorders>
                          <w:top w:val="nil"/>
                        </w:tcBorders>
                        <w:shd w:val="clear" w:color="auto" w:fill="F8CBAD"/>
                      </w:tcPr>
                      <w:p w14:paraId="0C63EED9" w14:textId="77777777" w:rsidR="00F65BCA" w:rsidRDefault="00F65BCA">
                        <w:pPr>
                          <w:rPr>
                            <w:sz w:val="2"/>
                            <w:szCs w:val="2"/>
                          </w:rPr>
                        </w:pPr>
                      </w:p>
                    </w:tc>
                    <w:tc>
                      <w:tcPr>
                        <w:tcW w:w="607" w:type="dxa"/>
                        <w:shd w:val="clear" w:color="auto" w:fill="FCE4D6"/>
                      </w:tcPr>
                      <w:p w14:paraId="70CEBECA" w14:textId="77777777" w:rsidR="00F65BCA" w:rsidRDefault="00F65BCA">
                        <w:pPr>
                          <w:pStyle w:val="TableParagraph"/>
                          <w:rPr>
                            <w:rFonts w:ascii="Calibri"/>
                            <w:sz w:val="2"/>
                          </w:rPr>
                        </w:pPr>
                      </w:p>
                      <w:p w14:paraId="467A41EB" w14:textId="77777777" w:rsidR="00F65BCA" w:rsidRDefault="00F65BCA">
                        <w:pPr>
                          <w:pStyle w:val="TableParagraph"/>
                          <w:spacing w:before="2"/>
                          <w:rPr>
                            <w:rFonts w:ascii="Calibri"/>
                            <w:sz w:val="2"/>
                          </w:rPr>
                        </w:pPr>
                      </w:p>
                      <w:p w14:paraId="5B3FBBFF" w14:textId="77777777" w:rsidR="00F65BCA" w:rsidRDefault="00216117">
                        <w:pPr>
                          <w:pStyle w:val="TableParagraph"/>
                          <w:ind w:left="201"/>
                          <w:rPr>
                            <w:b/>
                            <w:sz w:val="3"/>
                          </w:rPr>
                        </w:pPr>
                        <w:r>
                          <w:rPr>
                            <w:b/>
                            <w:w w:val="105"/>
                            <w:sz w:val="3"/>
                          </w:rPr>
                          <w:t>tahač návěsů</w:t>
                        </w:r>
                      </w:p>
                    </w:tc>
                    <w:tc>
                      <w:tcPr>
                        <w:tcW w:w="201" w:type="dxa"/>
                        <w:vMerge/>
                        <w:tcBorders>
                          <w:top w:val="nil"/>
                          <w:left w:val="nil"/>
                        </w:tcBorders>
                        <w:shd w:val="clear" w:color="auto" w:fill="FCE4D6"/>
                      </w:tcPr>
                      <w:p w14:paraId="371C077E" w14:textId="77777777" w:rsidR="00F65BCA" w:rsidRDefault="00F65BCA">
                        <w:pPr>
                          <w:rPr>
                            <w:sz w:val="2"/>
                            <w:szCs w:val="2"/>
                          </w:rPr>
                        </w:pPr>
                      </w:p>
                    </w:tc>
                  </w:tr>
                  <w:tr w:rsidR="00F65BCA" w14:paraId="501E823D" w14:textId="77777777">
                    <w:trPr>
                      <w:trHeight w:val="155"/>
                    </w:trPr>
                    <w:tc>
                      <w:tcPr>
                        <w:tcW w:w="1008" w:type="dxa"/>
                        <w:shd w:val="clear" w:color="auto" w:fill="FCE4D6"/>
                      </w:tcPr>
                      <w:p w14:paraId="5BE177F6" w14:textId="77777777" w:rsidR="00F65BCA" w:rsidRDefault="00F65BCA">
                        <w:pPr>
                          <w:pStyle w:val="TableParagraph"/>
                          <w:rPr>
                            <w:rFonts w:ascii="Calibri"/>
                            <w:sz w:val="2"/>
                          </w:rPr>
                        </w:pPr>
                      </w:p>
                      <w:p w14:paraId="73C40EAD" w14:textId="77777777" w:rsidR="00F65BCA" w:rsidRDefault="00F65BCA">
                        <w:pPr>
                          <w:pStyle w:val="TableParagraph"/>
                          <w:rPr>
                            <w:rFonts w:ascii="Calibri"/>
                            <w:sz w:val="2"/>
                          </w:rPr>
                        </w:pPr>
                      </w:p>
                      <w:p w14:paraId="4373FBC8" w14:textId="77777777" w:rsidR="00F65BCA" w:rsidRDefault="00216117">
                        <w:pPr>
                          <w:pStyle w:val="TableParagraph"/>
                          <w:spacing w:before="13"/>
                          <w:ind w:left="278" w:right="277"/>
                          <w:jc w:val="center"/>
                          <w:rPr>
                            <w:sz w:val="3"/>
                          </w:rPr>
                        </w:pPr>
                        <w:r>
                          <w:rPr>
                            <w:w w:val="105"/>
                            <w:sz w:val="3"/>
                          </w:rPr>
                          <w:t>0 let</w:t>
                        </w:r>
                      </w:p>
                    </w:tc>
                    <w:tc>
                      <w:tcPr>
                        <w:tcW w:w="607" w:type="dxa"/>
                      </w:tcPr>
                      <w:p w14:paraId="538F0817" w14:textId="77777777" w:rsidR="00F65BCA" w:rsidRDefault="00F65BCA">
                        <w:pPr>
                          <w:pStyle w:val="TableParagraph"/>
                          <w:rPr>
                            <w:rFonts w:ascii="Calibri"/>
                            <w:sz w:val="2"/>
                          </w:rPr>
                        </w:pPr>
                      </w:p>
                      <w:p w14:paraId="31362B6E" w14:textId="77777777" w:rsidR="00F65BCA" w:rsidRDefault="00F65BCA">
                        <w:pPr>
                          <w:pStyle w:val="TableParagraph"/>
                          <w:rPr>
                            <w:rFonts w:ascii="Calibri"/>
                            <w:sz w:val="2"/>
                          </w:rPr>
                        </w:pPr>
                      </w:p>
                      <w:p w14:paraId="062CE2F9" w14:textId="77777777" w:rsidR="00F65BCA" w:rsidRDefault="00216117">
                        <w:pPr>
                          <w:pStyle w:val="TableParagraph"/>
                          <w:spacing w:before="13"/>
                          <w:ind w:left="256"/>
                          <w:rPr>
                            <w:sz w:val="3"/>
                          </w:rPr>
                        </w:pPr>
                        <w:r>
                          <w:rPr>
                            <w:w w:val="105"/>
                            <w:sz w:val="3"/>
                          </w:rPr>
                          <w:t>1,0000</w:t>
                        </w:r>
                      </w:p>
                    </w:tc>
                    <w:tc>
                      <w:tcPr>
                        <w:tcW w:w="201" w:type="dxa"/>
                      </w:tcPr>
                      <w:p w14:paraId="030C0CEE" w14:textId="77777777" w:rsidR="00F65BCA" w:rsidRDefault="00F65BCA">
                        <w:pPr>
                          <w:pStyle w:val="TableParagraph"/>
                          <w:rPr>
                            <w:rFonts w:ascii="Calibri"/>
                            <w:sz w:val="2"/>
                          </w:rPr>
                        </w:pPr>
                      </w:p>
                      <w:p w14:paraId="0058A8DB" w14:textId="77777777" w:rsidR="00F65BCA" w:rsidRDefault="00F65BCA">
                        <w:pPr>
                          <w:pStyle w:val="TableParagraph"/>
                          <w:rPr>
                            <w:rFonts w:ascii="Calibri"/>
                            <w:sz w:val="2"/>
                          </w:rPr>
                        </w:pPr>
                      </w:p>
                      <w:p w14:paraId="64529B59" w14:textId="77777777" w:rsidR="00F65BCA" w:rsidRDefault="00216117">
                        <w:pPr>
                          <w:pStyle w:val="TableParagraph"/>
                          <w:spacing w:before="13"/>
                          <w:ind w:left="31" w:right="28"/>
                          <w:jc w:val="center"/>
                          <w:rPr>
                            <w:sz w:val="3"/>
                          </w:rPr>
                        </w:pPr>
                        <w:r>
                          <w:rPr>
                            <w:w w:val="105"/>
                            <w:sz w:val="3"/>
                          </w:rPr>
                          <w:t>1,0000</w:t>
                        </w:r>
                      </w:p>
                    </w:tc>
                  </w:tr>
                  <w:tr w:rsidR="00F65BCA" w14:paraId="7F1AB142" w14:textId="77777777">
                    <w:trPr>
                      <w:trHeight w:val="81"/>
                    </w:trPr>
                    <w:tc>
                      <w:tcPr>
                        <w:tcW w:w="1008" w:type="dxa"/>
                        <w:shd w:val="clear" w:color="auto" w:fill="FCE4D6"/>
                      </w:tcPr>
                      <w:p w14:paraId="3D7730BB" w14:textId="77777777" w:rsidR="00F65BCA" w:rsidRDefault="00F65BCA">
                        <w:pPr>
                          <w:pStyle w:val="TableParagraph"/>
                          <w:rPr>
                            <w:rFonts w:ascii="Calibri"/>
                            <w:sz w:val="2"/>
                          </w:rPr>
                        </w:pPr>
                      </w:p>
                      <w:p w14:paraId="20955638" w14:textId="77777777" w:rsidR="00F65BCA" w:rsidRDefault="00216117">
                        <w:pPr>
                          <w:pStyle w:val="TableParagraph"/>
                          <w:ind w:left="278" w:right="277"/>
                          <w:jc w:val="center"/>
                          <w:rPr>
                            <w:sz w:val="3"/>
                          </w:rPr>
                        </w:pPr>
                        <w:r>
                          <w:rPr>
                            <w:w w:val="105"/>
                            <w:sz w:val="3"/>
                          </w:rPr>
                          <w:t>1 rok</w:t>
                        </w:r>
                      </w:p>
                    </w:tc>
                    <w:tc>
                      <w:tcPr>
                        <w:tcW w:w="607" w:type="dxa"/>
                      </w:tcPr>
                      <w:p w14:paraId="1C19657B" w14:textId="77777777" w:rsidR="00F65BCA" w:rsidRDefault="00F65BCA">
                        <w:pPr>
                          <w:pStyle w:val="TableParagraph"/>
                          <w:rPr>
                            <w:rFonts w:ascii="Calibri"/>
                            <w:sz w:val="2"/>
                          </w:rPr>
                        </w:pPr>
                      </w:p>
                      <w:p w14:paraId="1556EFEF" w14:textId="77777777" w:rsidR="00F65BCA" w:rsidRDefault="00216117">
                        <w:pPr>
                          <w:pStyle w:val="TableParagraph"/>
                          <w:ind w:left="256"/>
                          <w:rPr>
                            <w:sz w:val="3"/>
                          </w:rPr>
                        </w:pPr>
                        <w:r>
                          <w:rPr>
                            <w:w w:val="105"/>
                            <w:sz w:val="3"/>
                          </w:rPr>
                          <w:t>1,0600</w:t>
                        </w:r>
                      </w:p>
                    </w:tc>
                    <w:tc>
                      <w:tcPr>
                        <w:tcW w:w="201" w:type="dxa"/>
                      </w:tcPr>
                      <w:p w14:paraId="433F6BE8" w14:textId="77777777" w:rsidR="00F65BCA" w:rsidRDefault="00F65BCA">
                        <w:pPr>
                          <w:pStyle w:val="TableParagraph"/>
                          <w:rPr>
                            <w:rFonts w:ascii="Calibri"/>
                            <w:sz w:val="2"/>
                          </w:rPr>
                        </w:pPr>
                      </w:p>
                      <w:p w14:paraId="731B7314" w14:textId="77777777" w:rsidR="00F65BCA" w:rsidRDefault="00216117">
                        <w:pPr>
                          <w:pStyle w:val="TableParagraph"/>
                          <w:ind w:left="31" w:right="28"/>
                          <w:jc w:val="center"/>
                          <w:rPr>
                            <w:sz w:val="3"/>
                          </w:rPr>
                        </w:pPr>
                        <w:r>
                          <w:rPr>
                            <w:w w:val="105"/>
                            <w:sz w:val="3"/>
                          </w:rPr>
                          <w:t>1,0286</w:t>
                        </w:r>
                      </w:p>
                    </w:tc>
                  </w:tr>
                  <w:tr w:rsidR="00F65BCA" w14:paraId="4C7396EB" w14:textId="77777777">
                    <w:trPr>
                      <w:trHeight w:val="81"/>
                    </w:trPr>
                    <w:tc>
                      <w:tcPr>
                        <w:tcW w:w="1008" w:type="dxa"/>
                        <w:shd w:val="clear" w:color="auto" w:fill="FCE4D6"/>
                      </w:tcPr>
                      <w:p w14:paraId="3E0F3FDE" w14:textId="77777777" w:rsidR="00F65BCA" w:rsidRDefault="00F65BCA">
                        <w:pPr>
                          <w:pStyle w:val="TableParagraph"/>
                          <w:rPr>
                            <w:rFonts w:ascii="Calibri"/>
                            <w:sz w:val="2"/>
                          </w:rPr>
                        </w:pPr>
                      </w:p>
                      <w:p w14:paraId="6A11EA1C" w14:textId="77777777" w:rsidR="00F65BCA" w:rsidRDefault="00216117">
                        <w:pPr>
                          <w:pStyle w:val="TableParagraph"/>
                          <w:ind w:left="280" w:right="277"/>
                          <w:jc w:val="center"/>
                          <w:rPr>
                            <w:sz w:val="3"/>
                          </w:rPr>
                        </w:pPr>
                        <w:r>
                          <w:rPr>
                            <w:w w:val="105"/>
                            <w:sz w:val="3"/>
                          </w:rPr>
                          <w:t>2 roky</w:t>
                        </w:r>
                      </w:p>
                    </w:tc>
                    <w:tc>
                      <w:tcPr>
                        <w:tcW w:w="607" w:type="dxa"/>
                      </w:tcPr>
                      <w:p w14:paraId="4C4F126E" w14:textId="77777777" w:rsidR="00F65BCA" w:rsidRDefault="00F65BCA">
                        <w:pPr>
                          <w:pStyle w:val="TableParagraph"/>
                          <w:rPr>
                            <w:rFonts w:ascii="Calibri"/>
                            <w:sz w:val="2"/>
                          </w:rPr>
                        </w:pPr>
                      </w:p>
                      <w:p w14:paraId="1082F322" w14:textId="77777777" w:rsidR="00F65BCA" w:rsidRDefault="00216117">
                        <w:pPr>
                          <w:pStyle w:val="TableParagraph"/>
                          <w:ind w:left="256"/>
                          <w:rPr>
                            <w:sz w:val="3"/>
                          </w:rPr>
                        </w:pPr>
                        <w:r>
                          <w:rPr>
                            <w:w w:val="105"/>
                            <w:sz w:val="3"/>
                          </w:rPr>
                          <w:t>1,1300</w:t>
                        </w:r>
                      </w:p>
                    </w:tc>
                    <w:tc>
                      <w:tcPr>
                        <w:tcW w:w="201" w:type="dxa"/>
                      </w:tcPr>
                      <w:p w14:paraId="0AB62BC8" w14:textId="77777777" w:rsidR="00F65BCA" w:rsidRDefault="00F65BCA">
                        <w:pPr>
                          <w:pStyle w:val="TableParagraph"/>
                          <w:rPr>
                            <w:rFonts w:ascii="Calibri"/>
                            <w:sz w:val="2"/>
                          </w:rPr>
                        </w:pPr>
                      </w:p>
                      <w:p w14:paraId="09BA55A0" w14:textId="77777777" w:rsidR="00F65BCA" w:rsidRDefault="00216117">
                        <w:pPr>
                          <w:pStyle w:val="TableParagraph"/>
                          <w:ind w:left="31" w:right="28"/>
                          <w:jc w:val="center"/>
                          <w:rPr>
                            <w:sz w:val="3"/>
                          </w:rPr>
                        </w:pPr>
                        <w:r>
                          <w:rPr>
                            <w:w w:val="105"/>
                            <w:sz w:val="3"/>
                          </w:rPr>
                          <w:t>1,0580</w:t>
                        </w:r>
                      </w:p>
                    </w:tc>
                  </w:tr>
                  <w:tr w:rsidR="00F65BCA" w14:paraId="3305B541" w14:textId="77777777">
                    <w:trPr>
                      <w:trHeight w:val="131"/>
                    </w:trPr>
                    <w:tc>
                      <w:tcPr>
                        <w:tcW w:w="1008" w:type="dxa"/>
                        <w:shd w:val="clear" w:color="auto" w:fill="FCE4D6"/>
                      </w:tcPr>
                      <w:p w14:paraId="09718D44" w14:textId="77777777" w:rsidR="00F65BCA" w:rsidRDefault="00F65BCA">
                        <w:pPr>
                          <w:pStyle w:val="TableParagraph"/>
                          <w:rPr>
                            <w:rFonts w:ascii="Calibri"/>
                            <w:sz w:val="2"/>
                          </w:rPr>
                        </w:pPr>
                      </w:p>
                      <w:p w14:paraId="64451FA6" w14:textId="77777777" w:rsidR="00F65BCA" w:rsidRDefault="00F65BCA">
                        <w:pPr>
                          <w:pStyle w:val="TableParagraph"/>
                          <w:rPr>
                            <w:rFonts w:ascii="Calibri"/>
                            <w:sz w:val="2"/>
                          </w:rPr>
                        </w:pPr>
                      </w:p>
                      <w:p w14:paraId="4ADC1B1D" w14:textId="77777777" w:rsidR="00F65BCA" w:rsidRDefault="00216117">
                        <w:pPr>
                          <w:pStyle w:val="TableParagraph"/>
                          <w:spacing w:before="1"/>
                          <w:ind w:left="280" w:right="277"/>
                          <w:jc w:val="center"/>
                          <w:rPr>
                            <w:sz w:val="3"/>
                          </w:rPr>
                        </w:pPr>
                        <w:r>
                          <w:rPr>
                            <w:w w:val="105"/>
                            <w:sz w:val="3"/>
                          </w:rPr>
                          <w:t>3 roky</w:t>
                        </w:r>
                      </w:p>
                    </w:tc>
                    <w:tc>
                      <w:tcPr>
                        <w:tcW w:w="607" w:type="dxa"/>
                      </w:tcPr>
                      <w:p w14:paraId="79091261" w14:textId="77777777" w:rsidR="00F65BCA" w:rsidRDefault="00F65BCA">
                        <w:pPr>
                          <w:pStyle w:val="TableParagraph"/>
                          <w:rPr>
                            <w:rFonts w:ascii="Calibri"/>
                            <w:sz w:val="2"/>
                          </w:rPr>
                        </w:pPr>
                      </w:p>
                      <w:p w14:paraId="6C131430" w14:textId="77777777" w:rsidR="00F65BCA" w:rsidRDefault="00F65BCA">
                        <w:pPr>
                          <w:pStyle w:val="TableParagraph"/>
                          <w:rPr>
                            <w:rFonts w:ascii="Calibri"/>
                            <w:sz w:val="2"/>
                          </w:rPr>
                        </w:pPr>
                      </w:p>
                      <w:p w14:paraId="32FA6681" w14:textId="77777777" w:rsidR="00F65BCA" w:rsidRDefault="00216117">
                        <w:pPr>
                          <w:pStyle w:val="TableParagraph"/>
                          <w:spacing w:before="1"/>
                          <w:ind w:left="256"/>
                          <w:rPr>
                            <w:sz w:val="3"/>
                          </w:rPr>
                        </w:pPr>
                        <w:r>
                          <w:rPr>
                            <w:w w:val="105"/>
                            <w:sz w:val="3"/>
                          </w:rPr>
                          <w:t>1,2100</w:t>
                        </w:r>
                      </w:p>
                    </w:tc>
                    <w:tc>
                      <w:tcPr>
                        <w:tcW w:w="201" w:type="dxa"/>
                      </w:tcPr>
                      <w:p w14:paraId="4B3B4073" w14:textId="77777777" w:rsidR="00F65BCA" w:rsidRDefault="00F65BCA">
                        <w:pPr>
                          <w:pStyle w:val="TableParagraph"/>
                          <w:rPr>
                            <w:rFonts w:ascii="Calibri"/>
                            <w:sz w:val="2"/>
                          </w:rPr>
                        </w:pPr>
                      </w:p>
                      <w:p w14:paraId="3B245099" w14:textId="77777777" w:rsidR="00F65BCA" w:rsidRDefault="00F65BCA">
                        <w:pPr>
                          <w:pStyle w:val="TableParagraph"/>
                          <w:rPr>
                            <w:rFonts w:ascii="Calibri"/>
                            <w:sz w:val="2"/>
                          </w:rPr>
                        </w:pPr>
                      </w:p>
                      <w:p w14:paraId="7B34C8BB" w14:textId="77777777" w:rsidR="00F65BCA" w:rsidRDefault="00216117">
                        <w:pPr>
                          <w:pStyle w:val="TableParagraph"/>
                          <w:spacing w:before="1"/>
                          <w:ind w:left="31" w:right="28"/>
                          <w:jc w:val="center"/>
                          <w:rPr>
                            <w:sz w:val="3"/>
                          </w:rPr>
                        </w:pPr>
                        <w:r>
                          <w:rPr>
                            <w:w w:val="105"/>
                            <w:sz w:val="3"/>
                          </w:rPr>
                          <w:t>1,0882</w:t>
                        </w:r>
                      </w:p>
                    </w:tc>
                  </w:tr>
                  <w:tr w:rsidR="00F65BCA" w14:paraId="01EFEA94" w14:textId="77777777">
                    <w:trPr>
                      <w:trHeight w:val="131"/>
                    </w:trPr>
                    <w:tc>
                      <w:tcPr>
                        <w:tcW w:w="1008" w:type="dxa"/>
                        <w:shd w:val="clear" w:color="auto" w:fill="FCE4D6"/>
                      </w:tcPr>
                      <w:p w14:paraId="7D075A3F" w14:textId="77777777" w:rsidR="00F65BCA" w:rsidRDefault="00F65BCA">
                        <w:pPr>
                          <w:pStyle w:val="TableParagraph"/>
                          <w:rPr>
                            <w:rFonts w:ascii="Calibri"/>
                            <w:sz w:val="2"/>
                          </w:rPr>
                        </w:pPr>
                      </w:p>
                      <w:p w14:paraId="1E1E28B6" w14:textId="77777777" w:rsidR="00F65BCA" w:rsidRDefault="00F65BCA">
                        <w:pPr>
                          <w:pStyle w:val="TableParagraph"/>
                          <w:rPr>
                            <w:rFonts w:ascii="Calibri"/>
                            <w:sz w:val="2"/>
                          </w:rPr>
                        </w:pPr>
                      </w:p>
                      <w:p w14:paraId="060C917B" w14:textId="77777777" w:rsidR="00F65BCA" w:rsidRDefault="00216117">
                        <w:pPr>
                          <w:pStyle w:val="TableParagraph"/>
                          <w:spacing w:before="1"/>
                          <w:ind w:left="280" w:right="277"/>
                          <w:jc w:val="center"/>
                          <w:rPr>
                            <w:sz w:val="3"/>
                          </w:rPr>
                        </w:pPr>
                        <w:r>
                          <w:rPr>
                            <w:w w:val="105"/>
                            <w:sz w:val="3"/>
                          </w:rPr>
                          <w:t>4 roky</w:t>
                        </w:r>
                      </w:p>
                    </w:tc>
                    <w:tc>
                      <w:tcPr>
                        <w:tcW w:w="607" w:type="dxa"/>
                      </w:tcPr>
                      <w:p w14:paraId="2B35DA7A" w14:textId="77777777" w:rsidR="00F65BCA" w:rsidRDefault="00F65BCA">
                        <w:pPr>
                          <w:pStyle w:val="TableParagraph"/>
                          <w:rPr>
                            <w:rFonts w:ascii="Calibri"/>
                            <w:sz w:val="2"/>
                          </w:rPr>
                        </w:pPr>
                      </w:p>
                      <w:p w14:paraId="4C0B360A" w14:textId="77777777" w:rsidR="00F65BCA" w:rsidRDefault="00F65BCA">
                        <w:pPr>
                          <w:pStyle w:val="TableParagraph"/>
                          <w:rPr>
                            <w:rFonts w:ascii="Calibri"/>
                            <w:sz w:val="2"/>
                          </w:rPr>
                        </w:pPr>
                      </w:p>
                      <w:p w14:paraId="6524EE8E" w14:textId="77777777" w:rsidR="00F65BCA" w:rsidRDefault="00216117">
                        <w:pPr>
                          <w:pStyle w:val="TableParagraph"/>
                          <w:spacing w:before="1"/>
                          <w:ind w:left="256"/>
                          <w:rPr>
                            <w:sz w:val="3"/>
                          </w:rPr>
                        </w:pPr>
                        <w:r>
                          <w:rPr>
                            <w:w w:val="105"/>
                            <w:sz w:val="3"/>
                          </w:rPr>
                          <w:t>1,3300</w:t>
                        </w:r>
                      </w:p>
                    </w:tc>
                    <w:tc>
                      <w:tcPr>
                        <w:tcW w:w="201" w:type="dxa"/>
                      </w:tcPr>
                      <w:p w14:paraId="54E09E05" w14:textId="77777777" w:rsidR="00F65BCA" w:rsidRDefault="00F65BCA">
                        <w:pPr>
                          <w:pStyle w:val="TableParagraph"/>
                          <w:rPr>
                            <w:rFonts w:ascii="Calibri"/>
                            <w:sz w:val="2"/>
                          </w:rPr>
                        </w:pPr>
                      </w:p>
                      <w:p w14:paraId="481AF6E3" w14:textId="77777777" w:rsidR="00F65BCA" w:rsidRDefault="00F65BCA">
                        <w:pPr>
                          <w:pStyle w:val="TableParagraph"/>
                          <w:rPr>
                            <w:rFonts w:ascii="Calibri"/>
                            <w:sz w:val="2"/>
                          </w:rPr>
                        </w:pPr>
                      </w:p>
                      <w:p w14:paraId="4D7E50D5" w14:textId="77777777" w:rsidR="00F65BCA" w:rsidRDefault="00216117">
                        <w:pPr>
                          <w:pStyle w:val="TableParagraph"/>
                          <w:spacing w:before="1"/>
                          <w:ind w:left="31" w:right="28"/>
                          <w:jc w:val="center"/>
                          <w:rPr>
                            <w:sz w:val="3"/>
                          </w:rPr>
                        </w:pPr>
                        <w:r>
                          <w:rPr>
                            <w:w w:val="105"/>
                            <w:sz w:val="3"/>
                          </w:rPr>
                          <w:t>1,1193</w:t>
                        </w:r>
                      </w:p>
                    </w:tc>
                  </w:tr>
                  <w:tr w:rsidR="00F65BCA" w14:paraId="235F93BD" w14:textId="77777777">
                    <w:trPr>
                      <w:trHeight w:val="81"/>
                    </w:trPr>
                    <w:tc>
                      <w:tcPr>
                        <w:tcW w:w="1008" w:type="dxa"/>
                        <w:shd w:val="clear" w:color="auto" w:fill="FCE4D6"/>
                      </w:tcPr>
                      <w:p w14:paraId="6C06D228" w14:textId="77777777" w:rsidR="00F65BCA" w:rsidRDefault="00F65BCA">
                        <w:pPr>
                          <w:pStyle w:val="TableParagraph"/>
                          <w:rPr>
                            <w:rFonts w:ascii="Calibri"/>
                            <w:sz w:val="2"/>
                          </w:rPr>
                        </w:pPr>
                      </w:p>
                      <w:p w14:paraId="5CB930AF" w14:textId="77777777" w:rsidR="00F65BCA" w:rsidRDefault="00216117">
                        <w:pPr>
                          <w:pStyle w:val="TableParagraph"/>
                          <w:ind w:left="282" w:right="277"/>
                          <w:jc w:val="center"/>
                          <w:rPr>
                            <w:sz w:val="3"/>
                          </w:rPr>
                        </w:pPr>
                        <w:r>
                          <w:rPr>
                            <w:w w:val="105"/>
                            <w:sz w:val="3"/>
                          </w:rPr>
                          <w:t>5 roků</w:t>
                        </w:r>
                      </w:p>
                    </w:tc>
                    <w:tc>
                      <w:tcPr>
                        <w:tcW w:w="607" w:type="dxa"/>
                      </w:tcPr>
                      <w:p w14:paraId="478D868F" w14:textId="77777777" w:rsidR="00F65BCA" w:rsidRDefault="00F65BCA">
                        <w:pPr>
                          <w:pStyle w:val="TableParagraph"/>
                          <w:rPr>
                            <w:rFonts w:ascii="Calibri"/>
                            <w:sz w:val="2"/>
                          </w:rPr>
                        </w:pPr>
                      </w:p>
                      <w:p w14:paraId="1B7005C0" w14:textId="77777777" w:rsidR="00F65BCA" w:rsidRDefault="00216117">
                        <w:pPr>
                          <w:pStyle w:val="TableParagraph"/>
                          <w:ind w:left="256"/>
                          <w:rPr>
                            <w:sz w:val="3"/>
                          </w:rPr>
                        </w:pPr>
                        <w:r>
                          <w:rPr>
                            <w:w w:val="105"/>
                            <w:sz w:val="3"/>
                          </w:rPr>
                          <w:t>1,4200</w:t>
                        </w:r>
                      </w:p>
                    </w:tc>
                    <w:tc>
                      <w:tcPr>
                        <w:tcW w:w="201" w:type="dxa"/>
                      </w:tcPr>
                      <w:p w14:paraId="33995C82" w14:textId="77777777" w:rsidR="00F65BCA" w:rsidRDefault="00F65BCA">
                        <w:pPr>
                          <w:pStyle w:val="TableParagraph"/>
                          <w:rPr>
                            <w:rFonts w:ascii="Calibri"/>
                            <w:sz w:val="2"/>
                          </w:rPr>
                        </w:pPr>
                      </w:p>
                      <w:p w14:paraId="1D7EC530" w14:textId="77777777" w:rsidR="00F65BCA" w:rsidRDefault="00216117">
                        <w:pPr>
                          <w:pStyle w:val="TableParagraph"/>
                          <w:ind w:left="31" w:right="28"/>
                          <w:jc w:val="center"/>
                          <w:rPr>
                            <w:sz w:val="3"/>
                          </w:rPr>
                        </w:pPr>
                        <w:r>
                          <w:rPr>
                            <w:w w:val="105"/>
                            <w:sz w:val="3"/>
                          </w:rPr>
                          <w:t>1,1513</w:t>
                        </w:r>
                      </w:p>
                    </w:tc>
                  </w:tr>
                  <w:tr w:rsidR="00F65BCA" w14:paraId="5786E6FF" w14:textId="77777777">
                    <w:trPr>
                      <w:trHeight w:val="81"/>
                    </w:trPr>
                    <w:tc>
                      <w:tcPr>
                        <w:tcW w:w="1008" w:type="dxa"/>
                        <w:shd w:val="clear" w:color="auto" w:fill="FCE4D6"/>
                      </w:tcPr>
                      <w:p w14:paraId="24B37036" w14:textId="77777777" w:rsidR="00F65BCA" w:rsidRDefault="00F65BCA">
                        <w:pPr>
                          <w:pStyle w:val="TableParagraph"/>
                          <w:rPr>
                            <w:rFonts w:ascii="Calibri"/>
                            <w:sz w:val="2"/>
                          </w:rPr>
                        </w:pPr>
                      </w:p>
                      <w:p w14:paraId="12E48416" w14:textId="77777777" w:rsidR="00F65BCA" w:rsidRDefault="00216117">
                        <w:pPr>
                          <w:pStyle w:val="TableParagraph"/>
                          <w:ind w:left="282" w:right="277"/>
                          <w:jc w:val="center"/>
                          <w:rPr>
                            <w:sz w:val="3"/>
                          </w:rPr>
                        </w:pPr>
                        <w:r>
                          <w:rPr>
                            <w:w w:val="105"/>
                            <w:sz w:val="3"/>
                          </w:rPr>
                          <w:t>6 roků</w:t>
                        </w:r>
                      </w:p>
                    </w:tc>
                    <w:tc>
                      <w:tcPr>
                        <w:tcW w:w="607" w:type="dxa"/>
                      </w:tcPr>
                      <w:p w14:paraId="63AC09DF" w14:textId="77777777" w:rsidR="00F65BCA" w:rsidRDefault="00F65BCA">
                        <w:pPr>
                          <w:pStyle w:val="TableParagraph"/>
                          <w:rPr>
                            <w:rFonts w:ascii="Calibri"/>
                            <w:sz w:val="2"/>
                          </w:rPr>
                        </w:pPr>
                      </w:p>
                      <w:p w14:paraId="5A038D99" w14:textId="77777777" w:rsidR="00F65BCA" w:rsidRDefault="00216117">
                        <w:pPr>
                          <w:pStyle w:val="TableParagraph"/>
                          <w:ind w:left="256"/>
                          <w:rPr>
                            <w:sz w:val="3"/>
                          </w:rPr>
                        </w:pPr>
                        <w:r>
                          <w:rPr>
                            <w:w w:val="105"/>
                            <w:sz w:val="3"/>
                          </w:rPr>
                          <w:t>1,4300</w:t>
                        </w:r>
                      </w:p>
                    </w:tc>
                    <w:tc>
                      <w:tcPr>
                        <w:tcW w:w="201" w:type="dxa"/>
                      </w:tcPr>
                      <w:p w14:paraId="555BFB66" w14:textId="77777777" w:rsidR="00F65BCA" w:rsidRDefault="00F65BCA">
                        <w:pPr>
                          <w:pStyle w:val="TableParagraph"/>
                          <w:rPr>
                            <w:rFonts w:ascii="Calibri"/>
                            <w:sz w:val="2"/>
                          </w:rPr>
                        </w:pPr>
                      </w:p>
                      <w:p w14:paraId="44C86992" w14:textId="77777777" w:rsidR="00F65BCA" w:rsidRDefault="00216117">
                        <w:pPr>
                          <w:pStyle w:val="TableParagraph"/>
                          <w:ind w:left="31" w:right="28"/>
                          <w:jc w:val="center"/>
                          <w:rPr>
                            <w:sz w:val="3"/>
                          </w:rPr>
                        </w:pPr>
                        <w:r>
                          <w:rPr>
                            <w:w w:val="105"/>
                            <w:sz w:val="3"/>
                          </w:rPr>
                          <w:t>1,1842</w:t>
                        </w:r>
                      </w:p>
                    </w:tc>
                  </w:tr>
                  <w:tr w:rsidR="00F65BCA" w14:paraId="7EB475C2" w14:textId="77777777">
                    <w:trPr>
                      <w:trHeight w:val="81"/>
                    </w:trPr>
                    <w:tc>
                      <w:tcPr>
                        <w:tcW w:w="1008" w:type="dxa"/>
                        <w:shd w:val="clear" w:color="auto" w:fill="FCE4D6"/>
                      </w:tcPr>
                      <w:p w14:paraId="6D58A01F" w14:textId="77777777" w:rsidR="00F65BCA" w:rsidRDefault="00F65BCA">
                        <w:pPr>
                          <w:pStyle w:val="TableParagraph"/>
                          <w:rPr>
                            <w:rFonts w:ascii="Calibri"/>
                            <w:sz w:val="2"/>
                          </w:rPr>
                        </w:pPr>
                      </w:p>
                      <w:p w14:paraId="7C03BD25" w14:textId="77777777" w:rsidR="00F65BCA" w:rsidRDefault="00216117">
                        <w:pPr>
                          <w:pStyle w:val="TableParagraph"/>
                          <w:ind w:left="282" w:right="277"/>
                          <w:jc w:val="center"/>
                          <w:rPr>
                            <w:sz w:val="3"/>
                          </w:rPr>
                        </w:pPr>
                        <w:r>
                          <w:rPr>
                            <w:w w:val="105"/>
                            <w:sz w:val="3"/>
                          </w:rPr>
                          <w:t>7 roků</w:t>
                        </w:r>
                      </w:p>
                    </w:tc>
                    <w:tc>
                      <w:tcPr>
                        <w:tcW w:w="607" w:type="dxa"/>
                      </w:tcPr>
                      <w:p w14:paraId="367C2642" w14:textId="77777777" w:rsidR="00F65BCA" w:rsidRDefault="00F65BCA">
                        <w:pPr>
                          <w:pStyle w:val="TableParagraph"/>
                          <w:rPr>
                            <w:rFonts w:ascii="Calibri"/>
                            <w:sz w:val="2"/>
                          </w:rPr>
                        </w:pPr>
                      </w:p>
                      <w:p w14:paraId="53D48885" w14:textId="77777777" w:rsidR="00F65BCA" w:rsidRDefault="00216117">
                        <w:pPr>
                          <w:pStyle w:val="TableParagraph"/>
                          <w:ind w:left="256"/>
                          <w:rPr>
                            <w:sz w:val="3"/>
                          </w:rPr>
                        </w:pPr>
                        <w:r>
                          <w:rPr>
                            <w:w w:val="105"/>
                            <w:sz w:val="3"/>
                          </w:rPr>
                          <w:t>1,3700</w:t>
                        </w:r>
                      </w:p>
                    </w:tc>
                    <w:tc>
                      <w:tcPr>
                        <w:tcW w:w="201" w:type="dxa"/>
                      </w:tcPr>
                      <w:p w14:paraId="1B86284A" w14:textId="77777777" w:rsidR="00F65BCA" w:rsidRDefault="00F65BCA">
                        <w:pPr>
                          <w:pStyle w:val="TableParagraph"/>
                          <w:rPr>
                            <w:rFonts w:ascii="Calibri"/>
                            <w:sz w:val="2"/>
                          </w:rPr>
                        </w:pPr>
                      </w:p>
                      <w:p w14:paraId="04C46DC9" w14:textId="77777777" w:rsidR="00F65BCA" w:rsidRDefault="00216117">
                        <w:pPr>
                          <w:pStyle w:val="TableParagraph"/>
                          <w:ind w:left="31" w:right="28"/>
                          <w:jc w:val="center"/>
                          <w:rPr>
                            <w:sz w:val="3"/>
                          </w:rPr>
                        </w:pPr>
                        <w:r>
                          <w:rPr>
                            <w:w w:val="105"/>
                            <w:sz w:val="3"/>
                          </w:rPr>
                          <w:t>1,2180</w:t>
                        </w:r>
                      </w:p>
                    </w:tc>
                  </w:tr>
                  <w:tr w:rsidR="00F65BCA" w14:paraId="7CD3D490" w14:textId="77777777">
                    <w:trPr>
                      <w:trHeight w:val="81"/>
                    </w:trPr>
                    <w:tc>
                      <w:tcPr>
                        <w:tcW w:w="1008" w:type="dxa"/>
                        <w:shd w:val="clear" w:color="auto" w:fill="FCE4D6"/>
                      </w:tcPr>
                      <w:p w14:paraId="6C168717" w14:textId="77777777" w:rsidR="00F65BCA" w:rsidRDefault="00F65BCA">
                        <w:pPr>
                          <w:pStyle w:val="TableParagraph"/>
                          <w:rPr>
                            <w:rFonts w:ascii="Calibri"/>
                            <w:sz w:val="2"/>
                          </w:rPr>
                        </w:pPr>
                      </w:p>
                      <w:p w14:paraId="374961AF" w14:textId="77777777" w:rsidR="00F65BCA" w:rsidRDefault="00216117">
                        <w:pPr>
                          <w:pStyle w:val="TableParagraph"/>
                          <w:ind w:left="282" w:right="277"/>
                          <w:jc w:val="center"/>
                          <w:rPr>
                            <w:sz w:val="3"/>
                          </w:rPr>
                        </w:pPr>
                        <w:r>
                          <w:rPr>
                            <w:w w:val="105"/>
                            <w:sz w:val="3"/>
                          </w:rPr>
                          <w:t>8 roků</w:t>
                        </w:r>
                      </w:p>
                    </w:tc>
                    <w:tc>
                      <w:tcPr>
                        <w:tcW w:w="607" w:type="dxa"/>
                      </w:tcPr>
                      <w:p w14:paraId="153558CF" w14:textId="77777777" w:rsidR="00F65BCA" w:rsidRDefault="00F65BCA">
                        <w:pPr>
                          <w:pStyle w:val="TableParagraph"/>
                          <w:rPr>
                            <w:rFonts w:ascii="Calibri"/>
                            <w:sz w:val="2"/>
                          </w:rPr>
                        </w:pPr>
                      </w:p>
                      <w:p w14:paraId="3A9CB5B2" w14:textId="77777777" w:rsidR="00F65BCA" w:rsidRDefault="00216117">
                        <w:pPr>
                          <w:pStyle w:val="TableParagraph"/>
                          <w:ind w:left="256"/>
                          <w:rPr>
                            <w:sz w:val="3"/>
                          </w:rPr>
                        </w:pPr>
                        <w:r>
                          <w:rPr>
                            <w:w w:val="105"/>
                            <w:sz w:val="3"/>
                          </w:rPr>
                          <w:t>1,3500</w:t>
                        </w:r>
                      </w:p>
                    </w:tc>
                    <w:tc>
                      <w:tcPr>
                        <w:tcW w:w="201" w:type="dxa"/>
                      </w:tcPr>
                      <w:p w14:paraId="28F345DB" w14:textId="77777777" w:rsidR="00F65BCA" w:rsidRDefault="00F65BCA">
                        <w:pPr>
                          <w:pStyle w:val="TableParagraph"/>
                          <w:rPr>
                            <w:rFonts w:ascii="Calibri"/>
                            <w:sz w:val="2"/>
                          </w:rPr>
                        </w:pPr>
                      </w:p>
                      <w:p w14:paraId="17CBB462" w14:textId="77777777" w:rsidR="00F65BCA" w:rsidRDefault="00216117">
                        <w:pPr>
                          <w:pStyle w:val="TableParagraph"/>
                          <w:ind w:left="31" w:right="28"/>
                          <w:jc w:val="center"/>
                          <w:rPr>
                            <w:sz w:val="3"/>
                          </w:rPr>
                        </w:pPr>
                        <w:r>
                          <w:rPr>
                            <w:w w:val="105"/>
                            <w:sz w:val="3"/>
                          </w:rPr>
                          <w:t>1,2528</w:t>
                        </w:r>
                      </w:p>
                    </w:tc>
                  </w:tr>
                  <w:tr w:rsidR="00F65BCA" w14:paraId="0790CA06" w14:textId="77777777">
                    <w:trPr>
                      <w:trHeight w:val="81"/>
                    </w:trPr>
                    <w:tc>
                      <w:tcPr>
                        <w:tcW w:w="1008" w:type="dxa"/>
                        <w:shd w:val="clear" w:color="auto" w:fill="FCE4D6"/>
                      </w:tcPr>
                      <w:p w14:paraId="658E84A8" w14:textId="77777777" w:rsidR="00F65BCA" w:rsidRDefault="00F65BCA">
                        <w:pPr>
                          <w:pStyle w:val="TableParagraph"/>
                          <w:rPr>
                            <w:rFonts w:ascii="Calibri"/>
                            <w:sz w:val="2"/>
                          </w:rPr>
                        </w:pPr>
                      </w:p>
                      <w:p w14:paraId="2784140C" w14:textId="77777777" w:rsidR="00F65BCA" w:rsidRDefault="00216117">
                        <w:pPr>
                          <w:pStyle w:val="TableParagraph"/>
                          <w:ind w:left="282" w:right="277"/>
                          <w:jc w:val="center"/>
                          <w:rPr>
                            <w:sz w:val="3"/>
                          </w:rPr>
                        </w:pPr>
                        <w:r>
                          <w:rPr>
                            <w:w w:val="105"/>
                            <w:sz w:val="3"/>
                          </w:rPr>
                          <w:t>9 roků</w:t>
                        </w:r>
                      </w:p>
                    </w:tc>
                    <w:tc>
                      <w:tcPr>
                        <w:tcW w:w="607" w:type="dxa"/>
                      </w:tcPr>
                      <w:p w14:paraId="1101E33C" w14:textId="77777777" w:rsidR="00F65BCA" w:rsidRDefault="00F65BCA">
                        <w:pPr>
                          <w:pStyle w:val="TableParagraph"/>
                          <w:rPr>
                            <w:rFonts w:ascii="Calibri"/>
                            <w:sz w:val="2"/>
                          </w:rPr>
                        </w:pPr>
                      </w:p>
                      <w:p w14:paraId="1077243B" w14:textId="77777777" w:rsidR="00F65BCA" w:rsidRDefault="00216117">
                        <w:pPr>
                          <w:pStyle w:val="TableParagraph"/>
                          <w:ind w:left="256"/>
                          <w:rPr>
                            <w:sz w:val="3"/>
                          </w:rPr>
                        </w:pPr>
                        <w:r>
                          <w:rPr>
                            <w:w w:val="105"/>
                            <w:sz w:val="3"/>
                          </w:rPr>
                          <w:t>1,3500</w:t>
                        </w:r>
                      </w:p>
                    </w:tc>
                    <w:tc>
                      <w:tcPr>
                        <w:tcW w:w="201" w:type="dxa"/>
                      </w:tcPr>
                      <w:p w14:paraId="45B59E16" w14:textId="77777777" w:rsidR="00F65BCA" w:rsidRDefault="00F65BCA">
                        <w:pPr>
                          <w:pStyle w:val="TableParagraph"/>
                          <w:rPr>
                            <w:rFonts w:ascii="Calibri"/>
                            <w:sz w:val="2"/>
                          </w:rPr>
                        </w:pPr>
                      </w:p>
                      <w:p w14:paraId="637E83BD" w14:textId="77777777" w:rsidR="00F65BCA" w:rsidRDefault="00216117">
                        <w:pPr>
                          <w:pStyle w:val="TableParagraph"/>
                          <w:ind w:left="31" w:right="28"/>
                          <w:jc w:val="center"/>
                          <w:rPr>
                            <w:sz w:val="3"/>
                          </w:rPr>
                        </w:pPr>
                        <w:r>
                          <w:rPr>
                            <w:w w:val="105"/>
                            <w:sz w:val="3"/>
                          </w:rPr>
                          <w:t>1,2886</w:t>
                        </w:r>
                      </w:p>
                    </w:tc>
                  </w:tr>
                  <w:tr w:rsidR="00F65BCA" w14:paraId="6ACA8B28" w14:textId="77777777">
                    <w:trPr>
                      <w:trHeight w:val="81"/>
                    </w:trPr>
                    <w:tc>
                      <w:tcPr>
                        <w:tcW w:w="1008" w:type="dxa"/>
                        <w:shd w:val="clear" w:color="auto" w:fill="FCE4D6"/>
                      </w:tcPr>
                      <w:p w14:paraId="58A2EBEB" w14:textId="77777777" w:rsidR="00F65BCA" w:rsidRDefault="00F65BCA">
                        <w:pPr>
                          <w:pStyle w:val="TableParagraph"/>
                          <w:rPr>
                            <w:rFonts w:ascii="Calibri"/>
                            <w:sz w:val="2"/>
                          </w:rPr>
                        </w:pPr>
                      </w:p>
                      <w:p w14:paraId="7D4188DC" w14:textId="77777777" w:rsidR="00F65BCA" w:rsidRDefault="00216117">
                        <w:pPr>
                          <w:pStyle w:val="TableParagraph"/>
                          <w:ind w:left="279" w:right="277"/>
                          <w:jc w:val="center"/>
                          <w:rPr>
                            <w:sz w:val="3"/>
                          </w:rPr>
                        </w:pPr>
                        <w:r>
                          <w:rPr>
                            <w:w w:val="105"/>
                            <w:sz w:val="3"/>
                          </w:rPr>
                          <w:t>&gt;=10 roků</w:t>
                        </w:r>
                      </w:p>
                    </w:tc>
                    <w:tc>
                      <w:tcPr>
                        <w:tcW w:w="607" w:type="dxa"/>
                      </w:tcPr>
                      <w:p w14:paraId="562C4EBD" w14:textId="77777777" w:rsidR="00F65BCA" w:rsidRDefault="00F65BCA">
                        <w:pPr>
                          <w:pStyle w:val="TableParagraph"/>
                          <w:rPr>
                            <w:rFonts w:ascii="Calibri"/>
                            <w:sz w:val="2"/>
                          </w:rPr>
                        </w:pPr>
                      </w:p>
                      <w:p w14:paraId="7CD59B5F" w14:textId="77777777" w:rsidR="00F65BCA" w:rsidRDefault="00216117">
                        <w:pPr>
                          <w:pStyle w:val="TableParagraph"/>
                          <w:ind w:left="256"/>
                          <w:rPr>
                            <w:sz w:val="3"/>
                          </w:rPr>
                        </w:pPr>
                        <w:r>
                          <w:rPr>
                            <w:w w:val="105"/>
                            <w:sz w:val="3"/>
                          </w:rPr>
                          <w:t>1,3500</w:t>
                        </w:r>
                      </w:p>
                    </w:tc>
                    <w:tc>
                      <w:tcPr>
                        <w:tcW w:w="201" w:type="dxa"/>
                      </w:tcPr>
                      <w:p w14:paraId="29B68F3D" w14:textId="77777777" w:rsidR="00F65BCA" w:rsidRDefault="00F65BCA">
                        <w:pPr>
                          <w:pStyle w:val="TableParagraph"/>
                          <w:rPr>
                            <w:rFonts w:ascii="Calibri"/>
                            <w:sz w:val="2"/>
                          </w:rPr>
                        </w:pPr>
                      </w:p>
                      <w:p w14:paraId="5BA1D739" w14:textId="77777777" w:rsidR="00F65BCA" w:rsidRDefault="00216117">
                        <w:pPr>
                          <w:pStyle w:val="TableParagraph"/>
                          <w:ind w:left="31" w:right="28"/>
                          <w:jc w:val="center"/>
                          <w:rPr>
                            <w:sz w:val="3"/>
                          </w:rPr>
                        </w:pPr>
                        <w:r>
                          <w:rPr>
                            <w:w w:val="105"/>
                            <w:sz w:val="3"/>
                          </w:rPr>
                          <w:t>1,3255</w:t>
                        </w:r>
                      </w:p>
                    </w:tc>
                  </w:tr>
                </w:tbl>
                <w:p w14:paraId="77497B7C" w14:textId="77777777" w:rsidR="00F65BCA" w:rsidRDefault="00F65BCA">
                  <w:pPr>
                    <w:pStyle w:val="Zkladntext"/>
                  </w:pPr>
                </w:p>
              </w:txbxContent>
            </v:textbox>
            <w10:wrap anchorx="page" anchory="page"/>
          </v:shape>
        </w:pict>
      </w:r>
      <w:r>
        <w:pict w14:anchorId="3B2F89A7">
          <v:shape id="_x0000_s2476" type="#_x0000_t202" style="position:absolute;margin-left:412.55pt;margin-top:227.65pt;width:80.95pt;height:24.75pt;z-index:251719680;mso-position-horizontal-relative:page;mso-position-vertical-relative:page"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08"/>
                    <w:gridCol w:w="607"/>
                  </w:tblGrid>
                  <w:tr w:rsidR="00F65BCA" w14:paraId="3783CA95" w14:textId="77777777">
                    <w:trPr>
                      <w:trHeight w:val="155"/>
                    </w:trPr>
                    <w:tc>
                      <w:tcPr>
                        <w:tcW w:w="1008" w:type="dxa"/>
                        <w:shd w:val="clear" w:color="auto" w:fill="F8CBAD"/>
                      </w:tcPr>
                      <w:p w14:paraId="4F6288B5" w14:textId="77777777" w:rsidR="00F65BCA" w:rsidRDefault="00F65BCA">
                        <w:pPr>
                          <w:pStyle w:val="TableParagraph"/>
                          <w:rPr>
                            <w:rFonts w:ascii="Calibri"/>
                            <w:sz w:val="2"/>
                          </w:rPr>
                        </w:pPr>
                      </w:p>
                      <w:p w14:paraId="122373F4" w14:textId="77777777" w:rsidR="00F65BCA" w:rsidRDefault="00F65BCA">
                        <w:pPr>
                          <w:pStyle w:val="TableParagraph"/>
                          <w:rPr>
                            <w:rFonts w:ascii="Calibri"/>
                            <w:sz w:val="2"/>
                          </w:rPr>
                        </w:pPr>
                      </w:p>
                      <w:p w14:paraId="75241634" w14:textId="77777777" w:rsidR="00F65BCA" w:rsidRDefault="00216117">
                        <w:pPr>
                          <w:pStyle w:val="TableParagraph"/>
                          <w:spacing w:before="13"/>
                          <w:ind w:left="278" w:right="277"/>
                          <w:jc w:val="center"/>
                          <w:rPr>
                            <w:b/>
                            <w:sz w:val="3"/>
                          </w:rPr>
                        </w:pPr>
                        <w:r>
                          <w:rPr>
                            <w:b/>
                            <w:w w:val="105"/>
                            <w:sz w:val="3"/>
                          </w:rPr>
                          <w:t>Varianta krytí</w:t>
                        </w:r>
                      </w:p>
                    </w:tc>
                    <w:tc>
                      <w:tcPr>
                        <w:tcW w:w="607" w:type="dxa"/>
                        <w:shd w:val="clear" w:color="auto" w:fill="F8CBAD"/>
                      </w:tcPr>
                      <w:p w14:paraId="0474BC6F" w14:textId="77777777" w:rsidR="00F65BCA" w:rsidRDefault="00F65BCA">
                        <w:pPr>
                          <w:pStyle w:val="TableParagraph"/>
                          <w:rPr>
                            <w:rFonts w:ascii="Calibri"/>
                            <w:sz w:val="2"/>
                          </w:rPr>
                        </w:pPr>
                      </w:p>
                      <w:p w14:paraId="0D6DA566" w14:textId="77777777" w:rsidR="00F65BCA" w:rsidRDefault="00F65BCA">
                        <w:pPr>
                          <w:pStyle w:val="TableParagraph"/>
                          <w:rPr>
                            <w:rFonts w:ascii="Calibri"/>
                            <w:sz w:val="2"/>
                          </w:rPr>
                        </w:pPr>
                      </w:p>
                      <w:p w14:paraId="426F00F0" w14:textId="77777777" w:rsidR="00F65BCA" w:rsidRDefault="00216117">
                        <w:pPr>
                          <w:pStyle w:val="TableParagraph"/>
                          <w:spacing w:before="13"/>
                          <w:ind w:left="74" w:right="73"/>
                          <w:jc w:val="center"/>
                          <w:rPr>
                            <w:b/>
                            <w:sz w:val="3"/>
                          </w:rPr>
                        </w:pPr>
                        <w:r>
                          <w:rPr>
                            <w:b/>
                            <w:w w:val="105"/>
                            <w:sz w:val="3"/>
                          </w:rPr>
                          <w:t>Koeficient varianty krytí</w:t>
                        </w:r>
                      </w:p>
                    </w:tc>
                  </w:tr>
                  <w:tr w:rsidR="00F65BCA" w14:paraId="174D2289" w14:textId="77777777">
                    <w:trPr>
                      <w:trHeight w:val="81"/>
                    </w:trPr>
                    <w:tc>
                      <w:tcPr>
                        <w:tcW w:w="1008" w:type="dxa"/>
                        <w:shd w:val="clear" w:color="auto" w:fill="FCE4D6"/>
                      </w:tcPr>
                      <w:p w14:paraId="55FF9656" w14:textId="77777777" w:rsidR="00F65BCA" w:rsidRDefault="00F65BCA">
                        <w:pPr>
                          <w:pStyle w:val="TableParagraph"/>
                          <w:rPr>
                            <w:rFonts w:ascii="Calibri"/>
                            <w:sz w:val="2"/>
                          </w:rPr>
                        </w:pPr>
                      </w:p>
                      <w:p w14:paraId="493743C6" w14:textId="77777777" w:rsidR="00F65BCA" w:rsidRDefault="00216117">
                        <w:pPr>
                          <w:pStyle w:val="TableParagraph"/>
                          <w:ind w:left="280" w:right="277"/>
                          <w:jc w:val="center"/>
                          <w:rPr>
                            <w:sz w:val="3"/>
                          </w:rPr>
                        </w:pPr>
                        <w:r>
                          <w:rPr>
                            <w:w w:val="105"/>
                            <w:sz w:val="3"/>
                          </w:rPr>
                          <w:t>Allrisk</w:t>
                        </w:r>
                      </w:p>
                    </w:tc>
                    <w:tc>
                      <w:tcPr>
                        <w:tcW w:w="607" w:type="dxa"/>
                      </w:tcPr>
                      <w:p w14:paraId="682FD74C" w14:textId="77777777" w:rsidR="00F65BCA" w:rsidRDefault="00F65BCA">
                        <w:pPr>
                          <w:pStyle w:val="TableParagraph"/>
                          <w:rPr>
                            <w:rFonts w:ascii="Calibri"/>
                            <w:sz w:val="2"/>
                          </w:rPr>
                        </w:pPr>
                      </w:p>
                      <w:p w14:paraId="0E636CAF" w14:textId="77777777" w:rsidR="00F65BCA" w:rsidRDefault="00216117">
                        <w:pPr>
                          <w:pStyle w:val="TableParagraph"/>
                          <w:ind w:left="74" w:right="69"/>
                          <w:jc w:val="center"/>
                          <w:rPr>
                            <w:sz w:val="3"/>
                          </w:rPr>
                        </w:pPr>
                        <w:r>
                          <w:rPr>
                            <w:w w:val="105"/>
                            <w:sz w:val="3"/>
                          </w:rPr>
                          <w:t>1,00</w:t>
                        </w:r>
                      </w:p>
                    </w:tc>
                  </w:tr>
                  <w:tr w:rsidR="00F65BCA" w14:paraId="3305D0A5" w14:textId="77777777">
                    <w:trPr>
                      <w:trHeight w:val="81"/>
                    </w:trPr>
                    <w:tc>
                      <w:tcPr>
                        <w:tcW w:w="1008" w:type="dxa"/>
                        <w:shd w:val="clear" w:color="auto" w:fill="FCE4D6"/>
                      </w:tcPr>
                      <w:p w14:paraId="053294A6" w14:textId="77777777" w:rsidR="00F65BCA" w:rsidRDefault="00F65BCA">
                        <w:pPr>
                          <w:pStyle w:val="TableParagraph"/>
                          <w:rPr>
                            <w:rFonts w:ascii="Calibri"/>
                            <w:sz w:val="2"/>
                          </w:rPr>
                        </w:pPr>
                      </w:p>
                      <w:p w14:paraId="007D6499" w14:textId="77777777" w:rsidR="00F65BCA" w:rsidRDefault="00216117">
                        <w:pPr>
                          <w:pStyle w:val="TableParagraph"/>
                          <w:ind w:left="278" w:right="277"/>
                          <w:jc w:val="center"/>
                          <w:rPr>
                            <w:sz w:val="3"/>
                          </w:rPr>
                        </w:pPr>
                        <w:r>
                          <w:rPr>
                            <w:w w:val="105"/>
                            <w:sz w:val="3"/>
                          </w:rPr>
                          <w:t>Havárie, živel a vandalismus</w:t>
                        </w:r>
                      </w:p>
                    </w:tc>
                    <w:tc>
                      <w:tcPr>
                        <w:tcW w:w="607" w:type="dxa"/>
                      </w:tcPr>
                      <w:p w14:paraId="6588EF36" w14:textId="77777777" w:rsidR="00F65BCA" w:rsidRDefault="00F65BCA">
                        <w:pPr>
                          <w:pStyle w:val="TableParagraph"/>
                          <w:rPr>
                            <w:rFonts w:ascii="Calibri"/>
                            <w:sz w:val="2"/>
                          </w:rPr>
                        </w:pPr>
                      </w:p>
                      <w:p w14:paraId="514DDC35" w14:textId="77777777" w:rsidR="00F65BCA" w:rsidRDefault="00216117">
                        <w:pPr>
                          <w:pStyle w:val="TableParagraph"/>
                          <w:ind w:left="74" w:right="69"/>
                          <w:jc w:val="center"/>
                          <w:rPr>
                            <w:sz w:val="3"/>
                          </w:rPr>
                        </w:pPr>
                        <w:r>
                          <w:rPr>
                            <w:w w:val="105"/>
                            <w:sz w:val="3"/>
                          </w:rPr>
                          <w:t>0,95</w:t>
                        </w:r>
                      </w:p>
                    </w:tc>
                  </w:tr>
                  <w:tr w:rsidR="00F65BCA" w14:paraId="2FE8D355" w14:textId="77777777">
                    <w:trPr>
                      <w:trHeight w:val="153"/>
                    </w:trPr>
                    <w:tc>
                      <w:tcPr>
                        <w:tcW w:w="1008" w:type="dxa"/>
                        <w:shd w:val="clear" w:color="auto" w:fill="FCE4D6"/>
                      </w:tcPr>
                      <w:p w14:paraId="0122194B" w14:textId="77777777" w:rsidR="00F65BCA" w:rsidRDefault="00F65BCA">
                        <w:pPr>
                          <w:pStyle w:val="TableParagraph"/>
                          <w:rPr>
                            <w:rFonts w:ascii="Calibri"/>
                            <w:sz w:val="2"/>
                          </w:rPr>
                        </w:pPr>
                      </w:p>
                      <w:p w14:paraId="14311370" w14:textId="77777777" w:rsidR="00F65BCA" w:rsidRDefault="00F65BCA">
                        <w:pPr>
                          <w:pStyle w:val="TableParagraph"/>
                          <w:spacing w:before="10"/>
                          <w:rPr>
                            <w:rFonts w:ascii="Calibri"/>
                            <w:sz w:val="2"/>
                          </w:rPr>
                        </w:pPr>
                      </w:p>
                      <w:p w14:paraId="39C36437" w14:textId="77777777" w:rsidR="00F65BCA" w:rsidRDefault="00216117">
                        <w:pPr>
                          <w:pStyle w:val="TableParagraph"/>
                          <w:ind w:left="279" w:right="277"/>
                          <w:jc w:val="center"/>
                          <w:rPr>
                            <w:sz w:val="3"/>
                          </w:rPr>
                        </w:pPr>
                        <w:r>
                          <w:rPr>
                            <w:w w:val="105"/>
                            <w:sz w:val="3"/>
                          </w:rPr>
                          <w:t>Odcizení a živel</w:t>
                        </w:r>
                      </w:p>
                    </w:tc>
                    <w:tc>
                      <w:tcPr>
                        <w:tcW w:w="607" w:type="dxa"/>
                      </w:tcPr>
                      <w:p w14:paraId="17E85DA0" w14:textId="77777777" w:rsidR="00F65BCA" w:rsidRDefault="00F65BCA">
                        <w:pPr>
                          <w:pStyle w:val="TableParagraph"/>
                          <w:rPr>
                            <w:rFonts w:ascii="Calibri"/>
                            <w:sz w:val="2"/>
                          </w:rPr>
                        </w:pPr>
                      </w:p>
                      <w:p w14:paraId="485C716E" w14:textId="77777777" w:rsidR="00F65BCA" w:rsidRDefault="00F65BCA">
                        <w:pPr>
                          <w:pStyle w:val="TableParagraph"/>
                          <w:spacing w:before="10"/>
                          <w:rPr>
                            <w:rFonts w:ascii="Calibri"/>
                            <w:sz w:val="2"/>
                          </w:rPr>
                        </w:pPr>
                      </w:p>
                      <w:p w14:paraId="1D786C8B" w14:textId="77777777" w:rsidR="00F65BCA" w:rsidRDefault="00216117">
                        <w:pPr>
                          <w:pStyle w:val="TableParagraph"/>
                          <w:ind w:left="74" w:right="69"/>
                          <w:jc w:val="center"/>
                          <w:rPr>
                            <w:sz w:val="3"/>
                          </w:rPr>
                        </w:pPr>
                        <w:r>
                          <w:rPr>
                            <w:w w:val="105"/>
                            <w:sz w:val="3"/>
                          </w:rPr>
                          <w:t>0,40</w:t>
                        </w:r>
                      </w:p>
                    </w:tc>
                  </w:tr>
                </w:tbl>
                <w:p w14:paraId="12003E9F" w14:textId="77777777" w:rsidR="00F65BCA" w:rsidRDefault="00F65BCA">
                  <w:pPr>
                    <w:pStyle w:val="Zkladntext"/>
                  </w:pPr>
                </w:p>
              </w:txbxContent>
            </v:textbox>
            <w10:wrap anchorx="page" anchory="page"/>
          </v:shape>
        </w:pict>
      </w:r>
    </w:p>
    <w:p w14:paraId="4D2BCFE5" w14:textId="77777777" w:rsidR="00F65BCA" w:rsidRDefault="00F65BCA">
      <w:pPr>
        <w:pStyle w:val="Zkladntext"/>
        <w:rPr>
          <w:rFonts w:ascii="Calibri"/>
          <w:sz w:val="20"/>
        </w:rPr>
      </w:pPr>
    </w:p>
    <w:p w14:paraId="24D37449" w14:textId="77777777" w:rsidR="00F65BCA" w:rsidRDefault="00F65BCA">
      <w:pPr>
        <w:pStyle w:val="Zkladntext"/>
        <w:rPr>
          <w:rFonts w:ascii="Calibri"/>
          <w:sz w:val="20"/>
        </w:rPr>
      </w:pPr>
    </w:p>
    <w:p w14:paraId="5F20E42B" w14:textId="77777777" w:rsidR="00F65BCA" w:rsidRDefault="00F65BCA">
      <w:pPr>
        <w:pStyle w:val="Zkladntext"/>
        <w:rPr>
          <w:rFonts w:ascii="Calibri"/>
          <w:sz w:val="20"/>
        </w:rPr>
      </w:pPr>
    </w:p>
    <w:p w14:paraId="0BDE22AF" w14:textId="77777777" w:rsidR="00F65BCA" w:rsidRDefault="00F65BCA">
      <w:pPr>
        <w:pStyle w:val="Zkladntext"/>
        <w:rPr>
          <w:rFonts w:ascii="Calibri"/>
          <w:sz w:val="20"/>
        </w:rPr>
      </w:pPr>
    </w:p>
    <w:p w14:paraId="63E55DFA" w14:textId="77777777" w:rsidR="00F65BCA" w:rsidRDefault="00F65BCA">
      <w:pPr>
        <w:pStyle w:val="Zkladntext"/>
        <w:rPr>
          <w:rFonts w:ascii="Calibri"/>
          <w:sz w:val="20"/>
        </w:rPr>
      </w:pPr>
    </w:p>
    <w:p w14:paraId="715327D1" w14:textId="77777777" w:rsidR="00F65BCA" w:rsidRDefault="00F65BCA">
      <w:pPr>
        <w:pStyle w:val="Zkladntext"/>
        <w:rPr>
          <w:rFonts w:ascii="Calibri"/>
          <w:sz w:val="20"/>
        </w:rPr>
      </w:pPr>
    </w:p>
    <w:p w14:paraId="1E2B81A0" w14:textId="77777777" w:rsidR="00F65BCA" w:rsidRDefault="00F65BCA">
      <w:pPr>
        <w:pStyle w:val="Zkladntext"/>
        <w:rPr>
          <w:rFonts w:ascii="Calibri"/>
          <w:sz w:val="20"/>
        </w:rPr>
      </w:pPr>
    </w:p>
    <w:p w14:paraId="0618A4FB" w14:textId="77777777" w:rsidR="00F65BCA" w:rsidRDefault="00F65BCA">
      <w:pPr>
        <w:pStyle w:val="Zkladntext"/>
        <w:rPr>
          <w:rFonts w:ascii="Calibri"/>
          <w:sz w:val="20"/>
        </w:rPr>
      </w:pPr>
    </w:p>
    <w:p w14:paraId="7A7DDA17" w14:textId="77777777" w:rsidR="00F65BCA" w:rsidRDefault="00F65BCA">
      <w:pPr>
        <w:pStyle w:val="Zkladntext"/>
        <w:rPr>
          <w:rFonts w:ascii="Calibri"/>
          <w:sz w:val="20"/>
        </w:rPr>
      </w:pPr>
    </w:p>
    <w:p w14:paraId="4924AB4D" w14:textId="77777777" w:rsidR="00F65BCA" w:rsidRDefault="00F65BCA">
      <w:pPr>
        <w:pStyle w:val="Zkladntext"/>
        <w:rPr>
          <w:rFonts w:ascii="Calibri"/>
          <w:sz w:val="20"/>
        </w:rPr>
      </w:pPr>
    </w:p>
    <w:p w14:paraId="1ECC880F" w14:textId="77777777" w:rsidR="00F65BCA" w:rsidRDefault="00F65BCA">
      <w:pPr>
        <w:pStyle w:val="Zkladntext"/>
        <w:rPr>
          <w:rFonts w:ascii="Calibri"/>
          <w:sz w:val="20"/>
        </w:rPr>
      </w:pPr>
    </w:p>
    <w:p w14:paraId="278C6E2F" w14:textId="77777777" w:rsidR="00F65BCA" w:rsidRDefault="00F65BCA">
      <w:pPr>
        <w:pStyle w:val="Zkladntext"/>
        <w:rPr>
          <w:rFonts w:ascii="Calibri"/>
          <w:sz w:val="20"/>
        </w:rPr>
      </w:pPr>
    </w:p>
    <w:p w14:paraId="516BC688" w14:textId="77777777" w:rsidR="00F65BCA" w:rsidRDefault="00F65BCA">
      <w:pPr>
        <w:pStyle w:val="Zkladntext"/>
        <w:rPr>
          <w:rFonts w:ascii="Calibri"/>
          <w:sz w:val="20"/>
        </w:rPr>
      </w:pPr>
    </w:p>
    <w:p w14:paraId="2EAC37DC" w14:textId="77777777" w:rsidR="00F65BCA" w:rsidRDefault="00F65BCA">
      <w:pPr>
        <w:pStyle w:val="Zkladntext"/>
        <w:rPr>
          <w:rFonts w:ascii="Calibri"/>
          <w:sz w:val="20"/>
        </w:rPr>
      </w:pPr>
    </w:p>
    <w:p w14:paraId="1FE7AE58" w14:textId="77777777" w:rsidR="00F65BCA" w:rsidRDefault="00F65BCA">
      <w:pPr>
        <w:pStyle w:val="Zkladntext"/>
        <w:rPr>
          <w:rFonts w:ascii="Calibri"/>
          <w:sz w:val="20"/>
        </w:rPr>
      </w:pPr>
    </w:p>
    <w:p w14:paraId="16181B05" w14:textId="77777777" w:rsidR="00F65BCA" w:rsidRDefault="00F65BCA">
      <w:pPr>
        <w:pStyle w:val="Zkladntext"/>
        <w:rPr>
          <w:rFonts w:ascii="Calibri"/>
          <w:sz w:val="20"/>
        </w:rPr>
      </w:pPr>
    </w:p>
    <w:p w14:paraId="35D1595F" w14:textId="77777777" w:rsidR="00F65BCA" w:rsidRDefault="00F65BCA">
      <w:pPr>
        <w:pStyle w:val="Zkladntext"/>
        <w:rPr>
          <w:rFonts w:ascii="Calibri"/>
          <w:sz w:val="20"/>
        </w:rPr>
      </w:pPr>
    </w:p>
    <w:p w14:paraId="3B5E6116" w14:textId="77777777" w:rsidR="00F65BCA" w:rsidRDefault="00F65BCA">
      <w:pPr>
        <w:pStyle w:val="Zkladntext"/>
        <w:rPr>
          <w:rFonts w:ascii="Calibri"/>
          <w:sz w:val="20"/>
        </w:rPr>
      </w:pPr>
    </w:p>
    <w:p w14:paraId="2EBF5F16" w14:textId="77777777" w:rsidR="00F65BCA" w:rsidRDefault="00F65BCA">
      <w:pPr>
        <w:pStyle w:val="Zkladntext"/>
        <w:rPr>
          <w:rFonts w:ascii="Calibri"/>
          <w:sz w:val="20"/>
        </w:rPr>
      </w:pPr>
    </w:p>
    <w:p w14:paraId="7EAF9D83" w14:textId="77777777" w:rsidR="00F65BCA" w:rsidRDefault="00F65BCA">
      <w:pPr>
        <w:pStyle w:val="Zkladntext"/>
        <w:rPr>
          <w:rFonts w:ascii="Calibri"/>
          <w:sz w:val="20"/>
        </w:rPr>
      </w:pPr>
    </w:p>
    <w:p w14:paraId="323AB895" w14:textId="77777777" w:rsidR="00F65BCA" w:rsidRDefault="00F65BCA">
      <w:pPr>
        <w:pStyle w:val="Zkladntext"/>
        <w:rPr>
          <w:rFonts w:ascii="Calibri"/>
          <w:sz w:val="20"/>
        </w:rPr>
      </w:pPr>
    </w:p>
    <w:p w14:paraId="11C7E7B3" w14:textId="77777777" w:rsidR="00F65BCA" w:rsidRDefault="00F65BCA">
      <w:pPr>
        <w:pStyle w:val="Zkladntext"/>
        <w:rPr>
          <w:rFonts w:ascii="Calibri"/>
          <w:sz w:val="20"/>
        </w:rPr>
      </w:pPr>
    </w:p>
    <w:p w14:paraId="3D108104" w14:textId="77777777" w:rsidR="00F65BCA" w:rsidRDefault="00F65BCA">
      <w:pPr>
        <w:pStyle w:val="Zkladntext"/>
        <w:rPr>
          <w:rFonts w:ascii="Calibri"/>
          <w:sz w:val="20"/>
        </w:rPr>
      </w:pPr>
    </w:p>
    <w:p w14:paraId="3D3238C4" w14:textId="77777777" w:rsidR="00F65BCA" w:rsidRDefault="00F65BCA">
      <w:pPr>
        <w:pStyle w:val="Zkladntext"/>
        <w:rPr>
          <w:rFonts w:ascii="Calibri"/>
          <w:sz w:val="20"/>
        </w:rPr>
      </w:pPr>
    </w:p>
    <w:p w14:paraId="4AB88787" w14:textId="77777777" w:rsidR="00F65BCA" w:rsidRDefault="00F65BCA">
      <w:pPr>
        <w:pStyle w:val="Zkladntext"/>
        <w:rPr>
          <w:rFonts w:ascii="Calibri"/>
          <w:sz w:val="20"/>
        </w:rPr>
      </w:pPr>
    </w:p>
    <w:p w14:paraId="24341518" w14:textId="77777777" w:rsidR="00F65BCA" w:rsidRDefault="00F65BCA">
      <w:pPr>
        <w:pStyle w:val="Zkladntext"/>
        <w:rPr>
          <w:rFonts w:ascii="Calibri"/>
          <w:sz w:val="20"/>
        </w:rPr>
      </w:pPr>
    </w:p>
    <w:p w14:paraId="7D1A0565" w14:textId="77777777" w:rsidR="00F65BCA" w:rsidRDefault="00F65BCA">
      <w:pPr>
        <w:pStyle w:val="Zkladntext"/>
        <w:rPr>
          <w:rFonts w:ascii="Calibri"/>
          <w:sz w:val="20"/>
        </w:rPr>
      </w:pPr>
    </w:p>
    <w:p w14:paraId="6A4DDF10" w14:textId="77777777" w:rsidR="00F65BCA" w:rsidRDefault="00F65BCA">
      <w:pPr>
        <w:pStyle w:val="Zkladntext"/>
        <w:rPr>
          <w:rFonts w:ascii="Calibri"/>
          <w:sz w:val="20"/>
        </w:rPr>
      </w:pPr>
    </w:p>
    <w:p w14:paraId="48734DE4" w14:textId="77777777" w:rsidR="00F65BCA" w:rsidRDefault="00F65BCA">
      <w:pPr>
        <w:pStyle w:val="Zkladntext"/>
        <w:rPr>
          <w:rFonts w:ascii="Calibri"/>
          <w:sz w:val="20"/>
        </w:rPr>
      </w:pPr>
    </w:p>
    <w:p w14:paraId="0A7FFEF2" w14:textId="77777777" w:rsidR="00F65BCA" w:rsidRDefault="00F65BCA">
      <w:pPr>
        <w:pStyle w:val="Zkladntext"/>
        <w:rPr>
          <w:rFonts w:ascii="Calibri"/>
          <w:sz w:val="20"/>
        </w:rPr>
      </w:pPr>
    </w:p>
    <w:p w14:paraId="6B643898" w14:textId="77777777" w:rsidR="00F65BCA" w:rsidRDefault="00F65BCA">
      <w:pPr>
        <w:pStyle w:val="Zkladntext"/>
        <w:rPr>
          <w:rFonts w:ascii="Calibri"/>
          <w:sz w:val="20"/>
        </w:rPr>
      </w:pPr>
    </w:p>
    <w:p w14:paraId="7EDBFF46" w14:textId="77777777" w:rsidR="00F65BCA" w:rsidRDefault="00F65BCA">
      <w:pPr>
        <w:pStyle w:val="Zkladntext"/>
        <w:rPr>
          <w:rFonts w:ascii="Calibri"/>
          <w:sz w:val="20"/>
        </w:rPr>
      </w:pPr>
    </w:p>
    <w:p w14:paraId="58DD1B89" w14:textId="77777777" w:rsidR="00F65BCA" w:rsidRDefault="00F65BCA">
      <w:pPr>
        <w:pStyle w:val="Zkladntext"/>
        <w:rPr>
          <w:rFonts w:ascii="Calibri"/>
          <w:sz w:val="20"/>
        </w:rPr>
      </w:pPr>
    </w:p>
    <w:p w14:paraId="35764165" w14:textId="77777777" w:rsidR="00F65BCA" w:rsidRDefault="00F65BCA">
      <w:pPr>
        <w:pStyle w:val="Zkladntext"/>
        <w:rPr>
          <w:rFonts w:ascii="Calibri"/>
          <w:sz w:val="20"/>
        </w:rPr>
      </w:pPr>
    </w:p>
    <w:p w14:paraId="14B78561" w14:textId="77777777" w:rsidR="00F65BCA" w:rsidRDefault="00F65BCA">
      <w:pPr>
        <w:pStyle w:val="Zkladntext"/>
        <w:rPr>
          <w:rFonts w:ascii="Calibri"/>
          <w:sz w:val="20"/>
        </w:rPr>
      </w:pPr>
    </w:p>
    <w:p w14:paraId="5F848ADD" w14:textId="77777777" w:rsidR="00F65BCA" w:rsidRDefault="00F65BCA">
      <w:pPr>
        <w:pStyle w:val="Zkladntext"/>
        <w:rPr>
          <w:rFonts w:ascii="Calibri"/>
          <w:sz w:val="20"/>
        </w:rPr>
      </w:pPr>
    </w:p>
    <w:p w14:paraId="7AD03C10" w14:textId="77777777" w:rsidR="00F65BCA" w:rsidRDefault="00F65BCA">
      <w:pPr>
        <w:pStyle w:val="Zkladntext"/>
        <w:rPr>
          <w:rFonts w:ascii="Calibri"/>
          <w:sz w:val="20"/>
        </w:rPr>
      </w:pPr>
    </w:p>
    <w:p w14:paraId="219D34B7" w14:textId="77777777" w:rsidR="00F65BCA" w:rsidRDefault="00F65BCA">
      <w:pPr>
        <w:pStyle w:val="Zkladntext"/>
        <w:rPr>
          <w:rFonts w:ascii="Calibri"/>
          <w:sz w:val="20"/>
        </w:rPr>
      </w:pPr>
    </w:p>
    <w:p w14:paraId="26FC108C" w14:textId="77777777" w:rsidR="00F65BCA" w:rsidRDefault="00F65BCA">
      <w:pPr>
        <w:pStyle w:val="Zkladntext"/>
        <w:rPr>
          <w:rFonts w:ascii="Calibri"/>
          <w:sz w:val="20"/>
        </w:rPr>
      </w:pPr>
    </w:p>
    <w:p w14:paraId="2F1389F3" w14:textId="77777777" w:rsidR="00F65BCA" w:rsidRDefault="00F65BCA">
      <w:pPr>
        <w:pStyle w:val="Zkladntext"/>
        <w:rPr>
          <w:rFonts w:ascii="Calibri"/>
          <w:sz w:val="20"/>
        </w:rPr>
      </w:pPr>
    </w:p>
    <w:p w14:paraId="1BA006DF" w14:textId="77777777" w:rsidR="00F65BCA" w:rsidRDefault="00F65BCA">
      <w:pPr>
        <w:pStyle w:val="Zkladntext"/>
        <w:rPr>
          <w:rFonts w:ascii="Calibri"/>
          <w:sz w:val="20"/>
        </w:rPr>
      </w:pPr>
    </w:p>
    <w:p w14:paraId="65345973" w14:textId="77777777" w:rsidR="00F65BCA" w:rsidRDefault="00F65BCA">
      <w:pPr>
        <w:pStyle w:val="Zkladntext"/>
        <w:rPr>
          <w:rFonts w:ascii="Calibri"/>
          <w:sz w:val="20"/>
        </w:rPr>
      </w:pPr>
    </w:p>
    <w:p w14:paraId="245872B6" w14:textId="77777777" w:rsidR="00F65BCA" w:rsidRDefault="00F65BCA">
      <w:pPr>
        <w:pStyle w:val="Zkladntext"/>
        <w:rPr>
          <w:rFonts w:ascii="Calibri"/>
          <w:sz w:val="20"/>
        </w:rPr>
      </w:pPr>
    </w:p>
    <w:p w14:paraId="7035731A" w14:textId="77777777" w:rsidR="00F65BCA" w:rsidRDefault="00F65BCA">
      <w:pPr>
        <w:pStyle w:val="Zkladntext"/>
        <w:rPr>
          <w:rFonts w:ascii="Calibri"/>
          <w:sz w:val="20"/>
        </w:rPr>
      </w:pPr>
    </w:p>
    <w:p w14:paraId="4D8D951F" w14:textId="77777777" w:rsidR="00F65BCA" w:rsidRDefault="00F65BCA">
      <w:pPr>
        <w:pStyle w:val="Zkladntext"/>
        <w:rPr>
          <w:rFonts w:ascii="Calibri"/>
          <w:sz w:val="20"/>
        </w:rPr>
      </w:pPr>
    </w:p>
    <w:p w14:paraId="4B9E96A9" w14:textId="77777777" w:rsidR="00F65BCA" w:rsidRDefault="00F65BCA">
      <w:pPr>
        <w:pStyle w:val="Zkladntext"/>
        <w:rPr>
          <w:rFonts w:ascii="Calibri"/>
          <w:sz w:val="20"/>
        </w:rPr>
      </w:pPr>
    </w:p>
    <w:p w14:paraId="1E06A76A" w14:textId="77777777" w:rsidR="00F65BCA" w:rsidRDefault="00F65BCA">
      <w:pPr>
        <w:pStyle w:val="Zkladntext"/>
        <w:rPr>
          <w:rFonts w:ascii="Calibri"/>
          <w:sz w:val="20"/>
        </w:rPr>
      </w:pPr>
    </w:p>
    <w:p w14:paraId="00515512" w14:textId="77777777" w:rsidR="00F65BCA" w:rsidRDefault="00F65BCA">
      <w:pPr>
        <w:pStyle w:val="Zkladntext"/>
        <w:rPr>
          <w:rFonts w:ascii="Calibri"/>
          <w:sz w:val="20"/>
        </w:rPr>
      </w:pPr>
    </w:p>
    <w:p w14:paraId="4B39328F" w14:textId="77777777" w:rsidR="00F65BCA" w:rsidRDefault="00F65BCA">
      <w:pPr>
        <w:pStyle w:val="Zkladntext"/>
        <w:rPr>
          <w:rFonts w:ascii="Calibri"/>
          <w:sz w:val="20"/>
        </w:rPr>
      </w:pPr>
    </w:p>
    <w:p w14:paraId="6C55796E" w14:textId="77777777" w:rsidR="00F65BCA" w:rsidRDefault="00F65BCA">
      <w:pPr>
        <w:pStyle w:val="Zkladntext"/>
        <w:rPr>
          <w:rFonts w:ascii="Calibri"/>
          <w:sz w:val="20"/>
        </w:rPr>
      </w:pPr>
    </w:p>
    <w:p w14:paraId="26206540" w14:textId="77777777" w:rsidR="00F65BCA" w:rsidRDefault="00F65BCA">
      <w:pPr>
        <w:pStyle w:val="Zkladntext"/>
        <w:rPr>
          <w:rFonts w:ascii="Calibri"/>
          <w:sz w:val="20"/>
        </w:rPr>
      </w:pPr>
    </w:p>
    <w:p w14:paraId="43D91E7E" w14:textId="77777777" w:rsidR="00F65BCA" w:rsidRDefault="00F65BCA">
      <w:pPr>
        <w:pStyle w:val="Zkladntext"/>
        <w:rPr>
          <w:rFonts w:ascii="Calibri"/>
          <w:sz w:val="20"/>
        </w:rPr>
      </w:pPr>
    </w:p>
    <w:p w14:paraId="7B73A43B" w14:textId="77777777" w:rsidR="00F65BCA" w:rsidRDefault="00F65BCA">
      <w:pPr>
        <w:pStyle w:val="Zkladntext"/>
        <w:rPr>
          <w:rFonts w:ascii="Calibri"/>
          <w:sz w:val="20"/>
        </w:rPr>
      </w:pPr>
    </w:p>
    <w:p w14:paraId="1E70712F" w14:textId="77777777" w:rsidR="00F65BCA" w:rsidRDefault="00F65BCA">
      <w:pPr>
        <w:pStyle w:val="Zkladntext"/>
        <w:rPr>
          <w:rFonts w:ascii="Calibri"/>
          <w:sz w:val="20"/>
        </w:rPr>
      </w:pPr>
    </w:p>
    <w:p w14:paraId="5AB2D464" w14:textId="77777777" w:rsidR="00F65BCA" w:rsidRDefault="00F65BCA">
      <w:pPr>
        <w:pStyle w:val="Zkladntext"/>
        <w:rPr>
          <w:rFonts w:ascii="Calibri"/>
          <w:sz w:val="20"/>
        </w:rPr>
      </w:pPr>
    </w:p>
    <w:p w14:paraId="198AE2A3" w14:textId="77777777" w:rsidR="00F65BCA" w:rsidRDefault="00F65BCA">
      <w:pPr>
        <w:pStyle w:val="Zkladntext"/>
        <w:rPr>
          <w:rFonts w:ascii="Calibri"/>
          <w:sz w:val="20"/>
        </w:rPr>
      </w:pPr>
    </w:p>
    <w:p w14:paraId="002546AF" w14:textId="77777777" w:rsidR="00F65BCA" w:rsidRDefault="00F65BCA">
      <w:pPr>
        <w:pStyle w:val="Zkladntext"/>
        <w:rPr>
          <w:rFonts w:ascii="Calibri"/>
          <w:sz w:val="20"/>
        </w:rPr>
      </w:pPr>
    </w:p>
    <w:p w14:paraId="31155548" w14:textId="77777777" w:rsidR="00F65BCA" w:rsidRDefault="00F65BCA">
      <w:pPr>
        <w:pStyle w:val="Zkladntext"/>
        <w:rPr>
          <w:rFonts w:ascii="Calibri"/>
          <w:sz w:val="20"/>
        </w:rPr>
      </w:pPr>
    </w:p>
    <w:p w14:paraId="1A757D5B" w14:textId="77777777" w:rsidR="00F65BCA" w:rsidRDefault="00F65BCA">
      <w:pPr>
        <w:pStyle w:val="Zkladntext"/>
        <w:rPr>
          <w:rFonts w:ascii="Calibri"/>
          <w:sz w:val="20"/>
        </w:rPr>
      </w:pPr>
    </w:p>
    <w:p w14:paraId="2856D7E3" w14:textId="77777777" w:rsidR="00F65BCA" w:rsidRDefault="00F65BCA">
      <w:pPr>
        <w:pStyle w:val="Zkladntext"/>
        <w:rPr>
          <w:rFonts w:ascii="Calibri"/>
          <w:sz w:val="20"/>
        </w:rPr>
      </w:pPr>
    </w:p>
    <w:p w14:paraId="26A4F26A" w14:textId="77777777" w:rsidR="00F65BCA" w:rsidRDefault="00F65BCA">
      <w:pPr>
        <w:pStyle w:val="Zkladntext"/>
        <w:rPr>
          <w:rFonts w:ascii="Calibri"/>
          <w:sz w:val="4"/>
        </w:rPr>
      </w:pPr>
    </w:p>
    <w:p w14:paraId="20F482E8" w14:textId="77777777" w:rsidR="00F65BCA" w:rsidRDefault="00F65BCA">
      <w:pPr>
        <w:pStyle w:val="Zkladntext"/>
        <w:rPr>
          <w:rFonts w:ascii="Calibri"/>
          <w:sz w:val="4"/>
        </w:rPr>
      </w:pPr>
    </w:p>
    <w:p w14:paraId="5F4ED32C" w14:textId="77777777" w:rsidR="00F65BCA" w:rsidRDefault="00F65BCA">
      <w:pPr>
        <w:pStyle w:val="Zkladntext"/>
        <w:rPr>
          <w:rFonts w:ascii="Calibri"/>
          <w:sz w:val="4"/>
        </w:rPr>
      </w:pPr>
    </w:p>
    <w:p w14:paraId="6E083777" w14:textId="77777777" w:rsidR="00F65BCA" w:rsidRDefault="00F65BCA">
      <w:pPr>
        <w:pStyle w:val="Zkladntext"/>
        <w:rPr>
          <w:rFonts w:ascii="Calibri"/>
          <w:sz w:val="4"/>
        </w:rPr>
      </w:pPr>
    </w:p>
    <w:p w14:paraId="4C44D36E" w14:textId="77777777" w:rsidR="00F65BCA" w:rsidRDefault="00216117">
      <w:pPr>
        <w:spacing w:before="29"/>
        <w:ind w:left="205"/>
        <w:rPr>
          <w:rFonts w:ascii="Calibri" w:hAnsi="Calibri"/>
          <w:sz w:val="4"/>
        </w:rPr>
      </w:pPr>
      <w:r>
        <w:rPr>
          <w:rFonts w:ascii="Calibri" w:hAnsi="Calibri"/>
          <w:w w:val="47"/>
          <w:sz w:val="2"/>
        </w:rPr>
        <w:t>#</w:t>
      </w:r>
      <w:r>
        <w:rPr>
          <w:rFonts w:ascii="Calibri" w:hAnsi="Calibri"/>
          <w:spacing w:val="-1"/>
          <w:w w:val="101"/>
          <w:sz w:val="4"/>
        </w:rPr>
        <w:t>Důvěrn</w:t>
      </w:r>
      <w:r>
        <w:rPr>
          <w:rFonts w:ascii="Calibri" w:hAnsi="Calibri"/>
          <w:w w:val="101"/>
          <w:sz w:val="4"/>
        </w:rPr>
        <w:t>é</w:t>
      </w:r>
      <w:r>
        <w:rPr>
          <w:rFonts w:ascii="Times New Roman" w:hAnsi="Times New Roman"/>
          <w:spacing w:val="-1"/>
          <w:sz w:val="4"/>
        </w:rPr>
        <w:t xml:space="preserve"> </w:t>
      </w:r>
      <w:r>
        <w:rPr>
          <w:rFonts w:ascii="Calibri" w:hAnsi="Calibri"/>
          <w:w w:val="101"/>
          <w:sz w:val="4"/>
        </w:rPr>
        <w:t>/</w:t>
      </w:r>
      <w:r>
        <w:rPr>
          <w:rFonts w:ascii="Times New Roman" w:hAnsi="Times New Roman"/>
          <w:spacing w:val="-1"/>
          <w:sz w:val="4"/>
        </w:rPr>
        <w:t xml:space="preserve"> </w:t>
      </w:r>
      <w:r>
        <w:rPr>
          <w:rFonts w:ascii="Calibri" w:hAnsi="Calibri"/>
          <w:w w:val="101"/>
          <w:sz w:val="4"/>
        </w:rPr>
        <w:t>Confidential</w:t>
      </w:r>
    </w:p>
    <w:p w14:paraId="076FFEE7" w14:textId="77777777" w:rsidR="00F65BCA" w:rsidRDefault="00F65BCA">
      <w:pPr>
        <w:rPr>
          <w:rFonts w:ascii="Calibri" w:hAnsi="Calibri"/>
          <w:sz w:val="4"/>
        </w:rPr>
        <w:sectPr w:rsidR="00F65BCA">
          <w:pgSz w:w="11900" w:h="16840"/>
          <w:pgMar w:top="1220" w:right="640" w:bottom="280" w:left="500" w:header="708" w:footer="708" w:gutter="0"/>
          <w:cols w:space="708"/>
        </w:sectPr>
      </w:pPr>
    </w:p>
    <w:tbl>
      <w:tblPr>
        <w:tblStyle w:val="TableNormal"/>
        <w:tblW w:w="0" w:type="auto"/>
        <w:tblInd w:w="2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6"/>
        <w:gridCol w:w="732"/>
        <w:gridCol w:w="351"/>
        <w:gridCol w:w="607"/>
        <w:gridCol w:w="576"/>
        <w:gridCol w:w="576"/>
        <w:gridCol w:w="50"/>
        <w:gridCol w:w="288"/>
        <w:gridCol w:w="288"/>
        <w:gridCol w:w="288"/>
        <w:gridCol w:w="288"/>
        <w:gridCol w:w="288"/>
        <w:gridCol w:w="288"/>
        <w:gridCol w:w="288"/>
        <w:gridCol w:w="288"/>
        <w:gridCol w:w="288"/>
        <w:gridCol w:w="288"/>
        <w:gridCol w:w="288"/>
        <w:gridCol w:w="288"/>
        <w:gridCol w:w="288"/>
      </w:tblGrid>
      <w:tr w:rsidR="00F65BCA" w14:paraId="0AE7959C" w14:textId="77777777">
        <w:trPr>
          <w:trHeight w:val="34"/>
        </w:trPr>
        <w:tc>
          <w:tcPr>
            <w:tcW w:w="526" w:type="dxa"/>
            <w:vMerge w:val="restart"/>
            <w:tcBorders>
              <w:top w:val="nil"/>
            </w:tcBorders>
            <w:shd w:val="clear" w:color="auto" w:fill="FCE4D6"/>
          </w:tcPr>
          <w:p w14:paraId="6E929285" w14:textId="77777777" w:rsidR="00F65BCA" w:rsidRDefault="00F65BCA">
            <w:pPr>
              <w:pStyle w:val="TableParagraph"/>
              <w:rPr>
                <w:rFonts w:ascii="Times New Roman"/>
                <w:sz w:val="2"/>
              </w:rPr>
            </w:pPr>
          </w:p>
        </w:tc>
        <w:tc>
          <w:tcPr>
            <w:tcW w:w="732" w:type="dxa"/>
            <w:vMerge w:val="restart"/>
            <w:tcBorders>
              <w:top w:val="nil"/>
            </w:tcBorders>
            <w:shd w:val="clear" w:color="auto" w:fill="FCE4D6"/>
          </w:tcPr>
          <w:p w14:paraId="080BF7C6" w14:textId="77777777" w:rsidR="00F65BCA" w:rsidRDefault="00F65BCA">
            <w:pPr>
              <w:pStyle w:val="TableParagraph"/>
              <w:rPr>
                <w:rFonts w:ascii="Times New Roman"/>
                <w:sz w:val="2"/>
              </w:rPr>
            </w:pPr>
          </w:p>
        </w:tc>
        <w:tc>
          <w:tcPr>
            <w:tcW w:w="958" w:type="dxa"/>
            <w:gridSpan w:val="2"/>
            <w:tcBorders>
              <w:top w:val="nil"/>
              <w:bottom w:val="nil"/>
            </w:tcBorders>
            <w:shd w:val="clear" w:color="auto" w:fill="FCE4D6"/>
          </w:tcPr>
          <w:p w14:paraId="4E2D195B" w14:textId="77777777" w:rsidR="00F65BCA" w:rsidRDefault="00216117">
            <w:pPr>
              <w:pStyle w:val="TableParagraph"/>
              <w:spacing w:line="15" w:lineRule="exact"/>
              <w:ind w:left="4"/>
              <w:rPr>
                <w:sz w:val="3"/>
              </w:rPr>
            </w:pPr>
            <w:r>
              <w:rPr>
                <w:w w:val="105"/>
                <w:sz w:val="3"/>
              </w:rPr>
              <w:t>SPLASH; SUPER CARRY; SWIFT; SWIFT CABRIO; SX4; VITARA;</w:t>
            </w:r>
          </w:p>
        </w:tc>
        <w:tc>
          <w:tcPr>
            <w:tcW w:w="576" w:type="dxa"/>
            <w:vMerge w:val="restart"/>
            <w:shd w:val="clear" w:color="auto" w:fill="FCE4D6"/>
          </w:tcPr>
          <w:p w14:paraId="33329B44" w14:textId="77777777" w:rsidR="00F65BCA" w:rsidRDefault="00F65BCA">
            <w:pPr>
              <w:pStyle w:val="TableParagraph"/>
              <w:rPr>
                <w:rFonts w:ascii="Calibri"/>
                <w:sz w:val="2"/>
              </w:rPr>
            </w:pPr>
          </w:p>
          <w:p w14:paraId="377B4610" w14:textId="77777777" w:rsidR="00F65BCA" w:rsidRDefault="00216117">
            <w:pPr>
              <w:pStyle w:val="TableParagraph"/>
              <w:ind w:left="128" w:right="128"/>
              <w:jc w:val="center"/>
              <w:rPr>
                <w:sz w:val="3"/>
              </w:rPr>
            </w:pPr>
            <w:r>
              <w:rPr>
                <w:w w:val="105"/>
                <w:sz w:val="3"/>
              </w:rPr>
              <w:t>&gt;1000 ccm</w:t>
            </w:r>
          </w:p>
        </w:tc>
        <w:tc>
          <w:tcPr>
            <w:tcW w:w="576" w:type="dxa"/>
            <w:vMerge w:val="restart"/>
            <w:shd w:val="clear" w:color="auto" w:fill="FCE4D6"/>
          </w:tcPr>
          <w:p w14:paraId="0F3B9CCC" w14:textId="77777777" w:rsidR="00F65BCA" w:rsidRDefault="00F65BCA">
            <w:pPr>
              <w:pStyle w:val="TableParagraph"/>
              <w:rPr>
                <w:rFonts w:ascii="Calibri"/>
                <w:sz w:val="2"/>
              </w:rPr>
            </w:pPr>
          </w:p>
          <w:p w14:paraId="7CFAEE6F" w14:textId="77777777" w:rsidR="00F65BCA" w:rsidRDefault="00216117">
            <w:pPr>
              <w:pStyle w:val="TableParagraph"/>
              <w:ind w:left="3"/>
              <w:jc w:val="center"/>
              <w:rPr>
                <w:sz w:val="3"/>
              </w:rPr>
            </w:pPr>
            <w:r>
              <w:rPr>
                <w:w w:val="103"/>
                <w:sz w:val="3"/>
              </w:rPr>
              <w:t>-</w:t>
            </w:r>
          </w:p>
        </w:tc>
        <w:tc>
          <w:tcPr>
            <w:tcW w:w="50" w:type="dxa"/>
            <w:vMerge w:val="restart"/>
            <w:tcBorders>
              <w:top w:val="nil"/>
              <w:bottom w:val="nil"/>
            </w:tcBorders>
          </w:tcPr>
          <w:p w14:paraId="419A1E99" w14:textId="77777777" w:rsidR="00F65BCA" w:rsidRDefault="00F65BCA">
            <w:pPr>
              <w:pStyle w:val="TableParagraph"/>
              <w:rPr>
                <w:rFonts w:ascii="Times New Roman"/>
                <w:sz w:val="2"/>
              </w:rPr>
            </w:pPr>
          </w:p>
        </w:tc>
        <w:tc>
          <w:tcPr>
            <w:tcW w:w="288" w:type="dxa"/>
            <w:vMerge w:val="restart"/>
          </w:tcPr>
          <w:p w14:paraId="50949A3D" w14:textId="77777777" w:rsidR="00F65BCA" w:rsidRDefault="00F65BCA">
            <w:pPr>
              <w:pStyle w:val="TableParagraph"/>
              <w:rPr>
                <w:rFonts w:ascii="Calibri"/>
                <w:sz w:val="2"/>
              </w:rPr>
            </w:pPr>
          </w:p>
          <w:p w14:paraId="6FEDFB03" w14:textId="77777777" w:rsidR="00F65BCA" w:rsidRDefault="00216117">
            <w:pPr>
              <w:pStyle w:val="TableParagraph"/>
              <w:ind w:left="47"/>
              <w:rPr>
                <w:sz w:val="3"/>
              </w:rPr>
            </w:pPr>
            <w:r>
              <w:rPr>
                <w:w w:val="105"/>
                <w:sz w:val="3"/>
              </w:rPr>
              <w:t>1,38815018%</w:t>
            </w:r>
          </w:p>
        </w:tc>
        <w:tc>
          <w:tcPr>
            <w:tcW w:w="288" w:type="dxa"/>
            <w:vMerge w:val="restart"/>
          </w:tcPr>
          <w:p w14:paraId="17C38EAA" w14:textId="77777777" w:rsidR="00F65BCA" w:rsidRDefault="00F65BCA">
            <w:pPr>
              <w:pStyle w:val="TableParagraph"/>
              <w:rPr>
                <w:rFonts w:ascii="Calibri"/>
                <w:sz w:val="2"/>
              </w:rPr>
            </w:pPr>
          </w:p>
          <w:p w14:paraId="4444CAE0" w14:textId="77777777" w:rsidR="00F65BCA" w:rsidRDefault="00216117">
            <w:pPr>
              <w:pStyle w:val="TableParagraph"/>
              <w:ind w:left="47"/>
              <w:rPr>
                <w:sz w:val="3"/>
              </w:rPr>
            </w:pPr>
            <w:r>
              <w:rPr>
                <w:w w:val="105"/>
                <w:sz w:val="3"/>
              </w:rPr>
              <w:t>1,30139079%</w:t>
            </w:r>
          </w:p>
        </w:tc>
        <w:tc>
          <w:tcPr>
            <w:tcW w:w="288" w:type="dxa"/>
            <w:vMerge w:val="restart"/>
          </w:tcPr>
          <w:p w14:paraId="1E27D948" w14:textId="77777777" w:rsidR="00F65BCA" w:rsidRDefault="00F65BCA">
            <w:pPr>
              <w:pStyle w:val="TableParagraph"/>
              <w:rPr>
                <w:rFonts w:ascii="Calibri"/>
                <w:sz w:val="2"/>
              </w:rPr>
            </w:pPr>
          </w:p>
          <w:p w14:paraId="79C753D4" w14:textId="77777777" w:rsidR="00F65BCA" w:rsidRDefault="00216117">
            <w:pPr>
              <w:pStyle w:val="TableParagraph"/>
              <w:ind w:left="47"/>
              <w:rPr>
                <w:sz w:val="3"/>
              </w:rPr>
            </w:pPr>
            <w:r>
              <w:rPr>
                <w:w w:val="105"/>
                <w:sz w:val="3"/>
              </w:rPr>
              <w:t>1,24065922%</w:t>
            </w:r>
          </w:p>
        </w:tc>
        <w:tc>
          <w:tcPr>
            <w:tcW w:w="288" w:type="dxa"/>
            <w:vMerge w:val="restart"/>
          </w:tcPr>
          <w:p w14:paraId="6EE7E074" w14:textId="77777777" w:rsidR="00F65BCA" w:rsidRDefault="00F65BCA">
            <w:pPr>
              <w:pStyle w:val="TableParagraph"/>
              <w:rPr>
                <w:rFonts w:ascii="Calibri"/>
                <w:sz w:val="2"/>
              </w:rPr>
            </w:pPr>
          </w:p>
          <w:p w14:paraId="509AA678" w14:textId="77777777" w:rsidR="00F65BCA" w:rsidRDefault="00216117">
            <w:pPr>
              <w:pStyle w:val="TableParagraph"/>
              <w:ind w:left="47"/>
              <w:rPr>
                <w:sz w:val="3"/>
              </w:rPr>
            </w:pPr>
            <w:r>
              <w:rPr>
                <w:w w:val="105"/>
                <w:sz w:val="3"/>
              </w:rPr>
              <w:t>1,17125171%</w:t>
            </w:r>
          </w:p>
        </w:tc>
        <w:tc>
          <w:tcPr>
            <w:tcW w:w="288" w:type="dxa"/>
            <w:vMerge w:val="restart"/>
          </w:tcPr>
          <w:p w14:paraId="57F12BD3" w14:textId="77777777" w:rsidR="00F65BCA" w:rsidRDefault="00F65BCA">
            <w:pPr>
              <w:pStyle w:val="TableParagraph"/>
              <w:rPr>
                <w:rFonts w:ascii="Calibri"/>
                <w:sz w:val="2"/>
              </w:rPr>
            </w:pPr>
          </w:p>
          <w:p w14:paraId="5A2B1C83" w14:textId="77777777" w:rsidR="00F65BCA" w:rsidRDefault="00216117">
            <w:pPr>
              <w:pStyle w:val="TableParagraph"/>
              <w:ind w:left="47"/>
              <w:rPr>
                <w:sz w:val="3"/>
              </w:rPr>
            </w:pPr>
            <w:r>
              <w:rPr>
                <w:w w:val="105"/>
                <w:sz w:val="3"/>
              </w:rPr>
              <w:t>1,11052014%</w:t>
            </w:r>
          </w:p>
        </w:tc>
        <w:tc>
          <w:tcPr>
            <w:tcW w:w="288" w:type="dxa"/>
            <w:vMerge w:val="restart"/>
          </w:tcPr>
          <w:p w14:paraId="42F1A5C8" w14:textId="77777777" w:rsidR="00F65BCA" w:rsidRDefault="00F65BCA">
            <w:pPr>
              <w:pStyle w:val="TableParagraph"/>
              <w:rPr>
                <w:rFonts w:ascii="Calibri"/>
                <w:sz w:val="2"/>
              </w:rPr>
            </w:pPr>
          </w:p>
          <w:p w14:paraId="4B71BB7A" w14:textId="77777777" w:rsidR="00F65BCA" w:rsidRDefault="00216117">
            <w:pPr>
              <w:pStyle w:val="TableParagraph"/>
              <w:ind w:left="47"/>
              <w:rPr>
                <w:sz w:val="3"/>
              </w:rPr>
            </w:pPr>
            <w:r>
              <w:rPr>
                <w:w w:val="105"/>
                <w:sz w:val="3"/>
              </w:rPr>
              <w:t>1,03243670%</w:t>
            </w:r>
          </w:p>
        </w:tc>
        <w:tc>
          <w:tcPr>
            <w:tcW w:w="288" w:type="dxa"/>
            <w:vMerge w:val="restart"/>
          </w:tcPr>
          <w:p w14:paraId="65321EA5" w14:textId="77777777" w:rsidR="00F65BCA" w:rsidRDefault="00F65BCA">
            <w:pPr>
              <w:pStyle w:val="TableParagraph"/>
              <w:rPr>
                <w:rFonts w:ascii="Calibri"/>
                <w:sz w:val="2"/>
              </w:rPr>
            </w:pPr>
          </w:p>
          <w:p w14:paraId="4ECE8C4A" w14:textId="77777777" w:rsidR="00F65BCA" w:rsidRDefault="00216117">
            <w:pPr>
              <w:pStyle w:val="TableParagraph"/>
              <w:ind w:left="47"/>
              <w:rPr>
                <w:sz w:val="3"/>
              </w:rPr>
            </w:pPr>
            <w:r>
              <w:rPr>
                <w:w w:val="105"/>
                <w:sz w:val="3"/>
              </w:rPr>
              <w:t>0,95435325%</w:t>
            </w:r>
          </w:p>
        </w:tc>
        <w:tc>
          <w:tcPr>
            <w:tcW w:w="288" w:type="dxa"/>
            <w:vMerge w:val="restart"/>
          </w:tcPr>
          <w:p w14:paraId="64E8BF62" w14:textId="77777777" w:rsidR="00F65BCA" w:rsidRDefault="00F65BCA">
            <w:pPr>
              <w:pStyle w:val="TableParagraph"/>
              <w:rPr>
                <w:rFonts w:ascii="Calibri"/>
                <w:sz w:val="2"/>
              </w:rPr>
            </w:pPr>
          </w:p>
          <w:p w14:paraId="5002FDE6" w14:textId="77777777" w:rsidR="00F65BCA" w:rsidRDefault="00216117">
            <w:pPr>
              <w:pStyle w:val="TableParagraph"/>
              <w:ind w:left="47"/>
              <w:rPr>
                <w:sz w:val="3"/>
              </w:rPr>
            </w:pPr>
            <w:r>
              <w:rPr>
                <w:w w:val="105"/>
                <w:sz w:val="3"/>
              </w:rPr>
              <w:t>0,86759386%</w:t>
            </w:r>
          </w:p>
        </w:tc>
        <w:tc>
          <w:tcPr>
            <w:tcW w:w="288" w:type="dxa"/>
            <w:vMerge w:val="restart"/>
          </w:tcPr>
          <w:p w14:paraId="1DD33E98" w14:textId="77777777" w:rsidR="00F65BCA" w:rsidRDefault="00F65BCA">
            <w:pPr>
              <w:pStyle w:val="TableParagraph"/>
              <w:rPr>
                <w:rFonts w:ascii="Calibri"/>
                <w:sz w:val="2"/>
              </w:rPr>
            </w:pPr>
          </w:p>
          <w:p w14:paraId="4C14FF1F" w14:textId="77777777" w:rsidR="00F65BCA" w:rsidRDefault="00216117">
            <w:pPr>
              <w:pStyle w:val="TableParagraph"/>
              <w:ind w:left="47"/>
              <w:rPr>
                <w:sz w:val="3"/>
              </w:rPr>
            </w:pPr>
            <w:r>
              <w:rPr>
                <w:w w:val="105"/>
                <w:sz w:val="3"/>
              </w:rPr>
              <w:t>0,86759386%</w:t>
            </w:r>
          </w:p>
        </w:tc>
        <w:tc>
          <w:tcPr>
            <w:tcW w:w="288" w:type="dxa"/>
            <w:vMerge w:val="restart"/>
          </w:tcPr>
          <w:p w14:paraId="5C8C210D" w14:textId="77777777" w:rsidR="00F65BCA" w:rsidRDefault="00F65BCA">
            <w:pPr>
              <w:pStyle w:val="TableParagraph"/>
              <w:rPr>
                <w:rFonts w:ascii="Calibri"/>
                <w:sz w:val="2"/>
              </w:rPr>
            </w:pPr>
          </w:p>
          <w:p w14:paraId="06DCD2EE" w14:textId="77777777" w:rsidR="00F65BCA" w:rsidRDefault="00216117">
            <w:pPr>
              <w:pStyle w:val="TableParagraph"/>
              <w:ind w:left="47"/>
              <w:rPr>
                <w:sz w:val="3"/>
              </w:rPr>
            </w:pPr>
            <w:r>
              <w:rPr>
                <w:w w:val="105"/>
                <w:sz w:val="3"/>
              </w:rPr>
              <w:t>1,04111264%</w:t>
            </w:r>
          </w:p>
        </w:tc>
        <w:tc>
          <w:tcPr>
            <w:tcW w:w="288" w:type="dxa"/>
            <w:vMerge w:val="restart"/>
          </w:tcPr>
          <w:p w14:paraId="6094BAD1" w14:textId="77777777" w:rsidR="00F65BCA" w:rsidRDefault="00F65BCA">
            <w:pPr>
              <w:pStyle w:val="TableParagraph"/>
              <w:rPr>
                <w:rFonts w:ascii="Calibri"/>
                <w:sz w:val="2"/>
              </w:rPr>
            </w:pPr>
          </w:p>
          <w:p w14:paraId="44CFD345" w14:textId="77777777" w:rsidR="00F65BCA" w:rsidRDefault="00216117">
            <w:pPr>
              <w:pStyle w:val="TableParagraph"/>
              <w:ind w:left="47"/>
              <w:rPr>
                <w:sz w:val="3"/>
              </w:rPr>
            </w:pPr>
            <w:r>
              <w:rPr>
                <w:w w:val="105"/>
                <w:sz w:val="3"/>
              </w:rPr>
              <w:t>1,17125171%</w:t>
            </w:r>
          </w:p>
        </w:tc>
        <w:tc>
          <w:tcPr>
            <w:tcW w:w="288" w:type="dxa"/>
            <w:vMerge w:val="restart"/>
          </w:tcPr>
          <w:p w14:paraId="73E8D4C1" w14:textId="77777777" w:rsidR="00F65BCA" w:rsidRDefault="00F65BCA">
            <w:pPr>
              <w:pStyle w:val="TableParagraph"/>
              <w:rPr>
                <w:rFonts w:ascii="Calibri"/>
                <w:sz w:val="2"/>
              </w:rPr>
            </w:pPr>
          </w:p>
          <w:p w14:paraId="4636F662" w14:textId="77777777" w:rsidR="00F65BCA" w:rsidRDefault="00216117">
            <w:pPr>
              <w:pStyle w:val="TableParagraph"/>
              <w:ind w:left="47"/>
              <w:rPr>
                <w:sz w:val="3"/>
              </w:rPr>
            </w:pPr>
            <w:r>
              <w:rPr>
                <w:w w:val="105"/>
                <w:sz w:val="3"/>
              </w:rPr>
              <w:t>1,17125171%</w:t>
            </w:r>
          </w:p>
        </w:tc>
        <w:tc>
          <w:tcPr>
            <w:tcW w:w="288" w:type="dxa"/>
            <w:vMerge w:val="restart"/>
          </w:tcPr>
          <w:p w14:paraId="4596FA9F" w14:textId="77777777" w:rsidR="00F65BCA" w:rsidRDefault="00F65BCA">
            <w:pPr>
              <w:pStyle w:val="TableParagraph"/>
              <w:rPr>
                <w:rFonts w:ascii="Calibri"/>
                <w:sz w:val="2"/>
              </w:rPr>
            </w:pPr>
          </w:p>
          <w:p w14:paraId="4C198A9D" w14:textId="77777777" w:rsidR="00F65BCA" w:rsidRDefault="00216117">
            <w:pPr>
              <w:pStyle w:val="TableParagraph"/>
              <w:ind w:left="47"/>
              <w:rPr>
                <w:sz w:val="3"/>
              </w:rPr>
            </w:pPr>
            <w:r>
              <w:rPr>
                <w:w w:val="105"/>
                <w:sz w:val="3"/>
              </w:rPr>
              <w:t>1,30139079%</w:t>
            </w:r>
          </w:p>
        </w:tc>
      </w:tr>
      <w:tr w:rsidR="00F65BCA" w14:paraId="259D6ACE" w14:textId="77777777">
        <w:trPr>
          <w:trHeight w:val="41"/>
        </w:trPr>
        <w:tc>
          <w:tcPr>
            <w:tcW w:w="526" w:type="dxa"/>
            <w:vMerge/>
            <w:tcBorders>
              <w:top w:val="nil"/>
            </w:tcBorders>
            <w:shd w:val="clear" w:color="auto" w:fill="FCE4D6"/>
          </w:tcPr>
          <w:p w14:paraId="71633CB6" w14:textId="77777777" w:rsidR="00F65BCA" w:rsidRDefault="00F65BCA">
            <w:pPr>
              <w:rPr>
                <w:sz w:val="2"/>
                <w:szCs w:val="2"/>
              </w:rPr>
            </w:pPr>
          </w:p>
        </w:tc>
        <w:tc>
          <w:tcPr>
            <w:tcW w:w="732" w:type="dxa"/>
            <w:vMerge/>
            <w:tcBorders>
              <w:top w:val="nil"/>
            </w:tcBorders>
            <w:shd w:val="clear" w:color="auto" w:fill="FCE4D6"/>
          </w:tcPr>
          <w:p w14:paraId="071D176B" w14:textId="77777777" w:rsidR="00F65BCA" w:rsidRDefault="00F65BCA">
            <w:pPr>
              <w:rPr>
                <w:sz w:val="2"/>
                <w:szCs w:val="2"/>
              </w:rPr>
            </w:pPr>
          </w:p>
        </w:tc>
        <w:tc>
          <w:tcPr>
            <w:tcW w:w="958" w:type="dxa"/>
            <w:gridSpan w:val="2"/>
            <w:tcBorders>
              <w:top w:val="nil"/>
            </w:tcBorders>
            <w:shd w:val="clear" w:color="auto" w:fill="FCE4D6"/>
          </w:tcPr>
          <w:p w14:paraId="02181CBF" w14:textId="77777777" w:rsidR="00F65BCA" w:rsidRDefault="00216117">
            <w:pPr>
              <w:pStyle w:val="TableParagraph"/>
              <w:spacing w:line="21" w:lineRule="exact"/>
              <w:ind w:left="4"/>
              <w:rPr>
                <w:sz w:val="3"/>
              </w:rPr>
            </w:pPr>
            <w:r>
              <w:rPr>
                <w:w w:val="105"/>
                <w:sz w:val="3"/>
              </w:rPr>
              <w:t>VITARA X; WAGON R+</w:t>
            </w:r>
          </w:p>
        </w:tc>
        <w:tc>
          <w:tcPr>
            <w:tcW w:w="576" w:type="dxa"/>
            <w:vMerge/>
            <w:tcBorders>
              <w:top w:val="nil"/>
            </w:tcBorders>
            <w:shd w:val="clear" w:color="auto" w:fill="FCE4D6"/>
          </w:tcPr>
          <w:p w14:paraId="721379B1" w14:textId="77777777" w:rsidR="00F65BCA" w:rsidRDefault="00F65BCA">
            <w:pPr>
              <w:rPr>
                <w:sz w:val="2"/>
                <w:szCs w:val="2"/>
              </w:rPr>
            </w:pPr>
          </w:p>
        </w:tc>
        <w:tc>
          <w:tcPr>
            <w:tcW w:w="576" w:type="dxa"/>
            <w:vMerge/>
            <w:tcBorders>
              <w:top w:val="nil"/>
            </w:tcBorders>
            <w:shd w:val="clear" w:color="auto" w:fill="FCE4D6"/>
          </w:tcPr>
          <w:p w14:paraId="70305EE1" w14:textId="77777777" w:rsidR="00F65BCA" w:rsidRDefault="00F65BCA">
            <w:pPr>
              <w:rPr>
                <w:sz w:val="2"/>
                <w:szCs w:val="2"/>
              </w:rPr>
            </w:pPr>
          </w:p>
        </w:tc>
        <w:tc>
          <w:tcPr>
            <w:tcW w:w="50" w:type="dxa"/>
            <w:vMerge/>
            <w:tcBorders>
              <w:top w:val="nil"/>
              <w:bottom w:val="nil"/>
            </w:tcBorders>
          </w:tcPr>
          <w:p w14:paraId="0AB4DDF2" w14:textId="77777777" w:rsidR="00F65BCA" w:rsidRDefault="00F65BCA">
            <w:pPr>
              <w:rPr>
                <w:sz w:val="2"/>
                <w:szCs w:val="2"/>
              </w:rPr>
            </w:pPr>
          </w:p>
        </w:tc>
        <w:tc>
          <w:tcPr>
            <w:tcW w:w="288" w:type="dxa"/>
            <w:vMerge/>
            <w:tcBorders>
              <w:top w:val="nil"/>
            </w:tcBorders>
          </w:tcPr>
          <w:p w14:paraId="57B3384C" w14:textId="77777777" w:rsidR="00F65BCA" w:rsidRDefault="00F65BCA">
            <w:pPr>
              <w:rPr>
                <w:sz w:val="2"/>
                <w:szCs w:val="2"/>
              </w:rPr>
            </w:pPr>
          </w:p>
        </w:tc>
        <w:tc>
          <w:tcPr>
            <w:tcW w:w="288" w:type="dxa"/>
            <w:vMerge/>
            <w:tcBorders>
              <w:top w:val="nil"/>
            </w:tcBorders>
          </w:tcPr>
          <w:p w14:paraId="11839BF8" w14:textId="77777777" w:rsidR="00F65BCA" w:rsidRDefault="00F65BCA">
            <w:pPr>
              <w:rPr>
                <w:sz w:val="2"/>
                <w:szCs w:val="2"/>
              </w:rPr>
            </w:pPr>
          </w:p>
        </w:tc>
        <w:tc>
          <w:tcPr>
            <w:tcW w:w="288" w:type="dxa"/>
            <w:vMerge/>
            <w:tcBorders>
              <w:top w:val="nil"/>
            </w:tcBorders>
          </w:tcPr>
          <w:p w14:paraId="01034334" w14:textId="77777777" w:rsidR="00F65BCA" w:rsidRDefault="00F65BCA">
            <w:pPr>
              <w:rPr>
                <w:sz w:val="2"/>
                <w:szCs w:val="2"/>
              </w:rPr>
            </w:pPr>
          </w:p>
        </w:tc>
        <w:tc>
          <w:tcPr>
            <w:tcW w:w="288" w:type="dxa"/>
            <w:vMerge/>
            <w:tcBorders>
              <w:top w:val="nil"/>
            </w:tcBorders>
          </w:tcPr>
          <w:p w14:paraId="7535C7A7" w14:textId="77777777" w:rsidR="00F65BCA" w:rsidRDefault="00F65BCA">
            <w:pPr>
              <w:rPr>
                <w:sz w:val="2"/>
                <w:szCs w:val="2"/>
              </w:rPr>
            </w:pPr>
          </w:p>
        </w:tc>
        <w:tc>
          <w:tcPr>
            <w:tcW w:w="288" w:type="dxa"/>
            <w:vMerge/>
            <w:tcBorders>
              <w:top w:val="nil"/>
            </w:tcBorders>
          </w:tcPr>
          <w:p w14:paraId="2B39407D" w14:textId="77777777" w:rsidR="00F65BCA" w:rsidRDefault="00F65BCA">
            <w:pPr>
              <w:rPr>
                <w:sz w:val="2"/>
                <w:szCs w:val="2"/>
              </w:rPr>
            </w:pPr>
          </w:p>
        </w:tc>
        <w:tc>
          <w:tcPr>
            <w:tcW w:w="288" w:type="dxa"/>
            <w:vMerge/>
            <w:tcBorders>
              <w:top w:val="nil"/>
            </w:tcBorders>
          </w:tcPr>
          <w:p w14:paraId="4E6BD34D" w14:textId="77777777" w:rsidR="00F65BCA" w:rsidRDefault="00F65BCA">
            <w:pPr>
              <w:rPr>
                <w:sz w:val="2"/>
                <w:szCs w:val="2"/>
              </w:rPr>
            </w:pPr>
          </w:p>
        </w:tc>
        <w:tc>
          <w:tcPr>
            <w:tcW w:w="288" w:type="dxa"/>
            <w:vMerge/>
            <w:tcBorders>
              <w:top w:val="nil"/>
            </w:tcBorders>
          </w:tcPr>
          <w:p w14:paraId="19960D49" w14:textId="77777777" w:rsidR="00F65BCA" w:rsidRDefault="00F65BCA">
            <w:pPr>
              <w:rPr>
                <w:sz w:val="2"/>
                <w:szCs w:val="2"/>
              </w:rPr>
            </w:pPr>
          </w:p>
        </w:tc>
        <w:tc>
          <w:tcPr>
            <w:tcW w:w="288" w:type="dxa"/>
            <w:vMerge/>
            <w:tcBorders>
              <w:top w:val="nil"/>
            </w:tcBorders>
          </w:tcPr>
          <w:p w14:paraId="2C887AF8" w14:textId="77777777" w:rsidR="00F65BCA" w:rsidRDefault="00F65BCA">
            <w:pPr>
              <w:rPr>
                <w:sz w:val="2"/>
                <w:szCs w:val="2"/>
              </w:rPr>
            </w:pPr>
          </w:p>
        </w:tc>
        <w:tc>
          <w:tcPr>
            <w:tcW w:w="288" w:type="dxa"/>
            <w:vMerge/>
            <w:tcBorders>
              <w:top w:val="nil"/>
            </w:tcBorders>
          </w:tcPr>
          <w:p w14:paraId="0AE24095" w14:textId="77777777" w:rsidR="00F65BCA" w:rsidRDefault="00F65BCA">
            <w:pPr>
              <w:rPr>
                <w:sz w:val="2"/>
                <w:szCs w:val="2"/>
              </w:rPr>
            </w:pPr>
          </w:p>
        </w:tc>
        <w:tc>
          <w:tcPr>
            <w:tcW w:w="288" w:type="dxa"/>
            <w:vMerge/>
            <w:tcBorders>
              <w:top w:val="nil"/>
            </w:tcBorders>
          </w:tcPr>
          <w:p w14:paraId="24D4485B" w14:textId="77777777" w:rsidR="00F65BCA" w:rsidRDefault="00F65BCA">
            <w:pPr>
              <w:rPr>
                <w:sz w:val="2"/>
                <w:szCs w:val="2"/>
              </w:rPr>
            </w:pPr>
          </w:p>
        </w:tc>
        <w:tc>
          <w:tcPr>
            <w:tcW w:w="288" w:type="dxa"/>
            <w:vMerge/>
            <w:tcBorders>
              <w:top w:val="nil"/>
            </w:tcBorders>
          </w:tcPr>
          <w:p w14:paraId="7EE895AF" w14:textId="77777777" w:rsidR="00F65BCA" w:rsidRDefault="00F65BCA">
            <w:pPr>
              <w:rPr>
                <w:sz w:val="2"/>
                <w:szCs w:val="2"/>
              </w:rPr>
            </w:pPr>
          </w:p>
        </w:tc>
        <w:tc>
          <w:tcPr>
            <w:tcW w:w="288" w:type="dxa"/>
            <w:vMerge/>
            <w:tcBorders>
              <w:top w:val="nil"/>
            </w:tcBorders>
          </w:tcPr>
          <w:p w14:paraId="3BC3577B" w14:textId="77777777" w:rsidR="00F65BCA" w:rsidRDefault="00F65BCA">
            <w:pPr>
              <w:rPr>
                <w:sz w:val="2"/>
                <w:szCs w:val="2"/>
              </w:rPr>
            </w:pPr>
          </w:p>
        </w:tc>
        <w:tc>
          <w:tcPr>
            <w:tcW w:w="288" w:type="dxa"/>
            <w:vMerge/>
            <w:tcBorders>
              <w:top w:val="nil"/>
            </w:tcBorders>
          </w:tcPr>
          <w:p w14:paraId="4FFFDBBB" w14:textId="77777777" w:rsidR="00F65BCA" w:rsidRDefault="00F65BCA">
            <w:pPr>
              <w:rPr>
                <w:sz w:val="2"/>
                <w:szCs w:val="2"/>
              </w:rPr>
            </w:pPr>
          </w:p>
        </w:tc>
      </w:tr>
      <w:tr w:rsidR="00F65BCA" w14:paraId="759EBD2B" w14:textId="77777777">
        <w:trPr>
          <w:trHeight w:val="81"/>
        </w:trPr>
        <w:tc>
          <w:tcPr>
            <w:tcW w:w="526" w:type="dxa"/>
            <w:vMerge/>
            <w:tcBorders>
              <w:top w:val="nil"/>
            </w:tcBorders>
            <w:shd w:val="clear" w:color="auto" w:fill="FCE4D6"/>
          </w:tcPr>
          <w:p w14:paraId="23171A75" w14:textId="77777777" w:rsidR="00F65BCA" w:rsidRDefault="00F65BCA">
            <w:pPr>
              <w:rPr>
                <w:sz w:val="2"/>
                <w:szCs w:val="2"/>
              </w:rPr>
            </w:pPr>
          </w:p>
        </w:tc>
        <w:tc>
          <w:tcPr>
            <w:tcW w:w="732" w:type="dxa"/>
            <w:vMerge w:val="restart"/>
            <w:tcBorders>
              <w:bottom w:val="nil"/>
            </w:tcBorders>
            <w:shd w:val="clear" w:color="auto" w:fill="FCE4D6"/>
          </w:tcPr>
          <w:p w14:paraId="485EC821" w14:textId="77777777" w:rsidR="00F65BCA" w:rsidRDefault="00F65BCA">
            <w:pPr>
              <w:pStyle w:val="TableParagraph"/>
              <w:rPr>
                <w:rFonts w:ascii="Times New Roman"/>
                <w:sz w:val="2"/>
              </w:rPr>
            </w:pPr>
          </w:p>
        </w:tc>
        <w:tc>
          <w:tcPr>
            <w:tcW w:w="958" w:type="dxa"/>
            <w:gridSpan w:val="2"/>
            <w:vMerge w:val="restart"/>
            <w:tcBorders>
              <w:bottom w:val="nil"/>
            </w:tcBorders>
            <w:shd w:val="clear" w:color="auto" w:fill="FCE4D6"/>
          </w:tcPr>
          <w:p w14:paraId="77307AB8" w14:textId="77777777" w:rsidR="00F65BCA" w:rsidRDefault="00F65BCA">
            <w:pPr>
              <w:pStyle w:val="TableParagraph"/>
              <w:rPr>
                <w:rFonts w:ascii="Calibri"/>
                <w:sz w:val="2"/>
              </w:rPr>
            </w:pPr>
          </w:p>
          <w:p w14:paraId="19E0D1CB" w14:textId="77777777" w:rsidR="00F65BCA" w:rsidRDefault="00F65BCA">
            <w:pPr>
              <w:pStyle w:val="TableParagraph"/>
              <w:rPr>
                <w:rFonts w:ascii="Calibri"/>
                <w:sz w:val="2"/>
              </w:rPr>
            </w:pPr>
          </w:p>
          <w:p w14:paraId="60DD106B" w14:textId="77777777" w:rsidR="00F65BCA" w:rsidRDefault="00216117">
            <w:pPr>
              <w:pStyle w:val="TableParagraph"/>
              <w:spacing w:before="17"/>
              <w:ind w:left="4"/>
              <w:rPr>
                <w:sz w:val="3"/>
              </w:rPr>
            </w:pPr>
            <w:r>
              <w:rPr>
                <w:w w:val="105"/>
                <w:sz w:val="3"/>
              </w:rPr>
              <w:t>BETA; JINÉ</w:t>
            </w:r>
          </w:p>
        </w:tc>
        <w:tc>
          <w:tcPr>
            <w:tcW w:w="576" w:type="dxa"/>
            <w:shd w:val="clear" w:color="auto" w:fill="FCE4D6"/>
          </w:tcPr>
          <w:p w14:paraId="1BCBB124" w14:textId="77777777" w:rsidR="00F65BCA" w:rsidRDefault="00F65BCA">
            <w:pPr>
              <w:pStyle w:val="TableParagraph"/>
              <w:rPr>
                <w:rFonts w:ascii="Calibri"/>
                <w:sz w:val="2"/>
              </w:rPr>
            </w:pPr>
          </w:p>
          <w:p w14:paraId="70576481" w14:textId="77777777" w:rsidR="00F65BCA" w:rsidRDefault="00216117">
            <w:pPr>
              <w:pStyle w:val="TableParagraph"/>
              <w:ind w:left="129" w:right="127"/>
              <w:jc w:val="center"/>
              <w:rPr>
                <w:sz w:val="3"/>
              </w:rPr>
            </w:pPr>
            <w:r>
              <w:rPr>
                <w:w w:val="105"/>
                <w:sz w:val="3"/>
              </w:rPr>
              <w:t>0-1000 ccm</w:t>
            </w:r>
          </w:p>
        </w:tc>
        <w:tc>
          <w:tcPr>
            <w:tcW w:w="576" w:type="dxa"/>
            <w:shd w:val="clear" w:color="auto" w:fill="FCE4D6"/>
          </w:tcPr>
          <w:p w14:paraId="63B78C11" w14:textId="77777777" w:rsidR="00F65BCA" w:rsidRDefault="00F65BCA">
            <w:pPr>
              <w:pStyle w:val="TableParagraph"/>
              <w:rPr>
                <w:rFonts w:ascii="Calibri"/>
                <w:sz w:val="2"/>
              </w:rPr>
            </w:pPr>
          </w:p>
          <w:p w14:paraId="138554E6"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7D16C488" w14:textId="77777777" w:rsidR="00F65BCA" w:rsidRDefault="00F65BCA">
            <w:pPr>
              <w:rPr>
                <w:sz w:val="2"/>
                <w:szCs w:val="2"/>
              </w:rPr>
            </w:pPr>
          </w:p>
        </w:tc>
        <w:tc>
          <w:tcPr>
            <w:tcW w:w="288" w:type="dxa"/>
          </w:tcPr>
          <w:p w14:paraId="6D7E9276" w14:textId="77777777" w:rsidR="00F65BCA" w:rsidRDefault="00F65BCA">
            <w:pPr>
              <w:pStyle w:val="TableParagraph"/>
              <w:rPr>
                <w:rFonts w:ascii="Calibri"/>
                <w:sz w:val="2"/>
              </w:rPr>
            </w:pPr>
          </w:p>
          <w:p w14:paraId="2BC598DA" w14:textId="77777777" w:rsidR="00F65BCA" w:rsidRDefault="00216117">
            <w:pPr>
              <w:pStyle w:val="TableParagraph"/>
              <w:ind w:left="24" w:right="24"/>
              <w:jc w:val="center"/>
              <w:rPr>
                <w:sz w:val="3"/>
              </w:rPr>
            </w:pPr>
            <w:r>
              <w:rPr>
                <w:w w:val="105"/>
                <w:sz w:val="3"/>
              </w:rPr>
              <w:t>1,02336000%</w:t>
            </w:r>
          </w:p>
        </w:tc>
        <w:tc>
          <w:tcPr>
            <w:tcW w:w="288" w:type="dxa"/>
          </w:tcPr>
          <w:p w14:paraId="5685B0E5" w14:textId="77777777" w:rsidR="00F65BCA" w:rsidRDefault="00F65BCA">
            <w:pPr>
              <w:pStyle w:val="TableParagraph"/>
              <w:rPr>
                <w:rFonts w:ascii="Calibri"/>
                <w:sz w:val="2"/>
              </w:rPr>
            </w:pPr>
          </w:p>
          <w:p w14:paraId="61E028E4" w14:textId="77777777" w:rsidR="00F65BCA" w:rsidRDefault="00216117">
            <w:pPr>
              <w:pStyle w:val="TableParagraph"/>
              <w:ind w:left="24" w:right="24"/>
              <w:jc w:val="center"/>
              <w:rPr>
                <w:sz w:val="3"/>
              </w:rPr>
            </w:pPr>
            <w:r>
              <w:rPr>
                <w:w w:val="105"/>
                <w:sz w:val="3"/>
              </w:rPr>
              <w:t>0,95940000%</w:t>
            </w:r>
          </w:p>
        </w:tc>
        <w:tc>
          <w:tcPr>
            <w:tcW w:w="288" w:type="dxa"/>
          </w:tcPr>
          <w:p w14:paraId="6F8D9BA6" w14:textId="77777777" w:rsidR="00F65BCA" w:rsidRDefault="00F65BCA">
            <w:pPr>
              <w:pStyle w:val="TableParagraph"/>
              <w:rPr>
                <w:rFonts w:ascii="Calibri"/>
                <w:sz w:val="2"/>
              </w:rPr>
            </w:pPr>
          </w:p>
          <w:p w14:paraId="269933EE" w14:textId="77777777" w:rsidR="00F65BCA" w:rsidRDefault="00216117">
            <w:pPr>
              <w:pStyle w:val="TableParagraph"/>
              <w:ind w:left="47"/>
              <w:rPr>
                <w:sz w:val="3"/>
              </w:rPr>
            </w:pPr>
            <w:r>
              <w:rPr>
                <w:w w:val="105"/>
                <w:sz w:val="3"/>
              </w:rPr>
              <w:t>0,91462800%</w:t>
            </w:r>
          </w:p>
        </w:tc>
        <w:tc>
          <w:tcPr>
            <w:tcW w:w="288" w:type="dxa"/>
          </w:tcPr>
          <w:p w14:paraId="5E69F86B" w14:textId="77777777" w:rsidR="00F65BCA" w:rsidRDefault="00F65BCA">
            <w:pPr>
              <w:pStyle w:val="TableParagraph"/>
              <w:rPr>
                <w:rFonts w:ascii="Calibri"/>
                <w:sz w:val="2"/>
              </w:rPr>
            </w:pPr>
          </w:p>
          <w:p w14:paraId="226BFB3D" w14:textId="77777777" w:rsidR="00F65BCA" w:rsidRDefault="00216117">
            <w:pPr>
              <w:pStyle w:val="TableParagraph"/>
              <w:ind w:left="24" w:right="24"/>
              <w:jc w:val="center"/>
              <w:rPr>
                <w:sz w:val="3"/>
              </w:rPr>
            </w:pPr>
            <w:r>
              <w:rPr>
                <w:w w:val="105"/>
                <w:sz w:val="3"/>
              </w:rPr>
              <w:t>0,86346000%</w:t>
            </w:r>
          </w:p>
        </w:tc>
        <w:tc>
          <w:tcPr>
            <w:tcW w:w="288" w:type="dxa"/>
          </w:tcPr>
          <w:p w14:paraId="239208E3" w14:textId="77777777" w:rsidR="00F65BCA" w:rsidRDefault="00F65BCA">
            <w:pPr>
              <w:pStyle w:val="TableParagraph"/>
              <w:rPr>
                <w:rFonts w:ascii="Calibri"/>
                <w:sz w:val="2"/>
              </w:rPr>
            </w:pPr>
          </w:p>
          <w:p w14:paraId="346BA902" w14:textId="77777777" w:rsidR="00F65BCA" w:rsidRDefault="00216117">
            <w:pPr>
              <w:pStyle w:val="TableParagraph"/>
              <w:ind w:left="47"/>
              <w:rPr>
                <w:sz w:val="3"/>
              </w:rPr>
            </w:pPr>
            <w:r>
              <w:rPr>
                <w:w w:val="105"/>
                <w:sz w:val="3"/>
              </w:rPr>
              <w:t>0,81868800%</w:t>
            </w:r>
          </w:p>
        </w:tc>
        <w:tc>
          <w:tcPr>
            <w:tcW w:w="288" w:type="dxa"/>
          </w:tcPr>
          <w:p w14:paraId="213F8294" w14:textId="77777777" w:rsidR="00F65BCA" w:rsidRDefault="00F65BCA">
            <w:pPr>
              <w:pStyle w:val="TableParagraph"/>
              <w:rPr>
                <w:rFonts w:ascii="Calibri"/>
                <w:sz w:val="2"/>
              </w:rPr>
            </w:pPr>
          </w:p>
          <w:p w14:paraId="1C811ADF" w14:textId="77777777" w:rsidR="00F65BCA" w:rsidRDefault="00216117">
            <w:pPr>
              <w:pStyle w:val="TableParagraph"/>
              <w:ind w:left="24" w:right="24"/>
              <w:jc w:val="center"/>
              <w:rPr>
                <w:sz w:val="3"/>
              </w:rPr>
            </w:pPr>
            <w:r>
              <w:rPr>
                <w:w w:val="105"/>
                <w:sz w:val="3"/>
              </w:rPr>
              <w:t>0,76112400%</w:t>
            </w:r>
          </w:p>
        </w:tc>
        <w:tc>
          <w:tcPr>
            <w:tcW w:w="288" w:type="dxa"/>
          </w:tcPr>
          <w:p w14:paraId="1FF08BD8" w14:textId="77777777" w:rsidR="00F65BCA" w:rsidRDefault="00F65BCA">
            <w:pPr>
              <w:pStyle w:val="TableParagraph"/>
              <w:rPr>
                <w:rFonts w:ascii="Calibri"/>
                <w:sz w:val="2"/>
              </w:rPr>
            </w:pPr>
          </w:p>
          <w:p w14:paraId="6A31A519" w14:textId="77777777" w:rsidR="00F65BCA" w:rsidRDefault="00216117">
            <w:pPr>
              <w:pStyle w:val="TableParagraph"/>
              <w:ind w:left="24" w:right="24"/>
              <w:jc w:val="center"/>
              <w:rPr>
                <w:sz w:val="3"/>
              </w:rPr>
            </w:pPr>
            <w:r>
              <w:rPr>
                <w:w w:val="105"/>
                <w:sz w:val="3"/>
              </w:rPr>
              <w:t>0,70356000%</w:t>
            </w:r>
          </w:p>
        </w:tc>
        <w:tc>
          <w:tcPr>
            <w:tcW w:w="288" w:type="dxa"/>
          </w:tcPr>
          <w:p w14:paraId="0D97A2CD" w14:textId="77777777" w:rsidR="00F65BCA" w:rsidRDefault="00F65BCA">
            <w:pPr>
              <w:pStyle w:val="TableParagraph"/>
              <w:rPr>
                <w:rFonts w:ascii="Calibri"/>
                <w:sz w:val="2"/>
              </w:rPr>
            </w:pPr>
          </w:p>
          <w:p w14:paraId="0D4D4979" w14:textId="77777777" w:rsidR="00F65BCA" w:rsidRDefault="00216117">
            <w:pPr>
              <w:pStyle w:val="TableParagraph"/>
              <w:ind w:left="47"/>
              <w:rPr>
                <w:sz w:val="3"/>
              </w:rPr>
            </w:pPr>
            <w:r>
              <w:rPr>
                <w:w w:val="105"/>
                <w:sz w:val="3"/>
              </w:rPr>
              <w:t>0,63960000%</w:t>
            </w:r>
          </w:p>
        </w:tc>
        <w:tc>
          <w:tcPr>
            <w:tcW w:w="288" w:type="dxa"/>
          </w:tcPr>
          <w:p w14:paraId="690866DE" w14:textId="77777777" w:rsidR="00F65BCA" w:rsidRDefault="00F65BCA">
            <w:pPr>
              <w:pStyle w:val="TableParagraph"/>
              <w:rPr>
                <w:rFonts w:ascii="Calibri"/>
                <w:sz w:val="2"/>
              </w:rPr>
            </w:pPr>
          </w:p>
          <w:p w14:paraId="025F5088" w14:textId="77777777" w:rsidR="00F65BCA" w:rsidRDefault="00216117">
            <w:pPr>
              <w:pStyle w:val="TableParagraph"/>
              <w:ind w:left="24" w:right="24"/>
              <w:jc w:val="center"/>
              <w:rPr>
                <w:sz w:val="3"/>
              </w:rPr>
            </w:pPr>
            <w:r>
              <w:rPr>
                <w:w w:val="105"/>
                <w:sz w:val="3"/>
              </w:rPr>
              <w:t>0,63960000%</w:t>
            </w:r>
          </w:p>
        </w:tc>
        <w:tc>
          <w:tcPr>
            <w:tcW w:w="288" w:type="dxa"/>
          </w:tcPr>
          <w:p w14:paraId="1DA12AE1" w14:textId="77777777" w:rsidR="00F65BCA" w:rsidRDefault="00F65BCA">
            <w:pPr>
              <w:pStyle w:val="TableParagraph"/>
              <w:rPr>
                <w:rFonts w:ascii="Calibri"/>
                <w:sz w:val="2"/>
              </w:rPr>
            </w:pPr>
          </w:p>
          <w:p w14:paraId="4AF6B96E" w14:textId="77777777" w:rsidR="00F65BCA" w:rsidRDefault="00216117">
            <w:pPr>
              <w:pStyle w:val="TableParagraph"/>
              <w:ind w:left="24" w:right="24"/>
              <w:jc w:val="center"/>
              <w:rPr>
                <w:sz w:val="3"/>
              </w:rPr>
            </w:pPr>
            <w:r>
              <w:rPr>
                <w:w w:val="105"/>
                <w:sz w:val="3"/>
              </w:rPr>
              <w:t>0,76752000%</w:t>
            </w:r>
          </w:p>
        </w:tc>
        <w:tc>
          <w:tcPr>
            <w:tcW w:w="288" w:type="dxa"/>
          </w:tcPr>
          <w:p w14:paraId="76348A92" w14:textId="77777777" w:rsidR="00F65BCA" w:rsidRDefault="00F65BCA">
            <w:pPr>
              <w:pStyle w:val="TableParagraph"/>
              <w:rPr>
                <w:rFonts w:ascii="Calibri"/>
                <w:sz w:val="2"/>
              </w:rPr>
            </w:pPr>
          </w:p>
          <w:p w14:paraId="58B50C88" w14:textId="77777777" w:rsidR="00F65BCA" w:rsidRDefault="00216117">
            <w:pPr>
              <w:pStyle w:val="TableParagraph"/>
              <w:ind w:left="24" w:right="24"/>
              <w:jc w:val="center"/>
              <w:rPr>
                <w:sz w:val="3"/>
              </w:rPr>
            </w:pPr>
            <w:r>
              <w:rPr>
                <w:w w:val="105"/>
                <w:sz w:val="3"/>
              </w:rPr>
              <w:t>0,86346000%</w:t>
            </w:r>
          </w:p>
        </w:tc>
        <w:tc>
          <w:tcPr>
            <w:tcW w:w="288" w:type="dxa"/>
          </w:tcPr>
          <w:p w14:paraId="34AEA33C" w14:textId="77777777" w:rsidR="00F65BCA" w:rsidRDefault="00F65BCA">
            <w:pPr>
              <w:pStyle w:val="TableParagraph"/>
              <w:rPr>
                <w:rFonts w:ascii="Calibri"/>
                <w:sz w:val="2"/>
              </w:rPr>
            </w:pPr>
          </w:p>
          <w:p w14:paraId="2AB908DE" w14:textId="77777777" w:rsidR="00F65BCA" w:rsidRDefault="00216117">
            <w:pPr>
              <w:pStyle w:val="TableParagraph"/>
              <w:ind w:left="24" w:right="24"/>
              <w:jc w:val="center"/>
              <w:rPr>
                <w:sz w:val="3"/>
              </w:rPr>
            </w:pPr>
            <w:r>
              <w:rPr>
                <w:w w:val="105"/>
                <w:sz w:val="3"/>
              </w:rPr>
              <w:t>0,86346000%</w:t>
            </w:r>
          </w:p>
        </w:tc>
        <w:tc>
          <w:tcPr>
            <w:tcW w:w="288" w:type="dxa"/>
          </w:tcPr>
          <w:p w14:paraId="1795FED9" w14:textId="77777777" w:rsidR="00F65BCA" w:rsidRDefault="00F65BCA">
            <w:pPr>
              <w:pStyle w:val="TableParagraph"/>
              <w:rPr>
                <w:rFonts w:ascii="Calibri"/>
                <w:sz w:val="2"/>
              </w:rPr>
            </w:pPr>
          </w:p>
          <w:p w14:paraId="705E8845" w14:textId="77777777" w:rsidR="00F65BCA" w:rsidRDefault="00216117">
            <w:pPr>
              <w:pStyle w:val="TableParagraph"/>
              <w:ind w:left="47"/>
              <w:rPr>
                <w:sz w:val="3"/>
              </w:rPr>
            </w:pPr>
            <w:r>
              <w:rPr>
                <w:w w:val="105"/>
                <w:sz w:val="3"/>
              </w:rPr>
              <w:t>0,95940000%</w:t>
            </w:r>
          </w:p>
        </w:tc>
      </w:tr>
      <w:tr w:rsidR="00F65BCA" w14:paraId="64C743BB" w14:textId="77777777">
        <w:trPr>
          <w:trHeight w:val="38"/>
        </w:trPr>
        <w:tc>
          <w:tcPr>
            <w:tcW w:w="526" w:type="dxa"/>
            <w:vMerge/>
            <w:tcBorders>
              <w:top w:val="nil"/>
            </w:tcBorders>
            <w:shd w:val="clear" w:color="auto" w:fill="FCE4D6"/>
          </w:tcPr>
          <w:p w14:paraId="65CC0F6F" w14:textId="77777777" w:rsidR="00F65BCA" w:rsidRDefault="00F65BCA">
            <w:pPr>
              <w:rPr>
                <w:sz w:val="2"/>
                <w:szCs w:val="2"/>
              </w:rPr>
            </w:pPr>
          </w:p>
        </w:tc>
        <w:tc>
          <w:tcPr>
            <w:tcW w:w="732" w:type="dxa"/>
            <w:vMerge/>
            <w:tcBorders>
              <w:top w:val="nil"/>
              <w:bottom w:val="nil"/>
            </w:tcBorders>
            <w:shd w:val="clear" w:color="auto" w:fill="FCE4D6"/>
          </w:tcPr>
          <w:p w14:paraId="6078F60E" w14:textId="77777777" w:rsidR="00F65BCA" w:rsidRDefault="00F65BCA">
            <w:pPr>
              <w:rPr>
                <w:sz w:val="2"/>
                <w:szCs w:val="2"/>
              </w:rPr>
            </w:pPr>
          </w:p>
        </w:tc>
        <w:tc>
          <w:tcPr>
            <w:tcW w:w="958" w:type="dxa"/>
            <w:gridSpan w:val="2"/>
            <w:vMerge/>
            <w:tcBorders>
              <w:top w:val="nil"/>
              <w:bottom w:val="nil"/>
            </w:tcBorders>
            <w:shd w:val="clear" w:color="auto" w:fill="FCE4D6"/>
          </w:tcPr>
          <w:p w14:paraId="1B846409" w14:textId="77777777" w:rsidR="00F65BCA" w:rsidRDefault="00F65BCA">
            <w:pPr>
              <w:rPr>
                <w:sz w:val="2"/>
                <w:szCs w:val="2"/>
              </w:rPr>
            </w:pPr>
          </w:p>
        </w:tc>
        <w:tc>
          <w:tcPr>
            <w:tcW w:w="576" w:type="dxa"/>
            <w:vMerge w:val="restart"/>
            <w:shd w:val="clear" w:color="auto" w:fill="FCE4D6"/>
          </w:tcPr>
          <w:p w14:paraId="40FE64CB" w14:textId="77777777" w:rsidR="00F65BCA" w:rsidRDefault="00F65BCA">
            <w:pPr>
              <w:pStyle w:val="TableParagraph"/>
              <w:rPr>
                <w:rFonts w:ascii="Calibri"/>
                <w:sz w:val="2"/>
              </w:rPr>
            </w:pPr>
          </w:p>
          <w:p w14:paraId="7A6D8A12" w14:textId="77777777" w:rsidR="00F65BCA" w:rsidRDefault="00216117">
            <w:pPr>
              <w:pStyle w:val="TableParagraph"/>
              <w:ind w:left="128" w:right="128"/>
              <w:jc w:val="center"/>
              <w:rPr>
                <w:sz w:val="3"/>
              </w:rPr>
            </w:pPr>
            <w:r>
              <w:rPr>
                <w:w w:val="105"/>
                <w:sz w:val="3"/>
              </w:rPr>
              <w:t>&gt;1000 ccm</w:t>
            </w:r>
          </w:p>
        </w:tc>
        <w:tc>
          <w:tcPr>
            <w:tcW w:w="576" w:type="dxa"/>
            <w:vMerge w:val="restart"/>
            <w:shd w:val="clear" w:color="auto" w:fill="FCE4D6"/>
          </w:tcPr>
          <w:p w14:paraId="5756DBEF" w14:textId="77777777" w:rsidR="00F65BCA" w:rsidRDefault="00F65BCA">
            <w:pPr>
              <w:pStyle w:val="TableParagraph"/>
              <w:rPr>
                <w:rFonts w:ascii="Calibri"/>
                <w:sz w:val="2"/>
              </w:rPr>
            </w:pPr>
          </w:p>
          <w:p w14:paraId="3A40425B"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4E3E716D" w14:textId="77777777" w:rsidR="00F65BCA" w:rsidRDefault="00F65BCA">
            <w:pPr>
              <w:rPr>
                <w:sz w:val="2"/>
                <w:szCs w:val="2"/>
              </w:rPr>
            </w:pPr>
          </w:p>
        </w:tc>
        <w:tc>
          <w:tcPr>
            <w:tcW w:w="288" w:type="dxa"/>
            <w:vMerge w:val="restart"/>
          </w:tcPr>
          <w:p w14:paraId="4C9250AB" w14:textId="77777777" w:rsidR="00F65BCA" w:rsidRDefault="00F65BCA">
            <w:pPr>
              <w:pStyle w:val="TableParagraph"/>
              <w:rPr>
                <w:rFonts w:ascii="Calibri"/>
                <w:sz w:val="2"/>
              </w:rPr>
            </w:pPr>
          </w:p>
          <w:p w14:paraId="242D8372" w14:textId="77777777" w:rsidR="00F65BCA" w:rsidRDefault="00216117">
            <w:pPr>
              <w:pStyle w:val="TableParagraph"/>
              <w:ind w:left="47"/>
              <w:rPr>
                <w:sz w:val="3"/>
              </w:rPr>
            </w:pPr>
            <w:r>
              <w:rPr>
                <w:w w:val="105"/>
                <w:sz w:val="3"/>
              </w:rPr>
              <w:t>1,23621888%</w:t>
            </w:r>
          </w:p>
        </w:tc>
        <w:tc>
          <w:tcPr>
            <w:tcW w:w="288" w:type="dxa"/>
            <w:vMerge w:val="restart"/>
          </w:tcPr>
          <w:p w14:paraId="01185F4B" w14:textId="77777777" w:rsidR="00F65BCA" w:rsidRDefault="00F65BCA">
            <w:pPr>
              <w:pStyle w:val="TableParagraph"/>
              <w:rPr>
                <w:rFonts w:ascii="Calibri"/>
                <w:sz w:val="2"/>
              </w:rPr>
            </w:pPr>
          </w:p>
          <w:p w14:paraId="1F0C8089" w14:textId="77777777" w:rsidR="00F65BCA" w:rsidRDefault="00216117">
            <w:pPr>
              <w:pStyle w:val="TableParagraph"/>
              <w:ind w:left="47"/>
              <w:rPr>
                <w:sz w:val="3"/>
              </w:rPr>
            </w:pPr>
            <w:r>
              <w:rPr>
                <w:w w:val="105"/>
                <w:sz w:val="3"/>
              </w:rPr>
              <w:t>1,15895520%</w:t>
            </w:r>
          </w:p>
        </w:tc>
        <w:tc>
          <w:tcPr>
            <w:tcW w:w="288" w:type="dxa"/>
            <w:vMerge w:val="restart"/>
          </w:tcPr>
          <w:p w14:paraId="3DABDBC4" w14:textId="77777777" w:rsidR="00F65BCA" w:rsidRDefault="00F65BCA">
            <w:pPr>
              <w:pStyle w:val="TableParagraph"/>
              <w:rPr>
                <w:rFonts w:ascii="Calibri"/>
                <w:sz w:val="2"/>
              </w:rPr>
            </w:pPr>
          </w:p>
          <w:p w14:paraId="051AC4F0" w14:textId="77777777" w:rsidR="00F65BCA" w:rsidRDefault="00216117">
            <w:pPr>
              <w:pStyle w:val="TableParagraph"/>
              <w:ind w:left="47"/>
              <w:rPr>
                <w:sz w:val="3"/>
              </w:rPr>
            </w:pPr>
            <w:r>
              <w:rPr>
                <w:w w:val="105"/>
                <w:sz w:val="3"/>
              </w:rPr>
              <w:t>1,10487062%</w:t>
            </w:r>
          </w:p>
        </w:tc>
        <w:tc>
          <w:tcPr>
            <w:tcW w:w="288" w:type="dxa"/>
            <w:vMerge w:val="restart"/>
          </w:tcPr>
          <w:p w14:paraId="6F01D4FF" w14:textId="77777777" w:rsidR="00F65BCA" w:rsidRDefault="00F65BCA">
            <w:pPr>
              <w:pStyle w:val="TableParagraph"/>
              <w:rPr>
                <w:rFonts w:ascii="Calibri"/>
                <w:sz w:val="2"/>
              </w:rPr>
            </w:pPr>
          </w:p>
          <w:p w14:paraId="3455221D" w14:textId="77777777" w:rsidR="00F65BCA" w:rsidRDefault="00216117">
            <w:pPr>
              <w:pStyle w:val="TableParagraph"/>
              <w:ind w:left="47"/>
              <w:rPr>
                <w:sz w:val="3"/>
              </w:rPr>
            </w:pPr>
            <w:r>
              <w:rPr>
                <w:w w:val="105"/>
                <w:sz w:val="3"/>
              </w:rPr>
              <w:t>1,04305968%</w:t>
            </w:r>
          </w:p>
        </w:tc>
        <w:tc>
          <w:tcPr>
            <w:tcW w:w="288" w:type="dxa"/>
            <w:vMerge w:val="restart"/>
          </w:tcPr>
          <w:p w14:paraId="410A8688" w14:textId="77777777" w:rsidR="00F65BCA" w:rsidRDefault="00F65BCA">
            <w:pPr>
              <w:pStyle w:val="TableParagraph"/>
              <w:rPr>
                <w:rFonts w:ascii="Calibri"/>
                <w:sz w:val="2"/>
              </w:rPr>
            </w:pPr>
          </w:p>
          <w:p w14:paraId="4BD7DAA2" w14:textId="77777777" w:rsidR="00F65BCA" w:rsidRDefault="00216117">
            <w:pPr>
              <w:pStyle w:val="TableParagraph"/>
              <w:ind w:left="47"/>
              <w:rPr>
                <w:sz w:val="3"/>
              </w:rPr>
            </w:pPr>
            <w:r>
              <w:rPr>
                <w:w w:val="105"/>
                <w:sz w:val="3"/>
              </w:rPr>
              <w:t>0,98897510%</w:t>
            </w:r>
          </w:p>
        </w:tc>
        <w:tc>
          <w:tcPr>
            <w:tcW w:w="288" w:type="dxa"/>
            <w:vMerge w:val="restart"/>
          </w:tcPr>
          <w:p w14:paraId="32EB60C7" w14:textId="77777777" w:rsidR="00F65BCA" w:rsidRDefault="00F65BCA">
            <w:pPr>
              <w:pStyle w:val="TableParagraph"/>
              <w:rPr>
                <w:rFonts w:ascii="Calibri"/>
                <w:sz w:val="2"/>
              </w:rPr>
            </w:pPr>
          </w:p>
          <w:p w14:paraId="0AEC89AA" w14:textId="77777777" w:rsidR="00F65BCA" w:rsidRDefault="00216117">
            <w:pPr>
              <w:pStyle w:val="TableParagraph"/>
              <w:ind w:left="47"/>
              <w:rPr>
                <w:sz w:val="3"/>
              </w:rPr>
            </w:pPr>
            <w:r>
              <w:rPr>
                <w:w w:val="105"/>
                <w:sz w:val="3"/>
              </w:rPr>
              <w:t>0,91943779%</w:t>
            </w:r>
          </w:p>
        </w:tc>
        <w:tc>
          <w:tcPr>
            <w:tcW w:w="288" w:type="dxa"/>
            <w:vMerge w:val="restart"/>
          </w:tcPr>
          <w:p w14:paraId="2F69EA4B" w14:textId="77777777" w:rsidR="00F65BCA" w:rsidRDefault="00F65BCA">
            <w:pPr>
              <w:pStyle w:val="TableParagraph"/>
              <w:rPr>
                <w:rFonts w:ascii="Calibri"/>
                <w:sz w:val="2"/>
              </w:rPr>
            </w:pPr>
          </w:p>
          <w:p w14:paraId="0D4E072E" w14:textId="77777777" w:rsidR="00F65BCA" w:rsidRDefault="00216117">
            <w:pPr>
              <w:pStyle w:val="TableParagraph"/>
              <w:ind w:left="47"/>
              <w:rPr>
                <w:sz w:val="3"/>
              </w:rPr>
            </w:pPr>
            <w:r>
              <w:rPr>
                <w:w w:val="105"/>
                <w:sz w:val="3"/>
              </w:rPr>
              <w:t>0,84990048%</w:t>
            </w:r>
          </w:p>
        </w:tc>
        <w:tc>
          <w:tcPr>
            <w:tcW w:w="288" w:type="dxa"/>
            <w:vMerge w:val="restart"/>
          </w:tcPr>
          <w:p w14:paraId="05763194" w14:textId="77777777" w:rsidR="00F65BCA" w:rsidRDefault="00F65BCA">
            <w:pPr>
              <w:pStyle w:val="TableParagraph"/>
              <w:rPr>
                <w:rFonts w:ascii="Calibri"/>
                <w:sz w:val="2"/>
              </w:rPr>
            </w:pPr>
          </w:p>
          <w:p w14:paraId="2258A148" w14:textId="77777777" w:rsidR="00F65BCA" w:rsidRDefault="00216117">
            <w:pPr>
              <w:pStyle w:val="TableParagraph"/>
              <w:ind w:left="47"/>
              <w:rPr>
                <w:sz w:val="3"/>
              </w:rPr>
            </w:pPr>
            <w:r>
              <w:rPr>
                <w:w w:val="105"/>
                <w:sz w:val="3"/>
              </w:rPr>
              <w:t>0,77263680%</w:t>
            </w:r>
          </w:p>
        </w:tc>
        <w:tc>
          <w:tcPr>
            <w:tcW w:w="288" w:type="dxa"/>
            <w:vMerge w:val="restart"/>
          </w:tcPr>
          <w:p w14:paraId="3D300892" w14:textId="77777777" w:rsidR="00F65BCA" w:rsidRDefault="00F65BCA">
            <w:pPr>
              <w:pStyle w:val="TableParagraph"/>
              <w:rPr>
                <w:rFonts w:ascii="Calibri"/>
                <w:sz w:val="2"/>
              </w:rPr>
            </w:pPr>
          </w:p>
          <w:p w14:paraId="76C59277" w14:textId="77777777" w:rsidR="00F65BCA" w:rsidRDefault="00216117">
            <w:pPr>
              <w:pStyle w:val="TableParagraph"/>
              <w:ind w:left="47"/>
              <w:rPr>
                <w:sz w:val="3"/>
              </w:rPr>
            </w:pPr>
            <w:r>
              <w:rPr>
                <w:w w:val="105"/>
                <w:sz w:val="3"/>
              </w:rPr>
              <w:t>0,77263680%</w:t>
            </w:r>
          </w:p>
        </w:tc>
        <w:tc>
          <w:tcPr>
            <w:tcW w:w="288" w:type="dxa"/>
            <w:vMerge w:val="restart"/>
          </w:tcPr>
          <w:p w14:paraId="1490DFBC" w14:textId="77777777" w:rsidR="00F65BCA" w:rsidRDefault="00F65BCA">
            <w:pPr>
              <w:pStyle w:val="TableParagraph"/>
              <w:rPr>
                <w:rFonts w:ascii="Calibri"/>
                <w:sz w:val="2"/>
              </w:rPr>
            </w:pPr>
          </w:p>
          <w:p w14:paraId="14E3F68E" w14:textId="77777777" w:rsidR="00F65BCA" w:rsidRDefault="00216117">
            <w:pPr>
              <w:pStyle w:val="TableParagraph"/>
              <w:ind w:left="47"/>
              <w:rPr>
                <w:sz w:val="3"/>
              </w:rPr>
            </w:pPr>
            <w:r>
              <w:rPr>
                <w:w w:val="105"/>
                <w:sz w:val="3"/>
              </w:rPr>
              <w:t>0,92716416%</w:t>
            </w:r>
          </w:p>
        </w:tc>
        <w:tc>
          <w:tcPr>
            <w:tcW w:w="288" w:type="dxa"/>
            <w:vMerge w:val="restart"/>
          </w:tcPr>
          <w:p w14:paraId="08767577" w14:textId="77777777" w:rsidR="00F65BCA" w:rsidRDefault="00F65BCA">
            <w:pPr>
              <w:pStyle w:val="TableParagraph"/>
              <w:rPr>
                <w:rFonts w:ascii="Calibri"/>
                <w:sz w:val="2"/>
              </w:rPr>
            </w:pPr>
          </w:p>
          <w:p w14:paraId="4384FB78" w14:textId="77777777" w:rsidR="00F65BCA" w:rsidRDefault="00216117">
            <w:pPr>
              <w:pStyle w:val="TableParagraph"/>
              <w:ind w:left="47"/>
              <w:rPr>
                <w:sz w:val="3"/>
              </w:rPr>
            </w:pPr>
            <w:r>
              <w:rPr>
                <w:w w:val="105"/>
                <w:sz w:val="3"/>
              </w:rPr>
              <w:t>1,04305968%</w:t>
            </w:r>
          </w:p>
        </w:tc>
        <w:tc>
          <w:tcPr>
            <w:tcW w:w="288" w:type="dxa"/>
            <w:vMerge w:val="restart"/>
          </w:tcPr>
          <w:p w14:paraId="5FB00EFF" w14:textId="77777777" w:rsidR="00F65BCA" w:rsidRDefault="00F65BCA">
            <w:pPr>
              <w:pStyle w:val="TableParagraph"/>
              <w:rPr>
                <w:rFonts w:ascii="Calibri"/>
                <w:sz w:val="2"/>
              </w:rPr>
            </w:pPr>
          </w:p>
          <w:p w14:paraId="003C35C4" w14:textId="77777777" w:rsidR="00F65BCA" w:rsidRDefault="00216117">
            <w:pPr>
              <w:pStyle w:val="TableParagraph"/>
              <w:ind w:left="47"/>
              <w:rPr>
                <w:sz w:val="3"/>
              </w:rPr>
            </w:pPr>
            <w:r>
              <w:rPr>
                <w:w w:val="105"/>
                <w:sz w:val="3"/>
              </w:rPr>
              <w:t>1,04305968%</w:t>
            </w:r>
          </w:p>
        </w:tc>
        <w:tc>
          <w:tcPr>
            <w:tcW w:w="288" w:type="dxa"/>
            <w:vMerge w:val="restart"/>
          </w:tcPr>
          <w:p w14:paraId="20E74D9D" w14:textId="77777777" w:rsidR="00F65BCA" w:rsidRDefault="00F65BCA">
            <w:pPr>
              <w:pStyle w:val="TableParagraph"/>
              <w:rPr>
                <w:rFonts w:ascii="Calibri"/>
                <w:sz w:val="2"/>
              </w:rPr>
            </w:pPr>
          </w:p>
          <w:p w14:paraId="6499365C" w14:textId="77777777" w:rsidR="00F65BCA" w:rsidRDefault="00216117">
            <w:pPr>
              <w:pStyle w:val="TableParagraph"/>
              <w:ind w:left="47"/>
              <w:rPr>
                <w:sz w:val="3"/>
              </w:rPr>
            </w:pPr>
            <w:r>
              <w:rPr>
                <w:w w:val="105"/>
                <w:sz w:val="3"/>
              </w:rPr>
              <w:t>1,15895520%</w:t>
            </w:r>
          </w:p>
        </w:tc>
      </w:tr>
      <w:tr w:rsidR="00F65BCA" w14:paraId="46130953" w14:textId="77777777">
        <w:trPr>
          <w:trHeight w:val="38"/>
        </w:trPr>
        <w:tc>
          <w:tcPr>
            <w:tcW w:w="526" w:type="dxa"/>
            <w:vMerge/>
            <w:tcBorders>
              <w:top w:val="nil"/>
            </w:tcBorders>
            <w:shd w:val="clear" w:color="auto" w:fill="FCE4D6"/>
          </w:tcPr>
          <w:p w14:paraId="4B7E54BE" w14:textId="77777777" w:rsidR="00F65BCA" w:rsidRDefault="00F65BCA">
            <w:pPr>
              <w:rPr>
                <w:sz w:val="2"/>
                <w:szCs w:val="2"/>
              </w:rPr>
            </w:pPr>
          </w:p>
        </w:tc>
        <w:tc>
          <w:tcPr>
            <w:tcW w:w="732" w:type="dxa"/>
            <w:vMerge w:val="restart"/>
            <w:tcBorders>
              <w:top w:val="nil"/>
              <w:bottom w:val="nil"/>
            </w:tcBorders>
            <w:shd w:val="clear" w:color="auto" w:fill="FCE4D6"/>
          </w:tcPr>
          <w:p w14:paraId="4885E7DF" w14:textId="77777777" w:rsidR="00F65BCA" w:rsidRDefault="00F65BCA">
            <w:pPr>
              <w:pStyle w:val="TableParagraph"/>
              <w:rPr>
                <w:rFonts w:ascii="Calibri"/>
                <w:sz w:val="2"/>
              </w:rPr>
            </w:pPr>
          </w:p>
          <w:p w14:paraId="541D3099" w14:textId="77777777" w:rsidR="00F65BCA" w:rsidRDefault="00216117">
            <w:pPr>
              <w:pStyle w:val="TableParagraph"/>
              <w:ind w:left="18" w:right="14"/>
              <w:jc w:val="center"/>
              <w:rPr>
                <w:sz w:val="3"/>
              </w:rPr>
            </w:pPr>
            <w:r>
              <w:rPr>
                <w:w w:val="105"/>
                <w:sz w:val="3"/>
              </w:rPr>
              <w:t>Tatra</w:t>
            </w:r>
          </w:p>
        </w:tc>
        <w:tc>
          <w:tcPr>
            <w:tcW w:w="958" w:type="dxa"/>
            <w:gridSpan w:val="2"/>
            <w:tcBorders>
              <w:top w:val="nil"/>
            </w:tcBorders>
            <w:shd w:val="clear" w:color="auto" w:fill="FCE4D6"/>
          </w:tcPr>
          <w:p w14:paraId="7EDE4E92" w14:textId="77777777" w:rsidR="00F65BCA" w:rsidRDefault="00F65BCA">
            <w:pPr>
              <w:pStyle w:val="TableParagraph"/>
              <w:rPr>
                <w:rFonts w:ascii="Times New Roman"/>
                <w:sz w:val="2"/>
              </w:rPr>
            </w:pPr>
          </w:p>
        </w:tc>
        <w:tc>
          <w:tcPr>
            <w:tcW w:w="576" w:type="dxa"/>
            <w:vMerge/>
            <w:tcBorders>
              <w:top w:val="nil"/>
            </w:tcBorders>
            <w:shd w:val="clear" w:color="auto" w:fill="FCE4D6"/>
          </w:tcPr>
          <w:p w14:paraId="317933F2" w14:textId="77777777" w:rsidR="00F65BCA" w:rsidRDefault="00F65BCA">
            <w:pPr>
              <w:rPr>
                <w:sz w:val="2"/>
                <w:szCs w:val="2"/>
              </w:rPr>
            </w:pPr>
          </w:p>
        </w:tc>
        <w:tc>
          <w:tcPr>
            <w:tcW w:w="576" w:type="dxa"/>
            <w:vMerge/>
            <w:tcBorders>
              <w:top w:val="nil"/>
            </w:tcBorders>
            <w:shd w:val="clear" w:color="auto" w:fill="FCE4D6"/>
          </w:tcPr>
          <w:p w14:paraId="11CA9CF7" w14:textId="77777777" w:rsidR="00F65BCA" w:rsidRDefault="00F65BCA">
            <w:pPr>
              <w:rPr>
                <w:sz w:val="2"/>
                <w:szCs w:val="2"/>
              </w:rPr>
            </w:pPr>
          </w:p>
        </w:tc>
        <w:tc>
          <w:tcPr>
            <w:tcW w:w="50" w:type="dxa"/>
            <w:vMerge/>
            <w:tcBorders>
              <w:top w:val="nil"/>
              <w:bottom w:val="nil"/>
            </w:tcBorders>
          </w:tcPr>
          <w:p w14:paraId="24F45F3D" w14:textId="77777777" w:rsidR="00F65BCA" w:rsidRDefault="00F65BCA">
            <w:pPr>
              <w:rPr>
                <w:sz w:val="2"/>
                <w:szCs w:val="2"/>
              </w:rPr>
            </w:pPr>
          </w:p>
        </w:tc>
        <w:tc>
          <w:tcPr>
            <w:tcW w:w="288" w:type="dxa"/>
            <w:vMerge/>
            <w:tcBorders>
              <w:top w:val="nil"/>
            </w:tcBorders>
          </w:tcPr>
          <w:p w14:paraId="4DF660C8" w14:textId="77777777" w:rsidR="00F65BCA" w:rsidRDefault="00F65BCA">
            <w:pPr>
              <w:rPr>
                <w:sz w:val="2"/>
                <w:szCs w:val="2"/>
              </w:rPr>
            </w:pPr>
          </w:p>
        </w:tc>
        <w:tc>
          <w:tcPr>
            <w:tcW w:w="288" w:type="dxa"/>
            <w:vMerge/>
            <w:tcBorders>
              <w:top w:val="nil"/>
            </w:tcBorders>
          </w:tcPr>
          <w:p w14:paraId="7FEBA647" w14:textId="77777777" w:rsidR="00F65BCA" w:rsidRDefault="00F65BCA">
            <w:pPr>
              <w:rPr>
                <w:sz w:val="2"/>
                <w:szCs w:val="2"/>
              </w:rPr>
            </w:pPr>
          </w:p>
        </w:tc>
        <w:tc>
          <w:tcPr>
            <w:tcW w:w="288" w:type="dxa"/>
            <w:vMerge/>
            <w:tcBorders>
              <w:top w:val="nil"/>
            </w:tcBorders>
          </w:tcPr>
          <w:p w14:paraId="0E56F8E4" w14:textId="77777777" w:rsidR="00F65BCA" w:rsidRDefault="00F65BCA">
            <w:pPr>
              <w:rPr>
                <w:sz w:val="2"/>
                <w:szCs w:val="2"/>
              </w:rPr>
            </w:pPr>
          </w:p>
        </w:tc>
        <w:tc>
          <w:tcPr>
            <w:tcW w:w="288" w:type="dxa"/>
            <w:vMerge/>
            <w:tcBorders>
              <w:top w:val="nil"/>
            </w:tcBorders>
          </w:tcPr>
          <w:p w14:paraId="3997097C" w14:textId="77777777" w:rsidR="00F65BCA" w:rsidRDefault="00F65BCA">
            <w:pPr>
              <w:rPr>
                <w:sz w:val="2"/>
                <w:szCs w:val="2"/>
              </w:rPr>
            </w:pPr>
          </w:p>
        </w:tc>
        <w:tc>
          <w:tcPr>
            <w:tcW w:w="288" w:type="dxa"/>
            <w:vMerge/>
            <w:tcBorders>
              <w:top w:val="nil"/>
            </w:tcBorders>
          </w:tcPr>
          <w:p w14:paraId="7253BEE6" w14:textId="77777777" w:rsidR="00F65BCA" w:rsidRDefault="00F65BCA">
            <w:pPr>
              <w:rPr>
                <w:sz w:val="2"/>
                <w:szCs w:val="2"/>
              </w:rPr>
            </w:pPr>
          </w:p>
        </w:tc>
        <w:tc>
          <w:tcPr>
            <w:tcW w:w="288" w:type="dxa"/>
            <w:vMerge/>
            <w:tcBorders>
              <w:top w:val="nil"/>
            </w:tcBorders>
          </w:tcPr>
          <w:p w14:paraId="11CF6A21" w14:textId="77777777" w:rsidR="00F65BCA" w:rsidRDefault="00F65BCA">
            <w:pPr>
              <w:rPr>
                <w:sz w:val="2"/>
                <w:szCs w:val="2"/>
              </w:rPr>
            </w:pPr>
          </w:p>
        </w:tc>
        <w:tc>
          <w:tcPr>
            <w:tcW w:w="288" w:type="dxa"/>
            <w:vMerge/>
            <w:tcBorders>
              <w:top w:val="nil"/>
            </w:tcBorders>
          </w:tcPr>
          <w:p w14:paraId="5D272F1B" w14:textId="77777777" w:rsidR="00F65BCA" w:rsidRDefault="00F65BCA">
            <w:pPr>
              <w:rPr>
                <w:sz w:val="2"/>
                <w:szCs w:val="2"/>
              </w:rPr>
            </w:pPr>
          </w:p>
        </w:tc>
        <w:tc>
          <w:tcPr>
            <w:tcW w:w="288" w:type="dxa"/>
            <w:vMerge/>
            <w:tcBorders>
              <w:top w:val="nil"/>
            </w:tcBorders>
          </w:tcPr>
          <w:p w14:paraId="434704B6" w14:textId="77777777" w:rsidR="00F65BCA" w:rsidRDefault="00F65BCA">
            <w:pPr>
              <w:rPr>
                <w:sz w:val="2"/>
                <w:szCs w:val="2"/>
              </w:rPr>
            </w:pPr>
          </w:p>
        </w:tc>
        <w:tc>
          <w:tcPr>
            <w:tcW w:w="288" w:type="dxa"/>
            <w:vMerge/>
            <w:tcBorders>
              <w:top w:val="nil"/>
            </w:tcBorders>
          </w:tcPr>
          <w:p w14:paraId="168C9528" w14:textId="77777777" w:rsidR="00F65BCA" w:rsidRDefault="00F65BCA">
            <w:pPr>
              <w:rPr>
                <w:sz w:val="2"/>
                <w:szCs w:val="2"/>
              </w:rPr>
            </w:pPr>
          </w:p>
        </w:tc>
        <w:tc>
          <w:tcPr>
            <w:tcW w:w="288" w:type="dxa"/>
            <w:vMerge/>
            <w:tcBorders>
              <w:top w:val="nil"/>
            </w:tcBorders>
          </w:tcPr>
          <w:p w14:paraId="2A42ED9C" w14:textId="77777777" w:rsidR="00F65BCA" w:rsidRDefault="00F65BCA">
            <w:pPr>
              <w:rPr>
                <w:sz w:val="2"/>
                <w:szCs w:val="2"/>
              </w:rPr>
            </w:pPr>
          </w:p>
        </w:tc>
        <w:tc>
          <w:tcPr>
            <w:tcW w:w="288" w:type="dxa"/>
            <w:vMerge/>
            <w:tcBorders>
              <w:top w:val="nil"/>
            </w:tcBorders>
          </w:tcPr>
          <w:p w14:paraId="64A2377C" w14:textId="77777777" w:rsidR="00F65BCA" w:rsidRDefault="00F65BCA">
            <w:pPr>
              <w:rPr>
                <w:sz w:val="2"/>
                <w:szCs w:val="2"/>
              </w:rPr>
            </w:pPr>
          </w:p>
        </w:tc>
        <w:tc>
          <w:tcPr>
            <w:tcW w:w="288" w:type="dxa"/>
            <w:vMerge/>
            <w:tcBorders>
              <w:top w:val="nil"/>
            </w:tcBorders>
          </w:tcPr>
          <w:p w14:paraId="3E378AA1" w14:textId="77777777" w:rsidR="00F65BCA" w:rsidRDefault="00F65BCA">
            <w:pPr>
              <w:rPr>
                <w:sz w:val="2"/>
                <w:szCs w:val="2"/>
              </w:rPr>
            </w:pPr>
          </w:p>
        </w:tc>
        <w:tc>
          <w:tcPr>
            <w:tcW w:w="288" w:type="dxa"/>
            <w:vMerge/>
            <w:tcBorders>
              <w:top w:val="nil"/>
            </w:tcBorders>
          </w:tcPr>
          <w:p w14:paraId="73CE229E" w14:textId="77777777" w:rsidR="00F65BCA" w:rsidRDefault="00F65BCA">
            <w:pPr>
              <w:rPr>
                <w:sz w:val="2"/>
                <w:szCs w:val="2"/>
              </w:rPr>
            </w:pPr>
          </w:p>
        </w:tc>
      </w:tr>
      <w:tr w:rsidR="00F65BCA" w14:paraId="4AEE58B6" w14:textId="77777777">
        <w:trPr>
          <w:trHeight w:val="38"/>
        </w:trPr>
        <w:tc>
          <w:tcPr>
            <w:tcW w:w="526" w:type="dxa"/>
            <w:vMerge/>
            <w:tcBorders>
              <w:top w:val="nil"/>
            </w:tcBorders>
            <w:shd w:val="clear" w:color="auto" w:fill="FCE4D6"/>
          </w:tcPr>
          <w:p w14:paraId="63598DCA" w14:textId="77777777" w:rsidR="00F65BCA" w:rsidRDefault="00F65BCA">
            <w:pPr>
              <w:rPr>
                <w:sz w:val="2"/>
                <w:szCs w:val="2"/>
              </w:rPr>
            </w:pPr>
          </w:p>
        </w:tc>
        <w:tc>
          <w:tcPr>
            <w:tcW w:w="732" w:type="dxa"/>
            <w:vMerge/>
            <w:tcBorders>
              <w:top w:val="nil"/>
              <w:bottom w:val="nil"/>
            </w:tcBorders>
            <w:shd w:val="clear" w:color="auto" w:fill="FCE4D6"/>
          </w:tcPr>
          <w:p w14:paraId="7DA17A03" w14:textId="77777777" w:rsidR="00F65BCA" w:rsidRDefault="00F65BCA">
            <w:pPr>
              <w:rPr>
                <w:sz w:val="2"/>
                <w:szCs w:val="2"/>
              </w:rPr>
            </w:pPr>
          </w:p>
        </w:tc>
        <w:tc>
          <w:tcPr>
            <w:tcW w:w="958" w:type="dxa"/>
            <w:gridSpan w:val="2"/>
            <w:tcBorders>
              <w:bottom w:val="nil"/>
            </w:tcBorders>
            <w:shd w:val="clear" w:color="auto" w:fill="FCE4D6"/>
          </w:tcPr>
          <w:p w14:paraId="36D2BA0E" w14:textId="77777777" w:rsidR="00F65BCA" w:rsidRDefault="00F65BCA">
            <w:pPr>
              <w:pStyle w:val="TableParagraph"/>
              <w:rPr>
                <w:rFonts w:ascii="Times New Roman"/>
                <w:sz w:val="2"/>
              </w:rPr>
            </w:pPr>
          </w:p>
        </w:tc>
        <w:tc>
          <w:tcPr>
            <w:tcW w:w="576" w:type="dxa"/>
            <w:vMerge w:val="restart"/>
            <w:shd w:val="clear" w:color="auto" w:fill="FCE4D6"/>
          </w:tcPr>
          <w:p w14:paraId="4D387364" w14:textId="77777777" w:rsidR="00F65BCA" w:rsidRDefault="00F65BCA">
            <w:pPr>
              <w:pStyle w:val="TableParagraph"/>
              <w:rPr>
                <w:rFonts w:ascii="Calibri"/>
                <w:sz w:val="2"/>
              </w:rPr>
            </w:pPr>
          </w:p>
          <w:p w14:paraId="09AFA809" w14:textId="77777777" w:rsidR="00F65BCA" w:rsidRDefault="00216117">
            <w:pPr>
              <w:pStyle w:val="TableParagraph"/>
              <w:ind w:left="129" w:right="127"/>
              <w:jc w:val="center"/>
              <w:rPr>
                <w:sz w:val="3"/>
              </w:rPr>
            </w:pPr>
            <w:r>
              <w:rPr>
                <w:w w:val="105"/>
                <w:sz w:val="3"/>
              </w:rPr>
              <w:t>0-1000 ccm</w:t>
            </w:r>
          </w:p>
        </w:tc>
        <w:tc>
          <w:tcPr>
            <w:tcW w:w="576" w:type="dxa"/>
            <w:vMerge w:val="restart"/>
            <w:shd w:val="clear" w:color="auto" w:fill="FCE4D6"/>
          </w:tcPr>
          <w:p w14:paraId="32CE198B" w14:textId="77777777" w:rsidR="00F65BCA" w:rsidRDefault="00F65BCA">
            <w:pPr>
              <w:pStyle w:val="TableParagraph"/>
              <w:rPr>
                <w:rFonts w:ascii="Calibri"/>
                <w:sz w:val="2"/>
              </w:rPr>
            </w:pPr>
          </w:p>
          <w:p w14:paraId="27B6ACC9"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260F52D8" w14:textId="77777777" w:rsidR="00F65BCA" w:rsidRDefault="00F65BCA">
            <w:pPr>
              <w:rPr>
                <w:sz w:val="2"/>
                <w:szCs w:val="2"/>
              </w:rPr>
            </w:pPr>
          </w:p>
        </w:tc>
        <w:tc>
          <w:tcPr>
            <w:tcW w:w="288" w:type="dxa"/>
            <w:vMerge w:val="restart"/>
          </w:tcPr>
          <w:p w14:paraId="34E9E84F" w14:textId="77777777" w:rsidR="00F65BCA" w:rsidRDefault="00F65BCA">
            <w:pPr>
              <w:pStyle w:val="TableParagraph"/>
              <w:rPr>
                <w:rFonts w:ascii="Calibri"/>
                <w:sz w:val="2"/>
              </w:rPr>
            </w:pPr>
          </w:p>
          <w:p w14:paraId="0C81EF40" w14:textId="77777777" w:rsidR="00F65BCA" w:rsidRDefault="00216117">
            <w:pPr>
              <w:pStyle w:val="TableParagraph"/>
              <w:ind w:left="47"/>
              <w:rPr>
                <w:sz w:val="3"/>
              </w:rPr>
            </w:pPr>
            <w:r>
              <w:rPr>
                <w:w w:val="105"/>
                <w:sz w:val="3"/>
              </w:rPr>
              <w:t>1,24041466%</w:t>
            </w:r>
          </w:p>
        </w:tc>
        <w:tc>
          <w:tcPr>
            <w:tcW w:w="288" w:type="dxa"/>
            <w:vMerge w:val="restart"/>
          </w:tcPr>
          <w:p w14:paraId="6FC427D7" w14:textId="77777777" w:rsidR="00F65BCA" w:rsidRDefault="00F65BCA">
            <w:pPr>
              <w:pStyle w:val="TableParagraph"/>
              <w:rPr>
                <w:rFonts w:ascii="Calibri"/>
                <w:sz w:val="2"/>
              </w:rPr>
            </w:pPr>
          </w:p>
          <w:p w14:paraId="533948C8" w14:textId="77777777" w:rsidR="00F65BCA" w:rsidRDefault="00216117">
            <w:pPr>
              <w:pStyle w:val="TableParagraph"/>
              <w:ind w:left="47"/>
              <w:rPr>
                <w:sz w:val="3"/>
              </w:rPr>
            </w:pPr>
            <w:r>
              <w:rPr>
                <w:w w:val="105"/>
                <w:sz w:val="3"/>
              </w:rPr>
              <w:t>1,16288874%</w:t>
            </w:r>
          </w:p>
        </w:tc>
        <w:tc>
          <w:tcPr>
            <w:tcW w:w="288" w:type="dxa"/>
            <w:vMerge w:val="restart"/>
          </w:tcPr>
          <w:p w14:paraId="57AA0D3A" w14:textId="77777777" w:rsidR="00F65BCA" w:rsidRDefault="00F65BCA">
            <w:pPr>
              <w:pStyle w:val="TableParagraph"/>
              <w:rPr>
                <w:rFonts w:ascii="Calibri"/>
                <w:sz w:val="2"/>
              </w:rPr>
            </w:pPr>
          </w:p>
          <w:p w14:paraId="31CA4B7A" w14:textId="77777777" w:rsidR="00F65BCA" w:rsidRDefault="00216117">
            <w:pPr>
              <w:pStyle w:val="TableParagraph"/>
              <w:ind w:left="47"/>
              <w:rPr>
                <w:sz w:val="3"/>
              </w:rPr>
            </w:pPr>
            <w:r>
              <w:rPr>
                <w:w w:val="105"/>
                <w:sz w:val="3"/>
              </w:rPr>
              <w:t>1,10862060%</w:t>
            </w:r>
          </w:p>
        </w:tc>
        <w:tc>
          <w:tcPr>
            <w:tcW w:w="288" w:type="dxa"/>
            <w:vMerge w:val="restart"/>
          </w:tcPr>
          <w:p w14:paraId="38BE6641" w14:textId="77777777" w:rsidR="00F65BCA" w:rsidRDefault="00F65BCA">
            <w:pPr>
              <w:pStyle w:val="TableParagraph"/>
              <w:rPr>
                <w:rFonts w:ascii="Calibri"/>
                <w:sz w:val="2"/>
              </w:rPr>
            </w:pPr>
          </w:p>
          <w:p w14:paraId="7B65AAC5" w14:textId="77777777" w:rsidR="00F65BCA" w:rsidRDefault="00216117">
            <w:pPr>
              <w:pStyle w:val="TableParagraph"/>
              <w:ind w:left="47"/>
              <w:rPr>
                <w:sz w:val="3"/>
              </w:rPr>
            </w:pPr>
            <w:r>
              <w:rPr>
                <w:w w:val="105"/>
                <w:sz w:val="3"/>
              </w:rPr>
              <w:t>1,04659987%</w:t>
            </w:r>
          </w:p>
        </w:tc>
        <w:tc>
          <w:tcPr>
            <w:tcW w:w="288" w:type="dxa"/>
            <w:vMerge w:val="restart"/>
          </w:tcPr>
          <w:p w14:paraId="06553BA2" w14:textId="77777777" w:rsidR="00F65BCA" w:rsidRDefault="00F65BCA">
            <w:pPr>
              <w:pStyle w:val="TableParagraph"/>
              <w:rPr>
                <w:rFonts w:ascii="Calibri"/>
                <w:sz w:val="2"/>
              </w:rPr>
            </w:pPr>
          </w:p>
          <w:p w14:paraId="0EDD7744" w14:textId="77777777" w:rsidR="00F65BCA" w:rsidRDefault="00216117">
            <w:pPr>
              <w:pStyle w:val="TableParagraph"/>
              <w:ind w:left="47"/>
              <w:rPr>
                <w:sz w:val="3"/>
              </w:rPr>
            </w:pPr>
            <w:r>
              <w:rPr>
                <w:w w:val="105"/>
                <w:sz w:val="3"/>
              </w:rPr>
              <w:t>0,99233172%</w:t>
            </w:r>
          </w:p>
        </w:tc>
        <w:tc>
          <w:tcPr>
            <w:tcW w:w="288" w:type="dxa"/>
            <w:vMerge w:val="restart"/>
          </w:tcPr>
          <w:p w14:paraId="61353522" w14:textId="77777777" w:rsidR="00F65BCA" w:rsidRDefault="00F65BCA">
            <w:pPr>
              <w:pStyle w:val="TableParagraph"/>
              <w:rPr>
                <w:rFonts w:ascii="Calibri"/>
                <w:sz w:val="2"/>
              </w:rPr>
            </w:pPr>
          </w:p>
          <w:p w14:paraId="5144337D" w14:textId="77777777" w:rsidR="00F65BCA" w:rsidRDefault="00216117">
            <w:pPr>
              <w:pStyle w:val="TableParagraph"/>
              <w:ind w:left="47"/>
              <w:rPr>
                <w:sz w:val="3"/>
              </w:rPr>
            </w:pPr>
            <w:r>
              <w:rPr>
                <w:w w:val="105"/>
                <w:sz w:val="3"/>
              </w:rPr>
              <w:t>0,92255840%</w:t>
            </w:r>
          </w:p>
        </w:tc>
        <w:tc>
          <w:tcPr>
            <w:tcW w:w="288" w:type="dxa"/>
            <w:vMerge w:val="restart"/>
          </w:tcPr>
          <w:p w14:paraId="40782FF5" w14:textId="77777777" w:rsidR="00F65BCA" w:rsidRDefault="00F65BCA">
            <w:pPr>
              <w:pStyle w:val="TableParagraph"/>
              <w:rPr>
                <w:rFonts w:ascii="Calibri"/>
                <w:sz w:val="2"/>
              </w:rPr>
            </w:pPr>
          </w:p>
          <w:p w14:paraId="5DD492E8" w14:textId="77777777" w:rsidR="00F65BCA" w:rsidRDefault="00216117">
            <w:pPr>
              <w:pStyle w:val="TableParagraph"/>
              <w:ind w:left="47"/>
              <w:rPr>
                <w:sz w:val="3"/>
              </w:rPr>
            </w:pPr>
            <w:r>
              <w:rPr>
                <w:w w:val="105"/>
                <w:sz w:val="3"/>
              </w:rPr>
              <w:t>0,85278508%</w:t>
            </w:r>
          </w:p>
        </w:tc>
        <w:tc>
          <w:tcPr>
            <w:tcW w:w="288" w:type="dxa"/>
            <w:vMerge w:val="restart"/>
          </w:tcPr>
          <w:p w14:paraId="3F14C45E" w14:textId="77777777" w:rsidR="00F65BCA" w:rsidRDefault="00F65BCA">
            <w:pPr>
              <w:pStyle w:val="TableParagraph"/>
              <w:rPr>
                <w:rFonts w:ascii="Calibri"/>
                <w:sz w:val="2"/>
              </w:rPr>
            </w:pPr>
          </w:p>
          <w:p w14:paraId="1ABE2E2E" w14:textId="77777777" w:rsidR="00F65BCA" w:rsidRDefault="00216117">
            <w:pPr>
              <w:pStyle w:val="TableParagraph"/>
              <w:ind w:left="47"/>
              <w:rPr>
                <w:sz w:val="3"/>
              </w:rPr>
            </w:pPr>
            <w:r>
              <w:rPr>
                <w:w w:val="105"/>
                <w:sz w:val="3"/>
              </w:rPr>
              <w:t>0,77525916%</w:t>
            </w:r>
          </w:p>
        </w:tc>
        <w:tc>
          <w:tcPr>
            <w:tcW w:w="288" w:type="dxa"/>
            <w:vMerge w:val="restart"/>
          </w:tcPr>
          <w:p w14:paraId="0CFE60FF" w14:textId="77777777" w:rsidR="00F65BCA" w:rsidRDefault="00F65BCA">
            <w:pPr>
              <w:pStyle w:val="TableParagraph"/>
              <w:rPr>
                <w:rFonts w:ascii="Calibri"/>
                <w:sz w:val="2"/>
              </w:rPr>
            </w:pPr>
          </w:p>
          <w:p w14:paraId="15DBD8A7" w14:textId="77777777" w:rsidR="00F65BCA" w:rsidRDefault="00216117">
            <w:pPr>
              <w:pStyle w:val="TableParagraph"/>
              <w:ind w:left="47"/>
              <w:rPr>
                <w:sz w:val="3"/>
              </w:rPr>
            </w:pPr>
            <w:r>
              <w:rPr>
                <w:w w:val="105"/>
                <w:sz w:val="3"/>
              </w:rPr>
              <w:t>0,77525916%</w:t>
            </w:r>
          </w:p>
        </w:tc>
        <w:tc>
          <w:tcPr>
            <w:tcW w:w="288" w:type="dxa"/>
            <w:vMerge w:val="restart"/>
          </w:tcPr>
          <w:p w14:paraId="2E13331F" w14:textId="77777777" w:rsidR="00F65BCA" w:rsidRDefault="00F65BCA">
            <w:pPr>
              <w:pStyle w:val="TableParagraph"/>
              <w:rPr>
                <w:rFonts w:ascii="Calibri"/>
                <w:sz w:val="2"/>
              </w:rPr>
            </w:pPr>
          </w:p>
          <w:p w14:paraId="319CE56F" w14:textId="77777777" w:rsidR="00F65BCA" w:rsidRDefault="00216117">
            <w:pPr>
              <w:pStyle w:val="TableParagraph"/>
              <w:ind w:left="47"/>
              <w:rPr>
                <w:sz w:val="3"/>
              </w:rPr>
            </w:pPr>
            <w:r>
              <w:rPr>
                <w:w w:val="105"/>
                <w:sz w:val="3"/>
              </w:rPr>
              <w:t>0,93031099%</w:t>
            </w:r>
          </w:p>
        </w:tc>
        <w:tc>
          <w:tcPr>
            <w:tcW w:w="288" w:type="dxa"/>
            <w:vMerge w:val="restart"/>
          </w:tcPr>
          <w:p w14:paraId="6B1A9D80" w14:textId="77777777" w:rsidR="00F65BCA" w:rsidRDefault="00F65BCA">
            <w:pPr>
              <w:pStyle w:val="TableParagraph"/>
              <w:rPr>
                <w:rFonts w:ascii="Calibri"/>
                <w:sz w:val="2"/>
              </w:rPr>
            </w:pPr>
          </w:p>
          <w:p w14:paraId="771930F5" w14:textId="77777777" w:rsidR="00F65BCA" w:rsidRDefault="00216117">
            <w:pPr>
              <w:pStyle w:val="TableParagraph"/>
              <w:ind w:left="47"/>
              <w:rPr>
                <w:sz w:val="3"/>
              </w:rPr>
            </w:pPr>
            <w:r>
              <w:rPr>
                <w:w w:val="105"/>
                <w:sz w:val="3"/>
              </w:rPr>
              <w:t>1,04659987%</w:t>
            </w:r>
          </w:p>
        </w:tc>
        <w:tc>
          <w:tcPr>
            <w:tcW w:w="288" w:type="dxa"/>
            <w:vMerge w:val="restart"/>
          </w:tcPr>
          <w:p w14:paraId="1C7811C7" w14:textId="77777777" w:rsidR="00F65BCA" w:rsidRDefault="00F65BCA">
            <w:pPr>
              <w:pStyle w:val="TableParagraph"/>
              <w:rPr>
                <w:rFonts w:ascii="Calibri"/>
                <w:sz w:val="2"/>
              </w:rPr>
            </w:pPr>
          </w:p>
          <w:p w14:paraId="454ED2FD" w14:textId="77777777" w:rsidR="00F65BCA" w:rsidRDefault="00216117">
            <w:pPr>
              <w:pStyle w:val="TableParagraph"/>
              <w:ind w:left="47"/>
              <w:rPr>
                <w:sz w:val="3"/>
              </w:rPr>
            </w:pPr>
            <w:r>
              <w:rPr>
                <w:w w:val="105"/>
                <w:sz w:val="3"/>
              </w:rPr>
              <w:t>1,04659987%</w:t>
            </w:r>
          </w:p>
        </w:tc>
        <w:tc>
          <w:tcPr>
            <w:tcW w:w="288" w:type="dxa"/>
            <w:vMerge w:val="restart"/>
          </w:tcPr>
          <w:p w14:paraId="7C0109A0" w14:textId="77777777" w:rsidR="00F65BCA" w:rsidRDefault="00F65BCA">
            <w:pPr>
              <w:pStyle w:val="TableParagraph"/>
              <w:rPr>
                <w:rFonts w:ascii="Calibri"/>
                <w:sz w:val="2"/>
              </w:rPr>
            </w:pPr>
          </w:p>
          <w:p w14:paraId="4EDB3789" w14:textId="77777777" w:rsidR="00F65BCA" w:rsidRDefault="00216117">
            <w:pPr>
              <w:pStyle w:val="TableParagraph"/>
              <w:ind w:left="47"/>
              <w:rPr>
                <w:sz w:val="3"/>
              </w:rPr>
            </w:pPr>
            <w:r>
              <w:rPr>
                <w:w w:val="105"/>
                <w:sz w:val="3"/>
              </w:rPr>
              <w:t>1,16288874%</w:t>
            </w:r>
          </w:p>
        </w:tc>
      </w:tr>
      <w:tr w:rsidR="00F65BCA" w14:paraId="7A0F6070" w14:textId="77777777">
        <w:trPr>
          <w:trHeight w:val="38"/>
        </w:trPr>
        <w:tc>
          <w:tcPr>
            <w:tcW w:w="526" w:type="dxa"/>
            <w:vMerge/>
            <w:tcBorders>
              <w:top w:val="nil"/>
            </w:tcBorders>
            <w:shd w:val="clear" w:color="auto" w:fill="FCE4D6"/>
          </w:tcPr>
          <w:p w14:paraId="34CE2512" w14:textId="77777777" w:rsidR="00F65BCA" w:rsidRDefault="00F65BCA">
            <w:pPr>
              <w:rPr>
                <w:sz w:val="2"/>
                <w:szCs w:val="2"/>
              </w:rPr>
            </w:pPr>
          </w:p>
        </w:tc>
        <w:tc>
          <w:tcPr>
            <w:tcW w:w="732" w:type="dxa"/>
            <w:vMerge w:val="restart"/>
            <w:tcBorders>
              <w:top w:val="nil"/>
            </w:tcBorders>
            <w:shd w:val="clear" w:color="auto" w:fill="FCE4D6"/>
          </w:tcPr>
          <w:p w14:paraId="6370ED0B" w14:textId="77777777" w:rsidR="00F65BCA" w:rsidRDefault="00F65BCA">
            <w:pPr>
              <w:pStyle w:val="TableParagraph"/>
              <w:rPr>
                <w:rFonts w:ascii="Times New Roman"/>
                <w:sz w:val="2"/>
              </w:rPr>
            </w:pPr>
          </w:p>
        </w:tc>
        <w:tc>
          <w:tcPr>
            <w:tcW w:w="958" w:type="dxa"/>
            <w:gridSpan w:val="2"/>
            <w:vMerge w:val="restart"/>
            <w:tcBorders>
              <w:top w:val="nil"/>
            </w:tcBorders>
            <w:shd w:val="clear" w:color="auto" w:fill="FCE4D6"/>
          </w:tcPr>
          <w:p w14:paraId="7E42A01A" w14:textId="77777777" w:rsidR="00F65BCA" w:rsidRDefault="00F65BCA">
            <w:pPr>
              <w:pStyle w:val="TableParagraph"/>
              <w:rPr>
                <w:rFonts w:ascii="Calibri"/>
                <w:sz w:val="2"/>
              </w:rPr>
            </w:pPr>
          </w:p>
          <w:p w14:paraId="5D04EEDE" w14:textId="77777777" w:rsidR="00F65BCA" w:rsidRDefault="00216117">
            <w:pPr>
              <w:pStyle w:val="TableParagraph"/>
              <w:ind w:left="4"/>
              <w:rPr>
                <w:sz w:val="3"/>
              </w:rPr>
            </w:pPr>
            <w:r>
              <w:rPr>
                <w:w w:val="105"/>
                <w:sz w:val="3"/>
              </w:rPr>
              <w:t>T 613; T 700</w:t>
            </w:r>
          </w:p>
        </w:tc>
        <w:tc>
          <w:tcPr>
            <w:tcW w:w="576" w:type="dxa"/>
            <w:vMerge/>
            <w:tcBorders>
              <w:top w:val="nil"/>
            </w:tcBorders>
            <w:shd w:val="clear" w:color="auto" w:fill="FCE4D6"/>
          </w:tcPr>
          <w:p w14:paraId="214CAA5E" w14:textId="77777777" w:rsidR="00F65BCA" w:rsidRDefault="00F65BCA">
            <w:pPr>
              <w:rPr>
                <w:sz w:val="2"/>
                <w:szCs w:val="2"/>
              </w:rPr>
            </w:pPr>
          </w:p>
        </w:tc>
        <w:tc>
          <w:tcPr>
            <w:tcW w:w="576" w:type="dxa"/>
            <w:vMerge/>
            <w:tcBorders>
              <w:top w:val="nil"/>
            </w:tcBorders>
            <w:shd w:val="clear" w:color="auto" w:fill="FCE4D6"/>
          </w:tcPr>
          <w:p w14:paraId="1530AB52" w14:textId="77777777" w:rsidR="00F65BCA" w:rsidRDefault="00F65BCA">
            <w:pPr>
              <w:rPr>
                <w:sz w:val="2"/>
                <w:szCs w:val="2"/>
              </w:rPr>
            </w:pPr>
          </w:p>
        </w:tc>
        <w:tc>
          <w:tcPr>
            <w:tcW w:w="50" w:type="dxa"/>
            <w:vMerge/>
            <w:tcBorders>
              <w:top w:val="nil"/>
              <w:bottom w:val="nil"/>
            </w:tcBorders>
          </w:tcPr>
          <w:p w14:paraId="07293419" w14:textId="77777777" w:rsidR="00F65BCA" w:rsidRDefault="00F65BCA">
            <w:pPr>
              <w:rPr>
                <w:sz w:val="2"/>
                <w:szCs w:val="2"/>
              </w:rPr>
            </w:pPr>
          </w:p>
        </w:tc>
        <w:tc>
          <w:tcPr>
            <w:tcW w:w="288" w:type="dxa"/>
            <w:vMerge/>
            <w:tcBorders>
              <w:top w:val="nil"/>
            </w:tcBorders>
          </w:tcPr>
          <w:p w14:paraId="52C04540" w14:textId="77777777" w:rsidR="00F65BCA" w:rsidRDefault="00F65BCA">
            <w:pPr>
              <w:rPr>
                <w:sz w:val="2"/>
                <w:szCs w:val="2"/>
              </w:rPr>
            </w:pPr>
          </w:p>
        </w:tc>
        <w:tc>
          <w:tcPr>
            <w:tcW w:w="288" w:type="dxa"/>
            <w:vMerge/>
            <w:tcBorders>
              <w:top w:val="nil"/>
            </w:tcBorders>
          </w:tcPr>
          <w:p w14:paraId="352D7B7F" w14:textId="77777777" w:rsidR="00F65BCA" w:rsidRDefault="00F65BCA">
            <w:pPr>
              <w:rPr>
                <w:sz w:val="2"/>
                <w:szCs w:val="2"/>
              </w:rPr>
            </w:pPr>
          </w:p>
        </w:tc>
        <w:tc>
          <w:tcPr>
            <w:tcW w:w="288" w:type="dxa"/>
            <w:vMerge/>
            <w:tcBorders>
              <w:top w:val="nil"/>
            </w:tcBorders>
          </w:tcPr>
          <w:p w14:paraId="2CE78969" w14:textId="77777777" w:rsidR="00F65BCA" w:rsidRDefault="00F65BCA">
            <w:pPr>
              <w:rPr>
                <w:sz w:val="2"/>
                <w:szCs w:val="2"/>
              </w:rPr>
            </w:pPr>
          </w:p>
        </w:tc>
        <w:tc>
          <w:tcPr>
            <w:tcW w:w="288" w:type="dxa"/>
            <w:vMerge/>
            <w:tcBorders>
              <w:top w:val="nil"/>
            </w:tcBorders>
          </w:tcPr>
          <w:p w14:paraId="498F458E" w14:textId="77777777" w:rsidR="00F65BCA" w:rsidRDefault="00F65BCA">
            <w:pPr>
              <w:rPr>
                <w:sz w:val="2"/>
                <w:szCs w:val="2"/>
              </w:rPr>
            </w:pPr>
          </w:p>
        </w:tc>
        <w:tc>
          <w:tcPr>
            <w:tcW w:w="288" w:type="dxa"/>
            <w:vMerge/>
            <w:tcBorders>
              <w:top w:val="nil"/>
            </w:tcBorders>
          </w:tcPr>
          <w:p w14:paraId="186C2C35" w14:textId="77777777" w:rsidR="00F65BCA" w:rsidRDefault="00F65BCA">
            <w:pPr>
              <w:rPr>
                <w:sz w:val="2"/>
                <w:szCs w:val="2"/>
              </w:rPr>
            </w:pPr>
          </w:p>
        </w:tc>
        <w:tc>
          <w:tcPr>
            <w:tcW w:w="288" w:type="dxa"/>
            <w:vMerge/>
            <w:tcBorders>
              <w:top w:val="nil"/>
            </w:tcBorders>
          </w:tcPr>
          <w:p w14:paraId="08E8BC02" w14:textId="77777777" w:rsidR="00F65BCA" w:rsidRDefault="00F65BCA">
            <w:pPr>
              <w:rPr>
                <w:sz w:val="2"/>
                <w:szCs w:val="2"/>
              </w:rPr>
            </w:pPr>
          </w:p>
        </w:tc>
        <w:tc>
          <w:tcPr>
            <w:tcW w:w="288" w:type="dxa"/>
            <w:vMerge/>
            <w:tcBorders>
              <w:top w:val="nil"/>
            </w:tcBorders>
          </w:tcPr>
          <w:p w14:paraId="63814887" w14:textId="77777777" w:rsidR="00F65BCA" w:rsidRDefault="00F65BCA">
            <w:pPr>
              <w:rPr>
                <w:sz w:val="2"/>
                <w:szCs w:val="2"/>
              </w:rPr>
            </w:pPr>
          </w:p>
        </w:tc>
        <w:tc>
          <w:tcPr>
            <w:tcW w:w="288" w:type="dxa"/>
            <w:vMerge/>
            <w:tcBorders>
              <w:top w:val="nil"/>
            </w:tcBorders>
          </w:tcPr>
          <w:p w14:paraId="71C85EE6" w14:textId="77777777" w:rsidR="00F65BCA" w:rsidRDefault="00F65BCA">
            <w:pPr>
              <w:rPr>
                <w:sz w:val="2"/>
                <w:szCs w:val="2"/>
              </w:rPr>
            </w:pPr>
          </w:p>
        </w:tc>
        <w:tc>
          <w:tcPr>
            <w:tcW w:w="288" w:type="dxa"/>
            <w:vMerge/>
            <w:tcBorders>
              <w:top w:val="nil"/>
            </w:tcBorders>
          </w:tcPr>
          <w:p w14:paraId="2EED8110" w14:textId="77777777" w:rsidR="00F65BCA" w:rsidRDefault="00F65BCA">
            <w:pPr>
              <w:rPr>
                <w:sz w:val="2"/>
                <w:szCs w:val="2"/>
              </w:rPr>
            </w:pPr>
          </w:p>
        </w:tc>
        <w:tc>
          <w:tcPr>
            <w:tcW w:w="288" w:type="dxa"/>
            <w:vMerge/>
            <w:tcBorders>
              <w:top w:val="nil"/>
            </w:tcBorders>
          </w:tcPr>
          <w:p w14:paraId="687CFEAE" w14:textId="77777777" w:rsidR="00F65BCA" w:rsidRDefault="00F65BCA">
            <w:pPr>
              <w:rPr>
                <w:sz w:val="2"/>
                <w:szCs w:val="2"/>
              </w:rPr>
            </w:pPr>
          </w:p>
        </w:tc>
        <w:tc>
          <w:tcPr>
            <w:tcW w:w="288" w:type="dxa"/>
            <w:vMerge/>
            <w:tcBorders>
              <w:top w:val="nil"/>
            </w:tcBorders>
          </w:tcPr>
          <w:p w14:paraId="1E433813" w14:textId="77777777" w:rsidR="00F65BCA" w:rsidRDefault="00F65BCA">
            <w:pPr>
              <w:rPr>
                <w:sz w:val="2"/>
                <w:szCs w:val="2"/>
              </w:rPr>
            </w:pPr>
          </w:p>
        </w:tc>
        <w:tc>
          <w:tcPr>
            <w:tcW w:w="288" w:type="dxa"/>
            <w:vMerge/>
            <w:tcBorders>
              <w:top w:val="nil"/>
            </w:tcBorders>
          </w:tcPr>
          <w:p w14:paraId="13CAE2BC" w14:textId="77777777" w:rsidR="00F65BCA" w:rsidRDefault="00F65BCA">
            <w:pPr>
              <w:rPr>
                <w:sz w:val="2"/>
                <w:szCs w:val="2"/>
              </w:rPr>
            </w:pPr>
          </w:p>
        </w:tc>
        <w:tc>
          <w:tcPr>
            <w:tcW w:w="288" w:type="dxa"/>
            <w:vMerge/>
            <w:tcBorders>
              <w:top w:val="nil"/>
            </w:tcBorders>
          </w:tcPr>
          <w:p w14:paraId="6968F1C1" w14:textId="77777777" w:rsidR="00F65BCA" w:rsidRDefault="00F65BCA">
            <w:pPr>
              <w:rPr>
                <w:sz w:val="2"/>
                <w:szCs w:val="2"/>
              </w:rPr>
            </w:pPr>
          </w:p>
        </w:tc>
      </w:tr>
      <w:tr w:rsidR="00F65BCA" w14:paraId="5130894F" w14:textId="77777777">
        <w:trPr>
          <w:trHeight w:val="81"/>
        </w:trPr>
        <w:tc>
          <w:tcPr>
            <w:tcW w:w="526" w:type="dxa"/>
            <w:vMerge/>
            <w:tcBorders>
              <w:top w:val="nil"/>
            </w:tcBorders>
            <w:shd w:val="clear" w:color="auto" w:fill="FCE4D6"/>
          </w:tcPr>
          <w:p w14:paraId="3AF39509" w14:textId="77777777" w:rsidR="00F65BCA" w:rsidRDefault="00F65BCA">
            <w:pPr>
              <w:rPr>
                <w:sz w:val="2"/>
                <w:szCs w:val="2"/>
              </w:rPr>
            </w:pPr>
          </w:p>
        </w:tc>
        <w:tc>
          <w:tcPr>
            <w:tcW w:w="732" w:type="dxa"/>
            <w:vMerge/>
            <w:tcBorders>
              <w:top w:val="nil"/>
            </w:tcBorders>
            <w:shd w:val="clear" w:color="auto" w:fill="FCE4D6"/>
          </w:tcPr>
          <w:p w14:paraId="2DA946EC" w14:textId="77777777" w:rsidR="00F65BCA" w:rsidRDefault="00F65BCA">
            <w:pPr>
              <w:rPr>
                <w:sz w:val="2"/>
                <w:szCs w:val="2"/>
              </w:rPr>
            </w:pPr>
          </w:p>
        </w:tc>
        <w:tc>
          <w:tcPr>
            <w:tcW w:w="958" w:type="dxa"/>
            <w:gridSpan w:val="2"/>
            <w:vMerge/>
            <w:tcBorders>
              <w:top w:val="nil"/>
            </w:tcBorders>
            <w:shd w:val="clear" w:color="auto" w:fill="FCE4D6"/>
          </w:tcPr>
          <w:p w14:paraId="52129E9B" w14:textId="77777777" w:rsidR="00F65BCA" w:rsidRDefault="00F65BCA">
            <w:pPr>
              <w:rPr>
                <w:sz w:val="2"/>
                <w:szCs w:val="2"/>
              </w:rPr>
            </w:pPr>
          </w:p>
        </w:tc>
        <w:tc>
          <w:tcPr>
            <w:tcW w:w="576" w:type="dxa"/>
            <w:shd w:val="clear" w:color="auto" w:fill="FCE4D6"/>
          </w:tcPr>
          <w:p w14:paraId="2F5B761A" w14:textId="77777777" w:rsidR="00F65BCA" w:rsidRDefault="00F65BCA">
            <w:pPr>
              <w:pStyle w:val="TableParagraph"/>
              <w:rPr>
                <w:rFonts w:ascii="Calibri"/>
                <w:sz w:val="2"/>
              </w:rPr>
            </w:pPr>
          </w:p>
          <w:p w14:paraId="62CE9C75" w14:textId="77777777" w:rsidR="00F65BCA" w:rsidRDefault="00216117">
            <w:pPr>
              <w:pStyle w:val="TableParagraph"/>
              <w:ind w:left="128" w:right="128"/>
              <w:jc w:val="center"/>
              <w:rPr>
                <w:sz w:val="3"/>
              </w:rPr>
            </w:pPr>
            <w:r>
              <w:rPr>
                <w:w w:val="105"/>
                <w:sz w:val="3"/>
              </w:rPr>
              <w:t>&gt;1000 ccm</w:t>
            </w:r>
          </w:p>
        </w:tc>
        <w:tc>
          <w:tcPr>
            <w:tcW w:w="576" w:type="dxa"/>
            <w:shd w:val="clear" w:color="auto" w:fill="FCE4D6"/>
          </w:tcPr>
          <w:p w14:paraId="2B552C9E" w14:textId="77777777" w:rsidR="00F65BCA" w:rsidRDefault="00F65BCA">
            <w:pPr>
              <w:pStyle w:val="TableParagraph"/>
              <w:rPr>
                <w:rFonts w:ascii="Calibri"/>
                <w:sz w:val="2"/>
              </w:rPr>
            </w:pPr>
          </w:p>
          <w:p w14:paraId="7D9D6364"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19FAE3CC" w14:textId="77777777" w:rsidR="00F65BCA" w:rsidRDefault="00F65BCA">
            <w:pPr>
              <w:rPr>
                <w:sz w:val="2"/>
                <w:szCs w:val="2"/>
              </w:rPr>
            </w:pPr>
          </w:p>
        </w:tc>
        <w:tc>
          <w:tcPr>
            <w:tcW w:w="288" w:type="dxa"/>
          </w:tcPr>
          <w:p w14:paraId="4901D550" w14:textId="77777777" w:rsidR="00F65BCA" w:rsidRDefault="00F65BCA">
            <w:pPr>
              <w:pStyle w:val="TableParagraph"/>
              <w:rPr>
                <w:rFonts w:ascii="Calibri"/>
                <w:sz w:val="2"/>
              </w:rPr>
            </w:pPr>
          </w:p>
          <w:p w14:paraId="66612D7C" w14:textId="77777777" w:rsidR="00F65BCA" w:rsidRDefault="00216117">
            <w:pPr>
              <w:pStyle w:val="TableParagraph"/>
              <w:ind w:left="24" w:right="24"/>
              <w:jc w:val="center"/>
              <w:rPr>
                <w:sz w:val="3"/>
              </w:rPr>
            </w:pPr>
            <w:r>
              <w:rPr>
                <w:w w:val="105"/>
                <w:sz w:val="3"/>
              </w:rPr>
              <w:t>1,49842090%</w:t>
            </w:r>
          </w:p>
        </w:tc>
        <w:tc>
          <w:tcPr>
            <w:tcW w:w="288" w:type="dxa"/>
          </w:tcPr>
          <w:p w14:paraId="391ADC91" w14:textId="77777777" w:rsidR="00F65BCA" w:rsidRDefault="00F65BCA">
            <w:pPr>
              <w:pStyle w:val="TableParagraph"/>
              <w:rPr>
                <w:rFonts w:ascii="Calibri"/>
                <w:sz w:val="2"/>
              </w:rPr>
            </w:pPr>
          </w:p>
          <w:p w14:paraId="568C7D71" w14:textId="77777777" w:rsidR="00F65BCA" w:rsidRDefault="00216117">
            <w:pPr>
              <w:pStyle w:val="TableParagraph"/>
              <w:ind w:left="24" w:right="24"/>
              <w:jc w:val="center"/>
              <w:rPr>
                <w:sz w:val="3"/>
              </w:rPr>
            </w:pPr>
            <w:r>
              <w:rPr>
                <w:w w:val="105"/>
                <w:sz w:val="3"/>
              </w:rPr>
              <w:t>1,40476960%</w:t>
            </w:r>
          </w:p>
        </w:tc>
        <w:tc>
          <w:tcPr>
            <w:tcW w:w="288" w:type="dxa"/>
          </w:tcPr>
          <w:p w14:paraId="66B53EED" w14:textId="77777777" w:rsidR="00F65BCA" w:rsidRDefault="00F65BCA">
            <w:pPr>
              <w:pStyle w:val="TableParagraph"/>
              <w:rPr>
                <w:rFonts w:ascii="Calibri"/>
                <w:sz w:val="2"/>
              </w:rPr>
            </w:pPr>
          </w:p>
          <w:p w14:paraId="523BF2FF" w14:textId="77777777" w:rsidR="00F65BCA" w:rsidRDefault="00216117">
            <w:pPr>
              <w:pStyle w:val="TableParagraph"/>
              <w:ind w:left="47"/>
              <w:rPr>
                <w:sz w:val="3"/>
              </w:rPr>
            </w:pPr>
            <w:r>
              <w:rPr>
                <w:w w:val="105"/>
                <w:sz w:val="3"/>
              </w:rPr>
              <w:t>1,33921368%</w:t>
            </w:r>
          </w:p>
        </w:tc>
        <w:tc>
          <w:tcPr>
            <w:tcW w:w="288" w:type="dxa"/>
          </w:tcPr>
          <w:p w14:paraId="60E605DD" w14:textId="77777777" w:rsidR="00F65BCA" w:rsidRDefault="00F65BCA">
            <w:pPr>
              <w:pStyle w:val="TableParagraph"/>
              <w:rPr>
                <w:rFonts w:ascii="Calibri"/>
                <w:sz w:val="2"/>
              </w:rPr>
            </w:pPr>
          </w:p>
          <w:p w14:paraId="737BD855" w14:textId="77777777" w:rsidR="00F65BCA" w:rsidRDefault="00216117">
            <w:pPr>
              <w:pStyle w:val="TableParagraph"/>
              <w:ind w:left="24" w:right="24"/>
              <w:jc w:val="center"/>
              <w:rPr>
                <w:sz w:val="3"/>
              </w:rPr>
            </w:pPr>
            <w:r>
              <w:rPr>
                <w:w w:val="105"/>
                <w:sz w:val="3"/>
              </w:rPr>
              <w:t>1,26429264%</w:t>
            </w:r>
          </w:p>
        </w:tc>
        <w:tc>
          <w:tcPr>
            <w:tcW w:w="288" w:type="dxa"/>
          </w:tcPr>
          <w:p w14:paraId="7127280B" w14:textId="77777777" w:rsidR="00F65BCA" w:rsidRDefault="00F65BCA">
            <w:pPr>
              <w:pStyle w:val="TableParagraph"/>
              <w:rPr>
                <w:rFonts w:ascii="Calibri"/>
                <w:sz w:val="2"/>
              </w:rPr>
            </w:pPr>
          </w:p>
          <w:p w14:paraId="06380EE2" w14:textId="77777777" w:rsidR="00F65BCA" w:rsidRDefault="00216117">
            <w:pPr>
              <w:pStyle w:val="TableParagraph"/>
              <w:ind w:left="47"/>
              <w:rPr>
                <w:sz w:val="3"/>
              </w:rPr>
            </w:pPr>
            <w:r>
              <w:rPr>
                <w:w w:val="105"/>
                <w:sz w:val="3"/>
              </w:rPr>
              <w:t>1,19873672%</w:t>
            </w:r>
          </w:p>
        </w:tc>
        <w:tc>
          <w:tcPr>
            <w:tcW w:w="288" w:type="dxa"/>
          </w:tcPr>
          <w:p w14:paraId="2F9FA255" w14:textId="77777777" w:rsidR="00F65BCA" w:rsidRDefault="00F65BCA">
            <w:pPr>
              <w:pStyle w:val="TableParagraph"/>
              <w:rPr>
                <w:rFonts w:ascii="Calibri"/>
                <w:sz w:val="2"/>
              </w:rPr>
            </w:pPr>
          </w:p>
          <w:p w14:paraId="1A23737E" w14:textId="77777777" w:rsidR="00F65BCA" w:rsidRDefault="00216117">
            <w:pPr>
              <w:pStyle w:val="TableParagraph"/>
              <w:ind w:left="24" w:right="24"/>
              <w:jc w:val="center"/>
              <w:rPr>
                <w:sz w:val="3"/>
              </w:rPr>
            </w:pPr>
            <w:r>
              <w:rPr>
                <w:w w:val="105"/>
                <w:sz w:val="3"/>
              </w:rPr>
              <w:t>1,11445055%</w:t>
            </w:r>
          </w:p>
        </w:tc>
        <w:tc>
          <w:tcPr>
            <w:tcW w:w="288" w:type="dxa"/>
          </w:tcPr>
          <w:p w14:paraId="5D126FBB" w14:textId="77777777" w:rsidR="00F65BCA" w:rsidRDefault="00F65BCA">
            <w:pPr>
              <w:pStyle w:val="TableParagraph"/>
              <w:rPr>
                <w:rFonts w:ascii="Calibri"/>
                <w:sz w:val="2"/>
              </w:rPr>
            </w:pPr>
          </w:p>
          <w:p w14:paraId="2755334D" w14:textId="77777777" w:rsidR="00F65BCA" w:rsidRDefault="00216117">
            <w:pPr>
              <w:pStyle w:val="TableParagraph"/>
              <w:ind w:left="24" w:right="24"/>
              <w:jc w:val="center"/>
              <w:rPr>
                <w:sz w:val="3"/>
              </w:rPr>
            </w:pPr>
            <w:r>
              <w:rPr>
                <w:w w:val="105"/>
                <w:sz w:val="3"/>
              </w:rPr>
              <w:t>1,03016437%</w:t>
            </w:r>
          </w:p>
        </w:tc>
        <w:tc>
          <w:tcPr>
            <w:tcW w:w="288" w:type="dxa"/>
          </w:tcPr>
          <w:p w14:paraId="0A9DC6B3" w14:textId="77777777" w:rsidR="00F65BCA" w:rsidRDefault="00F65BCA">
            <w:pPr>
              <w:pStyle w:val="TableParagraph"/>
              <w:rPr>
                <w:rFonts w:ascii="Calibri"/>
                <w:sz w:val="2"/>
              </w:rPr>
            </w:pPr>
          </w:p>
          <w:p w14:paraId="61DC7D91" w14:textId="77777777" w:rsidR="00F65BCA" w:rsidRDefault="00216117">
            <w:pPr>
              <w:pStyle w:val="TableParagraph"/>
              <w:ind w:left="47"/>
              <w:rPr>
                <w:sz w:val="3"/>
              </w:rPr>
            </w:pPr>
            <w:r>
              <w:rPr>
                <w:w w:val="105"/>
                <w:sz w:val="3"/>
              </w:rPr>
              <w:t>0,93651307%</w:t>
            </w:r>
          </w:p>
        </w:tc>
        <w:tc>
          <w:tcPr>
            <w:tcW w:w="288" w:type="dxa"/>
          </w:tcPr>
          <w:p w14:paraId="62CA1AE3" w14:textId="77777777" w:rsidR="00F65BCA" w:rsidRDefault="00F65BCA">
            <w:pPr>
              <w:pStyle w:val="TableParagraph"/>
              <w:rPr>
                <w:rFonts w:ascii="Calibri"/>
                <w:sz w:val="2"/>
              </w:rPr>
            </w:pPr>
          </w:p>
          <w:p w14:paraId="7E764FED" w14:textId="77777777" w:rsidR="00F65BCA" w:rsidRDefault="00216117">
            <w:pPr>
              <w:pStyle w:val="TableParagraph"/>
              <w:ind w:left="24" w:right="24"/>
              <w:jc w:val="center"/>
              <w:rPr>
                <w:sz w:val="3"/>
              </w:rPr>
            </w:pPr>
            <w:r>
              <w:rPr>
                <w:w w:val="105"/>
                <w:sz w:val="3"/>
              </w:rPr>
              <w:t>0,93651307%</w:t>
            </w:r>
          </w:p>
        </w:tc>
        <w:tc>
          <w:tcPr>
            <w:tcW w:w="288" w:type="dxa"/>
          </w:tcPr>
          <w:p w14:paraId="1BE532A8" w14:textId="77777777" w:rsidR="00F65BCA" w:rsidRDefault="00F65BCA">
            <w:pPr>
              <w:pStyle w:val="TableParagraph"/>
              <w:rPr>
                <w:rFonts w:ascii="Calibri"/>
                <w:sz w:val="2"/>
              </w:rPr>
            </w:pPr>
          </w:p>
          <w:p w14:paraId="42D51EBD" w14:textId="77777777" w:rsidR="00F65BCA" w:rsidRDefault="00216117">
            <w:pPr>
              <w:pStyle w:val="TableParagraph"/>
              <w:ind w:left="24" w:right="24"/>
              <w:jc w:val="center"/>
              <w:rPr>
                <w:sz w:val="3"/>
              </w:rPr>
            </w:pPr>
            <w:r>
              <w:rPr>
                <w:w w:val="105"/>
                <w:sz w:val="3"/>
              </w:rPr>
              <w:t>1,12381568%</w:t>
            </w:r>
          </w:p>
        </w:tc>
        <w:tc>
          <w:tcPr>
            <w:tcW w:w="288" w:type="dxa"/>
          </w:tcPr>
          <w:p w14:paraId="05090BFC" w14:textId="77777777" w:rsidR="00F65BCA" w:rsidRDefault="00F65BCA">
            <w:pPr>
              <w:pStyle w:val="TableParagraph"/>
              <w:rPr>
                <w:rFonts w:ascii="Calibri"/>
                <w:sz w:val="2"/>
              </w:rPr>
            </w:pPr>
          </w:p>
          <w:p w14:paraId="471D756C" w14:textId="77777777" w:rsidR="00F65BCA" w:rsidRDefault="00216117">
            <w:pPr>
              <w:pStyle w:val="TableParagraph"/>
              <w:ind w:left="24" w:right="24"/>
              <w:jc w:val="center"/>
              <w:rPr>
                <w:sz w:val="3"/>
              </w:rPr>
            </w:pPr>
            <w:r>
              <w:rPr>
                <w:w w:val="105"/>
                <w:sz w:val="3"/>
              </w:rPr>
              <w:t>1,26429264%</w:t>
            </w:r>
          </w:p>
        </w:tc>
        <w:tc>
          <w:tcPr>
            <w:tcW w:w="288" w:type="dxa"/>
          </w:tcPr>
          <w:p w14:paraId="502E96E3" w14:textId="77777777" w:rsidR="00F65BCA" w:rsidRDefault="00F65BCA">
            <w:pPr>
              <w:pStyle w:val="TableParagraph"/>
              <w:rPr>
                <w:rFonts w:ascii="Calibri"/>
                <w:sz w:val="2"/>
              </w:rPr>
            </w:pPr>
          </w:p>
          <w:p w14:paraId="265F5676" w14:textId="77777777" w:rsidR="00F65BCA" w:rsidRDefault="00216117">
            <w:pPr>
              <w:pStyle w:val="TableParagraph"/>
              <w:ind w:left="24" w:right="24"/>
              <w:jc w:val="center"/>
              <w:rPr>
                <w:sz w:val="3"/>
              </w:rPr>
            </w:pPr>
            <w:r>
              <w:rPr>
                <w:w w:val="105"/>
                <w:sz w:val="3"/>
              </w:rPr>
              <w:t>1,26429264%</w:t>
            </w:r>
          </w:p>
        </w:tc>
        <w:tc>
          <w:tcPr>
            <w:tcW w:w="288" w:type="dxa"/>
          </w:tcPr>
          <w:p w14:paraId="3284B819" w14:textId="77777777" w:rsidR="00F65BCA" w:rsidRDefault="00F65BCA">
            <w:pPr>
              <w:pStyle w:val="TableParagraph"/>
              <w:rPr>
                <w:rFonts w:ascii="Calibri"/>
                <w:sz w:val="2"/>
              </w:rPr>
            </w:pPr>
          </w:p>
          <w:p w14:paraId="289758A5" w14:textId="77777777" w:rsidR="00F65BCA" w:rsidRDefault="00216117">
            <w:pPr>
              <w:pStyle w:val="TableParagraph"/>
              <w:ind w:left="47"/>
              <w:rPr>
                <w:sz w:val="3"/>
              </w:rPr>
            </w:pPr>
            <w:r>
              <w:rPr>
                <w:w w:val="105"/>
                <w:sz w:val="3"/>
              </w:rPr>
              <w:t>1,40476960%</w:t>
            </w:r>
          </w:p>
        </w:tc>
      </w:tr>
      <w:tr w:rsidR="00F65BCA" w14:paraId="7C3E12E9" w14:textId="77777777">
        <w:trPr>
          <w:trHeight w:val="81"/>
        </w:trPr>
        <w:tc>
          <w:tcPr>
            <w:tcW w:w="526" w:type="dxa"/>
            <w:vMerge/>
            <w:tcBorders>
              <w:top w:val="nil"/>
            </w:tcBorders>
            <w:shd w:val="clear" w:color="auto" w:fill="FCE4D6"/>
          </w:tcPr>
          <w:p w14:paraId="4E106D98" w14:textId="77777777" w:rsidR="00F65BCA" w:rsidRDefault="00F65BCA">
            <w:pPr>
              <w:rPr>
                <w:sz w:val="2"/>
                <w:szCs w:val="2"/>
              </w:rPr>
            </w:pPr>
          </w:p>
        </w:tc>
        <w:tc>
          <w:tcPr>
            <w:tcW w:w="732" w:type="dxa"/>
            <w:vMerge w:val="restart"/>
            <w:tcBorders>
              <w:bottom w:val="nil"/>
            </w:tcBorders>
            <w:shd w:val="clear" w:color="auto" w:fill="FCE4D6"/>
          </w:tcPr>
          <w:p w14:paraId="67494E83" w14:textId="77777777" w:rsidR="00F65BCA" w:rsidRDefault="00F65BCA">
            <w:pPr>
              <w:pStyle w:val="TableParagraph"/>
              <w:rPr>
                <w:rFonts w:ascii="Times New Roman"/>
                <w:sz w:val="2"/>
              </w:rPr>
            </w:pPr>
          </w:p>
        </w:tc>
        <w:tc>
          <w:tcPr>
            <w:tcW w:w="958" w:type="dxa"/>
            <w:gridSpan w:val="2"/>
            <w:tcBorders>
              <w:bottom w:val="nil"/>
            </w:tcBorders>
            <w:shd w:val="clear" w:color="auto" w:fill="FCE4D6"/>
          </w:tcPr>
          <w:p w14:paraId="0255DFD2" w14:textId="77777777" w:rsidR="00F65BCA" w:rsidRDefault="00F65BCA">
            <w:pPr>
              <w:pStyle w:val="TableParagraph"/>
              <w:rPr>
                <w:rFonts w:ascii="Calibri"/>
                <w:sz w:val="2"/>
              </w:rPr>
            </w:pPr>
          </w:p>
          <w:p w14:paraId="337821CE" w14:textId="77777777" w:rsidR="00F65BCA" w:rsidRDefault="00F65BCA">
            <w:pPr>
              <w:pStyle w:val="TableParagraph"/>
              <w:rPr>
                <w:rFonts w:ascii="Calibri"/>
                <w:sz w:val="2"/>
              </w:rPr>
            </w:pPr>
          </w:p>
          <w:p w14:paraId="22B59D41" w14:textId="77777777" w:rsidR="00F65BCA" w:rsidRDefault="00216117">
            <w:pPr>
              <w:pStyle w:val="TableParagraph"/>
              <w:spacing w:line="16" w:lineRule="exact"/>
              <w:ind w:left="4"/>
              <w:rPr>
                <w:sz w:val="3"/>
              </w:rPr>
            </w:pPr>
            <w:r>
              <w:rPr>
                <w:w w:val="105"/>
                <w:sz w:val="3"/>
              </w:rPr>
              <w:t>COROLLA VAN; LAND CRUISER VAN; PROACE VAN; PROACE</w:t>
            </w:r>
          </w:p>
        </w:tc>
        <w:tc>
          <w:tcPr>
            <w:tcW w:w="576" w:type="dxa"/>
            <w:shd w:val="clear" w:color="auto" w:fill="FCE4D6"/>
          </w:tcPr>
          <w:p w14:paraId="2C5E80AF" w14:textId="77777777" w:rsidR="00F65BCA" w:rsidRDefault="00F65BCA">
            <w:pPr>
              <w:pStyle w:val="TableParagraph"/>
              <w:rPr>
                <w:rFonts w:ascii="Calibri"/>
                <w:sz w:val="2"/>
              </w:rPr>
            </w:pPr>
          </w:p>
          <w:p w14:paraId="407B8AA6" w14:textId="77777777" w:rsidR="00F65BCA" w:rsidRDefault="00216117">
            <w:pPr>
              <w:pStyle w:val="TableParagraph"/>
              <w:ind w:left="129" w:right="127"/>
              <w:jc w:val="center"/>
              <w:rPr>
                <w:sz w:val="3"/>
              </w:rPr>
            </w:pPr>
            <w:r>
              <w:rPr>
                <w:w w:val="105"/>
                <w:sz w:val="3"/>
              </w:rPr>
              <w:t>0-1000 ccm</w:t>
            </w:r>
          </w:p>
        </w:tc>
        <w:tc>
          <w:tcPr>
            <w:tcW w:w="576" w:type="dxa"/>
            <w:shd w:val="clear" w:color="auto" w:fill="FCE4D6"/>
          </w:tcPr>
          <w:p w14:paraId="5E82CA4F" w14:textId="77777777" w:rsidR="00F65BCA" w:rsidRDefault="00F65BCA">
            <w:pPr>
              <w:pStyle w:val="TableParagraph"/>
              <w:rPr>
                <w:rFonts w:ascii="Calibri"/>
                <w:sz w:val="2"/>
              </w:rPr>
            </w:pPr>
          </w:p>
          <w:p w14:paraId="5A9827E4"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1A3F44F3" w14:textId="77777777" w:rsidR="00F65BCA" w:rsidRDefault="00F65BCA">
            <w:pPr>
              <w:rPr>
                <w:sz w:val="2"/>
                <w:szCs w:val="2"/>
              </w:rPr>
            </w:pPr>
          </w:p>
        </w:tc>
        <w:tc>
          <w:tcPr>
            <w:tcW w:w="288" w:type="dxa"/>
          </w:tcPr>
          <w:p w14:paraId="0844E011" w14:textId="77777777" w:rsidR="00F65BCA" w:rsidRDefault="00F65BCA">
            <w:pPr>
              <w:pStyle w:val="TableParagraph"/>
              <w:rPr>
                <w:rFonts w:ascii="Calibri"/>
                <w:sz w:val="2"/>
              </w:rPr>
            </w:pPr>
          </w:p>
          <w:p w14:paraId="5554B215" w14:textId="77777777" w:rsidR="00F65BCA" w:rsidRDefault="00216117">
            <w:pPr>
              <w:pStyle w:val="TableParagraph"/>
              <w:ind w:left="24" w:right="24"/>
              <w:jc w:val="center"/>
              <w:rPr>
                <w:sz w:val="3"/>
              </w:rPr>
            </w:pPr>
            <w:r>
              <w:rPr>
                <w:w w:val="105"/>
                <w:sz w:val="3"/>
              </w:rPr>
              <w:t>1,02336000%</w:t>
            </w:r>
          </w:p>
        </w:tc>
        <w:tc>
          <w:tcPr>
            <w:tcW w:w="288" w:type="dxa"/>
          </w:tcPr>
          <w:p w14:paraId="2D40BB87" w14:textId="77777777" w:rsidR="00F65BCA" w:rsidRDefault="00F65BCA">
            <w:pPr>
              <w:pStyle w:val="TableParagraph"/>
              <w:rPr>
                <w:rFonts w:ascii="Calibri"/>
                <w:sz w:val="2"/>
              </w:rPr>
            </w:pPr>
          </w:p>
          <w:p w14:paraId="2766F31A" w14:textId="77777777" w:rsidR="00F65BCA" w:rsidRDefault="00216117">
            <w:pPr>
              <w:pStyle w:val="TableParagraph"/>
              <w:ind w:left="24" w:right="24"/>
              <w:jc w:val="center"/>
              <w:rPr>
                <w:sz w:val="3"/>
              </w:rPr>
            </w:pPr>
            <w:r>
              <w:rPr>
                <w:w w:val="105"/>
                <w:sz w:val="3"/>
              </w:rPr>
              <w:t>0,95940000%</w:t>
            </w:r>
          </w:p>
        </w:tc>
        <w:tc>
          <w:tcPr>
            <w:tcW w:w="288" w:type="dxa"/>
          </w:tcPr>
          <w:p w14:paraId="3388E3BE" w14:textId="77777777" w:rsidR="00F65BCA" w:rsidRDefault="00F65BCA">
            <w:pPr>
              <w:pStyle w:val="TableParagraph"/>
              <w:rPr>
                <w:rFonts w:ascii="Calibri"/>
                <w:sz w:val="2"/>
              </w:rPr>
            </w:pPr>
          </w:p>
          <w:p w14:paraId="2595CBD0" w14:textId="77777777" w:rsidR="00F65BCA" w:rsidRDefault="00216117">
            <w:pPr>
              <w:pStyle w:val="TableParagraph"/>
              <w:ind w:left="47"/>
              <w:rPr>
                <w:sz w:val="3"/>
              </w:rPr>
            </w:pPr>
            <w:r>
              <w:rPr>
                <w:w w:val="105"/>
                <w:sz w:val="3"/>
              </w:rPr>
              <w:t>0,91462800%</w:t>
            </w:r>
          </w:p>
        </w:tc>
        <w:tc>
          <w:tcPr>
            <w:tcW w:w="288" w:type="dxa"/>
          </w:tcPr>
          <w:p w14:paraId="7EB8B197" w14:textId="77777777" w:rsidR="00F65BCA" w:rsidRDefault="00F65BCA">
            <w:pPr>
              <w:pStyle w:val="TableParagraph"/>
              <w:rPr>
                <w:rFonts w:ascii="Calibri"/>
                <w:sz w:val="2"/>
              </w:rPr>
            </w:pPr>
          </w:p>
          <w:p w14:paraId="0E81F58E" w14:textId="77777777" w:rsidR="00F65BCA" w:rsidRDefault="00216117">
            <w:pPr>
              <w:pStyle w:val="TableParagraph"/>
              <w:ind w:left="24" w:right="24"/>
              <w:jc w:val="center"/>
              <w:rPr>
                <w:sz w:val="3"/>
              </w:rPr>
            </w:pPr>
            <w:r>
              <w:rPr>
                <w:w w:val="105"/>
                <w:sz w:val="3"/>
              </w:rPr>
              <w:t>0,86346000%</w:t>
            </w:r>
          </w:p>
        </w:tc>
        <w:tc>
          <w:tcPr>
            <w:tcW w:w="288" w:type="dxa"/>
          </w:tcPr>
          <w:p w14:paraId="2AB5FA44" w14:textId="77777777" w:rsidR="00F65BCA" w:rsidRDefault="00F65BCA">
            <w:pPr>
              <w:pStyle w:val="TableParagraph"/>
              <w:rPr>
                <w:rFonts w:ascii="Calibri"/>
                <w:sz w:val="2"/>
              </w:rPr>
            </w:pPr>
          </w:p>
          <w:p w14:paraId="224EC697" w14:textId="77777777" w:rsidR="00F65BCA" w:rsidRDefault="00216117">
            <w:pPr>
              <w:pStyle w:val="TableParagraph"/>
              <w:ind w:left="47"/>
              <w:rPr>
                <w:sz w:val="3"/>
              </w:rPr>
            </w:pPr>
            <w:r>
              <w:rPr>
                <w:w w:val="105"/>
                <w:sz w:val="3"/>
              </w:rPr>
              <w:t>0,81868800%</w:t>
            </w:r>
          </w:p>
        </w:tc>
        <w:tc>
          <w:tcPr>
            <w:tcW w:w="288" w:type="dxa"/>
          </w:tcPr>
          <w:p w14:paraId="4325580F" w14:textId="77777777" w:rsidR="00F65BCA" w:rsidRDefault="00F65BCA">
            <w:pPr>
              <w:pStyle w:val="TableParagraph"/>
              <w:rPr>
                <w:rFonts w:ascii="Calibri"/>
                <w:sz w:val="2"/>
              </w:rPr>
            </w:pPr>
          </w:p>
          <w:p w14:paraId="0AB0230D" w14:textId="77777777" w:rsidR="00F65BCA" w:rsidRDefault="00216117">
            <w:pPr>
              <w:pStyle w:val="TableParagraph"/>
              <w:ind w:left="24" w:right="24"/>
              <w:jc w:val="center"/>
              <w:rPr>
                <w:sz w:val="3"/>
              </w:rPr>
            </w:pPr>
            <w:r>
              <w:rPr>
                <w:w w:val="105"/>
                <w:sz w:val="3"/>
              </w:rPr>
              <w:t>0,76112400%</w:t>
            </w:r>
          </w:p>
        </w:tc>
        <w:tc>
          <w:tcPr>
            <w:tcW w:w="288" w:type="dxa"/>
          </w:tcPr>
          <w:p w14:paraId="223D56E8" w14:textId="77777777" w:rsidR="00F65BCA" w:rsidRDefault="00F65BCA">
            <w:pPr>
              <w:pStyle w:val="TableParagraph"/>
              <w:rPr>
                <w:rFonts w:ascii="Calibri"/>
                <w:sz w:val="2"/>
              </w:rPr>
            </w:pPr>
          </w:p>
          <w:p w14:paraId="263BCA11" w14:textId="77777777" w:rsidR="00F65BCA" w:rsidRDefault="00216117">
            <w:pPr>
              <w:pStyle w:val="TableParagraph"/>
              <w:ind w:left="24" w:right="24"/>
              <w:jc w:val="center"/>
              <w:rPr>
                <w:sz w:val="3"/>
              </w:rPr>
            </w:pPr>
            <w:r>
              <w:rPr>
                <w:w w:val="105"/>
                <w:sz w:val="3"/>
              </w:rPr>
              <w:t>0,70356000%</w:t>
            </w:r>
          </w:p>
        </w:tc>
        <w:tc>
          <w:tcPr>
            <w:tcW w:w="288" w:type="dxa"/>
          </w:tcPr>
          <w:p w14:paraId="5EC3A219" w14:textId="77777777" w:rsidR="00F65BCA" w:rsidRDefault="00F65BCA">
            <w:pPr>
              <w:pStyle w:val="TableParagraph"/>
              <w:rPr>
                <w:rFonts w:ascii="Calibri"/>
                <w:sz w:val="2"/>
              </w:rPr>
            </w:pPr>
          </w:p>
          <w:p w14:paraId="122E9491" w14:textId="77777777" w:rsidR="00F65BCA" w:rsidRDefault="00216117">
            <w:pPr>
              <w:pStyle w:val="TableParagraph"/>
              <w:ind w:left="47"/>
              <w:rPr>
                <w:sz w:val="3"/>
              </w:rPr>
            </w:pPr>
            <w:r>
              <w:rPr>
                <w:w w:val="105"/>
                <w:sz w:val="3"/>
              </w:rPr>
              <w:t>0,63960000%</w:t>
            </w:r>
          </w:p>
        </w:tc>
        <w:tc>
          <w:tcPr>
            <w:tcW w:w="288" w:type="dxa"/>
          </w:tcPr>
          <w:p w14:paraId="20063F57" w14:textId="77777777" w:rsidR="00F65BCA" w:rsidRDefault="00F65BCA">
            <w:pPr>
              <w:pStyle w:val="TableParagraph"/>
              <w:rPr>
                <w:rFonts w:ascii="Calibri"/>
                <w:sz w:val="2"/>
              </w:rPr>
            </w:pPr>
          </w:p>
          <w:p w14:paraId="2AB8BD15" w14:textId="77777777" w:rsidR="00F65BCA" w:rsidRDefault="00216117">
            <w:pPr>
              <w:pStyle w:val="TableParagraph"/>
              <w:ind w:left="24" w:right="24"/>
              <w:jc w:val="center"/>
              <w:rPr>
                <w:sz w:val="3"/>
              </w:rPr>
            </w:pPr>
            <w:r>
              <w:rPr>
                <w:w w:val="105"/>
                <w:sz w:val="3"/>
              </w:rPr>
              <w:t>0,63960000%</w:t>
            </w:r>
          </w:p>
        </w:tc>
        <w:tc>
          <w:tcPr>
            <w:tcW w:w="288" w:type="dxa"/>
          </w:tcPr>
          <w:p w14:paraId="0C3A8541" w14:textId="77777777" w:rsidR="00F65BCA" w:rsidRDefault="00F65BCA">
            <w:pPr>
              <w:pStyle w:val="TableParagraph"/>
              <w:rPr>
                <w:rFonts w:ascii="Calibri"/>
                <w:sz w:val="2"/>
              </w:rPr>
            </w:pPr>
          </w:p>
          <w:p w14:paraId="3C16D20D" w14:textId="77777777" w:rsidR="00F65BCA" w:rsidRDefault="00216117">
            <w:pPr>
              <w:pStyle w:val="TableParagraph"/>
              <w:ind w:left="24" w:right="24"/>
              <w:jc w:val="center"/>
              <w:rPr>
                <w:sz w:val="3"/>
              </w:rPr>
            </w:pPr>
            <w:r>
              <w:rPr>
                <w:w w:val="105"/>
                <w:sz w:val="3"/>
              </w:rPr>
              <w:t>0,76752000%</w:t>
            </w:r>
          </w:p>
        </w:tc>
        <w:tc>
          <w:tcPr>
            <w:tcW w:w="288" w:type="dxa"/>
          </w:tcPr>
          <w:p w14:paraId="5285027B" w14:textId="77777777" w:rsidR="00F65BCA" w:rsidRDefault="00F65BCA">
            <w:pPr>
              <w:pStyle w:val="TableParagraph"/>
              <w:rPr>
                <w:rFonts w:ascii="Calibri"/>
                <w:sz w:val="2"/>
              </w:rPr>
            </w:pPr>
          </w:p>
          <w:p w14:paraId="53BD06A5" w14:textId="77777777" w:rsidR="00F65BCA" w:rsidRDefault="00216117">
            <w:pPr>
              <w:pStyle w:val="TableParagraph"/>
              <w:ind w:left="24" w:right="24"/>
              <w:jc w:val="center"/>
              <w:rPr>
                <w:sz w:val="3"/>
              </w:rPr>
            </w:pPr>
            <w:r>
              <w:rPr>
                <w:w w:val="105"/>
                <w:sz w:val="3"/>
              </w:rPr>
              <w:t>0,86346000%</w:t>
            </w:r>
          </w:p>
        </w:tc>
        <w:tc>
          <w:tcPr>
            <w:tcW w:w="288" w:type="dxa"/>
          </w:tcPr>
          <w:p w14:paraId="15B4B93E" w14:textId="77777777" w:rsidR="00F65BCA" w:rsidRDefault="00F65BCA">
            <w:pPr>
              <w:pStyle w:val="TableParagraph"/>
              <w:rPr>
                <w:rFonts w:ascii="Calibri"/>
                <w:sz w:val="2"/>
              </w:rPr>
            </w:pPr>
          </w:p>
          <w:p w14:paraId="51333612" w14:textId="77777777" w:rsidR="00F65BCA" w:rsidRDefault="00216117">
            <w:pPr>
              <w:pStyle w:val="TableParagraph"/>
              <w:ind w:left="24" w:right="24"/>
              <w:jc w:val="center"/>
              <w:rPr>
                <w:sz w:val="3"/>
              </w:rPr>
            </w:pPr>
            <w:r>
              <w:rPr>
                <w:w w:val="105"/>
                <w:sz w:val="3"/>
              </w:rPr>
              <w:t>0,86346000%</w:t>
            </w:r>
          </w:p>
        </w:tc>
        <w:tc>
          <w:tcPr>
            <w:tcW w:w="288" w:type="dxa"/>
          </w:tcPr>
          <w:p w14:paraId="34AE335F" w14:textId="77777777" w:rsidR="00F65BCA" w:rsidRDefault="00F65BCA">
            <w:pPr>
              <w:pStyle w:val="TableParagraph"/>
              <w:rPr>
                <w:rFonts w:ascii="Calibri"/>
                <w:sz w:val="2"/>
              </w:rPr>
            </w:pPr>
          </w:p>
          <w:p w14:paraId="19F58D65" w14:textId="77777777" w:rsidR="00F65BCA" w:rsidRDefault="00216117">
            <w:pPr>
              <w:pStyle w:val="TableParagraph"/>
              <w:ind w:left="47"/>
              <w:rPr>
                <w:sz w:val="3"/>
              </w:rPr>
            </w:pPr>
            <w:r>
              <w:rPr>
                <w:w w:val="105"/>
                <w:sz w:val="3"/>
              </w:rPr>
              <w:t>0,95940000%</w:t>
            </w:r>
          </w:p>
        </w:tc>
      </w:tr>
      <w:tr w:rsidR="00F65BCA" w14:paraId="0A45E012" w14:textId="77777777">
        <w:trPr>
          <w:trHeight w:val="81"/>
        </w:trPr>
        <w:tc>
          <w:tcPr>
            <w:tcW w:w="526" w:type="dxa"/>
            <w:vMerge/>
            <w:tcBorders>
              <w:top w:val="nil"/>
            </w:tcBorders>
            <w:shd w:val="clear" w:color="auto" w:fill="FCE4D6"/>
          </w:tcPr>
          <w:p w14:paraId="74686FD3" w14:textId="77777777" w:rsidR="00F65BCA" w:rsidRDefault="00F65BCA">
            <w:pPr>
              <w:rPr>
                <w:sz w:val="2"/>
                <w:szCs w:val="2"/>
              </w:rPr>
            </w:pPr>
          </w:p>
        </w:tc>
        <w:tc>
          <w:tcPr>
            <w:tcW w:w="732" w:type="dxa"/>
            <w:vMerge/>
            <w:tcBorders>
              <w:top w:val="nil"/>
              <w:bottom w:val="nil"/>
            </w:tcBorders>
            <w:shd w:val="clear" w:color="auto" w:fill="FCE4D6"/>
          </w:tcPr>
          <w:p w14:paraId="6596E32B" w14:textId="77777777" w:rsidR="00F65BCA" w:rsidRDefault="00F65BCA">
            <w:pPr>
              <w:rPr>
                <w:sz w:val="2"/>
                <w:szCs w:val="2"/>
              </w:rPr>
            </w:pPr>
          </w:p>
        </w:tc>
        <w:tc>
          <w:tcPr>
            <w:tcW w:w="958" w:type="dxa"/>
            <w:gridSpan w:val="2"/>
            <w:tcBorders>
              <w:top w:val="nil"/>
            </w:tcBorders>
            <w:shd w:val="clear" w:color="auto" w:fill="FCE4D6"/>
          </w:tcPr>
          <w:p w14:paraId="6895C9A7" w14:textId="77777777" w:rsidR="00F65BCA" w:rsidRDefault="00216117">
            <w:pPr>
              <w:pStyle w:val="TableParagraph"/>
              <w:spacing w:line="34" w:lineRule="exact"/>
              <w:ind w:left="4"/>
              <w:rPr>
                <w:sz w:val="3"/>
              </w:rPr>
            </w:pPr>
            <w:r>
              <w:rPr>
                <w:w w:val="105"/>
                <w:sz w:val="3"/>
              </w:rPr>
              <w:t>VERSO; VERSO VAN; YARIS VAN</w:t>
            </w:r>
          </w:p>
        </w:tc>
        <w:tc>
          <w:tcPr>
            <w:tcW w:w="576" w:type="dxa"/>
            <w:shd w:val="clear" w:color="auto" w:fill="FCE4D6"/>
          </w:tcPr>
          <w:p w14:paraId="5565EE1F" w14:textId="77777777" w:rsidR="00F65BCA" w:rsidRDefault="00F65BCA">
            <w:pPr>
              <w:pStyle w:val="TableParagraph"/>
              <w:rPr>
                <w:rFonts w:ascii="Calibri"/>
                <w:sz w:val="2"/>
              </w:rPr>
            </w:pPr>
          </w:p>
          <w:p w14:paraId="426D0F07" w14:textId="77777777" w:rsidR="00F65BCA" w:rsidRDefault="00216117">
            <w:pPr>
              <w:pStyle w:val="TableParagraph"/>
              <w:ind w:left="128" w:right="128"/>
              <w:jc w:val="center"/>
              <w:rPr>
                <w:sz w:val="3"/>
              </w:rPr>
            </w:pPr>
            <w:r>
              <w:rPr>
                <w:w w:val="105"/>
                <w:sz w:val="3"/>
              </w:rPr>
              <w:t>&gt;1000 ccm</w:t>
            </w:r>
          </w:p>
        </w:tc>
        <w:tc>
          <w:tcPr>
            <w:tcW w:w="576" w:type="dxa"/>
            <w:shd w:val="clear" w:color="auto" w:fill="FCE4D6"/>
          </w:tcPr>
          <w:p w14:paraId="6CE64B5E" w14:textId="77777777" w:rsidR="00F65BCA" w:rsidRDefault="00F65BCA">
            <w:pPr>
              <w:pStyle w:val="TableParagraph"/>
              <w:rPr>
                <w:rFonts w:ascii="Calibri"/>
                <w:sz w:val="2"/>
              </w:rPr>
            </w:pPr>
          </w:p>
          <w:p w14:paraId="59E64E75"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735CBB56" w14:textId="77777777" w:rsidR="00F65BCA" w:rsidRDefault="00F65BCA">
            <w:pPr>
              <w:rPr>
                <w:sz w:val="2"/>
                <w:szCs w:val="2"/>
              </w:rPr>
            </w:pPr>
          </w:p>
        </w:tc>
        <w:tc>
          <w:tcPr>
            <w:tcW w:w="288" w:type="dxa"/>
          </w:tcPr>
          <w:p w14:paraId="478BD478" w14:textId="77777777" w:rsidR="00F65BCA" w:rsidRDefault="00F65BCA">
            <w:pPr>
              <w:pStyle w:val="TableParagraph"/>
              <w:rPr>
                <w:rFonts w:ascii="Calibri"/>
                <w:sz w:val="2"/>
              </w:rPr>
            </w:pPr>
          </w:p>
          <w:p w14:paraId="5A62CDBE" w14:textId="77777777" w:rsidR="00F65BCA" w:rsidRDefault="00216117">
            <w:pPr>
              <w:pStyle w:val="TableParagraph"/>
              <w:ind w:left="24" w:right="24"/>
              <w:jc w:val="center"/>
              <w:rPr>
                <w:sz w:val="3"/>
              </w:rPr>
            </w:pPr>
            <w:r>
              <w:rPr>
                <w:w w:val="105"/>
                <w:sz w:val="3"/>
              </w:rPr>
              <w:t>1,23621888%</w:t>
            </w:r>
          </w:p>
        </w:tc>
        <w:tc>
          <w:tcPr>
            <w:tcW w:w="288" w:type="dxa"/>
          </w:tcPr>
          <w:p w14:paraId="1B7BDD2C" w14:textId="77777777" w:rsidR="00F65BCA" w:rsidRDefault="00F65BCA">
            <w:pPr>
              <w:pStyle w:val="TableParagraph"/>
              <w:rPr>
                <w:rFonts w:ascii="Calibri"/>
                <w:sz w:val="2"/>
              </w:rPr>
            </w:pPr>
          </w:p>
          <w:p w14:paraId="79E0B114" w14:textId="77777777" w:rsidR="00F65BCA" w:rsidRDefault="00216117">
            <w:pPr>
              <w:pStyle w:val="TableParagraph"/>
              <w:ind w:left="24" w:right="24"/>
              <w:jc w:val="center"/>
              <w:rPr>
                <w:sz w:val="3"/>
              </w:rPr>
            </w:pPr>
            <w:r>
              <w:rPr>
                <w:w w:val="105"/>
                <w:sz w:val="3"/>
              </w:rPr>
              <w:t>1,15895520%</w:t>
            </w:r>
          </w:p>
        </w:tc>
        <w:tc>
          <w:tcPr>
            <w:tcW w:w="288" w:type="dxa"/>
          </w:tcPr>
          <w:p w14:paraId="3BF65323" w14:textId="77777777" w:rsidR="00F65BCA" w:rsidRDefault="00F65BCA">
            <w:pPr>
              <w:pStyle w:val="TableParagraph"/>
              <w:rPr>
                <w:rFonts w:ascii="Calibri"/>
                <w:sz w:val="2"/>
              </w:rPr>
            </w:pPr>
          </w:p>
          <w:p w14:paraId="73E03DC1" w14:textId="77777777" w:rsidR="00F65BCA" w:rsidRDefault="00216117">
            <w:pPr>
              <w:pStyle w:val="TableParagraph"/>
              <w:ind w:left="47"/>
              <w:rPr>
                <w:sz w:val="3"/>
              </w:rPr>
            </w:pPr>
            <w:r>
              <w:rPr>
                <w:w w:val="105"/>
                <w:sz w:val="3"/>
              </w:rPr>
              <w:t>1,10487062%</w:t>
            </w:r>
          </w:p>
        </w:tc>
        <w:tc>
          <w:tcPr>
            <w:tcW w:w="288" w:type="dxa"/>
          </w:tcPr>
          <w:p w14:paraId="7CADFF5C" w14:textId="77777777" w:rsidR="00F65BCA" w:rsidRDefault="00F65BCA">
            <w:pPr>
              <w:pStyle w:val="TableParagraph"/>
              <w:rPr>
                <w:rFonts w:ascii="Calibri"/>
                <w:sz w:val="2"/>
              </w:rPr>
            </w:pPr>
          </w:p>
          <w:p w14:paraId="3A2A5C24" w14:textId="77777777" w:rsidR="00F65BCA" w:rsidRDefault="00216117">
            <w:pPr>
              <w:pStyle w:val="TableParagraph"/>
              <w:ind w:left="24" w:right="24"/>
              <w:jc w:val="center"/>
              <w:rPr>
                <w:sz w:val="3"/>
              </w:rPr>
            </w:pPr>
            <w:r>
              <w:rPr>
                <w:w w:val="105"/>
                <w:sz w:val="3"/>
              </w:rPr>
              <w:t>1,04305968%</w:t>
            </w:r>
          </w:p>
        </w:tc>
        <w:tc>
          <w:tcPr>
            <w:tcW w:w="288" w:type="dxa"/>
          </w:tcPr>
          <w:p w14:paraId="061DA454" w14:textId="77777777" w:rsidR="00F65BCA" w:rsidRDefault="00F65BCA">
            <w:pPr>
              <w:pStyle w:val="TableParagraph"/>
              <w:rPr>
                <w:rFonts w:ascii="Calibri"/>
                <w:sz w:val="2"/>
              </w:rPr>
            </w:pPr>
          </w:p>
          <w:p w14:paraId="3A35D66D" w14:textId="77777777" w:rsidR="00F65BCA" w:rsidRDefault="00216117">
            <w:pPr>
              <w:pStyle w:val="TableParagraph"/>
              <w:ind w:left="47"/>
              <w:rPr>
                <w:sz w:val="3"/>
              </w:rPr>
            </w:pPr>
            <w:r>
              <w:rPr>
                <w:w w:val="105"/>
                <w:sz w:val="3"/>
              </w:rPr>
              <w:t>0,98897510%</w:t>
            </w:r>
          </w:p>
        </w:tc>
        <w:tc>
          <w:tcPr>
            <w:tcW w:w="288" w:type="dxa"/>
          </w:tcPr>
          <w:p w14:paraId="3E6FD802" w14:textId="77777777" w:rsidR="00F65BCA" w:rsidRDefault="00F65BCA">
            <w:pPr>
              <w:pStyle w:val="TableParagraph"/>
              <w:rPr>
                <w:rFonts w:ascii="Calibri"/>
                <w:sz w:val="2"/>
              </w:rPr>
            </w:pPr>
          </w:p>
          <w:p w14:paraId="63BE9858" w14:textId="77777777" w:rsidR="00F65BCA" w:rsidRDefault="00216117">
            <w:pPr>
              <w:pStyle w:val="TableParagraph"/>
              <w:ind w:left="24" w:right="24"/>
              <w:jc w:val="center"/>
              <w:rPr>
                <w:sz w:val="3"/>
              </w:rPr>
            </w:pPr>
            <w:r>
              <w:rPr>
                <w:w w:val="105"/>
                <w:sz w:val="3"/>
              </w:rPr>
              <w:t>0,91943779%</w:t>
            </w:r>
          </w:p>
        </w:tc>
        <w:tc>
          <w:tcPr>
            <w:tcW w:w="288" w:type="dxa"/>
          </w:tcPr>
          <w:p w14:paraId="21E75D15" w14:textId="77777777" w:rsidR="00F65BCA" w:rsidRDefault="00F65BCA">
            <w:pPr>
              <w:pStyle w:val="TableParagraph"/>
              <w:rPr>
                <w:rFonts w:ascii="Calibri"/>
                <w:sz w:val="2"/>
              </w:rPr>
            </w:pPr>
          </w:p>
          <w:p w14:paraId="43EAC4CC" w14:textId="77777777" w:rsidR="00F65BCA" w:rsidRDefault="00216117">
            <w:pPr>
              <w:pStyle w:val="TableParagraph"/>
              <w:ind w:left="24" w:right="24"/>
              <w:jc w:val="center"/>
              <w:rPr>
                <w:sz w:val="3"/>
              </w:rPr>
            </w:pPr>
            <w:r>
              <w:rPr>
                <w:w w:val="105"/>
                <w:sz w:val="3"/>
              </w:rPr>
              <w:t>0,84990048%</w:t>
            </w:r>
          </w:p>
        </w:tc>
        <w:tc>
          <w:tcPr>
            <w:tcW w:w="288" w:type="dxa"/>
          </w:tcPr>
          <w:p w14:paraId="208C9B9B" w14:textId="77777777" w:rsidR="00F65BCA" w:rsidRDefault="00F65BCA">
            <w:pPr>
              <w:pStyle w:val="TableParagraph"/>
              <w:rPr>
                <w:rFonts w:ascii="Calibri"/>
                <w:sz w:val="2"/>
              </w:rPr>
            </w:pPr>
          </w:p>
          <w:p w14:paraId="4D3A4673" w14:textId="77777777" w:rsidR="00F65BCA" w:rsidRDefault="00216117">
            <w:pPr>
              <w:pStyle w:val="TableParagraph"/>
              <w:ind w:left="47"/>
              <w:rPr>
                <w:sz w:val="3"/>
              </w:rPr>
            </w:pPr>
            <w:r>
              <w:rPr>
                <w:w w:val="105"/>
                <w:sz w:val="3"/>
              </w:rPr>
              <w:t>0,77263680%</w:t>
            </w:r>
          </w:p>
        </w:tc>
        <w:tc>
          <w:tcPr>
            <w:tcW w:w="288" w:type="dxa"/>
          </w:tcPr>
          <w:p w14:paraId="4FAD8C02" w14:textId="77777777" w:rsidR="00F65BCA" w:rsidRDefault="00F65BCA">
            <w:pPr>
              <w:pStyle w:val="TableParagraph"/>
              <w:rPr>
                <w:rFonts w:ascii="Calibri"/>
                <w:sz w:val="2"/>
              </w:rPr>
            </w:pPr>
          </w:p>
          <w:p w14:paraId="4FE10796" w14:textId="77777777" w:rsidR="00F65BCA" w:rsidRDefault="00216117">
            <w:pPr>
              <w:pStyle w:val="TableParagraph"/>
              <w:ind w:left="24" w:right="24"/>
              <w:jc w:val="center"/>
              <w:rPr>
                <w:sz w:val="3"/>
              </w:rPr>
            </w:pPr>
            <w:r>
              <w:rPr>
                <w:w w:val="105"/>
                <w:sz w:val="3"/>
              </w:rPr>
              <w:t>0,77263680%</w:t>
            </w:r>
          </w:p>
        </w:tc>
        <w:tc>
          <w:tcPr>
            <w:tcW w:w="288" w:type="dxa"/>
          </w:tcPr>
          <w:p w14:paraId="06ECDDB0" w14:textId="77777777" w:rsidR="00F65BCA" w:rsidRDefault="00F65BCA">
            <w:pPr>
              <w:pStyle w:val="TableParagraph"/>
              <w:rPr>
                <w:rFonts w:ascii="Calibri"/>
                <w:sz w:val="2"/>
              </w:rPr>
            </w:pPr>
          </w:p>
          <w:p w14:paraId="48015465" w14:textId="77777777" w:rsidR="00F65BCA" w:rsidRDefault="00216117">
            <w:pPr>
              <w:pStyle w:val="TableParagraph"/>
              <w:ind w:left="24" w:right="24"/>
              <w:jc w:val="center"/>
              <w:rPr>
                <w:sz w:val="3"/>
              </w:rPr>
            </w:pPr>
            <w:r>
              <w:rPr>
                <w:w w:val="105"/>
                <w:sz w:val="3"/>
              </w:rPr>
              <w:t>0,92716416%</w:t>
            </w:r>
          </w:p>
        </w:tc>
        <w:tc>
          <w:tcPr>
            <w:tcW w:w="288" w:type="dxa"/>
          </w:tcPr>
          <w:p w14:paraId="760F8E04" w14:textId="77777777" w:rsidR="00F65BCA" w:rsidRDefault="00F65BCA">
            <w:pPr>
              <w:pStyle w:val="TableParagraph"/>
              <w:rPr>
                <w:rFonts w:ascii="Calibri"/>
                <w:sz w:val="2"/>
              </w:rPr>
            </w:pPr>
          </w:p>
          <w:p w14:paraId="4DC81BCD" w14:textId="77777777" w:rsidR="00F65BCA" w:rsidRDefault="00216117">
            <w:pPr>
              <w:pStyle w:val="TableParagraph"/>
              <w:ind w:left="24" w:right="24"/>
              <w:jc w:val="center"/>
              <w:rPr>
                <w:sz w:val="3"/>
              </w:rPr>
            </w:pPr>
            <w:r>
              <w:rPr>
                <w:w w:val="105"/>
                <w:sz w:val="3"/>
              </w:rPr>
              <w:t>1,04305968%</w:t>
            </w:r>
          </w:p>
        </w:tc>
        <w:tc>
          <w:tcPr>
            <w:tcW w:w="288" w:type="dxa"/>
          </w:tcPr>
          <w:p w14:paraId="10DF5421" w14:textId="77777777" w:rsidR="00F65BCA" w:rsidRDefault="00F65BCA">
            <w:pPr>
              <w:pStyle w:val="TableParagraph"/>
              <w:rPr>
                <w:rFonts w:ascii="Calibri"/>
                <w:sz w:val="2"/>
              </w:rPr>
            </w:pPr>
          </w:p>
          <w:p w14:paraId="62AB227E" w14:textId="77777777" w:rsidR="00F65BCA" w:rsidRDefault="00216117">
            <w:pPr>
              <w:pStyle w:val="TableParagraph"/>
              <w:ind w:left="24" w:right="24"/>
              <w:jc w:val="center"/>
              <w:rPr>
                <w:sz w:val="3"/>
              </w:rPr>
            </w:pPr>
            <w:r>
              <w:rPr>
                <w:w w:val="105"/>
                <w:sz w:val="3"/>
              </w:rPr>
              <w:t>1,04305968%</w:t>
            </w:r>
          </w:p>
        </w:tc>
        <w:tc>
          <w:tcPr>
            <w:tcW w:w="288" w:type="dxa"/>
          </w:tcPr>
          <w:p w14:paraId="5A5737EE" w14:textId="77777777" w:rsidR="00F65BCA" w:rsidRDefault="00F65BCA">
            <w:pPr>
              <w:pStyle w:val="TableParagraph"/>
              <w:rPr>
                <w:rFonts w:ascii="Calibri"/>
                <w:sz w:val="2"/>
              </w:rPr>
            </w:pPr>
          </w:p>
          <w:p w14:paraId="5F097E79" w14:textId="77777777" w:rsidR="00F65BCA" w:rsidRDefault="00216117">
            <w:pPr>
              <w:pStyle w:val="TableParagraph"/>
              <w:ind w:left="47"/>
              <w:rPr>
                <w:sz w:val="3"/>
              </w:rPr>
            </w:pPr>
            <w:r>
              <w:rPr>
                <w:w w:val="105"/>
                <w:sz w:val="3"/>
              </w:rPr>
              <w:t>1,15895520%</w:t>
            </w:r>
          </w:p>
        </w:tc>
      </w:tr>
      <w:tr w:rsidR="00F65BCA" w14:paraId="7E3E9E1C" w14:textId="77777777">
        <w:trPr>
          <w:trHeight w:val="60"/>
        </w:trPr>
        <w:tc>
          <w:tcPr>
            <w:tcW w:w="526" w:type="dxa"/>
            <w:vMerge/>
            <w:tcBorders>
              <w:top w:val="nil"/>
            </w:tcBorders>
            <w:shd w:val="clear" w:color="auto" w:fill="FCE4D6"/>
          </w:tcPr>
          <w:p w14:paraId="35B1CC89" w14:textId="77777777" w:rsidR="00F65BCA" w:rsidRDefault="00F65BCA">
            <w:pPr>
              <w:rPr>
                <w:sz w:val="2"/>
                <w:szCs w:val="2"/>
              </w:rPr>
            </w:pPr>
          </w:p>
        </w:tc>
        <w:tc>
          <w:tcPr>
            <w:tcW w:w="732" w:type="dxa"/>
            <w:tcBorders>
              <w:top w:val="nil"/>
              <w:bottom w:val="nil"/>
            </w:tcBorders>
            <w:shd w:val="clear" w:color="auto" w:fill="FCE4D6"/>
          </w:tcPr>
          <w:p w14:paraId="01006DE1" w14:textId="77777777" w:rsidR="00F65BCA" w:rsidRDefault="00F65BCA">
            <w:pPr>
              <w:pStyle w:val="TableParagraph"/>
              <w:rPr>
                <w:rFonts w:ascii="Times New Roman"/>
                <w:sz w:val="2"/>
              </w:rPr>
            </w:pPr>
          </w:p>
        </w:tc>
        <w:tc>
          <w:tcPr>
            <w:tcW w:w="958" w:type="dxa"/>
            <w:gridSpan w:val="2"/>
            <w:tcBorders>
              <w:bottom w:val="nil"/>
            </w:tcBorders>
            <w:shd w:val="clear" w:color="auto" w:fill="FCE4D6"/>
          </w:tcPr>
          <w:p w14:paraId="0883F681" w14:textId="77777777" w:rsidR="00F65BCA" w:rsidRDefault="00F65BCA">
            <w:pPr>
              <w:pStyle w:val="TableParagraph"/>
              <w:spacing w:before="1"/>
              <w:rPr>
                <w:rFonts w:ascii="Calibri"/>
                <w:sz w:val="2"/>
              </w:rPr>
            </w:pPr>
          </w:p>
          <w:p w14:paraId="49947B52" w14:textId="77777777" w:rsidR="00F65BCA" w:rsidRDefault="00216117">
            <w:pPr>
              <w:pStyle w:val="TableParagraph"/>
              <w:spacing w:line="15" w:lineRule="exact"/>
              <w:ind w:left="4"/>
              <w:rPr>
                <w:sz w:val="3"/>
              </w:rPr>
            </w:pPr>
            <w:r>
              <w:rPr>
                <w:w w:val="105"/>
                <w:sz w:val="3"/>
              </w:rPr>
              <w:t>4 RUNNER; AURIS; AURIS TOURING SPORTS; AVALON;</w:t>
            </w:r>
          </w:p>
        </w:tc>
        <w:tc>
          <w:tcPr>
            <w:tcW w:w="576" w:type="dxa"/>
            <w:tcBorders>
              <w:bottom w:val="nil"/>
            </w:tcBorders>
            <w:shd w:val="clear" w:color="auto" w:fill="FCE4D6"/>
          </w:tcPr>
          <w:p w14:paraId="604BD091" w14:textId="77777777" w:rsidR="00F65BCA" w:rsidRDefault="00F65BCA">
            <w:pPr>
              <w:pStyle w:val="TableParagraph"/>
              <w:rPr>
                <w:rFonts w:ascii="Times New Roman"/>
                <w:sz w:val="2"/>
              </w:rPr>
            </w:pPr>
          </w:p>
        </w:tc>
        <w:tc>
          <w:tcPr>
            <w:tcW w:w="576" w:type="dxa"/>
            <w:tcBorders>
              <w:bottom w:val="nil"/>
            </w:tcBorders>
            <w:shd w:val="clear" w:color="auto" w:fill="FCE4D6"/>
          </w:tcPr>
          <w:p w14:paraId="578D2FAE" w14:textId="77777777" w:rsidR="00F65BCA" w:rsidRDefault="00F65BCA">
            <w:pPr>
              <w:pStyle w:val="TableParagraph"/>
              <w:rPr>
                <w:rFonts w:ascii="Times New Roman"/>
                <w:sz w:val="2"/>
              </w:rPr>
            </w:pPr>
          </w:p>
        </w:tc>
        <w:tc>
          <w:tcPr>
            <w:tcW w:w="50" w:type="dxa"/>
            <w:vMerge/>
            <w:tcBorders>
              <w:top w:val="nil"/>
              <w:bottom w:val="nil"/>
            </w:tcBorders>
          </w:tcPr>
          <w:p w14:paraId="5E6AFA5B" w14:textId="77777777" w:rsidR="00F65BCA" w:rsidRDefault="00F65BCA">
            <w:pPr>
              <w:rPr>
                <w:sz w:val="2"/>
                <w:szCs w:val="2"/>
              </w:rPr>
            </w:pPr>
          </w:p>
        </w:tc>
        <w:tc>
          <w:tcPr>
            <w:tcW w:w="288" w:type="dxa"/>
            <w:tcBorders>
              <w:bottom w:val="nil"/>
            </w:tcBorders>
          </w:tcPr>
          <w:p w14:paraId="49134E39" w14:textId="77777777" w:rsidR="00F65BCA" w:rsidRDefault="00F65BCA">
            <w:pPr>
              <w:pStyle w:val="TableParagraph"/>
              <w:rPr>
                <w:rFonts w:ascii="Times New Roman"/>
                <w:sz w:val="2"/>
              </w:rPr>
            </w:pPr>
          </w:p>
        </w:tc>
        <w:tc>
          <w:tcPr>
            <w:tcW w:w="288" w:type="dxa"/>
            <w:tcBorders>
              <w:bottom w:val="nil"/>
            </w:tcBorders>
          </w:tcPr>
          <w:p w14:paraId="04ACC065" w14:textId="77777777" w:rsidR="00F65BCA" w:rsidRDefault="00F65BCA">
            <w:pPr>
              <w:pStyle w:val="TableParagraph"/>
              <w:rPr>
                <w:rFonts w:ascii="Times New Roman"/>
                <w:sz w:val="2"/>
              </w:rPr>
            </w:pPr>
          </w:p>
        </w:tc>
        <w:tc>
          <w:tcPr>
            <w:tcW w:w="288" w:type="dxa"/>
            <w:tcBorders>
              <w:bottom w:val="nil"/>
            </w:tcBorders>
          </w:tcPr>
          <w:p w14:paraId="725D9471" w14:textId="77777777" w:rsidR="00F65BCA" w:rsidRDefault="00F65BCA">
            <w:pPr>
              <w:pStyle w:val="TableParagraph"/>
              <w:rPr>
                <w:rFonts w:ascii="Times New Roman"/>
                <w:sz w:val="2"/>
              </w:rPr>
            </w:pPr>
          </w:p>
        </w:tc>
        <w:tc>
          <w:tcPr>
            <w:tcW w:w="288" w:type="dxa"/>
            <w:tcBorders>
              <w:bottom w:val="nil"/>
            </w:tcBorders>
          </w:tcPr>
          <w:p w14:paraId="0B14A445" w14:textId="77777777" w:rsidR="00F65BCA" w:rsidRDefault="00F65BCA">
            <w:pPr>
              <w:pStyle w:val="TableParagraph"/>
              <w:rPr>
                <w:rFonts w:ascii="Times New Roman"/>
                <w:sz w:val="2"/>
              </w:rPr>
            </w:pPr>
          </w:p>
        </w:tc>
        <w:tc>
          <w:tcPr>
            <w:tcW w:w="288" w:type="dxa"/>
            <w:tcBorders>
              <w:bottom w:val="nil"/>
            </w:tcBorders>
          </w:tcPr>
          <w:p w14:paraId="31EEB03A" w14:textId="77777777" w:rsidR="00F65BCA" w:rsidRDefault="00F65BCA">
            <w:pPr>
              <w:pStyle w:val="TableParagraph"/>
              <w:rPr>
                <w:rFonts w:ascii="Times New Roman"/>
                <w:sz w:val="2"/>
              </w:rPr>
            </w:pPr>
          </w:p>
        </w:tc>
        <w:tc>
          <w:tcPr>
            <w:tcW w:w="288" w:type="dxa"/>
            <w:tcBorders>
              <w:bottom w:val="nil"/>
            </w:tcBorders>
          </w:tcPr>
          <w:p w14:paraId="2CEB6DA6" w14:textId="77777777" w:rsidR="00F65BCA" w:rsidRDefault="00F65BCA">
            <w:pPr>
              <w:pStyle w:val="TableParagraph"/>
              <w:rPr>
                <w:rFonts w:ascii="Times New Roman"/>
                <w:sz w:val="2"/>
              </w:rPr>
            </w:pPr>
          </w:p>
        </w:tc>
        <w:tc>
          <w:tcPr>
            <w:tcW w:w="288" w:type="dxa"/>
            <w:tcBorders>
              <w:bottom w:val="nil"/>
            </w:tcBorders>
          </w:tcPr>
          <w:p w14:paraId="5EDA4535" w14:textId="77777777" w:rsidR="00F65BCA" w:rsidRDefault="00F65BCA">
            <w:pPr>
              <w:pStyle w:val="TableParagraph"/>
              <w:rPr>
                <w:rFonts w:ascii="Times New Roman"/>
                <w:sz w:val="2"/>
              </w:rPr>
            </w:pPr>
          </w:p>
        </w:tc>
        <w:tc>
          <w:tcPr>
            <w:tcW w:w="288" w:type="dxa"/>
            <w:tcBorders>
              <w:bottom w:val="nil"/>
            </w:tcBorders>
          </w:tcPr>
          <w:p w14:paraId="769DDC2A" w14:textId="77777777" w:rsidR="00F65BCA" w:rsidRDefault="00F65BCA">
            <w:pPr>
              <w:pStyle w:val="TableParagraph"/>
              <w:rPr>
                <w:rFonts w:ascii="Times New Roman"/>
                <w:sz w:val="2"/>
              </w:rPr>
            </w:pPr>
          </w:p>
        </w:tc>
        <w:tc>
          <w:tcPr>
            <w:tcW w:w="288" w:type="dxa"/>
            <w:tcBorders>
              <w:bottom w:val="nil"/>
            </w:tcBorders>
          </w:tcPr>
          <w:p w14:paraId="21143643" w14:textId="77777777" w:rsidR="00F65BCA" w:rsidRDefault="00F65BCA">
            <w:pPr>
              <w:pStyle w:val="TableParagraph"/>
              <w:rPr>
                <w:rFonts w:ascii="Times New Roman"/>
                <w:sz w:val="2"/>
              </w:rPr>
            </w:pPr>
          </w:p>
        </w:tc>
        <w:tc>
          <w:tcPr>
            <w:tcW w:w="288" w:type="dxa"/>
            <w:tcBorders>
              <w:bottom w:val="nil"/>
            </w:tcBorders>
          </w:tcPr>
          <w:p w14:paraId="1F727DAF" w14:textId="77777777" w:rsidR="00F65BCA" w:rsidRDefault="00F65BCA">
            <w:pPr>
              <w:pStyle w:val="TableParagraph"/>
              <w:rPr>
                <w:rFonts w:ascii="Times New Roman"/>
                <w:sz w:val="2"/>
              </w:rPr>
            </w:pPr>
          </w:p>
        </w:tc>
        <w:tc>
          <w:tcPr>
            <w:tcW w:w="288" w:type="dxa"/>
            <w:tcBorders>
              <w:bottom w:val="nil"/>
            </w:tcBorders>
          </w:tcPr>
          <w:p w14:paraId="064C7825" w14:textId="77777777" w:rsidR="00F65BCA" w:rsidRDefault="00F65BCA">
            <w:pPr>
              <w:pStyle w:val="TableParagraph"/>
              <w:rPr>
                <w:rFonts w:ascii="Times New Roman"/>
                <w:sz w:val="2"/>
              </w:rPr>
            </w:pPr>
          </w:p>
        </w:tc>
        <w:tc>
          <w:tcPr>
            <w:tcW w:w="288" w:type="dxa"/>
            <w:tcBorders>
              <w:bottom w:val="nil"/>
            </w:tcBorders>
          </w:tcPr>
          <w:p w14:paraId="3EA9E78D" w14:textId="77777777" w:rsidR="00F65BCA" w:rsidRDefault="00F65BCA">
            <w:pPr>
              <w:pStyle w:val="TableParagraph"/>
              <w:rPr>
                <w:rFonts w:ascii="Times New Roman"/>
                <w:sz w:val="2"/>
              </w:rPr>
            </w:pPr>
          </w:p>
        </w:tc>
        <w:tc>
          <w:tcPr>
            <w:tcW w:w="288" w:type="dxa"/>
            <w:tcBorders>
              <w:bottom w:val="nil"/>
            </w:tcBorders>
          </w:tcPr>
          <w:p w14:paraId="1724EA56" w14:textId="77777777" w:rsidR="00F65BCA" w:rsidRDefault="00F65BCA">
            <w:pPr>
              <w:pStyle w:val="TableParagraph"/>
              <w:rPr>
                <w:rFonts w:ascii="Times New Roman"/>
                <w:sz w:val="2"/>
              </w:rPr>
            </w:pPr>
          </w:p>
        </w:tc>
      </w:tr>
      <w:tr w:rsidR="00F65BCA" w14:paraId="38C38007" w14:textId="77777777">
        <w:trPr>
          <w:trHeight w:val="34"/>
        </w:trPr>
        <w:tc>
          <w:tcPr>
            <w:tcW w:w="526" w:type="dxa"/>
            <w:vMerge/>
            <w:tcBorders>
              <w:top w:val="nil"/>
            </w:tcBorders>
            <w:shd w:val="clear" w:color="auto" w:fill="FCE4D6"/>
          </w:tcPr>
          <w:p w14:paraId="43449334" w14:textId="77777777" w:rsidR="00F65BCA" w:rsidRDefault="00F65BCA">
            <w:pPr>
              <w:rPr>
                <w:sz w:val="2"/>
                <w:szCs w:val="2"/>
              </w:rPr>
            </w:pPr>
          </w:p>
        </w:tc>
        <w:tc>
          <w:tcPr>
            <w:tcW w:w="732" w:type="dxa"/>
            <w:tcBorders>
              <w:top w:val="nil"/>
              <w:bottom w:val="nil"/>
            </w:tcBorders>
            <w:shd w:val="clear" w:color="auto" w:fill="FCE4D6"/>
          </w:tcPr>
          <w:p w14:paraId="38D0159F" w14:textId="77777777" w:rsidR="00F65BCA" w:rsidRDefault="00F65BCA">
            <w:pPr>
              <w:pStyle w:val="TableParagraph"/>
              <w:rPr>
                <w:rFonts w:ascii="Times New Roman"/>
                <w:sz w:val="2"/>
              </w:rPr>
            </w:pPr>
          </w:p>
        </w:tc>
        <w:tc>
          <w:tcPr>
            <w:tcW w:w="958" w:type="dxa"/>
            <w:gridSpan w:val="2"/>
            <w:tcBorders>
              <w:top w:val="nil"/>
              <w:bottom w:val="nil"/>
            </w:tcBorders>
            <w:shd w:val="clear" w:color="auto" w:fill="FCE4D6"/>
          </w:tcPr>
          <w:p w14:paraId="21DA4589" w14:textId="77777777" w:rsidR="00F65BCA" w:rsidRDefault="00216117">
            <w:pPr>
              <w:pStyle w:val="TableParagraph"/>
              <w:spacing w:line="14" w:lineRule="exact"/>
              <w:ind w:left="4"/>
              <w:rPr>
                <w:sz w:val="3"/>
              </w:rPr>
            </w:pPr>
            <w:r>
              <w:rPr>
                <w:w w:val="105"/>
                <w:sz w:val="3"/>
              </w:rPr>
              <w:t>AVENSIS; AVENSIS KOMBI; AVENSIS VERSO; AVENSIS</w:t>
            </w:r>
          </w:p>
        </w:tc>
        <w:tc>
          <w:tcPr>
            <w:tcW w:w="576" w:type="dxa"/>
            <w:tcBorders>
              <w:top w:val="nil"/>
              <w:bottom w:val="nil"/>
            </w:tcBorders>
            <w:shd w:val="clear" w:color="auto" w:fill="FCE4D6"/>
          </w:tcPr>
          <w:p w14:paraId="4DAA6B44"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1DE1E905" w14:textId="77777777" w:rsidR="00F65BCA" w:rsidRDefault="00F65BCA">
            <w:pPr>
              <w:pStyle w:val="TableParagraph"/>
              <w:rPr>
                <w:rFonts w:ascii="Times New Roman"/>
                <w:sz w:val="2"/>
              </w:rPr>
            </w:pPr>
          </w:p>
        </w:tc>
        <w:tc>
          <w:tcPr>
            <w:tcW w:w="50" w:type="dxa"/>
            <w:vMerge/>
            <w:tcBorders>
              <w:top w:val="nil"/>
              <w:bottom w:val="nil"/>
            </w:tcBorders>
          </w:tcPr>
          <w:p w14:paraId="7EB52C12" w14:textId="77777777" w:rsidR="00F65BCA" w:rsidRDefault="00F65BCA">
            <w:pPr>
              <w:rPr>
                <w:sz w:val="2"/>
                <w:szCs w:val="2"/>
              </w:rPr>
            </w:pPr>
          </w:p>
        </w:tc>
        <w:tc>
          <w:tcPr>
            <w:tcW w:w="288" w:type="dxa"/>
            <w:tcBorders>
              <w:top w:val="nil"/>
              <w:bottom w:val="nil"/>
            </w:tcBorders>
          </w:tcPr>
          <w:p w14:paraId="0768A4C8" w14:textId="77777777" w:rsidR="00F65BCA" w:rsidRDefault="00F65BCA">
            <w:pPr>
              <w:pStyle w:val="TableParagraph"/>
              <w:rPr>
                <w:rFonts w:ascii="Times New Roman"/>
                <w:sz w:val="2"/>
              </w:rPr>
            </w:pPr>
          </w:p>
        </w:tc>
        <w:tc>
          <w:tcPr>
            <w:tcW w:w="288" w:type="dxa"/>
            <w:tcBorders>
              <w:top w:val="nil"/>
              <w:bottom w:val="nil"/>
            </w:tcBorders>
          </w:tcPr>
          <w:p w14:paraId="5486320B" w14:textId="77777777" w:rsidR="00F65BCA" w:rsidRDefault="00F65BCA">
            <w:pPr>
              <w:pStyle w:val="TableParagraph"/>
              <w:rPr>
                <w:rFonts w:ascii="Times New Roman"/>
                <w:sz w:val="2"/>
              </w:rPr>
            </w:pPr>
          </w:p>
        </w:tc>
        <w:tc>
          <w:tcPr>
            <w:tcW w:w="288" w:type="dxa"/>
            <w:tcBorders>
              <w:top w:val="nil"/>
              <w:bottom w:val="nil"/>
            </w:tcBorders>
          </w:tcPr>
          <w:p w14:paraId="3B3AC256" w14:textId="77777777" w:rsidR="00F65BCA" w:rsidRDefault="00F65BCA">
            <w:pPr>
              <w:pStyle w:val="TableParagraph"/>
              <w:rPr>
                <w:rFonts w:ascii="Times New Roman"/>
                <w:sz w:val="2"/>
              </w:rPr>
            </w:pPr>
          </w:p>
        </w:tc>
        <w:tc>
          <w:tcPr>
            <w:tcW w:w="288" w:type="dxa"/>
            <w:tcBorders>
              <w:top w:val="nil"/>
              <w:bottom w:val="nil"/>
            </w:tcBorders>
          </w:tcPr>
          <w:p w14:paraId="583E3E20" w14:textId="77777777" w:rsidR="00F65BCA" w:rsidRDefault="00F65BCA">
            <w:pPr>
              <w:pStyle w:val="TableParagraph"/>
              <w:rPr>
                <w:rFonts w:ascii="Times New Roman"/>
                <w:sz w:val="2"/>
              </w:rPr>
            </w:pPr>
          </w:p>
        </w:tc>
        <w:tc>
          <w:tcPr>
            <w:tcW w:w="288" w:type="dxa"/>
            <w:tcBorders>
              <w:top w:val="nil"/>
              <w:bottom w:val="nil"/>
            </w:tcBorders>
          </w:tcPr>
          <w:p w14:paraId="66E22624" w14:textId="77777777" w:rsidR="00F65BCA" w:rsidRDefault="00F65BCA">
            <w:pPr>
              <w:pStyle w:val="TableParagraph"/>
              <w:rPr>
                <w:rFonts w:ascii="Times New Roman"/>
                <w:sz w:val="2"/>
              </w:rPr>
            </w:pPr>
          </w:p>
        </w:tc>
        <w:tc>
          <w:tcPr>
            <w:tcW w:w="288" w:type="dxa"/>
            <w:tcBorders>
              <w:top w:val="nil"/>
              <w:bottom w:val="nil"/>
            </w:tcBorders>
          </w:tcPr>
          <w:p w14:paraId="0CDE2F17" w14:textId="77777777" w:rsidR="00F65BCA" w:rsidRDefault="00F65BCA">
            <w:pPr>
              <w:pStyle w:val="TableParagraph"/>
              <w:rPr>
                <w:rFonts w:ascii="Times New Roman"/>
                <w:sz w:val="2"/>
              </w:rPr>
            </w:pPr>
          </w:p>
        </w:tc>
        <w:tc>
          <w:tcPr>
            <w:tcW w:w="288" w:type="dxa"/>
            <w:tcBorders>
              <w:top w:val="nil"/>
              <w:bottom w:val="nil"/>
            </w:tcBorders>
          </w:tcPr>
          <w:p w14:paraId="42C12A12" w14:textId="77777777" w:rsidR="00F65BCA" w:rsidRDefault="00F65BCA">
            <w:pPr>
              <w:pStyle w:val="TableParagraph"/>
              <w:rPr>
                <w:rFonts w:ascii="Times New Roman"/>
                <w:sz w:val="2"/>
              </w:rPr>
            </w:pPr>
          </w:p>
        </w:tc>
        <w:tc>
          <w:tcPr>
            <w:tcW w:w="288" w:type="dxa"/>
            <w:tcBorders>
              <w:top w:val="nil"/>
              <w:bottom w:val="nil"/>
            </w:tcBorders>
          </w:tcPr>
          <w:p w14:paraId="0777CE88" w14:textId="77777777" w:rsidR="00F65BCA" w:rsidRDefault="00F65BCA">
            <w:pPr>
              <w:pStyle w:val="TableParagraph"/>
              <w:rPr>
                <w:rFonts w:ascii="Times New Roman"/>
                <w:sz w:val="2"/>
              </w:rPr>
            </w:pPr>
          </w:p>
        </w:tc>
        <w:tc>
          <w:tcPr>
            <w:tcW w:w="288" w:type="dxa"/>
            <w:tcBorders>
              <w:top w:val="nil"/>
              <w:bottom w:val="nil"/>
            </w:tcBorders>
          </w:tcPr>
          <w:p w14:paraId="1A3AF0A7" w14:textId="77777777" w:rsidR="00F65BCA" w:rsidRDefault="00F65BCA">
            <w:pPr>
              <w:pStyle w:val="TableParagraph"/>
              <w:rPr>
                <w:rFonts w:ascii="Times New Roman"/>
                <w:sz w:val="2"/>
              </w:rPr>
            </w:pPr>
          </w:p>
        </w:tc>
        <w:tc>
          <w:tcPr>
            <w:tcW w:w="288" w:type="dxa"/>
            <w:tcBorders>
              <w:top w:val="nil"/>
              <w:bottom w:val="nil"/>
            </w:tcBorders>
          </w:tcPr>
          <w:p w14:paraId="622F07D0" w14:textId="77777777" w:rsidR="00F65BCA" w:rsidRDefault="00F65BCA">
            <w:pPr>
              <w:pStyle w:val="TableParagraph"/>
              <w:rPr>
                <w:rFonts w:ascii="Times New Roman"/>
                <w:sz w:val="2"/>
              </w:rPr>
            </w:pPr>
          </w:p>
        </w:tc>
        <w:tc>
          <w:tcPr>
            <w:tcW w:w="288" w:type="dxa"/>
            <w:tcBorders>
              <w:top w:val="nil"/>
              <w:bottom w:val="nil"/>
            </w:tcBorders>
          </w:tcPr>
          <w:p w14:paraId="414BABE7" w14:textId="77777777" w:rsidR="00F65BCA" w:rsidRDefault="00F65BCA">
            <w:pPr>
              <w:pStyle w:val="TableParagraph"/>
              <w:rPr>
                <w:rFonts w:ascii="Times New Roman"/>
                <w:sz w:val="2"/>
              </w:rPr>
            </w:pPr>
          </w:p>
        </w:tc>
        <w:tc>
          <w:tcPr>
            <w:tcW w:w="288" w:type="dxa"/>
            <w:tcBorders>
              <w:top w:val="nil"/>
              <w:bottom w:val="nil"/>
            </w:tcBorders>
          </w:tcPr>
          <w:p w14:paraId="0F0E81A1" w14:textId="77777777" w:rsidR="00F65BCA" w:rsidRDefault="00F65BCA">
            <w:pPr>
              <w:pStyle w:val="TableParagraph"/>
              <w:rPr>
                <w:rFonts w:ascii="Times New Roman"/>
                <w:sz w:val="2"/>
              </w:rPr>
            </w:pPr>
          </w:p>
        </w:tc>
        <w:tc>
          <w:tcPr>
            <w:tcW w:w="288" w:type="dxa"/>
            <w:tcBorders>
              <w:top w:val="nil"/>
              <w:bottom w:val="nil"/>
            </w:tcBorders>
          </w:tcPr>
          <w:p w14:paraId="3A8FC69E" w14:textId="77777777" w:rsidR="00F65BCA" w:rsidRDefault="00F65BCA">
            <w:pPr>
              <w:pStyle w:val="TableParagraph"/>
              <w:rPr>
                <w:rFonts w:ascii="Times New Roman"/>
                <w:sz w:val="2"/>
              </w:rPr>
            </w:pPr>
          </w:p>
        </w:tc>
      </w:tr>
      <w:tr w:rsidR="00F65BCA" w14:paraId="72476BB5" w14:textId="77777777">
        <w:trPr>
          <w:trHeight w:val="34"/>
        </w:trPr>
        <w:tc>
          <w:tcPr>
            <w:tcW w:w="526" w:type="dxa"/>
            <w:vMerge/>
            <w:tcBorders>
              <w:top w:val="nil"/>
            </w:tcBorders>
            <w:shd w:val="clear" w:color="auto" w:fill="FCE4D6"/>
          </w:tcPr>
          <w:p w14:paraId="3F136436" w14:textId="77777777" w:rsidR="00F65BCA" w:rsidRDefault="00F65BCA">
            <w:pPr>
              <w:rPr>
                <w:sz w:val="2"/>
                <w:szCs w:val="2"/>
              </w:rPr>
            </w:pPr>
          </w:p>
        </w:tc>
        <w:tc>
          <w:tcPr>
            <w:tcW w:w="732" w:type="dxa"/>
            <w:tcBorders>
              <w:top w:val="nil"/>
              <w:bottom w:val="nil"/>
            </w:tcBorders>
            <w:shd w:val="clear" w:color="auto" w:fill="FCE4D6"/>
          </w:tcPr>
          <w:p w14:paraId="65F83306" w14:textId="77777777" w:rsidR="00F65BCA" w:rsidRDefault="00F65BCA">
            <w:pPr>
              <w:pStyle w:val="TableParagraph"/>
              <w:rPr>
                <w:rFonts w:ascii="Times New Roman"/>
                <w:sz w:val="2"/>
              </w:rPr>
            </w:pPr>
          </w:p>
        </w:tc>
        <w:tc>
          <w:tcPr>
            <w:tcW w:w="958" w:type="dxa"/>
            <w:gridSpan w:val="2"/>
            <w:tcBorders>
              <w:top w:val="nil"/>
              <w:bottom w:val="nil"/>
            </w:tcBorders>
            <w:shd w:val="clear" w:color="auto" w:fill="FCE4D6"/>
          </w:tcPr>
          <w:p w14:paraId="7DCA4AFD" w14:textId="77777777" w:rsidR="00F65BCA" w:rsidRDefault="00216117">
            <w:pPr>
              <w:pStyle w:val="TableParagraph"/>
              <w:spacing w:before="1" w:line="13" w:lineRule="exact"/>
              <w:ind w:left="4"/>
              <w:rPr>
                <w:sz w:val="3"/>
              </w:rPr>
            </w:pPr>
            <w:r>
              <w:rPr>
                <w:w w:val="105"/>
                <w:sz w:val="3"/>
              </w:rPr>
              <w:t>WAGON; AYGO; CAMRY; CAMRY WAGON; CARINA; CARINA E;</w:t>
            </w:r>
          </w:p>
        </w:tc>
        <w:tc>
          <w:tcPr>
            <w:tcW w:w="576" w:type="dxa"/>
            <w:tcBorders>
              <w:top w:val="nil"/>
              <w:bottom w:val="nil"/>
            </w:tcBorders>
            <w:shd w:val="clear" w:color="auto" w:fill="FCE4D6"/>
          </w:tcPr>
          <w:p w14:paraId="54ABB5A2" w14:textId="77777777" w:rsidR="00F65BCA" w:rsidRDefault="00216117">
            <w:pPr>
              <w:pStyle w:val="TableParagraph"/>
              <w:spacing w:line="15" w:lineRule="exact"/>
              <w:ind w:left="129" w:right="127"/>
              <w:jc w:val="center"/>
              <w:rPr>
                <w:sz w:val="3"/>
              </w:rPr>
            </w:pPr>
            <w:r>
              <w:rPr>
                <w:w w:val="105"/>
                <w:sz w:val="3"/>
              </w:rPr>
              <w:t>0-1000 ccm</w:t>
            </w:r>
          </w:p>
        </w:tc>
        <w:tc>
          <w:tcPr>
            <w:tcW w:w="576" w:type="dxa"/>
            <w:tcBorders>
              <w:top w:val="nil"/>
              <w:bottom w:val="nil"/>
            </w:tcBorders>
            <w:shd w:val="clear" w:color="auto" w:fill="FCE4D6"/>
          </w:tcPr>
          <w:p w14:paraId="5A63ED14" w14:textId="77777777" w:rsidR="00F65BCA" w:rsidRDefault="00216117">
            <w:pPr>
              <w:pStyle w:val="TableParagraph"/>
              <w:spacing w:line="15" w:lineRule="exact"/>
              <w:ind w:left="3"/>
              <w:jc w:val="center"/>
              <w:rPr>
                <w:sz w:val="3"/>
              </w:rPr>
            </w:pPr>
            <w:r>
              <w:rPr>
                <w:w w:val="103"/>
                <w:sz w:val="3"/>
              </w:rPr>
              <w:t>-</w:t>
            </w:r>
          </w:p>
        </w:tc>
        <w:tc>
          <w:tcPr>
            <w:tcW w:w="50" w:type="dxa"/>
            <w:vMerge/>
            <w:tcBorders>
              <w:top w:val="nil"/>
              <w:bottom w:val="nil"/>
            </w:tcBorders>
          </w:tcPr>
          <w:p w14:paraId="468B0151" w14:textId="77777777" w:rsidR="00F65BCA" w:rsidRDefault="00F65BCA">
            <w:pPr>
              <w:rPr>
                <w:sz w:val="2"/>
                <w:szCs w:val="2"/>
              </w:rPr>
            </w:pPr>
          </w:p>
        </w:tc>
        <w:tc>
          <w:tcPr>
            <w:tcW w:w="288" w:type="dxa"/>
            <w:tcBorders>
              <w:top w:val="nil"/>
              <w:bottom w:val="nil"/>
            </w:tcBorders>
          </w:tcPr>
          <w:p w14:paraId="5DBE4D3A" w14:textId="77777777" w:rsidR="00F65BCA" w:rsidRDefault="00216117">
            <w:pPr>
              <w:pStyle w:val="TableParagraph"/>
              <w:spacing w:line="15" w:lineRule="exact"/>
              <w:ind w:left="24" w:right="24"/>
              <w:jc w:val="center"/>
              <w:rPr>
                <w:sz w:val="3"/>
              </w:rPr>
            </w:pPr>
            <w:r>
              <w:rPr>
                <w:w w:val="105"/>
                <w:sz w:val="3"/>
              </w:rPr>
              <w:t>1,24041466%</w:t>
            </w:r>
          </w:p>
        </w:tc>
        <w:tc>
          <w:tcPr>
            <w:tcW w:w="288" w:type="dxa"/>
            <w:tcBorders>
              <w:top w:val="nil"/>
              <w:bottom w:val="nil"/>
            </w:tcBorders>
          </w:tcPr>
          <w:p w14:paraId="68A58AE0" w14:textId="77777777" w:rsidR="00F65BCA" w:rsidRDefault="00216117">
            <w:pPr>
              <w:pStyle w:val="TableParagraph"/>
              <w:spacing w:line="15" w:lineRule="exact"/>
              <w:ind w:left="24" w:right="24"/>
              <w:jc w:val="center"/>
              <w:rPr>
                <w:sz w:val="3"/>
              </w:rPr>
            </w:pPr>
            <w:r>
              <w:rPr>
                <w:w w:val="105"/>
                <w:sz w:val="3"/>
              </w:rPr>
              <w:t>1,16288874%</w:t>
            </w:r>
          </w:p>
        </w:tc>
        <w:tc>
          <w:tcPr>
            <w:tcW w:w="288" w:type="dxa"/>
            <w:tcBorders>
              <w:top w:val="nil"/>
              <w:bottom w:val="nil"/>
            </w:tcBorders>
          </w:tcPr>
          <w:p w14:paraId="31CDA74A" w14:textId="77777777" w:rsidR="00F65BCA" w:rsidRDefault="00216117">
            <w:pPr>
              <w:pStyle w:val="TableParagraph"/>
              <w:spacing w:line="15" w:lineRule="exact"/>
              <w:ind w:left="47"/>
              <w:rPr>
                <w:sz w:val="3"/>
              </w:rPr>
            </w:pPr>
            <w:r>
              <w:rPr>
                <w:w w:val="105"/>
                <w:sz w:val="3"/>
              </w:rPr>
              <w:t>1,10862060%</w:t>
            </w:r>
          </w:p>
        </w:tc>
        <w:tc>
          <w:tcPr>
            <w:tcW w:w="288" w:type="dxa"/>
            <w:tcBorders>
              <w:top w:val="nil"/>
              <w:bottom w:val="nil"/>
            </w:tcBorders>
          </w:tcPr>
          <w:p w14:paraId="39979BA6" w14:textId="77777777" w:rsidR="00F65BCA" w:rsidRDefault="00216117">
            <w:pPr>
              <w:pStyle w:val="TableParagraph"/>
              <w:spacing w:line="15" w:lineRule="exact"/>
              <w:ind w:left="24" w:right="24"/>
              <w:jc w:val="center"/>
              <w:rPr>
                <w:sz w:val="3"/>
              </w:rPr>
            </w:pPr>
            <w:r>
              <w:rPr>
                <w:w w:val="105"/>
                <w:sz w:val="3"/>
              </w:rPr>
              <w:t>1,04659987%</w:t>
            </w:r>
          </w:p>
        </w:tc>
        <w:tc>
          <w:tcPr>
            <w:tcW w:w="288" w:type="dxa"/>
            <w:tcBorders>
              <w:top w:val="nil"/>
              <w:bottom w:val="nil"/>
            </w:tcBorders>
          </w:tcPr>
          <w:p w14:paraId="083AFA03" w14:textId="77777777" w:rsidR="00F65BCA" w:rsidRDefault="00216117">
            <w:pPr>
              <w:pStyle w:val="TableParagraph"/>
              <w:spacing w:line="15" w:lineRule="exact"/>
              <w:ind w:left="47"/>
              <w:rPr>
                <w:sz w:val="3"/>
              </w:rPr>
            </w:pPr>
            <w:r>
              <w:rPr>
                <w:w w:val="105"/>
                <w:sz w:val="3"/>
              </w:rPr>
              <w:t>0,99233172%</w:t>
            </w:r>
          </w:p>
        </w:tc>
        <w:tc>
          <w:tcPr>
            <w:tcW w:w="288" w:type="dxa"/>
            <w:tcBorders>
              <w:top w:val="nil"/>
              <w:bottom w:val="nil"/>
            </w:tcBorders>
          </w:tcPr>
          <w:p w14:paraId="5995FC3C" w14:textId="77777777" w:rsidR="00F65BCA" w:rsidRDefault="00216117">
            <w:pPr>
              <w:pStyle w:val="TableParagraph"/>
              <w:spacing w:line="15" w:lineRule="exact"/>
              <w:ind w:left="24" w:right="24"/>
              <w:jc w:val="center"/>
              <w:rPr>
                <w:sz w:val="3"/>
              </w:rPr>
            </w:pPr>
            <w:r>
              <w:rPr>
                <w:w w:val="105"/>
                <w:sz w:val="3"/>
              </w:rPr>
              <w:t>0,92255840%</w:t>
            </w:r>
          </w:p>
        </w:tc>
        <w:tc>
          <w:tcPr>
            <w:tcW w:w="288" w:type="dxa"/>
            <w:tcBorders>
              <w:top w:val="nil"/>
              <w:bottom w:val="nil"/>
            </w:tcBorders>
          </w:tcPr>
          <w:p w14:paraId="69FA7E02" w14:textId="77777777" w:rsidR="00F65BCA" w:rsidRDefault="00216117">
            <w:pPr>
              <w:pStyle w:val="TableParagraph"/>
              <w:spacing w:line="15" w:lineRule="exact"/>
              <w:ind w:left="24" w:right="24"/>
              <w:jc w:val="center"/>
              <w:rPr>
                <w:sz w:val="3"/>
              </w:rPr>
            </w:pPr>
            <w:r>
              <w:rPr>
                <w:w w:val="105"/>
                <w:sz w:val="3"/>
              </w:rPr>
              <w:t>0,85278508%</w:t>
            </w:r>
          </w:p>
        </w:tc>
        <w:tc>
          <w:tcPr>
            <w:tcW w:w="288" w:type="dxa"/>
            <w:tcBorders>
              <w:top w:val="nil"/>
              <w:bottom w:val="nil"/>
            </w:tcBorders>
          </w:tcPr>
          <w:p w14:paraId="49C1085D" w14:textId="77777777" w:rsidR="00F65BCA" w:rsidRDefault="00216117">
            <w:pPr>
              <w:pStyle w:val="TableParagraph"/>
              <w:spacing w:line="15" w:lineRule="exact"/>
              <w:ind w:left="47"/>
              <w:rPr>
                <w:sz w:val="3"/>
              </w:rPr>
            </w:pPr>
            <w:r>
              <w:rPr>
                <w:w w:val="105"/>
                <w:sz w:val="3"/>
              </w:rPr>
              <w:t>0,77525916%</w:t>
            </w:r>
          </w:p>
        </w:tc>
        <w:tc>
          <w:tcPr>
            <w:tcW w:w="288" w:type="dxa"/>
            <w:tcBorders>
              <w:top w:val="nil"/>
              <w:bottom w:val="nil"/>
            </w:tcBorders>
          </w:tcPr>
          <w:p w14:paraId="0D6AB85F" w14:textId="77777777" w:rsidR="00F65BCA" w:rsidRDefault="00216117">
            <w:pPr>
              <w:pStyle w:val="TableParagraph"/>
              <w:spacing w:line="15" w:lineRule="exact"/>
              <w:ind w:left="24" w:right="24"/>
              <w:jc w:val="center"/>
              <w:rPr>
                <w:sz w:val="3"/>
              </w:rPr>
            </w:pPr>
            <w:r>
              <w:rPr>
                <w:w w:val="105"/>
                <w:sz w:val="3"/>
              </w:rPr>
              <w:t>0,77525916%</w:t>
            </w:r>
          </w:p>
        </w:tc>
        <w:tc>
          <w:tcPr>
            <w:tcW w:w="288" w:type="dxa"/>
            <w:tcBorders>
              <w:top w:val="nil"/>
              <w:bottom w:val="nil"/>
            </w:tcBorders>
          </w:tcPr>
          <w:p w14:paraId="522FCD28" w14:textId="77777777" w:rsidR="00F65BCA" w:rsidRDefault="00216117">
            <w:pPr>
              <w:pStyle w:val="TableParagraph"/>
              <w:spacing w:line="15" w:lineRule="exact"/>
              <w:ind w:left="24" w:right="24"/>
              <w:jc w:val="center"/>
              <w:rPr>
                <w:sz w:val="3"/>
              </w:rPr>
            </w:pPr>
            <w:r>
              <w:rPr>
                <w:w w:val="105"/>
                <w:sz w:val="3"/>
              </w:rPr>
              <w:t>0,93031099%</w:t>
            </w:r>
          </w:p>
        </w:tc>
        <w:tc>
          <w:tcPr>
            <w:tcW w:w="288" w:type="dxa"/>
            <w:tcBorders>
              <w:top w:val="nil"/>
              <w:bottom w:val="nil"/>
            </w:tcBorders>
          </w:tcPr>
          <w:p w14:paraId="0EDE5DA9" w14:textId="77777777" w:rsidR="00F65BCA" w:rsidRDefault="00216117">
            <w:pPr>
              <w:pStyle w:val="TableParagraph"/>
              <w:spacing w:line="15" w:lineRule="exact"/>
              <w:ind w:left="24" w:right="24"/>
              <w:jc w:val="center"/>
              <w:rPr>
                <w:sz w:val="3"/>
              </w:rPr>
            </w:pPr>
            <w:r>
              <w:rPr>
                <w:w w:val="105"/>
                <w:sz w:val="3"/>
              </w:rPr>
              <w:t>1,04659987%</w:t>
            </w:r>
          </w:p>
        </w:tc>
        <w:tc>
          <w:tcPr>
            <w:tcW w:w="288" w:type="dxa"/>
            <w:tcBorders>
              <w:top w:val="nil"/>
              <w:bottom w:val="nil"/>
            </w:tcBorders>
          </w:tcPr>
          <w:p w14:paraId="03BBE5FA" w14:textId="77777777" w:rsidR="00F65BCA" w:rsidRDefault="00216117">
            <w:pPr>
              <w:pStyle w:val="TableParagraph"/>
              <w:spacing w:line="15" w:lineRule="exact"/>
              <w:ind w:left="24" w:right="24"/>
              <w:jc w:val="center"/>
              <w:rPr>
                <w:sz w:val="3"/>
              </w:rPr>
            </w:pPr>
            <w:r>
              <w:rPr>
                <w:w w:val="105"/>
                <w:sz w:val="3"/>
              </w:rPr>
              <w:t>1,04659987%</w:t>
            </w:r>
          </w:p>
        </w:tc>
        <w:tc>
          <w:tcPr>
            <w:tcW w:w="288" w:type="dxa"/>
            <w:tcBorders>
              <w:top w:val="nil"/>
              <w:bottom w:val="nil"/>
            </w:tcBorders>
          </w:tcPr>
          <w:p w14:paraId="5A726988" w14:textId="77777777" w:rsidR="00F65BCA" w:rsidRDefault="00216117">
            <w:pPr>
              <w:pStyle w:val="TableParagraph"/>
              <w:spacing w:line="15" w:lineRule="exact"/>
              <w:ind w:left="47"/>
              <w:rPr>
                <w:sz w:val="3"/>
              </w:rPr>
            </w:pPr>
            <w:r>
              <w:rPr>
                <w:w w:val="105"/>
                <w:sz w:val="3"/>
              </w:rPr>
              <w:t>1,16288874%</w:t>
            </w:r>
          </w:p>
        </w:tc>
      </w:tr>
      <w:tr w:rsidR="00F65BCA" w14:paraId="538E2C98" w14:textId="77777777">
        <w:trPr>
          <w:trHeight w:val="38"/>
        </w:trPr>
        <w:tc>
          <w:tcPr>
            <w:tcW w:w="526" w:type="dxa"/>
            <w:vMerge/>
            <w:tcBorders>
              <w:top w:val="nil"/>
            </w:tcBorders>
            <w:shd w:val="clear" w:color="auto" w:fill="FCE4D6"/>
          </w:tcPr>
          <w:p w14:paraId="38FBEEC6" w14:textId="77777777" w:rsidR="00F65BCA" w:rsidRDefault="00F65BCA">
            <w:pPr>
              <w:rPr>
                <w:sz w:val="2"/>
                <w:szCs w:val="2"/>
              </w:rPr>
            </w:pPr>
          </w:p>
        </w:tc>
        <w:tc>
          <w:tcPr>
            <w:tcW w:w="732" w:type="dxa"/>
            <w:tcBorders>
              <w:top w:val="nil"/>
              <w:bottom w:val="nil"/>
            </w:tcBorders>
            <w:shd w:val="clear" w:color="auto" w:fill="FCE4D6"/>
          </w:tcPr>
          <w:p w14:paraId="3403EAB0" w14:textId="77777777" w:rsidR="00F65BCA" w:rsidRDefault="00216117">
            <w:pPr>
              <w:pStyle w:val="TableParagraph"/>
              <w:spacing w:line="18" w:lineRule="exact"/>
              <w:ind w:left="18" w:right="14"/>
              <w:jc w:val="center"/>
              <w:rPr>
                <w:sz w:val="3"/>
              </w:rPr>
            </w:pPr>
            <w:r>
              <w:rPr>
                <w:w w:val="105"/>
                <w:sz w:val="3"/>
              </w:rPr>
              <w:t>Toyota</w:t>
            </w:r>
          </w:p>
        </w:tc>
        <w:tc>
          <w:tcPr>
            <w:tcW w:w="958" w:type="dxa"/>
            <w:gridSpan w:val="2"/>
            <w:tcBorders>
              <w:top w:val="nil"/>
              <w:bottom w:val="nil"/>
            </w:tcBorders>
            <w:shd w:val="clear" w:color="auto" w:fill="FCE4D6"/>
          </w:tcPr>
          <w:p w14:paraId="154F23BA" w14:textId="77777777" w:rsidR="00F65BCA" w:rsidRDefault="00216117">
            <w:pPr>
              <w:pStyle w:val="TableParagraph"/>
              <w:spacing w:before="3" w:line="15" w:lineRule="exact"/>
              <w:ind w:left="4"/>
              <w:rPr>
                <w:sz w:val="3"/>
              </w:rPr>
            </w:pPr>
            <w:r>
              <w:rPr>
                <w:w w:val="105"/>
                <w:sz w:val="3"/>
              </w:rPr>
              <w:t>CARINA</w:t>
            </w:r>
            <w:r>
              <w:rPr>
                <w:spacing w:val="-3"/>
                <w:w w:val="105"/>
                <w:sz w:val="3"/>
              </w:rPr>
              <w:t xml:space="preserve"> </w:t>
            </w:r>
            <w:r>
              <w:rPr>
                <w:w w:val="105"/>
                <w:sz w:val="3"/>
              </w:rPr>
              <w:t>E</w:t>
            </w:r>
            <w:r>
              <w:rPr>
                <w:spacing w:val="-2"/>
                <w:w w:val="105"/>
                <w:sz w:val="3"/>
              </w:rPr>
              <w:t xml:space="preserve"> </w:t>
            </w:r>
            <w:r>
              <w:rPr>
                <w:w w:val="105"/>
                <w:sz w:val="3"/>
              </w:rPr>
              <w:t>WAGON;</w:t>
            </w:r>
            <w:r>
              <w:rPr>
                <w:spacing w:val="-3"/>
                <w:w w:val="105"/>
                <w:sz w:val="3"/>
              </w:rPr>
              <w:t xml:space="preserve"> </w:t>
            </w:r>
            <w:r>
              <w:rPr>
                <w:w w:val="105"/>
                <w:sz w:val="3"/>
              </w:rPr>
              <w:t>CARINA</w:t>
            </w:r>
            <w:r>
              <w:rPr>
                <w:spacing w:val="-3"/>
                <w:w w:val="105"/>
                <w:sz w:val="3"/>
              </w:rPr>
              <w:t xml:space="preserve"> </w:t>
            </w:r>
            <w:r>
              <w:rPr>
                <w:w w:val="105"/>
                <w:sz w:val="3"/>
              </w:rPr>
              <w:t>WAGON;</w:t>
            </w:r>
            <w:r>
              <w:rPr>
                <w:spacing w:val="-2"/>
                <w:w w:val="105"/>
                <w:sz w:val="3"/>
              </w:rPr>
              <w:t xml:space="preserve"> </w:t>
            </w:r>
            <w:r>
              <w:rPr>
                <w:w w:val="105"/>
                <w:sz w:val="3"/>
              </w:rPr>
              <w:t>CELICA;</w:t>
            </w:r>
            <w:r>
              <w:rPr>
                <w:spacing w:val="-3"/>
                <w:w w:val="105"/>
                <w:sz w:val="3"/>
              </w:rPr>
              <w:t xml:space="preserve"> </w:t>
            </w:r>
            <w:r>
              <w:rPr>
                <w:w w:val="105"/>
                <w:sz w:val="3"/>
              </w:rPr>
              <w:t>C-HR;</w:t>
            </w:r>
            <w:r>
              <w:rPr>
                <w:spacing w:val="-2"/>
                <w:w w:val="105"/>
                <w:sz w:val="3"/>
              </w:rPr>
              <w:t xml:space="preserve"> </w:t>
            </w:r>
            <w:r>
              <w:rPr>
                <w:w w:val="105"/>
                <w:sz w:val="3"/>
              </w:rPr>
              <w:t>COROLLA;</w:t>
            </w:r>
          </w:p>
        </w:tc>
        <w:tc>
          <w:tcPr>
            <w:tcW w:w="576" w:type="dxa"/>
            <w:tcBorders>
              <w:top w:val="nil"/>
              <w:bottom w:val="nil"/>
            </w:tcBorders>
            <w:shd w:val="clear" w:color="auto" w:fill="FCE4D6"/>
          </w:tcPr>
          <w:p w14:paraId="181A5C7B"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465AA038" w14:textId="77777777" w:rsidR="00F65BCA" w:rsidRDefault="00F65BCA">
            <w:pPr>
              <w:pStyle w:val="TableParagraph"/>
              <w:rPr>
                <w:rFonts w:ascii="Times New Roman"/>
                <w:sz w:val="2"/>
              </w:rPr>
            </w:pPr>
          </w:p>
        </w:tc>
        <w:tc>
          <w:tcPr>
            <w:tcW w:w="50" w:type="dxa"/>
            <w:vMerge/>
            <w:tcBorders>
              <w:top w:val="nil"/>
              <w:bottom w:val="nil"/>
            </w:tcBorders>
          </w:tcPr>
          <w:p w14:paraId="1DC14D67" w14:textId="77777777" w:rsidR="00F65BCA" w:rsidRDefault="00F65BCA">
            <w:pPr>
              <w:rPr>
                <w:sz w:val="2"/>
                <w:szCs w:val="2"/>
              </w:rPr>
            </w:pPr>
          </w:p>
        </w:tc>
        <w:tc>
          <w:tcPr>
            <w:tcW w:w="288" w:type="dxa"/>
            <w:tcBorders>
              <w:top w:val="nil"/>
              <w:bottom w:val="nil"/>
            </w:tcBorders>
          </w:tcPr>
          <w:p w14:paraId="1BC31FB8" w14:textId="77777777" w:rsidR="00F65BCA" w:rsidRDefault="00F65BCA">
            <w:pPr>
              <w:pStyle w:val="TableParagraph"/>
              <w:rPr>
                <w:rFonts w:ascii="Times New Roman"/>
                <w:sz w:val="2"/>
              </w:rPr>
            </w:pPr>
          </w:p>
        </w:tc>
        <w:tc>
          <w:tcPr>
            <w:tcW w:w="288" w:type="dxa"/>
            <w:tcBorders>
              <w:top w:val="nil"/>
              <w:bottom w:val="nil"/>
            </w:tcBorders>
          </w:tcPr>
          <w:p w14:paraId="27A48B45" w14:textId="77777777" w:rsidR="00F65BCA" w:rsidRDefault="00F65BCA">
            <w:pPr>
              <w:pStyle w:val="TableParagraph"/>
              <w:rPr>
                <w:rFonts w:ascii="Times New Roman"/>
                <w:sz w:val="2"/>
              </w:rPr>
            </w:pPr>
          </w:p>
        </w:tc>
        <w:tc>
          <w:tcPr>
            <w:tcW w:w="288" w:type="dxa"/>
            <w:tcBorders>
              <w:top w:val="nil"/>
              <w:bottom w:val="nil"/>
            </w:tcBorders>
          </w:tcPr>
          <w:p w14:paraId="6E7F9D19" w14:textId="77777777" w:rsidR="00F65BCA" w:rsidRDefault="00F65BCA">
            <w:pPr>
              <w:pStyle w:val="TableParagraph"/>
              <w:rPr>
                <w:rFonts w:ascii="Times New Roman"/>
                <w:sz w:val="2"/>
              </w:rPr>
            </w:pPr>
          </w:p>
        </w:tc>
        <w:tc>
          <w:tcPr>
            <w:tcW w:w="288" w:type="dxa"/>
            <w:tcBorders>
              <w:top w:val="nil"/>
              <w:bottom w:val="nil"/>
            </w:tcBorders>
          </w:tcPr>
          <w:p w14:paraId="30BAA96A" w14:textId="77777777" w:rsidR="00F65BCA" w:rsidRDefault="00F65BCA">
            <w:pPr>
              <w:pStyle w:val="TableParagraph"/>
              <w:rPr>
                <w:rFonts w:ascii="Times New Roman"/>
                <w:sz w:val="2"/>
              </w:rPr>
            </w:pPr>
          </w:p>
        </w:tc>
        <w:tc>
          <w:tcPr>
            <w:tcW w:w="288" w:type="dxa"/>
            <w:tcBorders>
              <w:top w:val="nil"/>
              <w:bottom w:val="nil"/>
            </w:tcBorders>
          </w:tcPr>
          <w:p w14:paraId="04021F8D" w14:textId="77777777" w:rsidR="00F65BCA" w:rsidRDefault="00F65BCA">
            <w:pPr>
              <w:pStyle w:val="TableParagraph"/>
              <w:rPr>
                <w:rFonts w:ascii="Times New Roman"/>
                <w:sz w:val="2"/>
              </w:rPr>
            </w:pPr>
          </w:p>
        </w:tc>
        <w:tc>
          <w:tcPr>
            <w:tcW w:w="288" w:type="dxa"/>
            <w:tcBorders>
              <w:top w:val="nil"/>
              <w:bottom w:val="nil"/>
            </w:tcBorders>
          </w:tcPr>
          <w:p w14:paraId="6081281B" w14:textId="77777777" w:rsidR="00F65BCA" w:rsidRDefault="00F65BCA">
            <w:pPr>
              <w:pStyle w:val="TableParagraph"/>
              <w:rPr>
                <w:rFonts w:ascii="Times New Roman"/>
                <w:sz w:val="2"/>
              </w:rPr>
            </w:pPr>
          </w:p>
        </w:tc>
        <w:tc>
          <w:tcPr>
            <w:tcW w:w="288" w:type="dxa"/>
            <w:tcBorders>
              <w:top w:val="nil"/>
              <w:bottom w:val="nil"/>
            </w:tcBorders>
          </w:tcPr>
          <w:p w14:paraId="55EC8360" w14:textId="77777777" w:rsidR="00F65BCA" w:rsidRDefault="00F65BCA">
            <w:pPr>
              <w:pStyle w:val="TableParagraph"/>
              <w:rPr>
                <w:rFonts w:ascii="Times New Roman"/>
                <w:sz w:val="2"/>
              </w:rPr>
            </w:pPr>
          </w:p>
        </w:tc>
        <w:tc>
          <w:tcPr>
            <w:tcW w:w="288" w:type="dxa"/>
            <w:tcBorders>
              <w:top w:val="nil"/>
              <w:bottom w:val="nil"/>
            </w:tcBorders>
          </w:tcPr>
          <w:p w14:paraId="6D78E578" w14:textId="77777777" w:rsidR="00F65BCA" w:rsidRDefault="00F65BCA">
            <w:pPr>
              <w:pStyle w:val="TableParagraph"/>
              <w:rPr>
                <w:rFonts w:ascii="Times New Roman"/>
                <w:sz w:val="2"/>
              </w:rPr>
            </w:pPr>
          </w:p>
        </w:tc>
        <w:tc>
          <w:tcPr>
            <w:tcW w:w="288" w:type="dxa"/>
            <w:tcBorders>
              <w:top w:val="nil"/>
              <w:bottom w:val="nil"/>
            </w:tcBorders>
          </w:tcPr>
          <w:p w14:paraId="52082680" w14:textId="77777777" w:rsidR="00F65BCA" w:rsidRDefault="00F65BCA">
            <w:pPr>
              <w:pStyle w:val="TableParagraph"/>
              <w:rPr>
                <w:rFonts w:ascii="Times New Roman"/>
                <w:sz w:val="2"/>
              </w:rPr>
            </w:pPr>
          </w:p>
        </w:tc>
        <w:tc>
          <w:tcPr>
            <w:tcW w:w="288" w:type="dxa"/>
            <w:tcBorders>
              <w:top w:val="nil"/>
              <w:bottom w:val="nil"/>
            </w:tcBorders>
          </w:tcPr>
          <w:p w14:paraId="1DB9EAB9" w14:textId="77777777" w:rsidR="00F65BCA" w:rsidRDefault="00F65BCA">
            <w:pPr>
              <w:pStyle w:val="TableParagraph"/>
              <w:rPr>
                <w:rFonts w:ascii="Times New Roman"/>
                <w:sz w:val="2"/>
              </w:rPr>
            </w:pPr>
          </w:p>
        </w:tc>
        <w:tc>
          <w:tcPr>
            <w:tcW w:w="288" w:type="dxa"/>
            <w:tcBorders>
              <w:top w:val="nil"/>
              <w:bottom w:val="nil"/>
            </w:tcBorders>
          </w:tcPr>
          <w:p w14:paraId="006E761B" w14:textId="77777777" w:rsidR="00F65BCA" w:rsidRDefault="00F65BCA">
            <w:pPr>
              <w:pStyle w:val="TableParagraph"/>
              <w:rPr>
                <w:rFonts w:ascii="Times New Roman"/>
                <w:sz w:val="2"/>
              </w:rPr>
            </w:pPr>
          </w:p>
        </w:tc>
        <w:tc>
          <w:tcPr>
            <w:tcW w:w="288" w:type="dxa"/>
            <w:tcBorders>
              <w:top w:val="nil"/>
              <w:bottom w:val="nil"/>
            </w:tcBorders>
          </w:tcPr>
          <w:p w14:paraId="28B59472" w14:textId="77777777" w:rsidR="00F65BCA" w:rsidRDefault="00F65BCA">
            <w:pPr>
              <w:pStyle w:val="TableParagraph"/>
              <w:rPr>
                <w:rFonts w:ascii="Times New Roman"/>
                <w:sz w:val="2"/>
              </w:rPr>
            </w:pPr>
          </w:p>
        </w:tc>
        <w:tc>
          <w:tcPr>
            <w:tcW w:w="288" w:type="dxa"/>
            <w:tcBorders>
              <w:top w:val="nil"/>
              <w:bottom w:val="nil"/>
            </w:tcBorders>
          </w:tcPr>
          <w:p w14:paraId="590C9A74" w14:textId="77777777" w:rsidR="00F65BCA" w:rsidRDefault="00F65BCA">
            <w:pPr>
              <w:pStyle w:val="TableParagraph"/>
              <w:rPr>
                <w:rFonts w:ascii="Times New Roman"/>
                <w:sz w:val="2"/>
              </w:rPr>
            </w:pPr>
          </w:p>
        </w:tc>
      </w:tr>
      <w:tr w:rsidR="00F65BCA" w14:paraId="4969B6BF" w14:textId="77777777">
        <w:trPr>
          <w:trHeight w:val="35"/>
        </w:trPr>
        <w:tc>
          <w:tcPr>
            <w:tcW w:w="526" w:type="dxa"/>
            <w:vMerge/>
            <w:tcBorders>
              <w:top w:val="nil"/>
            </w:tcBorders>
            <w:shd w:val="clear" w:color="auto" w:fill="FCE4D6"/>
          </w:tcPr>
          <w:p w14:paraId="10519A4A" w14:textId="77777777" w:rsidR="00F65BCA" w:rsidRDefault="00F65BCA">
            <w:pPr>
              <w:rPr>
                <w:sz w:val="2"/>
                <w:szCs w:val="2"/>
              </w:rPr>
            </w:pPr>
          </w:p>
        </w:tc>
        <w:tc>
          <w:tcPr>
            <w:tcW w:w="732" w:type="dxa"/>
            <w:tcBorders>
              <w:top w:val="nil"/>
              <w:bottom w:val="nil"/>
            </w:tcBorders>
            <w:shd w:val="clear" w:color="auto" w:fill="FCE4D6"/>
          </w:tcPr>
          <w:p w14:paraId="2598BEE8" w14:textId="77777777" w:rsidR="00F65BCA" w:rsidRDefault="00F65BCA">
            <w:pPr>
              <w:pStyle w:val="TableParagraph"/>
              <w:rPr>
                <w:rFonts w:ascii="Times New Roman"/>
                <w:sz w:val="2"/>
              </w:rPr>
            </w:pPr>
          </w:p>
        </w:tc>
        <w:tc>
          <w:tcPr>
            <w:tcW w:w="958" w:type="dxa"/>
            <w:gridSpan w:val="2"/>
            <w:tcBorders>
              <w:top w:val="nil"/>
              <w:bottom w:val="nil"/>
            </w:tcBorders>
            <w:shd w:val="clear" w:color="auto" w:fill="FCE4D6"/>
          </w:tcPr>
          <w:p w14:paraId="6FE0A2B2" w14:textId="77777777" w:rsidR="00F65BCA" w:rsidRDefault="00216117">
            <w:pPr>
              <w:pStyle w:val="TableParagraph"/>
              <w:spacing w:line="15" w:lineRule="exact"/>
              <w:ind w:left="4"/>
              <w:rPr>
                <w:sz w:val="3"/>
              </w:rPr>
            </w:pPr>
            <w:r>
              <w:rPr>
                <w:w w:val="105"/>
                <w:sz w:val="3"/>
              </w:rPr>
              <w:t>COROLLA VERSO; COROLLA WAGON; DYNA; ECHO; FJ</w:t>
            </w:r>
          </w:p>
        </w:tc>
        <w:tc>
          <w:tcPr>
            <w:tcW w:w="576" w:type="dxa"/>
            <w:tcBorders>
              <w:top w:val="nil"/>
              <w:bottom w:val="nil"/>
            </w:tcBorders>
            <w:shd w:val="clear" w:color="auto" w:fill="FCE4D6"/>
          </w:tcPr>
          <w:p w14:paraId="17CE6D65"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6547705D" w14:textId="77777777" w:rsidR="00F65BCA" w:rsidRDefault="00F65BCA">
            <w:pPr>
              <w:pStyle w:val="TableParagraph"/>
              <w:rPr>
                <w:rFonts w:ascii="Times New Roman"/>
                <w:sz w:val="2"/>
              </w:rPr>
            </w:pPr>
          </w:p>
        </w:tc>
        <w:tc>
          <w:tcPr>
            <w:tcW w:w="50" w:type="dxa"/>
            <w:vMerge/>
            <w:tcBorders>
              <w:top w:val="nil"/>
              <w:bottom w:val="nil"/>
            </w:tcBorders>
          </w:tcPr>
          <w:p w14:paraId="00AE943A" w14:textId="77777777" w:rsidR="00F65BCA" w:rsidRDefault="00F65BCA">
            <w:pPr>
              <w:rPr>
                <w:sz w:val="2"/>
                <w:szCs w:val="2"/>
              </w:rPr>
            </w:pPr>
          </w:p>
        </w:tc>
        <w:tc>
          <w:tcPr>
            <w:tcW w:w="288" w:type="dxa"/>
            <w:tcBorders>
              <w:top w:val="nil"/>
              <w:bottom w:val="nil"/>
            </w:tcBorders>
          </w:tcPr>
          <w:p w14:paraId="447932E3" w14:textId="77777777" w:rsidR="00F65BCA" w:rsidRDefault="00F65BCA">
            <w:pPr>
              <w:pStyle w:val="TableParagraph"/>
              <w:rPr>
                <w:rFonts w:ascii="Times New Roman"/>
                <w:sz w:val="2"/>
              </w:rPr>
            </w:pPr>
          </w:p>
        </w:tc>
        <w:tc>
          <w:tcPr>
            <w:tcW w:w="288" w:type="dxa"/>
            <w:tcBorders>
              <w:top w:val="nil"/>
              <w:bottom w:val="nil"/>
            </w:tcBorders>
          </w:tcPr>
          <w:p w14:paraId="78A202AF" w14:textId="77777777" w:rsidR="00F65BCA" w:rsidRDefault="00F65BCA">
            <w:pPr>
              <w:pStyle w:val="TableParagraph"/>
              <w:rPr>
                <w:rFonts w:ascii="Times New Roman"/>
                <w:sz w:val="2"/>
              </w:rPr>
            </w:pPr>
          </w:p>
        </w:tc>
        <w:tc>
          <w:tcPr>
            <w:tcW w:w="288" w:type="dxa"/>
            <w:tcBorders>
              <w:top w:val="nil"/>
              <w:bottom w:val="nil"/>
            </w:tcBorders>
          </w:tcPr>
          <w:p w14:paraId="7A4DDF2B" w14:textId="77777777" w:rsidR="00F65BCA" w:rsidRDefault="00F65BCA">
            <w:pPr>
              <w:pStyle w:val="TableParagraph"/>
              <w:rPr>
                <w:rFonts w:ascii="Times New Roman"/>
                <w:sz w:val="2"/>
              </w:rPr>
            </w:pPr>
          </w:p>
        </w:tc>
        <w:tc>
          <w:tcPr>
            <w:tcW w:w="288" w:type="dxa"/>
            <w:tcBorders>
              <w:top w:val="nil"/>
              <w:bottom w:val="nil"/>
            </w:tcBorders>
          </w:tcPr>
          <w:p w14:paraId="18776E88" w14:textId="77777777" w:rsidR="00F65BCA" w:rsidRDefault="00F65BCA">
            <w:pPr>
              <w:pStyle w:val="TableParagraph"/>
              <w:rPr>
                <w:rFonts w:ascii="Times New Roman"/>
                <w:sz w:val="2"/>
              </w:rPr>
            </w:pPr>
          </w:p>
        </w:tc>
        <w:tc>
          <w:tcPr>
            <w:tcW w:w="288" w:type="dxa"/>
            <w:tcBorders>
              <w:top w:val="nil"/>
              <w:bottom w:val="nil"/>
            </w:tcBorders>
          </w:tcPr>
          <w:p w14:paraId="38D81F43" w14:textId="77777777" w:rsidR="00F65BCA" w:rsidRDefault="00F65BCA">
            <w:pPr>
              <w:pStyle w:val="TableParagraph"/>
              <w:rPr>
                <w:rFonts w:ascii="Times New Roman"/>
                <w:sz w:val="2"/>
              </w:rPr>
            </w:pPr>
          </w:p>
        </w:tc>
        <w:tc>
          <w:tcPr>
            <w:tcW w:w="288" w:type="dxa"/>
            <w:tcBorders>
              <w:top w:val="nil"/>
              <w:bottom w:val="nil"/>
            </w:tcBorders>
          </w:tcPr>
          <w:p w14:paraId="56342E99" w14:textId="77777777" w:rsidR="00F65BCA" w:rsidRDefault="00F65BCA">
            <w:pPr>
              <w:pStyle w:val="TableParagraph"/>
              <w:rPr>
                <w:rFonts w:ascii="Times New Roman"/>
                <w:sz w:val="2"/>
              </w:rPr>
            </w:pPr>
          </w:p>
        </w:tc>
        <w:tc>
          <w:tcPr>
            <w:tcW w:w="288" w:type="dxa"/>
            <w:tcBorders>
              <w:top w:val="nil"/>
              <w:bottom w:val="nil"/>
            </w:tcBorders>
          </w:tcPr>
          <w:p w14:paraId="2AEC7495" w14:textId="77777777" w:rsidR="00F65BCA" w:rsidRDefault="00F65BCA">
            <w:pPr>
              <w:pStyle w:val="TableParagraph"/>
              <w:rPr>
                <w:rFonts w:ascii="Times New Roman"/>
                <w:sz w:val="2"/>
              </w:rPr>
            </w:pPr>
          </w:p>
        </w:tc>
        <w:tc>
          <w:tcPr>
            <w:tcW w:w="288" w:type="dxa"/>
            <w:tcBorders>
              <w:top w:val="nil"/>
              <w:bottom w:val="nil"/>
            </w:tcBorders>
          </w:tcPr>
          <w:p w14:paraId="4C41392B" w14:textId="77777777" w:rsidR="00F65BCA" w:rsidRDefault="00F65BCA">
            <w:pPr>
              <w:pStyle w:val="TableParagraph"/>
              <w:rPr>
                <w:rFonts w:ascii="Times New Roman"/>
                <w:sz w:val="2"/>
              </w:rPr>
            </w:pPr>
          </w:p>
        </w:tc>
        <w:tc>
          <w:tcPr>
            <w:tcW w:w="288" w:type="dxa"/>
            <w:tcBorders>
              <w:top w:val="nil"/>
              <w:bottom w:val="nil"/>
            </w:tcBorders>
          </w:tcPr>
          <w:p w14:paraId="7D3AF392" w14:textId="77777777" w:rsidR="00F65BCA" w:rsidRDefault="00F65BCA">
            <w:pPr>
              <w:pStyle w:val="TableParagraph"/>
              <w:rPr>
                <w:rFonts w:ascii="Times New Roman"/>
                <w:sz w:val="2"/>
              </w:rPr>
            </w:pPr>
          </w:p>
        </w:tc>
        <w:tc>
          <w:tcPr>
            <w:tcW w:w="288" w:type="dxa"/>
            <w:tcBorders>
              <w:top w:val="nil"/>
              <w:bottom w:val="nil"/>
            </w:tcBorders>
          </w:tcPr>
          <w:p w14:paraId="599F16C8" w14:textId="77777777" w:rsidR="00F65BCA" w:rsidRDefault="00F65BCA">
            <w:pPr>
              <w:pStyle w:val="TableParagraph"/>
              <w:rPr>
                <w:rFonts w:ascii="Times New Roman"/>
                <w:sz w:val="2"/>
              </w:rPr>
            </w:pPr>
          </w:p>
        </w:tc>
        <w:tc>
          <w:tcPr>
            <w:tcW w:w="288" w:type="dxa"/>
            <w:tcBorders>
              <w:top w:val="nil"/>
              <w:bottom w:val="nil"/>
            </w:tcBorders>
          </w:tcPr>
          <w:p w14:paraId="4739E27A" w14:textId="77777777" w:rsidR="00F65BCA" w:rsidRDefault="00F65BCA">
            <w:pPr>
              <w:pStyle w:val="TableParagraph"/>
              <w:rPr>
                <w:rFonts w:ascii="Times New Roman"/>
                <w:sz w:val="2"/>
              </w:rPr>
            </w:pPr>
          </w:p>
        </w:tc>
        <w:tc>
          <w:tcPr>
            <w:tcW w:w="288" w:type="dxa"/>
            <w:tcBorders>
              <w:top w:val="nil"/>
              <w:bottom w:val="nil"/>
            </w:tcBorders>
          </w:tcPr>
          <w:p w14:paraId="12B24AC6" w14:textId="77777777" w:rsidR="00F65BCA" w:rsidRDefault="00F65BCA">
            <w:pPr>
              <w:pStyle w:val="TableParagraph"/>
              <w:rPr>
                <w:rFonts w:ascii="Times New Roman"/>
                <w:sz w:val="2"/>
              </w:rPr>
            </w:pPr>
          </w:p>
        </w:tc>
        <w:tc>
          <w:tcPr>
            <w:tcW w:w="288" w:type="dxa"/>
            <w:tcBorders>
              <w:top w:val="nil"/>
              <w:bottom w:val="nil"/>
            </w:tcBorders>
          </w:tcPr>
          <w:p w14:paraId="5CEB4959" w14:textId="77777777" w:rsidR="00F65BCA" w:rsidRDefault="00F65BCA">
            <w:pPr>
              <w:pStyle w:val="TableParagraph"/>
              <w:rPr>
                <w:rFonts w:ascii="Times New Roman"/>
                <w:sz w:val="2"/>
              </w:rPr>
            </w:pPr>
          </w:p>
        </w:tc>
      </w:tr>
      <w:tr w:rsidR="00F65BCA" w14:paraId="484EEC59" w14:textId="77777777">
        <w:trPr>
          <w:trHeight w:val="15"/>
        </w:trPr>
        <w:tc>
          <w:tcPr>
            <w:tcW w:w="526" w:type="dxa"/>
            <w:vMerge/>
            <w:tcBorders>
              <w:top w:val="nil"/>
            </w:tcBorders>
            <w:shd w:val="clear" w:color="auto" w:fill="FCE4D6"/>
          </w:tcPr>
          <w:p w14:paraId="779487F0" w14:textId="77777777" w:rsidR="00F65BCA" w:rsidRDefault="00F65BCA">
            <w:pPr>
              <w:rPr>
                <w:sz w:val="2"/>
                <w:szCs w:val="2"/>
              </w:rPr>
            </w:pPr>
          </w:p>
        </w:tc>
        <w:tc>
          <w:tcPr>
            <w:tcW w:w="732" w:type="dxa"/>
            <w:vMerge w:val="restart"/>
            <w:tcBorders>
              <w:top w:val="nil"/>
              <w:bottom w:val="nil"/>
            </w:tcBorders>
            <w:shd w:val="clear" w:color="auto" w:fill="FCE4D6"/>
          </w:tcPr>
          <w:p w14:paraId="182FF821" w14:textId="77777777" w:rsidR="00F65BCA" w:rsidRDefault="00F65BCA">
            <w:pPr>
              <w:pStyle w:val="TableParagraph"/>
              <w:rPr>
                <w:rFonts w:ascii="Times New Roman"/>
                <w:sz w:val="2"/>
              </w:rPr>
            </w:pPr>
          </w:p>
        </w:tc>
        <w:tc>
          <w:tcPr>
            <w:tcW w:w="958" w:type="dxa"/>
            <w:gridSpan w:val="2"/>
            <w:vMerge w:val="restart"/>
            <w:tcBorders>
              <w:top w:val="nil"/>
              <w:bottom w:val="nil"/>
            </w:tcBorders>
            <w:shd w:val="clear" w:color="auto" w:fill="FCE4D6"/>
          </w:tcPr>
          <w:p w14:paraId="034EB9DF" w14:textId="77777777" w:rsidR="00F65BCA" w:rsidRDefault="00216117">
            <w:pPr>
              <w:pStyle w:val="TableParagraph"/>
              <w:spacing w:line="15" w:lineRule="exact"/>
              <w:ind w:left="4"/>
              <w:rPr>
                <w:sz w:val="3"/>
              </w:rPr>
            </w:pPr>
            <w:r>
              <w:rPr>
                <w:w w:val="105"/>
                <w:sz w:val="3"/>
              </w:rPr>
              <w:t>CRUISER; FORTUNER; GT86; HIACE; HIGHLANDER; HILUX; IQ;</w:t>
            </w:r>
          </w:p>
        </w:tc>
        <w:tc>
          <w:tcPr>
            <w:tcW w:w="576" w:type="dxa"/>
            <w:tcBorders>
              <w:top w:val="nil"/>
            </w:tcBorders>
            <w:shd w:val="clear" w:color="auto" w:fill="FCE4D6"/>
          </w:tcPr>
          <w:p w14:paraId="7E3D561B" w14:textId="77777777" w:rsidR="00F65BCA" w:rsidRDefault="00F65BCA">
            <w:pPr>
              <w:pStyle w:val="TableParagraph"/>
              <w:rPr>
                <w:rFonts w:ascii="Times New Roman"/>
                <w:sz w:val="2"/>
              </w:rPr>
            </w:pPr>
          </w:p>
        </w:tc>
        <w:tc>
          <w:tcPr>
            <w:tcW w:w="576" w:type="dxa"/>
            <w:tcBorders>
              <w:top w:val="nil"/>
            </w:tcBorders>
            <w:shd w:val="clear" w:color="auto" w:fill="FCE4D6"/>
          </w:tcPr>
          <w:p w14:paraId="121D4F90" w14:textId="77777777" w:rsidR="00F65BCA" w:rsidRDefault="00F65BCA">
            <w:pPr>
              <w:pStyle w:val="TableParagraph"/>
              <w:rPr>
                <w:rFonts w:ascii="Times New Roman"/>
                <w:sz w:val="2"/>
              </w:rPr>
            </w:pPr>
          </w:p>
        </w:tc>
        <w:tc>
          <w:tcPr>
            <w:tcW w:w="50" w:type="dxa"/>
            <w:vMerge/>
            <w:tcBorders>
              <w:top w:val="nil"/>
              <w:bottom w:val="nil"/>
            </w:tcBorders>
          </w:tcPr>
          <w:p w14:paraId="0981F433" w14:textId="77777777" w:rsidR="00F65BCA" w:rsidRDefault="00F65BCA">
            <w:pPr>
              <w:rPr>
                <w:sz w:val="2"/>
                <w:szCs w:val="2"/>
              </w:rPr>
            </w:pPr>
          </w:p>
        </w:tc>
        <w:tc>
          <w:tcPr>
            <w:tcW w:w="288" w:type="dxa"/>
            <w:tcBorders>
              <w:top w:val="nil"/>
            </w:tcBorders>
          </w:tcPr>
          <w:p w14:paraId="5981F46F" w14:textId="77777777" w:rsidR="00F65BCA" w:rsidRDefault="00F65BCA">
            <w:pPr>
              <w:pStyle w:val="TableParagraph"/>
              <w:rPr>
                <w:rFonts w:ascii="Times New Roman"/>
                <w:sz w:val="2"/>
              </w:rPr>
            </w:pPr>
          </w:p>
        </w:tc>
        <w:tc>
          <w:tcPr>
            <w:tcW w:w="288" w:type="dxa"/>
            <w:tcBorders>
              <w:top w:val="nil"/>
            </w:tcBorders>
          </w:tcPr>
          <w:p w14:paraId="698B3118" w14:textId="77777777" w:rsidR="00F65BCA" w:rsidRDefault="00F65BCA">
            <w:pPr>
              <w:pStyle w:val="TableParagraph"/>
              <w:rPr>
                <w:rFonts w:ascii="Times New Roman"/>
                <w:sz w:val="2"/>
              </w:rPr>
            </w:pPr>
          </w:p>
        </w:tc>
        <w:tc>
          <w:tcPr>
            <w:tcW w:w="288" w:type="dxa"/>
            <w:tcBorders>
              <w:top w:val="nil"/>
            </w:tcBorders>
          </w:tcPr>
          <w:p w14:paraId="1BE75FB4" w14:textId="77777777" w:rsidR="00F65BCA" w:rsidRDefault="00F65BCA">
            <w:pPr>
              <w:pStyle w:val="TableParagraph"/>
              <w:rPr>
                <w:rFonts w:ascii="Times New Roman"/>
                <w:sz w:val="2"/>
              </w:rPr>
            </w:pPr>
          </w:p>
        </w:tc>
        <w:tc>
          <w:tcPr>
            <w:tcW w:w="288" w:type="dxa"/>
            <w:tcBorders>
              <w:top w:val="nil"/>
            </w:tcBorders>
          </w:tcPr>
          <w:p w14:paraId="164F4B25" w14:textId="77777777" w:rsidR="00F65BCA" w:rsidRDefault="00F65BCA">
            <w:pPr>
              <w:pStyle w:val="TableParagraph"/>
              <w:rPr>
                <w:rFonts w:ascii="Times New Roman"/>
                <w:sz w:val="2"/>
              </w:rPr>
            </w:pPr>
          </w:p>
        </w:tc>
        <w:tc>
          <w:tcPr>
            <w:tcW w:w="288" w:type="dxa"/>
            <w:tcBorders>
              <w:top w:val="nil"/>
            </w:tcBorders>
          </w:tcPr>
          <w:p w14:paraId="7B027A3E" w14:textId="77777777" w:rsidR="00F65BCA" w:rsidRDefault="00F65BCA">
            <w:pPr>
              <w:pStyle w:val="TableParagraph"/>
              <w:rPr>
                <w:rFonts w:ascii="Times New Roman"/>
                <w:sz w:val="2"/>
              </w:rPr>
            </w:pPr>
          </w:p>
        </w:tc>
        <w:tc>
          <w:tcPr>
            <w:tcW w:w="288" w:type="dxa"/>
            <w:tcBorders>
              <w:top w:val="nil"/>
            </w:tcBorders>
          </w:tcPr>
          <w:p w14:paraId="29189862" w14:textId="77777777" w:rsidR="00F65BCA" w:rsidRDefault="00F65BCA">
            <w:pPr>
              <w:pStyle w:val="TableParagraph"/>
              <w:rPr>
                <w:rFonts w:ascii="Times New Roman"/>
                <w:sz w:val="2"/>
              </w:rPr>
            </w:pPr>
          </w:p>
        </w:tc>
        <w:tc>
          <w:tcPr>
            <w:tcW w:w="288" w:type="dxa"/>
            <w:tcBorders>
              <w:top w:val="nil"/>
            </w:tcBorders>
          </w:tcPr>
          <w:p w14:paraId="2F9AA4D2" w14:textId="77777777" w:rsidR="00F65BCA" w:rsidRDefault="00F65BCA">
            <w:pPr>
              <w:pStyle w:val="TableParagraph"/>
              <w:rPr>
                <w:rFonts w:ascii="Times New Roman"/>
                <w:sz w:val="2"/>
              </w:rPr>
            </w:pPr>
          </w:p>
        </w:tc>
        <w:tc>
          <w:tcPr>
            <w:tcW w:w="288" w:type="dxa"/>
            <w:tcBorders>
              <w:top w:val="nil"/>
            </w:tcBorders>
          </w:tcPr>
          <w:p w14:paraId="5AB1CF20" w14:textId="77777777" w:rsidR="00F65BCA" w:rsidRDefault="00F65BCA">
            <w:pPr>
              <w:pStyle w:val="TableParagraph"/>
              <w:rPr>
                <w:rFonts w:ascii="Times New Roman"/>
                <w:sz w:val="2"/>
              </w:rPr>
            </w:pPr>
          </w:p>
        </w:tc>
        <w:tc>
          <w:tcPr>
            <w:tcW w:w="288" w:type="dxa"/>
            <w:tcBorders>
              <w:top w:val="nil"/>
            </w:tcBorders>
          </w:tcPr>
          <w:p w14:paraId="7263D95C" w14:textId="77777777" w:rsidR="00F65BCA" w:rsidRDefault="00F65BCA">
            <w:pPr>
              <w:pStyle w:val="TableParagraph"/>
              <w:rPr>
                <w:rFonts w:ascii="Times New Roman"/>
                <w:sz w:val="2"/>
              </w:rPr>
            </w:pPr>
          </w:p>
        </w:tc>
        <w:tc>
          <w:tcPr>
            <w:tcW w:w="288" w:type="dxa"/>
            <w:tcBorders>
              <w:top w:val="nil"/>
            </w:tcBorders>
          </w:tcPr>
          <w:p w14:paraId="7B969D59" w14:textId="77777777" w:rsidR="00F65BCA" w:rsidRDefault="00F65BCA">
            <w:pPr>
              <w:pStyle w:val="TableParagraph"/>
              <w:rPr>
                <w:rFonts w:ascii="Times New Roman"/>
                <w:sz w:val="2"/>
              </w:rPr>
            </w:pPr>
          </w:p>
        </w:tc>
        <w:tc>
          <w:tcPr>
            <w:tcW w:w="288" w:type="dxa"/>
            <w:tcBorders>
              <w:top w:val="nil"/>
            </w:tcBorders>
          </w:tcPr>
          <w:p w14:paraId="5C1F5425" w14:textId="77777777" w:rsidR="00F65BCA" w:rsidRDefault="00F65BCA">
            <w:pPr>
              <w:pStyle w:val="TableParagraph"/>
              <w:rPr>
                <w:rFonts w:ascii="Times New Roman"/>
                <w:sz w:val="2"/>
              </w:rPr>
            </w:pPr>
          </w:p>
        </w:tc>
        <w:tc>
          <w:tcPr>
            <w:tcW w:w="288" w:type="dxa"/>
            <w:tcBorders>
              <w:top w:val="nil"/>
            </w:tcBorders>
          </w:tcPr>
          <w:p w14:paraId="38EBF02D" w14:textId="77777777" w:rsidR="00F65BCA" w:rsidRDefault="00F65BCA">
            <w:pPr>
              <w:pStyle w:val="TableParagraph"/>
              <w:rPr>
                <w:rFonts w:ascii="Times New Roman"/>
                <w:sz w:val="2"/>
              </w:rPr>
            </w:pPr>
          </w:p>
        </w:tc>
        <w:tc>
          <w:tcPr>
            <w:tcW w:w="288" w:type="dxa"/>
            <w:tcBorders>
              <w:top w:val="nil"/>
            </w:tcBorders>
          </w:tcPr>
          <w:p w14:paraId="4E69B4EE" w14:textId="77777777" w:rsidR="00F65BCA" w:rsidRDefault="00F65BCA">
            <w:pPr>
              <w:pStyle w:val="TableParagraph"/>
              <w:rPr>
                <w:rFonts w:ascii="Times New Roman"/>
                <w:sz w:val="2"/>
              </w:rPr>
            </w:pPr>
          </w:p>
        </w:tc>
      </w:tr>
      <w:tr w:rsidR="00F65BCA" w14:paraId="7422E198" w14:textId="77777777">
        <w:trPr>
          <w:trHeight w:val="7"/>
        </w:trPr>
        <w:tc>
          <w:tcPr>
            <w:tcW w:w="526" w:type="dxa"/>
            <w:vMerge/>
            <w:tcBorders>
              <w:top w:val="nil"/>
            </w:tcBorders>
            <w:shd w:val="clear" w:color="auto" w:fill="FCE4D6"/>
          </w:tcPr>
          <w:p w14:paraId="16CDDCAA" w14:textId="77777777" w:rsidR="00F65BCA" w:rsidRDefault="00F65BCA">
            <w:pPr>
              <w:rPr>
                <w:sz w:val="2"/>
                <w:szCs w:val="2"/>
              </w:rPr>
            </w:pPr>
          </w:p>
        </w:tc>
        <w:tc>
          <w:tcPr>
            <w:tcW w:w="732" w:type="dxa"/>
            <w:vMerge/>
            <w:tcBorders>
              <w:top w:val="nil"/>
              <w:bottom w:val="nil"/>
            </w:tcBorders>
            <w:shd w:val="clear" w:color="auto" w:fill="FCE4D6"/>
          </w:tcPr>
          <w:p w14:paraId="7297206D" w14:textId="77777777" w:rsidR="00F65BCA" w:rsidRDefault="00F65BCA">
            <w:pPr>
              <w:rPr>
                <w:sz w:val="2"/>
                <w:szCs w:val="2"/>
              </w:rPr>
            </w:pPr>
          </w:p>
        </w:tc>
        <w:tc>
          <w:tcPr>
            <w:tcW w:w="958" w:type="dxa"/>
            <w:gridSpan w:val="2"/>
            <w:vMerge/>
            <w:tcBorders>
              <w:top w:val="nil"/>
              <w:bottom w:val="nil"/>
            </w:tcBorders>
            <w:shd w:val="clear" w:color="auto" w:fill="FCE4D6"/>
          </w:tcPr>
          <w:p w14:paraId="2AC3D80E" w14:textId="77777777" w:rsidR="00F65BCA" w:rsidRDefault="00F65BCA">
            <w:pPr>
              <w:rPr>
                <w:sz w:val="2"/>
                <w:szCs w:val="2"/>
              </w:rPr>
            </w:pPr>
          </w:p>
        </w:tc>
        <w:tc>
          <w:tcPr>
            <w:tcW w:w="576" w:type="dxa"/>
            <w:tcBorders>
              <w:bottom w:val="nil"/>
            </w:tcBorders>
            <w:shd w:val="clear" w:color="auto" w:fill="FCE4D6"/>
          </w:tcPr>
          <w:p w14:paraId="36445EA3" w14:textId="77777777" w:rsidR="00F65BCA" w:rsidRDefault="00F65BCA">
            <w:pPr>
              <w:pStyle w:val="TableParagraph"/>
              <w:rPr>
                <w:rFonts w:ascii="Times New Roman"/>
                <w:sz w:val="2"/>
              </w:rPr>
            </w:pPr>
          </w:p>
        </w:tc>
        <w:tc>
          <w:tcPr>
            <w:tcW w:w="576" w:type="dxa"/>
            <w:tcBorders>
              <w:bottom w:val="nil"/>
            </w:tcBorders>
            <w:shd w:val="clear" w:color="auto" w:fill="FCE4D6"/>
          </w:tcPr>
          <w:p w14:paraId="77EF6CFA" w14:textId="77777777" w:rsidR="00F65BCA" w:rsidRDefault="00F65BCA">
            <w:pPr>
              <w:pStyle w:val="TableParagraph"/>
              <w:rPr>
                <w:rFonts w:ascii="Times New Roman"/>
                <w:sz w:val="2"/>
              </w:rPr>
            </w:pPr>
          </w:p>
        </w:tc>
        <w:tc>
          <w:tcPr>
            <w:tcW w:w="50" w:type="dxa"/>
            <w:vMerge/>
            <w:tcBorders>
              <w:top w:val="nil"/>
              <w:bottom w:val="nil"/>
            </w:tcBorders>
          </w:tcPr>
          <w:p w14:paraId="3734A3E3" w14:textId="77777777" w:rsidR="00F65BCA" w:rsidRDefault="00F65BCA">
            <w:pPr>
              <w:rPr>
                <w:sz w:val="2"/>
                <w:szCs w:val="2"/>
              </w:rPr>
            </w:pPr>
          </w:p>
        </w:tc>
        <w:tc>
          <w:tcPr>
            <w:tcW w:w="288" w:type="dxa"/>
            <w:tcBorders>
              <w:bottom w:val="nil"/>
            </w:tcBorders>
          </w:tcPr>
          <w:p w14:paraId="7980190C" w14:textId="77777777" w:rsidR="00F65BCA" w:rsidRDefault="00F65BCA">
            <w:pPr>
              <w:pStyle w:val="TableParagraph"/>
              <w:rPr>
                <w:rFonts w:ascii="Times New Roman"/>
                <w:sz w:val="2"/>
              </w:rPr>
            </w:pPr>
          </w:p>
        </w:tc>
        <w:tc>
          <w:tcPr>
            <w:tcW w:w="288" w:type="dxa"/>
            <w:tcBorders>
              <w:bottom w:val="nil"/>
            </w:tcBorders>
          </w:tcPr>
          <w:p w14:paraId="424DDC8B" w14:textId="77777777" w:rsidR="00F65BCA" w:rsidRDefault="00F65BCA">
            <w:pPr>
              <w:pStyle w:val="TableParagraph"/>
              <w:rPr>
                <w:rFonts w:ascii="Times New Roman"/>
                <w:sz w:val="2"/>
              </w:rPr>
            </w:pPr>
          </w:p>
        </w:tc>
        <w:tc>
          <w:tcPr>
            <w:tcW w:w="288" w:type="dxa"/>
            <w:tcBorders>
              <w:bottom w:val="nil"/>
            </w:tcBorders>
          </w:tcPr>
          <w:p w14:paraId="40128BA6" w14:textId="77777777" w:rsidR="00F65BCA" w:rsidRDefault="00F65BCA">
            <w:pPr>
              <w:pStyle w:val="TableParagraph"/>
              <w:rPr>
                <w:rFonts w:ascii="Times New Roman"/>
                <w:sz w:val="2"/>
              </w:rPr>
            </w:pPr>
          </w:p>
        </w:tc>
        <w:tc>
          <w:tcPr>
            <w:tcW w:w="288" w:type="dxa"/>
            <w:tcBorders>
              <w:bottom w:val="nil"/>
            </w:tcBorders>
          </w:tcPr>
          <w:p w14:paraId="22844044" w14:textId="77777777" w:rsidR="00F65BCA" w:rsidRDefault="00F65BCA">
            <w:pPr>
              <w:pStyle w:val="TableParagraph"/>
              <w:rPr>
                <w:rFonts w:ascii="Times New Roman"/>
                <w:sz w:val="2"/>
              </w:rPr>
            </w:pPr>
          </w:p>
        </w:tc>
        <w:tc>
          <w:tcPr>
            <w:tcW w:w="288" w:type="dxa"/>
            <w:tcBorders>
              <w:bottom w:val="nil"/>
            </w:tcBorders>
          </w:tcPr>
          <w:p w14:paraId="46A225D4" w14:textId="77777777" w:rsidR="00F65BCA" w:rsidRDefault="00F65BCA">
            <w:pPr>
              <w:pStyle w:val="TableParagraph"/>
              <w:rPr>
                <w:rFonts w:ascii="Times New Roman"/>
                <w:sz w:val="2"/>
              </w:rPr>
            </w:pPr>
          </w:p>
        </w:tc>
        <w:tc>
          <w:tcPr>
            <w:tcW w:w="288" w:type="dxa"/>
            <w:tcBorders>
              <w:bottom w:val="nil"/>
            </w:tcBorders>
          </w:tcPr>
          <w:p w14:paraId="55920789" w14:textId="77777777" w:rsidR="00F65BCA" w:rsidRDefault="00F65BCA">
            <w:pPr>
              <w:pStyle w:val="TableParagraph"/>
              <w:rPr>
                <w:rFonts w:ascii="Times New Roman"/>
                <w:sz w:val="2"/>
              </w:rPr>
            </w:pPr>
          </w:p>
        </w:tc>
        <w:tc>
          <w:tcPr>
            <w:tcW w:w="288" w:type="dxa"/>
            <w:tcBorders>
              <w:bottom w:val="nil"/>
            </w:tcBorders>
          </w:tcPr>
          <w:p w14:paraId="5E380496" w14:textId="77777777" w:rsidR="00F65BCA" w:rsidRDefault="00F65BCA">
            <w:pPr>
              <w:pStyle w:val="TableParagraph"/>
              <w:rPr>
                <w:rFonts w:ascii="Times New Roman"/>
                <w:sz w:val="2"/>
              </w:rPr>
            </w:pPr>
          </w:p>
        </w:tc>
        <w:tc>
          <w:tcPr>
            <w:tcW w:w="288" w:type="dxa"/>
            <w:tcBorders>
              <w:bottom w:val="nil"/>
            </w:tcBorders>
          </w:tcPr>
          <w:p w14:paraId="2614C4F6" w14:textId="77777777" w:rsidR="00F65BCA" w:rsidRDefault="00F65BCA">
            <w:pPr>
              <w:pStyle w:val="TableParagraph"/>
              <w:rPr>
                <w:rFonts w:ascii="Times New Roman"/>
                <w:sz w:val="2"/>
              </w:rPr>
            </w:pPr>
          </w:p>
        </w:tc>
        <w:tc>
          <w:tcPr>
            <w:tcW w:w="288" w:type="dxa"/>
            <w:tcBorders>
              <w:bottom w:val="nil"/>
            </w:tcBorders>
          </w:tcPr>
          <w:p w14:paraId="05D4DC60" w14:textId="77777777" w:rsidR="00F65BCA" w:rsidRDefault="00F65BCA">
            <w:pPr>
              <w:pStyle w:val="TableParagraph"/>
              <w:rPr>
                <w:rFonts w:ascii="Times New Roman"/>
                <w:sz w:val="2"/>
              </w:rPr>
            </w:pPr>
          </w:p>
        </w:tc>
        <w:tc>
          <w:tcPr>
            <w:tcW w:w="288" w:type="dxa"/>
            <w:tcBorders>
              <w:bottom w:val="nil"/>
            </w:tcBorders>
          </w:tcPr>
          <w:p w14:paraId="5216FB88" w14:textId="77777777" w:rsidR="00F65BCA" w:rsidRDefault="00F65BCA">
            <w:pPr>
              <w:pStyle w:val="TableParagraph"/>
              <w:rPr>
                <w:rFonts w:ascii="Times New Roman"/>
                <w:sz w:val="2"/>
              </w:rPr>
            </w:pPr>
          </w:p>
        </w:tc>
        <w:tc>
          <w:tcPr>
            <w:tcW w:w="288" w:type="dxa"/>
            <w:tcBorders>
              <w:bottom w:val="nil"/>
            </w:tcBorders>
          </w:tcPr>
          <w:p w14:paraId="56BC7422" w14:textId="77777777" w:rsidR="00F65BCA" w:rsidRDefault="00F65BCA">
            <w:pPr>
              <w:pStyle w:val="TableParagraph"/>
              <w:rPr>
                <w:rFonts w:ascii="Times New Roman"/>
                <w:sz w:val="2"/>
              </w:rPr>
            </w:pPr>
          </w:p>
        </w:tc>
        <w:tc>
          <w:tcPr>
            <w:tcW w:w="288" w:type="dxa"/>
            <w:tcBorders>
              <w:bottom w:val="nil"/>
            </w:tcBorders>
          </w:tcPr>
          <w:p w14:paraId="16C0337E" w14:textId="77777777" w:rsidR="00F65BCA" w:rsidRDefault="00F65BCA">
            <w:pPr>
              <w:pStyle w:val="TableParagraph"/>
              <w:rPr>
                <w:rFonts w:ascii="Times New Roman"/>
                <w:sz w:val="2"/>
              </w:rPr>
            </w:pPr>
          </w:p>
        </w:tc>
        <w:tc>
          <w:tcPr>
            <w:tcW w:w="288" w:type="dxa"/>
            <w:tcBorders>
              <w:bottom w:val="nil"/>
            </w:tcBorders>
          </w:tcPr>
          <w:p w14:paraId="668414E7" w14:textId="77777777" w:rsidR="00F65BCA" w:rsidRDefault="00F65BCA">
            <w:pPr>
              <w:pStyle w:val="TableParagraph"/>
              <w:rPr>
                <w:rFonts w:ascii="Times New Roman"/>
                <w:sz w:val="2"/>
              </w:rPr>
            </w:pPr>
          </w:p>
        </w:tc>
      </w:tr>
      <w:tr w:rsidR="00F65BCA" w14:paraId="2DC7A324" w14:textId="77777777">
        <w:trPr>
          <w:trHeight w:val="20"/>
        </w:trPr>
        <w:tc>
          <w:tcPr>
            <w:tcW w:w="526" w:type="dxa"/>
            <w:vMerge/>
            <w:tcBorders>
              <w:top w:val="nil"/>
            </w:tcBorders>
            <w:shd w:val="clear" w:color="auto" w:fill="FCE4D6"/>
          </w:tcPr>
          <w:p w14:paraId="793571D6" w14:textId="77777777" w:rsidR="00F65BCA" w:rsidRDefault="00F65BCA">
            <w:pPr>
              <w:rPr>
                <w:sz w:val="2"/>
                <w:szCs w:val="2"/>
              </w:rPr>
            </w:pPr>
          </w:p>
        </w:tc>
        <w:tc>
          <w:tcPr>
            <w:tcW w:w="732" w:type="dxa"/>
            <w:tcBorders>
              <w:top w:val="nil"/>
              <w:bottom w:val="nil"/>
            </w:tcBorders>
            <w:shd w:val="clear" w:color="auto" w:fill="FCE4D6"/>
          </w:tcPr>
          <w:p w14:paraId="125D150F" w14:textId="77777777" w:rsidR="00F65BCA" w:rsidRDefault="00F65BCA">
            <w:pPr>
              <w:pStyle w:val="TableParagraph"/>
              <w:rPr>
                <w:rFonts w:ascii="Times New Roman"/>
                <w:sz w:val="2"/>
              </w:rPr>
            </w:pPr>
          </w:p>
        </w:tc>
        <w:tc>
          <w:tcPr>
            <w:tcW w:w="958" w:type="dxa"/>
            <w:gridSpan w:val="2"/>
            <w:tcBorders>
              <w:top w:val="nil"/>
              <w:bottom w:val="nil"/>
            </w:tcBorders>
            <w:shd w:val="clear" w:color="auto" w:fill="FCE4D6"/>
          </w:tcPr>
          <w:p w14:paraId="17FD8CBC" w14:textId="77777777" w:rsidR="00F65BCA" w:rsidRDefault="00216117">
            <w:pPr>
              <w:pStyle w:val="TableParagraph"/>
              <w:spacing w:line="1" w:lineRule="exact"/>
              <w:ind w:left="4"/>
              <w:rPr>
                <w:sz w:val="3"/>
              </w:rPr>
            </w:pPr>
            <w:r>
              <w:rPr>
                <w:w w:val="105"/>
                <w:sz w:val="3"/>
              </w:rPr>
              <w:t>JINÉ; LAND CRUISER; LITE-ACE; MATRIX; MODEL F; MR 2;</w:t>
            </w:r>
          </w:p>
        </w:tc>
        <w:tc>
          <w:tcPr>
            <w:tcW w:w="576" w:type="dxa"/>
            <w:tcBorders>
              <w:top w:val="nil"/>
              <w:bottom w:val="nil"/>
            </w:tcBorders>
            <w:shd w:val="clear" w:color="auto" w:fill="FCE4D6"/>
          </w:tcPr>
          <w:p w14:paraId="750CC92F"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068EF575" w14:textId="77777777" w:rsidR="00F65BCA" w:rsidRDefault="00F65BCA">
            <w:pPr>
              <w:pStyle w:val="TableParagraph"/>
              <w:rPr>
                <w:rFonts w:ascii="Times New Roman"/>
                <w:sz w:val="2"/>
              </w:rPr>
            </w:pPr>
          </w:p>
        </w:tc>
        <w:tc>
          <w:tcPr>
            <w:tcW w:w="50" w:type="dxa"/>
            <w:vMerge/>
            <w:tcBorders>
              <w:top w:val="nil"/>
              <w:bottom w:val="nil"/>
            </w:tcBorders>
          </w:tcPr>
          <w:p w14:paraId="356B33D7" w14:textId="77777777" w:rsidR="00F65BCA" w:rsidRDefault="00F65BCA">
            <w:pPr>
              <w:rPr>
                <w:sz w:val="2"/>
                <w:szCs w:val="2"/>
              </w:rPr>
            </w:pPr>
          </w:p>
        </w:tc>
        <w:tc>
          <w:tcPr>
            <w:tcW w:w="288" w:type="dxa"/>
            <w:tcBorders>
              <w:top w:val="nil"/>
              <w:bottom w:val="nil"/>
            </w:tcBorders>
          </w:tcPr>
          <w:p w14:paraId="6CB08AA1" w14:textId="77777777" w:rsidR="00F65BCA" w:rsidRDefault="00F65BCA">
            <w:pPr>
              <w:pStyle w:val="TableParagraph"/>
              <w:rPr>
                <w:rFonts w:ascii="Times New Roman"/>
                <w:sz w:val="2"/>
              </w:rPr>
            </w:pPr>
          </w:p>
        </w:tc>
        <w:tc>
          <w:tcPr>
            <w:tcW w:w="288" w:type="dxa"/>
            <w:tcBorders>
              <w:top w:val="nil"/>
              <w:bottom w:val="nil"/>
            </w:tcBorders>
          </w:tcPr>
          <w:p w14:paraId="4BC34649" w14:textId="77777777" w:rsidR="00F65BCA" w:rsidRDefault="00F65BCA">
            <w:pPr>
              <w:pStyle w:val="TableParagraph"/>
              <w:rPr>
                <w:rFonts w:ascii="Times New Roman"/>
                <w:sz w:val="2"/>
              </w:rPr>
            </w:pPr>
          </w:p>
        </w:tc>
        <w:tc>
          <w:tcPr>
            <w:tcW w:w="288" w:type="dxa"/>
            <w:tcBorders>
              <w:top w:val="nil"/>
              <w:bottom w:val="nil"/>
            </w:tcBorders>
          </w:tcPr>
          <w:p w14:paraId="1D6C4BD8" w14:textId="77777777" w:rsidR="00F65BCA" w:rsidRDefault="00F65BCA">
            <w:pPr>
              <w:pStyle w:val="TableParagraph"/>
              <w:rPr>
                <w:rFonts w:ascii="Times New Roman"/>
                <w:sz w:val="2"/>
              </w:rPr>
            </w:pPr>
          </w:p>
        </w:tc>
        <w:tc>
          <w:tcPr>
            <w:tcW w:w="288" w:type="dxa"/>
            <w:tcBorders>
              <w:top w:val="nil"/>
              <w:bottom w:val="nil"/>
            </w:tcBorders>
          </w:tcPr>
          <w:p w14:paraId="5EA65178" w14:textId="77777777" w:rsidR="00F65BCA" w:rsidRDefault="00F65BCA">
            <w:pPr>
              <w:pStyle w:val="TableParagraph"/>
              <w:rPr>
                <w:rFonts w:ascii="Times New Roman"/>
                <w:sz w:val="2"/>
              </w:rPr>
            </w:pPr>
          </w:p>
        </w:tc>
        <w:tc>
          <w:tcPr>
            <w:tcW w:w="288" w:type="dxa"/>
            <w:tcBorders>
              <w:top w:val="nil"/>
              <w:bottom w:val="nil"/>
            </w:tcBorders>
          </w:tcPr>
          <w:p w14:paraId="2D9044AF" w14:textId="77777777" w:rsidR="00F65BCA" w:rsidRDefault="00F65BCA">
            <w:pPr>
              <w:pStyle w:val="TableParagraph"/>
              <w:rPr>
                <w:rFonts w:ascii="Times New Roman"/>
                <w:sz w:val="2"/>
              </w:rPr>
            </w:pPr>
          </w:p>
        </w:tc>
        <w:tc>
          <w:tcPr>
            <w:tcW w:w="288" w:type="dxa"/>
            <w:tcBorders>
              <w:top w:val="nil"/>
              <w:bottom w:val="nil"/>
            </w:tcBorders>
          </w:tcPr>
          <w:p w14:paraId="12A7AA1F" w14:textId="77777777" w:rsidR="00F65BCA" w:rsidRDefault="00F65BCA">
            <w:pPr>
              <w:pStyle w:val="TableParagraph"/>
              <w:rPr>
                <w:rFonts w:ascii="Times New Roman"/>
                <w:sz w:val="2"/>
              </w:rPr>
            </w:pPr>
          </w:p>
        </w:tc>
        <w:tc>
          <w:tcPr>
            <w:tcW w:w="288" w:type="dxa"/>
            <w:tcBorders>
              <w:top w:val="nil"/>
              <w:bottom w:val="nil"/>
            </w:tcBorders>
          </w:tcPr>
          <w:p w14:paraId="453611BF" w14:textId="77777777" w:rsidR="00F65BCA" w:rsidRDefault="00F65BCA">
            <w:pPr>
              <w:pStyle w:val="TableParagraph"/>
              <w:rPr>
                <w:rFonts w:ascii="Times New Roman"/>
                <w:sz w:val="2"/>
              </w:rPr>
            </w:pPr>
          </w:p>
        </w:tc>
        <w:tc>
          <w:tcPr>
            <w:tcW w:w="288" w:type="dxa"/>
            <w:tcBorders>
              <w:top w:val="nil"/>
              <w:bottom w:val="nil"/>
            </w:tcBorders>
          </w:tcPr>
          <w:p w14:paraId="4653A5DA" w14:textId="77777777" w:rsidR="00F65BCA" w:rsidRDefault="00F65BCA">
            <w:pPr>
              <w:pStyle w:val="TableParagraph"/>
              <w:rPr>
                <w:rFonts w:ascii="Times New Roman"/>
                <w:sz w:val="2"/>
              </w:rPr>
            </w:pPr>
          </w:p>
        </w:tc>
        <w:tc>
          <w:tcPr>
            <w:tcW w:w="288" w:type="dxa"/>
            <w:tcBorders>
              <w:top w:val="nil"/>
              <w:bottom w:val="nil"/>
            </w:tcBorders>
          </w:tcPr>
          <w:p w14:paraId="120E7164" w14:textId="77777777" w:rsidR="00F65BCA" w:rsidRDefault="00F65BCA">
            <w:pPr>
              <w:pStyle w:val="TableParagraph"/>
              <w:rPr>
                <w:rFonts w:ascii="Times New Roman"/>
                <w:sz w:val="2"/>
              </w:rPr>
            </w:pPr>
          </w:p>
        </w:tc>
        <w:tc>
          <w:tcPr>
            <w:tcW w:w="288" w:type="dxa"/>
            <w:tcBorders>
              <w:top w:val="nil"/>
              <w:bottom w:val="nil"/>
            </w:tcBorders>
          </w:tcPr>
          <w:p w14:paraId="4F20D0F5" w14:textId="77777777" w:rsidR="00F65BCA" w:rsidRDefault="00F65BCA">
            <w:pPr>
              <w:pStyle w:val="TableParagraph"/>
              <w:rPr>
                <w:rFonts w:ascii="Times New Roman"/>
                <w:sz w:val="2"/>
              </w:rPr>
            </w:pPr>
          </w:p>
        </w:tc>
        <w:tc>
          <w:tcPr>
            <w:tcW w:w="288" w:type="dxa"/>
            <w:tcBorders>
              <w:top w:val="nil"/>
              <w:bottom w:val="nil"/>
            </w:tcBorders>
          </w:tcPr>
          <w:p w14:paraId="38FD39B8" w14:textId="77777777" w:rsidR="00F65BCA" w:rsidRDefault="00F65BCA">
            <w:pPr>
              <w:pStyle w:val="TableParagraph"/>
              <w:rPr>
                <w:rFonts w:ascii="Times New Roman"/>
                <w:sz w:val="2"/>
              </w:rPr>
            </w:pPr>
          </w:p>
        </w:tc>
        <w:tc>
          <w:tcPr>
            <w:tcW w:w="288" w:type="dxa"/>
            <w:tcBorders>
              <w:top w:val="nil"/>
              <w:bottom w:val="nil"/>
            </w:tcBorders>
          </w:tcPr>
          <w:p w14:paraId="659C2534" w14:textId="77777777" w:rsidR="00F65BCA" w:rsidRDefault="00F65BCA">
            <w:pPr>
              <w:pStyle w:val="TableParagraph"/>
              <w:rPr>
                <w:rFonts w:ascii="Times New Roman"/>
                <w:sz w:val="2"/>
              </w:rPr>
            </w:pPr>
          </w:p>
        </w:tc>
        <w:tc>
          <w:tcPr>
            <w:tcW w:w="288" w:type="dxa"/>
            <w:tcBorders>
              <w:top w:val="nil"/>
              <w:bottom w:val="nil"/>
            </w:tcBorders>
          </w:tcPr>
          <w:p w14:paraId="324C222B" w14:textId="77777777" w:rsidR="00F65BCA" w:rsidRDefault="00F65BCA">
            <w:pPr>
              <w:pStyle w:val="TableParagraph"/>
              <w:rPr>
                <w:rFonts w:ascii="Times New Roman"/>
                <w:sz w:val="2"/>
              </w:rPr>
            </w:pPr>
          </w:p>
        </w:tc>
      </w:tr>
      <w:tr w:rsidR="00F65BCA" w14:paraId="1428E364" w14:textId="77777777">
        <w:trPr>
          <w:trHeight w:val="33"/>
        </w:trPr>
        <w:tc>
          <w:tcPr>
            <w:tcW w:w="526" w:type="dxa"/>
            <w:vMerge/>
            <w:tcBorders>
              <w:top w:val="nil"/>
            </w:tcBorders>
            <w:shd w:val="clear" w:color="auto" w:fill="FCE4D6"/>
          </w:tcPr>
          <w:p w14:paraId="5ECA558C" w14:textId="77777777" w:rsidR="00F65BCA" w:rsidRDefault="00F65BCA">
            <w:pPr>
              <w:rPr>
                <w:sz w:val="2"/>
                <w:szCs w:val="2"/>
              </w:rPr>
            </w:pPr>
          </w:p>
        </w:tc>
        <w:tc>
          <w:tcPr>
            <w:tcW w:w="732" w:type="dxa"/>
            <w:tcBorders>
              <w:top w:val="nil"/>
              <w:bottom w:val="nil"/>
            </w:tcBorders>
            <w:shd w:val="clear" w:color="auto" w:fill="FCE4D6"/>
          </w:tcPr>
          <w:p w14:paraId="1340C1EA" w14:textId="77777777" w:rsidR="00F65BCA" w:rsidRDefault="00F65BCA">
            <w:pPr>
              <w:pStyle w:val="TableParagraph"/>
              <w:rPr>
                <w:rFonts w:ascii="Times New Roman"/>
                <w:sz w:val="2"/>
              </w:rPr>
            </w:pPr>
          </w:p>
        </w:tc>
        <w:tc>
          <w:tcPr>
            <w:tcW w:w="958" w:type="dxa"/>
            <w:gridSpan w:val="2"/>
            <w:tcBorders>
              <w:top w:val="nil"/>
              <w:bottom w:val="nil"/>
            </w:tcBorders>
            <w:shd w:val="clear" w:color="auto" w:fill="FCE4D6"/>
          </w:tcPr>
          <w:p w14:paraId="365BF09F" w14:textId="77777777" w:rsidR="00F65BCA" w:rsidRDefault="00216117">
            <w:pPr>
              <w:pStyle w:val="TableParagraph"/>
              <w:spacing w:line="13" w:lineRule="exact"/>
              <w:ind w:left="4"/>
              <w:rPr>
                <w:sz w:val="3"/>
              </w:rPr>
            </w:pPr>
            <w:r>
              <w:rPr>
                <w:w w:val="105"/>
                <w:sz w:val="3"/>
              </w:rPr>
              <w:t>PASEO; PICNIC; PREVIA; PRIUS; PRIUS PLUS; RAV 4; RAV 4</w:t>
            </w:r>
          </w:p>
        </w:tc>
        <w:tc>
          <w:tcPr>
            <w:tcW w:w="576" w:type="dxa"/>
            <w:tcBorders>
              <w:top w:val="nil"/>
              <w:bottom w:val="nil"/>
            </w:tcBorders>
            <w:shd w:val="clear" w:color="auto" w:fill="FCE4D6"/>
          </w:tcPr>
          <w:p w14:paraId="002AC999"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0484B127" w14:textId="77777777" w:rsidR="00F65BCA" w:rsidRDefault="00F65BCA">
            <w:pPr>
              <w:pStyle w:val="TableParagraph"/>
              <w:rPr>
                <w:rFonts w:ascii="Times New Roman"/>
                <w:sz w:val="2"/>
              </w:rPr>
            </w:pPr>
          </w:p>
        </w:tc>
        <w:tc>
          <w:tcPr>
            <w:tcW w:w="50" w:type="dxa"/>
            <w:vMerge/>
            <w:tcBorders>
              <w:top w:val="nil"/>
              <w:bottom w:val="nil"/>
            </w:tcBorders>
          </w:tcPr>
          <w:p w14:paraId="718CCBFB" w14:textId="77777777" w:rsidR="00F65BCA" w:rsidRDefault="00F65BCA">
            <w:pPr>
              <w:rPr>
                <w:sz w:val="2"/>
                <w:szCs w:val="2"/>
              </w:rPr>
            </w:pPr>
          </w:p>
        </w:tc>
        <w:tc>
          <w:tcPr>
            <w:tcW w:w="288" w:type="dxa"/>
            <w:tcBorders>
              <w:top w:val="nil"/>
              <w:bottom w:val="nil"/>
            </w:tcBorders>
          </w:tcPr>
          <w:p w14:paraId="417A47D7" w14:textId="77777777" w:rsidR="00F65BCA" w:rsidRDefault="00F65BCA">
            <w:pPr>
              <w:pStyle w:val="TableParagraph"/>
              <w:rPr>
                <w:rFonts w:ascii="Times New Roman"/>
                <w:sz w:val="2"/>
              </w:rPr>
            </w:pPr>
          </w:p>
        </w:tc>
        <w:tc>
          <w:tcPr>
            <w:tcW w:w="288" w:type="dxa"/>
            <w:tcBorders>
              <w:top w:val="nil"/>
              <w:bottom w:val="nil"/>
            </w:tcBorders>
          </w:tcPr>
          <w:p w14:paraId="0B22ED22" w14:textId="77777777" w:rsidR="00F65BCA" w:rsidRDefault="00F65BCA">
            <w:pPr>
              <w:pStyle w:val="TableParagraph"/>
              <w:rPr>
                <w:rFonts w:ascii="Times New Roman"/>
                <w:sz w:val="2"/>
              </w:rPr>
            </w:pPr>
          </w:p>
        </w:tc>
        <w:tc>
          <w:tcPr>
            <w:tcW w:w="288" w:type="dxa"/>
            <w:tcBorders>
              <w:top w:val="nil"/>
              <w:bottom w:val="nil"/>
            </w:tcBorders>
          </w:tcPr>
          <w:p w14:paraId="55EFE5A7" w14:textId="77777777" w:rsidR="00F65BCA" w:rsidRDefault="00F65BCA">
            <w:pPr>
              <w:pStyle w:val="TableParagraph"/>
              <w:rPr>
                <w:rFonts w:ascii="Times New Roman"/>
                <w:sz w:val="2"/>
              </w:rPr>
            </w:pPr>
          </w:p>
        </w:tc>
        <w:tc>
          <w:tcPr>
            <w:tcW w:w="288" w:type="dxa"/>
            <w:tcBorders>
              <w:top w:val="nil"/>
              <w:bottom w:val="nil"/>
            </w:tcBorders>
          </w:tcPr>
          <w:p w14:paraId="6F4A0943" w14:textId="77777777" w:rsidR="00F65BCA" w:rsidRDefault="00F65BCA">
            <w:pPr>
              <w:pStyle w:val="TableParagraph"/>
              <w:rPr>
                <w:rFonts w:ascii="Times New Roman"/>
                <w:sz w:val="2"/>
              </w:rPr>
            </w:pPr>
          </w:p>
        </w:tc>
        <w:tc>
          <w:tcPr>
            <w:tcW w:w="288" w:type="dxa"/>
            <w:tcBorders>
              <w:top w:val="nil"/>
              <w:bottom w:val="nil"/>
            </w:tcBorders>
          </w:tcPr>
          <w:p w14:paraId="06524821" w14:textId="77777777" w:rsidR="00F65BCA" w:rsidRDefault="00F65BCA">
            <w:pPr>
              <w:pStyle w:val="TableParagraph"/>
              <w:rPr>
                <w:rFonts w:ascii="Times New Roman"/>
                <w:sz w:val="2"/>
              </w:rPr>
            </w:pPr>
          </w:p>
        </w:tc>
        <w:tc>
          <w:tcPr>
            <w:tcW w:w="288" w:type="dxa"/>
            <w:tcBorders>
              <w:top w:val="nil"/>
              <w:bottom w:val="nil"/>
            </w:tcBorders>
          </w:tcPr>
          <w:p w14:paraId="1DA5C5F9" w14:textId="77777777" w:rsidR="00F65BCA" w:rsidRDefault="00F65BCA">
            <w:pPr>
              <w:pStyle w:val="TableParagraph"/>
              <w:rPr>
                <w:rFonts w:ascii="Times New Roman"/>
                <w:sz w:val="2"/>
              </w:rPr>
            </w:pPr>
          </w:p>
        </w:tc>
        <w:tc>
          <w:tcPr>
            <w:tcW w:w="288" w:type="dxa"/>
            <w:tcBorders>
              <w:top w:val="nil"/>
              <w:bottom w:val="nil"/>
            </w:tcBorders>
          </w:tcPr>
          <w:p w14:paraId="7BA8ACD5" w14:textId="77777777" w:rsidR="00F65BCA" w:rsidRDefault="00F65BCA">
            <w:pPr>
              <w:pStyle w:val="TableParagraph"/>
              <w:rPr>
                <w:rFonts w:ascii="Times New Roman"/>
                <w:sz w:val="2"/>
              </w:rPr>
            </w:pPr>
          </w:p>
        </w:tc>
        <w:tc>
          <w:tcPr>
            <w:tcW w:w="288" w:type="dxa"/>
            <w:tcBorders>
              <w:top w:val="nil"/>
              <w:bottom w:val="nil"/>
            </w:tcBorders>
          </w:tcPr>
          <w:p w14:paraId="10FB5D3F" w14:textId="77777777" w:rsidR="00F65BCA" w:rsidRDefault="00F65BCA">
            <w:pPr>
              <w:pStyle w:val="TableParagraph"/>
              <w:rPr>
                <w:rFonts w:ascii="Times New Roman"/>
                <w:sz w:val="2"/>
              </w:rPr>
            </w:pPr>
          </w:p>
        </w:tc>
        <w:tc>
          <w:tcPr>
            <w:tcW w:w="288" w:type="dxa"/>
            <w:tcBorders>
              <w:top w:val="nil"/>
              <w:bottom w:val="nil"/>
            </w:tcBorders>
          </w:tcPr>
          <w:p w14:paraId="1634E2BA" w14:textId="77777777" w:rsidR="00F65BCA" w:rsidRDefault="00F65BCA">
            <w:pPr>
              <w:pStyle w:val="TableParagraph"/>
              <w:rPr>
                <w:rFonts w:ascii="Times New Roman"/>
                <w:sz w:val="2"/>
              </w:rPr>
            </w:pPr>
          </w:p>
        </w:tc>
        <w:tc>
          <w:tcPr>
            <w:tcW w:w="288" w:type="dxa"/>
            <w:tcBorders>
              <w:top w:val="nil"/>
              <w:bottom w:val="nil"/>
            </w:tcBorders>
          </w:tcPr>
          <w:p w14:paraId="05EAACD3" w14:textId="77777777" w:rsidR="00F65BCA" w:rsidRDefault="00F65BCA">
            <w:pPr>
              <w:pStyle w:val="TableParagraph"/>
              <w:rPr>
                <w:rFonts w:ascii="Times New Roman"/>
                <w:sz w:val="2"/>
              </w:rPr>
            </w:pPr>
          </w:p>
        </w:tc>
        <w:tc>
          <w:tcPr>
            <w:tcW w:w="288" w:type="dxa"/>
            <w:tcBorders>
              <w:top w:val="nil"/>
              <w:bottom w:val="nil"/>
            </w:tcBorders>
          </w:tcPr>
          <w:p w14:paraId="16F4D76C" w14:textId="77777777" w:rsidR="00F65BCA" w:rsidRDefault="00F65BCA">
            <w:pPr>
              <w:pStyle w:val="TableParagraph"/>
              <w:rPr>
                <w:rFonts w:ascii="Times New Roman"/>
                <w:sz w:val="2"/>
              </w:rPr>
            </w:pPr>
          </w:p>
        </w:tc>
        <w:tc>
          <w:tcPr>
            <w:tcW w:w="288" w:type="dxa"/>
            <w:tcBorders>
              <w:top w:val="nil"/>
              <w:bottom w:val="nil"/>
            </w:tcBorders>
          </w:tcPr>
          <w:p w14:paraId="49F909A0" w14:textId="77777777" w:rsidR="00F65BCA" w:rsidRDefault="00F65BCA">
            <w:pPr>
              <w:pStyle w:val="TableParagraph"/>
              <w:rPr>
                <w:rFonts w:ascii="Times New Roman"/>
                <w:sz w:val="2"/>
              </w:rPr>
            </w:pPr>
          </w:p>
        </w:tc>
        <w:tc>
          <w:tcPr>
            <w:tcW w:w="288" w:type="dxa"/>
            <w:tcBorders>
              <w:top w:val="nil"/>
              <w:bottom w:val="nil"/>
            </w:tcBorders>
          </w:tcPr>
          <w:p w14:paraId="71F30C39" w14:textId="77777777" w:rsidR="00F65BCA" w:rsidRDefault="00F65BCA">
            <w:pPr>
              <w:pStyle w:val="TableParagraph"/>
              <w:rPr>
                <w:rFonts w:ascii="Times New Roman"/>
                <w:sz w:val="2"/>
              </w:rPr>
            </w:pPr>
          </w:p>
        </w:tc>
      </w:tr>
      <w:tr w:rsidR="00F65BCA" w14:paraId="567963B8" w14:textId="77777777">
        <w:trPr>
          <w:trHeight w:val="36"/>
        </w:trPr>
        <w:tc>
          <w:tcPr>
            <w:tcW w:w="526" w:type="dxa"/>
            <w:vMerge/>
            <w:tcBorders>
              <w:top w:val="nil"/>
            </w:tcBorders>
            <w:shd w:val="clear" w:color="auto" w:fill="FCE4D6"/>
          </w:tcPr>
          <w:p w14:paraId="7FA83064" w14:textId="77777777" w:rsidR="00F65BCA" w:rsidRDefault="00F65BCA">
            <w:pPr>
              <w:rPr>
                <w:sz w:val="2"/>
                <w:szCs w:val="2"/>
              </w:rPr>
            </w:pPr>
          </w:p>
        </w:tc>
        <w:tc>
          <w:tcPr>
            <w:tcW w:w="732" w:type="dxa"/>
            <w:tcBorders>
              <w:top w:val="nil"/>
              <w:bottom w:val="nil"/>
            </w:tcBorders>
            <w:shd w:val="clear" w:color="auto" w:fill="FCE4D6"/>
          </w:tcPr>
          <w:p w14:paraId="72556DF4" w14:textId="77777777" w:rsidR="00F65BCA" w:rsidRDefault="00F65BCA">
            <w:pPr>
              <w:pStyle w:val="TableParagraph"/>
              <w:rPr>
                <w:rFonts w:ascii="Times New Roman"/>
                <w:sz w:val="2"/>
              </w:rPr>
            </w:pPr>
          </w:p>
        </w:tc>
        <w:tc>
          <w:tcPr>
            <w:tcW w:w="958" w:type="dxa"/>
            <w:gridSpan w:val="2"/>
            <w:tcBorders>
              <w:top w:val="nil"/>
              <w:bottom w:val="nil"/>
            </w:tcBorders>
            <w:shd w:val="clear" w:color="auto" w:fill="FCE4D6"/>
          </w:tcPr>
          <w:p w14:paraId="52680CC5" w14:textId="77777777" w:rsidR="00F65BCA" w:rsidRDefault="00216117">
            <w:pPr>
              <w:pStyle w:val="TableParagraph"/>
              <w:spacing w:line="16" w:lineRule="exact"/>
              <w:ind w:left="4"/>
              <w:rPr>
                <w:sz w:val="3"/>
              </w:rPr>
            </w:pPr>
            <w:r>
              <w:rPr>
                <w:w w:val="105"/>
                <w:sz w:val="3"/>
              </w:rPr>
              <w:t>WAGON; SEQUOIA; SIENNA; STARLET; SUPRA; TACOMA;</w:t>
            </w:r>
          </w:p>
        </w:tc>
        <w:tc>
          <w:tcPr>
            <w:tcW w:w="576" w:type="dxa"/>
            <w:tcBorders>
              <w:top w:val="nil"/>
              <w:bottom w:val="nil"/>
            </w:tcBorders>
            <w:shd w:val="clear" w:color="auto" w:fill="FCE4D6"/>
          </w:tcPr>
          <w:p w14:paraId="7CBEC764" w14:textId="77777777" w:rsidR="00F65BCA" w:rsidRDefault="00216117">
            <w:pPr>
              <w:pStyle w:val="TableParagraph"/>
              <w:spacing w:before="3" w:line="14" w:lineRule="exact"/>
              <w:ind w:left="128" w:right="128"/>
              <w:jc w:val="center"/>
              <w:rPr>
                <w:sz w:val="3"/>
              </w:rPr>
            </w:pPr>
            <w:r>
              <w:rPr>
                <w:w w:val="105"/>
                <w:sz w:val="3"/>
              </w:rPr>
              <w:t>&gt;1000 ccm</w:t>
            </w:r>
          </w:p>
        </w:tc>
        <w:tc>
          <w:tcPr>
            <w:tcW w:w="576" w:type="dxa"/>
            <w:tcBorders>
              <w:top w:val="nil"/>
              <w:bottom w:val="nil"/>
            </w:tcBorders>
            <w:shd w:val="clear" w:color="auto" w:fill="FCE4D6"/>
          </w:tcPr>
          <w:p w14:paraId="3DF441C3" w14:textId="77777777" w:rsidR="00F65BCA" w:rsidRDefault="00216117">
            <w:pPr>
              <w:pStyle w:val="TableParagraph"/>
              <w:spacing w:before="3" w:line="14" w:lineRule="exact"/>
              <w:ind w:left="3"/>
              <w:jc w:val="center"/>
              <w:rPr>
                <w:sz w:val="3"/>
              </w:rPr>
            </w:pPr>
            <w:r>
              <w:rPr>
                <w:w w:val="103"/>
                <w:sz w:val="3"/>
              </w:rPr>
              <w:t>-</w:t>
            </w:r>
          </w:p>
        </w:tc>
        <w:tc>
          <w:tcPr>
            <w:tcW w:w="50" w:type="dxa"/>
            <w:vMerge/>
            <w:tcBorders>
              <w:top w:val="nil"/>
              <w:bottom w:val="nil"/>
            </w:tcBorders>
          </w:tcPr>
          <w:p w14:paraId="5E8BA82F" w14:textId="77777777" w:rsidR="00F65BCA" w:rsidRDefault="00F65BCA">
            <w:pPr>
              <w:rPr>
                <w:sz w:val="2"/>
                <w:szCs w:val="2"/>
              </w:rPr>
            </w:pPr>
          </w:p>
        </w:tc>
        <w:tc>
          <w:tcPr>
            <w:tcW w:w="288" w:type="dxa"/>
            <w:tcBorders>
              <w:top w:val="nil"/>
              <w:bottom w:val="nil"/>
            </w:tcBorders>
          </w:tcPr>
          <w:p w14:paraId="2EC004D1" w14:textId="77777777" w:rsidR="00F65BCA" w:rsidRDefault="00216117">
            <w:pPr>
              <w:pStyle w:val="TableParagraph"/>
              <w:spacing w:before="3" w:line="14" w:lineRule="exact"/>
              <w:ind w:left="24" w:right="24"/>
              <w:jc w:val="center"/>
              <w:rPr>
                <w:sz w:val="3"/>
              </w:rPr>
            </w:pPr>
            <w:r>
              <w:rPr>
                <w:w w:val="105"/>
                <w:sz w:val="3"/>
              </w:rPr>
              <w:t>1,49842090%</w:t>
            </w:r>
          </w:p>
        </w:tc>
        <w:tc>
          <w:tcPr>
            <w:tcW w:w="288" w:type="dxa"/>
            <w:tcBorders>
              <w:top w:val="nil"/>
              <w:bottom w:val="nil"/>
            </w:tcBorders>
          </w:tcPr>
          <w:p w14:paraId="1785956D" w14:textId="77777777" w:rsidR="00F65BCA" w:rsidRDefault="00216117">
            <w:pPr>
              <w:pStyle w:val="TableParagraph"/>
              <w:spacing w:before="3" w:line="14" w:lineRule="exact"/>
              <w:ind w:left="24" w:right="24"/>
              <w:jc w:val="center"/>
              <w:rPr>
                <w:sz w:val="3"/>
              </w:rPr>
            </w:pPr>
            <w:r>
              <w:rPr>
                <w:w w:val="105"/>
                <w:sz w:val="3"/>
              </w:rPr>
              <w:t>1,40476960%</w:t>
            </w:r>
          </w:p>
        </w:tc>
        <w:tc>
          <w:tcPr>
            <w:tcW w:w="288" w:type="dxa"/>
            <w:tcBorders>
              <w:top w:val="nil"/>
              <w:bottom w:val="nil"/>
            </w:tcBorders>
          </w:tcPr>
          <w:p w14:paraId="7AC245B8" w14:textId="77777777" w:rsidR="00F65BCA" w:rsidRDefault="00216117">
            <w:pPr>
              <w:pStyle w:val="TableParagraph"/>
              <w:spacing w:before="3" w:line="14" w:lineRule="exact"/>
              <w:ind w:left="47"/>
              <w:rPr>
                <w:sz w:val="3"/>
              </w:rPr>
            </w:pPr>
            <w:r>
              <w:rPr>
                <w:w w:val="105"/>
                <w:sz w:val="3"/>
              </w:rPr>
              <w:t>1,33921368%</w:t>
            </w:r>
          </w:p>
        </w:tc>
        <w:tc>
          <w:tcPr>
            <w:tcW w:w="288" w:type="dxa"/>
            <w:tcBorders>
              <w:top w:val="nil"/>
              <w:bottom w:val="nil"/>
            </w:tcBorders>
          </w:tcPr>
          <w:p w14:paraId="09F99CDB" w14:textId="77777777" w:rsidR="00F65BCA" w:rsidRDefault="00216117">
            <w:pPr>
              <w:pStyle w:val="TableParagraph"/>
              <w:spacing w:before="3" w:line="14" w:lineRule="exact"/>
              <w:ind w:left="24" w:right="24"/>
              <w:jc w:val="center"/>
              <w:rPr>
                <w:sz w:val="3"/>
              </w:rPr>
            </w:pPr>
            <w:r>
              <w:rPr>
                <w:w w:val="105"/>
                <w:sz w:val="3"/>
              </w:rPr>
              <w:t>1,26429264%</w:t>
            </w:r>
          </w:p>
        </w:tc>
        <w:tc>
          <w:tcPr>
            <w:tcW w:w="288" w:type="dxa"/>
            <w:tcBorders>
              <w:top w:val="nil"/>
              <w:bottom w:val="nil"/>
            </w:tcBorders>
          </w:tcPr>
          <w:p w14:paraId="48033E85" w14:textId="77777777" w:rsidR="00F65BCA" w:rsidRDefault="00216117">
            <w:pPr>
              <w:pStyle w:val="TableParagraph"/>
              <w:spacing w:before="3" w:line="14" w:lineRule="exact"/>
              <w:ind w:left="47"/>
              <w:rPr>
                <w:sz w:val="3"/>
              </w:rPr>
            </w:pPr>
            <w:r>
              <w:rPr>
                <w:w w:val="105"/>
                <w:sz w:val="3"/>
              </w:rPr>
              <w:t>1,19873672%</w:t>
            </w:r>
          </w:p>
        </w:tc>
        <w:tc>
          <w:tcPr>
            <w:tcW w:w="288" w:type="dxa"/>
            <w:tcBorders>
              <w:top w:val="nil"/>
              <w:bottom w:val="nil"/>
            </w:tcBorders>
          </w:tcPr>
          <w:p w14:paraId="3F8260AA" w14:textId="77777777" w:rsidR="00F65BCA" w:rsidRDefault="00216117">
            <w:pPr>
              <w:pStyle w:val="TableParagraph"/>
              <w:spacing w:before="3" w:line="14" w:lineRule="exact"/>
              <w:ind w:left="24" w:right="24"/>
              <w:jc w:val="center"/>
              <w:rPr>
                <w:sz w:val="3"/>
              </w:rPr>
            </w:pPr>
            <w:r>
              <w:rPr>
                <w:w w:val="105"/>
                <w:sz w:val="3"/>
              </w:rPr>
              <w:t>1,11445055%</w:t>
            </w:r>
          </w:p>
        </w:tc>
        <w:tc>
          <w:tcPr>
            <w:tcW w:w="288" w:type="dxa"/>
            <w:tcBorders>
              <w:top w:val="nil"/>
              <w:bottom w:val="nil"/>
            </w:tcBorders>
          </w:tcPr>
          <w:p w14:paraId="07C32643" w14:textId="77777777" w:rsidR="00F65BCA" w:rsidRDefault="00216117">
            <w:pPr>
              <w:pStyle w:val="TableParagraph"/>
              <w:spacing w:before="3" w:line="14" w:lineRule="exact"/>
              <w:ind w:left="24" w:right="24"/>
              <w:jc w:val="center"/>
              <w:rPr>
                <w:sz w:val="3"/>
              </w:rPr>
            </w:pPr>
            <w:r>
              <w:rPr>
                <w:w w:val="105"/>
                <w:sz w:val="3"/>
              </w:rPr>
              <w:t>1,03016437%</w:t>
            </w:r>
          </w:p>
        </w:tc>
        <w:tc>
          <w:tcPr>
            <w:tcW w:w="288" w:type="dxa"/>
            <w:tcBorders>
              <w:top w:val="nil"/>
              <w:bottom w:val="nil"/>
            </w:tcBorders>
          </w:tcPr>
          <w:p w14:paraId="649F9D46" w14:textId="77777777" w:rsidR="00F65BCA" w:rsidRDefault="00216117">
            <w:pPr>
              <w:pStyle w:val="TableParagraph"/>
              <w:spacing w:before="3" w:line="14" w:lineRule="exact"/>
              <w:ind w:left="47"/>
              <w:rPr>
                <w:sz w:val="3"/>
              </w:rPr>
            </w:pPr>
            <w:r>
              <w:rPr>
                <w:w w:val="105"/>
                <w:sz w:val="3"/>
              </w:rPr>
              <w:t>0,93651307%</w:t>
            </w:r>
          </w:p>
        </w:tc>
        <w:tc>
          <w:tcPr>
            <w:tcW w:w="288" w:type="dxa"/>
            <w:tcBorders>
              <w:top w:val="nil"/>
              <w:bottom w:val="nil"/>
            </w:tcBorders>
          </w:tcPr>
          <w:p w14:paraId="5A616477" w14:textId="77777777" w:rsidR="00F65BCA" w:rsidRDefault="00216117">
            <w:pPr>
              <w:pStyle w:val="TableParagraph"/>
              <w:spacing w:before="3" w:line="14" w:lineRule="exact"/>
              <w:ind w:left="24" w:right="24"/>
              <w:jc w:val="center"/>
              <w:rPr>
                <w:sz w:val="3"/>
              </w:rPr>
            </w:pPr>
            <w:r>
              <w:rPr>
                <w:w w:val="105"/>
                <w:sz w:val="3"/>
              </w:rPr>
              <w:t>0,93651307%</w:t>
            </w:r>
          </w:p>
        </w:tc>
        <w:tc>
          <w:tcPr>
            <w:tcW w:w="288" w:type="dxa"/>
            <w:tcBorders>
              <w:top w:val="nil"/>
              <w:bottom w:val="nil"/>
            </w:tcBorders>
          </w:tcPr>
          <w:p w14:paraId="6558017E" w14:textId="77777777" w:rsidR="00F65BCA" w:rsidRDefault="00216117">
            <w:pPr>
              <w:pStyle w:val="TableParagraph"/>
              <w:spacing w:before="3" w:line="14" w:lineRule="exact"/>
              <w:ind w:left="24" w:right="24"/>
              <w:jc w:val="center"/>
              <w:rPr>
                <w:sz w:val="3"/>
              </w:rPr>
            </w:pPr>
            <w:r>
              <w:rPr>
                <w:w w:val="105"/>
                <w:sz w:val="3"/>
              </w:rPr>
              <w:t>1,12381568%</w:t>
            </w:r>
          </w:p>
        </w:tc>
        <w:tc>
          <w:tcPr>
            <w:tcW w:w="288" w:type="dxa"/>
            <w:tcBorders>
              <w:top w:val="nil"/>
              <w:bottom w:val="nil"/>
            </w:tcBorders>
          </w:tcPr>
          <w:p w14:paraId="7C3E3DEC" w14:textId="77777777" w:rsidR="00F65BCA" w:rsidRDefault="00216117">
            <w:pPr>
              <w:pStyle w:val="TableParagraph"/>
              <w:spacing w:before="3" w:line="14" w:lineRule="exact"/>
              <w:ind w:left="24" w:right="24"/>
              <w:jc w:val="center"/>
              <w:rPr>
                <w:sz w:val="3"/>
              </w:rPr>
            </w:pPr>
            <w:r>
              <w:rPr>
                <w:w w:val="105"/>
                <w:sz w:val="3"/>
              </w:rPr>
              <w:t>1,26429264%</w:t>
            </w:r>
          </w:p>
        </w:tc>
        <w:tc>
          <w:tcPr>
            <w:tcW w:w="288" w:type="dxa"/>
            <w:tcBorders>
              <w:top w:val="nil"/>
              <w:bottom w:val="nil"/>
            </w:tcBorders>
          </w:tcPr>
          <w:p w14:paraId="7ADA904D" w14:textId="77777777" w:rsidR="00F65BCA" w:rsidRDefault="00216117">
            <w:pPr>
              <w:pStyle w:val="TableParagraph"/>
              <w:spacing w:before="3" w:line="14" w:lineRule="exact"/>
              <w:ind w:left="24" w:right="24"/>
              <w:jc w:val="center"/>
              <w:rPr>
                <w:sz w:val="3"/>
              </w:rPr>
            </w:pPr>
            <w:r>
              <w:rPr>
                <w:w w:val="105"/>
                <w:sz w:val="3"/>
              </w:rPr>
              <w:t>1,26429264%</w:t>
            </w:r>
          </w:p>
        </w:tc>
        <w:tc>
          <w:tcPr>
            <w:tcW w:w="288" w:type="dxa"/>
            <w:tcBorders>
              <w:top w:val="nil"/>
              <w:bottom w:val="nil"/>
            </w:tcBorders>
          </w:tcPr>
          <w:p w14:paraId="2DDEC6B2" w14:textId="77777777" w:rsidR="00F65BCA" w:rsidRDefault="00216117">
            <w:pPr>
              <w:pStyle w:val="TableParagraph"/>
              <w:spacing w:before="3" w:line="14" w:lineRule="exact"/>
              <w:ind w:left="47"/>
              <w:rPr>
                <w:sz w:val="3"/>
              </w:rPr>
            </w:pPr>
            <w:r>
              <w:rPr>
                <w:w w:val="105"/>
                <w:sz w:val="3"/>
              </w:rPr>
              <w:t>1,40476960%</w:t>
            </w:r>
          </w:p>
        </w:tc>
      </w:tr>
      <w:tr w:rsidR="00F65BCA" w14:paraId="28622E97" w14:textId="77777777">
        <w:trPr>
          <w:trHeight w:val="34"/>
        </w:trPr>
        <w:tc>
          <w:tcPr>
            <w:tcW w:w="526" w:type="dxa"/>
            <w:vMerge/>
            <w:tcBorders>
              <w:top w:val="nil"/>
            </w:tcBorders>
            <w:shd w:val="clear" w:color="auto" w:fill="FCE4D6"/>
          </w:tcPr>
          <w:p w14:paraId="09F36782" w14:textId="77777777" w:rsidR="00F65BCA" w:rsidRDefault="00F65BCA">
            <w:pPr>
              <w:rPr>
                <w:sz w:val="2"/>
                <w:szCs w:val="2"/>
              </w:rPr>
            </w:pPr>
          </w:p>
        </w:tc>
        <w:tc>
          <w:tcPr>
            <w:tcW w:w="732" w:type="dxa"/>
            <w:tcBorders>
              <w:top w:val="nil"/>
              <w:bottom w:val="nil"/>
            </w:tcBorders>
            <w:shd w:val="clear" w:color="auto" w:fill="FCE4D6"/>
          </w:tcPr>
          <w:p w14:paraId="59D69BA6" w14:textId="77777777" w:rsidR="00F65BCA" w:rsidRDefault="00F65BCA">
            <w:pPr>
              <w:pStyle w:val="TableParagraph"/>
              <w:rPr>
                <w:rFonts w:ascii="Times New Roman"/>
                <w:sz w:val="2"/>
              </w:rPr>
            </w:pPr>
          </w:p>
        </w:tc>
        <w:tc>
          <w:tcPr>
            <w:tcW w:w="958" w:type="dxa"/>
            <w:gridSpan w:val="2"/>
            <w:tcBorders>
              <w:top w:val="nil"/>
              <w:bottom w:val="nil"/>
            </w:tcBorders>
            <w:shd w:val="clear" w:color="auto" w:fill="FCE4D6"/>
          </w:tcPr>
          <w:p w14:paraId="191E1CB4" w14:textId="77777777" w:rsidR="00F65BCA" w:rsidRDefault="00216117">
            <w:pPr>
              <w:pStyle w:val="TableParagraph"/>
              <w:spacing w:line="15" w:lineRule="exact"/>
              <w:ind w:left="4"/>
              <w:rPr>
                <w:sz w:val="3"/>
              </w:rPr>
            </w:pPr>
            <w:r>
              <w:rPr>
                <w:w w:val="105"/>
                <w:sz w:val="3"/>
              </w:rPr>
              <w:t>TERCEL; TUNDRA; URBAN CRUISER; VENZA; VERSO; YARIS;</w:t>
            </w:r>
          </w:p>
        </w:tc>
        <w:tc>
          <w:tcPr>
            <w:tcW w:w="576" w:type="dxa"/>
            <w:tcBorders>
              <w:top w:val="nil"/>
              <w:bottom w:val="nil"/>
            </w:tcBorders>
            <w:shd w:val="clear" w:color="auto" w:fill="FCE4D6"/>
          </w:tcPr>
          <w:p w14:paraId="333FE05C"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348F0164" w14:textId="77777777" w:rsidR="00F65BCA" w:rsidRDefault="00F65BCA">
            <w:pPr>
              <w:pStyle w:val="TableParagraph"/>
              <w:rPr>
                <w:rFonts w:ascii="Times New Roman"/>
                <w:sz w:val="2"/>
              </w:rPr>
            </w:pPr>
          </w:p>
        </w:tc>
        <w:tc>
          <w:tcPr>
            <w:tcW w:w="50" w:type="dxa"/>
            <w:vMerge/>
            <w:tcBorders>
              <w:top w:val="nil"/>
              <w:bottom w:val="nil"/>
            </w:tcBorders>
          </w:tcPr>
          <w:p w14:paraId="6D35163E" w14:textId="77777777" w:rsidR="00F65BCA" w:rsidRDefault="00F65BCA">
            <w:pPr>
              <w:rPr>
                <w:sz w:val="2"/>
                <w:szCs w:val="2"/>
              </w:rPr>
            </w:pPr>
          </w:p>
        </w:tc>
        <w:tc>
          <w:tcPr>
            <w:tcW w:w="288" w:type="dxa"/>
            <w:tcBorders>
              <w:top w:val="nil"/>
              <w:bottom w:val="nil"/>
            </w:tcBorders>
          </w:tcPr>
          <w:p w14:paraId="28A33C37" w14:textId="77777777" w:rsidR="00F65BCA" w:rsidRDefault="00F65BCA">
            <w:pPr>
              <w:pStyle w:val="TableParagraph"/>
              <w:rPr>
                <w:rFonts w:ascii="Times New Roman"/>
                <w:sz w:val="2"/>
              </w:rPr>
            </w:pPr>
          </w:p>
        </w:tc>
        <w:tc>
          <w:tcPr>
            <w:tcW w:w="288" w:type="dxa"/>
            <w:tcBorders>
              <w:top w:val="nil"/>
              <w:bottom w:val="nil"/>
            </w:tcBorders>
          </w:tcPr>
          <w:p w14:paraId="1949CED8" w14:textId="77777777" w:rsidR="00F65BCA" w:rsidRDefault="00F65BCA">
            <w:pPr>
              <w:pStyle w:val="TableParagraph"/>
              <w:rPr>
                <w:rFonts w:ascii="Times New Roman"/>
                <w:sz w:val="2"/>
              </w:rPr>
            </w:pPr>
          </w:p>
        </w:tc>
        <w:tc>
          <w:tcPr>
            <w:tcW w:w="288" w:type="dxa"/>
            <w:tcBorders>
              <w:top w:val="nil"/>
              <w:bottom w:val="nil"/>
            </w:tcBorders>
          </w:tcPr>
          <w:p w14:paraId="3F90E52C" w14:textId="77777777" w:rsidR="00F65BCA" w:rsidRDefault="00F65BCA">
            <w:pPr>
              <w:pStyle w:val="TableParagraph"/>
              <w:rPr>
                <w:rFonts w:ascii="Times New Roman"/>
                <w:sz w:val="2"/>
              </w:rPr>
            </w:pPr>
          </w:p>
        </w:tc>
        <w:tc>
          <w:tcPr>
            <w:tcW w:w="288" w:type="dxa"/>
            <w:tcBorders>
              <w:top w:val="nil"/>
              <w:bottom w:val="nil"/>
            </w:tcBorders>
          </w:tcPr>
          <w:p w14:paraId="34B4A55F" w14:textId="77777777" w:rsidR="00F65BCA" w:rsidRDefault="00F65BCA">
            <w:pPr>
              <w:pStyle w:val="TableParagraph"/>
              <w:rPr>
                <w:rFonts w:ascii="Times New Roman"/>
                <w:sz w:val="2"/>
              </w:rPr>
            </w:pPr>
          </w:p>
        </w:tc>
        <w:tc>
          <w:tcPr>
            <w:tcW w:w="288" w:type="dxa"/>
            <w:tcBorders>
              <w:top w:val="nil"/>
              <w:bottom w:val="nil"/>
            </w:tcBorders>
          </w:tcPr>
          <w:p w14:paraId="113905EE" w14:textId="77777777" w:rsidR="00F65BCA" w:rsidRDefault="00F65BCA">
            <w:pPr>
              <w:pStyle w:val="TableParagraph"/>
              <w:rPr>
                <w:rFonts w:ascii="Times New Roman"/>
                <w:sz w:val="2"/>
              </w:rPr>
            </w:pPr>
          </w:p>
        </w:tc>
        <w:tc>
          <w:tcPr>
            <w:tcW w:w="288" w:type="dxa"/>
            <w:tcBorders>
              <w:top w:val="nil"/>
              <w:bottom w:val="nil"/>
            </w:tcBorders>
          </w:tcPr>
          <w:p w14:paraId="53A53BD3" w14:textId="77777777" w:rsidR="00F65BCA" w:rsidRDefault="00F65BCA">
            <w:pPr>
              <w:pStyle w:val="TableParagraph"/>
              <w:rPr>
                <w:rFonts w:ascii="Times New Roman"/>
                <w:sz w:val="2"/>
              </w:rPr>
            </w:pPr>
          </w:p>
        </w:tc>
        <w:tc>
          <w:tcPr>
            <w:tcW w:w="288" w:type="dxa"/>
            <w:tcBorders>
              <w:top w:val="nil"/>
              <w:bottom w:val="nil"/>
            </w:tcBorders>
          </w:tcPr>
          <w:p w14:paraId="04F4E89F" w14:textId="77777777" w:rsidR="00F65BCA" w:rsidRDefault="00F65BCA">
            <w:pPr>
              <w:pStyle w:val="TableParagraph"/>
              <w:rPr>
                <w:rFonts w:ascii="Times New Roman"/>
                <w:sz w:val="2"/>
              </w:rPr>
            </w:pPr>
          </w:p>
        </w:tc>
        <w:tc>
          <w:tcPr>
            <w:tcW w:w="288" w:type="dxa"/>
            <w:tcBorders>
              <w:top w:val="nil"/>
              <w:bottom w:val="nil"/>
            </w:tcBorders>
          </w:tcPr>
          <w:p w14:paraId="428CBC81" w14:textId="77777777" w:rsidR="00F65BCA" w:rsidRDefault="00F65BCA">
            <w:pPr>
              <w:pStyle w:val="TableParagraph"/>
              <w:rPr>
                <w:rFonts w:ascii="Times New Roman"/>
                <w:sz w:val="2"/>
              </w:rPr>
            </w:pPr>
          </w:p>
        </w:tc>
        <w:tc>
          <w:tcPr>
            <w:tcW w:w="288" w:type="dxa"/>
            <w:tcBorders>
              <w:top w:val="nil"/>
              <w:bottom w:val="nil"/>
            </w:tcBorders>
          </w:tcPr>
          <w:p w14:paraId="2C28892A" w14:textId="77777777" w:rsidR="00F65BCA" w:rsidRDefault="00F65BCA">
            <w:pPr>
              <w:pStyle w:val="TableParagraph"/>
              <w:rPr>
                <w:rFonts w:ascii="Times New Roman"/>
                <w:sz w:val="2"/>
              </w:rPr>
            </w:pPr>
          </w:p>
        </w:tc>
        <w:tc>
          <w:tcPr>
            <w:tcW w:w="288" w:type="dxa"/>
            <w:tcBorders>
              <w:top w:val="nil"/>
              <w:bottom w:val="nil"/>
            </w:tcBorders>
          </w:tcPr>
          <w:p w14:paraId="2A22E41B" w14:textId="77777777" w:rsidR="00F65BCA" w:rsidRDefault="00F65BCA">
            <w:pPr>
              <w:pStyle w:val="TableParagraph"/>
              <w:rPr>
                <w:rFonts w:ascii="Times New Roman"/>
                <w:sz w:val="2"/>
              </w:rPr>
            </w:pPr>
          </w:p>
        </w:tc>
        <w:tc>
          <w:tcPr>
            <w:tcW w:w="288" w:type="dxa"/>
            <w:tcBorders>
              <w:top w:val="nil"/>
              <w:bottom w:val="nil"/>
            </w:tcBorders>
          </w:tcPr>
          <w:p w14:paraId="17959D1A" w14:textId="77777777" w:rsidR="00F65BCA" w:rsidRDefault="00F65BCA">
            <w:pPr>
              <w:pStyle w:val="TableParagraph"/>
              <w:rPr>
                <w:rFonts w:ascii="Times New Roman"/>
                <w:sz w:val="2"/>
              </w:rPr>
            </w:pPr>
          </w:p>
        </w:tc>
        <w:tc>
          <w:tcPr>
            <w:tcW w:w="288" w:type="dxa"/>
            <w:tcBorders>
              <w:top w:val="nil"/>
              <w:bottom w:val="nil"/>
            </w:tcBorders>
          </w:tcPr>
          <w:p w14:paraId="61B8B83F" w14:textId="77777777" w:rsidR="00F65BCA" w:rsidRDefault="00F65BCA">
            <w:pPr>
              <w:pStyle w:val="TableParagraph"/>
              <w:rPr>
                <w:rFonts w:ascii="Times New Roman"/>
                <w:sz w:val="2"/>
              </w:rPr>
            </w:pPr>
          </w:p>
        </w:tc>
        <w:tc>
          <w:tcPr>
            <w:tcW w:w="288" w:type="dxa"/>
            <w:tcBorders>
              <w:top w:val="nil"/>
              <w:bottom w:val="nil"/>
            </w:tcBorders>
          </w:tcPr>
          <w:p w14:paraId="068145DF" w14:textId="77777777" w:rsidR="00F65BCA" w:rsidRDefault="00F65BCA">
            <w:pPr>
              <w:pStyle w:val="TableParagraph"/>
              <w:rPr>
                <w:rFonts w:ascii="Times New Roman"/>
                <w:sz w:val="2"/>
              </w:rPr>
            </w:pPr>
          </w:p>
        </w:tc>
      </w:tr>
      <w:tr w:rsidR="00F65BCA" w14:paraId="0CAA1969" w14:textId="77777777">
        <w:trPr>
          <w:trHeight w:val="61"/>
        </w:trPr>
        <w:tc>
          <w:tcPr>
            <w:tcW w:w="526" w:type="dxa"/>
            <w:vMerge/>
            <w:tcBorders>
              <w:top w:val="nil"/>
            </w:tcBorders>
            <w:shd w:val="clear" w:color="auto" w:fill="FCE4D6"/>
          </w:tcPr>
          <w:p w14:paraId="59A221A2" w14:textId="77777777" w:rsidR="00F65BCA" w:rsidRDefault="00F65BCA">
            <w:pPr>
              <w:rPr>
                <w:sz w:val="2"/>
                <w:szCs w:val="2"/>
              </w:rPr>
            </w:pPr>
          </w:p>
        </w:tc>
        <w:tc>
          <w:tcPr>
            <w:tcW w:w="732" w:type="dxa"/>
            <w:tcBorders>
              <w:top w:val="nil"/>
            </w:tcBorders>
            <w:shd w:val="clear" w:color="auto" w:fill="FCE4D6"/>
          </w:tcPr>
          <w:p w14:paraId="3BF12855" w14:textId="77777777" w:rsidR="00F65BCA" w:rsidRDefault="00F65BCA">
            <w:pPr>
              <w:pStyle w:val="TableParagraph"/>
              <w:rPr>
                <w:rFonts w:ascii="Times New Roman"/>
                <w:sz w:val="2"/>
              </w:rPr>
            </w:pPr>
          </w:p>
        </w:tc>
        <w:tc>
          <w:tcPr>
            <w:tcW w:w="958" w:type="dxa"/>
            <w:gridSpan w:val="2"/>
            <w:tcBorders>
              <w:top w:val="nil"/>
            </w:tcBorders>
            <w:shd w:val="clear" w:color="auto" w:fill="FCE4D6"/>
          </w:tcPr>
          <w:p w14:paraId="2DA50E9C" w14:textId="77777777" w:rsidR="00F65BCA" w:rsidRDefault="00216117">
            <w:pPr>
              <w:pStyle w:val="TableParagraph"/>
              <w:ind w:left="4"/>
              <w:rPr>
                <w:sz w:val="3"/>
              </w:rPr>
            </w:pPr>
            <w:r>
              <w:rPr>
                <w:w w:val="105"/>
                <w:sz w:val="3"/>
              </w:rPr>
              <w:t>YARIS VERSO</w:t>
            </w:r>
          </w:p>
        </w:tc>
        <w:tc>
          <w:tcPr>
            <w:tcW w:w="576" w:type="dxa"/>
            <w:tcBorders>
              <w:top w:val="nil"/>
            </w:tcBorders>
            <w:shd w:val="clear" w:color="auto" w:fill="FCE4D6"/>
          </w:tcPr>
          <w:p w14:paraId="302E4652" w14:textId="77777777" w:rsidR="00F65BCA" w:rsidRDefault="00F65BCA">
            <w:pPr>
              <w:pStyle w:val="TableParagraph"/>
              <w:rPr>
                <w:rFonts w:ascii="Times New Roman"/>
                <w:sz w:val="2"/>
              </w:rPr>
            </w:pPr>
          </w:p>
        </w:tc>
        <w:tc>
          <w:tcPr>
            <w:tcW w:w="576" w:type="dxa"/>
            <w:tcBorders>
              <w:top w:val="nil"/>
            </w:tcBorders>
            <w:shd w:val="clear" w:color="auto" w:fill="FCE4D6"/>
          </w:tcPr>
          <w:p w14:paraId="7A4C94D9" w14:textId="77777777" w:rsidR="00F65BCA" w:rsidRDefault="00F65BCA">
            <w:pPr>
              <w:pStyle w:val="TableParagraph"/>
              <w:rPr>
                <w:rFonts w:ascii="Times New Roman"/>
                <w:sz w:val="2"/>
              </w:rPr>
            </w:pPr>
          </w:p>
        </w:tc>
        <w:tc>
          <w:tcPr>
            <w:tcW w:w="50" w:type="dxa"/>
            <w:vMerge/>
            <w:tcBorders>
              <w:top w:val="nil"/>
              <w:bottom w:val="nil"/>
            </w:tcBorders>
          </w:tcPr>
          <w:p w14:paraId="66F73999" w14:textId="77777777" w:rsidR="00F65BCA" w:rsidRDefault="00F65BCA">
            <w:pPr>
              <w:rPr>
                <w:sz w:val="2"/>
                <w:szCs w:val="2"/>
              </w:rPr>
            </w:pPr>
          </w:p>
        </w:tc>
        <w:tc>
          <w:tcPr>
            <w:tcW w:w="288" w:type="dxa"/>
            <w:tcBorders>
              <w:top w:val="nil"/>
            </w:tcBorders>
          </w:tcPr>
          <w:p w14:paraId="35698AA9" w14:textId="77777777" w:rsidR="00F65BCA" w:rsidRDefault="00F65BCA">
            <w:pPr>
              <w:pStyle w:val="TableParagraph"/>
              <w:rPr>
                <w:rFonts w:ascii="Times New Roman"/>
                <w:sz w:val="2"/>
              </w:rPr>
            </w:pPr>
          </w:p>
        </w:tc>
        <w:tc>
          <w:tcPr>
            <w:tcW w:w="288" w:type="dxa"/>
            <w:tcBorders>
              <w:top w:val="nil"/>
            </w:tcBorders>
          </w:tcPr>
          <w:p w14:paraId="2CF93456" w14:textId="77777777" w:rsidR="00F65BCA" w:rsidRDefault="00F65BCA">
            <w:pPr>
              <w:pStyle w:val="TableParagraph"/>
              <w:rPr>
                <w:rFonts w:ascii="Times New Roman"/>
                <w:sz w:val="2"/>
              </w:rPr>
            </w:pPr>
          </w:p>
        </w:tc>
        <w:tc>
          <w:tcPr>
            <w:tcW w:w="288" w:type="dxa"/>
            <w:tcBorders>
              <w:top w:val="nil"/>
            </w:tcBorders>
          </w:tcPr>
          <w:p w14:paraId="6F5990E5" w14:textId="77777777" w:rsidR="00F65BCA" w:rsidRDefault="00F65BCA">
            <w:pPr>
              <w:pStyle w:val="TableParagraph"/>
              <w:rPr>
                <w:rFonts w:ascii="Times New Roman"/>
                <w:sz w:val="2"/>
              </w:rPr>
            </w:pPr>
          </w:p>
        </w:tc>
        <w:tc>
          <w:tcPr>
            <w:tcW w:w="288" w:type="dxa"/>
            <w:tcBorders>
              <w:top w:val="nil"/>
            </w:tcBorders>
          </w:tcPr>
          <w:p w14:paraId="5A18903C" w14:textId="77777777" w:rsidR="00F65BCA" w:rsidRDefault="00F65BCA">
            <w:pPr>
              <w:pStyle w:val="TableParagraph"/>
              <w:rPr>
                <w:rFonts w:ascii="Times New Roman"/>
                <w:sz w:val="2"/>
              </w:rPr>
            </w:pPr>
          </w:p>
        </w:tc>
        <w:tc>
          <w:tcPr>
            <w:tcW w:w="288" w:type="dxa"/>
            <w:tcBorders>
              <w:top w:val="nil"/>
            </w:tcBorders>
          </w:tcPr>
          <w:p w14:paraId="7B622F20" w14:textId="77777777" w:rsidR="00F65BCA" w:rsidRDefault="00F65BCA">
            <w:pPr>
              <w:pStyle w:val="TableParagraph"/>
              <w:rPr>
                <w:rFonts w:ascii="Times New Roman"/>
                <w:sz w:val="2"/>
              </w:rPr>
            </w:pPr>
          </w:p>
        </w:tc>
        <w:tc>
          <w:tcPr>
            <w:tcW w:w="288" w:type="dxa"/>
            <w:tcBorders>
              <w:top w:val="nil"/>
            </w:tcBorders>
          </w:tcPr>
          <w:p w14:paraId="00B6DCF5" w14:textId="77777777" w:rsidR="00F65BCA" w:rsidRDefault="00F65BCA">
            <w:pPr>
              <w:pStyle w:val="TableParagraph"/>
              <w:rPr>
                <w:rFonts w:ascii="Times New Roman"/>
                <w:sz w:val="2"/>
              </w:rPr>
            </w:pPr>
          </w:p>
        </w:tc>
        <w:tc>
          <w:tcPr>
            <w:tcW w:w="288" w:type="dxa"/>
            <w:tcBorders>
              <w:top w:val="nil"/>
            </w:tcBorders>
          </w:tcPr>
          <w:p w14:paraId="02476013" w14:textId="77777777" w:rsidR="00F65BCA" w:rsidRDefault="00F65BCA">
            <w:pPr>
              <w:pStyle w:val="TableParagraph"/>
              <w:rPr>
                <w:rFonts w:ascii="Times New Roman"/>
                <w:sz w:val="2"/>
              </w:rPr>
            </w:pPr>
          </w:p>
        </w:tc>
        <w:tc>
          <w:tcPr>
            <w:tcW w:w="288" w:type="dxa"/>
            <w:tcBorders>
              <w:top w:val="nil"/>
            </w:tcBorders>
          </w:tcPr>
          <w:p w14:paraId="073D6DCF" w14:textId="77777777" w:rsidR="00F65BCA" w:rsidRDefault="00F65BCA">
            <w:pPr>
              <w:pStyle w:val="TableParagraph"/>
              <w:rPr>
                <w:rFonts w:ascii="Times New Roman"/>
                <w:sz w:val="2"/>
              </w:rPr>
            </w:pPr>
          </w:p>
        </w:tc>
        <w:tc>
          <w:tcPr>
            <w:tcW w:w="288" w:type="dxa"/>
            <w:tcBorders>
              <w:top w:val="nil"/>
            </w:tcBorders>
          </w:tcPr>
          <w:p w14:paraId="5AAA3FF3" w14:textId="77777777" w:rsidR="00F65BCA" w:rsidRDefault="00F65BCA">
            <w:pPr>
              <w:pStyle w:val="TableParagraph"/>
              <w:rPr>
                <w:rFonts w:ascii="Times New Roman"/>
                <w:sz w:val="2"/>
              </w:rPr>
            </w:pPr>
          </w:p>
        </w:tc>
        <w:tc>
          <w:tcPr>
            <w:tcW w:w="288" w:type="dxa"/>
            <w:tcBorders>
              <w:top w:val="nil"/>
            </w:tcBorders>
          </w:tcPr>
          <w:p w14:paraId="5064431C" w14:textId="77777777" w:rsidR="00F65BCA" w:rsidRDefault="00F65BCA">
            <w:pPr>
              <w:pStyle w:val="TableParagraph"/>
              <w:rPr>
                <w:rFonts w:ascii="Times New Roman"/>
                <w:sz w:val="2"/>
              </w:rPr>
            </w:pPr>
          </w:p>
        </w:tc>
        <w:tc>
          <w:tcPr>
            <w:tcW w:w="288" w:type="dxa"/>
            <w:tcBorders>
              <w:top w:val="nil"/>
            </w:tcBorders>
          </w:tcPr>
          <w:p w14:paraId="316F773E" w14:textId="77777777" w:rsidR="00F65BCA" w:rsidRDefault="00F65BCA">
            <w:pPr>
              <w:pStyle w:val="TableParagraph"/>
              <w:rPr>
                <w:rFonts w:ascii="Times New Roman"/>
                <w:sz w:val="2"/>
              </w:rPr>
            </w:pPr>
          </w:p>
        </w:tc>
        <w:tc>
          <w:tcPr>
            <w:tcW w:w="288" w:type="dxa"/>
            <w:tcBorders>
              <w:top w:val="nil"/>
            </w:tcBorders>
          </w:tcPr>
          <w:p w14:paraId="1C3E58D9" w14:textId="77777777" w:rsidR="00F65BCA" w:rsidRDefault="00F65BCA">
            <w:pPr>
              <w:pStyle w:val="TableParagraph"/>
              <w:rPr>
                <w:rFonts w:ascii="Times New Roman"/>
                <w:sz w:val="2"/>
              </w:rPr>
            </w:pPr>
          </w:p>
        </w:tc>
        <w:tc>
          <w:tcPr>
            <w:tcW w:w="288" w:type="dxa"/>
            <w:tcBorders>
              <w:top w:val="nil"/>
            </w:tcBorders>
          </w:tcPr>
          <w:p w14:paraId="1EE32FB6" w14:textId="77777777" w:rsidR="00F65BCA" w:rsidRDefault="00F65BCA">
            <w:pPr>
              <w:pStyle w:val="TableParagraph"/>
              <w:rPr>
                <w:rFonts w:ascii="Times New Roman"/>
                <w:sz w:val="2"/>
              </w:rPr>
            </w:pPr>
          </w:p>
        </w:tc>
      </w:tr>
      <w:tr w:rsidR="00F65BCA" w14:paraId="3C699B53" w14:textId="77777777">
        <w:trPr>
          <w:trHeight w:val="81"/>
        </w:trPr>
        <w:tc>
          <w:tcPr>
            <w:tcW w:w="526" w:type="dxa"/>
            <w:vMerge/>
            <w:tcBorders>
              <w:top w:val="nil"/>
            </w:tcBorders>
            <w:shd w:val="clear" w:color="auto" w:fill="FCE4D6"/>
          </w:tcPr>
          <w:p w14:paraId="749D7EC6" w14:textId="77777777" w:rsidR="00F65BCA" w:rsidRDefault="00F65BCA">
            <w:pPr>
              <w:rPr>
                <w:sz w:val="2"/>
                <w:szCs w:val="2"/>
              </w:rPr>
            </w:pPr>
          </w:p>
        </w:tc>
        <w:tc>
          <w:tcPr>
            <w:tcW w:w="732" w:type="dxa"/>
            <w:vMerge w:val="restart"/>
            <w:tcBorders>
              <w:bottom w:val="nil"/>
            </w:tcBorders>
            <w:shd w:val="clear" w:color="auto" w:fill="FCE4D6"/>
          </w:tcPr>
          <w:p w14:paraId="59156385" w14:textId="77777777" w:rsidR="00F65BCA" w:rsidRDefault="00F65BCA">
            <w:pPr>
              <w:pStyle w:val="TableParagraph"/>
              <w:rPr>
                <w:rFonts w:ascii="Times New Roman"/>
                <w:sz w:val="2"/>
              </w:rPr>
            </w:pPr>
          </w:p>
        </w:tc>
        <w:tc>
          <w:tcPr>
            <w:tcW w:w="958" w:type="dxa"/>
            <w:gridSpan w:val="2"/>
            <w:vMerge w:val="restart"/>
            <w:tcBorders>
              <w:bottom w:val="nil"/>
            </w:tcBorders>
            <w:shd w:val="clear" w:color="auto" w:fill="FCE4D6"/>
          </w:tcPr>
          <w:p w14:paraId="2497CD3E" w14:textId="77777777" w:rsidR="00F65BCA" w:rsidRDefault="00F65BCA">
            <w:pPr>
              <w:pStyle w:val="TableParagraph"/>
              <w:rPr>
                <w:rFonts w:ascii="Calibri"/>
                <w:sz w:val="2"/>
              </w:rPr>
            </w:pPr>
          </w:p>
          <w:p w14:paraId="6EA99AE3" w14:textId="77777777" w:rsidR="00F65BCA" w:rsidRDefault="00F65BCA">
            <w:pPr>
              <w:pStyle w:val="TableParagraph"/>
              <w:rPr>
                <w:rFonts w:ascii="Calibri"/>
                <w:sz w:val="2"/>
              </w:rPr>
            </w:pPr>
          </w:p>
          <w:p w14:paraId="7BA7EEB9" w14:textId="77777777" w:rsidR="00F65BCA" w:rsidRDefault="00216117">
            <w:pPr>
              <w:pStyle w:val="TableParagraph"/>
              <w:spacing w:before="17"/>
              <w:ind w:left="4"/>
              <w:rPr>
                <w:sz w:val="3"/>
              </w:rPr>
            </w:pPr>
            <w:r>
              <w:rPr>
                <w:w w:val="105"/>
                <w:sz w:val="3"/>
              </w:rPr>
              <w:t>YUGO RIVAL 35</w:t>
            </w:r>
          </w:p>
        </w:tc>
        <w:tc>
          <w:tcPr>
            <w:tcW w:w="576" w:type="dxa"/>
            <w:shd w:val="clear" w:color="auto" w:fill="FCE4D6"/>
          </w:tcPr>
          <w:p w14:paraId="747E1D93" w14:textId="77777777" w:rsidR="00F65BCA" w:rsidRDefault="00F65BCA">
            <w:pPr>
              <w:pStyle w:val="TableParagraph"/>
              <w:rPr>
                <w:rFonts w:ascii="Calibri"/>
                <w:sz w:val="2"/>
              </w:rPr>
            </w:pPr>
          </w:p>
          <w:p w14:paraId="25417FAC" w14:textId="77777777" w:rsidR="00F65BCA" w:rsidRDefault="00216117">
            <w:pPr>
              <w:pStyle w:val="TableParagraph"/>
              <w:ind w:left="129" w:right="127"/>
              <w:jc w:val="center"/>
              <w:rPr>
                <w:sz w:val="3"/>
              </w:rPr>
            </w:pPr>
            <w:r>
              <w:rPr>
                <w:w w:val="105"/>
                <w:sz w:val="3"/>
              </w:rPr>
              <w:t>0-1000 ccm</w:t>
            </w:r>
          </w:p>
        </w:tc>
        <w:tc>
          <w:tcPr>
            <w:tcW w:w="576" w:type="dxa"/>
            <w:shd w:val="clear" w:color="auto" w:fill="FCE4D6"/>
          </w:tcPr>
          <w:p w14:paraId="5CCBB948" w14:textId="77777777" w:rsidR="00F65BCA" w:rsidRDefault="00F65BCA">
            <w:pPr>
              <w:pStyle w:val="TableParagraph"/>
              <w:rPr>
                <w:rFonts w:ascii="Calibri"/>
                <w:sz w:val="2"/>
              </w:rPr>
            </w:pPr>
          </w:p>
          <w:p w14:paraId="0E8FEA28"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4216C2B1" w14:textId="77777777" w:rsidR="00F65BCA" w:rsidRDefault="00F65BCA">
            <w:pPr>
              <w:rPr>
                <w:sz w:val="2"/>
                <w:szCs w:val="2"/>
              </w:rPr>
            </w:pPr>
          </w:p>
        </w:tc>
        <w:tc>
          <w:tcPr>
            <w:tcW w:w="288" w:type="dxa"/>
          </w:tcPr>
          <w:p w14:paraId="7E37E90C" w14:textId="77777777" w:rsidR="00F65BCA" w:rsidRDefault="00F65BCA">
            <w:pPr>
              <w:pStyle w:val="TableParagraph"/>
              <w:rPr>
                <w:rFonts w:ascii="Calibri"/>
                <w:sz w:val="2"/>
              </w:rPr>
            </w:pPr>
          </w:p>
          <w:p w14:paraId="41F46F04" w14:textId="77777777" w:rsidR="00F65BCA" w:rsidRDefault="00216117">
            <w:pPr>
              <w:pStyle w:val="TableParagraph"/>
              <w:ind w:left="24" w:right="24"/>
              <w:jc w:val="center"/>
              <w:rPr>
                <w:sz w:val="3"/>
              </w:rPr>
            </w:pPr>
            <w:r>
              <w:rPr>
                <w:w w:val="105"/>
                <w:sz w:val="3"/>
              </w:rPr>
              <w:t>1,02336000%</w:t>
            </w:r>
          </w:p>
        </w:tc>
        <w:tc>
          <w:tcPr>
            <w:tcW w:w="288" w:type="dxa"/>
          </w:tcPr>
          <w:p w14:paraId="5953B775" w14:textId="77777777" w:rsidR="00F65BCA" w:rsidRDefault="00F65BCA">
            <w:pPr>
              <w:pStyle w:val="TableParagraph"/>
              <w:rPr>
                <w:rFonts w:ascii="Calibri"/>
                <w:sz w:val="2"/>
              </w:rPr>
            </w:pPr>
          </w:p>
          <w:p w14:paraId="7BB1D685" w14:textId="77777777" w:rsidR="00F65BCA" w:rsidRDefault="00216117">
            <w:pPr>
              <w:pStyle w:val="TableParagraph"/>
              <w:ind w:left="24" w:right="24"/>
              <w:jc w:val="center"/>
              <w:rPr>
                <w:sz w:val="3"/>
              </w:rPr>
            </w:pPr>
            <w:r>
              <w:rPr>
                <w:w w:val="105"/>
                <w:sz w:val="3"/>
              </w:rPr>
              <w:t>0,95940000%</w:t>
            </w:r>
          </w:p>
        </w:tc>
        <w:tc>
          <w:tcPr>
            <w:tcW w:w="288" w:type="dxa"/>
          </w:tcPr>
          <w:p w14:paraId="707FB668" w14:textId="77777777" w:rsidR="00F65BCA" w:rsidRDefault="00F65BCA">
            <w:pPr>
              <w:pStyle w:val="TableParagraph"/>
              <w:rPr>
                <w:rFonts w:ascii="Calibri"/>
                <w:sz w:val="2"/>
              </w:rPr>
            </w:pPr>
          </w:p>
          <w:p w14:paraId="6E85AAFD" w14:textId="77777777" w:rsidR="00F65BCA" w:rsidRDefault="00216117">
            <w:pPr>
              <w:pStyle w:val="TableParagraph"/>
              <w:ind w:left="47"/>
              <w:rPr>
                <w:sz w:val="3"/>
              </w:rPr>
            </w:pPr>
            <w:r>
              <w:rPr>
                <w:w w:val="105"/>
                <w:sz w:val="3"/>
              </w:rPr>
              <w:t>0,91462800%</w:t>
            </w:r>
          </w:p>
        </w:tc>
        <w:tc>
          <w:tcPr>
            <w:tcW w:w="288" w:type="dxa"/>
          </w:tcPr>
          <w:p w14:paraId="18FDABD1" w14:textId="77777777" w:rsidR="00F65BCA" w:rsidRDefault="00F65BCA">
            <w:pPr>
              <w:pStyle w:val="TableParagraph"/>
              <w:rPr>
                <w:rFonts w:ascii="Calibri"/>
                <w:sz w:val="2"/>
              </w:rPr>
            </w:pPr>
          </w:p>
          <w:p w14:paraId="56B526CC" w14:textId="77777777" w:rsidR="00F65BCA" w:rsidRDefault="00216117">
            <w:pPr>
              <w:pStyle w:val="TableParagraph"/>
              <w:ind w:left="24" w:right="24"/>
              <w:jc w:val="center"/>
              <w:rPr>
                <w:sz w:val="3"/>
              </w:rPr>
            </w:pPr>
            <w:r>
              <w:rPr>
                <w:w w:val="105"/>
                <w:sz w:val="3"/>
              </w:rPr>
              <w:t>0,86346000%</w:t>
            </w:r>
          </w:p>
        </w:tc>
        <w:tc>
          <w:tcPr>
            <w:tcW w:w="288" w:type="dxa"/>
          </w:tcPr>
          <w:p w14:paraId="7E9E50F3" w14:textId="77777777" w:rsidR="00F65BCA" w:rsidRDefault="00F65BCA">
            <w:pPr>
              <w:pStyle w:val="TableParagraph"/>
              <w:rPr>
                <w:rFonts w:ascii="Calibri"/>
                <w:sz w:val="2"/>
              </w:rPr>
            </w:pPr>
          </w:p>
          <w:p w14:paraId="1A946940" w14:textId="77777777" w:rsidR="00F65BCA" w:rsidRDefault="00216117">
            <w:pPr>
              <w:pStyle w:val="TableParagraph"/>
              <w:ind w:left="47"/>
              <w:rPr>
                <w:sz w:val="3"/>
              </w:rPr>
            </w:pPr>
            <w:r>
              <w:rPr>
                <w:w w:val="105"/>
                <w:sz w:val="3"/>
              </w:rPr>
              <w:t>0,81868800%</w:t>
            </w:r>
          </w:p>
        </w:tc>
        <w:tc>
          <w:tcPr>
            <w:tcW w:w="288" w:type="dxa"/>
          </w:tcPr>
          <w:p w14:paraId="4A96702D" w14:textId="77777777" w:rsidR="00F65BCA" w:rsidRDefault="00F65BCA">
            <w:pPr>
              <w:pStyle w:val="TableParagraph"/>
              <w:rPr>
                <w:rFonts w:ascii="Calibri"/>
                <w:sz w:val="2"/>
              </w:rPr>
            </w:pPr>
          </w:p>
          <w:p w14:paraId="085A4378" w14:textId="77777777" w:rsidR="00F65BCA" w:rsidRDefault="00216117">
            <w:pPr>
              <w:pStyle w:val="TableParagraph"/>
              <w:ind w:left="24" w:right="24"/>
              <w:jc w:val="center"/>
              <w:rPr>
                <w:sz w:val="3"/>
              </w:rPr>
            </w:pPr>
            <w:r>
              <w:rPr>
                <w:w w:val="105"/>
                <w:sz w:val="3"/>
              </w:rPr>
              <w:t>0,76112400%</w:t>
            </w:r>
          </w:p>
        </w:tc>
        <w:tc>
          <w:tcPr>
            <w:tcW w:w="288" w:type="dxa"/>
          </w:tcPr>
          <w:p w14:paraId="09DB1343" w14:textId="77777777" w:rsidR="00F65BCA" w:rsidRDefault="00F65BCA">
            <w:pPr>
              <w:pStyle w:val="TableParagraph"/>
              <w:rPr>
                <w:rFonts w:ascii="Calibri"/>
                <w:sz w:val="2"/>
              </w:rPr>
            </w:pPr>
          </w:p>
          <w:p w14:paraId="347E9B73" w14:textId="77777777" w:rsidR="00F65BCA" w:rsidRDefault="00216117">
            <w:pPr>
              <w:pStyle w:val="TableParagraph"/>
              <w:ind w:left="24" w:right="24"/>
              <w:jc w:val="center"/>
              <w:rPr>
                <w:sz w:val="3"/>
              </w:rPr>
            </w:pPr>
            <w:r>
              <w:rPr>
                <w:w w:val="105"/>
                <w:sz w:val="3"/>
              </w:rPr>
              <w:t>0,70356000%</w:t>
            </w:r>
          </w:p>
        </w:tc>
        <w:tc>
          <w:tcPr>
            <w:tcW w:w="288" w:type="dxa"/>
          </w:tcPr>
          <w:p w14:paraId="781E67C3" w14:textId="77777777" w:rsidR="00F65BCA" w:rsidRDefault="00F65BCA">
            <w:pPr>
              <w:pStyle w:val="TableParagraph"/>
              <w:rPr>
                <w:rFonts w:ascii="Calibri"/>
                <w:sz w:val="2"/>
              </w:rPr>
            </w:pPr>
          </w:p>
          <w:p w14:paraId="417F8DA4" w14:textId="77777777" w:rsidR="00F65BCA" w:rsidRDefault="00216117">
            <w:pPr>
              <w:pStyle w:val="TableParagraph"/>
              <w:ind w:left="47"/>
              <w:rPr>
                <w:sz w:val="3"/>
              </w:rPr>
            </w:pPr>
            <w:r>
              <w:rPr>
                <w:w w:val="105"/>
                <w:sz w:val="3"/>
              </w:rPr>
              <w:t>0,63960000%</w:t>
            </w:r>
          </w:p>
        </w:tc>
        <w:tc>
          <w:tcPr>
            <w:tcW w:w="288" w:type="dxa"/>
          </w:tcPr>
          <w:p w14:paraId="55699256" w14:textId="77777777" w:rsidR="00F65BCA" w:rsidRDefault="00F65BCA">
            <w:pPr>
              <w:pStyle w:val="TableParagraph"/>
              <w:rPr>
                <w:rFonts w:ascii="Calibri"/>
                <w:sz w:val="2"/>
              </w:rPr>
            </w:pPr>
          </w:p>
          <w:p w14:paraId="4E1FCB34" w14:textId="77777777" w:rsidR="00F65BCA" w:rsidRDefault="00216117">
            <w:pPr>
              <w:pStyle w:val="TableParagraph"/>
              <w:ind w:left="24" w:right="24"/>
              <w:jc w:val="center"/>
              <w:rPr>
                <w:sz w:val="3"/>
              </w:rPr>
            </w:pPr>
            <w:r>
              <w:rPr>
                <w:w w:val="105"/>
                <w:sz w:val="3"/>
              </w:rPr>
              <w:t>0,63960000%</w:t>
            </w:r>
          </w:p>
        </w:tc>
        <w:tc>
          <w:tcPr>
            <w:tcW w:w="288" w:type="dxa"/>
          </w:tcPr>
          <w:p w14:paraId="34C35B30" w14:textId="77777777" w:rsidR="00F65BCA" w:rsidRDefault="00F65BCA">
            <w:pPr>
              <w:pStyle w:val="TableParagraph"/>
              <w:rPr>
                <w:rFonts w:ascii="Calibri"/>
                <w:sz w:val="2"/>
              </w:rPr>
            </w:pPr>
          </w:p>
          <w:p w14:paraId="458E1D59" w14:textId="77777777" w:rsidR="00F65BCA" w:rsidRDefault="00216117">
            <w:pPr>
              <w:pStyle w:val="TableParagraph"/>
              <w:ind w:left="24" w:right="24"/>
              <w:jc w:val="center"/>
              <w:rPr>
                <w:sz w:val="3"/>
              </w:rPr>
            </w:pPr>
            <w:r>
              <w:rPr>
                <w:w w:val="105"/>
                <w:sz w:val="3"/>
              </w:rPr>
              <w:t>0,76752000%</w:t>
            </w:r>
          </w:p>
        </w:tc>
        <w:tc>
          <w:tcPr>
            <w:tcW w:w="288" w:type="dxa"/>
          </w:tcPr>
          <w:p w14:paraId="7808C229" w14:textId="77777777" w:rsidR="00F65BCA" w:rsidRDefault="00F65BCA">
            <w:pPr>
              <w:pStyle w:val="TableParagraph"/>
              <w:rPr>
                <w:rFonts w:ascii="Calibri"/>
                <w:sz w:val="2"/>
              </w:rPr>
            </w:pPr>
          </w:p>
          <w:p w14:paraId="030D8F24" w14:textId="77777777" w:rsidR="00F65BCA" w:rsidRDefault="00216117">
            <w:pPr>
              <w:pStyle w:val="TableParagraph"/>
              <w:ind w:left="24" w:right="24"/>
              <w:jc w:val="center"/>
              <w:rPr>
                <w:sz w:val="3"/>
              </w:rPr>
            </w:pPr>
            <w:r>
              <w:rPr>
                <w:w w:val="105"/>
                <w:sz w:val="3"/>
              </w:rPr>
              <w:t>0,86346000%</w:t>
            </w:r>
          </w:p>
        </w:tc>
        <w:tc>
          <w:tcPr>
            <w:tcW w:w="288" w:type="dxa"/>
          </w:tcPr>
          <w:p w14:paraId="3A390F73" w14:textId="77777777" w:rsidR="00F65BCA" w:rsidRDefault="00F65BCA">
            <w:pPr>
              <w:pStyle w:val="TableParagraph"/>
              <w:rPr>
                <w:rFonts w:ascii="Calibri"/>
                <w:sz w:val="2"/>
              </w:rPr>
            </w:pPr>
          </w:p>
          <w:p w14:paraId="3A129189" w14:textId="77777777" w:rsidR="00F65BCA" w:rsidRDefault="00216117">
            <w:pPr>
              <w:pStyle w:val="TableParagraph"/>
              <w:ind w:left="24" w:right="24"/>
              <w:jc w:val="center"/>
              <w:rPr>
                <w:sz w:val="3"/>
              </w:rPr>
            </w:pPr>
            <w:r>
              <w:rPr>
                <w:w w:val="105"/>
                <w:sz w:val="3"/>
              </w:rPr>
              <w:t>0,86346000%</w:t>
            </w:r>
          </w:p>
        </w:tc>
        <w:tc>
          <w:tcPr>
            <w:tcW w:w="288" w:type="dxa"/>
          </w:tcPr>
          <w:p w14:paraId="75660EAE" w14:textId="77777777" w:rsidR="00F65BCA" w:rsidRDefault="00F65BCA">
            <w:pPr>
              <w:pStyle w:val="TableParagraph"/>
              <w:rPr>
                <w:rFonts w:ascii="Calibri"/>
                <w:sz w:val="2"/>
              </w:rPr>
            </w:pPr>
          </w:p>
          <w:p w14:paraId="674E2836" w14:textId="77777777" w:rsidR="00F65BCA" w:rsidRDefault="00216117">
            <w:pPr>
              <w:pStyle w:val="TableParagraph"/>
              <w:ind w:left="47"/>
              <w:rPr>
                <w:sz w:val="3"/>
              </w:rPr>
            </w:pPr>
            <w:r>
              <w:rPr>
                <w:w w:val="105"/>
                <w:sz w:val="3"/>
              </w:rPr>
              <w:t>0,95940000%</w:t>
            </w:r>
          </w:p>
        </w:tc>
      </w:tr>
      <w:tr w:rsidR="00F65BCA" w14:paraId="7B00B60A" w14:textId="77777777">
        <w:trPr>
          <w:trHeight w:val="38"/>
        </w:trPr>
        <w:tc>
          <w:tcPr>
            <w:tcW w:w="526" w:type="dxa"/>
            <w:vMerge/>
            <w:tcBorders>
              <w:top w:val="nil"/>
            </w:tcBorders>
            <w:shd w:val="clear" w:color="auto" w:fill="FCE4D6"/>
          </w:tcPr>
          <w:p w14:paraId="3A7894B9" w14:textId="77777777" w:rsidR="00F65BCA" w:rsidRDefault="00F65BCA">
            <w:pPr>
              <w:rPr>
                <w:sz w:val="2"/>
                <w:szCs w:val="2"/>
              </w:rPr>
            </w:pPr>
          </w:p>
        </w:tc>
        <w:tc>
          <w:tcPr>
            <w:tcW w:w="732" w:type="dxa"/>
            <w:vMerge/>
            <w:tcBorders>
              <w:top w:val="nil"/>
              <w:bottom w:val="nil"/>
            </w:tcBorders>
            <w:shd w:val="clear" w:color="auto" w:fill="FCE4D6"/>
          </w:tcPr>
          <w:p w14:paraId="3EEE4151" w14:textId="77777777" w:rsidR="00F65BCA" w:rsidRDefault="00F65BCA">
            <w:pPr>
              <w:rPr>
                <w:sz w:val="2"/>
                <w:szCs w:val="2"/>
              </w:rPr>
            </w:pPr>
          </w:p>
        </w:tc>
        <w:tc>
          <w:tcPr>
            <w:tcW w:w="958" w:type="dxa"/>
            <w:gridSpan w:val="2"/>
            <w:vMerge/>
            <w:tcBorders>
              <w:top w:val="nil"/>
              <w:bottom w:val="nil"/>
            </w:tcBorders>
            <w:shd w:val="clear" w:color="auto" w:fill="FCE4D6"/>
          </w:tcPr>
          <w:p w14:paraId="554C9E89" w14:textId="77777777" w:rsidR="00F65BCA" w:rsidRDefault="00F65BCA">
            <w:pPr>
              <w:rPr>
                <w:sz w:val="2"/>
                <w:szCs w:val="2"/>
              </w:rPr>
            </w:pPr>
          </w:p>
        </w:tc>
        <w:tc>
          <w:tcPr>
            <w:tcW w:w="576" w:type="dxa"/>
            <w:vMerge w:val="restart"/>
            <w:shd w:val="clear" w:color="auto" w:fill="FCE4D6"/>
          </w:tcPr>
          <w:p w14:paraId="776ACD00" w14:textId="77777777" w:rsidR="00F65BCA" w:rsidRDefault="00F65BCA">
            <w:pPr>
              <w:pStyle w:val="TableParagraph"/>
              <w:rPr>
                <w:rFonts w:ascii="Calibri"/>
                <w:sz w:val="2"/>
              </w:rPr>
            </w:pPr>
          </w:p>
          <w:p w14:paraId="57477408" w14:textId="77777777" w:rsidR="00F65BCA" w:rsidRDefault="00216117">
            <w:pPr>
              <w:pStyle w:val="TableParagraph"/>
              <w:ind w:left="128" w:right="128"/>
              <w:jc w:val="center"/>
              <w:rPr>
                <w:sz w:val="3"/>
              </w:rPr>
            </w:pPr>
            <w:r>
              <w:rPr>
                <w:w w:val="105"/>
                <w:sz w:val="3"/>
              </w:rPr>
              <w:t>&gt;1000 ccm</w:t>
            </w:r>
          </w:p>
        </w:tc>
        <w:tc>
          <w:tcPr>
            <w:tcW w:w="576" w:type="dxa"/>
            <w:vMerge w:val="restart"/>
            <w:shd w:val="clear" w:color="auto" w:fill="FCE4D6"/>
          </w:tcPr>
          <w:p w14:paraId="6B3B3AA2" w14:textId="77777777" w:rsidR="00F65BCA" w:rsidRDefault="00F65BCA">
            <w:pPr>
              <w:pStyle w:val="TableParagraph"/>
              <w:rPr>
                <w:rFonts w:ascii="Calibri"/>
                <w:sz w:val="2"/>
              </w:rPr>
            </w:pPr>
          </w:p>
          <w:p w14:paraId="5A454FFC"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301A6F8F" w14:textId="77777777" w:rsidR="00F65BCA" w:rsidRDefault="00F65BCA">
            <w:pPr>
              <w:rPr>
                <w:sz w:val="2"/>
                <w:szCs w:val="2"/>
              </w:rPr>
            </w:pPr>
          </w:p>
        </w:tc>
        <w:tc>
          <w:tcPr>
            <w:tcW w:w="288" w:type="dxa"/>
            <w:vMerge w:val="restart"/>
          </w:tcPr>
          <w:p w14:paraId="013681D7" w14:textId="77777777" w:rsidR="00F65BCA" w:rsidRDefault="00F65BCA">
            <w:pPr>
              <w:pStyle w:val="TableParagraph"/>
              <w:rPr>
                <w:rFonts w:ascii="Calibri"/>
                <w:sz w:val="2"/>
              </w:rPr>
            </w:pPr>
          </w:p>
          <w:p w14:paraId="231FD41F" w14:textId="77777777" w:rsidR="00F65BCA" w:rsidRDefault="00216117">
            <w:pPr>
              <w:pStyle w:val="TableParagraph"/>
              <w:ind w:left="47"/>
              <w:rPr>
                <w:sz w:val="3"/>
              </w:rPr>
            </w:pPr>
            <w:r>
              <w:rPr>
                <w:w w:val="105"/>
                <w:sz w:val="3"/>
              </w:rPr>
              <w:t>1,23621888%</w:t>
            </w:r>
          </w:p>
        </w:tc>
        <w:tc>
          <w:tcPr>
            <w:tcW w:w="288" w:type="dxa"/>
            <w:vMerge w:val="restart"/>
          </w:tcPr>
          <w:p w14:paraId="171979E3" w14:textId="77777777" w:rsidR="00F65BCA" w:rsidRDefault="00F65BCA">
            <w:pPr>
              <w:pStyle w:val="TableParagraph"/>
              <w:rPr>
                <w:rFonts w:ascii="Calibri"/>
                <w:sz w:val="2"/>
              </w:rPr>
            </w:pPr>
          </w:p>
          <w:p w14:paraId="4765C987" w14:textId="77777777" w:rsidR="00F65BCA" w:rsidRDefault="00216117">
            <w:pPr>
              <w:pStyle w:val="TableParagraph"/>
              <w:ind w:left="47"/>
              <w:rPr>
                <w:sz w:val="3"/>
              </w:rPr>
            </w:pPr>
            <w:r>
              <w:rPr>
                <w:w w:val="105"/>
                <w:sz w:val="3"/>
              </w:rPr>
              <w:t>1,15895520%</w:t>
            </w:r>
          </w:p>
        </w:tc>
        <w:tc>
          <w:tcPr>
            <w:tcW w:w="288" w:type="dxa"/>
            <w:vMerge w:val="restart"/>
          </w:tcPr>
          <w:p w14:paraId="26F109E3" w14:textId="77777777" w:rsidR="00F65BCA" w:rsidRDefault="00F65BCA">
            <w:pPr>
              <w:pStyle w:val="TableParagraph"/>
              <w:rPr>
                <w:rFonts w:ascii="Calibri"/>
                <w:sz w:val="2"/>
              </w:rPr>
            </w:pPr>
          </w:p>
          <w:p w14:paraId="0815105A" w14:textId="77777777" w:rsidR="00F65BCA" w:rsidRDefault="00216117">
            <w:pPr>
              <w:pStyle w:val="TableParagraph"/>
              <w:ind w:left="47"/>
              <w:rPr>
                <w:sz w:val="3"/>
              </w:rPr>
            </w:pPr>
            <w:r>
              <w:rPr>
                <w:w w:val="105"/>
                <w:sz w:val="3"/>
              </w:rPr>
              <w:t>1,10487062%</w:t>
            </w:r>
          </w:p>
        </w:tc>
        <w:tc>
          <w:tcPr>
            <w:tcW w:w="288" w:type="dxa"/>
            <w:vMerge w:val="restart"/>
          </w:tcPr>
          <w:p w14:paraId="2B20F9BB" w14:textId="77777777" w:rsidR="00F65BCA" w:rsidRDefault="00F65BCA">
            <w:pPr>
              <w:pStyle w:val="TableParagraph"/>
              <w:rPr>
                <w:rFonts w:ascii="Calibri"/>
                <w:sz w:val="2"/>
              </w:rPr>
            </w:pPr>
          </w:p>
          <w:p w14:paraId="2B1934C8" w14:textId="77777777" w:rsidR="00F65BCA" w:rsidRDefault="00216117">
            <w:pPr>
              <w:pStyle w:val="TableParagraph"/>
              <w:ind w:left="47"/>
              <w:rPr>
                <w:sz w:val="3"/>
              </w:rPr>
            </w:pPr>
            <w:r>
              <w:rPr>
                <w:w w:val="105"/>
                <w:sz w:val="3"/>
              </w:rPr>
              <w:t>1,04305968%</w:t>
            </w:r>
          </w:p>
        </w:tc>
        <w:tc>
          <w:tcPr>
            <w:tcW w:w="288" w:type="dxa"/>
            <w:vMerge w:val="restart"/>
          </w:tcPr>
          <w:p w14:paraId="010A98D4" w14:textId="77777777" w:rsidR="00F65BCA" w:rsidRDefault="00F65BCA">
            <w:pPr>
              <w:pStyle w:val="TableParagraph"/>
              <w:rPr>
                <w:rFonts w:ascii="Calibri"/>
                <w:sz w:val="2"/>
              </w:rPr>
            </w:pPr>
          </w:p>
          <w:p w14:paraId="0E95AB06" w14:textId="77777777" w:rsidR="00F65BCA" w:rsidRDefault="00216117">
            <w:pPr>
              <w:pStyle w:val="TableParagraph"/>
              <w:ind w:left="47"/>
              <w:rPr>
                <w:sz w:val="3"/>
              </w:rPr>
            </w:pPr>
            <w:r>
              <w:rPr>
                <w:w w:val="105"/>
                <w:sz w:val="3"/>
              </w:rPr>
              <w:t>0,98897510%</w:t>
            </w:r>
          </w:p>
        </w:tc>
        <w:tc>
          <w:tcPr>
            <w:tcW w:w="288" w:type="dxa"/>
            <w:vMerge w:val="restart"/>
          </w:tcPr>
          <w:p w14:paraId="1ECECCE4" w14:textId="77777777" w:rsidR="00F65BCA" w:rsidRDefault="00F65BCA">
            <w:pPr>
              <w:pStyle w:val="TableParagraph"/>
              <w:rPr>
                <w:rFonts w:ascii="Calibri"/>
                <w:sz w:val="2"/>
              </w:rPr>
            </w:pPr>
          </w:p>
          <w:p w14:paraId="7E96FF48" w14:textId="77777777" w:rsidR="00F65BCA" w:rsidRDefault="00216117">
            <w:pPr>
              <w:pStyle w:val="TableParagraph"/>
              <w:ind w:left="47"/>
              <w:rPr>
                <w:sz w:val="3"/>
              </w:rPr>
            </w:pPr>
            <w:r>
              <w:rPr>
                <w:w w:val="105"/>
                <w:sz w:val="3"/>
              </w:rPr>
              <w:t>0,91943779%</w:t>
            </w:r>
          </w:p>
        </w:tc>
        <w:tc>
          <w:tcPr>
            <w:tcW w:w="288" w:type="dxa"/>
            <w:vMerge w:val="restart"/>
          </w:tcPr>
          <w:p w14:paraId="01CC7B69" w14:textId="77777777" w:rsidR="00F65BCA" w:rsidRDefault="00F65BCA">
            <w:pPr>
              <w:pStyle w:val="TableParagraph"/>
              <w:rPr>
                <w:rFonts w:ascii="Calibri"/>
                <w:sz w:val="2"/>
              </w:rPr>
            </w:pPr>
          </w:p>
          <w:p w14:paraId="1CA72BF6" w14:textId="77777777" w:rsidR="00F65BCA" w:rsidRDefault="00216117">
            <w:pPr>
              <w:pStyle w:val="TableParagraph"/>
              <w:ind w:left="47"/>
              <w:rPr>
                <w:sz w:val="3"/>
              </w:rPr>
            </w:pPr>
            <w:r>
              <w:rPr>
                <w:w w:val="105"/>
                <w:sz w:val="3"/>
              </w:rPr>
              <w:t>0,84990048%</w:t>
            </w:r>
          </w:p>
        </w:tc>
        <w:tc>
          <w:tcPr>
            <w:tcW w:w="288" w:type="dxa"/>
            <w:vMerge w:val="restart"/>
          </w:tcPr>
          <w:p w14:paraId="544E346A" w14:textId="77777777" w:rsidR="00F65BCA" w:rsidRDefault="00F65BCA">
            <w:pPr>
              <w:pStyle w:val="TableParagraph"/>
              <w:rPr>
                <w:rFonts w:ascii="Calibri"/>
                <w:sz w:val="2"/>
              </w:rPr>
            </w:pPr>
          </w:p>
          <w:p w14:paraId="573DB241" w14:textId="77777777" w:rsidR="00F65BCA" w:rsidRDefault="00216117">
            <w:pPr>
              <w:pStyle w:val="TableParagraph"/>
              <w:ind w:left="47"/>
              <w:rPr>
                <w:sz w:val="3"/>
              </w:rPr>
            </w:pPr>
            <w:r>
              <w:rPr>
                <w:w w:val="105"/>
                <w:sz w:val="3"/>
              </w:rPr>
              <w:t>0,77263680%</w:t>
            </w:r>
          </w:p>
        </w:tc>
        <w:tc>
          <w:tcPr>
            <w:tcW w:w="288" w:type="dxa"/>
            <w:vMerge w:val="restart"/>
          </w:tcPr>
          <w:p w14:paraId="74EC4918" w14:textId="77777777" w:rsidR="00F65BCA" w:rsidRDefault="00F65BCA">
            <w:pPr>
              <w:pStyle w:val="TableParagraph"/>
              <w:rPr>
                <w:rFonts w:ascii="Calibri"/>
                <w:sz w:val="2"/>
              </w:rPr>
            </w:pPr>
          </w:p>
          <w:p w14:paraId="27BD039F" w14:textId="77777777" w:rsidR="00F65BCA" w:rsidRDefault="00216117">
            <w:pPr>
              <w:pStyle w:val="TableParagraph"/>
              <w:ind w:left="47"/>
              <w:rPr>
                <w:sz w:val="3"/>
              </w:rPr>
            </w:pPr>
            <w:r>
              <w:rPr>
                <w:w w:val="105"/>
                <w:sz w:val="3"/>
              </w:rPr>
              <w:t>0,77263680%</w:t>
            </w:r>
          </w:p>
        </w:tc>
        <w:tc>
          <w:tcPr>
            <w:tcW w:w="288" w:type="dxa"/>
            <w:vMerge w:val="restart"/>
          </w:tcPr>
          <w:p w14:paraId="1940C5CD" w14:textId="77777777" w:rsidR="00F65BCA" w:rsidRDefault="00F65BCA">
            <w:pPr>
              <w:pStyle w:val="TableParagraph"/>
              <w:rPr>
                <w:rFonts w:ascii="Calibri"/>
                <w:sz w:val="2"/>
              </w:rPr>
            </w:pPr>
          </w:p>
          <w:p w14:paraId="64F1178C" w14:textId="77777777" w:rsidR="00F65BCA" w:rsidRDefault="00216117">
            <w:pPr>
              <w:pStyle w:val="TableParagraph"/>
              <w:ind w:left="47"/>
              <w:rPr>
                <w:sz w:val="3"/>
              </w:rPr>
            </w:pPr>
            <w:r>
              <w:rPr>
                <w:w w:val="105"/>
                <w:sz w:val="3"/>
              </w:rPr>
              <w:t>0,92716416%</w:t>
            </w:r>
          </w:p>
        </w:tc>
        <w:tc>
          <w:tcPr>
            <w:tcW w:w="288" w:type="dxa"/>
            <w:vMerge w:val="restart"/>
          </w:tcPr>
          <w:p w14:paraId="10213A0B" w14:textId="77777777" w:rsidR="00F65BCA" w:rsidRDefault="00F65BCA">
            <w:pPr>
              <w:pStyle w:val="TableParagraph"/>
              <w:rPr>
                <w:rFonts w:ascii="Calibri"/>
                <w:sz w:val="2"/>
              </w:rPr>
            </w:pPr>
          </w:p>
          <w:p w14:paraId="65BC65DA" w14:textId="77777777" w:rsidR="00F65BCA" w:rsidRDefault="00216117">
            <w:pPr>
              <w:pStyle w:val="TableParagraph"/>
              <w:ind w:left="47"/>
              <w:rPr>
                <w:sz w:val="3"/>
              </w:rPr>
            </w:pPr>
            <w:r>
              <w:rPr>
                <w:w w:val="105"/>
                <w:sz w:val="3"/>
              </w:rPr>
              <w:t>1,04305968%</w:t>
            </w:r>
          </w:p>
        </w:tc>
        <w:tc>
          <w:tcPr>
            <w:tcW w:w="288" w:type="dxa"/>
            <w:vMerge w:val="restart"/>
          </w:tcPr>
          <w:p w14:paraId="079C3C55" w14:textId="77777777" w:rsidR="00F65BCA" w:rsidRDefault="00F65BCA">
            <w:pPr>
              <w:pStyle w:val="TableParagraph"/>
              <w:rPr>
                <w:rFonts w:ascii="Calibri"/>
                <w:sz w:val="2"/>
              </w:rPr>
            </w:pPr>
          </w:p>
          <w:p w14:paraId="0FC33E15" w14:textId="77777777" w:rsidR="00F65BCA" w:rsidRDefault="00216117">
            <w:pPr>
              <w:pStyle w:val="TableParagraph"/>
              <w:ind w:left="47"/>
              <w:rPr>
                <w:sz w:val="3"/>
              </w:rPr>
            </w:pPr>
            <w:r>
              <w:rPr>
                <w:w w:val="105"/>
                <w:sz w:val="3"/>
              </w:rPr>
              <w:t>1,04305968%</w:t>
            </w:r>
          </w:p>
        </w:tc>
        <w:tc>
          <w:tcPr>
            <w:tcW w:w="288" w:type="dxa"/>
            <w:vMerge w:val="restart"/>
          </w:tcPr>
          <w:p w14:paraId="50315DC1" w14:textId="77777777" w:rsidR="00F65BCA" w:rsidRDefault="00F65BCA">
            <w:pPr>
              <w:pStyle w:val="TableParagraph"/>
              <w:rPr>
                <w:rFonts w:ascii="Calibri"/>
                <w:sz w:val="2"/>
              </w:rPr>
            </w:pPr>
          </w:p>
          <w:p w14:paraId="10E6A2D0" w14:textId="77777777" w:rsidR="00F65BCA" w:rsidRDefault="00216117">
            <w:pPr>
              <w:pStyle w:val="TableParagraph"/>
              <w:ind w:left="47"/>
              <w:rPr>
                <w:sz w:val="3"/>
              </w:rPr>
            </w:pPr>
            <w:r>
              <w:rPr>
                <w:w w:val="105"/>
                <w:sz w:val="3"/>
              </w:rPr>
              <w:t>1,15895520%</w:t>
            </w:r>
          </w:p>
        </w:tc>
      </w:tr>
      <w:tr w:rsidR="00F65BCA" w14:paraId="3382CFAD" w14:textId="77777777">
        <w:trPr>
          <w:trHeight w:val="38"/>
        </w:trPr>
        <w:tc>
          <w:tcPr>
            <w:tcW w:w="526" w:type="dxa"/>
            <w:vMerge/>
            <w:tcBorders>
              <w:top w:val="nil"/>
            </w:tcBorders>
            <w:shd w:val="clear" w:color="auto" w:fill="FCE4D6"/>
          </w:tcPr>
          <w:p w14:paraId="65548B7A" w14:textId="77777777" w:rsidR="00F65BCA" w:rsidRDefault="00F65BCA">
            <w:pPr>
              <w:rPr>
                <w:sz w:val="2"/>
                <w:szCs w:val="2"/>
              </w:rPr>
            </w:pPr>
          </w:p>
        </w:tc>
        <w:tc>
          <w:tcPr>
            <w:tcW w:w="732" w:type="dxa"/>
            <w:vMerge w:val="restart"/>
            <w:tcBorders>
              <w:top w:val="nil"/>
              <w:bottom w:val="nil"/>
            </w:tcBorders>
            <w:shd w:val="clear" w:color="auto" w:fill="FCE4D6"/>
          </w:tcPr>
          <w:p w14:paraId="7777AC3F" w14:textId="77777777" w:rsidR="00F65BCA" w:rsidRDefault="00F65BCA">
            <w:pPr>
              <w:pStyle w:val="TableParagraph"/>
              <w:rPr>
                <w:rFonts w:ascii="Calibri"/>
                <w:sz w:val="2"/>
              </w:rPr>
            </w:pPr>
          </w:p>
          <w:p w14:paraId="4517E06D" w14:textId="77777777" w:rsidR="00F65BCA" w:rsidRDefault="00216117">
            <w:pPr>
              <w:pStyle w:val="TableParagraph"/>
              <w:ind w:left="18" w:right="16"/>
              <w:jc w:val="center"/>
              <w:rPr>
                <w:sz w:val="3"/>
              </w:rPr>
            </w:pPr>
            <w:r>
              <w:rPr>
                <w:w w:val="105"/>
                <w:sz w:val="3"/>
              </w:rPr>
              <w:t>Zastava</w:t>
            </w:r>
          </w:p>
        </w:tc>
        <w:tc>
          <w:tcPr>
            <w:tcW w:w="958" w:type="dxa"/>
            <w:gridSpan w:val="2"/>
            <w:tcBorders>
              <w:top w:val="nil"/>
            </w:tcBorders>
            <w:shd w:val="clear" w:color="auto" w:fill="FCE4D6"/>
          </w:tcPr>
          <w:p w14:paraId="40099309" w14:textId="77777777" w:rsidR="00F65BCA" w:rsidRDefault="00F65BCA">
            <w:pPr>
              <w:pStyle w:val="TableParagraph"/>
              <w:rPr>
                <w:rFonts w:ascii="Times New Roman"/>
                <w:sz w:val="2"/>
              </w:rPr>
            </w:pPr>
          </w:p>
        </w:tc>
        <w:tc>
          <w:tcPr>
            <w:tcW w:w="576" w:type="dxa"/>
            <w:vMerge/>
            <w:tcBorders>
              <w:top w:val="nil"/>
            </w:tcBorders>
            <w:shd w:val="clear" w:color="auto" w:fill="FCE4D6"/>
          </w:tcPr>
          <w:p w14:paraId="4A5A8727" w14:textId="77777777" w:rsidR="00F65BCA" w:rsidRDefault="00F65BCA">
            <w:pPr>
              <w:rPr>
                <w:sz w:val="2"/>
                <w:szCs w:val="2"/>
              </w:rPr>
            </w:pPr>
          </w:p>
        </w:tc>
        <w:tc>
          <w:tcPr>
            <w:tcW w:w="576" w:type="dxa"/>
            <w:vMerge/>
            <w:tcBorders>
              <w:top w:val="nil"/>
            </w:tcBorders>
            <w:shd w:val="clear" w:color="auto" w:fill="FCE4D6"/>
          </w:tcPr>
          <w:p w14:paraId="0DFFB691" w14:textId="77777777" w:rsidR="00F65BCA" w:rsidRDefault="00F65BCA">
            <w:pPr>
              <w:rPr>
                <w:sz w:val="2"/>
                <w:szCs w:val="2"/>
              </w:rPr>
            </w:pPr>
          </w:p>
        </w:tc>
        <w:tc>
          <w:tcPr>
            <w:tcW w:w="50" w:type="dxa"/>
            <w:vMerge/>
            <w:tcBorders>
              <w:top w:val="nil"/>
              <w:bottom w:val="nil"/>
            </w:tcBorders>
          </w:tcPr>
          <w:p w14:paraId="260B9286" w14:textId="77777777" w:rsidR="00F65BCA" w:rsidRDefault="00F65BCA">
            <w:pPr>
              <w:rPr>
                <w:sz w:val="2"/>
                <w:szCs w:val="2"/>
              </w:rPr>
            </w:pPr>
          </w:p>
        </w:tc>
        <w:tc>
          <w:tcPr>
            <w:tcW w:w="288" w:type="dxa"/>
            <w:vMerge/>
            <w:tcBorders>
              <w:top w:val="nil"/>
            </w:tcBorders>
          </w:tcPr>
          <w:p w14:paraId="2500DAD9" w14:textId="77777777" w:rsidR="00F65BCA" w:rsidRDefault="00F65BCA">
            <w:pPr>
              <w:rPr>
                <w:sz w:val="2"/>
                <w:szCs w:val="2"/>
              </w:rPr>
            </w:pPr>
          </w:p>
        </w:tc>
        <w:tc>
          <w:tcPr>
            <w:tcW w:w="288" w:type="dxa"/>
            <w:vMerge/>
            <w:tcBorders>
              <w:top w:val="nil"/>
            </w:tcBorders>
          </w:tcPr>
          <w:p w14:paraId="2CD88B34" w14:textId="77777777" w:rsidR="00F65BCA" w:rsidRDefault="00F65BCA">
            <w:pPr>
              <w:rPr>
                <w:sz w:val="2"/>
                <w:szCs w:val="2"/>
              </w:rPr>
            </w:pPr>
          </w:p>
        </w:tc>
        <w:tc>
          <w:tcPr>
            <w:tcW w:w="288" w:type="dxa"/>
            <w:vMerge/>
            <w:tcBorders>
              <w:top w:val="nil"/>
            </w:tcBorders>
          </w:tcPr>
          <w:p w14:paraId="0A61119A" w14:textId="77777777" w:rsidR="00F65BCA" w:rsidRDefault="00F65BCA">
            <w:pPr>
              <w:rPr>
                <w:sz w:val="2"/>
                <w:szCs w:val="2"/>
              </w:rPr>
            </w:pPr>
          </w:p>
        </w:tc>
        <w:tc>
          <w:tcPr>
            <w:tcW w:w="288" w:type="dxa"/>
            <w:vMerge/>
            <w:tcBorders>
              <w:top w:val="nil"/>
            </w:tcBorders>
          </w:tcPr>
          <w:p w14:paraId="48ECEDE7" w14:textId="77777777" w:rsidR="00F65BCA" w:rsidRDefault="00F65BCA">
            <w:pPr>
              <w:rPr>
                <w:sz w:val="2"/>
                <w:szCs w:val="2"/>
              </w:rPr>
            </w:pPr>
          </w:p>
        </w:tc>
        <w:tc>
          <w:tcPr>
            <w:tcW w:w="288" w:type="dxa"/>
            <w:vMerge/>
            <w:tcBorders>
              <w:top w:val="nil"/>
            </w:tcBorders>
          </w:tcPr>
          <w:p w14:paraId="446F9028" w14:textId="77777777" w:rsidR="00F65BCA" w:rsidRDefault="00F65BCA">
            <w:pPr>
              <w:rPr>
                <w:sz w:val="2"/>
                <w:szCs w:val="2"/>
              </w:rPr>
            </w:pPr>
          </w:p>
        </w:tc>
        <w:tc>
          <w:tcPr>
            <w:tcW w:w="288" w:type="dxa"/>
            <w:vMerge/>
            <w:tcBorders>
              <w:top w:val="nil"/>
            </w:tcBorders>
          </w:tcPr>
          <w:p w14:paraId="06FA3530" w14:textId="77777777" w:rsidR="00F65BCA" w:rsidRDefault="00F65BCA">
            <w:pPr>
              <w:rPr>
                <w:sz w:val="2"/>
                <w:szCs w:val="2"/>
              </w:rPr>
            </w:pPr>
          </w:p>
        </w:tc>
        <w:tc>
          <w:tcPr>
            <w:tcW w:w="288" w:type="dxa"/>
            <w:vMerge/>
            <w:tcBorders>
              <w:top w:val="nil"/>
            </w:tcBorders>
          </w:tcPr>
          <w:p w14:paraId="47D72012" w14:textId="77777777" w:rsidR="00F65BCA" w:rsidRDefault="00F65BCA">
            <w:pPr>
              <w:rPr>
                <w:sz w:val="2"/>
                <w:szCs w:val="2"/>
              </w:rPr>
            </w:pPr>
          </w:p>
        </w:tc>
        <w:tc>
          <w:tcPr>
            <w:tcW w:w="288" w:type="dxa"/>
            <w:vMerge/>
            <w:tcBorders>
              <w:top w:val="nil"/>
            </w:tcBorders>
          </w:tcPr>
          <w:p w14:paraId="22F61DC5" w14:textId="77777777" w:rsidR="00F65BCA" w:rsidRDefault="00F65BCA">
            <w:pPr>
              <w:rPr>
                <w:sz w:val="2"/>
                <w:szCs w:val="2"/>
              </w:rPr>
            </w:pPr>
          </w:p>
        </w:tc>
        <w:tc>
          <w:tcPr>
            <w:tcW w:w="288" w:type="dxa"/>
            <w:vMerge/>
            <w:tcBorders>
              <w:top w:val="nil"/>
            </w:tcBorders>
          </w:tcPr>
          <w:p w14:paraId="56E0D021" w14:textId="77777777" w:rsidR="00F65BCA" w:rsidRDefault="00F65BCA">
            <w:pPr>
              <w:rPr>
                <w:sz w:val="2"/>
                <w:szCs w:val="2"/>
              </w:rPr>
            </w:pPr>
          </w:p>
        </w:tc>
        <w:tc>
          <w:tcPr>
            <w:tcW w:w="288" w:type="dxa"/>
            <w:vMerge/>
            <w:tcBorders>
              <w:top w:val="nil"/>
            </w:tcBorders>
          </w:tcPr>
          <w:p w14:paraId="099D595C" w14:textId="77777777" w:rsidR="00F65BCA" w:rsidRDefault="00F65BCA">
            <w:pPr>
              <w:rPr>
                <w:sz w:val="2"/>
                <w:szCs w:val="2"/>
              </w:rPr>
            </w:pPr>
          </w:p>
        </w:tc>
        <w:tc>
          <w:tcPr>
            <w:tcW w:w="288" w:type="dxa"/>
            <w:vMerge/>
            <w:tcBorders>
              <w:top w:val="nil"/>
            </w:tcBorders>
          </w:tcPr>
          <w:p w14:paraId="7479C9F4" w14:textId="77777777" w:rsidR="00F65BCA" w:rsidRDefault="00F65BCA">
            <w:pPr>
              <w:rPr>
                <w:sz w:val="2"/>
                <w:szCs w:val="2"/>
              </w:rPr>
            </w:pPr>
          </w:p>
        </w:tc>
        <w:tc>
          <w:tcPr>
            <w:tcW w:w="288" w:type="dxa"/>
            <w:vMerge/>
            <w:tcBorders>
              <w:top w:val="nil"/>
            </w:tcBorders>
          </w:tcPr>
          <w:p w14:paraId="7F4583EE" w14:textId="77777777" w:rsidR="00F65BCA" w:rsidRDefault="00F65BCA">
            <w:pPr>
              <w:rPr>
                <w:sz w:val="2"/>
                <w:szCs w:val="2"/>
              </w:rPr>
            </w:pPr>
          </w:p>
        </w:tc>
        <w:tc>
          <w:tcPr>
            <w:tcW w:w="288" w:type="dxa"/>
            <w:vMerge/>
            <w:tcBorders>
              <w:top w:val="nil"/>
            </w:tcBorders>
          </w:tcPr>
          <w:p w14:paraId="28E3500D" w14:textId="77777777" w:rsidR="00F65BCA" w:rsidRDefault="00F65BCA">
            <w:pPr>
              <w:rPr>
                <w:sz w:val="2"/>
                <w:szCs w:val="2"/>
              </w:rPr>
            </w:pPr>
          </w:p>
        </w:tc>
      </w:tr>
      <w:tr w:rsidR="00F65BCA" w14:paraId="0D304560" w14:textId="77777777">
        <w:trPr>
          <w:trHeight w:val="38"/>
        </w:trPr>
        <w:tc>
          <w:tcPr>
            <w:tcW w:w="526" w:type="dxa"/>
            <w:vMerge/>
            <w:tcBorders>
              <w:top w:val="nil"/>
            </w:tcBorders>
            <w:shd w:val="clear" w:color="auto" w:fill="FCE4D6"/>
          </w:tcPr>
          <w:p w14:paraId="3C65E83B" w14:textId="77777777" w:rsidR="00F65BCA" w:rsidRDefault="00F65BCA">
            <w:pPr>
              <w:rPr>
                <w:sz w:val="2"/>
                <w:szCs w:val="2"/>
              </w:rPr>
            </w:pPr>
          </w:p>
        </w:tc>
        <w:tc>
          <w:tcPr>
            <w:tcW w:w="732" w:type="dxa"/>
            <w:vMerge/>
            <w:tcBorders>
              <w:top w:val="nil"/>
              <w:bottom w:val="nil"/>
            </w:tcBorders>
            <w:shd w:val="clear" w:color="auto" w:fill="FCE4D6"/>
          </w:tcPr>
          <w:p w14:paraId="2C8AE4BE" w14:textId="77777777" w:rsidR="00F65BCA" w:rsidRDefault="00F65BCA">
            <w:pPr>
              <w:rPr>
                <w:sz w:val="2"/>
                <w:szCs w:val="2"/>
              </w:rPr>
            </w:pPr>
          </w:p>
        </w:tc>
        <w:tc>
          <w:tcPr>
            <w:tcW w:w="958" w:type="dxa"/>
            <w:gridSpan w:val="2"/>
            <w:tcBorders>
              <w:bottom w:val="nil"/>
            </w:tcBorders>
            <w:shd w:val="clear" w:color="auto" w:fill="FCE4D6"/>
          </w:tcPr>
          <w:p w14:paraId="67762789" w14:textId="77777777" w:rsidR="00F65BCA" w:rsidRDefault="00F65BCA">
            <w:pPr>
              <w:pStyle w:val="TableParagraph"/>
              <w:rPr>
                <w:rFonts w:ascii="Times New Roman"/>
                <w:sz w:val="2"/>
              </w:rPr>
            </w:pPr>
          </w:p>
        </w:tc>
        <w:tc>
          <w:tcPr>
            <w:tcW w:w="576" w:type="dxa"/>
            <w:vMerge w:val="restart"/>
            <w:shd w:val="clear" w:color="auto" w:fill="FCE4D6"/>
          </w:tcPr>
          <w:p w14:paraId="3AD79CCB" w14:textId="77777777" w:rsidR="00F65BCA" w:rsidRDefault="00F65BCA">
            <w:pPr>
              <w:pStyle w:val="TableParagraph"/>
              <w:rPr>
                <w:rFonts w:ascii="Calibri"/>
                <w:sz w:val="2"/>
              </w:rPr>
            </w:pPr>
          </w:p>
          <w:p w14:paraId="7CA6F268" w14:textId="77777777" w:rsidR="00F65BCA" w:rsidRDefault="00216117">
            <w:pPr>
              <w:pStyle w:val="TableParagraph"/>
              <w:ind w:left="129" w:right="127"/>
              <w:jc w:val="center"/>
              <w:rPr>
                <w:sz w:val="3"/>
              </w:rPr>
            </w:pPr>
            <w:r>
              <w:rPr>
                <w:w w:val="105"/>
                <w:sz w:val="3"/>
              </w:rPr>
              <w:t>0-1000 ccm</w:t>
            </w:r>
          </w:p>
        </w:tc>
        <w:tc>
          <w:tcPr>
            <w:tcW w:w="576" w:type="dxa"/>
            <w:vMerge w:val="restart"/>
            <w:shd w:val="clear" w:color="auto" w:fill="FCE4D6"/>
          </w:tcPr>
          <w:p w14:paraId="2BAE77BE" w14:textId="77777777" w:rsidR="00F65BCA" w:rsidRDefault="00F65BCA">
            <w:pPr>
              <w:pStyle w:val="TableParagraph"/>
              <w:rPr>
                <w:rFonts w:ascii="Calibri"/>
                <w:sz w:val="2"/>
              </w:rPr>
            </w:pPr>
          </w:p>
          <w:p w14:paraId="5F348685"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7D1975A1" w14:textId="77777777" w:rsidR="00F65BCA" w:rsidRDefault="00F65BCA">
            <w:pPr>
              <w:rPr>
                <w:sz w:val="2"/>
                <w:szCs w:val="2"/>
              </w:rPr>
            </w:pPr>
          </w:p>
        </w:tc>
        <w:tc>
          <w:tcPr>
            <w:tcW w:w="288" w:type="dxa"/>
            <w:vMerge w:val="restart"/>
          </w:tcPr>
          <w:p w14:paraId="54C28F1C" w14:textId="77777777" w:rsidR="00F65BCA" w:rsidRDefault="00F65BCA">
            <w:pPr>
              <w:pStyle w:val="TableParagraph"/>
              <w:rPr>
                <w:rFonts w:ascii="Calibri"/>
                <w:sz w:val="2"/>
              </w:rPr>
            </w:pPr>
          </w:p>
          <w:p w14:paraId="46F8F51F" w14:textId="77777777" w:rsidR="00F65BCA" w:rsidRDefault="00216117">
            <w:pPr>
              <w:pStyle w:val="TableParagraph"/>
              <w:ind w:left="47"/>
              <w:rPr>
                <w:sz w:val="3"/>
              </w:rPr>
            </w:pPr>
            <w:r>
              <w:rPr>
                <w:w w:val="105"/>
                <w:sz w:val="3"/>
              </w:rPr>
              <w:t>1,79088000%</w:t>
            </w:r>
          </w:p>
        </w:tc>
        <w:tc>
          <w:tcPr>
            <w:tcW w:w="288" w:type="dxa"/>
            <w:vMerge w:val="restart"/>
          </w:tcPr>
          <w:p w14:paraId="57E078D5" w14:textId="77777777" w:rsidR="00F65BCA" w:rsidRDefault="00F65BCA">
            <w:pPr>
              <w:pStyle w:val="TableParagraph"/>
              <w:rPr>
                <w:rFonts w:ascii="Calibri"/>
                <w:sz w:val="2"/>
              </w:rPr>
            </w:pPr>
          </w:p>
          <w:p w14:paraId="598863A9" w14:textId="77777777" w:rsidR="00F65BCA" w:rsidRDefault="00216117">
            <w:pPr>
              <w:pStyle w:val="TableParagraph"/>
              <w:ind w:left="47"/>
              <w:rPr>
                <w:sz w:val="3"/>
              </w:rPr>
            </w:pPr>
            <w:r>
              <w:rPr>
                <w:w w:val="105"/>
                <w:sz w:val="3"/>
              </w:rPr>
              <w:t>1,67895000%</w:t>
            </w:r>
          </w:p>
        </w:tc>
        <w:tc>
          <w:tcPr>
            <w:tcW w:w="288" w:type="dxa"/>
            <w:vMerge w:val="restart"/>
          </w:tcPr>
          <w:p w14:paraId="606433E4" w14:textId="77777777" w:rsidR="00F65BCA" w:rsidRDefault="00F65BCA">
            <w:pPr>
              <w:pStyle w:val="TableParagraph"/>
              <w:rPr>
                <w:rFonts w:ascii="Calibri"/>
                <w:sz w:val="2"/>
              </w:rPr>
            </w:pPr>
          </w:p>
          <w:p w14:paraId="7F27A870" w14:textId="77777777" w:rsidR="00F65BCA" w:rsidRDefault="00216117">
            <w:pPr>
              <w:pStyle w:val="TableParagraph"/>
              <w:ind w:left="47"/>
              <w:rPr>
                <w:sz w:val="3"/>
              </w:rPr>
            </w:pPr>
            <w:r>
              <w:rPr>
                <w:w w:val="105"/>
                <w:sz w:val="3"/>
              </w:rPr>
              <w:t>1,60059900%</w:t>
            </w:r>
          </w:p>
        </w:tc>
        <w:tc>
          <w:tcPr>
            <w:tcW w:w="288" w:type="dxa"/>
            <w:vMerge w:val="restart"/>
          </w:tcPr>
          <w:p w14:paraId="2F75BF22" w14:textId="77777777" w:rsidR="00F65BCA" w:rsidRDefault="00F65BCA">
            <w:pPr>
              <w:pStyle w:val="TableParagraph"/>
              <w:rPr>
                <w:rFonts w:ascii="Calibri"/>
                <w:sz w:val="2"/>
              </w:rPr>
            </w:pPr>
          </w:p>
          <w:p w14:paraId="53324B4D" w14:textId="77777777" w:rsidR="00F65BCA" w:rsidRDefault="00216117">
            <w:pPr>
              <w:pStyle w:val="TableParagraph"/>
              <w:ind w:left="47"/>
              <w:rPr>
                <w:sz w:val="3"/>
              </w:rPr>
            </w:pPr>
            <w:r>
              <w:rPr>
                <w:w w:val="105"/>
                <w:sz w:val="3"/>
              </w:rPr>
              <w:t>1,51105500%</w:t>
            </w:r>
          </w:p>
        </w:tc>
        <w:tc>
          <w:tcPr>
            <w:tcW w:w="288" w:type="dxa"/>
            <w:vMerge w:val="restart"/>
          </w:tcPr>
          <w:p w14:paraId="4B7F9B8B" w14:textId="77777777" w:rsidR="00F65BCA" w:rsidRDefault="00F65BCA">
            <w:pPr>
              <w:pStyle w:val="TableParagraph"/>
              <w:rPr>
                <w:rFonts w:ascii="Calibri"/>
                <w:sz w:val="2"/>
              </w:rPr>
            </w:pPr>
          </w:p>
          <w:p w14:paraId="797F03C7" w14:textId="77777777" w:rsidR="00F65BCA" w:rsidRDefault="00216117">
            <w:pPr>
              <w:pStyle w:val="TableParagraph"/>
              <w:ind w:left="47"/>
              <w:rPr>
                <w:sz w:val="3"/>
              </w:rPr>
            </w:pPr>
            <w:r>
              <w:rPr>
                <w:w w:val="105"/>
                <w:sz w:val="3"/>
              </w:rPr>
              <w:t>1,43270400%</w:t>
            </w:r>
          </w:p>
        </w:tc>
        <w:tc>
          <w:tcPr>
            <w:tcW w:w="288" w:type="dxa"/>
            <w:vMerge w:val="restart"/>
          </w:tcPr>
          <w:p w14:paraId="18C0D2CB" w14:textId="77777777" w:rsidR="00F65BCA" w:rsidRDefault="00F65BCA">
            <w:pPr>
              <w:pStyle w:val="TableParagraph"/>
              <w:rPr>
                <w:rFonts w:ascii="Calibri"/>
                <w:sz w:val="2"/>
              </w:rPr>
            </w:pPr>
          </w:p>
          <w:p w14:paraId="386385FF" w14:textId="77777777" w:rsidR="00F65BCA" w:rsidRDefault="00216117">
            <w:pPr>
              <w:pStyle w:val="TableParagraph"/>
              <w:ind w:left="47"/>
              <w:rPr>
                <w:sz w:val="3"/>
              </w:rPr>
            </w:pPr>
            <w:r>
              <w:rPr>
                <w:w w:val="105"/>
                <w:sz w:val="3"/>
              </w:rPr>
              <w:t>1,33196700%</w:t>
            </w:r>
          </w:p>
        </w:tc>
        <w:tc>
          <w:tcPr>
            <w:tcW w:w="288" w:type="dxa"/>
            <w:vMerge w:val="restart"/>
          </w:tcPr>
          <w:p w14:paraId="5D184FB7" w14:textId="77777777" w:rsidR="00F65BCA" w:rsidRDefault="00F65BCA">
            <w:pPr>
              <w:pStyle w:val="TableParagraph"/>
              <w:rPr>
                <w:rFonts w:ascii="Calibri"/>
                <w:sz w:val="2"/>
              </w:rPr>
            </w:pPr>
          </w:p>
          <w:p w14:paraId="08B715A5" w14:textId="77777777" w:rsidR="00F65BCA" w:rsidRDefault="00216117">
            <w:pPr>
              <w:pStyle w:val="TableParagraph"/>
              <w:ind w:left="47"/>
              <w:rPr>
                <w:sz w:val="3"/>
              </w:rPr>
            </w:pPr>
            <w:r>
              <w:rPr>
                <w:w w:val="105"/>
                <w:sz w:val="3"/>
              </w:rPr>
              <w:t>1,23123000%</w:t>
            </w:r>
          </w:p>
        </w:tc>
        <w:tc>
          <w:tcPr>
            <w:tcW w:w="288" w:type="dxa"/>
            <w:vMerge w:val="restart"/>
          </w:tcPr>
          <w:p w14:paraId="72C61F93" w14:textId="77777777" w:rsidR="00F65BCA" w:rsidRDefault="00F65BCA">
            <w:pPr>
              <w:pStyle w:val="TableParagraph"/>
              <w:rPr>
                <w:rFonts w:ascii="Calibri"/>
                <w:sz w:val="2"/>
              </w:rPr>
            </w:pPr>
          </w:p>
          <w:p w14:paraId="35B632EE" w14:textId="77777777" w:rsidR="00F65BCA" w:rsidRDefault="00216117">
            <w:pPr>
              <w:pStyle w:val="TableParagraph"/>
              <w:ind w:left="47"/>
              <w:rPr>
                <w:sz w:val="3"/>
              </w:rPr>
            </w:pPr>
            <w:r>
              <w:rPr>
                <w:w w:val="105"/>
                <w:sz w:val="3"/>
              </w:rPr>
              <w:t>1,11930000%</w:t>
            </w:r>
          </w:p>
        </w:tc>
        <w:tc>
          <w:tcPr>
            <w:tcW w:w="288" w:type="dxa"/>
            <w:vMerge w:val="restart"/>
          </w:tcPr>
          <w:p w14:paraId="29CC96ED" w14:textId="77777777" w:rsidR="00F65BCA" w:rsidRDefault="00F65BCA">
            <w:pPr>
              <w:pStyle w:val="TableParagraph"/>
              <w:rPr>
                <w:rFonts w:ascii="Calibri"/>
                <w:sz w:val="2"/>
              </w:rPr>
            </w:pPr>
          </w:p>
          <w:p w14:paraId="28C6B9FF" w14:textId="77777777" w:rsidR="00F65BCA" w:rsidRDefault="00216117">
            <w:pPr>
              <w:pStyle w:val="TableParagraph"/>
              <w:ind w:left="47"/>
              <w:rPr>
                <w:sz w:val="3"/>
              </w:rPr>
            </w:pPr>
            <w:r>
              <w:rPr>
                <w:w w:val="105"/>
                <w:sz w:val="3"/>
              </w:rPr>
              <w:t>1,11930000%</w:t>
            </w:r>
          </w:p>
        </w:tc>
        <w:tc>
          <w:tcPr>
            <w:tcW w:w="288" w:type="dxa"/>
            <w:vMerge w:val="restart"/>
          </w:tcPr>
          <w:p w14:paraId="6ADA3271" w14:textId="77777777" w:rsidR="00F65BCA" w:rsidRDefault="00F65BCA">
            <w:pPr>
              <w:pStyle w:val="TableParagraph"/>
              <w:rPr>
                <w:rFonts w:ascii="Calibri"/>
                <w:sz w:val="2"/>
              </w:rPr>
            </w:pPr>
          </w:p>
          <w:p w14:paraId="4FCE0BD7" w14:textId="77777777" w:rsidR="00F65BCA" w:rsidRDefault="00216117">
            <w:pPr>
              <w:pStyle w:val="TableParagraph"/>
              <w:ind w:left="47"/>
              <w:rPr>
                <w:sz w:val="3"/>
              </w:rPr>
            </w:pPr>
            <w:r>
              <w:rPr>
                <w:w w:val="105"/>
                <w:sz w:val="3"/>
              </w:rPr>
              <w:t>1,34316000%</w:t>
            </w:r>
          </w:p>
        </w:tc>
        <w:tc>
          <w:tcPr>
            <w:tcW w:w="288" w:type="dxa"/>
            <w:vMerge w:val="restart"/>
          </w:tcPr>
          <w:p w14:paraId="2EA91B70" w14:textId="77777777" w:rsidR="00F65BCA" w:rsidRDefault="00F65BCA">
            <w:pPr>
              <w:pStyle w:val="TableParagraph"/>
              <w:rPr>
                <w:rFonts w:ascii="Calibri"/>
                <w:sz w:val="2"/>
              </w:rPr>
            </w:pPr>
          </w:p>
          <w:p w14:paraId="288E537B" w14:textId="77777777" w:rsidR="00F65BCA" w:rsidRDefault="00216117">
            <w:pPr>
              <w:pStyle w:val="TableParagraph"/>
              <w:ind w:left="47"/>
              <w:rPr>
                <w:sz w:val="3"/>
              </w:rPr>
            </w:pPr>
            <w:r>
              <w:rPr>
                <w:w w:val="105"/>
                <w:sz w:val="3"/>
              </w:rPr>
              <w:t>1,51105500%</w:t>
            </w:r>
          </w:p>
        </w:tc>
        <w:tc>
          <w:tcPr>
            <w:tcW w:w="288" w:type="dxa"/>
            <w:vMerge w:val="restart"/>
          </w:tcPr>
          <w:p w14:paraId="77256D92" w14:textId="77777777" w:rsidR="00F65BCA" w:rsidRDefault="00F65BCA">
            <w:pPr>
              <w:pStyle w:val="TableParagraph"/>
              <w:rPr>
                <w:rFonts w:ascii="Calibri"/>
                <w:sz w:val="2"/>
              </w:rPr>
            </w:pPr>
          </w:p>
          <w:p w14:paraId="71E97CB6" w14:textId="77777777" w:rsidR="00F65BCA" w:rsidRDefault="00216117">
            <w:pPr>
              <w:pStyle w:val="TableParagraph"/>
              <w:ind w:left="47"/>
              <w:rPr>
                <w:sz w:val="3"/>
              </w:rPr>
            </w:pPr>
            <w:r>
              <w:rPr>
                <w:w w:val="105"/>
                <w:sz w:val="3"/>
              </w:rPr>
              <w:t>1,51105500%</w:t>
            </w:r>
          </w:p>
        </w:tc>
        <w:tc>
          <w:tcPr>
            <w:tcW w:w="288" w:type="dxa"/>
            <w:vMerge w:val="restart"/>
          </w:tcPr>
          <w:p w14:paraId="256249EE" w14:textId="77777777" w:rsidR="00F65BCA" w:rsidRDefault="00F65BCA">
            <w:pPr>
              <w:pStyle w:val="TableParagraph"/>
              <w:rPr>
                <w:rFonts w:ascii="Calibri"/>
                <w:sz w:val="2"/>
              </w:rPr>
            </w:pPr>
          </w:p>
          <w:p w14:paraId="46BAF405" w14:textId="77777777" w:rsidR="00F65BCA" w:rsidRDefault="00216117">
            <w:pPr>
              <w:pStyle w:val="TableParagraph"/>
              <w:ind w:left="47"/>
              <w:rPr>
                <w:sz w:val="3"/>
              </w:rPr>
            </w:pPr>
            <w:r>
              <w:rPr>
                <w:w w:val="105"/>
                <w:sz w:val="3"/>
              </w:rPr>
              <w:t>1,67895000%</w:t>
            </w:r>
          </w:p>
        </w:tc>
      </w:tr>
      <w:tr w:rsidR="00F65BCA" w14:paraId="17630094" w14:textId="77777777">
        <w:trPr>
          <w:trHeight w:val="38"/>
        </w:trPr>
        <w:tc>
          <w:tcPr>
            <w:tcW w:w="526" w:type="dxa"/>
            <w:vMerge/>
            <w:tcBorders>
              <w:top w:val="nil"/>
            </w:tcBorders>
            <w:shd w:val="clear" w:color="auto" w:fill="FCE4D6"/>
          </w:tcPr>
          <w:p w14:paraId="0FE23A63" w14:textId="77777777" w:rsidR="00F65BCA" w:rsidRDefault="00F65BCA">
            <w:pPr>
              <w:rPr>
                <w:sz w:val="2"/>
                <w:szCs w:val="2"/>
              </w:rPr>
            </w:pPr>
          </w:p>
        </w:tc>
        <w:tc>
          <w:tcPr>
            <w:tcW w:w="732" w:type="dxa"/>
            <w:vMerge w:val="restart"/>
            <w:tcBorders>
              <w:top w:val="nil"/>
            </w:tcBorders>
            <w:shd w:val="clear" w:color="auto" w:fill="FCE4D6"/>
          </w:tcPr>
          <w:p w14:paraId="74E69884" w14:textId="77777777" w:rsidR="00F65BCA" w:rsidRDefault="00F65BCA">
            <w:pPr>
              <w:pStyle w:val="TableParagraph"/>
              <w:rPr>
                <w:rFonts w:ascii="Times New Roman"/>
                <w:sz w:val="2"/>
              </w:rPr>
            </w:pPr>
          </w:p>
        </w:tc>
        <w:tc>
          <w:tcPr>
            <w:tcW w:w="958" w:type="dxa"/>
            <w:gridSpan w:val="2"/>
            <w:vMerge w:val="restart"/>
            <w:tcBorders>
              <w:top w:val="nil"/>
            </w:tcBorders>
            <w:shd w:val="clear" w:color="auto" w:fill="FCE4D6"/>
          </w:tcPr>
          <w:p w14:paraId="4D75F4C4" w14:textId="77777777" w:rsidR="00F65BCA" w:rsidRDefault="00F65BCA">
            <w:pPr>
              <w:pStyle w:val="TableParagraph"/>
              <w:rPr>
                <w:rFonts w:ascii="Calibri"/>
                <w:sz w:val="2"/>
              </w:rPr>
            </w:pPr>
          </w:p>
          <w:p w14:paraId="413BE3F0" w14:textId="77777777" w:rsidR="00F65BCA" w:rsidRDefault="00216117">
            <w:pPr>
              <w:pStyle w:val="TableParagraph"/>
              <w:ind w:left="4"/>
              <w:rPr>
                <w:sz w:val="3"/>
              </w:rPr>
            </w:pPr>
            <w:r>
              <w:rPr>
                <w:w w:val="105"/>
                <w:sz w:val="3"/>
              </w:rPr>
              <w:t>1100; 1300; JINÉ</w:t>
            </w:r>
          </w:p>
        </w:tc>
        <w:tc>
          <w:tcPr>
            <w:tcW w:w="576" w:type="dxa"/>
            <w:vMerge/>
            <w:tcBorders>
              <w:top w:val="nil"/>
            </w:tcBorders>
            <w:shd w:val="clear" w:color="auto" w:fill="FCE4D6"/>
          </w:tcPr>
          <w:p w14:paraId="31A434C5" w14:textId="77777777" w:rsidR="00F65BCA" w:rsidRDefault="00F65BCA">
            <w:pPr>
              <w:rPr>
                <w:sz w:val="2"/>
                <w:szCs w:val="2"/>
              </w:rPr>
            </w:pPr>
          </w:p>
        </w:tc>
        <w:tc>
          <w:tcPr>
            <w:tcW w:w="576" w:type="dxa"/>
            <w:vMerge/>
            <w:tcBorders>
              <w:top w:val="nil"/>
            </w:tcBorders>
            <w:shd w:val="clear" w:color="auto" w:fill="FCE4D6"/>
          </w:tcPr>
          <w:p w14:paraId="03894775" w14:textId="77777777" w:rsidR="00F65BCA" w:rsidRDefault="00F65BCA">
            <w:pPr>
              <w:rPr>
                <w:sz w:val="2"/>
                <w:szCs w:val="2"/>
              </w:rPr>
            </w:pPr>
          </w:p>
        </w:tc>
        <w:tc>
          <w:tcPr>
            <w:tcW w:w="50" w:type="dxa"/>
            <w:vMerge/>
            <w:tcBorders>
              <w:top w:val="nil"/>
              <w:bottom w:val="nil"/>
            </w:tcBorders>
          </w:tcPr>
          <w:p w14:paraId="4486F778" w14:textId="77777777" w:rsidR="00F65BCA" w:rsidRDefault="00F65BCA">
            <w:pPr>
              <w:rPr>
                <w:sz w:val="2"/>
                <w:szCs w:val="2"/>
              </w:rPr>
            </w:pPr>
          </w:p>
        </w:tc>
        <w:tc>
          <w:tcPr>
            <w:tcW w:w="288" w:type="dxa"/>
            <w:vMerge/>
            <w:tcBorders>
              <w:top w:val="nil"/>
            </w:tcBorders>
          </w:tcPr>
          <w:p w14:paraId="08D097A1" w14:textId="77777777" w:rsidR="00F65BCA" w:rsidRDefault="00F65BCA">
            <w:pPr>
              <w:rPr>
                <w:sz w:val="2"/>
                <w:szCs w:val="2"/>
              </w:rPr>
            </w:pPr>
          </w:p>
        </w:tc>
        <w:tc>
          <w:tcPr>
            <w:tcW w:w="288" w:type="dxa"/>
            <w:vMerge/>
            <w:tcBorders>
              <w:top w:val="nil"/>
            </w:tcBorders>
          </w:tcPr>
          <w:p w14:paraId="4555B795" w14:textId="77777777" w:rsidR="00F65BCA" w:rsidRDefault="00F65BCA">
            <w:pPr>
              <w:rPr>
                <w:sz w:val="2"/>
                <w:szCs w:val="2"/>
              </w:rPr>
            </w:pPr>
          </w:p>
        </w:tc>
        <w:tc>
          <w:tcPr>
            <w:tcW w:w="288" w:type="dxa"/>
            <w:vMerge/>
            <w:tcBorders>
              <w:top w:val="nil"/>
            </w:tcBorders>
          </w:tcPr>
          <w:p w14:paraId="04709C89" w14:textId="77777777" w:rsidR="00F65BCA" w:rsidRDefault="00F65BCA">
            <w:pPr>
              <w:rPr>
                <w:sz w:val="2"/>
                <w:szCs w:val="2"/>
              </w:rPr>
            </w:pPr>
          </w:p>
        </w:tc>
        <w:tc>
          <w:tcPr>
            <w:tcW w:w="288" w:type="dxa"/>
            <w:vMerge/>
            <w:tcBorders>
              <w:top w:val="nil"/>
            </w:tcBorders>
          </w:tcPr>
          <w:p w14:paraId="6F31D93B" w14:textId="77777777" w:rsidR="00F65BCA" w:rsidRDefault="00F65BCA">
            <w:pPr>
              <w:rPr>
                <w:sz w:val="2"/>
                <w:szCs w:val="2"/>
              </w:rPr>
            </w:pPr>
          </w:p>
        </w:tc>
        <w:tc>
          <w:tcPr>
            <w:tcW w:w="288" w:type="dxa"/>
            <w:vMerge/>
            <w:tcBorders>
              <w:top w:val="nil"/>
            </w:tcBorders>
          </w:tcPr>
          <w:p w14:paraId="6667A5BE" w14:textId="77777777" w:rsidR="00F65BCA" w:rsidRDefault="00F65BCA">
            <w:pPr>
              <w:rPr>
                <w:sz w:val="2"/>
                <w:szCs w:val="2"/>
              </w:rPr>
            </w:pPr>
          </w:p>
        </w:tc>
        <w:tc>
          <w:tcPr>
            <w:tcW w:w="288" w:type="dxa"/>
            <w:vMerge/>
            <w:tcBorders>
              <w:top w:val="nil"/>
            </w:tcBorders>
          </w:tcPr>
          <w:p w14:paraId="314E46DC" w14:textId="77777777" w:rsidR="00F65BCA" w:rsidRDefault="00F65BCA">
            <w:pPr>
              <w:rPr>
                <w:sz w:val="2"/>
                <w:szCs w:val="2"/>
              </w:rPr>
            </w:pPr>
          </w:p>
        </w:tc>
        <w:tc>
          <w:tcPr>
            <w:tcW w:w="288" w:type="dxa"/>
            <w:vMerge/>
            <w:tcBorders>
              <w:top w:val="nil"/>
            </w:tcBorders>
          </w:tcPr>
          <w:p w14:paraId="230141C9" w14:textId="77777777" w:rsidR="00F65BCA" w:rsidRDefault="00F65BCA">
            <w:pPr>
              <w:rPr>
                <w:sz w:val="2"/>
                <w:szCs w:val="2"/>
              </w:rPr>
            </w:pPr>
          </w:p>
        </w:tc>
        <w:tc>
          <w:tcPr>
            <w:tcW w:w="288" w:type="dxa"/>
            <w:vMerge/>
            <w:tcBorders>
              <w:top w:val="nil"/>
            </w:tcBorders>
          </w:tcPr>
          <w:p w14:paraId="02458A06" w14:textId="77777777" w:rsidR="00F65BCA" w:rsidRDefault="00F65BCA">
            <w:pPr>
              <w:rPr>
                <w:sz w:val="2"/>
                <w:szCs w:val="2"/>
              </w:rPr>
            </w:pPr>
          </w:p>
        </w:tc>
        <w:tc>
          <w:tcPr>
            <w:tcW w:w="288" w:type="dxa"/>
            <w:vMerge/>
            <w:tcBorders>
              <w:top w:val="nil"/>
            </w:tcBorders>
          </w:tcPr>
          <w:p w14:paraId="40CCBF07" w14:textId="77777777" w:rsidR="00F65BCA" w:rsidRDefault="00F65BCA">
            <w:pPr>
              <w:rPr>
                <w:sz w:val="2"/>
                <w:szCs w:val="2"/>
              </w:rPr>
            </w:pPr>
          </w:p>
        </w:tc>
        <w:tc>
          <w:tcPr>
            <w:tcW w:w="288" w:type="dxa"/>
            <w:vMerge/>
            <w:tcBorders>
              <w:top w:val="nil"/>
            </w:tcBorders>
          </w:tcPr>
          <w:p w14:paraId="09C947E4" w14:textId="77777777" w:rsidR="00F65BCA" w:rsidRDefault="00F65BCA">
            <w:pPr>
              <w:rPr>
                <w:sz w:val="2"/>
                <w:szCs w:val="2"/>
              </w:rPr>
            </w:pPr>
          </w:p>
        </w:tc>
        <w:tc>
          <w:tcPr>
            <w:tcW w:w="288" w:type="dxa"/>
            <w:vMerge/>
            <w:tcBorders>
              <w:top w:val="nil"/>
            </w:tcBorders>
          </w:tcPr>
          <w:p w14:paraId="09D79FDE" w14:textId="77777777" w:rsidR="00F65BCA" w:rsidRDefault="00F65BCA">
            <w:pPr>
              <w:rPr>
                <w:sz w:val="2"/>
                <w:szCs w:val="2"/>
              </w:rPr>
            </w:pPr>
          </w:p>
        </w:tc>
        <w:tc>
          <w:tcPr>
            <w:tcW w:w="288" w:type="dxa"/>
            <w:vMerge/>
            <w:tcBorders>
              <w:top w:val="nil"/>
            </w:tcBorders>
          </w:tcPr>
          <w:p w14:paraId="301CB74E" w14:textId="77777777" w:rsidR="00F65BCA" w:rsidRDefault="00F65BCA">
            <w:pPr>
              <w:rPr>
                <w:sz w:val="2"/>
                <w:szCs w:val="2"/>
              </w:rPr>
            </w:pPr>
          </w:p>
        </w:tc>
        <w:tc>
          <w:tcPr>
            <w:tcW w:w="288" w:type="dxa"/>
            <w:vMerge/>
            <w:tcBorders>
              <w:top w:val="nil"/>
            </w:tcBorders>
          </w:tcPr>
          <w:p w14:paraId="58B0F2E4" w14:textId="77777777" w:rsidR="00F65BCA" w:rsidRDefault="00F65BCA">
            <w:pPr>
              <w:rPr>
                <w:sz w:val="2"/>
                <w:szCs w:val="2"/>
              </w:rPr>
            </w:pPr>
          </w:p>
        </w:tc>
      </w:tr>
      <w:tr w:rsidR="00F65BCA" w14:paraId="62C47D75" w14:textId="77777777">
        <w:trPr>
          <w:trHeight w:val="81"/>
        </w:trPr>
        <w:tc>
          <w:tcPr>
            <w:tcW w:w="526" w:type="dxa"/>
            <w:vMerge/>
            <w:tcBorders>
              <w:top w:val="nil"/>
            </w:tcBorders>
            <w:shd w:val="clear" w:color="auto" w:fill="FCE4D6"/>
          </w:tcPr>
          <w:p w14:paraId="4C19E8E2" w14:textId="77777777" w:rsidR="00F65BCA" w:rsidRDefault="00F65BCA">
            <w:pPr>
              <w:rPr>
                <w:sz w:val="2"/>
                <w:szCs w:val="2"/>
              </w:rPr>
            </w:pPr>
          </w:p>
        </w:tc>
        <w:tc>
          <w:tcPr>
            <w:tcW w:w="732" w:type="dxa"/>
            <w:vMerge/>
            <w:tcBorders>
              <w:top w:val="nil"/>
            </w:tcBorders>
            <w:shd w:val="clear" w:color="auto" w:fill="FCE4D6"/>
          </w:tcPr>
          <w:p w14:paraId="19080C02" w14:textId="77777777" w:rsidR="00F65BCA" w:rsidRDefault="00F65BCA">
            <w:pPr>
              <w:rPr>
                <w:sz w:val="2"/>
                <w:szCs w:val="2"/>
              </w:rPr>
            </w:pPr>
          </w:p>
        </w:tc>
        <w:tc>
          <w:tcPr>
            <w:tcW w:w="958" w:type="dxa"/>
            <w:gridSpan w:val="2"/>
            <w:vMerge/>
            <w:tcBorders>
              <w:top w:val="nil"/>
            </w:tcBorders>
            <w:shd w:val="clear" w:color="auto" w:fill="FCE4D6"/>
          </w:tcPr>
          <w:p w14:paraId="64C15D66" w14:textId="77777777" w:rsidR="00F65BCA" w:rsidRDefault="00F65BCA">
            <w:pPr>
              <w:rPr>
                <w:sz w:val="2"/>
                <w:szCs w:val="2"/>
              </w:rPr>
            </w:pPr>
          </w:p>
        </w:tc>
        <w:tc>
          <w:tcPr>
            <w:tcW w:w="576" w:type="dxa"/>
            <w:shd w:val="clear" w:color="auto" w:fill="FCE4D6"/>
          </w:tcPr>
          <w:p w14:paraId="6929067E" w14:textId="77777777" w:rsidR="00F65BCA" w:rsidRDefault="00F65BCA">
            <w:pPr>
              <w:pStyle w:val="TableParagraph"/>
              <w:rPr>
                <w:rFonts w:ascii="Calibri"/>
                <w:sz w:val="2"/>
              </w:rPr>
            </w:pPr>
          </w:p>
          <w:p w14:paraId="65EAF3F3" w14:textId="77777777" w:rsidR="00F65BCA" w:rsidRDefault="00216117">
            <w:pPr>
              <w:pStyle w:val="TableParagraph"/>
              <w:ind w:left="128" w:right="128"/>
              <w:jc w:val="center"/>
              <w:rPr>
                <w:sz w:val="3"/>
              </w:rPr>
            </w:pPr>
            <w:r>
              <w:rPr>
                <w:w w:val="105"/>
                <w:sz w:val="3"/>
              </w:rPr>
              <w:t>&gt;1000 ccm</w:t>
            </w:r>
          </w:p>
        </w:tc>
        <w:tc>
          <w:tcPr>
            <w:tcW w:w="576" w:type="dxa"/>
            <w:shd w:val="clear" w:color="auto" w:fill="FCE4D6"/>
          </w:tcPr>
          <w:p w14:paraId="019DABDD" w14:textId="77777777" w:rsidR="00F65BCA" w:rsidRDefault="00F65BCA">
            <w:pPr>
              <w:pStyle w:val="TableParagraph"/>
              <w:rPr>
                <w:rFonts w:ascii="Calibri"/>
                <w:sz w:val="2"/>
              </w:rPr>
            </w:pPr>
          </w:p>
          <w:p w14:paraId="18D6F70F"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09D0AFA7" w14:textId="77777777" w:rsidR="00F65BCA" w:rsidRDefault="00F65BCA">
            <w:pPr>
              <w:rPr>
                <w:sz w:val="2"/>
                <w:szCs w:val="2"/>
              </w:rPr>
            </w:pPr>
          </w:p>
        </w:tc>
        <w:tc>
          <w:tcPr>
            <w:tcW w:w="288" w:type="dxa"/>
          </w:tcPr>
          <w:p w14:paraId="25EF574C" w14:textId="77777777" w:rsidR="00F65BCA" w:rsidRDefault="00F65BCA">
            <w:pPr>
              <w:pStyle w:val="TableParagraph"/>
              <w:rPr>
                <w:rFonts w:ascii="Calibri"/>
                <w:sz w:val="2"/>
              </w:rPr>
            </w:pPr>
          </w:p>
          <w:p w14:paraId="69F4D496" w14:textId="77777777" w:rsidR="00F65BCA" w:rsidRDefault="00216117">
            <w:pPr>
              <w:pStyle w:val="TableParagraph"/>
              <w:ind w:left="24" w:right="24"/>
              <w:jc w:val="center"/>
              <w:rPr>
                <w:sz w:val="3"/>
              </w:rPr>
            </w:pPr>
            <w:r>
              <w:rPr>
                <w:w w:val="105"/>
                <w:sz w:val="3"/>
              </w:rPr>
              <w:t>2,16338304%</w:t>
            </w:r>
          </w:p>
        </w:tc>
        <w:tc>
          <w:tcPr>
            <w:tcW w:w="288" w:type="dxa"/>
          </w:tcPr>
          <w:p w14:paraId="708C7C1B" w14:textId="77777777" w:rsidR="00F65BCA" w:rsidRDefault="00F65BCA">
            <w:pPr>
              <w:pStyle w:val="TableParagraph"/>
              <w:rPr>
                <w:rFonts w:ascii="Calibri"/>
                <w:sz w:val="2"/>
              </w:rPr>
            </w:pPr>
          </w:p>
          <w:p w14:paraId="588218D5" w14:textId="77777777" w:rsidR="00F65BCA" w:rsidRDefault="00216117">
            <w:pPr>
              <w:pStyle w:val="TableParagraph"/>
              <w:ind w:left="24" w:right="24"/>
              <w:jc w:val="center"/>
              <w:rPr>
                <w:sz w:val="3"/>
              </w:rPr>
            </w:pPr>
            <w:r>
              <w:rPr>
                <w:w w:val="105"/>
                <w:sz w:val="3"/>
              </w:rPr>
              <w:t>2,02817160%</w:t>
            </w:r>
          </w:p>
        </w:tc>
        <w:tc>
          <w:tcPr>
            <w:tcW w:w="288" w:type="dxa"/>
          </w:tcPr>
          <w:p w14:paraId="11FF9B7E" w14:textId="77777777" w:rsidR="00F65BCA" w:rsidRDefault="00F65BCA">
            <w:pPr>
              <w:pStyle w:val="TableParagraph"/>
              <w:rPr>
                <w:rFonts w:ascii="Calibri"/>
                <w:sz w:val="2"/>
              </w:rPr>
            </w:pPr>
          </w:p>
          <w:p w14:paraId="15FCEAC5" w14:textId="77777777" w:rsidR="00F65BCA" w:rsidRDefault="00216117">
            <w:pPr>
              <w:pStyle w:val="TableParagraph"/>
              <w:ind w:left="47"/>
              <w:rPr>
                <w:sz w:val="3"/>
              </w:rPr>
            </w:pPr>
            <w:r>
              <w:rPr>
                <w:w w:val="105"/>
                <w:sz w:val="3"/>
              </w:rPr>
              <w:t>1,93352359%</w:t>
            </w:r>
          </w:p>
        </w:tc>
        <w:tc>
          <w:tcPr>
            <w:tcW w:w="288" w:type="dxa"/>
          </w:tcPr>
          <w:p w14:paraId="22C751AC" w14:textId="77777777" w:rsidR="00F65BCA" w:rsidRDefault="00F65BCA">
            <w:pPr>
              <w:pStyle w:val="TableParagraph"/>
              <w:rPr>
                <w:rFonts w:ascii="Calibri"/>
                <w:sz w:val="2"/>
              </w:rPr>
            </w:pPr>
          </w:p>
          <w:p w14:paraId="5394FF9C" w14:textId="77777777" w:rsidR="00F65BCA" w:rsidRDefault="00216117">
            <w:pPr>
              <w:pStyle w:val="TableParagraph"/>
              <w:ind w:left="24" w:right="24"/>
              <w:jc w:val="center"/>
              <w:rPr>
                <w:sz w:val="3"/>
              </w:rPr>
            </w:pPr>
            <w:r>
              <w:rPr>
                <w:w w:val="105"/>
                <w:sz w:val="3"/>
              </w:rPr>
              <w:t>1,82535444%</w:t>
            </w:r>
          </w:p>
        </w:tc>
        <w:tc>
          <w:tcPr>
            <w:tcW w:w="288" w:type="dxa"/>
          </w:tcPr>
          <w:p w14:paraId="161EF27E" w14:textId="77777777" w:rsidR="00F65BCA" w:rsidRDefault="00F65BCA">
            <w:pPr>
              <w:pStyle w:val="TableParagraph"/>
              <w:rPr>
                <w:rFonts w:ascii="Calibri"/>
                <w:sz w:val="2"/>
              </w:rPr>
            </w:pPr>
          </w:p>
          <w:p w14:paraId="3C49980D" w14:textId="77777777" w:rsidR="00F65BCA" w:rsidRDefault="00216117">
            <w:pPr>
              <w:pStyle w:val="TableParagraph"/>
              <w:ind w:left="47"/>
              <w:rPr>
                <w:sz w:val="3"/>
              </w:rPr>
            </w:pPr>
            <w:r>
              <w:rPr>
                <w:w w:val="105"/>
                <w:sz w:val="3"/>
              </w:rPr>
              <w:t>1,73070643%</w:t>
            </w:r>
          </w:p>
        </w:tc>
        <w:tc>
          <w:tcPr>
            <w:tcW w:w="288" w:type="dxa"/>
          </w:tcPr>
          <w:p w14:paraId="6E5B011D" w14:textId="77777777" w:rsidR="00F65BCA" w:rsidRDefault="00F65BCA">
            <w:pPr>
              <w:pStyle w:val="TableParagraph"/>
              <w:rPr>
                <w:rFonts w:ascii="Calibri"/>
                <w:sz w:val="2"/>
              </w:rPr>
            </w:pPr>
          </w:p>
          <w:p w14:paraId="34469FEF" w14:textId="77777777" w:rsidR="00F65BCA" w:rsidRDefault="00216117">
            <w:pPr>
              <w:pStyle w:val="TableParagraph"/>
              <w:ind w:left="24" w:right="24"/>
              <w:jc w:val="center"/>
              <w:rPr>
                <w:sz w:val="3"/>
              </w:rPr>
            </w:pPr>
            <w:r>
              <w:rPr>
                <w:w w:val="105"/>
                <w:sz w:val="3"/>
              </w:rPr>
              <w:t>1,60901614%</w:t>
            </w:r>
          </w:p>
        </w:tc>
        <w:tc>
          <w:tcPr>
            <w:tcW w:w="288" w:type="dxa"/>
          </w:tcPr>
          <w:p w14:paraId="14726AF8" w14:textId="77777777" w:rsidR="00F65BCA" w:rsidRDefault="00F65BCA">
            <w:pPr>
              <w:pStyle w:val="TableParagraph"/>
              <w:rPr>
                <w:rFonts w:ascii="Calibri"/>
                <w:sz w:val="2"/>
              </w:rPr>
            </w:pPr>
          </w:p>
          <w:p w14:paraId="047E6917" w14:textId="77777777" w:rsidR="00F65BCA" w:rsidRDefault="00216117">
            <w:pPr>
              <w:pStyle w:val="TableParagraph"/>
              <w:ind w:left="24" w:right="24"/>
              <w:jc w:val="center"/>
              <w:rPr>
                <w:sz w:val="3"/>
              </w:rPr>
            </w:pPr>
            <w:r>
              <w:rPr>
                <w:w w:val="105"/>
                <w:sz w:val="3"/>
              </w:rPr>
              <w:t>1,48732584%</w:t>
            </w:r>
          </w:p>
        </w:tc>
        <w:tc>
          <w:tcPr>
            <w:tcW w:w="288" w:type="dxa"/>
          </w:tcPr>
          <w:p w14:paraId="0092454A" w14:textId="77777777" w:rsidR="00F65BCA" w:rsidRDefault="00F65BCA">
            <w:pPr>
              <w:pStyle w:val="TableParagraph"/>
              <w:rPr>
                <w:rFonts w:ascii="Calibri"/>
                <w:sz w:val="2"/>
              </w:rPr>
            </w:pPr>
          </w:p>
          <w:p w14:paraId="0678E8A0" w14:textId="77777777" w:rsidR="00F65BCA" w:rsidRDefault="00216117">
            <w:pPr>
              <w:pStyle w:val="TableParagraph"/>
              <w:ind w:left="47"/>
              <w:rPr>
                <w:sz w:val="3"/>
              </w:rPr>
            </w:pPr>
            <w:r>
              <w:rPr>
                <w:w w:val="105"/>
                <w:sz w:val="3"/>
              </w:rPr>
              <w:t>1,35211440%</w:t>
            </w:r>
          </w:p>
        </w:tc>
        <w:tc>
          <w:tcPr>
            <w:tcW w:w="288" w:type="dxa"/>
          </w:tcPr>
          <w:p w14:paraId="6780F334" w14:textId="77777777" w:rsidR="00F65BCA" w:rsidRDefault="00F65BCA">
            <w:pPr>
              <w:pStyle w:val="TableParagraph"/>
              <w:rPr>
                <w:rFonts w:ascii="Calibri"/>
                <w:sz w:val="2"/>
              </w:rPr>
            </w:pPr>
          </w:p>
          <w:p w14:paraId="58FEF640" w14:textId="77777777" w:rsidR="00F65BCA" w:rsidRDefault="00216117">
            <w:pPr>
              <w:pStyle w:val="TableParagraph"/>
              <w:ind w:left="24" w:right="24"/>
              <w:jc w:val="center"/>
              <w:rPr>
                <w:sz w:val="3"/>
              </w:rPr>
            </w:pPr>
            <w:r>
              <w:rPr>
                <w:w w:val="105"/>
                <w:sz w:val="3"/>
              </w:rPr>
              <w:t>1,35211440%</w:t>
            </w:r>
          </w:p>
        </w:tc>
        <w:tc>
          <w:tcPr>
            <w:tcW w:w="288" w:type="dxa"/>
          </w:tcPr>
          <w:p w14:paraId="4839E677" w14:textId="77777777" w:rsidR="00F65BCA" w:rsidRDefault="00F65BCA">
            <w:pPr>
              <w:pStyle w:val="TableParagraph"/>
              <w:rPr>
                <w:rFonts w:ascii="Calibri"/>
                <w:sz w:val="2"/>
              </w:rPr>
            </w:pPr>
          </w:p>
          <w:p w14:paraId="704B4EAD" w14:textId="77777777" w:rsidR="00F65BCA" w:rsidRDefault="00216117">
            <w:pPr>
              <w:pStyle w:val="TableParagraph"/>
              <w:ind w:left="24" w:right="24"/>
              <w:jc w:val="center"/>
              <w:rPr>
                <w:sz w:val="3"/>
              </w:rPr>
            </w:pPr>
            <w:r>
              <w:rPr>
                <w:w w:val="105"/>
                <w:sz w:val="3"/>
              </w:rPr>
              <w:t>1,62253728%</w:t>
            </w:r>
          </w:p>
        </w:tc>
        <w:tc>
          <w:tcPr>
            <w:tcW w:w="288" w:type="dxa"/>
          </w:tcPr>
          <w:p w14:paraId="14162ED3" w14:textId="77777777" w:rsidR="00F65BCA" w:rsidRDefault="00F65BCA">
            <w:pPr>
              <w:pStyle w:val="TableParagraph"/>
              <w:rPr>
                <w:rFonts w:ascii="Calibri"/>
                <w:sz w:val="2"/>
              </w:rPr>
            </w:pPr>
          </w:p>
          <w:p w14:paraId="320EFE63" w14:textId="77777777" w:rsidR="00F65BCA" w:rsidRDefault="00216117">
            <w:pPr>
              <w:pStyle w:val="TableParagraph"/>
              <w:ind w:left="24" w:right="24"/>
              <w:jc w:val="center"/>
              <w:rPr>
                <w:sz w:val="3"/>
              </w:rPr>
            </w:pPr>
            <w:r>
              <w:rPr>
                <w:w w:val="105"/>
                <w:sz w:val="3"/>
              </w:rPr>
              <w:t>1,82535444%</w:t>
            </w:r>
          </w:p>
        </w:tc>
        <w:tc>
          <w:tcPr>
            <w:tcW w:w="288" w:type="dxa"/>
          </w:tcPr>
          <w:p w14:paraId="0441FC7A" w14:textId="77777777" w:rsidR="00F65BCA" w:rsidRDefault="00F65BCA">
            <w:pPr>
              <w:pStyle w:val="TableParagraph"/>
              <w:rPr>
                <w:rFonts w:ascii="Calibri"/>
                <w:sz w:val="2"/>
              </w:rPr>
            </w:pPr>
          </w:p>
          <w:p w14:paraId="727F85FF" w14:textId="77777777" w:rsidR="00F65BCA" w:rsidRDefault="00216117">
            <w:pPr>
              <w:pStyle w:val="TableParagraph"/>
              <w:ind w:left="24" w:right="24"/>
              <w:jc w:val="center"/>
              <w:rPr>
                <w:sz w:val="3"/>
              </w:rPr>
            </w:pPr>
            <w:r>
              <w:rPr>
                <w:w w:val="105"/>
                <w:sz w:val="3"/>
              </w:rPr>
              <w:t>1,82535444%</w:t>
            </w:r>
          </w:p>
        </w:tc>
        <w:tc>
          <w:tcPr>
            <w:tcW w:w="288" w:type="dxa"/>
          </w:tcPr>
          <w:p w14:paraId="214471E3" w14:textId="77777777" w:rsidR="00F65BCA" w:rsidRDefault="00F65BCA">
            <w:pPr>
              <w:pStyle w:val="TableParagraph"/>
              <w:rPr>
                <w:rFonts w:ascii="Calibri"/>
                <w:sz w:val="2"/>
              </w:rPr>
            </w:pPr>
          </w:p>
          <w:p w14:paraId="59D1DAD2" w14:textId="77777777" w:rsidR="00F65BCA" w:rsidRDefault="00216117">
            <w:pPr>
              <w:pStyle w:val="TableParagraph"/>
              <w:ind w:left="47"/>
              <w:rPr>
                <w:sz w:val="3"/>
              </w:rPr>
            </w:pPr>
            <w:r>
              <w:rPr>
                <w:w w:val="105"/>
                <w:sz w:val="3"/>
              </w:rPr>
              <w:t>2,02817160%</w:t>
            </w:r>
          </w:p>
        </w:tc>
      </w:tr>
      <w:tr w:rsidR="00F65BCA" w14:paraId="43035DBC" w14:textId="77777777">
        <w:trPr>
          <w:trHeight w:val="81"/>
        </w:trPr>
        <w:tc>
          <w:tcPr>
            <w:tcW w:w="526" w:type="dxa"/>
            <w:vMerge/>
            <w:tcBorders>
              <w:top w:val="nil"/>
            </w:tcBorders>
            <w:shd w:val="clear" w:color="auto" w:fill="FCE4D6"/>
          </w:tcPr>
          <w:p w14:paraId="270DE32C" w14:textId="77777777" w:rsidR="00F65BCA" w:rsidRDefault="00F65BCA">
            <w:pPr>
              <w:rPr>
                <w:sz w:val="2"/>
                <w:szCs w:val="2"/>
              </w:rPr>
            </w:pPr>
          </w:p>
        </w:tc>
        <w:tc>
          <w:tcPr>
            <w:tcW w:w="732" w:type="dxa"/>
            <w:vMerge w:val="restart"/>
            <w:shd w:val="clear" w:color="auto" w:fill="FCE4D6"/>
          </w:tcPr>
          <w:p w14:paraId="5AD0D783" w14:textId="77777777" w:rsidR="00F65BCA" w:rsidRDefault="00F65BCA">
            <w:pPr>
              <w:pStyle w:val="TableParagraph"/>
              <w:rPr>
                <w:rFonts w:ascii="Calibri"/>
                <w:sz w:val="2"/>
              </w:rPr>
            </w:pPr>
          </w:p>
          <w:p w14:paraId="18E8B633" w14:textId="77777777" w:rsidR="00F65BCA" w:rsidRDefault="00F65BCA">
            <w:pPr>
              <w:pStyle w:val="TableParagraph"/>
              <w:rPr>
                <w:rFonts w:ascii="Calibri"/>
                <w:sz w:val="2"/>
              </w:rPr>
            </w:pPr>
          </w:p>
          <w:p w14:paraId="32A294CD" w14:textId="77777777" w:rsidR="00F65BCA" w:rsidRDefault="00216117">
            <w:pPr>
              <w:pStyle w:val="TableParagraph"/>
              <w:spacing w:before="17"/>
              <w:ind w:left="18" w:right="15"/>
              <w:jc w:val="center"/>
              <w:rPr>
                <w:sz w:val="3"/>
              </w:rPr>
            </w:pPr>
            <w:r>
              <w:rPr>
                <w:w w:val="105"/>
                <w:sz w:val="3"/>
              </w:rPr>
              <w:t>MTX</w:t>
            </w:r>
          </w:p>
        </w:tc>
        <w:tc>
          <w:tcPr>
            <w:tcW w:w="958" w:type="dxa"/>
            <w:gridSpan w:val="2"/>
            <w:shd w:val="clear" w:color="auto" w:fill="FCE4D6"/>
          </w:tcPr>
          <w:p w14:paraId="223340E2" w14:textId="77777777" w:rsidR="00F65BCA" w:rsidRDefault="00F65BCA">
            <w:pPr>
              <w:pStyle w:val="TableParagraph"/>
              <w:rPr>
                <w:rFonts w:ascii="Calibri"/>
                <w:sz w:val="2"/>
              </w:rPr>
            </w:pPr>
          </w:p>
          <w:p w14:paraId="234CF1B9" w14:textId="77777777" w:rsidR="00F65BCA" w:rsidRDefault="00216117">
            <w:pPr>
              <w:pStyle w:val="TableParagraph"/>
              <w:ind w:left="1"/>
              <w:jc w:val="center"/>
              <w:rPr>
                <w:sz w:val="3"/>
              </w:rPr>
            </w:pPr>
            <w:r>
              <w:rPr>
                <w:w w:val="103"/>
                <w:sz w:val="3"/>
              </w:rPr>
              <w:t>-</w:t>
            </w:r>
          </w:p>
        </w:tc>
        <w:tc>
          <w:tcPr>
            <w:tcW w:w="576" w:type="dxa"/>
            <w:shd w:val="clear" w:color="auto" w:fill="FCE4D6"/>
          </w:tcPr>
          <w:p w14:paraId="59E214F5" w14:textId="77777777" w:rsidR="00F65BCA" w:rsidRDefault="00F65BCA">
            <w:pPr>
              <w:pStyle w:val="TableParagraph"/>
              <w:rPr>
                <w:rFonts w:ascii="Calibri"/>
                <w:sz w:val="2"/>
              </w:rPr>
            </w:pPr>
          </w:p>
          <w:p w14:paraId="514AD12C" w14:textId="77777777" w:rsidR="00F65BCA" w:rsidRDefault="00216117">
            <w:pPr>
              <w:pStyle w:val="TableParagraph"/>
              <w:ind w:left="129" w:right="127"/>
              <w:jc w:val="center"/>
              <w:rPr>
                <w:sz w:val="3"/>
              </w:rPr>
            </w:pPr>
            <w:r>
              <w:rPr>
                <w:w w:val="105"/>
                <w:sz w:val="3"/>
              </w:rPr>
              <w:t>0-1000 ccm</w:t>
            </w:r>
          </w:p>
        </w:tc>
        <w:tc>
          <w:tcPr>
            <w:tcW w:w="576" w:type="dxa"/>
            <w:shd w:val="clear" w:color="auto" w:fill="FCE4D6"/>
          </w:tcPr>
          <w:p w14:paraId="3E475A7A" w14:textId="77777777" w:rsidR="00F65BCA" w:rsidRDefault="00F65BCA">
            <w:pPr>
              <w:pStyle w:val="TableParagraph"/>
              <w:rPr>
                <w:rFonts w:ascii="Calibri"/>
                <w:sz w:val="2"/>
              </w:rPr>
            </w:pPr>
          </w:p>
          <w:p w14:paraId="5266DDD3"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4F58C9E2" w14:textId="77777777" w:rsidR="00F65BCA" w:rsidRDefault="00F65BCA">
            <w:pPr>
              <w:rPr>
                <w:sz w:val="2"/>
                <w:szCs w:val="2"/>
              </w:rPr>
            </w:pPr>
          </w:p>
        </w:tc>
        <w:tc>
          <w:tcPr>
            <w:tcW w:w="288" w:type="dxa"/>
          </w:tcPr>
          <w:p w14:paraId="1C45C1F7" w14:textId="77777777" w:rsidR="00F65BCA" w:rsidRDefault="00F65BCA">
            <w:pPr>
              <w:pStyle w:val="TableParagraph"/>
              <w:rPr>
                <w:rFonts w:ascii="Calibri"/>
                <w:sz w:val="2"/>
              </w:rPr>
            </w:pPr>
          </w:p>
          <w:p w14:paraId="3B2ED28F" w14:textId="77777777" w:rsidR="00F65BCA" w:rsidRDefault="00216117">
            <w:pPr>
              <w:pStyle w:val="TableParagraph"/>
              <w:ind w:left="24" w:right="24"/>
              <w:jc w:val="center"/>
              <w:rPr>
                <w:sz w:val="3"/>
              </w:rPr>
            </w:pPr>
            <w:r>
              <w:rPr>
                <w:w w:val="105"/>
                <w:sz w:val="3"/>
              </w:rPr>
              <w:t>0,89022086%</w:t>
            </w:r>
          </w:p>
        </w:tc>
        <w:tc>
          <w:tcPr>
            <w:tcW w:w="288" w:type="dxa"/>
          </w:tcPr>
          <w:p w14:paraId="0E5089C6" w14:textId="77777777" w:rsidR="00F65BCA" w:rsidRDefault="00F65BCA">
            <w:pPr>
              <w:pStyle w:val="TableParagraph"/>
              <w:rPr>
                <w:rFonts w:ascii="Calibri"/>
                <w:sz w:val="2"/>
              </w:rPr>
            </w:pPr>
          </w:p>
          <w:p w14:paraId="42C231E5" w14:textId="77777777" w:rsidR="00F65BCA" w:rsidRDefault="00216117">
            <w:pPr>
              <w:pStyle w:val="TableParagraph"/>
              <w:ind w:left="24" w:right="24"/>
              <w:jc w:val="center"/>
              <w:rPr>
                <w:sz w:val="3"/>
              </w:rPr>
            </w:pPr>
            <w:r>
              <w:rPr>
                <w:w w:val="105"/>
                <w:sz w:val="3"/>
              </w:rPr>
              <w:t>0,83458206%</w:t>
            </w:r>
          </w:p>
        </w:tc>
        <w:tc>
          <w:tcPr>
            <w:tcW w:w="288" w:type="dxa"/>
          </w:tcPr>
          <w:p w14:paraId="2F00E42D" w14:textId="77777777" w:rsidR="00F65BCA" w:rsidRDefault="00F65BCA">
            <w:pPr>
              <w:pStyle w:val="TableParagraph"/>
              <w:rPr>
                <w:rFonts w:ascii="Calibri"/>
                <w:sz w:val="2"/>
              </w:rPr>
            </w:pPr>
          </w:p>
          <w:p w14:paraId="503E5ED9" w14:textId="77777777" w:rsidR="00F65BCA" w:rsidRDefault="00216117">
            <w:pPr>
              <w:pStyle w:val="TableParagraph"/>
              <w:ind w:left="47"/>
              <w:rPr>
                <w:sz w:val="3"/>
              </w:rPr>
            </w:pPr>
            <w:r>
              <w:rPr>
                <w:w w:val="105"/>
                <w:sz w:val="3"/>
              </w:rPr>
              <w:t>0,79563490%</w:t>
            </w:r>
          </w:p>
        </w:tc>
        <w:tc>
          <w:tcPr>
            <w:tcW w:w="288" w:type="dxa"/>
          </w:tcPr>
          <w:p w14:paraId="03C99622" w14:textId="77777777" w:rsidR="00F65BCA" w:rsidRDefault="00F65BCA">
            <w:pPr>
              <w:pStyle w:val="TableParagraph"/>
              <w:rPr>
                <w:rFonts w:ascii="Calibri"/>
                <w:sz w:val="2"/>
              </w:rPr>
            </w:pPr>
          </w:p>
          <w:p w14:paraId="67914E05" w14:textId="77777777" w:rsidR="00F65BCA" w:rsidRDefault="00216117">
            <w:pPr>
              <w:pStyle w:val="TableParagraph"/>
              <w:ind w:left="24" w:right="24"/>
              <w:jc w:val="center"/>
              <w:rPr>
                <w:sz w:val="3"/>
              </w:rPr>
            </w:pPr>
            <w:r>
              <w:rPr>
                <w:w w:val="105"/>
                <w:sz w:val="3"/>
              </w:rPr>
              <w:t>0,75112385%</w:t>
            </w:r>
          </w:p>
        </w:tc>
        <w:tc>
          <w:tcPr>
            <w:tcW w:w="288" w:type="dxa"/>
          </w:tcPr>
          <w:p w14:paraId="4C6B1472" w14:textId="77777777" w:rsidR="00F65BCA" w:rsidRDefault="00F65BCA">
            <w:pPr>
              <w:pStyle w:val="TableParagraph"/>
              <w:rPr>
                <w:rFonts w:ascii="Calibri"/>
                <w:sz w:val="2"/>
              </w:rPr>
            </w:pPr>
          </w:p>
          <w:p w14:paraId="42FC3234" w14:textId="77777777" w:rsidR="00F65BCA" w:rsidRDefault="00216117">
            <w:pPr>
              <w:pStyle w:val="TableParagraph"/>
              <w:ind w:left="47"/>
              <w:rPr>
                <w:sz w:val="3"/>
              </w:rPr>
            </w:pPr>
            <w:r>
              <w:rPr>
                <w:w w:val="105"/>
                <w:sz w:val="3"/>
              </w:rPr>
              <w:t>0,71217669%</w:t>
            </w:r>
          </w:p>
        </w:tc>
        <w:tc>
          <w:tcPr>
            <w:tcW w:w="288" w:type="dxa"/>
          </w:tcPr>
          <w:p w14:paraId="601ED818" w14:textId="77777777" w:rsidR="00F65BCA" w:rsidRDefault="00F65BCA">
            <w:pPr>
              <w:pStyle w:val="TableParagraph"/>
              <w:rPr>
                <w:rFonts w:ascii="Calibri"/>
                <w:sz w:val="2"/>
              </w:rPr>
            </w:pPr>
          </w:p>
          <w:p w14:paraId="1A54FD71" w14:textId="77777777" w:rsidR="00F65BCA" w:rsidRDefault="00216117">
            <w:pPr>
              <w:pStyle w:val="TableParagraph"/>
              <w:ind w:left="24" w:right="24"/>
              <w:jc w:val="center"/>
              <w:rPr>
                <w:sz w:val="3"/>
              </w:rPr>
            </w:pPr>
            <w:r>
              <w:rPr>
                <w:w w:val="105"/>
                <w:sz w:val="3"/>
              </w:rPr>
              <w:t>0,66210177%</w:t>
            </w:r>
          </w:p>
        </w:tc>
        <w:tc>
          <w:tcPr>
            <w:tcW w:w="288" w:type="dxa"/>
          </w:tcPr>
          <w:p w14:paraId="498BA108" w14:textId="77777777" w:rsidR="00F65BCA" w:rsidRDefault="00F65BCA">
            <w:pPr>
              <w:pStyle w:val="TableParagraph"/>
              <w:rPr>
                <w:rFonts w:ascii="Calibri"/>
                <w:sz w:val="2"/>
              </w:rPr>
            </w:pPr>
          </w:p>
          <w:p w14:paraId="0CAD869A" w14:textId="77777777" w:rsidR="00F65BCA" w:rsidRDefault="00216117">
            <w:pPr>
              <w:pStyle w:val="TableParagraph"/>
              <w:ind w:left="24" w:right="24"/>
              <w:jc w:val="center"/>
              <w:rPr>
                <w:sz w:val="3"/>
              </w:rPr>
            </w:pPr>
            <w:r>
              <w:rPr>
                <w:w w:val="105"/>
                <w:sz w:val="3"/>
              </w:rPr>
              <w:t>0,61202684%</w:t>
            </w:r>
          </w:p>
        </w:tc>
        <w:tc>
          <w:tcPr>
            <w:tcW w:w="288" w:type="dxa"/>
          </w:tcPr>
          <w:p w14:paraId="78117B7D" w14:textId="77777777" w:rsidR="00F65BCA" w:rsidRDefault="00F65BCA">
            <w:pPr>
              <w:pStyle w:val="TableParagraph"/>
              <w:rPr>
                <w:rFonts w:ascii="Calibri"/>
                <w:sz w:val="2"/>
              </w:rPr>
            </w:pPr>
          </w:p>
          <w:p w14:paraId="51BB576E" w14:textId="77777777" w:rsidR="00F65BCA" w:rsidRDefault="00216117">
            <w:pPr>
              <w:pStyle w:val="TableParagraph"/>
              <w:ind w:left="47"/>
              <w:rPr>
                <w:sz w:val="3"/>
              </w:rPr>
            </w:pPr>
            <w:r>
              <w:rPr>
                <w:w w:val="105"/>
                <w:sz w:val="3"/>
              </w:rPr>
              <w:t>0,55638804%</w:t>
            </w:r>
          </w:p>
        </w:tc>
        <w:tc>
          <w:tcPr>
            <w:tcW w:w="288" w:type="dxa"/>
          </w:tcPr>
          <w:p w14:paraId="1B15FBE4" w14:textId="77777777" w:rsidR="00F65BCA" w:rsidRDefault="00F65BCA">
            <w:pPr>
              <w:pStyle w:val="TableParagraph"/>
              <w:rPr>
                <w:rFonts w:ascii="Calibri"/>
                <w:sz w:val="2"/>
              </w:rPr>
            </w:pPr>
          </w:p>
          <w:p w14:paraId="356D2701" w14:textId="77777777" w:rsidR="00F65BCA" w:rsidRDefault="00216117">
            <w:pPr>
              <w:pStyle w:val="TableParagraph"/>
              <w:ind w:left="24" w:right="24"/>
              <w:jc w:val="center"/>
              <w:rPr>
                <w:sz w:val="3"/>
              </w:rPr>
            </w:pPr>
            <w:r>
              <w:rPr>
                <w:w w:val="105"/>
                <w:sz w:val="3"/>
              </w:rPr>
              <w:t>0,55638804%</w:t>
            </w:r>
          </w:p>
        </w:tc>
        <w:tc>
          <w:tcPr>
            <w:tcW w:w="288" w:type="dxa"/>
          </w:tcPr>
          <w:p w14:paraId="377E2EA6" w14:textId="77777777" w:rsidR="00F65BCA" w:rsidRDefault="00F65BCA">
            <w:pPr>
              <w:pStyle w:val="TableParagraph"/>
              <w:rPr>
                <w:rFonts w:ascii="Calibri"/>
                <w:sz w:val="2"/>
              </w:rPr>
            </w:pPr>
          </w:p>
          <w:p w14:paraId="7ED0759C" w14:textId="77777777" w:rsidR="00F65BCA" w:rsidRDefault="00216117">
            <w:pPr>
              <w:pStyle w:val="TableParagraph"/>
              <w:ind w:left="24" w:right="24"/>
              <w:jc w:val="center"/>
              <w:rPr>
                <w:sz w:val="3"/>
              </w:rPr>
            </w:pPr>
            <w:r>
              <w:rPr>
                <w:w w:val="105"/>
                <w:sz w:val="3"/>
              </w:rPr>
              <w:t>0,66766565%</w:t>
            </w:r>
          </w:p>
        </w:tc>
        <w:tc>
          <w:tcPr>
            <w:tcW w:w="288" w:type="dxa"/>
          </w:tcPr>
          <w:p w14:paraId="1E3CE3AD" w14:textId="77777777" w:rsidR="00F65BCA" w:rsidRDefault="00F65BCA">
            <w:pPr>
              <w:pStyle w:val="TableParagraph"/>
              <w:rPr>
                <w:rFonts w:ascii="Calibri"/>
                <w:sz w:val="2"/>
              </w:rPr>
            </w:pPr>
          </w:p>
          <w:p w14:paraId="20F71D05" w14:textId="77777777" w:rsidR="00F65BCA" w:rsidRDefault="00216117">
            <w:pPr>
              <w:pStyle w:val="TableParagraph"/>
              <w:ind w:left="24" w:right="24"/>
              <w:jc w:val="center"/>
              <w:rPr>
                <w:sz w:val="3"/>
              </w:rPr>
            </w:pPr>
            <w:r>
              <w:rPr>
                <w:w w:val="105"/>
                <w:sz w:val="3"/>
              </w:rPr>
              <w:t>0,75112385%</w:t>
            </w:r>
          </w:p>
        </w:tc>
        <w:tc>
          <w:tcPr>
            <w:tcW w:w="288" w:type="dxa"/>
          </w:tcPr>
          <w:p w14:paraId="432112FF" w14:textId="77777777" w:rsidR="00F65BCA" w:rsidRDefault="00F65BCA">
            <w:pPr>
              <w:pStyle w:val="TableParagraph"/>
              <w:rPr>
                <w:rFonts w:ascii="Calibri"/>
                <w:sz w:val="2"/>
              </w:rPr>
            </w:pPr>
          </w:p>
          <w:p w14:paraId="66E293BB" w14:textId="77777777" w:rsidR="00F65BCA" w:rsidRDefault="00216117">
            <w:pPr>
              <w:pStyle w:val="TableParagraph"/>
              <w:ind w:left="24" w:right="24"/>
              <w:jc w:val="center"/>
              <w:rPr>
                <w:sz w:val="3"/>
              </w:rPr>
            </w:pPr>
            <w:r>
              <w:rPr>
                <w:w w:val="105"/>
                <w:sz w:val="3"/>
              </w:rPr>
              <w:t>0,75112385%</w:t>
            </w:r>
          </w:p>
        </w:tc>
        <w:tc>
          <w:tcPr>
            <w:tcW w:w="288" w:type="dxa"/>
          </w:tcPr>
          <w:p w14:paraId="1D4A57A2" w14:textId="77777777" w:rsidR="00F65BCA" w:rsidRDefault="00F65BCA">
            <w:pPr>
              <w:pStyle w:val="TableParagraph"/>
              <w:rPr>
                <w:rFonts w:ascii="Calibri"/>
                <w:sz w:val="2"/>
              </w:rPr>
            </w:pPr>
          </w:p>
          <w:p w14:paraId="4810AE81" w14:textId="77777777" w:rsidR="00F65BCA" w:rsidRDefault="00216117">
            <w:pPr>
              <w:pStyle w:val="TableParagraph"/>
              <w:ind w:left="47"/>
              <w:rPr>
                <w:sz w:val="3"/>
              </w:rPr>
            </w:pPr>
            <w:r>
              <w:rPr>
                <w:w w:val="105"/>
                <w:sz w:val="3"/>
              </w:rPr>
              <w:t>0,83458206%</w:t>
            </w:r>
          </w:p>
        </w:tc>
      </w:tr>
      <w:tr w:rsidR="00F65BCA" w14:paraId="2631EAC7" w14:textId="77777777">
        <w:trPr>
          <w:trHeight w:val="81"/>
        </w:trPr>
        <w:tc>
          <w:tcPr>
            <w:tcW w:w="526" w:type="dxa"/>
            <w:vMerge/>
            <w:tcBorders>
              <w:top w:val="nil"/>
            </w:tcBorders>
            <w:shd w:val="clear" w:color="auto" w:fill="FCE4D6"/>
          </w:tcPr>
          <w:p w14:paraId="732FCB16" w14:textId="77777777" w:rsidR="00F65BCA" w:rsidRDefault="00F65BCA">
            <w:pPr>
              <w:rPr>
                <w:sz w:val="2"/>
                <w:szCs w:val="2"/>
              </w:rPr>
            </w:pPr>
          </w:p>
        </w:tc>
        <w:tc>
          <w:tcPr>
            <w:tcW w:w="732" w:type="dxa"/>
            <w:vMerge/>
            <w:tcBorders>
              <w:top w:val="nil"/>
            </w:tcBorders>
            <w:shd w:val="clear" w:color="auto" w:fill="FCE4D6"/>
          </w:tcPr>
          <w:p w14:paraId="0B8F0A60" w14:textId="77777777" w:rsidR="00F65BCA" w:rsidRDefault="00F65BCA">
            <w:pPr>
              <w:rPr>
                <w:sz w:val="2"/>
                <w:szCs w:val="2"/>
              </w:rPr>
            </w:pPr>
          </w:p>
        </w:tc>
        <w:tc>
          <w:tcPr>
            <w:tcW w:w="958" w:type="dxa"/>
            <w:gridSpan w:val="2"/>
            <w:shd w:val="clear" w:color="auto" w:fill="FCE4D6"/>
          </w:tcPr>
          <w:p w14:paraId="098DB043" w14:textId="77777777" w:rsidR="00F65BCA" w:rsidRDefault="00F65BCA">
            <w:pPr>
              <w:pStyle w:val="TableParagraph"/>
              <w:rPr>
                <w:rFonts w:ascii="Calibri"/>
                <w:sz w:val="2"/>
              </w:rPr>
            </w:pPr>
          </w:p>
          <w:p w14:paraId="1BAFB456" w14:textId="77777777" w:rsidR="00F65BCA" w:rsidRDefault="00216117">
            <w:pPr>
              <w:pStyle w:val="TableParagraph"/>
              <w:ind w:left="1"/>
              <w:jc w:val="center"/>
              <w:rPr>
                <w:sz w:val="3"/>
              </w:rPr>
            </w:pPr>
            <w:r>
              <w:rPr>
                <w:w w:val="103"/>
                <w:sz w:val="3"/>
              </w:rPr>
              <w:t>-</w:t>
            </w:r>
          </w:p>
        </w:tc>
        <w:tc>
          <w:tcPr>
            <w:tcW w:w="576" w:type="dxa"/>
            <w:shd w:val="clear" w:color="auto" w:fill="FCE4D6"/>
          </w:tcPr>
          <w:p w14:paraId="3EA61159" w14:textId="77777777" w:rsidR="00F65BCA" w:rsidRDefault="00F65BCA">
            <w:pPr>
              <w:pStyle w:val="TableParagraph"/>
              <w:rPr>
                <w:rFonts w:ascii="Calibri"/>
                <w:sz w:val="2"/>
              </w:rPr>
            </w:pPr>
          </w:p>
          <w:p w14:paraId="03F44F77" w14:textId="77777777" w:rsidR="00F65BCA" w:rsidRDefault="00216117">
            <w:pPr>
              <w:pStyle w:val="TableParagraph"/>
              <w:ind w:left="128" w:right="128"/>
              <w:jc w:val="center"/>
              <w:rPr>
                <w:sz w:val="3"/>
              </w:rPr>
            </w:pPr>
            <w:r>
              <w:rPr>
                <w:w w:val="105"/>
                <w:sz w:val="3"/>
              </w:rPr>
              <w:t>&gt;1000 ccm</w:t>
            </w:r>
          </w:p>
        </w:tc>
        <w:tc>
          <w:tcPr>
            <w:tcW w:w="576" w:type="dxa"/>
            <w:shd w:val="clear" w:color="auto" w:fill="FCE4D6"/>
          </w:tcPr>
          <w:p w14:paraId="4E992A53" w14:textId="77777777" w:rsidR="00F65BCA" w:rsidRDefault="00F65BCA">
            <w:pPr>
              <w:pStyle w:val="TableParagraph"/>
              <w:rPr>
                <w:rFonts w:ascii="Calibri"/>
                <w:sz w:val="2"/>
              </w:rPr>
            </w:pPr>
          </w:p>
          <w:p w14:paraId="64F97E6D"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5274185A" w14:textId="77777777" w:rsidR="00F65BCA" w:rsidRDefault="00F65BCA">
            <w:pPr>
              <w:rPr>
                <w:sz w:val="2"/>
                <w:szCs w:val="2"/>
              </w:rPr>
            </w:pPr>
          </w:p>
        </w:tc>
        <w:tc>
          <w:tcPr>
            <w:tcW w:w="288" w:type="dxa"/>
          </w:tcPr>
          <w:p w14:paraId="4AD71F18" w14:textId="77777777" w:rsidR="00F65BCA" w:rsidRDefault="00F65BCA">
            <w:pPr>
              <w:pStyle w:val="TableParagraph"/>
              <w:rPr>
                <w:rFonts w:ascii="Calibri"/>
                <w:sz w:val="2"/>
              </w:rPr>
            </w:pPr>
          </w:p>
          <w:p w14:paraId="39D0B2DC" w14:textId="77777777" w:rsidR="00F65BCA" w:rsidRDefault="00216117">
            <w:pPr>
              <w:pStyle w:val="TableParagraph"/>
              <w:ind w:left="24" w:right="24"/>
              <w:jc w:val="center"/>
              <w:rPr>
                <w:sz w:val="3"/>
              </w:rPr>
            </w:pPr>
            <w:r>
              <w:rPr>
                <w:w w:val="105"/>
                <w:sz w:val="3"/>
              </w:rPr>
              <w:t>1,07538680%</w:t>
            </w:r>
          </w:p>
        </w:tc>
        <w:tc>
          <w:tcPr>
            <w:tcW w:w="288" w:type="dxa"/>
          </w:tcPr>
          <w:p w14:paraId="166A8548" w14:textId="77777777" w:rsidR="00F65BCA" w:rsidRDefault="00F65BCA">
            <w:pPr>
              <w:pStyle w:val="TableParagraph"/>
              <w:rPr>
                <w:rFonts w:ascii="Calibri"/>
                <w:sz w:val="2"/>
              </w:rPr>
            </w:pPr>
          </w:p>
          <w:p w14:paraId="0F87C917" w14:textId="77777777" w:rsidR="00F65BCA" w:rsidRDefault="00216117">
            <w:pPr>
              <w:pStyle w:val="TableParagraph"/>
              <w:ind w:left="24" w:right="24"/>
              <w:jc w:val="center"/>
              <w:rPr>
                <w:sz w:val="3"/>
              </w:rPr>
            </w:pPr>
            <w:r>
              <w:rPr>
                <w:w w:val="105"/>
                <w:sz w:val="3"/>
              </w:rPr>
              <w:t>1,00817513%</w:t>
            </w:r>
          </w:p>
        </w:tc>
        <w:tc>
          <w:tcPr>
            <w:tcW w:w="288" w:type="dxa"/>
          </w:tcPr>
          <w:p w14:paraId="673A3817" w14:textId="77777777" w:rsidR="00F65BCA" w:rsidRDefault="00F65BCA">
            <w:pPr>
              <w:pStyle w:val="TableParagraph"/>
              <w:rPr>
                <w:rFonts w:ascii="Calibri"/>
                <w:sz w:val="2"/>
              </w:rPr>
            </w:pPr>
          </w:p>
          <w:p w14:paraId="3F86C829" w14:textId="77777777" w:rsidR="00F65BCA" w:rsidRDefault="00216117">
            <w:pPr>
              <w:pStyle w:val="TableParagraph"/>
              <w:ind w:left="47"/>
              <w:rPr>
                <w:sz w:val="3"/>
              </w:rPr>
            </w:pPr>
            <w:r>
              <w:rPr>
                <w:w w:val="105"/>
                <w:sz w:val="3"/>
              </w:rPr>
              <w:t>0,96112696%</w:t>
            </w:r>
          </w:p>
        </w:tc>
        <w:tc>
          <w:tcPr>
            <w:tcW w:w="288" w:type="dxa"/>
          </w:tcPr>
          <w:p w14:paraId="30B9A5C3" w14:textId="77777777" w:rsidR="00F65BCA" w:rsidRDefault="00F65BCA">
            <w:pPr>
              <w:pStyle w:val="TableParagraph"/>
              <w:rPr>
                <w:rFonts w:ascii="Calibri"/>
                <w:sz w:val="2"/>
              </w:rPr>
            </w:pPr>
          </w:p>
          <w:p w14:paraId="5D18EDA6" w14:textId="77777777" w:rsidR="00F65BCA" w:rsidRDefault="00216117">
            <w:pPr>
              <w:pStyle w:val="TableParagraph"/>
              <w:ind w:left="24" w:right="24"/>
              <w:jc w:val="center"/>
              <w:rPr>
                <w:sz w:val="3"/>
              </w:rPr>
            </w:pPr>
            <w:r>
              <w:rPr>
                <w:w w:val="105"/>
                <w:sz w:val="3"/>
              </w:rPr>
              <w:t>0,90735762%</w:t>
            </w:r>
          </w:p>
        </w:tc>
        <w:tc>
          <w:tcPr>
            <w:tcW w:w="288" w:type="dxa"/>
          </w:tcPr>
          <w:p w14:paraId="2061E1E8" w14:textId="77777777" w:rsidR="00F65BCA" w:rsidRDefault="00F65BCA">
            <w:pPr>
              <w:pStyle w:val="TableParagraph"/>
              <w:rPr>
                <w:rFonts w:ascii="Calibri"/>
                <w:sz w:val="2"/>
              </w:rPr>
            </w:pPr>
          </w:p>
          <w:p w14:paraId="66244AA2" w14:textId="77777777" w:rsidR="00F65BCA" w:rsidRDefault="00216117">
            <w:pPr>
              <w:pStyle w:val="TableParagraph"/>
              <w:ind w:left="47"/>
              <w:rPr>
                <w:sz w:val="3"/>
              </w:rPr>
            </w:pPr>
            <w:r>
              <w:rPr>
                <w:w w:val="105"/>
                <w:sz w:val="3"/>
              </w:rPr>
              <w:t>0,86030944%</w:t>
            </w:r>
          </w:p>
        </w:tc>
        <w:tc>
          <w:tcPr>
            <w:tcW w:w="288" w:type="dxa"/>
          </w:tcPr>
          <w:p w14:paraId="19502263" w14:textId="77777777" w:rsidR="00F65BCA" w:rsidRDefault="00F65BCA">
            <w:pPr>
              <w:pStyle w:val="TableParagraph"/>
              <w:rPr>
                <w:rFonts w:ascii="Calibri"/>
                <w:sz w:val="2"/>
              </w:rPr>
            </w:pPr>
          </w:p>
          <w:p w14:paraId="3243FB45" w14:textId="77777777" w:rsidR="00F65BCA" w:rsidRDefault="00216117">
            <w:pPr>
              <w:pStyle w:val="TableParagraph"/>
              <w:ind w:left="24" w:right="24"/>
              <w:jc w:val="center"/>
              <w:rPr>
                <w:sz w:val="3"/>
              </w:rPr>
            </w:pPr>
            <w:r>
              <w:rPr>
                <w:w w:val="105"/>
                <w:sz w:val="3"/>
              </w:rPr>
              <w:t>0,79981894%</w:t>
            </w:r>
          </w:p>
        </w:tc>
        <w:tc>
          <w:tcPr>
            <w:tcW w:w="288" w:type="dxa"/>
          </w:tcPr>
          <w:p w14:paraId="750B4E98" w14:textId="77777777" w:rsidR="00F65BCA" w:rsidRDefault="00F65BCA">
            <w:pPr>
              <w:pStyle w:val="TableParagraph"/>
              <w:rPr>
                <w:rFonts w:ascii="Calibri"/>
                <w:sz w:val="2"/>
              </w:rPr>
            </w:pPr>
          </w:p>
          <w:p w14:paraId="4DD316D4" w14:textId="77777777" w:rsidR="00F65BCA" w:rsidRDefault="00216117">
            <w:pPr>
              <w:pStyle w:val="TableParagraph"/>
              <w:ind w:left="24" w:right="24"/>
              <w:jc w:val="center"/>
              <w:rPr>
                <w:sz w:val="3"/>
              </w:rPr>
            </w:pPr>
            <w:r>
              <w:rPr>
                <w:w w:val="105"/>
                <w:sz w:val="3"/>
              </w:rPr>
              <w:t>0,73932843%</w:t>
            </w:r>
          </w:p>
        </w:tc>
        <w:tc>
          <w:tcPr>
            <w:tcW w:w="288" w:type="dxa"/>
          </w:tcPr>
          <w:p w14:paraId="361F955D" w14:textId="77777777" w:rsidR="00F65BCA" w:rsidRDefault="00F65BCA">
            <w:pPr>
              <w:pStyle w:val="TableParagraph"/>
              <w:rPr>
                <w:rFonts w:ascii="Calibri"/>
                <w:sz w:val="2"/>
              </w:rPr>
            </w:pPr>
          </w:p>
          <w:p w14:paraId="74B1DC29" w14:textId="77777777" w:rsidR="00F65BCA" w:rsidRDefault="00216117">
            <w:pPr>
              <w:pStyle w:val="TableParagraph"/>
              <w:ind w:left="47"/>
              <w:rPr>
                <w:sz w:val="3"/>
              </w:rPr>
            </w:pPr>
            <w:r>
              <w:rPr>
                <w:w w:val="105"/>
                <w:sz w:val="3"/>
              </w:rPr>
              <w:t>0,67211675%</w:t>
            </w:r>
          </w:p>
        </w:tc>
        <w:tc>
          <w:tcPr>
            <w:tcW w:w="288" w:type="dxa"/>
          </w:tcPr>
          <w:p w14:paraId="665806C1" w14:textId="77777777" w:rsidR="00F65BCA" w:rsidRDefault="00F65BCA">
            <w:pPr>
              <w:pStyle w:val="TableParagraph"/>
              <w:rPr>
                <w:rFonts w:ascii="Calibri"/>
                <w:sz w:val="2"/>
              </w:rPr>
            </w:pPr>
          </w:p>
          <w:p w14:paraId="5A080FAD" w14:textId="77777777" w:rsidR="00F65BCA" w:rsidRDefault="00216117">
            <w:pPr>
              <w:pStyle w:val="TableParagraph"/>
              <w:ind w:left="24" w:right="24"/>
              <w:jc w:val="center"/>
              <w:rPr>
                <w:sz w:val="3"/>
              </w:rPr>
            </w:pPr>
            <w:r>
              <w:rPr>
                <w:w w:val="105"/>
                <w:sz w:val="3"/>
              </w:rPr>
              <w:t>0,67211675%</w:t>
            </w:r>
          </w:p>
        </w:tc>
        <w:tc>
          <w:tcPr>
            <w:tcW w:w="288" w:type="dxa"/>
          </w:tcPr>
          <w:p w14:paraId="024E3977" w14:textId="77777777" w:rsidR="00F65BCA" w:rsidRDefault="00F65BCA">
            <w:pPr>
              <w:pStyle w:val="TableParagraph"/>
              <w:rPr>
                <w:rFonts w:ascii="Calibri"/>
                <w:sz w:val="2"/>
              </w:rPr>
            </w:pPr>
          </w:p>
          <w:p w14:paraId="0DFF4700" w14:textId="77777777" w:rsidR="00F65BCA" w:rsidRDefault="00216117">
            <w:pPr>
              <w:pStyle w:val="TableParagraph"/>
              <w:ind w:left="24" w:right="24"/>
              <w:jc w:val="center"/>
              <w:rPr>
                <w:sz w:val="3"/>
              </w:rPr>
            </w:pPr>
            <w:r>
              <w:rPr>
                <w:w w:val="105"/>
                <w:sz w:val="3"/>
              </w:rPr>
              <w:t>0,80654010%</w:t>
            </w:r>
          </w:p>
        </w:tc>
        <w:tc>
          <w:tcPr>
            <w:tcW w:w="288" w:type="dxa"/>
          </w:tcPr>
          <w:p w14:paraId="15538A65" w14:textId="77777777" w:rsidR="00F65BCA" w:rsidRDefault="00F65BCA">
            <w:pPr>
              <w:pStyle w:val="TableParagraph"/>
              <w:rPr>
                <w:rFonts w:ascii="Calibri"/>
                <w:sz w:val="2"/>
              </w:rPr>
            </w:pPr>
          </w:p>
          <w:p w14:paraId="40F1026F" w14:textId="77777777" w:rsidR="00F65BCA" w:rsidRDefault="00216117">
            <w:pPr>
              <w:pStyle w:val="TableParagraph"/>
              <w:ind w:left="24" w:right="24"/>
              <w:jc w:val="center"/>
              <w:rPr>
                <w:sz w:val="3"/>
              </w:rPr>
            </w:pPr>
            <w:r>
              <w:rPr>
                <w:w w:val="105"/>
                <w:sz w:val="3"/>
              </w:rPr>
              <w:t>0,90735762%</w:t>
            </w:r>
          </w:p>
        </w:tc>
        <w:tc>
          <w:tcPr>
            <w:tcW w:w="288" w:type="dxa"/>
          </w:tcPr>
          <w:p w14:paraId="78F72992" w14:textId="77777777" w:rsidR="00F65BCA" w:rsidRDefault="00F65BCA">
            <w:pPr>
              <w:pStyle w:val="TableParagraph"/>
              <w:rPr>
                <w:rFonts w:ascii="Calibri"/>
                <w:sz w:val="2"/>
              </w:rPr>
            </w:pPr>
          </w:p>
          <w:p w14:paraId="3D02D0A8" w14:textId="77777777" w:rsidR="00F65BCA" w:rsidRDefault="00216117">
            <w:pPr>
              <w:pStyle w:val="TableParagraph"/>
              <w:ind w:left="24" w:right="24"/>
              <w:jc w:val="center"/>
              <w:rPr>
                <w:sz w:val="3"/>
              </w:rPr>
            </w:pPr>
            <w:r>
              <w:rPr>
                <w:w w:val="105"/>
                <w:sz w:val="3"/>
              </w:rPr>
              <w:t>0,90735762%</w:t>
            </w:r>
          </w:p>
        </w:tc>
        <w:tc>
          <w:tcPr>
            <w:tcW w:w="288" w:type="dxa"/>
          </w:tcPr>
          <w:p w14:paraId="300B985F" w14:textId="77777777" w:rsidR="00F65BCA" w:rsidRDefault="00F65BCA">
            <w:pPr>
              <w:pStyle w:val="TableParagraph"/>
              <w:rPr>
                <w:rFonts w:ascii="Calibri"/>
                <w:sz w:val="2"/>
              </w:rPr>
            </w:pPr>
          </w:p>
          <w:p w14:paraId="47E13819" w14:textId="77777777" w:rsidR="00F65BCA" w:rsidRDefault="00216117">
            <w:pPr>
              <w:pStyle w:val="TableParagraph"/>
              <w:ind w:left="47"/>
              <w:rPr>
                <w:sz w:val="3"/>
              </w:rPr>
            </w:pPr>
            <w:r>
              <w:rPr>
                <w:w w:val="105"/>
                <w:sz w:val="3"/>
              </w:rPr>
              <w:t>1,00817513%</w:t>
            </w:r>
          </w:p>
        </w:tc>
      </w:tr>
      <w:tr w:rsidR="00F65BCA" w14:paraId="1C49EC2C" w14:textId="77777777">
        <w:trPr>
          <w:trHeight w:val="104"/>
        </w:trPr>
        <w:tc>
          <w:tcPr>
            <w:tcW w:w="526" w:type="dxa"/>
            <w:vMerge/>
            <w:tcBorders>
              <w:top w:val="nil"/>
            </w:tcBorders>
            <w:shd w:val="clear" w:color="auto" w:fill="FCE4D6"/>
          </w:tcPr>
          <w:p w14:paraId="6408AA02" w14:textId="77777777" w:rsidR="00F65BCA" w:rsidRDefault="00F65BCA">
            <w:pPr>
              <w:rPr>
                <w:sz w:val="2"/>
                <w:szCs w:val="2"/>
              </w:rPr>
            </w:pPr>
          </w:p>
        </w:tc>
        <w:tc>
          <w:tcPr>
            <w:tcW w:w="732" w:type="dxa"/>
            <w:tcBorders>
              <w:bottom w:val="nil"/>
            </w:tcBorders>
            <w:shd w:val="clear" w:color="auto" w:fill="FCE4D6"/>
          </w:tcPr>
          <w:p w14:paraId="3B6F0723" w14:textId="77777777" w:rsidR="00F65BCA" w:rsidRDefault="00F65BCA">
            <w:pPr>
              <w:pStyle w:val="TableParagraph"/>
              <w:rPr>
                <w:rFonts w:ascii="Calibri"/>
                <w:sz w:val="2"/>
              </w:rPr>
            </w:pPr>
          </w:p>
          <w:p w14:paraId="2D719F96" w14:textId="77777777" w:rsidR="00F65BCA" w:rsidRDefault="00216117">
            <w:pPr>
              <w:pStyle w:val="TableParagraph"/>
              <w:spacing w:line="40" w:lineRule="atLeast"/>
              <w:ind w:left="4" w:right="20"/>
              <w:rPr>
                <w:sz w:val="3"/>
              </w:rPr>
            </w:pPr>
            <w:r>
              <w:rPr>
                <w:w w:val="105"/>
                <w:sz w:val="3"/>
              </w:rPr>
              <w:t>Abarth; Acura; Alke; ARO; Beta; Bonetti; Citroën; Daewoo; Daewoo FSO; Desta; DS; Fiat; Ford;</w:t>
            </w:r>
          </w:p>
        </w:tc>
        <w:tc>
          <w:tcPr>
            <w:tcW w:w="958" w:type="dxa"/>
            <w:gridSpan w:val="2"/>
            <w:tcBorders>
              <w:bottom w:val="nil"/>
            </w:tcBorders>
            <w:shd w:val="clear" w:color="auto" w:fill="FCE4D6"/>
          </w:tcPr>
          <w:p w14:paraId="7B03F71C" w14:textId="77777777" w:rsidR="00F65BCA" w:rsidRDefault="00F65BCA">
            <w:pPr>
              <w:pStyle w:val="TableParagraph"/>
              <w:rPr>
                <w:rFonts w:ascii="Calibri"/>
                <w:sz w:val="2"/>
              </w:rPr>
            </w:pPr>
          </w:p>
          <w:p w14:paraId="622BE129" w14:textId="77777777" w:rsidR="00F65BCA" w:rsidRDefault="00F65BCA">
            <w:pPr>
              <w:pStyle w:val="TableParagraph"/>
              <w:rPr>
                <w:rFonts w:ascii="Calibri"/>
                <w:sz w:val="2"/>
              </w:rPr>
            </w:pPr>
          </w:p>
          <w:p w14:paraId="4869C2A0" w14:textId="77777777" w:rsidR="00F65BCA" w:rsidRDefault="00216117">
            <w:pPr>
              <w:pStyle w:val="TableParagraph"/>
              <w:ind w:left="1"/>
              <w:jc w:val="center"/>
              <w:rPr>
                <w:sz w:val="3"/>
              </w:rPr>
            </w:pPr>
            <w:r>
              <w:rPr>
                <w:w w:val="103"/>
                <w:sz w:val="3"/>
              </w:rPr>
              <w:t>-</w:t>
            </w:r>
          </w:p>
        </w:tc>
        <w:tc>
          <w:tcPr>
            <w:tcW w:w="576" w:type="dxa"/>
            <w:tcBorders>
              <w:bottom w:val="nil"/>
            </w:tcBorders>
            <w:shd w:val="clear" w:color="auto" w:fill="FCE4D6"/>
          </w:tcPr>
          <w:p w14:paraId="1C5C6113" w14:textId="77777777" w:rsidR="00F65BCA" w:rsidRDefault="00F65BCA">
            <w:pPr>
              <w:pStyle w:val="TableParagraph"/>
              <w:rPr>
                <w:rFonts w:ascii="Calibri"/>
                <w:sz w:val="2"/>
              </w:rPr>
            </w:pPr>
          </w:p>
          <w:p w14:paraId="1F04CD6D" w14:textId="77777777" w:rsidR="00F65BCA" w:rsidRDefault="00F65BCA">
            <w:pPr>
              <w:pStyle w:val="TableParagraph"/>
              <w:rPr>
                <w:rFonts w:ascii="Calibri"/>
                <w:sz w:val="2"/>
              </w:rPr>
            </w:pPr>
          </w:p>
          <w:p w14:paraId="164998EE" w14:textId="77777777" w:rsidR="00F65BCA" w:rsidRDefault="00216117">
            <w:pPr>
              <w:pStyle w:val="TableParagraph"/>
              <w:ind w:left="129" w:right="127"/>
              <w:jc w:val="center"/>
              <w:rPr>
                <w:sz w:val="3"/>
              </w:rPr>
            </w:pPr>
            <w:r>
              <w:rPr>
                <w:w w:val="105"/>
                <w:sz w:val="3"/>
              </w:rPr>
              <w:t>0-1000 ccm</w:t>
            </w:r>
          </w:p>
        </w:tc>
        <w:tc>
          <w:tcPr>
            <w:tcW w:w="576" w:type="dxa"/>
            <w:tcBorders>
              <w:bottom w:val="nil"/>
            </w:tcBorders>
            <w:shd w:val="clear" w:color="auto" w:fill="FCE4D6"/>
          </w:tcPr>
          <w:p w14:paraId="207C9D22" w14:textId="77777777" w:rsidR="00F65BCA" w:rsidRDefault="00F65BCA">
            <w:pPr>
              <w:pStyle w:val="TableParagraph"/>
              <w:rPr>
                <w:rFonts w:ascii="Calibri"/>
                <w:sz w:val="2"/>
              </w:rPr>
            </w:pPr>
          </w:p>
          <w:p w14:paraId="67A4DD71" w14:textId="77777777" w:rsidR="00F65BCA" w:rsidRDefault="00F65BCA">
            <w:pPr>
              <w:pStyle w:val="TableParagraph"/>
              <w:rPr>
                <w:rFonts w:ascii="Calibri"/>
                <w:sz w:val="2"/>
              </w:rPr>
            </w:pPr>
          </w:p>
          <w:p w14:paraId="3AD02BD1"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5F2DBCC0" w14:textId="77777777" w:rsidR="00F65BCA" w:rsidRDefault="00F65BCA">
            <w:pPr>
              <w:rPr>
                <w:sz w:val="2"/>
                <w:szCs w:val="2"/>
              </w:rPr>
            </w:pPr>
          </w:p>
        </w:tc>
        <w:tc>
          <w:tcPr>
            <w:tcW w:w="288" w:type="dxa"/>
            <w:tcBorders>
              <w:bottom w:val="nil"/>
            </w:tcBorders>
          </w:tcPr>
          <w:p w14:paraId="78AF0B0E" w14:textId="77777777" w:rsidR="00F65BCA" w:rsidRDefault="00F65BCA">
            <w:pPr>
              <w:pStyle w:val="TableParagraph"/>
              <w:rPr>
                <w:rFonts w:ascii="Calibri"/>
                <w:sz w:val="2"/>
              </w:rPr>
            </w:pPr>
          </w:p>
          <w:p w14:paraId="6E481B35" w14:textId="77777777" w:rsidR="00F65BCA" w:rsidRDefault="00F65BCA">
            <w:pPr>
              <w:pStyle w:val="TableParagraph"/>
              <w:rPr>
                <w:rFonts w:ascii="Calibri"/>
                <w:sz w:val="2"/>
              </w:rPr>
            </w:pPr>
          </w:p>
          <w:p w14:paraId="5F48BBA9" w14:textId="77777777" w:rsidR="00F65BCA" w:rsidRDefault="00216117">
            <w:pPr>
              <w:pStyle w:val="TableParagraph"/>
              <w:ind w:left="24" w:right="24"/>
              <w:jc w:val="center"/>
              <w:rPr>
                <w:sz w:val="3"/>
              </w:rPr>
            </w:pPr>
            <w:r>
              <w:rPr>
                <w:w w:val="105"/>
                <w:sz w:val="3"/>
              </w:rPr>
              <w:t>1,02336000%</w:t>
            </w:r>
          </w:p>
        </w:tc>
        <w:tc>
          <w:tcPr>
            <w:tcW w:w="288" w:type="dxa"/>
            <w:tcBorders>
              <w:bottom w:val="nil"/>
            </w:tcBorders>
          </w:tcPr>
          <w:p w14:paraId="04542288" w14:textId="77777777" w:rsidR="00F65BCA" w:rsidRDefault="00F65BCA">
            <w:pPr>
              <w:pStyle w:val="TableParagraph"/>
              <w:rPr>
                <w:rFonts w:ascii="Calibri"/>
                <w:sz w:val="2"/>
              </w:rPr>
            </w:pPr>
          </w:p>
          <w:p w14:paraId="2ABD709B" w14:textId="77777777" w:rsidR="00F65BCA" w:rsidRDefault="00F65BCA">
            <w:pPr>
              <w:pStyle w:val="TableParagraph"/>
              <w:rPr>
                <w:rFonts w:ascii="Calibri"/>
                <w:sz w:val="2"/>
              </w:rPr>
            </w:pPr>
          </w:p>
          <w:p w14:paraId="4095C2CD" w14:textId="77777777" w:rsidR="00F65BCA" w:rsidRDefault="00216117">
            <w:pPr>
              <w:pStyle w:val="TableParagraph"/>
              <w:ind w:left="24" w:right="24"/>
              <w:jc w:val="center"/>
              <w:rPr>
                <w:sz w:val="3"/>
              </w:rPr>
            </w:pPr>
            <w:r>
              <w:rPr>
                <w:w w:val="105"/>
                <w:sz w:val="3"/>
              </w:rPr>
              <w:t>0,95940000%</w:t>
            </w:r>
          </w:p>
        </w:tc>
        <w:tc>
          <w:tcPr>
            <w:tcW w:w="288" w:type="dxa"/>
            <w:tcBorders>
              <w:bottom w:val="nil"/>
            </w:tcBorders>
          </w:tcPr>
          <w:p w14:paraId="4C5EF9CE" w14:textId="77777777" w:rsidR="00F65BCA" w:rsidRDefault="00F65BCA">
            <w:pPr>
              <w:pStyle w:val="TableParagraph"/>
              <w:rPr>
                <w:rFonts w:ascii="Calibri"/>
                <w:sz w:val="2"/>
              </w:rPr>
            </w:pPr>
          </w:p>
          <w:p w14:paraId="72A22AAD" w14:textId="77777777" w:rsidR="00F65BCA" w:rsidRDefault="00F65BCA">
            <w:pPr>
              <w:pStyle w:val="TableParagraph"/>
              <w:rPr>
                <w:rFonts w:ascii="Calibri"/>
                <w:sz w:val="2"/>
              </w:rPr>
            </w:pPr>
          </w:p>
          <w:p w14:paraId="524C1CB1" w14:textId="77777777" w:rsidR="00F65BCA" w:rsidRDefault="00216117">
            <w:pPr>
              <w:pStyle w:val="TableParagraph"/>
              <w:ind w:left="47"/>
              <w:rPr>
                <w:sz w:val="3"/>
              </w:rPr>
            </w:pPr>
            <w:r>
              <w:rPr>
                <w:w w:val="105"/>
                <w:sz w:val="3"/>
              </w:rPr>
              <w:t>0,91462800%</w:t>
            </w:r>
          </w:p>
        </w:tc>
        <w:tc>
          <w:tcPr>
            <w:tcW w:w="288" w:type="dxa"/>
            <w:tcBorders>
              <w:bottom w:val="nil"/>
            </w:tcBorders>
          </w:tcPr>
          <w:p w14:paraId="4CF5973B" w14:textId="77777777" w:rsidR="00F65BCA" w:rsidRDefault="00F65BCA">
            <w:pPr>
              <w:pStyle w:val="TableParagraph"/>
              <w:rPr>
                <w:rFonts w:ascii="Calibri"/>
                <w:sz w:val="2"/>
              </w:rPr>
            </w:pPr>
          </w:p>
          <w:p w14:paraId="04B77F9D" w14:textId="77777777" w:rsidR="00F65BCA" w:rsidRDefault="00F65BCA">
            <w:pPr>
              <w:pStyle w:val="TableParagraph"/>
              <w:rPr>
                <w:rFonts w:ascii="Calibri"/>
                <w:sz w:val="2"/>
              </w:rPr>
            </w:pPr>
          </w:p>
          <w:p w14:paraId="0EA760F6" w14:textId="77777777" w:rsidR="00F65BCA" w:rsidRDefault="00216117">
            <w:pPr>
              <w:pStyle w:val="TableParagraph"/>
              <w:ind w:left="24" w:right="24"/>
              <w:jc w:val="center"/>
              <w:rPr>
                <w:sz w:val="3"/>
              </w:rPr>
            </w:pPr>
            <w:r>
              <w:rPr>
                <w:w w:val="105"/>
                <w:sz w:val="3"/>
              </w:rPr>
              <w:t>0,86346000%</w:t>
            </w:r>
          </w:p>
        </w:tc>
        <w:tc>
          <w:tcPr>
            <w:tcW w:w="288" w:type="dxa"/>
            <w:tcBorders>
              <w:bottom w:val="nil"/>
            </w:tcBorders>
          </w:tcPr>
          <w:p w14:paraId="463F7650" w14:textId="77777777" w:rsidR="00F65BCA" w:rsidRDefault="00F65BCA">
            <w:pPr>
              <w:pStyle w:val="TableParagraph"/>
              <w:rPr>
                <w:rFonts w:ascii="Calibri"/>
                <w:sz w:val="2"/>
              </w:rPr>
            </w:pPr>
          </w:p>
          <w:p w14:paraId="0BAAB6B4" w14:textId="77777777" w:rsidR="00F65BCA" w:rsidRDefault="00F65BCA">
            <w:pPr>
              <w:pStyle w:val="TableParagraph"/>
              <w:rPr>
                <w:rFonts w:ascii="Calibri"/>
                <w:sz w:val="2"/>
              </w:rPr>
            </w:pPr>
          </w:p>
          <w:p w14:paraId="2F2FD07D" w14:textId="77777777" w:rsidR="00F65BCA" w:rsidRDefault="00216117">
            <w:pPr>
              <w:pStyle w:val="TableParagraph"/>
              <w:ind w:left="47"/>
              <w:rPr>
                <w:sz w:val="3"/>
              </w:rPr>
            </w:pPr>
            <w:r>
              <w:rPr>
                <w:w w:val="105"/>
                <w:sz w:val="3"/>
              </w:rPr>
              <w:t>0,81868800%</w:t>
            </w:r>
          </w:p>
        </w:tc>
        <w:tc>
          <w:tcPr>
            <w:tcW w:w="288" w:type="dxa"/>
            <w:tcBorders>
              <w:bottom w:val="nil"/>
            </w:tcBorders>
          </w:tcPr>
          <w:p w14:paraId="585E0E9F" w14:textId="77777777" w:rsidR="00F65BCA" w:rsidRDefault="00F65BCA">
            <w:pPr>
              <w:pStyle w:val="TableParagraph"/>
              <w:rPr>
                <w:rFonts w:ascii="Calibri"/>
                <w:sz w:val="2"/>
              </w:rPr>
            </w:pPr>
          </w:p>
          <w:p w14:paraId="2B63C0FB" w14:textId="77777777" w:rsidR="00F65BCA" w:rsidRDefault="00F65BCA">
            <w:pPr>
              <w:pStyle w:val="TableParagraph"/>
              <w:rPr>
                <w:rFonts w:ascii="Calibri"/>
                <w:sz w:val="2"/>
              </w:rPr>
            </w:pPr>
          </w:p>
          <w:p w14:paraId="2CEF2125" w14:textId="77777777" w:rsidR="00F65BCA" w:rsidRDefault="00216117">
            <w:pPr>
              <w:pStyle w:val="TableParagraph"/>
              <w:ind w:left="24" w:right="24"/>
              <w:jc w:val="center"/>
              <w:rPr>
                <w:sz w:val="3"/>
              </w:rPr>
            </w:pPr>
            <w:r>
              <w:rPr>
                <w:w w:val="105"/>
                <w:sz w:val="3"/>
              </w:rPr>
              <w:t>0,76112400%</w:t>
            </w:r>
          </w:p>
        </w:tc>
        <w:tc>
          <w:tcPr>
            <w:tcW w:w="288" w:type="dxa"/>
            <w:tcBorders>
              <w:bottom w:val="nil"/>
            </w:tcBorders>
          </w:tcPr>
          <w:p w14:paraId="6CD7589D" w14:textId="77777777" w:rsidR="00F65BCA" w:rsidRDefault="00F65BCA">
            <w:pPr>
              <w:pStyle w:val="TableParagraph"/>
              <w:rPr>
                <w:rFonts w:ascii="Calibri"/>
                <w:sz w:val="2"/>
              </w:rPr>
            </w:pPr>
          </w:p>
          <w:p w14:paraId="1C6F6683" w14:textId="77777777" w:rsidR="00F65BCA" w:rsidRDefault="00F65BCA">
            <w:pPr>
              <w:pStyle w:val="TableParagraph"/>
              <w:rPr>
                <w:rFonts w:ascii="Calibri"/>
                <w:sz w:val="2"/>
              </w:rPr>
            </w:pPr>
          </w:p>
          <w:p w14:paraId="78BC8395" w14:textId="77777777" w:rsidR="00F65BCA" w:rsidRDefault="00216117">
            <w:pPr>
              <w:pStyle w:val="TableParagraph"/>
              <w:ind w:left="24" w:right="24"/>
              <w:jc w:val="center"/>
              <w:rPr>
                <w:sz w:val="3"/>
              </w:rPr>
            </w:pPr>
            <w:r>
              <w:rPr>
                <w:w w:val="105"/>
                <w:sz w:val="3"/>
              </w:rPr>
              <w:t>0,70356000%</w:t>
            </w:r>
          </w:p>
        </w:tc>
        <w:tc>
          <w:tcPr>
            <w:tcW w:w="288" w:type="dxa"/>
            <w:tcBorders>
              <w:bottom w:val="nil"/>
            </w:tcBorders>
          </w:tcPr>
          <w:p w14:paraId="7310DCB8" w14:textId="77777777" w:rsidR="00F65BCA" w:rsidRDefault="00F65BCA">
            <w:pPr>
              <w:pStyle w:val="TableParagraph"/>
              <w:rPr>
                <w:rFonts w:ascii="Calibri"/>
                <w:sz w:val="2"/>
              </w:rPr>
            </w:pPr>
          </w:p>
          <w:p w14:paraId="68F066C4" w14:textId="77777777" w:rsidR="00F65BCA" w:rsidRDefault="00F65BCA">
            <w:pPr>
              <w:pStyle w:val="TableParagraph"/>
              <w:rPr>
                <w:rFonts w:ascii="Calibri"/>
                <w:sz w:val="2"/>
              </w:rPr>
            </w:pPr>
          </w:p>
          <w:p w14:paraId="69A36B01" w14:textId="77777777" w:rsidR="00F65BCA" w:rsidRDefault="00216117">
            <w:pPr>
              <w:pStyle w:val="TableParagraph"/>
              <w:ind w:left="47"/>
              <w:rPr>
                <w:sz w:val="3"/>
              </w:rPr>
            </w:pPr>
            <w:r>
              <w:rPr>
                <w:w w:val="105"/>
                <w:sz w:val="3"/>
              </w:rPr>
              <w:t>0,63960000%</w:t>
            </w:r>
          </w:p>
        </w:tc>
        <w:tc>
          <w:tcPr>
            <w:tcW w:w="288" w:type="dxa"/>
            <w:tcBorders>
              <w:bottom w:val="nil"/>
            </w:tcBorders>
          </w:tcPr>
          <w:p w14:paraId="3D4D0498" w14:textId="77777777" w:rsidR="00F65BCA" w:rsidRDefault="00F65BCA">
            <w:pPr>
              <w:pStyle w:val="TableParagraph"/>
              <w:rPr>
                <w:rFonts w:ascii="Calibri"/>
                <w:sz w:val="2"/>
              </w:rPr>
            </w:pPr>
          </w:p>
          <w:p w14:paraId="4EB5FF07" w14:textId="77777777" w:rsidR="00F65BCA" w:rsidRDefault="00F65BCA">
            <w:pPr>
              <w:pStyle w:val="TableParagraph"/>
              <w:rPr>
                <w:rFonts w:ascii="Calibri"/>
                <w:sz w:val="2"/>
              </w:rPr>
            </w:pPr>
          </w:p>
          <w:p w14:paraId="37059825" w14:textId="77777777" w:rsidR="00F65BCA" w:rsidRDefault="00216117">
            <w:pPr>
              <w:pStyle w:val="TableParagraph"/>
              <w:ind w:left="24" w:right="24"/>
              <w:jc w:val="center"/>
              <w:rPr>
                <w:sz w:val="3"/>
              </w:rPr>
            </w:pPr>
            <w:r>
              <w:rPr>
                <w:w w:val="105"/>
                <w:sz w:val="3"/>
              </w:rPr>
              <w:t>0,63960000%</w:t>
            </w:r>
          </w:p>
        </w:tc>
        <w:tc>
          <w:tcPr>
            <w:tcW w:w="288" w:type="dxa"/>
            <w:tcBorders>
              <w:bottom w:val="nil"/>
            </w:tcBorders>
          </w:tcPr>
          <w:p w14:paraId="6CAA8CCB" w14:textId="77777777" w:rsidR="00F65BCA" w:rsidRDefault="00F65BCA">
            <w:pPr>
              <w:pStyle w:val="TableParagraph"/>
              <w:rPr>
                <w:rFonts w:ascii="Calibri"/>
                <w:sz w:val="2"/>
              </w:rPr>
            </w:pPr>
          </w:p>
          <w:p w14:paraId="65E84147" w14:textId="77777777" w:rsidR="00F65BCA" w:rsidRDefault="00F65BCA">
            <w:pPr>
              <w:pStyle w:val="TableParagraph"/>
              <w:rPr>
                <w:rFonts w:ascii="Calibri"/>
                <w:sz w:val="2"/>
              </w:rPr>
            </w:pPr>
          </w:p>
          <w:p w14:paraId="1A1D329D" w14:textId="77777777" w:rsidR="00F65BCA" w:rsidRDefault="00216117">
            <w:pPr>
              <w:pStyle w:val="TableParagraph"/>
              <w:ind w:left="24" w:right="24"/>
              <w:jc w:val="center"/>
              <w:rPr>
                <w:sz w:val="3"/>
              </w:rPr>
            </w:pPr>
            <w:r>
              <w:rPr>
                <w:w w:val="105"/>
                <w:sz w:val="3"/>
              </w:rPr>
              <w:t>0,76752000%</w:t>
            </w:r>
          </w:p>
        </w:tc>
        <w:tc>
          <w:tcPr>
            <w:tcW w:w="288" w:type="dxa"/>
            <w:tcBorders>
              <w:bottom w:val="nil"/>
            </w:tcBorders>
          </w:tcPr>
          <w:p w14:paraId="6D2B6123" w14:textId="77777777" w:rsidR="00F65BCA" w:rsidRDefault="00F65BCA">
            <w:pPr>
              <w:pStyle w:val="TableParagraph"/>
              <w:rPr>
                <w:rFonts w:ascii="Calibri"/>
                <w:sz w:val="2"/>
              </w:rPr>
            </w:pPr>
          </w:p>
          <w:p w14:paraId="343A6D15" w14:textId="77777777" w:rsidR="00F65BCA" w:rsidRDefault="00F65BCA">
            <w:pPr>
              <w:pStyle w:val="TableParagraph"/>
              <w:rPr>
                <w:rFonts w:ascii="Calibri"/>
                <w:sz w:val="2"/>
              </w:rPr>
            </w:pPr>
          </w:p>
          <w:p w14:paraId="407791BA" w14:textId="77777777" w:rsidR="00F65BCA" w:rsidRDefault="00216117">
            <w:pPr>
              <w:pStyle w:val="TableParagraph"/>
              <w:ind w:left="24" w:right="24"/>
              <w:jc w:val="center"/>
              <w:rPr>
                <w:sz w:val="3"/>
              </w:rPr>
            </w:pPr>
            <w:r>
              <w:rPr>
                <w:w w:val="105"/>
                <w:sz w:val="3"/>
              </w:rPr>
              <w:t>0,86346000%</w:t>
            </w:r>
          </w:p>
        </w:tc>
        <w:tc>
          <w:tcPr>
            <w:tcW w:w="288" w:type="dxa"/>
            <w:tcBorders>
              <w:bottom w:val="nil"/>
            </w:tcBorders>
          </w:tcPr>
          <w:p w14:paraId="461E50E8" w14:textId="77777777" w:rsidR="00F65BCA" w:rsidRDefault="00F65BCA">
            <w:pPr>
              <w:pStyle w:val="TableParagraph"/>
              <w:rPr>
                <w:rFonts w:ascii="Calibri"/>
                <w:sz w:val="2"/>
              </w:rPr>
            </w:pPr>
          </w:p>
          <w:p w14:paraId="1412A0F0" w14:textId="77777777" w:rsidR="00F65BCA" w:rsidRDefault="00F65BCA">
            <w:pPr>
              <w:pStyle w:val="TableParagraph"/>
              <w:rPr>
                <w:rFonts w:ascii="Calibri"/>
                <w:sz w:val="2"/>
              </w:rPr>
            </w:pPr>
          </w:p>
          <w:p w14:paraId="29B4C3B2" w14:textId="77777777" w:rsidR="00F65BCA" w:rsidRDefault="00216117">
            <w:pPr>
              <w:pStyle w:val="TableParagraph"/>
              <w:ind w:left="24" w:right="24"/>
              <w:jc w:val="center"/>
              <w:rPr>
                <w:sz w:val="3"/>
              </w:rPr>
            </w:pPr>
            <w:r>
              <w:rPr>
                <w:w w:val="105"/>
                <w:sz w:val="3"/>
              </w:rPr>
              <w:t>0,86346000%</w:t>
            </w:r>
          </w:p>
        </w:tc>
        <w:tc>
          <w:tcPr>
            <w:tcW w:w="288" w:type="dxa"/>
            <w:tcBorders>
              <w:bottom w:val="nil"/>
            </w:tcBorders>
          </w:tcPr>
          <w:p w14:paraId="16C45976" w14:textId="77777777" w:rsidR="00F65BCA" w:rsidRDefault="00F65BCA">
            <w:pPr>
              <w:pStyle w:val="TableParagraph"/>
              <w:rPr>
                <w:rFonts w:ascii="Calibri"/>
                <w:sz w:val="2"/>
              </w:rPr>
            </w:pPr>
          </w:p>
          <w:p w14:paraId="05A8B686" w14:textId="77777777" w:rsidR="00F65BCA" w:rsidRDefault="00F65BCA">
            <w:pPr>
              <w:pStyle w:val="TableParagraph"/>
              <w:rPr>
                <w:rFonts w:ascii="Calibri"/>
                <w:sz w:val="2"/>
              </w:rPr>
            </w:pPr>
          </w:p>
          <w:p w14:paraId="346EDE10" w14:textId="77777777" w:rsidR="00F65BCA" w:rsidRDefault="00216117">
            <w:pPr>
              <w:pStyle w:val="TableParagraph"/>
              <w:ind w:left="47"/>
              <w:rPr>
                <w:sz w:val="3"/>
              </w:rPr>
            </w:pPr>
            <w:r>
              <w:rPr>
                <w:w w:val="105"/>
                <w:sz w:val="3"/>
              </w:rPr>
              <w:t>0,95940000%</w:t>
            </w:r>
          </w:p>
        </w:tc>
      </w:tr>
      <w:tr w:rsidR="00F65BCA" w14:paraId="03D8C0E8" w14:textId="77777777">
        <w:trPr>
          <w:trHeight w:val="15"/>
        </w:trPr>
        <w:tc>
          <w:tcPr>
            <w:tcW w:w="526" w:type="dxa"/>
            <w:vMerge/>
            <w:tcBorders>
              <w:top w:val="nil"/>
            </w:tcBorders>
            <w:shd w:val="clear" w:color="auto" w:fill="FCE4D6"/>
          </w:tcPr>
          <w:p w14:paraId="5AF61E16" w14:textId="77777777" w:rsidR="00F65BCA" w:rsidRDefault="00F65BCA">
            <w:pPr>
              <w:rPr>
                <w:sz w:val="2"/>
                <w:szCs w:val="2"/>
              </w:rPr>
            </w:pPr>
          </w:p>
        </w:tc>
        <w:tc>
          <w:tcPr>
            <w:tcW w:w="732" w:type="dxa"/>
            <w:vMerge w:val="restart"/>
            <w:tcBorders>
              <w:top w:val="nil"/>
              <w:bottom w:val="nil"/>
            </w:tcBorders>
            <w:shd w:val="clear" w:color="auto" w:fill="FCE4D6"/>
          </w:tcPr>
          <w:p w14:paraId="2EED247C" w14:textId="77777777" w:rsidR="00F65BCA" w:rsidRDefault="00216117">
            <w:pPr>
              <w:pStyle w:val="TableParagraph"/>
              <w:spacing w:line="15" w:lineRule="exact"/>
              <w:ind w:left="4"/>
              <w:rPr>
                <w:sz w:val="3"/>
              </w:rPr>
            </w:pPr>
            <w:r>
              <w:rPr>
                <w:w w:val="105"/>
                <w:sz w:val="3"/>
              </w:rPr>
              <w:t>FSO; Fuso; Isuzu; Iveco; Kia; Lada; LDV; MAN;</w:t>
            </w:r>
          </w:p>
        </w:tc>
        <w:tc>
          <w:tcPr>
            <w:tcW w:w="958" w:type="dxa"/>
            <w:gridSpan w:val="2"/>
            <w:tcBorders>
              <w:top w:val="nil"/>
            </w:tcBorders>
            <w:shd w:val="clear" w:color="auto" w:fill="FCE4D6"/>
          </w:tcPr>
          <w:p w14:paraId="5A9D7180" w14:textId="77777777" w:rsidR="00F65BCA" w:rsidRDefault="00F65BCA">
            <w:pPr>
              <w:pStyle w:val="TableParagraph"/>
              <w:rPr>
                <w:rFonts w:ascii="Times New Roman"/>
                <w:sz w:val="2"/>
              </w:rPr>
            </w:pPr>
          </w:p>
        </w:tc>
        <w:tc>
          <w:tcPr>
            <w:tcW w:w="576" w:type="dxa"/>
            <w:tcBorders>
              <w:top w:val="nil"/>
            </w:tcBorders>
            <w:shd w:val="clear" w:color="auto" w:fill="FCE4D6"/>
          </w:tcPr>
          <w:p w14:paraId="65182E23" w14:textId="77777777" w:rsidR="00F65BCA" w:rsidRDefault="00F65BCA">
            <w:pPr>
              <w:pStyle w:val="TableParagraph"/>
              <w:rPr>
                <w:rFonts w:ascii="Times New Roman"/>
                <w:sz w:val="2"/>
              </w:rPr>
            </w:pPr>
          </w:p>
        </w:tc>
        <w:tc>
          <w:tcPr>
            <w:tcW w:w="576" w:type="dxa"/>
            <w:tcBorders>
              <w:top w:val="nil"/>
            </w:tcBorders>
            <w:shd w:val="clear" w:color="auto" w:fill="FCE4D6"/>
          </w:tcPr>
          <w:p w14:paraId="6BAEF178" w14:textId="77777777" w:rsidR="00F65BCA" w:rsidRDefault="00F65BCA">
            <w:pPr>
              <w:pStyle w:val="TableParagraph"/>
              <w:rPr>
                <w:rFonts w:ascii="Times New Roman"/>
                <w:sz w:val="2"/>
              </w:rPr>
            </w:pPr>
          </w:p>
        </w:tc>
        <w:tc>
          <w:tcPr>
            <w:tcW w:w="50" w:type="dxa"/>
            <w:vMerge/>
            <w:tcBorders>
              <w:top w:val="nil"/>
              <w:bottom w:val="nil"/>
            </w:tcBorders>
          </w:tcPr>
          <w:p w14:paraId="317272FE" w14:textId="77777777" w:rsidR="00F65BCA" w:rsidRDefault="00F65BCA">
            <w:pPr>
              <w:rPr>
                <w:sz w:val="2"/>
                <w:szCs w:val="2"/>
              </w:rPr>
            </w:pPr>
          </w:p>
        </w:tc>
        <w:tc>
          <w:tcPr>
            <w:tcW w:w="288" w:type="dxa"/>
            <w:tcBorders>
              <w:top w:val="nil"/>
            </w:tcBorders>
          </w:tcPr>
          <w:p w14:paraId="0EB2516B" w14:textId="77777777" w:rsidR="00F65BCA" w:rsidRDefault="00F65BCA">
            <w:pPr>
              <w:pStyle w:val="TableParagraph"/>
              <w:rPr>
                <w:rFonts w:ascii="Times New Roman"/>
                <w:sz w:val="2"/>
              </w:rPr>
            </w:pPr>
          </w:p>
        </w:tc>
        <w:tc>
          <w:tcPr>
            <w:tcW w:w="288" w:type="dxa"/>
            <w:tcBorders>
              <w:top w:val="nil"/>
            </w:tcBorders>
          </w:tcPr>
          <w:p w14:paraId="69EA32DC" w14:textId="77777777" w:rsidR="00F65BCA" w:rsidRDefault="00F65BCA">
            <w:pPr>
              <w:pStyle w:val="TableParagraph"/>
              <w:rPr>
                <w:rFonts w:ascii="Times New Roman"/>
                <w:sz w:val="2"/>
              </w:rPr>
            </w:pPr>
          </w:p>
        </w:tc>
        <w:tc>
          <w:tcPr>
            <w:tcW w:w="288" w:type="dxa"/>
            <w:tcBorders>
              <w:top w:val="nil"/>
            </w:tcBorders>
          </w:tcPr>
          <w:p w14:paraId="58AE1C94" w14:textId="77777777" w:rsidR="00F65BCA" w:rsidRDefault="00F65BCA">
            <w:pPr>
              <w:pStyle w:val="TableParagraph"/>
              <w:rPr>
                <w:rFonts w:ascii="Times New Roman"/>
                <w:sz w:val="2"/>
              </w:rPr>
            </w:pPr>
          </w:p>
        </w:tc>
        <w:tc>
          <w:tcPr>
            <w:tcW w:w="288" w:type="dxa"/>
            <w:tcBorders>
              <w:top w:val="nil"/>
            </w:tcBorders>
          </w:tcPr>
          <w:p w14:paraId="2A8B40DE" w14:textId="77777777" w:rsidR="00F65BCA" w:rsidRDefault="00F65BCA">
            <w:pPr>
              <w:pStyle w:val="TableParagraph"/>
              <w:rPr>
                <w:rFonts w:ascii="Times New Roman"/>
                <w:sz w:val="2"/>
              </w:rPr>
            </w:pPr>
          </w:p>
        </w:tc>
        <w:tc>
          <w:tcPr>
            <w:tcW w:w="288" w:type="dxa"/>
            <w:tcBorders>
              <w:top w:val="nil"/>
            </w:tcBorders>
          </w:tcPr>
          <w:p w14:paraId="3B445C17" w14:textId="77777777" w:rsidR="00F65BCA" w:rsidRDefault="00F65BCA">
            <w:pPr>
              <w:pStyle w:val="TableParagraph"/>
              <w:rPr>
                <w:rFonts w:ascii="Times New Roman"/>
                <w:sz w:val="2"/>
              </w:rPr>
            </w:pPr>
          </w:p>
        </w:tc>
        <w:tc>
          <w:tcPr>
            <w:tcW w:w="288" w:type="dxa"/>
            <w:tcBorders>
              <w:top w:val="nil"/>
            </w:tcBorders>
          </w:tcPr>
          <w:p w14:paraId="488DB738" w14:textId="77777777" w:rsidR="00F65BCA" w:rsidRDefault="00F65BCA">
            <w:pPr>
              <w:pStyle w:val="TableParagraph"/>
              <w:rPr>
                <w:rFonts w:ascii="Times New Roman"/>
                <w:sz w:val="2"/>
              </w:rPr>
            </w:pPr>
          </w:p>
        </w:tc>
        <w:tc>
          <w:tcPr>
            <w:tcW w:w="288" w:type="dxa"/>
            <w:tcBorders>
              <w:top w:val="nil"/>
            </w:tcBorders>
          </w:tcPr>
          <w:p w14:paraId="7FBAC983" w14:textId="77777777" w:rsidR="00F65BCA" w:rsidRDefault="00F65BCA">
            <w:pPr>
              <w:pStyle w:val="TableParagraph"/>
              <w:rPr>
                <w:rFonts w:ascii="Times New Roman"/>
                <w:sz w:val="2"/>
              </w:rPr>
            </w:pPr>
          </w:p>
        </w:tc>
        <w:tc>
          <w:tcPr>
            <w:tcW w:w="288" w:type="dxa"/>
            <w:tcBorders>
              <w:top w:val="nil"/>
            </w:tcBorders>
          </w:tcPr>
          <w:p w14:paraId="3BD1B58E" w14:textId="77777777" w:rsidR="00F65BCA" w:rsidRDefault="00F65BCA">
            <w:pPr>
              <w:pStyle w:val="TableParagraph"/>
              <w:rPr>
                <w:rFonts w:ascii="Times New Roman"/>
                <w:sz w:val="2"/>
              </w:rPr>
            </w:pPr>
          </w:p>
        </w:tc>
        <w:tc>
          <w:tcPr>
            <w:tcW w:w="288" w:type="dxa"/>
            <w:tcBorders>
              <w:top w:val="nil"/>
            </w:tcBorders>
          </w:tcPr>
          <w:p w14:paraId="772ED1F0" w14:textId="77777777" w:rsidR="00F65BCA" w:rsidRDefault="00F65BCA">
            <w:pPr>
              <w:pStyle w:val="TableParagraph"/>
              <w:rPr>
                <w:rFonts w:ascii="Times New Roman"/>
                <w:sz w:val="2"/>
              </w:rPr>
            </w:pPr>
          </w:p>
        </w:tc>
        <w:tc>
          <w:tcPr>
            <w:tcW w:w="288" w:type="dxa"/>
            <w:tcBorders>
              <w:top w:val="nil"/>
            </w:tcBorders>
          </w:tcPr>
          <w:p w14:paraId="5A38DDB8" w14:textId="77777777" w:rsidR="00F65BCA" w:rsidRDefault="00F65BCA">
            <w:pPr>
              <w:pStyle w:val="TableParagraph"/>
              <w:rPr>
                <w:rFonts w:ascii="Times New Roman"/>
                <w:sz w:val="2"/>
              </w:rPr>
            </w:pPr>
          </w:p>
        </w:tc>
        <w:tc>
          <w:tcPr>
            <w:tcW w:w="288" w:type="dxa"/>
            <w:tcBorders>
              <w:top w:val="nil"/>
            </w:tcBorders>
          </w:tcPr>
          <w:p w14:paraId="529ECDA9" w14:textId="77777777" w:rsidR="00F65BCA" w:rsidRDefault="00F65BCA">
            <w:pPr>
              <w:pStyle w:val="TableParagraph"/>
              <w:rPr>
                <w:rFonts w:ascii="Times New Roman"/>
                <w:sz w:val="2"/>
              </w:rPr>
            </w:pPr>
          </w:p>
        </w:tc>
        <w:tc>
          <w:tcPr>
            <w:tcW w:w="288" w:type="dxa"/>
            <w:tcBorders>
              <w:top w:val="nil"/>
            </w:tcBorders>
          </w:tcPr>
          <w:p w14:paraId="3144A2DD" w14:textId="77777777" w:rsidR="00F65BCA" w:rsidRDefault="00F65BCA">
            <w:pPr>
              <w:pStyle w:val="TableParagraph"/>
              <w:rPr>
                <w:rFonts w:ascii="Times New Roman"/>
                <w:sz w:val="2"/>
              </w:rPr>
            </w:pPr>
          </w:p>
        </w:tc>
        <w:tc>
          <w:tcPr>
            <w:tcW w:w="288" w:type="dxa"/>
            <w:tcBorders>
              <w:top w:val="nil"/>
            </w:tcBorders>
          </w:tcPr>
          <w:p w14:paraId="3128C34A" w14:textId="77777777" w:rsidR="00F65BCA" w:rsidRDefault="00F65BCA">
            <w:pPr>
              <w:pStyle w:val="TableParagraph"/>
              <w:rPr>
                <w:rFonts w:ascii="Times New Roman"/>
                <w:sz w:val="2"/>
              </w:rPr>
            </w:pPr>
          </w:p>
        </w:tc>
      </w:tr>
      <w:tr w:rsidR="00F65BCA" w14:paraId="769C6E71" w14:textId="77777777">
        <w:trPr>
          <w:trHeight w:val="7"/>
        </w:trPr>
        <w:tc>
          <w:tcPr>
            <w:tcW w:w="526" w:type="dxa"/>
            <w:vMerge/>
            <w:tcBorders>
              <w:top w:val="nil"/>
            </w:tcBorders>
            <w:shd w:val="clear" w:color="auto" w:fill="FCE4D6"/>
          </w:tcPr>
          <w:p w14:paraId="2D6D41A6" w14:textId="77777777" w:rsidR="00F65BCA" w:rsidRDefault="00F65BCA">
            <w:pPr>
              <w:rPr>
                <w:sz w:val="2"/>
                <w:szCs w:val="2"/>
              </w:rPr>
            </w:pPr>
          </w:p>
        </w:tc>
        <w:tc>
          <w:tcPr>
            <w:tcW w:w="732" w:type="dxa"/>
            <w:vMerge/>
            <w:tcBorders>
              <w:top w:val="nil"/>
              <w:bottom w:val="nil"/>
            </w:tcBorders>
            <w:shd w:val="clear" w:color="auto" w:fill="FCE4D6"/>
          </w:tcPr>
          <w:p w14:paraId="537C4E14" w14:textId="77777777" w:rsidR="00F65BCA" w:rsidRDefault="00F65BCA">
            <w:pPr>
              <w:rPr>
                <w:sz w:val="2"/>
                <w:szCs w:val="2"/>
              </w:rPr>
            </w:pPr>
          </w:p>
        </w:tc>
        <w:tc>
          <w:tcPr>
            <w:tcW w:w="958" w:type="dxa"/>
            <w:gridSpan w:val="2"/>
            <w:tcBorders>
              <w:bottom w:val="nil"/>
            </w:tcBorders>
            <w:shd w:val="clear" w:color="auto" w:fill="FCE4D6"/>
          </w:tcPr>
          <w:p w14:paraId="62CC27C3" w14:textId="77777777" w:rsidR="00F65BCA" w:rsidRDefault="00F65BCA">
            <w:pPr>
              <w:pStyle w:val="TableParagraph"/>
              <w:rPr>
                <w:rFonts w:ascii="Times New Roman"/>
                <w:sz w:val="2"/>
              </w:rPr>
            </w:pPr>
          </w:p>
        </w:tc>
        <w:tc>
          <w:tcPr>
            <w:tcW w:w="576" w:type="dxa"/>
            <w:tcBorders>
              <w:bottom w:val="nil"/>
            </w:tcBorders>
            <w:shd w:val="clear" w:color="auto" w:fill="FCE4D6"/>
          </w:tcPr>
          <w:p w14:paraId="4D1E3D27" w14:textId="77777777" w:rsidR="00F65BCA" w:rsidRDefault="00F65BCA">
            <w:pPr>
              <w:pStyle w:val="TableParagraph"/>
              <w:rPr>
                <w:rFonts w:ascii="Times New Roman"/>
                <w:sz w:val="2"/>
              </w:rPr>
            </w:pPr>
          </w:p>
        </w:tc>
        <w:tc>
          <w:tcPr>
            <w:tcW w:w="576" w:type="dxa"/>
            <w:tcBorders>
              <w:bottom w:val="nil"/>
            </w:tcBorders>
            <w:shd w:val="clear" w:color="auto" w:fill="FCE4D6"/>
          </w:tcPr>
          <w:p w14:paraId="1C1CEECA" w14:textId="77777777" w:rsidR="00F65BCA" w:rsidRDefault="00F65BCA">
            <w:pPr>
              <w:pStyle w:val="TableParagraph"/>
              <w:rPr>
                <w:rFonts w:ascii="Times New Roman"/>
                <w:sz w:val="2"/>
              </w:rPr>
            </w:pPr>
          </w:p>
        </w:tc>
        <w:tc>
          <w:tcPr>
            <w:tcW w:w="50" w:type="dxa"/>
            <w:vMerge/>
            <w:tcBorders>
              <w:top w:val="nil"/>
              <w:bottom w:val="nil"/>
            </w:tcBorders>
          </w:tcPr>
          <w:p w14:paraId="1D018B42" w14:textId="77777777" w:rsidR="00F65BCA" w:rsidRDefault="00F65BCA">
            <w:pPr>
              <w:rPr>
                <w:sz w:val="2"/>
                <w:szCs w:val="2"/>
              </w:rPr>
            </w:pPr>
          </w:p>
        </w:tc>
        <w:tc>
          <w:tcPr>
            <w:tcW w:w="288" w:type="dxa"/>
            <w:tcBorders>
              <w:bottom w:val="nil"/>
            </w:tcBorders>
          </w:tcPr>
          <w:p w14:paraId="5F482E94" w14:textId="77777777" w:rsidR="00F65BCA" w:rsidRDefault="00F65BCA">
            <w:pPr>
              <w:pStyle w:val="TableParagraph"/>
              <w:rPr>
                <w:rFonts w:ascii="Times New Roman"/>
                <w:sz w:val="2"/>
              </w:rPr>
            </w:pPr>
          </w:p>
        </w:tc>
        <w:tc>
          <w:tcPr>
            <w:tcW w:w="288" w:type="dxa"/>
            <w:tcBorders>
              <w:bottom w:val="nil"/>
            </w:tcBorders>
          </w:tcPr>
          <w:p w14:paraId="6F2FC82B" w14:textId="77777777" w:rsidR="00F65BCA" w:rsidRDefault="00F65BCA">
            <w:pPr>
              <w:pStyle w:val="TableParagraph"/>
              <w:rPr>
                <w:rFonts w:ascii="Times New Roman"/>
                <w:sz w:val="2"/>
              </w:rPr>
            </w:pPr>
          </w:p>
        </w:tc>
        <w:tc>
          <w:tcPr>
            <w:tcW w:w="288" w:type="dxa"/>
            <w:tcBorders>
              <w:bottom w:val="nil"/>
            </w:tcBorders>
          </w:tcPr>
          <w:p w14:paraId="171F02C0" w14:textId="77777777" w:rsidR="00F65BCA" w:rsidRDefault="00F65BCA">
            <w:pPr>
              <w:pStyle w:val="TableParagraph"/>
              <w:rPr>
                <w:rFonts w:ascii="Times New Roman"/>
                <w:sz w:val="2"/>
              </w:rPr>
            </w:pPr>
          </w:p>
        </w:tc>
        <w:tc>
          <w:tcPr>
            <w:tcW w:w="288" w:type="dxa"/>
            <w:tcBorders>
              <w:bottom w:val="nil"/>
            </w:tcBorders>
          </w:tcPr>
          <w:p w14:paraId="1BB92D3C" w14:textId="77777777" w:rsidR="00F65BCA" w:rsidRDefault="00F65BCA">
            <w:pPr>
              <w:pStyle w:val="TableParagraph"/>
              <w:rPr>
                <w:rFonts w:ascii="Times New Roman"/>
                <w:sz w:val="2"/>
              </w:rPr>
            </w:pPr>
          </w:p>
        </w:tc>
        <w:tc>
          <w:tcPr>
            <w:tcW w:w="288" w:type="dxa"/>
            <w:tcBorders>
              <w:bottom w:val="nil"/>
            </w:tcBorders>
          </w:tcPr>
          <w:p w14:paraId="2A091417" w14:textId="77777777" w:rsidR="00F65BCA" w:rsidRDefault="00F65BCA">
            <w:pPr>
              <w:pStyle w:val="TableParagraph"/>
              <w:rPr>
                <w:rFonts w:ascii="Times New Roman"/>
                <w:sz w:val="2"/>
              </w:rPr>
            </w:pPr>
          </w:p>
        </w:tc>
        <w:tc>
          <w:tcPr>
            <w:tcW w:w="288" w:type="dxa"/>
            <w:tcBorders>
              <w:bottom w:val="nil"/>
            </w:tcBorders>
          </w:tcPr>
          <w:p w14:paraId="39548029" w14:textId="77777777" w:rsidR="00F65BCA" w:rsidRDefault="00F65BCA">
            <w:pPr>
              <w:pStyle w:val="TableParagraph"/>
              <w:rPr>
                <w:rFonts w:ascii="Times New Roman"/>
                <w:sz w:val="2"/>
              </w:rPr>
            </w:pPr>
          </w:p>
        </w:tc>
        <w:tc>
          <w:tcPr>
            <w:tcW w:w="288" w:type="dxa"/>
            <w:tcBorders>
              <w:bottom w:val="nil"/>
            </w:tcBorders>
          </w:tcPr>
          <w:p w14:paraId="79C57B82" w14:textId="77777777" w:rsidR="00F65BCA" w:rsidRDefault="00F65BCA">
            <w:pPr>
              <w:pStyle w:val="TableParagraph"/>
              <w:rPr>
                <w:rFonts w:ascii="Times New Roman"/>
                <w:sz w:val="2"/>
              </w:rPr>
            </w:pPr>
          </w:p>
        </w:tc>
        <w:tc>
          <w:tcPr>
            <w:tcW w:w="288" w:type="dxa"/>
            <w:tcBorders>
              <w:bottom w:val="nil"/>
            </w:tcBorders>
          </w:tcPr>
          <w:p w14:paraId="28202988" w14:textId="77777777" w:rsidR="00F65BCA" w:rsidRDefault="00F65BCA">
            <w:pPr>
              <w:pStyle w:val="TableParagraph"/>
              <w:rPr>
                <w:rFonts w:ascii="Times New Roman"/>
                <w:sz w:val="2"/>
              </w:rPr>
            </w:pPr>
          </w:p>
        </w:tc>
        <w:tc>
          <w:tcPr>
            <w:tcW w:w="288" w:type="dxa"/>
            <w:tcBorders>
              <w:bottom w:val="nil"/>
            </w:tcBorders>
          </w:tcPr>
          <w:p w14:paraId="74E61142" w14:textId="77777777" w:rsidR="00F65BCA" w:rsidRDefault="00F65BCA">
            <w:pPr>
              <w:pStyle w:val="TableParagraph"/>
              <w:rPr>
                <w:rFonts w:ascii="Times New Roman"/>
                <w:sz w:val="2"/>
              </w:rPr>
            </w:pPr>
          </w:p>
        </w:tc>
        <w:tc>
          <w:tcPr>
            <w:tcW w:w="288" w:type="dxa"/>
            <w:tcBorders>
              <w:bottom w:val="nil"/>
            </w:tcBorders>
          </w:tcPr>
          <w:p w14:paraId="3930FC6D" w14:textId="77777777" w:rsidR="00F65BCA" w:rsidRDefault="00F65BCA">
            <w:pPr>
              <w:pStyle w:val="TableParagraph"/>
              <w:rPr>
                <w:rFonts w:ascii="Times New Roman"/>
                <w:sz w:val="2"/>
              </w:rPr>
            </w:pPr>
          </w:p>
        </w:tc>
        <w:tc>
          <w:tcPr>
            <w:tcW w:w="288" w:type="dxa"/>
            <w:tcBorders>
              <w:bottom w:val="nil"/>
            </w:tcBorders>
          </w:tcPr>
          <w:p w14:paraId="2750A75C" w14:textId="77777777" w:rsidR="00F65BCA" w:rsidRDefault="00F65BCA">
            <w:pPr>
              <w:pStyle w:val="TableParagraph"/>
              <w:rPr>
                <w:rFonts w:ascii="Times New Roman"/>
                <w:sz w:val="2"/>
              </w:rPr>
            </w:pPr>
          </w:p>
        </w:tc>
        <w:tc>
          <w:tcPr>
            <w:tcW w:w="288" w:type="dxa"/>
            <w:tcBorders>
              <w:bottom w:val="nil"/>
            </w:tcBorders>
          </w:tcPr>
          <w:p w14:paraId="5C312C04" w14:textId="77777777" w:rsidR="00F65BCA" w:rsidRDefault="00F65BCA">
            <w:pPr>
              <w:pStyle w:val="TableParagraph"/>
              <w:rPr>
                <w:rFonts w:ascii="Times New Roman"/>
                <w:sz w:val="2"/>
              </w:rPr>
            </w:pPr>
          </w:p>
        </w:tc>
        <w:tc>
          <w:tcPr>
            <w:tcW w:w="288" w:type="dxa"/>
            <w:tcBorders>
              <w:bottom w:val="nil"/>
            </w:tcBorders>
          </w:tcPr>
          <w:p w14:paraId="65728D1D" w14:textId="77777777" w:rsidR="00F65BCA" w:rsidRDefault="00F65BCA">
            <w:pPr>
              <w:pStyle w:val="TableParagraph"/>
              <w:rPr>
                <w:rFonts w:ascii="Times New Roman"/>
                <w:sz w:val="2"/>
              </w:rPr>
            </w:pPr>
          </w:p>
        </w:tc>
      </w:tr>
      <w:tr w:rsidR="00F65BCA" w14:paraId="308D92CB" w14:textId="77777777">
        <w:trPr>
          <w:trHeight w:val="89"/>
        </w:trPr>
        <w:tc>
          <w:tcPr>
            <w:tcW w:w="526" w:type="dxa"/>
            <w:vMerge/>
            <w:tcBorders>
              <w:top w:val="nil"/>
            </w:tcBorders>
            <w:shd w:val="clear" w:color="auto" w:fill="FCE4D6"/>
          </w:tcPr>
          <w:p w14:paraId="6A45EE3E" w14:textId="77777777" w:rsidR="00F65BCA" w:rsidRDefault="00F65BCA">
            <w:pPr>
              <w:rPr>
                <w:sz w:val="2"/>
                <w:szCs w:val="2"/>
              </w:rPr>
            </w:pPr>
          </w:p>
        </w:tc>
        <w:tc>
          <w:tcPr>
            <w:tcW w:w="732" w:type="dxa"/>
            <w:tcBorders>
              <w:top w:val="nil"/>
            </w:tcBorders>
            <w:shd w:val="clear" w:color="auto" w:fill="FCE4D6"/>
          </w:tcPr>
          <w:p w14:paraId="17D1B0D8" w14:textId="77777777" w:rsidR="00F65BCA" w:rsidRDefault="00216117">
            <w:pPr>
              <w:pStyle w:val="TableParagraph"/>
              <w:spacing w:line="20" w:lineRule="exact"/>
              <w:ind w:left="4"/>
              <w:rPr>
                <w:sz w:val="3"/>
              </w:rPr>
            </w:pPr>
            <w:r>
              <w:rPr>
                <w:w w:val="105"/>
                <w:sz w:val="3"/>
              </w:rPr>
              <w:t>Polski Fiat; Streetscooter; Tavria; TAZ; Terrier;</w:t>
            </w:r>
          </w:p>
          <w:p w14:paraId="627A0CA8" w14:textId="77777777" w:rsidR="00F65BCA" w:rsidRDefault="00216117">
            <w:pPr>
              <w:pStyle w:val="TableParagraph"/>
              <w:spacing w:before="6"/>
              <w:ind w:left="4"/>
              <w:rPr>
                <w:sz w:val="3"/>
              </w:rPr>
            </w:pPr>
            <w:r>
              <w:rPr>
                <w:w w:val="105"/>
                <w:sz w:val="3"/>
              </w:rPr>
              <w:t>UAZ; VAZ; Yugo</w:t>
            </w:r>
          </w:p>
        </w:tc>
        <w:tc>
          <w:tcPr>
            <w:tcW w:w="958" w:type="dxa"/>
            <w:gridSpan w:val="2"/>
            <w:tcBorders>
              <w:top w:val="nil"/>
            </w:tcBorders>
            <w:shd w:val="clear" w:color="auto" w:fill="FCE4D6"/>
          </w:tcPr>
          <w:p w14:paraId="7F448017" w14:textId="77777777" w:rsidR="00F65BCA" w:rsidRDefault="00216117">
            <w:pPr>
              <w:pStyle w:val="TableParagraph"/>
              <w:spacing w:before="9"/>
              <w:ind w:left="1"/>
              <w:jc w:val="center"/>
              <w:rPr>
                <w:sz w:val="3"/>
              </w:rPr>
            </w:pPr>
            <w:r>
              <w:rPr>
                <w:w w:val="103"/>
                <w:sz w:val="3"/>
              </w:rPr>
              <w:t>-</w:t>
            </w:r>
          </w:p>
        </w:tc>
        <w:tc>
          <w:tcPr>
            <w:tcW w:w="576" w:type="dxa"/>
            <w:tcBorders>
              <w:top w:val="nil"/>
            </w:tcBorders>
            <w:shd w:val="clear" w:color="auto" w:fill="FCE4D6"/>
          </w:tcPr>
          <w:p w14:paraId="01F2E440" w14:textId="77777777" w:rsidR="00F65BCA" w:rsidRDefault="00216117">
            <w:pPr>
              <w:pStyle w:val="TableParagraph"/>
              <w:spacing w:before="9"/>
              <w:ind w:left="128" w:right="128"/>
              <w:jc w:val="center"/>
              <w:rPr>
                <w:sz w:val="3"/>
              </w:rPr>
            </w:pPr>
            <w:r>
              <w:rPr>
                <w:w w:val="105"/>
                <w:sz w:val="3"/>
              </w:rPr>
              <w:t>&gt;1000 ccm</w:t>
            </w:r>
          </w:p>
        </w:tc>
        <w:tc>
          <w:tcPr>
            <w:tcW w:w="576" w:type="dxa"/>
            <w:tcBorders>
              <w:top w:val="nil"/>
            </w:tcBorders>
            <w:shd w:val="clear" w:color="auto" w:fill="FCE4D6"/>
          </w:tcPr>
          <w:p w14:paraId="5E2B2252" w14:textId="77777777" w:rsidR="00F65BCA" w:rsidRDefault="00216117">
            <w:pPr>
              <w:pStyle w:val="TableParagraph"/>
              <w:spacing w:before="9"/>
              <w:ind w:left="3"/>
              <w:jc w:val="center"/>
              <w:rPr>
                <w:sz w:val="3"/>
              </w:rPr>
            </w:pPr>
            <w:r>
              <w:rPr>
                <w:w w:val="103"/>
                <w:sz w:val="3"/>
              </w:rPr>
              <w:t>-</w:t>
            </w:r>
          </w:p>
        </w:tc>
        <w:tc>
          <w:tcPr>
            <w:tcW w:w="50" w:type="dxa"/>
            <w:vMerge/>
            <w:tcBorders>
              <w:top w:val="nil"/>
              <w:bottom w:val="nil"/>
            </w:tcBorders>
          </w:tcPr>
          <w:p w14:paraId="37D0910A" w14:textId="77777777" w:rsidR="00F65BCA" w:rsidRDefault="00F65BCA">
            <w:pPr>
              <w:rPr>
                <w:sz w:val="2"/>
                <w:szCs w:val="2"/>
              </w:rPr>
            </w:pPr>
          </w:p>
        </w:tc>
        <w:tc>
          <w:tcPr>
            <w:tcW w:w="288" w:type="dxa"/>
            <w:tcBorders>
              <w:top w:val="nil"/>
            </w:tcBorders>
          </w:tcPr>
          <w:p w14:paraId="5758F0AB" w14:textId="77777777" w:rsidR="00F65BCA" w:rsidRDefault="00216117">
            <w:pPr>
              <w:pStyle w:val="TableParagraph"/>
              <w:spacing w:before="9"/>
              <w:ind w:left="24" w:right="24"/>
              <w:jc w:val="center"/>
              <w:rPr>
                <w:sz w:val="3"/>
              </w:rPr>
            </w:pPr>
            <w:r>
              <w:rPr>
                <w:w w:val="105"/>
                <w:sz w:val="3"/>
              </w:rPr>
              <w:t>1,23621888%</w:t>
            </w:r>
          </w:p>
        </w:tc>
        <w:tc>
          <w:tcPr>
            <w:tcW w:w="288" w:type="dxa"/>
            <w:tcBorders>
              <w:top w:val="nil"/>
            </w:tcBorders>
          </w:tcPr>
          <w:p w14:paraId="0A15A744" w14:textId="77777777" w:rsidR="00F65BCA" w:rsidRDefault="00216117">
            <w:pPr>
              <w:pStyle w:val="TableParagraph"/>
              <w:spacing w:before="9"/>
              <w:ind w:left="24" w:right="24"/>
              <w:jc w:val="center"/>
              <w:rPr>
                <w:sz w:val="3"/>
              </w:rPr>
            </w:pPr>
            <w:r>
              <w:rPr>
                <w:w w:val="105"/>
                <w:sz w:val="3"/>
              </w:rPr>
              <w:t>1,15895520%</w:t>
            </w:r>
          </w:p>
        </w:tc>
        <w:tc>
          <w:tcPr>
            <w:tcW w:w="288" w:type="dxa"/>
            <w:tcBorders>
              <w:top w:val="nil"/>
            </w:tcBorders>
          </w:tcPr>
          <w:p w14:paraId="7BBE98B1" w14:textId="77777777" w:rsidR="00F65BCA" w:rsidRDefault="00216117">
            <w:pPr>
              <w:pStyle w:val="TableParagraph"/>
              <w:spacing w:before="9"/>
              <w:ind w:left="47"/>
              <w:rPr>
                <w:sz w:val="3"/>
              </w:rPr>
            </w:pPr>
            <w:r>
              <w:rPr>
                <w:w w:val="105"/>
                <w:sz w:val="3"/>
              </w:rPr>
              <w:t>1,10487062%</w:t>
            </w:r>
          </w:p>
        </w:tc>
        <w:tc>
          <w:tcPr>
            <w:tcW w:w="288" w:type="dxa"/>
            <w:tcBorders>
              <w:top w:val="nil"/>
            </w:tcBorders>
          </w:tcPr>
          <w:p w14:paraId="59F4B8F5" w14:textId="77777777" w:rsidR="00F65BCA" w:rsidRDefault="00216117">
            <w:pPr>
              <w:pStyle w:val="TableParagraph"/>
              <w:spacing w:before="9"/>
              <w:ind w:left="24" w:right="24"/>
              <w:jc w:val="center"/>
              <w:rPr>
                <w:sz w:val="3"/>
              </w:rPr>
            </w:pPr>
            <w:r>
              <w:rPr>
                <w:w w:val="105"/>
                <w:sz w:val="3"/>
              </w:rPr>
              <w:t>1,04305968%</w:t>
            </w:r>
          </w:p>
        </w:tc>
        <w:tc>
          <w:tcPr>
            <w:tcW w:w="288" w:type="dxa"/>
            <w:tcBorders>
              <w:top w:val="nil"/>
            </w:tcBorders>
          </w:tcPr>
          <w:p w14:paraId="1C68762F" w14:textId="77777777" w:rsidR="00F65BCA" w:rsidRDefault="00216117">
            <w:pPr>
              <w:pStyle w:val="TableParagraph"/>
              <w:spacing w:before="9"/>
              <w:ind w:left="47"/>
              <w:rPr>
                <w:sz w:val="3"/>
              </w:rPr>
            </w:pPr>
            <w:r>
              <w:rPr>
                <w:w w:val="105"/>
                <w:sz w:val="3"/>
              </w:rPr>
              <w:t>0,98897510%</w:t>
            </w:r>
          </w:p>
        </w:tc>
        <w:tc>
          <w:tcPr>
            <w:tcW w:w="288" w:type="dxa"/>
            <w:tcBorders>
              <w:top w:val="nil"/>
            </w:tcBorders>
          </w:tcPr>
          <w:p w14:paraId="6E8AA11E" w14:textId="77777777" w:rsidR="00F65BCA" w:rsidRDefault="00216117">
            <w:pPr>
              <w:pStyle w:val="TableParagraph"/>
              <w:spacing w:before="9"/>
              <w:ind w:left="24" w:right="24"/>
              <w:jc w:val="center"/>
              <w:rPr>
                <w:sz w:val="3"/>
              </w:rPr>
            </w:pPr>
            <w:r>
              <w:rPr>
                <w:w w:val="105"/>
                <w:sz w:val="3"/>
              </w:rPr>
              <w:t>0,91943779%</w:t>
            </w:r>
          </w:p>
        </w:tc>
        <w:tc>
          <w:tcPr>
            <w:tcW w:w="288" w:type="dxa"/>
            <w:tcBorders>
              <w:top w:val="nil"/>
            </w:tcBorders>
          </w:tcPr>
          <w:p w14:paraId="5753F701" w14:textId="77777777" w:rsidR="00F65BCA" w:rsidRDefault="00216117">
            <w:pPr>
              <w:pStyle w:val="TableParagraph"/>
              <w:spacing w:before="9"/>
              <w:ind w:left="24" w:right="24"/>
              <w:jc w:val="center"/>
              <w:rPr>
                <w:sz w:val="3"/>
              </w:rPr>
            </w:pPr>
            <w:r>
              <w:rPr>
                <w:w w:val="105"/>
                <w:sz w:val="3"/>
              </w:rPr>
              <w:t>0,84990048%</w:t>
            </w:r>
          </w:p>
        </w:tc>
        <w:tc>
          <w:tcPr>
            <w:tcW w:w="288" w:type="dxa"/>
            <w:tcBorders>
              <w:top w:val="nil"/>
            </w:tcBorders>
          </w:tcPr>
          <w:p w14:paraId="4B37CBFC" w14:textId="77777777" w:rsidR="00F65BCA" w:rsidRDefault="00216117">
            <w:pPr>
              <w:pStyle w:val="TableParagraph"/>
              <w:spacing w:before="9"/>
              <w:ind w:left="47"/>
              <w:rPr>
                <w:sz w:val="3"/>
              </w:rPr>
            </w:pPr>
            <w:r>
              <w:rPr>
                <w:w w:val="105"/>
                <w:sz w:val="3"/>
              </w:rPr>
              <w:t>0,77263680%</w:t>
            </w:r>
          </w:p>
        </w:tc>
        <w:tc>
          <w:tcPr>
            <w:tcW w:w="288" w:type="dxa"/>
            <w:tcBorders>
              <w:top w:val="nil"/>
            </w:tcBorders>
          </w:tcPr>
          <w:p w14:paraId="36996E98" w14:textId="77777777" w:rsidR="00F65BCA" w:rsidRDefault="00216117">
            <w:pPr>
              <w:pStyle w:val="TableParagraph"/>
              <w:spacing w:before="9"/>
              <w:ind w:left="24" w:right="24"/>
              <w:jc w:val="center"/>
              <w:rPr>
                <w:sz w:val="3"/>
              </w:rPr>
            </w:pPr>
            <w:r>
              <w:rPr>
                <w:w w:val="105"/>
                <w:sz w:val="3"/>
              </w:rPr>
              <w:t>0,77263680%</w:t>
            </w:r>
          </w:p>
        </w:tc>
        <w:tc>
          <w:tcPr>
            <w:tcW w:w="288" w:type="dxa"/>
            <w:tcBorders>
              <w:top w:val="nil"/>
            </w:tcBorders>
          </w:tcPr>
          <w:p w14:paraId="37349436" w14:textId="77777777" w:rsidR="00F65BCA" w:rsidRDefault="00216117">
            <w:pPr>
              <w:pStyle w:val="TableParagraph"/>
              <w:spacing w:before="9"/>
              <w:ind w:left="24" w:right="24"/>
              <w:jc w:val="center"/>
              <w:rPr>
                <w:sz w:val="3"/>
              </w:rPr>
            </w:pPr>
            <w:r>
              <w:rPr>
                <w:w w:val="105"/>
                <w:sz w:val="3"/>
              </w:rPr>
              <w:t>0,92716416%</w:t>
            </w:r>
          </w:p>
        </w:tc>
        <w:tc>
          <w:tcPr>
            <w:tcW w:w="288" w:type="dxa"/>
            <w:tcBorders>
              <w:top w:val="nil"/>
            </w:tcBorders>
          </w:tcPr>
          <w:p w14:paraId="7726B108" w14:textId="77777777" w:rsidR="00F65BCA" w:rsidRDefault="00216117">
            <w:pPr>
              <w:pStyle w:val="TableParagraph"/>
              <w:spacing w:before="9"/>
              <w:ind w:left="24" w:right="24"/>
              <w:jc w:val="center"/>
              <w:rPr>
                <w:sz w:val="3"/>
              </w:rPr>
            </w:pPr>
            <w:r>
              <w:rPr>
                <w:w w:val="105"/>
                <w:sz w:val="3"/>
              </w:rPr>
              <w:t>1,04305968%</w:t>
            </w:r>
          </w:p>
        </w:tc>
        <w:tc>
          <w:tcPr>
            <w:tcW w:w="288" w:type="dxa"/>
            <w:tcBorders>
              <w:top w:val="nil"/>
            </w:tcBorders>
          </w:tcPr>
          <w:p w14:paraId="226282CF" w14:textId="77777777" w:rsidR="00F65BCA" w:rsidRDefault="00216117">
            <w:pPr>
              <w:pStyle w:val="TableParagraph"/>
              <w:spacing w:before="9"/>
              <w:ind w:left="24" w:right="24"/>
              <w:jc w:val="center"/>
              <w:rPr>
                <w:sz w:val="3"/>
              </w:rPr>
            </w:pPr>
            <w:r>
              <w:rPr>
                <w:w w:val="105"/>
                <w:sz w:val="3"/>
              </w:rPr>
              <w:t>1,04305968%</w:t>
            </w:r>
          </w:p>
        </w:tc>
        <w:tc>
          <w:tcPr>
            <w:tcW w:w="288" w:type="dxa"/>
            <w:tcBorders>
              <w:top w:val="nil"/>
            </w:tcBorders>
          </w:tcPr>
          <w:p w14:paraId="3840FF44" w14:textId="77777777" w:rsidR="00F65BCA" w:rsidRDefault="00216117">
            <w:pPr>
              <w:pStyle w:val="TableParagraph"/>
              <w:spacing w:before="9"/>
              <w:ind w:left="47"/>
              <w:rPr>
                <w:sz w:val="3"/>
              </w:rPr>
            </w:pPr>
            <w:r>
              <w:rPr>
                <w:w w:val="105"/>
                <w:sz w:val="3"/>
              </w:rPr>
              <w:t>1,15895520%</w:t>
            </w:r>
          </w:p>
        </w:tc>
      </w:tr>
      <w:tr w:rsidR="00F65BCA" w14:paraId="29F1CC25" w14:textId="77777777">
        <w:trPr>
          <w:trHeight w:val="104"/>
        </w:trPr>
        <w:tc>
          <w:tcPr>
            <w:tcW w:w="526" w:type="dxa"/>
            <w:vMerge/>
            <w:tcBorders>
              <w:top w:val="nil"/>
            </w:tcBorders>
            <w:shd w:val="clear" w:color="auto" w:fill="FCE4D6"/>
          </w:tcPr>
          <w:p w14:paraId="42454D56" w14:textId="77777777" w:rsidR="00F65BCA" w:rsidRDefault="00F65BCA">
            <w:pPr>
              <w:rPr>
                <w:sz w:val="2"/>
                <w:szCs w:val="2"/>
              </w:rPr>
            </w:pPr>
          </w:p>
        </w:tc>
        <w:tc>
          <w:tcPr>
            <w:tcW w:w="732" w:type="dxa"/>
            <w:tcBorders>
              <w:bottom w:val="nil"/>
            </w:tcBorders>
            <w:shd w:val="clear" w:color="auto" w:fill="FCE4D6"/>
          </w:tcPr>
          <w:p w14:paraId="77B4C30A" w14:textId="77777777" w:rsidR="00F65BCA" w:rsidRDefault="00F65BCA">
            <w:pPr>
              <w:pStyle w:val="TableParagraph"/>
              <w:rPr>
                <w:rFonts w:ascii="Calibri"/>
                <w:sz w:val="2"/>
              </w:rPr>
            </w:pPr>
          </w:p>
          <w:p w14:paraId="6CAB5EED" w14:textId="77777777" w:rsidR="00F65BCA" w:rsidRDefault="00216117">
            <w:pPr>
              <w:pStyle w:val="TableParagraph"/>
              <w:spacing w:line="40" w:lineRule="atLeast"/>
              <w:ind w:left="4" w:right="-19"/>
              <w:rPr>
                <w:sz w:val="3"/>
              </w:rPr>
            </w:pPr>
            <w:r>
              <w:rPr>
                <w:w w:val="105"/>
                <w:sz w:val="3"/>
              </w:rPr>
              <w:t>AGM; Barkas; Boki; Dacia; DAF; Daihatsu; Datsun; Dong Feng; Genesis; Giotti Victoria; Goupil; Honda;</w:t>
            </w:r>
          </w:p>
        </w:tc>
        <w:tc>
          <w:tcPr>
            <w:tcW w:w="958" w:type="dxa"/>
            <w:gridSpan w:val="2"/>
            <w:tcBorders>
              <w:bottom w:val="nil"/>
            </w:tcBorders>
            <w:shd w:val="clear" w:color="auto" w:fill="FCE4D6"/>
          </w:tcPr>
          <w:p w14:paraId="05659387" w14:textId="77777777" w:rsidR="00F65BCA" w:rsidRDefault="00F65BCA">
            <w:pPr>
              <w:pStyle w:val="TableParagraph"/>
              <w:rPr>
                <w:rFonts w:ascii="Calibri"/>
                <w:sz w:val="2"/>
              </w:rPr>
            </w:pPr>
          </w:p>
          <w:p w14:paraId="24D94509" w14:textId="77777777" w:rsidR="00F65BCA" w:rsidRDefault="00F65BCA">
            <w:pPr>
              <w:pStyle w:val="TableParagraph"/>
              <w:rPr>
                <w:rFonts w:ascii="Calibri"/>
                <w:sz w:val="2"/>
              </w:rPr>
            </w:pPr>
          </w:p>
          <w:p w14:paraId="3E3A3D71" w14:textId="77777777" w:rsidR="00F65BCA" w:rsidRDefault="00216117">
            <w:pPr>
              <w:pStyle w:val="TableParagraph"/>
              <w:ind w:left="1"/>
              <w:jc w:val="center"/>
              <w:rPr>
                <w:sz w:val="3"/>
              </w:rPr>
            </w:pPr>
            <w:r>
              <w:rPr>
                <w:w w:val="103"/>
                <w:sz w:val="3"/>
              </w:rPr>
              <w:t>-</w:t>
            </w:r>
          </w:p>
        </w:tc>
        <w:tc>
          <w:tcPr>
            <w:tcW w:w="576" w:type="dxa"/>
            <w:tcBorders>
              <w:bottom w:val="nil"/>
            </w:tcBorders>
            <w:shd w:val="clear" w:color="auto" w:fill="FCE4D6"/>
          </w:tcPr>
          <w:p w14:paraId="5B53E35A" w14:textId="77777777" w:rsidR="00F65BCA" w:rsidRDefault="00F65BCA">
            <w:pPr>
              <w:pStyle w:val="TableParagraph"/>
              <w:rPr>
                <w:rFonts w:ascii="Calibri"/>
                <w:sz w:val="2"/>
              </w:rPr>
            </w:pPr>
          </w:p>
          <w:p w14:paraId="3C45E297" w14:textId="77777777" w:rsidR="00F65BCA" w:rsidRDefault="00F65BCA">
            <w:pPr>
              <w:pStyle w:val="TableParagraph"/>
              <w:rPr>
                <w:rFonts w:ascii="Calibri"/>
                <w:sz w:val="2"/>
              </w:rPr>
            </w:pPr>
          </w:p>
          <w:p w14:paraId="60128E19" w14:textId="77777777" w:rsidR="00F65BCA" w:rsidRDefault="00216117">
            <w:pPr>
              <w:pStyle w:val="TableParagraph"/>
              <w:ind w:left="129" w:right="127"/>
              <w:jc w:val="center"/>
              <w:rPr>
                <w:sz w:val="3"/>
              </w:rPr>
            </w:pPr>
            <w:r>
              <w:rPr>
                <w:w w:val="105"/>
                <w:sz w:val="3"/>
              </w:rPr>
              <w:t>0-1000 ccm</w:t>
            </w:r>
          </w:p>
        </w:tc>
        <w:tc>
          <w:tcPr>
            <w:tcW w:w="576" w:type="dxa"/>
            <w:tcBorders>
              <w:bottom w:val="nil"/>
            </w:tcBorders>
            <w:shd w:val="clear" w:color="auto" w:fill="FCE4D6"/>
          </w:tcPr>
          <w:p w14:paraId="42E24DB7" w14:textId="77777777" w:rsidR="00F65BCA" w:rsidRDefault="00F65BCA">
            <w:pPr>
              <w:pStyle w:val="TableParagraph"/>
              <w:rPr>
                <w:rFonts w:ascii="Calibri"/>
                <w:sz w:val="2"/>
              </w:rPr>
            </w:pPr>
          </w:p>
          <w:p w14:paraId="7ECC5040" w14:textId="77777777" w:rsidR="00F65BCA" w:rsidRDefault="00F65BCA">
            <w:pPr>
              <w:pStyle w:val="TableParagraph"/>
              <w:rPr>
                <w:rFonts w:ascii="Calibri"/>
                <w:sz w:val="2"/>
              </w:rPr>
            </w:pPr>
          </w:p>
          <w:p w14:paraId="7F2FA13B"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6149498B" w14:textId="77777777" w:rsidR="00F65BCA" w:rsidRDefault="00F65BCA">
            <w:pPr>
              <w:rPr>
                <w:sz w:val="2"/>
                <w:szCs w:val="2"/>
              </w:rPr>
            </w:pPr>
          </w:p>
        </w:tc>
        <w:tc>
          <w:tcPr>
            <w:tcW w:w="288" w:type="dxa"/>
            <w:tcBorders>
              <w:bottom w:val="nil"/>
            </w:tcBorders>
          </w:tcPr>
          <w:p w14:paraId="5397561A" w14:textId="77777777" w:rsidR="00F65BCA" w:rsidRDefault="00F65BCA">
            <w:pPr>
              <w:pStyle w:val="TableParagraph"/>
              <w:rPr>
                <w:rFonts w:ascii="Calibri"/>
                <w:sz w:val="2"/>
              </w:rPr>
            </w:pPr>
          </w:p>
          <w:p w14:paraId="6FCEFFE7" w14:textId="77777777" w:rsidR="00F65BCA" w:rsidRDefault="00F65BCA">
            <w:pPr>
              <w:pStyle w:val="TableParagraph"/>
              <w:rPr>
                <w:rFonts w:ascii="Calibri"/>
                <w:sz w:val="2"/>
              </w:rPr>
            </w:pPr>
          </w:p>
          <w:p w14:paraId="733C46AA" w14:textId="77777777" w:rsidR="00F65BCA" w:rsidRDefault="00216117">
            <w:pPr>
              <w:pStyle w:val="TableParagraph"/>
              <w:ind w:left="24" w:right="24"/>
              <w:jc w:val="center"/>
              <w:rPr>
                <w:sz w:val="3"/>
              </w:rPr>
            </w:pPr>
            <w:r>
              <w:rPr>
                <w:w w:val="105"/>
                <w:sz w:val="3"/>
              </w:rPr>
              <w:t>1,14913094%</w:t>
            </w:r>
          </w:p>
        </w:tc>
        <w:tc>
          <w:tcPr>
            <w:tcW w:w="288" w:type="dxa"/>
            <w:tcBorders>
              <w:bottom w:val="nil"/>
            </w:tcBorders>
          </w:tcPr>
          <w:p w14:paraId="6A6FCA70" w14:textId="77777777" w:rsidR="00F65BCA" w:rsidRDefault="00F65BCA">
            <w:pPr>
              <w:pStyle w:val="TableParagraph"/>
              <w:rPr>
                <w:rFonts w:ascii="Calibri"/>
                <w:sz w:val="2"/>
              </w:rPr>
            </w:pPr>
          </w:p>
          <w:p w14:paraId="5DB60D11" w14:textId="77777777" w:rsidR="00F65BCA" w:rsidRDefault="00F65BCA">
            <w:pPr>
              <w:pStyle w:val="TableParagraph"/>
              <w:rPr>
                <w:rFonts w:ascii="Calibri"/>
                <w:sz w:val="2"/>
              </w:rPr>
            </w:pPr>
          </w:p>
          <w:p w14:paraId="2C2031F9" w14:textId="77777777" w:rsidR="00F65BCA" w:rsidRDefault="00216117">
            <w:pPr>
              <w:pStyle w:val="TableParagraph"/>
              <w:ind w:left="24" w:right="24"/>
              <w:jc w:val="center"/>
              <w:rPr>
                <w:sz w:val="3"/>
              </w:rPr>
            </w:pPr>
            <w:r>
              <w:rPr>
                <w:w w:val="105"/>
                <w:sz w:val="3"/>
              </w:rPr>
              <w:t>1,07731026%</w:t>
            </w:r>
          </w:p>
        </w:tc>
        <w:tc>
          <w:tcPr>
            <w:tcW w:w="288" w:type="dxa"/>
            <w:tcBorders>
              <w:bottom w:val="nil"/>
            </w:tcBorders>
          </w:tcPr>
          <w:p w14:paraId="6A29ED67" w14:textId="77777777" w:rsidR="00F65BCA" w:rsidRDefault="00F65BCA">
            <w:pPr>
              <w:pStyle w:val="TableParagraph"/>
              <w:rPr>
                <w:rFonts w:ascii="Calibri"/>
                <w:sz w:val="2"/>
              </w:rPr>
            </w:pPr>
          </w:p>
          <w:p w14:paraId="6585815A" w14:textId="77777777" w:rsidR="00F65BCA" w:rsidRDefault="00F65BCA">
            <w:pPr>
              <w:pStyle w:val="TableParagraph"/>
              <w:rPr>
                <w:rFonts w:ascii="Calibri"/>
                <w:sz w:val="2"/>
              </w:rPr>
            </w:pPr>
          </w:p>
          <w:p w14:paraId="4DC039FA" w14:textId="77777777" w:rsidR="00F65BCA" w:rsidRDefault="00216117">
            <w:pPr>
              <w:pStyle w:val="TableParagraph"/>
              <w:ind w:left="47"/>
              <w:rPr>
                <w:sz w:val="3"/>
              </w:rPr>
            </w:pPr>
            <w:r>
              <w:rPr>
                <w:w w:val="105"/>
                <w:sz w:val="3"/>
              </w:rPr>
              <w:t>1,02703578%</w:t>
            </w:r>
          </w:p>
        </w:tc>
        <w:tc>
          <w:tcPr>
            <w:tcW w:w="288" w:type="dxa"/>
            <w:tcBorders>
              <w:bottom w:val="nil"/>
            </w:tcBorders>
          </w:tcPr>
          <w:p w14:paraId="627D1551" w14:textId="77777777" w:rsidR="00F65BCA" w:rsidRDefault="00F65BCA">
            <w:pPr>
              <w:pStyle w:val="TableParagraph"/>
              <w:rPr>
                <w:rFonts w:ascii="Calibri"/>
                <w:sz w:val="2"/>
              </w:rPr>
            </w:pPr>
          </w:p>
          <w:p w14:paraId="73A7BB09" w14:textId="77777777" w:rsidR="00F65BCA" w:rsidRDefault="00F65BCA">
            <w:pPr>
              <w:pStyle w:val="TableParagraph"/>
              <w:rPr>
                <w:rFonts w:ascii="Calibri"/>
                <w:sz w:val="2"/>
              </w:rPr>
            </w:pPr>
          </w:p>
          <w:p w14:paraId="04BF36B8" w14:textId="77777777" w:rsidR="00F65BCA" w:rsidRDefault="00216117">
            <w:pPr>
              <w:pStyle w:val="TableParagraph"/>
              <w:ind w:left="24" w:right="24"/>
              <w:jc w:val="center"/>
              <w:rPr>
                <w:sz w:val="3"/>
              </w:rPr>
            </w:pPr>
            <w:r>
              <w:rPr>
                <w:w w:val="105"/>
                <w:sz w:val="3"/>
              </w:rPr>
              <w:t>0,96957923%</w:t>
            </w:r>
          </w:p>
        </w:tc>
        <w:tc>
          <w:tcPr>
            <w:tcW w:w="288" w:type="dxa"/>
            <w:tcBorders>
              <w:bottom w:val="nil"/>
            </w:tcBorders>
          </w:tcPr>
          <w:p w14:paraId="36A2DA6E" w14:textId="77777777" w:rsidR="00F65BCA" w:rsidRDefault="00F65BCA">
            <w:pPr>
              <w:pStyle w:val="TableParagraph"/>
              <w:rPr>
                <w:rFonts w:ascii="Calibri"/>
                <w:sz w:val="2"/>
              </w:rPr>
            </w:pPr>
          </w:p>
          <w:p w14:paraId="20A28089" w14:textId="77777777" w:rsidR="00F65BCA" w:rsidRDefault="00F65BCA">
            <w:pPr>
              <w:pStyle w:val="TableParagraph"/>
              <w:rPr>
                <w:rFonts w:ascii="Calibri"/>
                <w:sz w:val="2"/>
              </w:rPr>
            </w:pPr>
          </w:p>
          <w:p w14:paraId="1529C1B1" w14:textId="77777777" w:rsidR="00F65BCA" w:rsidRDefault="00216117">
            <w:pPr>
              <w:pStyle w:val="TableParagraph"/>
              <w:ind w:left="47"/>
              <w:rPr>
                <w:sz w:val="3"/>
              </w:rPr>
            </w:pPr>
            <w:r>
              <w:rPr>
                <w:w w:val="105"/>
                <w:sz w:val="3"/>
              </w:rPr>
              <w:t>0,91930476%</w:t>
            </w:r>
          </w:p>
        </w:tc>
        <w:tc>
          <w:tcPr>
            <w:tcW w:w="288" w:type="dxa"/>
            <w:tcBorders>
              <w:bottom w:val="nil"/>
            </w:tcBorders>
          </w:tcPr>
          <w:p w14:paraId="7DF8666F" w14:textId="77777777" w:rsidR="00F65BCA" w:rsidRDefault="00F65BCA">
            <w:pPr>
              <w:pStyle w:val="TableParagraph"/>
              <w:rPr>
                <w:rFonts w:ascii="Calibri"/>
                <w:sz w:val="2"/>
              </w:rPr>
            </w:pPr>
          </w:p>
          <w:p w14:paraId="3D7EA6F0" w14:textId="77777777" w:rsidR="00F65BCA" w:rsidRDefault="00F65BCA">
            <w:pPr>
              <w:pStyle w:val="TableParagraph"/>
              <w:rPr>
                <w:rFonts w:ascii="Calibri"/>
                <w:sz w:val="2"/>
              </w:rPr>
            </w:pPr>
          </w:p>
          <w:p w14:paraId="3ED70D58" w14:textId="77777777" w:rsidR="00F65BCA" w:rsidRDefault="00216117">
            <w:pPr>
              <w:pStyle w:val="TableParagraph"/>
              <w:ind w:left="24" w:right="24"/>
              <w:jc w:val="center"/>
              <w:rPr>
                <w:sz w:val="3"/>
              </w:rPr>
            </w:pPr>
            <w:r>
              <w:rPr>
                <w:w w:val="105"/>
                <w:sz w:val="3"/>
              </w:rPr>
              <w:t>0,85466614%</w:t>
            </w:r>
          </w:p>
        </w:tc>
        <w:tc>
          <w:tcPr>
            <w:tcW w:w="288" w:type="dxa"/>
            <w:tcBorders>
              <w:bottom w:val="nil"/>
            </w:tcBorders>
          </w:tcPr>
          <w:p w14:paraId="5B27BFBC" w14:textId="77777777" w:rsidR="00F65BCA" w:rsidRDefault="00F65BCA">
            <w:pPr>
              <w:pStyle w:val="TableParagraph"/>
              <w:rPr>
                <w:rFonts w:ascii="Calibri"/>
                <w:sz w:val="2"/>
              </w:rPr>
            </w:pPr>
          </w:p>
          <w:p w14:paraId="1EF3762D" w14:textId="77777777" w:rsidR="00F65BCA" w:rsidRDefault="00F65BCA">
            <w:pPr>
              <w:pStyle w:val="TableParagraph"/>
              <w:rPr>
                <w:rFonts w:ascii="Calibri"/>
                <w:sz w:val="2"/>
              </w:rPr>
            </w:pPr>
          </w:p>
          <w:p w14:paraId="7D095EE1" w14:textId="77777777" w:rsidR="00F65BCA" w:rsidRDefault="00216117">
            <w:pPr>
              <w:pStyle w:val="TableParagraph"/>
              <w:ind w:left="24" w:right="24"/>
              <w:jc w:val="center"/>
              <w:rPr>
                <w:sz w:val="3"/>
              </w:rPr>
            </w:pPr>
            <w:r>
              <w:rPr>
                <w:w w:val="105"/>
                <w:sz w:val="3"/>
              </w:rPr>
              <w:t>0,79002752%</w:t>
            </w:r>
          </w:p>
        </w:tc>
        <w:tc>
          <w:tcPr>
            <w:tcW w:w="288" w:type="dxa"/>
            <w:tcBorders>
              <w:bottom w:val="nil"/>
            </w:tcBorders>
          </w:tcPr>
          <w:p w14:paraId="6B89E954" w14:textId="77777777" w:rsidR="00F65BCA" w:rsidRDefault="00F65BCA">
            <w:pPr>
              <w:pStyle w:val="TableParagraph"/>
              <w:rPr>
                <w:rFonts w:ascii="Calibri"/>
                <w:sz w:val="2"/>
              </w:rPr>
            </w:pPr>
          </w:p>
          <w:p w14:paraId="24C924A4" w14:textId="77777777" w:rsidR="00F65BCA" w:rsidRDefault="00F65BCA">
            <w:pPr>
              <w:pStyle w:val="TableParagraph"/>
              <w:rPr>
                <w:rFonts w:ascii="Calibri"/>
                <w:sz w:val="2"/>
              </w:rPr>
            </w:pPr>
          </w:p>
          <w:p w14:paraId="538F7B6C" w14:textId="77777777" w:rsidR="00F65BCA" w:rsidRDefault="00216117">
            <w:pPr>
              <w:pStyle w:val="TableParagraph"/>
              <w:ind w:left="47"/>
              <w:rPr>
                <w:sz w:val="3"/>
              </w:rPr>
            </w:pPr>
            <w:r>
              <w:rPr>
                <w:w w:val="105"/>
                <w:sz w:val="3"/>
              </w:rPr>
              <w:t>0,71820684%</w:t>
            </w:r>
          </w:p>
        </w:tc>
        <w:tc>
          <w:tcPr>
            <w:tcW w:w="288" w:type="dxa"/>
            <w:tcBorders>
              <w:bottom w:val="nil"/>
            </w:tcBorders>
          </w:tcPr>
          <w:p w14:paraId="427EC1E4" w14:textId="77777777" w:rsidR="00F65BCA" w:rsidRDefault="00F65BCA">
            <w:pPr>
              <w:pStyle w:val="TableParagraph"/>
              <w:rPr>
                <w:rFonts w:ascii="Calibri"/>
                <w:sz w:val="2"/>
              </w:rPr>
            </w:pPr>
          </w:p>
          <w:p w14:paraId="13E111A3" w14:textId="77777777" w:rsidR="00F65BCA" w:rsidRDefault="00F65BCA">
            <w:pPr>
              <w:pStyle w:val="TableParagraph"/>
              <w:rPr>
                <w:rFonts w:ascii="Calibri"/>
                <w:sz w:val="2"/>
              </w:rPr>
            </w:pPr>
          </w:p>
          <w:p w14:paraId="3C6E4A78" w14:textId="77777777" w:rsidR="00F65BCA" w:rsidRDefault="00216117">
            <w:pPr>
              <w:pStyle w:val="TableParagraph"/>
              <w:ind w:left="24" w:right="24"/>
              <w:jc w:val="center"/>
              <w:rPr>
                <w:sz w:val="3"/>
              </w:rPr>
            </w:pPr>
            <w:r>
              <w:rPr>
                <w:w w:val="105"/>
                <w:sz w:val="3"/>
              </w:rPr>
              <w:t>0,71820684%</w:t>
            </w:r>
          </w:p>
        </w:tc>
        <w:tc>
          <w:tcPr>
            <w:tcW w:w="288" w:type="dxa"/>
            <w:tcBorders>
              <w:bottom w:val="nil"/>
            </w:tcBorders>
          </w:tcPr>
          <w:p w14:paraId="6E2BB688" w14:textId="77777777" w:rsidR="00F65BCA" w:rsidRDefault="00F65BCA">
            <w:pPr>
              <w:pStyle w:val="TableParagraph"/>
              <w:rPr>
                <w:rFonts w:ascii="Calibri"/>
                <w:sz w:val="2"/>
              </w:rPr>
            </w:pPr>
          </w:p>
          <w:p w14:paraId="1E06708D" w14:textId="77777777" w:rsidR="00F65BCA" w:rsidRDefault="00F65BCA">
            <w:pPr>
              <w:pStyle w:val="TableParagraph"/>
              <w:rPr>
                <w:rFonts w:ascii="Calibri"/>
                <w:sz w:val="2"/>
              </w:rPr>
            </w:pPr>
          </w:p>
          <w:p w14:paraId="78188F7C" w14:textId="77777777" w:rsidR="00F65BCA" w:rsidRDefault="00216117">
            <w:pPr>
              <w:pStyle w:val="TableParagraph"/>
              <w:ind w:left="24" w:right="24"/>
              <w:jc w:val="center"/>
              <w:rPr>
                <w:sz w:val="3"/>
              </w:rPr>
            </w:pPr>
            <w:r>
              <w:rPr>
                <w:w w:val="105"/>
                <w:sz w:val="3"/>
              </w:rPr>
              <w:t>0,86184821%</w:t>
            </w:r>
          </w:p>
        </w:tc>
        <w:tc>
          <w:tcPr>
            <w:tcW w:w="288" w:type="dxa"/>
            <w:tcBorders>
              <w:bottom w:val="nil"/>
            </w:tcBorders>
          </w:tcPr>
          <w:p w14:paraId="61458613" w14:textId="77777777" w:rsidR="00F65BCA" w:rsidRDefault="00F65BCA">
            <w:pPr>
              <w:pStyle w:val="TableParagraph"/>
              <w:rPr>
                <w:rFonts w:ascii="Calibri"/>
                <w:sz w:val="2"/>
              </w:rPr>
            </w:pPr>
          </w:p>
          <w:p w14:paraId="433574D3" w14:textId="77777777" w:rsidR="00F65BCA" w:rsidRDefault="00F65BCA">
            <w:pPr>
              <w:pStyle w:val="TableParagraph"/>
              <w:rPr>
                <w:rFonts w:ascii="Calibri"/>
                <w:sz w:val="2"/>
              </w:rPr>
            </w:pPr>
          </w:p>
          <w:p w14:paraId="74CF8808" w14:textId="77777777" w:rsidR="00F65BCA" w:rsidRDefault="00216117">
            <w:pPr>
              <w:pStyle w:val="TableParagraph"/>
              <w:ind w:left="24" w:right="24"/>
              <w:jc w:val="center"/>
              <w:rPr>
                <w:sz w:val="3"/>
              </w:rPr>
            </w:pPr>
            <w:r>
              <w:rPr>
                <w:w w:val="105"/>
                <w:sz w:val="3"/>
              </w:rPr>
              <w:t>0,96957923%</w:t>
            </w:r>
          </w:p>
        </w:tc>
        <w:tc>
          <w:tcPr>
            <w:tcW w:w="288" w:type="dxa"/>
            <w:tcBorders>
              <w:bottom w:val="nil"/>
            </w:tcBorders>
          </w:tcPr>
          <w:p w14:paraId="58A2A2C0" w14:textId="77777777" w:rsidR="00F65BCA" w:rsidRDefault="00F65BCA">
            <w:pPr>
              <w:pStyle w:val="TableParagraph"/>
              <w:rPr>
                <w:rFonts w:ascii="Calibri"/>
                <w:sz w:val="2"/>
              </w:rPr>
            </w:pPr>
          </w:p>
          <w:p w14:paraId="724A85BA" w14:textId="77777777" w:rsidR="00F65BCA" w:rsidRDefault="00F65BCA">
            <w:pPr>
              <w:pStyle w:val="TableParagraph"/>
              <w:rPr>
                <w:rFonts w:ascii="Calibri"/>
                <w:sz w:val="2"/>
              </w:rPr>
            </w:pPr>
          </w:p>
          <w:p w14:paraId="2FF91294" w14:textId="77777777" w:rsidR="00F65BCA" w:rsidRDefault="00216117">
            <w:pPr>
              <w:pStyle w:val="TableParagraph"/>
              <w:ind w:left="24" w:right="24"/>
              <w:jc w:val="center"/>
              <w:rPr>
                <w:sz w:val="3"/>
              </w:rPr>
            </w:pPr>
            <w:r>
              <w:rPr>
                <w:w w:val="105"/>
                <w:sz w:val="3"/>
              </w:rPr>
              <w:t>0,96957923%</w:t>
            </w:r>
          </w:p>
        </w:tc>
        <w:tc>
          <w:tcPr>
            <w:tcW w:w="288" w:type="dxa"/>
            <w:tcBorders>
              <w:bottom w:val="nil"/>
            </w:tcBorders>
          </w:tcPr>
          <w:p w14:paraId="014A81B9" w14:textId="77777777" w:rsidR="00F65BCA" w:rsidRDefault="00F65BCA">
            <w:pPr>
              <w:pStyle w:val="TableParagraph"/>
              <w:rPr>
                <w:rFonts w:ascii="Calibri"/>
                <w:sz w:val="2"/>
              </w:rPr>
            </w:pPr>
          </w:p>
          <w:p w14:paraId="225F5466" w14:textId="77777777" w:rsidR="00F65BCA" w:rsidRDefault="00F65BCA">
            <w:pPr>
              <w:pStyle w:val="TableParagraph"/>
              <w:rPr>
                <w:rFonts w:ascii="Calibri"/>
                <w:sz w:val="2"/>
              </w:rPr>
            </w:pPr>
          </w:p>
          <w:p w14:paraId="3E359DC1" w14:textId="77777777" w:rsidR="00F65BCA" w:rsidRDefault="00216117">
            <w:pPr>
              <w:pStyle w:val="TableParagraph"/>
              <w:ind w:left="47"/>
              <w:rPr>
                <w:sz w:val="3"/>
              </w:rPr>
            </w:pPr>
            <w:r>
              <w:rPr>
                <w:w w:val="105"/>
                <w:sz w:val="3"/>
              </w:rPr>
              <w:t>1,07731026%</w:t>
            </w:r>
          </w:p>
        </w:tc>
      </w:tr>
      <w:tr w:rsidR="00F65BCA" w14:paraId="030BBAE6" w14:textId="77777777">
        <w:trPr>
          <w:trHeight w:val="15"/>
        </w:trPr>
        <w:tc>
          <w:tcPr>
            <w:tcW w:w="526" w:type="dxa"/>
            <w:vMerge/>
            <w:tcBorders>
              <w:top w:val="nil"/>
            </w:tcBorders>
            <w:shd w:val="clear" w:color="auto" w:fill="FCE4D6"/>
          </w:tcPr>
          <w:p w14:paraId="3C316D20" w14:textId="77777777" w:rsidR="00F65BCA" w:rsidRDefault="00F65BCA">
            <w:pPr>
              <w:rPr>
                <w:sz w:val="2"/>
                <w:szCs w:val="2"/>
              </w:rPr>
            </w:pPr>
          </w:p>
        </w:tc>
        <w:tc>
          <w:tcPr>
            <w:tcW w:w="732" w:type="dxa"/>
            <w:vMerge w:val="restart"/>
            <w:tcBorders>
              <w:top w:val="nil"/>
              <w:bottom w:val="nil"/>
            </w:tcBorders>
            <w:shd w:val="clear" w:color="auto" w:fill="FCE4D6"/>
          </w:tcPr>
          <w:p w14:paraId="4F343B9E" w14:textId="77777777" w:rsidR="00F65BCA" w:rsidRDefault="00216117">
            <w:pPr>
              <w:pStyle w:val="TableParagraph"/>
              <w:spacing w:line="15" w:lineRule="exact"/>
              <w:ind w:left="4"/>
              <w:rPr>
                <w:sz w:val="3"/>
              </w:rPr>
            </w:pPr>
            <w:r>
              <w:rPr>
                <w:w w:val="105"/>
                <w:sz w:val="3"/>
              </w:rPr>
              <w:t>Hyundai; Magma; Maruti; Multicar; Oltcit; Opel;</w:t>
            </w:r>
          </w:p>
        </w:tc>
        <w:tc>
          <w:tcPr>
            <w:tcW w:w="958" w:type="dxa"/>
            <w:gridSpan w:val="2"/>
            <w:tcBorders>
              <w:top w:val="nil"/>
            </w:tcBorders>
            <w:shd w:val="clear" w:color="auto" w:fill="FCE4D6"/>
          </w:tcPr>
          <w:p w14:paraId="21DFF1D2" w14:textId="77777777" w:rsidR="00F65BCA" w:rsidRDefault="00F65BCA">
            <w:pPr>
              <w:pStyle w:val="TableParagraph"/>
              <w:rPr>
                <w:rFonts w:ascii="Times New Roman"/>
                <w:sz w:val="2"/>
              </w:rPr>
            </w:pPr>
          </w:p>
        </w:tc>
        <w:tc>
          <w:tcPr>
            <w:tcW w:w="576" w:type="dxa"/>
            <w:tcBorders>
              <w:top w:val="nil"/>
            </w:tcBorders>
            <w:shd w:val="clear" w:color="auto" w:fill="FCE4D6"/>
          </w:tcPr>
          <w:p w14:paraId="274CBB77" w14:textId="77777777" w:rsidR="00F65BCA" w:rsidRDefault="00F65BCA">
            <w:pPr>
              <w:pStyle w:val="TableParagraph"/>
              <w:rPr>
                <w:rFonts w:ascii="Times New Roman"/>
                <w:sz w:val="2"/>
              </w:rPr>
            </w:pPr>
          </w:p>
        </w:tc>
        <w:tc>
          <w:tcPr>
            <w:tcW w:w="576" w:type="dxa"/>
            <w:tcBorders>
              <w:top w:val="nil"/>
            </w:tcBorders>
            <w:shd w:val="clear" w:color="auto" w:fill="FCE4D6"/>
          </w:tcPr>
          <w:p w14:paraId="45C08438" w14:textId="77777777" w:rsidR="00F65BCA" w:rsidRDefault="00F65BCA">
            <w:pPr>
              <w:pStyle w:val="TableParagraph"/>
              <w:rPr>
                <w:rFonts w:ascii="Times New Roman"/>
                <w:sz w:val="2"/>
              </w:rPr>
            </w:pPr>
          </w:p>
        </w:tc>
        <w:tc>
          <w:tcPr>
            <w:tcW w:w="50" w:type="dxa"/>
            <w:vMerge/>
            <w:tcBorders>
              <w:top w:val="nil"/>
              <w:bottom w:val="nil"/>
            </w:tcBorders>
          </w:tcPr>
          <w:p w14:paraId="059D36D5" w14:textId="77777777" w:rsidR="00F65BCA" w:rsidRDefault="00F65BCA">
            <w:pPr>
              <w:rPr>
                <w:sz w:val="2"/>
                <w:szCs w:val="2"/>
              </w:rPr>
            </w:pPr>
          </w:p>
        </w:tc>
        <w:tc>
          <w:tcPr>
            <w:tcW w:w="288" w:type="dxa"/>
            <w:tcBorders>
              <w:top w:val="nil"/>
            </w:tcBorders>
          </w:tcPr>
          <w:p w14:paraId="7B4D3EB9" w14:textId="77777777" w:rsidR="00F65BCA" w:rsidRDefault="00F65BCA">
            <w:pPr>
              <w:pStyle w:val="TableParagraph"/>
              <w:rPr>
                <w:rFonts w:ascii="Times New Roman"/>
                <w:sz w:val="2"/>
              </w:rPr>
            </w:pPr>
          </w:p>
        </w:tc>
        <w:tc>
          <w:tcPr>
            <w:tcW w:w="288" w:type="dxa"/>
            <w:tcBorders>
              <w:top w:val="nil"/>
            </w:tcBorders>
          </w:tcPr>
          <w:p w14:paraId="5D6C4BFF" w14:textId="77777777" w:rsidR="00F65BCA" w:rsidRDefault="00F65BCA">
            <w:pPr>
              <w:pStyle w:val="TableParagraph"/>
              <w:rPr>
                <w:rFonts w:ascii="Times New Roman"/>
                <w:sz w:val="2"/>
              </w:rPr>
            </w:pPr>
          </w:p>
        </w:tc>
        <w:tc>
          <w:tcPr>
            <w:tcW w:w="288" w:type="dxa"/>
            <w:tcBorders>
              <w:top w:val="nil"/>
            </w:tcBorders>
          </w:tcPr>
          <w:p w14:paraId="1EAC5B2B" w14:textId="77777777" w:rsidR="00F65BCA" w:rsidRDefault="00F65BCA">
            <w:pPr>
              <w:pStyle w:val="TableParagraph"/>
              <w:rPr>
                <w:rFonts w:ascii="Times New Roman"/>
                <w:sz w:val="2"/>
              </w:rPr>
            </w:pPr>
          </w:p>
        </w:tc>
        <w:tc>
          <w:tcPr>
            <w:tcW w:w="288" w:type="dxa"/>
            <w:tcBorders>
              <w:top w:val="nil"/>
            </w:tcBorders>
          </w:tcPr>
          <w:p w14:paraId="553238D1" w14:textId="77777777" w:rsidR="00F65BCA" w:rsidRDefault="00F65BCA">
            <w:pPr>
              <w:pStyle w:val="TableParagraph"/>
              <w:rPr>
                <w:rFonts w:ascii="Times New Roman"/>
                <w:sz w:val="2"/>
              </w:rPr>
            </w:pPr>
          </w:p>
        </w:tc>
        <w:tc>
          <w:tcPr>
            <w:tcW w:w="288" w:type="dxa"/>
            <w:tcBorders>
              <w:top w:val="nil"/>
            </w:tcBorders>
          </w:tcPr>
          <w:p w14:paraId="02BA8C9C" w14:textId="77777777" w:rsidR="00F65BCA" w:rsidRDefault="00F65BCA">
            <w:pPr>
              <w:pStyle w:val="TableParagraph"/>
              <w:rPr>
                <w:rFonts w:ascii="Times New Roman"/>
                <w:sz w:val="2"/>
              </w:rPr>
            </w:pPr>
          </w:p>
        </w:tc>
        <w:tc>
          <w:tcPr>
            <w:tcW w:w="288" w:type="dxa"/>
            <w:tcBorders>
              <w:top w:val="nil"/>
            </w:tcBorders>
          </w:tcPr>
          <w:p w14:paraId="49B0F89D" w14:textId="77777777" w:rsidR="00F65BCA" w:rsidRDefault="00F65BCA">
            <w:pPr>
              <w:pStyle w:val="TableParagraph"/>
              <w:rPr>
                <w:rFonts w:ascii="Times New Roman"/>
                <w:sz w:val="2"/>
              </w:rPr>
            </w:pPr>
          </w:p>
        </w:tc>
        <w:tc>
          <w:tcPr>
            <w:tcW w:w="288" w:type="dxa"/>
            <w:tcBorders>
              <w:top w:val="nil"/>
            </w:tcBorders>
          </w:tcPr>
          <w:p w14:paraId="253E84DE" w14:textId="77777777" w:rsidR="00F65BCA" w:rsidRDefault="00F65BCA">
            <w:pPr>
              <w:pStyle w:val="TableParagraph"/>
              <w:rPr>
                <w:rFonts w:ascii="Times New Roman"/>
                <w:sz w:val="2"/>
              </w:rPr>
            </w:pPr>
          </w:p>
        </w:tc>
        <w:tc>
          <w:tcPr>
            <w:tcW w:w="288" w:type="dxa"/>
            <w:tcBorders>
              <w:top w:val="nil"/>
            </w:tcBorders>
          </w:tcPr>
          <w:p w14:paraId="6A7BFD5B" w14:textId="77777777" w:rsidR="00F65BCA" w:rsidRDefault="00F65BCA">
            <w:pPr>
              <w:pStyle w:val="TableParagraph"/>
              <w:rPr>
                <w:rFonts w:ascii="Times New Roman"/>
                <w:sz w:val="2"/>
              </w:rPr>
            </w:pPr>
          </w:p>
        </w:tc>
        <w:tc>
          <w:tcPr>
            <w:tcW w:w="288" w:type="dxa"/>
            <w:tcBorders>
              <w:top w:val="nil"/>
            </w:tcBorders>
          </w:tcPr>
          <w:p w14:paraId="31B37B8E" w14:textId="77777777" w:rsidR="00F65BCA" w:rsidRDefault="00F65BCA">
            <w:pPr>
              <w:pStyle w:val="TableParagraph"/>
              <w:rPr>
                <w:rFonts w:ascii="Times New Roman"/>
                <w:sz w:val="2"/>
              </w:rPr>
            </w:pPr>
          </w:p>
        </w:tc>
        <w:tc>
          <w:tcPr>
            <w:tcW w:w="288" w:type="dxa"/>
            <w:tcBorders>
              <w:top w:val="nil"/>
            </w:tcBorders>
          </w:tcPr>
          <w:p w14:paraId="4D97B4DA" w14:textId="77777777" w:rsidR="00F65BCA" w:rsidRDefault="00F65BCA">
            <w:pPr>
              <w:pStyle w:val="TableParagraph"/>
              <w:rPr>
                <w:rFonts w:ascii="Times New Roman"/>
                <w:sz w:val="2"/>
              </w:rPr>
            </w:pPr>
          </w:p>
        </w:tc>
        <w:tc>
          <w:tcPr>
            <w:tcW w:w="288" w:type="dxa"/>
            <w:tcBorders>
              <w:top w:val="nil"/>
            </w:tcBorders>
          </w:tcPr>
          <w:p w14:paraId="5001E6DC" w14:textId="77777777" w:rsidR="00F65BCA" w:rsidRDefault="00F65BCA">
            <w:pPr>
              <w:pStyle w:val="TableParagraph"/>
              <w:rPr>
                <w:rFonts w:ascii="Times New Roman"/>
                <w:sz w:val="2"/>
              </w:rPr>
            </w:pPr>
          </w:p>
        </w:tc>
        <w:tc>
          <w:tcPr>
            <w:tcW w:w="288" w:type="dxa"/>
            <w:tcBorders>
              <w:top w:val="nil"/>
            </w:tcBorders>
          </w:tcPr>
          <w:p w14:paraId="740273B0" w14:textId="77777777" w:rsidR="00F65BCA" w:rsidRDefault="00F65BCA">
            <w:pPr>
              <w:pStyle w:val="TableParagraph"/>
              <w:rPr>
                <w:rFonts w:ascii="Times New Roman"/>
                <w:sz w:val="2"/>
              </w:rPr>
            </w:pPr>
          </w:p>
        </w:tc>
        <w:tc>
          <w:tcPr>
            <w:tcW w:w="288" w:type="dxa"/>
            <w:tcBorders>
              <w:top w:val="nil"/>
            </w:tcBorders>
          </w:tcPr>
          <w:p w14:paraId="1D1D2B1D" w14:textId="77777777" w:rsidR="00F65BCA" w:rsidRDefault="00F65BCA">
            <w:pPr>
              <w:pStyle w:val="TableParagraph"/>
              <w:rPr>
                <w:rFonts w:ascii="Times New Roman"/>
                <w:sz w:val="2"/>
              </w:rPr>
            </w:pPr>
          </w:p>
        </w:tc>
      </w:tr>
      <w:tr w:rsidR="00F65BCA" w14:paraId="3433EDF6" w14:textId="77777777">
        <w:trPr>
          <w:trHeight w:val="7"/>
        </w:trPr>
        <w:tc>
          <w:tcPr>
            <w:tcW w:w="526" w:type="dxa"/>
            <w:vMerge/>
            <w:tcBorders>
              <w:top w:val="nil"/>
            </w:tcBorders>
            <w:shd w:val="clear" w:color="auto" w:fill="FCE4D6"/>
          </w:tcPr>
          <w:p w14:paraId="740DC857" w14:textId="77777777" w:rsidR="00F65BCA" w:rsidRDefault="00F65BCA">
            <w:pPr>
              <w:rPr>
                <w:sz w:val="2"/>
                <w:szCs w:val="2"/>
              </w:rPr>
            </w:pPr>
          </w:p>
        </w:tc>
        <w:tc>
          <w:tcPr>
            <w:tcW w:w="732" w:type="dxa"/>
            <w:vMerge/>
            <w:tcBorders>
              <w:top w:val="nil"/>
              <w:bottom w:val="nil"/>
            </w:tcBorders>
            <w:shd w:val="clear" w:color="auto" w:fill="FCE4D6"/>
          </w:tcPr>
          <w:p w14:paraId="4FCBBA0D" w14:textId="77777777" w:rsidR="00F65BCA" w:rsidRDefault="00F65BCA">
            <w:pPr>
              <w:rPr>
                <w:sz w:val="2"/>
                <w:szCs w:val="2"/>
              </w:rPr>
            </w:pPr>
          </w:p>
        </w:tc>
        <w:tc>
          <w:tcPr>
            <w:tcW w:w="958" w:type="dxa"/>
            <w:gridSpan w:val="2"/>
            <w:tcBorders>
              <w:bottom w:val="nil"/>
            </w:tcBorders>
            <w:shd w:val="clear" w:color="auto" w:fill="FCE4D6"/>
          </w:tcPr>
          <w:p w14:paraId="55AD6CA6" w14:textId="77777777" w:rsidR="00F65BCA" w:rsidRDefault="00F65BCA">
            <w:pPr>
              <w:pStyle w:val="TableParagraph"/>
              <w:rPr>
                <w:rFonts w:ascii="Times New Roman"/>
                <w:sz w:val="2"/>
              </w:rPr>
            </w:pPr>
          </w:p>
        </w:tc>
        <w:tc>
          <w:tcPr>
            <w:tcW w:w="576" w:type="dxa"/>
            <w:tcBorders>
              <w:bottom w:val="nil"/>
            </w:tcBorders>
            <w:shd w:val="clear" w:color="auto" w:fill="FCE4D6"/>
          </w:tcPr>
          <w:p w14:paraId="792DF3AB" w14:textId="77777777" w:rsidR="00F65BCA" w:rsidRDefault="00F65BCA">
            <w:pPr>
              <w:pStyle w:val="TableParagraph"/>
              <w:rPr>
                <w:rFonts w:ascii="Times New Roman"/>
                <w:sz w:val="2"/>
              </w:rPr>
            </w:pPr>
          </w:p>
        </w:tc>
        <w:tc>
          <w:tcPr>
            <w:tcW w:w="576" w:type="dxa"/>
            <w:tcBorders>
              <w:bottom w:val="nil"/>
            </w:tcBorders>
            <w:shd w:val="clear" w:color="auto" w:fill="FCE4D6"/>
          </w:tcPr>
          <w:p w14:paraId="72E9DF61" w14:textId="77777777" w:rsidR="00F65BCA" w:rsidRDefault="00F65BCA">
            <w:pPr>
              <w:pStyle w:val="TableParagraph"/>
              <w:rPr>
                <w:rFonts w:ascii="Times New Roman"/>
                <w:sz w:val="2"/>
              </w:rPr>
            </w:pPr>
          </w:p>
        </w:tc>
        <w:tc>
          <w:tcPr>
            <w:tcW w:w="50" w:type="dxa"/>
            <w:vMerge/>
            <w:tcBorders>
              <w:top w:val="nil"/>
              <w:bottom w:val="nil"/>
            </w:tcBorders>
          </w:tcPr>
          <w:p w14:paraId="112B7A9C" w14:textId="77777777" w:rsidR="00F65BCA" w:rsidRDefault="00F65BCA">
            <w:pPr>
              <w:rPr>
                <w:sz w:val="2"/>
                <w:szCs w:val="2"/>
              </w:rPr>
            </w:pPr>
          </w:p>
        </w:tc>
        <w:tc>
          <w:tcPr>
            <w:tcW w:w="288" w:type="dxa"/>
            <w:tcBorders>
              <w:bottom w:val="nil"/>
            </w:tcBorders>
          </w:tcPr>
          <w:p w14:paraId="4C0B7B94" w14:textId="77777777" w:rsidR="00F65BCA" w:rsidRDefault="00F65BCA">
            <w:pPr>
              <w:pStyle w:val="TableParagraph"/>
              <w:rPr>
                <w:rFonts w:ascii="Times New Roman"/>
                <w:sz w:val="2"/>
              </w:rPr>
            </w:pPr>
          </w:p>
        </w:tc>
        <w:tc>
          <w:tcPr>
            <w:tcW w:w="288" w:type="dxa"/>
            <w:tcBorders>
              <w:bottom w:val="nil"/>
            </w:tcBorders>
          </w:tcPr>
          <w:p w14:paraId="6F90AC7D" w14:textId="77777777" w:rsidR="00F65BCA" w:rsidRDefault="00F65BCA">
            <w:pPr>
              <w:pStyle w:val="TableParagraph"/>
              <w:rPr>
                <w:rFonts w:ascii="Times New Roman"/>
                <w:sz w:val="2"/>
              </w:rPr>
            </w:pPr>
          </w:p>
        </w:tc>
        <w:tc>
          <w:tcPr>
            <w:tcW w:w="288" w:type="dxa"/>
            <w:tcBorders>
              <w:bottom w:val="nil"/>
            </w:tcBorders>
          </w:tcPr>
          <w:p w14:paraId="1C361B71" w14:textId="77777777" w:rsidR="00F65BCA" w:rsidRDefault="00F65BCA">
            <w:pPr>
              <w:pStyle w:val="TableParagraph"/>
              <w:rPr>
                <w:rFonts w:ascii="Times New Roman"/>
                <w:sz w:val="2"/>
              </w:rPr>
            </w:pPr>
          </w:p>
        </w:tc>
        <w:tc>
          <w:tcPr>
            <w:tcW w:w="288" w:type="dxa"/>
            <w:tcBorders>
              <w:bottom w:val="nil"/>
            </w:tcBorders>
          </w:tcPr>
          <w:p w14:paraId="62C78468" w14:textId="77777777" w:rsidR="00F65BCA" w:rsidRDefault="00F65BCA">
            <w:pPr>
              <w:pStyle w:val="TableParagraph"/>
              <w:rPr>
                <w:rFonts w:ascii="Times New Roman"/>
                <w:sz w:val="2"/>
              </w:rPr>
            </w:pPr>
          </w:p>
        </w:tc>
        <w:tc>
          <w:tcPr>
            <w:tcW w:w="288" w:type="dxa"/>
            <w:tcBorders>
              <w:bottom w:val="nil"/>
            </w:tcBorders>
          </w:tcPr>
          <w:p w14:paraId="1B2F7921" w14:textId="77777777" w:rsidR="00F65BCA" w:rsidRDefault="00F65BCA">
            <w:pPr>
              <w:pStyle w:val="TableParagraph"/>
              <w:rPr>
                <w:rFonts w:ascii="Times New Roman"/>
                <w:sz w:val="2"/>
              </w:rPr>
            </w:pPr>
          </w:p>
        </w:tc>
        <w:tc>
          <w:tcPr>
            <w:tcW w:w="288" w:type="dxa"/>
            <w:tcBorders>
              <w:bottom w:val="nil"/>
            </w:tcBorders>
          </w:tcPr>
          <w:p w14:paraId="07469752" w14:textId="77777777" w:rsidR="00F65BCA" w:rsidRDefault="00F65BCA">
            <w:pPr>
              <w:pStyle w:val="TableParagraph"/>
              <w:rPr>
                <w:rFonts w:ascii="Times New Roman"/>
                <w:sz w:val="2"/>
              </w:rPr>
            </w:pPr>
          </w:p>
        </w:tc>
        <w:tc>
          <w:tcPr>
            <w:tcW w:w="288" w:type="dxa"/>
            <w:tcBorders>
              <w:bottom w:val="nil"/>
            </w:tcBorders>
          </w:tcPr>
          <w:p w14:paraId="3A27DE56" w14:textId="77777777" w:rsidR="00F65BCA" w:rsidRDefault="00F65BCA">
            <w:pPr>
              <w:pStyle w:val="TableParagraph"/>
              <w:rPr>
                <w:rFonts w:ascii="Times New Roman"/>
                <w:sz w:val="2"/>
              </w:rPr>
            </w:pPr>
          </w:p>
        </w:tc>
        <w:tc>
          <w:tcPr>
            <w:tcW w:w="288" w:type="dxa"/>
            <w:tcBorders>
              <w:bottom w:val="nil"/>
            </w:tcBorders>
          </w:tcPr>
          <w:p w14:paraId="26894FE7" w14:textId="77777777" w:rsidR="00F65BCA" w:rsidRDefault="00F65BCA">
            <w:pPr>
              <w:pStyle w:val="TableParagraph"/>
              <w:rPr>
                <w:rFonts w:ascii="Times New Roman"/>
                <w:sz w:val="2"/>
              </w:rPr>
            </w:pPr>
          </w:p>
        </w:tc>
        <w:tc>
          <w:tcPr>
            <w:tcW w:w="288" w:type="dxa"/>
            <w:tcBorders>
              <w:bottom w:val="nil"/>
            </w:tcBorders>
          </w:tcPr>
          <w:p w14:paraId="7CCB0F68" w14:textId="77777777" w:rsidR="00F65BCA" w:rsidRDefault="00F65BCA">
            <w:pPr>
              <w:pStyle w:val="TableParagraph"/>
              <w:rPr>
                <w:rFonts w:ascii="Times New Roman"/>
                <w:sz w:val="2"/>
              </w:rPr>
            </w:pPr>
          </w:p>
        </w:tc>
        <w:tc>
          <w:tcPr>
            <w:tcW w:w="288" w:type="dxa"/>
            <w:tcBorders>
              <w:bottom w:val="nil"/>
            </w:tcBorders>
          </w:tcPr>
          <w:p w14:paraId="151AF55B" w14:textId="77777777" w:rsidR="00F65BCA" w:rsidRDefault="00F65BCA">
            <w:pPr>
              <w:pStyle w:val="TableParagraph"/>
              <w:rPr>
                <w:rFonts w:ascii="Times New Roman"/>
                <w:sz w:val="2"/>
              </w:rPr>
            </w:pPr>
          </w:p>
        </w:tc>
        <w:tc>
          <w:tcPr>
            <w:tcW w:w="288" w:type="dxa"/>
            <w:tcBorders>
              <w:bottom w:val="nil"/>
            </w:tcBorders>
          </w:tcPr>
          <w:p w14:paraId="46435F2D" w14:textId="77777777" w:rsidR="00F65BCA" w:rsidRDefault="00F65BCA">
            <w:pPr>
              <w:pStyle w:val="TableParagraph"/>
              <w:rPr>
                <w:rFonts w:ascii="Times New Roman"/>
                <w:sz w:val="2"/>
              </w:rPr>
            </w:pPr>
          </w:p>
        </w:tc>
        <w:tc>
          <w:tcPr>
            <w:tcW w:w="288" w:type="dxa"/>
            <w:tcBorders>
              <w:bottom w:val="nil"/>
            </w:tcBorders>
          </w:tcPr>
          <w:p w14:paraId="21A72741" w14:textId="77777777" w:rsidR="00F65BCA" w:rsidRDefault="00F65BCA">
            <w:pPr>
              <w:pStyle w:val="TableParagraph"/>
              <w:rPr>
                <w:rFonts w:ascii="Times New Roman"/>
                <w:sz w:val="2"/>
              </w:rPr>
            </w:pPr>
          </w:p>
        </w:tc>
        <w:tc>
          <w:tcPr>
            <w:tcW w:w="288" w:type="dxa"/>
            <w:tcBorders>
              <w:bottom w:val="nil"/>
            </w:tcBorders>
          </w:tcPr>
          <w:p w14:paraId="24999D4A" w14:textId="77777777" w:rsidR="00F65BCA" w:rsidRDefault="00F65BCA">
            <w:pPr>
              <w:pStyle w:val="TableParagraph"/>
              <w:rPr>
                <w:rFonts w:ascii="Times New Roman"/>
                <w:sz w:val="2"/>
              </w:rPr>
            </w:pPr>
          </w:p>
        </w:tc>
      </w:tr>
      <w:tr w:rsidR="00F65BCA" w14:paraId="277025DC" w14:textId="77777777">
        <w:trPr>
          <w:trHeight w:val="89"/>
        </w:trPr>
        <w:tc>
          <w:tcPr>
            <w:tcW w:w="526" w:type="dxa"/>
            <w:vMerge/>
            <w:tcBorders>
              <w:top w:val="nil"/>
            </w:tcBorders>
            <w:shd w:val="clear" w:color="auto" w:fill="FCE4D6"/>
          </w:tcPr>
          <w:p w14:paraId="473CB42F" w14:textId="77777777" w:rsidR="00F65BCA" w:rsidRDefault="00F65BCA">
            <w:pPr>
              <w:rPr>
                <w:sz w:val="2"/>
                <w:szCs w:val="2"/>
              </w:rPr>
            </w:pPr>
          </w:p>
        </w:tc>
        <w:tc>
          <w:tcPr>
            <w:tcW w:w="732" w:type="dxa"/>
            <w:tcBorders>
              <w:top w:val="nil"/>
            </w:tcBorders>
            <w:shd w:val="clear" w:color="auto" w:fill="FCE4D6"/>
          </w:tcPr>
          <w:p w14:paraId="7ED9434A" w14:textId="77777777" w:rsidR="00F65BCA" w:rsidRDefault="00216117">
            <w:pPr>
              <w:pStyle w:val="TableParagraph"/>
              <w:spacing w:line="20" w:lineRule="exact"/>
              <w:ind w:left="4"/>
              <w:rPr>
                <w:sz w:val="3"/>
              </w:rPr>
            </w:pPr>
            <w:r>
              <w:rPr>
                <w:w w:val="105"/>
                <w:sz w:val="3"/>
              </w:rPr>
              <w:t>Pfau; Piaggio; Proton; Rag; Ross; SAP; SCAM;</w:t>
            </w:r>
          </w:p>
          <w:p w14:paraId="6FF77460" w14:textId="77777777" w:rsidR="00F65BCA" w:rsidRDefault="00216117">
            <w:pPr>
              <w:pStyle w:val="TableParagraph"/>
              <w:spacing w:before="6"/>
              <w:ind w:left="4"/>
              <w:rPr>
                <w:sz w:val="3"/>
              </w:rPr>
            </w:pPr>
            <w:r>
              <w:rPr>
                <w:w w:val="105"/>
                <w:sz w:val="3"/>
              </w:rPr>
              <w:t>Tata; Volvo</w:t>
            </w:r>
          </w:p>
        </w:tc>
        <w:tc>
          <w:tcPr>
            <w:tcW w:w="958" w:type="dxa"/>
            <w:gridSpan w:val="2"/>
            <w:tcBorders>
              <w:top w:val="nil"/>
            </w:tcBorders>
            <w:shd w:val="clear" w:color="auto" w:fill="FCE4D6"/>
          </w:tcPr>
          <w:p w14:paraId="033888E1" w14:textId="77777777" w:rsidR="00F65BCA" w:rsidRDefault="00216117">
            <w:pPr>
              <w:pStyle w:val="TableParagraph"/>
              <w:spacing w:before="9"/>
              <w:ind w:left="1"/>
              <w:jc w:val="center"/>
              <w:rPr>
                <w:sz w:val="3"/>
              </w:rPr>
            </w:pPr>
            <w:r>
              <w:rPr>
                <w:w w:val="103"/>
                <w:sz w:val="3"/>
              </w:rPr>
              <w:t>-</w:t>
            </w:r>
          </w:p>
        </w:tc>
        <w:tc>
          <w:tcPr>
            <w:tcW w:w="576" w:type="dxa"/>
            <w:tcBorders>
              <w:top w:val="nil"/>
            </w:tcBorders>
            <w:shd w:val="clear" w:color="auto" w:fill="FCE4D6"/>
          </w:tcPr>
          <w:p w14:paraId="2AE7D8E9" w14:textId="77777777" w:rsidR="00F65BCA" w:rsidRDefault="00216117">
            <w:pPr>
              <w:pStyle w:val="TableParagraph"/>
              <w:spacing w:before="9"/>
              <w:ind w:left="128" w:right="128"/>
              <w:jc w:val="center"/>
              <w:rPr>
                <w:sz w:val="3"/>
              </w:rPr>
            </w:pPr>
            <w:r>
              <w:rPr>
                <w:w w:val="105"/>
                <w:sz w:val="3"/>
              </w:rPr>
              <w:t>&gt;1000 ccm</w:t>
            </w:r>
          </w:p>
        </w:tc>
        <w:tc>
          <w:tcPr>
            <w:tcW w:w="576" w:type="dxa"/>
            <w:tcBorders>
              <w:top w:val="nil"/>
            </w:tcBorders>
            <w:shd w:val="clear" w:color="auto" w:fill="FCE4D6"/>
          </w:tcPr>
          <w:p w14:paraId="1B792CD4" w14:textId="77777777" w:rsidR="00F65BCA" w:rsidRDefault="00216117">
            <w:pPr>
              <w:pStyle w:val="TableParagraph"/>
              <w:spacing w:before="9"/>
              <w:ind w:left="3"/>
              <w:jc w:val="center"/>
              <w:rPr>
                <w:sz w:val="3"/>
              </w:rPr>
            </w:pPr>
            <w:r>
              <w:rPr>
                <w:w w:val="103"/>
                <w:sz w:val="3"/>
              </w:rPr>
              <w:t>-</w:t>
            </w:r>
          </w:p>
        </w:tc>
        <w:tc>
          <w:tcPr>
            <w:tcW w:w="50" w:type="dxa"/>
            <w:vMerge/>
            <w:tcBorders>
              <w:top w:val="nil"/>
              <w:bottom w:val="nil"/>
            </w:tcBorders>
          </w:tcPr>
          <w:p w14:paraId="12B984C1" w14:textId="77777777" w:rsidR="00F65BCA" w:rsidRDefault="00F65BCA">
            <w:pPr>
              <w:rPr>
                <w:sz w:val="2"/>
                <w:szCs w:val="2"/>
              </w:rPr>
            </w:pPr>
          </w:p>
        </w:tc>
        <w:tc>
          <w:tcPr>
            <w:tcW w:w="288" w:type="dxa"/>
            <w:tcBorders>
              <w:top w:val="nil"/>
            </w:tcBorders>
          </w:tcPr>
          <w:p w14:paraId="72269B61" w14:textId="77777777" w:rsidR="00F65BCA" w:rsidRDefault="00216117">
            <w:pPr>
              <w:pStyle w:val="TableParagraph"/>
              <w:spacing w:before="9"/>
              <w:ind w:left="24" w:right="24"/>
              <w:jc w:val="center"/>
              <w:rPr>
                <w:sz w:val="3"/>
              </w:rPr>
            </w:pPr>
            <w:r>
              <w:rPr>
                <w:w w:val="105"/>
                <w:sz w:val="3"/>
              </w:rPr>
              <w:t>1,38815018%</w:t>
            </w:r>
          </w:p>
        </w:tc>
        <w:tc>
          <w:tcPr>
            <w:tcW w:w="288" w:type="dxa"/>
            <w:tcBorders>
              <w:top w:val="nil"/>
            </w:tcBorders>
          </w:tcPr>
          <w:p w14:paraId="4E23CC14" w14:textId="77777777" w:rsidR="00F65BCA" w:rsidRDefault="00216117">
            <w:pPr>
              <w:pStyle w:val="TableParagraph"/>
              <w:spacing w:before="9"/>
              <w:ind w:left="24" w:right="24"/>
              <w:jc w:val="center"/>
              <w:rPr>
                <w:sz w:val="3"/>
              </w:rPr>
            </w:pPr>
            <w:r>
              <w:rPr>
                <w:w w:val="105"/>
                <w:sz w:val="3"/>
              </w:rPr>
              <w:t>1,30139079%</w:t>
            </w:r>
          </w:p>
        </w:tc>
        <w:tc>
          <w:tcPr>
            <w:tcW w:w="288" w:type="dxa"/>
            <w:tcBorders>
              <w:top w:val="nil"/>
            </w:tcBorders>
          </w:tcPr>
          <w:p w14:paraId="4E58EE36" w14:textId="77777777" w:rsidR="00F65BCA" w:rsidRDefault="00216117">
            <w:pPr>
              <w:pStyle w:val="TableParagraph"/>
              <w:spacing w:before="9"/>
              <w:ind w:left="47"/>
              <w:rPr>
                <w:sz w:val="3"/>
              </w:rPr>
            </w:pPr>
            <w:r>
              <w:rPr>
                <w:w w:val="105"/>
                <w:sz w:val="3"/>
              </w:rPr>
              <w:t>1,24065922%</w:t>
            </w:r>
          </w:p>
        </w:tc>
        <w:tc>
          <w:tcPr>
            <w:tcW w:w="288" w:type="dxa"/>
            <w:tcBorders>
              <w:top w:val="nil"/>
            </w:tcBorders>
          </w:tcPr>
          <w:p w14:paraId="44B76A61" w14:textId="77777777" w:rsidR="00F65BCA" w:rsidRDefault="00216117">
            <w:pPr>
              <w:pStyle w:val="TableParagraph"/>
              <w:spacing w:before="9"/>
              <w:ind w:left="24" w:right="24"/>
              <w:jc w:val="center"/>
              <w:rPr>
                <w:sz w:val="3"/>
              </w:rPr>
            </w:pPr>
            <w:r>
              <w:rPr>
                <w:w w:val="105"/>
                <w:sz w:val="3"/>
              </w:rPr>
              <w:t>1,17125171%</w:t>
            </w:r>
          </w:p>
        </w:tc>
        <w:tc>
          <w:tcPr>
            <w:tcW w:w="288" w:type="dxa"/>
            <w:tcBorders>
              <w:top w:val="nil"/>
            </w:tcBorders>
          </w:tcPr>
          <w:p w14:paraId="4B78E022" w14:textId="77777777" w:rsidR="00F65BCA" w:rsidRDefault="00216117">
            <w:pPr>
              <w:pStyle w:val="TableParagraph"/>
              <w:spacing w:before="9"/>
              <w:ind w:left="47"/>
              <w:rPr>
                <w:sz w:val="3"/>
              </w:rPr>
            </w:pPr>
            <w:r>
              <w:rPr>
                <w:w w:val="105"/>
                <w:sz w:val="3"/>
              </w:rPr>
              <w:t>1,11052014%</w:t>
            </w:r>
          </w:p>
        </w:tc>
        <w:tc>
          <w:tcPr>
            <w:tcW w:w="288" w:type="dxa"/>
            <w:tcBorders>
              <w:top w:val="nil"/>
            </w:tcBorders>
          </w:tcPr>
          <w:p w14:paraId="773B4A78" w14:textId="77777777" w:rsidR="00F65BCA" w:rsidRDefault="00216117">
            <w:pPr>
              <w:pStyle w:val="TableParagraph"/>
              <w:spacing w:before="9"/>
              <w:ind w:left="24" w:right="24"/>
              <w:jc w:val="center"/>
              <w:rPr>
                <w:sz w:val="3"/>
              </w:rPr>
            </w:pPr>
            <w:r>
              <w:rPr>
                <w:w w:val="105"/>
                <w:sz w:val="3"/>
              </w:rPr>
              <w:t>1,03243670%</w:t>
            </w:r>
          </w:p>
        </w:tc>
        <w:tc>
          <w:tcPr>
            <w:tcW w:w="288" w:type="dxa"/>
            <w:tcBorders>
              <w:top w:val="nil"/>
            </w:tcBorders>
          </w:tcPr>
          <w:p w14:paraId="38A4E0CB" w14:textId="77777777" w:rsidR="00F65BCA" w:rsidRDefault="00216117">
            <w:pPr>
              <w:pStyle w:val="TableParagraph"/>
              <w:spacing w:before="9"/>
              <w:ind w:left="24" w:right="24"/>
              <w:jc w:val="center"/>
              <w:rPr>
                <w:sz w:val="3"/>
              </w:rPr>
            </w:pPr>
            <w:r>
              <w:rPr>
                <w:w w:val="105"/>
                <w:sz w:val="3"/>
              </w:rPr>
              <w:t>0,95435325%</w:t>
            </w:r>
          </w:p>
        </w:tc>
        <w:tc>
          <w:tcPr>
            <w:tcW w:w="288" w:type="dxa"/>
            <w:tcBorders>
              <w:top w:val="nil"/>
            </w:tcBorders>
          </w:tcPr>
          <w:p w14:paraId="2850A7AF" w14:textId="77777777" w:rsidR="00F65BCA" w:rsidRDefault="00216117">
            <w:pPr>
              <w:pStyle w:val="TableParagraph"/>
              <w:spacing w:before="9"/>
              <w:ind w:left="47"/>
              <w:rPr>
                <w:sz w:val="3"/>
              </w:rPr>
            </w:pPr>
            <w:r>
              <w:rPr>
                <w:w w:val="105"/>
                <w:sz w:val="3"/>
              </w:rPr>
              <w:t>0,86759386%</w:t>
            </w:r>
          </w:p>
        </w:tc>
        <w:tc>
          <w:tcPr>
            <w:tcW w:w="288" w:type="dxa"/>
            <w:tcBorders>
              <w:top w:val="nil"/>
            </w:tcBorders>
          </w:tcPr>
          <w:p w14:paraId="393DB98B" w14:textId="77777777" w:rsidR="00F65BCA" w:rsidRDefault="00216117">
            <w:pPr>
              <w:pStyle w:val="TableParagraph"/>
              <w:spacing w:before="9"/>
              <w:ind w:left="24" w:right="24"/>
              <w:jc w:val="center"/>
              <w:rPr>
                <w:sz w:val="3"/>
              </w:rPr>
            </w:pPr>
            <w:r>
              <w:rPr>
                <w:w w:val="105"/>
                <w:sz w:val="3"/>
              </w:rPr>
              <w:t>0,86759386%</w:t>
            </w:r>
          </w:p>
        </w:tc>
        <w:tc>
          <w:tcPr>
            <w:tcW w:w="288" w:type="dxa"/>
            <w:tcBorders>
              <w:top w:val="nil"/>
            </w:tcBorders>
          </w:tcPr>
          <w:p w14:paraId="1003E297" w14:textId="77777777" w:rsidR="00F65BCA" w:rsidRDefault="00216117">
            <w:pPr>
              <w:pStyle w:val="TableParagraph"/>
              <w:spacing w:before="9"/>
              <w:ind w:left="24" w:right="24"/>
              <w:jc w:val="center"/>
              <w:rPr>
                <w:sz w:val="3"/>
              </w:rPr>
            </w:pPr>
            <w:r>
              <w:rPr>
                <w:w w:val="105"/>
                <w:sz w:val="3"/>
              </w:rPr>
              <w:t>1,04111264%</w:t>
            </w:r>
          </w:p>
        </w:tc>
        <w:tc>
          <w:tcPr>
            <w:tcW w:w="288" w:type="dxa"/>
            <w:tcBorders>
              <w:top w:val="nil"/>
            </w:tcBorders>
          </w:tcPr>
          <w:p w14:paraId="00186D36" w14:textId="77777777" w:rsidR="00F65BCA" w:rsidRDefault="00216117">
            <w:pPr>
              <w:pStyle w:val="TableParagraph"/>
              <w:spacing w:before="9"/>
              <w:ind w:left="24" w:right="24"/>
              <w:jc w:val="center"/>
              <w:rPr>
                <w:sz w:val="3"/>
              </w:rPr>
            </w:pPr>
            <w:r>
              <w:rPr>
                <w:w w:val="105"/>
                <w:sz w:val="3"/>
              </w:rPr>
              <w:t>1,17125171%</w:t>
            </w:r>
          </w:p>
        </w:tc>
        <w:tc>
          <w:tcPr>
            <w:tcW w:w="288" w:type="dxa"/>
            <w:tcBorders>
              <w:top w:val="nil"/>
            </w:tcBorders>
          </w:tcPr>
          <w:p w14:paraId="4422667E" w14:textId="77777777" w:rsidR="00F65BCA" w:rsidRDefault="00216117">
            <w:pPr>
              <w:pStyle w:val="TableParagraph"/>
              <w:spacing w:before="9"/>
              <w:ind w:left="24" w:right="24"/>
              <w:jc w:val="center"/>
              <w:rPr>
                <w:sz w:val="3"/>
              </w:rPr>
            </w:pPr>
            <w:r>
              <w:rPr>
                <w:w w:val="105"/>
                <w:sz w:val="3"/>
              </w:rPr>
              <w:t>1,17125171%</w:t>
            </w:r>
          </w:p>
        </w:tc>
        <w:tc>
          <w:tcPr>
            <w:tcW w:w="288" w:type="dxa"/>
            <w:tcBorders>
              <w:top w:val="nil"/>
            </w:tcBorders>
          </w:tcPr>
          <w:p w14:paraId="76C2BA40" w14:textId="77777777" w:rsidR="00F65BCA" w:rsidRDefault="00216117">
            <w:pPr>
              <w:pStyle w:val="TableParagraph"/>
              <w:spacing w:before="9"/>
              <w:ind w:left="47"/>
              <w:rPr>
                <w:sz w:val="3"/>
              </w:rPr>
            </w:pPr>
            <w:r>
              <w:rPr>
                <w:w w:val="105"/>
                <w:sz w:val="3"/>
              </w:rPr>
              <w:t>1,30139079%</w:t>
            </w:r>
          </w:p>
        </w:tc>
      </w:tr>
      <w:tr w:rsidR="00F65BCA" w14:paraId="599C8215" w14:textId="77777777">
        <w:trPr>
          <w:trHeight w:val="56"/>
        </w:trPr>
        <w:tc>
          <w:tcPr>
            <w:tcW w:w="526" w:type="dxa"/>
            <w:vMerge/>
            <w:tcBorders>
              <w:top w:val="nil"/>
            </w:tcBorders>
            <w:shd w:val="clear" w:color="auto" w:fill="FCE4D6"/>
          </w:tcPr>
          <w:p w14:paraId="14691F19" w14:textId="77777777" w:rsidR="00F65BCA" w:rsidRDefault="00F65BCA">
            <w:pPr>
              <w:rPr>
                <w:sz w:val="2"/>
                <w:szCs w:val="2"/>
              </w:rPr>
            </w:pPr>
          </w:p>
        </w:tc>
        <w:tc>
          <w:tcPr>
            <w:tcW w:w="732" w:type="dxa"/>
            <w:tcBorders>
              <w:bottom w:val="nil"/>
            </w:tcBorders>
            <w:shd w:val="clear" w:color="auto" w:fill="FCE4D6"/>
          </w:tcPr>
          <w:p w14:paraId="1FDAC213" w14:textId="77777777" w:rsidR="00F65BCA" w:rsidRDefault="00F65BCA">
            <w:pPr>
              <w:pStyle w:val="TableParagraph"/>
              <w:rPr>
                <w:rFonts w:ascii="Calibri"/>
                <w:sz w:val="2"/>
              </w:rPr>
            </w:pPr>
          </w:p>
          <w:p w14:paraId="26540B07" w14:textId="77777777" w:rsidR="00F65BCA" w:rsidRDefault="00216117">
            <w:pPr>
              <w:pStyle w:val="TableParagraph"/>
              <w:spacing w:line="15" w:lineRule="exact"/>
              <w:ind w:left="4"/>
              <w:rPr>
                <w:sz w:val="3"/>
              </w:rPr>
            </w:pPr>
            <w:r>
              <w:rPr>
                <w:w w:val="105"/>
                <w:sz w:val="3"/>
              </w:rPr>
              <w:t>Adria; Alfa Romeo; Alpine; Arca; Autostar; Bavaria;</w:t>
            </w:r>
          </w:p>
        </w:tc>
        <w:tc>
          <w:tcPr>
            <w:tcW w:w="958" w:type="dxa"/>
            <w:gridSpan w:val="2"/>
            <w:tcBorders>
              <w:bottom w:val="nil"/>
            </w:tcBorders>
            <w:shd w:val="clear" w:color="auto" w:fill="FCE4D6"/>
          </w:tcPr>
          <w:p w14:paraId="0137C0E5" w14:textId="77777777" w:rsidR="00F65BCA" w:rsidRDefault="00F65BCA">
            <w:pPr>
              <w:pStyle w:val="TableParagraph"/>
              <w:rPr>
                <w:rFonts w:ascii="Times New Roman"/>
                <w:sz w:val="2"/>
              </w:rPr>
            </w:pPr>
          </w:p>
        </w:tc>
        <w:tc>
          <w:tcPr>
            <w:tcW w:w="576" w:type="dxa"/>
            <w:tcBorders>
              <w:bottom w:val="nil"/>
            </w:tcBorders>
            <w:shd w:val="clear" w:color="auto" w:fill="FCE4D6"/>
          </w:tcPr>
          <w:p w14:paraId="52EFD141" w14:textId="77777777" w:rsidR="00F65BCA" w:rsidRDefault="00F65BCA">
            <w:pPr>
              <w:pStyle w:val="TableParagraph"/>
              <w:rPr>
                <w:rFonts w:ascii="Times New Roman"/>
                <w:sz w:val="2"/>
              </w:rPr>
            </w:pPr>
          </w:p>
        </w:tc>
        <w:tc>
          <w:tcPr>
            <w:tcW w:w="576" w:type="dxa"/>
            <w:tcBorders>
              <w:bottom w:val="nil"/>
            </w:tcBorders>
            <w:shd w:val="clear" w:color="auto" w:fill="FCE4D6"/>
          </w:tcPr>
          <w:p w14:paraId="553B9011" w14:textId="77777777" w:rsidR="00F65BCA" w:rsidRDefault="00F65BCA">
            <w:pPr>
              <w:pStyle w:val="TableParagraph"/>
              <w:rPr>
                <w:rFonts w:ascii="Times New Roman"/>
                <w:sz w:val="2"/>
              </w:rPr>
            </w:pPr>
          </w:p>
        </w:tc>
        <w:tc>
          <w:tcPr>
            <w:tcW w:w="50" w:type="dxa"/>
            <w:vMerge/>
            <w:tcBorders>
              <w:top w:val="nil"/>
              <w:bottom w:val="nil"/>
            </w:tcBorders>
          </w:tcPr>
          <w:p w14:paraId="6912BF3B" w14:textId="77777777" w:rsidR="00F65BCA" w:rsidRDefault="00F65BCA">
            <w:pPr>
              <w:rPr>
                <w:sz w:val="2"/>
                <w:szCs w:val="2"/>
              </w:rPr>
            </w:pPr>
          </w:p>
        </w:tc>
        <w:tc>
          <w:tcPr>
            <w:tcW w:w="288" w:type="dxa"/>
            <w:tcBorders>
              <w:bottom w:val="nil"/>
            </w:tcBorders>
          </w:tcPr>
          <w:p w14:paraId="0F3F1939" w14:textId="77777777" w:rsidR="00F65BCA" w:rsidRDefault="00F65BCA">
            <w:pPr>
              <w:pStyle w:val="TableParagraph"/>
              <w:rPr>
                <w:rFonts w:ascii="Times New Roman"/>
                <w:sz w:val="2"/>
              </w:rPr>
            </w:pPr>
          </w:p>
        </w:tc>
        <w:tc>
          <w:tcPr>
            <w:tcW w:w="288" w:type="dxa"/>
            <w:tcBorders>
              <w:bottom w:val="nil"/>
            </w:tcBorders>
          </w:tcPr>
          <w:p w14:paraId="02B74A92" w14:textId="77777777" w:rsidR="00F65BCA" w:rsidRDefault="00F65BCA">
            <w:pPr>
              <w:pStyle w:val="TableParagraph"/>
              <w:rPr>
                <w:rFonts w:ascii="Times New Roman"/>
                <w:sz w:val="2"/>
              </w:rPr>
            </w:pPr>
          </w:p>
        </w:tc>
        <w:tc>
          <w:tcPr>
            <w:tcW w:w="288" w:type="dxa"/>
            <w:tcBorders>
              <w:bottom w:val="nil"/>
            </w:tcBorders>
          </w:tcPr>
          <w:p w14:paraId="4CB4729E" w14:textId="77777777" w:rsidR="00F65BCA" w:rsidRDefault="00F65BCA">
            <w:pPr>
              <w:pStyle w:val="TableParagraph"/>
              <w:rPr>
                <w:rFonts w:ascii="Times New Roman"/>
                <w:sz w:val="2"/>
              </w:rPr>
            </w:pPr>
          </w:p>
        </w:tc>
        <w:tc>
          <w:tcPr>
            <w:tcW w:w="288" w:type="dxa"/>
            <w:tcBorders>
              <w:bottom w:val="nil"/>
            </w:tcBorders>
          </w:tcPr>
          <w:p w14:paraId="419DFE5A" w14:textId="77777777" w:rsidR="00F65BCA" w:rsidRDefault="00F65BCA">
            <w:pPr>
              <w:pStyle w:val="TableParagraph"/>
              <w:rPr>
                <w:rFonts w:ascii="Times New Roman"/>
                <w:sz w:val="2"/>
              </w:rPr>
            </w:pPr>
          </w:p>
        </w:tc>
        <w:tc>
          <w:tcPr>
            <w:tcW w:w="288" w:type="dxa"/>
            <w:tcBorders>
              <w:bottom w:val="nil"/>
            </w:tcBorders>
          </w:tcPr>
          <w:p w14:paraId="6533A333" w14:textId="77777777" w:rsidR="00F65BCA" w:rsidRDefault="00F65BCA">
            <w:pPr>
              <w:pStyle w:val="TableParagraph"/>
              <w:rPr>
                <w:rFonts w:ascii="Times New Roman"/>
                <w:sz w:val="2"/>
              </w:rPr>
            </w:pPr>
          </w:p>
        </w:tc>
        <w:tc>
          <w:tcPr>
            <w:tcW w:w="288" w:type="dxa"/>
            <w:tcBorders>
              <w:bottom w:val="nil"/>
            </w:tcBorders>
          </w:tcPr>
          <w:p w14:paraId="0908D9EF" w14:textId="77777777" w:rsidR="00F65BCA" w:rsidRDefault="00F65BCA">
            <w:pPr>
              <w:pStyle w:val="TableParagraph"/>
              <w:rPr>
                <w:rFonts w:ascii="Times New Roman"/>
                <w:sz w:val="2"/>
              </w:rPr>
            </w:pPr>
          </w:p>
        </w:tc>
        <w:tc>
          <w:tcPr>
            <w:tcW w:w="288" w:type="dxa"/>
            <w:tcBorders>
              <w:bottom w:val="nil"/>
            </w:tcBorders>
          </w:tcPr>
          <w:p w14:paraId="339D69B6" w14:textId="77777777" w:rsidR="00F65BCA" w:rsidRDefault="00F65BCA">
            <w:pPr>
              <w:pStyle w:val="TableParagraph"/>
              <w:rPr>
                <w:rFonts w:ascii="Times New Roman"/>
                <w:sz w:val="2"/>
              </w:rPr>
            </w:pPr>
          </w:p>
        </w:tc>
        <w:tc>
          <w:tcPr>
            <w:tcW w:w="288" w:type="dxa"/>
            <w:tcBorders>
              <w:bottom w:val="nil"/>
            </w:tcBorders>
          </w:tcPr>
          <w:p w14:paraId="38ED3453" w14:textId="77777777" w:rsidR="00F65BCA" w:rsidRDefault="00F65BCA">
            <w:pPr>
              <w:pStyle w:val="TableParagraph"/>
              <w:rPr>
                <w:rFonts w:ascii="Times New Roman"/>
                <w:sz w:val="2"/>
              </w:rPr>
            </w:pPr>
          </w:p>
        </w:tc>
        <w:tc>
          <w:tcPr>
            <w:tcW w:w="288" w:type="dxa"/>
            <w:tcBorders>
              <w:bottom w:val="nil"/>
            </w:tcBorders>
          </w:tcPr>
          <w:p w14:paraId="7EFD1962" w14:textId="77777777" w:rsidR="00F65BCA" w:rsidRDefault="00F65BCA">
            <w:pPr>
              <w:pStyle w:val="TableParagraph"/>
              <w:rPr>
                <w:rFonts w:ascii="Times New Roman"/>
                <w:sz w:val="2"/>
              </w:rPr>
            </w:pPr>
          </w:p>
        </w:tc>
        <w:tc>
          <w:tcPr>
            <w:tcW w:w="288" w:type="dxa"/>
            <w:tcBorders>
              <w:bottom w:val="nil"/>
            </w:tcBorders>
          </w:tcPr>
          <w:p w14:paraId="4EC3BE82" w14:textId="77777777" w:rsidR="00F65BCA" w:rsidRDefault="00F65BCA">
            <w:pPr>
              <w:pStyle w:val="TableParagraph"/>
              <w:rPr>
                <w:rFonts w:ascii="Times New Roman"/>
                <w:sz w:val="2"/>
              </w:rPr>
            </w:pPr>
          </w:p>
        </w:tc>
        <w:tc>
          <w:tcPr>
            <w:tcW w:w="288" w:type="dxa"/>
            <w:tcBorders>
              <w:bottom w:val="nil"/>
            </w:tcBorders>
          </w:tcPr>
          <w:p w14:paraId="46706F72" w14:textId="77777777" w:rsidR="00F65BCA" w:rsidRDefault="00F65BCA">
            <w:pPr>
              <w:pStyle w:val="TableParagraph"/>
              <w:rPr>
                <w:rFonts w:ascii="Times New Roman"/>
                <w:sz w:val="2"/>
              </w:rPr>
            </w:pPr>
          </w:p>
        </w:tc>
        <w:tc>
          <w:tcPr>
            <w:tcW w:w="288" w:type="dxa"/>
            <w:tcBorders>
              <w:bottom w:val="nil"/>
            </w:tcBorders>
          </w:tcPr>
          <w:p w14:paraId="627049AB" w14:textId="77777777" w:rsidR="00F65BCA" w:rsidRDefault="00F65BCA">
            <w:pPr>
              <w:pStyle w:val="TableParagraph"/>
              <w:rPr>
                <w:rFonts w:ascii="Times New Roman"/>
                <w:sz w:val="2"/>
              </w:rPr>
            </w:pPr>
          </w:p>
        </w:tc>
        <w:tc>
          <w:tcPr>
            <w:tcW w:w="288" w:type="dxa"/>
            <w:tcBorders>
              <w:bottom w:val="nil"/>
            </w:tcBorders>
          </w:tcPr>
          <w:p w14:paraId="08C71C7C" w14:textId="77777777" w:rsidR="00F65BCA" w:rsidRDefault="00F65BCA">
            <w:pPr>
              <w:pStyle w:val="TableParagraph"/>
              <w:rPr>
                <w:rFonts w:ascii="Times New Roman"/>
                <w:sz w:val="2"/>
              </w:rPr>
            </w:pPr>
          </w:p>
        </w:tc>
      </w:tr>
      <w:tr w:rsidR="00F65BCA" w14:paraId="19390DED" w14:textId="77777777">
        <w:trPr>
          <w:trHeight w:val="76"/>
        </w:trPr>
        <w:tc>
          <w:tcPr>
            <w:tcW w:w="526" w:type="dxa"/>
            <w:vMerge/>
            <w:tcBorders>
              <w:top w:val="nil"/>
            </w:tcBorders>
            <w:shd w:val="clear" w:color="auto" w:fill="FCE4D6"/>
          </w:tcPr>
          <w:p w14:paraId="643752F1" w14:textId="77777777" w:rsidR="00F65BCA" w:rsidRDefault="00F65BCA">
            <w:pPr>
              <w:rPr>
                <w:sz w:val="2"/>
                <w:szCs w:val="2"/>
              </w:rPr>
            </w:pPr>
          </w:p>
        </w:tc>
        <w:tc>
          <w:tcPr>
            <w:tcW w:w="732" w:type="dxa"/>
            <w:tcBorders>
              <w:top w:val="nil"/>
              <w:bottom w:val="nil"/>
            </w:tcBorders>
            <w:shd w:val="clear" w:color="auto" w:fill="FCE4D6"/>
          </w:tcPr>
          <w:p w14:paraId="3975D64C" w14:textId="77777777" w:rsidR="00F65BCA" w:rsidRDefault="00216117">
            <w:pPr>
              <w:pStyle w:val="TableParagraph"/>
              <w:ind w:left="4"/>
              <w:rPr>
                <w:sz w:val="3"/>
              </w:rPr>
            </w:pPr>
            <w:r>
              <w:rPr>
                <w:sz w:val="3"/>
              </w:rPr>
              <w:t>Benimar; Bremach; Bürstner; Capron;</w:t>
            </w:r>
            <w:r>
              <w:rPr>
                <w:spacing w:val="7"/>
                <w:sz w:val="3"/>
              </w:rPr>
              <w:t xml:space="preserve"> </w:t>
            </w:r>
            <w:r>
              <w:rPr>
                <w:sz w:val="3"/>
              </w:rPr>
              <w:t>Carthago;</w:t>
            </w:r>
          </w:p>
          <w:p w14:paraId="78AAE6EA" w14:textId="77777777" w:rsidR="00F65BCA" w:rsidRDefault="00216117">
            <w:pPr>
              <w:pStyle w:val="TableParagraph"/>
              <w:spacing w:before="7" w:line="15" w:lineRule="exact"/>
              <w:ind w:left="4"/>
              <w:rPr>
                <w:sz w:val="3"/>
              </w:rPr>
            </w:pPr>
            <w:r>
              <w:rPr>
                <w:spacing w:val="-1"/>
                <w:w w:val="105"/>
                <w:sz w:val="3"/>
              </w:rPr>
              <w:t>Concorde;</w:t>
            </w:r>
            <w:r>
              <w:rPr>
                <w:spacing w:val="-5"/>
                <w:w w:val="105"/>
                <w:sz w:val="3"/>
              </w:rPr>
              <w:t xml:space="preserve"> </w:t>
            </w:r>
            <w:r>
              <w:rPr>
                <w:w w:val="105"/>
                <w:sz w:val="3"/>
              </w:rPr>
              <w:t>Cupra;</w:t>
            </w:r>
            <w:r>
              <w:rPr>
                <w:spacing w:val="-5"/>
                <w:w w:val="105"/>
                <w:sz w:val="3"/>
              </w:rPr>
              <w:t xml:space="preserve"> </w:t>
            </w:r>
            <w:r>
              <w:rPr>
                <w:w w:val="105"/>
                <w:sz w:val="3"/>
              </w:rPr>
              <w:t>Dethleffs;</w:t>
            </w:r>
            <w:r>
              <w:rPr>
                <w:spacing w:val="-5"/>
                <w:w w:val="105"/>
                <w:sz w:val="3"/>
              </w:rPr>
              <w:t xml:space="preserve"> </w:t>
            </w:r>
            <w:r>
              <w:rPr>
                <w:w w:val="105"/>
                <w:sz w:val="3"/>
              </w:rPr>
              <w:t>Elnagh;</w:t>
            </w:r>
            <w:r>
              <w:rPr>
                <w:spacing w:val="-5"/>
                <w:w w:val="105"/>
                <w:sz w:val="3"/>
              </w:rPr>
              <w:t xml:space="preserve"> </w:t>
            </w:r>
            <w:r>
              <w:rPr>
                <w:w w:val="105"/>
                <w:sz w:val="3"/>
              </w:rPr>
              <w:t>Eura-Mobil;</w:t>
            </w:r>
          </w:p>
        </w:tc>
        <w:tc>
          <w:tcPr>
            <w:tcW w:w="958" w:type="dxa"/>
            <w:gridSpan w:val="2"/>
            <w:tcBorders>
              <w:top w:val="nil"/>
              <w:bottom w:val="nil"/>
            </w:tcBorders>
            <w:shd w:val="clear" w:color="auto" w:fill="FCE4D6"/>
          </w:tcPr>
          <w:p w14:paraId="4F699FE2" w14:textId="77777777" w:rsidR="00F65BCA" w:rsidRDefault="00F65BCA">
            <w:pPr>
              <w:pStyle w:val="TableParagraph"/>
              <w:rPr>
                <w:rFonts w:ascii="Calibri"/>
                <w:sz w:val="2"/>
              </w:rPr>
            </w:pPr>
          </w:p>
          <w:p w14:paraId="22278B21" w14:textId="77777777" w:rsidR="00F65BCA" w:rsidRDefault="00216117">
            <w:pPr>
              <w:pStyle w:val="TableParagraph"/>
              <w:ind w:left="1"/>
              <w:jc w:val="center"/>
              <w:rPr>
                <w:sz w:val="3"/>
              </w:rPr>
            </w:pPr>
            <w:r>
              <w:rPr>
                <w:w w:val="103"/>
                <w:sz w:val="3"/>
              </w:rPr>
              <w:t>-</w:t>
            </w:r>
          </w:p>
        </w:tc>
        <w:tc>
          <w:tcPr>
            <w:tcW w:w="576" w:type="dxa"/>
            <w:tcBorders>
              <w:top w:val="nil"/>
              <w:bottom w:val="nil"/>
            </w:tcBorders>
            <w:shd w:val="clear" w:color="auto" w:fill="FCE4D6"/>
          </w:tcPr>
          <w:p w14:paraId="62112549" w14:textId="77777777" w:rsidR="00F65BCA" w:rsidRDefault="00F65BCA">
            <w:pPr>
              <w:pStyle w:val="TableParagraph"/>
              <w:rPr>
                <w:rFonts w:ascii="Calibri"/>
                <w:sz w:val="2"/>
              </w:rPr>
            </w:pPr>
          </w:p>
          <w:p w14:paraId="46D0597B" w14:textId="77777777" w:rsidR="00F65BCA" w:rsidRDefault="00216117">
            <w:pPr>
              <w:pStyle w:val="TableParagraph"/>
              <w:ind w:left="129" w:right="127"/>
              <w:jc w:val="center"/>
              <w:rPr>
                <w:sz w:val="3"/>
              </w:rPr>
            </w:pPr>
            <w:r>
              <w:rPr>
                <w:w w:val="105"/>
                <w:sz w:val="3"/>
              </w:rPr>
              <w:t>0-1000 ccm</w:t>
            </w:r>
          </w:p>
        </w:tc>
        <w:tc>
          <w:tcPr>
            <w:tcW w:w="576" w:type="dxa"/>
            <w:tcBorders>
              <w:top w:val="nil"/>
              <w:bottom w:val="nil"/>
            </w:tcBorders>
            <w:shd w:val="clear" w:color="auto" w:fill="FCE4D6"/>
          </w:tcPr>
          <w:p w14:paraId="4205961B" w14:textId="77777777" w:rsidR="00F65BCA" w:rsidRDefault="00F65BCA">
            <w:pPr>
              <w:pStyle w:val="TableParagraph"/>
              <w:rPr>
                <w:rFonts w:ascii="Calibri"/>
                <w:sz w:val="2"/>
              </w:rPr>
            </w:pPr>
          </w:p>
          <w:p w14:paraId="6B5C5C27"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514835E9" w14:textId="77777777" w:rsidR="00F65BCA" w:rsidRDefault="00F65BCA">
            <w:pPr>
              <w:rPr>
                <w:sz w:val="2"/>
                <w:szCs w:val="2"/>
              </w:rPr>
            </w:pPr>
          </w:p>
        </w:tc>
        <w:tc>
          <w:tcPr>
            <w:tcW w:w="288" w:type="dxa"/>
            <w:tcBorders>
              <w:top w:val="nil"/>
              <w:bottom w:val="nil"/>
            </w:tcBorders>
          </w:tcPr>
          <w:p w14:paraId="5A48FB4B" w14:textId="77777777" w:rsidR="00F65BCA" w:rsidRDefault="00F65BCA">
            <w:pPr>
              <w:pStyle w:val="TableParagraph"/>
              <w:rPr>
                <w:rFonts w:ascii="Calibri"/>
                <w:sz w:val="2"/>
              </w:rPr>
            </w:pPr>
          </w:p>
          <w:p w14:paraId="3CDD494F" w14:textId="77777777" w:rsidR="00F65BCA" w:rsidRDefault="00216117">
            <w:pPr>
              <w:pStyle w:val="TableParagraph"/>
              <w:ind w:left="24" w:right="24"/>
              <w:jc w:val="center"/>
              <w:rPr>
                <w:sz w:val="3"/>
              </w:rPr>
            </w:pPr>
            <w:r>
              <w:rPr>
                <w:w w:val="105"/>
                <w:sz w:val="3"/>
              </w:rPr>
              <w:t>1,24041466%</w:t>
            </w:r>
          </w:p>
        </w:tc>
        <w:tc>
          <w:tcPr>
            <w:tcW w:w="288" w:type="dxa"/>
            <w:tcBorders>
              <w:top w:val="nil"/>
              <w:bottom w:val="nil"/>
            </w:tcBorders>
          </w:tcPr>
          <w:p w14:paraId="1052261B" w14:textId="77777777" w:rsidR="00F65BCA" w:rsidRDefault="00F65BCA">
            <w:pPr>
              <w:pStyle w:val="TableParagraph"/>
              <w:rPr>
                <w:rFonts w:ascii="Calibri"/>
                <w:sz w:val="2"/>
              </w:rPr>
            </w:pPr>
          </w:p>
          <w:p w14:paraId="3A8C9B72" w14:textId="77777777" w:rsidR="00F65BCA" w:rsidRDefault="00216117">
            <w:pPr>
              <w:pStyle w:val="TableParagraph"/>
              <w:ind w:left="24" w:right="24"/>
              <w:jc w:val="center"/>
              <w:rPr>
                <w:sz w:val="3"/>
              </w:rPr>
            </w:pPr>
            <w:r>
              <w:rPr>
                <w:w w:val="105"/>
                <w:sz w:val="3"/>
              </w:rPr>
              <w:t>1,16288874%</w:t>
            </w:r>
          </w:p>
        </w:tc>
        <w:tc>
          <w:tcPr>
            <w:tcW w:w="288" w:type="dxa"/>
            <w:tcBorders>
              <w:top w:val="nil"/>
              <w:bottom w:val="nil"/>
            </w:tcBorders>
          </w:tcPr>
          <w:p w14:paraId="3F3442C0" w14:textId="77777777" w:rsidR="00F65BCA" w:rsidRDefault="00F65BCA">
            <w:pPr>
              <w:pStyle w:val="TableParagraph"/>
              <w:rPr>
                <w:rFonts w:ascii="Calibri"/>
                <w:sz w:val="2"/>
              </w:rPr>
            </w:pPr>
          </w:p>
          <w:p w14:paraId="52F18D86" w14:textId="77777777" w:rsidR="00F65BCA" w:rsidRDefault="00216117">
            <w:pPr>
              <w:pStyle w:val="TableParagraph"/>
              <w:ind w:left="47"/>
              <w:rPr>
                <w:sz w:val="3"/>
              </w:rPr>
            </w:pPr>
            <w:r>
              <w:rPr>
                <w:w w:val="105"/>
                <w:sz w:val="3"/>
              </w:rPr>
              <w:t>1,10862060%</w:t>
            </w:r>
          </w:p>
        </w:tc>
        <w:tc>
          <w:tcPr>
            <w:tcW w:w="288" w:type="dxa"/>
            <w:tcBorders>
              <w:top w:val="nil"/>
              <w:bottom w:val="nil"/>
            </w:tcBorders>
          </w:tcPr>
          <w:p w14:paraId="17CF3C5A" w14:textId="77777777" w:rsidR="00F65BCA" w:rsidRDefault="00F65BCA">
            <w:pPr>
              <w:pStyle w:val="TableParagraph"/>
              <w:rPr>
                <w:rFonts w:ascii="Calibri"/>
                <w:sz w:val="2"/>
              </w:rPr>
            </w:pPr>
          </w:p>
          <w:p w14:paraId="044B070A" w14:textId="77777777" w:rsidR="00F65BCA" w:rsidRDefault="00216117">
            <w:pPr>
              <w:pStyle w:val="TableParagraph"/>
              <w:ind w:left="24" w:right="24"/>
              <w:jc w:val="center"/>
              <w:rPr>
                <w:sz w:val="3"/>
              </w:rPr>
            </w:pPr>
            <w:r>
              <w:rPr>
                <w:w w:val="105"/>
                <w:sz w:val="3"/>
              </w:rPr>
              <w:t>1,04659987%</w:t>
            </w:r>
          </w:p>
        </w:tc>
        <w:tc>
          <w:tcPr>
            <w:tcW w:w="288" w:type="dxa"/>
            <w:tcBorders>
              <w:top w:val="nil"/>
              <w:bottom w:val="nil"/>
            </w:tcBorders>
          </w:tcPr>
          <w:p w14:paraId="4D59C2E7" w14:textId="77777777" w:rsidR="00F65BCA" w:rsidRDefault="00F65BCA">
            <w:pPr>
              <w:pStyle w:val="TableParagraph"/>
              <w:rPr>
                <w:rFonts w:ascii="Calibri"/>
                <w:sz w:val="2"/>
              </w:rPr>
            </w:pPr>
          </w:p>
          <w:p w14:paraId="07970192" w14:textId="77777777" w:rsidR="00F65BCA" w:rsidRDefault="00216117">
            <w:pPr>
              <w:pStyle w:val="TableParagraph"/>
              <w:ind w:left="47"/>
              <w:rPr>
                <w:sz w:val="3"/>
              </w:rPr>
            </w:pPr>
            <w:r>
              <w:rPr>
                <w:w w:val="105"/>
                <w:sz w:val="3"/>
              </w:rPr>
              <w:t>0,99233172%</w:t>
            </w:r>
          </w:p>
        </w:tc>
        <w:tc>
          <w:tcPr>
            <w:tcW w:w="288" w:type="dxa"/>
            <w:tcBorders>
              <w:top w:val="nil"/>
              <w:bottom w:val="nil"/>
            </w:tcBorders>
          </w:tcPr>
          <w:p w14:paraId="4723F5DC" w14:textId="77777777" w:rsidR="00F65BCA" w:rsidRDefault="00F65BCA">
            <w:pPr>
              <w:pStyle w:val="TableParagraph"/>
              <w:rPr>
                <w:rFonts w:ascii="Calibri"/>
                <w:sz w:val="2"/>
              </w:rPr>
            </w:pPr>
          </w:p>
          <w:p w14:paraId="499BDF20" w14:textId="77777777" w:rsidR="00F65BCA" w:rsidRDefault="00216117">
            <w:pPr>
              <w:pStyle w:val="TableParagraph"/>
              <w:ind w:left="24" w:right="24"/>
              <w:jc w:val="center"/>
              <w:rPr>
                <w:sz w:val="3"/>
              </w:rPr>
            </w:pPr>
            <w:r>
              <w:rPr>
                <w:w w:val="105"/>
                <w:sz w:val="3"/>
              </w:rPr>
              <w:t>0,92255840%</w:t>
            </w:r>
          </w:p>
        </w:tc>
        <w:tc>
          <w:tcPr>
            <w:tcW w:w="288" w:type="dxa"/>
            <w:tcBorders>
              <w:top w:val="nil"/>
              <w:bottom w:val="nil"/>
            </w:tcBorders>
          </w:tcPr>
          <w:p w14:paraId="7BCB9F2B" w14:textId="77777777" w:rsidR="00F65BCA" w:rsidRDefault="00F65BCA">
            <w:pPr>
              <w:pStyle w:val="TableParagraph"/>
              <w:rPr>
                <w:rFonts w:ascii="Calibri"/>
                <w:sz w:val="2"/>
              </w:rPr>
            </w:pPr>
          </w:p>
          <w:p w14:paraId="4DA63EF0" w14:textId="77777777" w:rsidR="00F65BCA" w:rsidRDefault="00216117">
            <w:pPr>
              <w:pStyle w:val="TableParagraph"/>
              <w:ind w:left="24" w:right="24"/>
              <w:jc w:val="center"/>
              <w:rPr>
                <w:sz w:val="3"/>
              </w:rPr>
            </w:pPr>
            <w:r>
              <w:rPr>
                <w:w w:val="105"/>
                <w:sz w:val="3"/>
              </w:rPr>
              <w:t>0,85278508%</w:t>
            </w:r>
          </w:p>
        </w:tc>
        <w:tc>
          <w:tcPr>
            <w:tcW w:w="288" w:type="dxa"/>
            <w:tcBorders>
              <w:top w:val="nil"/>
              <w:bottom w:val="nil"/>
            </w:tcBorders>
          </w:tcPr>
          <w:p w14:paraId="7DC96303" w14:textId="77777777" w:rsidR="00F65BCA" w:rsidRDefault="00F65BCA">
            <w:pPr>
              <w:pStyle w:val="TableParagraph"/>
              <w:rPr>
                <w:rFonts w:ascii="Calibri"/>
                <w:sz w:val="2"/>
              </w:rPr>
            </w:pPr>
          </w:p>
          <w:p w14:paraId="31E86486" w14:textId="77777777" w:rsidR="00F65BCA" w:rsidRDefault="00216117">
            <w:pPr>
              <w:pStyle w:val="TableParagraph"/>
              <w:ind w:left="47"/>
              <w:rPr>
                <w:sz w:val="3"/>
              </w:rPr>
            </w:pPr>
            <w:r>
              <w:rPr>
                <w:w w:val="105"/>
                <w:sz w:val="3"/>
              </w:rPr>
              <w:t>0,77525916%</w:t>
            </w:r>
          </w:p>
        </w:tc>
        <w:tc>
          <w:tcPr>
            <w:tcW w:w="288" w:type="dxa"/>
            <w:tcBorders>
              <w:top w:val="nil"/>
              <w:bottom w:val="nil"/>
            </w:tcBorders>
          </w:tcPr>
          <w:p w14:paraId="3B653B07" w14:textId="77777777" w:rsidR="00F65BCA" w:rsidRDefault="00F65BCA">
            <w:pPr>
              <w:pStyle w:val="TableParagraph"/>
              <w:rPr>
                <w:rFonts w:ascii="Calibri"/>
                <w:sz w:val="2"/>
              </w:rPr>
            </w:pPr>
          </w:p>
          <w:p w14:paraId="359646EC" w14:textId="77777777" w:rsidR="00F65BCA" w:rsidRDefault="00216117">
            <w:pPr>
              <w:pStyle w:val="TableParagraph"/>
              <w:ind w:left="24" w:right="24"/>
              <w:jc w:val="center"/>
              <w:rPr>
                <w:sz w:val="3"/>
              </w:rPr>
            </w:pPr>
            <w:r>
              <w:rPr>
                <w:w w:val="105"/>
                <w:sz w:val="3"/>
              </w:rPr>
              <w:t>0,77525916%</w:t>
            </w:r>
          </w:p>
        </w:tc>
        <w:tc>
          <w:tcPr>
            <w:tcW w:w="288" w:type="dxa"/>
            <w:tcBorders>
              <w:top w:val="nil"/>
              <w:bottom w:val="nil"/>
            </w:tcBorders>
          </w:tcPr>
          <w:p w14:paraId="612B9B3B" w14:textId="77777777" w:rsidR="00F65BCA" w:rsidRDefault="00F65BCA">
            <w:pPr>
              <w:pStyle w:val="TableParagraph"/>
              <w:rPr>
                <w:rFonts w:ascii="Calibri"/>
                <w:sz w:val="2"/>
              </w:rPr>
            </w:pPr>
          </w:p>
          <w:p w14:paraId="60EF1BEB" w14:textId="77777777" w:rsidR="00F65BCA" w:rsidRDefault="00216117">
            <w:pPr>
              <w:pStyle w:val="TableParagraph"/>
              <w:ind w:left="24" w:right="24"/>
              <w:jc w:val="center"/>
              <w:rPr>
                <w:sz w:val="3"/>
              </w:rPr>
            </w:pPr>
            <w:r>
              <w:rPr>
                <w:w w:val="105"/>
                <w:sz w:val="3"/>
              </w:rPr>
              <w:t>0,93031099%</w:t>
            </w:r>
          </w:p>
        </w:tc>
        <w:tc>
          <w:tcPr>
            <w:tcW w:w="288" w:type="dxa"/>
            <w:tcBorders>
              <w:top w:val="nil"/>
              <w:bottom w:val="nil"/>
            </w:tcBorders>
          </w:tcPr>
          <w:p w14:paraId="500EFF61" w14:textId="77777777" w:rsidR="00F65BCA" w:rsidRDefault="00F65BCA">
            <w:pPr>
              <w:pStyle w:val="TableParagraph"/>
              <w:rPr>
                <w:rFonts w:ascii="Calibri"/>
                <w:sz w:val="2"/>
              </w:rPr>
            </w:pPr>
          </w:p>
          <w:p w14:paraId="6A68137D" w14:textId="77777777" w:rsidR="00F65BCA" w:rsidRDefault="00216117">
            <w:pPr>
              <w:pStyle w:val="TableParagraph"/>
              <w:ind w:left="24" w:right="24"/>
              <w:jc w:val="center"/>
              <w:rPr>
                <w:sz w:val="3"/>
              </w:rPr>
            </w:pPr>
            <w:r>
              <w:rPr>
                <w:w w:val="105"/>
                <w:sz w:val="3"/>
              </w:rPr>
              <w:t>1,04659987%</w:t>
            </w:r>
          </w:p>
        </w:tc>
        <w:tc>
          <w:tcPr>
            <w:tcW w:w="288" w:type="dxa"/>
            <w:tcBorders>
              <w:top w:val="nil"/>
              <w:bottom w:val="nil"/>
            </w:tcBorders>
          </w:tcPr>
          <w:p w14:paraId="35C087CA" w14:textId="77777777" w:rsidR="00F65BCA" w:rsidRDefault="00F65BCA">
            <w:pPr>
              <w:pStyle w:val="TableParagraph"/>
              <w:rPr>
                <w:rFonts w:ascii="Calibri"/>
                <w:sz w:val="2"/>
              </w:rPr>
            </w:pPr>
          </w:p>
          <w:p w14:paraId="36262102" w14:textId="77777777" w:rsidR="00F65BCA" w:rsidRDefault="00216117">
            <w:pPr>
              <w:pStyle w:val="TableParagraph"/>
              <w:ind w:left="24" w:right="24"/>
              <w:jc w:val="center"/>
              <w:rPr>
                <w:sz w:val="3"/>
              </w:rPr>
            </w:pPr>
            <w:r>
              <w:rPr>
                <w:w w:val="105"/>
                <w:sz w:val="3"/>
              </w:rPr>
              <w:t>1,04659987%</w:t>
            </w:r>
          </w:p>
        </w:tc>
        <w:tc>
          <w:tcPr>
            <w:tcW w:w="288" w:type="dxa"/>
            <w:tcBorders>
              <w:top w:val="nil"/>
              <w:bottom w:val="nil"/>
            </w:tcBorders>
          </w:tcPr>
          <w:p w14:paraId="6FCD0E49" w14:textId="77777777" w:rsidR="00F65BCA" w:rsidRDefault="00F65BCA">
            <w:pPr>
              <w:pStyle w:val="TableParagraph"/>
              <w:rPr>
                <w:rFonts w:ascii="Calibri"/>
                <w:sz w:val="2"/>
              </w:rPr>
            </w:pPr>
          </w:p>
          <w:p w14:paraId="28A9E814" w14:textId="77777777" w:rsidR="00F65BCA" w:rsidRDefault="00216117">
            <w:pPr>
              <w:pStyle w:val="TableParagraph"/>
              <w:ind w:left="47"/>
              <w:rPr>
                <w:sz w:val="3"/>
              </w:rPr>
            </w:pPr>
            <w:r>
              <w:rPr>
                <w:w w:val="105"/>
                <w:sz w:val="3"/>
              </w:rPr>
              <w:t>1,16288874%</w:t>
            </w:r>
          </w:p>
        </w:tc>
      </w:tr>
      <w:tr w:rsidR="00F65BCA" w14:paraId="058302A6" w14:textId="77777777">
        <w:trPr>
          <w:trHeight w:val="35"/>
        </w:trPr>
        <w:tc>
          <w:tcPr>
            <w:tcW w:w="526" w:type="dxa"/>
            <w:vMerge/>
            <w:tcBorders>
              <w:top w:val="nil"/>
            </w:tcBorders>
            <w:shd w:val="clear" w:color="auto" w:fill="FCE4D6"/>
          </w:tcPr>
          <w:p w14:paraId="3CD7FB97" w14:textId="77777777" w:rsidR="00F65BCA" w:rsidRDefault="00F65BCA">
            <w:pPr>
              <w:rPr>
                <w:sz w:val="2"/>
                <w:szCs w:val="2"/>
              </w:rPr>
            </w:pPr>
          </w:p>
        </w:tc>
        <w:tc>
          <w:tcPr>
            <w:tcW w:w="732" w:type="dxa"/>
            <w:tcBorders>
              <w:top w:val="nil"/>
              <w:bottom w:val="nil"/>
            </w:tcBorders>
            <w:shd w:val="clear" w:color="auto" w:fill="FCE4D6"/>
          </w:tcPr>
          <w:p w14:paraId="44DB9610" w14:textId="77777777" w:rsidR="00F65BCA" w:rsidRDefault="00216117">
            <w:pPr>
              <w:pStyle w:val="TableParagraph"/>
              <w:spacing w:line="15" w:lineRule="exact"/>
              <w:ind w:left="4"/>
              <w:rPr>
                <w:sz w:val="3"/>
              </w:rPr>
            </w:pPr>
            <w:r>
              <w:rPr>
                <w:w w:val="105"/>
                <w:sz w:val="3"/>
              </w:rPr>
              <w:t>Gaz; Hobby; Homecar; Hymer; Challenger;</w:t>
            </w:r>
          </w:p>
        </w:tc>
        <w:tc>
          <w:tcPr>
            <w:tcW w:w="958" w:type="dxa"/>
            <w:gridSpan w:val="2"/>
            <w:tcBorders>
              <w:top w:val="nil"/>
              <w:bottom w:val="nil"/>
            </w:tcBorders>
            <w:shd w:val="clear" w:color="auto" w:fill="FCE4D6"/>
          </w:tcPr>
          <w:p w14:paraId="3718C538"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4C52D447"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20A686F4" w14:textId="77777777" w:rsidR="00F65BCA" w:rsidRDefault="00F65BCA">
            <w:pPr>
              <w:pStyle w:val="TableParagraph"/>
              <w:rPr>
                <w:rFonts w:ascii="Times New Roman"/>
                <w:sz w:val="2"/>
              </w:rPr>
            </w:pPr>
          </w:p>
        </w:tc>
        <w:tc>
          <w:tcPr>
            <w:tcW w:w="50" w:type="dxa"/>
            <w:vMerge/>
            <w:tcBorders>
              <w:top w:val="nil"/>
              <w:bottom w:val="nil"/>
            </w:tcBorders>
          </w:tcPr>
          <w:p w14:paraId="2F940C58" w14:textId="77777777" w:rsidR="00F65BCA" w:rsidRDefault="00F65BCA">
            <w:pPr>
              <w:rPr>
                <w:sz w:val="2"/>
                <w:szCs w:val="2"/>
              </w:rPr>
            </w:pPr>
          </w:p>
        </w:tc>
        <w:tc>
          <w:tcPr>
            <w:tcW w:w="288" w:type="dxa"/>
            <w:tcBorders>
              <w:top w:val="nil"/>
              <w:bottom w:val="nil"/>
            </w:tcBorders>
          </w:tcPr>
          <w:p w14:paraId="5DAA4D4E" w14:textId="77777777" w:rsidR="00F65BCA" w:rsidRDefault="00F65BCA">
            <w:pPr>
              <w:pStyle w:val="TableParagraph"/>
              <w:rPr>
                <w:rFonts w:ascii="Times New Roman"/>
                <w:sz w:val="2"/>
              </w:rPr>
            </w:pPr>
          </w:p>
        </w:tc>
        <w:tc>
          <w:tcPr>
            <w:tcW w:w="288" w:type="dxa"/>
            <w:tcBorders>
              <w:top w:val="nil"/>
              <w:bottom w:val="nil"/>
            </w:tcBorders>
          </w:tcPr>
          <w:p w14:paraId="69649229" w14:textId="77777777" w:rsidR="00F65BCA" w:rsidRDefault="00F65BCA">
            <w:pPr>
              <w:pStyle w:val="TableParagraph"/>
              <w:rPr>
                <w:rFonts w:ascii="Times New Roman"/>
                <w:sz w:val="2"/>
              </w:rPr>
            </w:pPr>
          </w:p>
        </w:tc>
        <w:tc>
          <w:tcPr>
            <w:tcW w:w="288" w:type="dxa"/>
            <w:tcBorders>
              <w:top w:val="nil"/>
              <w:bottom w:val="nil"/>
            </w:tcBorders>
          </w:tcPr>
          <w:p w14:paraId="52480D27" w14:textId="77777777" w:rsidR="00F65BCA" w:rsidRDefault="00F65BCA">
            <w:pPr>
              <w:pStyle w:val="TableParagraph"/>
              <w:rPr>
                <w:rFonts w:ascii="Times New Roman"/>
                <w:sz w:val="2"/>
              </w:rPr>
            </w:pPr>
          </w:p>
        </w:tc>
        <w:tc>
          <w:tcPr>
            <w:tcW w:w="288" w:type="dxa"/>
            <w:tcBorders>
              <w:top w:val="nil"/>
              <w:bottom w:val="nil"/>
            </w:tcBorders>
          </w:tcPr>
          <w:p w14:paraId="312D7E57" w14:textId="77777777" w:rsidR="00F65BCA" w:rsidRDefault="00F65BCA">
            <w:pPr>
              <w:pStyle w:val="TableParagraph"/>
              <w:rPr>
                <w:rFonts w:ascii="Times New Roman"/>
                <w:sz w:val="2"/>
              </w:rPr>
            </w:pPr>
          </w:p>
        </w:tc>
        <w:tc>
          <w:tcPr>
            <w:tcW w:w="288" w:type="dxa"/>
            <w:tcBorders>
              <w:top w:val="nil"/>
              <w:bottom w:val="nil"/>
            </w:tcBorders>
          </w:tcPr>
          <w:p w14:paraId="39549C08" w14:textId="77777777" w:rsidR="00F65BCA" w:rsidRDefault="00F65BCA">
            <w:pPr>
              <w:pStyle w:val="TableParagraph"/>
              <w:rPr>
                <w:rFonts w:ascii="Times New Roman"/>
                <w:sz w:val="2"/>
              </w:rPr>
            </w:pPr>
          </w:p>
        </w:tc>
        <w:tc>
          <w:tcPr>
            <w:tcW w:w="288" w:type="dxa"/>
            <w:tcBorders>
              <w:top w:val="nil"/>
              <w:bottom w:val="nil"/>
            </w:tcBorders>
          </w:tcPr>
          <w:p w14:paraId="7DF2C33B" w14:textId="77777777" w:rsidR="00F65BCA" w:rsidRDefault="00F65BCA">
            <w:pPr>
              <w:pStyle w:val="TableParagraph"/>
              <w:rPr>
                <w:rFonts w:ascii="Times New Roman"/>
                <w:sz w:val="2"/>
              </w:rPr>
            </w:pPr>
          </w:p>
        </w:tc>
        <w:tc>
          <w:tcPr>
            <w:tcW w:w="288" w:type="dxa"/>
            <w:tcBorders>
              <w:top w:val="nil"/>
              <w:bottom w:val="nil"/>
            </w:tcBorders>
          </w:tcPr>
          <w:p w14:paraId="6538B6F3" w14:textId="77777777" w:rsidR="00F65BCA" w:rsidRDefault="00F65BCA">
            <w:pPr>
              <w:pStyle w:val="TableParagraph"/>
              <w:rPr>
                <w:rFonts w:ascii="Times New Roman"/>
                <w:sz w:val="2"/>
              </w:rPr>
            </w:pPr>
          </w:p>
        </w:tc>
        <w:tc>
          <w:tcPr>
            <w:tcW w:w="288" w:type="dxa"/>
            <w:tcBorders>
              <w:top w:val="nil"/>
              <w:bottom w:val="nil"/>
            </w:tcBorders>
          </w:tcPr>
          <w:p w14:paraId="4BCF86AE" w14:textId="77777777" w:rsidR="00F65BCA" w:rsidRDefault="00F65BCA">
            <w:pPr>
              <w:pStyle w:val="TableParagraph"/>
              <w:rPr>
                <w:rFonts w:ascii="Times New Roman"/>
                <w:sz w:val="2"/>
              </w:rPr>
            </w:pPr>
          </w:p>
        </w:tc>
        <w:tc>
          <w:tcPr>
            <w:tcW w:w="288" w:type="dxa"/>
            <w:tcBorders>
              <w:top w:val="nil"/>
              <w:bottom w:val="nil"/>
            </w:tcBorders>
          </w:tcPr>
          <w:p w14:paraId="736EAB75" w14:textId="77777777" w:rsidR="00F65BCA" w:rsidRDefault="00F65BCA">
            <w:pPr>
              <w:pStyle w:val="TableParagraph"/>
              <w:rPr>
                <w:rFonts w:ascii="Times New Roman"/>
                <w:sz w:val="2"/>
              </w:rPr>
            </w:pPr>
          </w:p>
        </w:tc>
        <w:tc>
          <w:tcPr>
            <w:tcW w:w="288" w:type="dxa"/>
            <w:tcBorders>
              <w:top w:val="nil"/>
              <w:bottom w:val="nil"/>
            </w:tcBorders>
          </w:tcPr>
          <w:p w14:paraId="77B49712" w14:textId="77777777" w:rsidR="00F65BCA" w:rsidRDefault="00F65BCA">
            <w:pPr>
              <w:pStyle w:val="TableParagraph"/>
              <w:rPr>
                <w:rFonts w:ascii="Times New Roman"/>
                <w:sz w:val="2"/>
              </w:rPr>
            </w:pPr>
          </w:p>
        </w:tc>
        <w:tc>
          <w:tcPr>
            <w:tcW w:w="288" w:type="dxa"/>
            <w:tcBorders>
              <w:top w:val="nil"/>
              <w:bottom w:val="nil"/>
            </w:tcBorders>
          </w:tcPr>
          <w:p w14:paraId="66147936" w14:textId="77777777" w:rsidR="00F65BCA" w:rsidRDefault="00F65BCA">
            <w:pPr>
              <w:pStyle w:val="TableParagraph"/>
              <w:rPr>
                <w:rFonts w:ascii="Times New Roman"/>
                <w:sz w:val="2"/>
              </w:rPr>
            </w:pPr>
          </w:p>
        </w:tc>
        <w:tc>
          <w:tcPr>
            <w:tcW w:w="288" w:type="dxa"/>
            <w:tcBorders>
              <w:top w:val="nil"/>
              <w:bottom w:val="nil"/>
            </w:tcBorders>
          </w:tcPr>
          <w:p w14:paraId="3A7AE735" w14:textId="77777777" w:rsidR="00F65BCA" w:rsidRDefault="00F65BCA">
            <w:pPr>
              <w:pStyle w:val="TableParagraph"/>
              <w:rPr>
                <w:rFonts w:ascii="Times New Roman"/>
                <w:sz w:val="2"/>
              </w:rPr>
            </w:pPr>
          </w:p>
        </w:tc>
        <w:tc>
          <w:tcPr>
            <w:tcW w:w="288" w:type="dxa"/>
            <w:tcBorders>
              <w:top w:val="nil"/>
              <w:bottom w:val="nil"/>
            </w:tcBorders>
          </w:tcPr>
          <w:p w14:paraId="1804A6E3" w14:textId="77777777" w:rsidR="00F65BCA" w:rsidRDefault="00F65BCA">
            <w:pPr>
              <w:pStyle w:val="TableParagraph"/>
              <w:rPr>
                <w:rFonts w:ascii="Times New Roman"/>
                <w:sz w:val="2"/>
              </w:rPr>
            </w:pPr>
          </w:p>
        </w:tc>
      </w:tr>
      <w:tr w:rsidR="00F65BCA" w14:paraId="2A180A11" w14:textId="77777777">
        <w:trPr>
          <w:trHeight w:val="15"/>
        </w:trPr>
        <w:tc>
          <w:tcPr>
            <w:tcW w:w="526" w:type="dxa"/>
            <w:vMerge/>
            <w:tcBorders>
              <w:top w:val="nil"/>
            </w:tcBorders>
            <w:shd w:val="clear" w:color="auto" w:fill="FCE4D6"/>
          </w:tcPr>
          <w:p w14:paraId="0E0945EB" w14:textId="77777777" w:rsidR="00F65BCA" w:rsidRDefault="00F65BCA">
            <w:pPr>
              <w:rPr>
                <w:sz w:val="2"/>
                <w:szCs w:val="2"/>
              </w:rPr>
            </w:pPr>
          </w:p>
        </w:tc>
        <w:tc>
          <w:tcPr>
            <w:tcW w:w="732" w:type="dxa"/>
            <w:vMerge w:val="restart"/>
            <w:tcBorders>
              <w:top w:val="nil"/>
              <w:bottom w:val="nil"/>
            </w:tcBorders>
            <w:shd w:val="clear" w:color="auto" w:fill="FCE4D6"/>
          </w:tcPr>
          <w:p w14:paraId="14CBF0E9" w14:textId="77777777" w:rsidR="00F65BCA" w:rsidRDefault="00216117">
            <w:pPr>
              <w:pStyle w:val="TableParagraph"/>
              <w:spacing w:line="15" w:lineRule="exact"/>
              <w:ind w:left="4"/>
              <w:rPr>
                <w:sz w:val="3"/>
              </w:rPr>
            </w:pPr>
            <w:r>
              <w:rPr>
                <w:w w:val="105"/>
                <w:sz w:val="3"/>
              </w:rPr>
              <w:t>Chausson; Knaus; Laika; MCC Smart; McLouis;</w:t>
            </w:r>
          </w:p>
        </w:tc>
        <w:tc>
          <w:tcPr>
            <w:tcW w:w="958" w:type="dxa"/>
            <w:gridSpan w:val="2"/>
            <w:tcBorders>
              <w:top w:val="nil"/>
            </w:tcBorders>
            <w:shd w:val="clear" w:color="auto" w:fill="FCE4D6"/>
          </w:tcPr>
          <w:p w14:paraId="6EE5D862" w14:textId="77777777" w:rsidR="00F65BCA" w:rsidRDefault="00F65BCA">
            <w:pPr>
              <w:pStyle w:val="TableParagraph"/>
              <w:rPr>
                <w:rFonts w:ascii="Times New Roman"/>
                <w:sz w:val="2"/>
              </w:rPr>
            </w:pPr>
          </w:p>
        </w:tc>
        <w:tc>
          <w:tcPr>
            <w:tcW w:w="576" w:type="dxa"/>
            <w:tcBorders>
              <w:top w:val="nil"/>
            </w:tcBorders>
            <w:shd w:val="clear" w:color="auto" w:fill="FCE4D6"/>
          </w:tcPr>
          <w:p w14:paraId="02AB1B38" w14:textId="77777777" w:rsidR="00F65BCA" w:rsidRDefault="00F65BCA">
            <w:pPr>
              <w:pStyle w:val="TableParagraph"/>
              <w:rPr>
                <w:rFonts w:ascii="Times New Roman"/>
                <w:sz w:val="2"/>
              </w:rPr>
            </w:pPr>
          </w:p>
        </w:tc>
        <w:tc>
          <w:tcPr>
            <w:tcW w:w="576" w:type="dxa"/>
            <w:tcBorders>
              <w:top w:val="nil"/>
            </w:tcBorders>
            <w:shd w:val="clear" w:color="auto" w:fill="FCE4D6"/>
          </w:tcPr>
          <w:p w14:paraId="793FF14E" w14:textId="77777777" w:rsidR="00F65BCA" w:rsidRDefault="00F65BCA">
            <w:pPr>
              <w:pStyle w:val="TableParagraph"/>
              <w:rPr>
                <w:rFonts w:ascii="Times New Roman"/>
                <w:sz w:val="2"/>
              </w:rPr>
            </w:pPr>
          </w:p>
        </w:tc>
        <w:tc>
          <w:tcPr>
            <w:tcW w:w="50" w:type="dxa"/>
            <w:vMerge/>
            <w:tcBorders>
              <w:top w:val="nil"/>
              <w:bottom w:val="nil"/>
            </w:tcBorders>
          </w:tcPr>
          <w:p w14:paraId="251945DC" w14:textId="77777777" w:rsidR="00F65BCA" w:rsidRDefault="00F65BCA">
            <w:pPr>
              <w:rPr>
                <w:sz w:val="2"/>
                <w:szCs w:val="2"/>
              </w:rPr>
            </w:pPr>
          </w:p>
        </w:tc>
        <w:tc>
          <w:tcPr>
            <w:tcW w:w="288" w:type="dxa"/>
            <w:tcBorders>
              <w:top w:val="nil"/>
            </w:tcBorders>
          </w:tcPr>
          <w:p w14:paraId="5599D187" w14:textId="77777777" w:rsidR="00F65BCA" w:rsidRDefault="00F65BCA">
            <w:pPr>
              <w:pStyle w:val="TableParagraph"/>
              <w:rPr>
                <w:rFonts w:ascii="Times New Roman"/>
                <w:sz w:val="2"/>
              </w:rPr>
            </w:pPr>
          </w:p>
        </w:tc>
        <w:tc>
          <w:tcPr>
            <w:tcW w:w="288" w:type="dxa"/>
            <w:tcBorders>
              <w:top w:val="nil"/>
            </w:tcBorders>
          </w:tcPr>
          <w:p w14:paraId="09080243" w14:textId="77777777" w:rsidR="00F65BCA" w:rsidRDefault="00F65BCA">
            <w:pPr>
              <w:pStyle w:val="TableParagraph"/>
              <w:rPr>
                <w:rFonts w:ascii="Times New Roman"/>
                <w:sz w:val="2"/>
              </w:rPr>
            </w:pPr>
          </w:p>
        </w:tc>
        <w:tc>
          <w:tcPr>
            <w:tcW w:w="288" w:type="dxa"/>
            <w:tcBorders>
              <w:top w:val="nil"/>
            </w:tcBorders>
          </w:tcPr>
          <w:p w14:paraId="134B6C21" w14:textId="77777777" w:rsidR="00F65BCA" w:rsidRDefault="00F65BCA">
            <w:pPr>
              <w:pStyle w:val="TableParagraph"/>
              <w:rPr>
                <w:rFonts w:ascii="Times New Roman"/>
                <w:sz w:val="2"/>
              </w:rPr>
            </w:pPr>
          </w:p>
        </w:tc>
        <w:tc>
          <w:tcPr>
            <w:tcW w:w="288" w:type="dxa"/>
            <w:tcBorders>
              <w:top w:val="nil"/>
            </w:tcBorders>
          </w:tcPr>
          <w:p w14:paraId="4F7FF2C6" w14:textId="77777777" w:rsidR="00F65BCA" w:rsidRDefault="00F65BCA">
            <w:pPr>
              <w:pStyle w:val="TableParagraph"/>
              <w:rPr>
                <w:rFonts w:ascii="Times New Roman"/>
                <w:sz w:val="2"/>
              </w:rPr>
            </w:pPr>
          </w:p>
        </w:tc>
        <w:tc>
          <w:tcPr>
            <w:tcW w:w="288" w:type="dxa"/>
            <w:tcBorders>
              <w:top w:val="nil"/>
            </w:tcBorders>
          </w:tcPr>
          <w:p w14:paraId="7A916606" w14:textId="77777777" w:rsidR="00F65BCA" w:rsidRDefault="00F65BCA">
            <w:pPr>
              <w:pStyle w:val="TableParagraph"/>
              <w:rPr>
                <w:rFonts w:ascii="Times New Roman"/>
                <w:sz w:val="2"/>
              </w:rPr>
            </w:pPr>
          </w:p>
        </w:tc>
        <w:tc>
          <w:tcPr>
            <w:tcW w:w="288" w:type="dxa"/>
            <w:tcBorders>
              <w:top w:val="nil"/>
            </w:tcBorders>
          </w:tcPr>
          <w:p w14:paraId="3703FB0D" w14:textId="77777777" w:rsidR="00F65BCA" w:rsidRDefault="00F65BCA">
            <w:pPr>
              <w:pStyle w:val="TableParagraph"/>
              <w:rPr>
                <w:rFonts w:ascii="Times New Roman"/>
                <w:sz w:val="2"/>
              </w:rPr>
            </w:pPr>
          </w:p>
        </w:tc>
        <w:tc>
          <w:tcPr>
            <w:tcW w:w="288" w:type="dxa"/>
            <w:tcBorders>
              <w:top w:val="nil"/>
            </w:tcBorders>
          </w:tcPr>
          <w:p w14:paraId="2EC2F9C4" w14:textId="77777777" w:rsidR="00F65BCA" w:rsidRDefault="00F65BCA">
            <w:pPr>
              <w:pStyle w:val="TableParagraph"/>
              <w:rPr>
                <w:rFonts w:ascii="Times New Roman"/>
                <w:sz w:val="2"/>
              </w:rPr>
            </w:pPr>
          </w:p>
        </w:tc>
        <w:tc>
          <w:tcPr>
            <w:tcW w:w="288" w:type="dxa"/>
            <w:tcBorders>
              <w:top w:val="nil"/>
            </w:tcBorders>
          </w:tcPr>
          <w:p w14:paraId="08F49818" w14:textId="77777777" w:rsidR="00F65BCA" w:rsidRDefault="00F65BCA">
            <w:pPr>
              <w:pStyle w:val="TableParagraph"/>
              <w:rPr>
                <w:rFonts w:ascii="Times New Roman"/>
                <w:sz w:val="2"/>
              </w:rPr>
            </w:pPr>
          </w:p>
        </w:tc>
        <w:tc>
          <w:tcPr>
            <w:tcW w:w="288" w:type="dxa"/>
            <w:tcBorders>
              <w:top w:val="nil"/>
            </w:tcBorders>
          </w:tcPr>
          <w:p w14:paraId="2A7B7390" w14:textId="77777777" w:rsidR="00F65BCA" w:rsidRDefault="00F65BCA">
            <w:pPr>
              <w:pStyle w:val="TableParagraph"/>
              <w:rPr>
                <w:rFonts w:ascii="Times New Roman"/>
                <w:sz w:val="2"/>
              </w:rPr>
            </w:pPr>
          </w:p>
        </w:tc>
        <w:tc>
          <w:tcPr>
            <w:tcW w:w="288" w:type="dxa"/>
            <w:tcBorders>
              <w:top w:val="nil"/>
            </w:tcBorders>
          </w:tcPr>
          <w:p w14:paraId="5D0D208B" w14:textId="77777777" w:rsidR="00F65BCA" w:rsidRDefault="00F65BCA">
            <w:pPr>
              <w:pStyle w:val="TableParagraph"/>
              <w:rPr>
                <w:rFonts w:ascii="Times New Roman"/>
                <w:sz w:val="2"/>
              </w:rPr>
            </w:pPr>
          </w:p>
        </w:tc>
        <w:tc>
          <w:tcPr>
            <w:tcW w:w="288" w:type="dxa"/>
            <w:tcBorders>
              <w:top w:val="nil"/>
            </w:tcBorders>
          </w:tcPr>
          <w:p w14:paraId="5BA66E67" w14:textId="77777777" w:rsidR="00F65BCA" w:rsidRDefault="00F65BCA">
            <w:pPr>
              <w:pStyle w:val="TableParagraph"/>
              <w:rPr>
                <w:rFonts w:ascii="Times New Roman"/>
                <w:sz w:val="2"/>
              </w:rPr>
            </w:pPr>
          </w:p>
        </w:tc>
        <w:tc>
          <w:tcPr>
            <w:tcW w:w="288" w:type="dxa"/>
            <w:tcBorders>
              <w:top w:val="nil"/>
            </w:tcBorders>
          </w:tcPr>
          <w:p w14:paraId="1AE65391" w14:textId="77777777" w:rsidR="00F65BCA" w:rsidRDefault="00F65BCA">
            <w:pPr>
              <w:pStyle w:val="TableParagraph"/>
              <w:rPr>
                <w:rFonts w:ascii="Times New Roman"/>
                <w:sz w:val="2"/>
              </w:rPr>
            </w:pPr>
          </w:p>
        </w:tc>
        <w:tc>
          <w:tcPr>
            <w:tcW w:w="288" w:type="dxa"/>
            <w:tcBorders>
              <w:top w:val="nil"/>
            </w:tcBorders>
          </w:tcPr>
          <w:p w14:paraId="1120959B" w14:textId="77777777" w:rsidR="00F65BCA" w:rsidRDefault="00F65BCA">
            <w:pPr>
              <w:pStyle w:val="TableParagraph"/>
              <w:rPr>
                <w:rFonts w:ascii="Times New Roman"/>
                <w:sz w:val="2"/>
              </w:rPr>
            </w:pPr>
          </w:p>
        </w:tc>
      </w:tr>
      <w:tr w:rsidR="00F65BCA" w14:paraId="36795CF5" w14:textId="77777777">
        <w:trPr>
          <w:trHeight w:val="7"/>
        </w:trPr>
        <w:tc>
          <w:tcPr>
            <w:tcW w:w="526" w:type="dxa"/>
            <w:vMerge/>
            <w:tcBorders>
              <w:top w:val="nil"/>
            </w:tcBorders>
            <w:shd w:val="clear" w:color="auto" w:fill="FCE4D6"/>
          </w:tcPr>
          <w:p w14:paraId="7746EED6" w14:textId="77777777" w:rsidR="00F65BCA" w:rsidRDefault="00F65BCA">
            <w:pPr>
              <w:rPr>
                <w:sz w:val="2"/>
                <w:szCs w:val="2"/>
              </w:rPr>
            </w:pPr>
          </w:p>
        </w:tc>
        <w:tc>
          <w:tcPr>
            <w:tcW w:w="732" w:type="dxa"/>
            <w:vMerge/>
            <w:tcBorders>
              <w:top w:val="nil"/>
              <w:bottom w:val="nil"/>
            </w:tcBorders>
            <w:shd w:val="clear" w:color="auto" w:fill="FCE4D6"/>
          </w:tcPr>
          <w:p w14:paraId="77457E93" w14:textId="77777777" w:rsidR="00F65BCA" w:rsidRDefault="00F65BCA">
            <w:pPr>
              <w:rPr>
                <w:sz w:val="2"/>
                <w:szCs w:val="2"/>
              </w:rPr>
            </w:pPr>
          </w:p>
        </w:tc>
        <w:tc>
          <w:tcPr>
            <w:tcW w:w="958" w:type="dxa"/>
            <w:gridSpan w:val="2"/>
            <w:tcBorders>
              <w:bottom w:val="nil"/>
            </w:tcBorders>
            <w:shd w:val="clear" w:color="auto" w:fill="FCE4D6"/>
          </w:tcPr>
          <w:p w14:paraId="4015D0E7" w14:textId="77777777" w:rsidR="00F65BCA" w:rsidRDefault="00F65BCA">
            <w:pPr>
              <w:pStyle w:val="TableParagraph"/>
              <w:rPr>
                <w:rFonts w:ascii="Times New Roman"/>
                <w:sz w:val="2"/>
              </w:rPr>
            </w:pPr>
          </w:p>
        </w:tc>
        <w:tc>
          <w:tcPr>
            <w:tcW w:w="576" w:type="dxa"/>
            <w:tcBorders>
              <w:bottom w:val="nil"/>
            </w:tcBorders>
            <w:shd w:val="clear" w:color="auto" w:fill="FCE4D6"/>
          </w:tcPr>
          <w:p w14:paraId="1FFBFF5E" w14:textId="77777777" w:rsidR="00F65BCA" w:rsidRDefault="00F65BCA">
            <w:pPr>
              <w:pStyle w:val="TableParagraph"/>
              <w:rPr>
                <w:rFonts w:ascii="Times New Roman"/>
                <w:sz w:val="2"/>
              </w:rPr>
            </w:pPr>
          </w:p>
        </w:tc>
        <w:tc>
          <w:tcPr>
            <w:tcW w:w="576" w:type="dxa"/>
            <w:tcBorders>
              <w:bottom w:val="nil"/>
            </w:tcBorders>
            <w:shd w:val="clear" w:color="auto" w:fill="FCE4D6"/>
          </w:tcPr>
          <w:p w14:paraId="21807DA3" w14:textId="77777777" w:rsidR="00F65BCA" w:rsidRDefault="00F65BCA">
            <w:pPr>
              <w:pStyle w:val="TableParagraph"/>
              <w:rPr>
                <w:rFonts w:ascii="Times New Roman"/>
                <w:sz w:val="2"/>
              </w:rPr>
            </w:pPr>
          </w:p>
        </w:tc>
        <w:tc>
          <w:tcPr>
            <w:tcW w:w="50" w:type="dxa"/>
            <w:vMerge/>
            <w:tcBorders>
              <w:top w:val="nil"/>
              <w:bottom w:val="nil"/>
            </w:tcBorders>
          </w:tcPr>
          <w:p w14:paraId="59608A70" w14:textId="77777777" w:rsidR="00F65BCA" w:rsidRDefault="00F65BCA">
            <w:pPr>
              <w:rPr>
                <w:sz w:val="2"/>
                <w:szCs w:val="2"/>
              </w:rPr>
            </w:pPr>
          </w:p>
        </w:tc>
        <w:tc>
          <w:tcPr>
            <w:tcW w:w="288" w:type="dxa"/>
            <w:tcBorders>
              <w:bottom w:val="nil"/>
            </w:tcBorders>
          </w:tcPr>
          <w:p w14:paraId="67ABDBAD" w14:textId="77777777" w:rsidR="00F65BCA" w:rsidRDefault="00F65BCA">
            <w:pPr>
              <w:pStyle w:val="TableParagraph"/>
              <w:rPr>
                <w:rFonts w:ascii="Times New Roman"/>
                <w:sz w:val="2"/>
              </w:rPr>
            </w:pPr>
          </w:p>
        </w:tc>
        <w:tc>
          <w:tcPr>
            <w:tcW w:w="288" w:type="dxa"/>
            <w:tcBorders>
              <w:bottom w:val="nil"/>
            </w:tcBorders>
          </w:tcPr>
          <w:p w14:paraId="471778C1" w14:textId="77777777" w:rsidR="00F65BCA" w:rsidRDefault="00F65BCA">
            <w:pPr>
              <w:pStyle w:val="TableParagraph"/>
              <w:rPr>
                <w:rFonts w:ascii="Times New Roman"/>
                <w:sz w:val="2"/>
              </w:rPr>
            </w:pPr>
          </w:p>
        </w:tc>
        <w:tc>
          <w:tcPr>
            <w:tcW w:w="288" w:type="dxa"/>
            <w:tcBorders>
              <w:bottom w:val="nil"/>
            </w:tcBorders>
          </w:tcPr>
          <w:p w14:paraId="6A805615" w14:textId="77777777" w:rsidR="00F65BCA" w:rsidRDefault="00F65BCA">
            <w:pPr>
              <w:pStyle w:val="TableParagraph"/>
              <w:rPr>
                <w:rFonts w:ascii="Times New Roman"/>
                <w:sz w:val="2"/>
              </w:rPr>
            </w:pPr>
          </w:p>
        </w:tc>
        <w:tc>
          <w:tcPr>
            <w:tcW w:w="288" w:type="dxa"/>
            <w:tcBorders>
              <w:bottom w:val="nil"/>
            </w:tcBorders>
          </w:tcPr>
          <w:p w14:paraId="587358E4" w14:textId="77777777" w:rsidR="00F65BCA" w:rsidRDefault="00F65BCA">
            <w:pPr>
              <w:pStyle w:val="TableParagraph"/>
              <w:rPr>
                <w:rFonts w:ascii="Times New Roman"/>
                <w:sz w:val="2"/>
              </w:rPr>
            </w:pPr>
          </w:p>
        </w:tc>
        <w:tc>
          <w:tcPr>
            <w:tcW w:w="288" w:type="dxa"/>
            <w:tcBorders>
              <w:bottom w:val="nil"/>
            </w:tcBorders>
          </w:tcPr>
          <w:p w14:paraId="5C2606EE" w14:textId="77777777" w:rsidR="00F65BCA" w:rsidRDefault="00F65BCA">
            <w:pPr>
              <w:pStyle w:val="TableParagraph"/>
              <w:rPr>
                <w:rFonts w:ascii="Times New Roman"/>
                <w:sz w:val="2"/>
              </w:rPr>
            </w:pPr>
          </w:p>
        </w:tc>
        <w:tc>
          <w:tcPr>
            <w:tcW w:w="288" w:type="dxa"/>
            <w:tcBorders>
              <w:bottom w:val="nil"/>
            </w:tcBorders>
          </w:tcPr>
          <w:p w14:paraId="39E4CC13" w14:textId="77777777" w:rsidR="00F65BCA" w:rsidRDefault="00F65BCA">
            <w:pPr>
              <w:pStyle w:val="TableParagraph"/>
              <w:rPr>
                <w:rFonts w:ascii="Times New Roman"/>
                <w:sz w:val="2"/>
              </w:rPr>
            </w:pPr>
          </w:p>
        </w:tc>
        <w:tc>
          <w:tcPr>
            <w:tcW w:w="288" w:type="dxa"/>
            <w:tcBorders>
              <w:bottom w:val="nil"/>
            </w:tcBorders>
          </w:tcPr>
          <w:p w14:paraId="1975D929" w14:textId="77777777" w:rsidR="00F65BCA" w:rsidRDefault="00F65BCA">
            <w:pPr>
              <w:pStyle w:val="TableParagraph"/>
              <w:rPr>
                <w:rFonts w:ascii="Times New Roman"/>
                <w:sz w:val="2"/>
              </w:rPr>
            </w:pPr>
          </w:p>
        </w:tc>
        <w:tc>
          <w:tcPr>
            <w:tcW w:w="288" w:type="dxa"/>
            <w:tcBorders>
              <w:bottom w:val="nil"/>
            </w:tcBorders>
          </w:tcPr>
          <w:p w14:paraId="5918AEB8" w14:textId="77777777" w:rsidR="00F65BCA" w:rsidRDefault="00F65BCA">
            <w:pPr>
              <w:pStyle w:val="TableParagraph"/>
              <w:rPr>
                <w:rFonts w:ascii="Times New Roman"/>
                <w:sz w:val="2"/>
              </w:rPr>
            </w:pPr>
          </w:p>
        </w:tc>
        <w:tc>
          <w:tcPr>
            <w:tcW w:w="288" w:type="dxa"/>
            <w:tcBorders>
              <w:bottom w:val="nil"/>
            </w:tcBorders>
          </w:tcPr>
          <w:p w14:paraId="22F3A4DC" w14:textId="77777777" w:rsidR="00F65BCA" w:rsidRDefault="00F65BCA">
            <w:pPr>
              <w:pStyle w:val="TableParagraph"/>
              <w:rPr>
                <w:rFonts w:ascii="Times New Roman"/>
                <w:sz w:val="2"/>
              </w:rPr>
            </w:pPr>
          </w:p>
        </w:tc>
        <w:tc>
          <w:tcPr>
            <w:tcW w:w="288" w:type="dxa"/>
            <w:tcBorders>
              <w:bottom w:val="nil"/>
            </w:tcBorders>
          </w:tcPr>
          <w:p w14:paraId="7808417E" w14:textId="77777777" w:rsidR="00F65BCA" w:rsidRDefault="00F65BCA">
            <w:pPr>
              <w:pStyle w:val="TableParagraph"/>
              <w:rPr>
                <w:rFonts w:ascii="Times New Roman"/>
                <w:sz w:val="2"/>
              </w:rPr>
            </w:pPr>
          </w:p>
        </w:tc>
        <w:tc>
          <w:tcPr>
            <w:tcW w:w="288" w:type="dxa"/>
            <w:tcBorders>
              <w:bottom w:val="nil"/>
            </w:tcBorders>
          </w:tcPr>
          <w:p w14:paraId="6FC57A1A" w14:textId="77777777" w:rsidR="00F65BCA" w:rsidRDefault="00F65BCA">
            <w:pPr>
              <w:pStyle w:val="TableParagraph"/>
              <w:rPr>
                <w:rFonts w:ascii="Times New Roman"/>
                <w:sz w:val="2"/>
              </w:rPr>
            </w:pPr>
          </w:p>
        </w:tc>
        <w:tc>
          <w:tcPr>
            <w:tcW w:w="288" w:type="dxa"/>
            <w:tcBorders>
              <w:bottom w:val="nil"/>
            </w:tcBorders>
          </w:tcPr>
          <w:p w14:paraId="05EA370D" w14:textId="77777777" w:rsidR="00F65BCA" w:rsidRDefault="00F65BCA">
            <w:pPr>
              <w:pStyle w:val="TableParagraph"/>
              <w:rPr>
                <w:rFonts w:ascii="Times New Roman"/>
                <w:sz w:val="2"/>
              </w:rPr>
            </w:pPr>
          </w:p>
        </w:tc>
        <w:tc>
          <w:tcPr>
            <w:tcW w:w="288" w:type="dxa"/>
            <w:tcBorders>
              <w:bottom w:val="nil"/>
            </w:tcBorders>
          </w:tcPr>
          <w:p w14:paraId="054EAE17" w14:textId="77777777" w:rsidR="00F65BCA" w:rsidRDefault="00F65BCA">
            <w:pPr>
              <w:pStyle w:val="TableParagraph"/>
              <w:rPr>
                <w:rFonts w:ascii="Times New Roman"/>
                <w:sz w:val="2"/>
              </w:rPr>
            </w:pPr>
          </w:p>
        </w:tc>
      </w:tr>
      <w:tr w:rsidR="00F65BCA" w14:paraId="3F5DEF7C" w14:textId="77777777">
        <w:trPr>
          <w:trHeight w:val="20"/>
        </w:trPr>
        <w:tc>
          <w:tcPr>
            <w:tcW w:w="526" w:type="dxa"/>
            <w:vMerge/>
            <w:tcBorders>
              <w:top w:val="nil"/>
            </w:tcBorders>
            <w:shd w:val="clear" w:color="auto" w:fill="FCE4D6"/>
          </w:tcPr>
          <w:p w14:paraId="68EFEA1C" w14:textId="77777777" w:rsidR="00F65BCA" w:rsidRDefault="00F65BCA">
            <w:pPr>
              <w:rPr>
                <w:sz w:val="2"/>
                <w:szCs w:val="2"/>
              </w:rPr>
            </w:pPr>
          </w:p>
        </w:tc>
        <w:tc>
          <w:tcPr>
            <w:tcW w:w="732" w:type="dxa"/>
            <w:tcBorders>
              <w:top w:val="nil"/>
              <w:bottom w:val="nil"/>
            </w:tcBorders>
            <w:shd w:val="clear" w:color="auto" w:fill="FCE4D6"/>
          </w:tcPr>
          <w:p w14:paraId="56F51C79" w14:textId="77777777" w:rsidR="00F65BCA" w:rsidRDefault="00216117">
            <w:pPr>
              <w:pStyle w:val="TableParagraph"/>
              <w:spacing w:line="1" w:lineRule="exact"/>
              <w:ind w:left="4"/>
              <w:rPr>
                <w:sz w:val="3"/>
              </w:rPr>
            </w:pPr>
            <w:r>
              <w:rPr>
                <w:w w:val="105"/>
                <w:sz w:val="3"/>
              </w:rPr>
              <w:t>Miller; Mini; Mitsubishi Fuso; Mobilvetta; Pilote;</w:t>
            </w:r>
          </w:p>
        </w:tc>
        <w:tc>
          <w:tcPr>
            <w:tcW w:w="958" w:type="dxa"/>
            <w:gridSpan w:val="2"/>
            <w:tcBorders>
              <w:top w:val="nil"/>
              <w:bottom w:val="nil"/>
            </w:tcBorders>
            <w:shd w:val="clear" w:color="auto" w:fill="FCE4D6"/>
          </w:tcPr>
          <w:p w14:paraId="145221CE"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2DE79921"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28EA50CB" w14:textId="77777777" w:rsidR="00F65BCA" w:rsidRDefault="00F65BCA">
            <w:pPr>
              <w:pStyle w:val="TableParagraph"/>
              <w:rPr>
                <w:rFonts w:ascii="Times New Roman"/>
                <w:sz w:val="2"/>
              </w:rPr>
            </w:pPr>
          </w:p>
        </w:tc>
        <w:tc>
          <w:tcPr>
            <w:tcW w:w="50" w:type="dxa"/>
            <w:vMerge/>
            <w:tcBorders>
              <w:top w:val="nil"/>
              <w:bottom w:val="nil"/>
            </w:tcBorders>
          </w:tcPr>
          <w:p w14:paraId="402A525D" w14:textId="77777777" w:rsidR="00F65BCA" w:rsidRDefault="00F65BCA">
            <w:pPr>
              <w:rPr>
                <w:sz w:val="2"/>
                <w:szCs w:val="2"/>
              </w:rPr>
            </w:pPr>
          </w:p>
        </w:tc>
        <w:tc>
          <w:tcPr>
            <w:tcW w:w="288" w:type="dxa"/>
            <w:tcBorders>
              <w:top w:val="nil"/>
              <w:bottom w:val="nil"/>
            </w:tcBorders>
          </w:tcPr>
          <w:p w14:paraId="32A692BA" w14:textId="77777777" w:rsidR="00F65BCA" w:rsidRDefault="00F65BCA">
            <w:pPr>
              <w:pStyle w:val="TableParagraph"/>
              <w:rPr>
                <w:rFonts w:ascii="Times New Roman"/>
                <w:sz w:val="2"/>
              </w:rPr>
            </w:pPr>
          </w:p>
        </w:tc>
        <w:tc>
          <w:tcPr>
            <w:tcW w:w="288" w:type="dxa"/>
            <w:tcBorders>
              <w:top w:val="nil"/>
              <w:bottom w:val="nil"/>
            </w:tcBorders>
          </w:tcPr>
          <w:p w14:paraId="3B57B459" w14:textId="77777777" w:rsidR="00F65BCA" w:rsidRDefault="00F65BCA">
            <w:pPr>
              <w:pStyle w:val="TableParagraph"/>
              <w:rPr>
                <w:rFonts w:ascii="Times New Roman"/>
                <w:sz w:val="2"/>
              </w:rPr>
            </w:pPr>
          </w:p>
        </w:tc>
        <w:tc>
          <w:tcPr>
            <w:tcW w:w="288" w:type="dxa"/>
            <w:tcBorders>
              <w:top w:val="nil"/>
              <w:bottom w:val="nil"/>
            </w:tcBorders>
          </w:tcPr>
          <w:p w14:paraId="2EAE9ED0" w14:textId="77777777" w:rsidR="00F65BCA" w:rsidRDefault="00F65BCA">
            <w:pPr>
              <w:pStyle w:val="TableParagraph"/>
              <w:rPr>
                <w:rFonts w:ascii="Times New Roman"/>
                <w:sz w:val="2"/>
              </w:rPr>
            </w:pPr>
          </w:p>
        </w:tc>
        <w:tc>
          <w:tcPr>
            <w:tcW w:w="288" w:type="dxa"/>
            <w:tcBorders>
              <w:top w:val="nil"/>
              <w:bottom w:val="nil"/>
            </w:tcBorders>
          </w:tcPr>
          <w:p w14:paraId="7C0F5B4A" w14:textId="77777777" w:rsidR="00F65BCA" w:rsidRDefault="00F65BCA">
            <w:pPr>
              <w:pStyle w:val="TableParagraph"/>
              <w:rPr>
                <w:rFonts w:ascii="Times New Roman"/>
                <w:sz w:val="2"/>
              </w:rPr>
            </w:pPr>
          </w:p>
        </w:tc>
        <w:tc>
          <w:tcPr>
            <w:tcW w:w="288" w:type="dxa"/>
            <w:tcBorders>
              <w:top w:val="nil"/>
              <w:bottom w:val="nil"/>
            </w:tcBorders>
          </w:tcPr>
          <w:p w14:paraId="742E1BE4" w14:textId="77777777" w:rsidR="00F65BCA" w:rsidRDefault="00F65BCA">
            <w:pPr>
              <w:pStyle w:val="TableParagraph"/>
              <w:rPr>
                <w:rFonts w:ascii="Times New Roman"/>
                <w:sz w:val="2"/>
              </w:rPr>
            </w:pPr>
          </w:p>
        </w:tc>
        <w:tc>
          <w:tcPr>
            <w:tcW w:w="288" w:type="dxa"/>
            <w:tcBorders>
              <w:top w:val="nil"/>
              <w:bottom w:val="nil"/>
            </w:tcBorders>
          </w:tcPr>
          <w:p w14:paraId="27F0FD54" w14:textId="77777777" w:rsidR="00F65BCA" w:rsidRDefault="00F65BCA">
            <w:pPr>
              <w:pStyle w:val="TableParagraph"/>
              <w:rPr>
                <w:rFonts w:ascii="Times New Roman"/>
                <w:sz w:val="2"/>
              </w:rPr>
            </w:pPr>
          </w:p>
        </w:tc>
        <w:tc>
          <w:tcPr>
            <w:tcW w:w="288" w:type="dxa"/>
            <w:tcBorders>
              <w:top w:val="nil"/>
              <w:bottom w:val="nil"/>
            </w:tcBorders>
          </w:tcPr>
          <w:p w14:paraId="633350F6" w14:textId="77777777" w:rsidR="00F65BCA" w:rsidRDefault="00F65BCA">
            <w:pPr>
              <w:pStyle w:val="TableParagraph"/>
              <w:rPr>
                <w:rFonts w:ascii="Times New Roman"/>
                <w:sz w:val="2"/>
              </w:rPr>
            </w:pPr>
          </w:p>
        </w:tc>
        <w:tc>
          <w:tcPr>
            <w:tcW w:w="288" w:type="dxa"/>
            <w:tcBorders>
              <w:top w:val="nil"/>
              <w:bottom w:val="nil"/>
            </w:tcBorders>
          </w:tcPr>
          <w:p w14:paraId="42B5D837" w14:textId="77777777" w:rsidR="00F65BCA" w:rsidRDefault="00F65BCA">
            <w:pPr>
              <w:pStyle w:val="TableParagraph"/>
              <w:rPr>
                <w:rFonts w:ascii="Times New Roman"/>
                <w:sz w:val="2"/>
              </w:rPr>
            </w:pPr>
          </w:p>
        </w:tc>
        <w:tc>
          <w:tcPr>
            <w:tcW w:w="288" w:type="dxa"/>
            <w:tcBorders>
              <w:top w:val="nil"/>
              <w:bottom w:val="nil"/>
            </w:tcBorders>
          </w:tcPr>
          <w:p w14:paraId="55349091" w14:textId="77777777" w:rsidR="00F65BCA" w:rsidRDefault="00F65BCA">
            <w:pPr>
              <w:pStyle w:val="TableParagraph"/>
              <w:rPr>
                <w:rFonts w:ascii="Times New Roman"/>
                <w:sz w:val="2"/>
              </w:rPr>
            </w:pPr>
          </w:p>
        </w:tc>
        <w:tc>
          <w:tcPr>
            <w:tcW w:w="288" w:type="dxa"/>
            <w:tcBorders>
              <w:top w:val="nil"/>
              <w:bottom w:val="nil"/>
            </w:tcBorders>
          </w:tcPr>
          <w:p w14:paraId="5C9AFBAB" w14:textId="77777777" w:rsidR="00F65BCA" w:rsidRDefault="00F65BCA">
            <w:pPr>
              <w:pStyle w:val="TableParagraph"/>
              <w:rPr>
                <w:rFonts w:ascii="Times New Roman"/>
                <w:sz w:val="2"/>
              </w:rPr>
            </w:pPr>
          </w:p>
        </w:tc>
        <w:tc>
          <w:tcPr>
            <w:tcW w:w="288" w:type="dxa"/>
            <w:tcBorders>
              <w:top w:val="nil"/>
              <w:bottom w:val="nil"/>
            </w:tcBorders>
          </w:tcPr>
          <w:p w14:paraId="40B5A5AA" w14:textId="77777777" w:rsidR="00F65BCA" w:rsidRDefault="00F65BCA">
            <w:pPr>
              <w:pStyle w:val="TableParagraph"/>
              <w:rPr>
                <w:rFonts w:ascii="Times New Roman"/>
                <w:sz w:val="2"/>
              </w:rPr>
            </w:pPr>
          </w:p>
        </w:tc>
        <w:tc>
          <w:tcPr>
            <w:tcW w:w="288" w:type="dxa"/>
            <w:tcBorders>
              <w:top w:val="nil"/>
              <w:bottom w:val="nil"/>
            </w:tcBorders>
          </w:tcPr>
          <w:p w14:paraId="13A13CBB" w14:textId="77777777" w:rsidR="00F65BCA" w:rsidRDefault="00F65BCA">
            <w:pPr>
              <w:pStyle w:val="TableParagraph"/>
              <w:rPr>
                <w:rFonts w:ascii="Times New Roman"/>
                <w:sz w:val="2"/>
              </w:rPr>
            </w:pPr>
          </w:p>
        </w:tc>
        <w:tc>
          <w:tcPr>
            <w:tcW w:w="288" w:type="dxa"/>
            <w:tcBorders>
              <w:top w:val="nil"/>
              <w:bottom w:val="nil"/>
            </w:tcBorders>
          </w:tcPr>
          <w:p w14:paraId="2BA3A0D6" w14:textId="77777777" w:rsidR="00F65BCA" w:rsidRDefault="00F65BCA">
            <w:pPr>
              <w:pStyle w:val="TableParagraph"/>
              <w:rPr>
                <w:rFonts w:ascii="Times New Roman"/>
                <w:sz w:val="2"/>
              </w:rPr>
            </w:pPr>
          </w:p>
        </w:tc>
      </w:tr>
      <w:tr w:rsidR="00F65BCA" w14:paraId="1734BE7D" w14:textId="77777777">
        <w:trPr>
          <w:trHeight w:val="74"/>
        </w:trPr>
        <w:tc>
          <w:tcPr>
            <w:tcW w:w="526" w:type="dxa"/>
            <w:vMerge/>
            <w:tcBorders>
              <w:top w:val="nil"/>
            </w:tcBorders>
            <w:shd w:val="clear" w:color="auto" w:fill="FCE4D6"/>
          </w:tcPr>
          <w:p w14:paraId="11B9354D" w14:textId="77777777" w:rsidR="00F65BCA" w:rsidRDefault="00F65BCA">
            <w:pPr>
              <w:rPr>
                <w:sz w:val="2"/>
                <w:szCs w:val="2"/>
              </w:rPr>
            </w:pPr>
          </w:p>
        </w:tc>
        <w:tc>
          <w:tcPr>
            <w:tcW w:w="732" w:type="dxa"/>
            <w:tcBorders>
              <w:top w:val="nil"/>
              <w:bottom w:val="nil"/>
            </w:tcBorders>
            <w:shd w:val="clear" w:color="auto" w:fill="FCE4D6"/>
          </w:tcPr>
          <w:p w14:paraId="093E88DE" w14:textId="77777777" w:rsidR="00F65BCA" w:rsidRDefault="00216117">
            <w:pPr>
              <w:pStyle w:val="TableParagraph"/>
              <w:spacing w:line="33" w:lineRule="exact"/>
              <w:ind w:left="4"/>
              <w:rPr>
                <w:sz w:val="3"/>
              </w:rPr>
            </w:pPr>
            <w:r>
              <w:rPr>
                <w:w w:val="105"/>
                <w:sz w:val="3"/>
              </w:rPr>
              <w:t>PLA; Possl; Rapido; Rimor; Roller team; Rover;</w:t>
            </w:r>
          </w:p>
          <w:p w14:paraId="3F156179" w14:textId="77777777" w:rsidR="00F65BCA" w:rsidRDefault="00216117">
            <w:pPr>
              <w:pStyle w:val="TableParagraph"/>
              <w:spacing w:before="6" w:line="15" w:lineRule="exact"/>
              <w:ind w:left="4"/>
              <w:rPr>
                <w:sz w:val="3"/>
              </w:rPr>
            </w:pPr>
            <w:r>
              <w:rPr>
                <w:w w:val="105"/>
                <w:sz w:val="3"/>
              </w:rPr>
              <w:t>Saab; SEA; Seat; Smart; SsangYong; Subaru; Tec;</w:t>
            </w:r>
          </w:p>
        </w:tc>
        <w:tc>
          <w:tcPr>
            <w:tcW w:w="958" w:type="dxa"/>
            <w:gridSpan w:val="2"/>
            <w:tcBorders>
              <w:top w:val="nil"/>
              <w:bottom w:val="nil"/>
            </w:tcBorders>
            <w:shd w:val="clear" w:color="auto" w:fill="FCE4D6"/>
          </w:tcPr>
          <w:p w14:paraId="32493AF8" w14:textId="77777777" w:rsidR="00F65BCA" w:rsidRDefault="00F65BCA">
            <w:pPr>
              <w:pStyle w:val="TableParagraph"/>
              <w:rPr>
                <w:rFonts w:ascii="Calibri"/>
                <w:sz w:val="2"/>
              </w:rPr>
            </w:pPr>
          </w:p>
          <w:p w14:paraId="3E681808" w14:textId="77777777" w:rsidR="00F65BCA" w:rsidRDefault="00216117">
            <w:pPr>
              <w:pStyle w:val="TableParagraph"/>
              <w:ind w:left="1"/>
              <w:jc w:val="center"/>
              <w:rPr>
                <w:sz w:val="3"/>
              </w:rPr>
            </w:pPr>
            <w:r>
              <w:rPr>
                <w:w w:val="103"/>
                <w:sz w:val="3"/>
              </w:rPr>
              <w:t>-</w:t>
            </w:r>
          </w:p>
        </w:tc>
        <w:tc>
          <w:tcPr>
            <w:tcW w:w="576" w:type="dxa"/>
            <w:tcBorders>
              <w:top w:val="nil"/>
              <w:bottom w:val="nil"/>
            </w:tcBorders>
            <w:shd w:val="clear" w:color="auto" w:fill="FCE4D6"/>
          </w:tcPr>
          <w:p w14:paraId="3A6EBFE0" w14:textId="77777777" w:rsidR="00F65BCA" w:rsidRDefault="00F65BCA">
            <w:pPr>
              <w:pStyle w:val="TableParagraph"/>
              <w:rPr>
                <w:rFonts w:ascii="Calibri"/>
                <w:sz w:val="2"/>
              </w:rPr>
            </w:pPr>
          </w:p>
          <w:p w14:paraId="45C3CD77" w14:textId="77777777" w:rsidR="00F65BCA" w:rsidRDefault="00216117">
            <w:pPr>
              <w:pStyle w:val="TableParagraph"/>
              <w:ind w:left="128" w:right="128"/>
              <w:jc w:val="center"/>
              <w:rPr>
                <w:sz w:val="3"/>
              </w:rPr>
            </w:pPr>
            <w:r>
              <w:rPr>
                <w:w w:val="105"/>
                <w:sz w:val="3"/>
              </w:rPr>
              <w:t>&gt;1000 ccm</w:t>
            </w:r>
          </w:p>
        </w:tc>
        <w:tc>
          <w:tcPr>
            <w:tcW w:w="576" w:type="dxa"/>
            <w:tcBorders>
              <w:top w:val="nil"/>
              <w:bottom w:val="nil"/>
            </w:tcBorders>
            <w:shd w:val="clear" w:color="auto" w:fill="FCE4D6"/>
          </w:tcPr>
          <w:p w14:paraId="03AE26F3" w14:textId="77777777" w:rsidR="00F65BCA" w:rsidRDefault="00F65BCA">
            <w:pPr>
              <w:pStyle w:val="TableParagraph"/>
              <w:rPr>
                <w:rFonts w:ascii="Calibri"/>
                <w:sz w:val="2"/>
              </w:rPr>
            </w:pPr>
          </w:p>
          <w:p w14:paraId="4B18EE27"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167518A6" w14:textId="77777777" w:rsidR="00F65BCA" w:rsidRDefault="00F65BCA">
            <w:pPr>
              <w:rPr>
                <w:sz w:val="2"/>
                <w:szCs w:val="2"/>
              </w:rPr>
            </w:pPr>
          </w:p>
        </w:tc>
        <w:tc>
          <w:tcPr>
            <w:tcW w:w="288" w:type="dxa"/>
            <w:tcBorders>
              <w:top w:val="nil"/>
              <w:bottom w:val="nil"/>
            </w:tcBorders>
          </w:tcPr>
          <w:p w14:paraId="253F60EA" w14:textId="77777777" w:rsidR="00F65BCA" w:rsidRDefault="00F65BCA">
            <w:pPr>
              <w:pStyle w:val="TableParagraph"/>
              <w:rPr>
                <w:rFonts w:ascii="Calibri"/>
                <w:sz w:val="2"/>
              </w:rPr>
            </w:pPr>
          </w:p>
          <w:p w14:paraId="0B75A4DD" w14:textId="77777777" w:rsidR="00F65BCA" w:rsidRDefault="00216117">
            <w:pPr>
              <w:pStyle w:val="TableParagraph"/>
              <w:ind w:left="24" w:right="24"/>
              <w:jc w:val="center"/>
              <w:rPr>
                <w:sz w:val="3"/>
              </w:rPr>
            </w:pPr>
            <w:r>
              <w:rPr>
                <w:w w:val="105"/>
                <w:sz w:val="3"/>
              </w:rPr>
              <w:t>1,49842090%</w:t>
            </w:r>
          </w:p>
        </w:tc>
        <w:tc>
          <w:tcPr>
            <w:tcW w:w="288" w:type="dxa"/>
            <w:tcBorders>
              <w:top w:val="nil"/>
              <w:bottom w:val="nil"/>
            </w:tcBorders>
          </w:tcPr>
          <w:p w14:paraId="3B425A13" w14:textId="77777777" w:rsidR="00F65BCA" w:rsidRDefault="00F65BCA">
            <w:pPr>
              <w:pStyle w:val="TableParagraph"/>
              <w:rPr>
                <w:rFonts w:ascii="Calibri"/>
                <w:sz w:val="2"/>
              </w:rPr>
            </w:pPr>
          </w:p>
          <w:p w14:paraId="7B864FAF" w14:textId="77777777" w:rsidR="00F65BCA" w:rsidRDefault="00216117">
            <w:pPr>
              <w:pStyle w:val="TableParagraph"/>
              <w:ind w:left="24" w:right="24"/>
              <w:jc w:val="center"/>
              <w:rPr>
                <w:sz w:val="3"/>
              </w:rPr>
            </w:pPr>
            <w:r>
              <w:rPr>
                <w:w w:val="105"/>
                <w:sz w:val="3"/>
              </w:rPr>
              <w:t>1,40476960%</w:t>
            </w:r>
          </w:p>
        </w:tc>
        <w:tc>
          <w:tcPr>
            <w:tcW w:w="288" w:type="dxa"/>
            <w:tcBorders>
              <w:top w:val="nil"/>
              <w:bottom w:val="nil"/>
            </w:tcBorders>
          </w:tcPr>
          <w:p w14:paraId="6AABE309" w14:textId="77777777" w:rsidR="00F65BCA" w:rsidRDefault="00F65BCA">
            <w:pPr>
              <w:pStyle w:val="TableParagraph"/>
              <w:rPr>
                <w:rFonts w:ascii="Calibri"/>
                <w:sz w:val="2"/>
              </w:rPr>
            </w:pPr>
          </w:p>
          <w:p w14:paraId="5F31B0DA" w14:textId="77777777" w:rsidR="00F65BCA" w:rsidRDefault="00216117">
            <w:pPr>
              <w:pStyle w:val="TableParagraph"/>
              <w:ind w:left="47"/>
              <w:rPr>
                <w:sz w:val="3"/>
              </w:rPr>
            </w:pPr>
            <w:r>
              <w:rPr>
                <w:w w:val="105"/>
                <w:sz w:val="3"/>
              </w:rPr>
              <w:t>1,33921368%</w:t>
            </w:r>
          </w:p>
        </w:tc>
        <w:tc>
          <w:tcPr>
            <w:tcW w:w="288" w:type="dxa"/>
            <w:tcBorders>
              <w:top w:val="nil"/>
              <w:bottom w:val="nil"/>
            </w:tcBorders>
          </w:tcPr>
          <w:p w14:paraId="105A7A35" w14:textId="77777777" w:rsidR="00F65BCA" w:rsidRDefault="00F65BCA">
            <w:pPr>
              <w:pStyle w:val="TableParagraph"/>
              <w:rPr>
                <w:rFonts w:ascii="Calibri"/>
                <w:sz w:val="2"/>
              </w:rPr>
            </w:pPr>
          </w:p>
          <w:p w14:paraId="7A0F0304" w14:textId="77777777" w:rsidR="00F65BCA" w:rsidRDefault="00216117">
            <w:pPr>
              <w:pStyle w:val="TableParagraph"/>
              <w:ind w:left="24" w:right="24"/>
              <w:jc w:val="center"/>
              <w:rPr>
                <w:sz w:val="3"/>
              </w:rPr>
            </w:pPr>
            <w:r>
              <w:rPr>
                <w:w w:val="105"/>
                <w:sz w:val="3"/>
              </w:rPr>
              <w:t>1,26429264%</w:t>
            </w:r>
          </w:p>
        </w:tc>
        <w:tc>
          <w:tcPr>
            <w:tcW w:w="288" w:type="dxa"/>
            <w:tcBorders>
              <w:top w:val="nil"/>
              <w:bottom w:val="nil"/>
            </w:tcBorders>
          </w:tcPr>
          <w:p w14:paraId="2CF3A066" w14:textId="77777777" w:rsidR="00F65BCA" w:rsidRDefault="00F65BCA">
            <w:pPr>
              <w:pStyle w:val="TableParagraph"/>
              <w:rPr>
                <w:rFonts w:ascii="Calibri"/>
                <w:sz w:val="2"/>
              </w:rPr>
            </w:pPr>
          </w:p>
          <w:p w14:paraId="195D2AEB" w14:textId="77777777" w:rsidR="00F65BCA" w:rsidRDefault="00216117">
            <w:pPr>
              <w:pStyle w:val="TableParagraph"/>
              <w:ind w:left="47"/>
              <w:rPr>
                <w:sz w:val="3"/>
              </w:rPr>
            </w:pPr>
            <w:r>
              <w:rPr>
                <w:w w:val="105"/>
                <w:sz w:val="3"/>
              </w:rPr>
              <w:t>1,19873672%</w:t>
            </w:r>
          </w:p>
        </w:tc>
        <w:tc>
          <w:tcPr>
            <w:tcW w:w="288" w:type="dxa"/>
            <w:tcBorders>
              <w:top w:val="nil"/>
              <w:bottom w:val="nil"/>
            </w:tcBorders>
          </w:tcPr>
          <w:p w14:paraId="26444640" w14:textId="77777777" w:rsidR="00F65BCA" w:rsidRDefault="00F65BCA">
            <w:pPr>
              <w:pStyle w:val="TableParagraph"/>
              <w:rPr>
                <w:rFonts w:ascii="Calibri"/>
                <w:sz w:val="2"/>
              </w:rPr>
            </w:pPr>
          </w:p>
          <w:p w14:paraId="2447C6AA" w14:textId="77777777" w:rsidR="00F65BCA" w:rsidRDefault="00216117">
            <w:pPr>
              <w:pStyle w:val="TableParagraph"/>
              <w:ind w:left="24" w:right="24"/>
              <w:jc w:val="center"/>
              <w:rPr>
                <w:sz w:val="3"/>
              </w:rPr>
            </w:pPr>
            <w:r>
              <w:rPr>
                <w:w w:val="105"/>
                <w:sz w:val="3"/>
              </w:rPr>
              <w:t>1,11445055%</w:t>
            </w:r>
          </w:p>
        </w:tc>
        <w:tc>
          <w:tcPr>
            <w:tcW w:w="288" w:type="dxa"/>
            <w:tcBorders>
              <w:top w:val="nil"/>
              <w:bottom w:val="nil"/>
            </w:tcBorders>
          </w:tcPr>
          <w:p w14:paraId="709D312F" w14:textId="77777777" w:rsidR="00F65BCA" w:rsidRDefault="00F65BCA">
            <w:pPr>
              <w:pStyle w:val="TableParagraph"/>
              <w:rPr>
                <w:rFonts w:ascii="Calibri"/>
                <w:sz w:val="2"/>
              </w:rPr>
            </w:pPr>
          </w:p>
          <w:p w14:paraId="5974D893" w14:textId="77777777" w:rsidR="00F65BCA" w:rsidRDefault="00216117">
            <w:pPr>
              <w:pStyle w:val="TableParagraph"/>
              <w:ind w:left="24" w:right="24"/>
              <w:jc w:val="center"/>
              <w:rPr>
                <w:sz w:val="3"/>
              </w:rPr>
            </w:pPr>
            <w:r>
              <w:rPr>
                <w:w w:val="105"/>
                <w:sz w:val="3"/>
              </w:rPr>
              <w:t>1,03016437%</w:t>
            </w:r>
          </w:p>
        </w:tc>
        <w:tc>
          <w:tcPr>
            <w:tcW w:w="288" w:type="dxa"/>
            <w:tcBorders>
              <w:top w:val="nil"/>
              <w:bottom w:val="nil"/>
            </w:tcBorders>
          </w:tcPr>
          <w:p w14:paraId="72A56D05" w14:textId="77777777" w:rsidR="00F65BCA" w:rsidRDefault="00F65BCA">
            <w:pPr>
              <w:pStyle w:val="TableParagraph"/>
              <w:rPr>
                <w:rFonts w:ascii="Calibri"/>
                <w:sz w:val="2"/>
              </w:rPr>
            </w:pPr>
          </w:p>
          <w:p w14:paraId="4F544F0D" w14:textId="77777777" w:rsidR="00F65BCA" w:rsidRDefault="00216117">
            <w:pPr>
              <w:pStyle w:val="TableParagraph"/>
              <w:ind w:left="47"/>
              <w:rPr>
                <w:sz w:val="3"/>
              </w:rPr>
            </w:pPr>
            <w:r>
              <w:rPr>
                <w:w w:val="105"/>
                <w:sz w:val="3"/>
              </w:rPr>
              <w:t>0,93651307%</w:t>
            </w:r>
          </w:p>
        </w:tc>
        <w:tc>
          <w:tcPr>
            <w:tcW w:w="288" w:type="dxa"/>
            <w:tcBorders>
              <w:top w:val="nil"/>
              <w:bottom w:val="nil"/>
            </w:tcBorders>
          </w:tcPr>
          <w:p w14:paraId="706997D6" w14:textId="77777777" w:rsidR="00F65BCA" w:rsidRDefault="00F65BCA">
            <w:pPr>
              <w:pStyle w:val="TableParagraph"/>
              <w:rPr>
                <w:rFonts w:ascii="Calibri"/>
                <w:sz w:val="2"/>
              </w:rPr>
            </w:pPr>
          </w:p>
          <w:p w14:paraId="1DF2DF16" w14:textId="77777777" w:rsidR="00F65BCA" w:rsidRDefault="00216117">
            <w:pPr>
              <w:pStyle w:val="TableParagraph"/>
              <w:ind w:left="24" w:right="24"/>
              <w:jc w:val="center"/>
              <w:rPr>
                <w:sz w:val="3"/>
              </w:rPr>
            </w:pPr>
            <w:r>
              <w:rPr>
                <w:w w:val="105"/>
                <w:sz w:val="3"/>
              </w:rPr>
              <w:t>0,93651307%</w:t>
            </w:r>
          </w:p>
        </w:tc>
        <w:tc>
          <w:tcPr>
            <w:tcW w:w="288" w:type="dxa"/>
            <w:tcBorders>
              <w:top w:val="nil"/>
              <w:bottom w:val="nil"/>
            </w:tcBorders>
          </w:tcPr>
          <w:p w14:paraId="096509AA" w14:textId="77777777" w:rsidR="00F65BCA" w:rsidRDefault="00F65BCA">
            <w:pPr>
              <w:pStyle w:val="TableParagraph"/>
              <w:rPr>
                <w:rFonts w:ascii="Calibri"/>
                <w:sz w:val="2"/>
              </w:rPr>
            </w:pPr>
          </w:p>
          <w:p w14:paraId="04307ADB" w14:textId="77777777" w:rsidR="00F65BCA" w:rsidRDefault="00216117">
            <w:pPr>
              <w:pStyle w:val="TableParagraph"/>
              <w:ind w:left="24" w:right="24"/>
              <w:jc w:val="center"/>
              <w:rPr>
                <w:sz w:val="3"/>
              </w:rPr>
            </w:pPr>
            <w:r>
              <w:rPr>
                <w:w w:val="105"/>
                <w:sz w:val="3"/>
              </w:rPr>
              <w:t>1,12381568%</w:t>
            </w:r>
          </w:p>
        </w:tc>
        <w:tc>
          <w:tcPr>
            <w:tcW w:w="288" w:type="dxa"/>
            <w:tcBorders>
              <w:top w:val="nil"/>
              <w:bottom w:val="nil"/>
            </w:tcBorders>
          </w:tcPr>
          <w:p w14:paraId="52E5CA98" w14:textId="77777777" w:rsidR="00F65BCA" w:rsidRDefault="00F65BCA">
            <w:pPr>
              <w:pStyle w:val="TableParagraph"/>
              <w:rPr>
                <w:rFonts w:ascii="Calibri"/>
                <w:sz w:val="2"/>
              </w:rPr>
            </w:pPr>
          </w:p>
          <w:p w14:paraId="549A1B69" w14:textId="77777777" w:rsidR="00F65BCA" w:rsidRDefault="00216117">
            <w:pPr>
              <w:pStyle w:val="TableParagraph"/>
              <w:ind w:left="24" w:right="24"/>
              <w:jc w:val="center"/>
              <w:rPr>
                <w:sz w:val="3"/>
              </w:rPr>
            </w:pPr>
            <w:r>
              <w:rPr>
                <w:w w:val="105"/>
                <w:sz w:val="3"/>
              </w:rPr>
              <w:t>1,26429264%</w:t>
            </w:r>
          </w:p>
        </w:tc>
        <w:tc>
          <w:tcPr>
            <w:tcW w:w="288" w:type="dxa"/>
            <w:tcBorders>
              <w:top w:val="nil"/>
              <w:bottom w:val="nil"/>
            </w:tcBorders>
          </w:tcPr>
          <w:p w14:paraId="371A5E17" w14:textId="77777777" w:rsidR="00F65BCA" w:rsidRDefault="00F65BCA">
            <w:pPr>
              <w:pStyle w:val="TableParagraph"/>
              <w:rPr>
                <w:rFonts w:ascii="Calibri"/>
                <w:sz w:val="2"/>
              </w:rPr>
            </w:pPr>
          </w:p>
          <w:p w14:paraId="0998751F" w14:textId="77777777" w:rsidR="00F65BCA" w:rsidRDefault="00216117">
            <w:pPr>
              <w:pStyle w:val="TableParagraph"/>
              <w:ind w:left="24" w:right="24"/>
              <w:jc w:val="center"/>
              <w:rPr>
                <w:sz w:val="3"/>
              </w:rPr>
            </w:pPr>
            <w:r>
              <w:rPr>
                <w:w w:val="105"/>
                <w:sz w:val="3"/>
              </w:rPr>
              <w:t>1,26429264%</w:t>
            </w:r>
          </w:p>
        </w:tc>
        <w:tc>
          <w:tcPr>
            <w:tcW w:w="288" w:type="dxa"/>
            <w:tcBorders>
              <w:top w:val="nil"/>
              <w:bottom w:val="nil"/>
            </w:tcBorders>
          </w:tcPr>
          <w:p w14:paraId="38D1D4CB" w14:textId="77777777" w:rsidR="00F65BCA" w:rsidRDefault="00F65BCA">
            <w:pPr>
              <w:pStyle w:val="TableParagraph"/>
              <w:rPr>
                <w:rFonts w:ascii="Calibri"/>
                <w:sz w:val="2"/>
              </w:rPr>
            </w:pPr>
          </w:p>
          <w:p w14:paraId="64DD41DE" w14:textId="77777777" w:rsidR="00F65BCA" w:rsidRDefault="00216117">
            <w:pPr>
              <w:pStyle w:val="TableParagraph"/>
              <w:ind w:left="47"/>
              <w:rPr>
                <w:sz w:val="3"/>
              </w:rPr>
            </w:pPr>
            <w:r>
              <w:rPr>
                <w:w w:val="105"/>
                <w:sz w:val="3"/>
              </w:rPr>
              <w:t>1,40476960%</w:t>
            </w:r>
          </w:p>
        </w:tc>
      </w:tr>
      <w:tr w:rsidR="00F65BCA" w14:paraId="1C29E00F" w14:textId="77777777">
        <w:trPr>
          <w:trHeight w:val="56"/>
        </w:trPr>
        <w:tc>
          <w:tcPr>
            <w:tcW w:w="526" w:type="dxa"/>
            <w:vMerge/>
            <w:tcBorders>
              <w:top w:val="nil"/>
            </w:tcBorders>
            <w:shd w:val="clear" w:color="auto" w:fill="FCE4D6"/>
          </w:tcPr>
          <w:p w14:paraId="5D7C76E8" w14:textId="77777777" w:rsidR="00F65BCA" w:rsidRDefault="00F65BCA">
            <w:pPr>
              <w:rPr>
                <w:sz w:val="2"/>
                <w:szCs w:val="2"/>
              </w:rPr>
            </w:pPr>
          </w:p>
        </w:tc>
        <w:tc>
          <w:tcPr>
            <w:tcW w:w="732" w:type="dxa"/>
            <w:tcBorders>
              <w:top w:val="nil"/>
            </w:tcBorders>
            <w:shd w:val="clear" w:color="auto" w:fill="FCE4D6"/>
          </w:tcPr>
          <w:p w14:paraId="0AEA96A6" w14:textId="77777777" w:rsidR="00F65BCA" w:rsidRDefault="00216117">
            <w:pPr>
              <w:pStyle w:val="TableParagraph"/>
              <w:ind w:left="4"/>
              <w:rPr>
                <w:sz w:val="3"/>
              </w:rPr>
            </w:pPr>
            <w:r>
              <w:rPr>
                <w:w w:val="105"/>
                <w:sz w:val="3"/>
              </w:rPr>
              <w:t>Trigano; Weinsberg; Wingamm</w:t>
            </w:r>
          </w:p>
        </w:tc>
        <w:tc>
          <w:tcPr>
            <w:tcW w:w="958" w:type="dxa"/>
            <w:gridSpan w:val="2"/>
            <w:tcBorders>
              <w:top w:val="nil"/>
            </w:tcBorders>
            <w:shd w:val="clear" w:color="auto" w:fill="FCE4D6"/>
          </w:tcPr>
          <w:p w14:paraId="64A21526" w14:textId="77777777" w:rsidR="00F65BCA" w:rsidRDefault="00F65BCA">
            <w:pPr>
              <w:pStyle w:val="TableParagraph"/>
              <w:rPr>
                <w:rFonts w:ascii="Times New Roman"/>
                <w:sz w:val="2"/>
              </w:rPr>
            </w:pPr>
          </w:p>
        </w:tc>
        <w:tc>
          <w:tcPr>
            <w:tcW w:w="576" w:type="dxa"/>
            <w:tcBorders>
              <w:top w:val="nil"/>
            </w:tcBorders>
            <w:shd w:val="clear" w:color="auto" w:fill="FCE4D6"/>
          </w:tcPr>
          <w:p w14:paraId="39125182" w14:textId="77777777" w:rsidR="00F65BCA" w:rsidRDefault="00F65BCA">
            <w:pPr>
              <w:pStyle w:val="TableParagraph"/>
              <w:rPr>
                <w:rFonts w:ascii="Times New Roman"/>
                <w:sz w:val="2"/>
              </w:rPr>
            </w:pPr>
          </w:p>
        </w:tc>
        <w:tc>
          <w:tcPr>
            <w:tcW w:w="576" w:type="dxa"/>
            <w:tcBorders>
              <w:top w:val="nil"/>
            </w:tcBorders>
            <w:shd w:val="clear" w:color="auto" w:fill="FCE4D6"/>
          </w:tcPr>
          <w:p w14:paraId="0ECDC7FD" w14:textId="77777777" w:rsidR="00F65BCA" w:rsidRDefault="00F65BCA">
            <w:pPr>
              <w:pStyle w:val="TableParagraph"/>
              <w:rPr>
                <w:rFonts w:ascii="Times New Roman"/>
                <w:sz w:val="2"/>
              </w:rPr>
            </w:pPr>
          </w:p>
        </w:tc>
        <w:tc>
          <w:tcPr>
            <w:tcW w:w="50" w:type="dxa"/>
            <w:vMerge/>
            <w:tcBorders>
              <w:top w:val="nil"/>
              <w:bottom w:val="nil"/>
            </w:tcBorders>
          </w:tcPr>
          <w:p w14:paraId="077DEDA2" w14:textId="77777777" w:rsidR="00F65BCA" w:rsidRDefault="00F65BCA">
            <w:pPr>
              <w:rPr>
                <w:sz w:val="2"/>
                <w:szCs w:val="2"/>
              </w:rPr>
            </w:pPr>
          </w:p>
        </w:tc>
        <w:tc>
          <w:tcPr>
            <w:tcW w:w="288" w:type="dxa"/>
            <w:tcBorders>
              <w:top w:val="nil"/>
            </w:tcBorders>
          </w:tcPr>
          <w:p w14:paraId="05122696" w14:textId="77777777" w:rsidR="00F65BCA" w:rsidRDefault="00F65BCA">
            <w:pPr>
              <w:pStyle w:val="TableParagraph"/>
              <w:rPr>
                <w:rFonts w:ascii="Times New Roman"/>
                <w:sz w:val="2"/>
              </w:rPr>
            </w:pPr>
          </w:p>
        </w:tc>
        <w:tc>
          <w:tcPr>
            <w:tcW w:w="288" w:type="dxa"/>
            <w:tcBorders>
              <w:top w:val="nil"/>
            </w:tcBorders>
          </w:tcPr>
          <w:p w14:paraId="245F0DF4" w14:textId="77777777" w:rsidR="00F65BCA" w:rsidRDefault="00F65BCA">
            <w:pPr>
              <w:pStyle w:val="TableParagraph"/>
              <w:rPr>
                <w:rFonts w:ascii="Times New Roman"/>
                <w:sz w:val="2"/>
              </w:rPr>
            </w:pPr>
          </w:p>
        </w:tc>
        <w:tc>
          <w:tcPr>
            <w:tcW w:w="288" w:type="dxa"/>
            <w:tcBorders>
              <w:top w:val="nil"/>
            </w:tcBorders>
          </w:tcPr>
          <w:p w14:paraId="6DA70BBA" w14:textId="77777777" w:rsidR="00F65BCA" w:rsidRDefault="00F65BCA">
            <w:pPr>
              <w:pStyle w:val="TableParagraph"/>
              <w:rPr>
                <w:rFonts w:ascii="Times New Roman"/>
                <w:sz w:val="2"/>
              </w:rPr>
            </w:pPr>
          </w:p>
        </w:tc>
        <w:tc>
          <w:tcPr>
            <w:tcW w:w="288" w:type="dxa"/>
            <w:tcBorders>
              <w:top w:val="nil"/>
            </w:tcBorders>
          </w:tcPr>
          <w:p w14:paraId="3C79C05A" w14:textId="77777777" w:rsidR="00F65BCA" w:rsidRDefault="00F65BCA">
            <w:pPr>
              <w:pStyle w:val="TableParagraph"/>
              <w:rPr>
                <w:rFonts w:ascii="Times New Roman"/>
                <w:sz w:val="2"/>
              </w:rPr>
            </w:pPr>
          </w:p>
        </w:tc>
        <w:tc>
          <w:tcPr>
            <w:tcW w:w="288" w:type="dxa"/>
            <w:tcBorders>
              <w:top w:val="nil"/>
            </w:tcBorders>
          </w:tcPr>
          <w:p w14:paraId="25D5182F" w14:textId="77777777" w:rsidR="00F65BCA" w:rsidRDefault="00F65BCA">
            <w:pPr>
              <w:pStyle w:val="TableParagraph"/>
              <w:rPr>
                <w:rFonts w:ascii="Times New Roman"/>
                <w:sz w:val="2"/>
              </w:rPr>
            </w:pPr>
          </w:p>
        </w:tc>
        <w:tc>
          <w:tcPr>
            <w:tcW w:w="288" w:type="dxa"/>
            <w:tcBorders>
              <w:top w:val="nil"/>
            </w:tcBorders>
          </w:tcPr>
          <w:p w14:paraId="7B0D9498" w14:textId="77777777" w:rsidR="00F65BCA" w:rsidRDefault="00F65BCA">
            <w:pPr>
              <w:pStyle w:val="TableParagraph"/>
              <w:rPr>
                <w:rFonts w:ascii="Times New Roman"/>
                <w:sz w:val="2"/>
              </w:rPr>
            </w:pPr>
          </w:p>
        </w:tc>
        <w:tc>
          <w:tcPr>
            <w:tcW w:w="288" w:type="dxa"/>
            <w:tcBorders>
              <w:top w:val="nil"/>
            </w:tcBorders>
          </w:tcPr>
          <w:p w14:paraId="530A7D09" w14:textId="77777777" w:rsidR="00F65BCA" w:rsidRDefault="00F65BCA">
            <w:pPr>
              <w:pStyle w:val="TableParagraph"/>
              <w:rPr>
                <w:rFonts w:ascii="Times New Roman"/>
                <w:sz w:val="2"/>
              </w:rPr>
            </w:pPr>
          </w:p>
        </w:tc>
        <w:tc>
          <w:tcPr>
            <w:tcW w:w="288" w:type="dxa"/>
            <w:tcBorders>
              <w:top w:val="nil"/>
            </w:tcBorders>
          </w:tcPr>
          <w:p w14:paraId="546B98D0" w14:textId="77777777" w:rsidR="00F65BCA" w:rsidRDefault="00F65BCA">
            <w:pPr>
              <w:pStyle w:val="TableParagraph"/>
              <w:rPr>
                <w:rFonts w:ascii="Times New Roman"/>
                <w:sz w:val="2"/>
              </w:rPr>
            </w:pPr>
          </w:p>
        </w:tc>
        <w:tc>
          <w:tcPr>
            <w:tcW w:w="288" w:type="dxa"/>
            <w:tcBorders>
              <w:top w:val="nil"/>
            </w:tcBorders>
          </w:tcPr>
          <w:p w14:paraId="3ED23589" w14:textId="77777777" w:rsidR="00F65BCA" w:rsidRDefault="00F65BCA">
            <w:pPr>
              <w:pStyle w:val="TableParagraph"/>
              <w:rPr>
                <w:rFonts w:ascii="Times New Roman"/>
                <w:sz w:val="2"/>
              </w:rPr>
            </w:pPr>
          </w:p>
        </w:tc>
        <w:tc>
          <w:tcPr>
            <w:tcW w:w="288" w:type="dxa"/>
            <w:tcBorders>
              <w:top w:val="nil"/>
            </w:tcBorders>
          </w:tcPr>
          <w:p w14:paraId="215C97AC" w14:textId="77777777" w:rsidR="00F65BCA" w:rsidRDefault="00F65BCA">
            <w:pPr>
              <w:pStyle w:val="TableParagraph"/>
              <w:rPr>
                <w:rFonts w:ascii="Times New Roman"/>
                <w:sz w:val="2"/>
              </w:rPr>
            </w:pPr>
          </w:p>
        </w:tc>
        <w:tc>
          <w:tcPr>
            <w:tcW w:w="288" w:type="dxa"/>
            <w:tcBorders>
              <w:top w:val="nil"/>
            </w:tcBorders>
          </w:tcPr>
          <w:p w14:paraId="78335F39" w14:textId="77777777" w:rsidR="00F65BCA" w:rsidRDefault="00F65BCA">
            <w:pPr>
              <w:pStyle w:val="TableParagraph"/>
              <w:rPr>
                <w:rFonts w:ascii="Times New Roman"/>
                <w:sz w:val="2"/>
              </w:rPr>
            </w:pPr>
          </w:p>
        </w:tc>
        <w:tc>
          <w:tcPr>
            <w:tcW w:w="288" w:type="dxa"/>
            <w:tcBorders>
              <w:top w:val="nil"/>
            </w:tcBorders>
          </w:tcPr>
          <w:p w14:paraId="65D90152" w14:textId="77777777" w:rsidR="00F65BCA" w:rsidRDefault="00F65BCA">
            <w:pPr>
              <w:pStyle w:val="TableParagraph"/>
              <w:rPr>
                <w:rFonts w:ascii="Times New Roman"/>
                <w:sz w:val="2"/>
              </w:rPr>
            </w:pPr>
          </w:p>
        </w:tc>
        <w:tc>
          <w:tcPr>
            <w:tcW w:w="288" w:type="dxa"/>
            <w:tcBorders>
              <w:top w:val="nil"/>
            </w:tcBorders>
          </w:tcPr>
          <w:p w14:paraId="51148B1E" w14:textId="77777777" w:rsidR="00F65BCA" w:rsidRDefault="00F65BCA">
            <w:pPr>
              <w:pStyle w:val="TableParagraph"/>
              <w:rPr>
                <w:rFonts w:ascii="Times New Roman"/>
                <w:sz w:val="2"/>
              </w:rPr>
            </w:pPr>
          </w:p>
        </w:tc>
      </w:tr>
      <w:tr w:rsidR="00F65BCA" w14:paraId="5C13A624" w14:textId="77777777">
        <w:trPr>
          <w:trHeight w:val="77"/>
        </w:trPr>
        <w:tc>
          <w:tcPr>
            <w:tcW w:w="526" w:type="dxa"/>
            <w:vMerge/>
            <w:tcBorders>
              <w:top w:val="nil"/>
            </w:tcBorders>
            <w:shd w:val="clear" w:color="auto" w:fill="FCE4D6"/>
          </w:tcPr>
          <w:p w14:paraId="0D8550FB" w14:textId="77777777" w:rsidR="00F65BCA" w:rsidRDefault="00F65BCA">
            <w:pPr>
              <w:rPr>
                <w:sz w:val="2"/>
                <w:szCs w:val="2"/>
              </w:rPr>
            </w:pPr>
          </w:p>
        </w:tc>
        <w:tc>
          <w:tcPr>
            <w:tcW w:w="732" w:type="dxa"/>
            <w:tcBorders>
              <w:bottom w:val="nil"/>
            </w:tcBorders>
            <w:shd w:val="clear" w:color="auto" w:fill="FCE4D6"/>
          </w:tcPr>
          <w:p w14:paraId="4E806322" w14:textId="77777777" w:rsidR="00F65BCA" w:rsidRDefault="00F65BCA">
            <w:pPr>
              <w:pStyle w:val="TableParagraph"/>
              <w:rPr>
                <w:rFonts w:ascii="Calibri"/>
                <w:sz w:val="2"/>
              </w:rPr>
            </w:pPr>
          </w:p>
          <w:p w14:paraId="2E67E0CD" w14:textId="77777777" w:rsidR="00F65BCA" w:rsidRDefault="00F65BCA">
            <w:pPr>
              <w:pStyle w:val="TableParagraph"/>
              <w:rPr>
                <w:rFonts w:ascii="Calibri"/>
                <w:sz w:val="2"/>
              </w:rPr>
            </w:pPr>
          </w:p>
          <w:p w14:paraId="6227DCF5" w14:textId="77777777" w:rsidR="00F65BCA" w:rsidRDefault="00216117">
            <w:pPr>
              <w:pStyle w:val="TableParagraph"/>
              <w:spacing w:line="15" w:lineRule="exact"/>
              <w:ind w:left="4"/>
              <w:rPr>
                <w:sz w:val="3"/>
              </w:rPr>
            </w:pPr>
            <w:r>
              <w:rPr>
                <w:w w:val="105"/>
                <w:sz w:val="3"/>
              </w:rPr>
              <w:t>Aero; Ariel; Asia; Aston Martin; Attack; Audi;</w:t>
            </w:r>
          </w:p>
        </w:tc>
        <w:tc>
          <w:tcPr>
            <w:tcW w:w="958" w:type="dxa"/>
            <w:gridSpan w:val="2"/>
            <w:tcBorders>
              <w:bottom w:val="nil"/>
            </w:tcBorders>
            <w:shd w:val="clear" w:color="auto" w:fill="FCE4D6"/>
          </w:tcPr>
          <w:p w14:paraId="2E547D98" w14:textId="77777777" w:rsidR="00F65BCA" w:rsidRDefault="00F65BCA">
            <w:pPr>
              <w:pStyle w:val="TableParagraph"/>
              <w:rPr>
                <w:rFonts w:ascii="Times New Roman"/>
                <w:sz w:val="2"/>
              </w:rPr>
            </w:pPr>
          </w:p>
        </w:tc>
        <w:tc>
          <w:tcPr>
            <w:tcW w:w="576" w:type="dxa"/>
            <w:tcBorders>
              <w:bottom w:val="nil"/>
            </w:tcBorders>
            <w:shd w:val="clear" w:color="auto" w:fill="FCE4D6"/>
          </w:tcPr>
          <w:p w14:paraId="7A62FAD8" w14:textId="77777777" w:rsidR="00F65BCA" w:rsidRDefault="00F65BCA">
            <w:pPr>
              <w:pStyle w:val="TableParagraph"/>
              <w:rPr>
                <w:rFonts w:ascii="Times New Roman"/>
                <w:sz w:val="2"/>
              </w:rPr>
            </w:pPr>
          </w:p>
        </w:tc>
        <w:tc>
          <w:tcPr>
            <w:tcW w:w="576" w:type="dxa"/>
            <w:tcBorders>
              <w:bottom w:val="nil"/>
            </w:tcBorders>
            <w:shd w:val="clear" w:color="auto" w:fill="FCE4D6"/>
          </w:tcPr>
          <w:p w14:paraId="423E2D60" w14:textId="77777777" w:rsidR="00F65BCA" w:rsidRDefault="00F65BCA">
            <w:pPr>
              <w:pStyle w:val="TableParagraph"/>
              <w:rPr>
                <w:rFonts w:ascii="Times New Roman"/>
                <w:sz w:val="2"/>
              </w:rPr>
            </w:pPr>
          </w:p>
        </w:tc>
        <w:tc>
          <w:tcPr>
            <w:tcW w:w="50" w:type="dxa"/>
            <w:vMerge/>
            <w:tcBorders>
              <w:top w:val="nil"/>
              <w:bottom w:val="nil"/>
            </w:tcBorders>
          </w:tcPr>
          <w:p w14:paraId="665F8DEB" w14:textId="77777777" w:rsidR="00F65BCA" w:rsidRDefault="00F65BCA">
            <w:pPr>
              <w:rPr>
                <w:sz w:val="2"/>
                <w:szCs w:val="2"/>
              </w:rPr>
            </w:pPr>
          </w:p>
        </w:tc>
        <w:tc>
          <w:tcPr>
            <w:tcW w:w="288" w:type="dxa"/>
            <w:tcBorders>
              <w:bottom w:val="nil"/>
            </w:tcBorders>
          </w:tcPr>
          <w:p w14:paraId="7AD46C99" w14:textId="77777777" w:rsidR="00F65BCA" w:rsidRDefault="00F65BCA">
            <w:pPr>
              <w:pStyle w:val="TableParagraph"/>
              <w:rPr>
                <w:rFonts w:ascii="Times New Roman"/>
                <w:sz w:val="2"/>
              </w:rPr>
            </w:pPr>
          </w:p>
        </w:tc>
        <w:tc>
          <w:tcPr>
            <w:tcW w:w="288" w:type="dxa"/>
            <w:tcBorders>
              <w:bottom w:val="nil"/>
            </w:tcBorders>
          </w:tcPr>
          <w:p w14:paraId="42572FEE" w14:textId="77777777" w:rsidR="00F65BCA" w:rsidRDefault="00F65BCA">
            <w:pPr>
              <w:pStyle w:val="TableParagraph"/>
              <w:rPr>
                <w:rFonts w:ascii="Times New Roman"/>
                <w:sz w:val="2"/>
              </w:rPr>
            </w:pPr>
          </w:p>
        </w:tc>
        <w:tc>
          <w:tcPr>
            <w:tcW w:w="288" w:type="dxa"/>
            <w:tcBorders>
              <w:bottom w:val="nil"/>
            </w:tcBorders>
          </w:tcPr>
          <w:p w14:paraId="25D68B2A" w14:textId="77777777" w:rsidR="00F65BCA" w:rsidRDefault="00F65BCA">
            <w:pPr>
              <w:pStyle w:val="TableParagraph"/>
              <w:rPr>
                <w:rFonts w:ascii="Times New Roman"/>
                <w:sz w:val="2"/>
              </w:rPr>
            </w:pPr>
          </w:p>
        </w:tc>
        <w:tc>
          <w:tcPr>
            <w:tcW w:w="288" w:type="dxa"/>
            <w:tcBorders>
              <w:bottom w:val="nil"/>
            </w:tcBorders>
          </w:tcPr>
          <w:p w14:paraId="32A58B99" w14:textId="77777777" w:rsidR="00F65BCA" w:rsidRDefault="00F65BCA">
            <w:pPr>
              <w:pStyle w:val="TableParagraph"/>
              <w:rPr>
                <w:rFonts w:ascii="Times New Roman"/>
                <w:sz w:val="2"/>
              </w:rPr>
            </w:pPr>
          </w:p>
        </w:tc>
        <w:tc>
          <w:tcPr>
            <w:tcW w:w="288" w:type="dxa"/>
            <w:tcBorders>
              <w:bottom w:val="nil"/>
            </w:tcBorders>
          </w:tcPr>
          <w:p w14:paraId="13E92F0C" w14:textId="77777777" w:rsidR="00F65BCA" w:rsidRDefault="00F65BCA">
            <w:pPr>
              <w:pStyle w:val="TableParagraph"/>
              <w:rPr>
                <w:rFonts w:ascii="Times New Roman"/>
                <w:sz w:val="2"/>
              </w:rPr>
            </w:pPr>
          </w:p>
        </w:tc>
        <w:tc>
          <w:tcPr>
            <w:tcW w:w="288" w:type="dxa"/>
            <w:tcBorders>
              <w:bottom w:val="nil"/>
            </w:tcBorders>
          </w:tcPr>
          <w:p w14:paraId="73BE9741" w14:textId="77777777" w:rsidR="00F65BCA" w:rsidRDefault="00F65BCA">
            <w:pPr>
              <w:pStyle w:val="TableParagraph"/>
              <w:rPr>
                <w:rFonts w:ascii="Times New Roman"/>
                <w:sz w:val="2"/>
              </w:rPr>
            </w:pPr>
          </w:p>
        </w:tc>
        <w:tc>
          <w:tcPr>
            <w:tcW w:w="288" w:type="dxa"/>
            <w:tcBorders>
              <w:bottom w:val="nil"/>
            </w:tcBorders>
          </w:tcPr>
          <w:p w14:paraId="71BD85C8" w14:textId="77777777" w:rsidR="00F65BCA" w:rsidRDefault="00F65BCA">
            <w:pPr>
              <w:pStyle w:val="TableParagraph"/>
              <w:rPr>
                <w:rFonts w:ascii="Times New Roman"/>
                <w:sz w:val="2"/>
              </w:rPr>
            </w:pPr>
          </w:p>
        </w:tc>
        <w:tc>
          <w:tcPr>
            <w:tcW w:w="288" w:type="dxa"/>
            <w:tcBorders>
              <w:bottom w:val="nil"/>
            </w:tcBorders>
          </w:tcPr>
          <w:p w14:paraId="0EC23C86" w14:textId="77777777" w:rsidR="00F65BCA" w:rsidRDefault="00F65BCA">
            <w:pPr>
              <w:pStyle w:val="TableParagraph"/>
              <w:rPr>
                <w:rFonts w:ascii="Times New Roman"/>
                <w:sz w:val="2"/>
              </w:rPr>
            </w:pPr>
          </w:p>
        </w:tc>
        <w:tc>
          <w:tcPr>
            <w:tcW w:w="288" w:type="dxa"/>
            <w:tcBorders>
              <w:bottom w:val="nil"/>
            </w:tcBorders>
          </w:tcPr>
          <w:p w14:paraId="4C98A5B0" w14:textId="77777777" w:rsidR="00F65BCA" w:rsidRDefault="00F65BCA">
            <w:pPr>
              <w:pStyle w:val="TableParagraph"/>
              <w:rPr>
                <w:rFonts w:ascii="Times New Roman"/>
                <w:sz w:val="2"/>
              </w:rPr>
            </w:pPr>
          </w:p>
        </w:tc>
        <w:tc>
          <w:tcPr>
            <w:tcW w:w="288" w:type="dxa"/>
            <w:tcBorders>
              <w:bottom w:val="nil"/>
            </w:tcBorders>
          </w:tcPr>
          <w:p w14:paraId="171935F2" w14:textId="77777777" w:rsidR="00F65BCA" w:rsidRDefault="00F65BCA">
            <w:pPr>
              <w:pStyle w:val="TableParagraph"/>
              <w:rPr>
                <w:rFonts w:ascii="Times New Roman"/>
                <w:sz w:val="2"/>
              </w:rPr>
            </w:pPr>
          </w:p>
        </w:tc>
        <w:tc>
          <w:tcPr>
            <w:tcW w:w="288" w:type="dxa"/>
            <w:tcBorders>
              <w:bottom w:val="nil"/>
            </w:tcBorders>
          </w:tcPr>
          <w:p w14:paraId="3D3732B2" w14:textId="77777777" w:rsidR="00F65BCA" w:rsidRDefault="00F65BCA">
            <w:pPr>
              <w:pStyle w:val="TableParagraph"/>
              <w:rPr>
                <w:rFonts w:ascii="Times New Roman"/>
                <w:sz w:val="2"/>
              </w:rPr>
            </w:pPr>
          </w:p>
        </w:tc>
        <w:tc>
          <w:tcPr>
            <w:tcW w:w="288" w:type="dxa"/>
            <w:tcBorders>
              <w:bottom w:val="nil"/>
            </w:tcBorders>
          </w:tcPr>
          <w:p w14:paraId="09A0AFD5" w14:textId="77777777" w:rsidR="00F65BCA" w:rsidRDefault="00F65BCA">
            <w:pPr>
              <w:pStyle w:val="TableParagraph"/>
              <w:rPr>
                <w:rFonts w:ascii="Times New Roman"/>
                <w:sz w:val="2"/>
              </w:rPr>
            </w:pPr>
          </w:p>
        </w:tc>
        <w:tc>
          <w:tcPr>
            <w:tcW w:w="288" w:type="dxa"/>
            <w:tcBorders>
              <w:bottom w:val="nil"/>
            </w:tcBorders>
          </w:tcPr>
          <w:p w14:paraId="748637B2" w14:textId="77777777" w:rsidR="00F65BCA" w:rsidRDefault="00F65BCA">
            <w:pPr>
              <w:pStyle w:val="TableParagraph"/>
              <w:rPr>
                <w:rFonts w:ascii="Times New Roman"/>
                <w:sz w:val="2"/>
              </w:rPr>
            </w:pPr>
          </w:p>
        </w:tc>
      </w:tr>
      <w:tr w:rsidR="00F65BCA" w14:paraId="1D06EA64" w14:textId="77777777">
        <w:trPr>
          <w:trHeight w:val="35"/>
        </w:trPr>
        <w:tc>
          <w:tcPr>
            <w:tcW w:w="526" w:type="dxa"/>
            <w:vMerge/>
            <w:tcBorders>
              <w:top w:val="nil"/>
            </w:tcBorders>
            <w:shd w:val="clear" w:color="auto" w:fill="FCE4D6"/>
          </w:tcPr>
          <w:p w14:paraId="78D9A44B" w14:textId="77777777" w:rsidR="00F65BCA" w:rsidRDefault="00F65BCA">
            <w:pPr>
              <w:rPr>
                <w:sz w:val="2"/>
                <w:szCs w:val="2"/>
              </w:rPr>
            </w:pPr>
          </w:p>
        </w:tc>
        <w:tc>
          <w:tcPr>
            <w:tcW w:w="732" w:type="dxa"/>
            <w:tcBorders>
              <w:top w:val="nil"/>
              <w:bottom w:val="nil"/>
            </w:tcBorders>
            <w:shd w:val="clear" w:color="auto" w:fill="FCE4D6"/>
          </w:tcPr>
          <w:p w14:paraId="5080BCB1" w14:textId="77777777" w:rsidR="00F65BCA" w:rsidRDefault="00216117">
            <w:pPr>
              <w:pStyle w:val="TableParagraph"/>
              <w:spacing w:line="15" w:lineRule="exact"/>
              <w:ind w:left="4"/>
              <w:rPr>
                <w:sz w:val="3"/>
              </w:rPr>
            </w:pPr>
            <w:r>
              <w:rPr>
                <w:w w:val="105"/>
                <w:sz w:val="3"/>
              </w:rPr>
              <w:t>Austin; Autobianchi; Auverland; Avia; Bentley;</w:t>
            </w:r>
          </w:p>
        </w:tc>
        <w:tc>
          <w:tcPr>
            <w:tcW w:w="958" w:type="dxa"/>
            <w:gridSpan w:val="2"/>
            <w:tcBorders>
              <w:top w:val="nil"/>
              <w:bottom w:val="nil"/>
            </w:tcBorders>
            <w:shd w:val="clear" w:color="auto" w:fill="FCE4D6"/>
          </w:tcPr>
          <w:p w14:paraId="75D3BE6B"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573D1332"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5D16369C" w14:textId="77777777" w:rsidR="00F65BCA" w:rsidRDefault="00F65BCA">
            <w:pPr>
              <w:pStyle w:val="TableParagraph"/>
              <w:rPr>
                <w:rFonts w:ascii="Times New Roman"/>
                <w:sz w:val="2"/>
              </w:rPr>
            </w:pPr>
          </w:p>
        </w:tc>
        <w:tc>
          <w:tcPr>
            <w:tcW w:w="50" w:type="dxa"/>
            <w:vMerge/>
            <w:tcBorders>
              <w:top w:val="nil"/>
              <w:bottom w:val="nil"/>
            </w:tcBorders>
          </w:tcPr>
          <w:p w14:paraId="3839E985" w14:textId="77777777" w:rsidR="00F65BCA" w:rsidRDefault="00F65BCA">
            <w:pPr>
              <w:rPr>
                <w:sz w:val="2"/>
                <w:szCs w:val="2"/>
              </w:rPr>
            </w:pPr>
          </w:p>
        </w:tc>
        <w:tc>
          <w:tcPr>
            <w:tcW w:w="288" w:type="dxa"/>
            <w:tcBorders>
              <w:top w:val="nil"/>
              <w:bottom w:val="nil"/>
            </w:tcBorders>
          </w:tcPr>
          <w:p w14:paraId="20C06DE8" w14:textId="77777777" w:rsidR="00F65BCA" w:rsidRDefault="00F65BCA">
            <w:pPr>
              <w:pStyle w:val="TableParagraph"/>
              <w:rPr>
                <w:rFonts w:ascii="Times New Roman"/>
                <w:sz w:val="2"/>
              </w:rPr>
            </w:pPr>
          </w:p>
        </w:tc>
        <w:tc>
          <w:tcPr>
            <w:tcW w:w="288" w:type="dxa"/>
            <w:tcBorders>
              <w:top w:val="nil"/>
              <w:bottom w:val="nil"/>
            </w:tcBorders>
          </w:tcPr>
          <w:p w14:paraId="114527EA" w14:textId="77777777" w:rsidR="00F65BCA" w:rsidRDefault="00F65BCA">
            <w:pPr>
              <w:pStyle w:val="TableParagraph"/>
              <w:rPr>
                <w:rFonts w:ascii="Times New Roman"/>
                <w:sz w:val="2"/>
              </w:rPr>
            </w:pPr>
          </w:p>
        </w:tc>
        <w:tc>
          <w:tcPr>
            <w:tcW w:w="288" w:type="dxa"/>
            <w:tcBorders>
              <w:top w:val="nil"/>
              <w:bottom w:val="nil"/>
            </w:tcBorders>
          </w:tcPr>
          <w:p w14:paraId="2518EC30" w14:textId="77777777" w:rsidR="00F65BCA" w:rsidRDefault="00F65BCA">
            <w:pPr>
              <w:pStyle w:val="TableParagraph"/>
              <w:rPr>
                <w:rFonts w:ascii="Times New Roman"/>
                <w:sz w:val="2"/>
              </w:rPr>
            </w:pPr>
          </w:p>
        </w:tc>
        <w:tc>
          <w:tcPr>
            <w:tcW w:w="288" w:type="dxa"/>
            <w:tcBorders>
              <w:top w:val="nil"/>
              <w:bottom w:val="nil"/>
            </w:tcBorders>
          </w:tcPr>
          <w:p w14:paraId="4829BF69" w14:textId="77777777" w:rsidR="00F65BCA" w:rsidRDefault="00F65BCA">
            <w:pPr>
              <w:pStyle w:val="TableParagraph"/>
              <w:rPr>
                <w:rFonts w:ascii="Times New Roman"/>
                <w:sz w:val="2"/>
              </w:rPr>
            </w:pPr>
          </w:p>
        </w:tc>
        <w:tc>
          <w:tcPr>
            <w:tcW w:w="288" w:type="dxa"/>
            <w:tcBorders>
              <w:top w:val="nil"/>
              <w:bottom w:val="nil"/>
            </w:tcBorders>
          </w:tcPr>
          <w:p w14:paraId="04A0EE0C" w14:textId="77777777" w:rsidR="00F65BCA" w:rsidRDefault="00F65BCA">
            <w:pPr>
              <w:pStyle w:val="TableParagraph"/>
              <w:rPr>
                <w:rFonts w:ascii="Times New Roman"/>
                <w:sz w:val="2"/>
              </w:rPr>
            </w:pPr>
          </w:p>
        </w:tc>
        <w:tc>
          <w:tcPr>
            <w:tcW w:w="288" w:type="dxa"/>
            <w:tcBorders>
              <w:top w:val="nil"/>
              <w:bottom w:val="nil"/>
            </w:tcBorders>
          </w:tcPr>
          <w:p w14:paraId="2CD9001A" w14:textId="77777777" w:rsidR="00F65BCA" w:rsidRDefault="00F65BCA">
            <w:pPr>
              <w:pStyle w:val="TableParagraph"/>
              <w:rPr>
                <w:rFonts w:ascii="Times New Roman"/>
                <w:sz w:val="2"/>
              </w:rPr>
            </w:pPr>
          </w:p>
        </w:tc>
        <w:tc>
          <w:tcPr>
            <w:tcW w:w="288" w:type="dxa"/>
            <w:tcBorders>
              <w:top w:val="nil"/>
              <w:bottom w:val="nil"/>
            </w:tcBorders>
          </w:tcPr>
          <w:p w14:paraId="1BE5B2B3" w14:textId="77777777" w:rsidR="00F65BCA" w:rsidRDefault="00F65BCA">
            <w:pPr>
              <w:pStyle w:val="TableParagraph"/>
              <w:rPr>
                <w:rFonts w:ascii="Times New Roman"/>
                <w:sz w:val="2"/>
              </w:rPr>
            </w:pPr>
          </w:p>
        </w:tc>
        <w:tc>
          <w:tcPr>
            <w:tcW w:w="288" w:type="dxa"/>
            <w:tcBorders>
              <w:top w:val="nil"/>
              <w:bottom w:val="nil"/>
            </w:tcBorders>
          </w:tcPr>
          <w:p w14:paraId="56053AEB" w14:textId="77777777" w:rsidR="00F65BCA" w:rsidRDefault="00F65BCA">
            <w:pPr>
              <w:pStyle w:val="TableParagraph"/>
              <w:rPr>
                <w:rFonts w:ascii="Times New Roman"/>
                <w:sz w:val="2"/>
              </w:rPr>
            </w:pPr>
          </w:p>
        </w:tc>
        <w:tc>
          <w:tcPr>
            <w:tcW w:w="288" w:type="dxa"/>
            <w:tcBorders>
              <w:top w:val="nil"/>
              <w:bottom w:val="nil"/>
            </w:tcBorders>
          </w:tcPr>
          <w:p w14:paraId="21B22490" w14:textId="77777777" w:rsidR="00F65BCA" w:rsidRDefault="00F65BCA">
            <w:pPr>
              <w:pStyle w:val="TableParagraph"/>
              <w:rPr>
                <w:rFonts w:ascii="Times New Roman"/>
                <w:sz w:val="2"/>
              </w:rPr>
            </w:pPr>
          </w:p>
        </w:tc>
        <w:tc>
          <w:tcPr>
            <w:tcW w:w="288" w:type="dxa"/>
            <w:tcBorders>
              <w:top w:val="nil"/>
              <w:bottom w:val="nil"/>
            </w:tcBorders>
          </w:tcPr>
          <w:p w14:paraId="4A315DF6" w14:textId="77777777" w:rsidR="00F65BCA" w:rsidRDefault="00F65BCA">
            <w:pPr>
              <w:pStyle w:val="TableParagraph"/>
              <w:rPr>
                <w:rFonts w:ascii="Times New Roman"/>
                <w:sz w:val="2"/>
              </w:rPr>
            </w:pPr>
          </w:p>
        </w:tc>
        <w:tc>
          <w:tcPr>
            <w:tcW w:w="288" w:type="dxa"/>
            <w:tcBorders>
              <w:top w:val="nil"/>
              <w:bottom w:val="nil"/>
            </w:tcBorders>
          </w:tcPr>
          <w:p w14:paraId="62EE824D" w14:textId="77777777" w:rsidR="00F65BCA" w:rsidRDefault="00F65BCA">
            <w:pPr>
              <w:pStyle w:val="TableParagraph"/>
              <w:rPr>
                <w:rFonts w:ascii="Times New Roman"/>
                <w:sz w:val="2"/>
              </w:rPr>
            </w:pPr>
          </w:p>
        </w:tc>
        <w:tc>
          <w:tcPr>
            <w:tcW w:w="288" w:type="dxa"/>
            <w:tcBorders>
              <w:top w:val="nil"/>
              <w:bottom w:val="nil"/>
            </w:tcBorders>
          </w:tcPr>
          <w:p w14:paraId="7309BF4D" w14:textId="77777777" w:rsidR="00F65BCA" w:rsidRDefault="00F65BCA">
            <w:pPr>
              <w:pStyle w:val="TableParagraph"/>
              <w:rPr>
                <w:rFonts w:ascii="Times New Roman"/>
                <w:sz w:val="2"/>
              </w:rPr>
            </w:pPr>
          </w:p>
        </w:tc>
        <w:tc>
          <w:tcPr>
            <w:tcW w:w="288" w:type="dxa"/>
            <w:tcBorders>
              <w:top w:val="nil"/>
              <w:bottom w:val="nil"/>
            </w:tcBorders>
          </w:tcPr>
          <w:p w14:paraId="57FCEC6D" w14:textId="77777777" w:rsidR="00F65BCA" w:rsidRDefault="00F65BCA">
            <w:pPr>
              <w:pStyle w:val="TableParagraph"/>
              <w:rPr>
                <w:rFonts w:ascii="Times New Roman"/>
                <w:sz w:val="2"/>
              </w:rPr>
            </w:pPr>
          </w:p>
        </w:tc>
      </w:tr>
      <w:tr w:rsidR="00F65BCA" w14:paraId="1289D7B7" w14:textId="77777777">
        <w:trPr>
          <w:trHeight w:val="35"/>
        </w:trPr>
        <w:tc>
          <w:tcPr>
            <w:tcW w:w="526" w:type="dxa"/>
            <w:vMerge/>
            <w:tcBorders>
              <w:top w:val="nil"/>
            </w:tcBorders>
            <w:shd w:val="clear" w:color="auto" w:fill="FCE4D6"/>
          </w:tcPr>
          <w:p w14:paraId="2D5ABB2C" w14:textId="77777777" w:rsidR="00F65BCA" w:rsidRDefault="00F65BCA">
            <w:pPr>
              <w:rPr>
                <w:sz w:val="2"/>
                <w:szCs w:val="2"/>
              </w:rPr>
            </w:pPr>
          </w:p>
        </w:tc>
        <w:tc>
          <w:tcPr>
            <w:tcW w:w="732" w:type="dxa"/>
            <w:tcBorders>
              <w:top w:val="nil"/>
              <w:bottom w:val="nil"/>
            </w:tcBorders>
            <w:shd w:val="clear" w:color="auto" w:fill="FCE4D6"/>
          </w:tcPr>
          <w:p w14:paraId="0CCB4D58" w14:textId="77777777" w:rsidR="00F65BCA" w:rsidRDefault="00216117">
            <w:pPr>
              <w:pStyle w:val="TableParagraph"/>
              <w:spacing w:line="15" w:lineRule="exact"/>
              <w:ind w:left="4"/>
              <w:rPr>
                <w:sz w:val="3"/>
              </w:rPr>
            </w:pPr>
            <w:r>
              <w:rPr>
                <w:w w:val="105"/>
                <w:sz w:val="3"/>
              </w:rPr>
              <w:t>Bitter; BMW; BMW Alpina; Brilliance; Buick;</w:t>
            </w:r>
          </w:p>
        </w:tc>
        <w:tc>
          <w:tcPr>
            <w:tcW w:w="958" w:type="dxa"/>
            <w:gridSpan w:val="2"/>
            <w:tcBorders>
              <w:top w:val="nil"/>
              <w:bottom w:val="nil"/>
            </w:tcBorders>
            <w:shd w:val="clear" w:color="auto" w:fill="FCE4D6"/>
          </w:tcPr>
          <w:p w14:paraId="6E62F1F2"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64E8CDF8"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52328313" w14:textId="77777777" w:rsidR="00F65BCA" w:rsidRDefault="00F65BCA">
            <w:pPr>
              <w:pStyle w:val="TableParagraph"/>
              <w:rPr>
                <w:rFonts w:ascii="Times New Roman"/>
                <w:sz w:val="2"/>
              </w:rPr>
            </w:pPr>
          </w:p>
        </w:tc>
        <w:tc>
          <w:tcPr>
            <w:tcW w:w="50" w:type="dxa"/>
            <w:vMerge/>
            <w:tcBorders>
              <w:top w:val="nil"/>
              <w:bottom w:val="nil"/>
            </w:tcBorders>
          </w:tcPr>
          <w:p w14:paraId="76DB63E3" w14:textId="77777777" w:rsidR="00F65BCA" w:rsidRDefault="00F65BCA">
            <w:pPr>
              <w:rPr>
                <w:sz w:val="2"/>
                <w:szCs w:val="2"/>
              </w:rPr>
            </w:pPr>
          </w:p>
        </w:tc>
        <w:tc>
          <w:tcPr>
            <w:tcW w:w="288" w:type="dxa"/>
            <w:tcBorders>
              <w:top w:val="nil"/>
              <w:bottom w:val="nil"/>
            </w:tcBorders>
          </w:tcPr>
          <w:p w14:paraId="5994028F" w14:textId="77777777" w:rsidR="00F65BCA" w:rsidRDefault="00F65BCA">
            <w:pPr>
              <w:pStyle w:val="TableParagraph"/>
              <w:rPr>
                <w:rFonts w:ascii="Times New Roman"/>
                <w:sz w:val="2"/>
              </w:rPr>
            </w:pPr>
          </w:p>
        </w:tc>
        <w:tc>
          <w:tcPr>
            <w:tcW w:w="288" w:type="dxa"/>
            <w:tcBorders>
              <w:top w:val="nil"/>
              <w:bottom w:val="nil"/>
            </w:tcBorders>
          </w:tcPr>
          <w:p w14:paraId="1E3314F9" w14:textId="77777777" w:rsidR="00F65BCA" w:rsidRDefault="00F65BCA">
            <w:pPr>
              <w:pStyle w:val="TableParagraph"/>
              <w:rPr>
                <w:rFonts w:ascii="Times New Roman"/>
                <w:sz w:val="2"/>
              </w:rPr>
            </w:pPr>
          </w:p>
        </w:tc>
        <w:tc>
          <w:tcPr>
            <w:tcW w:w="288" w:type="dxa"/>
            <w:tcBorders>
              <w:top w:val="nil"/>
              <w:bottom w:val="nil"/>
            </w:tcBorders>
          </w:tcPr>
          <w:p w14:paraId="28B852F3" w14:textId="77777777" w:rsidR="00F65BCA" w:rsidRDefault="00F65BCA">
            <w:pPr>
              <w:pStyle w:val="TableParagraph"/>
              <w:rPr>
                <w:rFonts w:ascii="Times New Roman"/>
                <w:sz w:val="2"/>
              </w:rPr>
            </w:pPr>
          </w:p>
        </w:tc>
        <w:tc>
          <w:tcPr>
            <w:tcW w:w="288" w:type="dxa"/>
            <w:tcBorders>
              <w:top w:val="nil"/>
              <w:bottom w:val="nil"/>
            </w:tcBorders>
          </w:tcPr>
          <w:p w14:paraId="4252FA7C" w14:textId="77777777" w:rsidR="00F65BCA" w:rsidRDefault="00F65BCA">
            <w:pPr>
              <w:pStyle w:val="TableParagraph"/>
              <w:rPr>
                <w:rFonts w:ascii="Times New Roman"/>
                <w:sz w:val="2"/>
              </w:rPr>
            </w:pPr>
          </w:p>
        </w:tc>
        <w:tc>
          <w:tcPr>
            <w:tcW w:w="288" w:type="dxa"/>
            <w:tcBorders>
              <w:top w:val="nil"/>
              <w:bottom w:val="nil"/>
            </w:tcBorders>
          </w:tcPr>
          <w:p w14:paraId="04604875" w14:textId="77777777" w:rsidR="00F65BCA" w:rsidRDefault="00F65BCA">
            <w:pPr>
              <w:pStyle w:val="TableParagraph"/>
              <w:rPr>
                <w:rFonts w:ascii="Times New Roman"/>
                <w:sz w:val="2"/>
              </w:rPr>
            </w:pPr>
          </w:p>
        </w:tc>
        <w:tc>
          <w:tcPr>
            <w:tcW w:w="288" w:type="dxa"/>
            <w:tcBorders>
              <w:top w:val="nil"/>
              <w:bottom w:val="nil"/>
            </w:tcBorders>
          </w:tcPr>
          <w:p w14:paraId="7CC86912" w14:textId="77777777" w:rsidR="00F65BCA" w:rsidRDefault="00F65BCA">
            <w:pPr>
              <w:pStyle w:val="TableParagraph"/>
              <w:rPr>
                <w:rFonts w:ascii="Times New Roman"/>
                <w:sz w:val="2"/>
              </w:rPr>
            </w:pPr>
          </w:p>
        </w:tc>
        <w:tc>
          <w:tcPr>
            <w:tcW w:w="288" w:type="dxa"/>
            <w:tcBorders>
              <w:top w:val="nil"/>
              <w:bottom w:val="nil"/>
            </w:tcBorders>
          </w:tcPr>
          <w:p w14:paraId="2F73DD10" w14:textId="77777777" w:rsidR="00F65BCA" w:rsidRDefault="00F65BCA">
            <w:pPr>
              <w:pStyle w:val="TableParagraph"/>
              <w:rPr>
                <w:rFonts w:ascii="Times New Roman"/>
                <w:sz w:val="2"/>
              </w:rPr>
            </w:pPr>
          </w:p>
        </w:tc>
        <w:tc>
          <w:tcPr>
            <w:tcW w:w="288" w:type="dxa"/>
            <w:tcBorders>
              <w:top w:val="nil"/>
              <w:bottom w:val="nil"/>
            </w:tcBorders>
          </w:tcPr>
          <w:p w14:paraId="0AF47CAB" w14:textId="77777777" w:rsidR="00F65BCA" w:rsidRDefault="00F65BCA">
            <w:pPr>
              <w:pStyle w:val="TableParagraph"/>
              <w:rPr>
                <w:rFonts w:ascii="Times New Roman"/>
                <w:sz w:val="2"/>
              </w:rPr>
            </w:pPr>
          </w:p>
        </w:tc>
        <w:tc>
          <w:tcPr>
            <w:tcW w:w="288" w:type="dxa"/>
            <w:tcBorders>
              <w:top w:val="nil"/>
              <w:bottom w:val="nil"/>
            </w:tcBorders>
          </w:tcPr>
          <w:p w14:paraId="605F5508" w14:textId="77777777" w:rsidR="00F65BCA" w:rsidRDefault="00F65BCA">
            <w:pPr>
              <w:pStyle w:val="TableParagraph"/>
              <w:rPr>
                <w:rFonts w:ascii="Times New Roman"/>
                <w:sz w:val="2"/>
              </w:rPr>
            </w:pPr>
          </w:p>
        </w:tc>
        <w:tc>
          <w:tcPr>
            <w:tcW w:w="288" w:type="dxa"/>
            <w:tcBorders>
              <w:top w:val="nil"/>
              <w:bottom w:val="nil"/>
            </w:tcBorders>
          </w:tcPr>
          <w:p w14:paraId="444DF47D" w14:textId="77777777" w:rsidR="00F65BCA" w:rsidRDefault="00F65BCA">
            <w:pPr>
              <w:pStyle w:val="TableParagraph"/>
              <w:rPr>
                <w:rFonts w:ascii="Times New Roman"/>
                <w:sz w:val="2"/>
              </w:rPr>
            </w:pPr>
          </w:p>
        </w:tc>
        <w:tc>
          <w:tcPr>
            <w:tcW w:w="288" w:type="dxa"/>
            <w:tcBorders>
              <w:top w:val="nil"/>
              <w:bottom w:val="nil"/>
            </w:tcBorders>
          </w:tcPr>
          <w:p w14:paraId="7DA93E6A" w14:textId="77777777" w:rsidR="00F65BCA" w:rsidRDefault="00F65BCA">
            <w:pPr>
              <w:pStyle w:val="TableParagraph"/>
              <w:rPr>
                <w:rFonts w:ascii="Times New Roman"/>
                <w:sz w:val="2"/>
              </w:rPr>
            </w:pPr>
          </w:p>
        </w:tc>
        <w:tc>
          <w:tcPr>
            <w:tcW w:w="288" w:type="dxa"/>
            <w:tcBorders>
              <w:top w:val="nil"/>
              <w:bottom w:val="nil"/>
            </w:tcBorders>
          </w:tcPr>
          <w:p w14:paraId="60CC74FF" w14:textId="77777777" w:rsidR="00F65BCA" w:rsidRDefault="00F65BCA">
            <w:pPr>
              <w:pStyle w:val="TableParagraph"/>
              <w:rPr>
                <w:rFonts w:ascii="Times New Roman"/>
                <w:sz w:val="2"/>
              </w:rPr>
            </w:pPr>
          </w:p>
        </w:tc>
        <w:tc>
          <w:tcPr>
            <w:tcW w:w="288" w:type="dxa"/>
            <w:tcBorders>
              <w:top w:val="nil"/>
              <w:bottom w:val="nil"/>
            </w:tcBorders>
          </w:tcPr>
          <w:p w14:paraId="1EB14AA8" w14:textId="77777777" w:rsidR="00F65BCA" w:rsidRDefault="00F65BCA">
            <w:pPr>
              <w:pStyle w:val="TableParagraph"/>
              <w:rPr>
                <w:rFonts w:ascii="Times New Roman"/>
                <w:sz w:val="2"/>
              </w:rPr>
            </w:pPr>
          </w:p>
        </w:tc>
      </w:tr>
      <w:tr w:rsidR="00F65BCA" w14:paraId="4F6EE4BC" w14:textId="77777777">
        <w:trPr>
          <w:trHeight w:val="35"/>
        </w:trPr>
        <w:tc>
          <w:tcPr>
            <w:tcW w:w="526" w:type="dxa"/>
            <w:vMerge/>
            <w:tcBorders>
              <w:top w:val="nil"/>
            </w:tcBorders>
            <w:shd w:val="clear" w:color="auto" w:fill="FCE4D6"/>
          </w:tcPr>
          <w:p w14:paraId="4D25424C" w14:textId="77777777" w:rsidR="00F65BCA" w:rsidRDefault="00F65BCA">
            <w:pPr>
              <w:rPr>
                <w:sz w:val="2"/>
                <w:szCs w:val="2"/>
              </w:rPr>
            </w:pPr>
          </w:p>
        </w:tc>
        <w:tc>
          <w:tcPr>
            <w:tcW w:w="732" w:type="dxa"/>
            <w:tcBorders>
              <w:top w:val="nil"/>
              <w:bottom w:val="nil"/>
            </w:tcBorders>
            <w:shd w:val="clear" w:color="auto" w:fill="FCE4D6"/>
          </w:tcPr>
          <w:p w14:paraId="296D4E01" w14:textId="77777777" w:rsidR="00F65BCA" w:rsidRDefault="00216117">
            <w:pPr>
              <w:pStyle w:val="TableParagraph"/>
              <w:spacing w:line="15" w:lineRule="exact"/>
              <w:ind w:left="4"/>
              <w:rPr>
                <w:sz w:val="3"/>
              </w:rPr>
            </w:pPr>
            <w:r>
              <w:rPr>
                <w:w w:val="105"/>
                <w:sz w:val="3"/>
              </w:rPr>
              <w:t>Cadillac; Caterham; Daimler Company; Dodge;</w:t>
            </w:r>
          </w:p>
        </w:tc>
        <w:tc>
          <w:tcPr>
            <w:tcW w:w="958" w:type="dxa"/>
            <w:gridSpan w:val="2"/>
            <w:tcBorders>
              <w:top w:val="nil"/>
              <w:bottom w:val="nil"/>
            </w:tcBorders>
            <w:shd w:val="clear" w:color="auto" w:fill="FCE4D6"/>
          </w:tcPr>
          <w:p w14:paraId="61564185" w14:textId="77777777" w:rsidR="00F65BCA" w:rsidRDefault="00216117">
            <w:pPr>
              <w:pStyle w:val="TableParagraph"/>
              <w:spacing w:line="15" w:lineRule="exact"/>
              <w:ind w:left="1"/>
              <w:jc w:val="center"/>
              <w:rPr>
                <w:sz w:val="3"/>
              </w:rPr>
            </w:pPr>
            <w:r>
              <w:rPr>
                <w:w w:val="103"/>
                <w:sz w:val="3"/>
              </w:rPr>
              <w:t>-</w:t>
            </w:r>
          </w:p>
        </w:tc>
        <w:tc>
          <w:tcPr>
            <w:tcW w:w="576" w:type="dxa"/>
            <w:tcBorders>
              <w:top w:val="nil"/>
              <w:bottom w:val="nil"/>
            </w:tcBorders>
            <w:shd w:val="clear" w:color="auto" w:fill="FCE4D6"/>
          </w:tcPr>
          <w:p w14:paraId="451C7E42" w14:textId="77777777" w:rsidR="00F65BCA" w:rsidRDefault="00216117">
            <w:pPr>
              <w:pStyle w:val="TableParagraph"/>
              <w:spacing w:line="15" w:lineRule="exact"/>
              <w:ind w:left="129" w:right="127"/>
              <w:jc w:val="center"/>
              <w:rPr>
                <w:sz w:val="3"/>
              </w:rPr>
            </w:pPr>
            <w:r>
              <w:rPr>
                <w:w w:val="105"/>
                <w:sz w:val="3"/>
              </w:rPr>
              <w:t>0-1000 ccm</w:t>
            </w:r>
          </w:p>
        </w:tc>
        <w:tc>
          <w:tcPr>
            <w:tcW w:w="576" w:type="dxa"/>
            <w:tcBorders>
              <w:top w:val="nil"/>
              <w:bottom w:val="nil"/>
            </w:tcBorders>
            <w:shd w:val="clear" w:color="auto" w:fill="FCE4D6"/>
          </w:tcPr>
          <w:p w14:paraId="712475E0" w14:textId="77777777" w:rsidR="00F65BCA" w:rsidRDefault="00216117">
            <w:pPr>
              <w:pStyle w:val="TableParagraph"/>
              <w:spacing w:line="15" w:lineRule="exact"/>
              <w:ind w:left="3"/>
              <w:jc w:val="center"/>
              <w:rPr>
                <w:sz w:val="3"/>
              </w:rPr>
            </w:pPr>
            <w:r>
              <w:rPr>
                <w:w w:val="103"/>
                <w:sz w:val="3"/>
              </w:rPr>
              <w:t>-</w:t>
            </w:r>
          </w:p>
        </w:tc>
        <w:tc>
          <w:tcPr>
            <w:tcW w:w="50" w:type="dxa"/>
            <w:vMerge/>
            <w:tcBorders>
              <w:top w:val="nil"/>
              <w:bottom w:val="nil"/>
            </w:tcBorders>
          </w:tcPr>
          <w:p w14:paraId="1ECB12A8" w14:textId="77777777" w:rsidR="00F65BCA" w:rsidRDefault="00F65BCA">
            <w:pPr>
              <w:rPr>
                <w:sz w:val="2"/>
                <w:szCs w:val="2"/>
              </w:rPr>
            </w:pPr>
          </w:p>
        </w:tc>
        <w:tc>
          <w:tcPr>
            <w:tcW w:w="288" w:type="dxa"/>
            <w:tcBorders>
              <w:top w:val="nil"/>
              <w:bottom w:val="nil"/>
            </w:tcBorders>
          </w:tcPr>
          <w:p w14:paraId="6F97694E" w14:textId="77777777" w:rsidR="00F65BCA" w:rsidRDefault="00216117">
            <w:pPr>
              <w:pStyle w:val="TableParagraph"/>
              <w:spacing w:line="15" w:lineRule="exact"/>
              <w:ind w:left="24" w:right="24"/>
              <w:jc w:val="center"/>
              <w:rPr>
                <w:sz w:val="3"/>
              </w:rPr>
            </w:pPr>
            <w:r>
              <w:rPr>
                <w:w w:val="105"/>
                <w:sz w:val="3"/>
              </w:rPr>
              <w:t>1,79088000%</w:t>
            </w:r>
          </w:p>
        </w:tc>
        <w:tc>
          <w:tcPr>
            <w:tcW w:w="288" w:type="dxa"/>
            <w:tcBorders>
              <w:top w:val="nil"/>
              <w:bottom w:val="nil"/>
            </w:tcBorders>
          </w:tcPr>
          <w:p w14:paraId="1EAFD0F8" w14:textId="77777777" w:rsidR="00F65BCA" w:rsidRDefault="00216117">
            <w:pPr>
              <w:pStyle w:val="TableParagraph"/>
              <w:spacing w:line="15" w:lineRule="exact"/>
              <w:ind w:left="24" w:right="24"/>
              <w:jc w:val="center"/>
              <w:rPr>
                <w:sz w:val="3"/>
              </w:rPr>
            </w:pPr>
            <w:r>
              <w:rPr>
                <w:w w:val="105"/>
                <w:sz w:val="3"/>
              </w:rPr>
              <w:t>1,67895000%</w:t>
            </w:r>
          </w:p>
        </w:tc>
        <w:tc>
          <w:tcPr>
            <w:tcW w:w="288" w:type="dxa"/>
            <w:tcBorders>
              <w:top w:val="nil"/>
              <w:bottom w:val="nil"/>
            </w:tcBorders>
          </w:tcPr>
          <w:p w14:paraId="59F088D8" w14:textId="77777777" w:rsidR="00F65BCA" w:rsidRDefault="00216117">
            <w:pPr>
              <w:pStyle w:val="TableParagraph"/>
              <w:spacing w:line="15" w:lineRule="exact"/>
              <w:ind w:left="47"/>
              <w:rPr>
                <w:sz w:val="3"/>
              </w:rPr>
            </w:pPr>
            <w:r>
              <w:rPr>
                <w:w w:val="105"/>
                <w:sz w:val="3"/>
              </w:rPr>
              <w:t>1,60059900%</w:t>
            </w:r>
          </w:p>
        </w:tc>
        <w:tc>
          <w:tcPr>
            <w:tcW w:w="288" w:type="dxa"/>
            <w:tcBorders>
              <w:top w:val="nil"/>
              <w:bottom w:val="nil"/>
            </w:tcBorders>
          </w:tcPr>
          <w:p w14:paraId="7BBE9CA2" w14:textId="77777777" w:rsidR="00F65BCA" w:rsidRDefault="00216117">
            <w:pPr>
              <w:pStyle w:val="TableParagraph"/>
              <w:spacing w:line="15" w:lineRule="exact"/>
              <w:ind w:left="24" w:right="24"/>
              <w:jc w:val="center"/>
              <w:rPr>
                <w:sz w:val="3"/>
              </w:rPr>
            </w:pPr>
            <w:r>
              <w:rPr>
                <w:w w:val="105"/>
                <w:sz w:val="3"/>
              </w:rPr>
              <w:t>1,51105500%</w:t>
            </w:r>
          </w:p>
        </w:tc>
        <w:tc>
          <w:tcPr>
            <w:tcW w:w="288" w:type="dxa"/>
            <w:tcBorders>
              <w:top w:val="nil"/>
              <w:bottom w:val="nil"/>
            </w:tcBorders>
          </w:tcPr>
          <w:p w14:paraId="5A8BEEB5" w14:textId="77777777" w:rsidR="00F65BCA" w:rsidRDefault="00216117">
            <w:pPr>
              <w:pStyle w:val="TableParagraph"/>
              <w:spacing w:line="15" w:lineRule="exact"/>
              <w:ind w:left="47"/>
              <w:rPr>
                <w:sz w:val="3"/>
              </w:rPr>
            </w:pPr>
            <w:r>
              <w:rPr>
                <w:w w:val="105"/>
                <w:sz w:val="3"/>
              </w:rPr>
              <w:t>1,43270400%</w:t>
            </w:r>
          </w:p>
        </w:tc>
        <w:tc>
          <w:tcPr>
            <w:tcW w:w="288" w:type="dxa"/>
            <w:tcBorders>
              <w:top w:val="nil"/>
              <w:bottom w:val="nil"/>
            </w:tcBorders>
          </w:tcPr>
          <w:p w14:paraId="45517955" w14:textId="77777777" w:rsidR="00F65BCA" w:rsidRDefault="00216117">
            <w:pPr>
              <w:pStyle w:val="TableParagraph"/>
              <w:spacing w:line="15" w:lineRule="exact"/>
              <w:ind w:left="24" w:right="24"/>
              <w:jc w:val="center"/>
              <w:rPr>
                <w:sz w:val="3"/>
              </w:rPr>
            </w:pPr>
            <w:r>
              <w:rPr>
                <w:w w:val="105"/>
                <w:sz w:val="3"/>
              </w:rPr>
              <w:t>1,33196700%</w:t>
            </w:r>
          </w:p>
        </w:tc>
        <w:tc>
          <w:tcPr>
            <w:tcW w:w="288" w:type="dxa"/>
            <w:tcBorders>
              <w:top w:val="nil"/>
              <w:bottom w:val="nil"/>
            </w:tcBorders>
          </w:tcPr>
          <w:p w14:paraId="61A89B14" w14:textId="77777777" w:rsidR="00F65BCA" w:rsidRDefault="00216117">
            <w:pPr>
              <w:pStyle w:val="TableParagraph"/>
              <w:spacing w:line="15" w:lineRule="exact"/>
              <w:ind w:left="24" w:right="24"/>
              <w:jc w:val="center"/>
              <w:rPr>
                <w:sz w:val="3"/>
              </w:rPr>
            </w:pPr>
            <w:r>
              <w:rPr>
                <w:w w:val="105"/>
                <w:sz w:val="3"/>
              </w:rPr>
              <w:t>1,23123000%</w:t>
            </w:r>
          </w:p>
        </w:tc>
        <w:tc>
          <w:tcPr>
            <w:tcW w:w="288" w:type="dxa"/>
            <w:tcBorders>
              <w:top w:val="nil"/>
              <w:bottom w:val="nil"/>
            </w:tcBorders>
          </w:tcPr>
          <w:p w14:paraId="1C522902" w14:textId="77777777" w:rsidR="00F65BCA" w:rsidRDefault="00216117">
            <w:pPr>
              <w:pStyle w:val="TableParagraph"/>
              <w:spacing w:line="15" w:lineRule="exact"/>
              <w:ind w:left="47"/>
              <w:rPr>
                <w:sz w:val="3"/>
              </w:rPr>
            </w:pPr>
            <w:r>
              <w:rPr>
                <w:w w:val="105"/>
                <w:sz w:val="3"/>
              </w:rPr>
              <w:t>1,11930000%</w:t>
            </w:r>
          </w:p>
        </w:tc>
        <w:tc>
          <w:tcPr>
            <w:tcW w:w="288" w:type="dxa"/>
            <w:tcBorders>
              <w:top w:val="nil"/>
              <w:bottom w:val="nil"/>
            </w:tcBorders>
          </w:tcPr>
          <w:p w14:paraId="16FBE3EE" w14:textId="77777777" w:rsidR="00F65BCA" w:rsidRDefault="00216117">
            <w:pPr>
              <w:pStyle w:val="TableParagraph"/>
              <w:spacing w:line="15" w:lineRule="exact"/>
              <w:ind w:left="24" w:right="24"/>
              <w:jc w:val="center"/>
              <w:rPr>
                <w:sz w:val="3"/>
              </w:rPr>
            </w:pPr>
            <w:r>
              <w:rPr>
                <w:w w:val="105"/>
                <w:sz w:val="3"/>
              </w:rPr>
              <w:t>1,11930000%</w:t>
            </w:r>
          </w:p>
        </w:tc>
        <w:tc>
          <w:tcPr>
            <w:tcW w:w="288" w:type="dxa"/>
            <w:tcBorders>
              <w:top w:val="nil"/>
              <w:bottom w:val="nil"/>
            </w:tcBorders>
          </w:tcPr>
          <w:p w14:paraId="5863EFC3" w14:textId="77777777" w:rsidR="00F65BCA" w:rsidRDefault="00216117">
            <w:pPr>
              <w:pStyle w:val="TableParagraph"/>
              <w:spacing w:line="15" w:lineRule="exact"/>
              <w:ind w:left="24" w:right="24"/>
              <w:jc w:val="center"/>
              <w:rPr>
                <w:sz w:val="3"/>
              </w:rPr>
            </w:pPr>
            <w:r>
              <w:rPr>
                <w:w w:val="105"/>
                <w:sz w:val="3"/>
              </w:rPr>
              <w:t>1,34316000%</w:t>
            </w:r>
          </w:p>
        </w:tc>
        <w:tc>
          <w:tcPr>
            <w:tcW w:w="288" w:type="dxa"/>
            <w:tcBorders>
              <w:top w:val="nil"/>
              <w:bottom w:val="nil"/>
            </w:tcBorders>
          </w:tcPr>
          <w:p w14:paraId="0CF1DE90" w14:textId="77777777" w:rsidR="00F65BCA" w:rsidRDefault="00216117">
            <w:pPr>
              <w:pStyle w:val="TableParagraph"/>
              <w:spacing w:line="15" w:lineRule="exact"/>
              <w:ind w:left="24" w:right="24"/>
              <w:jc w:val="center"/>
              <w:rPr>
                <w:sz w:val="3"/>
              </w:rPr>
            </w:pPr>
            <w:r>
              <w:rPr>
                <w:w w:val="105"/>
                <w:sz w:val="3"/>
              </w:rPr>
              <w:t>1,51105500%</w:t>
            </w:r>
          </w:p>
        </w:tc>
        <w:tc>
          <w:tcPr>
            <w:tcW w:w="288" w:type="dxa"/>
            <w:tcBorders>
              <w:top w:val="nil"/>
              <w:bottom w:val="nil"/>
            </w:tcBorders>
          </w:tcPr>
          <w:p w14:paraId="35F4022B" w14:textId="77777777" w:rsidR="00F65BCA" w:rsidRDefault="00216117">
            <w:pPr>
              <w:pStyle w:val="TableParagraph"/>
              <w:spacing w:line="15" w:lineRule="exact"/>
              <w:ind w:left="24" w:right="24"/>
              <w:jc w:val="center"/>
              <w:rPr>
                <w:sz w:val="3"/>
              </w:rPr>
            </w:pPr>
            <w:r>
              <w:rPr>
                <w:w w:val="105"/>
                <w:sz w:val="3"/>
              </w:rPr>
              <w:t>1,51105500%</w:t>
            </w:r>
          </w:p>
        </w:tc>
        <w:tc>
          <w:tcPr>
            <w:tcW w:w="288" w:type="dxa"/>
            <w:tcBorders>
              <w:top w:val="nil"/>
              <w:bottom w:val="nil"/>
            </w:tcBorders>
          </w:tcPr>
          <w:p w14:paraId="6D040CE0" w14:textId="77777777" w:rsidR="00F65BCA" w:rsidRDefault="00216117">
            <w:pPr>
              <w:pStyle w:val="TableParagraph"/>
              <w:spacing w:line="15" w:lineRule="exact"/>
              <w:ind w:left="47"/>
              <w:rPr>
                <w:sz w:val="3"/>
              </w:rPr>
            </w:pPr>
            <w:r>
              <w:rPr>
                <w:w w:val="105"/>
                <w:sz w:val="3"/>
              </w:rPr>
              <w:t>1,67895000%</w:t>
            </w:r>
          </w:p>
        </w:tc>
      </w:tr>
      <w:tr w:rsidR="00F65BCA" w14:paraId="4596AFEC" w14:textId="77777777">
        <w:trPr>
          <w:trHeight w:val="35"/>
        </w:trPr>
        <w:tc>
          <w:tcPr>
            <w:tcW w:w="526" w:type="dxa"/>
            <w:vMerge/>
            <w:tcBorders>
              <w:top w:val="nil"/>
            </w:tcBorders>
            <w:shd w:val="clear" w:color="auto" w:fill="FCE4D6"/>
          </w:tcPr>
          <w:p w14:paraId="6C49E7C5" w14:textId="77777777" w:rsidR="00F65BCA" w:rsidRDefault="00F65BCA">
            <w:pPr>
              <w:rPr>
                <w:sz w:val="2"/>
                <w:szCs w:val="2"/>
              </w:rPr>
            </w:pPr>
          </w:p>
        </w:tc>
        <w:tc>
          <w:tcPr>
            <w:tcW w:w="732" w:type="dxa"/>
            <w:tcBorders>
              <w:top w:val="nil"/>
              <w:bottom w:val="nil"/>
            </w:tcBorders>
            <w:shd w:val="clear" w:color="auto" w:fill="FCE4D6"/>
          </w:tcPr>
          <w:p w14:paraId="6A4D6AD9" w14:textId="77777777" w:rsidR="00F65BCA" w:rsidRDefault="00216117">
            <w:pPr>
              <w:pStyle w:val="TableParagraph"/>
              <w:spacing w:line="15" w:lineRule="exact"/>
              <w:ind w:left="4"/>
              <w:rPr>
                <w:sz w:val="3"/>
              </w:rPr>
            </w:pPr>
            <w:r>
              <w:rPr>
                <w:w w:val="105"/>
                <w:sz w:val="3"/>
              </w:rPr>
              <w:t>Eagle; Ferrari; Fisker; Geo; Gillet; GMC; Gonow;</w:t>
            </w:r>
          </w:p>
        </w:tc>
        <w:tc>
          <w:tcPr>
            <w:tcW w:w="958" w:type="dxa"/>
            <w:gridSpan w:val="2"/>
            <w:tcBorders>
              <w:top w:val="nil"/>
              <w:bottom w:val="nil"/>
            </w:tcBorders>
            <w:shd w:val="clear" w:color="auto" w:fill="FCE4D6"/>
          </w:tcPr>
          <w:p w14:paraId="3708F175"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6D23DB2F"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139C976F" w14:textId="77777777" w:rsidR="00F65BCA" w:rsidRDefault="00F65BCA">
            <w:pPr>
              <w:pStyle w:val="TableParagraph"/>
              <w:rPr>
                <w:rFonts w:ascii="Times New Roman"/>
                <w:sz w:val="2"/>
              </w:rPr>
            </w:pPr>
          </w:p>
        </w:tc>
        <w:tc>
          <w:tcPr>
            <w:tcW w:w="50" w:type="dxa"/>
            <w:vMerge/>
            <w:tcBorders>
              <w:top w:val="nil"/>
              <w:bottom w:val="nil"/>
            </w:tcBorders>
          </w:tcPr>
          <w:p w14:paraId="796A2C73" w14:textId="77777777" w:rsidR="00F65BCA" w:rsidRDefault="00F65BCA">
            <w:pPr>
              <w:rPr>
                <w:sz w:val="2"/>
                <w:szCs w:val="2"/>
              </w:rPr>
            </w:pPr>
          </w:p>
        </w:tc>
        <w:tc>
          <w:tcPr>
            <w:tcW w:w="288" w:type="dxa"/>
            <w:tcBorders>
              <w:top w:val="nil"/>
              <w:bottom w:val="nil"/>
            </w:tcBorders>
          </w:tcPr>
          <w:p w14:paraId="793841A4" w14:textId="77777777" w:rsidR="00F65BCA" w:rsidRDefault="00F65BCA">
            <w:pPr>
              <w:pStyle w:val="TableParagraph"/>
              <w:rPr>
                <w:rFonts w:ascii="Times New Roman"/>
                <w:sz w:val="2"/>
              </w:rPr>
            </w:pPr>
          </w:p>
        </w:tc>
        <w:tc>
          <w:tcPr>
            <w:tcW w:w="288" w:type="dxa"/>
            <w:tcBorders>
              <w:top w:val="nil"/>
              <w:bottom w:val="nil"/>
            </w:tcBorders>
          </w:tcPr>
          <w:p w14:paraId="7E3B392B" w14:textId="77777777" w:rsidR="00F65BCA" w:rsidRDefault="00F65BCA">
            <w:pPr>
              <w:pStyle w:val="TableParagraph"/>
              <w:rPr>
                <w:rFonts w:ascii="Times New Roman"/>
                <w:sz w:val="2"/>
              </w:rPr>
            </w:pPr>
          </w:p>
        </w:tc>
        <w:tc>
          <w:tcPr>
            <w:tcW w:w="288" w:type="dxa"/>
            <w:tcBorders>
              <w:top w:val="nil"/>
              <w:bottom w:val="nil"/>
            </w:tcBorders>
          </w:tcPr>
          <w:p w14:paraId="410D2BEB" w14:textId="77777777" w:rsidR="00F65BCA" w:rsidRDefault="00F65BCA">
            <w:pPr>
              <w:pStyle w:val="TableParagraph"/>
              <w:rPr>
                <w:rFonts w:ascii="Times New Roman"/>
                <w:sz w:val="2"/>
              </w:rPr>
            </w:pPr>
          </w:p>
        </w:tc>
        <w:tc>
          <w:tcPr>
            <w:tcW w:w="288" w:type="dxa"/>
            <w:tcBorders>
              <w:top w:val="nil"/>
              <w:bottom w:val="nil"/>
            </w:tcBorders>
          </w:tcPr>
          <w:p w14:paraId="315AB59B" w14:textId="77777777" w:rsidR="00F65BCA" w:rsidRDefault="00F65BCA">
            <w:pPr>
              <w:pStyle w:val="TableParagraph"/>
              <w:rPr>
                <w:rFonts w:ascii="Times New Roman"/>
                <w:sz w:val="2"/>
              </w:rPr>
            </w:pPr>
          </w:p>
        </w:tc>
        <w:tc>
          <w:tcPr>
            <w:tcW w:w="288" w:type="dxa"/>
            <w:tcBorders>
              <w:top w:val="nil"/>
              <w:bottom w:val="nil"/>
            </w:tcBorders>
          </w:tcPr>
          <w:p w14:paraId="7FF5CFF9" w14:textId="77777777" w:rsidR="00F65BCA" w:rsidRDefault="00F65BCA">
            <w:pPr>
              <w:pStyle w:val="TableParagraph"/>
              <w:rPr>
                <w:rFonts w:ascii="Times New Roman"/>
                <w:sz w:val="2"/>
              </w:rPr>
            </w:pPr>
          </w:p>
        </w:tc>
        <w:tc>
          <w:tcPr>
            <w:tcW w:w="288" w:type="dxa"/>
            <w:tcBorders>
              <w:top w:val="nil"/>
              <w:bottom w:val="nil"/>
            </w:tcBorders>
          </w:tcPr>
          <w:p w14:paraId="14388D67" w14:textId="77777777" w:rsidR="00F65BCA" w:rsidRDefault="00F65BCA">
            <w:pPr>
              <w:pStyle w:val="TableParagraph"/>
              <w:rPr>
                <w:rFonts w:ascii="Times New Roman"/>
                <w:sz w:val="2"/>
              </w:rPr>
            </w:pPr>
          </w:p>
        </w:tc>
        <w:tc>
          <w:tcPr>
            <w:tcW w:w="288" w:type="dxa"/>
            <w:tcBorders>
              <w:top w:val="nil"/>
              <w:bottom w:val="nil"/>
            </w:tcBorders>
          </w:tcPr>
          <w:p w14:paraId="58956B54" w14:textId="77777777" w:rsidR="00F65BCA" w:rsidRDefault="00F65BCA">
            <w:pPr>
              <w:pStyle w:val="TableParagraph"/>
              <w:rPr>
                <w:rFonts w:ascii="Times New Roman"/>
                <w:sz w:val="2"/>
              </w:rPr>
            </w:pPr>
          </w:p>
        </w:tc>
        <w:tc>
          <w:tcPr>
            <w:tcW w:w="288" w:type="dxa"/>
            <w:tcBorders>
              <w:top w:val="nil"/>
              <w:bottom w:val="nil"/>
            </w:tcBorders>
          </w:tcPr>
          <w:p w14:paraId="77435738" w14:textId="77777777" w:rsidR="00F65BCA" w:rsidRDefault="00F65BCA">
            <w:pPr>
              <w:pStyle w:val="TableParagraph"/>
              <w:rPr>
                <w:rFonts w:ascii="Times New Roman"/>
                <w:sz w:val="2"/>
              </w:rPr>
            </w:pPr>
          </w:p>
        </w:tc>
        <w:tc>
          <w:tcPr>
            <w:tcW w:w="288" w:type="dxa"/>
            <w:tcBorders>
              <w:top w:val="nil"/>
              <w:bottom w:val="nil"/>
            </w:tcBorders>
          </w:tcPr>
          <w:p w14:paraId="6D75FA26" w14:textId="77777777" w:rsidR="00F65BCA" w:rsidRDefault="00F65BCA">
            <w:pPr>
              <w:pStyle w:val="TableParagraph"/>
              <w:rPr>
                <w:rFonts w:ascii="Times New Roman"/>
                <w:sz w:val="2"/>
              </w:rPr>
            </w:pPr>
          </w:p>
        </w:tc>
        <w:tc>
          <w:tcPr>
            <w:tcW w:w="288" w:type="dxa"/>
            <w:tcBorders>
              <w:top w:val="nil"/>
              <w:bottom w:val="nil"/>
            </w:tcBorders>
          </w:tcPr>
          <w:p w14:paraId="620A78EA" w14:textId="77777777" w:rsidR="00F65BCA" w:rsidRDefault="00F65BCA">
            <w:pPr>
              <w:pStyle w:val="TableParagraph"/>
              <w:rPr>
                <w:rFonts w:ascii="Times New Roman"/>
                <w:sz w:val="2"/>
              </w:rPr>
            </w:pPr>
          </w:p>
        </w:tc>
        <w:tc>
          <w:tcPr>
            <w:tcW w:w="288" w:type="dxa"/>
            <w:tcBorders>
              <w:top w:val="nil"/>
              <w:bottom w:val="nil"/>
            </w:tcBorders>
          </w:tcPr>
          <w:p w14:paraId="46CDA59D" w14:textId="77777777" w:rsidR="00F65BCA" w:rsidRDefault="00F65BCA">
            <w:pPr>
              <w:pStyle w:val="TableParagraph"/>
              <w:rPr>
                <w:rFonts w:ascii="Times New Roman"/>
                <w:sz w:val="2"/>
              </w:rPr>
            </w:pPr>
          </w:p>
        </w:tc>
        <w:tc>
          <w:tcPr>
            <w:tcW w:w="288" w:type="dxa"/>
            <w:tcBorders>
              <w:top w:val="nil"/>
              <w:bottom w:val="nil"/>
            </w:tcBorders>
          </w:tcPr>
          <w:p w14:paraId="5A57547F" w14:textId="77777777" w:rsidR="00F65BCA" w:rsidRDefault="00F65BCA">
            <w:pPr>
              <w:pStyle w:val="TableParagraph"/>
              <w:rPr>
                <w:rFonts w:ascii="Times New Roman"/>
                <w:sz w:val="2"/>
              </w:rPr>
            </w:pPr>
          </w:p>
        </w:tc>
        <w:tc>
          <w:tcPr>
            <w:tcW w:w="288" w:type="dxa"/>
            <w:tcBorders>
              <w:top w:val="nil"/>
              <w:bottom w:val="nil"/>
            </w:tcBorders>
          </w:tcPr>
          <w:p w14:paraId="63516B85" w14:textId="77777777" w:rsidR="00F65BCA" w:rsidRDefault="00F65BCA">
            <w:pPr>
              <w:pStyle w:val="TableParagraph"/>
              <w:rPr>
                <w:rFonts w:ascii="Times New Roman"/>
                <w:sz w:val="2"/>
              </w:rPr>
            </w:pPr>
          </w:p>
        </w:tc>
      </w:tr>
      <w:tr w:rsidR="00F65BCA" w14:paraId="27FE2CC4" w14:textId="77777777">
        <w:trPr>
          <w:trHeight w:val="35"/>
        </w:trPr>
        <w:tc>
          <w:tcPr>
            <w:tcW w:w="526" w:type="dxa"/>
            <w:vMerge/>
            <w:tcBorders>
              <w:top w:val="nil"/>
            </w:tcBorders>
            <w:shd w:val="clear" w:color="auto" w:fill="FCE4D6"/>
          </w:tcPr>
          <w:p w14:paraId="40E7CC12" w14:textId="77777777" w:rsidR="00F65BCA" w:rsidRDefault="00F65BCA">
            <w:pPr>
              <w:rPr>
                <w:sz w:val="2"/>
                <w:szCs w:val="2"/>
              </w:rPr>
            </w:pPr>
          </w:p>
        </w:tc>
        <w:tc>
          <w:tcPr>
            <w:tcW w:w="732" w:type="dxa"/>
            <w:tcBorders>
              <w:top w:val="nil"/>
              <w:bottom w:val="nil"/>
            </w:tcBorders>
            <w:shd w:val="clear" w:color="auto" w:fill="FCE4D6"/>
          </w:tcPr>
          <w:p w14:paraId="178CB87E" w14:textId="77777777" w:rsidR="00F65BCA" w:rsidRDefault="00216117">
            <w:pPr>
              <w:pStyle w:val="TableParagraph"/>
              <w:spacing w:line="15" w:lineRule="exact"/>
              <w:ind w:left="4"/>
              <w:rPr>
                <w:sz w:val="3"/>
              </w:rPr>
            </w:pPr>
            <w:r>
              <w:rPr>
                <w:w w:val="105"/>
                <w:sz w:val="3"/>
              </w:rPr>
              <w:t>Gordon; Great Wall; Honker; Hotrod; Hummer;</w:t>
            </w:r>
          </w:p>
        </w:tc>
        <w:tc>
          <w:tcPr>
            <w:tcW w:w="958" w:type="dxa"/>
            <w:gridSpan w:val="2"/>
            <w:tcBorders>
              <w:top w:val="nil"/>
              <w:bottom w:val="nil"/>
            </w:tcBorders>
            <w:shd w:val="clear" w:color="auto" w:fill="FCE4D6"/>
          </w:tcPr>
          <w:p w14:paraId="0C8E671C"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4E164C87"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4882A917" w14:textId="77777777" w:rsidR="00F65BCA" w:rsidRDefault="00F65BCA">
            <w:pPr>
              <w:pStyle w:val="TableParagraph"/>
              <w:rPr>
                <w:rFonts w:ascii="Times New Roman"/>
                <w:sz w:val="2"/>
              </w:rPr>
            </w:pPr>
          </w:p>
        </w:tc>
        <w:tc>
          <w:tcPr>
            <w:tcW w:w="50" w:type="dxa"/>
            <w:vMerge/>
            <w:tcBorders>
              <w:top w:val="nil"/>
              <w:bottom w:val="nil"/>
            </w:tcBorders>
          </w:tcPr>
          <w:p w14:paraId="579DAD39" w14:textId="77777777" w:rsidR="00F65BCA" w:rsidRDefault="00F65BCA">
            <w:pPr>
              <w:rPr>
                <w:sz w:val="2"/>
                <w:szCs w:val="2"/>
              </w:rPr>
            </w:pPr>
          </w:p>
        </w:tc>
        <w:tc>
          <w:tcPr>
            <w:tcW w:w="288" w:type="dxa"/>
            <w:tcBorders>
              <w:top w:val="nil"/>
              <w:bottom w:val="nil"/>
            </w:tcBorders>
          </w:tcPr>
          <w:p w14:paraId="570B43B0" w14:textId="77777777" w:rsidR="00F65BCA" w:rsidRDefault="00F65BCA">
            <w:pPr>
              <w:pStyle w:val="TableParagraph"/>
              <w:rPr>
                <w:rFonts w:ascii="Times New Roman"/>
                <w:sz w:val="2"/>
              </w:rPr>
            </w:pPr>
          </w:p>
        </w:tc>
        <w:tc>
          <w:tcPr>
            <w:tcW w:w="288" w:type="dxa"/>
            <w:tcBorders>
              <w:top w:val="nil"/>
              <w:bottom w:val="nil"/>
            </w:tcBorders>
          </w:tcPr>
          <w:p w14:paraId="6630AAED" w14:textId="77777777" w:rsidR="00F65BCA" w:rsidRDefault="00F65BCA">
            <w:pPr>
              <w:pStyle w:val="TableParagraph"/>
              <w:rPr>
                <w:rFonts w:ascii="Times New Roman"/>
                <w:sz w:val="2"/>
              </w:rPr>
            </w:pPr>
          </w:p>
        </w:tc>
        <w:tc>
          <w:tcPr>
            <w:tcW w:w="288" w:type="dxa"/>
            <w:tcBorders>
              <w:top w:val="nil"/>
              <w:bottom w:val="nil"/>
            </w:tcBorders>
          </w:tcPr>
          <w:p w14:paraId="741A26D4" w14:textId="77777777" w:rsidR="00F65BCA" w:rsidRDefault="00F65BCA">
            <w:pPr>
              <w:pStyle w:val="TableParagraph"/>
              <w:rPr>
                <w:rFonts w:ascii="Times New Roman"/>
                <w:sz w:val="2"/>
              </w:rPr>
            </w:pPr>
          </w:p>
        </w:tc>
        <w:tc>
          <w:tcPr>
            <w:tcW w:w="288" w:type="dxa"/>
            <w:tcBorders>
              <w:top w:val="nil"/>
              <w:bottom w:val="nil"/>
            </w:tcBorders>
          </w:tcPr>
          <w:p w14:paraId="2A507FF7" w14:textId="77777777" w:rsidR="00F65BCA" w:rsidRDefault="00F65BCA">
            <w:pPr>
              <w:pStyle w:val="TableParagraph"/>
              <w:rPr>
                <w:rFonts w:ascii="Times New Roman"/>
                <w:sz w:val="2"/>
              </w:rPr>
            </w:pPr>
          </w:p>
        </w:tc>
        <w:tc>
          <w:tcPr>
            <w:tcW w:w="288" w:type="dxa"/>
            <w:tcBorders>
              <w:top w:val="nil"/>
              <w:bottom w:val="nil"/>
            </w:tcBorders>
          </w:tcPr>
          <w:p w14:paraId="6D49DE66" w14:textId="77777777" w:rsidR="00F65BCA" w:rsidRDefault="00F65BCA">
            <w:pPr>
              <w:pStyle w:val="TableParagraph"/>
              <w:rPr>
                <w:rFonts w:ascii="Times New Roman"/>
                <w:sz w:val="2"/>
              </w:rPr>
            </w:pPr>
          </w:p>
        </w:tc>
        <w:tc>
          <w:tcPr>
            <w:tcW w:w="288" w:type="dxa"/>
            <w:tcBorders>
              <w:top w:val="nil"/>
              <w:bottom w:val="nil"/>
            </w:tcBorders>
          </w:tcPr>
          <w:p w14:paraId="45E5EDAF" w14:textId="77777777" w:rsidR="00F65BCA" w:rsidRDefault="00F65BCA">
            <w:pPr>
              <w:pStyle w:val="TableParagraph"/>
              <w:rPr>
                <w:rFonts w:ascii="Times New Roman"/>
                <w:sz w:val="2"/>
              </w:rPr>
            </w:pPr>
          </w:p>
        </w:tc>
        <w:tc>
          <w:tcPr>
            <w:tcW w:w="288" w:type="dxa"/>
            <w:tcBorders>
              <w:top w:val="nil"/>
              <w:bottom w:val="nil"/>
            </w:tcBorders>
          </w:tcPr>
          <w:p w14:paraId="20DC2B84" w14:textId="77777777" w:rsidR="00F65BCA" w:rsidRDefault="00F65BCA">
            <w:pPr>
              <w:pStyle w:val="TableParagraph"/>
              <w:rPr>
                <w:rFonts w:ascii="Times New Roman"/>
                <w:sz w:val="2"/>
              </w:rPr>
            </w:pPr>
          </w:p>
        </w:tc>
        <w:tc>
          <w:tcPr>
            <w:tcW w:w="288" w:type="dxa"/>
            <w:tcBorders>
              <w:top w:val="nil"/>
              <w:bottom w:val="nil"/>
            </w:tcBorders>
          </w:tcPr>
          <w:p w14:paraId="397E31BB" w14:textId="77777777" w:rsidR="00F65BCA" w:rsidRDefault="00F65BCA">
            <w:pPr>
              <w:pStyle w:val="TableParagraph"/>
              <w:rPr>
                <w:rFonts w:ascii="Times New Roman"/>
                <w:sz w:val="2"/>
              </w:rPr>
            </w:pPr>
          </w:p>
        </w:tc>
        <w:tc>
          <w:tcPr>
            <w:tcW w:w="288" w:type="dxa"/>
            <w:tcBorders>
              <w:top w:val="nil"/>
              <w:bottom w:val="nil"/>
            </w:tcBorders>
          </w:tcPr>
          <w:p w14:paraId="3946B76A" w14:textId="77777777" w:rsidR="00F65BCA" w:rsidRDefault="00F65BCA">
            <w:pPr>
              <w:pStyle w:val="TableParagraph"/>
              <w:rPr>
                <w:rFonts w:ascii="Times New Roman"/>
                <w:sz w:val="2"/>
              </w:rPr>
            </w:pPr>
          </w:p>
        </w:tc>
        <w:tc>
          <w:tcPr>
            <w:tcW w:w="288" w:type="dxa"/>
            <w:tcBorders>
              <w:top w:val="nil"/>
              <w:bottom w:val="nil"/>
            </w:tcBorders>
          </w:tcPr>
          <w:p w14:paraId="68F7273C" w14:textId="77777777" w:rsidR="00F65BCA" w:rsidRDefault="00F65BCA">
            <w:pPr>
              <w:pStyle w:val="TableParagraph"/>
              <w:rPr>
                <w:rFonts w:ascii="Times New Roman"/>
                <w:sz w:val="2"/>
              </w:rPr>
            </w:pPr>
          </w:p>
        </w:tc>
        <w:tc>
          <w:tcPr>
            <w:tcW w:w="288" w:type="dxa"/>
            <w:tcBorders>
              <w:top w:val="nil"/>
              <w:bottom w:val="nil"/>
            </w:tcBorders>
          </w:tcPr>
          <w:p w14:paraId="6CA91ECE" w14:textId="77777777" w:rsidR="00F65BCA" w:rsidRDefault="00F65BCA">
            <w:pPr>
              <w:pStyle w:val="TableParagraph"/>
              <w:rPr>
                <w:rFonts w:ascii="Times New Roman"/>
                <w:sz w:val="2"/>
              </w:rPr>
            </w:pPr>
          </w:p>
        </w:tc>
        <w:tc>
          <w:tcPr>
            <w:tcW w:w="288" w:type="dxa"/>
            <w:tcBorders>
              <w:top w:val="nil"/>
              <w:bottom w:val="nil"/>
            </w:tcBorders>
          </w:tcPr>
          <w:p w14:paraId="2F0FC843" w14:textId="77777777" w:rsidR="00F65BCA" w:rsidRDefault="00F65BCA">
            <w:pPr>
              <w:pStyle w:val="TableParagraph"/>
              <w:rPr>
                <w:rFonts w:ascii="Times New Roman"/>
                <w:sz w:val="2"/>
              </w:rPr>
            </w:pPr>
          </w:p>
        </w:tc>
        <w:tc>
          <w:tcPr>
            <w:tcW w:w="288" w:type="dxa"/>
            <w:tcBorders>
              <w:top w:val="nil"/>
              <w:bottom w:val="nil"/>
            </w:tcBorders>
          </w:tcPr>
          <w:p w14:paraId="0B827CE6" w14:textId="77777777" w:rsidR="00F65BCA" w:rsidRDefault="00F65BCA">
            <w:pPr>
              <w:pStyle w:val="TableParagraph"/>
              <w:rPr>
                <w:rFonts w:ascii="Times New Roman"/>
                <w:sz w:val="2"/>
              </w:rPr>
            </w:pPr>
          </w:p>
        </w:tc>
      </w:tr>
      <w:tr w:rsidR="00F65BCA" w14:paraId="1A47208D" w14:textId="77777777">
        <w:trPr>
          <w:trHeight w:val="35"/>
        </w:trPr>
        <w:tc>
          <w:tcPr>
            <w:tcW w:w="526" w:type="dxa"/>
            <w:vMerge/>
            <w:tcBorders>
              <w:top w:val="nil"/>
            </w:tcBorders>
            <w:shd w:val="clear" w:color="auto" w:fill="FCE4D6"/>
          </w:tcPr>
          <w:p w14:paraId="5D08314B" w14:textId="77777777" w:rsidR="00F65BCA" w:rsidRDefault="00F65BCA">
            <w:pPr>
              <w:rPr>
                <w:sz w:val="2"/>
                <w:szCs w:val="2"/>
              </w:rPr>
            </w:pPr>
          </w:p>
        </w:tc>
        <w:tc>
          <w:tcPr>
            <w:tcW w:w="732" w:type="dxa"/>
            <w:tcBorders>
              <w:top w:val="nil"/>
              <w:bottom w:val="nil"/>
            </w:tcBorders>
            <w:shd w:val="clear" w:color="auto" w:fill="FCE4D6"/>
          </w:tcPr>
          <w:p w14:paraId="1E57FF23" w14:textId="77777777" w:rsidR="00F65BCA" w:rsidRDefault="00216117">
            <w:pPr>
              <w:pStyle w:val="TableParagraph"/>
              <w:spacing w:line="15" w:lineRule="exact"/>
              <w:ind w:left="4"/>
              <w:rPr>
                <w:sz w:val="3"/>
              </w:rPr>
            </w:pPr>
            <w:r>
              <w:rPr>
                <w:w w:val="105"/>
                <w:sz w:val="3"/>
              </w:rPr>
              <w:t>Chrysler; Infiniti; Jaguar; Jeep; K1; Kaipan; Kiefer;</w:t>
            </w:r>
          </w:p>
        </w:tc>
        <w:tc>
          <w:tcPr>
            <w:tcW w:w="958" w:type="dxa"/>
            <w:gridSpan w:val="2"/>
            <w:tcBorders>
              <w:top w:val="nil"/>
              <w:bottom w:val="nil"/>
            </w:tcBorders>
            <w:shd w:val="clear" w:color="auto" w:fill="FCE4D6"/>
          </w:tcPr>
          <w:p w14:paraId="30E3A2FB"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27F032AE"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44D4F93B" w14:textId="77777777" w:rsidR="00F65BCA" w:rsidRDefault="00F65BCA">
            <w:pPr>
              <w:pStyle w:val="TableParagraph"/>
              <w:rPr>
                <w:rFonts w:ascii="Times New Roman"/>
                <w:sz w:val="2"/>
              </w:rPr>
            </w:pPr>
          </w:p>
        </w:tc>
        <w:tc>
          <w:tcPr>
            <w:tcW w:w="50" w:type="dxa"/>
            <w:vMerge/>
            <w:tcBorders>
              <w:top w:val="nil"/>
              <w:bottom w:val="nil"/>
            </w:tcBorders>
          </w:tcPr>
          <w:p w14:paraId="396A12DE" w14:textId="77777777" w:rsidR="00F65BCA" w:rsidRDefault="00F65BCA">
            <w:pPr>
              <w:rPr>
                <w:sz w:val="2"/>
                <w:szCs w:val="2"/>
              </w:rPr>
            </w:pPr>
          </w:p>
        </w:tc>
        <w:tc>
          <w:tcPr>
            <w:tcW w:w="288" w:type="dxa"/>
            <w:tcBorders>
              <w:top w:val="nil"/>
              <w:bottom w:val="nil"/>
            </w:tcBorders>
          </w:tcPr>
          <w:p w14:paraId="35629E99" w14:textId="77777777" w:rsidR="00F65BCA" w:rsidRDefault="00F65BCA">
            <w:pPr>
              <w:pStyle w:val="TableParagraph"/>
              <w:rPr>
                <w:rFonts w:ascii="Times New Roman"/>
                <w:sz w:val="2"/>
              </w:rPr>
            </w:pPr>
          </w:p>
        </w:tc>
        <w:tc>
          <w:tcPr>
            <w:tcW w:w="288" w:type="dxa"/>
            <w:tcBorders>
              <w:top w:val="nil"/>
              <w:bottom w:val="nil"/>
            </w:tcBorders>
          </w:tcPr>
          <w:p w14:paraId="236B2628" w14:textId="77777777" w:rsidR="00F65BCA" w:rsidRDefault="00F65BCA">
            <w:pPr>
              <w:pStyle w:val="TableParagraph"/>
              <w:rPr>
                <w:rFonts w:ascii="Times New Roman"/>
                <w:sz w:val="2"/>
              </w:rPr>
            </w:pPr>
          </w:p>
        </w:tc>
        <w:tc>
          <w:tcPr>
            <w:tcW w:w="288" w:type="dxa"/>
            <w:tcBorders>
              <w:top w:val="nil"/>
              <w:bottom w:val="nil"/>
            </w:tcBorders>
          </w:tcPr>
          <w:p w14:paraId="60A38673" w14:textId="77777777" w:rsidR="00F65BCA" w:rsidRDefault="00F65BCA">
            <w:pPr>
              <w:pStyle w:val="TableParagraph"/>
              <w:rPr>
                <w:rFonts w:ascii="Times New Roman"/>
                <w:sz w:val="2"/>
              </w:rPr>
            </w:pPr>
          </w:p>
        </w:tc>
        <w:tc>
          <w:tcPr>
            <w:tcW w:w="288" w:type="dxa"/>
            <w:tcBorders>
              <w:top w:val="nil"/>
              <w:bottom w:val="nil"/>
            </w:tcBorders>
          </w:tcPr>
          <w:p w14:paraId="7C69D346" w14:textId="77777777" w:rsidR="00F65BCA" w:rsidRDefault="00F65BCA">
            <w:pPr>
              <w:pStyle w:val="TableParagraph"/>
              <w:rPr>
                <w:rFonts w:ascii="Times New Roman"/>
                <w:sz w:val="2"/>
              </w:rPr>
            </w:pPr>
          </w:p>
        </w:tc>
        <w:tc>
          <w:tcPr>
            <w:tcW w:w="288" w:type="dxa"/>
            <w:tcBorders>
              <w:top w:val="nil"/>
              <w:bottom w:val="nil"/>
            </w:tcBorders>
          </w:tcPr>
          <w:p w14:paraId="02DB1B0C" w14:textId="77777777" w:rsidR="00F65BCA" w:rsidRDefault="00F65BCA">
            <w:pPr>
              <w:pStyle w:val="TableParagraph"/>
              <w:rPr>
                <w:rFonts w:ascii="Times New Roman"/>
                <w:sz w:val="2"/>
              </w:rPr>
            </w:pPr>
          </w:p>
        </w:tc>
        <w:tc>
          <w:tcPr>
            <w:tcW w:w="288" w:type="dxa"/>
            <w:tcBorders>
              <w:top w:val="nil"/>
              <w:bottom w:val="nil"/>
            </w:tcBorders>
          </w:tcPr>
          <w:p w14:paraId="2AA93D27" w14:textId="77777777" w:rsidR="00F65BCA" w:rsidRDefault="00F65BCA">
            <w:pPr>
              <w:pStyle w:val="TableParagraph"/>
              <w:rPr>
                <w:rFonts w:ascii="Times New Roman"/>
                <w:sz w:val="2"/>
              </w:rPr>
            </w:pPr>
          </w:p>
        </w:tc>
        <w:tc>
          <w:tcPr>
            <w:tcW w:w="288" w:type="dxa"/>
            <w:tcBorders>
              <w:top w:val="nil"/>
              <w:bottom w:val="nil"/>
            </w:tcBorders>
          </w:tcPr>
          <w:p w14:paraId="399BD7F0" w14:textId="77777777" w:rsidR="00F65BCA" w:rsidRDefault="00F65BCA">
            <w:pPr>
              <w:pStyle w:val="TableParagraph"/>
              <w:rPr>
                <w:rFonts w:ascii="Times New Roman"/>
                <w:sz w:val="2"/>
              </w:rPr>
            </w:pPr>
          </w:p>
        </w:tc>
        <w:tc>
          <w:tcPr>
            <w:tcW w:w="288" w:type="dxa"/>
            <w:tcBorders>
              <w:top w:val="nil"/>
              <w:bottom w:val="nil"/>
            </w:tcBorders>
          </w:tcPr>
          <w:p w14:paraId="2AB7E9B5" w14:textId="77777777" w:rsidR="00F65BCA" w:rsidRDefault="00F65BCA">
            <w:pPr>
              <w:pStyle w:val="TableParagraph"/>
              <w:rPr>
                <w:rFonts w:ascii="Times New Roman"/>
                <w:sz w:val="2"/>
              </w:rPr>
            </w:pPr>
          </w:p>
        </w:tc>
        <w:tc>
          <w:tcPr>
            <w:tcW w:w="288" w:type="dxa"/>
            <w:tcBorders>
              <w:top w:val="nil"/>
              <w:bottom w:val="nil"/>
            </w:tcBorders>
          </w:tcPr>
          <w:p w14:paraId="6C8D7E39" w14:textId="77777777" w:rsidR="00F65BCA" w:rsidRDefault="00F65BCA">
            <w:pPr>
              <w:pStyle w:val="TableParagraph"/>
              <w:rPr>
                <w:rFonts w:ascii="Times New Roman"/>
                <w:sz w:val="2"/>
              </w:rPr>
            </w:pPr>
          </w:p>
        </w:tc>
        <w:tc>
          <w:tcPr>
            <w:tcW w:w="288" w:type="dxa"/>
            <w:tcBorders>
              <w:top w:val="nil"/>
              <w:bottom w:val="nil"/>
            </w:tcBorders>
          </w:tcPr>
          <w:p w14:paraId="0B3036C3" w14:textId="77777777" w:rsidR="00F65BCA" w:rsidRDefault="00F65BCA">
            <w:pPr>
              <w:pStyle w:val="TableParagraph"/>
              <w:rPr>
                <w:rFonts w:ascii="Times New Roman"/>
                <w:sz w:val="2"/>
              </w:rPr>
            </w:pPr>
          </w:p>
        </w:tc>
        <w:tc>
          <w:tcPr>
            <w:tcW w:w="288" w:type="dxa"/>
            <w:tcBorders>
              <w:top w:val="nil"/>
              <w:bottom w:val="nil"/>
            </w:tcBorders>
          </w:tcPr>
          <w:p w14:paraId="53B1999A" w14:textId="77777777" w:rsidR="00F65BCA" w:rsidRDefault="00F65BCA">
            <w:pPr>
              <w:pStyle w:val="TableParagraph"/>
              <w:rPr>
                <w:rFonts w:ascii="Times New Roman"/>
                <w:sz w:val="2"/>
              </w:rPr>
            </w:pPr>
          </w:p>
        </w:tc>
        <w:tc>
          <w:tcPr>
            <w:tcW w:w="288" w:type="dxa"/>
            <w:tcBorders>
              <w:top w:val="nil"/>
              <w:bottom w:val="nil"/>
            </w:tcBorders>
          </w:tcPr>
          <w:p w14:paraId="5F5E7CB7" w14:textId="77777777" w:rsidR="00F65BCA" w:rsidRDefault="00F65BCA">
            <w:pPr>
              <w:pStyle w:val="TableParagraph"/>
              <w:rPr>
                <w:rFonts w:ascii="Times New Roman"/>
                <w:sz w:val="2"/>
              </w:rPr>
            </w:pPr>
          </w:p>
        </w:tc>
        <w:tc>
          <w:tcPr>
            <w:tcW w:w="288" w:type="dxa"/>
            <w:tcBorders>
              <w:top w:val="nil"/>
              <w:bottom w:val="nil"/>
            </w:tcBorders>
          </w:tcPr>
          <w:p w14:paraId="46E3552B" w14:textId="77777777" w:rsidR="00F65BCA" w:rsidRDefault="00F65BCA">
            <w:pPr>
              <w:pStyle w:val="TableParagraph"/>
              <w:rPr>
                <w:rFonts w:ascii="Times New Roman"/>
                <w:sz w:val="2"/>
              </w:rPr>
            </w:pPr>
          </w:p>
        </w:tc>
      </w:tr>
      <w:tr w:rsidR="00F65BCA" w14:paraId="33F2E9CA" w14:textId="77777777">
        <w:trPr>
          <w:trHeight w:val="37"/>
        </w:trPr>
        <w:tc>
          <w:tcPr>
            <w:tcW w:w="526" w:type="dxa"/>
            <w:vMerge/>
            <w:tcBorders>
              <w:top w:val="nil"/>
            </w:tcBorders>
            <w:shd w:val="clear" w:color="auto" w:fill="FCE4D6"/>
          </w:tcPr>
          <w:p w14:paraId="35B8711A" w14:textId="77777777" w:rsidR="00F65BCA" w:rsidRDefault="00F65BCA">
            <w:pPr>
              <w:rPr>
                <w:sz w:val="2"/>
                <w:szCs w:val="2"/>
              </w:rPr>
            </w:pPr>
          </w:p>
        </w:tc>
        <w:tc>
          <w:tcPr>
            <w:tcW w:w="732" w:type="dxa"/>
            <w:tcBorders>
              <w:top w:val="nil"/>
              <w:bottom w:val="nil"/>
            </w:tcBorders>
            <w:shd w:val="clear" w:color="auto" w:fill="FCE4D6"/>
          </w:tcPr>
          <w:p w14:paraId="7FD7CEE7" w14:textId="77777777" w:rsidR="00F65BCA" w:rsidRDefault="00216117">
            <w:pPr>
              <w:pStyle w:val="TableParagraph"/>
              <w:spacing w:line="16" w:lineRule="exact"/>
              <w:ind w:left="4"/>
              <w:rPr>
                <w:sz w:val="3"/>
              </w:rPr>
            </w:pPr>
            <w:r>
              <w:rPr>
                <w:w w:val="105"/>
                <w:sz w:val="3"/>
              </w:rPr>
              <w:t>Ladog; Lamborghini; Lancia; Land Rover; Lexus;</w:t>
            </w:r>
          </w:p>
        </w:tc>
        <w:tc>
          <w:tcPr>
            <w:tcW w:w="958" w:type="dxa"/>
            <w:gridSpan w:val="2"/>
            <w:tcBorders>
              <w:top w:val="nil"/>
            </w:tcBorders>
            <w:shd w:val="clear" w:color="auto" w:fill="FCE4D6"/>
          </w:tcPr>
          <w:p w14:paraId="152979AB" w14:textId="77777777" w:rsidR="00F65BCA" w:rsidRDefault="00F65BCA">
            <w:pPr>
              <w:pStyle w:val="TableParagraph"/>
              <w:rPr>
                <w:rFonts w:ascii="Times New Roman"/>
                <w:sz w:val="2"/>
              </w:rPr>
            </w:pPr>
          </w:p>
        </w:tc>
        <w:tc>
          <w:tcPr>
            <w:tcW w:w="576" w:type="dxa"/>
            <w:tcBorders>
              <w:top w:val="nil"/>
            </w:tcBorders>
            <w:shd w:val="clear" w:color="auto" w:fill="FCE4D6"/>
          </w:tcPr>
          <w:p w14:paraId="732D5170" w14:textId="77777777" w:rsidR="00F65BCA" w:rsidRDefault="00F65BCA">
            <w:pPr>
              <w:pStyle w:val="TableParagraph"/>
              <w:rPr>
                <w:rFonts w:ascii="Times New Roman"/>
                <w:sz w:val="2"/>
              </w:rPr>
            </w:pPr>
          </w:p>
        </w:tc>
        <w:tc>
          <w:tcPr>
            <w:tcW w:w="576" w:type="dxa"/>
            <w:tcBorders>
              <w:top w:val="nil"/>
            </w:tcBorders>
            <w:shd w:val="clear" w:color="auto" w:fill="FCE4D6"/>
          </w:tcPr>
          <w:p w14:paraId="2C9A17FF" w14:textId="77777777" w:rsidR="00F65BCA" w:rsidRDefault="00F65BCA">
            <w:pPr>
              <w:pStyle w:val="TableParagraph"/>
              <w:rPr>
                <w:rFonts w:ascii="Times New Roman"/>
                <w:sz w:val="2"/>
              </w:rPr>
            </w:pPr>
          </w:p>
        </w:tc>
        <w:tc>
          <w:tcPr>
            <w:tcW w:w="50" w:type="dxa"/>
            <w:vMerge/>
            <w:tcBorders>
              <w:top w:val="nil"/>
              <w:bottom w:val="nil"/>
            </w:tcBorders>
          </w:tcPr>
          <w:p w14:paraId="2E97511A" w14:textId="77777777" w:rsidR="00F65BCA" w:rsidRDefault="00F65BCA">
            <w:pPr>
              <w:rPr>
                <w:sz w:val="2"/>
                <w:szCs w:val="2"/>
              </w:rPr>
            </w:pPr>
          </w:p>
        </w:tc>
        <w:tc>
          <w:tcPr>
            <w:tcW w:w="288" w:type="dxa"/>
            <w:tcBorders>
              <w:top w:val="nil"/>
            </w:tcBorders>
          </w:tcPr>
          <w:p w14:paraId="7E0F2683" w14:textId="77777777" w:rsidR="00F65BCA" w:rsidRDefault="00F65BCA">
            <w:pPr>
              <w:pStyle w:val="TableParagraph"/>
              <w:rPr>
                <w:rFonts w:ascii="Times New Roman"/>
                <w:sz w:val="2"/>
              </w:rPr>
            </w:pPr>
          </w:p>
        </w:tc>
        <w:tc>
          <w:tcPr>
            <w:tcW w:w="288" w:type="dxa"/>
            <w:tcBorders>
              <w:top w:val="nil"/>
            </w:tcBorders>
          </w:tcPr>
          <w:p w14:paraId="26456827" w14:textId="77777777" w:rsidR="00F65BCA" w:rsidRDefault="00F65BCA">
            <w:pPr>
              <w:pStyle w:val="TableParagraph"/>
              <w:rPr>
                <w:rFonts w:ascii="Times New Roman"/>
                <w:sz w:val="2"/>
              </w:rPr>
            </w:pPr>
          </w:p>
        </w:tc>
        <w:tc>
          <w:tcPr>
            <w:tcW w:w="288" w:type="dxa"/>
            <w:tcBorders>
              <w:top w:val="nil"/>
            </w:tcBorders>
          </w:tcPr>
          <w:p w14:paraId="4FB95DAF" w14:textId="77777777" w:rsidR="00F65BCA" w:rsidRDefault="00F65BCA">
            <w:pPr>
              <w:pStyle w:val="TableParagraph"/>
              <w:rPr>
                <w:rFonts w:ascii="Times New Roman"/>
                <w:sz w:val="2"/>
              </w:rPr>
            </w:pPr>
          </w:p>
        </w:tc>
        <w:tc>
          <w:tcPr>
            <w:tcW w:w="288" w:type="dxa"/>
            <w:tcBorders>
              <w:top w:val="nil"/>
            </w:tcBorders>
          </w:tcPr>
          <w:p w14:paraId="154BE149" w14:textId="77777777" w:rsidR="00F65BCA" w:rsidRDefault="00F65BCA">
            <w:pPr>
              <w:pStyle w:val="TableParagraph"/>
              <w:rPr>
                <w:rFonts w:ascii="Times New Roman"/>
                <w:sz w:val="2"/>
              </w:rPr>
            </w:pPr>
          </w:p>
        </w:tc>
        <w:tc>
          <w:tcPr>
            <w:tcW w:w="288" w:type="dxa"/>
            <w:tcBorders>
              <w:top w:val="nil"/>
            </w:tcBorders>
          </w:tcPr>
          <w:p w14:paraId="1B0E77C7" w14:textId="77777777" w:rsidR="00F65BCA" w:rsidRDefault="00F65BCA">
            <w:pPr>
              <w:pStyle w:val="TableParagraph"/>
              <w:rPr>
                <w:rFonts w:ascii="Times New Roman"/>
                <w:sz w:val="2"/>
              </w:rPr>
            </w:pPr>
          </w:p>
        </w:tc>
        <w:tc>
          <w:tcPr>
            <w:tcW w:w="288" w:type="dxa"/>
            <w:tcBorders>
              <w:top w:val="nil"/>
            </w:tcBorders>
          </w:tcPr>
          <w:p w14:paraId="1515C0FF" w14:textId="77777777" w:rsidR="00F65BCA" w:rsidRDefault="00F65BCA">
            <w:pPr>
              <w:pStyle w:val="TableParagraph"/>
              <w:rPr>
                <w:rFonts w:ascii="Times New Roman"/>
                <w:sz w:val="2"/>
              </w:rPr>
            </w:pPr>
          </w:p>
        </w:tc>
        <w:tc>
          <w:tcPr>
            <w:tcW w:w="288" w:type="dxa"/>
            <w:tcBorders>
              <w:top w:val="nil"/>
            </w:tcBorders>
          </w:tcPr>
          <w:p w14:paraId="7E99B6D9" w14:textId="77777777" w:rsidR="00F65BCA" w:rsidRDefault="00F65BCA">
            <w:pPr>
              <w:pStyle w:val="TableParagraph"/>
              <w:rPr>
                <w:rFonts w:ascii="Times New Roman"/>
                <w:sz w:val="2"/>
              </w:rPr>
            </w:pPr>
          </w:p>
        </w:tc>
        <w:tc>
          <w:tcPr>
            <w:tcW w:w="288" w:type="dxa"/>
            <w:tcBorders>
              <w:top w:val="nil"/>
            </w:tcBorders>
          </w:tcPr>
          <w:p w14:paraId="6A089638" w14:textId="77777777" w:rsidR="00F65BCA" w:rsidRDefault="00F65BCA">
            <w:pPr>
              <w:pStyle w:val="TableParagraph"/>
              <w:rPr>
                <w:rFonts w:ascii="Times New Roman"/>
                <w:sz w:val="2"/>
              </w:rPr>
            </w:pPr>
          </w:p>
        </w:tc>
        <w:tc>
          <w:tcPr>
            <w:tcW w:w="288" w:type="dxa"/>
            <w:tcBorders>
              <w:top w:val="nil"/>
            </w:tcBorders>
          </w:tcPr>
          <w:p w14:paraId="6677D80E" w14:textId="77777777" w:rsidR="00F65BCA" w:rsidRDefault="00F65BCA">
            <w:pPr>
              <w:pStyle w:val="TableParagraph"/>
              <w:rPr>
                <w:rFonts w:ascii="Times New Roman"/>
                <w:sz w:val="2"/>
              </w:rPr>
            </w:pPr>
          </w:p>
        </w:tc>
        <w:tc>
          <w:tcPr>
            <w:tcW w:w="288" w:type="dxa"/>
            <w:tcBorders>
              <w:top w:val="nil"/>
            </w:tcBorders>
          </w:tcPr>
          <w:p w14:paraId="1EA878A4" w14:textId="77777777" w:rsidR="00F65BCA" w:rsidRDefault="00F65BCA">
            <w:pPr>
              <w:pStyle w:val="TableParagraph"/>
              <w:rPr>
                <w:rFonts w:ascii="Times New Roman"/>
                <w:sz w:val="2"/>
              </w:rPr>
            </w:pPr>
          </w:p>
        </w:tc>
        <w:tc>
          <w:tcPr>
            <w:tcW w:w="288" w:type="dxa"/>
            <w:tcBorders>
              <w:top w:val="nil"/>
            </w:tcBorders>
          </w:tcPr>
          <w:p w14:paraId="4028E01A" w14:textId="77777777" w:rsidR="00F65BCA" w:rsidRDefault="00F65BCA">
            <w:pPr>
              <w:pStyle w:val="TableParagraph"/>
              <w:rPr>
                <w:rFonts w:ascii="Times New Roman"/>
                <w:sz w:val="2"/>
              </w:rPr>
            </w:pPr>
          </w:p>
        </w:tc>
        <w:tc>
          <w:tcPr>
            <w:tcW w:w="288" w:type="dxa"/>
            <w:tcBorders>
              <w:top w:val="nil"/>
            </w:tcBorders>
          </w:tcPr>
          <w:p w14:paraId="7B2A2BF2" w14:textId="77777777" w:rsidR="00F65BCA" w:rsidRDefault="00F65BCA">
            <w:pPr>
              <w:pStyle w:val="TableParagraph"/>
              <w:rPr>
                <w:rFonts w:ascii="Times New Roman"/>
                <w:sz w:val="2"/>
              </w:rPr>
            </w:pPr>
          </w:p>
        </w:tc>
        <w:tc>
          <w:tcPr>
            <w:tcW w:w="288" w:type="dxa"/>
            <w:tcBorders>
              <w:top w:val="nil"/>
            </w:tcBorders>
          </w:tcPr>
          <w:p w14:paraId="1BE4CF56" w14:textId="77777777" w:rsidR="00F65BCA" w:rsidRDefault="00F65BCA">
            <w:pPr>
              <w:pStyle w:val="TableParagraph"/>
              <w:rPr>
                <w:rFonts w:ascii="Times New Roman"/>
                <w:sz w:val="2"/>
              </w:rPr>
            </w:pPr>
          </w:p>
        </w:tc>
      </w:tr>
      <w:tr w:rsidR="00F65BCA" w14:paraId="2B973F38" w14:textId="77777777">
        <w:trPr>
          <w:trHeight w:val="34"/>
        </w:trPr>
        <w:tc>
          <w:tcPr>
            <w:tcW w:w="526" w:type="dxa"/>
            <w:vMerge/>
            <w:tcBorders>
              <w:top w:val="nil"/>
            </w:tcBorders>
            <w:shd w:val="clear" w:color="auto" w:fill="FCE4D6"/>
          </w:tcPr>
          <w:p w14:paraId="08FFB22B" w14:textId="77777777" w:rsidR="00F65BCA" w:rsidRDefault="00F65BCA">
            <w:pPr>
              <w:rPr>
                <w:sz w:val="2"/>
                <w:szCs w:val="2"/>
              </w:rPr>
            </w:pPr>
          </w:p>
        </w:tc>
        <w:tc>
          <w:tcPr>
            <w:tcW w:w="732" w:type="dxa"/>
            <w:tcBorders>
              <w:top w:val="nil"/>
              <w:bottom w:val="nil"/>
            </w:tcBorders>
            <w:shd w:val="clear" w:color="auto" w:fill="FCE4D6"/>
          </w:tcPr>
          <w:p w14:paraId="5462CF8C" w14:textId="77777777" w:rsidR="00F65BCA" w:rsidRDefault="00216117">
            <w:pPr>
              <w:pStyle w:val="TableParagraph"/>
              <w:spacing w:line="15" w:lineRule="exact"/>
              <w:ind w:left="4"/>
              <w:rPr>
                <w:sz w:val="3"/>
              </w:rPr>
            </w:pPr>
            <w:r>
              <w:rPr>
                <w:w w:val="105"/>
                <w:sz w:val="3"/>
              </w:rPr>
              <w:t>Lincoln; Lotus; Mahindra; Marcos; Martin Motors;</w:t>
            </w:r>
          </w:p>
        </w:tc>
        <w:tc>
          <w:tcPr>
            <w:tcW w:w="958" w:type="dxa"/>
            <w:gridSpan w:val="2"/>
            <w:tcBorders>
              <w:bottom w:val="nil"/>
            </w:tcBorders>
            <w:shd w:val="clear" w:color="auto" w:fill="FCE4D6"/>
          </w:tcPr>
          <w:p w14:paraId="6DC102FA" w14:textId="77777777" w:rsidR="00F65BCA" w:rsidRDefault="00F65BCA">
            <w:pPr>
              <w:pStyle w:val="TableParagraph"/>
              <w:rPr>
                <w:rFonts w:ascii="Times New Roman"/>
                <w:sz w:val="2"/>
              </w:rPr>
            </w:pPr>
          </w:p>
        </w:tc>
        <w:tc>
          <w:tcPr>
            <w:tcW w:w="576" w:type="dxa"/>
            <w:tcBorders>
              <w:bottom w:val="nil"/>
            </w:tcBorders>
            <w:shd w:val="clear" w:color="auto" w:fill="FCE4D6"/>
          </w:tcPr>
          <w:p w14:paraId="209C17D9" w14:textId="77777777" w:rsidR="00F65BCA" w:rsidRDefault="00F65BCA">
            <w:pPr>
              <w:pStyle w:val="TableParagraph"/>
              <w:rPr>
                <w:rFonts w:ascii="Times New Roman"/>
                <w:sz w:val="2"/>
              </w:rPr>
            </w:pPr>
          </w:p>
        </w:tc>
        <w:tc>
          <w:tcPr>
            <w:tcW w:w="576" w:type="dxa"/>
            <w:tcBorders>
              <w:bottom w:val="nil"/>
            </w:tcBorders>
            <w:shd w:val="clear" w:color="auto" w:fill="FCE4D6"/>
          </w:tcPr>
          <w:p w14:paraId="1F4BB062" w14:textId="77777777" w:rsidR="00F65BCA" w:rsidRDefault="00F65BCA">
            <w:pPr>
              <w:pStyle w:val="TableParagraph"/>
              <w:rPr>
                <w:rFonts w:ascii="Times New Roman"/>
                <w:sz w:val="2"/>
              </w:rPr>
            </w:pPr>
          </w:p>
        </w:tc>
        <w:tc>
          <w:tcPr>
            <w:tcW w:w="50" w:type="dxa"/>
            <w:vMerge/>
            <w:tcBorders>
              <w:top w:val="nil"/>
              <w:bottom w:val="nil"/>
            </w:tcBorders>
          </w:tcPr>
          <w:p w14:paraId="35BA5D32" w14:textId="77777777" w:rsidR="00F65BCA" w:rsidRDefault="00F65BCA">
            <w:pPr>
              <w:rPr>
                <w:sz w:val="2"/>
                <w:szCs w:val="2"/>
              </w:rPr>
            </w:pPr>
          </w:p>
        </w:tc>
        <w:tc>
          <w:tcPr>
            <w:tcW w:w="288" w:type="dxa"/>
            <w:tcBorders>
              <w:bottom w:val="nil"/>
            </w:tcBorders>
          </w:tcPr>
          <w:p w14:paraId="4996067A" w14:textId="77777777" w:rsidR="00F65BCA" w:rsidRDefault="00F65BCA">
            <w:pPr>
              <w:pStyle w:val="TableParagraph"/>
              <w:rPr>
                <w:rFonts w:ascii="Times New Roman"/>
                <w:sz w:val="2"/>
              </w:rPr>
            </w:pPr>
          </w:p>
        </w:tc>
        <w:tc>
          <w:tcPr>
            <w:tcW w:w="288" w:type="dxa"/>
            <w:tcBorders>
              <w:bottom w:val="nil"/>
            </w:tcBorders>
          </w:tcPr>
          <w:p w14:paraId="1B8362D2" w14:textId="77777777" w:rsidR="00F65BCA" w:rsidRDefault="00F65BCA">
            <w:pPr>
              <w:pStyle w:val="TableParagraph"/>
              <w:rPr>
                <w:rFonts w:ascii="Times New Roman"/>
                <w:sz w:val="2"/>
              </w:rPr>
            </w:pPr>
          </w:p>
        </w:tc>
        <w:tc>
          <w:tcPr>
            <w:tcW w:w="288" w:type="dxa"/>
            <w:tcBorders>
              <w:bottom w:val="nil"/>
            </w:tcBorders>
          </w:tcPr>
          <w:p w14:paraId="1A72C65E" w14:textId="77777777" w:rsidR="00F65BCA" w:rsidRDefault="00F65BCA">
            <w:pPr>
              <w:pStyle w:val="TableParagraph"/>
              <w:rPr>
                <w:rFonts w:ascii="Times New Roman"/>
                <w:sz w:val="2"/>
              </w:rPr>
            </w:pPr>
          </w:p>
        </w:tc>
        <w:tc>
          <w:tcPr>
            <w:tcW w:w="288" w:type="dxa"/>
            <w:tcBorders>
              <w:bottom w:val="nil"/>
            </w:tcBorders>
          </w:tcPr>
          <w:p w14:paraId="4030C0D7" w14:textId="77777777" w:rsidR="00F65BCA" w:rsidRDefault="00F65BCA">
            <w:pPr>
              <w:pStyle w:val="TableParagraph"/>
              <w:rPr>
                <w:rFonts w:ascii="Times New Roman"/>
                <w:sz w:val="2"/>
              </w:rPr>
            </w:pPr>
          </w:p>
        </w:tc>
        <w:tc>
          <w:tcPr>
            <w:tcW w:w="288" w:type="dxa"/>
            <w:tcBorders>
              <w:bottom w:val="nil"/>
            </w:tcBorders>
          </w:tcPr>
          <w:p w14:paraId="2962D6E4" w14:textId="77777777" w:rsidR="00F65BCA" w:rsidRDefault="00F65BCA">
            <w:pPr>
              <w:pStyle w:val="TableParagraph"/>
              <w:rPr>
                <w:rFonts w:ascii="Times New Roman"/>
                <w:sz w:val="2"/>
              </w:rPr>
            </w:pPr>
          </w:p>
        </w:tc>
        <w:tc>
          <w:tcPr>
            <w:tcW w:w="288" w:type="dxa"/>
            <w:tcBorders>
              <w:bottom w:val="nil"/>
            </w:tcBorders>
          </w:tcPr>
          <w:p w14:paraId="4FDABA0D" w14:textId="77777777" w:rsidR="00F65BCA" w:rsidRDefault="00F65BCA">
            <w:pPr>
              <w:pStyle w:val="TableParagraph"/>
              <w:rPr>
                <w:rFonts w:ascii="Times New Roman"/>
                <w:sz w:val="2"/>
              </w:rPr>
            </w:pPr>
          </w:p>
        </w:tc>
        <w:tc>
          <w:tcPr>
            <w:tcW w:w="288" w:type="dxa"/>
            <w:tcBorders>
              <w:bottom w:val="nil"/>
            </w:tcBorders>
          </w:tcPr>
          <w:p w14:paraId="15205AAB" w14:textId="77777777" w:rsidR="00F65BCA" w:rsidRDefault="00F65BCA">
            <w:pPr>
              <w:pStyle w:val="TableParagraph"/>
              <w:rPr>
                <w:rFonts w:ascii="Times New Roman"/>
                <w:sz w:val="2"/>
              </w:rPr>
            </w:pPr>
          </w:p>
        </w:tc>
        <w:tc>
          <w:tcPr>
            <w:tcW w:w="288" w:type="dxa"/>
            <w:tcBorders>
              <w:bottom w:val="nil"/>
            </w:tcBorders>
          </w:tcPr>
          <w:p w14:paraId="154312B6" w14:textId="77777777" w:rsidR="00F65BCA" w:rsidRDefault="00F65BCA">
            <w:pPr>
              <w:pStyle w:val="TableParagraph"/>
              <w:rPr>
                <w:rFonts w:ascii="Times New Roman"/>
                <w:sz w:val="2"/>
              </w:rPr>
            </w:pPr>
          </w:p>
        </w:tc>
        <w:tc>
          <w:tcPr>
            <w:tcW w:w="288" w:type="dxa"/>
            <w:tcBorders>
              <w:bottom w:val="nil"/>
            </w:tcBorders>
          </w:tcPr>
          <w:p w14:paraId="4931999F" w14:textId="77777777" w:rsidR="00F65BCA" w:rsidRDefault="00F65BCA">
            <w:pPr>
              <w:pStyle w:val="TableParagraph"/>
              <w:rPr>
                <w:rFonts w:ascii="Times New Roman"/>
                <w:sz w:val="2"/>
              </w:rPr>
            </w:pPr>
          </w:p>
        </w:tc>
        <w:tc>
          <w:tcPr>
            <w:tcW w:w="288" w:type="dxa"/>
            <w:tcBorders>
              <w:bottom w:val="nil"/>
            </w:tcBorders>
          </w:tcPr>
          <w:p w14:paraId="0EDF49DF" w14:textId="77777777" w:rsidR="00F65BCA" w:rsidRDefault="00F65BCA">
            <w:pPr>
              <w:pStyle w:val="TableParagraph"/>
              <w:rPr>
                <w:rFonts w:ascii="Times New Roman"/>
                <w:sz w:val="2"/>
              </w:rPr>
            </w:pPr>
          </w:p>
        </w:tc>
        <w:tc>
          <w:tcPr>
            <w:tcW w:w="288" w:type="dxa"/>
            <w:tcBorders>
              <w:bottom w:val="nil"/>
            </w:tcBorders>
          </w:tcPr>
          <w:p w14:paraId="2721B313" w14:textId="77777777" w:rsidR="00F65BCA" w:rsidRDefault="00F65BCA">
            <w:pPr>
              <w:pStyle w:val="TableParagraph"/>
              <w:rPr>
                <w:rFonts w:ascii="Times New Roman"/>
                <w:sz w:val="2"/>
              </w:rPr>
            </w:pPr>
          </w:p>
        </w:tc>
        <w:tc>
          <w:tcPr>
            <w:tcW w:w="288" w:type="dxa"/>
            <w:tcBorders>
              <w:bottom w:val="nil"/>
            </w:tcBorders>
          </w:tcPr>
          <w:p w14:paraId="52DFA92E" w14:textId="77777777" w:rsidR="00F65BCA" w:rsidRDefault="00F65BCA">
            <w:pPr>
              <w:pStyle w:val="TableParagraph"/>
              <w:rPr>
                <w:rFonts w:ascii="Times New Roman"/>
                <w:sz w:val="2"/>
              </w:rPr>
            </w:pPr>
          </w:p>
        </w:tc>
        <w:tc>
          <w:tcPr>
            <w:tcW w:w="288" w:type="dxa"/>
            <w:tcBorders>
              <w:bottom w:val="nil"/>
            </w:tcBorders>
          </w:tcPr>
          <w:p w14:paraId="696A3C46" w14:textId="77777777" w:rsidR="00F65BCA" w:rsidRDefault="00F65BCA">
            <w:pPr>
              <w:pStyle w:val="TableParagraph"/>
              <w:rPr>
                <w:rFonts w:ascii="Times New Roman"/>
                <w:sz w:val="2"/>
              </w:rPr>
            </w:pPr>
          </w:p>
        </w:tc>
      </w:tr>
      <w:tr w:rsidR="00F65BCA" w14:paraId="47C55770" w14:textId="77777777">
        <w:trPr>
          <w:trHeight w:val="35"/>
        </w:trPr>
        <w:tc>
          <w:tcPr>
            <w:tcW w:w="526" w:type="dxa"/>
            <w:vMerge/>
            <w:tcBorders>
              <w:top w:val="nil"/>
            </w:tcBorders>
            <w:shd w:val="clear" w:color="auto" w:fill="FCE4D6"/>
          </w:tcPr>
          <w:p w14:paraId="64610F7F" w14:textId="77777777" w:rsidR="00F65BCA" w:rsidRDefault="00F65BCA">
            <w:pPr>
              <w:rPr>
                <w:sz w:val="2"/>
                <w:szCs w:val="2"/>
              </w:rPr>
            </w:pPr>
          </w:p>
        </w:tc>
        <w:tc>
          <w:tcPr>
            <w:tcW w:w="732" w:type="dxa"/>
            <w:tcBorders>
              <w:top w:val="nil"/>
              <w:bottom w:val="nil"/>
            </w:tcBorders>
            <w:shd w:val="clear" w:color="auto" w:fill="FCE4D6"/>
          </w:tcPr>
          <w:p w14:paraId="7A9C7844" w14:textId="77777777" w:rsidR="00F65BCA" w:rsidRDefault="00216117">
            <w:pPr>
              <w:pStyle w:val="TableParagraph"/>
              <w:spacing w:line="15" w:lineRule="exact"/>
              <w:ind w:left="4"/>
              <w:rPr>
                <w:sz w:val="3"/>
              </w:rPr>
            </w:pPr>
            <w:r>
              <w:rPr>
                <w:w w:val="105"/>
                <w:sz w:val="3"/>
              </w:rPr>
              <w:t>Maserati; Maybach; McLaren; Mega; Mercury; MG;</w:t>
            </w:r>
          </w:p>
        </w:tc>
        <w:tc>
          <w:tcPr>
            <w:tcW w:w="958" w:type="dxa"/>
            <w:gridSpan w:val="2"/>
            <w:tcBorders>
              <w:top w:val="nil"/>
              <w:bottom w:val="nil"/>
            </w:tcBorders>
            <w:shd w:val="clear" w:color="auto" w:fill="FCE4D6"/>
          </w:tcPr>
          <w:p w14:paraId="5FBEAF94"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3162A9BE"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3116A3DC" w14:textId="77777777" w:rsidR="00F65BCA" w:rsidRDefault="00F65BCA">
            <w:pPr>
              <w:pStyle w:val="TableParagraph"/>
              <w:rPr>
                <w:rFonts w:ascii="Times New Roman"/>
                <w:sz w:val="2"/>
              </w:rPr>
            </w:pPr>
          </w:p>
        </w:tc>
        <w:tc>
          <w:tcPr>
            <w:tcW w:w="50" w:type="dxa"/>
            <w:vMerge/>
            <w:tcBorders>
              <w:top w:val="nil"/>
              <w:bottom w:val="nil"/>
            </w:tcBorders>
          </w:tcPr>
          <w:p w14:paraId="4C98ED7D" w14:textId="77777777" w:rsidR="00F65BCA" w:rsidRDefault="00F65BCA">
            <w:pPr>
              <w:rPr>
                <w:sz w:val="2"/>
                <w:szCs w:val="2"/>
              </w:rPr>
            </w:pPr>
          </w:p>
        </w:tc>
        <w:tc>
          <w:tcPr>
            <w:tcW w:w="288" w:type="dxa"/>
            <w:tcBorders>
              <w:top w:val="nil"/>
              <w:bottom w:val="nil"/>
            </w:tcBorders>
          </w:tcPr>
          <w:p w14:paraId="21DBA197" w14:textId="77777777" w:rsidR="00F65BCA" w:rsidRDefault="00F65BCA">
            <w:pPr>
              <w:pStyle w:val="TableParagraph"/>
              <w:rPr>
                <w:rFonts w:ascii="Times New Roman"/>
                <w:sz w:val="2"/>
              </w:rPr>
            </w:pPr>
          </w:p>
        </w:tc>
        <w:tc>
          <w:tcPr>
            <w:tcW w:w="288" w:type="dxa"/>
            <w:tcBorders>
              <w:top w:val="nil"/>
              <w:bottom w:val="nil"/>
            </w:tcBorders>
          </w:tcPr>
          <w:p w14:paraId="01D2D4C8" w14:textId="77777777" w:rsidR="00F65BCA" w:rsidRDefault="00F65BCA">
            <w:pPr>
              <w:pStyle w:val="TableParagraph"/>
              <w:rPr>
                <w:rFonts w:ascii="Times New Roman"/>
                <w:sz w:val="2"/>
              </w:rPr>
            </w:pPr>
          </w:p>
        </w:tc>
        <w:tc>
          <w:tcPr>
            <w:tcW w:w="288" w:type="dxa"/>
            <w:tcBorders>
              <w:top w:val="nil"/>
              <w:bottom w:val="nil"/>
            </w:tcBorders>
          </w:tcPr>
          <w:p w14:paraId="1039B59B" w14:textId="77777777" w:rsidR="00F65BCA" w:rsidRDefault="00F65BCA">
            <w:pPr>
              <w:pStyle w:val="TableParagraph"/>
              <w:rPr>
                <w:rFonts w:ascii="Times New Roman"/>
                <w:sz w:val="2"/>
              </w:rPr>
            </w:pPr>
          </w:p>
        </w:tc>
        <w:tc>
          <w:tcPr>
            <w:tcW w:w="288" w:type="dxa"/>
            <w:tcBorders>
              <w:top w:val="nil"/>
              <w:bottom w:val="nil"/>
            </w:tcBorders>
          </w:tcPr>
          <w:p w14:paraId="10F8B097" w14:textId="77777777" w:rsidR="00F65BCA" w:rsidRDefault="00F65BCA">
            <w:pPr>
              <w:pStyle w:val="TableParagraph"/>
              <w:rPr>
                <w:rFonts w:ascii="Times New Roman"/>
                <w:sz w:val="2"/>
              </w:rPr>
            </w:pPr>
          </w:p>
        </w:tc>
        <w:tc>
          <w:tcPr>
            <w:tcW w:w="288" w:type="dxa"/>
            <w:tcBorders>
              <w:top w:val="nil"/>
              <w:bottom w:val="nil"/>
            </w:tcBorders>
          </w:tcPr>
          <w:p w14:paraId="2F9B3A98" w14:textId="77777777" w:rsidR="00F65BCA" w:rsidRDefault="00F65BCA">
            <w:pPr>
              <w:pStyle w:val="TableParagraph"/>
              <w:rPr>
                <w:rFonts w:ascii="Times New Roman"/>
                <w:sz w:val="2"/>
              </w:rPr>
            </w:pPr>
          </w:p>
        </w:tc>
        <w:tc>
          <w:tcPr>
            <w:tcW w:w="288" w:type="dxa"/>
            <w:tcBorders>
              <w:top w:val="nil"/>
              <w:bottom w:val="nil"/>
            </w:tcBorders>
          </w:tcPr>
          <w:p w14:paraId="7123935C" w14:textId="77777777" w:rsidR="00F65BCA" w:rsidRDefault="00F65BCA">
            <w:pPr>
              <w:pStyle w:val="TableParagraph"/>
              <w:rPr>
                <w:rFonts w:ascii="Times New Roman"/>
                <w:sz w:val="2"/>
              </w:rPr>
            </w:pPr>
          </w:p>
        </w:tc>
        <w:tc>
          <w:tcPr>
            <w:tcW w:w="288" w:type="dxa"/>
            <w:tcBorders>
              <w:top w:val="nil"/>
              <w:bottom w:val="nil"/>
            </w:tcBorders>
          </w:tcPr>
          <w:p w14:paraId="7CD92ED3" w14:textId="77777777" w:rsidR="00F65BCA" w:rsidRDefault="00F65BCA">
            <w:pPr>
              <w:pStyle w:val="TableParagraph"/>
              <w:rPr>
                <w:rFonts w:ascii="Times New Roman"/>
                <w:sz w:val="2"/>
              </w:rPr>
            </w:pPr>
          </w:p>
        </w:tc>
        <w:tc>
          <w:tcPr>
            <w:tcW w:w="288" w:type="dxa"/>
            <w:tcBorders>
              <w:top w:val="nil"/>
              <w:bottom w:val="nil"/>
            </w:tcBorders>
          </w:tcPr>
          <w:p w14:paraId="32E63EFA" w14:textId="77777777" w:rsidR="00F65BCA" w:rsidRDefault="00F65BCA">
            <w:pPr>
              <w:pStyle w:val="TableParagraph"/>
              <w:rPr>
                <w:rFonts w:ascii="Times New Roman"/>
                <w:sz w:val="2"/>
              </w:rPr>
            </w:pPr>
          </w:p>
        </w:tc>
        <w:tc>
          <w:tcPr>
            <w:tcW w:w="288" w:type="dxa"/>
            <w:tcBorders>
              <w:top w:val="nil"/>
              <w:bottom w:val="nil"/>
            </w:tcBorders>
          </w:tcPr>
          <w:p w14:paraId="460ACD12" w14:textId="77777777" w:rsidR="00F65BCA" w:rsidRDefault="00F65BCA">
            <w:pPr>
              <w:pStyle w:val="TableParagraph"/>
              <w:rPr>
                <w:rFonts w:ascii="Times New Roman"/>
                <w:sz w:val="2"/>
              </w:rPr>
            </w:pPr>
          </w:p>
        </w:tc>
        <w:tc>
          <w:tcPr>
            <w:tcW w:w="288" w:type="dxa"/>
            <w:tcBorders>
              <w:top w:val="nil"/>
              <w:bottom w:val="nil"/>
            </w:tcBorders>
          </w:tcPr>
          <w:p w14:paraId="2769F39F" w14:textId="77777777" w:rsidR="00F65BCA" w:rsidRDefault="00F65BCA">
            <w:pPr>
              <w:pStyle w:val="TableParagraph"/>
              <w:rPr>
                <w:rFonts w:ascii="Times New Roman"/>
                <w:sz w:val="2"/>
              </w:rPr>
            </w:pPr>
          </w:p>
        </w:tc>
        <w:tc>
          <w:tcPr>
            <w:tcW w:w="288" w:type="dxa"/>
            <w:tcBorders>
              <w:top w:val="nil"/>
              <w:bottom w:val="nil"/>
            </w:tcBorders>
          </w:tcPr>
          <w:p w14:paraId="26B3EA90" w14:textId="77777777" w:rsidR="00F65BCA" w:rsidRDefault="00F65BCA">
            <w:pPr>
              <w:pStyle w:val="TableParagraph"/>
              <w:rPr>
                <w:rFonts w:ascii="Times New Roman"/>
                <w:sz w:val="2"/>
              </w:rPr>
            </w:pPr>
          </w:p>
        </w:tc>
        <w:tc>
          <w:tcPr>
            <w:tcW w:w="288" w:type="dxa"/>
            <w:tcBorders>
              <w:top w:val="nil"/>
              <w:bottom w:val="nil"/>
            </w:tcBorders>
          </w:tcPr>
          <w:p w14:paraId="5F3A5AF2" w14:textId="77777777" w:rsidR="00F65BCA" w:rsidRDefault="00F65BCA">
            <w:pPr>
              <w:pStyle w:val="TableParagraph"/>
              <w:rPr>
                <w:rFonts w:ascii="Times New Roman"/>
                <w:sz w:val="2"/>
              </w:rPr>
            </w:pPr>
          </w:p>
        </w:tc>
        <w:tc>
          <w:tcPr>
            <w:tcW w:w="288" w:type="dxa"/>
            <w:tcBorders>
              <w:top w:val="nil"/>
              <w:bottom w:val="nil"/>
            </w:tcBorders>
          </w:tcPr>
          <w:p w14:paraId="5CBFDE70" w14:textId="77777777" w:rsidR="00F65BCA" w:rsidRDefault="00F65BCA">
            <w:pPr>
              <w:pStyle w:val="TableParagraph"/>
              <w:rPr>
                <w:rFonts w:ascii="Times New Roman"/>
                <w:sz w:val="2"/>
              </w:rPr>
            </w:pPr>
          </w:p>
        </w:tc>
      </w:tr>
      <w:tr w:rsidR="00F65BCA" w14:paraId="483AB061" w14:textId="77777777">
        <w:trPr>
          <w:trHeight w:val="35"/>
        </w:trPr>
        <w:tc>
          <w:tcPr>
            <w:tcW w:w="526" w:type="dxa"/>
            <w:vMerge/>
            <w:tcBorders>
              <w:top w:val="nil"/>
            </w:tcBorders>
            <w:shd w:val="clear" w:color="auto" w:fill="FCE4D6"/>
          </w:tcPr>
          <w:p w14:paraId="78B83AFA" w14:textId="77777777" w:rsidR="00F65BCA" w:rsidRDefault="00F65BCA">
            <w:pPr>
              <w:rPr>
                <w:sz w:val="2"/>
                <w:szCs w:val="2"/>
              </w:rPr>
            </w:pPr>
          </w:p>
        </w:tc>
        <w:tc>
          <w:tcPr>
            <w:tcW w:w="732" w:type="dxa"/>
            <w:tcBorders>
              <w:top w:val="nil"/>
              <w:bottom w:val="nil"/>
            </w:tcBorders>
            <w:shd w:val="clear" w:color="auto" w:fill="FCE4D6"/>
          </w:tcPr>
          <w:p w14:paraId="4EBB7A1C" w14:textId="77777777" w:rsidR="00F65BCA" w:rsidRDefault="00216117">
            <w:pPr>
              <w:pStyle w:val="TableParagraph"/>
              <w:spacing w:line="15" w:lineRule="exact"/>
              <w:ind w:left="4"/>
              <w:rPr>
                <w:sz w:val="3"/>
              </w:rPr>
            </w:pPr>
            <w:r>
              <w:rPr>
                <w:w w:val="105"/>
                <w:sz w:val="3"/>
              </w:rPr>
              <w:t>Morgan; Moskvič; Neuvedeno; Oldsmobile; PGO;</w:t>
            </w:r>
          </w:p>
        </w:tc>
        <w:tc>
          <w:tcPr>
            <w:tcW w:w="958" w:type="dxa"/>
            <w:gridSpan w:val="2"/>
            <w:tcBorders>
              <w:top w:val="nil"/>
              <w:bottom w:val="nil"/>
            </w:tcBorders>
            <w:shd w:val="clear" w:color="auto" w:fill="FCE4D6"/>
          </w:tcPr>
          <w:p w14:paraId="09487697"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3BFA4058"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0A83405F" w14:textId="77777777" w:rsidR="00F65BCA" w:rsidRDefault="00F65BCA">
            <w:pPr>
              <w:pStyle w:val="TableParagraph"/>
              <w:rPr>
                <w:rFonts w:ascii="Times New Roman"/>
                <w:sz w:val="2"/>
              </w:rPr>
            </w:pPr>
          </w:p>
        </w:tc>
        <w:tc>
          <w:tcPr>
            <w:tcW w:w="50" w:type="dxa"/>
            <w:vMerge/>
            <w:tcBorders>
              <w:top w:val="nil"/>
              <w:bottom w:val="nil"/>
            </w:tcBorders>
          </w:tcPr>
          <w:p w14:paraId="68492C2A" w14:textId="77777777" w:rsidR="00F65BCA" w:rsidRDefault="00F65BCA">
            <w:pPr>
              <w:rPr>
                <w:sz w:val="2"/>
                <w:szCs w:val="2"/>
              </w:rPr>
            </w:pPr>
          </w:p>
        </w:tc>
        <w:tc>
          <w:tcPr>
            <w:tcW w:w="288" w:type="dxa"/>
            <w:tcBorders>
              <w:top w:val="nil"/>
              <w:bottom w:val="nil"/>
            </w:tcBorders>
          </w:tcPr>
          <w:p w14:paraId="5A30352D" w14:textId="77777777" w:rsidR="00F65BCA" w:rsidRDefault="00F65BCA">
            <w:pPr>
              <w:pStyle w:val="TableParagraph"/>
              <w:rPr>
                <w:rFonts w:ascii="Times New Roman"/>
                <w:sz w:val="2"/>
              </w:rPr>
            </w:pPr>
          </w:p>
        </w:tc>
        <w:tc>
          <w:tcPr>
            <w:tcW w:w="288" w:type="dxa"/>
            <w:tcBorders>
              <w:top w:val="nil"/>
              <w:bottom w:val="nil"/>
            </w:tcBorders>
          </w:tcPr>
          <w:p w14:paraId="0674EB19" w14:textId="77777777" w:rsidR="00F65BCA" w:rsidRDefault="00F65BCA">
            <w:pPr>
              <w:pStyle w:val="TableParagraph"/>
              <w:rPr>
                <w:rFonts w:ascii="Times New Roman"/>
                <w:sz w:val="2"/>
              </w:rPr>
            </w:pPr>
          </w:p>
        </w:tc>
        <w:tc>
          <w:tcPr>
            <w:tcW w:w="288" w:type="dxa"/>
            <w:tcBorders>
              <w:top w:val="nil"/>
              <w:bottom w:val="nil"/>
            </w:tcBorders>
          </w:tcPr>
          <w:p w14:paraId="4E6BD933" w14:textId="77777777" w:rsidR="00F65BCA" w:rsidRDefault="00F65BCA">
            <w:pPr>
              <w:pStyle w:val="TableParagraph"/>
              <w:rPr>
                <w:rFonts w:ascii="Times New Roman"/>
                <w:sz w:val="2"/>
              </w:rPr>
            </w:pPr>
          </w:p>
        </w:tc>
        <w:tc>
          <w:tcPr>
            <w:tcW w:w="288" w:type="dxa"/>
            <w:tcBorders>
              <w:top w:val="nil"/>
              <w:bottom w:val="nil"/>
            </w:tcBorders>
          </w:tcPr>
          <w:p w14:paraId="1A785F6F" w14:textId="77777777" w:rsidR="00F65BCA" w:rsidRDefault="00F65BCA">
            <w:pPr>
              <w:pStyle w:val="TableParagraph"/>
              <w:rPr>
                <w:rFonts w:ascii="Times New Roman"/>
                <w:sz w:val="2"/>
              </w:rPr>
            </w:pPr>
          </w:p>
        </w:tc>
        <w:tc>
          <w:tcPr>
            <w:tcW w:w="288" w:type="dxa"/>
            <w:tcBorders>
              <w:top w:val="nil"/>
              <w:bottom w:val="nil"/>
            </w:tcBorders>
          </w:tcPr>
          <w:p w14:paraId="16F1DA00" w14:textId="77777777" w:rsidR="00F65BCA" w:rsidRDefault="00F65BCA">
            <w:pPr>
              <w:pStyle w:val="TableParagraph"/>
              <w:rPr>
                <w:rFonts w:ascii="Times New Roman"/>
                <w:sz w:val="2"/>
              </w:rPr>
            </w:pPr>
          </w:p>
        </w:tc>
        <w:tc>
          <w:tcPr>
            <w:tcW w:w="288" w:type="dxa"/>
            <w:tcBorders>
              <w:top w:val="nil"/>
              <w:bottom w:val="nil"/>
            </w:tcBorders>
          </w:tcPr>
          <w:p w14:paraId="57450013" w14:textId="77777777" w:rsidR="00F65BCA" w:rsidRDefault="00F65BCA">
            <w:pPr>
              <w:pStyle w:val="TableParagraph"/>
              <w:rPr>
                <w:rFonts w:ascii="Times New Roman"/>
                <w:sz w:val="2"/>
              </w:rPr>
            </w:pPr>
          </w:p>
        </w:tc>
        <w:tc>
          <w:tcPr>
            <w:tcW w:w="288" w:type="dxa"/>
            <w:tcBorders>
              <w:top w:val="nil"/>
              <w:bottom w:val="nil"/>
            </w:tcBorders>
          </w:tcPr>
          <w:p w14:paraId="0D20BD16" w14:textId="77777777" w:rsidR="00F65BCA" w:rsidRDefault="00F65BCA">
            <w:pPr>
              <w:pStyle w:val="TableParagraph"/>
              <w:rPr>
                <w:rFonts w:ascii="Times New Roman"/>
                <w:sz w:val="2"/>
              </w:rPr>
            </w:pPr>
          </w:p>
        </w:tc>
        <w:tc>
          <w:tcPr>
            <w:tcW w:w="288" w:type="dxa"/>
            <w:tcBorders>
              <w:top w:val="nil"/>
              <w:bottom w:val="nil"/>
            </w:tcBorders>
          </w:tcPr>
          <w:p w14:paraId="3C02A2D9" w14:textId="77777777" w:rsidR="00F65BCA" w:rsidRDefault="00F65BCA">
            <w:pPr>
              <w:pStyle w:val="TableParagraph"/>
              <w:rPr>
                <w:rFonts w:ascii="Times New Roman"/>
                <w:sz w:val="2"/>
              </w:rPr>
            </w:pPr>
          </w:p>
        </w:tc>
        <w:tc>
          <w:tcPr>
            <w:tcW w:w="288" w:type="dxa"/>
            <w:tcBorders>
              <w:top w:val="nil"/>
              <w:bottom w:val="nil"/>
            </w:tcBorders>
          </w:tcPr>
          <w:p w14:paraId="4C2E3EF7" w14:textId="77777777" w:rsidR="00F65BCA" w:rsidRDefault="00F65BCA">
            <w:pPr>
              <w:pStyle w:val="TableParagraph"/>
              <w:rPr>
                <w:rFonts w:ascii="Times New Roman"/>
                <w:sz w:val="2"/>
              </w:rPr>
            </w:pPr>
          </w:p>
        </w:tc>
        <w:tc>
          <w:tcPr>
            <w:tcW w:w="288" w:type="dxa"/>
            <w:tcBorders>
              <w:top w:val="nil"/>
              <w:bottom w:val="nil"/>
            </w:tcBorders>
          </w:tcPr>
          <w:p w14:paraId="2532654B" w14:textId="77777777" w:rsidR="00F65BCA" w:rsidRDefault="00F65BCA">
            <w:pPr>
              <w:pStyle w:val="TableParagraph"/>
              <w:rPr>
                <w:rFonts w:ascii="Times New Roman"/>
                <w:sz w:val="2"/>
              </w:rPr>
            </w:pPr>
          </w:p>
        </w:tc>
        <w:tc>
          <w:tcPr>
            <w:tcW w:w="288" w:type="dxa"/>
            <w:tcBorders>
              <w:top w:val="nil"/>
              <w:bottom w:val="nil"/>
            </w:tcBorders>
          </w:tcPr>
          <w:p w14:paraId="1964C6BD" w14:textId="77777777" w:rsidR="00F65BCA" w:rsidRDefault="00F65BCA">
            <w:pPr>
              <w:pStyle w:val="TableParagraph"/>
              <w:rPr>
                <w:rFonts w:ascii="Times New Roman"/>
                <w:sz w:val="2"/>
              </w:rPr>
            </w:pPr>
          </w:p>
        </w:tc>
        <w:tc>
          <w:tcPr>
            <w:tcW w:w="288" w:type="dxa"/>
            <w:tcBorders>
              <w:top w:val="nil"/>
              <w:bottom w:val="nil"/>
            </w:tcBorders>
          </w:tcPr>
          <w:p w14:paraId="4A2907FE" w14:textId="77777777" w:rsidR="00F65BCA" w:rsidRDefault="00F65BCA">
            <w:pPr>
              <w:pStyle w:val="TableParagraph"/>
              <w:rPr>
                <w:rFonts w:ascii="Times New Roman"/>
                <w:sz w:val="2"/>
              </w:rPr>
            </w:pPr>
          </w:p>
        </w:tc>
        <w:tc>
          <w:tcPr>
            <w:tcW w:w="288" w:type="dxa"/>
            <w:tcBorders>
              <w:top w:val="nil"/>
              <w:bottom w:val="nil"/>
            </w:tcBorders>
          </w:tcPr>
          <w:p w14:paraId="2324721E" w14:textId="77777777" w:rsidR="00F65BCA" w:rsidRDefault="00F65BCA">
            <w:pPr>
              <w:pStyle w:val="TableParagraph"/>
              <w:rPr>
                <w:rFonts w:ascii="Times New Roman"/>
                <w:sz w:val="2"/>
              </w:rPr>
            </w:pPr>
          </w:p>
        </w:tc>
      </w:tr>
      <w:tr w:rsidR="00F65BCA" w14:paraId="2E8D9C9A" w14:textId="77777777">
        <w:trPr>
          <w:trHeight w:val="35"/>
        </w:trPr>
        <w:tc>
          <w:tcPr>
            <w:tcW w:w="526" w:type="dxa"/>
            <w:vMerge/>
            <w:tcBorders>
              <w:top w:val="nil"/>
            </w:tcBorders>
            <w:shd w:val="clear" w:color="auto" w:fill="FCE4D6"/>
          </w:tcPr>
          <w:p w14:paraId="0E8D5E05" w14:textId="77777777" w:rsidR="00F65BCA" w:rsidRDefault="00F65BCA">
            <w:pPr>
              <w:rPr>
                <w:sz w:val="2"/>
                <w:szCs w:val="2"/>
              </w:rPr>
            </w:pPr>
          </w:p>
        </w:tc>
        <w:tc>
          <w:tcPr>
            <w:tcW w:w="732" w:type="dxa"/>
            <w:tcBorders>
              <w:top w:val="nil"/>
              <w:bottom w:val="nil"/>
            </w:tcBorders>
            <w:shd w:val="clear" w:color="auto" w:fill="FCE4D6"/>
          </w:tcPr>
          <w:p w14:paraId="605CA50E" w14:textId="77777777" w:rsidR="00F65BCA" w:rsidRDefault="00216117">
            <w:pPr>
              <w:pStyle w:val="TableParagraph"/>
              <w:spacing w:line="15" w:lineRule="exact"/>
              <w:ind w:left="4"/>
              <w:rPr>
                <w:sz w:val="3"/>
              </w:rPr>
            </w:pPr>
            <w:r>
              <w:rPr>
                <w:w w:val="105"/>
                <w:sz w:val="3"/>
              </w:rPr>
              <w:t>Plymouth; Poběda; Pontiac; Porsche; Praga;</w:t>
            </w:r>
          </w:p>
        </w:tc>
        <w:tc>
          <w:tcPr>
            <w:tcW w:w="958" w:type="dxa"/>
            <w:gridSpan w:val="2"/>
            <w:tcBorders>
              <w:top w:val="nil"/>
              <w:bottom w:val="nil"/>
            </w:tcBorders>
            <w:shd w:val="clear" w:color="auto" w:fill="FCE4D6"/>
          </w:tcPr>
          <w:p w14:paraId="5D34EF9D"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52D93898"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725D01E6" w14:textId="77777777" w:rsidR="00F65BCA" w:rsidRDefault="00F65BCA">
            <w:pPr>
              <w:pStyle w:val="TableParagraph"/>
              <w:rPr>
                <w:rFonts w:ascii="Times New Roman"/>
                <w:sz w:val="2"/>
              </w:rPr>
            </w:pPr>
          </w:p>
        </w:tc>
        <w:tc>
          <w:tcPr>
            <w:tcW w:w="50" w:type="dxa"/>
            <w:vMerge/>
            <w:tcBorders>
              <w:top w:val="nil"/>
              <w:bottom w:val="nil"/>
            </w:tcBorders>
          </w:tcPr>
          <w:p w14:paraId="751EB6DC" w14:textId="77777777" w:rsidR="00F65BCA" w:rsidRDefault="00F65BCA">
            <w:pPr>
              <w:rPr>
                <w:sz w:val="2"/>
                <w:szCs w:val="2"/>
              </w:rPr>
            </w:pPr>
          </w:p>
        </w:tc>
        <w:tc>
          <w:tcPr>
            <w:tcW w:w="288" w:type="dxa"/>
            <w:tcBorders>
              <w:top w:val="nil"/>
              <w:bottom w:val="nil"/>
            </w:tcBorders>
          </w:tcPr>
          <w:p w14:paraId="3659FBC0" w14:textId="77777777" w:rsidR="00F65BCA" w:rsidRDefault="00F65BCA">
            <w:pPr>
              <w:pStyle w:val="TableParagraph"/>
              <w:rPr>
                <w:rFonts w:ascii="Times New Roman"/>
                <w:sz w:val="2"/>
              </w:rPr>
            </w:pPr>
          </w:p>
        </w:tc>
        <w:tc>
          <w:tcPr>
            <w:tcW w:w="288" w:type="dxa"/>
            <w:tcBorders>
              <w:top w:val="nil"/>
              <w:bottom w:val="nil"/>
            </w:tcBorders>
          </w:tcPr>
          <w:p w14:paraId="351BC8E5" w14:textId="77777777" w:rsidR="00F65BCA" w:rsidRDefault="00F65BCA">
            <w:pPr>
              <w:pStyle w:val="TableParagraph"/>
              <w:rPr>
                <w:rFonts w:ascii="Times New Roman"/>
                <w:sz w:val="2"/>
              </w:rPr>
            </w:pPr>
          </w:p>
        </w:tc>
        <w:tc>
          <w:tcPr>
            <w:tcW w:w="288" w:type="dxa"/>
            <w:tcBorders>
              <w:top w:val="nil"/>
              <w:bottom w:val="nil"/>
            </w:tcBorders>
          </w:tcPr>
          <w:p w14:paraId="05F6D25C" w14:textId="77777777" w:rsidR="00F65BCA" w:rsidRDefault="00F65BCA">
            <w:pPr>
              <w:pStyle w:val="TableParagraph"/>
              <w:rPr>
                <w:rFonts w:ascii="Times New Roman"/>
                <w:sz w:val="2"/>
              </w:rPr>
            </w:pPr>
          </w:p>
        </w:tc>
        <w:tc>
          <w:tcPr>
            <w:tcW w:w="288" w:type="dxa"/>
            <w:tcBorders>
              <w:top w:val="nil"/>
              <w:bottom w:val="nil"/>
            </w:tcBorders>
          </w:tcPr>
          <w:p w14:paraId="68F0CCBD" w14:textId="77777777" w:rsidR="00F65BCA" w:rsidRDefault="00F65BCA">
            <w:pPr>
              <w:pStyle w:val="TableParagraph"/>
              <w:rPr>
                <w:rFonts w:ascii="Times New Roman"/>
                <w:sz w:val="2"/>
              </w:rPr>
            </w:pPr>
          </w:p>
        </w:tc>
        <w:tc>
          <w:tcPr>
            <w:tcW w:w="288" w:type="dxa"/>
            <w:tcBorders>
              <w:top w:val="nil"/>
              <w:bottom w:val="nil"/>
            </w:tcBorders>
          </w:tcPr>
          <w:p w14:paraId="78EB6D23" w14:textId="77777777" w:rsidR="00F65BCA" w:rsidRDefault="00F65BCA">
            <w:pPr>
              <w:pStyle w:val="TableParagraph"/>
              <w:rPr>
                <w:rFonts w:ascii="Times New Roman"/>
                <w:sz w:val="2"/>
              </w:rPr>
            </w:pPr>
          </w:p>
        </w:tc>
        <w:tc>
          <w:tcPr>
            <w:tcW w:w="288" w:type="dxa"/>
            <w:tcBorders>
              <w:top w:val="nil"/>
              <w:bottom w:val="nil"/>
            </w:tcBorders>
          </w:tcPr>
          <w:p w14:paraId="7AC6C8EE" w14:textId="77777777" w:rsidR="00F65BCA" w:rsidRDefault="00F65BCA">
            <w:pPr>
              <w:pStyle w:val="TableParagraph"/>
              <w:rPr>
                <w:rFonts w:ascii="Times New Roman"/>
                <w:sz w:val="2"/>
              </w:rPr>
            </w:pPr>
          </w:p>
        </w:tc>
        <w:tc>
          <w:tcPr>
            <w:tcW w:w="288" w:type="dxa"/>
            <w:tcBorders>
              <w:top w:val="nil"/>
              <w:bottom w:val="nil"/>
            </w:tcBorders>
          </w:tcPr>
          <w:p w14:paraId="37173DFC" w14:textId="77777777" w:rsidR="00F65BCA" w:rsidRDefault="00F65BCA">
            <w:pPr>
              <w:pStyle w:val="TableParagraph"/>
              <w:rPr>
                <w:rFonts w:ascii="Times New Roman"/>
                <w:sz w:val="2"/>
              </w:rPr>
            </w:pPr>
          </w:p>
        </w:tc>
        <w:tc>
          <w:tcPr>
            <w:tcW w:w="288" w:type="dxa"/>
            <w:tcBorders>
              <w:top w:val="nil"/>
              <w:bottom w:val="nil"/>
            </w:tcBorders>
          </w:tcPr>
          <w:p w14:paraId="11B1B934" w14:textId="77777777" w:rsidR="00F65BCA" w:rsidRDefault="00F65BCA">
            <w:pPr>
              <w:pStyle w:val="TableParagraph"/>
              <w:rPr>
                <w:rFonts w:ascii="Times New Roman"/>
                <w:sz w:val="2"/>
              </w:rPr>
            </w:pPr>
          </w:p>
        </w:tc>
        <w:tc>
          <w:tcPr>
            <w:tcW w:w="288" w:type="dxa"/>
            <w:tcBorders>
              <w:top w:val="nil"/>
              <w:bottom w:val="nil"/>
            </w:tcBorders>
          </w:tcPr>
          <w:p w14:paraId="6A1AAC65" w14:textId="77777777" w:rsidR="00F65BCA" w:rsidRDefault="00F65BCA">
            <w:pPr>
              <w:pStyle w:val="TableParagraph"/>
              <w:rPr>
                <w:rFonts w:ascii="Times New Roman"/>
                <w:sz w:val="2"/>
              </w:rPr>
            </w:pPr>
          </w:p>
        </w:tc>
        <w:tc>
          <w:tcPr>
            <w:tcW w:w="288" w:type="dxa"/>
            <w:tcBorders>
              <w:top w:val="nil"/>
              <w:bottom w:val="nil"/>
            </w:tcBorders>
          </w:tcPr>
          <w:p w14:paraId="1C549ADA" w14:textId="77777777" w:rsidR="00F65BCA" w:rsidRDefault="00F65BCA">
            <w:pPr>
              <w:pStyle w:val="TableParagraph"/>
              <w:rPr>
                <w:rFonts w:ascii="Times New Roman"/>
                <w:sz w:val="2"/>
              </w:rPr>
            </w:pPr>
          </w:p>
        </w:tc>
        <w:tc>
          <w:tcPr>
            <w:tcW w:w="288" w:type="dxa"/>
            <w:tcBorders>
              <w:top w:val="nil"/>
              <w:bottom w:val="nil"/>
            </w:tcBorders>
          </w:tcPr>
          <w:p w14:paraId="74C54FD8" w14:textId="77777777" w:rsidR="00F65BCA" w:rsidRDefault="00F65BCA">
            <w:pPr>
              <w:pStyle w:val="TableParagraph"/>
              <w:rPr>
                <w:rFonts w:ascii="Times New Roman"/>
                <w:sz w:val="2"/>
              </w:rPr>
            </w:pPr>
          </w:p>
        </w:tc>
        <w:tc>
          <w:tcPr>
            <w:tcW w:w="288" w:type="dxa"/>
            <w:tcBorders>
              <w:top w:val="nil"/>
              <w:bottom w:val="nil"/>
            </w:tcBorders>
          </w:tcPr>
          <w:p w14:paraId="50950994" w14:textId="77777777" w:rsidR="00F65BCA" w:rsidRDefault="00F65BCA">
            <w:pPr>
              <w:pStyle w:val="TableParagraph"/>
              <w:rPr>
                <w:rFonts w:ascii="Times New Roman"/>
                <w:sz w:val="2"/>
              </w:rPr>
            </w:pPr>
          </w:p>
        </w:tc>
        <w:tc>
          <w:tcPr>
            <w:tcW w:w="288" w:type="dxa"/>
            <w:tcBorders>
              <w:top w:val="nil"/>
              <w:bottom w:val="nil"/>
            </w:tcBorders>
          </w:tcPr>
          <w:p w14:paraId="009D5334" w14:textId="77777777" w:rsidR="00F65BCA" w:rsidRDefault="00F65BCA">
            <w:pPr>
              <w:pStyle w:val="TableParagraph"/>
              <w:rPr>
                <w:rFonts w:ascii="Times New Roman"/>
                <w:sz w:val="2"/>
              </w:rPr>
            </w:pPr>
          </w:p>
        </w:tc>
      </w:tr>
      <w:tr w:rsidR="00F65BCA" w14:paraId="7527A986" w14:textId="77777777">
        <w:trPr>
          <w:trHeight w:val="36"/>
        </w:trPr>
        <w:tc>
          <w:tcPr>
            <w:tcW w:w="526" w:type="dxa"/>
            <w:vMerge/>
            <w:tcBorders>
              <w:top w:val="nil"/>
            </w:tcBorders>
            <w:shd w:val="clear" w:color="auto" w:fill="FCE4D6"/>
          </w:tcPr>
          <w:p w14:paraId="09BD87F5" w14:textId="77777777" w:rsidR="00F65BCA" w:rsidRDefault="00F65BCA">
            <w:pPr>
              <w:rPr>
                <w:sz w:val="2"/>
                <w:szCs w:val="2"/>
              </w:rPr>
            </w:pPr>
          </w:p>
        </w:tc>
        <w:tc>
          <w:tcPr>
            <w:tcW w:w="732" w:type="dxa"/>
            <w:tcBorders>
              <w:top w:val="nil"/>
              <w:bottom w:val="nil"/>
            </w:tcBorders>
            <w:shd w:val="clear" w:color="auto" w:fill="FCE4D6"/>
          </w:tcPr>
          <w:p w14:paraId="47156FF9" w14:textId="77777777" w:rsidR="00F65BCA" w:rsidRDefault="00216117">
            <w:pPr>
              <w:pStyle w:val="TableParagraph"/>
              <w:spacing w:line="16" w:lineRule="exact"/>
              <w:ind w:left="4"/>
              <w:rPr>
                <w:sz w:val="3"/>
              </w:rPr>
            </w:pPr>
            <w:r>
              <w:rPr>
                <w:w w:val="105"/>
                <w:sz w:val="3"/>
              </w:rPr>
              <w:t>Radical; RAF; Rolls Royce; SAM; Santana; Saturn;</w:t>
            </w:r>
          </w:p>
        </w:tc>
        <w:tc>
          <w:tcPr>
            <w:tcW w:w="958" w:type="dxa"/>
            <w:gridSpan w:val="2"/>
            <w:tcBorders>
              <w:top w:val="nil"/>
              <w:bottom w:val="nil"/>
            </w:tcBorders>
            <w:shd w:val="clear" w:color="auto" w:fill="FCE4D6"/>
          </w:tcPr>
          <w:p w14:paraId="1C757ADD" w14:textId="77777777" w:rsidR="00F65BCA" w:rsidRDefault="00216117">
            <w:pPr>
              <w:pStyle w:val="TableParagraph"/>
              <w:spacing w:before="3" w:line="14" w:lineRule="exact"/>
              <w:ind w:left="1"/>
              <w:jc w:val="center"/>
              <w:rPr>
                <w:sz w:val="3"/>
              </w:rPr>
            </w:pPr>
            <w:r>
              <w:rPr>
                <w:w w:val="103"/>
                <w:sz w:val="3"/>
              </w:rPr>
              <w:t>-</w:t>
            </w:r>
          </w:p>
        </w:tc>
        <w:tc>
          <w:tcPr>
            <w:tcW w:w="576" w:type="dxa"/>
            <w:tcBorders>
              <w:top w:val="nil"/>
              <w:bottom w:val="nil"/>
            </w:tcBorders>
            <w:shd w:val="clear" w:color="auto" w:fill="FCE4D6"/>
          </w:tcPr>
          <w:p w14:paraId="61F73285" w14:textId="77777777" w:rsidR="00F65BCA" w:rsidRDefault="00216117">
            <w:pPr>
              <w:pStyle w:val="TableParagraph"/>
              <w:spacing w:before="3" w:line="14" w:lineRule="exact"/>
              <w:ind w:left="128" w:right="128"/>
              <w:jc w:val="center"/>
              <w:rPr>
                <w:sz w:val="3"/>
              </w:rPr>
            </w:pPr>
            <w:r>
              <w:rPr>
                <w:w w:val="105"/>
                <w:sz w:val="3"/>
              </w:rPr>
              <w:t>&gt;1000 ccm</w:t>
            </w:r>
          </w:p>
        </w:tc>
        <w:tc>
          <w:tcPr>
            <w:tcW w:w="576" w:type="dxa"/>
            <w:tcBorders>
              <w:top w:val="nil"/>
              <w:bottom w:val="nil"/>
            </w:tcBorders>
            <w:shd w:val="clear" w:color="auto" w:fill="FCE4D6"/>
          </w:tcPr>
          <w:p w14:paraId="635A0808" w14:textId="77777777" w:rsidR="00F65BCA" w:rsidRDefault="00216117">
            <w:pPr>
              <w:pStyle w:val="TableParagraph"/>
              <w:spacing w:before="3" w:line="14" w:lineRule="exact"/>
              <w:ind w:left="3"/>
              <w:jc w:val="center"/>
              <w:rPr>
                <w:sz w:val="3"/>
              </w:rPr>
            </w:pPr>
            <w:r>
              <w:rPr>
                <w:w w:val="103"/>
                <w:sz w:val="3"/>
              </w:rPr>
              <w:t>-</w:t>
            </w:r>
          </w:p>
        </w:tc>
        <w:tc>
          <w:tcPr>
            <w:tcW w:w="50" w:type="dxa"/>
            <w:vMerge/>
            <w:tcBorders>
              <w:top w:val="nil"/>
              <w:bottom w:val="nil"/>
            </w:tcBorders>
          </w:tcPr>
          <w:p w14:paraId="0FF31471" w14:textId="77777777" w:rsidR="00F65BCA" w:rsidRDefault="00F65BCA">
            <w:pPr>
              <w:rPr>
                <w:sz w:val="2"/>
                <w:szCs w:val="2"/>
              </w:rPr>
            </w:pPr>
          </w:p>
        </w:tc>
        <w:tc>
          <w:tcPr>
            <w:tcW w:w="288" w:type="dxa"/>
            <w:tcBorders>
              <w:top w:val="nil"/>
              <w:bottom w:val="nil"/>
            </w:tcBorders>
          </w:tcPr>
          <w:p w14:paraId="7B63FE5A" w14:textId="77777777" w:rsidR="00F65BCA" w:rsidRDefault="00216117">
            <w:pPr>
              <w:pStyle w:val="TableParagraph"/>
              <w:spacing w:before="3" w:line="14" w:lineRule="exact"/>
              <w:ind w:left="24" w:right="24"/>
              <w:jc w:val="center"/>
              <w:rPr>
                <w:sz w:val="3"/>
              </w:rPr>
            </w:pPr>
            <w:r>
              <w:rPr>
                <w:w w:val="105"/>
                <w:sz w:val="3"/>
              </w:rPr>
              <w:t>2,16338304%</w:t>
            </w:r>
          </w:p>
        </w:tc>
        <w:tc>
          <w:tcPr>
            <w:tcW w:w="288" w:type="dxa"/>
            <w:tcBorders>
              <w:top w:val="nil"/>
              <w:bottom w:val="nil"/>
            </w:tcBorders>
          </w:tcPr>
          <w:p w14:paraId="4621B197" w14:textId="77777777" w:rsidR="00F65BCA" w:rsidRDefault="00216117">
            <w:pPr>
              <w:pStyle w:val="TableParagraph"/>
              <w:spacing w:before="3" w:line="14" w:lineRule="exact"/>
              <w:ind w:left="24" w:right="24"/>
              <w:jc w:val="center"/>
              <w:rPr>
                <w:sz w:val="3"/>
              </w:rPr>
            </w:pPr>
            <w:r>
              <w:rPr>
                <w:w w:val="105"/>
                <w:sz w:val="3"/>
              </w:rPr>
              <w:t>2,02817160%</w:t>
            </w:r>
          </w:p>
        </w:tc>
        <w:tc>
          <w:tcPr>
            <w:tcW w:w="288" w:type="dxa"/>
            <w:tcBorders>
              <w:top w:val="nil"/>
              <w:bottom w:val="nil"/>
            </w:tcBorders>
          </w:tcPr>
          <w:p w14:paraId="15A6C11B" w14:textId="77777777" w:rsidR="00F65BCA" w:rsidRDefault="00216117">
            <w:pPr>
              <w:pStyle w:val="TableParagraph"/>
              <w:spacing w:before="3" w:line="14" w:lineRule="exact"/>
              <w:ind w:left="47"/>
              <w:rPr>
                <w:sz w:val="3"/>
              </w:rPr>
            </w:pPr>
            <w:r>
              <w:rPr>
                <w:w w:val="105"/>
                <w:sz w:val="3"/>
              </w:rPr>
              <w:t>1,93352359%</w:t>
            </w:r>
          </w:p>
        </w:tc>
        <w:tc>
          <w:tcPr>
            <w:tcW w:w="288" w:type="dxa"/>
            <w:tcBorders>
              <w:top w:val="nil"/>
              <w:bottom w:val="nil"/>
            </w:tcBorders>
          </w:tcPr>
          <w:p w14:paraId="394AD4B8" w14:textId="77777777" w:rsidR="00F65BCA" w:rsidRDefault="00216117">
            <w:pPr>
              <w:pStyle w:val="TableParagraph"/>
              <w:spacing w:before="3" w:line="14" w:lineRule="exact"/>
              <w:ind w:left="24" w:right="24"/>
              <w:jc w:val="center"/>
              <w:rPr>
                <w:sz w:val="3"/>
              </w:rPr>
            </w:pPr>
            <w:r>
              <w:rPr>
                <w:w w:val="105"/>
                <w:sz w:val="3"/>
              </w:rPr>
              <w:t>1,82535444%</w:t>
            </w:r>
          </w:p>
        </w:tc>
        <w:tc>
          <w:tcPr>
            <w:tcW w:w="288" w:type="dxa"/>
            <w:tcBorders>
              <w:top w:val="nil"/>
              <w:bottom w:val="nil"/>
            </w:tcBorders>
          </w:tcPr>
          <w:p w14:paraId="06CF5B42" w14:textId="77777777" w:rsidR="00F65BCA" w:rsidRDefault="00216117">
            <w:pPr>
              <w:pStyle w:val="TableParagraph"/>
              <w:spacing w:before="3" w:line="14" w:lineRule="exact"/>
              <w:ind w:left="47"/>
              <w:rPr>
                <w:sz w:val="3"/>
              </w:rPr>
            </w:pPr>
            <w:r>
              <w:rPr>
                <w:w w:val="105"/>
                <w:sz w:val="3"/>
              </w:rPr>
              <w:t>1,73070643%</w:t>
            </w:r>
          </w:p>
        </w:tc>
        <w:tc>
          <w:tcPr>
            <w:tcW w:w="288" w:type="dxa"/>
            <w:tcBorders>
              <w:top w:val="nil"/>
              <w:bottom w:val="nil"/>
            </w:tcBorders>
          </w:tcPr>
          <w:p w14:paraId="5BECA03B" w14:textId="77777777" w:rsidR="00F65BCA" w:rsidRDefault="00216117">
            <w:pPr>
              <w:pStyle w:val="TableParagraph"/>
              <w:spacing w:before="3" w:line="14" w:lineRule="exact"/>
              <w:ind w:left="24" w:right="24"/>
              <w:jc w:val="center"/>
              <w:rPr>
                <w:sz w:val="3"/>
              </w:rPr>
            </w:pPr>
            <w:r>
              <w:rPr>
                <w:w w:val="105"/>
                <w:sz w:val="3"/>
              </w:rPr>
              <w:t>1,60901614%</w:t>
            </w:r>
          </w:p>
        </w:tc>
        <w:tc>
          <w:tcPr>
            <w:tcW w:w="288" w:type="dxa"/>
            <w:tcBorders>
              <w:top w:val="nil"/>
              <w:bottom w:val="nil"/>
            </w:tcBorders>
          </w:tcPr>
          <w:p w14:paraId="1FCBEC8C" w14:textId="77777777" w:rsidR="00F65BCA" w:rsidRDefault="00216117">
            <w:pPr>
              <w:pStyle w:val="TableParagraph"/>
              <w:spacing w:before="3" w:line="14" w:lineRule="exact"/>
              <w:ind w:left="24" w:right="24"/>
              <w:jc w:val="center"/>
              <w:rPr>
                <w:sz w:val="3"/>
              </w:rPr>
            </w:pPr>
            <w:r>
              <w:rPr>
                <w:w w:val="105"/>
                <w:sz w:val="3"/>
              </w:rPr>
              <w:t>1,48732584%</w:t>
            </w:r>
          </w:p>
        </w:tc>
        <w:tc>
          <w:tcPr>
            <w:tcW w:w="288" w:type="dxa"/>
            <w:tcBorders>
              <w:top w:val="nil"/>
              <w:bottom w:val="nil"/>
            </w:tcBorders>
          </w:tcPr>
          <w:p w14:paraId="6D3E8D06" w14:textId="77777777" w:rsidR="00F65BCA" w:rsidRDefault="00216117">
            <w:pPr>
              <w:pStyle w:val="TableParagraph"/>
              <w:spacing w:before="3" w:line="14" w:lineRule="exact"/>
              <w:ind w:left="47"/>
              <w:rPr>
                <w:sz w:val="3"/>
              </w:rPr>
            </w:pPr>
            <w:r>
              <w:rPr>
                <w:w w:val="105"/>
                <w:sz w:val="3"/>
              </w:rPr>
              <w:t>1,35211440%</w:t>
            </w:r>
          </w:p>
        </w:tc>
        <w:tc>
          <w:tcPr>
            <w:tcW w:w="288" w:type="dxa"/>
            <w:tcBorders>
              <w:top w:val="nil"/>
              <w:bottom w:val="nil"/>
            </w:tcBorders>
          </w:tcPr>
          <w:p w14:paraId="13B51B0A" w14:textId="77777777" w:rsidR="00F65BCA" w:rsidRDefault="00216117">
            <w:pPr>
              <w:pStyle w:val="TableParagraph"/>
              <w:spacing w:before="3" w:line="14" w:lineRule="exact"/>
              <w:ind w:left="24" w:right="24"/>
              <w:jc w:val="center"/>
              <w:rPr>
                <w:sz w:val="3"/>
              </w:rPr>
            </w:pPr>
            <w:r>
              <w:rPr>
                <w:w w:val="105"/>
                <w:sz w:val="3"/>
              </w:rPr>
              <w:t>1,35211440%</w:t>
            </w:r>
          </w:p>
        </w:tc>
        <w:tc>
          <w:tcPr>
            <w:tcW w:w="288" w:type="dxa"/>
            <w:tcBorders>
              <w:top w:val="nil"/>
              <w:bottom w:val="nil"/>
            </w:tcBorders>
          </w:tcPr>
          <w:p w14:paraId="25DB0BDA" w14:textId="77777777" w:rsidR="00F65BCA" w:rsidRDefault="00216117">
            <w:pPr>
              <w:pStyle w:val="TableParagraph"/>
              <w:spacing w:before="3" w:line="14" w:lineRule="exact"/>
              <w:ind w:left="24" w:right="24"/>
              <w:jc w:val="center"/>
              <w:rPr>
                <w:sz w:val="3"/>
              </w:rPr>
            </w:pPr>
            <w:r>
              <w:rPr>
                <w:w w:val="105"/>
                <w:sz w:val="3"/>
              </w:rPr>
              <w:t>1,62253728%</w:t>
            </w:r>
          </w:p>
        </w:tc>
        <w:tc>
          <w:tcPr>
            <w:tcW w:w="288" w:type="dxa"/>
            <w:tcBorders>
              <w:top w:val="nil"/>
              <w:bottom w:val="nil"/>
            </w:tcBorders>
          </w:tcPr>
          <w:p w14:paraId="5F626D08" w14:textId="77777777" w:rsidR="00F65BCA" w:rsidRDefault="00216117">
            <w:pPr>
              <w:pStyle w:val="TableParagraph"/>
              <w:spacing w:before="3" w:line="14" w:lineRule="exact"/>
              <w:ind w:left="24" w:right="24"/>
              <w:jc w:val="center"/>
              <w:rPr>
                <w:sz w:val="3"/>
              </w:rPr>
            </w:pPr>
            <w:r>
              <w:rPr>
                <w:w w:val="105"/>
                <w:sz w:val="3"/>
              </w:rPr>
              <w:t>1,82535444%</w:t>
            </w:r>
          </w:p>
        </w:tc>
        <w:tc>
          <w:tcPr>
            <w:tcW w:w="288" w:type="dxa"/>
            <w:tcBorders>
              <w:top w:val="nil"/>
              <w:bottom w:val="nil"/>
            </w:tcBorders>
          </w:tcPr>
          <w:p w14:paraId="5DFDA6A5" w14:textId="77777777" w:rsidR="00F65BCA" w:rsidRDefault="00216117">
            <w:pPr>
              <w:pStyle w:val="TableParagraph"/>
              <w:spacing w:before="3" w:line="14" w:lineRule="exact"/>
              <w:ind w:left="24" w:right="24"/>
              <w:jc w:val="center"/>
              <w:rPr>
                <w:sz w:val="3"/>
              </w:rPr>
            </w:pPr>
            <w:r>
              <w:rPr>
                <w:w w:val="105"/>
                <w:sz w:val="3"/>
              </w:rPr>
              <w:t>1,82535444%</w:t>
            </w:r>
          </w:p>
        </w:tc>
        <w:tc>
          <w:tcPr>
            <w:tcW w:w="288" w:type="dxa"/>
            <w:tcBorders>
              <w:top w:val="nil"/>
              <w:bottom w:val="nil"/>
            </w:tcBorders>
          </w:tcPr>
          <w:p w14:paraId="66EEE081" w14:textId="77777777" w:rsidR="00F65BCA" w:rsidRDefault="00216117">
            <w:pPr>
              <w:pStyle w:val="TableParagraph"/>
              <w:spacing w:before="3" w:line="14" w:lineRule="exact"/>
              <w:ind w:left="47"/>
              <w:rPr>
                <w:sz w:val="3"/>
              </w:rPr>
            </w:pPr>
            <w:r>
              <w:rPr>
                <w:w w:val="105"/>
                <w:sz w:val="3"/>
              </w:rPr>
              <w:t>2,02817160%</w:t>
            </w:r>
          </w:p>
        </w:tc>
      </w:tr>
      <w:tr w:rsidR="00F65BCA" w14:paraId="345D3F54" w14:textId="77777777">
        <w:trPr>
          <w:trHeight w:val="34"/>
        </w:trPr>
        <w:tc>
          <w:tcPr>
            <w:tcW w:w="526" w:type="dxa"/>
            <w:vMerge/>
            <w:tcBorders>
              <w:top w:val="nil"/>
            </w:tcBorders>
            <w:shd w:val="clear" w:color="auto" w:fill="FCE4D6"/>
          </w:tcPr>
          <w:p w14:paraId="0D9F72C4" w14:textId="77777777" w:rsidR="00F65BCA" w:rsidRDefault="00F65BCA">
            <w:pPr>
              <w:rPr>
                <w:sz w:val="2"/>
                <w:szCs w:val="2"/>
              </w:rPr>
            </w:pPr>
          </w:p>
        </w:tc>
        <w:tc>
          <w:tcPr>
            <w:tcW w:w="732" w:type="dxa"/>
            <w:tcBorders>
              <w:top w:val="nil"/>
              <w:bottom w:val="nil"/>
            </w:tcBorders>
            <w:shd w:val="clear" w:color="auto" w:fill="FCE4D6"/>
          </w:tcPr>
          <w:p w14:paraId="3902910F" w14:textId="77777777" w:rsidR="00F65BCA" w:rsidRDefault="00216117">
            <w:pPr>
              <w:pStyle w:val="TableParagraph"/>
              <w:spacing w:line="15" w:lineRule="exact"/>
              <w:ind w:left="4"/>
              <w:rPr>
                <w:sz w:val="3"/>
              </w:rPr>
            </w:pPr>
            <w:r>
              <w:rPr>
                <w:w w:val="105"/>
                <w:sz w:val="3"/>
              </w:rPr>
              <w:t>Shuanghuan; Singer; Spyker; Tesla; Thunderbold;</w:t>
            </w:r>
          </w:p>
        </w:tc>
        <w:tc>
          <w:tcPr>
            <w:tcW w:w="958" w:type="dxa"/>
            <w:gridSpan w:val="2"/>
            <w:tcBorders>
              <w:top w:val="nil"/>
              <w:bottom w:val="nil"/>
            </w:tcBorders>
            <w:shd w:val="clear" w:color="auto" w:fill="FCE4D6"/>
          </w:tcPr>
          <w:p w14:paraId="3283CDB5"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057769C1"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5120D226" w14:textId="77777777" w:rsidR="00F65BCA" w:rsidRDefault="00F65BCA">
            <w:pPr>
              <w:pStyle w:val="TableParagraph"/>
              <w:rPr>
                <w:rFonts w:ascii="Times New Roman"/>
                <w:sz w:val="2"/>
              </w:rPr>
            </w:pPr>
          </w:p>
        </w:tc>
        <w:tc>
          <w:tcPr>
            <w:tcW w:w="50" w:type="dxa"/>
            <w:vMerge/>
            <w:tcBorders>
              <w:top w:val="nil"/>
              <w:bottom w:val="nil"/>
            </w:tcBorders>
          </w:tcPr>
          <w:p w14:paraId="732AEF1E" w14:textId="77777777" w:rsidR="00F65BCA" w:rsidRDefault="00F65BCA">
            <w:pPr>
              <w:rPr>
                <w:sz w:val="2"/>
                <w:szCs w:val="2"/>
              </w:rPr>
            </w:pPr>
          </w:p>
        </w:tc>
        <w:tc>
          <w:tcPr>
            <w:tcW w:w="288" w:type="dxa"/>
            <w:tcBorders>
              <w:top w:val="nil"/>
              <w:bottom w:val="nil"/>
            </w:tcBorders>
          </w:tcPr>
          <w:p w14:paraId="512440A4" w14:textId="77777777" w:rsidR="00F65BCA" w:rsidRDefault="00F65BCA">
            <w:pPr>
              <w:pStyle w:val="TableParagraph"/>
              <w:rPr>
                <w:rFonts w:ascii="Times New Roman"/>
                <w:sz w:val="2"/>
              </w:rPr>
            </w:pPr>
          </w:p>
        </w:tc>
        <w:tc>
          <w:tcPr>
            <w:tcW w:w="288" w:type="dxa"/>
            <w:tcBorders>
              <w:top w:val="nil"/>
              <w:bottom w:val="nil"/>
            </w:tcBorders>
          </w:tcPr>
          <w:p w14:paraId="76D0BF66" w14:textId="77777777" w:rsidR="00F65BCA" w:rsidRDefault="00F65BCA">
            <w:pPr>
              <w:pStyle w:val="TableParagraph"/>
              <w:rPr>
                <w:rFonts w:ascii="Times New Roman"/>
                <w:sz w:val="2"/>
              </w:rPr>
            </w:pPr>
          </w:p>
        </w:tc>
        <w:tc>
          <w:tcPr>
            <w:tcW w:w="288" w:type="dxa"/>
            <w:tcBorders>
              <w:top w:val="nil"/>
              <w:bottom w:val="nil"/>
            </w:tcBorders>
          </w:tcPr>
          <w:p w14:paraId="414B9481" w14:textId="77777777" w:rsidR="00F65BCA" w:rsidRDefault="00F65BCA">
            <w:pPr>
              <w:pStyle w:val="TableParagraph"/>
              <w:rPr>
                <w:rFonts w:ascii="Times New Roman"/>
                <w:sz w:val="2"/>
              </w:rPr>
            </w:pPr>
          </w:p>
        </w:tc>
        <w:tc>
          <w:tcPr>
            <w:tcW w:w="288" w:type="dxa"/>
            <w:tcBorders>
              <w:top w:val="nil"/>
              <w:bottom w:val="nil"/>
            </w:tcBorders>
          </w:tcPr>
          <w:p w14:paraId="0B8CFACC" w14:textId="77777777" w:rsidR="00F65BCA" w:rsidRDefault="00F65BCA">
            <w:pPr>
              <w:pStyle w:val="TableParagraph"/>
              <w:rPr>
                <w:rFonts w:ascii="Times New Roman"/>
                <w:sz w:val="2"/>
              </w:rPr>
            </w:pPr>
          </w:p>
        </w:tc>
        <w:tc>
          <w:tcPr>
            <w:tcW w:w="288" w:type="dxa"/>
            <w:tcBorders>
              <w:top w:val="nil"/>
              <w:bottom w:val="nil"/>
            </w:tcBorders>
          </w:tcPr>
          <w:p w14:paraId="3A7E2719" w14:textId="77777777" w:rsidR="00F65BCA" w:rsidRDefault="00F65BCA">
            <w:pPr>
              <w:pStyle w:val="TableParagraph"/>
              <w:rPr>
                <w:rFonts w:ascii="Times New Roman"/>
                <w:sz w:val="2"/>
              </w:rPr>
            </w:pPr>
          </w:p>
        </w:tc>
        <w:tc>
          <w:tcPr>
            <w:tcW w:w="288" w:type="dxa"/>
            <w:tcBorders>
              <w:top w:val="nil"/>
              <w:bottom w:val="nil"/>
            </w:tcBorders>
          </w:tcPr>
          <w:p w14:paraId="14AEAC66" w14:textId="77777777" w:rsidR="00F65BCA" w:rsidRDefault="00F65BCA">
            <w:pPr>
              <w:pStyle w:val="TableParagraph"/>
              <w:rPr>
                <w:rFonts w:ascii="Times New Roman"/>
                <w:sz w:val="2"/>
              </w:rPr>
            </w:pPr>
          </w:p>
        </w:tc>
        <w:tc>
          <w:tcPr>
            <w:tcW w:w="288" w:type="dxa"/>
            <w:tcBorders>
              <w:top w:val="nil"/>
              <w:bottom w:val="nil"/>
            </w:tcBorders>
          </w:tcPr>
          <w:p w14:paraId="0C186F05" w14:textId="77777777" w:rsidR="00F65BCA" w:rsidRDefault="00F65BCA">
            <w:pPr>
              <w:pStyle w:val="TableParagraph"/>
              <w:rPr>
                <w:rFonts w:ascii="Times New Roman"/>
                <w:sz w:val="2"/>
              </w:rPr>
            </w:pPr>
          </w:p>
        </w:tc>
        <w:tc>
          <w:tcPr>
            <w:tcW w:w="288" w:type="dxa"/>
            <w:tcBorders>
              <w:top w:val="nil"/>
              <w:bottom w:val="nil"/>
            </w:tcBorders>
          </w:tcPr>
          <w:p w14:paraId="2067BB81" w14:textId="77777777" w:rsidR="00F65BCA" w:rsidRDefault="00F65BCA">
            <w:pPr>
              <w:pStyle w:val="TableParagraph"/>
              <w:rPr>
                <w:rFonts w:ascii="Times New Roman"/>
                <w:sz w:val="2"/>
              </w:rPr>
            </w:pPr>
          </w:p>
        </w:tc>
        <w:tc>
          <w:tcPr>
            <w:tcW w:w="288" w:type="dxa"/>
            <w:tcBorders>
              <w:top w:val="nil"/>
              <w:bottom w:val="nil"/>
            </w:tcBorders>
          </w:tcPr>
          <w:p w14:paraId="46910F8A" w14:textId="77777777" w:rsidR="00F65BCA" w:rsidRDefault="00F65BCA">
            <w:pPr>
              <w:pStyle w:val="TableParagraph"/>
              <w:rPr>
                <w:rFonts w:ascii="Times New Roman"/>
                <w:sz w:val="2"/>
              </w:rPr>
            </w:pPr>
          </w:p>
        </w:tc>
        <w:tc>
          <w:tcPr>
            <w:tcW w:w="288" w:type="dxa"/>
            <w:tcBorders>
              <w:top w:val="nil"/>
              <w:bottom w:val="nil"/>
            </w:tcBorders>
          </w:tcPr>
          <w:p w14:paraId="460E0C81" w14:textId="77777777" w:rsidR="00F65BCA" w:rsidRDefault="00F65BCA">
            <w:pPr>
              <w:pStyle w:val="TableParagraph"/>
              <w:rPr>
                <w:rFonts w:ascii="Times New Roman"/>
                <w:sz w:val="2"/>
              </w:rPr>
            </w:pPr>
          </w:p>
        </w:tc>
        <w:tc>
          <w:tcPr>
            <w:tcW w:w="288" w:type="dxa"/>
            <w:tcBorders>
              <w:top w:val="nil"/>
              <w:bottom w:val="nil"/>
            </w:tcBorders>
          </w:tcPr>
          <w:p w14:paraId="240295DE" w14:textId="77777777" w:rsidR="00F65BCA" w:rsidRDefault="00F65BCA">
            <w:pPr>
              <w:pStyle w:val="TableParagraph"/>
              <w:rPr>
                <w:rFonts w:ascii="Times New Roman"/>
                <w:sz w:val="2"/>
              </w:rPr>
            </w:pPr>
          </w:p>
        </w:tc>
        <w:tc>
          <w:tcPr>
            <w:tcW w:w="288" w:type="dxa"/>
            <w:tcBorders>
              <w:top w:val="nil"/>
              <w:bottom w:val="nil"/>
            </w:tcBorders>
          </w:tcPr>
          <w:p w14:paraId="123C39CC" w14:textId="77777777" w:rsidR="00F65BCA" w:rsidRDefault="00F65BCA">
            <w:pPr>
              <w:pStyle w:val="TableParagraph"/>
              <w:rPr>
                <w:rFonts w:ascii="Times New Roman"/>
                <w:sz w:val="2"/>
              </w:rPr>
            </w:pPr>
          </w:p>
        </w:tc>
        <w:tc>
          <w:tcPr>
            <w:tcW w:w="288" w:type="dxa"/>
            <w:tcBorders>
              <w:top w:val="nil"/>
              <w:bottom w:val="nil"/>
            </w:tcBorders>
          </w:tcPr>
          <w:p w14:paraId="2B81F9EA" w14:textId="77777777" w:rsidR="00F65BCA" w:rsidRDefault="00F65BCA">
            <w:pPr>
              <w:pStyle w:val="TableParagraph"/>
              <w:rPr>
                <w:rFonts w:ascii="Times New Roman"/>
                <w:sz w:val="2"/>
              </w:rPr>
            </w:pPr>
          </w:p>
        </w:tc>
      </w:tr>
      <w:tr w:rsidR="00F65BCA" w14:paraId="41BA3B52" w14:textId="77777777">
        <w:trPr>
          <w:trHeight w:val="35"/>
        </w:trPr>
        <w:tc>
          <w:tcPr>
            <w:tcW w:w="526" w:type="dxa"/>
            <w:vMerge/>
            <w:tcBorders>
              <w:top w:val="nil"/>
            </w:tcBorders>
            <w:shd w:val="clear" w:color="auto" w:fill="FCE4D6"/>
          </w:tcPr>
          <w:p w14:paraId="785351A1" w14:textId="77777777" w:rsidR="00F65BCA" w:rsidRDefault="00F65BCA">
            <w:pPr>
              <w:rPr>
                <w:sz w:val="2"/>
                <w:szCs w:val="2"/>
              </w:rPr>
            </w:pPr>
          </w:p>
        </w:tc>
        <w:tc>
          <w:tcPr>
            <w:tcW w:w="732" w:type="dxa"/>
            <w:tcBorders>
              <w:top w:val="nil"/>
              <w:bottom w:val="nil"/>
            </w:tcBorders>
            <w:shd w:val="clear" w:color="auto" w:fill="FCE4D6"/>
          </w:tcPr>
          <w:p w14:paraId="2F6F7EB5" w14:textId="77777777" w:rsidR="00F65BCA" w:rsidRDefault="00216117">
            <w:pPr>
              <w:pStyle w:val="TableParagraph"/>
              <w:spacing w:line="15" w:lineRule="exact"/>
              <w:ind w:left="4"/>
              <w:rPr>
                <w:sz w:val="3"/>
              </w:rPr>
            </w:pPr>
            <w:r>
              <w:rPr>
                <w:w w:val="105"/>
                <w:sz w:val="3"/>
              </w:rPr>
              <w:t>Trabant; Triumph; Volha; Walter; Wanderer;</w:t>
            </w:r>
          </w:p>
        </w:tc>
        <w:tc>
          <w:tcPr>
            <w:tcW w:w="958" w:type="dxa"/>
            <w:gridSpan w:val="2"/>
            <w:tcBorders>
              <w:top w:val="nil"/>
              <w:bottom w:val="nil"/>
            </w:tcBorders>
            <w:shd w:val="clear" w:color="auto" w:fill="FCE4D6"/>
          </w:tcPr>
          <w:p w14:paraId="635CAAE9"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75159F95"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59980965" w14:textId="77777777" w:rsidR="00F65BCA" w:rsidRDefault="00F65BCA">
            <w:pPr>
              <w:pStyle w:val="TableParagraph"/>
              <w:rPr>
                <w:rFonts w:ascii="Times New Roman"/>
                <w:sz w:val="2"/>
              </w:rPr>
            </w:pPr>
          </w:p>
        </w:tc>
        <w:tc>
          <w:tcPr>
            <w:tcW w:w="50" w:type="dxa"/>
            <w:vMerge/>
            <w:tcBorders>
              <w:top w:val="nil"/>
              <w:bottom w:val="nil"/>
            </w:tcBorders>
          </w:tcPr>
          <w:p w14:paraId="38AD41AE" w14:textId="77777777" w:rsidR="00F65BCA" w:rsidRDefault="00F65BCA">
            <w:pPr>
              <w:rPr>
                <w:sz w:val="2"/>
                <w:szCs w:val="2"/>
              </w:rPr>
            </w:pPr>
          </w:p>
        </w:tc>
        <w:tc>
          <w:tcPr>
            <w:tcW w:w="288" w:type="dxa"/>
            <w:tcBorders>
              <w:top w:val="nil"/>
              <w:bottom w:val="nil"/>
            </w:tcBorders>
          </w:tcPr>
          <w:p w14:paraId="69BD8FD1" w14:textId="77777777" w:rsidR="00F65BCA" w:rsidRDefault="00F65BCA">
            <w:pPr>
              <w:pStyle w:val="TableParagraph"/>
              <w:rPr>
                <w:rFonts w:ascii="Times New Roman"/>
                <w:sz w:val="2"/>
              </w:rPr>
            </w:pPr>
          </w:p>
        </w:tc>
        <w:tc>
          <w:tcPr>
            <w:tcW w:w="288" w:type="dxa"/>
            <w:tcBorders>
              <w:top w:val="nil"/>
              <w:bottom w:val="nil"/>
            </w:tcBorders>
          </w:tcPr>
          <w:p w14:paraId="28433C70" w14:textId="77777777" w:rsidR="00F65BCA" w:rsidRDefault="00F65BCA">
            <w:pPr>
              <w:pStyle w:val="TableParagraph"/>
              <w:rPr>
                <w:rFonts w:ascii="Times New Roman"/>
                <w:sz w:val="2"/>
              </w:rPr>
            </w:pPr>
          </w:p>
        </w:tc>
        <w:tc>
          <w:tcPr>
            <w:tcW w:w="288" w:type="dxa"/>
            <w:tcBorders>
              <w:top w:val="nil"/>
              <w:bottom w:val="nil"/>
            </w:tcBorders>
          </w:tcPr>
          <w:p w14:paraId="367263AA" w14:textId="77777777" w:rsidR="00F65BCA" w:rsidRDefault="00F65BCA">
            <w:pPr>
              <w:pStyle w:val="TableParagraph"/>
              <w:rPr>
                <w:rFonts w:ascii="Times New Roman"/>
                <w:sz w:val="2"/>
              </w:rPr>
            </w:pPr>
          </w:p>
        </w:tc>
        <w:tc>
          <w:tcPr>
            <w:tcW w:w="288" w:type="dxa"/>
            <w:tcBorders>
              <w:top w:val="nil"/>
              <w:bottom w:val="nil"/>
            </w:tcBorders>
          </w:tcPr>
          <w:p w14:paraId="5D663577" w14:textId="77777777" w:rsidR="00F65BCA" w:rsidRDefault="00F65BCA">
            <w:pPr>
              <w:pStyle w:val="TableParagraph"/>
              <w:rPr>
                <w:rFonts w:ascii="Times New Roman"/>
                <w:sz w:val="2"/>
              </w:rPr>
            </w:pPr>
          </w:p>
        </w:tc>
        <w:tc>
          <w:tcPr>
            <w:tcW w:w="288" w:type="dxa"/>
            <w:tcBorders>
              <w:top w:val="nil"/>
              <w:bottom w:val="nil"/>
            </w:tcBorders>
          </w:tcPr>
          <w:p w14:paraId="351E05BA" w14:textId="77777777" w:rsidR="00F65BCA" w:rsidRDefault="00F65BCA">
            <w:pPr>
              <w:pStyle w:val="TableParagraph"/>
              <w:rPr>
                <w:rFonts w:ascii="Times New Roman"/>
                <w:sz w:val="2"/>
              </w:rPr>
            </w:pPr>
          </w:p>
        </w:tc>
        <w:tc>
          <w:tcPr>
            <w:tcW w:w="288" w:type="dxa"/>
            <w:tcBorders>
              <w:top w:val="nil"/>
              <w:bottom w:val="nil"/>
            </w:tcBorders>
          </w:tcPr>
          <w:p w14:paraId="5BCE6ED6" w14:textId="77777777" w:rsidR="00F65BCA" w:rsidRDefault="00F65BCA">
            <w:pPr>
              <w:pStyle w:val="TableParagraph"/>
              <w:rPr>
                <w:rFonts w:ascii="Times New Roman"/>
                <w:sz w:val="2"/>
              </w:rPr>
            </w:pPr>
          </w:p>
        </w:tc>
        <w:tc>
          <w:tcPr>
            <w:tcW w:w="288" w:type="dxa"/>
            <w:tcBorders>
              <w:top w:val="nil"/>
              <w:bottom w:val="nil"/>
            </w:tcBorders>
          </w:tcPr>
          <w:p w14:paraId="197EDF69" w14:textId="77777777" w:rsidR="00F65BCA" w:rsidRDefault="00F65BCA">
            <w:pPr>
              <w:pStyle w:val="TableParagraph"/>
              <w:rPr>
                <w:rFonts w:ascii="Times New Roman"/>
                <w:sz w:val="2"/>
              </w:rPr>
            </w:pPr>
          </w:p>
        </w:tc>
        <w:tc>
          <w:tcPr>
            <w:tcW w:w="288" w:type="dxa"/>
            <w:tcBorders>
              <w:top w:val="nil"/>
              <w:bottom w:val="nil"/>
            </w:tcBorders>
          </w:tcPr>
          <w:p w14:paraId="334D868D" w14:textId="77777777" w:rsidR="00F65BCA" w:rsidRDefault="00F65BCA">
            <w:pPr>
              <w:pStyle w:val="TableParagraph"/>
              <w:rPr>
                <w:rFonts w:ascii="Times New Roman"/>
                <w:sz w:val="2"/>
              </w:rPr>
            </w:pPr>
          </w:p>
        </w:tc>
        <w:tc>
          <w:tcPr>
            <w:tcW w:w="288" w:type="dxa"/>
            <w:tcBorders>
              <w:top w:val="nil"/>
              <w:bottom w:val="nil"/>
            </w:tcBorders>
          </w:tcPr>
          <w:p w14:paraId="402FAD08" w14:textId="77777777" w:rsidR="00F65BCA" w:rsidRDefault="00F65BCA">
            <w:pPr>
              <w:pStyle w:val="TableParagraph"/>
              <w:rPr>
                <w:rFonts w:ascii="Times New Roman"/>
                <w:sz w:val="2"/>
              </w:rPr>
            </w:pPr>
          </w:p>
        </w:tc>
        <w:tc>
          <w:tcPr>
            <w:tcW w:w="288" w:type="dxa"/>
            <w:tcBorders>
              <w:top w:val="nil"/>
              <w:bottom w:val="nil"/>
            </w:tcBorders>
          </w:tcPr>
          <w:p w14:paraId="000DF5A2" w14:textId="77777777" w:rsidR="00F65BCA" w:rsidRDefault="00F65BCA">
            <w:pPr>
              <w:pStyle w:val="TableParagraph"/>
              <w:rPr>
                <w:rFonts w:ascii="Times New Roman"/>
                <w:sz w:val="2"/>
              </w:rPr>
            </w:pPr>
          </w:p>
        </w:tc>
        <w:tc>
          <w:tcPr>
            <w:tcW w:w="288" w:type="dxa"/>
            <w:tcBorders>
              <w:top w:val="nil"/>
              <w:bottom w:val="nil"/>
            </w:tcBorders>
          </w:tcPr>
          <w:p w14:paraId="329506A5" w14:textId="77777777" w:rsidR="00F65BCA" w:rsidRDefault="00F65BCA">
            <w:pPr>
              <w:pStyle w:val="TableParagraph"/>
              <w:rPr>
                <w:rFonts w:ascii="Times New Roman"/>
                <w:sz w:val="2"/>
              </w:rPr>
            </w:pPr>
          </w:p>
        </w:tc>
        <w:tc>
          <w:tcPr>
            <w:tcW w:w="288" w:type="dxa"/>
            <w:tcBorders>
              <w:top w:val="nil"/>
              <w:bottom w:val="nil"/>
            </w:tcBorders>
          </w:tcPr>
          <w:p w14:paraId="1A2CA3AA" w14:textId="77777777" w:rsidR="00F65BCA" w:rsidRDefault="00F65BCA">
            <w:pPr>
              <w:pStyle w:val="TableParagraph"/>
              <w:rPr>
                <w:rFonts w:ascii="Times New Roman"/>
                <w:sz w:val="2"/>
              </w:rPr>
            </w:pPr>
          </w:p>
        </w:tc>
        <w:tc>
          <w:tcPr>
            <w:tcW w:w="288" w:type="dxa"/>
            <w:tcBorders>
              <w:top w:val="nil"/>
              <w:bottom w:val="nil"/>
            </w:tcBorders>
          </w:tcPr>
          <w:p w14:paraId="3D8F68F4" w14:textId="77777777" w:rsidR="00F65BCA" w:rsidRDefault="00F65BCA">
            <w:pPr>
              <w:pStyle w:val="TableParagraph"/>
              <w:rPr>
                <w:rFonts w:ascii="Times New Roman"/>
                <w:sz w:val="2"/>
              </w:rPr>
            </w:pPr>
          </w:p>
        </w:tc>
      </w:tr>
      <w:tr w:rsidR="00F65BCA" w14:paraId="7A100AA1" w14:textId="77777777">
        <w:trPr>
          <w:trHeight w:val="80"/>
        </w:trPr>
        <w:tc>
          <w:tcPr>
            <w:tcW w:w="526" w:type="dxa"/>
            <w:vMerge/>
            <w:tcBorders>
              <w:top w:val="nil"/>
            </w:tcBorders>
            <w:shd w:val="clear" w:color="auto" w:fill="FCE4D6"/>
          </w:tcPr>
          <w:p w14:paraId="20829B19" w14:textId="77777777" w:rsidR="00F65BCA" w:rsidRDefault="00F65BCA">
            <w:pPr>
              <w:rPr>
                <w:sz w:val="2"/>
                <w:szCs w:val="2"/>
              </w:rPr>
            </w:pPr>
          </w:p>
        </w:tc>
        <w:tc>
          <w:tcPr>
            <w:tcW w:w="732" w:type="dxa"/>
            <w:tcBorders>
              <w:top w:val="nil"/>
            </w:tcBorders>
            <w:shd w:val="clear" w:color="auto" w:fill="FCE4D6"/>
          </w:tcPr>
          <w:p w14:paraId="4D84CD8C" w14:textId="77777777" w:rsidR="00F65BCA" w:rsidRDefault="00216117">
            <w:pPr>
              <w:pStyle w:val="TableParagraph"/>
              <w:ind w:left="4"/>
              <w:rPr>
                <w:sz w:val="3"/>
              </w:rPr>
            </w:pPr>
            <w:r>
              <w:rPr>
                <w:w w:val="105"/>
                <w:sz w:val="3"/>
              </w:rPr>
              <w:t>Wartburg; Wiesmann; Yes</w:t>
            </w:r>
          </w:p>
        </w:tc>
        <w:tc>
          <w:tcPr>
            <w:tcW w:w="958" w:type="dxa"/>
            <w:gridSpan w:val="2"/>
            <w:tcBorders>
              <w:top w:val="nil"/>
            </w:tcBorders>
            <w:shd w:val="clear" w:color="auto" w:fill="FCE4D6"/>
          </w:tcPr>
          <w:p w14:paraId="7ACE47ED" w14:textId="77777777" w:rsidR="00F65BCA" w:rsidRDefault="00F65BCA">
            <w:pPr>
              <w:pStyle w:val="TableParagraph"/>
              <w:rPr>
                <w:rFonts w:ascii="Times New Roman"/>
                <w:sz w:val="2"/>
              </w:rPr>
            </w:pPr>
          </w:p>
        </w:tc>
        <w:tc>
          <w:tcPr>
            <w:tcW w:w="576" w:type="dxa"/>
            <w:tcBorders>
              <w:top w:val="nil"/>
            </w:tcBorders>
            <w:shd w:val="clear" w:color="auto" w:fill="FCE4D6"/>
          </w:tcPr>
          <w:p w14:paraId="56AA47A8" w14:textId="77777777" w:rsidR="00F65BCA" w:rsidRDefault="00F65BCA">
            <w:pPr>
              <w:pStyle w:val="TableParagraph"/>
              <w:rPr>
                <w:rFonts w:ascii="Times New Roman"/>
                <w:sz w:val="2"/>
              </w:rPr>
            </w:pPr>
          </w:p>
        </w:tc>
        <w:tc>
          <w:tcPr>
            <w:tcW w:w="576" w:type="dxa"/>
            <w:tcBorders>
              <w:top w:val="nil"/>
            </w:tcBorders>
            <w:shd w:val="clear" w:color="auto" w:fill="FCE4D6"/>
          </w:tcPr>
          <w:p w14:paraId="5D8BDBE9" w14:textId="77777777" w:rsidR="00F65BCA" w:rsidRDefault="00F65BCA">
            <w:pPr>
              <w:pStyle w:val="TableParagraph"/>
              <w:rPr>
                <w:rFonts w:ascii="Times New Roman"/>
                <w:sz w:val="2"/>
              </w:rPr>
            </w:pPr>
          </w:p>
        </w:tc>
        <w:tc>
          <w:tcPr>
            <w:tcW w:w="50" w:type="dxa"/>
            <w:vMerge/>
            <w:tcBorders>
              <w:top w:val="nil"/>
              <w:bottom w:val="nil"/>
            </w:tcBorders>
          </w:tcPr>
          <w:p w14:paraId="5980585A" w14:textId="77777777" w:rsidR="00F65BCA" w:rsidRDefault="00F65BCA">
            <w:pPr>
              <w:rPr>
                <w:sz w:val="2"/>
                <w:szCs w:val="2"/>
              </w:rPr>
            </w:pPr>
          </w:p>
        </w:tc>
        <w:tc>
          <w:tcPr>
            <w:tcW w:w="288" w:type="dxa"/>
            <w:tcBorders>
              <w:top w:val="nil"/>
            </w:tcBorders>
          </w:tcPr>
          <w:p w14:paraId="2BCA6550" w14:textId="77777777" w:rsidR="00F65BCA" w:rsidRDefault="00F65BCA">
            <w:pPr>
              <w:pStyle w:val="TableParagraph"/>
              <w:rPr>
                <w:rFonts w:ascii="Times New Roman"/>
                <w:sz w:val="2"/>
              </w:rPr>
            </w:pPr>
          </w:p>
        </w:tc>
        <w:tc>
          <w:tcPr>
            <w:tcW w:w="288" w:type="dxa"/>
            <w:tcBorders>
              <w:top w:val="nil"/>
            </w:tcBorders>
          </w:tcPr>
          <w:p w14:paraId="0E9D8821" w14:textId="77777777" w:rsidR="00F65BCA" w:rsidRDefault="00F65BCA">
            <w:pPr>
              <w:pStyle w:val="TableParagraph"/>
              <w:rPr>
                <w:rFonts w:ascii="Times New Roman"/>
                <w:sz w:val="2"/>
              </w:rPr>
            </w:pPr>
          </w:p>
        </w:tc>
        <w:tc>
          <w:tcPr>
            <w:tcW w:w="288" w:type="dxa"/>
            <w:tcBorders>
              <w:top w:val="nil"/>
            </w:tcBorders>
          </w:tcPr>
          <w:p w14:paraId="4C7C1A34" w14:textId="77777777" w:rsidR="00F65BCA" w:rsidRDefault="00F65BCA">
            <w:pPr>
              <w:pStyle w:val="TableParagraph"/>
              <w:rPr>
                <w:rFonts w:ascii="Times New Roman"/>
                <w:sz w:val="2"/>
              </w:rPr>
            </w:pPr>
          </w:p>
        </w:tc>
        <w:tc>
          <w:tcPr>
            <w:tcW w:w="288" w:type="dxa"/>
            <w:tcBorders>
              <w:top w:val="nil"/>
            </w:tcBorders>
          </w:tcPr>
          <w:p w14:paraId="500609EB" w14:textId="77777777" w:rsidR="00F65BCA" w:rsidRDefault="00F65BCA">
            <w:pPr>
              <w:pStyle w:val="TableParagraph"/>
              <w:rPr>
                <w:rFonts w:ascii="Times New Roman"/>
                <w:sz w:val="2"/>
              </w:rPr>
            </w:pPr>
          </w:p>
        </w:tc>
        <w:tc>
          <w:tcPr>
            <w:tcW w:w="288" w:type="dxa"/>
            <w:tcBorders>
              <w:top w:val="nil"/>
            </w:tcBorders>
          </w:tcPr>
          <w:p w14:paraId="12B74BB9" w14:textId="77777777" w:rsidR="00F65BCA" w:rsidRDefault="00F65BCA">
            <w:pPr>
              <w:pStyle w:val="TableParagraph"/>
              <w:rPr>
                <w:rFonts w:ascii="Times New Roman"/>
                <w:sz w:val="2"/>
              </w:rPr>
            </w:pPr>
          </w:p>
        </w:tc>
        <w:tc>
          <w:tcPr>
            <w:tcW w:w="288" w:type="dxa"/>
            <w:tcBorders>
              <w:top w:val="nil"/>
            </w:tcBorders>
          </w:tcPr>
          <w:p w14:paraId="1CE0B966" w14:textId="77777777" w:rsidR="00F65BCA" w:rsidRDefault="00F65BCA">
            <w:pPr>
              <w:pStyle w:val="TableParagraph"/>
              <w:rPr>
                <w:rFonts w:ascii="Times New Roman"/>
                <w:sz w:val="2"/>
              </w:rPr>
            </w:pPr>
          </w:p>
        </w:tc>
        <w:tc>
          <w:tcPr>
            <w:tcW w:w="288" w:type="dxa"/>
            <w:tcBorders>
              <w:top w:val="nil"/>
            </w:tcBorders>
          </w:tcPr>
          <w:p w14:paraId="74353294" w14:textId="77777777" w:rsidR="00F65BCA" w:rsidRDefault="00F65BCA">
            <w:pPr>
              <w:pStyle w:val="TableParagraph"/>
              <w:rPr>
                <w:rFonts w:ascii="Times New Roman"/>
                <w:sz w:val="2"/>
              </w:rPr>
            </w:pPr>
          </w:p>
        </w:tc>
        <w:tc>
          <w:tcPr>
            <w:tcW w:w="288" w:type="dxa"/>
            <w:tcBorders>
              <w:top w:val="nil"/>
            </w:tcBorders>
          </w:tcPr>
          <w:p w14:paraId="37E23E45" w14:textId="77777777" w:rsidR="00F65BCA" w:rsidRDefault="00F65BCA">
            <w:pPr>
              <w:pStyle w:val="TableParagraph"/>
              <w:rPr>
                <w:rFonts w:ascii="Times New Roman"/>
                <w:sz w:val="2"/>
              </w:rPr>
            </w:pPr>
          </w:p>
        </w:tc>
        <w:tc>
          <w:tcPr>
            <w:tcW w:w="288" w:type="dxa"/>
            <w:tcBorders>
              <w:top w:val="nil"/>
            </w:tcBorders>
          </w:tcPr>
          <w:p w14:paraId="7D7BA31F" w14:textId="77777777" w:rsidR="00F65BCA" w:rsidRDefault="00F65BCA">
            <w:pPr>
              <w:pStyle w:val="TableParagraph"/>
              <w:rPr>
                <w:rFonts w:ascii="Times New Roman"/>
                <w:sz w:val="2"/>
              </w:rPr>
            </w:pPr>
          </w:p>
        </w:tc>
        <w:tc>
          <w:tcPr>
            <w:tcW w:w="288" w:type="dxa"/>
            <w:tcBorders>
              <w:top w:val="nil"/>
            </w:tcBorders>
          </w:tcPr>
          <w:p w14:paraId="0B2DD619" w14:textId="77777777" w:rsidR="00F65BCA" w:rsidRDefault="00F65BCA">
            <w:pPr>
              <w:pStyle w:val="TableParagraph"/>
              <w:rPr>
                <w:rFonts w:ascii="Times New Roman"/>
                <w:sz w:val="2"/>
              </w:rPr>
            </w:pPr>
          </w:p>
        </w:tc>
        <w:tc>
          <w:tcPr>
            <w:tcW w:w="288" w:type="dxa"/>
            <w:tcBorders>
              <w:top w:val="nil"/>
            </w:tcBorders>
          </w:tcPr>
          <w:p w14:paraId="787B3E0B" w14:textId="77777777" w:rsidR="00F65BCA" w:rsidRDefault="00F65BCA">
            <w:pPr>
              <w:pStyle w:val="TableParagraph"/>
              <w:rPr>
                <w:rFonts w:ascii="Times New Roman"/>
                <w:sz w:val="2"/>
              </w:rPr>
            </w:pPr>
          </w:p>
        </w:tc>
        <w:tc>
          <w:tcPr>
            <w:tcW w:w="288" w:type="dxa"/>
            <w:tcBorders>
              <w:top w:val="nil"/>
            </w:tcBorders>
          </w:tcPr>
          <w:p w14:paraId="2B081858" w14:textId="77777777" w:rsidR="00F65BCA" w:rsidRDefault="00F65BCA">
            <w:pPr>
              <w:pStyle w:val="TableParagraph"/>
              <w:rPr>
                <w:rFonts w:ascii="Times New Roman"/>
                <w:sz w:val="2"/>
              </w:rPr>
            </w:pPr>
          </w:p>
        </w:tc>
        <w:tc>
          <w:tcPr>
            <w:tcW w:w="288" w:type="dxa"/>
            <w:tcBorders>
              <w:top w:val="nil"/>
            </w:tcBorders>
          </w:tcPr>
          <w:p w14:paraId="709AB49E" w14:textId="77777777" w:rsidR="00F65BCA" w:rsidRDefault="00F65BCA">
            <w:pPr>
              <w:pStyle w:val="TableParagraph"/>
              <w:rPr>
                <w:rFonts w:ascii="Times New Roman"/>
                <w:sz w:val="2"/>
              </w:rPr>
            </w:pPr>
          </w:p>
        </w:tc>
      </w:tr>
      <w:tr w:rsidR="00F65BCA" w14:paraId="1DB22C4B" w14:textId="77777777">
        <w:trPr>
          <w:trHeight w:val="46"/>
        </w:trPr>
        <w:tc>
          <w:tcPr>
            <w:tcW w:w="526" w:type="dxa"/>
            <w:vMerge w:val="restart"/>
            <w:tcBorders>
              <w:bottom w:val="nil"/>
            </w:tcBorders>
            <w:shd w:val="clear" w:color="auto" w:fill="FCE4D6"/>
          </w:tcPr>
          <w:p w14:paraId="5474BECB" w14:textId="77777777" w:rsidR="00F65BCA" w:rsidRDefault="00F65BCA">
            <w:pPr>
              <w:pStyle w:val="TableParagraph"/>
              <w:rPr>
                <w:rFonts w:ascii="Times New Roman"/>
                <w:sz w:val="2"/>
              </w:rPr>
            </w:pPr>
          </w:p>
        </w:tc>
        <w:tc>
          <w:tcPr>
            <w:tcW w:w="732" w:type="dxa"/>
            <w:tcBorders>
              <w:bottom w:val="nil"/>
            </w:tcBorders>
            <w:shd w:val="clear" w:color="auto" w:fill="FCE4D6"/>
          </w:tcPr>
          <w:p w14:paraId="1DC858C6" w14:textId="77777777" w:rsidR="00F65BCA" w:rsidRDefault="00F65BCA">
            <w:pPr>
              <w:pStyle w:val="TableParagraph"/>
              <w:rPr>
                <w:rFonts w:ascii="Times New Roman"/>
                <w:sz w:val="2"/>
              </w:rPr>
            </w:pPr>
          </w:p>
        </w:tc>
        <w:tc>
          <w:tcPr>
            <w:tcW w:w="958" w:type="dxa"/>
            <w:gridSpan w:val="2"/>
            <w:tcBorders>
              <w:bottom w:val="nil"/>
            </w:tcBorders>
            <w:shd w:val="clear" w:color="auto" w:fill="FCE4D6"/>
          </w:tcPr>
          <w:p w14:paraId="2A027468" w14:textId="77777777" w:rsidR="00F65BCA" w:rsidRDefault="00216117">
            <w:pPr>
              <w:pStyle w:val="TableParagraph"/>
              <w:spacing w:before="11" w:line="15" w:lineRule="exact"/>
              <w:ind w:left="4"/>
              <w:rPr>
                <w:sz w:val="3"/>
              </w:rPr>
            </w:pPr>
            <w:r>
              <w:rPr>
                <w:w w:val="105"/>
                <w:sz w:val="3"/>
              </w:rPr>
              <w:t>EURO CLASS; EURO STAR; EURO TECH; EURO TRAKKER;</w:t>
            </w:r>
          </w:p>
        </w:tc>
        <w:tc>
          <w:tcPr>
            <w:tcW w:w="576" w:type="dxa"/>
            <w:vMerge w:val="restart"/>
            <w:shd w:val="clear" w:color="auto" w:fill="FCE4D6"/>
          </w:tcPr>
          <w:p w14:paraId="3B387068" w14:textId="77777777" w:rsidR="00F65BCA" w:rsidRDefault="00F65BCA">
            <w:pPr>
              <w:pStyle w:val="TableParagraph"/>
              <w:spacing w:before="6"/>
              <w:rPr>
                <w:rFonts w:ascii="Calibri"/>
                <w:sz w:val="2"/>
              </w:rPr>
            </w:pPr>
          </w:p>
          <w:p w14:paraId="7F3D0937" w14:textId="77777777" w:rsidR="00F65BCA" w:rsidRDefault="00216117">
            <w:pPr>
              <w:pStyle w:val="TableParagraph"/>
              <w:ind w:left="3"/>
              <w:jc w:val="center"/>
              <w:rPr>
                <w:sz w:val="3"/>
              </w:rPr>
            </w:pPr>
            <w:r>
              <w:rPr>
                <w:w w:val="103"/>
                <w:sz w:val="3"/>
              </w:rPr>
              <w:t>-</w:t>
            </w:r>
          </w:p>
        </w:tc>
        <w:tc>
          <w:tcPr>
            <w:tcW w:w="576" w:type="dxa"/>
            <w:vMerge w:val="restart"/>
            <w:shd w:val="clear" w:color="auto" w:fill="FCE4D6"/>
          </w:tcPr>
          <w:p w14:paraId="63976F1A" w14:textId="77777777" w:rsidR="00F65BCA" w:rsidRDefault="00F65BCA">
            <w:pPr>
              <w:pStyle w:val="TableParagraph"/>
              <w:spacing w:before="6"/>
              <w:rPr>
                <w:rFonts w:ascii="Calibri"/>
                <w:sz w:val="2"/>
              </w:rPr>
            </w:pPr>
          </w:p>
          <w:p w14:paraId="438E167B"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3D0144F3" w14:textId="77777777" w:rsidR="00F65BCA" w:rsidRDefault="00F65BCA">
            <w:pPr>
              <w:rPr>
                <w:sz w:val="2"/>
                <w:szCs w:val="2"/>
              </w:rPr>
            </w:pPr>
          </w:p>
        </w:tc>
        <w:tc>
          <w:tcPr>
            <w:tcW w:w="288" w:type="dxa"/>
            <w:vMerge w:val="restart"/>
          </w:tcPr>
          <w:p w14:paraId="74BEF711" w14:textId="77777777" w:rsidR="00F65BCA" w:rsidRDefault="00F65BCA">
            <w:pPr>
              <w:pStyle w:val="TableParagraph"/>
              <w:spacing w:before="6"/>
              <w:rPr>
                <w:rFonts w:ascii="Calibri"/>
                <w:sz w:val="2"/>
              </w:rPr>
            </w:pPr>
          </w:p>
          <w:p w14:paraId="5D192A61" w14:textId="77777777" w:rsidR="00F65BCA" w:rsidRDefault="00216117">
            <w:pPr>
              <w:pStyle w:val="TableParagraph"/>
              <w:ind w:left="47"/>
              <w:rPr>
                <w:sz w:val="3"/>
              </w:rPr>
            </w:pPr>
            <w:r>
              <w:rPr>
                <w:w w:val="105"/>
                <w:sz w:val="3"/>
              </w:rPr>
              <w:t>1,02049000%</w:t>
            </w:r>
          </w:p>
        </w:tc>
        <w:tc>
          <w:tcPr>
            <w:tcW w:w="288" w:type="dxa"/>
            <w:vMerge w:val="restart"/>
          </w:tcPr>
          <w:p w14:paraId="297BB7F6" w14:textId="77777777" w:rsidR="00F65BCA" w:rsidRDefault="00F65BCA">
            <w:pPr>
              <w:pStyle w:val="TableParagraph"/>
              <w:spacing w:before="6"/>
              <w:rPr>
                <w:rFonts w:ascii="Calibri"/>
                <w:sz w:val="2"/>
              </w:rPr>
            </w:pPr>
          </w:p>
          <w:p w14:paraId="0A4D215A" w14:textId="77777777" w:rsidR="00F65BCA" w:rsidRDefault="00216117">
            <w:pPr>
              <w:pStyle w:val="TableParagraph"/>
              <w:ind w:left="47"/>
              <w:rPr>
                <w:sz w:val="3"/>
              </w:rPr>
            </w:pPr>
            <w:r>
              <w:rPr>
                <w:w w:val="105"/>
                <w:sz w:val="3"/>
              </w:rPr>
              <w:t>0,91307000%</w:t>
            </w:r>
          </w:p>
        </w:tc>
        <w:tc>
          <w:tcPr>
            <w:tcW w:w="288" w:type="dxa"/>
            <w:vMerge w:val="restart"/>
          </w:tcPr>
          <w:p w14:paraId="4C052A06" w14:textId="77777777" w:rsidR="00F65BCA" w:rsidRDefault="00F65BCA">
            <w:pPr>
              <w:pStyle w:val="TableParagraph"/>
              <w:spacing w:before="6"/>
              <w:rPr>
                <w:rFonts w:ascii="Calibri"/>
                <w:sz w:val="2"/>
              </w:rPr>
            </w:pPr>
          </w:p>
          <w:p w14:paraId="7D2A0816" w14:textId="77777777" w:rsidR="00F65BCA" w:rsidRDefault="00216117">
            <w:pPr>
              <w:pStyle w:val="TableParagraph"/>
              <w:ind w:left="47"/>
              <w:rPr>
                <w:sz w:val="3"/>
              </w:rPr>
            </w:pPr>
            <w:r>
              <w:rPr>
                <w:w w:val="105"/>
                <w:sz w:val="3"/>
              </w:rPr>
              <w:t>0,91307000%</w:t>
            </w:r>
          </w:p>
        </w:tc>
        <w:tc>
          <w:tcPr>
            <w:tcW w:w="288" w:type="dxa"/>
            <w:vMerge w:val="restart"/>
          </w:tcPr>
          <w:p w14:paraId="50852103" w14:textId="77777777" w:rsidR="00F65BCA" w:rsidRDefault="00F65BCA">
            <w:pPr>
              <w:pStyle w:val="TableParagraph"/>
              <w:spacing w:before="6"/>
              <w:rPr>
                <w:rFonts w:ascii="Calibri"/>
                <w:sz w:val="2"/>
              </w:rPr>
            </w:pPr>
          </w:p>
          <w:p w14:paraId="1E505505" w14:textId="77777777" w:rsidR="00F65BCA" w:rsidRDefault="00216117">
            <w:pPr>
              <w:pStyle w:val="TableParagraph"/>
              <w:ind w:left="47"/>
              <w:rPr>
                <w:sz w:val="3"/>
              </w:rPr>
            </w:pPr>
            <w:r>
              <w:rPr>
                <w:w w:val="105"/>
                <w:sz w:val="3"/>
              </w:rPr>
              <w:t>0,83250500%</w:t>
            </w:r>
          </w:p>
        </w:tc>
        <w:tc>
          <w:tcPr>
            <w:tcW w:w="288" w:type="dxa"/>
            <w:vMerge w:val="restart"/>
          </w:tcPr>
          <w:p w14:paraId="0ADA6DFF" w14:textId="77777777" w:rsidR="00F65BCA" w:rsidRDefault="00F65BCA">
            <w:pPr>
              <w:pStyle w:val="TableParagraph"/>
              <w:spacing w:before="6"/>
              <w:rPr>
                <w:rFonts w:ascii="Calibri"/>
                <w:sz w:val="2"/>
              </w:rPr>
            </w:pPr>
          </w:p>
          <w:p w14:paraId="78BA868E" w14:textId="77777777" w:rsidR="00F65BCA" w:rsidRDefault="00216117">
            <w:pPr>
              <w:pStyle w:val="TableParagraph"/>
              <w:ind w:left="47"/>
              <w:rPr>
                <w:sz w:val="3"/>
              </w:rPr>
            </w:pPr>
            <w:r>
              <w:rPr>
                <w:w w:val="105"/>
                <w:sz w:val="3"/>
              </w:rPr>
              <w:t>0,83250500%</w:t>
            </w:r>
          </w:p>
        </w:tc>
        <w:tc>
          <w:tcPr>
            <w:tcW w:w="288" w:type="dxa"/>
            <w:vMerge w:val="restart"/>
          </w:tcPr>
          <w:p w14:paraId="26C8FB43" w14:textId="77777777" w:rsidR="00F65BCA" w:rsidRDefault="00F65BCA">
            <w:pPr>
              <w:pStyle w:val="TableParagraph"/>
              <w:spacing w:before="6"/>
              <w:rPr>
                <w:rFonts w:ascii="Calibri"/>
                <w:sz w:val="2"/>
              </w:rPr>
            </w:pPr>
          </w:p>
          <w:p w14:paraId="075BEE9E" w14:textId="77777777" w:rsidR="00F65BCA" w:rsidRDefault="00216117">
            <w:pPr>
              <w:pStyle w:val="TableParagraph"/>
              <w:ind w:left="47"/>
              <w:rPr>
                <w:sz w:val="3"/>
              </w:rPr>
            </w:pPr>
            <w:r>
              <w:rPr>
                <w:w w:val="105"/>
                <w:sz w:val="3"/>
              </w:rPr>
              <w:t>0,75194000%</w:t>
            </w:r>
          </w:p>
        </w:tc>
        <w:tc>
          <w:tcPr>
            <w:tcW w:w="288" w:type="dxa"/>
            <w:vMerge w:val="restart"/>
          </w:tcPr>
          <w:p w14:paraId="6CDDDC7E" w14:textId="77777777" w:rsidR="00F65BCA" w:rsidRDefault="00F65BCA">
            <w:pPr>
              <w:pStyle w:val="TableParagraph"/>
              <w:spacing w:before="6"/>
              <w:rPr>
                <w:rFonts w:ascii="Calibri"/>
                <w:sz w:val="2"/>
              </w:rPr>
            </w:pPr>
          </w:p>
          <w:p w14:paraId="1660B75A" w14:textId="77777777" w:rsidR="00F65BCA" w:rsidRDefault="00216117">
            <w:pPr>
              <w:pStyle w:val="TableParagraph"/>
              <w:ind w:left="47"/>
              <w:rPr>
                <w:sz w:val="3"/>
              </w:rPr>
            </w:pPr>
            <w:r>
              <w:rPr>
                <w:w w:val="105"/>
                <w:sz w:val="3"/>
              </w:rPr>
              <w:t>0,75194000%</w:t>
            </w:r>
          </w:p>
        </w:tc>
        <w:tc>
          <w:tcPr>
            <w:tcW w:w="288" w:type="dxa"/>
            <w:vMerge w:val="restart"/>
          </w:tcPr>
          <w:p w14:paraId="1766A8A0" w14:textId="77777777" w:rsidR="00F65BCA" w:rsidRDefault="00F65BCA">
            <w:pPr>
              <w:pStyle w:val="TableParagraph"/>
              <w:spacing w:before="6"/>
              <w:rPr>
                <w:rFonts w:ascii="Calibri"/>
                <w:sz w:val="2"/>
              </w:rPr>
            </w:pPr>
          </w:p>
          <w:p w14:paraId="585FCD0D" w14:textId="77777777" w:rsidR="00F65BCA" w:rsidRDefault="00216117">
            <w:pPr>
              <w:pStyle w:val="TableParagraph"/>
              <w:ind w:left="47"/>
              <w:rPr>
                <w:sz w:val="3"/>
              </w:rPr>
            </w:pPr>
            <w:r>
              <w:rPr>
                <w:w w:val="105"/>
                <w:sz w:val="3"/>
              </w:rPr>
              <w:t>0,67137500%</w:t>
            </w:r>
          </w:p>
        </w:tc>
        <w:tc>
          <w:tcPr>
            <w:tcW w:w="288" w:type="dxa"/>
            <w:vMerge w:val="restart"/>
          </w:tcPr>
          <w:p w14:paraId="6E4A5E23" w14:textId="77777777" w:rsidR="00F65BCA" w:rsidRDefault="00F65BCA">
            <w:pPr>
              <w:pStyle w:val="TableParagraph"/>
              <w:spacing w:before="6"/>
              <w:rPr>
                <w:rFonts w:ascii="Calibri"/>
                <w:sz w:val="2"/>
              </w:rPr>
            </w:pPr>
          </w:p>
          <w:p w14:paraId="360A4C91" w14:textId="77777777" w:rsidR="00F65BCA" w:rsidRDefault="00216117">
            <w:pPr>
              <w:pStyle w:val="TableParagraph"/>
              <w:ind w:left="47"/>
              <w:rPr>
                <w:sz w:val="3"/>
              </w:rPr>
            </w:pPr>
            <w:r>
              <w:rPr>
                <w:w w:val="105"/>
                <w:sz w:val="3"/>
              </w:rPr>
              <w:t>0,67137500%</w:t>
            </w:r>
          </w:p>
        </w:tc>
        <w:tc>
          <w:tcPr>
            <w:tcW w:w="288" w:type="dxa"/>
            <w:vMerge w:val="restart"/>
          </w:tcPr>
          <w:p w14:paraId="44282739" w14:textId="77777777" w:rsidR="00F65BCA" w:rsidRDefault="00F65BCA">
            <w:pPr>
              <w:pStyle w:val="TableParagraph"/>
              <w:spacing w:before="6"/>
              <w:rPr>
                <w:rFonts w:ascii="Calibri"/>
                <w:sz w:val="2"/>
              </w:rPr>
            </w:pPr>
          </w:p>
          <w:p w14:paraId="537599A9" w14:textId="77777777" w:rsidR="00F65BCA" w:rsidRDefault="00216117">
            <w:pPr>
              <w:pStyle w:val="TableParagraph"/>
              <w:ind w:left="47"/>
              <w:rPr>
                <w:sz w:val="3"/>
              </w:rPr>
            </w:pPr>
            <w:r>
              <w:rPr>
                <w:w w:val="105"/>
                <w:sz w:val="3"/>
              </w:rPr>
              <w:t>0,61766500%</w:t>
            </w:r>
          </w:p>
        </w:tc>
        <w:tc>
          <w:tcPr>
            <w:tcW w:w="288" w:type="dxa"/>
            <w:vMerge w:val="restart"/>
          </w:tcPr>
          <w:p w14:paraId="6194CE12" w14:textId="77777777" w:rsidR="00F65BCA" w:rsidRDefault="00F65BCA">
            <w:pPr>
              <w:pStyle w:val="TableParagraph"/>
              <w:spacing w:before="6"/>
              <w:rPr>
                <w:rFonts w:ascii="Calibri"/>
                <w:sz w:val="2"/>
              </w:rPr>
            </w:pPr>
          </w:p>
          <w:p w14:paraId="24B2750A" w14:textId="77777777" w:rsidR="00F65BCA" w:rsidRDefault="00216117">
            <w:pPr>
              <w:pStyle w:val="TableParagraph"/>
              <w:ind w:left="47"/>
              <w:rPr>
                <w:sz w:val="3"/>
              </w:rPr>
            </w:pPr>
            <w:r>
              <w:rPr>
                <w:w w:val="105"/>
                <w:sz w:val="3"/>
              </w:rPr>
              <w:t>0,59081000%</w:t>
            </w:r>
          </w:p>
        </w:tc>
        <w:tc>
          <w:tcPr>
            <w:tcW w:w="288" w:type="dxa"/>
            <w:vMerge w:val="restart"/>
          </w:tcPr>
          <w:p w14:paraId="6D40B4B5" w14:textId="77777777" w:rsidR="00F65BCA" w:rsidRDefault="00F65BCA">
            <w:pPr>
              <w:pStyle w:val="TableParagraph"/>
              <w:spacing w:before="6"/>
              <w:rPr>
                <w:rFonts w:ascii="Calibri"/>
                <w:sz w:val="2"/>
              </w:rPr>
            </w:pPr>
          </w:p>
          <w:p w14:paraId="666166CF" w14:textId="77777777" w:rsidR="00F65BCA" w:rsidRDefault="00216117">
            <w:pPr>
              <w:pStyle w:val="TableParagraph"/>
              <w:ind w:left="47"/>
              <w:rPr>
                <w:sz w:val="3"/>
              </w:rPr>
            </w:pPr>
            <w:r>
              <w:rPr>
                <w:w w:val="105"/>
                <w:sz w:val="3"/>
              </w:rPr>
              <w:t>0,53710000%</w:t>
            </w:r>
          </w:p>
        </w:tc>
        <w:tc>
          <w:tcPr>
            <w:tcW w:w="288" w:type="dxa"/>
            <w:vMerge w:val="restart"/>
          </w:tcPr>
          <w:p w14:paraId="41B1F222" w14:textId="77777777" w:rsidR="00F65BCA" w:rsidRDefault="00F65BCA">
            <w:pPr>
              <w:pStyle w:val="TableParagraph"/>
              <w:spacing w:before="6"/>
              <w:rPr>
                <w:rFonts w:ascii="Calibri"/>
                <w:sz w:val="2"/>
              </w:rPr>
            </w:pPr>
          </w:p>
          <w:p w14:paraId="62A2E182" w14:textId="77777777" w:rsidR="00F65BCA" w:rsidRDefault="00216117">
            <w:pPr>
              <w:pStyle w:val="TableParagraph"/>
              <w:ind w:left="47"/>
              <w:rPr>
                <w:sz w:val="3"/>
              </w:rPr>
            </w:pPr>
            <w:r>
              <w:rPr>
                <w:w w:val="105"/>
                <w:sz w:val="3"/>
              </w:rPr>
              <w:t>0,53710000%</w:t>
            </w:r>
          </w:p>
        </w:tc>
      </w:tr>
      <w:tr w:rsidR="00F65BCA" w14:paraId="48ED1468" w14:textId="77777777">
        <w:trPr>
          <w:trHeight w:val="44"/>
        </w:trPr>
        <w:tc>
          <w:tcPr>
            <w:tcW w:w="526" w:type="dxa"/>
            <w:vMerge/>
            <w:tcBorders>
              <w:top w:val="nil"/>
              <w:bottom w:val="nil"/>
            </w:tcBorders>
            <w:shd w:val="clear" w:color="auto" w:fill="FCE4D6"/>
          </w:tcPr>
          <w:p w14:paraId="5759FA95" w14:textId="77777777" w:rsidR="00F65BCA" w:rsidRDefault="00F65BCA">
            <w:pPr>
              <w:rPr>
                <w:sz w:val="2"/>
                <w:szCs w:val="2"/>
              </w:rPr>
            </w:pPr>
          </w:p>
        </w:tc>
        <w:tc>
          <w:tcPr>
            <w:tcW w:w="732" w:type="dxa"/>
            <w:vMerge w:val="restart"/>
            <w:tcBorders>
              <w:top w:val="nil"/>
              <w:bottom w:val="nil"/>
            </w:tcBorders>
            <w:shd w:val="clear" w:color="auto" w:fill="FCE4D6"/>
          </w:tcPr>
          <w:p w14:paraId="31EF0EF4" w14:textId="77777777" w:rsidR="00F65BCA" w:rsidRDefault="00F65BCA">
            <w:pPr>
              <w:pStyle w:val="TableParagraph"/>
              <w:spacing w:before="4"/>
              <w:rPr>
                <w:rFonts w:ascii="Calibri"/>
                <w:sz w:val="2"/>
              </w:rPr>
            </w:pPr>
          </w:p>
          <w:p w14:paraId="3B1D84E7" w14:textId="77777777" w:rsidR="00F65BCA" w:rsidRDefault="00216117">
            <w:pPr>
              <w:pStyle w:val="TableParagraph"/>
              <w:spacing w:before="1"/>
              <w:ind w:left="18" w:right="14"/>
              <w:jc w:val="center"/>
              <w:rPr>
                <w:sz w:val="3"/>
              </w:rPr>
            </w:pPr>
            <w:r>
              <w:rPr>
                <w:w w:val="105"/>
                <w:sz w:val="3"/>
              </w:rPr>
              <w:t>Iveco</w:t>
            </w:r>
          </w:p>
        </w:tc>
        <w:tc>
          <w:tcPr>
            <w:tcW w:w="958" w:type="dxa"/>
            <w:gridSpan w:val="2"/>
            <w:tcBorders>
              <w:top w:val="nil"/>
            </w:tcBorders>
            <w:shd w:val="clear" w:color="auto" w:fill="FCE4D6"/>
          </w:tcPr>
          <w:p w14:paraId="768058B9" w14:textId="77777777" w:rsidR="00F65BCA" w:rsidRDefault="00216117">
            <w:pPr>
              <w:pStyle w:val="TableParagraph"/>
              <w:spacing w:line="24" w:lineRule="exact"/>
              <w:ind w:left="4"/>
              <w:rPr>
                <w:sz w:val="3"/>
              </w:rPr>
            </w:pPr>
            <w:r>
              <w:rPr>
                <w:w w:val="105"/>
                <w:sz w:val="3"/>
              </w:rPr>
              <w:t>JINÉ; STRALIS; TRAKKER; TURBO STAR</w:t>
            </w:r>
          </w:p>
        </w:tc>
        <w:tc>
          <w:tcPr>
            <w:tcW w:w="576" w:type="dxa"/>
            <w:vMerge/>
            <w:tcBorders>
              <w:top w:val="nil"/>
            </w:tcBorders>
            <w:shd w:val="clear" w:color="auto" w:fill="FCE4D6"/>
          </w:tcPr>
          <w:p w14:paraId="34D8A400" w14:textId="77777777" w:rsidR="00F65BCA" w:rsidRDefault="00F65BCA">
            <w:pPr>
              <w:rPr>
                <w:sz w:val="2"/>
                <w:szCs w:val="2"/>
              </w:rPr>
            </w:pPr>
          </w:p>
        </w:tc>
        <w:tc>
          <w:tcPr>
            <w:tcW w:w="576" w:type="dxa"/>
            <w:vMerge/>
            <w:tcBorders>
              <w:top w:val="nil"/>
            </w:tcBorders>
            <w:shd w:val="clear" w:color="auto" w:fill="FCE4D6"/>
          </w:tcPr>
          <w:p w14:paraId="761851F6" w14:textId="77777777" w:rsidR="00F65BCA" w:rsidRDefault="00F65BCA">
            <w:pPr>
              <w:rPr>
                <w:sz w:val="2"/>
                <w:szCs w:val="2"/>
              </w:rPr>
            </w:pPr>
          </w:p>
        </w:tc>
        <w:tc>
          <w:tcPr>
            <w:tcW w:w="50" w:type="dxa"/>
            <w:vMerge/>
            <w:tcBorders>
              <w:top w:val="nil"/>
              <w:bottom w:val="nil"/>
            </w:tcBorders>
          </w:tcPr>
          <w:p w14:paraId="1E0D52E4" w14:textId="77777777" w:rsidR="00F65BCA" w:rsidRDefault="00F65BCA">
            <w:pPr>
              <w:rPr>
                <w:sz w:val="2"/>
                <w:szCs w:val="2"/>
              </w:rPr>
            </w:pPr>
          </w:p>
        </w:tc>
        <w:tc>
          <w:tcPr>
            <w:tcW w:w="288" w:type="dxa"/>
            <w:vMerge/>
            <w:tcBorders>
              <w:top w:val="nil"/>
            </w:tcBorders>
          </w:tcPr>
          <w:p w14:paraId="0031A683" w14:textId="77777777" w:rsidR="00F65BCA" w:rsidRDefault="00F65BCA">
            <w:pPr>
              <w:rPr>
                <w:sz w:val="2"/>
                <w:szCs w:val="2"/>
              </w:rPr>
            </w:pPr>
          </w:p>
        </w:tc>
        <w:tc>
          <w:tcPr>
            <w:tcW w:w="288" w:type="dxa"/>
            <w:vMerge/>
            <w:tcBorders>
              <w:top w:val="nil"/>
            </w:tcBorders>
          </w:tcPr>
          <w:p w14:paraId="0BCD8D1D" w14:textId="77777777" w:rsidR="00F65BCA" w:rsidRDefault="00F65BCA">
            <w:pPr>
              <w:rPr>
                <w:sz w:val="2"/>
                <w:szCs w:val="2"/>
              </w:rPr>
            </w:pPr>
          </w:p>
        </w:tc>
        <w:tc>
          <w:tcPr>
            <w:tcW w:w="288" w:type="dxa"/>
            <w:vMerge/>
            <w:tcBorders>
              <w:top w:val="nil"/>
            </w:tcBorders>
          </w:tcPr>
          <w:p w14:paraId="67AB5ABD" w14:textId="77777777" w:rsidR="00F65BCA" w:rsidRDefault="00F65BCA">
            <w:pPr>
              <w:rPr>
                <w:sz w:val="2"/>
                <w:szCs w:val="2"/>
              </w:rPr>
            </w:pPr>
          </w:p>
        </w:tc>
        <w:tc>
          <w:tcPr>
            <w:tcW w:w="288" w:type="dxa"/>
            <w:vMerge/>
            <w:tcBorders>
              <w:top w:val="nil"/>
            </w:tcBorders>
          </w:tcPr>
          <w:p w14:paraId="33C4FEA3" w14:textId="77777777" w:rsidR="00F65BCA" w:rsidRDefault="00F65BCA">
            <w:pPr>
              <w:rPr>
                <w:sz w:val="2"/>
                <w:szCs w:val="2"/>
              </w:rPr>
            </w:pPr>
          </w:p>
        </w:tc>
        <w:tc>
          <w:tcPr>
            <w:tcW w:w="288" w:type="dxa"/>
            <w:vMerge/>
            <w:tcBorders>
              <w:top w:val="nil"/>
            </w:tcBorders>
          </w:tcPr>
          <w:p w14:paraId="276972AE" w14:textId="77777777" w:rsidR="00F65BCA" w:rsidRDefault="00F65BCA">
            <w:pPr>
              <w:rPr>
                <w:sz w:val="2"/>
                <w:szCs w:val="2"/>
              </w:rPr>
            </w:pPr>
          </w:p>
        </w:tc>
        <w:tc>
          <w:tcPr>
            <w:tcW w:w="288" w:type="dxa"/>
            <w:vMerge/>
            <w:tcBorders>
              <w:top w:val="nil"/>
            </w:tcBorders>
          </w:tcPr>
          <w:p w14:paraId="13615149" w14:textId="77777777" w:rsidR="00F65BCA" w:rsidRDefault="00F65BCA">
            <w:pPr>
              <w:rPr>
                <w:sz w:val="2"/>
                <w:szCs w:val="2"/>
              </w:rPr>
            </w:pPr>
          </w:p>
        </w:tc>
        <w:tc>
          <w:tcPr>
            <w:tcW w:w="288" w:type="dxa"/>
            <w:vMerge/>
            <w:tcBorders>
              <w:top w:val="nil"/>
            </w:tcBorders>
          </w:tcPr>
          <w:p w14:paraId="1778095B" w14:textId="77777777" w:rsidR="00F65BCA" w:rsidRDefault="00F65BCA">
            <w:pPr>
              <w:rPr>
                <w:sz w:val="2"/>
                <w:szCs w:val="2"/>
              </w:rPr>
            </w:pPr>
          </w:p>
        </w:tc>
        <w:tc>
          <w:tcPr>
            <w:tcW w:w="288" w:type="dxa"/>
            <w:vMerge/>
            <w:tcBorders>
              <w:top w:val="nil"/>
            </w:tcBorders>
          </w:tcPr>
          <w:p w14:paraId="730BA57F" w14:textId="77777777" w:rsidR="00F65BCA" w:rsidRDefault="00F65BCA">
            <w:pPr>
              <w:rPr>
                <w:sz w:val="2"/>
                <w:szCs w:val="2"/>
              </w:rPr>
            </w:pPr>
          </w:p>
        </w:tc>
        <w:tc>
          <w:tcPr>
            <w:tcW w:w="288" w:type="dxa"/>
            <w:vMerge/>
            <w:tcBorders>
              <w:top w:val="nil"/>
            </w:tcBorders>
          </w:tcPr>
          <w:p w14:paraId="20D8F73E" w14:textId="77777777" w:rsidR="00F65BCA" w:rsidRDefault="00F65BCA">
            <w:pPr>
              <w:rPr>
                <w:sz w:val="2"/>
                <w:szCs w:val="2"/>
              </w:rPr>
            </w:pPr>
          </w:p>
        </w:tc>
        <w:tc>
          <w:tcPr>
            <w:tcW w:w="288" w:type="dxa"/>
            <w:vMerge/>
            <w:tcBorders>
              <w:top w:val="nil"/>
            </w:tcBorders>
          </w:tcPr>
          <w:p w14:paraId="3E91D3F9" w14:textId="77777777" w:rsidR="00F65BCA" w:rsidRDefault="00F65BCA">
            <w:pPr>
              <w:rPr>
                <w:sz w:val="2"/>
                <w:szCs w:val="2"/>
              </w:rPr>
            </w:pPr>
          </w:p>
        </w:tc>
        <w:tc>
          <w:tcPr>
            <w:tcW w:w="288" w:type="dxa"/>
            <w:vMerge/>
            <w:tcBorders>
              <w:top w:val="nil"/>
            </w:tcBorders>
          </w:tcPr>
          <w:p w14:paraId="7B7DD81C" w14:textId="77777777" w:rsidR="00F65BCA" w:rsidRDefault="00F65BCA">
            <w:pPr>
              <w:rPr>
                <w:sz w:val="2"/>
                <w:szCs w:val="2"/>
              </w:rPr>
            </w:pPr>
          </w:p>
        </w:tc>
        <w:tc>
          <w:tcPr>
            <w:tcW w:w="288" w:type="dxa"/>
            <w:vMerge/>
            <w:tcBorders>
              <w:top w:val="nil"/>
            </w:tcBorders>
          </w:tcPr>
          <w:p w14:paraId="25D8B684" w14:textId="77777777" w:rsidR="00F65BCA" w:rsidRDefault="00F65BCA">
            <w:pPr>
              <w:rPr>
                <w:sz w:val="2"/>
                <w:szCs w:val="2"/>
              </w:rPr>
            </w:pPr>
          </w:p>
        </w:tc>
        <w:tc>
          <w:tcPr>
            <w:tcW w:w="288" w:type="dxa"/>
            <w:vMerge/>
            <w:tcBorders>
              <w:top w:val="nil"/>
            </w:tcBorders>
          </w:tcPr>
          <w:p w14:paraId="05DEA1AD" w14:textId="77777777" w:rsidR="00F65BCA" w:rsidRDefault="00F65BCA">
            <w:pPr>
              <w:rPr>
                <w:sz w:val="2"/>
                <w:szCs w:val="2"/>
              </w:rPr>
            </w:pPr>
          </w:p>
        </w:tc>
      </w:tr>
      <w:tr w:rsidR="00F65BCA" w14:paraId="3BF461EE" w14:textId="77777777">
        <w:trPr>
          <w:trHeight w:val="46"/>
        </w:trPr>
        <w:tc>
          <w:tcPr>
            <w:tcW w:w="526" w:type="dxa"/>
            <w:vMerge/>
            <w:tcBorders>
              <w:top w:val="nil"/>
              <w:bottom w:val="nil"/>
            </w:tcBorders>
            <w:shd w:val="clear" w:color="auto" w:fill="FCE4D6"/>
          </w:tcPr>
          <w:p w14:paraId="4A34BA37" w14:textId="77777777" w:rsidR="00F65BCA" w:rsidRDefault="00F65BCA">
            <w:pPr>
              <w:rPr>
                <w:sz w:val="2"/>
                <w:szCs w:val="2"/>
              </w:rPr>
            </w:pPr>
          </w:p>
        </w:tc>
        <w:tc>
          <w:tcPr>
            <w:tcW w:w="732" w:type="dxa"/>
            <w:vMerge/>
            <w:tcBorders>
              <w:top w:val="nil"/>
              <w:bottom w:val="nil"/>
            </w:tcBorders>
            <w:shd w:val="clear" w:color="auto" w:fill="FCE4D6"/>
          </w:tcPr>
          <w:p w14:paraId="63D8A10D" w14:textId="77777777" w:rsidR="00F65BCA" w:rsidRDefault="00F65BCA">
            <w:pPr>
              <w:rPr>
                <w:sz w:val="2"/>
                <w:szCs w:val="2"/>
              </w:rPr>
            </w:pPr>
          </w:p>
        </w:tc>
        <w:tc>
          <w:tcPr>
            <w:tcW w:w="958" w:type="dxa"/>
            <w:gridSpan w:val="2"/>
            <w:tcBorders>
              <w:bottom w:val="nil"/>
            </w:tcBorders>
            <w:shd w:val="clear" w:color="auto" w:fill="FCE4D6"/>
          </w:tcPr>
          <w:p w14:paraId="08A75E19" w14:textId="77777777" w:rsidR="00F65BCA" w:rsidRDefault="00216117">
            <w:pPr>
              <w:pStyle w:val="TableParagraph"/>
              <w:spacing w:before="11" w:line="15" w:lineRule="exact"/>
              <w:ind w:left="4"/>
              <w:rPr>
                <w:sz w:val="3"/>
              </w:rPr>
            </w:pPr>
            <w:r>
              <w:rPr>
                <w:w w:val="105"/>
                <w:sz w:val="3"/>
              </w:rPr>
              <w:t>DAILY</w:t>
            </w:r>
            <w:r>
              <w:rPr>
                <w:spacing w:val="-4"/>
                <w:w w:val="105"/>
                <w:sz w:val="3"/>
              </w:rPr>
              <w:t xml:space="preserve"> </w:t>
            </w:r>
            <w:r>
              <w:rPr>
                <w:w w:val="105"/>
                <w:sz w:val="3"/>
              </w:rPr>
              <w:t>NAD</w:t>
            </w:r>
            <w:r>
              <w:rPr>
                <w:spacing w:val="-4"/>
                <w:w w:val="105"/>
                <w:sz w:val="3"/>
              </w:rPr>
              <w:t xml:space="preserve"> </w:t>
            </w:r>
            <w:r>
              <w:rPr>
                <w:w w:val="105"/>
                <w:sz w:val="3"/>
              </w:rPr>
              <w:t>3,5T;</w:t>
            </w:r>
            <w:r>
              <w:rPr>
                <w:spacing w:val="-3"/>
                <w:w w:val="105"/>
                <w:sz w:val="3"/>
              </w:rPr>
              <w:t xml:space="preserve"> </w:t>
            </w:r>
            <w:r>
              <w:rPr>
                <w:w w:val="105"/>
                <w:sz w:val="3"/>
              </w:rPr>
              <w:t>EUROCARGO;</w:t>
            </w:r>
            <w:r>
              <w:rPr>
                <w:spacing w:val="-3"/>
                <w:w w:val="105"/>
                <w:sz w:val="3"/>
              </w:rPr>
              <w:t xml:space="preserve"> </w:t>
            </w:r>
            <w:r>
              <w:rPr>
                <w:w w:val="105"/>
                <w:sz w:val="3"/>
              </w:rPr>
              <w:t>TURBO</w:t>
            </w:r>
            <w:r>
              <w:rPr>
                <w:spacing w:val="-4"/>
                <w:w w:val="105"/>
                <w:sz w:val="3"/>
              </w:rPr>
              <w:t xml:space="preserve"> </w:t>
            </w:r>
            <w:r>
              <w:rPr>
                <w:w w:val="105"/>
                <w:sz w:val="3"/>
              </w:rPr>
              <w:t>DAILY</w:t>
            </w:r>
            <w:r>
              <w:rPr>
                <w:spacing w:val="-3"/>
                <w:w w:val="105"/>
                <w:sz w:val="3"/>
              </w:rPr>
              <w:t xml:space="preserve"> </w:t>
            </w:r>
            <w:r>
              <w:rPr>
                <w:w w:val="105"/>
                <w:sz w:val="3"/>
              </w:rPr>
              <w:t>NAD</w:t>
            </w:r>
            <w:r>
              <w:rPr>
                <w:spacing w:val="-4"/>
                <w:w w:val="105"/>
                <w:sz w:val="3"/>
              </w:rPr>
              <w:t xml:space="preserve"> </w:t>
            </w:r>
            <w:r>
              <w:rPr>
                <w:w w:val="105"/>
                <w:sz w:val="3"/>
              </w:rPr>
              <w:t>3,5T;</w:t>
            </w:r>
            <w:r>
              <w:rPr>
                <w:spacing w:val="-3"/>
                <w:w w:val="105"/>
                <w:sz w:val="3"/>
              </w:rPr>
              <w:t xml:space="preserve"> </w:t>
            </w:r>
            <w:r>
              <w:rPr>
                <w:w w:val="105"/>
                <w:sz w:val="3"/>
              </w:rPr>
              <w:t>TURBO</w:t>
            </w:r>
          </w:p>
        </w:tc>
        <w:tc>
          <w:tcPr>
            <w:tcW w:w="576" w:type="dxa"/>
            <w:vMerge w:val="restart"/>
            <w:shd w:val="clear" w:color="auto" w:fill="FCE4D6"/>
          </w:tcPr>
          <w:p w14:paraId="17D1878D" w14:textId="77777777" w:rsidR="00F65BCA" w:rsidRDefault="00F65BCA">
            <w:pPr>
              <w:pStyle w:val="TableParagraph"/>
              <w:spacing w:before="6"/>
              <w:rPr>
                <w:rFonts w:ascii="Calibri"/>
                <w:sz w:val="2"/>
              </w:rPr>
            </w:pPr>
          </w:p>
          <w:p w14:paraId="5C49F4FA" w14:textId="77777777" w:rsidR="00F65BCA" w:rsidRDefault="00216117">
            <w:pPr>
              <w:pStyle w:val="TableParagraph"/>
              <w:ind w:left="3"/>
              <w:jc w:val="center"/>
              <w:rPr>
                <w:sz w:val="3"/>
              </w:rPr>
            </w:pPr>
            <w:r>
              <w:rPr>
                <w:w w:val="103"/>
                <w:sz w:val="3"/>
              </w:rPr>
              <w:t>-</w:t>
            </w:r>
          </w:p>
        </w:tc>
        <w:tc>
          <w:tcPr>
            <w:tcW w:w="576" w:type="dxa"/>
            <w:vMerge w:val="restart"/>
            <w:shd w:val="clear" w:color="auto" w:fill="FCE4D6"/>
          </w:tcPr>
          <w:p w14:paraId="1C4802F9" w14:textId="77777777" w:rsidR="00F65BCA" w:rsidRDefault="00F65BCA">
            <w:pPr>
              <w:pStyle w:val="TableParagraph"/>
              <w:spacing w:before="6"/>
              <w:rPr>
                <w:rFonts w:ascii="Calibri"/>
                <w:sz w:val="2"/>
              </w:rPr>
            </w:pPr>
          </w:p>
          <w:p w14:paraId="11A6D05E"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47946BAF" w14:textId="77777777" w:rsidR="00F65BCA" w:rsidRDefault="00F65BCA">
            <w:pPr>
              <w:rPr>
                <w:sz w:val="2"/>
                <w:szCs w:val="2"/>
              </w:rPr>
            </w:pPr>
          </w:p>
        </w:tc>
        <w:tc>
          <w:tcPr>
            <w:tcW w:w="288" w:type="dxa"/>
            <w:vMerge w:val="restart"/>
          </w:tcPr>
          <w:p w14:paraId="23F3E1A2" w14:textId="77777777" w:rsidR="00F65BCA" w:rsidRDefault="00F65BCA">
            <w:pPr>
              <w:pStyle w:val="TableParagraph"/>
              <w:spacing w:before="6"/>
              <w:rPr>
                <w:rFonts w:ascii="Calibri"/>
                <w:sz w:val="2"/>
              </w:rPr>
            </w:pPr>
          </w:p>
          <w:p w14:paraId="5E23BB26" w14:textId="77777777" w:rsidR="00F65BCA" w:rsidRDefault="00216117">
            <w:pPr>
              <w:pStyle w:val="TableParagraph"/>
              <w:ind w:left="47"/>
              <w:rPr>
                <w:sz w:val="3"/>
              </w:rPr>
            </w:pPr>
            <w:r>
              <w:rPr>
                <w:w w:val="105"/>
                <w:sz w:val="3"/>
              </w:rPr>
              <w:t>1,02049000%</w:t>
            </w:r>
          </w:p>
        </w:tc>
        <w:tc>
          <w:tcPr>
            <w:tcW w:w="288" w:type="dxa"/>
            <w:vMerge w:val="restart"/>
          </w:tcPr>
          <w:p w14:paraId="1BCF7C98" w14:textId="77777777" w:rsidR="00F65BCA" w:rsidRDefault="00F65BCA">
            <w:pPr>
              <w:pStyle w:val="TableParagraph"/>
              <w:spacing w:before="6"/>
              <w:rPr>
                <w:rFonts w:ascii="Calibri"/>
                <w:sz w:val="2"/>
              </w:rPr>
            </w:pPr>
          </w:p>
          <w:p w14:paraId="01EB9A41" w14:textId="77777777" w:rsidR="00F65BCA" w:rsidRDefault="00216117">
            <w:pPr>
              <w:pStyle w:val="TableParagraph"/>
              <w:ind w:left="47"/>
              <w:rPr>
                <w:sz w:val="3"/>
              </w:rPr>
            </w:pPr>
            <w:r>
              <w:rPr>
                <w:w w:val="105"/>
                <w:sz w:val="3"/>
              </w:rPr>
              <w:t>0,91307000%</w:t>
            </w:r>
          </w:p>
        </w:tc>
        <w:tc>
          <w:tcPr>
            <w:tcW w:w="288" w:type="dxa"/>
            <w:vMerge w:val="restart"/>
          </w:tcPr>
          <w:p w14:paraId="46896A95" w14:textId="77777777" w:rsidR="00F65BCA" w:rsidRDefault="00F65BCA">
            <w:pPr>
              <w:pStyle w:val="TableParagraph"/>
              <w:spacing w:before="6"/>
              <w:rPr>
                <w:rFonts w:ascii="Calibri"/>
                <w:sz w:val="2"/>
              </w:rPr>
            </w:pPr>
          </w:p>
          <w:p w14:paraId="20CAAE19" w14:textId="77777777" w:rsidR="00F65BCA" w:rsidRDefault="00216117">
            <w:pPr>
              <w:pStyle w:val="TableParagraph"/>
              <w:ind w:left="47"/>
              <w:rPr>
                <w:sz w:val="3"/>
              </w:rPr>
            </w:pPr>
            <w:r>
              <w:rPr>
                <w:w w:val="105"/>
                <w:sz w:val="3"/>
              </w:rPr>
              <w:t>0,91307000%</w:t>
            </w:r>
          </w:p>
        </w:tc>
        <w:tc>
          <w:tcPr>
            <w:tcW w:w="288" w:type="dxa"/>
            <w:vMerge w:val="restart"/>
          </w:tcPr>
          <w:p w14:paraId="1A85C901" w14:textId="77777777" w:rsidR="00F65BCA" w:rsidRDefault="00F65BCA">
            <w:pPr>
              <w:pStyle w:val="TableParagraph"/>
              <w:spacing w:before="6"/>
              <w:rPr>
                <w:rFonts w:ascii="Calibri"/>
                <w:sz w:val="2"/>
              </w:rPr>
            </w:pPr>
          </w:p>
          <w:p w14:paraId="197CEFA0" w14:textId="77777777" w:rsidR="00F65BCA" w:rsidRDefault="00216117">
            <w:pPr>
              <w:pStyle w:val="TableParagraph"/>
              <w:ind w:left="47"/>
              <w:rPr>
                <w:sz w:val="3"/>
              </w:rPr>
            </w:pPr>
            <w:r>
              <w:rPr>
                <w:w w:val="105"/>
                <w:sz w:val="3"/>
              </w:rPr>
              <w:t>0,83250500%</w:t>
            </w:r>
          </w:p>
        </w:tc>
        <w:tc>
          <w:tcPr>
            <w:tcW w:w="288" w:type="dxa"/>
            <w:vMerge w:val="restart"/>
          </w:tcPr>
          <w:p w14:paraId="690192CE" w14:textId="77777777" w:rsidR="00F65BCA" w:rsidRDefault="00F65BCA">
            <w:pPr>
              <w:pStyle w:val="TableParagraph"/>
              <w:spacing w:before="6"/>
              <w:rPr>
                <w:rFonts w:ascii="Calibri"/>
                <w:sz w:val="2"/>
              </w:rPr>
            </w:pPr>
          </w:p>
          <w:p w14:paraId="7C69E630" w14:textId="77777777" w:rsidR="00F65BCA" w:rsidRDefault="00216117">
            <w:pPr>
              <w:pStyle w:val="TableParagraph"/>
              <w:ind w:left="47"/>
              <w:rPr>
                <w:sz w:val="3"/>
              </w:rPr>
            </w:pPr>
            <w:r>
              <w:rPr>
                <w:w w:val="105"/>
                <w:sz w:val="3"/>
              </w:rPr>
              <w:t>0,83250500%</w:t>
            </w:r>
          </w:p>
        </w:tc>
        <w:tc>
          <w:tcPr>
            <w:tcW w:w="288" w:type="dxa"/>
            <w:vMerge w:val="restart"/>
          </w:tcPr>
          <w:p w14:paraId="05B0BB39" w14:textId="77777777" w:rsidR="00F65BCA" w:rsidRDefault="00F65BCA">
            <w:pPr>
              <w:pStyle w:val="TableParagraph"/>
              <w:spacing w:before="6"/>
              <w:rPr>
                <w:rFonts w:ascii="Calibri"/>
                <w:sz w:val="2"/>
              </w:rPr>
            </w:pPr>
          </w:p>
          <w:p w14:paraId="680B2FE1" w14:textId="77777777" w:rsidR="00F65BCA" w:rsidRDefault="00216117">
            <w:pPr>
              <w:pStyle w:val="TableParagraph"/>
              <w:ind w:left="47"/>
              <w:rPr>
                <w:sz w:val="3"/>
              </w:rPr>
            </w:pPr>
            <w:r>
              <w:rPr>
                <w:w w:val="105"/>
                <w:sz w:val="3"/>
              </w:rPr>
              <w:t>0,75194000%</w:t>
            </w:r>
          </w:p>
        </w:tc>
        <w:tc>
          <w:tcPr>
            <w:tcW w:w="288" w:type="dxa"/>
            <w:vMerge w:val="restart"/>
          </w:tcPr>
          <w:p w14:paraId="1038B118" w14:textId="77777777" w:rsidR="00F65BCA" w:rsidRDefault="00F65BCA">
            <w:pPr>
              <w:pStyle w:val="TableParagraph"/>
              <w:spacing w:before="6"/>
              <w:rPr>
                <w:rFonts w:ascii="Calibri"/>
                <w:sz w:val="2"/>
              </w:rPr>
            </w:pPr>
          </w:p>
          <w:p w14:paraId="69EE9DD6" w14:textId="77777777" w:rsidR="00F65BCA" w:rsidRDefault="00216117">
            <w:pPr>
              <w:pStyle w:val="TableParagraph"/>
              <w:ind w:left="47"/>
              <w:rPr>
                <w:sz w:val="3"/>
              </w:rPr>
            </w:pPr>
            <w:r>
              <w:rPr>
                <w:w w:val="105"/>
                <w:sz w:val="3"/>
              </w:rPr>
              <w:t>0,75194000%</w:t>
            </w:r>
          </w:p>
        </w:tc>
        <w:tc>
          <w:tcPr>
            <w:tcW w:w="288" w:type="dxa"/>
            <w:vMerge w:val="restart"/>
          </w:tcPr>
          <w:p w14:paraId="022A1CD2" w14:textId="77777777" w:rsidR="00F65BCA" w:rsidRDefault="00F65BCA">
            <w:pPr>
              <w:pStyle w:val="TableParagraph"/>
              <w:spacing w:before="6"/>
              <w:rPr>
                <w:rFonts w:ascii="Calibri"/>
                <w:sz w:val="2"/>
              </w:rPr>
            </w:pPr>
          </w:p>
          <w:p w14:paraId="24A0645B" w14:textId="77777777" w:rsidR="00F65BCA" w:rsidRDefault="00216117">
            <w:pPr>
              <w:pStyle w:val="TableParagraph"/>
              <w:ind w:left="47"/>
              <w:rPr>
                <w:sz w:val="3"/>
              </w:rPr>
            </w:pPr>
            <w:r>
              <w:rPr>
                <w:w w:val="105"/>
                <w:sz w:val="3"/>
              </w:rPr>
              <w:t>0,67137500%</w:t>
            </w:r>
          </w:p>
        </w:tc>
        <w:tc>
          <w:tcPr>
            <w:tcW w:w="288" w:type="dxa"/>
            <w:vMerge w:val="restart"/>
          </w:tcPr>
          <w:p w14:paraId="3836B627" w14:textId="77777777" w:rsidR="00F65BCA" w:rsidRDefault="00F65BCA">
            <w:pPr>
              <w:pStyle w:val="TableParagraph"/>
              <w:spacing w:before="6"/>
              <w:rPr>
                <w:rFonts w:ascii="Calibri"/>
                <w:sz w:val="2"/>
              </w:rPr>
            </w:pPr>
          </w:p>
          <w:p w14:paraId="25F6BE67" w14:textId="77777777" w:rsidR="00F65BCA" w:rsidRDefault="00216117">
            <w:pPr>
              <w:pStyle w:val="TableParagraph"/>
              <w:ind w:left="47"/>
              <w:rPr>
                <w:sz w:val="3"/>
              </w:rPr>
            </w:pPr>
            <w:r>
              <w:rPr>
                <w:w w:val="105"/>
                <w:sz w:val="3"/>
              </w:rPr>
              <w:t>0,67137500%</w:t>
            </w:r>
          </w:p>
        </w:tc>
        <w:tc>
          <w:tcPr>
            <w:tcW w:w="288" w:type="dxa"/>
            <w:vMerge w:val="restart"/>
          </w:tcPr>
          <w:p w14:paraId="05F32CCB" w14:textId="77777777" w:rsidR="00F65BCA" w:rsidRDefault="00F65BCA">
            <w:pPr>
              <w:pStyle w:val="TableParagraph"/>
              <w:spacing w:before="6"/>
              <w:rPr>
                <w:rFonts w:ascii="Calibri"/>
                <w:sz w:val="2"/>
              </w:rPr>
            </w:pPr>
          </w:p>
          <w:p w14:paraId="5D0A2423" w14:textId="77777777" w:rsidR="00F65BCA" w:rsidRDefault="00216117">
            <w:pPr>
              <w:pStyle w:val="TableParagraph"/>
              <w:ind w:left="47"/>
              <w:rPr>
                <w:sz w:val="3"/>
              </w:rPr>
            </w:pPr>
            <w:r>
              <w:rPr>
                <w:w w:val="105"/>
                <w:sz w:val="3"/>
              </w:rPr>
              <w:t>0,61766500%</w:t>
            </w:r>
          </w:p>
        </w:tc>
        <w:tc>
          <w:tcPr>
            <w:tcW w:w="288" w:type="dxa"/>
            <w:vMerge w:val="restart"/>
          </w:tcPr>
          <w:p w14:paraId="69193BFD" w14:textId="77777777" w:rsidR="00F65BCA" w:rsidRDefault="00F65BCA">
            <w:pPr>
              <w:pStyle w:val="TableParagraph"/>
              <w:spacing w:before="6"/>
              <w:rPr>
                <w:rFonts w:ascii="Calibri"/>
                <w:sz w:val="2"/>
              </w:rPr>
            </w:pPr>
          </w:p>
          <w:p w14:paraId="081F3A9F" w14:textId="77777777" w:rsidR="00F65BCA" w:rsidRDefault="00216117">
            <w:pPr>
              <w:pStyle w:val="TableParagraph"/>
              <w:ind w:left="47"/>
              <w:rPr>
                <w:sz w:val="3"/>
              </w:rPr>
            </w:pPr>
            <w:r>
              <w:rPr>
                <w:w w:val="105"/>
                <w:sz w:val="3"/>
              </w:rPr>
              <w:t>0,59081000%</w:t>
            </w:r>
          </w:p>
        </w:tc>
        <w:tc>
          <w:tcPr>
            <w:tcW w:w="288" w:type="dxa"/>
            <w:vMerge w:val="restart"/>
          </w:tcPr>
          <w:p w14:paraId="311893D8" w14:textId="77777777" w:rsidR="00F65BCA" w:rsidRDefault="00F65BCA">
            <w:pPr>
              <w:pStyle w:val="TableParagraph"/>
              <w:spacing w:before="6"/>
              <w:rPr>
                <w:rFonts w:ascii="Calibri"/>
                <w:sz w:val="2"/>
              </w:rPr>
            </w:pPr>
          </w:p>
          <w:p w14:paraId="16EC9425" w14:textId="77777777" w:rsidR="00F65BCA" w:rsidRDefault="00216117">
            <w:pPr>
              <w:pStyle w:val="TableParagraph"/>
              <w:ind w:left="47"/>
              <w:rPr>
                <w:sz w:val="3"/>
              </w:rPr>
            </w:pPr>
            <w:r>
              <w:rPr>
                <w:w w:val="105"/>
                <w:sz w:val="3"/>
              </w:rPr>
              <w:t>0,53710000%</w:t>
            </w:r>
          </w:p>
        </w:tc>
        <w:tc>
          <w:tcPr>
            <w:tcW w:w="288" w:type="dxa"/>
            <w:vMerge w:val="restart"/>
          </w:tcPr>
          <w:p w14:paraId="0CFC1EA5" w14:textId="77777777" w:rsidR="00F65BCA" w:rsidRDefault="00F65BCA">
            <w:pPr>
              <w:pStyle w:val="TableParagraph"/>
              <w:spacing w:before="6"/>
              <w:rPr>
                <w:rFonts w:ascii="Calibri"/>
                <w:sz w:val="2"/>
              </w:rPr>
            </w:pPr>
          </w:p>
          <w:p w14:paraId="3F305331" w14:textId="77777777" w:rsidR="00F65BCA" w:rsidRDefault="00216117">
            <w:pPr>
              <w:pStyle w:val="TableParagraph"/>
              <w:ind w:left="47"/>
              <w:rPr>
                <w:sz w:val="3"/>
              </w:rPr>
            </w:pPr>
            <w:r>
              <w:rPr>
                <w:w w:val="105"/>
                <w:sz w:val="3"/>
              </w:rPr>
              <w:t>0,53710000%</w:t>
            </w:r>
          </w:p>
        </w:tc>
      </w:tr>
      <w:tr w:rsidR="00F65BCA" w14:paraId="0148CE54" w14:textId="77777777">
        <w:trPr>
          <w:trHeight w:val="44"/>
        </w:trPr>
        <w:tc>
          <w:tcPr>
            <w:tcW w:w="526" w:type="dxa"/>
            <w:vMerge/>
            <w:tcBorders>
              <w:top w:val="nil"/>
              <w:bottom w:val="nil"/>
            </w:tcBorders>
            <w:shd w:val="clear" w:color="auto" w:fill="FCE4D6"/>
          </w:tcPr>
          <w:p w14:paraId="295DCD37" w14:textId="77777777" w:rsidR="00F65BCA" w:rsidRDefault="00F65BCA">
            <w:pPr>
              <w:rPr>
                <w:sz w:val="2"/>
                <w:szCs w:val="2"/>
              </w:rPr>
            </w:pPr>
          </w:p>
        </w:tc>
        <w:tc>
          <w:tcPr>
            <w:tcW w:w="732" w:type="dxa"/>
            <w:tcBorders>
              <w:top w:val="nil"/>
            </w:tcBorders>
            <w:shd w:val="clear" w:color="auto" w:fill="FCE4D6"/>
          </w:tcPr>
          <w:p w14:paraId="0E968416" w14:textId="77777777" w:rsidR="00F65BCA" w:rsidRDefault="00F65BCA">
            <w:pPr>
              <w:pStyle w:val="TableParagraph"/>
              <w:rPr>
                <w:rFonts w:ascii="Times New Roman"/>
                <w:sz w:val="2"/>
              </w:rPr>
            </w:pPr>
          </w:p>
        </w:tc>
        <w:tc>
          <w:tcPr>
            <w:tcW w:w="958" w:type="dxa"/>
            <w:gridSpan w:val="2"/>
            <w:tcBorders>
              <w:top w:val="nil"/>
            </w:tcBorders>
            <w:shd w:val="clear" w:color="auto" w:fill="FCE4D6"/>
          </w:tcPr>
          <w:p w14:paraId="3F55EFF2" w14:textId="77777777" w:rsidR="00F65BCA" w:rsidRDefault="00216117">
            <w:pPr>
              <w:pStyle w:val="TableParagraph"/>
              <w:spacing w:line="24" w:lineRule="exact"/>
              <w:ind w:left="4"/>
              <w:rPr>
                <w:sz w:val="3"/>
              </w:rPr>
            </w:pPr>
            <w:r>
              <w:rPr>
                <w:w w:val="105"/>
                <w:sz w:val="3"/>
              </w:rPr>
              <w:t>ZETA</w:t>
            </w:r>
          </w:p>
        </w:tc>
        <w:tc>
          <w:tcPr>
            <w:tcW w:w="576" w:type="dxa"/>
            <w:vMerge/>
            <w:tcBorders>
              <w:top w:val="nil"/>
            </w:tcBorders>
            <w:shd w:val="clear" w:color="auto" w:fill="FCE4D6"/>
          </w:tcPr>
          <w:p w14:paraId="5EE2FA58" w14:textId="77777777" w:rsidR="00F65BCA" w:rsidRDefault="00F65BCA">
            <w:pPr>
              <w:rPr>
                <w:sz w:val="2"/>
                <w:szCs w:val="2"/>
              </w:rPr>
            </w:pPr>
          </w:p>
        </w:tc>
        <w:tc>
          <w:tcPr>
            <w:tcW w:w="576" w:type="dxa"/>
            <w:vMerge/>
            <w:tcBorders>
              <w:top w:val="nil"/>
            </w:tcBorders>
            <w:shd w:val="clear" w:color="auto" w:fill="FCE4D6"/>
          </w:tcPr>
          <w:p w14:paraId="44AADD3B" w14:textId="77777777" w:rsidR="00F65BCA" w:rsidRDefault="00F65BCA">
            <w:pPr>
              <w:rPr>
                <w:sz w:val="2"/>
                <w:szCs w:val="2"/>
              </w:rPr>
            </w:pPr>
          </w:p>
        </w:tc>
        <w:tc>
          <w:tcPr>
            <w:tcW w:w="50" w:type="dxa"/>
            <w:vMerge/>
            <w:tcBorders>
              <w:top w:val="nil"/>
              <w:bottom w:val="nil"/>
            </w:tcBorders>
          </w:tcPr>
          <w:p w14:paraId="69F60369" w14:textId="77777777" w:rsidR="00F65BCA" w:rsidRDefault="00F65BCA">
            <w:pPr>
              <w:rPr>
                <w:sz w:val="2"/>
                <w:szCs w:val="2"/>
              </w:rPr>
            </w:pPr>
          </w:p>
        </w:tc>
        <w:tc>
          <w:tcPr>
            <w:tcW w:w="288" w:type="dxa"/>
            <w:vMerge/>
            <w:tcBorders>
              <w:top w:val="nil"/>
            </w:tcBorders>
          </w:tcPr>
          <w:p w14:paraId="1DEDD154" w14:textId="77777777" w:rsidR="00F65BCA" w:rsidRDefault="00F65BCA">
            <w:pPr>
              <w:rPr>
                <w:sz w:val="2"/>
                <w:szCs w:val="2"/>
              </w:rPr>
            </w:pPr>
          </w:p>
        </w:tc>
        <w:tc>
          <w:tcPr>
            <w:tcW w:w="288" w:type="dxa"/>
            <w:vMerge/>
            <w:tcBorders>
              <w:top w:val="nil"/>
            </w:tcBorders>
          </w:tcPr>
          <w:p w14:paraId="4784327F" w14:textId="77777777" w:rsidR="00F65BCA" w:rsidRDefault="00F65BCA">
            <w:pPr>
              <w:rPr>
                <w:sz w:val="2"/>
                <w:szCs w:val="2"/>
              </w:rPr>
            </w:pPr>
          </w:p>
        </w:tc>
        <w:tc>
          <w:tcPr>
            <w:tcW w:w="288" w:type="dxa"/>
            <w:vMerge/>
            <w:tcBorders>
              <w:top w:val="nil"/>
            </w:tcBorders>
          </w:tcPr>
          <w:p w14:paraId="359207B5" w14:textId="77777777" w:rsidR="00F65BCA" w:rsidRDefault="00F65BCA">
            <w:pPr>
              <w:rPr>
                <w:sz w:val="2"/>
                <w:szCs w:val="2"/>
              </w:rPr>
            </w:pPr>
          </w:p>
        </w:tc>
        <w:tc>
          <w:tcPr>
            <w:tcW w:w="288" w:type="dxa"/>
            <w:vMerge/>
            <w:tcBorders>
              <w:top w:val="nil"/>
            </w:tcBorders>
          </w:tcPr>
          <w:p w14:paraId="3E3E6EDD" w14:textId="77777777" w:rsidR="00F65BCA" w:rsidRDefault="00F65BCA">
            <w:pPr>
              <w:rPr>
                <w:sz w:val="2"/>
                <w:szCs w:val="2"/>
              </w:rPr>
            </w:pPr>
          </w:p>
        </w:tc>
        <w:tc>
          <w:tcPr>
            <w:tcW w:w="288" w:type="dxa"/>
            <w:vMerge/>
            <w:tcBorders>
              <w:top w:val="nil"/>
            </w:tcBorders>
          </w:tcPr>
          <w:p w14:paraId="7C2FF264" w14:textId="77777777" w:rsidR="00F65BCA" w:rsidRDefault="00F65BCA">
            <w:pPr>
              <w:rPr>
                <w:sz w:val="2"/>
                <w:szCs w:val="2"/>
              </w:rPr>
            </w:pPr>
          </w:p>
        </w:tc>
        <w:tc>
          <w:tcPr>
            <w:tcW w:w="288" w:type="dxa"/>
            <w:vMerge/>
            <w:tcBorders>
              <w:top w:val="nil"/>
            </w:tcBorders>
          </w:tcPr>
          <w:p w14:paraId="5672EBED" w14:textId="77777777" w:rsidR="00F65BCA" w:rsidRDefault="00F65BCA">
            <w:pPr>
              <w:rPr>
                <w:sz w:val="2"/>
                <w:szCs w:val="2"/>
              </w:rPr>
            </w:pPr>
          </w:p>
        </w:tc>
        <w:tc>
          <w:tcPr>
            <w:tcW w:w="288" w:type="dxa"/>
            <w:vMerge/>
            <w:tcBorders>
              <w:top w:val="nil"/>
            </w:tcBorders>
          </w:tcPr>
          <w:p w14:paraId="11D1B7D8" w14:textId="77777777" w:rsidR="00F65BCA" w:rsidRDefault="00F65BCA">
            <w:pPr>
              <w:rPr>
                <w:sz w:val="2"/>
                <w:szCs w:val="2"/>
              </w:rPr>
            </w:pPr>
          </w:p>
        </w:tc>
        <w:tc>
          <w:tcPr>
            <w:tcW w:w="288" w:type="dxa"/>
            <w:vMerge/>
            <w:tcBorders>
              <w:top w:val="nil"/>
            </w:tcBorders>
          </w:tcPr>
          <w:p w14:paraId="35869DA8" w14:textId="77777777" w:rsidR="00F65BCA" w:rsidRDefault="00F65BCA">
            <w:pPr>
              <w:rPr>
                <w:sz w:val="2"/>
                <w:szCs w:val="2"/>
              </w:rPr>
            </w:pPr>
          </w:p>
        </w:tc>
        <w:tc>
          <w:tcPr>
            <w:tcW w:w="288" w:type="dxa"/>
            <w:vMerge/>
            <w:tcBorders>
              <w:top w:val="nil"/>
            </w:tcBorders>
          </w:tcPr>
          <w:p w14:paraId="085AF4C0" w14:textId="77777777" w:rsidR="00F65BCA" w:rsidRDefault="00F65BCA">
            <w:pPr>
              <w:rPr>
                <w:sz w:val="2"/>
                <w:szCs w:val="2"/>
              </w:rPr>
            </w:pPr>
          </w:p>
        </w:tc>
        <w:tc>
          <w:tcPr>
            <w:tcW w:w="288" w:type="dxa"/>
            <w:vMerge/>
            <w:tcBorders>
              <w:top w:val="nil"/>
            </w:tcBorders>
          </w:tcPr>
          <w:p w14:paraId="246C1E80" w14:textId="77777777" w:rsidR="00F65BCA" w:rsidRDefault="00F65BCA">
            <w:pPr>
              <w:rPr>
                <w:sz w:val="2"/>
                <w:szCs w:val="2"/>
              </w:rPr>
            </w:pPr>
          </w:p>
        </w:tc>
        <w:tc>
          <w:tcPr>
            <w:tcW w:w="288" w:type="dxa"/>
            <w:vMerge/>
            <w:tcBorders>
              <w:top w:val="nil"/>
            </w:tcBorders>
          </w:tcPr>
          <w:p w14:paraId="62DAE98B" w14:textId="77777777" w:rsidR="00F65BCA" w:rsidRDefault="00F65BCA">
            <w:pPr>
              <w:rPr>
                <w:sz w:val="2"/>
                <w:szCs w:val="2"/>
              </w:rPr>
            </w:pPr>
          </w:p>
        </w:tc>
        <w:tc>
          <w:tcPr>
            <w:tcW w:w="288" w:type="dxa"/>
            <w:vMerge/>
            <w:tcBorders>
              <w:top w:val="nil"/>
            </w:tcBorders>
          </w:tcPr>
          <w:p w14:paraId="033E598F" w14:textId="77777777" w:rsidR="00F65BCA" w:rsidRDefault="00F65BCA">
            <w:pPr>
              <w:rPr>
                <w:sz w:val="2"/>
                <w:szCs w:val="2"/>
              </w:rPr>
            </w:pPr>
          </w:p>
        </w:tc>
        <w:tc>
          <w:tcPr>
            <w:tcW w:w="288" w:type="dxa"/>
            <w:vMerge/>
            <w:tcBorders>
              <w:top w:val="nil"/>
            </w:tcBorders>
          </w:tcPr>
          <w:p w14:paraId="09FE712F" w14:textId="77777777" w:rsidR="00F65BCA" w:rsidRDefault="00F65BCA">
            <w:pPr>
              <w:rPr>
                <w:sz w:val="2"/>
                <w:szCs w:val="2"/>
              </w:rPr>
            </w:pPr>
          </w:p>
        </w:tc>
      </w:tr>
      <w:tr w:rsidR="00F65BCA" w14:paraId="36675965" w14:textId="77777777">
        <w:trPr>
          <w:trHeight w:val="56"/>
        </w:trPr>
        <w:tc>
          <w:tcPr>
            <w:tcW w:w="526" w:type="dxa"/>
            <w:vMerge w:val="restart"/>
            <w:tcBorders>
              <w:top w:val="nil"/>
              <w:bottom w:val="nil"/>
            </w:tcBorders>
            <w:shd w:val="clear" w:color="auto" w:fill="FCE4D6"/>
          </w:tcPr>
          <w:p w14:paraId="6120241A" w14:textId="77777777" w:rsidR="00F65BCA" w:rsidRDefault="00F65BCA">
            <w:pPr>
              <w:pStyle w:val="TableParagraph"/>
              <w:rPr>
                <w:rFonts w:ascii="Times New Roman"/>
                <w:sz w:val="2"/>
              </w:rPr>
            </w:pPr>
          </w:p>
        </w:tc>
        <w:tc>
          <w:tcPr>
            <w:tcW w:w="732" w:type="dxa"/>
            <w:vMerge w:val="restart"/>
            <w:tcBorders>
              <w:bottom w:val="nil"/>
            </w:tcBorders>
            <w:shd w:val="clear" w:color="auto" w:fill="FCE4D6"/>
          </w:tcPr>
          <w:p w14:paraId="2915E1DA" w14:textId="77777777" w:rsidR="00F65BCA" w:rsidRDefault="00F65BCA">
            <w:pPr>
              <w:pStyle w:val="TableParagraph"/>
              <w:rPr>
                <w:rFonts w:ascii="Times New Roman"/>
                <w:sz w:val="2"/>
              </w:rPr>
            </w:pPr>
          </w:p>
        </w:tc>
        <w:tc>
          <w:tcPr>
            <w:tcW w:w="958" w:type="dxa"/>
            <w:gridSpan w:val="2"/>
            <w:tcBorders>
              <w:bottom w:val="nil"/>
            </w:tcBorders>
            <w:shd w:val="clear" w:color="auto" w:fill="FCE4D6"/>
          </w:tcPr>
          <w:p w14:paraId="47862F87" w14:textId="77777777" w:rsidR="00F65BCA" w:rsidRDefault="00F65BCA">
            <w:pPr>
              <w:pStyle w:val="TableParagraph"/>
              <w:rPr>
                <w:rFonts w:ascii="Calibri"/>
                <w:sz w:val="2"/>
              </w:rPr>
            </w:pPr>
          </w:p>
          <w:p w14:paraId="01DA24E4" w14:textId="77777777" w:rsidR="00F65BCA" w:rsidRDefault="00216117">
            <w:pPr>
              <w:pStyle w:val="TableParagraph"/>
              <w:spacing w:line="18" w:lineRule="exact"/>
              <w:ind w:left="4"/>
              <w:rPr>
                <w:sz w:val="3"/>
              </w:rPr>
            </w:pPr>
            <w:r>
              <w:rPr>
                <w:w w:val="105"/>
                <w:sz w:val="3"/>
              </w:rPr>
              <w:t>ACTROS; ANTOS; AROCS; ATEGO ŘADA 1800; ATEGO ŘADA</w:t>
            </w:r>
          </w:p>
        </w:tc>
        <w:tc>
          <w:tcPr>
            <w:tcW w:w="576" w:type="dxa"/>
            <w:tcBorders>
              <w:bottom w:val="nil"/>
            </w:tcBorders>
            <w:shd w:val="clear" w:color="auto" w:fill="FCE4D6"/>
          </w:tcPr>
          <w:p w14:paraId="28C5DFF3" w14:textId="77777777" w:rsidR="00F65BCA" w:rsidRDefault="00F65BCA">
            <w:pPr>
              <w:pStyle w:val="TableParagraph"/>
              <w:rPr>
                <w:rFonts w:ascii="Times New Roman"/>
                <w:sz w:val="2"/>
              </w:rPr>
            </w:pPr>
          </w:p>
        </w:tc>
        <w:tc>
          <w:tcPr>
            <w:tcW w:w="576" w:type="dxa"/>
            <w:tcBorders>
              <w:bottom w:val="nil"/>
            </w:tcBorders>
            <w:shd w:val="clear" w:color="auto" w:fill="FCE4D6"/>
          </w:tcPr>
          <w:p w14:paraId="4A2D2BB2" w14:textId="77777777" w:rsidR="00F65BCA" w:rsidRDefault="00F65BCA">
            <w:pPr>
              <w:pStyle w:val="TableParagraph"/>
              <w:rPr>
                <w:rFonts w:ascii="Times New Roman"/>
                <w:sz w:val="2"/>
              </w:rPr>
            </w:pPr>
          </w:p>
        </w:tc>
        <w:tc>
          <w:tcPr>
            <w:tcW w:w="50" w:type="dxa"/>
            <w:vMerge/>
            <w:tcBorders>
              <w:top w:val="nil"/>
              <w:bottom w:val="nil"/>
            </w:tcBorders>
          </w:tcPr>
          <w:p w14:paraId="41F221E8" w14:textId="77777777" w:rsidR="00F65BCA" w:rsidRDefault="00F65BCA">
            <w:pPr>
              <w:rPr>
                <w:sz w:val="2"/>
                <w:szCs w:val="2"/>
              </w:rPr>
            </w:pPr>
          </w:p>
        </w:tc>
        <w:tc>
          <w:tcPr>
            <w:tcW w:w="288" w:type="dxa"/>
            <w:tcBorders>
              <w:bottom w:val="nil"/>
            </w:tcBorders>
          </w:tcPr>
          <w:p w14:paraId="010B9DBF" w14:textId="77777777" w:rsidR="00F65BCA" w:rsidRDefault="00F65BCA">
            <w:pPr>
              <w:pStyle w:val="TableParagraph"/>
              <w:rPr>
                <w:rFonts w:ascii="Times New Roman"/>
                <w:sz w:val="2"/>
              </w:rPr>
            </w:pPr>
          </w:p>
        </w:tc>
        <w:tc>
          <w:tcPr>
            <w:tcW w:w="288" w:type="dxa"/>
            <w:tcBorders>
              <w:bottom w:val="nil"/>
            </w:tcBorders>
          </w:tcPr>
          <w:p w14:paraId="35AF6168" w14:textId="77777777" w:rsidR="00F65BCA" w:rsidRDefault="00F65BCA">
            <w:pPr>
              <w:pStyle w:val="TableParagraph"/>
              <w:rPr>
                <w:rFonts w:ascii="Times New Roman"/>
                <w:sz w:val="2"/>
              </w:rPr>
            </w:pPr>
          </w:p>
        </w:tc>
        <w:tc>
          <w:tcPr>
            <w:tcW w:w="288" w:type="dxa"/>
            <w:tcBorders>
              <w:bottom w:val="nil"/>
            </w:tcBorders>
          </w:tcPr>
          <w:p w14:paraId="2438B564" w14:textId="77777777" w:rsidR="00F65BCA" w:rsidRDefault="00F65BCA">
            <w:pPr>
              <w:pStyle w:val="TableParagraph"/>
              <w:rPr>
                <w:rFonts w:ascii="Times New Roman"/>
                <w:sz w:val="2"/>
              </w:rPr>
            </w:pPr>
          </w:p>
        </w:tc>
        <w:tc>
          <w:tcPr>
            <w:tcW w:w="288" w:type="dxa"/>
            <w:tcBorders>
              <w:bottom w:val="nil"/>
            </w:tcBorders>
          </w:tcPr>
          <w:p w14:paraId="2E937DC5" w14:textId="77777777" w:rsidR="00F65BCA" w:rsidRDefault="00F65BCA">
            <w:pPr>
              <w:pStyle w:val="TableParagraph"/>
              <w:rPr>
                <w:rFonts w:ascii="Times New Roman"/>
                <w:sz w:val="2"/>
              </w:rPr>
            </w:pPr>
          </w:p>
        </w:tc>
        <w:tc>
          <w:tcPr>
            <w:tcW w:w="288" w:type="dxa"/>
            <w:tcBorders>
              <w:bottom w:val="nil"/>
            </w:tcBorders>
          </w:tcPr>
          <w:p w14:paraId="6B4CAA22" w14:textId="77777777" w:rsidR="00F65BCA" w:rsidRDefault="00F65BCA">
            <w:pPr>
              <w:pStyle w:val="TableParagraph"/>
              <w:rPr>
                <w:rFonts w:ascii="Times New Roman"/>
                <w:sz w:val="2"/>
              </w:rPr>
            </w:pPr>
          </w:p>
        </w:tc>
        <w:tc>
          <w:tcPr>
            <w:tcW w:w="288" w:type="dxa"/>
            <w:tcBorders>
              <w:bottom w:val="nil"/>
            </w:tcBorders>
          </w:tcPr>
          <w:p w14:paraId="7727C3B3" w14:textId="77777777" w:rsidR="00F65BCA" w:rsidRDefault="00F65BCA">
            <w:pPr>
              <w:pStyle w:val="TableParagraph"/>
              <w:rPr>
                <w:rFonts w:ascii="Times New Roman"/>
                <w:sz w:val="2"/>
              </w:rPr>
            </w:pPr>
          </w:p>
        </w:tc>
        <w:tc>
          <w:tcPr>
            <w:tcW w:w="288" w:type="dxa"/>
            <w:tcBorders>
              <w:bottom w:val="nil"/>
            </w:tcBorders>
          </w:tcPr>
          <w:p w14:paraId="4B8B92DA" w14:textId="77777777" w:rsidR="00F65BCA" w:rsidRDefault="00F65BCA">
            <w:pPr>
              <w:pStyle w:val="TableParagraph"/>
              <w:rPr>
                <w:rFonts w:ascii="Times New Roman"/>
                <w:sz w:val="2"/>
              </w:rPr>
            </w:pPr>
          </w:p>
        </w:tc>
        <w:tc>
          <w:tcPr>
            <w:tcW w:w="288" w:type="dxa"/>
            <w:tcBorders>
              <w:bottom w:val="nil"/>
            </w:tcBorders>
          </w:tcPr>
          <w:p w14:paraId="448D9388" w14:textId="77777777" w:rsidR="00F65BCA" w:rsidRDefault="00F65BCA">
            <w:pPr>
              <w:pStyle w:val="TableParagraph"/>
              <w:rPr>
                <w:rFonts w:ascii="Times New Roman"/>
                <w:sz w:val="2"/>
              </w:rPr>
            </w:pPr>
          </w:p>
        </w:tc>
        <w:tc>
          <w:tcPr>
            <w:tcW w:w="288" w:type="dxa"/>
            <w:tcBorders>
              <w:bottom w:val="nil"/>
            </w:tcBorders>
          </w:tcPr>
          <w:p w14:paraId="06619630" w14:textId="77777777" w:rsidR="00F65BCA" w:rsidRDefault="00F65BCA">
            <w:pPr>
              <w:pStyle w:val="TableParagraph"/>
              <w:rPr>
                <w:rFonts w:ascii="Times New Roman"/>
                <w:sz w:val="2"/>
              </w:rPr>
            </w:pPr>
          </w:p>
        </w:tc>
        <w:tc>
          <w:tcPr>
            <w:tcW w:w="288" w:type="dxa"/>
            <w:tcBorders>
              <w:bottom w:val="nil"/>
            </w:tcBorders>
          </w:tcPr>
          <w:p w14:paraId="68CB5161" w14:textId="77777777" w:rsidR="00F65BCA" w:rsidRDefault="00F65BCA">
            <w:pPr>
              <w:pStyle w:val="TableParagraph"/>
              <w:rPr>
                <w:rFonts w:ascii="Times New Roman"/>
                <w:sz w:val="2"/>
              </w:rPr>
            </w:pPr>
          </w:p>
        </w:tc>
        <w:tc>
          <w:tcPr>
            <w:tcW w:w="288" w:type="dxa"/>
            <w:tcBorders>
              <w:bottom w:val="nil"/>
            </w:tcBorders>
          </w:tcPr>
          <w:p w14:paraId="5AFDDAF1" w14:textId="77777777" w:rsidR="00F65BCA" w:rsidRDefault="00F65BCA">
            <w:pPr>
              <w:pStyle w:val="TableParagraph"/>
              <w:rPr>
                <w:rFonts w:ascii="Times New Roman"/>
                <w:sz w:val="2"/>
              </w:rPr>
            </w:pPr>
          </w:p>
        </w:tc>
        <w:tc>
          <w:tcPr>
            <w:tcW w:w="288" w:type="dxa"/>
            <w:tcBorders>
              <w:bottom w:val="nil"/>
            </w:tcBorders>
          </w:tcPr>
          <w:p w14:paraId="57C52E2F" w14:textId="77777777" w:rsidR="00F65BCA" w:rsidRDefault="00F65BCA">
            <w:pPr>
              <w:pStyle w:val="TableParagraph"/>
              <w:rPr>
                <w:rFonts w:ascii="Times New Roman"/>
                <w:sz w:val="2"/>
              </w:rPr>
            </w:pPr>
          </w:p>
        </w:tc>
        <w:tc>
          <w:tcPr>
            <w:tcW w:w="288" w:type="dxa"/>
            <w:tcBorders>
              <w:bottom w:val="nil"/>
            </w:tcBorders>
          </w:tcPr>
          <w:p w14:paraId="4289AAB9" w14:textId="77777777" w:rsidR="00F65BCA" w:rsidRDefault="00F65BCA">
            <w:pPr>
              <w:pStyle w:val="TableParagraph"/>
              <w:rPr>
                <w:rFonts w:ascii="Times New Roman"/>
                <w:sz w:val="2"/>
              </w:rPr>
            </w:pPr>
          </w:p>
        </w:tc>
      </w:tr>
      <w:tr w:rsidR="00F65BCA" w14:paraId="32575314" w14:textId="77777777">
        <w:trPr>
          <w:trHeight w:val="81"/>
        </w:trPr>
        <w:tc>
          <w:tcPr>
            <w:tcW w:w="526" w:type="dxa"/>
            <w:vMerge/>
            <w:tcBorders>
              <w:top w:val="nil"/>
              <w:bottom w:val="nil"/>
            </w:tcBorders>
            <w:shd w:val="clear" w:color="auto" w:fill="FCE4D6"/>
          </w:tcPr>
          <w:p w14:paraId="35DD3788" w14:textId="77777777" w:rsidR="00F65BCA" w:rsidRDefault="00F65BCA">
            <w:pPr>
              <w:rPr>
                <w:sz w:val="2"/>
                <w:szCs w:val="2"/>
              </w:rPr>
            </w:pPr>
          </w:p>
        </w:tc>
        <w:tc>
          <w:tcPr>
            <w:tcW w:w="732" w:type="dxa"/>
            <w:vMerge/>
            <w:tcBorders>
              <w:top w:val="nil"/>
              <w:bottom w:val="nil"/>
            </w:tcBorders>
            <w:shd w:val="clear" w:color="auto" w:fill="FCE4D6"/>
          </w:tcPr>
          <w:p w14:paraId="02A82CF5" w14:textId="77777777" w:rsidR="00F65BCA" w:rsidRDefault="00F65BCA">
            <w:pPr>
              <w:rPr>
                <w:sz w:val="2"/>
                <w:szCs w:val="2"/>
              </w:rPr>
            </w:pPr>
          </w:p>
        </w:tc>
        <w:tc>
          <w:tcPr>
            <w:tcW w:w="958" w:type="dxa"/>
            <w:gridSpan w:val="2"/>
            <w:tcBorders>
              <w:top w:val="nil"/>
              <w:bottom w:val="nil"/>
            </w:tcBorders>
            <w:shd w:val="clear" w:color="auto" w:fill="FCE4D6"/>
          </w:tcPr>
          <w:p w14:paraId="08D17099" w14:textId="77777777" w:rsidR="00F65BCA" w:rsidRDefault="00216117">
            <w:pPr>
              <w:pStyle w:val="TableParagraph"/>
              <w:spacing w:before="3"/>
              <w:ind w:left="4"/>
              <w:rPr>
                <w:sz w:val="3"/>
              </w:rPr>
            </w:pPr>
            <w:r>
              <w:rPr>
                <w:w w:val="105"/>
                <w:sz w:val="3"/>
              </w:rPr>
              <w:t>2500;</w:t>
            </w:r>
            <w:r>
              <w:rPr>
                <w:spacing w:val="-4"/>
                <w:w w:val="105"/>
                <w:sz w:val="3"/>
              </w:rPr>
              <w:t xml:space="preserve"> </w:t>
            </w:r>
            <w:r>
              <w:rPr>
                <w:w w:val="105"/>
                <w:sz w:val="3"/>
              </w:rPr>
              <w:t>ATEGO</w:t>
            </w:r>
            <w:r>
              <w:rPr>
                <w:spacing w:val="-4"/>
                <w:w w:val="105"/>
                <w:sz w:val="3"/>
              </w:rPr>
              <w:t xml:space="preserve"> </w:t>
            </w:r>
            <w:r>
              <w:rPr>
                <w:w w:val="105"/>
                <w:sz w:val="3"/>
              </w:rPr>
              <w:t>ŘADA</w:t>
            </w:r>
            <w:r>
              <w:rPr>
                <w:spacing w:val="-3"/>
                <w:w w:val="105"/>
                <w:sz w:val="3"/>
              </w:rPr>
              <w:t xml:space="preserve"> </w:t>
            </w:r>
            <w:r>
              <w:rPr>
                <w:w w:val="105"/>
                <w:sz w:val="3"/>
              </w:rPr>
              <w:t>2600;</w:t>
            </w:r>
            <w:r>
              <w:rPr>
                <w:spacing w:val="-4"/>
                <w:w w:val="105"/>
                <w:sz w:val="3"/>
              </w:rPr>
              <w:t xml:space="preserve"> </w:t>
            </w:r>
            <w:r>
              <w:rPr>
                <w:w w:val="105"/>
                <w:sz w:val="3"/>
              </w:rPr>
              <w:t>AXOR;</w:t>
            </w:r>
            <w:r>
              <w:rPr>
                <w:spacing w:val="-3"/>
                <w:w w:val="105"/>
                <w:sz w:val="3"/>
              </w:rPr>
              <w:t xml:space="preserve"> </w:t>
            </w:r>
            <w:r>
              <w:rPr>
                <w:w w:val="105"/>
                <w:sz w:val="3"/>
              </w:rPr>
              <w:t>ECONIC;</w:t>
            </w:r>
            <w:r>
              <w:rPr>
                <w:spacing w:val="-4"/>
                <w:w w:val="105"/>
                <w:sz w:val="3"/>
              </w:rPr>
              <w:t xml:space="preserve"> </w:t>
            </w:r>
            <w:r>
              <w:rPr>
                <w:w w:val="105"/>
                <w:sz w:val="3"/>
              </w:rPr>
              <w:t>ŘADA</w:t>
            </w:r>
            <w:r>
              <w:rPr>
                <w:spacing w:val="-3"/>
                <w:w w:val="105"/>
                <w:sz w:val="3"/>
              </w:rPr>
              <w:t xml:space="preserve"> </w:t>
            </w:r>
            <w:r>
              <w:rPr>
                <w:w w:val="105"/>
                <w:sz w:val="3"/>
              </w:rPr>
              <w:t>MK</w:t>
            </w:r>
            <w:r>
              <w:rPr>
                <w:spacing w:val="-4"/>
                <w:w w:val="105"/>
                <w:sz w:val="3"/>
              </w:rPr>
              <w:t xml:space="preserve"> </w:t>
            </w:r>
            <w:r>
              <w:rPr>
                <w:w w:val="105"/>
                <w:sz w:val="3"/>
              </w:rPr>
              <w:t>1800;</w:t>
            </w:r>
          </w:p>
          <w:p w14:paraId="65D95CE6" w14:textId="77777777" w:rsidR="00F65BCA" w:rsidRDefault="00216117">
            <w:pPr>
              <w:pStyle w:val="TableParagraph"/>
              <w:spacing w:before="6" w:line="18" w:lineRule="exact"/>
              <w:ind w:left="4"/>
              <w:rPr>
                <w:sz w:val="3"/>
              </w:rPr>
            </w:pPr>
            <w:r>
              <w:rPr>
                <w:w w:val="105"/>
                <w:sz w:val="3"/>
              </w:rPr>
              <w:t>ŘADA</w:t>
            </w:r>
            <w:r>
              <w:rPr>
                <w:spacing w:val="-2"/>
                <w:w w:val="105"/>
                <w:sz w:val="3"/>
              </w:rPr>
              <w:t xml:space="preserve"> </w:t>
            </w:r>
            <w:r>
              <w:rPr>
                <w:w w:val="105"/>
                <w:sz w:val="3"/>
              </w:rPr>
              <w:t>MK</w:t>
            </w:r>
            <w:r>
              <w:rPr>
                <w:spacing w:val="-1"/>
                <w:w w:val="105"/>
                <w:sz w:val="3"/>
              </w:rPr>
              <w:t xml:space="preserve"> </w:t>
            </w:r>
            <w:r>
              <w:rPr>
                <w:w w:val="105"/>
                <w:sz w:val="3"/>
              </w:rPr>
              <w:t>2000;</w:t>
            </w:r>
            <w:r>
              <w:rPr>
                <w:spacing w:val="-1"/>
                <w:w w:val="105"/>
                <w:sz w:val="3"/>
              </w:rPr>
              <w:t xml:space="preserve"> </w:t>
            </w:r>
            <w:r>
              <w:rPr>
                <w:w w:val="105"/>
                <w:sz w:val="3"/>
              </w:rPr>
              <w:t>ŘADA</w:t>
            </w:r>
            <w:r>
              <w:rPr>
                <w:spacing w:val="-1"/>
                <w:w w:val="105"/>
                <w:sz w:val="3"/>
              </w:rPr>
              <w:t xml:space="preserve"> </w:t>
            </w:r>
            <w:r>
              <w:rPr>
                <w:w w:val="105"/>
                <w:sz w:val="3"/>
              </w:rPr>
              <w:t>MK</w:t>
            </w:r>
            <w:r>
              <w:rPr>
                <w:spacing w:val="-2"/>
                <w:w w:val="105"/>
                <w:sz w:val="3"/>
              </w:rPr>
              <w:t xml:space="preserve"> </w:t>
            </w:r>
            <w:r>
              <w:rPr>
                <w:w w:val="105"/>
                <w:sz w:val="3"/>
              </w:rPr>
              <w:t>2500;</w:t>
            </w:r>
            <w:r>
              <w:rPr>
                <w:spacing w:val="-1"/>
                <w:w w:val="105"/>
                <w:sz w:val="3"/>
              </w:rPr>
              <w:t xml:space="preserve"> </w:t>
            </w:r>
            <w:r>
              <w:rPr>
                <w:w w:val="105"/>
                <w:sz w:val="3"/>
              </w:rPr>
              <w:t>ŘADA</w:t>
            </w:r>
            <w:r>
              <w:rPr>
                <w:spacing w:val="-1"/>
                <w:w w:val="105"/>
                <w:sz w:val="3"/>
              </w:rPr>
              <w:t xml:space="preserve"> </w:t>
            </w:r>
            <w:r>
              <w:rPr>
                <w:w w:val="105"/>
                <w:sz w:val="3"/>
              </w:rPr>
              <w:t>MK</w:t>
            </w:r>
            <w:r>
              <w:rPr>
                <w:spacing w:val="-1"/>
                <w:w w:val="105"/>
                <w:sz w:val="3"/>
              </w:rPr>
              <w:t xml:space="preserve"> </w:t>
            </w:r>
            <w:r>
              <w:rPr>
                <w:w w:val="105"/>
                <w:sz w:val="3"/>
              </w:rPr>
              <w:t>2600;</w:t>
            </w:r>
            <w:r>
              <w:rPr>
                <w:spacing w:val="-1"/>
                <w:w w:val="105"/>
                <w:sz w:val="3"/>
              </w:rPr>
              <w:t xml:space="preserve"> </w:t>
            </w:r>
            <w:r>
              <w:rPr>
                <w:w w:val="105"/>
                <w:sz w:val="3"/>
              </w:rPr>
              <w:t>ŘADA</w:t>
            </w:r>
            <w:r>
              <w:rPr>
                <w:spacing w:val="-2"/>
                <w:w w:val="105"/>
                <w:sz w:val="3"/>
              </w:rPr>
              <w:t xml:space="preserve"> </w:t>
            </w:r>
            <w:r>
              <w:rPr>
                <w:w w:val="105"/>
                <w:sz w:val="3"/>
              </w:rPr>
              <w:t>MK</w:t>
            </w:r>
          </w:p>
        </w:tc>
        <w:tc>
          <w:tcPr>
            <w:tcW w:w="576" w:type="dxa"/>
            <w:tcBorders>
              <w:top w:val="nil"/>
              <w:bottom w:val="nil"/>
            </w:tcBorders>
            <w:shd w:val="clear" w:color="auto" w:fill="FCE4D6"/>
          </w:tcPr>
          <w:p w14:paraId="5ECDC0AE" w14:textId="77777777" w:rsidR="00F65BCA" w:rsidRDefault="00F65BCA">
            <w:pPr>
              <w:pStyle w:val="TableParagraph"/>
              <w:rPr>
                <w:rFonts w:ascii="Calibri"/>
                <w:sz w:val="2"/>
              </w:rPr>
            </w:pPr>
          </w:p>
          <w:p w14:paraId="1665BBAA" w14:textId="77777777" w:rsidR="00F65BCA" w:rsidRDefault="00216117">
            <w:pPr>
              <w:pStyle w:val="TableParagraph"/>
              <w:ind w:left="3"/>
              <w:jc w:val="center"/>
              <w:rPr>
                <w:sz w:val="3"/>
              </w:rPr>
            </w:pPr>
            <w:r>
              <w:rPr>
                <w:w w:val="103"/>
                <w:sz w:val="3"/>
              </w:rPr>
              <w:t>-</w:t>
            </w:r>
          </w:p>
        </w:tc>
        <w:tc>
          <w:tcPr>
            <w:tcW w:w="576" w:type="dxa"/>
            <w:tcBorders>
              <w:top w:val="nil"/>
              <w:bottom w:val="nil"/>
            </w:tcBorders>
            <w:shd w:val="clear" w:color="auto" w:fill="FCE4D6"/>
          </w:tcPr>
          <w:p w14:paraId="57DD242D" w14:textId="77777777" w:rsidR="00F65BCA" w:rsidRDefault="00F65BCA">
            <w:pPr>
              <w:pStyle w:val="TableParagraph"/>
              <w:rPr>
                <w:rFonts w:ascii="Calibri"/>
                <w:sz w:val="2"/>
              </w:rPr>
            </w:pPr>
          </w:p>
          <w:p w14:paraId="59C1ADC2"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7633DC64" w14:textId="77777777" w:rsidR="00F65BCA" w:rsidRDefault="00F65BCA">
            <w:pPr>
              <w:rPr>
                <w:sz w:val="2"/>
                <w:szCs w:val="2"/>
              </w:rPr>
            </w:pPr>
          </w:p>
        </w:tc>
        <w:tc>
          <w:tcPr>
            <w:tcW w:w="288" w:type="dxa"/>
            <w:tcBorders>
              <w:top w:val="nil"/>
              <w:bottom w:val="nil"/>
            </w:tcBorders>
          </w:tcPr>
          <w:p w14:paraId="3E9ADE44" w14:textId="77777777" w:rsidR="00F65BCA" w:rsidRDefault="00F65BCA">
            <w:pPr>
              <w:pStyle w:val="TableParagraph"/>
              <w:rPr>
                <w:rFonts w:ascii="Calibri"/>
                <w:sz w:val="2"/>
              </w:rPr>
            </w:pPr>
          </w:p>
          <w:p w14:paraId="564DACF2" w14:textId="77777777" w:rsidR="00F65BCA" w:rsidRDefault="00216117">
            <w:pPr>
              <w:pStyle w:val="TableParagraph"/>
              <w:ind w:left="24" w:right="24"/>
              <w:jc w:val="center"/>
              <w:rPr>
                <w:sz w:val="3"/>
              </w:rPr>
            </w:pPr>
            <w:r>
              <w:rPr>
                <w:w w:val="105"/>
                <w:sz w:val="3"/>
              </w:rPr>
              <w:t>1,02049000%</w:t>
            </w:r>
          </w:p>
        </w:tc>
        <w:tc>
          <w:tcPr>
            <w:tcW w:w="288" w:type="dxa"/>
            <w:tcBorders>
              <w:top w:val="nil"/>
              <w:bottom w:val="nil"/>
            </w:tcBorders>
          </w:tcPr>
          <w:p w14:paraId="7CF09C5F" w14:textId="77777777" w:rsidR="00F65BCA" w:rsidRDefault="00F65BCA">
            <w:pPr>
              <w:pStyle w:val="TableParagraph"/>
              <w:rPr>
                <w:rFonts w:ascii="Calibri"/>
                <w:sz w:val="2"/>
              </w:rPr>
            </w:pPr>
          </w:p>
          <w:p w14:paraId="35ABEE42" w14:textId="77777777" w:rsidR="00F65BCA" w:rsidRDefault="00216117">
            <w:pPr>
              <w:pStyle w:val="TableParagraph"/>
              <w:ind w:left="24" w:right="24"/>
              <w:jc w:val="center"/>
              <w:rPr>
                <w:sz w:val="3"/>
              </w:rPr>
            </w:pPr>
            <w:r>
              <w:rPr>
                <w:w w:val="105"/>
                <w:sz w:val="3"/>
              </w:rPr>
              <w:t>0,91307000%</w:t>
            </w:r>
          </w:p>
        </w:tc>
        <w:tc>
          <w:tcPr>
            <w:tcW w:w="288" w:type="dxa"/>
            <w:tcBorders>
              <w:top w:val="nil"/>
              <w:bottom w:val="nil"/>
            </w:tcBorders>
          </w:tcPr>
          <w:p w14:paraId="1FE03CA9" w14:textId="77777777" w:rsidR="00F65BCA" w:rsidRDefault="00F65BCA">
            <w:pPr>
              <w:pStyle w:val="TableParagraph"/>
              <w:rPr>
                <w:rFonts w:ascii="Calibri"/>
                <w:sz w:val="2"/>
              </w:rPr>
            </w:pPr>
          </w:p>
          <w:p w14:paraId="7883DB56" w14:textId="77777777" w:rsidR="00F65BCA" w:rsidRDefault="00216117">
            <w:pPr>
              <w:pStyle w:val="TableParagraph"/>
              <w:ind w:left="47"/>
              <w:rPr>
                <w:sz w:val="3"/>
              </w:rPr>
            </w:pPr>
            <w:r>
              <w:rPr>
                <w:w w:val="105"/>
                <w:sz w:val="3"/>
              </w:rPr>
              <w:t>0,91307000%</w:t>
            </w:r>
          </w:p>
        </w:tc>
        <w:tc>
          <w:tcPr>
            <w:tcW w:w="288" w:type="dxa"/>
            <w:tcBorders>
              <w:top w:val="nil"/>
              <w:bottom w:val="nil"/>
            </w:tcBorders>
          </w:tcPr>
          <w:p w14:paraId="75825811" w14:textId="77777777" w:rsidR="00F65BCA" w:rsidRDefault="00F65BCA">
            <w:pPr>
              <w:pStyle w:val="TableParagraph"/>
              <w:rPr>
                <w:rFonts w:ascii="Calibri"/>
                <w:sz w:val="2"/>
              </w:rPr>
            </w:pPr>
          </w:p>
          <w:p w14:paraId="24797EB0" w14:textId="77777777" w:rsidR="00F65BCA" w:rsidRDefault="00216117">
            <w:pPr>
              <w:pStyle w:val="TableParagraph"/>
              <w:ind w:left="24" w:right="24"/>
              <w:jc w:val="center"/>
              <w:rPr>
                <w:sz w:val="3"/>
              </w:rPr>
            </w:pPr>
            <w:r>
              <w:rPr>
                <w:w w:val="105"/>
                <w:sz w:val="3"/>
              </w:rPr>
              <w:t>0,83250500%</w:t>
            </w:r>
          </w:p>
        </w:tc>
        <w:tc>
          <w:tcPr>
            <w:tcW w:w="288" w:type="dxa"/>
            <w:tcBorders>
              <w:top w:val="nil"/>
              <w:bottom w:val="nil"/>
            </w:tcBorders>
          </w:tcPr>
          <w:p w14:paraId="63FDD8D0" w14:textId="77777777" w:rsidR="00F65BCA" w:rsidRDefault="00F65BCA">
            <w:pPr>
              <w:pStyle w:val="TableParagraph"/>
              <w:rPr>
                <w:rFonts w:ascii="Calibri"/>
                <w:sz w:val="2"/>
              </w:rPr>
            </w:pPr>
          </w:p>
          <w:p w14:paraId="1C738A37" w14:textId="77777777" w:rsidR="00F65BCA" w:rsidRDefault="00216117">
            <w:pPr>
              <w:pStyle w:val="TableParagraph"/>
              <w:ind w:left="47"/>
              <w:rPr>
                <w:sz w:val="3"/>
              </w:rPr>
            </w:pPr>
            <w:r>
              <w:rPr>
                <w:w w:val="105"/>
                <w:sz w:val="3"/>
              </w:rPr>
              <w:t>0,83250500%</w:t>
            </w:r>
          </w:p>
        </w:tc>
        <w:tc>
          <w:tcPr>
            <w:tcW w:w="288" w:type="dxa"/>
            <w:tcBorders>
              <w:top w:val="nil"/>
              <w:bottom w:val="nil"/>
            </w:tcBorders>
          </w:tcPr>
          <w:p w14:paraId="178A33FA" w14:textId="77777777" w:rsidR="00F65BCA" w:rsidRDefault="00F65BCA">
            <w:pPr>
              <w:pStyle w:val="TableParagraph"/>
              <w:rPr>
                <w:rFonts w:ascii="Calibri"/>
                <w:sz w:val="2"/>
              </w:rPr>
            </w:pPr>
          </w:p>
          <w:p w14:paraId="2BF8C90D" w14:textId="77777777" w:rsidR="00F65BCA" w:rsidRDefault="00216117">
            <w:pPr>
              <w:pStyle w:val="TableParagraph"/>
              <w:ind w:left="24" w:right="24"/>
              <w:jc w:val="center"/>
              <w:rPr>
                <w:sz w:val="3"/>
              </w:rPr>
            </w:pPr>
            <w:r>
              <w:rPr>
                <w:w w:val="105"/>
                <w:sz w:val="3"/>
              </w:rPr>
              <w:t>0,75194000%</w:t>
            </w:r>
          </w:p>
        </w:tc>
        <w:tc>
          <w:tcPr>
            <w:tcW w:w="288" w:type="dxa"/>
            <w:tcBorders>
              <w:top w:val="nil"/>
              <w:bottom w:val="nil"/>
            </w:tcBorders>
          </w:tcPr>
          <w:p w14:paraId="0245B94A" w14:textId="77777777" w:rsidR="00F65BCA" w:rsidRDefault="00F65BCA">
            <w:pPr>
              <w:pStyle w:val="TableParagraph"/>
              <w:rPr>
                <w:rFonts w:ascii="Calibri"/>
                <w:sz w:val="2"/>
              </w:rPr>
            </w:pPr>
          </w:p>
          <w:p w14:paraId="47E1FCE3" w14:textId="77777777" w:rsidR="00F65BCA" w:rsidRDefault="00216117">
            <w:pPr>
              <w:pStyle w:val="TableParagraph"/>
              <w:ind w:left="24" w:right="24"/>
              <w:jc w:val="center"/>
              <w:rPr>
                <w:sz w:val="3"/>
              </w:rPr>
            </w:pPr>
            <w:r>
              <w:rPr>
                <w:w w:val="105"/>
                <w:sz w:val="3"/>
              </w:rPr>
              <w:t>0,75194000%</w:t>
            </w:r>
          </w:p>
        </w:tc>
        <w:tc>
          <w:tcPr>
            <w:tcW w:w="288" w:type="dxa"/>
            <w:tcBorders>
              <w:top w:val="nil"/>
              <w:bottom w:val="nil"/>
            </w:tcBorders>
          </w:tcPr>
          <w:p w14:paraId="43AF625D" w14:textId="77777777" w:rsidR="00F65BCA" w:rsidRDefault="00F65BCA">
            <w:pPr>
              <w:pStyle w:val="TableParagraph"/>
              <w:rPr>
                <w:rFonts w:ascii="Calibri"/>
                <w:sz w:val="2"/>
              </w:rPr>
            </w:pPr>
          </w:p>
          <w:p w14:paraId="3A5D68B8" w14:textId="77777777" w:rsidR="00F65BCA" w:rsidRDefault="00216117">
            <w:pPr>
              <w:pStyle w:val="TableParagraph"/>
              <w:ind w:left="47"/>
              <w:rPr>
                <w:sz w:val="3"/>
              </w:rPr>
            </w:pPr>
            <w:r>
              <w:rPr>
                <w:w w:val="105"/>
                <w:sz w:val="3"/>
              </w:rPr>
              <w:t>0,67137500%</w:t>
            </w:r>
          </w:p>
        </w:tc>
        <w:tc>
          <w:tcPr>
            <w:tcW w:w="288" w:type="dxa"/>
            <w:tcBorders>
              <w:top w:val="nil"/>
              <w:bottom w:val="nil"/>
            </w:tcBorders>
          </w:tcPr>
          <w:p w14:paraId="2C873A01" w14:textId="77777777" w:rsidR="00F65BCA" w:rsidRDefault="00F65BCA">
            <w:pPr>
              <w:pStyle w:val="TableParagraph"/>
              <w:rPr>
                <w:rFonts w:ascii="Calibri"/>
                <w:sz w:val="2"/>
              </w:rPr>
            </w:pPr>
          </w:p>
          <w:p w14:paraId="5AC90610" w14:textId="77777777" w:rsidR="00F65BCA" w:rsidRDefault="00216117">
            <w:pPr>
              <w:pStyle w:val="TableParagraph"/>
              <w:ind w:left="24" w:right="24"/>
              <w:jc w:val="center"/>
              <w:rPr>
                <w:sz w:val="3"/>
              </w:rPr>
            </w:pPr>
            <w:r>
              <w:rPr>
                <w:w w:val="105"/>
                <w:sz w:val="3"/>
              </w:rPr>
              <w:t>0,67137500%</w:t>
            </w:r>
          </w:p>
        </w:tc>
        <w:tc>
          <w:tcPr>
            <w:tcW w:w="288" w:type="dxa"/>
            <w:tcBorders>
              <w:top w:val="nil"/>
              <w:bottom w:val="nil"/>
            </w:tcBorders>
          </w:tcPr>
          <w:p w14:paraId="6CFA7B83" w14:textId="77777777" w:rsidR="00F65BCA" w:rsidRDefault="00F65BCA">
            <w:pPr>
              <w:pStyle w:val="TableParagraph"/>
              <w:rPr>
                <w:rFonts w:ascii="Calibri"/>
                <w:sz w:val="2"/>
              </w:rPr>
            </w:pPr>
          </w:p>
          <w:p w14:paraId="6061396A" w14:textId="77777777" w:rsidR="00F65BCA" w:rsidRDefault="00216117">
            <w:pPr>
              <w:pStyle w:val="TableParagraph"/>
              <w:ind w:left="24" w:right="24"/>
              <w:jc w:val="center"/>
              <w:rPr>
                <w:sz w:val="3"/>
              </w:rPr>
            </w:pPr>
            <w:r>
              <w:rPr>
                <w:w w:val="105"/>
                <w:sz w:val="3"/>
              </w:rPr>
              <w:t>0,61766500%</w:t>
            </w:r>
          </w:p>
        </w:tc>
        <w:tc>
          <w:tcPr>
            <w:tcW w:w="288" w:type="dxa"/>
            <w:tcBorders>
              <w:top w:val="nil"/>
              <w:bottom w:val="nil"/>
            </w:tcBorders>
          </w:tcPr>
          <w:p w14:paraId="0CE475D9" w14:textId="77777777" w:rsidR="00F65BCA" w:rsidRDefault="00F65BCA">
            <w:pPr>
              <w:pStyle w:val="TableParagraph"/>
              <w:rPr>
                <w:rFonts w:ascii="Calibri"/>
                <w:sz w:val="2"/>
              </w:rPr>
            </w:pPr>
          </w:p>
          <w:p w14:paraId="3389AD3F" w14:textId="77777777" w:rsidR="00F65BCA" w:rsidRDefault="00216117">
            <w:pPr>
              <w:pStyle w:val="TableParagraph"/>
              <w:ind w:left="24" w:right="24"/>
              <w:jc w:val="center"/>
              <w:rPr>
                <w:sz w:val="3"/>
              </w:rPr>
            </w:pPr>
            <w:r>
              <w:rPr>
                <w:w w:val="105"/>
                <w:sz w:val="3"/>
              </w:rPr>
              <w:t>0,59081000%</w:t>
            </w:r>
          </w:p>
        </w:tc>
        <w:tc>
          <w:tcPr>
            <w:tcW w:w="288" w:type="dxa"/>
            <w:tcBorders>
              <w:top w:val="nil"/>
              <w:bottom w:val="nil"/>
            </w:tcBorders>
          </w:tcPr>
          <w:p w14:paraId="43C81231" w14:textId="77777777" w:rsidR="00F65BCA" w:rsidRDefault="00F65BCA">
            <w:pPr>
              <w:pStyle w:val="TableParagraph"/>
              <w:rPr>
                <w:rFonts w:ascii="Calibri"/>
                <w:sz w:val="2"/>
              </w:rPr>
            </w:pPr>
          </w:p>
          <w:p w14:paraId="6D6EC681" w14:textId="77777777" w:rsidR="00F65BCA" w:rsidRDefault="00216117">
            <w:pPr>
              <w:pStyle w:val="TableParagraph"/>
              <w:ind w:left="24" w:right="24"/>
              <w:jc w:val="center"/>
              <w:rPr>
                <w:sz w:val="3"/>
              </w:rPr>
            </w:pPr>
            <w:r>
              <w:rPr>
                <w:w w:val="105"/>
                <w:sz w:val="3"/>
              </w:rPr>
              <w:t>0,53710000%</w:t>
            </w:r>
          </w:p>
        </w:tc>
        <w:tc>
          <w:tcPr>
            <w:tcW w:w="288" w:type="dxa"/>
            <w:tcBorders>
              <w:top w:val="nil"/>
              <w:bottom w:val="nil"/>
            </w:tcBorders>
          </w:tcPr>
          <w:p w14:paraId="4DC2217F" w14:textId="77777777" w:rsidR="00F65BCA" w:rsidRDefault="00F65BCA">
            <w:pPr>
              <w:pStyle w:val="TableParagraph"/>
              <w:rPr>
                <w:rFonts w:ascii="Calibri"/>
                <w:sz w:val="2"/>
              </w:rPr>
            </w:pPr>
          </w:p>
          <w:p w14:paraId="2B8BEEDD" w14:textId="77777777" w:rsidR="00F65BCA" w:rsidRDefault="00216117">
            <w:pPr>
              <w:pStyle w:val="TableParagraph"/>
              <w:ind w:left="47"/>
              <w:rPr>
                <w:sz w:val="3"/>
              </w:rPr>
            </w:pPr>
            <w:r>
              <w:rPr>
                <w:w w:val="105"/>
                <w:sz w:val="3"/>
              </w:rPr>
              <w:t>0,53710000%</w:t>
            </w:r>
          </w:p>
        </w:tc>
      </w:tr>
      <w:tr w:rsidR="00F65BCA" w14:paraId="69B9139C" w14:textId="77777777">
        <w:trPr>
          <w:trHeight w:val="53"/>
        </w:trPr>
        <w:tc>
          <w:tcPr>
            <w:tcW w:w="526" w:type="dxa"/>
            <w:vMerge/>
            <w:tcBorders>
              <w:top w:val="nil"/>
              <w:bottom w:val="nil"/>
            </w:tcBorders>
            <w:shd w:val="clear" w:color="auto" w:fill="FCE4D6"/>
          </w:tcPr>
          <w:p w14:paraId="5B1AE1FB" w14:textId="77777777" w:rsidR="00F65BCA" w:rsidRDefault="00F65BCA">
            <w:pPr>
              <w:rPr>
                <w:sz w:val="2"/>
                <w:szCs w:val="2"/>
              </w:rPr>
            </w:pPr>
          </w:p>
        </w:tc>
        <w:tc>
          <w:tcPr>
            <w:tcW w:w="732" w:type="dxa"/>
            <w:vMerge/>
            <w:tcBorders>
              <w:top w:val="nil"/>
              <w:bottom w:val="nil"/>
            </w:tcBorders>
            <w:shd w:val="clear" w:color="auto" w:fill="FCE4D6"/>
          </w:tcPr>
          <w:p w14:paraId="315C5178" w14:textId="77777777" w:rsidR="00F65BCA" w:rsidRDefault="00F65BCA">
            <w:pPr>
              <w:rPr>
                <w:sz w:val="2"/>
                <w:szCs w:val="2"/>
              </w:rPr>
            </w:pPr>
          </w:p>
        </w:tc>
        <w:tc>
          <w:tcPr>
            <w:tcW w:w="958" w:type="dxa"/>
            <w:gridSpan w:val="2"/>
            <w:tcBorders>
              <w:top w:val="nil"/>
            </w:tcBorders>
            <w:shd w:val="clear" w:color="auto" w:fill="FCE4D6"/>
          </w:tcPr>
          <w:p w14:paraId="3DAE4907" w14:textId="77777777" w:rsidR="00F65BCA" w:rsidRDefault="00216117">
            <w:pPr>
              <w:pStyle w:val="TableParagraph"/>
              <w:spacing w:before="3" w:line="31" w:lineRule="exact"/>
              <w:ind w:left="4"/>
              <w:rPr>
                <w:sz w:val="3"/>
              </w:rPr>
            </w:pPr>
            <w:r>
              <w:rPr>
                <w:w w:val="105"/>
                <w:sz w:val="3"/>
              </w:rPr>
              <w:t>3200; ŘADA MK 3500; UNIMOG; ZETROS</w:t>
            </w:r>
          </w:p>
        </w:tc>
        <w:tc>
          <w:tcPr>
            <w:tcW w:w="576" w:type="dxa"/>
            <w:tcBorders>
              <w:top w:val="nil"/>
            </w:tcBorders>
            <w:shd w:val="clear" w:color="auto" w:fill="FCE4D6"/>
          </w:tcPr>
          <w:p w14:paraId="6234629D" w14:textId="77777777" w:rsidR="00F65BCA" w:rsidRDefault="00F65BCA">
            <w:pPr>
              <w:pStyle w:val="TableParagraph"/>
              <w:rPr>
                <w:rFonts w:ascii="Times New Roman"/>
                <w:sz w:val="2"/>
              </w:rPr>
            </w:pPr>
          </w:p>
        </w:tc>
        <w:tc>
          <w:tcPr>
            <w:tcW w:w="576" w:type="dxa"/>
            <w:tcBorders>
              <w:top w:val="nil"/>
            </w:tcBorders>
            <w:shd w:val="clear" w:color="auto" w:fill="FCE4D6"/>
          </w:tcPr>
          <w:p w14:paraId="0EB80F68" w14:textId="77777777" w:rsidR="00F65BCA" w:rsidRDefault="00F65BCA">
            <w:pPr>
              <w:pStyle w:val="TableParagraph"/>
              <w:rPr>
                <w:rFonts w:ascii="Times New Roman"/>
                <w:sz w:val="2"/>
              </w:rPr>
            </w:pPr>
          </w:p>
        </w:tc>
        <w:tc>
          <w:tcPr>
            <w:tcW w:w="50" w:type="dxa"/>
            <w:vMerge/>
            <w:tcBorders>
              <w:top w:val="nil"/>
              <w:bottom w:val="nil"/>
            </w:tcBorders>
          </w:tcPr>
          <w:p w14:paraId="4633D19D" w14:textId="77777777" w:rsidR="00F65BCA" w:rsidRDefault="00F65BCA">
            <w:pPr>
              <w:rPr>
                <w:sz w:val="2"/>
                <w:szCs w:val="2"/>
              </w:rPr>
            </w:pPr>
          </w:p>
        </w:tc>
        <w:tc>
          <w:tcPr>
            <w:tcW w:w="288" w:type="dxa"/>
            <w:tcBorders>
              <w:top w:val="nil"/>
            </w:tcBorders>
          </w:tcPr>
          <w:p w14:paraId="4CFD3CCA" w14:textId="77777777" w:rsidR="00F65BCA" w:rsidRDefault="00F65BCA">
            <w:pPr>
              <w:pStyle w:val="TableParagraph"/>
              <w:rPr>
                <w:rFonts w:ascii="Times New Roman"/>
                <w:sz w:val="2"/>
              </w:rPr>
            </w:pPr>
          </w:p>
        </w:tc>
        <w:tc>
          <w:tcPr>
            <w:tcW w:w="288" w:type="dxa"/>
            <w:tcBorders>
              <w:top w:val="nil"/>
            </w:tcBorders>
          </w:tcPr>
          <w:p w14:paraId="2A11F989" w14:textId="77777777" w:rsidR="00F65BCA" w:rsidRDefault="00F65BCA">
            <w:pPr>
              <w:pStyle w:val="TableParagraph"/>
              <w:rPr>
                <w:rFonts w:ascii="Times New Roman"/>
                <w:sz w:val="2"/>
              </w:rPr>
            </w:pPr>
          </w:p>
        </w:tc>
        <w:tc>
          <w:tcPr>
            <w:tcW w:w="288" w:type="dxa"/>
            <w:tcBorders>
              <w:top w:val="nil"/>
            </w:tcBorders>
          </w:tcPr>
          <w:p w14:paraId="0E9EC2AE" w14:textId="77777777" w:rsidR="00F65BCA" w:rsidRDefault="00F65BCA">
            <w:pPr>
              <w:pStyle w:val="TableParagraph"/>
              <w:rPr>
                <w:rFonts w:ascii="Times New Roman"/>
                <w:sz w:val="2"/>
              </w:rPr>
            </w:pPr>
          </w:p>
        </w:tc>
        <w:tc>
          <w:tcPr>
            <w:tcW w:w="288" w:type="dxa"/>
            <w:tcBorders>
              <w:top w:val="nil"/>
            </w:tcBorders>
          </w:tcPr>
          <w:p w14:paraId="7B9F52BE" w14:textId="77777777" w:rsidR="00F65BCA" w:rsidRDefault="00F65BCA">
            <w:pPr>
              <w:pStyle w:val="TableParagraph"/>
              <w:rPr>
                <w:rFonts w:ascii="Times New Roman"/>
                <w:sz w:val="2"/>
              </w:rPr>
            </w:pPr>
          </w:p>
        </w:tc>
        <w:tc>
          <w:tcPr>
            <w:tcW w:w="288" w:type="dxa"/>
            <w:tcBorders>
              <w:top w:val="nil"/>
            </w:tcBorders>
          </w:tcPr>
          <w:p w14:paraId="2A363272" w14:textId="77777777" w:rsidR="00F65BCA" w:rsidRDefault="00F65BCA">
            <w:pPr>
              <w:pStyle w:val="TableParagraph"/>
              <w:rPr>
                <w:rFonts w:ascii="Times New Roman"/>
                <w:sz w:val="2"/>
              </w:rPr>
            </w:pPr>
          </w:p>
        </w:tc>
        <w:tc>
          <w:tcPr>
            <w:tcW w:w="288" w:type="dxa"/>
            <w:tcBorders>
              <w:top w:val="nil"/>
            </w:tcBorders>
          </w:tcPr>
          <w:p w14:paraId="7C39F6C8" w14:textId="77777777" w:rsidR="00F65BCA" w:rsidRDefault="00F65BCA">
            <w:pPr>
              <w:pStyle w:val="TableParagraph"/>
              <w:rPr>
                <w:rFonts w:ascii="Times New Roman"/>
                <w:sz w:val="2"/>
              </w:rPr>
            </w:pPr>
          </w:p>
        </w:tc>
        <w:tc>
          <w:tcPr>
            <w:tcW w:w="288" w:type="dxa"/>
            <w:tcBorders>
              <w:top w:val="nil"/>
            </w:tcBorders>
          </w:tcPr>
          <w:p w14:paraId="56BD5FC6" w14:textId="77777777" w:rsidR="00F65BCA" w:rsidRDefault="00F65BCA">
            <w:pPr>
              <w:pStyle w:val="TableParagraph"/>
              <w:rPr>
                <w:rFonts w:ascii="Times New Roman"/>
                <w:sz w:val="2"/>
              </w:rPr>
            </w:pPr>
          </w:p>
        </w:tc>
        <w:tc>
          <w:tcPr>
            <w:tcW w:w="288" w:type="dxa"/>
            <w:tcBorders>
              <w:top w:val="nil"/>
            </w:tcBorders>
          </w:tcPr>
          <w:p w14:paraId="3A10185B" w14:textId="77777777" w:rsidR="00F65BCA" w:rsidRDefault="00F65BCA">
            <w:pPr>
              <w:pStyle w:val="TableParagraph"/>
              <w:rPr>
                <w:rFonts w:ascii="Times New Roman"/>
                <w:sz w:val="2"/>
              </w:rPr>
            </w:pPr>
          </w:p>
        </w:tc>
        <w:tc>
          <w:tcPr>
            <w:tcW w:w="288" w:type="dxa"/>
            <w:tcBorders>
              <w:top w:val="nil"/>
            </w:tcBorders>
          </w:tcPr>
          <w:p w14:paraId="16832457" w14:textId="77777777" w:rsidR="00F65BCA" w:rsidRDefault="00F65BCA">
            <w:pPr>
              <w:pStyle w:val="TableParagraph"/>
              <w:rPr>
                <w:rFonts w:ascii="Times New Roman"/>
                <w:sz w:val="2"/>
              </w:rPr>
            </w:pPr>
          </w:p>
        </w:tc>
        <w:tc>
          <w:tcPr>
            <w:tcW w:w="288" w:type="dxa"/>
            <w:tcBorders>
              <w:top w:val="nil"/>
            </w:tcBorders>
          </w:tcPr>
          <w:p w14:paraId="4015E9CF" w14:textId="77777777" w:rsidR="00F65BCA" w:rsidRDefault="00F65BCA">
            <w:pPr>
              <w:pStyle w:val="TableParagraph"/>
              <w:rPr>
                <w:rFonts w:ascii="Times New Roman"/>
                <w:sz w:val="2"/>
              </w:rPr>
            </w:pPr>
          </w:p>
        </w:tc>
        <w:tc>
          <w:tcPr>
            <w:tcW w:w="288" w:type="dxa"/>
            <w:tcBorders>
              <w:top w:val="nil"/>
            </w:tcBorders>
          </w:tcPr>
          <w:p w14:paraId="23B779A0" w14:textId="77777777" w:rsidR="00F65BCA" w:rsidRDefault="00F65BCA">
            <w:pPr>
              <w:pStyle w:val="TableParagraph"/>
              <w:rPr>
                <w:rFonts w:ascii="Times New Roman"/>
                <w:sz w:val="2"/>
              </w:rPr>
            </w:pPr>
          </w:p>
        </w:tc>
        <w:tc>
          <w:tcPr>
            <w:tcW w:w="288" w:type="dxa"/>
            <w:tcBorders>
              <w:top w:val="nil"/>
            </w:tcBorders>
          </w:tcPr>
          <w:p w14:paraId="50C1B748" w14:textId="77777777" w:rsidR="00F65BCA" w:rsidRDefault="00F65BCA">
            <w:pPr>
              <w:pStyle w:val="TableParagraph"/>
              <w:rPr>
                <w:rFonts w:ascii="Times New Roman"/>
                <w:sz w:val="2"/>
              </w:rPr>
            </w:pPr>
          </w:p>
        </w:tc>
        <w:tc>
          <w:tcPr>
            <w:tcW w:w="288" w:type="dxa"/>
            <w:tcBorders>
              <w:top w:val="nil"/>
            </w:tcBorders>
          </w:tcPr>
          <w:p w14:paraId="32A11BED" w14:textId="77777777" w:rsidR="00F65BCA" w:rsidRDefault="00F65BCA">
            <w:pPr>
              <w:pStyle w:val="TableParagraph"/>
              <w:rPr>
                <w:rFonts w:ascii="Times New Roman"/>
                <w:sz w:val="2"/>
              </w:rPr>
            </w:pPr>
          </w:p>
        </w:tc>
      </w:tr>
      <w:tr w:rsidR="00F65BCA" w14:paraId="11493980" w14:textId="77777777">
        <w:trPr>
          <w:trHeight w:val="52"/>
        </w:trPr>
        <w:tc>
          <w:tcPr>
            <w:tcW w:w="526" w:type="dxa"/>
            <w:vMerge w:val="restart"/>
            <w:tcBorders>
              <w:top w:val="nil"/>
              <w:bottom w:val="nil"/>
            </w:tcBorders>
            <w:shd w:val="clear" w:color="auto" w:fill="FCE4D6"/>
          </w:tcPr>
          <w:p w14:paraId="7C323091" w14:textId="77777777" w:rsidR="00F65BCA" w:rsidRDefault="00F65BCA">
            <w:pPr>
              <w:pStyle w:val="TableParagraph"/>
              <w:rPr>
                <w:rFonts w:ascii="Times New Roman"/>
                <w:sz w:val="2"/>
              </w:rPr>
            </w:pPr>
          </w:p>
        </w:tc>
        <w:tc>
          <w:tcPr>
            <w:tcW w:w="732" w:type="dxa"/>
            <w:tcBorders>
              <w:top w:val="nil"/>
              <w:bottom w:val="nil"/>
            </w:tcBorders>
            <w:shd w:val="clear" w:color="auto" w:fill="FCE4D6"/>
          </w:tcPr>
          <w:p w14:paraId="2C7E3645" w14:textId="77777777" w:rsidR="00F65BCA" w:rsidRDefault="00216117">
            <w:pPr>
              <w:pStyle w:val="TableParagraph"/>
              <w:spacing w:before="16" w:line="17" w:lineRule="exact"/>
              <w:ind w:left="18" w:right="16"/>
              <w:jc w:val="center"/>
              <w:rPr>
                <w:sz w:val="3"/>
              </w:rPr>
            </w:pPr>
            <w:r>
              <w:rPr>
                <w:w w:val="105"/>
                <w:sz w:val="3"/>
              </w:rPr>
              <w:t>Mercedes</w:t>
            </w:r>
          </w:p>
        </w:tc>
        <w:tc>
          <w:tcPr>
            <w:tcW w:w="958" w:type="dxa"/>
            <w:gridSpan w:val="2"/>
            <w:tcBorders>
              <w:bottom w:val="nil"/>
            </w:tcBorders>
            <w:shd w:val="clear" w:color="auto" w:fill="FCE4D6"/>
          </w:tcPr>
          <w:p w14:paraId="00F4B7D5" w14:textId="77777777" w:rsidR="00F65BCA" w:rsidRDefault="00216117">
            <w:pPr>
              <w:pStyle w:val="TableParagraph"/>
              <w:spacing w:before="13" w:line="19" w:lineRule="exact"/>
              <w:ind w:left="4"/>
              <w:rPr>
                <w:sz w:val="3"/>
              </w:rPr>
            </w:pPr>
            <w:r>
              <w:rPr>
                <w:w w:val="105"/>
                <w:sz w:val="3"/>
              </w:rPr>
              <w:t>ATEGO ŘADA 1000; ATEGO ŘADA 1200; ATEGO ŘADA 1300;</w:t>
            </w:r>
          </w:p>
        </w:tc>
        <w:tc>
          <w:tcPr>
            <w:tcW w:w="576" w:type="dxa"/>
            <w:tcBorders>
              <w:bottom w:val="nil"/>
            </w:tcBorders>
            <w:shd w:val="clear" w:color="auto" w:fill="FCE4D6"/>
          </w:tcPr>
          <w:p w14:paraId="473D13C9" w14:textId="77777777" w:rsidR="00F65BCA" w:rsidRDefault="00F65BCA">
            <w:pPr>
              <w:pStyle w:val="TableParagraph"/>
              <w:rPr>
                <w:rFonts w:ascii="Times New Roman"/>
                <w:sz w:val="2"/>
              </w:rPr>
            </w:pPr>
          </w:p>
        </w:tc>
        <w:tc>
          <w:tcPr>
            <w:tcW w:w="576" w:type="dxa"/>
            <w:tcBorders>
              <w:bottom w:val="nil"/>
            </w:tcBorders>
            <w:shd w:val="clear" w:color="auto" w:fill="FCE4D6"/>
          </w:tcPr>
          <w:p w14:paraId="0D2CE2B6" w14:textId="77777777" w:rsidR="00F65BCA" w:rsidRDefault="00F65BCA">
            <w:pPr>
              <w:pStyle w:val="TableParagraph"/>
              <w:rPr>
                <w:rFonts w:ascii="Times New Roman"/>
                <w:sz w:val="2"/>
              </w:rPr>
            </w:pPr>
          </w:p>
        </w:tc>
        <w:tc>
          <w:tcPr>
            <w:tcW w:w="50" w:type="dxa"/>
            <w:vMerge/>
            <w:tcBorders>
              <w:top w:val="nil"/>
              <w:bottom w:val="nil"/>
            </w:tcBorders>
          </w:tcPr>
          <w:p w14:paraId="0E021326" w14:textId="77777777" w:rsidR="00F65BCA" w:rsidRDefault="00F65BCA">
            <w:pPr>
              <w:rPr>
                <w:sz w:val="2"/>
                <w:szCs w:val="2"/>
              </w:rPr>
            </w:pPr>
          </w:p>
        </w:tc>
        <w:tc>
          <w:tcPr>
            <w:tcW w:w="288" w:type="dxa"/>
            <w:tcBorders>
              <w:bottom w:val="nil"/>
            </w:tcBorders>
          </w:tcPr>
          <w:p w14:paraId="00A540AC" w14:textId="77777777" w:rsidR="00F65BCA" w:rsidRDefault="00F65BCA">
            <w:pPr>
              <w:pStyle w:val="TableParagraph"/>
              <w:rPr>
                <w:rFonts w:ascii="Times New Roman"/>
                <w:sz w:val="2"/>
              </w:rPr>
            </w:pPr>
          </w:p>
        </w:tc>
        <w:tc>
          <w:tcPr>
            <w:tcW w:w="288" w:type="dxa"/>
            <w:tcBorders>
              <w:bottom w:val="nil"/>
            </w:tcBorders>
          </w:tcPr>
          <w:p w14:paraId="5EAEABDF" w14:textId="77777777" w:rsidR="00F65BCA" w:rsidRDefault="00F65BCA">
            <w:pPr>
              <w:pStyle w:val="TableParagraph"/>
              <w:rPr>
                <w:rFonts w:ascii="Times New Roman"/>
                <w:sz w:val="2"/>
              </w:rPr>
            </w:pPr>
          </w:p>
        </w:tc>
        <w:tc>
          <w:tcPr>
            <w:tcW w:w="288" w:type="dxa"/>
            <w:tcBorders>
              <w:bottom w:val="nil"/>
            </w:tcBorders>
          </w:tcPr>
          <w:p w14:paraId="6E047C5A" w14:textId="77777777" w:rsidR="00F65BCA" w:rsidRDefault="00F65BCA">
            <w:pPr>
              <w:pStyle w:val="TableParagraph"/>
              <w:rPr>
                <w:rFonts w:ascii="Times New Roman"/>
                <w:sz w:val="2"/>
              </w:rPr>
            </w:pPr>
          </w:p>
        </w:tc>
        <w:tc>
          <w:tcPr>
            <w:tcW w:w="288" w:type="dxa"/>
            <w:tcBorders>
              <w:bottom w:val="nil"/>
            </w:tcBorders>
          </w:tcPr>
          <w:p w14:paraId="3D23750B" w14:textId="77777777" w:rsidR="00F65BCA" w:rsidRDefault="00F65BCA">
            <w:pPr>
              <w:pStyle w:val="TableParagraph"/>
              <w:rPr>
                <w:rFonts w:ascii="Times New Roman"/>
                <w:sz w:val="2"/>
              </w:rPr>
            </w:pPr>
          </w:p>
        </w:tc>
        <w:tc>
          <w:tcPr>
            <w:tcW w:w="288" w:type="dxa"/>
            <w:tcBorders>
              <w:bottom w:val="nil"/>
            </w:tcBorders>
          </w:tcPr>
          <w:p w14:paraId="144DF3A7" w14:textId="77777777" w:rsidR="00F65BCA" w:rsidRDefault="00F65BCA">
            <w:pPr>
              <w:pStyle w:val="TableParagraph"/>
              <w:rPr>
                <w:rFonts w:ascii="Times New Roman"/>
                <w:sz w:val="2"/>
              </w:rPr>
            </w:pPr>
          </w:p>
        </w:tc>
        <w:tc>
          <w:tcPr>
            <w:tcW w:w="288" w:type="dxa"/>
            <w:tcBorders>
              <w:bottom w:val="nil"/>
            </w:tcBorders>
          </w:tcPr>
          <w:p w14:paraId="0D88FA2E" w14:textId="77777777" w:rsidR="00F65BCA" w:rsidRDefault="00F65BCA">
            <w:pPr>
              <w:pStyle w:val="TableParagraph"/>
              <w:rPr>
                <w:rFonts w:ascii="Times New Roman"/>
                <w:sz w:val="2"/>
              </w:rPr>
            </w:pPr>
          </w:p>
        </w:tc>
        <w:tc>
          <w:tcPr>
            <w:tcW w:w="288" w:type="dxa"/>
            <w:tcBorders>
              <w:bottom w:val="nil"/>
            </w:tcBorders>
          </w:tcPr>
          <w:p w14:paraId="5AF26624" w14:textId="77777777" w:rsidR="00F65BCA" w:rsidRDefault="00F65BCA">
            <w:pPr>
              <w:pStyle w:val="TableParagraph"/>
              <w:rPr>
                <w:rFonts w:ascii="Times New Roman"/>
                <w:sz w:val="2"/>
              </w:rPr>
            </w:pPr>
          </w:p>
        </w:tc>
        <w:tc>
          <w:tcPr>
            <w:tcW w:w="288" w:type="dxa"/>
            <w:tcBorders>
              <w:bottom w:val="nil"/>
            </w:tcBorders>
          </w:tcPr>
          <w:p w14:paraId="20454C18" w14:textId="77777777" w:rsidR="00F65BCA" w:rsidRDefault="00F65BCA">
            <w:pPr>
              <w:pStyle w:val="TableParagraph"/>
              <w:rPr>
                <w:rFonts w:ascii="Times New Roman"/>
                <w:sz w:val="2"/>
              </w:rPr>
            </w:pPr>
          </w:p>
        </w:tc>
        <w:tc>
          <w:tcPr>
            <w:tcW w:w="288" w:type="dxa"/>
            <w:tcBorders>
              <w:bottom w:val="nil"/>
            </w:tcBorders>
          </w:tcPr>
          <w:p w14:paraId="1D850678" w14:textId="77777777" w:rsidR="00F65BCA" w:rsidRDefault="00F65BCA">
            <w:pPr>
              <w:pStyle w:val="TableParagraph"/>
              <w:rPr>
                <w:rFonts w:ascii="Times New Roman"/>
                <w:sz w:val="2"/>
              </w:rPr>
            </w:pPr>
          </w:p>
        </w:tc>
        <w:tc>
          <w:tcPr>
            <w:tcW w:w="288" w:type="dxa"/>
            <w:tcBorders>
              <w:bottom w:val="nil"/>
            </w:tcBorders>
          </w:tcPr>
          <w:p w14:paraId="1355E397" w14:textId="77777777" w:rsidR="00F65BCA" w:rsidRDefault="00F65BCA">
            <w:pPr>
              <w:pStyle w:val="TableParagraph"/>
              <w:rPr>
                <w:rFonts w:ascii="Times New Roman"/>
                <w:sz w:val="2"/>
              </w:rPr>
            </w:pPr>
          </w:p>
        </w:tc>
        <w:tc>
          <w:tcPr>
            <w:tcW w:w="288" w:type="dxa"/>
            <w:tcBorders>
              <w:bottom w:val="nil"/>
            </w:tcBorders>
          </w:tcPr>
          <w:p w14:paraId="6108E1F5" w14:textId="77777777" w:rsidR="00F65BCA" w:rsidRDefault="00F65BCA">
            <w:pPr>
              <w:pStyle w:val="TableParagraph"/>
              <w:rPr>
                <w:rFonts w:ascii="Times New Roman"/>
                <w:sz w:val="2"/>
              </w:rPr>
            </w:pPr>
          </w:p>
        </w:tc>
        <w:tc>
          <w:tcPr>
            <w:tcW w:w="288" w:type="dxa"/>
            <w:tcBorders>
              <w:bottom w:val="nil"/>
            </w:tcBorders>
          </w:tcPr>
          <w:p w14:paraId="2CD1667F" w14:textId="77777777" w:rsidR="00F65BCA" w:rsidRDefault="00F65BCA">
            <w:pPr>
              <w:pStyle w:val="TableParagraph"/>
              <w:rPr>
                <w:rFonts w:ascii="Times New Roman"/>
                <w:sz w:val="2"/>
              </w:rPr>
            </w:pPr>
          </w:p>
        </w:tc>
        <w:tc>
          <w:tcPr>
            <w:tcW w:w="288" w:type="dxa"/>
            <w:tcBorders>
              <w:bottom w:val="nil"/>
            </w:tcBorders>
          </w:tcPr>
          <w:p w14:paraId="7855DE97" w14:textId="77777777" w:rsidR="00F65BCA" w:rsidRDefault="00F65BCA">
            <w:pPr>
              <w:pStyle w:val="TableParagraph"/>
              <w:rPr>
                <w:rFonts w:ascii="Times New Roman"/>
                <w:sz w:val="2"/>
              </w:rPr>
            </w:pPr>
          </w:p>
        </w:tc>
      </w:tr>
      <w:tr w:rsidR="00F65BCA" w14:paraId="176818B7" w14:textId="77777777">
        <w:trPr>
          <w:trHeight w:val="39"/>
        </w:trPr>
        <w:tc>
          <w:tcPr>
            <w:tcW w:w="526" w:type="dxa"/>
            <w:vMerge/>
            <w:tcBorders>
              <w:top w:val="nil"/>
              <w:bottom w:val="nil"/>
            </w:tcBorders>
            <w:shd w:val="clear" w:color="auto" w:fill="FCE4D6"/>
          </w:tcPr>
          <w:p w14:paraId="412F93AE" w14:textId="77777777" w:rsidR="00F65BCA" w:rsidRDefault="00F65BCA">
            <w:pPr>
              <w:rPr>
                <w:sz w:val="2"/>
                <w:szCs w:val="2"/>
              </w:rPr>
            </w:pPr>
          </w:p>
        </w:tc>
        <w:tc>
          <w:tcPr>
            <w:tcW w:w="732" w:type="dxa"/>
            <w:tcBorders>
              <w:top w:val="nil"/>
              <w:bottom w:val="nil"/>
            </w:tcBorders>
            <w:shd w:val="clear" w:color="auto" w:fill="FCE4D6"/>
          </w:tcPr>
          <w:p w14:paraId="59414C2E" w14:textId="77777777" w:rsidR="00F65BCA" w:rsidRDefault="00F65BCA">
            <w:pPr>
              <w:pStyle w:val="TableParagraph"/>
              <w:rPr>
                <w:rFonts w:ascii="Times New Roman"/>
                <w:sz w:val="2"/>
              </w:rPr>
            </w:pPr>
          </w:p>
        </w:tc>
        <w:tc>
          <w:tcPr>
            <w:tcW w:w="958" w:type="dxa"/>
            <w:gridSpan w:val="2"/>
            <w:tcBorders>
              <w:top w:val="nil"/>
              <w:bottom w:val="nil"/>
            </w:tcBorders>
            <w:shd w:val="clear" w:color="auto" w:fill="FCE4D6"/>
          </w:tcPr>
          <w:p w14:paraId="391475F9" w14:textId="77777777" w:rsidR="00F65BCA" w:rsidRDefault="00216117">
            <w:pPr>
              <w:pStyle w:val="TableParagraph"/>
              <w:spacing w:before="2" w:line="18" w:lineRule="exact"/>
              <w:ind w:left="4"/>
              <w:rPr>
                <w:sz w:val="3"/>
              </w:rPr>
            </w:pPr>
            <w:r>
              <w:rPr>
                <w:w w:val="105"/>
                <w:sz w:val="3"/>
              </w:rPr>
              <w:t>ATEGO ŘADA 1500; ATEGO ŘADA 700; ATEGO ŘADA 800;</w:t>
            </w:r>
          </w:p>
        </w:tc>
        <w:tc>
          <w:tcPr>
            <w:tcW w:w="576" w:type="dxa"/>
            <w:tcBorders>
              <w:top w:val="nil"/>
              <w:bottom w:val="nil"/>
            </w:tcBorders>
            <w:shd w:val="clear" w:color="auto" w:fill="FCE4D6"/>
          </w:tcPr>
          <w:p w14:paraId="60FEB58F"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26882291" w14:textId="77777777" w:rsidR="00F65BCA" w:rsidRDefault="00F65BCA">
            <w:pPr>
              <w:pStyle w:val="TableParagraph"/>
              <w:rPr>
                <w:rFonts w:ascii="Times New Roman"/>
                <w:sz w:val="2"/>
              </w:rPr>
            </w:pPr>
          </w:p>
        </w:tc>
        <w:tc>
          <w:tcPr>
            <w:tcW w:w="50" w:type="dxa"/>
            <w:vMerge/>
            <w:tcBorders>
              <w:top w:val="nil"/>
              <w:bottom w:val="nil"/>
            </w:tcBorders>
          </w:tcPr>
          <w:p w14:paraId="4FA2D291" w14:textId="77777777" w:rsidR="00F65BCA" w:rsidRDefault="00F65BCA">
            <w:pPr>
              <w:rPr>
                <w:sz w:val="2"/>
                <w:szCs w:val="2"/>
              </w:rPr>
            </w:pPr>
          </w:p>
        </w:tc>
        <w:tc>
          <w:tcPr>
            <w:tcW w:w="288" w:type="dxa"/>
            <w:tcBorders>
              <w:top w:val="nil"/>
              <w:bottom w:val="nil"/>
            </w:tcBorders>
          </w:tcPr>
          <w:p w14:paraId="3474DFDD" w14:textId="77777777" w:rsidR="00F65BCA" w:rsidRDefault="00F65BCA">
            <w:pPr>
              <w:pStyle w:val="TableParagraph"/>
              <w:rPr>
                <w:rFonts w:ascii="Times New Roman"/>
                <w:sz w:val="2"/>
              </w:rPr>
            </w:pPr>
          </w:p>
        </w:tc>
        <w:tc>
          <w:tcPr>
            <w:tcW w:w="288" w:type="dxa"/>
            <w:tcBorders>
              <w:top w:val="nil"/>
              <w:bottom w:val="nil"/>
            </w:tcBorders>
          </w:tcPr>
          <w:p w14:paraId="02BCFD4D" w14:textId="77777777" w:rsidR="00F65BCA" w:rsidRDefault="00F65BCA">
            <w:pPr>
              <w:pStyle w:val="TableParagraph"/>
              <w:rPr>
                <w:rFonts w:ascii="Times New Roman"/>
                <w:sz w:val="2"/>
              </w:rPr>
            </w:pPr>
          </w:p>
        </w:tc>
        <w:tc>
          <w:tcPr>
            <w:tcW w:w="288" w:type="dxa"/>
            <w:tcBorders>
              <w:top w:val="nil"/>
              <w:bottom w:val="nil"/>
            </w:tcBorders>
          </w:tcPr>
          <w:p w14:paraId="274E288C" w14:textId="77777777" w:rsidR="00F65BCA" w:rsidRDefault="00F65BCA">
            <w:pPr>
              <w:pStyle w:val="TableParagraph"/>
              <w:rPr>
                <w:rFonts w:ascii="Times New Roman"/>
                <w:sz w:val="2"/>
              </w:rPr>
            </w:pPr>
          </w:p>
        </w:tc>
        <w:tc>
          <w:tcPr>
            <w:tcW w:w="288" w:type="dxa"/>
            <w:tcBorders>
              <w:top w:val="nil"/>
              <w:bottom w:val="nil"/>
            </w:tcBorders>
          </w:tcPr>
          <w:p w14:paraId="7C7657D4" w14:textId="77777777" w:rsidR="00F65BCA" w:rsidRDefault="00F65BCA">
            <w:pPr>
              <w:pStyle w:val="TableParagraph"/>
              <w:rPr>
                <w:rFonts w:ascii="Times New Roman"/>
                <w:sz w:val="2"/>
              </w:rPr>
            </w:pPr>
          </w:p>
        </w:tc>
        <w:tc>
          <w:tcPr>
            <w:tcW w:w="288" w:type="dxa"/>
            <w:tcBorders>
              <w:top w:val="nil"/>
              <w:bottom w:val="nil"/>
            </w:tcBorders>
          </w:tcPr>
          <w:p w14:paraId="6314501B" w14:textId="77777777" w:rsidR="00F65BCA" w:rsidRDefault="00F65BCA">
            <w:pPr>
              <w:pStyle w:val="TableParagraph"/>
              <w:rPr>
                <w:rFonts w:ascii="Times New Roman"/>
                <w:sz w:val="2"/>
              </w:rPr>
            </w:pPr>
          </w:p>
        </w:tc>
        <w:tc>
          <w:tcPr>
            <w:tcW w:w="288" w:type="dxa"/>
            <w:tcBorders>
              <w:top w:val="nil"/>
              <w:bottom w:val="nil"/>
            </w:tcBorders>
          </w:tcPr>
          <w:p w14:paraId="1D5211D3" w14:textId="77777777" w:rsidR="00F65BCA" w:rsidRDefault="00F65BCA">
            <w:pPr>
              <w:pStyle w:val="TableParagraph"/>
              <w:rPr>
                <w:rFonts w:ascii="Times New Roman"/>
                <w:sz w:val="2"/>
              </w:rPr>
            </w:pPr>
          </w:p>
        </w:tc>
        <w:tc>
          <w:tcPr>
            <w:tcW w:w="288" w:type="dxa"/>
            <w:tcBorders>
              <w:top w:val="nil"/>
              <w:bottom w:val="nil"/>
            </w:tcBorders>
          </w:tcPr>
          <w:p w14:paraId="70828259" w14:textId="77777777" w:rsidR="00F65BCA" w:rsidRDefault="00F65BCA">
            <w:pPr>
              <w:pStyle w:val="TableParagraph"/>
              <w:rPr>
                <w:rFonts w:ascii="Times New Roman"/>
                <w:sz w:val="2"/>
              </w:rPr>
            </w:pPr>
          </w:p>
        </w:tc>
        <w:tc>
          <w:tcPr>
            <w:tcW w:w="288" w:type="dxa"/>
            <w:tcBorders>
              <w:top w:val="nil"/>
              <w:bottom w:val="nil"/>
            </w:tcBorders>
          </w:tcPr>
          <w:p w14:paraId="59CF8119" w14:textId="77777777" w:rsidR="00F65BCA" w:rsidRDefault="00F65BCA">
            <w:pPr>
              <w:pStyle w:val="TableParagraph"/>
              <w:rPr>
                <w:rFonts w:ascii="Times New Roman"/>
                <w:sz w:val="2"/>
              </w:rPr>
            </w:pPr>
          </w:p>
        </w:tc>
        <w:tc>
          <w:tcPr>
            <w:tcW w:w="288" w:type="dxa"/>
            <w:tcBorders>
              <w:top w:val="nil"/>
              <w:bottom w:val="nil"/>
            </w:tcBorders>
          </w:tcPr>
          <w:p w14:paraId="08988429" w14:textId="77777777" w:rsidR="00F65BCA" w:rsidRDefault="00F65BCA">
            <w:pPr>
              <w:pStyle w:val="TableParagraph"/>
              <w:rPr>
                <w:rFonts w:ascii="Times New Roman"/>
                <w:sz w:val="2"/>
              </w:rPr>
            </w:pPr>
          </w:p>
        </w:tc>
        <w:tc>
          <w:tcPr>
            <w:tcW w:w="288" w:type="dxa"/>
            <w:tcBorders>
              <w:top w:val="nil"/>
              <w:bottom w:val="nil"/>
            </w:tcBorders>
          </w:tcPr>
          <w:p w14:paraId="5E12D7D5" w14:textId="77777777" w:rsidR="00F65BCA" w:rsidRDefault="00F65BCA">
            <w:pPr>
              <w:pStyle w:val="TableParagraph"/>
              <w:rPr>
                <w:rFonts w:ascii="Times New Roman"/>
                <w:sz w:val="2"/>
              </w:rPr>
            </w:pPr>
          </w:p>
        </w:tc>
        <w:tc>
          <w:tcPr>
            <w:tcW w:w="288" w:type="dxa"/>
            <w:tcBorders>
              <w:top w:val="nil"/>
              <w:bottom w:val="nil"/>
            </w:tcBorders>
          </w:tcPr>
          <w:p w14:paraId="13EEF666" w14:textId="77777777" w:rsidR="00F65BCA" w:rsidRDefault="00F65BCA">
            <w:pPr>
              <w:pStyle w:val="TableParagraph"/>
              <w:rPr>
                <w:rFonts w:ascii="Times New Roman"/>
                <w:sz w:val="2"/>
              </w:rPr>
            </w:pPr>
          </w:p>
        </w:tc>
        <w:tc>
          <w:tcPr>
            <w:tcW w:w="288" w:type="dxa"/>
            <w:tcBorders>
              <w:top w:val="nil"/>
              <w:bottom w:val="nil"/>
            </w:tcBorders>
          </w:tcPr>
          <w:p w14:paraId="516F6FBC" w14:textId="77777777" w:rsidR="00F65BCA" w:rsidRDefault="00F65BCA">
            <w:pPr>
              <w:pStyle w:val="TableParagraph"/>
              <w:rPr>
                <w:rFonts w:ascii="Times New Roman"/>
                <w:sz w:val="2"/>
              </w:rPr>
            </w:pPr>
          </w:p>
        </w:tc>
        <w:tc>
          <w:tcPr>
            <w:tcW w:w="288" w:type="dxa"/>
            <w:tcBorders>
              <w:top w:val="nil"/>
              <w:bottom w:val="nil"/>
            </w:tcBorders>
          </w:tcPr>
          <w:p w14:paraId="3B1E607B" w14:textId="77777777" w:rsidR="00F65BCA" w:rsidRDefault="00F65BCA">
            <w:pPr>
              <w:pStyle w:val="TableParagraph"/>
              <w:rPr>
                <w:rFonts w:ascii="Times New Roman"/>
                <w:sz w:val="2"/>
              </w:rPr>
            </w:pPr>
          </w:p>
        </w:tc>
      </w:tr>
      <w:tr w:rsidR="00F65BCA" w14:paraId="5C7EB86B" w14:textId="77777777">
        <w:trPr>
          <w:trHeight w:val="81"/>
        </w:trPr>
        <w:tc>
          <w:tcPr>
            <w:tcW w:w="526" w:type="dxa"/>
            <w:vMerge/>
            <w:tcBorders>
              <w:top w:val="nil"/>
              <w:bottom w:val="nil"/>
            </w:tcBorders>
            <w:shd w:val="clear" w:color="auto" w:fill="FCE4D6"/>
          </w:tcPr>
          <w:p w14:paraId="0F88E9A4" w14:textId="77777777" w:rsidR="00F65BCA" w:rsidRDefault="00F65BCA">
            <w:pPr>
              <w:rPr>
                <w:sz w:val="2"/>
                <w:szCs w:val="2"/>
              </w:rPr>
            </w:pPr>
          </w:p>
        </w:tc>
        <w:tc>
          <w:tcPr>
            <w:tcW w:w="732" w:type="dxa"/>
            <w:tcBorders>
              <w:top w:val="nil"/>
              <w:bottom w:val="nil"/>
            </w:tcBorders>
            <w:shd w:val="clear" w:color="auto" w:fill="FCE4D6"/>
          </w:tcPr>
          <w:p w14:paraId="12780528" w14:textId="77777777" w:rsidR="00F65BCA" w:rsidRDefault="00F65BCA">
            <w:pPr>
              <w:pStyle w:val="TableParagraph"/>
              <w:rPr>
                <w:rFonts w:ascii="Times New Roman"/>
                <w:sz w:val="2"/>
              </w:rPr>
            </w:pPr>
          </w:p>
        </w:tc>
        <w:tc>
          <w:tcPr>
            <w:tcW w:w="958" w:type="dxa"/>
            <w:gridSpan w:val="2"/>
            <w:tcBorders>
              <w:top w:val="nil"/>
              <w:bottom w:val="nil"/>
            </w:tcBorders>
            <w:shd w:val="clear" w:color="auto" w:fill="FCE4D6"/>
          </w:tcPr>
          <w:p w14:paraId="216A9B70" w14:textId="77777777" w:rsidR="00F65BCA" w:rsidRDefault="00216117">
            <w:pPr>
              <w:pStyle w:val="TableParagraph"/>
              <w:spacing w:before="3"/>
              <w:ind w:left="4"/>
              <w:rPr>
                <w:sz w:val="3"/>
              </w:rPr>
            </w:pPr>
            <w:r>
              <w:rPr>
                <w:w w:val="105"/>
                <w:sz w:val="3"/>
              </w:rPr>
              <w:t>ATEGO</w:t>
            </w:r>
            <w:r>
              <w:rPr>
                <w:spacing w:val="-3"/>
                <w:w w:val="105"/>
                <w:sz w:val="3"/>
              </w:rPr>
              <w:t xml:space="preserve"> </w:t>
            </w:r>
            <w:r>
              <w:rPr>
                <w:w w:val="105"/>
                <w:sz w:val="3"/>
              </w:rPr>
              <w:t>ŘADA</w:t>
            </w:r>
            <w:r>
              <w:rPr>
                <w:spacing w:val="-3"/>
                <w:w w:val="105"/>
                <w:sz w:val="3"/>
              </w:rPr>
              <w:t xml:space="preserve"> </w:t>
            </w:r>
            <w:r>
              <w:rPr>
                <w:w w:val="105"/>
                <w:sz w:val="3"/>
              </w:rPr>
              <w:t>900;</w:t>
            </w:r>
            <w:r>
              <w:rPr>
                <w:spacing w:val="-2"/>
                <w:w w:val="105"/>
                <w:sz w:val="3"/>
              </w:rPr>
              <w:t xml:space="preserve"> </w:t>
            </w:r>
            <w:r>
              <w:rPr>
                <w:w w:val="105"/>
                <w:sz w:val="3"/>
              </w:rPr>
              <w:t>JINÉ;</w:t>
            </w:r>
            <w:r>
              <w:rPr>
                <w:spacing w:val="-2"/>
                <w:w w:val="105"/>
                <w:sz w:val="3"/>
              </w:rPr>
              <w:t xml:space="preserve"> </w:t>
            </w:r>
            <w:r>
              <w:rPr>
                <w:w w:val="105"/>
                <w:sz w:val="3"/>
              </w:rPr>
              <w:t>ŘADA</w:t>
            </w:r>
            <w:r>
              <w:rPr>
                <w:spacing w:val="-3"/>
                <w:w w:val="105"/>
                <w:sz w:val="3"/>
              </w:rPr>
              <w:t xml:space="preserve"> </w:t>
            </w:r>
            <w:r>
              <w:rPr>
                <w:w w:val="105"/>
                <w:sz w:val="3"/>
              </w:rPr>
              <w:t>LK</w:t>
            </w:r>
            <w:r>
              <w:rPr>
                <w:spacing w:val="-2"/>
                <w:w w:val="105"/>
                <w:sz w:val="3"/>
              </w:rPr>
              <w:t xml:space="preserve"> </w:t>
            </w:r>
            <w:r>
              <w:rPr>
                <w:w w:val="105"/>
                <w:sz w:val="3"/>
              </w:rPr>
              <w:t>1100;</w:t>
            </w:r>
            <w:r>
              <w:rPr>
                <w:spacing w:val="-2"/>
                <w:w w:val="105"/>
                <w:sz w:val="3"/>
              </w:rPr>
              <w:t xml:space="preserve"> </w:t>
            </w:r>
            <w:r>
              <w:rPr>
                <w:w w:val="105"/>
                <w:sz w:val="3"/>
              </w:rPr>
              <w:t>ŘADA</w:t>
            </w:r>
            <w:r>
              <w:rPr>
                <w:spacing w:val="-3"/>
                <w:w w:val="105"/>
                <w:sz w:val="3"/>
              </w:rPr>
              <w:t xml:space="preserve"> </w:t>
            </w:r>
            <w:r>
              <w:rPr>
                <w:w w:val="105"/>
                <w:sz w:val="3"/>
              </w:rPr>
              <w:t>LK</w:t>
            </w:r>
            <w:r>
              <w:rPr>
                <w:spacing w:val="-2"/>
                <w:w w:val="105"/>
                <w:sz w:val="3"/>
              </w:rPr>
              <w:t xml:space="preserve"> </w:t>
            </w:r>
            <w:r>
              <w:rPr>
                <w:w w:val="105"/>
                <w:sz w:val="3"/>
              </w:rPr>
              <w:t>1300;</w:t>
            </w:r>
            <w:r>
              <w:rPr>
                <w:spacing w:val="-2"/>
                <w:w w:val="105"/>
                <w:sz w:val="3"/>
              </w:rPr>
              <w:t xml:space="preserve"> </w:t>
            </w:r>
            <w:r>
              <w:rPr>
                <w:w w:val="105"/>
                <w:sz w:val="3"/>
              </w:rPr>
              <w:t>ŘADA</w:t>
            </w:r>
          </w:p>
          <w:p w14:paraId="11D9CB3E" w14:textId="77777777" w:rsidR="00F65BCA" w:rsidRDefault="00216117">
            <w:pPr>
              <w:pStyle w:val="TableParagraph"/>
              <w:spacing w:before="6" w:line="18" w:lineRule="exact"/>
              <w:ind w:left="4"/>
              <w:rPr>
                <w:sz w:val="3"/>
              </w:rPr>
            </w:pPr>
            <w:r>
              <w:rPr>
                <w:w w:val="105"/>
                <w:sz w:val="3"/>
              </w:rPr>
              <w:t>LK</w:t>
            </w:r>
            <w:r>
              <w:rPr>
                <w:spacing w:val="-2"/>
                <w:w w:val="105"/>
                <w:sz w:val="3"/>
              </w:rPr>
              <w:t xml:space="preserve"> </w:t>
            </w:r>
            <w:r>
              <w:rPr>
                <w:w w:val="105"/>
                <w:sz w:val="3"/>
              </w:rPr>
              <w:t>1500;</w:t>
            </w:r>
            <w:r>
              <w:rPr>
                <w:spacing w:val="-1"/>
                <w:w w:val="105"/>
                <w:sz w:val="3"/>
              </w:rPr>
              <w:t xml:space="preserve"> </w:t>
            </w:r>
            <w:r>
              <w:rPr>
                <w:w w:val="105"/>
                <w:sz w:val="3"/>
              </w:rPr>
              <w:t>ŘADA</w:t>
            </w:r>
            <w:r>
              <w:rPr>
                <w:spacing w:val="-1"/>
                <w:w w:val="105"/>
                <w:sz w:val="3"/>
              </w:rPr>
              <w:t xml:space="preserve"> </w:t>
            </w:r>
            <w:r>
              <w:rPr>
                <w:w w:val="105"/>
                <w:sz w:val="3"/>
              </w:rPr>
              <w:t>LK</w:t>
            </w:r>
            <w:r>
              <w:rPr>
                <w:spacing w:val="-1"/>
                <w:w w:val="105"/>
                <w:sz w:val="3"/>
              </w:rPr>
              <w:t xml:space="preserve"> </w:t>
            </w:r>
            <w:r>
              <w:rPr>
                <w:w w:val="105"/>
                <w:sz w:val="3"/>
              </w:rPr>
              <w:t>700;</w:t>
            </w:r>
            <w:r>
              <w:rPr>
                <w:spacing w:val="-1"/>
                <w:w w:val="105"/>
                <w:sz w:val="3"/>
              </w:rPr>
              <w:t xml:space="preserve"> </w:t>
            </w:r>
            <w:r>
              <w:rPr>
                <w:w w:val="105"/>
                <w:sz w:val="3"/>
              </w:rPr>
              <w:t>ŘADA</w:t>
            </w:r>
            <w:r>
              <w:rPr>
                <w:spacing w:val="-2"/>
                <w:w w:val="105"/>
                <w:sz w:val="3"/>
              </w:rPr>
              <w:t xml:space="preserve"> </w:t>
            </w:r>
            <w:r>
              <w:rPr>
                <w:w w:val="105"/>
                <w:sz w:val="3"/>
              </w:rPr>
              <w:t>LK</w:t>
            </w:r>
            <w:r>
              <w:rPr>
                <w:spacing w:val="-1"/>
                <w:w w:val="105"/>
                <w:sz w:val="3"/>
              </w:rPr>
              <w:t xml:space="preserve"> </w:t>
            </w:r>
            <w:r>
              <w:rPr>
                <w:w w:val="105"/>
                <w:sz w:val="3"/>
              </w:rPr>
              <w:t>800;</w:t>
            </w:r>
            <w:r>
              <w:rPr>
                <w:spacing w:val="-1"/>
                <w:w w:val="105"/>
                <w:sz w:val="3"/>
              </w:rPr>
              <w:t xml:space="preserve"> </w:t>
            </w:r>
            <w:r>
              <w:rPr>
                <w:w w:val="105"/>
                <w:sz w:val="3"/>
              </w:rPr>
              <w:t>ŘADA</w:t>
            </w:r>
            <w:r>
              <w:rPr>
                <w:spacing w:val="-1"/>
                <w:w w:val="105"/>
                <w:sz w:val="3"/>
              </w:rPr>
              <w:t xml:space="preserve"> </w:t>
            </w:r>
            <w:r>
              <w:rPr>
                <w:w w:val="105"/>
                <w:sz w:val="3"/>
              </w:rPr>
              <w:t>LK</w:t>
            </w:r>
            <w:r>
              <w:rPr>
                <w:spacing w:val="-1"/>
                <w:w w:val="105"/>
                <w:sz w:val="3"/>
              </w:rPr>
              <w:t xml:space="preserve"> </w:t>
            </w:r>
            <w:r>
              <w:rPr>
                <w:w w:val="105"/>
                <w:sz w:val="3"/>
              </w:rPr>
              <w:t>900;</w:t>
            </w:r>
            <w:r>
              <w:rPr>
                <w:spacing w:val="-2"/>
                <w:w w:val="105"/>
                <w:sz w:val="3"/>
              </w:rPr>
              <w:t xml:space="preserve"> </w:t>
            </w:r>
            <w:r>
              <w:rPr>
                <w:w w:val="105"/>
                <w:sz w:val="3"/>
              </w:rPr>
              <w:t>ŘADA</w:t>
            </w:r>
            <w:r>
              <w:rPr>
                <w:spacing w:val="-1"/>
                <w:w w:val="105"/>
                <w:sz w:val="3"/>
              </w:rPr>
              <w:t xml:space="preserve"> </w:t>
            </w:r>
            <w:r>
              <w:rPr>
                <w:w w:val="105"/>
                <w:sz w:val="3"/>
              </w:rPr>
              <w:t>MK</w:t>
            </w:r>
          </w:p>
        </w:tc>
        <w:tc>
          <w:tcPr>
            <w:tcW w:w="576" w:type="dxa"/>
            <w:tcBorders>
              <w:top w:val="nil"/>
              <w:bottom w:val="nil"/>
            </w:tcBorders>
            <w:shd w:val="clear" w:color="auto" w:fill="FCE4D6"/>
          </w:tcPr>
          <w:p w14:paraId="6B56BBCC" w14:textId="77777777" w:rsidR="00F65BCA" w:rsidRDefault="00F65BCA">
            <w:pPr>
              <w:pStyle w:val="TableParagraph"/>
              <w:rPr>
                <w:rFonts w:ascii="Calibri"/>
                <w:sz w:val="2"/>
              </w:rPr>
            </w:pPr>
          </w:p>
          <w:p w14:paraId="796F7CBD" w14:textId="77777777" w:rsidR="00F65BCA" w:rsidRDefault="00216117">
            <w:pPr>
              <w:pStyle w:val="TableParagraph"/>
              <w:ind w:left="3"/>
              <w:jc w:val="center"/>
              <w:rPr>
                <w:sz w:val="3"/>
              </w:rPr>
            </w:pPr>
            <w:r>
              <w:rPr>
                <w:w w:val="103"/>
                <w:sz w:val="3"/>
              </w:rPr>
              <w:t>-</w:t>
            </w:r>
          </w:p>
        </w:tc>
        <w:tc>
          <w:tcPr>
            <w:tcW w:w="576" w:type="dxa"/>
            <w:tcBorders>
              <w:top w:val="nil"/>
              <w:bottom w:val="nil"/>
            </w:tcBorders>
            <w:shd w:val="clear" w:color="auto" w:fill="FCE4D6"/>
          </w:tcPr>
          <w:p w14:paraId="451153C6" w14:textId="77777777" w:rsidR="00F65BCA" w:rsidRDefault="00F65BCA">
            <w:pPr>
              <w:pStyle w:val="TableParagraph"/>
              <w:rPr>
                <w:rFonts w:ascii="Calibri"/>
                <w:sz w:val="2"/>
              </w:rPr>
            </w:pPr>
          </w:p>
          <w:p w14:paraId="44C7A92C"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3AB1D972" w14:textId="77777777" w:rsidR="00F65BCA" w:rsidRDefault="00F65BCA">
            <w:pPr>
              <w:rPr>
                <w:sz w:val="2"/>
                <w:szCs w:val="2"/>
              </w:rPr>
            </w:pPr>
          </w:p>
        </w:tc>
        <w:tc>
          <w:tcPr>
            <w:tcW w:w="288" w:type="dxa"/>
            <w:tcBorders>
              <w:top w:val="nil"/>
              <w:bottom w:val="nil"/>
            </w:tcBorders>
          </w:tcPr>
          <w:p w14:paraId="53EFC9CC" w14:textId="77777777" w:rsidR="00F65BCA" w:rsidRDefault="00F65BCA">
            <w:pPr>
              <w:pStyle w:val="TableParagraph"/>
              <w:rPr>
                <w:rFonts w:ascii="Calibri"/>
                <w:sz w:val="2"/>
              </w:rPr>
            </w:pPr>
          </w:p>
          <w:p w14:paraId="311D79B7" w14:textId="77777777" w:rsidR="00F65BCA" w:rsidRDefault="00216117">
            <w:pPr>
              <w:pStyle w:val="TableParagraph"/>
              <w:ind w:left="24" w:right="24"/>
              <w:jc w:val="center"/>
              <w:rPr>
                <w:sz w:val="3"/>
              </w:rPr>
            </w:pPr>
            <w:r>
              <w:rPr>
                <w:w w:val="105"/>
                <w:sz w:val="3"/>
              </w:rPr>
              <w:t>1,02049000%</w:t>
            </w:r>
          </w:p>
        </w:tc>
        <w:tc>
          <w:tcPr>
            <w:tcW w:w="288" w:type="dxa"/>
            <w:tcBorders>
              <w:top w:val="nil"/>
              <w:bottom w:val="nil"/>
            </w:tcBorders>
          </w:tcPr>
          <w:p w14:paraId="52D33CD1" w14:textId="77777777" w:rsidR="00F65BCA" w:rsidRDefault="00F65BCA">
            <w:pPr>
              <w:pStyle w:val="TableParagraph"/>
              <w:rPr>
                <w:rFonts w:ascii="Calibri"/>
                <w:sz w:val="2"/>
              </w:rPr>
            </w:pPr>
          </w:p>
          <w:p w14:paraId="0CD107E1" w14:textId="77777777" w:rsidR="00F65BCA" w:rsidRDefault="00216117">
            <w:pPr>
              <w:pStyle w:val="TableParagraph"/>
              <w:ind w:left="24" w:right="24"/>
              <w:jc w:val="center"/>
              <w:rPr>
                <w:sz w:val="3"/>
              </w:rPr>
            </w:pPr>
            <w:r>
              <w:rPr>
                <w:w w:val="105"/>
                <w:sz w:val="3"/>
              </w:rPr>
              <w:t>0,91307000%</w:t>
            </w:r>
          </w:p>
        </w:tc>
        <w:tc>
          <w:tcPr>
            <w:tcW w:w="288" w:type="dxa"/>
            <w:tcBorders>
              <w:top w:val="nil"/>
              <w:bottom w:val="nil"/>
            </w:tcBorders>
          </w:tcPr>
          <w:p w14:paraId="4A27F012" w14:textId="77777777" w:rsidR="00F65BCA" w:rsidRDefault="00F65BCA">
            <w:pPr>
              <w:pStyle w:val="TableParagraph"/>
              <w:rPr>
                <w:rFonts w:ascii="Calibri"/>
                <w:sz w:val="2"/>
              </w:rPr>
            </w:pPr>
          </w:p>
          <w:p w14:paraId="7931B841" w14:textId="77777777" w:rsidR="00F65BCA" w:rsidRDefault="00216117">
            <w:pPr>
              <w:pStyle w:val="TableParagraph"/>
              <w:ind w:left="47"/>
              <w:rPr>
                <w:sz w:val="3"/>
              </w:rPr>
            </w:pPr>
            <w:r>
              <w:rPr>
                <w:w w:val="105"/>
                <w:sz w:val="3"/>
              </w:rPr>
              <w:t>0,91307000%</w:t>
            </w:r>
          </w:p>
        </w:tc>
        <w:tc>
          <w:tcPr>
            <w:tcW w:w="288" w:type="dxa"/>
            <w:tcBorders>
              <w:top w:val="nil"/>
              <w:bottom w:val="nil"/>
            </w:tcBorders>
          </w:tcPr>
          <w:p w14:paraId="03768E07" w14:textId="77777777" w:rsidR="00F65BCA" w:rsidRDefault="00F65BCA">
            <w:pPr>
              <w:pStyle w:val="TableParagraph"/>
              <w:rPr>
                <w:rFonts w:ascii="Calibri"/>
                <w:sz w:val="2"/>
              </w:rPr>
            </w:pPr>
          </w:p>
          <w:p w14:paraId="7633521F" w14:textId="77777777" w:rsidR="00F65BCA" w:rsidRDefault="00216117">
            <w:pPr>
              <w:pStyle w:val="TableParagraph"/>
              <w:ind w:left="24" w:right="24"/>
              <w:jc w:val="center"/>
              <w:rPr>
                <w:sz w:val="3"/>
              </w:rPr>
            </w:pPr>
            <w:r>
              <w:rPr>
                <w:w w:val="105"/>
                <w:sz w:val="3"/>
              </w:rPr>
              <w:t>0,83250500%</w:t>
            </w:r>
          </w:p>
        </w:tc>
        <w:tc>
          <w:tcPr>
            <w:tcW w:w="288" w:type="dxa"/>
            <w:tcBorders>
              <w:top w:val="nil"/>
              <w:bottom w:val="nil"/>
            </w:tcBorders>
          </w:tcPr>
          <w:p w14:paraId="29E25637" w14:textId="77777777" w:rsidR="00F65BCA" w:rsidRDefault="00F65BCA">
            <w:pPr>
              <w:pStyle w:val="TableParagraph"/>
              <w:rPr>
                <w:rFonts w:ascii="Calibri"/>
                <w:sz w:val="2"/>
              </w:rPr>
            </w:pPr>
          </w:p>
          <w:p w14:paraId="6B1245A2" w14:textId="77777777" w:rsidR="00F65BCA" w:rsidRDefault="00216117">
            <w:pPr>
              <w:pStyle w:val="TableParagraph"/>
              <w:ind w:left="47"/>
              <w:rPr>
                <w:sz w:val="3"/>
              </w:rPr>
            </w:pPr>
            <w:r>
              <w:rPr>
                <w:w w:val="105"/>
                <w:sz w:val="3"/>
              </w:rPr>
              <w:t>0,83250500%</w:t>
            </w:r>
          </w:p>
        </w:tc>
        <w:tc>
          <w:tcPr>
            <w:tcW w:w="288" w:type="dxa"/>
            <w:tcBorders>
              <w:top w:val="nil"/>
              <w:bottom w:val="nil"/>
            </w:tcBorders>
          </w:tcPr>
          <w:p w14:paraId="370646E5" w14:textId="77777777" w:rsidR="00F65BCA" w:rsidRDefault="00F65BCA">
            <w:pPr>
              <w:pStyle w:val="TableParagraph"/>
              <w:rPr>
                <w:rFonts w:ascii="Calibri"/>
                <w:sz w:val="2"/>
              </w:rPr>
            </w:pPr>
          </w:p>
          <w:p w14:paraId="06DAA087" w14:textId="77777777" w:rsidR="00F65BCA" w:rsidRDefault="00216117">
            <w:pPr>
              <w:pStyle w:val="TableParagraph"/>
              <w:ind w:left="24" w:right="24"/>
              <w:jc w:val="center"/>
              <w:rPr>
                <w:sz w:val="3"/>
              </w:rPr>
            </w:pPr>
            <w:r>
              <w:rPr>
                <w:w w:val="105"/>
                <w:sz w:val="3"/>
              </w:rPr>
              <w:t>0,75194000%</w:t>
            </w:r>
          </w:p>
        </w:tc>
        <w:tc>
          <w:tcPr>
            <w:tcW w:w="288" w:type="dxa"/>
            <w:tcBorders>
              <w:top w:val="nil"/>
              <w:bottom w:val="nil"/>
            </w:tcBorders>
          </w:tcPr>
          <w:p w14:paraId="0C4D0CA6" w14:textId="77777777" w:rsidR="00F65BCA" w:rsidRDefault="00F65BCA">
            <w:pPr>
              <w:pStyle w:val="TableParagraph"/>
              <w:rPr>
                <w:rFonts w:ascii="Calibri"/>
                <w:sz w:val="2"/>
              </w:rPr>
            </w:pPr>
          </w:p>
          <w:p w14:paraId="02EAF93A" w14:textId="77777777" w:rsidR="00F65BCA" w:rsidRDefault="00216117">
            <w:pPr>
              <w:pStyle w:val="TableParagraph"/>
              <w:ind w:left="24" w:right="24"/>
              <w:jc w:val="center"/>
              <w:rPr>
                <w:sz w:val="3"/>
              </w:rPr>
            </w:pPr>
            <w:r>
              <w:rPr>
                <w:w w:val="105"/>
                <w:sz w:val="3"/>
              </w:rPr>
              <w:t>0,75194000%</w:t>
            </w:r>
          </w:p>
        </w:tc>
        <w:tc>
          <w:tcPr>
            <w:tcW w:w="288" w:type="dxa"/>
            <w:tcBorders>
              <w:top w:val="nil"/>
              <w:bottom w:val="nil"/>
            </w:tcBorders>
          </w:tcPr>
          <w:p w14:paraId="0B67CD09" w14:textId="77777777" w:rsidR="00F65BCA" w:rsidRDefault="00F65BCA">
            <w:pPr>
              <w:pStyle w:val="TableParagraph"/>
              <w:rPr>
                <w:rFonts w:ascii="Calibri"/>
                <w:sz w:val="2"/>
              </w:rPr>
            </w:pPr>
          </w:p>
          <w:p w14:paraId="28319722" w14:textId="77777777" w:rsidR="00F65BCA" w:rsidRDefault="00216117">
            <w:pPr>
              <w:pStyle w:val="TableParagraph"/>
              <w:ind w:left="47"/>
              <w:rPr>
                <w:sz w:val="3"/>
              </w:rPr>
            </w:pPr>
            <w:r>
              <w:rPr>
                <w:w w:val="105"/>
                <w:sz w:val="3"/>
              </w:rPr>
              <w:t>0,67137500%</w:t>
            </w:r>
          </w:p>
        </w:tc>
        <w:tc>
          <w:tcPr>
            <w:tcW w:w="288" w:type="dxa"/>
            <w:tcBorders>
              <w:top w:val="nil"/>
              <w:bottom w:val="nil"/>
            </w:tcBorders>
          </w:tcPr>
          <w:p w14:paraId="117FBB0D" w14:textId="77777777" w:rsidR="00F65BCA" w:rsidRDefault="00F65BCA">
            <w:pPr>
              <w:pStyle w:val="TableParagraph"/>
              <w:rPr>
                <w:rFonts w:ascii="Calibri"/>
                <w:sz w:val="2"/>
              </w:rPr>
            </w:pPr>
          </w:p>
          <w:p w14:paraId="6C37A5CB" w14:textId="77777777" w:rsidR="00F65BCA" w:rsidRDefault="00216117">
            <w:pPr>
              <w:pStyle w:val="TableParagraph"/>
              <w:ind w:left="24" w:right="24"/>
              <w:jc w:val="center"/>
              <w:rPr>
                <w:sz w:val="3"/>
              </w:rPr>
            </w:pPr>
            <w:r>
              <w:rPr>
                <w:w w:val="105"/>
                <w:sz w:val="3"/>
              </w:rPr>
              <w:t>0,67137500%</w:t>
            </w:r>
          </w:p>
        </w:tc>
        <w:tc>
          <w:tcPr>
            <w:tcW w:w="288" w:type="dxa"/>
            <w:tcBorders>
              <w:top w:val="nil"/>
              <w:bottom w:val="nil"/>
            </w:tcBorders>
          </w:tcPr>
          <w:p w14:paraId="2DE04A8E" w14:textId="77777777" w:rsidR="00F65BCA" w:rsidRDefault="00F65BCA">
            <w:pPr>
              <w:pStyle w:val="TableParagraph"/>
              <w:rPr>
                <w:rFonts w:ascii="Calibri"/>
                <w:sz w:val="2"/>
              </w:rPr>
            </w:pPr>
          </w:p>
          <w:p w14:paraId="1098F7BD" w14:textId="77777777" w:rsidR="00F65BCA" w:rsidRDefault="00216117">
            <w:pPr>
              <w:pStyle w:val="TableParagraph"/>
              <w:ind w:left="24" w:right="24"/>
              <w:jc w:val="center"/>
              <w:rPr>
                <w:sz w:val="3"/>
              </w:rPr>
            </w:pPr>
            <w:r>
              <w:rPr>
                <w:w w:val="105"/>
                <w:sz w:val="3"/>
              </w:rPr>
              <w:t>0,61766500%</w:t>
            </w:r>
          </w:p>
        </w:tc>
        <w:tc>
          <w:tcPr>
            <w:tcW w:w="288" w:type="dxa"/>
            <w:tcBorders>
              <w:top w:val="nil"/>
              <w:bottom w:val="nil"/>
            </w:tcBorders>
          </w:tcPr>
          <w:p w14:paraId="5764D271" w14:textId="77777777" w:rsidR="00F65BCA" w:rsidRDefault="00F65BCA">
            <w:pPr>
              <w:pStyle w:val="TableParagraph"/>
              <w:rPr>
                <w:rFonts w:ascii="Calibri"/>
                <w:sz w:val="2"/>
              </w:rPr>
            </w:pPr>
          </w:p>
          <w:p w14:paraId="51EA2F83" w14:textId="77777777" w:rsidR="00F65BCA" w:rsidRDefault="00216117">
            <w:pPr>
              <w:pStyle w:val="TableParagraph"/>
              <w:ind w:left="24" w:right="24"/>
              <w:jc w:val="center"/>
              <w:rPr>
                <w:sz w:val="3"/>
              </w:rPr>
            </w:pPr>
            <w:r>
              <w:rPr>
                <w:w w:val="105"/>
                <w:sz w:val="3"/>
              </w:rPr>
              <w:t>0,59081000%</w:t>
            </w:r>
          </w:p>
        </w:tc>
        <w:tc>
          <w:tcPr>
            <w:tcW w:w="288" w:type="dxa"/>
            <w:tcBorders>
              <w:top w:val="nil"/>
              <w:bottom w:val="nil"/>
            </w:tcBorders>
          </w:tcPr>
          <w:p w14:paraId="202D951A" w14:textId="77777777" w:rsidR="00F65BCA" w:rsidRDefault="00F65BCA">
            <w:pPr>
              <w:pStyle w:val="TableParagraph"/>
              <w:rPr>
                <w:rFonts w:ascii="Calibri"/>
                <w:sz w:val="2"/>
              </w:rPr>
            </w:pPr>
          </w:p>
          <w:p w14:paraId="0FBDB820" w14:textId="77777777" w:rsidR="00F65BCA" w:rsidRDefault="00216117">
            <w:pPr>
              <w:pStyle w:val="TableParagraph"/>
              <w:ind w:left="24" w:right="24"/>
              <w:jc w:val="center"/>
              <w:rPr>
                <w:sz w:val="3"/>
              </w:rPr>
            </w:pPr>
            <w:r>
              <w:rPr>
                <w:w w:val="105"/>
                <w:sz w:val="3"/>
              </w:rPr>
              <w:t>0,53710000%</w:t>
            </w:r>
          </w:p>
        </w:tc>
        <w:tc>
          <w:tcPr>
            <w:tcW w:w="288" w:type="dxa"/>
            <w:tcBorders>
              <w:top w:val="nil"/>
              <w:bottom w:val="nil"/>
            </w:tcBorders>
          </w:tcPr>
          <w:p w14:paraId="7C4D6782" w14:textId="77777777" w:rsidR="00F65BCA" w:rsidRDefault="00F65BCA">
            <w:pPr>
              <w:pStyle w:val="TableParagraph"/>
              <w:rPr>
                <w:rFonts w:ascii="Calibri"/>
                <w:sz w:val="2"/>
              </w:rPr>
            </w:pPr>
          </w:p>
          <w:p w14:paraId="4088D5CC" w14:textId="77777777" w:rsidR="00F65BCA" w:rsidRDefault="00216117">
            <w:pPr>
              <w:pStyle w:val="TableParagraph"/>
              <w:ind w:left="47"/>
              <w:rPr>
                <w:sz w:val="3"/>
              </w:rPr>
            </w:pPr>
            <w:r>
              <w:rPr>
                <w:w w:val="105"/>
                <w:sz w:val="3"/>
              </w:rPr>
              <w:t>0,53710000%</w:t>
            </w:r>
          </w:p>
        </w:tc>
      </w:tr>
      <w:tr w:rsidR="00F65BCA" w14:paraId="4AF8246F" w14:textId="77777777">
        <w:trPr>
          <w:trHeight w:val="40"/>
        </w:trPr>
        <w:tc>
          <w:tcPr>
            <w:tcW w:w="526" w:type="dxa"/>
            <w:vMerge/>
            <w:tcBorders>
              <w:top w:val="nil"/>
              <w:bottom w:val="nil"/>
            </w:tcBorders>
            <w:shd w:val="clear" w:color="auto" w:fill="FCE4D6"/>
          </w:tcPr>
          <w:p w14:paraId="0475BB63" w14:textId="77777777" w:rsidR="00F65BCA" w:rsidRDefault="00F65BCA">
            <w:pPr>
              <w:rPr>
                <w:sz w:val="2"/>
                <w:szCs w:val="2"/>
              </w:rPr>
            </w:pPr>
          </w:p>
        </w:tc>
        <w:tc>
          <w:tcPr>
            <w:tcW w:w="732" w:type="dxa"/>
            <w:tcBorders>
              <w:top w:val="nil"/>
              <w:bottom w:val="nil"/>
            </w:tcBorders>
            <w:shd w:val="clear" w:color="auto" w:fill="FCE4D6"/>
          </w:tcPr>
          <w:p w14:paraId="33A288A0" w14:textId="77777777" w:rsidR="00F65BCA" w:rsidRDefault="00F65BCA">
            <w:pPr>
              <w:pStyle w:val="TableParagraph"/>
              <w:rPr>
                <w:rFonts w:ascii="Times New Roman"/>
                <w:sz w:val="2"/>
              </w:rPr>
            </w:pPr>
          </w:p>
        </w:tc>
        <w:tc>
          <w:tcPr>
            <w:tcW w:w="958" w:type="dxa"/>
            <w:gridSpan w:val="2"/>
            <w:tcBorders>
              <w:top w:val="nil"/>
              <w:bottom w:val="nil"/>
            </w:tcBorders>
            <w:shd w:val="clear" w:color="auto" w:fill="FCE4D6"/>
          </w:tcPr>
          <w:p w14:paraId="7D603CC9" w14:textId="77777777" w:rsidR="00F65BCA" w:rsidRDefault="00216117">
            <w:pPr>
              <w:pStyle w:val="TableParagraph"/>
              <w:spacing w:before="3" w:line="18" w:lineRule="exact"/>
              <w:ind w:left="4"/>
              <w:rPr>
                <w:sz w:val="3"/>
              </w:rPr>
            </w:pPr>
            <w:r>
              <w:rPr>
                <w:w w:val="105"/>
                <w:sz w:val="3"/>
              </w:rPr>
              <w:t>1100; ŘADA MK 1300; ŘADA MK 1400; ŘADA MK 1500; ŘADA</w:t>
            </w:r>
          </w:p>
        </w:tc>
        <w:tc>
          <w:tcPr>
            <w:tcW w:w="576" w:type="dxa"/>
            <w:tcBorders>
              <w:top w:val="nil"/>
              <w:bottom w:val="nil"/>
            </w:tcBorders>
            <w:shd w:val="clear" w:color="auto" w:fill="FCE4D6"/>
          </w:tcPr>
          <w:p w14:paraId="7008E2FA"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1FF889AF" w14:textId="77777777" w:rsidR="00F65BCA" w:rsidRDefault="00F65BCA">
            <w:pPr>
              <w:pStyle w:val="TableParagraph"/>
              <w:rPr>
                <w:rFonts w:ascii="Times New Roman"/>
                <w:sz w:val="2"/>
              </w:rPr>
            </w:pPr>
          </w:p>
        </w:tc>
        <w:tc>
          <w:tcPr>
            <w:tcW w:w="50" w:type="dxa"/>
            <w:vMerge/>
            <w:tcBorders>
              <w:top w:val="nil"/>
              <w:bottom w:val="nil"/>
            </w:tcBorders>
          </w:tcPr>
          <w:p w14:paraId="1CC6B19A" w14:textId="77777777" w:rsidR="00F65BCA" w:rsidRDefault="00F65BCA">
            <w:pPr>
              <w:rPr>
                <w:sz w:val="2"/>
                <w:szCs w:val="2"/>
              </w:rPr>
            </w:pPr>
          </w:p>
        </w:tc>
        <w:tc>
          <w:tcPr>
            <w:tcW w:w="288" w:type="dxa"/>
            <w:tcBorders>
              <w:top w:val="nil"/>
              <w:bottom w:val="nil"/>
            </w:tcBorders>
          </w:tcPr>
          <w:p w14:paraId="0D982F2D" w14:textId="77777777" w:rsidR="00F65BCA" w:rsidRDefault="00F65BCA">
            <w:pPr>
              <w:pStyle w:val="TableParagraph"/>
              <w:rPr>
                <w:rFonts w:ascii="Times New Roman"/>
                <w:sz w:val="2"/>
              </w:rPr>
            </w:pPr>
          </w:p>
        </w:tc>
        <w:tc>
          <w:tcPr>
            <w:tcW w:w="288" w:type="dxa"/>
            <w:tcBorders>
              <w:top w:val="nil"/>
              <w:bottom w:val="nil"/>
            </w:tcBorders>
          </w:tcPr>
          <w:p w14:paraId="225676BD" w14:textId="77777777" w:rsidR="00F65BCA" w:rsidRDefault="00F65BCA">
            <w:pPr>
              <w:pStyle w:val="TableParagraph"/>
              <w:rPr>
                <w:rFonts w:ascii="Times New Roman"/>
                <w:sz w:val="2"/>
              </w:rPr>
            </w:pPr>
          </w:p>
        </w:tc>
        <w:tc>
          <w:tcPr>
            <w:tcW w:w="288" w:type="dxa"/>
            <w:tcBorders>
              <w:top w:val="nil"/>
              <w:bottom w:val="nil"/>
            </w:tcBorders>
          </w:tcPr>
          <w:p w14:paraId="6A15FCA3" w14:textId="77777777" w:rsidR="00F65BCA" w:rsidRDefault="00F65BCA">
            <w:pPr>
              <w:pStyle w:val="TableParagraph"/>
              <w:rPr>
                <w:rFonts w:ascii="Times New Roman"/>
                <w:sz w:val="2"/>
              </w:rPr>
            </w:pPr>
          </w:p>
        </w:tc>
        <w:tc>
          <w:tcPr>
            <w:tcW w:w="288" w:type="dxa"/>
            <w:tcBorders>
              <w:top w:val="nil"/>
              <w:bottom w:val="nil"/>
            </w:tcBorders>
          </w:tcPr>
          <w:p w14:paraId="6889DA18" w14:textId="77777777" w:rsidR="00F65BCA" w:rsidRDefault="00F65BCA">
            <w:pPr>
              <w:pStyle w:val="TableParagraph"/>
              <w:rPr>
                <w:rFonts w:ascii="Times New Roman"/>
                <w:sz w:val="2"/>
              </w:rPr>
            </w:pPr>
          </w:p>
        </w:tc>
        <w:tc>
          <w:tcPr>
            <w:tcW w:w="288" w:type="dxa"/>
            <w:tcBorders>
              <w:top w:val="nil"/>
              <w:bottom w:val="nil"/>
            </w:tcBorders>
          </w:tcPr>
          <w:p w14:paraId="0B80C59B" w14:textId="77777777" w:rsidR="00F65BCA" w:rsidRDefault="00F65BCA">
            <w:pPr>
              <w:pStyle w:val="TableParagraph"/>
              <w:rPr>
                <w:rFonts w:ascii="Times New Roman"/>
                <w:sz w:val="2"/>
              </w:rPr>
            </w:pPr>
          </w:p>
        </w:tc>
        <w:tc>
          <w:tcPr>
            <w:tcW w:w="288" w:type="dxa"/>
            <w:tcBorders>
              <w:top w:val="nil"/>
              <w:bottom w:val="nil"/>
            </w:tcBorders>
          </w:tcPr>
          <w:p w14:paraId="66297A96" w14:textId="77777777" w:rsidR="00F65BCA" w:rsidRDefault="00F65BCA">
            <w:pPr>
              <w:pStyle w:val="TableParagraph"/>
              <w:rPr>
                <w:rFonts w:ascii="Times New Roman"/>
                <w:sz w:val="2"/>
              </w:rPr>
            </w:pPr>
          </w:p>
        </w:tc>
        <w:tc>
          <w:tcPr>
            <w:tcW w:w="288" w:type="dxa"/>
            <w:tcBorders>
              <w:top w:val="nil"/>
              <w:bottom w:val="nil"/>
            </w:tcBorders>
          </w:tcPr>
          <w:p w14:paraId="6050BDEF" w14:textId="77777777" w:rsidR="00F65BCA" w:rsidRDefault="00F65BCA">
            <w:pPr>
              <w:pStyle w:val="TableParagraph"/>
              <w:rPr>
                <w:rFonts w:ascii="Times New Roman"/>
                <w:sz w:val="2"/>
              </w:rPr>
            </w:pPr>
          </w:p>
        </w:tc>
        <w:tc>
          <w:tcPr>
            <w:tcW w:w="288" w:type="dxa"/>
            <w:tcBorders>
              <w:top w:val="nil"/>
              <w:bottom w:val="nil"/>
            </w:tcBorders>
          </w:tcPr>
          <w:p w14:paraId="149353D1" w14:textId="77777777" w:rsidR="00F65BCA" w:rsidRDefault="00F65BCA">
            <w:pPr>
              <w:pStyle w:val="TableParagraph"/>
              <w:rPr>
                <w:rFonts w:ascii="Times New Roman"/>
                <w:sz w:val="2"/>
              </w:rPr>
            </w:pPr>
          </w:p>
        </w:tc>
        <w:tc>
          <w:tcPr>
            <w:tcW w:w="288" w:type="dxa"/>
            <w:tcBorders>
              <w:top w:val="nil"/>
              <w:bottom w:val="nil"/>
            </w:tcBorders>
          </w:tcPr>
          <w:p w14:paraId="7303322B" w14:textId="77777777" w:rsidR="00F65BCA" w:rsidRDefault="00F65BCA">
            <w:pPr>
              <w:pStyle w:val="TableParagraph"/>
              <w:rPr>
                <w:rFonts w:ascii="Times New Roman"/>
                <w:sz w:val="2"/>
              </w:rPr>
            </w:pPr>
          </w:p>
        </w:tc>
        <w:tc>
          <w:tcPr>
            <w:tcW w:w="288" w:type="dxa"/>
            <w:tcBorders>
              <w:top w:val="nil"/>
              <w:bottom w:val="nil"/>
            </w:tcBorders>
          </w:tcPr>
          <w:p w14:paraId="5CA89321" w14:textId="77777777" w:rsidR="00F65BCA" w:rsidRDefault="00F65BCA">
            <w:pPr>
              <w:pStyle w:val="TableParagraph"/>
              <w:rPr>
                <w:rFonts w:ascii="Times New Roman"/>
                <w:sz w:val="2"/>
              </w:rPr>
            </w:pPr>
          </w:p>
        </w:tc>
        <w:tc>
          <w:tcPr>
            <w:tcW w:w="288" w:type="dxa"/>
            <w:tcBorders>
              <w:top w:val="nil"/>
              <w:bottom w:val="nil"/>
            </w:tcBorders>
          </w:tcPr>
          <w:p w14:paraId="4A214E67" w14:textId="77777777" w:rsidR="00F65BCA" w:rsidRDefault="00F65BCA">
            <w:pPr>
              <w:pStyle w:val="TableParagraph"/>
              <w:rPr>
                <w:rFonts w:ascii="Times New Roman"/>
                <w:sz w:val="2"/>
              </w:rPr>
            </w:pPr>
          </w:p>
        </w:tc>
        <w:tc>
          <w:tcPr>
            <w:tcW w:w="288" w:type="dxa"/>
            <w:tcBorders>
              <w:top w:val="nil"/>
              <w:bottom w:val="nil"/>
            </w:tcBorders>
          </w:tcPr>
          <w:p w14:paraId="7AC99118" w14:textId="77777777" w:rsidR="00F65BCA" w:rsidRDefault="00F65BCA">
            <w:pPr>
              <w:pStyle w:val="TableParagraph"/>
              <w:rPr>
                <w:rFonts w:ascii="Times New Roman"/>
                <w:sz w:val="2"/>
              </w:rPr>
            </w:pPr>
          </w:p>
        </w:tc>
        <w:tc>
          <w:tcPr>
            <w:tcW w:w="288" w:type="dxa"/>
            <w:tcBorders>
              <w:top w:val="nil"/>
              <w:bottom w:val="nil"/>
            </w:tcBorders>
          </w:tcPr>
          <w:p w14:paraId="21D03118" w14:textId="77777777" w:rsidR="00F65BCA" w:rsidRDefault="00F65BCA">
            <w:pPr>
              <w:pStyle w:val="TableParagraph"/>
              <w:rPr>
                <w:rFonts w:ascii="Times New Roman"/>
                <w:sz w:val="2"/>
              </w:rPr>
            </w:pPr>
          </w:p>
        </w:tc>
      </w:tr>
      <w:tr w:rsidR="00F65BCA" w14:paraId="1835DA4E" w14:textId="77777777">
        <w:trPr>
          <w:trHeight w:val="49"/>
        </w:trPr>
        <w:tc>
          <w:tcPr>
            <w:tcW w:w="526" w:type="dxa"/>
            <w:vMerge/>
            <w:tcBorders>
              <w:top w:val="nil"/>
              <w:bottom w:val="nil"/>
            </w:tcBorders>
            <w:shd w:val="clear" w:color="auto" w:fill="FCE4D6"/>
          </w:tcPr>
          <w:p w14:paraId="2C9A9170" w14:textId="77777777" w:rsidR="00F65BCA" w:rsidRDefault="00F65BCA">
            <w:pPr>
              <w:rPr>
                <w:sz w:val="2"/>
                <w:szCs w:val="2"/>
              </w:rPr>
            </w:pPr>
          </w:p>
        </w:tc>
        <w:tc>
          <w:tcPr>
            <w:tcW w:w="732" w:type="dxa"/>
            <w:tcBorders>
              <w:top w:val="nil"/>
            </w:tcBorders>
            <w:shd w:val="clear" w:color="auto" w:fill="FCE4D6"/>
          </w:tcPr>
          <w:p w14:paraId="40CA4ABB" w14:textId="77777777" w:rsidR="00F65BCA" w:rsidRDefault="00F65BCA">
            <w:pPr>
              <w:pStyle w:val="TableParagraph"/>
              <w:rPr>
                <w:rFonts w:ascii="Times New Roman"/>
                <w:sz w:val="2"/>
              </w:rPr>
            </w:pPr>
          </w:p>
        </w:tc>
        <w:tc>
          <w:tcPr>
            <w:tcW w:w="958" w:type="dxa"/>
            <w:gridSpan w:val="2"/>
            <w:tcBorders>
              <w:top w:val="nil"/>
            </w:tcBorders>
            <w:shd w:val="clear" w:color="auto" w:fill="FCE4D6"/>
          </w:tcPr>
          <w:p w14:paraId="2BA1C7FE" w14:textId="77777777" w:rsidR="00F65BCA" w:rsidRDefault="00216117">
            <w:pPr>
              <w:pStyle w:val="TableParagraph"/>
              <w:spacing w:before="3" w:line="26" w:lineRule="exact"/>
              <w:ind w:left="4"/>
              <w:rPr>
                <w:sz w:val="3"/>
              </w:rPr>
            </w:pPr>
            <w:r>
              <w:rPr>
                <w:w w:val="105"/>
                <w:sz w:val="3"/>
              </w:rPr>
              <w:t>MK 900; SPRINTER NAD 3,5t; VARIO</w:t>
            </w:r>
          </w:p>
        </w:tc>
        <w:tc>
          <w:tcPr>
            <w:tcW w:w="576" w:type="dxa"/>
            <w:tcBorders>
              <w:top w:val="nil"/>
            </w:tcBorders>
            <w:shd w:val="clear" w:color="auto" w:fill="FCE4D6"/>
          </w:tcPr>
          <w:p w14:paraId="78822FDD" w14:textId="77777777" w:rsidR="00F65BCA" w:rsidRDefault="00F65BCA">
            <w:pPr>
              <w:pStyle w:val="TableParagraph"/>
              <w:rPr>
                <w:rFonts w:ascii="Times New Roman"/>
                <w:sz w:val="2"/>
              </w:rPr>
            </w:pPr>
          </w:p>
        </w:tc>
        <w:tc>
          <w:tcPr>
            <w:tcW w:w="576" w:type="dxa"/>
            <w:tcBorders>
              <w:top w:val="nil"/>
            </w:tcBorders>
            <w:shd w:val="clear" w:color="auto" w:fill="FCE4D6"/>
          </w:tcPr>
          <w:p w14:paraId="35733443" w14:textId="77777777" w:rsidR="00F65BCA" w:rsidRDefault="00F65BCA">
            <w:pPr>
              <w:pStyle w:val="TableParagraph"/>
              <w:rPr>
                <w:rFonts w:ascii="Times New Roman"/>
                <w:sz w:val="2"/>
              </w:rPr>
            </w:pPr>
          </w:p>
        </w:tc>
        <w:tc>
          <w:tcPr>
            <w:tcW w:w="50" w:type="dxa"/>
            <w:vMerge/>
            <w:tcBorders>
              <w:top w:val="nil"/>
              <w:bottom w:val="nil"/>
            </w:tcBorders>
          </w:tcPr>
          <w:p w14:paraId="1FA8B54D" w14:textId="77777777" w:rsidR="00F65BCA" w:rsidRDefault="00F65BCA">
            <w:pPr>
              <w:rPr>
                <w:sz w:val="2"/>
                <w:szCs w:val="2"/>
              </w:rPr>
            </w:pPr>
          </w:p>
        </w:tc>
        <w:tc>
          <w:tcPr>
            <w:tcW w:w="288" w:type="dxa"/>
            <w:tcBorders>
              <w:top w:val="nil"/>
            </w:tcBorders>
          </w:tcPr>
          <w:p w14:paraId="263FFEFA" w14:textId="77777777" w:rsidR="00F65BCA" w:rsidRDefault="00F65BCA">
            <w:pPr>
              <w:pStyle w:val="TableParagraph"/>
              <w:rPr>
                <w:rFonts w:ascii="Times New Roman"/>
                <w:sz w:val="2"/>
              </w:rPr>
            </w:pPr>
          </w:p>
        </w:tc>
        <w:tc>
          <w:tcPr>
            <w:tcW w:w="288" w:type="dxa"/>
            <w:tcBorders>
              <w:top w:val="nil"/>
            </w:tcBorders>
          </w:tcPr>
          <w:p w14:paraId="0025728C" w14:textId="77777777" w:rsidR="00F65BCA" w:rsidRDefault="00F65BCA">
            <w:pPr>
              <w:pStyle w:val="TableParagraph"/>
              <w:rPr>
                <w:rFonts w:ascii="Times New Roman"/>
                <w:sz w:val="2"/>
              </w:rPr>
            </w:pPr>
          </w:p>
        </w:tc>
        <w:tc>
          <w:tcPr>
            <w:tcW w:w="288" w:type="dxa"/>
            <w:tcBorders>
              <w:top w:val="nil"/>
            </w:tcBorders>
          </w:tcPr>
          <w:p w14:paraId="37A82167" w14:textId="77777777" w:rsidR="00F65BCA" w:rsidRDefault="00F65BCA">
            <w:pPr>
              <w:pStyle w:val="TableParagraph"/>
              <w:rPr>
                <w:rFonts w:ascii="Times New Roman"/>
                <w:sz w:val="2"/>
              </w:rPr>
            </w:pPr>
          </w:p>
        </w:tc>
        <w:tc>
          <w:tcPr>
            <w:tcW w:w="288" w:type="dxa"/>
            <w:tcBorders>
              <w:top w:val="nil"/>
            </w:tcBorders>
          </w:tcPr>
          <w:p w14:paraId="48163D44" w14:textId="77777777" w:rsidR="00F65BCA" w:rsidRDefault="00F65BCA">
            <w:pPr>
              <w:pStyle w:val="TableParagraph"/>
              <w:rPr>
                <w:rFonts w:ascii="Times New Roman"/>
                <w:sz w:val="2"/>
              </w:rPr>
            </w:pPr>
          </w:p>
        </w:tc>
        <w:tc>
          <w:tcPr>
            <w:tcW w:w="288" w:type="dxa"/>
            <w:tcBorders>
              <w:top w:val="nil"/>
            </w:tcBorders>
          </w:tcPr>
          <w:p w14:paraId="1839418E" w14:textId="77777777" w:rsidR="00F65BCA" w:rsidRDefault="00F65BCA">
            <w:pPr>
              <w:pStyle w:val="TableParagraph"/>
              <w:rPr>
                <w:rFonts w:ascii="Times New Roman"/>
                <w:sz w:val="2"/>
              </w:rPr>
            </w:pPr>
          </w:p>
        </w:tc>
        <w:tc>
          <w:tcPr>
            <w:tcW w:w="288" w:type="dxa"/>
            <w:tcBorders>
              <w:top w:val="nil"/>
            </w:tcBorders>
          </w:tcPr>
          <w:p w14:paraId="6794B4FB" w14:textId="77777777" w:rsidR="00F65BCA" w:rsidRDefault="00F65BCA">
            <w:pPr>
              <w:pStyle w:val="TableParagraph"/>
              <w:rPr>
                <w:rFonts w:ascii="Times New Roman"/>
                <w:sz w:val="2"/>
              </w:rPr>
            </w:pPr>
          </w:p>
        </w:tc>
        <w:tc>
          <w:tcPr>
            <w:tcW w:w="288" w:type="dxa"/>
            <w:tcBorders>
              <w:top w:val="nil"/>
            </w:tcBorders>
          </w:tcPr>
          <w:p w14:paraId="4EEFFD90" w14:textId="77777777" w:rsidR="00F65BCA" w:rsidRDefault="00F65BCA">
            <w:pPr>
              <w:pStyle w:val="TableParagraph"/>
              <w:rPr>
                <w:rFonts w:ascii="Times New Roman"/>
                <w:sz w:val="2"/>
              </w:rPr>
            </w:pPr>
          </w:p>
        </w:tc>
        <w:tc>
          <w:tcPr>
            <w:tcW w:w="288" w:type="dxa"/>
            <w:tcBorders>
              <w:top w:val="nil"/>
            </w:tcBorders>
          </w:tcPr>
          <w:p w14:paraId="67DF6B3B" w14:textId="77777777" w:rsidR="00F65BCA" w:rsidRDefault="00F65BCA">
            <w:pPr>
              <w:pStyle w:val="TableParagraph"/>
              <w:rPr>
                <w:rFonts w:ascii="Times New Roman"/>
                <w:sz w:val="2"/>
              </w:rPr>
            </w:pPr>
          </w:p>
        </w:tc>
        <w:tc>
          <w:tcPr>
            <w:tcW w:w="288" w:type="dxa"/>
            <w:tcBorders>
              <w:top w:val="nil"/>
            </w:tcBorders>
          </w:tcPr>
          <w:p w14:paraId="0121A22F" w14:textId="77777777" w:rsidR="00F65BCA" w:rsidRDefault="00F65BCA">
            <w:pPr>
              <w:pStyle w:val="TableParagraph"/>
              <w:rPr>
                <w:rFonts w:ascii="Times New Roman"/>
                <w:sz w:val="2"/>
              </w:rPr>
            </w:pPr>
          </w:p>
        </w:tc>
        <w:tc>
          <w:tcPr>
            <w:tcW w:w="288" w:type="dxa"/>
            <w:tcBorders>
              <w:top w:val="nil"/>
            </w:tcBorders>
          </w:tcPr>
          <w:p w14:paraId="0257A032" w14:textId="77777777" w:rsidR="00F65BCA" w:rsidRDefault="00F65BCA">
            <w:pPr>
              <w:pStyle w:val="TableParagraph"/>
              <w:rPr>
                <w:rFonts w:ascii="Times New Roman"/>
                <w:sz w:val="2"/>
              </w:rPr>
            </w:pPr>
          </w:p>
        </w:tc>
        <w:tc>
          <w:tcPr>
            <w:tcW w:w="288" w:type="dxa"/>
            <w:tcBorders>
              <w:top w:val="nil"/>
            </w:tcBorders>
          </w:tcPr>
          <w:p w14:paraId="76A95DB4" w14:textId="77777777" w:rsidR="00F65BCA" w:rsidRDefault="00F65BCA">
            <w:pPr>
              <w:pStyle w:val="TableParagraph"/>
              <w:rPr>
                <w:rFonts w:ascii="Times New Roman"/>
                <w:sz w:val="2"/>
              </w:rPr>
            </w:pPr>
          </w:p>
        </w:tc>
        <w:tc>
          <w:tcPr>
            <w:tcW w:w="288" w:type="dxa"/>
            <w:tcBorders>
              <w:top w:val="nil"/>
            </w:tcBorders>
          </w:tcPr>
          <w:p w14:paraId="5A7CA8ED" w14:textId="77777777" w:rsidR="00F65BCA" w:rsidRDefault="00F65BCA">
            <w:pPr>
              <w:pStyle w:val="TableParagraph"/>
              <w:rPr>
                <w:rFonts w:ascii="Times New Roman"/>
                <w:sz w:val="2"/>
              </w:rPr>
            </w:pPr>
          </w:p>
        </w:tc>
        <w:tc>
          <w:tcPr>
            <w:tcW w:w="288" w:type="dxa"/>
            <w:tcBorders>
              <w:top w:val="nil"/>
            </w:tcBorders>
          </w:tcPr>
          <w:p w14:paraId="7B697837" w14:textId="77777777" w:rsidR="00F65BCA" w:rsidRDefault="00F65BCA">
            <w:pPr>
              <w:pStyle w:val="TableParagraph"/>
              <w:rPr>
                <w:rFonts w:ascii="Times New Roman"/>
                <w:sz w:val="2"/>
              </w:rPr>
            </w:pPr>
          </w:p>
        </w:tc>
      </w:tr>
      <w:tr w:rsidR="00F65BCA" w14:paraId="12135E47" w14:textId="77777777">
        <w:trPr>
          <w:trHeight w:val="81"/>
        </w:trPr>
        <w:tc>
          <w:tcPr>
            <w:tcW w:w="526" w:type="dxa"/>
            <w:vMerge w:val="restart"/>
            <w:tcBorders>
              <w:top w:val="nil"/>
              <w:bottom w:val="nil"/>
            </w:tcBorders>
            <w:shd w:val="clear" w:color="auto" w:fill="FCE4D6"/>
          </w:tcPr>
          <w:p w14:paraId="6504B3C8" w14:textId="77777777" w:rsidR="00F65BCA" w:rsidRDefault="00F65BCA">
            <w:pPr>
              <w:pStyle w:val="TableParagraph"/>
              <w:rPr>
                <w:rFonts w:ascii="Times New Roman"/>
                <w:sz w:val="2"/>
              </w:rPr>
            </w:pPr>
          </w:p>
        </w:tc>
        <w:tc>
          <w:tcPr>
            <w:tcW w:w="732" w:type="dxa"/>
            <w:vMerge w:val="restart"/>
            <w:tcBorders>
              <w:bottom w:val="nil"/>
            </w:tcBorders>
            <w:shd w:val="clear" w:color="auto" w:fill="FCE4D6"/>
          </w:tcPr>
          <w:p w14:paraId="0071EA82" w14:textId="77777777" w:rsidR="00F65BCA" w:rsidRDefault="00F65BCA">
            <w:pPr>
              <w:pStyle w:val="TableParagraph"/>
              <w:rPr>
                <w:rFonts w:ascii="Calibri"/>
                <w:sz w:val="2"/>
              </w:rPr>
            </w:pPr>
          </w:p>
          <w:p w14:paraId="2D3E3174" w14:textId="77777777" w:rsidR="00F65BCA" w:rsidRDefault="00F65BCA">
            <w:pPr>
              <w:pStyle w:val="TableParagraph"/>
              <w:rPr>
                <w:rFonts w:ascii="Calibri"/>
                <w:sz w:val="2"/>
              </w:rPr>
            </w:pPr>
          </w:p>
          <w:p w14:paraId="45FBF9C5" w14:textId="77777777" w:rsidR="00F65BCA" w:rsidRDefault="00216117">
            <w:pPr>
              <w:pStyle w:val="TableParagraph"/>
              <w:spacing w:before="17"/>
              <w:ind w:left="18" w:right="18"/>
              <w:jc w:val="center"/>
              <w:rPr>
                <w:sz w:val="3"/>
              </w:rPr>
            </w:pPr>
            <w:r>
              <w:rPr>
                <w:w w:val="105"/>
                <w:sz w:val="3"/>
              </w:rPr>
              <w:t>Renault</w:t>
            </w:r>
          </w:p>
        </w:tc>
        <w:tc>
          <w:tcPr>
            <w:tcW w:w="958" w:type="dxa"/>
            <w:gridSpan w:val="2"/>
            <w:shd w:val="clear" w:color="auto" w:fill="FCE4D6"/>
          </w:tcPr>
          <w:p w14:paraId="6EA9DC9C" w14:textId="77777777" w:rsidR="00F65BCA" w:rsidRDefault="00F65BCA">
            <w:pPr>
              <w:pStyle w:val="TableParagraph"/>
              <w:rPr>
                <w:rFonts w:ascii="Calibri"/>
                <w:sz w:val="2"/>
              </w:rPr>
            </w:pPr>
          </w:p>
          <w:p w14:paraId="05812D55" w14:textId="77777777" w:rsidR="00F65BCA" w:rsidRDefault="00216117">
            <w:pPr>
              <w:pStyle w:val="TableParagraph"/>
              <w:ind w:left="4"/>
              <w:rPr>
                <w:sz w:val="3"/>
              </w:rPr>
            </w:pPr>
            <w:r>
              <w:rPr>
                <w:w w:val="105"/>
                <w:sz w:val="3"/>
              </w:rPr>
              <w:t>C; D; JINÉ; K; KERAX; MAGNUM; MAJOR; PREMIUM; T</w:t>
            </w:r>
          </w:p>
        </w:tc>
        <w:tc>
          <w:tcPr>
            <w:tcW w:w="576" w:type="dxa"/>
            <w:shd w:val="clear" w:color="auto" w:fill="FCE4D6"/>
          </w:tcPr>
          <w:p w14:paraId="47B4D5A5" w14:textId="77777777" w:rsidR="00F65BCA" w:rsidRDefault="00F65BCA">
            <w:pPr>
              <w:pStyle w:val="TableParagraph"/>
              <w:rPr>
                <w:rFonts w:ascii="Calibri"/>
                <w:sz w:val="2"/>
              </w:rPr>
            </w:pPr>
          </w:p>
          <w:p w14:paraId="7F74E484" w14:textId="77777777" w:rsidR="00F65BCA" w:rsidRDefault="00216117">
            <w:pPr>
              <w:pStyle w:val="TableParagraph"/>
              <w:ind w:left="3"/>
              <w:jc w:val="center"/>
              <w:rPr>
                <w:sz w:val="3"/>
              </w:rPr>
            </w:pPr>
            <w:r>
              <w:rPr>
                <w:w w:val="103"/>
                <w:sz w:val="3"/>
              </w:rPr>
              <w:t>-</w:t>
            </w:r>
          </w:p>
        </w:tc>
        <w:tc>
          <w:tcPr>
            <w:tcW w:w="576" w:type="dxa"/>
            <w:shd w:val="clear" w:color="auto" w:fill="FCE4D6"/>
          </w:tcPr>
          <w:p w14:paraId="426FAA64" w14:textId="77777777" w:rsidR="00F65BCA" w:rsidRDefault="00F65BCA">
            <w:pPr>
              <w:pStyle w:val="TableParagraph"/>
              <w:rPr>
                <w:rFonts w:ascii="Calibri"/>
                <w:sz w:val="2"/>
              </w:rPr>
            </w:pPr>
          </w:p>
          <w:p w14:paraId="50E8A3B5" w14:textId="77777777" w:rsidR="00F65BCA" w:rsidRDefault="00216117">
            <w:pPr>
              <w:pStyle w:val="TableParagraph"/>
              <w:ind w:left="4"/>
              <w:jc w:val="center"/>
              <w:rPr>
                <w:sz w:val="3"/>
              </w:rPr>
            </w:pPr>
            <w:r>
              <w:rPr>
                <w:w w:val="103"/>
                <w:sz w:val="3"/>
              </w:rPr>
              <w:t>-</w:t>
            </w:r>
          </w:p>
        </w:tc>
        <w:tc>
          <w:tcPr>
            <w:tcW w:w="50" w:type="dxa"/>
            <w:vMerge/>
            <w:tcBorders>
              <w:top w:val="nil"/>
              <w:bottom w:val="nil"/>
            </w:tcBorders>
          </w:tcPr>
          <w:p w14:paraId="07DD2761" w14:textId="77777777" w:rsidR="00F65BCA" w:rsidRDefault="00F65BCA">
            <w:pPr>
              <w:rPr>
                <w:sz w:val="2"/>
                <w:szCs w:val="2"/>
              </w:rPr>
            </w:pPr>
          </w:p>
        </w:tc>
        <w:tc>
          <w:tcPr>
            <w:tcW w:w="288" w:type="dxa"/>
          </w:tcPr>
          <w:p w14:paraId="4A3C78CC" w14:textId="77777777" w:rsidR="00F65BCA" w:rsidRDefault="00F65BCA">
            <w:pPr>
              <w:pStyle w:val="TableParagraph"/>
              <w:rPr>
                <w:rFonts w:ascii="Calibri"/>
                <w:sz w:val="2"/>
              </w:rPr>
            </w:pPr>
          </w:p>
          <w:p w14:paraId="0CF30BAB" w14:textId="77777777" w:rsidR="00F65BCA" w:rsidRDefault="00216117">
            <w:pPr>
              <w:pStyle w:val="TableParagraph"/>
              <w:ind w:left="24" w:right="24"/>
              <w:jc w:val="center"/>
              <w:rPr>
                <w:sz w:val="3"/>
              </w:rPr>
            </w:pPr>
            <w:r>
              <w:rPr>
                <w:w w:val="105"/>
                <w:sz w:val="3"/>
              </w:rPr>
              <w:t>1,02049000%</w:t>
            </w:r>
          </w:p>
        </w:tc>
        <w:tc>
          <w:tcPr>
            <w:tcW w:w="288" w:type="dxa"/>
          </w:tcPr>
          <w:p w14:paraId="631365A0" w14:textId="77777777" w:rsidR="00F65BCA" w:rsidRDefault="00F65BCA">
            <w:pPr>
              <w:pStyle w:val="TableParagraph"/>
              <w:rPr>
                <w:rFonts w:ascii="Calibri"/>
                <w:sz w:val="2"/>
              </w:rPr>
            </w:pPr>
          </w:p>
          <w:p w14:paraId="7A2EA867" w14:textId="77777777" w:rsidR="00F65BCA" w:rsidRDefault="00216117">
            <w:pPr>
              <w:pStyle w:val="TableParagraph"/>
              <w:ind w:left="24" w:right="24"/>
              <w:jc w:val="center"/>
              <w:rPr>
                <w:sz w:val="3"/>
              </w:rPr>
            </w:pPr>
            <w:r>
              <w:rPr>
                <w:w w:val="105"/>
                <w:sz w:val="3"/>
              </w:rPr>
              <w:t>0,91307000%</w:t>
            </w:r>
          </w:p>
        </w:tc>
        <w:tc>
          <w:tcPr>
            <w:tcW w:w="288" w:type="dxa"/>
          </w:tcPr>
          <w:p w14:paraId="6AFF6C3B" w14:textId="77777777" w:rsidR="00F65BCA" w:rsidRDefault="00F65BCA">
            <w:pPr>
              <w:pStyle w:val="TableParagraph"/>
              <w:rPr>
                <w:rFonts w:ascii="Calibri"/>
                <w:sz w:val="2"/>
              </w:rPr>
            </w:pPr>
          </w:p>
          <w:p w14:paraId="63E7F42A" w14:textId="77777777" w:rsidR="00F65BCA" w:rsidRDefault="00216117">
            <w:pPr>
              <w:pStyle w:val="TableParagraph"/>
              <w:ind w:left="47"/>
              <w:rPr>
                <w:sz w:val="3"/>
              </w:rPr>
            </w:pPr>
            <w:r>
              <w:rPr>
                <w:w w:val="105"/>
                <w:sz w:val="3"/>
              </w:rPr>
              <w:t>0,91307000%</w:t>
            </w:r>
          </w:p>
        </w:tc>
        <w:tc>
          <w:tcPr>
            <w:tcW w:w="288" w:type="dxa"/>
          </w:tcPr>
          <w:p w14:paraId="548EDC47" w14:textId="77777777" w:rsidR="00F65BCA" w:rsidRDefault="00F65BCA">
            <w:pPr>
              <w:pStyle w:val="TableParagraph"/>
              <w:rPr>
                <w:rFonts w:ascii="Calibri"/>
                <w:sz w:val="2"/>
              </w:rPr>
            </w:pPr>
          </w:p>
          <w:p w14:paraId="07A574A6" w14:textId="77777777" w:rsidR="00F65BCA" w:rsidRDefault="00216117">
            <w:pPr>
              <w:pStyle w:val="TableParagraph"/>
              <w:ind w:left="24" w:right="24"/>
              <w:jc w:val="center"/>
              <w:rPr>
                <w:sz w:val="3"/>
              </w:rPr>
            </w:pPr>
            <w:r>
              <w:rPr>
                <w:w w:val="105"/>
                <w:sz w:val="3"/>
              </w:rPr>
              <w:t>0,83250500%</w:t>
            </w:r>
          </w:p>
        </w:tc>
        <w:tc>
          <w:tcPr>
            <w:tcW w:w="288" w:type="dxa"/>
          </w:tcPr>
          <w:p w14:paraId="7178CA83" w14:textId="77777777" w:rsidR="00F65BCA" w:rsidRDefault="00F65BCA">
            <w:pPr>
              <w:pStyle w:val="TableParagraph"/>
              <w:rPr>
                <w:rFonts w:ascii="Calibri"/>
                <w:sz w:val="2"/>
              </w:rPr>
            </w:pPr>
          </w:p>
          <w:p w14:paraId="41FDE4FF" w14:textId="77777777" w:rsidR="00F65BCA" w:rsidRDefault="00216117">
            <w:pPr>
              <w:pStyle w:val="TableParagraph"/>
              <w:ind w:left="47"/>
              <w:rPr>
                <w:sz w:val="3"/>
              </w:rPr>
            </w:pPr>
            <w:r>
              <w:rPr>
                <w:w w:val="105"/>
                <w:sz w:val="3"/>
              </w:rPr>
              <w:t>0,83250500%</w:t>
            </w:r>
          </w:p>
        </w:tc>
        <w:tc>
          <w:tcPr>
            <w:tcW w:w="288" w:type="dxa"/>
          </w:tcPr>
          <w:p w14:paraId="4446E992" w14:textId="77777777" w:rsidR="00F65BCA" w:rsidRDefault="00F65BCA">
            <w:pPr>
              <w:pStyle w:val="TableParagraph"/>
              <w:rPr>
                <w:rFonts w:ascii="Calibri"/>
                <w:sz w:val="2"/>
              </w:rPr>
            </w:pPr>
          </w:p>
          <w:p w14:paraId="6F7B6532" w14:textId="77777777" w:rsidR="00F65BCA" w:rsidRDefault="00216117">
            <w:pPr>
              <w:pStyle w:val="TableParagraph"/>
              <w:ind w:left="24" w:right="24"/>
              <w:jc w:val="center"/>
              <w:rPr>
                <w:sz w:val="3"/>
              </w:rPr>
            </w:pPr>
            <w:r>
              <w:rPr>
                <w:w w:val="105"/>
                <w:sz w:val="3"/>
              </w:rPr>
              <w:t>0,75194000%</w:t>
            </w:r>
          </w:p>
        </w:tc>
        <w:tc>
          <w:tcPr>
            <w:tcW w:w="288" w:type="dxa"/>
          </w:tcPr>
          <w:p w14:paraId="6BE6233A" w14:textId="77777777" w:rsidR="00F65BCA" w:rsidRDefault="00F65BCA">
            <w:pPr>
              <w:pStyle w:val="TableParagraph"/>
              <w:rPr>
                <w:rFonts w:ascii="Calibri"/>
                <w:sz w:val="2"/>
              </w:rPr>
            </w:pPr>
          </w:p>
          <w:p w14:paraId="76E24FD8" w14:textId="77777777" w:rsidR="00F65BCA" w:rsidRDefault="00216117">
            <w:pPr>
              <w:pStyle w:val="TableParagraph"/>
              <w:ind w:left="24" w:right="24"/>
              <w:jc w:val="center"/>
              <w:rPr>
                <w:sz w:val="3"/>
              </w:rPr>
            </w:pPr>
            <w:r>
              <w:rPr>
                <w:w w:val="105"/>
                <w:sz w:val="3"/>
              </w:rPr>
              <w:t>0,75194000%</w:t>
            </w:r>
          </w:p>
        </w:tc>
        <w:tc>
          <w:tcPr>
            <w:tcW w:w="288" w:type="dxa"/>
          </w:tcPr>
          <w:p w14:paraId="631E0156" w14:textId="77777777" w:rsidR="00F65BCA" w:rsidRDefault="00F65BCA">
            <w:pPr>
              <w:pStyle w:val="TableParagraph"/>
              <w:rPr>
                <w:rFonts w:ascii="Calibri"/>
                <w:sz w:val="2"/>
              </w:rPr>
            </w:pPr>
          </w:p>
          <w:p w14:paraId="1126216D" w14:textId="77777777" w:rsidR="00F65BCA" w:rsidRDefault="00216117">
            <w:pPr>
              <w:pStyle w:val="TableParagraph"/>
              <w:ind w:left="47"/>
              <w:rPr>
                <w:sz w:val="3"/>
              </w:rPr>
            </w:pPr>
            <w:r>
              <w:rPr>
                <w:w w:val="105"/>
                <w:sz w:val="3"/>
              </w:rPr>
              <w:t>0,67137500%</w:t>
            </w:r>
          </w:p>
        </w:tc>
        <w:tc>
          <w:tcPr>
            <w:tcW w:w="288" w:type="dxa"/>
          </w:tcPr>
          <w:p w14:paraId="7EDD1CA0" w14:textId="77777777" w:rsidR="00F65BCA" w:rsidRDefault="00F65BCA">
            <w:pPr>
              <w:pStyle w:val="TableParagraph"/>
              <w:rPr>
                <w:rFonts w:ascii="Calibri"/>
                <w:sz w:val="2"/>
              </w:rPr>
            </w:pPr>
          </w:p>
          <w:p w14:paraId="03A011A7" w14:textId="77777777" w:rsidR="00F65BCA" w:rsidRDefault="00216117">
            <w:pPr>
              <w:pStyle w:val="TableParagraph"/>
              <w:ind w:left="24" w:right="24"/>
              <w:jc w:val="center"/>
              <w:rPr>
                <w:sz w:val="3"/>
              </w:rPr>
            </w:pPr>
            <w:r>
              <w:rPr>
                <w:w w:val="105"/>
                <w:sz w:val="3"/>
              </w:rPr>
              <w:t>0,67137500%</w:t>
            </w:r>
          </w:p>
        </w:tc>
        <w:tc>
          <w:tcPr>
            <w:tcW w:w="288" w:type="dxa"/>
          </w:tcPr>
          <w:p w14:paraId="2ED1D9F5" w14:textId="77777777" w:rsidR="00F65BCA" w:rsidRDefault="00F65BCA">
            <w:pPr>
              <w:pStyle w:val="TableParagraph"/>
              <w:rPr>
                <w:rFonts w:ascii="Calibri"/>
                <w:sz w:val="2"/>
              </w:rPr>
            </w:pPr>
          </w:p>
          <w:p w14:paraId="43A35EE0" w14:textId="77777777" w:rsidR="00F65BCA" w:rsidRDefault="00216117">
            <w:pPr>
              <w:pStyle w:val="TableParagraph"/>
              <w:ind w:left="24" w:right="24"/>
              <w:jc w:val="center"/>
              <w:rPr>
                <w:sz w:val="3"/>
              </w:rPr>
            </w:pPr>
            <w:r>
              <w:rPr>
                <w:w w:val="105"/>
                <w:sz w:val="3"/>
              </w:rPr>
              <w:t>0,61766500%</w:t>
            </w:r>
          </w:p>
        </w:tc>
        <w:tc>
          <w:tcPr>
            <w:tcW w:w="288" w:type="dxa"/>
          </w:tcPr>
          <w:p w14:paraId="6D7B8D2A" w14:textId="77777777" w:rsidR="00F65BCA" w:rsidRDefault="00F65BCA">
            <w:pPr>
              <w:pStyle w:val="TableParagraph"/>
              <w:rPr>
                <w:rFonts w:ascii="Calibri"/>
                <w:sz w:val="2"/>
              </w:rPr>
            </w:pPr>
          </w:p>
          <w:p w14:paraId="37E383A3" w14:textId="77777777" w:rsidR="00F65BCA" w:rsidRDefault="00216117">
            <w:pPr>
              <w:pStyle w:val="TableParagraph"/>
              <w:ind w:left="24" w:right="24"/>
              <w:jc w:val="center"/>
              <w:rPr>
                <w:sz w:val="3"/>
              </w:rPr>
            </w:pPr>
            <w:r>
              <w:rPr>
                <w:w w:val="105"/>
                <w:sz w:val="3"/>
              </w:rPr>
              <w:t>0,59081000%</w:t>
            </w:r>
          </w:p>
        </w:tc>
        <w:tc>
          <w:tcPr>
            <w:tcW w:w="288" w:type="dxa"/>
          </w:tcPr>
          <w:p w14:paraId="2E3DD5F7" w14:textId="77777777" w:rsidR="00F65BCA" w:rsidRDefault="00F65BCA">
            <w:pPr>
              <w:pStyle w:val="TableParagraph"/>
              <w:rPr>
                <w:rFonts w:ascii="Calibri"/>
                <w:sz w:val="2"/>
              </w:rPr>
            </w:pPr>
          </w:p>
          <w:p w14:paraId="15461EBA" w14:textId="77777777" w:rsidR="00F65BCA" w:rsidRDefault="00216117">
            <w:pPr>
              <w:pStyle w:val="TableParagraph"/>
              <w:ind w:left="24" w:right="24"/>
              <w:jc w:val="center"/>
              <w:rPr>
                <w:sz w:val="3"/>
              </w:rPr>
            </w:pPr>
            <w:r>
              <w:rPr>
                <w:w w:val="105"/>
                <w:sz w:val="3"/>
              </w:rPr>
              <w:t>0,53710000%</w:t>
            </w:r>
          </w:p>
        </w:tc>
        <w:tc>
          <w:tcPr>
            <w:tcW w:w="288" w:type="dxa"/>
          </w:tcPr>
          <w:p w14:paraId="3E158FAD" w14:textId="77777777" w:rsidR="00F65BCA" w:rsidRDefault="00F65BCA">
            <w:pPr>
              <w:pStyle w:val="TableParagraph"/>
              <w:rPr>
                <w:rFonts w:ascii="Calibri"/>
                <w:sz w:val="2"/>
              </w:rPr>
            </w:pPr>
          </w:p>
          <w:p w14:paraId="5C35ABF9" w14:textId="77777777" w:rsidR="00F65BCA" w:rsidRDefault="00216117">
            <w:pPr>
              <w:pStyle w:val="TableParagraph"/>
              <w:ind w:left="47"/>
              <w:rPr>
                <w:sz w:val="3"/>
              </w:rPr>
            </w:pPr>
            <w:r>
              <w:rPr>
                <w:w w:val="105"/>
                <w:sz w:val="3"/>
              </w:rPr>
              <w:t>0,53710000%</w:t>
            </w:r>
          </w:p>
        </w:tc>
      </w:tr>
      <w:tr w:rsidR="00F65BCA" w14:paraId="51B7766B" w14:textId="77777777">
        <w:trPr>
          <w:trHeight w:val="39"/>
        </w:trPr>
        <w:tc>
          <w:tcPr>
            <w:tcW w:w="526" w:type="dxa"/>
            <w:vMerge/>
            <w:tcBorders>
              <w:top w:val="nil"/>
              <w:bottom w:val="nil"/>
            </w:tcBorders>
            <w:shd w:val="clear" w:color="auto" w:fill="FCE4D6"/>
          </w:tcPr>
          <w:p w14:paraId="0C149613" w14:textId="77777777" w:rsidR="00F65BCA" w:rsidRDefault="00F65BCA">
            <w:pPr>
              <w:rPr>
                <w:sz w:val="2"/>
                <w:szCs w:val="2"/>
              </w:rPr>
            </w:pPr>
          </w:p>
        </w:tc>
        <w:tc>
          <w:tcPr>
            <w:tcW w:w="732" w:type="dxa"/>
            <w:vMerge/>
            <w:tcBorders>
              <w:top w:val="nil"/>
              <w:bottom w:val="nil"/>
            </w:tcBorders>
            <w:shd w:val="clear" w:color="auto" w:fill="FCE4D6"/>
          </w:tcPr>
          <w:p w14:paraId="0CCE06EF" w14:textId="77777777" w:rsidR="00F65BCA" w:rsidRDefault="00F65BCA">
            <w:pPr>
              <w:rPr>
                <w:sz w:val="2"/>
                <w:szCs w:val="2"/>
              </w:rPr>
            </w:pPr>
          </w:p>
        </w:tc>
        <w:tc>
          <w:tcPr>
            <w:tcW w:w="958" w:type="dxa"/>
            <w:gridSpan w:val="2"/>
            <w:tcBorders>
              <w:bottom w:val="nil"/>
            </w:tcBorders>
            <w:shd w:val="clear" w:color="auto" w:fill="FCE4D6"/>
          </w:tcPr>
          <w:p w14:paraId="56ECC2DC" w14:textId="77777777" w:rsidR="00F65BCA" w:rsidRDefault="00216117">
            <w:pPr>
              <w:pStyle w:val="TableParagraph"/>
              <w:spacing w:before="4" w:line="15" w:lineRule="exact"/>
              <w:ind w:left="4"/>
              <w:rPr>
                <w:sz w:val="3"/>
              </w:rPr>
            </w:pPr>
            <w:r>
              <w:rPr>
                <w:w w:val="105"/>
                <w:sz w:val="3"/>
              </w:rPr>
              <w:t>MASCOTT; MASTER NAD 3,5 T; MAXITY NAD 3,5T;</w:t>
            </w:r>
          </w:p>
        </w:tc>
        <w:tc>
          <w:tcPr>
            <w:tcW w:w="576" w:type="dxa"/>
            <w:vMerge w:val="restart"/>
            <w:shd w:val="clear" w:color="auto" w:fill="FCE4D6"/>
          </w:tcPr>
          <w:p w14:paraId="53FC4910" w14:textId="77777777" w:rsidR="00F65BCA" w:rsidRDefault="00F65BCA">
            <w:pPr>
              <w:pStyle w:val="TableParagraph"/>
              <w:rPr>
                <w:rFonts w:ascii="Calibri"/>
                <w:sz w:val="2"/>
              </w:rPr>
            </w:pPr>
          </w:p>
          <w:p w14:paraId="108BCE2C" w14:textId="77777777" w:rsidR="00F65BCA" w:rsidRDefault="00216117">
            <w:pPr>
              <w:pStyle w:val="TableParagraph"/>
              <w:ind w:left="4"/>
              <w:jc w:val="center"/>
              <w:rPr>
                <w:sz w:val="3"/>
              </w:rPr>
            </w:pPr>
            <w:r>
              <w:rPr>
                <w:w w:val="103"/>
                <w:sz w:val="3"/>
              </w:rPr>
              <w:t>-</w:t>
            </w:r>
          </w:p>
        </w:tc>
        <w:tc>
          <w:tcPr>
            <w:tcW w:w="576" w:type="dxa"/>
            <w:vMerge w:val="restart"/>
            <w:shd w:val="clear" w:color="auto" w:fill="FCE4D6"/>
          </w:tcPr>
          <w:p w14:paraId="5E711BEA" w14:textId="77777777" w:rsidR="00F65BCA" w:rsidRDefault="00F65BCA">
            <w:pPr>
              <w:pStyle w:val="TableParagraph"/>
              <w:rPr>
                <w:rFonts w:ascii="Calibri"/>
                <w:sz w:val="2"/>
              </w:rPr>
            </w:pPr>
          </w:p>
          <w:p w14:paraId="3448C71C" w14:textId="77777777" w:rsidR="00F65BCA" w:rsidRDefault="00216117">
            <w:pPr>
              <w:pStyle w:val="TableParagraph"/>
              <w:ind w:left="4"/>
              <w:jc w:val="center"/>
              <w:rPr>
                <w:sz w:val="3"/>
              </w:rPr>
            </w:pPr>
            <w:r>
              <w:rPr>
                <w:w w:val="103"/>
                <w:sz w:val="3"/>
              </w:rPr>
              <w:t>-</w:t>
            </w:r>
          </w:p>
        </w:tc>
        <w:tc>
          <w:tcPr>
            <w:tcW w:w="50" w:type="dxa"/>
            <w:vMerge/>
            <w:tcBorders>
              <w:top w:val="nil"/>
              <w:bottom w:val="nil"/>
            </w:tcBorders>
          </w:tcPr>
          <w:p w14:paraId="670B549C" w14:textId="77777777" w:rsidR="00F65BCA" w:rsidRDefault="00F65BCA">
            <w:pPr>
              <w:rPr>
                <w:sz w:val="2"/>
                <w:szCs w:val="2"/>
              </w:rPr>
            </w:pPr>
          </w:p>
        </w:tc>
        <w:tc>
          <w:tcPr>
            <w:tcW w:w="288" w:type="dxa"/>
            <w:vMerge w:val="restart"/>
          </w:tcPr>
          <w:p w14:paraId="38B9E3E7" w14:textId="77777777" w:rsidR="00F65BCA" w:rsidRDefault="00F65BCA">
            <w:pPr>
              <w:pStyle w:val="TableParagraph"/>
              <w:rPr>
                <w:rFonts w:ascii="Calibri"/>
                <w:sz w:val="2"/>
              </w:rPr>
            </w:pPr>
          </w:p>
          <w:p w14:paraId="4E68D8BA" w14:textId="77777777" w:rsidR="00F65BCA" w:rsidRDefault="00216117">
            <w:pPr>
              <w:pStyle w:val="TableParagraph"/>
              <w:ind w:left="47"/>
              <w:rPr>
                <w:sz w:val="3"/>
              </w:rPr>
            </w:pPr>
            <w:r>
              <w:rPr>
                <w:w w:val="105"/>
                <w:sz w:val="3"/>
              </w:rPr>
              <w:t>1,02049000%</w:t>
            </w:r>
          </w:p>
        </w:tc>
        <w:tc>
          <w:tcPr>
            <w:tcW w:w="288" w:type="dxa"/>
            <w:vMerge w:val="restart"/>
          </w:tcPr>
          <w:p w14:paraId="274F402C" w14:textId="77777777" w:rsidR="00F65BCA" w:rsidRDefault="00F65BCA">
            <w:pPr>
              <w:pStyle w:val="TableParagraph"/>
              <w:rPr>
                <w:rFonts w:ascii="Calibri"/>
                <w:sz w:val="2"/>
              </w:rPr>
            </w:pPr>
          </w:p>
          <w:p w14:paraId="265DA157" w14:textId="77777777" w:rsidR="00F65BCA" w:rsidRDefault="00216117">
            <w:pPr>
              <w:pStyle w:val="TableParagraph"/>
              <w:ind w:left="47"/>
              <w:rPr>
                <w:sz w:val="3"/>
              </w:rPr>
            </w:pPr>
            <w:r>
              <w:rPr>
                <w:w w:val="105"/>
                <w:sz w:val="3"/>
              </w:rPr>
              <w:t>0,91307000%</w:t>
            </w:r>
          </w:p>
        </w:tc>
        <w:tc>
          <w:tcPr>
            <w:tcW w:w="288" w:type="dxa"/>
            <w:vMerge w:val="restart"/>
          </w:tcPr>
          <w:p w14:paraId="710359C6" w14:textId="77777777" w:rsidR="00F65BCA" w:rsidRDefault="00F65BCA">
            <w:pPr>
              <w:pStyle w:val="TableParagraph"/>
              <w:rPr>
                <w:rFonts w:ascii="Calibri"/>
                <w:sz w:val="2"/>
              </w:rPr>
            </w:pPr>
          </w:p>
          <w:p w14:paraId="2897F299" w14:textId="77777777" w:rsidR="00F65BCA" w:rsidRDefault="00216117">
            <w:pPr>
              <w:pStyle w:val="TableParagraph"/>
              <w:ind w:left="47"/>
              <w:rPr>
                <w:sz w:val="3"/>
              </w:rPr>
            </w:pPr>
            <w:r>
              <w:rPr>
                <w:w w:val="105"/>
                <w:sz w:val="3"/>
              </w:rPr>
              <w:t>0,91307000%</w:t>
            </w:r>
          </w:p>
        </w:tc>
        <w:tc>
          <w:tcPr>
            <w:tcW w:w="288" w:type="dxa"/>
            <w:vMerge w:val="restart"/>
          </w:tcPr>
          <w:p w14:paraId="6842A02F" w14:textId="77777777" w:rsidR="00F65BCA" w:rsidRDefault="00F65BCA">
            <w:pPr>
              <w:pStyle w:val="TableParagraph"/>
              <w:rPr>
                <w:rFonts w:ascii="Calibri"/>
                <w:sz w:val="2"/>
              </w:rPr>
            </w:pPr>
          </w:p>
          <w:p w14:paraId="5F082BA6" w14:textId="77777777" w:rsidR="00F65BCA" w:rsidRDefault="00216117">
            <w:pPr>
              <w:pStyle w:val="TableParagraph"/>
              <w:ind w:left="47"/>
              <w:rPr>
                <w:sz w:val="3"/>
              </w:rPr>
            </w:pPr>
            <w:r>
              <w:rPr>
                <w:w w:val="105"/>
                <w:sz w:val="3"/>
              </w:rPr>
              <w:t>0,83250500%</w:t>
            </w:r>
          </w:p>
        </w:tc>
        <w:tc>
          <w:tcPr>
            <w:tcW w:w="288" w:type="dxa"/>
            <w:vMerge w:val="restart"/>
          </w:tcPr>
          <w:p w14:paraId="577F73D1" w14:textId="77777777" w:rsidR="00F65BCA" w:rsidRDefault="00F65BCA">
            <w:pPr>
              <w:pStyle w:val="TableParagraph"/>
              <w:rPr>
                <w:rFonts w:ascii="Calibri"/>
                <w:sz w:val="2"/>
              </w:rPr>
            </w:pPr>
          </w:p>
          <w:p w14:paraId="4F8B0413" w14:textId="77777777" w:rsidR="00F65BCA" w:rsidRDefault="00216117">
            <w:pPr>
              <w:pStyle w:val="TableParagraph"/>
              <w:ind w:left="47"/>
              <w:rPr>
                <w:sz w:val="3"/>
              </w:rPr>
            </w:pPr>
            <w:r>
              <w:rPr>
                <w:w w:val="105"/>
                <w:sz w:val="3"/>
              </w:rPr>
              <w:t>0,83250500%</w:t>
            </w:r>
          </w:p>
        </w:tc>
        <w:tc>
          <w:tcPr>
            <w:tcW w:w="288" w:type="dxa"/>
            <w:vMerge w:val="restart"/>
          </w:tcPr>
          <w:p w14:paraId="23281D01" w14:textId="77777777" w:rsidR="00F65BCA" w:rsidRDefault="00F65BCA">
            <w:pPr>
              <w:pStyle w:val="TableParagraph"/>
              <w:rPr>
                <w:rFonts w:ascii="Calibri"/>
                <w:sz w:val="2"/>
              </w:rPr>
            </w:pPr>
          </w:p>
          <w:p w14:paraId="54ED6982" w14:textId="77777777" w:rsidR="00F65BCA" w:rsidRDefault="00216117">
            <w:pPr>
              <w:pStyle w:val="TableParagraph"/>
              <w:ind w:left="47"/>
              <w:rPr>
                <w:sz w:val="3"/>
              </w:rPr>
            </w:pPr>
            <w:r>
              <w:rPr>
                <w:w w:val="105"/>
                <w:sz w:val="3"/>
              </w:rPr>
              <w:t>0,75194000%</w:t>
            </w:r>
          </w:p>
        </w:tc>
        <w:tc>
          <w:tcPr>
            <w:tcW w:w="288" w:type="dxa"/>
            <w:vMerge w:val="restart"/>
          </w:tcPr>
          <w:p w14:paraId="32F57845" w14:textId="77777777" w:rsidR="00F65BCA" w:rsidRDefault="00F65BCA">
            <w:pPr>
              <w:pStyle w:val="TableParagraph"/>
              <w:rPr>
                <w:rFonts w:ascii="Calibri"/>
                <w:sz w:val="2"/>
              </w:rPr>
            </w:pPr>
          </w:p>
          <w:p w14:paraId="0E13B2F4" w14:textId="77777777" w:rsidR="00F65BCA" w:rsidRDefault="00216117">
            <w:pPr>
              <w:pStyle w:val="TableParagraph"/>
              <w:ind w:left="47"/>
              <w:rPr>
                <w:sz w:val="3"/>
              </w:rPr>
            </w:pPr>
            <w:r>
              <w:rPr>
                <w:w w:val="105"/>
                <w:sz w:val="3"/>
              </w:rPr>
              <w:t>0,75194000%</w:t>
            </w:r>
          </w:p>
        </w:tc>
        <w:tc>
          <w:tcPr>
            <w:tcW w:w="288" w:type="dxa"/>
            <w:vMerge w:val="restart"/>
          </w:tcPr>
          <w:p w14:paraId="24C503D9" w14:textId="77777777" w:rsidR="00F65BCA" w:rsidRDefault="00F65BCA">
            <w:pPr>
              <w:pStyle w:val="TableParagraph"/>
              <w:rPr>
                <w:rFonts w:ascii="Calibri"/>
                <w:sz w:val="2"/>
              </w:rPr>
            </w:pPr>
          </w:p>
          <w:p w14:paraId="35316111" w14:textId="77777777" w:rsidR="00F65BCA" w:rsidRDefault="00216117">
            <w:pPr>
              <w:pStyle w:val="TableParagraph"/>
              <w:ind w:left="47"/>
              <w:rPr>
                <w:sz w:val="3"/>
              </w:rPr>
            </w:pPr>
            <w:r>
              <w:rPr>
                <w:w w:val="105"/>
                <w:sz w:val="3"/>
              </w:rPr>
              <w:t>0,67137500%</w:t>
            </w:r>
          </w:p>
        </w:tc>
        <w:tc>
          <w:tcPr>
            <w:tcW w:w="288" w:type="dxa"/>
            <w:vMerge w:val="restart"/>
          </w:tcPr>
          <w:p w14:paraId="42659CB9" w14:textId="77777777" w:rsidR="00F65BCA" w:rsidRDefault="00F65BCA">
            <w:pPr>
              <w:pStyle w:val="TableParagraph"/>
              <w:rPr>
                <w:rFonts w:ascii="Calibri"/>
                <w:sz w:val="2"/>
              </w:rPr>
            </w:pPr>
          </w:p>
          <w:p w14:paraId="4F3A2CFD" w14:textId="77777777" w:rsidR="00F65BCA" w:rsidRDefault="00216117">
            <w:pPr>
              <w:pStyle w:val="TableParagraph"/>
              <w:ind w:left="47"/>
              <w:rPr>
                <w:sz w:val="3"/>
              </w:rPr>
            </w:pPr>
            <w:r>
              <w:rPr>
                <w:w w:val="105"/>
                <w:sz w:val="3"/>
              </w:rPr>
              <w:t>0,67137500%</w:t>
            </w:r>
          </w:p>
        </w:tc>
        <w:tc>
          <w:tcPr>
            <w:tcW w:w="288" w:type="dxa"/>
            <w:vMerge w:val="restart"/>
          </w:tcPr>
          <w:p w14:paraId="05DCC034" w14:textId="77777777" w:rsidR="00F65BCA" w:rsidRDefault="00F65BCA">
            <w:pPr>
              <w:pStyle w:val="TableParagraph"/>
              <w:rPr>
                <w:rFonts w:ascii="Calibri"/>
                <w:sz w:val="2"/>
              </w:rPr>
            </w:pPr>
          </w:p>
          <w:p w14:paraId="00C639A6" w14:textId="77777777" w:rsidR="00F65BCA" w:rsidRDefault="00216117">
            <w:pPr>
              <w:pStyle w:val="TableParagraph"/>
              <w:ind w:left="47"/>
              <w:rPr>
                <w:sz w:val="3"/>
              </w:rPr>
            </w:pPr>
            <w:r>
              <w:rPr>
                <w:w w:val="105"/>
                <w:sz w:val="3"/>
              </w:rPr>
              <w:t>0,61766500%</w:t>
            </w:r>
          </w:p>
        </w:tc>
        <w:tc>
          <w:tcPr>
            <w:tcW w:w="288" w:type="dxa"/>
            <w:vMerge w:val="restart"/>
          </w:tcPr>
          <w:p w14:paraId="4F9E55F8" w14:textId="77777777" w:rsidR="00F65BCA" w:rsidRDefault="00F65BCA">
            <w:pPr>
              <w:pStyle w:val="TableParagraph"/>
              <w:rPr>
                <w:rFonts w:ascii="Calibri"/>
                <w:sz w:val="2"/>
              </w:rPr>
            </w:pPr>
          </w:p>
          <w:p w14:paraId="0854DB92" w14:textId="77777777" w:rsidR="00F65BCA" w:rsidRDefault="00216117">
            <w:pPr>
              <w:pStyle w:val="TableParagraph"/>
              <w:ind w:left="47"/>
              <w:rPr>
                <w:sz w:val="3"/>
              </w:rPr>
            </w:pPr>
            <w:r>
              <w:rPr>
                <w:w w:val="105"/>
                <w:sz w:val="3"/>
              </w:rPr>
              <w:t>0,59081000%</w:t>
            </w:r>
          </w:p>
        </w:tc>
        <w:tc>
          <w:tcPr>
            <w:tcW w:w="288" w:type="dxa"/>
            <w:vMerge w:val="restart"/>
          </w:tcPr>
          <w:p w14:paraId="3A783220" w14:textId="77777777" w:rsidR="00F65BCA" w:rsidRDefault="00F65BCA">
            <w:pPr>
              <w:pStyle w:val="TableParagraph"/>
              <w:rPr>
                <w:rFonts w:ascii="Calibri"/>
                <w:sz w:val="2"/>
              </w:rPr>
            </w:pPr>
          </w:p>
          <w:p w14:paraId="3027D768" w14:textId="77777777" w:rsidR="00F65BCA" w:rsidRDefault="00216117">
            <w:pPr>
              <w:pStyle w:val="TableParagraph"/>
              <w:ind w:left="47"/>
              <w:rPr>
                <w:sz w:val="3"/>
              </w:rPr>
            </w:pPr>
            <w:r>
              <w:rPr>
                <w:w w:val="105"/>
                <w:sz w:val="3"/>
              </w:rPr>
              <w:t>0,53710000%</w:t>
            </w:r>
          </w:p>
        </w:tc>
        <w:tc>
          <w:tcPr>
            <w:tcW w:w="288" w:type="dxa"/>
            <w:vMerge w:val="restart"/>
          </w:tcPr>
          <w:p w14:paraId="037F8C33" w14:textId="77777777" w:rsidR="00F65BCA" w:rsidRDefault="00F65BCA">
            <w:pPr>
              <w:pStyle w:val="TableParagraph"/>
              <w:rPr>
                <w:rFonts w:ascii="Calibri"/>
                <w:sz w:val="2"/>
              </w:rPr>
            </w:pPr>
          </w:p>
          <w:p w14:paraId="4F3224B8" w14:textId="77777777" w:rsidR="00F65BCA" w:rsidRDefault="00216117">
            <w:pPr>
              <w:pStyle w:val="TableParagraph"/>
              <w:ind w:left="47"/>
              <w:rPr>
                <w:sz w:val="3"/>
              </w:rPr>
            </w:pPr>
            <w:r>
              <w:rPr>
                <w:w w:val="105"/>
                <w:sz w:val="3"/>
              </w:rPr>
              <w:t>0,53710000%</w:t>
            </w:r>
          </w:p>
        </w:tc>
      </w:tr>
      <w:tr w:rsidR="00F65BCA" w14:paraId="4794223B" w14:textId="77777777">
        <w:trPr>
          <w:trHeight w:val="37"/>
        </w:trPr>
        <w:tc>
          <w:tcPr>
            <w:tcW w:w="526" w:type="dxa"/>
            <w:tcBorders>
              <w:top w:val="nil"/>
              <w:bottom w:val="nil"/>
            </w:tcBorders>
            <w:shd w:val="clear" w:color="auto" w:fill="FCE4D6"/>
          </w:tcPr>
          <w:p w14:paraId="0646BCF8" w14:textId="77777777" w:rsidR="00F65BCA" w:rsidRDefault="00216117">
            <w:pPr>
              <w:pStyle w:val="TableParagraph"/>
              <w:spacing w:line="16" w:lineRule="exact"/>
              <w:ind w:right="125"/>
              <w:jc w:val="right"/>
              <w:rPr>
                <w:sz w:val="3"/>
              </w:rPr>
            </w:pPr>
            <w:r>
              <w:rPr>
                <w:w w:val="105"/>
                <w:sz w:val="3"/>
              </w:rPr>
              <w:t>speciální automobil</w:t>
            </w:r>
          </w:p>
        </w:tc>
        <w:tc>
          <w:tcPr>
            <w:tcW w:w="732" w:type="dxa"/>
            <w:tcBorders>
              <w:top w:val="nil"/>
            </w:tcBorders>
            <w:shd w:val="clear" w:color="auto" w:fill="FCE4D6"/>
          </w:tcPr>
          <w:p w14:paraId="62CC1E41" w14:textId="77777777" w:rsidR="00F65BCA" w:rsidRDefault="00F65BCA">
            <w:pPr>
              <w:pStyle w:val="TableParagraph"/>
              <w:rPr>
                <w:rFonts w:ascii="Times New Roman"/>
                <w:sz w:val="2"/>
              </w:rPr>
            </w:pPr>
          </w:p>
        </w:tc>
        <w:tc>
          <w:tcPr>
            <w:tcW w:w="958" w:type="dxa"/>
            <w:gridSpan w:val="2"/>
            <w:tcBorders>
              <w:top w:val="nil"/>
            </w:tcBorders>
            <w:shd w:val="clear" w:color="auto" w:fill="FCE4D6"/>
          </w:tcPr>
          <w:p w14:paraId="4BB18B3D" w14:textId="77777777" w:rsidR="00F65BCA" w:rsidRDefault="00216117">
            <w:pPr>
              <w:pStyle w:val="TableParagraph"/>
              <w:spacing w:line="16" w:lineRule="exact"/>
              <w:ind w:left="4"/>
              <w:rPr>
                <w:sz w:val="3"/>
              </w:rPr>
            </w:pPr>
            <w:r>
              <w:rPr>
                <w:w w:val="105"/>
                <w:sz w:val="3"/>
              </w:rPr>
              <w:t>MESSENGER; MIDLINER; MIDLUM</w:t>
            </w:r>
          </w:p>
        </w:tc>
        <w:tc>
          <w:tcPr>
            <w:tcW w:w="576" w:type="dxa"/>
            <w:vMerge/>
            <w:tcBorders>
              <w:top w:val="nil"/>
            </w:tcBorders>
            <w:shd w:val="clear" w:color="auto" w:fill="FCE4D6"/>
          </w:tcPr>
          <w:p w14:paraId="75378503" w14:textId="77777777" w:rsidR="00F65BCA" w:rsidRDefault="00F65BCA">
            <w:pPr>
              <w:rPr>
                <w:sz w:val="2"/>
                <w:szCs w:val="2"/>
              </w:rPr>
            </w:pPr>
          </w:p>
        </w:tc>
        <w:tc>
          <w:tcPr>
            <w:tcW w:w="576" w:type="dxa"/>
            <w:vMerge/>
            <w:tcBorders>
              <w:top w:val="nil"/>
            </w:tcBorders>
            <w:shd w:val="clear" w:color="auto" w:fill="FCE4D6"/>
          </w:tcPr>
          <w:p w14:paraId="6DF6CCD5" w14:textId="77777777" w:rsidR="00F65BCA" w:rsidRDefault="00F65BCA">
            <w:pPr>
              <w:rPr>
                <w:sz w:val="2"/>
                <w:szCs w:val="2"/>
              </w:rPr>
            </w:pPr>
          </w:p>
        </w:tc>
        <w:tc>
          <w:tcPr>
            <w:tcW w:w="50" w:type="dxa"/>
            <w:vMerge/>
            <w:tcBorders>
              <w:top w:val="nil"/>
              <w:bottom w:val="nil"/>
            </w:tcBorders>
          </w:tcPr>
          <w:p w14:paraId="301CF440" w14:textId="77777777" w:rsidR="00F65BCA" w:rsidRDefault="00F65BCA">
            <w:pPr>
              <w:rPr>
                <w:sz w:val="2"/>
                <w:szCs w:val="2"/>
              </w:rPr>
            </w:pPr>
          </w:p>
        </w:tc>
        <w:tc>
          <w:tcPr>
            <w:tcW w:w="288" w:type="dxa"/>
            <w:vMerge/>
            <w:tcBorders>
              <w:top w:val="nil"/>
            </w:tcBorders>
          </w:tcPr>
          <w:p w14:paraId="61D3123D" w14:textId="77777777" w:rsidR="00F65BCA" w:rsidRDefault="00F65BCA">
            <w:pPr>
              <w:rPr>
                <w:sz w:val="2"/>
                <w:szCs w:val="2"/>
              </w:rPr>
            </w:pPr>
          </w:p>
        </w:tc>
        <w:tc>
          <w:tcPr>
            <w:tcW w:w="288" w:type="dxa"/>
            <w:vMerge/>
            <w:tcBorders>
              <w:top w:val="nil"/>
            </w:tcBorders>
          </w:tcPr>
          <w:p w14:paraId="796FA9F0" w14:textId="77777777" w:rsidR="00F65BCA" w:rsidRDefault="00F65BCA">
            <w:pPr>
              <w:rPr>
                <w:sz w:val="2"/>
                <w:szCs w:val="2"/>
              </w:rPr>
            </w:pPr>
          </w:p>
        </w:tc>
        <w:tc>
          <w:tcPr>
            <w:tcW w:w="288" w:type="dxa"/>
            <w:vMerge/>
            <w:tcBorders>
              <w:top w:val="nil"/>
            </w:tcBorders>
          </w:tcPr>
          <w:p w14:paraId="4BD75F16" w14:textId="77777777" w:rsidR="00F65BCA" w:rsidRDefault="00F65BCA">
            <w:pPr>
              <w:rPr>
                <w:sz w:val="2"/>
                <w:szCs w:val="2"/>
              </w:rPr>
            </w:pPr>
          </w:p>
        </w:tc>
        <w:tc>
          <w:tcPr>
            <w:tcW w:w="288" w:type="dxa"/>
            <w:vMerge/>
            <w:tcBorders>
              <w:top w:val="nil"/>
            </w:tcBorders>
          </w:tcPr>
          <w:p w14:paraId="2067B56C" w14:textId="77777777" w:rsidR="00F65BCA" w:rsidRDefault="00F65BCA">
            <w:pPr>
              <w:rPr>
                <w:sz w:val="2"/>
                <w:szCs w:val="2"/>
              </w:rPr>
            </w:pPr>
          </w:p>
        </w:tc>
        <w:tc>
          <w:tcPr>
            <w:tcW w:w="288" w:type="dxa"/>
            <w:vMerge/>
            <w:tcBorders>
              <w:top w:val="nil"/>
            </w:tcBorders>
          </w:tcPr>
          <w:p w14:paraId="45A7AF53" w14:textId="77777777" w:rsidR="00F65BCA" w:rsidRDefault="00F65BCA">
            <w:pPr>
              <w:rPr>
                <w:sz w:val="2"/>
                <w:szCs w:val="2"/>
              </w:rPr>
            </w:pPr>
          </w:p>
        </w:tc>
        <w:tc>
          <w:tcPr>
            <w:tcW w:w="288" w:type="dxa"/>
            <w:vMerge/>
            <w:tcBorders>
              <w:top w:val="nil"/>
            </w:tcBorders>
          </w:tcPr>
          <w:p w14:paraId="4CFDDABE" w14:textId="77777777" w:rsidR="00F65BCA" w:rsidRDefault="00F65BCA">
            <w:pPr>
              <w:rPr>
                <w:sz w:val="2"/>
                <w:szCs w:val="2"/>
              </w:rPr>
            </w:pPr>
          </w:p>
        </w:tc>
        <w:tc>
          <w:tcPr>
            <w:tcW w:w="288" w:type="dxa"/>
            <w:vMerge/>
            <w:tcBorders>
              <w:top w:val="nil"/>
            </w:tcBorders>
          </w:tcPr>
          <w:p w14:paraId="41BD91D3" w14:textId="77777777" w:rsidR="00F65BCA" w:rsidRDefault="00F65BCA">
            <w:pPr>
              <w:rPr>
                <w:sz w:val="2"/>
                <w:szCs w:val="2"/>
              </w:rPr>
            </w:pPr>
          </w:p>
        </w:tc>
        <w:tc>
          <w:tcPr>
            <w:tcW w:w="288" w:type="dxa"/>
            <w:vMerge/>
            <w:tcBorders>
              <w:top w:val="nil"/>
            </w:tcBorders>
          </w:tcPr>
          <w:p w14:paraId="20902D96" w14:textId="77777777" w:rsidR="00F65BCA" w:rsidRDefault="00F65BCA">
            <w:pPr>
              <w:rPr>
                <w:sz w:val="2"/>
                <w:szCs w:val="2"/>
              </w:rPr>
            </w:pPr>
          </w:p>
        </w:tc>
        <w:tc>
          <w:tcPr>
            <w:tcW w:w="288" w:type="dxa"/>
            <w:vMerge/>
            <w:tcBorders>
              <w:top w:val="nil"/>
            </w:tcBorders>
          </w:tcPr>
          <w:p w14:paraId="5631967A" w14:textId="77777777" w:rsidR="00F65BCA" w:rsidRDefault="00F65BCA">
            <w:pPr>
              <w:rPr>
                <w:sz w:val="2"/>
                <w:szCs w:val="2"/>
              </w:rPr>
            </w:pPr>
          </w:p>
        </w:tc>
        <w:tc>
          <w:tcPr>
            <w:tcW w:w="288" w:type="dxa"/>
            <w:vMerge/>
            <w:tcBorders>
              <w:top w:val="nil"/>
            </w:tcBorders>
          </w:tcPr>
          <w:p w14:paraId="4766AEFF" w14:textId="77777777" w:rsidR="00F65BCA" w:rsidRDefault="00F65BCA">
            <w:pPr>
              <w:rPr>
                <w:sz w:val="2"/>
                <w:szCs w:val="2"/>
              </w:rPr>
            </w:pPr>
          </w:p>
        </w:tc>
        <w:tc>
          <w:tcPr>
            <w:tcW w:w="288" w:type="dxa"/>
            <w:vMerge/>
            <w:tcBorders>
              <w:top w:val="nil"/>
            </w:tcBorders>
          </w:tcPr>
          <w:p w14:paraId="49543CF6" w14:textId="77777777" w:rsidR="00F65BCA" w:rsidRDefault="00F65BCA">
            <w:pPr>
              <w:rPr>
                <w:sz w:val="2"/>
                <w:szCs w:val="2"/>
              </w:rPr>
            </w:pPr>
          </w:p>
        </w:tc>
        <w:tc>
          <w:tcPr>
            <w:tcW w:w="288" w:type="dxa"/>
            <w:vMerge/>
            <w:tcBorders>
              <w:top w:val="nil"/>
            </w:tcBorders>
          </w:tcPr>
          <w:p w14:paraId="3FB3786B" w14:textId="77777777" w:rsidR="00F65BCA" w:rsidRDefault="00F65BCA">
            <w:pPr>
              <w:rPr>
                <w:sz w:val="2"/>
                <w:szCs w:val="2"/>
              </w:rPr>
            </w:pPr>
          </w:p>
        </w:tc>
        <w:tc>
          <w:tcPr>
            <w:tcW w:w="288" w:type="dxa"/>
            <w:vMerge/>
            <w:tcBorders>
              <w:top w:val="nil"/>
            </w:tcBorders>
          </w:tcPr>
          <w:p w14:paraId="631F6C8C" w14:textId="77777777" w:rsidR="00F65BCA" w:rsidRDefault="00F65BCA">
            <w:pPr>
              <w:rPr>
                <w:sz w:val="2"/>
                <w:szCs w:val="2"/>
              </w:rPr>
            </w:pPr>
          </w:p>
        </w:tc>
      </w:tr>
      <w:tr w:rsidR="00F65BCA" w14:paraId="18310B87" w14:textId="77777777">
        <w:trPr>
          <w:trHeight w:val="39"/>
        </w:trPr>
        <w:tc>
          <w:tcPr>
            <w:tcW w:w="526" w:type="dxa"/>
            <w:vMerge w:val="restart"/>
            <w:tcBorders>
              <w:top w:val="nil"/>
              <w:bottom w:val="nil"/>
            </w:tcBorders>
            <w:shd w:val="clear" w:color="auto" w:fill="FCE4D6"/>
          </w:tcPr>
          <w:p w14:paraId="18F21671" w14:textId="77777777" w:rsidR="00F65BCA" w:rsidRDefault="00F65BCA">
            <w:pPr>
              <w:pStyle w:val="TableParagraph"/>
              <w:rPr>
                <w:rFonts w:ascii="Times New Roman"/>
                <w:sz w:val="2"/>
              </w:rPr>
            </w:pPr>
          </w:p>
        </w:tc>
        <w:tc>
          <w:tcPr>
            <w:tcW w:w="732" w:type="dxa"/>
            <w:tcBorders>
              <w:bottom w:val="nil"/>
            </w:tcBorders>
            <w:shd w:val="clear" w:color="auto" w:fill="FCE4D6"/>
          </w:tcPr>
          <w:p w14:paraId="1A539AD6" w14:textId="77777777" w:rsidR="00F65BCA" w:rsidRDefault="00F65BCA">
            <w:pPr>
              <w:pStyle w:val="TableParagraph"/>
              <w:rPr>
                <w:rFonts w:ascii="Times New Roman"/>
                <w:sz w:val="2"/>
              </w:rPr>
            </w:pPr>
          </w:p>
        </w:tc>
        <w:tc>
          <w:tcPr>
            <w:tcW w:w="958" w:type="dxa"/>
            <w:gridSpan w:val="2"/>
            <w:tcBorders>
              <w:bottom w:val="nil"/>
            </w:tcBorders>
            <w:shd w:val="clear" w:color="auto" w:fill="FCE4D6"/>
          </w:tcPr>
          <w:p w14:paraId="1467B68C" w14:textId="77777777" w:rsidR="00F65BCA" w:rsidRDefault="00216117">
            <w:pPr>
              <w:pStyle w:val="TableParagraph"/>
              <w:spacing w:before="4" w:line="15" w:lineRule="exact"/>
              <w:ind w:left="4"/>
              <w:rPr>
                <w:sz w:val="3"/>
              </w:rPr>
            </w:pPr>
            <w:r>
              <w:rPr>
                <w:w w:val="105"/>
                <w:sz w:val="3"/>
              </w:rPr>
              <w:t>F 10; F 12; F 16; FE 7; FE 8; FH 12; FH 13; FH 16; FL 10; FL 7; FL</w:t>
            </w:r>
          </w:p>
        </w:tc>
        <w:tc>
          <w:tcPr>
            <w:tcW w:w="576" w:type="dxa"/>
            <w:vMerge w:val="restart"/>
            <w:shd w:val="clear" w:color="auto" w:fill="FCE4D6"/>
          </w:tcPr>
          <w:p w14:paraId="69D2D22D" w14:textId="77777777" w:rsidR="00F65BCA" w:rsidRDefault="00F65BCA">
            <w:pPr>
              <w:pStyle w:val="TableParagraph"/>
              <w:rPr>
                <w:rFonts w:ascii="Calibri"/>
                <w:sz w:val="2"/>
              </w:rPr>
            </w:pPr>
          </w:p>
          <w:p w14:paraId="57D606D3" w14:textId="77777777" w:rsidR="00F65BCA" w:rsidRDefault="00216117">
            <w:pPr>
              <w:pStyle w:val="TableParagraph"/>
              <w:ind w:left="3"/>
              <w:jc w:val="center"/>
              <w:rPr>
                <w:sz w:val="3"/>
              </w:rPr>
            </w:pPr>
            <w:r>
              <w:rPr>
                <w:w w:val="103"/>
                <w:sz w:val="3"/>
              </w:rPr>
              <w:t>-</w:t>
            </w:r>
          </w:p>
        </w:tc>
        <w:tc>
          <w:tcPr>
            <w:tcW w:w="576" w:type="dxa"/>
            <w:vMerge w:val="restart"/>
            <w:shd w:val="clear" w:color="auto" w:fill="FCE4D6"/>
          </w:tcPr>
          <w:p w14:paraId="48D0BDDE" w14:textId="77777777" w:rsidR="00F65BCA" w:rsidRDefault="00F65BCA">
            <w:pPr>
              <w:pStyle w:val="TableParagraph"/>
              <w:rPr>
                <w:rFonts w:ascii="Calibri"/>
                <w:sz w:val="2"/>
              </w:rPr>
            </w:pPr>
          </w:p>
          <w:p w14:paraId="0B10D919"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206559B1" w14:textId="77777777" w:rsidR="00F65BCA" w:rsidRDefault="00F65BCA">
            <w:pPr>
              <w:rPr>
                <w:sz w:val="2"/>
                <w:szCs w:val="2"/>
              </w:rPr>
            </w:pPr>
          </w:p>
        </w:tc>
        <w:tc>
          <w:tcPr>
            <w:tcW w:w="288" w:type="dxa"/>
            <w:vMerge w:val="restart"/>
          </w:tcPr>
          <w:p w14:paraId="6B2EAB52" w14:textId="77777777" w:rsidR="00F65BCA" w:rsidRDefault="00F65BCA">
            <w:pPr>
              <w:pStyle w:val="TableParagraph"/>
              <w:rPr>
                <w:rFonts w:ascii="Calibri"/>
                <w:sz w:val="2"/>
              </w:rPr>
            </w:pPr>
          </w:p>
          <w:p w14:paraId="786F68B0" w14:textId="77777777" w:rsidR="00F65BCA" w:rsidRDefault="00216117">
            <w:pPr>
              <w:pStyle w:val="TableParagraph"/>
              <w:ind w:left="47"/>
              <w:rPr>
                <w:sz w:val="3"/>
              </w:rPr>
            </w:pPr>
            <w:r>
              <w:rPr>
                <w:w w:val="105"/>
                <w:sz w:val="3"/>
              </w:rPr>
              <w:t>1,02049000%</w:t>
            </w:r>
          </w:p>
        </w:tc>
        <w:tc>
          <w:tcPr>
            <w:tcW w:w="288" w:type="dxa"/>
            <w:vMerge w:val="restart"/>
          </w:tcPr>
          <w:p w14:paraId="65102A89" w14:textId="77777777" w:rsidR="00F65BCA" w:rsidRDefault="00F65BCA">
            <w:pPr>
              <w:pStyle w:val="TableParagraph"/>
              <w:rPr>
                <w:rFonts w:ascii="Calibri"/>
                <w:sz w:val="2"/>
              </w:rPr>
            </w:pPr>
          </w:p>
          <w:p w14:paraId="383CBAB0" w14:textId="77777777" w:rsidR="00F65BCA" w:rsidRDefault="00216117">
            <w:pPr>
              <w:pStyle w:val="TableParagraph"/>
              <w:ind w:left="47"/>
              <w:rPr>
                <w:sz w:val="3"/>
              </w:rPr>
            </w:pPr>
            <w:r>
              <w:rPr>
                <w:w w:val="105"/>
                <w:sz w:val="3"/>
              </w:rPr>
              <w:t>0,91307000%</w:t>
            </w:r>
          </w:p>
        </w:tc>
        <w:tc>
          <w:tcPr>
            <w:tcW w:w="288" w:type="dxa"/>
            <w:vMerge w:val="restart"/>
          </w:tcPr>
          <w:p w14:paraId="0CD2C184" w14:textId="77777777" w:rsidR="00F65BCA" w:rsidRDefault="00F65BCA">
            <w:pPr>
              <w:pStyle w:val="TableParagraph"/>
              <w:rPr>
                <w:rFonts w:ascii="Calibri"/>
                <w:sz w:val="2"/>
              </w:rPr>
            </w:pPr>
          </w:p>
          <w:p w14:paraId="0C5694B0" w14:textId="77777777" w:rsidR="00F65BCA" w:rsidRDefault="00216117">
            <w:pPr>
              <w:pStyle w:val="TableParagraph"/>
              <w:ind w:left="47"/>
              <w:rPr>
                <w:sz w:val="3"/>
              </w:rPr>
            </w:pPr>
            <w:r>
              <w:rPr>
                <w:w w:val="105"/>
                <w:sz w:val="3"/>
              </w:rPr>
              <w:t>0,91307000%</w:t>
            </w:r>
          </w:p>
        </w:tc>
        <w:tc>
          <w:tcPr>
            <w:tcW w:w="288" w:type="dxa"/>
            <w:vMerge w:val="restart"/>
          </w:tcPr>
          <w:p w14:paraId="7092CC19" w14:textId="77777777" w:rsidR="00F65BCA" w:rsidRDefault="00F65BCA">
            <w:pPr>
              <w:pStyle w:val="TableParagraph"/>
              <w:rPr>
                <w:rFonts w:ascii="Calibri"/>
                <w:sz w:val="2"/>
              </w:rPr>
            </w:pPr>
          </w:p>
          <w:p w14:paraId="4AACC2B5" w14:textId="77777777" w:rsidR="00F65BCA" w:rsidRDefault="00216117">
            <w:pPr>
              <w:pStyle w:val="TableParagraph"/>
              <w:ind w:left="47"/>
              <w:rPr>
                <w:sz w:val="3"/>
              </w:rPr>
            </w:pPr>
            <w:r>
              <w:rPr>
                <w:w w:val="105"/>
                <w:sz w:val="3"/>
              </w:rPr>
              <w:t>0,83250500%</w:t>
            </w:r>
          </w:p>
        </w:tc>
        <w:tc>
          <w:tcPr>
            <w:tcW w:w="288" w:type="dxa"/>
            <w:vMerge w:val="restart"/>
          </w:tcPr>
          <w:p w14:paraId="60B67BAF" w14:textId="77777777" w:rsidR="00F65BCA" w:rsidRDefault="00F65BCA">
            <w:pPr>
              <w:pStyle w:val="TableParagraph"/>
              <w:rPr>
                <w:rFonts w:ascii="Calibri"/>
                <w:sz w:val="2"/>
              </w:rPr>
            </w:pPr>
          </w:p>
          <w:p w14:paraId="53B3D1EC" w14:textId="77777777" w:rsidR="00F65BCA" w:rsidRDefault="00216117">
            <w:pPr>
              <w:pStyle w:val="TableParagraph"/>
              <w:ind w:left="47"/>
              <w:rPr>
                <w:sz w:val="3"/>
              </w:rPr>
            </w:pPr>
            <w:r>
              <w:rPr>
                <w:w w:val="105"/>
                <w:sz w:val="3"/>
              </w:rPr>
              <w:t>0,83250500%</w:t>
            </w:r>
          </w:p>
        </w:tc>
        <w:tc>
          <w:tcPr>
            <w:tcW w:w="288" w:type="dxa"/>
            <w:vMerge w:val="restart"/>
          </w:tcPr>
          <w:p w14:paraId="34893369" w14:textId="77777777" w:rsidR="00F65BCA" w:rsidRDefault="00F65BCA">
            <w:pPr>
              <w:pStyle w:val="TableParagraph"/>
              <w:rPr>
                <w:rFonts w:ascii="Calibri"/>
                <w:sz w:val="2"/>
              </w:rPr>
            </w:pPr>
          </w:p>
          <w:p w14:paraId="0E861379" w14:textId="77777777" w:rsidR="00F65BCA" w:rsidRDefault="00216117">
            <w:pPr>
              <w:pStyle w:val="TableParagraph"/>
              <w:ind w:left="47"/>
              <w:rPr>
                <w:sz w:val="3"/>
              </w:rPr>
            </w:pPr>
            <w:r>
              <w:rPr>
                <w:w w:val="105"/>
                <w:sz w:val="3"/>
              </w:rPr>
              <w:t>0,75194000%</w:t>
            </w:r>
          </w:p>
        </w:tc>
        <w:tc>
          <w:tcPr>
            <w:tcW w:w="288" w:type="dxa"/>
            <w:vMerge w:val="restart"/>
          </w:tcPr>
          <w:p w14:paraId="48A5B1A5" w14:textId="77777777" w:rsidR="00F65BCA" w:rsidRDefault="00F65BCA">
            <w:pPr>
              <w:pStyle w:val="TableParagraph"/>
              <w:rPr>
                <w:rFonts w:ascii="Calibri"/>
                <w:sz w:val="2"/>
              </w:rPr>
            </w:pPr>
          </w:p>
          <w:p w14:paraId="179CD29F" w14:textId="77777777" w:rsidR="00F65BCA" w:rsidRDefault="00216117">
            <w:pPr>
              <w:pStyle w:val="TableParagraph"/>
              <w:ind w:left="47"/>
              <w:rPr>
                <w:sz w:val="3"/>
              </w:rPr>
            </w:pPr>
            <w:r>
              <w:rPr>
                <w:w w:val="105"/>
                <w:sz w:val="3"/>
              </w:rPr>
              <w:t>0,75194000%</w:t>
            </w:r>
          </w:p>
        </w:tc>
        <w:tc>
          <w:tcPr>
            <w:tcW w:w="288" w:type="dxa"/>
            <w:vMerge w:val="restart"/>
          </w:tcPr>
          <w:p w14:paraId="7648E2C5" w14:textId="77777777" w:rsidR="00F65BCA" w:rsidRDefault="00F65BCA">
            <w:pPr>
              <w:pStyle w:val="TableParagraph"/>
              <w:rPr>
                <w:rFonts w:ascii="Calibri"/>
                <w:sz w:val="2"/>
              </w:rPr>
            </w:pPr>
          </w:p>
          <w:p w14:paraId="65308491" w14:textId="77777777" w:rsidR="00F65BCA" w:rsidRDefault="00216117">
            <w:pPr>
              <w:pStyle w:val="TableParagraph"/>
              <w:ind w:left="47"/>
              <w:rPr>
                <w:sz w:val="3"/>
              </w:rPr>
            </w:pPr>
            <w:r>
              <w:rPr>
                <w:w w:val="105"/>
                <w:sz w:val="3"/>
              </w:rPr>
              <w:t>0,67137500%</w:t>
            </w:r>
          </w:p>
        </w:tc>
        <w:tc>
          <w:tcPr>
            <w:tcW w:w="288" w:type="dxa"/>
            <w:vMerge w:val="restart"/>
          </w:tcPr>
          <w:p w14:paraId="115AA930" w14:textId="77777777" w:rsidR="00F65BCA" w:rsidRDefault="00F65BCA">
            <w:pPr>
              <w:pStyle w:val="TableParagraph"/>
              <w:rPr>
                <w:rFonts w:ascii="Calibri"/>
                <w:sz w:val="2"/>
              </w:rPr>
            </w:pPr>
          </w:p>
          <w:p w14:paraId="5E19493D" w14:textId="77777777" w:rsidR="00F65BCA" w:rsidRDefault="00216117">
            <w:pPr>
              <w:pStyle w:val="TableParagraph"/>
              <w:ind w:left="47"/>
              <w:rPr>
                <w:sz w:val="3"/>
              </w:rPr>
            </w:pPr>
            <w:r>
              <w:rPr>
                <w:w w:val="105"/>
                <w:sz w:val="3"/>
              </w:rPr>
              <w:t>0,67137500%</w:t>
            </w:r>
          </w:p>
        </w:tc>
        <w:tc>
          <w:tcPr>
            <w:tcW w:w="288" w:type="dxa"/>
            <w:vMerge w:val="restart"/>
          </w:tcPr>
          <w:p w14:paraId="0B1B88D9" w14:textId="77777777" w:rsidR="00F65BCA" w:rsidRDefault="00F65BCA">
            <w:pPr>
              <w:pStyle w:val="TableParagraph"/>
              <w:rPr>
                <w:rFonts w:ascii="Calibri"/>
                <w:sz w:val="2"/>
              </w:rPr>
            </w:pPr>
          </w:p>
          <w:p w14:paraId="3A5D9E96" w14:textId="77777777" w:rsidR="00F65BCA" w:rsidRDefault="00216117">
            <w:pPr>
              <w:pStyle w:val="TableParagraph"/>
              <w:ind w:left="47"/>
              <w:rPr>
                <w:sz w:val="3"/>
              </w:rPr>
            </w:pPr>
            <w:r>
              <w:rPr>
                <w:w w:val="105"/>
                <w:sz w:val="3"/>
              </w:rPr>
              <w:t>0,61766500%</w:t>
            </w:r>
          </w:p>
        </w:tc>
        <w:tc>
          <w:tcPr>
            <w:tcW w:w="288" w:type="dxa"/>
            <w:vMerge w:val="restart"/>
          </w:tcPr>
          <w:p w14:paraId="3499AB59" w14:textId="77777777" w:rsidR="00F65BCA" w:rsidRDefault="00F65BCA">
            <w:pPr>
              <w:pStyle w:val="TableParagraph"/>
              <w:rPr>
                <w:rFonts w:ascii="Calibri"/>
                <w:sz w:val="2"/>
              </w:rPr>
            </w:pPr>
          </w:p>
          <w:p w14:paraId="064F3A6B" w14:textId="77777777" w:rsidR="00F65BCA" w:rsidRDefault="00216117">
            <w:pPr>
              <w:pStyle w:val="TableParagraph"/>
              <w:ind w:left="47"/>
              <w:rPr>
                <w:sz w:val="3"/>
              </w:rPr>
            </w:pPr>
            <w:r>
              <w:rPr>
                <w:w w:val="105"/>
                <w:sz w:val="3"/>
              </w:rPr>
              <w:t>0,59081000%</w:t>
            </w:r>
          </w:p>
        </w:tc>
        <w:tc>
          <w:tcPr>
            <w:tcW w:w="288" w:type="dxa"/>
            <w:vMerge w:val="restart"/>
          </w:tcPr>
          <w:p w14:paraId="2880E07B" w14:textId="77777777" w:rsidR="00F65BCA" w:rsidRDefault="00F65BCA">
            <w:pPr>
              <w:pStyle w:val="TableParagraph"/>
              <w:rPr>
                <w:rFonts w:ascii="Calibri"/>
                <w:sz w:val="2"/>
              </w:rPr>
            </w:pPr>
          </w:p>
          <w:p w14:paraId="73309EB4" w14:textId="77777777" w:rsidR="00F65BCA" w:rsidRDefault="00216117">
            <w:pPr>
              <w:pStyle w:val="TableParagraph"/>
              <w:ind w:left="47"/>
              <w:rPr>
                <w:sz w:val="3"/>
              </w:rPr>
            </w:pPr>
            <w:r>
              <w:rPr>
                <w:w w:val="105"/>
                <w:sz w:val="3"/>
              </w:rPr>
              <w:t>0,53710000%</w:t>
            </w:r>
          </w:p>
        </w:tc>
        <w:tc>
          <w:tcPr>
            <w:tcW w:w="288" w:type="dxa"/>
            <w:vMerge w:val="restart"/>
          </w:tcPr>
          <w:p w14:paraId="2B455F4B" w14:textId="77777777" w:rsidR="00F65BCA" w:rsidRDefault="00F65BCA">
            <w:pPr>
              <w:pStyle w:val="TableParagraph"/>
              <w:rPr>
                <w:rFonts w:ascii="Calibri"/>
                <w:sz w:val="2"/>
              </w:rPr>
            </w:pPr>
          </w:p>
          <w:p w14:paraId="1F659C7C" w14:textId="77777777" w:rsidR="00F65BCA" w:rsidRDefault="00216117">
            <w:pPr>
              <w:pStyle w:val="TableParagraph"/>
              <w:ind w:left="47"/>
              <w:rPr>
                <w:sz w:val="3"/>
              </w:rPr>
            </w:pPr>
            <w:r>
              <w:rPr>
                <w:w w:val="105"/>
                <w:sz w:val="3"/>
              </w:rPr>
              <w:t>0,53710000%</w:t>
            </w:r>
          </w:p>
        </w:tc>
      </w:tr>
      <w:tr w:rsidR="00F65BCA" w14:paraId="025E9EAC" w14:textId="77777777">
        <w:trPr>
          <w:trHeight w:val="37"/>
        </w:trPr>
        <w:tc>
          <w:tcPr>
            <w:tcW w:w="526" w:type="dxa"/>
            <w:vMerge/>
            <w:tcBorders>
              <w:top w:val="nil"/>
              <w:bottom w:val="nil"/>
            </w:tcBorders>
            <w:shd w:val="clear" w:color="auto" w:fill="FCE4D6"/>
          </w:tcPr>
          <w:p w14:paraId="2C9402A6" w14:textId="77777777" w:rsidR="00F65BCA" w:rsidRDefault="00F65BCA">
            <w:pPr>
              <w:rPr>
                <w:sz w:val="2"/>
                <w:szCs w:val="2"/>
              </w:rPr>
            </w:pPr>
          </w:p>
        </w:tc>
        <w:tc>
          <w:tcPr>
            <w:tcW w:w="732" w:type="dxa"/>
            <w:vMerge w:val="restart"/>
            <w:tcBorders>
              <w:top w:val="nil"/>
            </w:tcBorders>
            <w:shd w:val="clear" w:color="auto" w:fill="FCE4D6"/>
          </w:tcPr>
          <w:p w14:paraId="45367485" w14:textId="77777777" w:rsidR="00F65BCA" w:rsidRDefault="00F65BCA">
            <w:pPr>
              <w:pStyle w:val="TableParagraph"/>
              <w:rPr>
                <w:rFonts w:ascii="Calibri"/>
                <w:sz w:val="2"/>
              </w:rPr>
            </w:pPr>
          </w:p>
          <w:p w14:paraId="5520E077" w14:textId="77777777" w:rsidR="00F65BCA" w:rsidRDefault="00216117">
            <w:pPr>
              <w:pStyle w:val="TableParagraph"/>
              <w:ind w:left="18" w:right="14"/>
              <w:jc w:val="center"/>
              <w:rPr>
                <w:sz w:val="3"/>
              </w:rPr>
            </w:pPr>
            <w:r>
              <w:rPr>
                <w:w w:val="105"/>
                <w:sz w:val="3"/>
              </w:rPr>
              <w:t>Volvo</w:t>
            </w:r>
          </w:p>
        </w:tc>
        <w:tc>
          <w:tcPr>
            <w:tcW w:w="958" w:type="dxa"/>
            <w:gridSpan w:val="2"/>
            <w:tcBorders>
              <w:top w:val="nil"/>
            </w:tcBorders>
            <w:shd w:val="clear" w:color="auto" w:fill="FCE4D6"/>
          </w:tcPr>
          <w:p w14:paraId="69502060" w14:textId="77777777" w:rsidR="00F65BCA" w:rsidRDefault="00216117">
            <w:pPr>
              <w:pStyle w:val="TableParagraph"/>
              <w:spacing w:line="16" w:lineRule="exact"/>
              <w:ind w:left="4"/>
              <w:rPr>
                <w:sz w:val="3"/>
              </w:rPr>
            </w:pPr>
            <w:r>
              <w:rPr>
                <w:w w:val="105"/>
                <w:sz w:val="3"/>
              </w:rPr>
              <w:t>8; FM 11; FM 12; FM 13; FM 7; FM 9; FMX 11; FMX 13; JINÉ</w:t>
            </w:r>
          </w:p>
        </w:tc>
        <w:tc>
          <w:tcPr>
            <w:tcW w:w="576" w:type="dxa"/>
            <w:vMerge/>
            <w:tcBorders>
              <w:top w:val="nil"/>
            </w:tcBorders>
            <w:shd w:val="clear" w:color="auto" w:fill="FCE4D6"/>
          </w:tcPr>
          <w:p w14:paraId="41F6F956" w14:textId="77777777" w:rsidR="00F65BCA" w:rsidRDefault="00F65BCA">
            <w:pPr>
              <w:rPr>
                <w:sz w:val="2"/>
                <w:szCs w:val="2"/>
              </w:rPr>
            </w:pPr>
          </w:p>
        </w:tc>
        <w:tc>
          <w:tcPr>
            <w:tcW w:w="576" w:type="dxa"/>
            <w:vMerge/>
            <w:tcBorders>
              <w:top w:val="nil"/>
            </w:tcBorders>
            <w:shd w:val="clear" w:color="auto" w:fill="FCE4D6"/>
          </w:tcPr>
          <w:p w14:paraId="3AC838C0" w14:textId="77777777" w:rsidR="00F65BCA" w:rsidRDefault="00F65BCA">
            <w:pPr>
              <w:rPr>
                <w:sz w:val="2"/>
                <w:szCs w:val="2"/>
              </w:rPr>
            </w:pPr>
          </w:p>
        </w:tc>
        <w:tc>
          <w:tcPr>
            <w:tcW w:w="50" w:type="dxa"/>
            <w:vMerge/>
            <w:tcBorders>
              <w:top w:val="nil"/>
              <w:bottom w:val="nil"/>
            </w:tcBorders>
          </w:tcPr>
          <w:p w14:paraId="2E35F5CB" w14:textId="77777777" w:rsidR="00F65BCA" w:rsidRDefault="00F65BCA">
            <w:pPr>
              <w:rPr>
                <w:sz w:val="2"/>
                <w:szCs w:val="2"/>
              </w:rPr>
            </w:pPr>
          </w:p>
        </w:tc>
        <w:tc>
          <w:tcPr>
            <w:tcW w:w="288" w:type="dxa"/>
            <w:vMerge/>
            <w:tcBorders>
              <w:top w:val="nil"/>
            </w:tcBorders>
          </w:tcPr>
          <w:p w14:paraId="672330A1" w14:textId="77777777" w:rsidR="00F65BCA" w:rsidRDefault="00F65BCA">
            <w:pPr>
              <w:rPr>
                <w:sz w:val="2"/>
                <w:szCs w:val="2"/>
              </w:rPr>
            </w:pPr>
          </w:p>
        </w:tc>
        <w:tc>
          <w:tcPr>
            <w:tcW w:w="288" w:type="dxa"/>
            <w:vMerge/>
            <w:tcBorders>
              <w:top w:val="nil"/>
            </w:tcBorders>
          </w:tcPr>
          <w:p w14:paraId="4C0D800E" w14:textId="77777777" w:rsidR="00F65BCA" w:rsidRDefault="00F65BCA">
            <w:pPr>
              <w:rPr>
                <w:sz w:val="2"/>
                <w:szCs w:val="2"/>
              </w:rPr>
            </w:pPr>
          </w:p>
        </w:tc>
        <w:tc>
          <w:tcPr>
            <w:tcW w:w="288" w:type="dxa"/>
            <w:vMerge/>
            <w:tcBorders>
              <w:top w:val="nil"/>
            </w:tcBorders>
          </w:tcPr>
          <w:p w14:paraId="3CF684AF" w14:textId="77777777" w:rsidR="00F65BCA" w:rsidRDefault="00F65BCA">
            <w:pPr>
              <w:rPr>
                <w:sz w:val="2"/>
                <w:szCs w:val="2"/>
              </w:rPr>
            </w:pPr>
          </w:p>
        </w:tc>
        <w:tc>
          <w:tcPr>
            <w:tcW w:w="288" w:type="dxa"/>
            <w:vMerge/>
            <w:tcBorders>
              <w:top w:val="nil"/>
            </w:tcBorders>
          </w:tcPr>
          <w:p w14:paraId="584D011E" w14:textId="77777777" w:rsidR="00F65BCA" w:rsidRDefault="00F65BCA">
            <w:pPr>
              <w:rPr>
                <w:sz w:val="2"/>
                <w:szCs w:val="2"/>
              </w:rPr>
            </w:pPr>
          </w:p>
        </w:tc>
        <w:tc>
          <w:tcPr>
            <w:tcW w:w="288" w:type="dxa"/>
            <w:vMerge/>
            <w:tcBorders>
              <w:top w:val="nil"/>
            </w:tcBorders>
          </w:tcPr>
          <w:p w14:paraId="1D30CA0C" w14:textId="77777777" w:rsidR="00F65BCA" w:rsidRDefault="00F65BCA">
            <w:pPr>
              <w:rPr>
                <w:sz w:val="2"/>
                <w:szCs w:val="2"/>
              </w:rPr>
            </w:pPr>
          </w:p>
        </w:tc>
        <w:tc>
          <w:tcPr>
            <w:tcW w:w="288" w:type="dxa"/>
            <w:vMerge/>
            <w:tcBorders>
              <w:top w:val="nil"/>
            </w:tcBorders>
          </w:tcPr>
          <w:p w14:paraId="73C3E248" w14:textId="77777777" w:rsidR="00F65BCA" w:rsidRDefault="00F65BCA">
            <w:pPr>
              <w:rPr>
                <w:sz w:val="2"/>
                <w:szCs w:val="2"/>
              </w:rPr>
            </w:pPr>
          </w:p>
        </w:tc>
        <w:tc>
          <w:tcPr>
            <w:tcW w:w="288" w:type="dxa"/>
            <w:vMerge/>
            <w:tcBorders>
              <w:top w:val="nil"/>
            </w:tcBorders>
          </w:tcPr>
          <w:p w14:paraId="3CCCDFA3" w14:textId="77777777" w:rsidR="00F65BCA" w:rsidRDefault="00F65BCA">
            <w:pPr>
              <w:rPr>
                <w:sz w:val="2"/>
                <w:szCs w:val="2"/>
              </w:rPr>
            </w:pPr>
          </w:p>
        </w:tc>
        <w:tc>
          <w:tcPr>
            <w:tcW w:w="288" w:type="dxa"/>
            <w:vMerge/>
            <w:tcBorders>
              <w:top w:val="nil"/>
            </w:tcBorders>
          </w:tcPr>
          <w:p w14:paraId="1AAC573E" w14:textId="77777777" w:rsidR="00F65BCA" w:rsidRDefault="00F65BCA">
            <w:pPr>
              <w:rPr>
                <w:sz w:val="2"/>
                <w:szCs w:val="2"/>
              </w:rPr>
            </w:pPr>
          </w:p>
        </w:tc>
        <w:tc>
          <w:tcPr>
            <w:tcW w:w="288" w:type="dxa"/>
            <w:vMerge/>
            <w:tcBorders>
              <w:top w:val="nil"/>
            </w:tcBorders>
          </w:tcPr>
          <w:p w14:paraId="609BB5FF" w14:textId="77777777" w:rsidR="00F65BCA" w:rsidRDefault="00F65BCA">
            <w:pPr>
              <w:rPr>
                <w:sz w:val="2"/>
                <w:szCs w:val="2"/>
              </w:rPr>
            </w:pPr>
          </w:p>
        </w:tc>
        <w:tc>
          <w:tcPr>
            <w:tcW w:w="288" w:type="dxa"/>
            <w:vMerge/>
            <w:tcBorders>
              <w:top w:val="nil"/>
            </w:tcBorders>
          </w:tcPr>
          <w:p w14:paraId="50A1D49F" w14:textId="77777777" w:rsidR="00F65BCA" w:rsidRDefault="00F65BCA">
            <w:pPr>
              <w:rPr>
                <w:sz w:val="2"/>
                <w:szCs w:val="2"/>
              </w:rPr>
            </w:pPr>
          </w:p>
        </w:tc>
        <w:tc>
          <w:tcPr>
            <w:tcW w:w="288" w:type="dxa"/>
            <w:vMerge/>
            <w:tcBorders>
              <w:top w:val="nil"/>
            </w:tcBorders>
          </w:tcPr>
          <w:p w14:paraId="6B66C18F" w14:textId="77777777" w:rsidR="00F65BCA" w:rsidRDefault="00F65BCA">
            <w:pPr>
              <w:rPr>
                <w:sz w:val="2"/>
                <w:szCs w:val="2"/>
              </w:rPr>
            </w:pPr>
          </w:p>
        </w:tc>
        <w:tc>
          <w:tcPr>
            <w:tcW w:w="288" w:type="dxa"/>
            <w:vMerge/>
            <w:tcBorders>
              <w:top w:val="nil"/>
            </w:tcBorders>
          </w:tcPr>
          <w:p w14:paraId="601C7712" w14:textId="77777777" w:rsidR="00F65BCA" w:rsidRDefault="00F65BCA">
            <w:pPr>
              <w:rPr>
                <w:sz w:val="2"/>
                <w:szCs w:val="2"/>
              </w:rPr>
            </w:pPr>
          </w:p>
        </w:tc>
        <w:tc>
          <w:tcPr>
            <w:tcW w:w="288" w:type="dxa"/>
            <w:vMerge/>
            <w:tcBorders>
              <w:top w:val="nil"/>
            </w:tcBorders>
          </w:tcPr>
          <w:p w14:paraId="3F10CB93" w14:textId="77777777" w:rsidR="00F65BCA" w:rsidRDefault="00F65BCA">
            <w:pPr>
              <w:rPr>
                <w:sz w:val="2"/>
                <w:szCs w:val="2"/>
              </w:rPr>
            </w:pPr>
          </w:p>
        </w:tc>
      </w:tr>
      <w:tr w:rsidR="00F65BCA" w14:paraId="29697449" w14:textId="77777777">
        <w:trPr>
          <w:trHeight w:val="81"/>
        </w:trPr>
        <w:tc>
          <w:tcPr>
            <w:tcW w:w="526" w:type="dxa"/>
            <w:vMerge/>
            <w:tcBorders>
              <w:top w:val="nil"/>
              <w:bottom w:val="nil"/>
            </w:tcBorders>
            <w:shd w:val="clear" w:color="auto" w:fill="FCE4D6"/>
          </w:tcPr>
          <w:p w14:paraId="02F9DEEA" w14:textId="77777777" w:rsidR="00F65BCA" w:rsidRDefault="00F65BCA">
            <w:pPr>
              <w:rPr>
                <w:sz w:val="2"/>
                <w:szCs w:val="2"/>
              </w:rPr>
            </w:pPr>
          </w:p>
        </w:tc>
        <w:tc>
          <w:tcPr>
            <w:tcW w:w="732" w:type="dxa"/>
            <w:vMerge/>
            <w:tcBorders>
              <w:top w:val="nil"/>
            </w:tcBorders>
            <w:shd w:val="clear" w:color="auto" w:fill="FCE4D6"/>
          </w:tcPr>
          <w:p w14:paraId="46E973DA" w14:textId="77777777" w:rsidR="00F65BCA" w:rsidRDefault="00F65BCA">
            <w:pPr>
              <w:rPr>
                <w:sz w:val="2"/>
                <w:szCs w:val="2"/>
              </w:rPr>
            </w:pPr>
          </w:p>
        </w:tc>
        <w:tc>
          <w:tcPr>
            <w:tcW w:w="958" w:type="dxa"/>
            <w:gridSpan w:val="2"/>
            <w:shd w:val="clear" w:color="auto" w:fill="FCE4D6"/>
          </w:tcPr>
          <w:p w14:paraId="050E4F8E" w14:textId="77777777" w:rsidR="00F65BCA" w:rsidRDefault="00F65BCA">
            <w:pPr>
              <w:pStyle w:val="TableParagraph"/>
              <w:rPr>
                <w:rFonts w:ascii="Calibri"/>
                <w:sz w:val="2"/>
              </w:rPr>
            </w:pPr>
          </w:p>
          <w:p w14:paraId="110EB2DC" w14:textId="77777777" w:rsidR="00F65BCA" w:rsidRDefault="00216117">
            <w:pPr>
              <w:pStyle w:val="TableParagraph"/>
              <w:ind w:left="4"/>
              <w:rPr>
                <w:sz w:val="3"/>
              </w:rPr>
            </w:pPr>
            <w:r>
              <w:rPr>
                <w:w w:val="105"/>
                <w:sz w:val="3"/>
              </w:rPr>
              <w:t>FL 5; FL 6; FL C</w:t>
            </w:r>
          </w:p>
        </w:tc>
        <w:tc>
          <w:tcPr>
            <w:tcW w:w="576" w:type="dxa"/>
            <w:shd w:val="clear" w:color="auto" w:fill="FCE4D6"/>
          </w:tcPr>
          <w:p w14:paraId="7BF06534" w14:textId="77777777" w:rsidR="00F65BCA" w:rsidRDefault="00F65BCA">
            <w:pPr>
              <w:pStyle w:val="TableParagraph"/>
              <w:rPr>
                <w:rFonts w:ascii="Calibri"/>
                <w:sz w:val="2"/>
              </w:rPr>
            </w:pPr>
          </w:p>
          <w:p w14:paraId="50678070" w14:textId="77777777" w:rsidR="00F65BCA" w:rsidRDefault="00216117">
            <w:pPr>
              <w:pStyle w:val="TableParagraph"/>
              <w:ind w:left="4"/>
              <w:jc w:val="center"/>
              <w:rPr>
                <w:sz w:val="3"/>
              </w:rPr>
            </w:pPr>
            <w:r>
              <w:rPr>
                <w:w w:val="103"/>
                <w:sz w:val="3"/>
              </w:rPr>
              <w:t>-</w:t>
            </w:r>
          </w:p>
        </w:tc>
        <w:tc>
          <w:tcPr>
            <w:tcW w:w="576" w:type="dxa"/>
            <w:shd w:val="clear" w:color="auto" w:fill="FCE4D6"/>
          </w:tcPr>
          <w:p w14:paraId="2DB72EF7" w14:textId="77777777" w:rsidR="00F65BCA" w:rsidRDefault="00F65BCA">
            <w:pPr>
              <w:pStyle w:val="TableParagraph"/>
              <w:rPr>
                <w:rFonts w:ascii="Calibri"/>
                <w:sz w:val="2"/>
              </w:rPr>
            </w:pPr>
          </w:p>
          <w:p w14:paraId="6791913F" w14:textId="77777777" w:rsidR="00F65BCA" w:rsidRDefault="00216117">
            <w:pPr>
              <w:pStyle w:val="TableParagraph"/>
              <w:ind w:left="4"/>
              <w:jc w:val="center"/>
              <w:rPr>
                <w:sz w:val="3"/>
              </w:rPr>
            </w:pPr>
            <w:r>
              <w:rPr>
                <w:w w:val="103"/>
                <w:sz w:val="3"/>
              </w:rPr>
              <w:t>-</w:t>
            </w:r>
          </w:p>
        </w:tc>
        <w:tc>
          <w:tcPr>
            <w:tcW w:w="50" w:type="dxa"/>
            <w:vMerge/>
            <w:tcBorders>
              <w:top w:val="nil"/>
              <w:bottom w:val="nil"/>
            </w:tcBorders>
          </w:tcPr>
          <w:p w14:paraId="567DFDB8" w14:textId="77777777" w:rsidR="00F65BCA" w:rsidRDefault="00F65BCA">
            <w:pPr>
              <w:rPr>
                <w:sz w:val="2"/>
                <w:szCs w:val="2"/>
              </w:rPr>
            </w:pPr>
          </w:p>
        </w:tc>
        <w:tc>
          <w:tcPr>
            <w:tcW w:w="288" w:type="dxa"/>
          </w:tcPr>
          <w:p w14:paraId="3A7B61E6" w14:textId="77777777" w:rsidR="00F65BCA" w:rsidRDefault="00F65BCA">
            <w:pPr>
              <w:pStyle w:val="TableParagraph"/>
              <w:rPr>
                <w:rFonts w:ascii="Calibri"/>
                <w:sz w:val="2"/>
              </w:rPr>
            </w:pPr>
          </w:p>
          <w:p w14:paraId="2A67772B" w14:textId="77777777" w:rsidR="00F65BCA" w:rsidRDefault="00216117">
            <w:pPr>
              <w:pStyle w:val="TableParagraph"/>
              <w:ind w:left="24" w:right="24"/>
              <w:jc w:val="center"/>
              <w:rPr>
                <w:sz w:val="3"/>
              </w:rPr>
            </w:pPr>
            <w:r>
              <w:rPr>
                <w:w w:val="105"/>
                <w:sz w:val="3"/>
              </w:rPr>
              <w:t>1,02049000%</w:t>
            </w:r>
          </w:p>
        </w:tc>
        <w:tc>
          <w:tcPr>
            <w:tcW w:w="288" w:type="dxa"/>
          </w:tcPr>
          <w:p w14:paraId="5E537274" w14:textId="77777777" w:rsidR="00F65BCA" w:rsidRDefault="00F65BCA">
            <w:pPr>
              <w:pStyle w:val="TableParagraph"/>
              <w:rPr>
                <w:rFonts w:ascii="Calibri"/>
                <w:sz w:val="2"/>
              </w:rPr>
            </w:pPr>
          </w:p>
          <w:p w14:paraId="425AB112" w14:textId="77777777" w:rsidR="00F65BCA" w:rsidRDefault="00216117">
            <w:pPr>
              <w:pStyle w:val="TableParagraph"/>
              <w:ind w:left="24" w:right="24"/>
              <w:jc w:val="center"/>
              <w:rPr>
                <w:sz w:val="3"/>
              </w:rPr>
            </w:pPr>
            <w:r>
              <w:rPr>
                <w:w w:val="105"/>
                <w:sz w:val="3"/>
              </w:rPr>
              <w:t>0,91307000%</w:t>
            </w:r>
          </w:p>
        </w:tc>
        <w:tc>
          <w:tcPr>
            <w:tcW w:w="288" w:type="dxa"/>
          </w:tcPr>
          <w:p w14:paraId="2C47CCB7" w14:textId="77777777" w:rsidR="00F65BCA" w:rsidRDefault="00F65BCA">
            <w:pPr>
              <w:pStyle w:val="TableParagraph"/>
              <w:rPr>
                <w:rFonts w:ascii="Calibri"/>
                <w:sz w:val="2"/>
              </w:rPr>
            </w:pPr>
          </w:p>
          <w:p w14:paraId="598565C4" w14:textId="77777777" w:rsidR="00F65BCA" w:rsidRDefault="00216117">
            <w:pPr>
              <w:pStyle w:val="TableParagraph"/>
              <w:ind w:left="47"/>
              <w:rPr>
                <w:sz w:val="3"/>
              </w:rPr>
            </w:pPr>
            <w:r>
              <w:rPr>
                <w:w w:val="105"/>
                <w:sz w:val="3"/>
              </w:rPr>
              <w:t>0,91307000%</w:t>
            </w:r>
          </w:p>
        </w:tc>
        <w:tc>
          <w:tcPr>
            <w:tcW w:w="288" w:type="dxa"/>
          </w:tcPr>
          <w:p w14:paraId="6D9DEF82" w14:textId="77777777" w:rsidR="00F65BCA" w:rsidRDefault="00F65BCA">
            <w:pPr>
              <w:pStyle w:val="TableParagraph"/>
              <w:rPr>
                <w:rFonts w:ascii="Calibri"/>
                <w:sz w:val="2"/>
              </w:rPr>
            </w:pPr>
          </w:p>
          <w:p w14:paraId="5EFA503A" w14:textId="77777777" w:rsidR="00F65BCA" w:rsidRDefault="00216117">
            <w:pPr>
              <w:pStyle w:val="TableParagraph"/>
              <w:ind w:left="24" w:right="24"/>
              <w:jc w:val="center"/>
              <w:rPr>
                <w:sz w:val="3"/>
              </w:rPr>
            </w:pPr>
            <w:r>
              <w:rPr>
                <w:w w:val="105"/>
                <w:sz w:val="3"/>
              </w:rPr>
              <w:t>0,83250500%</w:t>
            </w:r>
          </w:p>
        </w:tc>
        <w:tc>
          <w:tcPr>
            <w:tcW w:w="288" w:type="dxa"/>
          </w:tcPr>
          <w:p w14:paraId="43E4A09B" w14:textId="77777777" w:rsidR="00F65BCA" w:rsidRDefault="00F65BCA">
            <w:pPr>
              <w:pStyle w:val="TableParagraph"/>
              <w:rPr>
                <w:rFonts w:ascii="Calibri"/>
                <w:sz w:val="2"/>
              </w:rPr>
            </w:pPr>
          </w:p>
          <w:p w14:paraId="34F2247D" w14:textId="77777777" w:rsidR="00F65BCA" w:rsidRDefault="00216117">
            <w:pPr>
              <w:pStyle w:val="TableParagraph"/>
              <w:ind w:left="47"/>
              <w:rPr>
                <w:sz w:val="3"/>
              </w:rPr>
            </w:pPr>
            <w:r>
              <w:rPr>
                <w:w w:val="105"/>
                <w:sz w:val="3"/>
              </w:rPr>
              <w:t>0,83250500%</w:t>
            </w:r>
          </w:p>
        </w:tc>
        <w:tc>
          <w:tcPr>
            <w:tcW w:w="288" w:type="dxa"/>
          </w:tcPr>
          <w:p w14:paraId="486EA281" w14:textId="77777777" w:rsidR="00F65BCA" w:rsidRDefault="00F65BCA">
            <w:pPr>
              <w:pStyle w:val="TableParagraph"/>
              <w:rPr>
                <w:rFonts w:ascii="Calibri"/>
                <w:sz w:val="2"/>
              </w:rPr>
            </w:pPr>
          </w:p>
          <w:p w14:paraId="575D198F" w14:textId="77777777" w:rsidR="00F65BCA" w:rsidRDefault="00216117">
            <w:pPr>
              <w:pStyle w:val="TableParagraph"/>
              <w:ind w:left="24" w:right="24"/>
              <w:jc w:val="center"/>
              <w:rPr>
                <w:sz w:val="3"/>
              </w:rPr>
            </w:pPr>
            <w:r>
              <w:rPr>
                <w:w w:val="105"/>
                <w:sz w:val="3"/>
              </w:rPr>
              <w:t>0,75194000%</w:t>
            </w:r>
          </w:p>
        </w:tc>
        <w:tc>
          <w:tcPr>
            <w:tcW w:w="288" w:type="dxa"/>
          </w:tcPr>
          <w:p w14:paraId="29AA75F7" w14:textId="77777777" w:rsidR="00F65BCA" w:rsidRDefault="00F65BCA">
            <w:pPr>
              <w:pStyle w:val="TableParagraph"/>
              <w:rPr>
                <w:rFonts w:ascii="Calibri"/>
                <w:sz w:val="2"/>
              </w:rPr>
            </w:pPr>
          </w:p>
          <w:p w14:paraId="0B7C579B" w14:textId="77777777" w:rsidR="00F65BCA" w:rsidRDefault="00216117">
            <w:pPr>
              <w:pStyle w:val="TableParagraph"/>
              <w:ind w:left="24" w:right="24"/>
              <w:jc w:val="center"/>
              <w:rPr>
                <w:sz w:val="3"/>
              </w:rPr>
            </w:pPr>
            <w:r>
              <w:rPr>
                <w:w w:val="105"/>
                <w:sz w:val="3"/>
              </w:rPr>
              <w:t>0,75194000%</w:t>
            </w:r>
          </w:p>
        </w:tc>
        <w:tc>
          <w:tcPr>
            <w:tcW w:w="288" w:type="dxa"/>
          </w:tcPr>
          <w:p w14:paraId="3C3984BD" w14:textId="77777777" w:rsidR="00F65BCA" w:rsidRDefault="00F65BCA">
            <w:pPr>
              <w:pStyle w:val="TableParagraph"/>
              <w:rPr>
                <w:rFonts w:ascii="Calibri"/>
                <w:sz w:val="2"/>
              </w:rPr>
            </w:pPr>
          </w:p>
          <w:p w14:paraId="05A61FAE" w14:textId="77777777" w:rsidR="00F65BCA" w:rsidRDefault="00216117">
            <w:pPr>
              <w:pStyle w:val="TableParagraph"/>
              <w:ind w:left="47"/>
              <w:rPr>
                <w:sz w:val="3"/>
              </w:rPr>
            </w:pPr>
            <w:r>
              <w:rPr>
                <w:w w:val="105"/>
                <w:sz w:val="3"/>
              </w:rPr>
              <w:t>0,67137500%</w:t>
            </w:r>
          </w:p>
        </w:tc>
        <w:tc>
          <w:tcPr>
            <w:tcW w:w="288" w:type="dxa"/>
          </w:tcPr>
          <w:p w14:paraId="511A0198" w14:textId="77777777" w:rsidR="00F65BCA" w:rsidRDefault="00F65BCA">
            <w:pPr>
              <w:pStyle w:val="TableParagraph"/>
              <w:rPr>
                <w:rFonts w:ascii="Calibri"/>
                <w:sz w:val="2"/>
              </w:rPr>
            </w:pPr>
          </w:p>
          <w:p w14:paraId="6DBC0493" w14:textId="77777777" w:rsidR="00F65BCA" w:rsidRDefault="00216117">
            <w:pPr>
              <w:pStyle w:val="TableParagraph"/>
              <w:ind w:left="24" w:right="24"/>
              <w:jc w:val="center"/>
              <w:rPr>
                <w:sz w:val="3"/>
              </w:rPr>
            </w:pPr>
            <w:r>
              <w:rPr>
                <w:w w:val="105"/>
                <w:sz w:val="3"/>
              </w:rPr>
              <w:t>0,67137500%</w:t>
            </w:r>
          </w:p>
        </w:tc>
        <w:tc>
          <w:tcPr>
            <w:tcW w:w="288" w:type="dxa"/>
          </w:tcPr>
          <w:p w14:paraId="61086BDE" w14:textId="77777777" w:rsidR="00F65BCA" w:rsidRDefault="00F65BCA">
            <w:pPr>
              <w:pStyle w:val="TableParagraph"/>
              <w:rPr>
                <w:rFonts w:ascii="Calibri"/>
                <w:sz w:val="2"/>
              </w:rPr>
            </w:pPr>
          </w:p>
          <w:p w14:paraId="1B1F1637" w14:textId="77777777" w:rsidR="00F65BCA" w:rsidRDefault="00216117">
            <w:pPr>
              <w:pStyle w:val="TableParagraph"/>
              <w:ind w:left="24" w:right="24"/>
              <w:jc w:val="center"/>
              <w:rPr>
                <w:sz w:val="3"/>
              </w:rPr>
            </w:pPr>
            <w:r>
              <w:rPr>
                <w:w w:val="105"/>
                <w:sz w:val="3"/>
              </w:rPr>
              <w:t>0,61766500%</w:t>
            </w:r>
          </w:p>
        </w:tc>
        <w:tc>
          <w:tcPr>
            <w:tcW w:w="288" w:type="dxa"/>
          </w:tcPr>
          <w:p w14:paraId="12A40B68" w14:textId="77777777" w:rsidR="00F65BCA" w:rsidRDefault="00F65BCA">
            <w:pPr>
              <w:pStyle w:val="TableParagraph"/>
              <w:rPr>
                <w:rFonts w:ascii="Calibri"/>
                <w:sz w:val="2"/>
              </w:rPr>
            </w:pPr>
          </w:p>
          <w:p w14:paraId="3A565CF0" w14:textId="77777777" w:rsidR="00F65BCA" w:rsidRDefault="00216117">
            <w:pPr>
              <w:pStyle w:val="TableParagraph"/>
              <w:ind w:left="24" w:right="24"/>
              <w:jc w:val="center"/>
              <w:rPr>
                <w:sz w:val="3"/>
              </w:rPr>
            </w:pPr>
            <w:r>
              <w:rPr>
                <w:w w:val="105"/>
                <w:sz w:val="3"/>
              </w:rPr>
              <w:t>0,59081000%</w:t>
            </w:r>
          </w:p>
        </w:tc>
        <w:tc>
          <w:tcPr>
            <w:tcW w:w="288" w:type="dxa"/>
          </w:tcPr>
          <w:p w14:paraId="1E3839F5" w14:textId="77777777" w:rsidR="00F65BCA" w:rsidRDefault="00F65BCA">
            <w:pPr>
              <w:pStyle w:val="TableParagraph"/>
              <w:rPr>
                <w:rFonts w:ascii="Calibri"/>
                <w:sz w:val="2"/>
              </w:rPr>
            </w:pPr>
          </w:p>
          <w:p w14:paraId="6E142C84" w14:textId="77777777" w:rsidR="00F65BCA" w:rsidRDefault="00216117">
            <w:pPr>
              <w:pStyle w:val="TableParagraph"/>
              <w:ind w:left="24" w:right="24"/>
              <w:jc w:val="center"/>
              <w:rPr>
                <w:sz w:val="3"/>
              </w:rPr>
            </w:pPr>
            <w:r>
              <w:rPr>
                <w:w w:val="105"/>
                <w:sz w:val="3"/>
              </w:rPr>
              <w:t>0,53710000%</w:t>
            </w:r>
          </w:p>
        </w:tc>
        <w:tc>
          <w:tcPr>
            <w:tcW w:w="288" w:type="dxa"/>
          </w:tcPr>
          <w:p w14:paraId="16FCACDB" w14:textId="77777777" w:rsidR="00F65BCA" w:rsidRDefault="00F65BCA">
            <w:pPr>
              <w:pStyle w:val="TableParagraph"/>
              <w:rPr>
                <w:rFonts w:ascii="Calibri"/>
                <w:sz w:val="2"/>
              </w:rPr>
            </w:pPr>
          </w:p>
          <w:p w14:paraId="76800C6C" w14:textId="77777777" w:rsidR="00F65BCA" w:rsidRDefault="00216117">
            <w:pPr>
              <w:pStyle w:val="TableParagraph"/>
              <w:ind w:left="47"/>
              <w:rPr>
                <w:sz w:val="3"/>
              </w:rPr>
            </w:pPr>
            <w:r>
              <w:rPr>
                <w:w w:val="105"/>
                <w:sz w:val="3"/>
              </w:rPr>
              <w:t>0,53710000%</w:t>
            </w:r>
          </w:p>
        </w:tc>
      </w:tr>
      <w:tr w:rsidR="00F65BCA" w14:paraId="10813986" w14:textId="77777777">
        <w:trPr>
          <w:trHeight w:val="49"/>
        </w:trPr>
        <w:tc>
          <w:tcPr>
            <w:tcW w:w="526" w:type="dxa"/>
            <w:vMerge w:val="restart"/>
            <w:tcBorders>
              <w:top w:val="nil"/>
              <w:bottom w:val="nil"/>
            </w:tcBorders>
            <w:shd w:val="clear" w:color="auto" w:fill="FCE4D6"/>
          </w:tcPr>
          <w:p w14:paraId="4D9EE178" w14:textId="77777777" w:rsidR="00F65BCA" w:rsidRDefault="00F65BCA">
            <w:pPr>
              <w:pStyle w:val="TableParagraph"/>
              <w:rPr>
                <w:rFonts w:ascii="Times New Roman"/>
                <w:sz w:val="2"/>
              </w:rPr>
            </w:pPr>
          </w:p>
        </w:tc>
        <w:tc>
          <w:tcPr>
            <w:tcW w:w="732" w:type="dxa"/>
            <w:tcBorders>
              <w:bottom w:val="nil"/>
            </w:tcBorders>
            <w:shd w:val="clear" w:color="auto" w:fill="FCE4D6"/>
          </w:tcPr>
          <w:p w14:paraId="633CA756" w14:textId="77777777" w:rsidR="00F65BCA" w:rsidRDefault="00216117">
            <w:pPr>
              <w:pStyle w:val="TableParagraph"/>
              <w:spacing w:before="11" w:line="18" w:lineRule="exact"/>
              <w:ind w:left="4"/>
              <w:rPr>
                <w:sz w:val="3"/>
              </w:rPr>
            </w:pPr>
            <w:r>
              <w:rPr>
                <w:w w:val="105"/>
                <w:sz w:val="3"/>
              </w:rPr>
              <w:t>Avia; Belaz; DAF; Demag; Denis Rapier;</w:t>
            </w:r>
          </w:p>
        </w:tc>
        <w:tc>
          <w:tcPr>
            <w:tcW w:w="958" w:type="dxa"/>
            <w:gridSpan w:val="2"/>
            <w:tcBorders>
              <w:bottom w:val="nil"/>
            </w:tcBorders>
            <w:shd w:val="clear" w:color="auto" w:fill="FCE4D6"/>
          </w:tcPr>
          <w:p w14:paraId="28EC79EA" w14:textId="77777777" w:rsidR="00F65BCA" w:rsidRDefault="00F65BCA">
            <w:pPr>
              <w:pStyle w:val="TableParagraph"/>
              <w:rPr>
                <w:rFonts w:ascii="Times New Roman"/>
                <w:sz w:val="2"/>
              </w:rPr>
            </w:pPr>
          </w:p>
        </w:tc>
        <w:tc>
          <w:tcPr>
            <w:tcW w:w="576" w:type="dxa"/>
            <w:tcBorders>
              <w:bottom w:val="nil"/>
            </w:tcBorders>
            <w:shd w:val="clear" w:color="auto" w:fill="FCE4D6"/>
          </w:tcPr>
          <w:p w14:paraId="130DE086" w14:textId="77777777" w:rsidR="00F65BCA" w:rsidRDefault="00F65BCA">
            <w:pPr>
              <w:pStyle w:val="TableParagraph"/>
              <w:rPr>
                <w:rFonts w:ascii="Times New Roman"/>
                <w:sz w:val="2"/>
              </w:rPr>
            </w:pPr>
          </w:p>
        </w:tc>
        <w:tc>
          <w:tcPr>
            <w:tcW w:w="576" w:type="dxa"/>
            <w:tcBorders>
              <w:bottom w:val="nil"/>
            </w:tcBorders>
            <w:shd w:val="clear" w:color="auto" w:fill="FCE4D6"/>
          </w:tcPr>
          <w:p w14:paraId="166B3858" w14:textId="77777777" w:rsidR="00F65BCA" w:rsidRDefault="00F65BCA">
            <w:pPr>
              <w:pStyle w:val="TableParagraph"/>
              <w:rPr>
                <w:rFonts w:ascii="Times New Roman"/>
                <w:sz w:val="2"/>
              </w:rPr>
            </w:pPr>
          </w:p>
        </w:tc>
        <w:tc>
          <w:tcPr>
            <w:tcW w:w="50" w:type="dxa"/>
            <w:vMerge/>
            <w:tcBorders>
              <w:top w:val="nil"/>
              <w:bottom w:val="nil"/>
            </w:tcBorders>
          </w:tcPr>
          <w:p w14:paraId="2A5D3C45" w14:textId="77777777" w:rsidR="00F65BCA" w:rsidRDefault="00F65BCA">
            <w:pPr>
              <w:rPr>
                <w:sz w:val="2"/>
                <w:szCs w:val="2"/>
              </w:rPr>
            </w:pPr>
          </w:p>
        </w:tc>
        <w:tc>
          <w:tcPr>
            <w:tcW w:w="288" w:type="dxa"/>
            <w:tcBorders>
              <w:bottom w:val="nil"/>
            </w:tcBorders>
          </w:tcPr>
          <w:p w14:paraId="55DDF4AA" w14:textId="77777777" w:rsidR="00F65BCA" w:rsidRDefault="00F65BCA">
            <w:pPr>
              <w:pStyle w:val="TableParagraph"/>
              <w:rPr>
                <w:rFonts w:ascii="Times New Roman"/>
                <w:sz w:val="2"/>
              </w:rPr>
            </w:pPr>
          </w:p>
        </w:tc>
        <w:tc>
          <w:tcPr>
            <w:tcW w:w="288" w:type="dxa"/>
            <w:tcBorders>
              <w:bottom w:val="nil"/>
            </w:tcBorders>
          </w:tcPr>
          <w:p w14:paraId="3EFFF02E" w14:textId="77777777" w:rsidR="00F65BCA" w:rsidRDefault="00F65BCA">
            <w:pPr>
              <w:pStyle w:val="TableParagraph"/>
              <w:rPr>
                <w:rFonts w:ascii="Times New Roman"/>
                <w:sz w:val="2"/>
              </w:rPr>
            </w:pPr>
          </w:p>
        </w:tc>
        <w:tc>
          <w:tcPr>
            <w:tcW w:w="288" w:type="dxa"/>
            <w:tcBorders>
              <w:bottom w:val="nil"/>
            </w:tcBorders>
          </w:tcPr>
          <w:p w14:paraId="7BADE70E" w14:textId="77777777" w:rsidR="00F65BCA" w:rsidRDefault="00F65BCA">
            <w:pPr>
              <w:pStyle w:val="TableParagraph"/>
              <w:rPr>
                <w:rFonts w:ascii="Times New Roman"/>
                <w:sz w:val="2"/>
              </w:rPr>
            </w:pPr>
          </w:p>
        </w:tc>
        <w:tc>
          <w:tcPr>
            <w:tcW w:w="288" w:type="dxa"/>
            <w:tcBorders>
              <w:bottom w:val="nil"/>
            </w:tcBorders>
          </w:tcPr>
          <w:p w14:paraId="5985F5D3" w14:textId="77777777" w:rsidR="00F65BCA" w:rsidRDefault="00F65BCA">
            <w:pPr>
              <w:pStyle w:val="TableParagraph"/>
              <w:rPr>
                <w:rFonts w:ascii="Times New Roman"/>
                <w:sz w:val="2"/>
              </w:rPr>
            </w:pPr>
          </w:p>
        </w:tc>
        <w:tc>
          <w:tcPr>
            <w:tcW w:w="288" w:type="dxa"/>
            <w:tcBorders>
              <w:bottom w:val="nil"/>
            </w:tcBorders>
          </w:tcPr>
          <w:p w14:paraId="033495AB" w14:textId="77777777" w:rsidR="00F65BCA" w:rsidRDefault="00F65BCA">
            <w:pPr>
              <w:pStyle w:val="TableParagraph"/>
              <w:rPr>
                <w:rFonts w:ascii="Times New Roman"/>
                <w:sz w:val="2"/>
              </w:rPr>
            </w:pPr>
          </w:p>
        </w:tc>
        <w:tc>
          <w:tcPr>
            <w:tcW w:w="288" w:type="dxa"/>
            <w:tcBorders>
              <w:bottom w:val="nil"/>
            </w:tcBorders>
          </w:tcPr>
          <w:p w14:paraId="135E77D2" w14:textId="77777777" w:rsidR="00F65BCA" w:rsidRDefault="00F65BCA">
            <w:pPr>
              <w:pStyle w:val="TableParagraph"/>
              <w:rPr>
                <w:rFonts w:ascii="Times New Roman"/>
                <w:sz w:val="2"/>
              </w:rPr>
            </w:pPr>
          </w:p>
        </w:tc>
        <w:tc>
          <w:tcPr>
            <w:tcW w:w="288" w:type="dxa"/>
            <w:tcBorders>
              <w:bottom w:val="nil"/>
            </w:tcBorders>
          </w:tcPr>
          <w:p w14:paraId="2A277DB2" w14:textId="77777777" w:rsidR="00F65BCA" w:rsidRDefault="00F65BCA">
            <w:pPr>
              <w:pStyle w:val="TableParagraph"/>
              <w:rPr>
                <w:rFonts w:ascii="Times New Roman"/>
                <w:sz w:val="2"/>
              </w:rPr>
            </w:pPr>
          </w:p>
        </w:tc>
        <w:tc>
          <w:tcPr>
            <w:tcW w:w="288" w:type="dxa"/>
            <w:tcBorders>
              <w:bottom w:val="nil"/>
            </w:tcBorders>
          </w:tcPr>
          <w:p w14:paraId="480DEE4E" w14:textId="77777777" w:rsidR="00F65BCA" w:rsidRDefault="00F65BCA">
            <w:pPr>
              <w:pStyle w:val="TableParagraph"/>
              <w:rPr>
                <w:rFonts w:ascii="Times New Roman"/>
                <w:sz w:val="2"/>
              </w:rPr>
            </w:pPr>
          </w:p>
        </w:tc>
        <w:tc>
          <w:tcPr>
            <w:tcW w:w="288" w:type="dxa"/>
            <w:tcBorders>
              <w:bottom w:val="nil"/>
            </w:tcBorders>
          </w:tcPr>
          <w:p w14:paraId="597BFB9A" w14:textId="77777777" w:rsidR="00F65BCA" w:rsidRDefault="00F65BCA">
            <w:pPr>
              <w:pStyle w:val="TableParagraph"/>
              <w:rPr>
                <w:rFonts w:ascii="Times New Roman"/>
                <w:sz w:val="2"/>
              </w:rPr>
            </w:pPr>
          </w:p>
        </w:tc>
        <w:tc>
          <w:tcPr>
            <w:tcW w:w="288" w:type="dxa"/>
            <w:tcBorders>
              <w:bottom w:val="nil"/>
            </w:tcBorders>
          </w:tcPr>
          <w:p w14:paraId="047037EA" w14:textId="77777777" w:rsidR="00F65BCA" w:rsidRDefault="00F65BCA">
            <w:pPr>
              <w:pStyle w:val="TableParagraph"/>
              <w:rPr>
                <w:rFonts w:ascii="Times New Roman"/>
                <w:sz w:val="2"/>
              </w:rPr>
            </w:pPr>
          </w:p>
        </w:tc>
        <w:tc>
          <w:tcPr>
            <w:tcW w:w="288" w:type="dxa"/>
            <w:tcBorders>
              <w:bottom w:val="nil"/>
            </w:tcBorders>
          </w:tcPr>
          <w:p w14:paraId="601DADE0" w14:textId="77777777" w:rsidR="00F65BCA" w:rsidRDefault="00F65BCA">
            <w:pPr>
              <w:pStyle w:val="TableParagraph"/>
              <w:rPr>
                <w:rFonts w:ascii="Times New Roman"/>
                <w:sz w:val="2"/>
              </w:rPr>
            </w:pPr>
          </w:p>
        </w:tc>
        <w:tc>
          <w:tcPr>
            <w:tcW w:w="288" w:type="dxa"/>
            <w:tcBorders>
              <w:bottom w:val="nil"/>
            </w:tcBorders>
          </w:tcPr>
          <w:p w14:paraId="6DA4481C" w14:textId="77777777" w:rsidR="00F65BCA" w:rsidRDefault="00F65BCA">
            <w:pPr>
              <w:pStyle w:val="TableParagraph"/>
              <w:rPr>
                <w:rFonts w:ascii="Times New Roman"/>
                <w:sz w:val="2"/>
              </w:rPr>
            </w:pPr>
          </w:p>
        </w:tc>
        <w:tc>
          <w:tcPr>
            <w:tcW w:w="288" w:type="dxa"/>
            <w:tcBorders>
              <w:bottom w:val="nil"/>
            </w:tcBorders>
          </w:tcPr>
          <w:p w14:paraId="526F3CED" w14:textId="77777777" w:rsidR="00F65BCA" w:rsidRDefault="00F65BCA">
            <w:pPr>
              <w:pStyle w:val="TableParagraph"/>
              <w:rPr>
                <w:rFonts w:ascii="Times New Roman"/>
                <w:sz w:val="2"/>
              </w:rPr>
            </w:pPr>
          </w:p>
        </w:tc>
      </w:tr>
      <w:tr w:rsidR="00F65BCA" w14:paraId="48D7BF6D" w14:textId="77777777">
        <w:trPr>
          <w:trHeight w:val="81"/>
        </w:trPr>
        <w:tc>
          <w:tcPr>
            <w:tcW w:w="526" w:type="dxa"/>
            <w:vMerge/>
            <w:tcBorders>
              <w:top w:val="nil"/>
              <w:bottom w:val="nil"/>
            </w:tcBorders>
            <w:shd w:val="clear" w:color="auto" w:fill="FCE4D6"/>
          </w:tcPr>
          <w:p w14:paraId="488892F6" w14:textId="77777777" w:rsidR="00F65BCA" w:rsidRDefault="00F65BCA">
            <w:pPr>
              <w:rPr>
                <w:sz w:val="2"/>
                <w:szCs w:val="2"/>
              </w:rPr>
            </w:pPr>
          </w:p>
        </w:tc>
        <w:tc>
          <w:tcPr>
            <w:tcW w:w="732" w:type="dxa"/>
            <w:tcBorders>
              <w:top w:val="nil"/>
              <w:bottom w:val="nil"/>
            </w:tcBorders>
            <w:shd w:val="clear" w:color="auto" w:fill="FCE4D6"/>
          </w:tcPr>
          <w:p w14:paraId="3A7AB392" w14:textId="77777777" w:rsidR="00F65BCA" w:rsidRDefault="00216117">
            <w:pPr>
              <w:pStyle w:val="TableParagraph"/>
              <w:spacing w:before="3"/>
              <w:ind w:left="4"/>
              <w:rPr>
                <w:sz w:val="3"/>
              </w:rPr>
            </w:pPr>
            <w:r>
              <w:rPr>
                <w:w w:val="105"/>
                <w:sz w:val="3"/>
              </w:rPr>
              <w:t>Freightliner; Gaz; Ginaf; Hydros; Kamaz; Karosa;</w:t>
            </w:r>
          </w:p>
          <w:p w14:paraId="1047B777" w14:textId="77777777" w:rsidR="00F65BCA" w:rsidRDefault="00216117">
            <w:pPr>
              <w:pStyle w:val="TableParagraph"/>
              <w:spacing w:before="6" w:line="18" w:lineRule="exact"/>
              <w:ind w:left="4"/>
              <w:rPr>
                <w:sz w:val="3"/>
              </w:rPr>
            </w:pPr>
            <w:r>
              <w:rPr>
                <w:w w:val="105"/>
                <w:sz w:val="3"/>
              </w:rPr>
              <w:t>Kenworth; Kiefer; Liaz; Liebherr; MAN; Praga;</w:t>
            </w:r>
          </w:p>
        </w:tc>
        <w:tc>
          <w:tcPr>
            <w:tcW w:w="958" w:type="dxa"/>
            <w:gridSpan w:val="2"/>
            <w:tcBorders>
              <w:top w:val="nil"/>
              <w:bottom w:val="nil"/>
            </w:tcBorders>
            <w:shd w:val="clear" w:color="auto" w:fill="FCE4D6"/>
          </w:tcPr>
          <w:p w14:paraId="2A561863" w14:textId="77777777" w:rsidR="00F65BCA" w:rsidRDefault="00F65BCA">
            <w:pPr>
              <w:pStyle w:val="TableParagraph"/>
              <w:rPr>
                <w:rFonts w:ascii="Calibri"/>
                <w:sz w:val="2"/>
              </w:rPr>
            </w:pPr>
          </w:p>
          <w:p w14:paraId="43F264BB" w14:textId="77777777" w:rsidR="00F65BCA" w:rsidRDefault="00216117">
            <w:pPr>
              <w:pStyle w:val="TableParagraph"/>
              <w:ind w:left="2"/>
              <w:jc w:val="center"/>
              <w:rPr>
                <w:sz w:val="3"/>
              </w:rPr>
            </w:pPr>
            <w:r>
              <w:rPr>
                <w:w w:val="103"/>
                <w:sz w:val="3"/>
              </w:rPr>
              <w:t>-</w:t>
            </w:r>
          </w:p>
        </w:tc>
        <w:tc>
          <w:tcPr>
            <w:tcW w:w="576" w:type="dxa"/>
            <w:tcBorders>
              <w:top w:val="nil"/>
              <w:bottom w:val="nil"/>
            </w:tcBorders>
            <w:shd w:val="clear" w:color="auto" w:fill="FCE4D6"/>
          </w:tcPr>
          <w:p w14:paraId="450F40CF" w14:textId="77777777" w:rsidR="00F65BCA" w:rsidRDefault="00F65BCA">
            <w:pPr>
              <w:pStyle w:val="TableParagraph"/>
              <w:rPr>
                <w:rFonts w:ascii="Calibri"/>
                <w:sz w:val="2"/>
              </w:rPr>
            </w:pPr>
          </w:p>
          <w:p w14:paraId="75362E19" w14:textId="77777777" w:rsidR="00F65BCA" w:rsidRDefault="00216117">
            <w:pPr>
              <w:pStyle w:val="TableParagraph"/>
              <w:ind w:left="3"/>
              <w:jc w:val="center"/>
              <w:rPr>
                <w:sz w:val="3"/>
              </w:rPr>
            </w:pPr>
            <w:r>
              <w:rPr>
                <w:w w:val="103"/>
                <w:sz w:val="3"/>
              </w:rPr>
              <w:t>-</w:t>
            </w:r>
          </w:p>
        </w:tc>
        <w:tc>
          <w:tcPr>
            <w:tcW w:w="576" w:type="dxa"/>
            <w:tcBorders>
              <w:top w:val="nil"/>
              <w:bottom w:val="nil"/>
            </w:tcBorders>
            <w:shd w:val="clear" w:color="auto" w:fill="FCE4D6"/>
          </w:tcPr>
          <w:p w14:paraId="3A935A50" w14:textId="77777777" w:rsidR="00F65BCA" w:rsidRDefault="00F65BCA">
            <w:pPr>
              <w:pStyle w:val="TableParagraph"/>
              <w:rPr>
                <w:rFonts w:ascii="Calibri"/>
                <w:sz w:val="2"/>
              </w:rPr>
            </w:pPr>
          </w:p>
          <w:p w14:paraId="41FC71D3"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0CA77F6D" w14:textId="77777777" w:rsidR="00F65BCA" w:rsidRDefault="00F65BCA">
            <w:pPr>
              <w:rPr>
                <w:sz w:val="2"/>
                <w:szCs w:val="2"/>
              </w:rPr>
            </w:pPr>
          </w:p>
        </w:tc>
        <w:tc>
          <w:tcPr>
            <w:tcW w:w="288" w:type="dxa"/>
            <w:tcBorders>
              <w:top w:val="nil"/>
              <w:bottom w:val="nil"/>
            </w:tcBorders>
          </w:tcPr>
          <w:p w14:paraId="10D02EED" w14:textId="77777777" w:rsidR="00F65BCA" w:rsidRDefault="00F65BCA">
            <w:pPr>
              <w:pStyle w:val="TableParagraph"/>
              <w:rPr>
                <w:rFonts w:ascii="Calibri"/>
                <w:sz w:val="2"/>
              </w:rPr>
            </w:pPr>
          </w:p>
          <w:p w14:paraId="1DA4E1AA" w14:textId="77777777" w:rsidR="00F65BCA" w:rsidRDefault="00216117">
            <w:pPr>
              <w:pStyle w:val="TableParagraph"/>
              <w:ind w:left="24" w:right="24"/>
              <w:jc w:val="center"/>
              <w:rPr>
                <w:sz w:val="3"/>
              </w:rPr>
            </w:pPr>
            <w:r>
              <w:rPr>
                <w:w w:val="105"/>
                <w:sz w:val="3"/>
              </w:rPr>
              <w:t>1,02049000%</w:t>
            </w:r>
          </w:p>
        </w:tc>
        <w:tc>
          <w:tcPr>
            <w:tcW w:w="288" w:type="dxa"/>
            <w:tcBorders>
              <w:top w:val="nil"/>
              <w:bottom w:val="nil"/>
            </w:tcBorders>
          </w:tcPr>
          <w:p w14:paraId="5971E6A3" w14:textId="77777777" w:rsidR="00F65BCA" w:rsidRDefault="00F65BCA">
            <w:pPr>
              <w:pStyle w:val="TableParagraph"/>
              <w:rPr>
                <w:rFonts w:ascii="Calibri"/>
                <w:sz w:val="2"/>
              </w:rPr>
            </w:pPr>
          </w:p>
          <w:p w14:paraId="01A9D7AE" w14:textId="77777777" w:rsidR="00F65BCA" w:rsidRDefault="00216117">
            <w:pPr>
              <w:pStyle w:val="TableParagraph"/>
              <w:ind w:left="24" w:right="24"/>
              <w:jc w:val="center"/>
              <w:rPr>
                <w:sz w:val="3"/>
              </w:rPr>
            </w:pPr>
            <w:r>
              <w:rPr>
                <w:w w:val="105"/>
                <w:sz w:val="3"/>
              </w:rPr>
              <w:t>0,91307000%</w:t>
            </w:r>
          </w:p>
        </w:tc>
        <w:tc>
          <w:tcPr>
            <w:tcW w:w="288" w:type="dxa"/>
            <w:tcBorders>
              <w:top w:val="nil"/>
              <w:bottom w:val="nil"/>
            </w:tcBorders>
          </w:tcPr>
          <w:p w14:paraId="6BC3E73B" w14:textId="77777777" w:rsidR="00F65BCA" w:rsidRDefault="00F65BCA">
            <w:pPr>
              <w:pStyle w:val="TableParagraph"/>
              <w:rPr>
                <w:rFonts w:ascii="Calibri"/>
                <w:sz w:val="2"/>
              </w:rPr>
            </w:pPr>
          </w:p>
          <w:p w14:paraId="558AA50A" w14:textId="77777777" w:rsidR="00F65BCA" w:rsidRDefault="00216117">
            <w:pPr>
              <w:pStyle w:val="TableParagraph"/>
              <w:ind w:left="47"/>
              <w:rPr>
                <w:sz w:val="3"/>
              </w:rPr>
            </w:pPr>
            <w:r>
              <w:rPr>
                <w:w w:val="105"/>
                <w:sz w:val="3"/>
              </w:rPr>
              <w:t>0,91307000%</w:t>
            </w:r>
          </w:p>
        </w:tc>
        <w:tc>
          <w:tcPr>
            <w:tcW w:w="288" w:type="dxa"/>
            <w:tcBorders>
              <w:top w:val="nil"/>
              <w:bottom w:val="nil"/>
            </w:tcBorders>
          </w:tcPr>
          <w:p w14:paraId="42EA5782" w14:textId="77777777" w:rsidR="00F65BCA" w:rsidRDefault="00F65BCA">
            <w:pPr>
              <w:pStyle w:val="TableParagraph"/>
              <w:rPr>
                <w:rFonts w:ascii="Calibri"/>
                <w:sz w:val="2"/>
              </w:rPr>
            </w:pPr>
          </w:p>
          <w:p w14:paraId="332BFF21" w14:textId="77777777" w:rsidR="00F65BCA" w:rsidRDefault="00216117">
            <w:pPr>
              <w:pStyle w:val="TableParagraph"/>
              <w:ind w:left="24" w:right="24"/>
              <w:jc w:val="center"/>
              <w:rPr>
                <w:sz w:val="3"/>
              </w:rPr>
            </w:pPr>
            <w:r>
              <w:rPr>
                <w:w w:val="105"/>
                <w:sz w:val="3"/>
              </w:rPr>
              <w:t>0,83250500%</w:t>
            </w:r>
          </w:p>
        </w:tc>
        <w:tc>
          <w:tcPr>
            <w:tcW w:w="288" w:type="dxa"/>
            <w:tcBorders>
              <w:top w:val="nil"/>
              <w:bottom w:val="nil"/>
            </w:tcBorders>
          </w:tcPr>
          <w:p w14:paraId="39E753DB" w14:textId="77777777" w:rsidR="00F65BCA" w:rsidRDefault="00F65BCA">
            <w:pPr>
              <w:pStyle w:val="TableParagraph"/>
              <w:rPr>
                <w:rFonts w:ascii="Calibri"/>
                <w:sz w:val="2"/>
              </w:rPr>
            </w:pPr>
          </w:p>
          <w:p w14:paraId="7A88BB3E" w14:textId="77777777" w:rsidR="00F65BCA" w:rsidRDefault="00216117">
            <w:pPr>
              <w:pStyle w:val="TableParagraph"/>
              <w:ind w:left="47"/>
              <w:rPr>
                <w:sz w:val="3"/>
              </w:rPr>
            </w:pPr>
            <w:r>
              <w:rPr>
                <w:w w:val="105"/>
                <w:sz w:val="3"/>
              </w:rPr>
              <w:t>0,83250500%</w:t>
            </w:r>
          </w:p>
        </w:tc>
        <w:tc>
          <w:tcPr>
            <w:tcW w:w="288" w:type="dxa"/>
            <w:tcBorders>
              <w:top w:val="nil"/>
              <w:bottom w:val="nil"/>
            </w:tcBorders>
          </w:tcPr>
          <w:p w14:paraId="6A842CB0" w14:textId="77777777" w:rsidR="00F65BCA" w:rsidRDefault="00F65BCA">
            <w:pPr>
              <w:pStyle w:val="TableParagraph"/>
              <w:rPr>
                <w:rFonts w:ascii="Calibri"/>
                <w:sz w:val="2"/>
              </w:rPr>
            </w:pPr>
          </w:p>
          <w:p w14:paraId="6BB33CD1" w14:textId="77777777" w:rsidR="00F65BCA" w:rsidRDefault="00216117">
            <w:pPr>
              <w:pStyle w:val="TableParagraph"/>
              <w:ind w:left="24" w:right="24"/>
              <w:jc w:val="center"/>
              <w:rPr>
                <w:sz w:val="3"/>
              </w:rPr>
            </w:pPr>
            <w:r>
              <w:rPr>
                <w:w w:val="105"/>
                <w:sz w:val="3"/>
              </w:rPr>
              <w:t>0,75194000%</w:t>
            </w:r>
          </w:p>
        </w:tc>
        <w:tc>
          <w:tcPr>
            <w:tcW w:w="288" w:type="dxa"/>
            <w:tcBorders>
              <w:top w:val="nil"/>
              <w:bottom w:val="nil"/>
            </w:tcBorders>
          </w:tcPr>
          <w:p w14:paraId="563118CF" w14:textId="77777777" w:rsidR="00F65BCA" w:rsidRDefault="00F65BCA">
            <w:pPr>
              <w:pStyle w:val="TableParagraph"/>
              <w:rPr>
                <w:rFonts w:ascii="Calibri"/>
                <w:sz w:val="2"/>
              </w:rPr>
            </w:pPr>
          </w:p>
          <w:p w14:paraId="349192D8" w14:textId="77777777" w:rsidR="00F65BCA" w:rsidRDefault="00216117">
            <w:pPr>
              <w:pStyle w:val="TableParagraph"/>
              <w:ind w:left="24" w:right="24"/>
              <w:jc w:val="center"/>
              <w:rPr>
                <w:sz w:val="3"/>
              </w:rPr>
            </w:pPr>
            <w:r>
              <w:rPr>
                <w:w w:val="105"/>
                <w:sz w:val="3"/>
              </w:rPr>
              <w:t>0,75194000%</w:t>
            </w:r>
          </w:p>
        </w:tc>
        <w:tc>
          <w:tcPr>
            <w:tcW w:w="288" w:type="dxa"/>
            <w:tcBorders>
              <w:top w:val="nil"/>
              <w:bottom w:val="nil"/>
            </w:tcBorders>
          </w:tcPr>
          <w:p w14:paraId="4FBB338C" w14:textId="77777777" w:rsidR="00F65BCA" w:rsidRDefault="00F65BCA">
            <w:pPr>
              <w:pStyle w:val="TableParagraph"/>
              <w:rPr>
                <w:rFonts w:ascii="Calibri"/>
                <w:sz w:val="2"/>
              </w:rPr>
            </w:pPr>
          </w:p>
          <w:p w14:paraId="5BB55BD9" w14:textId="77777777" w:rsidR="00F65BCA" w:rsidRDefault="00216117">
            <w:pPr>
              <w:pStyle w:val="TableParagraph"/>
              <w:ind w:left="47"/>
              <w:rPr>
                <w:sz w:val="3"/>
              </w:rPr>
            </w:pPr>
            <w:r>
              <w:rPr>
                <w:w w:val="105"/>
                <w:sz w:val="3"/>
              </w:rPr>
              <w:t>0,67137500%</w:t>
            </w:r>
          </w:p>
        </w:tc>
        <w:tc>
          <w:tcPr>
            <w:tcW w:w="288" w:type="dxa"/>
            <w:tcBorders>
              <w:top w:val="nil"/>
              <w:bottom w:val="nil"/>
            </w:tcBorders>
          </w:tcPr>
          <w:p w14:paraId="57917370" w14:textId="77777777" w:rsidR="00F65BCA" w:rsidRDefault="00F65BCA">
            <w:pPr>
              <w:pStyle w:val="TableParagraph"/>
              <w:rPr>
                <w:rFonts w:ascii="Calibri"/>
                <w:sz w:val="2"/>
              </w:rPr>
            </w:pPr>
          </w:p>
          <w:p w14:paraId="02068734" w14:textId="77777777" w:rsidR="00F65BCA" w:rsidRDefault="00216117">
            <w:pPr>
              <w:pStyle w:val="TableParagraph"/>
              <w:ind w:left="24" w:right="24"/>
              <w:jc w:val="center"/>
              <w:rPr>
                <w:sz w:val="3"/>
              </w:rPr>
            </w:pPr>
            <w:r>
              <w:rPr>
                <w:w w:val="105"/>
                <w:sz w:val="3"/>
              </w:rPr>
              <w:t>0,67137500%</w:t>
            </w:r>
          </w:p>
        </w:tc>
        <w:tc>
          <w:tcPr>
            <w:tcW w:w="288" w:type="dxa"/>
            <w:tcBorders>
              <w:top w:val="nil"/>
              <w:bottom w:val="nil"/>
            </w:tcBorders>
          </w:tcPr>
          <w:p w14:paraId="4F7D7E80" w14:textId="77777777" w:rsidR="00F65BCA" w:rsidRDefault="00F65BCA">
            <w:pPr>
              <w:pStyle w:val="TableParagraph"/>
              <w:rPr>
                <w:rFonts w:ascii="Calibri"/>
                <w:sz w:val="2"/>
              </w:rPr>
            </w:pPr>
          </w:p>
          <w:p w14:paraId="1C6ADF94" w14:textId="77777777" w:rsidR="00F65BCA" w:rsidRDefault="00216117">
            <w:pPr>
              <w:pStyle w:val="TableParagraph"/>
              <w:ind w:left="24" w:right="24"/>
              <w:jc w:val="center"/>
              <w:rPr>
                <w:sz w:val="3"/>
              </w:rPr>
            </w:pPr>
            <w:r>
              <w:rPr>
                <w:w w:val="105"/>
                <w:sz w:val="3"/>
              </w:rPr>
              <w:t>0,61766500%</w:t>
            </w:r>
          </w:p>
        </w:tc>
        <w:tc>
          <w:tcPr>
            <w:tcW w:w="288" w:type="dxa"/>
            <w:tcBorders>
              <w:top w:val="nil"/>
              <w:bottom w:val="nil"/>
            </w:tcBorders>
          </w:tcPr>
          <w:p w14:paraId="4B0FEA89" w14:textId="77777777" w:rsidR="00F65BCA" w:rsidRDefault="00F65BCA">
            <w:pPr>
              <w:pStyle w:val="TableParagraph"/>
              <w:rPr>
                <w:rFonts w:ascii="Calibri"/>
                <w:sz w:val="2"/>
              </w:rPr>
            </w:pPr>
          </w:p>
          <w:p w14:paraId="3CA56555" w14:textId="77777777" w:rsidR="00F65BCA" w:rsidRDefault="00216117">
            <w:pPr>
              <w:pStyle w:val="TableParagraph"/>
              <w:ind w:left="24" w:right="24"/>
              <w:jc w:val="center"/>
              <w:rPr>
                <w:sz w:val="3"/>
              </w:rPr>
            </w:pPr>
            <w:r>
              <w:rPr>
                <w:w w:val="105"/>
                <w:sz w:val="3"/>
              </w:rPr>
              <w:t>0,59081000%</w:t>
            </w:r>
          </w:p>
        </w:tc>
        <w:tc>
          <w:tcPr>
            <w:tcW w:w="288" w:type="dxa"/>
            <w:tcBorders>
              <w:top w:val="nil"/>
              <w:bottom w:val="nil"/>
            </w:tcBorders>
          </w:tcPr>
          <w:p w14:paraId="302D465F" w14:textId="77777777" w:rsidR="00F65BCA" w:rsidRDefault="00F65BCA">
            <w:pPr>
              <w:pStyle w:val="TableParagraph"/>
              <w:rPr>
                <w:rFonts w:ascii="Calibri"/>
                <w:sz w:val="2"/>
              </w:rPr>
            </w:pPr>
          </w:p>
          <w:p w14:paraId="53F171D8" w14:textId="77777777" w:rsidR="00F65BCA" w:rsidRDefault="00216117">
            <w:pPr>
              <w:pStyle w:val="TableParagraph"/>
              <w:ind w:left="24" w:right="24"/>
              <w:jc w:val="center"/>
              <w:rPr>
                <w:sz w:val="3"/>
              </w:rPr>
            </w:pPr>
            <w:r>
              <w:rPr>
                <w:w w:val="105"/>
                <w:sz w:val="3"/>
              </w:rPr>
              <w:t>0,53710000%</w:t>
            </w:r>
          </w:p>
        </w:tc>
        <w:tc>
          <w:tcPr>
            <w:tcW w:w="288" w:type="dxa"/>
            <w:tcBorders>
              <w:top w:val="nil"/>
              <w:bottom w:val="nil"/>
            </w:tcBorders>
          </w:tcPr>
          <w:p w14:paraId="70A9424F" w14:textId="77777777" w:rsidR="00F65BCA" w:rsidRDefault="00F65BCA">
            <w:pPr>
              <w:pStyle w:val="TableParagraph"/>
              <w:rPr>
                <w:rFonts w:ascii="Calibri"/>
                <w:sz w:val="2"/>
              </w:rPr>
            </w:pPr>
          </w:p>
          <w:p w14:paraId="2861BE8C" w14:textId="77777777" w:rsidR="00F65BCA" w:rsidRDefault="00216117">
            <w:pPr>
              <w:pStyle w:val="TableParagraph"/>
              <w:ind w:left="47"/>
              <w:rPr>
                <w:sz w:val="3"/>
              </w:rPr>
            </w:pPr>
            <w:r>
              <w:rPr>
                <w:w w:val="105"/>
                <w:sz w:val="3"/>
              </w:rPr>
              <w:t>0,53710000%</w:t>
            </w:r>
          </w:p>
        </w:tc>
      </w:tr>
      <w:tr w:rsidR="00F65BCA" w14:paraId="76ABE922" w14:textId="77777777">
        <w:trPr>
          <w:trHeight w:val="49"/>
        </w:trPr>
        <w:tc>
          <w:tcPr>
            <w:tcW w:w="526" w:type="dxa"/>
            <w:vMerge/>
            <w:tcBorders>
              <w:top w:val="nil"/>
              <w:bottom w:val="nil"/>
            </w:tcBorders>
            <w:shd w:val="clear" w:color="auto" w:fill="FCE4D6"/>
          </w:tcPr>
          <w:p w14:paraId="17D785C7" w14:textId="77777777" w:rsidR="00F65BCA" w:rsidRDefault="00F65BCA">
            <w:pPr>
              <w:rPr>
                <w:sz w:val="2"/>
                <w:szCs w:val="2"/>
              </w:rPr>
            </w:pPr>
          </w:p>
        </w:tc>
        <w:tc>
          <w:tcPr>
            <w:tcW w:w="732" w:type="dxa"/>
            <w:tcBorders>
              <w:top w:val="nil"/>
            </w:tcBorders>
            <w:shd w:val="clear" w:color="auto" w:fill="FCE4D6"/>
          </w:tcPr>
          <w:p w14:paraId="4233DA37" w14:textId="77777777" w:rsidR="00F65BCA" w:rsidRDefault="00216117">
            <w:pPr>
              <w:pStyle w:val="TableParagraph"/>
              <w:spacing w:before="3" w:line="26" w:lineRule="exact"/>
              <w:ind w:left="4"/>
              <w:rPr>
                <w:sz w:val="3"/>
              </w:rPr>
            </w:pPr>
            <w:r>
              <w:rPr>
                <w:w w:val="105"/>
                <w:sz w:val="3"/>
              </w:rPr>
              <w:t>Scania; Steyr; Tatra</w:t>
            </w:r>
          </w:p>
        </w:tc>
        <w:tc>
          <w:tcPr>
            <w:tcW w:w="958" w:type="dxa"/>
            <w:gridSpan w:val="2"/>
            <w:tcBorders>
              <w:top w:val="nil"/>
            </w:tcBorders>
            <w:shd w:val="clear" w:color="auto" w:fill="FCE4D6"/>
          </w:tcPr>
          <w:p w14:paraId="5A474F4A" w14:textId="77777777" w:rsidR="00F65BCA" w:rsidRDefault="00F65BCA">
            <w:pPr>
              <w:pStyle w:val="TableParagraph"/>
              <w:rPr>
                <w:rFonts w:ascii="Times New Roman"/>
                <w:sz w:val="2"/>
              </w:rPr>
            </w:pPr>
          </w:p>
        </w:tc>
        <w:tc>
          <w:tcPr>
            <w:tcW w:w="576" w:type="dxa"/>
            <w:tcBorders>
              <w:top w:val="nil"/>
            </w:tcBorders>
            <w:shd w:val="clear" w:color="auto" w:fill="FCE4D6"/>
          </w:tcPr>
          <w:p w14:paraId="7CB9A584" w14:textId="77777777" w:rsidR="00F65BCA" w:rsidRDefault="00F65BCA">
            <w:pPr>
              <w:pStyle w:val="TableParagraph"/>
              <w:rPr>
                <w:rFonts w:ascii="Times New Roman"/>
                <w:sz w:val="2"/>
              </w:rPr>
            </w:pPr>
          </w:p>
        </w:tc>
        <w:tc>
          <w:tcPr>
            <w:tcW w:w="576" w:type="dxa"/>
            <w:tcBorders>
              <w:top w:val="nil"/>
            </w:tcBorders>
            <w:shd w:val="clear" w:color="auto" w:fill="FCE4D6"/>
          </w:tcPr>
          <w:p w14:paraId="790FBEC6" w14:textId="77777777" w:rsidR="00F65BCA" w:rsidRDefault="00F65BCA">
            <w:pPr>
              <w:pStyle w:val="TableParagraph"/>
              <w:rPr>
                <w:rFonts w:ascii="Times New Roman"/>
                <w:sz w:val="2"/>
              </w:rPr>
            </w:pPr>
          </w:p>
        </w:tc>
        <w:tc>
          <w:tcPr>
            <w:tcW w:w="50" w:type="dxa"/>
            <w:vMerge/>
            <w:tcBorders>
              <w:top w:val="nil"/>
              <w:bottom w:val="nil"/>
            </w:tcBorders>
          </w:tcPr>
          <w:p w14:paraId="6C169BA7" w14:textId="77777777" w:rsidR="00F65BCA" w:rsidRDefault="00F65BCA">
            <w:pPr>
              <w:rPr>
                <w:sz w:val="2"/>
                <w:szCs w:val="2"/>
              </w:rPr>
            </w:pPr>
          </w:p>
        </w:tc>
        <w:tc>
          <w:tcPr>
            <w:tcW w:w="288" w:type="dxa"/>
            <w:tcBorders>
              <w:top w:val="nil"/>
            </w:tcBorders>
          </w:tcPr>
          <w:p w14:paraId="3A5E3AE6" w14:textId="77777777" w:rsidR="00F65BCA" w:rsidRDefault="00F65BCA">
            <w:pPr>
              <w:pStyle w:val="TableParagraph"/>
              <w:rPr>
                <w:rFonts w:ascii="Times New Roman"/>
                <w:sz w:val="2"/>
              </w:rPr>
            </w:pPr>
          </w:p>
        </w:tc>
        <w:tc>
          <w:tcPr>
            <w:tcW w:w="288" w:type="dxa"/>
            <w:tcBorders>
              <w:top w:val="nil"/>
            </w:tcBorders>
          </w:tcPr>
          <w:p w14:paraId="4C064C51" w14:textId="77777777" w:rsidR="00F65BCA" w:rsidRDefault="00F65BCA">
            <w:pPr>
              <w:pStyle w:val="TableParagraph"/>
              <w:rPr>
                <w:rFonts w:ascii="Times New Roman"/>
                <w:sz w:val="2"/>
              </w:rPr>
            </w:pPr>
          </w:p>
        </w:tc>
        <w:tc>
          <w:tcPr>
            <w:tcW w:w="288" w:type="dxa"/>
            <w:tcBorders>
              <w:top w:val="nil"/>
            </w:tcBorders>
          </w:tcPr>
          <w:p w14:paraId="28AA9333" w14:textId="77777777" w:rsidR="00F65BCA" w:rsidRDefault="00F65BCA">
            <w:pPr>
              <w:pStyle w:val="TableParagraph"/>
              <w:rPr>
                <w:rFonts w:ascii="Times New Roman"/>
                <w:sz w:val="2"/>
              </w:rPr>
            </w:pPr>
          </w:p>
        </w:tc>
        <w:tc>
          <w:tcPr>
            <w:tcW w:w="288" w:type="dxa"/>
            <w:tcBorders>
              <w:top w:val="nil"/>
            </w:tcBorders>
          </w:tcPr>
          <w:p w14:paraId="32DDC1DA" w14:textId="77777777" w:rsidR="00F65BCA" w:rsidRDefault="00F65BCA">
            <w:pPr>
              <w:pStyle w:val="TableParagraph"/>
              <w:rPr>
                <w:rFonts w:ascii="Times New Roman"/>
                <w:sz w:val="2"/>
              </w:rPr>
            </w:pPr>
          </w:p>
        </w:tc>
        <w:tc>
          <w:tcPr>
            <w:tcW w:w="288" w:type="dxa"/>
            <w:tcBorders>
              <w:top w:val="nil"/>
            </w:tcBorders>
          </w:tcPr>
          <w:p w14:paraId="00629620" w14:textId="77777777" w:rsidR="00F65BCA" w:rsidRDefault="00F65BCA">
            <w:pPr>
              <w:pStyle w:val="TableParagraph"/>
              <w:rPr>
                <w:rFonts w:ascii="Times New Roman"/>
                <w:sz w:val="2"/>
              </w:rPr>
            </w:pPr>
          </w:p>
        </w:tc>
        <w:tc>
          <w:tcPr>
            <w:tcW w:w="288" w:type="dxa"/>
            <w:tcBorders>
              <w:top w:val="nil"/>
            </w:tcBorders>
          </w:tcPr>
          <w:p w14:paraId="6125F981" w14:textId="77777777" w:rsidR="00F65BCA" w:rsidRDefault="00F65BCA">
            <w:pPr>
              <w:pStyle w:val="TableParagraph"/>
              <w:rPr>
                <w:rFonts w:ascii="Times New Roman"/>
                <w:sz w:val="2"/>
              </w:rPr>
            </w:pPr>
          </w:p>
        </w:tc>
        <w:tc>
          <w:tcPr>
            <w:tcW w:w="288" w:type="dxa"/>
            <w:tcBorders>
              <w:top w:val="nil"/>
            </w:tcBorders>
          </w:tcPr>
          <w:p w14:paraId="08E1A654" w14:textId="77777777" w:rsidR="00F65BCA" w:rsidRDefault="00F65BCA">
            <w:pPr>
              <w:pStyle w:val="TableParagraph"/>
              <w:rPr>
                <w:rFonts w:ascii="Times New Roman"/>
                <w:sz w:val="2"/>
              </w:rPr>
            </w:pPr>
          </w:p>
        </w:tc>
        <w:tc>
          <w:tcPr>
            <w:tcW w:w="288" w:type="dxa"/>
            <w:tcBorders>
              <w:top w:val="nil"/>
            </w:tcBorders>
          </w:tcPr>
          <w:p w14:paraId="53B6ABEC" w14:textId="77777777" w:rsidR="00F65BCA" w:rsidRDefault="00F65BCA">
            <w:pPr>
              <w:pStyle w:val="TableParagraph"/>
              <w:rPr>
                <w:rFonts w:ascii="Times New Roman"/>
                <w:sz w:val="2"/>
              </w:rPr>
            </w:pPr>
          </w:p>
        </w:tc>
        <w:tc>
          <w:tcPr>
            <w:tcW w:w="288" w:type="dxa"/>
            <w:tcBorders>
              <w:top w:val="nil"/>
            </w:tcBorders>
          </w:tcPr>
          <w:p w14:paraId="21EE5A8C" w14:textId="77777777" w:rsidR="00F65BCA" w:rsidRDefault="00F65BCA">
            <w:pPr>
              <w:pStyle w:val="TableParagraph"/>
              <w:rPr>
                <w:rFonts w:ascii="Times New Roman"/>
                <w:sz w:val="2"/>
              </w:rPr>
            </w:pPr>
          </w:p>
        </w:tc>
        <w:tc>
          <w:tcPr>
            <w:tcW w:w="288" w:type="dxa"/>
            <w:tcBorders>
              <w:top w:val="nil"/>
            </w:tcBorders>
          </w:tcPr>
          <w:p w14:paraId="50147038" w14:textId="77777777" w:rsidR="00F65BCA" w:rsidRDefault="00F65BCA">
            <w:pPr>
              <w:pStyle w:val="TableParagraph"/>
              <w:rPr>
                <w:rFonts w:ascii="Times New Roman"/>
                <w:sz w:val="2"/>
              </w:rPr>
            </w:pPr>
          </w:p>
        </w:tc>
        <w:tc>
          <w:tcPr>
            <w:tcW w:w="288" w:type="dxa"/>
            <w:tcBorders>
              <w:top w:val="nil"/>
            </w:tcBorders>
          </w:tcPr>
          <w:p w14:paraId="3B21F97F" w14:textId="77777777" w:rsidR="00F65BCA" w:rsidRDefault="00F65BCA">
            <w:pPr>
              <w:pStyle w:val="TableParagraph"/>
              <w:rPr>
                <w:rFonts w:ascii="Times New Roman"/>
                <w:sz w:val="2"/>
              </w:rPr>
            </w:pPr>
          </w:p>
        </w:tc>
        <w:tc>
          <w:tcPr>
            <w:tcW w:w="288" w:type="dxa"/>
            <w:tcBorders>
              <w:top w:val="nil"/>
            </w:tcBorders>
          </w:tcPr>
          <w:p w14:paraId="216D5F38" w14:textId="77777777" w:rsidR="00F65BCA" w:rsidRDefault="00F65BCA">
            <w:pPr>
              <w:pStyle w:val="TableParagraph"/>
              <w:rPr>
                <w:rFonts w:ascii="Times New Roman"/>
                <w:sz w:val="2"/>
              </w:rPr>
            </w:pPr>
          </w:p>
        </w:tc>
        <w:tc>
          <w:tcPr>
            <w:tcW w:w="288" w:type="dxa"/>
            <w:tcBorders>
              <w:top w:val="nil"/>
            </w:tcBorders>
          </w:tcPr>
          <w:p w14:paraId="7BEAB843" w14:textId="77777777" w:rsidR="00F65BCA" w:rsidRDefault="00F65BCA">
            <w:pPr>
              <w:pStyle w:val="TableParagraph"/>
              <w:rPr>
                <w:rFonts w:ascii="Times New Roman"/>
                <w:sz w:val="2"/>
              </w:rPr>
            </w:pPr>
          </w:p>
        </w:tc>
      </w:tr>
      <w:tr w:rsidR="00F65BCA" w14:paraId="493D664B" w14:textId="77777777">
        <w:trPr>
          <w:trHeight w:val="58"/>
        </w:trPr>
        <w:tc>
          <w:tcPr>
            <w:tcW w:w="526" w:type="dxa"/>
            <w:vMerge w:val="restart"/>
            <w:tcBorders>
              <w:top w:val="nil"/>
              <w:bottom w:val="nil"/>
            </w:tcBorders>
            <w:shd w:val="clear" w:color="auto" w:fill="FCE4D6"/>
          </w:tcPr>
          <w:p w14:paraId="3C1BB4DD" w14:textId="77777777" w:rsidR="00F65BCA" w:rsidRDefault="00F65BCA">
            <w:pPr>
              <w:pStyle w:val="TableParagraph"/>
              <w:rPr>
                <w:rFonts w:ascii="Times New Roman"/>
                <w:sz w:val="2"/>
              </w:rPr>
            </w:pPr>
          </w:p>
        </w:tc>
        <w:tc>
          <w:tcPr>
            <w:tcW w:w="732" w:type="dxa"/>
            <w:tcBorders>
              <w:bottom w:val="nil"/>
            </w:tcBorders>
            <w:shd w:val="clear" w:color="auto" w:fill="FCE4D6"/>
          </w:tcPr>
          <w:p w14:paraId="0DF65156" w14:textId="77777777" w:rsidR="00F65BCA" w:rsidRDefault="00F65BCA">
            <w:pPr>
              <w:pStyle w:val="TableParagraph"/>
              <w:rPr>
                <w:rFonts w:ascii="Calibri"/>
                <w:sz w:val="2"/>
              </w:rPr>
            </w:pPr>
          </w:p>
          <w:p w14:paraId="3D9B1BEC" w14:textId="77777777" w:rsidR="00F65BCA" w:rsidRDefault="00216117">
            <w:pPr>
              <w:pStyle w:val="TableParagraph"/>
              <w:spacing w:line="18" w:lineRule="exact"/>
              <w:ind w:left="4"/>
              <w:rPr>
                <w:sz w:val="3"/>
              </w:rPr>
            </w:pPr>
            <w:r>
              <w:rPr>
                <w:w w:val="105"/>
                <w:sz w:val="3"/>
              </w:rPr>
              <w:t>Aebi; Bonetti; Citroën; Dodge; Fiat; Ford; Fuso;</w:t>
            </w:r>
          </w:p>
        </w:tc>
        <w:tc>
          <w:tcPr>
            <w:tcW w:w="958" w:type="dxa"/>
            <w:gridSpan w:val="2"/>
            <w:tcBorders>
              <w:bottom w:val="nil"/>
            </w:tcBorders>
            <w:shd w:val="clear" w:color="auto" w:fill="FCE4D6"/>
          </w:tcPr>
          <w:p w14:paraId="028AF1BF" w14:textId="77777777" w:rsidR="00F65BCA" w:rsidRDefault="00F65BCA">
            <w:pPr>
              <w:pStyle w:val="TableParagraph"/>
              <w:rPr>
                <w:rFonts w:ascii="Times New Roman"/>
                <w:sz w:val="2"/>
              </w:rPr>
            </w:pPr>
          </w:p>
        </w:tc>
        <w:tc>
          <w:tcPr>
            <w:tcW w:w="576" w:type="dxa"/>
            <w:tcBorders>
              <w:bottom w:val="nil"/>
            </w:tcBorders>
            <w:shd w:val="clear" w:color="auto" w:fill="FCE4D6"/>
          </w:tcPr>
          <w:p w14:paraId="2768EB07" w14:textId="77777777" w:rsidR="00F65BCA" w:rsidRDefault="00F65BCA">
            <w:pPr>
              <w:pStyle w:val="TableParagraph"/>
              <w:rPr>
                <w:rFonts w:ascii="Times New Roman"/>
                <w:sz w:val="2"/>
              </w:rPr>
            </w:pPr>
          </w:p>
        </w:tc>
        <w:tc>
          <w:tcPr>
            <w:tcW w:w="576" w:type="dxa"/>
            <w:tcBorders>
              <w:bottom w:val="nil"/>
            </w:tcBorders>
            <w:shd w:val="clear" w:color="auto" w:fill="FCE4D6"/>
          </w:tcPr>
          <w:p w14:paraId="7F0D3FB0" w14:textId="77777777" w:rsidR="00F65BCA" w:rsidRDefault="00F65BCA">
            <w:pPr>
              <w:pStyle w:val="TableParagraph"/>
              <w:rPr>
                <w:rFonts w:ascii="Times New Roman"/>
                <w:sz w:val="2"/>
              </w:rPr>
            </w:pPr>
          </w:p>
        </w:tc>
        <w:tc>
          <w:tcPr>
            <w:tcW w:w="50" w:type="dxa"/>
            <w:vMerge/>
            <w:tcBorders>
              <w:top w:val="nil"/>
              <w:bottom w:val="nil"/>
            </w:tcBorders>
          </w:tcPr>
          <w:p w14:paraId="3A51331B" w14:textId="77777777" w:rsidR="00F65BCA" w:rsidRDefault="00F65BCA">
            <w:pPr>
              <w:rPr>
                <w:sz w:val="2"/>
                <w:szCs w:val="2"/>
              </w:rPr>
            </w:pPr>
          </w:p>
        </w:tc>
        <w:tc>
          <w:tcPr>
            <w:tcW w:w="288" w:type="dxa"/>
            <w:tcBorders>
              <w:bottom w:val="nil"/>
            </w:tcBorders>
          </w:tcPr>
          <w:p w14:paraId="58226980" w14:textId="77777777" w:rsidR="00F65BCA" w:rsidRDefault="00F65BCA">
            <w:pPr>
              <w:pStyle w:val="TableParagraph"/>
              <w:rPr>
                <w:rFonts w:ascii="Times New Roman"/>
                <w:sz w:val="2"/>
              </w:rPr>
            </w:pPr>
          </w:p>
        </w:tc>
        <w:tc>
          <w:tcPr>
            <w:tcW w:w="288" w:type="dxa"/>
            <w:tcBorders>
              <w:bottom w:val="nil"/>
            </w:tcBorders>
          </w:tcPr>
          <w:p w14:paraId="3B363369" w14:textId="77777777" w:rsidR="00F65BCA" w:rsidRDefault="00F65BCA">
            <w:pPr>
              <w:pStyle w:val="TableParagraph"/>
              <w:rPr>
                <w:rFonts w:ascii="Times New Roman"/>
                <w:sz w:val="2"/>
              </w:rPr>
            </w:pPr>
          </w:p>
        </w:tc>
        <w:tc>
          <w:tcPr>
            <w:tcW w:w="288" w:type="dxa"/>
            <w:tcBorders>
              <w:bottom w:val="nil"/>
            </w:tcBorders>
          </w:tcPr>
          <w:p w14:paraId="295F09CE" w14:textId="77777777" w:rsidR="00F65BCA" w:rsidRDefault="00F65BCA">
            <w:pPr>
              <w:pStyle w:val="TableParagraph"/>
              <w:rPr>
                <w:rFonts w:ascii="Times New Roman"/>
                <w:sz w:val="2"/>
              </w:rPr>
            </w:pPr>
          </w:p>
        </w:tc>
        <w:tc>
          <w:tcPr>
            <w:tcW w:w="288" w:type="dxa"/>
            <w:tcBorders>
              <w:bottom w:val="nil"/>
            </w:tcBorders>
          </w:tcPr>
          <w:p w14:paraId="3E07E254" w14:textId="77777777" w:rsidR="00F65BCA" w:rsidRDefault="00F65BCA">
            <w:pPr>
              <w:pStyle w:val="TableParagraph"/>
              <w:rPr>
                <w:rFonts w:ascii="Times New Roman"/>
                <w:sz w:val="2"/>
              </w:rPr>
            </w:pPr>
          </w:p>
        </w:tc>
        <w:tc>
          <w:tcPr>
            <w:tcW w:w="288" w:type="dxa"/>
            <w:tcBorders>
              <w:bottom w:val="nil"/>
            </w:tcBorders>
          </w:tcPr>
          <w:p w14:paraId="4F8276B9" w14:textId="77777777" w:rsidR="00F65BCA" w:rsidRDefault="00F65BCA">
            <w:pPr>
              <w:pStyle w:val="TableParagraph"/>
              <w:rPr>
                <w:rFonts w:ascii="Times New Roman"/>
                <w:sz w:val="2"/>
              </w:rPr>
            </w:pPr>
          </w:p>
        </w:tc>
        <w:tc>
          <w:tcPr>
            <w:tcW w:w="288" w:type="dxa"/>
            <w:tcBorders>
              <w:bottom w:val="nil"/>
            </w:tcBorders>
          </w:tcPr>
          <w:p w14:paraId="5B11789D" w14:textId="77777777" w:rsidR="00F65BCA" w:rsidRDefault="00F65BCA">
            <w:pPr>
              <w:pStyle w:val="TableParagraph"/>
              <w:rPr>
                <w:rFonts w:ascii="Times New Roman"/>
                <w:sz w:val="2"/>
              </w:rPr>
            </w:pPr>
          </w:p>
        </w:tc>
        <w:tc>
          <w:tcPr>
            <w:tcW w:w="288" w:type="dxa"/>
            <w:tcBorders>
              <w:bottom w:val="nil"/>
            </w:tcBorders>
          </w:tcPr>
          <w:p w14:paraId="484CFDF8" w14:textId="77777777" w:rsidR="00F65BCA" w:rsidRDefault="00F65BCA">
            <w:pPr>
              <w:pStyle w:val="TableParagraph"/>
              <w:rPr>
                <w:rFonts w:ascii="Times New Roman"/>
                <w:sz w:val="2"/>
              </w:rPr>
            </w:pPr>
          </w:p>
        </w:tc>
        <w:tc>
          <w:tcPr>
            <w:tcW w:w="288" w:type="dxa"/>
            <w:tcBorders>
              <w:bottom w:val="nil"/>
            </w:tcBorders>
          </w:tcPr>
          <w:p w14:paraId="4CB7F241" w14:textId="77777777" w:rsidR="00F65BCA" w:rsidRDefault="00F65BCA">
            <w:pPr>
              <w:pStyle w:val="TableParagraph"/>
              <w:rPr>
                <w:rFonts w:ascii="Times New Roman"/>
                <w:sz w:val="2"/>
              </w:rPr>
            </w:pPr>
          </w:p>
        </w:tc>
        <w:tc>
          <w:tcPr>
            <w:tcW w:w="288" w:type="dxa"/>
            <w:tcBorders>
              <w:bottom w:val="nil"/>
            </w:tcBorders>
          </w:tcPr>
          <w:p w14:paraId="47D57550" w14:textId="77777777" w:rsidR="00F65BCA" w:rsidRDefault="00F65BCA">
            <w:pPr>
              <w:pStyle w:val="TableParagraph"/>
              <w:rPr>
                <w:rFonts w:ascii="Times New Roman"/>
                <w:sz w:val="2"/>
              </w:rPr>
            </w:pPr>
          </w:p>
        </w:tc>
        <w:tc>
          <w:tcPr>
            <w:tcW w:w="288" w:type="dxa"/>
            <w:tcBorders>
              <w:bottom w:val="nil"/>
            </w:tcBorders>
          </w:tcPr>
          <w:p w14:paraId="630265C3" w14:textId="77777777" w:rsidR="00F65BCA" w:rsidRDefault="00F65BCA">
            <w:pPr>
              <w:pStyle w:val="TableParagraph"/>
              <w:rPr>
                <w:rFonts w:ascii="Times New Roman"/>
                <w:sz w:val="2"/>
              </w:rPr>
            </w:pPr>
          </w:p>
        </w:tc>
        <w:tc>
          <w:tcPr>
            <w:tcW w:w="288" w:type="dxa"/>
            <w:tcBorders>
              <w:bottom w:val="nil"/>
            </w:tcBorders>
          </w:tcPr>
          <w:p w14:paraId="6E06D2A9" w14:textId="77777777" w:rsidR="00F65BCA" w:rsidRDefault="00F65BCA">
            <w:pPr>
              <w:pStyle w:val="TableParagraph"/>
              <w:rPr>
                <w:rFonts w:ascii="Times New Roman"/>
                <w:sz w:val="2"/>
              </w:rPr>
            </w:pPr>
          </w:p>
        </w:tc>
        <w:tc>
          <w:tcPr>
            <w:tcW w:w="288" w:type="dxa"/>
            <w:tcBorders>
              <w:bottom w:val="nil"/>
            </w:tcBorders>
          </w:tcPr>
          <w:p w14:paraId="16CCA205" w14:textId="77777777" w:rsidR="00F65BCA" w:rsidRDefault="00F65BCA">
            <w:pPr>
              <w:pStyle w:val="TableParagraph"/>
              <w:rPr>
                <w:rFonts w:ascii="Times New Roman"/>
                <w:sz w:val="2"/>
              </w:rPr>
            </w:pPr>
          </w:p>
        </w:tc>
        <w:tc>
          <w:tcPr>
            <w:tcW w:w="288" w:type="dxa"/>
            <w:tcBorders>
              <w:bottom w:val="nil"/>
            </w:tcBorders>
          </w:tcPr>
          <w:p w14:paraId="437060C6" w14:textId="77777777" w:rsidR="00F65BCA" w:rsidRDefault="00F65BCA">
            <w:pPr>
              <w:pStyle w:val="TableParagraph"/>
              <w:rPr>
                <w:rFonts w:ascii="Times New Roman"/>
                <w:sz w:val="2"/>
              </w:rPr>
            </w:pPr>
          </w:p>
        </w:tc>
      </w:tr>
      <w:tr w:rsidR="00F65BCA" w14:paraId="54649AB4" w14:textId="77777777">
        <w:trPr>
          <w:trHeight w:val="81"/>
        </w:trPr>
        <w:tc>
          <w:tcPr>
            <w:tcW w:w="526" w:type="dxa"/>
            <w:vMerge/>
            <w:tcBorders>
              <w:top w:val="nil"/>
              <w:bottom w:val="nil"/>
            </w:tcBorders>
            <w:shd w:val="clear" w:color="auto" w:fill="FCE4D6"/>
          </w:tcPr>
          <w:p w14:paraId="538A2755" w14:textId="77777777" w:rsidR="00F65BCA" w:rsidRDefault="00F65BCA">
            <w:pPr>
              <w:rPr>
                <w:sz w:val="2"/>
                <w:szCs w:val="2"/>
              </w:rPr>
            </w:pPr>
          </w:p>
        </w:tc>
        <w:tc>
          <w:tcPr>
            <w:tcW w:w="732" w:type="dxa"/>
            <w:tcBorders>
              <w:top w:val="nil"/>
              <w:bottom w:val="nil"/>
            </w:tcBorders>
            <w:shd w:val="clear" w:color="auto" w:fill="FCE4D6"/>
          </w:tcPr>
          <w:p w14:paraId="7613CAC8" w14:textId="77777777" w:rsidR="00F65BCA" w:rsidRDefault="00216117">
            <w:pPr>
              <w:pStyle w:val="TableParagraph"/>
              <w:spacing w:before="3"/>
              <w:ind w:left="4"/>
              <w:rPr>
                <w:sz w:val="3"/>
              </w:rPr>
            </w:pPr>
            <w:r>
              <w:rPr>
                <w:w w:val="105"/>
                <w:sz w:val="3"/>
              </w:rPr>
              <w:t>Hummer;</w:t>
            </w:r>
            <w:r>
              <w:rPr>
                <w:spacing w:val="-3"/>
                <w:w w:val="105"/>
                <w:sz w:val="3"/>
              </w:rPr>
              <w:t xml:space="preserve"> </w:t>
            </w:r>
            <w:r>
              <w:rPr>
                <w:w w:val="105"/>
                <w:sz w:val="3"/>
              </w:rPr>
              <w:t>IFA;</w:t>
            </w:r>
            <w:r>
              <w:rPr>
                <w:spacing w:val="-2"/>
                <w:w w:val="105"/>
                <w:sz w:val="3"/>
              </w:rPr>
              <w:t xml:space="preserve"> </w:t>
            </w:r>
            <w:r>
              <w:rPr>
                <w:w w:val="105"/>
                <w:sz w:val="3"/>
              </w:rPr>
              <w:t>Isuzu;</w:t>
            </w:r>
            <w:r>
              <w:rPr>
                <w:spacing w:val="-2"/>
                <w:w w:val="105"/>
                <w:sz w:val="3"/>
              </w:rPr>
              <w:t xml:space="preserve"> </w:t>
            </w:r>
            <w:r>
              <w:rPr>
                <w:w w:val="105"/>
                <w:sz w:val="3"/>
              </w:rPr>
              <w:t>LDV;</w:t>
            </w:r>
            <w:r>
              <w:rPr>
                <w:spacing w:val="-2"/>
                <w:w w:val="105"/>
                <w:sz w:val="3"/>
              </w:rPr>
              <w:t xml:space="preserve"> </w:t>
            </w:r>
            <w:r>
              <w:rPr>
                <w:w w:val="105"/>
                <w:sz w:val="3"/>
              </w:rPr>
              <w:t>Mitsubishi;</w:t>
            </w:r>
            <w:r>
              <w:rPr>
                <w:spacing w:val="-2"/>
                <w:w w:val="105"/>
                <w:sz w:val="3"/>
              </w:rPr>
              <w:t xml:space="preserve"> </w:t>
            </w:r>
            <w:r>
              <w:rPr>
                <w:w w:val="105"/>
                <w:sz w:val="3"/>
              </w:rPr>
              <w:t>Mitsubishi</w:t>
            </w:r>
          </w:p>
          <w:p w14:paraId="705751DD" w14:textId="77777777" w:rsidR="00F65BCA" w:rsidRDefault="00216117">
            <w:pPr>
              <w:pStyle w:val="TableParagraph"/>
              <w:spacing w:before="6" w:line="18" w:lineRule="exact"/>
              <w:ind w:left="4"/>
              <w:rPr>
                <w:sz w:val="3"/>
              </w:rPr>
            </w:pPr>
            <w:r>
              <w:rPr>
                <w:w w:val="105"/>
                <w:sz w:val="3"/>
              </w:rPr>
              <w:t>Fuso;</w:t>
            </w:r>
            <w:r>
              <w:rPr>
                <w:spacing w:val="-5"/>
                <w:w w:val="105"/>
                <w:sz w:val="3"/>
              </w:rPr>
              <w:t xml:space="preserve"> </w:t>
            </w:r>
            <w:r>
              <w:rPr>
                <w:w w:val="105"/>
                <w:sz w:val="3"/>
              </w:rPr>
              <w:t>Multicar;</w:t>
            </w:r>
            <w:r>
              <w:rPr>
                <w:spacing w:val="-5"/>
                <w:w w:val="105"/>
                <w:sz w:val="3"/>
              </w:rPr>
              <w:t xml:space="preserve"> </w:t>
            </w:r>
            <w:r>
              <w:rPr>
                <w:w w:val="105"/>
                <w:sz w:val="3"/>
              </w:rPr>
              <w:t>Neuvedeno;</w:t>
            </w:r>
            <w:r>
              <w:rPr>
                <w:spacing w:val="-4"/>
                <w:w w:val="105"/>
                <w:sz w:val="3"/>
              </w:rPr>
              <w:t xml:space="preserve"> </w:t>
            </w:r>
            <w:r>
              <w:rPr>
                <w:w w:val="105"/>
                <w:sz w:val="3"/>
              </w:rPr>
              <w:t>Nissan;</w:t>
            </w:r>
            <w:r>
              <w:rPr>
                <w:spacing w:val="-5"/>
                <w:w w:val="105"/>
                <w:sz w:val="3"/>
              </w:rPr>
              <w:t xml:space="preserve"> </w:t>
            </w:r>
            <w:r>
              <w:rPr>
                <w:w w:val="105"/>
                <w:sz w:val="3"/>
              </w:rPr>
              <w:t>Opel;</w:t>
            </w:r>
            <w:r>
              <w:rPr>
                <w:spacing w:val="-4"/>
                <w:w w:val="105"/>
                <w:sz w:val="3"/>
              </w:rPr>
              <w:t xml:space="preserve"> </w:t>
            </w:r>
            <w:r>
              <w:rPr>
                <w:w w:val="105"/>
                <w:sz w:val="3"/>
              </w:rPr>
              <w:t>Peugeot;</w:t>
            </w:r>
          </w:p>
        </w:tc>
        <w:tc>
          <w:tcPr>
            <w:tcW w:w="958" w:type="dxa"/>
            <w:gridSpan w:val="2"/>
            <w:tcBorders>
              <w:top w:val="nil"/>
              <w:bottom w:val="nil"/>
            </w:tcBorders>
            <w:shd w:val="clear" w:color="auto" w:fill="FCE4D6"/>
          </w:tcPr>
          <w:p w14:paraId="60EC8B30" w14:textId="77777777" w:rsidR="00F65BCA" w:rsidRDefault="00F65BCA">
            <w:pPr>
              <w:pStyle w:val="TableParagraph"/>
              <w:rPr>
                <w:rFonts w:ascii="Calibri"/>
                <w:sz w:val="2"/>
              </w:rPr>
            </w:pPr>
          </w:p>
          <w:p w14:paraId="6DA48CAC" w14:textId="77777777" w:rsidR="00F65BCA" w:rsidRDefault="00216117">
            <w:pPr>
              <w:pStyle w:val="TableParagraph"/>
              <w:ind w:left="1"/>
              <w:jc w:val="center"/>
              <w:rPr>
                <w:sz w:val="3"/>
              </w:rPr>
            </w:pPr>
            <w:r>
              <w:rPr>
                <w:w w:val="103"/>
                <w:sz w:val="3"/>
              </w:rPr>
              <w:t>-</w:t>
            </w:r>
          </w:p>
        </w:tc>
        <w:tc>
          <w:tcPr>
            <w:tcW w:w="576" w:type="dxa"/>
            <w:tcBorders>
              <w:top w:val="nil"/>
              <w:bottom w:val="nil"/>
            </w:tcBorders>
            <w:shd w:val="clear" w:color="auto" w:fill="FCE4D6"/>
          </w:tcPr>
          <w:p w14:paraId="5CB59353" w14:textId="77777777" w:rsidR="00F65BCA" w:rsidRDefault="00F65BCA">
            <w:pPr>
              <w:pStyle w:val="TableParagraph"/>
              <w:rPr>
                <w:rFonts w:ascii="Calibri"/>
                <w:sz w:val="2"/>
              </w:rPr>
            </w:pPr>
          </w:p>
          <w:p w14:paraId="3CE1C646" w14:textId="77777777" w:rsidR="00F65BCA" w:rsidRDefault="00216117">
            <w:pPr>
              <w:pStyle w:val="TableParagraph"/>
              <w:ind w:left="3"/>
              <w:jc w:val="center"/>
              <w:rPr>
                <w:sz w:val="3"/>
              </w:rPr>
            </w:pPr>
            <w:r>
              <w:rPr>
                <w:w w:val="103"/>
                <w:sz w:val="3"/>
              </w:rPr>
              <w:t>-</w:t>
            </w:r>
          </w:p>
        </w:tc>
        <w:tc>
          <w:tcPr>
            <w:tcW w:w="576" w:type="dxa"/>
            <w:tcBorders>
              <w:top w:val="nil"/>
              <w:bottom w:val="nil"/>
            </w:tcBorders>
            <w:shd w:val="clear" w:color="auto" w:fill="FCE4D6"/>
          </w:tcPr>
          <w:p w14:paraId="3C802D38" w14:textId="77777777" w:rsidR="00F65BCA" w:rsidRDefault="00F65BCA">
            <w:pPr>
              <w:pStyle w:val="TableParagraph"/>
              <w:rPr>
                <w:rFonts w:ascii="Calibri"/>
                <w:sz w:val="2"/>
              </w:rPr>
            </w:pPr>
          </w:p>
          <w:p w14:paraId="1C538341"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4ADF1A25" w14:textId="77777777" w:rsidR="00F65BCA" w:rsidRDefault="00F65BCA">
            <w:pPr>
              <w:rPr>
                <w:sz w:val="2"/>
                <w:szCs w:val="2"/>
              </w:rPr>
            </w:pPr>
          </w:p>
        </w:tc>
        <w:tc>
          <w:tcPr>
            <w:tcW w:w="288" w:type="dxa"/>
            <w:tcBorders>
              <w:top w:val="nil"/>
              <w:bottom w:val="nil"/>
            </w:tcBorders>
          </w:tcPr>
          <w:p w14:paraId="6BFAECDB" w14:textId="77777777" w:rsidR="00F65BCA" w:rsidRDefault="00F65BCA">
            <w:pPr>
              <w:pStyle w:val="TableParagraph"/>
              <w:rPr>
                <w:rFonts w:ascii="Calibri"/>
                <w:sz w:val="2"/>
              </w:rPr>
            </w:pPr>
          </w:p>
          <w:p w14:paraId="145D9196" w14:textId="77777777" w:rsidR="00F65BCA" w:rsidRDefault="00216117">
            <w:pPr>
              <w:pStyle w:val="TableParagraph"/>
              <w:ind w:left="24" w:right="24"/>
              <w:jc w:val="center"/>
              <w:rPr>
                <w:sz w:val="3"/>
              </w:rPr>
            </w:pPr>
            <w:r>
              <w:rPr>
                <w:w w:val="105"/>
                <w:sz w:val="3"/>
              </w:rPr>
              <w:t>1,02049000%</w:t>
            </w:r>
          </w:p>
        </w:tc>
        <w:tc>
          <w:tcPr>
            <w:tcW w:w="288" w:type="dxa"/>
            <w:tcBorders>
              <w:top w:val="nil"/>
              <w:bottom w:val="nil"/>
            </w:tcBorders>
          </w:tcPr>
          <w:p w14:paraId="64A6DD10" w14:textId="77777777" w:rsidR="00F65BCA" w:rsidRDefault="00F65BCA">
            <w:pPr>
              <w:pStyle w:val="TableParagraph"/>
              <w:rPr>
                <w:rFonts w:ascii="Calibri"/>
                <w:sz w:val="2"/>
              </w:rPr>
            </w:pPr>
          </w:p>
          <w:p w14:paraId="707BAA24" w14:textId="77777777" w:rsidR="00F65BCA" w:rsidRDefault="00216117">
            <w:pPr>
              <w:pStyle w:val="TableParagraph"/>
              <w:ind w:left="24" w:right="24"/>
              <w:jc w:val="center"/>
              <w:rPr>
                <w:sz w:val="3"/>
              </w:rPr>
            </w:pPr>
            <w:r>
              <w:rPr>
                <w:w w:val="105"/>
                <w:sz w:val="3"/>
              </w:rPr>
              <w:t>0,91307000%</w:t>
            </w:r>
          </w:p>
        </w:tc>
        <w:tc>
          <w:tcPr>
            <w:tcW w:w="288" w:type="dxa"/>
            <w:tcBorders>
              <w:top w:val="nil"/>
              <w:bottom w:val="nil"/>
            </w:tcBorders>
          </w:tcPr>
          <w:p w14:paraId="533B2688" w14:textId="77777777" w:rsidR="00F65BCA" w:rsidRDefault="00F65BCA">
            <w:pPr>
              <w:pStyle w:val="TableParagraph"/>
              <w:rPr>
                <w:rFonts w:ascii="Calibri"/>
                <w:sz w:val="2"/>
              </w:rPr>
            </w:pPr>
          </w:p>
          <w:p w14:paraId="1F420833" w14:textId="77777777" w:rsidR="00F65BCA" w:rsidRDefault="00216117">
            <w:pPr>
              <w:pStyle w:val="TableParagraph"/>
              <w:ind w:left="47"/>
              <w:rPr>
                <w:sz w:val="3"/>
              </w:rPr>
            </w:pPr>
            <w:r>
              <w:rPr>
                <w:w w:val="105"/>
                <w:sz w:val="3"/>
              </w:rPr>
              <w:t>0,91307000%</w:t>
            </w:r>
          </w:p>
        </w:tc>
        <w:tc>
          <w:tcPr>
            <w:tcW w:w="288" w:type="dxa"/>
            <w:tcBorders>
              <w:top w:val="nil"/>
              <w:bottom w:val="nil"/>
            </w:tcBorders>
          </w:tcPr>
          <w:p w14:paraId="4341495F" w14:textId="77777777" w:rsidR="00F65BCA" w:rsidRDefault="00F65BCA">
            <w:pPr>
              <w:pStyle w:val="TableParagraph"/>
              <w:rPr>
                <w:rFonts w:ascii="Calibri"/>
                <w:sz w:val="2"/>
              </w:rPr>
            </w:pPr>
          </w:p>
          <w:p w14:paraId="3AA887DF" w14:textId="77777777" w:rsidR="00F65BCA" w:rsidRDefault="00216117">
            <w:pPr>
              <w:pStyle w:val="TableParagraph"/>
              <w:ind w:left="24" w:right="24"/>
              <w:jc w:val="center"/>
              <w:rPr>
                <w:sz w:val="3"/>
              </w:rPr>
            </w:pPr>
            <w:r>
              <w:rPr>
                <w:w w:val="105"/>
                <w:sz w:val="3"/>
              </w:rPr>
              <w:t>0,83250500%</w:t>
            </w:r>
          </w:p>
        </w:tc>
        <w:tc>
          <w:tcPr>
            <w:tcW w:w="288" w:type="dxa"/>
            <w:tcBorders>
              <w:top w:val="nil"/>
              <w:bottom w:val="nil"/>
            </w:tcBorders>
          </w:tcPr>
          <w:p w14:paraId="6E713EFD" w14:textId="77777777" w:rsidR="00F65BCA" w:rsidRDefault="00F65BCA">
            <w:pPr>
              <w:pStyle w:val="TableParagraph"/>
              <w:rPr>
                <w:rFonts w:ascii="Calibri"/>
                <w:sz w:val="2"/>
              </w:rPr>
            </w:pPr>
          </w:p>
          <w:p w14:paraId="098A6CF8" w14:textId="77777777" w:rsidR="00F65BCA" w:rsidRDefault="00216117">
            <w:pPr>
              <w:pStyle w:val="TableParagraph"/>
              <w:ind w:left="47"/>
              <w:rPr>
                <w:sz w:val="3"/>
              </w:rPr>
            </w:pPr>
            <w:r>
              <w:rPr>
                <w:w w:val="105"/>
                <w:sz w:val="3"/>
              </w:rPr>
              <w:t>0,83250500%</w:t>
            </w:r>
          </w:p>
        </w:tc>
        <w:tc>
          <w:tcPr>
            <w:tcW w:w="288" w:type="dxa"/>
            <w:tcBorders>
              <w:top w:val="nil"/>
              <w:bottom w:val="nil"/>
            </w:tcBorders>
          </w:tcPr>
          <w:p w14:paraId="1E831FB7" w14:textId="77777777" w:rsidR="00F65BCA" w:rsidRDefault="00F65BCA">
            <w:pPr>
              <w:pStyle w:val="TableParagraph"/>
              <w:rPr>
                <w:rFonts w:ascii="Calibri"/>
                <w:sz w:val="2"/>
              </w:rPr>
            </w:pPr>
          </w:p>
          <w:p w14:paraId="27647D1C" w14:textId="77777777" w:rsidR="00F65BCA" w:rsidRDefault="00216117">
            <w:pPr>
              <w:pStyle w:val="TableParagraph"/>
              <w:ind w:left="24" w:right="24"/>
              <w:jc w:val="center"/>
              <w:rPr>
                <w:sz w:val="3"/>
              </w:rPr>
            </w:pPr>
            <w:r>
              <w:rPr>
                <w:w w:val="105"/>
                <w:sz w:val="3"/>
              </w:rPr>
              <w:t>0,75194000%</w:t>
            </w:r>
          </w:p>
        </w:tc>
        <w:tc>
          <w:tcPr>
            <w:tcW w:w="288" w:type="dxa"/>
            <w:tcBorders>
              <w:top w:val="nil"/>
              <w:bottom w:val="nil"/>
            </w:tcBorders>
          </w:tcPr>
          <w:p w14:paraId="5520558A" w14:textId="77777777" w:rsidR="00F65BCA" w:rsidRDefault="00F65BCA">
            <w:pPr>
              <w:pStyle w:val="TableParagraph"/>
              <w:rPr>
                <w:rFonts w:ascii="Calibri"/>
                <w:sz w:val="2"/>
              </w:rPr>
            </w:pPr>
          </w:p>
          <w:p w14:paraId="547E7C14" w14:textId="77777777" w:rsidR="00F65BCA" w:rsidRDefault="00216117">
            <w:pPr>
              <w:pStyle w:val="TableParagraph"/>
              <w:ind w:left="24" w:right="24"/>
              <w:jc w:val="center"/>
              <w:rPr>
                <w:sz w:val="3"/>
              </w:rPr>
            </w:pPr>
            <w:r>
              <w:rPr>
                <w:w w:val="105"/>
                <w:sz w:val="3"/>
              </w:rPr>
              <w:t>0,75194000%</w:t>
            </w:r>
          </w:p>
        </w:tc>
        <w:tc>
          <w:tcPr>
            <w:tcW w:w="288" w:type="dxa"/>
            <w:tcBorders>
              <w:top w:val="nil"/>
              <w:bottom w:val="nil"/>
            </w:tcBorders>
          </w:tcPr>
          <w:p w14:paraId="136AE927" w14:textId="77777777" w:rsidR="00F65BCA" w:rsidRDefault="00F65BCA">
            <w:pPr>
              <w:pStyle w:val="TableParagraph"/>
              <w:rPr>
                <w:rFonts w:ascii="Calibri"/>
                <w:sz w:val="2"/>
              </w:rPr>
            </w:pPr>
          </w:p>
          <w:p w14:paraId="077F4780" w14:textId="77777777" w:rsidR="00F65BCA" w:rsidRDefault="00216117">
            <w:pPr>
              <w:pStyle w:val="TableParagraph"/>
              <w:ind w:left="47"/>
              <w:rPr>
                <w:sz w:val="3"/>
              </w:rPr>
            </w:pPr>
            <w:r>
              <w:rPr>
                <w:w w:val="105"/>
                <w:sz w:val="3"/>
              </w:rPr>
              <w:t>0,67137500%</w:t>
            </w:r>
          </w:p>
        </w:tc>
        <w:tc>
          <w:tcPr>
            <w:tcW w:w="288" w:type="dxa"/>
            <w:tcBorders>
              <w:top w:val="nil"/>
              <w:bottom w:val="nil"/>
            </w:tcBorders>
          </w:tcPr>
          <w:p w14:paraId="38E6B42B" w14:textId="77777777" w:rsidR="00F65BCA" w:rsidRDefault="00F65BCA">
            <w:pPr>
              <w:pStyle w:val="TableParagraph"/>
              <w:rPr>
                <w:rFonts w:ascii="Calibri"/>
                <w:sz w:val="2"/>
              </w:rPr>
            </w:pPr>
          </w:p>
          <w:p w14:paraId="059AB815" w14:textId="77777777" w:rsidR="00F65BCA" w:rsidRDefault="00216117">
            <w:pPr>
              <w:pStyle w:val="TableParagraph"/>
              <w:ind w:left="24" w:right="24"/>
              <w:jc w:val="center"/>
              <w:rPr>
                <w:sz w:val="3"/>
              </w:rPr>
            </w:pPr>
            <w:r>
              <w:rPr>
                <w:w w:val="105"/>
                <w:sz w:val="3"/>
              </w:rPr>
              <w:t>0,67137500%</w:t>
            </w:r>
          </w:p>
        </w:tc>
        <w:tc>
          <w:tcPr>
            <w:tcW w:w="288" w:type="dxa"/>
            <w:tcBorders>
              <w:top w:val="nil"/>
              <w:bottom w:val="nil"/>
            </w:tcBorders>
          </w:tcPr>
          <w:p w14:paraId="1B94A4AB" w14:textId="77777777" w:rsidR="00F65BCA" w:rsidRDefault="00F65BCA">
            <w:pPr>
              <w:pStyle w:val="TableParagraph"/>
              <w:rPr>
                <w:rFonts w:ascii="Calibri"/>
                <w:sz w:val="2"/>
              </w:rPr>
            </w:pPr>
          </w:p>
          <w:p w14:paraId="307DFFF3" w14:textId="77777777" w:rsidR="00F65BCA" w:rsidRDefault="00216117">
            <w:pPr>
              <w:pStyle w:val="TableParagraph"/>
              <w:ind w:left="24" w:right="24"/>
              <w:jc w:val="center"/>
              <w:rPr>
                <w:sz w:val="3"/>
              </w:rPr>
            </w:pPr>
            <w:r>
              <w:rPr>
                <w:w w:val="105"/>
                <w:sz w:val="3"/>
              </w:rPr>
              <w:t>0,61766500%</w:t>
            </w:r>
          </w:p>
        </w:tc>
        <w:tc>
          <w:tcPr>
            <w:tcW w:w="288" w:type="dxa"/>
            <w:tcBorders>
              <w:top w:val="nil"/>
              <w:bottom w:val="nil"/>
            </w:tcBorders>
          </w:tcPr>
          <w:p w14:paraId="6CD0E038" w14:textId="77777777" w:rsidR="00F65BCA" w:rsidRDefault="00F65BCA">
            <w:pPr>
              <w:pStyle w:val="TableParagraph"/>
              <w:rPr>
                <w:rFonts w:ascii="Calibri"/>
                <w:sz w:val="2"/>
              </w:rPr>
            </w:pPr>
          </w:p>
          <w:p w14:paraId="2436C778" w14:textId="77777777" w:rsidR="00F65BCA" w:rsidRDefault="00216117">
            <w:pPr>
              <w:pStyle w:val="TableParagraph"/>
              <w:ind w:left="24" w:right="24"/>
              <w:jc w:val="center"/>
              <w:rPr>
                <w:sz w:val="3"/>
              </w:rPr>
            </w:pPr>
            <w:r>
              <w:rPr>
                <w:w w:val="105"/>
                <w:sz w:val="3"/>
              </w:rPr>
              <w:t>0,59081000%</w:t>
            </w:r>
          </w:p>
        </w:tc>
        <w:tc>
          <w:tcPr>
            <w:tcW w:w="288" w:type="dxa"/>
            <w:tcBorders>
              <w:top w:val="nil"/>
              <w:bottom w:val="nil"/>
            </w:tcBorders>
          </w:tcPr>
          <w:p w14:paraId="648F1BA3" w14:textId="77777777" w:rsidR="00F65BCA" w:rsidRDefault="00F65BCA">
            <w:pPr>
              <w:pStyle w:val="TableParagraph"/>
              <w:rPr>
                <w:rFonts w:ascii="Calibri"/>
                <w:sz w:val="2"/>
              </w:rPr>
            </w:pPr>
          </w:p>
          <w:p w14:paraId="61241C45" w14:textId="77777777" w:rsidR="00F65BCA" w:rsidRDefault="00216117">
            <w:pPr>
              <w:pStyle w:val="TableParagraph"/>
              <w:ind w:left="24" w:right="24"/>
              <w:jc w:val="center"/>
              <w:rPr>
                <w:sz w:val="3"/>
              </w:rPr>
            </w:pPr>
            <w:r>
              <w:rPr>
                <w:w w:val="105"/>
                <w:sz w:val="3"/>
              </w:rPr>
              <w:t>0,53710000%</w:t>
            </w:r>
          </w:p>
        </w:tc>
        <w:tc>
          <w:tcPr>
            <w:tcW w:w="288" w:type="dxa"/>
            <w:tcBorders>
              <w:top w:val="nil"/>
              <w:bottom w:val="nil"/>
            </w:tcBorders>
          </w:tcPr>
          <w:p w14:paraId="415D7E06" w14:textId="77777777" w:rsidR="00F65BCA" w:rsidRDefault="00F65BCA">
            <w:pPr>
              <w:pStyle w:val="TableParagraph"/>
              <w:rPr>
                <w:rFonts w:ascii="Calibri"/>
                <w:sz w:val="2"/>
              </w:rPr>
            </w:pPr>
          </w:p>
          <w:p w14:paraId="3AB888CB" w14:textId="77777777" w:rsidR="00F65BCA" w:rsidRDefault="00216117">
            <w:pPr>
              <w:pStyle w:val="TableParagraph"/>
              <w:ind w:left="47"/>
              <w:rPr>
                <w:sz w:val="3"/>
              </w:rPr>
            </w:pPr>
            <w:r>
              <w:rPr>
                <w:w w:val="105"/>
                <w:sz w:val="3"/>
              </w:rPr>
              <w:t>0,53710000%</w:t>
            </w:r>
          </w:p>
        </w:tc>
      </w:tr>
      <w:tr w:rsidR="00F65BCA" w14:paraId="0260CCD5" w14:textId="77777777">
        <w:trPr>
          <w:trHeight w:val="58"/>
        </w:trPr>
        <w:tc>
          <w:tcPr>
            <w:tcW w:w="526" w:type="dxa"/>
            <w:vMerge/>
            <w:tcBorders>
              <w:top w:val="nil"/>
              <w:bottom w:val="nil"/>
            </w:tcBorders>
            <w:shd w:val="clear" w:color="auto" w:fill="FCE4D6"/>
          </w:tcPr>
          <w:p w14:paraId="328FC5C1" w14:textId="77777777" w:rsidR="00F65BCA" w:rsidRDefault="00F65BCA">
            <w:pPr>
              <w:rPr>
                <w:sz w:val="2"/>
                <w:szCs w:val="2"/>
              </w:rPr>
            </w:pPr>
          </w:p>
        </w:tc>
        <w:tc>
          <w:tcPr>
            <w:tcW w:w="732" w:type="dxa"/>
            <w:tcBorders>
              <w:top w:val="nil"/>
            </w:tcBorders>
            <w:shd w:val="clear" w:color="auto" w:fill="FCE4D6"/>
          </w:tcPr>
          <w:p w14:paraId="50A25933" w14:textId="77777777" w:rsidR="00F65BCA" w:rsidRDefault="00216117">
            <w:pPr>
              <w:pStyle w:val="TableParagraph"/>
              <w:spacing w:before="3"/>
              <w:ind w:left="4"/>
              <w:rPr>
                <w:sz w:val="3"/>
              </w:rPr>
            </w:pPr>
            <w:r>
              <w:rPr>
                <w:w w:val="105"/>
                <w:sz w:val="3"/>
              </w:rPr>
              <w:t>Reform; Ross; VW; Zastava</w:t>
            </w:r>
          </w:p>
        </w:tc>
        <w:tc>
          <w:tcPr>
            <w:tcW w:w="958" w:type="dxa"/>
            <w:gridSpan w:val="2"/>
            <w:tcBorders>
              <w:top w:val="nil"/>
            </w:tcBorders>
            <w:shd w:val="clear" w:color="auto" w:fill="FCE4D6"/>
          </w:tcPr>
          <w:p w14:paraId="7F44DC6E" w14:textId="77777777" w:rsidR="00F65BCA" w:rsidRDefault="00F65BCA">
            <w:pPr>
              <w:pStyle w:val="TableParagraph"/>
              <w:rPr>
                <w:rFonts w:ascii="Times New Roman"/>
                <w:sz w:val="2"/>
              </w:rPr>
            </w:pPr>
          </w:p>
        </w:tc>
        <w:tc>
          <w:tcPr>
            <w:tcW w:w="576" w:type="dxa"/>
            <w:tcBorders>
              <w:top w:val="nil"/>
            </w:tcBorders>
            <w:shd w:val="clear" w:color="auto" w:fill="FCE4D6"/>
          </w:tcPr>
          <w:p w14:paraId="0FC95F2D" w14:textId="77777777" w:rsidR="00F65BCA" w:rsidRDefault="00F65BCA">
            <w:pPr>
              <w:pStyle w:val="TableParagraph"/>
              <w:rPr>
                <w:rFonts w:ascii="Times New Roman"/>
                <w:sz w:val="2"/>
              </w:rPr>
            </w:pPr>
          </w:p>
        </w:tc>
        <w:tc>
          <w:tcPr>
            <w:tcW w:w="576" w:type="dxa"/>
            <w:tcBorders>
              <w:top w:val="nil"/>
            </w:tcBorders>
            <w:shd w:val="clear" w:color="auto" w:fill="FCE4D6"/>
          </w:tcPr>
          <w:p w14:paraId="3B54F486" w14:textId="77777777" w:rsidR="00F65BCA" w:rsidRDefault="00F65BCA">
            <w:pPr>
              <w:pStyle w:val="TableParagraph"/>
              <w:rPr>
                <w:rFonts w:ascii="Times New Roman"/>
                <w:sz w:val="2"/>
              </w:rPr>
            </w:pPr>
          </w:p>
        </w:tc>
        <w:tc>
          <w:tcPr>
            <w:tcW w:w="50" w:type="dxa"/>
            <w:vMerge/>
            <w:tcBorders>
              <w:top w:val="nil"/>
              <w:bottom w:val="nil"/>
            </w:tcBorders>
          </w:tcPr>
          <w:p w14:paraId="453594D7" w14:textId="77777777" w:rsidR="00F65BCA" w:rsidRDefault="00F65BCA">
            <w:pPr>
              <w:rPr>
                <w:sz w:val="2"/>
                <w:szCs w:val="2"/>
              </w:rPr>
            </w:pPr>
          </w:p>
        </w:tc>
        <w:tc>
          <w:tcPr>
            <w:tcW w:w="288" w:type="dxa"/>
            <w:tcBorders>
              <w:top w:val="nil"/>
            </w:tcBorders>
          </w:tcPr>
          <w:p w14:paraId="339BE5FB" w14:textId="77777777" w:rsidR="00F65BCA" w:rsidRDefault="00F65BCA">
            <w:pPr>
              <w:pStyle w:val="TableParagraph"/>
              <w:rPr>
                <w:rFonts w:ascii="Times New Roman"/>
                <w:sz w:val="2"/>
              </w:rPr>
            </w:pPr>
          </w:p>
        </w:tc>
        <w:tc>
          <w:tcPr>
            <w:tcW w:w="288" w:type="dxa"/>
            <w:tcBorders>
              <w:top w:val="nil"/>
            </w:tcBorders>
          </w:tcPr>
          <w:p w14:paraId="7ED29AE8" w14:textId="77777777" w:rsidR="00F65BCA" w:rsidRDefault="00F65BCA">
            <w:pPr>
              <w:pStyle w:val="TableParagraph"/>
              <w:rPr>
                <w:rFonts w:ascii="Times New Roman"/>
                <w:sz w:val="2"/>
              </w:rPr>
            </w:pPr>
          </w:p>
        </w:tc>
        <w:tc>
          <w:tcPr>
            <w:tcW w:w="288" w:type="dxa"/>
            <w:tcBorders>
              <w:top w:val="nil"/>
            </w:tcBorders>
          </w:tcPr>
          <w:p w14:paraId="708DB67B" w14:textId="77777777" w:rsidR="00F65BCA" w:rsidRDefault="00F65BCA">
            <w:pPr>
              <w:pStyle w:val="TableParagraph"/>
              <w:rPr>
                <w:rFonts w:ascii="Times New Roman"/>
                <w:sz w:val="2"/>
              </w:rPr>
            </w:pPr>
          </w:p>
        </w:tc>
        <w:tc>
          <w:tcPr>
            <w:tcW w:w="288" w:type="dxa"/>
            <w:tcBorders>
              <w:top w:val="nil"/>
            </w:tcBorders>
          </w:tcPr>
          <w:p w14:paraId="079E84CC" w14:textId="77777777" w:rsidR="00F65BCA" w:rsidRDefault="00F65BCA">
            <w:pPr>
              <w:pStyle w:val="TableParagraph"/>
              <w:rPr>
                <w:rFonts w:ascii="Times New Roman"/>
                <w:sz w:val="2"/>
              </w:rPr>
            </w:pPr>
          </w:p>
        </w:tc>
        <w:tc>
          <w:tcPr>
            <w:tcW w:w="288" w:type="dxa"/>
            <w:tcBorders>
              <w:top w:val="nil"/>
            </w:tcBorders>
          </w:tcPr>
          <w:p w14:paraId="6759402D" w14:textId="77777777" w:rsidR="00F65BCA" w:rsidRDefault="00F65BCA">
            <w:pPr>
              <w:pStyle w:val="TableParagraph"/>
              <w:rPr>
                <w:rFonts w:ascii="Times New Roman"/>
                <w:sz w:val="2"/>
              </w:rPr>
            </w:pPr>
          </w:p>
        </w:tc>
        <w:tc>
          <w:tcPr>
            <w:tcW w:w="288" w:type="dxa"/>
            <w:tcBorders>
              <w:top w:val="nil"/>
            </w:tcBorders>
          </w:tcPr>
          <w:p w14:paraId="65FFF5C8" w14:textId="77777777" w:rsidR="00F65BCA" w:rsidRDefault="00F65BCA">
            <w:pPr>
              <w:pStyle w:val="TableParagraph"/>
              <w:rPr>
                <w:rFonts w:ascii="Times New Roman"/>
                <w:sz w:val="2"/>
              </w:rPr>
            </w:pPr>
          </w:p>
        </w:tc>
        <w:tc>
          <w:tcPr>
            <w:tcW w:w="288" w:type="dxa"/>
            <w:tcBorders>
              <w:top w:val="nil"/>
            </w:tcBorders>
          </w:tcPr>
          <w:p w14:paraId="2784E807" w14:textId="77777777" w:rsidR="00F65BCA" w:rsidRDefault="00F65BCA">
            <w:pPr>
              <w:pStyle w:val="TableParagraph"/>
              <w:rPr>
                <w:rFonts w:ascii="Times New Roman"/>
                <w:sz w:val="2"/>
              </w:rPr>
            </w:pPr>
          </w:p>
        </w:tc>
        <w:tc>
          <w:tcPr>
            <w:tcW w:w="288" w:type="dxa"/>
            <w:tcBorders>
              <w:top w:val="nil"/>
            </w:tcBorders>
          </w:tcPr>
          <w:p w14:paraId="30C61D60" w14:textId="77777777" w:rsidR="00F65BCA" w:rsidRDefault="00F65BCA">
            <w:pPr>
              <w:pStyle w:val="TableParagraph"/>
              <w:rPr>
                <w:rFonts w:ascii="Times New Roman"/>
                <w:sz w:val="2"/>
              </w:rPr>
            </w:pPr>
          </w:p>
        </w:tc>
        <w:tc>
          <w:tcPr>
            <w:tcW w:w="288" w:type="dxa"/>
            <w:tcBorders>
              <w:top w:val="nil"/>
            </w:tcBorders>
          </w:tcPr>
          <w:p w14:paraId="3B61B4A2" w14:textId="77777777" w:rsidR="00F65BCA" w:rsidRDefault="00F65BCA">
            <w:pPr>
              <w:pStyle w:val="TableParagraph"/>
              <w:rPr>
                <w:rFonts w:ascii="Times New Roman"/>
                <w:sz w:val="2"/>
              </w:rPr>
            </w:pPr>
          </w:p>
        </w:tc>
        <w:tc>
          <w:tcPr>
            <w:tcW w:w="288" w:type="dxa"/>
            <w:tcBorders>
              <w:top w:val="nil"/>
            </w:tcBorders>
          </w:tcPr>
          <w:p w14:paraId="2E5B6CA4" w14:textId="77777777" w:rsidR="00F65BCA" w:rsidRDefault="00F65BCA">
            <w:pPr>
              <w:pStyle w:val="TableParagraph"/>
              <w:rPr>
                <w:rFonts w:ascii="Times New Roman"/>
                <w:sz w:val="2"/>
              </w:rPr>
            </w:pPr>
          </w:p>
        </w:tc>
        <w:tc>
          <w:tcPr>
            <w:tcW w:w="288" w:type="dxa"/>
            <w:tcBorders>
              <w:top w:val="nil"/>
            </w:tcBorders>
          </w:tcPr>
          <w:p w14:paraId="0463957D" w14:textId="77777777" w:rsidR="00F65BCA" w:rsidRDefault="00F65BCA">
            <w:pPr>
              <w:pStyle w:val="TableParagraph"/>
              <w:rPr>
                <w:rFonts w:ascii="Times New Roman"/>
                <w:sz w:val="2"/>
              </w:rPr>
            </w:pPr>
          </w:p>
        </w:tc>
        <w:tc>
          <w:tcPr>
            <w:tcW w:w="288" w:type="dxa"/>
            <w:tcBorders>
              <w:top w:val="nil"/>
            </w:tcBorders>
          </w:tcPr>
          <w:p w14:paraId="7B6AA1F1" w14:textId="77777777" w:rsidR="00F65BCA" w:rsidRDefault="00F65BCA">
            <w:pPr>
              <w:pStyle w:val="TableParagraph"/>
              <w:rPr>
                <w:rFonts w:ascii="Times New Roman"/>
                <w:sz w:val="2"/>
              </w:rPr>
            </w:pPr>
          </w:p>
        </w:tc>
        <w:tc>
          <w:tcPr>
            <w:tcW w:w="288" w:type="dxa"/>
            <w:tcBorders>
              <w:top w:val="nil"/>
            </w:tcBorders>
          </w:tcPr>
          <w:p w14:paraId="44D389F8" w14:textId="77777777" w:rsidR="00F65BCA" w:rsidRDefault="00F65BCA">
            <w:pPr>
              <w:pStyle w:val="TableParagraph"/>
              <w:rPr>
                <w:rFonts w:ascii="Times New Roman"/>
                <w:sz w:val="2"/>
              </w:rPr>
            </w:pPr>
          </w:p>
        </w:tc>
      </w:tr>
      <w:tr w:rsidR="00F65BCA" w14:paraId="69D08B6C" w14:textId="77777777">
        <w:trPr>
          <w:trHeight w:val="53"/>
        </w:trPr>
        <w:tc>
          <w:tcPr>
            <w:tcW w:w="526" w:type="dxa"/>
            <w:vMerge w:val="restart"/>
            <w:tcBorders>
              <w:top w:val="nil"/>
              <w:bottom w:val="nil"/>
            </w:tcBorders>
            <w:shd w:val="clear" w:color="auto" w:fill="FCE4D6"/>
          </w:tcPr>
          <w:p w14:paraId="569EC3C5" w14:textId="77777777" w:rsidR="00F65BCA" w:rsidRDefault="00F65BCA">
            <w:pPr>
              <w:pStyle w:val="TableParagraph"/>
              <w:rPr>
                <w:rFonts w:ascii="Times New Roman"/>
                <w:sz w:val="2"/>
              </w:rPr>
            </w:pPr>
          </w:p>
        </w:tc>
        <w:tc>
          <w:tcPr>
            <w:tcW w:w="732" w:type="dxa"/>
            <w:tcBorders>
              <w:bottom w:val="nil"/>
            </w:tcBorders>
            <w:shd w:val="clear" w:color="auto" w:fill="FCE4D6"/>
          </w:tcPr>
          <w:p w14:paraId="23C945D8" w14:textId="77777777" w:rsidR="00F65BCA" w:rsidRDefault="00216117">
            <w:pPr>
              <w:pStyle w:val="TableParagraph"/>
              <w:spacing w:before="16" w:line="18" w:lineRule="exact"/>
              <w:ind w:left="4"/>
              <w:rPr>
                <w:sz w:val="3"/>
              </w:rPr>
            </w:pPr>
            <w:r>
              <w:rPr>
                <w:w w:val="105"/>
                <w:sz w:val="3"/>
              </w:rPr>
              <w:t>Adria; Arca; Bavaria; Bürstner; Capron; Concorde;</w:t>
            </w:r>
          </w:p>
        </w:tc>
        <w:tc>
          <w:tcPr>
            <w:tcW w:w="958" w:type="dxa"/>
            <w:gridSpan w:val="2"/>
            <w:tcBorders>
              <w:bottom w:val="nil"/>
            </w:tcBorders>
            <w:shd w:val="clear" w:color="auto" w:fill="FCE4D6"/>
          </w:tcPr>
          <w:p w14:paraId="7B8941D0" w14:textId="77777777" w:rsidR="00F65BCA" w:rsidRDefault="00F65BCA">
            <w:pPr>
              <w:pStyle w:val="TableParagraph"/>
              <w:rPr>
                <w:rFonts w:ascii="Times New Roman"/>
                <w:sz w:val="2"/>
              </w:rPr>
            </w:pPr>
          </w:p>
        </w:tc>
        <w:tc>
          <w:tcPr>
            <w:tcW w:w="576" w:type="dxa"/>
            <w:tcBorders>
              <w:bottom w:val="nil"/>
            </w:tcBorders>
            <w:shd w:val="clear" w:color="auto" w:fill="FCE4D6"/>
          </w:tcPr>
          <w:p w14:paraId="5BAEBA4D" w14:textId="77777777" w:rsidR="00F65BCA" w:rsidRDefault="00F65BCA">
            <w:pPr>
              <w:pStyle w:val="TableParagraph"/>
              <w:rPr>
                <w:rFonts w:ascii="Times New Roman"/>
                <w:sz w:val="2"/>
              </w:rPr>
            </w:pPr>
          </w:p>
        </w:tc>
        <w:tc>
          <w:tcPr>
            <w:tcW w:w="576" w:type="dxa"/>
            <w:tcBorders>
              <w:bottom w:val="nil"/>
            </w:tcBorders>
            <w:shd w:val="clear" w:color="auto" w:fill="FCE4D6"/>
          </w:tcPr>
          <w:p w14:paraId="592E11FC" w14:textId="77777777" w:rsidR="00F65BCA" w:rsidRDefault="00F65BCA">
            <w:pPr>
              <w:pStyle w:val="TableParagraph"/>
              <w:rPr>
                <w:rFonts w:ascii="Times New Roman"/>
                <w:sz w:val="2"/>
              </w:rPr>
            </w:pPr>
          </w:p>
        </w:tc>
        <w:tc>
          <w:tcPr>
            <w:tcW w:w="50" w:type="dxa"/>
            <w:vMerge/>
            <w:tcBorders>
              <w:top w:val="nil"/>
              <w:bottom w:val="nil"/>
            </w:tcBorders>
          </w:tcPr>
          <w:p w14:paraId="5774CD9B" w14:textId="77777777" w:rsidR="00F65BCA" w:rsidRDefault="00F65BCA">
            <w:pPr>
              <w:rPr>
                <w:sz w:val="2"/>
                <w:szCs w:val="2"/>
              </w:rPr>
            </w:pPr>
          </w:p>
        </w:tc>
        <w:tc>
          <w:tcPr>
            <w:tcW w:w="288" w:type="dxa"/>
            <w:tcBorders>
              <w:bottom w:val="nil"/>
            </w:tcBorders>
          </w:tcPr>
          <w:p w14:paraId="3700A414" w14:textId="77777777" w:rsidR="00F65BCA" w:rsidRDefault="00F65BCA">
            <w:pPr>
              <w:pStyle w:val="TableParagraph"/>
              <w:rPr>
                <w:rFonts w:ascii="Times New Roman"/>
                <w:sz w:val="2"/>
              </w:rPr>
            </w:pPr>
          </w:p>
        </w:tc>
        <w:tc>
          <w:tcPr>
            <w:tcW w:w="288" w:type="dxa"/>
            <w:tcBorders>
              <w:bottom w:val="nil"/>
            </w:tcBorders>
          </w:tcPr>
          <w:p w14:paraId="2EA354E7" w14:textId="77777777" w:rsidR="00F65BCA" w:rsidRDefault="00F65BCA">
            <w:pPr>
              <w:pStyle w:val="TableParagraph"/>
              <w:rPr>
                <w:rFonts w:ascii="Times New Roman"/>
                <w:sz w:val="2"/>
              </w:rPr>
            </w:pPr>
          </w:p>
        </w:tc>
        <w:tc>
          <w:tcPr>
            <w:tcW w:w="288" w:type="dxa"/>
            <w:tcBorders>
              <w:bottom w:val="nil"/>
            </w:tcBorders>
          </w:tcPr>
          <w:p w14:paraId="4AFD0041" w14:textId="77777777" w:rsidR="00F65BCA" w:rsidRDefault="00F65BCA">
            <w:pPr>
              <w:pStyle w:val="TableParagraph"/>
              <w:rPr>
                <w:rFonts w:ascii="Times New Roman"/>
                <w:sz w:val="2"/>
              </w:rPr>
            </w:pPr>
          </w:p>
        </w:tc>
        <w:tc>
          <w:tcPr>
            <w:tcW w:w="288" w:type="dxa"/>
            <w:tcBorders>
              <w:bottom w:val="nil"/>
            </w:tcBorders>
          </w:tcPr>
          <w:p w14:paraId="66FF8B63" w14:textId="77777777" w:rsidR="00F65BCA" w:rsidRDefault="00F65BCA">
            <w:pPr>
              <w:pStyle w:val="TableParagraph"/>
              <w:rPr>
                <w:rFonts w:ascii="Times New Roman"/>
                <w:sz w:val="2"/>
              </w:rPr>
            </w:pPr>
          </w:p>
        </w:tc>
        <w:tc>
          <w:tcPr>
            <w:tcW w:w="288" w:type="dxa"/>
            <w:tcBorders>
              <w:bottom w:val="nil"/>
            </w:tcBorders>
          </w:tcPr>
          <w:p w14:paraId="749343A2" w14:textId="77777777" w:rsidR="00F65BCA" w:rsidRDefault="00F65BCA">
            <w:pPr>
              <w:pStyle w:val="TableParagraph"/>
              <w:rPr>
                <w:rFonts w:ascii="Times New Roman"/>
                <w:sz w:val="2"/>
              </w:rPr>
            </w:pPr>
          </w:p>
        </w:tc>
        <w:tc>
          <w:tcPr>
            <w:tcW w:w="288" w:type="dxa"/>
            <w:tcBorders>
              <w:bottom w:val="nil"/>
            </w:tcBorders>
          </w:tcPr>
          <w:p w14:paraId="5096828E" w14:textId="77777777" w:rsidR="00F65BCA" w:rsidRDefault="00F65BCA">
            <w:pPr>
              <w:pStyle w:val="TableParagraph"/>
              <w:rPr>
                <w:rFonts w:ascii="Times New Roman"/>
                <w:sz w:val="2"/>
              </w:rPr>
            </w:pPr>
          </w:p>
        </w:tc>
        <w:tc>
          <w:tcPr>
            <w:tcW w:w="288" w:type="dxa"/>
            <w:tcBorders>
              <w:bottom w:val="nil"/>
            </w:tcBorders>
          </w:tcPr>
          <w:p w14:paraId="391B6039" w14:textId="77777777" w:rsidR="00F65BCA" w:rsidRDefault="00F65BCA">
            <w:pPr>
              <w:pStyle w:val="TableParagraph"/>
              <w:rPr>
                <w:rFonts w:ascii="Times New Roman"/>
                <w:sz w:val="2"/>
              </w:rPr>
            </w:pPr>
          </w:p>
        </w:tc>
        <w:tc>
          <w:tcPr>
            <w:tcW w:w="288" w:type="dxa"/>
            <w:tcBorders>
              <w:bottom w:val="nil"/>
            </w:tcBorders>
          </w:tcPr>
          <w:p w14:paraId="6A472DFE" w14:textId="77777777" w:rsidR="00F65BCA" w:rsidRDefault="00F65BCA">
            <w:pPr>
              <w:pStyle w:val="TableParagraph"/>
              <w:rPr>
                <w:rFonts w:ascii="Times New Roman"/>
                <w:sz w:val="2"/>
              </w:rPr>
            </w:pPr>
          </w:p>
        </w:tc>
        <w:tc>
          <w:tcPr>
            <w:tcW w:w="288" w:type="dxa"/>
            <w:tcBorders>
              <w:bottom w:val="nil"/>
            </w:tcBorders>
          </w:tcPr>
          <w:p w14:paraId="47BC4775" w14:textId="77777777" w:rsidR="00F65BCA" w:rsidRDefault="00F65BCA">
            <w:pPr>
              <w:pStyle w:val="TableParagraph"/>
              <w:rPr>
                <w:rFonts w:ascii="Times New Roman"/>
                <w:sz w:val="2"/>
              </w:rPr>
            </w:pPr>
          </w:p>
        </w:tc>
        <w:tc>
          <w:tcPr>
            <w:tcW w:w="288" w:type="dxa"/>
            <w:tcBorders>
              <w:bottom w:val="nil"/>
            </w:tcBorders>
          </w:tcPr>
          <w:p w14:paraId="1D0E39B5" w14:textId="77777777" w:rsidR="00F65BCA" w:rsidRDefault="00F65BCA">
            <w:pPr>
              <w:pStyle w:val="TableParagraph"/>
              <w:rPr>
                <w:rFonts w:ascii="Times New Roman"/>
                <w:sz w:val="2"/>
              </w:rPr>
            </w:pPr>
          </w:p>
        </w:tc>
        <w:tc>
          <w:tcPr>
            <w:tcW w:w="288" w:type="dxa"/>
            <w:tcBorders>
              <w:bottom w:val="nil"/>
            </w:tcBorders>
          </w:tcPr>
          <w:p w14:paraId="45C8A54D" w14:textId="77777777" w:rsidR="00F65BCA" w:rsidRDefault="00F65BCA">
            <w:pPr>
              <w:pStyle w:val="TableParagraph"/>
              <w:rPr>
                <w:rFonts w:ascii="Times New Roman"/>
                <w:sz w:val="2"/>
              </w:rPr>
            </w:pPr>
          </w:p>
        </w:tc>
        <w:tc>
          <w:tcPr>
            <w:tcW w:w="288" w:type="dxa"/>
            <w:tcBorders>
              <w:bottom w:val="nil"/>
            </w:tcBorders>
          </w:tcPr>
          <w:p w14:paraId="3D7A5EED" w14:textId="77777777" w:rsidR="00F65BCA" w:rsidRDefault="00F65BCA">
            <w:pPr>
              <w:pStyle w:val="TableParagraph"/>
              <w:rPr>
                <w:rFonts w:ascii="Times New Roman"/>
                <w:sz w:val="2"/>
              </w:rPr>
            </w:pPr>
          </w:p>
        </w:tc>
        <w:tc>
          <w:tcPr>
            <w:tcW w:w="288" w:type="dxa"/>
            <w:tcBorders>
              <w:bottom w:val="nil"/>
            </w:tcBorders>
          </w:tcPr>
          <w:p w14:paraId="1A988FC7" w14:textId="77777777" w:rsidR="00F65BCA" w:rsidRDefault="00F65BCA">
            <w:pPr>
              <w:pStyle w:val="TableParagraph"/>
              <w:rPr>
                <w:rFonts w:ascii="Times New Roman"/>
                <w:sz w:val="2"/>
              </w:rPr>
            </w:pPr>
          </w:p>
        </w:tc>
      </w:tr>
      <w:tr w:rsidR="00F65BCA" w14:paraId="13297EDF" w14:textId="77777777">
        <w:trPr>
          <w:trHeight w:val="40"/>
        </w:trPr>
        <w:tc>
          <w:tcPr>
            <w:tcW w:w="526" w:type="dxa"/>
            <w:vMerge/>
            <w:tcBorders>
              <w:top w:val="nil"/>
              <w:bottom w:val="nil"/>
            </w:tcBorders>
            <w:shd w:val="clear" w:color="auto" w:fill="FCE4D6"/>
          </w:tcPr>
          <w:p w14:paraId="0081AF0A" w14:textId="77777777" w:rsidR="00F65BCA" w:rsidRDefault="00F65BCA">
            <w:pPr>
              <w:rPr>
                <w:sz w:val="2"/>
                <w:szCs w:val="2"/>
              </w:rPr>
            </w:pPr>
          </w:p>
        </w:tc>
        <w:tc>
          <w:tcPr>
            <w:tcW w:w="732" w:type="dxa"/>
            <w:tcBorders>
              <w:top w:val="nil"/>
              <w:bottom w:val="nil"/>
            </w:tcBorders>
            <w:shd w:val="clear" w:color="auto" w:fill="FCE4D6"/>
          </w:tcPr>
          <w:p w14:paraId="0A24CF54" w14:textId="77777777" w:rsidR="00F65BCA" w:rsidRDefault="00216117">
            <w:pPr>
              <w:pStyle w:val="TableParagraph"/>
              <w:spacing w:before="3" w:line="18" w:lineRule="exact"/>
              <w:ind w:left="4"/>
              <w:rPr>
                <w:sz w:val="3"/>
              </w:rPr>
            </w:pPr>
            <w:r>
              <w:rPr>
                <w:w w:val="105"/>
                <w:sz w:val="3"/>
              </w:rPr>
              <w:t>Dethleffs; Elnagh; Eura-Mobil; Hobby; Homecar;</w:t>
            </w:r>
          </w:p>
        </w:tc>
        <w:tc>
          <w:tcPr>
            <w:tcW w:w="958" w:type="dxa"/>
            <w:gridSpan w:val="2"/>
            <w:tcBorders>
              <w:top w:val="nil"/>
              <w:bottom w:val="nil"/>
            </w:tcBorders>
            <w:shd w:val="clear" w:color="auto" w:fill="FCE4D6"/>
          </w:tcPr>
          <w:p w14:paraId="413281F0"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49AFB0E9"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7422BF32" w14:textId="77777777" w:rsidR="00F65BCA" w:rsidRDefault="00F65BCA">
            <w:pPr>
              <w:pStyle w:val="TableParagraph"/>
              <w:rPr>
                <w:rFonts w:ascii="Times New Roman"/>
                <w:sz w:val="2"/>
              </w:rPr>
            </w:pPr>
          </w:p>
        </w:tc>
        <w:tc>
          <w:tcPr>
            <w:tcW w:w="50" w:type="dxa"/>
            <w:vMerge/>
            <w:tcBorders>
              <w:top w:val="nil"/>
              <w:bottom w:val="nil"/>
            </w:tcBorders>
          </w:tcPr>
          <w:p w14:paraId="740DD839" w14:textId="77777777" w:rsidR="00F65BCA" w:rsidRDefault="00F65BCA">
            <w:pPr>
              <w:rPr>
                <w:sz w:val="2"/>
                <w:szCs w:val="2"/>
              </w:rPr>
            </w:pPr>
          </w:p>
        </w:tc>
        <w:tc>
          <w:tcPr>
            <w:tcW w:w="288" w:type="dxa"/>
            <w:tcBorders>
              <w:top w:val="nil"/>
              <w:bottom w:val="nil"/>
            </w:tcBorders>
          </w:tcPr>
          <w:p w14:paraId="522CF4AC" w14:textId="77777777" w:rsidR="00F65BCA" w:rsidRDefault="00F65BCA">
            <w:pPr>
              <w:pStyle w:val="TableParagraph"/>
              <w:rPr>
                <w:rFonts w:ascii="Times New Roman"/>
                <w:sz w:val="2"/>
              </w:rPr>
            </w:pPr>
          </w:p>
        </w:tc>
        <w:tc>
          <w:tcPr>
            <w:tcW w:w="288" w:type="dxa"/>
            <w:tcBorders>
              <w:top w:val="nil"/>
              <w:bottom w:val="nil"/>
            </w:tcBorders>
          </w:tcPr>
          <w:p w14:paraId="21B34EF7" w14:textId="77777777" w:rsidR="00F65BCA" w:rsidRDefault="00F65BCA">
            <w:pPr>
              <w:pStyle w:val="TableParagraph"/>
              <w:rPr>
                <w:rFonts w:ascii="Times New Roman"/>
                <w:sz w:val="2"/>
              </w:rPr>
            </w:pPr>
          </w:p>
        </w:tc>
        <w:tc>
          <w:tcPr>
            <w:tcW w:w="288" w:type="dxa"/>
            <w:tcBorders>
              <w:top w:val="nil"/>
              <w:bottom w:val="nil"/>
            </w:tcBorders>
          </w:tcPr>
          <w:p w14:paraId="76E92375" w14:textId="77777777" w:rsidR="00F65BCA" w:rsidRDefault="00F65BCA">
            <w:pPr>
              <w:pStyle w:val="TableParagraph"/>
              <w:rPr>
                <w:rFonts w:ascii="Times New Roman"/>
                <w:sz w:val="2"/>
              </w:rPr>
            </w:pPr>
          </w:p>
        </w:tc>
        <w:tc>
          <w:tcPr>
            <w:tcW w:w="288" w:type="dxa"/>
            <w:tcBorders>
              <w:top w:val="nil"/>
              <w:bottom w:val="nil"/>
            </w:tcBorders>
          </w:tcPr>
          <w:p w14:paraId="69023584" w14:textId="77777777" w:rsidR="00F65BCA" w:rsidRDefault="00F65BCA">
            <w:pPr>
              <w:pStyle w:val="TableParagraph"/>
              <w:rPr>
                <w:rFonts w:ascii="Times New Roman"/>
                <w:sz w:val="2"/>
              </w:rPr>
            </w:pPr>
          </w:p>
        </w:tc>
        <w:tc>
          <w:tcPr>
            <w:tcW w:w="288" w:type="dxa"/>
            <w:tcBorders>
              <w:top w:val="nil"/>
              <w:bottom w:val="nil"/>
            </w:tcBorders>
          </w:tcPr>
          <w:p w14:paraId="14CBE618" w14:textId="77777777" w:rsidR="00F65BCA" w:rsidRDefault="00F65BCA">
            <w:pPr>
              <w:pStyle w:val="TableParagraph"/>
              <w:rPr>
                <w:rFonts w:ascii="Times New Roman"/>
                <w:sz w:val="2"/>
              </w:rPr>
            </w:pPr>
          </w:p>
        </w:tc>
        <w:tc>
          <w:tcPr>
            <w:tcW w:w="288" w:type="dxa"/>
            <w:tcBorders>
              <w:top w:val="nil"/>
              <w:bottom w:val="nil"/>
            </w:tcBorders>
          </w:tcPr>
          <w:p w14:paraId="6D46D1BA" w14:textId="77777777" w:rsidR="00F65BCA" w:rsidRDefault="00F65BCA">
            <w:pPr>
              <w:pStyle w:val="TableParagraph"/>
              <w:rPr>
                <w:rFonts w:ascii="Times New Roman"/>
                <w:sz w:val="2"/>
              </w:rPr>
            </w:pPr>
          </w:p>
        </w:tc>
        <w:tc>
          <w:tcPr>
            <w:tcW w:w="288" w:type="dxa"/>
            <w:tcBorders>
              <w:top w:val="nil"/>
              <w:bottom w:val="nil"/>
            </w:tcBorders>
          </w:tcPr>
          <w:p w14:paraId="50E8B073" w14:textId="77777777" w:rsidR="00F65BCA" w:rsidRDefault="00F65BCA">
            <w:pPr>
              <w:pStyle w:val="TableParagraph"/>
              <w:rPr>
                <w:rFonts w:ascii="Times New Roman"/>
                <w:sz w:val="2"/>
              </w:rPr>
            </w:pPr>
          </w:p>
        </w:tc>
        <w:tc>
          <w:tcPr>
            <w:tcW w:w="288" w:type="dxa"/>
            <w:tcBorders>
              <w:top w:val="nil"/>
              <w:bottom w:val="nil"/>
            </w:tcBorders>
          </w:tcPr>
          <w:p w14:paraId="09C60A91" w14:textId="77777777" w:rsidR="00F65BCA" w:rsidRDefault="00F65BCA">
            <w:pPr>
              <w:pStyle w:val="TableParagraph"/>
              <w:rPr>
                <w:rFonts w:ascii="Times New Roman"/>
                <w:sz w:val="2"/>
              </w:rPr>
            </w:pPr>
          </w:p>
        </w:tc>
        <w:tc>
          <w:tcPr>
            <w:tcW w:w="288" w:type="dxa"/>
            <w:tcBorders>
              <w:top w:val="nil"/>
              <w:bottom w:val="nil"/>
            </w:tcBorders>
          </w:tcPr>
          <w:p w14:paraId="0D90078A" w14:textId="77777777" w:rsidR="00F65BCA" w:rsidRDefault="00F65BCA">
            <w:pPr>
              <w:pStyle w:val="TableParagraph"/>
              <w:rPr>
                <w:rFonts w:ascii="Times New Roman"/>
                <w:sz w:val="2"/>
              </w:rPr>
            </w:pPr>
          </w:p>
        </w:tc>
        <w:tc>
          <w:tcPr>
            <w:tcW w:w="288" w:type="dxa"/>
            <w:tcBorders>
              <w:top w:val="nil"/>
              <w:bottom w:val="nil"/>
            </w:tcBorders>
          </w:tcPr>
          <w:p w14:paraId="697DE8B6" w14:textId="77777777" w:rsidR="00F65BCA" w:rsidRDefault="00F65BCA">
            <w:pPr>
              <w:pStyle w:val="TableParagraph"/>
              <w:rPr>
                <w:rFonts w:ascii="Times New Roman"/>
                <w:sz w:val="2"/>
              </w:rPr>
            </w:pPr>
          </w:p>
        </w:tc>
        <w:tc>
          <w:tcPr>
            <w:tcW w:w="288" w:type="dxa"/>
            <w:tcBorders>
              <w:top w:val="nil"/>
              <w:bottom w:val="nil"/>
            </w:tcBorders>
          </w:tcPr>
          <w:p w14:paraId="1E557512" w14:textId="77777777" w:rsidR="00F65BCA" w:rsidRDefault="00F65BCA">
            <w:pPr>
              <w:pStyle w:val="TableParagraph"/>
              <w:rPr>
                <w:rFonts w:ascii="Times New Roman"/>
                <w:sz w:val="2"/>
              </w:rPr>
            </w:pPr>
          </w:p>
        </w:tc>
        <w:tc>
          <w:tcPr>
            <w:tcW w:w="288" w:type="dxa"/>
            <w:tcBorders>
              <w:top w:val="nil"/>
              <w:bottom w:val="nil"/>
            </w:tcBorders>
          </w:tcPr>
          <w:p w14:paraId="4F78FD0B" w14:textId="77777777" w:rsidR="00F65BCA" w:rsidRDefault="00F65BCA">
            <w:pPr>
              <w:pStyle w:val="TableParagraph"/>
              <w:rPr>
                <w:rFonts w:ascii="Times New Roman"/>
                <w:sz w:val="2"/>
              </w:rPr>
            </w:pPr>
          </w:p>
        </w:tc>
        <w:tc>
          <w:tcPr>
            <w:tcW w:w="288" w:type="dxa"/>
            <w:tcBorders>
              <w:top w:val="nil"/>
              <w:bottom w:val="nil"/>
            </w:tcBorders>
          </w:tcPr>
          <w:p w14:paraId="6F90701A" w14:textId="77777777" w:rsidR="00F65BCA" w:rsidRDefault="00F65BCA">
            <w:pPr>
              <w:pStyle w:val="TableParagraph"/>
              <w:rPr>
                <w:rFonts w:ascii="Times New Roman"/>
                <w:sz w:val="2"/>
              </w:rPr>
            </w:pPr>
          </w:p>
        </w:tc>
      </w:tr>
      <w:tr w:rsidR="00F65BCA" w14:paraId="67F46E88" w14:textId="77777777">
        <w:trPr>
          <w:trHeight w:val="40"/>
        </w:trPr>
        <w:tc>
          <w:tcPr>
            <w:tcW w:w="526" w:type="dxa"/>
            <w:vMerge/>
            <w:tcBorders>
              <w:top w:val="nil"/>
              <w:bottom w:val="nil"/>
            </w:tcBorders>
            <w:shd w:val="clear" w:color="auto" w:fill="FCE4D6"/>
          </w:tcPr>
          <w:p w14:paraId="39F4FA5E" w14:textId="77777777" w:rsidR="00F65BCA" w:rsidRDefault="00F65BCA">
            <w:pPr>
              <w:rPr>
                <w:sz w:val="2"/>
                <w:szCs w:val="2"/>
              </w:rPr>
            </w:pPr>
          </w:p>
        </w:tc>
        <w:tc>
          <w:tcPr>
            <w:tcW w:w="732" w:type="dxa"/>
            <w:tcBorders>
              <w:top w:val="nil"/>
              <w:bottom w:val="nil"/>
            </w:tcBorders>
            <w:shd w:val="clear" w:color="auto" w:fill="FCE4D6"/>
          </w:tcPr>
          <w:p w14:paraId="0635BB53" w14:textId="77777777" w:rsidR="00F65BCA" w:rsidRDefault="00216117">
            <w:pPr>
              <w:pStyle w:val="TableParagraph"/>
              <w:spacing w:before="3" w:line="18" w:lineRule="exact"/>
              <w:ind w:left="4"/>
              <w:rPr>
                <w:sz w:val="3"/>
              </w:rPr>
            </w:pPr>
            <w:r>
              <w:rPr>
                <w:w w:val="105"/>
                <w:sz w:val="3"/>
              </w:rPr>
              <w:t>Hymer; Challenger; Chausson; Knaus; Laika;</w:t>
            </w:r>
          </w:p>
        </w:tc>
        <w:tc>
          <w:tcPr>
            <w:tcW w:w="958" w:type="dxa"/>
            <w:gridSpan w:val="2"/>
            <w:tcBorders>
              <w:top w:val="nil"/>
              <w:bottom w:val="nil"/>
            </w:tcBorders>
            <w:shd w:val="clear" w:color="auto" w:fill="FCE4D6"/>
          </w:tcPr>
          <w:p w14:paraId="56600417" w14:textId="77777777" w:rsidR="00F65BCA" w:rsidRDefault="00216117">
            <w:pPr>
              <w:pStyle w:val="TableParagraph"/>
              <w:spacing w:before="3" w:line="18" w:lineRule="exact"/>
              <w:ind w:left="1"/>
              <w:jc w:val="center"/>
              <w:rPr>
                <w:sz w:val="3"/>
              </w:rPr>
            </w:pPr>
            <w:r>
              <w:rPr>
                <w:w w:val="103"/>
                <w:sz w:val="3"/>
              </w:rPr>
              <w:t>-</w:t>
            </w:r>
          </w:p>
        </w:tc>
        <w:tc>
          <w:tcPr>
            <w:tcW w:w="576" w:type="dxa"/>
            <w:tcBorders>
              <w:top w:val="nil"/>
              <w:bottom w:val="nil"/>
            </w:tcBorders>
            <w:shd w:val="clear" w:color="auto" w:fill="FCE4D6"/>
          </w:tcPr>
          <w:p w14:paraId="3C89D540" w14:textId="77777777" w:rsidR="00F65BCA" w:rsidRDefault="00216117">
            <w:pPr>
              <w:pStyle w:val="TableParagraph"/>
              <w:spacing w:before="3" w:line="18" w:lineRule="exact"/>
              <w:ind w:left="3"/>
              <w:jc w:val="center"/>
              <w:rPr>
                <w:sz w:val="3"/>
              </w:rPr>
            </w:pPr>
            <w:r>
              <w:rPr>
                <w:w w:val="103"/>
                <w:sz w:val="3"/>
              </w:rPr>
              <w:t>-</w:t>
            </w:r>
          </w:p>
        </w:tc>
        <w:tc>
          <w:tcPr>
            <w:tcW w:w="576" w:type="dxa"/>
            <w:tcBorders>
              <w:top w:val="nil"/>
              <w:bottom w:val="nil"/>
            </w:tcBorders>
            <w:shd w:val="clear" w:color="auto" w:fill="FCE4D6"/>
          </w:tcPr>
          <w:p w14:paraId="0EC6CB80" w14:textId="77777777" w:rsidR="00F65BCA" w:rsidRDefault="00216117">
            <w:pPr>
              <w:pStyle w:val="TableParagraph"/>
              <w:spacing w:before="3" w:line="18" w:lineRule="exact"/>
              <w:ind w:left="3"/>
              <w:jc w:val="center"/>
              <w:rPr>
                <w:sz w:val="3"/>
              </w:rPr>
            </w:pPr>
            <w:r>
              <w:rPr>
                <w:w w:val="103"/>
                <w:sz w:val="3"/>
              </w:rPr>
              <w:t>-</w:t>
            </w:r>
          </w:p>
        </w:tc>
        <w:tc>
          <w:tcPr>
            <w:tcW w:w="50" w:type="dxa"/>
            <w:vMerge/>
            <w:tcBorders>
              <w:top w:val="nil"/>
              <w:bottom w:val="nil"/>
            </w:tcBorders>
          </w:tcPr>
          <w:p w14:paraId="7B799968" w14:textId="77777777" w:rsidR="00F65BCA" w:rsidRDefault="00F65BCA">
            <w:pPr>
              <w:rPr>
                <w:sz w:val="2"/>
                <w:szCs w:val="2"/>
              </w:rPr>
            </w:pPr>
          </w:p>
        </w:tc>
        <w:tc>
          <w:tcPr>
            <w:tcW w:w="288" w:type="dxa"/>
            <w:tcBorders>
              <w:top w:val="nil"/>
              <w:bottom w:val="nil"/>
            </w:tcBorders>
          </w:tcPr>
          <w:p w14:paraId="02FF158F" w14:textId="77777777" w:rsidR="00F65BCA" w:rsidRDefault="00216117">
            <w:pPr>
              <w:pStyle w:val="TableParagraph"/>
              <w:spacing w:before="3" w:line="18" w:lineRule="exact"/>
              <w:ind w:left="24" w:right="24"/>
              <w:jc w:val="center"/>
              <w:rPr>
                <w:sz w:val="3"/>
              </w:rPr>
            </w:pPr>
            <w:r>
              <w:rPr>
                <w:w w:val="105"/>
                <w:sz w:val="3"/>
              </w:rPr>
              <w:t>1,23693593%</w:t>
            </w:r>
          </w:p>
        </w:tc>
        <w:tc>
          <w:tcPr>
            <w:tcW w:w="288" w:type="dxa"/>
            <w:tcBorders>
              <w:top w:val="nil"/>
              <w:bottom w:val="nil"/>
            </w:tcBorders>
          </w:tcPr>
          <w:p w14:paraId="0EEABC49" w14:textId="77777777" w:rsidR="00F65BCA" w:rsidRDefault="00216117">
            <w:pPr>
              <w:pStyle w:val="TableParagraph"/>
              <w:spacing w:before="3" w:line="18" w:lineRule="exact"/>
              <w:ind w:left="24" w:right="24"/>
              <w:jc w:val="center"/>
              <w:rPr>
                <w:sz w:val="3"/>
              </w:rPr>
            </w:pPr>
            <w:r>
              <w:rPr>
                <w:w w:val="105"/>
                <w:sz w:val="3"/>
              </w:rPr>
              <w:t>1,10673215%</w:t>
            </w:r>
          </w:p>
        </w:tc>
        <w:tc>
          <w:tcPr>
            <w:tcW w:w="288" w:type="dxa"/>
            <w:tcBorders>
              <w:top w:val="nil"/>
              <w:bottom w:val="nil"/>
            </w:tcBorders>
          </w:tcPr>
          <w:p w14:paraId="5E45EBE0" w14:textId="77777777" w:rsidR="00F65BCA" w:rsidRDefault="00216117">
            <w:pPr>
              <w:pStyle w:val="TableParagraph"/>
              <w:spacing w:before="3" w:line="18" w:lineRule="exact"/>
              <w:ind w:left="47"/>
              <w:rPr>
                <w:sz w:val="3"/>
              </w:rPr>
            </w:pPr>
            <w:r>
              <w:rPr>
                <w:w w:val="105"/>
                <w:sz w:val="3"/>
              </w:rPr>
              <w:t>1,10673215%</w:t>
            </w:r>
          </w:p>
        </w:tc>
        <w:tc>
          <w:tcPr>
            <w:tcW w:w="288" w:type="dxa"/>
            <w:tcBorders>
              <w:top w:val="nil"/>
              <w:bottom w:val="nil"/>
            </w:tcBorders>
          </w:tcPr>
          <w:p w14:paraId="3B76D96D" w14:textId="77777777" w:rsidR="00F65BCA" w:rsidRDefault="00216117">
            <w:pPr>
              <w:pStyle w:val="TableParagraph"/>
              <w:spacing w:before="3" w:line="18" w:lineRule="exact"/>
              <w:ind w:left="24" w:right="24"/>
              <w:jc w:val="center"/>
              <w:rPr>
                <w:sz w:val="3"/>
              </w:rPr>
            </w:pPr>
            <w:r>
              <w:rPr>
                <w:w w:val="105"/>
                <w:sz w:val="3"/>
              </w:rPr>
              <w:t>1,00907931%</w:t>
            </w:r>
          </w:p>
        </w:tc>
        <w:tc>
          <w:tcPr>
            <w:tcW w:w="288" w:type="dxa"/>
            <w:tcBorders>
              <w:top w:val="nil"/>
              <w:bottom w:val="nil"/>
            </w:tcBorders>
          </w:tcPr>
          <w:p w14:paraId="597FF766" w14:textId="77777777" w:rsidR="00F65BCA" w:rsidRDefault="00216117">
            <w:pPr>
              <w:pStyle w:val="TableParagraph"/>
              <w:spacing w:before="3" w:line="18" w:lineRule="exact"/>
              <w:ind w:left="47"/>
              <w:rPr>
                <w:sz w:val="3"/>
              </w:rPr>
            </w:pPr>
            <w:r>
              <w:rPr>
                <w:w w:val="105"/>
                <w:sz w:val="3"/>
              </w:rPr>
              <w:t>1,00907931%</w:t>
            </w:r>
          </w:p>
        </w:tc>
        <w:tc>
          <w:tcPr>
            <w:tcW w:w="288" w:type="dxa"/>
            <w:tcBorders>
              <w:top w:val="nil"/>
              <w:bottom w:val="nil"/>
            </w:tcBorders>
          </w:tcPr>
          <w:p w14:paraId="1D42E4DD" w14:textId="77777777" w:rsidR="00F65BCA" w:rsidRDefault="00216117">
            <w:pPr>
              <w:pStyle w:val="TableParagraph"/>
              <w:spacing w:before="3" w:line="18" w:lineRule="exact"/>
              <w:ind w:left="24" w:right="24"/>
              <w:jc w:val="center"/>
              <w:rPr>
                <w:sz w:val="3"/>
              </w:rPr>
            </w:pPr>
            <w:r>
              <w:rPr>
                <w:w w:val="105"/>
                <w:sz w:val="3"/>
              </w:rPr>
              <w:t>0,91142647%</w:t>
            </w:r>
          </w:p>
        </w:tc>
        <w:tc>
          <w:tcPr>
            <w:tcW w:w="288" w:type="dxa"/>
            <w:tcBorders>
              <w:top w:val="nil"/>
              <w:bottom w:val="nil"/>
            </w:tcBorders>
          </w:tcPr>
          <w:p w14:paraId="2A52BFD6" w14:textId="77777777" w:rsidR="00F65BCA" w:rsidRDefault="00216117">
            <w:pPr>
              <w:pStyle w:val="TableParagraph"/>
              <w:spacing w:before="3" w:line="18" w:lineRule="exact"/>
              <w:ind w:left="24" w:right="24"/>
              <w:jc w:val="center"/>
              <w:rPr>
                <w:sz w:val="3"/>
              </w:rPr>
            </w:pPr>
            <w:r>
              <w:rPr>
                <w:w w:val="105"/>
                <w:sz w:val="3"/>
              </w:rPr>
              <w:t>0,91142647%</w:t>
            </w:r>
          </w:p>
        </w:tc>
        <w:tc>
          <w:tcPr>
            <w:tcW w:w="288" w:type="dxa"/>
            <w:tcBorders>
              <w:top w:val="nil"/>
              <w:bottom w:val="nil"/>
            </w:tcBorders>
          </w:tcPr>
          <w:p w14:paraId="43964E82" w14:textId="77777777" w:rsidR="00F65BCA" w:rsidRDefault="00216117">
            <w:pPr>
              <w:pStyle w:val="TableParagraph"/>
              <w:spacing w:before="3" w:line="18" w:lineRule="exact"/>
              <w:ind w:left="47"/>
              <w:rPr>
                <w:sz w:val="3"/>
              </w:rPr>
            </w:pPr>
            <w:r>
              <w:rPr>
                <w:w w:val="105"/>
                <w:sz w:val="3"/>
              </w:rPr>
              <w:t>0,81377364%</w:t>
            </w:r>
          </w:p>
        </w:tc>
        <w:tc>
          <w:tcPr>
            <w:tcW w:w="288" w:type="dxa"/>
            <w:tcBorders>
              <w:top w:val="nil"/>
              <w:bottom w:val="nil"/>
            </w:tcBorders>
          </w:tcPr>
          <w:p w14:paraId="784E9BED" w14:textId="77777777" w:rsidR="00F65BCA" w:rsidRDefault="00216117">
            <w:pPr>
              <w:pStyle w:val="TableParagraph"/>
              <w:spacing w:before="3" w:line="18" w:lineRule="exact"/>
              <w:ind w:left="24" w:right="24"/>
              <w:jc w:val="center"/>
              <w:rPr>
                <w:sz w:val="3"/>
              </w:rPr>
            </w:pPr>
            <w:r>
              <w:rPr>
                <w:w w:val="105"/>
                <w:sz w:val="3"/>
              </w:rPr>
              <w:t>0,81377364%</w:t>
            </w:r>
          </w:p>
        </w:tc>
        <w:tc>
          <w:tcPr>
            <w:tcW w:w="288" w:type="dxa"/>
            <w:tcBorders>
              <w:top w:val="nil"/>
              <w:bottom w:val="nil"/>
            </w:tcBorders>
          </w:tcPr>
          <w:p w14:paraId="7AC0D6F8" w14:textId="77777777" w:rsidR="00F65BCA" w:rsidRDefault="00216117">
            <w:pPr>
              <w:pStyle w:val="TableParagraph"/>
              <w:spacing w:before="3" w:line="18" w:lineRule="exact"/>
              <w:ind w:left="24" w:right="24"/>
              <w:jc w:val="center"/>
              <w:rPr>
                <w:sz w:val="3"/>
              </w:rPr>
            </w:pPr>
            <w:r>
              <w:rPr>
                <w:w w:val="105"/>
                <w:sz w:val="3"/>
              </w:rPr>
              <w:t>0,74867175%</w:t>
            </w:r>
          </w:p>
        </w:tc>
        <w:tc>
          <w:tcPr>
            <w:tcW w:w="288" w:type="dxa"/>
            <w:tcBorders>
              <w:top w:val="nil"/>
              <w:bottom w:val="nil"/>
            </w:tcBorders>
          </w:tcPr>
          <w:p w14:paraId="5303DC4F" w14:textId="77777777" w:rsidR="00F65BCA" w:rsidRDefault="00216117">
            <w:pPr>
              <w:pStyle w:val="TableParagraph"/>
              <w:spacing w:before="3" w:line="18" w:lineRule="exact"/>
              <w:ind w:left="24" w:right="24"/>
              <w:jc w:val="center"/>
              <w:rPr>
                <w:sz w:val="3"/>
              </w:rPr>
            </w:pPr>
            <w:r>
              <w:rPr>
                <w:w w:val="105"/>
                <w:sz w:val="3"/>
              </w:rPr>
              <w:t>0,71612080%</w:t>
            </w:r>
          </w:p>
        </w:tc>
        <w:tc>
          <w:tcPr>
            <w:tcW w:w="288" w:type="dxa"/>
            <w:tcBorders>
              <w:top w:val="nil"/>
              <w:bottom w:val="nil"/>
            </w:tcBorders>
          </w:tcPr>
          <w:p w14:paraId="5627920C" w14:textId="77777777" w:rsidR="00F65BCA" w:rsidRDefault="00216117">
            <w:pPr>
              <w:pStyle w:val="TableParagraph"/>
              <w:spacing w:before="3" w:line="18" w:lineRule="exact"/>
              <w:ind w:left="24" w:right="24"/>
              <w:jc w:val="center"/>
              <w:rPr>
                <w:sz w:val="3"/>
              </w:rPr>
            </w:pPr>
            <w:r>
              <w:rPr>
                <w:w w:val="105"/>
                <w:sz w:val="3"/>
              </w:rPr>
              <w:t>0,65101891%</w:t>
            </w:r>
          </w:p>
        </w:tc>
        <w:tc>
          <w:tcPr>
            <w:tcW w:w="288" w:type="dxa"/>
            <w:tcBorders>
              <w:top w:val="nil"/>
              <w:bottom w:val="nil"/>
            </w:tcBorders>
          </w:tcPr>
          <w:p w14:paraId="471ABDE9" w14:textId="77777777" w:rsidR="00F65BCA" w:rsidRDefault="00216117">
            <w:pPr>
              <w:pStyle w:val="TableParagraph"/>
              <w:spacing w:before="3" w:line="18" w:lineRule="exact"/>
              <w:ind w:left="47"/>
              <w:rPr>
                <w:sz w:val="3"/>
              </w:rPr>
            </w:pPr>
            <w:r>
              <w:rPr>
                <w:w w:val="105"/>
                <w:sz w:val="3"/>
              </w:rPr>
              <w:t>0,65101891%</w:t>
            </w:r>
          </w:p>
        </w:tc>
      </w:tr>
      <w:tr w:rsidR="00F65BCA" w14:paraId="1FBB870C" w14:textId="77777777">
        <w:trPr>
          <w:trHeight w:val="40"/>
        </w:trPr>
        <w:tc>
          <w:tcPr>
            <w:tcW w:w="526" w:type="dxa"/>
            <w:vMerge/>
            <w:tcBorders>
              <w:top w:val="nil"/>
              <w:bottom w:val="nil"/>
            </w:tcBorders>
            <w:shd w:val="clear" w:color="auto" w:fill="FCE4D6"/>
          </w:tcPr>
          <w:p w14:paraId="27413DE9" w14:textId="77777777" w:rsidR="00F65BCA" w:rsidRDefault="00F65BCA">
            <w:pPr>
              <w:rPr>
                <w:sz w:val="2"/>
                <w:szCs w:val="2"/>
              </w:rPr>
            </w:pPr>
          </w:p>
        </w:tc>
        <w:tc>
          <w:tcPr>
            <w:tcW w:w="732" w:type="dxa"/>
            <w:tcBorders>
              <w:top w:val="nil"/>
              <w:bottom w:val="nil"/>
            </w:tcBorders>
            <w:shd w:val="clear" w:color="auto" w:fill="FCE4D6"/>
          </w:tcPr>
          <w:p w14:paraId="0CF0D9B5" w14:textId="77777777" w:rsidR="00F65BCA" w:rsidRDefault="00216117">
            <w:pPr>
              <w:pStyle w:val="TableParagraph"/>
              <w:spacing w:before="3" w:line="18" w:lineRule="exact"/>
              <w:ind w:left="4"/>
              <w:rPr>
                <w:sz w:val="3"/>
              </w:rPr>
            </w:pPr>
            <w:r>
              <w:rPr>
                <w:w w:val="105"/>
                <w:sz w:val="3"/>
              </w:rPr>
              <w:t>McLouis; Miller; Mobilvetta; Pilote; PLA; Possl;</w:t>
            </w:r>
          </w:p>
        </w:tc>
        <w:tc>
          <w:tcPr>
            <w:tcW w:w="958" w:type="dxa"/>
            <w:gridSpan w:val="2"/>
            <w:tcBorders>
              <w:top w:val="nil"/>
              <w:bottom w:val="nil"/>
            </w:tcBorders>
            <w:shd w:val="clear" w:color="auto" w:fill="FCE4D6"/>
          </w:tcPr>
          <w:p w14:paraId="0EDCA1DD"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413A5C19"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76EC097D" w14:textId="77777777" w:rsidR="00F65BCA" w:rsidRDefault="00F65BCA">
            <w:pPr>
              <w:pStyle w:val="TableParagraph"/>
              <w:rPr>
                <w:rFonts w:ascii="Times New Roman"/>
                <w:sz w:val="2"/>
              </w:rPr>
            </w:pPr>
          </w:p>
        </w:tc>
        <w:tc>
          <w:tcPr>
            <w:tcW w:w="50" w:type="dxa"/>
            <w:vMerge/>
            <w:tcBorders>
              <w:top w:val="nil"/>
              <w:bottom w:val="nil"/>
            </w:tcBorders>
          </w:tcPr>
          <w:p w14:paraId="5834FB84" w14:textId="77777777" w:rsidR="00F65BCA" w:rsidRDefault="00F65BCA">
            <w:pPr>
              <w:rPr>
                <w:sz w:val="2"/>
                <w:szCs w:val="2"/>
              </w:rPr>
            </w:pPr>
          </w:p>
        </w:tc>
        <w:tc>
          <w:tcPr>
            <w:tcW w:w="288" w:type="dxa"/>
            <w:tcBorders>
              <w:top w:val="nil"/>
              <w:bottom w:val="nil"/>
            </w:tcBorders>
          </w:tcPr>
          <w:p w14:paraId="03A1E195" w14:textId="77777777" w:rsidR="00F65BCA" w:rsidRDefault="00F65BCA">
            <w:pPr>
              <w:pStyle w:val="TableParagraph"/>
              <w:rPr>
                <w:rFonts w:ascii="Times New Roman"/>
                <w:sz w:val="2"/>
              </w:rPr>
            </w:pPr>
          </w:p>
        </w:tc>
        <w:tc>
          <w:tcPr>
            <w:tcW w:w="288" w:type="dxa"/>
            <w:tcBorders>
              <w:top w:val="nil"/>
              <w:bottom w:val="nil"/>
            </w:tcBorders>
          </w:tcPr>
          <w:p w14:paraId="7457B072" w14:textId="77777777" w:rsidR="00F65BCA" w:rsidRDefault="00F65BCA">
            <w:pPr>
              <w:pStyle w:val="TableParagraph"/>
              <w:rPr>
                <w:rFonts w:ascii="Times New Roman"/>
                <w:sz w:val="2"/>
              </w:rPr>
            </w:pPr>
          </w:p>
        </w:tc>
        <w:tc>
          <w:tcPr>
            <w:tcW w:w="288" w:type="dxa"/>
            <w:tcBorders>
              <w:top w:val="nil"/>
              <w:bottom w:val="nil"/>
            </w:tcBorders>
          </w:tcPr>
          <w:p w14:paraId="631902C4" w14:textId="77777777" w:rsidR="00F65BCA" w:rsidRDefault="00F65BCA">
            <w:pPr>
              <w:pStyle w:val="TableParagraph"/>
              <w:rPr>
                <w:rFonts w:ascii="Times New Roman"/>
                <w:sz w:val="2"/>
              </w:rPr>
            </w:pPr>
          </w:p>
        </w:tc>
        <w:tc>
          <w:tcPr>
            <w:tcW w:w="288" w:type="dxa"/>
            <w:tcBorders>
              <w:top w:val="nil"/>
              <w:bottom w:val="nil"/>
            </w:tcBorders>
          </w:tcPr>
          <w:p w14:paraId="518C150F" w14:textId="77777777" w:rsidR="00F65BCA" w:rsidRDefault="00F65BCA">
            <w:pPr>
              <w:pStyle w:val="TableParagraph"/>
              <w:rPr>
                <w:rFonts w:ascii="Times New Roman"/>
                <w:sz w:val="2"/>
              </w:rPr>
            </w:pPr>
          </w:p>
        </w:tc>
        <w:tc>
          <w:tcPr>
            <w:tcW w:w="288" w:type="dxa"/>
            <w:tcBorders>
              <w:top w:val="nil"/>
              <w:bottom w:val="nil"/>
            </w:tcBorders>
          </w:tcPr>
          <w:p w14:paraId="0610C3F5" w14:textId="77777777" w:rsidR="00F65BCA" w:rsidRDefault="00F65BCA">
            <w:pPr>
              <w:pStyle w:val="TableParagraph"/>
              <w:rPr>
                <w:rFonts w:ascii="Times New Roman"/>
                <w:sz w:val="2"/>
              </w:rPr>
            </w:pPr>
          </w:p>
        </w:tc>
        <w:tc>
          <w:tcPr>
            <w:tcW w:w="288" w:type="dxa"/>
            <w:tcBorders>
              <w:top w:val="nil"/>
              <w:bottom w:val="nil"/>
            </w:tcBorders>
          </w:tcPr>
          <w:p w14:paraId="4C3A49DF" w14:textId="77777777" w:rsidR="00F65BCA" w:rsidRDefault="00F65BCA">
            <w:pPr>
              <w:pStyle w:val="TableParagraph"/>
              <w:rPr>
                <w:rFonts w:ascii="Times New Roman"/>
                <w:sz w:val="2"/>
              </w:rPr>
            </w:pPr>
          </w:p>
        </w:tc>
        <w:tc>
          <w:tcPr>
            <w:tcW w:w="288" w:type="dxa"/>
            <w:tcBorders>
              <w:top w:val="nil"/>
              <w:bottom w:val="nil"/>
            </w:tcBorders>
          </w:tcPr>
          <w:p w14:paraId="7330CEDE" w14:textId="77777777" w:rsidR="00F65BCA" w:rsidRDefault="00F65BCA">
            <w:pPr>
              <w:pStyle w:val="TableParagraph"/>
              <w:rPr>
                <w:rFonts w:ascii="Times New Roman"/>
                <w:sz w:val="2"/>
              </w:rPr>
            </w:pPr>
          </w:p>
        </w:tc>
        <w:tc>
          <w:tcPr>
            <w:tcW w:w="288" w:type="dxa"/>
            <w:tcBorders>
              <w:top w:val="nil"/>
              <w:bottom w:val="nil"/>
            </w:tcBorders>
          </w:tcPr>
          <w:p w14:paraId="327D1934" w14:textId="77777777" w:rsidR="00F65BCA" w:rsidRDefault="00F65BCA">
            <w:pPr>
              <w:pStyle w:val="TableParagraph"/>
              <w:rPr>
                <w:rFonts w:ascii="Times New Roman"/>
                <w:sz w:val="2"/>
              </w:rPr>
            </w:pPr>
          </w:p>
        </w:tc>
        <w:tc>
          <w:tcPr>
            <w:tcW w:w="288" w:type="dxa"/>
            <w:tcBorders>
              <w:top w:val="nil"/>
              <w:bottom w:val="nil"/>
            </w:tcBorders>
          </w:tcPr>
          <w:p w14:paraId="043CB1CB" w14:textId="77777777" w:rsidR="00F65BCA" w:rsidRDefault="00F65BCA">
            <w:pPr>
              <w:pStyle w:val="TableParagraph"/>
              <w:rPr>
                <w:rFonts w:ascii="Times New Roman"/>
                <w:sz w:val="2"/>
              </w:rPr>
            </w:pPr>
          </w:p>
        </w:tc>
        <w:tc>
          <w:tcPr>
            <w:tcW w:w="288" w:type="dxa"/>
            <w:tcBorders>
              <w:top w:val="nil"/>
              <w:bottom w:val="nil"/>
            </w:tcBorders>
          </w:tcPr>
          <w:p w14:paraId="277D5A51" w14:textId="77777777" w:rsidR="00F65BCA" w:rsidRDefault="00F65BCA">
            <w:pPr>
              <w:pStyle w:val="TableParagraph"/>
              <w:rPr>
                <w:rFonts w:ascii="Times New Roman"/>
                <w:sz w:val="2"/>
              </w:rPr>
            </w:pPr>
          </w:p>
        </w:tc>
        <w:tc>
          <w:tcPr>
            <w:tcW w:w="288" w:type="dxa"/>
            <w:tcBorders>
              <w:top w:val="nil"/>
              <w:bottom w:val="nil"/>
            </w:tcBorders>
          </w:tcPr>
          <w:p w14:paraId="0EFE974B" w14:textId="77777777" w:rsidR="00F65BCA" w:rsidRDefault="00F65BCA">
            <w:pPr>
              <w:pStyle w:val="TableParagraph"/>
              <w:rPr>
                <w:rFonts w:ascii="Times New Roman"/>
                <w:sz w:val="2"/>
              </w:rPr>
            </w:pPr>
          </w:p>
        </w:tc>
        <w:tc>
          <w:tcPr>
            <w:tcW w:w="288" w:type="dxa"/>
            <w:tcBorders>
              <w:top w:val="nil"/>
              <w:bottom w:val="nil"/>
            </w:tcBorders>
          </w:tcPr>
          <w:p w14:paraId="57FEBEC2" w14:textId="77777777" w:rsidR="00F65BCA" w:rsidRDefault="00F65BCA">
            <w:pPr>
              <w:pStyle w:val="TableParagraph"/>
              <w:rPr>
                <w:rFonts w:ascii="Times New Roman"/>
                <w:sz w:val="2"/>
              </w:rPr>
            </w:pPr>
          </w:p>
        </w:tc>
        <w:tc>
          <w:tcPr>
            <w:tcW w:w="288" w:type="dxa"/>
            <w:tcBorders>
              <w:top w:val="nil"/>
              <w:bottom w:val="nil"/>
            </w:tcBorders>
          </w:tcPr>
          <w:p w14:paraId="62E90040" w14:textId="77777777" w:rsidR="00F65BCA" w:rsidRDefault="00F65BCA">
            <w:pPr>
              <w:pStyle w:val="TableParagraph"/>
              <w:rPr>
                <w:rFonts w:ascii="Times New Roman"/>
                <w:sz w:val="2"/>
              </w:rPr>
            </w:pPr>
          </w:p>
        </w:tc>
      </w:tr>
      <w:tr w:rsidR="00F65BCA" w14:paraId="4A1A8A61" w14:textId="77777777">
        <w:trPr>
          <w:trHeight w:val="59"/>
        </w:trPr>
        <w:tc>
          <w:tcPr>
            <w:tcW w:w="526" w:type="dxa"/>
            <w:vMerge/>
            <w:tcBorders>
              <w:top w:val="nil"/>
              <w:bottom w:val="nil"/>
            </w:tcBorders>
            <w:shd w:val="clear" w:color="auto" w:fill="FCE4D6"/>
          </w:tcPr>
          <w:p w14:paraId="78388B22" w14:textId="77777777" w:rsidR="00F65BCA" w:rsidRDefault="00F65BCA">
            <w:pPr>
              <w:rPr>
                <w:sz w:val="2"/>
                <w:szCs w:val="2"/>
              </w:rPr>
            </w:pPr>
          </w:p>
        </w:tc>
        <w:tc>
          <w:tcPr>
            <w:tcW w:w="732" w:type="dxa"/>
            <w:tcBorders>
              <w:top w:val="nil"/>
              <w:bottom w:val="nil"/>
            </w:tcBorders>
            <w:shd w:val="clear" w:color="auto" w:fill="FCE4D6"/>
          </w:tcPr>
          <w:p w14:paraId="2C3E84E6" w14:textId="77777777" w:rsidR="00F65BCA" w:rsidRDefault="00216117">
            <w:pPr>
              <w:pStyle w:val="TableParagraph"/>
              <w:spacing w:before="3"/>
              <w:ind w:left="4"/>
              <w:rPr>
                <w:sz w:val="3"/>
              </w:rPr>
            </w:pPr>
            <w:r>
              <w:rPr>
                <w:w w:val="105"/>
                <w:sz w:val="3"/>
              </w:rPr>
              <w:t>Rapido; Rimor; Trigano</w:t>
            </w:r>
          </w:p>
        </w:tc>
        <w:tc>
          <w:tcPr>
            <w:tcW w:w="958" w:type="dxa"/>
            <w:gridSpan w:val="2"/>
            <w:tcBorders>
              <w:top w:val="nil"/>
              <w:bottom w:val="nil"/>
            </w:tcBorders>
            <w:shd w:val="clear" w:color="auto" w:fill="FCE4D6"/>
          </w:tcPr>
          <w:p w14:paraId="757D349B"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5F582255" w14:textId="77777777" w:rsidR="00F65BCA" w:rsidRDefault="00F65BCA">
            <w:pPr>
              <w:pStyle w:val="TableParagraph"/>
              <w:rPr>
                <w:rFonts w:ascii="Times New Roman"/>
                <w:sz w:val="2"/>
              </w:rPr>
            </w:pPr>
          </w:p>
        </w:tc>
        <w:tc>
          <w:tcPr>
            <w:tcW w:w="576" w:type="dxa"/>
            <w:tcBorders>
              <w:top w:val="nil"/>
              <w:bottom w:val="nil"/>
            </w:tcBorders>
            <w:shd w:val="clear" w:color="auto" w:fill="FCE4D6"/>
          </w:tcPr>
          <w:p w14:paraId="5329F2D1" w14:textId="77777777" w:rsidR="00F65BCA" w:rsidRDefault="00F65BCA">
            <w:pPr>
              <w:pStyle w:val="TableParagraph"/>
              <w:rPr>
                <w:rFonts w:ascii="Times New Roman"/>
                <w:sz w:val="2"/>
              </w:rPr>
            </w:pPr>
          </w:p>
        </w:tc>
        <w:tc>
          <w:tcPr>
            <w:tcW w:w="50" w:type="dxa"/>
            <w:vMerge/>
            <w:tcBorders>
              <w:top w:val="nil"/>
              <w:bottom w:val="nil"/>
            </w:tcBorders>
          </w:tcPr>
          <w:p w14:paraId="0B5510E6" w14:textId="77777777" w:rsidR="00F65BCA" w:rsidRDefault="00F65BCA">
            <w:pPr>
              <w:rPr>
                <w:sz w:val="2"/>
                <w:szCs w:val="2"/>
              </w:rPr>
            </w:pPr>
          </w:p>
        </w:tc>
        <w:tc>
          <w:tcPr>
            <w:tcW w:w="288" w:type="dxa"/>
            <w:tcBorders>
              <w:top w:val="nil"/>
              <w:bottom w:val="nil"/>
            </w:tcBorders>
          </w:tcPr>
          <w:p w14:paraId="5975FA48" w14:textId="77777777" w:rsidR="00F65BCA" w:rsidRDefault="00F65BCA">
            <w:pPr>
              <w:pStyle w:val="TableParagraph"/>
              <w:rPr>
                <w:rFonts w:ascii="Times New Roman"/>
                <w:sz w:val="2"/>
              </w:rPr>
            </w:pPr>
          </w:p>
        </w:tc>
        <w:tc>
          <w:tcPr>
            <w:tcW w:w="288" w:type="dxa"/>
            <w:tcBorders>
              <w:top w:val="nil"/>
              <w:bottom w:val="nil"/>
            </w:tcBorders>
          </w:tcPr>
          <w:p w14:paraId="1E0F74E0" w14:textId="77777777" w:rsidR="00F65BCA" w:rsidRDefault="00F65BCA">
            <w:pPr>
              <w:pStyle w:val="TableParagraph"/>
              <w:rPr>
                <w:rFonts w:ascii="Times New Roman"/>
                <w:sz w:val="2"/>
              </w:rPr>
            </w:pPr>
          </w:p>
        </w:tc>
        <w:tc>
          <w:tcPr>
            <w:tcW w:w="288" w:type="dxa"/>
            <w:tcBorders>
              <w:top w:val="nil"/>
              <w:bottom w:val="nil"/>
            </w:tcBorders>
          </w:tcPr>
          <w:p w14:paraId="52036B3F" w14:textId="77777777" w:rsidR="00F65BCA" w:rsidRDefault="00F65BCA">
            <w:pPr>
              <w:pStyle w:val="TableParagraph"/>
              <w:rPr>
                <w:rFonts w:ascii="Times New Roman"/>
                <w:sz w:val="2"/>
              </w:rPr>
            </w:pPr>
          </w:p>
        </w:tc>
        <w:tc>
          <w:tcPr>
            <w:tcW w:w="288" w:type="dxa"/>
            <w:tcBorders>
              <w:top w:val="nil"/>
              <w:bottom w:val="nil"/>
            </w:tcBorders>
          </w:tcPr>
          <w:p w14:paraId="683640BA" w14:textId="77777777" w:rsidR="00F65BCA" w:rsidRDefault="00F65BCA">
            <w:pPr>
              <w:pStyle w:val="TableParagraph"/>
              <w:rPr>
                <w:rFonts w:ascii="Times New Roman"/>
                <w:sz w:val="2"/>
              </w:rPr>
            </w:pPr>
          </w:p>
        </w:tc>
        <w:tc>
          <w:tcPr>
            <w:tcW w:w="288" w:type="dxa"/>
            <w:tcBorders>
              <w:top w:val="nil"/>
              <w:bottom w:val="nil"/>
            </w:tcBorders>
          </w:tcPr>
          <w:p w14:paraId="045E0E8B" w14:textId="77777777" w:rsidR="00F65BCA" w:rsidRDefault="00F65BCA">
            <w:pPr>
              <w:pStyle w:val="TableParagraph"/>
              <w:rPr>
                <w:rFonts w:ascii="Times New Roman"/>
                <w:sz w:val="2"/>
              </w:rPr>
            </w:pPr>
          </w:p>
        </w:tc>
        <w:tc>
          <w:tcPr>
            <w:tcW w:w="288" w:type="dxa"/>
            <w:tcBorders>
              <w:top w:val="nil"/>
              <w:bottom w:val="nil"/>
            </w:tcBorders>
          </w:tcPr>
          <w:p w14:paraId="27609E59" w14:textId="77777777" w:rsidR="00F65BCA" w:rsidRDefault="00F65BCA">
            <w:pPr>
              <w:pStyle w:val="TableParagraph"/>
              <w:rPr>
                <w:rFonts w:ascii="Times New Roman"/>
                <w:sz w:val="2"/>
              </w:rPr>
            </w:pPr>
          </w:p>
        </w:tc>
        <w:tc>
          <w:tcPr>
            <w:tcW w:w="288" w:type="dxa"/>
            <w:tcBorders>
              <w:top w:val="nil"/>
              <w:bottom w:val="nil"/>
            </w:tcBorders>
          </w:tcPr>
          <w:p w14:paraId="40A78A7C" w14:textId="77777777" w:rsidR="00F65BCA" w:rsidRDefault="00F65BCA">
            <w:pPr>
              <w:pStyle w:val="TableParagraph"/>
              <w:rPr>
                <w:rFonts w:ascii="Times New Roman"/>
                <w:sz w:val="2"/>
              </w:rPr>
            </w:pPr>
          </w:p>
        </w:tc>
        <w:tc>
          <w:tcPr>
            <w:tcW w:w="288" w:type="dxa"/>
            <w:tcBorders>
              <w:top w:val="nil"/>
              <w:bottom w:val="nil"/>
            </w:tcBorders>
          </w:tcPr>
          <w:p w14:paraId="76787BD4" w14:textId="77777777" w:rsidR="00F65BCA" w:rsidRDefault="00F65BCA">
            <w:pPr>
              <w:pStyle w:val="TableParagraph"/>
              <w:rPr>
                <w:rFonts w:ascii="Times New Roman"/>
                <w:sz w:val="2"/>
              </w:rPr>
            </w:pPr>
          </w:p>
        </w:tc>
        <w:tc>
          <w:tcPr>
            <w:tcW w:w="288" w:type="dxa"/>
            <w:tcBorders>
              <w:top w:val="nil"/>
              <w:bottom w:val="nil"/>
            </w:tcBorders>
          </w:tcPr>
          <w:p w14:paraId="07336A7B" w14:textId="77777777" w:rsidR="00F65BCA" w:rsidRDefault="00F65BCA">
            <w:pPr>
              <w:pStyle w:val="TableParagraph"/>
              <w:rPr>
                <w:rFonts w:ascii="Times New Roman"/>
                <w:sz w:val="2"/>
              </w:rPr>
            </w:pPr>
          </w:p>
        </w:tc>
        <w:tc>
          <w:tcPr>
            <w:tcW w:w="288" w:type="dxa"/>
            <w:tcBorders>
              <w:top w:val="nil"/>
              <w:bottom w:val="nil"/>
            </w:tcBorders>
          </w:tcPr>
          <w:p w14:paraId="5A88AAE7" w14:textId="77777777" w:rsidR="00F65BCA" w:rsidRDefault="00F65BCA">
            <w:pPr>
              <w:pStyle w:val="TableParagraph"/>
              <w:rPr>
                <w:rFonts w:ascii="Times New Roman"/>
                <w:sz w:val="2"/>
              </w:rPr>
            </w:pPr>
          </w:p>
        </w:tc>
        <w:tc>
          <w:tcPr>
            <w:tcW w:w="288" w:type="dxa"/>
            <w:tcBorders>
              <w:top w:val="nil"/>
              <w:bottom w:val="nil"/>
            </w:tcBorders>
          </w:tcPr>
          <w:p w14:paraId="48113EED" w14:textId="77777777" w:rsidR="00F65BCA" w:rsidRDefault="00F65BCA">
            <w:pPr>
              <w:pStyle w:val="TableParagraph"/>
              <w:rPr>
                <w:rFonts w:ascii="Times New Roman"/>
                <w:sz w:val="2"/>
              </w:rPr>
            </w:pPr>
          </w:p>
        </w:tc>
        <w:tc>
          <w:tcPr>
            <w:tcW w:w="288" w:type="dxa"/>
            <w:tcBorders>
              <w:top w:val="nil"/>
              <w:bottom w:val="nil"/>
            </w:tcBorders>
          </w:tcPr>
          <w:p w14:paraId="58A7F039" w14:textId="77777777" w:rsidR="00F65BCA" w:rsidRDefault="00F65BCA">
            <w:pPr>
              <w:pStyle w:val="TableParagraph"/>
              <w:rPr>
                <w:rFonts w:ascii="Times New Roman"/>
                <w:sz w:val="2"/>
              </w:rPr>
            </w:pPr>
          </w:p>
        </w:tc>
        <w:tc>
          <w:tcPr>
            <w:tcW w:w="288" w:type="dxa"/>
            <w:tcBorders>
              <w:top w:val="nil"/>
              <w:bottom w:val="nil"/>
            </w:tcBorders>
          </w:tcPr>
          <w:p w14:paraId="3DB7AAA6" w14:textId="77777777" w:rsidR="00F65BCA" w:rsidRDefault="00F65BCA">
            <w:pPr>
              <w:pStyle w:val="TableParagraph"/>
              <w:rPr>
                <w:rFonts w:ascii="Times New Roman"/>
                <w:sz w:val="2"/>
              </w:rPr>
            </w:pPr>
          </w:p>
        </w:tc>
      </w:tr>
      <w:tr w:rsidR="00F65BCA" w14:paraId="6FA8DD8A" w14:textId="77777777">
        <w:trPr>
          <w:trHeight w:val="10"/>
        </w:trPr>
        <w:tc>
          <w:tcPr>
            <w:tcW w:w="526" w:type="dxa"/>
            <w:tcBorders>
              <w:top w:val="nil"/>
              <w:bottom w:val="single" w:sz="48" w:space="0" w:color="F8CBAD"/>
            </w:tcBorders>
            <w:shd w:val="clear" w:color="auto" w:fill="FCE4D6"/>
          </w:tcPr>
          <w:p w14:paraId="773B908A" w14:textId="77777777" w:rsidR="00F65BCA" w:rsidRDefault="00216117">
            <w:pPr>
              <w:pStyle w:val="TableParagraph"/>
              <w:spacing w:line="63" w:lineRule="exact"/>
              <w:ind w:right="33"/>
              <w:jc w:val="right"/>
              <w:rPr>
                <w:b/>
                <w:sz w:val="3"/>
              </w:rPr>
            </w:pPr>
            <w:r>
              <w:rPr>
                <w:b/>
                <w:w w:val="105"/>
                <w:sz w:val="3"/>
              </w:rPr>
              <w:t>Nákladní a speciální nad 3,5 t</w:t>
            </w:r>
          </w:p>
        </w:tc>
        <w:tc>
          <w:tcPr>
            <w:tcW w:w="732" w:type="dxa"/>
            <w:tcBorders>
              <w:top w:val="nil"/>
              <w:bottom w:val="single" w:sz="48" w:space="0" w:color="F8CBAD"/>
            </w:tcBorders>
            <w:shd w:val="clear" w:color="auto" w:fill="FCE4D6"/>
          </w:tcPr>
          <w:p w14:paraId="4324EE27" w14:textId="77777777" w:rsidR="00F65BCA" w:rsidRDefault="00216117">
            <w:pPr>
              <w:pStyle w:val="TableParagraph"/>
              <w:spacing w:line="63" w:lineRule="exact"/>
              <w:ind w:left="18" w:right="18"/>
              <w:jc w:val="center"/>
              <w:rPr>
                <w:b/>
                <w:sz w:val="3"/>
              </w:rPr>
            </w:pPr>
            <w:r>
              <w:rPr>
                <w:b/>
                <w:w w:val="105"/>
                <w:sz w:val="3"/>
              </w:rPr>
              <w:t>Tovární značka</w:t>
            </w:r>
          </w:p>
        </w:tc>
        <w:tc>
          <w:tcPr>
            <w:tcW w:w="958" w:type="dxa"/>
            <w:gridSpan w:val="2"/>
            <w:tcBorders>
              <w:top w:val="nil"/>
              <w:bottom w:val="single" w:sz="48" w:space="0" w:color="F8CBAD"/>
            </w:tcBorders>
            <w:shd w:val="clear" w:color="auto" w:fill="FCE4D6"/>
          </w:tcPr>
          <w:p w14:paraId="7AD116EC" w14:textId="77777777" w:rsidR="00F65BCA" w:rsidRDefault="00216117">
            <w:pPr>
              <w:pStyle w:val="TableParagraph"/>
              <w:spacing w:line="63" w:lineRule="exact"/>
              <w:ind w:left="370" w:right="371"/>
              <w:jc w:val="center"/>
              <w:rPr>
                <w:b/>
                <w:sz w:val="3"/>
              </w:rPr>
            </w:pPr>
            <w:r>
              <w:rPr>
                <w:b/>
                <w:w w:val="105"/>
                <w:sz w:val="3"/>
              </w:rPr>
              <w:t>Typ vozidla</w:t>
            </w:r>
          </w:p>
        </w:tc>
        <w:tc>
          <w:tcPr>
            <w:tcW w:w="576" w:type="dxa"/>
            <w:tcBorders>
              <w:top w:val="nil"/>
              <w:bottom w:val="single" w:sz="48" w:space="0" w:color="F8CBAD"/>
            </w:tcBorders>
            <w:shd w:val="clear" w:color="auto" w:fill="FCE4D6"/>
          </w:tcPr>
          <w:p w14:paraId="426943E3" w14:textId="77777777" w:rsidR="00F65BCA" w:rsidRDefault="00216117">
            <w:pPr>
              <w:pStyle w:val="TableParagraph"/>
              <w:spacing w:line="63" w:lineRule="exact"/>
              <w:ind w:left="128" w:right="128"/>
              <w:jc w:val="center"/>
              <w:rPr>
                <w:b/>
                <w:sz w:val="3"/>
              </w:rPr>
            </w:pPr>
            <w:r>
              <w:rPr>
                <w:b/>
                <w:w w:val="105"/>
                <w:sz w:val="3"/>
              </w:rPr>
              <w:t>Objem motoru</w:t>
            </w:r>
          </w:p>
        </w:tc>
        <w:tc>
          <w:tcPr>
            <w:tcW w:w="576" w:type="dxa"/>
            <w:tcBorders>
              <w:top w:val="nil"/>
              <w:bottom w:val="single" w:sz="48" w:space="0" w:color="F8CBAD"/>
            </w:tcBorders>
            <w:shd w:val="clear" w:color="auto" w:fill="FCE4D6"/>
          </w:tcPr>
          <w:p w14:paraId="5B5E2185" w14:textId="77777777" w:rsidR="00F65BCA" w:rsidRDefault="00216117">
            <w:pPr>
              <w:pStyle w:val="TableParagraph"/>
              <w:spacing w:line="63" w:lineRule="exact"/>
              <w:ind w:left="150"/>
              <w:rPr>
                <w:b/>
                <w:sz w:val="3"/>
              </w:rPr>
            </w:pPr>
            <w:r>
              <w:rPr>
                <w:b/>
                <w:w w:val="105"/>
                <w:sz w:val="3"/>
              </w:rPr>
              <w:t>Celková hmotnost</w:t>
            </w:r>
          </w:p>
        </w:tc>
        <w:tc>
          <w:tcPr>
            <w:tcW w:w="50" w:type="dxa"/>
            <w:vMerge/>
            <w:tcBorders>
              <w:top w:val="nil"/>
              <w:bottom w:val="nil"/>
            </w:tcBorders>
          </w:tcPr>
          <w:p w14:paraId="4538E526" w14:textId="77777777" w:rsidR="00F65BCA" w:rsidRDefault="00F65BCA">
            <w:pPr>
              <w:rPr>
                <w:sz w:val="2"/>
                <w:szCs w:val="2"/>
              </w:rPr>
            </w:pPr>
          </w:p>
        </w:tc>
        <w:tc>
          <w:tcPr>
            <w:tcW w:w="288" w:type="dxa"/>
            <w:tcBorders>
              <w:top w:val="nil"/>
              <w:bottom w:val="single" w:sz="48" w:space="0" w:color="F8CBAD"/>
            </w:tcBorders>
          </w:tcPr>
          <w:p w14:paraId="32BBC9FB" w14:textId="77777777" w:rsidR="00F65BCA" w:rsidRDefault="00216117">
            <w:pPr>
              <w:pStyle w:val="TableParagraph"/>
              <w:spacing w:line="63" w:lineRule="exact"/>
              <w:ind w:left="24" w:right="22"/>
              <w:jc w:val="center"/>
              <w:rPr>
                <w:b/>
                <w:sz w:val="3"/>
              </w:rPr>
            </w:pPr>
            <w:r>
              <w:rPr>
                <w:b/>
                <w:w w:val="105"/>
                <w:sz w:val="3"/>
              </w:rPr>
              <w:t>0-99</w:t>
            </w:r>
          </w:p>
        </w:tc>
        <w:tc>
          <w:tcPr>
            <w:tcW w:w="288" w:type="dxa"/>
            <w:tcBorders>
              <w:top w:val="nil"/>
              <w:bottom w:val="single" w:sz="48" w:space="0" w:color="F8CBAD"/>
            </w:tcBorders>
          </w:tcPr>
          <w:p w14:paraId="69408097" w14:textId="77777777" w:rsidR="00F65BCA" w:rsidRDefault="00216117">
            <w:pPr>
              <w:pStyle w:val="TableParagraph"/>
              <w:spacing w:line="63" w:lineRule="exact"/>
              <w:ind w:left="24" w:right="24"/>
              <w:jc w:val="center"/>
              <w:rPr>
                <w:b/>
                <w:sz w:val="3"/>
              </w:rPr>
            </w:pPr>
            <w:r>
              <w:rPr>
                <w:b/>
                <w:w w:val="105"/>
                <w:sz w:val="3"/>
              </w:rPr>
              <w:t>100-199</w:t>
            </w:r>
          </w:p>
        </w:tc>
        <w:tc>
          <w:tcPr>
            <w:tcW w:w="288" w:type="dxa"/>
            <w:tcBorders>
              <w:top w:val="nil"/>
              <w:bottom w:val="single" w:sz="48" w:space="0" w:color="F8CBAD"/>
            </w:tcBorders>
          </w:tcPr>
          <w:p w14:paraId="6A921BF6" w14:textId="77777777" w:rsidR="00F65BCA" w:rsidRDefault="00216117">
            <w:pPr>
              <w:pStyle w:val="TableParagraph"/>
              <w:spacing w:line="63" w:lineRule="exact"/>
              <w:ind w:left="85"/>
              <w:rPr>
                <w:b/>
                <w:sz w:val="3"/>
              </w:rPr>
            </w:pPr>
            <w:r>
              <w:rPr>
                <w:b/>
                <w:w w:val="105"/>
                <w:sz w:val="3"/>
              </w:rPr>
              <w:t>200-299</w:t>
            </w:r>
          </w:p>
        </w:tc>
        <w:tc>
          <w:tcPr>
            <w:tcW w:w="288" w:type="dxa"/>
            <w:tcBorders>
              <w:top w:val="nil"/>
              <w:bottom w:val="single" w:sz="48" w:space="0" w:color="F8CBAD"/>
            </w:tcBorders>
          </w:tcPr>
          <w:p w14:paraId="024796EB" w14:textId="77777777" w:rsidR="00F65BCA" w:rsidRDefault="00216117">
            <w:pPr>
              <w:pStyle w:val="TableParagraph"/>
              <w:spacing w:line="63" w:lineRule="exact"/>
              <w:ind w:left="24" w:right="24"/>
              <w:jc w:val="center"/>
              <w:rPr>
                <w:b/>
                <w:sz w:val="3"/>
              </w:rPr>
            </w:pPr>
            <w:r>
              <w:rPr>
                <w:b/>
                <w:w w:val="105"/>
                <w:sz w:val="3"/>
              </w:rPr>
              <w:t>300-399</w:t>
            </w:r>
          </w:p>
        </w:tc>
        <w:tc>
          <w:tcPr>
            <w:tcW w:w="288" w:type="dxa"/>
            <w:tcBorders>
              <w:top w:val="nil"/>
              <w:bottom w:val="single" w:sz="48" w:space="0" w:color="F8CBAD"/>
            </w:tcBorders>
          </w:tcPr>
          <w:p w14:paraId="0F757417" w14:textId="77777777" w:rsidR="00F65BCA" w:rsidRDefault="00216117">
            <w:pPr>
              <w:pStyle w:val="TableParagraph"/>
              <w:spacing w:line="63" w:lineRule="exact"/>
              <w:ind w:left="85"/>
              <w:rPr>
                <w:b/>
                <w:sz w:val="3"/>
              </w:rPr>
            </w:pPr>
            <w:r>
              <w:rPr>
                <w:b/>
                <w:w w:val="105"/>
                <w:sz w:val="3"/>
              </w:rPr>
              <w:t>400-499</w:t>
            </w:r>
          </w:p>
        </w:tc>
        <w:tc>
          <w:tcPr>
            <w:tcW w:w="288" w:type="dxa"/>
            <w:tcBorders>
              <w:top w:val="nil"/>
              <w:bottom w:val="single" w:sz="48" w:space="0" w:color="F8CBAD"/>
            </w:tcBorders>
          </w:tcPr>
          <w:p w14:paraId="27F34B1C" w14:textId="77777777" w:rsidR="00F65BCA" w:rsidRDefault="00216117">
            <w:pPr>
              <w:pStyle w:val="TableParagraph"/>
              <w:spacing w:line="63" w:lineRule="exact"/>
              <w:ind w:left="24" w:right="24"/>
              <w:jc w:val="center"/>
              <w:rPr>
                <w:b/>
                <w:sz w:val="3"/>
              </w:rPr>
            </w:pPr>
            <w:r>
              <w:rPr>
                <w:b/>
                <w:w w:val="105"/>
                <w:sz w:val="3"/>
              </w:rPr>
              <w:t>500-599</w:t>
            </w:r>
          </w:p>
        </w:tc>
        <w:tc>
          <w:tcPr>
            <w:tcW w:w="288" w:type="dxa"/>
            <w:tcBorders>
              <w:top w:val="nil"/>
              <w:bottom w:val="single" w:sz="48" w:space="0" w:color="F8CBAD"/>
            </w:tcBorders>
          </w:tcPr>
          <w:p w14:paraId="3B9536DB" w14:textId="77777777" w:rsidR="00F65BCA" w:rsidRDefault="00216117">
            <w:pPr>
              <w:pStyle w:val="TableParagraph"/>
              <w:spacing w:line="63" w:lineRule="exact"/>
              <w:ind w:left="24" w:right="24"/>
              <w:jc w:val="center"/>
              <w:rPr>
                <w:b/>
                <w:sz w:val="3"/>
              </w:rPr>
            </w:pPr>
            <w:r>
              <w:rPr>
                <w:b/>
                <w:w w:val="105"/>
                <w:sz w:val="3"/>
              </w:rPr>
              <w:t>600-699</w:t>
            </w:r>
          </w:p>
        </w:tc>
        <w:tc>
          <w:tcPr>
            <w:tcW w:w="288" w:type="dxa"/>
            <w:tcBorders>
              <w:top w:val="nil"/>
              <w:bottom w:val="single" w:sz="48" w:space="0" w:color="F8CBAD"/>
            </w:tcBorders>
          </w:tcPr>
          <w:p w14:paraId="6666468C" w14:textId="77777777" w:rsidR="00F65BCA" w:rsidRDefault="00216117">
            <w:pPr>
              <w:pStyle w:val="TableParagraph"/>
              <w:spacing w:line="63" w:lineRule="exact"/>
              <w:ind w:left="85"/>
              <w:rPr>
                <w:b/>
                <w:sz w:val="3"/>
              </w:rPr>
            </w:pPr>
            <w:r>
              <w:rPr>
                <w:b/>
                <w:w w:val="105"/>
                <w:sz w:val="3"/>
              </w:rPr>
              <w:t>700-799</w:t>
            </w:r>
          </w:p>
        </w:tc>
        <w:tc>
          <w:tcPr>
            <w:tcW w:w="288" w:type="dxa"/>
            <w:tcBorders>
              <w:top w:val="nil"/>
              <w:bottom w:val="single" w:sz="48" w:space="0" w:color="F8CBAD"/>
            </w:tcBorders>
          </w:tcPr>
          <w:p w14:paraId="7CAD64A3" w14:textId="77777777" w:rsidR="00F65BCA" w:rsidRDefault="00216117">
            <w:pPr>
              <w:pStyle w:val="TableParagraph"/>
              <w:spacing w:line="63" w:lineRule="exact"/>
              <w:ind w:left="24" w:right="24"/>
              <w:jc w:val="center"/>
              <w:rPr>
                <w:b/>
                <w:sz w:val="3"/>
              </w:rPr>
            </w:pPr>
            <w:r>
              <w:rPr>
                <w:b/>
                <w:w w:val="105"/>
                <w:sz w:val="3"/>
              </w:rPr>
              <w:t>800-999</w:t>
            </w:r>
          </w:p>
        </w:tc>
        <w:tc>
          <w:tcPr>
            <w:tcW w:w="288" w:type="dxa"/>
            <w:tcBorders>
              <w:top w:val="nil"/>
              <w:bottom w:val="single" w:sz="48" w:space="0" w:color="F8CBAD"/>
            </w:tcBorders>
          </w:tcPr>
          <w:p w14:paraId="22FAC41E" w14:textId="77777777" w:rsidR="00F65BCA" w:rsidRDefault="00216117">
            <w:pPr>
              <w:pStyle w:val="TableParagraph"/>
              <w:spacing w:line="63" w:lineRule="exact"/>
              <w:ind w:left="24" w:right="24"/>
              <w:jc w:val="center"/>
              <w:rPr>
                <w:b/>
                <w:sz w:val="3"/>
              </w:rPr>
            </w:pPr>
            <w:r>
              <w:rPr>
                <w:b/>
                <w:w w:val="105"/>
                <w:sz w:val="3"/>
              </w:rPr>
              <w:t>1000-1499</w:t>
            </w:r>
          </w:p>
        </w:tc>
        <w:tc>
          <w:tcPr>
            <w:tcW w:w="288" w:type="dxa"/>
            <w:tcBorders>
              <w:top w:val="nil"/>
              <w:bottom w:val="single" w:sz="48" w:space="0" w:color="F8CBAD"/>
            </w:tcBorders>
          </w:tcPr>
          <w:p w14:paraId="094272F7" w14:textId="77777777" w:rsidR="00F65BCA" w:rsidRDefault="00216117">
            <w:pPr>
              <w:pStyle w:val="TableParagraph"/>
              <w:spacing w:line="63" w:lineRule="exact"/>
              <w:ind w:left="24" w:right="24"/>
              <w:jc w:val="center"/>
              <w:rPr>
                <w:b/>
                <w:sz w:val="3"/>
              </w:rPr>
            </w:pPr>
            <w:r>
              <w:rPr>
                <w:b/>
                <w:w w:val="105"/>
                <w:sz w:val="3"/>
              </w:rPr>
              <w:t>1500-1999</w:t>
            </w:r>
          </w:p>
        </w:tc>
        <w:tc>
          <w:tcPr>
            <w:tcW w:w="288" w:type="dxa"/>
            <w:tcBorders>
              <w:top w:val="nil"/>
              <w:bottom w:val="single" w:sz="48" w:space="0" w:color="F8CBAD"/>
            </w:tcBorders>
          </w:tcPr>
          <w:p w14:paraId="55412CD2" w14:textId="77777777" w:rsidR="00F65BCA" w:rsidRDefault="00216117">
            <w:pPr>
              <w:pStyle w:val="TableParagraph"/>
              <w:spacing w:line="63" w:lineRule="exact"/>
              <w:ind w:left="24" w:right="24"/>
              <w:jc w:val="center"/>
              <w:rPr>
                <w:b/>
                <w:sz w:val="3"/>
              </w:rPr>
            </w:pPr>
            <w:r>
              <w:rPr>
                <w:b/>
                <w:w w:val="105"/>
                <w:sz w:val="3"/>
              </w:rPr>
              <w:t>2000-2499</w:t>
            </w:r>
          </w:p>
        </w:tc>
        <w:tc>
          <w:tcPr>
            <w:tcW w:w="288" w:type="dxa"/>
            <w:tcBorders>
              <w:top w:val="nil"/>
              <w:bottom w:val="single" w:sz="48" w:space="0" w:color="F8CBAD"/>
            </w:tcBorders>
          </w:tcPr>
          <w:p w14:paraId="40614BE1" w14:textId="77777777" w:rsidR="00F65BCA" w:rsidRDefault="00216117">
            <w:pPr>
              <w:pStyle w:val="TableParagraph"/>
              <w:spacing w:line="63" w:lineRule="exact"/>
              <w:ind w:left="88"/>
              <w:rPr>
                <w:b/>
                <w:sz w:val="3"/>
              </w:rPr>
            </w:pPr>
            <w:r>
              <w:rPr>
                <w:b/>
                <w:w w:val="105"/>
                <w:sz w:val="3"/>
              </w:rPr>
              <w:t>&gt;=2500</w:t>
            </w:r>
          </w:p>
        </w:tc>
      </w:tr>
      <w:tr w:rsidR="00F65BCA" w14:paraId="4CE6D4CF" w14:textId="77777777">
        <w:trPr>
          <w:trHeight w:val="67"/>
        </w:trPr>
        <w:tc>
          <w:tcPr>
            <w:tcW w:w="526" w:type="dxa"/>
            <w:vMerge w:val="restart"/>
            <w:tcBorders>
              <w:top w:val="single" w:sz="48" w:space="0" w:color="F8CBAD"/>
              <w:bottom w:val="nil"/>
            </w:tcBorders>
            <w:shd w:val="clear" w:color="auto" w:fill="FCE4D6"/>
          </w:tcPr>
          <w:p w14:paraId="3C47D911" w14:textId="77777777" w:rsidR="00F65BCA" w:rsidRDefault="00F65BCA">
            <w:pPr>
              <w:pStyle w:val="TableParagraph"/>
              <w:rPr>
                <w:rFonts w:ascii="Times New Roman"/>
                <w:sz w:val="2"/>
              </w:rPr>
            </w:pPr>
          </w:p>
        </w:tc>
        <w:tc>
          <w:tcPr>
            <w:tcW w:w="732" w:type="dxa"/>
            <w:vMerge w:val="restart"/>
            <w:tcBorders>
              <w:top w:val="single" w:sz="48" w:space="0" w:color="F8CBAD"/>
              <w:bottom w:val="nil"/>
            </w:tcBorders>
            <w:shd w:val="clear" w:color="auto" w:fill="FCE4D6"/>
          </w:tcPr>
          <w:p w14:paraId="2B5F243D" w14:textId="77777777" w:rsidR="00F65BCA" w:rsidRDefault="00F65BCA">
            <w:pPr>
              <w:pStyle w:val="TableParagraph"/>
              <w:rPr>
                <w:rFonts w:ascii="Times New Roman"/>
                <w:sz w:val="2"/>
              </w:rPr>
            </w:pPr>
          </w:p>
        </w:tc>
        <w:tc>
          <w:tcPr>
            <w:tcW w:w="958" w:type="dxa"/>
            <w:gridSpan w:val="2"/>
            <w:vMerge w:val="restart"/>
            <w:tcBorders>
              <w:top w:val="single" w:sz="48" w:space="0" w:color="F8CBAD"/>
              <w:bottom w:val="nil"/>
            </w:tcBorders>
            <w:shd w:val="clear" w:color="auto" w:fill="FCE4D6"/>
          </w:tcPr>
          <w:p w14:paraId="7BFE0170" w14:textId="77777777" w:rsidR="00F65BCA" w:rsidRDefault="00216117">
            <w:pPr>
              <w:pStyle w:val="TableParagraph"/>
              <w:spacing w:line="18" w:lineRule="exact"/>
              <w:ind w:left="4"/>
              <w:rPr>
                <w:sz w:val="3"/>
              </w:rPr>
            </w:pPr>
            <w:r>
              <w:rPr>
                <w:w w:val="105"/>
                <w:sz w:val="3"/>
              </w:rPr>
              <w:t>EURO CLASS; EURO STAR; EURO TECH; EURO TRAKKER;</w:t>
            </w:r>
          </w:p>
          <w:p w14:paraId="5A8A1840" w14:textId="77777777" w:rsidR="00F65BCA" w:rsidRDefault="00216117">
            <w:pPr>
              <w:pStyle w:val="TableParagraph"/>
              <w:spacing w:line="17" w:lineRule="exact"/>
              <w:ind w:left="4"/>
              <w:rPr>
                <w:sz w:val="3"/>
              </w:rPr>
            </w:pPr>
            <w:r>
              <w:rPr>
                <w:w w:val="105"/>
                <w:sz w:val="3"/>
              </w:rPr>
              <w:t>JINÉ; STRALIS; TRAKKER; TURBO STAR</w:t>
            </w:r>
          </w:p>
        </w:tc>
        <w:tc>
          <w:tcPr>
            <w:tcW w:w="576" w:type="dxa"/>
            <w:tcBorders>
              <w:top w:val="single" w:sz="48" w:space="0" w:color="F8CBAD"/>
            </w:tcBorders>
            <w:shd w:val="clear" w:color="auto" w:fill="FCE4D6"/>
          </w:tcPr>
          <w:p w14:paraId="7ED1451C" w14:textId="77777777" w:rsidR="00F65BCA" w:rsidRDefault="00216117">
            <w:pPr>
              <w:pStyle w:val="TableParagraph"/>
              <w:spacing w:line="39" w:lineRule="exact"/>
              <w:ind w:left="4"/>
              <w:jc w:val="center"/>
              <w:rPr>
                <w:sz w:val="3"/>
              </w:rPr>
            </w:pPr>
            <w:r>
              <w:rPr>
                <w:w w:val="103"/>
                <w:sz w:val="3"/>
              </w:rPr>
              <w:t>-</w:t>
            </w:r>
          </w:p>
        </w:tc>
        <w:tc>
          <w:tcPr>
            <w:tcW w:w="576" w:type="dxa"/>
            <w:tcBorders>
              <w:top w:val="single" w:sz="48" w:space="0" w:color="F8CBAD"/>
            </w:tcBorders>
            <w:shd w:val="clear" w:color="auto" w:fill="FCE4D6"/>
          </w:tcPr>
          <w:p w14:paraId="3D5538A9" w14:textId="77777777" w:rsidR="00F65BCA" w:rsidRDefault="00216117">
            <w:pPr>
              <w:pStyle w:val="TableParagraph"/>
              <w:spacing w:line="39" w:lineRule="exact"/>
              <w:ind w:left="210"/>
              <w:rPr>
                <w:sz w:val="3"/>
              </w:rPr>
            </w:pPr>
            <w:r>
              <w:rPr>
                <w:w w:val="105"/>
                <w:sz w:val="3"/>
              </w:rPr>
              <w:t>0-12000 kg</w:t>
            </w:r>
          </w:p>
        </w:tc>
        <w:tc>
          <w:tcPr>
            <w:tcW w:w="50" w:type="dxa"/>
            <w:vMerge w:val="restart"/>
            <w:tcBorders>
              <w:top w:val="nil"/>
              <w:bottom w:val="nil"/>
            </w:tcBorders>
          </w:tcPr>
          <w:p w14:paraId="096B7E0B" w14:textId="77777777" w:rsidR="00F65BCA" w:rsidRDefault="00F65BCA">
            <w:pPr>
              <w:pStyle w:val="TableParagraph"/>
              <w:rPr>
                <w:rFonts w:ascii="Times New Roman"/>
                <w:sz w:val="2"/>
              </w:rPr>
            </w:pPr>
          </w:p>
        </w:tc>
        <w:tc>
          <w:tcPr>
            <w:tcW w:w="288" w:type="dxa"/>
            <w:tcBorders>
              <w:top w:val="single" w:sz="48" w:space="0" w:color="F8CBAD"/>
            </w:tcBorders>
          </w:tcPr>
          <w:p w14:paraId="7BCF2CE1" w14:textId="77777777" w:rsidR="00F65BCA" w:rsidRDefault="00216117">
            <w:pPr>
              <w:pStyle w:val="TableParagraph"/>
              <w:spacing w:line="39" w:lineRule="exact"/>
              <w:ind w:left="24" w:right="24"/>
              <w:jc w:val="center"/>
              <w:rPr>
                <w:sz w:val="3"/>
              </w:rPr>
            </w:pPr>
            <w:r>
              <w:rPr>
                <w:w w:val="105"/>
                <w:sz w:val="3"/>
              </w:rPr>
              <w:t>2,01400000%</w:t>
            </w:r>
          </w:p>
        </w:tc>
        <w:tc>
          <w:tcPr>
            <w:tcW w:w="288" w:type="dxa"/>
            <w:tcBorders>
              <w:top w:val="single" w:sz="48" w:space="0" w:color="F8CBAD"/>
            </w:tcBorders>
          </w:tcPr>
          <w:p w14:paraId="55F9BF7B" w14:textId="77777777" w:rsidR="00F65BCA" w:rsidRDefault="00216117">
            <w:pPr>
              <w:pStyle w:val="TableParagraph"/>
              <w:spacing w:line="39" w:lineRule="exact"/>
              <w:ind w:left="24" w:right="24"/>
              <w:jc w:val="center"/>
              <w:rPr>
                <w:sz w:val="3"/>
              </w:rPr>
            </w:pPr>
            <w:r>
              <w:rPr>
                <w:w w:val="105"/>
                <w:sz w:val="3"/>
              </w:rPr>
              <w:t>1,80200000%</w:t>
            </w:r>
          </w:p>
        </w:tc>
        <w:tc>
          <w:tcPr>
            <w:tcW w:w="288" w:type="dxa"/>
            <w:tcBorders>
              <w:top w:val="single" w:sz="48" w:space="0" w:color="F8CBAD"/>
            </w:tcBorders>
          </w:tcPr>
          <w:p w14:paraId="6933A261" w14:textId="77777777" w:rsidR="00F65BCA" w:rsidRDefault="00216117">
            <w:pPr>
              <w:pStyle w:val="TableParagraph"/>
              <w:spacing w:line="39" w:lineRule="exact"/>
              <w:ind w:left="47"/>
              <w:rPr>
                <w:sz w:val="3"/>
              </w:rPr>
            </w:pPr>
            <w:r>
              <w:rPr>
                <w:w w:val="105"/>
                <w:sz w:val="3"/>
              </w:rPr>
              <w:t>1,80200000%</w:t>
            </w:r>
          </w:p>
        </w:tc>
        <w:tc>
          <w:tcPr>
            <w:tcW w:w="288" w:type="dxa"/>
            <w:tcBorders>
              <w:top w:val="single" w:sz="48" w:space="0" w:color="F8CBAD"/>
            </w:tcBorders>
          </w:tcPr>
          <w:p w14:paraId="7CE95520" w14:textId="77777777" w:rsidR="00F65BCA" w:rsidRDefault="00216117">
            <w:pPr>
              <w:pStyle w:val="TableParagraph"/>
              <w:spacing w:line="39" w:lineRule="exact"/>
              <w:ind w:left="24" w:right="24"/>
              <w:jc w:val="center"/>
              <w:rPr>
                <w:sz w:val="3"/>
              </w:rPr>
            </w:pPr>
            <w:r>
              <w:rPr>
                <w:w w:val="105"/>
                <w:sz w:val="3"/>
              </w:rPr>
              <w:t>1,64300000%</w:t>
            </w:r>
          </w:p>
        </w:tc>
        <w:tc>
          <w:tcPr>
            <w:tcW w:w="288" w:type="dxa"/>
            <w:tcBorders>
              <w:top w:val="single" w:sz="48" w:space="0" w:color="F8CBAD"/>
            </w:tcBorders>
          </w:tcPr>
          <w:p w14:paraId="1E73B06D" w14:textId="77777777" w:rsidR="00F65BCA" w:rsidRDefault="00216117">
            <w:pPr>
              <w:pStyle w:val="TableParagraph"/>
              <w:spacing w:line="39" w:lineRule="exact"/>
              <w:ind w:left="47"/>
              <w:rPr>
                <w:sz w:val="3"/>
              </w:rPr>
            </w:pPr>
            <w:r>
              <w:rPr>
                <w:w w:val="105"/>
                <w:sz w:val="3"/>
              </w:rPr>
              <w:t>1,64300000%</w:t>
            </w:r>
          </w:p>
        </w:tc>
        <w:tc>
          <w:tcPr>
            <w:tcW w:w="288" w:type="dxa"/>
            <w:tcBorders>
              <w:top w:val="single" w:sz="48" w:space="0" w:color="F8CBAD"/>
            </w:tcBorders>
          </w:tcPr>
          <w:p w14:paraId="57440C8E" w14:textId="77777777" w:rsidR="00F65BCA" w:rsidRDefault="00216117">
            <w:pPr>
              <w:pStyle w:val="TableParagraph"/>
              <w:spacing w:line="39" w:lineRule="exact"/>
              <w:ind w:left="24" w:right="24"/>
              <w:jc w:val="center"/>
              <w:rPr>
                <w:sz w:val="3"/>
              </w:rPr>
            </w:pPr>
            <w:r>
              <w:rPr>
                <w:w w:val="105"/>
                <w:sz w:val="3"/>
              </w:rPr>
              <w:t>1,48400000%</w:t>
            </w:r>
          </w:p>
        </w:tc>
        <w:tc>
          <w:tcPr>
            <w:tcW w:w="288" w:type="dxa"/>
            <w:tcBorders>
              <w:top w:val="single" w:sz="48" w:space="0" w:color="F8CBAD"/>
            </w:tcBorders>
          </w:tcPr>
          <w:p w14:paraId="68A27DF3" w14:textId="77777777" w:rsidR="00F65BCA" w:rsidRDefault="00216117">
            <w:pPr>
              <w:pStyle w:val="TableParagraph"/>
              <w:spacing w:line="39" w:lineRule="exact"/>
              <w:ind w:left="24" w:right="24"/>
              <w:jc w:val="center"/>
              <w:rPr>
                <w:sz w:val="3"/>
              </w:rPr>
            </w:pPr>
            <w:r>
              <w:rPr>
                <w:w w:val="105"/>
                <w:sz w:val="3"/>
              </w:rPr>
              <w:t>1,48400000%</w:t>
            </w:r>
          </w:p>
        </w:tc>
        <w:tc>
          <w:tcPr>
            <w:tcW w:w="288" w:type="dxa"/>
            <w:tcBorders>
              <w:top w:val="single" w:sz="48" w:space="0" w:color="F8CBAD"/>
            </w:tcBorders>
          </w:tcPr>
          <w:p w14:paraId="3CC6AF5D" w14:textId="77777777" w:rsidR="00F65BCA" w:rsidRDefault="00216117">
            <w:pPr>
              <w:pStyle w:val="TableParagraph"/>
              <w:spacing w:line="39" w:lineRule="exact"/>
              <w:ind w:left="47"/>
              <w:rPr>
                <w:sz w:val="3"/>
              </w:rPr>
            </w:pPr>
            <w:r>
              <w:rPr>
                <w:w w:val="105"/>
                <w:sz w:val="3"/>
              </w:rPr>
              <w:t>1,32500000%</w:t>
            </w:r>
          </w:p>
        </w:tc>
        <w:tc>
          <w:tcPr>
            <w:tcW w:w="288" w:type="dxa"/>
            <w:tcBorders>
              <w:top w:val="single" w:sz="48" w:space="0" w:color="F8CBAD"/>
            </w:tcBorders>
          </w:tcPr>
          <w:p w14:paraId="2D4265B1" w14:textId="77777777" w:rsidR="00F65BCA" w:rsidRDefault="00216117">
            <w:pPr>
              <w:pStyle w:val="TableParagraph"/>
              <w:spacing w:line="39" w:lineRule="exact"/>
              <w:ind w:left="24" w:right="24"/>
              <w:jc w:val="center"/>
              <w:rPr>
                <w:sz w:val="3"/>
              </w:rPr>
            </w:pPr>
            <w:r>
              <w:rPr>
                <w:w w:val="105"/>
                <w:sz w:val="3"/>
              </w:rPr>
              <w:t>1,32500000%</w:t>
            </w:r>
          </w:p>
        </w:tc>
        <w:tc>
          <w:tcPr>
            <w:tcW w:w="288" w:type="dxa"/>
            <w:tcBorders>
              <w:top w:val="single" w:sz="48" w:space="0" w:color="F8CBAD"/>
            </w:tcBorders>
          </w:tcPr>
          <w:p w14:paraId="67440825" w14:textId="77777777" w:rsidR="00F65BCA" w:rsidRDefault="00216117">
            <w:pPr>
              <w:pStyle w:val="TableParagraph"/>
              <w:spacing w:line="39" w:lineRule="exact"/>
              <w:ind w:left="24" w:right="24"/>
              <w:jc w:val="center"/>
              <w:rPr>
                <w:sz w:val="3"/>
              </w:rPr>
            </w:pPr>
            <w:r>
              <w:rPr>
                <w:w w:val="105"/>
                <w:sz w:val="3"/>
              </w:rPr>
              <w:t>1,21900000%</w:t>
            </w:r>
          </w:p>
        </w:tc>
        <w:tc>
          <w:tcPr>
            <w:tcW w:w="288" w:type="dxa"/>
            <w:tcBorders>
              <w:top w:val="single" w:sz="48" w:space="0" w:color="F8CBAD"/>
            </w:tcBorders>
          </w:tcPr>
          <w:p w14:paraId="37F97345" w14:textId="77777777" w:rsidR="00F65BCA" w:rsidRDefault="00216117">
            <w:pPr>
              <w:pStyle w:val="TableParagraph"/>
              <w:spacing w:line="39" w:lineRule="exact"/>
              <w:ind w:left="24" w:right="24"/>
              <w:jc w:val="center"/>
              <w:rPr>
                <w:sz w:val="3"/>
              </w:rPr>
            </w:pPr>
            <w:r>
              <w:rPr>
                <w:w w:val="105"/>
                <w:sz w:val="3"/>
              </w:rPr>
              <w:t>1,16600000%</w:t>
            </w:r>
          </w:p>
        </w:tc>
        <w:tc>
          <w:tcPr>
            <w:tcW w:w="288" w:type="dxa"/>
            <w:tcBorders>
              <w:top w:val="single" w:sz="48" w:space="0" w:color="F8CBAD"/>
            </w:tcBorders>
          </w:tcPr>
          <w:p w14:paraId="77C7F342" w14:textId="77777777" w:rsidR="00F65BCA" w:rsidRDefault="00216117">
            <w:pPr>
              <w:pStyle w:val="TableParagraph"/>
              <w:spacing w:line="39" w:lineRule="exact"/>
              <w:ind w:left="24" w:right="24"/>
              <w:jc w:val="center"/>
              <w:rPr>
                <w:sz w:val="3"/>
              </w:rPr>
            </w:pPr>
            <w:r>
              <w:rPr>
                <w:w w:val="105"/>
                <w:sz w:val="3"/>
              </w:rPr>
              <w:t>1,06000000%</w:t>
            </w:r>
          </w:p>
        </w:tc>
        <w:tc>
          <w:tcPr>
            <w:tcW w:w="288" w:type="dxa"/>
            <w:tcBorders>
              <w:top w:val="single" w:sz="48" w:space="0" w:color="F8CBAD"/>
            </w:tcBorders>
          </w:tcPr>
          <w:p w14:paraId="4CCC18F9" w14:textId="77777777" w:rsidR="00F65BCA" w:rsidRDefault="00216117">
            <w:pPr>
              <w:pStyle w:val="TableParagraph"/>
              <w:spacing w:line="39" w:lineRule="exact"/>
              <w:ind w:left="47"/>
              <w:rPr>
                <w:sz w:val="3"/>
              </w:rPr>
            </w:pPr>
            <w:r>
              <w:rPr>
                <w:w w:val="105"/>
                <w:sz w:val="3"/>
              </w:rPr>
              <w:t>1,06000000%</w:t>
            </w:r>
          </w:p>
        </w:tc>
      </w:tr>
      <w:tr w:rsidR="00F65BCA" w14:paraId="621E26E5" w14:textId="77777777">
        <w:trPr>
          <w:trHeight w:val="47"/>
        </w:trPr>
        <w:tc>
          <w:tcPr>
            <w:tcW w:w="526" w:type="dxa"/>
            <w:vMerge/>
            <w:tcBorders>
              <w:top w:val="nil"/>
              <w:bottom w:val="nil"/>
            </w:tcBorders>
            <w:shd w:val="clear" w:color="auto" w:fill="FCE4D6"/>
          </w:tcPr>
          <w:p w14:paraId="4E7EE68F" w14:textId="77777777" w:rsidR="00F65BCA" w:rsidRDefault="00F65BCA">
            <w:pPr>
              <w:rPr>
                <w:sz w:val="2"/>
                <w:szCs w:val="2"/>
              </w:rPr>
            </w:pPr>
          </w:p>
        </w:tc>
        <w:tc>
          <w:tcPr>
            <w:tcW w:w="732" w:type="dxa"/>
            <w:vMerge/>
            <w:tcBorders>
              <w:top w:val="nil"/>
              <w:bottom w:val="nil"/>
            </w:tcBorders>
            <w:shd w:val="clear" w:color="auto" w:fill="FCE4D6"/>
          </w:tcPr>
          <w:p w14:paraId="755FE239" w14:textId="77777777" w:rsidR="00F65BCA" w:rsidRDefault="00F65BCA">
            <w:pPr>
              <w:rPr>
                <w:sz w:val="2"/>
                <w:szCs w:val="2"/>
              </w:rPr>
            </w:pPr>
          </w:p>
        </w:tc>
        <w:tc>
          <w:tcPr>
            <w:tcW w:w="958" w:type="dxa"/>
            <w:gridSpan w:val="2"/>
            <w:vMerge/>
            <w:tcBorders>
              <w:top w:val="nil"/>
              <w:bottom w:val="nil"/>
            </w:tcBorders>
            <w:shd w:val="clear" w:color="auto" w:fill="FCE4D6"/>
          </w:tcPr>
          <w:p w14:paraId="7A76A295" w14:textId="77777777" w:rsidR="00F65BCA" w:rsidRDefault="00F65BCA">
            <w:pPr>
              <w:rPr>
                <w:sz w:val="2"/>
                <w:szCs w:val="2"/>
              </w:rPr>
            </w:pPr>
          </w:p>
        </w:tc>
        <w:tc>
          <w:tcPr>
            <w:tcW w:w="576" w:type="dxa"/>
            <w:vMerge w:val="restart"/>
            <w:shd w:val="clear" w:color="auto" w:fill="FCE4D6"/>
          </w:tcPr>
          <w:p w14:paraId="34483454" w14:textId="77777777" w:rsidR="00F65BCA" w:rsidRDefault="00216117">
            <w:pPr>
              <w:pStyle w:val="TableParagraph"/>
              <w:spacing w:line="2" w:lineRule="exact"/>
              <w:ind w:left="4"/>
              <w:jc w:val="center"/>
              <w:rPr>
                <w:sz w:val="3"/>
              </w:rPr>
            </w:pPr>
            <w:r>
              <w:rPr>
                <w:w w:val="103"/>
                <w:sz w:val="3"/>
              </w:rPr>
              <w:t>-</w:t>
            </w:r>
          </w:p>
        </w:tc>
        <w:tc>
          <w:tcPr>
            <w:tcW w:w="576" w:type="dxa"/>
            <w:vMerge w:val="restart"/>
            <w:shd w:val="clear" w:color="auto" w:fill="FCE4D6"/>
          </w:tcPr>
          <w:p w14:paraId="510C3A47" w14:textId="77777777" w:rsidR="00F65BCA" w:rsidRDefault="00216117">
            <w:pPr>
              <w:pStyle w:val="TableParagraph"/>
              <w:spacing w:line="2" w:lineRule="exact"/>
              <w:ind w:left="129" w:right="128"/>
              <w:jc w:val="center"/>
              <w:rPr>
                <w:sz w:val="3"/>
              </w:rPr>
            </w:pPr>
            <w:r>
              <w:rPr>
                <w:w w:val="105"/>
                <w:sz w:val="3"/>
              </w:rPr>
              <w:t>&gt;12000 kg</w:t>
            </w:r>
          </w:p>
        </w:tc>
        <w:tc>
          <w:tcPr>
            <w:tcW w:w="50" w:type="dxa"/>
            <w:vMerge/>
            <w:tcBorders>
              <w:top w:val="nil"/>
              <w:bottom w:val="nil"/>
            </w:tcBorders>
          </w:tcPr>
          <w:p w14:paraId="5D24A5BC" w14:textId="77777777" w:rsidR="00F65BCA" w:rsidRDefault="00F65BCA">
            <w:pPr>
              <w:rPr>
                <w:sz w:val="2"/>
                <w:szCs w:val="2"/>
              </w:rPr>
            </w:pPr>
          </w:p>
        </w:tc>
        <w:tc>
          <w:tcPr>
            <w:tcW w:w="288" w:type="dxa"/>
            <w:vMerge w:val="restart"/>
          </w:tcPr>
          <w:p w14:paraId="61F7055F" w14:textId="77777777" w:rsidR="00F65BCA" w:rsidRDefault="00216117">
            <w:pPr>
              <w:pStyle w:val="TableParagraph"/>
              <w:spacing w:line="2" w:lineRule="exact"/>
              <w:ind w:left="47"/>
              <w:rPr>
                <w:sz w:val="3"/>
              </w:rPr>
            </w:pPr>
            <w:r>
              <w:rPr>
                <w:w w:val="105"/>
                <w:sz w:val="3"/>
              </w:rPr>
              <w:t>2,48729000%</w:t>
            </w:r>
          </w:p>
        </w:tc>
        <w:tc>
          <w:tcPr>
            <w:tcW w:w="288" w:type="dxa"/>
            <w:vMerge w:val="restart"/>
          </w:tcPr>
          <w:p w14:paraId="5C95F2D0" w14:textId="77777777" w:rsidR="00F65BCA" w:rsidRDefault="00216117">
            <w:pPr>
              <w:pStyle w:val="TableParagraph"/>
              <w:spacing w:line="2" w:lineRule="exact"/>
              <w:ind w:left="47"/>
              <w:rPr>
                <w:sz w:val="3"/>
              </w:rPr>
            </w:pPr>
            <w:r>
              <w:rPr>
                <w:w w:val="105"/>
                <w:sz w:val="3"/>
              </w:rPr>
              <w:t>2,22547000%</w:t>
            </w:r>
          </w:p>
        </w:tc>
        <w:tc>
          <w:tcPr>
            <w:tcW w:w="288" w:type="dxa"/>
            <w:vMerge w:val="restart"/>
          </w:tcPr>
          <w:p w14:paraId="7F910594" w14:textId="77777777" w:rsidR="00F65BCA" w:rsidRDefault="00216117">
            <w:pPr>
              <w:pStyle w:val="TableParagraph"/>
              <w:spacing w:line="2" w:lineRule="exact"/>
              <w:ind w:left="47"/>
              <w:rPr>
                <w:sz w:val="3"/>
              </w:rPr>
            </w:pPr>
            <w:r>
              <w:rPr>
                <w:w w:val="105"/>
                <w:sz w:val="3"/>
              </w:rPr>
              <w:t>2,22547000%</w:t>
            </w:r>
          </w:p>
        </w:tc>
        <w:tc>
          <w:tcPr>
            <w:tcW w:w="288" w:type="dxa"/>
            <w:vMerge w:val="restart"/>
          </w:tcPr>
          <w:p w14:paraId="798FEDCE" w14:textId="77777777" w:rsidR="00F65BCA" w:rsidRDefault="00216117">
            <w:pPr>
              <w:pStyle w:val="TableParagraph"/>
              <w:spacing w:line="2" w:lineRule="exact"/>
              <w:ind w:left="47"/>
              <w:rPr>
                <w:sz w:val="3"/>
              </w:rPr>
            </w:pPr>
            <w:r>
              <w:rPr>
                <w:w w:val="105"/>
                <w:sz w:val="3"/>
              </w:rPr>
              <w:t>2,02910500%</w:t>
            </w:r>
          </w:p>
        </w:tc>
        <w:tc>
          <w:tcPr>
            <w:tcW w:w="288" w:type="dxa"/>
            <w:vMerge w:val="restart"/>
          </w:tcPr>
          <w:p w14:paraId="21A2FF89" w14:textId="77777777" w:rsidR="00F65BCA" w:rsidRDefault="00216117">
            <w:pPr>
              <w:pStyle w:val="TableParagraph"/>
              <w:spacing w:line="2" w:lineRule="exact"/>
              <w:ind w:left="47"/>
              <w:rPr>
                <w:sz w:val="3"/>
              </w:rPr>
            </w:pPr>
            <w:r>
              <w:rPr>
                <w:w w:val="105"/>
                <w:sz w:val="3"/>
              </w:rPr>
              <w:t>2,02910500%</w:t>
            </w:r>
          </w:p>
        </w:tc>
        <w:tc>
          <w:tcPr>
            <w:tcW w:w="288" w:type="dxa"/>
            <w:vMerge w:val="restart"/>
          </w:tcPr>
          <w:p w14:paraId="0531DC73" w14:textId="77777777" w:rsidR="00F65BCA" w:rsidRDefault="00216117">
            <w:pPr>
              <w:pStyle w:val="TableParagraph"/>
              <w:spacing w:line="2" w:lineRule="exact"/>
              <w:ind w:left="47"/>
              <w:rPr>
                <w:sz w:val="3"/>
              </w:rPr>
            </w:pPr>
            <w:r>
              <w:rPr>
                <w:w w:val="105"/>
                <w:sz w:val="3"/>
              </w:rPr>
              <w:t>1,83274000%</w:t>
            </w:r>
          </w:p>
        </w:tc>
        <w:tc>
          <w:tcPr>
            <w:tcW w:w="288" w:type="dxa"/>
            <w:vMerge w:val="restart"/>
          </w:tcPr>
          <w:p w14:paraId="64E2EBA9" w14:textId="77777777" w:rsidR="00F65BCA" w:rsidRDefault="00216117">
            <w:pPr>
              <w:pStyle w:val="TableParagraph"/>
              <w:spacing w:line="2" w:lineRule="exact"/>
              <w:ind w:left="47"/>
              <w:rPr>
                <w:sz w:val="3"/>
              </w:rPr>
            </w:pPr>
            <w:r>
              <w:rPr>
                <w:w w:val="105"/>
                <w:sz w:val="3"/>
              </w:rPr>
              <w:t>1,83274000%</w:t>
            </w:r>
          </w:p>
        </w:tc>
        <w:tc>
          <w:tcPr>
            <w:tcW w:w="288" w:type="dxa"/>
            <w:vMerge w:val="restart"/>
          </w:tcPr>
          <w:p w14:paraId="7077A1F6" w14:textId="77777777" w:rsidR="00F65BCA" w:rsidRDefault="00216117">
            <w:pPr>
              <w:pStyle w:val="TableParagraph"/>
              <w:spacing w:line="2" w:lineRule="exact"/>
              <w:ind w:left="47"/>
              <w:rPr>
                <w:sz w:val="3"/>
              </w:rPr>
            </w:pPr>
            <w:r>
              <w:rPr>
                <w:w w:val="105"/>
                <w:sz w:val="3"/>
              </w:rPr>
              <w:t>1,63637500%</w:t>
            </w:r>
          </w:p>
        </w:tc>
        <w:tc>
          <w:tcPr>
            <w:tcW w:w="288" w:type="dxa"/>
            <w:vMerge w:val="restart"/>
          </w:tcPr>
          <w:p w14:paraId="388D45F7" w14:textId="77777777" w:rsidR="00F65BCA" w:rsidRDefault="00216117">
            <w:pPr>
              <w:pStyle w:val="TableParagraph"/>
              <w:spacing w:line="2" w:lineRule="exact"/>
              <w:ind w:left="47"/>
              <w:rPr>
                <w:sz w:val="3"/>
              </w:rPr>
            </w:pPr>
            <w:r>
              <w:rPr>
                <w:w w:val="105"/>
                <w:sz w:val="3"/>
              </w:rPr>
              <w:t>1,63637500%</w:t>
            </w:r>
          </w:p>
        </w:tc>
        <w:tc>
          <w:tcPr>
            <w:tcW w:w="288" w:type="dxa"/>
            <w:vMerge w:val="restart"/>
          </w:tcPr>
          <w:p w14:paraId="1EC1E847" w14:textId="77777777" w:rsidR="00F65BCA" w:rsidRDefault="00216117">
            <w:pPr>
              <w:pStyle w:val="TableParagraph"/>
              <w:spacing w:line="2" w:lineRule="exact"/>
              <w:ind w:left="47"/>
              <w:rPr>
                <w:sz w:val="3"/>
              </w:rPr>
            </w:pPr>
            <w:r>
              <w:rPr>
                <w:w w:val="105"/>
                <w:sz w:val="3"/>
              </w:rPr>
              <w:t>1,50546500%</w:t>
            </w:r>
          </w:p>
        </w:tc>
        <w:tc>
          <w:tcPr>
            <w:tcW w:w="288" w:type="dxa"/>
            <w:vMerge w:val="restart"/>
          </w:tcPr>
          <w:p w14:paraId="0FF8B394" w14:textId="77777777" w:rsidR="00F65BCA" w:rsidRDefault="00216117">
            <w:pPr>
              <w:pStyle w:val="TableParagraph"/>
              <w:spacing w:line="2" w:lineRule="exact"/>
              <w:ind w:left="47"/>
              <w:rPr>
                <w:sz w:val="3"/>
              </w:rPr>
            </w:pPr>
            <w:r>
              <w:rPr>
                <w:w w:val="105"/>
                <w:sz w:val="3"/>
              </w:rPr>
              <w:t>1,44001000%</w:t>
            </w:r>
          </w:p>
        </w:tc>
        <w:tc>
          <w:tcPr>
            <w:tcW w:w="288" w:type="dxa"/>
            <w:vMerge w:val="restart"/>
          </w:tcPr>
          <w:p w14:paraId="530DE8B1" w14:textId="77777777" w:rsidR="00F65BCA" w:rsidRDefault="00216117">
            <w:pPr>
              <w:pStyle w:val="TableParagraph"/>
              <w:spacing w:line="2" w:lineRule="exact"/>
              <w:ind w:left="47"/>
              <w:rPr>
                <w:sz w:val="3"/>
              </w:rPr>
            </w:pPr>
            <w:r>
              <w:rPr>
                <w:w w:val="105"/>
                <w:sz w:val="3"/>
              </w:rPr>
              <w:t>1,30910000%</w:t>
            </w:r>
          </w:p>
        </w:tc>
        <w:tc>
          <w:tcPr>
            <w:tcW w:w="288" w:type="dxa"/>
            <w:vMerge w:val="restart"/>
          </w:tcPr>
          <w:p w14:paraId="57A4A36B" w14:textId="77777777" w:rsidR="00F65BCA" w:rsidRDefault="00216117">
            <w:pPr>
              <w:pStyle w:val="TableParagraph"/>
              <w:spacing w:line="2" w:lineRule="exact"/>
              <w:ind w:left="47"/>
              <w:rPr>
                <w:sz w:val="3"/>
              </w:rPr>
            </w:pPr>
            <w:r>
              <w:rPr>
                <w:w w:val="105"/>
                <w:sz w:val="3"/>
              </w:rPr>
              <w:t>1,30910000%</w:t>
            </w:r>
          </w:p>
        </w:tc>
      </w:tr>
      <w:tr w:rsidR="00F65BCA" w14:paraId="5898692F" w14:textId="77777777">
        <w:trPr>
          <w:trHeight w:val="28"/>
        </w:trPr>
        <w:tc>
          <w:tcPr>
            <w:tcW w:w="526" w:type="dxa"/>
            <w:vMerge w:val="restart"/>
            <w:tcBorders>
              <w:top w:val="nil"/>
              <w:bottom w:val="nil"/>
            </w:tcBorders>
            <w:shd w:val="clear" w:color="auto" w:fill="FCE4D6"/>
          </w:tcPr>
          <w:p w14:paraId="39C71607" w14:textId="77777777" w:rsidR="00F65BCA" w:rsidRDefault="00F65BCA">
            <w:pPr>
              <w:pStyle w:val="TableParagraph"/>
              <w:rPr>
                <w:rFonts w:ascii="Times New Roman"/>
                <w:sz w:val="2"/>
              </w:rPr>
            </w:pPr>
          </w:p>
        </w:tc>
        <w:tc>
          <w:tcPr>
            <w:tcW w:w="732" w:type="dxa"/>
            <w:vMerge w:val="restart"/>
            <w:tcBorders>
              <w:top w:val="nil"/>
              <w:bottom w:val="nil"/>
            </w:tcBorders>
            <w:shd w:val="clear" w:color="auto" w:fill="FCE4D6"/>
          </w:tcPr>
          <w:p w14:paraId="25A4E788" w14:textId="77777777" w:rsidR="00F65BCA" w:rsidRDefault="00216117">
            <w:pPr>
              <w:pStyle w:val="TableParagraph"/>
              <w:spacing w:before="13" w:line="27" w:lineRule="exact"/>
              <w:ind w:left="18" w:right="14"/>
              <w:jc w:val="center"/>
              <w:rPr>
                <w:sz w:val="3"/>
              </w:rPr>
            </w:pPr>
            <w:r>
              <w:rPr>
                <w:w w:val="105"/>
                <w:sz w:val="3"/>
              </w:rPr>
              <w:t>Iveco</w:t>
            </w:r>
          </w:p>
        </w:tc>
        <w:tc>
          <w:tcPr>
            <w:tcW w:w="958" w:type="dxa"/>
            <w:gridSpan w:val="2"/>
            <w:tcBorders>
              <w:top w:val="nil"/>
            </w:tcBorders>
            <w:shd w:val="clear" w:color="auto" w:fill="FCE4D6"/>
          </w:tcPr>
          <w:p w14:paraId="42530FD8" w14:textId="77777777" w:rsidR="00F65BCA" w:rsidRDefault="00F65BCA">
            <w:pPr>
              <w:pStyle w:val="TableParagraph"/>
              <w:rPr>
                <w:rFonts w:ascii="Times New Roman"/>
                <w:sz w:val="2"/>
              </w:rPr>
            </w:pPr>
          </w:p>
        </w:tc>
        <w:tc>
          <w:tcPr>
            <w:tcW w:w="576" w:type="dxa"/>
            <w:vMerge/>
            <w:tcBorders>
              <w:top w:val="nil"/>
            </w:tcBorders>
            <w:shd w:val="clear" w:color="auto" w:fill="FCE4D6"/>
          </w:tcPr>
          <w:p w14:paraId="0793973B" w14:textId="77777777" w:rsidR="00F65BCA" w:rsidRDefault="00F65BCA">
            <w:pPr>
              <w:rPr>
                <w:sz w:val="2"/>
                <w:szCs w:val="2"/>
              </w:rPr>
            </w:pPr>
          </w:p>
        </w:tc>
        <w:tc>
          <w:tcPr>
            <w:tcW w:w="576" w:type="dxa"/>
            <w:vMerge/>
            <w:tcBorders>
              <w:top w:val="nil"/>
            </w:tcBorders>
            <w:shd w:val="clear" w:color="auto" w:fill="FCE4D6"/>
          </w:tcPr>
          <w:p w14:paraId="441D6A08" w14:textId="77777777" w:rsidR="00F65BCA" w:rsidRDefault="00F65BCA">
            <w:pPr>
              <w:rPr>
                <w:sz w:val="2"/>
                <w:szCs w:val="2"/>
              </w:rPr>
            </w:pPr>
          </w:p>
        </w:tc>
        <w:tc>
          <w:tcPr>
            <w:tcW w:w="50" w:type="dxa"/>
            <w:vMerge/>
            <w:tcBorders>
              <w:top w:val="nil"/>
              <w:bottom w:val="nil"/>
            </w:tcBorders>
          </w:tcPr>
          <w:p w14:paraId="37798634" w14:textId="77777777" w:rsidR="00F65BCA" w:rsidRDefault="00F65BCA">
            <w:pPr>
              <w:rPr>
                <w:sz w:val="2"/>
                <w:szCs w:val="2"/>
              </w:rPr>
            </w:pPr>
          </w:p>
        </w:tc>
        <w:tc>
          <w:tcPr>
            <w:tcW w:w="288" w:type="dxa"/>
            <w:vMerge/>
            <w:tcBorders>
              <w:top w:val="nil"/>
            </w:tcBorders>
          </w:tcPr>
          <w:p w14:paraId="4C1E55CD" w14:textId="77777777" w:rsidR="00F65BCA" w:rsidRDefault="00F65BCA">
            <w:pPr>
              <w:rPr>
                <w:sz w:val="2"/>
                <w:szCs w:val="2"/>
              </w:rPr>
            </w:pPr>
          </w:p>
        </w:tc>
        <w:tc>
          <w:tcPr>
            <w:tcW w:w="288" w:type="dxa"/>
            <w:vMerge/>
            <w:tcBorders>
              <w:top w:val="nil"/>
            </w:tcBorders>
          </w:tcPr>
          <w:p w14:paraId="42CE7C4E" w14:textId="77777777" w:rsidR="00F65BCA" w:rsidRDefault="00F65BCA">
            <w:pPr>
              <w:rPr>
                <w:sz w:val="2"/>
                <w:szCs w:val="2"/>
              </w:rPr>
            </w:pPr>
          </w:p>
        </w:tc>
        <w:tc>
          <w:tcPr>
            <w:tcW w:w="288" w:type="dxa"/>
            <w:vMerge/>
            <w:tcBorders>
              <w:top w:val="nil"/>
            </w:tcBorders>
          </w:tcPr>
          <w:p w14:paraId="06838638" w14:textId="77777777" w:rsidR="00F65BCA" w:rsidRDefault="00F65BCA">
            <w:pPr>
              <w:rPr>
                <w:sz w:val="2"/>
                <w:szCs w:val="2"/>
              </w:rPr>
            </w:pPr>
          </w:p>
        </w:tc>
        <w:tc>
          <w:tcPr>
            <w:tcW w:w="288" w:type="dxa"/>
            <w:vMerge/>
            <w:tcBorders>
              <w:top w:val="nil"/>
            </w:tcBorders>
          </w:tcPr>
          <w:p w14:paraId="7EC0C990" w14:textId="77777777" w:rsidR="00F65BCA" w:rsidRDefault="00F65BCA">
            <w:pPr>
              <w:rPr>
                <w:sz w:val="2"/>
                <w:szCs w:val="2"/>
              </w:rPr>
            </w:pPr>
          </w:p>
        </w:tc>
        <w:tc>
          <w:tcPr>
            <w:tcW w:w="288" w:type="dxa"/>
            <w:vMerge/>
            <w:tcBorders>
              <w:top w:val="nil"/>
            </w:tcBorders>
          </w:tcPr>
          <w:p w14:paraId="4501947F" w14:textId="77777777" w:rsidR="00F65BCA" w:rsidRDefault="00F65BCA">
            <w:pPr>
              <w:rPr>
                <w:sz w:val="2"/>
                <w:szCs w:val="2"/>
              </w:rPr>
            </w:pPr>
          </w:p>
        </w:tc>
        <w:tc>
          <w:tcPr>
            <w:tcW w:w="288" w:type="dxa"/>
            <w:vMerge/>
            <w:tcBorders>
              <w:top w:val="nil"/>
            </w:tcBorders>
          </w:tcPr>
          <w:p w14:paraId="68AA974A" w14:textId="77777777" w:rsidR="00F65BCA" w:rsidRDefault="00F65BCA">
            <w:pPr>
              <w:rPr>
                <w:sz w:val="2"/>
                <w:szCs w:val="2"/>
              </w:rPr>
            </w:pPr>
          </w:p>
        </w:tc>
        <w:tc>
          <w:tcPr>
            <w:tcW w:w="288" w:type="dxa"/>
            <w:vMerge/>
            <w:tcBorders>
              <w:top w:val="nil"/>
            </w:tcBorders>
          </w:tcPr>
          <w:p w14:paraId="737AD2D6" w14:textId="77777777" w:rsidR="00F65BCA" w:rsidRDefault="00F65BCA">
            <w:pPr>
              <w:rPr>
                <w:sz w:val="2"/>
                <w:szCs w:val="2"/>
              </w:rPr>
            </w:pPr>
          </w:p>
        </w:tc>
        <w:tc>
          <w:tcPr>
            <w:tcW w:w="288" w:type="dxa"/>
            <w:vMerge/>
            <w:tcBorders>
              <w:top w:val="nil"/>
            </w:tcBorders>
          </w:tcPr>
          <w:p w14:paraId="49F75D98" w14:textId="77777777" w:rsidR="00F65BCA" w:rsidRDefault="00F65BCA">
            <w:pPr>
              <w:rPr>
                <w:sz w:val="2"/>
                <w:szCs w:val="2"/>
              </w:rPr>
            </w:pPr>
          </w:p>
        </w:tc>
        <w:tc>
          <w:tcPr>
            <w:tcW w:w="288" w:type="dxa"/>
            <w:vMerge/>
            <w:tcBorders>
              <w:top w:val="nil"/>
            </w:tcBorders>
          </w:tcPr>
          <w:p w14:paraId="31CE61D1" w14:textId="77777777" w:rsidR="00F65BCA" w:rsidRDefault="00F65BCA">
            <w:pPr>
              <w:rPr>
                <w:sz w:val="2"/>
                <w:szCs w:val="2"/>
              </w:rPr>
            </w:pPr>
          </w:p>
        </w:tc>
        <w:tc>
          <w:tcPr>
            <w:tcW w:w="288" w:type="dxa"/>
            <w:vMerge/>
            <w:tcBorders>
              <w:top w:val="nil"/>
            </w:tcBorders>
          </w:tcPr>
          <w:p w14:paraId="558B6159" w14:textId="77777777" w:rsidR="00F65BCA" w:rsidRDefault="00F65BCA">
            <w:pPr>
              <w:rPr>
                <w:sz w:val="2"/>
                <w:szCs w:val="2"/>
              </w:rPr>
            </w:pPr>
          </w:p>
        </w:tc>
        <w:tc>
          <w:tcPr>
            <w:tcW w:w="288" w:type="dxa"/>
            <w:vMerge/>
            <w:tcBorders>
              <w:top w:val="nil"/>
            </w:tcBorders>
          </w:tcPr>
          <w:p w14:paraId="5F2265AD" w14:textId="77777777" w:rsidR="00F65BCA" w:rsidRDefault="00F65BCA">
            <w:pPr>
              <w:rPr>
                <w:sz w:val="2"/>
                <w:szCs w:val="2"/>
              </w:rPr>
            </w:pPr>
          </w:p>
        </w:tc>
        <w:tc>
          <w:tcPr>
            <w:tcW w:w="288" w:type="dxa"/>
            <w:vMerge/>
            <w:tcBorders>
              <w:top w:val="nil"/>
            </w:tcBorders>
          </w:tcPr>
          <w:p w14:paraId="45A38F97" w14:textId="77777777" w:rsidR="00F65BCA" w:rsidRDefault="00F65BCA">
            <w:pPr>
              <w:rPr>
                <w:sz w:val="2"/>
                <w:szCs w:val="2"/>
              </w:rPr>
            </w:pPr>
          </w:p>
        </w:tc>
        <w:tc>
          <w:tcPr>
            <w:tcW w:w="288" w:type="dxa"/>
            <w:vMerge/>
            <w:tcBorders>
              <w:top w:val="nil"/>
            </w:tcBorders>
          </w:tcPr>
          <w:p w14:paraId="2EC8635B" w14:textId="77777777" w:rsidR="00F65BCA" w:rsidRDefault="00F65BCA">
            <w:pPr>
              <w:rPr>
                <w:sz w:val="2"/>
                <w:szCs w:val="2"/>
              </w:rPr>
            </w:pPr>
          </w:p>
        </w:tc>
      </w:tr>
      <w:tr w:rsidR="00F65BCA" w14:paraId="226EEDB0" w14:textId="77777777">
        <w:trPr>
          <w:trHeight w:val="27"/>
        </w:trPr>
        <w:tc>
          <w:tcPr>
            <w:tcW w:w="526" w:type="dxa"/>
            <w:vMerge/>
            <w:tcBorders>
              <w:top w:val="nil"/>
              <w:bottom w:val="nil"/>
            </w:tcBorders>
            <w:shd w:val="clear" w:color="auto" w:fill="FCE4D6"/>
          </w:tcPr>
          <w:p w14:paraId="6A0802B8" w14:textId="77777777" w:rsidR="00F65BCA" w:rsidRDefault="00F65BCA">
            <w:pPr>
              <w:rPr>
                <w:sz w:val="2"/>
                <w:szCs w:val="2"/>
              </w:rPr>
            </w:pPr>
          </w:p>
        </w:tc>
        <w:tc>
          <w:tcPr>
            <w:tcW w:w="732" w:type="dxa"/>
            <w:vMerge/>
            <w:tcBorders>
              <w:top w:val="nil"/>
              <w:bottom w:val="nil"/>
            </w:tcBorders>
            <w:shd w:val="clear" w:color="auto" w:fill="FCE4D6"/>
          </w:tcPr>
          <w:p w14:paraId="505D3418" w14:textId="77777777" w:rsidR="00F65BCA" w:rsidRDefault="00F65BCA">
            <w:pPr>
              <w:rPr>
                <w:sz w:val="2"/>
                <w:szCs w:val="2"/>
              </w:rPr>
            </w:pPr>
          </w:p>
        </w:tc>
        <w:tc>
          <w:tcPr>
            <w:tcW w:w="958" w:type="dxa"/>
            <w:gridSpan w:val="2"/>
            <w:tcBorders>
              <w:bottom w:val="nil"/>
            </w:tcBorders>
            <w:shd w:val="clear" w:color="auto" w:fill="FCE4D6"/>
          </w:tcPr>
          <w:p w14:paraId="22A46219" w14:textId="77777777" w:rsidR="00F65BCA" w:rsidRDefault="00F65BCA">
            <w:pPr>
              <w:pStyle w:val="TableParagraph"/>
              <w:rPr>
                <w:rFonts w:ascii="Times New Roman"/>
                <w:sz w:val="2"/>
              </w:rPr>
            </w:pPr>
          </w:p>
        </w:tc>
        <w:tc>
          <w:tcPr>
            <w:tcW w:w="576" w:type="dxa"/>
            <w:vMerge w:val="restart"/>
            <w:shd w:val="clear" w:color="auto" w:fill="FCE4D6"/>
          </w:tcPr>
          <w:p w14:paraId="175429B5" w14:textId="77777777" w:rsidR="00F65BCA" w:rsidRDefault="00F65BCA">
            <w:pPr>
              <w:pStyle w:val="TableParagraph"/>
              <w:rPr>
                <w:rFonts w:ascii="Calibri"/>
                <w:sz w:val="2"/>
              </w:rPr>
            </w:pPr>
          </w:p>
          <w:p w14:paraId="12D0C951" w14:textId="77777777" w:rsidR="00F65BCA" w:rsidRDefault="00216117">
            <w:pPr>
              <w:pStyle w:val="TableParagraph"/>
              <w:ind w:left="4"/>
              <w:jc w:val="center"/>
              <w:rPr>
                <w:sz w:val="3"/>
              </w:rPr>
            </w:pPr>
            <w:r>
              <w:rPr>
                <w:w w:val="103"/>
                <w:sz w:val="3"/>
              </w:rPr>
              <w:t>-</w:t>
            </w:r>
          </w:p>
        </w:tc>
        <w:tc>
          <w:tcPr>
            <w:tcW w:w="576" w:type="dxa"/>
            <w:vMerge w:val="restart"/>
            <w:shd w:val="clear" w:color="auto" w:fill="FCE4D6"/>
          </w:tcPr>
          <w:p w14:paraId="6EC7E39E" w14:textId="77777777" w:rsidR="00F65BCA" w:rsidRDefault="00F65BCA">
            <w:pPr>
              <w:pStyle w:val="TableParagraph"/>
              <w:rPr>
                <w:rFonts w:ascii="Calibri"/>
                <w:sz w:val="2"/>
              </w:rPr>
            </w:pPr>
          </w:p>
          <w:p w14:paraId="05741146" w14:textId="77777777" w:rsidR="00F65BCA" w:rsidRDefault="00216117">
            <w:pPr>
              <w:pStyle w:val="TableParagraph"/>
              <w:ind w:left="129" w:right="126"/>
              <w:jc w:val="center"/>
              <w:rPr>
                <w:sz w:val="3"/>
              </w:rPr>
            </w:pPr>
            <w:r>
              <w:rPr>
                <w:w w:val="105"/>
                <w:sz w:val="3"/>
              </w:rPr>
              <w:t>0-12000 kg</w:t>
            </w:r>
          </w:p>
        </w:tc>
        <w:tc>
          <w:tcPr>
            <w:tcW w:w="50" w:type="dxa"/>
            <w:vMerge/>
            <w:tcBorders>
              <w:top w:val="nil"/>
              <w:bottom w:val="nil"/>
            </w:tcBorders>
          </w:tcPr>
          <w:p w14:paraId="50C75B0F" w14:textId="77777777" w:rsidR="00F65BCA" w:rsidRDefault="00F65BCA">
            <w:pPr>
              <w:rPr>
                <w:sz w:val="2"/>
                <w:szCs w:val="2"/>
              </w:rPr>
            </w:pPr>
          </w:p>
        </w:tc>
        <w:tc>
          <w:tcPr>
            <w:tcW w:w="288" w:type="dxa"/>
            <w:vMerge w:val="restart"/>
          </w:tcPr>
          <w:p w14:paraId="0AFD23DF" w14:textId="77777777" w:rsidR="00F65BCA" w:rsidRDefault="00F65BCA">
            <w:pPr>
              <w:pStyle w:val="TableParagraph"/>
              <w:rPr>
                <w:rFonts w:ascii="Calibri"/>
                <w:sz w:val="2"/>
              </w:rPr>
            </w:pPr>
          </w:p>
          <w:p w14:paraId="2C55D830" w14:textId="77777777" w:rsidR="00F65BCA" w:rsidRDefault="00216117">
            <w:pPr>
              <w:pStyle w:val="TableParagraph"/>
              <w:ind w:left="47"/>
              <w:rPr>
                <w:sz w:val="3"/>
              </w:rPr>
            </w:pPr>
            <w:r>
              <w:rPr>
                <w:w w:val="105"/>
                <w:sz w:val="3"/>
              </w:rPr>
              <w:t>2,01400000%</w:t>
            </w:r>
          </w:p>
        </w:tc>
        <w:tc>
          <w:tcPr>
            <w:tcW w:w="288" w:type="dxa"/>
            <w:vMerge w:val="restart"/>
          </w:tcPr>
          <w:p w14:paraId="7453696C" w14:textId="77777777" w:rsidR="00F65BCA" w:rsidRDefault="00F65BCA">
            <w:pPr>
              <w:pStyle w:val="TableParagraph"/>
              <w:rPr>
                <w:rFonts w:ascii="Calibri"/>
                <w:sz w:val="2"/>
              </w:rPr>
            </w:pPr>
          </w:p>
          <w:p w14:paraId="3F005915" w14:textId="77777777" w:rsidR="00F65BCA" w:rsidRDefault="00216117">
            <w:pPr>
              <w:pStyle w:val="TableParagraph"/>
              <w:ind w:left="47"/>
              <w:rPr>
                <w:sz w:val="3"/>
              </w:rPr>
            </w:pPr>
            <w:r>
              <w:rPr>
                <w:w w:val="105"/>
                <w:sz w:val="3"/>
              </w:rPr>
              <w:t>1,80200000%</w:t>
            </w:r>
          </w:p>
        </w:tc>
        <w:tc>
          <w:tcPr>
            <w:tcW w:w="288" w:type="dxa"/>
            <w:vMerge w:val="restart"/>
          </w:tcPr>
          <w:p w14:paraId="0B66566B" w14:textId="77777777" w:rsidR="00F65BCA" w:rsidRDefault="00F65BCA">
            <w:pPr>
              <w:pStyle w:val="TableParagraph"/>
              <w:rPr>
                <w:rFonts w:ascii="Calibri"/>
                <w:sz w:val="2"/>
              </w:rPr>
            </w:pPr>
          </w:p>
          <w:p w14:paraId="700E0DE7" w14:textId="77777777" w:rsidR="00F65BCA" w:rsidRDefault="00216117">
            <w:pPr>
              <w:pStyle w:val="TableParagraph"/>
              <w:ind w:left="47"/>
              <w:rPr>
                <w:sz w:val="3"/>
              </w:rPr>
            </w:pPr>
            <w:r>
              <w:rPr>
                <w:w w:val="105"/>
                <w:sz w:val="3"/>
              </w:rPr>
              <w:t>1,80200000%</w:t>
            </w:r>
          </w:p>
        </w:tc>
        <w:tc>
          <w:tcPr>
            <w:tcW w:w="288" w:type="dxa"/>
            <w:vMerge w:val="restart"/>
          </w:tcPr>
          <w:p w14:paraId="6638383F" w14:textId="77777777" w:rsidR="00F65BCA" w:rsidRDefault="00F65BCA">
            <w:pPr>
              <w:pStyle w:val="TableParagraph"/>
              <w:rPr>
                <w:rFonts w:ascii="Calibri"/>
                <w:sz w:val="2"/>
              </w:rPr>
            </w:pPr>
          </w:p>
          <w:p w14:paraId="15D2C74B" w14:textId="77777777" w:rsidR="00F65BCA" w:rsidRDefault="00216117">
            <w:pPr>
              <w:pStyle w:val="TableParagraph"/>
              <w:ind w:left="47"/>
              <w:rPr>
                <w:sz w:val="3"/>
              </w:rPr>
            </w:pPr>
            <w:r>
              <w:rPr>
                <w:w w:val="105"/>
                <w:sz w:val="3"/>
              </w:rPr>
              <w:t>1,64300000%</w:t>
            </w:r>
          </w:p>
        </w:tc>
        <w:tc>
          <w:tcPr>
            <w:tcW w:w="288" w:type="dxa"/>
            <w:vMerge w:val="restart"/>
          </w:tcPr>
          <w:p w14:paraId="52344C21" w14:textId="77777777" w:rsidR="00F65BCA" w:rsidRDefault="00F65BCA">
            <w:pPr>
              <w:pStyle w:val="TableParagraph"/>
              <w:rPr>
                <w:rFonts w:ascii="Calibri"/>
                <w:sz w:val="2"/>
              </w:rPr>
            </w:pPr>
          </w:p>
          <w:p w14:paraId="3B597D8F" w14:textId="77777777" w:rsidR="00F65BCA" w:rsidRDefault="00216117">
            <w:pPr>
              <w:pStyle w:val="TableParagraph"/>
              <w:ind w:left="47"/>
              <w:rPr>
                <w:sz w:val="3"/>
              </w:rPr>
            </w:pPr>
            <w:r>
              <w:rPr>
                <w:w w:val="105"/>
                <w:sz w:val="3"/>
              </w:rPr>
              <w:t>1,64300000%</w:t>
            </w:r>
          </w:p>
        </w:tc>
        <w:tc>
          <w:tcPr>
            <w:tcW w:w="288" w:type="dxa"/>
            <w:vMerge w:val="restart"/>
          </w:tcPr>
          <w:p w14:paraId="73329C2E" w14:textId="77777777" w:rsidR="00F65BCA" w:rsidRDefault="00F65BCA">
            <w:pPr>
              <w:pStyle w:val="TableParagraph"/>
              <w:rPr>
                <w:rFonts w:ascii="Calibri"/>
                <w:sz w:val="2"/>
              </w:rPr>
            </w:pPr>
          </w:p>
          <w:p w14:paraId="779E8A9E" w14:textId="77777777" w:rsidR="00F65BCA" w:rsidRDefault="00216117">
            <w:pPr>
              <w:pStyle w:val="TableParagraph"/>
              <w:ind w:left="47"/>
              <w:rPr>
                <w:sz w:val="3"/>
              </w:rPr>
            </w:pPr>
            <w:r>
              <w:rPr>
                <w:w w:val="105"/>
                <w:sz w:val="3"/>
              </w:rPr>
              <w:t>1,48400000%</w:t>
            </w:r>
          </w:p>
        </w:tc>
        <w:tc>
          <w:tcPr>
            <w:tcW w:w="288" w:type="dxa"/>
            <w:vMerge w:val="restart"/>
          </w:tcPr>
          <w:p w14:paraId="1838BD9F" w14:textId="77777777" w:rsidR="00F65BCA" w:rsidRDefault="00F65BCA">
            <w:pPr>
              <w:pStyle w:val="TableParagraph"/>
              <w:rPr>
                <w:rFonts w:ascii="Calibri"/>
                <w:sz w:val="2"/>
              </w:rPr>
            </w:pPr>
          </w:p>
          <w:p w14:paraId="53CF37BB" w14:textId="77777777" w:rsidR="00F65BCA" w:rsidRDefault="00216117">
            <w:pPr>
              <w:pStyle w:val="TableParagraph"/>
              <w:ind w:left="47"/>
              <w:rPr>
                <w:sz w:val="3"/>
              </w:rPr>
            </w:pPr>
            <w:r>
              <w:rPr>
                <w:w w:val="105"/>
                <w:sz w:val="3"/>
              </w:rPr>
              <w:t>1,48400000%</w:t>
            </w:r>
          </w:p>
        </w:tc>
        <w:tc>
          <w:tcPr>
            <w:tcW w:w="288" w:type="dxa"/>
            <w:vMerge w:val="restart"/>
          </w:tcPr>
          <w:p w14:paraId="4F99D8E6" w14:textId="77777777" w:rsidR="00F65BCA" w:rsidRDefault="00F65BCA">
            <w:pPr>
              <w:pStyle w:val="TableParagraph"/>
              <w:rPr>
                <w:rFonts w:ascii="Calibri"/>
                <w:sz w:val="2"/>
              </w:rPr>
            </w:pPr>
          </w:p>
          <w:p w14:paraId="5C22D2D5" w14:textId="77777777" w:rsidR="00F65BCA" w:rsidRDefault="00216117">
            <w:pPr>
              <w:pStyle w:val="TableParagraph"/>
              <w:ind w:left="47"/>
              <w:rPr>
                <w:sz w:val="3"/>
              </w:rPr>
            </w:pPr>
            <w:r>
              <w:rPr>
                <w:w w:val="105"/>
                <w:sz w:val="3"/>
              </w:rPr>
              <w:t>1,32500000%</w:t>
            </w:r>
          </w:p>
        </w:tc>
        <w:tc>
          <w:tcPr>
            <w:tcW w:w="288" w:type="dxa"/>
            <w:vMerge w:val="restart"/>
          </w:tcPr>
          <w:p w14:paraId="3EFF2912" w14:textId="77777777" w:rsidR="00F65BCA" w:rsidRDefault="00F65BCA">
            <w:pPr>
              <w:pStyle w:val="TableParagraph"/>
              <w:rPr>
                <w:rFonts w:ascii="Calibri"/>
                <w:sz w:val="2"/>
              </w:rPr>
            </w:pPr>
          </w:p>
          <w:p w14:paraId="5DD75C66" w14:textId="77777777" w:rsidR="00F65BCA" w:rsidRDefault="00216117">
            <w:pPr>
              <w:pStyle w:val="TableParagraph"/>
              <w:ind w:left="47"/>
              <w:rPr>
                <w:sz w:val="3"/>
              </w:rPr>
            </w:pPr>
            <w:r>
              <w:rPr>
                <w:w w:val="105"/>
                <w:sz w:val="3"/>
              </w:rPr>
              <w:t>1,32500000%</w:t>
            </w:r>
          </w:p>
        </w:tc>
        <w:tc>
          <w:tcPr>
            <w:tcW w:w="288" w:type="dxa"/>
            <w:vMerge w:val="restart"/>
          </w:tcPr>
          <w:p w14:paraId="2A008C1F" w14:textId="77777777" w:rsidR="00F65BCA" w:rsidRDefault="00F65BCA">
            <w:pPr>
              <w:pStyle w:val="TableParagraph"/>
              <w:rPr>
                <w:rFonts w:ascii="Calibri"/>
                <w:sz w:val="2"/>
              </w:rPr>
            </w:pPr>
          </w:p>
          <w:p w14:paraId="720C5DA5" w14:textId="77777777" w:rsidR="00F65BCA" w:rsidRDefault="00216117">
            <w:pPr>
              <w:pStyle w:val="TableParagraph"/>
              <w:ind w:left="47"/>
              <w:rPr>
                <w:sz w:val="3"/>
              </w:rPr>
            </w:pPr>
            <w:r>
              <w:rPr>
                <w:w w:val="105"/>
                <w:sz w:val="3"/>
              </w:rPr>
              <w:t>1,21900000%</w:t>
            </w:r>
          </w:p>
        </w:tc>
        <w:tc>
          <w:tcPr>
            <w:tcW w:w="288" w:type="dxa"/>
            <w:vMerge w:val="restart"/>
          </w:tcPr>
          <w:p w14:paraId="5F7181B8" w14:textId="77777777" w:rsidR="00F65BCA" w:rsidRDefault="00F65BCA">
            <w:pPr>
              <w:pStyle w:val="TableParagraph"/>
              <w:rPr>
                <w:rFonts w:ascii="Calibri"/>
                <w:sz w:val="2"/>
              </w:rPr>
            </w:pPr>
          </w:p>
          <w:p w14:paraId="208A5693" w14:textId="77777777" w:rsidR="00F65BCA" w:rsidRDefault="00216117">
            <w:pPr>
              <w:pStyle w:val="TableParagraph"/>
              <w:ind w:left="47"/>
              <w:rPr>
                <w:sz w:val="3"/>
              </w:rPr>
            </w:pPr>
            <w:r>
              <w:rPr>
                <w:w w:val="105"/>
                <w:sz w:val="3"/>
              </w:rPr>
              <w:t>1,16600000%</w:t>
            </w:r>
          </w:p>
        </w:tc>
        <w:tc>
          <w:tcPr>
            <w:tcW w:w="288" w:type="dxa"/>
            <w:vMerge w:val="restart"/>
          </w:tcPr>
          <w:p w14:paraId="7627FA00" w14:textId="77777777" w:rsidR="00F65BCA" w:rsidRDefault="00F65BCA">
            <w:pPr>
              <w:pStyle w:val="TableParagraph"/>
              <w:rPr>
                <w:rFonts w:ascii="Calibri"/>
                <w:sz w:val="2"/>
              </w:rPr>
            </w:pPr>
          </w:p>
          <w:p w14:paraId="76AEBF78" w14:textId="77777777" w:rsidR="00F65BCA" w:rsidRDefault="00216117">
            <w:pPr>
              <w:pStyle w:val="TableParagraph"/>
              <w:ind w:left="47"/>
              <w:rPr>
                <w:sz w:val="3"/>
              </w:rPr>
            </w:pPr>
            <w:r>
              <w:rPr>
                <w:w w:val="105"/>
                <w:sz w:val="3"/>
              </w:rPr>
              <w:t>1,06000000%</w:t>
            </w:r>
          </w:p>
        </w:tc>
        <w:tc>
          <w:tcPr>
            <w:tcW w:w="288" w:type="dxa"/>
            <w:vMerge w:val="restart"/>
          </w:tcPr>
          <w:p w14:paraId="28F446F8" w14:textId="77777777" w:rsidR="00F65BCA" w:rsidRDefault="00F65BCA">
            <w:pPr>
              <w:pStyle w:val="TableParagraph"/>
              <w:rPr>
                <w:rFonts w:ascii="Calibri"/>
                <w:sz w:val="2"/>
              </w:rPr>
            </w:pPr>
          </w:p>
          <w:p w14:paraId="3E5372FB" w14:textId="77777777" w:rsidR="00F65BCA" w:rsidRDefault="00216117">
            <w:pPr>
              <w:pStyle w:val="TableParagraph"/>
              <w:ind w:left="47"/>
              <w:rPr>
                <w:sz w:val="3"/>
              </w:rPr>
            </w:pPr>
            <w:r>
              <w:rPr>
                <w:w w:val="105"/>
                <w:sz w:val="3"/>
              </w:rPr>
              <w:t>1,06000000%</w:t>
            </w:r>
          </w:p>
        </w:tc>
      </w:tr>
      <w:tr w:rsidR="00F65BCA" w14:paraId="0383F634" w14:textId="77777777">
        <w:trPr>
          <w:trHeight w:val="49"/>
        </w:trPr>
        <w:tc>
          <w:tcPr>
            <w:tcW w:w="526" w:type="dxa"/>
            <w:vMerge w:val="restart"/>
            <w:tcBorders>
              <w:top w:val="nil"/>
              <w:bottom w:val="nil"/>
            </w:tcBorders>
            <w:shd w:val="clear" w:color="auto" w:fill="FCE4D6"/>
          </w:tcPr>
          <w:p w14:paraId="14A13F00" w14:textId="77777777" w:rsidR="00F65BCA" w:rsidRDefault="00F65BCA">
            <w:pPr>
              <w:pStyle w:val="TableParagraph"/>
              <w:rPr>
                <w:rFonts w:ascii="Times New Roman"/>
                <w:sz w:val="2"/>
              </w:rPr>
            </w:pPr>
          </w:p>
        </w:tc>
        <w:tc>
          <w:tcPr>
            <w:tcW w:w="732" w:type="dxa"/>
            <w:vMerge w:val="restart"/>
            <w:tcBorders>
              <w:top w:val="nil"/>
            </w:tcBorders>
            <w:shd w:val="clear" w:color="auto" w:fill="FCE4D6"/>
          </w:tcPr>
          <w:p w14:paraId="08FA901C" w14:textId="77777777" w:rsidR="00F65BCA" w:rsidRDefault="00F65BCA">
            <w:pPr>
              <w:pStyle w:val="TableParagraph"/>
              <w:rPr>
                <w:rFonts w:ascii="Times New Roman"/>
                <w:sz w:val="2"/>
              </w:rPr>
            </w:pPr>
          </w:p>
        </w:tc>
        <w:tc>
          <w:tcPr>
            <w:tcW w:w="958" w:type="dxa"/>
            <w:gridSpan w:val="2"/>
            <w:vMerge w:val="restart"/>
            <w:tcBorders>
              <w:top w:val="nil"/>
            </w:tcBorders>
            <w:shd w:val="clear" w:color="auto" w:fill="FCE4D6"/>
          </w:tcPr>
          <w:p w14:paraId="0F7742FD" w14:textId="77777777" w:rsidR="00F65BCA" w:rsidRDefault="00216117">
            <w:pPr>
              <w:pStyle w:val="TableParagraph"/>
              <w:spacing w:before="12" w:line="283" w:lineRule="auto"/>
              <w:ind w:left="4" w:right="-8"/>
              <w:rPr>
                <w:sz w:val="3"/>
              </w:rPr>
            </w:pPr>
            <w:r>
              <w:rPr>
                <w:w w:val="105"/>
                <w:sz w:val="3"/>
              </w:rPr>
              <w:t>DAILY</w:t>
            </w:r>
            <w:r>
              <w:rPr>
                <w:spacing w:val="-4"/>
                <w:w w:val="105"/>
                <w:sz w:val="3"/>
              </w:rPr>
              <w:t xml:space="preserve"> </w:t>
            </w:r>
            <w:r>
              <w:rPr>
                <w:w w:val="105"/>
                <w:sz w:val="3"/>
              </w:rPr>
              <w:t>NAD</w:t>
            </w:r>
            <w:r>
              <w:rPr>
                <w:spacing w:val="-4"/>
                <w:w w:val="105"/>
                <w:sz w:val="3"/>
              </w:rPr>
              <w:t xml:space="preserve"> </w:t>
            </w:r>
            <w:r>
              <w:rPr>
                <w:w w:val="105"/>
                <w:sz w:val="3"/>
              </w:rPr>
              <w:t>3,5T;</w:t>
            </w:r>
            <w:r>
              <w:rPr>
                <w:spacing w:val="-3"/>
                <w:w w:val="105"/>
                <w:sz w:val="3"/>
              </w:rPr>
              <w:t xml:space="preserve"> </w:t>
            </w:r>
            <w:r>
              <w:rPr>
                <w:w w:val="105"/>
                <w:sz w:val="3"/>
              </w:rPr>
              <w:t>EUROCARGO;</w:t>
            </w:r>
            <w:r>
              <w:rPr>
                <w:spacing w:val="-3"/>
                <w:w w:val="105"/>
                <w:sz w:val="3"/>
              </w:rPr>
              <w:t xml:space="preserve"> </w:t>
            </w:r>
            <w:r>
              <w:rPr>
                <w:w w:val="105"/>
                <w:sz w:val="3"/>
              </w:rPr>
              <w:t>TURBO</w:t>
            </w:r>
            <w:r>
              <w:rPr>
                <w:spacing w:val="-4"/>
                <w:w w:val="105"/>
                <w:sz w:val="3"/>
              </w:rPr>
              <w:t xml:space="preserve"> </w:t>
            </w:r>
            <w:r>
              <w:rPr>
                <w:w w:val="105"/>
                <w:sz w:val="3"/>
              </w:rPr>
              <w:t>DAILY</w:t>
            </w:r>
            <w:r>
              <w:rPr>
                <w:spacing w:val="-3"/>
                <w:w w:val="105"/>
                <w:sz w:val="3"/>
              </w:rPr>
              <w:t xml:space="preserve"> </w:t>
            </w:r>
            <w:r>
              <w:rPr>
                <w:w w:val="105"/>
                <w:sz w:val="3"/>
              </w:rPr>
              <w:t>NAD</w:t>
            </w:r>
            <w:r>
              <w:rPr>
                <w:spacing w:val="-4"/>
                <w:w w:val="105"/>
                <w:sz w:val="3"/>
              </w:rPr>
              <w:t xml:space="preserve"> </w:t>
            </w:r>
            <w:r>
              <w:rPr>
                <w:w w:val="105"/>
                <w:sz w:val="3"/>
              </w:rPr>
              <w:t>3,5T;</w:t>
            </w:r>
            <w:r>
              <w:rPr>
                <w:spacing w:val="-3"/>
                <w:w w:val="105"/>
                <w:sz w:val="3"/>
              </w:rPr>
              <w:t xml:space="preserve"> </w:t>
            </w:r>
            <w:r>
              <w:rPr>
                <w:w w:val="105"/>
                <w:sz w:val="3"/>
              </w:rPr>
              <w:t>TURBO ZETA</w:t>
            </w:r>
          </w:p>
        </w:tc>
        <w:tc>
          <w:tcPr>
            <w:tcW w:w="576" w:type="dxa"/>
            <w:vMerge/>
            <w:tcBorders>
              <w:top w:val="nil"/>
            </w:tcBorders>
            <w:shd w:val="clear" w:color="auto" w:fill="FCE4D6"/>
          </w:tcPr>
          <w:p w14:paraId="6D519BF4" w14:textId="77777777" w:rsidR="00F65BCA" w:rsidRDefault="00F65BCA">
            <w:pPr>
              <w:rPr>
                <w:sz w:val="2"/>
                <w:szCs w:val="2"/>
              </w:rPr>
            </w:pPr>
          </w:p>
        </w:tc>
        <w:tc>
          <w:tcPr>
            <w:tcW w:w="576" w:type="dxa"/>
            <w:vMerge/>
            <w:tcBorders>
              <w:top w:val="nil"/>
            </w:tcBorders>
            <w:shd w:val="clear" w:color="auto" w:fill="FCE4D6"/>
          </w:tcPr>
          <w:p w14:paraId="6ED8DABF" w14:textId="77777777" w:rsidR="00F65BCA" w:rsidRDefault="00F65BCA">
            <w:pPr>
              <w:rPr>
                <w:sz w:val="2"/>
                <w:szCs w:val="2"/>
              </w:rPr>
            </w:pPr>
          </w:p>
        </w:tc>
        <w:tc>
          <w:tcPr>
            <w:tcW w:w="50" w:type="dxa"/>
            <w:vMerge/>
            <w:tcBorders>
              <w:top w:val="nil"/>
              <w:bottom w:val="nil"/>
            </w:tcBorders>
          </w:tcPr>
          <w:p w14:paraId="104CBC03" w14:textId="77777777" w:rsidR="00F65BCA" w:rsidRDefault="00F65BCA">
            <w:pPr>
              <w:rPr>
                <w:sz w:val="2"/>
                <w:szCs w:val="2"/>
              </w:rPr>
            </w:pPr>
          </w:p>
        </w:tc>
        <w:tc>
          <w:tcPr>
            <w:tcW w:w="288" w:type="dxa"/>
            <w:vMerge/>
            <w:tcBorders>
              <w:top w:val="nil"/>
            </w:tcBorders>
          </w:tcPr>
          <w:p w14:paraId="6AD584D9" w14:textId="77777777" w:rsidR="00F65BCA" w:rsidRDefault="00F65BCA">
            <w:pPr>
              <w:rPr>
                <w:sz w:val="2"/>
                <w:szCs w:val="2"/>
              </w:rPr>
            </w:pPr>
          </w:p>
        </w:tc>
        <w:tc>
          <w:tcPr>
            <w:tcW w:w="288" w:type="dxa"/>
            <w:vMerge/>
            <w:tcBorders>
              <w:top w:val="nil"/>
            </w:tcBorders>
          </w:tcPr>
          <w:p w14:paraId="1C5656CB" w14:textId="77777777" w:rsidR="00F65BCA" w:rsidRDefault="00F65BCA">
            <w:pPr>
              <w:rPr>
                <w:sz w:val="2"/>
                <w:szCs w:val="2"/>
              </w:rPr>
            </w:pPr>
          </w:p>
        </w:tc>
        <w:tc>
          <w:tcPr>
            <w:tcW w:w="288" w:type="dxa"/>
            <w:vMerge/>
            <w:tcBorders>
              <w:top w:val="nil"/>
            </w:tcBorders>
          </w:tcPr>
          <w:p w14:paraId="374C7B32" w14:textId="77777777" w:rsidR="00F65BCA" w:rsidRDefault="00F65BCA">
            <w:pPr>
              <w:rPr>
                <w:sz w:val="2"/>
                <w:szCs w:val="2"/>
              </w:rPr>
            </w:pPr>
          </w:p>
        </w:tc>
        <w:tc>
          <w:tcPr>
            <w:tcW w:w="288" w:type="dxa"/>
            <w:vMerge/>
            <w:tcBorders>
              <w:top w:val="nil"/>
            </w:tcBorders>
          </w:tcPr>
          <w:p w14:paraId="0C1EF1A7" w14:textId="77777777" w:rsidR="00F65BCA" w:rsidRDefault="00F65BCA">
            <w:pPr>
              <w:rPr>
                <w:sz w:val="2"/>
                <w:szCs w:val="2"/>
              </w:rPr>
            </w:pPr>
          </w:p>
        </w:tc>
        <w:tc>
          <w:tcPr>
            <w:tcW w:w="288" w:type="dxa"/>
            <w:vMerge/>
            <w:tcBorders>
              <w:top w:val="nil"/>
            </w:tcBorders>
          </w:tcPr>
          <w:p w14:paraId="1A2947E5" w14:textId="77777777" w:rsidR="00F65BCA" w:rsidRDefault="00F65BCA">
            <w:pPr>
              <w:rPr>
                <w:sz w:val="2"/>
                <w:szCs w:val="2"/>
              </w:rPr>
            </w:pPr>
          </w:p>
        </w:tc>
        <w:tc>
          <w:tcPr>
            <w:tcW w:w="288" w:type="dxa"/>
            <w:vMerge/>
            <w:tcBorders>
              <w:top w:val="nil"/>
            </w:tcBorders>
          </w:tcPr>
          <w:p w14:paraId="3CB7E6D2" w14:textId="77777777" w:rsidR="00F65BCA" w:rsidRDefault="00F65BCA">
            <w:pPr>
              <w:rPr>
                <w:sz w:val="2"/>
                <w:szCs w:val="2"/>
              </w:rPr>
            </w:pPr>
          </w:p>
        </w:tc>
        <w:tc>
          <w:tcPr>
            <w:tcW w:w="288" w:type="dxa"/>
            <w:vMerge/>
            <w:tcBorders>
              <w:top w:val="nil"/>
            </w:tcBorders>
          </w:tcPr>
          <w:p w14:paraId="761EDCD4" w14:textId="77777777" w:rsidR="00F65BCA" w:rsidRDefault="00F65BCA">
            <w:pPr>
              <w:rPr>
                <w:sz w:val="2"/>
                <w:szCs w:val="2"/>
              </w:rPr>
            </w:pPr>
          </w:p>
        </w:tc>
        <w:tc>
          <w:tcPr>
            <w:tcW w:w="288" w:type="dxa"/>
            <w:vMerge/>
            <w:tcBorders>
              <w:top w:val="nil"/>
            </w:tcBorders>
          </w:tcPr>
          <w:p w14:paraId="190AA95A" w14:textId="77777777" w:rsidR="00F65BCA" w:rsidRDefault="00F65BCA">
            <w:pPr>
              <w:rPr>
                <w:sz w:val="2"/>
                <w:szCs w:val="2"/>
              </w:rPr>
            </w:pPr>
          </w:p>
        </w:tc>
        <w:tc>
          <w:tcPr>
            <w:tcW w:w="288" w:type="dxa"/>
            <w:vMerge/>
            <w:tcBorders>
              <w:top w:val="nil"/>
            </w:tcBorders>
          </w:tcPr>
          <w:p w14:paraId="490FB0BF" w14:textId="77777777" w:rsidR="00F65BCA" w:rsidRDefault="00F65BCA">
            <w:pPr>
              <w:rPr>
                <w:sz w:val="2"/>
                <w:szCs w:val="2"/>
              </w:rPr>
            </w:pPr>
          </w:p>
        </w:tc>
        <w:tc>
          <w:tcPr>
            <w:tcW w:w="288" w:type="dxa"/>
            <w:vMerge/>
            <w:tcBorders>
              <w:top w:val="nil"/>
            </w:tcBorders>
          </w:tcPr>
          <w:p w14:paraId="79FC5B10" w14:textId="77777777" w:rsidR="00F65BCA" w:rsidRDefault="00F65BCA">
            <w:pPr>
              <w:rPr>
                <w:sz w:val="2"/>
                <w:szCs w:val="2"/>
              </w:rPr>
            </w:pPr>
          </w:p>
        </w:tc>
        <w:tc>
          <w:tcPr>
            <w:tcW w:w="288" w:type="dxa"/>
            <w:vMerge/>
            <w:tcBorders>
              <w:top w:val="nil"/>
            </w:tcBorders>
          </w:tcPr>
          <w:p w14:paraId="613E602F" w14:textId="77777777" w:rsidR="00F65BCA" w:rsidRDefault="00F65BCA">
            <w:pPr>
              <w:rPr>
                <w:sz w:val="2"/>
                <w:szCs w:val="2"/>
              </w:rPr>
            </w:pPr>
          </w:p>
        </w:tc>
        <w:tc>
          <w:tcPr>
            <w:tcW w:w="288" w:type="dxa"/>
            <w:vMerge/>
            <w:tcBorders>
              <w:top w:val="nil"/>
            </w:tcBorders>
          </w:tcPr>
          <w:p w14:paraId="30FCD027" w14:textId="77777777" w:rsidR="00F65BCA" w:rsidRDefault="00F65BCA">
            <w:pPr>
              <w:rPr>
                <w:sz w:val="2"/>
                <w:szCs w:val="2"/>
              </w:rPr>
            </w:pPr>
          </w:p>
        </w:tc>
        <w:tc>
          <w:tcPr>
            <w:tcW w:w="288" w:type="dxa"/>
            <w:vMerge/>
            <w:tcBorders>
              <w:top w:val="nil"/>
            </w:tcBorders>
          </w:tcPr>
          <w:p w14:paraId="6DCA4347" w14:textId="77777777" w:rsidR="00F65BCA" w:rsidRDefault="00F65BCA">
            <w:pPr>
              <w:rPr>
                <w:sz w:val="2"/>
                <w:szCs w:val="2"/>
              </w:rPr>
            </w:pPr>
          </w:p>
        </w:tc>
      </w:tr>
      <w:tr w:rsidR="00F65BCA" w14:paraId="5D41B72C" w14:textId="77777777">
        <w:trPr>
          <w:trHeight w:val="81"/>
        </w:trPr>
        <w:tc>
          <w:tcPr>
            <w:tcW w:w="526" w:type="dxa"/>
            <w:vMerge/>
            <w:tcBorders>
              <w:top w:val="nil"/>
              <w:bottom w:val="nil"/>
            </w:tcBorders>
            <w:shd w:val="clear" w:color="auto" w:fill="FCE4D6"/>
          </w:tcPr>
          <w:p w14:paraId="7888E2A8" w14:textId="77777777" w:rsidR="00F65BCA" w:rsidRDefault="00F65BCA">
            <w:pPr>
              <w:rPr>
                <w:sz w:val="2"/>
                <w:szCs w:val="2"/>
              </w:rPr>
            </w:pPr>
          </w:p>
        </w:tc>
        <w:tc>
          <w:tcPr>
            <w:tcW w:w="732" w:type="dxa"/>
            <w:vMerge/>
            <w:tcBorders>
              <w:top w:val="nil"/>
            </w:tcBorders>
            <w:shd w:val="clear" w:color="auto" w:fill="FCE4D6"/>
          </w:tcPr>
          <w:p w14:paraId="366C48F5" w14:textId="77777777" w:rsidR="00F65BCA" w:rsidRDefault="00F65BCA">
            <w:pPr>
              <w:rPr>
                <w:sz w:val="2"/>
                <w:szCs w:val="2"/>
              </w:rPr>
            </w:pPr>
          </w:p>
        </w:tc>
        <w:tc>
          <w:tcPr>
            <w:tcW w:w="958" w:type="dxa"/>
            <w:gridSpan w:val="2"/>
            <w:vMerge/>
            <w:tcBorders>
              <w:top w:val="nil"/>
            </w:tcBorders>
            <w:shd w:val="clear" w:color="auto" w:fill="FCE4D6"/>
          </w:tcPr>
          <w:p w14:paraId="7337B7A4" w14:textId="77777777" w:rsidR="00F65BCA" w:rsidRDefault="00F65BCA">
            <w:pPr>
              <w:rPr>
                <w:sz w:val="2"/>
                <w:szCs w:val="2"/>
              </w:rPr>
            </w:pPr>
          </w:p>
        </w:tc>
        <w:tc>
          <w:tcPr>
            <w:tcW w:w="576" w:type="dxa"/>
            <w:shd w:val="clear" w:color="auto" w:fill="FCE4D6"/>
          </w:tcPr>
          <w:p w14:paraId="3B8D0A36" w14:textId="77777777" w:rsidR="00F65BCA" w:rsidRDefault="00F65BCA">
            <w:pPr>
              <w:pStyle w:val="TableParagraph"/>
              <w:rPr>
                <w:rFonts w:ascii="Calibri"/>
                <w:sz w:val="2"/>
              </w:rPr>
            </w:pPr>
          </w:p>
          <w:p w14:paraId="2CCD885E" w14:textId="77777777" w:rsidR="00F65BCA" w:rsidRDefault="00216117">
            <w:pPr>
              <w:pStyle w:val="TableParagraph"/>
              <w:ind w:left="4"/>
              <w:jc w:val="center"/>
              <w:rPr>
                <w:sz w:val="3"/>
              </w:rPr>
            </w:pPr>
            <w:r>
              <w:rPr>
                <w:w w:val="103"/>
                <w:sz w:val="3"/>
              </w:rPr>
              <w:t>-</w:t>
            </w:r>
          </w:p>
        </w:tc>
        <w:tc>
          <w:tcPr>
            <w:tcW w:w="576" w:type="dxa"/>
            <w:shd w:val="clear" w:color="auto" w:fill="FCE4D6"/>
          </w:tcPr>
          <w:p w14:paraId="63F55450" w14:textId="77777777" w:rsidR="00F65BCA" w:rsidRDefault="00F65BCA">
            <w:pPr>
              <w:pStyle w:val="TableParagraph"/>
              <w:rPr>
                <w:rFonts w:ascii="Calibri"/>
                <w:sz w:val="2"/>
              </w:rPr>
            </w:pPr>
          </w:p>
          <w:p w14:paraId="55B07CEB" w14:textId="77777777" w:rsidR="00F65BCA" w:rsidRDefault="00216117">
            <w:pPr>
              <w:pStyle w:val="TableParagraph"/>
              <w:ind w:left="212"/>
              <w:rPr>
                <w:sz w:val="3"/>
              </w:rPr>
            </w:pPr>
            <w:r>
              <w:rPr>
                <w:w w:val="105"/>
                <w:sz w:val="3"/>
              </w:rPr>
              <w:t>&gt;12000 kg</w:t>
            </w:r>
          </w:p>
        </w:tc>
        <w:tc>
          <w:tcPr>
            <w:tcW w:w="50" w:type="dxa"/>
            <w:vMerge/>
            <w:tcBorders>
              <w:top w:val="nil"/>
              <w:bottom w:val="nil"/>
            </w:tcBorders>
          </w:tcPr>
          <w:p w14:paraId="6EB526E0" w14:textId="77777777" w:rsidR="00F65BCA" w:rsidRDefault="00F65BCA">
            <w:pPr>
              <w:rPr>
                <w:sz w:val="2"/>
                <w:szCs w:val="2"/>
              </w:rPr>
            </w:pPr>
          </w:p>
        </w:tc>
        <w:tc>
          <w:tcPr>
            <w:tcW w:w="288" w:type="dxa"/>
          </w:tcPr>
          <w:p w14:paraId="36A1419B" w14:textId="77777777" w:rsidR="00F65BCA" w:rsidRDefault="00F65BCA">
            <w:pPr>
              <w:pStyle w:val="TableParagraph"/>
              <w:rPr>
                <w:rFonts w:ascii="Calibri"/>
                <w:sz w:val="2"/>
              </w:rPr>
            </w:pPr>
          </w:p>
          <w:p w14:paraId="635EB63E" w14:textId="77777777" w:rsidR="00F65BCA" w:rsidRDefault="00216117">
            <w:pPr>
              <w:pStyle w:val="TableParagraph"/>
              <w:ind w:left="24" w:right="24"/>
              <w:jc w:val="center"/>
              <w:rPr>
                <w:sz w:val="3"/>
              </w:rPr>
            </w:pPr>
            <w:r>
              <w:rPr>
                <w:w w:val="105"/>
                <w:sz w:val="3"/>
              </w:rPr>
              <w:t>2,48729000%</w:t>
            </w:r>
          </w:p>
        </w:tc>
        <w:tc>
          <w:tcPr>
            <w:tcW w:w="288" w:type="dxa"/>
          </w:tcPr>
          <w:p w14:paraId="438247AF" w14:textId="77777777" w:rsidR="00F65BCA" w:rsidRDefault="00F65BCA">
            <w:pPr>
              <w:pStyle w:val="TableParagraph"/>
              <w:rPr>
                <w:rFonts w:ascii="Calibri"/>
                <w:sz w:val="2"/>
              </w:rPr>
            </w:pPr>
          </w:p>
          <w:p w14:paraId="7804D246" w14:textId="77777777" w:rsidR="00F65BCA" w:rsidRDefault="00216117">
            <w:pPr>
              <w:pStyle w:val="TableParagraph"/>
              <w:ind w:left="24" w:right="24"/>
              <w:jc w:val="center"/>
              <w:rPr>
                <w:sz w:val="3"/>
              </w:rPr>
            </w:pPr>
            <w:r>
              <w:rPr>
                <w:w w:val="105"/>
                <w:sz w:val="3"/>
              </w:rPr>
              <w:t>2,22547000%</w:t>
            </w:r>
          </w:p>
        </w:tc>
        <w:tc>
          <w:tcPr>
            <w:tcW w:w="288" w:type="dxa"/>
          </w:tcPr>
          <w:p w14:paraId="6C03AF21" w14:textId="77777777" w:rsidR="00F65BCA" w:rsidRDefault="00F65BCA">
            <w:pPr>
              <w:pStyle w:val="TableParagraph"/>
              <w:rPr>
                <w:rFonts w:ascii="Calibri"/>
                <w:sz w:val="2"/>
              </w:rPr>
            </w:pPr>
          </w:p>
          <w:p w14:paraId="64626DD0" w14:textId="77777777" w:rsidR="00F65BCA" w:rsidRDefault="00216117">
            <w:pPr>
              <w:pStyle w:val="TableParagraph"/>
              <w:ind w:left="47"/>
              <w:rPr>
                <w:sz w:val="3"/>
              </w:rPr>
            </w:pPr>
            <w:r>
              <w:rPr>
                <w:w w:val="105"/>
                <w:sz w:val="3"/>
              </w:rPr>
              <w:t>2,22547000%</w:t>
            </w:r>
          </w:p>
        </w:tc>
        <w:tc>
          <w:tcPr>
            <w:tcW w:w="288" w:type="dxa"/>
          </w:tcPr>
          <w:p w14:paraId="2F1BA2E6" w14:textId="77777777" w:rsidR="00F65BCA" w:rsidRDefault="00F65BCA">
            <w:pPr>
              <w:pStyle w:val="TableParagraph"/>
              <w:rPr>
                <w:rFonts w:ascii="Calibri"/>
                <w:sz w:val="2"/>
              </w:rPr>
            </w:pPr>
          </w:p>
          <w:p w14:paraId="52451F54" w14:textId="77777777" w:rsidR="00F65BCA" w:rsidRDefault="00216117">
            <w:pPr>
              <w:pStyle w:val="TableParagraph"/>
              <w:ind w:left="24" w:right="24"/>
              <w:jc w:val="center"/>
              <w:rPr>
                <w:sz w:val="3"/>
              </w:rPr>
            </w:pPr>
            <w:r>
              <w:rPr>
                <w:w w:val="105"/>
                <w:sz w:val="3"/>
              </w:rPr>
              <w:t>2,02910500%</w:t>
            </w:r>
          </w:p>
        </w:tc>
        <w:tc>
          <w:tcPr>
            <w:tcW w:w="288" w:type="dxa"/>
          </w:tcPr>
          <w:p w14:paraId="40CFC82F" w14:textId="77777777" w:rsidR="00F65BCA" w:rsidRDefault="00F65BCA">
            <w:pPr>
              <w:pStyle w:val="TableParagraph"/>
              <w:rPr>
                <w:rFonts w:ascii="Calibri"/>
                <w:sz w:val="2"/>
              </w:rPr>
            </w:pPr>
          </w:p>
          <w:p w14:paraId="7E3F97C6" w14:textId="77777777" w:rsidR="00F65BCA" w:rsidRDefault="00216117">
            <w:pPr>
              <w:pStyle w:val="TableParagraph"/>
              <w:ind w:left="47"/>
              <w:rPr>
                <w:sz w:val="3"/>
              </w:rPr>
            </w:pPr>
            <w:r>
              <w:rPr>
                <w:w w:val="105"/>
                <w:sz w:val="3"/>
              </w:rPr>
              <w:t>2,02910500%</w:t>
            </w:r>
          </w:p>
        </w:tc>
        <w:tc>
          <w:tcPr>
            <w:tcW w:w="288" w:type="dxa"/>
          </w:tcPr>
          <w:p w14:paraId="68AE8BED" w14:textId="77777777" w:rsidR="00F65BCA" w:rsidRDefault="00F65BCA">
            <w:pPr>
              <w:pStyle w:val="TableParagraph"/>
              <w:rPr>
                <w:rFonts w:ascii="Calibri"/>
                <w:sz w:val="2"/>
              </w:rPr>
            </w:pPr>
          </w:p>
          <w:p w14:paraId="0B3AECD3" w14:textId="77777777" w:rsidR="00F65BCA" w:rsidRDefault="00216117">
            <w:pPr>
              <w:pStyle w:val="TableParagraph"/>
              <w:ind w:left="24" w:right="24"/>
              <w:jc w:val="center"/>
              <w:rPr>
                <w:sz w:val="3"/>
              </w:rPr>
            </w:pPr>
            <w:r>
              <w:rPr>
                <w:w w:val="105"/>
                <w:sz w:val="3"/>
              </w:rPr>
              <w:t>1,83274000%</w:t>
            </w:r>
          </w:p>
        </w:tc>
        <w:tc>
          <w:tcPr>
            <w:tcW w:w="288" w:type="dxa"/>
          </w:tcPr>
          <w:p w14:paraId="6E9C1971" w14:textId="77777777" w:rsidR="00F65BCA" w:rsidRDefault="00F65BCA">
            <w:pPr>
              <w:pStyle w:val="TableParagraph"/>
              <w:rPr>
                <w:rFonts w:ascii="Calibri"/>
                <w:sz w:val="2"/>
              </w:rPr>
            </w:pPr>
          </w:p>
          <w:p w14:paraId="7588E621" w14:textId="77777777" w:rsidR="00F65BCA" w:rsidRDefault="00216117">
            <w:pPr>
              <w:pStyle w:val="TableParagraph"/>
              <w:ind w:left="24" w:right="24"/>
              <w:jc w:val="center"/>
              <w:rPr>
                <w:sz w:val="3"/>
              </w:rPr>
            </w:pPr>
            <w:r>
              <w:rPr>
                <w:w w:val="105"/>
                <w:sz w:val="3"/>
              </w:rPr>
              <w:t>1,83274000%</w:t>
            </w:r>
          </w:p>
        </w:tc>
        <w:tc>
          <w:tcPr>
            <w:tcW w:w="288" w:type="dxa"/>
          </w:tcPr>
          <w:p w14:paraId="1FF1775A" w14:textId="77777777" w:rsidR="00F65BCA" w:rsidRDefault="00F65BCA">
            <w:pPr>
              <w:pStyle w:val="TableParagraph"/>
              <w:rPr>
                <w:rFonts w:ascii="Calibri"/>
                <w:sz w:val="2"/>
              </w:rPr>
            </w:pPr>
          </w:p>
          <w:p w14:paraId="0D7C78D0" w14:textId="77777777" w:rsidR="00F65BCA" w:rsidRDefault="00216117">
            <w:pPr>
              <w:pStyle w:val="TableParagraph"/>
              <w:ind w:left="47"/>
              <w:rPr>
                <w:sz w:val="3"/>
              </w:rPr>
            </w:pPr>
            <w:r>
              <w:rPr>
                <w:w w:val="105"/>
                <w:sz w:val="3"/>
              </w:rPr>
              <w:t>1,63637500%</w:t>
            </w:r>
          </w:p>
        </w:tc>
        <w:tc>
          <w:tcPr>
            <w:tcW w:w="288" w:type="dxa"/>
          </w:tcPr>
          <w:p w14:paraId="7B33711E" w14:textId="77777777" w:rsidR="00F65BCA" w:rsidRDefault="00F65BCA">
            <w:pPr>
              <w:pStyle w:val="TableParagraph"/>
              <w:rPr>
                <w:rFonts w:ascii="Calibri"/>
                <w:sz w:val="2"/>
              </w:rPr>
            </w:pPr>
          </w:p>
          <w:p w14:paraId="7F877685" w14:textId="77777777" w:rsidR="00F65BCA" w:rsidRDefault="00216117">
            <w:pPr>
              <w:pStyle w:val="TableParagraph"/>
              <w:ind w:left="24" w:right="24"/>
              <w:jc w:val="center"/>
              <w:rPr>
                <w:sz w:val="3"/>
              </w:rPr>
            </w:pPr>
            <w:r>
              <w:rPr>
                <w:w w:val="105"/>
                <w:sz w:val="3"/>
              </w:rPr>
              <w:t>1,63637500%</w:t>
            </w:r>
          </w:p>
        </w:tc>
        <w:tc>
          <w:tcPr>
            <w:tcW w:w="288" w:type="dxa"/>
          </w:tcPr>
          <w:p w14:paraId="0ADAB871" w14:textId="77777777" w:rsidR="00F65BCA" w:rsidRDefault="00F65BCA">
            <w:pPr>
              <w:pStyle w:val="TableParagraph"/>
              <w:rPr>
                <w:rFonts w:ascii="Calibri"/>
                <w:sz w:val="2"/>
              </w:rPr>
            </w:pPr>
          </w:p>
          <w:p w14:paraId="03E27EBA" w14:textId="77777777" w:rsidR="00F65BCA" w:rsidRDefault="00216117">
            <w:pPr>
              <w:pStyle w:val="TableParagraph"/>
              <w:ind w:left="24" w:right="24"/>
              <w:jc w:val="center"/>
              <w:rPr>
                <w:sz w:val="3"/>
              </w:rPr>
            </w:pPr>
            <w:r>
              <w:rPr>
                <w:w w:val="105"/>
                <w:sz w:val="3"/>
              </w:rPr>
              <w:t>1,50546500%</w:t>
            </w:r>
          </w:p>
        </w:tc>
        <w:tc>
          <w:tcPr>
            <w:tcW w:w="288" w:type="dxa"/>
          </w:tcPr>
          <w:p w14:paraId="2324577A" w14:textId="77777777" w:rsidR="00F65BCA" w:rsidRDefault="00F65BCA">
            <w:pPr>
              <w:pStyle w:val="TableParagraph"/>
              <w:rPr>
                <w:rFonts w:ascii="Calibri"/>
                <w:sz w:val="2"/>
              </w:rPr>
            </w:pPr>
          </w:p>
          <w:p w14:paraId="443C95BF" w14:textId="77777777" w:rsidR="00F65BCA" w:rsidRDefault="00216117">
            <w:pPr>
              <w:pStyle w:val="TableParagraph"/>
              <w:ind w:left="24" w:right="24"/>
              <w:jc w:val="center"/>
              <w:rPr>
                <w:sz w:val="3"/>
              </w:rPr>
            </w:pPr>
            <w:r>
              <w:rPr>
                <w:w w:val="105"/>
                <w:sz w:val="3"/>
              </w:rPr>
              <w:t>1,44001000%</w:t>
            </w:r>
          </w:p>
        </w:tc>
        <w:tc>
          <w:tcPr>
            <w:tcW w:w="288" w:type="dxa"/>
          </w:tcPr>
          <w:p w14:paraId="6349A397" w14:textId="77777777" w:rsidR="00F65BCA" w:rsidRDefault="00F65BCA">
            <w:pPr>
              <w:pStyle w:val="TableParagraph"/>
              <w:rPr>
                <w:rFonts w:ascii="Calibri"/>
                <w:sz w:val="2"/>
              </w:rPr>
            </w:pPr>
          </w:p>
          <w:p w14:paraId="1B15C494" w14:textId="77777777" w:rsidR="00F65BCA" w:rsidRDefault="00216117">
            <w:pPr>
              <w:pStyle w:val="TableParagraph"/>
              <w:ind w:left="24" w:right="24"/>
              <w:jc w:val="center"/>
              <w:rPr>
                <w:sz w:val="3"/>
              </w:rPr>
            </w:pPr>
            <w:r>
              <w:rPr>
                <w:w w:val="105"/>
                <w:sz w:val="3"/>
              </w:rPr>
              <w:t>1,30910000%</w:t>
            </w:r>
          </w:p>
        </w:tc>
        <w:tc>
          <w:tcPr>
            <w:tcW w:w="288" w:type="dxa"/>
          </w:tcPr>
          <w:p w14:paraId="2D232ABF" w14:textId="77777777" w:rsidR="00F65BCA" w:rsidRDefault="00F65BCA">
            <w:pPr>
              <w:pStyle w:val="TableParagraph"/>
              <w:rPr>
                <w:rFonts w:ascii="Calibri"/>
                <w:sz w:val="2"/>
              </w:rPr>
            </w:pPr>
          </w:p>
          <w:p w14:paraId="392BB814" w14:textId="77777777" w:rsidR="00F65BCA" w:rsidRDefault="00216117">
            <w:pPr>
              <w:pStyle w:val="TableParagraph"/>
              <w:ind w:left="47"/>
              <w:rPr>
                <w:sz w:val="3"/>
              </w:rPr>
            </w:pPr>
            <w:r>
              <w:rPr>
                <w:w w:val="105"/>
                <w:sz w:val="3"/>
              </w:rPr>
              <w:t>1,30910000%</w:t>
            </w:r>
          </w:p>
        </w:tc>
      </w:tr>
      <w:tr w:rsidR="00F65BCA" w14:paraId="6E6B461E" w14:textId="77777777">
        <w:trPr>
          <w:trHeight w:val="81"/>
        </w:trPr>
        <w:tc>
          <w:tcPr>
            <w:tcW w:w="526" w:type="dxa"/>
            <w:vMerge w:val="restart"/>
            <w:tcBorders>
              <w:top w:val="nil"/>
              <w:bottom w:val="nil"/>
            </w:tcBorders>
            <w:shd w:val="clear" w:color="auto" w:fill="FCE4D6"/>
          </w:tcPr>
          <w:p w14:paraId="3D1D0001" w14:textId="77777777" w:rsidR="00F65BCA" w:rsidRDefault="00F65BCA">
            <w:pPr>
              <w:pStyle w:val="TableParagraph"/>
              <w:rPr>
                <w:rFonts w:ascii="Times New Roman"/>
                <w:sz w:val="2"/>
              </w:rPr>
            </w:pPr>
          </w:p>
        </w:tc>
        <w:tc>
          <w:tcPr>
            <w:tcW w:w="732" w:type="dxa"/>
            <w:vMerge w:val="restart"/>
            <w:tcBorders>
              <w:bottom w:val="nil"/>
            </w:tcBorders>
            <w:shd w:val="clear" w:color="auto" w:fill="FCE4D6"/>
          </w:tcPr>
          <w:p w14:paraId="1C960B38" w14:textId="77777777" w:rsidR="00F65BCA" w:rsidRDefault="00F65BCA">
            <w:pPr>
              <w:pStyle w:val="TableParagraph"/>
              <w:rPr>
                <w:rFonts w:ascii="Times New Roman"/>
                <w:sz w:val="2"/>
              </w:rPr>
            </w:pPr>
          </w:p>
        </w:tc>
        <w:tc>
          <w:tcPr>
            <w:tcW w:w="958" w:type="dxa"/>
            <w:gridSpan w:val="2"/>
            <w:vMerge w:val="restart"/>
            <w:shd w:val="clear" w:color="auto" w:fill="FCE4D6"/>
          </w:tcPr>
          <w:p w14:paraId="4339298D" w14:textId="77777777" w:rsidR="00F65BCA" w:rsidRDefault="00216117">
            <w:pPr>
              <w:pStyle w:val="TableParagraph"/>
              <w:spacing w:before="4" w:line="283" w:lineRule="auto"/>
              <w:ind w:left="4" w:right="15"/>
              <w:rPr>
                <w:sz w:val="3"/>
              </w:rPr>
            </w:pPr>
            <w:r>
              <w:rPr>
                <w:w w:val="105"/>
                <w:sz w:val="3"/>
              </w:rPr>
              <w:t>ACTROS; ANTOS; AROCS; ATEGO ŘADA 1800; ATEGO ŘADA 2500; ATEGO ŘADA 2600; AXOR; ECONIC; ŘADA MK 1800; ŘADA MK 2000; ŘADA MK 2500; ŘADA MK 2600; ŘADA MK</w:t>
            </w:r>
          </w:p>
          <w:p w14:paraId="02FBE7A2" w14:textId="77777777" w:rsidR="00F65BCA" w:rsidRDefault="00216117">
            <w:pPr>
              <w:pStyle w:val="TableParagraph"/>
              <w:spacing w:line="21" w:lineRule="exact"/>
              <w:ind w:left="4"/>
              <w:rPr>
                <w:sz w:val="3"/>
              </w:rPr>
            </w:pPr>
            <w:r>
              <w:rPr>
                <w:w w:val="105"/>
                <w:sz w:val="3"/>
              </w:rPr>
              <w:t>3200; ŘADA MK 3500; UNIMOG; ZETROS</w:t>
            </w:r>
          </w:p>
        </w:tc>
        <w:tc>
          <w:tcPr>
            <w:tcW w:w="576" w:type="dxa"/>
            <w:shd w:val="clear" w:color="auto" w:fill="FCE4D6"/>
          </w:tcPr>
          <w:p w14:paraId="14F1EA6D" w14:textId="77777777" w:rsidR="00F65BCA" w:rsidRDefault="00F65BCA">
            <w:pPr>
              <w:pStyle w:val="TableParagraph"/>
              <w:rPr>
                <w:rFonts w:ascii="Calibri"/>
                <w:sz w:val="2"/>
              </w:rPr>
            </w:pPr>
          </w:p>
          <w:p w14:paraId="1FBB1066" w14:textId="77777777" w:rsidR="00F65BCA" w:rsidRDefault="00216117">
            <w:pPr>
              <w:pStyle w:val="TableParagraph"/>
              <w:ind w:left="3"/>
              <w:jc w:val="center"/>
              <w:rPr>
                <w:sz w:val="3"/>
              </w:rPr>
            </w:pPr>
            <w:r>
              <w:rPr>
                <w:w w:val="103"/>
                <w:sz w:val="3"/>
              </w:rPr>
              <w:t>-</w:t>
            </w:r>
          </w:p>
        </w:tc>
        <w:tc>
          <w:tcPr>
            <w:tcW w:w="576" w:type="dxa"/>
            <w:shd w:val="clear" w:color="auto" w:fill="FCE4D6"/>
          </w:tcPr>
          <w:p w14:paraId="6670D765" w14:textId="77777777" w:rsidR="00F65BCA" w:rsidRDefault="00F65BCA">
            <w:pPr>
              <w:pStyle w:val="TableParagraph"/>
              <w:rPr>
                <w:rFonts w:ascii="Calibri"/>
                <w:sz w:val="2"/>
              </w:rPr>
            </w:pPr>
          </w:p>
          <w:p w14:paraId="12041C54" w14:textId="77777777" w:rsidR="00F65BCA" w:rsidRDefault="00216117">
            <w:pPr>
              <w:pStyle w:val="TableParagraph"/>
              <w:ind w:left="210"/>
              <w:rPr>
                <w:sz w:val="3"/>
              </w:rPr>
            </w:pPr>
            <w:r>
              <w:rPr>
                <w:w w:val="105"/>
                <w:sz w:val="3"/>
              </w:rPr>
              <w:t>0-12000 kg</w:t>
            </w:r>
          </w:p>
        </w:tc>
        <w:tc>
          <w:tcPr>
            <w:tcW w:w="50" w:type="dxa"/>
            <w:vMerge/>
            <w:tcBorders>
              <w:top w:val="nil"/>
              <w:bottom w:val="nil"/>
            </w:tcBorders>
          </w:tcPr>
          <w:p w14:paraId="42BF85CD" w14:textId="77777777" w:rsidR="00F65BCA" w:rsidRDefault="00F65BCA">
            <w:pPr>
              <w:rPr>
                <w:sz w:val="2"/>
                <w:szCs w:val="2"/>
              </w:rPr>
            </w:pPr>
          </w:p>
        </w:tc>
        <w:tc>
          <w:tcPr>
            <w:tcW w:w="288" w:type="dxa"/>
          </w:tcPr>
          <w:p w14:paraId="487CE7A8" w14:textId="77777777" w:rsidR="00F65BCA" w:rsidRDefault="00F65BCA">
            <w:pPr>
              <w:pStyle w:val="TableParagraph"/>
              <w:rPr>
                <w:rFonts w:ascii="Calibri"/>
                <w:sz w:val="2"/>
              </w:rPr>
            </w:pPr>
          </w:p>
          <w:p w14:paraId="7ACFFE3B" w14:textId="77777777" w:rsidR="00F65BCA" w:rsidRDefault="00216117">
            <w:pPr>
              <w:pStyle w:val="TableParagraph"/>
              <w:ind w:left="24" w:right="24"/>
              <w:jc w:val="center"/>
              <w:rPr>
                <w:sz w:val="3"/>
              </w:rPr>
            </w:pPr>
            <w:r>
              <w:rPr>
                <w:w w:val="105"/>
                <w:sz w:val="3"/>
              </w:rPr>
              <w:t>2,01400000%</w:t>
            </w:r>
          </w:p>
        </w:tc>
        <w:tc>
          <w:tcPr>
            <w:tcW w:w="288" w:type="dxa"/>
          </w:tcPr>
          <w:p w14:paraId="18591459" w14:textId="77777777" w:rsidR="00F65BCA" w:rsidRDefault="00F65BCA">
            <w:pPr>
              <w:pStyle w:val="TableParagraph"/>
              <w:rPr>
                <w:rFonts w:ascii="Calibri"/>
                <w:sz w:val="2"/>
              </w:rPr>
            </w:pPr>
          </w:p>
          <w:p w14:paraId="2C6E5800" w14:textId="77777777" w:rsidR="00F65BCA" w:rsidRDefault="00216117">
            <w:pPr>
              <w:pStyle w:val="TableParagraph"/>
              <w:ind w:left="24" w:right="24"/>
              <w:jc w:val="center"/>
              <w:rPr>
                <w:sz w:val="3"/>
              </w:rPr>
            </w:pPr>
            <w:r>
              <w:rPr>
                <w:w w:val="105"/>
                <w:sz w:val="3"/>
              </w:rPr>
              <w:t>1,80200000%</w:t>
            </w:r>
          </w:p>
        </w:tc>
        <w:tc>
          <w:tcPr>
            <w:tcW w:w="288" w:type="dxa"/>
          </w:tcPr>
          <w:p w14:paraId="2032BE49" w14:textId="77777777" w:rsidR="00F65BCA" w:rsidRDefault="00F65BCA">
            <w:pPr>
              <w:pStyle w:val="TableParagraph"/>
              <w:rPr>
                <w:rFonts w:ascii="Calibri"/>
                <w:sz w:val="2"/>
              </w:rPr>
            </w:pPr>
          </w:p>
          <w:p w14:paraId="55BAB888" w14:textId="77777777" w:rsidR="00F65BCA" w:rsidRDefault="00216117">
            <w:pPr>
              <w:pStyle w:val="TableParagraph"/>
              <w:ind w:left="47"/>
              <w:rPr>
                <w:sz w:val="3"/>
              </w:rPr>
            </w:pPr>
            <w:r>
              <w:rPr>
                <w:w w:val="105"/>
                <w:sz w:val="3"/>
              </w:rPr>
              <w:t>1,80200000%</w:t>
            </w:r>
          </w:p>
        </w:tc>
        <w:tc>
          <w:tcPr>
            <w:tcW w:w="288" w:type="dxa"/>
          </w:tcPr>
          <w:p w14:paraId="77461437" w14:textId="77777777" w:rsidR="00F65BCA" w:rsidRDefault="00F65BCA">
            <w:pPr>
              <w:pStyle w:val="TableParagraph"/>
              <w:rPr>
                <w:rFonts w:ascii="Calibri"/>
                <w:sz w:val="2"/>
              </w:rPr>
            </w:pPr>
          </w:p>
          <w:p w14:paraId="568287E0" w14:textId="77777777" w:rsidR="00F65BCA" w:rsidRDefault="00216117">
            <w:pPr>
              <w:pStyle w:val="TableParagraph"/>
              <w:ind w:left="24" w:right="24"/>
              <w:jc w:val="center"/>
              <w:rPr>
                <w:sz w:val="3"/>
              </w:rPr>
            </w:pPr>
            <w:r>
              <w:rPr>
                <w:w w:val="105"/>
                <w:sz w:val="3"/>
              </w:rPr>
              <w:t>1,64300000%</w:t>
            </w:r>
          </w:p>
        </w:tc>
        <w:tc>
          <w:tcPr>
            <w:tcW w:w="288" w:type="dxa"/>
          </w:tcPr>
          <w:p w14:paraId="68A38CFD" w14:textId="77777777" w:rsidR="00F65BCA" w:rsidRDefault="00F65BCA">
            <w:pPr>
              <w:pStyle w:val="TableParagraph"/>
              <w:rPr>
                <w:rFonts w:ascii="Calibri"/>
                <w:sz w:val="2"/>
              </w:rPr>
            </w:pPr>
          </w:p>
          <w:p w14:paraId="6564C656" w14:textId="77777777" w:rsidR="00F65BCA" w:rsidRDefault="00216117">
            <w:pPr>
              <w:pStyle w:val="TableParagraph"/>
              <w:ind w:left="47"/>
              <w:rPr>
                <w:sz w:val="3"/>
              </w:rPr>
            </w:pPr>
            <w:r>
              <w:rPr>
                <w:w w:val="105"/>
                <w:sz w:val="3"/>
              </w:rPr>
              <w:t>1,64300000%</w:t>
            </w:r>
          </w:p>
        </w:tc>
        <w:tc>
          <w:tcPr>
            <w:tcW w:w="288" w:type="dxa"/>
          </w:tcPr>
          <w:p w14:paraId="6619B7D1" w14:textId="77777777" w:rsidR="00F65BCA" w:rsidRDefault="00F65BCA">
            <w:pPr>
              <w:pStyle w:val="TableParagraph"/>
              <w:rPr>
                <w:rFonts w:ascii="Calibri"/>
                <w:sz w:val="2"/>
              </w:rPr>
            </w:pPr>
          </w:p>
          <w:p w14:paraId="03ADC052" w14:textId="77777777" w:rsidR="00F65BCA" w:rsidRDefault="00216117">
            <w:pPr>
              <w:pStyle w:val="TableParagraph"/>
              <w:ind w:left="24" w:right="24"/>
              <w:jc w:val="center"/>
              <w:rPr>
                <w:sz w:val="3"/>
              </w:rPr>
            </w:pPr>
            <w:r>
              <w:rPr>
                <w:w w:val="105"/>
                <w:sz w:val="3"/>
              </w:rPr>
              <w:t>1,48400000%</w:t>
            </w:r>
          </w:p>
        </w:tc>
        <w:tc>
          <w:tcPr>
            <w:tcW w:w="288" w:type="dxa"/>
          </w:tcPr>
          <w:p w14:paraId="3BB7B2C7" w14:textId="77777777" w:rsidR="00F65BCA" w:rsidRDefault="00F65BCA">
            <w:pPr>
              <w:pStyle w:val="TableParagraph"/>
              <w:rPr>
                <w:rFonts w:ascii="Calibri"/>
                <w:sz w:val="2"/>
              </w:rPr>
            </w:pPr>
          </w:p>
          <w:p w14:paraId="11523D7C" w14:textId="77777777" w:rsidR="00F65BCA" w:rsidRDefault="00216117">
            <w:pPr>
              <w:pStyle w:val="TableParagraph"/>
              <w:ind w:left="24" w:right="24"/>
              <w:jc w:val="center"/>
              <w:rPr>
                <w:sz w:val="3"/>
              </w:rPr>
            </w:pPr>
            <w:r>
              <w:rPr>
                <w:w w:val="105"/>
                <w:sz w:val="3"/>
              </w:rPr>
              <w:t>1,48400000%</w:t>
            </w:r>
          </w:p>
        </w:tc>
        <w:tc>
          <w:tcPr>
            <w:tcW w:w="288" w:type="dxa"/>
          </w:tcPr>
          <w:p w14:paraId="1B0D7293" w14:textId="77777777" w:rsidR="00F65BCA" w:rsidRDefault="00F65BCA">
            <w:pPr>
              <w:pStyle w:val="TableParagraph"/>
              <w:rPr>
                <w:rFonts w:ascii="Calibri"/>
                <w:sz w:val="2"/>
              </w:rPr>
            </w:pPr>
          </w:p>
          <w:p w14:paraId="6DF1318A" w14:textId="77777777" w:rsidR="00F65BCA" w:rsidRDefault="00216117">
            <w:pPr>
              <w:pStyle w:val="TableParagraph"/>
              <w:ind w:left="47"/>
              <w:rPr>
                <w:sz w:val="3"/>
              </w:rPr>
            </w:pPr>
            <w:r>
              <w:rPr>
                <w:w w:val="105"/>
                <w:sz w:val="3"/>
              </w:rPr>
              <w:t>1,32500000%</w:t>
            </w:r>
          </w:p>
        </w:tc>
        <w:tc>
          <w:tcPr>
            <w:tcW w:w="288" w:type="dxa"/>
          </w:tcPr>
          <w:p w14:paraId="5906678E" w14:textId="77777777" w:rsidR="00F65BCA" w:rsidRDefault="00F65BCA">
            <w:pPr>
              <w:pStyle w:val="TableParagraph"/>
              <w:rPr>
                <w:rFonts w:ascii="Calibri"/>
                <w:sz w:val="2"/>
              </w:rPr>
            </w:pPr>
          </w:p>
          <w:p w14:paraId="65BF8621" w14:textId="77777777" w:rsidR="00F65BCA" w:rsidRDefault="00216117">
            <w:pPr>
              <w:pStyle w:val="TableParagraph"/>
              <w:ind w:left="24" w:right="24"/>
              <w:jc w:val="center"/>
              <w:rPr>
                <w:sz w:val="3"/>
              </w:rPr>
            </w:pPr>
            <w:r>
              <w:rPr>
                <w:w w:val="105"/>
                <w:sz w:val="3"/>
              </w:rPr>
              <w:t>1,32500000%</w:t>
            </w:r>
          </w:p>
        </w:tc>
        <w:tc>
          <w:tcPr>
            <w:tcW w:w="288" w:type="dxa"/>
          </w:tcPr>
          <w:p w14:paraId="7F898E21" w14:textId="77777777" w:rsidR="00F65BCA" w:rsidRDefault="00F65BCA">
            <w:pPr>
              <w:pStyle w:val="TableParagraph"/>
              <w:rPr>
                <w:rFonts w:ascii="Calibri"/>
                <w:sz w:val="2"/>
              </w:rPr>
            </w:pPr>
          </w:p>
          <w:p w14:paraId="5B1E88A4" w14:textId="77777777" w:rsidR="00F65BCA" w:rsidRDefault="00216117">
            <w:pPr>
              <w:pStyle w:val="TableParagraph"/>
              <w:ind w:left="24" w:right="24"/>
              <w:jc w:val="center"/>
              <w:rPr>
                <w:sz w:val="3"/>
              </w:rPr>
            </w:pPr>
            <w:r>
              <w:rPr>
                <w:w w:val="105"/>
                <w:sz w:val="3"/>
              </w:rPr>
              <w:t>1,21900000%</w:t>
            </w:r>
          </w:p>
        </w:tc>
        <w:tc>
          <w:tcPr>
            <w:tcW w:w="288" w:type="dxa"/>
          </w:tcPr>
          <w:p w14:paraId="3D6CD0C6" w14:textId="77777777" w:rsidR="00F65BCA" w:rsidRDefault="00F65BCA">
            <w:pPr>
              <w:pStyle w:val="TableParagraph"/>
              <w:rPr>
                <w:rFonts w:ascii="Calibri"/>
                <w:sz w:val="2"/>
              </w:rPr>
            </w:pPr>
          </w:p>
          <w:p w14:paraId="12920390" w14:textId="77777777" w:rsidR="00F65BCA" w:rsidRDefault="00216117">
            <w:pPr>
              <w:pStyle w:val="TableParagraph"/>
              <w:ind w:left="24" w:right="24"/>
              <w:jc w:val="center"/>
              <w:rPr>
                <w:sz w:val="3"/>
              </w:rPr>
            </w:pPr>
            <w:r>
              <w:rPr>
                <w:w w:val="105"/>
                <w:sz w:val="3"/>
              </w:rPr>
              <w:t>1,16600000%</w:t>
            </w:r>
          </w:p>
        </w:tc>
        <w:tc>
          <w:tcPr>
            <w:tcW w:w="288" w:type="dxa"/>
          </w:tcPr>
          <w:p w14:paraId="069F77AB" w14:textId="77777777" w:rsidR="00F65BCA" w:rsidRDefault="00F65BCA">
            <w:pPr>
              <w:pStyle w:val="TableParagraph"/>
              <w:rPr>
                <w:rFonts w:ascii="Calibri"/>
                <w:sz w:val="2"/>
              </w:rPr>
            </w:pPr>
          </w:p>
          <w:p w14:paraId="2EBE921F" w14:textId="77777777" w:rsidR="00F65BCA" w:rsidRDefault="00216117">
            <w:pPr>
              <w:pStyle w:val="TableParagraph"/>
              <w:ind w:left="24" w:right="24"/>
              <w:jc w:val="center"/>
              <w:rPr>
                <w:sz w:val="3"/>
              </w:rPr>
            </w:pPr>
            <w:r>
              <w:rPr>
                <w:w w:val="105"/>
                <w:sz w:val="3"/>
              </w:rPr>
              <w:t>1,06000000%</w:t>
            </w:r>
          </w:p>
        </w:tc>
        <w:tc>
          <w:tcPr>
            <w:tcW w:w="288" w:type="dxa"/>
          </w:tcPr>
          <w:p w14:paraId="5FF86F2D" w14:textId="77777777" w:rsidR="00F65BCA" w:rsidRDefault="00F65BCA">
            <w:pPr>
              <w:pStyle w:val="TableParagraph"/>
              <w:rPr>
                <w:rFonts w:ascii="Calibri"/>
                <w:sz w:val="2"/>
              </w:rPr>
            </w:pPr>
          </w:p>
          <w:p w14:paraId="58CDE8DD" w14:textId="77777777" w:rsidR="00F65BCA" w:rsidRDefault="00216117">
            <w:pPr>
              <w:pStyle w:val="TableParagraph"/>
              <w:ind w:left="47"/>
              <w:rPr>
                <w:sz w:val="3"/>
              </w:rPr>
            </w:pPr>
            <w:r>
              <w:rPr>
                <w:w w:val="105"/>
                <w:sz w:val="3"/>
              </w:rPr>
              <w:t>1,06000000%</w:t>
            </w:r>
          </w:p>
        </w:tc>
      </w:tr>
      <w:tr w:rsidR="00F65BCA" w14:paraId="65BE22FB" w14:textId="77777777">
        <w:trPr>
          <w:trHeight w:val="81"/>
        </w:trPr>
        <w:tc>
          <w:tcPr>
            <w:tcW w:w="526" w:type="dxa"/>
            <w:vMerge/>
            <w:tcBorders>
              <w:top w:val="nil"/>
              <w:bottom w:val="nil"/>
            </w:tcBorders>
            <w:shd w:val="clear" w:color="auto" w:fill="FCE4D6"/>
          </w:tcPr>
          <w:p w14:paraId="246DD2F4" w14:textId="77777777" w:rsidR="00F65BCA" w:rsidRDefault="00F65BCA">
            <w:pPr>
              <w:rPr>
                <w:sz w:val="2"/>
                <w:szCs w:val="2"/>
              </w:rPr>
            </w:pPr>
          </w:p>
        </w:tc>
        <w:tc>
          <w:tcPr>
            <w:tcW w:w="732" w:type="dxa"/>
            <w:vMerge/>
            <w:tcBorders>
              <w:top w:val="nil"/>
              <w:bottom w:val="nil"/>
            </w:tcBorders>
            <w:shd w:val="clear" w:color="auto" w:fill="FCE4D6"/>
          </w:tcPr>
          <w:p w14:paraId="24429D67" w14:textId="77777777" w:rsidR="00F65BCA" w:rsidRDefault="00F65BCA">
            <w:pPr>
              <w:rPr>
                <w:sz w:val="2"/>
                <w:szCs w:val="2"/>
              </w:rPr>
            </w:pPr>
          </w:p>
        </w:tc>
        <w:tc>
          <w:tcPr>
            <w:tcW w:w="958" w:type="dxa"/>
            <w:gridSpan w:val="2"/>
            <w:vMerge/>
            <w:tcBorders>
              <w:top w:val="nil"/>
            </w:tcBorders>
            <w:shd w:val="clear" w:color="auto" w:fill="FCE4D6"/>
          </w:tcPr>
          <w:p w14:paraId="2A9D4C30" w14:textId="77777777" w:rsidR="00F65BCA" w:rsidRDefault="00F65BCA">
            <w:pPr>
              <w:rPr>
                <w:sz w:val="2"/>
                <w:szCs w:val="2"/>
              </w:rPr>
            </w:pPr>
          </w:p>
        </w:tc>
        <w:tc>
          <w:tcPr>
            <w:tcW w:w="576" w:type="dxa"/>
            <w:shd w:val="clear" w:color="auto" w:fill="FCE4D6"/>
          </w:tcPr>
          <w:p w14:paraId="6F80AA1F" w14:textId="77777777" w:rsidR="00F65BCA" w:rsidRDefault="00F65BCA">
            <w:pPr>
              <w:pStyle w:val="TableParagraph"/>
              <w:rPr>
                <w:rFonts w:ascii="Calibri"/>
                <w:sz w:val="2"/>
              </w:rPr>
            </w:pPr>
          </w:p>
          <w:p w14:paraId="360B5B8D" w14:textId="77777777" w:rsidR="00F65BCA" w:rsidRDefault="00216117">
            <w:pPr>
              <w:pStyle w:val="TableParagraph"/>
              <w:ind w:left="4"/>
              <w:jc w:val="center"/>
              <w:rPr>
                <w:sz w:val="3"/>
              </w:rPr>
            </w:pPr>
            <w:r>
              <w:rPr>
                <w:w w:val="103"/>
                <w:sz w:val="3"/>
              </w:rPr>
              <w:t>-</w:t>
            </w:r>
          </w:p>
        </w:tc>
        <w:tc>
          <w:tcPr>
            <w:tcW w:w="576" w:type="dxa"/>
            <w:shd w:val="clear" w:color="auto" w:fill="FCE4D6"/>
          </w:tcPr>
          <w:p w14:paraId="6CC40676" w14:textId="77777777" w:rsidR="00F65BCA" w:rsidRDefault="00F65BCA">
            <w:pPr>
              <w:pStyle w:val="TableParagraph"/>
              <w:rPr>
                <w:rFonts w:ascii="Calibri"/>
                <w:sz w:val="2"/>
              </w:rPr>
            </w:pPr>
          </w:p>
          <w:p w14:paraId="3738DFB1" w14:textId="77777777" w:rsidR="00F65BCA" w:rsidRDefault="00216117">
            <w:pPr>
              <w:pStyle w:val="TableParagraph"/>
              <w:ind w:left="212"/>
              <w:rPr>
                <w:sz w:val="3"/>
              </w:rPr>
            </w:pPr>
            <w:r>
              <w:rPr>
                <w:w w:val="105"/>
                <w:sz w:val="3"/>
              </w:rPr>
              <w:t>&gt;12000 kg</w:t>
            </w:r>
          </w:p>
        </w:tc>
        <w:tc>
          <w:tcPr>
            <w:tcW w:w="50" w:type="dxa"/>
            <w:vMerge/>
            <w:tcBorders>
              <w:top w:val="nil"/>
              <w:bottom w:val="nil"/>
            </w:tcBorders>
          </w:tcPr>
          <w:p w14:paraId="1BEA68D6" w14:textId="77777777" w:rsidR="00F65BCA" w:rsidRDefault="00F65BCA">
            <w:pPr>
              <w:rPr>
                <w:sz w:val="2"/>
                <w:szCs w:val="2"/>
              </w:rPr>
            </w:pPr>
          </w:p>
        </w:tc>
        <w:tc>
          <w:tcPr>
            <w:tcW w:w="288" w:type="dxa"/>
          </w:tcPr>
          <w:p w14:paraId="0AC4A3ED" w14:textId="77777777" w:rsidR="00F65BCA" w:rsidRDefault="00F65BCA">
            <w:pPr>
              <w:pStyle w:val="TableParagraph"/>
              <w:rPr>
                <w:rFonts w:ascii="Calibri"/>
                <w:sz w:val="2"/>
              </w:rPr>
            </w:pPr>
          </w:p>
          <w:p w14:paraId="34D167D5" w14:textId="77777777" w:rsidR="00F65BCA" w:rsidRDefault="00216117">
            <w:pPr>
              <w:pStyle w:val="TableParagraph"/>
              <w:ind w:left="24" w:right="24"/>
              <w:jc w:val="center"/>
              <w:rPr>
                <w:sz w:val="3"/>
              </w:rPr>
            </w:pPr>
            <w:r>
              <w:rPr>
                <w:w w:val="105"/>
                <w:sz w:val="3"/>
              </w:rPr>
              <w:t>2,48729000%</w:t>
            </w:r>
          </w:p>
        </w:tc>
        <w:tc>
          <w:tcPr>
            <w:tcW w:w="288" w:type="dxa"/>
          </w:tcPr>
          <w:p w14:paraId="60891AB6" w14:textId="77777777" w:rsidR="00F65BCA" w:rsidRDefault="00F65BCA">
            <w:pPr>
              <w:pStyle w:val="TableParagraph"/>
              <w:rPr>
                <w:rFonts w:ascii="Calibri"/>
                <w:sz w:val="2"/>
              </w:rPr>
            </w:pPr>
          </w:p>
          <w:p w14:paraId="06D2AB23" w14:textId="77777777" w:rsidR="00F65BCA" w:rsidRDefault="00216117">
            <w:pPr>
              <w:pStyle w:val="TableParagraph"/>
              <w:ind w:left="24" w:right="24"/>
              <w:jc w:val="center"/>
              <w:rPr>
                <w:sz w:val="3"/>
              </w:rPr>
            </w:pPr>
            <w:r>
              <w:rPr>
                <w:w w:val="105"/>
                <w:sz w:val="3"/>
              </w:rPr>
              <w:t>2,22547000%</w:t>
            </w:r>
          </w:p>
        </w:tc>
        <w:tc>
          <w:tcPr>
            <w:tcW w:w="288" w:type="dxa"/>
          </w:tcPr>
          <w:p w14:paraId="5AFC0A39" w14:textId="77777777" w:rsidR="00F65BCA" w:rsidRDefault="00F65BCA">
            <w:pPr>
              <w:pStyle w:val="TableParagraph"/>
              <w:rPr>
                <w:rFonts w:ascii="Calibri"/>
                <w:sz w:val="2"/>
              </w:rPr>
            </w:pPr>
          </w:p>
          <w:p w14:paraId="12210281" w14:textId="77777777" w:rsidR="00F65BCA" w:rsidRDefault="00216117">
            <w:pPr>
              <w:pStyle w:val="TableParagraph"/>
              <w:ind w:left="47"/>
              <w:rPr>
                <w:sz w:val="3"/>
              </w:rPr>
            </w:pPr>
            <w:r>
              <w:rPr>
                <w:w w:val="105"/>
                <w:sz w:val="3"/>
              </w:rPr>
              <w:t>2,22547000%</w:t>
            </w:r>
          </w:p>
        </w:tc>
        <w:tc>
          <w:tcPr>
            <w:tcW w:w="288" w:type="dxa"/>
          </w:tcPr>
          <w:p w14:paraId="1769C185" w14:textId="77777777" w:rsidR="00F65BCA" w:rsidRDefault="00F65BCA">
            <w:pPr>
              <w:pStyle w:val="TableParagraph"/>
              <w:rPr>
                <w:rFonts w:ascii="Calibri"/>
                <w:sz w:val="2"/>
              </w:rPr>
            </w:pPr>
          </w:p>
          <w:p w14:paraId="4F31B6B3" w14:textId="77777777" w:rsidR="00F65BCA" w:rsidRDefault="00216117">
            <w:pPr>
              <w:pStyle w:val="TableParagraph"/>
              <w:ind w:left="24" w:right="24"/>
              <w:jc w:val="center"/>
              <w:rPr>
                <w:sz w:val="3"/>
              </w:rPr>
            </w:pPr>
            <w:r>
              <w:rPr>
                <w:w w:val="105"/>
                <w:sz w:val="3"/>
              </w:rPr>
              <w:t>2,02910500%</w:t>
            </w:r>
          </w:p>
        </w:tc>
        <w:tc>
          <w:tcPr>
            <w:tcW w:w="288" w:type="dxa"/>
          </w:tcPr>
          <w:p w14:paraId="413AD163" w14:textId="77777777" w:rsidR="00F65BCA" w:rsidRDefault="00F65BCA">
            <w:pPr>
              <w:pStyle w:val="TableParagraph"/>
              <w:rPr>
                <w:rFonts w:ascii="Calibri"/>
                <w:sz w:val="2"/>
              </w:rPr>
            </w:pPr>
          </w:p>
          <w:p w14:paraId="087F8D13" w14:textId="77777777" w:rsidR="00F65BCA" w:rsidRDefault="00216117">
            <w:pPr>
              <w:pStyle w:val="TableParagraph"/>
              <w:ind w:left="47"/>
              <w:rPr>
                <w:sz w:val="3"/>
              </w:rPr>
            </w:pPr>
            <w:r>
              <w:rPr>
                <w:w w:val="105"/>
                <w:sz w:val="3"/>
              </w:rPr>
              <w:t>2,02910500%</w:t>
            </w:r>
          </w:p>
        </w:tc>
        <w:tc>
          <w:tcPr>
            <w:tcW w:w="288" w:type="dxa"/>
          </w:tcPr>
          <w:p w14:paraId="2053B7AB" w14:textId="77777777" w:rsidR="00F65BCA" w:rsidRDefault="00F65BCA">
            <w:pPr>
              <w:pStyle w:val="TableParagraph"/>
              <w:rPr>
                <w:rFonts w:ascii="Calibri"/>
                <w:sz w:val="2"/>
              </w:rPr>
            </w:pPr>
          </w:p>
          <w:p w14:paraId="46B9E394" w14:textId="77777777" w:rsidR="00F65BCA" w:rsidRDefault="00216117">
            <w:pPr>
              <w:pStyle w:val="TableParagraph"/>
              <w:ind w:left="24" w:right="24"/>
              <w:jc w:val="center"/>
              <w:rPr>
                <w:sz w:val="3"/>
              </w:rPr>
            </w:pPr>
            <w:r>
              <w:rPr>
                <w:w w:val="105"/>
                <w:sz w:val="3"/>
              </w:rPr>
              <w:t>1,83274000%</w:t>
            </w:r>
          </w:p>
        </w:tc>
        <w:tc>
          <w:tcPr>
            <w:tcW w:w="288" w:type="dxa"/>
          </w:tcPr>
          <w:p w14:paraId="645C710A" w14:textId="77777777" w:rsidR="00F65BCA" w:rsidRDefault="00F65BCA">
            <w:pPr>
              <w:pStyle w:val="TableParagraph"/>
              <w:rPr>
                <w:rFonts w:ascii="Calibri"/>
                <w:sz w:val="2"/>
              </w:rPr>
            </w:pPr>
          </w:p>
          <w:p w14:paraId="49698963" w14:textId="77777777" w:rsidR="00F65BCA" w:rsidRDefault="00216117">
            <w:pPr>
              <w:pStyle w:val="TableParagraph"/>
              <w:ind w:left="24" w:right="24"/>
              <w:jc w:val="center"/>
              <w:rPr>
                <w:sz w:val="3"/>
              </w:rPr>
            </w:pPr>
            <w:r>
              <w:rPr>
                <w:w w:val="105"/>
                <w:sz w:val="3"/>
              </w:rPr>
              <w:t>1,83274000%</w:t>
            </w:r>
          </w:p>
        </w:tc>
        <w:tc>
          <w:tcPr>
            <w:tcW w:w="288" w:type="dxa"/>
          </w:tcPr>
          <w:p w14:paraId="70C8855C" w14:textId="77777777" w:rsidR="00F65BCA" w:rsidRDefault="00F65BCA">
            <w:pPr>
              <w:pStyle w:val="TableParagraph"/>
              <w:rPr>
                <w:rFonts w:ascii="Calibri"/>
                <w:sz w:val="2"/>
              </w:rPr>
            </w:pPr>
          </w:p>
          <w:p w14:paraId="57B117ED" w14:textId="77777777" w:rsidR="00F65BCA" w:rsidRDefault="00216117">
            <w:pPr>
              <w:pStyle w:val="TableParagraph"/>
              <w:ind w:left="47"/>
              <w:rPr>
                <w:sz w:val="3"/>
              </w:rPr>
            </w:pPr>
            <w:r>
              <w:rPr>
                <w:w w:val="105"/>
                <w:sz w:val="3"/>
              </w:rPr>
              <w:t>1,63637500%</w:t>
            </w:r>
          </w:p>
        </w:tc>
        <w:tc>
          <w:tcPr>
            <w:tcW w:w="288" w:type="dxa"/>
          </w:tcPr>
          <w:p w14:paraId="3FEFC287" w14:textId="77777777" w:rsidR="00F65BCA" w:rsidRDefault="00F65BCA">
            <w:pPr>
              <w:pStyle w:val="TableParagraph"/>
              <w:rPr>
                <w:rFonts w:ascii="Calibri"/>
                <w:sz w:val="2"/>
              </w:rPr>
            </w:pPr>
          </w:p>
          <w:p w14:paraId="6C06904E" w14:textId="77777777" w:rsidR="00F65BCA" w:rsidRDefault="00216117">
            <w:pPr>
              <w:pStyle w:val="TableParagraph"/>
              <w:ind w:left="24" w:right="24"/>
              <w:jc w:val="center"/>
              <w:rPr>
                <w:sz w:val="3"/>
              </w:rPr>
            </w:pPr>
            <w:r>
              <w:rPr>
                <w:w w:val="105"/>
                <w:sz w:val="3"/>
              </w:rPr>
              <w:t>1,63637500%</w:t>
            </w:r>
          </w:p>
        </w:tc>
        <w:tc>
          <w:tcPr>
            <w:tcW w:w="288" w:type="dxa"/>
          </w:tcPr>
          <w:p w14:paraId="52DAE351" w14:textId="77777777" w:rsidR="00F65BCA" w:rsidRDefault="00F65BCA">
            <w:pPr>
              <w:pStyle w:val="TableParagraph"/>
              <w:rPr>
                <w:rFonts w:ascii="Calibri"/>
                <w:sz w:val="2"/>
              </w:rPr>
            </w:pPr>
          </w:p>
          <w:p w14:paraId="324F7251" w14:textId="77777777" w:rsidR="00F65BCA" w:rsidRDefault="00216117">
            <w:pPr>
              <w:pStyle w:val="TableParagraph"/>
              <w:ind w:left="24" w:right="24"/>
              <w:jc w:val="center"/>
              <w:rPr>
                <w:sz w:val="3"/>
              </w:rPr>
            </w:pPr>
            <w:r>
              <w:rPr>
                <w:w w:val="105"/>
                <w:sz w:val="3"/>
              </w:rPr>
              <w:t>1,50546500%</w:t>
            </w:r>
          </w:p>
        </w:tc>
        <w:tc>
          <w:tcPr>
            <w:tcW w:w="288" w:type="dxa"/>
          </w:tcPr>
          <w:p w14:paraId="2CE169BD" w14:textId="77777777" w:rsidR="00F65BCA" w:rsidRDefault="00F65BCA">
            <w:pPr>
              <w:pStyle w:val="TableParagraph"/>
              <w:rPr>
                <w:rFonts w:ascii="Calibri"/>
                <w:sz w:val="2"/>
              </w:rPr>
            </w:pPr>
          </w:p>
          <w:p w14:paraId="5EA2491B" w14:textId="77777777" w:rsidR="00F65BCA" w:rsidRDefault="00216117">
            <w:pPr>
              <w:pStyle w:val="TableParagraph"/>
              <w:ind w:left="24" w:right="24"/>
              <w:jc w:val="center"/>
              <w:rPr>
                <w:sz w:val="3"/>
              </w:rPr>
            </w:pPr>
            <w:r>
              <w:rPr>
                <w:w w:val="105"/>
                <w:sz w:val="3"/>
              </w:rPr>
              <w:t>1,44001000%</w:t>
            </w:r>
          </w:p>
        </w:tc>
        <w:tc>
          <w:tcPr>
            <w:tcW w:w="288" w:type="dxa"/>
          </w:tcPr>
          <w:p w14:paraId="12DB7BA9" w14:textId="77777777" w:rsidR="00F65BCA" w:rsidRDefault="00F65BCA">
            <w:pPr>
              <w:pStyle w:val="TableParagraph"/>
              <w:rPr>
                <w:rFonts w:ascii="Calibri"/>
                <w:sz w:val="2"/>
              </w:rPr>
            </w:pPr>
          </w:p>
          <w:p w14:paraId="0923B6A0" w14:textId="77777777" w:rsidR="00F65BCA" w:rsidRDefault="00216117">
            <w:pPr>
              <w:pStyle w:val="TableParagraph"/>
              <w:ind w:left="24" w:right="24"/>
              <w:jc w:val="center"/>
              <w:rPr>
                <w:sz w:val="3"/>
              </w:rPr>
            </w:pPr>
            <w:r>
              <w:rPr>
                <w:w w:val="105"/>
                <w:sz w:val="3"/>
              </w:rPr>
              <w:t>1,30910000%</w:t>
            </w:r>
          </w:p>
        </w:tc>
        <w:tc>
          <w:tcPr>
            <w:tcW w:w="288" w:type="dxa"/>
          </w:tcPr>
          <w:p w14:paraId="3A21BC64" w14:textId="77777777" w:rsidR="00F65BCA" w:rsidRDefault="00F65BCA">
            <w:pPr>
              <w:pStyle w:val="TableParagraph"/>
              <w:rPr>
                <w:rFonts w:ascii="Calibri"/>
                <w:sz w:val="2"/>
              </w:rPr>
            </w:pPr>
          </w:p>
          <w:p w14:paraId="3B451EDF" w14:textId="77777777" w:rsidR="00F65BCA" w:rsidRDefault="00216117">
            <w:pPr>
              <w:pStyle w:val="TableParagraph"/>
              <w:ind w:left="47"/>
              <w:rPr>
                <w:sz w:val="3"/>
              </w:rPr>
            </w:pPr>
            <w:r>
              <w:rPr>
                <w:w w:val="105"/>
                <w:sz w:val="3"/>
              </w:rPr>
              <w:t>1,30910000%</w:t>
            </w:r>
          </w:p>
        </w:tc>
      </w:tr>
      <w:tr w:rsidR="00F65BCA" w14:paraId="1EC5A360" w14:textId="77777777">
        <w:trPr>
          <w:trHeight w:val="81"/>
        </w:trPr>
        <w:tc>
          <w:tcPr>
            <w:tcW w:w="526" w:type="dxa"/>
            <w:vMerge w:val="restart"/>
            <w:tcBorders>
              <w:top w:val="nil"/>
              <w:bottom w:val="nil"/>
            </w:tcBorders>
            <w:shd w:val="clear" w:color="auto" w:fill="FCE4D6"/>
          </w:tcPr>
          <w:p w14:paraId="4A50EC72" w14:textId="77777777" w:rsidR="00F65BCA" w:rsidRDefault="00F65BCA">
            <w:pPr>
              <w:pStyle w:val="TableParagraph"/>
              <w:rPr>
                <w:rFonts w:ascii="Times New Roman"/>
                <w:sz w:val="2"/>
              </w:rPr>
            </w:pPr>
          </w:p>
        </w:tc>
        <w:tc>
          <w:tcPr>
            <w:tcW w:w="732" w:type="dxa"/>
            <w:vMerge w:val="restart"/>
            <w:tcBorders>
              <w:top w:val="nil"/>
            </w:tcBorders>
            <w:shd w:val="clear" w:color="auto" w:fill="FCE4D6"/>
          </w:tcPr>
          <w:p w14:paraId="1D8BB585" w14:textId="77777777" w:rsidR="00F65BCA" w:rsidRDefault="00F65BCA">
            <w:pPr>
              <w:pStyle w:val="TableParagraph"/>
              <w:spacing w:before="3"/>
              <w:rPr>
                <w:rFonts w:ascii="Calibri"/>
                <w:sz w:val="2"/>
              </w:rPr>
            </w:pPr>
          </w:p>
          <w:p w14:paraId="13BF7C92" w14:textId="77777777" w:rsidR="00F65BCA" w:rsidRDefault="00216117">
            <w:pPr>
              <w:pStyle w:val="TableParagraph"/>
              <w:ind w:left="18" w:right="16"/>
              <w:jc w:val="center"/>
              <w:rPr>
                <w:sz w:val="3"/>
              </w:rPr>
            </w:pPr>
            <w:r>
              <w:rPr>
                <w:w w:val="105"/>
                <w:sz w:val="3"/>
              </w:rPr>
              <w:t>Mercedes</w:t>
            </w:r>
          </w:p>
        </w:tc>
        <w:tc>
          <w:tcPr>
            <w:tcW w:w="958" w:type="dxa"/>
            <w:gridSpan w:val="2"/>
            <w:vMerge w:val="restart"/>
            <w:shd w:val="clear" w:color="auto" w:fill="FCE4D6"/>
          </w:tcPr>
          <w:p w14:paraId="341AAAEE" w14:textId="77777777" w:rsidR="00F65BCA" w:rsidRDefault="00216117">
            <w:pPr>
              <w:pStyle w:val="TableParagraph"/>
              <w:spacing w:before="11"/>
              <w:ind w:left="4"/>
              <w:rPr>
                <w:sz w:val="3"/>
              </w:rPr>
            </w:pPr>
            <w:r>
              <w:rPr>
                <w:w w:val="105"/>
                <w:sz w:val="3"/>
              </w:rPr>
              <w:t>ATEGO</w:t>
            </w:r>
            <w:r>
              <w:rPr>
                <w:spacing w:val="-4"/>
                <w:w w:val="105"/>
                <w:sz w:val="3"/>
              </w:rPr>
              <w:t xml:space="preserve"> </w:t>
            </w:r>
            <w:r>
              <w:rPr>
                <w:w w:val="105"/>
                <w:sz w:val="3"/>
              </w:rPr>
              <w:t>ŘADA</w:t>
            </w:r>
            <w:r>
              <w:rPr>
                <w:spacing w:val="-4"/>
                <w:w w:val="105"/>
                <w:sz w:val="3"/>
              </w:rPr>
              <w:t xml:space="preserve"> </w:t>
            </w:r>
            <w:r>
              <w:rPr>
                <w:w w:val="105"/>
                <w:sz w:val="3"/>
              </w:rPr>
              <w:t>1000;</w:t>
            </w:r>
            <w:r>
              <w:rPr>
                <w:spacing w:val="-3"/>
                <w:w w:val="105"/>
                <w:sz w:val="3"/>
              </w:rPr>
              <w:t xml:space="preserve"> </w:t>
            </w:r>
            <w:r>
              <w:rPr>
                <w:w w:val="105"/>
                <w:sz w:val="3"/>
              </w:rPr>
              <w:t>ATEGO</w:t>
            </w:r>
            <w:r>
              <w:rPr>
                <w:spacing w:val="-4"/>
                <w:w w:val="105"/>
                <w:sz w:val="3"/>
              </w:rPr>
              <w:t xml:space="preserve"> </w:t>
            </w:r>
            <w:r>
              <w:rPr>
                <w:w w:val="105"/>
                <w:sz w:val="3"/>
              </w:rPr>
              <w:t>ŘADA</w:t>
            </w:r>
            <w:r>
              <w:rPr>
                <w:spacing w:val="-4"/>
                <w:w w:val="105"/>
                <w:sz w:val="3"/>
              </w:rPr>
              <w:t xml:space="preserve"> </w:t>
            </w:r>
            <w:r>
              <w:rPr>
                <w:w w:val="105"/>
                <w:sz w:val="3"/>
              </w:rPr>
              <w:t>1200;</w:t>
            </w:r>
            <w:r>
              <w:rPr>
                <w:spacing w:val="-3"/>
                <w:w w:val="105"/>
                <w:sz w:val="3"/>
              </w:rPr>
              <w:t xml:space="preserve"> </w:t>
            </w:r>
            <w:r>
              <w:rPr>
                <w:w w:val="105"/>
                <w:sz w:val="3"/>
              </w:rPr>
              <w:t>ATEGO</w:t>
            </w:r>
            <w:r>
              <w:rPr>
                <w:spacing w:val="-4"/>
                <w:w w:val="105"/>
                <w:sz w:val="3"/>
              </w:rPr>
              <w:t xml:space="preserve"> </w:t>
            </w:r>
            <w:r>
              <w:rPr>
                <w:w w:val="105"/>
                <w:sz w:val="3"/>
              </w:rPr>
              <w:t>ŘADA</w:t>
            </w:r>
            <w:r>
              <w:rPr>
                <w:spacing w:val="-3"/>
                <w:w w:val="105"/>
                <w:sz w:val="3"/>
              </w:rPr>
              <w:t xml:space="preserve"> </w:t>
            </w:r>
            <w:r>
              <w:rPr>
                <w:w w:val="105"/>
                <w:sz w:val="3"/>
              </w:rPr>
              <w:t>1300;</w:t>
            </w:r>
          </w:p>
          <w:p w14:paraId="7E1C47A5" w14:textId="77777777" w:rsidR="00F65BCA" w:rsidRDefault="00216117">
            <w:pPr>
              <w:pStyle w:val="TableParagraph"/>
              <w:spacing w:before="6" w:line="283" w:lineRule="auto"/>
              <w:ind w:left="4" w:right="24"/>
              <w:rPr>
                <w:sz w:val="3"/>
              </w:rPr>
            </w:pPr>
            <w:r>
              <w:rPr>
                <w:w w:val="105"/>
                <w:sz w:val="3"/>
              </w:rPr>
              <w:t>ATEGO ŘADA 1500; ATEGO ŘADA 700; ATEGO ŘADA 800; ATEGO</w:t>
            </w:r>
            <w:r>
              <w:rPr>
                <w:spacing w:val="-3"/>
                <w:w w:val="105"/>
                <w:sz w:val="3"/>
              </w:rPr>
              <w:t xml:space="preserve"> </w:t>
            </w:r>
            <w:r>
              <w:rPr>
                <w:w w:val="105"/>
                <w:sz w:val="3"/>
              </w:rPr>
              <w:t>ŘADA</w:t>
            </w:r>
            <w:r>
              <w:rPr>
                <w:spacing w:val="-1"/>
                <w:w w:val="105"/>
                <w:sz w:val="3"/>
              </w:rPr>
              <w:t xml:space="preserve"> </w:t>
            </w:r>
            <w:r>
              <w:rPr>
                <w:w w:val="105"/>
                <w:sz w:val="3"/>
              </w:rPr>
              <w:t>900;</w:t>
            </w:r>
            <w:r>
              <w:rPr>
                <w:spacing w:val="-2"/>
                <w:w w:val="105"/>
                <w:sz w:val="3"/>
              </w:rPr>
              <w:t xml:space="preserve"> </w:t>
            </w:r>
            <w:r>
              <w:rPr>
                <w:w w:val="105"/>
                <w:sz w:val="3"/>
              </w:rPr>
              <w:t>JINÉ;</w:t>
            </w:r>
            <w:r>
              <w:rPr>
                <w:spacing w:val="-1"/>
                <w:w w:val="105"/>
                <w:sz w:val="3"/>
              </w:rPr>
              <w:t xml:space="preserve"> </w:t>
            </w:r>
            <w:r>
              <w:rPr>
                <w:w w:val="105"/>
                <w:sz w:val="3"/>
              </w:rPr>
              <w:t>ŘADA</w:t>
            </w:r>
            <w:r>
              <w:rPr>
                <w:spacing w:val="-2"/>
                <w:w w:val="105"/>
                <w:sz w:val="3"/>
              </w:rPr>
              <w:t xml:space="preserve"> </w:t>
            </w:r>
            <w:r>
              <w:rPr>
                <w:w w:val="105"/>
                <w:sz w:val="3"/>
              </w:rPr>
              <w:t>LK</w:t>
            </w:r>
            <w:r>
              <w:rPr>
                <w:spacing w:val="-2"/>
                <w:w w:val="105"/>
                <w:sz w:val="3"/>
              </w:rPr>
              <w:t xml:space="preserve"> </w:t>
            </w:r>
            <w:r>
              <w:rPr>
                <w:w w:val="105"/>
                <w:sz w:val="3"/>
              </w:rPr>
              <w:t>1100;</w:t>
            </w:r>
            <w:r>
              <w:rPr>
                <w:spacing w:val="-1"/>
                <w:w w:val="105"/>
                <w:sz w:val="3"/>
              </w:rPr>
              <w:t xml:space="preserve"> </w:t>
            </w:r>
            <w:r>
              <w:rPr>
                <w:w w:val="105"/>
                <w:sz w:val="3"/>
              </w:rPr>
              <w:t>ŘADA</w:t>
            </w:r>
            <w:r>
              <w:rPr>
                <w:spacing w:val="-2"/>
                <w:w w:val="105"/>
                <w:sz w:val="3"/>
              </w:rPr>
              <w:t xml:space="preserve"> </w:t>
            </w:r>
            <w:r>
              <w:rPr>
                <w:w w:val="105"/>
                <w:sz w:val="3"/>
              </w:rPr>
              <w:t>LK</w:t>
            </w:r>
            <w:r>
              <w:rPr>
                <w:spacing w:val="-1"/>
                <w:w w:val="105"/>
                <w:sz w:val="3"/>
              </w:rPr>
              <w:t xml:space="preserve"> </w:t>
            </w:r>
            <w:r>
              <w:rPr>
                <w:w w:val="105"/>
                <w:sz w:val="3"/>
              </w:rPr>
              <w:t>1300;</w:t>
            </w:r>
            <w:r>
              <w:rPr>
                <w:spacing w:val="-2"/>
                <w:w w:val="105"/>
                <w:sz w:val="3"/>
              </w:rPr>
              <w:t xml:space="preserve"> </w:t>
            </w:r>
            <w:r>
              <w:rPr>
                <w:w w:val="105"/>
                <w:sz w:val="3"/>
              </w:rPr>
              <w:t>ŘADA LK</w:t>
            </w:r>
            <w:r>
              <w:rPr>
                <w:spacing w:val="-2"/>
                <w:w w:val="105"/>
                <w:sz w:val="3"/>
              </w:rPr>
              <w:t xml:space="preserve"> </w:t>
            </w:r>
            <w:r>
              <w:rPr>
                <w:w w:val="105"/>
                <w:sz w:val="3"/>
              </w:rPr>
              <w:t>1500;</w:t>
            </w:r>
            <w:r>
              <w:rPr>
                <w:spacing w:val="-1"/>
                <w:w w:val="105"/>
                <w:sz w:val="3"/>
              </w:rPr>
              <w:t xml:space="preserve"> </w:t>
            </w:r>
            <w:r>
              <w:rPr>
                <w:w w:val="105"/>
                <w:sz w:val="3"/>
              </w:rPr>
              <w:t>ŘADA</w:t>
            </w:r>
            <w:r>
              <w:rPr>
                <w:spacing w:val="-1"/>
                <w:w w:val="105"/>
                <w:sz w:val="3"/>
              </w:rPr>
              <w:t xml:space="preserve"> </w:t>
            </w:r>
            <w:r>
              <w:rPr>
                <w:w w:val="105"/>
                <w:sz w:val="3"/>
              </w:rPr>
              <w:t>LK</w:t>
            </w:r>
            <w:r>
              <w:rPr>
                <w:spacing w:val="-1"/>
                <w:w w:val="105"/>
                <w:sz w:val="3"/>
              </w:rPr>
              <w:t xml:space="preserve"> </w:t>
            </w:r>
            <w:r>
              <w:rPr>
                <w:w w:val="105"/>
                <w:sz w:val="3"/>
              </w:rPr>
              <w:t>700;</w:t>
            </w:r>
            <w:r>
              <w:rPr>
                <w:spacing w:val="-1"/>
                <w:w w:val="105"/>
                <w:sz w:val="3"/>
              </w:rPr>
              <w:t xml:space="preserve"> </w:t>
            </w:r>
            <w:r>
              <w:rPr>
                <w:w w:val="105"/>
                <w:sz w:val="3"/>
              </w:rPr>
              <w:t>ŘADA</w:t>
            </w:r>
            <w:r>
              <w:rPr>
                <w:spacing w:val="-2"/>
                <w:w w:val="105"/>
                <w:sz w:val="3"/>
              </w:rPr>
              <w:t xml:space="preserve"> </w:t>
            </w:r>
            <w:r>
              <w:rPr>
                <w:w w:val="105"/>
                <w:sz w:val="3"/>
              </w:rPr>
              <w:t>LK</w:t>
            </w:r>
            <w:r>
              <w:rPr>
                <w:spacing w:val="-1"/>
                <w:w w:val="105"/>
                <w:sz w:val="3"/>
              </w:rPr>
              <w:t xml:space="preserve"> </w:t>
            </w:r>
            <w:r>
              <w:rPr>
                <w:w w:val="105"/>
                <w:sz w:val="3"/>
              </w:rPr>
              <w:t>800;</w:t>
            </w:r>
            <w:r>
              <w:rPr>
                <w:spacing w:val="-1"/>
                <w:w w:val="105"/>
                <w:sz w:val="3"/>
              </w:rPr>
              <w:t xml:space="preserve"> </w:t>
            </w:r>
            <w:r>
              <w:rPr>
                <w:w w:val="105"/>
                <w:sz w:val="3"/>
              </w:rPr>
              <w:t>ŘADA</w:t>
            </w:r>
            <w:r>
              <w:rPr>
                <w:spacing w:val="-1"/>
                <w:w w:val="105"/>
                <w:sz w:val="3"/>
              </w:rPr>
              <w:t xml:space="preserve"> </w:t>
            </w:r>
            <w:r>
              <w:rPr>
                <w:w w:val="105"/>
                <w:sz w:val="3"/>
              </w:rPr>
              <w:t>LK</w:t>
            </w:r>
            <w:r>
              <w:rPr>
                <w:spacing w:val="-1"/>
                <w:w w:val="105"/>
                <w:sz w:val="3"/>
              </w:rPr>
              <w:t xml:space="preserve"> </w:t>
            </w:r>
            <w:r>
              <w:rPr>
                <w:w w:val="105"/>
                <w:sz w:val="3"/>
              </w:rPr>
              <w:t>900;</w:t>
            </w:r>
            <w:r>
              <w:rPr>
                <w:spacing w:val="-2"/>
                <w:w w:val="105"/>
                <w:sz w:val="3"/>
              </w:rPr>
              <w:t xml:space="preserve"> </w:t>
            </w:r>
            <w:r>
              <w:rPr>
                <w:w w:val="105"/>
                <w:sz w:val="3"/>
              </w:rPr>
              <w:t>ŘADA</w:t>
            </w:r>
            <w:r>
              <w:rPr>
                <w:spacing w:val="-1"/>
                <w:w w:val="105"/>
                <w:sz w:val="3"/>
              </w:rPr>
              <w:t xml:space="preserve"> </w:t>
            </w:r>
            <w:r>
              <w:rPr>
                <w:w w:val="105"/>
                <w:sz w:val="3"/>
              </w:rPr>
              <w:t>MK</w:t>
            </w:r>
          </w:p>
          <w:p w14:paraId="1DF58752" w14:textId="77777777" w:rsidR="00F65BCA" w:rsidRDefault="00216117">
            <w:pPr>
              <w:pStyle w:val="TableParagraph"/>
              <w:spacing w:before="1"/>
              <w:ind w:left="4"/>
              <w:rPr>
                <w:sz w:val="3"/>
              </w:rPr>
            </w:pPr>
            <w:r>
              <w:rPr>
                <w:w w:val="105"/>
                <w:sz w:val="3"/>
              </w:rPr>
              <w:t>1100;</w:t>
            </w:r>
            <w:r>
              <w:rPr>
                <w:spacing w:val="-2"/>
                <w:w w:val="105"/>
                <w:sz w:val="3"/>
              </w:rPr>
              <w:t xml:space="preserve"> </w:t>
            </w:r>
            <w:r>
              <w:rPr>
                <w:w w:val="105"/>
                <w:sz w:val="3"/>
              </w:rPr>
              <w:t>ŘADA</w:t>
            </w:r>
            <w:r>
              <w:rPr>
                <w:spacing w:val="-2"/>
                <w:w w:val="105"/>
                <w:sz w:val="3"/>
              </w:rPr>
              <w:t xml:space="preserve"> </w:t>
            </w:r>
            <w:r>
              <w:rPr>
                <w:w w:val="105"/>
                <w:sz w:val="3"/>
              </w:rPr>
              <w:t>MK</w:t>
            </w:r>
            <w:r>
              <w:rPr>
                <w:spacing w:val="-1"/>
                <w:w w:val="105"/>
                <w:sz w:val="3"/>
              </w:rPr>
              <w:t xml:space="preserve"> </w:t>
            </w:r>
            <w:r>
              <w:rPr>
                <w:w w:val="105"/>
                <w:sz w:val="3"/>
              </w:rPr>
              <w:t>1300;</w:t>
            </w:r>
            <w:r>
              <w:rPr>
                <w:spacing w:val="-2"/>
                <w:w w:val="105"/>
                <w:sz w:val="3"/>
              </w:rPr>
              <w:t xml:space="preserve"> </w:t>
            </w:r>
            <w:r>
              <w:rPr>
                <w:w w:val="105"/>
                <w:sz w:val="3"/>
              </w:rPr>
              <w:t>ŘADA</w:t>
            </w:r>
            <w:r>
              <w:rPr>
                <w:spacing w:val="-2"/>
                <w:w w:val="105"/>
                <w:sz w:val="3"/>
              </w:rPr>
              <w:t xml:space="preserve"> </w:t>
            </w:r>
            <w:r>
              <w:rPr>
                <w:w w:val="105"/>
                <w:sz w:val="3"/>
              </w:rPr>
              <w:t>MK</w:t>
            </w:r>
            <w:r>
              <w:rPr>
                <w:spacing w:val="-1"/>
                <w:w w:val="105"/>
                <w:sz w:val="3"/>
              </w:rPr>
              <w:t xml:space="preserve"> </w:t>
            </w:r>
            <w:r>
              <w:rPr>
                <w:w w:val="105"/>
                <w:sz w:val="3"/>
              </w:rPr>
              <w:t>1400;</w:t>
            </w:r>
            <w:r>
              <w:rPr>
                <w:spacing w:val="-2"/>
                <w:w w:val="105"/>
                <w:sz w:val="3"/>
              </w:rPr>
              <w:t xml:space="preserve"> </w:t>
            </w:r>
            <w:r>
              <w:rPr>
                <w:w w:val="105"/>
                <w:sz w:val="3"/>
              </w:rPr>
              <w:t>ŘADA</w:t>
            </w:r>
            <w:r>
              <w:rPr>
                <w:spacing w:val="-2"/>
                <w:w w:val="105"/>
                <w:sz w:val="3"/>
              </w:rPr>
              <w:t xml:space="preserve"> </w:t>
            </w:r>
            <w:r>
              <w:rPr>
                <w:w w:val="105"/>
                <w:sz w:val="3"/>
              </w:rPr>
              <w:t>MK</w:t>
            </w:r>
            <w:r>
              <w:rPr>
                <w:spacing w:val="-1"/>
                <w:w w:val="105"/>
                <w:sz w:val="3"/>
              </w:rPr>
              <w:t xml:space="preserve"> </w:t>
            </w:r>
            <w:r>
              <w:rPr>
                <w:w w:val="105"/>
                <w:sz w:val="3"/>
              </w:rPr>
              <w:t>1500;</w:t>
            </w:r>
            <w:r>
              <w:rPr>
                <w:spacing w:val="-2"/>
                <w:w w:val="105"/>
                <w:sz w:val="3"/>
              </w:rPr>
              <w:t xml:space="preserve"> </w:t>
            </w:r>
            <w:r>
              <w:rPr>
                <w:w w:val="105"/>
                <w:sz w:val="3"/>
              </w:rPr>
              <w:t>ŘADA</w:t>
            </w:r>
          </w:p>
          <w:p w14:paraId="6F550A5C" w14:textId="77777777" w:rsidR="00F65BCA" w:rsidRDefault="00216117">
            <w:pPr>
              <w:pStyle w:val="TableParagraph"/>
              <w:spacing w:before="6" w:line="28" w:lineRule="exact"/>
              <w:ind w:left="4"/>
              <w:rPr>
                <w:sz w:val="3"/>
              </w:rPr>
            </w:pPr>
            <w:r>
              <w:rPr>
                <w:w w:val="105"/>
                <w:sz w:val="3"/>
              </w:rPr>
              <w:t>MK 900; SPRINTER NAD 3,5t; VARIO</w:t>
            </w:r>
          </w:p>
        </w:tc>
        <w:tc>
          <w:tcPr>
            <w:tcW w:w="576" w:type="dxa"/>
            <w:shd w:val="clear" w:color="auto" w:fill="FCE4D6"/>
          </w:tcPr>
          <w:p w14:paraId="2C7B66C1" w14:textId="77777777" w:rsidR="00F65BCA" w:rsidRDefault="00F65BCA">
            <w:pPr>
              <w:pStyle w:val="TableParagraph"/>
              <w:rPr>
                <w:rFonts w:ascii="Calibri"/>
                <w:sz w:val="2"/>
              </w:rPr>
            </w:pPr>
          </w:p>
          <w:p w14:paraId="1521D35B" w14:textId="77777777" w:rsidR="00F65BCA" w:rsidRDefault="00216117">
            <w:pPr>
              <w:pStyle w:val="TableParagraph"/>
              <w:ind w:left="3"/>
              <w:jc w:val="center"/>
              <w:rPr>
                <w:sz w:val="3"/>
              </w:rPr>
            </w:pPr>
            <w:r>
              <w:rPr>
                <w:w w:val="103"/>
                <w:sz w:val="3"/>
              </w:rPr>
              <w:t>-</w:t>
            </w:r>
          </w:p>
        </w:tc>
        <w:tc>
          <w:tcPr>
            <w:tcW w:w="576" w:type="dxa"/>
            <w:shd w:val="clear" w:color="auto" w:fill="FCE4D6"/>
          </w:tcPr>
          <w:p w14:paraId="4DB60A59" w14:textId="77777777" w:rsidR="00F65BCA" w:rsidRDefault="00F65BCA">
            <w:pPr>
              <w:pStyle w:val="TableParagraph"/>
              <w:rPr>
                <w:rFonts w:ascii="Calibri"/>
                <w:sz w:val="2"/>
              </w:rPr>
            </w:pPr>
          </w:p>
          <w:p w14:paraId="5BB7CC53" w14:textId="77777777" w:rsidR="00F65BCA" w:rsidRDefault="00216117">
            <w:pPr>
              <w:pStyle w:val="TableParagraph"/>
              <w:ind w:left="210"/>
              <w:rPr>
                <w:sz w:val="3"/>
              </w:rPr>
            </w:pPr>
            <w:r>
              <w:rPr>
                <w:w w:val="105"/>
                <w:sz w:val="3"/>
              </w:rPr>
              <w:t>0-12000 kg</w:t>
            </w:r>
          </w:p>
        </w:tc>
        <w:tc>
          <w:tcPr>
            <w:tcW w:w="50" w:type="dxa"/>
            <w:vMerge/>
            <w:tcBorders>
              <w:top w:val="nil"/>
              <w:bottom w:val="nil"/>
            </w:tcBorders>
          </w:tcPr>
          <w:p w14:paraId="35267DBF" w14:textId="77777777" w:rsidR="00F65BCA" w:rsidRDefault="00F65BCA">
            <w:pPr>
              <w:rPr>
                <w:sz w:val="2"/>
                <w:szCs w:val="2"/>
              </w:rPr>
            </w:pPr>
          </w:p>
        </w:tc>
        <w:tc>
          <w:tcPr>
            <w:tcW w:w="288" w:type="dxa"/>
          </w:tcPr>
          <w:p w14:paraId="20B2C9F4" w14:textId="77777777" w:rsidR="00F65BCA" w:rsidRDefault="00F65BCA">
            <w:pPr>
              <w:pStyle w:val="TableParagraph"/>
              <w:rPr>
                <w:rFonts w:ascii="Calibri"/>
                <w:sz w:val="2"/>
              </w:rPr>
            </w:pPr>
          </w:p>
          <w:p w14:paraId="05FA46A6" w14:textId="77777777" w:rsidR="00F65BCA" w:rsidRDefault="00216117">
            <w:pPr>
              <w:pStyle w:val="TableParagraph"/>
              <w:ind w:left="24" w:right="24"/>
              <w:jc w:val="center"/>
              <w:rPr>
                <w:sz w:val="3"/>
              </w:rPr>
            </w:pPr>
            <w:r>
              <w:rPr>
                <w:w w:val="105"/>
                <w:sz w:val="3"/>
              </w:rPr>
              <w:t>2,01400000%</w:t>
            </w:r>
          </w:p>
        </w:tc>
        <w:tc>
          <w:tcPr>
            <w:tcW w:w="288" w:type="dxa"/>
          </w:tcPr>
          <w:p w14:paraId="6D74F9D6" w14:textId="77777777" w:rsidR="00F65BCA" w:rsidRDefault="00F65BCA">
            <w:pPr>
              <w:pStyle w:val="TableParagraph"/>
              <w:rPr>
                <w:rFonts w:ascii="Calibri"/>
                <w:sz w:val="2"/>
              </w:rPr>
            </w:pPr>
          </w:p>
          <w:p w14:paraId="3BA1750A" w14:textId="77777777" w:rsidR="00F65BCA" w:rsidRDefault="00216117">
            <w:pPr>
              <w:pStyle w:val="TableParagraph"/>
              <w:ind w:left="24" w:right="24"/>
              <w:jc w:val="center"/>
              <w:rPr>
                <w:sz w:val="3"/>
              </w:rPr>
            </w:pPr>
            <w:r>
              <w:rPr>
                <w:w w:val="105"/>
                <w:sz w:val="3"/>
              </w:rPr>
              <w:t>1,80200000%</w:t>
            </w:r>
          </w:p>
        </w:tc>
        <w:tc>
          <w:tcPr>
            <w:tcW w:w="288" w:type="dxa"/>
          </w:tcPr>
          <w:p w14:paraId="3C13C27F" w14:textId="77777777" w:rsidR="00F65BCA" w:rsidRDefault="00F65BCA">
            <w:pPr>
              <w:pStyle w:val="TableParagraph"/>
              <w:rPr>
                <w:rFonts w:ascii="Calibri"/>
                <w:sz w:val="2"/>
              </w:rPr>
            </w:pPr>
          </w:p>
          <w:p w14:paraId="5D194F03" w14:textId="77777777" w:rsidR="00F65BCA" w:rsidRDefault="00216117">
            <w:pPr>
              <w:pStyle w:val="TableParagraph"/>
              <w:ind w:left="47"/>
              <w:rPr>
                <w:sz w:val="3"/>
              </w:rPr>
            </w:pPr>
            <w:r>
              <w:rPr>
                <w:w w:val="105"/>
                <w:sz w:val="3"/>
              </w:rPr>
              <w:t>1,80200000%</w:t>
            </w:r>
          </w:p>
        </w:tc>
        <w:tc>
          <w:tcPr>
            <w:tcW w:w="288" w:type="dxa"/>
          </w:tcPr>
          <w:p w14:paraId="2EF90DDE" w14:textId="77777777" w:rsidR="00F65BCA" w:rsidRDefault="00F65BCA">
            <w:pPr>
              <w:pStyle w:val="TableParagraph"/>
              <w:rPr>
                <w:rFonts w:ascii="Calibri"/>
                <w:sz w:val="2"/>
              </w:rPr>
            </w:pPr>
          </w:p>
          <w:p w14:paraId="2395C715" w14:textId="77777777" w:rsidR="00F65BCA" w:rsidRDefault="00216117">
            <w:pPr>
              <w:pStyle w:val="TableParagraph"/>
              <w:ind w:left="24" w:right="24"/>
              <w:jc w:val="center"/>
              <w:rPr>
                <w:sz w:val="3"/>
              </w:rPr>
            </w:pPr>
            <w:r>
              <w:rPr>
                <w:w w:val="105"/>
                <w:sz w:val="3"/>
              </w:rPr>
              <w:t>1,64300000%</w:t>
            </w:r>
          </w:p>
        </w:tc>
        <w:tc>
          <w:tcPr>
            <w:tcW w:w="288" w:type="dxa"/>
          </w:tcPr>
          <w:p w14:paraId="44032468" w14:textId="77777777" w:rsidR="00F65BCA" w:rsidRDefault="00F65BCA">
            <w:pPr>
              <w:pStyle w:val="TableParagraph"/>
              <w:rPr>
                <w:rFonts w:ascii="Calibri"/>
                <w:sz w:val="2"/>
              </w:rPr>
            </w:pPr>
          </w:p>
          <w:p w14:paraId="479870F7" w14:textId="77777777" w:rsidR="00F65BCA" w:rsidRDefault="00216117">
            <w:pPr>
              <w:pStyle w:val="TableParagraph"/>
              <w:ind w:left="47"/>
              <w:rPr>
                <w:sz w:val="3"/>
              </w:rPr>
            </w:pPr>
            <w:r>
              <w:rPr>
                <w:w w:val="105"/>
                <w:sz w:val="3"/>
              </w:rPr>
              <w:t>1,64300000%</w:t>
            </w:r>
          </w:p>
        </w:tc>
        <w:tc>
          <w:tcPr>
            <w:tcW w:w="288" w:type="dxa"/>
          </w:tcPr>
          <w:p w14:paraId="3E327CA3" w14:textId="77777777" w:rsidR="00F65BCA" w:rsidRDefault="00F65BCA">
            <w:pPr>
              <w:pStyle w:val="TableParagraph"/>
              <w:rPr>
                <w:rFonts w:ascii="Calibri"/>
                <w:sz w:val="2"/>
              </w:rPr>
            </w:pPr>
          </w:p>
          <w:p w14:paraId="31E448F1" w14:textId="77777777" w:rsidR="00F65BCA" w:rsidRDefault="00216117">
            <w:pPr>
              <w:pStyle w:val="TableParagraph"/>
              <w:ind w:left="24" w:right="24"/>
              <w:jc w:val="center"/>
              <w:rPr>
                <w:sz w:val="3"/>
              </w:rPr>
            </w:pPr>
            <w:r>
              <w:rPr>
                <w:w w:val="105"/>
                <w:sz w:val="3"/>
              </w:rPr>
              <w:t>1,48400000%</w:t>
            </w:r>
          </w:p>
        </w:tc>
        <w:tc>
          <w:tcPr>
            <w:tcW w:w="288" w:type="dxa"/>
          </w:tcPr>
          <w:p w14:paraId="1DCF0338" w14:textId="77777777" w:rsidR="00F65BCA" w:rsidRDefault="00F65BCA">
            <w:pPr>
              <w:pStyle w:val="TableParagraph"/>
              <w:rPr>
                <w:rFonts w:ascii="Calibri"/>
                <w:sz w:val="2"/>
              </w:rPr>
            </w:pPr>
          </w:p>
          <w:p w14:paraId="29BB41A1" w14:textId="77777777" w:rsidR="00F65BCA" w:rsidRDefault="00216117">
            <w:pPr>
              <w:pStyle w:val="TableParagraph"/>
              <w:ind w:left="24" w:right="24"/>
              <w:jc w:val="center"/>
              <w:rPr>
                <w:sz w:val="3"/>
              </w:rPr>
            </w:pPr>
            <w:r>
              <w:rPr>
                <w:w w:val="105"/>
                <w:sz w:val="3"/>
              </w:rPr>
              <w:t>1,48400000%</w:t>
            </w:r>
          </w:p>
        </w:tc>
        <w:tc>
          <w:tcPr>
            <w:tcW w:w="288" w:type="dxa"/>
          </w:tcPr>
          <w:p w14:paraId="0FD17F81" w14:textId="77777777" w:rsidR="00F65BCA" w:rsidRDefault="00F65BCA">
            <w:pPr>
              <w:pStyle w:val="TableParagraph"/>
              <w:rPr>
                <w:rFonts w:ascii="Calibri"/>
                <w:sz w:val="2"/>
              </w:rPr>
            </w:pPr>
          </w:p>
          <w:p w14:paraId="73152C4F" w14:textId="77777777" w:rsidR="00F65BCA" w:rsidRDefault="00216117">
            <w:pPr>
              <w:pStyle w:val="TableParagraph"/>
              <w:ind w:left="47"/>
              <w:rPr>
                <w:sz w:val="3"/>
              </w:rPr>
            </w:pPr>
            <w:r>
              <w:rPr>
                <w:w w:val="105"/>
                <w:sz w:val="3"/>
              </w:rPr>
              <w:t>1,32500000%</w:t>
            </w:r>
          </w:p>
        </w:tc>
        <w:tc>
          <w:tcPr>
            <w:tcW w:w="288" w:type="dxa"/>
          </w:tcPr>
          <w:p w14:paraId="0E51D899" w14:textId="77777777" w:rsidR="00F65BCA" w:rsidRDefault="00F65BCA">
            <w:pPr>
              <w:pStyle w:val="TableParagraph"/>
              <w:rPr>
                <w:rFonts w:ascii="Calibri"/>
                <w:sz w:val="2"/>
              </w:rPr>
            </w:pPr>
          </w:p>
          <w:p w14:paraId="74EF2FD5" w14:textId="77777777" w:rsidR="00F65BCA" w:rsidRDefault="00216117">
            <w:pPr>
              <w:pStyle w:val="TableParagraph"/>
              <w:ind w:left="24" w:right="24"/>
              <w:jc w:val="center"/>
              <w:rPr>
                <w:sz w:val="3"/>
              </w:rPr>
            </w:pPr>
            <w:r>
              <w:rPr>
                <w:w w:val="105"/>
                <w:sz w:val="3"/>
              </w:rPr>
              <w:t>1,32500000%</w:t>
            </w:r>
          </w:p>
        </w:tc>
        <w:tc>
          <w:tcPr>
            <w:tcW w:w="288" w:type="dxa"/>
          </w:tcPr>
          <w:p w14:paraId="170AFECF" w14:textId="77777777" w:rsidR="00F65BCA" w:rsidRDefault="00F65BCA">
            <w:pPr>
              <w:pStyle w:val="TableParagraph"/>
              <w:rPr>
                <w:rFonts w:ascii="Calibri"/>
                <w:sz w:val="2"/>
              </w:rPr>
            </w:pPr>
          </w:p>
          <w:p w14:paraId="1BDE0B91" w14:textId="77777777" w:rsidR="00F65BCA" w:rsidRDefault="00216117">
            <w:pPr>
              <w:pStyle w:val="TableParagraph"/>
              <w:ind w:left="24" w:right="24"/>
              <w:jc w:val="center"/>
              <w:rPr>
                <w:sz w:val="3"/>
              </w:rPr>
            </w:pPr>
            <w:r>
              <w:rPr>
                <w:w w:val="105"/>
                <w:sz w:val="3"/>
              </w:rPr>
              <w:t>1,21900000%</w:t>
            </w:r>
          </w:p>
        </w:tc>
        <w:tc>
          <w:tcPr>
            <w:tcW w:w="288" w:type="dxa"/>
          </w:tcPr>
          <w:p w14:paraId="306E6E47" w14:textId="77777777" w:rsidR="00F65BCA" w:rsidRDefault="00F65BCA">
            <w:pPr>
              <w:pStyle w:val="TableParagraph"/>
              <w:rPr>
                <w:rFonts w:ascii="Calibri"/>
                <w:sz w:val="2"/>
              </w:rPr>
            </w:pPr>
          </w:p>
          <w:p w14:paraId="178960E7" w14:textId="77777777" w:rsidR="00F65BCA" w:rsidRDefault="00216117">
            <w:pPr>
              <w:pStyle w:val="TableParagraph"/>
              <w:ind w:left="24" w:right="24"/>
              <w:jc w:val="center"/>
              <w:rPr>
                <w:sz w:val="3"/>
              </w:rPr>
            </w:pPr>
            <w:r>
              <w:rPr>
                <w:w w:val="105"/>
                <w:sz w:val="3"/>
              </w:rPr>
              <w:t>1,16600000%</w:t>
            </w:r>
          </w:p>
        </w:tc>
        <w:tc>
          <w:tcPr>
            <w:tcW w:w="288" w:type="dxa"/>
          </w:tcPr>
          <w:p w14:paraId="0C573FDC" w14:textId="77777777" w:rsidR="00F65BCA" w:rsidRDefault="00F65BCA">
            <w:pPr>
              <w:pStyle w:val="TableParagraph"/>
              <w:rPr>
                <w:rFonts w:ascii="Calibri"/>
                <w:sz w:val="2"/>
              </w:rPr>
            </w:pPr>
          </w:p>
          <w:p w14:paraId="0A398868" w14:textId="77777777" w:rsidR="00F65BCA" w:rsidRDefault="00216117">
            <w:pPr>
              <w:pStyle w:val="TableParagraph"/>
              <w:ind w:left="24" w:right="24"/>
              <w:jc w:val="center"/>
              <w:rPr>
                <w:sz w:val="3"/>
              </w:rPr>
            </w:pPr>
            <w:r>
              <w:rPr>
                <w:w w:val="105"/>
                <w:sz w:val="3"/>
              </w:rPr>
              <w:t>1,06000000%</w:t>
            </w:r>
          </w:p>
        </w:tc>
        <w:tc>
          <w:tcPr>
            <w:tcW w:w="288" w:type="dxa"/>
          </w:tcPr>
          <w:p w14:paraId="5C32BB12" w14:textId="77777777" w:rsidR="00F65BCA" w:rsidRDefault="00F65BCA">
            <w:pPr>
              <w:pStyle w:val="TableParagraph"/>
              <w:rPr>
                <w:rFonts w:ascii="Calibri"/>
                <w:sz w:val="2"/>
              </w:rPr>
            </w:pPr>
          </w:p>
          <w:p w14:paraId="213F91B5" w14:textId="77777777" w:rsidR="00F65BCA" w:rsidRDefault="00216117">
            <w:pPr>
              <w:pStyle w:val="TableParagraph"/>
              <w:ind w:left="47"/>
              <w:rPr>
                <w:sz w:val="3"/>
              </w:rPr>
            </w:pPr>
            <w:r>
              <w:rPr>
                <w:w w:val="105"/>
                <w:sz w:val="3"/>
              </w:rPr>
              <w:t>1,06000000%</w:t>
            </w:r>
          </w:p>
        </w:tc>
      </w:tr>
      <w:tr w:rsidR="00F65BCA" w14:paraId="2435FD76" w14:textId="77777777">
        <w:trPr>
          <w:trHeight w:val="177"/>
        </w:trPr>
        <w:tc>
          <w:tcPr>
            <w:tcW w:w="526" w:type="dxa"/>
            <w:vMerge/>
            <w:tcBorders>
              <w:top w:val="nil"/>
              <w:bottom w:val="nil"/>
            </w:tcBorders>
            <w:shd w:val="clear" w:color="auto" w:fill="FCE4D6"/>
          </w:tcPr>
          <w:p w14:paraId="1F194C74" w14:textId="77777777" w:rsidR="00F65BCA" w:rsidRDefault="00F65BCA">
            <w:pPr>
              <w:rPr>
                <w:sz w:val="2"/>
                <w:szCs w:val="2"/>
              </w:rPr>
            </w:pPr>
          </w:p>
        </w:tc>
        <w:tc>
          <w:tcPr>
            <w:tcW w:w="732" w:type="dxa"/>
            <w:vMerge/>
            <w:tcBorders>
              <w:top w:val="nil"/>
            </w:tcBorders>
            <w:shd w:val="clear" w:color="auto" w:fill="FCE4D6"/>
          </w:tcPr>
          <w:p w14:paraId="2896C8EC" w14:textId="77777777" w:rsidR="00F65BCA" w:rsidRDefault="00F65BCA">
            <w:pPr>
              <w:rPr>
                <w:sz w:val="2"/>
                <w:szCs w:val="2"/>
              </w:rPr>
            </w:pPr>
          </w:p>
        </w:tc>
        <w:tc>
          <w:tcPr>
            <w:tcW w:w="958" w:type="dxa"/>
            <w:gridSpan w:val="2"/>
            <w:vMerge/>
            <w:tcBorders>
              <w:top w:val="nil"/>
            </w:tcBorders>
            <w:shd w:val="clear" w:color="auto" w:fill="FCE4D6"/>
          </w:tcPr>
          <w:p w14:paraId="3BA6C3DA" w14:textId="77777777" w:rsidR="00F65BCA" w:rsidRDefault="00F65BCA">
            <w:pPr>
              <w:rPr>
                <w:sz w:val="2"/>
                <w:szCs w:val="2"/>
              </w:rPr>
            </w:pPr>
          </w:p>
        </w:tc>
        <w:tc>
          <w:tcPr>
            <w:tcW w:w="576" w:type="dxa"/>
            <w:shd w:val="clear" w:color="auto" w:fill="FCE4D6"/>
          </w:tcPr>
          <w:p w14:paraId="07B44BEE" w14:textId="77777777" w:rsidR="00F65BCA" w:rsidRDefault="00F65BCA">
            <w:pPr>
              <w:pStyle w:val="TableParagraph"/>
              <w:rPr>
                <w:rFonts w:ascii="Calibri"/>
                <w:sz w:val="2"/>
              </w:rPr>
            </w:pPr>
          </w:p>
          <w:p w14:paraId="2AD192C0" w14:textId="77777777" w:rsidR="00F65BCA" w:rsidRDefault="00F65BCA">
            <w:pPr>
              <w:pStyle w:val="TableParagraph"/>
              <w:rPr>
                <w:rFonts w:ascii="Calibri"/>
                <w:sz w:val="2"/>
              </w:rPr>
            </w:pPr>
          </w:p>
          <w:p w14:paraId="44F78673" w14:textId="77777777" w:rsidR="00F65BCA" w:rsidRDefault="00F65BCA">
            <w:pPr>
              <w:pStyle w:val="TableParagraph"/>
              <w:rPr>
                <w:rFonts w:ascii="Calibri"/>
                <w:sz w:val="2"/>
              </w:rPr>
            </w:pPr>
          </w:p>
          <w:p w14:paraId="66EDB42E" w14:textId="77777777" w:rsidR="00F65BCA" w:rsidRDefault="00216117">
            <w:pPr>
              <w:pStyle w:val="TableParagraph"/>
              <w:ind w:left="3"/>
              <w:jc w:val="center"/>
              <w:rPr>
                <w:sz w:val="3"/>
              </w:rPr>
            </w:pPr>
            <w:r>
              <w:rPr>
                <w:w w:val="103"/>
                <w:sz w:val="3"/>
              </w:rPr>
              <w:t>-</w:t>
            </w:r>
          </w:p>
        </w:tc>
        <w:tc>
          <w:tcPr>
            <w:tcW w:w="576" w:type="dxa"/>
            <w:shd w:val="clear" w:color="auto" w:fill="FCE4D6"/>
          </w:tcPr>
          <w:p w14:paraId="482630B6" w14:textId="77777777" w:rsidR="00F65BCA" w:rsidRDefault="00F65BCA">
            <w:pPr>
              <w:pStyle w:val="TableParagraph"/>
              <w:rPr>
                <w:rFonts w:ascii="Calibri"/>
                <w:sz w:val="2"/>
              </w:rPr>
            </w:pPr>
          </w:p>
          <w:p w14:paraId="7C279473" w14:textId="77777777" w:rsidR="00F65BCA" w:rsidRDefault="00F65BCA">
            <w:pPr>
              <w:pStyle w:val="TableParagraph"/>
              <w:rPr>
                <w:rFonts w:ascii="Calibri"/>
                <w:sz w:val="2"/>
              </w:rPr>
            </w:pPr>
          </w:p>
          <w:p w14:paraId="1576F3EB" w14:textId="77777777" w:rsidR="00F65BCA" w:rsidRDefault="00F65BCA">
            <w:pPr>
              <w:pStyle w:val="TableParagraph"/>
              <w:rPr>
                <w:rFonts w:ascii="Calibri"/>
                <w:sz w:val="2"/>
              </w:rPr>
            </w:pPr>
          </w:p>
          <w:p w14:paraId="0F7846D4" w14:textId="77777777" w:rsidR="00F65BCA" w:rsidRDefault="00216117">
            <w:pPr>
              <w:pStyle w:val="TableParagraph"/>
              <w:ind w:left="212"/>
              <w:rPr>
                <w:sz w:val="3"/>
              </w:rPr>
            </w:pPr>
            <w:r>
              <w:rPr>
                <w:w w:val="105"/>
                <w:sz w:val="3"/>
              </w:rPr>
              <w:t>&gt;12000 kg</w:t>
            </w:r>
          </w:p>
        </w:tc>
        <w:tc>
          <w:tcPr>
            <w:tcW w:w="50" w:type="dxa"/>
            <w:vMerge/>
            <w:tcBorders>
              <w:top w:val="nil"/>
              <w:bottom w:val="nil"/>
            </w:tcBorders>
          </w:tcPr>
          <w:p w14:paraId="1441FF4C" w14:textId="77777777" w:rsidR="00F65BCA" w:rsidRDefault="00F65BCA">
            <w:pPr>
              <w:rPr>
                <w:sz w:val="2"/>
                <w:szCs w:val="2"/>
              </w:rPr>
            </w:pPr>
          </w:p>
        </w:tc>
        <w:tc>
          <w:tcPr>
            <w:tcW w:w="288" w:type="dxa"/>
          </w:tcPr>
          <w:p w14:paraId="42EBB6A3" w14:textId="77777777" w:rsidR="00F65BCA" w:rsidRDefault="00F65BCA">
            <w:pPr>
              <w:pStyle w:val="TableParagraph"/>
              <w:rPr>
                <w:rFonts w:ascii="Calibri"/>
                <w:sz w:val="2"/>
              </w:rPr>
            </w:pPr>
          </w:p>
          <w:p w14:paraId="67CA759C" w14:textId="77777777" w:rsidR="00F65BCA" w:rsidRDefault="00F65BCA">
            <w:pPr>
              <w:pStyle w:val="TableParagraph"/>
              <w:rPr>
                <w:rFonts w:ascii="Calibri"/>
                <w:sz w:val="2"/>
              </w:rPr>
            </w:pPr>
          </w:p>
          <w:p w14:paraId="5D0EDF2D" w14:textId="77777777" w:rsidR="00F65BCA" w:rsidRDefault="00F65BCA">
            <w:pPr>
              <w:pStyle w:val="TableParagraph"/>
              <w:rPr>
                <w:rFonts w:ascii="Calibri"/>
                <w:sz w:val="2"/>
              </w:rPr>
            </w:pPr>
          </w:p>
          <w:p w14:paraId="1E94A4B4" w14:textId="77777777" w:rsidR="00F65BCA" w:rsidRDefault="00216117">
            <w:pPr>
              <w:pStyle w:val="TableParagraph"/>
              <w:ind w:left="24" w:right="24"/>
              <w:jc w:val="center"/>
              <w:rPr>
                <w:sz w:val="3"/>
              </w:rPr>
            </w:pPr>
            <w:r>
              <w:rPr>
                <w:w w:val="105"/>
                <w:sz w:val="3"/>
              </w:rPr>
              <w:t>2,48729000%</w:t>
            </w:r>
          </w:p>
        </w:tc>
        <w:tc>
          <w:tcPr>
            <w:tcW w:w="288" w:type="dxa"/>
          </w:tcPr>
          <w:p w14:paraId="477F61AF" w14:textId="77777777" w:rsidR="00F65BCA" w:rsidRDefault="00F65BCA">
            <w:pPr>
              <w:pStyle w:val="TableParagraph"/>
              <w:rPr>
                <w:rFonts w:ascii="Calibri"/>
                <w:sz w:val="2"/>
              </w:rPr>
            </w:pPr>
          </w:p>
          <w:p w14:paraId="7CD35DAC" w14:textId="77777777" w:rsidR="00F65BCA" w:rsidRDefault="00F65BCA">
            <w:pPr>
              <w:pStyle w:val="TableParagraph"/>
              <w:rPr>
                <w:rFonts w:ascii="Calibri"/>
                <w:sz w:val="2"/>
              </w:rPr>
            </w:pPr>
          </w:p>
          <w:p w14:paraId="53BD8D4A" w14:textId="77777777" w:rsidR="00F65BCA" w:rsidRDefault="00F65BCA">
            <w:pPr>
              <w:pStyle w:val="TableParagraph"/>
              <w:rPr>
                <w:rFonts w:ascii="Calibri"/>
                <w:sz w:val="2"/>
              </w:rPr>
            </w:pPr>
          </w:p>
          <w:p w14:paraId="29E228D3" w14:textId="77777777" w:rsidR="00F65BCA" w:rsidRDefault="00216117">
            <w:pPr>
              <w:pStyle w:val="TableParagraph"/>
              <w:ind w:left="24" w:right="24"/>
              <w:jc w:val="center"/>
              <w:rPr>
                <w:sz w:val="3"/>
              </w:rPr>
            </w:pPr>
            <w:r>
              <w:rPr>
                <w:w w:val="105"/>
                <w:sz w:val="3"/>
              </w:rPr>
              <w:t>2,22547000%</w:t>
            </w:r>
          </w:p>
        </w:tc>
        <w:tc>
          <w:tcPr>
            <w:tcW w:w="288" w:type="dxa"/>
          </w:tcPr>
          <w:p w14:paraId="6444F16E" w14:textId="77777777" w:rsidR="00F65BCA" w:rsidRDefault="00F65BCA">
            <w:pPr>
              <w:pStyle w:val="TableParagraph"/>
              <w:rPr>
                <w:rFonts w:ascii="Calibri"/>
                <w:sz w:val="2"/>
              </w:rPr>
            </w:pPr>
          </w:p>
          <w:p w14:paraId="43EEED71" w14:textId="77777777" w:rsidR="00F65BCA" w:rsidRDefault="00F65BCA">
            <w:pPr>
              <w:pStyle w:val="TableParagraph"/>
              <w:rPr>
                <w:rFonts w:ascii="Calibri"/>
                <w:sz w:val="2"/>
              </w:rPr>
            </w:pPr>
          </w:p>
          <w:p w14:paraId="4017D1C8" w14:textId="77777777" w:rsidR="00F65BCA" w:rsidRDefault="00F65BCA">
            <w:pPr>
              <w:pStyle w:val="TableParagraph"/>
              <w:rPr>
                <w:rFonts w:ascii="Calibri"/>
                <w:sz w:val="2"/>
              </w:rPr>
            </w:pPr>
          </w:p>
          <w:p w14:paraId="6CD7B54D" w14:textId="77777777" w:rsidR="00F65BCA" w:rsidRDefault="00216117">
            <w:pPr>
              <w:pStyle w:val="TableParagraph"/>
              <w:ind w:left="47"/>
              <w:rPr>
                <w:sz w:val="3"/>
              </w:rPr>
            </w:pPr>
            <w:r>
              <w:rPr>
                <w:w w:val="105"/>
                <w:sz w:val="3"/>
              </w:rPr>
              <w:t>2,22547000%</w:t>
            </w:r>
          </w:p>
        </w:tc>
        <w:tc>
          <w:tcPr>
            <w:tcW w:w="288" w:type="dxa"/>
          </w:tcPr>
          <w:p w14:paraId="2A534E66" w14:textId="77777777" w:rsidR="00F65BCA" w:rsidRDefault="00F65BCA">
            <w:pPr>
              <w:pStyle w:val="TableParagraph"/>
              <w:rPr>
                <w:rFonts w:ascii="Calibri"/>
                <w:sz w:val="2"/>
              </w:rPr>
            </w:pPr>
          </w:p>
          <w:p w14:paraId="58F3699B" w14:textId="77777777" w:rsidR="00F65BCA" w:rsidRDefault="00F65BCA">
            <w:pPr>
              <w:pStyle w:val="TableParagraph"/>
              <w:rPr>
                <w:rFonts w:ascii="Calibri"/>
                <w:sz w:val="2"/>
              </w:rPr>
            </w:pPr>
          </w:p>
          <w:p w14:paraId="0D275540" w14:textId="77777777" w:rsidR="00F65BCA" w:rsidRDefault="00F65BCA">
            <w:pPr>
              <w:pStyle w:val="TableParagraph"/>
              <w:rPr>
                <w:rFonts w:ascii="Calibri"/>
                <w:sz w:val="2"/>
              </w:rPr>
            </w:pPr>
          </w:p>
          <w:p w14:paraId="38FE27FB" w14:textId="77777777" w:rsidR="00F65BCA" w:rsidRDefault="00216117">
            <w:pPr>
              <w:pStyle w:val="TableParagraph"/>
              <w:ind w:left="24" w:right="24"/>
              <w:jc w:val="center"/>
              <w:rPr>
                <w:sz w:val="3"/>
              </w:rPr>
            </w:pPr>
            <w:r>
              <w:rPr>
                <w:w w:val="105"/>
                <w:sz w:val="3"/>
              </w:rPr>
              <w:t>2,02910500%</w:t>
            </w:r>
          </w:p>
        </w:tc>
        <w:tc>
          <w:tcPr>
            <w:tcW w:w="288" w:type="dxa"/>
          </w:tcPr>
          <w:p w14:paraId="095096B6" w14:textId="77777777" w:rsidR="00F65BCA" w:rsidRDefault="00F65BCA">
            <w:pPr>
              <w:pStyle w:val="TableParagraph"/>
              <w:rPr>
                <w:rFonts w:ascii="Calibri"/>
                <w:sz w:val="2"/>
              </w:rPr>
            </w:pPr>
          </w:p>
          <w:p w14:paraId="73B28560" w14:textId="77777777" w:rsidR="00F65BCA" w:rsidRDefault="00F65BCA">
            <w:pPr>
              <w:pStyle w:val="TableParagraph"/>
              <w:rPr>
                <w:rFonts w:ascii="Calibri"/>
                <w:sz w:val="2"/>
              </w:rPr>
            </w:pPr>
          </w:p>
          <w:p w14:paraId="22B3BC19" w14:textId="77777777" w:rsidR="00F65BCA" w:rsidRDefault="00F65BCA">
            <w:pPr>
              <w:pStyle w:val="TableParagraph"/>
              <w:rPr>
                <w:rFonts w:ascii="Calibri"/>
                <w:sz w:val="2"/>
              </w:rPr>
            </w:pPr>
          </w:p>
          <w:p w14:paraId="6443C73F" w14:textId="77777777" w:rsidR="00F65BCA" w:rsidRDefault="00216117">
            <w:pPr>
              <w:pStyle w:val="TableParagraph"/>
              <w:ind w:left="47"/>
              <w:rPr>
                <w:sz w:val="3"/>
              </w:rPr>
            </w:pPr>
            <w:r>
              <w:rPr>
                <w:w w:val="105"/>
                <w:sz w:val="3"/>
              </w:rPr>
              <w:t>2,02910500%</w:t>
            </w:r>
          </w:p>
        </w:tc>
        <w:tc>
          <w:tcPr>
            <w:tcW w:w="288" w:type="dxa"/>
          </w:tcPr>
          <w:p w14:paraId="173FB69F" w14:textId="77777777" w:rsidR="00F65BCA" w:rsidRDefault="00F65BCA">
            <w:pPr>
              <w:pStyle w:val="TableParagraph"/>
              <w:rPr>
                <w:rFonts w:ascii="Calibri"/>
                <w:sz w:val="2"/>
              </w:rPr>
            </w:pPr>
          </w:p>
          <w:p w14:paraId="024DB979" w14:textId="77777777" w:rsidR="00F65BCA" w:rsidRDefault="00F65BCA">
            <w:pPr>
              <w:pStyle w:val="TableParagraph"/>
              <w:rPr>
                <w:rFonts w:ascii="Calibri"/>
                <w:sz w:val="2"/>
              </w:rPr>
            </w:pPr>
          </w:p>
          <w:p w14:paraId="7AD103E9" w14:textId="77777777" w:rsidR="00F65BCA" w:rsidRDefault="00F65BCA">
            <w:pPr>
              <w:pStyle w:val="TableParagraph"/>
              <w:rPr>
                <w:rFonts w:ascii="Calibri"/>
                <w:sz w:val="2"/>
              </w:rPr>
            </w:pPr>
          </w:p>
          <w:p w14:paraId="3F900140" w14:textId="77777777" w:rsidR="00F65BCA" w:rsidRDefault="00216117">
            <w:pPr>
              <w:pStyle w:val="TableParagraph"/>
              <w:ind w:left="24" w:right="24"/>
              <w:jc w:val="center"/>
              <w:rPr>
                <w:sz w:val="3"/>
              </w:rPr>
            </w:pPr>
            <w:r>
              <w:rPr>
                <w:w w:val="105"/>
                <w:sz w:val="3"/>
              </w:rPr>
              <w:t>1,83274000%</w:t>
            </w:r>
          </w:p>
        </w:tc>
        <w:tc>
          <w:tcPr>
            <w:tcW w:w="288" w:type="dxa"/>
          </w:tcPr>
          <w:p w14:paraId="128CCB8B" w14:textId="77777777" w:rsidR="00F65BCA" w:rsidRDefault="00F65BCA">
            <w:pPr>
              <w:pStyle w:val="TableParagraph"/>
              <w:rPr>
                <w:rFonts w:ascii="Calibri"/>
                <w:sz w:val="2"/>
              </w:rPr>
            </w:pPr>
          </w:p>
          <w:p w14:paraId="3E695E6D" w14:textId="77777777" w:rsidR="00F65BCA" w:rsidRDefault="00F65BCA">
            <w:pPr>
              <w:pStyle w:val="TableParagraph"/>
              <w:rPr>
                <w:rFonts w:ascii="Calibri"/>
                <w:sz w:val="2"/>
              </w:rPr>
            </w:pPr>
          </w:p>
          <w:p w14:paraId="6B5847A6" w14:textId="77777777" w:rsidR="00F65BCA" w:rsidRDefault="00F65BCA">
            <w:pPr>
              <w:pStyle w:val="TableParagraph"/>
              <w:rPr>
                <w:rFonts w:ascii="Calibri"/>
                <w:sz w:val="2"/>
              </w:rPr>
            </w:pPr>
          </w:p>
          <w:p w14:paraId="34C19328" w14:textId="77777777" w:rsidR="00F65BCA" w:rsidRDefault="00216117">
            <w:pPr>
              <w:pStyle w:val="TableParagraph"/>
              <w:ind w:left="24" w:right="24"/>
              <w:jc w:val="center"/>
              <w:rPr>
                <w:sz w:val="3"/>
              </w:rPr>
            </w:pPr>
            <w:r>
              <w:rPr>
                <w:w w:val="105"/>
                <w:sz w:val="3"/>
              </w:rPr>
              <w:t>1,83274000%</w:t>
            </w:r>
          </w:p>
        </w:tc>
        <w:tc>
          <w:tcPr>
            <w:tcW w:w="288" w:type="dxa"/>
          </w:tcPr>
          <w:p w14:paraId="01373615" w14:textId="77777777" w:rsidR="00F65BCA" w:rsidRDefault="00F65BCA">
            <w:pPr>
              <w:pStyle w:val="TableParagraph"/>
              <w:rPr>
                <w:rFonts w:ascii="Calibri"/>
                <w:sz w:val="2"/>
              </w:rPr>
            </w:pPr>
          </w:p>
          <w:p w14:paraId="3E228138" w14:textId="77777777" w:rsidR="00F65BCA" w:rsidRDefault="00F65BCA">
            <w:pPr>
              <w:pStyle w:val="TableParagraph"/>
              <w:rPr>
                <w:rFonts w:ascii="Calibri"/>
                <w:sz w:val="2"/>
              </w:rPr>
            </w:pPr>
          </w:p>
          <w:p w14:paraId="4CC42706" w14:textId="77777777" w:rsidR="00F65BCA" w:rsidRDefault="00F65BCA">
            <w:pPr>
              <w:pStyle w:val="TableParagraph"/>
              <w:rPr>
                <w:rFonts w:ascii="Calibri"/>
                <w:sz w:val="2"/>
              </w:rPr>
            </w:pPr>
          </w:p>
          <w:p w14:paraId="1C19E2C7" w14:textId="77777777" w:rsidR="00F65BCA" w:rsidRDefault="00216117">
            <w:pPr>
              <w:pStyle w:val="TableParagraph"/>
              <w:ind w:left="47"/>
              <w:rPr>
                <w:sz w:val="3"/>
              </w:rPr>
            </w:pPr>
            <w:r>
              <w:rPr>
                <w:w w:val="105"/>
                <w:sz w:val="3"/>
              </w:rPr>
              <w:t>1,63637500%</w:t>
            </w:r>
          </w:p>
        </w:tc>
        <w:tc>
          <w:tcPr>
            <w:tcW w:w="288" w:type="dxa"/>
          </w:tcPr>
          <w:p w14:paraId="281DBEB7" w14:textId="77777777" w:rsidR="00F65BCA" w:rsidRDefault="00F65BCA">
            <w:pPr>
              <w:pStyle w:val="TableParagraph"/>
              <w:rPr>
                <w:rFonts w:ascii="Calibri"/>
                <w:sz w:val="2"/>
              </w:rPr>
            </w:pPr>
          </w:p>
          <w:p w14:paraId="182A44D4" w14:textId="77777777" w:rsidR="00F65BCA" w:rsidRDefault="00F65BCA">
            <w:pPr>
              <w:pStyle w:val="TableParagraph"/>
              <w:rPr>
                <w:rFonts w:ascii="Calibri"/>
                <w:sz w:val="2"/>
              </w:rPr>
            </w:pPr>
          </w:p>
          <w:p w14:paraId="289F4465" w14:textId="77777777" w:rsidR="00F65BCA" w:rsidRDefault="00F65BCA">
            <w:pPr>
              <w:pStyle w:val="TableParagraph"/>
              <w:rPr>
                <w:rFonts w:ascii="Calibri"/>
                <w:sz w:val="2"/>
              </w:rPr>
            </w:pPr>
          </w:p>
          <w:p w14:paraId="010FA632" w14:textId="77777777" w:rsidR="00F65BCA" w:rsidRDefault="00216117">
            <w:pPr>
              <w:pStyle w:val="TableParagraph"/>
              <w:ind w:left="24" w:right="24"/>
              <w:jc w:val="center"/>
              <w:rPr>
                <w:sz w:val="3"/>
              </w:rPr>
            </w:pPr>
            <w:r>
              <w:rPr>
                <w:w w:val="105"/>
                <w:sz w:val="3"/>
              </w:rPr>
              <w:t>1,63637500%</w:t>
            </w:r>
          </w:p>
        </w:tc>
        <w:tc>
          <w:tcPr>
            <w:tcW w:w="288" w:type="dxa"/>
          </w:tcPr>
          <w:p w14:paraId="506774ED" w14:textId="77777777" w:rsidR="00F65BCA" w:rsidRDefault="00F65BCA">
            <w:pPr>
              <w:pStyle w:val="TableParagraph"/>
              <w:rPr>
                <w:rFonts w:ascii="Calibri"/>
                <w:sz w:val="2"/>
              </w:rPr>
            </w:pPr>
          </w:p>
          <w:p w14:paraId="2BFD7ABF" w14:textId="77777777" w:rsidR="00F65BCA" w:rsidRDefault="00F65BCA">
            <w:pPr>
              <w:pStyle w:val="TableParagraph"/>
              <w:rPr>
                <w:rFonts w:ascii="Calibri"/>
                <w:sz w:val="2"/>
              </w:rPr>
            </w:pPr>
          </w:p>
          <w:p w14:paraId="365ABDBD" w14:textId="77777777" w:rsidR="00F65BCA" w:rsidRDefault="00F65BCA">
            <w:pPr>
              <w:pStyle w:val="TableParagraph"/>
              <w:rPr>
                <w:rFonts w:ascii="Calibri"/>
                <w:sz w:val="2"/>
              </w:rPr>
            </w:pPr>
          </w:p>
          <w:p w14:paraId="522DD905" w14:textId="77777777" w:rsidR="00F65BCA" w:rsidRDefault="00216117">
            <w:pPr>
              <w:pStyle w:val="TableParagraph"/>
              <w:ind w:left="24" w:right="24"/>
              <w:jc w:val="center"/>
              <w:rPr>
                <w:sz w:val="3"/>
              </w:rPr>
            </w:pPr>
            <w:r>
              <w:rPr>
                <w:w w:val="105"/>
                <w:sz w:val="3"/>
              </w:rPr>
              <w:t>1,50546500%</w:t>
            </w:r>
          </w:p>
        </w:tc>
        <w:tc>
          <w:tcPr>
            <w:tcW w:w="288" w:type="dxa"/>
          </w:tcPr>
          <w:p w14:paraId="43EB7B18" w14:textId="77777777" w:rsidR="00F65BCA" w:rsidRDefault="00F65BCA">
            <w:pPr>
              <w:pStyle w:val="TableParagraph"/>
              <w:rPr>
                <w:rFonts w:ascii="Calibri"/>
                <w:sz w:val="2"/>
              </w:rPr>
            </w:pPr>
          </w:p>
          <w:p w14:paraId="3BDE1F3C" w14:textId="77777777" w:rsidR="00F65BCA" w:rsidRDefault="00F65BCA">
            <w:pPr>
              <w:pStyle w:val="TableParagraph"/>
              <w:rPr>
                <w:rFonts w:ascii="Calibri"/>
                <w:sz w:val="2"/>
              </w:rPr>
            </w:pPr>
          </w:p>
          <w:p w14:paraId="536120A1" w14:textId="77777777" w:rsidR="00F65BCA" w:rsidRDefault="00F65BCA">
            <w:pPr>
              <w:pStyle w:val="TableParagraph"/>
              <w:rPr>
                <w:rFonts w:ascii="Calibri"/>
                <w:sz w:val="2"/>
              </w:rPr>
            </w:pPr>
          </w:p>
          <w:p w14:paraId="502DA68A" w14:textId="77777777" w:rsidR="00F65BCA" w:rsidRDefault="00216117">
            <w:pPr>
              <w:pStyle w:val="TableParagraph"/>
              <w:ind w:left="24" w:right="24"/>
              <w:jc w:val="center"/>
              <w:rPr>
                <w:sz w:val="3"/>
              </w:rPr>
            </w:pPr>
            <w:r>
              <w:rPr>
                <w:w w:val="105"/>
                <w:sz w:val="3"/>
              </w:rPr>
              <w:t>1,44001000%</w:t>
            </w:r>
          </w:p>
        </w:tc>
        <w:tc>
          <w:tcPr>
            <w:tcW w:w="288" w:type="dxa"/>
          </w:tcPr>
          <w:p w14:paraId="025AE51D" w14:textId="77777777" w:rsidR="00F65BCA" w:rsidRDefault="00F65BCA">
            <w:pPr>
              <w:pStyle w:val="TableParagraph"/>
              <w:rPr>
                <w:rFonts w:ascii="Calibri"/>
                <w:sz w:val="2"/>
              </w:rPr>
            </w:pPr>
          </w:p>
          <w:p w14:paraId="74142901" w14:textId="77777777" w:rsidR="00F65BCA" w:rsidRDefault="00F65BCA">
            <w:pPr>
              <w:pStyle w:val="TableParagraph"/>
              <w:rPr>
                <w:rFonts w:ascii="Calibri"/>
                <w:sz w:val="2"/>
              </w:rPr>
            </w:pPr>
          </w:p>
          <w:p w14:paraId="4475F04B" w14:textId="77777777" w:rsidR="00F65BCA" w:rsidRDefault="00F65BCA">
            <w:pPr>
              <w:pStyle w:val="TableParagraph"/>
              <w:rPr>
                <w:rFonts w:ascii="Calibri"/>
                <w:sz w:val="2"/>
              </w:rPr>
            </w:pPr>
          </w:p>
          <w:p w14:paraId="7B90516C" w14:textId="77777777" w:rsidR="00F65BCA" w:rsidRDefault="00216117">
            <w:pPr>
              <w:pStyle w:val="TableParagraph"/>
              <w:ind w:left="24" w:right="24"/>
              <w:jc w:val="center"/>
              <w:rPr>
                <w:sz w:val="3"/>
              </w:rPr>
            </w:pPr>
            <w:r>
              <w:rPr>
                <w:w w:val="105"/>
                <w:sz w:val="3"/>
              </w:rPr>
              <w:t>1,30910000%</w:t>
            </w:r>
          </w:p>
        </w:tc>
        <w:tc>
          <w:tcPr>
            <w:tcW w:w="288" w:type="dxa"/>
          </w:tcPr>
          <w:p w14:paraId="6A9096D1" w14:textId="77777777" w:rsidR="00F65BCA" w:rsidRDefault="00F65BCA">
            <w:pPr>
              <w:pStyle w:val="TableParagraph"/>
              <w:rPr>
                <w:rFonts w:ascii="Calibri"/>
                <w:sz w:val="2"/>
              </w:rPr>
            </w:pPr>
          </w:p>
          <w:p w14:paraId="47F6B00F" w14:textId="77777777" w:rsidR="00F65BCA" w:rsidRDefault="00F65BCA">
            <w:pPr>
              <w:pStyle w:val="TableParagraph"/>
              <w:rPr>
                <w:rFonts w:ascii="Calibri"/>
                <w:sz w:val="2"/>
              </w:rPr>
            </w:pPr>
          </w:p>
          <w:p w14:paraId="5DCD0B03" w14:textId="77777777" w:rsidR="00F65BCA" w:rsidRDefault="00F65BCA">
            <w:pPr>
              <w:pStyle w:val="TableParagraph"/>
              <w:rPr>
                <w:rFonts w:ascii="Calibri"/>
                <w:sz w:val="2"/>
              </w:rPr>
            </w:pPr>
          </w:p>
          <w:p w14:paraId="1E2C4A95" w14:textId="77777777" w:rsidR="00F65BCA" w:rsidRDefault="00216117">
            <w:pPr>
              <w:pStyle w:val="TableParagraph"/>
              <w:ind w:left="47"/>
              <w:rPr>
                <w:sz w:val="3"/>
              </w:rPr>
            </w:pPr>
            <w:r>
              <w:rPr>
                <w:w w:val="105"/>
                <w:sz w:val="3"/>
              </w:rPr>
              <w:t>1,30910000%</w:t>
            </w:r>
          </w:p>
        </w:tc>
      </w:tr>
      <w:tr w:rsidR="00F65BCA" w14:paraId="7BC4C3BE" w14:textId="77777777">
        <w:trPr>
          <w:trHeight w:val="81"/>
        </w:trPr>
        <w:tc>
          <w:tcPr>
            <w:tcW w:w="526" w:type="dxa"/>
            <w:vMerge w:val="restart"/>
            <w:tcBorders>
              <w:top w:val="nil"/>
              <w:bottom w:val="nil"/>
            </w:tcBorders>
            <w:shd w:val="clear" w:color="auto" w:fill="FCE4D6"/>
          </w:tcPr>
          <w:p w14:paraId="46496EB6" w14:textId="77777777" w:rsidR="00F65BCA" w:rsidRDefault="00F65BCA">
            <w:pPr>
              <w:pStyle w:val="TableParagraph"/>
              <w:rPr>
                <w:rFonts w:ascii="Times New Roman"/>
                <w:sz w:val="2"/>
              </w:rPr>
            </w:pPr>
          </w:p>
        </w:tc>
        <w:tc>
          <w:tcPr>
            <w:tcW w:w="732" w:type="dxa"/>
            <w:vMerge w:val="restart"/>
            <w:tcBorders>
              <w:bottom w:val="nil"/>
            </w:tcBorders>
            <w:shd w:val="clear" w:color="auto" w:fill="FCE4D6"/>
          </w:tcPr>
          <w:p w14:paraId="0A29039A" w14:textId="77777777" w:rsidR="00F65BCA" w:rsidRDefault="00F65BCA">
            <w:pPr>
              <w:pStyle w:val="TableParagraph"/>
              <w:rPr>
                <w:rFonts w:ascii="Times New Roman"/>
                <w:sz w:val="2"/>
              </w:rPr>
            </w:pPr>
          </w:p>
        </w:tc>
        <w:tc>
          <w:tcPr>
            <w:tcW w:w="958" w:type="dxa"/>
            <w:gridSpan w:val="2"/>
            <w:vMerge w:val="restart"/>
            <w:tcBorders>
              <w:bottom w:val="nil"/>
            </w:tcBorders>
            <w:shd w:val="clear" w:color="auto" w:fill="FCE4D6"/>
          </w:tcPr>
          <w:p w14:paraId="627BE95C" w14:textId="77777777" w:rsidR="00F65BCA" w:rsidRDefault="00F65BCA">
            <w:pPr>
              <w:pStyle w:val="TableParagraph"/>
              <w:rPr>
                <w:rFonts w:ascii="Calibri"/>
                <w:sz w:val="2"/>
              </w:rPr>
            </w:pPr>
          </w:p>
          <w:p w14:paraId="46B45406" w14:textId="77777777" w:rsidR="00F65BCA" w:rsidRDefault="00F65BCA">
            <w:pPr>
              <w:pStyle w:val="TableParagraph"/>
              <w:rPr>
                <w:rFonts w:ascii="Calibri"/>
                <w:sz w:val="2"/>
              </w:rPr>
            </w:pPr>
          </w:p>
          <w:p w14:paraId="0F084FB6" w14:textId="77777777" w:rsidR="00F65BCA" w:rsidRDefault="00216117">
            <w:pPr>
              <w:pStyle w:val="TableParagraph"/>
              <w:spacing w:before="17" w:line="14" w:lineRule="exact"/>
              <w:ind w:left="4"/>
              <w:rPr>
                <w:sz w:val="3"/>
              </w:rPr>
            </w:pPr>
            <w:r>
              <w:rPr>
                <w:w w:val="105"/>
                <w:sz w:val="3"/>
              </w:rPr>
              <w:t>C; D; JINÉ; K; KERAX; MAGNUM; MAJOR; PREMIUM; T</w:t>
            </w:r>
          </w:p>
        </w:tc>
        <w:tc>
          <w:tcPr>
            <w:tcW w:w="576" w:type="dxa"/>
            <w:shd w:val="clear" w:color="auto" w:fill="FCE4D6"/>
          </w:tcPr>
          <w:p w14:paraId="4CE6B150" w14:textId="77777777" w:rsidR="00F65BCA" w:rsidRDefault="00F65BCA">
            <w:pPr>
              <w:pStyle w:val="TableParagraph"/>
              <w:rPr>
                <w:rFonts w:ascii="Calibri"/>
                <w:sz w:val="2"/>
              </w:rPr>
            </w:pPr>
          </w:p>
          <w:p w14:paraId="492D2CBE" w14:textId="77777777" w:rsidR="00F65BCA" w:rsidRDefault="00216117">
            <w:pPr>
              <w:pStyle w:val="TableParagraph"/>
              <w:ind w:left="3"/>
              <w:jc w:val="center"/>
              <w:rPr>
                <w:sz w:val="3"/>
              </w:rPr>
            </w:pPr>
            <w:r>
              <w:rPr>
                <w:w w:val="103"/>
                <w:sz w:val="3"/>
              </w:rPr>
              <w:t>-</w:t>
            </w:r>
          </w:p>
        </w:tc>
        <w:tc>
          <w:tcPr>
            <w:tcW w:w="576" w:type="dxa"/>
            <w:shd w:val="clear" w:color="auto" w:fill="FCE4D6"/>
          </w:tcPr>
          <w:p w14:paraId="651A5754" w14:textId="77777777" w:rsidR="00F65BCA" w:rsidRDefault="00F65BCA">
            <w:pPr>
              <w:pStyle w:val="TableParagraph"/>
              <w:rPr>
                <w:rFonts w:ascii="Calibri"/>
                <w:sz w:val="2"/>
              </w:rPr>
            </w:pPr>
          </w:p>
          <w:p w14:paraId="3E951758" w14:textId="77777777" w:rsidR="00F65BCA" w:rsidRDefault="00216117">
            <w:pPr>
              <w:pStyle w:val="TableParagraph"/>
              <w:ind w:left="210"/>
              <w:rPr>
                <w:sz w:val="3"/>
              </w:rPr>
            </w:pPr>
            <w:r>
              <w:rPr>
                <w:w w:val="105"/>
                <w:sz w:val="3"/>
              </w:rPr>
              <w:t>0-12000 kg</w:t>
            </w:r>
          </w:p>
        </w:tc>
        <w:tc>
          <w:tcPr>
            <w:tcW w:w="50" w:type="dxa"/>
            <w:vMerge/>
            <w:tcBorders>
              <w:top w:val="nil"/>
              <w:bottom w:val="nil"/>
            </w:tcBorders>
          </w:tcPr>
          <w:p w14:paraId="78AD5F09" w14:textId="77777777" w:rsidR="00F65BCA" w:rsidRDefault="00F65BCA">
            <w:pPr>
              <w:rPr>
                <w:sz w:val="2"/>
                <w:szCs w:val="2"/>
              </w:rPr>
            </w:pPr>
          </w:p>
        </w:tc>
        <w:tc>
          <w:tcPr>
            <w:tcW w:w="288" w:type="dxa"/>
          </w:tcPr>
          <w:p w14:paraId="2E23D4D5" w14:textId="77777777" w:rsidR="00F65BCA" w:rsidRDefault="00F65BCA">
            <w:pPr>
              <w:pStyle w:val="TableParagraph"/>
              <w:rPr>
                <w:rFonts w:ascii="Calibri"/>
                <w:sz w:val="2"/>
              </w:rPr>
            </w:pPr>
          </w:p>
          <w:p w14:paraId="2FA8ACE5" w14:textId="77777777" w:rsidR="00F65BCA" w:rsidRDefault="00216117">
            <w:pPr>
              <w:pStyle w:val="TableParagraph"/>
              <w:ind w:left="24" w:right="24"/>
              <w:jc w:val="center"/>
              <w:rPr>
                <w:sz w:val="3"/>
              </w:rPr>
            </w:pPr>
            <w:r>
              <w:rPr>
                <w:w w:val="105"/>
                <w:sz w:val="3"/>
              </w:rPr>
              <w:t>2,01400000%</w:t>
            </w:r>
          </w:p>
        </w:tc>
        <w:tc>
          <w:tcPr>
            <w:tcW w:w="288" w:type="dxa"/>
          </w:tcPr>
          <w:p w14:paraId="74FDABE6" w14:textId="77777777" w:rsidR="00F65BCA" w:rsidRDefault="00F65BCA">
            <w:pPr>
              <w:pStyle w:val="TableParagraph"/>
              <w:rPr>
                <w:rFonts w:ascii="Calibri"/>
                <w:sz w:val="2"/>
              </w:rPr>
            </w:pPr>
          </w:p>
          <w:p w14:paraId="42B8872C" w14:textId="77777777" w:rsidR="00F65BCA" w:rsidRDefault="00216117">
            <w:pPr>
              <w:pStyle w:val="TableParagraph"/>
              <w:ind w:left="24" w:right="24"/>
              <w:jc w:val="center"/>
              <w:rPr>
                <w:sz w:val="3"/>
              </w:rPr>
            </w:pPr>
            <w:r>
              <w:rPr>
                <w:w w:val="105"/>
                <w:sz w:val="3"/>
              </w:rPr>
              <w:t>1,80200000%</w:t>
            </w:r>
          </w:p>
        </w:tc>
        <w:tc>
          <w:tcPr>
            <w:tcW w:w="288" w:type="dxa"/>
          </w:tcPr>
          <w:p w14:paraId="3C267D20" w14:textId="77777777" w:rsidR="00F65BCA" w:rsidRDefault="00F65BCA">
            <w:pPr>
              <w:pStyle w:val="TableParagraph"/>
              <w:rPr>
                <w:rFonts w:ascii="Calibri"/>
                <w:sz w:val="2"/>
              </w:rPr>
            </w:pPr>
          </w:p>
          <w:p w14:paraId="2B9AFBCF" w14:textId="77777777" w:rsidR="00F65BCA" w:rsidRDefault="00216117">
            <w:pPr>
              <w:pStyle w:val="TableParagraph"/>
              <w:ind w:left="47"/>
              <w:rPr>
                <w:sz w:val="3"/>
              </w:rPr>
            </w:pPr>
            <w:r>
              <w:rPr>
                <w:w w:val="105"/>
                <w:sz w:val="3"/>
              </w:rPr>
              <w:t>1,80200000%</w:t>
            </w:r>
          </w:p>
        </w:tc>
        <w:tc>
          <w:tcPr>
            <w:tcW w:w="288" w:type="dxa"/>
          </w:tcPr>
          <w:p w14:paraId="73BAFD1A" w14:textId="77777777" w:rsidR="00F65BCA" w:rsidRDefault="00F65BCA">
            <w:pPr>
              <w:pStyle w:val="TableParagraph"/>
              <w:rPr>
                <w:rFonts w:ascii="Calibri"/>
                <w:sz w:val="2"/>
              </w:rPr>
            </w:pPr>
          </w:p>
          <w:p w14:paraId="678CC488" w14:textId="77777777" w:rsidR="00F65BCA" w:rsidRDefault="00216117">
            <w:pPr>
              <w:pStyle w:val="TableParagraph"/>
              <w:ind w:left="24" w:right="24"/>
              <w:jc w:val="center"/>
              <w:rPr>
                <w:sz w:val="3"/>
              </w:rPr>
            </w:pPr>
            <w:r>
              <w:rPr>
                <w:w w:val="105"/>
                <w:sz w:val="3"/>
              </w:rPr>
              <w:t>1,64300000%</w:t>
            </w:r>
          </w:p>
        </w:tc>
        <w:tc>
          <w:tcPr>
            <w:tcW w:w="288" w:type="dxa"/>
          </w:tcPr>
          <w:p w14:paraId="1E5C7970" w14:textId="77777777" w:rsidR="00F65BCA" w:rsidRDefault="00F65BCA">
            <w:pPr>
              <w:pStyle w:val="TableParagraph"/>
              <w:rPr>
                <w:rFonts w:ascii="Calibri"/>
                <w:sz w:val="2"/>
              </w:rPr>
            </w:pPr>
          </w:p>
          <w:p w14:paraId="5CAB83F8" w14:textId="77777777" w:rsidR="00F65BCA" w:rsidRDefault="00216117">
            <w:pPr>
              <w:pStyle w:val="TableParagraph"/>
              <w:ind w:left="47"/>
              <w:rPr>
                <w:sz w:val="3"/>
              </w:rPr>
            </w:pPr>
            <w:r>
              <w:rPr>
                <w:w w:val="105"/>
                <w:sz w:val="3"/>
              </w:rPr>
              <w:t>1,64300000%</w:t>
            </w:r>
          </w:p>
        </w:tc>
        <w:tc>
          <w:tcPr>
            <w:tcW w:w="288" w:type="dxa"/>
          </w:tcPr>
          <w:p w14:paraId="3AF2A978" w14:textId="77777777" w:rsidR="00F65BCA" w:rsidRDefault="00F65BCA">
            <w:pPr>
              <w:pStyle w:val="TableParagraph"/>
              <w:rPr>
                <w:rFonts w:ascii="Calibri"/>
                <w:sz w:val="2"/>
              </w:rPr>
            </w:pPr>
          </w:p>
          <w:p w14:paraId="0A5C3B69" w14:textId="77777777" w:rsidR="00F65BCA" w:rsidRDefault="00216117">
            <w:pPr>
              <w:pStyle w:val="TableParagraph"/>
              <w:ind w:left="24" w:right="24"/>
              <w:jc w:val="center"/>
              <w:rPr>
                <w:sz w:val="3"/>
              </w:rPr>
            </w:pPr>
            <w:r>
              <w:rPr>
                <w:w w:val="105"/>
                <w:sz w:val="3"/>
              </w:rPr>
              <w:t>1,48400000%</w:t>
            </w:r>
          </w:p>
        </w:tc>
        <w:tc>
          <w:tcPr>
            <w:tcW w:w="288" w:type="dxa"/>
          </w:tcPr>
          <w:p w14:paraId="0F5FE451" w14:textId="77777777" w:rsidR="00F65BCA" w:rsidRDefault="00F65BCA">
            <w:pPr>
              <w:pStyle w:val="TableParagraph"/>
              <w:rPr>
                <w:rFonts w:ascii="Calibri"/>
                <w:sz w:val="2"/>
              </w:rPr>
            </w:pPr>
          </w:p>
          <w:p w14:paraId="6CC6C19A" w14:textId="77777777" w:rsidR="00F65BCA" w:rsidRDefault="00216117">
            <w:pPr>
              <w:pStyle w:val="TableParagraph"/>
              <w:ind w:left="24" w:right="24"/>
              <w:jc w:val="center"/>
              <w:rPr>
                <w:sz w:val="3"/>
              </w:rPr>
            </w:pPr>
            <w:r>
              <w:rPr>
                <w:w w:val="105"/>
                <w:sz w:val="3"/>
              </w:rPr>
              <w:t>1,48400000%</w:t>
            </w:r>
          </w:p>
        </w:tc>
        <w:tc>
          <w:tcPr>
            <w:tcW w:w="288" w:type="dxa"/>
          </w:tcPr>
          <w:p w14:paraId="1FFE2A68" w14:textId="77777777" w:rsidR="00F65BCA" w:rsidRDefault="00F65BCA">
            <w:pPr>
              <w:pStyle w:val="TableParagraph"/>
              <w:rPr>
                <w:rFonts w:ascii="Calibri"/>
                <w:sz w:val="2"/>
              </w:rPr>
            </w:pPr>
          </w:p>
          <w:p w14:paraId="74AD9C30" w14:textId="77777777" w:rsidR="00F65BCA" w:rsidRDefault="00216117">
            <w:pPr>
              <w:pStyle w:val="TableParagraph"/>
              <w:ind w:left="47"/>
              <w:rPr>
                <w:sz w:val="3"/>
              </w:rPr>
            </w:pPr>
            <w:r>
              <w:rPr>
                <w:w w:val="105"/>
                <w:sz w:val="3"/>
              </w:rPr>
              <w:t>1,32500000%</w:t>
            </w:r>
          </w:p>
        </w:tc>
        <w:tc>
          <w:tcPr>
            <w:tcW w:w="288" w:type="dxa"/>
          </w:tcPr>
          <w:p w14:paraId="434DD76C" w14:textId="77777777" w:rsidR="00F65BCA" w:rsidRDefault="00F65BCA">
            <w:pPr>
              <w:pStyle w:val="TableParagraph"/>
              <w:rPr>
                <w:rFonts w:ascii="Calibri"/>
                <w:sz w:val="2"/>
              </w:rPr>
            </w:pPr>
          </w:p>
          <w:p w14:paraId="1C4E18FD" w14:textId="77777777" w:rsidR="00F65BCA" w:rsidRDefault="00216117">
            <w:pPr>
              <w:pStyle w:val="TableParagraph"/>
              <w:ind w:left="24" w:right="24"/>
              <w:jc w:val="center"/>
              <w:rPr>
                <w:sz w:val="3"/>
              </w:rPr>
            </w:pPr>
            <w:r>
              <w:rPr>
                <w:w w:val="105"/>
                <w:sz w:val="3"/>
              </w:rPr>
              <w:t>1,32500000%</w:t>
            </w:r>
          </w:p>
        </w:tc>
        <w:tc>
          <w:tcPr>
            <w:tcW w:w="288" w:type="dxa"/>
          </w:tcPr>
          <w:p w14:paraId="7B2151B6" w14:textId="77777777" w:rsidR="00F65BCA" w:rsidRDefault="00F65BCA">
            <w:pPr>
              <w:pStyle w:val="TableParagraph"/>
              <w:rPr>
                <w:rFonts w:ascii="Calibri"/>
                <w:sz w:val="2"/>
              </w:rPr>
            </w:pPr>
          </w:p>
          <w:p w14:paraId="4848AEF9" w14:textId="77777777" w:rsidR="00F65BCA" w:rsidRDefault="00216117">
            <w:pPr>
              <w:pStyle w:val="TableParagraph"/>
              <w:ind w:left="24" w:right="24"/>
              <w:jc w:val="center"/>
              <w:rPr>
                <w:sz w:val="3"/>
              </w:rPr>
            </w:pPr>
            <w:r>
              <w:rPr>
                <w:w w:val="105"/>
                <w:sz w:val="3"/>
              </w:rPr>
              <w:t>1,21900000%</w:t>
            </w:r>
          </w:p>
        </w:tc>
        <w:tc>
          <w:tcPr>
            <w:tcW w:w="288" w:type="dxa"/>
          </w:tcPr>
          <w:p w14:paraId="276D6A0A" w14:textId="77777777" w:rsidR="00F65BCA" w:rsidRDefault="00F65BCA">
            <w:pPr>
              <w:pStyle w:val="TableParagraph"/>
              <w:rPr>
                <w:rFonts w:ascii="Calibri"/>
                <w:sz w:val="2"/>
              </w:rPr>
            </w:pPr>
          </w:p>
          <w:p w14:paraId="2B89C478" w14:textId="77777777" w:rsidR="00F65BCA" w:rsidRDefault="00216117">
            <w:pPr>
              <w:pStyle w:val="TableParagraph"/>
              <w:ind w:left="24" w:right="24"/>
              <w:jc w:val="center"/>
              <w:rPr>
                <w:sz w:val="3"/>
              </w:rPr>
            </w:pPr>
            <w:r>
              <w:rPr>
                <w:w w:val="105"/>
                <w:sz w:val="3"/>
              </w:rPr>
              <w:t>1,16600000%</w:t>
            </w:r>
          </w:p>
        </w:tc>
        <w:tc>
          <w:tcPr>
            <w:tcW w:w="288" w:type="dxa"/>
          </w:tcPr>
          <w:p w14:paraId="5F430A55" w14:textId="77777777" w:rsidR="00F65BCA" w:rsidRDefault="00F65BCA">
            <w:pPr>
              <w:pStyle w:val="TableParagraph"/>
              <w:rPr>
                <w:rFonts w:ascii="Calibri"/>
                <w:sz w:val="2"/>
              </w:rPr>
            </w:pPr>
          </w:p>
          <w:p w14:paraId="29F03772" w14:textId="77777777" w:rsidR="00F65BCA" w:rsidRDefault="00216117">
            <w:pPr>
              <w:pStyle w:val="TableParagraph"/>
              <w:ind w:left="24" w:right="24"/>
              <w:jc w:val="center"/>
              <w:rPr>
                <w:sz w:val="3"/>
              </w:rPr>
            </w:pPr>
            <w:r>
              <w:rPr>
                <w:w w:val="105"/>
                <w:sz w:val="3"/>
              </w:rPr>
              <w:t>1,06000000%</w:t>
            </w:r>
          </w:p>
        </w:tc>
        <w:tc>
          <w:tcPr>
            <w:tcW w:w="288" w:type="dxa"/>
          </w:tcPr>
          <w:p w14:paraId="7F8BDEB6" w14:textId="77777777" w:rsidR="00F65BCA" w:rsidRDefault="00F65BCA">
            <w:pPr>
              <w:pStyle w:val="TableParagraph"/>
              <w:rPr>
                <w:rFonts w:ascii="Calibri"/>
                <w:sz w:val="2"/>
              </w:rPr>
            </w:pPr>
          </w:p>
          <w:p w14:paraId="33EBE534" w14:textId="77777777" w:rsidR="00F65BCA" w:rsidRDefault="00216117">
            <w:pPr>
              <w:pStyle w:val="TableParagraph"/>
              <w:ind w:left="47"/>
              <w:rPr>
                <w:sz w:val="3"/>
              </w:rPr>
            </w:pPr>
            <w:r>
              <w:rPr>
                <w:w w:val="105"/>
                <w:sz w:val="3"/>
              </w:rPr>
              <w:t>1,06000000%</w:t>
            </w:r>
          </w:p>
        </w:tc>
      </w:tr>
      <w:tr w:rsidR="00F65BCA" w14:paraId="36724506" w14:textId="77777777">
        <w:trPr>
          <w:trHeight w:val="23"/>
        </w:trPr>
        <w:tc>
          <w:tcPr>
            <w:tcW w:w="526" w:type="dxa"/>
            <w:vMerge/>
            <w:tcBorders>
              <w:top w:val="nil"/>
              <w:bottom w:val="nil"/>
            </w:tcBorders>
            <w:shd w:val="clear" w:color="auto" w:fill="FCE4D6"/>
          </w:tcPr>
          <w:p w14:paraId="469657A5" w14:textId="77777777" w:rsidR="00F65BCA" w:rsidRDefault="00F65BCA">
            <w:pPr>
              <w:rPr>
                <w:sz w:val="2"/>
                <w:szCs w:val="2"/>
              </w:rPr>
            </w:pPr>
          </w:p>
        </w:tc>
        <w:tc>
          <w:tcPr>
            <w:tcW w:w="732" w:type="dxa"/>
            <w:vMerge/>
            <w:tcBorders>
              <w:top w:val="nil"/>
              <w:bottom w:val="nil"/>
            </w:tcBorders>
            <w:shd w:val="clear" w:color="auto" w:fill="FCE4D6"/>
          </w:tcPr>
          <w:p w14:paraId="10AD2618" w14:textId="77777777" w:rsidR="00F65BCA" w:rsidRDefault="00F65BCA">
            <w:pPr>
              <w:rPr>
                <w:sz w:val="2"/>
                <w:szCs w:val="2"/>
              </w:rPr>
            </w:pPr>
          </w:p>
        </w:tc>
        <w:tc>
          <w:tcPr>
            <w:tcW w:w="958" w:type="dxa"/>
            <w:gridSpan w:val="2"/>
            <w:vMerge/>
            <w:tcBorders>
              <w:top w:val="nil"/>
              <w:bottom w:val="nil"/>
            </w:tcBorders>
            <w:shd w:val="clear" w:color="auto" w:fill="FCE4D6"/>
          </w:tcPr>
          <w:p w14:paraId="5D9B0F54" w14:textId="77777777" w:rsidR="00F65BCA" w:rsidRDefault="00F65BCA">
            <w:pPr>
              <w:rPr>
                <w:sz w:val="2"/>
                <w:szCs w:val="2"/>
              </w:rPr>
            </w:pPr>
          </w:p>
        </w:tc>
        <w:tc>
          <w:tcPr>
            <w:tcW w:w="576" w:type="dxa"/>
            <w:vMerge w:val="restart"/>
            <w:shd w:val="clear" w:color="auto" w:fill="FCE4D6"/>
          </w:tcPr>
          <w:p w14:paraId="20A7F497" w14:textId="77777777" w:rsidR="00F65BCA" w:rsidRDefault="00F65BCA">
            <w:pPr>
              <w:pStyle w:val="TableParagraph"/>
              <w:rPr>
                <w:rFonts w:ascii="Calibri"/>
                <w:sz w:val="2"/>
              </w:rPr>
            </w:pPr>
          </w:p>
          <w:p w14:paraId="665F0DFC" w14:textId="77777777" w:rsidR="00F65BCA" w:rsidRDefault="00216117">
            <w:pPr>
              <w:pStyle w:val="TableParagraph"/>
              <w:ind w:left="3"/>
              <w:jc w:val="center"/>
              <w:rPr>
                <w:sz w:val="3"/>
              </w:rPr>
            </w:pPr>
            <w:r>
              <w:rPr>
                <w:w w:val="103"/>
                <w:sz w:val="3"/>
              </w:rPr>
              <w:t>-</w:t>
            </w:r>
          </w:p>
        </w:tc>
        <w:tc>
          <w:tcPr>
            <w:tcW w:w="576" w:type="dxa"/>
            <w:vMerge w:val="restart"/>
            <w:shd w:val="clear" w:color="auto" w:fill="FCE4D6"/>
          </w:tcPr>
          <w:p w14:paraId="67A8612C" w14:textId="77777777" w:rsidR="00F65BCA" w:rsidRDefault="00F65BCA">
            <w:pPr>
              <w:pStyle w:val="TableParagraph"/>
              <w:rPr>
                <w:rFonts w:ascii="Calibri"/>
                <w:sz w:val="2"/>
              </w:rPr>
            </w:pPr>
          </w:p>
          <w:p w14:paraId="41A4D304" w14:textId="77777777" w:rsidR="00F65BCA" w:rsidRDefault="00216117">
            <w:pPr>
              <w:pStyle w:val="TableParagraph"/>
              <w:ind w:left="129" w:right="128"/>
              <w:jc w:val="center"/>
              <w:rPr>
                <w:sz w:val="3"/>
              </w:rPr>
            </w:pPr>
            <w:r>
              <w:rPr>
                <w:w w:val="105"/>
                <w:sz w:val="3"/>
              </w:rPr>
              <w:t>&gt;12000 kg</w:t>
            </w:r>
          </w:p>
        </w:tc>
        <w:tc>
          <w:tcPr>
            <w:tcW w:w="50" w:type="dxa"/>
            <w:vMerge/>
            <w:tcBorders>
              <w:top w:val="nil"/>
              <w:bottom w:val="nil"/>
            </w:tcBorders>
          </w:tcPr>
          <w:p w14:paraId="6B4007DC" w14:textId="77777777" w:rsidR="00F65BCA" w:rsidRDefault="00F65BCA">
            <w:pPr>
              <w:rPr>
                <w:sz w:val="2"/>
                <w:szCs w:val="2"/>
              </w:rPr>
            </w:pPr>
          </w:p>
        </w:tc>
        <w:tc>
          <w:tcPr>
            <w:tcW w:w="288" w:type="dxa"/>
            <w:vMerge w:val="restart"/>
          </w:tcPr>
          <w:p w14:paraId="127A60BC" w14:textId="77777777" w:rsidR="00F65BCA" w:rsidRDefault="00F65BCA">
            <w:pPr>
              <w:pStyle w:val="TableParagraph"/>
              <w:rPr>
                <w:rFonts w:ascii="Calibri"/>
                <w:sz w:val="2"/>
              </w:rPr>
            </w:pPr>
          </w:p>
          <w:p w14:paraId="7BDDCFA7" w14:textId="77777777" w:rsidR="00F65BCA" w:rsidRDefault="00216117">
            <w:pPr>
              <w:pStyle w:val="TableParagraph"/>
              <w:ind w:left="47"/>
              <w:rPr>
                <w:sz w:val="3"/>
              </w:rPr>
            </w:pPr>
            <w:r>
              <w:rPr>
                <w:w w:val="105"/>
                <w:sz w:val="3"/>
              </w:rPr>
              <w:t>2,48729000%</w:t>
            </w:r>
          </w:p>
        </w:tc>
        <w:tc>
          <w:tcPr>
            <w:tcW w:w="288" w:type="dxa"/>
            <w:vMerge w:val="restart"/>
          </w:tcPr>
          <w:p w14:paraId="07744530" w14:textId="77777777" w:rsidR="00F65BCA" w:rsidRDefault="00F65BCA">
            <w:pPr>
              <w:pStyle w:val="TableParagraph"/>
              <w:rPr>
                <w:rFonts w:ascii="Calibri"/>
                <w:sz w:val="2"/>
              </w:rPr>
            </w:pPr>
          </w:p>
          <w:p w14:paraId="128EFE4F" w14:textId="77777777" w:rsidR="00F65BCA" w:rsidRDefault="00216117">
            <w:pPr>
              <w:pStyle w:val="TableParagraph"/>
              <w:ind w:left="47"/>
              <w:rPr>
                <w:sz w:val="3"/>
              </w:rPr>
            </w:pPr>
            <w:r>
              <w:rPr>
                <w:w w:val="105"/>
                <w:sz w:val="3"/>
              </w:rPr>
              <w:t>2,22547000%</w:t>
            </w:r>
          </w:p>
        </w:tc>
        <w:tc>
          <w:tcPr>
            <w:tcW w:w="288" w:type="dxa"/>
            <w:vMerge w:val="restart"/>
          </w:tcPr>
          <w:p w14:paraId="12BED533" w14:textId="77777777" w:rsidR="00F65BCA" w:rsidRDefault="00F65BCA">
            <w:pPr>
              <w:pStyle w:val="TableParagraph"/>
              <w:rPr>
                <w:rFonts w:ascii="Calibri"/>
                <w:sz w:val="2"/>
              </w:rPr>
            </w:pPr>
          </w:p>
          <w:p w14:paraId="3E05B75B" w14:textId="77777777" w:rsidR="00F65BCA" w:rsidRDefault="00216117">
            <w:pPr>
              <w:pStyle w:val="TableParagraph"/>
              <w:ind w:left="47"/>
              <w:rPr>
                <w:sz w:val="3"/>
              </w:rPr>
            </w:pPr>
            <w:r>
              <w:rPr>
                <w:w w:val="105"/>
                <w:sz w:val="3"/>
              </w:rPr>
              <w:t>2,22547000%</w:t>
            </w:r>
          </w:p>
        </w:tc>
        <w:tc>
          <w:tcPr>
            <w:tcW w:w="288" w:type="dxa"/>
            <w:vMerge w:val="restart"/>
          </w:tcPr>
          <w:p w14:paraId="7C57EFE0" w14:textId="77777777" w:rsidR="00F65BCA" w:rsidRDefault="00F65BCA">
            <w:pPr>
              <w:pStyle w:val="TableParagraph"/>
              <w:rPr>
                <w:rFonts w:ascii="Calibri"/>
                <w:sz w:val="2"/>
              </w:rPr>
            </w:pPr>
          </w:p>
          <w:p w14:paraId="549A7210" w14:textId="77777777" w:rsidR="00F65BCA" w:rsidRDefault="00216117">
            <w:pPr>
              <w:pStyle w:val="TableParagraph"/>
              <w:ind w:left="47"/>
              <w:rPr>
                <w:sz w:val="3"/>
              </w:rPr>
            </w:pPr>
            <w:r>
              <w:rPr>
                <w:w w:val="105"/>
                <w:sz w:val="3"/>
              </w:rPr>
              <w:t>2,02910500%</w:t>
            </w:r>
          </w:p>
        </w:tc>
        <w:tc>
          <w:tcPr>
            <w:tcW w:w="288" w:type="dxa"/>
            <w:vMerge w:val="restart"/>
          </w:tcPr>
          <w:p w14:paraId="4416BC3C" w14:textId="77777777" w:rsidR="00F65BCA" w:rsidRDefault="00F65BCA">
            <w:pPr>
              <w:pStyle w:val="TableParagraph"/>
              <w:rPr>
                <w:rFonts w:ascii="Calibri"/>
                <w:sz w:val="2"/>
              </w:rPr>
            </w:pPr>
          </w:p>
          <w:p w14:paraId="37401D45" w14:textId="77777777" w:rsidR="00F65BCA" w:rsidRDefault="00216117">
            <w:pPr>
              <w:pStyle w:val="TableParagraph"/>
              <w:ind w:left="47"/>
              <w:rPr>
                <w:sz w:val="3"/>
              </w:rPr>
            </w:pPr>
            <w:r>
              <w:rPr>
                <w:w w:val="105"/>
                <w:sz w:val="3"/>
              </w:rPr>
              <w:t>2,02910500%</w:t>
            </w:r>
          </w:p>
        </w:tc>
        <w:tc>
          <w:tcPr>
            <w:tcW w:w="288" w:type="dxa"/>
            <w:vMerge w:val="restart"/>
          </w:tcPr>
          <w:p w14:paraId="31AFA0E1" w14:textId="77777777" w:rsidR="00F65BCA" w:rsidRDefault="00F65BCA">
            <w:pPr>
              <w:pStyle w:val="TableParagraph"/>
              <w:rPr>
                <w:rFonts w:ascii="Calibri"/>
                <w:sz w:val="2"/>
              </w:rPr>
            </w:pPr>
          </w:p>
          <w:p w14:paraId="39BBB626" w14:textId="77777777" w:rsidR="00F65BCA" w:rsidRDefault="00216117">
            <w:pPr>
              <w:pStyle w:val="TableParagraph"/>
              <w:ind w:left="47"/>
              <w:rPr>
                <w:sz w:val="3"/>
              </w:rPr>
            </w:pPr>
            <w:r>
              <w:rPr>
                <w:w w:val="105"/>
                <w:sz w:val="3"/>
              </w:rPr>
              <w:t>1,83274000%</w:t>
            </w:r>
          </w:p>
        </w:tc>
        <w:tc>
          <w:tcPr>
            <w:tcW w:w="288" w:type="dxa"/>
            <w:vMerge w:val="restart"/>
          </w:tcPr>
          <w:p w14:paraId="7147A48C" w14:textId="77777777" w:rsidR="00F65BCA" w:rsidRDefault="00F65BCA">
            <w:pPr>
              <w:pStyle w:val="TableParagraph"/>
              <w:rPr>
                <w:rFonts w:ascii="Calibri"/>
                <w:sz w:val="2"/>
              </w:rPr>
            </w:pPr>
          </w:p>
          <w:p w14:paraId="64807968" w14:textId="77777777" w:rsidR="00F65BCA" w:rsidRDefault="00216117">
            <w:pPr>
              <w:pStyle w:val="TableParagraph"/>
              <w:ind w:left="47"/>
              <w:rPr>
                <w:sz w:val="3"/>
              </w:rPr>
            </w:pPr>
            <w:r>
              <w:rPr>
                <w:w w:val="105"/>
                <w:sz w:val="3"/>
              </w:rPr>
              <w:t>1,83274000%</w:t>
            </w:r>
          </w:p>
        </w:tc>
        <w:tc>
          <w:tcPr>
            <w:tcW w:w="288" w:type="dxa"/>
            <w:vMerge w:val="restart"/>
          </w:tcPr>
          <w:p w14:paraId="2FBE7003" w14:textId="77777777" w:rsidR="00F65BCA" w:rsidRDefault="00F65BCA">
            <w:pPr>
              <w:pStyle w:val="TableParagraph"/>
              <w:rPr>
                <w:rFonts w:ascii="Calibri"/>
                <w:sz w:val="2"/>
              </w:rPr>
            </w:pPr>
          </w:p>
          <w:p w14:paraId="37DBE5C7" w14:textId="77777777" w:rsidR="00F65BCA" w:rsidRDefault="00216117">
            <w:pPr>
              <w:pStyle w:val="TableParagraph"/>
              <w:ind w:left="47"/>
              <w:rPr>
                <w:sz w:val="3"/>
              </w:rPr>
            </w:pPr>
            <w:r>
              <w:rPr>
                <w:w w:val="105"/>
                <w:sz w:val="3"/>
              </w:rPr>
              <w:t>1,63637500%</w:t>
            </w:r>
          </w:p>
        </w:tc>
        <w:tc>
          <w:tcPr>
            <w:tcW w:w="288" w:type="dxa"/>
            <w:vMerge w:val="restart"/>
          </w:tcPr>
          <w:p w14:paraId="0A0AD019" w14:textId="77777777" w:rsidR="00F65BCA" w:rsidRDefault="00F65BCA">
            <w:pPr>
              <w:pStyle w:val="TableParagraph"/>
              <w:rPr>
                <w:rFonts w:ascii="Calibri"/>
                <w:sz w:val="2"/>
              </w:rPr>
            </w:pPr>
          </w:p>
          <w:p w14:paraId="5BDE0986" w14:textId="77777777" w:rsidR="00F65BCA" w:rsidRDefault="00216117">
            <w:pPr>
              <w:pStyle w:val="TableParagraph"/>
              <w:ind w:left="47"/>
              <w:rPr>
                <w:sz w:val="3"/>
              </w:rPr>
            </w:pPr>
            <w:r>
              <w:rPr>
                <w:w w:val="105"/>
                <w:sz w:val="3"/>
              </w:rPr>
              <w:t>1,63637500%</w:t>
            </w:r>
          </w:p>
        </w:tc>
        <w:tc>
          <w:tcPr>
            <w:tcW w:w="288" w:type="dxa"/>
            <w:vMerge w:val="restart"/>
          </w:tcPr>
          <w:p w14:paraId="70204D97" w14:textId="77777777" w:rsidR="00F65BCA" w:rsidRDefault="00F65BCA">
            <w:pPr>
              <w:pStyle w:val="TableParagraph"/>
              <w:rPr>
                <w:rFonts w:ascii="Calibri"/>
                <w:sz w:val="2"/>
              </w:rPr>
            </w:pPr>
          </w:p>
          <w:p w14:paraId="224D99FC" w14:textId="77777777" w:rsidR="00F65BCA" w:rsidRDefault="00216117">
            <w:pPr>
              <w:pStyle w:val="TableParagraph"/>
              <w:ind w:left="47"/>
              <w:rPr>
                <w:sz w:val="3"/>
              </w:rPr>
            </w:pPr>
            <w:r>
              <w:rPr>
                <w:w w:val="105"/>
                <w:sz w:val="3"/>
              </w:rPr>
              <w:t>1,50546500%</w:t>
            </w:r>
          </w:p>
        </w:tc>
        <w:tc>
          <w:tcPr>
            <w:tcW w:w="288" w:type="dxa"/>
            <w:vMerge w:val="restart"/>
          </w:tcPr>
          <w:p w14:paraId="16192367" w14:textId="77777777" w:rsidR="00F65BCA" w:rsidRDefault="00F65BCA">
            <w:pPr>
              <w:pStyle w:val="TableParagraph"/>
              <w:rPr>
                <w:rFonts w:ascii="Calibri"/>
                <w:sz w:val="2"/>
              </w:rPr>
            </w:pPr>
          </w:p>
          <w:p w14:paraId="5D6FEB80" w14:textId="77777777" w:rsidR="00F65BCA" w:rsidRDefault="00216117">
            <w:pPr>
              <w:pStyle w:val="TableParagraph"/>
              <w:ind w:left="47"/>
              <w:rPr>
                <w:sz w:val="3"/>
              </w:rPr>
            </w:pPr>
            <w:r>
              <w:rPr>
                <w:w w:val="105"/>
                <w:sz w:val="3"/>
              </w:rPr>
              <w:t>1,44001000%</w:t>
            </w:r>
          </w:p>
        </w:tc>
        <w:tc>
          <w:tcPr>
            <w:tcW w:w="288" w:type="dxa"/>
            <w:vMerge w:val="restart"/>
          </w:tcPr>
          <w:p w14:paraId="29AA7979" w14:textId="77777777" w:rsidR="00F65BCA" w:rsidRDefault="00F65BCA">
            <w:pPr>
              <w:pStyle w:val="TableParagraph"/>
              <w:rPr>
                <w:rFonts w:ascii="Calibri"/>
                <w:sz w:val="2"/>
              </w:rPr>
            </w:pPr>
          </w:p>
          <w:p w14:paraId="0C02E6FC" w14:textId="77777777" w:rsidR="00F65BCA" w:rsidRDefault="00216117">
            <w:pPr>
              <w:pStyle w:val="TableParagraph"/>
              <w:ind w:left="47"/>
              <w:rPr>
                <w:sz w:val="3"/>
              </w:rPr>
            </w:pPr>
            <w:r>
              <w:rPr>
                <w:w w:val="105"/>
                <w:sz w:val="3"/>
              </w:rPr>
              <w:t>1,30910000%</w:t>
            </w:r>
          </w:p>
        </w:tc>
        <w:tc>
          <w:tcPr>
            <w:tcW w:w="288" w:type="dxa"/>
            <w:vMerge w:val="restart"/>
          </w:tcPr>
          <w:p w14:paraId="666404B9" w14:textId="77777777" w:rsidR="00F65BCA" w:rsidRDefault="00F65BCA">
            <w:pPr>
              <w:pStyle w:val="TableParagraph"/>
              <w:rPr>
                <w:rFonts w:ascii="Calibri"/>
                <w:sz w:val="2"/>
              </w:rPr>
            </w:pPr>
          </w:p>
          <w:p w14:paraId="2616095F" w14:textId="77777777" w:rsidR="00F65BCA" w:rsidRDefault="00216117">
            <w:pPr>
              <w:pStyle w:val="TableParagraph"/>
              <w:ind w:left="47"/>
              <w:rPr>
                <w:sz w:val="3"/>
              </w:rPr>
            </w:pPr>
            <w:r>
              <w:rPr>
                <w:w w:val="105"/>
                <w:sz w:val="3"/>
              </w:rPr>
              <w:t>1,30910000%</w:t>
            </w:r>
          </w:p>
        </w:tc>
      </w:tr>
      <w:tr w:rsidR="00F65BCA" w14:paraId="3A40C6B9" w14:textId="77777777">
        <w:trPr>
          <w:trHeight w:val="38"/>
        </w:trPr>
        <w:tc>
          <w:tcPr>
            <w:tcW w:w="526" w:type="dxa"/>
            <w:tcBorders>
              <w:top w:val="nil"/>
              <w:bottom w:val="nil"/>
            </w:tcBorders>
            <w:shd w:val="clear" w:color="auto" w:fill="FCE4D6"/>
          </w:tcPr>
          <w:p w14:paraId="58CEC3E8" w14:textId="77777777" w:rsidR="00F65BCA" w:rsidRDefault="00216117">
            <w:pPr>
              <w:pStyle w:val="TableParagraph"/>
              <w:spacing w:line="18" w:lineRule="exact"/>
              <w:ind w:right="63"/>
              <w:jc w:val="right"/>
              <w:rPr>
                <w:sz w:val="3"/>
              </w:rPr>
            </w:pPr>
            <w:r>
              <w:rPr>
                <w:w w:val="105"/>
                <w:sz w:val="3"/>
              </w:rPr>
              <w:t>nákladní automobil nad 3,5 t</w:t>
            </w:r>
          </w:p>
        </w:tc>
        <w:tc>
          <w:tcPr>
            <w:tcW w:w="732" w:type="dxa"/>
            <w:tcBorders>
              <w:top w:val="nil"/>
              <w:bottom w:val="nil"/>
            </w:tcBorders>
            <w:shd w:val="clear" w:color="auto" w:fill="FCE4D6"/>
          </w:tcPr>
          <w:p w14:paraId="0F3E7520" w14:textId="77777777" w:rsidR="00F65BCA" w:rsidRDefault="00F65BCA">
            <w:pPr>
              <w:pStyle w:val="TableParagraph"/>
              <w:rPr>
                <w:rFonts w:ascii="Times New Roman"/>
                <w:sz w:val="2"/>
              </w:rPr>
            </w:pPr>
          </w:p>
        </w:tc>
        <w:tc>
          <w:tcPr>
            <w:tcW w:w="958" w:type="dxa"/>
            <w:gridSpan w:val="2"/>
            <w:tcBorders>
              <w:top w:val="nil"/>
              <w:bottom w:val="nil"/>
            </w:tcBorders>
            <w:shd w:val="clear" w:color="auto" w:fill="FCE4D6"/>
          </w:tcPr>
          <w:p w14:paraId="6A1FF7EE" w14:textId="77777777" w:rsidR="00F65BCA" w:rsidRDefault="00F65BCA">
            <w:pPr>
              <w:pStyle w:val="TableParagraph"/>
              <w:rPr>
                <w:rFonts w:ascii="Times New Roman"/>
                <w:sz w:val="2"/>
              </w:rPr>
            </w:pPr>
          </w:p>
        </w:tc>
        <w:tc>
          <w:tcPr>
            <w:tcW w:w="576" w:type="dxa"/>
            <w:vMerge/>
            <w:tcBorders>
              <w:top w:val="nil"/>
            </w:tcBorders>
            <w:shd w:val="clear" w:color="auto" w:fill="FCE4D6"/>
          </w:tcPr>
          <w:p w14:paraId="67776536" w14:textId="77777777" w:rsidR="00F65BCA" w:rsidRDefault="00F65BCA">
            <w:pPr>
              <w:rPr>
                <w:sz w:val="2"/>
                <w:szCs w:val="2"/>
              </w:rPr>
            </w:pPr>
          </w:p>
        </w:tc>
        <w:tc>
          <w:tcPr>
            <w:tcW w:w="576" w:type="dxa"/>
            <w:vMerge/>
            <w:tcBorders>
              <w:top w:val="nil"/>
            </w:tcBorders>
            <w:shd w:val="clear" w:color="auto" w:fill="FCE4D6"/>
          </w:tcPr>
          <w:p w14:paraId="6A72BD34" w14:textId="77777777" w:rsidR="00F65BCA" w:rsidRDefault="00F65BCA">
            <w:pPr>
              <w:rPr>
                <w:sz w:val="2"/>
                <w:szCs w:val="2"/>
              </w:rPr>
            </w:pPr>
          </w:p>
        </w:tc>
        <w:tc>
          <w:tcPr>
            <w:tcW w:w="50" w:type="dxa"/>
            <w:vMerge/>
            <w:tcBorders>
              <w:top w:val="nil"/>
              <w:bottom w:val="nil"/>
            </w:tcBorders>
          </w:tcPr>
          <w:p w14:paraId="4ED16601" w14:textId="77777777" w:rsidR="00F65BCA" w:rsidRDefault="00F65BCA">
            <w:pPr>
              <w:rPr>
                <w:sz w:val="2"/>
                <w:szCs w:val="2"/>
              </w:rPr>
            </w:pPr>
          </w:p>
        </w:tc>
        <w:tc>
          <w:tcPr>
            <w:tcW w:w="288" w:type="dxa"/>
            <w:vMerge/>
            <w:tcBorders>
              <w:top w:val="nil"/>
            </w:tcBorders>
          </w:tcPr>
          <w:p w14:paraId="524326B4" w14:textId="77777777" w:rsidR="00F65BCA" w:rsidRDefault="00F65BCA">
            <w:pPr>
              <w:rPr>
                <w:sz w:val="2"/>
                <w:szCs w:val="2"/>
              </w:rPr>
            </w:pPr>
          </w:p>
        </w:tc>
        <w:tc>
          <w:tcPr>
            <w:tcW w:w="288" w:type="dxa"/>
            <w:vMerge/>
            <w:tcBorders>
              <w:top w:val="nil"/>
            </w:tcBorders>
          </w:tcPr>
          <w:p w14:paraId="7530A845" w14:textId="77777777" w:rsidR="00F65BCA" w:rsidRDefault="00F65BCA">
            <w:pPr>
              <w:rPr>
                <w:sz w:val="2"/>
                <w:szCs w:val="2"/>
              </w:rPr>
            </w:pPr>
          </w:p>
        </w:tc>
        <w:tc>
          <w:tcPr>
            <w:tcW w:w="288" w:type="dxa"/>
            <w:vMerge/>
            <w:tcBorders>
              <w:top w:val="nil"/>
            </w:tcBorders>
          </w:tcPr>
          <w:p w14:paraId="66B459F2" w14:textId="77777777" w:rsidR="00F65BCA" w:rsidRDefault="00F65BCA">
            <w:pPr>
              <w:rPr>
                <w:sz w:val="2"/>
                <w:szCs w:val="2"/>
              </w:rPr>
            </w:pPr>
          </w:p>
        </w:tc>
        <w:tc>
          <w:tcPr>
            <w:tcW w:w="288" w:type="dxa"/>
            <w:vMerge/>
            <w:tcBorders>
              <w:top w:val="nil"/>
            </w:tcBorders>
          </w:tcPr>
          <w:p w14:paraId="2FEB94EC" w14:textId="77777777" w:rsidR="00F65BCA" w:rsidRDefault="00F65BCA">
            <w:pPr>
              <w:rPr>
                <w:sz w:val="2"/>
                <w:szCs w:val="2"/>
              </w:rPr>
            </w:pPr>
          </w:p>
        </w:tc>
        <w:tc>
          <w:tcPr>
            <w:tcW w:w="288" w:type="dxa"/>
            <w:vMerge/>
            <w:tcBorders>
              <w:top w:val="nil"/>
            </w:tcBorders>
          </w:tcPr>
          <w:p w14:paraId="7BBCECCF" w14:textId="77777777" w:rsidR="00F65BCA" w:rsidRDefault="00F65BCA">
            <w:pPr>
              <w:rPr>
                <w:sz w:val="2"/>
                <w:szCs w:val="2"/>
              </w:rPr>
            </w:pPr>
          </w:p>
        </w:tc>
        <w:tc>
          <w:tcPr>
            <w:tcW w:w="288" w:type="dxa"/>
            <w:vMerge/>
            <w:tcBorders>
              <w:top w:val="nil"/>
            </w:tcBorders>
          </w:tcPr>
          <w:p w14:paraId="19D5C18E" w14:textId="77777777" w:rsidR="00F65BCA" w:rsidRDefault="00F65BCA">
            <w:pPr>
              <w:rPr>
                <w:sz w:val="2"/>
                <w:szCs w:val="2"/>
              </w:rPr>
            </w:pPr>
          </w:p>
        </w:tc>
        <w:tc>
          <w:tcPr>
            <w:tcW w:w="288" w:type="dxa"/>
            <w:vMerge/>
            <w:tcBorders>
              <w:top w:val="nil"/>
            </w:tcBorders>
          </w:tcPr>
          <w:p w14:paraId="386F1DE8" w14:textId="77777777" w:rsidR="00F65BCA" w:rsidRDefault="00F65BCA">
            <w:pPr>
              <w:rPr>
                <w:sz w:val="2"/>
                <w:szCs w:val="2"/>
              </w:rPr>
            </w:pPr>
          </w:p>
        </w:tc>
        <w:tc>
          <w:tcPr>
            <w:tcW w:w="288" w:type="dxa"/>
            <w:vMerge/>
            <w:tcBorders>
              <w:top w:val="nil"/>
            </w:tcBorders>
          </w:tcPr>
          <w:p w14:paraId="19DB2566" w14:textId="77777777" w:rsidR="00F65BCA" w:rsidRDefault="00F65BCA">
            <w:pPr>
              <w:rPr>
                <w:sz w:val="2"/>
                <w:szCs w:val="2"/>
              </w:rPr>
            </w:pPr>
          </w:p>
        </w:tc>
        <w:tc>
          <w:tcPr>
            <w:tcW w:w="288" w:type="dxa"/>
            <w:vMerge/>
            <w:tcBorders>
              <w:top w:val="nil"/>
            </w:tcBorders>
          </w:tcPr>
          <w:p w14:paraId="073684E9" w14:textId="77777777" w:rsidR="00F65BCA" w:rsidRDefault="00F65BCA">
            <w:pPr>
              <w:rPr>
                <w:sz w:val="2"/>
                <w:szCs w:val="2"/>
              </w:rPr>
            </w:pPr>
          </w:p>
        </w:tc>
        <w:tc>
          <w:tcPr>
            <w:tcW w:w="288" w:type="dxa"/>
            <w:vMerge/>
            <w:tcBorders>
              <w:top w:val="nil"/>
            </w:tcBorders>
          </w:tcPr>
          <w:p w14:paraId="5195A3BA" w14:textId="77777777" w:rsidR="00F65BCA" w:rsidRDefault="00F65BCA">
            <w:pPr>
              <w:rPr>
                <w:sz w:val="2"/>
                <w:szCs w:val="2"/>
              </w:rPr>
            </w:pPr>
          </w:p>
        </w:tc>
        <w:tc>
          <w:tcPr>
            <w:tcW w:w="288" w:type="dxa"/>
            <w:vMerge/>
            <w:tcBorders>
              <w:top w:val="nil"/>
            </w:tcBorders>
          </w:tcPr>
          <w:p w14:paraId="74B7028A" w14:textId="77777777" w:rsidR="00F65BCA" w:rsidRDefault="00F65BCA">
            <w:pPr>
              <w:rPr>
                <w:sz w:val="2"/>
                <w:szCs w:val="2"/>
              </w:rPr>
            </w:pPr>
          </w:p>
        </w:tc>
        <w:tc>
          <w:tcPr>
            <w:tcW w:w="288" w:type="dxa"/>
            <w:vMerge/>
            <w:tcBorders>
              <w:top w:val="nil"/>
            </w:tcBorders>
          </w:tcPr>
          <w:p w14:paraId="2BE95E85" w14:textId="77777777" w:rsidR="00F65BCA" w:rsidRDefault="00F65BCA">
            <w:pPr>
              <w:rPr>
                <w:sz w:val="2"/>
                <w:szCs w:val="2"/>
              </w:rPr>
            </w:pPr>
          </w:p>
        </w:tc>
        <w:tc>
          <w:tcPr>
            <w:tcW w:w="288" w:type="dxa"/>
            <w:vMerge/>
            <w:tcBorders>
              <w:top w:val="nil"/>
            </w:tcBorders>
          </w:tcPr>
          <w:p w14:paraId="32DBEDDB" w14:textId="77777777" w:rsidR="00F65BCA" w:rsidRDefault="00F65BCA">
            <w:pPr>
              <w:rPr>
                <w:sz w:val="2"/>
                <w:szCs w:val="2"/>
              </w:rPr>
            </w:pPr>
          </w:p>
        </w:tc>
      </w:tr>
      <w:tr w:rsidR="00F65BCA" w14:paraId="178AFA79" w14:textId="77777777">
        <w:trPr>
          <w:trHeight w:val="19"/>
        </w:trPr>
        <w:tc>
          <w:tcPr>
            <w:tcW w:w="526" w:type="dxa"/>
            <w:vMerge w:val="restart"/>
            <w:tcBorders>
              <w:top w:val="nil"/>
              <w:bottom w:val="nil"/>
            </w:tcBorders>
            <w:shd w:val="clear" w:color="auto" w:fill="FCE4D6"/>
          </w:tcPr>
          <w:p w14:paraId="62146AB7" w14:textId="77777777" w:rsidR="00F65BCA" w:rsidRDefault="00F65BCA">
            <w:pPr>
              <w:pStyle w:val="TableParagraph"/>
              <w:rPr>
                <w:rFonts w:ascii="Times New Roman"/>
                <w:sz w:val="2"/>
              </w:rPr>
            </w:pPr>
          </w:p>
        </w:tc>
        <w:tc>
          <w:tcPr>
            <w:tcW w:w="732" w:type="dxa"/>
            <w:vMerge w:val="restart"/>
            <w:tcBorders>
              <w:top w:val="nil"/>
              <w:bottom w:val="nil"/>
            </w:tcBorders>
            <w:shd w:val="clear" w:color="auto" w:fill="FCE4D6"/>
          </w:tcPr>
          <w:p w14:paraId="444EE192" w14:textId="77777777" w:rsidR="00F65BCA" w:rsidRDefault="00216117">
            <w:pPr>
              <w:pStyle w:val="TableParagraph"/>
              <w:spacing w:before="4" w:line="27" w:lineRule="exact"/>
              <w:ind w:left="18" w:right="18"/>
              <w:jc w:val="center"/>
              <w:rPr>
                <w:sz w:val="3"/>
              </w:rPr>
            </w:pPr>
            <w:r>
              <w:rPr>
                <w:w w:val="105"/>
                <w:sz w:val="3"/>
              </w:rPr>
              <w:t>Renault</w:t>
            </w:r>
          </w:p>
        </w:tc>
        <w:tc>
          <w:tcPr>
            <w:tcW w:w="958" w:type="dxa"/>
            <w:gridSpan w:val="2"/>
            <w:tcBorders>
              <w:top w:val="nil"/>
            </w:tcBorders>
            <w:shd w:val="clear" w:color="auto" w:fill="FCE4D6"/>
          </w:tcPr>
          <w:p w14:paraId="213077E1" w14:textId="77777777" w:rsidR="00F65BCA" w:rsidRDefault="00F65BCA">
            <w:pPr>
              <w:pStyle w:val="TableParagraph"/>
              <w:rPr>
                <w:rFonts w:ascii="Times New Roman"/>
                <w:sz w:val="2"/>
              </w:rPr>
            </w:pPr>
          </w:p>
        </w:tc>
        <w:tc>
          <w:tcPr>
            <w:tcW w:w="576" w:type="dxa"/>
            <w:vMerge/>
            <w:tcBorders>
              <w:top w:val="nil"/>
            </w:tcBorders>
            <w:shd w:val="clear" w:color="auto" w:fill="FCE4D6"/>
          </w:tcPr>
          <w:p w14:paraId="5B73C469" w14:textId="77777777" w:rsidR="00F65BCA" w:rsidRDefault="00F65BCA">
            <w:pPr>
              <w:rPr>
                <w:sz w:val="2"/>
                <w:szCs w:val="2"/>
              </w:rPr>
            </w:pPr>
          </w:p>
        </w:tc>
        <w:tc>
          <w:tcPr>
            <w:tcW w:w="576" w:type="dxa"/>
            <w:vMerge/>
            <w:tcBorders>
              <w:top w:val="nil"/>
            </w:tcBorders>
            <w:shd w:val="clear" w:color="auto" w:fill="FCE4D6"/>
          </w:tcPr>
          <w:p w14:paraId="0342C98A" w14:textId="77777777" w:rsidR="00F65BCA" w:rsidRDefault="00F65BCA">
            <w:pPr>
              <w:rPr>
                <w:sz w:val="2"/>
                <w:szCs w:val="2"/>
              </w:rPr>
            </w:pPr>
          </w:p>
        </w:tc>
        <w:tc>
          <w:tcPr>
            <w:tcW w:w="50" w:type="dxa"/>
            <w:vMerge/>
            <w:tcBorders>
              <w:top w:val="nil"/>
              <w:bottom w:val="nil"/>
            </w:tcBorders>
          </w:tcPr>
          <w:p w14:paraId="343A5AFF" w14:textId="77777777" w:rsidR="00F65BCA" w:rsidRDefault="00F65BCA">
            <w:pPr>
              <w:rPr>
                <w:sz w:val="2"/>
                <w:szCs w:val="2"/>
              </w:rPr>
            </w:pPr>
          </w:p>
        </w:tc>
        <w:tc>
          <w:tcPr>
            <w:tcW w:w="288" w:type="dxa"/>
            <w:vMerge/>
            <w:tcBorders>
              <w:top w:val="nil"/>
            </w:tcBorders>
          </w:tcPr>
          <w:p w14:paraId="3DC1B464" w14:textId="77777777" w:rsidR="00F65BCA" w:rsidRDefault="00F65BCA">
            <w:pPr>
              <w:rPr>
                <w:sz w:val="2"/>
                <w:szCs w:val="2"/>
              </w:rPr>
            </w:pPr>
          </w:p>
        </w:tc>
        <w:tc>
          <w:tcPr>
            <w:tcW w:w="288" w:type="dxa"/>
            <w:vMerge/>
            <w:tcBorders>
              <w:top w:val="nil"/>
            </w:tcBorders>
          </w:tcPr>
          <w:p w14:paraId="4B32434F" w14:textId="77777777" w:rsidR="00F65BCA" w:rsidRDefault="00F65BCA">
            <w:pPr>
              <w:rPr>
                <w:sz w:val="2"/>
                <w:szCs w:val="2"/>
              </w:rPr>
            </w:pPr>
          </w:p>
        </w:tc>
        <w:tc>
          <w:tcPr>
            <w:tcW w:w="288" w:type="dxa"/>
            <w:vMerge/>
            <w:tcBorders>
              <w:top w:val="nil"/>
            </w:tcBorders>
          </w:tcPr>
          <w:p w14:paraId="624D0583" w14:textId="77777777" w:rsidR="00F65BCA" w:rsidRDefault="00F65BCA">
            <w:pPr>
              <w:rPr>
                <w:sz w:val="2"/>
                <w:szCs w:val="2"/>
              </w:rPr>
            </w:pPr>
          </w:p>
        </w:tc>
        <w:tc>
          <w:tcPr>
            <w:tcW w:w="288" w:type="dxa"/>
            <w:vMerge/>
            <w:tcBorders>
              <w:top w:val="nil"/>
            </w:tcBorders>
          </w:tcPr>
          <w:p w14:paraId="3FD96E4C" w14:textId="77777777" w:rsidR="00F65BCA" w:rsidRDefault="00F65BCA">
            <w:pPr>
              <w:rPr>
                <w:sz w:val="2"/>
                <w:szCs w:val="2"/>
              </w:rPr>
            </w:pPr>
          </w:p>
        </w:tc>
        <w:tc>
          <w:tcPr>
            <w:tcW w:w="288" w:type="dxa"/>
            <w:vMerge/>
            <w:tcBorders>
              <w:top w:val="nil"/>
            </w:tcBorders>
          </w:tcPr>
          <w:p w14:paraId="13692F2E" w14:textId="77777777" w:rsidR="00F65BCA" w:rsidRDefault="00F65BCA">
            <w:pPr>
              <w:rPr>
                <w:sz w:val="2"/>
                <w:szCs w:val="2"/>
              </w:rPr>
            </w:pPr>
          </w:p>
        </w:tc>
        <w:tc>
          <w:tcPr>
            <w:tcW w:w="288" w:type="dxa"/>
            <w:vMerge/>
            <w:tcBorders>
              <w:top w:val="nil"/>
            </w:tcBorders>
          </w:tcPr>
          <w:p w14:paraId="4543BBD2" w14:textId="77777777" w:rsidR="00F65BCA" w:rsidRDefault="00F65BCA">
            <w:pPr>
              <w:rPr>
                <w:sz w:val="2"/>
                <w:szCs w:val="2"/>
              </w:rPr>
            </w:pPr>
          </w:p>
        </w:tc>
        <w:tc>
          <w:tcPr>
            <w:tcW w:w="288" w:type="dxa"/>
            <w:vMerge/>
            <w:tcBorders>
              <w:top w:val="nil"/>
            </w:tcBorders>
          </w:tcPr>
          <w:p w14:paraId="52894566" w14:textId="77777777" w:rsidR="00F65BCA" w:rsidRDefault="00F65BCA">
            <w:pPr>
              <w:rPr>
                <w:sz w:val="2"/>
                <w:szCs w:val="2"/>
              </w:rPr>
            </w:pPr>
          </w:p>
        </w:tc>
        <w:tc>
          <w:tcPr>
            <w:tcW w:w="288" w:type="dxa"/>
            <w:vMerge/>
            <w:tcBorders>
              <w:top w:val="nil"/>
            </w:tcBorders>
          </w:tcPr>
          <w:p w14:paraId="77383949" w14:textId="77777777" w:rsidR="00F65BCA" w:rsidRDefault="00F65BCA">
            <w:pPr>
              <w:rPr>
                <w:sz w:val="2"/>
                <w:szCs w:val="2"/>
              </w:rPr>
            </w:pPr>
          </w:p>
        </w:tc>
        <w:tc>
          <w:tcPr>
            <w:tcW w:w="288" w:type="dxa"/>
            <w:vMerge/>
            <w:tcBorders>
              <w:top w:val="nil"/>
            </w:tcBorders>
          </w:tcPr>
          <w:p w14:paraId="42FAA08D" w14:textId="77777777" w:rsidR="00F65BCA" w:rsidRDefault="00F65BCA">
            <w:pPr>
              <w:rPr>
                <w:sz w:val="2"/>
                <w:szCs w:val="2"/>
              </w:rPr>
            </w:pPr>
          </w:p>
        </w:tc>
        <w:tc>
          <w:tcPr>
            <w:tcW w:w="288" w:type="dxa"/>
            <w:vMerge/>
            <w:tcBorders>
              <w:top w:val="nil"/>
            </w:tcBorders>
          </w:tcPr>
          <w:p w14:paraId="23EE24F4" w14:textId="77777777" w:rsidR="00F65BCA" w:rsidRDefault="00F65BCA">
            <w:pPr>
              <w:rPr>
                <w:sz w:val="2"/>
                <w:szCs w:val="2"/>
              </w:rPr>
            </w:pPr>
          </w:p>
        </w:tc>
        <w:tc>
          <w:tcPr>
            <w:tcW w:w="288" w:type="dxa"/>
            <w:vMerge/>
            <w:tcBorders>
              <w:top w:val="nil"/>
            </w:tcBorders>
          </w:tcPr>
          <w:p w14:paraId="020C756B" w14:textId="77777777" w:rsidR="00F65BCA" w:rsidRDefault="00F65BCA">
            <w:pPr>
              <w:rPr>
                <w:sz w:val="2"/>
                <w:szCs w:val="2"/>
              </w:rPr>
            </w:pPr>
          </w:p>
        </w:tc>
        <w:tc>
          <w:tcPr>
            <w:tcW w:w="288" w:type="dxa"/>
            <w:vMerge/>
            <w:tcBorders>
              <w:top w:val="nil"/>
            </w:tcBorders>
          </w:tcPr>
          <w:p w14:paraId="33013601" w14:textId="77777777" w:rsidR="00F65BCA" w:rsidRDefault="00F65BCA">
            <w:pPr>
              <w:rPr>
                <w:sz w:val="2"/>
                <w:szCs w:val="2"/>
              </w:rPr>
            </w:pPr>
          </w:p>
        </w:tc>
        <w:tc>
          <w:tcPr>
            <w:tcW w:w="288" w:type="dxa"/>
            <w:vMerge/>
            <w:tcBorders>
              <w:top w:val="nil"/>
            </w:tcBorders>
          </w:tcPr>
          <w:p w14:paraId="50819DAE" w14:textId="77777777" w:rsidR="00F65BCA" w:rsidRDefault="00F65BCA">
            <w:pPr>
              <w:rPr>
                <w:sz w:val="2"/>
                <w:szCs w:val="2"/>
              </w:rPr>
            </w:pPr>
          </w:p>
        </w:tc>
      </w:tr>
      <w:tr w:rsidR="00F65BCA" w14:paraId="2D80E59A" w14:textId="77777777">
        <w:trPr>
          <w:trHeight w:val="23"/>
        </w:trPr>
        <w:tc>
          <w:tcPr>
            <w:tcW w:w="526" w:type="dxa"/>
            <w:vMerge/>
            <w:tcBorders>
              <w:top w:val="nil"/>
              <w:bottom w:val="nil"/>
            </w:tcBorders>
            <w:shd w:val="clear" w:color="auto" w:fill="FCE4D6"/>
          </w:tcPr>
          <w:p w14:paraId="49B7BAC4" w14:textId="77777777" w:rsidR="00F65BCA" w:rsidRDefault="00F65BCA">
            <w:pPr>
              <w:rPr>
                <w:sz w:val="2"/>
                <w:szCs w:val="2"/>
              </w:rPr>
            </w:pPr>
          </w:p>
        </w:tc>
        <w:tc>
          <w:tcPr>
            <w:tcW w:w="732" w:type="dxa"/>
            <w:vMerge/>
            <w:tcBorders>
              <w:top w:val="nil"/>
              <w:bottom w:val="nil"/>
            </w:tcBorders>
            <w:shd w:val="clear" w:color="auto" w:fill="FCE4D6"/>
          </w:tcPr>
          <w:p w14:paraId="2884BDA2" w14:textId="77777777" w:rsidR="00F65BCA" w:rsidRDefault="00F65BCA">
            <w:pPr>
              <w:rPr>
                <w:sz w:val="2"/>
                <w:szCs w:val="2"/>
              </w:rPr>
            </w:pPr>
          </w:p>
        </w:tc>
        <w:tc>
          <w:tcPr>
            <w:tcW w:w="958" w:type="dxa"/>
            <w:gridSpan w:val="2"/>
            <w:tcBorders>
              <w:bottom w:val="nil"/>
            </w:tcBorders>
            <w:shd w:val="clear" w:color="auto" w:fill="FCE4D6"/>
          </w:tcPr>
          <w:p w14:paraId="076BADD2" w14:textId="77777777" w:rsidR="00F65BCA" w:rsidRDefault="00F65BCA">
            <w:pPr>
              <w:pStyle w:val="TableParagraph"/>
              <w:rPr>
                <w:rFonts w:ascii="Times New Roman"/>
                <w:sz w:val="2"/>
              </w:rPr>
            </w:pPr>
          </w:p>
        </w:tc>
        <w:tc>
          <w:tcPr>
            <w:tcW w:w="576" w:type="dxa"/>
            <w:vMerge w:val="restart"/>
            <w:shd w:val="clear" w:color="auto" w:fill="FCE4D6"/>
          </w:tcPr>
          <w:p w14:paraId="48F80D15" w14:textId="77777777" w:rsidR="00F65BCA" w:rsidRDefault="00F65BCA">
            <w:pPr>
              <w:pStyle w:val="TableParagraph"/>
              <w:rPr>
                <w:rFonts w:ascii="Calibri"/>
                <w:sz w:val="2"/>
              </w:rPr>
            </w:pPr>
          </w:p>
          <w:p w14:paraId="6F1AB684" w14:textId="77777777" w:rsidR="00F65BCA" w:rsidRDefault="00216117">
            <w:pPr>
              <w:pStyle w:val="TableParagraph"/>
              <w:ind w:left="3"/>
              <w:jc w:val="center"/>
              <w:rPr>
                <w:sz w:val="3"/>
              </w:rPr>
            </w:pPr>
            <w:r>
              <w:rPr>
                <w:w w:val="103"/>
                <w:sz w:val="3"/>
              </w:rPr>
              <w:t>-</w:t>
            </w:r>
          </w:p>
        </w:tc>
        <w:tc>
          <w:tcPr>
            <w:tcW w:w="576" w:type="dxa"/>
            <w:vMerge w:val="restart"/>
            <w:shd w:val="clear" w:color="auto" w:fill="FCE4D6"/>
          </w:tcPr>
          <w:p w14:paraId="6ED8E8A0" w14:textId="77777777" w:rsidR="00F65BCA" w:rsidRDefault="00F65BCA">
            <w:pPr>
              <w:pStyle w:val="TableParagraph"/>
              <w:rPr>
                <w:rFonts w:ascii="Calibri"/>
                <w:sz w:val="2"/>
              </w:rPr>
            </w:pPr>
          </w:p>
          <w:p w14:paraId="126139F0" w14:textId="77777777" w:rsidR="00F65BCA" w:rsidRDefault="00216117">
            <w:pPr>
              <w:pStyle w:val="TableParagraph"/>
              <w:ind w:left="129" w:right="126"/>
              <w:jc w:val="center"/>
              <w:rPr>
                <w:sz w:val="3"/>
              </w:rPr>
            </w:pPr>
            <w:r>
              <w:rPr>
                <w:w w:val="105"/>
                <w:sz w:val="3"/>
              </w:rPr>
              <w:t>0-12000 kg</w:t>
            </w:r>
          </w:p>
        </w:tc>
        <w:tc>
          <w:tcPr>
            <w:tcW w:w="50" w:type="dxa"/>
            <w:vMerge/>
            <w:tcBorders>
              <w:top w:val="nil"/>
              <w:bottom w:val="nil"/>
            </w:tcBorders>
          </w:tcPr>
          <w:p w14:paraId="36F870BF" w14:textId="77777777" w:rsidR="00F65BCA" w:rsidRDefault="00F65BCA">
            <w:pPr>
              <w:rPr>
                <w:sz w:val="2"/>
                <w:szCs w:val="2"/>
              </w:rPr>
            </w:pPr>
          </w:p>
        </w:tc>
        <w:tc>
          <w:tcPr>
            <w:tcW w:w="288" w:type="dxa"/>
            <w:vMerge w:val="restart"/>
          </w:tcPr>
          <w:p w14:paraId="740A30F1" w14:textId="77777777" w:rsidR="00F65BCA" w:rsidRDefault="00F65BCA">
            <w:pPr>
              <w:pStyle w:val="TableParagraph"/>
              <w:rPr>
                <w:rFonts w:ascii="Calibri"/>
                <w:sz w:val="2"/>
              </w:rPr>
            </w:pPr>
          </w:p>
          <w:p w14:paraId="46047A6C" w14:textId="77777777" w:rsidR="00F65BCA" w:rsidRDefault="00216117">
            <w:pPr>
              <w:pStyle w:val="TableParagraph"/>
              <w:ind w:left="47"/>
              <w:rPr>
                <w:sz w:val="3"/>
              </w:rPr>
            </w:pPr>
            <w:r>
              <w:rPr>
                <w:w w:val="105"/>
                <w:sz w:val="3"/>
              </w:rPr>
              <w:t>2,01400000%</w:t>
            </w:r>
          </w:p>
        </w:tc>
        <w:tc>
          <w:tcPr>
            <w:tcW w:w="288" w:type="dxa"/>
            <w:vMerge w:val="restart"/>
          </w:tcPr>
          <w:p w14:paraId="34D9583A" w14:textId="77777777" w:rsidR="00F65BCA" w:rsidRDefault="00F65BCA">
            <w:pPr>
              <w:pStyle w:val="TableParagraph"/>
              <w:rPr>
                <w:rFonts w:ascii="Calibri"/>
                <w:sz w:val="2"/>
              </w:rPr>
            </w:pPr>
          </w:p>
          <w:p w14:paraId="111A7E7E" w14:textId="77777777" w:rsidR="00F65BCA" w:rsidRDefault="00216117">
            <w:pPr>
              <w:pStyle w:val="TableParagraph"/>
              <w:ind w:left="47"/>
              <w:rPr>
                <w:sz w:val="3"/>
              </w:rPr>
            </w:pPr>
            <w:r>
              <w:rPr>
                <w:w w:val="105"/>
                <w:sz w:val="3"/>
              </w:rPr>
              <w:t>1,80200000%</w:t>
            </w:r>
          </w:p>
        </w:tc>
        <w:tc>
          <w:tcPr>
            <w:tcW w:w="288" w:type="dxa"/>
            <w:vMerge w:val="restart"/>
          </w:tcPr>
          <w:p w14:paraId="40735DF2" w14:textId="77777777" w:rsidR="00F65BCA" w:rsidRDefault="00F65BCA">
            <w:pPr>
              <w:pStyle w:val="TableParagraph"/>
              <w:rPr>
                <w:rFonts w:ascii="Calibri"/>
                <w:sz w:val="2"/>
              </w:rPr>
            </w:pPr>
          </w:p>
          <w:p w14:paraId="24E7F345" w14:textId="77777777" w:rsidR="00F65BCA" w:rsidRDefault="00216117">
            <w:pPr>
              <w:pStyle w:val="TableParagraph"/>
              <w:ind w:left="47"/>
              <w:rPr>
                <w:sz w:val="3"/>
              </w:rPr>
            </w:pPr>
            <w:r>
              <w:rPr>
                <w:w w:val="105"/>
                <w:sz w:val="3"/>
              </w:rPr>
              <w:t>1,80200000%</w:t>
            </w:r>
          </w:p>
        </w:tc>
        <w:tc>
          <w:tcPr>
            <w:tcW w:w="288" w:type="dxa"/>
            <w:vMerge w:val="restart"/>
          </w:tcPr>
          <w:p w14:paraId="716C562F" w14:textId="77777777" w:rsidR="00F65BCA" w:rsidRDefault="00F65BCA">
            <w:pPr>
              <w:pStyle w:val="TableParagraph"/>
              <w:rPr>
                <w:rFonts w:ascii="Calibri"/>
                <w:sz w:val="2"/>
              </w:rPr>
            </w:pPr>
          </w:p>
          <w:p w14:paraId="64334B26" w14:textId="77777777" w:rsidR="00F65BCA" w:rsidRDefault="00216117">
            <w:pPr>
              <w:pStyle w:val="TableParagraph"/>
              <w:ind w:left="47"/>
              <w:rPr>
                <w:sz w:val="3"/>
              </w:rPr>
            </w:pPr>
            <w:r>
              <w:rPr>
                <w:w w:val="105"/>
                <w:sz w:val="3"/>
              </w:rPr>
              <w:t>1,64300000%</w:t>
            </w:r>
          </w:p>
        </w:tc>
        <w:tc>
          <w:tcPr>
            <w:tcW w:w="288" w:type="dxa"/>
            <w:vMerge w:val="restart"/>
          </w:tcPr>
          <w:p w14:paraId="1ED6D73C" w14:textId="77777777" w:rsidR="00F65BCA" w:rsidRDefault="00F65BCA">
            <w:pPr>
              <w:pStyle w:val="TableParagraph"/>
              <w:rPr>
                <w:rFonts w:ascii="Calibri"/>
                <w:sz w:val="2"/>
              </w:rPr>
            </w:pPr>
          </w:p>
          <w:p w14:paraId="330BD7E3" w14:textId="77777777" w:rsidR="00F65BCA" w:rsidRDefault="00216117">
            <w:pPr>
              <w:pStyle w:val="TableParagraph"/>
              <w:ind w:left="47"/>
              <w:rPr>
                <w:sz w:val="3"/>
              </w:rPr>
            </w:pPr>
            <w:r>
              <w:rPr>
                <w:w w:val="105"/>
                <w:sz w:val="3"/>
              </w:rPr>
              <w:t>1,64300000%</w:t>
            </w:r>
          </w:p>
        </w:tc>
        <w:tc>
          <w:tcPr>
            <w:tcW w:w="288" w:type="dxa"/>
            <w:vMerge w:val="restart"/>
          </w:tcPr>
          <w:p w14:paraId="6865F70E" w14:textId="77777777" w:rsidR="00F65BCA" w:rsidRDefault="00F65BCA">
            <w:pPr>
              <w:pStyle w:val="TableParagraph"/>
              <w:rPr>
                <w:rFonts w:ascii="Calibri"/>
                <w:sz w:val="2"/>
              </w:rPr>
            </w:pPr>
          </w:p>
          <w:p w14:paraId="2AC3BAE4" w14:textId="77777777" w:rsidR="00F65BCA" w:rsidRDefault="00216117">
            <w:pPr>
              <w:pStyle w:val="TableParagraph"/>
              <w:ind w:left="47"/>
              <w:rPr>
                <w:sz w:val="3"/>
              </w:rPr>
            </w:pPr>
            <w:r>
              <w:rPr>
                <w:w w:val="105"/>
                <w:sz w:val="3"/>
              </w:rPr>
              <w:t>1,48400000%</w:t>
            </w:r>
          </w:p>
        </w:tc>
        <w:tc>
          <w:tcPr>
            <w:tcW w:w="288" w:type="dxa"/>
            <w:vMerge w:val="restart"/>
          </w:tcPr>
          <w:p w14:paraId="31E57866" w14:textId="77777777" w:rsidR="00F65BCA" w:rsidRDefault="00F65BCA">
            <w:pPr>
              <w:pStyle w:val="TableParagraph"/>
              <w:rPr>
                <w:rFonts w:ascii="Calibri"/>
                <w:sz w:val="2"/>
              </w:rPr>
            </w:pPr>
          </w:p>
          <w:p w14:paraId="4B48A40A" w14:textId="77777777" w:rsidR="00F65BCA" w:rsidRDefault="00216117">
            <w:pPr>
              <w:pStyle w:val="TableParagraph"/>
              <w:ind w:left="47"/>
              <w:rPr>
                <w:sz w:val="3"/>
              </w:rPr>
            </w:pPr>
            <w:r>
              <w:rPr>
                <w:w w:val="105"/>
                <w:sz w:val="3"/>
              </w:rPr>
              <w:t>1,48400000%</w:t>
            </w:r>
          </w:p>
        </w:tc>
        <w:tc>
          <w:tcPr>
            <w:tcW w:w="288" w:type="dxa"/>
            <w:vMerge w:val="restart"/>
          </w:tcPr>
          <w:p w14:paraId="3CC9FC4F" w14:textId="77777777" w:rsidR="00F65BCA" w:rsidRDefault="00F65BCA">
            <w:pPr>
              <w:pStyle w:val="TableParagraph"/>
              <w:rPr>
                <w:rFonts w:ascii="Calibri"/>
                <w:sz w:val="2"/>
              </w:rPr>
            </w:pPr>
          </w:p>
          <w:p w14:paraId="2BE13306" w14:textId="77777777" w:rsidR="00F65BCA" w:rsidRDefault="00216117">
            <w:pPr>
              <w:pStyle w:val="TableParagraph"/>
              <w:ind w:left="47"/>
              <w:rPr>
                <w:sz w:val="3"/>
              </w:rPr>
            </w:pPr>
            <w:r>
              <w:rPr>
                <w:w w:val="105"/>
                <w:sz w:val="3"/>
              </w:rPr>
              <w:t>1,32500000%</w:t>
            </w:r>
          </w:p>
        </w:tc>
        <w:tc>
          <w:tcPr>
            <w:tcW w:w="288" w:type="dxa"/>
            <w:vMerge w:val="restart"/>
          </w:tcPr>
          <w:p w14:paraId="796F3C3A" w14:textId="77777777" w:rsidR="00F65BCA" w:rsidRDefault="00F65BCA">
            <w:pPr>
              <w:pStyle w:val="TableParagraph"/>
              <w:rPr>
                <w:rFonts w:ascii="Calibri"/>
                <w:sz w:val="2"/>
              </w:rPr>
            </w:pPr>
          </w:p>
          <w:p w14:paraId="3B666F1D" w14:textId="77777777" w:rsidR="00F65BCA" w:rsidRDefault="00216117">
            <w:pPr>
              <w:pStyle w:val="TableParagraph"/>
              <w:ind w:left="47"/>
              <w:rPr>
                <w:sz w:val="3"/>
              </w:rPr>
            </w:pPr>
            <w:r>
              <w:rPr>
                <w:w w:val="105"/>
                <w:sz w:val="3"/>
              </w:rPr>
              <w:t>1,32500000%</w:t>
            </w:r>
          </w:p>
        </w:tc>
        <w:tc>
          <w:tcPr>
            <w:tcW w:w="288" w:type="dxa"/>
            <w:vMerge w:val="restart"/>
          </w:tcPr>
          <w:p w14:paraId="63C170B1" w14:textId="77777777" w:rsidR="00F65BCA" w:rsidRDefault="00F65BCA">
            <w:pPr>
              <w:pStyle w:val="TableParagraph"/>
              <w:rPr>
                <w:rFonts w:ascii="Calibri"/>
                <w:sz w:val="2"/>
              </w:rPr>
            </w:pPr>
          </w:p>
          <w:p w14:paraId="0F0D293E" w14:textId="77777777" w:rsidR="00F65BCA" w:rsidRDefault="00216117">
            <w:pPr>
              <w:pStyle w:val="TableParagraph"/>
              <w:ind w:left="47"/>
              <w:rPr>
                <w:sz w:val="3"/>
              </w:rPr>
            </w:pPr>
            <w:r>
              <w:rPr>
                <w:w w:val="105"/>
                <w:sz w:val="3"/>
              </w:rPr>
              <w:t>1,21900000%</w:t>
            </w:r>
          </w:p>
        </w:tc>
        <w:tc>
          <w:tcPr>
            <w:tcW w:w="288" w:type="dxa"/>
            <w:vMerge w:val="restart"/>
          </w:tcPr>
          <w:p w14:paraId="06F3FB6E" w14:textId="77777777" w:rsidR="00F65BCA" w:rsidRDefault="00F65BCA">
            <w:pPr>
              <w:pStyle w:val="TableParagraph"/>
              <w:rPr>
                <w:rFonts w:ascii="Calibri"/>
                <w:sz w:val="2"/>
              </w:rPr>
            </w:pPr>
          </w:p>
          <w:p w14:paraId="59015E83" w14:textId="77777777" w:rsidR="00F65BCA" w:rsidRDefault="00216117">
            <w:pPr>
              <w:pStyle w:val="TableParagraph"/>
              <w:ind w:left="47"/>
              <w:rPr>
                <w:sz w:val="3"/>
              </w:rPr>
            </w:pPr>
            <w:r>
              <w:rPr>
                <w:w w:val="105"/>
                <w:sz w:val="3"/>
              </w:rPr>
              <w:t>1,16600000%</w:t>
            </w:r>
          </w:p>
        </w:tc>
        <w:tc>
          <w:tcPr>
            <w:tcW w:w="288" w:type="dxa"/>
            <w:vMerge w:val="restart"/>
          </w:tcPr>
          <w:p w14:paraId="2493A03B" w14:textId="77777777" w:rsidR="00F65BCA" w:rsidRDefault="00F65BCA">
            <w:pPr>
              <w:pStyle w:val="TableParagraph"/>
              <w:rPr>
                <w:rFonts w:ascii="Calibri"/>
                <w:sz w:val="2"/>
              </w:rPr>
            </w:pPr>
          </w:p>
          <w:p w14:paraId="4E76CCB4" w14:textId="77777777" w:rsidR="00F65BCA" w:rsidRDefault="00216117">
            <w:pPr>
              <w:pStyle w:val="TableParagraph"/>
              <w:ind w:left="47"/>
              <w:rPr>
                <w:sz w:val="3"/>
              </w:rPr>
            </w:pPr>
            <w:r>
              <w:rPr>
                <w:w w:val="105"/>
                <w:sz w:val="3"/>
              </w:rPr>
              <w:t>1,06000000%</w:t>
            </w:r>
          </w:p>
        </w:tc>
        <w:tc>
          <w:tcPr>
            <w:tcW w:w="288" w:type="dxa"/>
            <w:vMerge w:val="restart"/>
          </w:tcPr>
          <w:p w14:paraId="3E97E3FE" w14:textId="77777777" w:rsidR="00F65BCA" w:rsidRDefault="00F65BCA">
            <w:pPr>
              <w:pStyle w:val="TableParagraph"/>
              <w:rPr>
                <w:rFonts w:ascii="Calibri"/>
                <w:sz w:val="2"/>
              </w:rPr>
            </w:pPr>
          </w:p>
          <w:p w14:paraId="64124F81" w14:textId="77777777" w:rsidR="00F65BCA" w:rsidRDefault="00216117">
            <w:pPr>
              <w:pStyle w:val="TableParagraph"/>
              <w:ind w:left="47"/>
              <w:rPr>
                <w:sz w:val="3"/>
              </w:rPr>
            </w:pPr>
            <w:r>
              <w:rPr>
                <w:w w:val="105"/>
                <w:sz w:val="3"/>
              </w:rPr>
              <w:t>1,06000000%</w:t>
            </w:r>
          </w:p>
        </w:tc>
      </w:tr>
      <w:tr w:rsidR="00F65BCA" w14:paraId="6D4E7415" w14:textId="77777777">
        <w:trPr>
          <w:trHeight w:val="49"/>
        </w:trPr>
        <w:tc>
          <w:tcPr>
            <w:tcW w:w="526" w:type="dxa"/>
            <w:vMerge w:val="restart"/>
            <w:tcBorders>
              <w:top w:val="nil"/>
              <w:bottom w:val="nil"/>
            </w:tcBorders>
            <w:shd w:val="clear" w:color="auto" w:fill="FCE4D6"/>
          </w:tcPr>
          <w:p w14:paraId="44F50156" w14:textId="77777777" w:rsidR="00F65BCA" w:rsidRDefault="00F65BCA">
            <w:pPr>
              <w:pStyle w:val="TableParagraph"/>
              <w:rPr>
                <w:rFonts w:ascii="Times New Roman"/>
                <w:sz w:val="2"/>
              </w:rPr>
            </w:pPr>
          </w:p>
        </w:tc>
        <w:tc>
          <w:tcPr>
            <w:tcW w:w="732" w:type="dxa"/>
            <w:vMerge w:val="restart"/>
            <w:tcBorders>
              <w:top w:val="nil"/>
            </w:tcBorders>
            <w:shd w:val="clear" w:color="auto" w:fill="FCE4D6"/>
          </w:tcPr>
          <w:p w14:paraId="06412985" w14:textId="77777777" w:rsidR="00F65BCA" w:rsidRDefault="00F65BCA">
            <w:pPr>
              <w:pStyle w:val="TableParagraph"/>
              <w:rPr>
                <w:rFonts w:ascii="Times New Roman"/>
                <w:sz w:val="2"/>
              </w:rPr>
            </w:pPr>
          </w:p>
        </w:tc>
        <w:tc>
          <w:tcPr>
            <w:tcW w:w="958" w:type="dxa"/>
            <w:gridSpan w:val="2"/>
            <w:vMerge w:val="restart"/>
            <w:tcBorders>
              <w:top w:val="nil"/>
            </w:tcBorders>
            <w:shd w:val="clear" w:color="auto" w:fill="FCE4D6"/>
          </w:tcPr>
          <w:p w14:paraId="0CE28EAA" w14:textId="77777777" w:rsidR="00F65BCA" w:rsidRDefault="00216117">
            <w:pPr>
              <w:pStyle w:val="TableParagraph"/>
              <w:spacing w:before="12" w:line="283" w:lineRule="auto"/>
              <w:ind w:left="4" w:right="21"/>
              <w:rPr>
                <w:sz w:val="3"/>
              </w:rPr>
            </w:pPr>
            <w:r>
              <w:rPr>
                <w:w w:val="105"/>
                <w:sz w:val="3"/>
              </w:rPr>
              <w:t>MASCOTT; MASTER NAD 3,5 T; MAXITY NAD 3,5T; MESSENGER; MIDLINER; MIDLUM</w:t>
            </w:r>
          </w:p>
        </w:tc>
        <w:tc>
          <w:tcPr>
            <w:tcW w:w="576" w:type="dxa"/>
            <w:vMerge/>
            <w:tcBorders>
              <w:top w:val="nil"/>
            </w:tcBorders>
            <w:shd w:val="clear" w:color="auto" w:fill="FCE4D6"/>
          </w:tcPr>
          <w:p w14:paraId="6A87BDD6" w14:textId="77777777" w:rsidR="00F65BCA" w:rsidRDefault="00F65BCA">
            <w:pPr>
              <w:rPr>
                <w:sz w:val="2"/>
                <w:szCs w:val="2"/>
              </w:rPr>
            </w:pPr>
          </w:p>
        </w:tc>
        <w:tc>
          <w:tcPr>
            <w:tcW w:w="576" w:type="dxa"/>
            <w:vMerge/>
            <w:tcBorders>
              <w:top w:val="nil"/>
            </w:tcBorders>
            <w:shd w:val="clear" w:color="auto" w:fill="FCE4D6"/>
          </w:tcPr>
          <w:p w14:paraId="748AAFC7" w14:textId="77777777" w:rsidR="00F65BCA" w:rsidRDefault="00F65BCA">
            <w:pPr>
              <w:rPr>
                <w:sz w:val="2"/>
                <w:szCs w:val="2"/>
              </w:rPr>
            </w:pPr>
          </w:p>
        </w:tc>
        <w:tc>
          <w:tcPr>
            <w:tcW w:w="50" w:type="dxa"/>
            <w:vMerge/>
            <w:tcBorders>
              <w:top w:val="nil"/>
              <w:bottom w:val="nil"/>
            </w:tcBorders>
          </w:tcPr>
          <w:p w14:paraId="07865ADC" w14:textId="77777777" w:rsidR="00F65BCA" w:rsidRDefault="00F65BCA">
            <w:pPr>
              <w:rPr>
                <w:sz w:val="2"/>
                <w:szCs w:val="2"/>
              </w:rPr>
            </w:pPr>
          </w:p>
        </w:tc>
        <w:tc>
          <w:tcPr>
            <w:tcW w:w="288" w:type="dxa"/>
            <w:vMerge/>
            <w:tcBorders>
              <w:top w:val="nil"/>
            </w:tcBorders>
          </w:tcPr>
          <w:p w14:paraId="48585D3F" w14:textId="77777777" w:rsidR="00F65BCA" w:rsidRDefault="00F65BCA">
            <w:pPr>
              <w:rPr>
                <w:sz w:val="2"/>
                <w:szCs w:val="2"/>
              </w:rPr>
            </w:pPr>
          </w:p>
        </w:tc>
        <w:tc>
          <w:tcPr>
            <w:tcW w:w="288" w:type="dxa"/>
            <w:vMerge/>
            <w:tcBorders>
              <w:top w:val="nil"/>
            </w:tcBorders>
          </w:tcPr>
          <w:p w14:paraId="00FE23FD" w14:textId="77777777" w:rsidR="00F65BCA" w:rsidRDefault="00F65BCA">
            <w:pPr>
              <w:rPr>
                <w:sz w:val="2"/>
                <w:szCs w:val="2"/>
              </w:rPr>
            </w:pPr>
          </w:p>
        </w:tc>
        <w:tc>
          <w:tcPr>
            <w:tcW w:w="288" w:type="dxa"/>
            <w:vMerge/>
            <w:tcBorders>
              <w:top w:val="nil"/>
            </w:tcBorders>
          </w:tcPr>
          <w:p w14:paraId="30B75C2E" w14:textId="77777777" w:rsidR="00F65BCA" w:rsidRDefault="00F65BCA">
            <w:pPr>
              <w:rPr>
                <w:sz w:val="2"/>
                <w:szCs w:val="2"/>
              </w:rPr>
            </w:pPr>
          </w:p>
        </w:tc>
        <w:tc>
          <w:tcPr>
            <w:tcW w:w="288" w:type="dxa"/>
            <w:vMerge/>
            <w:tcBorders>
              <w:top w:val="nil"/>
            </w:tcBorders>
          </w:tcPr>
          <w:p w14:paraId="05581E31" w14:textId="77777777" w:rsidR="00F65BCA" w:rsidRDefault="00F65BCA">
            <w:pPr>
              <w:rPr>
                <w:sz w:val="2"/>
                <w:szCs w:val="2"/>
              </w:rPr>
            </w:pPr>
          </w:p>
        </w:tc>
        <w:tc>
          <w:tcPr>
            <w:tcW w:w="288" w:type="dxa"/>
            <w:vMerge/>
            <w:tcBorders>
              <w:top w:val="nil"/>
            </w:tcBorders>
          </w:tcPr>
          <w:p w14:paraId="208AF5BD" w14:textId="77777777" w:rsidR="00F65BCA" w:rsidRDefault="00F65BCA">
            <w:pPr>
              <w:rPr>
                <w:sz w:val="2"/>
                <w:szCs w:val="2"/>
              </w:rPr>
            </w:pPr>
          </w:p>
        </w:tc>
        <w:tc>
          <w:tcPr>
            <w:tcW w:w="288" w:type="dxa"/>
            <w:vMerge/>
            <w:tcBorders>
              <w:top w:val="nil"/>
            </w:tcBorders>
          </w:tcPr>
          <w:p w14:paraId="0E020AC6" w14:textId="77777777" w:rsidR="00F65BCA" w:rsidRDefault="00F65BCA">
            <w:pPr>
              <w:rPr>
                <w:sz w:val="2"/>
                <w:szCs w:val="2"/>
              </w:rPr>
            </w:pPr>
          </w:p>
        </w:tc>
        <w:tc>
          <w:tcPr>
            <w:tcW w:w="288" w:type="dxa"/>
            <w:vMerge/>
            <w:tcBorders>
              <w:top w:val="nil"/>
            </w:tcBorders>
          </w:tcPr>
          <w:p w14:paraId="7F64051C" w14:textId="77777777" w:rsidR="00F65BCA" w:rsidRDefault="00F65BCA">
            <w:pPr>
              <w:rPr>
                <w:sz w:val="2"/>
                <w:szCs w:val="2"/>
              </w:rPr>
            </w:pPr>
          </w:p>
        </w:tc>
        <w:tc>
          <w:tcPr>
            <w:tcW w:w="288" w:type="dxa"/>
            <w:vMerge/>
            <w:tcBorders>
              <w:top w:val="nil"/>
            </w:tcBorders>
          </w:tcPr>
          <w:p w14:paraId="3B250E0D" w14:textId="77777777" w:rsidR="00F65BCA" w:rsidRDefault="00F65BCA">
            <w:pPr>
              <w:rPr>
                <w:sz w:val="2"/>
                <w:szCs w:val="2"/>
              </w:rPr>
            </w:pPr>
          </w:p>
        </w:tc>
        <w:tc>
          <w:tcPr>
            <w:tcW w:w="288" w:type="dxa"/>
            <w:vMerge/>
            <w:tcBorders>
              <w:top w:val="nil"/>
            </w:tcBorders>
          </w:tcPr>
          <w:p w14:paraId="1798E928" w14:textId="77777777" w:rsidR="00F65BCA" w:rsidRDefault="00F65BCA">
            <w:pPr>
              <w:rPr>
                <w:sz w:val="2"/>
                <w:szCs w:val="2"/>
              </w:rPr>
            </w:pPr>
          </w:p>
        </w:tc>
        <w:tc>
          <w:tcPr>
            <w:tcW w:w="288" w:type="dxa"/>
            <w:vMerge/>
            <w:tcBorders>
              <w:top w:val="nil"/>
            </w:tcBorders>
          </w:tcPr>
          <w:p w14:paraId="6035749A" w14:textId="77777777" w:rsidR="00F65BCA" w:rsidRDefault="00F65BCA">
            <w:pPr>
              <w:rPr>
                <w:sz w:val="2"/>
                <w:szCs w:val="2"/>
              </w:rPr>
            </w:pPr>
          </w:p>
        </w:tc>
        <w:tc>
          <w:tcPr>
            <w:tcW w:w="288" w:type="dxa"/>
            <w:vMerge/>
            <w:tcBorders>
              <w:top w:val="nil"/>
            </w:tcBorders>
          </w:tcPr>
          <w:p w14:paraId="7DC72650" w14:textId="77777777" w:rsidR="00F65BCA" w:rsidRDefault="00F65BCA">
            <w:pPr>
              <w:rPr>
                <w:sz w:val="2"/>
                <w:szCs w:val="2"/>
              </w:rPr>
            </w:pPr>
          </w:p>
        </w:tc>
        <w:tc>
          <w:tcPr>
            <w:tcW w:w="288" w:type="dxa"/>
            <w:vMerge/>
            <w:tcBorders>
              <w:top w:val="nil"/>
            </w:tcBorders>
          </w:tcPr>
          <w:p w14:paraId="5C15BA41" w14:textId="77777777" w:rsidR="00F65BCA" w:rsidRDefault="00F65BCA">
            <w:pPr>
              <w:rPr>
                <w:sz w:val="2"/>
                <w:szCs w:val="2"/>
              </w:rPr>
            </w:pPr>
          </w:p>
        </w:tc>
        <w:tc>
          <w:tcPr>
            <w:tcW w:w="288" w:type="dxa"/>
            <w:vMerge/>
            <w:tcBorders>
              <w:top w:val="nil"/>
            </w:tcBorders>
          </w:tcPr>
          <w:p w14:paraId="48973EBB" w14:textId="77777777" w:rsidR="00F65BCA" w:rsidRDefault="00F65BCA">
            <w:pPr>
              <w:rPr>
                <w:sz w:val="2"/>
                <w:szCs w:val="2"/>
              </w:rPr>
            </w:pPr>
          </w:p>
        </w:tc>
      </w:tr>
      <w:tr w:rsidR="00F65BCA" w14:paraId="62F18BA1" w14:textId="77777777">
        <w:trPr>
          <w:trHeight w:val="81"/>
        </w:trPr>
        <w:tc>
          <w:tcPr>
            <w:tcW w:w="526" w:type="dxa"/>
            <w:vMerge/>
            <w:tcBorders>
              <w:top w:val="nil"/>
              <w:bottom w:val="nil"/>
            </w:tcBorders>
            <w:shd w:val="clear" w:color="auto" w:fill="FCE4D6"/>
          </w:tcPr>
          <w:p w14:paraId="75C835E6" w14:textId="77777777" w:rsidR="00F65BCA" w:rsidRDefault="00F65BCA">
            <w:pPr>
              <w:rPr>
                <w:sz w:val="2"/>
                <w:szCs w:val="2"/>
              </w:rPr>
            </w:pPr>
          </w:p>
        </w:tc>
        <w:tc>
          <w:tcPr>
            <w:tcW w:w="732" w:type="dxa"/>
            <w:vMerge/>
            <w:tcBorders>
              <w:top w:val="nil"/>
            </w:tcBorders>
            <w:shd w:val="clear" w:color="auto" w:fill="FCE4D6"/>
          </w:tcPr>
          <w:p w14:paraId="1CC8A487" w14:textId="77777777" w:rsidR="00F65BCA" w:rsidRDefault="00F65BCA">
            <w:pPr>
              <w:rPr>
                <w:sz w:val="2"/>
                <w:szCs w:val="2"/>
              </w:rPr>
            </w:pPr>
          </w:p>
        </w:tc>
        <w:tc>
          <w:tcPr>
            <w:tcW w:w="958" w:type="dxa"/>
            <w:gridSpan w:val="2"/>
            <w:vMerge/>
            <w:tcBorders>
              <w:top w:val="nil"/>
            </w:tcBorders>
            <w:shd w:val="clear" w:color="auto" w:fill="FCE4D6"/>
          </w:tcPr>
          <w:p w14:paraId="585C9F24" w14:textId="77777777" w:rsidR="00F65BCA" w:rsidRDefault="00F65BCA">
            <w:pPr>
              <w:rPr>
                <w:sz w:val="2"/>
                <w:szCs w:val="2"/>
              </w:rPr>
            </w:pPr>
          </w:p>
        </w:tc>
        <w:tc>
          <w:tcPr>
            <w:tcW w:w="576" w:type="dxa"/>
            <w:shd w:val="clear" w:color="auto" w:fill="FCE4D6"/>
          </w:tcPr>
          <w:p w14:paraId="74520895" w14:textId="77777777" w:rsidR="00F65BCA" w:rsidRDefault="00F65BCA">
            <w:pPr>
              <w:pStyle w:val="TableParagraph"/>
              <w:rPr>
                <w:rFonts w:ascii="Calibri"/>
                <w:sz w:val="2"/>
              </w:rPr>
            </w:pPr>
          </w:p>
          <w:p w14:paraId="0A203A89" w14:textId="77777777" w:rsidR="00F65BCA" w:rsidRDefault="00216117">
            <w:pPr>
              <w:pStyle w:val="TableParagraph"/>
              <w:ind w:left="3"/>
              <w:jc w:val="center"/>
              <w:rPr>
                <w:sz w:val="3"/>
              </w:rPr>
            </w:pPr>
            <w:r>
              <w:rPr>
                <w:w w:val="103"/>
                <w:sz w:val="3"/>
              </w:rPr>
              <w:t>-</w:t>
            </w:r>
          </w:p>
        </w:tc>
        <w:tc>
          <w:tcPr>
            <w:tcW w:w="576" w:type="dxa"/>
            <w:shd w:val="clear" w:color="auto" w:fill="FCE4D6"/>
          </w:tcPr>
          <w:p w14:paraId="11725DBC" w14:textId="77777777" w:rsidR="00F65BCA" w:rsidRDefault="00F65BCA">
            <w:pPr>
              <w:pStyle w:val="TableParagraph"/>
              <w:rPr>
                <w:rFonts w:ascii="Calibri"/>
                <w:sz w:val="2"/>
              </w:rPr>
            </w:pPr>
          </w:p>
          <w:p w14:paraId="6B829F1B" w14:textId="77777777" w:rsidR="00F65BCA" w:rsidRDefault="00216117">
            <w:pPr>
              <w:pStyle w:val="TableParagraph"/>
              <w:ind w:left="212"/>
              <w:rPr>
                <w:sz w:val="3"/>
              </w:rPr>
            </w:pPr>
            <w:r>
              <w:rPr>
                <w:w w:val="105"/>
                <w:sz w:val="3"/>
              </w:rPr>
              <w:t>&gt;12000 kg</w:t>
            </w:r>
          </w:p>
        </w:tc>
        <w:tc>
          <w:tcPr>
            <w:tcW w:w="50" w:type="dxa"/>
            <w:vMerge/>
            <w:tcBorders>
              <w:top w:val="nil"/>
              <w:bottom w:val="nil"/>
            </w:tcBorders>
          </w:tcPr>
          <w:p w14:paraId="0D1EB64A" w14:textId="77777777" w:rsidR="00F65BCA" w:rsidRDefault="00F65BCA">
            <w:pPr>
              <w:rPr>
                <w:sz w:val="2"/>
                <w:szCs w:val="2"/>
              </w:rPr>
            </w:pPr>
          </w:p>
        </w:tc>
        <w:tc>
          <w:tcPr>
            <w:tcW w:w="288" w:type="dxa"/>
          </w:tcPr>
          <w:p w14:paraId="6E43E283" w14:textId="77777777" w:rsidR="00F65BCA" w:rsidRDefault="00F65BCA">
            <w:pPr>
              <w:pStyle w:val="TableParagraph"/>
              <w:rPr>
                <w:rFonts w:ascii="Calibri"/>
                <w:sz w:val="2"/>
              </w:rPr>
            </w:pPr>
          </w:p>
          <w:p w14:paraId="3D55AD2E" w14:textId="77777777" w:rsidR="00F65BCA" w:rsidRDefault="00216117">
            <w:pPr>
              <w:pStyle w:val="TableParagraph"/>
              <w:ind w:left="24" w:right="24"/>
              <w:jc w:val="center"/>
              <w:rPr>
                <w:sz w:val="3"/>
              </w:rPr>
            </w:pPr>
            <w:r>
              <w:rPr>
                <w:w w:val="105"/>
                <w:sz w:val="3"/>
              </w:rPr>
              <w:t>2,48729000%</w:t>
            </w:r>
          </w:p>
        </w:tc>
        <w:tc>
          <w:tcPr>
            <w:tcW w:w="288" w:type="dxa"/>
          </w:tcPr>
          <w:p w14:paraId="1AE1A5A4" w14:textId="77777777" w:rsidR="00F65BCA" w:rsidRDefault="00F65BCA">
            <w:pPr>
              <w:pStyle w:val="TableParagraph"/>
              <w:rPr>
                <w:rFonts w:ascii="Calibri"/>
                <w:sz w:val="2"/>
              </w:rPr>
            </w:pPr>
          </w:p>
          <w:p w14:paraId="5D9C3594" w14:textId="77777777" w:rsidR="00F65BCA" w:rsidRDefault="00216117">
            <w:pPr>
              <w:pStyle w:val="TableParagraph"/>
              <w:ind w:left="24" w:right="24"/>
              <w:jc w:val="center"/>
              <w:rPr>
                <w:sz w:val="3"/>
              </w:rPr>
            </w:pPr>
            <w:r>
              <w:rPr>
                <w:w w:val="105"/>
                <w:sz w:val="3"/>
              </w:rPr>
              <w:t>2,22547000%</w:t>
            </w:r>
          </w:p>
        </w:tc>
        <w:tc>
          <w:tcPr>
            <w:tcW w:w="288" w:type="dxa"/>
          </w:tcPr>
          <w:p w14:paraId="4CC06706" w14:textId="77777777" w:rsidR="00F65BCA" w:rsidRDefault="00F65BCA">
            <w:pPr>
              <w:pStyle w:val="TableParagraph"/>
              <w:rPr>
                <w:rFonts w:ascii="Calibri"/>
                <w:sz w:val="2"/>
              </w:rPr>
            </w:pPr>
          </w:p>
          <w:p w14:paraId="0C3D3F7A" w14:textId="77777777" w:rsidR="00F65BCA" w:rsidRDefault="00216117">
            <w:pPr>
              <w:pStyle w:val="TableParagraph"/>
              <w:ind w:left="47"/>
              <w:rPr>
                <w:sz w:val="3"/>
              </w:rPr>
            </w:pPr>
            <w:r>
              <w:rPr>
                <w:w w:val="105"/>
                <w:sz w:val="3"/>
              </w:rPr>
              <w:t>2,22547000%</w:t>
            </w:r>
          </w:p>
        </w:tc>
        <w:tc>
          <w:tcPr>
            <w:tcW w:w="288" w:type="dxa"/>
          </w:tcPr>
          <w:p w14:paraId="24B8ED2F" w14:textId="77777777" w:rsidR="00F65BCA" w:rsidRDefault="00F65BCA">
            <w:pPr>
              <w:pStyle w:val="TableParagraph"/>
              <w:rPr>
                <w:rFonts w:ascii="Calibri"/>
                <w:sz w:val="2"/>
              </w:rPr>
            </w:pPr>
          </w:p>
          <w:p w14:paraId="656FF0F3" w14:textId="77777777" w:rsidR="00F65BCA" w:rsidRDefault="00216117">
            <w:pPr>
              <w:pStyle w:val="TableParagraph"/>
              <w:ind w:left="24" w:right="24"/>
              <w:jc w:val="center"/>
              <w:rPr>
                <w:sz w:val="3"/>
              </w:rPr>
            </w:pPr>
            <w:r>
              <w:rPr>
                <w:w w:val="105"/>
                <w:sz w:val="3"/>
              </w:rPr>
              <w:t>2,02910500%</w:t>
            </w:r>
          </w:p>
        </w:tc>
        <w:tc>
          <w:tcPr>
            <w:tcW w:w="288" w:type="dxa"/>
          </w:tcPr>
          <w:p w14:paraId="127B820E" w14:textId="77777777" w:rsidR="00F65BCA" w:rsidRDefault="00F65BCA">
            <w:pPr>
              <w:pStyle w:val="TableParagraph"/>
              <w:rPr>
                <w:rFonts w:ascii="Calibri"/>
                <w:sz w:val="2"/>
              </w:rPr>
            </w:pPr>
          </w:p>
          <w:p w14:paraId="27391C84" w14:textId="77777777" w:rsidR="00F65BCA" w:rsidRDefault="00216117">
            <w:pPr>
              <w:pStyle w:val="TableParagraph"/>
              <w:ind w:left="47"/>
              <w:rPr>
                <w:sz w:val="3"/>
              </w:rPr>
            </w:pPr>
            <w:r>
              <w:rPr>
                <w:w w:val="105"/>
                <w:sz w:val="3"/>
              </w:rPr>
              <w:t>2,02910500%</w:t>
            </w:r>
          </w:p>
        </w:tc>
        <w:tc>
          <w:tcPr>
            <w:tcW w:w="288" w:type="dxa"/>
          </w:tcPr>
          <w:p w14:paraId="5507CE17" w14:textId="77777777" w:rsidR="00F65BCA" w:rsidRDefault="00F65BCA">
            <w:pPr>
              <w:pStyle w:val="TableParagraph"/>
              <w:rPr>
                <w:rFonts w:ascii="Calibri"/>
                <w:sz w:val="2"/>
              </w:rPr>
            </w:pPr>
          </w:p>
          <w:p w14:paraId="277A35E7" w14:textId="77777777" w:rsidR="00F65BCA" w:rsidRDefault="00216117">
            <w:pPr>
              <w:pStyle w:val="TableParagraph"/>
              <w:ind w:left="24" w:right="24"/>
              <w:jc w:val="center"/>
              <w:rPr>
                <w:sz w:val="3"/>
              </w:rPr>
            </w:pPr>
            <w:r>
              <w:rPr>
                <w:w w:val="105"/>
                <w:sz w:val="3"/>
              </w:rPr>
              <w:t>1,83274000%</w:t>
            </w:r>
          </w:p>
        </w:tc>
        <w:tc>
          <w:tcPr>
            <w:tcW w:w="288" w:type="dxa"/>
          </w:tcPr>
          <w:p w14:paraId="1672A7D3" w14:textId="77777777" w:rsidR="00F65BCA" w:rsidRDefault="00F65BCA">
            <w:pPr>
              <w:pStyle w:val="TableParagraph"/>
              <w:rPr>
                <w:rFonts w:ascii="Calibri"/>
                <w:sz w:val="2"/>
              </w:rPr>
            </w:pPr>
          </w:p>
          <w:p w14:paraId="479D1960" w14:textId="77777777" w:rsidR="00F65BCA" w:rsidRDefault="00216117">
            <w:pPr>
              <w:pStyle w:val="TableParagraph"/>
              <w:ind w:left="24" w:right="24"/>
              <w:jc w:val="center"/>
              <w:rPr>
                <w:sz w:val="3"/>
              </w:rPr>
            </w:pPr>
            <w:r>
              <w:rPr>
                <w:w w:val="105"/>
                <w:sz w:val="3"/>
              </w:rPr>
              <w:t>1,83274000%</w:t>
            </w:r>
          </w:p>
        </w:tc>
        <w:tc>
          <w:tcPr>
            <w:tcW w:w="288" w:type="dxa"/>
          </w:tcPr>
          <w:p w14:paraId="70E35BE7" w14:textId="77777777" w:rsidR="00F65BCA" w:rsidRDefault="00F65BCA">
            <w:pPr>
              <w:pStyle w:val="TableParagraph"/>
              <w:rPr>
                <w:rFonts w:ascii="Calibri"/>
                <w:sz w:val="2"/>
              </w:rPr>
            </w:pPr>
          </w:p>
          <w:p w14:paraId="5D499990" w14:textId="77777777" w:rsidR="00F65BCA" w:rsidRDefault="00216117">
            <w:pPr>
              <w:pStyle w:val="TableParagraph"/>
              <w:ind w:left="47"/>
              <w:rPr>
                <w:sz w:val="3"/>
              </w:rPr>
            </w:pPr>
            <w:r>
              <w:rPr>
                <w:w w:val="105"/>
                <w:sz w:val="3"/>
              </w:rPr>
              <w:t>1,63637500%</w:t>
            </w:r>
          </w:p>
        </w:tc>
        <w:tc>
          <w:tcPr>
            <w:tcW w:w="288" w:type="dxa"/>
          </w:tcPr>
          <w:p w14:paraId="6B9511D6" w14:textId="77777777" w:rsidR="00F65BCA" w:rsidRDefault="00F65BCA">
            <w:pPr>
              <w:pStyle w:val="TableParagraph"/>
              <w:rPr>
                <w:rFonts w:ascii="Calibri"/>
                <w:sz w:val="2"/>
              </w:rPr>
            </w:pPr>
          </w:p>
          <w:p w14:paraId="50DA277E" w14:textId="77777777" w:rsidR="00F65BCA" w:rsidRDefault="00216117">
            <w:pPr>
              <w:pStyle w:val="TableParagraph"/>
              <w:ind w:left="24" w:right="24"/>
              <w:jc w:val="center"/>
              <w:rPr>
                <w:sz w:val="3"/>
              </w:rPr>
            </w:pPr>
            <w:r>
              <w:rPr>
                <w:w w:val="105"/>
                <w:sz w:val="3"/>
              </w:rPr>
              <w:t>1,63637500%</w:t>
            </w:r>
          </w:p>
        </w:tc>
        <w:tc>
          <w:tcPr>
            <w:tcW w:w="288" w:type="dxa"/>
          </w:tcPr>
          <w:p w14:paraId="5C29E437" w14:textId="77777777" w:rsidR="00F65BCA" w:rsidRDefault="00F65BCA">
            <w:pPr>
              <w:pStyle w:val="TableParagraph"/>
              <w:rPr>
                <w:rFonts w:ascii="Calibri"/>
                <w:sz w:val="2"/>
              </w:rPr>
            </w:pPr>
          </w:p>
          <w:p w14:paraId="4E24EAD8" w14:textId="77777777" w:rsidR="00F65BCA" w:rsidRDefault="00216117">
            <w:pPr>
              <w:pStyle w:val="TableParagraph"/>
              <w:ind w:left="24" w:right="24"/>
              <w:jc w:val="center"/>
              <w:rPr>
                <w:sz w:val="3"/>
              </w:rPr>
            </w:pPr>
            <w:r>
              <w:rPr>
                <w:w w:val="105"/>
                <w:sz w:val="3"/>
              </w:rPr>
              <w:t>1,50546500%</w:t>
            </w:r>
          </w:p>
        </w:tc>
        <w:tc>
          <w:tcPr>
            <w:tcW w:w="288" w:type="dxa"/>
          </w:tcPr>
          <w:p w14:paraId="79524AA4" w14:textId="77777777" w:rsidR="00F65BCA" w:rsidRDefault="00F65BCA">
            <w:pPr>
              <w:pStyle w:val="TableParagraph"/>
              <w:rPr>
                <w:rFonts w:ascii="Calibri"/>
                <w:sz w:val="2"/>
              </w:rPr>
            </w:pPr>
          </w:p>
          <w:p w14:paraId="65065E2D" w14:textId="77777777" w:rsidR="00F65BCA" w:rsidRDefault="00216117">
            <w:pPr>
              <w:pStyle w:val="TableParagraph"/>
              <w:ind w:left="24" w:right="24"/>
              <w:jc w:val="center"/>
              <w:rPr>
                <w:sz w:val="3"/>
              </w:rPr>
            </w:pPr>
            <w:r>
              <w:rPr>
                <w:w w:val="105"/>
                <w:sz w:val="3"/>
              </w:rPr>
              <w:t>1,44001000%</w:t>
            </w:r>
          </w:p>
        </w:tc>
        <w:tc>
          <w:tcPr>
            <w:tcW w:w="288" w:type="dxa"/>
          </w:tcPr>
          <w:p w14:paraId="4057D411" w14:textId="77777777" w:rsidR="00F65BCA" w:rsidRDefault="00F65BCA">
            <w:pPr>
              <w:pStyle w:val="TableParagraph"/>
              <w:rPr>
                <w:rFonts w:ascii="Calibri"/>
                <w:sz w:val="2"/>
              </w:rPr>
            </w:pPr>
          </w:p>
          <w:p w14:paraId="046F635A" w14:textId="77777777" w:rsidR="00F65BCA" w:rsidRDefault="00216117">
            <w:pPr>
              <w:pStyle w:val="TableParagraph"/>
              <w:ind w:left="24" w:right="24"/>
              <w:jc w:val="center"/>
              <w:rPr>
                <w:sz w:val="3"/>
              </w:rPr>
            </w:pPr>
            <w:r>
              <w:rPr>
                <w:w w:val="105"/>
                <w:sz w:val="3"/>
              </w:rPr>
              <w:t>1,30910000%</w:t>
            </w:r>
          </w:p>
        </w:tc>
        <w:tc>
          <w:tcPr>
            <w:tcW w:w="288" w:type="dxa"/>
          </w:tcPr>
          <w:p w14:paraId="404318A3" w14:textId="77777777" w:rsidR="00F65BCA" w:rsidRDefault="00F65BCA">
            <w:pPr>
              <w:pStyle w:val="TableParagraph"/>
              <w:rPr>
                <w:rFonts w:ascii="Calibri"/>
                <w:sz w:val="2"/>
              </w:rPr>
            </w:pPr>
          </w:p>
          <w:p w14:paraId="6914EDBE" w14:textId="77777777" w:rsidR="00F65BCA" w:rsidRDefault="00216117">
            <w:pPr>
              <w:pStyle w:val="TableParagraph"/>
              <w:ind w:left="47"/>
              <w:rPr>
                <w:sz w:val="3"/>
              </w:rPr>
            </w:pPr>
            <w:r>
              <w:rPr>
                <w:w w:val="105"/>
                <w:sz w:val="3"/>
              </w:rPr>
              <w:t>1,30910000%</w:t>
            </w:r>
          </w:p>
        </w:tc>
      </w:tr>
      <w:tr w:rsidR="00F65BCA" w14:paraId="50BF07D3" w14:textId="77777777">
        <w:trPr>
          <w:trHeight w:val="81"/>
        </w:trPr>
        <w:tc>
          <w:tcPr>
            <w:tcW w:w="526" w:type="dxa"/>
            <w:vMerge w:val="restart"/>
            <w:tcBorders>
              <w:top w:val="nil"/>
              <w:bottom w:val="nil"/>
            </w:tcBorders>
            <w:shd w:val="clear" w:color="auto" w:fill="FCE4D6"/>
          </w:tcPr>
          <w:p w14:paraId="6786981F" w14:textId="77777777" w:rsidR="00F65BCA" w:rsidRDefault="00F65BCA">
            <w:pPr>
              <w:pStyle w:val="TableParagraph"/>
              <w:rPr>
                <w:rFonts w:ascii="Times New Roman"/>
                <w:sz w:val="2"/>
              </w:rPr>
            </w:pPr>
          </w:p>
        </w:tc>
        <w:tc>
          <w:tcPr>
            <w:tcW w:w="732" w:type="dxa"/>
            <w:vMerge w:val="restart"/>
            <w:tcBorders>
              <w:bottom w:val="nil"/>
            </w:tcBorders>
            <w:shd w:val="clear" w:color="auto" w:fill="FCE4D6"/>
          </w:tcPr>
          <w:p w14:paraId="3186C809" w14:textId="77777777" w:rsidR="00F65BCA" w:rsidRDefault="00F65BCA">
            <w:pPr>
              <w:pStyle w:val="TableParagraph"/>
              <w:rPr>
                <w:rFonts w:ascii="Times New Roman"/>
                <w:sz w:val="2"/>
              </w:rPr>
            </w:pPr>
          </w:p>
        </w:tc>
        <w:tc>
          <w:tcPr>
            <w:tcW w:w="958" w:type="dxa"/>
            <w:gridSpan w:val="2"/>
            <w:vMerge w:val="restart"/>
            <w:tcBorders>
              <w:bottom w:val="nil"/>
            </w:tcBorders>
            <w:shd w:val="clear" w:color="auto" w:fill="FCE4D6"/>
          </w:tcPr>
          <w:p w14:paraId="1AB4D4E4" w14:textId="77777777" w:rsidR="00F65BCA" w:rsidRDefault="00F65BCA">
            <w:pPr>
              <w:pStyle w:val="TableParagraph"/>
              <w:rPr>
                <w:rFonts w:ascii="Calibri"/>
                <w:sz w:val="2"/>
              </w:rPr>
            </w:pPr>
          </w:p>
          <w:p w14:paraId="2657FD94" w14:textId="77777777" w:rsidR="00F65BCA" w:rsidRDefault="00F65BCA">
            <w:pPr>
              <w:pStyle w:val="TableParagraph"/>
              <w:rPr>
                <w:rFonts w:ascii="Calibri"/>
                <w:sz w:val="2"/>
              </w:rPr>
            </w:pPr>
          </w:p>
          <w:p w14:paraId="18A7ECF0" w14:textId="77777777" w:rsidR="00F65BCA" w:rsidRDefault="00216117">
            <w:pPr>
              <w:pStyle w:val="TableParagraph"/>
              <w:ind w:left="4"/>
              <w:rPr>
                <w:sz w:val="3"/>
              </w:rPr>
            </w:pPr>
            <w:r>
              <w:rPr>
                <w:w w:val="105"/>
                <w:sz w:val="3"/>
              </w:rPr>
              <w:t>F 10; F 12; F 16; FE 7; FE 8; FH 12; FH 13; FH 16; FL 10; FL 7; FL</w:t>
            </w:r>
          </w:p>
          <w:p w14:paraId="7D396250" w14:textId="77777777" w:rsidR="00F65BCA" w:rsidRDefault="00216117">
            <w:pPr>
              <w:pStyle w:val="TableParagraph"/>
              <w:spacing w:before="2" w:line="28" w:lineRule="exact"/>
              <w:ind w:left="4"/>
              <w:rPr>
                <w:sz w:val="3"/>
              </w:rPr>
            </w:pPr>
            <w:r>
              <w:rPr>
                <w:w w:val="105"/>
                <w:sz w:val="3"/>
              </w:rPr>
              <w:t>8; FM 11; FM 12; FM 13; FM 7; FM 9; FMX 11; FMX 13; JINÉ</w:t>
            </w:r>
          </w:p>
        </w:tc>
        <w:tc>
          <w:tcPr>
            <w:tcW w:w="576" w:type="dxa"/>
            <w:shd w:val="clear" w:color="auto" w:fill="FCE4D6"/>
          </w:tcPr>
          <w:p w14:paraId="1D7DA0EF" w14:textId="77777777" w:rsidR="00F65BCA" w:rsidRDefault="00F65BCA">
            <w:pPr>
              <w:pStyle w:val="TableParagraph"/>
              <w:rPr>
                <w:rFonts w:ascii="Calibri"/>
                <w:sz w:val="2"/>
              </w:rPr>
            </w:pPr>
          </w:p>
          <w:p w14:paraId="7793ACB0" w14:textId="77777777" w:rsidR="00F65BCA" w:rsidRDefault="00216117">
            <w:pPr>
              <w:pStyle w:val="TableParagraph"/>
              <w:ind w:left="3"/>
              <w:jc w:val="center"/>
              <w:rPr>
                <w:sz w:val="3"/>
              </w:rPr>
            </w:pPr>
            <w:r>
              <w:rPr>
                <w:w w:val="103"/>
                <w:sz w:val="3"/>
              </w:rPr>
              <w:t>-</w:t>
            </w:r>
          </w:p>
        </w:tc>
        <w:tc>
          <w:tcPr>
            <w:tcW w:w="576" w:type="dxa"/>
            <w:shd w:val="clear" w:color="auto" w:fill="FCE4D6"/>
          </w:tcPr>
          <w:p w14:paraId="7754E128" w14:textId="77777777" w:rsidR="00F65BCA" w:rsidRDefault="00F65BCA">
            <w:pPr>
              <w:pStyle w:val="TableParagraph"/>
              <w:rPr>
                <w:rFonts w:ascii="Calibri"/>
                <w:sz w:val="2"/>
              </w:rPr>
            </w:pPr>
          </w:p>
          <w:p w14:paraId="0E4EBA3D" w14:textId="77777777" w:rsidR="00F65BCA" w:rsidRDefault="00216117">
            <w:pPr>
              <w:pStyle w:val="TableParagraph"/>
              <w:ind w:left="210"/>
              <w:rPr>
                <w:sz w:val="3"/>
              </w:rPr>
            </w:pPr>
            <w:r>
              <w:rPr>
                <w:w w:val="105"/>
                <w:sz w:val="3"/>
              </w:rPr>
              <w:t>0-12000 kg</w:t>
            </w:r>
          </w:p>
        </w:tc>
        <w:tc>
          <w:tcPr>
            <w:tcW w:w="50" w:type="dxa"/>
            <w:vMerge/>
            <w:tcBorders>
              <w:top w:val="nil"/>
              <w:bottom w:val="nil"/>
            </w:tcBorders>
          </w:tcPr>
          <w:p w14:paraId="7D4B6FA0" w14:textId="77777777" w:rsidR="00F65BCA" w:rsidRDefault="00F65BCA">
            <w:pPr>
              <w:rPr>
                <w:sz w:val="2"/>
                <w:szCs w:val="2"/>
              </w:rPr>
            </w:pPr>
          </w:p>
        </w:tc>
        <w:tc>
          <w:tcPr>
            <w:tcW w:w="288" w:type="dxa"/>
          </w:tcPr>
          <w:p w14:paraId="5206598A" w14:textId="77777777" w:rsidR="00F65BCA" w:rsidRDefault="00F65BCA">
            <w:pPr>
              <w:pStyle w:val="TableParagraph"/>
              <w:rPr>
                <w:rFonts w:ascii="Calibri"/>
                <w:sz w:val="2"/>
              </w:rPr>
            </w:pPr>
          </w:p>
          <w:p w14:paraId="58A5EC42" w14:textId="77777777" w:rsidR="00F65BCA" w:rsidRDefault="00216117">
            <w:pPr>
              <w:pStyle w:val="TableParagraph"/>
              <w:ind w:left="24" w:right="24"/>
              <w:jc w:val="center"/>
              <w:rPr>
                <w:sz w:val="3"/>
              </w:rPr>
            </w:pPr>
            <w:r>
              <w:rPr>
                <w:w w:val="105"/>
                <w:sz w:val="3"/>
              </w:rPr>
              <w:t>2,01400000%</w:t>
            </w:r>
          </w:p>
        </w:tc>
        <w:tc>
          <w:tcPr>
            <w:tcW w:w="288" w:type="dxa"/>
          </w:tcPr>
          <w:p w14:paraId="706573BE" w14:textId="77777777" w:rsidR="00F65BCA" w:rsidRDefault="00F65BCA">
            <w:pPr>
              <w:pStyle w:val="TableParagraph"/>
              <w:rPr>
                <w:rFonts w:ascii="Calibri"/>
                <w:sz w:val="2"/>
              </w:rPr>
            </w:pPr>
          </w:p>
          <w:p w14:paraId="7F164312" w14:textId="77777777" w:rsidR="00F65BCA" w:rsidRDefault="00216117">
            <w:pPr>
              <w:pStyle w:val="TableParagraph"/>
              <w:ind w:left="24" w:right="24"/>
              <w:jc w:val="center"/>
              <w:rPr>
                <w:sz w:val="3"/>
              </w:rPr>
            </w:pPr>
            <w:r>
              <w:rPr>
                <w:w w:val="105"/>
                <w:sz w:val="3"/>
              </w:rPr>
              <w:t>1,80200000%</w:t>
            </w:r>
          </w:p>
        </w:tc>
        <w:tc>
          <w:tcPr>
            <w:tcW w:w="288" w:type="dxa"/>
          </w:tcPr>
          <w:p w14:paraId="1417FDE8" w14:textId="77777777" w:rsidR="00F65BCA" w:rsidRDefault="00F65BCA">
            <w:pPr>
              <w:pStyle w:val="TableParagraph"/>
              <w:rPr>
                <w:rFonts w:ascii="Calibri"/>
                <w:sz w:val="2"/>
              </w:rPr>
            </w:pPr>
          </w:p>
          <w:p w14:paraId="77746433" w14:textId="77777777" w:rsidR="00F65BCA" w:rsidRDefault="00216117">
            <w:pPr>
              <w:pStyle w:val="TableParagraph"/>
              <w:ind w:left="47"/>
              <w:rPr>
                <w:sz w:val="3"/>
              </w:rPr>
            </w:pPr>
            <w:r>
              <w:rPr>
                <w:w w:val="105"/>
                <w:sz w:val="3"/>
              </w:rPr>
              <w:t>1,80200000%</w:t>
            </w:r>
          </w:p>
        </w:tc>
        <w:tc>
          <w:tcPr>
            <w:tcW w:w="288" w:type="dxa"/>
          </w:tcPr>
          <w:p w14:paraId="4734FE33" w14:textId="77777777" w:rsidR="00F65BCA" w:rsidRDefault="00F65BCA">
            <w:pPr>
              <w:pStyle w:val="TableParagraph"/>
              <w:rPr>
                <w:rFonts w:ascii="Calibri"/>
                <w:sz w:val="2"/>
              </w:rPr>
            </w:pPr>
          </w:p>
          <w:p w14:paraId="5708C62A" w14:textId="77777777" w:rsidR="00F65BCA" w:rsidRDefault="00216117">
            <w:pPr>
              <w:pStyle w:val="TableParagraph"/>
              <w:ind w:left="24" w:right="24"/>
              <w:jc w:val="center"/>
              <w:rPr>
                <w:sz w:val="3"/>
              </w:rPr>
            </w:pPr>
            <w:r>
              <w:rPr>
                <w:w w:val="105"/>
                <w:sz w:val="3"/>
              </w:rPr>
              <w:t>1,64300000%</w:t>
            </w:r>
          </w:p>
        </w:tc>
        <w:tc>
          <w:tcPr>
            <w:tcW w:w="288" w:type="dxa"/>
          </w:tcPr>
          <w:p w14:paraId="06A718B8" w14:textId="77777777" w:rsidR="00F65BCA" w:rsidRDefault="00F65BCA">
            <w:pPr>
              <w:pStyle w:val="TableParagraph"/>
              <w:rPr>
                <w:rFonts w:ascii="Calibri"/>
                <w:sz w:val="2"/>
              </w:rPr>
            </w:pPr>
          </w:p>
          <w:p w14:paraId="536C0E0E" w14:textId="77777777" w:rsidR="00F65BCA" w:rsidRDefault="00216117">
            <w:pPr>
              <w:pStyle w:val="TableParagraph"/>
              <w:ind w:left="47"/>
              <w:rPr>
                <w:sz w:val="3"/>
              </w:rPr>
            </w:pPr>
            <w:r>
              <w:rPr>
                <w:w w:val="105"/>
                <w:sz w:val="3"/>
              </w:rPr>
              <w:t>1,64300000%</w:t>
            </w:r>
          </w:p>
        </w:tc>
        <w:tc>
          <w:tcPr>
            <w:tcW w:w="288" w:type="dxa"/>
          </w:tcPr>
          <w:p w14:paraId="7364064D" w14:textId="77777777" w:rsidR="00F65BCA" w:rsidRDefault="00F65BCA">
            <w:pPr>
              <w:pStyle w:val="TableParagraph"/>
              <w:rPr>
                <w:rFonts w:ascii="Calibri"/>
                <w:sz w:val="2"/>
              </w:rPr>
            </w:pPr>
          </w:p>
          <w:p w14:paraId="5F52A24B" w14:textId="77777777" w:rsidR="00F65BCA" w:rsidRDefault="00216117">
            <w:pPr>
              <w:pStyle w:val="TableParagraph"/>
              <w:ind w:left="24" w:right="24"/>
              <w:jc w:val="center"/>
              <w:rPr>
                <w:sz w:val="3"/>
              </w:rPr>
            </w:pPr>
            <w:r>
              <w:rPr>
                <w:w w:val="105"/>
                <w:sz w:val="3"/>
              </w:rPr>
              <w:t>1,48400000%</w:t>
            </w:r>
          </w:p>
        </w:tc>
        <w:tc>
          <w:tcPr>
            <w:tcW w:w="288" w:type="dxa"/>
          </w:tcPr>
          <w:p w14:paraId="00290DDD" w14:textId="77777777" w:rsidR="00F65BCA" w:rsidRDefault="00F65BCA">
            <w:pPr>
              <w:pStyle w:val="TableParagraph"/>
              <w:rPr>
                <w:rFonts w:ascii="Calibri"/>
                <w:sz w:val="2"/>
              </w:rPr>
            </w:pPr>
          </w:p>
          <w:p w14:paraId="42057901" w14:textId="77777777" w:rsidR="00F65BCA" w:rsidRDefault="00216117">
            <w:pPr>
              <w:pStyle w:val="TableParagraph"/>
              <w:ind w:left="24" w:right="24"/>
              <w:jc w:val="center"/>
              <w:rPr>
                <w:sz w:val="3"/>
              </w:rPr>
            </w:pPr>
            <w:r>
              <w:rPr>
                <w:w w:val="105"/>
                <w:sz w:val="3"/>
              </w:rPr>
              <w:t>1,48400000%</w:t>
            </w:r>
          </w:p>
        </w:tc>
        <w:tc>
          <w:tcPr>
            <w:tcW w:w="288" w:type="dxa"/>
          </w:tcPr>
          <w:p w14:paraId="66FFEB29" w14:textId="77777777" w:rsidR="00F65BCA" w:rsidRDefault="00F65BCA">
            <w:pPr>
              <w:pStyle w:val="TableParagraph"/>
              <w:rPr>
                <w:rFonts w:ascii="Calibri"/>
                <w:sz w:val="2"/>
              </w:rPr>
            </w:pPr>
          </w:p>
          <w:p w14:paraId="02ED7D48" w14:textId="77777777" w:rsidR="00F65BCA" w:rsidRDefault="00216117">
            <w:pPr>
              <w:pStyle w:val="TableParagraph"/>
              <w:ind w:left="47"/>
              <w:rPr>
                <w:sz w:val="3"/>
              </w:rPr>
            </w:pPr>
            <w:r>
              <w:rPr>
                <w:w w:val="105"/>
                <w:sz w:val="3"/>
              </w:rPr>
              <w:t>1,32500000%</w:t>
            </w:r>
          </w:p>
        </w:tc>
        <w:tc>
          <w:tcPr>
            <w:tcW w:w="288" w:type="dxa"/>
          </w:tcPr>
          <w:p w14:paraId="6BEBF085" w14:textId="77777777" w:rsidR="00F65BCA" w:rsidRDefault="00F65BCA">
            <w:pPr>
              <w:pStyle w:val="TableParagraph"/>
              <w:rPr>
                <w:rFonts w:ascii="Calibri"/>
                <w:sz w:val="2"/>
              </w:rPr>
            </w:pPr>
          </w:p>
          <w:p w14:paraId="55771574" w14:textId="77777777" w:rsidR="00F65BCA" w:rsidRDefault="00216117">
            <w:pPr>
              <w:pStyle w:val="TableParagraph"/>
              <w:ind w:left="24" w:right="24"/>
              <w:jc w:val="center"/>
              <w:rPr>
                <w:sz w:val="3"/>
              </w:rPr>
            </w:pPr>
            <w:r>
              <w:rPr>
                <w:w w:val="105"/>
                <w:sz w:val="3"/>
              </w:rPr>
              <w:t>1,32500000%</w:t>
            </w:r>
          </w:p>
        </w:tc>
        <w:tc>
          <w:tcPr>
            <w:tcW w:w="288" w:type="dxa"/>
          </w:tcPr>
          <w:p w14:paraId="547EECB7" w14:textId="77777777" w:rsidR="00F65BCA" w:rsidRDefault="00F65BCA">
            <w:pPr>
              <w:pStyle w:val="TableParagraph"/>
              <w:rPr>
                <w:rFonts w:ascii="Calibri"/>
                <w:sz w:val="2"/>
              </w:rPr>
            </w:pPr>
          </w:p>
          <w:p w14:paraId="244BFFB3" w14:textId="77777777" w:rsidR="00F65BCA" w:rsidRDefault="00216117">
            <w:pPr>
              <w:pStyle w:val="TableParagraph"/>
              <w:ind w:left="24" w:right="24"/>
              <w:jc w:val="center"/>
              <w:rPr>
                <w:sz w:val="3"/>
              </w:rPr>
            </w:pPr>
            <w:r>
              <w:rPr>
                <w:w w:val="105"/>
                <w:sz w:val="3"/>
              </w:rPr>
              <w:t>1,21900000%</w:t>
            </w:r>
          </w:p>
        </w:tc>
        <w:tc>
          <w:tcPr>
            <w:tcW w:w="288" w:type="dxa"/>
          </w:tcPr>
          <w:p w14:paraId="129D39FE" w14:textId="77777777" w:rsidR="00F65BCA" w:rsidRDefault="00F65BCA">
            <w:pPr>
              <w:pStyle w:val="TableParagraph"/>
              <w:rPr>
                <w:rFonts w:ascii="Calibri"/>
                <w:sz w:val="2"/>
              </w:rPr>
            </w:pPr>
          </w:p>
          <w:p w14:paraId="34C66F16" w14:textId="77777777" w:rsidR="00F65BCA" w:rsidRDefault="00216117">
            <w:pPr>
              <w:pStyle w:val="TableParagraph"/>
              <w:ind w:left="24" w:right="24"/>
              <w:jc w:val="center"/>
              <w:rPr>
                <w:sz w:val="3"/>
              </w:rPr>
            </w:pPr>
            <w:r>
              <w:rPr>
                <w:w w:val="105"/>
                <w:sz w:val="3"/>
              </w:rPr>
              <w:t>1,16600000%</w:t>
            </w:r>
          </w:p>
        </w:tc>
        <w:tc>
          <w:tcPr>
            <w:tcW w:w="288" w:type="dxa"/>
          </w:tcPr>
          <w:p w14:paraId="3BA0601B" w14:textId="77777777" w:rsidR="00F65BCA" w:rsidRDefault="00F65BCA">
            <w:pPr>
              <w:pStyle w:val="TableParagraph"/>
              <w:rPr>
                <w:rFonts w:ascii="Calibri"/>
                <w:sz w:val="2"/>
              </w:rPr>
            </w:pPr>
          </w:p>
          <w:p w14:paraId="1293BFBB" w14:textId="77777777" w:rsidR="00F65BCA" w:rsidRDefault="00216117">
            <w:pPr>
              <w:pStyle w:val="TableParagraph"/>
              <w:ind w:left="24" w:right="24"/>
              <w:jc w:val="center"/>
              <w:rPr>
                <w:sz w:val="3"/>
              </w:rPr>
            </w:pPr>
            <w:r>
              <w:rPr>
                <w:w w:val="105"/>
                <w:sz w:val="3"/>
              </w:rPr>
              <w:t>1,06000000%</w:t>
            </w:r>
          </w:p>
        </w:tc>
        <w:tc>
          <w:tcPr>
            <w:tcW w:w="288" w:type="dxa"/>
          </w:tcPr>
          <w:p w14:paraId="492F2D31" w14:textId="77777777" w:rsidR="00F65BCA" w:rsidRDefault="00F65BCA">
            <w:pPr>
              <w:pStyle w:val="TableParagraph"/>
              <w:rPr>
                <w:rFonts w:ascii="Calibri"/>
                <w:sz w:val="2"/>
              </w:rPr>
            </w:pPr>
          </w:p>
          <w:p w14:paraId="31E59CD9" w14:textId="77777777" w:rsidR="00F65BCA" w:rsidRDefault="00216117">
            <w:pPr>
              <w:pStyle w:val="TableParagraph"/>
              <w:ind w:left="47"/>
              <w:rPr>
                <w:sz w:val="3"/>
              </w:rPr>
            </w:pPr>
            <w:r>
              <w:rPr>
                <w:w w:val="105"/>
                <w:sz w:val="3"/>
              </w:rPr>
              <w:t>1,06000000%</w:t>
            </w:r>
          </w:p>
        </w:tc>
      </w:tr>
      <w:tr w:rsidR="00F65BCA" w14:paraId="1388C765" w14:textId="77777777">
        <w:trPr>
          <w:trHeight w:val="47"/>
        </w:trPr>
        <w:tc>
          <w:tcPr>
            <w:tcW w:w="526" w:type="dxa"/>
            <w:vMerge/>
            <w:tcBorders>
              <w:top w:val="nil"/>
              <w:bottom w:val="nil"/>
            </w:tcBorders>
            <w:shd w:val="clear" w:color="auto" w:fill="FCE4D6"/>
          </w:tcPr>
          <w:p w14:paraId="4B9BFF12" w14:textId="77777777" w:rsidR="00F65BCA" w:rsidRDefault="00F65BCA">
            <w:pPr>
              <w:rPr>
                <w:sz w:val="2"/>
                <w:szCs w:val="2"/>
              </w:rPr>
            </w:pPr>
          </w:p>
        </w:tc>
        <w:tc>
          <w:tcPr>
            <w:tcW w:w="732" w:type="dxa"/>
            <w:vMerge/>
            <w:tcBorders>
              <w:top w:val="nil"/>
              <w:bottom w:val="nil"/>
            </w:tcBorders>
            <w:shd w:val="clear" w:color="auto" w:fill="FCE4D6"/>
          </w:tcPr>
          <w:p w14:paraId="3A953213" w14:textId="77777777" w:rsidR="00F65BCA" w:rsidRDefault="00F65BCA">
            <w:pPr>
              <w:rPr>
                <w:sz w:val="2"/>
                <w:szCs w:val="2"/>
              </w:rPr>
            </w:pPr>
          </w:p>
        </w:tc>
        <w:tc>
          <w:tcPr>
            <w:tcW w:w="958" w:type="dxa"/>
            <w:gridSpan w:val="2"/>
            <w:vMerge/>
            <w:tcBorders>
              <w:top w:val="nil"/>
              <w:bottom w:val="nil"/>
            </w:tcBorders>
            <w:shd w:val="clear" w:color="auto" w:fill="FCE4D6"/>
          </w:tcPr>
          <w:p w14:paraId="08AEE942" w14:textId="77777777" w:rsidR="00F65BCA" w:rsidRDefault="00F65BCA">
            <w:pPr>
              <w:rPr>
                <w:sz w:val="2"/>
                <w:szCs w:val="2"/>
              </w:rPr>
            </w:pPr>
          </w:p>
        </w:tc>
        <w:tc>
          <w:tcPr>
            <w:tcW w:w="576" w:type="dxa"/>
            <w:vMerge w:val="restart"/>
            <w:shd w:val="clear" w:color="auto" w:fill="FCE4D6"/>
          </w:tcPr>
          <w:p w14:paraId="39374119" w14:textId="77777777" w:rsidR="00F65BCA" w:rsidRDefault="00F65BCA">
            <w:pPr>
              <w:pStyle w:val="TableParagraph"/>
              <w:rPr>
                <w:rFonts w:ascii="Calibri"/>
                <w:sz w:val="2"/>
              </w:rPr>
            </w:pPr>
          </w:p>
          <w:p w14:paraId="17C937CC" w14:textId="77777777" w:rsidR="00F65BCA" w:rsidRDefault="00216117">
            <w:pPr>
              <w:pStyle w:val="TableParagraph"/>
              <w:ind w:left="3"/>
              <w:jc w:val="center"/>
              <w:rPr>
                <w:sz w:val="3"/>
              </w:rPr>
            </w:pPr>
            <w:r>
              <w:rPr>
                <w:w w:val="103"/>
                <w:sz w:val="3"/>
              </w:rPr>
              <w:t>-</w:t>
            </w:r>
          </w:p>
        </w:tc>
        <w:tc>
          <w:tcPr>
            <w:tcW w:w="576" w:type="dxa"/>
            <w:vMerge w:val="restart"/>
            <w:shd w:val="clear" w:color="auto" w:fill="FCE4D6"/>
          </w:tcPr>
          <w:p w14:paraId="1D6E4D2D" w14:textId="77777777" w:rsidR="00F65BCA" w:rsidRDefault="00F65BCA">
            <w:pPr>
              <w:pStyle w:val="TableParagraph"/>
              <w:rPr>
                <w:rFonts w:ascii="Calibri"/>
                <w:sz w:val="2"/>
              </w:rPr>
            </w:pPr>
          </w:p>
          <w:p w14:paraId="2B937670" w14:textId="77777777" w:rsidR="00F65BCA" w:rsidRDefault="00216117">
            <w:pPr>
              <w:pStyle w:val="TableParagraph"/>
              <w:ind w:left="129" w:right="128"/>
              <w:jc w:val="center"/>
              <w:rPr>
                <w:sz w:val="3"/>
              </w:rPr>
            </w:pPr>
            <w:r>
              <w:rPr>
                <w:w w:val="105"/>
                <w:sz w:val="3"/>
              </w:rPr>
              <w:t>&gt;12000 kg</w:t>
            </w:r>
          </w:p>
        </w:tc>
        <w:tc>
          <w:tcPr>
            <w:tcW w:w="50" w:type="dxa"/>
            <w:vMerge/>
            <w:tcBorders>
              <w:top w:val="nil"/>
              <w:bottom w:val="nil"/>
            </w:tcBorders>
          </w:tcPr>
          <w:p w14:paraId="53337E47" w14:textId="77777777" w:rsidR="00F65BCA" w:rsidRDefault="00F65BCA">
            <w:pPr>
              <w:rPr>
                <w:sz w:val="2"/>
                <w:szCs w:val="2"/>
              </w:rPr>
            </w:pPr>
          </w:p>
        </w:tc>
        <w:tc>
          <w:tcPr>
            <w:tcW w:w="288" w:type="dxa"/>
            <w:vMerge w:val="restart"/>
          </w:tcPr>
          <w:p w14:paraId="79805097" w14:textId="77777777" w:rsidR="00F65BCA" w:rsidRDefault="00F65BCA">
            <w:pPr>
              <w:pStyle w:val="TableParagraph"/>
              <w:rPr>
                <w:rFonts w:ascii="Calibri"/>
                <w:sz w:val="2"/>
              </w:rPr>
            </w:pPr>
          </w:p>
          <w:p w14:paraId="4AA0B926" w14:textId="77777777" w:rsidR="00F65BCA" w:rsidRDefault="00216117">
            <w:pPr>
              <w:pStyle w:val="TableParagraph"/>
              <w:ind w:left="47"/>
              <w:rPr>
                <w:sz w:val="3"/>
              </w:rPr>
            </w:pPr>
            <w:r>
              <w:rPr>
                <w:w w:val="105"/>
                <w:sz w:val="3"/>
              </w:rPr>
              <w:t>2,48729000%</w:t>
            </w:r>
          </w:p>
        </w:tc>
        <w:tc>
          <w:tcPr>
            <w:tcW w:w="288" w:type="dxa"/>
            <w:vMerge w:val="restart"/>
          </w:tcPr>
          <w:p w14:paraId="12EBD03B" w14:textId="77777777" w:rsidR="00F65BCA" w:rsidRDefault="00F65BCA">
            <w:pPr>
              <w:pStyle w:val="TableParagraph"/>
              <w:rPr>
                <w:rFonts w:ascii="Calibri"/>
                <w:sz w:val="2"/>
              </w:rPr>
            </w:pPr>
          </w:p>
          <w:p w14:paraId="7BA030B6" w14:textId="77777777" w:rsidR="00F65BCA" w:rsidRDefault="00216117">
            <w:pPr>
              <w:pStyle w:val="TableParagraph"/>
              <w:ind w:left="47"/>
              <w:rPr>
                <w:sz w:val="3"/>
              </w:rPr>
            </w:pPr>
            <w:r>
              <w:rPr>
                <w:w w:val="105"/>
                <w:sz w:val="3"/>
              </w:rPr>
              <w:t>2,22547000%</w:t>
            </w:r>
          </w:p>
        </w:tc>
        <w:tc>
          <w:tcPr>
            <w:tcW w:w="288" w:type="dxa"/>
            <w:vMerge w:val="restart"/>
          </w:tcPr>
          <w:p w14:paraId="4B79A8AF" w14:textId="77777777" w:rsidR="00F65BCA" w:rsidRDefault="00F65BCA">
            <w:pPr>
              <w:pStyle w:val="TableParagraph"/>
              <w:rPr>
                <w:rFonts w:ascii="Calibri"/>
                <w:sz w:val="2"/>
              </w:rPr>
            </w:pPr>
          </w:p>
          <w:p w14:paraId="15491113" w14:textId="77777777" w:rsidR="00F65BCA" w:rsidRDefault="00216117">
            <w:pPr>
              <w:pStyle w:val="TableParagraph"/>
              <w:ind w:left="47"/>
              <w:rPr>
                <w:sz w:val="3"/>
              </w:rPr>
            </w:pPr>
            <w:r>
              <w:rPr>
                <w:w w:val="105"/>
                <w:sz w:val="3"/>
              </w:rPr>
              <w:t>2,22547000%</w:t>
            </w:r>
          </w:p>
        </w:tc>
        <w:tc>
          <w:tcPr>
            <w:tcW w:w="288" w:type="dxa"/>
            <w:vMerge w:val="restart"/>
          </w:tcPr>
          <w:p w14:paraId="2F20D507" w14:textId="77777777" w:rsidR="00F65BCA" w:rsidRDefault="00F65BCA">
            <w:pPr>
              <w:pStyle w:val="TableParagraph"/>
              <w:rPr>
                <w:rFonts w:ascii="Calibri"/>
                <w:sz w:val="2"/>
              </w:rPr>
            </w:pPr>
          </w:p>
          <w:p w14:paraId="19994031" w14:textId="77777777" w:rsidR="00F65BCA" w:rsidRDefault="00216117">
            <w:pPr>
              <w:pStyle w:val="TableParagraph"/>
              <w:ind w:left="47"/>
              <w:rPr>
                <w:sz w:val="3"/>
              </w:rPr>
            </w:pPr>
            <w:r>
              <w:rPr>
                <w:w w:val="105"/>
                <w:sz w:val="3"/>
              </w:rPr>
              <w:t>2,02910500%</w:t>
            </w:r>
          </w:p>
        </w:tc>
        <w:tc>
          <w:tcPr>
            <w:tcW w:w="288" w:type="dxa"/>
            <w:vMerge w:val="restart"/>
          </w:tcPr>
          <w:p w14:paraId="274058B1" w14:textId="77777777" w:rsidR="00F65BCA" w:rsidRDefault="00F65BCA">
            <w:pPr>
              <w:pStyle w:val="TableParagraph"/>
              <w:rPr>
                <w:rFonts w:ascii="Calibri"/>
                <w:sz w:val="2"/>
              </w:rPr>
            </w:pPr>
          </w:p>
          <w:p w14:paraId="6A973D50" w14:textId="77777777" w:rsidR="00F65BCA" w:rsidRDefault="00216117">
            <w:pPr>
              <w:pStyle w:val="TableParagraph"/>
              <w:ind w:left="47"/>
              <w:rPr>
                <w:sz w:val="3"/>
              </w:rPr>
            </w:pPr>
            <w:r>
              <w:rPr>
                <w:w w:val="105"/>
                <w:sz w:val="3"/>
              </w:rPr>
              <w:t>2,02910500%</w:t>
            </w:r>
          </w:p>
        </w:tc>
        <w:tc>
          <w:tcPr>
            <w:tcW w:w="288" w:type="dxa"/>
            <w:vMerge w:val="restart"/>
          </w:tcPr>
          <w:p w14:paraId="47181D0C" w14:textId="77777777" w:rsidR="00F65BCA" w:rsidRDefault="00F65BCA">
            <w:pPr>
              <w:pStyle w:val="TableParagraph"/>
              <w:rPr>
                <w:rFonts w:ascii="Calibri"/>
                <w:sz w:val="2"/>
              </w:rPr>
            </w:pPr>
          </w:p>
          <w:p w14:paraId="031F4049" w14:textId="77777777" w:rsidR="00F65BCA" w:rsidRDefault="00216117">
            <w:pPr>
              <w:pStyle w:val="TableParagraph"/>
              <w:ind w:left="47"/>
              <w:rPr>
                <w:sz w:val="3"/>
              </w:rPr>
            </w:pPr>
            <w:r>
              <w:rPr>
                <w:w w:val="105"/>
                <w:sz w:val="3"/>
              </w:rPr>
              <w:t>1,83274000%</w:t>
            </w:r>
          </w:p>
        </w:tc>
        <w:tc>
          <w:tcPr>
            <w:tcW w:w="288" w:type="dxa"/>
            <w:vMerge w:val="restart"/>
          </w:tcPr>
          <w:p w14:paraId="60F1EBB6" w14:textId="77777777" w:rsidR="00F65BCA" w:rsidRDefault="00F65BCA">
            <w:pPr>
              <w:pStyle w:val="TableParagraph"/>
              <w:rPr>
                <w:rFonts w:ascii="Calibri"/>
                <w:sz w:val="2"/>
              </w:rPr>
            </w:pPr>
          </w:p>
          <w:p w14:paraId="3BEC91FE" w14:textId="77777777" w:rsidR="00F65BCA" w:rsidRDefault="00216117">
            <w:pPr>
              <w:pStyle w:val="TableParagraph"/>
              <w:ind w:left="47"/>
              <w:rPr>
                <w:sz w:val="3"/>
              </w:rPr>
            </w:pPr>
            <w:r>
              <w:rPr>
                <w:w w:val="105"/>
                <w:sz w:val="3"/>
              </w:rPr>
              <w:t>1,83274000%</w:t>
            </w:r>
          </w:p>
        </w:tc>
        <w:tc>
          <w:tcPr>
            <w:tcW w:w="288" w:type="dxa"/>
            <w:vMerge w:val="restart"/>
          </w:tcPr>
          <w:p w14:paraId="7DA984D4" w14:textId="77777777" w:rsidR="00F65BCA" w:rsidRDefault="00F65BCA">
            <w:pPr>
              <w:pStyle w:val="TableParagraph"/>
              <w:rPr>
                <w:rFonts w:ascii="Calibri"/>
                <w:sz w:val="2"/>
              </w:rPr>
            </w:pPr>
          </w:p>
          <w:p w14:paraId="6B59A4C3" w14:textId="77777777" w:rsidR="00F65BCA" w:rsidRDefault="00216117">
            <w:pPr>
              <w:pStyle w:val="TableParagraph"/>
              <w:ind w:left="47"/>
              <w:rPr>
                <w:sz w:val="3"/>
              </w:rPr>
            </w:pPr>
            <w:r>
              <w:rPr>
                <w:w w:val="105"/>
                <w:sz w:val="3"/>
              </w:rPr>
              <w:t>1,63637500%</w:t>
            </w:r>
          </w:p>
        </w:tc>
        <w:tc>
          <w:tcPr>
            <w:tcW w:w="288" w:type="dxa"/>
            <w:vMerge w:val="restart"/>
          </w:tcPr>
          <w:p w14:paraId="6912AE78" w14:textId="77777777" w:rsidR="00F65BCA" w:rsidRDefault="00F65BCA">
            <w:pPr>
              <w:pStyle w:val="TableParagraph"/>
              <w:rPr>
                <w:rFonts w:ascii="Calibri"/>
                <w:sz w:val="2"/>
              </w:rPr>
            </w:pPr>
          </w:p>
          <w:p w14:paraId="0CBC2583" w14:textId="77777777" w:rsidR="00F65BCA" w:rsidRDefault="00216117">
            <w:pPr>
              <w:pStyle w:val="TableParagraph"/>
              <w:ind w:left="47"/>
              <w:rPr>
                <w:sz w:val="3"/>
              </w:rPr>
            </w:pPr>
            <w:r>
              <w:rPr>
                <w:w w:val="105"/>
                <w:sz w:val="3"/>
              </w:rPr>
              <w:t>1,63637500%</w:t>
            </w:r>
          </w:p>
        </w:tc>
        <w:tc>
          <w:tcPr>
            <w:tcW w:w="288" w:type="dxa"/>
            <w:vMerge w:val="restart"/>
          </w:tcPr>
          <w:p w14:paraId="28F7C5FE" w14:textId="77777777" w:rsidR="00F65BCA" w:rsidRDefault="00F65BCA">
            <w:pPr>
              <w:pStyle w:val="TableParagraph"/>
              <w:rPr>
                <w:rFonts w:ascii="Calibri"/>
                <w:sz w:val="2"/>
              </w:rPr>
            </w:pPr>
          </w:p>
          <w:p w14:paraId="44736BFA" w14:textId="77777777" w:rsidR="00F65BCA" w:rsidRDefault="00216117">
            <w:pPr>
              <w:pStyle w:val="TableParagraph"/>
              <w:ind w:left="47"/>
              <w:rPr>
                <w:sz w:val="3"/>
              </w:rPr>
            </w:pPr>
            <w:r>
              <w:rPr>
                <w:w w:val="105"/>
                <w:sz w:val="3"/>
              </w:rPr>
              <w:t>1,50546500%</w:t>
            </w:r>
          </w:p>
        </w:tc>
        <w:tc>
          <w:tcPr>
            <w:tcW w:w="288" w:type="dxa"/>
            <w:vMerge w:val="restart"/>
          </w:tcPr>
          <w:p w14:paraId="1B023355" w14:textId="77777777" w:rsidR="00F65BCA" w:rsidRDefault="00F65BCA">
            <w:pPr>
              <w:pStyle w:val="TableParagraph"/>
              <w:rPr>
                <w:rFonts w:ascii="Calibri"/>
                <w:sz w:val="2"/>
              </w:rPr>
            </w:pPr>
          </w:p>
          <w:p w14:paraId="3E7811BB" w14:textId="77777777" w:rsidR="00F65BCA" w:rsidRDefault="00216117">
            <w:pPr>
              <w:pStyle w:val="TableParagraph"/>
              <w:ind w:left="47"/>
              <w:rPr>
                <w:sz w:val="3"/>
              </w:rPr>
            </w:pPr>
            <w:r>
              <w:rPr>
                <w:w w:val="105"/>
                <w:sz w:val="3"/>
              </w:rPr>
              <w:t>1,44001000%</w:t>
            </w:r>
          </w:p>
        </w:tc>
        <w:tc>
          <w:tcPr>
            <w:tcW w:w="288" w:type="dxa"/>
            <w:vMerge w:val="restart"/>
          </w:tcPr>
          <w:p w14:paraId="1F4D0236" w14:textId="77777777" w:rsidR="00F65BCA" w:rsidRDefault="00F65BCA">
            <w:pPr>
              <w:pStyle w:val="TableParagraph"/>
              <w:rPr>
                <w:rFonts w:ascii="Calibri"/>
                <w:sz w:val="2"/>
              </w:rPr>
            </w:pPr>
          </w:p>
          <w:p w14:paraId="685A8BD6" w14:textId="77777777" w:rsidR="00F65BCA" w:rsidRDefault="00216117">
            <w:pPr>
              <w:pStyle w:val="TableParagraph"/>
              <w:ind w:left="47"/>
              <w:rPr>
                <w:sz w:val="3"/>
              </w:rPr>
            </w:pPr>
            <w:r>
              <w:rPr>
                <w:w w:val="105"/>
                <w:sz w:val="3"/>
              </w:rPr>
              <w:t>1,30910000%</w:t>
            </w:r>
          </w:p>
        </w:tc>
        <w:tc>
          <w:tcPr>
            <w:tcW w:w="288" w:type="dxa"/>
            <w:vMerge w:val="restart"/>
          </w:tcPr>
          <w:p w14:paraId="74B36FC0" w14:textId="77777777" w:rsidR="00F65BCA" w:rsidRDefault="00F65BCA">
            <w:pPr>
              <w:pStyle w:val="TableParagraph"/>
              <w:rPr>
                <w:rFonts w:ascii="Calibri"/>
                <w:sz w:val="2"/>
              </w:rPr>
            </w:pPr>
          </w:p>
          <w:p w14:paraId="22D2FEE1" w14:textId="77777777" w:rsidR="00F65BCA" w:rsidRDefault="00216117">
            <w:pPr>
              <w:pStyle w:val="TableParagraph"/>
              <w:ind w:left="47"/>
              <w:rPr>
                <w:sz w:val="3"/>
              </w:rPr>
            </w:pPr>
            <w:r>
              <w:rPr>
                <w:w w:val="105"/>
                <w:sz w:val="3"/>
              </w:rPr>
              <w:t>1,30910000%</w:t>
            </w:r>
          </w:p>
        </w:tc>
      </w:tr>
      <w:tr w:rsidR="00F65BCA" w14:paraId="5EC3573D" w14:textId="77777777">
        <w:trPr>
          <w:trHeight w:val="28"/>
        </w:trPr>
        <w:tc>
          <w:tcPr>
            <w:tcW w:w="526" w:type="dxa"/>
            <w:vMerge w:val="restart"/>
            <w:tcBorders>
              <w:top w:val="nil"/>
              <w:bottom w:val="nil"/>
            </w:tcBorders>
            <w:shd w:val="clear" w:color="auto" w:fill="FCE4D6"/>
          </w:tcPr>
          <w:p w14:paraId="01563660" w14:textId="77777777" w:rsidR="00F65BCA" w:rsidRDefault="00F65BCA">
            <w:pPr>
              <w:pStyle w:val="TableParagraph"/>
              <w:rPr>
                <w:rFonts w:ascii="Times New Roman"/>
                <w:sz w:val="2"/>
              </w:rPr>
            </w:pPr>
          </w:p>
        </w:tc>
        <w:tc>
          <w:tcPr>
            <w:tcW w:w="732" w:type="dxa"/>
            <w:vMerge w:val="restart"/>
            <w:tcBorders>
              <w:top w:val="nil"/>
              <w:bottom w:val="nil"/>
            </w:tcBorders>
            <w:shd w:val="clear" w:color="auto" w:fill="FCE4D6"/>
          </w:tcPr>
          <w:p w14:paraId="6370BBB1" w14:textId="77777777" w:rsidR="00F65BCA" w:rsidRDefault="00216117">
            <w:pPr>
              <w:pStyle w:val="TableParagraph"/>
              <w:spacing w:before="13"/>
              <w:ind w:left="18" w:right="14"/>
              <w:jc w:val="center"/>
              <w:rPr>
                <w:sz w:val="3"/>
              </w:rPr>
            </w:pPr>
            <w:r>
              <w:rPr>
                <w:w w:val="105"/>
                <w:sz w:val="3"/>
              </w:rPr>
              <w:t>Volvo</w:t>
            </w:r>
          </w:p>
        </w:tc>
        <w:tc>
          <w:tcPr>
            <w:tcW w:w="958" w:type="dxa"/>
            <w:gridSpan w:val="2"/>
            <w:tcBorders>
              <w:top w:val="nil"/>
            </w:tcBorders>
            <w:shd w:val="clear" w:color="auto" w:fill="FCE4D6"/>
          </w:tcPr>
          <w:p w14:paraId="76DD65B1" w14:textId="77777777" w:rsidR="00F65BCA" w:rsidRDefault="00F65BCA">
            <w:pPr>
              <w:pStyle w:val="TableParagraph"/>
              <w:rPr>
                <w:rFonts w:ascii="Times New Roman"/>
                <w:sz w:val="2"/>
              </w:rPr>
            </w:pPr>
          </w:p>
        </w:tc>
        <w:tc>
          <w:tcPr>
            <w:tcW w:w="576" w:type="dxa"/>
            <w:vMerge/>
            <w:tcBorders>
              <w:top w:val="nil"/>
            </w:tcBorders>
            <w:shd w:val="clear" w:color="auto" w:fill="FCE4D6"/>
          </w:tcPr>
          <w:p w14:paraId="26932E4A" w14:textId="77777777" w:rsidR="00F65BCA" w:rsidRDefault="00F65BCA">
            <w:pPr>
              <w:rPr>
                <w:sz w:val="2"/>
                <w:szCs w:val="2"/>
              </w:rPr>
            </w:pPr>
          </w:p>
        </w:tc>
        <w:tc>
          <w:tcPr>
            <w:tcW w:w="576" w:type="dxa"/>
            <w:vMerge/>
            <w:tcBorders>
              <w:top w:val="nil"/>
            </w:tcBorders>
            <w:shd w:val="clear" w:color="auto" w:fill="FCE4D6"/>
          </w:tcPr>
          <w:p w14:paraId="77639170" w14:textId="77777777" w:rsidR="00F65BCA" w:rsidRDefault="00F65BCA">
            <w:pPr>
              <w:rPr>
                <w:sz w:val="2"/>
                <w:szCs w:val="2"/>
              </w:rPr>
            </w:pPr>
          </w:p>
        </w:tc>
        <w:tc>
          <w:tcPr>
            <w:tcW w:w="50" w:type="dxa"/>
            <w:vMerge/>
            <w:tcBorders>
              <w:top w:val="nil"/>
              <w:bottom w:val="nil"/>
            </w:tcBorders>
          </w:tcPr>
          <w:p w14:paraId="41CF7D9C" w14:textId="77777777" w:rsidR="00F65BCA" w:rsidRDefault="00F65BCA">
            <w:pPr>
              <w:rPr>
                <w:sz w:val="2"/>
                <w:szCs w:val="2"/>
              </w:rPr>
            </w:pPr>
          </w:p>
        </w:tc>
        <w:tc>
          <w:tcPr>
            <w:tcW w:w="288" w:type="dxa"/>
            <w:vMerge/>
            <w:tcBorders>
              <w:top w:val="nil"/>
            </w:tcBorders>
          </w:tcPr>
          <w:p w14:paraId="50129054" w14:textId="77777777" w:rsidR="00F65BCA" w:rsidRDefault="00F65BCA">
            <w:pPr>
              <w:rPr>
                <w:sz w:val="2"/>
                <w:szCs w:val="2"/>
              </w:rPr>
            </w:pPr>
          </w:p>
        </w:tc>
        <w:tc>
          <w:tcPr>
            <w:tcW w:w="288" w:type="dxa"/>
            <w:vMerge/>
            <w:tcBorders>
              <w:top w:val="nil"/>
            </w:tcBorders>
          </w:tcPr>
          <w:p w14:paraId="7337CB5E" w14:textId="77777777" w:rsidR="00F65BCA" w:rsidRDefault="00F65BCA">
            <w:pPr>
              <w:rPr>
                <w:sz w:val="2"/>
                <w:szCs w:val="2"/>
              </w:rPr>
            </w:pPr>
          </w:p>
        </w:tc>
        <w:tc>
          <w:tcPr>
            <w:tcW w:w="288" w:type="dxa"/>
            <w:vMerge/>
            <w:tcBorders>
              <w:top w:val="nil"/>
            </w:tcBorders>
          </w:tcPr>
          <w:p w14:paraId="3E81C1B8" w14:textId="77777777" w:rsidR="00F65BCA" w:rsidRDefault="00F65BCA">
            <w:pPr>
              <w:rPr>
                <w:sz w:val="2"/>
                <w:szCs w:val="2"/>
              </w:rPr>
            </w:pPr>
          </w:p>
        </w:tc>
        <w:tc>
          <w:tcPr>
            <w:tcW w:w="288" w:type="dxa"/>
            <w:vMerge/>
            <w:tcBorders>
              <w:top w:val="nil"/>
            </w:tcBorders>
          </w:tcPr>
          <w:p w14:paraId="12F19154" w14:textId="77777777" w:rsidR="00F65BCA" w:rsidRDefault="00F65BCA">
            <w:pPr>
              <w:rPr>
                <w:sz w:val="2"/>
                <w:szCs w:val="2"/>
              </w:rPr>
            </w:pPr>
          </w:p>
        </w:tc>
        <w:tc>
          <w:tcPr>
            <w:tcW w:w="288" w:type="dxa"/>
            <w:vMerge/>
            <w:tcBorders>
              <w:top w:val="nil"/>
            </w:tcBorders>
          </w:tcPr>
          <w:p w14:paraId="5861030E" w14:textId="77777777" w:rsidR="00F65BCA" w:rsidRDefault="00F65BCA">
            <w:pPr>
              <w:rPr>
                <w:sz w:val="2"/>
                <w:szCs w:val="2"/>
              </w:rPr>
            </w:pPr>
          </w:p>
        </w:tc>
        <w:tc>
          <w:tcPr>
            <w:tcW w:w="288" w:type="dxa"/>
            <w:vMerge/>
            <w:tcBorders>
              <w:top w:val="nil"/>
            </w:tcBorders>
          </w:tcPr>
          <w:p w14:paraId="1CBF0B20" w14:textId="77777777" w:rsidR="00F65BCA" w:rsidRDefault="00F65BCA">
            <w:pPr>
              <w:rPr>
                <w:sz w:val="2"/>
                <w:szCs w:val="2"/>
              </w:rPr>
            </w:pPr>
          </w:p>
        </w:tc>
        <w:tc>
          <w:tcPr>
            <w:tcW w:w="288" w:type="dxa"/>
            <w:vMerge/>
            <w:tcBorders>
              <w:top w:val="nil"/>
            </w:tcBorders>
          </w:tcPr>
          <w:p w14:paraId="681A98B3" w14:textId="77777777" w:rsidR="00F65BCA" w:rsidRDefault="00F65BCA">
            <w:pPr>
              <w:rPr>
                <w:sz w:val="2"/>
                <w:szCs w:val="2"/>
              </w:rPr>
            </w:pPr>
          </w:p>
        </w:tc>
        <w:tc>
          <w:tcPr>
            <w:tcW w:w="288" w:type="dxa"/>
            <w:vMerge/>
            <w:tcBorders>
              <w:top w:val="nil"/>
            </w:tcBorders>
          </w:tcPr>
          <w:p w14:paraId="5F60EF34" w14:textId="77777777" w:rsidR="00F65BCA" w:rsidRDefault="00F65BCA">
            <w:pPr>
              <w:rPr>
                <w:sz w:val="2"/>
                <w:szCs w:val="2"/>
              </w:rPr>
            </w:pPr>
          </w:p>
        </w:tc>
        <w:tc>
          <w:tcPr>
            <w:tcW w:w="288" w:type="dxa"/>
            <w:vMerge/>
            <w:tcBorders>
              <w:top w:val="nil"/>
            </w:tcBorders>
          </w:tcPr>
          <w:p w14:paraId="24C5987A" w14:textId="77777777" w:rsidR="00F65BCA" w:rsidRDefault="00F65BCA">
            <w:pPr>
              <w:rPr>
                <w:sz w:val="2"/>
                <w:szCs w:val="2"/>
              </w:rPr>
            </w:pPr>
          </w:p>
        </w:tc>
        <w:tc>
          <w:tcPr>
            <w:tcW w:w="288" w:type="dxa"/>
            <w:vMerge/>
            <w:tcBorders>
              <w:top w:val="nil"/>
            </w:tcBorders>
          </w:tcPr>
          <w:p w14:paraId="4B773A17" w14:textId="77777777" w:rsidR="00F65BCA" w:rsidRDefault="00F65BCA">
            <w:pPr>
              <w:rPr>
                <w:sz w:val="2"/>
                <w:szCs w:val="2"/>
              </w:rPr>
            </w:pPr>
          </w:p>
        </w:tc>
        <w:tc>
          <w:tcPr>
            <w:tcW w:w="288" w:type="dxa"/>
            <w:vMerge/>
            <w:tcBorders>
              <w:top w:val="nil"/>
            </w:tcBorders>
          </w:tcPr>
          <w:p w14:paraId="37FC5FEB" w14:textId="77777777" w:rsidR="00F65BCA" w:rsidRDefault="00F65BCA">
            <w:pPr>
              <w:rPr>
                <w:sz w:val="2"/>
                <w:szCs w:val="2"/>
              </w:rPr>
            </w:pPr>
          </w:p>
        </w:tc>
        <w:tc>
          <w:tcPr>
            <w:tcW w:w="288" w:type="dxa"/>
            <w:vMerge/>
            <w:tcBorders>
              <w:top w:val="nil"/>
            </w:tcBorders>
          </w:tcPr>
          <w:p w14:paraId="67F892DC" w14:textId="77777777" w:rsidR="00F65BCA" w:rsidRDefault="00F65BCA">
            <w:pPr>
              <w:rPr>
                <w:sz w:val="2"/>
                <w:szCs w:val="2"/>
              </w:rPr>
            </w:pPr>
          </w:p>
        </w:tc>
        <w:tc>
          <w:tcPr>
            <w:tcW w:w="288" w:type="dxa"/>
            <w:vMerge/>
            <w:tcBorders>
              <w:top w:val="nil"/>
            </w:tcBorders>
          </w:tcPr>
          <w:p w14:paraId="4626EF9E" w14:textId="77777777" w:rsidR="00F65BCA" w:rsidRDefault="00F65BCA">
            <w:pPr>
              <w:rPr>
                <w:sz w:val="2"/>
                <w:szCs w:val="2"/>
              </w:rPr>
            </w:pPr>
          </w:p>
        </w:tc>
      </w:tr>
      <w:tr w:rsidR="00F65BCA" w14:paraId="28580059" w14:textId="77777777">
        <w:trPr>
          <w:trHeight w:val="38"/>
        </w:trPr>
        <w:tc>
          <w:tcPr>
            <w:tcW w:w="526" w:type="dxa"/>
            <w:vMerge/>
            <w:tcBorders>
              <w:top w:val="nil"/>
              <w:bottom w:val="nil"/>
            </w:tcBorders>
            <w:shd w:val="clear" w:color="auto" w:fill="FCE4D6"/>
          </w:tcPr>
          <w:p w14:paraId="06F6AD02" w14:textId="77777777" w:rsidR="00F65BCA" w:rsidRDefault="00F65BCA">
            <w:pPr>
              <w:rPr>
                <w:sz w:val="2"/>
                <w:szCs w:val="2"/>
              </w:rPr>
            </w:pPr>
          </w:p>
        </w:tc>
        <w:tc>
          <w:tcPr>
            <w:tcW w:w="732" w:type="dxa"/>
            <w:vMerge/>
            <w:tcBorders>
              <w:top w:val="nil"/>
              <w:bottom w:val="nil"/>
            </w:tcBorders>
            <w:shd w:val="clear" w:color="auto" w:fill="FCE4D6"/>
          </w:tcPr>
          <w:p w14:paraId="4057E424" w14:textId="77777777" w:rsidR="00F65BCA" w:rsidRDefault="00F65BCA">
            <w:pPr>
              <w:rPr>
                <w:sz w:val="2"/>
                <w:szCs w:val="2"/>
              </w:rPr>
            </w:pPr>
          </w:p>
        </w:tc>
        <w:tc>
          <w:tcPr>
            <w:tcW w:w="958" w:type="dxa"/>
            <w:gridSpan w:val="2"/>
            <w:tcBorders>
              <w:bottom w:val="nil"/>
            </w:tcBorders>
            <w:shd w:val="clear" w:color="auto" w:fill="FCE4D6"/>
          </w:tcPr>
          <w:p w14:paraId="06D81EAF" w14:textId="77777777" w:rsidR="00F65BCA" w:rsidRDefault="00F65BCA">
            <w:pPr>
              <w:pStyle w:val="TableParagraph"/>
              <w:rPr>
                <w:rFonts w:ascii="Times New Roman"/>
                <w:sz w:val="2"/>
              </w:rPr>
            </w:pPr>
          </w:p>
        </w:tc>
        <w:tc>
          <w:tcPr>
            <w:tcW w:w="576" w:type="dxa"/>
            <w:vMerge w:val="restart"/>
            <w:shd w:val="clear" w:color="auto" w:fill="FCE4D6"/>
          </w:tcPr>
          <w:p w14:paraId="2C1DDEBE" w14:textId="77777777" w:rsidR="00F65BCA" w:rsidRDefault="00F65BCA">
            <w:pPr>
              <w:pStyle w:val="TableParagraph"/>
              <w:rPr>
                <w:rFonts w:ascii="Calibri"/>
                <w:sz w:val="2"/>
              </w:rPr>
            </w:pPr>
          </w:p>
          <w:p w14:paraId="10F6D739" w14:textId="77777777" w:rsidR="00F65BCA" w:rsidRDefault="00216117">
            <w:pPr>
              <w:pStyle w:val="TableParagraph"/>
              <w:ind w:left="3"/>
              <w:jc w:val="center"/>
              <w:rPr>
                <w:sz w:val="3"/>
              </w:rPr>
            </w:pPr>
            <w:r>
              <w:rPr>
                <w:w w:val="103"/>
                <w:sz w:val="3"/>
              </w:rPr>
              <w:t>-</w:t>
            </w:r>
          </w:p>
        </w:tc>
        <w:tc>
          <w:tcPr>
            <w:tcW w:w="576" w:type="dxa"/>
            <w:vMerge w:val="restart"/>
            <w:shd w:val="clear" w:color="auto" w:fill="FCE4D6"/>
          </w:tcPr>
          <w:p w14:paraId="68AB6206" w14:textId="77777777" w:rsidR="00F65BCA" w:rsidRDefault="00F65BCA">
            <w:pPr>
              <w:pStyle w:val="TableParagraph"/>
              <w:rPr>
                <w:rFonts w:ascii="Calibri"/>
                <w:sz w:val="2"/>
              </w:rPr>
            </w:pPr>
          </w:p>
          <w:p w14:paraId="11DC627D" w14:textId="77777777" w:rsidR="00F65BCA" w:rsidRDefault="00216117">
            <w:pPr>
              <w:pStyle w:val="TableParagraph"/>
              <w:ind w:left="129" w:right="126"/>
              <w:jc w:val="center"/>
              <w:rPr>
                <w:sz w:val="3"/>
              </w:rPr>
            </w:pPr>
            <w:r>
              <w:rPr>
                <w:w w:val="105"/>
                <w:sz w:val="3"/>
              </w:rPr>
              <w:t>0-12000 kg</w:t>
            </w:r>
          </w:p>
        </w:tc>
        <w:tc>
          <w:tcPr>
            <w:tcW w:w="50" w:type="dxa"/>
            <w:vMerge/>
            <w:tcBorders>
              <w:top w:val="nil"/>
              <w:bottom w:val="nil"/>
            </w:tcBorders>
          </w:tcPr>
          <w:p w14:paraId="4EBB14E0" w14:textId="77777777" w:rsidR="00F65BCA" w:rsidRDefault="00F65BCA">
            <w:pPr>
              <w:rPr>
                <w:sz w:val="2"/>
                <w:szCs w:val="2"/>
              </w:rPr>
            </w:pPr>
          </w:p>
        </w:tc>
        <w:tc>
          <w:tcPr>
            <w:tcW w:w="288" w:type="dxa"/>
            <w:vMerge w:val="restart"/>
          </w:tcPr>
          <w:p w14:paraId="7A1CA971" w14:textId="77777777" w:rsidR="00F65BCA" w:rsidRDefault="00F65BCA">
            <w:pPr>
              <w:pStyle w:val="TableParagraph"/>
              <w:rPr>
                <w:rFonts w:ascii="Calibri"/>
                <w:sz w:val="2"/>
              </w:rPr>
            </w:pPr>
          </w:p>
          <w:p w14:paraId="389D4C9C" w14:textId="77777777" w:rsidR="00F65BCA" w:rsidRDefault="00216117">
            <w:pPr>
              <w:pStyle w:val="TableParagraph"/>
              <w:ind w:left="47"/>
              <w:rPr>
                <w:sz w:val="3"/>
              </w:rPr>
            </w:pPr>
            <w:r>
              <w:rPr>
                <w:w w:val="105"/>
                <w:sz w:val="3"/>
              </w:rPr>
              <w:t>2,01400000%</w:t>
            </w:r>
          </w:p>
        </w:tc>
        <w:tc>
          <w:tcPr>
            <w:tcW w:w="288" w:type="dxa"/>
            <w:vMerge w:val="restart"/>
          </w:tcPr>
          <w:p w14:paraId="0590E08E" w14:textId="77777777" w:rsidR="00F65BCA" w:rsidRDefault="00F65BCA">
            <w:pPr>
              <w:pStyle w:val="TableParagraph"/>
              <w:rPr>
                <w:rFonts w:ascii="Calibri"/>
                <w:sz w:val="2"/>
              </w:rPr>
            </w:pPr>
          </w:p>
          <w:p w14:paraId="22035FEF" w14:textId="77777777" w:rsidR="00F65BCA" w:rsidRDefault="00216117">
            <w:pPr>
              <w:pStyle w:val="TableParagraph"/>
              <w:ind w:left="47"/>
              <w:rPr>
                <w:sz w:val="3"/>
              </w:rPr>
            </w:pPr>
            <w:r>
              <w:rPr>
                <w:w w:val="105"/>
                <w:sz w:val="3"/>
              </w:rPr>
              <w:t>1,80200000%</w:t>
            </w:r>
          </w:p>
        </w:tc>
        <w:tc>
          <w:tcPr>
            <w:tcW w:w="288" w:type="dxa"/>
            <w:vMerge w:val="restart"/>
          </w:tcPr>
          <w:p w14:paraId="76841E13" w14:textId="77777777" w:rsidR="00F65BCA" w:rsidRDefault="00F65BCA">
            <w:pPr>
              <w:pStyle w:val="TableParagraph"/>
              <w:rPr>
                <w:rFonts w:ascii="Calibri"/>
                <w:sz w:val="2"/>
              </w:rPr>
            </w:pPr>
          </w:p>
          <w:p w14:paraId="4582BF54" w14:textId="77777777" w:rsidR="00F65BCA" w:rsidRDefault="00216117">
            <w:pPr>
              <w:pStyle w:val="TableParagraph"/>
              <w:ind w:left="47"/>
              <w:rPr>
                <w:sz w:val="3"/>
              </w:rPr>
            </w:pPr>
            <w:r>
              <w:rPr>
                <w:w w:val="105"/>
                <w:sz w:val="3"/>
              </w:rPr>
              <w:t>1,80200000%</w:t>
            </w:r>
          </w:p>
        </w:tc>
        <w:tc>
          <w:tcPr>
            <w:tcW w:w="288" w:type="dxa"/>
            <w:vMerge w:val="restart"/>
          </w:tcPr>
          <w:p w14:paraId="43F2E03E" w14:textId="77777777" w:rsidR="00F65BCA" w:rsidRDefault="00F65BCA">
            <w:pPr>
              <w:pStyle w:val="TableParagraph"/>
              <w:rPr>
                <w:rFonts w:ascii="Calibri"/>
                <w:sz w:val="2"/>
              </w:rPr>
            </w:pPr>
          </w:p>
          <w:p w14:paraId="5791857C" w14:textId="77777777" w:rsidR="00F65BCA" w:rsidRDefault="00216117">
            <w:pPr>
              <w:pStyle w:val="TableParagraph"/>
              <w:ind w:left="47"/>
              <w:rPr>
                <w:sz w:val="3"/>
              </w:rPr>
            </w:pPr>
            <w:r>
              <w:rPr>
                <w:w w:val="105"/>
                <w:sz w:val="3"/>
              </w:rPr>
              <w:t>1,64300000%</w:t>
            </w:r>
          </w:p>
        </w:tc>
        <w:tc>
          <w:tcPr>
            <w:tcW w:w="288" w:type="dxa"/>
            <w:vMerge w:val="restart"/>
          </w:tcPr>
          <w:p w14:paraId="04BAD385" w14:textId="77777777" w:rsidR="00F65BCA" w:rsidRDefault="00F65BCA">
            <w:pPr>
              <w:pStyle w:val="TableParagraph"/>
              <w:rPr>
                <w:rFonts w:ascii="Calibri"/>
                <w:sz w:val="2"/>
              </w:rPr>
            </w:pPr>
          </w:p>
          <w:p w14:paraId="0E515742" w14:textId="77777777" w:rsidR="00F65BCA" w:rsidRDefault="00216117">
            <w:pPr>
              <w:pStyle w:val="TableParagraph"/>
              <w:ind w:left="47"/>
              <w:rPr>
                <w:sz w:val="3"/>
              </w:rPr>
            </w:pPr>
            <w:r>
              <w:rPr>
                <w:w w:val="105"/>
                <w:sz w:val="3"/>
              </w:rPr>
              <w:t>1,64300000%</w:t>
            </w:r>
          </w:p>
        </w:tc>
        <w:tc>
          <w:tcPr>
            <w:tcW w:w="288" w:type="dxa"/>
            <w:vMerge w:val="restart"/>
          </w:tcPr>
          <w:p w14:paraId="618D2C75" w14:textId="77777777" w:rsidR="00F65BCA" w:rsidRDefault="00F65BCA">
            <w:pPr>
              <w:pStyle w:val="TableParagraph"/>
              <w:rPr>
                <w:rFonts w:ascii="Calibri"/>
                <w:sz w:val="2"/>
              </w:rPr>
            </w:pPr>
          </w:p>
          <w:p w14:paraId="7FEF6828" w14:textId="77777777" w:rsidR="00F65BCA" w:rsidRDefault="00216117">
            <w:pPr>
              <w:pStyle w:val="TableParagraph"/>
              <w:ind w:left="47"/>
              <w:rPr>
                <w:sz w:val="3"/>
              </w:rPr>
            </w:pPr>
            <w:r>
              <w:rPr>
                <w:w w:val="105"/>
                <w:sz w:val="3"/>
              </w:rPr>
              <w:t>1,48400000%</w:t>
            </w:r>
          </w:p>
        </w:tc>
        <w:tc>
          <w:tcPr>
            <w:tcW w:w="288" w:type="dxa"/>
            <w:vMerge w:val="restart"/>
          </w:tcPr>
          <w:p w14:paraId="1E7BB6B4" w14:textId="77777777" w:rsidR="00F65BCA" w:rsidRDefault="00F65BCA">
            <w:pPr>
              <w:pStyle w:val="TableParagraph"/>
              <w:rPr>
                <w:rFonts w:ascii="Calibri"/>
                <w:sz w:val="2"/>
              </w:rPr>
            </w:pPr>
          </w:p>
          <w:p w14:paraId="0B1CC7B9" w14:textId="77777777" w:rsidR="00F65BCA" w:rsidRDefault="00216117">
            <w:pPr>
              <w:pStyle w:val="TableParagraph"/>
              <w:ind w:left="47"/>
              <w:rPr>
                <w:sz w:val="3"/>
              </w:rPr>
            </w:pPr>
            <w:r>
              <w:rPr>
                <w:w w:val="105"/>
                <w:sz w:val="3"/>
              </w:rPr>
              <w:t>1,48400000%</w:t>
            </w:r>
          </w:p>
        </w:tc>
        <w:tc>
          <w:tcPr>
            <w:tcW w:w="288" w:type="dxa"/>
            <w:vMerge w:val="restart"/>
          </w:tcPr>
          <w:p w14:paraId="6A26BDC0" w14:textId="77777777" w:rsidR="00F65BCA" w:rsidRDefault="00F65BCA">
            <w:pPr>
              <w:pStyle w:val="TableParagraph"/>
              <w:rPr>
                <w:rFonts w:ascii="Calibri"/>
                <w:sz w:val="2"/>
              </w:rPr>
            </w:pPr>
          </w:p>
          <w:p w14:paraId="6B4A5BC5" w14:textId="77777777" w:rsidR="00F65BCA" w:rsidRDefault="00216117">
            <w:pPr>
              <w:pStyle w:val="TableParagraph"/>
              <w:ind w:left="47"/>
              <w:rPr>
                <w:sz w:val="3"/>
              </w:rPr>
            </w:pPr>
            <w:r>
              <w:rPr>
                <w:w w:val="105"/>
                <w:sz w:val="3"/>
              </w:rPr>
              <w:t>1,32500000%</w:t>
            </w:r>
          </w:p>
        </w:tc>
        <w:tc>
          <w:tcPr>
            <w:tcW w:w="288" w:type="dxa"/>
            <w:vMerge w:val="restart"/>
          </w:tcPr>
          <w:p w14:paraId="1EAF796C" w14:textId="77777777" w:rsidR="00F65BCA" w:rsidRDefault="00F65BCA">
            <w:pPr>
              <w:pStyle w:val="TableParagraph"/>
              <w:rPr>
                <w:rFonts w:ascii="Calibri"/>
                <w:sz w:val="2"/>
              </w:rPr>
            </w:pPr>
          </w:p>
          <w:p w14:paraId="4CD1EA97" w14:textId="77777777" w:rsidR="00F65BCA" w:rsidRDefault="00216117">
            <w:pPr>
              <w:pStyle w:val="TableParagraph"/>
              <w:ind w:left="47"/>
              <w:rPr>
                <w:sz w:val="3"/>
              </w:rPr>
            </w:pPr>
            <w:r>
              <w:rPr>
                <w:w w:val="105"/>
                <w:sz w:val="3"/>
              </w:rPr>
              <w:t>1,32500000%</w:t>
            </w:r>
          </w:p>
        </w:tc>
        <w:tc>
          <w:tcPr>
            <w:tcW w:w="288" w:type="dxa"/>
            <w:vMerge w:val="restart"/>
          </w:tcPr>
          <w:p w14:paraId="2C219233" w14:textId="77777777" w:rsidR="00F65BCA" w:rsidRDefault="00F65BCA">
            <w:pPr>
              <w:pStyle w:val="TableParagraph"/>
              <w:rPr>
                <w:rFonts w:ascii="Calibri"/>
                <w:sz w:val="2"/>
              </w:rPr>
            </w:pPr>
          </w:p>
          <w:p w14:paraId="1EF28539" w14:textId="77777777" w:rsidR="00F65BCA" w:rsidRDefault="00216117">
            <w:pPr>
              <w:pStyle w:val="TableParagraph"/>
              <w:ind w:left="47"/>
              <w:rPr>
                <w:sz w:val="3"/>
              </w:rPr>
            </w:pPr>
            <w:r>
              <w:rPr>
                <w:w w:val="105"/>
                <w:sz w:val="3"/>
              </w:rPr>
              <w:t>1,21900000%</w:t>
            </w:r>
          </w:p>
        </w:tc>
        <w:tc>
          <w:tcPr>
            <w:tcW w:w="288" w:type="dxa"/>
            <w:vMerge w:val="restart"/>
          </w:tcPr>
          <w:p w14:paraId="58ED9540" w14:textId="77777777" w:rsidR="00F65BCA" w:rsidRDefault="00F65BCA">
            <w:pPr>
              <w:pStyle w:val="TableParagraph"/>
              <w:rPr>
                <w:rFonts w:ascii="Calibri"/>
                <w:sz w:val="2"/>
              </w:rPr>
            </w:pPr>
          </w:p>
          <w:p w14:paraId="2D83A546" w14:textId="77777777" w:rsidR="00F65BCA" w:rsidRDefault="00216117">
            <w:pPr>
              <w:pStyle w:val="TableParagraph"/>
              <w:ind w:left="47"/>
              <w:rPr>
                <w:sz w:val="3"/>
              </w:rPr>
            </w:pPr>
            <w:r>
              <w:rPr>
                <w:w w:val="105"/>
                <w:sz w:val="3"/>
              </w:rPr>
              <w:t>1,16600000%</w:t>
            </w:r>
          </w:p>
        </w:tc>
        <w:tc>
          <w:tcPr>
            <w:tcW w:w="288" w:type="dxa"/>
            <w:vMerge w:val="restart"/>
          </w:tcPr>
          <w:p w14:paraId="2E682CEC" w14:textId="77777777" w:rsidR="00F65BCA" w:rsidRDefault="00F65BCA">
            <w:pPr>
              <w:pStyle w:val="TableParagraph"/>
              <w:rPr>
                <w:rFonts w:ascii="Calibri"/>
                <w:sz w:val="2"/>
              </w:rPr>
            </w:pPr>
          </w:p>
          <w:p w14:paraId="6D901FF1" w14:textId="77777777" w:rsidR="00F65BCA" w:rsidRDefault="00216117">
            <w:pPr>
              <w:pStyle w:val="TableParagraph"/>
              <w:ind w:left="47"/>
              <w:rPr>
                <w:sz w:val="3"/>
              </w:rPr>
            </w:pPr>
            <w:r>
              <w:rPr>
                <w:w w:val="105"/>
                <w:sz w:val="3"/>
              </w:rPr>
              <w:t>1,06000000%</w:t>
            </w:r>
          </w:p>
        </w:tc>
        <w:tc>
          <w:tcPr>
            <w:tcW w:w="288" w:type="dxa"/>
            <w:vMerge w:val="restart"/>
          </w:tcPr>
          <w:p w14:paraId="4D2641F5" w14:textId="77777777" w:rsidR="00F65BCA" w:rsidRDefault="00F65BCA">
            <w:pPr>
              <w:pStyle w:val="TableParagraph"/>
              <w:rPr>
                <w:rFonts w:ascii="Calibri"/>
                <w:sz w:val="2"/>
              </w:rPr>
            </w:pPr>
          </w:p>
          <w:p w14:paraId="4FBD32F0" w14:textId="77777777" w:rsidR="00F65BCA" w:rsidRDefault="00216117">
            <w:pPr>
              <w:pStyle w:val="TableParagraph"/>
              <w:ind w:left="47"/>
              <w:rPr>
                <w:sz w:val="3"/>
              </w:rPr>
            </w:pPr>
            <w:r>
              <w:rPr>
                <w:w w:val="105"/>
                <w:sz w:val="3"/>
              </w:rPr>
              <w:t>1,06000000%</w:t>
            </w:r>
          </w:p>
        </w:tc>
      </w:tr>
      <w:tr w:rsidR="00F65BCA" w14:paraId="56C3A2D5" w14:textId="77777777">
        <w:trPr>
          <w:trHeight w:val="38"/>
        </w:trPr>
        <w:tc>
          <w:tcPr>
            <w:tcW w:w="526" w:type="dxa"/>
            <w:vMerge w:val="restart"/>
            <w:tcBorders>
              <w:top w:val="nil"/>
              <w:bottom w:val="nil"/>
            </w:tcBorders>
            <w:shd w:val="clear" w:color="auto" w:fill="FCE4D6"/>
          </w:tcPr>
          <w:p w14:paraId="53122408" w14:textId="77777777" w:rsidR="00F65BCA" w:rsidRDefault="00F65BCA">
            <w:pPr>
              <w:pStyle w:val="TableParagraph"/>
              <w:rPr>
                <w:rFonts w:ascii="Times New Roman"/>
                <w:sz w:val="2"/>
              </w:rPr>
            </w:pPr>
          </w:p>
        </w:tc>
        <w:tc>
          <w:tcPr>
            <w:tcW w:w="732" w:type="dxa"/>
            <w:vMerge w:val="restart"/>
            <w:tcBorders>
              <w:top w:val="nil"/>
            </w:tcBorders>
            <w:shd w:val="clear" w:color="auto" w:fill="FCE4D6"/>
          </w:tcPr>
          <w:p w14:paraId="79FD2E9B" w14:textId="77777777" w:rsidR="00F65BCA" w:rsidRDefault="00F65BCA">
            <w:pPr>
              <w:pStyle w:val="TableParagraph"/>
              <w:rPr>
                <w:rFonts w:ascii="Times New Roman"/>
                <w:sz w:val="2"/>
              </w:rPr>
            </w:pPr>
          </w:p>
        </w:tc>
        <w:tc>
          <w:tcPr>
            <w:tcW w:w="958" w:type="dxa"/>
            <w:gridSpan w:val="2"/>
            <w:vMerge w:val="restart"/>
            <w:tcBorders>
              <w:top w:val="nil"/>
            </w:tcBorders>
            <w:shd w:val="clear" w:color="auto" w:fill="FCE4D6"/>
          </w:tcPr>
          <w:p w14:paraId="00F1D923" w14:textId="77777777" w:rsidR="00F65BCA" w:rsidRDefault="00F65BCA">
            <w:pPr>
              <w:pStyle w:val="TableParagraph"/>
              <w:rPr>
                <w:rFonts w:ascii="Calibri"/>
                <w:sz w:val="2"/>
              </w:rPr>
            </w:pPr>
          </w:p>
          <w:p w14:paraId="5923CBAF" w14:textId="77777777" w:rsidR="00F65BCA" w:rsidRDefault="00216117">
            <w:pPr>
              <w:pStyle w:val="TableParagraph"/>
              <w:ind w:left="4"/>
              <w:rPr>
                <w:sz w:val="3"/>
              </w:rPr>
            </w:pPr>
            <w:r>
              <w:rPr>
                <w:w w:val="105"/>
                <w:sz w:val="3"/>
              </w:rPr>
              <w:t>FL 5; FL 6; FL C</w:t>
            </w:r>
          </w:p>
        </w:tc>
        <w:tc>
          <w:tcPr>
            <w:tcW w:w="576" w:type="dxa"/>
            <w:vMerge/>
            <w:tcBorders>
              <w:top w:val="nil"/>
            </w:tcBorders>
            <w:shd w:val="clear" w:color="auto" w:fill="FCE4D6"/>
          </w:tcPr>
          <w:p w14:paraId="4D49ECB7" w14:textId="77777777" w:rsidR="00F65BCA" w:rsidRDefault="00F65BCA">
            <w:pPr>
              <w:rPr>
                <w:sz w:val="2"/>
                <w:szCs w:val="2"/>
              </w:rPr>
            </w:pPr>
          </w:p>
        </w:tc>
        <w:tc>
          <w:tcPr>
            <w:tcW w:w="576" w:type="dxa"/>
            <w:vMerge/>
            <w:tcBorders>
              <w:top w:val="nil"/>
            </w:tcBorders>
            <w:shd w:val="clear" w:color="auto" w:fill="FCE4D6"/>
          </w:tcPr>
          <w:p w14:paraId="280AFC41" w14:textId="77777777" w:rsidR="00F65BCA" w:rsidRDefault="00F65BCA">
            <w:pPr>
              <w:rPr>
                <w:sz w:val="2"/>
                <w:szCs w:val="2"/>
              </w:rPr>
            </w:pPr>
          </w:p>
        </w:tc>
        <w:tc>
          <w:tcPr>
            <w:tcW w:w="50" w:type="dxa"/>
            <w:vMerge/>
            <w:tcBorders>
              <w:top w:val="nil"/>
              <w:bottom w:val="nil"/>
            </w:tcBorders>
          </w:tcPr>
          <w:p w14:paraId="487BFFF0" w14:textId="77777777" w:rsidR="00F65BCA" w:rsidRDefault="00F65BCA">
            <w:pPr>
              <w:rPr>
                <w:sz w:val="2"/>
                <w:szCs w:val="2"/>
              </w:rPr>
            </w:pPr>
          </w:p>
        </w:tc>
        <w:tc>
          <w:tcPr>
            <w:tcW w:w="288" w:type="dxa"/>
            <w:vMerge/>
            <w:tcBorders>
              <w:top w:val="nil"/>
            </w:tcBorders>
          </w:tcPr>
          <w:p w14:paraId="5816681D" w14:textId="77777777" w:rsidR="00F65BCA" w:rsidRDefault="00F65BCA">
            <w:pPr>
              <w:rPr>
                <w:sz w:val="2"/>
                <w:szCs w:val="2"/>
              </w:rPr>
            </w:pPr>
          </w:p>
        </w:tc>
        <w:tc>
          <w:tcPr>
            <w:tcW w:w="288" w:type="dxa"/>
            <w:vMerge/>
            <w:tcBorders>
              <w:top w:val="nil"/>
            </w:tcBorders>
          </w:tcPr>
          <w:p w14:paraId="6EA4F6C6" w14:textId="77777777" w:rsidR="00F65BCA" w:rsidRDefault="00F65BCA">
            <w:pPr>
              <w:rPr>
                <w:sz w:val="2"/>
                <w:szCs w:val="2"/>
              </w:rPr>
            </w:pPr>
          </w:p>
        </w:tc>
        <w:tc>
          <w:tcPr>
            <w:tcW w:w="288" w:type="dxa"/>
            <w:vMerge/>
            <w:tcBorders>
              <w:top w:val="nil"/>
            </w:tcBorders>
          </w:tcPr>
          <w:p w14:paraId="499C0CC1" w14:textId="77777777" w:rsidR="00F65BCA" w:rsidRDefault="00F65BCA">
            <w:pPr>
              <w:rPr>
                <w:sz w:val="2"/>
                <w:szCs w:val="2"/>
              </w:rPr>
            </w:pPr>
          </w:p>
        </w:tc>
        <w:tc>
          <w:tcPr>
            <w:tcW w:w="288" w:type="dxa"/>
            <w:vMerge/>
            <w:tcBorders>
              <w:top w:val="nil"/>
            </w:tcBorders>
          </w:tcPr>
          <w:p w14:paraId="02A227A7" w14:textId="77777777" w:rsidR="00F65BCA" w:rsidRDefault="00F65BCA">
            <w:pPr>
              <w:rPr>
                <w:sz w:val="2"/>
                <w:szCs w:val="2"/>
              </w:rPr>
            </w:pPr>
          </w:p>
        </w:tc>
        <w:tc>
          <w:tcPr>
            <w:tcW w:w="288" w:type="dxa"/>
            <w:vMerge/>
            <w:tcBorders>
              <w:top w:val="nil"/>
            </w:tcBorders>
          </w:tcPr>
          <w:p w14:paraId="21D7D57C" w14:textId="77777777" w:rsidR="00F65BCA" w:rsidRDefault="00F65BCA">
            <w:pPr>
              <w:rPr>
                <w:sz w:val="2"/>
                <w:szCs w:val="2"/>
              </w:rPr>
            </w:pPr>
          </w:p>
        </w:tc>
        <w:tc>
          <w:tcPr>
            <w:tcW w:w="288" w:type="dxa"/>
            <w:vMerge/>
            <w:tcBorders>
              <w:top w:val="nil"/>
            </w:tcBorders>
          </w:tcPr>
          <w:p w14:paraId="7025C924" w14:textId="77777777" w:rsidR="00F65BCA" w:rsidRDefault="00F65BCA">
            <w:pPr>
              <w:rPr>
                <w:sz w:val="2"/>
                <w:szCs w:val="2"/>
              </w:rPr>
            </w:pPr>
          </w:p>
        </w:tc>
        <w:tc>
          <w:tcPr>
            <w:tcW w:w="288" w:type="dxa"/>
            <w:vMerge/>
            <w:tcBorders>
              <w:top w:val="nil"/>
            </w:tcBorders>
          </w:tcPr>
          <w:p w14:paraId="74A26BC7" w14:textId="77777777" w:rsidR="00F65BCA" w:rsidRDefault="00F65BCA">
            <w:pPr>
              <w:rPr>
                <w:sz w:val="2"/>
                <w:szCs w:val="2"/>
              </w:rPr>
            </w:pPr>
          </w:p>
        </w:tc>
        <w:tc>
          <w:tcPr>
            <w:tcW w:w="288" w:type="dxa"/>
            <w:vMerge/>
            <w:tcBorders>
              <w:top w:val="nil"/>
            </w:tcBorders>
          </w:tcPr>
          <w:p w14:paraId="160D9B52" w14:textId="77777777" w:rsidR="00F65BCA" w:rsidRDefault="00F65BCA">
            <w:pPr>
              <w:rPr>
                <w:sz w:val="2"/>
                <w:szCs w:val="2"/>
              </w:rPr>
            </w:pPr>
          </w:p>
        </w:tc>
        <w:tc>
          <w:tcPr>
            <w:tcW w:w="288" w:type="dxa"/>
            <w:vMerge/>
            <w:tcBorders>
              <w:top w:val="nil"/>
            </w:tcBorders>
          </w:tcPr>
          <w:p w14:paraId="230C4D2B" w14:textId="77777777" w:rsidR="00F65BCA" w:rsidRDefault="00F65BCA">
            <w:pPr>
              <w:rPr>
                <w:sz w:val="2"/>
                <w:szCs w:val="2"/>
              </w:rPr>
            </w:pPr>
          </w:p>
        </w:tc>
        <w:tc>
          <w:tcPr>
            <w:tcW w:w="288" w:type="dxa"/>
            <w:vMerge/>
            <w:tcBorders>
              <w:top w:val="nil"/>
            </w:tcBorders>
          </w:tcPr>
          <w:p w14:paraId="29F91CD3" w14:textId="77777777" w:rsidR="00F65BCA" w:rsidRDefault="00F65BCA">
            <w:pPr>
              <w:rPr>
                <w:sz w:val="2"/>
                <w:szCs w:val="2"/>
              </w:rPr>
            </w:pPr>
          </w:p>
        </w:tc>
        <w:tc>
          <w:tcPr>
            <w:tcW w:w="288" w:type="dxa"/>
            <w:vMerge/>
            <w:tcBorders>
              <w:top w:val="nil"/>
            </w:tcBorders>
          </w:tcPr>
          <w:p w14:paraId="54D398F4" w14:textId="77777777" w:rsidR="00F65BCA" w:rsidRDefault="00F65BCA">
            <w:pPr>
              <w:rPr>
                <w:sz w:val="2"/>
                <w:szCs w:val="2"/>
              </w:rPr>
            </w:pPr>
          </w:p>
        </w:tc>
        <w:tc>
          <w:tcPr>
            <w:tcW w:w="288" w:type="dxa"/>
            <w:vMerge/>
            <w:tcBorders>
              <w:top w:val="nil"/>
            </w:tcBorders>
          </w:tcPr>
          <w:p w14:paraId="549F9B5C" w14:textId="77777777" w:rsidR="00F65BCA" w:rsidRDefault="00F65BCA">
            <w:pPr>
              <w:rPr>
                <w:sz w:val="2"/>
                <w:szCs w:val="2"/>
              </w:rPr>
            </w:pPr>
          </w:p>
        </w:tc>
        <w:tc>
          <w:tcPr>
            <w:tcW w:w="288" w:type="dxa"/>
            <w:vMerge/>
            <w:tcBorders>
              <w:top w:val="nil"/>
            </w:tcBorders>
          </w:tcPr>
          <w:p w14:paraId="0A1806A5" w14:textId="77777777" w:rsidR="00F65BCA" w:rsidRDefault="00F65BCA">
            <w:pPr>
              <w:rPr>
                <w:sz w:val="2"/>
                <w:szCs w:val="2"/>
              </w:rPr>
            </w:pPr>
          </w:p>
        </w:tc>
      </w:tr>
      <w:tr w:rsidR="00F65BCA" w14:paraId="1C0980FB" w14:textId="77777777">
        <w:trPr>
          <w:trHeight w:val="81"/>
        </w:trPr>
        <w:tc>
          <w:tcPr>
            <w:tcW w:w="526" w:type="dxa"/>
            <w:vMerge/>
            <w:tcBorders>
              <w:top w:val="nil"/>
              <w:bottom w:val="nil"/>
            </w:tcBorders>
            <w:shd w:val="clear" w:color="auto" w:fill="FCE4D6"/>
          </w:tcPr>
          <w:p w14:paraId="2A4ABCBE" w14:textId="77777777" w:rsidR="00F65BCA" w:rsidRDefault="00F65BCA">
            <w:pPr>
              <w:rPr>
                <w:sz w:val="2"/>
                <w:szCs w:val="2"/>
              </w:rPr>
            </w:pPr>
          </w:p>
        </w:tc>
        <w:tc>
          <w:tcPr>
            <w:tcW w:w="732" w:type="dxa"/>
            <w:vMerge/>
            <w:tcBorders>
              <w:top w:val="nil"/>
            </w:tcBorders>
            <w:shd w:val="clear" w:color="auto" w:fill="FCE4D6"/>
          </w:tcPr>
          <w:p w14:paraId="10378610" w14:textId="77777777" w:rsidR="00F65BCA" w:rsidRDefault="00F65BCA">
            <w:pPr>
              <w:rPr>
                <w:sz w:val="2"/>
                <w:szCs w:val="2"/>
              </w:rPr>
            </w:pPr>
          </w:p>
        </w:tc>
        <w:tc>
          <w:tcPr>
            <w:tcW w:w="958" w:type="dxa"/>
            <w:gridSpan w:val="2"/>
            <w:vMerge/>
            <w:tcBorders>
              <w:top w:val="nil"/>
            </w:tcBorders>
            <w:shd w:val="clear" w:color="auto" w:fill="FCE4D6"/>
          </w:tcPr>
          <w:p w14:paraId="3D1EE0C4" w14:textId="77777777" w:rsidR="00F65BCA" w:rsidRDefault="00F65BCA">
            <w:pPr>
              <w:rPr>
                <w:sz w:val="2"/>
                <w:szCs w:val="2"/>
              </w:rPr>
            </w:pPr>
          </w:p>
        </w:tc>
        <w:tc>
          <w:tcPr>
            <w:tcW w:w="576" w:type="dxa"/>
            <w:shd w:val="clear" w:color="auto" w:fill="FCE4D6"/>
          </w:tcPr>
          <w:p w14:paraId="64A18795" w14:textId="77777777" w:rsidR="00F65BCA" w:rsidRDefault="00F65BCA">
            <w:pPr>
              <w:pStyle w:val="TableParagraph"/>
              <w:rPr>
                <w:rFonts w:ascii="Calibri"/>
                <w:sz w:val="2"/>
              </w:rPr>
            </w:pPr>
          </w:p>
          <w:p w14:paraId="23DB4ACE" w14:textId="77777777" w:rsidR="00F65BCA" w:rsidRDefault="00216117">
            <w:pPr>
              <w:pStyle w:val="TableParagraph"/>
              <w:ind w:left="3"/>
              <w:jc w:val="center"/>
              <w:rPr>
                <w:sz w:val="3"/>
              </w:rPr>
            </w:pPr>
            <w:r>
              <w:rPr>
                <w:w w:val="103"/>
                <w:sz w:val="3"/>
              </w:rPr>
              <w:t>-</w:t>
            </w:r>
          </w:p>
        </w:tc>
        <w:tc>
          <w:tcPr>
            <w:tcW w:w="576" w:type="dxa"/>
            <w:shd w:val="clear" w:color="auto" w:fill="FCE4D6"/>
          </w:tcPr>
          <w:p w14:paraId="2ED174FD" w14:textId="77777777" w:rsidR="00F65BCA" w:rsidRDefault="00F65BCA">
            <w:pPr>
              <w:pStyle w:val="TableParagraph"/>
              <w:rPr>
                <w:rFonts w:ascii="Calibri"/>
                <w:sz w:val="2"/>
              </w:rPr>
            </w:pPr>
          </w:p>
          <w:p w14:paraId="3481D192" w14:textId="77777777" w:rsidR="00F65BCA" w:rsidRDefault="00216117">
            <w:pPr>
              <w:pStyle w:val="TableParagraph"/>
              <w:ind w:left="212"/>
              <w:rPr>
                <w:sz w:val="3"/>
              </w:rPr>
            </w:pPr>
            <w:r>
              <w:rPr>
                <w:w w:val="105"/>
                <w:sz w:val="3"/>
              </w:rPr>
              <w:t>&gt;12000 kg</w:t>
            </w:r>
          </w:p>
        </w:tc>
        <w:tc>
          <w:tcPr>
            <w:tcW w:w="50" w:type="dxa"/>
            <w:vMerge/>
            <w:tcBorders>
              <w:top w:val="nil"/>
              <w:bottom w:val="nil"/>
            </w:tcBorders>
          </w:tcPr>
          <w:p w14:paraId="7351A8B3" w14:textId="77777777" w:rsidR="00F65BCA" w:rsidRDefault="00F65BCA">
            <w:pPr>
              <w:rPr>
                <w:sz w:val="2"/>
                <w:szCs w:val="2"/>
              </w:rPr>
            </w:pPr>
          </w:p>
        </w:tc>
        <w:tc>
          <w:tcPr>
            <w:tcW w:w="288" w:type="dxa"/>
          </w:tcPr>
          <w:p w14:paraId="1EC1D2FD" w14:textId="77777777" w:rsidR="00F65BCA" w:rsidRDefault="00F65BCA">
            <w:pPr>
              <w:pStyle w:val="TableParagraph"/>
              <w:rPr>
                <w:rFonts w:ascii="Calibri"/>
                <w:sz w:val="2"/>
              </w:rPr>
            </w:pPr>
          </w:p>
          <w:p w14:paraId="0CC80669" w14:textId="77777777" w:rsidR="00F65BCA" w:rsidRDefault="00216117">
            <w:pPr>
              <w:pStyle w:val="TableParagraph"/>
              <w:ind w:left="24" w:right="24"/>
              <w:jc w:val="center"/>
              <w:rPr>
                <w:sz w:val="3"/>
              </w:rPr>
            </w:pPr>
            <w:r>
              <w:rPr>
                <w:w w:val="105"/>
                <w:sz w:val="3"/>
              </w:rPr>
              <w:t>2,48729000%</w:t>
            </w:r>
          </w:p>
        </w:tc>
        <w:tc>
          <w:tcPr>
            <w:tcW w:w="288" w:type="dxa"/>
          </w:tcPr>
          <w:p w14:paraId="70AA9D18" w14:textId="77777777" w:rsidR="00F65BCA" w:rsidRDefault="00F65BCA">
            <w:pPr>
              <w:pStyle w:val="TableParagraph"/>
              <w:rPr>
                <w:rFonts w:ascii="Calibri"/>
                <w:sz w:val="2"/>
              </w:rPr>
            </w:pPr>
          </w:p>
          <w:p w14:paraId="5C598F56" w14:textId="77777777" w:rsidR="00F65BCA" w:rsidRDefault="00216117">
            <w:pPr>
              <w:pStyle w:val="TableParagraph"/>
              <w:ind w:left="24" w:right="24"/>
              <w:jc w:val="center"/>
              <w:rPr>
                <w:sz w:val="3"/>
              </w:rPr>
            </w:pPr>
            <w:r>
              <w:rPr>
                <w:w w:val="105"/>
                <w:sz w:val="3"/>
              </w:rPr>
              <w:t>2,22547000%</w:t>
            </w:r>
          </w:p>
        </w:tc>
        <w:tc>
          <w:tcPr>
            <w:tcW w:w="288" w:type="dxa"/>
          </w:tcPr>
          <w:p w14:paraId="72DCCC8D" w14:textId="77777777" w:rsidR="00F65BCA" w:rsidRDefault="00F65BCA">
            <w:pPr>
              <w:pStyle w:val="TableParagraph"/>
              <w:rPr>
                <w:rFonts w:ascii="Calibri"/>
                <w:sz w:val="2"/>
              </w:rPr>
            </w:pPr>
          </w:p>
          <w:p w14:paraId="1BA03629" w14:textId="77777777" w:rsidR="00F65BCA" w:rsidRDefault="00216117">
            <w:pPr>
              <w:pStyle w:val="TableParagraph"/>
              <w:ind w:left="47"/>
              <w:rPr>
                <w:sz w:val="3"/>
              </w:rPr>
            </w:pPr>
            <w:r>
              <w:rPr>
                <w:w w:val="105"/>
                <w:sz w:val="3"/>
              </w:rPr>
              <w:t>2,22547000%</w:t>
            </w:r>
          </w:p>
        </w:tc>
        <w:tc>
          <w:tcPr>
            <w:tcW w:w="288" w:type="dxa"/>
          </w:tcPr>
          <w:p w14:paraId="6C4A7CF6" w14:textId="77777777" w:rsidR="00F65BCA" w:rsidRDefault="00F65BCA">
            <w:pPr>
              <w:pStyle w:val="TableParagraph"/>
              <w:rPr>
                <w:rFonts w:ascii="Calibri"/>
                <w:sz w:val="2"/>
              </w:rPr>
            </w:pPr>
          </w:p>
          <w:p w14:paraId="00A8E0CF" w14:textId="77777777" w:rsidR="00F65BCA" w:rsidRDefault="00216117">
            <w:pPr>
              <w:pStyle w:val="TableParagraph"/>
              <w:ind w:left="24" w:right="24"/>
              <w:jc w:val="center"/>
              <w:rPr>
                <w:sz w:val="3"/>
              </w:rPr>
            </w:pPr>
            <w:r>
              <w:rPr>
                <w:w w:val="105"/>
                <w:sz w:val="3"/>
              </w:rPr>
              <w:t>2,02910500%</w:t>
            </w:r>
          </w:p>
        </w:tc>
        <w:tc>
          <w:tcPr>
            <w:tcW w:w="288" w:type="dxa"/>
          </w:tcPr>
          <w:p w14:paraId="69C506FD" w14:textId="77777777" w:rsidR="00F65BCA" w:rsidRDefault="00F65BCA">
            <w:pPr>
              <w:pStyle w:val="TableParagraph"/>
              <w:rPr>
                <w:rFonts w:ascii="Calibri"/>
                <w:sz w:val="2"/>
              </w:rPr>
            </w:pPr>
          </w:p>
          <w:p w14:paraId="46AA150B" w14:textId="77777777" w:rsidR="00F65BCA" w:rsidRDefault="00216117">
            <w:pPr>
              <w:pStyle w:val="TableParagraph"/>
              <w:ind w:left="47"/>
              <w:rPr>
                <w:sz w:val="3"/>
              </w:rPr>
            </w:pPr>
            <w:r>
              <w:rPr>
                <w:w w:val="105"/>
                <w:sz w:val="3"/>
              </w:rPr>
              <w:t>2,02910500%</w:t>
            </w:r>
          </w:p>
        </w:tc>
        <w:tc>
          <w:tcPr>
            <w:tcW w:w="288" w:type="dxa"/>
          </w:tcPr>
          <w:p w14:paraId="05F612FA" w14:textId="77777777" w:rsidR="00F65BCA" w:rsidRDefault="00F65BCA">
            <w:pPr>
              <w:pStyle w:val="TableParagraph"/>
              <w:rPr>
                <w:rFonts w:ascii="Calibri"/>
                <w:sz w:val="2"/>
              </w:rPr>
            </w:pPr>
          </w:p>
          <w:p w14:paraId="4C42BB57" w14:textId="77777777" w:rsidR="00F65BCA" w:rsidRDefault="00216117">
            <w:pPr>
              <w:pStyle w:val="TableParagraph"/>
              <w:ind w:left="24" w:right="24"/>
              <w:jc w:val="center"/>
              <w:rPr>
                <w:sz w:val="3"/>
              </w:rPr>
            </w:pPr>
            <w:r>
              <w:rPr>
                <w:w w:val="105"/>
                <w:sz w:val="3"/>
              </w:rPr>
              <w:t>1,83274000%</w:t>
            </w:r>
          </w:p>
        </w:tc>
        <w:tc>
          <w:tcPr>
            <w:tcW w:w="288" w:type="dxa"/>
          </w:tcPr>
          <w:p w14:paraId="3719CD20" w14:textId="77777777" w:rsidR="00F65BCA" w:rsidRDefault="00F65BCA">
            <w:pPr>
              <w:pStyle w:val="TableParagraph"/>
              <w:rPr>
                <w:rFonts w:ascii="Calibri"/>
                <w:sz w:val="2"/>
              </w:rPr>
            </w:pPr>
          </w:p>
          <w:p w14:paraId="73DF1A44" w14:textId="77777777" w:rsidR="00F65BCA" w:rsidRDefault="00216117">
            <w:pPr>
              <w:pStyle w:val="TableParagraph"/>
              <w:ind w:left="24" w:right="24"/>
              <w:jc w:val="center"/>
              <w:rPr>
                <w:sz w:val="3"/>
              </w:rPr>
            </w:pPr>
            <w:r>
              <w:rPr>
                <w:w w:val="105"/>
                <w:sz w:val="3"/>
              </w:rPr>
              <w:t>1,83274000%</w:t>
            </w:r>
          </w:p>
        </w:tc>
        <w:tc>
          <w:tcPr>
            <w:tcW w:w="288" w:type="dxa"/>
          </w:tcPr>
          <w:p w14:paraId="50FF9425" w14:textId="77777777" w:rsidR="00F65BCA" w:rsidRDefault="00F65BCA">
            <w:pPr>
              <w:pStyle w:val="TableParagraph"/>
              <w:rPr>
                <w:rFonts w:ascii="Calibri"/>
                <w:sz w:val="2"/>
              </w:rPr>
            </w:pPr>
          </w:p>
          <w:p w14:paraId="77E32994" w14:textId="77777777" w:rsidR="00F65BCA" w:rsidRDefault="00216117">
            <w:pPr>
              <w:pStyle w:val="TableParagraph"/>
              <w:ind w:left="47"/>
              <w:rPr>
                <w:sz w:val="3"/>
              </w:rPr>
            </w:pPr>
            <w:r>
              <w:rPr>
                <w:w w:val="105"/>
                <w:sz w:val="3"/>
              </w:rPr>
              <w:t>1,63637500%</w:t>
            </w:r>
          </w:p>
        </w:tc>
        <w:tc>
          <w:tcPr>
            <w:tcW w:w="288" w:type="dxa"/>
          </w:tcPr>
          <w:p w14:paraId="60BF004F" w14:textId="77777777" w:rsidR="00F65BCA" w:rsidRDefault="00F65BCA">
            <w:pPr>
              <w:pStyle w:val="TableParagraph"/>
              <w:rPr>
                <w:rFonts w:ascii="Calibri"/>
                <w:sz w:val="2"/>
              </w:rPr>
            </w:pPr>
          </w:p>
          <w:p w14:paraId="1A7BC61F" w14:textId="77777777" w:rsidR="00F65BCA" w:rsidRDefault="00216117">
            <w:pPr>
              <w:pStyle w:val="TableParagraph"/>
              <w:ind w:left="24" w:right="24"/>
              <w:jc w:val="center"/>
              <w:rPr>
                <w:sz w:val="3"/>
              </w:rPr>
            </w:pPr>
            <w:r>
              <w:rPr>
                <w:w w:val="105"/>
                <w:sz w:val="3"/>
              </w:rPr>
              <w:t>1,63637500%</w:t>
            </w:r>
          </w:p>
        </w:tc>
        <w:tc>
          <w:tcPr>
            <w:tcW w:w="288" w:type="dxa"/>
          </w:tcPr>
          <w:p w14:paraId="196C4A90" w14:textId="77777777" w:rsidR="00F65BCA" w:rsidRDefault="00F65BCA">
            <w:pPr>
              <w:pStyle w:val="TableParagraph"/>
              <w:rPr>
                <w:rFonts w:ascii="Calibri"/>
                <w:sz w:val="2"/>
              </w:rPr>
            </w:pPr>
          </w:p>
          <w:p w14:paraId="6A752BBC" w14:textId="77777777" w:rsidR="00F65BCA" w:rsidRDefault="00216117">
            <w:pPr>
              <w:pStyle w:val="TableParagraph"/>
              <w:ind w:left="24" w:right="24"/>
              <w:jc w:val="center"/>
              <w:rPr>
                <w:sz w:val="3"/>
              </w:rPr>
            </w:pPr>
            <w:r>
              <w:rPr>
                <w:w w:val="105"/>
                <w:sz w:val="3"/>
              </w:rPr>
              <w:t>1,50546500%</w:t>
            </w:r>
          </w:p>
        </w:tc>
        <w:tc>
          <w:tcPr>
            <w:tcW w:w="288" w:type="dxa"/>
          </w:tcPr>
          <w:p w14:paraId="2C1BB8B2" w14:textId="77777777" w:rsidR="00F65BCA" w:rsidRDefault="00F65BCA">
            <w:pPr>
              <w:pStyle w:val="TableParagraph"/>
              <w:rPr>
                <w:rFonts w:ascii="Calibri"/>
                <w:sz w:val="2"/>
              </w:rPr>
            </w:pPr>
          </w:p>
          <w:p w14:paraId="3E893FA2" w14:textId="77777777" w:rsidR="00F65BCA" w:rsidRDefault="00216117">
            <w:pPr>
              <w:pStyle w:val="TableParagraph"/>
              <w:ind w:left="24" w:right="24"/>
              <w:jc w:val="center"/>
              <w:rPr>
                <w:sz w:val="3"/>
              </w:rPr>
            </w:pPr>
            <w:r>
              <w:rPr>
                <w:w w:val="105"/>
                <w:sz w:val="3"/>
              </w:rPr>
              <w:t>1,44001000%</w:t>
            </w:r>
          </w:p>
        </w:tc>
        <w:tc>
          <w:tcPr>
            <w:tcW w:w="288" w:type="dxa"/>
          </w:tcPr>
          <w:p w14:paraId="325B01D2" w14:textId="77777777" w:rsidR="00F65BCA" w:rsidRDefault="00F65BCA">
            <w:pPr>
              <w:pStyle w:val="TableParagraph"/>
              <w:rPr>
                <w:rFonts w:ascii="Calibri"/>
                <w:sz w:val="2"/>
              </w:rPr>
            </w:pPr>
          </w:p>
          <w:p w14:paraId="68619234" w14:textId="77777777" w:rsidR="00F65BCA" w:rsidRDefault="00216117">
            <w:pPr>
              <w:pStyle w:val="TableParagraph"/>
              <w:ind w:left="24" w:right="24"/>
              <w:jc w:val="center"/>
              <w:rPr>
                <w:sz w:val="3"/>
              </w:rPr>
            </w:pPr>
            <w:r>
              <w:rPr>
                <w:w w:val="105"/>
                <w:sz w:val="3"/>
              </w:rPr>
              <w:t>1,30910000%</w:t>
            </w:r>
          </w:p>
        </w:tc>
        <w:tc>
          <w:tcPr>
            <w:tcW w:w="288" w:type="dxa"/>
          </w:tcPr>
          <w:p w14:paraId="0232C896" w14:textId="77777777" w:rsidR="00F65BCA" w:rsidRDefault="00F65BCA">
            <w:pPr>
              <w:pStyle w:val="TableParagraph"/>
              <w:rPr>
                <w:rFonts w:ascii="Calibri"/>
                <w:sz w:val="2"/>
              </w:rPr>
            </w:pPr>
          </w:p>
          <w:p w14:paraId="7145C0FC" w14:textId="77777777" w:rsidR="00F65BCA" w:rsidRDefault="00216117">
            <w:pPr>
              <w:pStyle w:val="TableParagraph"/>
              <w:ind w:left="47"/>
              <w:rPr>
                <w:sz w:val="3"/>
              </w:rPr>
            </w:pPr>
            <w:r>
              <w:rPr>
                <w:w w:val="105"/>
                <w:sz w:val="3"/>
              </w:rPr>
              <w:t>1,30910000%</w:t>
            </w:r>
          </w:p>
        </w:tc>
      </w:tr>
      <w:tr w:rsidR="00F65BCA" w14:paraId="6C332DF9" w14:textId="77777777">
        <w:trPr>
          <w:trHeight w:val="81"/>
        </w:trPr>
        <w:tc>
          <w:tcPr>
            <w:tcW w:w="526" w:type="dxa"/>
            <w:vMerge w:val="restart"/>
            <w:tcBorders>
              <w:top w:val="nil"/>
              <w:bottom w:val="nil"/>
            </w:tcBorders>
            <w:shd w:val="clear" w:color="auto" w:fill="FCE4D6"/>
          </w:tcPr>
          <w:p w14:paraId="33A5EA49" w14:textId="77777777" w:rsidR="00F65BCA" w:rsidRDefault="00F65BCA">
            <w:pPr>
              <w:pStyle w:val="TableParagraph"/>
              <w:rPr>
                <w:rFonts w:ascii="Times New Roman"/>
                <w:sz w:val="2"/>
              </w:rPr>
            </w:pPr>
          </w:p>
        </w:tc>
        <w:tc>
          <w:tcPr>
            <w:tcW w:w="732" w:type="dxa"/>
            <w:vMerge w:val="restart"/>
            <w:shd w:val="clear" w:color="auto" w:fill="FCE4D6"/>
          </w:tcPr>
          <w:p w14:paraId="7F19C8D5" w14:textId="77777777" w:rsidR="00F65BCA" w:rsidRDefault="00216117">
            <w:pPr>
              <w:pStyle w:val="TableParagraph"/>
              <w:spacing w:before="4" w:line="283" w:lineRule="auto"/>
              <w:ind w:left="4" w:right="18"/>
              <w:rPr>
                <w:sz w:val="3"/>
              </w:rPr>
            </w:pPr>
            <w:r>
              <w:rPr>
                <w:w w:val="105"/>
                <w:sz w:val="3"/>
              </w:rPr>
              <w:t>Avia; Belaz; DAF; Demag; Denis Rapier; Freightliner; Gaz; Ginaf; Hydros; Kamaz; Karosa; Kenworth; Liaz; Liebherr; MAN; Praga; Scania;</w:t>
            </w:r>
          </w:p>
          <w:p w14:paraId="1B3A9D2D" w14:textId="77777777" w:rsidR="00F65BCA" w:rsidRDefault="00216117">
            <w:pPr>
              <w:pStyle w:val="TableParagraph"/>
              <w:spacing w:line="21" w:lineRule="exact"/>
              <w:ind w:left="4"/>
              <w:rPr>
                <w:sz w:val="3"/>
              </w:rPr>
            </w:pPr>
            <w:r>
              <w:rPr>
                <w:w w:val="105"/>
                <w:sz w:val="3"/>
              </w:rPr>
              <w:t>Steyr; Tatra</w:t>
            </w:r>
          </w:p>
        </w:tc>
        <w:tc>
          <w:tcPr>
            <w:tcW w:w="958" w:type="dxa"/>
            <w:gridSpan w:val="2"/>
            <w:shd w:val="clear" w:color="auto" w:fill="FCE4D6"/>
          </w:tcPr>
          <w:p w14:paraId="32AC7C53" w14:textId="77777777" w:rsidR="00F65BCA" w:rsidRDefault="00F65BCA">
            <w:pPr>
              <w:pStyle w:val="TableParagraph"/>
              <w:rPr>
                <w:rFonts w:ascii="Calibri"/>
                <w:sz w:val="2"/>
              </w:rPr>
            </w:pPr>
          </w:p>
          <w:p w14:paraId="1E2A3FBD" w14:textId="77777777" w:rsidR="00F65BCA" w:rsidRDefault="00216117">
            <w:pPr>
              <w:pStyle w:val="TableParagraph"/>
              <w:ind w:left="1"/>
              <w:jc w:val="center"/>
              <w:rPr>
                <w:sz w:val="3"/>
              </w:rPr>
            </w:pPr>
            <w:r>
              <w:rPr>
                <w:w w:val="103"/>
                <w:sz w:val="3"/>
              </w:rPr>
              <w:t>-</w:t>
            </w:r>
          </w:p>
        </w:tc>
        <w:tc>
          <w:tcPr>
            <w:tcW w:w="576" w:type="dxa"/>
            <w:shd w:val="clear" w:color="auto" w:fill="FCE4D6"/>
          </w:tcPr>
          <w:p w14:paraId="55DC095B" w14:textId="77777777" w:rsidR="00F65BCA" w:rsidRDefault="00F65BCA">
            <w:pPr>
              <w:pStyle w:val="TableParagraph"/>
              <w:rPr>
                <w:rFonts w:ascii="Calibri"/>
                <w:sz w:val="2"/>
              </w:rPr>
            </w:pPr>
          </w:p>
          <w:p w14:paraId="755FBDC6" w14:textId="77777777" w:rsidR="00F65BCA" w:rsidRDefault="00216117">
            <w:pPr>
              <w:pStyle w:val="TableParagraph"/>
              <w:ind w:left="3"/>
              <w:jc w:val="center"/>
              <w:rPr>
                <w:sz w:val="3"/>
              </w:rPr>
            </w:pPr>
            <w:r>
              <w:rPr>
                <w:w w:val="103"/>
                <w:sz w:val="3"/>
              </w:rPr>
              <w:t>-</w:t>
            </w:r>
          </w:p>
        </w:tc>
        <w:tc>
          <w:tcPr>
            <w:tcW w:w="576" w:type="dxa"/>
            <w:shd w:val="clear" w:color="auto" w:fill="FCE4D6"/>
          </w:tcPr>
          <w:p w14:paraId="75004D56" w14:textId="77777777" w:rsidR="00F65BCA" w:rsidRDefault="00F65BCA">
            <w:pPr>
              <w:pStyle w:val="TableParagraph"/>
              <w:rPr>
                <w:rFonts w:ascii="Calibri"/>
                <w:sz w:val="2"/>
              </w:rPr>
            </w:pPr>
          </w:p>
          <w:p w14:paraId="27A3D88D" w14:textId="77777777" w:rsidR="00F65BCA" w:rsidRDefault="00216117">
            <w:pPr>
              <w:pStyle w:val="TableParagraph"/>
              <w:ind w:left="210"/>
              <w:rPr>
                <w:sz w:val="3"/>
              </w:rPr>
            </w:pPr>
            <w:r>
              <w:rPr>
                <w:w w:val="105"/>
                <w:sz w:val="3"/>
              </w:rPr>
              <w:t>0-12000 kg</w:t>
            </w:r>
          </w:p>
        </w:tc>
        <w:tc>
          <w:tcPr>
            <w:tcW w:w="50" w:type="dxa"/>
            <w:vMerge/>
            <w:tcBorders>
              <w:top w:val="nil"/>
              <w:bottom w:val="nil"/>
            </w:tcBorders>
          </w:tcPr>
          <w:p w14:paraId="53B759E3" w14:textId="77777777" w:rsidR="00F65BCA" w:rsidRDefault="00F65BCA">
            <w:pPr>
              <w:rPr>
                <w:sz w:val="2"/>
                <w:szCs w:val="2"/>
              </w:rPr>
            </w:pPr>
          </w:p>
        </w:tc>
        <w:tc>
          <w:tcPr>
            <w:tcW w:w="288" w:type="dxa"/>
          </w:tcPr>
          <w:p w14:paraId="3C0029F0" w14:textId="77777777" w:rsidR="00F65BCA" w:rsidRDefault="00F65BCA">
            <w:pPr>
              <w:pStyle w:val="TableParagraph"/>
              <w:rPr>
                <w:rFonts w:ascii="Calibri"/>
                <w:sz w:val="2"/>
              </w:rPr>
            </w:pPr>
          </w:p>
          <w:p w14:paraId="6D55B92C" w14:textId="77777777" w:rsidR="00F65BCA" w:rsidRDefault="00216117">
            <w:pPr>
              <w:pStyle w:val="TableParagraph"/>
              <w:ind w:left="24" w:right="24"/>
              <w:jc w:val="center"/>
              <w:rPr>
                <w:sz w:val="3"/>
              </w:rPr>
            </w:pPr>
            <w:r>
              <w:rPr>
                <w:w w:val="105"/>
                <w:sz w:val="3"/>
              </w:rPr>
              <w:t>2,01400000%</w:t>
            </w:r>
          </w:p>
        </w:tc>
        <w:tc>
          <w:tcPr>
            <w:tcW w:w="288" w:type="dxa"/>
          </w:tcPr>
          <w:p w14:paraId="0CADB6C9" w14:textId="77777777" w:rsidR="00F65BCA" w:rsidRDefault="00F65BCA">
            <w:pPr>
              <w:pStyle w:val="TableParagraph"/>
              <w:rPr>
                <w:rFonts w:ascii="Calibri"/>
                <w:sz w:val="2"/>
              </w:rPr>
            </w:pPr>
          </w:p>
          <w:p w14:paraId="7F4A02C6" w14:textId="77777777" w:rsidR="00F65BCA" w:rsidRDefault="00216117">
            <w:pPr>
              <w:pStyle w:val="TableParagraph"/>
              <w:ind w:left="24" w:right="24"/>
              <w:jc w:val="center"/>
              <w:rPr>
                <w:sz w:val="3"/>
              </w:rPr>
            </w:pPr>
            <w:r>
              <w:rPr>
                <w:w w:val="105"/>
                <w:sz w:val="3"/>
              </w:rPr>
              <w:t>1,80200000%</w:t>
            </w:r>
          </w:p>
        </w:tc>
        <w:tc>
          <w:tcPr>
            <w:tcW w:w="288" w:type="dxa"/>
          </w:tcPr>
          <w:p w14:paraId="55596A41" w14:textId="77777777" w:rsidR="00F65BCA" w:rsidRDefault="00F65BCA">
            <w:pPr>
              <w:pStyle w:val="TableParagraph"/>
              <w:rPr>
                <w:rFonts w:ascii="Calibri"/>
                <w:sz w:val="2"/>
              </w:rPr>
            </w:pPr>
          </w:p>
          <w:p w14:paraId="624E110F" w14:textId="77777777" w:rsidR="00F65BCA" w:rsidRDefault="00216117">
            <w:pPr>
              <w:pStyle w:val="TableParagraph"/>
              <w:ind w:left="47"/>
              <w:rPr>
                <w:sz w:val="3"/>
              </w:rPr>
            </w:pPr>
            <w:r>
              <w:rPr>
                <w:w w:val="105"/>
                <w:sz w:val="3"/>
              </w:rPr>
              <w:t>1,80200000%</w:t>
            </w:r>
          </w:p>
        </w:tc>
        <w:tc>
          <w:tcPr>
            <w:tcW w:w="288" w:type="dxa"/>
          </w:tcPr>
          <w:p w14:paraId="67F1574B" w14:textId="77777777" w:rsidR="00F65BCA" w:rsidRDefault="00F65BCA">
            <w:pPr>
              <w:pStyle w:val="TableParagraph"/>
              <w:rPr>
                <w:rFonts w:ascii="Calibri"/>
                <w:sz w:val="2"/>
              </w:rPr>
            </w:pPr>
          </w:p>
          <w:p w14:paraId="30AED933" w14:textId="77777777" w:rsidR="00F65BCA" w:rsidRDefault="00216117">
            <w:pPr>
              <w:pStyle w:val="TableParagraph"/>
              <w:ind w:left="24" w:right="24"/>
              <w:jc w:val="center"/>
              <w:rPr>
                <w:sz w:val="3"/>
              </w:rPr>
            </w:pPr>
            <w:r>
              <w:rPr>
                <w:w w:val="105"/>
                <w:sz w:val="3"/>
              </w:rPr>
              <w:t>1,64300000%</w:t>
            </w:r>
          </w:p>
        </w:tc>
        <w:tc>
          <w:tcPr>
            <w:tcW w:w="288" w:type="dxa"/>
          </w:tcPr>
          <w:p w14:paraId="3ECF4428" w14:textId="77777777" w:rsidR="00F65BCA" w:rsidRDefault="00F65BCA">
            <w:pPr>
              <w:pStyle w:val="TableParagraph"/>
              <w:rPr>
                <w:rFonts w:ascii="Calibri"/>
                <w:sz w:val="2"/>
              </w:rPr>
            </w:pPr>
          </w:p>
          <w:p w14:paraId="30768913" w14:textId="77777777" w:rsidR="00F65BCA" w:rsidRDefault="00216117">
            <w:pPr>
              <w:pStyle w:val="TableParagraph"/>
              <w:ind w:left="47"/>
              <w:rPr>
                <w:sz w:val="3"/>
              </w:rPr>
            </w:pPr>
            <w:r>
              <w:rPr>
                <w:w w:val="105"/>
                <w:sz w:val="3"/>
              </w:rPr>
              <w:t>1,64300000%</w:t>
            </w:r>
          </w:p>
        </w:tc>
        <w:tc>
          <w:tcPr>
            <w:tcW w:w="288" w:type="dxa"/>
          </w:tcPr>
          <w:p w14:paraId="4E756FE0" w14:textId="77777777" w:rsidR="00F65BCA" w:rsidRDefault="00F65BCA">
            <w:pPr>
              <w:pStyle w:val="TableParagraph"/>
              <w:rPr>
                <w:rFonts w:ascii="Calibri"/>
                <w:sz w:val="2"/>
              </w:rPr>
            </w:pPr>
          </w:p>
          <w:p w14:paraId="0A51B347" w14:textId="77777777" w:rsidR="00F65BCA" w:rsidRDefault="00216117">
            <w:pPr>
              <w:pStyle w:val="TableParagraph"/>
              <w:ind w:left="24" w:right="24"/>
              <w:jc w:val="center"/>
              <w:rPr>
                <w:sz w:val="3"/>
              </w:rPr>
            </w:pPr>
            <w:r>
              <w:rPr>
                <w:w w:val="105"/>
                <w:sz w:val="3"/>
              </w:rPr>
              <w:t>1,48400000%</w:t>
            </w:r>
          </w:p>
        </w:tc>
        <w:tc>
          <w:tcPr>
            <w:tcW w:w="288" w:type="dxa"/>
          </w:tcPr>
          <w:p w14:paraId="7B576888" w14:textId="77777777" w:rsidR="00F65BCA" w:rsidRDefault="00F65BCA">
            <w:pPr>
              <w:pStyle w:val="TableParagraph"/>
              <w:rPr>
                <w:rFonts w:ascii="Calibri"/>
                <w:sz w:val="2"/>
              </w:rPr>
            </w:pPr>
          </w:p>
          <w:p w14:paraId="63521D05" w14:textId="77777777" w:rsidR="00F65BCA" w:rsidRDefault="00216117">
            <w:pPr>
              <w:pStyle w:val="TableParagraph"/>
              <w:ind w:left="24" w:right="24"/>
              <w:jc w:val="center"/>
              <w:rPr>
                <w:sz w:val="3"/>
              </w:rPr>
            </w:pPr>
            <w:r>
              <w:rPr>
                <w:w w:val="105"/>
                <w:sz w:val="3"/>
              </w:rPr>
              <w:t>1,48400000%</w:t>
            </w:r>
          </w:p>
        </w:tc>
        <w:tc>
          <w:tcPr>
            <w:tcW w:w="288" w:type="dxa"/>
          </w:tcPr>
          <w:p w14:paraId="60302D25" w14:textId="77777777" w:rsidR="00F65BCA" w:rsidRDefault="00F65BCA">
            <w:pPr>
              <w:pStyle w:val="TableParagraph"/>
              <w:rPr>
                <w:rFonts w:ascii="Calibri"/>
                <w:sz w:val="2"/>
              </w:rPr>
            </w:pPr>
          </w:p>
          <w:p w14:paraId="3340C699" w14:textId="77777777" w:rsidR="00F65BCA" w:rsidRDefault="00216117">
            <w:pPr>
              <w:pStyle w:val="TableParagraph"/>
              <w:ind w:left="47"/>
              <w:rPr>
                <w:sz w:val="3"/>
              </w:rPr>
            </w:pPr>
            <w:r>
              <w:rPr>
                <w:w w:val="105"/>
                <w:sz w:val="3"/>
              </w:rPr>
              <w:t>1,32500000%</w:t>
            </w:r>
          </w:p>
        </w:tc>
        <w:tc>
          <w:tcPr>
            <w:tcW w:w="288" w:type="dxa"/>
          </w:tcPr>
          <w:p w14:paraId="570FB379" w14:textId="77777777" w:rsidR="00F65BCA" w:rsidRDefault="00F65BCA">
            <w:pPr>
              <w:pStyle w:val="TableParagraph"/>
              <w:rPr>
                <w:rFonts w:ascii="Calibri"/>
                <w:sz w:val="2"/>
              </w:rPr>
            </w:pPr>
          </w:p>
          <w:p w14:paraId="10650546" w14:textId="77777777" w:rsidR="00F65BCA" w:rsidRDefault="00216117">
            <w:pPr>
              <w:pStyle w:val="TableParagraph"/>
              <w:ind w:left="24" w:right="24"/>
              <w:jc w:val="center"/>
              <w:rPr>
                <w:sz w:val="3"/>
              </w:rPr>
            </w:pPr>
            <w:r>
              <w:rPr>
                <w:w w:val="105"/>
                <w:sz w:val="3"/>
              </w:rPr>
              <w:t>1,32500000%</w:t>
            </w:r>
          </w:p>
        </w:tc>
        <w:tc>
          <w:tcPr>
            <w:tcW w:w="288" w:type="dxa"/>
          </w:tcPr>
          <w:p w14:paraId="0E87F984" w14:textId="77777777" w:rsidR="00F65BCA" w:rsidRDefault="00F65BCA">
            <w:pPr>
              <w:pStyle w:val="TableParagraph"/>
              <w:rPr>
                <w:rFonts w:ascii="Calibri"/>
                <w:sz w:val="2"/>
              </w:rPr>
            </w:pPr>
          </w:p>
          <w:p w14:paraId="117C0171" w14:textId="77777777" w:rsidR="00F65BCA" w:rsidRDefault="00216117">
            <w:pPr>
              <w:pStyle w:val="TableParagraph"/>
              <w:ind w:left="24" w:right="24"/>
              <w:jc w:val="center"/>
              <w:rPr>
                <w:sz w:val="3"/>
              </w:rPr>
            </w:pPr>
            <w:r>
              <w:rPr>
                <w:w w:val="105"/>
                <w:sz w:val="3"/>
              </w:rPr>
              <w:t>1,21900000%</w:t>
            </w:r>
          </w:p>
        </w:tc>
        <w:tc>
          <w:tcPr>
            <w:tcW w:w="288" w:type="dxa"/>
          </w:tcPr>
          <w:p w14:paraId="5D500046" w14:textId="77777777" w:rsidR="00F65BCA" w:rsidRDefault="00F65BCA">
            <w:pPr>
              <w:pStyle w:val="TableParagraph"/>
              <w:rPr>
                <w:rFonts w:ascii="Calibri"/>
                <w:sz w:val="2"/>
              </w:rPr>
            </w:pPr>
          </w:p>
          <w:p w14:paraId="61276E6B" w14:textId="77777777" w:rsidR="00F65BCA" w:rsidRDefault="00216117">
            <w:pPr>
              <w:pStyle w:val="TableParagraph"/>
              <w:ind w:left="24" w:right="24"/>
              <w:jc w:val="center"/>
              <w:rPr>
                <w:sz w:val="3"/>
              </w:rPr>
            </w:pPr>
            <w:r>
              <w:rPr>
                <w:w w:val="105"/>
                <w:sz w:val="3"/>
              </w:rPr>
              <w:t>1,16600000%</w:t>
            </w:r>
          </w:p>
        </w:tc>
        <w:tc>
          <w:tcPr>
            <w:tcW w:w="288" w:type="dxa"/>
          </w:tcPr>
          <w:p w14:paraId="40C3FBC7" w14:textId="77777777" w:rsidR="00F65BCA" w:rsidRDefault="00F65BCA">
            <w:pPr>
              <w:pStyle w:val="TableParagraph"/>
              <w:rPr>
                <w:rFonts w:ascii="Calibri"/>
                <w:sz w:val="2"/>
              </w:rPr>
            </w:pPr>
          </w:p>
          <w:p w14:paraId="399ED344" w14:textId="77777777" w:rsidR="00F65BCA" w:rsidRDefault="00216117">
            <w:pPr>
              <w:pStyle w:val="TableParagraph"/>
              <w:ind w:left="24" w:right="24"/>
              <w:jc w:val="center"/>
              <w:rPr>
                <w:sz w:val="3"/>
              </w:rPr>
            </w:pPr>
            <w:r>
              <w:rPr>
                <w:w w:val="105"/>
                <w:sz w:val="3"/>
              </w:rPr>
              <w:t>1,06000000%</w:t>
            </w:r>
          </w:p>
        </w:tc>
        <w:tc>
          <w:tcPr>
            <w:tcW w:w="288" w:type="dxa"/>
          </w:tcPr>
          <w:p w14:paraId="1D1BA69B" w14:textId="77777777" w:rsidR="00F65BCA" w:rsidRDefault="00F65BCA">
            <w:pPr>
              <w:pStyle w:val="TableParagraph"/>
              <w:rPr>
                <w:rFonts w:ascii="Calibri"/>
                <w:sz w:val="2"/>
              </w:rPr>
            </w:pPr>
          </w:p>
          <w:p w14:paraId="48D3460D" w14:textId="77777777" w:rsidR="00F65BCA" w:rsidRDefault="00216117">
            <w:pPr>
              <w:pStyle w:val="TableParagraph"/>
              <w:ind w:left="47"/>
              <w:rPr>
                <w:sz w:val="3"/>
              </w:rPr>
            </w:pPr>
            <w:r>
              <w:rPr>
                <w:w w:val="105"/>
                <w:sz w:val="3"/>
              </w:rPr>
              <w:t>1,06000000%</w:t>
            </w:r>
          </w:p>
        </w:tc>
      </w:tr>
      <w:tr w:rsidR="00F65BCA" w14:paraId="62589501" w14:textId="77777777">
        <w:trPr>
          <w:trHeight w:val="81"/>
        </w:trPr>
        <w:tc>
          <w:tcPr>
            <w:tcW w:w="526" w:type="dxa"/>
            <w:vMerge/>
            <w:tcBorders>
              <w:top w:val="nil"/>
              <w:bottom w:val="nil"/>
            </w:tcBorders>
            <w:shd w:val="clear" w:color="auto" w:fill="FCE4D6"/>
          </w:tcPr>
          <w:p w14:paraId="02778DB7" w14:textId="77777777" w:rsidR="00F65BCA" w:rsidRDefault="00F65BCA">
            <w:pPr>
              <w:rPr>
                <w:sz w:val="2"/>
                <w:szCs w:val="2"/>
              </w:rPr>
            </w:pPr>
          </w:p>
        </w:tc>
        <w:tc>
          <w:tcPr>
            <w:tcW w:w="732" w:type="dxa"/>
            <w:vMerge/>
            <w:tcBorders>
              <w:top w:val="nil"/>
            </w:tcBorders>
            <w:shd w:val="clear" w:color="auto" w:fill="FCE4D6"/>
          </w:tcPr>
          <w:p w14:paraId="3F845A75" w14:textId="77777777" w:rsidR="00F65BCA" w:rsidRDefault="00F65BCA">
            <w:pPr>
              <w:rPr>
                <w:sz w:val="2"/>
                <w:szCs w:val="2"/>
              </w:rPr>
            </w:pPr>
          </w:p>
        </w:tc>
        <w:tc>
          <w:tcPr>
            <w:tcW w:w="958" w:type="dxa"/>
            <w:gridSpan w:val="2"/>
            <w:shd w:val="clear" w:color="auto" w:fill="FCE4D6"/>
          </w:tcPr>
          <w:p w14:paraId="538EFE17" w14:textId="77777777" w:rsidR="00F65BCA" w:rsidRDefault="00F65BCA">
            <w:pPr>
              <w:pStyle w:val="TableParagraph"/>
              <w:rPr>
                <w:rFonts w:ascii="Calibri"/>
                <w:sz w:val="2"/>
              </w:rPr>
            </w:pPr>
          </w:p>
          <w:p w14:paraId="2FB6A30E" w14:textId="77777777" w:rsidR="00F65BCA" w:rsidRDefault="00216117">
            <w:pPr>
              <w:pStyle w:val="TableParagraph"/>
              <w:ind w:left="1"/>
              <w:jc w:val="center"/>
              <w:rPr>
                <w:sz w:val="3"/>
              </w:rPr>
            </w:pPr>
            <w:r>
              <w:rPr>
                <w:w w:val="103"/>
                <w:sz w:val="3"/>
              </w:rPr>
              <w:t>-</w:t>
            </w:r>
          </w:p>
        </w:tc>
        <w:tc>
          <w:tcPr>
            <w:tcW w:w="576" w:type="dxa"/>
            <w:shd w:val="clear" w:color="auto" w:fill="FCE4D6"/>
          </w:tcPr>
          <w:p w14:paraId="0C9A1CBE" w14:textId="77777777" w:rsidR="00F65BCA" w:rsidRDefault="00F65BCA">
            <w:pPr>
              <w:pStyle w:val="TableParagraph"/>
              <w:rPr>
                <w:rFonts w:ascii="Calibri"/>
                <w:sz w:val="2"/>
              </w:rPr>
            </w:pPr>
          </w:p>
          <w:p w14:paraId="0F4D5189" w14:textId="77777777" w:rsidR="00F65BCA" w:rsidRDefault="00216117">
            <w:pPr>
              <w:pStyle w:val="TableParagraph"/>
              <w:ind w:left="3"/>
              <w:jc w:val="center"/>
              <w:rPr>
                <w:sz w:val="3"/>
              </w:rPr>
            </w:pPr>
            <w:r>
              <w:rPr>
                <w:w w:val="103"/>
                <w:sz w:val="3"/>
              </w:rPr>
              <w:t>-</w:t>
            </w:r>
          </w:p>
        </w:tc>
        <w:tc>
          <w:tcPr>
            <w:tcW w:w="576" w:type="dxa"/>
            <w:shd w:val="clear" w:color="auto" w:fill="FCE4D6"/>
          </w:tcPr>
          <w:p w14:paraId="243DA433" w14:textId="77777777" w:rsidR="00F65BCA" w:rsidRDefault="00F65BCA">
            <w:pPr>
              <w:pStyle w:val="TableParagraph"/>
              <w:rPr>
                <w:rFonts w:ascii="Calibri"/>
                <w:sz w:val="2"/>
              </w:rPr>
            </w:pPr>
          </w:p>
          <w:p w14:paraId="6BD1118A" w14:textId="77777777" w:rsidR="00F65BCA" w:rsidRDefault="00216117">
            <w:pPr>
              <w:pStyle w:val="TableParagraph"/>
              <w:ind w:left="212"/>
              <w:rPr>
                <w:sz w:val="3"/>
              </w:rPr>
            </w:pPr>
            <w:r>
              <w:rPr>
                <w:w w:val="105"/>
                <w:sz w:val="3"/>
              </w:rPr>
              <w:t>&gt;12000 kg</w:t>
            </w:r>
          </w:p>
        </w:tc>
        <w:tc>
          <w:tcPr>
            <w:tcW w:w="50" w:type="dxa"/>
            <w:vMerge/>
            <w:tcBorders>
              <w:top w:val="nil"/>
              <w:bottom w:val="nil"/>
            </w:tcBorders>
          </w:tcPr>
          <w:p w14:paraId="4E9AD33E" w14:textId="77777777" w:rsidR="00F65BCA" w:rsidRDefault="00F65BCA">
            <w:pPr>
              <w:rPr>
                <w:sz w:val="2"/>
                <w:szCs w:val="2"/>
              </w:rPr>
            </w:pPr>
          </w:p>
        </w:tc>
        <w:tc>
          <w:tcPr>
            <w:tcW w:w="288" w:type="dxa"/>
          </w:tcPr>
          <w:p w14:paraId="24A6D1F5" w14:textId="77777777" w:rsidR="00F65BCA" w:rsidRDefault="00F65BCA">
            <w:pPr>
              <w:pStyle w:val="TableParagraph"/>
              <w:rPr>
                <w:rFonts w:ascii="Calibri"/>
                <w:sz w:val="2"/>
              </w:rPr>
            </w:pPr>
          </w:p>
          <w:p w14:paraId="2ED17514" w14:textId="77777777" w:rsidR="00F65BCA" w:rsidRDefault="00216117">
            <w:pPr>
              <w:pStyle w:val="TableParagraph"/>
              <w:ind w:left="24" w:right="24"/>
              <w:jc w:val="center"/>
              <w:rPr>
                <w:sz w:val="3"/>
              </w:rPr>
            </w:pPr>
            <w:r>
              <w:rPr>
                <w:w w:val="105"/>
                <w:sz w:val="3"/>
              </w:rPr>
              <w:t>2,48729000%</w:t>
            </w:r>
          </w:p>
        </w:tc>
        <w:tc>
          <w:tcPr>
            <w:tcW w:w="288" w:type="dxa"/>
          </w:tcPr>
          <w:p w14:paraId="34854846" w14:textId="77777777" w:rsidR="00F65BCA" w:rsidRDefault="00F65BCA">
            <w:pPr>
              <w:pStyle w:val="TableParagraph"/>
              <w:rPr>
                <w:rFonts w:ascii="Calibri"/>
                <w:sz w:val="2"/>
              </w:rPr>
            </w:pPr>
          </w:p>
          <w:p w14:paraId="78326E42" w14:textId="77777777" w:rsidR="00F65BCA" w:rsidRDefault="00216117">
            <w:pPr>
              <w:pStyle w:val="TableParagraph"/>
              <w:ind w:left="24" w:right="24"/>
              <w:jc w:val="center"/>
              <w:rPr>
                <w:sz w:val="3"/>
              </w:rPr>
            </w:pPr>
            <w:r>
              <w:rPr>
                <w:w w:val="105"/>
                <w:sz w:val="3"/>
              </w:rPr>
              <w:t>2,22547000%</w:t>
            </w:r>
          </w:p>
        </w:tc>
        <w:tc>
          <w:tcPr>
            <w:tcW w:w="288" w:type="dxa"/>
          </w:tcPr>
          <w:p w14:paraId="41BCC918" w14:textId="77777777" w:rsidR="00F65BCA" w:rsidRDefault="00F65BCA">
            <w:pPr>
              <w:pStyle w:val="TableParagraph"/>
              <w:rPr>
                <w:rFonts w:ascii="Calibri"/>
                <w:sz w:val="2"/>
              </w:rPr>
            </w:pPr>
          </w:p>
          <w:p w14:paraId="027B85F3" w14:textId="77777777" w:rsidR="00F65BCA" w:rsidRDefault="00216117">
            <w:pPr>
              <w:pStyle w:val="TableParagraph"/>
              <w:ind w:left="47"/>
              <w:rPr>
                <w:sz w:val="3"/>
              </w:rPr>
            </w:pPr>
            <w:r>
              <w:rPr>
                <w:w w:val="105"/>
                <w:sz w:val="3"/>
              </w:rPr>
              <w:t>2,22547000%</w:t>
            </w:r>
          </w:p>
        </w:tc>
        <w:tc>
          <w:tcPr>
            <w:tcW w:w="288" w:type="dxa"/>
          </w:tcPr>
          <w:p w14:paraId="57CE61CA" w14:textId="77777777" w:rsidR="00F65BCA" w:rsidRDefault="00F65BCA">
            <w:pPr>
              <w:pStyle w:val="TableParagraph"/>
              <w:rPr>
                <w:rFonts w:ascii="Calibri"/>
                <w:sz w:val="2"/>
              </w:rPr>
            </w:pPr>
          </w:p>
          <w:p w14:paraId="238A6A2A" w14:textId="77777777" w:rsidR="00F65BCA" w:rsidRDefault="00216117">
            <w:pPr>
              <w:pStyle w:val="TableParagraph"/>
              <w:ind w:left="24" w:right="24"/>
              <w:jc w:val="center"/>
              <w:rPr>
                <w:sz w:val="3"/>
              </w:rPr>
            </w:pPr>
            <w:r>
              <w:rPr>
                <w:w w:val="105"/>
                <w:sz w:val="3"/>
              </w:rPr>
              <w:t>2,02910500%</w:t>
            </w:r>
          </w:p>
        </w:tc>
        <w:tc>
          <w:tcPr>
            <w:tcW w:w="288" w:type="dxa"/>
          </w:tcPr>
          <w:p w14:paraId="10178755" w14:textId="77777777" w:rsidR="00F65BCA" w:rsidRDefault="00F65BCA">
            <w:pPr>
              <w:pStyle w:val="TableParagraph"/>
              <w:rPr>
                <w:rFonts w:ascii="Calibri"/>
                <w:sz w:val="2"/>
              </w:rPr>
            </w:pPr>
          </w:p>
          <w:p w14:paraId="71AF7296" w14:textId="77777777" w:rsidR="00F65BCA" w:rsidRDefault="00216117">
            <w:pPr>
              <w:pStyle w:val="TableParagraph"/>
              <w:ind w:left="47"/>
              <w:rPr>
                <w:sz w:val="3"/>
              </w:rPr>
            </w:pPr>
            <w:r>
              <w:rPr>
                <w:w w:val="105"/>
                <w:sz w:val="3"/>
              </w:rPr>
              <w:t>2,02910500%</w:t>
            </w:r>
          </w:p>
        </w:tc>
        <w:tc>
          <w:tcPr>
            <w:tcW w:w="288" w:type="dxa"/>
          </w:tcPr>
          <w:p w14:paraId="72CBD2DC" w14:textId="77777777" w:rsidR="00F65BCA" w:rsidRDefault="00F65BCA">
            <w:pPr>
              <w:pStyle w:val="TableParagraph"/>
              <w:rPr>
                <w:rFonts w:ascii="Calibri"/>
                <w:sz w:val="2"/>
              </w:rPr>
            </w:pPr>
          </w:p>
          <w:p w14:paraId="10653132" w14:textId="77777777" w:rsidR="00F65BCA" w:rsidRDefault="00216117">
            <w:pPr>
              <w:pStyle w:val="TableParagraph"/>
              <w:ind w:left="24" w:right="24"/>
              <w:jc w:val="center"/>
              <w:rPr>
                <w:sz w:val="3"/>
              </w:rPr>
            </w:pPr>
            <w:r>
              <w:rPr>
                <w:w w:val="105"/>
                <w:sz w:val="3"/>
              </w:rPr>
              <w:t>1,83274000%</w:t>
            </w:r>
          </w:p>
        </w:tc>
        <w:tc>
          <w:tcPr>
            <w:tcW w:w="288" w:type="dxa"/>
          </w:tcPr>
          <w:p w14:paraId="151CF49A" w14:textId="77777777" w:rsidR="00F65BCA" w:rsidRDefault="00F65BCA">
            <w:pPr>
              <w:pStyle w:val="TableParagraph"/>
              <w:rPr>
                <w:rFonts w:ascii="Calibri"/>
                <w:sz w:val="2"/>
              </w:rPr>
            </w:pPr>
          </w:p>
          <w:p w14:paraId="12E07C95" w14:textId="77777777" w:rsidR="00F65BCA" w:rsidRDefault="00216117">
            <w:pPr>
              <w:pStyle w:val="TableParagraph"/>
              <w:ind w:left="24" w:right="24"/>
              <w:jc w:val="center"/>
              <w:rPr>
                <w:sz w:val="3"/>
              </w:rPr>
            </w:pPr>
            <w:r>
              <w:rPr>
                <w:w w:val="105"/>
                <w:sz w:val="3"/>
              </w:rPr>
              <w:t>1,83274000%</w:t>
            </w:r>
          </w:p>
        </w:tc>
        <w:tc>
          <w:tcPr>
            <w:tcW w:w="288" w:type="dxa"/>
          </w:tcPr>
          <w:p w14:paraId="4918224A" w14:textId="77777777" w:rsidR="00F65BCA" w:rsidRDefault="00F65BCA">
            <w:pPr>
              <w:pStyle w:val="TableParagraph"/>
              <w:rPr>
                <w:rFonts w:ascii="Calibri"/>
                <w:sz w:val="2"/>
              </w:rPr>
            </w:pPr>
          </w:p>
          <w:p w14:paraId="3DE859A2" w14:textId="77777777" w:rsidR="00F65BCA" w:rsidRDefault="00216117">
            <w:pPr>
              <w:pStyle w:val="TableParagraph"/>
              <w:ind w:left="47"/>
              <w:rPr>
                <w:sz w:val="3"/>
              </w:rPr>
            </w:pPr>
            <w:r>
              <w:rPr>
                <w:w w:val="105"/>
                <w:sz w:val="3"/>
              </w:rPr>
              <w:t>1,63637500%</w:t>
            </w:r>
          </w:p>
        </w:tc>
        <w:tc>
          <w:tcPr>
            <w:tcW w:w="288" w:type="dxa"/>
          </w:tcPr>
          <w:p w14:paraId="15C37325" w14:textId="77777777" w:rsidR="00F65BCA" w:rsidRDefault="00F65BCA">
            <w:pPr>
              <w:pStyle w:val="TableParagraph"/>
              <w:rPr>
                <w:rFonts w:ascii="Calibri"/>
                <w:sz w:val="2"/>
              </w:rPr>
            </w:pPr>
          </w:p>
          <w:p w14:paraId="06251D60" w14:textId="77777777" w:rsidR="00F65BCA" w:rsidRDefault="00216117">
            <w:pPr>
              <w:pStyle w:val="TableParagraph"/>
              <w:ind w:left="24" w:right="24"/>
              <w:jc w:val="center"/>
              <w:rPr>
                <w:sz w:val="3"/>
              </w:rPr>
            </w:pPr>
            <w:r>
              <w:rPr>
                <w:w w:val="105"/>
                <w:sz w:val="3"/>
              </w:rPr>
              <w:t>1,63637500%</w:t>
            </w:r>
          </w:p>
        </w:tc>
        <w:tc>
          <w:tcPr>
            <w:tcW w:w="288" w:type="dxa"/>
          </w:tcPr>
          <w:p w14:paraId="58E49190" w14:textId="77777777" w:rsidR="00F65BCA" w:rsidRDefault="00F65BCA">
            <w:pPr>
              <w:pStyle w:val="TableParagraph"/>
              <w:rPr>
                <w:rFonts w:ascii="Calibri"/>
                <w:sz w:val="2"/>
              </w:rPr>
            </w:pPr>
          </w:p>
          <w:p w14:paraId="53B1292A" w14:textId="77777777" w:rsidR="00F65BCA" w:rsidRDefault="00216117">
            <w:pPr>
              <w:pStyle w:val="TableParagraph"/>
              <w:ind w:left="24" w:right="24"/>
              <w:jc w:val="center"/>
              <w:rPr>
                <w:sz w:val="3"/>
              </w:rPr>
            </w:pPr>
            <w:r>
              <w:rPr>
                <w:w w:val="105"/>
                <w:sz w:val="3"/>
              </w:rPr>
              <w:t>1,50546500%</w:t>
            </w:r>
          </w:p>
        </w:tc>
        <w:tc>
          <w:tcPr>
            <w:tcW w:w="288" w:type="dxa"/>
          </w:tcPr>
          <w:p w14:paraId="4E8500A8" w14:textId="77777777" w:rsidR="00F65BCA" w:rsidRDefault="00F65BCA">
            <w:pPr>
              <w:pStyle w:val="TableParagraph"/>
              <w:rPr>
                <w:rFonts w:ascii="Calibri"/>
                <w:sz w:val="2"/>
              </w:rPr>
            </w:pPr>
          </w:p>
          <w:p w14:paraId="5F77030C" w14:textId="77777777" w:rsidR="00F65BCA" w:rsidRDefault="00216117">
            <w:pPr>
              <w:pStyle w:val="TableParagraph"/>
              <w:ind w:left="24" w:right="24"/>
              <w:jc w:val="center"/>
              <w:rPr>
                <w:sz w:val="3"/>
              </w:rPr>
            </w:pPr>
            <w:r>
              <w:rPr>
                <w:w w:val="105"/>
                <w:sz w:val="3"/>
              </w:rPr>
              <w:t>1,44001000%</w:t>
            </w:r>
          </w:p>
        </w:tc>
        <w:tc>
          <w:tcPr>
            <w:tcW w:w="288" w:type="dxa"/>
          </w:tcPr>
          <w:p w14:paraId="73BCD147" w14:textId="77777777" w:rsidR="00F65BCA" w:rsidRDefault="00F65BCA">
            <w:pPr>
              <w:pStyle w:val="TableParagraph"/>
              <w:rPr>
                <w:rFonts w:ascii="Calibri"/>
                <w:sz w:val="2"/>
              </w:rPr>
            </w:pPr>
          </w:p>
          <w:p w14:paraId="2DB57C8B" w14:textId="77777777" w:rsidR="00F65BCA" w:rsidRDefault="00216117">
            <w:pPr>
              <w:pStyle w:val="TableParagraph"/>
              <w:ind w:left="24" w:right="24"/>
              <w:jc w:val="center"/>
              <w:rPr>
                <w:sz w:val="3"/>
              </w:rPr>
            </w:pPr>
            <w:r>
              <w:rPr>
                <w:w w:val="105"/>
                <w:sz w:val="3"/>
              </w:rPr>
              <w:t>1,30910000%</w:t>
            </w:r>
          </w:p>
        </w:tc>
        <w:tc>
          <w:tcPr>
            <w:tcW w:w="288" w:type="dxa"/>
          </w:tcPr>
          <w:p w14:paraId="26779BC4" w14:textId="77777777" w:rsidR="00F65BCA" w:rsidRDefault="00F65BCA">
            <w:pPr>
              <w:pStyle w:val="TableParagraph"/>
              <w:rPr>
                <w:rFonts w:ascii="Calibri"/>
                <w:sz w:val="2"/>
              </w:rPr>
            </w:pPr>
          </w:p>
          <w:p w14:paraId="559F7BAE" w14:textId="77777777" w:rsidR="00F65BCA" w:rsidRDefault="00216117">
            <w:pPr>
              <w:pStyle w:val="TableParagraph"/>
              <w:ind w:left="47"/>
              <w:rPr>
                <w:sz w:val="3"/>
              </w:rPr>
            </w:pPr>
            <w:r>
              <w:rPr>
                <w:w w:val="105"/>
                <w:sz w:val="3"/>
              </w:rPr>
              <w:t>1,30910000%</w:t>
            </w:r>
          </w:p>
        </w:tc>
      </w:tr>
      <w:tr w:rsidR="00F65BCA" w14:paraId="2FBB0EBB" w14:textId="77777777">
        <w:trPr>
          <w:trHeight w:val="81"/>
        </w:trPr>
        <w:tc>
          <w:tcPr>
            <w:tcW w:w="526" w:type="dxa"/>
            <w:vMerge w:val="restart"/>
            <w:tcBorders>
              <w:top w:val="nil"/>
            </w:tcBorders>
            <w:shd w:val="clear" w:color="auto" w:fill="FCE4D6"/>
          </w:tcPr>
          <w:p w14:paraId="7B593C8C" w14:textId="77777777" w:rsidR="00F65BCA" w:rsidRDefault="00F65BCA">
            <w:pPr>
              <w:pStyle w:val="TableParagraph"/>
              <w:rPr>
                <w:rFonts w:ascii="Times New Roman"/>
                <w:sz w:val="2"/>
              </w:rPr>
            </w:pPr>
          </w:p>
        </w:tc>
        <w:tc>
          <w:tcPr>
            <w:tcW w:w="732" w:type="dxa"/>
            <w:vMerge w:val="restart"/>
            <w:shd w:val="clear" w:color="auto" w:fill="FCE4D6"/>
          </w:tcPr>
          <w:p w14:paraId="2974CA5C" w14:textId="77777777" w:rsidR="00F65BCA" w:rsidRDefault="00216117">
            <w:pPr>
              <w:pStyle w:val="TableParagraph"/>
              <w:spacing w:before="4" w:line="283" w:lineRule="auto"/>
              <w:ind w:left="4" w:right="-15"/>
              <w:rPr>
                <w:sz w:val="3"/>
              </w:rPr>
            </w:pPr>
            <w:r>
              <w:rPr>
                <w:w w:val="105"/>
                <w:sz w:val="3"/>
              </w:rPr>
              <w:t>Aebi; Bonetti; Citroën; Dodge; Fiat; Ford; Fuso; Hummer; IFA; Isuzu; LDV; Mitsubishi; Mitsubishi Fuso; Multicar; Neuvedeno; Nissan; Opel; Peugeot;</w:t>
            </w:r>
          </w:p>
          <w:p w14:paraId="0083FCE0" w14:textId="77777777" w:rsidR="00F65BCA" w:rsidRDefault="00216117">
            <w:pPr>
              <w:pStyle w:val="TableParagraph"/>
              <w:spacing w:line="21" w:lineRule="exact"/>
              <w:ind w:left="4"/>
              <w:rPr>
                <w:sz w:val="3"/>
              </w:rPr>
            </w:pPr>
            <w:r>
              <w:rPr>
                <w:w w:val="105"/>
                <w:sz w:val="3"/>
              </w:rPr>
              <w:t>Reform; Ross; VW; Zastava</w:t>
            </w:r>
          </w:p>
        </w:tc>
        <w:tc>
          <w:tcPr>
            <w:tcW w:w="958" w:type="dxa"/>
            <w:gridSpan w:val="2"/>
            <w:shd w:val="clear" w:color="auto" w:fill="FCE4D6"/>
          </w:tcPr>
          <w:p w14:paraId="6288BB7F" w14:textId="77777777" w:rsidR="00F65BCA" w:rsidRDefault="00F65BCA">
            <w:pPr>
              <w:pStyle w:val="TableParagraph"/>
              <w:rPr>
                <w:rFonts w:ascii="Calibri"/>
                <w:sz w:val="2"/>
              </w:rPr>
            </w:pPr>
          </w:p>
          <w:p w14:paraId="328DD1BA" w14:textId="77777777" w:rsidR="00F65BCA" w:rsidRDefault="00216117">
            <w:pPr>
              <w:pStyle w:val="TableParagraph"/>
              <w:ind w:left="1"/>
              <w:jc w:val="center"/>
              <w:rPr>
                <w:sz w:val="3"/>
              </w:rPr>
            </w:pPr>
            <w:r>
              <w:rPr>
                <w:w w:val="103"/>
                <w:sz w:val="3"/>
              </w:rPr>
              <w:t>-</w:t>
            </w:r>
          </w:p>
        </w:tc>
        <w:tc>
          <w:tcPr>
            <w:tcW w:w="576" w:type="dxa"/>
            <w:shd w:val="clear" w:color="auto" w:fill="FCE4D6"/>
          </w:tcPr>
          <w:p w14:paraId="05B3A2AB" w14:textId="77777777" w:rsidR="00F65BCA" w:rsidRDefault="00F65BCA">
            <w:pPr>
              <w:pStyle w:val="TableParagraph"/>
              <w:rPr>
                <w:rFonts w:ascii="Calibri"/>
                <w:sz w:val="2"/>
              </w:rPr>
            </w:pPr>
          </w:p>
          <w:p w14:paraId="57742248" w14:textId="77777777" w:rsidR="00F65BCA" w:rsidRDefault="00216117">
            <w:pPr>
              <w:pStyle w:val="TableParagraph"/>
              <w:ind w:left="3"/>
              <w:jc w:val="center"/>
              <w:rPr>
                <w:sz w:val="3"/>
              </w:rPr>
            </w:pPr>
            <w:r>
              <w:rPr>
                <w:w w:val="103"/>
                <w:sz w:val="3"/>
              </w:rPr>
              <w:t>-</w:t>
            </w:r>
          </w:p>
        </w:tc>
        <w:tc>
          <w:tcPr>
            <w:tcW w:w="576" w:type="dxa"/>
            <w:shd w:val="clear" w:color="auto" w:fill="FCE4D6"/>
          </w:tcPr>
          <w:p w14:paraId="1D540BC9" w14:textId="77777777" w:rsidR="00F65BCA" w:rsidRDefault="00F65BCA">
            <w:pPr>
              <w:pStyle w:val="TableParagraph"/>
              <w:rPr>
                <w:rFonts w:ascii="Calibri"/>
                <w:sz w:val="2"/>
              </w:rPr>
            </w:pPr>
          </w:p>
          <w:p w14:paraId="3C54D983" w14:textId="77777777" w:rsidR="00F65BCA" w:rsidRDefault="00216117">
            <w:pPr>
              <w:pStyle w:val="TableParagraph"/>
              <w:ind w:left="210"/>
              <w:rPr>
                <w:sz w:val="3"/>
              </w:rPr>
            </w:pPr>
            <w:r>
              <w:rPr>
                <w:w w:val="105"/>
                <w:sz w:val="3"/>
              </w:rPr>
              <w:t>0-12000 kg</w:t>
            </w:r>
          </w:p>
        </w:tc>
        <w:tc>
          <w:tcPr>
            <w:tcW w:w="50" w:type="dxa"/>
            <w:vMerge/>
            <w:tcBorders>
              <w:top w:val="nil"/>
              <w:bottom w:val="nil"/>
            </w:tcBorders>
          </w:tcPr>
          <w:p w14:paraId="1E2958F9" w14:textId="77777777" w:rsidR="00F65BCA" w:rsidRDefault="00F65BCA">
            <w:pPr>
              <w:rPr>
                <w:sz w:val="2"/>
                <w:szCs w:val="2"/>
              </w:rPr>
            </w:pPr>
          </w:p>
        </w:tc>
        <w:tc>
          <w:tcPr>
            <w:tcW w:w="288" w:type="dxa"/>
          </w:tcPr>
          <w:p w14:paraId="33470EE4" w14:textId="77777777" w:rsidR="00F65BCA" w:rsidRDefault="00F65BCA">
            <w:pPr>
              <w:pStyle w:val="TableParagraph"/>
              <w:rPr>
                <w:rFonts w:ascii="Calibri"/>
                <w:sz w:val="2"/>
              </w:rPr>
            </w:pPr>
          </w:p>
          <w:p w14:paraId="481310C7" w14:textId="77777777" w:rsidR="00F65BCA" w:rsidRDefault="00216117">
            <w:pPr>
              <w:pStyle w:val="TableParagraph"/>
              <w:ind w:left="24" w:right="24"/>
              <w:jc w:val="center"/>
              <w:rPr>
                <w:sz w:val="3"/>
              </w:rPr>
            </w:pPr>
            <w:r>
              <w:rPr>
                <w:w w:val="105"/>
                <w:sz w:val="3"/>
              </w:rPr>
              <w:t>2,01400000%</w:t>
            </w:r>
          </w:p>
        </w:tc>
        <w:tc>
          <w:tcPr>
            <w:tcW w:w="288" w:type="dxa"/>
          </w:tcPr>
          <w:p w14:paraId="1E7774DE" w14:textId="77777777" w:rsidR="00F65BCA" w:rsidRDefault="00F65BCA">
            <w:pPr>
              <w:pStyle w:val="TableParagraph"/>
              <w:rPr>
                <w:rFonts w:ascii="Calibri"/>
                <w:sz w:val="2"/>
              </w:rPr>
            </w:pPr>
          </w:p>
          <w:p w14:paraId="67CB2291" w14:textId="77777777" w:rsidR="00F65BCA" w:rsidRDefault="00216117">
            <w:pPr>
              <w:pStyle w:val="TableParagraph"/>
              <w:ind w:left="24" w:right="24"/>
              <w:jc w:val="center"/>
              <w:rPr>
                <w:sz w:val="3"/>
              </w:rPr>
            </w:pPr>
            <w:r>
              <w:rPr>
                <w:w w:val="105"/>
                <w:sz w:val="3"/>
              </w:rPr>
              <w:t>1,80200000%</w:t>
            </w:r>
          </w:p>
        </w:tc>
        <w:tc>
          <w:tcPr>
            <w:tcW w:w="288" w:type="dxa"/>
          </w:tcPr>
          <w:p w14:paraId="76F9FE2C" w14:textId="77777777" w:rsidR="00F65BCA" w:rsidRDefault="00F65BCA">
            <w:pPr>
              <w:pStyle w:val="TableParagraph"/>
              <w:rPr>
                <w:rFonts w:ascii="Calibri"/>
                <w:sz w:val="2"/>
              </w:rPr>
            </w:pPr>
          </w:p>
          <w:p w14:paraId="6F98D498" w14:textId="77777777" w:rsidR="00F65BCA" w:rsidRDefault="00216117">
            <w:pPr>
              <w:pStyle w:val="TableParagraph"/>
              <w:ind w:left="47"/>
              <w:rPr>
                <w:sz w:val="3"/>
              </w:rPr>
            </w:pPr>
            <w:r>
              <w:rPr>
                <w:w w:val="105"/>
                <w:sz w:val="3"/>
              </w:rPr>
              <w:t>1,80200000%</w:t>
            </w:r>
          </w:p>
        </w:tc>
        <w:tc>
          <w:tcPr>
            <w:tcW w:w="288" w:type="dxa"/>
          </w:tcPr>
          <w:p w14:paraId="5520B9BD" w14:textId="77777777" w:rsidR="00F65BCA" w:rsidRDefault="00F65BCA">
            <w:pPr>
              <w:pStyle w:val="TableParagraph"/>
              <w:rPr>
                <w:rFonts w:ascii="Calibri"/>
                <w:sz w:val="2"/>
              </w:rPr>
            </w:pPr>
          </w:p>
          <w:p w14:paraId="63825E80" w14:textId="77777777" w:rsidR="00F65BCA" w:rsidRDefault="00216117">
            <w:pPr>
              <w:pStyle w:val="TableParagraph"/>
              <w:ind w:left="24" w:right="24"/>
              <w:jc w:val="center"/>
              <w:rPr>
                <w:sz w:val="3"/>
              </w:rPr>
            </w:pPr>
            <w:r>
              <w:rPr>
                <w:w w:val="105"/>
                <w:sz w:val="3"/>
              </w:rPr>
              <w:t>1,64300000%</w:t>
            </w:r>
          </w:p>
        </w:tc>
        <w:tc>
          <w:tcPr>
            <w:tcW w:w="288" w:type="dxa"/>
          </w:tcPr>
          <w:p w14:paraId="1B704259" w14:textId="77777777" w:rsidR="00F65BCA" w:rsidRDefault="00F65BCA">
            <w:pPr>
              <w:pStyle w:val="TableParagraph"/>
              <w:rPr>
                <w:rFonts w:ascii="Calibri"/>
                <w:sz w:val="2"/>
              </w:rPr>
            </w:pPr>
          </w:p>
          <w:p w14:paraId="3CAE0EBF" w14:textId="77777777" w:rsidR="00F65BCA" w:rsidRDefault="00216117">
            <w:pPr>
              <w:pStyle w:val="TableParagraph"/>
              <w:ind w:left="47"/>
              <w:rPr>
                <w:sz w:val="3"/>
              </w:rPr>
            </w:pPr>
            <w:r>
              <w:rPr>
                <w:w w:val="105"/>
                <w:sz w:val="3"/>
              </w:rPr>
              <w:t>1,64300000%</w:t>
            </w:r>
          </w:p>
        </w:tc>
        <w:tc>
          <w:tcPr>
            <w:tcW w:w="288" w:type="dxa"/>
          </w:tcPr>
          <w:p w14:paraId="7C789AFC" w14:textId="77777777" w:rsidR="00F65BCA" w:rsidRDefault="00F65BCA">
            <w:pPr>
              <w:pStyle w:val="TableParagraph"/>
              <w:rPr>
                <w:rFonts w:ascii="Calibri"/>
                <w:sz w:val="2"/>
              </w:rPr>
            </w:pPr>
          </w:p>
          <w:p w14:paraId="39DEC170" w14:textId="77777777" w:rsidR="00F65BCA" w:rsidRDefault="00216117">
            <w:pPr>
              <w:pStyle w:val="TableParagraph"/>
              <w:ind w:left="24" w:right="24"/>
              <w:jc w:val="center"/>
              <w:rPr>
                <w:sz w:val="3"/>
              </w:rPr>
            </w:pPr>
            <w:r>
              <w:rPr>
                <w:w w:val="105"/>
                <w:sz w:val="3"/>
              </w:rPr>
              <w:t>1,48400000%</w:t>
            </w:r>
          </w:p>
        </w:tc>
        <w:tc>
          <w:tcPr>
            <w:tcW w:w="288" w:type="dxa"/>
          </w:tcPr>
          <w:p w14:paraId="31AFC453" w14:textId="77777777" w:rsidR="00F65BCA" w:rsidRDefault="00F65BCA">
            <w:pPr>
              <w:pStyle w:val="TableParagraph"/>
              <w:rPr>
                <w:rFonts w:ascii="Calibri"/>
                <w:sz w:val="2"/>
              </w:rPr>
            </w:pPr>
          </w:p>
          <w:p w14:paraId="3F0B6770" w14:textId="77777777" w:rsidR="00F65BCA" w:rsidRDefault="00216117">
            <w:pPr>
              <w:pStyle w:val="TableParagraph"/>
              <w:ind w:left="24" w:right="24"/>
              <w:jc w:val="center"/>
              <w:rPr>
                <w:sz w:val="3"/>
              </w:rPr>
            </w:pPr>
            <w:r>
              <w:rPr>
                <w:w w:val="105"/>
                <w:sz w:val="3"/>
              </w:rPr>
              <w:t>1,48400000%</w:t>
            </w:r>
          </w:p>
        </w:tc>
        <w:tc>
          <w:tcPr>
            <w:tcW w:w="288" w:type="dxa"/>
          </w:tcPr>
          <w:p w14:paraId="338C11E0" w14:textId="77777777" w:rsidR="00F65BCA" w:rsidRDefault="00F65BCA">
            <w:pPr>
              <w:pStyle w:val="TableParagraph"/>
              <w:rPr>
                <w:rFonts w:ascii="Calibri"/>
                <w:sz w:val="2"/>
              </w:rPr>
            </w:pPr>
          </w:p>
          <w:p w14:paraId="1F967E37" w14:textId="77777777" w:rsidR="00F65BCA" w:rsidRDefault="00216117">
            <w:pPr>
              <w:pStyle w:val="TableParagraph"/>
              <w:ind w:left="47"/>
              <w:rPr>
                <w:sz w:val="3"/>
              </w:rPr>
            </w:pPr>
            <w:r>
              <w:rPr>
                <w:w w:val="105"/>
                <w:sz w:val="3"/>
              </w:rPr>
              <w:t>1,32500000%</w:t>
            </w:r>
          </w:p>
        </w:tc>
        <w:tc>
          <w:tcPr>
            <w:tcW w:w="288" w:type="dxa"/>
          </w:tcPr>
          <w:p w14:paraId="6B74D487" w14:textId="77777777" w:rsidR="00F65BCA" w:rsidRDefault="00F65BCA">
            <w:pPr>
              <w:pStyle w:val="TableParagraph"/>
              <w:rPr>
                <w:rFonts w:ascii="Calibri"/>
                <w:sz w:val="2"/>
              </w:rPr>
            </w:pPr>
          </w:p>
          <w:p w14:paraId="7C0A22FE" w14:textId="77777777" w:rsidR="00F65BCA" w:rsidRDefault="00216117">
            <w:pPr>
              <w:pStyle w:val="TableParagraph"/>
              <w:ind w:left="24" w:right="24"/>
              <w:jc w:val="center"/>
              <w:rPr>
                <w:sz w:val="3"/>
              </w:rPr>
            </w:pPr>
            <w:r>
              <w:rPr>
                <w:w w:val="105"/>
                <w:sz w:val="3"/>
              </w:rPr>
              <w:t>1,32500000%</w:t>
            </w:r>
          </w:p>
        </w:tc>
        <w:tc>
          <w:tcPr>
            <w:tcW w:w="288" w:type="dxa"/>
          </w:tcPr>
          <w:p w14:paraId="2BED7677" w14:textId="77777777" w:rsidR="00F65BCA" w:rsidRDefault="00F65BCA">
            <w:pPr>
              <w:pStyle w:val="TableParagraph"/>
              <w:rPr>
                <w:rFonts w:ascii="Calibri"/>
                <w:sz w:val="2"/>
              </w:rPr>
            </w:pPr>
          </w:p>
          <w:p w14:paraId="4FE68760" w14:textId="77777777" w:rsidR="00F65BCA" w:rsidRDefault="00216117">
            <w:pPr>
              <w:pStyle w:val="TableParagraph"/>
              <w:ind w:left="24" w:right="24"/>
              <w:jc w:val="center"/>
              <w:rPr>
                <w:sz w:val="3"/>
              </w:rPr>
            </w:pPr>
            <w:r>
              <w:rPr>
                <w:w w:val="105"/>
                <w:sz w:val="3"/>
              </w:rPr>
              <w:t>1,21900000%</w:t>
            </w:r>
          </w:p>
        </w:tc>
        <w:tc>
          <w:tcPr>
            <w:tcW w:w="288" w:type="dxa"/>
          </w:tcPr>
          <w:p w14:paraId="59E4470A" w14:textId="77777777" w:rsidR="00F65BCA" w:rsidRDefault="00F65BCA">
            <w:pPr>
              <w:pStyle w:val="TableParagraph"/>
              <w:rPr>
                <w:rFonts w:ascii="Calibri"/>
                <w:sz w:val="2"/>
              </w:rPr>
            </w:pPr>
          </w:p>
          <w:p w14:paraId="25862A51" w14:textId="77777777" w:rsidR="00F65BCA" w:rsidRDefault="00216117">
            <w:pPr>
              <w:pStyle w:val="TableParagraph"/>
              <w:ind w:left="24" w:right="24"/>
              <w:jc w:val="center"/>
              <w:rPr>
                <w:sz w:val="3"/>
              </w:rPr>
            </w:pPr>
            <w:r>
              <w:rPr>
                <w:w w:val="105"/>
                <w:sz w:val="3"/>
              </w:rPr>
              <w:t>1,16600000%</w:t>
            </w:r>
          </w:p>
        </w:tc>
        <w:tc>
          <w:tcPr>
            <w:tcW w:w="288" w:type="dxa"/>
          </w:tcPr>
          <w:p w14:paraId="27123D8B" w14:textId="77777777" w:rsidR="00F65BCA" w:rsidRDefault="00F65BCA">
            <w:pPr>
              <w:pStyle w:val="TableParagraph"/>
              <w:rPr>
                <w:rFonts w:ascii="Calibri"/>
                <w:sz w:val="2"/>
              </w:rPr>
            </w:pPr>
          </w:p>
          <w:p w14:paraId="01CFC85B" w14:textId="77777777" w:rsidR="00F65BCA" w:rsidRDefault="00216117">
            <w:pPr>
              <w:pStyle w:val="TableParagraph"/>
              <w:ind w:left="24" w:right="24"/>
              <w:jc w:val="center"/>
              <w:rPr>
                <w:sz w:val="3"/>
              </w:rPr>
            </w:pPr>
            <w:r>
              <w:rPr>
                <w:w w:val="105"/>
                <w:sz w:val="3"/>
              </w:rPr>
              <w:t>1,06000000%</w:t>
            </w:r>
          </w:p>
        </w:tc>
        <w:tc>
          <w:tcPr>
            <w:tcW w:w="288" w:type="dxa"/>
          </w:tcPr>
          <w:p w14:paraId="1B45E9C8" w14:textId="77777777" w:rsidR="00F65BCA" w:rsidRDefault="00F65BCA">
            <w:pPr>
              <w:pStyle w:val="TableParagraph"/>
              <w:rPr>
                <w:rFonts w:ascii="Calibri"/>
                <w:sz w:val="2"/>
              </w:rPr>
            </w:pPr>
          </w:p>
          <w:p w14:paraId="64266344" w14:textId="77777777" w:rsidR="00F65BCA" w:rsidRDefault="00216117">
            <w:pPr>
              <w:pStyle w:val="TableParagraph"/>
              <w:ind w:left="47"/>
              <w:rPr>
                <w:sz w:val="3"/>
              </w:rPr>
            </w:pPr>
            <w:r>
              <w:rPr>
                <w:w w:val="105"/>
                <w:sz w:val="3"/>
              </w:rPr>
              <w:t>1,06000000%</w:t>
            </w:r>
          </w:p>
        </w:tc>
      </w:tr>
      <w:tr w:rsidR="00F65BCA" w14:paraId="6613C417" w14:textId="77777777">
        <w:trPr>
          <w:trHeight w:val="81"/>
        </w:trPr>
        <w:tc>
          <w:tcPr>
            <w:tcW w:w="526" w:type="dxa"/>
            <w:vMerge/>
            <w:tcBorders>
              <w:top w:val="nil"/>
            </w:tcBorders>
            <w:shd w:val="clear" w:color="auto" w:fill="FCE4D6"/>
          </w:tcPr>
          <w:p w14:paraId="3630EC68" w14:textId="77777777" w:rsidR="00F65BCA" w:rsidRDefault="00F65BCA">
            <w:pPr>
              <w:rPr>
                <w:sz w:val="2"/>
                <w:szCs w:val="2"/>
              </w:rPr>
            </w:pPr>
          </w:p>
        </w:tc>
        <w:tc>
          <w:tcPr>
            <w:tcW w:w="732" w:type="dxa"/>
            <w:vMerge/>
            <w:tcBorders>
              <w:top w:val="nil"/>
            </w:tcBorders>
            <w:shd w:val="clear" w:color="auto" w:fill="FCE4D6"/>
          </w:tcPr>
          <w:p w14:paraId="0DEA2EC5" w14:textId="77777777" w:rsidR="00F65BCA" w:rsidRDefault="00F65BCA">
            <w:pPr>
              <w:rPr>
                <w:sz w:val="2"/>
                <w:szCs w:val="2"/>
              </w:rPr>
            </w:pPr>
          </w:p>
        </w:tc>
        <w:tc>
          <w:tcPr>
            <w:tcW w:w="958" w:type="dxa"/>
            <w:gridSpan w:val="2"/>
            <w:shd w:val="clear" w:color="auto" w:fill="FCE4D6"/>
          </w:tcPr>
          <w:p w14:paraId="6C10FF00" w14:textId="77777777" w:rsidR="00F65BCA" w:rsidRDefault="00F65BCA">
            <w:pPr>
              <w:pStyle w:val="TableParagraph"/>
              <w:rPr>
                <w:rFonts w:ascii="Calibri"/>
                <w:sz w:val="2"/>
              </w:rPr>
            </w:pPr>
          </w:p>
          <w:p w14:paraId="63138F1F" w14:textId="77777777" w:rsidR="00F65BCA" w:rsidRDefault="00216117">
            <w:pPr>
              <w:pStyle w:val="TableParagraph"/>
              <w:ind w:left="1"/>
              <w:jc w:val="center"/>
              <w:rPr>
                <w:sz w:val="3"/>
              </w:rPr>
            </w:pPr>
            <w:r>
              <w:rPr>
                <w:w w:val="103"/>
                <w:sz w:val="3"/>
              </w:rPr>
              <w:t>-</w:t>
            </w:r>
          </w:p>
        </w:tc>
        <w:tc>
          <w:tcPr>
            <w:tcW w:w="576" w:type="dxa"/>
            <w:shd w:val="clear" w:color="auto" w:fill="FCE4D6"/>
          </w:tcPr>
          <w:p w14:paraId="0066764D" w14:textId="77777777" w:rsidR="00F65BCA" w:rsidRDefault="00F65BCA">
            <w:pPr>
              <w:pStyle w:val="TableParagraph"/>
              <w:rPr>
                <w:rFonts w:ascii="Calibri"/>
                <w:sz w:val="2"/>
              </w:rPr>
            </w:pPr>
          </w:p>
          <w:p w14:paraId="75D519DF" w14:textId="77777777" w:rsidR="00F65BCA" w:rsidRDefault="00216117">
            <w:pPr>
              <w:pStyle w:val="TableParagraph"/>
              <w:ind w:left="3"/>
              <w:jc w:val="center"/>
              <w:rPr>
                <w:sz w:val="3"/>
              </w:rPr>
            </w:pPr>
            <w:r>
              <w:rPr>
                <w:w w:val="103"/>
                <w:sz w:val="3"/>
              </w:rPr>
              <w:t>-</w:t>
            </w:r>
          </w:p>
        </w:tc>
        <w:tc>
          <w:tcPr>
            <w:tcW w:w="576" w:type="dxa"/>
            <w:shd w:val="clear" w:color="auto" w:fill="FCE4D6"/>
          </w:tcPr>
          <w:p w14:paraId="0B4E7F2C" w14:textId="77777777" w:rsidR="00F65BCA" w:rsidRDefault="00F65BCA">
            <w:pPr>
              <w:pStyle w:val="TableParagraph"/>
              <w:rPr>
                <w:rFonts w:ascii="Calibri"/>
                <w:sz w:val="2"/>
              </w:rPr>
            </w:pPr>
          </w:p>
          <w:p w14:paraId="5D715FEC" w14:textId="77777777" w:rsidR="00F65BCA" w:rsidRDefault="00216117">
            <w:pPr>
              <w:pStyle w:val="TableParagraph"/>
              <w:ind w:left="212"/>
              <w:rPr>
                <w:sz w:val="3"/>
              </w:rPr>
            </w:pPr>
            <w:r>
              <w:rPr>
                <w:w w:val="105"/>
                <w:sz w:val="3"/>
              </w:rPr>
              <w:t>&gt;12000 kg</w:t>
            </w:r>
          </w:p>
        </w:tc>
        <w:tc>
          <w:tcPr>
            <w:tcW w:w="50" w:type="dxa"/>
            <w:vMerge/>
            <w:tcBorders>
              <w:top w:val="nil"/>
              <w:bottom w:val="nil"/>
            </w:tcBorders>
          </w:tcPr>
          <w:p w14:paraId="6179CFA0" w14:textId="77777777" w:rsidR="00F65BCA" w:rsidRDefault="00F65BCA">
            <w:pPr>
              <w:rPr>
                <w:sz w:val="2"/>
                <w:szCs w:val="2"/>
              </w:rPr>
            </w:pPr>
          </w:p>
        </w:tc>
        <w:tc>
          <w:tcPr>
            <w:tcW w:w="288" w:type="dxa"/>
          </w:tcPr>
          <w:p w14:paraId="191F26BC" w14:textId="77777777" w:rsidR="00F65BCA" w:rsidRDefault="00F65BCA">
            <w:pPr>
              <w:pStyle w:val="TableParagraph"/>
              <w:rPr>
                <w:rFonts w:ascii="Calibri"/>
                <w:sz w:val="2"/>
              </w:rPr>
            </w:pPr>
          </w:p>
          <w:p w14:paraId="5B1DCC91" w14:textId="77777777" w:rsidR="00F65BCA" w:rsidRDefault="00216117">
            <w:pPr>
              <w:pStyle w:val="TableParagraph"/>
              <w:ind w:left="24" w:right="24"/>
              <w:jc w:val="center"/>
              <w:rPr>
                <w:sz w:val="3"/>
              </w:rPr>
            </w:pPr>
            <w:r>
              <w:rPr>
                <w:w w:val="105"/>
                <w:sz w:val="3"/>
              </w:rPr>
              <w:t>2,48729000%</w:t>
            </w:r>
          </w:p>
        </w:tc>
        <w:tc>
          <w:tcPr>
            <w:tcW w:w="288" w:type="dxa"/>
          </w:tcPr>
          <w:p w14:paraId="213DC173" w14:textId="77777777" w:rsidR="00F65BCA" w:rsidRDefault="00F65BCA">
            <w:pPr>
              <w:pStyle w:val="TableParagraph"/>
              <w:rPr>
                <w:rFonts w:ascii="Calibri"/>
                <w:sz w:val="2"/>
              </w:rPr>
            </w:pPr>
          </w:p>
          <w:p w14:paraId="59332C65" w14:textId="77777777" w:rsidR="00F65BCA" w:rsidRDefault="00216117">
            <w:pPr>
              <w:pStyle w:val="TableParagraph"/>
              <w:ind w:left="24" w:right="24"/>
              <w:jc w:val="center"/>
              <w:rPr>
                <w:sz w:val="3"/>
              </w:rPr>
            </w:pPr>
            <w:r>
              <w:rPr>
                <w:w w:val="105"/>
                <w:sz w:val="3"/>
              </w:rPr>
              <w:t>2,22547000%</w:t>
            </w:r>
          </w:p>
        </w:tc>
        <w:tc>
          <w:tcPr>
            <w:tcW w:w="288" w:type="dxa"/>
          </w:tcPr>
          <w:p w14:paraId="1B3B13CF" w14:textId="77777777" w:rsidR="00F65BCA" w:rsidRDefault="00F65BCA">
            <w:pPr>
              <w:pStyle w:val="TableParagraph"/>
              <w:rPr>
                <w:rFonts w:ascii="Calibri"/>
                <w:sz w:val="2"/>
              </w:rPr>
            </w:pPr>
          </w:p>
          <w:p w14:paraId="44739C01" w14:textId="77777777" w:rsidR="00F65BCA" w:rsidRDefault="00216117">
            <w:pPr>
              <w:pStyle w:val="TableParagraph"/>
              <w:ind w:left="47"/>
              <w:rPr>
                <w:sz w:val="3"/>
              </w:rPr>
            </w:pPr>
            <w:r>
              <w:rPr>
                <w:w w:val="105"/>
                <w:sz w:val="3"/>
              </w:rPr>
              <w:t>2,22547000%</w:t>
            </w:r>
          </w:p>
        </w:tc>
        <w:tc>
          <w:tcPr>
            <w:tcW w:w="288" w:type="dxa"/>
          </w:tcPr>
          <w:p w14:paraId="2234A7DC" w14:textId="77777777" w:rsidR="00F65BCA" w:rsidRDefault="00F65BCA">
            <w:pPr>
              <w:pStyle w:val="TableParagraph"/>
              <w:rPr>
                <w:rFonts w:ascii="Calibri"/>
                <w:sz w:val="2"/>
              </w:rPr>
            </w:pPr>
          </w:p>
          <w:p w14:paraId="59186010" w14:textId="77777777" w:rsidR="00F65BCA" w:rsidRDefault="00216117">
            <w:pPr>
              <w:pStyle w:val="TableParagraph"/>
              <w:ind w:left="24" w:right="24"/>
              <w:jc w:val="center"/>
              <w:rPr>
                <w:sz w:val="3"/>
              </w:rPr>
            </w:pPr>
            <w:r>
              <w:rPr>
                <w:w w:val="105"/>
                <w:sz w:val="3"/>
              </w:rPr>
              <w:t>2,02910500%</w:t>
            </w:r>
          </w:p>
        </w:tc>
        <w:tc>
          <w:tcPr>
            <w:tcW w:w="288" w:type="dxa"/>
          </w:tcPr>
          <w:p w14:paraId="172A280C" w14:textId="77777777" w:rsidR="00F65BCA" w:rsidRDefault="00F65BCA">
            <w:pPr>
              <w:pStyle w:val="TableParagraph"/>
              <w:rPr>
                <w:rFonts w:ascii="Calibri"/>
                <w:sz w:val="2"/>
              </w:rPr>
            </w:pPr>
          </w:p>
          <w:p w14:paraId="474F0CDB" w14:textId="77777777" w:rsidR="00F65BCA" w:rsidRDefault="00216117">
            <w:pPr>
              <w:pStyle w:val="TableParagraph"/>
              <w:ind w:left="47"/>
              <w:rPr>
                <w:sz w:val="3"/>
              </w:rPr>
            </w:pPr>
            <w:r>
              <w:rPr>
                <w:w w:val="105"/>
                <w:sz w:val="3"/>
              </w:rPr>
              <w:t>2,02910500%</w:t>
            </w:r>
          </w:p>
        </w:tc>
        <w:tc>
          <w:tcPr>
            <w:tcW w:w="288" w:type="dxa"/>
          </w:tcPr>
          <w:p w14:paraId="3EAD05C0" w14:textId="77777777" w:rsidR="00F65BCA" w:rsidRDefault="00F65BCA">
            <w:pPr>
              <w:pStyle w:val="TableParagraph"/>
              <w:rPr>
                <w:rFonts w:ascii="Calibri"/>
                <w:sz w:val="2"/>
              </w:rPr>
            </w:pPr>
          </w:p>
          <w:p w14:paraId="0EC26893" w14:textId="77777777" w:rsidR="00F65BCA" w:rsidRDefault="00216117">
            <w:pPr>
              <w:pStyle w:val="TableParagraph"/>
              <w:ind w:left="24" w:right="24"/>
              <w:jc w:val="center"/>
              <w:rPr>
                <w:sz w:val="3"/>
              </w:rPr>
            </w:pPr>
            <w:r>
              <w:rPr>
                <w:w w:val="105"/>
                <w:sz w:val="3"/>
              </w:rPr>
              <w:t>1,83274000%</w:t>
            </w:r>
          </w:p>
        </w:tc>
        <w:tc>
          <w:tcPr>
            <w:tcW w:w="288" w:type="dxa"/>
          </w:tcPr>
          <w:p w14:paraId="5332905D" w14:textId="77777777" w:rsidR="00F65BCA" w:rsidRDefault="00F65BCA">
            <w:pPr>
              <w:pStyle w:val="TableParagraph"/>
              <w:rPr>
                <w:rFonts w:ascii="Calibri"/>
                <w:sz w:val="2"/>
              </w:rPr>
            </w:pPr>
          </w:p>
          <w:p w14:paraId="55D92C21" w14:textId="77777777" w:rsidR="00F65BCA" w:rsidRDefault="00216117">
            <w:pPr>
              <w:pStyle w:val="TableParagraph"/>
              <w:ind w:left="24" w:right="24"/>
              <w:jc w:val="center"/>
              <w:rPr>
                <w:sz w:val="3"/>
              </w:rPr>
            </w:pPr>
            <w:r>
              <w:rPr>
                <w:w w:val="105"/>
                <w:sz w:val="3"/>
              </w:rPr>
              <w:t>1,83274000%</w:t>
            </w:r>
          </w:p>
        </w:tc>
        <w:tc>
          <w:tcPr>
            <w:tcW w:w="288" w:type="dxa"/>
          </w:tcPr>
          <w:p w14:paraId="077EE0DB" w14:textId="77777777" w:rsidR="00F65BCA" w:rsidRDefault="00F65BCA">
            <w:pPr>
              <w:pStyle w:val="TableParagraph"/>
              <w:rPr>
                <w:rFonts w:ascii="Calibri"/>
                <w:sz w:val="2"/>
              </w:rPr>
            </w:pPr>
          </w:p>
          <w:p w14:paraId="2984F67F" w14:textId="77777777" w:rsidR="00F65BCA" w:rsidRDefault="00216117">
            <w:pPr>
              <w:pStyle w:val="TableParagraph"/>
              <w:ind w:left="47"/>
              <w:rPr>
                <w:sz w:val="3"/>
              </w:rPr>
            </w:pPr>
            <w:r>
              <w:rPr>
                <w:w w:val="105"/>
                <w:sz w:val="3"/>
              </w:rPr>
              <w:t>1,63637500%</w:t>
            </w:r>
          </w:p>
        </w:tc>
        <w:tc>
          <w:tcPr>
            <w:tcW w:w="288" w:type="dxa"/>
          </w:tcPr>
          <w:p w14:paraId="6CF11DCE" w14:textId="77777777" w:rsidR="00F65BCA" w:rsidRDefault="00F65BCA">
            <w:pPr>
              <w:pStyle w:val="TableParagraph"/>
              <w:rPr>
                <w:rFonts w:ascii="Calibri"/>
                <w:sz w:val="2"/>
              </w:rPr>
            </w:pPr>
          </w:p>
          <w:p w14:paraId="79116676" w14:textId="77777777" w:rsidR="00F65BCA" w:rsidRDefault="00216117">
            <w:pPr>
              <w:pStyle w:val="TableParagraph"/>
              <w:ind w:left="24" w:right="24"/>
              <w:jc w:val="center"/>
              <w:rPr>
                <w:sz w:val="3"/>
              </w:rPr>
            </w:pPr>
            <w:r>
              <w:rPr>
                <w:w w:val="105"/>
                <w:sz w:val="3"/>
              </w:rPr>
              <w:t>1,63637500%</w:t>
            </w:r>
          </w:p>
        </w:tc>
        <w:tc>
          <w:tcPr>
            <w:tcW w:w="288" w:type="dxa"/>
          </w:tcPr>
          <w:p w14:paraId="2B94BC2C" w14:textId="77777777" w:rsidR="00F65BCA" w:rsidRDefault="00F65BCA">
            <w:pPr>
              <w:pStyle w:val="TableParagraph"/>
              <w:rPr>
                <w:rFonts w:ascii="Calibri"/>
                <w:sz w:val="2"/>
              </w:rPr>
            </w:pPr>
          </w:p>
          <w:p w14:paraId="0403AED7" w14:textId="77777777" w:rsidR="00F65BCA" w:rsidRDefault="00216117">
            <w:pPr>
              <w:pStyle w:val="TableParagraph"/>
              <w:ind w:left="24" w:right="24"/>
              <w:jc w:val="center"/>
              <w:rPr>
                <w:sz w:val="3"/>
              </w:rPr>
            </w:pPr>
            <w:r>
              <w:rPr>
                <w:w w:val="105"/>
                <w:sz w:val="3"/>
              </w:rPr>
              <w:t>1,50546500%</w:t>
            </w:r>
          </w:p>
        </w:tc>
        <w:tc>
          <w:tcPr>
            <w:tcW w:w="288" w:type="dxa"/>
          </w:tcPr>
          <w:p w14:paraId="1C573331" w14:textId="77777777" w:rsidR="00F65BCA" w:rsidRDefault="00F65BCA">
            <w:pPr>
              <w:pStyle w:val="TableParagraph"/>
              <w:rPr>
                <w:rFonts w:ascii="Calibri"/>
                <w:sz w:val="2"/>
              </w:rPr>
            </w:pPr>
          </w:p>
          <w:p w14:paraId="5853A468" w14:textId="77777777" w:rsidR="00F65BCA" w:rsidRDefault="00216117">
            <w:pPr>
              <w:pStyle w:val="TableParagraph"/>
              <w:ind w:left="24" w:right="24"/>
              <w:jc w:val="center"/>
              <w:rPr>
                <w:sz w:val="3"/>
              </w:rPr>
            </w:pPr>
            <w:r>
              <w:rPr>
                <w:w w:val="105"/>
                <w:sz w:val="3"/>
              </w:rPr>
              <w:t>1,44001000%</w:t>
            </w:r>
          </w:p>
        </w:tc>
        <w:tc>
          <w:tcPr>
            <w:tcW w:w="288" w:type="dxa"/>
          </w:tcPr>
          <w:p w14:paraId="1BD7202C" w14:textId="77777777" w:rsidR="00F65BCA" w:rsidRDefault="00F65BCA">
            <w:pPr>
              <w:pStyle w:val="TableParagraph"/>
              <w:rPr>
                <w:rFonts w:ascii="Calibri"/>
                <w:sz w:val="2"/>
              </w:rPr>
            </w:pPr>
          </w:p>
          <w:p w14:paraId="26F9EB2A" w14:textId="77777777" w:rsidR="00F65BCA" w:rsidRDefault="00216117">
            <w:pPr>
              <w:pStyle w:val="TableParagraph"/>
              <w:ind w:left="24" w:right="24"/>
              <w:jc w:val="center"/>
              <w:rPr>
                <w:sz w:val="3"/>
              </w:rPr>
            </w:pPr>
            <w:r>
              <w:rPr>
                <w:w w:val="105"/>
                <w:sz w:val="3"/>
              </w:rPr>
              <w:t>1,30910000%</w:t>
            </w:r>
          </w:p>
        </w:tc>
        <w:tc>
          <w:tcPr>
            <w:tcW w:w="288" w:type="dxa"/>
          </w:tcPr>
          <w:p w14:paraId="5CBF600E" w14:textId="77777777" w:rsidR="00F65BCA" w:rsidRDefault="00F65BCA">
            <w:pPr>
              <w:pStyle w:val="TableParagraph"/>
              <w:rPr>
                <w:rFonts w:ascii="Calibri"/>
                <w:sz w:val="2"/>
              </w:rPr>
            </w:pPr>
          </w:p>
          <w:p w14:paraId="34D4E2F6" w14:textId="77777777" w:rsidR="00F65BCA" w:rsidRDefault="00216117">
            <w:pPr>
              <w:pStyle w:val="TableParagraph"/>
              <w:ind w:left="47"/>
              <w:rPr>
                <w:sz w:val="3"/>
              </w:rPr>
            </w:pPr>
            <w:r>
              <w:rPr>
                <w:w w:val="105"/>
                <w:sz w:val="3"/>
              </w:rPr>
              <w:t>1,30910000%</w:t>
            </w:r>
          </w:p>
        </w:tc>
      </w:tr>
      <w:tr w:rsidR="00F65BCA" w14:paraId="40DA4903" w14:textId="77777777">
        <w:trPr>
          <w:trHeight w:val="81"/>
        </w:trPr>
        <w:tc>
          <w:tcPr>
            <w:tcW w:w="526" w:type="dxa"/>
            <w:vMerge w:val="restart"/>
            <w:tcBorders>
              <w:bottom w:val="nil"/>
            </w:tcBorders>
            <w:shd w:val="clear" w:color="auto" w:fill="FCE4D6"/>
          </w:tcPr>
          <w:p w14:paraId="1F56A68F" w14:textId="77777777" w:rsidR="00F65BCA" w:rsidRDefault="00F65BCA">
            <w:pPr>
              <w:pStyle w:val="TableParagraph"/>
              <w:rPr>
                <w:rFonts w:ascii="Times New Roman"/>
                <w:sz w:val="2"/>
              </w:rPr>
            </w:pPr>
          </w:p>
        </w:tc>
        <w:tc>
          <w:tcPr>
            <w:tcW w:w="732" w:type="dxa"/>
            <w:vMerge w:val="restart"/>
            <w:shd w:val="clear" w:color="auto" w:fill="FCE4D6"/>
          </w:tcPr>
          <w:p w14:paraId="5A408D9F" w14:textId="77777777" w:rsidR="00F65BCA" w:rsidRDefault="00F65BCA">
            <w:pPr>
              <w:pStyle w:val="TableParagraph"/>
              <w:rPr>
                <w:rFonts w:ascii="Calibri"/>
                <w:sz w:val="2"/>
              </w:rPr>
            </w:pPr>
          </w:p>
          <w:p w14:paraId="7985E626" w14:textId="77777777" w:rsidR="00F65BCA" w:rsidRDefault="00F65BCA">
            <w:pPr>
              <w:pStyle w:val="TableParagraph"/>
              <w:rPr>
                <w:rFonts w:ascii="Calibri"/>
                <w:sz w:val="2"/>
              </w:rPr>
            </w:pPr>
          </w:p>
          <w:p w14:paraId="20DB3465" w14:textId="77777777" w:rsidR="00F65BCA" w:rsidRDefault="00216117">
            <w:pPr>
              <w:pStyle w:val="TableParagraph"/>
              <w:spacing w:before="17"/>
              <w:ind w:left="18" w:right="14"/>
              <w:jc w:val="center"/>
              <w:rPr>
                <w:sz w:val="3"/>
              </w:rPr>
            </w:pPr>
            <w:r>
              <w:rPr>
                <w:w w:val="105"/>
                <w:sz w:val="3"/>
              </w:rPr>
              <w:t>Iveco</w:t>
            </w:r>
          </w:p>
        </w:tc>
        <w:tc>
          <w:tcPr>
            <w:tcW w:w="958" w:type="dxa"/>
            <w:gridSpan w:val="2"/>
            <w:shd w:val="clear" w:color="auto" w:fill="FCE4D6"/>
          </w:tcPr>
          <w:p w14:paraId="1475D272" w14:textId="77777777" w:rsidR="00F65BCA" w:rsidRDefault="00216117">
            <w:pPr>
              <w:pStyle w:val="TableParagraph"/>
              <w:spacing w:before="4"/>
              <w:ind w:left="4"/>
              <w:rPr>
                <w:sz w:val="3"/>
              </w:rPr>
            </w:pPr>
            <w:r>
              <w:rPr>
                <w:w w:val="105"/>
                <w:sz w:val="3"/>
              </w:rPr>
              <w:t>EURO CLASS; EURO STAR; EURO TECH; EURO TRAKKER;</w:t>
            </w:r>
          </w:p>
          <w:p w14:paraId="07172B65" w14:textId="77777777" w:rsidR="00F65BCA" w:rsidRDefault="00216117">
            <w:pPr>
              <w:pStyle w:val="TableParagraph"/>
              <w:spacing w:before="6" w:line="16" w:lineRule="exact"/>
              <w:ind w:left="4"/>
              <w:rPr>
                <w:sz w:val="3"/>
              </w:rPr>
            </w:pPr>
            <w:r>
              <w:rPr>
                <w:w w:val="105"/>
                <w:sz w:val="3"/>
              </w:rPr>
              <w:t>JINÉ; STRALIS; TRAKKER; TURBO STAR</w:t>
            </w:r>
          </w:p>
        </w:tc>
        <w:tc>
          <w:tcPr>
            <w:tcW w:w="576" w:type="dxa"/>
            <w:shd w:val="clear" w:color="auto" w:fill="FCE4D6"/>
          </w:tcPr>
          <w:p w14:paraId="1EE87C36" w14:textId="77777777" w:rsidR="00F65BCA" w:rsidRDefault="00F65BCA">
            <w:pPr>
              <w:pStyle w:val="TableParagraph"/>
              <w:rPr>
                <w:rFonts w:ascii="Calibri"/>
                <w:sz w:val="2"/>
              </w:rPr>
            </w:pPr>
          </w:p>
          <w:p w14:paraId="57F1F823" w14:textId="77777777" w:rsidR="00F65BCA" w:rsidRDefault="00216117">
            <w:pPr>
              <w:pStyle w:val="TableParagraph"/>
              <w:ind w:left="3"/>
              <w:jc w:val="center"/>
              <w:rPr>
                <w:sz w:val="3"/>
              </w:rPr>
            </w:pPr>
            <w:r>
              <w:rPr>
                <w:w w:val="103"/>
                <w:sz w:val="3"/>
              </w:rPr>
              <w:t>-</w:t>
            </w:r>
          </w:p>
        </w:tc>
        <w:tc>
          <w:tcPr>
            <w:tcW w:w="576" w:type="dxa"/>
            <w:shd w:val="clear" w:color="auto" w:fill="FCE4D6"/>
          </w:tcPr>
          <w:p w14:paraId="78C92C5B" w14:textId="77777777" w:rsidR="00F65BCA" w:rsidRDefault="00F65BCA">
            <w:pPr>
              <w:pStyle w:val="TableParagraph"/>
              <w:rPr>
                <w:rFonts w:ascii="Calibri"/>
                <w:sz w:val="2"/>
              </w:rPr>
            </w:pPr>
          </w:p>
          <w:p w14:paraId="58B79080"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152F58A4" w14:textId="77777777" w:rsidR="00F65BCA" w:rsidRDefault="00F65BCA">
            <w:pPr>
              <w:rPr>
                <w:sz w:val="2"/>
                <w:szCs w:val="2"/>
              </w:rPr>
            </w:pPr>
          </w:p>
        </w:tc>
        <w:tc>
          <w:tcPr>
            <w:tcW w:w="288" w:type="dxa"/>
          </w:tcPr>
          <w:p w14:paraId="546852C2" w14:textId="77777777" w:rsidR="00F65BCA" w:rsidRDefault="00F65BCA">
            <w:pPr>
              <w:pStyle w:val="TableParagraph"/>
              <w:rPr>
                <w:rFonts w:ascii="Calibri"/>
                <w:sz w:val="2"/>
              </w:rPr>
            </w:pPr>
          </w:p>
          <w:p w14:paraId="413BCBBF" w14:textId="77777777" w:rsidR="00F65BCA" w:rsidRDefault="00216117">
            <w:pPr>
              <w:pStyle w:val="TableParagraph"/>
              <w:ind w:left="24" w:right="24"/>
              <w:jc w:val="center"/>
              <w:rPr>
                <w:sz w:val="3"/>
              </w:rPr>
            </w:pPr>
            <w:r>
              <w:rPr>
                <w:w w:val="105"/>
                <w:sz w:val="3"/>
              </w:rPr>
              <w:t>2,48900000%</w:t>
            </w:r>
          </w:p>
        </w:tc>
        <w:tc>
          <w:tcPr>
            <w:tcW w:w="288" w:type="dxa"/>
          </w:tcPr>
          <w:p w14:paraId="2E042E1D" w14:textId="77777777" w:rsidR="00F65BCA" w:rsidRDefault="00F65BCA">
            <w:pPr>
              <w:pStyle w:val="TableParagraph"/>
              <w:rPr>
                <w:rFonts w:ascii="Calibri"/>
                <w:sz w:val="2"/>
              </w:rPr>
            </w:pPr>
          </w:p>
          <w:p w14:paraId="7169CC33" w14:textId="77777777" w:rsidR="00F65BCA" w:rsidRDefault="00216117">
            <w:pPr>
              <w:pStyle w:val="TableParagraph"/>
              <w:ind w:left="24" w:right="24"/>
              <w:jc w:val="center"/>
              <w:rPr>
                <w:sz w:val="3"/>
              </w:rPr>
            </w:pPr>
            <w:r>
              <w:rPr>
                <w:w w:val="105"/>
                <w:sz w:val="3"/>
              </w:rPr>
              <w:t>2,22700000%</w:t>
            </w:r>
          </w:p>
        </w:tc>
        <w:tc>
          <w:tcPr>
            <w:tcW w:w="288" w:type="dxa"/>
          </w:tcPr>
          <w:p w14:paraId="02CBAD2D" w14:textId="77777777" w:rsidR="00F65BCA" w:rsidRDefault="00F65BCA">
            <w:pPr>
              <w:pStyle w:val="TableParagraph"/>
              <w:rPr>
                <w:rFonts w:ascii="Calibri"/>
                <w:sz w:val="2"/>
              </w:rPr>
            </w:pPr>
          </w:p>
          <w:p w14:paraId="5ABF5982" w14:textId="77777777" w:rsidR="00F65BCA" w:rsidRDefault="00216117">
            <w:pPr>
              <w:pStyle w:val="TableParagraph"/>
              <w:ind w:left="47"/>
              <w:rPr>
                <w:sz w:val="3"/>
              </w:rPr>
            </w:pPr>
            <w:r>
              <w:rPr>
                <w:w w:val="105"/>
                <w:sz w:val="3"/>
              </w:rPr>
              <w:t>2,22700000%</w:t>
            </w:r>
          </w:p>
        </w:tc>
        <w:tc>
          <w:tcPr>
            <w:tcW w:w="288" w:type="dxa"/>
          </w:tcPr>
          <w:p w14:paraId="79D9B8FA" w14:textId="77777777" w:rsidR="00F65BCA" w:rsidRDefault="00F65BCA">
            <w:pPr>
              <w:pStyle w:val="TableParagraph"/>
              <w:rPr>
                <w:rFonts w:ascii="Calibri"/>
                <w:sz w:val="2"/>
              </w:rPr>
            </w:pPr>
          </w:p>
          <w:p w14:paraId="309A3D1E" w14:textId="77777777" w:rsidR="00F65BCA" w:rsidRDefault="00216117">
            <w:pPr>
              <w:pStyle w:val="TableParagraph"/>
              <w:ind w:left="24" w:right="24"/>
              <w:jc w:val="center"/>
              <w:rPr>
                <w:sz w:val="3"/>
              </w:rPr>
            </w:pPr>
            <w:r>
              <w:rPr>
                <w:w w:val="105"/>
                <w:sz w:val="3"/>
              </w:rPr>
              <w:t>2,03050000%</w:t>
            </w:r>
          </w:p>
        </w:tc>
        <w:tc>
          <w:tcPr>
            <w:tcW w:w="288" w:type="dxa"/>
          </w:tcPr>
          <w:p w14:paraId="282769C3" w14:textId="77777777" w:rsidR="00F65BCA" w:rsidRDefault="00F65BCA">
            <w:pPr>
              <w:pStyle w:val="TableParagraph"/>
              <w:rPr>
                <w:rFonts w:ascii="Calibri"/>
                <w:sz w:val="2"/>
              </w:rPr>
            </w:pPr>
          </w:p>
          <w:p w14:paraId="0B112AB8" w14:textId="77777777" w:rsidR="00F65BCA" w:rsidRDefault="00216117">
            <w:pPr>
              <w:pStyle w:val="TableParagraph"/>
              <w:ind w:left="47"/>
              <w:rPr>
                <w:sz w:val="3"/>
              </w:rPr>
            </w:pPr>
            <w:r>
              <w:rPr>
                <w:w w:val="105"/>
                <w:sz w:val="3"/>
              </w:rPr>
              <w:t>2,03050000%</w:t>
            </w:r>
          </w:p>
        </w:tc>
        <w:tc>
          <w:tcPr>
            <w:tcW w:w="288" w:type="dxa"/>
          </w:tcPr>
          <w:p w14:paraId="2CA09642" w14:textId="77777777" w:rsidR="00F65BCA" w:rsidRDefault="00F65BCA">
            <w:pPr>
              <w:pStyle w:val="TableParagraph"/>
              <w:rPr>
                <w:rFonts w:ascii="Calibri"/>
                <w:sz w:val="2"/>
              </w:rPr>
            </w:pPr>
          </w:p>
          <w:p w14:paraId="27B12B68" w14:textId="77777777" w:rsidR="00F65BCA" w:rsidRDefault="00216117">
            <w:pPr>
              <w:pStyle w:val="TableParagraph"/>
              <w:ind w:left="24" w:right="24"/>
              <w:jc w:val="center"/>
              <w:rPr>
                <w:sz w:val="3"/>
              </w:rPr>
            </w:pPr>
            <w:r>
              <w:rPr>
                <w:w w:val="105"/>
                <w:sz w:val="3"/>
              </w:rPr>
              <w:t>1,83400000%</w:t>
            </w:r>
          </w:p>
        </w:tc>
        <w:tc>
          <w:tcPr>
            <w:tcW w:w="288" w:type="dxa"/>
          </w:tcPr>
          <w:p w14:paraId="52DB0EEB" w14:textId="77777777" w:rsidR="00F65BCA" w:rsidRDefault="00F65BCA">
            <w:pPr>
              <w:pStyle w:val="TableParagraph"/>
              <w:rPr>
                <w:rFonts w:ascii="Calibri"/>
                <w:sz w:val="2"/>
              </w:rPr>
            </w:pPr>
          </w:p>
          <w:p w14:paraId="38D83AEB" w14:textId="77777777" w:rsidR="00F65BCA" w:rsidRDefault="00216117">
            <w:pPr>
              <w:pStyle w:val="TableParagraph"/>
              <w:ind w:left="24" w:right="24"/>
              <w:jc w:val="center"/>
              <w:rPr>
                <w:sz w:val="3"/>
              </w:rPr>
            </w:pPr>
            <w:r>
              <w:rPr>
                <w:w w:val="105"/>
                <w:sz w:val="3"/>
              </w:rPr>
              <w:t>1,83400000%</w:t>
            </w:r>
          </w:p>
        </w:tc>
        <w:tc>
          <w:tcPr>
            <w:tcW w:w="288" w:type="dxa"/>
          </w:tcPr>
          <w:p w14:paraId="5A591246" w14:textId="77777777" w:rsidR="00F65BCA" w:rsidRDefault="00F65BCA">
            <w:pPr>
              <w:pStyle w:val="TableParagraph"/>
              <w:rPr>
                <w:rFonts w:ascii="Calibri"/>
                <w:sz w:val="2"/>
              </w:rPr>
            </w:pPr>
          </w:p>
          <w:p w14:paraId="261EFD85" w14:textId="77777777" w:rsidR="00F65BCA" w:rsidRDefault="00216117">
            <w:pPr>
              <w:pStyle w:val="TableParagraph"/>
              <w:ind w:left="47"/>
              <w:rPr>
                <w:sz w:val="3"/>
              </w:rPr>
            </w:pPr>
            <w:r>
              <w:rPr>
                <w:w w:val="105"/>
                <w:sz w:val="3"/>
              </w:rPr>
              <w:t>1,63750000%</w:t>
            </w:r>
          </w:p>
        </w:tc>
        <w:tc>
          <w:tcPr>
            <w:tcW w:w="288" w:type="dxa"/>
          </w:tcPr>
          <w:p w14:paraId="0DF094FC" w14:textId="77777777" w:rsidR="00F65BCA" w:rsidRDefault="00F65BCA">
            <w:pPr>
              <w:pStyle w:val="TableParagraph"/>
              <w:rPr>
                <w:rFonts w:ascii="Calibri"/>
                <w:sz w:val="2"/>
              </w:rPr>
            </w:pPr>
          </w:p>
          <w:p w14:paraId="61904DD4" w14:textId="77777777" w:rsidR="00F65BCA" w:rsidRDefault="00216117">
            <w:pPr>
              <w:pStyle w:val="TableParagraph"/>
              <w:ind w:left="24" w:right="24"/>
              <w:jc w:val="center"/>
              <w:rPr>
                <w:sz w:val="3"/>
              </w:rPr>
            </w:pPr>
            <w:r>
              <w:rPr>
                <w:w w:val="105"/>
                <w:sz w:val="3"/>
              </w:rPr>
              <w:t>1,63750000%</w:t>
            </w:r>
          </w:p>
        </w:tc>
        <w:tc>
          <w:tcPr>
            <w:tcW w:w="288" w:type="dxa"/>
          </w:tcPr>
          <w:p w14:paraId="7806A663" w14:textId="77777777" w:rsidR="00F65BCA" w:rsidRDefault="00F65BCA">
            <w:pPr>
              <w:pStyle w:val="TableParagraph"/>
              <w:rPr>
                <w:rFonts w:ascii="Calibri"/>
                <w:sz w:val="2"/>
              </w:rPr>
            </w:pPr>
          </w:p>
          <w:p w14:paraId="322A2524" w14:textId="77777777" w:rsidR="00F65BCA" w:rsidRDefault="00216117">
            <w:pPr>
              <w:pStyle w:val="TableParagraph"/>
              <w:ind w:left="24" w:right="24"/>
              <w:jc w:val="center"/>
              <w:rPr>
                <w:sz w:val="3"/>
              </w:rPr>
            </w:pPr>
            <w:r>
              <w:rPr>
                <w:w w:val="105"/>
                <w:sz w:val="3"/>
              </w:rPr>
              <w:t>1,50650000%</w:t>
            </w:r>
          </w:p>
        </w:tc>
        <w:tc>
          <w:tcPr>
            <w:tcW w:w="288" w:type="dxa"/>
          </w:tcPr>
          <w:p w14:paraId="15DFB59D" w14:textId="77777777" w:rsidR="00F65BCA" w:rsidRDefault="00F65BCA">
            <w:pPr>
              <w:pStyle w:val="TableParagraph"/>
              <w:rPr>
                <w:rFonts w:ascii="Calibri"/>
                <w:sz w:val="2"/>
              </w:rPr>
            </w:pPr>
          </w:p>
          <w:p w14:paraId="42471237" w14:textId="77777777" w:rsidR="00F65BCA" w:rsidRDefault="00216117">
            <w:pPr>
              <w:pStyle w:val="TableParagraph"/>
              <w:ind w:left="24" w:right="24"/>
              <w:jc w:val="center"/>
              <w:rPr>
                <w:sz w:val="3"/>
              </w:rPr>
            </w:pPr>
            <w:r>
              <w:rPr>
                <w:w w:val="105"/>
                <w:sz w:val="3"/>
              </w:rPr>
              <w:t>1,44100000%</w:t>
            </w:r>
          </w:p>
        </w:tc>
        <w:tc>
          <w:tcPr>
            <w:tcW w:w="288" w:type="dxa"/>
          </w:tcPr>
          <w:p w14:paraId="3B929B14" w14:textId="77777777" w:rsidR="00F65BCA" w:rsidRDefault="00F65BCA">
            <w:pPr>
              <w:pStyle w:val="TableParagraph"/>
              <w:rPr>
                <w:rFonts w:ascii="Calibri"/>
                <w:sz w:val="2"/>
              </w:rPr>
            </w:pPr>
          </w:p>
          <w:p w14:paraId="0254129B" w14:textId="77777777" w:rsidR="00F65BCA" w:rsidRDefault="00216117">
            <w:pPr>
              <w:pStyle w:val="TableParagraph"/>
              <w:ind w:left="24" w:right="24"/>
              <w:jc w:val="center"/>
              <w:rPr>
                <w:sz w:val="3"/>
              </w:rPr>
            </w:pPr>
            <w:r>
              <w:rPr>
                <w:w w:val="105"/>
                <w:sz w:val="3"/>
              </w:rPr>
              <w:t>1,31000000%</w:t>
            </w:r>
          </w:p>
        </w:tc>
        <w:tc>
          <w:tcPr>
            <w:tcW w:w="288" w:type="dxa"/>
          </w:tcPr>
          <w:p w14:paraId="6E5A6A98" w14:textId="77777777" w:rsidR="00F65BCA" w:rsidRDefault="00F65BCA">
            <w:pPr>
              <w:pStyle w:val="TableParagraph"/>
              <w:rPr>
                <w:rFonts w:ascii="Calibri"/>
                <w:sz w:val="2"/>
              </w:rPr>
            </w:pPr>
          </w:p>
          <w:p w14:paraId="1DB84275" w14:textId="77777777" w:rsidR="00F65BCA" w:rsidRDefault="00216117">
            <w:pPr>
              <w:pStyle w:val="TableParagraph"/>
              <w:ind w:left="47"/>
              <w:rPr>
                <w:sz w:val="3"/>
              </w:rPr>
            </w:pPr>
            <w:r>
              <w:rPr>
                <w:w w:val="105"/>
                <w:sz w:val="3"/>
              </w:rPr>
              <w:t>1,31000000%</w:t>
            </w:r>
          </w:p>
        </w:tc>
      </w:tr>
      <w:tr w:rsidR="00F65BCA" w14:paraId="7481C147" w14:textId="77777777">
        <w:trPr>
          <w:trHeight w:val="81"/>
        </w:trPr>
        <w:tc>
          <w:tcPr>
            <w:tcW w:w="526" w:type="dxa"/>
            <w:vMerge/>
            <w:tcBorders>
              <w:top w:val="nil"/>
              <w:bottom w:val="nil"/>
            </w:tcBorders>
            <w:shd w:val="clear" w:color="auto" w:fill="FCE4D6"/>
          </w:tcPr>
          <w:p w14:paraId="112FCF03" w14:textId="77777777" w:rsidR="00F65BCA" w:rsidRDefault="00F65BCA">
            <w:pPr>
              <w:rPr>
                <w:sz w:val="2"/>
                <w:szCs w:val="2"/>
              </w:rPr>
            </w:pPr>
          </w:p>
        </w:tc>
        <w:tc>
          <w:tcPr>
            <w:tcW w:w="732" w:type="dxa"/>
            <w:vMerge/>
            <w:tcBorders>
              <w:top w:val="nil"/>
            </w:tcBorders>
            <w:shd w:val="clear" w:color="auto" w:fill="FCE4D6"/>
          </w:tcPr>
          <w:p w14:paraId="72254E2C" w14:textId="77777777" w:rsidR="00F65BCA" w:rsidRDefault="00F65BCA">
            <w:pPr>
              <w:rPr>
                <w:sz w:val="2"/>
                <w:szCs w:val="2"/>
              </w:rPr>
            </w:pPr>
          </w:p>
        </w:tc>
        <w:tc>
          <w:tcPr>
            <w:tcW w:w="958" w:type="dxa"/>
            <w:gridSpan w:val="2"/>
            <w:shd w:val="clear" w:color="auto" w:fill="FCE4D6"/>
          </w:tcPr>
          <w:p w14:paraId="1C34F502" w14:textId="77777777" w:rsidR="00F65BCA" w:rsidRDefault="00216117">
            <w:pPr>
              <w:pStyle w:val="TableParagraph"/>
              <w:spacing w:before="4"/>
              <w:ind w:left="4"/>
              <w:rPr>
                <w:sz w:val="3"/>
              </w:rPr>
            </w:pPr>
            <w:r>
              <w:rPr>
                <w:w w:val="105"/>
                <w:sz w:val="3"/>
              </w:rPr>
              <w:t>DAILY</w:t>
            </w:r>
            <w:r>
              <w:rPr>
                <w:spacing w:val="-4"/>
                <w:w w:val="105"/>
                <w:sz w:val="3"/>
              </w:rPr>
              <w:t xml:space="preserve"> </w:t>
            </w:r>
            <w:r>
              <w:rPr>
                <w:w w:val="105"/>
                <w:sz w:val="3"/>
              </w:rPr>
              <w:t>NAD</w:t>
            </w:r>
            <w:r>
              <w:rPr>
                <w:spacing w:val="-4"/>
                <w:w w:val="105"/>
                <w:sz w:val="3"/>
              </w:rPr>
              <w:t xml:space="preserve"> </w:t>
            </w:r>
            <w:r>
              <w:rPr>
                <w:w w:val="105"/>
                <w:sz w:val="3"/>
              </w:rPr>
              <w:t>3,5T;</w:t>
            </w:r>
            <w:r>
              <w:rPr>
                <w:spacing w:val="-3"/>
                <w:w w:val="105"/>
                <w:sz w:val="3"/>
              </w:rPr>
              <w:t xml:space="preserve"> </w:t>
            </w:r>
            <w:r>
              <w:rPr>
                <w:w w:val="105"/>
                <w:sz w:val="3"/>
              </w:rPr>
              <w:t>EUROCARGO;</w:t>
            </w:r>
            <w:r>
              <w:rPr>
                <w:spacing w:val="-3"/>
                <w:w w:val="105"/>
                <w:sz w:val="3"/>
              </w:rPr>
              <w:t xml:space="preserve"> </w:t>
            </w:r>
            <w:r>
              <w:rPr>
                <w:w w:val="105"/>
                <w:sz w:val="3"/>
              </w:rPr>
              <w:t>TURBO</w:t>
            </w:r>
            <w:r>
              <w:rPr>
                <w:spacing w:val="-4"/>
                <w:w w:val="105"/>
                <w:sz w:val="3"/>
              </w:rPr>
              <w:t xml:space="preserve"> </w:t>
            </w:r>
            <w:r>
              <w:rPr>
                <w:w w:val="105"/>
                <w:sz w:val="3"/>
              </w:rPr>
              <w:t>DAILY</w:t>
            </w:r>
            <w:r>
              <w:rPr>
                <w:spacing w:val="-3"/>
                <w:w w:val="105"/>
                <w:sz w:val="3"/>
              </w:rPr>
              <w:t xml:space="preserve"> </w:t>
            </w:r>
            <w:r>
              <w:rPr>
                <w:w w:val="105"/>
                <w:sz w:val="3"/>
              </w:rPr>
              <w:t>NAD</w:t>
            </w:r>
            <w:r>
              <w:rPr>
                <w:spacing w:val="-4"/>
                <w:w w:val="105"/>
                <w:sz w:val="3"/>
              </w:rPr>
              <w:t xml:space="preserve"> </w:t>
            </w:r>
            <w:r>
              <w:rPr>
                <w:w w:val="105"/>
                <w:sz w:val="3"/>
              </w:rPr>
              <w:t>3,5T;</w:t>
            </w:r>
            <w:r>
              <w:rPr>
                <w:spacing w:val="-3"/>
                <w:w w:val="105"/>
                <w:sz w:val="3"/>
              </w:rPr>
              <w:t xml:space="preserve"> </w:t>
            </w:r>
            <w:r>
              <w:rPr>
                <w:w w:val="105"/>
                <w:sz w:val="3"/>
              </w:rPr>
              <w:t>TURBO</w:t>
            </w:r>
          </w:p>
          <w:p w14:paraId="36A80D7E" w14:textId="77777777" w:rsidR="00F65BCA" w:rsidRDefault="00216117">
            <w:pPr>
              <w:pStyle w:val="TableParagraph"/>
              <w:spacing w:before="6" w:line="16" w:lineRule="exact"/>
              <w:ind w:left="4"/>
              <w:rPr>
                <w:sz w:val="3"/>
              </w:rPr>
            </w:pPr>
            <w:r>
              <w:rPr>
                <w:w w:val="105"/>
                <w:sz w:val="3"/>
              </w:rPr>
              <w:t>ZETA</w:t>
            </w:r>
          </w:p>
        </w:tc>
        <w:tc>
          <w:tcPr>
            <w:tcW w:w="576" w:type="dxa"/>
            <w:shd w:val="clear" w:color="auto" w:fill="FCE4D6"/>
          </w:tcPr>
          <w:p w14:paraId="681A645A" w14:textId="77777777" w:rsidR="00F65BCA" w:rsidRDefault="00F65BCA">
            <w:pPr>
              <w:pStyle w:val="TableParagraph"/>
              <w:rPr>
                <w:rFonts w:ascii="Calibri"/>
                <w:sz w:val="2"/>
              </w:rPr>
            </w:pPr>
          </w:p>
          <w:p w14:paraId="5788B8C5" w14:textId="77777777" w:rsidR="00F65BCA" w:rsidRDefault="00216117">
            <w:pPr>
              <w:pStyle w:val="TableParagraph"/>
              <w:ind w:left="3"/>
              <w:jc w:val="center"/>
              <w:rPr>
                <w:sz w:val="3"/>
              </w:rPr>
            </w:pPr>
            <w:r>
              <w:rPr>
                <w:w w:val="103"/>
                <w:sz w:val="3"/>
              </w:rPr>
              <w:t>-</w:t>
            </w:r>
          </w:p>
        </w:tc>
        <w:tc>
          <w:tcPr>
            <w:tcW w:w="576" w:type="dxa"/>
            <w:shd w:val="clear" w:color="auto" w:fill="FCE4D6"/>
          </w:tcPr>
          <w:p w14:paraId="332542DF" w14:textId="77777777" w:rsidR="00F65BCA" w:rsidRDefault="00F65BCA">
            <w:pPr>
              <w:pStyle w:val="TableParagraph"/>
              <w:rPr>
                <w:rFonts w:ascii="Calibri"/>
                <w:sz w:val="2"/>
              </w:rPr>
            </w:pPr>
          </w:p>
          <w:p w14:paraId="37832EAB"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3EA21ECD" w14:textId="77777777" w:rsidR="00F65BCA" w:rsidRDefault="00F65BCA">
            <w:pPr>
              <w:rPr>
                <w:sz w:val="2"/>
                <w:szCs w:val="2"/>
              </w:rPr>
            </w:pPr>
          </w:p>
        </w:tc>
        <w:tc>
          <w:tcPr>
            <w:tcW w:w="288" w:type="dxa"/>
          </w:tcPr>
          <w:p w14:paraId="6C847FA7" w14:textId="77777777" w:rsidR="00F65BCA" w:rsidRDefault="00F65BCA">
            <w:pPr>
              <w:pStyle w:val="TableParagraph"/>
              <w:rPr>
                <w:rFonts w:ascii="Calibri"/>
                <w:sz w:val="2"/>
              </w:rPr>
            </w:pPr>
          </w:p>
          <w:p w14:paraId="32221A10" w14:textId="77777777" w:rsidR="00F65BCA" w:rsidRDefault="00216117">
            <w:pPr>
              <w:pStyle w:val="TableParagraph"/>
              <w:ind w:left="24" w:right="24"/>
              <w:jc w:val="center"/>
              <w:rPr>
                <w:sz w:val="3"/>
              </w:rPr>
            </w:pPr>
            <w:r>
              <w:rPr>
                <w:w w:val="105"/>
                <w:sz w:val="3"/>
              </w:rPr>
              <w:t>2,48900000%</w:t>
            </w:r>
          </w:p>
        </w:tc>
        <w:tc>
          <w:tcPr>
            <w:tcW w:w="288" w:type="dxa"/>
          </w:tcPr>
          <w:p w14:paraId="614E9CF8" w14:textId="77777777" w:rsidR="00F65BCA" w:rsidRDefault="00F65BCA">
            <w:pPr>
              <w:pStyle w:val="TableParagraph"/>
              <w:rPr>
                <w:rFonts w:ascii="Calibri"/>
                <w:sz w:val="2"/>
              </w:rPr>
            </w:pPr>
          </w:p>
          <w:p w14:paraId="1FE8C909" w14:textId="77777777" w:rsidR="00F65BCA" w:rsidRDefault="00216117">
            <w:pPr>
              <w:pStyle w:val="TableParagraph"/>
              <w:ind w:left="24" w:right="24"/>
              <w:jc w:val="center"/>
              <w:rPr>
                <w:sz w:val="3"/>
              </w:rPr>
            </w:pPr>
            <w:r>
              <w:rPr>
                <w:w w:val="105"/>
                <w:sz w:val="3"/>
              </w:rPr>
              <w:t>2,22700000%</w:t>
            </w:r>
          </w:p>
        </w:tc>
        <w:tc>
          <w:tcPr>
            <w:tcW w:w="288" w:type="dxa"/>
          </w:tcPr>
          <w:p w14:paraId="40752A2C" w14:textId="77777777" w:rsidR="00F65BCA" w:rsidRDefault="00F65BCA">
            <w:pPr>
              <w:pStyle w:val="TableParagraph"/>
              <w:rPr>
                <w:rFonts w:ascii="Calibri"/>
                <w:sz w:val="2"/>
              </w:rPr>
            </w:pPr>
          </w:p>
          <w:p w14:paraId="69DFB3E5" w14:textId="77777777" w:rsidR="00F65BCA" w:rsidRDefault="00216117">
            <w:pPr>
              <w:pStyle w:val="TableParagraph"/>
              <w:ind w:left="47"/>
              <w:rPr>
                <w:sz w:val="3"/>
              </w:rPr>
            </w:pPr>
            <w:r>
              <w:rPr>
                <w:w w:val="105"/>
                <w:sz w:val="3"/>
              </w:rPr>
              <w:t>2,22700000%</w:t>
            </w:r>
          </w:p>
        </w:tc>
        <w:tc>
          <w:tcPr>
            <w:tcW w:w="288" w:type="dxa"/>
          </w:tcPr>
          <w:p w14:paraId="46055732" w14:textId="77777777" w:rsidR="00F65BCA" w:rsidRDefault="00F65BCA">
            <w:pPr>
              <w:pStyle w:val="TableParagraph"/>
              <w:rPr>
                <w:rFonts w:ascii="Calibri"/>
                <w:sz w:val="2"/>
              </w:rPr>
            </w:pPr>
          </w:p>
          <w:p w14:paraId="55EEEE6E" w14:textId="77777777" w:rsidR="00F65BCA" w:rsidRDefault="00216117">
            <w:pPr>
              <w:pStyle w:val="TableParagraph"/>
              <w:ind w:left="24" w:right="24"/>
              <w:jc w:val="center"/>
              <w:rPr>
                <w:sz w:val="3"/>
              </w:rPr>
            </w:pPr>
            <w:r>
              <w:rPr>
                <w:w w:val="105"/>
                <w:sz w:val="3"/>
              </w:rPr>
              <w:t>2,03050000%</w:t>
            </w:r>
          </w:p>
        </w:tc>
        <w:tc>
          <w:tcPr>
            <w:tcW w:w="288" w:type="dxa"/>
          </w:tcPr>
          <w:p w14:paraId="4A3DE6EC" w14:textId="77777777" w:rsidR="00F65BCA" w:rsidRDefault="00F65BCA">
            <w:pPr>
              <w:pStyle w:val="TableParagraph"/>
              <w:rPr>
                <w:rFonts w:ascii="Calibri"/>
                <w:sz w:val="2"/>
              </w:rPr>
            </w:pPr>
          </w:p>
          <w:p w14:paraId="43D0DA54" w14:textId="77777777" w:rsidR="00F65BCA" w:rsidRDefault="00216117">
            <w:pPr>
              <w:pStyle w:val="TableParagraph"/>
              <w:ind w:left="47"/>
              <w:rPr>
                <w:sz w:val="3"/>
              </w:rPr>
            </w:pPr>
            <w:r>
              <w:rPr>
                <w:w w:val="105"/>
                <w:sz w:val="3"/>
              </w:rPr>
              <w:t>2,03050000%</w:t>
            </w:r>
          </w:p>
        </w:tc>
        <w:tc>
          <w:tcPr>
            <w:tcW w:w="288" w:type="dxa"/>
          </w:tcPr>
          <w:p w14:paraId="3E54A640" w14:textId="77777777" w:rsidR="00F65BCA" w:rsidRDefault="00F65BCA">
            <w:pPr>
              <w:pStyle w:val="TableParagraph"/>
              <w:rPr>
                <w:rFonts w:ascii="Calibri"/>
                <w:sz w:val="2"/>
              </w:rPr>
            </w:pPr>
          </w:p>
          <w:p w14:paraId="507AC801" w14:textId="77777777" w:rsidR="00F65BCA" w:rsidRDefault="00216117">
            <w:pPr>
              <w:pStyle w:val="TableParagraph"/>
              <w:ind w:left="24" w:right="24"/>
              <w:jc w:val="center"/>
              <w:rPr>
                <w:sz w:val="3"/>
              </w:rPr>
            </w:pPr>
            <w:r>
              <w:rPr>
                <w:w w:val="105"/>
                <w:sz w:val="3"/>
              </w:rPr>
              <w:t>1,83400000%</w:t>
            </w:r>
          </w:p>
        </w:tc>
        <w:tc>
          <w:tcPr>
            <w:tcW w:w="288" w:type="dxa"/>
          </w:tcPr>
          <w:p w14:paraId="1157B7A4" w14:textId="77777777" w:rsidR="00F65BCA" w:rsidRDefault="00F65BCA">
            <w:pPr>
              <w:pStyle w:val="TableParagraph"/>
              <w:rPr>
                <w:rFonts w:ascii="Calibri"/>
                <w:sz w:val="2"/>
              </w:rPr>
            </w:pPr>
          </w:p>
          <w:p w14:paraId="6D2CC9EB" w14:textId="77777777" w:rsidR="00F65BCA" w:rsidRDefault="00216117">
            <w:pPr>
              <w:pStyle w:val="TableParagraph"/>
              <w:ind w:left="24" w:right="24"/>
              <w:jc w:val="center"/>
              <w:rPr>
                <w:sz w:val="3"/>
              </w:rPr>
            </w:pPr>
            <w:r>
              <w:rPr>
                <w:w w:val="105"/>
                <w:sz w:val="3"/>
              </w:rPr>
              <w:t>1,83400000%</w:t>
            </w:r>
          </w:p>
        </w:tc>
        <w:tc>
          <w:tcPr>
            <w:tcW w:w="288" w:type="dxa"/>
          </w:tcPr>
          <w:p w14:paraId="6A4B372D" w14:textId="77777777" w:rsidR="00F65BCA" w:rsidRDefault="00F65BCA">
            <w:pPr>
              <w:pStyle w:val="TableParagraph"/>
              <w:rPr>
                <w:rFonts w:ascii="Calibri"/>
                <w:sz w:val="2"/>
              </w:rPr>
            </w:pPr>
          </w:p>
          <w:p w14:paraId="6290AE75" w14:textId="77777777" w:rsidR="00F65BCA" w:rsidRDefault="00216117">
            <w:pPr>
              <w:pStyle w:val="TableParagraph"/>
              <w:ind w:left="47"/>
              <w:rPr>
                <w:sz w:val="3"/>
              </w:rPr>
            </w:pPr>
            <w:r>
              <w:rPr>
                <w:w w:val="105"/>
                <w:sz w:val="3"/>
              </w:rPr>
              <w:t>1,63750000%</w:t>
            </w:r>
          </w:p>
        </w:tc>
        <w:tc>
          <w:tcPr>
            <w:tcW w:w="288" w:type="dxa"/>
          </w:tcPr>
          <w:p w14:paraId="6381BB08" w14:textId="77777777" w:rsidR="00F65BCA" w:rsidRDefault="00F65BCA">
            <w:pPr>
              <w:pStyle w:val="TableParagraph"/>
              <w:rPr>
                <w:rFonts w:ascii="Calibri"/>
                <w:sz w:val="2"/>
              </w:rPr>
            </w:pPr>
          </w:p>
          <w:p w14:paraId="02F11DC4" w14:textId="77777777" w:rsidR="00F65BCA" w:rsidRDefault="00216117">
            <w:pPr>
              <w:pStyle w:val="TableParagraph"/>
              <w:ind w:left="24" w:right="24"/>
              <w:jc w:val="center"/>
              <w:rPr>
                <w:sz w:val="3"/>
              </w:rPr>
            </w:pPr>
            <w:r>
              <w:rPr>
                <w:w w:val="105"/>
                <w:sz w:val="3"/>
              </w:rPr>
              <w:t>1,63750000%</w:t>
            </w:r>
          </w:p>
        </w:tc>
        <w:tc>
          <w:tcPr>
            <w:tcW w:w="288" w:type="dxa"/>
          </w:tcPr>
          <w:p w14:paraId="770FA557" w14:textId="77777777" w:rsidR="00F65BCA" w:rsidRDefault="00F65BCA">
            <w:pPr>
              <w:pStyle w:val="TableParagraph"/>
              <w:rPr>
                <w:rFonts w:ascii="Calibri"/>
                <w:sz w:val="2"/>
              </w:rPr>
            </w:pPr>
          </w:p>
          <w:p w14:paraId="2E470334" w14:textId="77777777" w:rsidR="00F65BCA" w:rsidRDefault="00216117">
            <w:pPr>
              <w:pStyle w:val="TableParagraph"/>
              <w:ind w:left="24" w:right="24"/>
              <w:jc w:val="center"/>
              <w:rPr>
                <w:sz w:val="3"/>
              </w:rPr>
            </w:pPr>
            <w:r>
              <w:rPr>
                <w:w w:val="105"/>
                <w:sz w:val="3"/>
              </w:rPr>
              <w:t>1,50650000%</w:t>
            </w:r>
          </w:p>
        </w:tc>
        <w:tc>
          <w:tcPr>
            <w:tcW w:w="288" w:type="dxa"/>
          </w:tcPr>
          <w:p w14:paraId="7552B163" w14:textId="77777777" w:rsidR="00F65BCA" w:rsidRDefault="00F65BCA">
            <w:pPr>
              <w:pStyle w:val="TableParagraph"/>
              <w:rPr>
                <w:rFonts w:ascii="Calibri"/>
                <w:sz w:val="2"/>
              </w:rPr>
            </w:pPr>
          </w:p>
          <w:p w14:paraId="006C1875" w14:textId="77777777" w:rsidR="00F65BCA" w:rsidRDefault="00216117">
            <w:pPr>
              <w:pStyle w:val="TableParagraph"/>
              <w:ind w:left="24" w:right="24"/>
              <w:jc w:val="center"/>
              <w:rPr>
                <w:sz w:val="3"/>
              </w:rPr>
            </w:pPr>
            <w:r>
              <w:rPr>
                <w:w w:val="105"/>
                <w:sz w:val="3"/>
              </w:rPr>
              <w:t>1,44100000%</w:t>
            </w:r>
          </w:p>
        </w:tc>
        <w:tc>
          <w:tcPr>
            <w:tcW w:w="288" w:type="dxa"/>
          </w:tcPr>
          <w:p w14:paraId="4DF2ECC9" w14:textId="77777777" w:rsidR="00F65BCA" w:rsidRDefault="00F65BCA">
            <w:pPr>
              <w:pStyle w:val="TableParagraph"/>
              <w:rPr>
                <w:rFonts w:ascii="Calibri"/>
                <w:sz w:val="2"/>
              </w:rPr>
            </w:pPr>
          </w:p>
          <w:p w14:paraId="7B72C245" w14:textId="77777777" w:rsidR="00F65BCA" w:rsidRDefault="00216117">
            <w:pPr>
              <w:pStyle w:val="TableParagraph"/>
              <w:ind w:left="24" w:right="24"/>
              <w:jc w:val="center"/>
              <w:rPr>
                <w:sz w:val="3"/>
              </w:rPr>
            </w:pPr>
            <w:r>
              <w:rPr>
                <w:w w:val="105"/>
                <w:sz w:val="3"/>
              </w:rPr>
              <w:t>1,31000000%</w:t>
            </w:r>
          </w:p>
        </w:tc>
        <w:tc>
          <w:tcPr>
            <w:tcW w:w="288" w:type="dxa"/>
          </w:tcPr>
          <w:p w14:paraId="7C93C1E8" w14:textId="77777777" w:rsidR="00F65BCA" w:rsidRDefault="00F65BCA">
            <w:pPr>
              <w:pStyle w:val="TableParagraph"/>
              <w:rPr>
                <w:rFonts w:ascii="Calibri"/>
                <w:sz w:val="2"/>
              </w:rPr>
            </w:pPr>
          </w:p>
          <w:p w14:paraId="4B82D066" w14:textId="77777777" w:rsidR="00F65BCA" w:rsidRDefault="00216117">
            <w:pPr>
              <w:pStyle w:val="TableParagraph"/>
              <w:ind w:left="47"/>
              <w:rPr>
                <w:sz w:val="3"/>
              </w:rPr>
            </w:pPr>
            <w:r>
              <w:rPr>
                <w:w w:val="105"/>
                <w:sz w:val="3"/>
              </w:rPr>
              <w:t>1,31000000%</w:t>
            </w:r>
          </w:p>
        </w:tc>
      </w:tr>
      <w:tr w:rsidR="00F65BCA" w14:paraId="5F61A2FB" w14:textId="77777777">
        <w:trPr>
          <w:trHeight w:val="184"/>
        </w:trPr>
        <w:tc>
          <w:tcPr>
            <w:tcW w:w="526" w:type="dxa"/>
            <w:tcBorders>
              <w:top w:val="nil"/>
              <w:bottom w:val="nil"/>
            </w:tcBorders>
            <w:shd w:val="clear" w:color="auto" w:fill="FCE4D6"/>
          </w:tcPr>
          <w:p w14:paraId="30E0B409" w14:textId="77777777" w:rsidR="00F65BCA" w:rsidRDefault="00F65BCA">
            <w:pPr>
              <w:pStyle w:val="TableParagraph"/>
              <w:rPr>
                <w:rFonts w:ascii="Times New Roman"/>
                <w:sz w:val="2"/>
              </w:rPr>
            </w:pPr>
          </w:p>
        </w:tc>
        <w:tc>
          <w:tcPr>
            <w:tcW w:w="732" w:type="dxa"/>
            <w:tcBorders>
              <w:bottom w:val="nil"/>
            </w:tcBorders>
            <w:shd w:val="clear" w:color="auto" w:fill="FCE4D6"/>
          </w:tcPr>
          <w:p w14:paraId="37677ED5" w14:textId="77777777" w:rsidR="00F65BCA" w:rsidRDefault="00F65BCA">
            <w:pPr>
              <w:pStyle w:val="TableParagraph"/>
              <w:rPr>
                <w:rFonts w:ascii="Times New Roman"/>
                <w:sz w:val="2"/>
              </w:rPr>
            </w:pPr>
          </w:p>
        </w:tc>
        <w:tc>
          <w:tcPr>
            <w:tcW w:w="958" w:type="dxa"/>
            <w:gridSpan w:val="2"/>
            <w:shd w:val="clear" w:color="auto" w:fill="FCE4D6"/>
          </w:tcPr>
          <w:p w14:paraId="187988BF" w14:textId="77777777" w:rsidR="00F65BCA" w:rsidRDefault="00216117">
            <w:pPr>
              <w:pStyle w:val="TableParagraph"/>
              <w:spacing w:before="8" w:line="40" w:lineRule="atLeast"/>
              <w:ind w:left="4" w:right="15"/>
              <w:rPr>
                <w:sz w:val="3"/>
              </w:rPr>
            </w:pPr>
            <w:r>
              <w:rPr>
                <w:w w:val="105"/>
                <w:sz w:val="3"/>
              </w:rPr>
              <w:t>ACTROS; ANTOS; AROCS; ATEGO ŘADA 1800; ATEGO ŘADA 2500; ATEGO ŘADA 2600; AXOR; ECONIC; ŘADA MK 1800; ŘADA MK 2000; ŘADA MK 2500; ŘADA MK 2600; ŘADA MK 3200; ŘADA MK 3500; UNIMOG; ZETROS</w:t>
            </w:r>
          </w:p>
        </w:tc>
        <w:tc>
          <w:tcPr>
            <w:tcW w:w="576" w:type="dxa"/>
            <w:shd w:val="clear" w:color="auto" w:fill="FCE4D6"/>
          </w:tcPr>
          <w:p w14:paraId="097FD949" w14:textId="77777777" w:rsidR="00F65BCA" w:rsidRDefault="00F65BCA">
            <w:pPr>
              <w:pStyle w:val="TableParagraph"/>
              <w:rPr>
                <w:rFonts w:ascii="Calibri"/>
                <w:sz w:val="2"/>
              </w:rPr>
            </w:pPr>
          </w:p>
          <w:p w14:paraId="08BF8D74" w14:textId="77777777" w:rsidR="00F65BCA" w:rsidRDefault="00F65BCA">
            <w:pPr>
              <w:pStyle w:val="TableParagraph"/>
              <w:rPr>
                <w:rFonts w:ascii="Calibri"/>
                <w:sz w:val="2"/>
              </w:rPr>
            </w:pPr>
          </w:p>
          <w:p w14:paraId="37A25D01" w14:textId="77777777" w:rsidR="00F65BCA" w:rsidRDefault="00F65BCA">
            <w:pPr>
              <w:pStyle w:val="TableParagraph"/>
              <w:spacing w:before="2"/>
              <w:rPr>
                <w:rFonts w:ascii="Calibri"/>
                <w:sz w:val="2"/>
              </w:rPr>
            </w:pPr>
          </w:p>
          <w:p w14:paraId="6AD6BC3D" w14:textId="77777777" w:rsidR="00F65BCA" w:rsidRDefault="00216117">
            <w:pPr>
              <w:pStyle w:val="TableParagraph"/>
              <w:spacing w:before="1"/>
              <w:ind w:left="3"/>
              <w:jc w:val="center"/>
              <w:rPr>
                <w:sz w:val="3"/>
              </w:rPr>
            </w:pPr>
            <w:r>
              <w:rPr>
                <w:w w:val="103"/>
                <w:sz w:val="3"/>
              </w:rPr>
              <w:t>-</w:t>
            </w:r>
          </w:p>
        </w:tc>
        <w:tc>
          <w:tcPr>
            <w:tcW w:w="576" w:type="dxa"/>
            <w:shd w:val="clear" w:color="auto" w:fill="FCE4D6"/>
          </w:tcPr>
          <w:p w14:paraId="4B0057EF" w14:textId="77777777" w:rsidR="00F65BCA" w:rsidRDefault="00F65BCA">
            <w:pPr>
              <w:pStyle w:val="TableParagraph"/>
              <w:rPr>
                <w:rFonts w:ascii="Calibri"/>
                <w:sz w:val="2"/>
              </w:rPr>
            </w:pPr>
          </w:p>
          <w:p w14:paraId="673A5BB1" w14:textId="77777777" w:rsidR="00F65BCA" w:rsidRDefault="00F65BCA">
            <w:pPr>
              <w:pStyle w:val="TableParagraph"/>
              <w:rPr>
                <w:rFonts w:ascii="Calibri"/>
                <w:sz w:val="2"/>
              </w:rPr>
            </w:pPr>
          </w:p>
          <w:p w14:paraId="44DC7668" w14:textId="77777777" w:rsidR="00F65BCA" w:rsidRDefault="00F65BCA">
            <w:pPr>
              <w:pStyle w:val="TableParagraph"/>
              <w:spacing w:before="2"/>
              <w:rPr>
                <w:rFonts w:ascii="Calibri"/>
                <w:sz w:val="2"/>
              </w:rPr>
            </w:pPr>
          </w:p>
          <w:p w14:paraId="58B75D34" w14:textId="77777777" w:rsidR="00F65BCA" w:rsidRDefault="00216117">
            <w:pPr>
              <w:pStyle w:val="TableParagraph"/>
              <w:spacing w:before="1"/>
              <w:ind w:left="3"/>
              <w:jc w:val="center"/>
              <w:rPr>
                <w:sz w:val="3"/>
              </w:rPr>
            </w:pPr>
            <w:r>
              <w:rPr>
                <w:w w:val="103"/>
                <w:sz w:val="3"/>
              </w:rPr>
              <w:t>-</w:t>
            </w:r>
          </w:p>
        </w:tc>
        <w:tc>
          <w:tcPr>
            <w:tcW w:w="50" w:type="dxa"/>
            <w:vMerge/>
            <w:tcBorders>
              <w:top w:val="nil"/>
              <w:bottom w:val="nil"/>
            </w:tcBorders>
          </w:tcPr>
          <w:p w14:paraId="0D7F838A" w14:textId="77777777" w:rsidR="00F65BCA" w:rsidRDefault="00F65BCA">
            <w:pPr>
              <w:rPr>
                <w:sz w:val="2"/>
                <w:szCs w:val="2"/>
              </w:rPr>
            </w:pPr>
          </w:p>
        </w:tc>
        <w:tc>
          <w:tcPr>
            <w:tcW w:w="288" w:type="dxa"/>
          </w:tcPr>
          <w:p w14:paraId="6FE5EAF8" w14:textId="77777777" w:rsidR="00F65BCA" w:rsidRDefault="00F65BCA">
            <w:pPr>
              <w:pStyle w:val="TableParagraph"/>
              <w:rPr>
                <w:rFonts w:ascii="Calibri"/>
                <w:sz w:val="2"/>
              </w:rPr>
            </w:pPr>
          </w:p>
          <w:p w14:paraId="627421E1" w14:textId="77777777" w:rsidR="00F65BCA" w:rsidRDefault="00F65BCA">
            <w:pPr>
              <w:pStyle w:val="TableParagraph"/>
              <w:rPr>
                <w:rFonts w:ascii="Calibri"/>
                <w:sz w:val="2"/>
              </w:rPr>
            </w:pPr>
          </w:p>
          <w:p w14:paraId="1C44A343" w14:textId="77777777" w:rsidR="00F65BCA" w:rsidRDefault="00F65BCA">
            <w:pPr>
              <w:pStyle w:val="TableParagraph"/>
              <w:spacing w:before="2"/>
              <w:rPr>
                <w:rFonts w:ascii="Calibri"/>
                <w:sz w:val="2"/>
              </w:rPr>
            </w:pPr>
          </w:p>
          <w:p w14:paraId="1037F1BF" w14:textId="77777777" w:rsidR="00F65BCA" w:rsidRDefault="00216117">
            <w:pPr>
              <w:pStyle w:val="TableParagraph"/>
              <w:spacing w:before="1"/>
              <w:ind w:left="24" w:right="24"/>
              <w:jc w:val="center"/>
              <w:rPr>
                <w:sz w:val="3"/>
              </w:rPr>
            </w:pPr>
            <w:r>
              <w:rPr>
                <w:w w:val="105"/>
                <w:sz w:val="3"/>
              </w:rPr>
              <w:t>2,48900000%</w:t>
            </w:r>
          </w:p>
        </w:tc>
        <w:tc>
          <w:tcPr>
            <w:tcW w:w="288" w:type="dxa"/>
          </w:tcPr>
          <w:p w14:paraId="4D41ECE6" w14:textId="77777777" w:rsidR="00F65BCA" w:rsidRDefault="00F65BCA">
            <w:pPr>
              <w:pStyle w:val="TableParagraph"/>
              <w:rPr>
                <w:rFonts w:ascii="Calibri"/>
                <w:sz w:val="2"/>
              </w:rPr>
            </w:pPr>
          </w:p>
          <w:p w14:paraId="752A1C74" w14:textId="77777777" w:rsidR="00F65BCA" w:rsidRDefault="00F65BCA">
            <w:pPr>
              <w:pStyle w:val="TableParagraph"/>
              <w:rPr>
                <w:rFonts w:ascii="Calibri"/>
                <w:sz w:val="2"/>
              </w:rPr>
            </w:pPr>
          </w:p>
          <w:p w14:paraId="6B92735E" w14:textId="77777777" w:rsidR="00F65BCA" w:rsidRDefault="00F65BCA">
            <w:pPr>
              <w:pStyle w:val="TableParagraph"/>
              <w:spacing w:before="2"/>
              <w:rPr>
                <w:rFonts w:ascii="Calibri"/>
                <w:sz w:val="2"/>
              </w:rPr>
            </w:pPr>
          </w:p>
          <w:p w14:paraId="6C60C645" w14:textId="77777777" w:rsidR="00F65BCA" w:rsidRDefault="00216117">
            <w:pPr>
              <w:pStyle w:val="TableParagraph"/>
              <w:spacing w:before="1"/>
              <w:ind w:left="24" w:right="24"/>
              <w:jc w:val="center"/>
              <w:rPr>
                <w:sz w:val="3"/>
              </w:rPr>
            </w:pPr>
            <w:r>
              <w:rPr>
                <w:w w:val="105"/>
                <w:sz w:val="3"/>
              </w:rPr>
              <w:t>2,22700000%</w:t>
            </w:r>
          </w:p>
        </w:tc>
        <w:tc>
          <w:tcPr>
            <w:tcW w:w="288" w:type="dxa"/>
          </w:tcPr>
          <w:p w14:paraId="57A33F46" w14:textId="77777777" w:rsidR="00F65BCA" w:rsidRDefault="00F65BCA">
            <w:pPr>
              <w:pStyle w:val="TableParagraph"/>
              <w:rPr>
                <w:rFonts w:ascii="Calibri"/>
                <w:sz w:val="2"/>
              </w:rPr>
            </w:pPr>
          </w:p>
          <w:p w14:paraId="2CBF4429" w14:textId="77777777" w:rsidR="00F65BCA" w:rsidRDefault="00F65BCA">
            <w:pPr>
              <w:pStyle w:val="TableParagraph"/>
              <w:rPr>
                <w:rFonts w:ascii="Calibri"/>
                <w:sz w:val="2"/>
              </w:rPr>
            </w:pPr>
          </w:p>
          <w:p w14:paraId="40A6A9AB" w14:textId="77777777" w:rsidR="00F65BCA" w:rsidRDefault="00F65BCA">
            <w:pPr>
              <w:pStyle w:val="TableParagraph"/>
              <w:spacing w:before="2"/>
              <w:rPr>
                <w:rFonts w:ascii="Calibri"/>
                <w:sz w:val="2"/>
              </w:rPr>
            </w:pPr>
          </w:p>
          <w:p w14:paraId="54C7D79E" w14:textId="77777777" w:rsidR="00F65BCA" w:rsidRDefault="00216117">
            <w:pPr>
              <w:pStyle w:val="TableParagraph"/>
              <w:spacing w:before="1"/>
              <w:ind w:left="47"/>
              <w:rPr>
                <w:sz w:val="3"/>
              </w:rPr>
            </w:pPr>
            <w:r>
              <w:rPr>
                <w:w w:val="105"/>
                <w:sz w:val="3"/>
              </w:rPr>
              <w:t>2,22700000%</w:t>
            </w:r>
          </w:p>
        </w:tc>
        <w:tc>
          <w:tcPr>
            <w:tcW w:w="288" w:type="dxa"/>
          </w:tcPr>
          <w:p w14:paraId="11A7A1B7" w14:textId="77777777" w:rsidR="00F65BCA" w:rsidRDefault="00F65BCA">
            <w:pPr>
              <w:pStyle w:val="TableParagraph"/>
              <w:rPr>
                <w:rFonts w:ascii="Calibri"/>
                <w:sz w:val="2"/>
              </w:rPr>
            </w:pPr>
          </w:p>
          <w:p w14:paraId="66F3B0BC" w14:textId="77777777" w:rsidR="00F65BCA" w:rsidRDefault="00F65BCA">
            <w:pPr>
              <w:pStyle w:val="TableParagraph"/>
              <w:rPr>
                <w:rFonts w:ascii="Calibri"/>
                <w:sz w:val="2"/>
              </w:rPr>
            </w:pPr>
          </w:p>
          <w:p w14:paraId="2DD01289" w14:textId="77777777" w:rsidR="00F65BCA" w:rsidRDefault="00F65BCA">
            <w:pPr>
              <w:pStyle w:val="TableParagraph"/>
              <w:spacing w:before="2"/>
              <w:rPr>
                <w:rFonts w:ascii="Calibri"/>
                <w:sz w:val="2"/>
              </w:rPr>
            </w:pPr>
          </w:p>
          <w:p w14:paraId="2263DD60" w14:textId="77777777" w:rsidR="00F65BCA" w:rsidRDefault="00216117">
            <w:pPr>
              <w:pStyle w:val="TableParagraph"/>
              <w:spacing w:before="1"/>
              <w:ind w:left="24" w:right="24"/>
              <w:jc w:val="center"/>
              <w:rPr>
                <w:sz w:val="3"/>
              </w:rPr>
            </w:pPr>
            <w:r>
              <w:rPr>
                <w:w w:val="105"/>
                <w:sz w:val="3"/>
              </w:rPr>
              <w:t>2,03050000%</w:t>
            </w:r>
          </w:p>
        </w:tc>
        <w:tc>
          <w:tcPr>
            <w:tcW w:w="288" w:type="dxa"/>
          </w:tcPr>
          <w:p w14:paraId="6C3069EA" w14:textId="77777777" w:rsidR="00F65BCA" w:rsidRDefault="00F65BCA">
            <w:pPr>
              <w:pStyle w:val="TableParagraph"/>
              <w:rPr>
                <w:rFonts w:ascii="Calibri"/>
                <w:sz w:val="2"/>
              </w:rPr>
            </w:pPr>
          </w:p>
          <w:p w14:paraId="185C1F23" w14:textId="77777777" w:rsidR="00F65BCA" w:rsidRDefault="00F65BCA">
            <w:pPr>
              <w:pStyle w:val="TableParagraph"/>
              <w:rPr>
                <w:rFonts w:ascii="Calibri"/>
                <w:sz w:val="2"/>
              </w:rPr>
            </w:pPr>
          </w:p>
          <w:p w14:paraId="21232F33" w14:textId="77777777" w:rsidR="00F65BCA" w:rsidRDefault="00F65BCA">
            <w:pPr>
              <w:pStyle w:val="TableParagraph"/>
              <w:spacing w:before="2"/>
              <w:rPr>
                <w:rFonts w:ascii="Calibri"/>
                <w:sz w:val="2"/>
              </w:rPr>
            </w:pPr>
          </w:p>
          <w:p w14:paraId="5DD674D1" w14:textId="77777777" w:rsidR="00F65BCA" w:rsidRDefault="00216117">
            <w:pPr>
              <w:pStyle w:val="TableParagraph"/>
              <w:spacing w:before="1"/>
              <w:ind w:left="47"/>
              <w:rPr>
                <w:sz w:val="3"/>
              </w:rPr>
            </w:pPr>
            <w:r>
              <w:rPr>
                <w:w w:val="105"/>
                <w:sz w:val="3"/>
              </w:rPr>
              <w:t>2,03050000%</w:t>
            </w:r>
          </w:p>
        </w:tc>
        <w:tc>
          <w:tcPr>
            <w:tcW w:w="288" w:type="dxa"/>
          </w:tcPr>
          <w:p w14:paraId="074C6619" w14:textId="77777777" w:rsidR="00F65BCA" w:rsidRDefault="00F65BCA">
            <w:pPr>
              <w:pStyle w:val="TableParagraph"/>
              <w:rPr>
                <w:rFonts w:ascii="Calibri"/>
                <w:sz w:val="2"/>
              </w:rPr>
            </w:pPr>
          </w:p>
          <w:p w14:paraId="18F57D57" w14:textId="77777777" w:rsidR="00F65BCA" w:rsidRDefault="00F65BCA">
            <w:pPr>
              <w:pStyle w:val="TableParagraph"/>
              <w:rPr>
                <w:rFonts w:ascii="Calibri"/>
                <w:sz w:val="2"/>
              </w:rPr>
            </w:pPr>
          </w:p>
          <w:p w14:paraId="1CD6252F" w14:textId="77777777" w:rsidR="00F65BCA" w:rsidRDefault="00F65BCA">
            <w:pPr>
              <w:pStyle w:val="TableParagraph"/>
              <w:spacing w:before="2"/>
              <w:rPr>
                <w:rFonts w:ascii="Calibri"/>
                <w:sz w:val="2"/>
              </w:rPr>
            </w:pPr>
          </w:p>
          <w:p w14:paraId="5E5D46DA" w14:textId="77777777" w:rsidR="00F65BCA" w:rsidRDefault="00216117">
            <w:pPr>
              <w:pStyle w:val="TableParagraph"/>
              <w:spacing w:before="1"/>
              <w:ind w:left="24" w:right="24"/>
              <w:jc w:val="center"/>
              <w:rPr>
                <w:sz w:val="3"/>
              </w:rPr>
            </w:pPr>
            <w:r>
              <w:rPr>
                <w:w w:val="105"/>
                <w:sz w:val="3"/>
              </w:rPr>
              <w:t>1,83400000%</w:t>
            </w:r>
          </w:p>
        </w:tc>
        <w:tc>
          <w:tcPr>
            <w:tcW w:w="288" w:type="dxa"/>
          </w:tcPr>
          <w:p w14:paraId="3B73FDAD" w14:textId="77777777" w:rsidR="00F65BCA" w:rsidRDefault="00F65BCA">
            <w:pPr>
              <w:pStyle w:val="TableParagraph"/>
              <w:rPr>
                <w:rFonts w:ascii="Calibri"/>
                <w:sz w:val="2"/>
              </w:rPr>
            </w:pPr>
          </w:p>
          <w:p w14:paraId="6BD79F93" w14:textId="77777777" w:rsidR="00F65BCA" w:rsidRDefault="00F65BCA">
            <w:pPr>
              <w:pStyle w:val="TableParagraph"/>
              <w:rPr>
                <w:rFonts w:ascii="Calibri"/>
                <w:sz w:val="2"/>
              </w:rPr>
            </w:pPr>
          </w:p>
          <w:p w14:paraId="4A11C06A" w14:textId="77777777" w:rsidR="00F65BCA" w:rsidRDefault="00F65BCA">
            <w:pPr>
              <w:pStyle w:val="TableParagraph"/>
              <w:spacing w:before="2"/>
              <w:rPr>
                <w:rFonts w:ascii="Calibri"/>
                <w:sz w:val="2"/>
              </w:rPr>
            </w:pPr>
          </w:p>
          <w:p w14:paraId="260F7FA5" w14:textId="77777777" w:rsidR="00F65BCA" w:rsidRDefault="00216117">
            <w:pPr>
              <w:pStyle w:val="TableParagraph"/>
              <w:spacing w:before="1"/>
              <w:ind w:left="24" w:right="24"/>
              <w:jc w:val="center"/>
              <w:rPr>
                <w:sz w:val="3"/>
              </w:rPr>
            </w:pPr>
            <w:r>
              <w:rPr>
                <w:w w:val="105"/>
                <w:sz w:val="3"/>
              </w:rPr>
              <w:t>1,83400000%</w:t>
            </w:r>
          </w:p>
        </w:tc>
        <w:tc>
          <w:tcPr>
            <w:tcW w:w="288" w:type="dxa"/>
          </w:tcPr>
          <w:p w14:paraId="3BA0AE50" w14:textId="77777777" w:rsidR="00F65BCA" w:rsidRDefault="00F65BCA">
            <w:pPr>
              <w:pStyle w:val="TableParagraph"/>
              <w:rPr>
                <w:rFonts w:ascii="Calibri"/>
                <w:sz w:val="2"/>
              </w:rPr>
            </w:pPr>
          </w:p>
          <w:p w14:paraId="1E4C16F2" w14:textId="77777777" w:rsidR="00F65BCA" w:rsidRDefault="00F65BCA">
            <w:pPr>
              <w:pStyle w:val="TableParagraph"/>
              <w:rPr>
                <w:rFonts w:ascii="Calibri"/>
                <w:sz w:val="2"/>
              </w:rPr>
            </w:pPr>
          </w:p>
          <w:p w14:paraId="6818FA42" w14:textId="77777777" w:rsidR="00F65BCA" w:rsidRDefault="00F65BCA">
            <w:pPr>
              <w:pStyle w:val="TableParagraph"/>
              <w:spacing w:before="2"/>
              <w:rPr>
                <w:rFonts w:ascii="Calibri"/>
                <w:sz w:val="2"/>
              </w:rPr>
            </w:pPr>
          </w:p>
          <w:p w14:paraId="2145A699" w14:textId="77777777" w:rsidR="00F65BCA" w:rsidRDefault="00216117">
            <w:pPr>
              <w:pStyle w:val="TableParagraph"/>
              <w:spacing w:before="1"/>
              <w:ind w:left="47"/>
              <w:rPr>
                <w:sz w:val="3"/>
              </w:rPr>
            </w:pPr>
            <w:r>
              <w:rPr>
                <w:w w:val="105"/>
                <w:sz w:val="3"/>
              </w:rPr>
              <w:t>1,63750000%</w:t>
            </w:r>
          </w:p>
        </w:tc>
        <w:tc>
          <w:tcPr>
            <w:tcW w:w="288" w:type="dxa"/>
          </w:tcPr>
          <w:p w14:paraId="0814EF49" w14:textId="77777777" w:rsidR="00F65BCA" w:rsidRDefault="00F65BCA">
            <w:pPr>
              <w:pStyle w:val="TableParagraph"/>
              <w:rPr>
                <w:rFonts w:ascii="Calibri"/>
                <w:sz w:val="2"/>
              </w:rPr>
            </w:pPr>
          </w:p>
          <w:p w14:paraId="262C83BC" w14:textId="77777777" w:rsidR="00F65BCA" w:rsidRDefault="00F65BCA">
            <w:pPr>
              <w:pStyle w:val="TableParagraph"/>
              <w:rPr>
                <w:rFonts w:ascii="Calibri"/>
                <w:sz w:val="2"/>
              </w:rPr>
            </w:pPr>
          </w:p>
          <w:p w14:paraId="14C69053" w14:textId="77777777" w:rsidR="00F65BCA" w:rsidRDefault="00F65BCA">
            <w:pPr>
              <w:pStyle w:val="TableParagraph"/>
              <w:spacing w:before="2"/>
              <w:rPr>
                <w:rFonts w:ascii="Calibri"/>
                <w:sz w:val="2"/>
              </w:rPr>
            </w:pPr>
          </w:p>
          <w:p w14:paraId="209B8F81" w14:textId="77777777" w:rsidR="00F65BCA" w:rsidRDefault="00216117">
            <w:pPr>
              <w:pStyle w:val="TableParagraph"/>
              <w:spacing w:before="1"/>
              <w:ind w:left="24" w:right="24"/>
              <w:jc w:val="center"/>
              <w:rPr>
                <w:sz w:val="3"/>
              </w:rPr>
            </w:pPr>
            <w:r>
              <w:rPr>
                <w:w w:val="105"/>
                <w:sz w:val="3"/>
              </w:rPr>
              <w:t>1,63750000%</w:t>
            </w:r>
          </w:p>
        </w:tc>
        <w:tc>
          <w:tcPr>
            <w:tcW w:w="288" w:type="dxa"/>
          </w:tcPr>
          <w:p w14:paraId="0ADD090E" w14:textId="77777777" w:rsidR="00F65BCA" w:rsidRDefault="00F65BCA">
            <w:pPr>
              <w:pStyle w:val="TableParagraph"/>
              <w:rPr>
                <w:rFonts w:ascii="Calibri"/>
                <w:sz w:val="2"/>
              </w:rPr>
            </w:pPr>
          </w:p>
          <w:p w14:paraId="5CB1129C" w14:textId="77777777" w:rsidR="00F65BCA" w:rsidRDefault="00F65BCA">
            <w:pPr>
              <w:pStyle w:val="TableParagraph"/>
              <w:rPr>
                <w:rFonts w:ascii="Calibri"/>
                <w:sz w:val="2"/>
              </w:rPr>
            </w:pPr>
          </w:p>
          <w:p w14:paraId="1023D12D" w14:textId="77777777" w:rsidR="00F65BCA" w:rsidRDefault="00F65BCA">
            <w:pPr>
              <w:pStyle w:val="TableParagraph"/>
              <w:spacing w:before="2"/>
              <w:rPr>
                <w:rFonts w:ascii="Calibri"/>
                <w:sz w:val="2"/>
              </w:rPr>
            </w:pPr>
          </w:p>
          <w:p w14:paraId="491C7168" w14:textId="77777777" w:rsidR="00F65BCA" w:rsidRDefault="00216117">
            <w:pPr>
              <w:pStyle w:val="TableParagraph"/>
              <w:spacing w:before="1"/>
              <w:ind w:left="24" w:right="24"/>
              <w:jc w:val="center"/>
              <w:rPr>
                <w:sz w:val="3"/>
              </w:rPr>
            </w:pPr>
            <w:r>
              <w:rPr>
                <w:w w:val="105"/>
                <w:sz w:val="3"/>
              </w:rPr>
              <w:t>1,50650000%</w:t>
            </w:r>
          </w:p>
        </w:tc>
        <w:tc>
          <w:tcPr>
            <w:tcW w:w="288" w:type="dxa"/>
          </w:tcPr>
          <w:p w14:paraId="63377640" w14:textId="77777777" w:rsidR="00F65BCA" w:rsidRDefault="00F65BCA">
            <w:pPr>
              <w:pStyle w:val="TableParagraph"/>
              <w:rPr>
                <w:rFonts w:ascii="Calibri"/>
                <w:sz w:val="2"/>
              </w:rPr>
            </w:pPr>
          </w:p>
          <w:p w14:paraId="61C05C6D" w14:textId="77777777" w:rsidR="00F65BCA" w:rsidRDefault="00F65BCA">
            <w:pPr>
              <w:pStyle w:val="TableParagraph"/>
              <w:rPr>
                <w:rFonts w:ascii="Calibri"/>
                <w:sz w:val="2"/>
              </w:rPr>
            </w:pPr>
          </w:p>
          <w:p w14:paraId="2BA6A002" w14:textId="77777777" w:rsidR="00F65BCA" w:rsidRDefault="00F65BCA">
            <w:pPr>
              <w:pStyle w:val="TableParagraph"/>
              <w:spacing w:before="2"/>
              <w:rPr>
                <w:rFonts w:ascii="Calibri"/>
                <w:sz w:val="2"/>
              </w:rPr>
            </w:pPr>
          </w:p>
          <w:p w14:paraId="32554179" w14:textId="77777777" w:rsidR="00F65BCA" w:rsidRDefault="00216117">
            <w:pPr>
              <w:pStyle w:val="TableParagraph"/>
              <w:spacing w:before="1"/>
              <w:ind w:left="24" w:right="24"/>
              <w:jc w:val="center"/>
              <w:rPr>
                <w:sz w:val="3"/>
              </w:rPr>
            </w:pPr>
            <w:r>
              <w:rPr>
                <w:w w:val="105"/>
                <w:sz w:val="3"/>
              </w:rPr>
              <w:t>1,44100000%</w:t>
            </w:r>
          </w:p>
        </w:tc>
        <w:tc>
          <w:tcPr>
            <w:tcW w:w="288" w:type="dxa"/>
          </w:tcPr>
          <w:p w14:paraId="0BBD8325" w14:textId="77777777" w:rsidR="00F65BCA" w:rsidRDefault="00F65BCA">
            <w:pPr>
              <w:pStyle w:val="TableParagraph"/>
              <w:rPr>
                <w:rFonts w:ascii="Calibri"/>
                <w:sz w:val="2"/>
              </w:rPr>
            </w:pPr>
          </w:p>
          <w:p w14:paraId="005CE129" w14:textId="77777777" w:rsidR="00F65BCA" w:rsidRDefault="00F65BCA">
            <w:pPr>
              <w:pStyle w:val="TableParagraph"/>
              <w:rPr>
                <w:rFonts w:ascii="Calibri"/>
                <w:sz w:val="2"/>
              </w:rPr>
            </w:pPr>
          </w:p>
          <w:p w14:paraId="063696A6" w14:textId="77777777" w:rsidR="00F65BCA" w:rsidRDefault="00F65BCA">
            <w:pPr>
              <w:pStyle w:val="TableParagraph"/>
              <w:spacing w:before="2"/>
              <w:rPr>
                <w:rFonts w:ascii="Calibri"/>
                <w:sz w:val="2"/>
              </w:rPr>
            </w:pPr>
          </w:p>
          <w:p w14:paraId="773E0CFC" w14:textId="77777777" w:rsidR="00F65BCA" w:rsidRDefault="00216117">
            <w:pPr>
              <w:pStyle w:val="TableParagraph"/>
              <w:spacing w:before="1"/>
              <w:ind w:left="24" w:right="24"/>
              <w:jc w:val="center"/>
              <w:rPr>
                <w:sz w:val="3"/>
              </w:rPr>
            </w:pPr>
            <w:r>
              <w:rPr>
                <w:w w:val="105"/>
                <w:sz w:val="3"/>
              </w:rPr>
              <w:t>1,31000000%</w:t>
            </w:r>
          </w:p>
        </w:tc>
        <w:tc>
          <w:tcPr>
            <w:tcW w:w="288" w:type="dxa"/>
          </w:tcPr>
          <w:p w14:paraId="22850DFB" w14:textId="77777777" w:rsidR="00F65BCA" w:rsidRDefault="00F65BCA">
            <w:pPr>
              <w:pStyle w:val="TableParagraph"/>
              <w:rPr>
                <w:rFonts w:ascii="Calibri"/>
                <w:sz w:val="2"/>
              </w:rPr>
            </w:pPr>
          </w:p>
          <w:p w14:paraId="65760F34" w14:textId="77777777" w:rsidR="00F65BCA" w:rsidRDefault="00F65BCA">
            <w:pPr>
              <w:pStyle w:val="TableParagraph"/>
              <w:rPr>
                <w:rFonts w:ascii="Calibri"/>
                <w:sz w:val="2"/>
              </w:rPr>
            </w:pPr>
          </w:p>
          <w:p w14:paraId="7D32207E" w14:textId="77777777" w:rsidR="00F65BCA" w:rsidRDefault="00F65BCA">
            <w:pPr>
              <w:pStyle w:val="TableParagraph"/>
              <w:spacing w:before="2"/>
              <w:rPr>
                <w:rFonts w:ascii="Calibri"/>
                <w:sz w:val="2"/>
              </w:rPr>
            </w:pPr>
          </w:p>
          <w:p w14:paraId="0715837A" w14:textId="77777777" w:rsidR="00F65BCA" w:rsidRDefault="00216117">
            <w:pPr>
              <w:pStyle w:val="TableParagraph"/>
              <w:spacing w:before="1"/>
              <w:ind w:left="47"/>
              <w:rPr>
                <w:sz w:val="3"/>
              </w:rPr>
            </w:pPr>
            <w:r>
              <w:rPr>
                <w:w w:val="105"/>
                <w:sz w:val="3"/>
              </w:rPr>
              <w:t>1,31000000%</w:t>
            </w:r>
          </w:p>
        </w:tc>
      </w:tr>
      <w:tr w:rsidR="00F65BCA" w14:paraId="1A8B036F" w14:textId="77777777">
        <w:trPr>
          <w:trHeight w:val="273"/>
        </w:trPr>
        <w:tc>
          <w:tcPr>
            <w:tcW w:w="526" w:type="dxa"/>
            <w:tcBorders>
              <w:top w:val="nil"/>
              <w:bottom w:val="nil"/>
            </w:tcBorders>
            <w:shd w:val="clear" w:color="auto" w:fill="FCE4D6"/>
          </w:tcPr>
          <w:p w14:paraId="3FB651D9" w14:textId="77777777" w:rsidR="00F65BCA" w:rsidRDefault="00F65BCA">
            <w:pPr>
              <w:pStyle w:val="TableParagraph"/>
              <w:rPr>
                <w:rFonts w:ascii="Times New Roman"/>
                <w:sz w:val="2"/>
              </w:rPr>
            </w:pPr>
          </w:p>
        </w:tc>
        <w:tc>
          <w:tcPr>
            <w:tcW w:w="732" w:type="dxa"/>
            <w:tcBorders>
              <w:top w:val="nil"/>
            </w:tcBorders>
            <w:shd w:val="clear" w:color="auto" w:fill="FCE4D6"/>
          </w:tcPr>
          <w:p w14:paraId="506EC36E" w14:textId="77777777" w:rsidR="00F65BCA" w:rsidRDefault="00F65BCA">
            <w:pPr>
              <w:pStyle w:val="TableParagraph"/>
              <w:rPr>
                <w:rFonts w:ascii="Calibri"/>
                <w:sz w:val="2"/>
              </w:rPr>
            </w:pPr>
          </w:p>
          <w:p w14:paraId="444C2562" w14:textId="77777777" w:rsidR="00F65BCA" w:rsidRDefault="00216117">
            <w:pPr>
              <w:pStyle w:val="TableParagraph"/>
              <w:ind w:left="18" w:right="16"/>
              <w:jc w:val="center"/>
              <w:rPr>
                <w:sz w:val="3"/>
              </w:rPr>
            </w:pPr>
            <w:r>
              <w:rPr>
                <w:w w:val="105"/>
                <w:sz w:val="3"/>
              </w:rPr>
              <w:t>Mercedes</w:t>
            </w:r>
          </w:p>
        </w:tc>
        <w:tc>
          <w:tcPr>
            <w:tcW w:w="958" w:type="dxa"/>
            <w:gridSpan w:val="2"/>
            <w:shd w:val="clear" w:color="auto" w:fill="FCE4D6"/>
          </w:tcPr>
          <w:p w14:paraId="3842F2F3" w14:textId="77777777" w:rsidR="00F65BCA" w:rsidRDefault="00F65BCA">
            <w:pPr>
              <w:pStyle w:val="TableParagraph"/>
              <w:rPr>
                <w:rFonts w:ascii="Calibri"/>
                <w:sz w:val="2"/>
              </w:rPr>
            </w:pPr>
          </w:p>
          <w:p w14:paraId="7B6F1FA7" w14:textId="77777777" w:rsidR="00F65BCA" w:rsidRDefault="00216117">
            <w:pPr>
              <w:pStyle w:val="TableParagraph"/>
              <w:ind w:left="4"/>
              <w:rPr>
                <w:sz w:val="3"/>
              </w:rPr>
            </w:pPr>
            <w:r>
              <w:rPr>
                <w:w w:val="105"/>
                <w:sz w:val="3"/>
              </w:rPr>
              <w:t>ATEGO</w:t>
            </w:r>
            <w:r>
              <w:rPr>
                <w:spacing w:val="-4"/>
                <w:w w:val="105"/>
                <w:sz w:val="3"/>
              </w:rPr>
              <w:t xml:space="preserve"> </w:t>
            </w:r>
            <w:r>
              <w:rPr>
                <w:w w:val="105"/>
                <w:sz w:val="3"/>
              </w:rPr>
              <w:t>ŘADA</w:t>
            </w:r>
            <w:r>
              <w:rPr>
                <w:spacing w:val="-4"/>
                <w:w w:val="105"/>
                <w:sz w:val="3"/>
              </w:rPr>
              <w:t xml:space="preserve"> </w:t>
            </w:r>
            <w:r>
              <w:rPr>
                <w:w w:val="105"/>
                <w:sz w:val="3"/>
              </w:rPr>
              <w:t>1000;</w:t>
            </w:r>
            <w:r>
              <w:rPr>
                <w:spacing w:val="-3"/>
                <w:w w:val="105"/>
                <w:sz w:val="3"/>
              </w:rPr>
              <w:t xml:space="preserve"> </w:t>
            </w:r>
            <w:r>
              <w:rPr>
                <w:w w:val="105"/>
                <w:sz w:val="3"/>
              </w:rPr>
              <w:t>ATEGO</w:t>
            </w:r>
            <w:r>
              <w:rPr>
                <w:spacing w:val="-4"/>
                <w:w w:val="105"/>
                <w:sz w:val="3"/>
              </w:rPr>
              <w:t xml:space="preserve"> </w:t>
            </w:r>
            <w:r>
              <w:rPr>
                <w:w w:val="105"/>
                <w:sz w:val="3"/>
              </w:rPr>
              <w:t>ŘADA</w:t>
            </w:r>
            <w:r>
              <w:rPr>
                <w:spacing w:val="-4"/>
                <w:w w:val="105"/>
                <w:sz w:val="3"/>
              </w:rPr>
              <w:t xml:space="preserve"> </w:t>
            </w:r>
            <w:r>
              <w:rPr>
                <w:w w:val="105"/>
                <w:sz w:val="3"/>
              </w:rPr>
              <w:t>1200;</w:t>
            </w:r>
            <w:r>
              <w:rPr>
                <w:spacing w:val="-3"/>
                <w:w w:val="105"/>
                <w:sz w:val="3"/>
              </w:rPr>
              <w:t xml:space="preserve"> </w:t>
            </w:r>
            <w:r>
              <w:rPr>
                <w:w w:val="105"/>
                <w:sz w:val="3"/>
              </w:rPr>
              <w:t>ATEGO</w:t>
            </w:r>
            <w:r>
              <w:rPr>
                <w:spacing w:val="-4"/>
                <w:w w:val="105"/>
                <w:sz w:val="3"/>
              </w:rPr>
              <w:t xml:space="preserve"> </w:t>
            </w:r>
            <w:r>
              <w:rPr>
                <w:w w:val="105"/>
                <w:sz w:val="3"/>
              </w:rPr>
              <w:t>ŘADA</w:t>
            </w:r>
            <w:r>
              <w:rPr>
                <w:spacing w:val="-3"/>
                <w:w w:val="105"/>
                <w:sz w:val="3"/>
              </w:rPr>
              <w:t xml:space="preserve"> </w:t>
            </w:r>
            <w:r>
              <w:rPr>
                <w:w w:val="105"/>
                <w:sz w:val="3"/>
              </w:rPr>
              <w:t>1300;</w:t>
            </w:r>
          </w:p>
          <w:p w14:paraId="711E3F87" w14:textId="77777777" w:rsidR="00F65BCA" w:rsidRDefault="00216117">
            <w:pPr>
              <w:pStyle w:val="TableParagraph"/>
              <w:spacing w:line="283" w:lineRule="auto"/>
              <w:ind w:left="4" w:right="24"/>
              <w:rPr>
                <w:sz w:val="3"/>
              </w:rPr>
            </w:pPr>
            <w:r>
              <w:rPr>
                <w:w w:val="105"/>
                <w:sz w:val="3"/>
              </w:rPr>
              <w:t>ATEGO ŘADA 1500; ATEGO ŘADA 700; ATEGO ŘADA 800; ATEGO</w:t>
            </w:r>
            <w:r>
              <w:rPr>
                <w:spacing w:val="-3"/>
                <w:w w:val="105"/>
                <w:sz w:val="3"/>
              </w:rPr>
              <w:t xml:space="preserve"> </w:t>
            </w:r>
            <w:r>
              <w:rPr>
                <w:w w:val="105"/>
                <w:sz w:val="3"/>
              </w:rPr>
              <w:t>ŘADA</w:t>
            </w:r>
            <w:r>
              <w:rPr>
                <w:spacing w:val="-1"/>
                <w:w w:val="105"/>
                <w:sz w:val="3"/>
              </w:rPr>
              <w:t xml:space="preserve"> </w:t>
            </w:r>
            <w:r>
              <w:rPr>
                <w:w w:val="105"/>
                <w:sz w:val="3"/>
              </w:rPr>
              <w:t>900;</w:t>
            </w:r>
            <w:r>
              <w:rPr>
                <w:spacing w:val="-2"/>
                <w:w w:val="105"/>
                <w:sz w:val="3"/>
              </w:rPr>
              <w:t xml:space="preserve"> </w:t>
            </w:r>
            <w:r>
              <w:rPr>
                <w:w w:val="105"/>
                <w:sz w:val="3"/>
              </w:rPr>
              <w:t>JINÉ;</w:t>
            </w:r>
            <w:r>
              <w:rPr>
                <w:spacing w:val="-1"/>
                <w:w w:val="105"/>
                <w:sz w:val="3"/>
              </w:rPr>
              <w:t xml:space="preserve"> </w:t>
            </w:r>
            <w:r>
              <w:rPr>
                <w:w w:val="105"/>
                <w:sz w:val="3"/>
              </w:rPr>
              <w:t>ŘADA</w:t>
            </w:r>
            <w:r>
              <w:rPr>
                <w:spacing w:val="-2"/>
                <w:w w:val="105"/>
                <w:sz w:val="3"/>
              </w:rPr>
              <w:t xml:space="preserve"> </w:t>
            </w:r>
            <w:r>
              <w:rPr>
                <w:w w:val="105"/>
                <w:sz w:val="3"/>
              </w:rPr>
              <w:t>LK</w:t>
            </w:r>
            <w:r>
              <w:rPr>
                <w:spacing w:val="-2"/>
                <w:w w:val="105"/>
                <w:sz w:val="3"/>
              </w:rPr>
              <w:t xml:space="preserve"> </w:t>
            </w:r>
            <w:r>
              <w:rPr>
                <w:w w:val="105"/>
                <w:sz w:val="3"/>
              </w:rPr>
              <w:t>1100;</w:t>
            </w:r>
            <w:r>
              <w:rPr>
                <w:spacing w:val="-1"/>
                <w:w w:val="105"/>
                <w:sz w:val="3"/>
              </w:rPr>
              <w:t xml:space="preserve"> </w:t>
            </w:r>
            <w:r>
              <w:rPr>
                <w:w w:val="105"/>
                <w:sz w:val="3"/>
              </w:rPr>
              <w:t>ŘADA</w:t>
            </w:r>
            <w:r>
              <w:rPr>
                <w:spacing w:val="-2"/>
                <w:w w:val="105"/>
                <w:sz w:val="3"/>
              </w:rPr>
              <w:t xml:space="preserve"> </w:t>
            </w:r>
            <w:r>
              <w:rPr>
                <w:w w:val="105"/>
                <w:sz w:val="3"/>
              </w:rPr>
              <w:t>LK</w:t>
            </w:r>
            <w:r>
              <w:rPr>
                <w:spacing w:val="-1"/>
                <w:w w:val="105"/>
                <w:sz w:val="3"/>
              </w:rPr>
              <w:t xml:space="preserve"> </w:t>
            </w:r>
            <w:r>
              <w:rPr>
                <w:w w:val="105"/>
                <w:sz w:val="3"/>
              </w:rPr>
              <w:t>1300;</w:t>
            </w:r>
            <w:r>
              <w:rPr>
                <w:spacing w:val="-2"/>
                <w:w w:val="105"/>
                <w:sz w:val="3"/>
              </w:rPr>
              <w:t xml:space="preserve"> </w:t>
            </w:r>
            <w:r>
              <w:rPr>
                <w:w w:val="105"/>
                <w:sz w:val="3"/>
              </w:rPr>
              <w:t>ŘADA LK</w:t>
            </w:r>
            <w:r>
              <w:rPr>
                <w:spacing w:val="-2"/>
                <w:w w:val="105"/>
                <w:sz w:val="3"/>
              </w:rPr>
              <w:t xml:space="preserve"> </w:t>
            </w:r>
            <w:r>
              <w:rPr>
                <w:w w:val="105"/>
                <w:sz w:val="3"/>
              </w:rPr>
              <w:t>1500;</w:t>
            </w:r>
            <w:r>
              <w:rPr>
                <w:spacing w:val="-1"/>
                <w:w w:val="105"/>
                <w:sz w:val="3"/>
              </w:rPr>
              <w:t xml:space="preserve"> </w:t>
            </w:r>
            <w:r>
              <w:rPr>
                <w:w w:val="105"/>
                <w:sz w:val="3"/>
              </w:rPr>
              <w:t>ŘADA</w:t>
            </w:r>
            <w:r>
              <w:rPr>
                <w:spacing w:val="-1"/>
                <w:w w:val="105"/>
                <w:sz w:val="3"/>
              </w:rPr>
              <w:t xml:space="preserve"> </w:t>
            </w:r>
            <w:r>
              <w:rPr>
                <w:w w:val="105"/>
                <w:sz w:val="3"/>
              </w:rPr>
              <w:t>LK</w:t>
            </w:r>
            <w:r>
              <w:rPr>
                <w:spacing w:val="-1"/>
                <w:w w:val="105"/>
                <w:sz w:val="3"/>
              </w:rPr>
              <w:t xml:space="preserve"> </w:t>
            </w:r>
            <w:r>
              <w:rPr>
                <w:w w:val="105"/>
                <w:sz w:val="3"/>
              </w:rPr>
              <w:t>700;</w:t>
            </w:r>
            <w:r>
              <w:rPr>
                <w:spacing w:val="-1"/>
                <w:w w:val="105"/>
                <w:sz w:val="3"/>
              </w:rPr>
              <w:t xml:space="preserve"> </w:t>
            </w:r>
            <w:r>
              <w:rPr>
                <w:w w:val="105"/>
                <w:sz w:val="3"/>
              </w:rPr>
              <w:t>ŘADA</w:t>
            </w:r>
            <w:r>
              <w:rPr>
                <w:spacing w:val="-2"/>
                <w:w w:val="105"/>
                <w:sz w:val="3"/>
              </w:rPr>
              <w:t xml:space="preserve"> </w:t>
            </w:r>
            <w:r>
              <w:rPr>
                <w:w w:val="105"/>
                <w:sz w:val="3"/>
              </w:rPr>
              <w:t>LK</w:t>
            </w:r>
            <w:r>
              <w:rPr>
                <w:spacing w:val="-1"/>
                <w:w w:val="105"/>
                <w:sz w:val="3"/>
              </w:rPr>
              <w:t xml:space="preserve"> </w:t>
            </w:r>
            <w:r>
              <w:rPr>
                <w:w w:val="105"/>
                <w:sz w:val="3"/>
              </w:rPr>
              <w:t>800;</w:t>
            </w:r>
            <w:r>
              <w:rPr>
                <w:spacing w:val="-1"/>
                <w:w w:val="105"/>
                <w:sz w:val="3"/>
              </w:rPr>
              <w:t xml:space="preserve"> </w:t>
            </w:r>
            <w:r>
              <w:rPr>
                <w:w w:val="105"/>
                <w:sz w:val="3"/>
              </w:rPr>
              <w:t>ŘADA</w:t>
            </w:r>
            <w:r>
              <w:rPr>
                <w:spacing w:val="-1"/>
                <w:w w:val="105"/>
                <w:sz w:val="3"/>
              </w:rPr>
              <w:t xml:space="preserve"> </w:t>
            </w:r>
            <w:r>
              <w:rPr>
                <w:w w:val="105"/>
                <w:sz w:val="3"/>
              </w:rPr>
              <w:t>LK</w:t>
            </w:r>
            <w:r>
              <w:rPr>
                <w:spacing w:val="-1"/>
                <w:w w:val="105"/>
                <w:sz w:val="3"/>
              </w:rPr>
              <w:t xml:space="preserve"> </w:t>
            </w:r>
            <w:r>
              <w:rPr>
                <w:w w:val="105"/>
                <w:sz w:val="3"/>
              </w:rPr>
              <w:t>900;</w:t>
            </w:r>
            <w:r>
              <w:rPr>
                <w:spacing w:val="-2"/>
                <w:w w:val="105"/>
                <w:sz w:val="3"/>
              </w:rPr>
              <w:t xml:space="preserve"> </w:t>
            </w:r>
            <w:r>
              <w:rPr>
                <w:w w:val="105"/>
                <w:sz w:val="3"/>
              </w:rPr>
              <w:t>ŘADA</w:t>
            </w:r>
            <w:r>
              <w:rPr>
                <w:spacing w:val="-1"/>
                <w:w w:val="105"/>
                <w:sz w:val="3"/>
              </w:rPr>
              <w:t xml:space="preserve"> </w:t>
            </w:r>
            <w:r>
              <w:rPr>
                <w:w w:val="105"/>
                <w:sz w:val="3"/>
              </w:rPr>
              <w:t>MK</w:t>
            </w:r>
          </w:p>
          <w:p w14:paraId="3078139B" w14:textId="77777777" w:rsidR="00F65BCA" w:rsidRDefault="00216117">
            <w:pPr>
              <w:pStyle w:val="TableParagraph"/>
              <w:ind w:left="4"/>
              <w:rPr>
                <w:sz w:val="3"/>
              </w:rPr>
            </w:pPr>
            <w:r>
              <w:rPr>
                <w:w w:val="105"/>
                <w:sz w:val="3"/>
              </w:rPr>
              <w:t>1100;</w:t>
            </w:r>
            <w:r>
              <w:rPr>
                <w:spacing w:val="-2"/>
                <w:w w:val="105"/>
                <w:sz w:val="3"/>
              </w:rPr>
              <w:t xml:space="preserve"> </w:t>
            </w:r>
            <w:r>
              <w:rPr>
                <w:w w:val="105"/>
                <w:sz w:val="3"/>
              </w:rPr>
              <w:t>ŘADA</w:t>
            </w:r>
            <w:r>
              <w:rPr>
                <w:spacing w:val="-2"/>
                <w:w w:val="105"/>
                <w:sz w:val="3"/>
              </w:rPr>
              <w:t xml:space="preserve"> </w:t>
            </w:r>
            <w:r>
              <w:rPr>
                <w:w w:val="105"/>
                <w:sz w:val="3"/>
              </w:rPr>
              <w:t>MK</w:t>
            </w:r>
            <w:r>
              <w:rPr>
                <w:spacing w:val="-1"/>
                <w:w w:val="105"/>
                <w:sz w:val="3"/>
              </w:rPr>
              <w:t xml:space="preserve"> </w:t>
            </w:r>
            <w:r>
              <w:rPr>
                <w:w w:val="105"/>
                <w:sz w:val="3"/>
              </w:rPr>
              <w:t>1300;</w:t>
            </w:r>
            <w:r>
              <w:rPr>
                <w:spacing w:val="-2"/>
                <w:w w:val="105"/>
                <w:sz w:val="3"/>
              </w:rPr>
              <w:t xml:space="preserve"> </w:t>
            </w:r>
            <w:r>
              <w:rPr>
                <w:w w:val="105"/>
                <w:sz w:val="3"/>
              </w:rPr>
              <w:t>ŘADA</w:t>
            </w:r>
            <w:r>
              <w:rPr>
                <w:spacing w:val="-2"/>
                <w:w w:val="105"/>
                <w:sz w:val="3"/>
              </w:rPr>
              <w:t xml:space="preserve"> </w:t>
            </w:r>
            <w:r>
              <w:rPr>
                <w:w w:val="105"/>
                <w:sz w:val="3"/>
              </w:rPr>
              <w:t>MK</w:t>
            </w:r>
            <w:r>
              <w:rPr>
                <w:spacing w:val="-1"/>
                <w:w w:val="105"/>
                <w:sz w:val="3"/>
              </w:rPr>
              <w:t xml:space="preserve"> </w:t>
            </w:r>
            <w:r>
              <w:rPr>
                <w:w w:val="105"/>
                <w:sz w:val="3"/>
              </w:rPr>
              <w:t>1400;</w:t>
            </w:r>
            <w:r>
              <w:rPr>
                <w:spacing w:val="-2"/>
                <w:w w:val="105"/>
                <w:sz w:val="3"/>
              </w:rPr>
              <w:t xml:space="preserve"> </w:t>
            </w:r>
            <w:r>
              <w:rPr>
                <w:w w:val="105"/>
                <w:sz w:val="3"/>
              </w:rPr>
              <w:t>ŘADA</w:t>
            </w:r>
            <w:r>
              <w:rPr>
                <w:spacing w:val="-2"/>
                <w:w w:val="105"/>
                <w:sz w:val="3"/>
              </w:rPr>
              <w:t xml:space="preserve"> </w:t>
            </w:r>
            <w:r>
              <w:rPr>
                <w:w w:val="105"/>
                <w:sz w:val="3"/>
              </w:rPr>
              <w:t>MK</w:t>
            </w:r>
            <w:r>
              <w:rPr>
                <w:spacing w:val="-1"/>
                <w:w w:val="105"/>
                <w:sz w:val="3"/>
              </w:rPr>
              <w:t xml:space="preserve"> </w:t>
            </w:r>
            <w:r>
              <w:rPr>
                <w:w w:val="105"/>
                <w:sz w:val="3"/>
              </w:rPr>
              <w:t>1500;</w:t>
            </w:r>
            <w:r>
              <w:rPr>
                <w:spacing w:val="-2"/>
                <w:w w:val="105"/>
                <w:sz w:val="3"/>
              </w:rPr>
              <w:t xml:space="preserve"> </w:t>
            </w:r>
            <w:r>
              <w:rPr>
                <w:w w:val="105"/>
                <w:sz w:val="3"/>
              </w:rPr>
              <w:t>ŘADA</w:t>
            </w:r>
          </w:p>
          <w:p w14:paraId="0994FB00" w14:textId="77777777" w:rsidR="00F65BCA" w:rsidRDefault="00216117">
            <w:pPr>
              <w:pStyle w:val="TableParagraph"/>
              <w:spacing w:before="7" w:line="31" w:lineRule="exact"/>
              <w:ind w:left="4"/>
              <w:rPr>
                <w:sz w:val="3"/>
              </w:rPr>
            </w:pPr>
            <w:r>
              <w:rPr>
                <w:w w:val="105"/>
                <w:sz w:val="3"/>
              </w:rPr>
              <w:t>MK 900; SPRINTER NAD 3,5t; VARIO</w:t>
            </w:r>
          </w:p>
        </w:tc>
        <w:tc>
          <w:tcPr>
            <w:tcW w:w="576" w:type="dxa"/>
            <w:shd w:val="clear" w:color="auto" w:fill="FCE4D6"/>
          </w:tcPr>
          <w:p w14:paraId="336DF2BC" w14:textId="77777777" w:rsidR="00F65BCA" w:rsidRDefault="00F65BCA">
            <w:pPr>
              <w:pStyle w:val="TableParagraph"/>
              <w:rPr>
                <w:rFonts w:ascii="Calibri"/>
                <w:sz w:val="2"/>
              </w:rPr>
            </w:pPr>
          </w:p>
          <w:p w14:paraId="1C05F7EE" w14:textId="77777777" w:rsidR="00F65BCA" w:rsidRDefault="00F65BCA">
            <w:pPr>
              <w:pStyle w:val="TableParagraph"/>
              <w:rPr>
                <w:rFonts w:ascii="Calibri"/>
                <w:sz w:val="2"/>
              </w:rPr>
            </w:pPr>
          </w:p>
          <w:p w14:paraId="2C0532F0" w14:textId="77777777" w:rsidR="00F65BCA" w:rsidRDefault="00F65BCA">
            <w:pPr>
              <w:pStyle w:val="TableParagraph"/>
              <w:rPr>
                <w:rFonts w:ascii="Calibri"/>
                <w:sz w:val="2"/>
              </w:rPr>
            </w:pPr>
          </w:p>
          <w:p w14:paraId="5E7FF3FB" w14:textId="77777777" w:rsidR="00F65BCA" w:rsidRDefault="00F65BCA">
            <w:pPr>
              <w:pStyle w:val="TableParagraph"/>
              <w:rPr>
                <w:rFonts w:ascii="Calibri"/>
                <w:sz w:val="2"/>
              </w:rPr>
            </w:pPr>
          </w:p>
          <w:p w14:paraId="6DBFD95E" w14:textId="77777777" w:rsidR="00F65BCA" w:rsidRDefault="00F65BCA">
            <w:pPr>
              <w:pStyle w:val="TableParagraph"/>
              <w:rPr>
                <w:rFonts w:ascii="Calibri"/>
                <w:sz w:val="2"/>
              </w:rPr>
            </w:pPr>
          </w:p>
          <w:p w14:paraId="7402EEA5" w14:textId="77777777" w:rsidR="00F65BCA" w:rsidRDefault="00216117">
            <w:pPr>
              <w:pStyle w:val="TableParagraph"/>
              <w:ind w:left="3"/>
              <w:jc w:val="center"/>
              <w:rPr>
                <w:sz w:val="3"/>
              </w:rPr>
            </w:pPr>
            <w:r>
              <w:rPr>
                <w:w w:val="103"/>
                <w:sz w:val="3"/>
              </w:rPr>
              <w:t>-</w:t>
            </w:r>
          </w:p>
        </w:tc>
        <w:tc>
          <w:tcPr>
            <w:tcW w:w="576" w:type="dxa"/>
            <w:shd w:val="clear" w:color="auto" w:fill="FCE4D6"/>
          </w:tcPr>
          <w:p w14:paraId="2F8A27C1" w14:textId="77777777" w:rsidR="00F65BCA" w:rsidRDefault="00F65BCA">
            <w:pPr>
              <w:pStyle w:val="TableParagraph"/>
              <w:rPr>
                <w:rFonts w:ascii="Calibri"/>
                <w:sz w:val="2"/>
              </w:rPr>
            </w:pPr>
          </w:p>
          <w:p w14:paraId="6223DBAC" w14:textId="77777777" w:rsidR="00F65BCA" w:rsidRDefault="00F65BCA">
            <w:pPr>
              <w:pStyle w:val="TableParagraph"/>
              <w:rPr>
                <w:rFonts w:ascii="Calibri"/>
                <w:sz w:val="2"/>
              </w:rPr>
            </w:pPr>
          </w:p>
          <w:p w14:paraId="14AF370B" w14:textId="77777777" w:rsidR="00F65BCA" w:rsidRDefault="00F65BCA">
            <w:pPr>
              <w:pStyle w:val="TableParagraph"/>
              <w:rPr>
                <w:rFonts w:ascii="Calibri"/>
                <w:sz w:val="2"/>
              </w:rPr>
            </w:pPr>
          </w:p>
          <w:p w14:paraId="20DF6781" w14:textId="77777777" w:rsidR="00F65BCA" w:rsidRDefault="00F65BCA">
            <w:pPr>
              <w:pStyle w:val="TableParagraph"/>
              <w:rPr>
                <w:rFonts w:ascii="Calibri"/>
                <w:sz w:val="2"/>
              </w:rPr>
            </w:pPr>
          </w:p>
          <w:p w14:paraId="359296C8" w14:textId="77777777" w:rsidR="00F65BCA" w:rsidRDefault="00F65BCA">
            <w:pPr>
              <w:pStyle w:val="TableParagraph"/>
              <w:rPr>
                <w:rFonts w:ascii="Calibri"/>
                <w:sz w:val="2"/>
              </w:rPr>
            </w:pPr>
          </w:p>
          <w:p w14:paraId="53AF451B"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05FAFD78" w14:textId="77777777" w:rsidR="00F65BCA" w:rsidRDefault="00F65BCA">
            <w:pPr>
              <w:rPr>
                <w:sz w:val="2"/>
                <w:szCs w:val="2"/>
              </w:rPr>
            </w:pPr>
          </w:p>
        </w:tc>
        <w:tc>
          <w:tcPr>
            <w:tcW w:w="288" w:type="dxa"/>
          </w:tcPr>
          <w:p w14:paraId="08DAA436" w14:textId="77777777" w:rsidR="00F65BCA" w:rsidRDefault="00F65BCA">
            <w:pPr>
              <w:pStyle w:val="TableParagraph"/>
              <w:rPr>
                <w:rFonts w:ascii="Calibri"/>
                <w:sz w:val="2"/>
              </w:rPr>
            </w:pPr>
          </w:p>
          <w:p w14:paraId="46DA6743" w14:textId="77777777" w:rsidR="00F65BCA" w:rsidRDefault="00F65BCA">
            <w:pPr>
              <w:pStyle w:val="TableParagraph"/>
              <w:rPr>
                <w:rFonts w:ascii="Calibri"/>
                <w:sz w:val="2"/>
              </w:rPr>
            </w:pPr>
          </w:p>
          <w:p w14:paraId="43B83F4B" w14:textId="77777777" w:rsidR="00F65BCA" w:rsidRDefault="00F65BCA">
            <w:pPr>
              <w:pStyle w:val="TableParagraph"/>
              <w:rPr>
                <w:rFonts w:ascii="Calibri"/>
                <w:sz w:val="2"/>
              </w:rPr>
            </w:pPr>
          </w:p>
          <w:p w14:paraId="0E6104CE" w14:textId="77777777" w:rsidR="00F65BCA" w:rsidRDefault="00F65BCA">
            <w:pPr>
              <w:pStyle w:val="TableParagraph"/>
              <w:rPr>
                <w:rFonts w:ascii="Calibri"/>
                <w:sz w:val="2"/>
              </w:rPr>
            </w:pPr>
          </w:p>
          <w:p w14:paraId="3B01FD2C" w14:textId="77777777" w:rsidR="00F65BCA" w:rsidRDefault="00F65BCA">
            <w:pPr>
              <w:pStyle w:val="TableParagraph"/>
              <w:rPr>
                <w:rFonts w:ascii="Calibri"/>
                <w:sz w:val="2"/>
              </w:rPr>
            </w:pPr>
          </w:p>
          <w:p w14:paraId="565A4C83" w14:textId="77777777" w:rsidR="00F65BCA" w:rsidRDefault="00216117">
            <w:pPr>
              <w:pStyle w:val="TableParagraph"/>
              <w:ind w:left="24" w:right="24"/>
              <w:jc w:val="center"/>
              <w:rPr>
                <w:sz w:val="3"/>
              </w:rPr>
            </w:pPr>
            <w:r>
              <w:rPr>
                <w:w w:val="105"/>
                <w:sz w:val="3"/>
              </w:rPr>
              <w:t>2,48900000%</w:t>
            </w:r>
          </w:p>
        </w:tc>
        <w:tc>
          <w:tcPr>
            <w:tcW w:w="288" w:type="dxa"/>
          </w:tcPr>
          <w:p w14:paraId="61361B06" w14:textId="77777777" w:rsidR="00F65BCA" w:rsidRDefault="00F65BCA">
            <w:pPr>
              <w:pStyle w:val="TableParagraph"/>
              <w:rPr>
                <w:rFonts w:ascii="Calibri"/>
                <w:sz w:val="2"/>
              </w:rPr>
            </w:pPr>
          </w:p>
          <w:p w14:paraId="73B7A26C" w14:textId="77777777" w:rsidR="00F65BCA" w:rsidRDefault="00F65BCA">
            <w:pPr>
              <w:pStyle w:val="TableParagraph"/>
              <w:rPr>
                <w:rFonts w:ascii="Calibri"/>
                <w:sz w:val="2"/>
              </w:rPr>
            </w:pPr>
          </w:p>
          <w:p w14:paraId="66DF02FE" w14:textId="77777777" w:rsidR="00F65BCA" w:rsidRDefault="00F65BCA">
            <w:pPr>
              <w:pStyle w:val="TableParagraph"/>
              <w:rPr>
                <w:rFonts w:ascii="Calibri"/>
                <w:sz w:val="2"/>
              </w:rPr>
            </w:pPr>
          </w:p>
          <w:p w14:paraId="1482AA8F" w14:textId="77777777" w:rsidR="00F65BCA" w:rsidRDefault="00F65BCA">
            <w:pPr>
              <w:pStyle w:val="TableParagraph"/>
              <w:rPr>
                <w:rFonts w:ascii="Calibri"/>
                <w:sz w:val="2"/>
              </w:rPr>
            </w:pPr>
          </w:p>
          <w:p w14:paraId="73D5F315" w14:textId="77777777" w:rsidR="00F65BCA" w:rsidRDefault="00F65BCA">
            <w:pPr>
              <w:pStyle w:val="TableParagraph"/>
              <w:rPr>
                <w:rFonts w:ascii="Calibri"/>
                <w:sz w:val="2"/>
              </w:rPr>
            </w:pPr>
          </w:p>
          <w:p w14:paraId="71DB633D" w14:textId="77777777" w:rsidR="00F65BCA" w:rsidRDefault="00216117">
            <w:pPr>
              <w:pStyle w:val="TableParagraph"/>
              <w:ind w:left="24" w:right="24"/>
              <w:jc w:val="center"/>
              <w:rPr>
                <w:sz w:val="3"/>
              </w:rPr>
            </w:pPr>
            <w:r>
              <w:rPr>
                <w:w w:val="105"/>
                <w:sz w:val="3"/>
              </w:rPr>
              <w:t>2,22700000%</w:t>
            </w:r>
          </w:p>
        </w:tc>
        <w:tc>
          <w:tcPr>
            <w:tcW w:w="288" w:type="dxa"/>
          </w:tcPr>
          <w:p w14:paraId="087B09AF" w14:textId="77777777" w:rsidR="00F65BCA" w:rsidRDefault="00F65BCA">
            <w:pPr>
              <w:pStyle w:val="TableParagraph"/>
              <w:rPr>
                <w:rFonts w:ascii="Calibri"/>
                <w:sz w:val="2"/>
              </w:rPr>
            </w:pPr>
          </w:p>
          <w:p w14:paraId="732F2F0D" w14:textId="77777777" w:rsidR="00F65BCA" w:rsidRDefault="00F65BCA">
            <w:pPr>
              <w:pStyle w:val="TableParagraph"/>
              <w:rPr>
                <w:rFonts w:ascii="Calibri"/>
                <w:sz w:val="2"/>
              </w:rPr>
            </w:pPr>
          </w:p>
          <w:p w14:paraId="742CF391" w14:textId="77777777" w:rsidR="00F65BCA" w:rsidRDefault="00F65BCA">
            <w:pPr>
              <w:pStyle w:val="TableParagraph"/>
              <w:rPr>
                <w:rFonts w:ascii="Calibri"/>
                <w:sz w:val="2"/>
              </w:rPr>
            </w:pPr>
          </w:p>
          <w:p w14:paraId="7B88E69A" w14:textId="77777777" w:rsidR="00F65BCA" w:rsidRDefault="00F65BCA">
            <w:pPr>
              <w:pStyle w:val="TableParagraph"/>
              <w:rPr>
                <w:rFonts w:ascii="Calibri"/>
                <w:sz w:val="2"/>
              </w:rPr>
            </w:pPr>
          </w:p>
          <w:p w14:paraId="4E03958F" w14:textId="77777777" w:rsidR="00F65BCA" w:rsidRDefault="00F65BCA">
            <w:pPr>
              <w:pStyle w:val="TableParagraph"/>
              <w:rPr>
                <w:rFonts w:ascii="Calibri"/>
                <w:sz w:val="2"/>
              </w:rPr>
            </w:pPr>
          </w:p>
          <w:p w14:paraId="7A8D7346" w14:textId="77777777" w:rsidR="00F65BCA" w:rsidRDefault="00216117">
            <w:pPr>
              <w:pStyle w:val="TableParagraph"/>
              <w:ind w:left="47"/>
              <w:rPr>
                <w:sz w:val="3"/>
              </w:rPr>
            </w:pPr>
            <w:r>
              <w:rPr>
                <w:w w:val="105"/>
                <w:sz w:val="3"/>
              </w:rPr>
              <w:t>2,22700000%</w:t>
            </w:r>
          </w:p>
        </w:tc>
        <w:tc>
          <w:tcPr>
            <w:tcW w:w="288" w:type="dxa"/>
          </w:tcPr>
          <w:p w14:paraId="1F8C4CF4" w14:textId="77777777" w:rsidR="00F65BCA" w:rsidRDefault="00F65BCA">
            <w:pPr>
              <w:pStyle w:val="TableParagraph"/>
              <w:rPr>
                <w:rFonts w:ascii="Calibri"/>
                <w:sz w:val="2"/>
              </w:rPr>
            </w:pPr>
          </w:p>
          <w:p w14:paraId="6470DE51" w14:textId="77777777" w:rsidR="00F65BCA" w:rsidRDefault="00F65BCA">
            <w:pPr>
              <w:pStyle w:val="TableParagraph"/>
              <w:rPr>
                <w:rFonts w:ascii="Calibri"/>
                <w:sz w:val="2"/>
              </w:rPr>
            </w:pPr>
          </w:p>
          <w:p w14:paraId="590DB3AC" w14:textId="77777777" w:rsidR="00F65BCA" w:rsidRDefault="00F65BCA">
            <w:pPr>
              <w:pStyle w:val="TableParagraph"/>
              <w:rPr>
                <w:rFonts w:ascii="Calibri"/>
                <w:sz w:val="2"/>
              </w:rPr>
            </w:pPr>
          </w:p>
          <w:p w14:paraId="7DB2BD0D" w14:textId="77777777" w:rsidR="00F65BCA" w:rsidRDefault="00F65BCA">
            <w:pPr>
              <w:pStyle w:val="TableParagraph"/>
              <w:rPr>
                <w:rFonts w:ascii="Calibri"/>
                <w:sz w:val="2"/>
              </w:rPr>
            </w:pPr>
          </w:p>
          <w:p w14:paraId="4D0B8752" w14:textId="77777777" w:rsidR="00F65BCA" w:rsidRDefault="00F65BCA">
            <w:pPr>
              <w:pStyle w:val="TableParagraph"/>
              <w:rPr>
                <w:rFonts w:ascii="Calibri"/>
                <w:sz w:val="2"/>
              </w:rPr>
            </w:pPr>
          </w:p>
          <w:p w14:paraId="4E532855" w14:textId="77777777" w:rsidR="00F65BCA" w:rsidRDefault="00216117">
            <w:pPr>
              <w:pStyle w:val="TableParagraph"/>
              <w:ind w:left="24" w:right="24"/>
              <w:jc w:val="center"/>
              <w:rPr>
                <w:sz w:val="3"/>
              </w:rPr>
            </w:pPr>
            <w:r>
              <w:rPr>
                <w:w w:val="105"/>
                <w:sz w:val="3"/>
              </w:rPr>
              <w:t>2,03050000%</w:t>
            </w:r>
          </w:p>
        </w:tc>
        <w:tc>
          <w:tcPr>
            <w:tcW w:w="288" w:type="dxa"/>
          </w:tcPr>
          <w:p w14:paraId="673F3305" w14:textId="77777777" w:rsidR="00F65BCA" w:rsidRDefault="00F65BCA">
            <w:pPr>
              <w:pStyle w:val="TableParagraph"/>
              <w:rPr>
                <w:rFonts w:ascii="Calibri"/>
                <w:sz w:val="2"/>
              </w:rPr>
            </w:pPr>
          </w:p>
          <w:p w14:paraId="7E954777" w14:textId="77777777" w:rsidR="00F65BCA" w:rsidRDefault="00F65BCA">
            <w:pPr>
              <w:pStyle w:val="TableParagraph"/>
              <w:rPr>
                <w:rFonts w:ascii="Calibri"/>
                <w:sz w:val="2"/>
              </w:rPr>
            </w:pPr>
          </w:p>
          <w:p w14:paraId="3FE39BB6" w14:textId="77777777" w:rsidR="00F65BCA" w:rsidRDefault="00F65BCA">
            <w:pPr>
              <w:pStyle w:val="TableParagraph"/>
              <w:rPr>
                <w:rFonts w:ascii="Calibri"/>
                <w:sz w:val="2"/>
              </w:rPr>
            </w:pPr>
          </w:p>
          <w:p w14:paraId="19D97C25" w14:textId="77777777" w:rsidR="00F65BCA" w:rsidRDefault="00F65BCA">
            <w:pPr>
              <w:pStyle w:val="TableParagraph"/>
              <w:rPr>
                <w:rFonts w:ascii="Calibri"/>
                <w:sz w:val="2"/>
              </w:rPr>
            </w:pPr>
          </w:p>
          <w:p w14:paraId="477C67EA" w14:textId="77777777" w:rsidR="00F65BCA" w:rsidRDefault="00F65BCA">
            <w:pPr>
              <w:pStyle w:val="TableParagraph"/>
              <w:rPr>
                <w:rFonts w:ascii="Calibri"/>
                <w:sz w:val="2"/>
              </w:rPr>
            </w:pPr>
          </w:p>
          <w:p w14:paraId="0AAB58FF" w14:textId="77777777" w:rsidR="00F65BCA" w:rsidRDefault="00216117">
            <w:pPr>
              <w:pStyle w:val="TableParagraph"/>
              <w:ind w:left="47"/>
              <w:rPr>
                <w:sz w:val="3"/>
              </w:rPr>
            </w:pPr>
            <w:r>
              <w:rPr>
                <w:w w:val="105"/>
                <w:sz w:val="3"/>
              </w:rPr>
              <w:t>2,03050000%</w:t>
            </w:r>
          </w:p>
        </w:tc>
        <w:tc>
          <w:tcPr>
            <w:tcW w:w="288" w:type="dxa"/>
          </w:tcPr>
          <w:p w14:paraId="6A81F212" w14:textId="77777777" w:rsidR="00F65BCA" w:rsidRDefault="00F65BCA">
            <w:pPr>
              <w:pStyle w:val="TableParagraph"/>
              <w:rPr>
                <w:rFonts w:ascii="Calibri"/>
                <w:sz w:val="2"/>
              </w:rPr>
            </w:pPr>
          </w:p>
          <w:p w14:paraId="163088AA" w14:textId="77777777" w:rsidR="00F65BCA" w:rsidRDefault="00F65BCA">
            <w:pPr>
              <w:pStyle w:val="TableParagraph"/>
              <w:rPr>
                <w:rFonts w:ascii="Calibri"/>
                <w:sz w:val="2"/>
              </w:rPr>
            </w:pPr>
          </w:p>
          <w:p w14:paraId="5EF7995A" w14:textId="77777777" w:rsidR="00F65BCA" w:rsidRDefault="00F65BCA">
            <w:pPr>
              <w:pStyle w:val="TableParagraph"/>
              <w:rPr>
                <w:rFonts w:ascii="Calibri"/>
                <w:sz w:val="2"/>
              </w:rPr>
            </w:pPr>
          </w:p>
          <w:p w14:paraId="5BC3095B" w14:textId="77777777" w:rsidR="00F65BCA" w:rsidRDefault="00F65BCA">
            <w:pPr>
              <w:pStyle w:val="TableParagraph"/>
              <w:rPr>
                <w:rFonts w:ascii="Calibri"/>
                <w:sz w:val="2"/>
              </w:rPr>
            </w:pPr>
          </w:p>
          <w:p w14:paraId="644AC4F8" w14:textId="77777777" w:rsidR="00F65BCA" w:rsidRDefault="00F65BCA">
            <w:pPr>
              <w:pStyle w:val="TableParagraph"/>
              <w:rPr>
                <w:rFonts w:ascii="Calibri"/>
                <w:sz w:val="2"/>
              </w:rPr>
            </w:pPr>
          </w:p>
          <w:p w14:paraId="237340ED" w14:textId="77777777" w:rsidR="00F65BCA" w:rsidRDefault="00216117">
            <w:pPr>
              <w:pStyle w:val="TableParagraph"/>
              <w:ind w:left="24" w:right="24"/>
              <w:jc w:val="center"/>
              <w:rPr>
                <w:sz w:val="3"/>
              </w:rPr>
            </w:pPr>
            <w:r>
              <w:rPr>
                <w:w w:val="105"/>
                <w:sz w:val="3"/>
              </w:rPr>
              <w:t>1,83400000%</w:t>
            </w:r>
          </w:p>
        </w:tc>
        <w:tc>
          <w:tcPr>
            <w:tcW w:w="288" w:type="dxa"/>
          </w:tcPr>
          <w:p w14:paraId="178E8DFB" w14:textId="77777777" w:rsidR="00F65BCA" w:rsidRDefault="00F65BCA">
            <w:pPr>
              <w:pStyle w:val="TableParagraph"/>
              <w:rPr>
                <w:rFonts w:ascii="Calibri"/>
                <w:sz w:val="2"/>
              </w:rPr>
            </w:pPr>
          </w:p>
          <w:p w14:paraId="52E98D68" w14:textId="77777777" w:rsidR="00F65BCA" w:rsidRDefault="00F65BCA">
            <w:pPr>
              <w:pStyle w:val="TableParagraph"/>
              <w:rPr>
                <w:rFonts w:ascii="Calibri"/>
                <w:sz w:val="2"/>
              </w:rPr>
            </w:pPr>
          </w:p>
          <w:p w14:paraId="64E2A399" w14:textId="77777777" w:rsidR="00F65BCA" w:rsidRDefault="00F65BCA">
            <w:pPr>
              <w:pStyle w:val="TableParagraph"/>
              <w:rPr>
                <w:rFonts w:ascii="Calibri"/>
                <w:sz w:val="2"/>
              </w:rPr>
            </w:pPr>
          </w:p>
          <w:p w14:paraId="65AB1619" w14:textId="77777777" w:rsidR="00F65BCA" w:rsidRDefault="00F65BCA">
            <w:pPr>
              <w:pStyle w:val="TableParagraph"/>
              <w:rPr>
                <w:rFonts w:ascii="Calibri"/>
                <w:sz w:val="2"/>
              </w:rPr>
            </w:pPr>
          </w:p>
          <w:p w14:paraId="6F7B9E09" w14:textId="77777777" w:rsidR="00F65BCA" w:rsidRDefault="00F65BCA">
            <w:pPr>
              <w:pStyle w:val="TableParagraph"/>
              <w:rPr>
                <w:rFonts w:ascii="Calibri"/>
                <w:sz w:val="2"/>
              </w:rPr>
            </w:pPr>
          </w:p>
          <w:p w14:paraId="746AC11E" w14:textId="77777777" w:rsidR="00F65BCA" w:rsidRDefault="00216117">
            <w:pPr>
              <w:pStyle w:val="TableParagraph"/>
              <w:ind w:left="24" w:right="24"/>
              <w:jc w:val="center"/>
              <w:rPr>
                <w:sz w:val="3"/>
              </w:rPr>
            </w:pPr>
            <w:r>
              <w:rPr>
                <w:w w:val="105"/>
                <w:sz w:val="3"/>
              </w:rPr>
              <w:t>1,83400000%</w:t>
            </w:r>
          </w:p>
        </w:tc>
        <w:tc>
          <w:tcPr>
            <w:tcW w:w="288" w:type="dxa"/>
          </w:tcPr>
          <w:p w14:paraId="3E7F93DC" w14:textId="77777777" w:rsidR="00F65BCA" w:rsidRDefault="00F65BCA">
            <w:pPr>
              <w:pStyle w:val="TableParagraph"/>
              <w:rPr>
                <w:rFonts w:ascii="Calibri"/>
                <w:sz w:val="2"/>
              </w:rPr>
            </w:pPr>
          </w:p>
          <w:p w14:paraId="3F58316B" w14:textId="77777777" w:rsidR="00F65BCA" w:rsidRDefault="00F65BCA">
            <w:pPr>
              <w:pStyle w:val="TableParagraph"/>
              <w:rPr>
                <w:rFonts w:ascii="Calibri"/>
                <w:sz w:val="2"/>
              </w:rPr>
            </w:pPr>
          </w:p>
          <w:p w14:paraId="356CAF30" w14:textId="77777777" w:rsidR="00F65BCA" w:rsidRDefault="00F65BCA">
            <w:pPr>
              <w:pStyle w:val="TableParagraph"/>
              <w:rPr>
                <w:rFonts w:ascii="Calibri"/>
                <w:sz w:val="2"/>
              </w:rPr>
            </w:pPr>
          </w:p>
          <w:p w14:paraId="25898BB2" w14:textId="77777777" w:rsidR="00F65BCA" w:rsidRDefault="00F65BCA">
            <w:pPr>
              <w:pStyle w:val="TableParagraph"/>
              <w:rPr>
                <w:rFonts w:ascii="Calibri"/>
                <w:sz w:val="2"/>
              </w:rPr>
            </w:pPr>
          </w:p>
          <w:p w14:paraId="28C0FB8A" w14:textId="77777777" w:rsidR="00F65BCA" w:rsidRDefault="00F65BCA">
            <w:pPr>
              <w:pStyle w:val="TableParagraph"/>
              <w:rPr>
                <w:rFonts w:ascii="Calibri"/>
                <w:sz w:val="2"/>
              </w:rPr>
            </w:pPr>
          </w:p>
          <w:p w14:paraId="0E7EA8BD" w14:textId="77777777" w:rsidR="00F65BCA" w:rsidRDefault="00216117">
            <w:pPr>
              <w:pStyle w:val="TableParagraph"/>
              <w:ind w:left="47"/>
              <w:rPr>
                <w:sz w:val="3"/>
              </w:rPr>
            </w:pPr>
            <w:r>
              <w:rPr>
                <w:w w:val="105"/>
                <w:sz w:val="3"/>
              </w:rPr>
              <w:t>1,63750000%</w:t>
            </w:r>
          </w:p>
        </w:tc>
        <w:tc>
          <w:tcPr>
            <w:tcW w:w="288" w:type="dxa"/>
          </w:tcPr>
          <w:p w14:paraId="2C1C18B4" w14:textId="77777777" w:rsidR="00F65BCA" w:rsidRDefault="00F65BCA">
            <w:pPr>
              <w:pStyle w:val="TableParagraph"/>
              <w:rPr>
                <w:rFonts w:ascii="Calibri"/>
                <w:sz w:val="2"/>
              </w:rPr>
            </w:pPr>
          </w:p>
          <w:p w14:paraId="4CEC7427" w14:textId="77777777" w:rsidR="00F65BCA" w:rsidRDefault="00F65BCA">
            <w:pPr>
              <w:pStyle w:val="TableParagraph"/>
              <w:rPr>
                <w:rFonts w:ascii="Calibri"/>
                <w:sz w:val="2"/>
              </w:rPr>
            </w:pPr>
          </w:p>
          <w:p w14:paraId="2630CFF1" w14:textId="77777777" w:rsidR="00F65BCA" w:rsidRDefault="00F65BCA">
            <w:pPr>
              <w:pStyle w:val="TableParagraph"/>
              <w:rPr>
                <w:rFonts w:ascii="Calibri"/>
                <w:sz w:val="2"/>
              </w:rPr>
            </w:pPr>
          </w:p>
          <w:p w14:paraId="39A606E0" w14:textId="77777777" w:rsidR="00F65BCA" w:rsidRDefault="00F65BCA">
            <w:pPr>
              <w:pStyle w:val="TableParagraph"/>
              <w:rPr>
                <w:rFonts w:ascii="Calibri"/>
                <w:sz w:val="2"/>
              </w:rPr>
            </w:pPr>
          </w:p>
          <w:p w14:paraId="31628D4D" w14:textId="77777777" w:rsidR="00F65BCA" w:rsidRDefault="00F65BCA">
            <w:pPr>
              <w:pStyle w:val="TableParagraph"/>
              <w:rPr>
                <w:rFonts w:ascii="Calibri"/>
                <w:sz w:val="2"/>
              </w:rPr>
            </w:pPr>
          </w:p>
          <w:p w14:paraId="2CD39937" w14:textId="77777777" w:rsidR="00F65BCA" w:rsidRDefault="00216117">
            <w:pPr>
              <w:pStyle w:val="TableParagraph"/>
              <w:ind w:left="24" w:right="24"/>
              <w:jc w:val="center"/>
              <w:rPr>
                <w:sz w:val="3"/>
              </w:rPr>
            </w:pPr>
            <w:r>
              <w:rPr>
                <w:w w:val="105"/>
                <w:sz w:val="3"/>
              </w:rPr>
              <w:t>1,63750000%</w:t>
            </w:r>
          </w:p>
        </w:tc>
        <w:tc>
          <w:tcPr>
            <w:tcW w:w="288" w:type="dxa"/>
          </w:tcPr>
          <w:p w14:paraId="4CA9AF71" w14:textId="77777777" w:rsidR="00F65BCA" w:rsidRDefault="00F65BCA">
            <w:pPr>
              <w:pStyle w:val="TableParagraph"/>
              <w:rPr>
                <w:rFonts w:ascii="Calibri"/>
                <w:sz w:val="2"/>
              </w:rPr>
            </w:pPr>
          </w:p>
          <w:p w14:paraId="24BC6170" w14:textId="77777777" w:rsidR="00F65BCA" w:rsidRDefault="00F65BCA">
            <w:pPr>
              <w:pStyle w:val="TableParagraph"/>
              <w:rPr>
                <w:rFonts w:ascii="Calibri"/>
                <w:sz w:val="2"/>
              </w:rPr>
            </w:pPr>
          </w:p>
          <w:p w14:paraId="69F2C1ED" w14:textId="77777777" w:rsidR="00F65BCA" w:rsidRDefault="00F65BCA">
            <w:pPr>
              <w:pStyle w:val="TableParagraph"/>
              <w:rPr>
                <w:rFonts w:ascii="Calibri"/>
                <w:sz w:val="2"/>
              </w:rPr>
            </w:pPr>
          </w:p>
          <w:p w14:paraId="2106A2CD" w14:textId="77777777" w:rsidR="00F65BCA" w:rsidRDefault="00F65BCA">
            <w:pPr>
              <w:pStyle w:val="TableParagraph"/>
              <w:rPr>
                <w:rFonts w:ascii="Calibri"/>
                <w:sz w:val="2"/>
              </w:rPr>
            </w:pPr>
          </w:p>
          <w:p w14:paraId="16A05610" w14:textId="77777777" w:rsidR="00F65BCA" w:rsidRDefault="00F65BCA">
            <w:pPr>
              <w:pStyle w:val="TableParagraph"/>
              <w:rPr>
                <w:rFonts w:ascii="Calibri"/>
                <w:sz w:val="2"/>
              </w:rPr>
            </w:pPr>
          </w:p>
          <w:p w14:paraId="20125125" w14:textId="77777777" w:rsidR="00F65BCA" w:rsidRDefault="00216117">
            <w:pPr>
              <w:pStyle w:val="TableParagraph"/>
              <w:ind w:left="24" w:right="24"/>
              <w:jc w:val="center"/>
              <w:rPr>
                <w:sz w:val="3"/>
              </w:rPr>
            </w:pPr>
            <w:r>
              <w:rPr>
                <w:w w:val="105"/>
                <w:sz w:val="3"/>
              </w:rPr>
              <w:t>1,50650000%</w:t>
            </w:r>
          </w:p>
        </w:tc>
        <w:tc>
          <w:tcPr>
            <w:tcW w:w="288" w:type="dxa"/>
          </w:tcPr>
          <w:p w14:paraId="79BFCE28" w14:textId="77777777" w:rsidR="00F65BCA" w:rsidRDefault="00F65BCA">
            <w:pPr>
              <w:pStyle w:val="TableParagraph"/>
              <w:rPr>
                <w:rFonts w:ascii="Calibri"/>
                <w:sz w:val="2"/>
              </w:rPr>
            </w:pPr>
          </w:p>
          <w:p w14:paraId="4E54CCF1" w14:textId="77777777" w:rsidR="00F65BCA" w:rsidRDefault="00F65BCA">
            <w:pPr>
              <w:pStyle w:val="TableParagraph"/>
              <w:rPr>
                <w:rFonts w:ascii="Calibri"/>
                <w:sz w:val="2"/>
              </w:rPr>
            </w:pPr>
          </w:p>
          <w:p w14:paraId="26470F7F" w14:textId="77777777" w:rsidR="00F65BCA" w:rsidRDefault="00F65BCA">
            <w:pPr>
              <w:pStyle w:val="TableParagraph"/>
              <w:rPr>
                <w:rFonts w:ascii="Calibri"/>
                <w:sz w:val="2"/>
              </w:rPr>
            </w:pPr>
          </w:p>
          <w:p w14:paraId="0F2A3BBA" w14:textId="77777777" w:rsidR="00F65BCA" w:rsidRDefault="00F65BCA">
            <w:pPr>
              <w:pStyle w:val="TableParagraph"/>
              <w:rPr>
                <w:rFonts w:ascii="Calibri"/>
                <w:sz w:val="2"/>
              </w:rPr>
            </w:pPr>
          </w:p>
          <w:p w14:paraId="62421813" w14:textId="77777777" w:rsidR="00F65BCA" w:rsidRDefault="00F65BCA">
            <w:pPr>
              <w:pStyle w:val="TableParagraph"/>
              <w:rPr>
                <w:rFonts w:ascii="Calibri"/>
                <w:sz w:val="2"/>
              </w:rPr>
            </w:pPr>
          </w:p>
          <w:p w14:paraId="1CA27203" w14:textId="77777777" w:rsidR="00F65BCA" w:rsidRDefault="00216117">
            <w:pPr>
              <w:pStyle w:val="TableParagraph"/>
              <w:ind w:left="24" w:right="24"/>
              <w:jc w:val="center"/>
              <w:rPr>
                <w:sz w:val="3"/>
              </w:rPr>
            </w:pPr>
            <w:r>
              <w:rPr>
                <w:w w:val="105"/>
                <w:sz w:val="3"/>
              </w:rPr>
              <w:t>1,44100000%</w:t>
            </w:r>
          </w:p>
        </w:tc>
        <w:tc>
          <w:tcPr>
            <w:tcW w:w="288" w:type="dxa"/>
          </w:tcPr>
          <w:p w14:paraId="1EFCA027" w14:textId="77777777" w:rsidR="00F65BCA" w:rsidRDefault="00F65BCA">
            <w:pPr>
              <w:pStyle w:val="TableParagraph"/>
              <w:rPr>
                <w:rFonts w:ascii="Calibri"/>
                <w:sz w:val="2"/>
              </w:rPr>
            </w:pPr>
          </w:p>
          <w:p w14:paraId="5C98C172" w14:textId="77777777" w:rsidR="00F65BCA" w:rsidRDefault="00F65BCA">
            <w:pPr>
              <w:pStyle w:val="TableParagraph"/>
              <w:rPr>
                <w:rFonts w:ascii="Calibri"/>
                <w:sz w:val="2"/>
              </w:rPr>
            </w:pPr>
          </w:p>
          <w:p w14:paraId="6B4224FA" w14:textId="77777777" w:rsidR="00F65BCA" w:rsidRDefault="00F65BCA">
            <w:pPr>
              <w:pStyle w:val="TableParagraph"/>
              <w:rPr>
                <w:rFonts w:ascii="Calibri"/>
                <w:sz w:val="2"/>
              </w:rPr>
            </w:pPr>
          </w:p>
          <w:p w14:paraId="6391809B" w14:textId="77777777" w:rsidR="00F65BCA" w:rsidRDefault="00F65BCA">
            <w:pPr>
              <w:pStyle w:val="TableParagraph"/>
              <w:rPr>
                <w:rFonts w:ascii="Calibri"/>
                <w:sz w:val="2"/>
              </w:rPr>
            </w:pPr>
          </w:p>
          <w:p w14:paraId="5FFFA8D4" w14:textId="77777777" w:rsidR="00F65BCA" w:rsidRDefault="00F65BCA">
            <w:pPr>
              <w:pStyle w:val="TableParagraph"/>
              <w:rPr>
                <w:rFonts w:ascii="Calibri"/>
                <w:sz w:val="2"/>
              </w:rPr>
            </w:pPr>
          </w:p>
          <w:p w14:paraId="6DFCA3C8" w14:textId="77777777" w:rsidR="00F65BCA" w:rsidRDefault="00216117">
            <w:pPr>
              <w:pStyle w:val="TableParagraph"/>
              <w:ind w:left="24" w:right="24"/>
              <w:jc w:val="center"/>
              <w:rPr>
                <w:sz w:val="3"/>
              </w:rPr>
            </w:pPr>
            <w:r>
              <w:rPr>
                <w:w w:val="105"/>
                <w:sz w:val="3"/>
              </w:rPr>
              <w:t>1,31000000%</w:t>
            </w:r>
          </w:p>
        </w:tc>
        <w:tc>
          <w:tcPr>
            <w:tcW w:w="288" w:type="dxa"/>
          </w:tcPr>
          <w:p w14:paraId="10241689" w14:textId="77777777" w:rsidR="00F65BCA" w:rsidRDefault="00F65BCA">
            <w:pPr>
              <w:pStyle w:val="TableParagraph"/>
              <w:rPr>
                <w:rFonts w:ascii="Calibri"/>
                <w:sz w:val="2"/>
              </w:rPr>
            </w:pPr>
          </w:p>
          <w:p w14:paraId="53814861" w14:textId="77777777" w:rsidR="00F65BCA" w:rsidRDefault="00F65BCA">
            <w:pPr>
              <w:pStyle w:val="TableParagraph"/>
              <w:rPr>
                <w:rFonts w:ascii="Calibri"/>
                <w:sz w:val="2"/>
              </w:rPr>
            </w:pPr>
          </w:p>
          <w:p w14:paraId="21C29D70" w14:textId="77777777" w:rsidR="00F65BCA" w:rsidRDefault="00F65BCA">
            <w:pPr>
              <w:pStyle w:val="TableParagraph"/>
              <w:rPr>
                <w:rFonts w:ascii="Calibri"/>
                <w:sz w:val="2"/>
              </w:rPr>
            </w:pPr>
          </w:p>
          <w:p w14:paraId="421E9041" w14:textId="77777777" w:rsidR="00F65BCA" w:rsidRDefault="00F65BCA">
            <w:pPr>
              <w:pStyle w:val="TableParagraph"/>
              <w:rPr>
                <w:rFonts w:ascii="Calibri"/>
                <w:sz w:val="2"/>
              </w:rPr>
            </w:pPr>
          </w:p>
          <w:p w14:paraId="2990DACB" w14:textId="77777777" w:rsidR="00F65BCA" w:rsidRDefault="00F65BCA">
            <w:pPr>
              <w:pStyle w:val="TableParagraph"/>
              <w:rPr>
                <w:rFonts w:ascii="Calibri"/>
                <w:sz w:val="2"/>
              </w:rPr>
            </w:pPr>
          </w:p>
          <w:p w14:paraId="352654AB" w14:textId="77777777" w:rsidR="00F65BCA" w:rsidRDefault="00216117">
            <w:pPr>
              <w:pStyle w:val="TableParagraph"/>
              <w:ind w:left="47"/>
              <w:rPr>
                <w:sz w:val="3"/>
              </w:rPr>
            </w:pPr>
            <w:r>
              <w:rPr>
                <w:w w:val="105"/>
                <w:sz w:val="3"/>
              </w:rPr>
              <w:t>1,31000000%</w:t>
            </w:r>
          </w:p>
        </w:tc>
      </w:tr>
      <w:tr w:rsidR="00F65BCA" w14:paraId="226F9353" w14:textId="77777777">
        <w:trPr>
          <w:trHeight w:val="81"/>
        </w:trPr>
        <w:tc>
          <w:tcPr>
            <w:tcW w:w="526" w:type="dxa"/>
            <w:vMerge w:val="restart"/>
            <w:tcBorders>
              <w:top w:val="nil"/>
              <w:bottom w:val="nil"/>
            </w:tcBorders>
            <w:shd w:val="clear" w:color="auto" w:fill="FCE4D6"/>
          </w:tcPr>
          <w:p w14:paraId="620F6E99" w14:textId="77777777" w:rsidR="00F65BCA" w:rsidRDefault="00F65BCA">
            <w:pPr>
              <w:pStyle w:val="TableParagraph"/>
              <w:rPr>
                <w:rFonts w:ascii="Calibri"/>
                <w:sz w:val="2"/>
              </w:rPr>
            </w:pPr>
          </w:p>
          <w:p w14:paraId="0512C30B" w14:textId="77777777" w:rsidR="00F65BCA" w:rsidRDefault="00F65BCA">
            <w:pPr>
              <w:pStyle w:val="TableParagraph"/>
              <w:rPr>
                <w:rFonts w:ascii="Calibri"/>
                <w:sz w:val="2"/>
              </w:rPr>
            </w:pPr>
          </w:p>
          <w:p w14:paraId="3BD14035" w14:textId="77777777" w:rsidR="00F65BCA" w:rsidRDefault="00F65BCA">
            <w:pPr>
              <w:pStyle w:val="TableParagraph"/>
              <w:rPr>
                <w:rFonts w:ascii="Calibri"/>
                <w:sz w:val="2"/>
              </w:rPr>
            </w:pPr>
          </w:p>
          <w:p w14:paraId="65990878" w14:textId="77777777" w:rsidR="00F65BCA" w:rsidRDefault="00F65BCA">
            <w:pPr>
              <w:pStyle w:val="TableParagraph"/>
              <w:rPr>
                <w:rFonts w:ascii="Calibri"/>
                <w:sz w:val="2"/>
              </w:rPr>
            </w:pPr>
          </w:p>
          <w:p w14:paraId="3AE6CDEB" w14:textId="77777777" w:rsidR="00F65BCA" w:rsidRDefault="00F65BCA">
            <w:pPr>
              <w:pStyle w:val="TableParagraph"/>
              <w:rPr>
                <w:rFonts w:ascii="Calibri"/>
                <w:sz w:val="2"/>
              </w:rPr>
            </w:pPr>
          </w:p>
          <w:p w14:paraId="4376808B" w14:textId="77777777" w:rsidR="00F65BCA" w:rsidRDefault="00F65BCA">
            <w:pPr>
              <w:pStyle w:val="TableParagraph"/>
              <w:rPr>
                <w:rFonts w:ascii="Calibri"/>
                <w:sz w:val="2"/>
              </w:rPr>
            </w:pPr>
          </w:p>
          <w:p w14:paraId="342E3BF9" w14:textId="77777777" w:rsidR="00F65BCA" w:rsidRDefault="00216117">
            <w:pPr>
              <w:pStyle w:val="TableParagraph"/>
              <w:ind w:left="127"/>
              <w:rPr>
                <w:sz w:val="3"/>
              </w:rPr>
            </w:pPr>
            <w:r>
              <w:rPr>
                <w:w w:val="105"/>
                <w:sz w:val="3"/>
              </w:rPr>
              <w:t>speciální automobil</w:t>
            </w:r>
          </w:p>
        </w:tc>
        <w:tc>
          <w:tcPr>
            <w:tcW w:w="732" w:type="dxa"/>
            <w:vMerge w:val="restart"/>
            <w:shd w:val="clear" w:color="auto" w:fill="FCE4D6"/>
          </w:tcPr>
          <w:p w14:paraId="6CBF9360" w14:textId="77777777" w:rsidR="00F65BCA" w:rsidRDefault="00F65BCA">
            <w:pPr>
              <w:pStyle w:val="TableParagraph"/>
              <w:rPr>
                <w:rFonts w:ascii="Calibri"/>
                <w:sz w:val="2"/>
              </w:rPr>
            </w:pPr>
          </w:p>
          <w:p w14:paraId="0C85B480" w14:textId="77777777" w:rsidR="00F65BCA" w:rsidRDefault="00F65BCA">
            <w:pPr>
              <w:pStyle w:val="TableParagraph"/>
              <w:rPr>
                <w:rFonts w:ascii="Calibri"/>
                <w:sz w:val="2"/>
              </w:rPr>
            </w:pPr>
          </w:p>
          <w:p w14:paraId="006A5843" w14:textId="77777777" w:rsidR="00F65BCA" w:rsidRDefault="00216117">
            <w:pPr>
              <w:pStyle w:val="TableParagraph"/>
              <w:spacing w:before="17"/>
              <w:ind w:left="18" w:right="18"/>
              <w:jc w:val="center"/>
              <w:rPr>
                <w:sz w:val="3"/>
              </w:rPr>
            </w:pPr>
            <w:r>
              <w:rPr>
                <w:w w:val="105"/>
                <w:sz w:val="3"/>
              </w:rPr>
              <w:t>Renault</w:t>
            </w:r>
          </w:p>
        </w:tc>
        <w:tc>
          <w:tcPr>
            <w:tcW w:w="958" w:type="dxa"/>
            <w:gridSpan w:val="2"/>
            <w:shd w:val="clear" w:color="auto" w:fill="FCE4D6"/>
          </w:tcPr>
          <w:p w14:paraId="0AC8B9F1" w14:textId="77777777" w:rsidR="00F65BCA" w:rsidRDefault="00F65BCA">
            <w:pPr>
              <w:pStyle w:val="TableParagraph"/>
              <w:rPr>
                <w:rFonts w:ascii="Calibri"/>
                <w:sz w:val="2"/>
              </w:rPr>
            </w:pPr>
          </w:p>
          <w:p w14:paraId="5191FD7C" w14:textId="77777777" w:rsidR="00F65BCA" w:rsidRDefault="00216117">
            <w:pPr>
              <w:pStyle w:val="TableParagraph"/>
              <w:ind w:left="4"/>
              <w:rPr>
                <w:sz w:val="3"/>
              </w:rPr>
            </w:pPr>
            <w:r>
              <w:rPr>
                <w:w w:val="105"/>
                <w:sz w:val="3"/>
              </w:rPr>
              <w:t>C; D; JINÉ; K; KERAX; MAGNUM; MAJOR; PREMIUM; T</w:t>
            </w:r>
          </w:p>
        </w:tc>
        <w:tc>
          <w:tcPr>
            <w:tcW w:w="576" w:type="dxa"/>
            <w:shd w:val="clear" w:color="auto" w:fill="FCE4D6"/>
          </w:tcPr>
          <w:p w14:paraId="68B66675" w14:textId="77777777" w:rsidR="00F65BCA" w:rsidRDefault="00F65BCA">
            <w:pPr>
              <w:pStyle w:val="TableParagraph"/>
              <w:rPr>
                <w:rFonts w:ascii="Calibri"/>
                <w:sz w:val="2"/>
              </w:rPr>
            </w:pPr>
          </w:p>
          <w:p w14:paraId="388587F2" w14:textId="77777777" w:rsidR="00F65BCA" w:rsidRDefault="00216117">
            <w:pPr>
              <w:pStyle w:val="TableParagraph"/>
              <w:ind w:left="3"/>
              <w:jc w:val="center"/>
              <w:rPr>
                <w:sz w:val="3"/>
              </w:rPr>
            </w:pPr>
            <w:r>
              <w:rPr>
                <w:w w:val="103"/>
                <w:sz w:val="3"/>
              </w:rPr>
              <w:t>-</w:t>
            </w:r>
          </w:p>
        </w:tc>
        <w:tc>
          <w:tcPr>
            <w:tcW w:w="576" w:type="dxa"/>
            <w:shd w:val="clear" w:color="auto" w:fill="FCE4D6"/>
          </w:tcPr>
          <w:p w14:paraId="75BD28E6" w14:textId="77777777" w:rsidR="00F65BCA" w:rsidRDefault="00F65BCA">
            <w:pPr>
              <w:pStyle w:val="TableParagraph"/>
              <w:rPr>
                <w:rFonts w:ascii="Calibri"/>
                <w:sz w:val="2"/>
              </w:rPr>
            </w:pPr>
          </w:p>
          <w:p w14:paraId="74D70586" w14:textId="77777777" w:rsidR="00F65BCA" w:rsidRDefault="00216117">
            <w:pPr>
              <w:pStyle w:val="TableParagraph"/>
              <w:ind w:left="4"/>
              <w:jc w:val="center"/>
              <w:rPr>
                <w:sz w:val="3"/>
              </w:rPr>
            </w:pPr>
            <w:r>
              <w:rPr>
                <w:w w:val="103"/>
                <w:sz w:val="3"/>
              </w:rPr>
              <w:t>-</w:t>
            </w:r>
          </w:p>
        </w:tc>
        <w:tc>
          <w:tcPr>
            <w:tcW w:w="50" w:type="dxa"/>
            <w:vMerge/>
            <w:tcBorders>
              <w:top w:val="nil"/>
              <w:bottom w:val="nil"/>
            </w:tcBorders>
          </w:tcPr>
          <w:p w14:paraId="77FBDD30" w14:textId="77777777" w:rsidR="00F65BCA" w:rsidRDefault="00F65BCA">
            <w:pPr>
              <w:rPr>
                <w:sz w:val="2"/>
                <w:szCs w:val="2"/>
              </w:rPr>
            </w:pPr>
          </w:p>
        </w:tc>
        <w:tc>
          <w:tcPr>
            <w:tcW w:w="288" w:type="dxa"/>
          </w:tcPr>
          <w:p w14:paraId="14616FDA" w14:textId="77777777" w:rsidR="00F65BCA" w:rsidRDefault="00F65BCA">
            <w:pPr>
              <w:pStyle w:val="TableParagraph"/>
              <w:rPr>
                <w:rFonts w:ascii="Calibri"/>
                <w:sz w:val="2"/>
              </w:rPr>
            </w:pPr>
          </w:p>
          <w:p w14:paraId="790CC9F2" w14:textId="77777777" w:rsidR="00F65BCA" w:rsidRDefault="00216117">
            <w:pPr>
              <w:pStyle w:val="TableParagraph"/>
              <w:ind w:left="24" w:right="24"/>
              <w:jc w:val="center"/>
              <w:rPr>
                <w:sz w:val="3"/>
              </w:rPr>
            </w:pPr>
            <w:r>
              <w:rPr>
                <w:w w:val="105"/>
                <w:sz w:val="3"/>
              </w:rPr>
              <w:t>2,48900000%</w:t>
            </w:r>
          </w:p>
        </w:tc>
        <w:tc>
          <w:tcPr>
            <w:tcW w:w="288" w:type="dxa"/>
          </w:tcPr>
          <w:p w14:paraId="7AAC3B40" w14:textId="77777777" w:rsidR="00F65BCA" w:rsidRDefault="00F65BCA">
            <w:pPr>
              <w:pStyle w:val="TableParagraph"/>
              <w:rPr>
                <w:rFonts w:ascii="Calibri"/>
                <w:sz w:val="2"/>
              </w:rPr>
            </w:pPr>
          </w:p>
          <w:p w14:paraId="3C6A0DA5" w14:textId="77777777" w:rsidR="00F65BCA" w:rsidRDefault="00216117">
            <w:pPr>
              <w:pStyle w:val="TableParagraph"/>
              <w:ind w:left="24" w:right="24"/>
              <w:jc w:val="center"/>
              <w:rPr>
                <w:sz w:val="3"/>
              </w:rPr>
            </w:pPr>
            <w:r>
              <w:rPr>
                <w:w w:val="105"/>
                <w:sz w:val="3"/>
              </w:rPr>
              <w:t>2,22700000%</w:t>
            </w:r>
          </w:p>
        </w:tc>
        <w:tc>
          <w:tcPr>
            <w:tcW w:w="288" w:type="dxa"/>
          </w:tcPr>
          <w:p w14:paraId="4B9A5579" w14:textId="77777777" w:rsidR="00F65BCA" w:rsidRDefault="00F65BCA">
            <w:pPr>
              <w:pStyle w:val="TableParagraph"/>
              <w:rPr>
                <w:rFonts w:ascii="Calibri"/>
                <w:sz w:val="2"/>
              </w:rPr>
            </w:pPr>
          </w:p>
          <w:p w14:paraId="7ACDD753" w14:textId="77777777" w:rsidR="00F65BCA" w:rsidRDefault="00216117">
            <w:pPr>
              <w:pStyle w:val="TableParagraph"/>
              <w:ind w:left="47"/>
              <w:rPr>
                <w:sz w:val="3"/>
              </w:rPr>
            </w:pPr>
            <w:r>
              <w:rPr>
                <w:w w:val="105"/>
                <w:sz w:val="3"/>
              </w:rPr>
              <w:t>2,22700000%</w:t>
            </w:r>
          </w:p>
        </w:tc>
        <w:tc>
          <w:tcPr>
            <w:tcW w:w="288" w:type="dxa"/>
          </w:tcPr>
          <w:p w14:paraId="45CA7939" w14:textId="77777777" w:rsidR="00F65BCA" w:rsidRDefault="00F65BCA">
            <w:pPr>
              <w:pStyle w:val="TableParagraph"/>
              <w:rPr>
                <w:rFonts w:ascii="Calibri"/>
                <w:sz w:val="2"/>
              </w:rPr>
            </w:pPr>
          </w:p>
          <w:p w14:paraId="0399531B" w14:textId="77777777" w:rsidR="00F65BCA" w:rsidRDefault="00216117">
            <w:pPr>
              <w:pStyle w:val="TableParagraph"/>
              <w:ind w:left="24" w:right="24"/>
              <w:jc w:val="center"/>
              <w:rPr>
                <w:sz w:val="3"/>
              </w:rPr>
            </w:pPr>
            <w:r>
              <w:rPr>
                <w:w w:val="105"/>
                <w:sz w:val="3"/>
              </w:rPr>
              <w:t>2,03050000%</w:t>
            </w:r>
          </w:p>
        </w:tc>
        <w:tc>
          <w:tcPr>
            <w:tcW w:w="288" w:type="dxa"/>
          </w:tcPr>
          <w:p w14:paraId="2C15ECA8" w14:textId="77777777" w:rsidR="00F65BCA" w:rsidRDefault="00F65BCA">
            <w:pPr>
              <w:pStyle w:val="TableParagraph"/>
              <w:rPr>
                <w:rFonts w:ascii="Calibri"/>
                <w:sz w:val="2"/>
              </w:rPr>
            </w:pPr>
          </w:p>
          <w:p w14:paraId="6024A532" w14:textId="77777777" w:rsidR="00F65BCA" w:rsidRDefault="00216117">
            <w:pPr>
              <w:pStyle w:val="TableParagraph"/>
              <w:ind w:left="47"/>
              <w:rPr>
                <w:sz w:val="3"/>
              </w:rPr>
            </w:pPr>
            <w:r>
              <w:rPr>
                <w:w w:val="105"/>
                <w:sz w:val="3"/>
              </w:rPr>
              <w:t>2,03050000%</w:t>
            </w:r>
          </w:p>
        </w:tc>
        <w:tc>
          <w:tcPr>
            <w:tcW w:w="288" w:type="dxa"/>
          </w:tcPr>
          <w:p w14:paraId="78E269E5" w14:textId="77777777" w:rsidR="00F65BCA" w:rsidRDefault="00F65BCA">
            <w:pPr>
              <w:pStyle w:val="TableParagraph"/>
              <w:rPr>
                <w:rFonts w:ascii="Calibri"/>
                <w:sz w:val="2"/>
              </w:rPr>
            </w:pPr>
          </w:p>
          <w:p w14:paraId="21056443" w14:textId="77777777" w:rsidR="00F65BCA" w:rsidRDefault="00216117">
            <w:pPr>
              <w:pStyle w:val="TableParagraph"/>
              <w:ind w:left="24" w:right="24"/>
              <w:jc w:val="center"/>
              <w:rPr>
                <w:sz w:val="3"/>
              </w:rPr>
            </w:pPr>
            <w:r>
              <w:rPr>
                <w:w w:val="105"/>
                <w:sz w:val="3"/>
              </w:rPr>
              <w:t>1,83400000%</w:t>
            </w:r>
          </w:p>
        </w:tc>
        <w:tc>
          <w:tcPr>
            <w:tcW w:w="288" w:type="dxa"/>
          </w:tcPr>
          <w:p w14:paraId="66E431BC" w14:textId="77777777" w:rsidR="00F65BCA" w:rsidRDefault="00F65BCA">
            <w:pPr>
              <w:pStyle w:val="TableParagraph"/>
              <w:rPr>
                <w:rFonts w:ascii="Calibri"/>
                <w:sz w:val="2"/>
              </w:rPr>
            </w:pPr>
          </w:p>
          <w:p w14:paraId="5B54D981" w14:textId="77777777" w:rsidR="00F65BCA" w:rsidRDefault="00216117">
            <w:pPr>
              <w:pStyle w:val="TableParagraph"/>
              <w:ind w:left="24" w:right="24"/>
              <w:jc w:val="center"/>
              <w:rPr>
                <w:sz w:val="3"/>
              </w:rPr>
            </w:pPr>
            <w:r>
              <w:rPr>
                <w:w w:val="105"/>
                <w:sz w:val="3"/>
              </w:rPr>
              <w:t>1,83400000%</w:t>
            </w:r>
          </w:p>
        </w:tc>
        <w:tc>
          <w:tcPr>
            <w:tcW w:w="288" w:type="dxa"/>
          </w:tcPr>
          <w:p w14:paraId="61290C64" w14:textId="77777777" w:rsidR="00F65BCA" w:rsidRDefault="00F65BCA">
            <w:pPr>
              <w:pStyle w:val="TableParagraph"/>
              <w:rPr>
                <w:rFonts w:ascii="Calibri"/>
                <w:sz w:val="2"/>
              </w:rPr>
            </w:pPr>
          </w:p>
          <w:p w14:paraId="7ECD530F" w14:textId="77777777" w:rsidR="00F65BCA" w:rsidRDefault="00216117">
            <w:pPr>
              <w:pStyle w:val="TableParagraph"/>
              <w:ind w:left="47"/>
              <w:rPr>
                <w:sz w:val="3"/>
              </w:rPr>
            </w:pPr>
            <w:r>
              <w:rPr>
                <w:w w:val="105"/>
                <w:sz w:val="3"/>
              </w:rPr>
              <w:t>1,63750000%</w:t>
            </w:r>
          </w:p>
        </w:tc>
        <w:tc>
          <w:tcPr>
            <w:tcW w:w="288" w:type="dxa"/>
          </w:tcPr>
          <w:p w14:paraId="25F85485" w14:textId="77777777" w:rsidR="00F65BCA" w:rsidRDefault="00F65BCA">
            <w:pPr>
              <w:pStyle w:val="TableParagraph"/>
              <w:rPr>
                <w:rFonts w:ascii="Calibri"/>
                <w:sz w:val="2"/>
              </w:rPr>
            </w:pPr>
          </w:p>
          <w:p w14:paraId="42CF45B6" w14:textId="77777777" w:rsidR="00F65BCA" w:rsidRDefault="00216117">
            <w:pPr>
              <w:pStyle w:val="TableParagraph"/>
              <w:ind w:left="24" w:right="24"/>
              <w:jc w:val="center"/>
              <w:rPr>
                <w:sz w:val="3"/>
              </w:rPr>
            </w:pPr>
            <w:r>
              <w:rPr>
                <w:w w:val="105"/>
                <w:sz w:val="3"/>
              </w:rPr>
              <w:t>1,63750000%</w:t>
            </w:r>
          </w:p>
        </w:tc>
        <w:tc>
          <w:tcPr>
            <w:tcW w:w="288" w:type="dxa"/>
          </w:tcPr>
          <w:p w14:paraId="24B23754" w14:textId="77777777" w:rsidR="00F65BCA" w:rsidRDefault="00F65BCA">
            <w:pPr>
              <w:pStyle w:val="TableParagraph"/>
              <w:rPr>
                <w:rFonts w:ascii="Calibri"/>
                <w:sz w:val="2"/>
              </w:rPr>
            </w:pPr>
          </w:p>
          <w:p w14:paraId="64014DAE" w14:textId="77777777" w:rsidR="00F65BCA" w:rsidRDefault="00216117">
            <w:pPr>
              <w:pStyle w:val="TableParagraph"/>
              <w:ind w:left="24" w:right="24"/>
              <w:jc w:val="center"/>
              <w:rPr>
                <w:sz w:val="3"/>
              </w:rPr>
            </w:pPr>
            <w:r>
              <w:rPr>
                <w:w w:val="105"/>
                <w:sz w:val="3"/>
              </w:rPr>
              <w:t>1,50650000%</w:t>
            </w:r>
          </w:p>
        </w:tc>
        <w:tc>
          <w:tcPr>
            <w:tcW w:w="288" w:type="dxa"/>
          </w:tcPr>
          <w:p w14:paraId="210E06F2" w14:textId="77777777" w:rsidR="00F65BCA" w:rsidRDefault="00F65BCA">
            <w:pPr>
              <w:pStyle w:val="TableParagraph"/>
              <w:rPr>
                <w:rFonts w:ascii="Calibri"/>
                <w:sz w:val="2"/>
              </w:rPr>
            </w:pPr>
          </w:p>
          <w:p w14:paraId="322D399F" w14:textId="77777777" w:rsidR="00F65BCA" w:rsidRDefault="00216117">
            <w:pPr>
              <w:pStyle w:val="TableParagraph"/>
              <w:ind w:left="24" w:right="24"/>
              <w:jc w:val="center"/>
              <w:rPr>
                <w:sz w:val="3"/>
              </w:rPr>
            </w:pPr>
            <w:r>
              <w:rPr>
                <w:w w:val="105"/>
                <w:sz w:val="3"/>
              </w:rPr>
              <w:t>1,44100000%</w:t>
            </w:r>
          </w:p>
        </w:tc>
        <w:tc>
          <w:tcPr>
            <w:tcW w:w="288" w:type="dxa"/>
          </w:tcPr>
          <w:p w14:paraId="0C085C16" w14:textId="77777777" w:rsidR="00F65BCA" w:rsidRDefault="00F65BCA">
            <w:pPr>
              <w:pStyle w:val="TableParagraph"/>
              <w:rPr>
                <w:rFonts w:ascii="Calibri"/>
                <w:sz w:val="2"/>
              </w:rPr>
            </w:pPr>
          </w:p>
          <w:p w14:paraId="37C16ADF" w14:textId="77777777" w:rsidR="00F65BCA" w:rsidRDefault="00216117">
            <w:pPr>
              <w:pStyle w:val="TableParagraph"/>
              <w:ind w:left="24" w:right="24"/>
              <w:jc w:val="center"/>
              <w:rPr>
                <w:sz w:val="3"/>
              </w:rPr>
            </w:pPr>
            <w:r>
              <w:rPr>
                <w:w w:val="105"/>
                <w:sz w:val="3"/>
              </w:rPr>
              <w:t>1,31000000%</w:t>
            </w:r>
          </w:p>
        </w:tc>
        <w:tc>
          <w:tcPr>
            <w:tcW w:w="288" w:type="dxa"/>
          </w:tcPr>
          <w:p w14:paraId="122DAD4E" w14:textId="77777777" w:rsidR="00F65BCA" w:rsidRDefault="00F65BCA">
            <w:pPr>
              <w:pStyle w:val="TableParagraph"/>
              <w:rPr>
                <w:rFonts w:ascii="Calibri"/>
                <w:sz w:val="2"/>
              </w:rPr>
            </w:pPr>
          </w:p>
          <w:p w14:paraId="7D5E36F7" w14:textId="77777777" w:rsidR="00F65BCA" w:rsidRDefault="00216117">
            <w:pPr>
              <w:pStyle w:val="TableParagraph"/>
              <w:ind w:left="47"/>
              <w:rPr>
                <w:sz w:val="3"/>
              </w:rPr>
            </w:pPr>
            <w:r>
              <w:rPr>
                <w:w w:val="105"/>
                <w:sz w:val="3"/>
              </w:rPr>
              <w:t>1,31000000%</w:t>
            </w:r>
          </w:p>
        </w:tc>
      </w:tr>
      <w:tr w:rsidR="00F65BCA" w14:paraId="051AE4C8" w14:textId="77777777">
        <w:trPr>
          <w:trHeight w:val="81"/>
        </w:trPr>
        <w:tc>
          <w:tcPr>
            <w:tcW w:w="526" w:type="dxa"/>
            <w:vMerge/>
            <w:tcBorders>
              <w:top w:val="nil"/>
              <w:bottom w:val="nil"/>
            </w:tcBorders>
            <w:shd w:val="clear" w:color="auto" w:fill="FCE4D6"/>
          </w:tcPr>
          <w:p w14:paraId="2D7398B7" w14:textId="77777777" w:rsidR="00F65BCA" w:rsidRDefault="00F65BCA">
            <w:pPr>
              <w:rPr>
                <w:sz w:val="2"/>
                <w:szCs w:val="2"/>
              </w:rPr>
            </w:pPr>
          </w:p>
        </w:tc>
        <w:tc>
          <w:tcPr>
            <w:tcW w:w="732" w:type="dxa"/>
            <w:vMerge/>
            <w:tcBorders>
              <w:top w:val="nil"/>
            </w:tcBorders>
            <w:shd w:val="clear" w:color="auto" w:fill="FCE4D6"/>
          </w:tcPr>
          <w:p w14:paraId="46B67BD9" w14:textId="77777777" w:rsidR="00F65BCA" w:rsidRDefault="00F65BCA">
            <w:pPr>
              <w:rPr>
                <w:sz w:val="2"/>
                <w:szCs w:val="2"/>
              </w:rPr>
            </w:pPr>
          </w:p>
        </w:tc>
        <w:tc>
          <w:tcPr>
            <w:tcW w:w="958" w:type="dxa"/>
            <w:gridSpan w:val="2"/>
            <w:shd w:val="clear" w:color="auto" w:fill="FCE4D6"/>
          </w:tcPr>
          <w:p w14:paraId="61BA05BA" w14:textId="77777777" w:rsidR="00F65BCA" w:rsidRDefault="00216117">
            <w:pPr>
              <w:pStyle w:val="TableParagraph"/>
              <w:spacing w:before="4"/>
              <w:ind w:left="4"/>
              <w:rPr>
                <w:sz w:val="3"/>
              </w:rPr>
            </w:pPr>
            <w:r>
              <w:rPr>
                <w:w w:val="105"/>
                <w:sz w:val="3"/>
              </w:rPr>
              <w:t>MASCOTT; MASTER NAD 3,5 T; MAXITY NAD 3,5T;</w:t>
            </w:r>
          </w:p>
          <w:p w14:paraId="387A9EDE" w14:textId="77777777" w:rsidR="00F65BCA" w:rsidRDefault="00216117">
            <w:pPr>
              <w:pStyle w:val="TableParagraph"/>
              <w:spacing w:before="6" w:line="16" w:lineRule="exact"/>
              <w:ind w:left="4"/>
              <w:rPr>
                <w:sz w:val="3"/>
              </w:rPr>
            </w:pPr>
            <w:r>
              <w:rPr>
                <w:w w:val="105"/>
                <w:sz w:val="3"/>
              </w:rPr>
              <w:t>MESSENGER; MIDLINER; MIDLUM</w:t>
            </w:r>
          </w:p>
        </w:tc>
        <w:tc>
          <w:tcPr>
            <w:tcW w:w="576" w:type="dxa"/>
            <w:shd w:val="clear" w:color="auto" w:fill="FCE4D6"/>
          </w:tcPr>
          <w:p w14:paraId="532D6C82" w14:textId="77777777" w:rsidR="00F65BCA" w:rsidRDefault="00F65BCA">
            <w:pPr>
              <w:pStyle w:val="TableParagraph"/>
              <w:rPr>
                <w:rFonts w:ascii="Calibri"/>
                <w:sz w:val="2"/>
              </w:rPr>
            </w:pPr>
          </w:p>
          <w:p w14:paraId="10A8AA78" w14:textId="77777777" w:rsidR="00F65BCA" w:rsidRDefault="00216117">
            <w:pPr>
              <w:pStyle w:val="TableParagraph"/>
              <w:ind w:left="4"/>
              <w:jc w:val="center"/>
              <w:rPr>
                <w:sz w:val="3"/>
              </w:rPr>
            </w:pPr>
            <w:r>
              <w:rPr>
                <w:w w:val="103"/>
                <w:sz w:val="3"/>
              </w:rPr>
              <w:t>-</w:t>
            </w:r>
          </w:p>
        </w:tc>
        <w:tc>
          <w:tcPr>
            <w:tcW w:w="576" w:type="dxa"/>
            <w:shd w:val="clear" w:color="auto" w:fill="FCE4D6"/>
          </w:tcPr>
          <w:p w14:paraId="31A07F02" w14:textId="77777777" w:rsidR="00F65BCA" w:rsidRDefault="00F65BCA">
            <w:pPr>
              <w:pStyle w:val="TableParagraph"/>
              <w:rPr>
                <w:rFonts w:ascii="Calibri"/>
                <w:sz w:val="2"/>
              </w:rPr>
            </w:pPr>
          </w:p>
          <w:p w14:paraId="75353927" w14:textId="77777777" w:rsidR="00F65BCA" w:rsidRDefault="00216117">
            <w:pPr>
              <w:pStyle w:val="TableParagraph"/>
              <w:ind w:left="4"/>
              <w:jc w:val="center"/>
              <w:rPr>
                <w:sz w:val="3"/>
              </w:rPr>
            </w:pPr>
            <w:r>
              <w:rPr>
                <w:w w:val="103"/>
                <w:sz w:val="3"/>
              </w:rPr>
              <w:t>-</w:t>
            </w:r>
          </w:p>
        </w:tc>
        <w:tc>
          <w:tcPr>
            <w:tcW w:w="50" w:type="dxa"/>
            <w:vMerge/>
            <w:tcBorders>
              <w:top w:val="nil"/>
              <w:bottom w:val="nil"/>
            </w:tcBorders>
          </w:tcPr>
          <w:p w14:paraId="15DE8DAC" w14:textId="77777777" w:rsidR="00F65BCA" w:rsidRDefault="00F65BCA">
            <w:pPr>
              <w:rPr>
                <w:sz w:val="2"/>
                <w:szCs w:val="2"/>
              </w:rPr>
            </w:pPr>
          </w:p>
        </w:tc>
        <w:tc>
          <w:tcPr>
            <w:tcW w:w="288" w:type="dxa"/>
          </w:tcPr>
          <w:p w14:paraId="15EDC6BE" w14:textId="77777777" w:rsidR="00F65BCA" w:rsidRDefault="00F65BCA">
            <w:pPr>
              <w:pStyle w:val="TableParagraph"/>
              <w:rPr>
                <w:rFonts w:ascii="Calibri"/>
                <w:sz w:val="2"/>
              </w:rPr>
            </w:pPr>
          </w:p>
          <w:p w14:paraId="5DEE36E5" w14:textId="77777777" w:rsidR="00F65BCA" w:rsidRDefault="00216117">
            <w:pPr>
              <w:pStyle w:val="TableParagraph"/>
              <w:ind w:left="24" w:right="24"/>
              <w:jc w:val="center"/>
              <w:rPr>
                <w:sz w:val="3"/>
              </w:rPr>
            </w:pPr>
            <w:r>
              <w:rPr>
                <w:w w:val="105"/>
                <w:sz w:val="3"/>
              </w:rPr>
              <w:t>2,48900000%</w:t>
            </w:r>
          </w:p>
        </w:tc>
        <w:tc>
          <w:tcPr>
            <w:tcW w:w="288" w:type="dxa"/>
          </w:tcPr>
          <w:p w14:paraId="16BCE129" w14:textId="77777777" w:rsidR="00F65BCA" w:rsidRDefault="00F65BCA">
            <w:pPr>
              <w:pStyle w:val="TableParagraph"/>
              <w:rPr>
                <w:rFonts w:ascii="Calibri"/>
                <w:sz w:val="2"/>
              </w:rPr>
            </w:pPr>
          </w:p>
          <w:p w14:paraId="67169FEF" w14:textId="77777777" w:rsidR="00F65BCA" w:rsidRDefault="00216117">
            <w:pPr>
              <w:pStyle w:val="TableParagraph"/>
              <w:ind w:left="24" w:right="24"/>
              <w:jc w:val="center"/>
              <w:rPr>
                <w:sz w:val="3"/>
              </w:rPr>
            </w:pPr>
            <w:r>
              <w:rPr>
                <w:w w:val="105"/>
                <w:sz w:val="3"/>
              </w:rPr>
              <w:t>2,22700000%</w:t>
            </w:r>
          </w:p>
        </w:tc>
        <w:tc>
          <w:tcPr>
            <w:tcW w:w="288" w:type="dxa"/>
          </w:tcPr>
          <w:p w14:paraId="6A027CF2" w14:textId="77777777" w:rsidR="00F65BCA" w:rsidRDefault="00F65BCA">
            <w:pPr>
              <w:pStyle w:val="TableParagraph"/>
              <w:rPr>
                <w:rFonts w:ascii="Calibri"/>
                <w:sz w:val="2"/>
              </w:rPr>
            </w:pPr>
          </w:p>
          <w:p w14:paraId="7C804A0B" w14:textId="77777777" w:rsidR="00F65BCA" w:rsidRDefault="00216117">
            <w:pPr>
              <w:pStyle w:val="TableParagraph"/>
              <w:ind w:left="47"/>
              <w:rPr>
                <w:sz w:val="3"/>
              </w:rPr>
            </w:pPr>
            <w:r>
              <w:rPr>
                <w:w w:val="105"/>
                <w:sz w:val="3"/>
              </w:rPr>
              <w:t>2,22700000%</w:t>
            </w:r>
          </w:p>
        </w:tc>
        <w:tc>
          <w:tcPr>
            <w:tcW w:w="288" w:type="dxa"/>
          </w:tcPr>
          <w:p w14:paraId="60A58B0B" w14:textId="77777777" w:rsidR="00F65BCA" w:rsidRDefault="00F65BCA">
            <w:pPr>
              <w:pStyle w:val="TableParagraph"/>
              <w:rPr>
                <w:rFonts w:ascii="Calibri"/>
                <w:sz w:val="2"/>
              </w:rPr>
            </w:pPr>
          </w:p>
          <w:p w14:paraId="49D4195C" w14:textId="77777777" w:rsidR="00F65BCA" w:rsidRDefault="00216117">
            <w:pPr>
              <w:pStyle w:val="TableParagraph"/>
              <w:ind w:left="24" w:right="24"/>
              <w:jc w:val="center"/>
              <w:rPr>
                <w:sz w:val="3"/>
              </w:rPr>
            </w:pPr>
            <w:r>
              <w:rPr>
                <w:w w:val="105"/>
                <w:sz w:val="3"/>
              </w:rPr>
              <w:t>2,03050000%</w:t>
            </w:r>
          </w:p>
        </w:tc>
        <w:tc>
          <w:tcPr>
            <w:tcW w:w="288" w:type="dxa"/>
          </w:tcPr>
          <w:p w14:paraId="68DDBBA1" w14:textId="77777777" w:rsidR="00F65BCA" w:rsidRDefault="00F65BCA">
            <w:pPr>
              <w:pStyle w:val="TableParagraph"/>
              <w:rPr>
                <w:rFonts w:ascii="Calibri"/>
                <w:sz w:val="2"/>
              </w:rPr>
            </w:pPr>
          </w:p>
          <w:p w14:paraId="1D740E32" w14:textId="77777777" w:rsidR="00F65BCA" w:rsidRDefault="00216117">
            <w:pPr>
              <w:pStyle w:val="TableParagraph"/>
              <w:ind w:left="47"/>
              <w:rPr>
                <w:sz w:val="3"/>
              </w:rPr>
            </w:pPr>
            <w:r>
              <w:rPr>
                <w:w w:val="105"/>
                <w:sz w:val="3"/>
              </w:rPr>
              <w:t>2,03050000%</w:t>
            </w:r>
          </w:p>
        </w:tc>
        <w:tc>
          <w:tcPr>
            <w:tcW w:w="288" w:type="dxa"/>
          </w:tcPr>
          <w:p w14:paraId="08514D90" w14:textId="77777777" w:rsidR="00F65BCA" w:rsidRDefault="00F65BCA">
            <w:pPr>
              <w:pStyle w:val="TableParagraph"/>
              <w:rPr>
                <w:rFonts w:ascii="Calibri"/>
                <w:sz w:val="2"/>
              </w:rPr>
            </w:pPr>
          </w:p>
          <w:p w14:paraId="32194609" w14:textId="77777777" w:rsidR="00F65BCA" w:rsidRDefault="00216117">
            <w:pPr>
              <w:pStyle w:val="TableParagraph"/>
              <w:ind w:left="24" w:right="24"/>
              <w:jc w:val="center"/>
              <w:rPr>
                <w:sz w:val="3"/>
              </w:rPr>
            </w:pPr>
            <w:r>
              <w:rPr>
                <w:w w:val="105"/>
                <w:sz w:val="3"/>
              </w:rPr>
              <w:t>1,83400000%</w:t>
            </w:r>
          </w:p>
        </w:tc>
        <w:tc>
          <w:tcPr>
            <w:tcW w:w="288" w:type="dxa"/>
          </w:tcPr>
          <w:p w14:paraId="0EA08E01" w14:textId="77777777" w:rsidR="00F65BCA" w:rsidRDefault="00F65BCA">
            <w:pPr>
              <w:pStyle w:val="TableParagraph"/>
              <w:rPr>
                <w:rFonts w:ascii="Calibri"/>
                <w:sz w:val="2"/>
              </w:rPr>
            </w:pPr>
          </w:p>
          <w:p w14:paraId="407481D2" w14:textId="77777777" w:rsidR="00F65BCA" w:rsidRDefault="00216117">
            <w:pPr>
              <w:pStyle w:val="TableParagraph"/>
              <w:ind w:left="24" w:right="24"/>
              <w:jc w:val="center"/>
              <w:rPr>
                <w:sz w:val="3"/>
              </w:rPr>
            </w:pPr>
            <w:r>
              <w:rPr>
                <w:w w:val="105"/>
                <w:sz w:val="3"/>
              </w:rPr>
              <w:t>1,83400000%</w:t>
            </w:r>
          </w:p>
        </w:tc>
        <w:tc>
          <w:tcPr>
            <w:tcW w:w="288" w:type="dxa"/>
          </w:tcPr>
          <w:p w14:paraId="50A53DBD" w14:textId="77777777" w:rsidR="00F65BCA" w:rsidRDefault="00F65BCA">
            <w:pPr>
              <w:pStyle w:val="TableParagraph"/>
              <w:rPr>
                <w:rFonts w:ascii="Calibri"/>
                <w:sz w:val="2"/>
              </w:rPr>
            </w:pPr>
          </w:p>
          <w:p w14:paraId="6E3E5D70" w14:textId="77777777" w:rsidR="00F65BCA" w:rsidRDefault="00216117">
            <w:pPr>
              <w:pStyle w:val="TableParagraph"/>
              <w:ind w:left="47"/>
              <w:rPr>
                <w:sz w:val="3"/>
              </w:rPr>
            </w:pPr>
            <w:r>
              <w:rPr>
                <w:w w:val="105"/>
                <w:sz w:val="3"/>
              </w:rPr>
              <w:t>1,63750000%</w:t>
            </w:r>
          </w:p>
        </w:tc>
        <w:tc>
          <w:tcPr>
            <w:tcW w:w="288" w:type="dxa"/>
          </w:tcPr>
          <w:p w14:paraId="69939376" w14:textId="77777777" w:rsidR="00F65BCA" w:rsidRDefault="00F65BCA">
            <w:pPr>
              <w:pStyle w:val="TableParagraph"/>
              <w:rPr>
                <w:rFonts w:ascii="Calibri"/>
                <w:sz w:val="2"/>
              </w:rPr>
            </w:pPr>
          </w:p>
          <w:p w14:paraId="5D8D06C8" w14:textId="77777777" w:rsidR="00F65BCA" w:rsidRDefault="00216117">
            <w:pPr>
              <w:pStyle w:val="TableParagraph"/>
              <w:ind w:left="24" w:right="24"/>
              <w:jc w:val="center"/>
              <w:rPr>
                <w:sz w:val="3"/>
              </w:rPr>
            </w:pPr>
            <w:r>
              <w:rPr>
                <w:w w:val="105"/>
                <w:sz w:val="3"/>
              </w:rPr>
              <w:t>1,63750000%</w:t>
            </w:r>
          </w:p>
        </w:tc>
        <w:tc>
          <w:tcPr>
            <w:tcW w:w="288" w:type="dxa"/>
          </w:tcPr>
          <w:p w14:paraId="064A1C99" w14:textId="77777777" w:rsidR="00F65BCA" w:rsidRDefault="00F65BCA">
            <w:pPr>
              <w:pStyle w:val="TableParagraph"/>
              <w:rPr>
                <w:rFonts w:ascii="Calibri"/>
                <w:sz w:val="2"/>
              </w:rPr>
            </w:pPr>
          </w:p>
          <w:p w14:paraId="6437C94F" w14:textId="77777777" w:rsidR="00F65BCA" w:rsidRDefault="00216117">
            <w:pPr>
              <w:pStyle w:val="TableParagraph"/>
              <w:ind w:left="24" w:right="24"/>
              <w:jc w:val="center"/>
              <w:rPr>
                <w:sz w:val="3"/>
              </w:rPr>
            </w:pPr>
            <w:r>
              <w:rPr>
                <w:w w:val="105"/>
                <w:sz w:val="3"/>
              </w:rPr>
              <w:t>1,50650000%</w:t>
            </w:r>
          </w:p>
        </w:tc>
        <w:tc>
          <w:tcPr>
            <w:tcW w:w="288" w:type="dxa"/>
          </w:tcPr>
          <w:p w14:paraId="4B32D096" w14:textId="77777777" w:rsidR="00F65BCA" w:rsidRDefault="00F65BCA">
            <w:pPr>
              <w:pStyle w:val="TableParagraph"/>
              <w:rPr>
                <w:rFonts w:ascii="Calibri"/>
                <w:sz w:val="2"/>
              </w:rPr>
            </w:pPr>
          </w:p>
          <w:p w14:paraId="7778F21D" w14:textId="77777777" w:rsidR="00F65BCA" w:rsidRDefault="00216117">
            <w:pPr>
              <w:pStyle w:val="TableParagraph"/>
              <w:ind w:left="24" w:right="24"/>
              <w:jc w:val="center"/>
              <w:rPr>
                <w:sz w:val="3"/>
              </w:rPr>
            </w:pPr>
            <w:r>
              <w:rPr>
                <w:w w:val="105"/>
                <w:sz w:val="3"/>
              </w:rPr>
              <w:t>1,44100000%</w:t>
            </w:r>
          </w:p>
        </w:tc>
        <w:tc>
          <w:tcPr>
            <w:tcW w:w="288" w:type="dxa"/>
          </w:tcPr>
          <w:p w14:paraId="75ED4AC0" w14:textId="77777777" w:rsidR="00F65BCA" w:rsidRDefault="00F65BCA">
            <w:pPr>
              <w:pStyle w:val="TableParagraph"/>
              <w:rPr>
                <w:rFonts w:ascii="Calibri"/>
                <w:sz w:val="2"/>
              </w:rPr>
            </w:pPr>
          </w:p>
          <w:p w14:paraId="2B59B0A5" w14:textId="77777777" w:rsidR="00F65BCA" w:rsidRDefault="00216117">
            <w:pPr>
              <w:pStyle w:val="TableParagraph"/>
              <w:ind w:left="24" w:right="24"/>
              <w:jc w:val="center"/>
              <w:rPr>
                <w:sz w:val="3"/>
              </w:rPr>
            </w:pPr>
            <w:r>
              <w:rPr>
                <w:w w:val="105"/>
                <w:sz w:val="3"/>
              </w:rPr>
              <w:t>1,31000000%</w:t>
            </w:r>
          </w:p>
        </w:tc>
        <w:tc>
          <w:tcPr>
            <w:tcW w:w="288" w:type="dxa"/>
          </w:tcPr>
          <w:p w14:paraId="2ADA7E63" w14:textId="77777777" w:rsidR="00F65BCA" w:rsidRDefault="00F65BCA">
            <w:pPr>
              <w:pStyle w:val="TableParagraph"/>
              <w:rPr>
                <w:rFonts w:ascii="Calibri"/>
                <w:sz w:val="2"/>
              </w:rPr>
            </w:pPr>
          </w:p>
          <w:p w14:paraId="1B2F6AA4" w14:textId="77777777" w:rsidR="00F65BCA" w:rsidRDefault="00216117">
            <w:pPr>
              <w:pStyle w:val="TableParagraph"/>
              <w:ind w:left="47"/>
              <w:rPr>
                <w:sz w:val="3"/>
              </w:rPr>
            </w:pPr>
            <w:r>
              <w:rPr>
                <w:w w:val="105"/>
                <w:sz w:val="3"/>
              </w:rPr>
              <w:t>1,31000000%</w:t>
            </w:r>
          </w:p>
        </w:tc>
      </w:tr>
      <w:tr w:rsidR="00F65BCA" w14:paraId="17AD5795" w14:textId="77777777">
        <w:trPr>
          <w:trHeight w:val="81"/>
        </w:trPr>
        <w:tc>
          <w:tcPr>
            <w:tcW w:w="526" w:type="dxa"/>
            <w:vMerge/>
            <w:tcBorders>
              <w:top w:val="nil"/>
              <w:bottom w:val="nil"/>
            </w:tcBorders>
            <w:shd w:val="clear" w:color="auto" w:fill="FCE4D6"/>
          </w:tcPr>
          <w:p w14:paraId="73C77FE8" w14:textId="77777777" w:rsidR="00F65BCA" w:rsidRDefault="00F65BCA">
            <w:pPr>
              <w:rPr>
                <w:sz w:val="2"/>
                <w:szCs w:val="2"/>
              </w:rPr>
            </w:pPr>
          </w:p>
        </w:tc>
        <w:tc>
          <w:tcPr>
            <w:tcW w:w="732" w:type="dxa"/>
            <w:vMerge w:val="restart"/>
            <w:shd w:val="clear" w:color="auto" w:fill="FCE4D6"/>
          </w:tcPr>
          <w:p w14:paraId="4782CA69" w14:textId="77777777" w:rsidR="00F65BCA" w:rsidRDefault="00F65BCA">
            <w:pPr>
              <w:pStyle w:val="TableParagraph"/>
              <w:rPr>
                <w:rFonts w:ascii="Calibri"/>
                <w:sz w:val="2"/>
              </w:rPr>
            </w:pPr>
          </w:p>
          <w:p w14:paraId="7F9C03F8" w14:textId="77777777" w:rsidR="00F65BCA" w:rsidRDefault="00F65BCA">
            <w:pPr>
              <w:pStyle w:val="TableParagraph"/>
              <w:rPr>
                <w:rFonts w:ascii="Calibri"/>
                <w:sz w:val="2"/>
              </w:rPr>
            </w:pPr>
          </w:p>
          <w:p w14:paraId="1F513B87" w14:textId="77777777" w:rsidR="00F65BCA" w:rsidRDefault="00216117">
            <w:pPr>
              <w:pStyle w:val="TableParagraph"/>
              <w:spacing w:before="17"/>
              <w:ind w:left="18" w:right="14"/>
              <w:jc w:val="center"/>
              <w:rPr>
                <w:sz w:val="3"/>
              </w:rPr>
            </w:pPr>
            <w:r>
              <w:rPr>
                <w:w w:val="105"/>
                <w:sz w:val="3"/>
              </w:rPr>
              <w:t>Volvo</w:t>
            </w:r>
          </w:p>
        </w:tc>
        <w:tc>
          <w:tcPr>
            <w:tcW w:w="958" w:type="dxa"/>
            <w:gridSpan w:val="2"/>
            <w:shd w:val="clear" w:color="auto" w:fill="FCE4D6"/>
          </w:tcPr>
          <w:p w14:paraId="0A657C65" w14:textId="77777777" w:rsidR="00F65BCA" w:rsidRDefault="00216117">
            <w:pPr>
              <w:pStyle w:val="TableParagraph"/>
              <w:spacing w:before="4"/>
              <w:ind w:left="4"/>
              <w:rPr>
                <w:sz w:val="3"/>
              </w:rPr>
            </w:pPr>
            <w:r>
              <w:rPr>
                <w:w w:val="105"/>
                <w:sz w:val="3"/>
              </w:rPr>
              <w:t>F 10; F 12; F 16; FE 7; FE 8; FH 12; FH 13; FH 16; FL 10; FL 7; FL</w:t>
            </w:r>
          </w:p>
          <w:p w14:paraId="7261D3B4" w14:textId="77777777" w:rsidR="00F65BCA" w:rsidRDefault="00216117">
            <w:pPr>
              <w:pStyle w:val="TableParagraph"/>
              <w:spacing w:before="6" w:line="16" w:lineRule="exact"/>
              <w:ind w:left="4"/>
              <w:rPr>
                <w:sz w:val="3"/>
              </w:rPr>
            </w:pPr>
            <w:r>
              <w:rPr>
                <w:w w:val="105"/>
                <w:sz w:val="3"/>
              </w:rPr>
              <w:t>8; FM 11; FM 12; FM 13; FM 7; FM 9; FMX 11; FMX 13; JINÉ</w:t>
            </w:r>
          </w:p>
        </w:tc>
        <w:tc>
          <w:tcPr>
            <w:tcW w:w="576" w:type="dxa"/>
            <w:shd w:val="clear" w:color="auto" w:fill="FCE4D6"/>
          </w:tcPr>
          <w:p w14:paraId="2E039641" w14:textId="77777777" w:rsidR="00F65BCA" w:rsidRDefault="00F65BCA">
            <w:pPr>
              <w:pStyle w:val="TableParagraph"/>
              <w:rPr>
                <w:rFonts w:ascii="Calibri"/>
                <w:sz w:val="2"/>
              </w:rPr>
            </w:pPr>
          </w:p>
          <w:p w14:paraId="5AA80AD0" w14:textId="77777777" w:rsidR="00F65BCA" w:rsidRDefault="00216117">
            <w:pPr>
              <w:pStyle w:val="TableParagraph"/>
              <w:ind w:left="3"/>
              <w:jc w:val="center"/>
              <w:rPr>
                <w:sz w:val="3"/>
              </w:rPr>
            </w:pPr>
            <w:r>
              <w:rPr>
                <w:w w:val="103"/>
                <w:sz w:val="3"/>
              </w:rPr>
              <w:t>-</w:t>
            </w:r>
          </w:p>
        </w:tc>
        <w:tc>
          <w:tcPr>
            <w:tcW w:w="576" w:type="dxa"/>
            <w:shd w:val="clear" w:color="auto" w:fill="FCE4D6"/>
          </w:tcPr>
          <w:p w14:paraId="7BB3A72C" w14:textId="77777777" w:rsidR="00F65BCA" w:rsidRDefault="00F65BCA">
            <w:pPr>
              <w:pStyle w:val="TableParagraph"/>
              <w:rPr>
                <w:rFonts w:ascii="Calibri"/>
                <w:sz w:val="2"/>
              </w:rPr>
            </w:pPr>
          </w:p>
          <w:p w14:paraId="36214C7B"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367FCA26" w14:textId="77777777" w:rsidR="00F65BCA" w:rsidRDefault="00F65BCA">
            <w:pPr>
              <w:rPr>
                <w:sz w:val="2"/>
                <w:szCs w:val="2"/>
              </w:rPr>
            </w:pPr>
          </w:p>
        </w:tc>
        <w:tc>
          <w:tcPr>
            <w:tcW w:w="288" w:type="dxa"/>
          </w:tcPr>
          <w:p w14:paraId="5F7AE7DF" w14:textId="77777777" w:rsidR="00F65BCA" w:rsidRDefault="00F65BCA">
            <w:pPr>
              <w:pStyle w:val="TableParagraph"/>
              <w:rPr>
                <w:rFonts w:ascii="Calibri"/>
                <w:sz w:val="2"/>
              </w:rPr>
            </w:pPr>
          </w:p>
          <w:p w14:paraId="091E4E93" w14:textId="77777777" w:rsidR="00F65BCA" w:rsidRDefault="00216117">
            <w:pPr>
              <w:pStyle w:val="TableParagraph"/>
              <w:ind w:left="24" w:right="24"/>
              <w:jc w:val="center"/>
              <w:rPr>
                <w:sz w:val="3"/>
              </w:rPr>
            </w:pPr>
            <w:r>
              <w:rPr>
                <w:w w:val="105"/>
                <w:sz w:val="3"/>
              </w:rPr>
              <w:t>2,48900000%</w:t>
            </w:r>
          </w:p>
        </w:tc>
        <w:tc>
          <w:tcPr>
            <w:tcW w:w="288" w:type="dxa"/>
          </w:tcPr>
          <w:p w14:paraId="6AB91AD7" w14:textId="77777777" w:rsidR="00F65BCA" w:rsidRDefault="00F65BCA">
            <w:pPr>
              <w:pStyle w:val="TableParagraph"/>
              <w:rPr>
                <w:rFonts w:ascii="Calibri"/>
                <w:sz w:val="2"/>
              </w:rPr>
            </w:pPr>
          </w:p>
          <w:p w14:paraId="5A47A835" w14:textId="77777777" w:rsidR="00F65BCA" w:rsidRDefault="00216117">
            <w:pPr>
              <w:pStyle w:val="TableParagraph"/>
              <w:ind w:left="24" w:right="24"/>
              <w:jc w:val="center"/>
              <w:rPr>
                <w:sz w:val="3"/>
              </w:rPr>
            </w:pPr>
            <w:r>
              <w:rPr>
                <w:w w:val="105"/>
                <w:sz w:val="3"/>
              </w:rPr>
              <w:t>2,22700000%</w:t>
            </w:r>
          </w:p>
        </w:tc>
        <w:tc>
          <w:tcPr>
            <w:tcW w:w="288" w:type="dxa"/>
          </w:tcPr>
          <w:p w14:paraId="0A0CEDFF" w14:textId="77777777" w:rsidR="00F65BCA" w:rsidRDefault="00F65BCA">
            <w:pPr>
              <w:pStyle w:val="TableParagraph"/>
              <w:rPr>
                <w:rFonts w:ascii="Calibri"/>
                <w:sz w:val="2"/>
              </w:rPr>
            </w:pPr>
          </w:p>
          <w:p w14:paraId="2D1302F7" w14:textId="77777777" w:rsidR="00F65BCA" w:rsidRDefault="00216117">
            <w:pPr>
              <w:pStyle w:val="TableParagraph"/>
              <w:ind w:left="47"/>
              <w:rPr>
                <w:sz w:val="3"/>
              </w:rPr>
            </w:pPr>
            <w:r>
              <w:rPr>
                <w:w w:val="105"/>
                <w:sz w:val="3"/>
              </w:rPr>
              <w:t>2,22700000%</w:t>
            </w:r>
          </w:p>
        </w:tc>
        <w:tc>
          <w:tcPr>
            <w:tcW w:w="288" w:type="dxa"/>
          </w:tcPr>
          <w:p w14:paraId="4D658177" w14:textId="77777777" w:rsidR="00F65BCA" w:rsidRDefault="00F65BCA">
            <w:pPr>
              <w:pStyle w:val="TableParagraph"/>
              <w:rPr>
                <w:rFonts w:ascii="Calibri"/>
                <w:sz w:val="2"/>
              </w:rPr>
            </w:pPr>
          </w:p>
          <w:p w14:paraId="4A2493DD" w14:textId="77777777" w:rsidR="00F65BCA" w:rsidRDefault="00216117">
            <w:pPr>
              <w:pStyle w:val="TableParagraph"/>
              <w:ind w:left="24" w:right="24"/>
              <w:jc w:val="center"/>
              <w:rPr>
                <w:sz w:val="3"/>
              </w:rPr>
            </w:pPr>
            <w:r>
              <w:rPr>
                <w:w w:val="105"/>
                <w:sz w:val="3"/>
              </w:rPr>
              <w:t>2,03050000%</w:t>
            </w:r>
          </w:p>
        </w:tc>
        <w:tc>
          <w:tcPr>
            <w:tcW w:w="288" w:type="dxa"/>
          </w:tcPr>
          <w:p w14:paraId="784952C2" w14:textId="77777777" w:rsidR="00F65BCA" w:rsidRDefault="00F65BCA">
            <w:pPr>
              <w:pStyle w:val="TableParagraph"/>
              <w:rPr>
                <w:rFonts w:ascii="Calibri"/>
                <w:sz w:val="2"/>
              </w:rPr>
            </w:pPr>
          </w:p>
          <w:p w14:paraId="2FF8D5A3" w14:textId="77777777" w:rsidR="00F65BCA" w:rsidRDefault="00216117">
            <w:pPr>
              <w:pStyle w:val="TableParagraph"/>
              <w:ind w:left="47"/>
              <w:rPr>
                <w:sz w:val="3"/>
              </w:rPr>
            </w:pPr>
            <w:r>
              <w:rPr>
                <w:w w:val="105"/>
                <w:sz w:val="3"/>
              </w:rPr>
              <w:t>2,03050000%</w:t>
            </w:r>
          </w:p>
        </w:tc>
        <w:tc>
          <w:tcPr>
            <w:tcW w:w="288" w:type="dxa"/>
          </w:tcPr>
          <w:p w14:paraId="78289D1C" w14:textId="77777777" w:rsidR="00F65BCA" w:rsidRDefault="00F65BCA">
            <w:pPr>
              <w:pStyle w:val="TableParagraph"/>
              <w:rPr>
                <w:rFonts w:ascii="Calibri"/>
                <w:sz w:val="2"/>
              </w:rPr>
            </w:pPr>
          </w:p>
          <w:p w14:paraId="492045A4" w14:textId="77777777" w:rsidR="00F65BCA" w:rsidRDefault="00216117">
            <w:pPr>
              <w:pStyle w:val="TableParagraph"/>
              <w:ind w:left="24" w:right="24"/>
              <w:jc w:val="center"/>
              <w:rPr>
                <w:sz w:val="3"/>
              </w:rPr>
            </w:pPr>
            <w:r>
              <w:rPr>
                <w:w w:val="105"/>
                <w:sz w:val="3"/>
              </w:rPr>
              <w:t>1,83400000%</w:t>
            </w:r>
          </w:p>
        </w:tc>
        <w:tc>
          <w:tcPr>
            <w:tcW w:w="288" w:type="dxa"/>
          </w:tcPr>
          <w:p w14:paraId="761C71D4" w14:textId="77777777" w:rsidR="00F65BCA" w:rsidRDefault="00F65BCA">
            <w:pPr>
              <w:pStyle w:val="TableParagraph"/>
              <w:rPr>
                <w:rFonts w:ascii="Calibri"/>
                <w:sz w:val="2"/>
              </w:rPr>
            </w:pPr>
          </w:p>
          <w:p w14:paraId="3C47B645" w14:textId="77777777" w:rsidR="00F65BCA" w:rsidRDefault="00216117">
            <w:pPr>
              <w:pStyle w:val="TableParagraph"/>
              <w:ind w:left="24" w:right="24"/>
              <w:jc w:val="center"/>
              <w:rPr>
                <w:sz w:val="3"/>
              </w:rPr>
            </w:pPr>
            <w:r>
              <w:rPr>
                <w:w w:val="105"/>
                <w:sz w:val="3"/>
              </w:rPr>
              <w:t>1,83400000%</w:t>
            </w:r>
          </w:p>
        </w:tc>
        <w:tc>
          <w:tcPr>
            <w:tcW w:w="288" w:type="dxa"/>
          </w:tcPr>
          <w:p w14:paraId="26285068" w14:textId="77777777" w:rsidR="00F65BCA" w:rsidRDefault="00F65BCA">
            <w:pPr>
              <w:pStyle w:val="TableParagraph"/>
              <w:rPr>
                <w:rFonts w:ascii="Calibri"/>
                <w:sz w:val="2"/>
              </w:rPr>
            </w:pPr>
          </w:p>
          <w:p w14:paraId="73A1695D" w14:textId="77777777" w:rsidR="00F65BCA" w:rsidRDefault="00216117">
            <w:pPr>
              <w:pStyle w:val="TableParagraph"/>
              <w:ind w:left="47"/>
              <w:rPr>
                <w:sz w:val="3"/>
              </w:rPr>
            </w:pPr>
            <w:r>
              <w:rPr>
                <w:w w:val="105"/>
                <w:sz w:val="3"/>
              </w:rPr>
              <w:t>1,63750000%</w:t>
            </w:r>
          </w:p>
        </w:tc>
        <w:tc>
          <w:tcPr>
            <w:tcW w:w="288" w:type="dxa"/>
          </w:tcPr>
          <w:p w14:paraId="12540ED9" w14:textId="77777777" w:rsidR="00F65BCA" w:rsidRDefault="00F65BCA">
            <w:pPr>
              <w:pStyle w:val="TableParagraph"/>
              <w:rPr>
                <w:rFonts w:ascii="Calibri"/>
                <w:sz w:val="2"/>
              </w:rPr>
            </w:pPr>
          </w:p>
          <w:p w14:paraId="3DCA4A43" w14:textId="77777777" w:rsidR="00F65BCA" w:rsidRDefault="00216117">
            <w:pPr>
              <w:pStyle w:val="TableParagraph"/>
              <w:ind w:left="24" w:right="24"/>
              <w:jc w:val="center"/>
              <w:rPr>
                <w:sz w:val="3"/>
              </w:rPr>
            </w:pPr>
            <w:r>
              <w:rPr>
                <w:w w:val="105"/>
                <w:sz w:val="3"/>
              </w:rPr>
              <w:t>1,63750000%</w:t>
            </w:r>
          </w:p>
        </w:tc>
        <w:tc>
          <w:tcPr>
            <w:tcW w:w="288" w:type="dxa"/>
          </w:tcPr>
          <w:p w14:paraId="148FC55C" w14:textId="77777777" w:rsidR="00F65BCA" w:rsidRDefault="00F65BCA">
            <w:pPr>
              <w:pStyle w:val="TableParagraph"/>
              <w:rPr>
                <w:rFonts w:ascii="Calibri"/>
                <w:sz w:val="2"/>
              </w:rPr>
            </w:pPr>
          </w:p>
          <w:p w14:paraId="6A9305CE" w14:textId="77777777" w:rsidR="00F65BCA" w:rsidRDefault="00216117">
            <w:pPr>
              <w:pStyle w:val="TableParagraph"/>
              <w:ind w:left="24" w:right="24"/>
              <w:jc w:val="center"/>
              <w:rPr>
                <w:sz w:val="3"/>
              </w:rPr>
            </w:pPr>
            <w:r>
              <w:rPr>
                <w:w w:val="105"/>
                <w:sz w:val="3"/>
              </w:rPr>
              <w:t>1,50650000%</w:t>
            </w:r>
          </w:p>
        </w:tc>
        <w:tc>
          <w:tcPr>
            <w:tcW w:w="288" w:type="dxa"/>
          </w:tcPr>
          <w:p w14:paraId="25529032" w14:textId="77777777" w:rsidR="00F65BCA" w:rsidRDefault="00F65BCA">
            <w:pPr>
              <w:pStyle w:val="TableParagraph"/>
              <w:rPr>
                <w:rFonts w:ascii="Calibri"/>
                <w:sz w:val="2"/>
              </w:rPr>
            </w:pPr>
          </w:p>
          <w:p w14:paraId="6B729844" w14:textId="77777777" w:rsidR="00F65BCA" w:rsidRDefault="00216117">
            <w:pPr>
              <w:pStyle w:val="TableParagraph"/>
              <w:ind w:left="24" w:right="24"/>
              <w:jc w:val="center"/>
              <w:rPr>
                <w:sz w:val="3"/>
              </w:rPr>
            </w:pPr>
            <w:r>
              <w:rPr>
                <w:w w:val="105"/>
                <w:sz w:val="3"/>
              </w:rPr>
              <w:t>1,44100000%</w:t>
            </w:r>
          </w:p>
        </w:tc>
        <w:tc>
          <w:tcPr>
            <w:tcW w:w="288" w:type="dxa"/>
          </w:tcPr>
          <w:p w14:paraId="26485B32" w14:textId="77777777" w:rsidR="00F65BCA" w:rsidRDefault="00F65BCA">
            <w:pPr>
              <w:pStyle w:val="TableParagraph"/>
              <w:rPr>
                <w:rFonts w:ascii="Calibri"/>
                <w:sz w:val="2"/>
              </w:rPr>
            </w:pPr>
          </w:p>
          <w:p w14:paraId="40DF559F" w14:textId="77777777" w:rsidR="00F65BCA" w:rsidRDefault="00216117">
            <w:pPr>
              <w:pStyle w:val="TableParagraph"/>
              <w:ind w:left="24" w:right="24"/>
              <w:jc w:val="center"/>
              <w:rPr>
                <w:sz w:val="3"/>
              </w:rPr>
            </w:pPr>
            <w:r>
              <w:rPr>
                <w:w w:val="105"/>
                <w:sz w:val="3"/>
              </w:rPr>
              <w:t>1,31000000%</w:t>
            </w:r>
          </w:p>
        </w:tc>
        <w:tc>
          <w:tcPr>
            <w:tcW w:w="288" w:type="dxa"/>
          </w:tcPr>
          <w:p w14:paraId="52E4810A" w14:textId="77777777" w:rsidR="00F65BCA" w:rsidRDefault="00F65BCA">
            <w:pPr>
              <w:pStyle w:val="TableParagraph"/>
              <w:rPr>
                <w:rFonts w:ascii="Calibri"/>
                <w:sz w:val="2"/>
              </w:rPr>
            </w:pPr>
          </w:p>
          <w:p w14:paraId="23373307" w14:textId="77777777" w:rsidR="00F65BCA" w:rsidRDefault="00216117">
            <w:pPr>
              <w:pStyle w:val="TableParagraph"/>
              <w:ind w:left="47"/>
              <w:rPr>
                <w:sz w:val="3"/>
              </w:rPr>
            </w:pPr>
            <w:r>
              <w:rPr>
                <w:w w:val="105"/>
                <w:sz w:val="3"/>
              </w:rPr>
              <w:t>1,31000000%</w:t>
            </w:r>
          </w:p>
        </w:tc>
      </w:tr>
      <w:tr w:rsidR="00F65BCA" w14:paraId="0B747497" w14:textId="77777777">
        <w:trPr>
          <w:trHeight w:val="81"/>
        </w:trPr>
        <w:tc>
          <w:tcPr>
            <w:tcW w:w="526" w:type="dxa"/>
            <w:vMerge/>
            <w:tcBorders>
              <w:top w:val="nil"/>
              <w:bottom w:val="nil"/>
            </w:tcBorders>
            <w:shd w:val="clear" w:color="auto" w:fill="FCE4D6"/>
          </w:tcPr>
          <w:p w14:paraId="70059FE8" w14:textId="77777777" w:rsidR="00F65BCA" w:rsidRDefault="00F65BCA">
            <w:pPr>
              <w:rPr>
                <w:sz w:val="2"/>
                <w:szCs w:val="2"/>
              </w:rPr>
            </w:pPr>
          </w:p>
        </w:tc>
        <w:tc>
          <w:tcPr>
            <w:tcW w:w="732" w:type="dxa"/>
            <w:vMerge/>
            <w:tcBorders>
              <w:top w:val="nil"/>
            </w:tcBorders>
            <w:shd w:val="clear" w:color="auto" w:fill="FCE4D6"/>
          </w:tcPr>
          <w:p w14:paraId="22D46AA3" w14:textId="77777777" w:rsidR="00F65BCA" w:rsidRDefault="00F65BCA">
            <w:pPr>
              <w:rPr>
                <w:sz w:val="2"/>
                <w:szCs w:val="2"/>
              </w:rPr>
            </w:pPr>
          </w:p>
        </w:tc>
        <w:tc>
          <w:tcPr>
            <w:tcW w:w="958" w:type="dxa"/>
            <w:gridSpan w:val="2"/>
            <w:shd w:val="clear" w:color="auto" w:fill="FCE4D6"/>
          </w:tcPr>
          <w:p w14:paraId="4A0BC3A9" w14:textId="77777777" w:rsidR="00F65BCA" w:rsidRDefault="00F65BCA">
            <w:pPr>
              <w:pStyle w:val="TableParagraph"/>
              <w:rPr>
                <w:rFonts w:ascii="Calibri"/>
                <w:sz w:val="2"/>
              </w:rPr>
            </w:pPr>
          </w:p>
          <w:p w14:paraId="405DF912" w14:textId="77777777" w:rsidR="00F65BCA" w:rsidRDefault="00216117">
            <w:pPr>
              <w:pStyle w:val="TableParagraph"/>
              <w:ind w:left="4"/>
              <w:rPr>
                <w:sz w:val="3"/>
              </w:rPr>
            </w:pPr>
            <w:r>
              <w:rPr>
                <w:w w:val="105"/>
                <w:sz w:val="3"/>
              </w:rPr>
              <w:t>FL 5; FL 6; FL C</w:t>
            </w:r>
          </w:p>
        </w:tc>
        <w:tc>
          <w:tcPr>
            <w:tcW w:w="576" w:type="dxa"/>
            <w:shd w:val="clear" w:color="auto" w:fill="FCE4D6"/>
          </w:tcPr>
          <w:p w14:paraId="7028F6BC" w14:textId="77777777" w:rsidR="00F65BCA" w:rsidRDefault="00F65BCA">
            <w:pPr>
              <w:pStyle w:val="TableParagraph"/>
              <w:rPr>
                <w:rFonts w:ascii="Calibri"/>
                <w:sz w:val="2"/>
              </w:rPr>
            </w:pPr>
          </w:p>
          <w:p w14:paraId="6E8E8A46" w14:textId="77777777" w:rsidR="00F65BCA" w:rsidRDefault="00216117">
            <w:pPr>
              <w:pStyle w:val="TableParagraph"/>
              <w:ind w:left="4"/>
              <w:jc w:val="center"/>
              <w:rPr>
                <w:sz w:val="3"/>
              </w:rPr>
            </w:pPr>
            <w:r>
              <w:rPr>
                <w:w w:val="103"/>
                <w:sz w:val="3"/>
              </w:rPr>
              <w:t>-</w:t>
            </w:r>
          </w:p>
        </w:tc>
        <w:tc>
          <w:tcPr>
            <w:tcW w:w="576" w:type="dxa"/>
            <w:shd w:val="clear" w:color="auto" w:fill="FCE4D6"/>
          </w:tcPr>
          <w:p w14:paraId="6D5B828F" w14:textId="77777777" w:rsidR="00F65BCA" w:rsidRDefault="00F65BCA">
            <w:pPr>
              <w:pStyle w:val="TableParagraph"/>
              <w:rPr>
                <w:rFonts w:ascii="Calibri"/>
                <w:sz w:val="2"/>
              </w:rPr>
            </w:pPr>
          </w:p>
          <w:p w14:paraId="6AAC8DC6" w14:textId="77777777" w:rsidR="00F65BCA" w:rsidRDefault="00216117">
            <w:pPr>
              <w:pStyle w:val="TableParagraph"/>
              <w:ind w:left="4"/>
              <w:jc w:val="center"/>
              <w:rPr>
                <w:sz w:val="3"/>
              </w:rPr>
            </w:pPr>
            <w:r>
              <w:rPr>
                <w:w w:val="103"/>
                <w:sz w:val="3"/>
              </w:rPr>
              <w:t>-</w:t>
            </w:r>
          </w:p>
        </w:tc>
        <w:tc>
          <w:tcPr>
            <w:tcW w:w="50" w:type="dxa"/>
            <w:vMerge/>
            <w:tcBorders>
              <w:top w:val="nil"/>
              <w:bottom w:val="nil"/>
            </w:tcBorders>
          </w:tcPr>
          <w:p w14:paraId="78C7DF6F" w14:textId="77777777" w:rsidR="00F65BCA" w:rsidRDefault="00F65BCA">
            <w:pPr>
              <w:rPr>
                <w:sz w:val="2"/>
                <w:szCs w:val="2"/>
              </w:rPr>
            </w:pPr>
          </w:p>
        </w:tc>
        <w:tc>
          <w:tcPr>
            <w:tcW w:w="288" w:type="dxa"/>
          </w:tcPr>
          <w:p w14:paraId="26D3A4DB" w14:textId="77777777" w:rsidR="00F65BCA" w:rsidRDefault="00F65BCA">
            <w:pPr>
              <w:pStyle w:val="TableParagraph"/>
              <w:rPr>
                <w:rFonts w:ascii="Calibri"/>
                <w:sz w:val="2"/>
              </w:rPr>
            </w:pPr>
          </w:p>
          <w:p w14:paraId="20681F08" w14:textId="77777777" w:rsidR="00F65BCA" w:rsidRDefault="00216117">
            <w:pPr>
              <w:pStyle w:val="TableParagraph"/>
              <w:ind w:left="24" w:right="24"/>
              <w:jc w:val="center"/>
              <w:rPr>
                <w:sz w:val="3"/>
              </w:rPr>
            </w:pPr>
            <w:r>
              <w:rPr>
                <w:w w:val="105"/>
                <w:sz w:val="3"/>
              </w:rPr>
              <w:t>2,48900000%</w:t>
            </w:r>
          </w:p>
        </w:tc>
        <w:tc>
          <w:tcPr>
            <w:tcW w:w="288" w:type="dxa"/>
          </w:tcPr>
          <w:p w14:paraId="557B3598" w14:textId="77777777" w:rsidR="00F65BCA" w:rsidRDefault="00F65BCA">
            <w:pPr>
              <w:pStyle w:val="TableParagraph"/>
              <w:rPr>
                <w:rFonts w:ascii="Calibri"/>
                <w:sz w:val="2"/>
              </w:rPr>
            </w:pPr>
          </w:p>
          <w:p w14:paraId="72C3F131" w14:textId="77777777" w:rsidR="00F65BCA" w:rsidRDefault="00216117">
            <w:pPr>
              <w:pStyle w:val="TableParagraph"/>
              <w:ind w:left="24" w:right="24"/>
              <w:jc w:val="center"/>
              <w:rPr>
                <w:sz w:val="3"/>
              </w:rPr>
            </w:pPr>
            <w:r>
              <w:rPr>
                <w:w w:val="105"/>
                <w:sz w:val="3"/>
              </w:rPr>
              <w:t>2,22700000%</w:t>
            </w:r>
          </w:p>
        </w:tc>
        <w:tc>
          <w:tcPr>
            <w:tcW w:w="288" w:type="dxa"/>
          </w:tcPr>
          <w:p w14:paraId="6208D0FF" w14:textId="77777777" w:rsidR="00F65BCA" w:rsidRDefault="00F65BCA">
            <w:pPr>
              <w:pStyle w:val="TableParagraph"/>
              <w:rPr>
                <w:rFonts w:ascii="Calibri"/>
                <w:sz w:val="2"/>
              </w:rPr>
            </w:pPr>
          </w:p>
          <w:p w14:paraId="0746AB92" w14:textId="77777777" w:rsidR="00F65BCA" w:rsidRDefault="00216117">
            <w:pPr>
              <w:pStyle w:val="TableParagraph"/>
              <w:ind w:left="47"/>
              <w:rPr>
                <w:sz w:val="3"/>
              </w:rPr>
            </w:pPr>
            <w:r>
              <w:rPr>
                <w:w w:val="105"/>
                <w:sz w:val="3"/>
              </w:rPr>
              <w:t>2,22700000%</w:t>
            </w:r>
          </w:p>
        </w:tc>
        <w:tc>
          <w:tcPr>
            <w:tcW w:w="288" w:type="dxa"/>
          </w:tcPr>
          <w:p w14:paraId="3D30A6DA" w14:textId="77777777" w:rsidR="00F65BCA" w:rsidRDefault="00F65BCA">
            <w:pPr>
              <w:pStyle w:val="TableParagraph"/>
              <w:rPr>
                <w:rFonts w:ascii="Calibri"/>
                <w:sz w:val="2"/>
              </w:rPr>
            </w:pPr>
          </w:p>
          <w:p w14:paraId="0E7DD67C" w14:textId="77777777" w:rsidR="00F65BCA" w:rsidRDefault="00216117">
            <w:pPr>
              <w:pStyle w:val="TableParagraph"/>
              <w:ind w:left="24" w:right="24"/>
              <w:jc w:val="center"/>
              <w:rPr>
                <w:sz w:val="3"/>
              </w:rPr>
            </w:pPr>
            <w:r>
              <w:rPr>
                <w:w w:val="105"/>
                <w:sz w:val="3"/>
              </w:rPr>
              <w:t>2,03050000%</w:t>
            </w:r>
          </w:p>
        </w:tc>
        <w:tc>
          <w:tcPr>
            <w:tcW w:w="288" w:type="dxa"/>
          </w:tcPr>
          <w:p w14:paraId="0C9A0BFF" w14:textId="77777777" w:rsidR="00F65BCA" w:rsidRDefault="00F65BCA">
            <w:pPr>
              <w:pStyle w:val="TableParagraph"/>
              <w:rPr>
                <w:rFonts w:ascii="Calibri"/>
                <w:sz w:val="2"/>
              </w:rPr>
            </w:pPr>
          </w:p>
          <w:p w14:paraId="0CCAEAEA" w14:textId="77777777" w:rsidR="00F65BCA" w:rsidRDefault="00216117">
            <w:pPr>
              <w:pStyle w:val="TableParagraph"/>
              <w:ind w:left="47"/>
              <w:rPr>
                <w:sz w:val="3"/>
              </w:rPr>
            </w:pPr>
            <w:r>
              <w:rPr>
                <w:w w:val="105"/>
                <w:sz w:val="3"/>
              </w:rPr>
              <w:t>2,03050000%</w:t>
            </w:r>
          </w:p>
        </w:tc>
        <w:tc>
          <w:tcPr>
            <w:tcW w:w="288" w:type="dxa"/>
          </w:tcPr>
          <w:p w14:paraId="5FA2CC1A" w14:textId="77777777" w:rsidR="00F65BCA" w:rsidRDefault="00F65BCA">
            <w:pPr>
              <w:pStyle w:val="TableParagraph"/>
              <w:rPr>
                <w:rFonts w:ascii="Calibri"/>
                <w:sz w:val="2"/>
              </w:rPr>
            </w:pPr>
          </w:p>
          <w:p w14:paraId="037CEB06" w14:textId="77777777" w:rsidR="00F65BCA" w:rsidRDefault="00216117">
            <w:pPr>
              <w:pStyle w:val="TableParagraph"/>
              <w:ind w:left="24" w:right="24"/>
              <w:jc w:val="center"/>
              <w:rPr>
                <w:sz w:val="3"/>
              </w:rPr>
            </w:pPr>
            <w:r>
              <w:rPr>
                <w:w w:val="105"/>
                <w:sz w:val="3"/>
              </w:rPr>
              <w:t>1,83400000%</w:t>
            </w:r>
          </w:p>
        </w:tc>
        <w:tc>
          <w:tcPr>
            <w:tcW w:w="288" w:type="dxa"/>
          </w:tcPr>
          <w:p w14:paraId="6A50F608" w14:textId="77777777" w:rsidR="00F65BCA" w:rsidRDefault="00F65BCA">
            <w:pPr>
              <w:pStyle w:val="TableParagraph"/>
              <w:rPr>
                <w:rFonts w:ascii="Calibri"/>
                <w:sz w:val="2"/>
              </w:rPr>
            </w:pPr>
          </w:p>
          <w:p w14:paraId="3EFB7B3B" w14:textId="77777777" w:rsidR="00F65BCA" w:rsidRDefault="00216117">
            <w:pPr>
              <w:pStyle w:val="TableParagraph"/>
              <w:ind w:left="24" w:right="24"/>
              <w:jc w:val="center"/>
              <w:rPr>
                <w:sz w:val="3"/>
              </w:rPr>
            </w:pPr>
            <w:r>
              <w:rPr>
                <w:w w:val="105"/>
                <w:sz w:val="3"/>
              </w:rPr>
              <w:t>1,83400000%</w:t>
            </w:r>
          </w:p>
        </w:tc>
        <w:tc>
          <w:tcPr>
            <w:tcW w:w="288" w:type="dxa"/>
          </w:tcPr>
          <w:p w14:paraId="50B3569B" w14:textId="77777777" w:rsidR="00F65BCA" w:rsidRDefault="00F65BCA">
            <w:pPr>
              <w:pStyle w:val="TableParagraph"/>
              <w:rPr>
                <w:rFonts w:ascii="Calibri"/>
                <w:sz w:val="2"/>
              </w:rPr>
            </w:pPr>
          </w:p>
          <w:p w14:paraId="0B0E5FCA" w14:textId="77777777" w:rsidR="00F65BCA" w:rsidRDefault="00216117">
            <w:pPr>
              <w:pStyle w:val="TableParagraph"/>
              <w:ind w:left="47"/>
              <w:rPr>
                <w:sz w:val="3"/>
              </w:rPr>
            </w:pPr>
            <w:r>
              <w:rPr>
                <w:w w:val="105"/>
                <w:sz w:val="3"/>
              </w:rPr>
              <w:t>1,63750000%</w:t>
            </w:r>
          </w:p>
        </w:tc>
        <w:tc>
          <w:tcPr>
            <w:tcW w:w="288" w:type="dxa"/>
          </w:tcPr>
          <w:p w14:paraId="417D75F1" w14:textId="77777777" w:rsidR="00F65BCA" w:rsidRDefault="00F65BCA">
            <w:pPr>
              <w:pStyle w:val="TableParagraph"/>
              <w:rPr>
                <w:rFonts w:ascii="Calibri"/>
                <w:sz w:val="2"/>
              </w:rPr>
            </w:pPr>
          </w:p>
          <w:p w14:paraId="052262D0" w14:textId="77777777" w:rsidR="00F65BCA" w:rsidRDefault="00216117">
            <w:pPr>
              <w:pStyle w:val="TableParagraph"/>
              <w:ind w:left="24" w:right="24"/>
              <w:jc w:val="center"/>
              <w:rPr>
                <w:sz w:val="3"/>
              </w:rPr>
            </w:pPr>
            <w:r>
              <w:rPr>
                <w:w w:val="105"/>
                <w:sz w:val="3"/>
              </w:rPr>
              <w:t>1,63750000%</w:t>
            </w:r>
          </w:p>
        </w:tc>
        <w:tc>
          <w:tcPr>
            <w:tcW w:w="288" w:type="dxa"/>
          </w:tcPr>
          <w:p w14:paraId="13358B40" w14:textId="77777777" w:rsidR="00F65BCA" w:rsidRDefault="00F65BCA">
            <w:pPr>
              <w:pStyle w:val="TableParagraph"/>
              <w:rPr>
                <w:rFonts w:ascii="Calibri"/>
                <w:sz w:val="2"/>
              </w:rPr>
            </w:pPr>
          </w:p>
          <w:p w14:paraId="082BC6E2" w14:textId="77777777" w:rsidR="00F65BCA" w:rsidRDefault="00216117">
            <w:pPr>
              <w:pStyle w:val="TableParagraph"/>
              <w:ind w:left="24" w:right="24"/>
              <w:jc w:val="center"/>
              <w:rPr>
                <w:sz w:val="3"/>
              </w:rPr>
            </w:pPr>
            <w:r>
              <w:rPr>
                <w:w w:val="105"/>
                <w:sz w:val="3"/>
              </w:rPr>
              <w:t>1,50650000%</w:t>
            </w:r>
          </w:p>
        </w:tc>
        <w:tc>
          <w:tcPr>
            <w:tcW w:w="288" w:type="dxa"/>
          </w:tcPr>
          <w:p w14:paraId="12797B29" w14:textId="77777777" w:rsidR="00F65BCA" w:rsidRDefault="00F65BCA">
            <w:pPr>
              <w:pStyle w:val="TableParagraph"/>
              <w:rPr>
                <w:rFonts w:ascii="Calibri"/>
                <w:sz w:val="2"/>
              </w:rPr>
            </w:pPr>
          </w:p>
          <w:p w14:paraId="59768A11" w14:textId="77777777" w:rsidR="00F65BCA" w:rsidRDefault="00216117">
            <w:pPr>
              <w:pStyle w:val="TableParagraph"/>
              <w:ind w:left="24" w:right="24"/>
              <w:jc w:val="center"/>
              <w:rPr>
                <w:sz w:val="3"/>
              </w:rPr>
            </w:pPr>
            <w:r>
              <w:rPr>
                <w:w w:val="105"/>
                <w:sz w:val="3"/>
              </w:rPr>
              <w:t>1,44100000%</w:t>
            </w:r>
          </w:p>
        </w:tc>
        <w:tc>
          <w:tcPr>
            <w:tcW w:w="288" w:type="dxa"/>
          </w:tcPr>
          <w:p w14:paraId="339B9487" w14:textId="77777777" w:rsidR="00F65BCA" w:rsidRDefault="00F65BCA">
            <w:pPr>
              <w:pStyle w:val="TableParagraph"/>
              <w:rPr>
                <w:rFonts w:ascii="Calibri"/>
                <w:sz w:val="2"/>
              </w:rPr>
            </w:pPr>
          </w:p>
          <w:p w14:paraId="729DDD86" w14:textId="77777777" w:rsidR="00F65BCA" w:rsidRDefault="00216117">
            <w:pPr>
              <w:pStyle w:val="TableParagraph"/>
              <w:ind w:left="24" w:right="24"/>
              <w:jc w:val="center"/>
              <w:rPr>
                <w:sz w:val="3"/>
              </w:rPr>
            </w:pPr>
            <w:r>
              <w:rPr>
                <w:w w:val="105"/>
                <w:sz w:val="3"/>
              </w:rPr>
              <w:t>1,31000000%</w:t>
            </w:r>
          </w:p>
        </w:tc>
        <w:tc>
          <w:tcPr>
            <w:tcW w:w="288" w:type="dxa"/>
          </w:tcPr>
          <w:p w14:paraId="2D485FC2" w14:textId="77777777" w:rsidR="00F65BCA" w:rsidRDefault="00F65BCA">
            <w:pPr>
              <w:pStyle w:val="TableParagraph"/>
              <w:rPr>
                <w:rFonts w:ascii="Calibri"/>
                <w:sz w:val="2"/>
              </w:rPr>
            </w:pPr>
          </w:p>
          <w:p w14:paraId="4C8E558A" w14:textId="77777777" w:rsidR="00F65BCA" w:rsidRDefault="00216117">
            <w:pPr>
              <w:pStyle w:val="TableParagraph"/>
              <w:ind w:left="47"/>
              <w:rPr>
                <w:sz w:val="3"/>
              </w:rPr>
            </w:pPr>
            <w:r>
              <w:rPr>
                <w:w w:val="105"/>
                <w:sz w:val="3"/>
              </w:rPr>
              <w:t>1,31000000%</w:t>
            </w:r>
          </w:p>
        </w:tc>
      </w:tr>
      <w:tr w:rsidR="00F65BCA" w14:paraId="516D0BCF" w14:textId="77777777">
        <w:trPr>
          <w:trHeight w:val="191"/>
        </w:trPr>
        <w:tc>
          <w:tcPr>
            <w:tcW w:w="526" w:type="dxa"/>
            <w:tcBorders>
              <w:top w:val="nil"/>
              <w:bottom w:val="nil"/>
            </w:tcBorders>
            <w:shd w:val="clear" w:color="auto" w:fill="FCE4D6"/>
          </w:tcPr>
          <w:p w14:paraId="0DA97616" w14:textId="77777777" w:rsidR="00F65BCA" w:rsidRDefault="00F65BCA">
            <w:pPr>
              <w:pStyle w:val="TableParagraph"/>
              <w:rPr>
                <w:rFonts w:ascii="Times New Roman"/>
                <w:sz w:val="2"/>
              </w:rPr>
            </w:pPr>
          </w:p>
        </w:tc>
        <w:tc>
          <w:tcPr>
            <w:tcW w:w="732" w:type="dxa"/>
            <w:shd w:val="clear" w:color="auto" w:fill="FCE4D6"/>
          </w:tcPr>
          <w:p w14:paraId="3923EA6E" w14:textId="77777777" w:rsidR="00F65BCA" w:rsidRDefault="00216117">
            <w:pPr>
              <w:pStyle w:val="TableParagraph"/>
              <w:spacing w:before="13" w:line="40" w:lineRule="atLeast"/>
              <w:ind w:left="4" w:right="18"/>
              <w:rPr>
                <w:sz w:val="3"/>
              </w:rPr>
            </w:pPr>
            <w:r>
              <w:rPr>
                <w:w w:val="105"/>
                <w:sz w:val="3"/>
              </w:rPr>
              <w:t>Avia; Belaz; DAF; Demag; Denis Rapier; Freightliner; Gaz; Ginaf; Hydros; Kamaz; Karosa; Kenworth; Kiefer; Liaz; Liebherr; MAN; Praga; Scania; Steyr; Tatra</w:t>
            </w:r>
          </w:p>
        </w:tc>
        <w:tc>
          <w:tcPr>
            <w:tcW w:w="958" w:type="dxa"/>
            <w:gridSpan w:val="2"/>
            <w:shd w:val="clear" w:color="auto" w:fill="FCE4D6"/>
          </w:tcPr>
          <w:p w14:paraId="31E55FE5" w14:textId="77777777" w:rsidR="00F65BCA" w:rsidRDefault="00F65BCA">
            <w:pPr>
              <w:pStyle w:val="TableParagraph"/>
              <w:rPr>
                <w:rFonts w:ascii="Calibri"/>
                <w:sz w:val="2"/>
              </w:rPr>
            </w:pPr>
          </w:p>
          <w:p w14:paraId="479C972D" w14:textId="77777777" w:rsidR="00F65BCA" w:rsidRDefault="00F65BCA">
            <w:pPr>
              <w:pStyle w:val="TableParagraph"/>
              <w:rPr>
                <w:rFonts w:ascii="Calibri"/>
                <w:sz w:val="2"/>
              </w:rPr>
            </w:pPr>
          </w:p>
          <w:p w14:paraId="5D608205" w14:textId="77777777" w:rsidR="00F65BCA" w:rsidRDefault="00F65BCA">
            <w:pPr>
              <w:pStyle w:val="TableParagraph"/>
              <w:spacing w:before="5"/>
              <w:rPr>
                <w:rFonts w:ascii="Calibri"/>
                <w:sz w:val="2"/>
              </w:rPr>
            </w:pPr>
          </w:p>
          <w:p w14:paraId="5A68F080" w14:textId="77777777" w:rsidR="00F65BCA" w:rsidRDefault="00216117">
            <w:pPr>
              <w:pStyle w:val="TableParagraph"/>
              <w:ind w:left="2"/>
              <w:jc w:val="center"/>
              <w:rPr>
                <w:sz w:val="3"/>
              </w:rPr>
            </w:pPr>
            <w:r>
              <w:rPr>
                <w:w w:val="103"/>
                <w:sz w:val="3"/>
              </w:rPr>
              <w:t>-</w:t>
            </w:r>
          </w:p>
        </w:tc>
        <w:tc>
          <w:tcPr>
            <w:tcW w:w="576" w:type="dxa"/>
            <w:shd w:val="clear" w:color="auto" w:fill="FCE4D6"/>
          </w:tcPr>
          <w:p w14:paraId="06DF53EB" w14:textId="77777777" w:rsidR="00F65BCA" w:rsidRDefault="00F65BCA">
            <w:pPr>
              <w:pStyle w:val="TableParagraph"/>
              <w:rPr>
                <w:rFonts w:ascii="Calibri"/>
                <w:sz w:val="2"/>
              </w:rPr>
            </w:pPr>
          </w:p>
          <w:p w14:paraId="40A303B0" w14:textId="77777777" w:rsidR="00F65BCA" w:rsidRDefault="00F65BCA">
            <w:pPr>
              <w:pStyle w:val="TableParagraph"/>
              <w:rPr>
                <w:rFonts w:ascii="Calibri"/>
                <w:sz w:val="2"/>
              </w:rPr>
            </w:pPr>
          </w:p>
          <w:p w14:paraId="48D13BF2" w14:textId="77777777" w:rsidR="00F65BCA" w:rsidRDefault="00F65BCA">
            <w:pPr>
              <w:pStyle w:val="TableParagraph"/>
              <w:spacing w:before="5"/>
              <w:rPr>
                <w:rFonts w:ascii="Calibri"/>
                <w:sz w:val="2"/>
              </w:rPr>
            </w:pPr>
          </w:p>
          <w:p w14:paraId="1DF597EB" w14:textId="77777777" w:rsidR="00F65BCA" w:rsidRDefault="00216117">
            <w:pPr>
              <w:pStyle w:val="TableParagraph"/>
              <w:ind w:left="3"/>
              <w:jc w:val="center"/>
              <w:rPr>
                <w:sz w:val="3"/>
              </w:rPr>
            </w:pPr>
            <w:r>
              <w:rPr>
                <w:w w:val="103"/>
                <w:sz w:val="3"/>
              </w:rPr>
              <w:t>-</w:t>
            </w:r>
          </w:p>
        </w:tc>
        <w:tc>
          <w:tcPr>
            <w:tcW w:w="576" w:type="dxa"/>
            <w:shd w:val="clear" w:color="auto" w:fill="FCE4D6"/>
          </w:tcPr>
          <w:p w14:paraId="71D1E683" w14:textId="77777777" w:rsidR="00F65BCA" w:rsidRDefault="00F65BCA">
            <w:pPr>
              <w:pStyle w:val="TableParagraph"/>
              <w:rPr>
                <w:rFonts w:ascii="Calibri"/>
                <w:sz w:val="2"/>
              </w:rPr>
            </w:pPr>
          </w:p>
          <w:p w14:paraId="1C852F1F" w14:textId="77777777" w:rsidR="00F65BCA" w:rsidRDefault="00F65BCA">
            <w:pPr>
              <w:pStyle w:val="TableParagraph"/>
              <w:rPr>
                <w:rFonts w:ascii="Calibri"/>
                <w:sz w:val="2"/>
              </w:rPr>
            </w:pPr>
          </w:p>
          <w:p w14:paraId="3C6D71BB" w14:textId="77777777" w:rsidR="00F65BCA" w:rsidRDefault="00F65BCA">
            <w:pPr>
              <w:pStyle w:val="TableParagraph"/>
              <w:spacing w:before="5"/>
              <w:rPr>
                <w:rFonts w:ascii="Calibri"/>
                <w:sz w:val="2"/>
              </w:rPr>
            </w:pPr>
          </w:p>
          <w:p w14:paraId="4DB0F8FC"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194CC486" w14:textId="77777777" w:rsidR="00F65BCA" w:rsidRDefault="00F65BCA">
            <w:pPr>
              <w:rPr>
                <w:sz w:val="2"/>
                <w:szCs w:val="2"/>
              </w:rPr>
            </w:pPr>
          </w:p>
        </w:tc>
        <w:tc>
          <w:tcPr>
            <w:tcW w:w="288" w:type="dxa"/>
          </w:tcPr>
          <w:p w14:paraId="311C0E84" w14:textId="77777777" w:rsidR="00F65BCA" w:rsidRDefault="00F65BCA">
            <w:pPr>
              <w:pStyle w:val="TableParagraph"/>
              <w:rPr>
                <w:rFonts w:ascii="Calibri"/>
                <w:sz w:val="2"/>
              </w:rPr>
            </w:pPr>
          </w:p>
          <w:p w14:paraId="1C659C85" w14:textId="77777777" w:rsidR="00F65BCA" w:rsidRDefault="00F65BCA">
            <w:pPr>
              <w:pStyle w:val="TableParagraph"/>
              <w:rPr>
                <w:rFonts w:ascii="Calibri"/>
                <w:sz w:val="2"/>
              </w:rPr>
            </w:pPr>
          </w:p>
          <w:p w14:paraId="0132677F" w14:textId="77777777" w:rsidR="00F65BCA" w:rsidRDefault="00F65BCA">
            <w:pPr>
              <w:pStyle w:val="TableParagraph"/>
              <w:spacing w:before="5"/>
              <w:rPr>
                <w:rFonts w:ascii="Calibri"/>
                <w:sz w:val="2"/>
              </w:rPr>
            </w:pPr>
          </w:p>
          <w:p w14:paraId="05B92A10" w14:textId="77777777" w:rsidR="00F65BCA" w:rsidRDefault="00216117">
            <w:pPr>
              <w:pStyle w:val="TableParagraph"/>
              <w:ind w:left="24" w:right="24"/>
              <w:jc w:val="center"/>
              <w:rPr>
                <w:sz w:val="3"/>
              </w:rPr>
            </w:pPr>
            <w:r>
              <w:rPr>
                <w:w w:val="105"/>
                <w:sz w:val="3"/>
              </w:rPr>
              <w:t>2,48900000%</w:t>
            </w:r>
          </w:p>
        </w:tc>
        <w:tc>
          <w:tcPr>
            <w:tcW w:w="288" w:type="dxa"/>
          </w:tcPr>
          <w:p w14:paraId="2B8F60C3" w14:textId="77777777" w:rsidR="00F65BCA" w:rsidRDefault="00F65BCA">
            <w:pPr>
              <w:pStyle w:val="TableParagraph"/>
              <w:rPr>
                <w:rFonts w:ascii="Calibri"/>
                <w:sz w:val="2"/>
              </w:rPr>
            </w:pPr>
          </w:p>
          <w:p w14:paraId="367FD99D" w14:textId="77777777" w:rsidR="00F65BCA" w:rsidRDefault="00F65BCA">
            <w:pPr>
              <w:pStyle w:val="TableParagraph"/>
              <w:rPr>
                <w:rFonts w:ascii="Calibri"/>
                <w:sz w:val="2"/>
              </w:rPr>
            </w:pPr>
          </w:p>
          <w:p w14:paraId="61CC1C22" w14:textId="77777777" w:rsidR="00F65BCA" w:rsidRDefault="00F65BCA">
            <w:pPr>
              <w:pStyle w:val="TableParagraph"/>
              <w:spacing w:before="5"/>
              <w:rPr>
                <w:rFonts w:ascii="Calibri"/>
                <w:sz w:val="2"/>
              </w:rPr>
            </w:pPr>
          </w:p>
          <w:p w14:paraId="6E60406E" w14:textId="77777777" w:rsidR="00F65BCA" w:rsidRDefault="00216117">
            <w:pPr>
              <w:pStyle w:val="TableParagraph"/>
              <w:ind w:left="24" w:right="24"/>
              <w:jc w:val="center"/>
              <w:rPr>
                <w:sz w:val="3"/>
              </w:rPr>
            </w:pPr>
            <w:r>
              <w:rPr>
                <w:w w:val="105"/>
                <w:sz w:val="3"/>
              </w:rPr>
              <w:t>2,22700000%</w:t>
            </w:r>
          </w:p>
        </w:tc>
        <w:tc>
          <w:tcPr>
            <w:tcW w:w="288" w:type="dxa"/>
          </w:tcPr>
          <w:p w14:paraId="7D94B45E" w14:textId="77777777" w:rsidR="00F65BCA" w:rsidRDefault="00F65BCA">
            <w:pPr>
              <w:pStyle w:val="TableParagraph"/>
              <w:rPr>
                <w:rFonts w:ascii="Calibri"/>
                <w:sz w:val="2"/>
              </w:rPr>
            </w:pPr>
          </w:p>
          <w:p w14:paraId="4CD87674" w14:textId="77777777" w:rsidR="00F65BCA" w:rsidRDefault="00F65BCA">
            <w:pPr>
              <w:pStyle w:val="TableParagraph"/>
              <w:rPr>
                <w:rFonts w:ascii="Calibri"/>
                <w:sz w:val="2"/>
              </w:rPr>
            </w:pPr>
          </w:p>
          <w:p w14:paraId="2745272B" w14:textId="77777777" w:rsidR="00F65BCA" w:rsidRDefault="00F65BCA">
            <w:pPr>
              <w:pStyle w:val="TableParagraph"/>
              <w:spacing w:before="5"/>
              <w:rPr>
                <w:rFonts w:ascii="Calibri"/>
                <w:sz w:val="2"/>
              </w:rPr>
            </w:pPr>
          </w:p>
          <w:p w14:paraId="22FC6D19" w14:textId="77777777" w:rsidR="00F65BCA" w:rsidRDefault="00216117">
            <w:pPr>
              <w:pStyle w:val="TableParagraph"/>
              <w:ind w:left="47"/>
              <w:rPr>
                <w:sz w:val="3"/>
              </w:rPr>
            </w:pPr>
            <w:r>
              <w:rPr>
                <w:w w:val="105"/>
                <w:sz w:val="3"/>
              </w:rPr>
              <w:t>2,22700000%</w:t>
            </w:r>
          </w:p>
        </w:tc>
        <w:tc>
          <w:tcPr>
            <w:tcW w:w="288" w:type="dxa"/>
          </w:tcPr>
          <w:p w14:paraId="48F20EB4" w14:textId="77777777" w:rsidR="00F65BCA" w:rsidRDefault="00F65BCA">
            <w:pPr>
              <w:pStyle w:val="TableParagraph"/>
              <w:rPr>
                <w:rFonts w:ascii="Calibri"/>
                <w:sz w:val="2"/>
              </w:rPr>
            </w:pPr>
          </w:p>
          <w:p w14:paraId="092AF931" w14:textId="77777777" w:rsidR="00F65BCA" w:rsidRDefault="00F65BCA">
            <w:pPr>
              <w:pStyle w:val="TableParagraph"/>
              <w:rPr>
                <w:rFonts w:ascii="Calibri"/>
                <w:sz w:val="2"/>
              </w:rPr>
            </w:pPr>
          </w:p>
          <w:p w14:paraId="50A6928F" w14:textId="77777777" w:rsidR="00F65BCA" w:rsidRDefault="00F65BCA">
            <w:pPr>
              <w:pStyle w:val="TableParagraph"/>
              <w:spacing w:before="5"/>
              <w:rPr>
                <w:rFonts w:ascii="Calibri"/>
                <w:sz w:val="2"/>
              </w:rPr>
            </w:pPr>
          </w:p>
          <w:p w14:paraId="215155E9" w14:textId="77777777" w:rsidR="00F65BCA" w:rsidRDefault="00216117">
            <w:pPr>
              <w:pStyle w:val="TableParagraph"/>
              <w:ind w:left="24" w:right="24"/>
              <w:jc w:val="center"/>
              <w:rPr>
                <w:sz w:val="3"/>
              </w:rPr>
            </w:pPr>
            <w:r>
              <w:rPr>
                <w:w w:val="105"/>
                <w:sz w:val="3"/>
              </w:rPr>
              <w:t>2,03050000%</w:t>
            </w:r>
          </w:p>
        </w:tc>
        <w:tc>
          <w:tcPr>
            <w:tcW w:w="288" w:type="dxa"/>
          </w:tcPr>
          <w:p w14:paraId="48599CF1" w14:textId="77777777" w:rsidR="00F65BCA" w:rsidRDefault="00F65BCA">
            <w:pPr>
              <w:pStyle w:val="TableParagraph"/>
              <w:rPr>
                <w:rFonts w:ascii="Calibri"/>
                <w:sz w:val="2"/>
              </w:rPr>
            </w:pPr>
          </w:p>
          <w:p w14:paraId="30E6A677" w14:textId="77777777" w:rsidR="00F65BCA" w:rsidRDefault="00F65BCA">
            <w:pPr>
              <w:pStyle w:val="TableParagraph"/>
              <w:rPr>
                <w:rFonts w:ascii="Calibri"/>
                <w:sz w:val="2"/>
              </w:rPr>
            </w:pPr>
          </w:p>
          <w:p w14:paraId="1B8CDFB3" w14:textId="77777777" w:rsidR="00F65BCA" w:rsidRDefault="00F65BCA">
            <w:pPr>
              <w:pStyle w:val="TableParagraph"/>
              <w:spacing w:before="5"/>
              <w:rPr>
                <w:rFonts w:ascii="Calibri"/>
                <w:sz w:val="2"/>
              </w:rPr>
            </w:pPr>
          </w:p>
          <w:p w14:paraId="066E9FE9" w14:textId="77777777" w:rsidR="00F65BCA" w:rsidRDefault="00216117">
            <w:pPr>
              <w:pStyle w:val="TableParagraph"/>
              <w:ind w:left="47"/>
              <w:rPr>
                <w:sz w:val="3"/>
              </w:rPr>
            </w:pPr>
            <w:r>
              <w:rPr>
                <w:w w:val="105"/>
                <w:sz w:val="3"/>
              </w:rPr>
              <w:t>2,03050000%</w:t>
            </w:r>
          </w:p>
        </w:tc>
        <w:tc>
          <w:tcPr>
            <w:tcW w:w="288" w:type="dxa"/>
          </w:tcPr>
          <w:p w14:paraId="5CF964DE" w14:textId="77777777" w:rsidR="00F65BCA" w:rsidRDefault="00F65BCA">
            <w:pPr>
              <w:pStyle w:val="TableParagraph"/>
              <w:rPr>
                <w:rFonts w:ascii="Calibri"/>
                <w:sz w:val="2"/>
              </w:rPr>
            </w:pPr>
          </w:p>
          <w:p w14:paraId="669F6D77" w14:textId="77777777" w:rsidR="00F65BCA" w:rsidRDefault="00F65BCA">
            <w:pPr>
              <w:pStyle w:val="TableParagraph"/>
              <w:rPr>
                <w:rFonts w:ascii="Calibri"/>
                <w:sz w:val="2"/>
              </w:rPr>
            </w:pPr>
          </w:p>
          <w:p w14:paraId="0D375FC0" w14:textId="77777777" w:rsidR="00F65BCA" w:rsidRDefault="00F65BCA">
            <w:pPr>
              <w:pStyle w:val="TableParagraph"/>
              <w:spacing w:before="5"/>
              <w:rPr>
                <w:rFonts w:ascii="Calibri"/>
                <w:sz w:val="2"/>
              </w:rPr>
            </w:pPr>
          </w:p>
          <w:p w14:paraId="20610359" w14:textId="77777777" w:rsidR="00F65BCA" w:rsidRDefault="00216117">
            <w:pPr>
              <w:pStyle w:val="TableParagraph"/>
              <w:ind w:left="24" w:right="24"/>
              <w:jc w:val="center"/>
              <w:rPr>
                <w:sz w:val="3"/>
              </w:rPr>
            </w:pPr>
            <w:r>
              <w:rPr>
                <w:w w:val="105"/>
                <w:sz w:val="3"/>
              </w:rPr>
              <w:t>1,83400000%</w:t>
            </w:r>
          </w:p>
        </w:tc>
        <w:tc>
          <w:tcPr>
            <w:tcW w:w="288" w:type="dxa"/>
          </w:tcPr>
          <w:p w14:paraId="44CA2275" w14:textId="77777777" w:rsidR="00F65BCA" w:rsidRDefault="00F65BCA">
            <w:pPr>
              <w:pStyle w:val="TableParagraph"/>
              <w:rPr>
                <w:rFonts w:ascii="Calibri"/>
                <w:sz w:val="2"/>
              </w:rPr>
            </w:pPr>
          </w:p>
          <w:p w14:paraId="1998B407" w14:textId="77777777" w:rsidR="00F65BCA" w:rsidRDefault="00F65BCA">
            <w:pPr>
              <w:pStyle w:val="TableParagraph"/>
              <w:rPr>
                <w:rFonts w:ascii="Calibri"/>
                <w:sz w:val="2"/>
              </w:rPr>
            </w:pPr>
          </w:p>
          <w:p w14:paraId="123F3C00" w14:textId="77777777" w:rsidR="00F65BCA" w:rsidRDefault="00F65BCA">
            <w:pPr>
              <w:pStyle w:val="TableParagraph"/>
              <w:spacing w:before="5"/>
              <w:rPr>
                <w:rFonts w:ascii="Calibri"/>
                <w:sz w:val="2"/>
              </w:rPr>
            </w:pPr>
          </w:p>
          <w:p w14:paraId="1EED7C1B" w14:textId="77777777" w:rsidR="00F65BCA" w:rsidRDefault="00216117">
            <w:pPr>
              <w:pStyle w:val="TableParagraph"/>
              <w:ind w:left="24" w:right="24"/>
              <w:jc w:val="center"/>
              <w:rPr>
                <w:sz w:val="3"/>
              </w:rPr>
            </w:pPr>
            <w:r>
              <w:rPr>
                <w:w w:val="105"/>
                <w:sz w:val="3"/>
              </w:rPr>
              <w:t>1,83400000%</w:t>
            </w:r>
          </w:p>
        </w:tc>
        <w:tc>
          <w:tcPr>
            <w:tcW w:w="288" w:type="dxa"/>
          </w:tcPr>
          <w:p w14:paraId="17BEE2D1" w14:textId="77777777" w:rsidR="00F65BCA" w:rsidRDefault="00F65BCA">
            <w:pPr>
              <w:pStyle w:val="TableParagraph"/>
              <w:rPr>
                <w:rFonts w:ascii="Calibri"/>
                <w:sz w:val="2"/>
              </w:rPr>
            </w:pPr>
          </w:p>
          <w:p w14:paraId="11101896" w14:textId="77777777" w:rsidR="00F65BCA" w:rsidRDefault="00F65BCA">
            <w:pPr>
              <w:pStyle w:val="TableParagraph"/>
              <w:rPr>
                <w:rFonts w:ascii="Calibri"/>
                <w:sz w:val="2"/>
              </w:rPr>
            </w:pPr>
          </w:p>
          <w:p w14:paraId="318BEFDC" w14:textId="77777777" w:rsidR="00F65BCA" w:rsidRDefault="00F65BCA">
            <w:pPr>
              <w:pStyle w:val="TableParagraph"/>
              <w:spacing w:before="5"/>
              <w:rPr>
                <w:rFonts w:ascii="Calibri"/>
                <w:sz w:val="2"/>
              </w:rPr>
            </w:pPr>
          </w:p>
          <w:p w14:paraId="607D9BB1" w14:textId="77777777" w:rsidR="00F65BCA" w:rsidRDefault="00216117">
            <w:pPr>
              <w:pStyle w:val="TableParagraph"/>
              <w:ind w:left="47"/>
              <w:rPr>
                <w:sz w:val="3"/>
              </w:rPr>
            </w:pPr>
            <w:r>
              <w:rPr>
                <w:w w:val="105"/>
                <w:sz w:val="3"/>
              </w:rPr>
              <w:t>1,63750000%</w:t>
            </w:r>
          </w:p>
        </w:tc>
        <w:tc>
          <w:tcPr>
            <w:tcW w:w="288" w:type="dxa"/>
          </w:tcPr>
          <w:p w14:paraId="4DCACE29" w14:textId="77777777" w:rsidR="00F65BCA" w:rsidRDefault="00F65BCA">
            <w:pPr>
              <w:pStyle w:val="TableParagraph"/>
              <w:rPr>
                <w:rFonts w:ascii="Calibri"/>
                <w:sz w:val="2"/>
              </w:rPr>
            </w:pPr>
          </w:p>
          <w:p w14:paraId="7853D435" w14:textId="77777777" w:rsidR="00F65BCA" w:rsidRDefault="00F65BCA">
            <w:pPr>
              <w:pStyle w:val="TableParagraph"/>
              <w:rPr>
                <w:rFonts w:ascii="Calibri"/>
                <w:sz w:val="2"/>
              </w:rPr>
            </w:pPr>
          </w:p>
          <w:p w14:paraId="4300E2E0" w14:textId="77777777" w:rsidR="00F65BCA" w:rsidRDefault="00F65BCA">
            <w:pPr>
              <w:pStyle w:val="TableParagraph"/>
              <w:spacing w:before="5"/>
              <w:rPr>
                <w:rFonts w:ascii="Calibri"/>
                <w:sz w:val="2"/>
              </w:rPr>
            </w:pPr>
          </w:p>
          <w:p w14:paraId="140C7B54" w14:textId="77777777" w:rsidR="00F65BCA" w:rsidRDefault="00216117">
            <w:pPr>
              <w:pStyle w:val="TableParagraph"/>
              <w:ind w:left="24" w:right="24"/>
              <w:jc w:val="center"/>
              <w:rPr>
                <w:sz w:val="3"/>
              </w:rPr>
            </w:pPr>
            <w:r>
              <w:rPr>
                <w:w w:val="105"/>
                <w:sz w:val="3"/>
              </w:rPr>
              <w:t>1,63750000%</w:t>
            </w:r>
          </w:p>
        </w:tc>
        <w:tc>
          <w:tcPr>
            <w:tcW w:w="288" w:type="dxa"/>
          </w:tcPr>
          <w:p w14:paraId="3DE3F1B9" w14:textId="77777777" w:rsidR="00F65BCA" w:rsidRDefault="00F65BCA">
            <w:pPr>
              <w:pStyle w:val="TableParagraph"/>
              <w:rPr>
                <w:rFonts w:ascii="Calibri"/>
                <w:sz w:val="2"/>
              </w:rPr>
            </w:pPr>
          </w:p>
          <w:p w14:paraId="6CBD267D" w14:textId="77777777" w:rsidR="00F65BCA" w:rsidRDefault="00F65BCA">
            <w:pPr>
              <w:pStyle w:val="TableParagraph"/>
              <w:rPr>
                <w:rFonts w:ascii="Calibri"/>
                <w:sz w:val="2"/>
              </w:rPr>
            </w:pPr>
          </w:p>
          <w:p w14:paraId="2F7A72E9" w14:textId="77777777" w:rsidR="00F65BCA" w:rsidRDefault="00F65BCA">
            <w:pPr>
              <w:pStyle w:val="TableParagraph"/>
              <w:spacing w:before="5"/>
              <w:rPr>
                <w:rFonts w:ascii="Calibri"/>
                <w:sz w:val="2"/>
              </w:rPr>
            </w:pPr>
          </w:p>
          <w:p w14:paraId="079724E6" w14:textId="77777777" w:rsidR="00F65BCA" w:rsidRDefault="00216117">
            <w:pPr>
              <w:pStyle w:val="TableParagraph"/>
              <w:ind w:left="24" w:right="24"/>
              <w:jc w:val="center"/>
              <w:rPr>
                <w:sz w:val="3"/>
              </w:rPr>
            </w:pPr>
            <w:r>
              <w:rPr>
                <w:w w:val="105"/>
                <w:sz w:val="3"/>
              </w:rPr>
              <w:t>1,50650000%</w:t>
            </w:r>
          </w:p>
        </w:tc>
        <w:tc>
          <w:tcPr>
            <w:tcW w:w="288" w:type="dxa"/>
          </w:tcPr>
          <w:p w14:paraId="4C6F2D46" w14:textId="77777777" w:rsidR="00F65BCA" w:rsidRDefault="00F65BCA">
            <w:pPr>
              <w:pStyle w:val="TableParagraph"/>
              <w:rPr>
                <w:rFonts w:ascii="Calibri"/>
                <w:sz w:val="2"/>
              </w:rPr>
            </w:pPr>
          </w:p>
          <w:p w14:paraId="6028A63A" w14:textId="77777777" w:rsidR="00F65BCA" w:rsidRDefault="00F65BCA">
            <w:pPr>
              <w:pStyle w:val="TableParagraph"/>
              <w:rPr>
                <w:rFonts w:ascii="Calibri"/>
                <w:sz w:val="2"/>
              </w:rPr>
            </w:pPr>
          </w:p>
          <w:p w14:paraId="127DEA12" w14:textId="77777777" w:rsidR="00F65BCA" w:rsidRDefault="00F65BCA">
            <w:pPr>
              <w:pStyle w:val="TableParagraph"/>
              <w:spacing w:before="5"/>
              <w:rPr>
                <w:rFonts w:ascii="Calibri"/>
                <w:sz w:val="2"/>
              </w:rPr>
            </w:pPr>
          </w:p>
          <w:p w14:paraId="038976B4" w14:textId="77777777" w:rsidR="00F65BCA" w:rsidRDefault="00216117">
            <w:pPr>
              <w:pStyle w:val="TableParagraph"/>
              <w:ind w:left="24" w:right="24"/>
              <w:jc w:val="center"/>
              <w:rPr>
                <w:sz w:val="3"/>
              </w:rPr>
            </w:pPr>
            <w:r>
              <w:rPr>
                <w:w w:val="105"/>
                <w:sz w:val="3"/>
              </w:rPr>
              <w:t>1,44100000%</w:t>
            </w:r>
          </w:p>
        </w:tc>
        <w:tc>
          <w:tcPr>
            <w:tcW w:w="288" w:type="dxa"/>
          </w:tcPr>
          <w:p w14:paraId="4B9B99C7" w14:textId="77777777" w:rsidR="00F65BCA" w:rsidRDefault="00F65BCA">
            <w:pPr>
              <w:pStyle w:val="TableParagraph"/>
              <w:rPr>
                <w:rFonts w:ascii="Calibri"/>
                <w:sz w:val="2"/>
              </w:rPr>
            </w:pPr>
          </w:p>
          <w:p w14:paraId="2B673E96" w14:textId="77777777" w:rsidR="00F65BCA" w:rsidRDefault="00F65BCA">
            <w:pPr>
              <w:pStyle w:val="TableParagraph"/>
              <w:rPr>
                <w:rFonts w:ascii="Calibri"/>
                <w:sz w:val="2"/>
              </w:rPr>
            </w:pPr>
          </w:p>
          <w:p w14:paraId="32D8CB6C" w14:textId="77777777" w:rsidR="00F65BCA" w:rsidRDefault="00F65BCA">
            <w:pPr>
              <w:pStyle w:val="TableParagraph"/>
              <w:spacing w:before="5"/>
              <w:rPr>
                <w:rFonts w:ascii="Calibri"/>
                <w:sz w:val="2"/>
              </w:rPr>
            </w:pPr>
          </w:p>
          <w:p w14:paraId="4200BA49" w14:textId="77777777" w:rsidR="00F65BCA" w:rsidRDefault="00216117">
            <w:pPr>
              <w:pStyle w:val="TableParagraph"/>
              <w:ind w:left="24" w:right="24"/>
              <w:jc w:val="center"/>
              <w:rPr>
                <w:sz w:val="3"/>
              </w:rPr>
            </w:pPr>
            <w:r>
              <w:rPr>
                <w:w w:val="105"/>
                <w:sz w:val="3"/>
              </w:rPr>
              <w:t>1,31000000%</w:t>
            </w:r>
          </w:p>
        </w:tc>
        <w:tc>
          <w:tcPr>
            <w:tcW w:w="288" w:type="dxa"/>
          </w:tcPr>
          <w:p w14:paraId="30F76A5F" w14:textId="77777777" w:rsidR="00F65BCA" w:rsidRDefault="00F65BCA">
            <w:pPr>
              <w:pStyle w:val="TableParagraph"/>
              <w:rPr>
                <w:rFonts w:ascii="Calibri"/>
                <w:sz w:val="2"/>
              </w:rPr>
            </w:pPr>
          </w:p>
          <w:p w14:paraId="1EB88EEA" w14:textId="77777777" w:rsidR="00F65BCA" w:rsidRDefault="00F65BCA">
            <w:pPr>
              <w:pStyle w:val="TableParagraph"/>
              <w:rPr>
                <w:rFonts w:ascii="Calibri"/>
                <w:sz w:val="2"/>
              </w:rPr>
            </w:pPr>
          </w:p>
          <w:p w14:paraId="294F56AA" w14:textId="77777777" w:rsidR="00F65BCA" w:rsidRDefault="00F65BCA">
            <w:pPr>
              <w:pStyle w:val="TableParagraph"/>
              <w:spacing w:before="5"/>
              <w:rPr>
                <w:rFonts w:ascii="Calibri"/>
                <w:sz w:val="2"/>
              </w:rPr>
            </w:pPr>
          </w:p>
          <w:p w14:paraId="63BC7F50" w14:textId="77777777" w:rsidR="00F65BCA" w:rsidRDefault="00216117">
            <w:pPr>
              <w:pStyle w:val="TableParagraph"/>
              <w:ind w:left="47"/>
              <w:rPr>
                <w:sz w:val="3"/>
              </w:rPr>
            </w:pPr>
            <w:r>
              <w:rPr>
                <w:w w:val="105"/>
                <w:sz w:val="3"/>
              </w:rPr>
              <w:t>1,31000000%</w:t>
            </w:r>
          </w:p>
        </w:tc>
      </w:tr>
      <w:tr w:rsidR="00F65BCA" w14:paraId="281434E5" w14:textId="77777777">
        <w:trPr>
          <w:trHeight w:val="184"/>
        </w:trPr>
        <w:tc>
          <w:tcPr>
            <w:tcW w:w="526" w:type="dxa"/>
            <w:tcBorders>
              <w:top w:val="nil"/>
              <w:bottom w:val="nil"/>
            </w:tcBorders>
            <w:shd w:val="clear" w:color="auto" w:fill="FCE4D6"/>
          </w:tcPr>
          <w:p w14:paraId="5F6AE5AE" w14:textId="77777777" w:rsidR="00F65BCA" w:rsidRDefault="00F65BCA">
            <w:pPr>
              <w:pStyle w:val="TableParagraph"/>
              <w:rPr>
                <w:rFonts w:ascii="Times New Roman"/>
                <w:sz w:val="2"/>
              </w:rPr>
            </w:pPr>
          </w:p>
        </w:tc>
        <w:tc>
          <w:tcPr>
            <w:tcW w:w="732" w:type="dxa"/>
            <w:shd w:val="clear" w:color="auto" w:fill="FCE4D6"/>
          </w:tcPr>
          <w:p w14:paraId="22FA2A1E" w14:textId="77777777" w:rsidR="00F65BCA" w:rsidRDefault="00216117">
            <w:pPr>
              <w:pStyle w:val="TableParagraph"/>
              <w:spacing w:before="8" w:line="40" w:lineRule="atLeast"/>
              <w:ind w:left="4" w:right="-15"/>
              <w:rPr>
                <w:sz w:val="3"/>
              </w:rPr>
            </w:pPr>
            <w:r>
              <w:rPr>
                <w:w w:val="105"/>
                <w:sz w:val="3"/>
              </w:rPr>
              <w:t>Aebi; Bonetti; Citroën; Dodge; Fiat; Ford; Fuso; Hummer; IFA; Isuzu; LDV; Mitsubishi; Mitsubishi Fuso; Multicar; Neuvedeno; Nissan; Opel; Peugeot; Reform; Ross; VW; Zastava</w:t>
            </w:r>
          </w:p>
        </w:tc>
        <w:tc>
          <w:tcPr>
            <w:tcW w:w="958" w:type="dxa"/>
            <w:gridSpan w:val="2"/>
            <w:shd w:val="clear" w:color="auto" w:fill="FCE4D6"/>
          </w:tcPr>
          <w:p w14:paraId="722E7592" w14:textId="77777777" w:rsidR="00F65BCA" w:rsidRDefault="00F65BCA">
            <w:pPr>
              <w:pStyle w:val="TableParagraph"/>
              <w:rPr>
                <w:rFonts w:ascii="Calibri"/>
                <w:sz w:val="2"/>
              </w:rPr>
            </w:pPr>
          </w:p>
          <w:p w14:paraId="7B615679" w14:textId="77777777" w:rsidR="00F65BCA" w:rsidRDefault="00F65BCA">
            <w:pPr>
              <w:pStyle w:val="TableParagraph"/>
              <w:rPr>
                <w:rFonts w:ascii="Calibri"/>
                <w:sz w:val="2"/>
              </w:rPr>
            </w:pPr>
          </w:p>
          <w:p w14:paraId="603F6AA6" w14:textId="77777777" w:rsidR="00F65BCA" w:rsidRDefault="00F65BCA">
            <w:pPr>
              <w:pStyle w:val="TableParagraph"/>
              <w:spacing w:before="2"/>
              <w:rPr>
                <w:rFonts w:ascii="Calibri"/>
                <w:sz w:val="2"/>
              </w:rPr>
            </w:pPr>
          </w:p>
          <w:p w14:paraId="7BEB4488" w14:textId="77777777" w:rsidR="00F65BCA" w:rsidRDefault="00216117">
            <w:pPr>
              <w:pStyle w:val="TableParagraph"/>
              <w:spacing w:before="1"/>
              <w:ind w:left="1"/>
              <w:jc w:val="center"/>
              <w:rPr>
                <w:sz w:val="3"/>
              </w:rPr>
            </w:pPr>
            <w:r>
              <w:rPr>
                <w:w w:val="103"/>
                <w:sz w:val="3"/>
              </w:rPr>
              <w:t>-</w:t>
            </w:r>
          </w:p>
        </w:tc>
        <w:tc>
          <w:tcPr>
            <w:tcW w:w="576" w:type="dxa"/>
            <w:shd w:val="clear" w:color="auto" w:fill="FCE4D6"/>
          </w:tcPr>
          <w:p w14:paraId="0BB11AA2" w14:textId="77777777" w:rsidR="00F65BCA" w:rsidRDefault="00F65BCA">
            <w:pPr>
              <w:pStyle w:val="TableParagraph"/>
              <w:rPr>
                <w:rFonts w:ascii="Calibri"/>
                <w:sz w:val="2"/>
              </w:rPr>
            </w:pPr>
          </w:p>
          <w:p w14:paraId="24576AD5" w14:textId="77777777" w:rsidR="00F65BCA" w:rsidRDefault="00F65BCA">
            <w:pPr>
              <w:pStyle w:val="TableParagraph"/>
              <w:rPr>
                <w:rFonts w:ascii="Calibri"/>
                <w:sz w:val="2"/>
              </w:rPr>
            </w:pPr>
          </w:p>
          <w:p w14:paraId="48AA26C6" w14:textId="77777777" w:rsidR="00F65BCA" w:rsidRDefault="00F65BCA">
            <w:pPr>
              <w:pStyle w:val="TableParagraph"/>
              <w:spacing w:before="2"/>
              <w:rPr>
                <w:rFonts w:ascii="Calibri"/>
                <w:sz w:val="2"/>
              </w:rPr>
            </w:pPr>
          </w:p>
          <w:p w14:paraId="429E5904" w14:textId="77777777" w:rsidR="00F65BCA" w:rsidRDefault="00216117">
            <w:pPr>
              <w:pStyle w:val="TableParagraph"/>
              <w:spacing w:before="1"/>
              <w:ind w:left="3"/>
              <w:jc w:val="center"/>
              <w:rPr>
                <w:sz w:val="3"/>
              </w:rPr>
            </w:pPr>
            <w:r>
              <w:rPr>
                <w:w w:val="103"/>
                <w:sz w:val="3"/>
              </w:rPr>
              <w:t>-</w:t>
            </w:r>
          </w:p>
        </w:tc>
        <w:tc>
          <w:tcPr>
            <w:tcW w:w="576" w:type="dxa"/>
            <w:shd w:val="clear" w:color="auto" w:fill="FCE4D6"/>
          </w:tcPr>
          <w:p w14:paraId="4FC9B52F" w14:textId="77777777" w:rsidR="00F65BCA" w:rsidRDefault="00F65BCA">
            <w:pPr>
              <w:pStyle w:val="TableParagraph"/>
              <w:rPr>
                <w:rFonts w:ascii="Calibri"/>
                <w:sz w:val="2"/>
              </w:rPr>
            </w:pPr>
          </w:p>
          <w:p w14:paraId="0838B7E6" w14:textId="77777777" w:rsidR="00F65BCA" w:rsidRDefault="00F65BCA">
            <w:pPr>
              <w:pStyle w:val="TableParagraph"/>
              <w:rPr>
                <w:rFonts w:ascii="Calibri"/>
                <w:sz w:val="2"/>
              </w:rPr>
            </w:pPr>
          </w:p>
          <w:p w14:paraId="02F3B4A5" w14:textId="77777777" w:rsidR="00F65BCA" w:rsidRDefault="00F65BCA">
            <w:pPr>
              <w:pStyle w:val="TableParagraph"/>
              <w:spacing w:before="2"/>
              <w:rPr>
                <w:rFonts w:ascii="Calibri"/>
                <w:sz w:val="2"/>
              </w:rPr>
            </w:pPr>
          </w:p>
          <w:p w14:paraId="5A65D95C" w14:textId="77777777" w:rsidR="00F65BCA" w:rsidRDefault="00216117">
            <w:pPr>
              <w:pStyle w:val="TableParagraph"/>
              <w:spacing w:before="1"/>
              <w:ind w:left="3"/>
              <w:jc w:val="center"/>
              <w:rPr>
                <w:sz w:val="3"/>
              </w:rPr>
            </w:pPr>
            <w:r>
              <w:rPr>
                <w:w w:val="103"/>
                <w:sz w:val="3"/>
              </w:rPr>
              <w:t>-</w:t>
            </w:r>
          </w:p>
        </w:tc>
        <w:tc>
          <w:tcPr>
            <w:tcW w:w="50" w:type="dxa"/>
            <w:vMerge/>
            <w:tcBorders>
              <w:top w:val="nil"/>
              <w:bottom w:val="nil"/>
            </w:tcBorders>
          </w:tcPr>
          <w:p w14:paraId="105079D7" w14:textId="77777777" w:rsidR="00F65BCA" w:rsidRDefault="00F65BCA">
            <w:pPr>
              <w:rPr>
                <w:sz w:val="2"/>
                <w:szCs w:val="2"/>
              </w:rPr>
            </w:pPr>
          </w:p>
        </w:tc>
        <w:tc>
          <w:tcPr>
            <w:tcW w:w="288" w:type="dxa"/>
          </w:tcPr>
          <w:p w14:paraId="7A5EE84C" w14:textId="77777777" w:rsidR="00F65BCA" w:rsidRDefault="00F65BCA">
            <w:pPr>
              <w:pStyle w:val="TableParagraph"/>
              <w:rPr>
                <w:rFonts w:ascii="Calibri"/>
                <w:sz w:val="2"/>
              </w:rPr>
            </w:pPr>
          </w:p>
          <w:p w14:paraId="2602987B" w14:textId="77777777" w:rsidR="00F65BCA" w:rsidRDefault="00F65BCA">
            <w:pPr>
              <w:pStyle w:val="TableParagraph"/>
              <w:rPr>
                <w:rFonts w:ascii="Calibri"/>
                <w:sz w:val="2"/>
              </w:rPr>
            </w:pPr>
          </w:p>
          <w:p w14:paraId="4CA07DAD" w14:textId="77777777" w:rsidR="00F65BCA" w:rsidRDefault="00F65BCA">
            <w:pPr>
              <w:pStyle w:val="TableParagraph"/>
              <w:spacing w:before="2"/>
              <w:rPr>
                <w:rFonts w:ascii="Calibri"/>
                <w:sz w:val="2"/>
              </w:rPr>
            </w:pPr>
          </w:p>
          <w:p w14:paraId="44022B44" w14:textId="77777777" w:rsidR="00F65BCA" w:rsidRDefault="00216117">
            <w:pPr>
              <w:pStyle w:val="TableParagraph"/>
              <w:spacing w:before="1"/>
              <w:ind w:left="24" w:right="24"/>
              <w:jc w:val="center"/>
              <w:rPr>
                <w:sz w:val="3"/>
              </w:rPr>
            </w:pPr>
            <w:r>
              <w:rPr>
                <w:w w:val="105"/>
                <w:sz w:val="3"/>
              </w:rPr>
              <w:t>2,48900000%</w:t>
            </w:r>
          </w:p>
        </w:tc>
        <w:tc>
          <w:tcPr>
            <w:tcW w:w="288" w:type="dxa"/>
          </w:tcPr>
          <w:p w14:paraId="2242AC3E" w14:textId="77777777" w:rsidR="00F65BCA" w:rsidRDefault="00F65BCA">
            <w:pPr>
              <w:pStyle w:val="TableParagraph"/>
              <w:rPr>
                <w:rFonts w:ascii="Calibri"/>
                <w:sz w:val="2"/>
              </w:rPr>
            </w:pPr>
          </w:p>
          <w:p w14:paraId="72D68682" w14:textId="77777777" w:rsidR="00F65BCA" w:rsidRDefault="00F65BCA">
            <w:pPr>
              <w:pStyle w:val="TableParagraph"/>
              <w:rPr>
                <w:rFonts w:ascii="Calibri"/>
                <w:sz w:val="2"/>
              </w:rPr>
            </w:pPr>
          </w:p>
          <w:p w14:paraId="2AF32E13" w14:textId="77777777" w:rsidR="00F65BCA" w:rsidRDefault="00F65BCA">
            <w:pPr>
              <w:pStyle w:val="TableParagraph"/>
              <w:spacing w:before="2"/>
              <w:rPr>
                <w:rFonts w:ascii="Calibri"/>
                <w:sz w:val="2"/>
              </w:rPr>
            </w:pPr>
          </w:p>
          <w:p w14:paraId="4E3B6AB0" w14:textId="77777777" w:rsidR="00F65BCA" w:rsidRDefault="00216117">
            <w:pPr>
              <w:pStyle w:val="TableParagraph"/>
              <w:spacing w:before="1"/>
              <w:ind w:left="24" w:right="24"/>
              <w:jc w:val="center"/>
              <w:rPr>
                <w:sz w:val="3"/>
              </w:rPr>
            </w:pPr>
            <w:r>
              <w:rPr>
                <w:w w:val="105"/>
                <w:sz w:val="3"/>
              </w:rPr>
              <w:t>2,22700000%</w:t>
            </w:r>
          </w:p>
        </w:tc>
        <w:tc>
          <w:tcPr>
            <w:tcW w:w="288" w:type="dxa"/>
          </w:tcPr>
          <w:p w14:paraId="5878CF55" w14:textId="77777777" w:rsidR="00F65BCA" w:rsidRDefault="00F65BCA">
            <w:pPr>
              <w:pStyle w:val="TableParagraph"/>
              <w:rPr>
                <w:rFonts w:ascii="Calibri"/>
                <w:sz w:val="2"/>
              </w:rPr>
            </w:pPr>
          </w:p>
          <w:p w14:paraId="2DB6D136" w14:textId="77777777" w:rsidR="00F65BCA" w:rsidRDefault="00F65BCA">
            <w:pPr>
              <w:pStyle w:val="TableParagraph"/>
              <w:rPr>
                <w:rFonts w:ascii="Calibri"/>
                <w:sz w:val="2"/>
              </w:rPr>
            </w:pPr>
          </w:p>
          <w:p w14:paraId="5984DC95" w14:textId="77777777" w:rsidR="00F65BCA" w:rsidRDefault="00F65BCA">
            <w:pPr>
              <w:pStyle w:val="TableParagraph"/>
              <w:spacing w:before="2"/>
              <w:rPr>
                <w:rFonts w:ascii="Calibri"/>
                <w:sz w:val="2"/>
              </w:rPr>
            </w:pPr>
          </w:p>
          <w:p w14:paraId="590F2368" w14:textId="77777777" w:rsidR="00F65BCA" w:rsidRDefault="00216117">
            <w:pPr>
              <w:pStyle w:val="TableParagraph"/>
              <w:spacing w:before="1"/>
              <w:ind w:left="47"/>
              <w:rPr>
                <w:sz w:val="3"/>
              </w:rPr>
            </w:pPr>
            <w:r>
              <w:rPr>
                <w:w w:val="105"/>
                <w:sz w:val="3"/>
              </w:rPr>
              <w:t>2,22700000%</w:t>
            </w:r>
          </w:p>
        </w:tc>
        <w:tc>
          <w:tcPr>
            <w:tcW w:w="288" w:type="dxa"/>
          </w:tcPr>
          <w:p w14:paraId="34CE4079" w14:textId="77777777" w:rsidR="00F65BCA" w:rsidRDefault="00F65BCA">
            <w:pPr>
              <w:pStyle w:val="TableParagraph"/>
              <w:rPr>
                <w:rFonts w:ascii="Calibri"/>
                <w:sz w:val="2"/>
              </w:rPr>
            </w:pPr>
          </w:p>
          <w:p w14:paraId="678C26D0" w14:textId="77777777" w:rsidR="00F65BCA" w:rsidRDefault="00F65BCA">
            <w:pPr>
              <w:pStyle w:val="TableParagraph"/>
              <w:rPr>
                <w:rFonts w:ascii="Calibri"/>
                <w:sz w:val="2"/>
              </w:rPr>
            </w:pPr>
          </w:p>
          <w:p w14:paraId="06B9F6FF" w14:textId="77777777" w:rsidR="00F65BCA" w:rsidRDefault="00F65BCA">
            <w:pPr>
              <w:pStyle w:val="TableParagraph"/>
              <w:spacing w:before="2"/>
              <w:rPr>
                <w:rFonts w:ascii="Calibri"/>
                <w:sz w:val="2"/>
              </w:rPr>
            </w:pPr>
          </w:p>
          <w:p w14:paraId="27454AA9" w14:textId="77777777" w:rsidR="00F65BCA" w:rsidRDefault="00216117">
            <w:pPr>
              <w:pStyle w:val="TableParagraph"/>
              <w:spacing w:before="1"/>
              <w:ind w:left="24" w:right="24"/>
              <w:jc w:val="center"/>
              <w:rPr>
                <w:sz w:val="3"/>
              </w:rPr>
            </w:pPr>
            <w:r>
              <w:rPr>
                <w:w w:val="105"/>
                <w:sz w:val="3"/>
              </w:rPr>
              <w:t>2,03050000%</w:t>
            </w:r>
          </w:p>
        </w:tc>
        <w:tc>
          <w:tcPr>
            <w:tcW w:w="288" w:type="dxa"/>
          </w:tcPr>
          <w:p w14:paraId="284E0DD0" w14:textId="77777777" w:rsidR="00F65BCA" w:rsidRDefault="00F65BCA">
            <w:pPr>
              <w:pStyle w:val="TableParagraph"/>
              <w:rPr>
                <w:rFonts w:ascii="Calibri"/>
                <w:sz w:val="2"/>
              </w:rPr>
            </w:pPr>
          </w:p>
          <w:p w14:paraId="5574A4ED" w14:textId="77777777" w:rsidR="00F65BCA" w:rsidRDefault="00F65BCA">
            <w:pPr>
              <w:pStyle w:val="TableParagraph"/>
              <w:rPr>
                <w:rFonts w:ascii="Calibri"/>
                <w:sz w:val="2"/>
              </w:rPr>
            </w:pPr>
          </w:p>
          <w:p w14:paraId="76E7F30F" w14:textId="77777777" w:rsidR="00F65BCA" w:rsidRDefault="00F65BCA">
            <w:pPr>
              <w:pStyle w:val="TableParagraph"/>
              <w:spacing w:before="2"/>
              <w:rPr>
                <w:rFonts w:ascii="Calibri"/>
                <w:sz w:val="2"/>
              </w:rPr>
            </w:pPr>
          </w:p>
          <w:p w14:paraId="3B6473EC" w14:textId="77777777" w:rsidR="00F65BCA" w:rsidRDefault="00216117">
            <w:pPr>
              <w:pStyle w:val="TableParagraph"/>
              <w:spacing w:before="1"/>
              <w:ind w:left="47"/>
              <w:rPr>
                <w:sz w:val="3"/>
              </w:rPr>
            </w:pPr>
            <w:r>
              <w:rPr>
                <w:w w:val="105"/>
                <w:sz w:val="3"/>
              </w:rPr>
              <w:t>2,03050000%</w:t>
            </w:r>
          </w:p>
        </w:tc>
        <w:tc>
          <w:tcPr>
            <w:tcW w:w="288" w:type="dxa"/>
          </w:tcPr>
          <w:p w14:paraId="17BFE6C0" w14:textId="77777777" w:rsidR="00F65BCA" w:rsidRDefault="00F65BCA">
            <w:pPr>
              <w:pStyle w:val="TableParagraph"/>
              <w:rPr>
                <w:rFonts w:ascii="Calibri"/>
                <w:sz w:val="2"/>
              </w:rPr>
            </w:pPr>
          </w:p>
          <w:p w14:paraId="38040833" w14:textId="77777777" w:rsidR="00F65BCA" w:rsidRDefault="00F65BCA">
            <w:pPr>
              <w:pStyle w:val="TableParagraph"/>
              <w:rPr>
                <w:rFonts w:ascii="Calibri"/>
                <w:sz w:val="2"/>
              </w:rPr>
            </w:pPr>
          </w:p>
          <w:p w14:paraId="0DBB6C10" w14:textId="77777777" w:rsidR="00F65BCA" w:rsidRDefault="00F65BCA">
            <w:pPr>
              <w:pStyle w:val="TableParagraph"/>
              <w:spacing w:before="2"/>
              <w:rPr>
                <w:rFonts w:ascii="Calibri"/>
                <w:sz w:val="2"/>
              </w:rPr>
            </w:pPr>
          </w:p>
          <w:p w14:paraId="6A2D6BFD" w14:textId="77777777" w:rsidR="00F65BCA" w:rsidRDefault="00216117">
            <w:pPr>
              <w:pStyle w:val="TableParagraph"/>
              <w:spacing w:before="1"/>
              <w:ind w:left="24" w:right="24"/>
              <w:jc w:val="center"/>
              <w:rPr>
                <w:sz w:val="3"/>
              </w:rPr>
            </w:pPr>
            <w:r>
              <w:rPr>
                <w:w w:val="105"/>
                <w:sz w:val="3"/>
              </w:rPr>
              <w:t>1,83400000%</w:t>
            </w:r>
          </w:p>
        </w:tc>
        <w:tc>
          <w:tcPr>
            <w:tcW w:w="288" w:type="dxa"/>
          </w:tcPr>
          <w:p w14:paraId="6B94C25E" w14:textId="77777777" w:rsidR="00F65BCA" w:rsidRDefault="00F65BCA">
            <w:pPr>
              <w:pStyle w:val="TableParagraph"/>
              <w:rPr>
                <w:rFonts w:ascii="Calibri"/>
                <w:sz w:val="2"/>
              </w:rPr>
            </w:pPr>
          </w:p>
          <w:p w14:paraId="44F17AD9" w14:textId="77777777" w:rsidR="00F65BCA" w:rsidRDefault="00F65BCA">
            <w:pPr>
              <w:pStyle w:val="TableParagraph"/>
              <w:rPr>
                <w:rFonts w:ascii="Calibri"/>
                <w:sz w:val="2"/>
              </w:rPr>
            </w:pPr>
          </w:p>
          <w:p w14:paraId="7F02A37B" w14:textId="77777777" w:rsidR="00F65BCA" w:rsidRDefault="00F65BCA">
            <w:pPr>
              <w:pStyle w:val="TableParagraph"/>
              <w:spacing w:before="2"/>
              <w:rPr>
                <w:rFonts w:ascii="Calibri"/>
                <w:sz w:val="2"/>
              </w:rPr>
            </w:pPr>
          </w:p>
          <w:p w14:paraId="23469EEB" w14:textId="77777777" w:rsidR="00F65BCA" w:rsidRDefault="00216117">
            <w:pPr>
              <w:pStyle w:val="TableParagraph"/>
              <w:spacing w:before="1"/>
              <w:ind w:left="24" w:right="24"/>
              <w:jc w:val="center"/>
              <w:rPr>
                <w:sz w:val="3"/>
              </w:rPr>
            </w:pPr>
            <w:r>
              <w:rPr>
                <w:w w:val="105"/>
                <w:sz w:val="3"/>
              </w:rPr>
              <w:t>1,83400000%</w:t>
            </w:r>
          </w:p>
        </w:tc>
        <w:tc>
          <w:tcPr>
            <w:tcW w:w="288" w:type="dxa"/>
          </w:tcPr>
          <w:p w14:paraId="674B7350" w14:textId="77777777" w:rsidR="00F65BCA" w:rsidRDefault="00F65BCA">
            <w:pPr>
              <w:pStyle w:val="TableParagraph"/>
              <w:rPr>
                <w:rFonts w:ascii="Calibri"/>
                <w:sz w:val="2"/>
              </w:rPr>
            </w:pPr>
          </w:p>
          <w:p w14:paraId="5493AB03" w14:textId="77777777" w:rsidR="00F65BCA" w:rsidRDefault="00F65BCA">
            <w:pPr>
              <w:pStyle w:val="TableParagraph"/>
              <w:rPr>
                <w:rFonts w:ascii="Calibri"/>
                <w:sz w:val="2"/>
              </w:rPr>
            </w:pPr>
          </w:p>
          <w:p w14:paraId="401481F5" w14:textId="77777777" w:rsidR="00F65BCA" w:rsidRDefault="00F65BCA">
            <w:pPr>
              <w:pStyle w:val="TableParagraph"/>
              <w:spacing w:before="2"/>
              <w:rPr>
                <w:rFonts w:ascii="Calibri"/>
                <w:sz w:val="2"/>
              </w:rPr>
            </w:pPr>
          </w:p>
          <w:p w14:paraId="6DCA751C" w14:textId="77777777" w:rsidR="00F65BCA" w:rsidRDefault="00216117">
            <w:pPr>
              <w:pStyle w:val="TableParagraph"/>
              <w:spacing w:before="1"/>
              <w:ind w:left="47"/>
              <w:rPr>
                <w:sz w:val="3"/>
              </w:rPr>
            </w:pPr>
            <w:r>
              <w:rPr>
                <w:w w:val="105"/>
                <w:sz w:val="3"/>
              </w:rPr>
              <w:t>1,63750000%</w:t>
            </w:r>
          </w:p>
        </w:tc>
        <w:tc>
          <w:tcPr>
            <w:tcW w:w="288" w:type="dxa"/>
          </w:tcPr>
          <w:p w14:paraId="0AFB9C99" w14:textId="77777777" w:rsidR="00F65BCA" w:rsidRDefault="00F65BCA">
            <w:pPr>
              <w:pStyle w:val="TableParagraph"/>
              <w:rPr>
                <w:rFonts w:ascii="Calibri"/>
                <w:sz w:val="2"/>
              </w:rPr>
            </w:pPr>
          </w:p>
          <w:p w14:paraId="71B362EF" w14:textId="77777777" w:rsidR="00F65BCA" w:rsidRDefault="00F65BCA">
            <w:pPr>
              <w:pStyle w:val="TableParagraph"/>
              <w:rPr>
                <w:rFonts w:ascii="Calibri"/>
                <w:sz w:val="2"/>
              </w:rPr>
            </w:pPr>
          </w:p>
          <w:p w14:paraId="09E7645D" w14:textId="77777777" w:rsidR="00F65BCA" w:rsidRDefault="00F65BCA">
            <w:pPr>
              <w:pStyle w:val="TableParagraph"/>
              <w:spacing w:before="2"/>
              <w:rPr>
                <w:rFonts w:ascii="Calibri"/>
                <w:sz w:val="2"/>
              </w:rPr>
            </w:pPr>
          </w:p>
          <w:p w14:paraId="0D01E8E1" w14:textId="77777777" w:rsidR="00F65BCA" w:rsidRDefault="00216117">
            <w:pPr>
              <w:pStyle w:val="TableParagraph"/>
              <w:spacing w:before="1"/>
              <w:ind w:left="24" w:right="24"/>
              <w:jc w:val="center"/>
              <w:rPr>
                <w:sz w:val="3"/>
              </w:rPr>
            </w:pPr>
            <w:r>
              <w:rPr>
                <w:w w:val="105"/>
                <w:sz w:val="3"/>
              </w:rPr>
              <w:t>1,63750000%</w:t>
            </w:r>
          </w:p>
        </w:tc>
        <w:tc>
          <w:tcPr>
            <w:tcW w:w="288" w:type="dxa"/>
          </w:tcPr>
          <w:p w14:paraId="1D4FAFD8" w14:textId="77777777" w:rsidR="00F65BCA" w:rsidRDefault="00F65BCA">
            <w:pPr>
              <w:pStyle w:val="TableParagraph"/>
              <w:rPr>
                <w:rFonts w:ascii="Calibri"/>
                <w:sz w:val="2"/>
              </w:rPr>
            </w:pPr>
          </w:p>
          <w:p w14:paraId="1519BC7A" w14:textId="77777777" w:rsidR="00F65BCA" w:rsidRDefault="00F65BCA">
            <w:pPr>
              <w:pStyle w:val="TableParagraph"/>
              <w:rPr>
                <w:rFonts w:ascii="Calibri"/>
                <w:sz w:val="2"/>
              </w:rPr>
            </w:pPr>
          </w:p>
          <w:p w14:paraId="176040FB" w14:textId="77777777" w:rsidR="00F65BCA" w:rsidRDefault="00F65BCA">
            <w:pPr>
              <w:pStyle w:val="TableParagraph"/>
              <w:spacing w:before="2"/>
              <w:rPr>
                <w:rFonts w:ascii="Calibri"/>
                <w:sz w:val="2"/>
              </w:rPr>
            </w:pPr>
          </w:p>
          <w:p w14:paraId="62A99A8C" w14:textId="77777777" w:rsidR="00F65BCA" w:rsidRDefault="00216117">
            <w:pPr>
              <w:pStyle w:val="TableParagraph"/>
              <w:spacing w:before="1"/>
              <w:ind w:left="24" w:right="24"/>
              <w:jc w:val="center"/>
              <w:rPr>
                <w:sz w:val="3"/>
              </w:rPr>
            </w:pPr>
            <w:r>
              <w:rPr>
                <w:w w:val="105"/>
                <w:sz w:val="3"/>
              </w:rPr>
              <w:t>1,50650000%</w:t>
            </w:r>
          </w:p>
        </w:tc>
        <w:tc>
          <w:tcPr>
            <w:tcW w:w="288" w:type="dxa"/>
          </w:tcPr>
          <w:p w14:paraId="1F9AE3FF" w14:textId="77777777" w:rsidR="00F65BCA" w:rsidRDefault="00F65BCA">
            <w:pPr>
              <w:pStyle w:val="TableParagraph"/>
              <w:rPr>
                <w:rFonts w:ascii="Calibri"/>
                <w:sz w:val="2"/>
              </w:rPr>
            </w:pPr>
          </w:p>
          <w:p w14:paraId="14298023" w14:textId="77777777" w:rsidR="00F65BCA" w:rsidRDefault="00F65BCA">
            <w:pPr>
              <w:pStyle w:val="TableParagraph"/>
              <w:rPr>
                <w:rFonts w:ascii="Calibri"/>
                <w:sz w:val="2"/>
              </w:rPr>
            </w:pPr>
          </w:p>
          <w:p w14:paraId="172571AB" w14:textId="77777777" w:rsidR="00F65BCA" w:rsidRDefault="00F65BCA">
            <w:pPr>
              <w:pStyle w:val="TableParagraph"/>
              <w:spacing w:before="2"/>
              <w:rPr>
                <w:rFonts w:ascii="Calibri"/>
                <w:sz w:val="2"/>
              </w:rPr>
            </w:pPr>
          </w:p>
          <w:p w14:paraId="12867462" w14:textId="77777777" w:rsidR="00F65BCA" w:rsidRDefault="00216117">
            <w:pPr>
              <w:pStyle w:val="TableParagraph"/>
              <w:spacing w:before="1"/>
              <w:ind w:left="24" w:right="24"/>
              <w:jc w:val="center"/>
              <w:rPr>
                <w:sz w:val="3"/>
              </w:rPr>
            </w:pPr>
            <w:r>
              <w:rPr>
                <w:w w:val="105"/>
                <w:sz w:val="3"/>
              </w:rPr>
              <w:t>1,44100000%</w:t>
            </w:r>
          </w:p>
        </w:tc>
        <w:tc>
          <w:tcPr>
            <w:tcW w:w="288" w:type="dxa"/>
          </w:tcPr>
          <w:p w14:paraId="4B2B7D1D" w14:textId="77777777" w:rsidR="00F65BCA" w:rsidRDefault="00F65BCA">
            <w:pPr>
              <w:pStyle w:val="TableParagraph"/>
              <w:rPr>
                <w:rFonts w:ascii="Calibri"/>
                <w:sz w:val="2"/>
              </w:rPr>
            </w:pPr>
          </w:p>
          <w:p w14:paraId="5E6B8D23" w14:textId="77777777" w:rsidR="00F65BCA" w:rsidRDefault="00F65BCA">
            <w:pPr>
              <w:pStyle w:val="TableParagraph"/>
              <w:rPr>
                <w:rFonts w:ascii="Calibri"/>
                <w:sz w:val="2"/>
              </w:rPr>
            </w:pPr>
          </w:p>
          <w:p w14:paraId="5F125C1E" w14:textId="77777777" w:rsidR="00F65BCA" w:rsidRDefault="00F65BCA">
            <w:pPr>
              <w:pStyle w:val="TableParagraph"/>
              <w:spacing w:before="2"/>
              <w:rPr>
                <w:rFonts w:ascii="Calibri"/>
                <w:sz w:val="2"/>
              </w:rPr>
            </w:pPr>
          </w:p>
          <w:p w14:paraId="5E64D405" w14:textId="77777777" w:rsidR="00F65BCA" w:rsidRDefault="00216117">
            <w:pPr>
              <w:pStyle w:val="TableParagraph"/>
              <w:spacing w:before="1"/>
              <w:ind w:left="24" w:right="24"/>
              <w:jc w:val="center"/>
              <w:rPr>
                <w:sz w:val="3"/>
              </w:rPr>
            </w:pPr>
            <w:r>
              <w:rPr>
                <w:w w:val="105"/>
                <w:sz w:val="3"/>
              </w:rPr>
              <w:t>1,31000000%</w:t>
            </w:r>
          </w:p>
        </w:tc>
        <w:tc>
          <w:tcPr>
            <w:tcW w:w="288" w:type="dxa"/>
          </w:tcPr>
          <w:p w14:paraId="5D26BDF3" w14:textId="77777777" w:rsidR="00F65BCA" w:rsidRDefault="00F65BCA">
            <w:pPr>
              <w:pStyle w:val="TableParagraph"/>
              <w:rPr>
                <w:rFonts w:ascii="Calibri"/>
                <w:sz w:val="2"/>
              </w:rPr>
            </w:pPr>
          </w:p>
          <w:p w14:paraId="3251EFF7" w14:textId="77777777" w:rsidR="00F65BCA" w:rsidRDefault="00F65BCA">
            <w:pPr>
              <w:pStyle w:val="TableParagraph"/>
              <w:rPr>
                <w:rFonts w:ascii="Calibri"/>
                <w:sz w:val="2"/>
              </w:rPr>
            </w:pPr>
          </w:p>
          <w:p w14:paraId="0C6FA4A9" w14:textId="77777777" w:rsidR="00F65BCA" w:rsidRDefault="00F65BCA">
            <w:pPr>
              <w:pStyle w:val="TableParagraph"/>
              <w:spacing w:before="2"/>
              <w:rPr>
                <w:rFonts w:ascii="Calibri"/>
                <w:sz w:val="2"/>
              </w:rPr>
            </w:pPr>
          </w:p>
          <w:p w14:paraId="320C9746" w14:textId="77777777" w:rsidR="00F65BCA" w:rsidRDefault="00216117">
            <w:pPr>
              <w:pStyle w:val="TableParagraph"/>
              <w:spacing w:before="1"/>
              <w:ind w:left="47"/>
              <w:rPr>
                <w:sz w:val="3"/>
              </w:rPr>
            </w:pPr>
            <w:r>
              <w:rPr>
                <w:w w:val="105"/>
                <w:sz w:val="3"/>
              </w:rPr>
              <w:t>1,31000000%</w:t>
            </w:r>
          </w:p>
        </w:tc>
      </w:tr>
      <w:tr w:rsidR="00F65BCA" w14:paraId="27DA3105" w14:textId="77777777">
        <w:trPr>
          <w:trHeight w:val="238"/>
        </w:trPr>
        <w:tc>
          <w:tcPr>
            <w:tcW w:w="526" w:type="dxa"/>
            <w:tcBorders>
              <w:top w:val="nil"/>
              <w:bottom w:val="nil"/>
            </w:tcBorders>
            <w:shd w:val="clear" w:color="auto" w:fill="FCE4D6"/>
          </w:tcPr>
          <w:p w14:paraId="2A3DEE37" w14:textId="77777777" w:rsidR="00F65BCA" w:rsidRDefault="00F65BCA">
            <w:pPr>
              <w:pStyle w:val="TableParagraph"/>
              <w:rPr>
                <w:rFonts w:ascii="Times New Roman"/>
                <w:sz w:val="2"/>
              </w:rPr>
            </w:pPr>
          </w:p>
        </w:tc>
        <w:tc>
          <w:tcPr>
            <w:tcW w:w="732" w:type="dxa"/>
            <w:tcBorders>
              <w:bottom w:val="nil"/>
            </w:tcBorders>
            <w:shd w:val="clear" w:color="auto" w:fill="FCE4D6"/>
          </w:tcPr>
          <w:p w14:paraId="24E8703A" w14:textId="77777777" w:rsidR="00F65BCA" w:rsidRDefault="00216117">
            <w:pPr>
              <w:pStyle w:val="TableParagraph"/>
              <w:spacing w:before="13" w:line="40" w:lineRule="atLeast"/>
              <w:ind w:left="4" w:right="2"/>
              <w:rPr>
                <w:sz w:val="3"/>
              </w:rPr>
            </w:pPr>
            <w:r>
              <w:rPr>
                <w:w w:val="105"/>
                <w:sz w:val="3"/>
              </w:rPr>
              <w:t>Adria; Arca; Bavaria; Bürstner; Capron; Concorde; Dethleffs; Elnagh; Eura-Mobil; Hobby; Homecar; Hymer; Challenger; Chausson; Knaus; Laika; McLouis; Miller; Mobilvetta; Pilote; PLA; Possl; Rapido; Rimor; Trigano</w:t>
            </w:r>
          </w:p>
        </w:tc>
        <w:tc>
          <w:tcPr>
            <w:tcW w:w="958" w:type="dxa"/>
            <w:gridSpan w:val="2"/>
            <w:tcBorders>
              <w:bottom w:val="nil"/>
            </w:tcBorders>
            <w:shd w:val="clear" w:color="auto" w:fill="FCE4D6"/>
          </w:tcPr>
          <w:p w14:paraId="0426160C" w14:textId="77777777" w:rsidR="00F65BCA" w:rsidRDefault="00F65BCA">
            <w:pPr>
              <w:pStyle w:val="TableParagraph"/>
              <w:rPr>
                <w:rFonts w:ascii="Calibri"/>
                <w:sz w:val="2"/>
              </w:rPr>
            </w:pPr>
          </w:p>
          <w:p w14:paraId="44288DF2" w14:textId="77777777" w:rsidR="00F65BCA" w:rsidRDefault="00F65BCA">
            <w:pPr>
              <w:pStyle w:val="TableParagraph"/>
              <w:rPr>
                <w:rFonts w:ascii="Calibri"/>
                <w:sz w:val="2"/>
              </w:rPr>
            </w:pPr>
          </w:p>
          <w:p w14:paraId="62DA509B" w14:textId="77777777" w:rsidR="00F65BCA" w:rsidRDefault="00F65BCA">
            <w:pPr>
              <w:pStyle w:val="TableParagraph"/>
              <w:rPr>
                <w:rFonts w:ascii="Calibri"/>
                <w:sz w:val="2"/>
              </w:rPr>
            </w:pPr>
          </w:p>
          <w:p w14:paraId="6C534663" w14:textId="77777777" w:rsidR="00F65BCA" w:rsidRDefault="00F65BCA">
            <w:pPr>
              <w:pStyle w:val="TableParagraph"/>
              <w:spacing w:before="2"/>
              <w:rPr>
                <w:rFonts w:ascii="Calibri"/>
                <w:sz w:val="2"/>
              </w:rPr>
            </w:pPr>
          </w:p>
          <w:p w14:paraId="51C03C60" w14:textId="77777777" w:rsidR="00F65BCA" w:rsidRDefault="00216117">
            <w:pPr>
              <w:pStyle w:val="TableParagraph"/>
              <w:ind w:left="1"/>
              <w:jc w:val="center"/>
              <w:rPr>
                <w:sz w:val="3"/>
              </w:rPr>
            </w:pPr>
            <w:r>
              <w:rPr>
                <w:w w:val="103"/>
                <w:sz w:val="3"/>
              </w:rPr>
              <w:t>-</w:t>
            </w:r>
          </w:p>
        </w:tc>
        <w:tc>
          <w:tcPr>
            <w:tcW w:w="576" w:type="dxa"/>
            <w:tcBorders>
              <w:bottom w:val="nil"/>
            </w:tcBorders>
            <w:shd w:val="clear" w:color="auto" w:fill="FCE4D6"/>
          </w:tcPr>
          <w:p w14:paraId="56D904D1" w14:textId="77777777" w:rsidR="00F65BCA" w:rsidRDefault="00F65BCA">
            <w:pPr>
              <w:pStyle w:val="TableParagraph"/>
              <w:rPr>
                <w:rFonts w:ascii="Calibri"/>
                <w:sz w:val="2"/>
              </w:rPr>
            </w:pPr>
          </w:p>
          <w:p w14:paraId="5E9AACE0" w14:textId="77777777" w:rsidR="00F65BCA" w:rsidRDefault="00F65BCA">
            <w:pPr>
              <w:pStyle w:val="TableParagraph"/>
              <w:rPr>
                <w:rFonts w:ascii="Calibri"/>
                <w:sz w:val="2"/>
              </w:rPr>
            </w:pPr>
          </w:p>
          <w:p w14:paraId="6EE6FD3E" w14:textId="77777777" w:rsidR="00F65BCA" w:rsidRDefault="00F65BCA">
            <w:pPr>
              <w:pStyle w:val="TableParagraph"/>
              <w:rPr>
                <w:rFonts w:ascii="Calibri"/>
                <w:sz w:val="2"/>
              </w:rPr>
            </w:pPr>
          </w:p>
          <w:p w14:paraId="2E8E14A2" w14:textId="77777777" w:rsidR="00F65BCA" w:rsidRDefault="00F65BCA">
            <w:pPr>
              <w:pStyle w:val="TableParagraph"/>
              <w:spacing w:before="2"/>
              <w:rPr>
                <w:rFonts w:ascii="Calibri"/>
                <w:sz w:val="2"/>
              </w:rPr>
            </w:pPr>
          </w:p>
          <w:p w14:paraId="1BBA4DEA" w14:textId="77777777" w:rsidR="00F65BCA" w:rsidRDefault="00216117">
            <w:pPr>
              <w:pStyle w:val="TableParagraph"/>
              <w:ind w:left="3"/>
              <w:jc w:val="center"/>
              <w:rPr>
                <w:sz w:val="3"/>
              </w:rPr>
            </w:pPr>
            <w:r>
              <w:rPr>
                <w:w w:val="103"/>
                <w:sz w:val="3"/>
              </w:rPr>
              <w:t>-</w:t>
            </w:r>
          </w:p>
        </w:tc>
        <w:tc>
          <w:tcPr>
            <w:tcW w:w="576" w:type="dxa"/>
            <w:tcBorders>
              <w:bottom w:val="nil"/>
            </w:tcBorders>
            <w:shd w:val="clear" w:color="auto" w:fill="FCE4D6"/>
          </w:tcPr>
          <w:p w14:paraId="554BD349" w14:textId="77777777" w:rsidR="00F65BCA" w:rsidRDefault="00F65BCA">
            <w:pPr>
              <w:pStyle w:val="TableParagraph"/>
              <w:rPr>
                <w:rFonts w:ascii="Calibri"/>
                <w:sz w:val="2"/>
              </w:rPr>
            </w:pPr>
          </w:p>
          <w:p w14:paraId="58F58A15" w14:textId="77777777" w:rsidR="00F65BCA" w:rsidRDefault="00F65BCA">
            <w:pPr>
              <w:pStyle w:val="TableParagraph"/>
              <w:rPr>
                <w:rFonts w:ascii="Calibri"/>
                <w:sz w:val="2"/>
              </w:rPr>
            </w:pPr>
          </w:p>
          <w:p w14:paraId="5EBF3D6A" w14:textId="77777777" w:rsidR="00F65BCA" w:rsidRDefault="00F65BCA">
            <w:pPr>
              <w:pStyle w:val="TableParagraph"/>
              <w:rPr>
                <w:rFonts w:ascii="Calibri"/>
                <w:sz w:val="2"/>
              </w:rPr>
            </w:pPr>
          </w:p>
          <w:p w14:paraId="69A3FA06" w14:textId="77777777" w:rsidR="00F65BCA" w:rsidRDefault="00F65BCA">
            <w:pPr>
              <w:pStyle w:val="TableParagraph"/>
              <w:spacing w:before="2"/>
              <w:rPr>
                <w:rFonts w:ascii="Calibri"/>
                <w:sz w:val="2"/>
              </w:rPr>
            </w:pPr>
          </w:p>
          <w:p w14:paraId="52BBB54F"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06277E94" w14:textId="77777777" w:rsidR="00F65BCA" w:rsidRDefault="00F65BCA">
            <w:pPr>
              <w:rPr>
                <w:sz w:val="2"/>
                <w:szCs w:val="2"/>
              </w:rPr>
            </w:pPr>
          </w:p>
        </w:tc>
        <w:tc>
          <w:tcPr>
            <w:tcW w:w="288" w:type="dxa"/>
            <w:tcBorders>
              <w:bottom w:val="nil"/>
            </w:tcBorders>
          </w:tcPr>
          <w:p w14:paraId="342FB64E" w14:textId="77777777" w:rsidR="00F65BCA" w:rsidRDefault="00F65BCA">
            <w:pPr>
              <w:pStyle w:val="TableParagraph"/>
              <w:rPr>
                <w:rFonts w:ascii="Calibri"/>
                <w:sz w:val="2"/>
              </w:rPr>
            </w:pPr>
          </w:p>
          <w:p w14:paraId="25718D34" w14:textId="77777777" w:rsidR="00F65BCA" w:rsidRDefault="00F65BCA">
            <w:pPr>
              <w:pStyle w:val="TableParagraph"/>
              <w:rPr>
                <w:rFonts w:ascii="Calibri"/>
                <w:sz w:val="2"/>
              </w:rPr>
            </w:pPr>
          </w:p>
          <w:p w14:paraId="1042C694" w14:textId="77777777" w:rsidR="00F65BCA" w:rsidRDefault="00F65BCA">
            <w:pPr>
              <w:pStyle w:val="TableParagraph"/>
              <w:rPr>
                <w:rFonts w:ascii="Calibri"/>
                <w:sz w:val="2"/>
              </w:rPr>
            </w:pPr>
          </w:p>
          <w:p w14:paraId="6CC8E891" w14:textId="77777777" w:rsidR="00F65BCA" w:rsidRDefault="00F65BCA">
            <w:pPr>
              <w:pStyle w:val="TableParagraph"/>
              <w:spacing w:before="2"/>
              <w:rPr>
                <w:rFonts w:ascii="Calibri"/>
                <w:sz w:val="2"/>
              </w:rPr>
            </w:pPr>
          </w:p>
          <w:p w14:paraId="728EE37B" w14:textId="77777777" w:rsidR="00F65BCA" w:rsidRDefault="00216117">
            <w:pPr>
              <w:pStyle w:val="TableParagraph"/>
              <w:ind w:left="24" w:right="24"/>
              <w:jc w:val="center"/>
              <w:rPr>
                <w:sz w:val="3"/>
              </w:rPr>
            </w:pPr>
            <w:r>
              <w:rPr>
                <w:w w:val="105"/>
                <w:sz w:val="3"/>
              </w:rPr>
              <w:t>3,01691690%</w:t>
            </w:r>
          </w:p>
        </w:tc>
        <w:tc>
          <w:tcPr>
            <w:tcW w:w="288" w:type="dxa"/>
            <w:tcBorders>
              <w:bottom w:val="nil"/>
            </w:tcBorders>
          </w:tcPr>
          <w:p w14:paraId="6EB9D998" w14:textId="77777777" w:rsidR="00F65BCA" w:rsidRDefault="00F65BCA">
            <w:pPr>
              <w:pStyle w:val="TableParagraph"/>
              <w:rPr>
                <w:rFonts w:ascii="Calibri"/>
                <w:sz w:val="2"/>
              </w:rPr>
            </w:pPr>
          </w:p>
          <w:p w14:paraId="6ADD9C6B" w14:textId="77777777" w:rsidR="00F65BCA" w:rsidRDefault="00F65BCA">
            <w:pPr>
              <w:pStyle w:val="TableParagraph"/>
              <w:rPr>
                <w:rFonts w:ascii="Calibri"/>
                <w:sz w:val="2"/>
              </w:rPr>
            </w:pPr>
          </w:p>
          <w:p w14:paraId="52C6ACFB" w14:textId="77777777" w:rsidR="00F65BCA" w:rsidRDefault="00F65BCA">
            <w:pPr>
              <w:pStyle w:val="TableParagraph"/>
              <w:rPr>
                <w:rFonts w:ascii="Calibri"/>
                <w:sz w:val="2"/>
              </w:rPr>
            </w:pPr>
          </w:p>
          <w:p w14:paraId="2AE6F99E" w14:textId="77777777" w:rsidR="00F65BCA" w:rsidRDefault="00F65BCA">
            <w:pPr>
              <w:pStyle w:val="TableParagraph"/>
              <w:spacing w:before="2"/>
              <w:rPr>
                <w:rFonts w:ascii="Calibri"/>
                <w:sz w:val="2"/>
              </w:rPr>
            </w:pPr>
          </w:p>
          <w:p w14:paraId="7A02F378" w14:textId="77777777" w:rsidR="00F65BCA" w:rsidRDefault="00216117">
            <w:pPr>
              <w:pStyle w:val="TableParagraph"/>
              <w:ind w:left="24" w:right="24"/>
              <w:jc w:val="center"/>
              <w:rPr>
                <w:sz w:val="3"/>
              </w:rPr>
            </w:pPr>
            <w:r>
              <w:rPr>
                <w:w w:val="105"/>
                <w:sz w:val="3"/>
              </w:rPr>
              <w:t>2,69934670%</w:t>
            </w:r>
          </w:p>
        </w:tc>
        <w:tc>
          <w:tcPr>
            <w:tcW w:w="288" w:type="dxa"/>
            <w:tcBorders>
              <w:bottom w:val="nil"/>
            </w:tcBorders>
          </w:tcPr>
          <w:p w14:paraId="5E4330F6" w14:textId="77777777" w:rsidR="00F65BCA" w:rsidRDefault="00F65BCA">
            <w:pPr>
              <w:pStyle w:val="TableParagraph"/>
              <w:rPr>
                <w:rFonts w:ascii="Calibri"/>
                <w:sz w:val="2"/>
              </w:rPr>
            </w:pPr>
          </w:p>
          <w:p w14:paraId="52BA3CA3" w14:textId="77777777" w:rsidR="00F65BCA" w:rsidRDefault="00F65BCA">
            <w:pPr>
              <w:pStyle w:val="TableParagraph"/>
              <w:rPr>
                <w:rFonts w:ascii="Calibri"/>
                <w:sz w:val="2"/>
              </w:rPr>
            </w:pPr>
          </w:p>
          <w:p w14:paraId="4DB508F0" w14:textId="77777777" w:rsidR="00F65BCA" w:rsidRDefault="00F65BCA">
            <w:pPr>
              <w:pStyle w:val="TableParagraph"/>
              <w:rPr>
                <w:rFonts w:ascii="Calibri"/>
                <w:sz w:val="2"/>
              </w:rPr>
            </w:pPr>
          </w:p>
          <w:p w14:paraId="3524C338" w14:textId="77777777" w:rsidR="00F65BCA" w:rsidRDefault="00F65BCA">
            <w:pPr>
              <w:pStyle w:val="TableParagraph"/>
              <w:spacing w:before="2"/>
              <w:rPr>
                <w:rFonts w:ascii="Calibri"/>
                <w:sz w:val="2"/>
              </w:rPr>
            </w:pPr>
          </w:p>
          <w:p w14:paraId="5E6201A0" w14:textId="77777777" w:rsidR="00F65BCA" w:rsidRDefault="00216117">
            <w:pPr>
              <w:pStyle w:val="TableParagraph"/>
              <w:ind w:left="47"/>
              <w:rPr>
                <w:sz w:val="3"/>
              </w:rPr>
            </w:pPr>
            <w:r>
              <w:rPr>
                <w:w w:val="105"/>
                <w:sz w:val="3"/>
              </w:rPr>
              <w:t>2,69934670%</w:t>
            </w:r>
          </w:p>
        </w:tc>
        <w:tc>
          <w:tcPr>
            <w:tcW w:w="288" w:type="dxa"/>
            <w:tcBorders>
              <w:bottom w:val="nil"/>
            </w:tcBorders>
          </w:tcPr>
          <w:p w14:paraId="70E53F7F" w14:textId="77777777" w:rsidR="00F65BCA" w:rsidRDefault="00F65BCA">
            <w:pPr>
              <w:pStyle w:val="TableParagraph"/>
              <w:rPr>
                <w:rFonts w:ascii="Calibri"/>
                <w:sz w:val="2"/>
              </w:rPr>
            </w:pPr>
          </w:p>
          <w:p w14:paraId="25C1EC51" w14:textId="77777777" w:rsidR="00F65BCA" w:rsidRDefault="00F65BCA">
            <w:pPr>
              <w:pStyle w:val="TableParagraph"/>
              <w:rPr>
                <w:rFonts w:ascii="Calibri"/>
                <w:sz w:val="2"/>
              </w:rPr>
            </w:pPr>
          </w:p>
          <w:p w14:paraId="1B939899" w14:textId="77777777" w:rsidR="00F65BCA" w:rsidRDefault="00F65BCA">
            <w:pPr>
              <w:pStyle w:val="TableParagraph"/>
              <w:rPr>
                <w:rFonts w:ascii="Calibri"/>
                <w:sz w:val="2"/>
              </w:rPr>
            </w:pPr>
          </w:p>
          <w:p w14:paraId="0851EFC4" w14:textId="77777777" w:rsidR="00F65BCA" w:rsidRDefault="00F65BCA">
            <w:pPr>
              <w:pStyle w:val="TableParagraph"/>
              <w:spacing w:before="2"/>
              <w:rPr>
                <w:rFonts w:ascii="Calibri"/>
                <w:sz w:val="2"/>
              </w:rPr>
            </w:pPr>
          </w:p>
          <w:p w14:paraId="4A67DEEF" w14:textId="77777777" w:rsidR="00F65BCA" w:rsidRDefault="00216117">
            <w:pPr>
              <w:pStyle w:val="TableParagraph"/>
              <w:ind w:left="24" w:right="24"/>
              <w:jc w:val="center"/>
              <w:rPr>
                <w:sz w:val="3"/>
              </w:rPr>
            </w:pPr>
            <w:r>
              <w:rPr>
                <w:w w:val="105"/>
                <w:sz w:val="3"/>
              </w:rPr>
              <w:t>2,46116905%</w:t>
            </w:r>
          </w:p>
        </w:tc>
        <w:tc>
          <w:tcPr>
            <w:tcW w:w="288" w:type="dxa"/>
            <w:tcBorders>
              <w:bottom w:val="nil"/>
            </w:tcBorders>
          </w:tcPr>
          <w:p w14:paraId="0DE06187" w14:textId="77777777" w:rsidR="00F65BCA" w:rsidRDefault="00F65BCA">
            <w:pPr>
              <w:pStyle w:val="TableParagraph"/>
              <w:rPr>
                <w:rFonts w:ascii="Calibri"/>
                <w:sz w:val="2"/>
              </w:rPr>
            </w:pPr>
          </w:p>
          <w:p w14:paraId="740A1E54" w14:textId="77777777" w:rsidR="00F65BCA" w:rsidRDefault="00F65BCA">
            <w:pPr>
              <w:pStyle w:val="TableParagraph"/>
              <w:rPr>
                <w:rFonts w:ascii="Calibri"/>
                <w:sz w:val="2"/>
              </w:rPr>
            </w:pPr>
          </w:p>
          <w:p w14:paraId="433A75C0" w14:textId="77777777" w:rsidR="00F65BCA" w:rsidRDefault="00F65BCA">
            <w:pPr>
              <w:pStyle w:val="TableParagraph"/>
              <w:rPr>
                <w:rFonts w:ascii="Calibri"/>
                <w:sz w:val="2"/>
              </w:rPr>
            </w:pPr>
          </w:p>
          <w:p w14:paraId="34C41CB2" w14:textId="77777777" w:rsidR="00F65BCA" w:rsidRDefault="00F65BCA">
            <w:pPr>
              <w:pStyle w:val="TableParagraph"/>
              <w:spacing w:before="2"/>
              <w:rPr>
                <w:rFonts w:ascii="Calibri"/>
                <w:sz w:val="2"/>
              </w:rPr>
            </w:pPr>
          </w:p>
          <w:p w14:paraId="628D9940" w14:textId="77777777" w:rsidR="00F65BCA" w:rsidRDefault="00216117">
            <w:pPr>
              <w:pStyle w:val="TableParagraph"/>
              <w:ind w:left="47"/>
              <w:rPr>
                <w:sz w:val="3"/>
              </w:rPr>
            </w:pPr>
            <w:r>
              <w:rPr>
                <w:w w:val="105"/>
                <w:sz w:val="3"/>
              </w:rPr>
              <w:t>2,46116905%</w:t>
            </w:r>
          </w:p>
        </w:tc>
        <w:tc>
          <w:tcPr>
            <w:tcW w:w="288" w:type="dxa"/>
            <w:tcBorders>
              <w:bottom w:val="nil"/>
            </w:tcBorders>
          </w:tcPr>
          <w:p w14:paraId="6D3D1C1E" w14:textId="77777777" w:rsidR="00F65BCA" w:rsidRDefault="00F65BCA">
            <w:pPr>
              <w:pStyle w:val="TableParagraph"/>
              <w:rPr>
                <w:rFonts w:ascii="Calibri"/>
                <w:sz w:val="2"/>
              </w:rPr>
            </w:pPr>
          </w:p>
          <w:p w14:paraId="5C6C8C01" w14:textId="77777777" w:rsidR="00F65BCA" w:rsidRDefault="00F65BCA">
            <w:pPr>
              <w:pStyle w:val="TableParagraph"/>
              <w:rPr>
                <w:rFonts w:ascii="Calibri"/>
                <w:sz w:val="2"/>
              </w:rPr>
            </w:pPr>
          </w:p>
          <w:p w14:paraId="4B43EBC9" w14:textId="77777777" w:rsidR="00F65BCA" w:rsidRDefault="00F65BCA">
            <w:pPr>
              <w:pStyle w:val="TableParagraph"/>
              <w:rPr>
                <w:rFonts w:ascii="Calibri"/>
                <w:sz w:val="2"/>
              </w:rPr>
            </w:pPr>
          </w:p>
          <w:p w14:paraId="07B96DAB" w14:textId="77777777" w:rsidR="00F65BCA" w:rsidRDefault="00F65BCA">
            <w:pPr>
              <w:pStyle w:val="TableParagraph"/>
              <w:spacing w:before="2"/>
              <w:rPr>
                <w:rFonts w:ascii="Calibri"/>
                <w:sz w:val="2"/>
              </w:rPr>
            </w:pPr>
          </w:p>
          <w:p w14:paraId="6FB0DEF5" w14:textId="77777777" w:rsidR="00F65BCA" w:rsidRDefault="00216117">
            <w:pPr>
              <w:pStyle w:val="TableParagraph"/>
              <w:ind w:left="24" w:right="24"/>
              <w:jc w:val="center"/>
              <w:rPr>
                <w:sz w:val="3"/>
              </w:rPr>
            </w:pPr>
            <w:r>
              <w:rPr>
                <w:w w:val="105"/>
                <w:sz w:val="3"/>
              </w:rPr>
              <w:t>2,22299140%</w:t>
            </w:r>
          </w:p>
        </w:tc>
        <w:tc>
          <w:tcPr>
            <w:tcW w:w="288" w:type="dxa"/>
            <w:tcBorders>
              <w:bottom w:val="nil"/>
            </w:tcBorders>
          </w:tcPr>
          <w:p w14:paraId="6F6652CA" w14:textId="77777777" w:rsidR="00F65BCA" w:rsidRDefault="00F65BCA">
            <w:pPr>
              <w:pStyle w:val="TableParagraph"/>
              <w:rPr>
                <w:rFonts w:ascii="Calibri"/>
                <w:sz w:val="2"/>
              </w:rPr>
            </w:pPr>
          </w:p>
          <w:p w14:paraId="4382FDE7" w14:textId="77777777" w:rsidR="00F65BCA" w:rsidRDefault="00F65BCA">
            <w:pPr>
              <w:pStyle w:val="TableParagraph"/>
              <w:rPr>
                <w:rFonts w:ascii="Calibri"/>
                <w:sz w:val="2"/>
              </w:rPr>
            </w:pPr>
          </w:p>
          <w:p w14:paraId="13535DC3" w14:textId="77777777" w:rsidR="00F65BCA" w:rsidRDefault="00F65BCA">
            <w:pPr>
              <w:pStyle w:val="TableParagraph"/>
              <w:rPr>
                <w:rFonts w:ascii="Calibri"/>
                <w:sz w:val="2"/>
              </w:rPr>
            </w:pPr>
          </w:p>
          <w:p w14:paraId="0040C953" w14:textId="77777777" w:rsidR="00F65BCA" w:rsidRDefault="00F65BCA">
            <w:pPr>
              <w:pStyle w:val="TableParagraph"/>
              <w:spacing w:before="2"/>
              <w:rPr>
                <w:rFonts w:ascii="Calibri"/>
                <w:sz w:val="2"/>
              </w:rPr>
            </w:pPr>
          </w:p>
          <w:p w14:paraId="50783391" w14:textId="77777777" w:rsidR="00F65BCA" w:rsidRDefault="00216117">
            <w:pPr>
              <w:pStyle w:val="TableParagraph"/>
              <w:ind w:left="24" w:right="24"/>
              <w:jc w:val="center"/>
              <w:rPr>
                <w:sz w:val="3"/>
              </w:rPr>
            </w:pPr>
            <w:r>
              <w:rPr>
                <w:w w:val="105"/>
                <w:sz w:val="3"/>
              </w:rPr>
              <w:t>2,22299140%</w:t>
            </w:r>
          </w:p>
        </w:tc>
        <w:tc>
          <w:tcPr>
            <w:tcW w:w="288" w:type="dxa"/>
            <w:tcBorders>
              <w:bottom w:val="nil"/>
            </w:tcBorders>
          </w:tcPr>
          <w:p w14:paraId="2E5F2748" w14:textId="77777777" w:rsidR="00F65BCA" w:rsidRDefault="00F65BCA">
            <w:pPr>
              <w:pStyle w:val="TableParagraph"/>
              <w:rPr>
                <w:rFonts w:ascii="Calibri"/>
                <w:sz w:val="2"/>
              </w:rPr>
            </w:pPr>
          </w:p>
          <w:p w14:paraId="1372C2B6" w14:textId="77777777" w:rsidR="00F65BCA" w:rsidRDefault="00F65BCA">
            <w:pPr>
              <w:pStyle w:val="TableParagraph"/>
              <w:rPr>
                <w:rFonts w:ascii="Calibri"/>
                <w:sz w:val="2"/>
              </w:rPr>
            </w:pPr>
          </w:p>
          <w:p w14:paraId="34A47385" w14:textId="77777777" w:rsidR="00F65BCA" w:rsidRDefault="00F65BCA">
            <w:pPr>
              <w:pStyle w:val="TableParagraph"/>
              <w:rPr>
                <w:rFonts w:ascii="Calibri"/>
                <w:sz w:val="2"/>
              </w:rPr>
            </w:pPr>
          </w:p>
          <w:p w14:paraId="23F08006" w14:textId="77777777" w:rsidR="00F65BCA" w:rsidRDefault="00F65BCA">
            <w:pPr>
              <w:pStyle w:val="TableParagraph"/>
              <w:spacing w:before="2"/>
              <w:rPr>
                <w:rFonts w:ascii="Calibri"/>
                <w:sz w:val="2"/>
              </w:rPr>
            </w:pPr>
          </w:p>
          <w:p w14:paraId="5C6C1D53" w14:textId="77777777" w:rsidR="00F65BCA" w:rsidRDefault="00216117">
            <w:pPr>
              <w:pStyle w:val="TableParagraph"/>
              <w:ind w:left="47"/>
              <w:rPr>
                <w:sz w:val="3"/>
              </w:rPr>
            </w:pPr>
            <w:r>
              <w:rPr>
                <w:w w:val="105"/>
                <w:sz w:val="3"/>
              </w:rPr>
              <w:t>1,98481375%</w:t>
            </w:r>
          </w:p>
        </w:tc>
        <w:tc>
          <w:tcPr>
            <w:tcW w:w="288" w:type="dxa"/>
            <w:tcBorders>
              <w:bottom w:val="nil"/>
            </w:tcBorders>
          </w:tcPr>
          <w:p w14:paraId="3AADED5E" w14:textId="77777777" w:rsidR="00F65BCA" w:rsidRDefault="00F65BCA">
            <w:pPr>
              <w:pStyle w:val="TableParagraph"/>
              <w:rPr>
                <w:rFonts w:ascii="Calibri"/>
                <w:sz w:val="2"/>
              </w:rPr>
            </w:pPr>
          </w:p>
          <w:p w14:paraId="3D77FE6C" w14:textId="77777777" w:rsidR="00F65BCA" w:rsidRDefault="00F65BCA">
            <w:pPr>
              <w:pStyle w:val="TableParagraph"/>
              <w:rPr>
                <w:rFonts w:ascii="Calibri"/>
                <w:sz w:val="2"/>
              </w:rPr>
            </w:pPr>
          </w:p>
          <w:p w14:paraId="3F6855D1" w14:textId="77777777" w:rsidR="00F65BCA" w:rsidRDefault="00F65BCA">
            <w:pPr>
              <w:pStyle w:val="TableParagraph"/>
              <w:rPr>
                <w:rFonts w:ascii="Calibri"/>
                <w:sz w:val="2"/>
              </w:rPr>
            </w:pPr>
          </w:p>
          <w:p w14:paraId="20B111F0" w14:textId="77777777" w:rsidR="00F65BCA" w:rsidRDefault="00F65BCA">
            <w:pPr>
              <w:pStyle w:val="TableParagraph"/>
              <w:spacing w:before="2"/>
              <w:rPr>
                <w:rFonts w:ascii="Calibri"/>
                <w:sz w:val="2"/>
              </w:rPr>
            </w:pPr>
          </w:p>
          <w:p w14:paraId="4409E3F4" w14:textId="77777777" w:rsidR="00F65BCA" w:rsidRDefault="00216117">
            <w:pPr>
              <w:pStyle w:val="TableParagraph"/>
              <w:ind w:left="24" w:right="24"/>
              <w:jc w:val="center"/>
              <w:rPr>
                <w:sz w:val="3"/>
              </w:rPr>
            </w:pPr>
            <w:r>
              <w:rPr>
                <w:w w:val="105"/>
                <w:sz w:val="3"/>
              </w:rPr>
              <w:t>1,98481375%</w:t>
            </w:r>
          </w:p>
        </w:tc>
        <w:tc>
          <w:tcPr>
            <w:tcW w:w="288" w:type="dxa"/>
            <w:tcBorders>
              <w:bottom w:val="nil"/>
            </w:tcBorders>
          </w:tcPr>
          <w:p w14:paraId="4A7AD138" w14:textId="77777777" w:rsidR="00F65BCA" w:rsidRDefault="00F65BCA">
            <w:pPr>
              <w:pStyle w:val="TableParagraph"/>
              <w:rPr>
                <w:rFonts w:ascii="Calibri"/>
                <w:sz w:val="2"/>
              </w:rPr>
            </w:pPr>
          </w:p>
          <w:p w14:paraId="64B9396B" w14:textId="77777777" w:rsidR="00F65BCA" w:rsidRDefault="00F65BCA">
            <w:pPr>
              <w:pStyle w:val="TableParagraph"/>
              <w:rPr>
                <w:rFonts w:ascii="Calibri"/>
                <w:sz w:val="2"/>
              </w:rPr>
            </w:pPr>
          </w:p>
          <w:p w14:paraId="30DCA32D" w14:textId="77777777" w:rsidR="00F65BCA" w:rsidRDefault="00F65BCA">
            <w:pPr>
              <w:pStyle w:val="TableParagraph"/>
              <w:rPr>
                <w:rFonts w:ascii="Calibri"/>
                <w:sz w:val="2"/>
              </w:rPr>
            </w:pPr>
          </w:p>
          <w:p w14:paraId="1B6CBF01" w14:textId="77777777" w:rsidR="00F65BCA" w:rsidRDefault="00F65BCA">
            <w:pPr>
              <w:pStyle w:val="TableParagraph"/>
              <w:spacing w:before="2"/>
              <w:rPr>
                <w:rFonts w:ascii="Calibri"/>
                <w:sz w:val="2"/>
              </w:rPr>
            </w:pPr>
          </w:p>
          <w:p w14:paraId="35E8520B" w14:textId="77777777" w:rsidR="00F65BCA" w:rsidRDefault="00216117">
            <w:pPr>
              <w:pStyle w:val="TableParagraph"/>
              <w:ind w:left="24" w:right="24"/>
              <w:jc w:val="center"/>
              <w:rPr>
                <w:sz w:val="3"/>
              </w:rPr>
            </w:pPr>
            <w:r>
              <w:rPr>
                <w:w w:val="105"/>
                <w:sz w:val="3"/>
              </w:rPr>
              <w:t>1,82602865%</w:t>
            </w:r>
          </w:p>
        </w:tc>
        <w:tc>
          <w:tcPr>
            <w:tcW w:w="288" w:type="dxa"/>
            <w:tcBorders>
              <w:bottom w:val="nil"/>
            </w:tcBorders>
          </w:tcPr>
          <w:p w14:paraId="2CA0512E" w14:textId="77777777" w:rsidR="00F65BCA" w:rsidRDefault="00F65BCA">
            <w:pPr>
              <w:pStyle w:val="TableParagraph"/>
              <w:rPr>
                <w:rFonts w:ascii="Calibri"/>
                <w:sz w:val="2"/>
              </w:rPr>
            </w:pPr>
          </w:p>
          <w:p w14:paraId="1D571BBE" w14:textId="77777777" w:rsidR="00F65BCA" w:rsidRDefault="00F65BCA">
            <w:pPr>
              <w:pStyle w:val="TableParagraph"/>
              <w:rPr>
                <w:rFonts w:ascii="Calibri"/>
                <w:sz w:val="2"/>
              </w:rPr>
            </w:pPr>
          </w:p>
          <w:p w14:paraId="31D00D2F" w14:textId="77777777" w:rsidR="00F65BCA" w:rsidRDefault="00F65BCA">
            <w:pPr>
              <w:pStyle w:val="TableParagraph"/>
              <w:rPr>
                <w:rFonts w:ascii="Calibri"/>
                <w:sz w:val="2"/>
              </w:rPr>
            </w:pPr>
          </w:p>
          <w:p w14:paraId="159690A7" w14:textId="77777777" w:rsidR="00F65BCA" w:rsidRDefault="00F65BCA">
            <w:pPr>
              <w:pStyle w:val="TableParagraph"/>
              <w:spacing w:before="2"/>
              <w:rPr>
                <w:rFonts w:ascii="Calibri"/>
                <w:sz w:val="2"/>
              </w:rPr>
            </w:pPr>
          </w:p>
          <w:p w14:paraId="4C382292" w14:textId="77777777" w:rsidR="00F65BCA" w:rsidRDefault="00216117">
            <w:pPr>
              <w:pStyle w:val="TableParagraph"/>
              <w:ind w:left="24" w:right="24"/>
              <w:jc w:val="center"/>
              <w:rPr>
                <w:sz w:val="3"/>
              </w:rPr>
            </w:pPr>
            <w:r>
              <w:rPr>
                <w:w w:val="105"/>
                <w:sz w:val="3"/>
              </w:rPr>
              <w:t>1,74663610%</w:t>
            </w:r>
          </w:p>
        </w:tc>
        <w:tc>
          <w:tcPr>
            <w:tcW w:w="288" w:type="dxa"/>
            <w:tcBorders>
              <w:bottom w:val="nil"/>
            </w:tcBorders>
          </w:tcPr>
          <w:p w14:paraId="209314F5" w14:textId="77777777" w:rsidR="00F65BCA" w:rsidRDefault="00F65BCA">
            <w:pPr>
              <w:pStyle w:val="TableParagraph"/>
              <w:rPr>
                <w:rFonts w:ascii="Calibri"/>
                <w:sz w:val="2"/>
              </w:rPr>
            </w:pPr>
          </w:p>
          <w:p w14:paraId="4597AD48" w14:textId="77777777" w:rsidR="00F65BCA" w:rsidRDefault="00F65BCA">
            <w:pPr>
              <w:pStyle w:val="TableParagraph"/>
              <w:rPr>
                <w:rFonts w:ascii="Calibri"/>
                <w:sz w:val="2"/>
              </w:rPr>
            </w:pPr>
          </w:p>
          <w:p w14:paraId="66DF786C" w14:textId="77777777" w:rsidR="00F65BCA" w:rsidRDefault="00F65BCA">
            <w:pPr>
              <w:pStyle w:val="TableParagraph"/>
              <w:rPr>
                <w:rFonts w:ascii="Calibri"/>
                <w:sz w:val="2"/>
              </w:rPr>
            </w:pPr>
          </w:p>
          <w:p w14:paraId="261BBC33" w14:textId="77777777" w:rsidR="00F65BCA" w:rsidRDefault="00F65BCA">
            <w:pPr>
              <w:pStyle w:val="TableParagraph"/>
              <w:spacing w:before="2"/>
              <w:rPr>
                <w:rFonts w:ascii="Calibri"/>
                <w:sz w:val="2"/>
              </w:rPr>
            </w:pPr>
          </w:p>
          <w:p w14:paraId="110FB8C3" w14:textId="77777777" w:rsidR="00F65BCA" w:rsidRDefault="00216117">
            <w:pPr>
              <w:pStyle w:val="TableParagraph"/>
              <w:ind w:left="24" w:right="24"/>
              <w:jc w:val="center"/>
              <w:rPr>
                <w:sz w:val="3"/>
              </w:rPr>
            </w:pPr>
            <w:r>
              <w:rPr>
                <w:w w:val="105"/>
                <w:sz w:val="3"/>
              </w:rPr>
              <w:t>1,58785100%</w:t>
            </w:r>
          </w:p>
        </w:tc>
        <w:tc>
          <w:tcPr>
            <w:tcW w:w="288" w:type="dxa"/>
            <w:tcBorders>
              <w:bottom w:val="nil"/>
            </w:tcBorders>
          </w:tcPr>
          <w:p w14:paraId="232FC837" w14:textId="77777777" w:rsidR="00F65BCA" w:rsidRDefault="00F65BCA">
            <w:pPr>
              <w:pStyle w:val="TableParagraph"/>
              <w:rPr>
                <w:rFonts w:ascii="Calibri"/>
                <w:sz w:val="2"/>
              </w:rPr>
            </w:pPr>
          </w:p>
          <w:p w14:paraId="7B20A25F" w14:textId="77777777" w:rsidR="00F65BCA" w:rsidRDefault="00F65BCA">
            <w:pPr>
              <w:pStyle w:val="TableParagraph"/>
              <w:rPr>
                <w:rFonts w:ascii="Calibri"/>
                <w:sz w:val="2"/>
              </w:rPr>
            </w:pPr>
          </w:p>
          <w:p w14:paraId="2E01FFCA" w14:textId="77777777" w:rsidR="00F65BCA" w:rsidRDefault="00F65BCA">
            <w:pPr>
              <w:pStyle w:val="TableParagraph"/>
              <w:rPr>
                <w:rFonts w:ascii="Calibri"/>
                <w:sz w:val="2"/>
              </w:rPr>
            </w:pPr>
          </w:p>
          <w:p w14:paraId="1DBEA3CE" w14:textId="77777777" w:rsidR="00F65BCA" w:rsidRDefault="00F65BCA">
            <w:pPr>
              <w:pStyle w:val="TableParagraph"/>
              <w:spacing w:before="2"/>
              <w:rPr>
                <w:rFonts w:ascii="Calibri"/>
                <w:sz w:val="2"/>
              </w:rPr>
            </w:pPr>
          </w:p>
          <w:p w14:paraId="359ECAE3" w14:textId="77777777" w:rsidR="00F65BCA" w:rsidRDefault="00216117">
            <w:pPr>
              <w:pStyle w:val="TableParagraph"/>
              <w:ind w:left="47"/>
              <w:rPr>
                <w:sz w:val="3"/>
              </w:rPr>
            </w:pPr>
            <w:r>
              <w:rPr>
                <w:w w:val="105"/>
                <w:sz w:val="3"/>
              </w:rPr>
              <w:t>1,58785100%</w:t>
            </w:r>
          </w:p>
        </w:tc>
      </w:tr>
      <w:tr w:rsidR="00F65BCA" w14:paraId="7EF590C0" w14:textId="77777777">
        <w:trPr>
          <w:trHeight w:val="10"/>
        </w:trPr>
        <w:tc>
          <w:tcPr>
            <w:tcW w:w="526" w:type="dxa"/>
            <w:tcBorders>
              <w:top w:val="nil"/>
              <w:bottom w:val="single" w:sz="48" w:space="0" w:color="F8CBAD"/>
            </w:tcBorders>
            <w:shd w:val="clear" w:color="auto" w:fill="FCE4D6"/>
          </w:tcPr>
          <w:p w14:paraId="78975C63" w14:textId="77777777" w:rsidR="00F65BCA" w:rsidRDefault="00216117">
            <w:pPr>
              <w:pStyle w:val="TableParagraph"/>
              <w:spacing w:line="63" w:lineRule="exact"/>
              <w:ind w:left="178" w:right="178"/>
              <w:jc w:val="center"/>
              <w:rPr>
                <w:b/>
                <w:sz w:val="3"/>
              </w:rPr>
            </w:pPr>
            <w:r>
              <w:rPr>
                <w:b/>
                <w:w w:val="105"/>
                <w:sz w:val="3"/>
              </w:rPr>
              <w:t>Tahače</w:t>
            </w:r>
          </w:p>
        </w:tc>
        <w:tc>
          <w:tcPr>
            <w:tcW w:w="732" w:type="dxa"/>
            <w:tcBorders>
              <w:top w:val="nil"/>
              <w:bottom w:val="single" w:sz="48" w:space="0" w:color="F8CBAD"/>
            </w:tcBorders>
            <w:shd w:val="clear" w:color="auto" w:fill="FCE4D6"/>
          </w:tcPr>
          <w:p w14:paraId="61C03E6B" w14:textId="77777777" w:rsidR="00F65BCA" w:rsidRDefault="00216117">
            <w:pPr>
              <w:pStyle w:val="TableParagraph"/>
              <w:spacing w:line="63" w:lineRule="exact"/>
              <w:ind w:left="18" w:right="18"/>
              <w:jc w:val="center"/>
              <w:rPr>
                <w:b/>
                <w:sz w:val="3"/>
              </w:rPr>
            </w:pPr>
            <w:r>
              <w:rPr>
                <w:b/>
                <w:w w:val="105"/>
                <w:sz w:val="3"/>
              </w:rPr>
              <w:t>Tovární značka</w:t>
            </w:r>
          </w:p>
        </w:tc>
        <w:tc>
          <w:tcPr>
            <w:tcW w:w="958" w:type="dxa"/>
            <w:gridSpan w:val="2"/>
            <w:tcBorders>
              <w:top w:val="nil"/>
              <w:bottom w:val="single" w:sz="48" w:space="0" w:color="F8CBAD"/>
            </w:tcBorders>
            <w:shd w:val="clear" w:color="auto" w:fill="FCE4D6"/>
          </w:tcPr>
          <w:p w14:paraId="272783D6" w14:textId="77777777" w:rsidR="00F65BCA" w:rsidRDefault="00216117">
            <w:pPr>
              <w:pStyle w:val="TableParagraph"/>
              <w:spacing w:line="63" w:lineRule="exact"/>
              <w:ind w:left="370" w:right="371"/>
              <w:jc w:val="center"/>
              <w:rPr>
                <w:b/>
                <w:sz w:val="3"/>
              </w:rPr>
            </w:pPr>
            <w:r>
              <w:rPr>
                <w:b/>
                <w:w w:val="105"/>
                <w:sz w:val="3"/>
              </w:rPr>
              <w:t>Typ vozidla</w:t>
            </w:r>
          </w:p>
        </w:tc>
        <w:tc>
          <w:tcPr>
            <w:tcW w:w="576" w:type="dxa"/>
            <w:tcBorders>
              <w:top w:val="nil"/>
              <w:bottom w:val="single" w:sz="48" w:space="0" w:color="F8CBAD"/>
            </w:tcBorders>
            <w:shd w:val="clear" w:color="auto" w:fill="FCE4D6"/>
          </w:tcPr>
          <w:p w14:paraId="31F970F9" w14:textId="77777777" w:rsidR="00F65BCA" w:rsidRDefault="00216117">
            <w:pPr>
              <w:pStyle w:val="TableParagraph"/>
              <w:spacing w:line="63" w:lineRule="exact"/>
              <w:ind w:left="128" w:right="128"/>
              <w:jc w:val="center"/>
              <w:rPr>
                <w:b/>
                <w:sz w:val="3"/>
              </w:rPr>
            </w:pPr>
            <w:r>
              <w:rPr>
                <w:b/>
                <w:w w:val="105"/>
                <w:sz w:val="3"/>
              </w:rPr>
              <w:t>Objem motoru</w:t>
            </w:r>
          </w:p>
        </w:tc>
        <w:tc>
          <w:tcPr>
            <w:tcW w:w="576" w:type="dxa"/>
            <w:tcBorders>
              <w:top w:val="nil"/>
              <w:bottom w:val="single" w:sz="48" w:space="0" w:color="F8CBAD"/>
            </w:tcBorders>
            <w:shd w:val="clear" w:color="auto" w:fill="FCE4D6"/>
          </w:tcPr>
          <w:p w14:paraId="496FDE31" w14:textId="77777777" w:rsidR="00F65BCA" w:rsidRDefault="00216117">
            <w:pPr>
              <w:pStyle w:val="TableParagraph"/>
              <w:spacing w:line="63" w:lineRule="exact"/>
              <w:ind w:left="150"/>
              <w:rPr>
                <w:b/>
                <w:sz w:val="3"/>
              </w:rPr>
            </w:pPr>
            <w:r>
              <w:rPr>
                <w:b/>
                <w:w w:val="105"/>
                <w:sz w:val="3"/>
              </w:rPr>
              <w:t>Celková hmotnost</w:t>
            </w:r>
          </w:p>
        </w:tc>
        <w:tc>
          <w:tcPr>
            <w:tcW w:w="50" w:type="dxa"/>
            <w:vMerge/>
            <w:tcBorders>
              <w:top w:val="nil"/>
              <w:bottom w:val="nil"/>
            </w:tcBorders>
          </w:tcPr>
          <w:p w14:paraId="63ABE08E" w14:textId="77777777" w:rsidR="00F65BCA" w:rsidRDefault="00F65BCA">
            <w:pPr>
              <w:rPr>
                <w:sz w:val="2"/>
                <w:szCs w:val="2"/>
              </w:rPr>
            </w:pPr>
          </w:p>
        </w:tc>
        <w:tc>
          <w:tcPr>
            <w:tcW w:w="288" w:type="dxa"/>
            <w:tcBorders>
              <w:top w:val="nil"/>
              <w:bottom w:val="single" w:sz="48" w:space="0" w:color="F8CBAD"/>
            </w:tcBorders>
          </w:tcPr>
          <w:p w14:paraId="53D290DC" w14:textId="77777777" w:rsidR="00F65BCA" w:rsidRDefault="00216117">
            <w:pPr>
              <w:pStyle w:val="TableParagraph"/>
              <w:spacing w:line="63" w:lineRule="exact"/>
              <w:ind w:left="24" w:right="22"/>
              <w:jc w:val="center"/>
              <w:rPr>
                <w:b/>
                <w:sz w:val="3"/>
              </w:rPr>
            </w:pPr>
            <w:r>
              <w:rPr>
                <w:b/>
                <w:w w:val="105"/>
                <w:sz w:val="3"/>
              </w:rPr>
              <w:t>0-99</w:t>
            </w:r>
          </w:p>
        </w:tc>
        <w:tc>
          <w:tcPr>
            <w:tcW w:w="288" w:type="dxa"/>
            <w:tcBorders>
              <w:top w:val="nil"/>
              <w:bottom w:val="single" w:sz="48" w:space="0" w:color="F8CBAD"/>
            </w:tcBorders>
          </w:tcPr>
          <w:p w14:paraId="500C29A1" w14:textId="77777777" w:rsidR="00F65BCA" w:rsidRDefault="00216117">
            <w:pPr>
              <w:pStyle w:val="TableParagraph"/>
              <w:spacing w:line="63" w:lineRule="exact"/>
              <w:ind w:left="24" w:right="24"/>
              <w:jc w:val="center"/>
              <w:rPr>
                <w:b/>
                <w:sz w:val="3"/>
              </w:rPr>
            </w:pPr>
            <w:r>
              <w:rPr>
                <w:b/>
                <w:w w:val="105"/>
                <w:sz w:val="3"/>
              </w:rPr>
              <w:t>100-199</w:t>
            </w:r>
          </w:p>
        </w:tc>
        <w:tc>
          <w:tcPr>
            <w:tcW w:w="288" w:type="dxa"/>
            <w:tcBorders>
              <w:top w:val="nil"/>
              <w:bottom w:val="single" w:sz="48" w:space="0" w:color="F8CBAD"/>
            </w:tcBorders>
          </w:tcPr>
          <w:p w14:paraId="7DA5D9EE" w14:textId="77777777" w:rsidR="00F65BCA" w:rsidRDefault="00216117">
            <w:pPr>
              <w:pStyle w:val="TableParagraph"/>
              <w:spacing w:line="63" w:lineRule="exact"/>
              <w:ind w:left="85"/>
              <w:rPr>
                <w:b/>
                <w:sz w:val="3"/>
              </w:rPr>
            </w:pPr>
            <w:r>
              <w:rPr>
                <w:b/>
                <w:w w:val="105"/>
                <w:sz w:val="3"/>
              </w:rPr>
              <w:t>200-299</w:t>
            </w:r>
          </w:p>
        </w:tc>
        <w:tc>
          <w:tcPr>
            <w:tcW w:w="288" w:type="dxa"/>
            <w:tcBorders>
              <w:top w:val="nil"/>
              <w:bottom w:val="single" w:sz="48" w:space="0" w:color="F8CBAD"/>
            </w:tcBorders>
          </w:tcPr>
          <w:p w14:paraId="5EA6747F" w14:textId="77777777" w:rsidR="00F65BCA" w:rsidRDefault="00216117">
            <w:pPr>
              <w:pStyle w:val="TableParagraph"/>
              <w:spacing w:line="63" w:lineRule="exact"/>
              <w:ind w:left="24" w:right="24"/>
              <w:jc w:val="center"/>
              <w:rPr>
                <w:b/>
                <w:sz w:val="3"/>
              </w:rPr>
            </w:pPr>
            <w:r>
              <w:rPr>
                <w:b/>
                <w:w w:val="105"/>
                <w:sz w:val="3"/>
              </w:rPr>
              <w:t>300-399</w:t>
            </w:r>
          </w:p>
        </w:tc>
        <w:tc>
          <w:tcPr>
            <w:tcW w:w="288" w:type="dxa"/>
            <w:tcBorders>
              <w:top w:val="nil"/>
              <w:bottom w:val="single" w:sz="48" w:space="0" w:color="F8CBAD"/>
            </w:tcBorders>
          </w:tcPr>
          <w:p w14:paraId="32D021DA" w14:textId="77777777" w:rsidR="00F65BCA" w:rsidRDefault="00216117">
            <w:pPr>
              <w:pStyle w:val="TableParagraph"/>
              <w:spacing w:line="63" w:lineRule="exact"/>
              <w:ind w:left="85"/>
              <w:rPr>
                <w:b/>
                <w:sz w:val="3"/>
              </w:rPr>
            </w:pPr>
            <w:r>
              <w:rPr>
                <w:b/>
                <w:w w:val="105"/>
                <w:sz w:val="3"/>
              </w:rPr>
              <w:t>400-499</w:t>
            </w:r>
          </w:p>
        </w:tc>
        <w:tc>
          <w:tcPr>
            <w:tcW w:w="288" w:type="dxa"/>
            <w:tcBorders>
              <w:top w:val="nil"/>
              <w:bottom w:val="single" w:sz="48" w:space="0" w:color="F8CBAD"/>
            </w:tcBorders>
          </w:tcPr>
          <w:p w14:paraId="75AF6961" w14:textId="77777777" w:rsidR="00F65BCA" w:rsidRDefault="00216117">
            <w:pPr>
              <w:pStyle w:val="TableParagraph"/>
              <w:spacing w:line="63" w:lineRule="exact"/>
              <w:ind w:left="24" w:right="24"/>
              <w:jc w:val="center"/>
              <w:rPr>
                <w:b/>
                <w:sz w:val="3"/>
              </w:rPr>
            </w:pPr>
            <w:r>
              <w:rPr>
                <w:b/>
                <w:w w:val="105"/>
                <w:sz w:val="3"/>
              </w:rPr>
              <w:t>500-599</w:t>
            </w:r>
          </w:p>
        </w:tc>
        <w:tc>
          <w:tcPr>
            <w:tcW w:w="288" w:type="dxa"/>
            <w:tcBorders>
              <w:top w:val="nil"/>
              <w:bottom w:val="single" w:sz="48" w:space="0" w:color="F8CBAD"/>
            </w:tcBorders>
          </w:tcPr>
          <w:p w14:paraId="656AAF7D" w14:textId="77777777" w:rsidR="00F65BCA" w:rsidRDefault="00216117">
            <w:pPr>
              <w:pStyle w:val="TableParagraph"/>
              <w:spacing w:line="63" w:lineRule="exact"/>
              <w:ind w:left="24" w:right="24"/>
              <w:jc w:val="center"/>
              <w:rPr>
                <w:b/>
                <w:sz w:val="3"/>
              </w:rPr>
            </w:pPr>
            <w:r>
              <w:rPr>
                <w:b/>
                <w:w w:val="105"/>
                <w:sz w:val="3"/>
              </w:rPr>
              <w:t>600-699</w:t>
            </w:r>
          </w:p>
        </w:tc>
        <w:tc>
          <w:tcPr>
            <w:tcW w:w="288" w:type="dxa"/>
            <w:tcBorders>
              <w:top w:val="nil"/>
              <w:bottom w:val="single" w:sz="48" w:space="0" w:color="F8CBAD"/>
            </w:tcBorders>
          </w:tcPr>
          <w:p w14:paraId="48DB34FD" w14:textId="77777777" w:rsidR="00F65BCA" w:rsidRDefault="00216117">
            <w:pPr>
              <w:pStyle w:val="TableParagraph"/>
              <w:spacing w:line="63" w:lineRule="exact"/>
              <w:ind w:left="85"/>
              <w:rPr>
                <w:b/>
                <w:sz w:val="3"/>
              </w:rPr>
            </w:pPr>
            <w:r>
              <w:rPr>
                <w:b/>
                <w:w w:val="105"/>
                <w:sz w:val="3"/>
              </w:rPr>
              <w:t>700-799</w:t>
            </w:r>
          </w:p>
        </w:tc>
        <w:tc>
          <w:tcPr>
            <w:tcW w:w="288" w:type="dxa"/>
            <w:tcBorders>
              <w:top w:val="nil"/>
              <w:bottom w:val="single" w:sz="48" w:space="0" w:color="F8CBAD"/>
            </w:tcBorders>
          </w:tcPr>
          <w:p w14:paraId="1C8C9AF0" w14:textId="77777777" w:rsidR="00F65BCA" w:rsidRDefault="00216117">
            <w:pPr>
              <w:pStyle w:val="TableParagraph"/>
              <w:spacing w:line="63" w:lineRule="exact"/>
              <w:ind w:left="24" w:right="24"/>
              <w:jc w:val="center"/>
              <w:rPr>
                <w:b/>
                <w:sz w:val="3"/>
              </w:rPr>
            </w:pPr>
            <w:r>
              <w:rPr>
                <w:b/>
                <w:w w:val="105"/>
                <w:sz w:val="3"/>
              </w:rPr>
              <w:t>800-999</w:t>
            </w:r>
          </w:p>
        </w:tc>
        <w:tc>
          <w:tcPr>
            <w:tcW w:w="288" w:type="dxa"/>
            <w:tcBorders>
              <w:top w:val="nil"/>
              <w:bottom w:val="single" w:sz="48" w:space="0" w:color="F8CBAD"/>
            </w:tcBorders>
          </w:tcPr>
          <w:p w14:paraId="5920B889" w14:textId="77777777" w:rsidR="00F65BCA" w:rsidRDefault="00216117">
            <w:pPr>
              <w:pStyle w:val="TableParagraph"/>
              <w:spacing w:line="63" w:lineRule="exact"/>
              <w:ind w:left="24" w:right="24"/>
              <w:jc w:val="center"/>
              <w:rPr>
                <w:b/>
                <w:sz w:val="3"/>
              </w:rPr>
            </w:pPr>
            <w:r>
              <w:rPr>
                <w:b/>
                <w:w w:val="105"/>
                <w:sz w:val="3"/>
              </w:rPr>
              <w:t>1000-1499</w:t>
            </w:r>
          </w:p>
        </w:tc>
        <w:tc>
          <w:tcPr>
            <w:tcW w:w="288" w:type="dxa"/>
            <w:tcBorders>
              <w:top w:val="nil"/>
              <w:bottom w:val="single" w:sz="48" w:space="0" w:color="F8CBAD"/>
            </w:tcBorders>
          </w:tcPr>
          <w:p w14:paraId="57544752" w14:textId="77777777" w:rsidR="00F65BCA" w:rsidRDefault="00216117">
            <w:pPr>
              <w:pStyle w:val="TableParagraph"/>
              <w:spacing w:line="63" w:lineRule="exact"/>
              <w:ind w:left="24" w:right="24"/>
              <w:jc w:val="center"/>
              <w:rPr>
                <w:b/>
                <w:sz w:val="3"/>
              </w:rPr>
            </w:pPr>
            <w:r>
              <w:rPr>
                <w:b/>
                <w:w w:val="105"/>
                <w:sz w:val="3"/>
              </w:rPr>
              <w:t>1500-1999</w:t>
            </w:r>
          </w:p>
        </w:tc>
        <w:tc>
          <w:tcPr>
            <w:tcW w:w="288" w:type="dxa"/>
            <w:tcBorders>
              <w:top w:val="nil"/>
              <w:bottom w:val="single" w:sz="48" w:space="0" w:color="F8CBAD"/>
            </w:tcBorders>
          </w:tcPr>
          <w:p w14:paraId="5740EFAD" w14:textId="77777777" w:rsidR="00F65BCA" w:rsidRDefault="00216117">
            <w:pPr>
              <w:pStyle w:val="TableParagraph"/>
              <w:spacing w:line="63" w:lineRule="exact"/>
              <w:ind w:left="24" w:right="24"/>
              <w:jc w:val="center"/>
              <w:rPr>
                <w:b/>
                <w:sz w:val="3"/>
              </w:rPr>
            </w:pPr>
            <w:r>
              <w:rPr>
                <w:b/>
                <w:w w:val="105"/>
                <w:sz w:val="3"/>
              </w:rPr>
              <w:t>2000-2499</w:t>
            </w:r>
          </w:p>
        </w:tc>
        <w:tc>
          <w:tcPr>
            <w:tcW w:w="288" w:type="dxa"/>
            <w:tcBorders>
              <w:top w:val="nil"/>
              <w:bottom w:val="single" w:sz="48" w:space="0" w:color="F8CBAD"/>
            </w:tcBorders>
          </w:tcPr>
          <w:p w14:paraId="7137A659" w14:textId="77777777" w:rsidR="00F65BCA" w:rsidRDefault="00216117">
            <w:pPr>
              <w:pStyle w:val="TableParagraph"/>
              <w:spacing w:line="63" w:lineRule="exact"/>
              <w:ind w:left="88"/>
              <w:rPr>
                <w:b/>
                <w:sz w:val="3"/>
              </w:rPr>
            </w:pPr>
            <w:r>
              <w:rPr>
                <w:b/>
                <w:w w:val="105"/>
                <w:sz w:val="3"/>
              </w:rPr>
              <w:t>&gt;=2500</w:t>
            </w:r>
          </w:p>
        </w:tc>
      </w:tr>
      <w:tr w:rsidR="00F65BCA" w14:paraId="08EEE968" w14:textId="77777777">
        <w:trPr>
          <w:trHeight w:val="3"/>
        </w:trPr>
        <w:tc>
          <w:tcPr>
            <w:tcW w:w="526" w:type="dxa"/>
            <w:vMerge w:val="restart"/>
            <w:tcBorders>
              <w:top w:val="single" w:sz="48" w:space="0" w:color="F8CBAD"/>
              <w:bottom w:val="nil"/>
            </w:tcBorders>
            <w:shd w:val="clear" w:color="auto" w:fill="FCE4D6"/>
          </w:tcPr>
          <w:p w14:paraId="2DBF0FA9" w14:textId="77777777" w:rsidR="00F65BCA" w:rsidRDefault="00F65BCA">
            <w:pPr>
              <w:pStyle w:val="TableParagraph"/>
              <w:rPr>
                <w:rFonts w:ascii="Times New Roman"/>
                <w:sz w:val="2"/>
              </w:rPr>
            </w:pPr>
          </w:p>
        </w:tc>
        <w:tc>
          <w:tcPr>
            <w:tcW w:w="732" w:type="dxa"/>
            <w:vMerge w:val="restart"/>
            <w:tcBorders>
              <w:top w:val="single" w:sz="48" w:space="0" w:color="F8CBAD"/>
              <w:bottom w:val="nil"/>
            </w:tcBorders>
            <w:shd w:val="clear" w:color="auto" w:fill="FCE4D6"/>
          </w:tcPr>
          <w:p w14:paraId="15C88E41" w14:textId="77777777" w:rsidR="00F65BCA" w:rsidRDefault="00216117">
            <w:pPr>
              <w:pStyle w:val="TableParagraph"/>
              <w:ind w:left="18" w:right="14"/>
              <w:jc w:val="center"/>
              <w:rPr>
                <w:sz w:val="3"/>
              </w:rPr>
            </w:pPr>
            <w:r>
              <w:rPr>
                <w:w w:val="105"/>
                <w:sz w:val="3"/>
              </w:rPr>
              <w:t>Iveco</w:t>
            </w:r>
          </w:p>
        </w:tc>
        <w:tc>
          <w:tcPr>
            <w:tcW w:w="958" w:type="dxa"/>
            <w:gridSpan w:val="2"/>
            <w:tcBorders>
              <w:top w:val="single" w:sz="48" w:space="0" w:color="F8CBAD"/>
            </w:tcBorders>
            <w:shd w:val="clear" w:color="auto" w:fill="FCE4D6"/>
          </w:tcPr>
          <w:p w14:paraId="4A060E82" w14:textId="77777777" w:rsidR="00F65BCA" w:rsidRDefault="00216117">
            <w:pPr>
              <w:pStyle w:val="TableParagraph"/>
              <w:spacing w:line="49" w:lineRule="exact"/>
              <w:ind w:left="4"/>
              <w:rPr>
                <w:sz w:val="3"/>
              </w:rPr>
            </w:pPr>
            <w:r>
              <w:rPr>
                <w:w w:val="105"/>
                <w:sz w:val="3"/>
              </w:rPr>
              <w:t>EURO CLASS; EURO STAR; EURO TECH; EURO TRAKKER;</w:t>
            </w:r>
          </w:p>
          <w:p w14:paraId="65676239" w14:textId="77777777" w:rsidR="00F65BCA" w:rsidRDefault="00216117">
            <w:pPr>
              <w:pStyle w:val="TableParagraph"/>
              <w:spacing w:line="17" w:lineRule="exact"/>
              <w:ind w:left="4"/>
              <w:rPr>
                <w:sz w:val="3"/>
              </w:rPr>
            </w:pPr>
            <w:r>
              <w:rPr>
                <w:w w:val="105"/>
                <w:sz w:val="3"/>
              </w:rPr>
              <w:t>JINÉ; STRALIS; TRAKKER; TURBO STAR</w:t>
            </w:r>
          </w:p>
        </w:tc>
        <w:tc>
          <w:tcPr>
            <w:tcW w:w="576" w:type="dxa"/>
            <w:tcBorders>
              <w:top w:val="single" w:sz="48" w:space="0" w:color="F8CBAD"/>
            </w:tcBorders>
            <w:shd w:val="clear" w:color="auto" w:fill="FCE4D6"/>
          </w:tcPr>
          <w:p w14:paraId="4A300C1C" w14:textId="77777777" w:rsidR="00F65BCA" w:rsidRDefault="00216117">
            <w:pPr>
              <w:pStyle w:val="TableParagraph"/>
              <w:spacing w:line="30" w:lineRule="exact"/>
              <w:ind w:left="3"/>
              <w:jc w:val="center"/>
              <w:rPr>
                <w:sz w:val="3"/>
              </w:rPr>
            </w:pPr>
            <w:r>
              <w:rPr>
                <w:w w:val="103"/>
                <w:sz w:val="3"/>
              </w:rPr>
              <w:t>-</w:t>
            </w:r>
          </w:p>
        </w:tc>
        <w:tc>
          <w:tcPr>
            <w:tcW w:w="576" w:type="dxa"/>
            <w:tcBorders>
              <w:top w:val="single" w:sz="48" w:space="0" w:color="F8CBAD"/>
            </w:tcBorders>
            <w:shd w:val="clear" w:color="auto" w:fill="FCE4D6"/>
          </w:tcPr>
          <w:p w14:paraId="304D5B20" w14:textId="77777777" w:rsidR="00F65BCA" w:rsidRDefault="00216117">
            <w:pPr>
              <w:pStyle w:val="TableParagraph"/>
              <w:spacing w:line="30" w:lineRule="exact"/>
              <w:ind w:left="3"/>
              <w:jc w:val="center"/>
              <w:rPr>
                <w:sz w:val="3"/>
              </w:rPr>
            </w:pPr>
            <w:r>
              <w:rPr>
                <w:w w:val="103"/>
                <w:sz w:val="3"/>
              </w:rPr>
              <w:t>-</w:t>
            </w:r>
          </w:p>
        </w:tc>
        <w:tc>
          <w:tcPr>
            <w:tcW w:w="50" w:type="dxa"/>
            <w:vMerge w:val="restart"/>
            <w:tcBorders>
              <w:top w:val="nil"/>
              <w:bottom w:val="nil"/>
            </w:tcBorders>
          </w:tcPr>
          <w:p w14:paraId="22ADA302" w14:textId="77777777" w:rsidR="00F65BCA" w:rsidRDefault="00F65BCA">
            <w:pPr>
              <w:pStyle w:val="TableParagraph"/>
              <w:rPr>
                <w:rFonts w:ascii="Times New Roman"/>
                <w:sz w:val="2"/>
              </w:rPr>
            </w:pPr>
          </w:p>
        </w:tc>
        <w:tc>
          <w:tcPr>
            <w:tcW w:w="288" w:type="dxa"/>
            <w:tcBorders>
              <w:top w:val="single" w:sz="48" w:space="0" w:color="F8CBAD"/>
            </w:tcBorders>
          </w:tcPr>
          <w:p w14:paraId="7A534908" w14:textId="77777777" w:rsidR="00F65BCA" w:rsidRDefault="00216117">
            <w:pPr>
              <w:pStyle w:val="TableParagraph"/>
              <w:spacing w:line="30" w:lineRule="exact"/>
              <w:ind w:left="24" w:right="24"/>
              <w:jc w:val="center"/>
              <w:rPr>
                <w:sz w:val="3"/>
              </w:rPr>
            </w:pPr>
            <w:r>
              <w:rPr>
                <w:w w:val="105"/>
                <w:sz w:val="3"/>
              </w:rPr>
              <w:t>5,434000%</w:t>
            </w:r>
          </w:p>
        </w:tc>
        <w:tc>
          <w:tcPr>
            <w:tcW w:w="288" w:type="dxa"/>
            <w:tcBorders>
              <w:top w:val="single" w:sz="48" w:space="0" w:color="F8CBAD"/>
            </w:tcBorders>
          </w:tcPr>
          <w:p w14:paraId="6825B8C8" w14:textId="77777777" w:rsidR="00F65BCA" w:rsidRDefault="00216117">
            <w:pPr>
              <w:pStyle w:val="TableParagraph"/>
              <w:spacing w:line="30" w:lineRule="exact"/>
              <w:ind w:left="24" w:right="24"/>
              <w:jc w:val="center"/>
              <w:rPr>
                <w:sz w:val="3"/>
              </w:rPr>
            </w:pPr>
            <w:r>
              <w:rPr>
                <w:w w:val="105"/>
                <w:sz w:val="3"/>
              </w:rPr>
              <w:t>4,862000%</w:t>
            </w:r>
          </w:p>
        </w:tc>
        <w:tc>
          <w:tcPr>
            <w:tcW w:w="288" w:type="dxa"/>
            <w:tcBorders>
              <w:top w:val="single" w:sz="48" w:space="0" w:color="F8CBAD"/>
            </w:tcBorders>
          </w:tcPr>
          <w:p w14:paraId="0A2EBAAF" w14:textId="77777777" w:rsidR="00F65BCA" w:rsidRDefault="00216117">
            <w:pPr>
              <w:pStyle w:val="TableParagraph"/>
              <w:spacing w:line="30" w:lineRule="exact"/>
              <w:ind w:left="64"/>
              <w:rPr>
                <w:sz w:val="3"/>
              </w:rPr>
            </w:pPr>
            <w:r>
              <w:rPr>
                <w:w w:val="105"/>
                <w:sz w:val="3"/>
              </w:rPr>
              <w:t>4,862000%</w:t>
            </w:r>
          </w:p>
        </w:tc>
        <w:tc>
          <w:tcPr>
            <w:tcW w:w="288" w:type="dxa"/>
            <w:tcBorders>
              <w:top w:val="single" w:sz="48" w:space="0" w:color="F8CBAD"/>
            </w:tcBorders>
          </w:tcPr>
          <w:p w14:paraId="3DBC7FE0" w14:textId="77777777" w:rsidR="00F65BCA" w:rsidRDefault="00216117">
            <w:pPr>
              <w:pStyle w:val="TableParagraph"/>
              <w:spacing w:line="30" w:lineRule="exact"/>
              <w:ind w:left="24" w:right="24"/>
              <w:jc w:val="center"/>
              <w:rPr>
                <w:sz w:val="3"/>
              </w:rPr>
            </w:pPr>
            <w:r>
              <w:rPr>
                <w:w w:val="105"/>
                <w:sz w:val="3"/>
              </w:rPr>
              <w:t>4,433000%</w:t>
            </w:r>
          </w:p>
        </w:tc>
        <w:tc>
          <w:tcPr>
            <w:tcW w:w="288" w:type="dxa"/>
            <w:tcBorders>
              <w:top w:val="single" w:sz="48" w:space="0" w:color="F8CBAD"/>
            </w:tcBorders>
          </w:tcPr>
          <w:p w14:paraId="038285FA" w14:textId="77777777" w:rsidR="00F65BCA" w:rsidRDefault="00216117">
            <w:pPr>
              <w:pStyle w:val="TableParagraph"/>
              <w:spacing w:line="30" w:lineRule="exact"/>
              <w:ind w:left="64"/>
              <w:rPr>
                <w:sz w:val="3"/>
              </w:rPr>
            </w:pPr>
            <w:r>
              <w:rPr>
                <w:w w:val="105"/>
                <w:sz w:val="3"/>
              </w:rPr>
              <w:t>4,433000%</w:t>
            </w:r>
          </w:p>
        </w:tc>
        <w:tc>
          <w:tcPr>
            <w:tcW w:w="288" w:type="dxa"/>
            <w:tcBorders>
              <w:top w:val="single" w:sz="48" w:space="0" w:color="F8CBAD"/>
            </w:tcBorders>
          </w:tcPr>
          <w:p w14:paraId="415A73E1" w14:textId="77777777" w:rsidR="00F65BCA" w:rsidRDefault="00216117">
            <w:pPr>
              <w:pStyle w:val="TableParagraph"/>
              <w:spacing w:line="30" w:lineRule="exact"/>
              <w:ind w:left="24" w:right="24"/>
              <w:jc w:val="center"/>
              <w:rPr>
                <w:sz w:val="3"/>
              </w:rPr>
            </w:pPr>
            <w:r>
              <w:rPr>
                <w:w w:val="105"/>
                <w:sz w:val="3"/>
              </w:rPr>
              <w:t>4,004000%</w:t>
            </w:r>
          </w:p>
        </w:tc>
        <w:tc>
          <w:tcPr>
            <w:tcW w:w="288" w:type="dxa"/>
            <w:tcBorders>
              <w:top w:val="single" w:sz="48" w:space="0" w:color="F8CBAD"/>
            </w:tcBorders>
          </w:tcPr>
          <w:p w14:paraId="461C5116" w14:textId="77777777" w:rsidR="00F65BCA" w:rsidRDefault="00216117">
            <w:pPr>
              <w:pStyle w:val="TableParagraph"/>
              <w:spacing w:line="30" w:lineRule="exact"/>
              <w:ind w:left="24" w:right="24"/>
              <w:jc w:val="center"/>
              <w:rPr>
                <w:sz w:val="3"/>
              </w:rPr>
            </w:pPr>
            <w:r>
              <w:rPr>
                <w:w w:val="105"/>
                <w:sz w:val="3"/>
              </w:rPr>
              <w:t>4,004000%</w:t>
            </w:r>
          </w:p>
        </w:tc>
        <w:tc>
          <w:tcPr>
            <w:tcW w:w="288" w:type="dxa"/>
            <w:tcBorders>
              <w:top w:val="single" w:sz="48" w:space="0" w:color="F8CBAD"/>
            </w:tcBorders>
          </w:tcPr>
          <w:p w14:paraId="475F845F" w14:textId="77777777" w:rsidR="00F65BCA" w:rsidRDefault="00216117">
            <w:pPr>
              <w:pStyle w:val="TableParagraph"/>
              <w:spacing w:line="30" w:lineRule="exact"/>
              <w:ind w:left="64"/>
              <w:rPr>
                <w:sz w:val="3"/>
              </w:rPr>
            </w:pPr>
            <w:r>
              <w:rPr>
                <w:w w:val="105"/>
                <w:sz w:val="3"/>
              </w:rPr>
              <w:t>3,575000%</w:t>
            </w:r>
          </w:p>
        </w:tc>
        <w:tc>
          <w:tcPr>
            <w:tcW w:w="288" w:type="dxa"/>
            <w:tcBorders>
              <w:top w:val="single" w:sz="48" w:space="0" w:color="F8CBAD"/>
            </w:tcBorders>
          </w:tcPr>
          <w:p w14:paraId="36660003" w14:textId="77777777" w:rsidR="00F65BCA" w:rsidRDefault="00216117">
            <w:pPr>
              <w:pStyle w:val="TableParagraph"/>
              <w:spacing w:line="30" w:lineRule="exact"/>
              <w:ind w:left="24" w:right="24"/>
              <w:jc w:val="center"/>
              <w:rPr>
                <w:sz w:val="3"/>
              </w:rPr>
            </w:pPr>
            <w:r>
              <w:rPr>
                <w:w w:val="105"/>
                <w:sz w:val="3"/>
              </w:rPr>
              <w:t>3,575000%</w:t>
            </w:r>
          </w:p>
        </w:tc>
        <w:tc>
          <w:tcPr>
            <w:tcW w:w="288" w:type="dxa"/>
            <w:tcBorders>
              <w:top w:val="single" w:sz="48" w:space="0" w:color="F8CBAD"/>
            </w:tcBorders>
          </w:tcPr>
          <w:p w14:paraId="021B4238" w14:textId="77777777" w:rsidR="00F65BCA" w:rsidRDefault="00216117">
            <w:pPr>
              <w:pStyle w:val="TableParagraph"/>
              <w:spacing w:line="30" w:lineRule="exact"/>
              <w:ind w:left="24" w:right="24"/>
              <w:jc w:val="center"/>
              <w:rPr>
                <w:sz w:val="3"/>
              </w:rPr>
            </w:pPr>
            <w:r>
              <w:rPr>
                <w:w w:val="105"/>
                <w:sz w:val="3"/>
              </w:rPr>
              <w:t>3,289000%</w:t>
            </w:r>
          </w:p>
        </w:tc>
        <w:tc>
          <w:tcPr>
            <w:tcW w:w="288" w:type="dxa"/>
            <w:tcBorders>
              <w:top w:val="single" w:sz="48" w:space="0" w:color="F8CBAD"/>
            </w:tcBorders>
          </w:tcPr>
          <w:p w14:paraId="6AC80AA0" w14:textId="77777777" w:rsidR="00F65BCA" w:rsidRDefault="00216117">
            <w:pPr>
              <w:pStyle w:val="TableParagraph"/>
              <w:spacing w:line="30" w:lineRule="exact"/>
              <w:ind w:left="24" w:right="24"/>
              <w:jc w:val="center"/>
              <w:rPr>
                <w:sz w:val="3"/>
              </w:rPr>
            </w:pPr>
            <w:r>
              <w:rPr>
                <w:w w:val="105"/>
                <w:sz w:val="3"/>
              </w:rPr>
              <w:t>3,146000%</w:t>
            </w:r>
          </w:p>
        </w:tc>
        <w:tc>
          <w:tcPr>
            <w:tcW w:w="288" w:type="dxa"/>
            <w:tcBorders>
              <w:top w:val="single" w:sz="48" w:space="0" w:color="F8CBAD"/>
            </w:tcBorders>
          </w:tcPr>
          <w:p w14:paraId="174C8362" w14:textId="77777777" w:rsidR="00F65BCA" w:rsidRDefault="00216117">
            <w:pPr>
              <w:pStyle w:val="TableParagraph"/>
              <w:spacing w:line="30" w:lineRule="exact"/>
              <w:ind w:left="24" w:right="24"/>
              <w:jc w:val="center"/>
              <w:rPr>
                <w:sz w:val="3"/>
              </w:rPr>
            </w:pPr>
            <w:r>
              <w:rPr>
                <w:w w:val="105"/>
                <w:sz w:val="3"/>
              </w:rPr>
              <w:t>2,860000%</w:t>
            </w:r>
          </w:p>
        </w:tc>
        <w:tc>
          <w:tcPr>
            <w:tcW w:w="288" w:type="dxa"/>
            <w:tcBorders>
              <w:top w:val="single" w:sz="48" w:space="0" w:color="F8CBAD"/>
            </w:tcBorders>
          </w:tcPr>
          <w:p w14:paraId="6D58F654" w14:textId="77777777" w:rsidR="00F65BCA" w:rsidRDefault="00216117">
            <w:pPr>
              <w:pStyle w:val="TableParagraph"/>
              <w:spacing w:line="30" w:lineRule="exact"/>
              <w:ind w:left="64"/>
              <w:rPr>
                <w:sz w:val="3"/>
              </w:rPr>
            </w:pPr>
            <w:r>
              <w:rPr>
                <w:w w:val="105"/>
                <w:sz w:val="3"/>
              </w:rPr>
              <w:t>2,860000%</w:t>
            </w:r>
          </w:p>
        </w:tc>
      </w:tr>
      <w:tr w:rsidR="00F65BCA" w14:paraId="3904ABF4" w14:textId="77777777">
        <w:trPr>
          <w:trHeight w:val="11"/>
        </w:trPr>
        <w:tc>
          <w:tcPr>
            <w:tcW w:w="526" w:type="dxa"/>
            <w:vMerge/>
            <w:tcBorders>
              <w:top w:val="nil"/>
              <w:bottom w:val="nil"/>
            </w:tcBorders>
            <w:shd w:val="clear" w:color="auto" w:fill="FCE4D6"/>
          </w:tcPr>
          <w:p w14:paraId="507CFC0B" w14:textId="77777777" w:rsidR="00F65BCA" w:rsidRDefault="00F65BCA">
            <w:pPr>
              <w:rPr>
                <w:sz w:val="2"/>
                <w:szCs w:val="2"/>
              </w:rPr>
            </w:pPr>
          </w:p>
        </w:tc>
        <w:tc>
          <w:tcPr>
            <w:tcW w:w="732" w:type="dxa"/>
            <w:vMerge/>
            <w:tcBorders>
              <w:top w:val="nil"/>
              <w:bottom w:val="nil"/>
            </w:tcBorders>
            <w:shd w:val="clear" w:color="auto" w:fill="FCE4D6"/>
          </w:tcPr>
          <w:p w14:paraId="65DE13DA" w14:textId="77777777" w:rsidR="00F65BCA" w:rsidRDefault="00F65BCA">
            <w:pPr>
              <w:rPr>
                <w:sz w:val="2"/>
                <w:szCs w:val="2"/>
              </w:rPr>
            </w:pPr>
          </w:p>
        </w:tc>
        <w:tc>
          <w:tcPr>
            <w:tcW w:w="958" w:type="dxa"/>
            <w:gridSpan w:val="2"/>
            <w:vMerge w:val="restart"/>
            <w:shd w:val="clear" w:color="auto" w:fill="FCE4D6"/>
          </w:tcPr>
          <w:p w14:paraId="13AC7494" w14:textId="77777777" w:rsidR="00F65BCA" w:rsidRDefault="00216117">
            <w:pPr>
              <w:pStyle w:val="TableParagraph"/>
              <w:spacing w:line="14" w:lineRule="exact"/>
              <w:ind w:left="4"/>
              <w:rPr>
                <w:sz w:val="3"/>
              </w:rPr>
            </w:pPr>
            <w:r>
              <w:rPr>
                <w:w w:val="105"/>
                <w:sz w:val="3"/>
              </w:rPr>
              <w:t>DAILY</w:t>
            </w:r>
            <w:r>
              <w:rPr>
                <w:spacing w:val="-4"/>
                <w:w w:val="105"/>
                <w:sz w:val="3"/>
              </w:rPr>
              <w:t xml:space="preserve"> </w:t>
            </w:r>
            <w:r>
              <w:rPr>
                <w:w w:val="105"/>
                <w:sz w:val="3"/>
              </w:rPr>
              <w:t>NAD</w:t>
            </w:r>
            <w:r>
              <w:rPr>
                <w:spacing w:val="-4"/>
                <w:w w:val="105"/>
                <w:sz w:val="3"/>
              </w:rPr>
              <w:t xml:space="preserve"> </w:t>
            </w:r>
            <w:r>
              <w:rPr>
                <w:w w:val="105"/>
                <w:sz w:val="3"/>
              </w:rPr>
              <w:t>3,5T;</w:t>
            </w:r>
            <w:r>
              <w:rPr>
                <w:spacing w:val="-3"/>
                <w:w w:val="105"/>
                <w:sz w:val="3"/>
              </w:rPr>
              <w:t xml:space="preserve"> </w:t>
            </w:r>
            <w:r>
              <w:rPr>
                <w:w w:val="105"/>
                <w:sz w:val="3"/>
              </w:rPr>
              <w:t>EUROCARGO;</w:t>
            </w:r>
            <w:r>
              <w:rPr>
                <w:spacing w:val="-3"/>
                <w:w w:val="105"/>
                <w:sz w:val="3"/>
              </w:rPr>
              <w:t xml:space="preserve"> </w:t>
            </w:r>
            <w:r>
              <w:rPr>
                <w:w w:val="105"/>
                <w:sz w:val="3"/>
              </w:rPr>
              <w:t>TURBO</w:t>
            </w:r>
            <w:r>
              <w:rPr>
                <w:spacing w:val="-4"/>
                <w:w w:val="105"/>
                <w:sz w:val="3"/>
              </w:rPr>
              <w:t xml:space="preserve"> </w:t>
            </w:r>
            <w:r>
              <w:rPr>
                <w:w w:val="105"/>
                <w:sz w:val="3"/>
              </w:rPr>
              <w:t>DAILY</w:t>
            </w:r>
            <w:r>
              <w:rPr>
                <w:spacing w:val="-3"/>
                <w:w w:val="105"/>
                <w:sz w:val="3"/>
              </w:rPr>
              <w:t xml:space="preserve"> </w:t>
            </w:r>
            <w:r>
              <w:rPr>
                <w:w w:val="105"/>
                <w:sz w:val="3"/>
              </w:rPr>
              <w:t>NAD</w:t>
            </w:r>
            <w:r>
              <w:rPr>
                <w:spacing w:val="-4"/>
                <w:w w:val="105"/>
                <w:sz w:val="3"/>
              </w:rPr>
              <w:t xml:space="preserve"> </w:t>
            </w:r>
            <w:r>
              <w:rPr>
                <w:w w:val="105"/>
                <w:sz w:val="3"/>
              </w:rPr>
              <w:t>3,5T;</w:t>
            </w:r>
            <w:r>
              <w:rPr>
                <w:spacing w:val="-3"/>
                <w:w w:val="105"/>
                <w:sz w:val="3"/>
              </w:rPr>
              <w:t xml:space="preserve"> </w:t>
            </w:r>
            <w:r>
              <w:rPr>
                <w:w w:val="105"/>
                <w:sz w:val="3"/>
              </w:rPr>
              <w:t>TURBO</w:t>
            </w:r>
          </w:p>
          <w:p w14:paraId="5A011832" w14:textId="77777777" w:rsidR="00F65BCA" w:rsidRDefault="00216117">
            <w:pPr>
              <w:pStyle w:val="TableParagraph"/>
              <w:spacing w:line="18" w:lineRule="exact"/>
              <w:ind w:left="4"/>
              <w:rPr>
                <w:sz w:val="3"/>
              </w:rPr>
            </w:pPr>
            <w:r>
              <w:rPr>
                <w:w w:val="105"/>
                <w:sz w:val="3"/>
              </w:rPr>
              <w:t>ZETA</w:t>
            </w:r>
          </w:p>
        </w:tc>
        <w:tc>
          <w:tcPr>
            <w:tcW w:w="576" w:type="dxa"/>
            <w:tcBorders>
              <w:bottom w:val="nil"/>
            </w:tcBorders>
            <w:shd w:val="clear" w:color="auto" w:fill="FCE4D6"/>
          </w:tcPr>
          <w:p w14:paraId="770A2C79" w14:textId="77777777" w:rsidR="00F65BCA" w:rsidRDefault="00F65BCA">
            <w:pPr>
              <w:pStyle w:val="TableParagraph"/>
              <w:rPr>
                <w:rFonts w:ascii="Times New Roman"/>
                <w:sz w:val="2"/>
              </w:rPr>
            </w:pPr>
          </w:p>
        </w:tc>
        <w:tc>
          <w:tcPr>
            <w:tcW w:w="576" w:type="dxa"/>
            <w:tcBorders>
              <w:bottom w:val="nil"/>
            </w:tcBorders>
            <w:shd w:val="clear" w:color="auto" w:fill="FCE4D6"/>
          </w:tcPr>
          <w:p w14:paraId="5C5916E4" w14:textId="77777777" w:rsidR="00F65BCA" w:rsidRDefault="00F65BCA">
            <w:pPr>
              <w:pStyle w:val="TableParagraph"/>
              <w:rPr>
                <w:rFonts w:ascii="Times New Roman"/>
                <w:sz w:val="2"/>
              </w:rPr>
            </w:pPr>
          </w:p>
        </w:tc>
        <w:tc>
          <w:tcPr>
            <w:tcW w:w="50" w:type="dxa"/>
            <w:vMerge/>
            <w:tcBorders>
              <w:top w:val="nil"/>
              <w:bottom w:val="nil"/>
            </w:tcBorders>
          </w:tcPr>
          <w:p w14:paraId="60D00942" w14:textId="77777777" w:rsidR="00F65BCA" w:rsidRDefault="00F65BCA">
            <w:pPr>
              <w:rPr>
                <w:sz w:val="2"/>
                <w:szCs w:val="2"/>
              </w:rPr>
            </w:pPr>
          </w:p>
        </w:tc>
        <w:tc>
          <w:tcPr>
            <w:tcW w:w="288" w:type="dxa"/>
            <w:tcBorders>
              <w:bottom w:val="nil"/>
            </w:tcBorders>
          </w:tcPr>
          <w:p w14:paraId="2800206A" w14:textId="77777777" w:rsidR="00F65BCA" w:rsidRDefault="00F65BCA">
            <w:pPr>
              <w:pStyle w:val="TableParagraph"/>
              <w:rPr>
                <w:rFonts w:ascii="Times New Roman"/>
                <w:sz w:val="2"/>
              </w:rPr>
            </w:pPr>
          </w:p>
        </w:tc>
        <w:tc>
          <w:tcPr>
            <w:tcW w:w="288" w:type="dxa"/>
            <w:tcBorders>
              <w:bottom w:val="nil"/>
            </w:tcBorders>
          </w:tcPr>
          <w:p w14:paraId="27E84A84" w14:textId="77777777" w:rsidR="00F65BCA" w:rsidRDefault="00F65BCA">
            <w:pPr>
              <w:pStyle w:val="TableParagraph"/>
              <w:rPr>
                <w:rFonts w:ascii="Times New Roman"/>
                <w:sz w:val="2"/>
              </w:rPr>
            </w:pPr>
          </w:p>
        </w:tc>
        <w:tc>
          <w:tcPr>
            <w:tcW w:w="288" w:type="dxa"/>
            <w:tcBorders>
              <w:bottom w:val="nil"/>
            </w:tcBorders>
          </w:tcPr>
          <w:p w14:paraId="157F72C9" w14:textId="77777777" w:rsidR="00F65BCA" w:rsidRDefault="00F65BCA">
            <w:pPr>
              <w:pStyle w:val="TableParagraph"/>
              <w:rPr>
                <w:rFonts w:ascii="Times New Roman"/>
                <w:sz w:val="2"/>
              </w:rPr>
            </w:pPr>
          </w:p>
        </w:tc>
        <w:tc>
          <w:tcPr>
            <w:tcW w:w="288" w:type="dxa"/>
            <w:tcBorders>
              <w:bottom w:val="nil"/>
            </w:tcBorders>
          </w:tcPr>
          <w:p w14:paraId="556351C6" w14:textId="77777777" w:rsidR="00F65BCA" w:rsidRDefault="00F65BCA">
            <w:pPr>
              <w:pStyle w:val="TableParagraph"/>
              <w:rPr>
                <w:rFonts w:ascii="Times New Roman"/>
                <w:sz w:val="2"/>
              </w:rPr>
            </w:pPr>
          </w:p>
        </w:tc>
        <w:tc>
          <w:tcPr>
            <w:tcW w:w="288" w:type="dxa"/>
            <w:tcBorders>
              <w:bottom w:val="nil"/>
            </w:tcBorders>
          </w:tcPr>
          <w:p w14:paraId="5E450114" w14:textId="77777777" w:rsidR="00F65BCA" w:rsidRDefault="00F65BCA">
            <w:pPr>
              <w:pStyle w:val="TableParagraph"/>
              <w:rPr>
                <w:rFonts w:ascii="Times New Roman"/>
                <w:sz w:val="2"/>
              </w:rPr>
            </w:pPr>
          </w:p>
        </w:tc>
        <w:tc>
          <w:tcPr>
            <w:tcW w:w="288" w:type="dxa"/>
            <w:tcBorders>
              <w:bottom w:val="nil"/>
            </w:tcBorders>
          </w:tcPr>
          <w:p w14:paraId="1847488A" w14:textId="77777777" w:rsidR="00F65BCA" w:rsidRDefault="00F65BCA">
            <w:pPr>
              <w:pStyle w:val="TableParagraph"/>
              <w:rPr>
                <w:rFonts w:ascii="Times New Roman"/>
                <w:sz w:val="2"/>
              </w:rPr>
            </w:pPr>
          </w:p>
        </w:tc>
        <w:tc>
          <w:tcPr>
            <w:tcW w:w="288" w:type="dxa"/>
            <w:tcBorders>
              <w:bottom w:val="nil"/>
            </w:tcBorders>
          </w:tcPr>
          <w:p w14:paraId="01B69BAC" w14:textId="77777777" w:rsidR="00F65BCA" w:rsidRDefault="00F65BCA">
            <w:pPr>
              <w:pStyle w:val="TableParagraph"/>
              <w:rPr>
                <w:rFonts w:ascii="Times New Roman"/>
                <w:sz w:val="2"/>
              </w:rPr>
            </w:pPr>
          </w:p>
        </w:tc>
        <w:tc>
          <w:tcPr>
            <w:tcW w:w="288" w:type="dxa"/>
            <w:tcBorders>
              <w:bottom w:val="nil"/>
            </w:tcBorders>
          </w:tcPr>
          <w:p w14:paraId="557EB82D" w14:textId="77777777" w:rsidR="00F65BCA" w:rsidRDefault="00F65BCA">
            <w:pPr>
              <w:pStyle w:val="TableParagraph"/>
              <w:rPr>
                <w:rFonts w:ascii="Times New Roman"/>
                <w:sz w:val="2"/>
              </w:rPr>
            </w:pPr>
          </w:p>
        </w:tc>
        <w:tc>
          <w:tcPr>
            <w:tcW w:w="288" w:type="dxa"/>
            <w:tcBorders>
              <w:bottom w:val="nil"/>
            </w:tcBorders>
          </w:tcPr>
          <w:p w14:paraId="796C7402" w14:textId="77777777" w:rsidR="00F65BCA" w:rsidRDefault="00F65BCA">
            <w:pPr>
              <w:pStyle w:val="TableParagraph"/>
              <w:rPr>
                <w:rFonts w:ascii="Times New Roman"/>
                <w:sz w:val="2"/>
              </w:rPr>
            </w:pPr>
          </w:p>
        </w:tc>
        <w:tc>
          <w:tcPr>
            <w:tcW w:w="288" w:type="dxa"/>
            <w:tcBorders>
              <w:bottom w:val="nil"/>
            </w:tcBorders>
          </w:tcPr>
          <w:p w14:paraId="50AB6384" w14:textId="77777777" w:rsidR="00F65BCA" w:rsidRDefault="00F65BCA">
            <w:pPr>
              <w:pStyle w:val="TableParagraph"/>
              <w:rPr>
                <w:rFonts w:ascii="Times New Roman"/>
                <w:sz w:val="2"/>
              </w:rPr>
            </w:pPr>
          </w:p>
        </w:tc>
        <w:tc>
          <w:tcPr>
            <w:tcW w:w="288" w:type="dxa"/>
            <w:tcBorders>
              <w:bottom w:val="nil"/>
            </w:tcBorders>
          </w:tcPr>
          <w:p w14:paraId="5A15A348" w14:textId="77777777" w:rsidR="00F65BCA" w:rsidRDefault="00F65BCA">
            <w:pPr>
              <w:pStyle w:val="TableParagraph"/>
              <w:rPr>
                <w:rFonts w:ascii="Times New Roman"/>
                <w:sz w:val="2"/>
              </w:rPr>
            </w:pPr>
          </w:p>
        </w:tc>
        <w:tc>
          <w:tcPr>
            <w:tcW w:w="288" w:type="dxa"/>
            <w:tcBorders>
              <w:bottom w:val="nil"/>
            </w:tcBorders>
          </w:tcPr>
          <w:p w14:paraId="0B25E351" w14:textId="77777777" w:rsidR="00F65BCA" w:rsidRDefault="00F65BCA">
            <w:pPr>
              <w:pStyle w:val="TableParagraph"/>
              <w:rPr>
                <w:rFonts w:ascii="Times New Roman"/>
                <w:sz w:val="2"/>
              </w:rPr>
            </w:pPr>
          </w:p>
        </w:tc>
        <w:tc>
          <w:tcPr>
            <w:tcW w:w="288" w:type="dxa"/>
            <w:tcBorders>
              <w:bottom w:val="nil"/>
            </w:tcBorders>
          </w:tcPr>
          <w:p w14:paraId="478E4BF4" w14:textId="77777777" w:rsidR="00F65BCA" w:rsidRDefault="00F65BCA">
            <w:pPr>
              <w:pStyle w:val="TableParagraph"/>
              <w:rPr>
                <w:rFonts w:ascii="Times New Roman"/>
                <w:sz w:val="2"/>
              </w:rPr>
            </w:pPr>
          </w:p>
        </w:tc>
      </w:tr>
      <w:tr w:rsidR="00F65BCA" w14:paraId="50932420" w14:textId="77777777">
        <w:trPr>
          <w:trHeight w:val="9"/>
        </w:trPr>
        <w:tc>
          <w:tcPr>
            <w:tcW w:w="526" w:type="dxa"/>
            <w:tcBorders>
              <w:top w:val="nil"/>
              <w:bottom w:val="nil"/>
            </w:tcBorders>
            <w:shd w:val="clear" w:color="auto" w:fill="FCE4D6"/>
          </w:tcPr>
          <w:p w14:paraId="03458117" w14:textId="77777777" w:rsidR="00F65BCA" w:rsidRDefault="00F65BCA">
            <w:pPr>
              <w:pStyle w:val="TableParagraph"/>
              <w:rPr>
                <w:rFonts w:ascii="Times New Roman"/>
                <w:sz w:val="2"/>
              </w:rPr>
            </w:pPr>
          </w:p>
        </w:tc>
        <w:tc>
          <w:tcPr>
            <w:tcW w:w="732" w:type="dxa"/>
            <w:tcBorders>
              <w:top w:val="nil"/>
            </w:tcBorders>
            <w:shd w:val="clear" w:color="auto" w:fill="FCE4D6"/>
          </w:tcPr>
          <w:p w14:paraId="1C7613D8" w14:textId="77777777" w:rsidR="00F65BCA" w:rsidRDefault="00F65BCA">
            <w:pPr>
              <w:pStyle w:val="TableParagraph"/>
              <w:rPr>
                <w:rFonts w:ascii="Times New Roman"/>
                <w:sz w:val="2"/>
              </w:rPr>
            </w:pPr>
          </w:p>
        </w:tc>
        <w:tc>
          <w:tcPr>
            <w:tcW w:w="958" w:type="dxa"/>
            <w:gridSpan w:val="2"/>
            <w:vMerge/>
            <w:tcBorders>
              <w:top w:val="nil"/>
            </w:tcBorders>
            <w:shd w:val="clear" w:color="auto" w:fill="FCE4D6"/>
          </w:tcPr>
          <w:p w14:paraId="78E3F9B1" w14:textId="77777777" w:rsidR="00F65BCA" w:rsidRDefault="00F65BCA">
            <w:pPr>
              <w:rPr>
                <w:sz w:val="2"/>
                <w:szCs w:val="2"/>
              </w:rPr>
            </w:pPr>
          </w:p>
        </w:tc>
        <w:tc>
          <w:tcPr>
            <w:tcW w:w="576" w:type="dxa"/>
            <w:tcBorders>
              <w:top w:val="nil"/>
            </w:tcBorders>
            <w:shd w:val="clear" w:color="auto" w:fill="FCE4D6"/>
          </w:tcPr>
          <w:p w14:paraId="5CEF034B" w14:textId="77777777" w:rsidR="00F65BCA" w:rsidRDefault="00216117">
            <w:pPr>
              <w:pStyle w:val="TableParagraph"/>
              <w:spacing w:line="23" w:lineRule="exact"/>
              <w:ind w:left="3"/>
              <w:jc w:val="center"/>
              <w:rPr>
                <w:sz w:val="3"/>
              </w:rPr>
            </w:pPr>
            <w:r>
              <w:rPr>
                <w:w w:val="103"/>
                <w:sz w:val="3"/>
              </w:rPr>
              <w:t>-</w:t>
            </w:r>
          </w:p>
        </w:tc>
        <w:tc>
          <w:tcPr>
            <w:tcW w:w="576" w:type="dxa"/>
            <w:tcBorders>
              <w:top w:val="nil"/>
            </w:tcBorders>
            <w:shd w:val="clear" w:color="auto" w:fill="FCE4D6"/>
          </w:tcPr>
          <w:p w14:paraId="585E4829" w14:textId="77777777" w:rsidR="00F65BCA" w:rsidRDefault="00216117">
            <w:pPr>
              <w:pStyle w:val="TableParagraph"/>
              <w:spacing w:line="23" w:lineRule="exact"/>
              <w:ind w:left="3"/>
              <w:jc w:val="center"/>
              <w:rPr>
                <w:sz w:val="3"/>
              </w:rPr>
            </w:pPr>
            <w:r>
              <w:rPr>
                <w:w w:val="103"/>
                <w:sz w:val="3"/>
              </w:rPr>
              <w:t>-</w:t>
            </w:r>
          </w:p>
        </w:tc>
        <w:tc>
          <w:tcPr>
            <w:tcW w:w="50" w:type="dxa"/>
            <w:vMerge/>
            <w:tcBorders>
              <w:top w:val="nil"/>
              <w:bottom w:val="nil"/>
            </w:tcBorders>
          </w:tcPr>
          <w:p w14:paraId="340326A9" w14:textId="77777777" w:rsidR="00F65BCA" w:rsidRDefault="00F65BCA">
            <w:pPr>
              <w:rPr>
                <w:sz w:val="2"/>
                <w:szCs w:val="2"/>
              </w:rPr>
            </w:pPr>
          </w:p>
        </w:tc>
        <w:tc>
          <w:tcPr>
            <w:tcW w:w="288" w:type="dxa"/>
            <w:tcBorders>
              <w:top w:val="nil"/>
            </w:tcBorders>
          </w:tcPr>
          <w:p w14:paraId="77EEEC18" w14:textId="77777777" w:rsidR="00F65BCA" w:rsidRDefault="00216117">
            <w:pPr>
              <w:pStyle w:val="TableParagraph"/>
              <w:spacing w:line="23" w:lineRule="exact"/>
              <w:ind w:left="24" w:right="24"/>
              <w:jc w:val="center"/>
              <w:rPr>
                <w:sz w:val="3"/>
              </w:rPr>
            </w:pPr>
            <w:r>
              <w:rPr>
                <w:w w:val="105"/>
                <w:sz w:val="3"/>
              </w:rPr>
              <w:t>5,434000%</w:t>
            </w:r>
          </w:p>
        </w:tc>
        <w:tc>
          <w:tcPr>
            <w:tcW w:w="288" w:type="dxa"/>
            <w:tcBorders>
              <w:top w:val="nil"/>
            </w:tcBorders>
          </w:tcPr>
          <w:p w14:paraId="23E45898" w14:textId="77777777" w:rsidR="00F65BCA" w:rsidRDefault="00216117">
            <w:pPr>
              <w:pStyle w:val="TableParagraph"/>
              <w:spacing w:line="23" w:lineRule="exact"/>
              <w:ind w:left="24" w:right="24"/>
              <w:jc w:val="center"/>
              <w:rPr>
                <w:sz w:val="3"/>
              </w:rPr>
            </w:pPr>
            <w:r>
              <w:rPr>
                <w:w w:val="105"/>
                <w:sz w:val="3"/>
              </w:rPr>
              <w:t>4,862000%</w:t>
            </w:r>
          </w:p>
        </w:tc>
        <w:tc>
          <w:tcPr>
            <w:tcW w:w="288" w:type="dxa"/>
            <w:tcBorders>
              <w:top w:val="nil"/>
            </w:tcBorders>
          </w:tcPr>
          <w:p w14:paraId="0A278D13" w14:textId="77777777" w:rsidR="00F65BCA" w:rsidRDefault="00216117">
            <w:pPr>
              <w:pStyle w:val="TableParagraph"/>
              <w:spacing w:line="23" w:lineRule="exact"/>
              <w:ind w:left="64"/>
              <w:rPr>
                <w:sz w:val="3"/>
              </w:rPr>
            </w:pPr>
            <w:r>
              <w:rPr>
                <w:w w:val="105"/>
                <w:sz w:val="3"/>
              </w:rPr>
              <w:t>4,862000%</w:t>
            </w:r>
          </w:p>
        </w:tc>
        <w:tc>
          <w:tcPr>
            <w:tcW w:w="288" w:type="dxa"/>
            <w:tcBorders>
              <w:top w:val="nil"/>
            </w:tcBorders>
          </w:tcPr>
          <w:p w14:paraId="2A5BBAD1" w14:textId="77777777" w:rsidR="00F65BCA" w:rsidRDefault="00216117">
            <w:pPr>
              <w:pStyle w:val="TableParagraph"/>
              <w:spacing w:line="23" w:lineRule="exact"/>
              <w:ind w:left="24" w:right="24"/>
              <w:jc w:val="center"/>
              <w:rPr>
                <w:sz w:val="3"/>
              </w:rPr>
            </w:pPr>
            <w:r>
              <w:rPr>
                <w:w w:val="105"/>
                <w:sz w:val="3"/>
              </w:rPr>
              <w:t>4,433000%</w:t>
            </w:r>
          </w:p>
        </w:tc>
        <w:tc>
          <w:tcPr>
            <w:tcW w:w="288" w:type="dxa"/>
            <w:tcBorders>
              <w:top w:val="nil"/>
            </w:tcBorders>
          </w:tcPr>
          <w:p w14:paraId="1C1A9E26" w14:textId="77777777" w:rsidR="00F65BCA" w:rsidRDefault="00216117">
            <w:pPr>
              <w:pStyle w:val="TableParagraph"/>
              <w:spacing w:line="23" w:lineRule="exact"/>
              <w:ind w:left="64"/>
              <w:rPr>
                <w:sz w:val="3"/>
              </w:rPr>
            </w:pPr>
            <w:r>
              <w:rPr>
                <w:w w:val="105"/>
                <w:sz w:val="3"/>
              </w:rPr>
              <w:t>4,433000%</w:t>
            </w:r>
          </w:p>
        </w:tc>
        <w:tc>
          <w:tcPr>
            <w:tcW w:w="288" w:type="dxa"/>
            <w:tcBorders>
              <w:top w:val="nil"/>
            </w:tcBorders>
          </w:tcPr>
          <w:p w14:paraId="4431D073" w14:textId="77777777" w:rsidR="00F65BCA" w:rsidRDefault="00216117">
            <w:pPr>
              <w:pStyle w:val="TableParagraph"/>
              <w:spacing w:line="23" w:lineRule="exact"/>
              <w:ind w:left="24" w:right="24"/>
              <w:jc w:val="center"/>
              <w:rPr>
                <w:sz w:val="3"/>
              </w:rPr>
            </w:pPr>
            <w:r>
              <w:rPr>
                <w:w w:val="105"/>
                <w:sz w:val="3"/>
              </w:rPr>
              <w:t>4,004000%</w:t>
            </w:r>
          </w:p>
        </w:tc>
        <w:tc>
          <w:tcPr>
            <w:tcW w:w="288" w:type="dxa"/>
            <w:tcBorders>
              <w:top w:val="nil"/>
            </w:tcBorders>
          </w:tcPr>
          <w:p w14:paraId="4616B1E8" w14:textId="77777777" w:rsidR="00F65BCA" w:rsidRDefault="00216117">
            <w:pPr>
              <w:pStyle w:val="TableParagraph"/>
              <w:spacing w:line="23" w:lineRule="exact"/>
              <w:ind w:left="24" w:right="24"/>
              <w:jc w:val="center"/>
              <w:rPr>
                <w:sz w:val="3"/>
              </w:rPr>
            </w:pPr>
            <w:r>
              <w:rPr>
                <w:w w:val="105"/>
                <w:sz w:val="3"/>
              </w:rPr>
              <w:t>4,004000%</w:t>
            </w:r>
          </w:p>
        </w:tc>
        <w:tc>
          <w:tcPr>
            <w:tcW w:w="288" w:type="dxa"/>
            <w:tcBorders>
              <w:top w:val="nil"/>
            </w:tcBorders>
          </w:tcPr>
          <w:p w14:paraId="6FB3DADC" w14:textId="77777777" w:rsidR="00F65BCA" w:rsidRDefault="00216117">
            <w:pPr>
              <w:pStyle w:val="TableParagraph"/>
              <w:spacing w:line="23" w:lineRule="exact"/>
              <w:ind w:left="64"/>
              <w:rPr>
                <w:sz w:val="3"/>
              </w:rPr>
            </w:pPr>
            <w:r>
              <w:rPr>
                <w:w w:val="105"/>
                <w:sz w:val="3"/>
              </w:rPr>
              <w:t>3,575000%</w:t>
            </w:r>
          </w:p>
        </w:tc>
        <w:tc>
          <w:tcPr>
            <w:tcW w:w="288" w:type="dxa"/>
            <w:tcBorders>
              <w:top w:val="nil"/>
            </w:tcBorders>
          </w:tcPr>
          <w:p w14:paraId="61E011FF" w14:textId="77777777" w:rsidR="00F65BCA" w:rsidRDefault="00216117">
            <w:pPr>
              <w:pStyle w:val="TableParagraph"/>
              <w:spacing w:line="23" w:lineRule="exact"/>
              <w:ind w:left="24" w:right="24"/>
              <w:jc w:val="center"/>
              <w:rPr>
                <w:sz w:val="3"/>
              </w:rPr>
            </w:pPr>
            <w:r>
              <w:rPr>
                <w:w w:val="105"/>
                <w:sz w:val="3"/>
              </w:rPr>
              <w:t>3,575000%</w:t>
            </w:r>
          </w:p>
        </w:tc>
        <w:tc>
          <w:tcPr>
            <w:tcW w:w="288" w:type="dxa"/>
            <w:tcBorders>
              <w:top w:val="nil"/>
            </w:tcBorders>
          </w:tcPr>
          <w:p w14:paraId="6C1F4903" w14:textId="77777777" w:rsidR="00F65BCA" w:rsidRDefault="00216117">
            <w:pPr>
              <w:pStyle w:val="TableParagraph"/>
              <w:spacing w:line="23" w:lineRule="exact"/>
              <w:ind w:left="24" w:right="24"/>
              <w:jc w:val="center"/>
              <w:rPr>
                <w:sz w:val="3"/>
              </w:rPr>
            </w:pPr>
            <w:r>
              <w:rPr>
                <w:w w:val="105"/>
                <w:sz w:val="3"/>
              </w:rPr>
              <w:t>3,289000%</w:t>
            </w:r>
          </w:p>
        </w:tc>
        <w:tc>
          <w:tcPr>
            <w:tcW w:w="288" w:type="dxa"/>
            <w:tcBorders>
              <w:top w:val="nil"/>
            </w:tcBorders>
          </w:tcPr>
          <w:p w14:paraId="0740EF14" w14:textId="77777777" w:rsidR="00F65BCA" w:rsidRDefault="00216117">
            <w:pPr>
              <w:pStyle w:val="TableParagraph"/>
              <w:spacing w:line="23" w:lineRule="exact"/>
              <w:ind w:left="24" w:right="24"/>
              <w:jc w:val="center"/>
              <w:rPr>
                <w:sz w:val="3"/>
              </w:rPr>
            </w:pPr>
            <w:r>
              <w:rPr>
                <w:w w:val="105"/>
                <w:sz w:val="3"/>
              </w:rPr>
              <w:t>3,146000%</w:t>
            </w:r>
          </w:p>
        </w:tc>
        <w:tc>
          <w:tcPr>
            <w:tcW w:w="288" w:type="dxa"/>
            <w:tcBorders>
              <w:top w:val="nil"/>
            </w:tcBorders>
          </w:tcPr>
          <w:p w14:paraId="612096D3" w14:textId="77777777" w:rsidR="00F65BCA" w:rsidRDefault="00216117">
            <w:pPr>
              <w:pStyle w:val="TableParagraph"/>
              <w:spacing w:line="23" w:lineRule="exact"/>
              <w:ind w:left="24" w:right="24"/>
              <w:jc w:val="center"/>
              <w:rPr>
                <w:sz w:val="3"/>
              </w:rPr>
            </w:pPr>
            <w:r>
              <w:rPr>
                <w:w w:val="105"/>
                <w:sz w:val="3"/>
              </w:rPr>
              <w:t>2,860000%</w:t>
            </w:r>
          </w:p>
        </w:tc>
        <w:tc>
          <w:tcPr>
            <w:tcW w:w="288" w:type="dxa"/>
            <w:tcBorders>
              <w:top w:val="nil"/>
            </w:tcBorders>
          </w:tcPr>
          <w:p w14:paraId="3A46FE36" w14:textId="77777777" w:rsidR="00F65BCA" w:rsidRDefault="00216117">
            <w:pPr>
              <w:pStyle w:val="TableParagraph"/>
              <w:spacing w:line="23" w:lineRule="exact"/>
              <w:ind w:left="64"/>
              <w:rPr>
                <w:sz w:val="3"/>
              </w:rPr>
            </w:pPr>
            <w:r>
              <w:rPr>
                <w:w w:val="105"/>
                <w:sz w:val="3"/>
              </w:rPr>
              <w:t>2,860000%</w:t>
            </w:r>
          </w:p>
        </w:tc>
      </w:tr>
      <w:tr w:rsidR="00F65BCA" w14:paraId="104C81EA" w14:textId="77777777">
        <w:trPr>
          <w:trHeight w:val="171"/>
        </w:trPr>
        <w:tc>
          <w:tcPr>
            <w:tcW w:w="526" w:type="dxa"/>
            <w:tcBorders>
              <w:top w:val="nil"/>
              <w:bottom w:val="nil"/>
            </w:tcBorders>
            <w:shd w:val="clear" w:color="auto" w:fill="FCE4D6"/>
          </w:tcPr>
          <w:p w14:paraId="37DDB68B" w14:textId="77777777" w:rsidR="00F65BCA" w:rsidRDefault="00F65BCA">
            <w:pPr>
              <w:pStyle w:val="TableParagraph"/>
              <w:rPr>
                <w:rFonts w:ascii="Times New Roman"/>
                <w:sz w:val="2"/>
              </w:rPr>
            </w:pPr>
          </w:p>
        </w:tc>
        <w:tc>
          <w:tcPr>
            <w:tcW w:w="732" w:type="dxa"/>
            <w:tcBorders>
              <w:bottom w:val="nil"/>
            </w:tcBorders>
            <w:shd w:val="clear" w:color="auto" w:fill="FCE4D6"/>
          </w:tcPr>
          <w:p w14:paraId="4FB0C0F2" w14:textId="77777777" w:rsidR="00F65BCA" w:rsidRDefault="00F65BCA">
            <w:pPr>
              <w:pStyle w:val="TableParagraph"/>
              <w:rPr>
                <w:rFonts w:ascii="Times New Roman"/>
                <w:sz w:val="2"/>
              </w:rPr>
            </w:pPr>
          </w:p>
        </w:tc>
        <w:tc>
          <w:tcPr>
            <w:tcW w:w="958" w:type="dxa"/>
            <w:gridSpan w:val="2"/>
            <w:shd w:val="clear" w:color="auto" w:fill="FCE4D6"/>
          </w:tcPr>
          <w:p w14:paraId="4AE6E492" w14:textId="77777777" w:rsidR="00F65BCA" w:rsidRDefault="00216117">
            <w:pPr>
              <w:pStyle w:val="TableParagraph"/>
              <w:spacing w:line="283" w:lineRule="auto"/>
              <w:ind w:left="4" w:right="15"/>
              <w:rPr>
                <w:sz w:val="3"/>
              </w:rPr>
            </w:pPr>
            <w:r>
              <w:rPr>
                <w:w w:val="105"/>
                <w:sz w:val="3"/>
              </w:rPr>
              <w:t>ACTROS; ANTOS; AROCS; ATEGO ŘADA 1800; ATEGO ŘADA 2500; ATEGO ŘADA 2600; AXOR; ECONIC; ŘADA MK 1800; ŘADA MK 2000; ŘADA MK 2500; ŘADA MK 2600; ŘADA MK</w:t>
            </w:r>
          </w:p>
          <w:p w14:paraId="16DB9B05" w14:textId="77777777" w:rsidR="00F65BCA" w:rsidRDefault="00216117">
            <w:pPr>
              <w:pStyle w:val="TableParagraph"/>
              <w:spacing w:before="1" w:line="28" w:lineRule="exact"/>
              <w:ind w:left="4"/>
              <w:rPr>
                <w:sz w:val="3"/>
              </w:rPr>
            </w:pPr>
            <w:r>
              <w:rPr>
                <w:w w:val="105"/>
                <w:sz w:val="3"/>
              </w:rPr>
              <w:t>3200; ŘADA MK 3500; UNIMOG; ZETROS</w:t>
            </w:r>
          </w:p>
        </w:tc>
        <w:tc>
          <w:tcPr>
            <w:tcW w:w="576" w:type="dxa"/>
            <w:shd w:val="clear" w:color="auto" w:fill="FCE4D6"/>
          </w:tcPr>
          <w:p w14:paraId="01D6CA77" w14:textId="77777777" w:rsidR="00F65BCA" w:rsidRDefault="00F65BCA">
            <w:pPr>
              <w:pStyle w:val="TableParagraph"/>
              <w:rPr>
                <w:rFonts w:ascii="Calibri"/>
                <w:sz w:val="2"/>
              </w:rPr>
            </w:pPr>
          </w:p>
          <w:p w14:paraId="2821DAD3" w14:textId="77777777" w:rsidR="00F65BCA" w:rsidRDefault="00F65BCA">
            <w:pPr>
              <w:pStyle w:val="TableParagraph"/>
              <w:rPr>
                <w:rFonts w:ascii="Calibri"/>
                <w:sz w:val="2"/>
              </w:rPr>
            </w:pPr>
          </w:p>
          <w:p w14:paraId="35D48ED9" w14:textId="77777777" w:rsidR="00F65BCA" w:rsidRDefault="00216117">
            <w:pPr>
              <w:pStyle w:val="TableParagraph"/>
              <w:spacing w:before="14"/>
              <w:ind w:left="3"/>
              <w:jc w:val="center"/>
              <w:rPr>
                <w:sz w:val="3"/>
              </w:rPr>
            </w:pPr>
            <w:r>
              <w:rPr>
                <w:w w:val="103"/>
                <w:sz w:val="3"/>
              </w:rPr>
              <w:t>-</w:t>
            </w:r>
          </w:p>
        </w:tc>
        <w:tc>
          <w:tcPr>
            <w:tcW w:w="576" w:type="dxa"/>
            <w:shd w:val="clear" w:color="auto" w:fill="FCE4D6"/>
          </w:tcPr>
          <w:p w14:paraId="3678DC2C" w14:textId="77777777" w:rsidR="00F65BCA" w:rsidRDefault="00F65BCA">
            <w:pPr>
              <w:pStyle w:val="TableParagraph"/>
              <w:rPr>
                <w:rFonts w:ascii="Calibri"/>
                <w:sz w:val="2"/>
              </w:rPr>
            </w:pPr>
          </w:p>
          <w:p w14:paraId="55A34672" w14:textId="77777777" w:rsidR="00F65BCA" w:rsidRDefault="00F65BCA">
            <w:pPr>
              <w:pStyle w:val="TableParagraph"/>
              <w:rPr>
                <w:rFonts w:ascii="Calibri"/>
                <w:sz w:val="2"/>
              </w:rPr>
            </w:pPr>
          </w:p>
          <w:p w14:paraId="73D261AC" w14:textId="77777777" w:rsidR="00F65BCA" w:rsidRDefault="00216117">
            <w:pPr>
              <w:pStyle w:val="TableParagraph"/>
              <w:spacing w:before="14"/>
              <w:ind w:left="3"/>
              <w:jc w:val="center"/>
              <w:rPr>
                <w:sz w:val="3"/>
              </w:rPr>
            </w:pPr>
            <w:r>
              <w:rPr>
                <w:w w:val="103"/>
                <w:sz w:val="3"/>
              </w:rPr>
              <w:t>-</w:t>
            </w:r>
          </w:p>
        </w:tc>
        <w:tc>
          <w:tcPr>
            <w:tcW w:w="50" w:type="dxa"/>
            <w:vMerge/>
            <w:tcBorders>
              <w:top w:val="nil"/>
              <w:bottom w:val="nil"/>
            </w:tcBorders>
          </w:tcPr>
          <w:p w14:paraId="68F9F0A7" w14:textId="77777777" w:rsidR="00F65BCA" w:rsidRDefault="00F65BCA">
            <w:pPr>
              <w:rPr>
                <w:sz w:val="2"/>
                <w:szCs w:val="2"/>
              </w:rPr>
            </w:pPr>
          </w:p>
        </w:tc>
        <w:tc>
          <w:tcPr>
            <w:tcW w:w="288" w:type="dxa"/>
          </w:tcPr>
          <w:p w14:paraId="57922988" w14:textId="77777777" w:rsidR="00F65BCA" w:rsidRDefault="00F65BCA">
            <w:pPr>
              <w:pStyle w:val="TableParagraph"/>
              <w:rPr>
                <w:rFonts w:ascii="Calibri"/>
                <w:sz w:val="2"/>
              </w:rPr>
            </w:pPr>
          </w:p>
          <w:p w14:paraId="1D5031B5" w14:textId="77777777" w:rsidR="00F65BCA" w:rsidRDefault="00F65BCA">
            <w:pPr>
              <w:pStyle w:val="TableParagraph"/>
              <w:rPr>
                <w:rFonts w:ascii="Calibri"/>
                <w:sz w:val="2"/>
              </w:rPr>
            </w:pPr>
          </w:p>
          <w:p w14:paraId="288FA46D" w14:textId="77777777" w:rsidR="00F65BCA" w:rsidRDefault="00216117">
            <w:pPr>
              <w:pStyle w:val="TableParagraph"/>
              <w:spacing w:before="14"/>
              <w:ind w:left="24" w:right="24"/>
              <w:jc w:val="center"/>
              <w:rPr>
                <w:sz w:val="3"/>
              </w:rPr>
            </w:pPr>
            <w:r>
              <w:rPr>
                <w:w w:val="105"/>
                <w:sz w:val="3"/>
              </w:rPr>
              <w:t>5,434000%</w:t>
            </w:r>
          </w:p>
        </w:tc>
        <w:tc>
          <w:tcPr>
            <w:tcW w:w="288" w:type="dxa"/>
          </w:tcPr>
          <w:p w14:paraId="29A3C1DD" w14:textId="77777777" w:rsidR="00F65BCA" w:rsidRDefault="00F65BCA">
            <w:pPr>
              <w:pStyle w:val="TableParagraph"/>
              <w:rPr>
                <w:rFonts w:ascii="Calibri"/>
                <w:sz w:val="2"/>
              </w:rPr>
            </w:pPr>
          </w:p>
          <w:p w14:paraId="0A511414" w14:textId="77777777" w:rsidR="00F65BCA" w:rsidRDefault="00F65BCA">
            <w:pPr>
              <w:pStyle w:val="TableParagraph"/>
              <w:rPr>
                <w:rFonts w:ascii="Calibri"/>
                <w:sz w:val="2"/>
              </w:rPr>
            </w:pPr>
          </w:p>
          <w:p w14:paraId="637C001B" w14:textId="77777777" w:rsidR="00F65BCA" w:rsidRDefault="00216117">
            <w:pPr>
              <w:pStyle w:val="TableParagraph"/>
              <w:spacing w:before="14"/>
              <w:ind w:left="24" w:right="24"/>
              <w:jc w:val="center"/>
              <w:rPr>
                <w:sz w:val="3"/>
              </w:rPr>
            </w:pPr>
            <w:r>
              <w:rPr>
                <w:w w:val="105"/>
                <w:sz w:val="3"/>
              </w:rPr>
              <w:t>4,862000%</w:t>
            </w:r>
          </w:p>
        </w:tc>
        <w:tc>
          <w:tcPr>
            <w:tcW w:w="288" w:type="dxa"/>
          </w:tcPr>
          <w:p w14:paraId="271CF888" w14:textId="77777777" w:rsidR="00F65BCA" w:rsidRDefault="00F65BCA">
            <w:pPr>
              <w:pStyle w:val="TableParagraph"/>
              <w:rPr>
                <w:rFonts w:ascii="Calibri"/>
                <w:sz w:val="2"/>
              </w:rPr>
            </w:pPr>
          </w:p>
          <w:p w14:paraId="1D774264" w14:textId="77777777" w:rsidR="00F65BCA" w:rsidRDefault="00F65BCA">
            <w:pPr>
              <w:pStyle w:val="TableParagraph"/>
              <w:rPr>
                <w:rFonts w:ascii="Calibri"/>
                <w:sz w:val="2"/>
              </w:rPr>
            </w:pPr>
          </w:p>
          <w:p w14:paraId="033AA6A9" w14:textId="77777777" w:rsidR="00F65BCA" w:rsidRDefault="00216117">
            <w:pPr>
              <w:pStyle w:val="TableParagraph"/>
              <w:spacing w:before="14"/>
              <w:ind w:left="64"/>
              <w:rPr>
                <w:sz w:val="3"/>
              </w:rPr>
            </w:pPr>
            <w:r>
              <w:rPr>
                <w:w w:val="105"/>
                <w:sz w:val="3"/>
              </w:rPr>
              <w:t>4,862000%</w:t>
            </w:r>
          </w:p>
        </w:tc>
        <w:tc>
          <w:tcPr>
            <w:tcW w:w="288" w:type="dxa"/>
          </w:tcPr>
          <w:p w14:paraId="7C185AF0" w14:textId="77777777" w:rsidR="00F65BCA" w:rsidRDefault="00F65BCA">
            <w:pPr>
              <w:pStyle w:val="TableParagraph"/>
              <w:rPr>
                <w:rFonts w:ascii="Calibri"/>
                <w:sz w:val="2"/>
              </w:rPr>
            </w:pPr>
          </w:p>
          <w:p w14:paraId="4D659636" w14:textId="77777777" w:rsidR="00F65BCA" w:rsidRDefault="00F65BCA">
            <w:pPr>
              <w:pStyle w:val="TableParagraph"/>
              <w:rPr>
                <w:rFonts w:ascii="Calibri"/>
                <w:sz w:val="2"/>
              </w:rPr>
            </w:pPr>
          </w:p>
          <w:p w14:paraId="4D406B1C" w14:textId="77777777" w:rsidR="00F65BCA" w:rsidRDefault="00216117">
            <w:pPr>
              <w:pStyle w:val="TableParagraph"/>
              <w:spacing w:before="14"/>
              <w:ind w:left="24" w:right="24"/>
              <w:jc w:val="center"/>
              <w:rPr>
                <w:sz w:val="3"/>
              </w:rPr>
            </w:pPr>
            <w:r>
              <w:rPr>
                <w:w w:val="105"/>
                <w:sz w:val="3"/>
              </w:rPr>
              <w:t>4,433000%</w:t>
            </w:r>
          </w:p>
        </w:tc>
        <w:tc>
          <w:tcPr>
            <w:tcW w:w="288" w:type="dxa"/>
          </w:tcPr>
          <w:p w14:paraId="3B59F4AD" w14:textId="77777777" w:rsidR="00F65BCA" w:rsidRDefault="00F65BCA">
            <w:pPr>
              <w:pStyle w:val="TableParagraph"/>
              <w:rPr>
                <w:rFonts w:ascii="Calibri"/>
                <w:sz w:val="2"/>
              </w:rPr>
            </w:pPr>
          </w:p>
          <w:p w14:paraId="050C7315" w14:textId="77777777" w:rsidR="00F65BCA" w:rsidRDefault="00F65BCA">
            <w:pPr>
              <w:pStyle w:val="TableParagraph"/>
              <w:rPr>
                <w:rFonts w:ascii="Calibri"/>
                <w:sz w:val="2"/>
              </w:rPr>
            </w:pPr>
          </w:p>
          <w:p w14:paraId="49A7A520" w14:textId="77777777" w:rsidR="00F65BCA" w:rsidRDefault="00216117">
            <w:pPr>
              <w:pStyle w:val="TableParagraph"/>
              <w:spacing w:before="14"/>
              <w:ind w:left="64"/>
              <w:rPr>
                <w:sz w:val="3"/>
              </w:rPr>
            </w:pPr>
            <w:r>
              <w:rPr>
                <w:w w:val="105"/>
                <w:sz w:val="3"/>
              </w:rPr>
              <w:t>4,433000%</w:t>
            </w:r>
          </w:p>
        </w:tc>
        <w:tc>
          <w:tcPr>
            <w:tcW w:w="288" w:type="dxa"/>
          </w:tcPr>
          <w:p w14:paraId="3F7694D1" w14:textId="77777777" w:rsidR="00F65BCA" w:rsidRDefault="00F65BCA">
            <w:pPr>
              <w:pStyle w:val="TableParagraph"/>
              <w:rPr>
                <w:rFonts w:ascii="Calibri"/>
                <w:sz w:val="2"/>
              </w:rPr>
            </w:pPr>
          </w:p>
          <w:p w14:paraId="4337E7BF" w14:textId="77777777" w:rsidR="00F65BCA" w:rsidRDefault="00F65BCA">
            <w:pPr>
              <w:pStyle w:val="TableParagraph"/>
              <w:rPr>
                <w:rFonts w:ascii="Calibri"/>
                <w:sz w:val="2"/>
              </w:rPr>
            </w:pPr>
          </w:p>
          <w:p w14:paraId="52C271B6" w14:textId="77777777" w:rsidR="00F65BCA" w:rsidRDefault="00216117">
            <w:pPr>
              <w:pStyle w:val="TableParagraph"/>
              <w:spacing w:before="14"/>
              <w:ind w:left="24" w:right="24"/>
              <w:jc w:val="center"/>
              <w:rPr>
                <w:sz w:val="3"/>
              </w:rPr>
            </w:pPr>
            <w:r>
              <w:rPr>
                <w:w w:val="105"/>
                <w:sz w:val="3"/>
              </w:rPr>
              <w:t>4,004000%</w:t>
            </w:r>
          </w:p>
        </w:tc>
        <w:tc>
          <w:tcPr>
            <w:tcW w:w="288" w:type="dxa"/>
          </w:tcPr>
          <w:p w14:paraId="08913F78" w14:textId="77777777" w:rsidR="00F65BCA" w:rsidRDefault="00F65BCA">
            <w:pPr>
              <w:pStyle w:val="TableParagraph"/>
              <w:rPr>
                <w:rFonts w:ascii="Calibri"/>
                <w:sz w:val="2"/>
              </w:rPr>
            </w:pPr>
          </w:p>
          <w:p w14:paraId="473C84BB" w14:textId="77777777" w:rsidR="00F65BCA" w:rsidRDefault="00F65BCA">
            <w:pPr>
              <w:pStyle w:val="TableParagraph"/>
              <w:rPr>
                <w:rFonts w:ascii="Calibri"/>
                <w:sz w:val="2"/>
              </w:rPr>
            </w:pPr>
          </w:p>
          <w:p w14:paraId="77BCE53A" w14:textId="77777777" w:rsidR="00F65BCA" w:rsidRDefault="00216117">
            <w:pPr>
              <w:pStyle w:val="TableParagraph"/>
              <w:spacing w:before="14"/>
              <w:ind w:left="24" w:right="24"/>
              <w:jc w:val="center"/>
              <w:rPr>
                <w:sz w:val="3"/>
              </w:rPr>
            </w:pPr>
            <w:r>
              <w:rPr>
                <w:w w:val="105"/>
                <w:sz w:val="3"/>
              </w:rPr>
              <w:t>4,004000%</w:t>
            </w:r>
          </w:p>
        </w:tc>
        <w:tc>
          <w:tcPr>
            <w:tcW w:w="288" w:type="dxa"/>
          </w:tcPr>
          <w:p w14:paraId="24B2E678" w14:textId="77777777" w:rsidR="00F65BCA" w:rsidRDefault="00F65BCA">
            <w:pPr>
              <w:pStyle w:val="TableParagraph"/>
              <w:rPr>
                <w:rFonts w:ascii="Calibri"/>
                <w:sz w:val="2"/>
              </w:rPr>
            </w:pPr>
          </w:p>
          <w:p w14:paraId="7E4061EE" w14:textId="77777777" w:rsidR="00F65BCA" w:rsidRDefault="00F65BCA">
            <w:pPr>
              <w:pStyle w:val="TableParagraph"/>
              <w:rPr>
                <w:rFonts w:ascii="Calibri"/>
                <w:sz w:val="2"/>
              </w:rPr>
            </w:pPr>
          </w:p>
          <w:p w14:paraId="06F9ED96" w14:textId="77777777" w:rsidR="00F65BCA" w:rsidRDefault="00216117">
            <w:pPr>
              <w:pStyle w:val="TableParagraph"/>
              <w:spacing w:before="14"/>
              <w:ind w:left="64"/>
              <w:rPr>
                <w:sz w:val="3"/>
              </w:rPr>
            </w:pPr>
            <w:r>
              <w:rPr>
                <w:w w:val="105"/>
                <w:sz w:val="3"/>
              </w:rPr>
              <w:t>3,575000%</w:t>
            </w:r>
          </w:p>
        </w:tc>
        <w:tc>
          <w:tcPr>
            <w:tcW w:w="288" w:type="dxa"/>
          </w:tcPr>
          <w:p w14:paraId="3D1C4C5D" w14:textId="77777777" w:rsidR="00F65BCA" w:rsidRDefault="00F65BCA">
            <w:pPr>
              <w:pStyle w:val="TableParagraph"/>
              <w:rPr>
                <w:rFonts w:ascii="Calibri"/>
                <w:sz w:val="2"/>
              </w:rPr>
            </w:pPr>
          </w:p>
          <w:p w14:paraId="01AA6075" w14:textId="77777777" w:rsidR="00F65BCA" w:rsidRDefault="00F65BCA">
            <w:pPr>
              <w:pStyle w:val="TableParagraph"/>
              <w:rPr>
                <w:rFonts w:ascii="Calibri"/>
                <w:sz w:val="2"/>
              </w:rPr>
            </w:pPr>
          </w:p>
          <w:p w14:paraId="004325B9" w14:textId="77777777" w:rsidR="00F65BCA" w:rsidRDefault="00216117">
            <w:pPr>
              <w:pStyle w:val="TableParagraph"/>
              <w:spacing w:before="14"/>
              <w:ind w:left="24" w:right="24"/>
              <w:jc w:val="center"/>
              <w:rPr>
                <w:sz w:val="3"/>
              </w:rPr>
            </w:pPr>
            <w:r>
              <w:rPr>
                <w:w w:val="105"/>
                <w:sz w:val="3"/>
              </w:rPr>
              <w:t>3,575000%</w:t>
            </w:r>
          </w:p>
        </w:tc>
        <w:tc>
          <w:tcPr>
            <w:tcW w:w="288" w:type="dxa"/>
          </w:tcPr>
          <w:p w14:paraId="2B0AED0C" w14:textId="77777777" w:rsidR="00F65BCA" w:rsidRDefault="00F65BCA">
            <w:pPr>
              <w:pStyle w:val="TableParagraph"/>
              <w:rPr>
                <w:rFonts w:ascii="Calibri"/>
                <w:sz w:val="2"/>
              </w:rPr>
            </w:pPr>
          </w:p>
          <w:p w14:paraId="5D34B0BB" w14:textId="77777777" w:rsidR="00F65BCA" w:rsidRDefault="00F65BCA">
            <w:pPr>
              <w:pStyle w:val="TableParagraph"/>
              <w:rPr>
                <w:rFonts w:ascii="Calibri"/>
                <w:sz w:val="2"/>
              </w:rPr>
            </w:pPr>
          </w:p>
          <w:p w14:paraId="496CDB89" w14:textId="77777777" w:rsidR="00F65BCA" w:rsidRDefault="00216117">
            <w:pPr>
              <w:pStyle w:val="TableParagraph"/>
              <w:spacing w:before="14"/>
              <w:ind w:left="24" w:right="24"/>
              <w:jc w:val="center"/>
              <w:rPr>
                <w:sz w:val="3"/>
              </w:rPr>
            </w:pPr>
            <w:r>
              <w:rPr>
                <w:w w:val="105"/>
                <w:sz w:val="3"/>
              </w:rPr>
              <w:t>3,289000%</w:t>
            </w:r>
          </w:p>
        </w:tc>
        <w:tc>
          <w:tcPr>
            <w:tcW w:w="288" w:type="dxa"/>
          </w:tcPr>
          <w:p w14:paraId="702EFC4B" w14:textId="77777777" w:rsidR="00F65BCA" w:rsidRDefault="00F65BCA">
            <w:pPr>
              <w:pStyle w:val="TableParagraph"/>
              <w:rPr>
                <w:rFonts w:ascii="Calibri"/>
                <w:sz w:val="2"/>
              </w:rPr>
            </w:pPr>
          </w:p>
          <w:p w14:paraId="5591CE2B" w14:textId="77777777" w:rsidR="00F65BCA" w:rsidRDefault="00F65BCA">
            <w:pPr>
              <w:pStyle w:val="TableParagraph"/>
              <w:rPr>
                <w:rFonts w:ascii="Calibri"/>
                <w:sz w:val="2"/>
              </w:rPr>
            </w:pPr>
          </w:p>
          <w:p w14:paraId="559F2A73" w14:textId="77777777" w:rsidR="00F65BCA" w:rsidRDefault="00216117">
            <w:pPr>
              <w:pStyle w:val="TableParagraph"/>
              <w:spacing w:before="14"/>
              <w:ind w:left="24" w:right="24"/>
              <w:jc w:val="center"/>
              <w:rPr>
                <w:sz w:val="3"/>
              </w:rPr>
            </w:pPr>
            <w:r>
              <w:rPr>
                <w:w w:val="105"/>
                <w:sz w:val="3"/>
              </w:rPr>
              <w:t>3,146000%</w:t>
            </w:r>
          </w:p>
        </w:tc>
        <w:tc>
          <w:tcPr>
            <w:tcW w:w="288" w:type="dxa"/>
          </w:tcPr>
          <w:p w14:paraId="562C6E05" w14:textId="77777777" w:rsidR="00F65BCA" w:rsidRDefault="00F65BCA">
            <w:pPr>
              <w:pStyle w:val="TableParagraph"/>
              <w:rPr>
                <w:rFonts w:ascii="Calibri"/>
                <w:sz w:val="2"/>
              </w:rPr>
            </w:pPr>
          </w:p>
          <w:p w14:paraId="01859368" w14:textId="77777777" w:rsidR="00F65BCA" w:rsidRDefault="00F65BCA">
            <w:pPr>
              <w:pStyle w:val="TableParagraph"/>
              <w:rPr>
                <w:rFonts w:ascii="Calibri"/>
                <w:sz w:val="2"/>
              </w:rPr>
            </w:pPr>
          </w:p>
          <w:p w14:paraId="7C74AB3C" w14:textId="77777777" w:rsidR="00F65BCA" w:rsidRDefault="00216117">
            <w:pPr>
              <w:pStyle w:val="TableParagraph"/>
              <w:spacing w:before="14"/>
              <w:ind w:left="24" w:right="24"/>
              <w:jc w:val="center"/>
              <w:rPr>
                <w:sz w:val="3"/>
              </w:rPr>
            </w:pPr>
            <w:r>
              <w:rPr>
                <w:w w:val="105"/>
                <w:sz w:val="3"/>
              </w:rPr>
              <w:t>2,860000%</w:t>
            </w:r>
          </w:p>
        </w:tc>
        <w:tc>
          <w:tcPr>
            <w:tcW w:w="288" w:type="dxa"/>
          </w:tcPr>
          <w:p w14:paraId="22DA0E51" w14:textId="77777777" w:rsidR="00F65BCA" w:rsidRDefault="00F65BCA">
            <w:pPr>
              <w:pStyle w:val="TableParagraph"/>
              <w:rPr>
                <w:rFonts w:ascii="Calibri"/>
                <w:sz w:val="2"/>
              </w:rPr>
            </w:pPr>
          </w:p>
          <w:p w14:paraId="2263FFA3" w14:textId="77777777" w:rsidR="00F65BCA" w:rsidRDefault="00F65BCA">
            <w:pPr>
              <w:pStyle w:val="TableParagraph"/>
              <w:rPr>
                <w:rFonts w:ascii="Calibri"/>
                <w:sz w:val="2"/>
              </w:rPr>
            </w:pPr>
          </w:p>
          <w:p w14:paraId="7152CB41" w14:textId="77777777" w:rsidR="00F65BCA" w:rsidRDefault="00216117">
            <w:pPr>
              <w:pStyle w:val="TableParagraph"/>
              <w:spacing w:before="14"/>
              <w:ind w:left="64"/>
              <w:rPr>
                <w:sz w:val="3"/>
              </w:rPr>
            </w:pPr>
            <w:r>
              <w:rPr>
                <w:w w:val="105"/>
                <w:sz w:val="3"/>
              </w:rPr>
              <w:t>2,860000%</w:t>
            </w:r>
          </w:p>
        </w:tc>
      </w:tr>
      <w:tr w:rsidR="00F65BCA" w14:paraId="50B02DD5" w14:textId="77777777">
        <w:trPr>
          <w:trHeight w:val="273"/>
        </w:trPr>
        <w:tc>
          <w:tcPr>
            <w:tcW w:w="526" w:type="dxa"/>
            <w:tcBorders>
              <w:top w:val="nil"/>
              <w:bottom w:val="nil"/>
            </w:tcBorders>
            <w:shd w:val="clear" w:color="auto" w:fill="FCE4D6"/>
          </w:tcPr>
          <w:p w14:paraId="6220A6E0" w14:textId="77777777" w:rsidR="00F65BCA" w:rsidRDefault="00F65BCA">
            <w:pPr>
              <w:pStyle w:val="TableParagraph"/>
              <w:rPr>
                <w:rFonts w:ascii="Times New Roman"/>
                <w:sz w:val="2"/>
              </w:rPr>
            </w:pPr>
          </w:p>
        </w:tc>
        <w:tc>
          <w:tcPr>
            <w:tcW w:w="732" w:type="dxa"/>
            <w:tcBorders>
              <w:top w:val="nil"/>
            </w:tcBorders>
            <w:shd w:val="clear" w:color="auto" w:fill="FCE4D6"/>
          </w:tcPr>
          <w:p w14:paraId="19AEDA69" w14:textId="77777777" w:rsidR="00F65BCA" w:rsidRDefault="00F65BCA">
            <w:pPr>
              <w:pStyle w:val="TableParagraph"/>
              <w:rPr>
                <w:rFonts w:ascii="Calibri"/>
                <w:sz w:val="2"/>
              </w:rPr>
            </w:pPr>
          </w:p>
          <w:p w14:paraId="63FDAB5C" w14:textId="77777777" w:rsidR="00F65BCA" w:rsidRDefault="00216117">
            <w:pPr>
              <w:pStyle w:val="TableParagraph"/>
              <w:ind w:left="18" w:right="16"/>
              <w:jc w:val="center"/>
              <w:rPr>
                <w:sz w:val="3"/>
              </w:rPr>
            </w:pPr>
            <w:r>
              <w:rPr>
                <w:w w:val="105"/>
                <w:sz w:val="3"/>
              </w:rPr>
              <w:t>Mercedes-Benz</w:t>
            </w:r>
          </w:p>
        </w:tc>
        <w:tc>
          <w:tcPr>
            <w:tcW w:w="958" w:type="dxa"/>
            <w:gridSpan w:val="2"/>
            <w:shd w:val="clear" w:color="auto" w:fill="FCE4D6"/>
          </w:tcPr>
          <w:p w14:paraId="15A3D1A0" w14:textId="77777777" w:rsidR="00F65BCA" w:rsidRDefault="00F65BCA">
            <w:pPr>
              <w:pStyle w:val="TableParagraph"/>
              <w:rPr>
                <w:rFonts w:ascii="Calibri"/>
                <w:sz w:val="2"/>
              </w:rPr>
            </w:pPr>
          </w:p>
          <w:p w14:paraId="48AD9B80" w14:textId="77777777" w:rsidR="00F65BCA" w:rsidRDefault="00216117">
            <w:pPr>
              <w:pStyle w:val="TableParagraph"/>
              <w:ind w:left="4"/>
              <w:rPr>
                <w:sz w:val="3"/>
              </w:rPr>
            </w:pPr>
            <w:r>
              <w:rPr>
                <w:w w:val="105"/>
                <w:sz w:val="3"/>
              </w:rPr>
              <w:t>ATEGO</w:t>
            </w:r>
            <w:r>
              <w:rPr>
                <w:spacing w:val="-4"/>
                <w:w w:val="105"/>
                <w:sz w:val="3"/>
              </w:rPr>
              <w:t xml:space="preserve"> </w:t>
            </w:r>
            <w:r>
              <w:rPr>
                <w:w w:val="105"/>
                <w:sz w:val="3"/>
              </w:rPr>
              <w:t>ŘADA</w:t>
            </w:r>
            <w:r>
              <w:rPr>
                <w:spacing w:val="-4"/>
                <w:w w:val="105"/>
                <w:sz w:val="3"/>
              </w:rPr>
              <w:t xml:space="preserve"> </w:t>
            </w:r>
            <w:r>
              <w:rPr>
                <w:w w:val="105"/>
                <w:sz w:val="3"/>
              </w:rPr>
              <w:t>1000;</w:t>
            </w:r>
            <w:r>
              <w:rPr>
                <w:spacing w:val="-3"/>
                <w:w w:val="105"/>
                <w:sz w:val="3"/>
              </w:rPr>
              <w:t xml:space="preserve"> </w:t>
            </w:r>
            <w:r>
              <w:rPr>
                <w:w w:val="105"/>
                <w:sz w:val="3"/>
              </w:rPr>
              <w:t>ATEGO</w:t>
            </w:r>
            <w:r>
              <w:rPr>
                <w:spacing w:val="-4"/>
                <w:w w:val="105"/>
                <w:sz w:val="3"/>
              </w:rPr>
              <w:t xml:space="preserve"> </w:t>
            </w:r>
            <w:r>
              <w:rPr>
                <w:w w:val="105"/>
                <w:sz w:val="3"/>
              </w:rPr>
              <w:t>ŘADA</w:t>
            </w:r>
            <w:r>
              <w:rPr>
                <w:spacing w:val="-4"/>
                <w:w w:val="105"/>
                <w:sz w:val="3"/>
              </w:rPr>
              <w:t xml:space="preserve"> </w:t>
            </w:r>
            <w:r>
              <w:rPr>
                <w:w w:val="105"/>
                <w:sz w:val="3"/>
              </w:rPr>
              <w:t>1200;</w:t>
            </w:r>
            <w:r>
              <w:rPr>
                <w:spacing w:val="-3"/>
                <w:w w:val="105"/>
                <w:sz w:val="3"/>
              </w:rPr>
              <w:t xml:space="preserve"> </w:t>
            </w:r>
            <w:r>
              <w:rPr>
                <w:w w:val="105"/>
                <w:sz w:val="3"/>
              </w:rPr>
              <w:t>ATEGO</w:t>
            </w:r>
            <w:r>
              <w:rPr>
                <w:spacing w:val="-4"/>
                <w:w w:val="105"/>
                <w:sz w:val="3"/>
              </w:rPr>
              <w:t xml:space="preserve"> </w:t>
            </w:r>
            <w:r>
              <w:rPr>
                <w:w w:val="105"/>
                <w:sz w:val="3"/>
              </w:rPr>
              <w:t>ŘADA</w:t>
            </w:r>
            <w:r>
              <w:rPr>
                <w:spacing w:val="-3"/>
                <w:w w:val="105"/>
                <w:sz w:val="3"/>
              </w:rPr>
              <w:t xml:space="preserve"> </w:t>
            </w:r>
            <w:r>
              <w:rPr>
                <w:w w:val="105"/>
                <w:sz w:val="3"/>
              </w:rPr>
              <w:t>1300;</w:t>
            </w:r>
          </w:p>
          <w:p w14:paraId="47335611" w14:textId="77777777" w:rsidR="00F65BCA" w:rsidRDefault="00216117">
            <w:pPr>
              <w:pStyle w:val="TableParagraph"/>
              <w:spacing w:line="283" w:lineRule="auto"/>
              <w:ind w:left="4" w:right="24"/>
              <w:rPr>
                <w:sz w:val="3"/>
              </w:rPr>
            </w:pPr>
            <w:r>
              <w:rPr>
                <w:w w:val="105"/>
                <w:sz w:val="3"/>
              </w:rPr>
              <w:t>ATEGO ŘADA 1500; ATEGO ŘADA 700; ATEGO ŘADA 800; ATEGO</w:t>
            </w:r>
            <w:r>
              <w:rPr>
                <w:spacing w:val="-3"/>
                <w:w w:val="105"/>
                <w:sz w:val="3"/>
              </w:rPr>
              <w:t xml:space="preserve"> </w:t>
            </w:r>
            <w:r>
              <w:rPr>
                <w:w w:val="105"/>
                <w:sz w:val="3"/>
              </w:rPr>
              <w:t>ŘADA</w:t>
            </w:r>
            <w:r>
              <w:rPr>
                <w:spacing w:val="-1"/>
                <w:w w:val="105"/>
                <w:sz w:val="3"/>
              </w:rPr>
              <w:t xml:space="preserve"> </w:t>
            </w:r>
            <w:r>
              <w:rPr>
                <w:w w:val="105"/>
                <w:sz w:val="3"/>
              </w:rPr>
              <w:t>900;</w:t>
            </w:r>
            <w:r>
              <w:rPr>
                <w:spacing w:val="-2"/>
                <w:w w:val="105"/>
                <w:sz w:val="3"/>
              </w:rPr>
              <w:t xml:space="preserve"> </w:t>
            </w:r>
            <w:r>
              <w:rPr>
                <w:w w:val="105"/>
                <w:sz w:val="3"/>
              </w:rPr>
              <w:t>JINÉ;</w:t>
            </w:r>
            <w:r>
              <w:rPr>
                <w:spacing w:val="-1"/>
                <w:w w:val="105"/>
                <w:sz w:val="3"/>
              </w:rPr>
              <w:t xml:space="preserve"> </w:t>
            </w:r>
            <w:r>
              <w:rPr>
                <w:w w:val="105"/>
                <w:sz w:val="3"/>
              </w:rPr>
              <w:t>ŘADA</w:t>
            </w:r>
            <w:r>
              <w:rPr>
                <w:spacing w:val="-2"/>
                <w:w w:val="105"/>
                <w:sz w:val="3"/>
              </w:rPr>
              <w:t xml:space="preserve"> </w:t>
            </w:r>
            <w:r>
              <w:rPr>
                <w:w w:val="105"/>
                <w:sz w:val="3"/>
              </w:rPr>
              <w:t>LK</w:t>
            </w:r>
            <w:r>
              <w:rPr>
                <w:spacing w:val="-2"/>
                <w:w w:val="105"/>
                <w:sz w:val="3"/>
              </w:rPr>
              <w:t xml:space="preserve"> </w:t>
            </w:r>
            <w:r>
              <w:rPr>
                <w:w w:val="105"/>
                <w:sz w:val="3"/>
              </w:rPr>
              <w:t>1100;</w:t>
            </w:r>
            <w:r>
              <w:rPr>
                <w:spacing w:val="-1"/>
                <w:w w:val="105"/>
                <w:sz w:val="3"/>
              </w:rPr>
              <w:t xml:space="preserve"> </w:t>
            </w:r>
            <w:r>
              <w:rPr>
                <w:w w:val="105"/>
                <w:sz w:val="3"/>
              </w:rPr>
              <w:t>ŘADA</w:t>
            </w:r>
            <w:r>
              <w:rPr>
                <w:spacing w:val="-2"/>
                <w:w w:val="105"/>
                <w:sz w:val="3"/>
              </w:rPr>
              <w:t xml:space="preserve"> </w:t>
            </w:r>
            <w:r>
              <w:rPr>
                <w:w w:val="105"/>
                <w:sz w:val="3"/>
              </w:rPr>
              <w:t>LK</w:t>
            </w:r>
            <w:r>
              <w:rPr>
                <w:spacing w:val="-1"/>
                <w:w w:val="105"/>
                <w:sz w:val="3"/>
              </w:rPr>
              <w:t xml:space="preserve"> </w:t>
            </w:r>
            <w:r>
              <w:rPr>
                <w:w w:val="105"/>
                <w:sz w:val="3"/>
              </w:rPr>
              <w:t>1300;</w:t>
            </w:r>
            <w:r>
              <w:rPr>
                <w:spacing w:val="-2"/>
                <w:w w:val="105"/>
                <w:sz w:val="3"/>
              </w:rPr>
              <w:t xml:space="preserve"> </w:t>
            </w:r>
            <w:r>
              <w:rPr>
                <w:w w:val="105"/>
                <w:sz w:val="3"/>
              </w:rPr>
              <w:t>ŘADA LK</w:t>
            </w:r>
            <w:r>
              <w:rPr>
                <w:spacing w:val="-2"/>
                <w:w w:val="105"/>
                <w:sz w:val="3"/>
              </w:rPr>
              <w:t xml:space="preserve"> </w:t>
            </w:r>
            <w:r>
              <w:rPr>
                <w:w w:val="105"/>
                <w:sz w:val="3"/>
              </w:rPr>
              <w:t>1500;</w:t>
            </w:r>
            <w:r>
              <w:rPr>
                <w:spacing w:val="-1"/>
                <w:w w:val="105"/>
                <w:sz w:val="3"/>
              </w:rPr>
              <w:t xml:space="preserve"> </w:t>
            </w:r>
            <w:r>
              <w:rPr>
                <w:w w:val="105"/>
                <w:sz w:val="3"/>
              </w:rPr>
              <w:t>ŘADA</w:t>
            </w:r>
            <w:r>
              <w:rPr>
                <w:spacing w:val="-1"/>
                <w:w w:val="105"/>
                <w:sz w:val="3"/>
              </w:rPr>
              <w:t xml:space="preserve"> </w:t>
            </w:r>
            <w:r>
              <w:rPr>
                <w:w w:val="105"/>
                <w:sz w:val="3"/>
              </w:rPr>
              <w:t>LK</w:t>
            </w:r>
            <w:r>
              <w:rPr>
                <w:spacing w:val="-1"/>
                <w:w w:val="105"/>
                <w:sz w:val="3"/>
              </w:rPr>
              <w:t xml:space="preserve"> </w:t>
            </w:r>
            <w:r>
              <w:rPr>
                <w:w w:val="105"/>
                <w:sz w:val="3"/>
              </w:rPr>
              <w:t>700;</w:t>
            </w:r>
            <w:r>
              <w:rPr>
                <w:spacing w:val="-1"/>
                <w:w w:val="105"/>
                <w:sz w:val="3"/>
              </w:rPr>
              <w:t xml:space="preserve"> </w:t>
            </w:r>
            <w:r>
              <w:rPr>
                <w:w w:val="105"/>
                <w:sz w:val="3"/>
              </w:rPr>
              <w:t>ŘADA</w:t>
            </w:r>
            <w:r>
              <w:rPr>
                <w:spacing w:val="-2"/>
                <w:w w:val="105"/>
                <w:sz w:val="3"/>
              </w:rPr>
              <w:t xml:space="preserve"> </w:t>
            </w:r>
            <w:r>
              <w:rPr>
                <w:w w:val="105"/>
                <w:sz w:val="3"/>
              </w:rPr>
              <w:t>LK</w:t>
            </w:r>
            <w:r>
              <w:rPr>
                <w:spacing w:val="-1"/>
                <w:w w:val="105"/>
                <w:sz w:val="3"/>
              </w:rPr>
              <w:t xml:space="preserve"> </w:t>
            </w:r>
            <w:r>
              <w:rPr>
                <w:w w:val="105"/>
                <w:sz w:val="3"/>
              </w:rPr>
              <w:t>800;</w:t>
            </w:r>
            <w:r>
              <w:rPr>
                <w:spacing w:val="-1"/>
                <w:w w:val="105"/>
                <w:sz w:val="3"/>
              </w:rPr>
              <w:t xml:space="preserve"> </w:t>
            </w:r>
            <w:r>
              <w:rPr>
                <w:w w:val="105"/>
                <w:sz w:val="3"/>
              </w:rPr>
              <w:t>ŘADA</w:t>
            </w:r>
            <w:r>
              <w:rPr>
                <w:spacing w:val="-1"/>
                <w:w w:val="105"/>
                <w:sz w:val="3"/>
              </w:rPr>
              <w:t xml:space="preserve"> </w:t>
            </w:r>
            <w:r>
              <w:rPr>
                <w:w w:val="105"/>
                <w:sz w:val="3"/>
              </w:rPr>
              <w:t>LK</w:t>
            </w:r>
            <w:r>
              <w:rPr>
                <w:spacing w:val="-1"/>
                <w:w w:val="105"/>
                <w:sz w:val="3"/>
              </w:rPr>
              <w:t xml:space="preserve"> </w:t>
            </w:r>
            <w:r>
              <w:rPr>
                <w:w w:val="105"/>
                <w:sz w:val="3"/>
              </w:rPr>
              <w:t>900;</w:t>
            </w:r>
            <w:r>
              <w:rPr>
                <w:spacing w:val="-2"/>
                <w:w w:val="105"/>
                <w:sz w:val="3"/>
              </w:rPr>
              <w:t xml:space="preserve"> </w:t>
            </w:r>
            <w:r>
              <w:rPr>
                <w:w w:val="105"/>
                <w:sz w:val="3"/>
              </w:rPr>
              <w:t>ŘADA</w:t>
            </w:r>
            <w:r>
              <w:rPr>
                <w:spacing w:val="-1"/>
                <w:w w:val="105"/>
                <w:sz w:val="3"/>
              </w:rPr>
              <w:t xml:space="preserve"> </w:t>
            </w:r>
            <w:r>
              <w:rPr>
                <w:w w:val="105"/>
                <w:sz w:val="3"/>
              </w:rPr>
              <w:t>MK</w:t>
            </w:r>
          </w:p>
          <w:p w14:paraId="1779987B" w14:textId="77777777" w:rsidR="00F65BCA" w:rsidRDefault="00216117">
            <w:pPr>
              <w:pStyle w:val="TableParagraph"/>
              <w:ind w:left="4"/>
              <w:rPr>
                <w:sz w:val="3"/>
              </w:rPr>
            </w:pPr>
            <w:r>
              <w:rPr>
                <w:w w:val="105"/>
                <w:sz w:val="3"/>
              </w:rPr>
              <w:t>1100;</w:t>
            </w:r>
            <w:r>
              <w:rPr>
                <w:spacing w:val="-2"/>
                <w:w w:val="105"/>
                <w:sz w:val="3"/>
              </w:rPr>
              <w:t xml:space="preserve"> </w:t>
            </w:r>
            <w:r>
              <w:rPr>
                <w:w w:val="105"/>
                <w:sz w:val="3"/>
              </w:rPr>
              <w:t>ŘADA</w:t>
            </w:r>
            <w:r>
              <w:rPr>
                <w:spacing w:val="-2"/>
                <w:w w:val="105"/>
                <w:sz w:val="3"/>
              </w:rPr>
              <w:t xml:space="preserve"> </w:t>
            </w:r>
            <w:r>
              <w:rPr>
                <w:w w:val="105"/>
                <w:sz w:val="3"/>
              </w:rPr>
              <w:t>MK</w:t>
            </w:r>
            <w:r>
              <w:rPr>
                <w:spacing w:val="-1"/>
                <w:w w:val="105"/>
                <w:sz w:val="3"/>
              </w:rPr>
              <w:t xml:space="preserve"> </w:t>
            </w:r>
            <w:r>
              <w:rPr>
                <w:w w:val="105"/>
                <w:sz w:val="3"/>
              </w:rPr>
              <w:t>1300;</w:t>
            </w:r>
            <w:r>
              <w:rPr>
                <w:spacing w:val="-2"/>
                <w:w w:val="105"/>
                <w:sz w:val="3"/>
              </w:rPr>
              <w:t xml:space="preserve"> </w:t>
            </w:r>
            <w:r>
              <w:rPr>
                <w:w w:val="105"/>
                <w:sz w:val="3"/>
              </w:rPr>
              <w:t>ŘADA</w:t>
            </w:r>
            <w:r>
              <w:rPr>
                <w:spacing w:val="-2"/>
                <w:w w:val="105"/>
                <w:sz w:val="3"/>
              </w:rPr>
              <w:t xml:space="preserve"> </w:t>
            </w:r>
            <w:r>
              <w:rPr>
                <w:w w:val="105"/>
                <w:sz w:val="3"/>
              </w:rPr>
              <w:t>MK</w:t>
            </w:r>
            <w:r>
              <w:rPr>
                <w:spacing w:val="-1"/>
                <w:w w:val="105"/>
                <w:sz w:val="3"/>
              </w:rPr>
              <w:t xml:space="preserve"> </w:t>
            </w:r>
            <w:r>
              <w:rPr>
                <w:w w:val="105"/>
                <w:sz w:val="3"/>
              </w:rPr>
              <w:t>1400;</w:t>
            </w:r>
            <w:r>
              <w:rPr>
                <w:spacing w:val="-2"/>
                <w:w w:val="105"/>
                <w:sz w:val="3"/>
              </w:rPr>
              <w:t xml:space="preserve"> </w:t>
            </w:r>
            <w:r>
              <w:rPr>
                <w:w w:val="105"/>
                <w:sz w:val="3"/>
              </w:rPr>
              <w:t>ŘADA</w:t>
            </w:r>
            <w:r>
              <w:rPr>
                <w:spacing w:val="-2"/>
                <w:w w:val="105"/>
                <w:sz w:val="3"/>
              </w:rPr>
              <w:t xml:space="preserve"> </w:t>
            </w:r>
            <w:r>
              <w:rPr>
                <w:w w:val="105"/>
                <w:sz w:val="3"/>
              </w:rPr>
              <w:t>MK</w:t>
            </w:r>
            <w:r>
              <w:rPr>
                <w:spacing w:val="-1"/>
                <w:w w:val="105"/>
                <w:sz w:val="3"/>
              </w:rPr>
              <w:t xml:space="preserve"> </w:t>
            </w:r>
            <w:r>
              <w:rPr>
                <w:w w:val="105"/>
                <w:sz w:val="3"/>
              </w:rPr>
              <w:t>1500;</w:t>
            </w:r>
            <w:r>
              <w:rPr>
                <w:spacing w:val="-2"/>
                <w:w w:val="105"/>
                <w:sz w:val="3"/>
              </w:rPr>
              <w:t xml:space="preserve"> </w:t>
            </w:r>
            <w:r>
              <w:rPr>
                <w:w w:val="105"/>
                <w:sz w:val="3"/>
              </w:rPr>
              <w:t>ŘADA</w:t>
            </w:r>
          </w:p>
          <w:p w14:paraId="2EDB530B" w14:textId="77777777" w:rsidR="00F65BCA" w:rsidRDefault="00216117">
            <w:pPr>
              <w:pStyle w:val="TableParagraph"/>
              <w:spacing w:before="7" w:line="31" w:lineRule="exact"/>
              <w:ind w:left="4"/>
              <w:rPr>
                <w:sz w:val="3"/>
              </w:rPr>
            </w:pPr>
            <w:r>
              <w:rPr>
                <w:w w:val="105"/>
                <w:sz w:val="3"/>
              </w:rPr>
              <w:t>MK 900; SPRINTER NAD 3,5t; VARIO</w:t>
            </w:r>
          </w:p>
        </w:tc>
        <w:tc>
          <w:tcPr>
            <w:tcW w:w="576" w:type="dxa"/>
            <w:shd w:val="clear" w:color="auto" w:fill="FCE4D6"/>
          </w:tcPr>
          <w:p w14:paraId="2F0D94DB" w14:textId="77777777" w:rsidR="00F65BCA" w:rsidRDefault="00F65BCA">
            <w:pPr>
              <w:pStyle w:val="TableParagraph"/>
              <w:rPr>
                <w:rFonts w:ascii="Calibri"/>
                <w:sz w:val="2"/>
              </w:rPr>
            </w:pPr>
          </w:p>
          <w:p w14:paraId="37145074" w14:textId="77777777" w:rsidR="00F65BCA" w:rsidRDefault="00F65BCA">
            <w:pPr>
              <w:pStyle w:val="TableParagraph"/>
              <w:rPr>
                <w:rFonts w:ascii="Calibri"/>
                <w:sz w:val="2"/>
              </w:rPr>
            </w:pPr>
          </w:p>
          <w:p w14:paraId="215F4324" w14:textId="77777777" w:rsidR="00F65BCA" w:rsidRDefault="00F65BCA">
            <w:pPr>
              <w:pStyle w:val="TableParagraph"/>
              <w:rPr>
                <w:rFonts w:ascii="Calibri"/>
                <w:sz w:val="2"/>
              </w:rPr>
            </w:pPr>
          </w:p>
          <w:p w14:paraId="5E9F7D1D" w14:textId="77777777" w:rsidR="00F65BCA" w:rsidRDefault="00F65BCA">
            <w:pPr>
              <w:pStyle w:val="TableParagraph"/>
              <w:rPr>
                <w:rFonts w:ascii="Calibri"/>
                <w:sz w:val="2"/>
              </w:rPr>
            </w:pPr>
          </w:p>
          <w:p w14:paraId="278FB4DA" w14:textId="77777777" w:rsidR="00F65BCA" w:rsidRDefault="00F65BCA">
            <w:pPr>
              <w:pStyle w:val="TableParagraph"/>
              <w:rPr>
                <w:rFonts w:ascii="Calibri"/>
                <w:sz w:val="2"/>
              </w:rPr>
            </w:pPr>
          </w:p>
          <w:p w14:paraId="4F19D793" w14:textId="77777777" w:rsidR="00F65BCA" w:rsidRDefault="00216117">
            <w:pPr>
              <w:pStyle w:val="TableParagraph"/>
              <w:ind w:left="3"/>
              <w:jc w:val="center"/>
              <w:rPr>
                <w:sz w:val="3"/>
              </w:rPr>
            </w:pPr>
            <w:r>
              <w:rPr>
                <w:w w:val="103"/>
                <w:sz w:val="3"/>
              </w:rPr>
              <w:t>-</w:t>
            </w:r>
          </w:p>
        </w:tc>
        <w:tc>
          <w:tcPr>
            <w:tcW w:w="576" w:type="dxa"/>
            <w:shd w:val="clear" w:color="auto" w:fill="FCE4D6"/>
          </w:tcPr>
          <w:p w14:paraId="2D700E13" w14:textId="77777777" w:rsidR="00F65BCA" w:rsidRDefault="00F65BCA">
            <w:pPr>
              <w:pStyle w:val="TableParagraph"/>
              <w:rPr>
                <w:rFonts w:ascii="Calibri"/>
                <w:sz w:val="2"/>
              </w:rPr>
            </w:pPr>
          </w:p>
          <w:p w14:paraId="3ED8C96B" w14:textId="77777777" w:rsidR="00F65BCA" w:rsidRDefault="00F65BCA">
            <w:pPr>
              <w:pStyle w:val="TableParagraph"/>
              <w:rPr>
                <w:rFonts w:ascii="Calibri"/>
                <w:sz w:val="2"/>
              </w:rPr>
            </w:pPr>
          </w:p>
          <w:p w14:paraId="1DB3D189" w14:textId="77777777" w:rsidR="00F65BCA" w:rsidRDefault="00F65BCA">
            <w:pPr>
              <w:pStyle w:val="TableParagraph"/>
              <w:rPr>
                <w:rFonts w:ascii="Calibri"/>
                <w:sz w:val="2"/>
              </w:rPr>
            </w:pPr>
          </w:p>
          <w:p w14:paraId="167A2913" w14:textId="77777777" w:rsidR="00F65BCA" w:rsidRDefault="00F65BCA">
            <w:pPr>
              <w:pStyle w:val="TableParagraph"/>
              <w:rPr>
                <w:rFonts w:ascii="Calibri"/>
                <w:sz w:val="2"/>
              </w:rPr>
            </w:pPr>
          </w:p>
          <w:p w14:paraId="67866922" w14:textId="77777777" w:rsidR="00F65BCA" w:rsidRDefault="00F65BCA">
            <w:pPr>
              <w:pStyle w:val="TableParagraph"/>
              <w:rPr>
                <w:rFonts w:ascii="Calibri"/>
                <w:sz w:val="2"/>
              </w:rPr>
            </w:pPr>
          </w:p>
          <w:p w14:paraId="2A7C3623"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7A35AF0F" w14:textId="77777777" w:rsidR="00F65BCA" w:rsidRDefault="00F65BCA">
            <w:pPr>
              <w:rPr>
                <w:sz w:val="2"/>
                <w:szCs w:val="2"/>
              </w:rPr>
            </w:pPr>
          </w:p>
        </w:tc>
        <w:tc>
          <w:tcPr>
            <w:tcW w:w="288" w:type="dxa"/>
          </w:tcPr>
          <w:p w14:paraId="7889C430" w14:textId="77777777" w:rsidR="00F65BCA" w:rsidRDefault="00F65BCA">
            <w:pPr>
              <w:pStyle w:val="TableParagraph"/>
              <w:rPr>
                <w:rFonts w:ascii="Calibri"/>
                <w:sz w:val="2"/>
              </w:rPr>
            </w:pPr>
          </w:p>
          <w:p w14:paraId="58385B73" w14:textId="77777777" w:rsidR="00F65BCA" w:rsidRDefault="00F65BCA">
            <w:pPr>
              <w:pStyle w:val="TableParagraph"/>
              <w:rPr>
                <w:rFonts w:ascii="Calibri"/>
                <w:sz w:val="2"/>
              </w:rPr>
            </w:pPr>
          </w:p>
          <w:p w14:paraId="051927EB" w14:textId="77777777" w:rsidR="00F65BCA" w:rsidRDefault="00F65BCA">
            <w:pPr>
              <w:pStyle w:val="TableParagraph"/>
              <w:rPr>
                <w:rFonts w:ascii="Calibri"/>
                <w:sz w:val="2"/>
              </w:rPr>
            </w:pPr>
          </w:p>
          <w:p w14:paraId="311D0D62" w14:textId="77777777" w:rsidR="00F65BCA" w:rsidRDefault="00F65BCA">
            <w:pPr>
              <w:pStyle w:val="TableParagraph"/>
              <w:rPr>
                <w:rFonts w:ascii="Calibri"/>
                <w:sz w:val="2"/>
              </w:rPr>
            </w:pPr>
          </w:p>
          <w:p w14:paraId="4297261E" w14:textId="77777777" w:rsidR="00F65BCA" w:rsidRDefault="00F65BCA">
            <w:pPr>
              <w:pStyle w:val="TableParagraph"/>
              <w:rPr>
                <w:rFonts w:ascii="Calibri"/>
                <w:sz w:val="2"/>
              </w:rPr>
            </w:pPr>
          </w:p>
          <w:p w14:paraId="3B9E2B9C" w14:textId="77777777" w:rsidR="00F65BCA" w:rsidRDefault="00216117">
            <w:pPr>
              <w:pStyle w:val="TableParagraph"/>
              <w:ind w:left="24" w:right="24"/>
              <w:jc w:val="center"/>
              <w:rPr>
                <w:sz w:val="3"/>
              </w:rPr>
            </w:pPr>
            <w:r>
              <w:rPr>
                <w:w w:val="105"/>
                <w:sz w:val="3"/>
              </w:rPr>
              <w:t>5,434000%</w:t>
            </w:r>
          </w:p>
        </w:tc>
        <w:tc>
          <w:tcPr>
            <w:tcW w:w="288" w:type="dxa"/>
          </w:tcPr>
          <w:p w14:paraId="3DFBC9ED" w14:textId="77777777" w:rsidR="00F65BCA" w:rsidRDefault="00F65BCA">
            <w:pPr>
              <w:pStyle w:val="TableParagraph"/>
              <w:rPr>
                <w:rFonts w:ascii="Calibri"/>
                <w:sz w:val="2"/>
              </w:rPr>
            </w:pPr>
          </w:p>
          <w:p w14:paraId="7F7E6328" w14:textId="77777777" w:rsidR="00F65BCA" w:rsidRDefault="00F65BCA">
            <w:pPr>
              <w:pStyle w:val="TableParagraph"/>
              <w:rPr>
                <w:rFonts w:ascii="Calibri"/>
                <w:sz w:val="2"/>
              </w:rPr>
            </w:pPr>
          </w:p>
          <w:p w14:paraId="2EAF0279" w14:textId="77777777" w:rsidR="00F65BCA" w:rsidRDefault="00F65BCA">
            <w:pPr>
              <w:pStyle w:val="TableParagraph"/>
              <w:rPr>
                <w:rFonts w:ascii="Calibri"/>
                <w:sz w:val="2"/>
              </w:rPr>
            </w:pPr>
          </w:p>
          <w:p w14:paraId="0AFEA910" w14:textId="77777777" w:rsidR="00F65BCA" w:rsidRDefault="00F65BCA">
            <w:pPr>
              <w:pStyle w:val="TableParagraph"/>
              <w:rPr>
                <w:rFonts w:ascii="Calibri"/>
                <w:sz w:val="2"/>
              </w:rPr>
            </w:pPr>
          </w:p>
          <w:p w14:paraId="66A87AC4" w14:textId="77777777" w:rsidR="00F65BCA" w:rsidRDefault="00F65BCA">
            <w:pPr>
              <w:pStyle w:val="TableParagraph"/>
              <w:rPr>
                <w:rFonts w:ascii="Calibri"/>
                <w:sz w:val="2"/>
              </w:rPr>
            </w:pPr>
          </w:p>
          <w:p w14:paraId="687A94A1" w14:textId="77777777" w:rsidR="00F65BCA" w:rsidRDefault="00216117">
            <w:pPr>
              <w:pStyle w:val="TableParagraph"/>
              <w:ind w:left="24" w:right="24"/>
              <w:jc w:val="center"/>
              <w:rPr>
                <w:sz w:val="3"/>
              </w:rPr>
            </w:pPr>
            <w:r>
              <w:rPr>
                <w:w w:val="105"/>
                <w:sz w:val="3"/>
              </w:rPr>
              <w:t>4,862000%</w:t>
            </w:r>
          </w:p>
        </w:tc>
        <w:tc>
          <w:tcPr>
            <w:tcW w:w="288" w:type="dxa"/>
          </w:tcPr>
          <w:p w14:paraId="41A4E61D" w14:textId="77777777" w:rsidR="00F65BCA" w:rsidRDefault="00F65BCA">
            <w:pPr>
              <w:pStyle w:val="TableParagraph"/>
              <w:rPr>
                <w:rFonts w:ascii="Calibri"/>
                <w:sz w:val="2"/>
              </w:rPr>
            </w:pPr>
          </w:p>
          <w:p w14:paraId="6E1CC983" w14:textId="77777777" w:rsidR="00F65BCA" w:rsidRDefault="00F65BCA">
            <w:pPr>
              <w:pStyle w:val="TableParagraph"/>
              <w:rPr>
                <w:rFonts w:ascii="Calibri"/>
                <w:sz w:val="2"/>
              </w:rPr>
            </w:pPr>
          </w:p>
          <w:p w14:paraId="616BA4C4" w14:textId="77777777" w:rsidR="00F65BCA" w:rsidRDefault="00F65BCA">
            <w:pPr>
              <w:pStyle w:val="TableParagraph"/>
              <w:rPr>
                <w:rFonts w:ascii="Calibri"/>
                <w:sz w:val="2"/>
              </w:rPr>
            </w:pPr>
          </w:p>
          <w:p w14:paraId="799CEEE8" w14:textId="77777777" w:rsidR="00F65BCA" w:rsidRDefault="00F65BCA">
            <w:pPr>
              <w:pStyle w:val="TableParagraph"/>
              <w:rPr>
                <w:rFonts w:ascii="Calibri"/>
                <w:sz w:val="2"/>
              </w:rPr>
            </w:pPr>
          </w:p>
          <w:p w14:paraId="14863637" w14:textId="77777777" w:rsidR="00F65BCA" w:rsidRDefault="00F65BCA">
            <w:pPr>
              <w:pStyle w:val="TableParagraph"/>
              <w:rPr>
                <w:rFonts w:ascii="Calibri"/>
                <w:sz w:val="2"/>
              </w:rPr>
            </w:pPr>
          </w:p>
          <w:p w14:paraId="7BDAA03D" w14:textId="77777777" w:rsidR="00F65BCA" w:rsidRDefault="00216117">
            <w:pPr>
              <w:pStyle w:val="TableParagraph"/>
              <w:ind w:left="64"/>
              <w:rPr>
                <w:sz w:val="3"/>
              </w:rPr>
            </w:pPr>
            <w:r>
              <w:rPr>
                <w:w w:val="105"/>
                <w:sz w:val="3"/>
              </w:rPr>
              <w:t>4,862000%</w:t>
            </w:r>
          </w:p>
        </w:tc>
        <w:tc>
          <w:tcPr>
            <w:tcW w:w="288" w:type="dxa"/>
          </w:tcPr>
          <w:p w14:paraId="0D423036" w14:textId="77777777" w:rsidR="00F65BCA" w:rsidRDefault="00F65BCA">
            <w:pPr>
              <w:pStyle w:val="TableParagraph"/>
              <w:rPr>
                <w:rFonts w:ascii="Calibri"/>
                <w:sz w:val="2"/>
              </w:rPr>
            </w:pPr>
          </w:p>
          <w:p w14:paraId="3F403865" w14:textId="77777777" w:rsidR="00F65BCA" w:rsidRDefault="00F65BCA">
            <w:pPr>
              <w:pStyle w:val="TableParagraph"/>
              <w:rPr>
                <w:rFonts w:ascii="Calibri"/>
                <w:sz w:val="2"/>
              </w:rPr>
            </w:pPr>
          </w:p>
          <w:p w14:paraId="1DC05E0C" w14:textId="77777777" w:rsidR="00F65BCA" w:rsidRDefault="00F65BCA">
            <w:pPr>
              <w:pStyle w:val="TableParagraph"/>
              <w:rPr>
                <w:rFonts w:ascii="Calibri"/>
                <w:sz w:val="2"/>
              </w:rPr>
            </w:pPr>
          </w:p>
          <w:p w14:paraId="77E4C6A7" w14:textId="77777777" w:rsidR="00F65BCA" w:rsidRDefault="00F65BCA">
            <w:pPr>
              <w:pStyle w:val="TableParagraph"/>
              <w:rPr>
                <w:rFonts w:ascii="Calibri"/>
                <w:sz w:val="2"/>
              </w:rPr>
            </w:pPr>
          </w:p>
          <w:p w14:paraId="1EA5DBC6" w14:textId="77777777" w:rsidR="00F65BCA" w:rsidRDefault="00F65BCA">
            <w:pPr>
              <w:pStyle w:val="TableParagraph"/>
              <w:rPr>
                <w:rFonts w:ascii="Calibri"/>
                <w:sz w:val="2"/>
              </w:rPr>
            </w:pPr>
          </w:p>
          <w:p w14:paraId="5BECEC02" w14:textId="77777777" w:rsidR="00F65BCA" w:rsidRDefault="00216117">
            <w:pPr>
              <w:pStyle w:val="TableParagraph"/>
              <w:ind w:left="24" w:right="24"/>
              <w:jc w:val="center"/>
              <w:rPr>
                <w:sz w:val="3"/>
              </w:rPr>
            </w:pPr>
            <w:r>
              <w:rPr>
                <w:w w:val="105"/>
                <w:sz w:val="3"/>
              </w:rPr>
              <w:t>4,433000%</w:t>
            </w:r>
          </w:p>
        </w:tc>
        <w:tc>
          <w:tcPr>
            <w:tcW w:w="288" w:type="dxa"/>
          </w:tcPr>
          <w:p w14:paraId="2B26E198" w14:textId="77777777" w:rsidR="00F65BCA" w:rsidRDefault="00F65BCA">
            <w:pPr>
              <w:pStyle w:val="TableParagraph"/>
              <w:rPr>
                <w:rFonts w:ascii="Calibri"/>
                <w:sz w:val="2"/>
              </w:rPr>
            </w:pPr>
          </w:p>
          <w:p w14:paraId="0DA94808" w14:textId="77777777" w:rsidR="00F65BCA" w:rsidRDefault="00F65BCA">
            <w:pPr>
              <w:pStyle w:val="TableParagraph"/>
              <w:rPr>
                <w:rFonts w:ascii="Calibri"/>
                <w:sz w:val="2"/>
              </w:rPr>
            </w:pPr>
          </w:p>
          <w:p w14:paraId="323D1D25" w14:textId="77777777" w:rsidR="00F65BCA" w:rsidRDefault="00F65BCA">
            <w:pPr>
              <w:pStyle w:val="TableParagraph"/>
              <w:rPr>
                <w:rFonts w:ascii="Calibri"/>
                <w:sz w:val="2"/>
              </w:rPr>
            </w:pPr>
          </w:p>
          <w:p w14:paraId="6D93DDCB" w14:textId="77777777" w:rsidR="00F65BCA" w:rsidRDefault="00F65BCA">
            <w:pPr>
              <w:pStyle w:val="TableParagraph"/>
              <w:rPr>
                <w:rFonts w:ascii="Calibri"/>
                <w:sz w:val="2"/>
              </w:rPr>
            </w:pPr>
          </w:p>
          <w:p w14:paraId="5CB0AE47" w14:textId="77777777" w:rsidR="00F65BCA" w:rsidRDefault="00F65BCA">
            <w:pPr>
              <w:pStyle w:val="TableParagraph"/>
              <w:rPr>
                <w:rFonts w:ascii="Calibri"/>
                <w:sz w:val="2"/>
              </w:rPr>
            </w:pPr>
          </w:p>
          <w:p w14:paraId="011ACB9D" w14:textId="77777777" w:rsidR="00F65BCA" w:rsidRDefault="00216117">
            <w:pPr>
              <w:pStyle w:val="TableParagraph"/>
              <w:ind w:left="64"/>
              <w:rPr>
                <w:sz w:val="3"/>
              </w:rPr>
            </w:pPr>
            <w:r>
              <w:rPr>
                <w:w w:val="105"/>
                <w:sz w:val="3"/>
              </w:rPr>
              <w:t>4,433000%</w:t>
            </w:r>
          </w:p>
        </w:tc>
        <w:tc>
          <w:tcPr>
            <w:tcW w:w="288" w:type="dxa"/>
          </w:tcPr>
          <w:p w14:paraId="7C01F623" w14:textId="77777777" w:rsidR="00F65BCA" w:rsidRDefault="00F65BCA">
            <w:pPr>
              <w:pStyle w:val="TableParagraph"/>
              <w:rPr>
                <w:rFonts w:ascii="Calibri"/>
                <w:sz w:val="2"/>
              </w:rPr>
            </w:pPr>
          </w:p>
          <w:p w14:paraId="724C8E14" w14:textId="77777777" w:rsidR="00F65BCA" w:rsidRDefault="00F65BCA">
            <w:pPr>
              <w:pStyle w:val="TableParagraph"/>
              <w:rPr>
                <w:rFonts w:ascii="Calibri"/>
                <w:sz w:val="2"/>
              </w:rPr>
            </w:pPr>
          </w:p>
          <w:p w14:paraId="7DF39A43" w14:textId="77777777" w:rsidR="00F65BCA" w:rsidRDefault="00F65BCA">
            <w:pPr>
              <w:pStyle w:val="TableParagraph"/>
              <w:rPr>
                <w:rFonts w:ascii="Calibri"/>
                <w:sz w:val="2"/>
              </w:rPr>
            </w:pPr>
          </w:p>
          <w:p w14:paraId="0571E611" w14:textId="77777777" w:rsidR="00F65BCA" w:rsidRDefault="00F65BCA">
            <w:pPr>
              <w:pStyle w:val="TableParagraph"/>
              <w:rPr>
                <w:rFonts w:ascii="Calibri"/>
                <w:sz w:val="2"/>
              </w:rPr>
            </w:pPr>
          </w:p>
          <w:p w14:paraId="7D93D90A" w14:textId="77777777" w:rsidR="00F65BCA" w:rsidRDefault="00F65BCA">
            <w:pPr>
              <w:pStyle w:val="TableParagraph"/>
              <w:rPr>
                <w:rFonts w:ascii="Calibri"/>
                <w:sz w:val="2"/>
              </w:rPr>
            </w:pPr>
          </w:p>
          <w:p w14:paraId="2BFA3DAF" w14:textId="77777777" w:rsidR="00F65BCA" w:rsidRDefault="00216117">
            <w:pPr>
              <w:pStyle w:val="TableParagraph"/>
              <w:ind w:left="24" w:right="24"/>
              <w:jc w:val="center"/>
              <w:rPr>
                <w:sz w:val="3"/>
              </w:rPr>
            </w:pPr>
            <w:r>
              <w:rPr>
                <w:w w:val="105"/>
                <w:sz w:val="3"/>
              </w:rPr>
              <w:t>4,004000%</w:t>
            </w:r>
          </w:p>
        </w:tc>
        <w:tc>
          <w:tcPr>
            <w:tcW w:w="288" w:type="dxa"/>
          </w:tcPr>
          <w:p w14:paraId="3A1D2F87" w14:textId="77777777" w:rsidR="00F65BCA" w:rsidRDefault="00F65BCA">
            <w:pPr>
              <w:pStyle w:val="TableParagraph"/>
              <w:rPr>
                <w:rFonts w:ascii="Calibri"/>
                <w:sz w:val="2"/>
              </w:rPr>
            </w:pPr>
          </w:p>
          <w:p w14:paraId="0CB5166D" w14:textId="77777777" w:rsidR="00F65BCA" w:rsidRDefault="00F65BCA">
            <w:pPr>
              <w:pStyle w:val="TableParagraph"/>
              <w:rPr>
                <w:rFonts w:ascii="Calibri"/>
                <w:sz w:val="2"/>
              </w:rPr>
            </w:pPr>
          </w:p>
          <w:p w14:paraId="1A2A18E9" w14:textId="77777777" w:rsidR="00F65BCA" w:rsidRDefault="00F65BCA">
            <w:pPr>
              <w:pStyle w:val="TableParagraph"/>
              <w:rPr>
                <w:rFonts w:ascii="Calibri"/>
                <w:sz w:val="2"/>
              </w:rPr>
            </w:pPr>
          </w:p>
          <w:p w14:paraId="5C0A56CB" w14:textId="77777777" w:rsidR="00F65BCA" w:rsidRDefault="00F65BCA">
            <w:pPr>
              <w:pStyle w:val="TableParagraph"/>
              <w:rPr>
                <w:rFonts w:ascii="Calibri"/>
                <w:sz w:val="2"/>
              </w:rPr>
            </w:pPr>
          </w:p>
          <w:p w14:paraId="13B093C6" w14:textId="77777777" w:rsidR="00F65BCA" w:rsidRDefault="00F65BCA">
            <w:pPr>
              <w:pStyle w:val="TableParagraph"/>
              <w:rPr>
                <w:rFonts w:ascii="Calibri"/>
                <w:sz w:val="2"/>
              </w:rPr>
            </w:pPr>
          </w:p>
          <w:p w14:paraId="7821C73A" w14:textId="77777777" w:rsidR="00F65BCA" w:rsidRDefault="00216117">
            <w:pPr>
              <w:pStyle w:val="TableParagraph"/>
              <w:ind w:left="24" w:right="24"/>
              <w:jc w:val="center"/>
              <w:rPr>
                <w:sz w:val="3"/>
              </w:rPr>
            </w:pPr>
            <w:r>
              <w:rPr>
                <w:w w:val="105"/>
                <w:sz w:val="3"/>
              </w:rPr>
              <w:t>4,004000%</w:t>
            </w:r>
          </w:p>
        </w:tc>
        <w:tc>
          <w:tcPr>
            <w:tcW w:w="288" w:type="dxa"/>
          </w:tcPr>
          <w:p w14:paraId="42E4F408" w14:textId="77777777" w:rsidR="00F65BCA" w:rsidRDefault="00F65BCA">
            <w:pPr>
              <w:pStyle w:val="TableParagraph"/>
              <w:rPr>
                <w:rFonts w:ascii="Calibri"/>
                <w:sz w:val="2"/>
              </w:rPr>
            </w:pPr>
          </w:p>
          <w:p w14:paraId="6472A967" w14:textId="77777777" w:rsidR="00F65BCA" w:rsidRDefault="00F65BCA">
            <w:pPr>
              <w:pStyle w:val="TableParagraph"/>
              <w:rPr>
                <w:rFonts w:ascii="Calibri"/>
                <w:sz w:val="2"/>
              </w:rPr>
            </w:pPr>
          </w:p>
          <w:p w14:paraId="1DD9ADBC" w14:textId="77777777" w:rsidR="00F65BCA" w:rsidRDefault="00F65BCA">
            <w:pPr>
              <w:pStyle w:val="TableParagraph"/>
              <w:rPr>
                <w:rFonts w:ascii="Calibri"/>
                <w:sz w:val="2"/>
              </w:rPr>
            </w:pPr>
          </w:p>
          <w:p w14:paraId="42EACC8E" w14:textId="77777777" w:rsidR="00F65BCA" w:rsidRDefault="00F65BCA">
            <w:pPr>
              <w:pStyle w:val="TableParagraph"/>
              <w:rPr>
                <w:rFonts w:ascii="Calibri"/>
                <w:sz w:val="2"/>
              </w:rPr>
            </w:pPr>
          </w:p>
          <w:p w14:paraId="44B63376" w14:textId="77777777" w:rsidR="00F65BCA" w:rsidRDefault="00F65BCA">
            <w:pPr>
              <w:pStyle w:val="TableParagraph"/>
              <w:rPr>
                <w:rFonts w:ascii="Calibri"/>
                <w:sz w:val="2"/>
              </w:rPr>
            </w:pPr>
          </w:p>
          <w:p w14:paraId="1CE10179" w14:textId="77777777" w:rsidR="00F65BCA" w:rsidRDefault="00216117">
            <w:pPr>
              <w:pStyle w:val="TableParagraph"/>
              <w:ind w:left="64"/>
              <w:rPr>
                <w:sz w:val="3"/>
              </w:rPr>
            </w:pPr>
            <w:r>
              <w:rPr>
                <w:w w:val="105"/>
                <w:sz w:val="3"/>
              </w:rPr>
              <w:t>3,575000%</w:t>
            </w:r>
          </w:p>
        </w:tc>
        <w:tc>
          <w:tcPr>
            <w:tcW w:w="288" w:type="dxa"/>
          </w:tcPr>
          <w:p w14:paraId="7F023CFE" w14:textId="77777777" w:rsidR="00F65BCA" w:rsidRDefault="00F65BCA">
            <w:pPr>
              <w:pStyle w:val="TableParagraph"/>
              <w:rPr>
                <w:rFonts w:ascii="Calibri"/>
                <w:sz w:val="2"/>
              </w:rPr>
            </w:pPr>
          </w:p>
          <w:p w14:paraId="13EAEBC4" w14:textId="77777777" w:rsidR="00F65BCA" w:rsidRDefault="00F65BCA">
            <w:pPr>
              <w:pStyle w:val="TableParagraph"/>
              <w:rPr>
                <w:rFonts w:ascii="Calibri"/>
                <w:sz w:val="2"/>
              </w:rPr>
            </w:pPr>
          </w:p>
          <w:p w14:paraId="36636BAF" w14:textId="77777777" w:rsidR="00F65BCA" w:rsidRDefault="00F65BCA">
            <w:pPr>
              <w:pStyle w:val="TableParagraph"/>
              <w:rPr>
                <w:rFonts w:ascii="Calibri"/>
                <w:sz w:val="2"/>
              </w:rPr>
            </w:pPr>
          </w:p>
          <w:p w14:paraId="1F26FC3B" w14:textId="77777777" w:rsidR="00F65BCA" w:rsidRDefault="00F65BCA">
            <w:pPr>
              <w:pStyle w:val="TableParagraph"/>
              <w:rPr>
                <w:rFonts w:ascii="Calibri"/>
                <w:sz w:val="2"/>
              </w:rPr>
            </w:pPr>
          </w:p>
          <w:p w14:paraId="35A72D3D" w14:textId="77777777" w:rsidR="00F65BCA" w:rsidRDefault="00F65BCA">
            <w:pPr>
              <w:pStyle w:val="TableParagraph"/>
              <w:rPr>
                <w:rFonts w:ascii="Calibri"/>
                <w:sz w:val="2"/>
              </w:rPr>
            </w:pPr>
          </w:p>
          <w:p w14:paraId="697F53C6" w14:textId="77777777" w:rsidR="00F65BCA" w:rsidRDefault="00216117">
            <w:pPr>
              <w:pStyle w:val="TableParagraph"/>
              <w:ind w:left="24" w:right="24"/>
              <w:jc w:val="center"/>
              <w:rPr>
                <w:sz w:val="3"/>
              </w:rPr>
            </w:pPr>
            <w:r>
              <w:rPr>
                <w:w w:val="105"/>
                <w:sz w:val="3"/>
              </w:rPr>
              <w:t>3,575000%</w:t>
            </w:r>
          </w:p>
        </w:tc>
        <w:tc>
          <w:tcPr>
            <w:tcW w:w="288" w:type="dxa"/>
          </w:tcPr>
          <w:p w14:paraId="54BDD23B" w14:textId="77777777" w:rsidR="00F65BCA" w:rsidRDefault="00F65BCA">
            <w:pPr>
              <w:pStyle w:val="TableParagraph"/>
              <w:rPr>
                <w:rFonts w:ascii="Calibri"/>
                <w:sz w:val="2"/>
              </w:rPr>
            </w:pPr>
          </w:p>
          <w:p w14:paraId="11371294" w14:textId="77777777" w:rsidR="00F65BCA" w:rsidRDefault="00F65BCA">
            <w:pPr>
              <w:pStyle w:val="TableParagraph"/>
              <w:rPr>
                <w:rFonts w:ascii="Calibri"/>
                <w:sz w:val="2"/>
              </w:rPr>
            </w:pPr>
          </w:p>
          <w:p w14:paraId="08D075E3" w14:textId="77777777" w:rsidR="00F65BCA" w:rsidRDefault="00F65BCA">
            <w:pPr>
              <w:pStyle w:val="TableParagraph"/>
              <w:rPr>
                <w:rFonts w:ascii="Calibri"/>
                <w:sz w:val="2"/>
              </w:rPr>
            </w:pPr>
          </w:p>
          <w:p w14:paraId="404728D5" w14:textId="77777777" w:rsidR="00F65BCA" w:rsidRDefault="00F65BCA">
            <w:pPr>
              <w:pStyle w:val="TableParagraph"/>
              <w:rPr>
                <w:rFonts w:ascii="Calibri"/>
                <w:sz w:val="2"/>
              </w:rPr>
            </w:pPr>
          </w:p>
          <w:p w14:paraId="04F64308" w14:textId="77777777" w:rsidR="00F65BCA" w:rsidRDefault="00F65BCA">
            <w:pPr>
              <w:pStyle w:val="TableParagraph"/>
              <w:rPr>
                <w:rFonts w:ascii="Calibri"/>
                <w:sz w:val="2"/>
              </w:rPr>
            </w:pPr>
          </w:p>
          <w:p w14:paraId="7676409A" w14:textId="77777777" w:rsidR="00F65BCA" w:rsidRDefault="00216117">
            <w:pPr>
              <w:pStyle w:val="TableParagraph"/>
              <w:ind w:left="24" w:right="24"/>
              <w:jc w:val="center"/>
              <w:rPr>
                <w:sz w:val="3"/>
              </w:rPr>
            </w:pPr>
            <w:r>
              <w:rPr>
                <w:w w:val="105"/>
                <w:sz w:val="3"/>
              </w:rPr>
              <w:t>3,289000%</w:t>
            </w:r>
          </w:p>
        </w:tc>
        <w:tc>
          <w:tcPr>
            <w:tcW w:w="288" w:type="dxa"/>
          </w:tcPr>
          <w:p w14:paraId="319944B7" w14:textId="77777777" w:rsidR="00F65BCA" w:rsidRDefault="00F65BCA">
            <w:pPr>
              <w:pStyle w:val="TableParagraph"/>
              <w:rPr>
                <w:rFonts w:ascii="Calibri"/>
                <w:sz w:val="2"/>
              </w:rPr>
            </w:pPr>
          </w:p>
          <w:p w14:paraId="5FEDE231" w14:textId="77777777" w:rsidR="00F65BCA" w:rsidRDefault="00F65BCA">
            <w:pPr>
              <w:pStyle w:val="TableParagraph"/>
              <w:rPr>
                <w:rFonts w:ascii="Calibri"/>
                <w:sz w:val="2"/>
              </w:rPr>
            </w:pPr>
          </w:p>
          <w:p w14:paraId="440B571B" w14:textId="77777777" w:rsidR="00F65BCA" w:rsidRDefault="00F65BCA">
            <w:pPr>
              <w:pStyle w:val="TableParagraph"/>
              <w:rPr>
                <w:rFonts w:ascii="Calibri"/>
                <w:sz w:val="2"/>
              </w:rPr>
            </w:pPr>
          </w:p>
          <w:p w14:paraId="02197078" w14:textId="77777777" w:rsidR="00F65BCA" w:rsidRDefault="00F65BCA">
            <w:pPr>
              <w:pStyle w:val="TableParagraph"/>
              <w:rPr>
                <w:rFonts w:ascii="Calibri"/>
                <w:sz w:val="2"/>
              </w:rPr>
            </w:pPr>
          </w:p>
          <w:p w14:paraId="24FC4DEA" w14:textId="77777777" w:rsidR="00F65BCA" w:rsidRDefault="00F65BCA">
            <w:pPr>
              <w:pStyle w:val="TableParagraph"/>
              <w:rPr>
                <w:rFonts w:ascii="Calibri"/>
                <w:sz w:val="2"/>
              </w:rPr>
            </w:pPr>
          </w:p>
          <w:p w14:paraId="7E45C4D3" w14:textId="77777777" w:rsidR="00F65BCA" w:rsidRDefault="00216117">
            <w:pPr>
              <w:pStyle w:val="TableParagraph"/>
              <w:ind w:left="24" w:right="24"/>
              <w:jc w:val="center"/>
              <w:rPr>
                <w:sz w:val="3"/>
              </w:rPr>
            </w:pPr>
            <w:r>
              <w:rPr>
                <w:w w:val="105"/>
                <w:sz w:val="3"/>
              </w:rPr>
              <w:t>3,146000%</w:t>
            </w:r>
          </w:p>
        </w:tc>
        <w:tc>
          <w:tcPr>
            <w:tcW w:w="288" w:type="dxa"/>
          </w:tcPr>
          <w:p w14:paraId="559CDA0C" w14:textId="77777777" w:rsidR="00F65BCA" w:rsidRDefault="00F65BCA">
            <w:pPr>
              <w:pStyle w:val="TableParagraph"/>
              <w:rPr>
                <w:rFonts w:ascii="Calibri"/>
                <w:sz w:val="2"/>
              </w:rPr>
            </w:pPr>
          </w:p>
          <w:p w14:paraId="7D65E0E3" w14:textId="77777777" w:rsidR="00F65BCA" w:rsidRDefault="00F65BCA">
            <w:pPr>
              <w:pStyle w:val="TableParagraph"/>
              <w:rPr>
                <w:rFonts w:ascii="Calibri"/>
                <w:sz w:val="2"/>
              </w:rPr>
            </w:pPr>
          </w:p>
          <w:p w14:paraId="48715F32" w14:textId="77777777" w:rsidR="00F65BCA" w:rsidRDefault="00F65BCA">
            <w:pPr>
              <w:pStyle w:val="TableParagraph"/>
              <w:rPr>
                <w:rFonts w:ascii="Calibri"/>
                <w:sz w:val="2"/>
              </w:rPr>
            </w:pPr>
          </w:p>
          <w:p w14:paraId="405DEF62" w14:textId="77777777" w:rsidR="00F65BCA" w:rsidRDefault="00F65BCA">
            <w:pPr>
              <w:pStyle w:val="TableParagraph"/>
              <w:rPr>
                <w:rFonts w:ascii="Calibri"/>
                <w:sz w:val="2"/>
              </w:rPr>
            </w:pPr>
          </w:p>
          <w:p w14:paraId="6EB563DB" w14:textId="77777777" w:rsidR="00F65BCA" w:rsidRDefault="00F65BCA">
            <w:pPr>
              <w:pStyle w:val="TableParagraph"/>
              <w:rPr>
                <w:rFonts w:ascii="Calibri"/>
                <w:sz w:val="2"/>
              </w:rPr>
            </w:pPr>
          </w:p>
          <w:p w14:paraId="3FC4BFEB" w14:textId="77777777" w:rsidR="00F65BCA" w:rsidRDefault="00216117">
            <w:pPr>
              <w:pStyle w:val="TableParagraph"/>
              <w:ind w:left="24" w:right="24"/>
              <w:jc w:val="center"/>
              <w:rPr>
                <w:sz w:val="3"/>
              </w:rPr>
            </w:pPr>
            <w:r>
              <w:rPr>
                <w:w w:val="105"/>
                <w:sz w:val="3"/>
              </w:rPr>
              <w:t>2,860000%</w:t>
            </w:r>
          </w:p>
        </w:tc>
        <w:tc>
          <w:tcPr>
            <w:tcW w:w="288" w:type="dxa"/>
          </w:tcPr>
          <w:p w14:paraId="7A0381D8" w14:textId="77777777" w:rsidR="00F65BCA" w:rsidRDefault="00F65BCA">
            <w:pPr>
              <w:pStyle w:val="TableParagraph"/>
              <w:rPr>
                <w:rFonts w:ascii="Calibri"/>
                <w:sz w:val="2"/>
              </w:rPr>
            </w:pPr>
          </w:p>
          <w:p w14:paraId="739935C0" w14:textId="77777777" w:rsidR="00F65BCA" w:rsidRDefault="00F65BCA">
            <w:pPr>
              <w:pStyle w:val="TableParagraph"/>
              <w:rPr>
                <w:rFonts w:ascii="Calibri"/>
                <w:sz w:val="2"/>
              </w:rPr>
            </w:pPr>
          </w:p>
          <w:p w14:paraId="57AFF15F" w14:textId="77777777" w:rsidR="00F65BCA" w:rsidRDefault="00F65BCA">
            <w:pPr>
              <w:pStyle w:val="TableParagraph"/>
              <w:rPr>
                <w:rFonts w:ascii="Calibri"/>
                <w:sz w:val="2"/>
              </w:rPr>
            </w:pPr>
          </w:p>
          <w:p w14:paraId="13CBB5A3" w14:textId="77777777" w:rsidR="00F65BCA" w:rsidRDefault="00F65BCA">
            <w:pPr>
              <w:pStyle w:val="TableParagraph"/>
              <w:rPr>
                <w:rFonts w:ascii="Calibri"/>
                <w:sz w:val="2"/>
              </w:rPr>
            </w:pPr>
          </w:p>
          <w:p w14:paraId="0903E5D1" w14:textId="77777777" w:rsidR="00F65BCA" w:rsidRDefault="00F65BCA">
            <w:pPr>
              <w:pStyle w:val="TableParagraph"/>
              <w:rPr>
                <w:rFonts w:ascii="Calibri"/>
                <w:sz w:val="2"/>
              </w:rPr>
            </w:pPr>
          </w:p>
          <w:p w14:paraId="75942DDB" w14:textId="77777777" w:rsidR="00F65BCA" w:rsidRDefault="00216117">
            <w:pPr>
              <w:pStyle w:val="TableParagraph"/>
              <w:ind w:left="64"/>
              <w:rPr>
                <w:sz w:val="3"/>
              </w:rPr>
            </w:pPr>
            <w:r>
              <w:rPr>
                <w:w w:val="105"/>
                <w:sz w:val="3"/>
              </w:rPr>
              <w:t>2,860000%</w:t>
            </w:r>
          </w:p>
        </w:tc>
      </w:tr>
      <w:tr w:rsidR="00F65BCA" w14:paraId="55F29943" w14:textId="77777777">
        <w:trPr>
          <w:trHeight w:val="76"/>
        </w:trPr>
        <w:tc>
          <w:tcPr>
            <w:tcW w:w="526" w:type="dxa"/>
            <w:tcBorders>
              <w:top w:val="nil"/>
              <w:bottom w:val="nil"/>
            </w:tcBorders>
            <w:shd w:val="clear" w:color="auto" w:fill="FCE4D6"/>
          </w:tcPr>
          <w:p w14:paraId="11DB2736" w14:textId="77777777" w:rsidR="00F65BCA" w:rsidRDefault="00F65BCA">
            <w:pPr>
              <w:pStyle w:val="TableParagraph"/>
              <w:rPr>
                <w:rFonts w:ascii="Calibri"/>
                <w:sz w:val="2"/>
              </w:rPr>
            </w:pPr>
          </w:p>
          <w:p w14:paraId="1F7C0C80" w14:textId="77777777" w:rsidR="00F65BCA" w:rsidRDefault="00216117">
            <w:pPr>
              <w:pStyle w:val="TableParagraph"/>
              <w:ind w:left="170"/>
              <w:rPr>
                <w:sz w:val="3"/>
              </w:rPr>
            </w:pPr>
            <w:r>
              <w:rPr>
                <w:w w:val="105"/>
                <w:sz w:val="3"/>
              </w:rPr>
              <w:t>tahač návěsů</w:t>
            </w:r>
          </w:p>
        </w:tc>
        <w:tc>
          <w:tcPr>
            <w:tcW w:w="732" w:type="dxa"/>
            <w:tcBorders>
              <w:bottom w:val="nil"/>
            </w:tcBorders>
            <w:shd w:val="clear" w:color="auto" w:fill="FCE4D6"/>
          </w:tcPr>
          <w:p w14:paraId="74F841B8" w14:textId="77777777" w:rsidR="00F65BCA" w:rsidRDefault="00F65BCA">
            <w:pPr>
              <w:pStyle w:val="TableParagraph"/>
              <w:rPr>
                <w:rFonts w:ascii="Times New Roman"/>
                <w:sz w:val="2"/>
              </w:rPr>
            </w:pPr>
          </w:p>
        </w:tc>
        <w:tc>
          <w:tcPr>
            <w:tcW w:w="958" w:type="dxa"/>
            <w:gridSpan w:val="2"/>
            <w:tcBorders>
              <w:bottom w:val="nil"/>
            </w:tcBorders>
            <w:shd w:val="clear" w:color="auto" w:fill="FCE4D6"/>
          </w:tcPr>
          <w:p w14:paraId="72FE2B06" w14:textId="77777777" w:rsidR="00F65BCA" w:rsidRDefault="00F65BCA">
            <w:pPr>
              <w:pStyle w:val="TableParagraph"/>
              <w:spacing w:before="8"/>
              <w:rPr>
                <w:rFonts w:ascii="Calibri"/>
                <w:sz w:val="2"/>
              </w:rPr>
            </w:pPr>
          </w:p>
          <w:p w14:paraId="1BC576B3" w14:textId="77777777" w:rsidR="00F65BCA" w:rsidRDefault="00216117">
            <w:pPr>
              <w:pStyle w:val="TableParagraph"/>
              <w:spacing w:line="24" w:lineRule="exact"/>
              <w:ind w:left="4"/>
              <w:rPr>
                <w:sz w:val="3"/>
              </w:rPr>
            </w:pPr>
            <w:r>
              <w:rPr>
                <w:w w:val="105"/>
                <w:sz w:val="3"/>
              </w:rPr>
              <w:t>C; D; JINÉ; K; KERAX; MAGNUM; MAJOR; PREMIUM; T</w:t>
            </w:r>
          </w:p>
        </w:tc>
        <w:tc>
          <w:tcPr>
            <w:tcW w:w="576" w:type="dxa"/>
            <w:tcBorders>
              <w:bottom w:val="nil"/>
            </w:tcBorders>
            <w:shd w:val="clear" w:color="auto" w:fill="FCE4D6"/>
          </w:tcPr>
          <w:p w14:paraId="01676BB3" w14:textId="77777777" w:rsidR="00F65BCA" w:rsidRDefault="00F65BCA">
            <w:pPr>
              <w:pStyle w:val="TableParagraph"/>
              <w:spacing w:before="8"/>
              <w:rPr>
                <w:rFonts w:ascii="Calibri"/>
                <w:sz w:val="2"/>
              </w:rPr>
            </w:pPr>
          </w:p>
          <w:p w14:paraId="779B6E1E" w14:textId="77777777" w:rsidR="00F65BCA" w:rsidRDefault="00216117">
            <w:pPr>
              <w:pStyle w:val="TableParagraph"/>
              <w:spacing w:line="24" w:lineRule="exact"/>
              <w:ind w:left="3"/>
              <w:jc w:val="center"/>
              <w:rPr>
                <w:sz w:val="3"/>
              </w:rPr>
            </w:pPr>
            <w:r>
              <w:rPr>
                <w:w w:val="103"/>
                <w:sz w:val="3"/>
              </w:rPr>
              <w:t>-</w:t>
            </w:r>
          </w:p>
        </w:tc>
        <w:tc>
          <w:tcPr>
            <w:tcW w:w="576" w:type="dxa"/>
            <w:tcBorders>
              <w:bottom w:val="nil"/>
            </w:tcBorders>
            <w:shd w:val="clear" w:color="auto" w:fill="FCE4D6"/>
          </w:tcPr>
          <w:p w14:paraId="20DC68AB" w14:textId="77777777" w:rsidR="00F65BCA" w:rsidRDefault="00F65BCA">
            <w:pPr>
              <w:pStyle w:val="TableParagraph"/>
              <w:spacing w:before="8"/>
              <w:rPr>
                <w:rFonts w:ascii="Calibri"/>
                <w:sz w:val="2"/>
              </w:rPr>
            </w:pPr>
          </w:p>
          <w:p w14:paraId="42A81933" w14:textId="77777777" w:rsidR="00F65BCA" w:rsidRDefault="00216117">
            <w:pPr>
              <w:pStyle w:val="TableParagraph"/>
              <w:spacing w:line="24" w:lineRule="exact"/>
              <w:ind w:left="3"/>
              <w:jc w:val="center"/>
              <w:rPr>
                <w:sz w:val="3"/>
              </w:rPr>
            </w:pPr>
            <w:r>
              <w:rPr>
                <w:w w:val="103"/>
                <w:sz w:val="3"/>
              </w:rPr>
              <w:t>-</w:t>
            </w:r>
          </w:p>
        </w:tc>
        <w:tc>
          <w:tcPr>
            <w:tcW w:w="50" w:type="dxa"/>
            <w:vMerge/>
            <w:tcBorders>
              <w:top w:val="nil"/>
              <w:bottom w:val="nil"/>
            </w:tcBorders>
          </w:tcPr>
          <w:p w14:paraId="45DB9264" w14:textId="77777777" w:rsidR="00F65BCA" w:rsidRDefault="00F65BCA">
            <w:pPr>
              <w:rPr>
                <w:sz w:val="2"/>
                <w:szCs w:val="2"/>
              </w:rPr>
            </w:pPr>
          </w:p>
        </w:tc>
        <w:tc>
          <w:tcPr>
            <w:tcW w:w="288" w:type="dxa"/>
            <w:tcBorders>
              <w:bottom w:val="nil"/>
            </w:tcBorders>
          </w:tcPr>
          <w:p w14:paraId="138BF081" w14:textId="77777777" w:rsidR="00F65BCA" w:rsidRDefault="00F65BCA">
            <w:pPr>
              <w:pStyle w:val="TableParagraph"/>
              <w:spacing w:before="8"/>
              <w:rPr>
                <w:rFonts w:ascii="Calibri"/>
                <w:sz w:val="2"/>
              </w:rPr>
            </w:pPr>
          </w:p>
          <w:p w14:paraId="7A964719" w14:textId="77777777" w:rsidR="00F65BCA" w:rsidRDefault="00216117">
            <w:pPr>
              <w:pStyle w:val="TableParagraph"/>
              <w:spacing w:line="24" w:lineRule="exact"/>
              <w:ind w:left="24" w:right="24"/>
              <w:jc w:val="center"/>
              <w:rPr>
                <w:sz w:val="3"/>
              </w:rPr>
            </w:pPr>
            <w:r>
              <w:rPr>
                <w:w w:val="105"/>
                <w:sz w:val="3"/>
              </w:rPr>
              <w:t>5,434000%</w:t>
            </w:r>
          </w:p>
        </w:tc>
        <w:tc>
          <w:tcPr>
            <w:tcW w:w="288" w:type="dxa"/>
            <w:tcBorders>
              <w:bottom w:val="nil"/>
            </w:tcBorders>
          </w:tcPr>
          <w:p w14:paraId="723279CC" w14:textId="77777777" w:rsidR="00F65BCA" w:rsidRDefault="00F65BCA">
            <w:pPr>
              <w:pStyle w:val="TableParagraph"/>
              <w:spacing w:before="8"/>
              <w:rPr>
                <w:rFonts w:ascii="Calibri"/>
                <w:sz w:val="2"/>
              </w:rPr>
            </w:pPr>
          </w:p>
          <w:p w14:paraId="157780B9" w14:textId="77777777" w:rsidR="00F65BCA" w:rsidRDefault="00216117">
            <w:pPr>
              <w:pStyle w:val="TableParagraph"/>
              <w:spacing w:line="24" w:lineRule="exact"/>
              <w:ind w:left="24" w:right="24"/>
              <w:jc w:val="center"/>
              <w:rPr>
                <w:sz w:val="3"/>
              </w:rPr>
            </w:pPr>
            <w:r>
              <w:rPr>
                <w:w w:val="105"/>
                <w:sz w:val="3"/>
              </w:rPr>
              <w:t>4,862000%</w:t>
            </w:r>
          </w:p>
        </w:tc>
        <w:tc>
          <w:tcPr>
            <w:tcW w:w="288" w:type="dxa"/>
            <w:tcBorders>
              <w:bottom w:val="nil"/>
            </w:tcBorders>
          </w:tcPr>
          <w:p w14:paraId="2491E531" w14:textId="77777777" w:rsidR="00F65BCA" w:rsidRDefault="00F65BCA">
            <w:pPr>
              <w:pStyle w:val="TableParagraph"/>
              <w:spacing w:before="8"/>
              <w:rPr>
                <w:rFonts w:ascii="Calibri"/>
                <w:sz w:val="2"/>
              </w:rPr>
            </w:pPr>
          </w:p>
          <w:p w14:paraId="0C12542F" w14:textId="77777777" w:rsidR="00F65BCA" w:rsidRDefault="00216117">
            <w:pPr>
              <w:pStyle w:val="TableParagraph"/>
              <w:spacing w:line="24" w:lineRule="exact"/>
              <w:ind w:left="64"/>
              <w:rPr>
                <w:sz w:val="3"/>
              </w:rPr>
            </w:pPr>
            <w:r>
              <w:rPr>
                <w:w w:val="105"/>
                <w:sz w:val="3"/>
              </w:rPr>
              <w:t>4,862000%</w:t>
            </w:r>
          </w:p>
        </w:tc>
        <w:tc>
          <w:tcPr>
            <w:tcW w:w="288" w:type="dxa"/>
            <w:tcBorders>
              <w:bottom w:val="nil"/>
            </w:tcBorders>
          </w:tcPr>
          <w:p w14:paraId="36343836" w14:textId="77777777" w:rsidR="00F65BCA" w:rsidRDefault="00F65BCA">
            <w:pPr>
              <w:pStyle w:val="TableParagraph"/>
              <w:spacing w:before="8"/>
              <w:rPr>
                <w:rFonts w:ascii="Calibri"/>
                <w:sz w:val="2"/>
              </w:rPr>
            </w:pPr>
          </w:p>
          <w:p w14:paraId="0C5D3EBF" w14:textId="77777777" w:rsidR="00F65BCA" w:rsidRDefault="00216117">
            <w:pPr>
              <w:pStyle w:val="TableParagraph"/>
              <w:spacing w:line="24" w:lineRule="exact"/>
              <w:ind w:left="24" w:right="24"/>
              <w:jc w:val="center"/>
              <w:rPr>
                <w:sz w:val="3"/>
              </w:rPr>
            </w:pPr>
            <w:r>
              <w:rPr>
                <w:w w:val="105"/>
                <w:sz w:val="3"/>
              </w:rPr>
              <w:t>4,433000%</w:t>
            </w:r>
          </w:p>
        </w:tc>
        <w:tc>
          <w:tcPr>
            <w:tcW w:w="288" w:type="dxa"/>
            <w:tcBorders>
              <w:bottom w:val="nil"/>
            </w:tcBorders>
          </w:tcPr>
          <w:p w14:paraId="703CD1AB" w14:textId="77777777" w:rsidR="00F65BCA" w:rsidRDefault="00F65BCA">
            <w:pPr>
              <w:pStyle w:val="TableParagraph"/>
              <w:spacing w:before="8"/>
              <w:rPr>
                <w:rFonts w:ascii="Calibri"/>
                <w:sz w:val="2"/>
              </w:rPr>
            </w:pPr>
          </w:p>
          <w:p w14:paraId="6844745F" w14:textId="77777777" w:rsidR="00F65BCA" w:rsidRDefault="00216117">
            <w:pPr>
              <w:pStyle w:val="TableParagraph"/>
              <w:spacing w:line="24" w:lineRule="exact"/>
              <w:ind w:left="64"/>
              <w:rPr>
                <w:sz w:val="3"/>
              </w:rPr>
            </w:pPr>
            <w:r>
              <w:rPr>
                <w:w w:val="105"/>
                <w:sz w:val="3"/>
              </w:rPr>
              <w:t>4,433000%</w:t>
            </w:r>
          </w:p>
        </w:tc>
        <w:tc>
          <w:tcPr>
            <w:tcW w:w="288" w:type="dxa"/>
            <w:tcBorders>
              <w:bottom w:val="nil"/>
            </w:tcBorders>
          </w:tcPr>
          <w:p w14:paraId="2531460B" w14:textId="77777777" w:rsidR="00F65BCA" w:rsidRDefault="00F65BCA">
            <w:pPr>
              <w:pStyle w:val="TableParagraph"/>
              <w:spacing w:before="8"/>
              <w:rPr>
                <w:rFonts w:ascii="Calibri"/>
                <w:sz w:val="2"/>
              </w:rPr>
            </w:pPr>
          </w:p>
          <w:p w14:paraId="6E58CC31" w14:textId="77777777" w:rsidR="00F65BCA" w:rsidRDefault="00216117">
            <w:pPr>
              <w:pStyle w:val="TableParagraph"/>
              <w:spacing w:line="24" w:lineRule="exact"/>
              <w:ind w:left="24" w:right="24"/>
              <w:jc w:val="center"/>
              <w:rPr>
                <w:sz w:val="3"/>
              </w:rPr>
            </w:pPr>
            <w:r>
              <w:rPr>
                <w:w w:val="105"/>
                <w:sz w:val="3"/>
              </w:rPr>
              <w:t>4,004000%</w:t>
            </w:r>
          </w:p>
        </w:tc>
        <w:tc>
          <w:tcPr>
            <w:tcW w:w="288" w:type="dxa"/>
            <w:tcBorders>
              <w:bottom w:val="nil"/>
            </w:tcBorders>
          </w:tcPr>
          <w:p w14:paraId="5F9E567B" w14:textId="77777777" w:rsidR="00F65BCA" w:rsidRDefault="00F65BCA">
            <w:pPr>
              <w:pStyle w:val="TableParagraph"/>
              <w:spacing w:before="8"/>
              <w:rPr>
                <w:rFonts w:ascii="Calibri"/>
                <w:sz w:val="2"/>
              </w:rPr>
            </w:pPr>
          </w:p>
          <w:p w14:paraId="58688F10" w14:textId="77777777" w:rsidR="00F65BCA" w:rsidRDefault="00216117">
            <w:pPr>
              <w:pStyle w:val="TableParagraph"/>
              <w:spacing w:line="24" w:lineRule="exact"/>
              <w:ind w:left="24" w:right="24"/>
              <w:jc w:val="center"/>
              <w:rPr>
                <w:sz w:val="3"/>
              </w:rPr>
            </w:pPr>
            <w:r>
              <w:rPr>
                <w:w w:val="105"/>
                <w:sz w:val="3"/>
              </w:rPr>
              <w:t>4,004000%</w:t>
            </w:r>
          </w:p>
        </w:tc>
        <w:tc>
          <w:tcPr>
            <w:tcW w:w="288" w:type="dxa"/>
            <w:tcBorders>
              <w:bottom w:val="nil"/>
            </w:tcBorders>
          </w:tcPr>
          <w:p w14:paraId="3E45459C" w14:textId="77777777" w:rsidR="00F65BCA" w:rsidRDefault="00F65BCA">
            <w:pPr>
              <w:pStyle w:val="TableParagraph"/>
              <w:spacing w:before="8"/>
              <w:rPr>
                <w:rFonts w:ascii="Calibri"/>
                <w:sz w:val="2"/>
              </w:rPr>
            </w:pPr>
          </w:p>
          <w:p w14:paraId="028C41A0" w14:textId="77777777" w:rsidR="00F65BCA" w:rsidRDefault="00216117">
            <w:pPr>
              <w:pStyle w:val="TableParagraph"/>
              <w:spacing w:line="24" w:lineRule="exact"/>
              <w:ind w:left="64"/>
              <w:rPr>
                <w:sz w:val="3"/>
              </w:rPr>
            </w:pPr>
            <w:r>
              <w:rPr>
                <w:w w:val="105"/>
                <w:sz w:val="3"/>
              </w:rPr>
              <w:t>3,575000%</w:t>
            </w:r>
          </w:p>
        </w:tc>
        <w:tc>
          <w:tcPr>
            <w:tcW w:w="288" w:type="dxa"/>
            <w:tcBorders>
              <w:bottom w:val="nil"/>
            </w:tcBorders>
          </w:tcPr>
          <w:p w14:paraId="59BE4355" w14:textId="77777777" w:rsidR="00F65BCA" w:rsidRDefault="00F65BCA">
            <w:pPr>
              <w:pStyle w:val="TableParagraph"/>
              <w:spacing w:before="8"/>
              <w:rPr>
                <w:rFonts w:ascii="Calibri"/>
                <w:sz w:val="2"/>
              </w:rPr>
            </w:pPr>
          </w:p>
          <w:p w14:paraId="7329F429" w14:textId="77777777" w:rsidR="00F65BCA" w:rsidRDefault="00216117">
            <w:pPr>
              <w:pStyle w:val="TableParagraph"/>
              <w:spacing w:line="24" w:lineRule="exact"/>
              <w:ind w:left="24" w:right="24"/>
              <w:jc w:val="center"/>
              <w:rPr>
                <w:sz w:val="3"/>
              </w:rPr>
            </w:pPr>
            <w:r>
              <w:rPr>
                <w:w w:val="105"/>
                <w:sz w:val="3"/>
              </w:rPr>
              <w:t>3,575000%</w:t>
            </w:r>
          </w:p>
        </w:tc>
        <w:tc>
          <w:tcPr>
            <w:tcW w:w="288" w:type="dxa"/>
            <w:tcBorders>
              <w:bottom w:val="nil"/>
            </w:tcBorders>
          </w:tcPr>
          <w:p w14:paraId="2B88C966" w14:textId="77777777" w:rsidR="00F65BCA" w:rsidRDefault="00F65BCA">
            <w:pPr>
              <w:pStyle w:val="TableParagraph"/>
              <w:spacing w:before="8"/>
              <w:rPr>
                <w:rFonts w:ascii="Calibri"/>
                <w:sz w:val="2"/>
              </w:rPr>
            </w:pPr>
          </w:p>
          <w:p w14:paraId="39A31550" w14:textId="77777777" w:rsidR="00F65BCA" w:rsidRDefault="00216117">
            <w:pPr>
              <w:pStyle w:val="TableParagraph"/>
              <w:spacing w:line="24" w:lineRule="exact"/>
              <w:ind w:left="24" w:right="24"/>
              <w:jc w:val="center"/>
              <w:rPr>
                <w:sz w:val="3"/>
              </w:rPr>
            </w:pPr>
            <w:r>
              <w:rPr>
                <w:w w:val="105"/>
                <w:sz w:val="3"/>
              </w:rPr>
              <w:t>3,289000%</w:t>
            </w:r>
          </w:p>
        </w:tc>
        <w:tc>
          <w:tcPr>
            <w:tcW w:w="288" w:type="dxa"/>
            <w:tcBorders>
              <w:bottom w:val="nil"/>
            </w:tcBorders>
          </w:tcPr>
          <w:p w14:paraId="40756DF0" w14:textId="77777777" w:rsidR="00F65BCA" w:rsidRDefault="00F65BCA">
            <w:pPr>
              <w:pStyle w:val="TableParagraph"/>
              <w:spacing w:before="8"/>
              <w:rPr>
                <w:rFonts w:ascii="Calibri"/>
                <w:sz w:val="2"/>
              </w:rPr>
            </w:pPr>
          </w:p>
          <w:p w14:paraId="74075BCA" w14:textId="77777777" w:rsidR="00F65BCA" w:rsidRDefault="00216117">
            <w:pPr>
              <w:pStyle w:val="TableParagraph"/>
              <w:spacing w:line="24" w:lineRule="exact"/>
              <w:ind w:left="24" w:right="24"/>
              <w:jc w:val="center"/>
              <w:rPr>
                <w:sz w:val="3"/>
              </w:rPr>
            </w:pPr>
            <w:r>
              <w:rPr>
                <w:w w:val="105"/>
                <w:sz w:val="3"/>
              </w:rPr>
              <w:t>3,146000%</w:t>
            </w:r>
          </w:p>
        </w:tc>
        <w:tc>
          <w:tcPr>
            <w:tcW w:w="288" w:type="dxa"/>
            <w:tcBorders>
              <w:bottom w:val="nil"/>
            </w:tcBorders>
          </w:tcPr>
          <w:p w14:paraId="595938C9" w14:textId="77777777" w:rsidR="00F65BCA" w:rsidRDefault="00F65BCA">
            <w:pPr>
              <w:pStyle w:val="TableParagraph"/>
              <w:spacing w:before="8"/>
              <w:rPr>
                <w:rFonts w:ascii="Calibri"/>
                <w:sz w:val="2"/>
              </w:rPr>
            </w:pPr>
          </w:p>
          <w:p w14:paraId="4EE46025" w14:textId="77777777" w:rsidR="00F65BCA" w:rsidRDefault="00216117">
            <w:pPr>
              <w:pStyle w:val="TableParagraph"/>
              <w:spacing w:line="24" w:lineRule="exact"/>
              <w:ind w:left="24" w:right="24"/>
              <w:jc w:val="center"/>
              <w:rPr>
                <w:sz w:val="3"/>
              </w:rPr>
            </w:pPr>
            <w:r>
              <w:rPr>
                <w:w w:val="105"/>
                <w:sz w:val="3"/>
              </w:rPr>
              <w:t>2,860000%</w:t>
            </w:r>
          </w:p>
        </w:tc>
        <w:tc>
          <w:tcPr>
            <w:tcW w:w="288" w:type="dxa"/>
            <w:tcBorders>
              <w:bottom w:val="nil"/>
            </w:tcBorders>
          </w:tcPr>
          <w:p w14:paraId="2A493F36" w14:textId="77777777" w:rsidR="00F65BCA" w:rsidRDefault="00F65BCA">
            <w:pPr>
              <w:pStyle w:val="TableParagraph"/>
              <w:spacing w:before="8"/>
              <w:rPr>
                <w:rFonts w:ascii="Calibri"/>
                <w:sz w:val="2"/>
              </w:rPr>
            </w:pPr>
          </w:p>
          <w:p w14:paraId="570AD74D" w14:textId="77777777" w:rsidR="00F65BCA" w:rsidRDefault="00216117">
            <w:pPr>
              <w:pStyle w:val="TableParagraph"/>
              <w:spacing w:line="24" w:lineRule="exact"/>
              <w:ind w:left="64"/>
              <w:rPr>
                <w:sz w:val="3"/>
              </w:rPr>
            </w:pPr>
            <w:r>
              <w:rPr>
                <w:w w:val="105"/>
                <w:sz w:val="3"/>
              </w:rPr>
              <w:t>2,860000%</w:t>
            </w:r>
          </w:p>
        </w:tc>
      </w:tr>
      <w:tr w:rsidR="00F65BCA" w14:paraId="512B683F" w14:textId="77777777">
        <w:trPr>
          <w:trHeight w:val="23"/>
        </w:trPr>
        <w:tc>
          <w:tcPr>
            <w:tcW w:w="526" w:type="dxa"/>
            <w:vMerge w:val="restart"/>
            <w:tcBorders>
              <w:top w:val="nil"/>
              <w:bottom w:val="nil"/>
            </w:tcBorders>
            <w:shd w:val="clear" w:color="auto" w:fill="FCE4D6"/>
          </w:tcPr>
          <w:p w14:paraId="56EE7595" w14:textId="77777777" w:rsidR="00F65BCA" w:rsidRDefault="00F65BCA">
            <w:pPr>
              <w:pStyle w:val="TableParagraph"/>
              <w:rPr>
                <w:rFonts w:ascii="Times New Roman"/>
                <w:sz w:val="2"/>
              </w:rPr>
            </w:pPr>
          </w:p>
        </w:tc>
        <w:tc>
          <w:tcPr>
            <w:tcW w:w="732" w:type="dxa"/>
            <w:vMerge w:val="restart"/>
            <w:tcBorders>
              <w:top w:val="nil"/>
              <w:bottom w:val="nil"/>
            </w:tcBorders>
            <w:shd w:val="clear" w:color="auto" w:fill="FCE4D6"/>
          </w:tcPr>
          <w:p w14:paraId="1521B198" w14:textId="77777777" w:rsidR="00F65BCA" w:rsidRDefault="00216117">
            <w:pPr>
              <w:pStyle w:val="TableParagraph"/>
              <w:spacing w:before="9" w:line="12" w:lineRule="exact"/>
              <w:ind w:left="18" w:right="18"/>
              <w:jc w:val="center"/>
              <w:rPr>
                <w:sz w:val="3"/>
              </w:rPr>
            </w:pPr>
            <w:r>
              <w:rPr>
                <w:w w:val="105"/>
                <w:sz w:val="3"/>
              </w:rPr>
              <w:t>Renault</w:t>
            </w:r>
          </w:p>
        </w:tc>
        <w:tc>
          <w:tcPr>
            <w:tcW w:w="958" w:type="dxa"/>
            <w:gridSpan w:val="2"/>
            <w:tcBorders>
              <w:top w:val="nil"/>
            </w:tcBorders>
            <w:shd w:val="clear" w:color="auto" w:fill="FCE4D6"/>
          </w:tcPr>
          <w:p w14:paraId="48A6CD3D" w14:textId="77777777" w:rsidR="00F65BCA" w:rsidRDefault="00F65BCA">
            <w:pPr>
              <w:pStyle w:val="TableParagraph"/>
              <w:rPr>
                <w:rFonts w:ascii="Times New Roman"/>
                <w:sz w:val="2"/>
              </w:rPr>
            </w:pPr>
          </w:p>
        </w:tc>
        <w:tc>
          <w:tcPr>
            <w:tcW w:w="576" w:type="dxa"/>
            <w:tcBorders>
              <w:top w:val="nil"/>
            </w:tcBorders>
            <w:shd w:val="clear" w:color="auto" w:fill="FCE4D6"/>
          </w:tcPr>
          <w:p w14:paraId="421C7FC4" w14:textId="77777777" w:rsidR="00F65BCA" w:rsidRDefault="00F65BCA">
            <w:pPr>
              <w:pStyle w:val="TableParagraph"/>
              <w:rPr>
                <w:rFonts w:ascii="Times New Roman"/>
                <w:sz w:val="2"/>
              </w:rPr>
            </w:pPr>
          </w:p>
        </w:tc>
        <w:tc>
          <w:tcPr>
            <w:tcW w:w="576" w:type="dxa"/>
            <w:tcBorders>
              <w:top w:val="nil"/>
            </w:tcBorders>
            <w:shd w:val="clear" w:color="auto" w:fill="FCE4D6"/>
          </w:tcPr>
          <w:p w14:paraId="5A5E5D8A" w14:textId="77777777" w:rsidR="00F65BCA" w:rsidRDefault="00F65BCA">
            <w:pPr>
              <w:pStyle w:val="TableParagraph"/>
              <w:rPr>
                <w:rFonts w:ascii="Times New Roman"/>
                <w:sz w:val="2"/>
              </w:rPr>
            </w:pPr>
          </w:p>
        </w:tc>
        <w:tc>
          <w:tcPr>
            <w:tcW w:w="50" w:type="dxa"/>
            <w:vMerge/>
            <w:tcBorders>
              <w:top w:val="nil"/>
              <w:bottom w:val="nil"/>
            </w:tcBorders>
          </w:tcPr>
          <w:p w14:paraId="71376114" w14:textId="77777777" w:rsidR="00F65BCA" w:rsidRDefault="00F65BCA">
            <w:pPr>
              <w:rPr>
                <w:sz w:val="2"/>
                <w:szCs w:val="2"/>
              </w:rPr>
            </w:pPr>
          </w:p>
        </w:tc>
        <w:tc>
          <w:tcPr>
            <w:tcW w:w="288" w:type="dxa"/>
            <w:tcBorders>
              <w:top w:val="nil"/>
            </w:tcBorders>
          </w:tcPr>
          <w:p w14:paraId="74943652" w14:textId="77777777" w:rsidR="00F65BCA" w:rsidRDefault="00F65BCA">
            <w:pPr>
              <w:pStyle w:val="TableParagraph"/>
              <w:rPr>
                <w:rFonts w:ascii="Times New Roman"/>
                <w:sz w:val="2"/>
              </w:rPr>
            </w:pPr>
          </w:p>
        </w:tc>
        <w:tc>
          <w:tcPr>
            <w:tcW w:w="288" w:type="dxa"/>
            <w:tcBorders>
              <w:top w:val="nil"/>
            </w:tcBorders>
          </w:tcPr>
          <w:p w14:paraId="74F4E3F1" w14:textId="77777777" w:rsidR="00F65BCA" w:rsidRDefault="00F65BCA">
            <w:pPr>
              <w:pStyle w:val="TableParagraph"/>
              <w:rPr>
                <w:rFonts w:ascii="Times New Roman"/>
                <w:sz w:val="2"/>
              </w:rPr>
            </w:pPr>
          </w:p>
        </w:tc>
        <w:tc>
          <w:tcPr>
            <w:tcW w:w="288" w:type="dxa"/>
            <w:tcBorders>
              <w:top w:val="nil"/>
            </w:tcBorders>
          </w:tcPr>
          <w:p w14:paraId="71D99400" w14:textId="77777777" w:rsidR="00F65BCA" w:rsidRDefault="00F65BCA">
            <w:pPr>
              <w:pStyle w:val="TableParagraph"/>
              <w:rPr>
                <w:rFonts w:ascii="Times New Roman"/>
                <w:sz w:val="2"/>
              </w:rPr>
            </w:pPr>
          </w:p>
        </w:tc>
        <w:tc>
          <w:tcPr>
            <w:tcW w:w="288" w:type="dxa"/>
            <w:tcBorders>
              <w:top w:val="nil"/>
            </w:tcBorders>
          </w:tcPr>
          <w:p w14:paraId="430FC327" w14:textId="77777777" w:rsidR="00F65BCA" w:rsidRDefault="00F65BCA">
            <w:pPr>
              <w:pStyle w:val="TableParagraph"/>
              <w:rPr>
                <w:rFonts w:ascii="Times New Roman"/>
                <w:sz w:val="2"/>
              </w:rPr>
            </w:pPr>
          </w:p>
        </w:tc>
        <w:tc>
          <w:tcPr>
            <w:tcW w:w="288" w:type="dxa"/>
            <w:tcBorders>
              <w:top w:val="nil"/>
            </w:tcBorders>
          </w:tcPr>
          <w:p w14:paraId="4EBE9273" w14:textId="77777777" w:rsidR="00F65BCA" w:rsidRDefault="00F65BCA">
            <w:pPr>
              <w:pStyle w:val="TableParagraph"/>
              <w:rPr>
                <w:rFonts w:ascii="Times New Roman"/>
                <w:sz w:val="2"/>
              </w:rPr>
            </w:pPr>
          </w:p>
        </w:tc>
        <w:tc>
          <w:tcPr>
            <w:tcW w:w="288" w:type="dxa"/>
            <w:tcBorders>
              <w:top w:val="nil"/>
            </w:tcBorders>
          </w:tcPr>
          <w:p w14:paraId="0005131C" w14:textId="77777777" w:rsidR="00F65BCA" w:rsidRDefault="00F65BCA">
            <w:pPr>
              <w:pStyle w:val="TableParagraph"/>
              <w:rPr>
                <w:rFonts w:ascii="Times New Roman"/>
                <w:sz w:val="2"/>
              </w:rPr>
            </w:pPr>
          </w:p>
        </w:tc>
        <w:tc>
          <w:tcPr>
            <w:tcW w:w="288" w:type="dxa"/>
            <w:tcBorders>
              <w:top w:val="nil"/>
            </w:tcBorders>
          </w:tcPr>
          <w:p w14:paraId="5DBAB7AB" w14:textId="77777777" w:rsidR="00F65BCA" w:rsidRDefault="00F65BCA">
            <w:pPr>
              <w:pStyle w:val="TableParagraph"/>
              <w:rPr>
                <w:rFonts w:ascii="Times New Roman"/>
                <w:sz w:val="2"/>
              </w:rPr>
            </w:pPr>
          </w:p>
        </w:tc>
        <w:tc>
          <w:tcPr>
            <w:tcW w:w="288" w:type="dxa"/>
            <w:tcBorders>
              <w:top w:val="nil"/>
            </w:tcBorders>
          </w:tcPr>
          <w:p w14:paraId="5F24F230" w14:textId="77777777" w:rsidR="00F65BCA" w:rsidRDefault="00F65BCA">
            <w:pPr>
              <w:pStyle w:val="TableParagraph"/>
              <w:rPr>
                <w:rFonts w:ascii="Times New Roman"/>
                <w:sz w:val="2"/>
              </w:rPr>
            </w:pPr>
          </w:p>
        </w:tc>
        <w:tc>
          <w:tcPr>
            <w:tcW w:w="288" w:type="dxa"/>
            <w:tcBorders>
              <w:top w:val="nil"/>
            </w:tcBorders>
          </w:tcPr>
          <w:p w14:paraId="276C05B0" w14:textId="77777777" w:rsidR="00F65BCA" w:rsidRDefault="00F65BCA">
            <w:pPr>
              <w:pStyle w:val="TableParagraph"/>
              <w:rPr>
                <w:rFonts w:ascii="Times New Roman"/>
                <w:sz w:val="2"/>
              </w:rPr>
            </w:pPr>
          </w:p>
        </w:tc>
        <w:tc>
          <w:tcPr>
            <w:tcW w:w="288" w:type="dxa"/>
            <w:tcBorders>
              <w:top w:val="nil"/>
            </w:tcBorders>
          </w:tcPr>
          <w:p w14:paraId="7622FA24" w14:textId="77777777" w:rsidR="00F65BCA" w:rsidRDefault="00F65BCA">
            <w:pPr>
              <w:pStyle w:val="TableParagraph"/>
              <w:rPr>
                <w:rFonts w:ascii="Times New Roman"/>
                <w:sz w:val="2"/>
              </w:rPr>
            </w:pPr>
          </w:p>
        </w:tc>
        <w:tc>
          <w:tcPr>
            <w:tcW w:w="288" w:type="dxa"/>
            <w:tcBorders>
              <w:top w:val="nil"/>
            </w:tcBorders>
          </w:tcPr>
          <w:p w14:paraId="36E322AD" w14:textId="77777777" w:rsidR="00F65BCA" w:rsidRDefault="00F65BCA">
            <w:pPr>
              <w:pStyle w:val="TableParagraph"/>
              <w:rPr>
                <w:rFonts w:ascii="Times New Roman"/>
                <w:sz w:val="2"/>
              </w:rPr>
            </w:pPr>
          </w:p>
        </w:tc>
        <w:tc>
          <w:tcPr>
            <w:tcW w:w="288" w:type="dxa"/>
            <w:tcBorders>
              <w:top w:val="nil"/>
            </w:tcBorders>
          </w:tcPr>
          <w:p w14:paraId="42B61A65" w14:textId="77777777" w:rsidR="00F65BCA" w:rsidRDefault="00F65BCA">
            <w:pPr>
              <w:pStyle w:val="TableParagraph"/>
              <w:rPr>
                <w:rFonts w:ascii="Times New Roman"/>
                <w:sz w:val="2"/>
              </w:rPr>
            </w:pPr>
          </w:p>
        </w:tc>
        <w:tc>
          <w:tcPr>
            <w:tcW w:w="288" w:type="dxa"/>
            <w:tcBorders>
              <w:top w:val="nil"/>
            </w:tcBorders>
          </w:tcPr>
          <w:p w14:paraId="5F1F5C79" w14:textId="77777777" w:rsidR="00F65BCA" w:rsidRDefault="00F65BCA">
            <w:pPr>
              <w:pStyle w:val="TableParagraph"/>
              <w:rPr>
                <w:rFonts w:ascii="Times New Roman"/>
                <w:sz w:val="2"/>
              </w:rPr>
            </w:pPr>
          </w:p>
        </w:tc>
      </w:tr>
      <w:tr w:rsidR="00F65BCA" w14:paraId="130CBD9A" w14:textId="77777777">
        <w:trPr>
          <w:trHeight w:val="11"/>
        </w:trPr>
        <w:tc>
          <w:tcPr>
            <w:tcW w:w="526" w:type="dxa"/>
            <w:vMerge/>
            <w:tcBorders>
              <w:top w:val="nil"/>
              <w:bottom w:val="nil"/>
            </w:tcBorders>
            <w:shd w:val="clear" w:color="auto" w:fill="FCE4D6"/>
          </w:tcPr>
          <w:p w14:paraId="094B0E02" w14:textId="77777777" w:rsidR="00F65BCA" w:rsidRDefault="00F65BCA">
            <w:pPr>
              <w:rPr>
                <w:sz w:val="2"/>
                <w:szCs w:val="2"/>
              </w:rPr>
            </w:pPr>
          </w:p>
        </w:tc>
        <w:tc>
          <w:tcPr>
            <w:tcW w:w="732" w:type="dxa"/>
            <w:vMerge/>
            <w:tcBorders>
              <w:top w:val="nil"/>
              <w:bottom w:val="nil"/>
            </w:tcBorders>
            <w:shd w:val="clear" w:color="auto" w:fill="FCE4D6"/>
          </w:tcPr>
          <w:p w14:paraId="1F652364" w14:textId="77777777" w:rsidR="00F65BCA" w:rsidRDefault="00F65BCA">
            <w:pPr>
              <w:rPr>
                <w:sz w:val="2"/>
                <w:szCs w:val="2"/>
              </w:rPr>
            </w:pPr>
          </w:p>
        </w:tc>
        <w:tc>
          <w:tcPr>
            <w:tcW w:w="958" w:type="dxa"/>
            <w:gridSpan w:val="2"/>
            <w:vMerge w:val="restart"/>
            <w:shd w:val="clear" w:color="auto" w:fill="FCE4D6"/>
          </w:tcPr>
          <w:p w14:paraId="060B83CE" w14:textId="77777777" w:rsidR="00F65BCA" w:rsidRDefault="00216117">
            <w:pPr>
              <w:pStyle w:val="TableParagraph"/>
              <w:spacing w:before="8" w:line="40" w:lineRule="atLeast"/>
              <w:ind w:left="4" w:right="21"/>
              <w:rPr>
                <w:sz w:val="3"/>
              </w:rPr>
            </w:pPr>
            <w:r>
              <w:rPr>
                <w:w w:val="105"/>
                <w:sz w:val="3"/>
              </w:rPr>
              <w:t>MASCOTT; MASTER NAD 3,5 T; MAXITY NAD 3,5T; MESSENGER; MIDLINER; MIDLUM</w:t>
            </w:r>
          </w:p>
        </w:tc>
        <w:tc>
          <w:tcPr>
            <w:tcW w:w="576" w:type="dxa"/>
            <w:tcBorders>
              <w:bottom w:val="nil"/>
            </w:tcBorders>
            <w:shd w:val="clear" w:color="auto" w:fill="FCE4D6"/>
          </w:tcPr>
          <w:p w14:paraId="02CC2C76" w14:textId="77777777" w:rsidR="00F65BCA" w:rsidRDefault="00F65BCA">
            <w:pPr>
              <w:pStyle w:val="TableParagraph"/>
              <w:rPr>
                <w:rFonts w:ascii="Times New Roman"/>
                <w:sz w:val="2"/>
              </w:rPr>
            </w:pPr>
          </w:p>
        </w:tc>
        <w:tc>
          <w:tcPr>
            <w:tcW w:w="576" w:type="dxa"/>
            <w:tcBorders>
              <w:bottom w:val="nil"/>
            </w:tcBorders>
            <w:shd w:val="clear" w:color="auto" w:fill="FCE4D6"/>
          </w:tcPr>
          <w:p w14:paraId="6DD26E4D" w14:textId="77777777" w:rsidR="00F65BCA" w:rsidRDefault="00F65BCA">
            <w:pPr>
              <w:pStyle w:val="TableParagraph"/>
              <w:rPr>
                <w:rFonts w:ascii="Times New Roman"/>
                <w:sz w:val="2"/>
              </w:rPr>
            </w:pPr>
          </w:p>
        </w:tc>
        <w:tc>
          <w:tcPr>
            <w:tcW w:w="50" w:type="dxa"/>
            <w:vMerge/>
            <w:tcBorders>
              <w:top w:val="nil"/>
              <w:bottom w:val="nil"/>
            </w:tcBorders>
          </w:tcPr>
          <w:p w14:paraId="3CDE6C19" w14:textId="77777777" w:rsidR="00F65BCA" w:rsidRDefault="00F65BCA">
            <w:pPr>
              <w:rPr>
                <w:sz w:val="2"/>
                <w:szCs w:val="2"/>
              </w:rPr>
            </w:pPr>
          </w:p>
        </w:tc>
        <w:tc>
          <w:tcPr>
            <w:tcW w:w="288" w:type="dxa"/>
            <w:tcBorders>
              <w:bottom w:val="nil"/>
            </w:tcBorders>
          </w:tcPr>
          <w:p w14:paraId="3BE5C9AF" w14:textId="77777777" w:rsidR="00F65BCA" w:rsidRDefault="00F65BCA">
            <w:pPr>
              <w:pStyle w:val="TableParagraph"/>
              <w:rPr>
                <w:rFonts w:ascii="Times New Roman"/>
                <w:sz w:val="2"/>
              </w:rPr>
            </w:pPr>
          </w:p>
        </w:tc>
        <w:tc>
          <w:tcPr>
            <w:tcW w:w="288" w:type="dxa"/>
            <w:tcBorders>
              <w:bottom w:val="nil"/>
            </w:tcBorders>
          </w:tcPr>
          <w:p w14:paraId="797706CD" w14:textId="77777777" w:rsidR="00F65BCA" w:rsidRDefault="00F65BCA">
            <w:pPr>
              <w:pStyle w:val="TableParagraph"/>
              <w:rPr>
                <w:rFonts w:ascii="Times New Roman"/>
                <w:sz w:val="2"/>
              </w:rPr>
            </w:pPr>
          </w:p>
        </w:tc>
        <w:tc>
          <w:tcPr>
            <w:tcW w:w="288" w:type="dxa"/>
            <w:tcBorders>
              <w:bottom w:val="nil"/>
            </w:tcBorders>
          </w:tcPr>
          <w:p w14:paraId="664CEA92" w14:textId="77777777" w:rsidR="00F65BCA" w:rsidRDefault="00F65BCA">
            <w:pPr>
              <w:pStyle w:val="TableParagraph"/>
              <w:rPr>
                <w:rFonts w:ascii="Times New Roman"/>
                <w:sz w:val="2"/>
              </w:rPr>
            </w:pPr>
          </w:p>
        </w:tc>
        <w:tc>
          <w:tcPr>
            <w:tcW w:w="288" w:type="dxa"/>
            <w:tcBorders>
              <w:bottom w:val="nil"/>
            </w:tcBorders>
          </w:tcPr>
          <w:p w14:paraId="2FCFC5DF" w14:textId="77777777" w:rsidR="00F65BCA" w:rsidRDefault="00F65BCA">
            <w:pPr>
              <w:pStyle w:val="TableParagraph"/>
              <w:rPr>
                <w:rFonts w:ascii="Times New Roman"/>
                <w:sz w:val="2"/>
              </w:rPr>
            </w:pPr>
          </w:p>
        </w:tc>
        <w:tc>
          <w:tcPr>
            <w:tcW w:w="288" w:type="dxa"/>
            <w:tcBorders>
              <w:bottom w:val="nil"/>
            </w:tcBorders>
          </w:tcPr>
          <w:p w14:paraId="50E6C5E4" w14:textId="77777777" w:rsidR="00F65BCA" w:rsidRDefault="00F65BCA">
            <w:pPr>
              <w:pStyle w:val="TableParagraph"/>
              <w:rPr>
                <w:rFonts w:ascii="Times New Roman"/>
                <w:sz w:val="2"/>
              </w:rPr>
            </w:pPr>
          </w:p>
        </w:tc>
        <w:tc>
          <w:tcPr>
            <w:tcW w:w="288" w:type="dxa"/>
            <w:tcBorders>
              <w:bottom w:val="nil"/>
            </w:tcBorders>
          </w:tcPr>
          <w:p w14:paraId="4042996A" w14:textId="77777777" w:rsidR="00F65BCA" w:rsidRDefault="00F65BCA">
            <w:pPr>
              <w:pStyle w:val="TableParagraph"/>
              <w:rPr>
                <w:rFonts w:ascii="Times New Roman"/>
                <w:sz w:val="2"/>
              </w:rPr>
            </w:pPr>
          </w:p>
        </w:tc>
        <w:tc>
          <w:tcPr>
            <w:tcW w:w="288" w:type="dxa"/>
            <w:tcBorders>
              <w:bottom w:val="nil"/>
            </w:tcBorders>
          </w:tcPr>
          <w:p w14:paraId="56044C53" w14:textId="77777777" w:rsidR="00F65BCA" w:rsidRDefault="00F65BCA">
            <w:pPr>
              <w:pStyle w:val="TableParagraph"/>
              <w:rPr>
                <w:rFonts w:ascii="Times New Roman"/>
                <w:sz w:val="2"/>
              </w:rPr>
            </w:pPr>
          </w:p>
        </w:tc>
        <w:tc>
          <w:tcPr>
            <w:tcW w:w="288" w:type="dxa"/>
            <w:tcBorders>
              <w:bottom w:val="nil"/>
            </w:tcBorders>
          </w:tcPr>
          <w:p w14:paraId="7DF0FDAA" w14:textId="77777777" w:rsidR="00F65BCA" w:rsidRDefault="00F65BCA">
            <w:pPr>
              <w:pStyle w:val="TableParagraph"/>
              <w:rPr>
                <w:rFonts w:ascii="Times New Roman"/>
                <w:sz w:val="2"/>
              </w:rPr>
            </w:pPr>
          </w:p>
        </w:tc>
        <w:tc>
          <w:tcPr>
            <w:tcW w:w="288" w:type="dxa"/>
            <w:tcBorders>
              <w:bottom w:val="nil"/>
            </w:tcBorders>
          </w:tcPr>
          <w:p w14:paraId="21406A15" w14:textId="77777777" w:rsidR="00F65BCA" w:rsidRDefault="00F65BCA">
            <w:pPr>
              <w:pStyle w:val="TableParagraph"/>
              <w:rPr>
                <w:rFonts w:ascii="Times New Roman"/>
                <w:sz w:val="2"/>
              </w:rPr>
            </w:pPr>
          </w:p>
        </w:tc>
        <w:tc>
          <w:tcPr>
            <w:tcW w:w="288" w:type="dxa"/>
            <w:tcBorders>
              <w:bottom w:val="nil"/>
            </w:tcBorders>
          </w:tcPr>
          <w:p w14:paraId="3F325CE7" w14:textId="77777777" w:rsidR="00F65BCA" w:rsidRDefault="00F65BCA">
            <w:pPr>
              <w:pStyle w:val="TableParagraph"/>
              <w:rPr>
                <w:rFonts w:ascii="Times New Roman"/>
                <w:sz w:val="2"/>
              </w:rPr>
            </w:pPr>
          </w:p>
        </w:tc>
        <w:tc>
          <w:tcPr>
            <w:tcW w:w="288" w:type="dxa"/>
            <w:tcBorders>
              <w:bottom w:val="nil"/>
            </w:tcBorders>
          </w:tcPr>
          <w:p w14:paraId="0A22E961" w14:textId="77777777" w:rsidR="00F65BCA" w:rsidRDefault="00F65BCA">
            <w:pPr>
              <w:pStyle w:val="TableParagraph"/>
              <w:rPr>
                <w:rFonts w:ascii="Times New Roman"/>
                <w:sz w:val="2"/>
              </w:rPr>
            </w:pPr>
          </w:p>
        </w:tc>
        <w:tc>
          <w:tcPr>
            <w:tcW w:w="288" w:type="dxa"/>
            <w:tcBorders>
              <w:bottom w:val="nil"/>
            </w:tcBorders>
          </w:tcPr>
          <w:p w14:paraId="785FF172" w14:textId="77777777" w:rsidR="00F65BCA" w:rsidRDefault="00F65BCA">
            <w:pPr>
              <w:pStyle w:val="TableParagraph"/>
              <w:rPr>
                <w:rFonts w:ascii="Times New Roman"/>
                <w:sz w:val="2"/>
              </w:rPr>
            </w:pPr>
          </w:p>
        </w:tc>
        <w:tc>
          <w:tcPr>
            <w:tcW w:w="288" w:type="dxa"/>
            <w:tcBorders>
              <w:bottom w:val="nil"/>
            </w:tcBorders>
          </w:tcPr>
          <w:p w14:paraId="13BE9FFF" w14:textId="77777777" w:rsidR="00F65BCA" w:rsidRDefault="00F65BCA">
            <w:pPr>
              <w:pStyle w:val="TableParagraph"/>
              <w:rPr>
                <w:rFonts w:ascii="Times New Roman"/>
                <w:sz w:val="2"/>
              </w:rPr>
            </w:pPr>
          </w:p>
        </w:tc>
      </w:tr>
      <w:tr w:rsidR="00F65BCA" w14:paraId="2DF1DC6C" w14:textId="77777777">
        <w:trPr>
          <w:trHeight w:val="72"/>
        </w:trPr>
        <w:tc>
          <w:tcPr>
            <w:tcW w:w="526" w:type="dxa"/>
            <w:tcBorders>
              <w:top w:val="nil"/>
              <w:bottom w:val="nil"/>
            </w:tcBorders>
            <w:shd w:val="clear" w:color="auto" w:fill="FCE4D6"/>
          </w:tcPr>
          <w:p w14:paraId="6AD266C1" w14:textId="77777777" w:rsidR="00F65BCA" w:rsidRDefault="00F65BCA">
            <w:pPr>
              <w:pStyle w:val="TableParagraph"/>
              <w:rPr>
                <w:rFonts w:ascii="Times New Roman"/>
                <w:sz w:val="2"/>
              </w:rPr>
            </w:pPr>
          </w:p>
        </w:tc>
        <w:tc>
          <w:tcPr>
            <w:tcW w:w="732" w:type="dxa"/>
            <w:tcBorders>
              <w:top w:val="nil"/>
            </w:tcBorders>
            <w:shd w:val="clear" w:color="auto" w:fill="FCE4D6"/>
          </w:tcPr>
          <w:p w14:paraId="24BCE197" w14:textId="77777777" w:rsidR="00F65BCA" w:rsidRDefault="00F65BCA">
            <w:pPr>
              <w:pStyle w:val="TableParagraph"/>
              <w:rPr>
                <w:rFonts w:ascii="Times New Roman"/>
                <w:sz w:val="2"/>
              </w:rPr>
            </w:pPr>
          </w:p>
        </w:tc>
        <w:tc>
          <w:tcPr>
            <w:tcW w:w="958" w:type="dxa"/>
            <w:gridSpan w:val="2"/>
            <w:vMerge/>
            <w:tcBorders>
              <w:top w:val="nil"/>
            </w:tcBorders>
            <w:shd w:val="clear" w:color="auto" w:fill="FCE4D6"/>
          </w:tcPr>
          <w:p w14:paraId="7D2731D9" w14:textId="77777777" w:rsidR="00F65BCA" w:rsidRDefault="00F65BCA">
            <w:pPr>
              <w:rPr>
                <w:sz w:val="2"/>
                <w:szCs w:val="2"/>
              </w:rPr>
            </w:pPr>
          </w:p>
        </w:tc>
        <w:tc>
          <w:tcPr>
            <w:tcW w:w="576" w:type="dxa"/>
            <w:tcBorders>
              <w:top w:val="nil"/>
            </w:tcBorders>
            <w:shd w:val="clear" w:color="auto" w:fill="FCE4D6"/>
          </w:tcPr>
          <w:p w14:paraId="63B0436C" w14:textId="77777777" w:rsidR="00F65BCA" w:rsidRDefault="00216117">
            <w:pPr>
              <w:pStyle w:val="TableParagraph"/>
              <w:spacing w:before="5"/>
              <w:ind w:left="3"/>
              <w:jc w:val="center"/>
              <w:rPr>
                <w:sz w:val="3"/>
              </w:rPr>
            </w:pPr>
            <w:r>
              <w:rPr>
                <w:w w:val="103"/>
                <w:sz w:val="3"/>
              </w:rPr>
              <w:t>-</w:t>
            </w:r>
          </w:p>
        </w:tc>
        <w:tc>
          <w:tcPr>
            <w:tcW w:w="576" w:type="dxa"/>
            <w:tcBorders>
              <w:top w:val="nil"/>
            </w:tcBorders>
            <w:shd w:val="clear" w:color="auto" w:fill="FCE4D6"/>
          </w:tcPr>
          <w:p w14:paraId="7C176E28" w14:textId="77777777" w:rsidR="00F65BCA" w:rsidRDefault="00216117">
            <w:pPr>
              <w:pStyle w:val="TableParagraph"/>
              <w:spacing w:before="5"/>
              <w:ind w:left="3"/>
              <w:jc w:val="center"/>
              <w:rPr>
                <w:sz w:val="3"/>
              </w:rPr>
            </w:pPr>
            <w:r>
              <w:rPr>
                <w:w w:val="103"/>
                <w:sz w:val="3"/>
              </w:rPr>
              <w:t>-</w:t>
            </w:r>
          </w:p>
        </w:tc>
        <w:tc>
          <w:tcPr>
            <w:tcW w:w="50" w:type="dxa"/>
            <w:vMerge/>
            <w:tcBorders>
              <w:top w:val="nil"/>
              <w:bottom w:val="nil"/>
            </w:tcBorders>
          </w:tcPr>
          <w:p w14:paraId="29E9F243" w14:textId="77777777" w:rsidR="00F65BCA" w:rsidRDefault="00F65BCA">
            <w:pPr>
              <w:rPr>
                <w:sz w:val="2"/>
                <w:szCs w:val="2"/>
              </w:rPr>
            </w:pPr>
          </w:p>
        </w:tc>
        <w:tc>
          <w:tcPr>
            <w:tcW w:w="288" w:type="dxa"/>
            <w:tcBorders>
              <w:top w:val="nil"/>
            </w:tcBorders>
          </w:tcPr>
          <w:p w14:paraId="0EFFC664" w14:textId="77777777" w:rsidR="00F65BCA" w:rsidRDefault="00216117">
            <w:pPr>
              <w:pStyle w:val="TableParagraph"/>
              <w:spacing w:before="5"/>
              <w:ind w:left="24" w:right="24"/>
              <w:jc w:val="center"/>
              <w:rPr>
                <w:sz w:val="3"/>
              </w:rPr>
            </w:pPr>
            <w:r>
              <w:rPr>
                <w:w w:val="105"/>
                <w:sz w:val="3"/>
              </w:rPr>
              <w:t>5,434000%</w:t>
            </w:r>
          </w:p>
        </w:tc>
        <w:tc>
          <w:tcPr>
            <w:tcW w:w="288" w:type="dxa"/>
            <w:tcBorders>
              <w:top w:val="nil"/>
            </w:tcBorders>
          </w:tcPr>
          <w:p w14:paraId="056A99D6" w14:textId="77777777" w:rsidR="00F65BCA" w:rsidRDefault="00216117">
            <w:pPr>
              <w:pStyle w:val="TableParagraph"/>
              <w:spacing w:before="5"/>
              <w:ind w:left="24" w:right="24"/>
              <w:jc w:val="center"/>
              <w:rPr>
                <w:sz w:val="3"/>
              </w:rPr>
            </w:pPr>
            <w:r>
              <w:rPr>
                <w:w w:val="105"/>
                <w:sz w:val="3"/>
              </w:rPr>
              <w:t>4,862000%</w:t>
            </w:r>
          </w:p>
        </w:tc>
        <w:tc>
          <w:tcPr>
            <w:tcW w:w="288" w:type="dxa"/>
            <w:tcBorders>
              <w:top w:val="nil"/>
            </w:tcBorders>
          </w:tcPr>
          <w:p w14:paraId="659C605C" w14:textId="77777777" w:rsidR="00F65BCA" w:rsidRDefault="00216117">
            <w:pPr>
              <w:pStyle w:val="TableParagraph"/>
              <w:spacing w:before="5"/>
              <w:ind w:left="64"/>
              <w:rPr>
                <w:sz w:val="3"/>
              </w:rPr>
            </w:pPr>
            <w:r>
              <w:rPr>
                <w:w w:val="105"/>
                <w:sz w:val="3"/>
              </w:rPr>
              <w:t>4,862000%</w:t>
            </w:r>
          </w:p>
        </w:tc>
        <w:tc>
          <w:tcPr>
            <w:tcW w:w="288" w:type="dxa"/>
            <w:tcBorders>
              <w:top w:val="nil"/>
            </w:tcBorders>
          </w:tcPr>
          <w:p w14:paraId="3B299D69" w14:textId="77777777" w:rsidR="00F65BCA" w:rsidRDefault="00216117">
            <w:pPr>
              <w:pStyle w:val="TableParagraph"/>
              <w:spacing w:before="5"/>
              <w:ind w:left="24" w:right="24"/>
              <w:jc w:val="center"/>
              <w:rPr>
                <w:sz w:val="3"/>
              </w:rPr>
            </w:pPr>
            <w:r>
              <w:rPr>
                <w:w w:val="105"/>
                <w:sz w:val="3"/>
              </w:rPr>
              <w:t>4,433000%</w:t>
            </w:r>
          </w:p>
        </w:tc>
        <w:tc>
          <w:tcPr>
            <w:tcW w:w="288" w:type="dxa"/>
            <w:tcBorders>
              <w:top w:val="nil"/>
            </w:tcBorders>
          </w:tcPr>
          <w:p w14:paraId="4688A5E0" w14:textId="77777777" w:rsidR="00F65BCA" w:rsidRDefault="00216117">
            <w:pPr>
              <w:pStyle w:val="TableParagraph"/>
              <w:spacing w:before="5"/>
              <w:ind w:left="64"/>
              <w:rPr>
                <w:sz w:val="3"/>
              </w:rPr>
            </w:pPr>
            <w:r>
              <w:rPr>
                <w:w w:val="105"/>
                <w:sz w:val="3"/>
              </w:rPr>
              <w:t>4,433000%</w:t>
            </w:r>
          </w:p>
        </w:tc>
        <w:tc>
          <w:tcPr>
            <w:tcW w:w="288" w:type="dxa"/>
            <w:tcBorders>
              <w:top w:val="nil"/>
            </w:tcBorders>
          </w:tcPr>
          <w:p w14:paraId="03506F53" w14:textId="77777777" w:rsidR="00F65BCA" w:rsidRDefault="00216117">
            <w:pPr>
              <w:pStyle w:val="TableParagraph"/>
              <w:spacing w:before="5"/>
              <w:ind w:left="24" w:right="24"/>
              <w:jc w:val="center"/>
              <w:rPr>
                <w:sz w:val="3"/>
              </w:rPr>
            </w:pPr>
            <w:r>
              <w:rPr>
                <w:w w:val="105"/>
                <w:sz w:val="3"/>
              </w:rPr>
              <w:t>4,004000%</w:t>
            </w:r>
          </w:p>
        </w:tc>
        <w:tc>
          <w:tcPr>
            <w:tcW w:w="288" w:type="dxa"/>
            <w:tcBorders>
              <w:top w:val="nil"/>
            </w:tcBorders>
          </w:tcPr>
          <w:p w14:paraId="3FCB7AAD" w14:textId="77777777" w:rsidR="00F65BCA" w:rsidRDefault="00216117">
            <w:pPr>
              <w:pStyle w:val="TableParagraph"/>
              <w:spacing w:before="5"/>
              <w:ind w:left="24" w:right="24"/>
              <w:jc w:val="center"/>
              <w:rPr>
                <w:sz w:val="3"/>
              </w:rPr>
            </w:pPr>
            <w:r>
              <w:rPr>
                <w:w w:val="105"/>
                <w:sz w:val="3"/>
              </w:rPr>
              <w:t>4,004000%</w:t>
            </w:r>
          </w:p>
        </w:tc>
        <w:tc>
          <w:tcPr>
            <w:tcW w:w="288" w:type="dxa"/>
            <w:tcBorders>
              <w:top w:val="nil"/>
            </w:tcBorders>
          </w:tcPr>
          <w:p w14:paraId="7C2E092D" w14:textId="77777777" w:rsidR="00F65BCA" w:rsidRDefault="00216117">
            <w:pPr>
              <w:pStyle w:val="TableParagraph"/>
              <w:spacing w:before="5"/>
              <w:ind w:left="64"/>
              <w:rPr>
                <w:sz w:val="3"/>
              </w:rPr>
            </w:pPr>
            <w:r>
              <w:rPr>
                <w:w w:val="105"/>
                <w:sz w:val="3"/>
              </w:rPr>
              <w:t>3,575000%</w:t>
            </w:r>
          </w:p>
        </w:tc>
        <w:tc>
          <w:tcPr>
            <w:tcW w:w="288" w:type="dxa"/>
            <w:tcBorders>
              <w:top w:val="nil"/>
            </w:tcBorders>
          </w:tcPr>
          <w:p w14:paraId="0D22FB63" w14:textId="77777777" w:rsidR="00F65BCA" w:rsidRDefault="00216117">
            <w:pPr>
              <w:pStyle w:val="TableParagraph"/>
              <w:spacing w:before="5"/>
              <w:ind w:left="24" w:right="24"/>
              <w:jc w:val="center"/>
              <w:rPr>
                <w:sz w:val="3"/>
              </w:rPr>
            </w:pPr>
            <w:r>
              <w:rPr>
                <w:w w:val="105"/>
                <w:sz w:val="3"/>
              </w:rPr>
              <w:t>3,575000%</w:t>
            </w:r>
          </w:p>
        </w:tc>
        <w:tc>
          <w:tcPr>
            <w:tcW w:w="288" w:type="dxa"/>
            <w:tcBorders>
              <w:top w:val="nil"/>
            </w:tcBorders>
          </w:tcPr>
          <w:p w14:paraId="1212B825" w14:textId="77777777" w:rsidR="00F65BCA" w:rsidRDefault="00216117">
            <w:pPr>
              <w:pStyle w:val="TableParagraph"/>
              <w:spacing w:before="5"/>
              <w:ind w:left="24" w:right="24"/>
              <w:jc w:val="center"/>
              <w:rPr>
                <w:sz w:val="3"/>
              </w:rPr>
            </w:pPr>
            <w:r>
              <w:rPr>
                <w:w w:val="105"/>
                <w:sz w:val="3"/>
              </w:rPr>
              <w:t>3,289000%</w:t>
            </w:r>
          </w:p>
        </w:tc>
        <w:tc>
          <w:tcPr>
            <w:tcW w:w="288" w:type="dxa"/>
            <w:tcBorders>
              <w:top w:val="nil"/>
            </w:tcBorders>
          </w:tcPr>
          <w:p w14:paraId="732F193D" w14:textId="77777777" w:rsidR="00F65BCA" w:rsidRDefault="00216117">
            <w:pPr>
              <w:pStyle w:val="TableParagraph"/>
              <w:spacing w:before="5"/>
              <w:ind w:left="24" w:right="24"/>
              <w:jc w:val="center"/>
              <w:rPr>
                <w:sz w:val="3"/>
              </w:rPr>
            </w:pPr>
            <w:r>
              <w:rPr>
                <w:w w:val="105"/>
                <w:sz w:val="3"/>
              </w:rPr>
              <w:t>3,146000%</w:t>
            </w:r>
          </w:p>
        </w:tc>
        <w:tc>
          <w:tcPr>
            <w:tcW w:w="288" w:type="dxa"/>
            <w:tcBorders>
              <w:top w:val="nil"/>
            </w:tcBorders>
          </w:tcPr>
          <w:p w14:paraId="70E82308" w14:textId="77777777" w:rsidR="00F65BCA" w:rsidRDefault="00216117">
            <w:pPr>
              <w:pStyle w:val="TableParagraph"/>
              <w:spacing w:before="5"/>
              <w:ind w:left="24" w:right="24"/>
              <w:jc w:val="center"/>
              <w:rPr>
                <w:sz w:val="3"/>
              </w:rPr>
            </w:pPr>
            <w:r>
              <w:rPr>
                <w:w w:val="105"/>
                <w:sz w:val="3"/>
              </w:rPr>
              <w:t>2,860000%</w:t>
            </w:r>
          </w:p>
        </w:tc>
        <w:tc>
          <w:tcPr>
            <w:tcW w:w="288" w:type="dxa"/>
            <w:tcBorders>
              <w:top w:val="nil"/>
            </w:tcBorders>
          </w:tcPr>
          <w:p w14:paraId="1494DD13" w14:textId="77777777" w:rsidR="00F65BCA" w:rsidRDefault="00216117">
            <w:pPr>
              <w:pStyle w:val="TableParagraph"/>
              <w:spacing w:before="5"/>
              <w:ind w:left="64"/>
              <w:rPr>
                <w:sz w:val="3"/>
              </w:rPr>
            </w:pPr>
            <w:r>
              <w:rPr>
                <w:w w:val="105"/>
                <w:sz w:val="3"/>
              </w:rPr>
              <w:t>2,860000%</w:t>
            </w:r>
          </w:p>
        </w:tc>
      </w:tr>
      <w:tr w:rsidR="00F65BCA" w14:paraId="161B4884" w14:textId="77777777">
        <w:trPr>
          <w:trHeight w:val="100"/>
        </w:trPr>
        <w:tc>
          <w:tcPr>
            <w:tcW w:w="526" w:type="dxa"/>
            <w:vMerge w:val="restart"/>
            <w:tcBorders>
              <w:top w:val="nil"/>
              <w:bottom w:val="nil"/>
            </w:tcBorders>
            <w:shd w:val="clear" w:color="auto" w:fill="FCE4D6"/>
          </w:tcPr>
          <w:p w14:paraId="32A1EFC1" w14:textId="77777777" w:rsidR="00F65BCA" w:rsidRDefault="00F65BCA">
            <w:pPr>
              <w:pStyle w:val="TableParagraph"/>
              <w:rPr>
                <w:rFonts w:ascii="Times New Roman"/>
                <w:sz w:val="2"/>
              </w:rPr>
            </w:pPr>
          </w:p>
        </w:tc>
        <w:tc>
          <w:tcPr>
            <w:tcW w:w="732" w:type="dxa"/>
            <w:vMerge w:val="restart"/>
            <w:tcBorders>
              <w:bottom w:val="nil"/>
            </w:tcBorders>
            <w:shd w:val="clear" w:color="auto" w:fill="FCE4D6"/>
          </w:tcPr>
          <w:p w14:paraId="097794C3" w14:textId="77777777" w:rsidR="00F65BCA" w:rsidRDefault="00F65BCA">
            <w:pPr>
              <w:pStyle w:val="TableParagraph"/>
              <w:rPr>
                <w:rFonts w:ascii="Calibri"/>
                <w:sz w:val="2"/>
              </w:rPr>
            </w:pPr>
          </w:p>
          <w:p w14:paraId="4B92A18E" w14:textId="77777777" w:rsidR="00F65BCA" w:rsidRDefault="00F65BCA">
            <w:pPr>
              <w:pStyle w:val="TableParagraph"/>
              <w:rPr>
                <w:rFonts w:ascii="Calibri"/>
                <w:sz w:val="2"/>
              </w:rPr>
            </w:pPr>
          </w:p>
          <w:p w14:paraId="534C9E93" w14:textId="77777777" w:rsidR="00F65BCA" w:rsidRDefault="00F65BCA">
            <w:pPr>
              <w:pStyle w:val="TableParagraph"/>
              <w:rPr>
                <w:rFonts w:ascii="Calibri"/>
                <w:sz w:val="2"/>
              </w:rPr>
            </w:pPr>
          </w:p>
          <w:p w14:paraId="3D6C4D03" w14:textId="77777777" w:rsidR="00F65BCA" w:rsidRDefault="00216117">
            <w:pPr>
              <w:pStyle w:val="TableParagraph"/>
              <w:spacing w:before="12" w:line="24" w:lineRule="exact"/>
              <w:ind w:left="18" w:right="14"/>
              <w:jc w:val="center"/>
              <w:rPr>
                <w:sz w:val="3"/>
              </w:rPr>
            </w:pPr>
            <w:r>
              <w:rPr>
                <w:w w:val="105"/>
                <w:sz w:val="3"/>
              </w:rPr>
              <w:t>Volvo</w:t>
            </w:r>
          </w:p>
        </w:tc>
        <w:tc>
          <w:tcPr>
            <w:tcW w:w="958" w:type="dxa"/>
            <w:gridSpan w:val="2"/>
            <w:shd w:val="clear" w:color="auto" w:fill="FCE4D6"/>
          </w:tcPr>
          <w:p w14:paraId="7ED33D3C" w14:textId="77777777" w:rsidR="00F65BCA" w:rsidRDefault="00216117">
            <w:pPr>
              <w:pStyle w:val="TableParagraph"/>
              <w:spacing w:line="29" w:lineRule="exact"/>
              <w:ind w:left="4"/>
              <w:rPr>
                <w:sz w:val="3"/>
              </w:rPr>
            </w:pPr>
            <w:r>
              <w:rPr>
                <w:w w:val="105"/>
                <w:sz w:val="3"/>
              </w:rPr>
              <w:t>F 10; F 12; F 16; FE 7; FE 8; FH 12; FH 13; FH 16; FL 10; FL 7; FL</w:t>
            </w:r>
          </w:p>
          <w:p w14:paraId="08E11C23" w14:textId="77777777" w:rsidR="00F65BCA" w:rsidRDefault="00216117">
            <w:pPr>
              <w:pStyle w:val="TableParagraph"/>
              <w:spacing w:before="6"/>
              <w:ind w:left="4"/>
              <w:rPr>
                <w:sz w:val="3"/>
              </w:rPr>
            </w:pPr>
            <w:r>
              <w:rPr>
                <w:w w:val="105"/>
                <w:sz w:val="3"/>
              </w:rPr>
              <w:t>8; FM 11; FM 12; FM 13; FM 7; FM 9; FMX 11; FMX 13; JINÉ;</w:t>
            </w:r>
          </w:p>
          <w:p w14:paraId="3F012F93" w14:textId="77777777" w:rsidR="00F65BCA" w:rsidRDefault="00216117">
            <w:pPr>
              <w:pStyle w:val="TableParagraph"/>
              <w:spacing w:before="6" w:line="4" w:lineRule="exact"/>
              <w:ind w:left="4"/>
              <w:rPr>
                <w:sz w:val="3"/>
              </w:rPr>
            </w:pPr>
            <w:r>
              <w:rPr>
                <w:w w:val="105"/>
                <w:sz w:val="3"/>
              </w:rPr>
              <w:t>ŘADA FH</w:t>
            </w:r>
          </w:p>
        </w:tc>
        <w:tc>
          <w:tcPr>
            <w:tcW w:w="576" w:type="dxa"/>
            <w:shd w:val="clear" w:color="auto" w:fill="FCE4D6"/>
          </w:tcPr>
          <w:p w14:paraId="2B8AF178" w14:textId="77777777" w:rsidR="00F65BCA" w:rsidRDefault="00F65BCA">
            <w:pPr>
              <w:pStyle w:val="TableParagraph"/>
              <w:spacing w:before="8"/>
              <w:rPr>
                <w:rFonts w:ascii="Calibri"/>
                <w:sz w:val="2"/>
              </w:rPr>
            </w:pPr>
          </w:p>
          <w:p w14:paraId="0C5E64FC" w14:textId="77777777" w:rsidR="00F65BCA" w:rsidRDefault="00216117">
            <w:pPr>
              <w:pStyle w:val="TableParagraph"/>
              <w:ind w:left="3"/>
              <w:jc w:val="center"/>
              <w:rPr>
                <w:sz w:val="3"/>
              </w:rPr>
            </w:pPr>
            <w:r>
              <w:rPr>
                <w:w w:val="103"/>
                <w:sz w:val="3"/>
              </w:rPr>
              <w:t>-</w:t>
            </w:r>
          </w:p>
        </w:tc>
        <w:tc>
          <w:tcPr>
            <w:tcW w:w="576" w:type="dxa"/>
            <w:shd w:val="clear" w:color="auto" w:fill="FCE4D6"/>
          </w:tcPr>
          <w:p w14:paraId="1C54C99A" w14:textId="77777777" w:rsidR="00F65BCA" w:rsidRDefault="00F65BCA">
            <w:pPr>
              <w:pStyle w:val="TableParagraph"/>
              <w:spacing w:before="8"/>
              <w:rPr>
                <w:rFonts w:ascii="Calibri"/>
                <w:sz w:val="2"/>
              </w:rPr>
            </w:pPr>
          </w:p>
          <w:p w14:paraId="7BC6D94E"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168B86AA" w14:textId="77777777" w:rsidR="00F65BCA" w:rsidRDefault="00F65BCA">
            <w:pPr>
              <w:rPr>
                <w:sz w:val="2"/>
                <w:szCs w:val="2"/>
              </w:rPr>
            </w:pPr>
          </w:p>
        </w:tc>
        <w:tc>
          <w:tcPr>
            <w:tcW w:w="288" w:type="dxa"/>
          </w:tcPr>
          <w:p w14:paraId="01B9EF05" w14:textId="77777777" w:rsidR="00F65BCA" w:rsidRDefault="00F65BCA">
            <w:pPr>
              <w:pStyle w:val="TableParagraph"/>
              <w:spacing w:before="8"/>
              <w:rPr>
                <w:rFonts w:ascii="Calibri"/>
                <w:sz w:val="2"/>
              </w:rPr>
            </w:pPr>
          </w:p>
          <w:p w14:paraId="55133C53" w14:textId="77777777" w:rsidR="00F65BCA" w:rsidRDefault="00216117">
            <w:pPr>
              <w:pStyle w:val="TableParagraph"/>
              <w:ind w:left="24" w:right="24"/>
              <w:jc w:val="center"/>
              <w:rPr>
                <w:sz w:val="3"/>
              </w:rPr>
            </w:pPr>
            <w:r>
              <w:rPr>
                <w:w w:val="105"/>
                <w:sz w:val="3"/>
              </w:rPr>
              <w:t>5,434000%</w:t>
            </w:r>
          </w:p>
        </w:tc>
        <w:tc>
          <w:tcPr>
            <w:tcW w:w="288" w:type="dxa"/>
          </w:tcPr>
          <w:p w14:paraId="5DFE2E1E" w14:textId="77777777" w:rsidR="00F65BCA" w:rsidRDefault="00F65BCA">
            <w:pPr>
              <w:pStyle w:val="TableParagraph"/>
              <w:spacing w:before="8"/>
              <w:rPr>
                <w:rFonts w:ascii="Calibri"/>
                <w:sz w:val="2"/>
              </w:rPr>
            </w:pPr>
          </w:p>
          <w:p w14:paraId="7B3C304D" w14:textId="77777777" w:rsidR="00F65BCA" w:rsidRDefault="00216117">
            <w:pPr>
              <w:pStyle w:val="TableParagraph"/>
              <w:ind w:left="24" w:right="24"/>
              <w:jc w:val="center"/>
              <w:rPr>
                <w:sz w:val="3"/>
              </w:rPr>
            </w:pPr>
            <w:r>
              <w:rPr>
                <w:w w:val="105"/>
                <w:sz w:val="3"/>
              </w:rPr>
              <w:t>4,862000%</w:t>
            </w:r>
          </w:p>
        </w:tc>
        <w:tc>
          <w:tcPr>
            <w:tcW w:w="288" w:type="dxa"/>
          </w:tcPr>
          <w:p w14:paraId="4F160065" w14:textId="77777777" w:rsidR="00F65BCA" w:rsidRDefault="00F65BCA">
            <w:pPr>
              <w:pStyle w:val="TableParagraph"/>
              <w:spacing w:before="8"/>
              <w:rPr>
                <w:rFonts w:ascii="Calibri"/>
                <w:sz w:val="2"/>
              </w:rPr>
            </w:pPr>
          </w:p>
          <w:p w14:paraId="1A19F770" w14:textId="77777777" w:rsidR="00F65BCA" w:rsidRDefault="00216117">
            <w:pPr>
              <w:pStyle w:val="TableParagraph"/>
              <w:ind w:left="64"/>
              <w:rPr>
                <w:sz w:val="3"/>
              </w:rPr>
            </w:pPr>
            <w:r>
              <w:rPr>
                <w:w w:val="105"/>
                <w:sz w:val="3"/>
              </w:rPr>
              <w:t>4,862000%</w:t>
            </w:r>
          </w:p>
        </w:tc>
        <w:tc>
          <w:tcPr>
            <w:tcW w:w="288" w:type="dxa"/>
          </w:tcPr>
          <w:p w14:paraId="713647DF" w14:textId="77777777" w:rsidR="00F65BCA" w:rsidRDefault="00F65BCA">
            <w:pPr>
              <w:pStyle w:val="TableParagraph"/>
              <w:spacing w:before="8"/>
              <w:rPr>
                <w:rFonts w:ascii="Calibri"/>
                <w:sz w:val="2"/>
              </w:rPr>
            </w:pPr>
          </w:p>
          <w:p w14:paraId="4A701B17" w14:textId="77777777" w:rsidR="00F65BCA" w:rsidRDefault="00216117">
            <w:pPr>
              <w:pStyle w:val="TableParagraph"/>
              <w:ind w:left="24" w:right="24"/>
              <w:jc w:val="center"/>
              <w:rPr>
                <w:sz w:val="3"/>
              </w:rPr>
            </w:pPr>
            <w:r>
              <w:rPr>
                <w:w w:val="105"/>
                <w:sz w:val="3"/>
              </w:rPr>
              <w:t>4,433000%</w:t>
            </w:r>
          </w:p>
        </w:tc>
        <w:tc>
          <w:tcPr>
            <w:tcW w:w="288" w:type="dxa"/>
          </w:tcPr>
          <w:p w14:paraId="49CC1C8B" w14:textId="77777777" w:rsidR="00F65BCA" w:rsidRDefault="00F65BCA">
            <w:pPr>
              <w:pStyle w:val="TableParagraph"/>
              <w:spacing w:before="8"/>
              <w:rPr>
                <w:rFonts w:ascii="Calibri"/>
                <w:sz w:val="2"/>
              </w:rPr>
            </w:pPr>
          </w:p>
          <w:p w14:paraId="366FDC82" w14:textId="77777777" w:rsidR="00F65BCA" w:rsidRDefault="00216117">
            <w:pPr>
              <w:pStyle w:val="TableParagraph"/>
              <w:ind w:left="64"/>
              <w:rPr>
                <w:sz w:val="3"/>
              </w:rPr>
            </w:pPr>
            <w:r>
              <w:rPr>
                <w:w w:val="105"/>
                <w:sz w:val="3"/>
              </w:rPr>
              <w:t>4,433000%</w:t>
            </w:r>
          </w:p>
        </w:tc>
        <w:tc>
          <w:tcPr>
            <w:tcW w:w="288" w:type="dxa"/>
          </w:tcPr>
          <w:p w14:paraId="7C6B4329" w14:textId="77777777" w:rsidR="00F65BCA" w:rsidRDefault="00F65BCA">
            <w:pPr>
              <w:pStyle w:val="TableParagraph"/>
              <w:spacing w:before="8"/>
              <w:rPr>
                <w:rFonts w:ascii="Calibri"/>
                <w:sz w:val="2"/>
              </w:rPr>
            </w:pPr>
          </w:p>
          <w:p w14:paraId="39FC773A" w14:textId="77777777" w:rsidR="00F65BCA" w:rsidRDefault="00216117">
            <w:pPr>
              <w:pStyle w:val="TableParagraph"/>
              <w:ind w:left="24" w:right="24"/>
              <w:jc w:val="center"/>
              <w:rPr>
                <w:sz w:val="3"/>
              </w:rPr>
            </w:pPr>
            <w:r>
              <w:rPr>
                <w:w w:val="105"/>
                <w:sz w:val="3"/>
              </w:rPr>
              <w:t>4,004000%</w:t>
            </w:r>
          </w:p>
        </w:tc>
        <w:tc>
          <w:tcPr>
            <w:tcW w:w="288" w:type="dxa"/>
          </w:tcPr>
          <w:p w14:paraId="2576C550" w14:textId="77777777" w:rsidR="00F65BCA" w:rsidRDefault="00F65BCA">
            <w:pPr>
              <w:pStyle w:val="TableParagraph"/>
              <w:spacing w:before="8"/>
              <w:rPr>
                <w:rFonts w:ascii="Calibri"/>
                <w:sz w:val="2"/>
              </w:rPr>
            </w:pPr>
          </w:p>
          <w:p w14:paraId="587C4E5A" w14:textId="77777777" w:rsidR="00F65BCA" w:rsidRDefault="00216117">
            <w:pPr>
              <w:pStyle w:val="TableParagraph"/>
              <w:ind w:left="24" w:right="24"/>
              <w:jc w:val="center"/>
              <w:rPr>
                <w:sz w:val="3"/>
              </w:rPr>
            </w:pPr>
            <w:r>
              <w:rPr>
                <w:w w:val="105"/>
                <w:sz w:val="3"/>
              </w:rPr>
              <w:t>4,004000%</w:t>
            </w:r>
          </w:p>
        </w:tc>
        <w:tc>
          <w:tcPr>
            <w:tcW w:w="288" w:type="dxa"/>
          </w:tcPr>
          <w:p w14:paraId="33D6A6B1" w14:textId="77777777" w:rsidR="00F65BCA" w:rsidRDefault="00F65BCA">
            <w:pPr>
              <w:pStyle w:val="TableParagraph"/>
              <w:spacing w:before="8"/>
              <w:rPr>
                <w:rFonts w:ascii="Calibri"/>
                <w:sz w:val="2"/>
              </w:rPr>
            </w:pPr>
          </w:p>
          <w:p w14:paraId="4CC59F87" w14:textId="77777777" w:rsidR="00F65BCA" w:rsidRDefault="00216117">
            <w:pPr>
              <w:pStyle w:val="TableParagraph"/>
              <w:ind w:left="64"/>
              <w:rPr>
                <w:sz w:val="3"/>
              </w:rPr>
            </w:pPr>
            <w:r>
              <w:rPr>
                <w:w w:val="105"/>
                <w:sz w:val="3"/>
              </w:rPr>
              <w:t>3,575000%</w:t>
            </w:r>
          </w:p>
        </w:tc>
        <w:tc>
          <w:tcPr>
            <w:tcW w:w="288" w:type="dxa"/>
          </w:tcPr>
          <w:p w14:paraId="5485E5F8" w14:textId="77777777" w:rsidR="00F65BCA" w:rsidRDefault="00F65BCA">
            <w:pPr>
              <w:pStyle w:val="TableParagraph"/>
              <w:spacing w:before="8"/>
              <w:rPr>
                <w:rFonts w:ascii="Calibri"/>
                <w:sz w:val="2"/>
              </w:rPr>
            </w:pPr>
          </w:p>
          <w:p w14:paraId="2FD43276" w14:textId="77777777" w:rsidR="00F65BCA" w:rsidRDefault="00216117">
            <w:pPr>
              <w:pStyle w:val="TableParagraph"/>
              <w:ind w:left="24" w:right="24"/>
              <w:jc w:val="center"/>
              <w:rPr>
                <w:sz w:val="3"/>
              </w:rPr>
            </w:pPr>
            <w:r>
              <w:rPr>
                <w:w w:val="105"/>
                <w:sz w:val="3"/>
              </w:rPr>
              <w:t>3,575000%</w:t>
            </w:r>
          </w:p>
        </w:tc>
        <w:tc>
          <w:tcPr>
            <w:tcW w:w="288" w:type="dxa"/>
          </w:tcPr>
          <w:p w14:paraId="7AA0AAC3" w14:textId="77777777" w:rsidR="00F65BCA" w:rsidRDefault="00F65BCA">
            <w:pPr>
              <w:pStyle w:val="TableParagraph"/>
              <w:spacing w:before="8"/>
              <w:rPr>
                <w:rFonts w:ascii="Calibri"/>
                <w:sz w:val="2"/>
              </w:rPr>
            </w:pPr>
          </w:p>
          <w:p w14:paraId="00C3E923" w14:textId="77777777" w:rsidR="00F65BCA" w:rsidRDefault="00216117">
            <w:pPr>
              <w:pStyle w:val="TableParagraph"/>
              <w:ind w:left="24" w:right="24"/>
              <w:jc w:val="center"/>
              <w:rPr>
                <w:sz w:val="3"/>
              </w:rPr>
            </w:pPr>
            <w:r>
              <w:rPr>
                <w:w w:val="105"/>
                <w:sz w:val="3"/>
              </w:rPr>
              <w:t>3,289000%</w:t>
            </w:r>
          </w:p>
        </w:tc>
        <w:tc>
          <w:tcPr>
            <w:tcW w:w="288" w:type="dxa"/>
          </w:tcPr>
          <w:p w14:paraId="76D3A593" w14:textId="77777777" w:rsidR="00F65BCA" w:rsidRDefault="00F65BCA">
            <w:pPr>
              <w:pStyle w:val="TableParagraph"/>
              <w:spacing w:before="8"/>
              <w:rPr>
                <w:rFonts w:ascii="Calibri"/>
                <w:sz w:val="2"/>
              </w:rPr>
            </w:pPr>
          </w:p>
          <w:p w14:paraId="3083EBA5" w14:textId="77777777" w:rsidR="00F65BCA" w:rsidRDefault="00216117">
            <w:pPr>
              <w:pStyle w:val="TableParagraph"/>
              <w:ind w:left="24" w:right="24"/>
              <w:jc w:val="center"/>
              <w:rPr>
                <w:sz w:val="3"/>
              </w:rPr>
            </w:pPr>
            <w:r>
              <w:rPr>
                <w:w w:val="105"/>
                <w:sz w:val="3"/>
              </w:rPr>
              <w:t>3,146000%</w:t>
            </w:r>
          </w:p>
        </w:tc>
        <w:tc>
          <w:tcPr>
            <w:tcW w:w="288" w:type="dxa"/>
          </w:tcPr>
          <w:p w14:paraId="4FF3E5E4" w14:textId="77777777" w:rsidR="00F65BCA" w:rsidRDefault="00F65BCA">
            <w:pPr>
              <w:pStyle w:val="TableParagraph"/>
              <w:spacing w:before="8"/>
              <w:rPr>
                <w:rFonts w:ascii="Calibri"/>
                <w:sz w:val="2"/>
              </w:rPr>
            </w:pPr>
          </w:p>
          <w:p w14:paraId="5AC74A92" w14:textId="77777777" w:rsidR="00F65BCA" w:rsidRDefault="00216117">
            <w:pPr>
              <w:pStyle w:val="TableParagraph"/>
              <w:ind w:left="24" w:right="24"/>
              <w:jc w:val="center"/>
              <w:rPr>
                <w:sz w:val="3"/>
              </w:rPr>
            </w:pPr>
            <w:r>
              <w:rPr>
                <w:w w:val="105"/>
                <w:sz w:val="3"/>
              </w:rPr>
              <w:t>2,860000%</w:t>
            </w:r>
          </w:p>
        </w:tc>
        <w:tc>
          <w:tcPr>
            <w:tcW w:w="288" w:type="dxa"/>
          </w:tcPr>
          <w:p w14:paraId="2A84AEB6" w14:textId="77777777" w:rsidR="00F65BCA" w:rsidRDefault="00F65BCA">
            <w:pPr>
              <w:pStyle w:val="TableParagraph"/>
              <w:spacing w:before="8"/>
              <w:rPr>
                <w:rFonts w:ascii="Calibri"/>
                <w:sz w:val="2"/>
              </w:rPr>
            </w:pPr>
          </w:p>
          <w:p w14:paraId="3F2F56A2" w14:textId="77777777" w:rsidR="00F65BCA" w:rsidRDefault="00216117">
            <w:pPr>
              <w:pStyle w:val="TableParagraph"/>
              <w:ind w:left="64"/>
              <w:rPr>
                <w:sz w:val="3"/>
              </w:rPr>
            </w:pPr>
            <w:r>
              <w:rPr>
                <w:w w:val="105"/>
                <w:sz w:val="3"/>
              </w:rPr>
              <w:t>2,860000%</w:t>
            </w:r>
          </w:p>
        </w:tc>
      </w:tr>
      <w:tr w:rsidR="00F65BCA" w14:paraId="3DB5083E" w14:textId="77777777">
        <w:trPr>
          <w:trHeight w:val="23"/>
        </w:trPr>
        <w:tc>
          <w:tcPr>
            <w:tcW w:w="526" w:type="dxa"/>
            <w:vMerge/>
            <w:tcBorders>
              <w:top w:val="nil"/>
              <w:bottom w:val="nil"/>
            </w:tcBorders>
            <w:shd w:val="clear" w:color="auto" w:fill="FCE4D6"/>
          </w:tcPr>
          <w:p w14:paraId="2FB9A441" w14:textId="77777777" w:rsidR="00F65BCA" w:rsidRDefault="00F65BCA">
            <w:pPr>
              <w:rPr>
                <w:sz w:val="2"/>
                <w:szCs w:val="2"/>
              </w:rPr>
            </w:pPr>
          </w:p>
        </w:tc>
        <w:tc>
          <w:tcPr>
            <w:tcW w:w="732" w:type="dxa"/>
            <w:vMerge/>
            <w:tcBorders>
              <w:top w:val="nil"/>
              <w:bottom w:val="nil"/>
            </w:tcBorders>
            <w:shd w:val="clear" w:color="auto" w:fill="FCE4D6"/>
          </w:tcPr>
          <w:p w14:paraId="7FDF2335" w14:textId="77777777" w:rsidR="00F65BCA" w:rsidRDefault="00F65BCA">
            <w:pPr>
              <w:rPr>
                <w:sz w:val="2"/>
                <w:szCs w:val="2"/>
              </w:rPr>
            </w:pPr>
          </w:p>
        </w:tc>
        <w:tc>
          <w:tcPr>
            <w:tcW w:w="958" w:type="dxa"/>
            <w:gridSpan w:val="2"/>
            <w:tcBorders>
              <w:bottom w:val="nil"/>
            </w:tcBorders>
            <w:shd w:val="clear" w:color="auto" w:fill="FCE4D6"/>
          </w:tcPr>
          <w:p w14:paraId="2E56A10A" w14:textId="77777777" w:rsidR="00F65BCA" w:rsidRDefault="00F65BCA">
            <w:pPr>
              <w:pStyle w:val="TableParagraph"/>
              <w:rPr>
                <w:rFonts w:ascii="Times New Roman"/>
                <w:sz w:val="2"/>
              </w:rPr>
            </w:pPr>
          </w:p>
        </w:tc>
        <w:tc>
          <w:tcPr>
            <w:tcW w:w="576" w:type="dxa"/>
            <w:tcBorders>
              <w:bottom w:val="nil"/>
            </w:tcBorders>
            <w:shd w:val="clear" w:color="auto" w:fill="FCE4D6"/>
          </w:tcPr>
          <w:p w14:paraId="4C6CCEFB" w14:textId="77777777" w:rsidR="00F65BCA" w:rsidRDefault="00F65BCA">
            <w:pPr>
              <w:pStyle w:val="TableParagraph"/>
              <w:rPr>
                <w:rFonts w:ascii="Times New Roman"/>
                <w:sz w:val="2"/>
              </w:rPr>
            </w:pPr>
          </w:p>
        </w:tc>
        <w:tc>
          <w:tcPr>
            <w:tcW w:w="576" w:type="dxa"/>
            <w:tcBorders>
              <w:bottom w:val="nil"/>
            </w:tcBorders>
            <w:shd w:val="clear" w:color="auto" w:fill="FCE4D6"/>
          </w:tcPr>
          <w:p w14:paraId="054D3E91" w14:textId="77777777" w:rsidR="00F65BCA" w:rsidRDefault="00F65BCA">
            <w:pPr>
              <w:pStyle w:val="TableParagraph"/>
              <w:rPr>
                <w:rFonts w:ascii="Times New Roman"/>
                <w:sz w:val="2"/>
              </w:rPr>
            </w:pPr>
          </w:p>
        </w:tc>
        <w:tc>
          <w:tcPr>
            <w:tcW w:w="50" w:type="dxa"/>
            <w:vMerge/>
            <w:tcBorders>
              <w:top w:val="nil"/>
              <w:bottom w:val="nil"/>
            </w:tcBorders>
          </w:tcPr>
          <w:p w14:paraId="7F65E9CF" w14:textId="77777777" w:rsidR="00F65BCA" w:rsidRDefault="00F65BCA">
            <w:pPr>
              <w:rPr>
                <w:sz w:val="2"/>
                <w:szCs w:val="2"/>
              </w:rPr>
            </w:pPr>
          </w:p>
        </w:tc>
        <w:tc>
          <w:tcPr>
            <w:tcW w:w="288" w:type="dxa"/>
            <w:tcBorders>
              <w:bottom w:val="nil"/>
            </w:tcBorders>
          </w:tcPr>
          <w:p w14:paraId="03C79FB1" w14:textId="77777777" w:rsidR="00F65BCA" w:rsidRDefault="00F65BCA">
            <w:pPr>
              <w:pStyle w:val="TableParagraph"/>
              <w:rPr>
                <w:rFonts w:ascii="Times New Roman"/>
                <w:sz w:val="2"/>
              </w:rPr>
            </w:pPr>
          </w:p>
        </w:tc>
        <w:tc>
          <w:tcPr>
            <w:tcW w:w="288" w:type="dxa"/>
            <w:tcBorders>
              <w:bottom w:val="nil"/>
            </w:tcBorders>
          </w:tcPr>
          <w:p w14:paraId="1C45F596" w14:textId="77777777" w:rsidR="00F65BCA" w:rsidRDefault="00F65BCA">
            <w:pPr>
              <w:pStyle w:val="TableParagraph"/>
              <w:rPr>
                <w:rFonts w:ascii="Times New Roman"/>
                <w:sz w:val="2"/>
              </w:rPr>
            </w:pPr>
          </w:p>
        </w:tc>
        <w:tc>
          <w:tcPr>
            <w:tcW w:w="288" w:type="dxa"/>
            <w:tcBorders>
              <w:bottom w:val="nil"/>
            </w:tcBorders>
          </w:tcPr>
          <w:p w14:paraId="42EB3C61" w14:textId="77777777" w:rsidR="00F65BCA" w:rsidRDefault="00F65BCA">
            <w:pPr>
              <w:pStyle w:val="TableParagraph"/>
              <w:rPr>
                <w:rFonts w:ascii="Times New Roman"/>
                <w:sz w:val="2"/>
              </w:rPr>
            </w:pPr>
          </w:p>
        </w:tc>
        <w:tc>
          <w:tcPr>
            <w:tcW w:w="288" w:type="dxa"/>
            <w:tcBorders>
              <w:bottom w:val="nil"/>
            </w:tcBorders>
          </w:tcPr>
          <w:p w14:paraId="55783A9E" w14:textId="77777777" w:rsidR="00F65BCA" w:rsidRDefault="00F65BCA">
            <w:pPr>
              <w:pStyle w:val="TableParagraph"/>
              <w:rPr>
                <w:rFonts w:ascii="Times New Roman"/>
                <w:sz w:val="2"/>
              </w:rPr>
            </w:pPr>
          </w:p>
        </w:tc>
        <w:tc>
          <w:tcPr>
            <w:tcW w:w="288" w:type="dxa"/>
            <w:tcBorders>
              <w:bottom w:val="nil"/>
            </w:tcBorders>
          </w:tcPr>
          <w:p w14:paraId="006D9007" w14:textId="77777777" w:rsidR="00F65BCA" w:rsidRDefault="00F65BCA">
            <w:pPr>
              <w:pStyle w:val="TableParagraph"/>
              <w:rPr>
                <w:rFonts w:ascii="Times New Roman"/>
                <w:sz w:val="2"/>
              </w:rPr>
            </w:pPr>
          </w:p>
        </w:tc>
        <w:tc>
          <w:tcPr>
            <w:tcW w:w="288" w:type="dxa"/>
            <w:tcBorders>
              <w:bottom w:val="nil"/>
            </w:tcBorders>
          </w:tcPr>
          <w:p w14:paraId="063AFABE" w14:textId="77777777" w:rsidR="00F65BCA" w:rsidRDefault="00F65BCA">
            <w:pPr>
              <w:pStyle w:val="TableParagraph"/>
              <w:rPr>
                <w:rFonts w:ascii="Times New Roman"/>
                <w:sz w:val="2"/>
              </w:rPr>
            </w:pPr>
          </w:p>
        </w:tc>
        <w:tc>
          <w:tcPr>
            <w:tcW w:w="288" w:type="dxa"/>
            <w:tcBorders>
              <w:bottom w:val="nil"/>
            </w:tcBorders>
          </w:tcPr>
          <w:p w14:paraId="1FB20638" w14:textId="77777777" w:rsidR="00F65BCA" w:rsidRDefault="00F65BCA">
            <w:pPr>
              <w:pStyle w:val="TableParagraph"/>
              <w:rPr>
                <w:rFonts w:ascii="Times New Roman"/>
                <w:sz w:val="2"/>
              </w:rPr>
            </w:pPr>
          </w:p>
        </w:tc>
        <w:tc>
          <w:tcPr>
            <w:tcW w:w="288" w:type="dxa"/>
            <w:tcBorders>
              <w:bottom w:val="nil"/>
            </w:tcBorders>
          </w:tcPr>
          <w:p w14:paraId="0BA5645A" w14:textId="77777777" w:rsidR="00F65BCA" w:rsidRDefault="00F65BCA">
            <w:pPr>
              <w:pStyle w:val="TableParagraph"/>
              <w:rPr>
                <w:rFonts w:ascii="Times New Roman"/>
                <w:sz w:val="2"/>
              </w:rPr>
            </w:pPr>
          </w:p>
        </w:tc>
        <w:tc>
          <w:tcPr>
            <w:tcW w:w="288" w:type="dxa"/>
            <w:tcBorders>
              <w:bottom w:val="nil"/>
            </w:tcBorders>
          </w:tcPr>
          <w:p w14:paraId="63078841" w14:textId="77777777" w:rsidR="00F65BCA" w:rsidRDefault="00F65BCA">
            <w:pPr>
              <w:pStyle w:val="TableParagraph"/>
              <w:rPr>
                <w:rFonts w:ascii="Times New Roman"/>
                <w:sz w:val="2"/>
              </w:rPr>
            </w:pPr>
          </w:p>
        </w:tc>
        <w:tc>
          <w:tcPr>
            <w:tcW w:w="288" w:type="dxa"/>
            <w:tcBorders>
              <w:bottom w:val="nil"/>
            </w:tcBorders>
          </w:tcPr>
          <w:p w14:paraId="3303069C" w14:textId="77777777" w:rsidR="00F65BCA" w:rsidRDefault="00F65BCA">
            <w:pPr>
              <w:pStyle w:val="TableParagraph"/>
              <w:rPr>
                <w:rFonts w:ascii="Times New Roman"/>
                <w:sz w:val="2"/>
              </w:rPr>
            </w:pPr>
          </w:p>
        </w:tc>
        <w:tc>
          <w:tcPr>
            <w:tcW w:w="288" w:type="dxa"/>
            <w:tcBorders>
              <w:bottom w:val="nil"/>
            </w:tcBorders>
          </w:tcPr>
          <w:p w14:paraId="16215A81" w14:textId="77777777" w:rsidR="00F65BCA" w:rsidRDefault="00F65BCA">
            <w:pPr>
              <w:pStyle w:val="TableParagraph"/>
              <w:rPr>
                <w:rFonts w:ascii="Times New Roman"/>
                <w:sz w:val="2"/>
              </w:rPr>
            </w:pPr>
          </w:p>
        </w:tc>
        <w:tc>
          <w:tcPr>
            <w:tcW w:w="288" w:type="dxa"/>
            <w:tcBorders>
              <w:bottom w:val="nil"/>
            </w:tcBorders>
          </w:tcPr>
          <w:p w14:paraId="1899B373" w14:textId="77777777" w:rsidR="00F65BCA" w:rsidRDefault="00F65BCA">
            <w:pPr>
              <w:pStyle w:val="TableParagraph"/>
              <w:rPr>
                <w:rFonts w:ascii="Times New Roman"/>
                <w:sz w:val="2"/>
              </w:rPr>
            </w:pPr>
          </w:p>
        </w:tc>
        <w:tc>
          <w:tcPr>
            <w:tcW w:w="288" w:type="dxa"/>
            <w:tcBorders>
              <w:bottom w:val="nil"/>
            </w:tcBorders>
          </w:tcPr>
          <w:p w14:paraId="5B85F92D" w14:textId="77777777" w:rsidR="00F65BCA" w:rsidRDefault="00F65BCA">
            <w:pPr>
              <w:pStyle w:val="TableParagraph"/>
              <w:rPr>
                <w:rFonts w:ascii="Times New Roman"/>
                <w:sz w:val="2"/>
              </w:rPr>
            </w:pPr>
          </w:p>
        </w:tc>
      </w:tr>
      <w:tr w:rsidR="00F65BCA" w14:paraId="687F91B9" w14:textId="77777777">
        <w:trPr>
          <w:trHeight w:val="76"/>
        </w:trPr>
        <w:tc>
          <w:tcPr>
            <w:tcW w:w="526" w:type="dxa"/>
            <w:tcBorders>
              <w:top w:val="nil"/>
              <w:bottom w:val="nil"/>
            </w:tcBorders>
            <w:shd w:val="clear" w:color="auto" w:fill="FCE4D6"/>
          </w:tcPr>
          <w:p w14:paraId="650A04A5" w14:textId="77777777" w:rsidR="00F65BCA" w:rsidRDefault="00F65BCA">
            <w:pPr>
              <w:pStyle w:val="TableParagraph"/>
              <w:rPr>
                <w:rFonts w:ascii="Times New Roman"/>
                <w:sz w:val="2"/>
              </w:rPr>
            </w:pPr>
          </w:p>
        </w:tc>
        <w:tc>
          <w:tcPr>
            <w:tcW w:w="732" w:type="dxa"/>
            <w:tcBorders>
              <w:top w:val="nil"/>
            </w:tcBorders>
            <w:shd w:val="clear" w:color="auto" w:fill="FCE4D6"/>
          </w:tcPr>
          <w:p w14:paraId="4C610AC7" w14:textId="77777777" w:rsidR="00F65BCA" w:rsidRDefault="00F65BCA">
            <w:pPr>
              <w:pStyle w:val="TableParagraph"/>
              <w:rPr>
                <w:rFonts w:ascii="Times New Roman"/>
                <w:sz w:val="2"/>
              </w:rPr>
            </w:pPr>
          </w:p>
        </w:tc>
        <w:tc>
          <w:tcPr>
            <w:tcW w:w="958" w:type="dxa"/>
            <w:gridSpan w:val="2"/>
            <w:tcBorders>
              <w:top w:val="nil"/>
            </w:tcBorders>
            <w:shd w:val="clear" w:color="auto" w:fill="FCE4D6"/>
          </w:tcPr>
          <w:p w14:paraId="41E75028" w14:textId="77777777" w:rsidR="00F65BCA" w:rsidRDefault="00216117">
            <w:pPr>
              <w:pStyle w:val="TableParagraph"/>
              <w:spacing w:before="9"/>
              <w:ind w:left="4"/>
              <w:rPr>
                <w:sz w:val="3"/>
              </w:rPr>
            </w:pPr>
            <w:r>
              <w:rPr>
                <w:w w:val="105"/>
                <w:sz w:val="3"/>
              </w:rPr>
              <w:t>FL 5; FL 6; FL C</w:t>
            </w:r>
          </w:p>
        </w:tc>
        <w:tc>
          <w:tcPr>
            <w:tcW w:w="576" w:type="dxa"/>
            <w:tcBorders>
              <w:top w:val="nil"/>
            </w:tcBorders>
            <w:shd w:val="clear" w:color="auto" w:fill="FCE4D6"/>
          </w:tcPr>
          <w:p w14:paraId="61FADC88" w14:textId="77777777" w:rsidR="00F65BCA" w:rsidRDefault="00216117">
            <w:pPr>
              <w:pStyle w:val="TableParagraph"/>
              <w:spacing w:before="9"/>
              <w:ind w:left="3"/>
              <w:jc w:val="center"/>
              <w:rPr>
                <w:sz w:val="3"/>
              </w:rPr>
            </w:pPr>
            <w:r>
              <w:rPr>
                <w:w w:val="103"/>
                <w:sz w:val="3"/>
              </w:rPr>
              <w:t>-</w:t>
            </w:r>
          </w:p>
        </w:tc>
        <w:tc>
          <w:tcPr>
            <w:tcW w:w="576" w:type="dxa"/>
            <w:tcBorders>
              <w:top w:val="nil"/>
            </w:tcBorders>
            <w:shd w:val="clear" w:color="auto" w:fill="FCE4D6"/>
          </w:tcPr>
          <w:p w14:paraId="6FEB2A9D" w14:textId="77777777" w:rsidR="00F65BCA" w:rsidRDefault="00216117">
            <w:pPr>
              <w:pStyle w:val="TableParagraph"/>
              <w:spacing w:before="9"/>
              <w:ind w:left="3"/>
              <w:jc w:val="center"/>
              <w:rPr>
                <w:sz w:val="3"/>
              </w:rPr>
            </w:pPr>
            <w:r>
              <w:rPr>
                <w:w w:val="103"/>
                <w:sz w:val="3"/>
              </w:rPr>
              <w:t>-</w:t>
            </w:r>
          </w:p>
        </w:tc>
        <w:tc>
          <w:tcPr>
            <w:tcW w:w="50" w:type="dxa"/>
            <w:vMerge/>
            <w:tcBorders>
              <w:top w:val="nil"/>
              <w:bottom w:val="nil"/>
            </w:tcBorders>
          </w:tcPr>
          <w:p w14:paraId="2BCEC7BE" w14:textId="77777777" w:rsidR="00F65BCA" w:rsidRDefault="00F65BCA">
            <w:pPr>
              <w:rPr>
                <w:sz w:val="2"/>
                <w:szCs w:val="2"/>
              </w:rPr>
            </w:pPr>
          </w:p>
        </w:tc>
        <w:tc>
          <w:tcPr>
            <w:tcW w:w="288" w:type="dxa"/>
            <w:tcBorders>
              <w:top w:val="nil"/>
            </w:tcBorders>
          </w:tcPr>
          <w:p w14:paraId="36D17D7F" w14:textId="77777777" w:rsidR="00F65BCA" w:rsidRDefault="00216117">
            <w:pPr>
              <w:pStyle w:val="TableParagraph"/>
              <w:spacing w:before="9"/>
              <w:ind w:left="24" w:right="24"/>
              <w:jc w:val="center"/>
              <w:rPr>
                <w:sz w:val="3"/>
              </w:rPr>
            </w:pPr>
            <w:r>
              <w:rPr>
                <w:w w:val="105"/>
                <w:sz w:val="3"/>
              </w:rPr>
              <w:t>5,434000%</w:t>
            </w:r>
          </w:p>
        </w:tc>
        <w:tc>
          <w:tcPr>
            <w:tcW w:w="288" w:type="dxa"/>
            <w:tcBorders>
              <w:top w:val="nil"/>
            </w:tcBorders>
          </w:tcPr>
          <w:p w14:paraId="1DC830D4" w14:textId="77777777" w:rsidR="00F65BCA" w:rsidRDefault="00216117">
            <w:pPr>
              <w:pStyle w:val="TableParagraph"/>
              <w:spacing w:before="9"/>
              <w:ind w:left="24" w:right="24"/>
              <w:jc w:val="center"/>
              <w:rPr>
                <w:sz w:val="3"/>
              </w:rPr>
            </w:pPr>
            <w:r>
              <w:rPr>
                <w:w w:val="105"/>
                <w:sz w:val="3"/>
              </w:rPr>
              <w:t>4,862000%</w:t>
            </w:r>
          </w:p>
        </w:tc>
        <w:tc>
          <w:tcPr>
            <w:tcW w:w="288" w:type="dxa"/>
            <w:tcBorders>
              <w:top w:val="nil"/>
            </w:tcBorders>
          </w:tcPr>
          <w:p w14:paraId="2405F7A1" w14:textId="77777777" w:rsidR="00F65BCA" w:rsidRDefault="00216117">
            <w:pPr>
              <w:pStyle w:val="TableParagraph"/>
              <w:spacing w:before="9"/>
              <w:ind w:left="64"/>
              <w:rPr>
                <w:sz w:val="3"/>
              </w:rPr>
            </w:pPr>
            <w:r>
              <w:rPr>
                <w:w w:val="105"/>
                <w:sz w:val="3"/>
              </w:rPr>
              <w:t>4,862000%</w:t>
            </w:r>
          </w:p>
        </w:tc>
        <w:tc>
          <w:tcPr>
            <w:tcW w:w="288" w:type="dxa"/>
            <w:tcBorders>
              <w:top w:val="nil"/>
            </w:tcBorders>
          </w:tcPr>
          <w:p w14:paraId="13F9A153" w14:textId="77777777" w:rsidR="00F65BCA" w:rsidRDefault="00216117">
            <w:pPr>
              <w:pStyle w:val="TableParagraph"/>
              <w:spacing w:before="9"/>
              <w:ind w:left="24" w:right="24"/>
              <w:jc w:val="center"/>
              <w:rPr>
                <w:sz w:val="3"/>
              </w:rPr>
            </w:pPr>
            <w:r>
              <w:rPr>
                <w:w w:val="105"/>
                <w:sz w:val="3"/>
              </w:rPr>
              <w:t>4,433000%</w:t>
            </w:r>
          </w:p>
        </w:tc>
        <w:tc>
          <w:tcPr>
            <w:tcW w:w="288" w:type="dxa"/>
            <w:tcBorders>
              <w:top w:val="nil"/>
            </w:tcBorders>
          </w:tcPr>
          <w:p w14:paraId="6AAEABB7" w14:textId="77777777" w:rsidR="00F65BCA" w:rsidRDefault="00216117">
            <w:pPr>
              <w:pStyle w:val="TableParagraph"/>
              <w:spacing w:before="9"/>
              <w:ind w:left="64"/>
              <w:rPr>
                <w:sz w:val="3"/>
              </w:rPr>
            </w:pPr>
            <w:r>
              <w:rPr>
                <w:w w:val="105"/>
                <w:sz w:val="3"/>
              </w:rPr>
              <w:t>4,433000%</w:t>
            </w:r>
          </w:p>
        </w:tc>
        <w:tc>
          <w:tcPr>
            <w:tcW w:w="288" w:type="dxa"/>
            <w:tcBorders>
              <w:top w:val="nil"/>
            </w:tcBorders>
          </w:tcPr>
          <w:p w14:paraId="49FE7F05" w14:textId="77777777" w:rsidR="00F65BCA" w:rsidRDefault="00216117">
            <w:pPr>
              <w:pStyle w:val="TableParagraph"/>
              <w:spacing w:before="9"/>
              <w:ind w:left="24" w:right="24"/>
              <w:jc w:val="center"/>
              <w:rPr>
                <w:sz w:val="3"/>
              </w:rPr>
            </w:pPr>
            <w:r>
              <w:rPr>
                <w:w w:val="105"/>
                <w:sz w:val="3"/>
              </w:rPr>
              <w:t>4,004000%</w:t>
            </w:r>
          </w:p>
        </w:tc>
        <w:tc>
          <w:tcPr>
            <w:tcW w:w="288" w:type="dxa"/>
            <w:tcBorders>
              <w:top w:val="nil"/>
            </w:tcBorders>
          </w:tcPr>
          <w:p w14:paraId="435BC01A" w14:textId="77777777" w:rsidR="00F65BCA" w:rsidRDefault="00216117">
            <w:pPr>
              <w:pStyle w:val="TableParagraph"/>
              <w:spacing w:before="9"/>
              <w:ind w:left="24" w:right="24"/>
              <w:jc w:val="center"/>
              <w:rPr>
                <w:sz w:val="3"/>
              </w:rPr>
            </w:pPr>
            <w:r>
              <w:rPr>
                <w:w w:val="105"/>
                <w:sz w:val="3"/>
              </w:rPr>
              <w:t>4,004000%</w:t>
            </w:r>
          </w:p>
        </w:tc>
        <w:tc>
          <w:tcPr>
            <w:tcW w:w="288" w:type="dxa"/>
            <w:tcBorders>
              <w:top w:val="nil"/>
            </w:tcBorders>
          </w:tcPr>
          <w:p w14:paraId="31E584C1" w14:textId="77777777" w:rsidR="00F65BCA" w:rsidRDefault="00216117">
            <w:pPr>
              <w:pStyle w:val="TableParagraph"/>
              <w:spacing w:before="9"/>
              <w:ind w:left="64"/>
              <w:rPr>
                <w:sz w:val="3"/>
              </w:rPr>
            </w:pPr>
            <w:r>
              <w:rPr>
                <w:w w:val="105"/>
                <w:sz w:val="3"/>
              </w:rPr>
              <w:t>3,575000%</w:t>
            </w:r>
          </w:p>
        </w:tc>
        <w:tc>
          <w:tcPr>
            <w:tcW w:w="288" w:type="dxa"/>
            <w:tcBorders>
              <w:top w:val="nil"/>
            </w:tcBorders>
          </w:tcPr>
          <w:p w14:paraId="4D22BBC0" w14:textId="77777777" w:rsidR="00F65BCA" w:rsidRDefault="00216117">
            <w:pPr>
              <w:pStyle w:val="TableParagraph"/>
              <w:spacing w:before="9"/>
              <w:ind w:left="24" w:right="24"/>
              <w:jc w:val="center"/>
              <w:rPr>
                <w:sz w:val="3"/>
              </w:rPr>
            </w:pPr>
            <w:r>
              <w:rPr>
                <w:w w:val="105"/>
                <w:sz w:val="3"/>
              </w:rPr>
              <w:t>3,575000%</w:t>
            </w:r>
          </w:p>
        </w:tc>
        <w:tc>
          <w:tcPr>
            <w:tcW w:w="288" w:type="dxa"/>
            <w:tcBorders>
              <w:top w:val="nil"/>
            </w:tcBorders>
          </w:tcPr>
          <w:p w14:paraId="48899435" w14:textId="77777777" w:rsidR="00F65BCA" w:rsidRDefault="00216117">
            <w:pPr>
              <w:pStyle w:val="TableParagraph"/>
              <w:spacing w:before="9"/>
              <w:ind w:left="24" w:right="24"/>
              <w:jc w:val="center"/>
              <w:rPr>
                <w:sz w:val="3"/>
              </w:rPr>
            </w:pPr>
            <w:r>
              <w:rPr>
                <w:w w:val="105"/>
                <w:sz w:val="3"/>
              </w:rPr>
              <w:t>3,289000%</w:t>
            </w:r>
          </w:p>
        </w:tc>
        <w:tc>
          <w:tcPr>
            <w:tcW w:w="288" w:type="dxa"/>
            <w:tcBorders>
              <w:top w:val="nil"/>
            </w:tcBorders>
          </w:tcPr>
          <w:p w14:paraId="61079ED4" w14:textId="77777777" w:rsidR="00F65BCA" w:rsidRDefault="00216117">
            <w:pPr>
              <w:pStyle w:val="TableParagraph"/>
              <w:spacing w:before="9"/>
              <w:ind w:left="24" w:right="24"/>
              <w:jc w:val="center"/>
              <w:rPr>
                <w:sz w:val="3"/>
              </w:rPr>
            </w:pPr>
            <w:r>
              <w:rPr>
                <w:w w:val="105"/>
                <w:sz w:val="3"/>
              </w:rPr>
              <w:t>3,146000%</w:t>
            </w:r>
          </w:p>
        </w:tc>
        <w:tc>
          <w:tcPr>
            <w:tcW w:w="288" w:type="dxa"/>
            <w:tcBorders>
              <w:top w:val="nil"/>
            </w:tcBorders>
          </w:tcPr>
          <w:p w14:paraId="7C65023B" w14:textId="77777777" w:rsidR="00F65BCA" w:rsidRDefault="00216117">
            <w:pPr>
              <w:pStyle w:val="TableParagraph"/>
              <w:spacing w:before="9"/>
              <w:ind w:left="24" w:right="24"/>
              <w:jc w:val="center"/>
              <w:rPr>
                <w:sz w:val="3"/>
              </w:rPr>
            </w:pPr>
            <w:r>
              <w:rPr>
                <w:w w:val="105"/>
                <w:sz w:val="3"/>
              </w:rPr>
              <w:t>2,860000%</w:t>
            </w:r>
          </w:p>
        </w:tc>
        <w:tc>
          <w:tcPr>
            <w:tcW w:w="288" w:type="dxa"/>
            <w:tcBorders>
              <w:top w:val="nil"/>
            </w:tcBorders>
          </w:tcPr>
          <w:p w14:paraId="4A137BC2" w14:textId="77777777" w:rsidR="00F65BCA" w:rsidRDefault="00216117">
            <w:pPr>
              <w:pStyle w:val="TableParagraph"/>
              <w:spacing w:before="9"/>
              <w:ind w:left="64"/>
              <w:rPr>
                <w:sz w:val="3"/>
              </w:rPr>
            </w:pPr>
            <w:r>
              <w:rPr>
                <w:w w:val="105"/>
                <w:sz w:val="3"/>
              </w:rPr>
              <w:t>2,860000%</w:t>
            </w:r>
          </w:p>
        </w:tc>
      </w:tr>
      <w:tr w:rsidR="00F65BCA" w14:paraId="0282F877" w14:textId="77777777">
        <w:trPr>
          <w:trHeight w:val="146"/>
        </w:trPr>
        <w:tc>
          <w:tcPr>
            <w:tcW w:w="526" w:type="dxa"/>
            <w:tcBorders>
              <w:top w:val="nil"/>
              <w:bottom w:val="nil"/>
            </w:tcBorders>
            <w:shd w:val="clear" w:color="auto" w:fill="FCE4D6"/>
          </w:tcPr>
          <w:p w14:paraId="010654A8" w14:textId="77777777" w:rsidR="00F65BCA" w:rsidRDefault="00F65BCA">
            <w:pPr>
              <w:pStyle w:val="TableParagraph"/>
              <w:rPr>
                <w:rFonts w:ascii="Times New Roman"/>
                <w:sz w:val="2"/>
              </w:rPr>
            </w:pPr>
          </w:p>
        </w:tc>
        <w:tc>
          <w:tcPr>
            <w:tcW w:w="732" w:type="dxa"/>
            <w:shd w:val="clear" w:color="auto" w:fill="FCE4D6"/>
          </w:tcPr>
          <w:p w14:paraId="6AEA5A77" w14:textId="77777777" w:rsidR="00F65BCA" w:rsidRDefault="00216117">
            <w:pPr>
              <w:pStyle w:val="TableParagraph"/>
              <w:spacing w:before="10" w:line="40" w:lineRule="atLeast"/>
              <w:ind w:left="4" w:right="-14"/>
              <w:rPr>
                <w:sz w:val="3"/>
              </w:rPr>
            </w:pPr>
            <w:r>
              <w:rPr>
                <w:w w:val="105"/>
                <w:sz w:val="3"/>
              </w:rPr>
              <w:t>Avia; DAF; Denis Rapier; Freightliner; Gaz; Ginaf; Kamaz; Karosa; Kenworth; Liaz; MAN; Neuvedeno; Praga; Scania; Steyr; Tatra</w:t>
            </w:r>
          </w:p>
        </w:tc>
        <w:tc>
          <w:tcPr>
            <w:tcW w:w="958" w:type="dxa"/>
            <w:gridSpan w:val="2"/>
            <w:shd w:val="clear" w:color="auto" w:fill="FCE4D6"/>
          </w:tcPr>
          <w:p w14:paraId="3B9D723B" w14:textId="77777777" w:rsidR="00F65BCA" w:rsidRDefault="00F65BCA">
            <w:pPr>
              <w:pStyle w:val="TableParagraph"/>
              <w:rPr>
                <w:rFonts w:ascii="Calibri"/>
                <w:sz w:val="2"/>
              </w:rPr>
            </w:pPr>
          </w:p>
          <w:p w14:paraId="22340F23" w14:textId="77777777" w:rsidR="00F65BCA" w:rsidRDefault="00F65BCA">
            <w:pPr>
              <w:pStyle w:val="TableParagraph"/>
              <w:spacing w:before="8"/>
              <w:rPr>
                <w:rFonts w:ascii="Calibri"/>
                <w:sz w:val="2"/>
              </w:rPr>
            </w:pPr>
          </w:p>
          <w:p w14:paraId="4235730D" w14:textId="77777777" w:rsidR="00F65BCA" w:rsidRDefault="00216117">
            <w:pPr>
              <w:pStyle w:val="TableParagraph"/>
              <w:ind w:left="1"/>
              <w:jc w:val="center"/>
              <w:rPr>
                <w:sz w:val="3"/>
              </w:rPr>
            </w:pPr>
            <w:r>
              <w:rPr>
                <w:w w:val="103"/>
                <w:sz w:val="3"/>
              </w:rPr>
              <w:t>-</w:t>
            </w:r>
          </w:p>
        </w:tc>
        <w:tc>
          <w:tcPr>
            <w:tcW w:w="576" w:type="dxa"/>
            <w:shd w:val="clear" w:color="auto" w:fill="FCE4D6"/>
          </w:tcPr>
          <w:p w14:paraId="178BA28D" w14:textId="77777777" w:rsidR="00F65BCA" w:rsidRDefault="00F65BCA">
            <w:pPr>
              <w:pStyle w:val="TableParagraph"/>
              <w:rPr>
                <w:rFonts w:ascii="Calibri"/>
                <w:sz w:val="2"/>
              </w:rPr>
            </w:pPr>
          </w:p>
          <w:p w14:paraId="62E7B31E" w14:textId="77777777" w:rsidR="00F65BCA" w:rsidRDefault="00F65BCA">
            <w:pPr>
              <w:pStyle w:val="TableParagraph"/>
              <w:spacing w:before="8"/>
              <w:rPr>
                <w:rFonts w:ascii="Calibri"/>
                <w:sz w:val="2"/>
              </w:rPr>
            </w:pPr>
          </w:p>
          <w:p w14:paraId="6DCF7311" w14:textId="77777777" w:rsidR="00F65BCA" w:rsidRDefault="00216117">
            <w:pPr>
              <w:pStyle w:val="TableParagraph"/>
              <w:ind w:left="3"/>
              <w:jc w:val="center"/>
              <w:rPr>
                <w:sz w:val="3"/>
              </w:rPr>
            </w:pPr>
            <w:r>
              <w:rPr>
                <w:w w:val="103"/>
                <w:sz w:val="3"/>
              </w:rPr>
              <w:t>-</w:t>
            </w:r>
          </w:p>
        </w:tc>
        <w:tc>
          <w:tcPr>
            <w:tcW w:w="576" w:type="dxa"/>
            <w:shd w:val="clear" w:color="auto" w:fill="FCE4D6"/>
          </w:tcPr>
          <w:p w14:paraId="4A7E45F7" w14:textId="77777777" w:rsidR="00F65BCA" w:rsidRDefault="00F65BCA">
            <w:pPr>
              <w:pStyle w:val="TableParagraph"/>
              <w:rPr>
                <w:rFonts w:ascii="Calibri"/>
                <w:sz w:val="2"/>
              </w:rPr>
            </w:pPr>
          </w:p>
          <w:p w14:paraId="694EF90F" w14:textId="77777777" w:rsidR="00F65BCA" w:rsidRDefault="00F65BCA">
            <w:pPr>
              <w:pStyle w:val="TableParagraph"/>
              <w:spacing w:before="8"/>
              <w:rPr>
                <w:rFonts w:ascii="Calibri"/>
                <w:sz w:val="2"/>
              </w:rPr>
            </w:pPr>
          </w:p>
          <w:p w14:paraId="15B5969C" w14:textId="77777777" w:rsidR="00F65BCA" w:rsidRDefault="00216117">
            <w:pPr>
              <w:pStyle w:val="TableParagraph"/>
              <w:ind w:left="3"/>
              <w:jc w:val="center"/>
              <w:rPr>
                <w:sz w:val="3"/>
              </w:rPr>
            </w:pPr>
            <w:r>
              <w:rPr>
                <w:w w:val="103"/>
                <w:sz w:val="3"/>
              </w:rPr>
              <w:t>-</w:t>
            </w:r>
          </w:p>
        </w:tc>
        <w:tc>
          <w:tcPr>
            <w:tcW w:w="50" w:type="dxa"/>
            <w:vMerge/>
            <w:tcBorders>
              <w:top w:val="nil"/>
              <w:bottom w:val="nil"/>
            </w:tcBorders>
          </w:tcPr>
          <w:p w14:paraId="725F9032" w14:textId="77777777" w:rsidR="00F65BCA" w:rsidRDefault="00F65BCA">
            <w:pPr>
              <w:rPr>
                <w:sz w:val="2"/>
                <w:szCs w:val="2"/>
              </w:rPr>
            </w:pPr>
          </w:p>
        </w:tc>
        <w:tc>
          <w:tcPr>
            <w:tcW w:w="288" w:type="dxa"/>
          </w:tcPr>
          <w:p w14:paraId="572BD0D7" w14:textId="77777777" w:rsidR="00F65BCA" w:rsidRDefault="00F65BCA">
            <w:pPr>
              <w:pStyle w:val="TableParagraph"/>
              <w:rPr>
                <w:rFonts w:ascii="Calibri"/>
                <w:sz w:val="2"/>
              </w:rPr>
            </w:pPr>
          </w:p>
          <w:p w14:paraId="46F7998D" w14:textId="77777777" w:rsidR="00F65BCA" w:rsidRDefault="00F65BCA">
            <w:pPr>
              <w:pStyle w:val="TableParagraph"/>
              <w:spacing w:before="8"/>
              <w:rPr>
                <w:rFonts w:ascii="Calibri"/>
                <w:sz w:val="2"/>
              </w:rPr>
            </w:pPr>
          </w:p>
          <w:p w14:paraId="23CAA113" w14:textId="77777777" w:rsidR="00F65BCA" w:rsidRDefault="00216117">
            <w:pPr>
              <w:pStyle w:val="TableParagraph"/>
              <w:ind w:left="24" w:right="24"/>
              <w:jc w:val="center"/>
              <w:rPr>
                <w:sz w:val="3"/>
              </w:rPr>
            </w:pPr>
            <w:r>
              <w:rPr>
                <w:w w:val="105"/>
                <w:sz w:val="3"/>
              </w:rPr>
              <w:t>5,434000%</w:t>
            </w:r>
          </w:p>
        </w:tc>
        <w:tc>
          <w:tcPr>
            <w:tcW w:w="288" w:type="dxa"/>
          </w:tcPr>
          <w:p w14:paraId="2F920A21" w14:textId="77777777" w:rsidR="00F65BCA" w:rsidRDefault="00F65BCA">
            <w:pPr>
              <w:pStyle w:val="TableParagraph"/>
              <w:rPr>
                <w:rFonts w:ascii="Calibri"/>
                <w:sz w:val="2"/>
              </w:rPr>
            </w:pPr>
          </w:p>
          <w:p w14:paraId="109B5E9F" w14:textId="77777777" w:rsidR="00F65BCA" w:rsidRDefault="00F65BCA">
            <w:pPr>
              <w:pStyle w:val="TableParagraph"/>
              <w:spacing w:before="8"/>
              <w:rPr>
                <w:rFonts w:ascii="Calibri"/>
                <w:sz w:val="2"/>
              </w:rPr>
            </w:pPr>
          </w:p>
          <w:p w14:paraId="3389A9F1" w14:textId="77777777" w:rsidR="00F65BCA" w:rsidRDefault="00216117">
            <w:pPr>
              <w:pStyle w:val="TableParagraph"/>
              <w:ind w:left="24" w:right="24"/>
              <w:jc w:val="center"/>
              <w:rPr>
                <w:sz w:val="3"/>
              </w:rPr>
            </w:pPr>
            <w:r>
              <w:rPr>
                <w:w w:val="105"/>
                <w:sz w:val="3"/>
              </w:rPr>
              <w:t>4,862000%</w:t>
            </w:r>
          </w:p>
        </w:tc>
        <w:tc>
          <w:tcPr>
            <w:tcW w:w="288" w:type="dxa"/>
          </w:tcPr>
          <w:p w14:paraId="43495486" w14:textId="77777777" w:rsidR="00F65BCA" w:rsidRDefault="00F65BCA">
            <w:pPr>
              <w:pStyle w:val="TableParagraph"/>
              <w:rPr>
                <w:rFonts w:ascii="Calibri"/>
                <w:sz w:val="2"/>
              </w:rPr>
            </w:pPr>
          </w:p>
          <w:p w14:paraId="6F3C6794" w14:textId="77777777" w:rsidR="00F65BCA" w:rsidRDefault="00F65BCA">
            <w:pPr>
              <w:pStyle w:val="TableParagraph"/>
              <w:spacing w:before="8"/>
              <w:rPr>
                <w:rFonts w:ascii="Calibri"/>
                <w:sz w:val="2"/>
              </w:rPr>
            </w:pPr>
          </w:p>
          <w:p w14:paraId="7B5E7CDE" w14:textId="77777777" w:rsidR="00F65BCA" w:rsidRDefault="00216117">
            <w:pPr>
              <w:pStyle w:val="TableParagraph"/>
              <w:ind w:left="64"/>
              <w:rPr>
                <w:sz w:val="3"/>
              </w:rPr>
            </w:pPr>
            <w:r>
              <w:rPr>
                <w:w w:val="105"/>
                <w:sz w:val="3"/>
              </w:rPr>
              <w:t>4,862000%</w:t>
            </w:r>
          </w:p>
        </w:tc>
        <w:tc>
          <w:tcPr>
            <w:tcW w:w="288" w:type="dxa"/>
          </w:tcPr>
          <w:p w14:paraId="72E94443" w14:textId="77777777" w:rsidR="00F65BCA" w:rsidRDefault="00F65BCA">
            <w:pPr>
              <w:pStyle w:val="TableParagraph"/>
              <w:rPr>
                <w:rFonts w:ascii="Calibri"/>
                <w:sz w:val="2"/>
              </w:rPr>
            </w:pPr>
          </w:p>
          <w:p w14:paraId="79ECA2AA" w14:textId="77777777" w:rsidR="00F65BCA" w:rsidRDefault="00F65BCA">
            <w:pPr>
              <w:pStyle w:val="TableParagraph"/>
              <w:spacing w:before="8"/>
              <w:rPr>
                <w:rFonts w:ascii="Calibri"/>
                <w:sz w:val="2"/>
              </w:rPr>
            </w:pPr>
          </w:p>
          <w:p w14:paraId="06295C5B" w14:textId="77777777" w:rsidR="00F65BCA" w:rsidRDefault="00216117">
            <w:pPr>
              <w:pStyle w:val="TableParagraph"/>
              <w:ind w:left="24" w:right="24"/>
              <w:jc w:val="center"/>
              <w:rPr>
                <w:sz w:val="3"/>
              </w:rPr>
            </w:pPr>
            <w:r>
              <w:rPr>
                <w:w w:val="105"/>
                <w:sz w:val="3"/>
              </w:rPr>
              <w:t>4,433000%</w:t>
            </w:r>
          </w:p>
        </w:tc>
        <w:tc>
          <w:tcPr>
            <w:tcW w:w="288" w:type="dxa"/>
          </w:tcPr>
          <w:p w14:paraId="7BC8C7A0" w14:textId="77777777" w:rsidR="00F65BCA" w:rsidRDefault="00F65BCA">
            <w:pPr>
              <w:pStyle w:val="TableParagraph"/>
              <w:rPr>
                <w:rFonts w:ascii="Calibri"/>
                <w:sz w:val="2"/>
              </w:rPr>
            </w:pPr>
          </w:p>
          <w:p w14:paraId="609F4AA5" w14:textId="77777777" w:rsidR="00F65BCA" w:rsidRDefault="00F65BCA">
            <w:pPr>
              <w:pStyle w:val="TableParagraph"/>
              <w:spacing w:before="8"/>
              <w:rPr>
                <w:rFonts w:ascii="Calibri"/>
                <w:sz w:val="2"/>
              </w:rPr>
            </w:pPr>
          </w:p>
          <w:p w14:paraId="59FF9027" w14:textId="77777777" w:rsidR="00F65BCA" w:rsidRDefault="00216117">
            <w:pPr>
              <w:pStyle w:val="TableParagraph"/>
              <w:ind w:left="64"/>
              <w:rPr>
                <w:sz w:val="3"/>
              </w:rPr>
            </w:pPr>
            <w:r>
              <w:rPr>
                <w:w w:val="105"/>
                <w:sz w:val="3"/>
              </w:rPr>
              <w:t>4,433000%</w:t>
            </w:r>
          </w:p>
        </w:tc>
        <w:tc>
          <w:tcPr>
            <w:tcW w:w="288" w:type="dxa"/>
          </w:tcPr>
          <w:p w14:paraId="3C4A1DCE" w14:textId="77777777" w:rsidR="00F65BCA" w:rsidRDefault="00F65BCA">
            <w:pPr>
              <w:pStyle w:val="TableParagraph"/>
              <w:rPr>
                <w:rFonts w:ascii="Calibri"/>
                <w:sz w:val="2"/>
              </w:rPr>
            </w:pPr>
          </w:p>
          <w:p w14:paraId="0266486C" w14:textId="77777777" w:rsidR="00F65BCA" w:rsidRDefault="00F65BCA">
            <w:pPr>
              <w:pStyle w:val="TableParagraph"/>
              <w:spacing w:before="8"/>
              <w:rPr>
                <w:rFonts w:ascii="Calibri"/>
                <w:sz w:val="2"/>
              </w:rPr>
            </w:pPr>
          </w:p>
          <w:p w14:paraId="28F50FE2" w14:textId="77777777" w:rsidR="00F65BCA" w:rsidRDefault="00216117">
            <w:pPr>
              <w:pStyle w:val="TableParagraph"/>
              <w:ind w:left="24" w:right="24"/>
              <w:jc w:val="center"/>
              <w:rPr>
                <w:sz w:val="3"/>
              </w:rPr>
            </w:pPr>
            <w:r>
              <w:rPr>
                <w:w w:val="105"/>
                <w:sz w:val="3"/>
              </w:rPr>
              <w:t>4,004000%</w:t>
            </w:r>
          </w:p>
        </w:tc>
        <w:tc>
          <w:tcPr>
            <w:tcW w:w="288" w:type="dxa"/>
          </w:tcPr>
          <w:p w14:paraId="5C6F10DE" w14:textId="77777777" w:rsidR="00F65BCA" w:rsidRDefault="00F65BCA">
            <w:pPr>
              <w:pStyle w:val="TableParagraph"/>
              <w:rPr>
                <w:rFonts w:ascii="Calibri"/>
                <w:sz w:val="2"/>
              </w:rPr>
            </w:pPr>
          </w:p>
          <w:p w14:paraId="2BE6F53C" w14:textId="77777777" w:rsidR="00F65BCA" w:rsidRDefault="00F65BCA">
            <w:pPr>
              <w:pStyle w:val="TableParagraph"/>
              <w:spacing w:before="8"/>
              <w:rPr>
                <w:rFonts w:ascii="Calibri"/>
                <w:sz w:val="2"/>
              </w:rPr>
            </w:pPr>
          </w:p>
          <w:p w14:paraId="565AB771" w14:textId="77777777" w:rsidR="00F65BCA" w:rsidRDefault="00216117">
            <w:pPr>
              <w:pStyle w:val="TableParagraph"/>
              <w:ind w:left="24" w:right="24"/>
              <w:jc w:val="center"/>
              <w:rPr>
                <w:sz w:val="3"/>
              </w:rPr>
            </w:pPr>
            <w:r>
              <w:rPr>
                <w:w w:val="105"/>
                <w:sz w:val="3"/>
              </w:rPr>
              <w:t>4,004000%</w:t>
            </w:r>
          </w:p>
        </w:tc>
        <w:tc>
          <w:tcPr>
            <w:tcW w:w="288" w:type="dxa"/>
          </w:tcPr>
          <w:p w14:paraId="713C502D" w14:textId="77777777" w:rsidR="00F65BCA" w:rsidRDefault="00F65BCA">
            <w:pPr>
              <w:pStyle w:val="TableParagraph"/>
              <w:rPr>
                <w:rFonts w:ascii="Calibri"/>
                <w:sz w:val="2"/>
              </w:rPr>
            </w:pPr>
          </w:p>
          <w:p w14:paraId="31DCBE4B" w14:textId="77777777" w:rsidR="00F65BCA" w:rsidRDefault="00F65BCA">
            <w:pPr>
              <w:pStyle w:val="TableParagraph"/>
              <w:spacing w:before="8"/>
              <w:rPr>
                <w:rFonts w:ascii="Calibri"/>
                <w:sz w:val="2"/>
              </w:rPr>
            </w:pPr>
          </w:p>
          <w:p w14:paraId="7C7D051B" w14:textId="77777777" w:rsidR="00F65BCA" w:rsidRDefault="00216117">
            <w:pPr>
              <w:pStyle w:val="TableParagraph"/>
              <w:ind w:left="64"/>
              <w:rPr>
                <w:sz w:val="3"/>
              </w:rPr>
            </w:pPr>
            <w:r>
              <w:rPr>
                <w:w w:val="105"/>
                <w:sz w:val="3"/>
              </w:rPr>
              <w:t>3,575000%</w:t>
            </w:r>
          </w:p>
        </w:tc>
        <w:tc>
          <w:tcPr>
            <w:tcW w:w="288" w:type="dxa"/>
          </w:tcPr>
          <w:p w14:paraId="6339D00C" w14:textId="77777777" w:rsidR="00F65BCA" w:rsidRDefault="00F65BCA">
            <w:pPr>
              <w:pStyle w:val="TableParagraph"/>
              <w:rPr>
                <w:rFonts w:ascii="Calibri"/>
                <w:sz w:val="2"/>
              </w:rPr>
            </w:pPr>
          </w:p>
          <w:p w14:paraId="3BEF4449" w14:textId="77777777" w:rsidR="00F65BCA" w:rsidRDefault="00F65BCA">
            <w:pPr>
              <w:pStyle w:val="TableParagraph"/>
              <w:spacing w:before="8"/>
              <w:rPr>
                <w:rFonts w:ascii="Calibri"/>
                <w:sz w:val="2"/>
              </w:rPr>
            </w:pPr>
          </w:p>
          <w:p w14:paraId="651B7BE2" w14:textId="77777777" w:rsidR="00F65BCA" w:rsidRDefault="00216117">
            <w:pPr>
              <w:pStyle w:val="TableParagraph"/>
              <w:ind w:left="24" w:right="24"/>
              <w:jc w:val="center"/>
              <w:rPr>
                <w:sz w:val="3"/>
              </w:rPr>
            </w:pPr>
            <w:r>
              <w:rPr>
                <w:w w:val="105"/>
                <w:sz w:val="3"/>
              </w:rPr>
              <w:t>3,575000%</w:t>
            </w:r>
          </w:p>
        </w:tc>
        <w:tc>
          <w:tcPr>
            <w:tcW w:w="288" w:type="dxa"/>
          </w:tcPr>
          <w:p w14:paraId="6A6C855C" w14:textId="77777777" w:rsidR="00F65BCA" w:rsidRDefault="00F65BCA">
            <w:pPr>
              <w:pStyle w:val="TableParagraph"/>
              <w:rPr>
                <w:rFonts w:ascii="Calibri"/>
                <w:sz w:val="2"/>
              </w:rPr>
            </w:pPr>
          </w:p>
          <w:p w14:paraId="604508B7" w14:textId="77777777" w:rsidR="00F65BCA" w:rsidRDefault="00F65BCA">
            <w:pPr>
              <w:pStyle w:val="TableParagraph"/>
              <w:spacing w:before="8"/>
              <w:rPr>
                <w:rFonts w:ascii="Calibri"/>
                <w:sz w:val="2"/>
              </w:rPr>
            </w:pPr>
          </w:p>
          <w:p w14:paraId="536C3CB4" w14:textId="77777777" w:rsidR="00F65BCA" w:rsidRDefault="00216117">
            <w:pPr>
              <w:pStyle w:val="TableParagraph"/>
              <w:ind w:left="24" w:right="24"/>
              <w:jc w:val="center"/>
              <w:rPr>
                <w:sz w:val="3"/>
              </w:rPr>
            </w:pPr>
            <w:r>
              <w:rPr>
                <w:w w:val="105"/>
                <w:sz w:val="3"/>
              </w:rPr>
              <w:t>3,289000%</w:t>
            </w:r>
          </w:p>
        </w:tc>
        <w:tc>
          <w:tcPr>
            <w:tcW w:w="288" w:type="dxa"/>
          </w:tcPr>
          <w:p w14:paraId="7A61B8A1" w14:textId="77777777" w:rsidR="00F65BCA" w:rsidRDefault="00F65BCA">
            <w:pPr>
              <w:pStyle w:val="TableParagraph"/>
              <w:rPr>
                <w:rFonts w:ascii="Calibri"/>
                <w:sz w:val="2"/>
              </w:rPr>
            </w:pPr>
          </w:p>
          <w:p w14:paraId="11F4E044" w14:textId="77777777" w:rsidR="00F65BCA" w:rsidRDefault="00F65BCA">
            <w:pPr>
              <w:pStyle w:val="TableParagraph"/>
              <w:spacing w:before="8"/>
              <w:rPr>
                <w:rFonts w:ascii="Calibri"/>
                <w:sz w:val="2"/>
              </w:rPr>
            </w:pPr>
          </w:p>
          <w:p w14:paraId="7A4C5A34" w14:textId="77777777" w:rsidR="00F65BCA" w:rsidRDefault="00216117">
            <w:pPr>
              <w:pStyle w:val="TableParagraph"/>
              <w:ind w:left="24" w:right="24"/>
              <w:jc w:val="center"/>
              <w:rPr>
                <w:sz w:val="3"/>
              </w:rPr>
            </w:pPr>
            <w:r>
              <w:rPr>
                <w:w w:val="105"/>
                <w:sz w:val="3"/>
              </w:rPr>
              <w:t>3,146000%</w:t>
            </w:r>
          </w:p>
        </w:tc>
        <w:tc>
          <w:tcPr>
            <w:tcW w:w="288" w:type="dxa"/>
          </w:tcPr>
          <w:p w14:paraId="5E2D845C" w14:textId="77777777" w:rsidR="00F65BCA" w:rsidRDefault="00F65BCA">
            <w:pPr>
              <w:pStyle w:val="TableParagraph"/>
              <w:rPr>
                <w:rFonts w:ascii="Calibri"/>
                <w:sz w:val="2"/>
              </w:rPr>
            </w:pPr>
          </w:p>
          <w:p w14:paraId="133BA6D9" w14:textId="77777777" w:rsidR="00F65BCA" w:rsidRDefault="00F65BCA">
            <w:pPr>
              <w:pStyle w:val="TableParagraph"/>
              <w:spacing w:before="8"/>
              <w:rPr>
                <w:rFonts w:ascii="Calibri"/>
                <w:sz w:val="2"/>
              </w:rPr>
            </w:pPr>
          </w:p>
          <w:p w14:paraId="727C9C1C" w14:textId="77777777" w:rsidR="00F65BCA" w:rsidRDefault="00216117">
            <w:pPr>
              <w:pStyle w:val="TableParagraph"/>
              <w:ind w:left="24" w:right="24"/>
              <w:jc w:val="center"/>
              <w:rPr>
                <w:sz w:val="3"/>
              </w:rPr>
            </w:pPr>
            <w:r>
              <w:rPr>
                <w:w w:val="105"/>
                <w:sz w:val="3"/>
              </w:rPr>
              <w:t>2,860000%</w:t>
            </w:r>
          </w:p>
        </w:tc>
        <w:tc>
          <w:tcPr>
            <w:tcW w:w="288" w:type="dxa"/>
          </w:tcPr>
          <w:p w14:paraId="317DD0BD" w14:textId="77777777" w:rsidR="00F65BCA" w:rsidRDefault="00F65BCA">
            <w:pPr>
              <w:pStyle w:val="TableParagraph"/>
              <w:rPr>
                <w:rFonts w:ascii="Calibri"/>
                <w:sz w:val="2"/>
              </w:rPr>
            </w:pPr>
          </w:p>
          <w:p w14:paraId="42BDB229" w14:textId="77777777" w:rsidR="00F65BCA" w:rsidRDefault="00F65BCA">
            <w:pPr>
              <w:pStyle w:val="TableParagraph"/>
              <w:spacing w:before="8"/>
              <w:rPr>
                <w:rFonts w:ascii="Calibri"/>
                <w:sz w:val="2"/>
              </w:rPr>
            </w:pPr>
          </w:p>
          <w:p w14:paraId="02689E06" w14:textId="77777777" w:rsidR="00F65BCA" w:rsidRDefault="00216117">
            <w:pPr>
              <w:pStyle w:val="TableParagraph"/>
              <w:ind w:left="64"/>
              <w:rPr>
                <w:sz w:val="3"/>
              </w:rPr>
            </w:pPr>
            <w:r>
              <w:rPr>
                <w:w w:val="105"/>
                <w:sz w:val="3"/>
              </w:rPr>
              <w:t>2,860000%</w:t>
            </w:r>
          </w:p>
        </w:tc>
      </w:tr>
      <w:tr w:rsidR="00F65BCA" w14:paraId="7119DB06" w14:textId="77777777">
        <w:trPr>
          <w:trHeight w:val="95"/>
        </w:trPr>
        <w:tc>
          <w:tcPr>
            <w:tcW w:w="526" w:type="dxa"/>
            <w:tcBorders>
              <w:top w:val="nil"/>
              <w:bottom w:val="nil"/>
            </w:tcBorders>
            <w:shd w:val="clear" w:color="auto" w:fill="FCE4D6"/>
          </w:tcPr>
          <w:p w14:paraId="7582AE1E" w14:textId="77777777" w:rsidR="00F65BCA" w:rsidRDefault="00F65BCA">
            <w:pPr>
              <w:pStyle w:val="TableParagraph"/>
              <w:rPr>
                <w:rFonts w:ascii="Times New Roman"/>
                <w:sz w:val="2"/>
              </w:rPr>
            </w:pPr>
          </w:p>
        </w:tc>
        <w:tc>
          <w:tcPr>
            <w:tcW w:w="732" w:type="dxa"/>
            <w:vMerge w:val="restart"/>
            <w:tcBorders>
              <w:bottom w:val="single" w:sz="48" w:space="0" w:color="F8CBAD"/>
            </w:tcBorders>
            <w:shd w:val="clear" w:color="auto" w:fill="FCE4D6"/>
          </w:tcPr>
          <w:p w14:paraId="315EB147" w14:textId="77777777" w:rsidR="00F65BCA" w:rsidRDefault="00F65BCA">
            <w:pPr>
              <w:pStyle w:val="TableParagraph"/>
              <w:rPr>
                <w:rFonts w:ascii="Calibri"/>
                <w:sz w:val="2"/>
              </w:rPr>
            </w:pPr>
          </w:p>
          <w:p w14:paraId="18C3B0DC" w14:textId="77777777" w:rsidR="00F65BCA" w:rsidRDefault="00216117">
            <w:pPr>
              <w:pStyle w:val="TableParagraph"/>
              <w:spacing w:line="40" w:lineRule="atLeast"/>
              <w:ind w:left="4" w:right="-8"/>
              <w:rPr>
                <w:sz w:val="3"/>
              </w:rPr>
            </w:pPr>
            <w:r>
              <w:rPr>
                <w:w w:val="105"/>
                <w:sz w:val="3"/>
              </w:rPr>
              <w:t>Citroën; Dodge; Fiat; Ford; Fuso; Hummer; IFA; Isuzu; LDV; Mitsubishi; Mitsubishi Fuso; Multicar; Nissan;</w:t>
            </w:r>
            <w:r>
              <w:rPr>
                <w:spacing w:val="-3"/>
                <w:w w:val="105"/>
                <w:sz w:val="3"/>
              </w:rPr>
              <w:t xml:space="preserve"> </w:t>
            </w:r>
            <w:r>
              <w:rPr>
                <w:w w:val="105"/>
                <w:sz w:val="3"/>
              </w:rPr>
              <w:t>Opel;</w:t>
            </w:r>
            <w:r>
              <w:rPr>
                <w:spacing w:val="-2"/>
                <w:w w:val="105"/>
                <w:sz w:val="3"/>
              </w:rPr>
              <w:t xml:space="preserve"> </w:t>
            </w:r>
            <w:r>
              <w:rPr>
                <w:w w:val="105"/>
                <w:sz w:val="3"/>
              </w:rPr>
              <w:t>Peugeot;</w:t>
            </w:r>
            <w:r>
              <w:rPr>
                <w:spacing w:val="-2"/>
                <w:w w:val="105"/>
                <w:sz w:val="3"/>
              </w:rPr>
              <w:t xml:space="preserve"> </w:t>
            </w:r>
            <w:r>
              <w:rPr>
                <w:w w:val="105"/>
                <w:sz w:val="3"/>
              </w:rPr>
              <w:t>Reform;</w:t>
            </w:r>
            <w:r>
              <w:rPr>
                <w:spacing w:val="-2"/>
                <w:w w:val="105"/>
                <w:sz w:val="3"/>
              </w:rPr>
              <w:t xml:space="preserve"> </w:t>
            </w:r>
            <w:r>
              <w:rPr>
                <w:w w:val="105"/>
                <w:sz w:val="3"/>
              </w:rPr>
              <w:t>Ross;</w:t>
            </w:r>
            <w:r>
              <w:rPr>
                <w:spacing w:val="-2"/>
                <w:w w:val="105"/>
                <w:sz w:val="3"/>
              </w:rPr>
              <w:t xml:space="preserve"> </w:t>
            </w:r>
            <w:r>
              <w:rPr>
                <w:w w:val="105"/>
                <w:sz w:val="3"/>
              </w:rPr>
              <w:t>VW;</w:t>
            </w:r>
            <w:r>
              <w:rPr>
                <w:spacing w:val="-2"/>
                <w:w w:val="105"/>
                <w:sz w:val="3"/>
              </w:rPr>
              <w:t xml:space="preserve"> </w:t>
            </w:r>
            <w:r>
              <w:rPr>
                <w:w w:val="105"/>
                <w:sz w:val="3"/>
              </w:rPr>
              <w:t>Zastava</w:t>
            </w:r>
          </w:p>
          <w:p w14:paraId="2664A703" w14:textId="77777777" w:rsidR="00F65BCA" w:rsidRDefault="00216117">
            <w:pPr>
              <w:pStyle w:val="TableParagraph"/>
              <w:spacing w:line="63" w:lineRule="exact"/>
              <w:ind w:left="246"/>
              <w:rPr>
                <w:b/>
                <w:sz w:val="3"/>
              </w:rPr>
            </w:pPr>
            <w:r>
              <w:rPr>
                <w:b/>
                <w:w w:val="105"/>
                <w:sz w:val="3"/>
              </w:rPr>
              <w:t>Tovární značka</w:t>
            </w:r>
          </w:p>
        </w:tc>
        <w:tc>
          <w:tcPr>
            <w:tcW w:w="958" w:type="dxa"/>
            <w:gridSpan w:val="2"/>
            <w:tcBorders>
              <w:bottom w:val="nil"/>
            </w:tcBorders>
            <w:shd w:val="clear" w:color="auto" w:fill="FCE4D6"/>
          </w:tcPr>
          <w:p w14:paraId="7E67F5AD" w14:textId="77777777" w:rsidR="00F65BCA" w:rsidRDefault="00F65BCA">
            <w:pPr>
              <w:pStyle w:val="TableParagraph"/>
              <w:rPr>
                <w:rFonts w:ascii="Calibri"/>
                <w:sz w:val="2"/>
              </w:rPr>
            </w:pPr>
          </w:p>
          <w:p w14:paraId="7548FB02" w14:textId="77777777" w:rsidR="00F65BCA" w:rsidRDefault="00F65BCA">
            <w:pPr>
              <w:pStyle w:val="TableParagraph"/>
              <w:rPr>
                <w:rFonts w:ascii="Calibri"/>
                <w:sz w:val="2"/>
              </w:rPr>
            </w:pPr>
          </w:p>
          <w:p w14:paraId="0BD28406" w14:textId="77777777" w:rsidR="00F65BCA" w:rsidRDefault="00F65BCA">
            <w:pPr>
              <w:pStyle w:val="TableParagraph"/>
              <w:rPr>
                <w:rFonts w:ascii="Calibri"/>
                <w:sz w:val="2"/>
              </w:rPr>
            </w:pPr>
          </w:p>
          <w:p w14:paraId="261F9D3E" w14:textId="77777777" w:rsidR="00F65BCA" w:rsidRDefault="00216117">
            <w:pPr>
              <w:pStyle w:val="TableParagraph"/>
              <w:spacing w:line="5" w:lineRule="exact"/>
              <w:ind w:left="1"/>
              <w:jc w:val="center"/>
              <w:rPr>
                <w:sz w:val="3"/>
              </w:rPr>
            </w:pPr>
            <w:r>
              <w:rPr>
                <w:w w:val="103"/>
                <w:sz w:val="3"/>
              </w:rPr>
              <w:t>-</w:t>
            </w:r>
          </w:p>
        </w:tc>
        <w:tc>
          <w:tcPr>
            <w:tcW w:w="576" w:type="dxa"/>
            <w:tcBorders>
              <w:bottom w:val="nil"/>
            </w:tcBorders>
            <w:shd w:val="clear" w:color="auto" w:fill="FCE4D6"/>
          </w:tcPr>
          <w:p w14:paraId="25E01CCE" w14:textId="77777777" w:rsidR="00F65BCA" w:rsidRDefault="00F65BCA">
            <w:pPr>
              <w:pStyle w:val="TableParagraph"/>
              <w:rPr>
                <w:rFonts w:ascii="Calibri"/>
                <w:sz w:val="2"/>
              </w:rPr>
            </w:pPr>
          </w:p>
          <w:p w14:paraId="21BDD70A" w14:textId="77777777" w:rsidR="00F65BCA" w:rsidRDefault="00F65BCA">
            <w:pPr>
              <w:pStyle w:val="TableParagraph"/>
              <w:rPr>
                <w:rFonts w:ascii="Calibri"/>
                <w:sz w:val="2"/>
              </w:rPr>
            </w:pPr>
          </w:p>
          <w:p w14:paraId="0AEF6A0F" w14:textId="77777777" w:rsidR="00F65BCA" w:rsidRDefault="00F65BCA">
            <w:pPr>
              <w:pStyle w:val="TableParagraph"/>
              <w:rPr>
                <w:rFonts w:ascii="Calibri"/>
                <w:sz w:val="2"/>
              </w:rPr>
            </w:pPr>
          </w:p>
          <w:p w14:paraId="1DC4899C" w14:textId="77777777" w:rsidR="00F65BCA" w:rsidRDefault="00216117">
            <w:pPr>
              <w:pStyle w:val="TableParagraph"/>
              <w:spacing w:line="5" w:lineRule="exact"/>
              <w:ind w:left="3"/>
              <w:jc w:val="center"/>
              <w:rPr>
                <w:sz w:val="3"/>
              </w:rPr>
            </w:pPr>
            <w:r>
              <w:rPr>
                <w:w w:val="103"/>
                <w:sz w:val="3"/>
              </w:rPr>
              <w:t>-</w:t>
            </w:r>
          </w:p>
        </w:tc>
        <w:tc>
          <w:tcPr>
            <w:tcW w:w="576" w:type="dxa"/>
            <w:tcBorders>
              <w:bottom w:val="nil"/>
            </w:tcBorders>
            <w:shd w:val="clear" w:color="auto" w:fill="FCE4D6"/>
          </w:tcPr>
          <w:p w14:paraId="17DFD614" w14:textId="77777777" w:rsidR="00F65BCA" w:rsidRDefault="00F65BCA">
            <w:pPr>
              <w:pStyle w:val="TableParagraph"/>
              <w:rPr>
                <w:rFonts w:ascii="Calibri"/>
                <w:sz w:val="2"/>
              </w:rPr>
            </w:pPr>
          </w:p>
          <w:p w14:paraId="01247DC8" w14:textId="77777777" w:rsidR="00F65BCA" w:rsidRDefault="00F65BCA">
            <w:pPr>
              <w:pStyle w:val="TableParagraph"/>
              <w:rPr>
                <w:rFonts w:ascii="Calibri"/>
                <w:sz w:val="2"/>
              </w:rPr>
            </w:pPr>
          </w:p>
          <w:p w14:paraId="6FFA2431" w14:textId="77777777" w:rsidR="00F65BCA" w:rsidRDefault="00F65BCA">
            <w:pPr>
              <w:pStyle w:val="TableParagraph"/>
              <w:rPr>
                <w:rFonts w:ascii="Calibri"/>
                <w:sz w:val="2"/>
              </w:rPr>
            </w:pPr>
          </w:p>
          <w:p w14:paraId="6A4B5107" w14:textId="77777777" w:rsidR="00F65BCA" w:rsidRDefault="00216117">
            <w:pPr>
              <w:pStyle w:val="TableParagraph"/>
              <w:spacing w:line="5" w:lineRule="exact"/>
              <w:ind w:left="3"/>
              <w:jc w:val="center"/>
              <w:rPr>
                <w:sz w:val="3"/>
              </w:rPr>
            </w:pPr>
            <w:r>
              <w:rPr>
                <w:w w:val="103"/>
                <w:sz w:val="3"/>
              </w:rPr>
              <w:t>-</w:t>
            </w:r>
          </w:p>
        </w:tc>
        <w:tc>
          <w:tcPr>
            <w:tcW w:w="50" w:type="dxa"/>
            <w:vMerge/>
            <w:tcBorders>
              <w:top w:val="nil"/>
              <w:bottom w:val="nil"/>
            </w:tcBorders>
          </w:tcPr>
          <w:p w14:paraId="66706E34" w14:textId="77777777" w:rsidR="00F65BCA" w:rsidRDefault="00F65BCA">
            <w:pPr>
              <w:rPr>
                <w:sz w:val="2"/>
                <w:szCs w:val="2"/>
              </w:rPr>
            </w:pPr>
          </w:p>
        </w:tc>
        <w:tc>
          <w:tcPr>
            <w:tcW w:w="288" w:type="dxa"/>
            <w:tcBorders>
              <w:bottom w:val="nil"/>
            </w:tcBorders>
          </w:tcPr>
          <w:p w14:paraId="0240B9FB" w14:textId="77777777" w:rsidR="00F65BCA" w:rsidRDefault="00F65BCA">
            <w:pPr>
              <w:pStyle w:val="TableParagraph"/>
              <w:rPr>
                <w:rFonts w:ascii="Calibri"/>
                <w:sz w:val="2"/>
              </w:rPr>
            </w:pPr>
          </w:p>
          <w:p w14:paraId="082B73AE" w14:textId="77777777" w:rsidR="00F65BCA" w:rsidRDefault="00F65BCA">
            <w:pPr>
              <w:pStyle w:val="TableParagraph"/>
              <w:rPr>
                <w:rFonts w:ascii="Calibri"/>
                <w:sz w:val="2"/>
              </w:rPr>
            </w:pPr>
          </w:p>
          <w:p w14:paraId="0601951C" w14:textId="77777777" w:rsidR="00F65BCA" w:rsidRDefault="00F65BCA">
            <w:pPr>
              <w:pStyle w:val="TableParagraph"/>
              <w:rPr>
                <w:rFonts w:ascii="Calibri"/>
                <w:sz w:val="2"/>
              </w:rPr>
            </w:pPr>
          </w:p>
          <w:p w14:paraId="05C214CE" w14:textId="77777777" w:rsidR="00F65BCA" w:rsidRDefault="00216117">
            <w:pPr>
              <w:pStyle w:val="TableParagraph"/>
              <w:spacing w:line="5" w:lineRule="exact"/>
              <w:ind w:left="24" w:right="24"/>
              <w:jc w:val="center"/>
              <w:rPr>
                <w:sz w:val="3"/>
              </w:rPr>
            </w:pPr>
            <w:r>
              <w:rPr>
                <w:w w:val="105"/>
                <w:sz w:val="3"/>
              </w:rPr>
              <w:t>5,434000%</w:t>
            </w:r>
          </w:p>
        </w:tc>
        <w:tc>
          <w:tcPr>
            <w:tcW w:w="288" w:type="dxa"/>
            <w:tcBorders>
              <w:bottom w:val="nil"/>
            </w:tcBorders>
          </w:tcPr>
          <w:p w14:paraId="01A4CB8E" w14:textId="77777777" w:rsidR="00F65BCA" w:rsidRDefault="00F65BCA">
            <w:pPr>
              <w:pStyle w:val="TableParagraph"/>
              <w:rPr>
                <w:rFonts w:ascii="Calibri"/>
                <w:sz w:val="2"/>
              </w:rPr>
            </w:pPr>
          </w:p>
          <w:p w14:paraId="2A21B34F" w14:textId="77777777" w:rsidR="00F65BCA" w:rsidRDefault="00F65BCA">
            <w:pPr>
              <w:pStyle w:val="TableParagraph"/>
              <w:rPr>
                <w:rFonts w:ascii="Calibri"/>
                <w:sz w:val="2"/>
              </w:rPr>
            </w:pPr>
          </w:p>
          <w:p w14:paraId="69E8B924" w14:textId="77777777" w:rsidR="00F65BCA" w:rsidRDefault="00F65BCA">
            <w:pPr>
              <w:pStyle w:val="TableParagraph"/>
              <w:rPr>
                <w:rFonts w:ascii="Calibri"/>
                <w:sz w:val="2"/>
              </w:rPr>
            </w:pPr>
          </w:p>
          <w:p w14:paraId="2013778E" w14:textId="77777777" w:rsidR="00F65BCA" w:rsidRDefault="00216117">
            <w:pPr>
              <w:pStyle w:val="TableParagraph"/>
              <w:spacing w:line="5" w:lineRule="exact"/>
              <w:ind w:left="24" w:right="24"/>
              <w:jc w:val="center"/>
              <w:rPr>
                <w:sz w:val="3"/>
              </w:rPr>
            </w:pPr>
            <w:r>
              <w:rPr>
                <w:w w:val="105"/>
                <w:sz w:val="3"/>
              </w:rPr>
              <w:t>4,862000%</w:t>
            </w:r>
          </w:p>
        </w:tc>
        <w:tc>
          <w:tcPr>
            <w:tcW w:w="288" w:type="dxa"/>
            <w:tcBorders>
              <w:bottom w:val="nil"/>
            </w:tcBorders>
          </w:tcPr>
          <w:p w14:paraId="25DE39BC" w14:textId="77777777" w:rsidR="00F65BCA" w:rsidRDefault="00F65BCA">
            <w:pPr>
              <w:pStyle w:val="TableParagraph"/>
              <w:rPr>
                <w:rFonts w:ascii="Calibri"/>
                <w:sz w:val="2"/>
              </w:rPr>
            </w:pPr>
          </w:p>
          <w:p w14:paraId="5959AF25" w14:textId="77777777" w:rsidR="00F65BCA" w:rsidRDefault="00F65BCA">
            <w:pPr>
              <w:pStyle w:val="TableParagraph"/>
              <w:rPr>
                <w:rFonts w:ascii="Calibri"/>
                <w:sz w:val="2"/>
              </w:rPr>
            </w:pPr>
          </w:p>
          <w:p w14:paraId="60A11414" w14:textId="77777777" w:rsidR="00F65BCA" w:rsidRDefault="00F65BCA">
            <w:pPr>
              <w:pStyle w:val="TableParagraph"/>
              <w:rPr>
                <w:rFonts w:ascii="Calibri"/>
                <w:sz w:val="2"/>
              </w:rPr>
            </w:pPr>
          </w:p>
          <w:p w14:paraId="1E8C23DA" w14:textId="77777777" w:rsidR="00F65BCA" w:rsidRDefault="00216117">
            <w:pPr>
              <w:pStyle w:val="TableParagraph"/>
              <w:spacing w:line="5" w:lineRule="exact"/>
              <w:ind w:left="64"/>
              <w:rPr>
                <w:sz w:val="3"/>
              </w:rPr>
            </w:pPr>
            <w:r>
              <w:rPr>
                <w:w w:val="105"/>
                <w:sz w:val="3"/>
              </w:rPr>
              <w:t>4,862000%</w:t>
            </w:r>
          </w:p>
        </w:tc>
        <w:tc>
          <w:tcPr>
            <w:tcW w:w="288" w:type="dxa"/>
            <w:tcBorders>
              <w:bottom w:val="nil"/>
            </w:tcBorders>
          </w:tcPr>
          <w:p w14:paraId="01481AD8" w14:textId="77777777" w:rsidR="00F65BCA" w:rsidRDefault="00F65BCA">
            <w:pPr>
              <w:pStyle w:val="TableParagraph"/>
              <w:rPr>
                <w:rFonts w:ascii="Calibri"/>
                <w:sz w:val="2"/>
              </w:rPr>
            </w:pPr>
          </w:p>
          <w:p w14:paraId="463A903C" w14:textId="77777777" w:rsidR="00F65BCA" w:rsidRDefault="00F65BCA">
            <w:pPr>
              <w:pStyle w:val="TableParagraph"/>
              <w:rPr>
                <w:rFonts w:ascii="Calibri"/>
                <w:sz w:val="2"/>
              </w:rPr>
            </w:pPr>
          </w:p>
          <w:p w14:paraId="4FBC1761" w14:textId="77777777" w:rsidR="00F65BCA" w:rsidRDefault="00F65BCA">
            <w:pPr>
              <w:pStyle w:val="TableParagraph"/>
              <w:rPr>
                <w:rFonts w:ascii="Calibri"/>
                <w:sz w:val="2"/>
              </w:rPr>
            </w:pPr>
          </w:p>
          <w:p w14:paraId="7DD9B169" w14:textId="77777777" w:rsidR="00F65BCA" w:rsidRDefault="00216117">
            <w:pPr>
              <w:pStyle w:val="TableParagraph"/>
              <w:spacing w:line="5" w:lineRule="exact"/>
              <w:ind w:left="24" w:right="24"/>
              <w:jc w:val="center"/>
              <w:rPr>
                <w:sz w:val="3"/>
              </w:rPr>
            </w:pPr>
            <w:r>
              <w:rPr>
                <w:w w:val="105"/>
                <w:sz w:val="3"/>
              </w:rPr>
              <w:t>4,433000%</w:t>
            </w:r>
          </w:p>
        </w:tc>
        <w:tc>
          <w:tcPr>
            <w:tcW w:w="288" w:type="dxa"/>
            <w:tcBorders>
              <w:bottom w:val="nil"/>
            </w:tcBorders>
          </w:tcPr>
          <w:p w14:paraId="23780CCC" w14:textId="77777777" w:rsidR="00F65BCA" w:rsidRDefault="00F65BCA">
            <w:pPr>
              <w:pStyle w:val="TableParagraph"/>
              <w:rPr>
                <w:rFonts w:ascii="Calibri"/>
                <w:sz w:val="2"/>
              </w:rPr>
            </w:pPr>
          </w:p>
          <w:p w14:paraId="4F8FA721" w14:textId="77777777" w:rsidR="00F65BCA" w:rsidRDefault="00F65BCA">
            <w:pPr>
              <w:pStyle w:val="TableParagraph"/>
              <w:rPr>
                <w:rFonts w:ascii="Calibri"/>
                <w:sz w:val="2"/>
              </w:rPr>
            </w:pPr>
          </w:p>
          <w:p w14:paraId="550B7F98" w14:textId="77777777" w:rsidR="00F65BCA" w:rsidRDefault="00F65BCA">
            <w:pPr>
              <w:pStyle w:val="TableParagraph"/>
              <w:rPr>
                <w:rFonts w:ascii="Calibri"/>
                <w:sz w:val="2"/>
              </w:rPr>
            </w:pPr>
          </w:p>
          <w:p w14:paraId="352AC58F" w14:textId="77777777" w:rsidR="00F65BCA" w:rsidRDefault="00216117">
            <w:pPr>
              <w:pStyle w:val="TableParagraph"/>
              <w:spacing w:line="5" w:lineRule="exact"/>
              <w:ind w:left="64"/>
              <w:rPr>
                <w:sz w:val="3"/>
              </w:rPr>
            </w:pPr>
            <w:r>
              <w:rPr>
                <w:w w:val="105"/>
                <w:sz w:val="3"/>
              </w:rPr>
              <w:t>4,433000%</w:t>
            </w:r>
          </w:p>
        </w:tc>
        <w:tc>
          <w:tcPr>
            <w:tcW w:w="288" w:type="dxa"/>
            <w:tcBorders>
              <w:bottom w:val="nil"/>
            </w:tcBorders>
          </w:tcPr>
          <w:p w14:paraId="44E9C289" w14:textId="77777777" w:rsidR="00F65BCA" w:rsidRDefault="00F65BCA">
            <w:pPr>
              <w:pStyle w:val="TableParagraph"/>
              <w:rPr>
                <w:rFonts w:ascii="Calibri"/>
                <w:sz w:val="2"/>
              </w:rPr>
            </w:pPr>
          </w:p>
          <w:p w14:paraId="56D8D577" w14:textId="77777777" w:rsidR="00F65BCA" w:rsidRDefault="00F65BCA">
            <w:pPr>
              <w:pStyle w:val="TableParagraph"/>
              <w:rPr>
                <w:rFonts w:ascii="Calibri"/>
                <w:sz w:val="2"/>
              </w:rPr>
            </w:pPr>
          </w:p>
          <w:p w14:paraId="57820BF3" w14:textId="77777777" w:rsidR="00F65BCA" w:rsidRDefault="00F65BCA">
            <w:pPr>
              <w:pStyle w:val="TableParagraph"/>
              <w:rPr>
                <w:rFonts w:ascii="Calibri"/>
                <w:sz w:val="2"/>
              </w:rPr>
            </w:pPr>
          </w:p>
          <w:p w14:paraId="33113B53" w14:textId="77777777" w:rsidR="00F65BCA" w:rsidRDefault="00216117">
            <w:pPr>
              <w:pStyle w:val="TableParagraph"/>
              <w:spacing w:line="5" w:lineRule="exact"/>
              <w:ind w:left="24" w:right="24"/>
              <w:jc w:val="center"/>
              <w:rPr>
                <w:sz w:val="3"/>
              </w:rPr>
            </w:pPr>
            <w:r>
              <w:rPr>
                <w:w w:val="105"/>
                <w:sz w:val="3"/>
              </w:rPr>
              <w:t>4,004000%</w:t>
            </w:r>
          </w:p>
        </w:tc>
        <w:tc>
          <w:tcPr>
            <w:tcW w:w="288" w:type="dxa"/>
            <w:tcBorders>
              <w:bottom w:val="nil"/>
            </w:tcBorders>
          </w:tcPr>
          <w:p w14:paraId="371DB505" w14:textId="77777777" w:rsidR="00F65BCA" w:rsidRDefault="00F65BCA">
            <w:pPr>
              <w:pStyle w:val="TableParagraph"/>
              <w:rPr>
                <w:rFonts w:ascii="Calibri"/>
                <w:sz w:val="2"/>
              </w:rPr>
            </w:pPr>
          </w:p>
          <w:p w14:paraId="09B660CE" w14:textId="77777777" w:rsidR="00F65BCA" w:rsidRDefault="00F65BCA">
            <w:pPr>
              <w:pStyle w:val="TableParagraph"/>
              <w:rPr>
                <w:rFonts w:ascii="Calibri"/>
                <w:sz w:val="2"/>
              </w:rPr>
            </w:pPr>
          </w:p>
          <w:p w14:paraId="34AC6619" w14:textId="77777777" w:rsidR="00F65BCA" w:rsidRDefault="00F65BCA">
            <w:pPr>
              <w:pStyle w:val="TableParagraph"/>
              <w:rPr>
                <w:rFonts w:ascii="Calibri"/>
                <w:sz w:val="2"/>
              </w:rPr>
            </w:pPr>
          </w:p>
          <w:p w14:paraId="54D5ADD0" w14:textId="77777777" w:rsidR="00F65BCA" w:rsidRDefault="00216117">
            <w:pPr>
              <w:pStyle w:val="TableParagraph"/>
              <w:spacing w:line="5" w:lineRule="exact"/>
              <w:ind w:left="24" w:right="24"/>
              <w:jc w:val="center"/>
              <w:rPr>
                <w:sz w:val="3"/>
              </w:rPr>
            </w:pPr>
            <w:r>
              <w:rPr>
                <w:w w:val="105"/>
                <w:sz w:val="3"/>
              </w:rPr>
              <w:t>4,004000%</w:t>
            </w:r>
          </w:p>
        </w:tc>
        <w:tc>
          <w:tcPr>
            <w:tcW w:w="288" w:type="dxa"/>
            <w:tcBorders>
              <w:bottom w:val="nil"/>
            </w:tcBorders>
          </w:tcPr>
          <w:p w14:paraId="2479F183" w14:textId="77777777" w:rsidR="00F65BCA" w:rsidRDefault="00F65BCA">
            <w:pPr>
              <w:pStyle w:val="TableParagraph"/>
              <w:rPr>
                <w:rFonts w:ascii="Calibri"/>
                <w:sz w:val="2"/>
              </w:rPr>
            </w:pPr>
          </w:p>
          <w:p w14:paraId="7532E61C" w14:textId="77777777" w:rsidR="00F65BCA" w:rsidRDefault="00F65BCA">
            <w:pPr>
              <w:pStyle w:val="TableParagraph"/>
              <w:rPr>
                <w:rFonts w:ascii="Calibri"/>
                <w:sz w:val="2"/>
              </w:rPr>
            </w:pPr>
          </w:p>
          <w:p w14:paraId="3CB2B0DD" w14:textId="77777777" w:rsidR="00F65BCA" w:rsidRDefault="00F65BCA">
            <w:pPr>
              <w:pStyle w:val="TableParagraph"/>
              <w:rPr>
                <w:rFonts w:ascii="Calibri"/>
                <w:sz w:val="2"/>
              </w:rPr>
            </w:pPr>
          </w:p>
          <w:p w14:paraId="2E37EF52" w14:textId="77777777" w:rsidR="00F65BCA" w:rsidRDefault="00216117">
            <w:pPr>
              <w:pStyle w:val="TableParagraph"/>
              <w:spacing w:line="5" w:lineRule="exact"/>
              <w:ind w:left="64"/>
              <w:rPr>
                <w:sz w:val="3"/>
              </w:rPr>
            </w:pPr>
            <w:r>
              <w:rPr>
                <w:w w:val="105"/>
                <w:sz w:val="3"/>
              </w:rPr>
              <w:t>3,575000%</w:t>
            </w:r>
          </w:p>
        </w:tc>
        <w:tc>
          <w:tcPr>
            <w:tcW w:w="288" w:type="dxa"/>
            <w:tcBorders>
              <w:bottom w:val="nil"/>
            </w:tcBorders>
          </w:tcPr>
          <w:p w14:paraId="32E4D8E2" w14:textId="77777777" w:rsidR="00F65BCA" w:rsidRDefault="00F65BCA">
            <w:pPr>
              <w:pStyle w:val="TableParagraph"/>
              <w:rPr>
                <w:rFonts w:ascii="Calibri"/>
                <w:sz w:val="2"/>
              </w:rPr>
            </w:pPr>
          </w:p>
          <w:p w14:paraId="10612381" w14:textId="77777777" w:rsidR="00F65BCA" w:rsidRDefault="00F65BCA">
            <w:pPr>
              <w:pStyle w:val="TableParagraph"/>
              <w:rPr>
                <w:rFonts w:ascii="Calibri"/>
                <w:sz w:val="2"/>
              </w:rPr>
            </w:pPr>
          </w:p>
          <w:p w14:paraId="799BD7B0" w14:textId="77777777" w:rsidR="00F65BCA" w:rsidRDefault="00F65BCA">
            <w:pPr>
              <w:pStyle w:val="TableParagraph"/>
              <w:rPr>
                <w:rFonts w:ascii="Calibri"/>
                <w:sz w:val="2"/>
              </w:rPr>
            </w:pPr>
          </w:p>
          <w:p w14:paraId="6AAE743E" w14:textId="77777777" w:rsidR="00F65BCA" w:rsidRDefault="00216117">
            <w:pPr>
              <w:pStyle w:val="TableParagraph"/>
              <w:spacing w:line="5" w:lineRule="exact"/>
              <w:ind w:left="24" w:right="24"/>
              <w:jc w:val="center"/>
              <w:rPr>
                <w:sz w:val="3"/>
              </w:rPr>
            </w:pPr>
            <w:r>
              <w:rPr>
                <w:w w:val="105"/>
                <w:sz w:val="3"/>
              </w:rPr>
              <w:t>3,575000%</w:t>
            </w:r>
          </w:p>
        </w:tc>
        <w:tc>
          <w:tcPr>
            <w:tcW w:w="288" w:type="dxa"/>
            <w:tcBorders>
              <w:bottom w:val="nil"/>
            </w:tcBorders>
          </w:tcPr>
          <w:p w14:paraId="41AE71B9" w14:textId="77777777" w:rsidR="00F65BCA" w:rsidRDefault="00F65BCA">
            <w:pPr>
              <w:pStyle w:val="TableParagraph"/>
              <w:rPr>
                <w:rFonts w:ascii="Calibri"/>
                <w:sz w:val="2"/>
              </w:rPr>
            </w:pPr>
          </w:p>
          <w:p w14:paraId="5C4DA211" w14:textId="77777777" w:rsidR="00F65BCA" w:rsidRDefault="00F65BCA">
            <w:pPr>
              <w:pStyle w:val="TableParagraph"/>
              <w:rPr>
                <w:rFonts w:ascii="Calibri"/>
                <w:sz w:val="2"/>
              </w:rPr>
            </w:pPr>
          </w:p>
          <w:p w14:paraId="294F5A8B" w14:textId="77777777" w:rsidR="00F65BCA" w:rsidRDefault="00F65BCA">
            <w:pPr>
              <w:pStyle w:val="TableParagraph"/>
              <w:rPr>
                <w:rFonts w:ascii="Calibri"/>
                <w:sz w:val="2"/>
              </w:rPr>
            </w:pPr>
          </w:p>
          <w:p w14:paraId="64513D57" w14:textId="77777777" w:rsidR="00F65BCA" w:rsidRDefault="00216117">
            <w:pPr>
              <w:pStyle w:val="TableParagraph"/>
              <w:spacing w:line="5" w:lineRule="exact"/>
              <w:ind w:left="24" w:right="24"/>
              <w:jc w:val="center"/>
              <w:rPr>
                <w:sz w:val="3"/>
              </w:rPr>
            </w:pPr>
            <w:r>
              <w:rPr>
                <w:w w:val="105"/>
                <w:sz w:val="3"/>
              </w:rPr>
              <w:t>3,289000%</w:t>
            </w:r>
          </w:p>
        </w:tc>
        <w:tc>
          <w:tcPr>
            <w:tcW w:w="288" w:type="dxa"/>
            <w:tcBorders>
              <w:bottom w:val="nil"/>
            </w:tcBorders>
          </w:tcPr>
          <w:p w14:paraId="1BAB3150" w14:textId="77777777" w:rsidR="00F65BCA" w:rsidRDefault="00F65BCA">
            <w:pPr>
              <w:pStyle w:val="TableParagraph"/>
              <w:rPr>
                <w:rFonts w:ascii="Calibri"/>
                <w:sz w:val="2"/>
              </w:rPr>
            </w:pPr>
          </w:p>
          <w:p w14:paraId="118F8376" w14:textId="77777777" w:rsidR="00F65BCA" w:rsidRDefault="00F65BCA">
            <w:pPr>
              <w:pStyle w:val="TableParagraph"/>
              <w:rPr>
                <w:rFonts w:ascii="Calibri"/>
                <w:sz w:val="2"/>
              </w:rPr>
            </w:pPr>
          </w:p>
          <w:p w14:paraId="49B2FE96" w14:textId="77777777" w:rsidR="00F65BCA" w:rsidRDefault="00F65BCA">
            <w:pPr>
              <w:pStyle w:val="TableParagraph"/>
              <w:rPr>
                <w:rFonts w:ascii="Calibri"/>
                <w:sz w:val="2"/>
              </w:rPr>
            </w:pPr>
          </w:p>
          <w:p w14:paraId="72DDAD96" w14:textId="77777777" w:rsidR="00F65BCA" w:rsidRDefault="00216117">
            <w:pPr>
              <w:pStyle w:val="TableParagraph"/>
              <w:spacing w:line="5" w:lineRule="exact"/>
              <w:ind w:left="24" w:right="24"/>
              <w:jc w:val="center"/>
              <w:rPr>
                <w:sz w:val="3"/>
              </w:rPr>
            </w:pPr>
            <w:r>
              <w:rPr>
                <w:w w:val="105"/>
                <w:sz w:val="3"/>
              </w:rPr>
              <w:t>3,146000%</w:t>
            </w:r>
          </w:p>
        </w:tc>
        <w:tc>
          <w:tcPr>
            <w:tcW w:w="288" w:type="dxa"/>
            <w:tcBorders>
              <w:bottom w:val="nil"/>
            </w:tcBorders>
          </w:tcPr>
          <w:p w14:paraId="3D593F51" w14:textId="77777777" w:rsidR="00F65BCA" w:rsidRDefault="00F65BCA">
            <w:pPr>
              <w:pStyle w:val="TableParagraph"/>
              <w:rPr>
                <w:rFonts w:ascii="Calibri"/>
                <w:sz w:val="2"/>
              </w:rPr>
            </w:pPr>
          </w:p>
          <w:p w14:paraId="23DEC897" w14:textId="77777777" w:rsidR="00F65BCA" w:rsidRDefault="00F65BCA">
            <w:pPr>
              <w:pStyle w:val="TableParagraph"/>
              <w:rPr>
                <w:rFonts w:ascii="Calibri"/>
                <w:sz w:val="2"/>
              </w:rPr>
            </w:pPr>
          </w:p>
          <w:p w14:paraId="34C20B3E" w14:textId="77777777" w:rsidR="00F65BCA" w:rsidRDefault="00F65BCA">
            <w:pPr>
              <w:pStyle w:val="TableParagraph"/>
              <w:rPr>
                <w:rFonts w:ascii="Calibri"/>
                <w:sz w:val="2"/>
              </w:rPr>
            </w:pPr>
          </w:p>
          <w:p w14:paraId="133620D1" w14:textId="77777777" w:rsidR="00F65BCA" w:rsidRDefault="00216117">
            <w:pPr>
              <w:pStyle w:val="TableParagraph"/>
              <w:spacing w:line="5" w:lineRule="exact"/>
              <w:ind w:left="24" w:right="24"/>
              <w:jc w:val="center"/>
              <w:rPr>
                <w:sz w:val="3"/>
              </w:rPr>
            </w:pPr>
            <w:r>
              <w:rPr>
                <w:w w:val="105"/>
                <w:sz w:val="3"/>
              </w:rPr>
              <w:t>2,860000%</w:t>
            </w:r>
          </w:p>
        </w:tc>
        <w:tc>
          <w:tcPr>
            <w:tcW w:w="288" w:type="dxa"/>
            <w:tcBorders>
              <w:bottom w:val="nil"/>
            </w:tcBorders>
          </w:tcPr>
          <w:p w14:paraId="1E95BCDB" w14:textId="77777777" w:rsidR="00F65BCA" w:rsidRDefault="00F65BCA">
            <w:pPr>
              <w:pStyle w:val="TableParagraph"/>
              <w:rPr>
                <w:rFonts w:ascii="Calibri"/>
                <w:sz w:val="2"/>
              </w:rPr>
            </w:pPr>
          </w:p>
          <w:p w14:paraId="717AE99C" w14:textId="77777777" w:rsidR="00F65BCA" w:rsidRDefault="00F65BCA">
            <w:pPr>
              <w:pStyle w:val="TableParagraph"/>
              <w:rPr>
                <w:rFonts w:ascii="Calibri"/>
                <w:sz w:val="2"/>
              </w:rPr>
            </w:pPr>
          </w:p>
          <w:p w14:paraId="1360ED87" w14:textId="77777777" w:rsidR="00F65BCA" w:rsidRDefault="00F65BCA">
            <w:pPr>
              <w:pStyle w:val="TableParagraph"/>
              <w:rPr>
                <w:rFonts w:ascii="Calibri"/>
                <w:sz w:val="2"/>
              </w:rPr>
            </w:pPr>
          </w:p>
          <w:p w14:paraId="0884FE3B" w14:textId="77777777" w:rsidR="00F65BCA" w:rsidRDefault="00216117">
            <w:pPr>
              <w:pStyle w:val="TableParagraph"/>
              <w:spacing w:line="5" w:lineRule="exact"/>
              <w:ind w:left="64"/>
              <w:rPr>
                <w:sz w:val="3"/>
              </w:rPr>
            </w:pPr>
            <w:r>
              <w:rPr>
                <w:w w:val="105"/>
                <w:sz w:val="3"/>
              </w:rPr>
              <w:t>2,860000%</w:t>
            </w:r>
          </w:p>
        </w:tc>
      </w:tr>
      <w:tr w:rsidR="00F65BCA" w14:paraId="3FE74C6D" w14:textId="77777777">
        <w:trPr>
          <w:trHeight w:val="10"/>
        </w:trPr>
        <w:tc>
          <w:tcPr>
            <w:tcW w:w="526" w:type="dxa"/>
            <w:tcBorders>
              <w:top w:val="nil"/>
              <w:bottom w:val="single" w:sz="48" w:space="0" w:color="F8CBAD"/>
            </w:tcBorders>
            <w:shd w:val="clear" w:color="auto" w:fill="FCE4D6"/>
          </w:tcPr>
          <w:p w14:paraId="07F45ADC" w14:textId="77777777" w:rsidR="00F65BCA" w:rsidRDefault="00216117">
            <w:pPr>
              <w:pStyle w:val="TableParagraph"/>
              <w:spacing w:line="73" w:lineRule="exact"/>
              <w:ind w:right="134"/>
              <w:jc w:val="right"/>
              <w:rPr>
                <w:b/>
                <w:sz w:val="3"/>
              </w:rPr>
            </w:pPr>
            <w:r>
              <w:rPr>
                <w:b/>
                <w:w w:val="105"/>
                <w:sz w:val="3"/>
              </w:rPr>
              <w:t>Přípojná vozidla</w:t>
            </w:r>
          </w:p>
        </w:tc>
        <w:tc>
          <w:tcPr>
            <w:tcW w:w="732" w:type="dxa"/>
            <w:vMerge/>
            <w:tcBorders>
              <w:top w:val="nil"/>
              <w:bottom w:val="single" w:sz="48" w:space="0" w:color="F8CBAD"/>
            </w:tcBorders>
            <w:shd w:val="clear" w:color="auto" w:fill="FCE4D6"/>
          </w:tcPr>
          <w:p w14:paraId="444E7021" w14:textId="77777777" w:rsidR="00F65BCA" w:rsidRDefault="00F65BCA">
            <w:pPr>
              <w:rPr>
                <w:sz w:val="2"/>
                <w:szCs w:val="2"/>
              </w:rPr>
            </w:pPr>
          </w:p>
        </w:tc>
        <w:tc>
          <w:tcPr>
            <w:tcW w:w="958" w:type="dxa"/>
            <w:gridSpan w:val="2"/>
            <w:tcBorders>
              <w:top w:val="nil"/>
              <w:bottom w:val="single" w:sz="48" w:space="0" w:color="F8CBAD"/>
            </w:tcBorders>
            <w:shd w:val="clear" w:color="auto" w:fill="FCE4D6"/>
          </w:tcPr>
          <w:p w14:paraId="10308366" w14:textId="77777777" w:rsidR="00F65BCA" w:rsidRDefault="00216117">
            <w:pPr>
              <w:pStyle w:val="TableParagraph"/>
              <w:spacing w:line="73" w:lineRule="exact"/>
              <w:ind w:left="370" w:right="371"/>
              <w:jc w:val="center"/>
              <w:rPr>
                <w:b/>
                <w:sz w:val="3"/>
              </w:rPr>
            </w:pPr>
            <w:r>
              <w:rPr>
                <w:b/>
                <w:w w:val="105"/>
                <w:sz w:val="3"/>
              </w:rPr>
              <w:t>Typ vozidla</w:t>
            </w:r>
          </w:p>
        </w:tc>
        <w:tc>
          <w:tcPr>
            <w:tcW w:w="576" w:type="dxa"/>
            <w:tcBorders>
              <w:top w:val="nil"/>
              <w:bottom w:val="single" w:sz="48" w:space="0" w:color="F8CBAD"/>
            </w:tcBorders>
            <w:shd w:val="clear" w:color="auto" w:fill="FCE4D6"/>
          </w:tcPr>
          <w:p w14:paraId="302D98A0" w14:textId="77777777" w:rsidR="00F65BCA" w:rsidRDefault="00216117">
            <w:pPr>
              <w:pStyle w:val="TableParagraph"/>
              <w:spacing w:line="73" w:lineRule="exact"/>
              <w:ind w:left="128" w:right="128"/>
              <w:jc w:val="center"/>
              <w:rPr>
                <w:b/>
                <w:sz w:val="3"/>
              </w:rPr>
            </w:pPr>
            <w:r>
              <w:rPr>
                <w:b/>
                <w:w w:val="105"/>
                <w:sz w:val="3"/>
              </w:rPr>
              <w:t>Objem motoru</w:t>
            </w:r>
          </w:p>
        </w:tc>
        <w:tc>
          <w:tcPr>
            <w:tcW w:w="576" w:type="dxa"/>
            <w:tcBorders>
              <w:top w:val="nil"/>
              <w:bottom w:val="single" w:sz="48" w:space="0" w:color="F8CBAD"/>
            </w:tcBorders>
            <w:shd w:val="clear" w:color="auto" w:fill="FCE4D6"/>
          </w:tcPr>
          <w:p w14:paraId="60451148" w14:textId="77777777" w:rsidR="00F65BCA" w:rsidRDefault="00216117">
            <w:pPr>
              <w:pStyle w:val="TableParagraph"/>
              <w:spacing w:line="73" w:lineRule="exact"/>
              <w:ind w:left="150"/>
              <w:rPr>
                <w:b/>
                <w:sz w:val="3"/>
              </w:rPr>
            </w:pPr>
            <w:r>
              <w:rPr>
                <w:b/>
                <w:w w:val="105"/>
                <w:sz w:val="3"/>
              </w:rPr>
              <w:t>Celková hmotnost</w:t>
            </w:r>
          </w:p>
        </w:tc>
        <w:tc>
          <w:tcPr>
            <w:tcW w:w="50" w:type="dxa"/>
            <w:vMerge/>
            <w:tcBorders>
              <w:top w:val="nil"/>
              <w:bottom w:val="nil"/>
            </w:tcBorders>
          </w:tcPr>
          <w:p w14:paraId="54B4EB38" w14:textId="77777777" w:rsidR="00F65BCA" w:rsidRDefault="00F65BCA">
            <w:pPr>
              <w:rPr>
                <w:sz w:val="2"/>
                <w:szCs w:val="2"/>
              </w:rPr>
            </w:pPr>
          </w:p>
        </w:tc>
        <w:tc>
          <w:tcPr>
            <w:tcW w:w="288" w:type="dxa"/>
            <w:tcBorders>
              <w:top w:val="nil"/>
              <w:bottom w:val="single" w:sz="48" w:space="0" w:color="F8CBAD"/>
            </w:tcBorders>
          </w:tcPr>
          <w:p w14:paraId="3BB0AB0C" w14:textId="77777777" w:rsidR="00F65BCA" w:rsidRDefault="00216117">
            <w:pPr>
              <w:pStyle w:val="TableParagraph"/>
              <w:spacing w:line="73" w:lineRule="exact"/>
              <w:ind w:left="24" w:right="22"/>
              <w:jc w:val="center"/>
              <w:rPr>
                <w:b/>
                <w:sz w:val="3"/>
              </w:rPr>
            </w:pPr>
            <w:r>
              <w:rPr>
                <w:b/>
                <w:w w:val="105"/>
                <w:sz w:val="3"/>
              </w:rPr>
              <w:t>0-99</w:t>
            </w:r>
          </w:p>
        </w:tc>
        <w:tc>
          <w:tcPr>
            <w:tcW w:w="288" w:type="dxa"/>
            <w:tcBorders>
              <w:top w:val="nil"/>
              <w:bottom w:val="single" w:sz="48" w:space="0" w:color="F8CBAD"/>
            </w:tcBorders>
          </w:tcPr>
          <w:p w14:paraId="039EADD3" w14:textId="77777777" w:rsidR="00F65BCA" w:rsidRDefault="00216117">
            <w:pPr>
              <w:pStyle w:val="TableParagraph"/>
              <w:spacing w:line="73" w:lineRule="exact"/>
              <w:ind w:left="24" w:right="24"/>
              <w:jc w:val="center"/>
              <w:rPr>
                <w:b/>
                <w:sz w:val="3"/>
              </w:rPr>
            </w:pPr>
            <w:r>
              <w:rPr>
                <w:b/>
                <w:w w:val="105"/>
                <w:sz w:val="3"/>
              </w:rPr>
              <w:t>100-199</w:t>
            </w:r>
          </w:p>
        </w:tc>
        <w:tc>
          <w:tcPr>
            <w:tcW w:w="288" w:type="dxa"/>
            <w:tcBorders>
              <w:top w:val="nil"/>
              <w:bottom w:val="single" w:sz="48" w:space="0" w:color="F8CBAD"/>
            </w:tcBorders>
          </w:tcPr>
          <w:p w14:paraId="797F2F8C" w14:textId="77777777" w:rsidR="00F65BCA" w:rsidRDefault="00216117">
            <w:pPr>
              <w:pStyle w:val="TableParagraph"/>
              <w:spacing w:line="73" w:lineRule="exact"/>
              <w:ind w:left="85"/>
              <w:rPr>
                <w:b/>
                <w:sz w:val="3"/>
              </w:rPr>
            </w:pPr>
            <w:r>
              <w:rPr>
                <w:b/>
                <w:w w:val="105"/>
                <w:sz w:val="3"/>
              </w:rPr>
              <w:t>200-299</w:t>
            </w:r>
          </w:p>
        </w:tc>
        <w:tc>
          <w:tcPr>
            <w:tcW w:w="288" w:type="dxa"/>
            <w:tcBorders>
              <w:top w:val="nil"/>
              <w:bottom w:val="single" w:sz="48" w:space="0" w:color="F8CBAD"/>
            </w:tcBorders>
          </w:tcPr>
          <w:p w14:paraId="1F4FFB08" w14:textId="77777777" w:rsidR="00F65BCA" w:rsidRDefault="00216117">
            <w:pPr>
              <w:pStyle w:val="TableParagraph"/>
              <w:spacing w:line="73" w:lineRule="exact"/>
              <w:ind w:left="24" w:right="24"/>
              <w:jc w:val="center"/>
              <w:rPr>
                <w:b/>
                <w:sz w:val="3"/>
              </w:rPr>
            </w:pPr>
            <w:r>
              <w:rPr>
                <w:b/>
                <w:w w:val="105"/>
                <w:sz w:val="3"/>
              </w:rPr>
              <w:t>300-399</w:t>
            </w:r>
          </w:p>
        </w:tc>
        <w:tc>
          <w:tcPr>
            <w:tcW w:w="288" w:type="dxa"/>
            <w:tcBorders>
              <w:top w:val="nil"/>
              <w:bottom w:val="single" w:sz="48" w:space="0" w:color="F8CBAD"/>
            </w:tcBorders>
          </w:tcPr>
          <w:p w14:paraId="5A5E2E68" w14:textId="77777777" w:rsidR="00F65BCA" w:rsidRDefault="00216117">
            <w:pPr>
              <w:pStyle w:val="TableParagraph"/>
              <w:spacing w:line="73" w:lineRule="exact"/>
              <w:ind w:left="85"/>
              <w:rPr>
                <w:b/>
                <w:sz w:val="3"/>
              </w:rPr>
            </w:pPr>
            <w:r>
              <w:rPr>
                <w:b/>
                <w:w w:val="105"/>
                <w:sz w:val="3"/>
              </w:rPr>
              <w:t>400-499</w:t>
            </w:r>
          </w:p>
        </w:tc>
        <w:tc>
          <w:tcPr>
            <w:tcW w:w="288" w:type="dxa"/>
            <w:tcBorders>
              <w:top w:val="nil"/>
              <w:bottom w:val="single" w:sz="48" w:space="0" w:color="F8CBAD"/>
            </w:tcBorders>
          </w:tcPr>
          <w:p w14:paraId="6A273714" w14:textId="77777777" w:rsidR="00F65BCA" w:rsidRDefault="00216117">
            <w:pPr>
              <w:pStyle w:val="TableParagraph"/>
              <w:spacing w:line="73" w:lineRule="exact"/>
              <w:ind w:left="24" w:right="24"/>
              <w:jc w:val="center"/>
              <w:rPr>
                <w:b/>
                <w:sz w:val="3"/>
              </w:rPr>
            </w:pPr>
            <w:r>
              <w:rPr>
                <w:b/>
                <w:w w:val="105"/>
                <w:sz w:val="3"/>
              </w:rPr>
              <w:t>500-599</w:t>
            </w:r>
          </w:p>
        </w:tc>
        <w:tc>
          <w:tcPr>
            <w:tcW w:w="288" w:type="dxa"/>
            <w:tcBorders>
              <w:top w:val="nil"/>
              <w:bottom w:val="single" w:sz="48" w:space="0" w:color="F8CBAD"/>
            </w:tcBorders>
          </w:tcPr>
          <w:p w14:paraId="7D78D84C" w14:textId="77777777" w:rsidR="00F65BCA" w:rsidRDefault="00216117">
            <w:pPr>
              <w:pStyle w:val="TableParagraph"/>
              <w:spacing w:line="73" w:lineRule="exact"/>
              <w:ind w:left="24" w:right="24"/>
              <w:jc w:val="center"/>
              <w:rPr>
                <w:b/>
                <w:sz w:val="3"/>
              </w:rPr>
            </w:pPr>
            <w:r>
              <w:rPr>
                <w:b/>
                <w:w w:val="105"/>
                <w:sz w:val="3"/>
              </w:rPr>
              <w:t>600-699</w:t>
            </w:r>
          </w:p>
        </w:tc>
        <w:tc>
          <w:tcPr>
            <w:tcW w:w="288" w:type="dxa"/>
            <w:tcBorders>
              <w:top w:val="nil"/>
              <w:bottom w:val="single" w:sz="48" w:space="0" w:color="F8CBAD"/>
            </w:tcBorders>
          </w:tcPr>
          <w:p w14:paraId="200EDA3E" w14:textId="77777777" w:rsidR="00F65BCA" w:rsidRDefault="00216117">
            <w:pPr>
              <w:pStyle w:val="TableParagraph"/>
              <w:spacing w:line="73" w:lineRule="exact"/>
              <w:ind w:left="85"/>
              <w:rPr>
                <w:b/>
                <w:sz w:val="3"/>
              </w:rPr>
            </w:pPr>
            <w:r>
              <w:rPr>
                <w:b/>
                <w:w w:val="105"/>
                <w:sz w:val="3"/>
              </w:rPr>
              <w:t>700-799</w:t>
            </w:r>
          </w:p>
        </w:tc>
        <w:tc>
          <w:tcPr>
            <w:tcW w:w="288" w:type="dxa"/>
            <w:tcBorders>
              <w:top w:val="nil"/>
              <w:bottom w:val="single" w:sz="48" w:space="0" w:color="F8CBAD"/>
            </w:tcBorders>
          </w:tcPr>
          <w:p w14:paraId="74D72F19" w14:textId="77777777" w:rsidR="00F65BCA" w:rsidRDefault="00216117">
            <w:pPr>
              <w:pStyle w:val="TableParagraph"/>
              <w:spacing w:line="73" w:lineRule="exact"/>
              <w:ind w:left="24" w:right="24"/>
              <w:jc w:val="center"/>
              <w:rPr>
                <w:b/>
                <w:sz w:val="3"/>
              </w:rPr>
            </w:pPr>
            <w:r>
              <w:rPr>
                <w:b/>
                <w:w w:val="105"/>
                <w:sz w:val="3"/>
              </w:rPr>
              <w:t>800-999</w:t>
            </w:r>
          </w:p>
        </w:tc>
        <w:tc>
          <w:tcPr>
            <w:tcW w:w="288" w:type="dxa"/>
            <w:tcBorders>
              <w:top w:val="nil"/>
              <w:bottom w:val="single" w:sz="48" w:space="0" w:color="F8CBAD"/>
            </w:tcBorders>
          </w:tcPr>
          <w:p w14:paraId="7E36C338" w14:textId="77777777" w:rsidR="00F65BCA" w:rsidRDefault="00216117">
            <w:pPr>
              <w:pStyle w:val="TableParagraph"/>
              <w:spacing w:line="73" w:lineRule="exact"/>
              <w:ind w:left="24" w:right="24"/>
              <w:jc w:val="center"/>
              <w:rPr>
                <w:b/>
                <w:sz w:val="3"/>
              </w:rPr>
            </w:pPr>
            <w:r>
              <w:rPr>
                <w:b/>
                <w:w w:val="105"/>
                <w:sz w:val="3"/>
              </w:rPr>
              <w:t>1000-1499</w:t>
            </w:r>
          </w:p>
        </w:tc>
        <w:tc>
          <w:tcPr>
            <w:tcW w:w="288" w:type="dxa"/>
            <w:tcBorders>
              <w:top w:val="nil"/>
              <w:bottom w:val="single" w:sz="48" w:space="0" w:color="F8CBAD"/>
            </w:tcBorders>
          </w:tcPr>
          <w:p w14:paraId="15EC4657" w14:textId="77777777" w:rsidR="00F65BCA" w:rsidRDefault="00216117">
            <w:pPr>
              <w:pStyle w:val="TableParagraph"/>
              <w:spacing w:line="73" w:lineRule="exact"/>
              <w:ind w:left="24" w:right="24"/>
              <w:jc w:val="center"/>
              <w:rPr>
                <w:b/>
                <w:sz w:val="3"/>
              </w:rPr>
            </w:pPr>
            <w:r>
              <w:rPr>
                <w:b/>
                <w:w w:val="105"/>
                <w:sz w:val="3"/>
              </w:rPr>
              <w:t>1500-1999</w:t>
            </w:r>
          </w:p>
        </w:tc>
        <w:tc>
          <w:tcPr>
            <w:tcW w:w="288" w:type="dxa"/>
            <w:tcBorders>
              <w:top w:val="nil"/>
              <w:bottom w:val="single" w:sz="48" w:space="0" w:color="F8CBAD"/>
            </w:tcBorders>
          </w:tcPr>
          <w:p w14:paraId="245328FC" w14:textId="77777777" w:rsidR="00F65BCA" w:rsidRDefault="00216117">
            <w:pPr>
              <w:pStyle w:val="TableParagraph"/>
              <w:spacing w:line="73" w:lineRule="exact"/>
              <w:ind w:left="24" w:right="24"/>
              <w:jc w:val="center"/>
              <w:rPr>
                <w:b/>
                <w:sz w:val="3"/>
              </w:rPr>
            </w:pPr>
            <w:r>
              <w:rPr>
                <w:b/>
                <w:w w:val="105"/>
                <w:sz w:val="3"/>
              </w:rPr>
              <w:t>2000-2499</w:t>
            </w:r>
          </w:p>
        </w:tc>
        <w:tc>
          <w:tcPr>
            <w:tcW w:w="288" w:type="dxa"/>
            <w:tcBorders>
              <w:top w:val="nil"/>
              <w:bottom w:val="single" w:sz="48" w:space="0" w:color="F8CBAD"/>
            </w:tcBorders>
          </w:tcPr>
          <w:p w14:paraId="255819EC" w14:textId="77777777" w:rsidR="00F65BCA" w:rsidRDefault="00216117">
            <w:pPr>
              <w:pStyle w:val="TableParagraph"/>
              <w:spacing w:line="73" w:lineRule="exact"/>
              <w:ind w:left="88"/>
              <w:rPr>
                <w:b/>
                <w:sz w:val="3"/>
              </w:rPr>
            </w:pPr>
            <w:r>
              <w:rPr>
                <w:b/>
                <w:w w:val="105"/>
                <w:sz w:val="3"/>
              </w:rPr>
              <w:t>&gt;=2500</w:t>
            </w:r>
          </w:p>
        </w:tc>
      </w:tr>
      <w:tr w:rsidR="00F65BCA" w14:paraId="3688EDB5" w14:textId="77777777">
        <w:trPr>
          <w:trHeight w:val="47"/>
        </w:trPr>
        <w:tc>
          <w:tcPr>
            <w:tcW w:w="526" w:type="dxa"/>
            <w:tcBorders>
              <w:top w:val="single" w:sz="48" w:space="0" w:color="F8CBAD"/>
              <w:bottom w:val="nil"/>
            </w:tcBorders>
            <w:shd w:val="clear" w:color="auto" w:fill="FCE4D6"/>
          </w:tcPr>
          <w:p w14:paraId="276BB556" w14:textId="77777777" w:rsidR="00F65BCA" w:rsidRDefault="00F65BCA">
            <w:pPr>
              <w:pStyle w:val="TableParagraph"/>
              <w:rPr>
                <w:rFonts w:ascii="Times New Roman"/>
                <w:sz w:val="2"/>
              </w:rPr>
            </w:pPr>
          </w:p>
        </w:tc>
        <w:tc>
          <w:tcPr>
            <w:tcW w:w="732" w:type="dxa"/>
            <w:tcBorders>
              <w:top w:val="single" w:sz="48" w:space="0" w:color="F8CBAD"/>
              <w:bottom w:val="nil"/>
            </w:tcBorders>
            <w:shd w:val="clear" w:color="auto" w:fill="FCE4D6"/>
          </w:tcPr>
          <w:p w14:paraId="6A185F82" w14:textId="77777777" w:rsidR="00F65BCA" w:rsidRDefault="00216117">
            <w:pPr>
              <w:pStyle w:val="TableParagraph"/>
              <w:spacing w:line="98" w:lineRule="exact"/>
              <w:ind w:left="2"/>
              <w:jc w:val="center"/>
              <w:rPr>
                <w:sz w:val="3"/>
              </w:rPr>
            </w:pPr>
            <w:r>
              <w:rPr>
                <w:w w:val="103"/>
                <w:sz w:val="3"/>
              </w:rPr>
              <w:t>-</w:t>
            </w:r>
          </w:p>
        </w:tc>
        <w:tc>
          <w:tcPr>
            <w:tcW w:w="958" w:type="dxa"/>
            <w:gridSpan w:val="2"/>
            <w:tcBorders>
              <w:top w:val="single" w:sz="48" w:space="0" w:color="F8CBAD"/>
              <w:bottom w:val="nil"/>
            </w:tcBorders>
            <w:shd w:val="clear" w:color="auto" w:fill="FCE4D6"/>
          </w:tcPr>
          <w:p w14:paraId="4414F211" w14:textId="77777777" w:rsidR="00F65BCA" w:rsidRDefault="00216117">
            <w:pPr>
              <w:pStyle w:val="TableParagraph"/>
              <w:spacing w:line="98" w:lineRule="exact"/>
              <w:ind w:left="1"/>
              <w:jc w:val="center"/>
              <w:rPr>
                <w:sz w:val="3"/>
              </w:rPr>
            </w:pPr>
            <w:r>
              <w:rPr>
                <w:w w:val="103"/>
                <w:sz w:val="3"/>
              </w:rPr>
              <w:t>-</w:t>
            </w:r>
          </w:p>
        </w:tc>
        <w:tc>
          <w:tcPr>
            <w:tcW w:w="576" w:type="dxa"/>
            <w:tcBorders>
              <w:top w:val="single" w:sz="48" w:space="0" w:color="F8CBAD"/>
              <w:bottom w:val="nil"/>
            </w:tcBorders>
            <w:shd w:val="clear" w:color="auto" w:fill="FCE4D6"/>
          </w:tcPr>
          <w:p w14:paraId="729748F8" w14:textId="77777777" w:rsidR="00F65BCA" w:rsidRDefault="00216117">
            <w:pPr>
              <w:pStyle w:val="TableParagraph"/>
              <w:spacing w:line="98" w:lineRule="exact"/>
              <w:ind w:left="3"/>
              <w:jc w:val="center"/>
              <w:rPr>
                <w:sz w:val="3"/>
              </w:rPr>
            </w:pPr>
            <w:r>
              <w:rPr>
                <w:w w:val="103"/>
                <w:sz w:val="3"/>
              </w:rPr>
              <w:t>-</w:t>
            </w:r>
          </w:p>
        </w:tc>
        <w:tc>
          <w:tcPr>
            <w:tcW w:w="576" w:type="dxa"/>
            <w:tcBorders>
              <w:top w:val="single" w:sz="48" w:space="0" w:color="F8CBAD"/>
              <w:bottom w:val="nil"/>
            </w:tcBorders>
            <w:shd w:val="clear" w:color="auto" w:fill="FCE4D6"/>
          </w:tcPr>
          <w:p w14:paraId="30D74748" w14:textId="77777777" w:rsidR="00F65BCA" w:rsidRDefault="00216117">
            <w:pPr>
              <w:pStyle w:val="TableParagraph"/>
              <w:spacing w:line="98" w:lineRule="exact"/>
              <w:ind w:left="227"/>
              <w:rPr>
                <w:sz w:val="3"/>
              </w:rPr>
            </w:pPr>
            <w:r>
              <w:rPr>
                <w:w w:val="105"/>
                <w:sz w:val="3"/>
              </w:rPr>
              <w:t>0-750 kg</w:t>
            </w:r>
          </w:p>
        </w:tc>
        <w:tc>
          <w:tcPr>
            <w:tcW w:w="50" w:type="dxa"/>
            <w:vMerge w:val="restart"/>
            <w:tcBorders>
              <w:top w:val="nil"/>
              <w:bottom w:val="nil"/>
            </w:tcBorders>
          </w:tcPr>
          <w:p w14:paraId="4DD6724B" w14:textId="77777777" w:rsidR="00F65BCA" w:rsidRDefault="00F65BCA">
            <w:pPr>
              <w:pStyle w:val="TableParagraph"/>
              <w:rPr>
                <w:rFonts w:ascii="Times New Roman"/>
                <w:sz w:val="2"/>
              </w:rPr>
            </w:pPr>
          </w:p>
        </w:tc>
        <w:tc>
          <w:tcPr>
            <w:tcW w:w="288" w:type="dxa"/>
            <w:tcBorders>
              <w:top w:val="single" w:sz="48" w:space="0" w:color="F8CBAD"/>
              <w:bottom w:val="nil"/>
            </w:tcBorders>
          </w:tcPr>
          <w:p w14:paraId="36EB789E" w14:textId="77777777" w:rsidR="00F65BCA" w:rsidRDefault="00216117">
            <w:pPr>
              <w:pStyle w:val="TableParagraph"/>
              <w:spacing w:line="98" w:lineRule="exact"/>
              <w:ind w:left="24" w:right="24"/>
              <w:jc w:val="center"/>
              <w:rPr>
                <w:sz w:val="3"/>
              </w:rPr>
            </w:pPr>
            <w:r>
              <w:rPr>
                <w:w w:val="105"/>
                <w:sz w:val="3"/>
              </w:rPr>
              <w:t>2,014000%</w:t>
            </w:r>
          </w:p>
        </w:tc>
        <w:tc>
          <w:tcPr>
            <w:tcW w:w="288" w:type="dxa"/>
            <w:tcBorders>
              <w:top w:val="single" w:sz="48" w:space="0" w:color="F8CBAD"/>
              <w:bottom w:val="nil"/>
            </w:tcBorders>
          </w:tcPr>
          <w:p w14:paraId="027F2948" w14:textId="77777777" w:rsidR="00F65BCA" w:rsidRDefault="00216117">
            <w:pPr>
              <w:pStyle w:val="TableParagraph"/>
              <w:spacing w:line="98" w:lineRule="exact"/>
              <w:ind w:left="24" w:right="24"/>
              <w:jc w:val="center"/>
              <w:rPr>
                <w:sz w:val="3"/>
              </w:rPr>
            </w:pPr>
            <w:r>
              <w:rPr>
                <w:w w:val="105"/>
                <w:sz w:val="3"/>
              </w:rPr>
              <w:t>1,802000%</w:t>
            </w:r>
          </w:p>
        </w:tc>
        <w:tc>
          <w:tcPr>
            <w:tcW w:w="288" w:type="dxa"/>
            <w:tcBorders>
              <w:top w:val="single" w:sz="48" w:space="0" w:color="F8CBAD"/>
              <w:bottom w:val="nil"/>
            </w:tcBorders>
          </w:tcPr>
          <w:p w14:paraId="635F6780" w14:textId="77777777" w:rsidR="00F65BCA" w:rsidRDefault="00216117">
            <w:pPr>
              <w:pStyle w:val="TableParagraph"/>
              <w:spacing w:line="98" w:lineRule="exact"/>
              <w:ind w:left="64"/>
              <w:rPr>
                <w:sz w:val="3"/>
              </w:rPr>
            </w:pPr>
            <w:r>
              <w:rPr>
                <w:w w:val="105"/>
                <w:sz w:val="3"/>
              </w:rPr>
              <w:t>1,802000%</w:t>
            </w:r>
          </w:p>
        </w:tc>
        <w:tc>
          <w:tcPr>
            <w:tcW w:w="288" w:type="dxa"/>
            <w:tcBorders>
              <w:top w:val="single" w:sz="48" w:space="0" w:color="F8CBAD"/>
              <w:bottom w:val="nil"/>
            </w:tcBorders>
          </w:tcPr>
          <w:p w14:paraId="5E128A1E" w14:textId="77777777" w:rsidR="00F65BCA" w:rsidRDefault="00216117">
            <w:pPr>
              <w:pStyle w:val="TableParagraph"/>
              <w:spacing w:line="98" w:lineRule="exact"/>
              <w:ind w:left="24" w:right="24"/>
              <w:jc w:val="center"/>
              <w:rPr>
                <w:sz w:val="3"/>
              </w:rPr>
            </w:pPr>
            <w:r>
              <w:rPr>
                <w:w w:val="105"/>
                <w:sz w:val="3"/>
              </w:rPr>
              <w:t>1,643000%</w:t>
            </w:r>
          </w:p>
        </w:tc>
        <w:tc>
          <w:tcPr>
            <w:tcW w:w="288" w:type="dxa"/>
            <w:tcBorders>
              <w:top w:val="single" w:sz="48" w:space="0" w:color="F8CBAD"/>
              <w:bottom w:val="nil"/>
            </w:tcBorders>
          </w:tcPr>
          <w:p w14:paraId="084991F8" w14:textId="77777777" w:rsidR="00F65BCA" w:rsidRDefault="00216117">
            <w:pPr>
              <w:pStyle w:val="TableParagraph"/>
              <w:spacing w:line="98" w:lineRule="exact"/>
              <w:ind w:left="64"/>
              <w:rPr>
                <w:sz w:val="3"/>
              </w:rPr>
            </w:pPr>
            <w:r>
              <w:rPr>
                <w:w w:val="105"/>
                <w:sz w:val="3"/>
              </w:rPr>
              <w:t>1,643000%</w:t>
            </w:r>
          </w:p>
        </w:tc>
        <w:tc>
          <w:tcPr>
            <w:tcW w:w="288" w:type="dxa"/>
            <w:tcBorders>
              <w:top w:val="single" w:sz="48" w:space="0" w:color="F8CBAD"/>
              <w:bottom w:val="nil"/>
            </w:tcBorders>
          </w:tcPr>
          <w:p w14:paraId="09718E3F" w14:textId="77777777" w:rsidR="00F65BCA" w:rsidRDefault="00216117">
            <w:pPr>
              <w:pStyle w:val="TableParagraph"/>
              <w:spacing w:line="98" w:lineRule="exact"/>
              <w:ind w:left="24" w:right="24"/>
              <w:jc w:val="center"/>
              <w:rPr>
                <w:sz w:val="3"/>
              </w:rPr>
            </w:pPr>
            <w:r>
              <w:rPr>
                <w:w w:val="105"/>
                <w:sz w:val="3"/>
              </w:rPr>
              <w:t>1,484000%</w:t>
            </w:r>
          </w:p>
        </w:tc>
        <w:tc>
          <w:tcPr>
            <w:tcW w:w="288" w:type="dxa"/>
            <w:tcBorders>
              <w:top w:val="single" w:sz="48" w:space="0" w:color="F8CBAD"/>
              <w:bottom w:val="nil"/>
            </w:tcBorders>
          </w:tcPr>
          <w:p w14:paraId="646AAE5F" w14:textId="77777777" w:rsidR="00F65BCA" w:rsidRDefault="00216117">
            <w:pPr>
              <w:pStyle w:val="TableParagraph"/>
              <w:spacing w:line="98" w:lineRule="exact"/>
              <w:ind w:left="24" w:right="24"/>
              <w:jc w:val="center"/>
              <w:rPr>
                <w:sz w:val="3"/>
              </w:rPr>
            </w:pPr>
            <w:r>
              <w:rPr>
                <w:w w:val="105"/>
                <w:sz w:val="3"/>
              </w:rPr>
              <w:t>1,484000%</w:t>
            </w:r>
          </w:p>
        </w:tc>
        <w:tc>
          <w:tcPr>
            <w:tcW w:w="288" w:type="dxa"/>
            <w:tcBorders>
              <w:top w:val="single" w:sz="48" w:space="0" w:color="F8CBAD"/>
              <w:bottom w:val="nil"/>
            </w:tcBorders>
          </w:tcPr>
          <w:p w14:paraId="6BB06826" w14:textId="77777777" w:rsidR="00F65BCA" w:rsidRDefault="00216117">
            <w:pPr>
              <w:pStyle w:val="TableParagraph"/>
              <w:spacing w:line="98" w:lineRule="exact"/>
              <w:ind w:left="64"/>
              <w:rPr>
                <w:sz w:val="3"/>
              </w:rPr>
            </w:pPr>
            <w:r>
              <w:rPr>
                <w:w w:val="105"/>
                <w:sz w:val="3"/>
              </w:rPr>
              <w:t>1,325000%</w:t>
            </w:r>
          </w:p>
        </w:tc>
        <w:tc>
          <w:tcPr>
            <w:tcW w:w="288" w:type="dxa"/>
            <w:tcBorders>
              <w:top w:val="single" w:sz="48" w:space="0" w:color="F8CBAD"/>
              <w:bottom w:val="nil"/>
            </w:tcBorders>
          </w:tcPr>
          <w:p w14:paraId="69985A63" w14:textId="77777777" w:rsidR="00F65BCA" w:rsidRDefault="00216117">
            <w:pPr>
              <w:pStyle w:val="TableParagraph"/>
              <w:spacing w:line="98" w:lineRule="exact"/>
              <w:ind w:left="24" w:right="24"/>
              <w:jc w:val="center"/>
              <w:rPr>
                <w:sz w:val="3"/>
              </w:rPr>
            </w:pPr>
            <w:r>
              <w:rPr>
                <w:w w:val="105"/>
                <w:sz w:val="3"/>
              </w:rPr>
              <w:t>1,325000%</w:t>
            </w:r>
          </w:p>
        </w:tc>
        <w:tc>
          <w:tcPr>
            <w:tcW w:w="288" w:type="dxa"/>
            <w:tcBorders>
              <w:top w:val="single" w:sz="48" w:space="0" w:color="F8CBAD"/>
              <w:bottom w:val="nil"/>
            </w:tcBorders>
          </w:tcPr>
          <w:p w14:paraId="14D0670D" w14:textId="77777777" w:rsidR="00F65BCA" w:rsidRDefault="00216117">
            <w:pPr>
              <w:pStyle w:val="TableParagraph"/>
              <w:spacing w:line="98" w:lineRule="exact"/>
              <w:ind w:left="24" w:right="24"/>
              <w:jc w:val="center"/>
              <w:rPr>
                <w:sz w:val="3"/>
              </w:rPr>
            </w:pPr>
            <w:r>
              <w:rPr>
                <w:w w:val="105"/>
                <w:sz w:val="3"/>
              </w:rPr>
              <w:t>1,219000%</w:t>
            </w:r>
          </w:p>
        </w:tc>
        <w:tc>
          <w:tcPr>
            <w:tcW w:w="288" w:type="dxa"/>
            <w:tcBorders>
              <w:top w:val="single" w:sz="48" w:space="0" w:color="F8CBAD"/>
              <w:bottom w:val="nil"/>
            </w:tcBorders>
          </w:tcPr>
          <w:p w14:paraId="1A0E2475" w14:textId="77777777" w:rsidR="00F65BCA" w:rsidRDefault="00216117">
            <w:pPr>
              <w:pStyle w:val="TableParagraph"/>
              <w:spacing w:line="98" w:lineRule="exact"/>
              <w:ind w:left="24" w:right="24"/>
              <w:jc w:val="center"/>
              <w:rPr>
                <w:sz w:val="3"/>
              </w:rPr>
            </w:pPr>
            <w:r>
              <w:rPr>
                <w:w w:val="105"/>
                <w:sz w:val="3"/>
              </w:rPr>
              <w:t>1,166000%</w:t>
            </w:r>
          </w:p>
        </w:tc>
        <w:tc>
          <w:tcPr>
            <w:tcW w:w="288" w:type="dxa"/>
            <w:tcBorders>
              <w:top w:val="single" w:sz="48" w:space="0" w:color="F8CBAD"/>
              <w:bottom w:val="nil"/>
            </w:tcBorders>
          </w:tcPr>
          <w:p w14:paraId="2B9961F7" w14:textId="77777777" w:rsidR="00F65BCA" w:rsidRDefault="00216117">
            <w:pPr>
              <w:pStyle w:val="TableParagraph"/>
              <w:spacing w:line="98" w:lineRule="exact"/>
              <w:ind w:left="24" w:right="24"/>
              <w:jc w:val="center"/>
              <w:rPr>
                <w:sz w:val="3"/>
              </w:rPr>
            </w:pPr>
            <w:r>
              <w:rPr>
                <w:w w:val="105"/>
                <w:sz w:val="3"/>
              </w:rPr>
              <w:t>1,060000%</w:t>
            </w:r>
          </w:p>
        </w:tc>
        <w:tc>
          <w:tcPr>
            <w:tcW w:w="288" w:type="dxa"/>
            <w:tcBorders>
              <w:top w:val="single" w:sz="48" w:space="0" w:color="F8CBAD"/>
              <w:bottom w:val="nil"/>
            </w:tcBorders>
          </w:tcPr>
          <w:p w14:paraId="365002D1" w14:textId="77777777" w:rsidR="00F65BCA" w:rsidRDefault="00216117">
            <w:pPr>
              <w:pStyle w:val="TableParagraph"/>
              <w:spacing w:line="98" w:lineRule="exact"/>
              <w:ind w:left="64"/>
              <w:rPr>
                <w:sz w:val="3"/>
              </w:rPr>
            </w:pPr>
            <w:r>
              <w:rPr>
                <w:w w:val="105"/>
                <w:sz w:val="3"/>
              </w:rPr>
              <w:t>1,060000%</w:t>
            </w:r>
          </w:p>
        </w:tc>
      </w:tr>
      <w:tr w:rsidR="00F65BCA" w14:paraId="52FA1B0E" w14:textId="77777777">
        <w:trPr>
          <w:trHeight w:val="19"/>
        </w:trPr>
        <w:tc>
          <w:tcPr>
            <w:tcW w:w="526" w:type="dxa"/>
            <w:vMerge w:val="restart"/>
            <w:tcBorders>
              <w:top w:val="nil"/>
            </w:tcBorders>
            <w:shd w:val="clear" w:color="auto" w:fill="FCE4D6"/>
          </w:tcPr>
          <w:p w14:paraId="3E14142B" w14:textId="77777777" w:rsidR="00F65BCA" w:rsidRDefault="00216117">
            <w:pPr>
              <w:pStyle w:val="TableParagraph"/>
              <w:spacing w:line="136" w:lineRule="exact"/>
              <w:ind w:left="177" w:right="178"/>
              <w:jc w:val="center"/>
              <w:rPr>
                <w:sz w:val="3"/>
              </w:rPr>
            </w:pPr>
            <w:r>
              <w:rPr>
                <w:w w:val="105"/>
                <w:sz w:val="3"/>
              </w:rPr>
              <w:t>přívěs</w:t>
            </w:r>
          </w:p>
        </w:tc>
        <w:tc>
          <w:tcPr>
            <w:tcW w:w="732" w:type="dxa"/>
            <w:tcBorders>
              <w:top w:val="nil"/>
            </w:tcBorders>
            <w:shd w:val="clear" w:color="auto" w:fill="FCE4D6"/>
          </w:tcPr>
          <w:p w14:paraId="2356802D" w14:textId="77777777" w:rsidR="00F65BCA" w:rsidRDefault="00F65BCA">
            <w:pPr>
              <w:pStyle w:val="TableParagraph"/>
              <w:rPr>
                <w:rFonts w:ascii="Times New Roman"/>
                <w:sz w:val="2"/>
              </w:rPr>
            </w:pPr>
          </w:p>
        </w:tc>
        <w:tc>
          <w:tcPr>
            <w:tcW w:w="958" w:type="dxa"/>
            <w:gridSpan w:val="2"/>
            <w:tcBorders>
              <w:top w:val="nil"/>
            </w:tcBorders>
            <w:shd w:val="clear" w:color="auto" w:fill="FCE4D6"/>
          </w:tcPr>
          <w:p w14:paraId="48800DEC" w14:textId="77777777" w:rsidR="00F65BCA" w:rsidRDefault="00F65BCA">
            <w:pPr>
              <w:pStyle w:val="TableParagraph"/>
              <w:rPr>
                <w:rFonts w:ascii="Times New Roman"/>
                <w:sz w:val="2"/>
              </w:rPr>
            </w:pPr>
          </w:p>
        </w:tc>
        <w:tc>
          <w:tcPr>
            <w:tcW w:w="576" w:type="dxa"/>
            <w:tcBorders>
              <w:top w:val="nil"/>
            </w:tcBorders>
            <w:shd w:val="clear" w:color="auto" w:fill="FCE4D6"/>
          </w:tcPr>
          <w:p w14:paraId="73A2ECD3" w14:textId="77777777" w:rsidR="00F65BCA" w:rsidRDefault="00F65BCA">
            <w:pPr>
              <w:pStyle w:val="TableParagraph"/>
              <w:rPr>
                <w:rFonts w:ascii="Times New Roman"/>
                <w:sz w:val="2"/>
              </w:rPr>
            </w:pPr>
          </w:p>
        </w:tc>
        <w:tc>
          <w:tcPr>
            <w:tcW w:w="576" w:type="dxa"/>
            <w:tcBorders>
              <w:top w:val="nil"/>
            </w:tcBorders>
            <w:shd w:val="clear" w:color="auto" w:fill="FCE4D6"/>
          </w:tcPr>
          <w:p w14:paraId="4C644F8A" w14:textId="77777777" w:rsidR="00F65BCA" w:rsidRDefault="00F65BCA">
            <w:pPr>
              <w:pStyle w:val="TableParagraph"/>
              <w:rPr>
                <w:rFonts w:ascii="Times New Roman"/>
                <w:sz w:val="2"/>
              </w:rPr>
            </w:pPr>
          </w:p>
        </w:tc>
        <w:tc>
          <w:tcPr>
            <w:tcW w:w="50" w:type="dxa"/>
            <w:vMerge/>
            <w:tcBorders>
              <w:top w:val="nil"/>
              <w:bottom w:val="nil"/>
            </w:tcBorders>
          </w:tcPr>
          <w:p w14:paraId="3F4C48C2" w14:textId="77777777" w:rsidR="00F65BCA" w:rsidRDefault="00F65BCA">
            <w:pPr>
              <w:rPr>
                <w:sz w:val="2"/>
                <w:szCs w:val="2"/>
              </w:rPr>
            </w:pPr>
          </w:p>
        </w:tc>
        <w:tc>
          <w:tcPr>
            <w:tcW w:w="288" w:type="dxa"/>
            <w:tcBorders>
              <w:top w:val="nil"/>
            </w:tcBorders>
          </w:tcPr>
          <w:p w14:paraId="6C901C55" w14:textId="77777777" w:rsidR="00F65BCA" w:rsidRDefault="00F65BCA">
            <w:pPr>
              <w:pStyle w:val="TableParagraph"/>
              <w:rPr>
                <w:rFonts w:ascii="Times New Roman"/>
                <w:sz w:val="2"/>
              </w:rPr>
            </w:pPr>
          </w:p>
        </w:tc>
        <w:tc>
          <w:tcPr>
            <w:tcW w:w="288" w:type="dxa"/>
            <w:tcBorders>
              <w:top w:val="nil"/>
            </w:tcBorders>
          </w:tcPr>
          <w:p w14:paraId="6F9BCB42" w14:textId="77777777" w:rsidR="00F65BCA" w:rsidRDefault="00F65BCA">
            <w:pPr>
              <w:pStyle w:val="TableParagraph"/>
              <w:rPr>
                <w:rFonts w:ascii="Times New Roman"/>
                <w:sz w:val="2"/>
              </w:rPr>
            </w:pPr>
          </w:p>
        </w:tc>
        <w:tc>
          <w:tcPr>
            <w:tcW w:w="288" w:type="dxa"/>
            <w:tcBorders>
              <w:top w:val="nil"/>
            </w:tcBorders>
          </w:tcPr>
          <w:p w14:paraId="46D18FD9" w14:textId="77777777" w:rsidR="00F65BCA" w:rsidRDefault="00F65BCA">
            <w:pPr>
              <w:pStyle w:val="TableParagraph"/>
              <w:rPr>
                <w:rFonts w:ascii="Times New Roman"/>
                <w:sz w:val="2"/>
              </w:rPr>
            </w:pPr>
          </w:p>
        </w:tc>
        <w:tc>
          <w:tcPr>
            <w:tcW w:w="288" w:type="dxa"/>
            <w:tcBorders>
              <w:top w:val="nil"/>
            </w:tcBorders>
          </w:tcPr>
          <w:p w14:paraId="70884ED2" w14:textId="77777777" w:rsidR="00F65BCA" w:rsidRDefault="00F65BCA">
            <w:pPr>
              <w:pStyle w:val="TableParagraph"/>
              <w:rPr>
                <w:rFonts w:ascii="Times New Roman"/>
                <w:sz w:val="2"/>
              </w:rPr>
            </w:pPr>
          </w:p>
        </w:tc>
        <w:tc>
          <w:tcPr>
            <w:tcW w:w="288" w:type="dxa"/>
            <w:tcBorders>
              <w:top w:val="nil"/>
            </w:tcBorders>
          </w:tcPr>
          <w:p w14:paraId="3844CA12" w14:textId="77777777" w:rsidR="00F65BCA" w:rsidRDefault="00F65BCA">
            <w:pPr>
              <w:pStyle w:val="TableParagraph"/>
              <w:rPr>
                <w:rFonts w:ascii="Times New Roman"/>
                <w:sz w:val="2"/>
              </w:rPr>
            </w:pPr>
          </w:p>
        </w:tc>
        <w:tc>
          <w:tcPr>
            <w:tcW w:w="288" w:type="dxa"/>
            <w:tcBorders>
              <w:top w:val="nil"/>
            </w:tcBorders>
          </w:tcPr>
          <w:p w14:paraId="4208F113" w14:textId="77777777" w:rsidR="00F65BCA" w:rsidRDefault="00F65BCA">
            <w:pPr>
              <w:pStyle w:val="TableParagraph"/>
              <w:rPr>
                <w:rFonts w:ascii="Times New Roman"/>
                <w:sz w:val="2"/>
              </w:rPr>
            </w:pPr>
          </w:p>
        </w:tc>
        <w:tc>
          <w:tcPr>
            <w:tcW w:w="288" w:type="dxa"/>
            <w:tcBorders>
              <w:top w:val="nil"/>
            </w:tcBorders>
          </w:tcPr>
          <w:p w14:paraId="6C154C41" w14:textId="77777777" w:rsidR="00F65BCA" w:rsidRDefault="00F65BCA">
            <w:pPr>
              <w:pStyle w:val="TableParagraph"/>
              <w:rPr>
                <w:rFonts w:ascii="Times New Roman"/>
                <w:sz w:val="2"/>
              </w:rPr>
            </w:pPr>
          </w:p>
        </w:tc>
        <w:tc>
          <w:tcPr>
            <w:tcW w:w="288" w:type="dxa"/>
            <w:tcBorders>
              <w:top w:val="nil"/>
            </w:tcBorders>
          </w:tcPr>
          <w:p w14:paraId="081B381A" w14:textId="77777777" w:rsidR="00F65BCA" w:rsidRDefault="00F65BCA">
            <w:pPr>
              <w:pStyle w:val="TableParagraph"/>
              <w:rPr>
                <w:rFonts w:ascii="Times New Roman"/>
                <w:sz w:val="2"/>
              </w:rPr>
            </w:pPr>
          </w:p>
        </w:tc>
        <w:tc>
          <w:tcPr>
            <w:tcW w:w="288" w:type="dxa"/>
            <w:tcBorders>
              <w:top w:val="nil"/>
            </w:tcBorders>
          </w:tcPr>
          <w:p w14:paraId="1743F2DF" w14:textId="77777777" w:rsidR="00F65BCA" w:rsidRDefault="00F65BCA">
            <w:pPr>
              <w:pStyle w:val="TableParagraph"/>
              <w:rPr>
                <w:rFonts w:ascii="Times New Roman"/>
                <w:sz w:val="2"/>
              </w:rPr>
            </w:pPr>
          </w:p>
        </w:tc>
        <w:tc>
          <w:tcPr>
            <w:tcW w:w="288" w:type="dxa"/>
            <w:tcBorders>
              <w:top w:val="nil"/>
            </w:tcBorders>
          </w:tcPr>
          <w:p w14:paraId="24C91C0C" w14:textId="77777777" w:rsidR="00F65BCA" w:rsidRDefault="00F65BCA">
            <w:pPr>
              <w:pStyle w:val="TableParagraph"/>
              <w:rPr>
                <w:rFonts w:ascii="Times New Roman"/>
                <w:sz w:val="2"/>
              </w:rPr>
            </w:pPr>
          </w:p>
        </w:tc>
        <w:tc>
          <w:tcPr>
            <w:tcW w:w="288" w:type="dxa"/>
            <w:tcBorders>
              <w:top w:val="nil"/>
            </w:tcBorders>
          </w:tcPr>
          <w:p w14:paraId="5245B354" w14:textId="77777777" w:rsidR="00F65BCA" w:rsidRDefault="00F65BCA">
            <w:pPr>
              <w:pStyle w:val="TableParagraph"/>
              <w:rPr>
                <w:rFonts w:ascii="Times New Roman"/>
                <w:sz w:val="2"/>
              </w:rPr>
            </w:pPr>
          </w:p>
        </w:tc>
        <w:tc>
          <w:tcPr>
            <w:tcW w:w="288" w:type="dxa"/>
            <w:tcBorders>
              <w:top w:val="nil"/>
            </w:tcBorders>
          </w:tcPr>
          <w:p w14:paraId="56FD757B" w14:textId="77777777" w:rsidR="00F65BCA" w:rsidRDefault="00F65BCA">
            <w:pPr>
              <w:pStyle w:val="TableParagraph"/>
              <w:rPr>
                <w:rFonts w:ascii="Times New Roman"/>
                <w:sz w:val="2"/>
              </w:rPr>
            </w:pPr>
          </w:p>
        </w:tc>
        <w:tc>
          <w:tcPr>
            <w:tcW w:w="288" w:type="dxa"/>
            <w:tcBorders>
              <w:top w:val="nil"/>
            </w:tcBorders>
          </w:tcPr>
          <w:p w14:paraId="5490D2F6" w14:textId="77777777" w:rsidR="00F65BCA" w:rsidRDefault="00F65BCA">
            <w:pPr>
              <w:pStyle w:val="TableParagraph"/>
              <w:rPr>
                <w:rFonts w:ascii="Times New Roman"/>
                <w:sz w:val="2"/>
              </w:rPr>
            </w:pPr>
          </w:p>
        </w:tc>
      </w:tr>
      <w:tr w:rsidR="00F65BCA" w14:paraId="567EEEAB" w14:textId="77777777">
        <w:trPr>
          <w:trHeight w:val="81"/>
        </w:trPr>
        <w:tc>
          <w:tcPr>
            <w:tcW w:w="526" w:type="dxa"/>
            <w:vMerge/>
            <w:tcBorders>
              <w:top w:val="nil"/>
            </w:tcBorders>
            <w:shd w:val="clear" w:color="auto" w:fill="FCE4D6"/>
          </w:tcPr>
          <w:p w14:paraId="5FECD34F" w14:textId="77777777" w:rsidR="00F65BCA" w:rsidRDefault="00F65BCA">
            <w:pPr>
              <w:rPr>
                <w:sz w:val="2"/>
                <w:szCs w:val="2"/>
              </w:rPr>
            </w:pPr>
          </w:p>
        </w:tc>
        <w:tc>
          <w:tcPr>
            <w:tcW w:w="732" w:type="dxa"/>
            <w:shd w:val="clear" w:color="auto" w:fill="FCE4D6"/>
          </w:tcPr>
          <w:p w14:paraId="1B7354C5" w14:textId="77777777" w:rsidR="00F65BCA" w:rsidRDefault="00216117">
            <w:pPr>
              <w:pStyle w:val="TableParagraph"/>
              <w:spacing w:line="121" w:lineRule="exact"/>
              <w:ind w:left="2"/>
              <w:jc w:val="center"/>
              <w:rPr>
                <w:sz w:val="3"/>
              </w:rPr>
            </w:pPr>
            <w:r>
              <w:rPr>
                <w:w w:val="103"/>
                <w:sz w:val="3"/>
              </w:rPr>
              <w:t>-</w:t>
            </w:r>
          </w:p>
        </w:tc>
        <w:tc>
          <w:tcPr>
            <w:tcW w:w="958" w:type="dxa"/>
            <w:gridSpan w:val="2"/>
            <w:shd w:val="clear" w:color="auto" w:fill="FCE4D6"/>
          </w:tcPr>
          <w:p w14:paraId="3287BF97" w14:textId="77777777" w:rsidR="00F65BCA" w:rsidRDefault="00216117">
            <w:pPr>
              <w:pStyle w:val="TableParagraph"/>
              <w:spacing w:line="121" w:lineRule="exact"/>
              <w:ind w:left="2"/>
              <w:jc w:val="center"/>
              <w:rPr>
                <w:sz w:val="3"/>
              </w:rPr>
            </w:pPr>
            <w:r>
              <w:rPr>
                <w:w w:val="103"/>
                <w:sz w:val="3"/>
              </w:rPr>
              <w:t>-</w:t>
            </w:r>
          </w:p>
        </w:tc>
        <w:tc>
          <w:tcPr>
            <w:tcW w:w="576" w:type="dxa"/>
            <w:shd w:val="clear" w:color="auto" w:fill="FCE4D6"/>
          </w:tcPr>
          <w:p w14:paraId="1CCDDC46" w14:textId="77777777" w:rsidR="00F65BCA" w:rsidRDefault="00216117">
            <w:pPr>
              <w:pStyle w:val="TableParagraph"/>
              <w:spacing w:line="121" w:lineRule="exact"/>
              <w:ind w:left="4"/>
              <w:jc w:val="center"/>
              <w:rPr>
                <w:sz w:val="3"/>
              </w:rPr>
            </w:pPr>
            <w:r>
              <w:rPr>
                <w:w w:val="103"/>
                <w:sz w:val="3"/>
              </w:rPr>
              <w:t>-</w:t>
            </w:r>
          </w:p>
        </w:tc>
        <w:tc>
          <w:tcPr>
            <w:tcW w:w="576" w:type="dxa"/>
            <w:shd w:val="clear" w:color="auto" w:fill="FCE4D6"/>
          </w:tcPr>
          <w:p w14:paraId="208829CC" w14:textId="77777777" w:rsidR="00F65BCA" w:rsidRDefault="00216117">
            <w:pPr>
              <w:pStyle w:val="TableParagraph"/>
              <w:spacing w:line="121" w:lineRule="exact"/>
              <w:ind w:left="129" w:right="128"/>
              <w:jc w:val="center"/>
              <w:rPr>
                <w:sz w:val="3"/>
              </w:rPr>
            </w:pPr>
            <w:r>
              <w:rPr>
                <w:w w:val="105"/>
                <w:sz w:val="3"/>
              </w:rPr>
              <w:t>&gt;750 kg</w:t>
            </w:r>
          </w:p>
        </w:tc>
        <w:tc>
          <w:tcPr>
            <w:tcW w:w="50" w:type="dxa"/>
            <w:vMerge/>
            <w:tcBorders>
              <w:top w:val="nil"/>
              <w:bottom w:val="nil"/>
            </w:tcBorders>
          </w:tcPr>
          <w:p w14:paraId="22B82BB6" w14:textId="77777777" w:rsidR="00F65BCA" w:rsidRDefault="00F65BCA">
            <w:pPr>
              <w:rPr>
                <w:sz w:val="2"/>
                <w:szCs w:val="2"/>
              </w:rPr>
            </w:pPr>
          </w:p>
        </w:tc>
        <w:tc>
          <w:tcPr>
            <w:tcW w:w="288" w:type="dxa"/>
          </w:tcPr>
          <w:p w14:paraId="0E71AC3A" w14:textId="77777777" w:rsidR="00F65BCA" w:rsidRDefault="00216117">
            <w:pPr>
              <w:pStyle w:val="TableParagraph"/>
              <w:spacing w:line="121" w:lineRule="exact"/>
              <w:ind w:left="24" w:right="24"/>
              <w:jc w:val="center"/>
              <w:rPr>
                <w:sz w:val="3"/>
              </w:rPr>
            </w:pPr>
            <w:r>
              <w:rPr>
                <w:w w:val="105"/>
                <w:sz w:val="3"/>
              </w:rPr>
              <w:t>2,014000%</w:t>
            </w:r>
          </w:p>
        </w:tc>
        <w:tc>
          <w:tcPr>
            <w:tcW w:w="288" w:type="dxa"/>
          </w:tcPr>
          <w:p w14:paraId="39E8EF02" w14:textId="77777777" w:rsidR="00F65BCA" w:rsidRDefault="00216117">
            <w:pPr>
              <w:pStyle w:val="TableParagraph"/>
              <w:spacing w:line="121" w:lineRule="exact"/>
              <w:ind w:left="24" w:right="24"/>
              <w:jc w:val="center"/>
              <w:rPr>
                <w:sz w:val="3"/>
              </w:rPr>
            </w:pPr>
            <w:r>
              <w:rPr>
                <w:w w:val="105"/>
                <w:sz w:val="3"/>
              </w:rPr>
              <w:t>1,802000%</w:t>
            </w:r>
          </w:p>
        </w:tc>
        <w:tc>
          <w:tcPr>
            <w:tcW w:w="288" w:type="dxa"/>
          </w:tcPr>
          <w:p w14:paraId="3825F392" w14:textId="77777777" w:rsidR="00F65BCA" w:rsidRDefault="00216117">
            <w:pPr>
              <w:pStyle w:val="TableParagraph"/>
              <w:spacing w:line="121" w:lineRule="exact"/>
              <w:ind w:left="64"/>
              <w:rPr>
                <w:sz w:val="3"/>
              </w:rPr>
            </w:pPr>
            <w:r>
              <w:rPr>
                <w:w w:val="105"/>
                <w:sz w:val="3"/>
              </w:rPr>
              <w:t>1,802000%</w:t>
            </w:r>
          </w:p>
        </w:tc>
        <w:tc>
          <w:tcPr>
            <w:tcW w:w="288" w:type="dxa"/>
          </w:tcPr>
          <w:p w14:paraId="22FE0BB2" w14:textId="77777777" w:rsidR="00F65BCA" w:rsidRDefault="00216117">
            <w:pPr>
              <w:pStyle w:val="TableParagraph"/>
              <w:spacing w:line="121" w:lineRule="exact"/>
              <w:ind w:left="24" w:right="24"/>
              <w:jc w:val="center"/>
              <w:rPr>
                <w:sz w:val="3"/>
              </w:rPr>
            </w:pPr>
            <w:r>
              <w:rPr>
                <w:w w:val="105"/>
                <w:sz w:val="3"/>
              </w:rPr>
              <w:t>1,643000%</w:t>
            </w:r>
          </w:p>
        </w:tc>
        <w:tc>
          <w:tcPr>
            <w:tcW w:w="288" w:type="dxa"/>
          </w:tcPr>
          <w:p w14:paraId="07137579" w14:textId="77777777" w:rsidR="00F65BCA" w:rsidRDefault="00216117">
            <w:pPr>
              <w:pStyle w:val="TableParagraph"/>
              <w:spacing w:line="121" w:lineRule="exact"/>
              <w:ind w:left="64"/>
              <w:rPr>
                <w:sz w:val="3"/>
              </w:rPr>
            </w:pPr>
            <w:r>
              <w:rPr>
                <w:w w:val="105"/>
                <w:sz w:val="3"/>
              </w:rPr>
              <w:t>1,643000%</w:t>
            </w:r>
          </w:p>
        </w:tc>
        <w:tc>
          <w:tcPr>
            <w:tcW w:w="288" w:type="dxa"/>
          </w:tcPr>
          <w:p w14:paraId="108E5337" w14:textId="77777777" w:rsidR="00F65BCA" w:rsidRDefault="00216117">
            <w:pPr>
              <w:pStyle w:val="TableParagraph"/>
              <w:spacing w:line="121" w:lineRule="exact"/>
              <w:ind w:left="24" w:right="24"/>
              <w:jc w:val="center"/>
              <w:rPr>
                <w:sz w:val="3"/>
              </w:rPr>
            </w:pPr>
            <w:r>
              <w:rPr>
                <w:w w:val="105"/>
                <w:sz w:val="3"/>
              </w:rPr>
              <w:t>1,484000%</w:t>
            </w:r>
          </w:p>
        </w:tc>
        <w:tc>
          <w:tcPr>
            <w:tcW w:w="288" w:type="dxa"/>
          </w:tcPr>
          <w:p w14:paraId="3F1B178F" w14:textId="77777777" w:rsidR="00F65BCA" w:rsidRDefault="00216117">
            <w:pPr>
              <w:pStyle w:val="TableParagraph"/>
              <w:spacing w:line="121" w:lineRule="exact"/>
              <w:ind w:left="24" w:right="24"/>
              <w:jc w:val="center"/>
              <w:rPr>
                <w:sz w:val="3"/>
              </w:rPr>
            </w:pPr>
            <w:r>
              <w:rPr>
                <w:w w:val="105"/>
                <w:sz w:val="3"/>
              </w:rPr>
              <w:t>1,484000%</w:t>
            </w:r>
          </w:p>
        </w:tc>
        <w:tc>
          <w:tcPr>
            <w:tcW w:w="288" w:type="dxa"/>
          </w:tcPr>
          <w:p w14:paraId="0D6393BB" w14:textId="77777777" w:rsidR="00F65BCA" w:rsidRDefault="00216117">
            <w:pPr>
              <w:pStyle w:val="TableParagraph"/>
              <w:spacing w:line="121" w:lineRule="exact"/>
              <w:ind w:left="64"/>
              <w:rPr>
                <w:sz w:val="3"/>
              </w:rPr>
            </w:pPr>
            <w:r>
              <w:rPr>
                <w:w w:val="105"/>
                <w:sz w:val="3"/>
              </w:rPr>
              <w:t>1,325000%</w:t>
            </w:r>
          </w:p>
        </w:tc>
        <w:tc>
          <w:tcPr>
            <w:tcW w:w="288" w:type="dxa"/>
          </w:tcPr>
          <w:p w14:paraId="40272B0D" w14:textId="77777777" w:rsidR="00F65BCA" w:rsidRDefault="00216117">
            <w:pPr>
              <w:pStyle w:val="TableParagraph"/>
              <w:spacing w:line="121" w:lineRule="exact"/>
              <w:ind w:left="24" w:right="24"/>
              <w:jc w:val="center"/>
              <w:rPr>
                <w:sz w:val="3"/>
              </w:rPr>
            </w:pPr>
            <w:r>
              <w:rPr>
                <w:w w:val="105"/>
                <w:sz w:val="3"/>
              </w:rPr>
              <w:t>1,325000%</w:t>
            </w:r>
          </w:p>
        </w:tc>
        <w:tc>
          <w:tcPr>
            <w:tcW w:w="288" w:type="dxa"/>
          </w:tcPr>
          <w:p w14:paraId="39AB5B74" w14:textId="77777777" w:rsidR="00F65BCA" w:rsidRDefault="00216117">
            <w:pPr>
              <w:pStyle w:val="TableParagraph"/>
              <w:spacing w:line="121" w:lineRule="exact"/>
              <w:ind w:left="24" w:right="24"/>
              <w:jc w:val="center"/>
              <w:rPr>
                <w:sz w:val="3"/>
              </w:rPr>
            </w:pPr>
            <w:r>
              <w:rPr>
                <w:w w:val="105"/>
                <w:sz w:val="3"/>
              </w:rPr>
              <w:t>1,219000%</w:t>
            </w:r>
          </w:p>
        </w:tc>
        <w:tc>
          <w:tcPr>
            <w:tcW w:w="288" w:type="dxa"/>
          </w:tcPr>
          <w:p w14:paraId="7DE040C9" w14:textId="77777777" w:rsidR="00F65BCA" w:rsidRDefault="00216117">
            <w:pPr>
              <w:pStyle w:val="TableParagraph"/>
              <w:spacing w:line="121" w:lineRule="exact"/>
              <w:ind w:left="24" w:right="24"/>
              <w:jc w:val="center"/>
              <w:rPr>
                <w:sz w:val="3"/>
              </w:rPr>
            </w:pPr>
            <w:r>
              <w:rPr>
                <w:w w:val="105"/>
                <w:sz w:val="3"/>
              </w:rPr>
              <w:t>1,166000%</w:t>
            </w:r>
          </w:p>
        </w:tc>
        <w:tc>
          <w:tcPr>
            <w:tcW w:w="288" w:type="dxa"/>
          </w:tcPr>
          <w:p w14:paraId="1F226272" w14:textId="77777777" w:rsidR="00F65BCA" w:rsidRDefault="00216117">
            <w:pPr>
              <w:pStyle w:val="TableParagraph"/>
              <w:spacing w:line="121" w:lineRule="exact"/>
              <w:ind w:left="24" w:right="24"/>
              <w:jc w:val="center"/>
              <w:rPr>
                <w:sz w:val="3"/>
              </w:rPr>
            </w:pPr>
            <w:r>
              <w:rPr>
                <w:w w:val="105"/>
                <w:sz w:val="3"/>
              </w:rPr>
              <w:t>1,060000%</w:t>
            </w:r>
          </w:p>
        </w:tc>
        <w:tc>
          <w:tcPr>
            <w:tcW w:w="288" w:type="dxa"/>
          </w:tcPr>
          <w:p w14:paraId="052779F9" w14:textId="77777777" w:rsidR="00F65BCA" w:rsidRDefault="00216117">
            <w:pPr>
              <w:pStyle w:val="TableParagraph"/>
              <w:spacing w:line="121" w:lineRule="exact"/>
              <w:ind w:left="64"/>
              <w:rPr>
                <w:sz w:val="3"/>
              </w:rPr>
            </w:pPr>
            <w:r>
              <w:rPr>
                <w:w w:val="105"/>
                <w:sz w:val="3"/>
              </w:rPr>
              <w:t>1,060000%</w:t>
            </w:r>
          </w:p>
        </w:tc>
      </w:tr>
      <w:tr w:rsidR="00F65BCA" w14:paraId="54917244" w14:textId="77777777">
        <w:trPr>
          <w:trHeight w:val="81"/>
        </w:trPr>
        <w:tc>
          <w:tcPr>
            <w:tcW w:w="526" w:type="dxa"/>
            <w:shd w:val="clear" w:color="auto" w:fill="FCE4D6"/>
          </w:tcPr>
          <w:p w14:paraId="5E96EC36" w14:textId="77777777" w:rsidR="00F65BCA" w:rsidRDefault="00216117">
            <w:pPr>
              <w:pStyle w:val="TableParagraph"/>
              <w:spacing w:line="161" w:lineRule="exact"/>
              <w:ind w:left="177" w:right="178"/>
              <w:jc w:val="center"/>
              <w:rPr>
                <w:sz w:val="3"/>
              </w:rPr>
            </w:pPr>
            <w:r>
              <w:rPr>
                <w:w w:val="105"/>
                <w:sz w:val="3"/>
              </w:rPr>
              <w:t>návěs</w:t>
            </w:r>
          </w:p>
        </w:tc>
        <w:tc>
          <w:tcPr>
            <w:tcW w:w="732" w:type="dxa"/>
            <w:shd w:val="clear" w:color="auto" w:fill="FCE4D6"/>
          </w:tcPr>
          <w:p w14:paraId="5EF0C881" w14:textId="77777777" w:rsidR="00F65BCA" w:rsidRDefault="00216117">
            <w:pPr>
              <w:pStyle w:val="TableParagraph"/>
              <w:spacing w:line="161" w:lineRule="exact"/>
              <w:ind w:left="2"/>
              <w:jc w:val="center"/>
              <w:rPr>
                <w:sz w:val="3"/>
              </w:rPr>
            </w:pPr>
            <w:r>
              <w:rPr>
                <w:w w:val="103"/>
                <w:sz w:val="3"/>
              </w:rPr>
              <w:t>-</w:t>
            </w:r>
          </w:p>
        </w:tc>
        <w:tc>
          <w:tcPr>
            <w:tcW w:w="958" w:type="dxa"/>
            <w:gridSpan w:val="2"/>
            <w:shd w:val="clear" w:color="auto" w:fill="FCE4D6"/>
          </w:tcPr>
          <w:p w14:paraId="5648E47D" w14:textId="77777777" w:rsidR="00F65BCA" w:rsidRDefault="00216117">
            <w:pPr>
              <w:pStyle w:val="TableParagraph"/>
              <w:spacing w:line="161" w:lineRule="exact"/>
              <w:ind w:left="1"/>
              <w:jc w:val="center"/>
              <w:rPr>
                <w:sz w:val="3"/>
              </w:rPr>
            </w:pPr>
            <w:r>
              <w:rPr>
                <w:w w:val="103"/>
                <w:sz w:val="3"/>
              </w:rPr>
              <w:t>-</w:t>
            </w:r>
          </w:p>
        </w:tc>
        <w:tc>
          <w:tcPr>
            <w:tcW w:w="576" w:type="dxa"/>
            <w:shd w:val="clear" w:color="auto" w:fill="FCE4D6"/>
          </w:tcPr>
          <w:p w14:paraId="45727144" w14:textId="77777777" w:rsidR="00F65BCA" w:rsidRDefault="00216117">
            <w:pPr>
              <w:pStyle w:val="TableParagraph"/>
              <w:spacing w:line="161" w:lineRule="exact"/>
              <w:ind w:left="3"/>
              <w:jc w:val="center"/>
              <w:rPr>
                <w:sz w:val="3"/>
              </w:rPr>
            </w:pPr>
            <w:r>
              <w:rPr>
                <w:w w:val="103"/>
                <w:sz w:val="3"/>
              </w:rPr>
              <w:t>-</w:t>
            </w:r>
          </w:p>
        </w:tc>
        <w:tc>
          <w:tcPr>
            <w:tcW w:w="576" w:type="dxa"/>
            <w:shd w:val="clear" w:color="auto" w:fill="FCE4D6"/>
          </w:tcPr>
          <w:p w14:paraId="52702015" w14:textId="77777777" w:rsidR="00F65BCA" w:rsidRDefault="00216117">
            <w:pPr>
              <w:pStyle w:val="TableParagraph"/>
              <w:spacing w:line="161" w:lineRule="exact"/>
              <w:ind w:left="3"/>
              <w:jc w:val="center"/>
              <w:rPr>
                <w:sz w:val="3"/>
              </w:rPr>
            </w:pPr>
            <w:r>
              <w:rPr>
                <w:w w:val="103"/>
                <w:sz w:val="3"/>
              </w:rPr>
              <w:t>-</w:t>
            </w:r>
          </w:p>
        </w:tc>
        <w:tc>
          <w:tcPr>
            <w:tcW w:w="50" w:type="dxa"/>
            <w:vMerge/>
            <w:tcBorders>
              <w:top w:val="nil"/>
              <w:bottom w:val="nil"/>
            </w:tcBorders>
          </w:tcPr>
          <w:p w14:paraId="328BB26D" w14:textId="77777777" w:rsidR="00F65BCA" w:rsidRDefault="00F65BCA">
            <w:pPr>
              <w:rPr>
                <w:sz w:val="2"/>
                <w:szCs w:val="2"/>
              </w:rPr>
            </w:pPr>
          </w:p>
        </w:tc>
        <w:tc>
          <w:tcPr>
            <w:tcW w:w="288" w:type="dxa"/>
          </w:tcPr>
          <w:p w14:paraId="3448CF8C" w14:textId="77777777" w:rsidR="00F65BCA" w:rsidRDefault="00216117">
            <w:pPr>
              <w:pStyle w:val="TableParagraph"/>
              <w:spacing w:line="161" w:lineRule="exact"/>
              <w:ind w:left="24" w:right="24"/>
              <w:jc w:val="center"/>
              <w:rPr>
                <w:sz w:val="3"/>
              </w:rPr>
            </w:pPr>
            <w:r>
              <w:rPr>
                <w:w w:val="105"/>
                <w:sz w:val="3"/>
              </w:rPr>
              <w:t>2,014000%</w:t>
            </w:r>
          </w:p>
        </w:tc>
        <w:tc>
          <w:tcPr>
            <w:tcW w:w="288" w:type="dxa"/>
          </w:tcPr>
          <w:p w14:paraId="684F006E" w14:textId="77777777" w:rsidR="00F65BCA" w:rsidRDefault="00216117">
            <w:pPr>
              <w:pStyle w:val="TableParagraph"/>
              <w:spacing w:line="161" w:lineRule="exact"/>
              <w:ind w:left="24" w:right="24"/>
              <w:jc w:val="center"/>
              <w:rPr>
                <w:sz w:val="3"/>
              </w:rPr>
            </w:pPr>
            <w:r>
              <w:rPr>
                <w:w w:val="105"/>
                <w:sz w:val="3"/>
              </w:rPr>
              <w:t>1,802000%</w:t>
            </w:r>
          </w:p>
        </w:tc>
        <w:tc>
          <w:tcPr>
            <w:tcW w:w="288" w:type="dxa"/>
          </w:tcPr>
          <w:p w14:paraId="39D05C3F" w14:textId="77777777" w:rsidR="00F65BCA" w:rsidRDefault="00216117">
            <w:pPr>
              <w:pStyle w:val="TableParagraph"/>
              <w:spacing w:line="161" w:lineRule="exact"/>
              <w:ind w:left="64"/>
              <w:rPr>
                <w:sz w:val="3"/>
              </w:rPr>
            </w:pPr>
            <w:r>
              <w:rPr>
                <w:w w:val="105"/>
                <w:sz w:val="3"/>
              </w:rPr>
              <w:t>1,802000%</w:t>
            </w:r>
          </w:p>
        </w:tc>
        <w:tc>
          <w:tcPr>
            <w:tcW w:w="288" w:type="dxa"/>
          </w:tcPr>
          <w:p w14:paraId="096FA007" w14:textId="77777777" w:rsidR="00F65BCA" w:rsidRDefault="00216117">
            <w:pPr>
              <w:pStyle w:val="TableParagraph"/>
              <w:spacing w:line="161" w:lineRule="exact"/>
              <w:ind w:left="24" w:right="24"/>
              <w:jc w:val="center"/>
              <w:rPr>
                <w:sz w:val="3"/>
              </w:rPr>
            </w:pPr>
            <w:r>
              <w:rPr>
                <w:w w:val="105"/>
                <w:sz w:val="3"/>
              </w:rPr>
              <w:t>1,643000%</w:t>
            </w:r>
          </w:p>
        </w:tc>
        <w:tc>
          <w:tcPr>
            <w:tcW w:w="288" w:type="dxa"/>
          </w:tcPr>
          <w:p w14:paraId="1A5AD66E" w14:textId="77777777" w:rsidR="00F65BCA" w:rsidRDefault="00216117">
            <w:pPr>
              <w:pStyle w:val="TableParagraph"/>
              <w:spacing w:line="161" w:lineRule="exact"/>
              <w:ind w:left="64"/>
              <w:rPr>
                <w:sz w:val="3"/>
              </w:rPr>
            </w:pPr>
            <w:r>
              <w:rPr>
                <w:w w:val="105"/>
                <w:sz w:val="3"/>
              </w:rPr>
              <w:t>1,643000%</w:t>
            </w:r>
          </w:p>
        </w:tc>
        <w:tc>
          <w:tcPr>
            <w:tcW w:w="288" w:type="dxa"/>
          </w:tcPr>
          <w:p w14:paraId="29E1020B" w14:textId="77777777" w:rsidR="00F65BCA" w:rsidRDefault="00216117">
            <w:pPr>
              <w:pStyle w:val="TableParagraph"/>
              <w:spacing w:line="161" w:lineRule="exact"/>
              <w:ind w:left="24" w:right="24"/>
              <w:jc w:val="center"/>
              <w:rPr>
                <w:sz w:val="3"/>
              </w:rPr>
            </w:pPr>
            <w:r>
              <w:rPr>
                <w:w w:val="105"/>
                <w:sz w:val="3"/>
              </w:rPr>
              <w:t>1,484000%</w:t>
            </w:r>
          </w:p>
        </w:tc>
        <w:tc>
          <w:tcPr>
            <w:tcW w:w="288" w:type="dxa"/>
          </w:tcPr>
          <w:p w14:paraId="38182FCC" w14:textId="77777777" w:rsidR="00F65BCA" w:rsidRDefault="00216117">
            <w:pPr>
              <w:pStyle w:val="TableParagraph"/>
              <w:spacing w:line="161" w:lineRule="exact"/>
              <w:ind w:left="24" w:right="24"/>
              <w:jc w:val="center"/>
              <w:rPr>
                <w:sz w:val="3"/>
              </w:rPr>
            </w:pPr>
            <w:r>
              <w:rPr>
                <w:w w:val="105"/>
                <w:sz w:val="3"/>
              </w:rPr>
              <w:t>1,484000%</w:t>
            </w:r>
          </w:p>
        </w:tc>
        <w:tc>
          <w:tcPr>
            <w:tcW w:w="288" w:type="dxa"/>
          </w:tcPr>
          <w:p w14:paraId="12EE69BF" w14:textId="77777777" w:rsidR="00F65BCA" w:rsidRDefault="00216117">
            <w:pPr>
              <w:pStyle w:val="TableParagraph"/>
              <w:spacing w:line="161" w:lineRule="exact"/>
              <w:ind w:left="64"/>
              <w:rPr>
                <w:sz w:val="3"/>
              </w:rPr>
            </w:pPr>
            <w:r>
              <w:rPr>
                <w:w w:val="105"/>
                <w:sz w:val="3"/>
              </w:rPr>
              <w:t>1,325000%</w:t>
            </w:r>
          </w:p>
        </w:tc>
        <w:tc>
          <w:tcPr>
            <w:tcW w:w="288" w:type="dxa"/>
          </w:tcPr>
          <w:p w14:paraId="5F5B868C" w14:textId="77777777" w:rsidR="00F65BCA" w:rsidRDefault="00216117">
            <w:pPr>
              <w:pStyle w:val="TableParagraph"/>
              <w:spacing w:line="161" w:lineRule="exact"/>
              <w:ind w:left="24" w:right="24"/>
              <w:jc w:val="center"/>
              <w:rPr>
                <w:sz w:val="3"/>
              </w:rPr>
            </w:pPr>
            <w:r>
              <w:rPr>
                <w:w w:val="105"/>
                <w:sz w:val="3"/>
              </w:rPr>
              <w:t>1,325000%</w:t>
            </w:r>
          </w:p>
        </w:tc>
        <w:tc>
          <w:tcPr>
            <w:tcW w:w="288" w:type="dxa"/>
          </w:tcPr>
          <w:p w14:paraId="5545919C" w14:textId="77777777" w:rsidR="00F65BCA" w:rsidRDefault="00216117">
            <w:pPr>
              <w:pStyle w:val="TableParagraph"/>
              <w:spacing w:line="161" w:lineRule="exact"/>
              <w:ind w:left="24" w:right="24"/>
              <w:jc w:val="center"/>
              <w:rPr>
                <w:sz w:val="3"/>
              </w:rPr>
            </w:pPr>
            <w:r>
              <w:rPr>
                <w:w w:val="105"/>
                <w:sz w:val="3"/>
              </w:rPr>
              <w:t>1,219000%</w:t>
            </w:r>
          </w:p>
        </w:tc>
        <w:tc>
          <w:tcPr>
            <w:tcW w:w="288" w:type="dxa"/>
          </w:tcPr>
          <w:p w14:paraId="68EFE4F6" w14:textId="77777777" w:rsidR="00F65BCA" w:rsidRDefault="00216117">
            <w:pPr>
              <w:pStyle w:val="TableParagraph"/>
              <w:spacing w:line="161" w:lineRule="exact"/>
              <w:ind w:left="24" w:right="24"/>
              <w:jc w:val="center"/>
              <w:rPr>
                <w:sz w:val="3"/>
              </w:rPr>
            </w:pPr>
            <w:r>
              <w:rPr>
                <w:w w:val="105"/>
                <w:sz w:val="3"/>
              </w:rPr>
              <w:t>1,166000%</w:t>
            </w:r>
          </w:p>
        </w:tc>
        <w:tc>
          <w:tcPr>
            <w:tcW w:w="288" w:type="dxa"/>
          </w:tcPr>
          <w:p w14:paraId="562FA2A8" w14:textId="77777777" w:rsidR="00F65BCA" w:rsidRDefault="00216117">
            <w:pPr>
              <w:pStyle w:val="TableParagraph"/>
              <w:spacing w:line="161" w:lineRule="exact"/>
              <w:ind w:left="24" w:right="24"/>
              <w:jc w:val="center"/>
              <w:rPr>
                <w:sz w:val="3"/>
              </w:rPr>
            </w:pPr>
            <w:r>
              <w:rPr>
                <w:w w:val="105"/>
                <w:sz w:val="3"/>
              </w:rPr>
              <w:t>1,060000%</w:t>
            </w:r>
          </w:p>
        </w:tc>
        <w:tc>
          <w:tcPr>
            <w:tcW w:w="288" w:type="dxa"/>
          </w:tcPr>
          <w:p w14:paraId="7C7FF972" w14:textId="77777777" w:rsidR="00F65BCA" w:rsidRDefault="00216117">
            <w:pPr>
              <w:pStyle w:val="TableParagraph"/>
              <w:spacing w:line="161" w:lineRule="exact"/>
              <w:ind w:left="64"/>
              <w:rPr>
                <w:sz w:val="3"/>
              </w:rPr>
            </w:pPr>
            <w:r>
              <w:rPr>
                <w:w w:val="105"/>
                <w:sz w:val="3"/>
              </w:rPr>
              <w:t>1,060000%</w:t>
            </w:r>
          </w:p>
        </w:tc>
      </w:tr>
      <w:tr w:rsidR="00F65BCA" w14:paraId="4635D2E1" w14:textId="77777777">
        <w:trPr>
          <w:trHeight w:val="81"/>
        </w:trPr>
        <w:tc>
          <w:tcPr>
            <w:tcW w:w="526" w:type="dxa"/>
            <w:vMerge w:val="restart"/>
            <w:shd w:val="clear" w:color="auto" w:fill="FCE4D6"/>
          </w:tcPr>
          <w:p w14:paraId="6AD96B40" w14:textId="77777777" w:rsidR="00F65BCA" w:rsidRDefault="00216117">
            <w:pPr>
              <w:pStyle w:val="TableParagraph"/>
              <w:spacing w:line="197" w:lineRule="exact"/>
              <w:ind w:left="110"/>
              <w:rPr>
                <w:sz w:val="3"/>
              </w:rPr>
            </w:pPr>
            <w:r>
              <w:rPr>
                <w:w w:val="105"/>
                <w:sz w:val="3"/>
              </w:rPr>
              <w:t>pracovní stroj přípojný</w:t>
            </w:r>
          </w:p>
        </w:tc>
        <w:tc>
          <w:tcPr>
            <w:tcW w:w="732" w:type="dxa"/>
            <w:shd w:val="clear" w:color="auto" w:fill="FCE4D6"/>
          </w:tcPr>
          <w:p w14:paraId="31F45A35" w14:textId="77777777" w:rsidR="00F65BCA" w:rsidRDefault="00216117">
            <w:pPr>
              <w:pStyle w:val="TableParagraph"/>
              <w:spacing w:line="241" w:lineRule="exact"/>
              <w:ind w:left="2"/>
              <w:jc w:val="center"/>
              <w:rPr>
                <w:sz w:val="3"/>
              </w:rPr>
            </w:pPr>
            <w:r>
              <w:rPr>
                <w:w w:val="103"/>
                <w:sz w:val="3"/>
              </w:rPr>
              <w:t>-</w:t>
            </w:r>
          </w:p>
        </w:tc>
        <w:tc>
          <w:tcPr>
            <w:tcW w:w="958" w:type="dxa"/>
            <w:gridSpan w:val="2"/>
            <w:shd w:val="clear" w:color="auto" w:fill="FCE4D6"/>
          </w:tcPr>
          <w:p w14:paraId="063562B9" w14:textId="77777777" w:rsidR="00F65BCA" w:rsidRDefault="00216117">
            <w:pPr>
              <w:pStyle w:val="TableParagraph"/>
              <w:spacing w:line="241" w:lineRule="exact"/>
              <w:ind w:left="1"/>
              <w:jc w:val="center"/>
              <w:rPr>
                <w:sz w:val="3"/>
              </w:rPr>
            </w:pPr>
            <w:r>
              <w:rPr>
                <w:w w:val="103"/>
                <w:sz w:val="3"/>
              </w:rPr>
              <w:t>-</w:t>
            </w:r>
          </w:p>
        </w:tc>
        <w:tc>
          <w:tcPr>
            <w:tcW w:w="576" w:type="dxa"/>
            <w:shd w:val="clear" w:color="auto" w:fill="FCE4D6"/>
          </w:tcPr>
          <w:p w14:paraId="491900EA" w14:textId="77777777" w:rsidR="00F65BCA" w:rsidRDefault="00216117">
            <w:pPr>
              <w:pStyle w:val="TableParagraph"/>
              <w:spacing w:line="241" w:lineRule="exact"/>
              <w:ind w:left="3"/>
              <w:jc w:val="center"/>
              <w:rPr>
                <w:sz w:val="3"/>
              </w:rPr>
            </w:pPr>
            <w:r>
              <w:rPr>
                <w:w w:val="103"/>
                <w:sz w:val="3"/>
              </w:rPr>
              <w:t>-</w:t>
            </w:r>
          </w:p>
        </w:tc>
        <w:tc>
          <w:tcPr>
            <w:tcW w:w="576" w:type="dxa"/>
            <w:shd w:val="clear" w:color="auto" w:fill="FCE4D6"/>
          </w:tcPr>
          <w:p w14:paraId="5F44E334" w14:textId="77777777" w:rsidR="00F65BCA" w:rsidRDefault="00216117">
            <w:pPr>
              <w:pStyle w:val="TableParagraph"/>
              <w:spacing w:line="241" w:lineRule="exact"/>
              <w:ind w:left="227"/>
              <w:rPr>
                <w:sz w:val="3"/>
              </w:rPr>
            </w:pPr>
            <w:r>
              <w:rPr>
                <w:w w:val="105"/>
                <w:sz w:val="3"/>
              </w:rPr>
              <w:t>0-750 kg</w:t>
            </w:r>
          </w:p>
        </w:tc>
        <w:tc>
          <w:tcPr>
            <w:tcW w:w="50" w:type="dxa"/>
            <w:vMerge/>
            <w:tcBorders>
              <w:top w:val="nil"/>
              <w:bottom w:val="nil"/>
            </w:tcBorders>
          </w:tcPr>
          <w:p w14:paraId="70CD25B1" w14:textId="77777777" w:rsidR="00F65BCA" w:rsidRDefault="00F65BCA">
            <w:pPr>
              <w:rPr>
                <w:sz w:val="2"/>
                <w:szCs w:val="2"/>
              </w:rPr>
            </w:pPr>
          </w:p>
        </w:tc>
        <w:tc>
          <w:tcPr>
            <w:tcW w:w="288" w:type="dxa"/>
          </w:tcPr>
          <w:p w14:paraId="092BF569" w14:textId="77777777" w:rsidR="00F65BCA" w:rsidRDefault="00216117">
            <w:pPr>
              <w:pStyle w:val="TableParagraph"/>
              <w:spacing w:line="241" w:lineRule="exact"/>
              <w:ind w:left="24" w:right="24"/>
              <w:jc w:val="center"/>
              <w:rPr>
                <w:sz w:val="3"/>
              </w:rPr>
            </w:pPr>
            <w:r>
              <w:rPr>
                <w:w w:val="105"/>
                <w:sz w:val="3"/>
              </w:rPr>
              <w:t>2,014000%</w:t>
            </w:r>
          </w:p>
        </w:tc>
        <w:tc>
          <w:tcPr>
            <w:tcW w:w="288" w:type="dxa"/>
          </w:tcPr>
          <w:p w14:paraId="7672653A" w14:textId="77777777" w:rsidR="00F65BCA" w:rsidRDefault="00216117">
            <w:pPr>
              <w:pStyle w:val="TableParagraph"/>
              <w:spacing w:line="241" w:lineRule="exact"/>
              <w:ind w:left="24" w:right="24"/>
              <w:jc w:val="center"/>
              <w:rPr>
                <w:sz w:val="3"/>
              </w:rPr>
            </w:pPr>
            <w:r>
              <w:rPr>
                <w:w w:val="105"/>
                <w:sz w:val="3"/>
              </w:rPr>
              <w:t>1,802000%</w:t>
            </w:r>
          </w:p>
        </w:tc>
        <w:tc>
          <w:tcPr>
            <w:tcW w:w="288" w:type="dxa"/>
          </w:tcPr>
          <w:p w14:paraId="1DA26918" w14:textId="77777777" w:rsidR="00F65BCA" w:rsidRDefault="00216117">
            <w:pPr>
              <w:pStyle w:val="TableParagraph"/>
              <w:spacing w:line="241" w:lineRule="exact"/>
              <w:ind w:left="64"/>
              <w:rPr>
                <w:sz w:val="3"/>
              </w:rPr>
            </w:pPr>
            <w:r>
              <w:rPr>
                <w:w w:val="105"/>
                <w:sz w:val="3"/>
              </w:rPr>
              <w:t>1,802000%</w:t>
            </w:r>
          </w:p>
        </w:tc>
        <w:tc>
          <w:tcPr>
            <w:tcW w:w="288" w:type="dxa"/>
          </w:tcPr>
          <w:p w14:paraId="7AA67D7B" w14:textId="77777777" w:rsidR="00F65BCA" w:rsidRDefault="00216117">
            <w:pPr>
              <w:pStyle w:val="TableParagraph"/>
              <w:spacing w:line="241" w:lineRule="exact"/>
              <w:ind w:left="24" w:right="24"/>
              <w:jc w:val="center"/>
              <w:rPr>
                <w:sz w:val="3"/>
              </w:rPr>
            </w:pPr>
            <w:r>
              <w:rPr>
                <w:w w:val="105"/>
                <w:sz w:val="3"/>
              </w:rPr>
              <w:t>1,643000%</w:t>
            </w:r>
          </w:p>
        </w:tc>
        <w:tc>
          <w:tcPr>
            <w:tcW w:w="288" w:type="dxa"/>
          </w:tcPr>
          <w:p w14:paraId="6028C7A0" w14:textId="77777777" w:rsidR="00F65BCA" w:rsidRDefault="00216117">
            <w:pPr>
              <w:pStyle w:val="TableParagraph"/>
              <w:spacing w:line="241" w:lineRule="exact"/>
              <w:ind w:left="64"/>
              <w:rPr>
                <w:sz w:val="3"/>
              </w:rPr>
            </w:pPr>
            <w:r>
              <w:rPr>
                <w:w w:val="105"/>
                <w:sz w:val="3"/>
              </w:rPr>
              <w:t>1,643000%</w:t>
            </w:r>
          </w:p>
        </w:tc>
        <w:tc>
          <w:tcPr>
            <w:tcW w:w="288" w:type="dxa"/>
          </w:tcPr>
          <w:p w14:paraId="177F2D5A" w14:textId="77777777" w:rsidR="00F65BCA" w:rsidRDefault="00216117">
            <w:pPr>
              <w:pStyle w:val="TableParagraph"/>
              <w:spacing w:line="241" w:lineRule="exact"/>
              <w:ind w:left="24" w:right="24"/>
              <w:jc w:val="center"/>
              <w:rPr>
                <w:sz w:val="3"/>
              </w:rPr>
            </w:pPr>
            <w:r>
              <w:rPr>
                <w:w w:val="105"/>
                <w:sz w:val="3"/>
              </w:rPr>
              <w:t>1,484000%</w:t>
            </w:r>
          </w:p>
        </w:tc>
        <w:tc>
          <w:tcPr>
            <w:tcW w:w="288" w:type="dxa"/>
          </w:tcPr>
          <w:p w14:paraId="04FBA293" w14:textId="77777777" w:rsidR="00F65BCA" w:rsidRDefault="00216117">
            <w:pPr>
              <w:pStyle w:val="TableParagraph"/>
              <w:spacing w:line="241" w:lineRule="exact"/>
              <w:ind w:left="24" w:right="24"/>
              <w:jc w:val="center"/>
              <w:rPr>
                <w:sz w:val="3"/>
              </w:rPr>
            </w:pPr>
            <w:r>
              <w:rPr>
                <w:w w:val="105"/>
                <w:sz w:val="3"/>
              </w:rPr>
              <w:t>1,484000%</w:t>
            </w:r>
          </w:p>
        </w:tc>
        <w:tc>
          <w:tcPr>
            <w:tcW w:w="288" w:type="dxa"/>
          </w:tcPr>
          <w:p w14:paraId="4498A2D1" w14:textId="77777777" w:rsidR="00F65BCA" w:rsidRDefault="00216117">
            <w:pPr>
              <w:pStyle w:val="TableParagraph"/>
              <w:spacing w:line="241" w:lineRule="exact"/>
              <w:ind w:left="64"/>
              <w:rPr>
                <w:sz w:val="3"/>
              </w:rPr>
            </w:pPr>
            <w:r>
              <w:rPr>
                <w:w w:val="105"/>
                <w:sz w:val="3"/>
              </w:rPr>
              <w:t>1,325000%</w:t>
            </w:r>
          </w:p>
        </w:tc>
        <w:tc>
          <w:tcPr>
            <w:tcW w:w="288" w:type="dxa"/>
          </w:tcPr>
          <w:p w14:paraId="2EAAF55B" w14:textId="77777777" w:rsidR="00F65BCA" w:rsidRDefault="00216117">
            <w:pPr>
              <w:pStyle w:val="TableParagraph"/>
              <w:spacing w:line="241" w:lineRule="exact"/>
              <w:ind w:left="24" w:right="24"/>
              <w:jc w:val="center"/>
              <w:rPr>
                <w:sz w:val="3"/>
              </w:rPr>
            </w:pPr>
            <w:r>
              <w:rPr>
                <w:w w:val="105"/>
                <w:sz w:val="3"/>
              </w:rPr>
              <w:t>1,325000%</w:t>
            </w:r>
          </w:p>
        </w:tc>
        <w:tc>
          <w:tcPr>
            <w:tcW w:w="288" w:type="dxa"/>
          </w:tcPr>
          <w:p w14:paraId="6F937E32" w14:textId="77777777" w:rsidR="00F65BCA" w:rsidRDefault="00216117">
            <w:pPr>
              <w:pStyle w:val="TableParagraph"/>
              <w:spacing w:line="241" w:lineRule="exact"/>
              <w:ind w:left="24" w:right="24"/>
              <w:jc w:val="center"/>
              <w:rPr>
                <w:sz w:val="3"/>
              </w:rPr>
            </w:pPr>
            <w:r>
              <w:rPr>
                <w:w w:val="105"/>
                <w:sz w:val="3"/>
              </w:rPr>
              <w:t>1,219000%</w:t>
            </w:r>
          </w:p>
        </w:tc>
        <w:tc>
          <w:tcPr>
            <w:tcW w:w="288" w:type="dxa"/>
          </w:tcPr>
          <w:p w14:paraId="085D31B7" w14:textId="77777777" w:rsidR="00F65BCA" w:rsidRDefault="00216117">
            <w:pPr>
              <w:pStyle w:val="TableParagraph"/>
              <w:spacing w:line="241" w:lineRule="exact"/>
              <w:ind w:left="24" w:right="24"/>
              <w:jc w:val="center"/>
              <w:rPr>
                <w:sz w:val="3"/>
              </w:rPr>
            </w:pPr>
            <w:r>
              <w:rPr>
                <w:w w:val="105"/>
                <w:sz w:val="3"/>
              </w:rPr>
              <w:t>1,166000%</w:t>
            </w:r>
          </w:p>
        </w:tc>
        <w:tc>
          <w:tcPr>
            <w:tcW w:w="288" w:type="dxa"/>
          </w:tcPr>
          <w:p w14:paraId="7A48DC2B" w14:textId="77777777" w:rsidR="00F65BCA" w:rsidRDefault="00216117">
            <w:pPr>
              <w:pStyle w:val="TableParagraph"/>
              <w:spacing w:line="241" w:lineRule="exact"/>
              <w:ind w:left="24" w:right="24"/>
              <w:jc w:val="center"/>
              <w:rPr>
                <w:sz w:val="3"/>
              </w:rPr>
            </w:pPr>
            <w:r>
              <w:rPr>
                <w:w w:val="105"/>
                <w:sz w:val="3"/>
              </w:rPr>
              <w:t>1,060000%</w:t>
            </w:r>
          </w:p>
        </w:tc>
        <w:tc>
          <w:tcPr>
            <w:tcW w:w="288" w:type="dxa"/>
          </w:tcPr>
          <w:p w14:paraId="583361A5" w14:textId="77777777" w:rsidR="00F65BCA" w:rsidRDefault="00216117">
            <w:pPr>
              <w:pStyle w:val="TableParagraph"/>
              <w:spacing w:line="241" w:lineRule="exact"/>
              <w:ind w:left="64"/>
              <w:rPr>
                <w:sz w:val="3"/>
              </w:rPr>
            </w:pPr>
            <w:r>
              <w:rPr>
                <w:w w:val="105"/>
                <w:sz w:val="3"/>
              </w:rPr>
              <w:t>1,060000%</w:t>
            </w:r>
          </w:p>
        </w:tc>
      </w:tr>
      <w:tr w:rsidR="00F65BCA" w14:paraId="2B34FA90" w14:textId="77777777">
        <w:trPr>
          <w:trHeight w:val="81"/>
        </w:trPr>
        <w:tc>
          <w:tcPr>
            <w:tcW w:w="526" w:type="dxa"/>
            <w:vMerge/>
            <w:tcBorders>
              <w:top w:val="nil"/>
            </w:tcBorders>
            <w:shd w:val="clear" w:color="auto" w:fill="FCE4D6"/>
          </w:tcPr>
          <w:p w14:paraId="19E7D6B6" w14:textId="77777777" w:rsidR="00F65BCA" w:rsidRDefault="00F65BCA">
            <w:pPr>
              <w:rPr>
                <w:sz w:val="2"/>
                <w:szCs w:val="2"/>
              </w:rPr>
            </w:pPr>
          </w:p>
        </w:tc>
        <w:tc>
          <w:tcPr>
            <w:tcW w:w="732" w:type="dxa"/>
            <w:shd w:val="clear" w:color="auto" w:fill="FCE4D6"/>
          </w:tcPr>
          <w:p w14:paraId="6E24B6D7" w14:textId="77777777" w:rsidR="00F65BCA" w:rsidRDefault="00216117">
            <w:pPr>
              <w:pStyle w:val="TableParagraph"/>
              <w:spacing w:line="400" w:lineRule="exact"/>
              <w:ind w:left="2"/>
              <w:jc w:val="center"/>
              <w:rPr>
                <w:sz w:val="3"/>
              </w:rPr>
            </w:pPr>
            <w:r>
              <w:rPr>
                <w:w w:val="103"/>
                <w:sz w:val="3"/>
              </w:rPr>
              <w:t>-</w:t>
            </w:r>
          </w:p>
        </w:tc>
        <w:tc>
          <w:tcPr>
            <w:tcW w:w="958" w:type="dxa"/>
            <w:gridSpan w:val="2"/>
            <w:shd w:val="clear" w:color="auto" w:fill="FCE4D6"/>
          </w:tcPr>
          <w:p w14:paraId="11875530" w14:textId="77777777" w:rsidR="00F65BCA" w:rsidRDefault="00216117">
            <w:pPr>
              <w:pStyle w:val="TableParagraph"/>
              <w:spacing w:line="400" w:lineRule="exact"/>
              <w:ind w:left="2"/>
              <w:jc w:val="center"/>
              <w:rPr>
                <w:sz w:val="3"/>
              </w:rPr>
            </w:pPr>
            <w:r>
              <w:rPr>
                <w:w w:val="103"/>
                <w:sz w:val="3"/>
              </w:rPr>
              <w:t>-</w:t>
            </w:r>
          </w:p>
        </w:tc>
        <w:tc>
          <w:tcPr>
            <w:tcW w:w="576" w:type="dxa"/>
            <w:shd w:val="clear" w:color="auto" w:fill="FCE4D6"/>
          </w:tcPr>
          <w:p w14:paraId="0FDBC850" w14:textId="77777777" w:rsidR="00F65BCA" w:rsidRDefault="00216117">
            <w:pPr>
              <w:pStyle w:val="TableParagraph"/>
              <w:spacing w:line="400" w:lineRule="exact"/>
              <w:ind w:left="4"/>
              <w:jc w:val="center"/>
              <w:rPr>
                <w:sz w:val="3"/>
              </w:rPr>
            </w:pPr>
            <w:r>
              <w:rPr>
                <w:w w:val="103"/>
                <w:sz w:val="3"/>
              </w:rPr>
              <w:t>-</w:t>
            </w:r>
          </w:p>
        </w:tc>
        <w:tc>
          <w:tcPr>
            <w:tcW w:w="576" w:type="dxa"/>
            <w:shd w:val="clear" w:color="auto" w:fill="FCE4D6"/>
          </w:tcPr>
          <w:p w14:paraId="7DA06F8A" w14:textId="77777777" w:rsidR="00F65BCA" w:rsidRDefault="00216117">
            <w:pPr>
              <w:pStyle w:val="TableParagraph"/>
              <w:spacing w:line="400" w:lineRule="exact"/>
              <w:ind w:left="129" w:right="128"/>
              <w:jc w:val="center"/>
              <w:rPr>
                <w:sz w:val="3"/>
              </w:rPr>
            </w:pPr>
            <w:r>
              <w:rPr>
                <w:w w:val="105"/>
                <w:sz w:val="3"/>
              </w:rPr>
              <w:t>&gt;750 kg</w:t>
            </w:r>
          </w:p>
        </w:tc>
        <w:tc>
          <w:tcPr>
            <w:tcW w:w="50" w:type="dxa"/>
            <w:vMerge/>
            <w:tcBorders>
              <w:top w:val="nil"/>
              <w:bottom w:val="nil"/>
            </w:tcBorders>
          </w:tcPr>
          <w:p w14:paraId="0EE3F01B" w14:textId="77777777" w:rsidR="00F65BCA" w:rsidRDefault="00F65BCA">
            <w:pPr>
              <w:rPr>
                <w:sz w:val="2"/>
                <w:szCs w:val="2"/>
              </w:rPr>
            </w:pPr>
          </w:p>
        </w:tc>
        <w:tc>
          <w:tcPr>
            <w:tcW w:w="288" w:type="dxa"/>
          </w:tcPr>
          <w:p w14:paraId="597EEFBC" w14:textId="77777777" w:rsidR="00F65BCA" w:rsidRDefault="00216117">
            <w:pPr>
              <w:pStyle w:val="TableParagraph"/>
              <w:spacing w:line="400" w:lineRule="exact"/>
              <w:ind w:left="24" w:right="24"/>
              <w:jc w:val="center"/>
              <w:rPr>
                <w:sz w:val="3"/>
              </w:rPr>
            </w:pPr>
            <w:r>
              <w:rPr>
                <w:w w:val="105"/>
                <w:sz w:val="3"/>
              </w:rPr>
              <w:t>2,014000%</w:t>
            </w:r>
          </w:p>
        </w:tc>
        <w:tc>
          <w:tcPr>
            <w:tcW w:w="288" w:type="dxa"/>
          </w:tcPr>
          <w:p w14:paraId="75BFD46A" w14:textId="77777777" w:rsidR="00F65BCA" w:rsidRDefault="00216117">
            <w:pPr>
              <w:pStyle w:val="TableParagraph"/>
              <w:spacing w:line="400" w:lineRule="exact"/>
              <w:ind w:left="24" w:right="24"/>
              <w:jc w:val="center"/>
              <w:rPr>
                <w:sz w:val="3"/>
              </w:rPr>
            </w:pPr>
            <w:r>
              <w:rPr>
                <w:w w:val="105"/>
                <w:sz w:val="3"/>
              </w:rPr>
              <w:t>1,802000%</w:t>
            </w:r>
          </w:p>
        </w:tc>
        <w:tc>
          <w:tcPr>
            <w:tcW w:w="288" w:type="dxa"/>
          </w:tcPr>
          <w:p w14:paraId="5B44CD88" w14:textId="77777777" w:rsidR="00F65BCA" w:rsidRDefault="00216117">
            <w:pPr>
              <w:pStyle w:val="TableParagraph"/>
              <w:spacing w:line="400" w:lineRule="exact"/>
              <w:ind w:left="64"/>
              <w:rPr>
                <w:sz w:val="3"/>
              </w:rPr>
            </w:pPr>
            <w:r>
              <w:rPr>
                <w:w w:val="105"/>
                <w:sz w:val="3"/>
              </w:rPr>
              <w:t>1,802000%</w:t>
            </w:r>
          </w:p>
        </w:tc>
        <w:tc>
          <w:tcPr>
            <w:tcW w:w="288" w:type="dxa"/>
          </w:tcPr>
          <w:p w14:paraId="798DD150" w14:textId="77777777" w:rsidR="00F65BCA" w:rsidRDefault="00216117">
            <w:pPr>
              <w:pStyle w:val="TableParagraph"/>
              <w:spacing w:line="400" w:lineRule="exact"/>
              <w:ind w:left="24" w:right="24"/>
              <w:jc w:val="center"/>
              <w:rPr>
                <w:sz w:val="3"/>
              </w:rPr>
            </w:pPr>
            <w:r>
              <w:rPr>
                <w:w w:val="105"/>
                <w:sz w:val="3"/>
              </w:rPr>
              <w:t>1,643000%</w:t>
            </w:r>
          </w:p>
        </w:tc>
        <w:tc>
          <w:tcPr>
            <w:tcW w:w="288" w:type="dxa"/>
          </w:tcPr>
          <w:p w14:paraId="50A3F461" w14:textId="77777777" w:rsidR="00F65BCA" w:rsidRDefault="00216117">
            <w:pPr>
              <w:pStyle w:val="TableParagraph"/>
              <w:spacing w:line="400" w:lineRule="exact"/>
              <w:ind w:left="64"/>
              <w:rPr>
                <w:sz w:val="3"/>
              </w:rPr>
            </w:pPr>
            <w:r>
              <w:rPr>
                <w:w w:val="105"/>
                <w:sz w:val="3"/>
              </w:rPr>
              <w:t>1,643000%</w:t>
            </w:r>
          </w:p>
        </w:tc>
        <w:tc>
          <w:tcPr>
            <w:tcW w:w="288" w:type="dxa"/>
          </w:tcPr>
          <w:p w14:paraId="3CE31311" w14:textId="77777777" w:rsidR="00F65BCA" w:rsidRDefault="00216117">
            <w:pPr>
              <w:pStyle w:val="TableParagraph"/>
              <w:spacing w:line="400" w:lineRule="exact"/>
              <w:ind w:left="24" w:right="24"/>
              <w:jc w:val="center"/>
              <w:rPr>
                <w:sz w:val="3"/>
              </w:rPr>
            </w:pPr>
            <w:r>
              <w:rPr>
                <w:w w:val="105"/>
                <w:sz w:val="3"/>
              </w:rPr>
              <w:t>1,484000%</w:t>
            </w:r>
          </w:p>
        </w:tc>
        <w:tc>
          <w:tcPr>
            <w:tcW w:w="288" w:type="dxa"/>
          </w:tcPr>
          <w:p w14:paraId="6E5F473E" w14:textId="77777777" w:rsidR="00F65BCA" w:rsidRDefault="00216117">
            <w:pPr>
              <w:pStyle w:val="TableParagraph"/>
              <w:spacing w:line="400" w:lineRule="exact"/>
              <w:ind w:left="24" w:right="24"/>
              <w:jc w:val="center"/>
              <w:rPr>
                <w:sz w:val="3"/>
              </w:rPr>
            </w:pPr>
            <w:r>
              <w:rPr>
                <w:w w:val="105"/>
                <w:sz w:val="3"/>
              </w:rPr>
              <w:t>1,484000%</w:t>
            </w:r>
          </w:p>
        </w:tc>
        <w:tc>
          <w:tcPr>
            <w:tcW w:w="288" w:type="dxa"/>
          </w:tcPr>
          <w:p w14:paraId="583D0E15" w14:textId="77777777" w:rsidR="00F65BCA" w:rsidRDefault="00216117">
            <w:pPr>
              <w:pStyle w:val="TableParagraph"/>
              <w:spacing w:line="400" w:lineRule="exact"/>
              <w:ind w:left="64"/>
              <w:rPr>
                <w:sz w:val="3"/>
              </w:rPr>
            </w:pPr>
            <w:r>
              <w:rPr>
                <w:w w:val="105"/>
                <w:sz w:val="3"/>
              </w:rPr>
              <w:t>1,325000%</w:t>
            </w:r>
          </w:p>
        </w:tc>
        <w:tc>
          <w:tcPr>
            <w:tcW w:w="288" w:type="dxa"/>
          </w:tcPr>
          <w:p w14:paraId="39521F82" w14:textId="77777777" w:rsidR="00F65BCA" w:rsidRDefault="00216117">
            <w:pPr>
              <w:pStyle w:val="TableParagraph"/>
              <w:spacing w:line="400" w:lineRule="exact"/>
              <w:ind w:left="24" w:right="24"/>
              <w:jc w:val="center"/>
              <w:rPr>
                <w:sz w:val="3"/>
              </w:rPr>
            </w:pPr>
            <w:r>
              <w:rPr>
                <w:w w:val="105"/>
                <w:sz w:val="3"/>
              </w:rPr>
              <w:t>1,325000%</w:t>
            </w:r>
          </w:p>
        </w:tc>
        <w:tc>
          <w:tcPr>
            <w:tcW w:w="288" w:type="dxa"/>
          </w:tcPr>
          <w:p w14:paraId="1E8F9CF0" w14:textId="77777777" w:rsidR="00F65BCA" w:rsidRDefault="00216117">
            <w:pPr>
              <w:pStyle w:val="TableParagraph"/>
              <w:spacing w:line="400" w:lineRule="exact"/>
              <w:ind w:left="24" w:right="24"/>
              <w:jc w:val="center"/>
              <w:rPr>
                <w:sz w:val="3"/>
              </w:rPr>
            </w:pPr>
            <w:r>
              <w:rPr>
                <w:w w:val="105"/>
                <w:sz w:val="3"/>
              </w:rPr>
              <w:t>1,219000%</w:t>
            </w:r>
          </w:p>
        </w:tc>
        <w:tc>
          <w:tcPr>
            <w:tcW w:w="288" w:type="dxa"/>
          </w:tcPr>
          <w:p w14:paraId="06846D72" w14:textId="77777777" w:rsidR="00F65BCA" w:rsidRDefault="00216117">
            <w:pPr>
              <w:pStyle w:val="TableParagraph"/>
              <w:spacing w:line="400" w:lineRule="exact"/>
              <w:ind w:left="24" w:right="24"/>
              <w:jc w:val="center"/>
              <w:rPr>
                <w:sz w:val="3"/>
              </w:rPr>
            </w:pPr>
            <w:r>
              <w:rPr>
                <w:w w:val="105"/>
                <w:sz w:val="3"/>
              </w:rPr>
              <w:t>1,166000%</w:t>
            </w:r>
          </w:p>
        </w:tc>
        <w:tc>
          <w:tcPr>
            <w:tcW w:w="288" w:type="dxa"/>
          </w:tcPr>
          <w:p w14:paraId="2167621E" w14:textId="77777777" w:rsidR="00F65BCA" w:rsidRDefault="00216117">
            <w:pPr>
              <w:pStyle w:val="TableParagraph"/>
              <w:spacing w:line="400" w:lineRule="exact"/>
              <w:ind w:left="24" w:right="24"/>
              <w:jc w:val="center"/>
              <w:rPr>
                <w:sz w:val="3"/>
              </w:rPr>
            </w:pPr>
            <w:r>
              <w:rPr>
                <w:w w:val="105"/>
                <w:sz w:val="3"/>
              </w:rPr>
              <w:t>1,060000%</w:t>
            </w:r>
          </w:p>
        </w:tc>
        <w:tc>
          <w:tcPr>
            <w:tcW w:w="288" w:type="dxa"/>
          </w:tcPr>
          <w:p w14:paraId="162BD91D" w14:textId="77777777" w:rsidR="00F65BCA" w:rsidRDefault="00216117">
            <w:pPr>
              <w:pStyle w:val="TableParagraph"/>
              <w:spacing w:line="400" w:lineRule="exact"/>
              <w:ind w:left="64"/>
              <w:rPr>
                <w:sz w:val="3"/>
              </w:rPr>
            </w:pPr>
            <w:r>
              <w:rPr>
                <w:w w:val="105"/>
                <w:sz w:val="3"/>
              </w:rPr>
              <w:t>1,060000%</w:t>
            </w:r>
          </w:p>
        </w:tc>
      </w:tr>
      <w:tr w:rsidR="00F65BCA" w14:paraId="5B5A36BC" w14:textId="77777777">
        <w:trPr>
          <w:trHeight w:val="81"/>
        </w:trPr>
        <w:tc>
          <w:tcPr>
            <w:tcW w:w="526" w:type="dxa"/>
            <w:vMerge w:val="restart"/>
            <w:tcBorders>
              <w:bottom w:val="nil"/>
            </w:tcBorders>
            <w:shd w:val="clear" w:color="auto" w:fill="FCE4D6"/>
          </w:tcPr>
          <w:p w14:paraId="2A7D35AA" w14:textId="77777777" w:rsidR="00F65BCA" w:rsidRDefault="00216117">
            <w:pPr>
              <w:pStyle w:val="TableParagraph"/>
              <w:spacing w:line="691" w:lineRule="exact"/>
              <w:ind w:left="98"/>
              <w:rPr>
                <w:sz w:val="3"/>
              </w:rPr>
            </w:pPr>
            <w:r>
              <w:rPr>
                <w:w w:val="105"/>
                <w:sz w:val="3"/>
              </w:rPr>
              <w:t>přípojná vozidla traktorů</w:t>
            </w:r>
          </w:p>
        </w:tc>
        <w:tc>
          <w:tcPr>
            <w:tcW w:w="732" w:type="dxa"/>
            <w:shd w:val="clear" w:color="auto" w:fill="FCE4D6"/>
          </w:tcPr>
          <w:p w14:paraId="20807BF3" w14:textId="77777777" w:rsidR="00F65BCA" w:rsidRDefault="00216117">
            <w:pPr>
              <w:pStyle w:val="TableParagraph"/>
              <w:spacing w:line="718" w:lineRule="exact"/>
              <w:ind w:left="2"/>
              <w:jc w:val="center"/>
              <w:rPr>
                <w:sz w:val="3"/>
              </w:rPr>
            </w:pPr>
            <w:r>
              <w:rPr>
                <w:w w:val="103"/>
                <w:sz w:val="3"/>
              </w:rPr>
              <w:t>-</w:t>
            </w:r>
          </w:p>
        </w:tc>
        <w:tc>
          <w:tcPr>
            <w:tcW w:w="958" w:type="dxa"/>
            <w:gridSpan w:val="2"/>
            <w:shd w:val="clear" w:color="auto" w:fill="FCE4D6"/>
          </w:tcPr>
          <w:p w14:paraId="7C1FCDCC" w14:textId="77777777" w:rsidR="00F65BCA" w:rsidRDefault="00216117">
            <w:pPr>
              <w:pStyle w:val="TableParagraph"/>
              <w:spacing w:line="718" w:lineRule="exact"/>
              <w:ind w:left="2"/>
              <w:jc w:val="center"/>
              <w:rPr>
                <w:sz w:val="3"/>
              </w:rPr>
            </w:pPr>
            <w:r>
              <w:rPr>
                <w:w w:val="103"/>
                <w:sz w:val="3"/>
              </w:rPr>
              <w:t>-</w:t>
            </w:r>
          </w:p>
        </w:tc>
        <w:tc>
          <w:tcPr>
            <w:tcW w:w="576" w:type="dxa"/>
            <w:shd w:val="clear" w:color="auto" w:fill="FCE4D6"/>
          </w:tcPr>
          <w:p w14:paraId="6B2717F9" w14:textId="77777777" w:rsidR="00F65BCA" w:rsidRDefault="00216117">
            <w:pPr>
              <w:pStyle w:val="TableParagraph"/>
              <w:spacing w:line="718" w:lineRule="exact"/>
              <w:ind w:left="4"/>
              <w:jc w:val="center"/>
              <w:rPr>
                <w:sz w:val="3"/>
              </w:rPr>
            </w:pPr>
            <w:r>
              <w:rPr>
                <w:w w:val="103"/>
                <w:sz w:val="3"/>
              </w:rPr>
              <w:t>-</w:t>
            </w:r>
          </w:p>
        </w:tc>
        <w:tc>
          <w:tcPr>
            <w:tcW w:w="576" w:type="dxa"/>
            <w:shd w:val="clear" w:color="auto" w:fill="FCE4D6"/>
          </w:tcPr>
          <w:p w14:paraId="55CF97E1" w14:textId="77777777" w:rsidR="00F65BCA" w:rsidRDefault="00216117">
            <w:pPr>
              <w:pStyle w:val="TableParagraph"/>
              <w:spacing w:line="718" w:lineRule="exact"/>
              <w:ind w:left="227"/>
              <w:rPr>
                <w:sz w:val="3"/>
              </w:rPr>
            </w:pPr>
            <w:r>
              <w:rPr>
                <w:w w:val="105"/>
                <w:sz w:val="3"/>
              </w:rPr>
              <w:t>0-750 kg</w:t>
            </w:r>
          </w:p>
        </w:tc>
        <w:tc>
          <w:tcPr>
            <w:tcW w:w="50" w:type="dxa"/>
            <w:vMerge/>
            <w:tcBorders>
              <w:top w:val="nil"/>
              <w:bottom w:val="nil"/>
            </w:tcBorders>
          </w:tcPr>
          <w:p w14:paraId="18026649" w14:textId="77777777" w:rsidR="00F65BCA" w:rsidRDefault="00F65BCA">
            <w:pPr>
              <w:rPr>
                <w:sz w:val="2"/>
                <w:szCs w:val="2"/>
              </w:rPr>
            </w:pPr>
          </w:p>
        </w:tc>
        <w:tc>
          <w:tcPr>
            <w:tcW w:w="288" w:type="dxa"/>
          </w:tcPr>
          <w:p w14:paraId="2F1AC64D" w14:textId="77777777" w:rsidR="00F65BCA" w:rsidRDefault="00216117">
            <w:pPr>
              <w:pStyle w:val="TableParagraph"/>
              <w:spacing w:line="718" w:lineRule="exact"/>
              <w:ind w:left="24" w:right="24"/>
              <w:jc w:val="center"/>
              <w:rPr>
                <w:sz w:val="3"/>
              </w:rPr>
            </w:pPr>
            <w:r>
              <w:rPr>
                <w:w w:val="105"/>
                <w:sz w:val="3"/>
              </w:rPr>
              <w:t>2,014000%</w:t>
            </w:r>
          </w:p>
        </w:tc>
        <w:tc>
          <w:tcPr>
            <w:tcW w:w="288" w:type="dxa"/>
          </w:tcPr>
          <w:p w14:paraId="31365243" w14:textId="77777777" w:rsidR="00F65BCA" w:rsidRDefault="00216117">
            <w:pPr>
              <w:pStyle w:val="TableParagraph"/>
              <w:spacing w:line="718" w:lineRule="exact"/>
              <w:ind w:left="24" w:right="24"/>
              <w:jc w:val="center"/>
              <w:rPr>
                <w:sz w:val="3"/>
              </w:rPr>
            </w:pPr>
            <w:r>
              <w:rPr>
                <w:w w:val="105"/>
                <w:sz w:val="3"/>
              </w:rPr>
              <w:t>1,802000%</w:t>
            </w:r>
          </w:p>
        </w:tc>
        <w:tc>
          <w:tcPr>
            <w:tcW w:w="288" w:type="dxa"/>
          </w:tcPr>
          <w:p w14:paraId="0BFEA976" w14:textId="77777777" w:rsidR="00F65BCA" w:rsidRDefault="00216117">
            <w:pPr>
              <w:pStyle w:val="TableParagraph"/>
              <w:spacing w:line="718" w:lineRule="exact"/>
              <w:ind w:left="64"/>
              <w:rPr>
                <w:sz w:val="3"/>
              </w:rPr>
            </w:pPr>
            <w:r>
              <w:rPr>
                <w:w w:val="105"/>
                <w:sz w:val="3"/>
              </w:rPr>
              <w:t>1,802000%</w:t>
            </w:r>
          </w:p>
        </w:tc>
        <w:tc>
          <w:tcPr>
            <w:tcW w:w="288" w:type="dxa"/>
          </w:tcPr>
          <w:p w14:paraId="43B7D488" w14:textId="77777777" w:rsidR="00F65BCA" w:rsidRDefault="00216117">
            <w:pPr>
              <w:pStyle w:val="TableParagraph"/>
              <w:spacing w:line="718" w:lineRule="exact"/>
              <w:ind w:left="24" w:right="24"/>
              <w:jc w:val="center"/>
              <w:rPr>
                <w:sz w:val="3"/>
              </w:rPr>
            </w:pPr>
            <w:r>
              <w:rPr>
                <w:w w:val="105"/>
                <w:sz w:val="3"/>
              </w:rPr>
              <w:t>1,643000%</w:t>
            </w:r>
          </w:p>
        </w:tc>
        <w:tc>
          <w:tcPr>
            <w:tcW w:w="288" w:type="dxa"/>
          </w:tcPr>
          <w:p w14:paraId="7E6135E0" w14:textId="77777777" w:rsidR="00F65BCA" w:rsidRDefault="00216117">
            <w:pPr>
              <w:pStyle w:val="TableParagraph"/>
              <w:spacing w:line="718" w:lineRule="exact"/>
              <w:ind w:left="64"/>
              <w:rPr>
                <w:sz w:val="3"/>
              </w:rPr>
            </w:pPr>
            <w:r>
              <w:rPr>
                <w:w w:val="105"/>
                <w:sz w:val="3"/>
              </w:rPr>
              <w:t>1,643000%</w:t>
            </w:r>
          </w:p>
        </w:tc>
        <w:tc>
          <w:tcPr>
            <w:tcW w:w="288" w:type="dxa"/>
          </w:tcPr>
          <w:p w14:paraId="725CD5B9" w14:textId="77777777" w:rsidR="00F65BCA" w:rsidRDefault="00216117">
            <w:pPr>
              <w:pStyle w:val="TableParagraph"/>
              <w:spacing w:line="718" w:lineRule="exact"/>
              <w:ind w:left="24" w:right="24"/>
              <w:jc w:val="center"/>
              <w:rPr>
                <w:sz w:val="3"/>
              </w:rPr>
            </w:pPr>
            <w:r>
              <w:rPr>
                <w:w w:val="105"/>
                <w:sz w:val="3"/>
              </w:rPr>
              <w:t>1,484000%</w:t>
            </w:r>
          </w:p>
        </w:tc>
        <w:tc>
          <w:tcPr>
            <w:tcW w:w="288" w:type="dxa"/>
          </w:tcPr>
          <w:p w14:paraId="6E800414" w14:textId="77777777" w:rsidR="00F65BCA" w:rsidRDefault="00216117">
            <w:pPr>
              <w:pStyle w:val="TableParagraph"/>
              <w:spacing w:line="718" w:lineRule="exact"/>
              <w:ind w:left="24" w:right="24"/>
              <w:jc w:val="center"/>
              <w:rPr>
                <w:sz w:val="3"/>
              </w:rPr>
            </w:pPr>
            <w:r>
              <w:rPr>
                <w:w w:val="105"/>
                <w:sz w:val="3"/>
              </w:rPr>
              <w:t>1,484000%</w:t>
            </w:r>
          </w:p>
        </w:tc>
        <w:tc>
          <w:tcPr>
            <w:tcW w:w="288" w:type="dxa"/>
          </w:tcPr>
          <w:p w14:paraId="4029666E" w14:textId="77777777" w:rsidR="00F65BCA" w:rsidRDefault="00216117">
            <w:pPr>
              <w:pStyle w:val="TableParagraph"/>
              <w:spacing w:line="718" w:lineRule="exact"/>
              <w:ind w:left="64"/>
              <w:rPr>
                <w:sz w:val="3"/>
              </w:rPr>
            </w:pPr>
            <w:r>
              <w:rPr>
                <w:w w:val="105"/>
                <w:sz w:val="3"/>
              </w:rPr>
              <w:t>1,325000%</w:t>
            </w:r>
          </w:p>
        </w:tc>
        <w:tc>
          <w:tcPr>
            <w:tcW w:w="288" w:type="dxa"/>
          </w:tcPr>
          <w:p w14:paraId="0F4B6AD9" w14:textId="77777777" w:rsidR="00F65BCA" w:rsidRDefault="00216117">
            <w:pPr>
              <w:pStyle w:val="TableParagraph"/>
              <w:spacing w:line="718" w:lineRule="exact"/>
              <w:ind w:left="24" w:right="24"/>
              <w:jc w:val="center"/>
              <w:rPr>
                <w:sz w:val="3"/>
              </w:rPr>
            </w:pPr>
            <w:r>
              <w:rPr>
                <w:w w:val="105"/>
                <w:sz w:val="3"/>
              </w:rPr>
              <w:t>1,325000%</w:t>
            </w:r>
          </w:p>
        </w:tc>
        <w:tc>
          <w:tcPr>
            <w:tcW w:w="288" w:type="dxa"/>
          </w:tcPr>
          <w:p w14:paraId="5B4EB4FD" w14:textId="77777777" w:rsidR="00F65BCA" w:rsidRDefault="00216117">
            <w:pPr>
              <w:pStyle w:val="TableParagraph"/>
              <w:spacing w:line="718" w:lineRule="exact"/>
              <w:ind w:left="24" w:right="24"/>
              <w:jc w:val="center"/>
              <w:rPr>
                <w:sz w:val="3"/>
              </w:rPr>
            </w:pPr>
            <w:r>
              <w:rPr>
                <w:w w:val="105"/>
                <w:sz w:val="3"/>
              </w:rPr>
              <w:t>1,219000%</w:t>
            </w:r>
          </w:p>
        </w:tc>
        <w:tc>
          <w:tcPr>
            <w:tcW w:w="288" w:type="dxa"/>
          </w:tcPr>
          <w:p w14:paraId="7582238D" w14:textId="77777777" w:rsidR="00F65BCA" w:rsidRDefault="00216117">
            <w:pPr>
              <w:pStyle w:val="TableParagraph"/>
              <w:spacing w:line="718" w:lineRule="exact"/>
              <w:ind w:left="24" w:right="24"/>
              <w:jc w:val="center"/>
              <w:rPr>
                <w:sz w:val="3"/>
              </w:rPr>
            </w:pPr>
            <w:r>
              <w:rPr>
                <w:w w:val="105"/>
                <w:sz w:val="3"/>
              </w:rPr>
              <w:t>1,166000%</w:t>
            </w:r>
          </w:p>
        </w:tc>
        <w:tc>
          <w:tcPr>
            <w:tcW w:w="288" w:type="dxa"/>
          </w:tcPr>
          <w:p w14:paraId="1C9AC9AB" w14:textId="77777777" w:rsidR="00F65BCA" w:rsidRDefault="00216117">
            <w:pPr>
              <w:pStyle w:val="TableParagraph"/>
              <w:spacing w:line="718" w:lineRule="exact"/>
              <w:ind w:left="24" w:right="24"/>
              <w:jc w:val="center"/>
              <w:rPr>
                <w:sz w:val="3"/>
              </w:rPr>
            </w:pPr>
            <w:r>
              <w:rPr>
                <w:w w:val="105"/>
                <w:sz w:val="3"/>
              </w:rPr>
              <w:t>1,060000%</w:t>
            </w:r>
          </w:p>
        </w:tc>
        <w:tc>
          <w:tcPr>
            <w:tcW w:w="288" w:type="dxa"/>
          </w:tcPr>
          <w:p w14:paraId="793758E5" w14:textId="77777777" w:rsidR="00F65BCA" w:rsidRDefault="00216117">
            <w:pPr>
              <w:pStyle w:val="TableParagraph"/>
              <w:spacing w:line="718" w:lineRule="exact"/>
              <w:ind w:left="64"/>
              <w:rPr>
                <w:sz w:val="3"/>
              </w:rPr>
            </w:pPr>
            <w:r>
              <w:rPr>
                <w:w w:val="105"/>
                <w:sz w:val="3"/>
              </w:rPr>
              <w:t>1,060000%</w:t>
            </w:r>
          </w:p>
        </w:tc>
      </w:tr>
      <w:tr w:rsidR="00F65BCA" w14:paraId="5FF5E96B" w14:textId="77777777">
        <w:trPr>
          <w:trHeight w:val="19"/>
        </w:trPr>
        <w:tc>
          <w:tcPr>
            <w:tcW w:w="526" w:type="dxa"/>
            <w:vMerge/>
            <w:tcBorders>
              <w:top w:val="nil"/>
              <w:bottom w:val="nil"/>
            </w:tcBorders>
            <w:shd w:val="clear" w:color="auto" w:fill="FCE4D6"/>
          </w:tcPr>
          <w:p w14:paraId="2EF2B9B7" w14:textId="77777777" w:rsidR="00F65BCA" w:rsidRDefault="00F65BCA">
            <w:pPr>
              <w:rPr>
                <w:sz w:val="2"/>
                <w:szCs w:val="2"/>
              </w:rPr>
            </w:pPr>
          </w:p>
        </w:tc>
        <w:tc>
          <w:tcPr>
            <w:tcW w:w="732" w:type="dxa"/>
            <w:tcBorders>
              <w:bottom w:val="nil"/>
            </w:tcBorders>
            <w:shd w:val="clear" w:color="auto" w:fill="FCE4D6"/>
          </w:tcPr>
          <w:p w14:paraId="30CB7F24" w14:textId="77777777" w:rsidR="00F65BCA" w:rsidRDefault="00F65BCA">
            <w:pPr>
              <w:pStyle w:val="TableParagraph"/>
              <w:rPr>
                <w:rFonts w:ascii="Times New Roman"/>
                <w:sz w:val="2"/>
              </w:rPr>
            </w:pPr>
          </w:p>
        </w:tc>
        <w:tc>
          <w:tcPr>
            <w:tcW w:w="958" w:type="dxa"/>
            <w:gridSpan w:val="2"/>
            <w:tcBorders>
              <w:bottom w:val="nil"/>
            </w:tcBorders>
            <w:shd w:val="clear" w:color="auto" w:fill="FCE4D6"/>
          </w:tcPr>
          <w:p w14:paraId="09D963DE" w14:textId="77777777" w:rsidR="00F65BCA" w:rsidRDefault="00F65BCA">
            <w:pPr>
              <w:pStyle w:val="TableParagraph"/>
              <w:rPr>
                <w:rFonts w:ascii="Times New Roman"/>
                <w:sz w:val="2"/>
              </w:rPr>
            </w:pPr>
          </w:p>
        </w:tc>
        <w:tc>
          <w:tcPr>
            <w:tcW w:w="576" w:type="dxa"/>
            <w:tcBorders>
              <w:bottom w:val="nil"/>
            </w:tcBorders>
            <w:shd w:val="clear" w:color="auto" w:fill="FCE4D6"/>
          </w:tcPr>
          <w:p w14:paraId="73D902AD" w14:textId="77777777" w:rsidR="00F65BCA" w:rsidRDefault="00F65BCA">
            <w:pPr>
              <w:pStyle w:val="TableParagraph"/>
              <w:rPr>
                <w:rFonts w:ascii="Times New Roman"/>
                <w:sz w:val="2"/>
              </w:rPr>
            </w:pPr>
          </w:p>
        </w:tc>
        <w:tc>
          <w:tcPr>
            <w:tcW w:w="576" w:type="dxa"/>
            <w:tcBorders>
              <w:bottom w:val="nil"/>
            </w:tcBorders>
            <w:shd w:val="clear" w:color="auto" w:fill="FCE4D6"/>
          </w:tcPr>
          <w:p w14:paraId="6748AE8A" w14:textId="77777777" w:rsidR="00F65BCA" w:rsidRDefault="00F65BCA">
            <w:pPr>
              <w:pStyle w:val="TableParagraph"/>
              <w:rPr>
                <w:rFonts w:ascii="Times New Roman"/>
                <w:sz w:val="2"/>
              </w:rPr>
            </w:pPr>
          </w:p>
        </w:tc>
        <w:tc>
          <w:tcPr>
            <w:tcW w:w="50" w:type="dxa"/>
            <w:vMerge/>
            <w:tcBorders>
              <w:top w:val="nil"/>
              <w:bottom w:val="nil"/>
            </w:tcBorders>
          </w:tcPr>
          <w:p w14:paraId="6A5CE289" w14:textId="77777777" w:rsidR="00F65BCA" w:rsidRDefault="00F65BCA">
            <w:pPr>
              <w:rPr>
                <w:sz w:val="2"/>
                <w:szCs w:val="2"/>
              </w:rPr>
            </w:pPr>
          </w:p>
        </w:tc>
        <w:tc>
          <w:tcPr>
            <w:tcW w:w="288" w:type="dxa"/>
            <w:tcBorders>
              <w:bottom w:val="nil"/>
            </w:tcBorders>
          </w:tcPr>
          <w:p w14:paraId="086B8C06" w14:textId="77777777" w:rsidR="00F65BCA" w:rsidRDefault="00F65BCA">
            <w:pPr>
              <w:pStyle w:val="TableParagraph"/>
              <w:rPr>
                <w:rFonts w:ascii="Times New Roman"/>
                <w:sz w:val="2"/>
              </w:rPr>
            </w:pPr>
          </w:p>
        </w:tc>
        <w:tc>
          <w:tcPr>
            <w:tcW w:w="288" w:type="dxa"/>
            <w:tcBorders>
              <w:bottom w:val="nil"/>
            </w:tcBorders>
          </w:tcPr>
          <w:p w14:paraId="20E76506" w14:textId="77777777" w:rsidR="00F65BCA" w:rsidRDefault="00F65BCA">
            <w:pPr>
              <w:pStyle w:val="TableParagraph"/>
              <w:rPr>
                <w:rFonts w:ascii="Times New Roman"/>
                <w:sz w:val="2"/>
              </w:rPr>
            </w:pPr>
          </w:p>
        </w:tc>
        <w:tc>
          <w:tcPr>
            <w:tcW w:w="288" w:type="dxa"/>
            <w:tcBorders>
              <w:bottom w:val="nil"/>
            </w:tcBorders>
          </w:tcPr>
          <w:p w14:paraId="681B5C69" w14:textId="77777777" w:rsidR="00F65BCA" w:rsidRDefault="00F65BCA">
            <w:pPr>
              <w:pStyle w:val="TableParagraph"/>
              <w:rPr>
                <w:rFonts w:ascii="Times New Roman"/>
                <w:sz w:val="2"/>
              </w:rPr>
            </w:pPr>
          </w:p>
        </w:tc>
        <w:tc>
          <w:tcPr>
            <w:tcW w:w="288" w:type="dxa"/>
            <w:tcBorders>
              <w:bottom w:val="nil"/>
            </w:tcBorders>
          </w:tcPr>
          <w:p w14:paraId="7CB5220D" w14:textId="77777777" w:rsidR="00F65BCA" w:rsidRDefault="00F65BCA">
            <w:pPr>
              <w:pStyle w:val="TableParagraph"/>
              <w:rPr>
                <w:rFonts w:ascii="Times New Roman"/>
                <w:sz w:val="2"/>
              </w:rPr>
            </w:pPr>
          </w:p>
        </w:tc>
        <w:tc>
          <w:tcPr>
            <w:tcW w:w="288" w:type="dxa"/>
            <w:tcBorders>
              <w:bottom w:val="nil"/>
            </w:tcBorders>
          </w:tcPr>
          <w:p w14:paraId="4BE83ADE" w14:textId="77777777" w:rsidR="00F65BCA" w:rsidRDefault="00F65BCA">
            <w:pPr>
              <w:pStyle w:val="TableParagraph"/>
              <w:rPr>
                <w:rFonts w:ascii="Times New Roman"/>
                <w:sz w:val="2"/>
              </w:rPr>
            </w:pPr>
          </w:p>
        </w:tc>
        <w:tc>
          <w:tcPr>
            <w:tcW w:w="288" w:type="dxa"/>
            <w:tcBorders>
              <w:bottom w:val="nil"/>
            </w:tcBorders>
          </w:tcPr>
          <w:p w14:paraId="27273117" w14:textId="77777777" w:rsidR="00F65BCA" w:rsidRDefault="00F65BCA">
            <w:pPr>
              <w:pStyle w:val="TableParagraph"/>
              <w:rPr>
                <w:rFonts w:ascii="Times New Roman"/>
                <w:sz w:val="2"/>
              </w:rPr>
            </w:pPr>
          </w:p>
        </w:tc>
        <w:tc>
          <w:tcPr>
            <w:tcW w:w="288" w:type="dxa"/>
            <w:tcBorders>
              <w:bottom w:val="nil"/>
            </w:tcBorders>
          </w:tcPr>
          <w:p w14:paraId="2592FC0D" w14:textId="77777777" w:rsidR="00F65BCA" w:rsidRDefault="00F65BCA">
            <w:pPr>
              <w:pStyle w:val="TableParagraph"/>
              <w:rPr>
                <w:rFonts w:ascii="Times New Roman"/>
                <w:sz w:val="2"/>
              </w:rPr>
            </w:pPr>
          </w:p>
        </w:tc>
        <w:tc>
          <w:tcPr>
            <w:tcW w:w="288" w:type="dxa"/>
            <w:tcBorders>
              <w:bottom w:val="nil"/>
            </w:tcBorders>
          </w:tcPr>
          <w:p w14:paraId="12DC3726" w14:textId="77777777" w:rsidR="00F65BCA" w:rsidRDefault="00F65BCA">
            <w:pPr>
              <w:pStyle w:val="TableParagraph"/>
              <w:rPr>
                <w:rFonts w:ascii="Times New Roman"/>
                <w:sz w:val="2"/>
              </w:rPr>
            </w:pPr>
          </w:p>
        </w:tc>
        <w:tc>
          <w:tcPr>
            <w:tcW w:w="288" w:type="dxa"/>
            <w:tcBorders>
              <w:bottom w:val="nil"/>
            </w:tcBorders>
          </w:tcPr>
          <w:p w14:paraId="253C57AA" w14:textId="77777777" w:rsidR="00F65BCA" w:rsidRDefault="00F65BCA">
            <w:pPr>
              <w:pStyle w:val="TableParagraph"/>
              <w:rPr>
                <w:rFonts w:ascii="Times New Roman"/>
                <w:sz w:val="2"/>
              </w:rPr>
            </w:pPr>
          </w:p>
        </w:tc>
        <w:tc>
          <w:tcPr>
            <w:tcW w:w="288" w:type="dxa"/>
            <w:tcBorders>
              <w:bottom w:val="nil"/>
            </w:tcBorders>
          </w:tcPr>
          <w:p w14:paraId="16FBEAB4" w14:textId="77777777" w:rsidR="00F65BCA" w:rsidRDefault="00F65BCA">
            <w:pPr>
              <w:pStyle w:val="TableParagraph"/>
              <w:rPr>
                <w:rFonts w:ascii="Times New Roman"/>
                <w:sz w:val="2"/>
              </w:rPr>
            </w:pPr>
          </w:p>
        </w:tc>
        <w:tc>
          <w:tcPr>
            <w:tcW w:w="288" w:type="dxa"/>
            <w:tcBorders>
              <w:bottom w:val="nil"/>
            </w:tcBorders>
          </w:tcPr>
          <w:p w14:paraId="5967BBFA" w14:textId="77777777" w:rsidR="00F65BCA" w:rsidRDefault="00F65BCA">
            <w:pPr>
              <w:pStyle w:val="TableParagraph"/>
              <w:rPr>
                <w:rFonts w:ascii="Times New Roman"/>
                <w:sz w:val="2"/>
              </w:rPr>
            </w:pPr>
          </w:p>
        </w:tc>
        <w:tc>
          <w:tcPr>
            <w:tcW w:w="288" w:type="dxa"/>
            <w:tcBorders>
              <w:bottom w:val="nil"/>
            </w:tcBorders>
          </w:tcPr>
          <w:p w14:paraId="7BA355AF" w14:textId="77777777" w:rsidR="00F65BCA" w:rsidRDefault="00F65BCA">
            <w:pPr>
              <w:pStyle w:val="TableParagraph"/>
              <w:rPr>
                <w:rFonts w:ascii="Times New Roman"/>
                <w:sz w:val="2"/>
              </w:rPr>
            </w:pPr>
          </w:p>
        </w:tc>
        <w:tc>
          <w:tcPr>
            <w:tcW w:w="288" w:type="dxa"/>
            <w:tcBorders>
              <w:bottom w:val="nil"/>
            </w:tcBorders>
          </w:tcPr>
          <w:p w14:paraId="441B220B" w14:textId="77777777" w:rsidR="00F65BCA" w:rsidRDefault="00F65BCA">
            <w:pPr>
              <w:pStyle w:val="TableParagraph"/>
              <w:rPr>
                <w:rFonts w:ascii="Times New Roman"/>
                <w:sz w:val="2"/>
              </w:rPr>
            </w:pPr>
          </w:p>
        </w:tc>
      </w:tr>
      <w:tr w:rsidR="00F65BCA" w14:paraId="773D80CB" w14:textId="77777777">
        <w:trPr>
          <w:trHeight w:val="64"/>
        </w:trPr>
        <w:tc>
          <w:tcPr>
            <w:tcW w:w="526" w:type="dxa"/>
            <w:tcBorders>
              <w:top w:val="nil"/>
              <w:bottom w:val="nil"/>
            </w:tcBorders>
            <w:shd w:val="clear" w:color="auto" w:fill="FCE4D6"/>
          </w:tcPr>
          <w:p w14:paraId="78089D83" w14:textId="77777777" w:rsidR="00F65BCA" w:rsidRDefault="00F65BCA">
            <w:pPr>
              <w:pStyle w:val="TableParagraph"/>
              <w:rPr>
                <w:rFonts w:ascii="Times New Roman"/>
                <w:sz w:val="2"/>
              </w:rPr>
            </w:pPr>
          </w:p>
        </w:tc>
        <w:tc>
          <w:tcPr>
            <w:tcW w:w="732" w:type="dxa"/>
            <w:tcBorders>
              <w:top w:val="nil"/>
              <w:bottom w:val="nil"/>
            </w:tcBorders>
            <w:shd w:val="clear" w:color="auto" w:fill="FCE4D6"/>
          </w:tcPr>
          <w:p w14:paraId="7D8F9D27" w14:textId="77777777" w:rsidR="00F65BCA" w:rsidRDefault="00216117">
            <w:pPr>
              <w:pStyle w:val="TableParagraph"/>
              <w:spacing w:line="1378" w:lineRule="exact"/>
              <w:ind w:left="2"/>
              <w:jc w:val="center"/>
              <w:rPr>
                <w:sz w:val="3"/>
              </w:rPr>
            </w:pPr>
            <w:r>
              <w:rPr>
                <w:w w:val="103"/>
                <w:sz w:val="3"/>
              </w:rPr>
              <w:t>-</w:t>
            </w:r>
          </w:p>
        </w:tc>
        <w:tc>
          <w:tcPr>
            <w:tcW w:w="958" w:type="dxa"/>
            <w:gridSpan w:val="2"/>
            <w:tcBorders>
              <w:top w:val="nil"/>
              <w:bottom w:val="nil"/>
            </w:tcBorders>
            <w:shd w:val="clear" w:color="auto" w:fill="FCE4D6"/>
          </w:tcPr>
          <w:p w14:paraId="098CD709" w14:textId="77777777" w:rsidR="00F65BCA" w:rsidRDefault="00216117">
            <w:pPr>
              <w:pStyle w:val="TableParagraph"/>
              <w:spacing w:line="1378" w:lineRule="exact"/>
              <w:ind w:left="2"/>
              <w:jc w:val="center"/>
              <w:rPr>
                <w:sz w:val="3"/>
              </w:rPr>
            </w:pPr>
            <w:r>
              <w:rPr>
                <w:w w:val="103"/>
                <w:sz w:val="3"/>
              </w:rPr>
              <w:t>-</w:t>
            </w:r>
          </w:p>
        </w:tc>
        <w:tc>
          <w:tcPr>
            <w:tcW w:w="576" w:type="dxa"/>
            <w:tcBorders>
              <w:top w:val="nil"/>
              <w:bottom w:val="nil"/>
            </w:tcBorders>
            <w:shd w:val="clear" w:color="auto" w:fill="FCE4D6"/>
          </w:tcPr>
          <w:p w14:paraId="7B221D1A" w14:textId="77777777" w:rsidR="00F65BCA" w:rsidRDefault="00216117">
            <w:pPr>
              <w:pStyle w:val="TableParagraph"/>
              <w:spacing w:line="1378" w:lineRule="exact"/>
              <w:ind w:left="4"/>
              <w:jc w:val="center"/>
              <w:rPr>
                <w:sz w:val="3"/>
              </w:rPr>
            </w:pPr>
            <w:r>
              <w:rPr>
                <w:w w:val="103"/>
                <w:sz w:val="3"/>
              </w:rPr>
              <w:t>-</w:t>
            </w:r>
          </w:p>
        </w:tc>
        <w:tc>
          <w:tcPr>
            <w:tcW w:w="576" w:type="dxa"/>
            <w:tcBorders>
              <w:top w:val="nil"/>
              <w:bottom w:val="nil"/>
            </w:tcBorders>
            <w:shd w:val="clear" w:color="auto" w:fill="FCE4D6"/>
          </w:tcPr>
          <w:p w14:paraId="66C36E6C" w14:textId="77777777" w:rsidR="00F65BCA" w:rsidRDefault="00216117">
            <w:pPr>
              <w:pStyle w:val="TableParagraph"/>
              <w:spacing w:line="1378" w:lineRule="exact"/>
              <w:ind w:left="129" w:right="128"/>
              <w:jc w:val="center"/>
              <w:rPr>
                <w:sz w:val="3"/>
              </w:rPr>
            </w:pPr>
            <w:r>
              <w:rPr>
                <w:w w:val="105"/>
                <w:sz w:val="3"/>
              </w:rPr>
              <w:t>&gt;750 kg</w:t>
            </w:r>
          </w:p>
        </w:tc>
        <w:tc>
          <w:tcPr>
            <w:tcW w:w="50" w:type="dxa"/>
            <w:vMerge/>
            <w:tcBorders>
              <w:top w:val="nil"/>
              <w:bottom w:val="nil"/>
            </w:tcBorders>
          </w:tcPr>
          <w:p w14:paraId="7270085D" w14:textId="77777777" w:rsidR="00F65BCA" w:rsidRDefault="00F65BCA">
            <w:pPr>
              <w:rPr>
                <w:sz w:val="2"/>
                <w:szCs w:val="2"/>
              </w:rPr>
            </w:pPr>
          </w:p>
        </w:tc>
        <w:tc>
          <w:tcPr>
            <w:tcW w:w="288" w:type="dxa"/>
            <w:tcBorders>
              <w:top w:val="nil"/>
              <w:bottom w:val="nil"/>
            </w:tcBorders>
          </w:tcPr>
          <w:p w14:paraId="4EFDBD8A" w14:textId="77777777" w:rsidR="00F65BCA" w:rsidRDefault="00216117">
            <w:pPr>
              <w:pStyle w:val="TableParagraph"/>
              <w:spacing w:line="1378" w:lineRule="exact"/>
              <w:ind w:left="24" w:right="24"/>
              <w:jc w:val="center"/>
              <w:rPr>
                <w:sz w:val="3"/>
              </w:rPr>
            </w:pPr>
            <w:r>
              <w:rPr>
                <w:w w:val="105"/>
                <w:sz w:val="3"/>
              </w:rPr>
              <w:t>2,014000%</w:t>
            </w:r>
          </w:p>
        </w:tc>
        <w:tc>
          <w:tcPr>
            <w:tcW w:w="288" w:type="dxa"/>
            <w:tcBorders>
              <w:top w:val="nil"/>
              <w:bottom w:val="nil"/>
            </w:tcBorders>
          </w:tcPr>
          <w:p w14:paraId="775D2461" w14:textId="77777777" w:rsidR="00F65BCA" w:rsidRDefault="00216117">
            <w:pPr>
              <w:pStyle w:val="TableParagraph"/>
              <w:spacing w:line="1378" w:lineRule="exact"/>
              <w:ind w:left="24" w:right="24"/>
              <w:jc w:val="center"/>
              <w:rPr>
                <w:sz w:val="3"/>
              </w:rPr>
            </w:pPr>
            <w:r>
              <w:rPr>
                <w:w w:val="105"/>
                <w:sz w:val="3"/>
              </w:rPr>
              <w:t>1,802000%</w:t>
            </w:r>
          </w:p>
        </w:tc>
        <w:tc>
          <w:tcPr>
            <w:tcW w:w="288" w:type="dxa"/>
            <w:tcBorders>
              <w:top w:val="nil"/>
              <w:bottom w:val="nil"/>
            </w:tcBorders>
          </w:tcPr>
          <w:p w14:paraId="4B49A7DB" w14:textId="77777777" w:rsidR="00F65BCA" w:rsidRDefault="00216117">
            <w:pPr>
              <w:pStyle w:val="TableParagraph"/>
              <w:spacing w:line="1378" w:lineRule="exact"/>
              <w:ind w:left="64"/>
              <w:rPr>
                <w:sz w:val="3"/>
              </w:rPr>
            </w:pPr>
            <w:r>
              <w:rPr>
                <w:w w:val="105"/>
                <w:sz w:val="3"/>
              </w:rPr>
              <w:t>1,802000%</w:t>
            </w:r>
          </w:p>
        </w:tc>
        <w:tc>
          <w:tcPr>
            <w:tcW w:w="288" w:type="dxa"/>
            <w:tcBorders>
              <w:top w:val="nil"/>
              <w:bottom w:val="nil"/>
            </w:tcBorders>
          </w:tcPr>
          <w:p w14:paraId="63B957E5" w14:textId="77777777" w:rsidR="00F65BCA" w:rsidRDefault="00216117">
            <w:pPr>
              <w:pStyle w:val="TableParagraph"/>
              <w:spacing w:line="1378" w:lineRule="exact"/>
              <w:ind w:left="24" w:right="24"/>
              <w:jc w:val="center"/>
              <w:rPr>
                <w:sz w:val="3"/>
              </w:rPr>
            </w:pPr>
            <w:r>
              <w:rPr>
                <w:w w:val="105"/>
                <w:sz w:val="3"/>
              </w:rPr>
              <w:t>1,643000%</w:t>
            </w:r>
          </w:p>
        </w:tc>
        <w:tc>
          <w:tcPr>
            <w:tcW w:w="288" w:type="dxa"/>
            <w:tcBorders>
              <w:top w:val="nil"/>
              <w:bottom w:val="nil"/>
            </w:tcBorders>
          </w:tcPr>
          <w:p w14:paraId="586DD624" w14:textId="77777777" w:rsidR="00F65BCA" w:rsidRDefault="00216117">
            <w:pPr>
              <w:pStyle w:val="TableParagraph"/>
              <w:spacing w:line="1378" w:lineRule="exact"/>
              <w:ind w:left="64"/>
              <w:rPr>
                <w:sz w:val="3"/>
              </w:rPr>
            </w:pPr>
            <w:r>
              <w:rPr>
                <w:w w:val="105"/>
                <w:sz w:val="3"/>
              </w:rPr>
              <w:t>1,643000%</w:t>
            </w:r>
          </w:p>
        </w:tc>
        <w:tc>
          <w:tcPr>
            <w:tcW w:w="288" w:type="dxa"/>
            <w:tcBorders>
              <w:top w:val="nil"/>
              <w:bottom w:val="nil"/>
            </w:tcBorders>
          </w:tcPr>
          <w:p w14:paraId="08BCF6C7" w14:textId="77777777" w:rsidR="00F65BCA" w:rsidRDefault="00216117">
            <w:pPr>
              <w:pStyle w:val="TableParagraph"/>
              <w:spacing w:line="1378" w:lineRule="exact"/>
              <w:ind w:left="24" w:right="24"/>
              <w:jc w:val="center"/>
              <w:rPr>
                <w:sz w:val="3"/>
              </w:rPr>
            </w:pPr>
            <w:r>
              <w:rPr>
                <w:w w:val="105"/>
                <w:sz w:val="3"/>
              </w:rPr>
              <w:t>1,484000%</w:t>
            </w:r>
          </w:p>
        </w:tc>
        <w:tc>
          <w:tcPr>
            <w:tcW w:w="288" w:type="dxa"/>
            <w:tcBorders>
              <w:top w:val="nil"/>
              <w:bottom w:val="nil"/>
            </w:tcBorders>
          </w:tcPr>
          <w:p w14:paraId="5453DFA6" w14:textId="77777777" w:rsidR="00F65BCA" w:rsidRDefault="00216117">
            <w:pPr>
              <w:pStyle w:val="TableParagraph"/>
              <w:spacing w:line="1378" w:lineRule="exact"/>
              <w:ind w:left="24" w:right="24"/>
              <w:jc w:val="center"/>
              <w:rPr>
                <w:sz w:val="3"/>
              </w:rPr>
            </w:pPr>
            <w:r>
              <w:rPr>
                <w:w w:val="105"/>
                <w:sz w:val="3"/>
              </w:rPr>
              <w:t>1,484000%</w:t>
            </w:r>
          </w:p>
        </w:tc>
        <w:tc>
          <w:tcPr>
            <w:tcW w:w="288" w:type="dxa"/>
            <w:tcBorders>
              <w:top w:val="nil"/>
              <w:bottom w:val="nil"/>
            </w:tcBorders>
          </w:tcPr>
          <w:p w14:paraId="30B7B55A" w14:textId="77777777" w:rsidR="00F65BCA" w:rsidRDefault="00216117">
            <w:pPr>
              <w:pStyle w:val="TableParagraph"/>
              <w:spacing w:line="1378" w:lineRule="exact"/>
              <w:ind w:left="64"/>
              <w:rPr>
                <w:sz w:val="3"/>
              </w:rPr>
            </w:pPr>
            <w:r>
              <w:rPr>
                <w:w w:val="105"/>
                <w:sz w:val="3"/>
              </w:rPr>
              <w:t>1,325000%</w:t>
            </w:r>
          </w:p>
        </w:tc>
        <w:tc>
          <w:tcPr>
            <w:tcW w:w="288" w:type="dxa"/>
            <w:tcBorders>
              <w:top w:val="nil"/>
              <w:bottom w:val="nil"/>
            </w:tcBorders>
          </w:tcPr>
          <w:p w14:paraId="12B51391" w14:textId="77777777" w:rsidR="00F65BCA" w:rsidRDefault="00216117">
            <w:pPr>
              <w:pStyle w:val="TableParagraph"/>
              <w:spacing w:line="1378" w:lineRule="exact"/>
              <w:ind w:left="24" w:right="24"/>
              <w:jc w:val="center"/>
              <w:rPr>
                <w:sz w:val="3"/>
              </w:rPr>
            </w:pPr>
            <w:r>
              <w:rPr>
                <w:w w:val="105"/>
                <w:sz w:val="3"/>
              </w:rPr>
              <w:t>1,325000%</w:t>
            </w:r>
          </w:p>
        </w:tc>
        <w:tc>
          <w:tcPr>
            <w:tcW w:w="288" w:type="dxa"/>
            <w:tcBorders>
              <w:top w:val="nil"/>
              <w:bottom w:val="nil"/>
            </w:tcBorders>
          </w:tcPr>
          <w:p w14:paraId="47BC5B4C" w14:textId="77777777" w:rsidR="00F65BCA" w:rsidRDefault="00216117">
            <w:pPr>
              <w:pStyle w:val="TableParagraph"/>
              <w:spacing w:line="1378" w:lineRule="exact"/>
              <w:ind w:left="24" w:right="24"/>
              <w:jc w:val="center"/>
              <w:rPr>
                <w:sz w:val="3"/>
              </w:rPr>
            </w:pPr>
            <w:r>
              <w:rPr>
                <w:w w:val="105"/>
                <w:sz w:val="3"/>
              </w:rPr>
              <w:t>1,219000%</w:t>
            </w:r>
          </w:p>
        </w:tc>
        <w:tc>
          <w:tcPr>
            <w:tcW w:w="288" w:type="dxa"/>
            <w:tcBorders>
              <w:top w:val="nil"/>
              <w:bottom w:val="nil"/>
            </w:tcBorders>
          </w:tcPr>
          <w:p w14:paraId="2007403D" w14:textId="77777777" w:rsidR="00F65BCA" w:rsidRDefault="00216117">
            <w:pPr>
              <w:pStyle w:val="TableParagraph"/>
              <w:spacing w:line="1378" w:lineRule="exact"/>
              <w:ind w:left="24" w:right="24"/>
              <w:jc w:val="center"/>
              <w:rPr>
                <w:sz w:val="3"/>
              </w:rPr>
            </w:pPr>
            <w:r>
              <w:rPr>
                <w:w w:val="105"/>
                <w:sz w:val="3"/>
              </w:rPr>
              <w:t>1,166000%</w:t>
            </w:r>
          </w:p>
        </w:tc>
        <w:tc>
          <w:tcPr>
            <w:tcW w:w="288" w:type="dxa"/>
            <w:tcBorders>
              <w:top w:val="nil"/>
              <w:bottom w:val="nil"/>
            </w:tcBorders>
          </w:tcPr>
          <w:p w14:paraId="51381E87" w14:textId="77777777" w:rsidR="00F65BCA" w:rsidRDefault="00216117">
            <w:pPr>
              <w:pStyle w:val="TableParagraph"/>
              <w:spacing w:line="1378" w:lineRule="exact"/>
              <w:ind w:left="24" w:right="24"/>
              <w:jc w:val="center"/>
              <w:rPr>
                <w:sz w:val="3"/>
              </w:rPr>
            </w:pPr>
            <w:r>
              <w:rPr>
                <w:w w:val="105"/>
                <w:sz w:val="3"/>
              </w:rPr>
              <w:t>1,060000%</w:t>
            </w:r>
          </w:p>
        </w:tc>
        <w:tc>
          <w:tcPr>
            <w:tcW w:w="288" w:type="dxa"/>
            <w:tcBorders>
              <w:top w:val="nil"/>
              <w:bottom w:val="nil"/>
            </w:tcBorders>
          </w:tcPr>
          <w:p w14:paraId="70F80DFC" w14:textId="77777777" w:rsidR="00F65BCA" w:rsidRDefault="00216117">
            <w:pPr>
              <w:pStyle w:val="TableParagraph"/>
              <w:spacing w:line="1378" w:lineRule="exact"/>
              <w:ind w:left="64"/>
              <w:rPr>
                <w:sz w:val="3"/>
              </w:rPr>
            </w:pPr>
            <w:r>
              <w:rPr>
                <w:w w:val="105"/>
                <w:sz w:val="3"/>
              </w:rPr>
              <w:t>1,060000%</w:t>
            </w:r>
          </w:p>
        </w:tc>
      </w:tr>
      <w:tr w:rsidR="00F65BCA" w14:paraId="4D267C19" w14:textId="77777777">
        <w:trPr>
          <w:trHeight w:val="10"/>
        </w:trPr>
        <w:tc>
          <w:tcPr>
            <w:tcW w:w="526" w:type="dxa"/>
            <w:tcBorders>
              <w:top w:val="nil"/>
              <w:bottom w:val="single" w:sz="48" w:space="0" w:color="F8CBAD"/>
            </w:tcBorders>
            <w:shd w:val="clear" w:color="auto" w:fill="FCE4D6"/>
          </w:tcPr>
          <w:p w14:paraId="0D82DC84" w14:textId="77777777" w:rsidR="00F65BCA" w:rsidRDefault="00216117">
            <w:pPr>
              <w:pStyle w:val="TableParagraph"/>
              <w:spacing w:line="2768" w:lineRule="exact"/>
              <w:ind w:right="93"/>
              <w:jc w:val="right"/>
              <w:rPr>
                <w:b/>
                <w:sz w:val="3"/>
              </w:rPr>
            </w:pPr>
            <w:r>
              <w:rPr>
                <w:b/>
                <w:w w:val="105"/>
                <w:sz w:val="3"/>
              </w:rPr>
              <w:lastRenderedPageBreak/>
              <w:t>Autobusy a trolejbusy</w:t>
            </w:r>
          </w:p>
        </w:tc>
        <w:tc>
          <w:tcPr>
            <w:tcW w:w="732" w:type="dxa"/>
            <w:tcBorders>
              <w:top w:val="nil"/>
              <w:bottom w:val="single" w:sz="48" w:space="0" w:color="F8CBAD"/>
            </w:tcBorders>
            <w:shd w:val="clear" w:color="auto" w:fill="FCE4D6"/>
          </w:tcPr>
          <w:p w14:paraId="705275AA" w14:textId="77777777" w:rsidR="00F65BCA" w:rsidRDefault="00216117">
            <w:pPr>
              <w:pStyle w:val="TableParagraph"/>
              <w:spacing w:line="2768" w:lineRule="exact"/>
              <w:ind w:left="18" w:right="18"/>
              <w:jc w:val="center"/>
              <w:rPr>
                <w:b/>
                <w:sz w:val="3"/>
              </w:rPr>
            </w:pPr>
            <w:r>
              <w:rPr>
                <w:b/>
                <w:w w:val="105"/>
                <w:sz w:val="3"/>
              </w:rPr>
              <w:t>Tovární značka</w:t>
            </w:r>
          </w:p>
        </w:tc>
        <w:tc>
          <w:tcPr>
            <w:tcW w:w="958" w:type="dxa"/>
            <w:gridSpan w:val="2"/>
            <w:tcBorders>
              <w:top w:val="nil"/>
              <w:bottom w:val="single" w:sz="48" w:space="0" w:color="F8CBAD"/>
            </w:tcBorders>
            <w:shd w:val="clear" w:color="auto" w:fill="FCE4D6"/>
          </w:tcPr>
          <w:p w14:paraId="2678E010" w14:textId="77777777" w:rsidR="00F65BCA" w:rsidRDefault="00216117">
            <w:pPr>
              <w:pStyle w:val="TableParagraph"/>
              <w:spacing w:line="2768" w:lineRule="exact"/>
              <w:ind w:left="370" w:right="371"/>
              <w:jc w:val="center"/>
              <w:rPr>
                <w:b/>
                <w:sz w:val="3"/>
              </w:rPr>
            </w:pPr>
            <w:r>
              <w:rPr>
                <w:b/>
                <w:w w:val="105"/>
                <w:sz w:val="3"/>
              </w:rPr>
              <w:t>Typ vozidla</w:t>
            </w:r>
          </w:p>
        </w:tc>
        <w:tc>
          <w:tcPr>
            <w:tcW w:w="576" w:type="dxa"/>
            <w:tcBorders>
              <w:top w:val="nil"/>
              <w:bottom w:val="single" w:sz="48" w:space="0" w:color="F8CBAD"/>
            </w:tcBorders>
            <w:shd w:val="clear" w:color="auto" w:fill="FCE4D6"/>
          </w:tcPr>
          <w:p w14:paraId="06388F79" w14:textId="77777777" w:rsidR="00F65BCA" w:rsidRDefault="00216117">
            <w:pPr>
              <w:pStyle w:val="TableParagraph"/>
              <w:spacing w:line="2768" w:lineRule="exact"/>
              <w:ind w:left="128" w:right="128"/>
              <w:jc w:val="center"/>
              <w:rPr>
                <w:b/>
                <w:sz w:val="3"/>
              </w:rPr>
            </w:pPr>
            <w:r>
              <w:rPr>
                <w:b/>
                <w:w w:val="105"/>
                <w:sz w:val="3"/>
              </w:rPr>
              <w:t>Objem motoru</w:t>
            </w:r>
          </w:p>
        </w:tc>
        <w:tc>
          <w:tcPr>
            <w:tcW w:w="576" w:type="dxa"/>
            <w:tcBorders>
              <w:top w:val="nil"/>
              <w:bottom w:val="single" w:sz="48" w:space="0" w:color="F8CBAD"/>
            </w:tcBorders>
            <w:shd w:val="clear" w:color="auto" w:fill="FCE4D6"/>
          </w:tcPr>
          <w:p w14:paraId="42E4B746" w14:textId="77777777" w:rsidR="00F65BCA" w:rsidRDefault="00216117">
            <w:pPr>
              <w:pStyle w:val="TableParagraph"/>
              <w:spacing w:line="2768" w:lineRule="exact"/>
              <w:ind w:left="150"/>
              <w:rPr>
                <w:b/>
                <w:sz w:val="3"/>
              </w:rPr>
            </w:pPr>
            <w:r>
              <w:rPr>
                <w:b/>
                <w:w w:val="105"/>
                <w:sz w:val="3"/>
              </w:rPr>
              <w:t>Celková hmotnost</w:t>
            </w:r>
          </w:p>
        </w:tc>
        <w:tc>
          <w:tcPr>
            <w:tcW w:w="50" w:type="dxa"/>
            <w:vMerge/>
            <w:tcBorders>
              <w:top w:val="nil"/>
              <w:bottom w:val="nil"/>
            </w:tcBorders>
          </w:tcPr>
          <w:p w14:paraId="5B57D99C" w14:textId="77777777" w:rsidR="00F65BCA" w:rsidRDefault="00F65BCA">
            <w:pPr>
              <w:rPr>
                <w:sz w:val="2"/>
                <w:szCs w:val="2"/>
              </w:rPr>
            </w:pPr>
          </w:p>
        </w:tc>
        <w:tc>
          <w:tcPr>
            <w:tcW w:w="288" w:type="dxa"/>
            <w:tcBorders>
              <w:top w:val="nil"/>
              <w:bottom w:val="single" w:sz="48" w:space="0" w:color="F8CBAD"/>
            </w:tcBorders>
          </w:tcPr>
          <w:p w14:paraId="54442610" w14:textId="77777777" w:rsidR="00F65BCA" w:rsidRDefault="00216117">
            <w:pPr>
              <w:pStyle w:val="TableParagraph"/>
              <w:spacing w:line="2768" w:lineRule="exact"/>
              <w:ind w:left="24" w:right="22"/>
              <w:jc w:val="center"/>
              <w:rPr>
                <w:b/>
                <w:sz w:val="3"/>
              </w:rPr>
            </w:pPr>
            <w:r>
              <w:rPr>
                <w:b/>
                <w:w w:val="105"/>
                <w:sz w:val="3"/>
              </w:rPr>
              <w:t>0-99</w:t>
            </w:r>
          </w:p>
        </w:tc>
        <w:tc>
          <w:tcPr>
            <w:tcW w:w="288" w:type="dxa"/>
            <w:tcBorders>
              <w:top w:val="nil"/>
              <w:bottom w:val="single" w:sz="48" w:space="0" w:color="F8CBAD"/>
            </w:tcBorders>
          </w:tcPr>
          <w:p w14:paraId="55751F55" w14:textId="77777777" w:rsidR="00F65BCA" w:rsidRDefault="00216117">
            <w:pPr>
              <w:pStyle w:val="TableParagraph"/>
              <w:spacing w:line="2768" w:lineRule="exact"/>
              <w:ind w:left="24" w:right="24"/>
              <w:jc w:val="center"/>
              <w:rPr>
                <w:b/>
                <w:sz w:val="3"/>
              </w:rPr>
            </w:pPr>
            <w:r>
              <w:rPr>
                <w:b/>
                <w:w w:val="105"/>
                <w:sz w:val="3"/>
              </w:rPr>
              <w:t>100-199</w:t>
            </w:r>
          </w:p>
        </w:tc>
        <w:tc>
          <w:tcPr>
            <w:tcW w:w="288" w:type="dxa"/>
            <w:tcBorders>
              <w:top w:val="nil"/>
              <w:bottom w:val="single" w:sz="48" w:space="0" w:color="F8CBAD"/>
            </w:tcBorders>
          </w:tcPr>
          <w:p w14:paraId="093FF2D3" w14:textId="77777777" w:rsidR="00F65BCA" w:rsidRDefault="00216117">
            <w:pPr>
              <w:pStyle w:val="TableParagraph"/>
              <w:spacing w:line="2768" w:lineRule="exact"/>
              <w:ind w:left="85"/>
              <w:rPr>
                <w:b/>
                <w:sz w:val="3"/>
              </w:rPr>
            </w:pPr>
            <w:r>
              <w:rPr>
                <w:b/>
                <w:w w:val="105"/>
                <w:sz w:val="3"/>
              </w:rPr>
              <w:t>200-299</w:t>
            </w:r>
          </w:p>
        </w:tc>
        <w:tc>
          <w:tcPr>
            <w:tcW w:w="288" w:type="dxa"/>
            <w:tcBorders>
              <w:top w:val="nil"/>
              <w:bottom w:val="single" w:sz="48" w:space="0" w:color="F8CBAD"/>
            </w:tcBorders>
          </w:tcPr>
          <w:p w14:paraId="75532E30" w14:textId="77777777" w:rsidR="00F65BCA" w:rsidRDefault="00216117">
            <w:pPr>
              <w:pStyle w:val="TableParagraph"/>
              <w:spacing w:line="2768" w:lineRule="exact"/>
              <w:ind w:left="24" w:right="24"/>
              <w:jc w:val="center"/>
              <w:rPr>
                <w:b/>
                <w:sz w:val="3"/>
              </w:rPr>
            </w:pPr>
            <w:r>
              <w:rPr>
                <w:b/>
                <w:w w:val="105"/>
                <w:sz w:val="3"/>
              </w:rPr>
              <w:t>300-399</w:t>
            </w:r>
          </w:p>
        </w:tc>
        <w:tc>
          <w:tcPr>
            <w:tcW w:w="288" w:type="dxa"/>
            <w:tcBorders>
              <w:top w:val="nil"/>
              <w:bottom w:val="single" w:sz="48" w:space="0" w:color="F8CBAD"/>
            </w:tcBorders>
          </w:tcPr>
          <w:p w14:paraId="131FE7B8" w14:textId="77777777" w:rsidR="00F65BCA" w:rsidRDefault="00216117">
            <w:pPr>
              <w:pStyle w:val="TableParagraph"/>
              <w:spacing w:line="2768" w:lineRule="exact"/>
              <w:ind w:left="85"/>
              <w:rPr>
                <w:b/>
                <w:sz w:val="3"/>
              </w:rPr>
            </w:pPr>
            <w:r>
              <w:rPr>
                <w:b/>
                <w:w w:val="105"/>
                <w:sz w:val="3"/>
              </w:rPr>
              <w:t>400-499</w:t>
            </w:r>
          </w:p>
        </w:tc>
        <w:tc>
          <w:tcPr>
            <w:tcW w:w="288" w:type="dxa"/>
            <w:tcBorders>
              <w:top w:val="nil"/>
              <w:bottom w:val="single" w:sz="48" w:space="0" w:color="F8CBAD"/>
            </w:tcBorders>
          </w:tcPr>
          <w:p w14:paraId="4A09301F" w14:textId="77777777" w:rsidR="00F65BCA" w:rsidRDefault="00216117">
            <w:pPr>
              <w:pStyle w:val="TableParagraph"/>
              <w:spacing w:line="2768" w:lineRule="exact"/>
              <w:ind w:left="24" w:right="24"/>
              <w:jc w:val="center"/>
              <w:rPr>
                <w:b/>
                <w:sz w:val="3"/>
              </w:rPr>
            </w:pPr>
            <w:r>
              <w:rPr>
                <w:b/>
                <w:w w:val="105"/>
                <w:sz w:val="3"/>
              </w:rPr>
              <w:t>500-599</w:t>
            </w:r>
          </w:p>
        </w:tc>
        <w:tc>
          <w:tcPr>
            <w:tcW w:w="288" w:type="dxa"/>
            <w:tcBorders>
              <w:top w:val="nil"/>
              <w:bottom w:val="single" w:sz="48" w:space="0" w:color="F8CBAD"/>
            </w:tcBorders>
          </w:tcPr>
          <w:p w14:paraId="5D87EA87" w14:textId="77777777" w:rsidR="00F65BCA" w:rsidRDefault="00216117">
            <w:pPr>
              <w:pStyle w:val="TableParagraph"/>
              <w:spacing w:line="2768" w:lineRule="exact"/>
              <w:ind w:left="24" w:right="24"/>
              <w:jc w:val="center"/>
              <w:rPr>
                <w:b/>
                <w:sz w:val="3"/>
              </w:rPr>
            </w:pPr>
            <w:r>
              <w:rPr>
                <w:b/>
                <w:w w:val="105"/>
                <w:sz w:val="3"/>
              </w:rPr>
              <w:t>600-699</w:t>
            </w:r>
          </w:p>
        </w:tc>
        <w:tc>
          <w:tcPr>
            <w:tcW w:w="288" w:type="dxa"/>
            <w:tcBorders>
              <w:top w:val="nil"/>
              <w:bottom w:val="single" w:sz="48" w:space="0" w:color="F8CBAD"/>
            </w:tcBorders>
          </w:tcPr>
          <w:p w14:paraId="423D3202" w14:textId="77777777" w:rsidR="00F65BCA" w:rsidRDefault="00216117">
            <w:pPr>
              <w:pStyle w:val="TableParagraph"/>
              <w:spacing w:line="2768" w:lineRule="exact"/>
              <w:ind w:left="85"/>
              <w:rPr>
                <w:b/>
                <w:sz w:val="3"/>
              </w:rPr>
            </w:pPr>
            <w:r>
              <w:rPr>
                <w:b/>
                <w:w w:val="105"/>
                <w:sz w:val="3"/>
              </w:rPr>
              <w:t>700-799</w:t>
            </w:r>
          </w:p>
        </w:tc>
        <w:tc>
          <w:tcPr>
            <w:tcW w:w="288" w:type="dxa"/>
            <w:tcBorders>
              <w:top w:val="nil"/>
              <w:bottom w:val="single" w:sz="48" w:space="0" w:color="F8CBAD"/>
            </w:tcBorders>
          </w:tcPr>
          <w:p w14:paraId="40B43EF5" w14:textId="77777777" w:rsidR="00F65BCA" w:rsidRDefault="00216117">
            <w:pPr>
              <w:pStyle w:val="TableParagraph"/>
              <w:spacing w:line="2768" w:lineRule="exact"/>
              <w:ind w:left="24" w:right="24"/>
              <w:jc w:val="center"/>
              <w:rPr>
                <w:b/>
                <w:sz w:val="3"/>
              </w:rPr>
            </w:pPr>
            <w:r>
              <w:rPr>
                <w:b/>
                <w:w w:val="105"/>
                <w:sz w:val="3"/>
              </w:rPr>
              <w:t>800-999</w:t>
            </w:r>
          </w:p>
        </w:tc>
        <w:tc>
          <w:tcPr>
            <w:tcW w:w="288" w:type="dxa"/>
            <w:tcBorders>
              <w:top w:val="nil"/>
              <w:bottom w:val="single" w:sz="48" w:space="0" w:color="F8CBAD"/>
            </w:tcBorders>
          </w:tcPr>
          <w:p w14:paraId="5DE01ABD" w14:textId="77777777" w:rsidR="00F65BCA" w:rsidRDefault="00216117">
            <w:pPr>
              <w:pStyle w:val="TableParagraph"/>
              <w:spacing w:line="2768" w:lineRule="exact"/>
              <w:ind w:left="24" w:right="24"/>
              <w:jc w:val="center"/>
              <w:rPr>
                <w:b/>
                <w:sz w:val="3"/>
              </w:rPr>
            </w:pPr>
            <w:r>
              <w:rPr>
                <w:b/>
                <w:w w:val="105"/>
                <w:sz w:val="3"/>
              </w:rPr>
              <w:t>1000-1499</w:t>
            </w:r>
          </w:p>
        </w:tc>
        <w:tc>
          <w:tcPr>
            <w:tcW w:w="288" w:type="dxa"/>
            <w:tcBorders>
              <w:top w:val="nil"/>
              <w:bottom w:val="single" w:sz="48" w:space="0" w:color="F8CBAD"/>
            </w:tcBorders>
          </w:tcPr>
          <w:p w14:paraId="796EA76A" w14:textId="77777777" w:rsidR="00F65BCA" w:rsidRDefault="00216117">
            <w:pPr>
              <w:pStyle w:val="TableParagraph"/>
              <w:spacing w:line="2768" w:lineRule="exact"/>
              <w:ind w:left="24" w:right="24"/>
              <w:jc w:val="center"/>
              <w:rPr>
                <w:b/>
                <w:sz w:val="3"/>
              </w:rPr>
            </w:pPr>
            <w:r>
              <w:rPr>
                <w:b/>
                <w:w w:val="105"/>
                <w:sz w:val="3"/>
              </w:rPr>
              <w:t>1500-1999</w:t>
            </w:r>
          </w:p>
        </w:tc>
        <w:tc>
          <w:tcPr>
            <w:tcW w:w="288" w:type="dxa"/>
            <w:tcBorders>
              <w:top w:val="nil"/>
              <w:bottom w:val="single" w:sz="48" w:space="0" w:color="F8CBAD"/>
            </w:tcBorders>
          </w:tcPr>
          <w:p w14:paraId="251976C9" w14:textId="77777777" w:rsidR="00F65BCA" w:rsidRDefault="00216117">
            <w:pPr>
              <w:pStyle w:val="TableParagraph"/>
              <w:spacing w:line="2768" w:lineRule="exact"/>
              <w:ind w:left="24" w:right="24"/>
              <w:jc w:val="center"/>
              <w:rPr>
                <w:b/>
                <w:sz w:val="3"/>
              </w:rPr>
            </w:pPr>
            <w:r>
              <w:rPr>
                <w:b/>
                <w:w w:val="105"/>
                <w:sz w:val="3"/>
              </w:rPr>
              <w:t>2000-2499</w:t>
            </w:r>
          </w:p>
        </w:tc>
        <w:tc>
          <w:tcPr>
            <w:tcW w:w="288" w:type="dxa"/>
            <w:tcBorders>
              <w:top w:val="nil"/>
              <w:bottom w:val="single" w:sz="48" w:space="0" w:color="F8CBAD"/>
            </w:tcBorders>
          </w:tcPr>
          <w:p w14:paraId="5CEEB870" w14:textId="77777777" w:rsidR="00F65BCA" w:rsidRDefault="00216117">
            <w:pPr>
              <w:pStyle w:val="TableParagraph"/>
              <w:spacing w:line="2768" w:lineRule="exact"/>
              <w:ind w:left="88"/>
              <w:rPr>
                <w:b/>
                <w:sz w:val="3"/>
              </w:rPr>
            </w:pPr>
            <w:r>
              <w:rPr>
                <w:b/>
                <w:w w:val="105"/>
                <w:sz w:val="3"/>
              </w:rPr>
              <w:t>&gt;=2500</w:t>
            </w:r>
          </w:p>
        </w:tc>
      </w:tr>
      <w:tr w:rsidR="00F65BCA" w14:paraId="0AD27B58" w14:textId="77777777">
        <w:trPr>
          <w:trHeight w:val="67"/>
        </w:trPr>
        <w:tc>
          <w:tcPr>
            <w:tcW w:w="526" w:type="dxa"/>
            <w:tcBorders>
              <w:top w:val="single" w:sz="48" w:space="0" w:color="F8CBAD"/>
            </w:tcBorders>
            <w:shd w:val="clear" w:color="auto" w:fill="FCE4D6"/>
          </w:tcPr>
          <w:p w14:paraId="5873BBFF" w14:textId="77777777" w:rsidR="00F65BCA" w:rsidRDefault="00216117">
            <w:pPr>
              <w:pStyle w:val="TableParagraph"/>
              <w:spacing w:line="5472" w:lineRule="exact"/>
              <w:ind w:left="178" w:right="178"/>
              <w:jc w:val="center"/>
              <w:rPr>
                <w:sz w:val="3"/>
              </w:rPr>
            </w:pPr>
            <w:r>
              <w:rPr>
                <w:w w:val="105"/>
                <w:sz w:val="3"/>
              </w:rPr>
              <w:t>autobus</w:t>
            </w:r>
          </w:p>
        </w:tc>
        <w:tc>
          <w:tcPr>
            <w:tcW w:w="732" w:type="dxa"/>
            <w:tcBorders>
              <w:top w:val="single" w:sz="48" w:space="0" w:color="F8CBAD"/>
            </w:tcBorders>
            <w:shd w:val="clear" w:color="auto" w:fill="FCE4D6"/>
          </w:tcPr>
          <w:p w14:paraId="6B001B92" w14:textId="77777777" w:rsidR="00F65BCA" w:rsidRDefault="00216117">
            <w:pPr>
              <w:pStyle w:val="TableParagraph"/>
              <w:spacing w:line="5472" w:lineRule="exact"/>
              <w:ind w:left="2"/>
              <w:jc w:val="center"/>
              <w:rPr>
                <w:sz w:val="3"/>
              </w:rPr>
            </w:pPr>
            <w:r>
              <w:rPr>
                <w:w w:val="103"/>
                <w:sz w:val="3"/>
              </w:rPr>
              <w:t>-</w:t>
            </w:r>
          </w:p>
        </w:tc>
        <w:tc>
          <w:tcPr>
            <w:tcW w:w="958" w:type="dxa"/>
            <w:gridSpan w:val="2"/>
            <w:tcBorders>
              <w:top w:val="single" w:sz="48" w:space="0" w:color="F8CBAD"/>
            </w:tcBorders>
            <w:shd w:val="clear" w:color="auto" w:fill="FCE4D6"/>
          </w:tcPr>
          <w:p w14:paraId="7E2EAC7E" w14:textId="77777777" w:rsidR="00F65BCA" w:rsidRDefault="00216117">
            <w:pPr>
              <w:pStyle w:val="TableParagraph"/>
              <w:spacing w:line="5472" w:lineRule="exact"/>
              <w:ind w:left="1"/>
              <w:jc w:val="center"/>
              <w:rPr>
                <w:sz w:val="3"/>
              </w:rPr>
            </w:pPr>
            <w:r>
              <w:rPr>
                <w:w w:val="103"/>
                <w:sz w:val="3"/>
              </w:rPr>
              <w:t>-</w:t>
            </w:r>
          </w:p>
        </w:tc>
        <w:tc>
          <w:tcPr>
            <w:tcW w:w="576" w:type="dxa"/>
            <w:tcBorders>
              <w:top w:val="single" w:sz="48" w:space="0" w:color="F8CBAD"/>
            </w:tcBorders>
            <w:shd w:val="clear" w:color="auto" w:fill="FCE4D6"/>
          </w:tcPr>
          <w:p w14:paraId="5F9C52BC" w14:textId="77777777" w:rsidR="00F65BCA" w:rsidRDefault="00216117">
            <w:pPr>
              <w:pStyle w:val="TableParagraph"/>
              <w:spacing w:line="5472" w:lineRule="exact"/>
              <w:ind w:left="3"/>
              <w:jc w:val="center"/>
              <w:rPr>
                <w:sz w:val="3"/>
              </w:rPr>
            </w:pPr>
            <w:r>
              <w:rPr>
                <w:w w:val="103"/>
                <w:sz w:val="3"/>
              </w:rPr>
              <w:t>-</w:t>
            </w:r>
          </w:p>
        </w:tc>
        <w:tc>
          <w:tcPr>
            <w:tcW w:w="576" w:type="dxa"/>
            <w:tcBorders>
              <w:top w:val="single" w:sz="48" w:space="0" w:color="F8CBAD"/>
            </w:tcBorders>
            <w:shd w:val="clear" w:color="auto" w:fill="FCE4D6"/>
          </w:tcPr>
          <w:p w14:paraId="0B1EE4F8" w14:textId="77777777" w:rsidR="00F65BCA" w:rsidRDefault="00216117">
            <w:pPr>
              <w:pStyle w:val="TableParagraph"/>
              <w:spacing w:line="5472" w:lineRule="exact"/>
              <w:ind w:left="3"/>
              <w:jc w:val="center"/>
              <w:rPr>
                <w:sz w:val="3"/>
              </w:rPr>
            </w:pPr>
            <w:r>
              <w:rPr>
                <w:w w:val="103"/>
                <w:sz w:val="3"/>
              </w:rPr>
              <w:t>-</w:t>
            </w:r>
          </w:p>
        </w:tc>
        <w:tc>
          <w:tcPr>
            <w:tcW w:w="50" w:type="dxa"/>
            <w:vMerge w:val="restart"/>
            <w:tcBorders>
              <w:top w:val="nil"/>
              <w:bottom w:val="nil"/>
            </w:tcBorders>
          </w:tcPr>
          <w:p w14:paraId="3B42BC6F" w14:textId="77777777" w:rsidR="00F65BCA" w:rsidRDefault="00F65BCA">
            <w:pPr>
              <w:pStyle w:val="TableParagraph"/>
              <w:rPr>
                <w:rFonts w:ascii="Times New Roman"/>
                <w:sz w:val="2"/>
              </w:rPr>
            </w:pPr>
          </w:p>
        </w:tc>
        <w:tc>
          <w:tcPr>
            <w:tcW w:w="288" w:type="dxa"/>
            <w:tcBorders>
              <w:top w:val="single" w:sz="48" w:space="0" w:color="F8CBAD"/>
            </w:tcBorders>
          </w:tcPr>
          <w:p w14:paraId="0A43CCF6" w14:textId="77777777" w:rsidR="00F65BCA" w:rsidRDefault="00216117">
            <w:pPr>
              <w:pStyle w:val="TableParagraph"/>
              <w:spacing w:line="5472" w:lineRule="exact"/>
              <w:ind w:left="24" w:right="22"/>
              <w:jc w:val="center"/>
              <w:rPr>
                <w:sz w:val="3"/>
              </w:rPr>
            </w:pPr>
            <w:r>
              <w:rPr>
                <w:w w:val="105"/>
                <w:sz w:val="3"/>
              </w:rPr>
              <w:t>4,0280000%</w:t>
            </w:r>
          </w:p>
        </w:tc>
        <w:tc>
          <w:tcPr>
            <w:tcW w:w="288" w:type="dxa"/>
            <w:tcBorders>
              <w:top w:val="single" w:sz="48" w:space="0" w:color="F8CBAD"/>
            </w:tcBorders>
          </w:tcPr>
          <w:p w14:paraId="661ABCA7" w14:textId="77777777" w:rsidR="00F65BCA" w:rsidRDefault="00216117">
            <w:pPr>
              <w:pStyle w:val="TableParagraph"/>
              <w:spacing w:line="5472" w:lineRule="exact"/>
              <w:ind w:left="24" w:right="21"/>
              <w:jc w:val="center"/>
              <w:rPr>
                <w:sz w:val="3"/>
              </w:rPr>
            </w:pPr>
            <w:r>
              <w:rPr>
                <w:w w:val="105"/>
                <w:sz w:val="3"/>
              </w:rPr>
              <w:t>3,6040000%</w:t>
            </w:r>
          </w:p>
        </w:tc>
        <w:tc>
          <w:tcPr>
            <w:tcW w:w="288" w:type="dxa"/>
            <w:tcBorders>
              <w:top w:val="single" w:sz="48" w:space="0" w:color="F8CBAD"/>
            </w:tcBorders>
          </w:tcPr>
          <w:p w14:paraId="2AC430DB" w14:textId="77777777" w:rsidR="00F65BCA" w:rsidRDefault="00216117">
            <w:pPr>
              <w:pStyle w:val="TableParagraph"/>
              <w:spacing w:line="5472" w:lineRule="exact"/>
              <w:ind w:left="57"/>
              <w:rPr>
                <w:sz w:val="3"/>
              </w:rPr>
            </w:pPr>
            <w:r>
              <w:rPr>
                <w:w w:val="105"/>
                <w:sz w:val="3"/>
              </w:rPr>
              <w:t>3,6040000%</w:t>
            </w:r>
          </w:p>
        </w:tc>
        <w:tc>
          <w:tcPr>
            <w:tcW w:w="288" w:type="dxa"/>
            <w:tcBorders>
              <w:top w:val="single" w:sz="48" w:space="0" w:color="F8CBAD"/>
            </w:tcBorders>
          </w:tcPr>
          <w:p w14:paraId="43930166" w14:textId="77777777" w:rsidR="00F65BCA" w:rsidRDefault="00216117">
            <w:pPr>
              <w:pStyle w:val="TableParagraph"/>
              <w:spacing w:line="5472" w:lineRule="exact"/>
              <w:ind w:left="24" w:right="21"/>
              <w:jc w:val="center"/>
              <w:rPr>
                <w:sz w:val="3"/>
              </w:rPr>
            </w:pPr>
            <w:r>
              <w:rPr>
                <w:w w:val="105"/>
                <w:sz w:val="3"/>
              </w:rPr>
              <w:t>3,2860000%</w:t>
            </w:r>
          </w:p>
        </w:tc>
        <w:tc>
          <w:tcPr>
            <w:tcW w:w="288" w:type="dxa"/>
            <w:tcBorders>
              <w:top w:val="single" w:sz="48" w:space="0" w:color="F8CBAD"/>
            </w:tcBorders>
          </w:tcPr>
          <w:p w14:paraId="79A97699" w14:textId="77777777" w:rsidR="00F65BCA" w:rsidRDefault="00216117">
            <w:pPr>
              <w:pStyle w:val="TableParagraph"/>
              <w:spacing w:line="5472" w:lineRule="exact"/>
              <w:ind w:left="57"/>
              <w:rPr>
                <w:sz w:val="3"/>
              </w:rPr>
            </w:pPr>
            <w:r>
              <w:rPr>
                <w:w w:val="105"/>
                <w:sz w:val="3"/>
              </w:rPr>
              <w:t>3,2860000%</w:t>
            </w:r>
          </w:p>
        </w:tc>
        <w:tc>
          <w:tcPr>
            <w:tcW w:w="288" w:type="dxa"/>
            <w:tcBorders>
              <w:top w:val="single" w:sz="48" w:space="0" w:color="F8CBAD"/>
            </w:tcBorders>
          </w:tcPr>
          <w:p w14:paraId="7537D5E6" w14:textId="77777777" w:rsidR="00F65BCA" w:rsidRDefault="00216117">
            <w:pPr>
              <w:pStyle w:val="TableParagraph"/>
              <w:spacing w:line="5472" w:lineRule="exact"/>
              <w:ind w:left="24" w:right="22"/>
              <w:jc w:val="center"/>
              <w:rPr>
                <w:sz w:val="3"/>
              </w:rPr>
            </w:pPr>
            <w:r>
              <w:rPr>
                <w:w w:val="105"/>
                <w:sz w:val="3"/>
              </w:rPr>
              <w:t>2,9680000%</w:t>
            </w:r>
          </w:p>
        </w:tc>
        <w:tc>
          <w:tcPr>
            <w:tcW w:w="288" w:type="dxa"/>
            <w:tcBorders>
              <w:top w:val="single" w:sz="48" w:space="0" w:color="F8CBAD"/>
            </w:tcBorders>
          </w:tcPr>
          <w:p w14:paraId="7A15BE61" w14:textId="77777777" w:rsidR="00F65BCA" w:rsidRDefault="00216117">
            <w:pPr>
              <w:pStyle w:val="TableParagraph"/>
              <w:spacing w:line="5472" w:lineRule="exact"/>
              <w:ind w:left="24" w:right="21"/>
              <w:jc w:val="center"/>
              <w:rPr>
                <w:sz w:val="3"/>
              </w:rPr>
            </w:pPr>
            <w:r>
              <w:rPr>
                <w:w w:val="105"/>
                <w:sz w:val="3"/>
              </w:rPr>
              <w:t>2,9680000%</w:t>
            </w:r>
          </w:p>
        </w:tc>
        <w:tc>
          <w:tcPr>
            <w:tcW w:w="288" w:type="dxa"/>
            <w:tcBorders>
              <w:top w:val="single" w:sz="48" w:space="0" w:color="F8CBAD"/>
            </w:tcBorders>
          </w:tcPr>
          <w:p w14:paraId="2F3589BF" w14:textId="77777777" w:rsidR="00F65BCA" w:rsidRDefault="00216117">
            <w:pPr>
              <w:pStyle w:val="TableParagraph"/>
              <w:spacing w:line="5472" w:lineRule="exact"/>
              <w:ind w:left="57"/>
              <w:rPr>
                <w:sz w:val="3"/>
              </w:rPr>
            </w:pPr>
            <w:r>
              <w:rPr>
                <w:w w:val="105"/>
                <w:sz w:val="3"/>
              </w:rPr>
              <w:t>2,6500000%</w:t>
            </w:r>
          </w:p>
        </w:tc>
        <w:tc>
          <w:tcPr>
            <w:tcW w:w="288" w:type="dxa"/>
            <w:tcBorders>
              <w:top w:val="single" w:sz="48" w:space="0" w:color="F8CBAD"/>
            </w:tcBorders>
          </w:tcPr>
          <w:p w14:paraId="33F23DA1" w14:textId="77777777" w:rsidR="00F65BCA" w:rsidRDefault="00216117">
            <w:pPr>
              <w:pStyle w:val="TableParagraph"/>
              <w:spacing w:line="5472" w:lineRule="exact"/>
              <w:ind w:left="24" w:right="21"/>
              <w:jc w:val="center"/>
              <w:rPr>
                <w:sz w:val="3"/>
              </w:rPr>
            </w:pPr>
            <w:r>
              <w:rPr>
                <w:w w:val="105"/>
                <w:sz w:val="3"/>
              </w:rPr>
              <w:t>2,6500000%</w:t>
            </w:r>
          </w:p>
        </w:tc>
        <w:tc>
          <w:tcPr>
            <w:tcW w:w="288" w:type="dxa"/>
            <w:tcBorders>
              <w:top w:val="single" w:sz="48" w:space="0" w:color="F8CBAD"/>
            </w:tcBorders>
          </w:tcPr>
          <w:p w14:paraId="6F3309C6" w14:textId="77777777" w:rsidR="00F65BCA" w:rsidRDefault="00216117">
            <w:pPr>
              <w:pStyle w:val="TableParagraph"/>
              <w:spacing w:line="5472" w:lineRule="exact"/>
              <w:ind w:left="24" w:right="21"/>
              <w:jc w:val="center"/>
              <w:rPr>
                <w:sz w:val="3"/>
              </w:rPr>
            </w:pPr>
            <w:r>
              <w:rPr>
                <w:w w:val="105"/>
                <w:sz w:val="3"/>
              </w:rPr>
              <w:t>2,4380000%</w:t>
            </w:r>
          </w:p>
        </w:tc>
        <w:tc>
          <w:tcPr>
            <w:tcW w:w="288" w:type="dxa"/>
            <w:tcBorders>
              <w:top w:val="single" w:sz="48" w:space="0" w:color="F8CBAD"/>
            </w:tcBorders>
          </w:tcPr>
          <w:p w14:paraId="140AEB4A" w14:textId="77777777" w:rsidR="00F65BCA" w:rsidRDefault="00216117">
            <w:pPr>
              <w:pStyle w:val="TableParagraph"/>
              <w:spacing w:line="5472" w:lineRule="exact"/>
              <w:ind w:left="24" w:right="21"/>
              <w:jc w:val="center"/>
              <w:rPr>
                <w:sz w:val="3"/>
              </w:rPr>
            </w:pPr>
            <w:r>
              <w:rPr>
                <w:w w:val="105"/>
                <w:sz w:val="3"/>
              </w:rPr>
              <w:t>2,3320000%</w:t>
            </w:r>
          </w:p>
        </w:tc>
        <w:tc>
          <w:tcPr>
            <w:tcW w:w="288" w:type="dxa"/>
            <w:tcBorders>
              <w:top w:val="single" w:sz="48" w:space="0" w:color="F8CBAD"/>
            </w:tcBorders>
          </w:tcPr>
          <w:p w14:paraId="01F14131" w14:textId="77777777" w:rsidR="00F65BCA" w:rsidRDefault="00216117">
            <w:pPr>
              <w:pStyle w:val="TableParagraph"/>
              <w:spacing w:line="5472" w:lineRule="exact"/>
              <w:ind w:left="24" w:right="21"/>
              <w:jc w:val="center"/>
              <w:rPr>
                <w:sz w:val="3"/>
              </w:rPr>
            </w:pPr>
            <w:r>
              <w:rPr>
                <w:w w:val="105"/>
                <w:sz w:val="3"/>
              </w:rPr>
              <w:t>2,1200000%</w:t>
            </w:r>
          </w:p>
        </w:tc>
        <w:tc>
          <w:tcPr>
            <w:tcW w:w="288" w:type="dxa"/>
            <w:tcBorders>
              <w:top w:val="single" w:sz="48" w:space="0" w:color="F8CBAD"/>
            </w:tcBorders>
          </w:tcPr>
          <w:p w14:paraId="1F5E96F8" w14:textId="77777777" w:rsidR="00F65BCA" w:rsidRDefault="00216117">
            <w:pPr>
              <w:pStyle w:val="TableParagraph"/>
              <w:spacing w:line="5472" w:lineRule="exact"/>
              <w:ind w:left="57"/>
              <w:rPr>
                <w:sz w:val="3"/>
              </w:rPr>
            </w:pPr>
            <w:r>
              <w:rPr>
                <w:w w:val="105"/>
                <w:sz w:val="3"/>
              </w:rPr>
              <w:t>2,1200000%</w:t>
            </w:r>
          </w:p>
        </w:tc>
      </w:tr>
      <w:tr w:rsidR="00F65BCA" w14:paraId="62DA835C" w14:textId="77777777">
        <w:trPr>
          <w:trHeight w:val="81"/>
        </w:trPr>
        <w:tc>
          <w:tcPr>
            <w:tcW w:w="526" w:type="dxa"/>
            <w:shd w:val="clear" w:color="auto" w:fill="FCE4D6"/>
          </w:tcPr>
          <w:p w14:paraId="47D2A1E1" w14:textId="77777777" w:rsidR="00F65BCA" w:rsidRDefault="00216117">
            <w:pPr>
              <w:pStyle w:val="TableParagraph"/>
              <w:spacing w:line="10862" w:lineRule="exact"/>
              <w:ind w:right="136"/>
              <w:jc w:val="right"/>
              <w:rPr>
                <w:sz w:val="3"/>
              </w:rPr>
            </w:pPr>
            <w:r>
              <w:rPr>
                <w:w w:val="105"/>
                <w:sz w:val="3"/>
              </w:rPr>
              <w:lastRenderedPageBreak/>
              <w:t>autobus pro MHD</w:t>
            </w:r>
          </w:p>
        </w:tc>
        <w:tc>
          <w:tcPr>
            <w:tcW w:w="732" w:type="dxa"/>
            <w:shd w:val="clear" w:color="auto" w:fill="FCE4D6"/>
          </w:tcPr>
          <w:p w14:paraId="76991671" w14:textId="77777777" w:rsidR="00F65BCA" w:rsidRDefault="00216117">
            <w:pPr>
              <w:pStyle w:val="TableParagraph"/>
              <w:spacing w:line="10862" w:lineRule="exact"/>
              <w:ind w:left="2"/>
              <w:jc w:val="center"/>
              <w:rPr>
                <w:sz w:val="3"/>
              </w:rPr>
            </w:pPr>
            <w:r>
              <w:rPr>
                <w:w w:val="103"/>
                <w:sz w:val="3"/>
              </w:rPr>
              <w:t>-</w:t>
            </w:r>
          </w:p>
        </w:tc>
        <w:tc>
          <w:tcPr>
            <w:tcW w:w="958" w:type="dxa"/>
            <w:gridSpan w:val="2"/>
            <w:shd w:val="clear" w:color="auto" w:fill="FCE4D6"/>
          </w:tcPr>
          <w:p w14:paraId="69FEE7DB" w14:textId="77777777" w:rsidR="00F65BCA" w:rsidRDefault="00216117">
            <w:pPr>
              <w:pStyle w:val="TableParagraph"/>
              <w:spacing w:line="10862" w:lineRule="exact"/>
              <w:ind w:left="1"/>
              <w:jc w:val="center"/>
              <w:rPr>
                <w:sz w:val="3"/>
              </w:rPr>
            </w:pPr>
            <w:r>
              <w:rPr>
                <w:w w:val="103"/>
                <w:sz w:val="3"/>
              </w:rPr>
              <w:t>-</w:t>
            </w:r>
          </w:p>
        </w:tc>
        <w:tc>
          <w:tcPr>
            <w:tcW w:w="576" w:type="dxa"/>
            <w:shd w:val="clear" w:color="auto" w:fill="FCE4D6"/>
          </w:tcPr>
          <w:p w14:paraId="7311B1AB" w14:textId="77777777" w:rsidR="00F65BCA" w:rsidRDefault="00216117">
            <w:pPr>
              <w:pStyle w:val="TableParagraph"/>
              <w:spacing w:line="10862" w:lineRule="exact"/>
              <w:ind w:left="3"/>
              <w:jc w:val="center"/>
              <w:rPr>
                <w:sz w:val="3"/>
              </w:rPr>
            </w:pPr>
            <w:r>
              <w:rPr>
                <w:w w:val="103"/>
                <w:sz w:val="3"/>
              </w:rPr>
              <w:t>-</w:t>
            </w:r>
          </w:p>
        </w:tc>
        <w:tc>
          <w:tcPr>
            <w:tcW w:w="576" w:type="dxa"/>
            <w:shd w:val="clear" w:color="auto" w:fill="FCE4D6"/>
          </w:tcPr>
          <w:p w14:paraId="08D9E9A8" w14:textId="77777777" w:rsidR="00F65BCA" w:rsidRDefault="00216117">
            <w:pPr>
              <w:pStyle w:val="TableParagraph"/>
              <w:spacing w:line="10862" w:lineRule="exact"/>
              <w:ind w:left="3"/>
              <w:jc w:val="center"/>
              <w:rPr>
                <w:sz w:val="3"/>
              </w:rPr>
            </w:pPr>
            <w:r>
              <w:rPr>
                <w:w w:val="103"/>
                <w:sz w:val="3"/>
              </w:rPr>
              <w:t>-</w:t>
            </w:r>
          </w:p>
        </w:tc>
        <w:tc>
          <w:tcPr>
            <w:tcW w:w="50" w:type="dxa"/>
            <w:vMerge/>
            <w:tcBorders>
              <w:top w:val="nil"/>
              <w:bottom w:val="nil"/>
            </w:tcBorders>
          </w:tcPr>
          <w:p w14:paraId="2AE58150" w14:textId="77777777" w:rsidR="00F65BCA" w:rsidRDefault="00F65BCA">
            <w:pPr>
              <w:rPr>
                <w:sz w:val="2"/>
                <w:szCs w:val="2"/>
              </w:rPr>
            </w:pPr>
          </w:p>
        </w:tc>
        <w:tc>
          <w:tcPr>
            <w:tcW w:w="288" w:type="dxa"/>
          </w:tcPr>
          <w:p w14:paraId="419EA524" w14:textId="77777777" w:rsidR="00F65BCA" w:rsidRDefault="00216117">
            <w:pPr>
              <w:pStyle w:val="TableParagraph"/>
              <w:spacing w:line="10862" w:lineRule="exact"/>
              <w:ind w:left="24" w:right="22"/>
              <w:jc w:val="center"/>
              <w:rPr>
                <w:sz w:val="3"/>
              </w:rPr>
            </w:pPr>
            <w:r>
              <w:rPr>
                <w:w w:val="105"/>
                <w:sz w:val="3"/>
              </w:rPr>
              <w:t>4,0280000%</w:t>
            </w:r>
          </w:p>
        </w:tc>
        <w:tc>
          <w:tcPr>
            <w:tcW w:w="288" w:type="dxa"/>
          </w:tcPr>
          <w:p w14:paraId="7E323010" w14:textId="77777777" w:rsidR="00F65BCA" w:rsidRDefault="00216117">
            <w:pPr>
              <w:pStyle w:val="TableParagraph"/>
              <w:spacing w:line="10862" w:lineRule="exact"/>
              <w:ind w:left="24" w:right="21"/>
              <w:jc w:val="center"/>
              <w:rPr>
                <w:sz w:val="3"/>
              </w:rPr>
            </w:pPr>
            <w:r>
              <w:rPr>
                <w:w w:val="105"/>
                <w:sz w:val="3"/>
              </w:rPr>
              <w:t>3,6040000%</w:t>
            </w:r>
          </w:p>
        </w:tc>
        <w:tc>
          <w:tcPr>
            <w:tcW w:w="288" w:type="dxa"/>
          </w:tcPr>
          <w:p w14:paraId="666ADBC8" w14:textId="77777777" w:rsidR="00F65BCA" w:rsidRDefault="00216117">
            <w:pPr>
              <w:pStyle w:val="TableParagraph"/>
              <w:spacing w:line="10862" w:lineRule="exact"/>
              <w:ind w:left="57"/>
              <w:rPr>
                <w:sz w:val="3"/>
              </w:rPr>
            </w:pPr>
            <w:r>
              <w:rPr>
                <w:w w:val="105"/>
                <w:sz w:val="3"/>
              </w:rPr>
              <w:t>3,6040000%</w:t>
            </w:r>
          </w:p>
        </w:tc>
        <w:tc>
          <w:tcPr>
            <w:tcW w:w="288" w:type="dxa"/>
          </w:tcPr>
          <w:p w14:paraId="2C7E7F2B" w14:textId="77777777" w:rsidR="00F65BCA" w:rsidRDefault="00216117">
            <w:pPr>
              <w:pStyle w:val="TableParagraph"/>
              <w:spacing w:line="10862" w:lineRule="exact"/>
              <w:ind w:left="24" w:right="21"/>
              <w:jc w:val="center"/>
              <w:rPr>
                <w:sz w:val="3"/>
              </w:rPr>
            </w:pPr>
            <w:r>
              <w:rPr>
                <w:w w:val="105"/>
                <w:sz w:val="3"/>
              </w:rPr>
              <w:t>3,2860000%</w:t>
            </w:r>
          </w:p>
        </w:tc>
        <w:tc>
          <w:tcPr>
            <w:tcW w:w="288" w:type="dxa"/>
          </w:tcPr>
          <w:p w14:paraId="0BE16399" w14:textId="77777777" w:rsidR="00F65BCA" w:rsidRDefault="00216117">
            <w:pPr>
              <w:pStyle w:val="TableParagraph"/>
              <w:spacing w:line="10862" w:lineRule="exact"/>
              <w:ind w:left="57"/>
              <w:rPr>
                <w:sz w:val="3"/>
              </w:rPr>
            </w:pPr>
            <w:r>
              <w:rPr>
                <w:w w:val="105"/>
                <w:sz w:val="3"/>
              </w:rPr>
              <w:t>3,2860000%</w:t>
            </w:r>
          </w:p>
        </w:tc>
        <w:tc>
          <w:tcPr>
            <w:tcW w:w="288" w:type="dxa"/>
          </w:tcPr>
          <w:p w14:paraId="60B6A94A" w14:textId="77777777" w:rsidR="00F65BCA" w:rsidRDefault="00216117">
            <w:pPr>
              <w:pStyle w:val="TableParagraph"/>
              <w:spacing w:line="10862" w:lineRule="exact"/>
              <w:ind w:left="24" w:right="22"/>
              <w:jc w:val="center"/>
              <w:rPr>
                <w:sz w:val="3"/>
              </w:rPr>
            </w:pPr>
            <w:r>
              <w:rPr>
                <w:w w:val="105"/>
                <w:sz w:val="3"/>
              </w:rPr>
              <w:t>2,9680000%</w:t>
            </w:r>
          </w:p>
        </w:tc>
        <w:tc>
          <w:tcPr>
            <w:tcW w:w="288" w:type="dxa"/>
          </w:tcPr>
          <w:p w14:paraId="5A896B60" w14:textId="77777777" w:rsidR="00F65BCA" w:rsidRDefault="00216117">
            <w:pPr>
              <w:pStyle w:val="TableParagraph"/>
              <w:spacing w:line="10862" w:lineRule="exact"/>
              <w:ind w:left="24" w:right="21"/>
              <w:jc w:val="center"/>
              <w:rPr>
                <w:sz w:val="3"/>
              </w:rPr>
            </w:pPr>
            <w:r>
              <w:rPr>
                <w:w w:val="105"/>
                <w:sz w:val="3"/>
              </w:rPr>
              <w:t>2,9680000%</w:t>
            </w:r>
          </w:p>
        </w:tc>
        <w:tc>
          <w:tcPr>
            <w:tcW w:w="288" w:type="dxa"/>
          </w:tcPr>
          <w:p w14:paraId="64E92680" w14:textId="77777777" w:rsidR="00F65BCA" w:rsidRDefault="00216117">
            <w:pPr>
              <w:pStyle w:val="TableParagraph"/>
              <w:spacing w:line="10862" w:lineRule="exact"/>
              <w:ind w:left="57"/>
              <w:rPr>
                <w:sz w:val="3"/>
              </w:rPr>
            </w:pPr>
            <w:r>
              <w:rPr>
                <w:w w:val="105"/>
                <w:sz w:val="3"/>
              </w:rPr>
              <w:t>2,6500000%</w:t>
            </w:r>
          </w:p>
        </w:tc>
        <w:tc>
          <w:tcPr>
            <w:tcW w:w="288" w:type="dxa"/>
          </w:tcPr>
          <w:p w14:paraId="5F76FA87" w14:textId="77777777" w:rsidR="00F65BCA" w:rsidRDefault="00216117">
            <w:pPr>
              <w:pStyle w:val="TableParagraph"/>
              <w:spacing w:line="10862" w:lineRule="exact"/>
              <w:ind w:left="24" w:right="21"/>
              <w:jc w:val="center"/>
              <w:rPr>
                <w:sz w:val="3"/>
              </w:rPr>
            </w:pPr>
            <w:r>
              <w:rPr>
                <w:w w:val="105"/>
                <w:sz w:val="3"/>
              </w:rPr>
              <w:t>2,6500000%</w:t>
            </w:r>
          </w:p>
        </w:tc>
        <w:tc>
          <w:tcPr>
            <w:tcW w:w="288" w:type="dxa"/>
          </w:tcPr>
          <w:p w14:paraId="7275FACF" w14:textId="77777777" w:rsidR="00F65BCA" w:rsidRDefault="00216117">
            <w:pPr>
              <w:pStyle w:val="TableParagraph"/>
              <w:spacing w:line="10862" w:lineRule="exact"/>
              <w:ind w:left="24" w:right="21"/>
              <w:jc w:val="center"/>
              <w:rPr>
                <w:sz w:val="3"/>
              </w:rPr>
            </w:pPr>
            <w:r>
              <w:rPr>
                <w:w w:val="105"/>
                <w:sz w:val="3"/>
              </w:rPr>
              <w:t>2,4380000%</w:t>
            </w:r>
          </w:p>
        </w:tc>
        <w:tc>
          <w:tcPr>
            <w:tcW w:w="288" w:type="dxa"/>
          </w:tcPr>
          <w:p w14:paraId="3323DB60" w14:textId="77777777" w:rsidR="00F65BCA" w:rsidRDefault="00216117">
            <w:pPr>
              <w:pStyle w:val="TableParagraph"/>
              <w:spacing w:line="10862" w:lineRule="exact"/>
              <w:ind w:left="24" w:right="21"/>
              <w:jc w:val="center"/>
              <w:rPr>
                <w:sz w:val="3"/>
              </w:rPr>
            </w:pPr>
            <w:r>
              <w:rPr>
                <w:w w:val="105"/>
                <w:sz w:val="3"/>
              </w:rPr>
              <w:t>2,3320000%</w:t>
            </w:r>
          </w:p>
        </w:tc>
        <w:tc>
          <w:tcPr>
            <w:tcW w:w="288" w:type="dxa"/>
          </w:tcPr>
          <w:p w14:paraId="01A3B53D" w14:textId="77777777" w:rsidR="00F65BCA" w:rsidRDefault="00216117">
            <w:pPr>
              <w:pStyle w:val="TableParagraph"/>
              <w:spacing w:line="10862" w:lineRule="exact"/>
              <w:ind w:left="24" w:right="21"/>
              <w:jc w:val="center"/>
              <w:rPr>
                <w:sz w:val="3"/>
              </w:rPr>
            </w:pPr>
            <w:r>
              <w:rPr>
                <w:w w:val="105"/>
                <w:sz w:val="3"/>
              </w:rPr>
              <w:t>2,1200000%</w:t>
            </w:r>
          </w:p>
        </w:tc>
        <w:tc>
          <w:tcPr>
            <w:tcW w:w="288" w:type="dxa"/>
          </w:tcPr>
          <w:p w14:paraId="006CA3F4" w14:textId="77777777" w:rsidR="00F65BCA" w:rsidRDefault="00216117">
            <w:pPr>
              <w:pStyle w:val="TableParagraph"/>
              <w:spacing w:line="10862" w:lineRule="exact"/>
              <w:ind w:left="57"/>
              <w:rPr>
                <w:sz w:val="3"/>
              </w:rPr>
            </w:pPr>
            <w:r>
              <w:rPr>
                <w:w w:val="105"/>
                <w:sz w:val="3"/>
              </w:rPr>
              <w:t>2,1200000%</w:t>
            </w:r>
          </w:p>
        </w:tc>
      </w:tr>
      <w:tr w:rsidR="00F65BCA" w14:paraId="07C9AB90" w14:textId="77777777">
        <w:trPr>
          <w:trHeight w:val="83"/>
        </w:trPr>
        <w:tc>
          <w:tcPr>
            <w:tcW w:w="526" w:type="dxa"/>
            <w:tcBorders>
              <w:bottom w:val="nil"/>
            </w:tcBorders>
            <w:shd w:val="clear" w:color="auto" w:fill="FCE4D6"/>
          </w:tcPr>
          <w:p w14:paraId="73EE3CD7" w14:textId="77777777" w:rsidR="00F65BCA" w:rsidRDefault="00216117">
            <w:pPr>
              <w:pStyle w:val="TableParagraph"/>
              <w:spacing w:line="21642" w:lineRule="exact"/>
              <w:ind w:left="177" w:right="178"/>
              <w:jc w:val="center"/>
              <w:rPr>
                <w:sz w:val="3"/>
              </w:rPr>
            </w:pPr>
            <w:r>
              <w:rPr>
                <w:w w:val="105"/>
                <w:sz w:val="3"/>
              </w:rPr>
              <w:t>trolejbus</w:t>
            </w:r>
          </w:p>
        </w:tc>
        <w:tc>
          <w:tcPr>
            <w:tcW w:w="732" w:type="dxa"/>
            <w:tcBorders>
              <w:bottom w:val="nil"/>
            </w:tcBorders>
            <w:shd w:val="clear" w:color="auto" w:fill="FCE4D6"/>
          </w:tcPr>
          <w:p w14:paraId="15A10296" w14:textId="77777777" w:rsidR="00F65BCA" w:rsidRDefault="00216117">
            <w:pPr>
              <w:pStyle w:val="TableParagraph"/>
              <w:spacing w:line="21642" w:lineRule="exact"/>
              <w:ind w:left="2"/>
              <w:jc w:val="center"/>
              <w:rPr>
                <w:sz w:val="3"/>
              </w:rPr>
            </w:pPr>
            <w:r>
              <w:rPr>
                <w:w w:val="103"/>
                <w:sz w:val="3"/>
              </w:rPr>
              <w:t>-</w:t>
            </w:r>
          </w:p>
        </w:tc>
        <w:tc>
          <w:tcPr>
            <w:tcW w:w="958" w:type="dxa"/>
            <w:gridSpan w:val="2"/>
            <w:tcBorders>
              <w:bottom w:val="nil"/>
            </w:tcBorders>
            <w:shd w:val="clear" w:color="auto" w:fill="FCE4D6"/>
          </w:tcPr>
          <w:p w14:paraId="5CECFF58" w14:textId="77777777" w:rsidR="00F65BCA" w:rsidRDefault="00216117">
            <w:pPr>
              <w:pStyle w:val="TableParagraph"/>
              <w:spacing w:line="21642" w:lineRule="exact"/>
              <w:ind w:left="1"/>
              <w:jc w:val="center"/>
              <w:rPr>
                <w:sz w:val="3"/>
              </w:rPr>
            </w:pPr>
            <w:r>
              <w:rPr>
                <w:w w:val="103"/>
                <w:sz w:val="3"/>
              </w:rPr>
              <w:t>-</w:t>
            </w:r>
          </w:p>
        </w:tc>
        <w:tc>
          <w:tcPr>
            <w:tcW w:w="576" w:type="dxa"/>
            <w:tcBorders>
              <w:bottom w:val="nil"/>
            </w:tcBorders>
            <w:shd w:val="clear" w:color="auto" w:fill="FCE4D6"/>
          </w:tcPr>
          <w:p w14:paraId="0B0CBE6B" w14:textId="77777777" w:rsidR="00F65BCA" w:rsidRDefault="00216117">
            <w:pPr>
              <w:pStyle w:val="TableParagraph"/>
              <w:spacing w:line="21642" w:lineRule="exact"/>
              <w:ind w:left="3"/>
              <w:jc w:val="center"/>
              <w:rPr>
                <w:sz w:val="3"/>
              </w:rPr>
            </w:pPr>
            <w:r>
              <w:rPr>
                <w:w w:val="103"/>
                <w:sz w:val="3"/>
              </w:rPr>
              <w:t>-</w:t>
            </w:r>
          </w:p>
        </w:tc>
        <w:tc>
          <w:tcPr>
            <w:tcW w:w="576" w:type="dxa"/>
            <w:tcBorders>
              <w:bottom w:val="nil"/>
            </w:tcBorders>
            <w:shd w:val="clear" w:color="auto" w:fill="FCE4D6"/>
          </w:tcPr>
          <w:p w14:paraId="02F1D47C" w14:textId="77777777" w:rsidR="00F65BCA" w:rsidRDefault="00216117">
            <w:pPr>
              <w:pStyle w:val="TableParagraph"/>
              <w:spacing w:line="21642" w:lineRule="exact"/>
              <w:ind w:left="3"/>
              <w:jc w:val="center"/>
              <w:rPr>
                <w:sz w:val="3"/>
              </w:rPr>
            </w:pPr>
            <w:r>
              <w:rPr>
                <w:w w:val="103"/>
                <w:sz w:val="3"/>
              </w:rPr>
              <w:t>-</w:t>
            </w:r>
          </w:p>
        </w:tc>
        <w:tc>
          <w:tcPr>
            <w:tcW w:w="50" w:type="dxa"/>
            <w:vMerge/>
            <w:tcBorders>
              <w:top w:val="nil"/>
              <w:bottom w:val="nil"/>
            </w:tcBorders>
          </w:tcPr>
          <w:p w14:paraId="127142B6" w14:textId="77777777" w:rsidR="00F65BCA" w:rsidRDefault="00F65BCA">
            <w:pPr>
              <w:rPr>
                <w:sz w:val="2"/>
                <w:szCs w:val="2"/>
              </w:rPr>
            </w:pPr>
          </w:p>
        </w:tc>
        <w:tc>
          <w:tcPr>
            <w:tcW w:w="288" w:type="dxa"/>
            <w:tcBorders>
              <w:bottom w:val="nil"/>
            </w:tcBorders>
          </w:tcPr>
          <w:p w14:paraId="1E18F34C" w14:textId="77777777" w:rsidR="00F65BCA" w:rsidRDefault="00216117">
            <w:pPr>
              <w:pStyle w:val="TableParagraph"/>
              <w:spacing w:line="21642" w:lineRule="exact"/>
              <w:ind w:left="24" w:right="22"/>
              <w:jc w:val="center"/>
              <w:rPr>
                <w:sz w:val="3"/>
              </w:rPr>
            </w:pPr>
            <w:r>
              <w:rPr>
                <w:w w:val="105"/>
                <w:sz w:val="3"/>
              </w:rPr>
              <w:t>4,0280000%</w:t>
            </w:r>
          </w:p>
        </w:tc>
        <w:tc>
          <w:tcPr>
            <w:tcW w:w="288" w:type="dxa"/>
            <w:tcBorders>
              <w:bottom w:val="nil"/>
            </w:tcBorders>
          </w:tcPr>
          <w:p w14:paraId="3E3A7769" w14:textId="77777777" w:rsidR="00F65BCA" w:rsidRDefault="00216117">
            <w:pPr>
              <w:pStyle w:val="TableParagraph"/>
              <w:spacing w:line="21642" w:lineRule="exact"/>
              <w:ind w:left="24" w:right="21"/>
              <w:jc w:val="center"/>
              <w:rPr>
                <w:sz w:val="3"/>
              </w:rPr>
            </w:pPr>
            <w:r>
              <w:rPr>
                <w:w w:val="105"/>
                <w:sz w:val="3"/>
              </w:rPr>
              <w:t>3,6040000%</w:t>
            </w:r>
          </w:p>
        </w:tc>
        <w:tc>
          <w:tcPr>
            <w:tcW w:w="288" w:type="dxa"/>
            <w:tcBorders>
              <w:bottom w:val="nil"/>
            </w:tcBorders>
          </w:tcPr>
          <w:p w14:paraId="6403D7F3" w14:textId="77777777" w:rsidR="00F65BCA" w:rsidRDefault="00216117">
            <w:pPr>
              <w:pStyle w:val="TableParagraph"/>
              <w:spacing w:line="21642" w:lineRule="exact"/>
              <w:ind w:left="57"/>
              <w:rPr>
                <w:sz w:val="3"/>
              </w:rPr>
            </w:pPr>
            <w:r>
              <w:rPr>
                <w:w w:val="105"/>
                <w:sz w:val="3"/>
              </w:rPr>
              <w:t>3,6040000%</w:t>
            </w:r>
          </w:p>
        </w:tc>
        <w:tc>
          <w:tcPr>
            <w:tcW w:w="288" w:type="dxa"/>
            <w:tcBorders>
              <w:bottom w:val="nil"/>
            </w:tcBorders>
          </w:tcPr>
          <w:p w14:paraId="02807932" w14:textId="77777777" w:rsidR="00F65BCA" w:rsidRDefault="00216117">
            <w:pPr>
              <w:pStyle w:val="TableParagraph"/>
              <w:spacing w:line="21642" w:lineRule="exact"/>
              <w:ind w:left="24" w:right="21"/>
              <w:jc w:val="center"/>
              <w:rPr>
                <w:sz w:val="3"/>
              </w:rPr>
            </w:pPr>
            <w:r>
              <w:rPr>
                <w:w w:val="105"/>
                <w:sz w:val="3"/>
              </w:rPr>
              <w:t>3,2860000%</w:t>
            </w:r>
          </w:p>
        </w:tc>
        <w:tc>
          <w:tcPr>
            <w:tcW w:w="288" w:type="dxa"/>
            <w:tcBorders>
              <w:bottom w:val="nil"/>
            </w:tcBorders>
          </w:tcPr>
          <w:p w14:paraId="15B62691" w14:textId="77777777" w:rsidR="00F65BCA" w:rsidRDefault="00216117">
            <w:pPr>
              <w:pStyle w:val="TableParagraph"/>
              <w:spacing w:line="21642" w:lineRule="exact"/>
              <w:ind w:left="57"/>
              <w:rPr>
                <w:sz w:val="3"/>
              </w:rPr>
            </w:pPr>
            <w:r>
              <w:rPr>
                <w:w w:val="105"/>
                <w:sz w:val="3"/>
              </w:rPr>
              <w:t>3,2860000%</w:t>
            </w:r>
          </w:p>
        </w:tc>
        <w:tc>
          <w:tcPr>
            <w:tcW w:w="288" w:type="dxa"/>
            <w:tcBorders>
              <w:bottom w:val="nil"/>
            </w:tcBorders>
          </w:tcPr>
          <w:p w14:paraId="07F25363" w14:textId="77777777" w:rsidR="00F65BCA" w:rsidRDefault="00216117">
            <w:pPr>
              <w:pStyle w:val="TableParagraph"/>
              <w:spacing w:line="21642" w:lineRule="exact"/>
              <w:ind w:left="24" w:right="22"/>
              <w:jc w:val="center"/>
              <w:rPr>
                <w:sz w:val="3"/>
              </w:rPr>
            </w:pPr>
            <w:r>
              <w:rPr>
                <w:w w:val="105"/>
                <w:sz w:val="3"/>
              </w:rPr>
              <w:t>2,9680000%</w:t>
            </w:r>
          </w:p>
        </w:tc>
        <w:tc>
          <w:tcPr>
            <w:tcW w:w="288" w:type="dxa"/>
            <w:tcBorders>
              <w:bottom w:val="nil"/>
            </w:tcBorders>
          </w:tcPr>
          <w:p w14:paraId="7675A4C0" w14:textId="77777777" w:rsidR="00F65BCA" w:rsidRDefault="00216117">
            <w:pPr>
              <w:pStyle w:val="TableParagraph"/>
              <w:spacing w:line="21642" w:lineRule="exact"/>
              <w:ind w:left="24" w:right="21"/>
              <w:jc w:val="center"/>
              <w:rPr>
                <w:sz w:val="3"/>
              </w:rPr>
            </w:pPr>
            <w:r>
              <w:rPr>
                <w:w w:val="105"/>
                <w:sz w:val="3"/>
              </w:rPr>
              <w:t>2,9680000%</w:t>
            </w:r>
          </w:p>
        </w:tc>
        <w:tc>
          <w:tcPr>
            <w:tcW w:w="288" w:type="dxa"/>
            <w:tcBorders>
              <w:bottom w:val="nil"/>
            </w:tcBorders>
          </w:tcPr>
          <w:p w14:paraId="1A3E44E6" w14:textId="77777777" w:rsidR="00F65BCA" w:rsidRDefault="00216117">
            <w:pPr>
              <w:pStyle w:val="TableParagraph"/>
              <w:spacing w:line="21642" w:lineRule="exact"/>
              <w:ind w:left="57"/>
              <w:rPr>
                <w:sz w:val="3"/>
              </w:rPr>
            </w:pPr>
            <w:r>
              <w:rPr>
                <w:w w:val="105"/>
                <w:sz w:val="3"/>
              </w:rPr>
              <w:t>2,6500000%</w:t>
            </w:r>
          </w:p>
        </w:tc>
        <w:tc>
          <w:tcPr>
            <w:tcW w:w="288" w:type="dxa"/>
            <w:tcBorders>
              <w:bottom w:val="nil"/>
            </w:tcBorders>
          </w:tcPr>
          <w:p w14:paraId="61E5FBCD" w14:textId="77777777" w:rsidR="00F65BCA" w:rsidRDefault="00216117">
            <w:pPr>
              <w:pStyle w:val="TableParagraph"/>
              <w:spacing w:line="21642" w:lineRule="exact"/>
              <w:ind w:left="24" w:right="21"/>
              <w:jc w:val="center"/>
              <w:rPr>
                <w:sz w:val="3"/>
              </w:rPr>
            </w:pPr>
            <w:r>
              <w:rPr>
                <w:w w:val="105"/>
                <w:sz w:val="3"/>
              </w:rPr>
              <w:t>2,6500000%</w:t>
            </w:r>
          </w:p>
        </w:tc>
        <w:tc>
          <w:tcPr>
            <w:tcW w:w="288" w:type="dxa"/>
            <w:tcBorders>
              <w:bottom w:val="nil"/>
            </w:tcBorders>
          </w:tcPr>
          <w:p w14:paraId="4EF9D5EB" w14:textId="77777777" w:rsidR="00F65BCA" w:rsidRDefault="00216117">
            <w:pPr>
              <w:pStyle w:val="TableParagraph"/>
              <w:spacing w:line="21642" w:lineRule="exact"/>
              <w:ind w:left="24" w:right="21"/>
              <w:jc w:val="center"/>
              <w:rPr>
                <w:sz w:val="3"/>
              </w:rPr>
            </w:pPr>
            <w:r>
              <w:rPr>
                <w:w w:val="105"/>
                <w:sz w:val="3"/>
              </w:rPr>
              <w:t>2,4380000%</w:t>
            </w:r>
          </w:p>
        </w:tc>
        <w:tc>
          <w:tcPr>
            <w:tcW w:w="288" w:type="dxa"/>
            <w:tcBorders>
              <w:bottom w:val="nil"/>
            </w:tcBorders>
          </w:tcPr>
          <w:p w14:paraId="6190682B" w14:textId="77777777" w:rsidR="00F65BCA" w:rsidRDefault="00216117">
            <w:pPr>
              <w:pStyle w:val="TableParagraph"/>
              <w:spacing w:line="21642" w:lineRule="exact"/>
              <w:ind w:left="24" w:right="21"/>
              <w:jc w:val="center"/>
              <w:rPr>
                <w:sz w:val="3"/>
              </w:rPr>
            </w:pPr>
            <w:r>
              <w:rPr>
                <w:w w:val="105"/>
                <w:sz w:val="3"/>
              </w:rPr>
              <w:t>2,3320000%</w:t>
            </w:r>
          </w:p>
        </w:tc>
        <w:tc>
          <w:tcPr>
            <w:tcW w:w="288" w:type="dxa"/>
            <w:tcBorders>
              <w:bottom w:val="nil"/>
            </w:tcBorders>
          </w:tcPr>
          <w:p w14:paraId="7BF9249E" w14:textId="77777777" w:rsidR="00F65BCA" w:rsidRDefault="00216117">
            <w:pPr>
              <w:pStyle w:val="TableParagraph"/>
              <w:spacing w:line="21642" w:lineRule="exact"/>
              <w:ind w:left="24" w:right="21"/>
              <w:jc w:val="center"/>
              <w:rPr>
                <w:sz w:val="3"/>
              </w:rPr>
            </w:pPr>
            <w:r>
              <w:rPr>
                <w:w w:val="105"/>
                <w:sz w:val="3"/>
              </w:rPr>
              <w:t>2,1200000%</w:t>
            </w:r>
          </w:p>
        </w:tc>
        <w:tc>
          <w:tcPr>
            <w:tcW w:w="288" w:type="dxa"/>
            <w:tcBorders>
              <w:bottom w:val="nil"/>
            </w:tcBorders>
          </w:tcPr>
          <w:p w14:paraId="1FFEA9ED" w14:textId="77777777" w:rsidR="00F65BCA" w:rsidRDefault="00216117">
            <w:pPr>
              <w:pStyle w:val="TableParagraph"/>
              <w:spacing w:line="21642" w:lineRule="exact"/>
              <w:ind w:left="57"/>
              <w:rPr>
                <w:sz w:val="3"/>
              </w:rPr>
            </w:pPr>
            <w:r>
              <w:rPr>
                <w:w w:val="105"/>
                <w:sz w:val="3"/>
              </w:rPr>
              <w:t>2,1200000%</w:t>
            </w:r>
          </w:p>
        </w:tc>
      </w:tr>
      <w:tr w:rsidR="00F65BCA" w14:paraId="540D13B0" w14:textId="77777777">
        <w:trPr>
          <w:trHeight w:val="10"/>
        </w:trPr>
        <w:tc>
          <w:tcPr>
            <w:tcW w:w="526" w:type="dxa"/>
            <w:tcBorders>
              <w:top w:val="nil"/>
              <w:bottom w:val="single" w:sz="48" w:space="0" w:color="F8CBAD"/>
            </w:tcBorders>
            <w:shd w:val="clear" w:color="auto" w:fill="FCE4D6"/>
          </w:tcPr>
          <w:p w14:paraId="5EC76B35" w14:textId="77777777" w:rsidR="00F65BCA" w:rsidRDefault="00216117">
            <w:pPr>
              <w:pStyle w:val="TableParagraph"/>
              <w:spacing w:line="22241" w:lineRule="atLeast"/>
              <w:ind w:left="146"/>
              <w:rPr>
                <w:b/>
                <w:sz w:val="3"/>
              </w:rPr>
            </w:pPr>
            <w:r>
              <w:rPr>
                <w:b/>
                <w:w w:val="105"/>
                <w:sz w:val="3"/>
              </w:rPr>
              <w:lastRenderedPageBreak/>
              <w:t>Pracovní stroje</w:t>
            </w:r>
          </w:p>
        </w:tc>
        <w:tc>
          <w:tcPr>
            <w:tcW w:w="732" w:type="dxa"/>
            <w:tcBorders>
              <w:top w:val="nil"/>
              <w:bottom w:val="single" w:sz="48" w:space="0" w:color="F8CBAD"/>
            </w:tcBorders>
            <w:shd w:val="clear" w:color="auto" w:fill="FCE4D6"/>
          </w:tcPr>
          <w:p w14:paraId="2368BD6D" w14:textId="77777777" w:rsidR="00F65BCA" w:rsidRDefault="00216117">
            <w:pPr>
              <w:pStyle w:val="TableParagraph"/>
              <w:spacing w:line="22241" w:lineRule="atLeast"/>
              <w:ind w:left="18" w:right="18"/>
              <w:jc w:val="center"/>
              <w:rPr>
                <w:b/>
                <w:sz w:val="3"/>
              </w:rPr>
            </w:pPr>
            <w:r>
              <w:rPr>
                <w:b/>
                <w:w w:val="105"/>
                <w:sz w:val="3"/>
              </w:rPr>
              <w:t>Tovární značka</w:t>
            </w:r>
          </w:p>
        </w:tc>
        <w:tc>
          <w:tcPr>
            <w:tcW w:w="958" w:type="dxa"/>
            <w:gridSpan w:val="2"/>
            <w:tcBorders>
              <w:top w:val="nil"/>
              <w:bottom w:val="single" w:sz="48" w:space="0" w:color="F8CBAD"/>
            </w:tcBorders>
            <w:shd w:val="clear" w:color="auto" w:fill="FCE4D6"/>
          </w:tcPr>
          <w:p w14:paraId="0437CB07" w14:textId="77777777" w:rsidR="00F65BCA" w:rsidRDefault="00216117">
            <w:pPr>
              <w:pStyle w:val="TableParagraph"/>
              <w:spacing w:line="22241" w:lineRule="atLeast"/>
              <w:ind w:left="370" w:right="371"/>
              <w:jc w:val="center"/>
              <w:rPr>
                <w:b/>
                <w:sz w:val="3"/>
              </w:rPr>
            </w:pPr>
            <w:r>
              <w:rPr>
                <w:b/>
                <w:w w:val="105"/>
                <w:sz w:val="3"/>
              </w:rPr>
              <w:t>Typ vozidla</w:t>
            </w:r>
          </w:p>
        </w:tc>
        <w:tc>
          <w:tcPr>
            <w:tcW w:w="576" w:type="dxa"/>
            <w:tcBorders>
              <w:top w:val="nil"/>
              <w:bottom w:val="single" w:sz="48" w:space="0" w:color="F8CBAD"/>
            </w:tcBorders>
            <w:shd w:val="clear" w:color="auto" w:fill="FCE4D6"/>
          </w:tcPr>
          <w:p w14:paraId="6B748982" w14:textId="77777777" w:rsidR="00F65BCA" w:rsidRDefault="00216117">
            <w:pPr>
              <w:pStyle w:val="TableParagraph"/>
              <w:spacing w:line="22241" w:lineRule="atLeast"/>
              <w:ind w:left="128" w:right="128"/>
              <w:jc w:val="center"/>
              <w:rPr>
                <w:b/>
                <w:sz w:val="3"/>
              </w:rPr>
            </w:pPr>
            <w:r>
              <w:rPr>
                <w:b/>
                <w:w w:val="105"/>
                <w:sz w:val="3"/>
              </w:rPr>
              <w:t>Objem motoru</w:t>
            </w:r>
          </w:p>
        </w:tc>
        <w:tc>
          <w:tcPr>
            <w:tcW w:w="576" w:type="dxa"/>
            <w:tcBorders>
              <w:top w:val="nil"/>
              <w:bottom w:val="single" w:sz="48" w:space="0" w:color="F8CBAD"/>
            </w:tcBorders>
            <w:shd w:val="clear" w:color="auto" w:fill="FCE4D6"/>
          </w:tcPr>
          <w:p w14:paraId="70CC2261" w14:textId="77777777" w:rsidR="00F65BCA" w:rsidRDefault="00216117">
            <w:pPr>
              <w:pStyle w:val="TableParagraph"/>
              <w:spacing w:line="22241" w:lineRule="atLeast"/>
              <w:ind w:left="150"/>
              <w:rPr>
                <w:b/>
                <w:sz w:val="3"/>
              </w:rPr>
            </w:pPr>
            <w:r>
              <w:rPr>
                <w:b/>
                <w:w w:val="105"/>
                <w:sz w:val="3"/>
              </w:rPr>
              <w:t>Celková hmotnost</w:t>
            </w:r>
          </w:p>
        </w:tc>
        <w:tc>
          <w:tcPr>
            <w:tcW w:w="50" w:type="dxa"/>
            <w:vMerge/>
            <w:tcBorders>
              <w:top w:val="nil"/>
              <w:bottom w:val="nil"/>
            </w:tcBorders>
          </w:tcPr>
          <w:p w14:paraId="624FE1A4" w14:textId="77777777" w:rsidR="00F65BCA" w:rsidRDefault="00F65BCA">
            <w:pPr>
              <w:rPr>
                <w:sz w:val="2"/>
                <w:szCs w:val="2"/>
              </w:rPr>
            </w:pPr>
          </w:p>
        </w:tc>
        <w:tc>
          <w:tcPr>
            <w:tcW w:w="288" w:type="dxa"/>
            <w:tcBorders>
              <w:top w:val="nil"/>
              <w:bottom w:val="single" w:sz="48" w:space="0" w:color="F8CBAD"/>
            </w:tcBorders>
          </w:tcPr>
          <w:p w14:paraId="2D903AE7" w14:textId="77777777" w:rsidR="00F65BCA" w:rsidRDefault="00216117">
            <w:pPr>
              <w:pStyle w:val="TableParagraph"/>
              <w:spacing w:line="22241" w:lineRule="atLeast"/>
              <w:ind w:left="24" w:right="22"/>
              <w:jc w:val="center"/>
              <w:rPr>
                <w:b/>
                <w:sz w:val="3"/>
              </w:rPr>
            </w:pPr>
            <w:r>
              <w:rPr>
                <w:b/>
                <w:w w:val="105"/>
                <w:sz w:val="3"/>
              </w:rPr>
              <w:t>0-99</w:t>
            </w:r>
          </w:p>
        </w:tc>
        <w:tc>
          <w:tcPr>
            <w:tcW w:w="288" w:type="dxa"/>
            <w:tcBorders>
              <w:top w:val="nil"/>
              <w:bottom w:val="single" w:sz="48" w:space="0" w:color="F8CBAD"/>
            </w:tcBorders>
          </w:tcPr>
          <w:p w14:paraId="11308018" w14:textId="77777777" w:rsidR="00F65BCA" w:rsidRDefault="00216117">
            <w:pPr>
              <w:pStyle w:val="TableParagraph"/>
              <w:spacing w:line="22241" w:lineRule="atLeast"/>
              <w:ind w:left="24" w:right="24"/>
              <w:jc w:val="center"/>
              <w:rPr>
                <w:b/>
                <w:sz w:val="3"/>
              </w:rPr>
            </w:pPr>
            <w:r>
              <w:rPr>
                <w:b/>
                <w:w w:val="105"/>
                <w:sz w:val="3"/>
              </w:rPr>
              <w:t>100-199</w:t>
            </w:r>
          </w:p>
        </w:tc>
        <w:tc>
          <w:tcPr>
            <w:tcW w:w="288" w:type="dxa"/>
            <w:tcBorders>
              <w:top w:val="nil"/>
              <w:bottom w:val="single" w:sz="48" w:space="0" w:color="F8CBAD"/>
            </w:tcBorders>
          </w:tcPr>
          <w:p w14:paraId="0CAED9D6" w14:textId="77777777" w:rsidR="00F65BCA" w:rsidRDefault="00216117">
            <w:pPr>
              <w:pStyle w:val="TableParagraph"/>
              <w:spacing w:line="22241" w:lineRule="atLeast"/>
              <w:ind w:left="85"/>
              <w:rPr>
                <w:b/>
                <w:sz w:val="3"/>
              </w:rPr>
            </w:pPr>
            <w:r>
              <w:rPr>
                <w:b/>
                <w:w w:val="105"/>
                <w:sz w:val="3"/>
              </w:rPr>
              <w:t>200-299</w:t>
            </w:r>
          </w:p>
        </w:tc>
        <w:tc>
          <w:tcPr>
            <w:tcW w:w="288" w:type="dxa"/>
            <w:tcBorders>
              <w:top w:val="nil"/>
              <w:bottom w:val="single" w:sz="48" w:space="0" w:color="F8CBAD"/>
            </w:tcBorders>
          </w:tcPr>
          <w:p w14:paraId="2AE7944D" w14:textId="77777777" w:rsidR="00F65BCA" w:rsidRDefault="00216117">
            <w:pPr>
              <w:pStyle w:val="TableParagraph"/>
              <w:spacing w:line="22241" w:lineRule="atLeast"/>
              <w:ind w:left="24" w:right="24"/>
              <w:jc w:val="center"/>
              <w:rPr>
                <w:b/>
                <w:sz w:val="3"/>
              </w:rPr>
            </w:pPr>
            <w:r>
              <w:rPr>
                <w:b/>
                <w:w w:val="105"/>
                <w:sz w:val="3"/>
              </w:rPr>
              <w:t>300-399</w:t>
            </w:r>
          </w:p>
        </w:tc>
        <w:tc>
          <w:tcPr>
            <w:tcW w:w="288" w:type="dxa"/>
            <w:tcBorders>
              <w:top w:val="nil"/>
              <w:bottom w:val="single" w:sz="48" w:space="0" w:color="F8CBAD"/>
            </w:tcBorders>
          </w:tcPr>
          <w:p w14:paraId="1131123C" w14:textId="77777777" w:rsidR="00F65BCA" w:rsidRDefault="00216117">
            <w:pPr>
              <w:pStyle w:val="TableParagraph"/>
              <w:spacing w:line="22241" w:lineRule="atLeast"/>
              <w:ind w:left="85"/>
              <w:rPr>
                <w:b/>
                <w:sz w:val="3"/>
              </w:rPr>
            </w:pPr>
            <w:r>
              <w:rPr>
                <w:b/>
                <w:w w:val="105"/>
                <w:sz w:val="3"/>
              </w:rPr>
              <w:t>400-499</w:t>
            </w:r>
          </w:p>
        </w:tc>
        <w:tc>
          <w:tcPr>
            <w:tcW w:w="288" w:type="dxa"/>
            <w:tcBorders>
              <w:top w:val="nil"/>
              <w:bottom w:val="single" w:sz="48" w:space="0" w:color="F8CBAD"/>
            </w:tcBorders>
          </w:tcPr>
          <w:p w14:paraId="22954D7B" w14:textId="77777777" w:rsidR="00F65BCA" w:rsidRDefault="00216117">
            <w:pPr>
              <w:pStyle w:val="TableParagraph"/>
              <w:spacing w:line="22241" w:lineRule="atLeast"/>
              <w:ind w:left="24" w:right="24"/>
              <w:jc w:val="center"/>
              <w:rPr>
                <w:b/>
                <w:sz w:val="3"/>
              </w:rPr>
            </w:pPr>
            <w:r>
              <w:rPr>
                <w:b/>
                <w:w w:val="105"/>
                <w:sz w:val="3"/>
              </w:rPr>
              <w:t>500-599</w:t>
            </w:r>
          </w:p>
        </w:tc>
        <w:tc>
          <w:tcPr>
            <w:tcW w:w="288" w:type="dxa"/>
            <w:tcBorders>
              <w:top w:val="nil"/>
              <w:bottom w:val="single" w:sz="48" w:space="0" w:color="F8CBAD"/>
            </w:tcBorders>
          </w:tcPr>
          <w:p w14:paraId="54CA3EAD" w14:textId="77777777" w:rsidR="00F65BCA" w:rsidRDefault="00216117">
            <w:pPr>
              <w:pStyle w:val="TableParagraph"/>
              <w:spacing w:line="22241" w:lineRule="atLeast"/>
              <w:ind w:left="24" w:right="24"/>
              <w:jc w:val="center"/>
              <w:rPr>
                <w:b/>
                <w:sz w:val="3"/>
              </w:rPr>
            </w:pPr>
            <w:r>
              <w:rPr>
                <w:b/>
                <w:w w:val="105"/>
                <w:sz w:val="3"/>
              </w:rPr>
              <w:t>600-699</w:t>
            </w:r>
          </w:p>
        </w:tc>
        <w:tc>
          <w:tcPr>
            <w:tcW w:w="288" w:type="dxa"/>
            <w:tcBorders>
              <w:top w:val="nil"/>
              <w:bottom w:val="single" w:sz="48" w:space="0" w:color="F8CBAD"/>
            </w:tcBorders>
          </w:tcPr>
          <w:p w14:paraId="6DD34843" w14:textId="77777777" w:rsidR="00F65BCA" w:rsidRDefault="00216117">
            <w:pPr>
              <w:pStyle w:val="TableParagraph"/>
              <w:spacing w:line="22241" w:lineRule="atLeast"/>
              <w:ind w:left="85"/>
              <w:rPr>
                <w:b/>
                <w:sz w:val="3"/>
              </w:rPr>
            </w:pPr>
            <w:r>
              <w:rPr>
                <w:b/>
                <w:w w:val="105"/>
                <w:sz w:val="3"/>
              </w:rPr>
              <w:t>700-799</w:t>
            </w:r>
          </w:p>
        </w:tc>
        <w:tc>
          <w:tcPr>
            <w:tcW w:w="288" w:type="dxa"/>
            <w:tcBorders>
              <w:top w:val="nil"/>
              <w:bottom w:val="single" w:sz="48" w:space="0" w:color="F8CBAD"/>
            </w:tcBorders>
          </w:tcPr>
          <w:p w14:paraId="5D88353D" w14:textId="77777777" w:rsidR="00F65BCA" w:rsidRDefault="00216117">
            <w:pPr>
              <w:pStyle w:val="TableParagraph"/>
              <w:spacing w:line="22241" w:lineRule="atLeast"/>
              <w:ind w:left="24" w:right="24"/>
              <w:jc w:val="center"/>
              <w:rPr>
                <w:b/>
                <w:sz w:val="3"/>
              </w:rPr>
            </w:pPr>
            <w:r>
              <w:rPr>
                <w:b/>
                <w:w w:val="105"/>
                <w:sz w:val="3"/>
              </w:rPr>
              <w:t>800-999</w:t>
            </w:r>
          </w:p>
        </w:tc>
        <w:tc>
          <w:tcPr>
            <w:tcW w:w="288" w:type="dxa"/>
            <w:tcBorders>
              <w:top w:val="nil"/>
              <w:bottom w:val="single" w:sz="48" w:space="0" w:color="F8CBAD"/>
            </w:tcBorders>
          </w:tcPr>
          <w:p w14:paraId="4D6F4B96" w14:textId="77777777" w:rsidR="00F65BCA" w:rsidRDefault="00216117">
            <w:pPr>
              <w:pStyle w:val="TableParagraph"/>
              <w:spacing w:line="22241" w:lineRule="atLeast"/>
              <w:ind w:left="24" w:right="24"/>
              <w:jc w:val="center"/>
              <w:rPr>
                <w:b/>
                <w:sz w:val="3"/>
              </w:rPr>
            </w:pPr>
            <w:r>
              <w:rPr>
                <w:b/>
                <w:w w:val="105"/>
                <w:sz w:val="3"/>
              </w:rPr>
              <w:t>1000-1499</w:t>
            </w:r>
          </w:p>
        </w:tc>
        <w:tc>
          <w:tcPr>
            <w:tcW w:w="288" w:type="dxa"/>
            <w:tcBorders>
              <w:top w:val="nil"/>
              <w:bottom w:val="single" w:sz="48" w:space="0" w:color="F8CBAD"/>
            </w:tcBorders>
          </w:tcPr>
          <w:p w14:paraId="41B39EF2" w14:textId="77777777" w:rsidR="00F65BCA" w:rsidRDefault="00216117">
            <w:pPr>
              <w:pStyle w:val="TableParagraph"/>
              <w:spacing w:line="22241" w:lineRule="atLeast"/>
              <w:ind w:left="24" w:right="24"/>
              <w:jc w:val="center"/>
              <w:rPr>
                <w:b/>
                <w:sz w:val="3"/>
              </w:rPr>
            </w:pPr>
            <w:r>
              <w:rPr>
                <w:b/>
                <w:w w:val="105"/>
                <w:sz w:val="3"/>
              </w:rPr>
              <w:t>1500-1999</w:t>
            </w:r>
          </w:p>
        </w:tc>
        <w:tc>
          <w:tcPr>
            <w:tcW w:w="288" w:type="dxa"/>
            <w:tcBorders>
              <w:top w:val="nil"/>
              <w:bottom w:val="single" w:sz="48" w:space="0" w:color="F8CBAD"/>
            </w:tcBorders>
          </w:tcPr>
          <w:p w14:paraId="22E58182" w14:textId="77777777" w:rsidR="00F65BCA" w:rsidRDefault="00216117">
            <w:pPr>
              <w:pStyle w:val="TableParagraph"/>
              <w:spacing w:line="22241" w:lineRule="atLeast"/>
              <w:ind w:left="24" w:right="24"/>
              <w:jc w:val="center"/>
              <w:rPr>
                <w:b/>
                <w:sz w:val="3"/>
              </w:rPr>
            </w:pPr>
            <w:r>
              <w:rPr>
                <w:b/>
                <w:w w:val="105"/>
                <w:sz w:val="3"/>
              </w:rPr>
              <w:t>2000-2499</w:t>
            </w:r>
          </w:p>
        </w:tc>
        <w:tc>
          <w:tcPr>
            <w:tcW w:w="288" w:type="dxa"/>
            <w:tcBorders>
              <w:top w:val="nil"/>
              <w:bottom w:val="single" w:sz="48" w:space="0" w:color="F8CBAD"/>
            </w:tcBorders>
          </w:tcPr>
          <w:p w14:paraId="59A618AA" w14:textId="77777777" w:rsidR="00F65BCA" w:rsidRDefault="00216117">
            <w:pPr>
              <w:pStyle w:val="TableParagraph"/>
              <w:spacing w:line="22241" w:lineRule="atLeast"/>
              <w:ind w:left="88"/>
              <w:rPr>
                <w:b/>
                <w:sz w:val="3"/>
              </w:rPr>
            </w:pPr>
            <w:r>
              <w:rPr>
                <w:b/>
                <w:w w:val="105"/>
                <w:sz w:val="3"/>
              </w:rPr>
              <w:t>&gt;=2500</w:t>
            </w:r>
          </w:p>
        </w:tc>
      </w:tr>
      <w:tr w:rsidR="00F65BCA" w14:paraId="6EF2DB09" w14:textId="77777777">
        <w:trPr>
          <w:trHeight w:val="67"/>
        </w:trPr>
        <w:tc>
          <w:tcPr>
            <w:tcW w:w="526" w:type="dxa"/>
            <w:tcBorders>
              <w:top w:val="single" w:sz="48" w:space="0" w:color="F8CBAD"/>
            </w:tcBorders>
            <w:shd w:val="clear" w:color="auto" w:fill="FCE4D6"/>
          </w:tcPr>
          <w:p w14:paraId="14B9304A" w14:textId="77777777" w:rsidR="00F65BCA" w:rsidRDefault="00216117">
            <w:pPr>
              <w:pStyle w:val="TableParagraph"/>
              <w:spacing w:line="20991" w:lineRule="exact"/>
              <w:ind w:left="178" w:right="178"/>
              <w:jc w:val="center"/>
              <w:rPr>
                <w:sz w:val="3"/>
              </w:rPr>
            </w:pPr>
            <w:r>
              <w:rPr>
                <w:w w:val="105"/>
                <w:sz w:val="3"/>
              </w:rPr>
              <w:lastRenderedPageBreak/>
              <w:t>traktor</w:t>
            </w:r>
          </w:p>
        </w:tc>
        <w:tc>
          <w:tcPr>
            <w:tcW w:w="732" w:type="dxa"/>
            <w:tcBorders>
              <w:top w:val="single" w:sz="48" w:space="0" w:color="F8CBAD"/>
            </w:tcBorders>
            <w:shd w:val="clear" w:color="auto" w:fill="FCE4D6"/>
          </w:tcPr>
          <w:p w14:paraId="1F7E4932" w14:textId="77777777" w:rsidR="00F65BCA" w:rsidRDefault="00216117">
            <w:pPr>
              <w:pStyle w:val="TableParagraph"/>
              <w:spacing w:line="20991" w:lineRule="exact"/>
              <w:ind w:left="2"/>
              <w:jc w:val="center"/>
              <w:rPr>
                <w:sz w:val="3"/>
              </w:rPr>
            </w:pPr>
            <w:r>
              <w:rPr>
                <w:w w:val="103"/>
                <w:sz w:val="3"/>
              </w:rPr>
              <w:t>-</w:t>
            </w:r>
          </w:p>
        </w:tc>
        <w:tc>
          <w:tcPr>
            <w:tcW w:w="958" w:type="dxa"/>
            <w:gridSpan w:val="2"/>
            <w:tcBorders>
              <w:top w:val="single" w:sz="48" w:space="0" w:color="F8CBAD"/>
            </w:tcBorders>
            <w:shd w:val="clear" w:color="auto" w:fill="FCE4D6"/>
          </w:tcPr>
          <w:p w14:paraId="4ACAD37D" w14:textId="77777777" w:rsidR="00F65BCA" w:rsidRDefault="00216117">
            <w:pPr>
              <w:pStyle w:val="TableParagraph"/>
              <w:spacing w:line="20991" w:lineRule="exact"/>
              <w:ind w:left="1"/>
              <w:jc w:val="center"/>
              <w:rPr>
                <w:sz w:val="3"/>
              </w:rPr>
            </w:pPr>
            <w:r>
              <w:rPr>
                <w:w w:val="103"/>
                <w:sz w:val="3"/>
              </w:rPr>
              <w:t>-</w:t>
            </w:r>
          </w:p>
        </w:tc>
        <w:tc>
          <w:tcPr>
            <w:tcW w:w="576" w:type="dxa"/>
            <w:tcBorders>
              <w:top w:val="single" w:sz="48" w:space="0" w:color="F8CBAD"/>
            </w:tcBorders>
            <w:shd w:val="clear" w:color="auto" w:fill="FCE4D6"/>
          </w:tcPr>
          <w:p w14:paraId="62203175" w14:textId="77777777" w:rsidR="00F65BCA" w:rsidRDefault="00216117">
            <w:pPr>
              <w:pStyle w:val="TableParagraph"/>
              <w:spacing w:line="20991" w:lineRule="exact"/>
              <w:ind w:left="3"/>
              <w:jc w:val="center"/>
              <w:rPr>
                <w:sz w:val="3"/>
              </w:rPr>
            </w:pPr>
            <w:r>
              <w:rPr>
                <w:w w:val="103"/>
                <w:sz w:val="3"/>
              </w:rPr>
              <w:t>-</w:t>
            </w:r>
          </w:p>
        </w:tc>
        <w:tc>
          <w:tcPr>
            <w:tcW w:w="576" w:type="dxa"/>
            <w:tcBorders>
              <w:top w:val="single" w:sz="48" w:space="0" w:color="F8CBAD"/>
            </w:tcBorders>
            <w:shd w:val="clear" w:color="auto" w:fill="FCE4D6"/>
          </w:tcPr>
          <w:p w14:paraId="0816478C" w14:textId="77777777" w:rsidR="00F65BCA" w:rsidRDefault="00216117">
            <w:pPr>
              <w:pStyle w:val="TableParagraph"/>
              <w:spacing w:line="20991" w:lineRule="exact"/>
              <w:ind w:left="3"/>
              <w:jc w:val="center"/>
              <w:rPr>
                <w:sz w:val="3"/>
              </w:rPr>
            </w:pPr>
            <w:r>
              <w:rPr>
                <w:w w:val="103"/>
                <w:sz w:val="3"/>
              </w:rPr>
              <w:t>-</w:t>
            </w:r>
          </w:p>
        </w:tc>
        <w:tc>
          <w:tcPr>
            <w:tcW w:w="50" w:type="dxa"/>
            <w:vMerge w:val="restart"/>
            <w:tcBorders>
              <w:top w:val="nil"/>
              <w:bottom w:val="nil"/>
            </w:tcBorders>
          </w:tcPr>
          <w:p w14:paraId="59C38ADE" w14:textId="77777777" w:rsidR="00F65BCA" w:rsidRDefault="00F65BCA">
            <w:pPr>
              <w:pStyle w:val="TableParagraph"/>
              <w:rPr>
                <w:rFonts w:ascii="Times New Roman"/>
                <w:sz w:val="2"/>
              </w:rPr>
            </w:pPr>
          </w:p>
        </w:tc>
        <w:tc>
          <w:tcPr>
            <w:tcW w:w="288" w:type="dxa"/>
            <w:tcBorders>
              <w:top w:val="single" w:sz="48" w:space="0" w:color="F8CBAD"/>
            </w:tcBorders>
          </w:tcPr>
          <w:p w14:paraId="3DB34BA7" w14:textId="77777777" w:rsidR="00F65BCA" w:rsidRDefault="00216117">
            <w:pPr>
              <w:pStyle w:val="TableParagraph"/>
              <w:spacing w:line="20991" w:lineRule="exact"/>
              <w:ind w:left="24" w:right="24"/>
              <w:jc w:val="center"/>
              <w:rPr>
                <w:sz w:val="3"/>
              </w:rPr>
            </w:pPr>
            <w:r>
              <w:rPr>
                <w:w w:val="105"/>
                <w:sz w:val="3"/>
              </w:rPr>
              <w:t>0,37352624%</w:t>
            </w:r>
          </w:p>
        </w:tc>
        <w:tc>
          <w:tcPr>
            <w:tcW w:w="288" w:type="dxa"/>
            <w:tcBorders>
              <w:top w:val="single" w:sz="48" w:space="0" w:color="F8CBAD"/>
            </w:tcBorders>
          </w:tcPr>
          <w:p w14:paraId="226A19D1" w14:textId="77777777" w:rsidR="00F65BCA" w:rsidRDefault="00216117">
            <w:pPr>
              <w:pStyle w:val="TableParagraph"/>
              <w:spacing w:line="20991" w:lineRule="exact"/>
              <w:ind w:left="24" w:right="24"/>
              <w:jc w:val="center"/>
              <w:rPr>
                <w:sz w:val="3"/>
              </w:rPr>
            </w:pPr>
            <w:r>
              <w:rPr>
                <w:w w:val="105"/>
                <w:sz w:val="3"/>
              </w:rPr>
              <w:t>0,33420769%</w:t>
            </w:r>
          </w:p>
        </w:tc>
        <w:tc>
          <w:tcPr>
            <w:tcW w:w="288" w:type="dxa"/>
            <w:tcBorders>
              <w:top w:val="single" w:sz="48" w:space="0" w:color="F8CBAD"/>
            </w:tcBorders>
          </w:tcPr>
          <w:p w14:paraId="5B6D19BA" w14:textId="77777777" w:rsidR="00F65BCA" w:rsidRDefault="00216117">
            <w:pPr>
              <w:pStyle w:val="TableParagraph"/>
              <w:spacing w:line="20991" w:lineRule="exact"/>
              <w:ind w:left="47"/>
              <w:rPr>
                <w:sz w:val="3"/>
              </w:rPr>
            </w:pPr>
            <w:r>
              <w:rPr>
                <w:w w:val="105"/>
                <w:sz w:val="3"/>
              </w:rPr>
              <w:t>0,33420769%</w:t>
            </w:r>
          </w:p>
        </w:tc>
        <w:tc>
          <w:tcPr>
            <w:tcW w:w="288" w:type="dxa"/>
            <w:tcBorders>
              <w:top w:val="single" w:sz="48" w:space="0" w:color="F8CBAD"/>
            </w:tcBorders>
          </w:tcPr>
          <w:p w14:paraId="0380D442" w14:textId="77777777" w:rsidR="00F65BCA" w:rsidRDefault="00216117">
            <w:pPr>
              <w:pStyle w:val="TableParagraph"/>
              <w:spacing w:line="20991" w:lineRule="exact"/>
              <w:ind w:left="24" w:right="24"/>
              <w:jc w:val="center"/>
              <w:rPr>
                <w:sz w:val="3"/>
              </w:rPr>
            </w:pPr>
            <w:r>
              <w:rPr>
                <w:w w:val="105"/>
                <w:sz w:val="3"/>
              </w:rPr>
              <w:t>0,30471878%</w:t>
            </w:r>
          </w:p>
        </w:tc>
        <w:tc>
          <w:tcPr>
            <w:tcW w:w="288" w:type="dxa"/>
            <w:tcBorders>
              <w:top w:val="single" w:sz="48" w:space="0" w:color="F8CBAD"/>
            </w:tcBorders>
          </w:tcPr>
          <w:p w14:paraId="005B99BC" w14:textId="77777777" w:rsidR="00F65BCA" w:rsidRDefault="00216117">
            <w:pPr>
              <w:pStyle w:val="TableParagraph"/>
              <w:spacing w:line="20991" w:lineRule="exact"/>
              <w:ind w:left="47"/>
              <w:rPr>
                <w:sz w:val="3"/>
              </w:rPr>
            </w:pPr>
            <w:r>
              <w:rPr>
                <w:w w:val="105"/>
                <w:sz w:val="3"/>
              </w:rPr>
              <w:t>0,30471878%</w:t>
            </w:r>
          </w:p>
        </w:tc>
        <w:tc>
          <w:tcPr>
            <w:tcW w:w="288" w:type="dxa"/>
            <w:tcBorders>
              <w:top w:val="single" w:sz="48" w:space="0" w:color="F8CBAD"/>
            </w:tcBorders>
          </w:tcPr>
          <w:p w14:paraId="552565C9" w14:textId="77777777" w:rsidR="00F65BCA" w:rsidRDefault="00216117">
            <w:pPr>
              <w:pStyle w:val="TableParagraph"/>
              <w:spacing w:line="20991" w:lineRule="exact"/>
              <w:ind w:left="24" w:right="24"/>
              <w:jc w:val="center"/>
              <w:rPr>
                <w:sz w:val="3"/>
              </w:rPr>
            </w:pPr>
            <w:r>
              <w:rPr>
                <w:w w:val="105"/>
                <w:sz w:val="3"/>
              </w:rPr>
              <w:t>0,27522986%</w:t>
            </w:r>
          </w:p>
        </w:tc>
        <w:tc>
          <w:tcPr>
            <w:tcW w:w="288" w:type="dxa"/>
            <w:tcBorders>
              <w:top w:val="single" w:sz="48" w:space="0" w:color="F8CBAD"/>
            </w:tcBorders>
          </w:tcPr>
          <w:p w14:paraId="16BEBB79" w14:textId="77777777" w:rsidR="00F65BCA" w:rsidRDefault="00216117">
            <w:pPr>
              <w:pStyle w:val="TableParagraph"/>
              <w:spacing w:line="20991" w:lineRule="exact"/>
              <w:ind w:left="24" w:right="24"/>
              <w:jc w:val="center"/>
              <w:rPr>
                <w:sz w:val="3"/>
              </w:rPr>
            </w:pPr>
            <w:r>
              <w:rPr>
                <w:w w:val="105"/>
                <w:sz w:val="3"/>
              </w:rPr>
              <w:t>0,27522986%</w:t>
            </w:r>
          </w:p>
        </w:tc>
        <w:tc>
          <w:tcPr>
            <w:tcW w:w="288" w:type="dxa"/>
            <w:tcBorders>
              <w:top w:val="single" w:sz="48" w:space="0" w:color="F8CBAD"/>
            </w:tcBorders>
          </w:tcPr>
          <w:p w14:paraId="2E2ABE97" w14:textId="77777777" w:rsidR="00F65BCA" w:rsidRDefault="00216117">
            <w:pPr>
              <w:pStyle w:val="TableParagraph"/>
              <w:spacing w:line="20991" w:lineRule="exact"/>
              <w:ind w:left="47"/>
              <w:rPr>
                <w:sz w:val="3"/>
              </w:rPr>
            </w:pPr>
            <w:r>
              <w:rPr>
                <w:w w:val="105"/>
                <w:sz w:val="3"/>
              </w:rPr>
              <w:t>0,24574095%</w:t>
            </w:r>
          </w:p>
        </w:tc>
        <w:tc>
          <w:tcPr>
            <w:tcW w:w="288" w:type="dxa"/>
            <w:tcBorders>
              <w:top w:val="single" w:sz="48" w:space="0" w:color="F8CBAD"/>
            </w:tcBorders>
          </w:tcPr>
          <w:p w14:paraId="38DE7216" w14:textId="77777777" w:rsidR="00F65BCA" w:rsidRDefault="00216117">
            <w:pPr>
              <w:pStyle w:val="TableParagraph"/>
              <w:spacing w:line="20991" w:lineRule="exact"/>
              <w:ind w:left="24" w:right="24"/>
              <w:jc w:val="center"/>
              <w:rPr>
                <w:sz w:val="3"/>
              </w:rPr>
            </w:pPr>
            <w:r>
              <w:rPr>
                <w:w w:val="105"/>
                <w:sz w:val="3"/>
              </w:rPr>
              <w:t>0,24574095%</w:t>
            </w:r>
          </w:p>
        </w:tc>
        <w:tc>
          <w:tcPr>
            <w:tcW w:w="288" w:type="dxa"/>
            <w:tcBorders>
              <w:top w:val="single" w:sz="48" w:space="0" w:color="F8CBAD"/>
            </w:tcBorders>
          </w:tcPr>
          <w:p w14:paraId="48CB778E" w14:textId="77777777" w:rsidR="00F65BCA" w:rsidRDefault="00216117">
            <w:pPr>
              <w:pStyle w:val="TableParagraph"/>
              <w:spacing w:line="20991" w:lineRule="exact"/>
              <w:ind w:left="24" w:right="24"/>
              <w:jc w:val="center"/>
              <w:rPr>
                <w:sz w:val="3"/>
              </w:rPr>
            </w:pPr>
            <w:r>
              <w:rPr>
                <w:w w:val="105"/>
                <w:sz w:val="3"/>
              </w:rPr>
              <w:t>0,22608167%</w:t>
            </w:r>
          </w:p>
        </w:tc>
        <w:tc>
          <w:tcPr>
            <w:tcW w:w="288" w:type="dxa"/>
            <w:tcBorders>
              <w:top w:val="single" w:sz="48" w:space="0" w:color="F8CBAD"/>
            </w:tcBorders>
          </w:tcPr>
          <w:p w14:paraId="40B659F4" w14:textId="77777777" w:rsidR="00F65BCA" w:rsidRDefault="00216117">
            <w:pPr>
              <w:pStyle w:val="TableParagraph"/>
              <w:spacing w:line="20991" w:lineRule="exact"/>
              <w:ind w:left="24" w:right="24"/>
              <w:jc w:val="center"/>
              <w:rPr>
                <w:sz w:val="3"/>
              </w:rPr>
            </w:pPr>
            <w:r>
              <w:rPr>
                <w:w w:val="105"/>
                <w:sz w:val="3"/>
              </w:rPr>
              <w:t>0,21625204%</w:t>
            </w:r>
          </w:p>
        </w:tc>
        <w:tc>
          <w:tcPr>
            <w:tcW w:w="288" w:type="dxa"/>
            <w:tcBorders>
              <w:top w:val="single" w:sz="48" w:space="0" w:color="F8CBAD"/>
            </w:tcBorders>
          </w:tcPr>
          <w:p w14:paraId="2EA5B78A" w14:textId="77777777" w:rsidR="00F65BCA" w:rsidRDefault="00216117">
            <w:pPr>
              <w:pStyle w:val="TableParagraph"/>
              <w:spacing w:line="20991" w:lineRule="exact"/>
              <w:ind w:left="24" w:right="24"/>
              <w:jc w:val="center"/>
              <w:rPr>
                <w:sz w:val="3"/>
              </w:rPr>
            </w:pPr>
            <w:r>
              <w:rPr>
                <w:w w:val="105"/>
                <w:sz w:val="3"/>
              </w:rPr>
              <w:t>0,19659276%</w:t>
            </w:r>
          </w:p>
        </w:tc>
        <w:tc>
          <w:tcPr>
            <w:tcW w:w="288" w:type="dxa"/>
            <w:tcBorders>
              <w:top w:val="single" w:sz="48" w:space="0" w:color="F8CBAD"/>
            </w:tcBorders>
          </w:tcPr>
          <w:p w14:paraId="267EF111" w14:textId="77777777" w:rsidR="00F65BCA" w:rsidRDefault="00216117">
            <w:pPr>
              <w:pStyle w:val="TableParagraph"/>
              <w:spacing w:line="20991" w:lineRule="exact"/>
              <w:ind w:left="47"/>
              <w:rPr>
                <w:sz w:val="3"/>
              </w:rPr>
            </w:pPr>
            <w:r>
              <w:rPr>
                <w:w w:val="105"/>
                <w:sz w:val="3"/>
              </w:rPr>
              <w:t>0,19659276%</w:t>
            </w:r>
          </w:p>
        </w:tc>
      </w:tr>
      <w:tr w:rsidR="00F65BCA" w14:paraId="5C86A558" w14:textId="77777777">
        <w:trPr>
          <w:trHeight w:val="81"/>
        </w:trPr>
        <w:tc>
          <w:tcPr>
            <w:tcW w:w="526" w:type="dxa"/>
            <w:shd w:val="clear" w:color="auto" w:fill="FCE4D6"/>
          </w:tcPr>
          <w:p w14:paraId="75C9DB82" w14:textId="77777777" w:rsidR="00F65BCA" w:rsidRDefault="00216117">
            <w:pPr>
              <w:pStyle w:val="TableParagraph"/>
              <w:spacing w:line="23636" w:lineRule="atLeast"/>
              <w:ind w:right="62"/>
              <w:jc w:val="right"/>
              <w:rPr>
                <w:sz w:val="3"/>
              </w:rPr>
            </w:pPr>
            <w:r>
              <w:rPr>
                <w:sz w:val="3"/>
              </w:rPr>
              <w:lastRenderedPageBreak/>
              <w:t>motorový vozík (malotraktor)</w:t>
            </w:r>
          </w:p>
        </w:tc>
        <w:tc>
          <w:tcPr>
            <w:tcW w:w="732" w:type="dxa"/>
            <w:shd w:val="clear" w:color="auto" w:fill="FCE4D6"/>
          </w:tcPr>
          <w:p w14:paraId="5BF6F227" w14:textId="77777777" w:rsidR="00F65BCA" w:rsidRDefault="00216117">
            <w:pPr>
              <w:pStyle w:val="TableParagraph"/>
              <w:spacing w:line="23636" w:lineRule="atLeast"/>
              <w:ind w:left="2"/>
              <w:jc w:val="center"/>
              <w:rPr>
                <w:sz w:val="3"/>
              </w:rPr>
            </w:pPr>
            <w:r>
              <w:rPr>
                <w:w w:val="103"/>
                <w:sz w:val="3"/>
              </w:rPr>
              <w:t>-</w:t>
            </w:r>
          </w:p>
        </w:tc>
        <w:tc>
          <w:tcPr>
            <w:tcW w:w="958" w:type="dxa"/>
            <w:gridSpan w:val="2"/>
            <w:shd w:val="clear" w:color="auto" w:fill="FCE4D6"/>
          </w:tcPr>
          <w:p w14:paraId="2BB4999C" w14:textId="77777777" w:rsidR="00F65BCA" w:rsidRDefault="00216117">
            <w:pPr>
              <w:pStyle w:val="TableParagraph"/>
              <w:spacing w:line="23636" w:lineRule="atLeast"/>
              <w:ind w:left="1"/>
              <w:jc w:val="center"/>
              <w:rPr>
                <w:sz w:val="3"/>
              </w:rPr>
            </w:pPr>
            <w:r>
              <w:rPr>
                <w:w w:val="103"/>
                <w:sz w:val="3"/>
              </w:rPr>
              <w:t>-</w:t>
            </w:r>
          </w:p>
        </w:tc>
        <w:tc>
          <w:tcPr>
            <w:tcW w:w="576" w:type="dxa"/>
            <w:shd w:val="clear" w:color="auto" w:fill="FCE4D6"/>
          </w:tcPr>
          <w:p w14:paraId="4A75CE89" w14:textId="77777777" w:rsidR="00F65BCA" w:rsidRDefault="00216117">
            <w:pPr>
              <w:pStyle w:val="TableParagraph"/>
              <w:spacing w:line="23636" w:lineRule="atLeast"/>
              <w:ind w:left="3"/>
              <w:jc w:val="center"/>
              <w:rPr>
                <w:sz w:val="3"/>
              </w:rPr>
            </w:pPr>
            <w:r>
              <w:rPr>
                <w:w w:val="103"/>
                <w:sz w:val="3"/>
              </w:rPr>
              <w:t>-</w:t>
            </w:r>
          </w:p>
        </w:tc>
        <w:tc>
          <w:tcPr>
            <w:tcW w:w="576" w:type="dxa"/>
            <w:shd w:val="clear" w:color="auto" w:fill="FCE4D6"/>
          </w:tcPr>
          <w:p w14:paraId="248147F2" w14:textId="77777777" w:rsidR="00F65BCA" w:rsidRDefault="00216117">
            <w:pPr>
              <w:pStyle w:val="TableParagraph"/>
              <w:spacing w:line="23636" w:lineRule="atLeast"/>
              <w:ind w:left="3"/>
              <w:jc w:val="center"/>
              <w:rPr>
                <w:sz w:val="3"/>
              </w:rPr>
            </w:pPr>
            <w:r>
              <w:rPr>
                <w:w w:val="103"/>
                <w:sz w:val="3"/>
              </w:rPr>
              <w:t>-</w:t>
            </w:r>
          </w:p>
        </w:tc>
        <w:tc>
          <w:tcPr>
            <w:tcW w:w="50" w:type="dxa"/>
            <w:vMerge/>
            <w:tcBorders>
              <w:top w:val="nil"/>
              <w:bottom w:val="nil"/>
            </w:tcBorders>
          </w:tcPr>
          <w:p w14:paraId="0EB1D127" w14:textId="77777777" w:rsidR="00F65BCA" w:rsidRDefault="00F65BCA">
            <w:pPr>
              <w:rPr>
                <w:sz w:val="2"/>
                <w:szCs w:val="2"/>
              </w:rPr>
            </w:pPr>
          </w:p>
        </w:tc>
        <w:tc>
          <w:tcPr>
            <w:tcW w:w="288" w:type="dxa"/>
          </w:tcPr>
          <w:p w14:paraId="56B18E86" w14:textId="77777777" w:rsidR="00F65BCA" w:rsidRDefault="00216117">
            <w:pPr>
              <w:pStyle w:val="TableParagraph"/>
              <w:spacing w:line="23636" w:lineRule="atLeast"/>
              <w:ind w:left="24" w:right="24"/>
              <w:jc w:val="center"/>
              <w:rPr>
                <w:sz w:val="3"/>
              </w:rPr>
            </w:pPr>
            <w:r>
              <w:rPr>
                <w:w w:val="105"/>
                <w:sz w:val="3"/>
              </w:rPr>
              <w:t>0,37352624%</w:t>
            </w:r>
          </w:p>
        </w:tc>
        <w:tc>
          <w:tcPr>
            <w:tcW w:w="288" w:type="dxa"/>
          </w:tcPr>
          <w:p w14:paraId="74B57DD9" w14:textId="77777777" w:rsidR="00F65BCA" w:rsidRDefault="00216117">
            <w:pPr>
              <w:pStyle w:val="TableParagraph"/>
              <w:spacing w:line="23636" w:lineRule="atLeast"/>
              <w:ind w:left="24" w:right="24"/>
              <w:jc w:val="center"/>
              <w:rPr>
                <w:sz w:val="3"/>
              </w:rPr>
            </w:pPr>
            <w:r>
              <w:rPr>
                <w:w w:val="105"/>
                <w:sz w:val="3"/>
              </w:rPr>
              <w:t>0,33420769%</w:t>
            </w:r>
          </w:p>
        </w:tc>
        <w:tc>
          <w:tcPr>
            <w:tcW w:w="288" w:type="dxa"/>
          </w:tcPr>
          <w:p w14:paraId="71A9DF7F" w14:textId="77777777" w:rsidR="00F65BCA" w:rsidRDefault="00216117">
            <w:pPr>
              <w:pStyle w:val="TableParagraph"/>
              <w:spacing w:line="23636" w:lineRule="atLeast"/>
              <w:ind w:left="47"/>
              <w:rPr>
                <w:sz w:val="3"/>
              </w:rPr>
            </w:pPr>
            <w:r>
              <w:rPr>
                <w:w w:val="105"/>
                <w:sz w:val="3"/>
              </w:rPr>
              <w:t>0,33420769%</w:t>
            </w:r>
          </w:p>
        </w:tc>
        <w:tc>
          <w:tcPr>
            <w:tcW w:w="288" w:type="dxa"/>
          </w:tcPr>
          <w:p w14:paraId="1CEFFA1C" w14:textId="77777777" w:rsidR="00F65BCA" w:rsidRDefault="00216117">
            <w:pPr>
              <w:pStyle w:val="TableParagraph"/>
              <w:spacing w:line="23636" w:lineRule="atLeast"/>
              <w:ind w:left="24" w:right="24"/>
              <w:jc w:val="center"/>
              <w:rPr>
                <w:sz w:val="3"/>
              </w:rPr>
            </w:pPr>
            <w:r>
              <w:rPr>
                <w:w w:val="105"/>
                <w:sz w:val="3"/>
              </w:rPr>
              <w:t>0,30471878%</w:t>
            </w:r>
          </w:p>
        </w:tc>
        <w:tc>
          <w:tcPr>
            <w:tcW w:w="288" w:type="dxa"/>
          </w:tcPr>
          <w:p w14:paraId="3D5AB819" w14:textId="77777777" w:rsidR="00F65BCA" w:rsidRDefault="00216117">
            <w:pPr>
              <w:pStyle w:val="TableParagraph"/>
              <w:spacing w:line="23636" w:lineRule="atLeast"/>
              <w:ind w:left="47"/>
              <w:rPr>
                <w:sz w:val="3"/>
              </w:rPr>
            </w:pPr>
            <w:r>
              <w:rPr>
                <w:w w:val="105"/>
                <w:sz w:val="3"/>
              </w:rPr>
              <w:t>0,30471878%</w:t>
            </w:r>
          </w:p>
        </w:tc>
        <w:tc>
          <w:tcPr>
            <w:tcW w:w="288" w:type="dxa"/>
          </w:tcPr>
          <w:p w14:paraId="5C556C33" w14:textId="77777777" w:rsidR="00F65BCA" w:rsidRDefault="00216117">
            <w:pPr>
              <w:pStyle w:val="TableParagraph"/>
              <w:spacing w:line="23636" w:lineRule="atLeast"/>
              <w:ind w:left="24" w:right="24"/>
              <w:jc w:val="center"/>
              <w:rPr>
                <w:sz w:val="3"/>
              </w:rPr>
            </w:pPr>
            <w:r>
              <w:rPr>
                <w:w w:val="105"/>
                <w:sz w:val="3"/>
              </w:rPr>
              <w:t>0,27522986%</w:t>
            </w:r>
          </w:p>
        </w:tc>
        <w:tc>
          <w:tcPr>
            <w:tcW w:w="288" w:type="dxa"/>
          </w:tcPr>
          <w:p w14:paraId="5424C78E" w14:textId="77777777" w:rsidR="00F65BCA" w:rsidRDefault="00216117">
            <w:pPr>
              <w:pStyle w:val="TableParagraph"/>
              <w:spacing w:line="23636" w:lineRule="atLeast"/>
              <w:ind w:left="24" w:right="24"/>
              <w:jc w:val="center"/>
              <w:rPr>
                <w:sz w:val="3"/>
              </w:rPr>
            </w:pPr>
            <w:r>
              <w:rPr>
                <w:w w:val="105"/>
                <w:sz w:val="3"/>
              </w:rPr>
              <w:t>0,27522986%</w:t>
            </w:r>
          </w:p>
        </w:tc>
        <w:tc>
          <w:tcPr>
            <w:tcW w:w="288" w:type="dxa"/>
          </w:tcPr>
          <w:p w14:paraId="22086310" w14:textId="77777777" w:rsidR="00F65BCA" w:rsidRDefault="00216117">
            <w:pPr>
              <w:pStyle w:val="TableParagraph"/>
              <w:spacing w:line="23636" w:lineRule="atLeast"/>
              <w:ind w:left="47"/>
              <w:rPr>
                <w:sz w:val="3"/>
              </w:rPr>
            </w:pPr>
            <w:r>
              <w:rPr>
                <w:w w:val="105"/>
                <w:sz w:val="3"/>
              </w:rPr>
              <w:t>0,24574095%</w:t>
            </w:r>
          </w:p>
        </w:tc>
        <w:tc>
          <w:tcPr>
            <w:tcW w:w="288" w:type="dxa"/>
          </w:tcPr>
          <w:p w14:paraId="36CD1370" w14:textId="77777777" w:rsidR="00F65BCA" w:rsidRDefault="00216117">
            <w:pPr>
              <w:pStyle w:val="TableParagraph"/>
              <w:spacing w:line="23636" w:lineRule="atLeast"/>
              <w:ind w:left="24" w:right="24"/>
              <w:jc w:val="center"/>
              <w:rPr>
                <w:sz w:val="3"/>
              </w:rPr>
            </w:pPr>
            <w:r>
              <w:rPr>
                <w:w w:val="105"/>
                <w:sz w:val="3"/>
              </w:rPr>
              <w:t>0,24574095%</w:t>
            </w:r>
          </w:p>
        </w:tc>
        <w:tc>
          <w:tcPr>
            <w:tcW w:w="288" w:type="dxa"/>
          </w:tcPr>
          <w:p w14:paraId="746F731F" w14:textId="77777777" w:rsidR="00F65BCA" w:rsidRDefault="00216117">
            <w:pPr>
              <w:pStyle w:val="TableParagraph"/>
              <w:spacing w:line="23636" w:lineRule="atLeast"/>
              <w:ind w:left="24" w:right="24"/>
              <w:jc w:val="center"/>
              <w:rPr>
                <w:sz w:val="3"/>
              </w:rPr>
            </w:pPr>
            <w:r>
              <w:rPr>
                <w:w w:val="105"/>
                <w:sz w:val="3"/>
              </w:rPr>
              <w:t>0,22608167%</w:t>
            </w:r>
          </w:p>
        </w:tc>
        <w:tc>
          <w:tcPr>
            <w:tcW w:w="288" w:type="dxa"/>
          </w:tcPr>
          <w:p w14:paraId="72A05861" w14:textId="77777777" w:rsidR="00F65BCA" w:rsidRDefault="00216117">
            <w:pPr>
              <w:pStyle w:val="TableParagraph"/>
              <w:spacing w:line="23636" w:lineRule="atLeast"/>
              <w:ind w:left="24" w:right="24"/>
              <w:jc w:val="center"/>
              <w:rPr>
                <w:sz w:val="3"/>
              </w:rPr>
            </w:pPr>
            <w:r>
              <w:rPr>
                <w:w w:val="105"/>
                <w:sz w:val="3"/>
              </w:rPr>
              <w:t>0,21625204%</w:t>
            </w:r>
          </w:p>
        </w:tc>
        <w:tc>
          <w:tcPr>
            <w:tcW w:w="288" w:type="dxa"/>
          </w:tcPr>
          <w:p w14:paraId="0C6B85A4" w14:textId="77777777" w:rsidR="00F65BCA" w:rsidRDefault="00216117">
            <w:pPr>
              <w:pStyle w:val="TableParagraph"/>
              <w:spacing w:line="23636" w:lineRule="atLeast"/>
              <w:ind w:left="24" w:right="24"/>
              <w:jc w:val="center"/>
              <w:rPr>
                <w:sz w:val="3"/>
              </w:rPr>
            </w:pPr>
            <w:r>
              <w:rPr>
                <w:w w:val="105"/>
                <w:sz w:val="3"/>
              </w:rPr>
              <w:t>0,19659276%</w:t>
            </w:r>
          </w:p>
        </w:tc>
        <w:tc>
          <w:tcPr>
            <w:tcW w:w="288" w:type="dxa"/>
          </w:tcPr>
          <w:p w14:paraId="13F2968F" w14:textId="77777777" w:rsidR="00F65BCA" w:rsidRDefault="00216117">
            <w:pPr>
              <w:pStyle w:val="TableParagraph"/>
              <w:spacing w:line="23636" w:lineRule="atLeast"/>
              <w:ind w:left="47"/>
              <w:rPr>
                <w:sz w:val="3"/>
              </w:rPr>
            </w:pPr>
            <w:r>
              <w:rPr>
                <w:w w:val="105"/>
                <w:sz w:val="3"/>
              </w:rPr>
              <w:t>0,19659276%</w:t>
            </w:r>
          </w:p>
        </w:tc>
      </w:tr>
      <w:tr w:rsidR="00F65BCA" w14:paraId="1CD438E8" w14:textId="77777777">
        <w:trPr>
          <w:trHeight w:val="23"/>
        </w:trPr>
        <w:tc>
          <w:tcPr>
            <w:tcW w:w="526" w:type="dxa"/>
            <w:tcBorders>
              <w:bottom w:val="nil"/>
            </w:tcBorders>
            <w:shd w:val="clear" w:color="auto" w:fill="FCE4D6"/>
          </w:tcPr>
          <w:p w14:paraId="3482000E" w14:textId="77777777" w:rsidR="00F65BCA" w:rsidRDefault="00216117">
            <w:pPr>
              <w:pStyle w:val="TableParagraph"/>
              <w:spacing w:line="18236" w:lineRule="exact"/>
              <w:ind w:right="83"/>
              <w:jc w:val="right"/>
              <w:rPr>
                <w:sz w:val="3"/>
              </w:rPr>
            </w:pPr>
            <w:r>
              <w:rPr>
                <w:w w:val="105"/>
                <w:sz w:val="3"/>
              </w:rPr>
              <w:lastRenderedPageBreak/>
              <w:t>pracovní stroj samojízdný</w:t>
            </w:r>
          </w:p>
        </w:tc>
        <w:tc>
          <w:tcPr>
            <w:tcW w:w="732" w:type="dxa"/>
            <w:tcBorders>
              <w:bottom w:val="nil"/>
            </w:tcBorders>
            <w:shd w:val="clear" w:color="auto" w:fill="FCE4D6"/>
          </w:tcPr>
          <w:p w14:paraId="7A48DFD1" w14:textId="77777777" w:rsidR="00F65BCA" w:rsidRDefault="00216117">
            <w:pPr>
              <w:pStyle w:val="TableParagraph"/>
              <w:spacing w:line="18236" w:lineRule="exact"/>
              <w:ind w:left="2"/>
              <w:jc w:val="center"/>
              <w:rPr>
                <w:sz w:val="3"/>
              </w:rPr>
            </w:pPr>
            <w:r>
              <w:rPr>
                <w:w w:val="103"/>
                <w:sz w:val="3"/>
              </w:rPr>
              <w:t>-</w:t>
            </w:r>
          </w:p>
        </w:tc>
        <w:tc>
          <w:tcPr>
            <w:tcW w:w="351" w:type="dxa"/>
            <w:vMerge w:val="restart"/>
            <w:tcBorders>
              <w:left w:val="nil"/>
              <w:bottom w:val="single" w:sz="48" w:space="0" w:color="F8CBAD"/>
              <w:right w:val="nil"/>
            </w:tcBorders>
            <w:shd w:val="clear" w:color="auto" w:fill="FCE4D6"/>
          </w:tcPr>
          <w:p w14:paraId="58BF40BF" w14:textId="77777777" w:rsidR="00F65BCA" w:rsidRDefault="00216117">
            <w:pPr>
              <w:pStyle w:val="TableParagraph"/>
              <w:spacing w:line="18193" w:lineRule="exact"/>
              <w:ind w:left="16"/>
              <w:rPr>
                <w:b/>
                <w:sz w:val="3"/>
              </w:rPr>
            </w:pPr>
            <w:r>
              <w:rPr>
                <w:b/>
                <w:w w:val="105"/>
                <w:sz w:val="3"/>
              </w:rPr>
              <w:t>ovární značka</w:t>
            </w:r>
          </w:p>
        </w:tc>
        <w:tc>
          <w:tcPr>
            <w:tcW w:w="607" w:type="dxa"/>
            <w:vMerge w:val="restart"/>
            <w:tcBorders>
              <w:left w:val="nil"/>
              <w:bottom w:val="single" w:sz="48" w:space="0" w:color="F8CBAD"/>
            </w:tcBorders>
            <w:shd w:val="clear" w:color="auto" w:fill="FCE4D6"/>
          </w:tcPr>
          <w:p w14:paraId="3C23C7EA" w14:textId="77777777" w:rsidR="00F65BCA" w:rsidRDefault="00216117">
            <w:pPr>
              <w:pStyle w:val="TableParagraph"/>
              <w:spacing w:line="18193" w:lineRule="exact"/>
              <w:ind w:left="123"/>
              <w:rPr>
                <w:sz w:val="3"/>
              </w:rPr>
            </w:pPr>
            <w:r>
              <w:rPr>
                <w:w w:val="103"/>
                <w:sz w:val="3"/>
              </w:rPr>
              <w:t>-</w:t>
            </w:r>
          </w:p>
        </w:tc>
        <w:tc>
          <w:tcPr>
            <w:tcW w:w="576" w:type="dxa"/>
            <w:tcBorders>
              <w:bottom w:val="nil"/>
            </w:tcBorders>
            <w:shd w:val="clear" w:color="auto" w:fill="FCE4D6"/>
          </w:tcPr>
          <w:p w14:paraId="43B91E65" w14:textId="77777777" w:rsidR="00F65BCA" w:rsidRDefault="00216117">
            <w:pPr>
              <w:pStyle w:val="TableParagraph"/>
              <w:spacing w:line="18236" w:lineRule="exact"/>
              <w:ind w:left="3"/>
              <w:jc w:val="center"/>
              <w:rPr>
                <w:sz w:val="3"/>
              </w:rPr>
            </w:pPr>
            <w:r>
              <w:rPr>
                <w:w w:val="103"/>
                <w:sz w:val="3"/>
              </w:rPr>
              <w:t>-</w:t>
            </w:r>
          </w:p>
        </w:tc>
        <w:tc>
          <w:tcPr>
            <w:tcW w:w="576" w:type="dxa"/>
            <w:tcBorders>
              <w:bottom w:val="nil"/>
            </w:tcBorders>
            <w:shd w:val="clear" w:color="auto" w:fill="FCE4D6"/>
          </w:tcPr>
          <w:p w14:paraId="2FCFDFFC" w14:textId="77777777" w:rsidR="00F65BCA" w:rsidRDefault="00216117">
            <w:pPr>
              <w:pStyle w:val="TableParagraph"/>
              <w:spacing w:line="18236" w:lineRule="exact"/>
              <w:ind w:left="3"/>
              <w:jc w:val="center"/>
              <w:rPr>
                <w:sz w:val="3"/>
              </w:rPr>
            </w:pPr>
            <w:r>
              <w:rPr>
                <w:w w:val="103"/>
                <w:sz w:val="3"/>
              </w:rPr>
              <w:t>-</w:t>
            </w:r>
          </w:p>
        </w:tc>
        <w:tc>
          <w:tcPr>
            <w:tcW w:w="50" w:type="dxa"/>
            <w:vMerge/>
            <w:tcBorders>
              <w:top w:val="nil"/>
              <w:bottom w:val="nil"/>
            </w:tcBorders>
          </w:tcPr>
          <w:p w14:paraId="54D09179" w14:textId="77777777" w:rsidR="00F65BCA" w:rsidRDefault="00F65BCA">
            <w:pPr>
              <w:rPr>
                <w:sz w:val="2"/>
                <w:szCs w:val="2"/>
              </w:rPr>
            </w:pPr>
          </w:p>
        </w:tc>
        <w:tc>
          <w:tcPr>
            <w:tcW w:w="288" w:type="dxa"/>
            <w:tcBorders>
              <w:bottom w:val="nil"/>
            </w:tcBorders>
          </w:tcPr>
          <w:p w14:paraId="6069C15F" w14:textId="77777777" w:rsidR="00F65BCA" w:rsidRDefault="00216117">
            <w:pPr>
              <w:pStyle w:val="TableParagraph"/>
              <w:spacing w:line="18236" w:lineRule="exact"/>
              <w:ind w:left="24" w:right="24"/>
              <w:jc w:val="center"/>
              <w:rPr>
                <w:sz w:val="3"/>
              </w:rPr>
            </w:pPr>
            <w:r>
              <w:rPr>
                <w:w w:val="105"/>
                <w:sz w:val="3"/>
              </w:rPr>
              <w:t>0,37352624%</w:t>
            </w:r>
          </w:p>
        </w:tc>
        <w:tc>
          <w:tcPr>
            <w:tcW w:w="288" w:type="dxa"/>
            <w:tcBorders>
              <w:bottom w:val="nil"/>
            </w:tcBorders>
          </w:tcPr>
          <w:p w14:paraId="542C415D" w14:textId="77777777" w:rsidR="00F65BCA" w:rsidRDefault="00216117">
            <w:pPr>
              <w:pStyle w:val="TableParagraph"/>
              <w:spacing w:line="18236" w:lineRule="exact"/>
              <w:ind w:left="24" w:right="24"/>
              <w:jc w:val="center"/>
              <w:rPr>
                <w:sz w:val="3"/>
              </w:rPr>
            </w:pPr>
            <w:r>
              <w:rPr>
                <w:w w:val="105"/>
                <w:sz w:val="3"/>
              </w:rPr>
              <w:t>0,33420769%</w:t>
            </w:r>
          </w:p>
        </w:tc>
        <w:tc>
          <w:tcPr>
            <w:tcW w:w="288" w:type="dxa"/>
            <w:tcBorders>
              <w:bottom w:val="nil"/>
            </w:tcBorders>
          </w:tcPr>
          <w:p w14:paraId="40D45D2F" w14:textId="77777777" w:rsidR="00F65BCA" w:rsidRDefault="00216117">
            <w:pPr>
              <w:pStyle w:val="TableParagraph"/>
              <w:spacing w:line="18236" w:lineRule="exact"/>
              <w:ind w:left="47"/>
              <w:rPr>
                <w:sz w:val="3"/>
              </w:rPr>
            </w:pPr>
            <w:r>
              <w:rPr>
                <w:w w:val="105"/>
                <w:sz w:val="3"/>
              </w:rPr>
              <w:t>0,33420769%</w:t>
            </w:r>
          </w:p>
        </w:tc>
        <w:tc>
          <w:tcPr>
            <w:tcW w:w="288" w:type="dxa"/>
            <w:tcBorders>
              <w:bottom w:val="nil"/>
            </w:tcBorders>
          </w:tcPr>
          <w:p w14:paraId="2E07AA18" w14:textId="77777777" w:rsidR="00F65BCA" w:rsidRDefault="00216117">
            <w:pPr>
              <w:pStyle w:val="TableParagraph"/>
              <w:spacing w:line="18236" w:lineRule="exact"/>
              <w:ind w:left="24" w:right="24"/>
              <w:jc w:val="center"/>
              <w:rPr>
                <w:sz w:val="3"/>
              </w:rPr>
            </w:pPr>
            <w:r>
              <w:rPr>
                <w:w w:val="105"/>
                <w:sz w:val="3"/>
              </w:rPr>
              <w:t>0,30471878%</w:t>
            </w:r>
          </w:p>
        </w:tc>
        <w:tc>
          <w:tcPr>
            <w:tcW w:w="288" w:type="dxa"/>
            <w:tcBorders>
              <w:bottom w:val="nil"/>
            </w:tcBorders>
          </w:tcPr>
          <w:p w14:paraId="77152246" w14:textId="77777777" w:rsidR="00F65BCA" w:rsidRDefault="00216117">
            <w:pPr>
              <w:pStyle w:val="TableParagraph"/>
              <w:spacing w:line="18236" w:lineRule="exact"/>
              <w:ind w:left="47"/>
              <w:rPr>
                <w:sz w:val="3"/>
              </w:rPr>
            </w:pPr>
            <w:r>
              <w:rPr>
                <w:w w:val="105"/>
                <w:sz w:val="3"/>
              </w:rPr>
              <w:t>0,30471878%</w:t>
            </w:r>
          </w:p>
        </w:tc>
        <w:tc>
          <w:tcPr>
            <w:tcW w:w="288" w:type="dxa"/>
            <w:tcBorders>
              <w:bottom w:val="nil"/>
            </w:tcBorders>
          </w:tcPr>
          <w:p w14:paraId="00D0C32E" w14:textId="77777777" w:rsidR="00F65BCA" w:rsidRDefault="00216117">
            <w:pPr>
              <w:pStyle w:val="TableParagraph"/>
              <w:spacing w:line="18236" w:lineRule="exact"/>
              <w:ind w:left="24" w:right="24"/>
              <w:jc w:val="center"/>
              <w:rPr>
                <w:sz w:val="3"/>
              </w:rPr>
            </w:pPr>
            <w:r>
              <w:rPr>
                <w:w w:val="105"/>
                <w:sz w:val="3"/>
              </w:rPr>
              <w:t>0,27522986%</w:t>
            </w:r>
          </w:p>
        </w:tc>
        <w:tc>
          <w:tcPr>
            <w:tcW w:w="288" w:type="dxa"/>
            <w:tcBorders>
              <w:bottom w:val="nil"/>
            </w:tcBorders>
          </w:tcPr>
          <w:p w14:paraId="63DC76FA" w14:textId="77777777" w:rsidR="00F65BCA" w:rsidRDefault="00216117">
            <w:pPr>
              <w:pStyle w:val="TableParagraph"/>
              <w:spacing w:line="18236" w:lineRule="exact"/>
              <w:ind w:left="24" w:right="24"/>
              <w:jc w:val="center"/>
              <w:rPr>
                <w:sz w:val="3"/>
              </w:rPr>
            </w:pPr>
            <w:r>
              <w:rPr>
                <w:w w:val="105"/>
                <w:sz w:val="3"/>
              </w:rPr>
              <w:t>0,27522986%</w:t>
            </w:r>
          </w:p>
        </w:tc>
        <w:tc>
          <w:tcPr>
            <w:tcW w:w="288" w:type="dxa"/>
            <w:tcBorders>
              <w:bottom w:val="nil"/>
            </w:tcBorders>
          </w:tcPr>
          <w:p w14:paraId="1BCD48AA" w14:textId="77777777" w:rsidR="00F65BCA" w:rsidRDefault="00216117">
            <w:pPr>
              <w:pStyle w:val="TableParagraph"/>
              <w:spacing w:line="18236" w:lineRule="exact"/>
              <w:ind w:left="47"/>
              <w:rPr>
                <w:sz w:val="3"/>
              </w:rPr>
            </w:pPr>
            <w:r>
              <w:rPr>
                <w:w w:val="105"/>
                <w:sz w:val="3"/>
              </w:rPr>
              <w:t>0,24574095%</w:t>
            </w:r>
          </w:p>
        </w:tc>
        <w:tc>
          <w:tcPr>
            <w:tcW w:w="288" w:type="dxa"/>
            <w:tcBorders>
              <w:bottom w:val="nil"/>
            </w:tcBorders>
          </w:tcPr>
          <w:p w14:paraId="2D6959A8" w14:textId="77777777" w:rsidR="00F65BCA" w:rsidRDefault="00216117">
            <w:pPr>
              <w:pStyle w:val="TableParagraph"/>
              <w:spacing w:line="18236" w:lineRule="exact"/>
              <w:ind w:left="24" w:right="24"/>
              <w:jc w:val="center"/>
              <w:rPr>
                <w:sz w:val="3"/>
              </w:rPr>
            </w:pPr>
            <w:r>
              <w:rPr>
                <w:w w:val="105"/>
                <w:sz w:val="3"/>
              </w:rPr>
              <w:t>0,24574095%</w:t>
            </w:r>
          </w:p>
        </w:tc>
        <w:tc>
          <w:tcPr>
            <w:tcW w:w="288" w:type="dxa"/>
            <w:tcBorders>
              <w:bottom w:val="nil"/>
            </w:tcBorders>
          </w:tcPr>
          <w:p w14:paraId="3DA148D7" w14:textId="77777777" w:rsidR="00F65BCA" w:rsidRDefault="00216117">
            <w:pPr>
              <w:pStyle w:val="TableParagraph"/>
              <w:spacing w:line="18236" w:lineRule="exact"/>
              <w:ind w:left="24" w:right="24"/>
              <w:jc w:val="center"/>
              <w:rPr>
                <w:sz w:val="3"/>
              </w:rPr>
            </w:pPr>
            <w:r>
              <w:rPr>
                <w:w w:val="105"/>
                <w:sz w:val="3"/>
              </w:rPr>
              <w:t>0,22608167%</w:t>
            </w:r>
          </w:p>
        </w:tc>
        <w:tc>
          <w:tcPr>
            <w:tcW w:w="288" w:type="dxa"/>
            <w:tcBorders>
              <w:bottom w:val="nil"/>
            </w:tcBorders>
          </w:tcPr>
          <w:p w14:paraId="6F742C88" w14:textId="77777777" w:rsidR="00F65BCA" w:rsidRDefault="00216117">
            <w:pPr>
              <w:pStyle w:val="TableParagraph"/>
              <w:spacing w:line="18236" w:lineRule="exact"/>
              <w:ind w:left="24" w:right="24"/>
              <w:jc w:val="center"/>
              <w:rPr>
                <w:sz w:val="3"/>
              </w:rPr>
            </w:pPr>
            <w:r>
              <w:rPr>
                <w:w w:val="105"/>
                <w:sz w:val="3"/>
              </w:rPr>
              <w:t>0,21625204%</w:t>
            </w:r>
          </w:p>
        </w:tc>
        <w:tc>
          <w:tcPr>
            <w:tcW w:w="288" w:type="dxa"/>
            <w:tcBorders>
              <w:bottom w:val="nil"/>
            </w:tcBorders>
          </w:tcPr>
          <w:p w14:paraId="56DD41BC" w14:textId="77777777" w:rsidR="00F65BCA" w:rsidRDefault="00216117">
            <w:pPr>
              <w:pStyle w:val="TableParagraph"/>
              <w:spacing w:line="18236" w:lineRule="exact"/>
              <w:ind w:left="24" w:right="24"/>
              <w:jc w:val="center"/>
              <w:rPr>
                <w:sz w:val="3"/>
              </w:rPr>
            </w:pPr>
            <w:r>
              <w:rPr>
                <w:w w:val="105"/>
                <w:sz w:val="3"/>
              </w:rPr>
              <w:t>0,19659276%</w:t>
            </w:r>
          </w:p>
        </w:tc>
        <w:tc>
          <w:tcPr>
            <w:tcW w:w="288" w:type="dxa"/>
            <w:tcBorders>
              <w:bottom w:val="nil"/>
            </w:tcBorders>
          </w:tcPr>
          <w:p w14:paraId="012FAB88" w14:textId="77777777" w:rsidR="00F65BCA" w:rsidRDefault="00216117">
            <w:pPr>
              <w:pStyle w:val="TableParagraph"/>
              <w:spacing w:line="18236" w:lineRule="exact"/>
              <w:ind w:left="47"/>
              <w:rPr>
                <w:sz w:val="3"/>
              </w:rPr>
            </w:pPr>
            <w:r>
              <w:rPr>
                <w:w w:val="105"/>
                <w:sz w:val="3"/>
              </w:rPr>
              <w:t>0,19659276%</w:t>
            </w:r>
          </w:p>
        </w:tc>
      </w:tr>
      <w:tr w:rsidR="00F65BCA" w14:paraId="40E83210" w14:textId="77777777">
        <w:trPr>
          <w:trHeight w:val="10"/>
        </w:trPr>
        <w:tc>
          <w:tcPr>
            <w:tcW w:w="526" w:type="dxa"/>
            <w:tcBorders>
              <w:top w:val="nil"/>
              <w:bottom w:val="single" w:sz="48" w:space="0" w:color="F8CBAD"/>
            </w:tcBorders>
            <w:shd w:val="clear" w:color="auto" w:fill="FCE4D6"/>
          </w:tcPr>
          <w:p w14:paraId="1497CE1D" w14:textId="77777777" w:rsidR="00F65BCA" w:rsidRDefault="00216117">
            <w:pPr>
              <w:pStyle w:val="TableParagraph"/>
              <w:spacing w:line="28987" w:lineRule="atLeast"/>
              <w:ind w:right="96"/>
              <w:jc w:val="right"/>
              <w:rPr>
                <w:b/>
                <w:sz w:val="3"/>
              </w:rPr>
            </w:pPr>
            <w:r>
              <w:rPr>
                <w:b/>
                <w:sz w:val="3"/>
              </w:rPr>
              <w:lastRenderedPageBreak/>
              <w:t>Motocykly a čtyřkolky</w:t>
            </w:r>
          </w:p>
        </w:tc>
        <w:tc>
          <w:tcPr>
            <w:tcW w:w="732" w:type="dxa"/>
            <w:tcBorders>
              <w:top w:val="nil"/>
              <w:bottom w:val="single" w:sz="48" w:space="0" w:color="F8CBAD"/>
              <w:right w:val="nil"/>
            </w:tcBorders>
            <w:shd w:val="clear" w:color="auto" w:fill="FCE4D6"/>
          </w:tcPr>
          <w:p w14:paraId="1ECAE57F" w14:textId="77777777" w:rsidR="00F65BCA" w:rsidRDefault="00F65BCA">
            <w:pPr>
              <w:pStyle w:val="TableParagraph"/>
              <w:rPr>
                <w:rFonts w:ascii="Times New Roman"/>
                <w:sz w:val="2"/>
              </w:rPr>
            </w:pPr>
          </w:p>
        </w:tc>
        <w:tc>
          <w:tcPr>
            <w:tcW w:w="351" w:type="dxa"/>
            <w:vMerge/>
            <w:tcBorders>
              <w:top w:val="nil"/>
              <w:left w:val="nil"/>
              <w:bottom w:val="single" w:sz="48" w:space="0" w:color="F8CBAD"/>
              <w:right w:val="nil"/>
            </w:tcBorders>
            <w:shd w:val="clear" w:color="auto" w:fill="FCE4D6"/>
          </w:tcPr>
          <w:p w14:paraId="68D308BF" w14:textId="77777777" w:rsidR="00F65BCA" w:rsidRDefault="00F65BCA">
            <w:pPr>
              <w:rPr>
                <w:sz w:val="2"/>
                <w:szCs w:val="2"/>
              </w:rPr>
            </w:pPr>
          </w:p>
        </w:tc>
        <w:tc>
          <w:tcPr>
            <w:tcW w:w="607" w:type="dxa"/>
            <w:vMerge/>
            <w:tcBorders>
              <w:top w:val="nil"/>
              <w:left w:val="nil"/>
              <w:bottom w:val="single" w:sz="48" w:space="0" w:color="F8CBAD"/>
            </w:tcBorders>
            <w:shd w:val="clear" w:color="auto" w:fill="FCE4D6"/>
          </w:tcPr>
          <w:p w14:paraId="03037426" w14:textId="77777777" w:rsidR="00F65BCA" w:rsidRDefault="00F65BCA">
            <w:pPr>
              <w:rPr>
                <w:sz w:val="2"/>
                <w:szCs w:val="2"/>
              </w:rPr>
            </w:pPr>
          </w:p>
        </w:tc>
        <w:tc>
          <w:tcPr>
            <w:tcW w:w="576" w:type="dxa"/>
            <w:tcBorders>
              <w:top w:val="nil"/>
              <w:bottom w:val="single" w:sz="48" w:space="0" w:color="F8CBAD"/>
            </w:tcBorders>
            <w:shd w:val="clear" w:color="auto" w:fill="FCE4D6"/>
          </w:tcPr>
          <w:p w14:paraId="368B8F0D" w14:textId="77777777" w:rsidR="00F65BCA" w:rsidRDefault="00216117">
            <w:pPr>
              <w:pStyle w:val="TableParagraph"/>
              <w:spacing w:line="28987" w:lineRule="atLeast"/>
              <w:ind w:left="128" w:right="128"/>
              <w:jc w:val="center"/>
              <w:rPr>
                <w:b/>
                <w:sz w:val="3"/>
              </w:rPr>
            </w:pPr>
            <w:r>
              <w:rPr>
                <w:b/>
                <w:w w:val="105"/>
                <w:sz w:val="3"/>
              </w:rPr>
              <w:t>Objem motoru</w:t>
            </w:r>
          </w:p>
        </w:tc>
        <w:tc>
          <w:tcPr>
            <w:tcW w:w="576" w:type="dxa"/>
            <w:tcBorders>
              <w:top w:val="nil"/>
              <w:bottom w:val="single" w:sz="48" w:space="0" w:color="F8CBAD"/>
            </w:tcBorders>
            <w:shd w:val="clear" w:color="auto" w:fill="FCE4D6"/>
          </w:tcPr>
          <w:p w14:paraId="22FBB6E0" w14:textId="77777777" w:rsidR="00F65BCA" w:rsidRDefault="00216117">
            <w:pPr>
              <w:pStyle w:val="TableParagraph"/>
              <w:spacing w:line="28987" w:lineRule="atLeast"/>
              <w:ind w:left="150"/>
              <w:rPr>
                <w:b/>
                <w:sz w:val="3"/>
              </w:rPr>
            </w:pPr>
            <w:r>
              <w:rPr>
                <w:b/>
                <w:w w:val="105"/>
                <w:sz w:val="3"/>
              </w:rPr>
              <w:t>Celková hmotnost</w:t>
            </w:r>
          </w:p>
        </w:tc>
        <w:tc>
          <w:tcPr>
            <w:tcW w:w="50" w:type="dxa"/>
            <w:vMerge/>
            <w:tcBorders>
              <w:top w:val="nil"/>
              <w:bottom w:val="nil"/>
            </w:tcBorders>
          </w:tcPr>
          <w:p w14:paraId="2DA36EFE" w14:textId="77777777" w:rsidR="00F65BCA" w:rsidRDefault="00F65BCA">
            <w:pPr>
              <w:rPr>
                <w:sz w:val="2"/>
                <w:szCs w:val="2"/>
              </w:rPr>
            </w:pPr>
          </w:p>
        </w:tc>
        <w:tc>
          <w:tcPr>
            <w:tcW w:w="288" w:type="dxa"/>
            <w:tcBorders>
              <w:top w:val="nil"/>
              <w:bottom w:val="single" w:sz="48" w:space="0" w:color="F8CBAD"/>
            </w:tcBorders>
          </w:tcPr>
          <w:p w14:paraId="71E5C1EA" w14:textId="77777777" w:rsidR="00F65BCA" w:rsidRDefault="00216117">
            <w:pPr>
              <w:pStyle w:val="TableParagraph"/>
              <w:spacing w:line="28987" w:lineRule="atLeast"/>
              <w:ind w:left="24" w:right="22"/>
              <w:jc w:val="center"/>
              <w:rPr>
                <w:b/>
                <w:sz w:val="3"/>
              </w:rPr>
            </w:pPr>
            <w:r>
              <w:rPr>
                <w:b/>
                <w:w w:val="105"/>
                <w:sz w:val="3"/>
              </w:rPr>
              <w:t>0-99</w:t>
            </w:r>
          </w:p>
        </w:tc>
        <w:tc>
          <w:tcPr>
            <w:tcW w:w="288" w:type="dxa"/>
            <w:tcBorders>
              <w:top w:val="nil"/>
              <w:bottom w:val="single" w:sz="48" w:space="0" w:color="F8CBAD"/>
            </w:tcBorders>
          </w:tcPr>
          <w:p w14:paraId="164D1E54" w14:textId="77777777" w:rsidR="00F65BCA" w:rsidRDefault="00216117">
            <w:pPr>
              <w:pStyle w:val="TableParagraph"/>
              <w:spacing w:line="28987" w:lineRule="atLeast"/>
              <w:ind w:left="24" w:right="24"/>
              <w:jc w:val="center"/>
              <w:rPr>
                <w:b/>
                <w:sz w:val="3"/>
              </w:rPr>
            </w:pPr>
            <w:r>
              <w:rPr>
                <w:b/>
                <w:w w:val="105"/>
                <w:sz w:val="3"/>
              </w:rPr>
              <w:t>100-199</w:t>
            </w:r>
          </w:p>
        </w:tc>
        <w:tc>
          <w:tcPr>
            <w:tcW w:w="288" w:type="dxa"/>
            <w:tcBorders>
              <w:top w:val="nil"/>
              <w:bottom w:val="single" w:sz="48" w:space="0" w:color="F8CBAD"/>
            </w:tcBorders>
          </w:tcPr>
          <w:p w14:paraId="27913AC8" w14:textId="77777777" w:rsidR="00F65BCA" w:rsidRDefault="00216117">
            <w:pPr>
              <w:pStyle w:val="TableParagraph"/>
              <w:spacing w:line="28987" w:lineRule="atLeast"/>
              <w:ind w:left="85"/>
              <w:rPr>
                <w:b/>
                <w:sz w:val="3"/>
              </w:rPr>
            </w:pPr>
            <w:r>
              <w:rPr>
                <w:b/>
                <w:w w:val="105"/>
                <w:sz w:val="3"/>
              </w:rPr>
              <w:t>200-299</w:t>
            </w:r>
          </w:p>
        </w:tc>
        <w:tc>
          <w:tcPr>
            <w:tcW w:w="288" w:type="dxa"/>
            <w:tcBorders>
              <w:top w:val="nil"/>
              <w:bottom w:val="single" w:sz="48" w:space="0" w:color="F8CBAD"/>
            </w:tcBorders>
          </w:tcPr>
          <w:p w14:paraId="0988E253" w14:textId="77777777" w:rsidR="00F65BCA" w:rsidRDefault="00216117">
            <w:pPr>
              <w:pStyle w:val="TableParagraph"/>
              <w:spacing w:line="28987" w:lineRule="atLeast"/>
              <w:ind w:left="24" w:right="24"/>
              <w:jc w:val="center"/>
              <w:rPr>
                <w:b/>
                <w:sz w:val="3"/>
              </w:rPr>
            </w:pPr>
            <w:r>
              <w:rPr>
                <w:b/>
                <w:w w:val="105"/>
                <w:sz w:val="3"/>
              </w:rPr>
              <w:t>300-399</w:t>
            </w:r>
          </w:p>
        </w:tc>
        <w:tc>
          <w:tcPr>
            <w:tcW w:w="288" w:type="dxa"/>
            <w:tcBorders>
              <w:top w:val="nil"/>
              <w:bottom w:val="single" w:sz="48" w:space="0" w:color="F8CBAD"/>
            </w:tcBorders>
          </w:tcPr>
          <w:p w14:paraId="635F518F" w14:textId="77777777" w:rsidR="00F65BCA" w:rsidRDefault="00216117">
            <w:pPr>
              <w:pStyle w:val="TableParagraph"/>
              <w:spacing w:line="28987" w:lineRule="atLeast"/>
              <w:ind w:left="85"/>
              <w:rPr>
                <w:b/>
                <w:sz w:val="3"/>
              </w:rPr>
            </w:pPr>
            <w:r>
              <w:rPr>
                <w:b/>
                <w:w w:val="105"/>
                <w:sz w:val="3"/>
              </w:rPr>
              <w:t>400-499</w:t>
            </w:r>
          </w:p>
        </w:tc>
        <w:tc>
          <w:tcPr>
            <w:tcW w:w="288" w:type="dxa"/>
            <w:tcBorders>
              <w:top w:val="nil"/>
              <w:bottom w:val="single" w:sz="48" w:space="0" w:color="F8CBAD"/>
            </w:tcBorders>
          </w:tcPr>
          <w:p w14:paraId="5AC8B8C2" w14:textId="77777777" w:rsidR="00F65BCA" w:rsidRDefault="00216117">
            <w:pPr>
              <w:pStyle w:val="TableParagraph"/>
              <w:spacing w:line="28987" w:lineRule="atLeast"/>
              <w:ind w:left="24" w:right="24"/>
              <w:jc w:val="center"/>
              <w:rPr>
                <w:b/>
                <w:sz w:val="3"/>
              </w:rPr>
            </w:pPr>
            <w:r>
              <w:rPr>
                <w:b/>
                <w:w w:val="105"/>
                <w:sz w:val="3"/>
              </w:rPr>
              <w:t>500-599</w:t>
            </w:r>
          </w:p>
        </w:tc>
        <w:tc>
          <w:tcPr>
            <w:tcW w:w="288" w:type="dxa"/>
            <w:tcBorders>
              <w:top w:val="nil"/>
              <w:bottom w:val="single" w:sz="48" w:space="0" w:color="F8CBAD"/>
            </w:tcBorders>
          </w:tcPr>
          <w:p w14:paraId="6164D433" w14:textId="77777777" w:rsidR="00F65BCA" w:rsidRDefault="00216117">
            <w:pPr>
              <w:pStyle w:val="TableParagraph"/>
              <w:spacing w:line="28987" w:lineRule="atLeast"/>
              <w:ind w:left="24" w:right="24"/>
              <w:jc w:val="center"/>
              <w:rPr>
                <w:b/>
                <w:sz w:val="3"/>
              </w:rPr>
            </w:pPr>
            <w:r>
              <w:rPr>
                <w:b/>
                <w:w w:val="105"/>
                <w:sz w:val="3"/>
              </w:rPr>
              <w:t>600-699</w:t>
            </w:r>
          </w:p>
        </w:tc>
        <w:tc>
          <w:tcPr>
            <w:tcW w:w="288" w:type="dxa"/>
            <w:tcBorders>
              <w:top w:val="nil"/>
              <w:bottom w:val="single" w:sz="48" w:space="0" w:color="F8CBAD"/>
            </w:tcBorders>
          </w:tcPr>
          <w:p w14:paraId="742D8DAD" w14:textId="77777777" w:rsidR="00F65BCA" w:rsidRDefault="00216117">
            <w:pPr>
              <w:pStyle w:val="TableParagraph"/>
              <w:spacing w:line="28987" w:lineRule="atLeast"/>
              <w:ind w:left="85"/>
              <w:rPr>
                <w:b/>
                <w:sz w:val="3"/>
              </w:rPr>
            </w:pPr>
            <w:r>
              <w:rPr>
                <w:b/>
                <w:w w:val="105"/>
                <w:sz w:val="3"/>
              </w:rPr>
              <w:t>700-799</w:t>
            </w:r>
          </w:p>
        </w:tc>
        <w:tc>
          <w:tcPr>
            <w:tcW w:w="288" w:type="dxa"/>
            <w:tcBorders>
              <w:top w:val="nil"/>
              <w:bottom w:val="single" w:sz="48" w:space="0" w:color="F8CBAD"/>
            </w:tcBorders>
          </w:tcPr>
          <w:p w14:paraId="12A12E4C" w14:textId="77777777" w:rsidR="00F65BCA" w:rsidRDefault="00216117">
            <w:pPr>
              <w:pStyle w:val="TableParagraph"/>
              <w:spacing w:line="28987" w:lineRule="atLeast"/>
              <w:ind w:left="24" w:right="24"/>
              <w:jc w:val="center"/>
              <w:rPr>
                <w:b/>
                <w:sz w:val="3"/>
              </w:rPr>
            </w:pPr>
            <w:r>
              <w:rPr>
                <w:b/>
                <w:w w:val="105"/>
                <w:sz w:val="3"/>
              </w:rPr>
              <w:t>800-999</w:t>
            </w:r>
          </w:p>
        </w:tc>
        <w:tc>
          <w:tcPr>
            <w:tcW w:w="288" w:type="dxa"/>
            <w:tcBorders>
              <w:top w:val="nil"/>
              <w:bottom w:val="single" w:sz="48" w:space="0" w:color="F8CBAD"/>
            </w:tcBorders>
          </w:tcPr>
          <w:p w14:paraId="4C79C43E" w14:textId="77777777" w:rsidR="00F65BCA" w:rsidRDefault="00216117">
            <w:pPr>
              <w:pStyle w:val="TableParagraph"/>
              <w:spacing w:line="28987" w:lineRule="atLeast"/>
              <w:ind w:left="24" w:right="24"/>
              <w:jc w:val="center"/>
              <w:rPr>
                <w:b/>
                <w:sz w:val="3"/>
              </w:rPr>
            </w:pPr>
            <w:r>
              <w:rPr>
                <w:b/>
                <w:w w:val="105"/>
                <w:sz w:val="3"/>
              </w:rPr>
              <w:t>1000-1499</w:t>
            </w:r>
          </w:p>
        </w:tc>
        <w:tc>
          <w:tcPr>
            <w:tcW w:w="288" w:type="dxa"/>
            <w:tcBorders>
              <w:top w:val="nil"/>
              <w:bottom w:val="single" w:sz="48" w:space="0" w:color="F8CBAD"/>
            </w:tcBorders>
          </w:tcPr>
          <w:p w14:paraId="766A65EC" w14:textId="77777777" w:rsidR="00F65BCA" w:rsidRDefault="00216117">
            <w:pPr>
              <w:pStyle w:val="TableParagraph"/>
              <w:spacing w:line="28987" w:lineRule="atLeast"/>
              <w:ind w:left="24" w:right="24"/>
              <w:jc w:val="center"/>
              <w:rPr>
                <w:b/>
                <w:sz w:val="3"/>
              </w:rPr>
            </w:pPr>
            <w:r>
              <w:rPr>
                <w:b/>
                <w:w w:val="105"/>
                <w:sz w:val="3"/>
              </w:rPr>
              <w:t>1500-1999</w:t>
            </w:r>
          </w:p>
        </w:tc>
        <w:tc>
          <w:tcPr>
            <w:tcW w:w="288" w:type="dxa"/>
            <w:tcBorders>
              <w:top w:val="nil"/>
              <w:bottom w:val="single" w:sz="48" w:space="0" w:color="F8CBAD"/>
            </w:tcBorders>
          </w:tcPr>
          <w:p w14:paraId="6AD5020C" w14:textId="77777777" w:rsidR="00F65BCA" w:rsidRDefault="00216117">
            <w:pPr>
              <w:pStyle w:val="TableParagraph"/>
              <w:spacing w:line="28987" w:lineRule="atLeast"/>
              <w:ind w:left="24" w:right="24"/>
              <w:jc w:val="center"/>
              <w:rPr>
                <w:b/>
                <w:sz w:val="3"/>
              </w:rPr>
            </w:pPr>
            <w:r>
              <w:rPr>
                <w:b/>
                <w:w w:val="105"/>
                <w:sz w:val="3"/>
              </w:rPr>
              <w:t>2000-2499</w:t>
            </w:r>
          </w:p>
        </w:tc>
        <w:tc>
          <w:tcPr>
            <w:tcW w:w="288" w:type="dxa"/>
            <w:tcBorders>
              <w:top w:val="nil"/>
              <w:bottom w:val="single" w:sz="48" w:space="0" w:color="F8CBAD"/>
            </w:tcBorders>
          </w:tcPr>
          <w:p w14:paraId="08BC752F" w14:textId="77777777" w:rsidR="00F65BCA" w:rsidRDefault="00216117">
            <w:pPr>
              <w:pStyle w:val="TableParagraph"/>
              <w:spacing w:line="28987" w:lineRule="atLeast"/>
              <w:ind w:left="88"/>
              <w:rPr>
                <w:b/>
                <w:sz w:val="3"/>
              </w:rPr>
            </w:pPr>
            <w:r>
              <w:rPr>
                <w:b/>
                <w:w w:val="105"/>
                <w:sz w:val="3"/>
              </w:rPr>
              <w:t>&gt;=2500</w:t>
            </w:r>
          </w:p>
        </w:tc>
      </w:tr>
      <w:tr w:rsidR="00F65BCA" w14:paraId="27718ABE" w14:textId="77777777">
        <w:trPr>
          <w:trHeight w:val="98"/>
        </w:trPr>
        <w:tc>
          <w:tcPr>
            <w:tcW w:w="526" w:type="dxa"/>
            <w:tcBorders>
              <w:top w:val="single" w:sz="48" w:space="0" w:color="F8CBAD"/>
              <w:bottom w:val="nil"/>
            </w:tcBorders>
            <w:shd w:val="clear" w:color="auto" w:fill="FCE4D6"/>
          </w:tcPr>
          <w:p w14:paraId="26D56D2D" w14:textId="77777777" w:rsidR="00F65BCA" w:rsidRDefault="00F65BCA">
            <w:pPr>
              <w:pStyle w:val="TableParagraph"/>
              <w:rPr>
                <w:rFonts w:ascii="Times New Roman"/>
                <w:sz w:val="2"/>
              </w:rPr>
            </w:pPr>
          </w:p>
        </w:tc>
        <w:tc>
          <w:tcPr>
            <w:tcW w:w="1690" w:type="dxa"/>
            <w:gridSpan w:val="3"/>
            <w:tcBorders>
              <w:top w:val="single" w:sz="48" w:space="0" w:color="F8CBAD"/>
            </w:tcBorders>
            <w:shd w:val="clear" w:color="auto" w:fill="FCE4D6"/>
          </w:tcPr>
          <w:p w14:paraId="64CA1742" w14:textId="77777777" w:rsidR="00F65BCA" w:rsidRDefault="00216117">
            <w:pPr>
              <w:pStyle w:val="TableParagraph"/>
              <w:spacing w:line="7586" w:lineRule="exact"/>
              <w:ind w:right="210"/>
              <w:jc w:val="center"/>
              <w:rPr>
                <w:b/>
                <w:sz w:val="3"/>
              </w:rPr>
            </w:pPr>
            <w:r>
              <w:rPr>
                <w:b/>
                <w:w w:val="103"/>
                <w:sz w:val="3"/>
              </w:rPr>
              <w:t>T</w:t>
            </w:r>
          </w:p>
          <w:p w14:paraId="37EB3CDB" w14:textId="77777777" w:rsidR="00F65BCA" w:rsidRDefault="00216117">
            <w:pPr>
              <w:pStyle w:val="TableParagraph"/>
              <w:spacing w:line="7485" w:lineRule="exact"/>
              <w:ind w:right="112"/>
              <w:jc w:val="center"/>
              <w:rPr>
                <w:sz w:val="3"/>
              </w:rPr>
            </w:pPr>
            <w:r>
              <w:rPr>
                <w:w w:val="105"/>
                <w:sz w:val="3"/>
              </w:rPr>
              <w:t>Aixam; Bellier; Casalini; Elbee; Erad; Grecav; Chatenet; Italcar; JDM; JMSTAR; Ligier; Microcar; Renault; Tasso;</w:t>
            </w:r>
          </w:p>
        </w:tc>
        <w:tc>
          <w:tcPr>
            <w:tcW w:w="576" w:type="dxa"/>
            <w:tcBorders>
              <w:top w:val="single" w:sz="48" w:space="0" w:color="F8CBAD"/>
            </w:tcBorders>
            <w:shd w:val="clear" w:color="auto" w:fill="FCE4D6"/>
          </w:tcPr>
          <w:p w14:paraId="568A7D64" w14:textId="77777777" w:rsidR="00F65BCA" w:rsidRDefault="00216117">
            <w:pPr>
              <w:pStyle w:val="TableParagraph"/>
              <w:spacing w:line="7483" w:lineRule="exact"/>
              <w:ind w:left="4"/>
              <w:jc w:val="center"/>
              <w:rPr>
                <w:sz w:val="3"/>
              </w:rPr>
            </w:pPr>
            <w:r>
              <w:rPr>
                <w:w w:val="103"/>
                <w:sz w:val="3"/>
              </w:rPr>
              <w:t>-</w:t>
            </w:r>
          </w:p>
        </w:tc>
        <w:tc>
          <w:tcPr>
            <w:tcW w:w="576" w:type="dxa"/>
            <w:tcBorders>
              <w:top w:val="single" w:sz="48" w:space="0" w:color="F8CBAD"/>
            </w:tcBorders>
            <w:shd w:val="clear" w:color="auto" w:fill="FCE4D6"/>
          </w:tcPr>
          <w:p w14:paraId="19F94B62" w14:textId="77777777" w:rsidR="00F65BCA" w:rsidRDefault="00216117">
            <w:pPr>
              <w:pStyle w:val="TableParagraph"/>
              <w:spacing w:line="7483" w:lineRule="exact"/>
              <w:ind w:left="4"/>
              <w:jc w:val="center"/>
              <w:rPr>
                <w:sz w:val="3"/>
              </w:rPr>
            </w:pPr>
            <w:r>
              <w:rPr>
                <w:w w:val="103"/>
                <w:sz w:val="3"/>
              </w:rPr>
              <w:t>-</w:t>
            </w:r>
          </w:p>
        </w:tc>
        <w:tc>
          <w:tcPr>
            <w:tcW w:w="50" w:type="dxa"/>
            <w:vMerge w:val="restart"/>
            <w:tcBorders>
              <w:top w:val="nil"/>
              <w:bottom w:val="nil"/>
            </w:tcBorders>
          </w:tcPr>
          <w:p w14:paraId="0BCDB137" w14:textId="77777777" w:rsidR="00F65BCA" w:rsidRDefault="00F65BCA">
            <w:pPr>
              <w:pStyle w:val="TableParagraph"/>
              <w:rPr>
                <w:rFonts w:ascii="Times New Roman"/>
                <w:sz w:val="2"/>
              </w:rPr>
            </w:pPr>
          </w:p>
        </w:tc>
        <w:tc>
          <w:tcPr>
            <w:tcW w:w="288" w:type="dxa"/>
            <w:tcBorders>
              <w:top w:val="single" w:sz="48" w:space="0" w:color="F8CBAD"/>
            </w:tcBorders>
          </w:tcPr>
          <w:p w14:paraId="6D1450D0" w14:textId="77777777" w:rsidR="00F65BCA" w:rsidRDefault="00216117">
            <w:pPr>
              <w:pStyle w:val="TableParagraph"/>
              <w:spacing w:line="7483" w:lineRule="exact"/>
              <w:ind w:left="24" w:right="24"/>
              <w:jc w:val="center"/>
              <w:rPr>
                <w:sz w:val="3"/>
              </w:rPr>
            </w:pPr>
            <w:r>
              <w:rPr>
                <w:w w:val="105"/>
                <w:sz w:val="3"/>
              </w:rPr>
              <w:t>16,8838560%</w:t>
            </w:r>
          </w:p>
        </w:tc>
        <w:tc>
          <w:tcPr>
            <w:tcW w:w="288" w:type="dxa"/>
            <w:tcBorders>
              <w:top w:val="single" w:sz="48" w:space="0" w:color="F8CBAD"/>
            </w:tcBorders>
          </w:tcPr>
          <w:p w14:paraId="3F6D207E" w14:textId="77777777" w:rsidR="00F65BCA" w:rsidRDefault="00216117">
            <w:pPr>
              <w:pStyle w:val="TableParagraph"/>
              <w:spacing w:line="7483" w:lineRule="exact"/>
              <w:ind w:left="24" w:right="24"/>
              <w:jc w:val="center"/>
              <w:rPr>
                <w:sz w:val="3"/>
              </w:rPr>
            </w:pPr>
            <w:r>
              <w:rPr>
                <w:w w:val="105"/>
                <w:sz w:val="3"/>
              </w:rPr>
              <w:t>15,1066080%</w:t>
            </w:r>
          </w:p>
        </w:tc>
        <w:tc>
          <w:tcPr>
            <w:tcW w:w="288" w:type="dxa"/>
            <w:tcBorders>
              <w:top w:val="single" w:sz="48" w:space="0" w:color="F8CBAD"/>
            </w:tcBorders>
          </w:tcPr>
          <w:p w14:paraId="58844F06" w14:textId="77777777" w:rsidR="00F65BCA" w:rsidRDefault="00216117">
            <w:pPr>
              <w:pStyle w:val="TableParagraph"/>
              <w:spacing w:line="7483" w:lineRule="exact"/>
              <w:ind w:left="47"/>
              <w:rPr>
                <w:sz w:val="3"/>
              </w:rPr>
            </w:pPr>
            <w:r>
              <w:rPr>
                <w:w w:val="105"/>
                <w:sz w:val="3"/>
              </w:rPr>
              <w:t>15,1066080%</w:t>
            </w:r>
          </w:p>
        </w:tc>
        <w:tc>
          <w:tcPr>
            <w:tcW w:w="288" w:type="dxa"/>
            <w:tcBorders>
              <w:top w:val="single" w:sz="48" w:space="0" w:color="F8CBAD"/>
            </w:tcBorders>
          </w:tcPr>
          <w:p w14:paraId="66D87D6F" w14:textId="77777777" w:rsidR="00F65BCA" w:rsidRDefault="00216117">
            <w:pPr>
              <w:pStyle w:val="TableParagraph"/>
              <w:spacing w:line="7483" w:lineRule="exact"/>
              <w:ind w:left="24" w:right="24"/>
              <w:jc w:val="center"/>
              <w:rPr>
                <w:sz w:val="3"/>
              </w:rPr>
            </w:pPr>
            <w:r>
              <w:rPr>
                <w:w w:val="105"/>
                <w:sz w:val="3"/>
              </w:rPr>
              <w:t>13,7736720%</w:t>
            </w:r>
          </w:p>
        </w:tc>
        <w:tc>
          <w:tcPr>
            <w:tcW w:w="288" w:type="dxa"/>
            <w:tcBorders>
              <w:top w:val="single" w:sz="48" w:space="0" w:color="F8CBAD"/>
            </w:tcBorders>
          </w:tcPr>
          <w:p w14:paraId="1A50E684" w14:textId="77777777" w:rsidR="00F65BCA" w:rsidRDefault="00216117">
            <w:pPr>
              <w:pStyle w:val="TableParagraph"/>
              <w:spacing w:line="7483" w:lineRule="exact"/>
              <w:ind w:left="47"/>
              <w:rPr>
                <w:sz w:val="3"/>
              </w:rPr>
            </w:pPr>
            <w:r>
              <w:rPr>
                <w:w w:val="105"/>
                <w:sz w:val="3"/>
              </w:rPr>
              <w:t>13,7736720%</w:t>
            </w:r>
          </w:p>
        </w:tc>
        <w:tc>
          <w:tcPr>
            <w:tcW w:w="288" w:type="dxa"/>
            <w:tcBorders>
              <w:top w:val="single" w:sz="48" w:space="0" w:color="F8CBAD"/>
            </w:tcBorders>
          </w:tcPr>
          <w:p w14:paraId="2CA80B9A" w14:textId="77777777" w:rsidR="00F65BCA" w:rsidRDefault="00216117">
            <w:pPr>
              <w:pStyle w:val="TableParagraph"/>
              <w:spacing w:line="7483" w:lineRule="exact"/>
              <w:ind w:left="24" w:right="24"/>
              <w:jc w:val="center"/>
              <w:rPr>
                <w:sz w:val="3"/>
              </w:rPr>
            </w:pPr>
            <w:r>
              <w:rPr>
                <w:w w:val="105"/>
                <w:sz w:val="3"/>
              </w:rPr>
              <w:t>12,4407360%</w:t>
            </w:r>
          </w:p>
        </w:tc>
        <w:tc>
          <w:tcPr>
            <w:tcW w:w="288" w:type="dxa"/>
            <w:tcBorders>
              <w:top w:val="single" w:sz="48" w:space="0" w:color="F8CBAD"/>
            </w:tcBorders>
          </w:tcPr>
          <w:p w14:paraId="45D1EEE2" w14:textId="77777777" w:rsidR="00F65BCA" w:rsidRDefault="00216117">
            <w:pPr>
              <w:pStyle w:val="TableParagraph"/>
              <w:spacing w:line="7483" w:lineRule="exact"/>
              <w:ind w:left="24" w:right="24"/>
              <w:jc w:val="center"/>
              <w:rPr>
                <w:sz w:val="3"/>
              </w:rPr>
            </w:pPr>
            <w:r>
              <w:rPr>
                <w:w w:val="105"/>
                <w:sz w:val="3"/>
              </w:rPr>
              <w:t>12,4407360%</w:t>
            </w:r>
          </w:p>
        </w:tc>
        <w:tc>
          <w:tcPr>
            <w:tcW w:w="288" w:type="dxa"/>
            <w:tcBorders>
              <w:top w:val="single" w:sz="48" w:space="0" w:color="F8CBAD"/>
            </w:tcBorders>
          </w:tcPr>
          <w:p w14:paraId="21C62913" w14:textId="77777777" w:rsidR="00F65BCA" w:rsidRDefault="00216117">
            <w:pPr>
              <w:pStyle w:val="TableParagraph"/>
              <w:spacing w:line="7483" w:lineRule="exact"/>
              <w:ind w:left="47"/>
              <w:rPr>
                <w:sz w:val="3"/>
              </w:rPr>
            </w:pPr>
            <w:r>
              <w:rPr>
                <w:w w:val="105"/>
                <w:sz w:val="3"/>
              </w:rPr>
              <w:t>11,1078000%</w:t>
            </w:r>
          </w:p>
        </w:tc>
        <w:tc>
          <w:tcPr>
            <w:tcW w:w="288" w:type="dxa"/>
            <w:tcBorders>
              <w:top w:val="single" w:sz="48" w:space="0" w:color="F8CBAD"/>
            </w:tcBorders>
          </w:tcPr>
          <w:p w14:paraId="4A2270A1" w14:textId="77777777" w:rsidR="00F65BCA" w:rsidRDefault="00216117">
            <w:pPr>
              <w:pStyle w:val="TableParagraph"/>
              <w:spacing w:line="7483" w:lineRule="exact"/>
              <w:ind w:left="24" w:right="24"/>
              <w:jc w:val="center"/>
              <w:rPr>
                <w:sz w:val="3"/>
              </w:rPr>
            </w:pPr>
            <w:r>
              <w:rPr>
                <w:w w:val="105"/>
                <w:sz w:val="3"/>
              </w:rPr>
              <w:t>11,1078000%</w:t>
            </w:r>
          </w:p>
        </w:tc>
        <w:tc>
          <w:tcPr>
            <w:tcW w:w="288" w:type="dxa"/>
            <w:tcBorders>
              <w:top w:val="single" w:sz="48" w:space="0" w:color="F8CBAD"/>
            </w:tcBorders>
          </w:tcPr>
          <w:p w14:paraId="2647A935" w14:textId="77777777" w:rsidR="00F65BCA" w:rsidRDefault="00216117">
            <w:pPr>
              <w:pStyle w:val="TableParagraph"/>
              <w:spacing w:line="7483" w:lineRule="exact"/>
              <w:ind w:left="24" w:right="24"/>
              <w:jc w:val="center"/>
              <w:rPr>
                <w:sz w:val="3"/>
              </w:rPr>
            </w:pPr>
            <w:r>
              <w:rPr>
                <w:w w:val="105"/>
                <w:sz w:val="3"/>
              </w:rPr>
              <w:t>10,2191760%</w:t>
            </w:r>
          </w:p>
        </w:tc>
        <w:tc>
          <w:tcPr>
            <w:tcW w:w="288" w:type="dxa"/>
            <w:tcBorders>
              <w:top w:val="single" w:sz="48" w:space="0" w:color="F8CBAD"/>
            </w:tcBorders>
          </w:tcPr>
          <w:p w14:paraId="26330C21" w14:textId="77777777" w:rsidR="00F65BCA" w:rsidRDefault="00216117">
            <w:pPr>
              <w:pStyle w:val="TableParagraph"/>
              <w:spacing w:line="7483" w:lineRule="exact"/>
              <w:ind w:left="24" w:right="21"/>
              <w:jc w:val="center"/>
              <w:rPr>
                <w:sz w:val="3"/>
              </w:rPr>
            </w:pPr>
            <w:r>
              <w:rPr>
                <w:w w:val="105"/>
                <w:sz w:val="3"/>
              </w:rPr>
              <w:t>9,7748640%</w:t>
            </w:r>
          </w:p>
        </w:tc>
        <w:tc>
          <w:tcPr>
            <w:tcW w:w="288" w:type="dxa"/>
            <w:tcBorders>
              <w:top w:val="single" w:sz="48" w:space="0" w:color="F8CBAD"/>
            </w:tcBorders>
          </w:tcPr>
          <w:p w14:paraId="0F651878" w14:textId="77777777" w:rsidR="00F65BCA" w:rsidRDefault="00216117">
            <w:pPr>
              <w:pStyle w:val="TableParagraph"/>
              <w:spacing w:line="7483" w:lineRule="exact"/>
              <w:ind w:left="24" w:right="21"/>
              <w:jc w:val="center"/>
              <w:rPr>
                <w:sz w:val="3"/>
              </w:rPr>
            </w:pPr>
            <w:r>
              <w:rPr>
                <w:w w:val="105"/>
                <w:sz w:val="3"/>
              </w:rPr>
              <w:t>8,8862400%</w:t>
            </w:r>
          </w:p>
        </w:tc>
        <w:tc>
          <w:tcPr>
            <w:tcW w:w="288" w:type="dxa"/>
            <w:tcBorders>
              <w:top w:val="single" w:sz="48" w:space="0" w:color="F8CBAD"/>
            </w:tcBorders>
          </w:tcPr>
          <w:p w14:paraId="34687C33" w14:textId="77777777" w:rsidR="00F65BCA" w:rsidRDefault="00216117">
            <w:pPr>
              <w:pStyle w:val="TableParagraph"/>
              <w:spacing w:line="7483" w:lineRule="exact"/>
              <w:ind w:left="57"/>
              <w:rPr>
                <w:sz w:val="3"/>
              </w:rPr>
            </w:pPr>
            <w:r>
              <w:rPr>
                <w:w w:val="105"/>
                <w:sz w:val="3"/>
              </w:rPr>
              <w:t>8,8862400%</w:t>
            </w:r>
          </w:p>
        </w:tc>
      </w:tr>
      <w:tr w:rsidR="00F65BCA" w14:paraId="5AB10B5A" w14:textId="77777777">
        <w:trPr>
          <w:trHeight w:val="1041"/>
        </w:trPr>
        <w:tc>
          <w:tcPr>
            <w:tcW w:w="526" w:type="dxa"/>
            <w:tcBorders>
              <w:top w:val="nil"/>
            </w:tcBorders>
            <w:shd w:val="clear" w:color="auto" w:fill="FCE4D6"/>
          </w:tcPr>
          <w:p w14:paraId="49E4692C" w14:textId="77777777" w:rsidR="00F65BCA" w:rsidRDefault="00216117">
            <w:pPr>
              <w:pStyle w:val="TableParagraph"/>
              <w:spacing w:line="22037" w:lineRule="exact"/>
              <w:ind w:left="178" w:right="178"/>
              <w:jc w:val="center"/>
              <w:rPr>
                <w:sz w:val="3"/>
              </w:rPr>
            </w:pPr>
            <w:r>
              <w:rPr>
                <w:w w:val="105"/>
                <w:sz w:val="3"/>
              </w:rPr>
              <w:lastRenderedPageBreak/>
              <w:t>motocykl</w:t>
            </w:r>
          </w:p>
        </w:tc>
        <w:tc>
          <w:tcPr>
            <w:tcW w:w="1690" w:type="dxa"/>
            <w:gridSpan w:val="3"/>
            <w:shd w:val="clear" w:color="auto" w:fill="FCE4D6"/>
          </w:tcPr>
          <w:p w14:paraId="5AA3A821" w14:textId="77777777" w:rsidR="00F65BCA" w:rsidRDefault="00216117">
            <w:pPr>
              <w:pStyle w:val="TableParagraph"/>
              <w:spacing w:line="22426" w:lineRule="exact"/>
              <w:ind w:left="4"/>
              <w:rPr>
                <w:sz w:val="3"/>
              </w:rPr>
            </w:pPr>
            <w:r>
              <w:rPr>
                <w:w w:val="105"/>
                <w:sz w:val="3"/>
              </w:rPr>
              <w:t>Access; Actionbikes; Adams; Adiva; Adly; Aeon; Aie; AJP; Akumoto; Alke; AM; AMS; Anaig; Apollo; Aprilia; Arctic Cat;</w:t>
            </w:r>
          </w:p>
          <w:p w14:paraId="5375F073" w14:textId="77777777" w:rsidR="00F65BCA" w:rsidRDefault="00216117">
            <w:pPr>
              <w:pStyle w:val="TableParagraph"/>
              <w:spacing w:line="22385" w:lineRule="exact"/>
              <w:ind w:left="4"/>
              <w:rPr>
                <w:sz w:val="3"/>
              </w:rPr>
            </w:pPr>
            <w:r>
              <w:rPr>
                <w:w w:val="105"/>
                <w:sz w:val="3"/>
              </w:rPr>
              <w:t>Ariel;</w:t>
            </w:r>
            <w:r>
              <w:rPr>
                <w:spacing w:val="-4"/>
                <w:w w:val="105"/>
                <w:sz w:val="3"/>
              </w:rPr>
              <w:t xml:space="preserve"> </w:t>
            </w:r>
            <w:r>
              <w:rPr>
                <w:w w:val="105"/>
                <w:sz w:val="3"/>
              </w:rPr>
              <w:t>Autohandl;</w:t>
            </w:r>
            <w:r>
              <w:rPr>
                <w:spacing w:val="-3"/>
                <w:w w:val="105"/>
                <w:sz w:val="3"/>
              </w:rPr>
              <w:t xml:space="preserve"> </w:t>
            </w:r>
            <w:r>
              <w:rPr>
                <w:w w:val="105"/>
                <w:sz w:val="3"/>
              </w:rPr>
              <w:t>Babetta;</w:t>
            </w:r>
            <w:r>
              <w:rPr>
                <w:spacing w:val="-3"/>
                <w:w w:val="105"/>
                <w:sz w:val="3"/>
              </w:rPr>
              <w:t xml:space="preserve"> </w:t>
            </w:r>
            <w:r>
              <w:rPr>
                <w:w w:val="105"/>
                <w:sz w:val="3"/>
              </w:rPr>
              <w:t>Baotian;</w:t>
            </w:r>
            <w:r>
              <w:rPr>
                <w:spacing w:val="-3"/>
                <w:w w:val="105"/>
                <w:sz w:val="3"/>
              </w:rPr>
              <w:t xml:space="preserve"> </w:t>
            </w:r>
            <w:r>
              <w:rPr>
                <w:w w:val="105"/>
                <w:sz w:val="3"/>
              </w:rPr>
              <w:t>Barossa;</w:t>
            </w:r>
            <w:r>
              <w:rPr>
                <w:spacing w:val="-3"/>
                <w:w w:val="105"/>
                <w:sz w:val="3"/>
              </w:rPr>
              <w:t xml:space="preserve"> </w:t>
            </w:r>
            <w:r>
              <w:rPr>
                <w:w w:val="105"/>
                <w:sz w:val="3"/>
              </w:rPr>
              <w:t>Bashan;</w:t>
            </w:r>
            <w:r>
              <w:rPr>
                <w:spacing w:val="-3"/>
                <w:w w:val="105"/>
                <w:sz w:val="3"/>
              </w:rPr>
              <w:t xml:space="preserve"> </w:t>
            </w:r>
            <w:r>
              <w:rPr>
                <w:w w:val="105"/>
                <w:sz w:val="3"/>
              </w:rPr>
              <w:t>Benda;</w:t>
            </w:r>
            <w:r>
              <w:rPr>
                <w:spacing w:val="-3"/>
                <w:w w:val="105"/>
                <w:sz w:val="3"/>
              </w:rPr>
              <w:t xml:space="preserve"> </w:t>
            </w:r>
            <w:r>
              <w:rPr>
                <w:w w:val="105"/>
                <w:sz w:val="3"/>
              </w:rPr>
              <w:t>Benelli;</w:t>
            </w:r>
            <w:r>
              <w:rPr>
                <w:spacing w:val="-3"/>
                <w:w w:val="105"/>
                <w:sz w:val="3"/>
              </w:rPr>
              <w:t xml:space="preserve"> </w:t>
            </w:r>
            <w:r>
              <w:rPr>
                <w:w w:val="105"/>
                <w:sz w:val="3"/>
              </w:rPr>
              <w:t>Benycargo;</w:t>
            </w:r>
            <w:r>
              <w:rPr>
                <w:spacing w:val="-4"/>
                <w:w w:val="105"/>
                <w:sz w:val="3"/>
              </w:rPr>
              <w:t xml:space="preserve"> </w:t>
            </w:r>
            <w:r>
              <w:rPr>
                <w:w w:val="105"/>
                <w:sz w:val="3"/>
              </w:rPr>
              <w:t>Benzhou;</w:t>
            </w:r>
            <w:r>
              <w:rPr>
                <w:spacing w:val="-3"/>
                <w:w w:val="105"/>
                <w:sz w:val="3"/>
              </w:rPr>
              <w:t xml:space="preserve"> </w:t>
            </w:r>
            <w:r>
              <w:rPr>
                <w:w w:val="105"/>
                <w:sz w:val="3"/>
              </w:rPr>
              <w:t>Beta;</w:t>
            </w:r>
            <w:r>
              <w:rPr>
                <w:spacing w:val="-3"/>
                <w:w w:val="105"/>
                <w:sz w:val="3"/>
              </w:rPr>
              <w:t xml:space="preserve"> </w:t>
            </w:r>
            <w:r>
              <w:rPr>
                <w:w w:val="105"/>
                <w:sz w:val="3"/>
              </w:rPr>
              <w:t>Biaginni;</w:t>
            </w:r>
            <w:r>
              <w:rPr>
                <w:spacing w:val="-3"/>
                <w:w w:val="105"/>
                <w:sz w:val="3"/>
              </w:rPr>
              <w:t xml:space="preserve"> </w:t>
            </w:r>
            <w:r>
              <w:rPr>
                <w:w w:val="105"/>
                <w:sz w:val="3"/>
              </w:rPr>
              <w:t>Big</w:t>
            </w:r>
            <w:r>
              <w:rPr>
                <w:spacing w:val="-4"/>
                <w:w w:val="105"/>
                <w:sz w:val="3"/>
              </w:rPr>
              <w:t xml:space="preserve"> </w:t>
            </w:r>
            <w:r>
              <w:rPr>
                <w:w w:val="105"/>
                <w:sz w:val="3"/>
              </w:rPr>
              <w:t>Dog;</w:t>
            </w:r>
          </w:p>
          <w:p w14:paraId="6E964C48" w14:textId="77777777" w:rsidR="00F65BCA" w:rsidRDefault="00216117">
            <w:pPr>
              <w:pStyle w:val="TableParagraph"/>
              <w:spacing w:line="22345" w:lineRule="exact"/>
              <w:ind w:left="4"/>
              <w:rPr>
                <w:sz w:val="3"/>
              </w:rPr>
            </w:pPr>
            <w:r>
              <w:rPr>
                <w:w w:val="105"/>
                <w:sz w:val="3"/>
              </w:rPr>
              <w:t>Bimota;</w:t>
            </w:r>
            <w:r>
              <w:rPr>
                <w:spacing w:val="-2"/>
                <w:w w:val="105"/>
                <w:sz w:val="3"/>
              </w:rPr>
              <w:t xml:space="preserve"> </w:t>
            </w:r>
            <w:r>
              <w:rPr>
                <w:w w:val="105"/>
                <w:sz w:val="3"/>
              </w:rPr>
              <w:t>Blata;</w:t>
            </w:r>
            <w:r>
              <w:rPr>
                <w:spacing w:val="-2"/>
                <w:w w:val="105"/>
                <w:sz w:val="3"/>
              </w:rPr>
              <w:t xml:space="preserve"> </w:t>
            </w:r>
            <w:r>
              <w:rPr>
                <w:w w:val="105"/>
                <w:sz w:val="3"/>
              </w:rPr>
              <w:t>BMW;</w:t>
            </w:r>
            <w:r>
              <w:rPr>
                <w:spacing w:val="-2"/>
                <w:w w:val="105"/>
                <w:sz w:val="3"/>
              </w:rPr>
              <w:t xml:space="preserve"> </w:t>
            </w:r>
            <w:r>
              <w:rPr>
                <w:w w:val="105"/>
                <w:sz w:val="3"/>
              </w:rPr>
              <w:t>Bombardier;</w:t>
            </w:r>
            <w:r>
              <w:rPr>
                <w:spacing w:val="-2"/>
                <w:w w:val="105"/>
                <w:sz w:val="3"/>
              </w:rPr>
              <w:t xml:space="preserve"> </w:t>
            </w:r>
            <w:r>
              <w:rPr>
                <w:w w:val="105"/>
                <w:sz w:val="3"/>
              </w:rPr>
              <w:t>Boom</w:t>
            </w:r>
            <w:r>
              <w:rPr>
                <w:spacing w:val="-2"/>
                <w:w w:val="105"/>
                <w:sz w:val="3"/>
              </w:rPr>
              <w:t xml:space="preserve"> </w:t>
            </w:r>
            <w:r>
              <w:rPr>
                <w:w w:val="105"/>
                <w:sz w:val="3"/>
              </w:rPr>
              <w:t>trikes;</w:t>
            </w:r>
            <w:r>
              <w:rPr>
                <w:spacing w:val="-2"/>
                <w:w w:val="105"/>
                <w:sz w:val="3"/>
              </w:rPr>
              <w:t xml:space="preserve"> </w:t>
            </w:r>
            <w:r>
              <w:rPr>
                <w:w w:val="105"/>
                <w:sz w:val="3"/>
              </w:rPr>
              <w:t>Borile;</w:t>
            </w:r>
            <w:r>
              <w:rPr>
                <w:spacing w:val="-2"/>
                <w:w w:val="105"/>
                <w:sz w:val="3"/>
              </w:rPr>
              <w:t xml:space="preserve"> </w:t>
            </w:r>
            <w:r>
              <w:rPr>
                <w:w w:val="105"/>
                <w:sz w:val="3"/>
              </w:rPr>
              <w:t>Boss</w:t>
            </w:r>
            <w:r>
              <w:rPr>
                <w:spacing w:val="-2"/>
                <w:w w:val="105"/>
                <w:sz w:val="3"/>
              </w:rPr>
              <w:t xml:space="preserve"> </w:t>
            </w:r>
            <w:r>
              <w:rPr>
                <w:w w:val="105"/>
                <w:sz w:val="3"/>
              </w:rPr>
              <w:t>Hoss;</w:t>
            </w:r>
            <w:r>
              <w:rPr>
                <w:spacing w:val="-2"/>
                <w:w w:val="105"/>
                <w:sz w:val="3"/>
              </w:rPr>
              <w:t xml:space="preserve"> </w:t>
            </w:r>
            <w:r>
              <w:rPr>
                <w:w w:val="105"/>
                <w:sz w:val="3"/>
              </w:rPr>
              <w:t>BRP;</w:t>
            </w:r>
            <w:r>
              <w:rPr>
                <w:spacing w:val="-2"/>
                <w:w w:val="105"/>
                <w:sz w:val="3"/>
              </w:rPr>
              <w:t xml:space="preserve"> </w:t>
            </w:r>
            <w:r>
              <w:rPr>
                <w:w w:val="105"/>
                <w:sz w:val="3"/>
              </w:rPr>
              <w:t>BSA;</w:t>
            </w:r>
            <w:r>
              <w:rPr>
                <w:spacing w:val="-1"/>
                <w:w w:val="105"/>
                <w:sz w:val="3"/>
              </w:rPr>
              <w:t xml:space="preserve"> </w:t>
            </w:r>
            <w:r>
              <w:rPr>
                <w:w w:val="105"/>
                <w:sz w:val="3"/>
              </w:rPr>
              <w:t>Buell;</w:t>
            </w:r>
            <w:r>
              <w:rPr>
                <w:spacing w:val="-2"/>
                <w:w w:val="105"/>
                <w:sz w:val="3"/>
              </w:rPr>
              <w:t xml:space="preserve"> </w:t>
            </w:r>
            <w:r>
              <w:rPr>
                <w:w w:val="105"/>
                <w:sz w:val="3"/>
              </w:rPr>
              <w:t>Buyang;</w:t>
            </w:r>
            <w:r>
              <w:rPr>
                <w:spacing w:val="-2"/>
                <w:w w:val="105"/>
                <w:sz w:val="3"/>
              </w:rPr>
              <w:t xml:space="preserve"> </w:t>
            </w:r>
            <w:r>
              <w:rPr>
                <w:w w:val="105"/>
                <w:sz w:val="3"/>
              </w:rPr>
              <w:t>Cagiva;</w:t>
            </w:r>
            <w:r>
              <w:rPr>
                <w:spacing w:val="-2"/>
                <w:w w:val="105"/>
                <w:sz w:val="3"/>
              </w:rPr>
              <w:t xml:space="preserve"> </w:t>
            </w:r>
            <w:r>
              <w:rPr>
                <w:w w:val="105"/>
                <w:sz w:val="3"/>
              </w:rPr>
              <w:t>Campell;</w:t>
            </w:r>
            <w:r>
              <w:rPr>
                <w:spacing w:val="-2"/>
                <w:w w:val="105"/>
                <w:sz w:val="3"/>
              </w:rPr>
              <w:t xml:space="preserve"> </w:t>
            </w:r>
            <w:r>
              <w:rPr>
                <w:w w:val="105"/>
                <w:sz w:val="3"/>
              </w:rPr>
              <w:t>Can-</w:t>
            </w:r>
          </w:p>
          <w:p w14:paraId="16F96490" w14:textId="77777777" w:rsidR="00F65BCA" w:rsidRDefault="00216117">
            <w:pPr>
              <w:pStyle w:val="TableParagraph"/>
              <w:spacing w:line="22304" w:lineRule="exact"/>
              <w:ind w:left="4"/>
              <w:rPr>
                <w:sz w:val="3"/>
              </w:rPr>
            </w:pPr>
            <w:r>
              <w:rPr>
                <w:w w:val="105"/>
                <w:sz w:val="3"/>
              </w:rPr>
              <w:t>Am; Carter; CBC; Cectek; CF Moto; Cimatti; Cixi Kingring; CLS; Cosmopolitan; Coventry Eagle; CPI; Cyborg; ČLR Moto;</w:t>
            </w:r>
          </w:p>
          <w:p w14:paraId="7893AC45" w14:textId="77777777" w:rsidR="00F65BCA" w:rsidRDefault="00216117">
            <w:pPr>
              <w:pStyle w:val="TableParagraph"/>
              <w:spacing w:line="22263" w:lineRule="exact"/>
              <w:ind w:left="4"/>
              <w:rPr>
                <w:sz w:val="3"/>
              </w:rPr>
            </w:pPr>
            <w:r>
              <w:rPr>
                <w:w w:val="105"/>
                <w:sz w:val="3"/>
              </w:rPr>
              <w:t>ČZ;</w:t>
            </w:r>
            <w:r>
              <w:rPr>
                <w:spacing w:val="-4"/>
                <w:w w:val="105"/>
                <w:sz w:val="3"/>
              </w:rPr>
              <w:t xml:space="preserve"> </w:t>
            </w:r>
            <w:r>
              <w:rPr>
                <w:w w:val="105"/>
                <w:sz w:val="3"/>
              </w:rPr>
              <w:t>Dadyw;</w:t>
            </w:r>
            <w:r>
              <w:rPr>
                <w:spacing w:val="-4"/>
                <w:w w:val="105"/>
                <w:sz w:val="3"/>
              </w:rPr>
              <w:t xml:space="preserve"> </w:t>
            </w:r>
            <w:r>
              <w:rPr>
                <w:w w:val="105"/>
                <w:sz w:val="3"/>
              </w:rPr>
              <w:t>Daelim;</w:t>
            </w:r>
            <w:r>
              <w:rPr>
                <w:spacing w:val="-4"/>
                <w:w w:val="105"/>
                <w:sz w:val="3"/>
              </w:rPr>
              <w:t xml:space="preserve"> </w:t>
            </w:r>
            <w:r>
              <w:rPr>
                <w:w w:val="105"/>
                <w:sz w:val="3"/>
              </w:rPr>
              <w:t>Derbi;</w:t>
            </w:r>
            <w:r>
              <w:rPr>
                <w:spacing w:val="-3"/>
                <w:w w:val="105"/>
                <w:sz w:val="3"/>
              </w:rPr>
              <w:t xml:space="preserve"> </w:t>
            </w:r>
            <w:r>
              <w:rPr>
                <w:w w:val="105"/>
                <w:sz w:val="3"/>
              </w:rPr>
              <w:t>Dinli;</w:t>
            </w:r>
            <w:r>
              <w:rPr>
                <w:spacing w:val="-4"/>
                <w:w w:val="105"/>
                <w:sz w:val="3"/>
              </w:rPr>
              <w:t xml:space="preserve"> </w:t>
            </w:r>
            <w:r>
              <w:rPr>
                <w:w w:val="105"/>
                <w:sz w:val="3"/>
              </w:rPr>
              <w:t>Divine</w:t>
            </w:r>
            <w:r>
              <w:rPr>
                <w:spacing w:val="-5"/>
                <w:w w:val="105"/>
                <w:sz w:val="3"/>
              </w:rPr>
              <w:t xml:space="preserve"> </w:t>
            </w:r>
            <w:r>
              <w:rPr>
                <w:w w:val="105"/>
                <w:sz w:val="3"/>
              </w:rPr>
              <w:t>Star&amp;Moon;</w:t>
            </w:r>
            <w:r>
              <w:rPr>
                <w:spacing w:val="-3"/>
                <w:w w:val="105"/>
                <w:sz w:val="3"/>
              </w:rPr>
              <w:t xml:space="preserve"> </w:t>
            </w:r>
            <w:r>
              <w:rPr>
                <w:w w:val="105"/>
                <w:sz w:val="3"/>
              </w:rPr>
              <w:t>Dněpr;</w:t>
            </w:r>
            <w:r>
              <w:rPr>
                <w:spacing w:val="-4"/>
                <w:w w:val="105"/>
                <w:sz w:val="3"/>
              </w:rPr>
              <w:t xml:space="preserve"> </w:t>
            </w:r>
            <w:r>
              <w:rPr>
                <w:w w:val="105"/>
                <w:sz w:val="3"/>
              </w:rPr>
              <w:t>Dongfang;</w:t>
            </w:r>
            <w:r>
              <w:rPr>
                <w:spacing w:val="-4"/>
                <w:w w:val="105"/>
                <w:sz w:val="3"/>
              </w:rPr>
              <w:t xml:space="preserve"> </w:t>
            </w:r>
            <w:r>
              <w:rPr>
                <w:w w:val="105"/>
                <w:sz w:val="3"/>
              </w:rPr>
              <w:t>Dresel;</w:t>
            </w:r>
            <w:r>
              <w:rPr>
                <w:spacing w:val="-3"/>
                <w:w w:val="105"/>
                <w:sz w:val="3"/>
              </w:rPr>
              <w:t xml:space="preserve"> </w:t>
            </w:r>
            <w:r>
              <w:rPr>
                <w:w w:val="105"/>
                <w:sz w:val="3"/>
              </w:rPr>
              <w:t>Ducati;</w:t>
            </w:r>
            <w:r>
              <w:rPr>
                <w:spacing w:val="-4"/>
                <w:w w:val="105"/>
                <w:sz w:val="3"/>
              </w:rPr>
              <w:t xml:space="preserve"> </w:t>
            </w:r>
            <w:r>
              <w:rPr>
                <w:w w:val="105"/>
                <w:sz w:val="3"/>
              </w:rPr>
              <w:t>Eagel</w:t>
            </w:r>
            <w:r>
              <w:rPr>
                <w:spacing w:val="-4"/>
                <w:w w:val="105"/>
                <w:sz w:val="3"/>
              </w:rPr>
              <w:t xml:space="preserve"> </w:t>
            </w:r>
            <w:r>
              <w:rPr>
                <w:w w:val="105"/>
                <w:sz w:val="3"/>
              </w:rPr>
              <w:t>Motorsports;</w:t>
            </w:r>
            <w:r>
              <w:rPr>
                <w:spacing w:val="-4"/>
                <w:w w:val="105"/>
                <w:sz w:val="3"/>
              </w:rPr>
              <w:t xml:space="preserve"> </w:t>
            </w:r>
            <w:r>
              <w:rPr>
                <w:w w:val="105"/>
                <w:sz w:val="3"/>
              </w:rPr>
              <w:t>Easy</w:t>
            </w:r>
            <w:r>
              <w:rPr>
                <w:spacing w:val="-4"/>
                <w:w w:val="105"/>
                <w:sz w:val="3"/>
              </w:rPr>
              <w:t xml:space="preserve"> </w:t>
            </w:r>
            <w:r>
              <w:rPr>
                <w:w w:val="105"/>
                <w:sz w:val="3"/>
              </w:rPr>
              <w:t>Trike;</w:t>
            </w:r>
          </w:p>
          <w:p w14:paraId="5444C99A" w14:textId="77777777" w:rsidR="00F65BCA" w:rsidRDefault="00216117">
            <w:pPr>
              <w:pStyle w:val="TableParagraph"/>
              <w:spacing w:line="22222" w:lineRule="exact"/>
              <w:ind w:left="4"/>
              <w:rPr>
                <w:sz w:val="3"/>
              </w:rPr>
            </w:pPr>
            <w:r>
              <w:rPr>
                <w:w w:val="105"/>
                <w:sz w:val="3"/>
              </w:rPr>
              <w:t>Eglmotor;</w:t>
            </w:r>
            <w:r>
              <w:rPr>
                <w:spacing w:val="-3"/>
                <w:w w:val="105"/>
                <w:sz w:val="3"/>
              </w:rPr>
              <w:t xml:space="preserve"> </w:t>
            </w:r>
            <w:r>
              <w:rPr>
                <w:w w:val="105"/>
                <w:sz w:val="3"/>
              </w:rPr>
              <w:t>EHO;</w:t>
            </w:r>
            <w:r>
              <w:rPr>
                <w:spacing w:val="-2"/>
                <w:w w:val="105"/>
                <w:sz w:val="3"/>
              </w:rPr>
              <w:t xml:space="preserve"> </w:t>
            </w:r>
            <w:r>
              <w:rPr>
                <w:w w:val="105"/>
                <w:sz w:val="3"/>
              </w:rPr>
              <w:t>ELA;</w:t>
            </w:r>
            <w:r>
              <w:rPr>
                <w:spacing w:val="-2"/>
                <w:w w:val="105"/>
                <w:sz w:val="3"/>
              </w:rPr>
              <w:t xml:space="preserve"> </w:t>
            </w:r>
            <w:r>
              <w:rPr>
                <w:w w:val="105"/>
                <w:sz w:val="3"/>
              </w:rPr>
              <w:t>Elektropower;</w:t>
            </w:r>
            <w:r>
              <w:rPr>
                <w:spacing w:val="-2"/>
                <w:w w:val="105"/>
                <w:sz w:val="3"/>
              </w:rPr>
              <w:t xml:space="preserve"> </w:t>
            </w:r>
            <w:r>
              <w:rPr>
                <w:w w:val="105"/>
                <w:sz w:val="3"/>
              </w:rPr>
              <w:t>E-max;</w:t>
            </w:r>
            <w:r>
              <w:rPr>
                <w:spacing w:val="-2"/>
                <w:w w:val="105"/>
                <w:sz w:val="3"/>
              </w:rPr>
              <w:t xml:space="preserve"> </w:t>
            </w:r>
            <w:r>
              <w:rPr>
                <w:w w:val="105"/>
                <w:sz w:val="3"/>
              </w:rPr>
              <w:t>EMU;</w:t>
            </w:r>
            <w:r>
              <w:rPr>
                <w:spacing w:val="-3"/>
                <w:w w:val="105"/>
                <w:sz w:val="3"/>
              </w:rPr>
              <w:t xml:space="preserve"> </w:t>
            </w:r>
            <w:r>
              <w:rPr>
                <w:w w:val="105"/>
                <w:sz w:val="3"/>
              </w:rPr>
              <w:t>Enfield;</w:t>
            </w:r>
            <w:r>
              <w:rPr>
                <w:spacing w:val="-2"/>
                <w:w w:val="105"/>
                <w:sz w:val="3"/>
              </w:rPr>
              <w:t xml:space="preserve"> </w:t>
            </w:r>
            <w:r>
              <w:rPr>
                <w:w w:val="105"/>
                <w:sz w:val="3"/>
              </w:rPr>
              <w:t>ESO;</w:t>
            </w:r>
            <w:r>
              <w:rPr>
                <w:spacing w:val="-2"/>
                <w:w w:val="105"/>
                <w:sz w:val="3"/>
              </w:rPr>
              <w:t xml:space="preserve"> </w:t>
            </w:r>
            <w:r>
              <w:rPr>
                <w:w w:val="105"/>
                <w:sz w:val="3"/>
              </w:rPr>
              <w:t>Estrima;</w:t>
            </w:r>
            <w:r>
              <w:rPr>
                <w:spacing w:val="-2"/>
                <w:w w:val="105"/>
                <w:sz w:val="3"/>
              </w:rPr>
              <w:t xml:space="preserve"> </w:t>
            </w:r>
            <w:r>
              <w:rPr>
                <w:w w:val="105"/>
                <w:sz w:val="3"/>
              </w:rPr>
              <w:t>E-TON;</w:t>
            </w:r>
            <w:r>
              <w:rPr>
                <w:spacing w:val="-2"/>
                <w:w w:val="105"/>
                <w:sz w:val="3"/>
              </w:rPr>
              <w:t xml:space="preserve"> </w:t>
            </w:r>
            <w:r>
              <w:rPr>
                <w:w w:val="105"/>
                <w:sz w:val="3"/>
              </w:rPr>
              <w:t>Excelsior;</w:t>
            </w:r>
            <w:r>
              <w:rPr>
                <w:spacing w:val="-3"/>
                <w:w w:val="105"/>
                <w:sz w:val="3"/>
              </w:rPr>
              <w:t xml:space="preserve"> </w:t>
            </w:r>
            <w:r>
              <w:rPr>
                <w:w w:val="105"/>
                <w:sz w:val="3"/>
              </w:rPr>
              <w:t>Fantic;</w:t>
            </w:r>
            <w:r>
              <w:rPr>
                <w:spacing w:val="-2"/>
                <w:w w:val="105"/>
                <w:sz w:val="3"/>
              </w:rPr>
              <w:t xml:space="preserve"> </w:t>
            </w:r>
            <w:r>
              <w:rPr>
                <w:w w:val="105"/>
                <w:sz w:val="3"/>
              </w:rPr>
              <w:t>Feishen;</w:t>
            </w:r>
            <w:r>
              <w:rPr>
                <w:spacing w:val="-2"/>
                <w:w w:val="105"/>
                <w:sz w:val="3"/>
              </w:rPr>
              <w:t xml:space="preserve"> </w:t>
            </w:r>
            <w:r>
              <w:rPr>
                <w:w w:val="105"/>
                <w:sz w:val="3"/>
              </w:rPr>
              <w:t>Fuxin;</w:t>
            </w:r>
          </w:p>
          <w:p w14:paraId="6DF70092" w14:textId="77777777" w:rsidR="00F65BCA" w:rsidRDefault="00216117">
            <w:pPr>
              <w:pStyle w:val="TableParagraph"/>
              <w:spacing w:line="22181" w:lineRule="exact"/>
              <w:ind w:left="4"/>
              <w:rPr>
                <w:sz w:val="3"/>
              </w:rPr>
            </w:pPr>
            <w:r>
              <w:rPr>
                <w:w w:val="105"/>
                <w:sz w:val="3"/>
              </w:rPr>
              <w:t>Gamax; Garelli; Gas; Geely; Generic; Giantco; Gilera; Goes; Golc; Goupil; GS Moon; Guewer; H Sperl; Haili;</w:t>
            </w:r>
          </w:p>
          <w:p w14:paraId="37DDC2E5" w14:textId="77777777" w:rsidR="00F65BCA" w:rsidRDefault="00216117">
            <w:pPr>
              <w:pStyle w:val="TableParagraph"/>
              <w:spacing w:line="22141" w:lineRule="exact"/>
              <w:ind w:left="4"/>
              <w:rPr>
                <w:sz w:val="3"/>
              </w:rPr>
            </w:pPr>
            <w:r>
              <w:rPr>
                <w:w w:val="105"/>
                <w:sz w:val="3"/>
              </w:rPr>
              <w:t>Haizhimeng;</w:t>
            </w:r>
            <w:r>
              <w:rPr>
                <w:spacing w:val="-5"/>
                <w:w w:val="105"/>
                <w:sz w:val="3"/>
              </w:rPr>
              <w:t xml:space="preserve"> </w:t>
            </w:r>
            <w:r>
              <w:rPr>
                <w:w w:val="105"/>
                <w:sz w:val="3"/>
              </w:rPr>
              <w:t>Hanglong;</w:t>
            </w:r>
            <w:r>
              <w:rPr>
                <w:spacing w:val="-5"/>
                <w:w w:val="105"/>
                <w:sz w:val="3"/>
              </w:rPr>
              <w:t xml:space="preserve"> </w:t>
            </w:r>
            <w:r>
              <w:rPr>
                <w:w w:val="105"/>
                <w:sz w:val="3"/>
              </w:rPr>
              <w:t>Harley-Davidson;</w:t>
            </w:r>
            <w:r>
              <w:rPr>
                <w:spacing w:val="-4"/>
                <w:w w:val="105"/>
                <w:sz w:val="3"/>
              </w:rPr>
              <w:t xml:space="preserve"> </w:t>
            </w:r>
            <w:r>
              <w:rPr>
                <w:w w:val="105"/>
                <w:sz w:val="3"/>
              </w:rPr>
              <w:t>Harnessbike;</w:t>
            </w:r>
            <w:r>
              <w:rPr>
                <w:spacing w:val="-5"/>
                <w:w w:val="105"/>
                <w:sz w:val="3"/>
              </w:rPr>
              <w:t xml:space="preserve"> </w:t>
            </w:r>
            <w:r>
              <w:rPr>
                <w:w w:val="105"/>
                <w:sz w:val="3"/>
              </w:rPr>
              <w:t>Hartford;</w:t>
            </w:r>
            <w:r>
              <w:rPr>
                <w:spacing w:val="-5"/>
                <w:w w:val="105"/>
                <w:sz w:val="3"/>
              </w:rPr>
              <w:t xml:space="preserve"> </w:t>
            </w:r>
            <w:r>
              <w:rPr>
                <w:w w:val="105"/>
                <w:sz w:val="3"/>
              </w:rPr>
              <w:t>HAWK;</w:t>
            </w:r>
            <w:r>
              <w:rPr>
                <w:spacing w:val="-4"/>
                <w:w w:val="105"/>
                <w:sz w:val="3"/>
              </w:rPr>
              <w:t xml:space="preserve"> </w:t>
            </w:r>
            <w:r>
              <w:rPr>
                <w:w w:val="105"/>
                <w:sz w:val="3"/>
              </w:rPr>
              <w:t>HDK;</w:t>
            </w:r>
            <w:r>
              <w:rPr>
                <w:spacing w:val="-5"/>
                <w:w w:val="105"/>
                <w:sz w:val="3"/>
              </w:rPr>
              <w:t xml:space="preserve"> </w:t>
            </w:r>
            <w:r>
              <w:rPr>
                <w:w w:val="105"/>
                <w:sz w:val="3"/>
              </w:rPr>
              <w:t>HER</w:t>
            </w:r>
            <w:r>
              <w:rPr>
                <w:spacing w:val="-5"/>
                <w:w w:val="105"/>
                <w:sz w:val="3"/>
              </w:rPr>
              <w:t xml:space="preserve"> </w:t>
            </w:r>
            <w:r>
              <w:rPr>
                <w:w w:val="105"/>
                <w:sz w:val="3"/>
              </w:rPr>
              <w:t>CHEE;</w:t>
            </w:r>
            <w:r>
              <w:rPr>
                <w:spacing w:val="-5"/>
                <w:w w:val="105"/>
                <w:sz w:val="3"/>
              </w:rPr>
              <w:t xml:space="preserve"> </w:t>
            </w:r>
            <w:r>
              <w:rPr>
                <w:w w:val="105"/>
                <w:sz w:val="3"/>
              </w:rPr>
              <w:t>Hero;</w:t>
            </w:r>
            <w:r>
              <w:rPr>
                <w:spacing w:val="-4"/>
                <w:w w:val="105"/>
                <w:sz w:val="3"/>
              </w:rPr>
              <w:t xml:space="preserve"> </w:t>
            </w:r>
            <w:r>
              <w:rPr>
                <w:w w:val="105"/>
                <w:sz w:val="3"/>
              </w:rPr>
              <w:t>Hill</w:t>
            </w:r>
            <w:r>
              <w:rPr>
                <w:spacing w:val="-6"/>
                <w:w w:val="105"/>
                <w:sz w:val="3"/>
              </w:rPr>
              <w:t xml:space="preserve"> </w:t>
            </w:r>
            <w:r>
              <w:rPr>
                <w:w w:val="105"/>
                <w:sz w:val="3"/>
              </w:rPr>
              <w:t>Cooper;</w:t>
            </w:r>
            <w:r>
              <w:rPr>
                <w:spacing w:val="-4"/>
                <w:w w:val="105"/>
                <w:sz w:val="3"/>
              </w:rPr>
              <w:t xml:space="preserve"> </w:t>
            </w:r>
            <w:r>
              <w:rPr>
                <w:w w:val="105"/>
                <w:sz w:val="3"/>
              </w:rPr>
              <w:t>Honda;</w:t>
            </w:r>
          </w:p>
          <w:p w14:paraId="518AADB9" w14:textId="77777777" w:rsidR="00F65BCA" w:rsidRDefault="00216117">
            <w:pPr>
              <w:pStyle w:val="TableParagraph"/>
              <w:spacing w:line="22100" w:lineRule="exact"/>
              <w:ind w:left="4"/>
              <w:rPr>
                <w:sz w:val="3"/>
              </w:rPr>
            </w:pPr>
            <w:r>
              <w:rPr>
                <w:w w:val="105"/>
                <w:sz w:val="3"/>
              </w:rPr>
              <w:t>Hsun;</w:t>
            </w:r>
            <w:r>
              <w:rPr>
                <w:spacing w:val="-6"/>
                <w:w w:val="105"/>
                <w:sz w:val="3"/>
              </w:rPr>
              <w:t xml:space="preserve"> </w:t>
            </w:r>
            <w:r>
              <w:rPr>
                <w:w w:val="105"/>
                <w:sz w:val="3"/>
              </w:rPr>
              <w:t>Huasha;</w:t>
            </w:r>
            <w:r>
              <w:rPr>
                <w:spacing w:val="-5"/>
                <w:w w:val="105"/>
                <w:sz w:val="3"/>
              </w:rPr>
              <w:t xml:space="preserve"> </w:t>
            </w:r>
            <w:r>
              <w:rPr>
                <w:w w:val="105"/>
                <w:sz w:val="3"/>
              </w:rPr>
              <w:t>Huatian;</w:t>
            </w:r>
            <w:r>
              <w:rPr>
                <w:spacing w:val="-5"/>
                <w:w w:val="105"/>
                <w:sz w:val="3"/>
              </w:rPr>
              <w:t xml:space="preserve"> </w:t>
            </w:r>
            <w:r>
              <w:rPr>
                <w:w w:val="105"/>
                <w:sz w:val="3"/>
              </w:rPr>
              <w:t>Huoniao;</w:t>
            </w:r>
            <w:r>
              <w:rPr>
                <w:spacing w:val="-5"/>
                <w:w w:val="105"/>
                <w:sz w:val="3"/>
              </w:rPr>
              <w:t xml:space="preserve"> </w:t>
            </w:r>
            <w:r>
              <w:rPr>
                <w:w w:val="105"/>
                <w:sz w:val="3"/>
              </w:rPr>
              <w:t>Husaberg;</w:t>
            </w:r>
            <w:r>
              <w:rPr>
                <w:spacing w:val="-5"/>
                <w:w w:val="105"/>
                <w:sz w:val="3"/>
              </w:rPr>
              <w:t xml:space="preserve"> </w:t>
            </w:r>
            <w:r>
              <w:rPr>
                <w:w w:val="105"/>
                <w:sz w:val="3"/>
              </w:rPr>
              <w:t>Husqvarna;</w:t>
            </w:r>
            <w:r>
              <w:rPr>
                <w:spacing w:val="-5"/>
                <w:w w:val="105"/>
                <w:sz w:val="3"/>
              </w:rPr>
              <w:t xml:space="preserve"> </w:t>
            </w:r>
            <w:r>
              <w:rPr>
                <w:w w:val="105"/>
                <w:sz w:val="3"/>
              </w:rPr>
              <w:t>Hyosung;</w:t>
            </w:r>
            <w:r>
              <w:rPr>
                <w:spacing w:val="-6"/>
                <w:w w:val="105"/>
                <w:sz w:val="3"/>
              </w:rPr>
              <w:t xml:space="preserve"> </w:t>
            </w:r>
            <w:r>
              <w:rPr>
                <w:w w:val="105"/>
                <w:sz w:val="3"/>
              </w:rPr>
              <w:t>Champ;</w:t>
            </w:r>
            <w:r>
              <w:rPr>
                <w:spacing w:val="-5"/>
                <w:w w:val="105"/>
                <w:sz w:val="3"/>
              </w:rPr>
              <w:t xml:space="preserve"> </w:t>
            </w:r>
            <w:r>
              <w:rPr>
                <w:w w:val="105"/>
                <w:sz w:val="3"/>
              </w:rPr>
              <w:t>Changzhou;</w:t>
            </w:r>
            <w:r>
              <w:rPr>
                <w:spacing w:val="-5"/>
                <w:w w:val="105"/>
                <w:sz w:val="3"/>
              </w:rPr>
              <w:t xml:space="preserve"> </w:t>
            </w:r>
            <w:r>
              <w:rPr>
                <w:w w:val="105"/>
                <w:sz w:val="3"/>
              </w:rPr>
              <w:t>Charming;</w:t>
            </w:r>
            <w:r>
              <w:rPr>
                <w:spacing w:val="-5"/>
                <w:w w:val="105"/>
                <w:sz w:val="3"/>
              </w:rPr>
              <w:t xml:space="preserve"> </w:t>
            </w:r>
            <w:r>
              <w:rPr>
                <w:w w:val="105"/>
                <w:sz w:val="3"/>
              </w:rPr>
              <w:t>China</w:t>
            </w:r>
            <w:r>
              <w:rPr>
                <w:spacing w:val="-6"/>
                <w:w w:val="105"/>
                <w:sz w:val="3"/>
              </w:rPr>
              <w:t xml:space="preserve"> </w:t>
            </w:r>
            <w:r>
              <w:rPr>
                <w:w w:val="105"/>
                <w:sz w:val="3"/>
              </w:rPr>
              <w:t>Qincoi</w:t>
            </w:r>
            <w:r>
              <w:rPr>
                <w:spacing w:val="-5"/>
                <w:w w:val="105"/>
                <w:sz w:val="3"/>
              </w:rPr>
              <w:t xml:space="preserve"> </w:t>
            </w:r>
            <w:r>
              <w:rPr>
                <w:w w:val="105"/>
                <w:sz w:val="3"/>
              </w:rPr>
              <w:t>Group;</w:t>
            </w:r>
          </w:p>
          <w:p w14:paraId="50376693" w14:textId="77777777" w:rsidR="00F65BCA" w:rsidRDefault="00216117">
            <w:pPr>
              <w:pStyle w:val="TableParagraph"/>
              <w:spacing w:line="22059" w:lineRule="exact"/>
              <w:ind w:left="4"/>
              <w:rPr>
                <w:sz w:val="3"/>
              </w:rPr>
            </w:pPr>
            <w:r>
              <w:rPr>
                <w:sz w:val="3"/>
              </w:rPr>
              <w:t>Chongqing; Chopper; Chunlan; IMZ; Indian; IPS; Italjet; Jawa; Jiajue; Jiangsu Linhai; Jikov; Jinbawang; Jincheng;</w:t>
            </w:r>
            <w:r>
              <w:rPr>
                <w:spacing w:val="2"/>
                <w:sz w:val="3"/>
              </w:rPr>
              <w:t xml:space="preserve"> </w:t>
            </w:r>
            <w:r>
              <w:rPr>
                <w:sz w:val="3"/>
              </w:rPr>
              <w:t>Jinling;</w:t>
            </w:r>
          </w:p>
          <w:p w14:paraId="78670378" w14:textId="77777777" w:rsidR="00F65BCA" w:rsidRDefault="00216117">
            <w:pPr>
              <w:pStyle w:val="TableParagraph"/>
              <w:spacing w:line="22018" w:lineRule="exact"/>
              <w:ind w:left="4"/>
              <w:rPr>
                <w:sz w:val="3"/>
              </w:rPr>
            </w:pPr>
            <w:r>
              <w:rPr>
                <w:w w:val="105"/>
                <w:sz w:val="3"/>
              </w:rPr>
              <w:t>Jinlun; Jonway Italia; Journeyman; JST; Kangchao; Kawasaki; Kazuma; Keeway; Kentoya; Kinetic; Kinroad; Korado;</w:t>
            </w:r>
          </w:p>
          <w:p w14:paraId="22FD0C48" w14:textId="77777777" w:rsidR="00F65BCA" w:rsidRDefault="00216117">
            <w:pPr>
              <w:pStyle w:val="TableParagraph"/>
              <w:spacing w:line="21977" w:lineRule="exact"/>
              <w:ind w:left="4"/>
              <w:rPr>
                <w:sz w:val="3"/>
              </w:rPr>
            </w:pPr>
            <w:r>
              <w:rPr>
                <w:w w:val="105"/>
                <w:sz w:val="3"/>
              </w:rPr>
              <w:t>KTM; Kymco; Laverda; Leike; Lifan; Lingben; Lingyun; Linhai; Linhay; Lintex; LML; Loncin; Longjia; Lyda; LYNX;</w:t>
            </w:r>
          </w:p>
          <w:p w14:paraId="60CCD908" w14:textId="77777777" w:rsidR="00F65BCA" w:rsidRDefault="00216117">
            <w:pPr>
              <w:pStyle w:val="TableParagraph"/>
              <w:spacing w:line="21937" w:lineRule="exact"/>
              <w:ind w:left="4"/>
              <w:rPr>
                <w:sz w:val="3"/>
              </w:rPr>
            </w:pPr>
            <w:r>
              <w:rPr>
                <w:w w:val="105"/>
                <w:sz w:val="3"/>
              </w:rPr>
              <w:t>Malaguti; Manet; Masai; Mašek; Matchless; Maxon; MBK; Meiduo; Mikilon; Mini-elcity; MJ; Molotov; Mondial; Montesa;</w:t>
            </w:r>
          </w:p>
          <w:p w14:paraId="2DAEEE8F" w14:textId="77777777" w:rsidR="00F65BCA" w:rsidRDefault="00216117">
            <w:pPr>
              <w:pStyle w:val="TableParagraph"/>
              <w:spacing w:line="21896" w:lineRule="exact"/>
              <w:ind w:left="4"/>
              <w:rPr>
                <w:sz w:val="3"/>
              </w:rPr>
            </w:pPr>
            <w:r>
              <w:rPr>
                <w:w w:val="105"/>
                <w:sz w:val="3"/>
              </w:rPr>
              <w:t>Morini;</w:t>
            </w:r>
            <w:r>
              <w:rPr>
                <w:spacing w:val="-3"/>
                <w:w w:val="105"/>
                <w:sz w:val="3"/>
              </w:rPr>
              <w:t xml:space="preserve"> </w:t>
            </w:r>
            <w:r>
              <w:rPr>
                <w:w w:val="105"/>
                <w:sz w:val="3"/>
              </w:rPr>
              <w:t>Moto</w:t>
            </w:r>
            <w:r>
              <w:rPr>
                <w:spacing w:val="-3"/>
                <w:w w:val="105"/>
                <w:sz w:val="3"/>
              </w:rPr>
              <w:t xml:space="preserve"> </w:t>
            </w:r>
            <w:r>
              <w:rPr>
                <w:w w:val="105"/>
                <w:sz w:val="3"/>
              </w:rPr>
              <w:t>Guzzi;</w:t>
            </w:r>
            <w:r>
              <w:rPr>
                <w:spacing w:val="-2"/>
                <w:w w:val="105"/>
                <w:sz w:val="3"/>
              </w:rPr>
              <w:t xml:space="preserve"> </w:t>
            </w:r>
            <w:r>
              <w:rPr>
                <w:w w:val="105"/>
                <w:sz w:val="3"/>
              </w:rPr>
              <w:t>Moto</w:t>
            </w:r>
            <w:r>
              <w:rPr>
                <w:spacing w:val="-4"/>
                <w:w w:val="105"/>
                <w:sz w:val="3"/>
              </w:rPr>
              <w:t xml:space="preserve"> </w:t>
            </w:r>
            <w:r>
              <w:rPr>
                <w:w w:val="105"/>
                <w:sz w:val="3"/>
              </w:rPr>
              <w:t>Morini;</w:t>
            </w:r>
            <w:r>
              <w:rPr>
                <w:spacing w:val="-2"/>
                <w:w w:val="105"/>
                <w:sz w:val="3"/>
              </w:rPr>
              <w:t xml:space="preserve"> </w:t>
            </w:r>
            <w:r>
              <w:rPr>
                <w:w w:val="105"/>
                <w:sz w:val="3"/>
              </w:rPr>
              <w:t>Moto</w:t>
            </w:r>
            <w:r>
              <w:rPr>
                <w:spacing w:val="-3"/>
                <w:w w:val="105"/>
                <w:sz w:val="3"/>
              </w:rPr>
              <w:t xml:space="preserve"> </w:t>
            </w:r>
            <w:r>
              <w:rPr>
                <w:w w:val="105"/>
                <w:sz w:val="3"/>
              </w:rPr>
              <w:t>Star;</w:t>
            </w:r>
            <w:r>
              <w:rPr>
                <w:spacing w:val="-2"/>
                <w:w w:val="105"/>
                <w:sz w:val="3"/>
              </w:rPr>
              <w:t xml:space="preserve"> </w:t>
            </w:r>
            <w:r>
              <w:rPr>
                <w:w w:val="105"/>
                <w:sz w:val="3"/>
              </w:rPr>
              <w:t>Moto</w:t>
            </w:r>
            <w:r>
              <w:rPr>
                <w:spacing w:val="-4"/>
                <w:w w:val="105"/>
                <w:sz w:val="3"/>
              </w:rPr>
              <w:t xml:space="preserve"> </w:t>
            </w:r>
            <w:r>
              <w:rPr>
                <w:w w:val="105"/>
                <w:sz w:val="3"/>
              </w:rPr>
              <w:t>Union;</w:t>
            </w:r>
            <w:r>
              <w:rPr>
                <w:spacing w:val="-2"/>
                <w:w w:val="105"/>
                <w:sz w:val="3"/>
              </w:rPr>
              <w:t xml:space="preserve"> </w:t>
            </w:r>
            <w:r>
              <w:rPr>
                <w:w w:val="105"/>
                <w:sz w:val="3"/>
              </w:rPr>
              <w:t>Motobi;</w:t>
            </w:r>
            <w:r>
              <w:rPr>
                <w:spacing w:val="-2"/>
                <w:w w:val="105"/>
                <w:sz w:val="3"/>
              </w:rPr>
              <w:t xml:space="preserve"> </w:t>
            </w:r>
            <w:r>
              <w:rPr>
                <w:w w:val="105"/>
                <w:sz w:val="3"/>
              </w:rPr>
              <w:t>Motor</w:t>
            </w:r>
            <w:r>
              <w:rPr>
                <w:spacing w:val="-3"/>
                <w:w w:val="105"/>
                <w:sz w:val="3"/>
              </w:rPr>
              <w:t xml:space="preserve"> </w:t>
            </w:r>
            <w:r>
              <w:rPr>
                <w:w w:val="105"/>
                <w:sz w:val="3"/>
              </w:rPr>
              <w:t>Jikov;</w:t>
            </w:r>
            <w:r>
              <w:rPr>
                <w:spacing w:val="-2"/>
                <w:w w:val="105"/>
                <w:sz w:val="3"/>
              </w:rPr>
              <w:t xml:space="preserve"> </w:t>
            </w:r>
            <w:r>
              <w:rPr>
                <w:w w:val="105"/>
                <w:sz w:val="3"/>
              </w:rPr>
              <w:t>Motorbike;</w:t>
            </w:r>
            <w:r>
              <w:rPr>
                <w:spacing w:val="-2"/>
                <w:w w:val="105"/>
                <w:sz w:val="3"/>
              </w:rPr>
              <w:t xml:space="preserve"> </w:t>
            </w:r>
            <w:r>
              <w:rPr>
                <w:w w:val="105"/>
                <w:sz w:val="3"/>
              </w:rPr>
              <w:t>Motowell;</w:t>
            </w:r>
            <w:r>
              <w:rPr>
                <w:spacing w:val="-2"/>
                <w:w w:val="105"/>
                <w:sz w:val="3"/>
              </w:rPr>
              <w:t xml:space="preserve"> </w:t>
            </w:r>
            <w:r>
              <w:rPr>
                <w:w w:val="105"/>
                <w:sz w:val="3"/>
              </w:rPr>
              <w:t>mp</w:t>
            </w:r>
            <w:r>
              <w:rPr>
                <w:spacing w:val="-4"/>
                <w:w w:val="105"/>
                <w:sz w:val="3"/>
              </w:rPr>
              <w:t xml:space="preserve"> </w:t>
            </w:r>
            <w:r>
              <w:rPr>
                <w:w w:val="105"/>
                <w:sz w:val="3"/>
              </w:rPr>
              <w:t>Korado;</w:t>
            </w:r>
            <w:r>
              <w:rPr>
                <w:spacing w:val="-2"/>
                <w:w w:val="105"/>
                <w:sz w:val="3"/>
              </w:rPr>
              <w:t xml:space="preserve"> </w:t>
            </w:r>
            <w:r>
              <w:rPr>
                <w:w w:val="105"/>
                <w:sz w:val="3"/>
              </w:rPr>
              <w:t>MS</w:t>
            </w:r>
          </w:p>
          <w:p w14:paraId="2B02B7F2" w14:textId="77777777" w:rsidR="00F65BCA" w:rsidRDefault="00216117">
            <w:pPr>
              <w:pStyle w:val="TableParagraph"/>
              <w:spacing w:line="21855" w:lineRule="exact"/>
              <w:ind w:left="4"/>
              <w:rPr>
                <w:sz w:val="3"/>
              </w:rPr>
            </w:pPr>
            <w:r>
              <w:rPr>
                <w:w w:val="105"/>
                <w:sz w:val="3"/>
              </w:rPr>
              <w:t>Steward;</w:t>
            </w:r>
            <w:r>
              <w:rPr>
                <w:spacing w:val="-4"/>
                <w:w w:val="105"/>
                <w:sz w:val="3"/>
              </w:rPr>
              <w:t xml:space="preserve"> </w:t>
            </w:r>
            <w:r>
              <w:rPr>
                <w:w w:val="105"/>
                <w:sz w:val="3"/>
              </w:rPr>
              <w:t>MuZ;</w:t>
            </w:r>
            <w:r>
              <w:rPr>
                <w:spacing w:val="-3"/>
                <w:w w:val="105"/>
                <w:sz w:val="3"/>
              </w:rPr>
              <w:t xml:space="preserve"> </w:t>
            </w:r>
            <w:r>
              <w:rPr>
                <w:w w:val="105"/>
                <w:sz w:val="3"/>
              </w:rPr>
              <w:t>MV</w:t>
            </w:r>
            <w:r>
              <w:rPr>
                <w:spacing w:val="-3"/>
                <w:w w:val="105"/>
                <w:sz w:val="3"/>
              </w:rPr>
              <w:t xml:space="preserve"> </w:t>
            </w:r>
            <w:r>
              <w:rPr>
                <w:w w:val="105"/>
                <w:sz w:val="3"/>
              </w:rPr>
              <w:t>Agusta;</w:t>
            </w:r>
            <w:r>
              <w:rPr>
                <w:spacing w:val="-3"/>
                <w:w w:val="105"/>
                <w:sz w:val="3"/>
              </w:rPr>
              <w:t xml:space="preserve"> </w:t>
            </w:r>
            <w:r>
              <w:rPr>
                <w:w w:val="105"/>
                <w:sz w:val="3"/>
              </w:rPr>
              <w:t>MZ;</w:t>
            </w:r>
            <w:r>
              <w:rPr>
                <w:spacing w:val="-3"/>
                <w:w w:val="105"/>
                <w:sz w:val="3"/>
              </w:rPr>
              <w:t xml:space="preserve"> </w:t>
            </w:r>
            <w:r>
              <w:rPr>
                <w:w w:val="105"/>
                <w:sz w:val="3"/>
              </w:rPr>
              <w:t>Neuvedeno;</w:t>
            </w:r>
            <w:r>
              <w:rPr>
                <w:spacing w:val="-3"/>
                <w:w w:val="105"/>
                <w:sz w:val="3"/>
              </w:rPr>
              <w:t xml:space="preserve"> </w:t>
            </w:r>
            <w:r>
              <w:rPr>
                <w:w w:val="105"/>
                <w:sz w:val="3"/>
              </w:rPr>
              <w:t>New</w:t>
            </w:r>
            <w:r>
              <w:rPr>
                <w:spacing w:val="-4"/>
                <w:w w:val="105"/>
                <w:sz w:val="3"/>
              </w:rPr>
              <w:t xml:space="preserve"> </w:t>
            </w:r>
            <w:r>
              <w:rPr>
                <w:w w:val="105"/>
                <w:sz w:val="3"/>
              </w:rPr>
              <w:t>Force;</w:t>
            </w:r>
            <w:r>
              <w:rPr>
                <w:spacing w:val="-3"/>
                <w:w w:val="105"/>
                <w:sz w:val="3"/>
              </w:rPr>
              <w:t xml:space="preserve"> </w:t>
            </w:r>
            <w:r>
              <w:rPr>
                <w:w w:val="105"/>
                <w:sz w:val="3"/>
              </w:rPr>
              <w:t>Norton;</w:t>
            </w:r>
            <w:r>
              <w:rPr>
                <w:spacing w:val="-3"/>
                <w:w w:val="105"/>
                <w:sz w:val="3"/>
              </w:rPr>
              <w:t xml:space="preserve"> </w:t>
            </w:r>
            <w:r>
              <w:rPr>
                <w:w w:val="105"/>
                <w:sz w:val="3"/>
              </w:rPr>
              <w:t>Odes;</w:t>
            </w:r>
            <w:r>
              <w:rPr>
                <w:spacing w:val="-3"/>
                <w:w w:val="105"/>
                <w:sz w:val="3"/>
              </w:rPr>
              <w:t xml:space="preserve"> </w:t>
            </w:r>
            <w:r>
              <w:rPr>
                <w:w w:val="105"/>
                <w:sz w:val="3"/>
              </w:rPr>
              <w:t>Orion;</w:t>
            </w:r>
            <w:r>
              <w:rPr>
                <w:spacing w:val="-3"/>
                <w:w w:val="105"/>
                <w:sz w:val="3"/>
              </w:rPr>
              <w:t xml:space="preserve"> </w:t>
            </w:r>
            <w:r>
              <w:rPr>
                <w:w w:val="105"/>
                <w:sz w:val="3"/>
              </w:rPr>
              <w:t>Patriot;</w:t>
            </w:r>
            <w:r>
              <w:rPr>
                <w:spacing w:val="-3"/>
                <w:w w:val="105"/>
                <w:sz w:val="3"/>
              </w:rPr>
              <w:t xml:space="preserve"> </w:t>
            </w:r>
            <w:r>
              <w:rPr>
                <w:w w:val="105"/>
                <w:sz w:val="3"/>
              </w:rPr>
              <w:t>Peace</w:t>
            </w:r>
            <w:r>
              <w:rPr>
                <w:spacing w:val="-4"/>
                <w:w w:val="105"/>
                <w:sz w:val="3"/>
              </w:rPr>
              <w:t xml:space="preserve"> </w:t>
            </w:r>
            <w:r>
              <w:rPr>
                <w:w w:val="105"/>
                <w:sz w:val="3"/>
              </w:rPr>
              <w:t>Sports;</w:t>
            </w:r>
            <w:r>
              <w:rPr>
                <w:spacing w:val="-3"/>
                <w:w w:val="105"/>
                <w:sz w:val="3"/>
              </w:rPr>
              <w:t xml:space="preserve"> </w:t>
            </w:r>
            <w:r>
              <w:rPr>
                <w:w w:val="105"/>
                <w:sz w:val="3"/>
              </w:rPr>
              <w:t>Pegasus;</w:t>
            </w:r>
            <w:r>
              <w:rPr>
                <w:spacing w:val="-3"/>
                <w:w w:val="105"/>
                <w:sz w:val="3"/>
              </w:rPr>
              <w:t xml:space="preserve"> </w:t>
            </w:r>
            <w:r>
              <w:rPr>
                <w:w w:val="105"/>
                <w:sz w:val="3"/>
              </w:rPr>
              <w:t>Pento;</w:t>
            </w:r>
          </w:p>
          <w:p w14:paraId="22578A25" w14:textId="77777777" w:rsidR="00F65BCA" w:rsidRDefault="00216117">
            <w:pPr>
              <w:pStyle w:val="TableParagraph"/>
              <w:spacing w:line="21814" w:lineRule="exact"/>
              <w:ind w:left="4"/>
              <w:rPr>
                <w:sz w:val="3"/>
              </w:rPr>
            </w:pPr>
            <w:r>
              <w:rPr>
                <w:w w:val="105"/>
                <w:sz w:val="3"/>
              </w:rPr>
              <w:t>Peugeot;</w:t>
            </w:r>
            <w:r>
              <w:rPr>
                <w:spacing w:val="-3"/>
                <w:w w:val="105"/>
                <w:sz w:val="3"/>
              </w:rPr>
              <w:t xml:space="preserve"> </w:t>
            </w:r>
            <w:r>
              <w:rPr>
                <w:w w:val="105"/>
                <w:sz w:val="3"/>
              </w:rPr>
              <w:t>Piaggio;</w:t>
            </w:r>
            <w:r>
              <w:rPr>
                <w:spacing w:val="-2"/>
                <w:w w:val="105"/>
                <w:sz w:val="3"/>
              </w:rPr>
              <w:t xml:space="preserve"> </w:t>
            </w:r>
            <w:r>
              <w:rPr>
                <w:w w:val="105"/>
                <w:sz w:val="3"/>
              </w:rPr>
              <w:t>Pioneer;</w:t>
            </w:r>
            <w:r>
              <w:rPr>
                <w:spacing w:val="-3"/>
                <w:w w:val="105"/>
                <w:sz w:val="3"/>
              </w:rPr>
              <w:t xml:space="preserve"> </w:t>
            </w:r>
            <w:r>
              <w:rPr>
                <w:w w:val="105"/>
                <w:sz w:val="3"/>
              </w:rPr>
              <w:t>Polaris;</w:t>
            </w:r>
            <w:r>
              <w:rPr>
                <w:spacing w:val="-3"/>
                <w:w w:val="105"/>
                <w:sz w:val="3"/>
              </w:rPr>
              <w:t xml:space="preserve"> </w:t>
            </w:r>
            <w:r>
              <w:rPr>
                <w:w w:val="105"/>
                <w:sz w:val="3"/>
              </w:rPr>
              <w:t>Praga;</w:t>
            </w:r>
            <w:r>
              <w:rPr>
                <w:spacing w:val="-2"/>
                <w:w w:val="105"/>
                <w:sz w:val="3"/>
              </w:rPr>
              <w:t xml:space="preserve"> </w:t>
            </w:r>
            <w:r>
              <w:rPr>
                <w:w w:val="105"/>
                <w:sz w:val="3"/>
              </w:rPr>
              <w:t>Pride;</w:t>
            </w:r>
            <w:r>
              <w:rPr>
                <w:spacing w:val="-3"/>
                <w:w w:val="105"/>
                <w:sz w:val="3"/>
              </w:rPr>
              <w:t xml:space="preserve"> </w:t>
            </w:r>
            <w:r>
              <w:rPr>
                <w:w w:val="105"/>
                <w:sz w:val="3"/>
              </w:rPr>
              <w:t>Puch;</w:t>
            </w:r>
            <w:r>
              <w:rPr>
                <w:spacing w:val="-2"/>
                <w:w w:val="105"/>
                <w:sz w:val="3"/>
              </w:rPr>
              <w:t xml:space="preserve"> </w:t>
            </w:r>
            <w:r>
              <w:rPr>
                <w:w w:val="105"/>
                <w:sz w:val="3"/>
              </w:rPr>
              <w:t>Qingqi;</w:t>
            </w:r>
            <w:r>
              <w:rPr>
                <w:spacing w:val="-3"/>
                <w:w w:val="105"/>
                <w:sz w:val="3"/>
              </w:rPr>
              <w:t xml:space="preserve"> </w:t>
            </w:r>
            <w:r>
              <w:rPr>
                <w:w w:val="105"/>
                <w:sz w:val="3"/>
              </w:rPr>
              <w:t>Ramzey;</w:t>
            </w:r>
            <w:r>
              <w:rPr>
                <w:spacing w:val="-2"/>
                <w:w w:val="105"/>
                <w:sz w:val="3"/>
              </w:rPr>
              <w:t xml:space="preserve"> </w:t>
            </w:r>
            <w:r>
              <w:rPr>
                <w:w w:val="105"/>
                <w:sz w:val="3"/>
              </w:rPr>
              <w:t>Rewaco;</w:t>
            </w:r>
            <w:r>
              <w:rPr>
                <w:spacing w:val="-3"/>
                <w:w w:val="105"/>
                <w:sz w:val="3"/>
              </w:rPr>
              <w:t xml:space="preserve"> </w:t>
            </w:r>
            <w:r>
              <w:rPr>
                <w:w w:val="105"/>
                <w:sz w:val="3"/>
              </w:rPr>
              <w:t>Rex;</w:t>
            </w:r>
            <w:r>
              <w:rPr>
                <w:spacing w:val="-2"/>
                <w:w w:val="105"/>
                <w:sz w:val="3"/>
              </w:rPr>
              <w:t xml:space="preserve"> </w:t>
            </w:r>
            <w:r>
              <w:rPr>
                <w:w w:val="105"/>
                <w:sz w:val="3"/>
              </w:rPr>
              <w:t>Rhon;</w:t>
            </w:r>
            <w:r>
              <w:rPr>
                <w:spacing w:val="-3"/>
                <w:w w:val="105"/>
                <w:sz w:val="3"/>
              </w:rPr>
              <w:t xml:space="preserve"> </w:t>
            </w:r>
            <w:r>
              <w:rPr>
                <w:w w:val="105"/>
                <w:sz w:val="3"/>
              </w:rPr>
              <w:t>Ride;</w:t>
            </w:r>
            <w:r>
              <w:rPr>
                <w:spacing w:val="-2"/>
                <w:w w:val="105"/>
                <w:sz w:val="3"/>
              </w:rPr>
              <w:t xml:space="preserve"> </w:t>
            </w:r>
            <w:r>
              <w:rPr>
                <w:w w:val="105"/>
                <w:sz w:val="3"/>
              </w:rPr>
              <w:t>Rieju;</w:t>
            </w:r>
            <w:r>
              <w:rPr>
                <w:spacing w:val="-3"/>
                <w:w w:val="105"/>
                <w:sz w:val="3"/>
              </w:rPr>
              <w:t xml:space="preserve"> </w:t>
            </w:r>
            <w:r>
              <w:rPr>
                <w:w w:val="105"/>
                <w:sz w:val="3"/>
              </w:rPr>
              <w:t>Rich;</w:t>
            </w:r>
            <w:r>
              <w:rPr>
                <w:spacing w:val="-2"/>
                <w:w w:val="105"/>
                <w:sz w:val="3"/>
              </w:rPr>
              <w:t xml:space="preserve"> </w:t>
            </w:r>
            <w:r>
              <w:rPr>
                <w:w w:val="105"/>
                <w:sz w:val="3"/>
              </w:rPr>
              <w:t>Riya;</w:t>
            </w:r>
          </w:p>
          <w:p w14:paraId="135B6F02" w14:textId="77777777" w:rsidR="00F65BCA" w:rsidRDefault="00216117">
            <w:pPr>
              <w:pStyle w:val="TableParagraph"/>
              <w:spacing w:line="21773" w:lineRule="exact"/>
              <w:ind w:left="4"/>
              <w:rPr>
                <w:sz w:val="3"/>
              </w:rPr>
            </w:pPr>
            <w:r>
              <w:rPr>
                <w:w w:val="105"/>
                <w:sz w:val="3"/>
              </w:rPr>
              <w:t>Roller;</w:t>
            </w:r>
            <w:r>
              <w:rPr>
                <w:spacing w:val="-3"/>
                <w:w w:val="105"/>
                <w:sz w:val="3"/>
              </w:rPr>
              <w:t xml:space="preserve"> </w:t>
            </w:r>
            <w:r>
              <w:rPr>
                <w:w w:val="105"/>
                <w:sz w:val="3"/>
              </w:rPr>
              <w:t>Romet</w:t>
            </w:r>
            <w:r>
              <w:rPr>
                <w:spacing w:val="-2"/>
                <w:w w:val="105"/>
                <w:sz w:val="3"/>
              </w:rPr>
              <w:t xml:space="preserve"> </w:t>
            </w:r>
            <w:r>
              <w:rPr>
                <w:w w:val="105"/>
                <w:sz w:val="3"/>
              </w:rPr>
              <w:t>Motors;</w:t>
            </w:r>
            <w:r>
              <w:rPr>
                <w:spacing w:val="-2"/>
                <w:w w:val="105"/>
                <w:sz w:val="3"/>
              </w:rPr>
              <w:t xml:space="preserve"> </w:t>
            </w:r>
            <w:r>
              <w:rPr>
                <w:w w:val="105"/>
                <w:sz w:val="3"/>
              </w:rPr>
              <w:t>Roxon;</w:t>
            </w:r>
            <w:r>
              <w:rPr>
                <w:spacing w:val="-3"/>
                <w:w w:val="105"/>
                <w:sz w:val="3"/>
              </w:rPr>
              <w:t xml:space="preserve"> </w:t>
            </w:r>
            <w:r>
              <w:rPr>
                <w:w w:val="105"/>
                <w:sz w:val="3"/>
              </w:rPr>
              <w:t>Royal</w:t>
            </w:r>
            <w:r>
              <w:rPr>
                <w:spacing w:val="-3"/>
                <w:w w:val="105"/>
                <w:sz w:val="3"/>
              </w:rPr>
              <w:t xml:space="preserve"> </w:t>
            </w:r>
            <w:r>
              <w:rPr>
                <w:w w:val="105"/>
                <w:sz w:val="3"/>
              </w:rPr>
              <w:t>Enfield;</w:t>
            </w:r>
            <w:r>
              <w:rPr>
                <w:spacing w:val="-2"/>
                <w:w w:val="105"/>
                <w:sz w:val="3"/>
              </w:rPr>
              <w:t xml:space="preserve"> </w:t>
            </w:r>
            <w:r>
              <w:rPr>
                <w:w w:val="105"/>
                <w:sz w:val="3"/>
              </w:rPr>
              <w:t>S.A.</w:t>
            </w:r>
            <w:r>
              <w:rPr>
                <w:spacing w:val="-2"/>
                <w:w w:val="105"/>
                <w:sz w:val="3"/>
              </w:rPr>
              <w:t xml:space="preserve"> </w:t>
            </w:r>
            <w:r>
              <w:rPr>
                <w:w w:val="105"/>
                <w:sz w:val="3"/>
              </w:rPr>
              <w:t>SIMPA;</w:t>
            </w:r>
            <w:r>
              <w:rPr>
                <w:spacing w:val="-3"/>
                <w:w w:val="105"/>
                <w:sz w:val="3"/>
              </w:rPr>
              <w:t xml:space="preserve"> </w:t>
            </w:r>
            <w:r>
              <w:rPr>
                <w:w w:val="105"/>
                <w:sz w:val="3"/>
              </w:rPr>
              <w:t>Sachs;</w:t>
            </w:r>
            <w:r>
              <w:rPr>
                <w:spacing w:val="-2"/>
                <w:w w:val="105"/>
                <w:sz w:val="3"/>
              </w:rPr>
              <w:t xml:space="preserve"> </w:t>
            </w:r>
            <w:r>
              <w:rPr>
                <w:w w:val="105"/>
                <w:sz w:val="3"/>
              </w:rPr>
              <w:t>Sanyang;</w:t>
            </w:r>
            <w:r>
              <w:rPr>
                <w:spacing w:val="-2"/>
                <w:w w:val="105"/>
                <w:sz w:val="3"/>
              </w:rPr>
              <w:t xml:space="preserve"> </w:t>
            </w:r>
            <w:r>
              <w:rPr>
                <w:w w:val="105"/>
                <w:sz w:val="3"/>
              </w:rPr>
              <w:t>Sanyou;</w:t>
            </w:r>
            <w:r>
              <w:rPr>
                <w:spacing w:val="-2"/>
                <w:w w:val="105"/>
                <w:sz w:val="3"/>
              </w:rPr>
              <w:t xml:space="preserve"> </w:t>
            </w:r>
            <w:r>
              <w:rPr>
                <w:w w:val="105"/>
                <w:sz w:val="3"/>
              </w:rPr>
              <w:t>Sarolea;</w:t>
            </w:r>
            <w:r>
              <w:rPr>
                <w:spacing w:val="-3"/>
                <w:w w:val="105"/>
                <w:sz w:val="3"/>
              </w:rPr>
              <w:t xml:space="preserve"> </w:t>
            </w:r>
            <w:r>
              <w:rPr>
                <w:w w:val="105"/>
                <w:sz w:val="3"/>
              </w:rPr>
              <w:t>Seeyes;</w:t>
            </w:r>
            <w:r>
              <w:rPr>
                <w:spacing w:val="-2"/>
                <w:w w:val="105"/>
                <w:sz w:val="3"/>
              </w:rPr>
              <w:t xml:space="preserve"> </w:t>
            </w:r>
            <w:r>
              <w:rPr>
                <w:w w:val="105"/>
                <w:sz w:val="3"/>
              </w:rPr>
              <w:t>SHE</w:t>
            </w:r>
            <w:r>
              <w:rPr>
                <w:spacing w:val="-2"/>
                <w:w w:val="105"/>
                <w:sz w:val="3"/>
              </w:rPr>
              <w:t xml:space="preserve"> </w:t>
            </w:r>
            <w:r>
              <w:rPr>
                <w:w w:val="105"/>
                <w:sz w:val="3"/>
              </w:rPr>
              <w:t>LUNG;</w:t>
            </w:r>
          </w:p>
          <w:p w14:paraId="35BE50BB" w14:textId="77777777" w:rsidR="00F65BCA" w:rsidRDefault="00216117">
            <w:pPr>
              <w:pStyle w:val="TableParagraph"/>
              <w:spacing w:line="21733" w:lineRule="exact"/>
              <w:ind w:left="4"/>
              <w:rPr>
                <w:sz w:val="3"/>
              </w:rPr>
            </w:pPr>
            <w:r>
              <w:rPr>
                <w:w w:val="105"/>
                <w:sz w:val="3"/>
              </w:rPr>
              <w:t>Shenke;</w:t>
            </w:r>
            <w:r>
              <w:rPr>
                <w:spacing w:val="-2"/>
                <w:w w:val="105"/>
                <w:sz w:val="3"/>
              </w:rPr>
              <w:t xml:space="preserve"> </w:t>
            </w:r>
            <w:r>
              <w:rPr>
                <w:w w:val="105"/>
                <w:sz w:val="3"/>
              </w:rPr>
              <w:t>Sherco;</w:t>
            </w:r>
            <w:r>
              <w:rPr>
                <w:spacing w:val="-2"/>
                <w:w w:val="105"/>
                <w:sz w:val="3"/>
              </w:rPr>
              <w:t xml:space="preserve"> </w:t>
            </w:r>
            <w:r>
              <w:rPr>
                <w:w w:val="105"/>
                <w:sz w:val="3"/>
              </w:rPr>
              <w:t>Shineray;</w:t>
            </w:r>
            <w:r>
              <w:rPr>
                <w:spacing w:val="-1"/>
                <w:w w:val="105"/>
                <w:sz w:val="3"/>
              </w:rPr>
              <w:t xml:space="preserve"> </w:t>
            </w:r>
            <w:r>
              <w:rPr>
                <w:w w:val="105"/>
                <w:sz w:val="3"/>
              </w:rPr>
              <w:t>Shupa;</w:t>
            </w:r>
            <w:r>
              <w:rPr>
                <w:spacing w:val="-2"/>
                <w:w w:val="105"/>
                <w:sz w:val="3"/>
              </w:rPr>
              <w:t xml:space="preserve"> </w:t>
            </w:r>
            <w:r>
              <w:rPr>
                <w:w w:val="105"/>
                <w:sz w:val="3"/>
              </w:rPr>
              <w:t>Siamoto;</w:t>
            </w:r>
            <w:r>
              <w:rPr>
                <w:spacing w:val="-1"/>
                <w:w w:val="105"/>
                <w:sz w:val="3"/>
              </w:rPr>
              <w:t xml:space="preserve"> </w:t>
            </w:r>
            <w:r>
              <w:rPr>
                <w:w w:val="105"/>
                <w:sz w:val="3"/>
              </w:rPr>
              <w:t>Simson;</w:t>
            </w:r>
            <w:r>
              <w:rPr>
                <w:spacing w:val="-2"/>
                <w:w w:val="105"/>
                <w:sz w:val="3"/>
              </w:rPr>
              <w:t xml:space="preserve"> </w:t>
            </w:r>
            <w:r>
              <w:rPr>
                <w:w w:val="105"/>
                <w:sz w:val="3"/>
              </w:rPr>
              <w:t>Skipi;</w:t>
            </w:r>
            <w:r>
              <w:rPr>
                <w:spacing w:val="-1"/>
                <w:w w:val="105"/>
                <w:sz w:val="3"/>
              </w:rPr>
              <w:t xml:space="preserve"> </w:t>
            </w:r>
            <w:r>
              <w:rPr>
                <w:w w:val="105"/>
                <w:sz w:val="3"/>
              </w:rPr>
              <w:t>Sky</w:t>
            </w:r>
            <w:r>
              <w:rPr>
                <w:spacing w:val="-2"/>
                <w:w w:val="105"/>
                <w:sz w:val="3"/>
              </w:rPr>
              <w:t xml:space="preserve"> </w:t>
            </w:r>
            <w:r>
              <w:rPr>
                <w:w w:val="105"/>
                <w:sz w:val="3"/>
              </w:rPr>
              <w:t>Team;</w:t>
            </w:r>
            <w:r>
              <w:rPr>
                <w:spacing w:val="-2"/>
                <w:w w:val="105"/>
                <w:sz w:val="3"/>
              </w:rPr>
              <w:t xml:space="preserve"> </w:t>
            </w:r>
            <w:r>
              <w:rPr>
                <w:w w:val="105"/>
                <w:sz w:val="3"/>
              </w:rPr>
              <w:t>Skyjet;</w:t>
            </w:r>
            <w:r>
              <w:rPr>
                <w:spacing w:val="-1"/>
                <w:w w:val="105"/>
                <w:sz w:val="3"/>
              </w:rPr>
              <w:t xml:space="preserve"> </w:t>
            </w:r>
            <w:r>
              <w:rPr>
                <w:w w:val="105"/>
                <w:sz w:val="3"/>
              </w:rPr>
              <w:t>SMC;</w:t>
            </w:r>
            <w:r>
              <w:rPr>
                <w:spacing w:val="-2"/>
                <w:w w:val="105"/>
                <w:sz w:val="3"/>
              </w:rPr>
              <w:t xml:space="preserve"> </w:t>
            </w:r>
            <w:r>
              <w:rPr>
                <w:w w:val="105"/>
                <w:sz w:val="3"/>
              </w:rPr>
              <w:t>Solo</w:t>
            </w:r>
            <w:r>
              <w:rPr>
                <w:spacing w:val="-3"/>
                <w:w w:val="105"/>
                <w:sz w:val="3"/>
              </w:rPr>
              <w:t xml:space="preserve"> </w:t>
            </w:r>
            <w:r>
              <w:rPr>
                <w:w w:val="105"/>
                <w:sz w:val="3"/>
              </w:rPr>
              <w:t>Marx;</w:t>
            </w:r>
            <w:r>
              <w:rPr>
                <w:spacing w:val="-1"/>
                <w:w w:val="105"/>
                <w:sz w:val="3"/>
              </w:rPr>
              <w:t xml:space="preserve"> </w:t>
            </w:r>
            <w:r>
              <w:rPr>
                <w:w w:val="105"/>
                <w:sz w:val="3"/>
              </w:rPr>
              <w:t>Sonik;</w:t>
            </w:r>
            <w:r>
              <w:rPr>
                <w:spacing w:val="-2"/>
                <w:w w:val="105"/>
                <w:sz w:val="3"/>
              </w:rPr>
              <w:t xml:space="preserve"> </w:t>
            </w:r>
            <w:r>
              <w:rPr>
                <w:w w:val="105"/>
                <w:sz w:val="3"/>
              </w:rPr>
              <w:t>Stadion;</w:t>
            </w:r>
          </w:p>
          <w:p w14:paraId="612BE7D4" w14:textId="77777777" w:rsidR="00F65BCA" w:rsidRDefault="00216117">
            <w:pPr>
              <w:pStyle w:val="TableParagraph"/>
              <w:spacing w:line="21692" w:lineRule="exact"/>
              <w:ind w:left="4"/>
              <w:rPr>
                <w:sz w:val="3"/>
              </w:rPr>
            </w:pPr>
            <w:r>
              <w:rPr>
                <w:w w:val="105"/>
                <w:sz w:val="3"/>
              </w:rPr>
              <w:t>Standard Motor Corporation; Stela; Steyr Daimler Puch; Sukida; Sundiro; Sunny-Ebike; Superbyke; Suzuki; SWM; Sym;</w:t>
            </w:r>
          </w:p>
          <w:p w14:paraId="6C699E4F" w14:textId="77777777" w:rsidR="00F65BCA" w:rsidRDefault="00216117">
            <w:pPr>
              <w:pStyle w:val="TableParagraph"/>
              <w:spacing w:line="21651" w:lineRule="exact"/>
              <w:ind w:left="4"/>
              <w:rPr>
                <w:sz w:val="3"/>
              </w:rPr>
            </w:pPr>
            <w:r>
              <w:rPr>
                <w:w w:val="105"/>
                <w:sz w:val="3"/>
              </w:rPr>
              <w:t>Tajga; TAOTAO; Tauris; Terrot; TGB; Thunderbold; Tianying; Tisong; TM; TMEC; Tomos; Triumph; Ural; VDO moto;</w:t>
            </w:r>
          </w:p>
          <w:p w14:paraId="2AEB24ED" w14:textId="77777777" w:rsidR="00F65BCA" w:rsidRDefault="00216117">
            <w:pPr>
              <w:pStyle w:val="TableParagraph"/>
              <w:spacing w:line="21610" w:lineRule="exact"/>
              <w:ind w:left="4"/>
              <w:rPr>
                <w:sz w:val="3"/>
              </w:rPr>
            </w:pPr>
            <w:r>
              <w:rPr>
                <w:w w:val="105"/>
                <w:sz w:val="3"/>
              </w:rPr>
              <w:t>Vectrix;</w:t>
            </w:r>
            <w:r>
              <w:rPr>
                <w:spacing w:val="-4"/>
                <w:w w:val="105"/>
                <w:sz w:val="3"/>
              </w:rPr>
              <w:t xml:space="preserve"> </w:t>
            </w:r>
            <w:r>
              <w:rPr>
                <w:w w:val="105"/>
                <w:sz w:val="3"/>
              </w:rPr>
              <w:t>Velorex;</w:t>
            </w:r>
            <w:r>
              <w:rPr>
                <w:spacing w:val="-3"/>
                <w:w w:val="105"/>
                <w:sz w:val="3"/>
              </w:rPr>
              <w:t xml:space="preserve"> </w:t>
            </w:r>
            <w:r>
              <w:rPr>
                <w:w w:val="105"/>
                <w:sz w:val="3"/>
              </w:rPr>
              <w:t>Vespa;</w:t>
            </w:r>
            <w:r>
              <w:rPr>
                <w:spacing w:val="-3"/>
                <w:w w:val="105"/>
                <w:sz w:val="3"/>
              </w:rPr>
              <w:t xml:space="preserve"> </w:t>
            </w:r>
            <w:r>
              <w:rPr>
                <w:w w:val="105"/>
                <w:sz w:val="3"/>
              </w:rPr>
              <w:t>Victory;</w:t>
            </w:r>
            <w:r>
              <w:rPr>
                <w:spacing w:val="-3"/>
                <w:w w:val="105"/>
                <w:sz w:val="3"/>
              </w:rPr>
              <w:t xml:space="preserve"> </w:t>
            </w:r>
            <w:r>
              <w:rPr>
                <w:w w:val="105"/>
                <w:sz w:val="3"/>
              </w:rPr>
              <w:t>Vonroad;</w:t>
            </w:r>
            <w:r>
              <w:rPr>
                <w:spacing w:val="-4"/>
                <w:w w:val="105"/>
                <w:sz w:val="3"/>
              </w:rPr>
              <w:t xml:space="preserve"> </w:t>
            </w:r>
            <w:r>
              <w:rPr>
                <w:w w:val="105"/>
                <w:sz w:val="3"/>
              </w:rPr>
              <w:t>Voxan;</w:t>
            </w:r>
            <w:r>
              <w:rPr>
                <w:spacing w:val="-3"/>
                <w:w w:val="105"/>
                <w:sz w:val="3"/>
              </w:rPr>
              <w:t xml:space="preserve"> </w:t>
            </w:r>
            <w:r>
              <w:rPr>
                <w:w w:val="105"/>
                <w:sz w:val="3"/>
              </w:rPr>
              <w:t>Wangey;</w:t>
            </w:r>
            <w:r>
              <w:rPr>
                <w:spacing w:val="-3"/>
                <w:w w:val="105"/>
                <w:sz w:val="3"/>
              </w:rPr>
              <w:t xml:space="preserve"> </w:t>
            </w:r>
            <w:r>
              <w:rPr>
                <w:w w:val="105"/>
                <w:sz w:val="3"/>
              </w:rPr>
              <w:t>Wlie;</w:t>
            </w:r>
            <w:r>
              <w:rPr>
                <w:spacing w:val="-3"/>
                <w:w w:val="105"/>
                <w:sz w:val="3"/>
              </w:rPr>
              <w:t xml:space="preserve"> </w:t>
            </w:r>
            <w:r>
              <w:rPr>
                <w:w w:val="105"/>
                <w:sz w:val="3"/>
              </w:rPr>
              <w:t>Wuchuan;</w:t>
            </w:r>
            <w:r>
              <w:rPr>
                <w:spacing w:val="-4"/>
                <w:w w:val="105"/>
                <w:sz w:val="3"/>
              </w:rPr>
              <w:t xml:space="preserve"> </w:t>
            </w:r>
            <w:r>
              <w:rPr>
                <w:w w:val="105"/>
                <w:sz w:val="3"/>
              </w:rPr>
              <w:t>Xin</w:t>
            </w:r>
            <w:r>
              <w:rPr>
                <w:spacing w:val="-4"/>
                <w:w w:val="105"/>
                <w:sz w:val="3"/>
              </w:rPr>
              <w:t xml:space="preserve"> </w:t>
            </w:r>
            <w:r>
              <w:rPr>
                <w:w w:val="105"/>
                <w:sz w:val="3"/>
              </w:rPr>
              <w:t>Yang;</w:t>
            </w:r>
            <w:r>
              <w:rPr>
                <w:spacing w:val="-3"/>
                <w:w w:val="105"/>
                <w:sz w:val="3"/>
              </w:rPr>
              <w:t xml:space="preserve"> </w:t>
            </w:r>
            <w:r>
              <w:rPr>
                <w:w w:val="105"/>
                <w:sz w:val="3"/>
              </w:rPr>
              <w:t>Xingyue;</w:t>
            </w:r>
            <w:r>
              <w:rPr>
                <w:spacing w:val="-3"/>
                <w:w w:val="105"/>
                <w:sz w:val="3"/>
              </w:rPr>
              <w:t xml:space="preserve"> </w:t>
            </w:r>
            <w:r>
              <w:rPr>
                <w:w w:val="105"/>
                <w:sz w:val="3"/>
              </w:rPr>
              <w:t>Xinling;</w:t>
            </w:r>
            <w:r>
              <w:rPr>
                <w:spacing w:val="-4"/>
                <w:w w:val="105"/>
                <w:sz w:val="3"/>
              </w:rPr>
              <w:t xml:space="preserve"> </w:t>
            </w:r>
            <w:r>
              <w:rPr>
                <w:w w:val="105"/>
                <w:sz w:val="3"/>
              </w:rPr>
              <w:t>Xinri;</w:t>
            </w:r>
            <w:r>
              <w:rPr>
                <w:spacing w:val="-3"/>
                <w:w w:val="105"/>
                <w:sz w:val="3"/>
              </w:rPr>
              <w:t xml:space="preserve"> </w:t>
            </w:r>
            <w:r>
              <w:rPr>
                <w:w w:val="105"/>
                <w:sz w:val="3"/>
              </w:rPr>
              <w:t>Xmotos;</w:t>
            </w:r>
          </w:p>
          <w:p w14:paraId="19F4650D" w14:textId="77777777" w:rsidR="00F65BCA" w:rsidRDefault="00216117">
            <w:pPr>
              <w:pStyle w:val="TableParagraph"/>
              <w:spacing w:line="21569" w:lineRule="exact"/>
              <w:ind w:left="4"/>
              <w:rPr>
                <w:sz w:val="3"/>
              </w:rPr>
            </w:pPr>
            <w:r>
              <w:rPr>
                <w:w w:val="105"/>
                <w:sz w:val="3"/>
              </w:rPr>
              <w:t>Xufeng;</w:t>
            </w:r>
            <w:r>
              <w:rPr>
                <w:spacing w:val="-5"/>
                <w:w w:val="105"/>
                <w:sz w:val="3"/>
              </w:rPr>
              <w:t xml:space="preserve"> </w:t>
            </w:r>
            <w:r>
              <w:rPr>
                <w:w w:val="105"/>
                <w:sz w:val="3"/>
              </w:rPr>
              <w:t>Yamaha;</w:t>
            </w:r>
            <w:r>
              <w:rPr>
                <w:spacing w:val="-5"/>
                <w:w w:val="105"/>
                <w:sz w:val="3"/>
              </w:rPr>
              <w:t xml:space="preserve"> </w:t>
            </w:r>
            <w:r>
              <w:rPr>
                <w:w w:val="105"/>
                <w:sz w:val="3"/>
              </w:rPr>
              <w:t>Yamasaki;</w:t>
            </w:r>
            <w:r>
              <w:rPr>
                <w:spacing w:val="-5"/>
                <w:w w:val="105"/>
                <w:sz w:val="3"/>
              </w:rPr>
              <w:t xml:space="preserve"> </w:t>
            </w:r>
            <w:r>
              <w:rPr>
                <w:w w:val="105"/>
                <w:sz w:val="3"/>
              </w:rPr>
              <w:t>Yiben;</w:t>
            </w:r>
            <w:r>
              <w:rPr>
                <w:spacing w:val="-5"/>
                <w:w w:val="105"/>
                <w:sz w:val="3"/>
              </w:rPr>
              <w:t xml:space="preserve"> </w:t>
            </w:r>
            <w:r>
              <w:rPr>
                <w:w w:val="105"/>
                <w:sz w:val="3"/>
              </w:rPr>
              <w:t>Yinmu;</w:t>
            </w:r>
            <w:r>
              <w:rPr>
                <w:spacing w:val="-5"/>
                <w:w w:val="105"/>
                <w:sz w:val="3"/>
              </w:rPr>
              <w:t xml:space="preserve"> </w:t>
            </w:r>
            <w:r>
              <w:rPr>
                <w:w w:val="105"/>
                <w:sz w:val="3"/>
              </w:rPr>
              <w:t>Yiying;</w:t>
            </w:r>
            <w:r>
              <w:rPr>
                <w:spacing w:val="-5"/>
                <w:w w:val="105"/>
                <w:sz w:val="3"/>
              </w:rPr>
              <w:t xml:space="preserve"> </w:t>
            </w:r>
            <w:r>
              <w:rPr>
                <w:w w:val="105"/>
                <w:sz w:val="3"/>
              </w:rPr>
              <w:t>Yuki;</w:t>
            </w:r>
            <w:r>
              <w:rPr>
                <w:spacing w:val="-5"/>
                <w:w w:val="105"/>
                <w:sz w:val="3"/>
              </w:rPr>
              <w:t xml:space="preserve"> </w:t>
            </w:r>
            <w:r>
              <w:rPr>
                <w:w w:val="105"/>
                <w:sz w:val="3"/>
              </w:rPr>
              <w:t>Zhejiang;</w:t>
            </w:r>
            <w:r>
              <w:rPr>
                <w:spacing w:val="-5"/>
                <w:w w:val="105"/>
                <w:sz w:val="3"/>
              </w:rPr>
              <w:t xml:space="preserve"> </w:t>
            </w:r>
            <w:r>
              <w:rPr>
                <w:w w:val="105"/>
                <w:sz w:val="3"/>
              </w:rPr>
              <w:t>Zhenhua;</w:t>
            </w:r>
            <w:r>
              <w:rPr>
                <w:spacing w:val="-5"/>
                <w:w w:val="105"/>
                <w:sz w:val="3"/>
              </w:rPr>
              <w:t xml:space="preserve"> </w:t>
            </w:r>
            <w:r>
              <w:rPr>
                <w:w w:val="105"/>
                <w:sz w:val="3"/>
              </w:rPr>
              <w:t>Zhongyu;</w:t>
            </w:r>
            <w:r>
              <w:rPr>
                <w:spacing w:val="-5"/>
                <w:w w:val="105"/>
                <w:sz w:val="3"/>
              </w:rPr>
              <w:t xml:space="preserve"> </w:t>
            </w:r>
            <w:r>
              <w:rPr>
                <w:w w:val="105"/>
                <w:sz w:val="3"/>
              </w:rPr>
              <w:t>Zhweki;</w:t>
            </w:r>
            <w:r>
              <w:rPr>
                <w:spacing w:val="-5"/>
                <w:w w:val="105"/>
                <w:sz w:val="3"/>
              </w:rPr>
              <w:t xml:space="preserve"> </w:t>
            </w:r>
            <w:r>
              <w:rPr>
                <w:w w:val="105"/>
                <w:sz w:val="3"/>
              </w:rPr>
              <w:t>Zipp;</w:t>
            </w:r>
            <w:r>
              <w:rPr>
                <w:spacing w:val="-5"/>
                <w:w w:val="105"/>
                <w:sz w:val="3"/>
              </w:rPr>
              <w:t xml:space="preserve"> </w:t>
            </w:r>
            <w:r>
              <w:rPr>
                <w:w w:val="105"/>
                <w:sz w:val="3"/>
              </w:rPr>
              <w:t>Znen;</w:t>
            </w:r>
            <w:r>
              <w:rPr>
                <w:spacing w:val="-4"/>
                <w:w w:val="105"/>
                <w:sz w:val="3"/>
              </w:rPr>
              <w:t xml:space="preserve"> </w:t>
            </w:r>
            <w:r>
              <w:rPr>
                <w:w w:val="105"/>
                <w:sz w:val="3"/>
              </w:rPr>
              <w:t>Zongshen;</w:t>
            </w:r>
          </w:p>
          <w:p w14:paraId="4FD56C1A" w14:textId="77777777" w:rsidR="00F65BCA" w:rsidRDefault="00216117">
            <w:pPr>
              <w:pStyle w:val="TableParagraph"/>
              <w:spacing w:line="21529" w:lineRule="exact"/>
              <w:ind w:left="4"/>
              <w:rPr>
                <w:sz w:val="3"/>
              </w:rPr>
            </w:pPr>
            <w:r>
              <w:rPr>
                <w:w w:val="105"/>
                <w:sz w:val="3"/>
              </w:rPr>
              <w:t>Zündapp;</w:t>
            </w:r>
          </w:p>
        </w:tc>
        <w:tc>
          <w:tcPr>
            <w:tcW w:w="576" w:type="dxa"/>
            <w:shd w:val="clear" w:color="auto" w:fill="FCE4D6"/>
          </w:tcPr>
          <w:p w14:paraId="49A10D1E" w14:textId="77777777" w:rsidR="00F65BCA" w:rsidRDefault="00216117">
            <w:pPr>
              <w:pStyle w:val="TableParagraph"/>
              <w:spacing w:line="21977" w:lineRule="exact"/>
              <w:ind w:left="3"/>
              <w:jc w:val="center"/>
              <w:rPr>
                <w:sz w:val="3"/>
              </w:rPr>
            </w:pPr>
            <w:r>
              <w:rPr>
                <w:w w:val="103"/>
                <w:sz w:val="3"/>
              </w:rPr>
              <w:t>-</w:t>
            </w:r>
          </w:p>
        </w:tc>
        <w:tc>
          <w:tcPr>
            <w:tcW w:w="576" w:type="dxa"/>
            <w:shd w:val="clear" w:color="auto" w:fill="FCE4D6"/>
          </w:tcPr>
          <w:p w14:paraId="42811269" w14:textId="77777777" w:rsidR="00F65BCA" w:rsidRDefault="00216117">
            <w:pPr>
              <w:pStyle w:val="TableParagraph"/>
              <w:spacing w:line="21977" w:lineRule="exact"/>
              <w:ind w:left="3"/>
              <w:jc w:val="center"/>
              <w:rPr>
                <w:sz w:val="3"/>
              </w:rPr>
            </w:pPr>
            <w:r>
              <w:rPr>
                <w:w w:val="103"/>
                <w:sz w:val="3"/>
              </w:rPr>
              <w:t>-</w:t>
            </w:r>
          </w:p>
        </w:tc>
        <w:tc>
          <w:tcPr>
            <w:tcW w:w="50" w:type="dxa"/>
            <w:vMerge/>
            <w:tcBorders>
              <w:top w:val="nil"/>
              <w:bottom w:val="nil"/>
            </w:tcBorders>
          </w:tcPr>
          <w:p w14:paraId="6CAC302A" w14:textId="77777777" w:rsidR="00F65BCA" w:rsidRDefault="00F65BCA">
            <w:pPr>
              <w:rPr>
                <w:sz w:val="2"/>
                <w:szCs w:val="2"/>
              </w:rPr>
            </w:pPr>
          </w:p>
        </w:tc>
        <w:tc>
          <w:tcPr>
            <w:tcW w:w="288" w:type="dxa"/>
          </w:tcPr>
          <w:p w14:paraId="24C0BC49" w14:textId="77777777" w:rsidR="00F65BCA" w:rsidRDefault="00216117">
            <w:pPr>
              <w:pStyle w:val="TableParagraph"/>
              <w:spacing w:line="21977" w:lineRule="exact"/>
              <w:ind w:left="24" w:right="24"/>
              <w:jc w:val="center"/>
              <w:rPr>
                <w:sz w:val="3"/>
              </w:rPr>
            </w:pPr>
            <w:r>
              <w:rPr>
                <w:w w:val="105"/>
                <w:sz w:val="3"/>
              </w:rPr>
              <w:t>22,3011360%</w:t>
            </w:r>
          </w:p>
        </w:tc>
        <w:tc>
          <w:tcPr>
            <w:tcW w:w="288" w:type="dxa"/>
          </w:tcPr>
          <w:p w14:paraId="11040E45" w14:textId="77777777" w:rsidR="00F65BCA" w:rsidRDefault="00216117">
            <w:pPr>
              <w:pStyle w:val="TableParagraph"/>
              <w:spacing w:line="21977" w:lineRule="exact"/>
              <w:ind w:left="24" w:right="24"/>
              <w:jc w:val="center"/>
              <w:rPr>
                <w:sz w:val="3"/>
              </w:rPr>
            </w:pPr>
            <w:r>
              <w:rPr>
                <w:w w:val="105"/>
                <w:sz w:val="3"/>
              </w:rPr>
              <w:t>19,9536480%</w:t>
            </w:r>
          </w:p>
        </w:tc>
        <w:tc>
          <w:tcPr>
            <w:tcW w:w="288" w:type="dxa"/>
          </w:tcPr>
          <w:p w14:paraId="63A4270F" w14:textId="77777777" w:rsidR="00F65BCA" w:rsidRDefault="00216117">
            <w:pPr>
              <w:pStyle w:val="TableParagraph"/>
              <w:spacing w:line="21977" w:lineRule="exact"/>
              <w:ind w:left="47"/>
              <w:rPr>
                <w:sz w:val="3"/>
              </w:rPr>
            </w:pPr>
            <w:r>
              <w:rPr>
                <w:w w:val="105"/>
                <w:sz w:val="3"/>
              </w:rPr>
              <w:t>19,9536480%</w:t>
            </w:r>
          </w:p>
        </w:tc>
        <w:tc>
          <w:tcPr>
            <w:tcW w:w="288" w:type="dxa"/>
          </w:tcPr>
          <w:p w14:paraId="2B7B5AEB" w14:textId="77777777" w:rsidR="00F65BCA" w:rsidRDefault="00216117">
            <w:pPr>
              <w:pStyle w:val="TableParagraph"/>
              <w:spacing w:line="21977" w:lineRule="exact"/>
              <w:ind w:left="24" w:right="24"/>
              <w:jc w:val="center"/>
              <w:rPr>
                <w:sz w:val="3"/>
              </w:rPr>
            </w:pPr>
            <w:r>
              <w:rPr>
                <w:w w:val="105"/>
                <w:sz w:val="3"/>
              </w:rPr>
              <w:t>18,1930320%</w:t>
            </w:r>
          </w:p>
        </w:tc>
        <w:tc>
          <w:tcPr>
            <w:tcW w:w="288" w:type="dxa"/>
          </w:tcPr>
          <w:p w14:paraId="365BB580" w14:textId="77777777" w:rsidR="00F65BCA" w:rsidRDefault="00216117">
            <w:pPr>
              <w:pStyle w:val="TableParagraph"/>
              <w:spacing w:line="21977" w:lineRule="exact"/>
              <w:ind w:left="47"/>
              <w:rPr>
                <w:sz w:val="3"/>
              </w:rPr>
            </w:pPr>
            <w:r>
              <w:rPr>
                <w:w w:val="105"/>
                <w:sz w:val="3"/>
              </w:rPr>
              <w:t>18,1930320%</w:t>
            </w:r>
          </w:p>
        </w:tc>
        <w:tc>
          <w:tcPr>
            <w:tcW w:w="288" w:type="dxa"/>
          </w:tcPr>
          <w:p w14:paraId="774EB7F4" w14:textId="77777777" w:rsidR="00F65BCA" w:rsidRDefault="00216117">
            <w:pPr>
              <w:pStyle w:val="TableParagraph"/>
              <w:spacing w:line="21977" w:lineRule="exact"/>
              <w:ind w:left="24" w:right="24"/>
              <w:jc w:val="center"/>
              <w:rPr>
                <w:sz w:val="3"/>
              </w:rPr>
            </w:pPr>
            <w:r>
              <w:rPr>
                <w:w w:val="105"/>
                <w:sz w:val="3"/>
              </w:rPr>
              <w:t>16,4324160%</w:t>
            </w:r>
          </w:p>
        </w:tc>
        <w:tc>
          <w:tcPr>
            <w:tcW w:w="288" w:type="dxa"/>
          </w:tcPr>
          <w:p w14:paraId="21F3FE48" w14:textId="77777777" w:rsidR="00F65BCA" w:rsidRDefault="00216117">
            <w:pPr>
              <w:pStyle w:val="TableParagraph"/>
              <w:spacing w:line="21977" w:lineRule="exact"/>
              <w:ind w:left="24" w:right="24"/>
              <w:jc w:val="center"/>
              <w:rPr>
                <w:sz w:val="3"/>
              </w:rPr>
            </w:pPr>
            <w:r>
              <w:rPr>
                <w:w w:val="105"/>
                <w:sz w:val="3"/>
              </w:rPr>
              <w:t>16,4324160%</w:t>
            </w:r>
          </w:p>
        </w:tc>
        <w:tc>
          <w:tcPr>
            <w:tcW w:w="288" w:type="dxa"/>
          </w:tcPr>
          <w:p w14:paraId="286EE6B3" w14:textId="77777777" w:rsidR="00F65BCA" w:rsidRDefault="00216117">
            <w:pPr>
              <w:pStyle w:val="TableParagraph"/>
              <w:spacing w:line="21977" w:lineRule="exact"/>
              <w:ind w:left="47"/>
              <w:rPr>
                <w:sz w:val="3"/>
              </w:rPr>
            </w:pPr>
            <w:r>
              <w:rPr>
                <w:w w:val="105"/>
                <w:sz w:val="3"/>
              </w:rPr>
              <w:t>14,6718000%</w:t>
            </w:r>
          </w:p>
        </w:tc>
        <w:tc>
          <w:tcPr>
            <w:tcW w:w="288" w:type="dxa"/>
          </w:tcPr>
          <w:p w14:paraId="41953300" w14:textId="77777777" w:rsidR="00F65BCA" w:rsidRDefault="00216117">
            <w:pPr>
              <w:pStyle w:val="TableParagraph"/>
              <w:spacing w:line="21977" w:lineRule="exact"/>
              <w:ind w:left="24" w:right="24"/>
              <w:jc w:val="center"/>
              <w:rPr>
                <w:sz w:val="3"/>
              </w:rPr>
            </w:pPr>
            <w:r>
              <w:rPr>
                <w:w w:val="105"/>
                <w:sz w:val="3"/>
              </w:rPr>
              <w:t>14,6718000%</w:t>
            </w:r>
          </w:p>
        </w:tc>
        <w:tc>
          <w:tcPr>
            <w:tcW w:w="288" w:type="dxa"/>
          </w:tcPr>
          <w:p w14:paraId="13D255E7" w14:textId="77777777" w:rsidR="00F65BCA" w:rsidRDefault="00216117">
            <w:pPr>
              <w:pStyle w:val="TableParagraph"/>
              <w:spacing w:line="21977" w:lineRule="exact"/>
              <w:ind w:left="24" w:right="24"/>
              <w:jc w:val="center"/>
              <w:rPr>
                <w:sz w:val="3"/>
              </w:rPr>
            </w:pPr>
            <w:r>
              <w:rPr>
                <w:w w:val="105"/>
                <w:sz w:val="3"/>
              </w:rPr>
              <w:t>13,4980560%</w:t>
            </w:r>
          </w:p>
        </w:tc>
        <w:tc>
          <w:tcPr>
            <w:tcW w:w="288" w:type="dxa"/>
          </w:tcPr>
          <w:p w14:paraId="07363CAA" w14:textId="77777777" w:rsidR="00F65BCA" w:rsidRDefault="00216117">
            <w:pPr>
              <w:pStyle w:val="TableParagraph"/>
              <w:spacing w:line="21977" w:lineRule="exact"/>
              <w:ind w:left="24" w:right="24"/>
              <w:jc w:val="center"/>
              <w:rPr>
                <w:sz w:val="3"/>
              </w:rPr>
            </w:pPr>
            <w:r>
              <w:rPr>
                <w:w w:val="105"/>
                <w:sz w:val="3"/>
              </w:rPr>
              <w:t>12,9111840%</w:t>
            </w:r>
          </w:p>
        </w:tc>
        <w:tc>
          <w:tcPr>
            <w:tcW w:w="288" w:type="dxa"/>
          </w:tcPr>
          <w:p w14:paraId="46C1ECA5" w14:textId="77777777" w:rsidR="00F65BCA" w:rsidRDefault="00216117">
            <w:pPr>
              <w:pStyle w:val="TableParagraph"/>
              <w:spacing w:line="21977" w:lineRule="exact"/>
              <w:ind w:left="24" w:right="24"/>
              <w:jc w:val="center"/>
              <w:rPr>
                <w:sz w:val="3"/>
              </w:rPr>
            </w:pPr>
            <w:r>
              <w:rPr>
                <w:w w:val="105"/>
                <w:sz w:val="3"/>
              </w:rPr>
              <w:t>11,7374400%</w:t>
            </w:r>
          </w:p>
        </w:tc>
        <w:tc>
          <w:tcPr>
            <w:tcW w:w="288" w:type="dxa"/>
          </w:tcPr>
          <w:p w14:paraId="18A05A33" w14:textId="77777777" w:rsidR="00F65BCA" w:rsidRDefault="00216117">
            <w:pPr>
              <w:pStyle w:val="TableParagraph"/>
              <w:spacing w:line="21977" w:lineRule="exact"/>
              <w:ind w:left="47"/>
              <w:rPr>
                <w:sz w:val="3"/>
              </w:rPr>
            </w:pPr>
            <w:r>
              <w:rPr>
                <w:w w:val="105"/>
                <w:sz w:val="3"/>
              </w:rPr>
              <w:t>11,7374400%</w:t>
            </w:r>
          </w:p>
        </w:tc>
      </w:tr>
      <w:tr w:rsidR="00F65BCA" w14:paraId="5568BE77" w14:textId="77777777">
        <w:trPr>
          <w:trHeight w:val="100"/>
        </w:trPr>
        <w:tc>
          <w:tcPr>
            <w:tcW w:w="526" w:type="dxa"/>
            <w:tcBorders>
              <w:bottom w:val="nil"/>
            </w:tcBorders>
            <w:shd w:val="clear" w:color="auto" w:fill="FCE4D6"/>
          </w:tcPr>
          <w:p w14:paraId="550D57B5" w14:textId="77777777" w:rsidR="00F65BCA" w:rsidRDefault="00F65BCA">
            <w:pPr>
              <w:pStyle w:val="TableParagraph"/>
              <w:rPr>
                <w:rFonts w:ascii="Times New Roman"/>
                <w:sz w:val="2"/>
              </w:rPr>
            </w:pPr>
          </w:p>
        </w:tc>
        <w:tc>
          <w:tcPr>
            <w:tcW w:w="1690" w:type="dxa"/>
            <w:gridSpan w:val="3"/>
            <w:shd w:val="clear" w:color="auto" w:fill="FCE4D6"/>
          </w:tcPr>
          <w:p w14:paraId="7BEA96B0" w14:textId="77777777" w:rsidR="00F65BCA" w:rsidRDefault="00216117">
            <w:pPr>
              <w:pStyle w:val="TableParagraph"/>
              <w:spacing w:line="2597" w:lineRule="exact"/>
              <w:ind w:left="4"/>
              <w:rPr>
                <w:sz w:val="3"/>
              </w:rPr>
            </w:pPr>
            <w:r>
              <w:rPr>
                <w:w w:val="105"/>
                <w:sz w:val="3"/>
              </w:rPr>
              <w:t>Aixam; Bellier; Casalini; Elbee; Erad; Grecav; Chatenet; Italcar; JDM; JMSTAR; Ligier; Microcar; Renault; Tasso</w:t>
            </w:r>
          </w:p>
        </w:tc>
        <w:tc>
          <w:tcPr>
            <w:tcW w:w="576" w:type="dxa"/>
            <w:shd w:val="clear" w:color="auto" w:fill="FCE4D6"/>
          </w:tcPr>
          <w:p w14:paraId="71A3D944" w14:textId="77777777" w:rsidR="00F65BCA" w:rsidRDefault="00216117">
            <w:pPr>
              <w:pStyle w:val="TableParagraph"/>
              <w:spacing w:line="2597" w:lineRule="exact"/>
              <w:ind w:left="3"/>
              <w:jc w:val="center"/>
              <w:rPr>
                <w:sz w:val="3"/>
              </w:rPr>
            </w:pPr>
            <w:r>
              <w:rPr>
                <w:w w:val="103"/>
                <w:sz w:val="3"/>
              </w:rPr>
              <w:t>-</w:t>
            </w:r>
          </w:p>
        </w:tc>
        <w:tc>
          <w:tcPr>
            <w:tcW w:w="576" w:type="dxa"/>
            <w:shd w:val="clear" w:color="auto" w:fill="FCE4D6"/>
          </w:tcPr>
          <w:p w14:paraId="35D3054F" w14:textId="77777777" w:rsidR="00F65BCA" w:rsidRDefault="00216117">
            <w:pPr>
              <w:pStyle w:val="TableParagraph"/>
              <w:spacing w:line="2597" w:lineRule="exact"/>
              <w:ind w:left="3"/>
              <w:jc w:val="center"/>
              <w:rPr>
                <w:sz w:val="3"/>
              </w:rPr>
            </w:pPr>
            <w:r>
              <w:rPr>
                <w:w w:val="103"/>
                <w:sz w:val="3"/>
              </w:rPr>
              <w:t>-</w:t>
            </w:r>
          </w:p>
        </w:tc>
        <w:tc>
          <w:tcPr>
            <w:tcW w:w="50" w:type="dxa"/>
            <w:vMerge/>
            <w:tcBorders>
              <w:top w:val="nil"/>
              <w:bottom w:val="nil"/>
            </w:tcBorders>
          </w:tcPr>
          <w:p w14:paraId="7B7F680F" w14:textId="77777777" w:rsidR="00F65BCA" w:rsidRDefault="00F65BCA">
            <w:pPr>
              <w:rPr>
                <w:sz w:val="2"/>
                <w:szCs w:val="2"/>
              </w:rPr>
            </w:pPr>
          </w:p>
        </w:tc>
        <w:tc>
          <w:tcPr>
            <w:tcW w:w="288" w:type="dxa"/>
          </w:tcPr>
          <w:p w14:paraId="61C808C6" w14:textId="77777777" w:rsidR="00F65BCA" w:rsidRDefault="00216117">
            <w:pPr>
              <w:pStyle w:val="TableParagraph"/>
              <w:spacing w:line="2597" w:lineRule="exact"/>
              <w:ind w:left="24" w:right="24"/>
              <w:jc w:val="center"/>
              <w:rPr>
                <w:sz w:val="3"/>
              </w:rPr>
            </w:pPr>
            <w:r>
              <w:rPr>
                <w:w w:val="105"/>
                <w:sz w:val="3"/>
              </w:rPr>
              <w:t>28,1397600%</w:t>
            </w:r>
          </w:p>
        </w:tc>
        <w:tc>
          <w:tcPr>
            <w:tcW w:w="288" w:type="dxa"/>
          </w:tcPr>
          <w:p w14:paraId="5205818D" w14:textId="77777777" w:rsidR="00F65BCA" w:rsidRDefault="00216117">
            <w:pPr>
              <w:pStyle w:val="TableParagraph"/>
              <w:spacing w:line="2597" w:lineRule="exact"/>
              <w:ind w:left="24" w:right="24"/>
              <w:jc w:val="center"/>
              <w:rPr>
                <w:sz w:val="3"/>
              </w:rPr>
            </w:pPr>
            <w:r>
              <w:rPr>
                <w:w w:val="105"/>
                <w:sz w:val="3"/>
              </w:rPr>
              <w:t>25,1776800%</w:t>
            </w:r>
          </w:p>
        </w:tc>
        <w:tc>
          <w:tcPr>
            <w:tcW w:w="288" w:type="dxa"/>
          </w:tcPr>
          <w:p w14:paraId="3847CE19" w14:textId="77777777" w:rsidR="00F65BCA" w:rsidRDefault="00216117">
            <w:pPr>
              <w:pStyle w:val="TableParagraph"/>
              <w:spacing w:line="2597" w:lineRule="exact"/>
              <w:ind w:left="47"/>
              <w:rPr>
                <w:sz w:val="3"/>
              </w:rPr>
            </w:pPr>
            <w:r>
              <w:rPr>
                <w:w w:val="105"/>
                <w:sz w:val="3"/>
              </w:rPr>
              <w:t>25,1776800%</w:t>
            </w:r>
          </w:p>
        </w:tc>
        <w:tc>
          <w:tcPr>
            <w:tcW w:w="288" w:type="dxa"/>
          </w:tcPr>
          <w:p w14:paraId="35BA60B0" w14:textId="77777777" w:rsidR="00F65BCA" w:rsidRDefault="00216117">
            <w:pPr>
              <w:pStyle w:val="TableParagraph"/>
              <w:spacing w:line="2597" w:lineRule="exact"/>
              <w:ind w:left="24" w:right="24"/>
              <w:jc w:val="center"/>
              <w:rPr>
                <w:sz w:val="3"/>
              </w:rPr>
            </w:pPr>
            <w:r>
              <w:rPr>
                <w:w w:val="105"/>
                <w:sz w:val="3"/>
              </w:rPr>
              <w:t>22,9561200%</w:t>
            </w:r>
          </w:p>
        </w:tc>
        <w:tc>
          <w:tcPr>
            <w:tcW w:w="288" w:type="dxa"/>
          </w:tcPr>
          <w:p w14:paraId="4A1BFDFA" w14:textId="77777777" w:rsidR="00F65BCA" w:rsidRDefault="00216117">
            <w:pPr>
              <w:pStyle w:val="TableParagraph"/>
              <w:spacing w:line="2597" w:lineRule="exact"/>
              <w:ind w:left="47"/>
              <w:rPr>
                <w:sz w:val="3"/>
              </w:rPr>
            </w:pPr>
            <w:r>
              <w:rPr>
                <w:w w:val="105"/>
                <w:sz w:val="3"/>
              </w:rPr>
              <w:t>22,9561200%</w:t>
            </w:r>
          </w:p>
        </w:tc>
        <w:tc>
          <w:tcPr>
            <w:tcW w:w="288" w:type="dxa"/>
          </w:tcPr>
          <w:p w14:paraId="2EEB48F2" w14:textId="77777777" w:rsidR="00F65BCA" w:rsidRDefault="00216117">
            <w:pPr>
              <w:pStyle w:val="TableParagraph"/>
              <w:spacing w:line="2597" w:lineRule="exact"/>
              <w:ind w:left="24" w:right="24"/>
              <w:jc w:val="center"/>
              <w:rPr>
                <w:sz w:val="3"/>
              </w:rPr>
            </w:pPr>
            <w:r>
              <w:rPr>
                <w:w w:val="105"/>
                <w:sz w:val="3"/>
              </w:rPr>
              <w:t>20,7345600%</w:t>
            </w:r>
          </w:p>
        </w:tc>
        <w:tc>
          <w:tcPr>
            <w:tcW w:w="288" w:type="dxa"/>
          </w:tcPr>
          <w:p w14:paraId="135A3FB0" w14:textId="77777777" w:rsidR="00F65BCA" w:rsidRDefault="00216117">
            <w:pPr>
              <w:pStyle w:val="TableParagraph"/>
              <w:spacing w:line="2597" w:lineRule="exact"/>
              <w:ind w:left="24" w:right="24"/>
              <w:jc w:val="center"/>
              <w:rPr>
                <w:sz w:val="3"/>
              </w:rPr>
            </w:pPr>
            <w:r>
              <w:rPr>
                <w:w w:val="105"/>
                <w:sz w:val="3"/>
              </w:rPr>
              <w:t>20,7345600%</w:t>
            </w:r>
          </w:p>
        </w:tc>
        <w:tc>
          <w:tcPr>
            <w:tcW w:w="288" w:type="dxa"/>
          </w:tcPr>
          <w:p w14:paraId="0849F944" w14:textId="77777777" w:rsidR="00F65BCA" w:rsidRDefault="00216117">
            <w:pPr>
              <w:pStyle w:val="TableParagraph"/>
              <w:spacing w:line="2597" w:lineRule="exact"/>
              <w:ind w:left="47"/>
              <w:rPr>
                <w:sz w:val="3"/>
              </w:rPr>
            </w:pPr>
            <w:r>
              <w:rPr>
                <w:w w:val="105"/>
                <w:sz w:val="3"/>
              </w:rPr>
              <w:t>18,5130000%</w:t>
            </w:r>
          </w:p>
        </w:tc>
        <w:tc>
          <w:tcPr>
            <w:tcW w:w="288" w:type="dxa"/>
          </w:tcPr>
          <w:p w14:paraId="18EC4D45" w14:textId="77777777" w:rsidR="00F65BCA" w:rsidRDefault="00216117">
            <w:pPr>
              <w:pStyle w:val="TableParagraph"/>
              <w:spacing w:line="2597" w:lineRule="exact"/>
              <w:ind w:left="24" w:right="24"/>
              <w:jc w:val="center"/>
              <w:rPr>
                <w:sz w:val="3"/>
              </w:rPr>
            </w:pPr>
            <w:r>
              <w:rPr>
                <w:w w:val="105"/>
                <w:sz w:val="3"/>
              </w:rPr>
              <w:t>18,5130000%</w:t>
            </w:r>
          </w:p>
        </w:tc>
        <w:tc>
          <w:tcPr>
            <w:tcW w:w="288" w:type="dxa"/>
          </w:tcPr>
          <w:p w14:paraId="3C5CFFF2" w14:textId="77777777" w:rsidR="00F65BCA" w:rsidRDefault="00216117">
            <w:pPr>
              <w:pStyle w:val="TableParagraph"/>
              <w:spacing w:line="2597" w:lineRule="exact"/>
              <w:ind w:left="24" w:right="24"/>
              <w:jc w:val="center"/>
              <w:rPr>
                <w:sz w:val="3"/>
              </w:rPr>
            </w:pPr>
            <w:r>
              <w:rPr>
                <w:w w:val="105"/>
                <w:sz w:val="3"/>
              </w:rPr>
              <w:t>17,0319600%</w:t>
            </w:r>
          </w:p>
        </w:tc>
        <w:tc>
          <w:tcPr>
            <w:tcW w:w="288" w:type="dxa"/>
          </w:tcPr>
          <w:p w14:paraId="56D3C360" w14:textId="77777777" w:rsidR="00F65BCA" w:rsidRDefault="00216117">
            <w:pPr>
              <w:pStyle w:val="TableParagraph"/>
              <w:spacing w:line="2597" w:lineRule="exact"/>
              <w:ind w:left="24" w:right="24"/>
              <w:jc w:val="center"/>
              <w:rPr>
                <w:sz w:val="3"/>
              </w:rPr>
            </w:pPr>
            <w:r>
              <w:rPr>
                <w:w w:val="105"/>
                <w:sz w:val="3"/>
              </w:rPr>
              <w:t>16,2914400%</w:t>
            </w:r>
          </w:p>
        </w:tc>
        <w:tc>
          <w:tcPr>
            <w:tcW w:w="288" w:type="dxa"/>
          </w:tcPr>
          <w:p w14:paraId="14FB1943" w14:textId="77777777" w:rsidR="00F65BCA" w:rsidRDefault="00216117">
            <w:pPr>
              <w:pStyle w:val="TableParagraph"/>
              <w:spacing w:line="2597" w:lineRule="exact"/>
              <w:ind w:left="24" w:right="24"/>
              <w:jc w:val="center"/>
              <w:rPr>
                <w:sz w:val="3"/>
              </w:rPr>
            </w:pPr>
            <w:r>
              <w:rPr>
                <w:w w:val="105"/>
                <w:sz w:val="3"/>
              </w:rPr>
              <w:t>14,8104000%</w:t>
            </w:r>
          </w:p>
        </w:tc>
        <w:tc>
          <w:tcPr>
            <w:tcW w:w="288" w:type="dxa"/>
          </w:tcPr>
          <w:p w14:paraId="0004DB96" w14:textId="77777777" w:rsidR="00F65BCA" w:rsidRDefault="00216117">
            <w:pPr>
              <w:pStyle w:val="TableParagraph"/>
              <w:spacing w:line="2597" w:lineRule="exact"/>
              <w:ind w:left="47"/>
              <w:rPr>
                <w:sz w:val="3"/>
              </w:rPr>
            </w:pPr>
            <w:r>
              <w:rPr>
                <w:w w:val="105"/>
                <w:sz w:val="3"/>
              </w:rPr>
              <w:t>14,8104000%</w:t>
            </w:r>
          </w:p>
        </w:tc>
      </w:tr>
      <w:tr w:rsidR="00F65BCA" w14:paraId="63FD31D8" w14:textId="77777777">
        <w:trPr>
          <w:trHeight w:val="399"/>
        </w:trPr>
        <w:tc>
          <w:tcPr>
            <w:tcW w:w="526" w:type="dxa"/>
            <w:tcBorders>
              <w:top w:val="nil"/>
              <w:bottom w:val="nil"/>
            </w:tcBorders>
            <w:shd w:val="clear" w:color="auto" w:fill="FCE4D6"/>
          </w:tcPr>
          <w:p w14:paraId="2E5FC52F" w14:textId="77777777" w:rsidR="00F65BCA" w:rsidRDefault="00216117">
            <w:pPr>
              <w:pStyle w:val="TableParagraph"/>
              <w:spacing w:line="5001" w:lineRule="exact"/>
              <w:ind w:right="126"/>
              <w:jc w:val="right"/>
              <w:rPr>
                <w:sz w:val="3"/>
              </w:rPr>
            </w:pPr>
            <w:r>
              <w:rPr>
                <w:w w:val="105"/>
                <w:sz w:val="3"/>
              </w:rPr>
              <w:t>tříkolky a čtyřkolky</w:t>
            </w:r>
          </w:p>
        </w:tc>
        <w:tc>
          <w:tcPr>
            <w:tcW w:w="1690" w:type="dxa"/>
            <w:gridSpan w:val="3"/>
            <w:tcBorders>
              <w:bottom w:val="nil"/>
            </w:tcBorders>
            <w:shd w:val="clear" w:color="auto" w:fill="FCE4D6"/>
          </w:tcPr>
          <w:p w14:paraId="2B1C5745" w14:textId="77777777" w:rsidR="00F65BCA" w:rsidRDefault="00216117">
            <w:pPr>
              <w:pStyle w:val="TableParagraph"/>
              <w:spacing w:line="5111" w:lineRule="exact"/>
              <w:ind w:left="4"/>
              <w:rPr>
                <w:sz w:val="3"/>
              </w:rPr>
            </w:pPr>
            <w:r>
              <w:rPr>
                <w:w w:val="105"/>
                <w:sz w:val="3"/>
              </w:rPr>
              <w:t>Access; Actionbikes; Adams; Adly; Aeon; Aie; Akumoto; Alke; AM; AMS; Anaig; Autohandl; Barossa; Bashan;</w:t>
            </w:r>
          </w:p>
          <w:p w14:paraId="794CB892" w14:textId="77777777" w:rsidR="00F65BCA" w:rsidRDefault="00216117">
            <w:pPr>
              <w:pStyle w:val="TableParagraph"/>
              <w:spacing w:line="5070" w:lineRule="exact"/>
              <w:ind w:left="4"/>
              <w:rPr>
                <w:sz w:val="3"/>
              </w:rPr>
            </w:pPr>
            <w:r>
              <w:rPr>
                <w:w w:val="105"/>
                <w:sz w:val="3"/>
              </w:rPr>
              <w:t>Benycargo; Bombardier; Boom trikes; Borile; BRP; BSA; Buell; Buyang; Campell; Can-Am; Carter; Cectek; CF Moto;</w:t>
            </w:r>
          </w:p>
          <w:p w14:paraId="0F51B653" w14:textId="77777777" w:rsidR="00F65BCA" w:rsidRDefault="00216117">
            <w:pPr>
              <w:pStyle w:val="TableParagraph"/>
              <w:spacing w:line="5030" w:lineRule="exact"/>
              <w:ind w:left="4"/>
              <w:rPr>
                <w:sz w:val="3"/>
              </w:rPr>
            </w:pPr>
            <w:r>
              <w:rPr>
                <w:w w:val="105"/>
                <w:sz w:val="3"/>
              </w:rPr>
              <w:lastRenderedPageBreak/>
              <w:t>CPI; Derbi; Dinli; Divine Star&amp;Moon; Dněpr; Dongfang; Dresel; Eagel Motorsports; Easy Trike; Eglmotor; EHO;</w:t>
            </w:r>
          </w:p>
          <w:p w14:paraId="4CCC363D" w14:textId="77777777" w:rsidR="00F65BCA" w:rsidRDefault="00216117">
            <w:pPr>
              <w:pStyle w:val="TableParagraph"/>
              <w:spacing w:line="4989" w:lineRule="exact"/>
              <w:ind w:left="4"/>
              <w:rPr>
                <w:sz w:val="3"/>
              </w:rPr>
            </w:pPr>
            <w:r>
              <w:rPr>
                <w:w w:val="105"/>
                <w:sz w:val="3"/>
              </w:rPr>
              <w:t>Elektropower;</w:t>
            </w:r>
            <w:r>
              <w:rPr>
                <w:spacing w:val="-3"/>
                <w:w w:val="105"/>
                <w:sz w:val="3"/>
              </w:rPr>
              <w:t xml:space="preserve"> </w:t>
            </w:r>
            <w:r>
              <w:rPr>
                <w:w w:val="105"/>
                <w:sz w:val="3"/>
              </w:rPr>
              <w:t>EMU;</w:t>
            </w:r>
            <w:r>
              <w:rPr>
                <w:spacing w:val="-2"/>
                <w:w w:val="105"/>
                <w:sz w:val="3"/>
              </w:rPr>
              <w:t xml:space="preserve"> </w:t>
            </w:r>
            <w:r>
              <w:rPr>
                <w:w w:val="105"/>
                <w:sz w:val="3"/>
              </w:rPr>
              <w:t>Estrima;</w:t>
            </w:r>
            <w:r>
              <w:rPr>
                <w:spacing w:val="-2"/>
                <w:w w:val="105"/>
                <w:sz w:val="3"/>
              </w:rPr>
              <w:t xml:space="preserve"> </w:t>
            </w:r>
            <w:r>
              <w:rPr>
                <w:w w:val="105"/>
                <w:sz w:val="3"/>
              </w:rPr>
              <w:t>E-TON;</w:t>
            </w:r>
            <w:r>
              <w:rPr>
                <w:spacing w:val="-2"/>
                <w:w w:val="105"/>
                <w:sz w:val="3"/>
              </w:rPr>
              <w:t xml:space="preserve"> </w:t>
            </w:r>
            <w:r>
              <w:rPr>
                <w:w w:val="105"/>
                <w:sz w:val="3"/>
              </w:rPr>
              <w:t>Feishen;</w:t>
            </w:r>
            <w:r>
              <w:rPr>
                <w:spacing w:val="-2"/>
                <w:w w:val="105"/>
                <w:sz w:val="3"/>
              </w:rPr>
              <w:t xml:space="preserve"> </w:t>
            </w:r>
            <w:r>
              <w:rPr>
                <w:w w:val="105"/>
                <w:sz w:val="3"/>
              </w:rPr>
              <w:t>Fuxin;</w:t>
            </w:r>
            <w:r>
              <w:rPr>
                <w:spacing w:val="-2"/>
                <w:w w:val="105"/>
                <w:sz w:val="3"/>
              </w:rPr>
              <w:t xml:space="preserve"> </w:t>
            </w:r>
            <w:r>
              <w:rPr>
                <w:w w:val="105"/>
                <w:sz w:val="3"/>
              </w:rPr>
              <w:t>Gamax;</w:t>
            </w:r>
            <w:r>
              <w:rPr>
                <w:spacing w:val="-2"/>
                <w:w w:val="105"/>
                <w:sz w:val="3"/>
              </w:rPr>
              <w:t xml:space="preserve"> </w:t>
            </w:r>
            <w:r>
              <w:rPr>
                <w:w w:val="105"/>
                <w:sz w:val="3"/>
              </w:rPr>
              <w:t>Garelli;</w:t>
            </w:r>
            <w:r>
              <w:rPr>
                <w:spacing w:val="-2"/>
                <w:w w:val="105"/>
                <w:sz w:val="3"/>
              </w:rPr>
              <w:t xml:space="preserve"> </w:t>
            </w:r>
            <w:r>
              <w:rPr>
                <w:w w:val="105"/>
                <w:sz w:val="3"/>
              </w:rPr>
              <w:t>Gas;</w:t>
            </w:r>
            <w:r>
              <w:rPr>
                <w:spacing w:val="-3"/>
                <w:w w:val="105"/>
                <w:sz w:val="3"/>
              </w:rPr>
              <w:t xml:space="preserve"> </w:t>
            </w:r>
            <w:r>
              <w:rPr>
                <w:w w:val="105"/>
                <w:sz w:val="3"/>
              </w:rPr>
              <w:t>Goes;</w:t>
            </w:r>
            <w:r>
              <w:rPr>
                <w:spacing w:val="-2"/>
                <w:w w:val="105"/>
                <w:sz w:val="3"/>
              </w:rPr>
              <w:t xml:space="preserve"> </w:t>
            </w:r>
            <w:r>
              <w:rPr>
                <w:w w:val="105"/>
                <w:sz w:val="3"/>
              </w:rPr>
              <w:t>Golc;</w:t>
            </w:r>
            <w:r>
              <w:rPr>
                <w:spacing w:val="-2"/>
                <w:w w:val="105"/>
                <w:sz w:val="3"/>
              </w:rPr>
              <w:t xml:space="preserve"> </w:t>
            </w:r>
            <w:r>
              <w:rPr>
                <w:w w:val="105"/>
                <w:sz w:val="3"/>
              </w:rPr>
              <w:t>Goupil;</w:t>
            </w:r>
            <w:r>
              <w:rPr>
                <w:spacing w:val="-2"/>
                <w:w w:val="105"/>
                <w:sz w:val="3"/>
              </w:rPr>
              <w:t xml:space="preserve"> </w:t>
            </w:r>
            <w:r>
              <w:rPr>
                <w:w w:val="105"/>
                <w:sz w:val="3"/>
              </w:rPr>
              <w:t>GS</w:t>
            </w:r>
            <w:r>
              <w:rPr>
                <w:spacing w:val="-2"/>
                <w:w w:val="105"/>
                <w:sz w:val="3"/>
              </w:rPr>
              <w:t xml:space="preserve"> </w:t>
            </w:r>
            <w:r>
              <w:rPr>
                <w:w w:val="105"/>
                <w:sz w:val="3"/>
              </w:rPr>
              <w:t>Moon;</w:t>
            </w:r>
            <w:r>
              <w:rPr>
                <w:spacing w:val="-2"/>
                <w:w w:val="105"/>
                <w:sz w:val="3"/>
              </w:rPr>
              <w:t xml:space="preserve"> </w:t>
            </w:r>
            <w:r>
              <w:rPr>
                <w:w w:val="105"/>
                <w:sz w:val="3"/>
              </w:rPr>
              <w:t>H</w:t>
            </w:r>
            <w:r>
              <w:rPr>
                <w:spacing w:val="-4"/>
                <w:w w:val="105"/>
                <w:sz w:val="3"/>
              </w:rPr>
              <w:t xml:space="preserve"> </w:t>
            </w:r>
            <w:r>
              <w:rPr>
                <w:w w:val="105"/>
                <w:sz w:val="3"/>
              </w:rPr>
              <w:t>Sperl;</w:t>
            </w:r>
          </w:p>
          <w:p w14:paraId="5149A2D1" w14:textId="77777777" w:rsidR="00F65BCA" w:rsidRDefault="00216117">
            <w:pPr>
              <w:pStyle w:val="TableParagraph"/>
              <w:spacing w:line="4948" w:lineRule="exact"/>
              <w:ind w:left="4"/>
              <w:rPr>
                <w:sz w:val="3"/>
              </w:rPr>
            </w:pPr>
            <w:r>
              <w:rPr>
                <w:w w:val="105"/>
                <w:sz w:val="3"/>
              </w:rPr>
              <w:t>Haili;</w:t>
            </w:r>
            <w:r>
              <w:rPr>
                <w:spacing w:val="-3"/>
                <w:w w:val="105"/>
                <w:sz w:val="3"/>
              </w:rPr>
              <w:t xml:space="preserve"> </w:t>
            </w:r>
            <w:r>
              <w:rPr>
                <w:w w:val="105"/>
                <w:sz w:val="3"/>
              </w:rPr>
              <w:t>Harnessbike;</w:t>
            </w:r>
            <w:r>
              <w:rPr>
                <w:spacing w:val="-3"/>
                <w:w w:val="105"/>
                <w:sz w:val="3"/>
              </w:rPr>
              <w:t xml:space="preserve"> </w:t>
            </w:r>
            <w:r>
              <w:rPr>
                <w:w w:val="105"/>
                <w:sz w:val="3"/>
              </w:rPr>
              <w:t>HAWK;</w:t>
            </w:r>
            <w:r>
              <w:rPr>
                <w:spacing w:val="-3"/>
                <w:w w:val="105"/>
                <w:sz w:val="3"/>
              </w:rPr>
              <w:t xml:space="preserve"> </w:t>
            </w:r>
            <w:r>
              <w:rPr>
                <w:w w:val="105"/>
                <w:sz w:val="3"/>
              </w:rPr>
              <w:t>HDK;</w:t>
            </w:r>
            <w:r>
              <w:rPr>
                <w:spacing w:val="-3"/>
                <w:w w:val="105"/>
                <w:sz w:val="3"/>
              </w:rPr>
              <w:t xml:space="preserve"> </w:t>
            </w:r>
            <w:r>
              <w:rPr>
                <w:w w:val="105"/>
                <w:sz w:val="3"/>
              </w:rPr>
              <w:t>HER</w:t>
            </w:r>
            <w:r>
              <w:rPr>
                <w:spacing w:val="-4"/>
                <w:w w:val="105"/>
                <w:sz w:val="3"/>
              </w:rPr>
              <w:t xml:space="preserve"> </w:t>
            </w:r>
            <w:r>
              <w:rPr>
                <w:w w:val="105"/>
                <w:sz w:val="3"/>
              </w:rPr>
              <w:t>CHEE;</w:t>
            </w:r>
            <w:r>
              <w:rPr>
                <w:spacing w:val="-3"/>
                <w:w w:val="105"/>
                <w:sz w:val="3"/>
              </w:rPr>
              <w:t xml:space="preserve"> </w:t>
            </w:r>
            <w:r>
              <w:rPr>
                <w:w w:val="105"/>
                <w:sz w:val="3"/>
              </w:rPr>
              <w:t>Hill</w:t>
            </w:r>
            <w:r>
              <w:rPr>
                <w:spacing w:val="-4"/>
                <w:w w:val="105"/>
                <w:sz w:val="3"/>
              </w:rPr>
              <w:t xml:space="preserve"> </w:t>
            </w:r>
            <w:r>
              <w:rPr>
                <w:w w:val="105"/>
                <w:sz w:val="3"/>
              </w:rPr>
              <w:t>Cooper;</w:t>
            </w:r>
            <w:r>
              <w:rPr>
                <w:spacing w:val="-3"/>
                <w:w w:val="105"/>
                <w:sz w:val="3"/>
              </w:rPr>
              <w:t xml:space="preserve"> </w:t>
            </w:r>
            <w:r>
              <w:rPr>
                <w:w w:val="105"/>
                <w:sz w:val="3"/>
              </w:rPr>
              <w:t>Honda;</w:t>
            </w:r>
            <w:r>
              <w:rPr>
                <w:spacing w:val="-3"/>
                <w:w w:val="105"/>
                <w:sz w:val="3"/>
              </w:rPr>
              <w:t xml:space="preserve"> </w:t>
            </w:r>
            <w:r>
              <w:rPr>
                <w:w w:val="105"/>
                <w:sz w:val="3"/>
              </w:rPr>
              <w:t>Hsun;</w:t>
            </w:r>
            <w:r>
              <w:rPr>
                <w:spacing w:val="-3"/>
                <w:w w:val="105"/>
                <w:sz w:val="3"/>
              </w:rPr>
              <w:t xml:space="preserve"> </w:t>
            </w:r>
            <w:r>
              <w:rPr>
                <w:w w:val="105"/>
                <w:sz w:val="3"/>
              </w:rPr>
              <w:t>Hyosung;</w:t>
            </w:r>
            <w:r>
              <w:rPr>
                <w:spacing w:val="-2"/>
                <w:w w:val="105"/>
                <w:sz w:val="3"/>
              </w:rPr>
              <w:t xml:space="preserve"> </w:t>
            </w:r>
            <w:r>
              <w:rPr>
                <w:w w:val="105"/>
                <w:sz w:val="3"/>
              </w:rPr>
              <w:t>Chongqing;</w:t>
            </w:r>
            <w:r>
              <w:rPr>
                <w:spacing w:val="-3"/>
                <w:w w:val="105"/>
                <w:sz w:val="3"/>
              </w:rPr>
              <w:t xml:space="preserve"> </w:t>
            </w:r>
            <w:r>
              <w:rPr>
                <w:w w:val="105"/>
                <w:sz w:val="3"/>
              </w:rPr>
              <w:t>IPS;</w:t>
            </w:r>
            <w:r>
              <w:rPr>
                <w:spacing w:val="-3"/>
                <w:w w:val="105"/>
                <w:sz w:val="3"/>
              </w:rPr>
              <w:t xml:space="preserve"> </w:t>
            </w:r>
            <w:r>
              <w:rPr>
                <w:w w:val="105"/>
                <w:sz w:val="3"/>
              </w:rPr>
              <w:t>Jiangsu</w:t>
            </w:r>
            <w:r>
              <w:rPr>
                <w:spacing w:val="-4"/>
                <w:w w:val="105"/>
                <w:sz w:val="3"/>
              </w:rPr>
              <w:t xml:space="preserve"> </w:t>
            </w:r>
            <w:r>
              <w:rPr>
                <w:w w:val="105"/>
                <w:sz w:val="3"/>
              </w:rPr>
              <w:t>Linhai;</w:t>
            </w:r>
          </w:p>
          <w:p w14:paraId="10F811E8" w14:textId="77777777" w:rsidR="00F65BCA" w:rsidRDefault="00216117">
            <w:pPr>
              <w:pStyle w:val="TableParagraph"/>
              <w:spacing w:line="4907" w:lineRule="exact"/>
              <w:ind w:left="4"/>
              <w:rPr>
                <w:sz w:val="3"/>
              </w:rPr>
            </w:pPr>
            <w:r>
              <w:rPr>
                <w:w w:val="105"/>
                <w:sz w:val="3"/>
              </w:rPr>
              <w:lastRenderedPageBreak/>
              <w:t>Jinling;</w:t>
            </w:r>
            <w:r>
              <w:rPr>
                <w:spacing w:val="-4"/>
                <w:w w:val="105"/>
                <w:sz w:val="3"/>
              </w:rPr>
              <w:t xml:space="preserve"> </w:t>
            </w:r>
            <w:r>
              <w:rPr>
                <w:w w:val="105"/>
                <w:sz w:val="3"/>
              </w:rPr>
              <w:t>Journeyman;</w:t>
            </w:r>
            <w:r>
              <w:rPr>
                <w:spacing w:val="-4"/>
                <w:w w:val="105"/>
                <w:sz w:val="3"/>
              </w:rPr>
              <w:t xml:space="preserve"> </w:t>
            </w:r>
            <w:r>
              <w:rPr>
                <w:w w:val="105"/>
                <w:sz w:val="3"/>
              </w:rPr>
              <w:t>Kangchao;</w:t>
            </w:r>
            <w:r>
              <w:rPr>
                <w:spacing w:val="-3"/>
                <w:w w:val="105"/>
                <w:sz w:val="3"/>
              </w:rPr>
              <w:t xml:space="preserve"> </w:t>
            </w:r>
            <w:r>
              <w:rPr>
                <w:w w:val="105"/>
                <w:sz w:val="3"/>
              </w:rPr>
              <w:t>Kawasaki;</w:t>
            </w:r>
            <w:r>
              <w:rPr>
                <w:spacing w:val="-4"/>
                <w:w w:val="105"/>
                <w:sz w:val="3"/>
              </w:rPr>
              <w:t xml:space="preserve"> </w:t>
            </w:r>
            <w:r>
              <w:rPr>
                <w:w w:val="105"/>
                <w:sz w:val="3"/>
              </w:rPr>
              <w:t>Kazuma;</w:t>
            </w:r>
            <w:r>
              <w:rPr>
                <w:spacing w:val="-4"/>
                <w:w w:val="105"/>
                <w:sz w:val="3"/>
              </w:rPr>
              <w:t xml:space="preserve"> </w:t>
            </w:r>
            <w:r>
              <w:rPr>
                <w:w w:val="105"/>
                <w:sz w:val="3"/>
              </w:rPr>
              <w:t>Keeway;</w:t>
            </w:r>
            <w:r>
              <w:rPr>
                <w:spacing w:val="-3"/>
                <w:w w:val="105"/>
                <w:sz w:val="3"/>
              </w:rPr>
              <w:t xml:space="preserve"> </w:t>
            </w:r>
            <w:r>
              <w:rPr>
                <w:w w:val="105"/>
                <w:sz w:val="3"/>
              </w:rPr>
              <w:t>Kentoya;</w:t>
            </w:r>
            <w:r>
              <w:rPr>
                <w:spacing w:val="-4"/>
                <w:w w:val="105"/>
                <w:sz w:val="3"/>
              </w:rPr>
              <w:t xml:space="preserve"> </w:t>
            </w:r>
            <w:r>
              <w:rPr>
                <w:w w:val="105"/>
                <w:sz w:val="3"/>
              </w:rPr>
              <w:t>Kinroad;</w:t>
            </w:r>
            <w:r>
              <w:rPr>
                <w:spacing w:val="-3"/>
                <w:w w:val="105"/>
                <w:sz w:val="3"/>
              </w:rPr>
              <w:t xml:space="preserve"> </w:t>
            </w:r>
            <w:r>
              <w:rPr>
                <w:w w:val="105"/>
                <w:sz w:val="3"/>
              </w:rPr>
              <w:t>KTM;</w:t>
            </w:r>
            <w:r>
              <w:rPr>
                <w:spacing w:val="-4"/>
                <w:w w:val="105"/>
                <w:sz w:val="3"/>
              </w:rPr>
              <w:t xml:space="preserve"> </w:t>
            </w:r>
            <w:r>
              <w:rPr>
                <w:w w:val="105"/>
                <w:sz w:val="3"/>
              </w:rPr>
              <w:t>Kymco;</w:t>
            </w:r>
            <w:r>
              <w:rPr>
                <w:spacing w:val="-4"/>
                <w:w w:val="105"/>
                <w:sz w:val="3"/>
              </w:rPr>
              <w:t xml:space="preserve"> </w:t>
            </w:r>
            <w:r>
              <w:rPr>
                <w:w w:val="105"/>
                <w:sz w:val="3"/>
              </w:rPr>
              <w:t>Lifan;</w:t>
            </w:r>
            <w:r>
              <w:rPr>
                <w:spacing w:val="-3"/>
                <w:w w:val="105"/>
                <w:sz w:val="3"/>
              </w:rPr>
              <w:t xml:space="preserve"> </w:t>
            </w:r>
            <w:r>
              <w:rPr>
                <w:w w:val="105"/>
                <w:sz w:val="3"/>
              </w:rPr>
              <w:t>Linhai;</w:t>
            </w:r>
            <w:r>
              <w:rPr>
                <w:spacing w:val="-4"/>
                <w:w w:val="105"/>
                <w:sz w:val="3"/>
              </w:rPr>
              <w:t xml:space="preserve"> </w:t>
            </w:r>
            <w:r>
              <w:rPr>
                <w:w w:val="105"/>
                <w:sz w:val="3"/>
              </w:rPr>
              <w:t>Linhay;</w:t>
            </w:r>
          </w:p>
          <w:p w14:paraId="17D3ACED" w14:textId="77777777" w:rsidR="00F65BCA" w:rsidRDefault="00216117">
            <w:pPr>
              <w:pStyle w:val="TableParagraph"/>
              <w:spacing w:line="4866" w:lineRule="exact"/>
              <w:ind w:left="4"/>
              <w:rPr>
                <w:sz w:val="3"/>
              </w:rPr>
            </w:pPr>
            <w:r>
              <w:rPr>
                <w:w w:val="105"/>
                <w:sz w:val="3"/>
              </w:rPr>
              <w:t>Loncin;</w:t>
            </w:r>
            <w:r>
              <w:rPr>
                <w:spacing w:val="-3"/>
                <w:w w:val="105"/>
                <w:sz w:val="3"/>
              </w:rPr>
              <w:t xml:space="preserve"> </w:t>
            </w:r>
            <w:r>
              <w:rPr>
                <w:w w:val="105"/>
                <w:sz w:val="3"/>
              </w:rPr>
              <w:t>Lyda;</w:t>
            </w:r>
            <w:r>
              <w:rPr>
                <w:spacing w:val="-3"/>
                <w:w w:val="105"/>
                <w:sz w:val="3"/>
              </w:rPr>
              <w:t xml:space="preserve"> </w:t>
            </w:r>
            <w:r>
              <w:rPr>
                <w:w w:val="105"/>
                <w:sz w:val="3"/>
              </w:rPr>
              <w:t>Masai;</w:t>
            </w:r>
            <w:r>
              <w:rPr>
                <w:spacing w:val="-3"/>
                <w:w w:val="105"/>
                <w:sz w:val="3"/>
              </w:rPr>
              <w:t xml:space="preserve"> </w:t>
            </w:r>
            <w:r>
              <w:rPr>
                <w:w w:val="105"/>
                <w:sz w:val="3"/>
              </w:rPr>
              <w:t>Mini-elcity;</w:t>
            </w:r>
            <w:r>
              <w:rPr>
                <w:spacing w:val="-3"/>
                <w:w w:val="105"/>
                <w:sz w:val="3"/>
              </w:rPr>
              <w:t xml:space="preserve"> </w:t>
            </w:r>
            <w:r>
              <w:rPr>
                <w:w w:val="105"/>
                <w:sz w:val="3"/>
              </w:rPr>
              <w:t>Moto</w:t>
            </w:r>
            <w:r>
              <w:rPr>
                <w:spacing w:val="-5"/>
                <w:w w:val="105"/>
                <w:sz w:val="3"/>
              </w:rPr>
              <w:t xml:space="preserve"> </w:t>
            </w:r>
            <w:r>
              <w:rPr>
                <w:w w:val="105"/>
                <w:sz w:val="3"/>
              </w:rPr>
              <w:t>Star;</w:t>
            </w:r>
            <w:r>
              <w:rPr>
                <w:spacing w:val="-3"/>
                <w:w w:val="105"/>
                <w:sz w:val="3"/>
              </w:rPr>
              <w:t xml:space="preserve"> </w:t>
            </w:r>
            <w:r>
              <w:rPr>
                <w:w w:val="105"/>
                <w:sz w:val="3"/>
              </w:rPr>
              <w:t>Neuvedeno;</w:t>
            </w:r>
            <w:r>
              <w:rPr>
                <w:spacing w:val="-3"/>
                <w:w w:val="105"/>
                <w:sz w:val="3"/>
              </w:rPr>
              <w:t xml:space="preserve"> </w:t>
            </w:r>
            <w:r>
              <w:rPr>
                <w:w w:val="105"/>
                <w:sz w:val="3"/>
              </w:rPr>
              <w:t>New</w:t>
            </w:r>
            <w:r>
              <w:rPr>
                <w:spacing w:val="-4"/>
                <w:w w:val="105"/>
                <w:sz w:val="3"/>
              </w:rPr>
              <w:t xml:space="preserve"> </w:t>
            </w:r>
            <w:r>
              <w:rPr>
                <w:w w:val="105"/>
                <w:sz w:val="3"/>
              </w:rPr>
              <w:t>Force;</w:t>
            </w:r>
            <w:r>
              <w:rPr>
                <w:spacing w:val="-3"/>
                <w:w w:val="105"/>
                <w:sz w:val="3"/>
              </w:rPr>
              <w:t xml:space="preserve"> </w:t>
            </w:r>
            <w:r>
              <w:rPr>
                <w:w w:val="105"/>
                <w:sz w:val="3"/>
              </w:rPr>
              <w:t>Odes;</w:t>
            </w:r>
            <w:r>
              <w:rPr>
                <w:spacing w:val="-3"/>
                <w:w w:val="105"/>
                <w:sz w:val="3"/>
              </w:rPr>
              <w:t xml:space="preserve"> </w:t>
            </w:r>
            <w:r>
              <w:rPr>
                <w:w w:val="105"/>
                <w:sz w:val="3"/>
              </w:rPr>
              <w:t>Peugeot;</w:t>
            </w:r>
            <w:r>
              <w:rPr>
                <w:spacing w:val="-3"/>
                <w:w w:val="105"/>
                <w:sz w:val="3"/>
              </w:rPr>
              <w:t xml:space="preserve"> </w:t>
            </w:r>
            <w:r>
              <w:rPr>
                <w:w w:val="105"/>
                <w:sz w:val="3"/>
              </w:rPr>
              <w:t>Piaggio;</w:t>
            </w:r>
            <w:r>
              <w:rPr>
                <w:spacing w:val="-3"/>
                <w:w w:val="105"/>
                <w:sz w:val="3"/>
              </w:rPr>
              <w:t xml:space="preserve"> </w:t>
            </w:r>
            <w:r>
              <w:rPr>
                <w:w w:val="105"/>
                <w:sz w:val="3"/>
              </w:rPr>
              <w:t>Pioneer;</w:t>
            </w:r>
            <w:r>
              <w:rPr>
                <w:spacing w:val="-3"/>
                <w:w w:val="105"/>
                <w:sz w:val="3"/>
              </w:rPr>
              <w:t xml:space="preserve"> </w:t>
            </w:r>
            <w:r>
              <w:rPr>
                <w:w w:val="105"/>
                <w:sz w:val="3"/>
              </w:rPr>
              <w:t>Polaris;</w:t>
            </w:r>
            <w:r>
              <w:rPr>
                <w:spacing w:val="-3"/>
                <w:w w:val="105"/>
                <w:sz w:val="3"/>
              </w:rPr>
              <w:t xml:space="preserve"> </w:t>
            </w:r>
            <w:r>
              <w:rPr>
                <w:w w:val="105"/>
                <w:sz w:val="3"/>
              </w:rPr>
              <w:t>Pride;</w:t>
            </w:r>
          </w:p>
          <w:p w14:paraId="2E9DCA0E" w14:textId="77777777" w:rsidR="00F65BCA" w:rsidRDefault="00216117">
            <w:pPr>
              <w:pStyle w:val="TableParagraph"/>
              <w:spacing w:line="4826" w:lineRule="exact"/>
              <w:ind w:left="4"/>
              <w:rPr>
                <w:sz w:val="3"/>
              </w:rPr>
            </w:pPr>
            <w:r>
              <w:rPr>
                <w:w w:val="105"/>
                <w:sz w:val="3"/>
              </w:rPr>
              <w:t>Rewaco; Roxon; Shineray; Skipi; Skyjet; Standard Motor Corporation; Suzuki; Sym; TGB; Thunderbold; Ural; VDO moto;</w:t>
            </w:r>
          </w:p>
          <w:p w14:paraId="765D3946" w14:textId="77777777" w:rsidR="00F65BCA" w:rsidRDefault="00216117">
            <w:pPr>
              <w:pStyle w:val="TableParagraph"/>
              <w:spacing w:line="4785" w:lineRule="exact"/>
              <w:ind w:left="4"/>
              <w:rPr>
                <w:sz w:val="3"/>
              </w:rPr>
            </w:pPr>
            <w:r>
              <w:rPr>
                <w:w w:val="105"/>
                <w:sz w:val="3"/>
              </w:rPr>
              <w:lastRenderedPageBreak/>
              <w:t>Velorex; Wuchuan; Xin Yang; Yamaha; Yuki; Zhenhua; Zhongyu</w:t>
            </w:r>
          </w:p>
        </w:tc>
        <w:tc>
          <w:tcPr>
            <w:tcW w:w="576" w:type="dxa"/>
            <w:tcBorders>
              <w:bottom w:val="nil"/>
            </w:tcBorders>
            <w:shd w:val="clear" w:color="auto" w:fill="FCE4D6"/>
          </w:tcPr>
          <w:p w14:paraId="716B297D" w14:textId="77777777" w:rsidR="00F65BCA" w:rsidRDefault="00216117">
            <w:pPr>
              <w:pStyle w:val="TableParagraph"/>
              <w:spacing w:line="4948" w:lineRule="exact"/>
              <w:ind w:left="3"/>
              <w:jc w:val="center"/>
              <w:rPr>
                <w:sz w:val="3"/>
              </w:rPr>
            </w:pPr>
            <w:r>
              <w:rPr>
                <w:w w:val="103"/>
                <w:sz w:val="3"/>
              </w:rPr>
              <w:lastRenderedPageBreak/>
              <w:t>-</w:t>
            </w:r>
          </w:p>
        </w:tc>
        <w:tc>
          <w:tcPr>
            <w:tcW w:w="576" w:type="dxa"/>
            <w:tcBorders>
              <w:bottom w:val="nil"/>
            </w:tcBorders>
            <w:shd w:val="clear" w:color="auto" w:fill="FCE4D6"/>
          </w:tcPr>
          <w:p w14:paraId="37239261" w14:textId="77777777" w:rsidR="00F65BCA" w:rsidRDefault="00216117">
            <w:pPr>
              <w:pStyle w:val="TableParagraph"/>
              <w:spacing w:line="4948" w:lineRule="exact"/>
              <w:ind w:left="3"/>
              <w:jc w:val="center"/>
              <w:rPr>
                <w:sz w:val="3"/>
              </w:rPr>
            </w:pPr>
            <w:r>
              <w:rPr>
                <w:w w:val="103"/>
                <w:sz w:val="3"/>
              </w:rPr>
              <w:t>-</w:t>
            </w:r>
          </w:p>
        </w:tc>
        <w:tc>
          <w:tcPr>
            <w:tcW w:w="50" w:type="dxa"/>
            <w:vMerge/>
            <w:tcBorders>
              <w:top w:val="nil"/>
              <w:bottom w:val="nil"/>
            </w:tcBorders>
          </w:tcPr>
          <w:p w14:paraId="6AB3515A" w14:textId="77777777" w:rsidR="00F65BCA" w:rsidRDefault="00F65BCA">
            <w:pPr>
              <w:rPr>
                <w:sz w:val="2"/>
                <w:szCs w:val="2"/>
              </w:rPr>
            </w:pPr>
          </w:p>
        </w:tc>
        <w:tc>
          <w:tcPr>
            <w:tcW w:w="288" w:type="dxa"/>
            <w:tcBorders>
              <w:bottom w:val="nil"/>
            </w:tcBorders>
          </w:tcPr>
          <w:p w14:paraId="7C44D9C9" w14:textId="77777777" w:rsidR="00F65BCA" w:rsidRDefault="00216117">
            <w:pPr>
              <w:pStyle w:val="TableParagraph"/>
              <w:spacing w:line="4948" w:lineRule="exact"/>
              <w:ind w:left="24" w:right="24"/>
              <w:jc w:val="center"/>
              <w:rPr>
                <w:sz w:val="3"/>
              </w:rPr>
            </w:pPr>
            <w:r>
              <w:rPr>
                <w:w w:val="105"/>
                <w:sz w:val="3"/>
              </w:rPr>
              <w:t>37,1685600%</w:t>
            </w:r>
          </w:p>
        </w:tc>
        <w:tc>
          <w:tcPr>
            <w:tcW w:w="288" w:type="dxa"/>
            <w:tcBorders>
              <w:bottom w:val="nil"/>
            </w:tcBorders>
          </w:tcPr>
          <w:p w14:paraId="7863EA07" w14:textId="77777777" w:rsidR="00F65BCA" w:rsidRDefault="00216117">
            <w:pPr>
              <w:pStyle w:val="TableParagraph"/>
              <w:spacing w:line="4948" w:lineRule="exact"/>
              <w:ind w:left="24" w:right="24"/>
              <w:jc w:val="center"/>
              <w:rPr>
                <w:sz w:val="3"/>
              </w:rPr>
            </w:pPr>
            <w:r>
              <w:rPr>
                <w:w w:val="105"/>
                <w:sz w:val="3"/>
              </w:rPr>
              <w:t>33,2560800%</w:t>
            </w:r>
          </w:p>
        </w:tc>
        <w:tc>
          <w:tcPr>
            <w:tcW w:w="288" w:type="dxa"/>
            <w:tcBorders>
              <w:bottom w:val="nil"/>
            </w:tcBorders>
          </w:tcPr>
          <w:p w14:paraId="2C16120B" w14:textId="77777777" w:rsidR="00F65BCA" w:rsidRDefault="00216117">
            <w:pPr>
              <w:pStyle w:val="TableParagraph"/>
              <w:spacing w:line="4948" w:lineRule="exact"/>
              <w:ind w:left="47"/>
              <w:rPr>
                <w:sz w:val="3"/>
              </w:rPr>
            </w:pPr>
            <w:r>
              <w:rPr>
                <w:w w:val="105"/>
                <w:sz w:val="3"/>
              </w:rPr>
              <w:t>33,2560800%</w:t>
            </w:r>
          </w:p>
        </w:tc>
        <w:tc>
          <w:tcPr>
            <w:tcW w:w="288" w:type="dxa"/>
            <w:tcBorders>
              <w:bottom w:val="nil"/>
            </w:tcBorders>
          </w:tcPr>
          <w:p w14:paraId="65BF0171" w14:textId="77777777" w:rsidR="00F65BCA" w:rsidRDefault="00216117">
            <w:pPr>
              <w:pStyle w:val="TableParagraph"/>
              <w:spacing w:line="4948" w:lineRule="exact"/>
              <w:ind w:left="24" w:right="24"/>
              <w:jc w:val="center"/>
              <w:rPr>
                <w:sz w:val="3"/>
              </w:rPr>
            </w:pPr>
            <w:r>
              <w:rPr>
                <w:w w:val="105"/>
                <w:sz w:val="3"/>
              </w:rPr>
              <w:t>30,3217200%</w:t>
            </w:r>
          </w:p>
        </w:tc>
        <w:tc>
          <w:tcPr>
            <w:tcW w:w="288" w:type="dxa"/>
            <w:tcBorders>
              <w:bottom w:val="nil"/>
            </w:tcBorders>
          </w:tcPr>
          <w:p w14:paraId="6BA736E5" w14:textId="77777777" w:rsidR="00F65BCA" w:rsidRDefault="00216117">
            <w:pPr>
              <w:pStyle w:val="TableParagraph"/>
              <w:spacing w:line="4948" w:lineRule="exact"/>
              <w:ind w:left="47"/>
              <w:rPr>
                <w:sz w:val="3"/>
              </w:rPr>
            </w:pPr>
            <w:r>
              <w:rPr>
                <w:w w:val="105"/>
                <w:sz w:val="3"/>
              </w:rPr>
              <w:t>30,3217200%</w:t>
            </w:r>
          </w:p>
        </w:tc>
        <w:tc>
          <w:tcPr>
            <w:tcW w:w="288" w:type="dxa"/>
            <w:tcBorders>
              <w:bottom w:val="nil"/>
            </w:tcBorders>
          </w:tcPr>
          <w:p w14:paraId="08F1F026" w14:textId="77777777" w:rsidR="00F65BCA" w:rsidRDefault="00216117">
            <w:pPr>
              <w:pStyle w:val="TableParagraph"/>
              <w:spacing w:line="4948" w:lineRule="exact"/>
              <w:ind w:left="24" w:right="24"/>
              <w:jc w:val="center"/>
              <w:rPr>
                <w:sz w:val="3"/>
              </w:rPr>
            </w:pPr>
            <w:r>
              <w:rPr>
                <w:w w:val="105"/>
                <w:sz w:val="3"/>
              </w:rPr>
              <w:t>27,3873600%</w:t>
            </w:r>
          </w:p>
        </w:tc>
        <w:tc>
          <w:tcPr>
            <w:tcW w:w="288" w:type="dxa"/>
            <w:tcBorders>
              <w:bottom w:val="nil"/>
            </w:tcBorders>
          </w:tcPr>
          <w:p w14:paraId="44968625" w14:textId="77777777" w:rsidR="00F65BCA" w:rsidRDefault="00216117">
            <w:pPr>
              <w:pStyle w:val="TableParagraph"/>
              <w:spacing w:line="4948" w:lineRule="exact"/>
              <w:ind w:left="24" w:right="24"/>
              <w:jc w:val="center"/>
              <w:rPr>
                <w:sz w:val="3"/>
              </w:rPr>
            </w:pPr>
            <w:r>
              <w:rPr>
                <w:w w:val="105"/>
                <w:sz w:val="3"/>
              </w:rPr>
              <w:t>27,3873600%</w:t>
            </w:r>
          </w:p>
        </w:tc>
        <w:tc>
          <w:tcPr>
            <w:tcW w:w="288" w:type="dxa"/>
            <w:tcBorders>
              <w:bottom w:val="nil"/>
            </w:tcBorders>
          </w:tcPr>
          <w:p w14:paraId="5DA516F3" w14:textId="77777777" w:rsidR="00F65BCA" w:rsidRDefault="00216117">
            <w:pPr>
              <w:pStyle w:val="TableParagraph"/>
              <w:spacing w:line="4948" w:lineRule="exact"/>
              <w:ind w:left="47"/>
              <w:rPr>
                <w:sz w:val="3"/>
              </w:rPr>
            </w:pPr>
            <w:r>
              <w:rPr>
                <w:w w:val="105"/>
                <w:sz w:val="3"/>
              </w:rPr>
              <w:t>24,4530000%</w:t>
            </w:r>
          </w:p>
        </w:tc>
        <w:tc>
          <w:tcPr>
            <w:tcW w:w="288" w:type="dxa"/>
            <w:tcBorders>
              <w:bottom w:val="nil"/>
            </w:tcBorders>
          </w:tcPr>
          <w:p w14:paraId="216E5C7E" w14:textId="77777777" w:rsidR="00F65BCA" w:rsidRDefault="00216117">
            <w:pPr>
              <w:pStyle w:val="TableParagraph"/>
              <w:spacing w:line="4948" w:lineRule="exact"/>
              <w:ind w:left="24" w:right="24"/>
              <w:jc w:val="center"/>
              <w:rPr>
                <w:sz w:val="3"/>
              </w:rPr>
            </w:pPr>
            <w:r>
              <w:rPr>
                <w:w w:val="105"/>
                <w:sz w:val="3"/>
              </w:rPr>
              <w:t>24,4530000%</w:t>
            </w:r>
          </w:p>
        </w:tc>
        <w:tc>
          <w:tcPr>
            <w:tcW w:w="288" w:type="dxa"/>
            <w:tcBorders>
              <w:bottom w:val="nil"/>
            </w:tcBorders>
          </w:tcPr>
          <w:p w14:paraId="21DF1D0D" w14:textId="77777777" w:rsidR="00F65BCA" w:rsidRDefault="00216117">
            <w:pPr>
              <w:pStyle w:val="TableParagraph"/>
              <w:spacing w:line="4948" w:lineRule="exact"/>
              <w:ind w:left="24" w:right="24"/>
              <w:jc w:val="center"/>
              <w:rPr>
                <w:sz w:val="3"/>
              </w:rPr>
            </w:pPr>
            <w:r>
              <w:rPr>
                <w:w w:val="105"/>
                <w:sz w:val="3"/>
              </w:rPr>
              <w:t>22,4967600%</w:t>
            </w:r>
          </w:p>
        </w:tc>
        <w:tc>
          <w:tcPr>
            <w:tcW w:w="288" w:type="dxa"/>
            <w:tcBorders>
              <w:bottom w:val="nil"/>
            </w:tcBorders>
          </w:tcPr>
          <w:p w14:paraId="076A35F2" w14:textId="77777777" w:rsidR="00F65BCA" w:rsidRDefault="00216117">
            <w:pPr>
              <w:pStyle w:val="TableParagraph"/>
              <w:spacing w:line="4948" w:lineRule="exact"/>
              <w:ind w:left="24" w:right="24"/>
              <w:jc w:val="center"/>
              <w:rPr>
                <w:sz w:val="3"/>
              </w:rPr>
            </w:pPr>
            <w:r>
              <w:rPr>
                <w:w w:val="105"/>
                <w:sz w:val="3"/>
              </w:rPr>
              <w:t>21,5186400%</w:t>
            </w:r>
          </w:p>
        </w:tc>
        <w:tc>
          <w:tcPr>
            <w:tcW w:w="288" w:type="dxa"/>
            <w:tcBorders>
              <w:bottom w:val="nil"/>
            </w:tcBorders>
          </w:tcPr>
          <w:p w14:paraId="10A43D90" w14:textId="77777777" w:rsidR="00F65BCA" w:rsidRDefault="00216117">
            <w:pPr>
              <w:pStyle w:val="TableParagraph"/>
              <w:spacing w:line="4948" w:lineRule="exact"/>
              <w:ind w:left="24" w:right="24"/>
              <w:jc w:val="center"/>
              <w:rPr>
                <w:sz w:val="3"/>
              </w:rPr>
            </w:pPr>
            <w:r>
              <w:rPr>
                <w:w w:val="105"/>
                <w:sz w:val="3"/>
              </w:rPr>
              <w:t>19,5624000%</w:t>
            </w:r>
          </w:p>
        </w:tc>
        <w:tc>
          <w:tcPr>
            <w:tcW w:w="288" w:type="dxa"/>
            <w:tcBorders>
              <w:bottom w:val="nil"/>
            </w:tcBorders>
          </w:tcPr>
          <w:p w14:paraId="07DA7D15" w14:textId="77777777" w:rsidR="00F65BCA" w:rsidRDefault="00216117">
            <w:pPr>
              <w:pStyle w:val="TableParagraph"/>
              <w:spacing w:line="4948" w:lineRule="exact"/>
              <w:ind w:left="47"/>
              <w:rPr>
                <w:sz w:val="3"/>
              </w:rPr>
            </w:pPr>
            <w:r>
              <w:rPr>
                <w:w w:val="105"/>
                <w:sz w:val="3"/>
              </w:rPr>
              <w:t>19,5624000%</w:t>
            </w:r>
          </w:p>
        </w:tc>
      </w:tr>
      <w:tr w:rsidR="00F65BCA" w14:paraId="65575A19" w14:textId="77777777">
        <w:trPr>
          <w:trHeight w:val="10"/>
        </w:trPr>
        <w:tc>
          <w:tcPr>
            <w:tcW w:w="526" w:type="dxa"/>
            <w:tcBorders>
              <w:top w:val="nil"/>
              <w:bottom w:val="single" w:sz="48" w:space="0" w:color="F8CBAD"/>
            </w:tcBorders>
            <w:shd w:val="clear" w:color="auto" w:fill="FCE4D6"/>
          </w:tcPr>
          <w:p w14:paraId="036E138C" w14:textId="77777777" w:rsidR="00F65BCA" w:rsidRDefault="00216117">
            <w:pPr>
              <w:pStyle w:val="TableParagraph"/>
              <w:spacing w:line="16201" w:lineRule="atLeast"/>
              <w:ind w:left="148"/>
              <w:rPr>
                <w:b/>
                <w:sz w:val="3"/>
              </w:rPr>
            </w:pPr>
            <w:r>
              <w:rPr>
                <w:b/>
                <w:w w:val="105"/>
                <w:sz w:val="3"/>
              </w:rPr>
              <w:lastRenderedPageBreak/>
              <w:t>Ostatní vozidla</w:t>
            </w:r>
          </w:p>
        </w:tc>
        <w:tc>
          <w:tcPr>
            <w:tcW w:w="732" w:type="dxa"/>
            <w:tcBorders>
              <w:top w:val="nil"/>
              <w:bottom w:val="single" w:sz="48" w:space="0" w:color="F8CBAD"/>
              <w:right w:val="nil"/>
            </w:tcBorders>
            <w:shd w:val="clear" w:color="auto" w:fill="FCE4D6"/>
          </w:tcPr>
          <w:p w14:paraId="30F0A0CD" w14:textId="77777777" w:rsidR="00F65BCA" w:rsidRDefault="00216117">
            <w:pPr>
              <w:pStyle w:val="TableParagraph"/>
              <w:spacing w:line="16201" w:lineRule="atLeast"/>
              <w:ind w:left="229" w:right="232"/>
              <w:jc w:val="center"/>
              <w:rPr>
                <w:b/>
                <w:sz w:val="3"/>
              </w:rPr>
            </w:pPr>
            <w:r>
              <w:rPr>
                <w:b/>
                <w:w w:val="105"/>
                <w:sz w:val="3"/>
              </w:rPr>
              <w:t>Tovární značka</w:t>
            </w:r>
          </w:p>
        </w:tc>
        <w:tc>
          <w:tcPr>
            <w:tcW w:w="351" w:type="dxa"/>
            <w:tcBorders>
              <w:top w:val="nil"/>
              <w:left w:val="nil"/>
              <w:bottom w:val="single" w:sz="48" w:space="0" w:color="F8CBAD"/>
              <w:right w:val="nil"/>
            </w:tcBorders>
            <w:shd w:val="clear" w:color="auto" w:fill="FCE4D6"/>
          </w:tcPr>
          <w:p w14:paraId="1A55A221" w14:textId="77777777" w:rsidR="00F65BCA" w:rsidRDefault="00F65BCA">
            <w:pPr>
              <w:pStyle w:val="TableParagraph"/>
              <w:rPr>
                <w:rFonts w:ascii="Times New Roman"/>
                <w:sz w:val="2"/>
              </w:rPr>
            </w:pPr>
          </w:p>
        </w:tc>
        <w:tc>
          <w:tcPr>
            <w:tcW w:w="607" w:type="dxa"/>
            <w:tcBorders>
              <w:top w:val="nil"/>
              <w:left w:val="nil"/>
              <w:bottom w:val="single" w:sz="48" w:space="0" w:color="F8CBAD"/>
            </w:tcBorders>
            <w:shd w:val="clear" w:color="auto" w:fill="FCE4D6"/>
          </w:tcPr>
          <w:p w14:paraId="623994AB" w14:textId="77777777" w:rsidR="00F65BCA" w:rsidRDefault="00216117">
            <w:pPr>
              <w:pStyle w:val="TableParagraph"/>
              <w:spacing w:line="16201" w:lineRule="atLeast"/>
              <w:ind w:left="39"/>
              <w:rPr>
                <w:b/>
                <w:sz w:val="3"/>
              </w:rPr>
            </w:pPr>
            <w:r>
              <w:rPr>
                <w:b/>
                <w:w w:val="105"/>
                <w:sz w:val="3"/>
              </w:rPr>
              <w:t>Typ vozidla</w:t>
            </w:r>
          </w:p>
        </w:tc>
        <w:tc>
          <w:tcPr>
            <w:tcW w:w="576" w:type="dxa"/>
            <w:tcBorders>
              <w:top w:val="nil"/>
              <w:bottom w:val="single" w:sz="48" w:space="0" w:color="F8CBAD"/>
            </w:tcBorders>
            <w:shd w:val="clear" w:color="auto" w:fill="FCE4D6"/>
          </w:tcPr>
          <w:p w14:paraId="5609454D" w14:textId="77777777" w:rsidR="00F65BCA" w:rsidRDefault="00216117">
            <w:pPr>
              <w:pStyle w:val="TableParagraph"/>
              <w:spacing w:line="16201" w:lineRule="atLeast"/>
              <w:ind w:left="128" w:right="128"/>
              <w:jc w:val="center"/>
              <w:rPr>
                <w:b/>
                <w:sz w:val="3"/>
              </w:rPr>
            </w:pPr>
            <w:r>
              <w:rPr>
                <w:b/>
                <w:w w:val="105"/>
                <w:sz w:val="3"/>
              </w:rPr>
              <w:t>Objem motoru</w:t>
            </w:r>
          </w:p>
        </w:tc>
        <w:tc>
          <w:tcPr>
            <w:tcW w:w="576" w:type="dxa"/>
            <w:tcBorders>
              <w:top w:val="nil"/>
              <w:bottom w:val="single" w:sz="48" w:space="0" w:color="F8CBAD"/>
            </w:tcBorders>
            <w:shd w:val="clear" w:color="auto" w:fill="FCE4D6"/>
          </w:tcPr>
          <w:p w14:paraId="3CB48B5E" w14:textId="77777777" w:rsidR="00F65BCA" w:rsidRDefault="00216117">
            <w:pPr>
              <w:pStyle w:val="TableParagraph"/>
              <w:spacing w:line="16201" w:lineRule="atLeast"/>
              <w:ind w:left="150"/>
              <w:rPr>
                <w:b/>
                <w:sz w:val="3"/>
              </w:rPr>
            </w:pPr>
            <w:r>
              <w:rPr>
                <w:b/>
                <w:w w:val="105"/>
                <w:sz w:val="3"/>
              </w:rPr>
              <w:t>Celková hmotnost</w:t>
            </w:r>
          </w:p>
        </w:tc>
        <w:tc>
          <w:tcPr>
            <w:tcW w:w="50" w:type="dxa"/>
            <w:vMerge/>
            <w:tcBorders>
              <w:top w:val="nil"/>
              <w:bottom w:val="nil"/>
            </w:tcBorders>
          </w:tcPr>
          <w:p w14:paraId="75535A4E" w14:textId="77777777" w:rsidR="00F65BCA" w:rsidRDefault="00F65BCA">
            <w:pPr>
              <w:rPr>
                <w:sz w:val="2"/>
                <w:szCs w:val="2"/>
              </w:rPr>
            </w:pPr>
          </w:p>
        </w:tc>
        <w:tc>
          <w:tcPr>
            <w:tcW w:w="288" w:type="dxa"/>
            <w:tcBorders>
              <w:top w:val="nil"/>
              <w:bottom w:val="single" w:sz="48" w:space="0" w:color="F8CBAD"/>
            </w:tcBorders>
          </w:tcPr>
          <w:p w14:paraId="19BC5547" w14:textId="77777777" w:rsidR="00F65BCA" w:rsidRDefault="00216117">
            <w:pPr>
              <w:pStyle w:val="TableParagraph"/>
              <w:spacing w:line="16201" w:lineRule="atLeast"/>
              <w:ind w:left="24" w:right="22"/>
              <w:jc w:val="center"/>
              <w:rPr>
                <w:b/>
                <w:sz w:val="3"/>
              </w:rPr>
            </w:pPr>
            <w:r>
              <w:rPr>
                <w:b/>
                <w:w w:val="105"/>
                <w:sz w:val="3"/>
              </w:rPr>
              <w:t>0-99</w:t>
            </w:r>
          </w:p>
        </w:tc>
        <w:tc>
          <w:tcPr>
            <w:tcW w:w="288" w:type="dxa"/>
            <w:tcBorders>
              <w:top w:val="nil"/>
              <w:bottom w:val="single" w:sz="48" w:space="0" w:color="F8CBAD"/>
            </w:tcBorders>
          </w:tcPr>
          <w:p w14:paraId="692050D8" w14:textId="77777777" w:rsidR="00F65BCA" w:rsidRDefault="00216117">
            <w:pPr>
              <w:pStyle w:val="TableParagraph"/>
              <w:spacing w:line="16201" w:lineRule="atLeast"/>
              <w:ind w:left="24" w:right="24"/>
              <w:jc w:val="center"/>
              <w:rPr>
                <w:b/>
                <w:sz w:val="3"/>
              </w:rPr>
            </w:pPr>
            <w:r>
              <w:rPr>
                <w:b/>
                <w:w w:val="105"/>
                <w:sz w:val="3"/>
              </w:rPr>
              <w:t>100-199</w:t>
            </w:r>
          </w:p>
        </w:tc>
        <w:tc>
          <w:tcPr>
            <w:tcW w:w="288" w:type="dxa"/>
            <w:tcBorders>
              <w:top w:val="nil"/>
              <w:bottom w:val="single" w:sz="48" w:space="0" w:color="F8CBAD"/>
            </w:tcBorders>
          </w:tcPr>
          <w:p w14:paraId="17CA5652" w14:textId="77777777" w:rsidR="00F65BCA" w:rsidRDefault="00216117">
            <w:pPr>
              <w:pStyle w:val="TableParagraph"/>
              <w:spacing w:line="16201" w:lineRule="atLeast"/>
              <w:ind w:left="85"/>
              <w:rPr>
                <w:b/>
                <w:sz w:val="3"/>
              </w:rPr>
            </w:pPr>
            <w:r>
              <w:rPr>
                <w:b/>
                <w:w w:val="105"/>
                <w:sz w:val="3"/>
              </w:rPr>
              <w:t>200-299</w:t>
            </w:r>
          </w:p>
        </w:tc>
        <w:tc>
          <w:tcPr>
            <w:tcW w:w="288" w:type="dxa"/>
            <w:tcBorders>
              <w:top w:val="nil"/>
              <w:bottom w:val="single" w:sz="48" w:space="0" w:color="F8CBAD"/>
            </w:tcBorders>
          </w:tcPr>
          <w:p w14:paraId="485E5830" w14:textId="77777777" w:rsidR="00F65BCA" w:rsidRDefault="00216117">
            <w:pPr>
              <w:pStyle w:val="TableParagraph"/>
              <w:spacing w:line="16201" w:lineRule="atLeast"/>
              <w:ind w:left="24" w:right="24"/>
              <w:jc w:val="center"/>
              <w:rPr>
                <w:b/>
                <w:sz w:val="3"/>
              </w:rPr>
            </w:pPr>
            <w:r>
              <w:rPr>
                <w:b/>
                <w:w w:val="105"/>
                <w:sz w:val="3"/>
              </w:rPr>
              <w:t>300-399</w:t>
            </w:r>
          </w:p>
        </w:tc>
        <w:tc>
          <w:tcPr>
            <w:tcW w:w="288" w:type="dxa"/>
            <w:tcBorders>
              <w:top w:val="nil"/>
              <w:bottom w:val="single" w:sz="48" w:space="0" w:color="F8CBAD"/>
            </w:tcBorders>
          </w:tcPr>
          <w:p w14:paraId="6669FF74" w14:textId="77777777" w:rsidR="00F65BCA" w:rsidRDefault="00216117">
            <w:pPr>
              <w:pStyle w:val="TableParagraph"/>
              <w:spacing w:line="16201" w:lineRule="atLeast"/>
              <w:ind w:left="85"/>
              <w:rPr>
                <w:b/>
                <w:sz w:val="3"/>
              </w:rPr>
            </w:pPr>
            <w:r>
              <w:rPr>
                <w:b/>
                <w:w w:val="105"/>
                <w:sz w:val="3"/>
              </w:rPr>
              <w:t>400-499</w:t>
            </w:r>
          </w:p>
        </w:tc>
        <w:tc>
          <w:tcPr>
            <w:tcW w:w="288" w:type="dxa"/>
            <w:tcBorders>
              <w:top w:val="nil"/>
              <w:bottom w:val="single" w:sz="48" w:space="0" w:color="F8CBAD"/>
            </w:tcBorders>
          </w:tcPr>
          <w:p w14:paraId="0B79F310" w14:textId="77777777" w:rsidR="00F65BCA" w:rsidRDefault="00216117">
            <w:pPr>
              <w:pStyle w:val="TableParagraph"/>
              <w:spacing w:line="16201" w:lineRule="atLeast"/>
              <w:ind w:left="24" w:right="24"/>
              <w:jc w:val="center"/>
              <w:rPr>
                <w:b/>
                <w:sz w:val="3"/>
              </w:rPr>
            </w:pPr>
            <w:r>
              <w:rPr>
                <w:b/>
                <w:w w:val="105"/>
                <w:sz w:val="3"/>
              </w:rPr>
              <w:t>500-599</w:t>
            </w:r>
          </w:p>
        </w:tc>
        <w:tc>
          <w:tcPr>
            <w:tcW w:w="288" w:type="dxa"/>
            <w:tcBorders>
              <w:top w:val="nil"/>
              <w:bottom w:val="single" w:sz="48" w:space="0" w:color="F8CBAD"/>
            </w:tcBorders>
          </w:tcPr>
          <w:p w14:paraId="606E7232" w14:textId="77777777" w:rsidR="00F65BCA" w:rsidRDefault="00216117">
            <w:pPr>
              <w:pStyle w:val="TableParagraph"/>
              <w:spacing w:line="16201" w:lineRule="atLeast"/>
              <w:ind w:left="24" w:right="24"/>
              <w:jc w:val="center"/>
              <w:rPr>
                <w:b/>
                <w:sz w:val="3"/>
              </w:rPr>
            </w:pPr>
            <w:r>
              <w:rPr>
                <w:b/>
                <w:w w:val="105"/>
                <w:sz w:val="3"/>
              </w:rPr>
              <w:t>600-699</w:t>
            </w:r>
          </w:p>
        </w:tc>
        <w:tc>
          <w:tcPr>
            <w:tcW w:w="288" w:type="dxa"/>
            <w:tcBorders>
              <w:top w:val="nil"/>
              <w:bottom w:val="single" w:sz="48" w:space="0" w:color="F8CBAD"/>
            </w:tcBorders>
          </w:tcPr>
          <w:p w14:paraId="081FC9A6" w14:textId="77777777" w:rsidR="00F65BCA" w:rsidRDefault="00216117">
            <w:pPr>
              <w:pStyle w:val="TableParagraph"/>
              <w:spacing w:line="16201" w:lineRule="atLeast"/>
              <w:ind w:left="85"/>
              <w:rPr>
                <w:b/>
                <w:sz w:val="3"/>
              </w:rPr>
            </w:pPr>
            <w:r>
              <w:rPr>
                <w:b/>
                <w:w w:val="105"/>
                <w:sz w:val="3"/>
              </w:rPr>
              <w:t>700-799</w:t>
            </w:r>
          </w:p>
        </w:tc>
        <w:tc>
          <w:tcPr>
            <w:tcW w:w="288" w:type="dxa"/>
            <w:tcBorders>
              <w:top w:val="nil"/>
              <w:bottom w:val="single" w:sz="48" w:space="0" w:color="F8CBAD"/>
            </w:tcBorders>
          </w:tcPr>
          <w:p w14:paraId="4687A4D8" w14:textId="77777777" w:rsidR="00F65BCA" w:rsidRDefault="00216117">
            <w:pPr>
              <w:pStyle w:val="TableParagraph"/>
              <w:spacing w:line="16201" w:lineRule="atLeast"/>
              <w:ind w:left="24" w:right="24"/>
              <w:jc w:val="center"/>
              <w:rPr>
                <w:b/>
                <w:sz w:val="3"/>
              </w:rPr>
            </w:pPr>
            <w:r>
              <w:rPr>
                <w:b/>
                <w:w w:val="105"/>
                <w:sz w:val="3"/>
              </w:rPr>
              <w:t>800-999</w:t>
            </w:r>
          </w:p>
        </w:tc>
        <w:tc>
          <w:tcPr>
            <w:tcW w:w="288" w:type="dxa"/>
            <w:tcBorders>
              <w:top w:val="nil"/>
              <w:bottom w:val="single" w:sz="48" w:space="0" w:color="F8CBAD"/>
            </w:tcBorders>
          </w:tcPr>
          <w:p w14:paraId="5CCBCD81" w14:textId="77777777" w:rsidR="00F65BCA" w:rsidRDefault="00216117">
            <w:pPr>
              <w:pStyle w:val="TableParagraph"/>
              <w:spacing w:line="16201" w:lineRule="atLeast"/>
              <w:ind w:left="24" w:right="24"/>
              <w:jc w:val="center"/>
              <w:rPr>
                <w:b/>
                <w:sz w:val="3"/>
              </w:rPr>
            </w:pPr>
            <w:r>
              <w:rPr>
                <w:b/>
                <w:w w:val="105"/>
                <w:sz w:val="3"/>
              </w:rPr>
              <w:t>1000-1499</w:t>
            </w:r>
          </w:p>
        </w:tc>
        <w:tc>
          <w:tcPr>
            <w:tcW w:w="288" w:type="dxa"/>
            <w:tcBorders>
              <w:top w:val="nil"/>
              <w:bottom w:val="single" w:sz="48" w:space="0" w:color="F8CBAD"/>
            </w:tcBorders>
          </w:tcPr>
          <w:p w14:paraId="1197C24E" w14:textId="77777777" w:rsidR="00F65BCA" w:rsidRDefault="00216117">
            <w:pPr>
              <w:pStyle w:val="TableParagraph"/>
              <w:spacing w:line="16201" w:lineRule="atLeast"/>
              <w:ind w:left="24" w:right="24"/>
              <w:jc w:val="center"/>
              <w:rPr>
                <w:b/>
                <w:sz w:val="3"/>
              </w:rPr>
            </w:pPr>
            <w:r>
              <w:rPr>
                <w:b/>
                <w:w w:val="105"/>
                <w:sz w:val="3"/>
              </w:rPr>
              <w:t>1500-1999</w:t>
            </w:r>
          </w:p>
        </w:tc>
        <w:tc>
          <w:tcPr>
            <w:tcW w:w="288" w:type="dxa"/>
            <w:tcBorders>
              <w:top w:val="nil"/>
              <w:bottom w:val="single" w:sz="48" w:space="0" w:color="F8CBAD"/>
            </w:tcBorders>
          </w:tcPr>
          <w:p w14:paraId="0605E828" w14:textId="77777777" w:rsidR="00F65BCA" w:rsidRDefault="00216117">
            <w:pPr>
              <w:pStyle w:val="TableParagraph"/>
              <w:spacing w:line="16201" w:lineRule="atLeast"/>
              <w:ind w:left="24" w:right="24"/>
              <w:jc w:val="center"/>
              <w:rPr>
                <w:b/>
                <w:sz w:val="3"/>
              </w:rPr>
            </w:pPr>
            <w:r>
              <w:rPr>
                <w:b/>
                <w:w w:val="105"/>
                <w:sz w:val="3"/>
              </w:rPr>
              <w:t>2000-2499</w:t>
            </w:r>
          </w:p>
        </w:tc>
        <w:tc>
          <w:tcPr>
            <w:tcW w:w="288" w:type="dxa"/>
            <w:tcBorders>
              <w:top w:val="nil"/>
              <w:bottom w:val="single" w:sz="48" w:space="0" w:color="F8CBAD"/>
            </w:tcBorders>
          </w:tcPr>
          <w:p w14:paraId="2BA7F464" w14:textId="77777777" w:rsidR="00F65BCA" w:rsidRDefault="00216117">
            <w:pPr>
              <w:pStyle w:val="TableParagraph"/>
              <w:spacing w:line="16201" w:lineRule="atLeast"/>
              <w:ind w:left="88"/>
              <w:rPr>
                <w:b/>
                <w:sz w:val="3"/>
              </w:rPr>
            </w:pPr>
            <w:r>
              <w:rPr>
                <w:b/>
                <w:w w:val="105"/>
                <w:sz w:val="3"/>
              </w:rPr>
              <w:t>&gt;=2500</w:t>
            </w:r>
          </w:p>
        </w:tc>
      </w:tr>
      <w:tr w:rsidR="00F65BCA" w14:paraId="63284DAB" w14:textId="77777777">
        <w:trPr>
          <w:trHeight w:val="67"/>
        </w:trPr>
        <w:tc>
          <w:tcPr>
            <w:tcW w:w="526" w:type="dxa"/>
            <w:tcBorders>
              <w:top w:val="single" w:sz="48" w:space="0" w:color="F8CBAD"/>
            </w:tcBorders>
            <w:shd w:val="clear" w:color="auto" w:fill="FCE4D6"/>
          </w:tcPr>
          <w:p w14:paraId="63284CA5" w14:textId="77777777" w:rsidR="00F65BCA" w:rsidRDefault="00216117">
            <w:pPr>
              <w:pStyle w:val="TableParagraph"/>
              <w:spacing w:line="0" w:lineRule="atLeast"/>
              <w:ind w:left="178" w:right="178"/>
              <w:jc w:val="center"/>
              <w:rPr>
                <w:sz w:val="3"/>
              </w:rPr>
            </w:pPr>
            <w:r>
              <w:rPr>
                <w:w w:val="105"/>
                <w:sz w:val="3"/>
              </w:rPr>
              <w:lastRenderedPageBreak/>
              <w:t>jiný druh</w:t>
            </w:r>
          </w:p>
        </w:tc>
        <w:tc>
          <w:tcPr>
            <w:tcW w:w="732" w:type="dxa"/>
            <w:tcBorders>
              <w:top w:val="single" w:sz="48" w:space="0" w:color="F8CBAD"/>
            </w:tcBorders>
            <w:shd w:val="clear" w:color="auto" w:fill="FCE4D6"/>
          </w:tcPr>
          <w:p w14:paraId="1C112E6F" w14:textId="77777777" w:rsidR="00F65BCA" w:rsidRDefault="00216117">
            <w:pPr>
              <w:pStyle w:val="TableParagraph"/>
              <w:spacing w:line="0" w:lineRule="atLeast"/>
              <w:ind w:left="2"/>
              <w:jc w:val="center"/>
              <w:rPr>
                <w:sz w:val="3"/>
              </w:rPr>
            </w:pPr>
            <w:r>
              <w:rPr>
                <w:w w:val="103"/>
                <w:sz w:val="3"/>
              </w:rPr>
              <w:t>-</w:t>
            </w:r>
          </w:p>
        </w:tc>
        <w:tc>
          <w:tcPr>
            <w:tcW w:w="958" w:type="dxa"/>
            <w:gridSpan w:val="2"/>
            <w:tcBorders>
              <w:top w:val="single" w:sz="48" w:space="0" w:color="F8CBAD"/>
            </w:tcBorders>
            <w:shd w:val="clear" w:color="auto" w:fill="FCE4D6"/>
          </w:tcPr>
          <w:p w14:paraId="5A2F1FA8" w14:textId="77777777" w:rsidR="00F65BCA" w:rsidRDefault="00216117">
            <w:pPr>
              <w:pStyle w:val="TableParagraph"/>
              <w:spacing w:line="0" w:lineRule="atLeast"/>
              <w:ind w:left="2"/>
              <w:jc w:val="center"/>
              <w:rPr>
                <w:sz w:val="3"/>
              </w:rPr>
            </w:pPr>
            <w:r>
              <w:rPr>
                <w:w w:val="103"/>
                <w:sz w:val="3"/>
              </w:rPr>
              <w:t>-</w:t>
            </w:r>
          </w:p>
        </w:tc>
        <w:tc>
          <w:tcPr>
            <w:tcW w:w="576" w:type="dxa"/>
            <w:tcBorders>
              <w:top w:val="single" w:sz="48" w:space="0" w:color="F8CBAD"/>
            </w:tcBorders>
            <w:shd w:val="clear" w:color="auto" w:fill="FCE4D6"/>
          </w:tcPr>
          <w:p w14:paraId="5CDE46DF" w14:textId="77777777" w:rsidR="00F65BCA" w:rsidRDefault="00216117">
            <w:pPr>
              <w:pStyle w:val="TableParagraph"/>
              <w:spacing w:line="0" w:lineRule="atLeast"/>
              <w:ind w:left="3"/>
              <w:jc w:val="center"/>
              <w:rPr>
                <w:sz w:val="3"/>
              </w:rPr>
            </w:pPr>
            <w:r>
              <w:rPr>
                <w:w w:val="103"/>
                <w:sz w:val="3"/>
              </w:rPr>
              <w:t>-</w:t>
            </w:r>
          </w:p>
        </w:tc>
        <w:tc>
          <w:tcPr>
            <w:tcW w:w="576" w:type="dxa"/>
            <w:tcBorders>
              <w:top w:val="single" w:sz="48" w:space="0" w:color="F8CBAD"/>
            </w:tcBorders>
            <w:shd w:val="clear" w:color="auto" w:fill="FCE4D6"/>
          </w:tcPr>
          <w:p w14:paraId="5651C6DB" w14:textId="77777777" w:rsidR="00F65BCA" w:rsidRDefault="00216117">
            <w:pPr>
              <w:pStyle w:val="TableParagraph"/>
              <w:spacing w:line="0" w:lineRule="atLeast"/>
              <w:ind w:left="3"/>
              <w:jc w:val="center"/>
              <w:rPr>
                <w:sz w:val="3"/>
              </w:rPr>
            </w:pPr>
            <w:r>
              <w:rPr>
                <w:w w:val="103"/>
                <w:sz w:val="3"/>
              </w:rPr>
              <w:t>-</w:t>
            </w:r>
          </w:p>
        </w:tc>
        <w:tc>
          <w:tcPr>
            <w:tcW w:w="50" w:type="dxa"/>
            <w:vMerge w:val="restart"/>
            <w:tcBorders>
              <w:top w:val="nil"/>
              <w:bottom w:val="nil"/>
            </w:tcBorders>
          </w:tcPr>
          <w:p w14:paraId="1A46A457" w14:textId="77777777" w:rsidR="00F65BCA" w:rsidRDefault="00F65BCA">
            <w:pPr>
              <w:pStyle w:val="TableParagraph"/>
              <w:rPr>
                <w:rFonts w:ascii="Times New Roman"/>
                <w:sz w:val="2"/>
              </w:rPr>
            </w:pPr>
          </w:p>
        </w:tc>
        <w:tc>
          <w:tcPr>
            <w:tcW w:w="288" w:type="dxa"/>
            <w:tcBorders>
              <w:top w:val="single" w:sz="48" w:space="0" w:color="F8CBAD"/>
            </w:tcBorders>
          </w:tcPr>
          <w:p w14:paraId="231B5CD9" w14:textId="77777777" w:rsidR="00F65BCA" w:rsidRDefault="00216117">
            <w:pPr>
              <w:pStyle w:val="TableParagraph"/>
              <w:spacing w:line="0" w:lineRule="atLeast"/>
              <w:ind w:left="24" w:right="24"/>
              <w:jc w:val="center"/>
              <w:rPr>
                <w:sz w:val="3"/>
              </w:rPr>
            </w:pPr>
            <w:r>
              <w:rPr>
                <w:w w:val="105"/>
                <w:sz w:val="3"/>
              </w:rPr>
              <w:t>41,8950000%</w:t>
            </w:r>
          </w:p>
        </w:tc>
        <w:tc>
          <w:tcPr>
            <w:tcW w:w="288" w:type="dxa"/>
            <w:tcBorders>
              <w:top w:val="single" w:sz="48" w:space="0" w:color="F8CBAD"/>
            </w:tcBorders>
          </w:tcPr>
          <w:p w14:paraId="6BC5AFFF" w14:textId="77777777" w:rsidR="00F65BCA" w:rsidRDefault="00216117">
            <w:pPr>
              <w:pStyle w:val="TableParagraph"/>
              <w:spacing w:line="0" w:lineRule="atLeast"/>
              <w:ind w:left="24" w:right="24"/>
              <w:jc w:val="center"/>
              <w:rPr>
                <w:sz w:val="3"/>
              </w:rPr>
            </w:pPr>
            <w:r>
              <w:rPr>
                <w:w w:val="105"/>
                <w:sz w:val="3"/>
              </w:rPr>
              <w:t>37,4850000%</w:t>
            </w:r>
          </w:p>
        </w:tc>
        <w:tc>
          <w:tcPr>
            <w:tcW w:w="288" w:type="dxa"/>
            <w:tcBorders>
              <w:top w:val="single" w:sz="48" w:space="0" w:color="F8CBAD"/>
            </w:tcBorders>
          </w:tcPr>
          <w:p w14:paraId="19FDA833" w14:textId="77777777" w:rsidR="00F65BCA" w:rsidRDefault="00216117">
            <w:pPr>
              <w:pStyle w:val="TableParagraph"/>
              <w:spacing w:line="0" w:lineRule="atLeast"/>
              <w:ind w:left="47"/>
              <w:rPr>
                <w:sz w:val="3"/>
              </w:rPr>
            </w:pPr>
            <w:r>
              <w:rPr>
                <w:w w:val="105"/>
                <w:sz w:val="3"/>
              </w:rPr>
              <w:t>37,4850000%</w:t>
            </w:r>
          </w:p>
        </w:tc>
        <w:tc>
          <w:tcPr>
            <w:tcW w:w="288" w:type="dxa"/>
            <w:tcBorders>
              <w:top w:val="single" w:sz="48" w:space="0" w:color="F8CBAD"/>
            </w:tcBorders>
          </w:tcPr>
          <w:p w14:paraId="332A68FF" w14:textId="77777777" w:rsidR="00F65BCA" w:rsidRDefault="00216117">
            <w:pPr>
              <w:pStyle w:val="TableParagraph"/>
              <w:spacing w:line="0" w:lineRule="atLeast"/>
              <w:ind w:left="24" w:right="24"/>
              <w:jc w:val="center"/>
              <w:rPr>
                <w:sz w:val="3"/>
              </w:rPr>
            </w:pPr>
            <w:r>
              <w:rPr>
                <w:w w:val="105"/>
                <w:sz w:val="3"/>
              </w:rPr>
              <w:t>34,1775000%</w:t>
            </w:r>
          </w:p>
        </w:tc>
        <w:tc>
          <w:tcPr>
            <w:tcW w:w="288" w:type="dxa"/>
            <w:tcBorders>
              <w:top w:val="single" w:sz="48" w:space="0" w:color="F8CBAD"/>
            </w:tcBorders>
          </w:tcPr>
          <w:p w14:paraId="7D0AC883" w14:textId="77777777" w:rsidR="00F65BCA" w:rsidRDefault="00216117">
            <w:pPr>
              <w:pStyle w:val="TableParagraph"/>
              <w:spacing w:line="0" w:lineRule="atLeast"/>
              <w:ind w:left="47"/>
              <w:rPr>
                <w:sz w:val="3"/>
              </w:rPr>
            </w:pPr>
            <w:r>
              <w:rPr>
                <w:w w:val="105"/>
                <w:sz w:val="3"/>
              </w:rPr>
              <w:t>34,1775000%</w:t>
            </w:r>
          </w:p>
        </w:tc>
        <w:tc>
          <w:tcPr>
            <w:tcW w:w="288" w:type="dxa"/>
            <w:tcBorders>
              <w:top w:val="single" w:sz="48" w:space="0" w:color="F8CBAD"/>
            </w:tcBorders>
          </w:tcPr>
          <w:p w14:paraId="21BB4D8A" w14:textId="77777777" w:rsidR="00F65BCA" w:rsidRDefault="00216117">
            <w:pPr>
              <w:pStyle w:val="TableParagraph"/>
              <w:spacing w:line="0" w:lineRule="atLeast"/>
              <w:ind w:left="24" w:right="24"/>
              <w:jc w:val="center"/>
              <w:rPr>
                <w:sz w:val="3"/>
              </w:rPr>
            </w:pPr>
            <w:r>
              <w:rPr>
                <w:w w:val="105"/>
                <w:sz w:val="3"/>
              </w:rPr>
              <w:t>30,8700000%</w:t>
            </w:r>
          </w:p>
        </w:tc>
        <w:tc>
          <w:tcPr>
            <w:tcW w:w="288" w:type="dxa"/>
            <w:tcBorders>
              <w:top w:val="single" w:sz="48" w:space="0" w:color="F8CBAD"/>
            </w:tcBorders>
          </w:tcPr>
          <w:p w14:paraId="299A7C07" w14:textId="77777777" w:rsidR="00F65BCA" w:rsidRDefault="00216117">
            <w:pPr>
              <w:pStyle w:val="TableParagraph"/>
              <w:spacing w:line="0" w:lineRule="atLeast"/>
              <w:ind w:left="24" w:right="24"/>
              <w:jc w:val="center"/>
              <w:rPr>
                <w:sz w:val="3"/>
              </w:rPr>
            </w:pPr>
            <w:r>
              <w:rPr>
                <w:w w:val="105"/>
                <w:sz w:val="3"/>
              </w:rPr>
              <w:t>30,8700000%</w:t>
            </w:r>
          </w:p>
        </w:tc>
        <w:tc>
          <w:tcPr>
            <w:tcW w:w="288" w:type="dxa"/>
            <w:tcBorders>
              <w:top w:val="single" w:sz="48" w:space="0" w:color="F8CBAD"/>
            </w:tcBorders>
          </w:tcPr>
          <w:p w14:paraId="2694EAAB" w14:textId="77777777" w:rsidR="00F65BCA" w:rsidRDefault="00216117">
            <w:pPr>
              <w:pStyle w:val="TableParagraph"/>
              <w:spacing w:line="0" w:lineRule="atLeast"/>
              <w:ind w:left="47"/>
              <w:rPr>
                <w:sz w:val="3"/>
              </w:rPr>
            </w:pPr>
            <w:r>
              <w:rPr>
                <w:w w:val="105"/>
                <w:sz w:val="3"/>
              </w:rPr>
              <w:t>27,5625000%</w:t>
            </w:r>
          </w:p>
        </w:tc>
        <w:tc>
          <w:tcPr>
            <w:tcW w:w="288" w:type="dxa"/>
            <w:tcBorders>
              <w:top w:val="single" w:sz="48" w:space="0" w:color="F8CBAD"/>
            </w:tcBorders>
          </w:tcPr>
          <w:p w14:paraId="39FB5898" w14:textId="77777777" w:rsidR="00F65BCA" w:rsidRDefault="00216117">
            <w:pPr>
              <w:pStyle w:val="TableParagraph"/>
              <w:spacing w:line="0" w:lineRule="atLeast"/>
              <w:ind w:left="24" w:right="24"/>
              <w:jc w:val="center"/>
              <w:rPr>
                <w:sz w:val="3"/>
              </w:rPr>
            </w:pPr>
            <w:r>
              <w:rPr>
                <w:w w:val="105"/>
                <w:sz w:val="3"/>
              </w:rPr>
              <w:t>27,5625000%</w:t>
            </w:r>
          </w:p>
        </w:tc>
        <w:tc>
          <w:tcPr>
            <w:tcW w:w="288" w:type="dxa"/>
            <w:tcBorders>
              <w:top w:val="single" w:sz="48" w:space="0" w:color="F8CBAD"/>
            </w:tcBorders>
          </w:tcPr>
          <w:p w14:paraId="7A829B14" w14:textId="77777777" w:rsidR="00F65BCA" w:rsidRDefault="00216117">
            <w:pPr>
              <w:pStyle w:val="TableParagraph"/>
              <w:spacing w:line="0" w:lineRule="atLeast"/>
              <w:ind w:left="24" w:right="24"/>
              <w:jc w:val="center"/>
              <w:rPr>
                <w:sz w:val="3"/>
              </w:rPr>
            </w:pPr>
            <w:r>
              <w:rPr>
                <w:w w:val="105"/>
                <w:sz w:val="3"/>
              </w:rPr>
              <w:t>25,3575000%</w:t>
            </w:r>
          </w:p>
        </w:tc>
        <w:tc>
          <w:tcPr>
            <w:tcW w:w="288" w:type="dxa"/>
            <w:tcBorders>
              <w:top w:val="single" w:sz="48" w:space="0" w:color="F8CBAD"/>
            </w:tcBorders>
          </w:tcPr>
          <w:p w14:paraId="7F8442A0" w14:textId="77777777" w:rsidR="00F65BCA" w:rsidRDefault="00216117">
            <w:pPr>
              <w:pStyle w:val="TableParagraph"/>
              <w:spacing w:line="0" w:lineRule="atLeast"/>
              <w:ind w:left="24" w:right="24"/>
              <w:jc w:val="center"/>
              <w:rPr>
                <w:sz w:val="3"/>
              </w:rPr>
            </w:pPr>
            <w:r>
              <w:rPr>
                <w:w w:val="105"/>
                <w:sz w:val="3"/>
              </w:rPr>
              <w:t>24,2550000%</w:t>
            </w:r>
          </w:p>
        </w:tc>
        <w:tc>
          <w:tcPr>
            <w:tcW w:w="288" w:type="dxa"/>
            <w:tcBorders>
              <w:top w:val="single" w:sz="48" w:space="0" w:color="F8CBAD"/>
            </w:tcBorders>
          </w:tcPr>
          <w:p w14:paraId="0FFCF7C7" w14:textId="77777777" w:rsidR="00F65BCA" w:rsidRDefault="00216117">
            <w:pPr>
              <w:pStyle w:val="TableParagraph"/>
              <w:spacing w:line="0" w:lineRule="atLeast"/>
              <w:ind w:left="24" w:right="24"/>
              <w:jc w:val="center"/>
              <w:rPr>
                <w:sz w:val="3"/>
              </w:rPr>
            </w:pPr>
            <w:r>
              <w:rPr>
                <w:w w:val="105"/>
                <w:sz w:val="3"/>
              </w:rPr>
              <w:t>22,0500000%</w:t>
            </w:r>
          </w:p>
        </w:tc>
        <w:tc>
          <w:tcPr>
            <w:tcW w:w="288" w:type="dxa"/>
            <w:tcBorders>
              <w:top w:val="single" w:sz="48" w:space="0" w:color="F8CBAD"/>
            </w:tcBorders>
          </w:tcPr>
          <w:p w14:paraId="76BA464F" w14:textId="77777777" w:rsidR="00F65BCA" w:rsidRDefault="00216117">
            <w:pPr>
              <w:pStyle w:val="TableParagraph"/>
              <w:spacing w:line="0" w:lineRule="atLeast"/>
              <w:ind w:left="47"/>
              <w:rPr>
                <w:sz w:val="3"/>
              </w:rPr>
            </w:pPr>
            <w:r>
              <w:rPr>
                <w:w w:val="105"/>
                <w:sz w:val="3"/>
              </w:rPr>
              <w:t>22,0500000%</w:t>
            </w:r>
          </w:p>
        </w:tc>
      </w:tr>
      <w:tr w:rsidR="00F65BCA" w14:paraId="09F96BE4" w14:textId="77777777">
        <w:trPr>
          <w:trHeight w:val="81"/>
        </w:trPr>
        <w:tc>
          <w:tcPr>
            <w:tcW w:w="526" w:type="dxa"/>
            <w:shd w:val="clear" w:color="auto" w:fill="FCE4D6"/>
          </w:tcPr>
          <w:p w14:paraId="1C387476" w14:textId="77777777" w:rsidR="00F65BCA" w:rsidRDefault="00216117">
            <w:pPr>
              <w:pStyle w:val="TableParagraph"/>
              <w:spacing w:line="0" w:lineRule="atLeast"/>
              <w:ind w:left="163"/>
              <w:rPr>
                <w:sz w:val="3"/>
              </w:rPr>
            </w:pPr>
            <w:r>
              <w:rPr>
                <w:w w:val="105"/>
                <w:sz w:val="3"/>
              </w:rPr>
              <w:t>ostatní vozidla</w:t>
            </w:r>
          </w:p>
        </w:tc>
        <w:tc>
          <w:tcPr>
            <w:tcW w:w="732" w:type="dxa"/>
            <w:shd w:val="clear" w:color="auto" w:fill="FCE4D6"/>
          </w:tcPr>
          <w:p w14:paraId="3CD89674" w14:textId="77777777" w:rsidR="00F65BCA" w:rsidRDefault="00216117">
            <w:pPr>
              <w:pStyle w:val="TableParagraph"/>
              <w:spacing w:line="0" w:lineRule="atLeast"/>
              <w:ind w:left="2"/>
              <w:jc w:val="center"/>
              <w:rPr>
                <w:sz w:val="3"/>
              </w:rPr>
            </w:pPr>
            <w:r>
              <w:rPr>
                <w:w w:val="103"/>
                <w:sz w:val="3"/>
              </w:rPr>
              <w:t>-</w:t>
            </w:r>
          </w:p>
        </w:tc>
        <w:tc>
          <w:tcPr>
            <w:tcW w:w="958" w:type="dxa"/>
            <w:gridSpan w:val="2"/>
            <w:shd w:val="clear" w:color="auto" w:fill="FCE4D6"/>
          </w:tcPr>
          <w:p w14:paraId="5C10B3D6" w14:textId="77777777" w:rsidR="00F65BCA" w:rsidRDefault="00216117">
            <w:pPr>
              <w:pStyle w:val="TableParagraph"/>
              <w:spacing w:line="0" w:lineRule="atLeast"/>
              <w:ind w:left="1"/>
              <w:jc w:val="center"/>
              <w:rPr>
                <w:sz w:val="3"/>
              </w:rPr>
            </w:pPr>
            <w:r>
              <w:rPr>
                <w:w w:val="103"/>
                <w:sz w:val="3"/>
              </w:rPr>
              <w:t>-</w:t>
            </w:r>
          </w:p>
        </w:tc>
        <w:tc>
          <w:tcPr>
            <w:tcW w:w="576" w:type="dxa"/>
            <w:shd w:val="clear" w:color="auto" w:fill="FCE4D6"/>
          </w:tcPr>
          <w:p w14:paraId="07CFEE77" w14:textId="77777777" w:rsidR="00F65BCA" w:rsidRDefault="00216117">
            <w:pPr>
              <w:pStyle w:val="TableParagraph"/>
              <w:spacing w:line="0" w:lineRule="atLeast"/>
              <w:ind w:left="3"/>
              <w:jc w:val="center"/>
              <w:rPr>
                <w:sz w:val="3"/>
              </w:rPr>
            </w:pPr>
            <w:r>
              <w:rPr>
                <w:w w:val="103"/>
                <w:sz w:val="3"/>
              </w:rPr>
              <w:t>-</w:t>
            </w:r>
          </w:p>
        </w:tc>
        <w:tc>
          <w:tcPr>
            <w:tcW w:w="576" w:type="dxa"/>
            <w:shd w:val="clear" w:color="auto" w:fill="FCE4D6"/>
          </w:tcPr>
          <w:p w14:paraId="4EFBF6EA" w14:textId="77777777" w:rsidR="00F65BCA" w:rsidRDefault="00216117">
            <w:pPr>
              <w:pStyle w:val="TableParagraph"/>
              <w:spacing w:line="0" w:lineRule="atLeast"/>
              <w:ind w:left="3"/>
              <w:jc w:val="center"/>
              <w:rPr>
                <w:sz w:val="3"/>
              </w:rPr>
            </w:pPr>
            <w:r>
              <w:rPr>
                <w:w w:val="103"/>
                <w:sz w:val="3"/>
              </w:rPr>
              <w:t>-</w:t>
            </w:r>
          </w:p>
        </w:tc>
        <w:tc>
          <w:tcPr>
            <w:tcW w:w="50" w:type="dxa"/>
            <w:vMerge/>
            <w:tcBorders>
              <w:top w:val="nil"/>
              <w:bottom w:val="nil"/>
            </w:tcBorders>
          </w:tcPr>
          <w:p w14:paraId="333C44E0" w14:textId="77777777" w:rsidR="00F65BCA" w:rsidRDefault="00F65BCA">
            <w:pPr>
              <w:rPr>
                <w:sz w:val="2"/>
                <w:szCs w:val="2"/>
              </w:rPr>
            </w:pPr>
          </w:p>
        </w:tc>
        <w:tc>
          <w:tcPr>
            <w:tcW w:w="288" w:type="dxa"/>
          </w:tcPr>
          <w:p w14:paraId="2A2B255C" w14:textId="77777777" w:rsidR="00F65BCA" w:rsidRDefault="00216117">
            <w:pPr>
              <w:pStyle w:val="TableParagraph"/>
              <w:spacing w:line="0" w:lineRule="atLeast"/>
              <w:ind w:left="24" w:right="22"/>
              <w:jc w:val="center"/>
              <w:rPr>
                <w:sz w:val="3"/>
              </w:rPr>
            </w:pPr>
            <w:r>
              <w:rPr>
                <w:w w:val="105"/>
                <w:sz w:val="3"/>
              </w:rPr>
              <w:t>4,1895000%</w:t>
            </w:r>
          </w:p>
        </w:tc>
        <w:tc>
          <w:tcPr>
            <w:tcW w:w="288" w:type="dxa"/>
          </w:tcPr>
          <w:p w14:paraId="5445080C" w14:textId="77777777" w:rsidR="00F65BCA" w:rsidRDefault="00216117">
            <w:pPr>
              <w:pStyle w:val="TableParagraph"/>
              <w:spacing w:line="0" w:lineRule="atLeast"/>
              <w:ind w:left="24" w:right="21"/>
              <w:jc w:val="center"/>
              <w:rPr>
                <w:sz w:val="3"/>
              </w:rPr>
            </w:pPr>
            <w:r>
              <w:rPr>
                <w:w w:val="105"/>
                <w:sz w:val="3"/>
              </w:rPr>
              <w:t>3,7485000%</w:t>
            </w:r>
          </w:p>
        </w:tc>
        <w:tc>
          <w:tcPr>
            <w:tcW w:w="288" w:type="dxa"/>
          </w:tcPr>
          <w:p w14:paraId="77529517" w14:textId="77777777" w:rsidR="00F65BCA" w:rsidRDefault="00216117">
            <w:pPr>
              <w:pStyle w:val="TableParagraph"/>
              <w:spacing w:line="0" w:lineRule="atLeast"/>
              <w:ind w:left="57"/>
              <w:rPr>
                <w:sz w:val="3"/>
              </w:rPr>
            </w:pPr>
            <w:r>
              <w:rPr>
                <w:w w:val="105"/>
                <w:sz w:val="3"/>
              </w:rPr>
              <w:t>3,7485000%</w:t>
            </w:r>
          </w:p>
        </w:tc>
        <w:tc>
          <w:tcPr>
            <w:tcW w:w="288" w:type="dxa"/>
          </w:tcPr>
          <w:p w14:paraId="362E804D" w14:textId="77777777" w:rsidR="00F65BCA" w:rsidRDefault="00216117">
            <w:pPr>
              <w:pStyle w:val="TableParagraph"/>
              <w:spacing w:line="0" w:lineRule="atLeast"/>
              <w:ind w:left="24" w:right="21"/>
              <w:jc w:val="center"/>
              <w:rPr>
                <w:sz w:val="3"/>
              </w:rPr>
            </w:pPr>
            <w:r>
              <w:rPr>
                <w:w w:val="105"/>
                <w:sz w:val="3"/>
              </w:rPr>
              <w:t>3,4177500%</w:t>
            </w:r>
          </w:p>
        </w:tc>
        <w:tc>
          <w:tcPr>
            <w:tcW w:w="288" w:type="dxa"/>
          </w:tcPr>
          <w:p w14:paraId="30FCE802" w14:textId="77777777" w:rsidR="00F65BCA" w:rsidRDefault="00216117">
            <w:pPr>
              <w:pStyle w:val="TableParagraph"/>
              <w:spacing w:line="0" w:lineRule="atLeast"/>
              <w:ind w:left="57"/>
              <w:rPr>
                <w:sz w:val="3"/>
              </w:rPr>
            </w:pPr>
            <w:r>
              <w:rPr>
                <w:w w:val="105"/>
                <w:sz w:val="3"/>
              </w:rPr>
              <w:t>3,4177500%</w:t>
            </w:r>
          </w:p>
        </w:tc>
        <w:tc>
          <w:tcPr>
            <w:tcW w:w="288" w:type="dxa"/>
          </w:tcPr>
          <w:p w14:paraId="715D6CFD" w14:textId="77777777" w:rsidR="00F65BCA" w:rsidRDefault="00216117">
            <w:pPr>
              <w:pStyle w:val="TableParagraph"/>
              <w:spacing w:line="0" w:lineRule="atLeast"/>
              <w:ind w:left="24" w:right="22"/>
              <w:jc w:val="center"/>
              <w:rPr>
                <w:sz w:val="3"/>
              </w:rPr>
            </w:pPr>
            <w:r>
              <w:rPr>
                <w:w w:val="105"/>
                <w:sz w:val="3"/>
              </w:rPr>
              <w:t>3,0870000%</w:t>
            </w:r>
          </w:p>
        </w:tc>
        <w:tc>
          <w:tcPr>
            <w:tcW w:w="288" w:type="dxa"/>
          </w:tcPr>
          <w:p w14:paraId="282B2511" w14:textId="77777777" w:rsidR="00F65BCA" w:rsidRDefault="00216117">
            <w:pPr>
              <w:pStyle w:val="TableParagraph"/>
              <w:spacing w:line="0" w:lineRule="atLeast"/>
              <w:ind w:left="24" w:right="21"/>
              <w:jc w:val="center"/>
              <w:rPr>
                <w:sz w:val="3"/>
              </w:rPr>
            </w:pPr>
            <w:r>
              <w:rPr>
                <w:w w:val="105"/>
                <w:sz w:val="3"/>
              </w:rPr>
              <w:t>3,0870000%</w:t>
            </w:r>
          </w:p>
        </w:tc>
        <w:tc>
          <w:tcPr>
            <w:tcW w:w="288" w:type="dxa"/>
          </w:tcPr>
          <w:p w14:paraId="1A39BA18" w14:textId="77777777" w:rsidR="00F65BCA" w:rsidRDefault="00216117">
            <w:pPr>
              <w:pStyle w:val="TableParagraph"/>
              <w:spacing w:line="0" w:lineRule="atLeast"/>
              <w:ind w:left="57"/>
              <w:rPr>
                <w:sz w:val="3"/>
              </w:rPr>
            </w:pPr>
            <w:r>
              <w:rPr>
                <w:w w:val="105"/>
                <w:sz w:val="3"/>
              </w:rPr>
              <w:t>2,7562500%</w:t>
            </w:r>
          </w:p>
        </w:tc>
        <w:tc>
          <w:tcPr>
            <w:tcW w:w="288" w:type="dxa"/>
          </w:tcPr>
          <w:p w14:paraId="33A4F80C" w14:textId="77777777" w:rsidR="00F65BCA" w:rsidRDefault="00216117">
            <w:pPr>
              <w:pStyle w:val="TableParagraph"/>
              <w:spacing w:line="0" w:lineRule="atLeast"/>
              <w:ind w:left="24" w:right="21"/>
              <w:jc w:val="center"/>
              <w:rPr>
                <w:sz w:val="3"/>
              </w:rPr>
            </w:pPr>
            <w:r>
              <w:rPr>
                <w:w w:val="105"/>
                <w:sz w:val="3"/>
              </w:rPr>
              <w:t>2,7562500%</w:t>
            </w:r>
          </w:p>
        </w:tc>
        <w:tc>
          <w:tcPr>
            <w:tcW w:w="288" w:type="dxa"/>
          </w:tcPr>
          <w:p w14:paraId="5ACCA938" w14:textId="77777777" w:rsidR="00F65BCA" w:rsidRDefault="00216117">
            <w:pPr>
              <w:pStyle w:val="TableParagraph"/>
              <w:spacing w:line="0" w:lineRule="atLeast"/>
              <w:ind w:left="24" w:right="21"/>
              <w:jc w:val="center"/>
              <w:rPr>
                <w:sz w:val="3"/>
              </w:rPr>
            </w:pPr>
            <w:r>
              <w:rPr>
                <w:w w:val="105"/>
                <w:sz w:val="3"/>
              </w:rPr>
              <w:t>2,5357500%</w:t>
            </w:r>
          </w:p>
        </w:tc>
        <w:tc>
          <w:tcPr>
            <w:tcW w:w="288" w:type="dxa"/>
          </w:tcPr>
          <w:p w14:paraId="7884A068" w14:textId="77777777" w:rsidR="00F65BCA" w:rsidRDefault="00216117">
            <w:pPr>
              <w:pStyle w:val="TableParagraph"/>
              <w:spacing w:line="0" w:lineRule="atLeast"/>
              <w:ind w:left="24" w:right="21"/>
              <w:jc w:val="center"/>
              <w:rPr>
                <w:sz w:val="3"/>
              </w:rPr>
            </w:pPr>
            <w:r>
              <w:rPr>
                <w:w w:val="105"/>
                <w:sz w:val="3"/>
              </w:rPr>
              <w:t>2,4255000%</w:t>
            </w:r>
          </w:p>
        </w:tc>
        <w:tc>
          <w:tcPr>
            <w:tcW w:w="288" w:type="dxa"/>
          </w:tcPr>
          <w:p w14:paraId="130AB889" w14:textId="77777777" w:rsidR="00F65BCA" w:rsidRDefault="00216117">
            <w:pPr>
              <w:pStyle w:val="TableParagraph"/>
              <w:spacing w:line="0" w:lineRule="atLeast"/>
              <w:ind w:left="24" w:right="21"/>
              <w:jc w:val="center"/>
              <w:rPr>
                <w:sz w:val="3"/>
              </w:rPr>
            </w:pPr>
            <w:r>
              <w:rPr>
                <w:w w:val="105"/>
                <w:sz w:val="3"/>
              </w:rPr>
              <w:t>2,2050000%</w:t>
            </w:r>
          </w:p>
        </w:tc>
        <w:tc>
          <w:tcPr>
            <w:tcW w:w="288" w:type="dxa"/>
          </w:tcPr>
          <w:p w14:paraId="1D5611E6" w14:textId="77777777" w:rsidR="00F65BCA" w:rsidRDefault="00216117">
            <w:pPr>
              <w:pStyle w:val="TableParagraph"/>
              <w:spacing w:line="0" w:lineRule="atLeast"/>
              <w:ind w:left="57"/>
              <w:rPr>
                <w:sz w:val="3"/>
              </w:rPr>
            </w:pPr>
            <w:r>
              <w:rPr>
                <w:w w:val="105"/>
                <w:sz w:val="3"/>
              </w:rPr>
              <w:t>2,2050000%</w:t>
            </w:r>
          </w:p>
        </w:tc>
      </w:tr>
    </w:tbl>
    <w:p w14:paraId="40ACBA4F" w14:textId="77777777" w:rsidR="00F65BCA" w:rsidRDefault="00F65BCA">
      <w:pPr>
        <w:pStyle w:val="Zkladntext"/>
        <w:rPr>
          <w:rFonts w:ascii="Calibri"/>
          <w:sz w:val="20"/>
        </w:rPr>
      </w:pPr>
    </w:p>
    <w:p w14:paraId="3D74302E" w14:textId="77777777" w:rsidR="00F65BCA" w:rsidRDefault="00F65BCA">
      <w:pPr>
        <w:pStyle w:val="Zkladntext"/>
        <w:rPr>
          <w:rFonts w:ascii="Calibri"/>
          <w:sz w:val="20"/>
        </w:rPr>
      </w:pPr>
    </w:p>
    <w:p w14:paraId="2D69397E" w14:textId="77777777" w:rsidR="00F65BCA" w:rsidRDefault="00F65BCA">
      <w:pPr>
        <w:pStyle w:val="Zkladntext"/>
        <w:rPr>
          <w:rFonts w:ascii="Calibri"/>
          <w:sz w:val="20"/>
        </w:rPr>
      </w:pPr>
    </w:p>
    <w:p w14:paraId="38CF5604" w14:textId="77777777" w:rsidR="00F65BCA" w:rsidRDefault="00F65BCA">
      <w:pPr>
        <w:pStyle w:val="Zkladntext"/>
        <w:rPr>
          <w:rFonts w:ascii="Calibri"/>
          <w:sz w:val="20"/>
        </w:rPr>
      </w:pPr>
    </w:p>
    <w:p w14:paraId="0523969F" w14:textId="77777777" w:rsidR="00F65BCA" w:rsidRDefault="00F65BCA">
      <w:pPr>
        <w:pStyle w:val="Zkladntext"/>
        <w:rPr>
          <w:rFonts w:ascii="Calibri"/>
          <w:sz w:val="20"/>
        </w:rPr>
      </w:pPr>
    </w:p>
    <w:p w14:paraId="415609F5" w14:textId="77777777" w:rsidR="00F65BCA" w:rsidRDefault="00F65BCA">
      <w:pPr>
        <w:pStyle w:val="Zkladntext"/>
        <w:rPr>
          <w:rFonts w:ascii="Calibri"/>
          <w:sz w:val="20"/>
        </w:rPr>
      </w:pPr>
    </w:p>
    <w:p w14:paraId="1CC8DEB0" w14:textId="77777777" w:rsidR="00F65BCA" w:rsidRDefault="00F65BCA">
      <w:pPr>
        <w:pStyle w:val="Zkladntext"/>
        <w:spacing w:before="1"/>
        <w:rPr>
          <w:rFonts w:ascii="Calibri"/>
          <w:sz w:val="24"/>
        </w:rPr>
      </w:pPr>
    </w:p>
    <w:p w14:paraId="6113C1E1" w14:textId="77777777" w:rsidR="00F65BCA" w:rsidRDefault="00F65BCA">
      <w:pPr>
        <w:pStyle w:val="Zkladntext"/>
        <w:rPr>
          <w:rFonts w:ascii="Calibri"/>
          <w:sz w:val="4"/>
        </w:rPr>
      </w:pPr>
    </w:p>
    <w:p w14:paraId="4E01BA91" w14:textId="77777777" w:rsidR="00F65BCA" w:rsidRDefault="00F65BCA">
      <w:pPr>
        <w:pStyle w:val="Zkladntext"/>
        <w:spacing w:before="7"/>
        <w:rPr>
          <w:rFonts w:ascii="Calibri"/>
          <w:sz w:val="3"/>
        </w:rPr>
      </w:pPr>
    </w:p>
    <w:p w14:paraId="335F20BF" w14:textId="77777777" w:rsidR="00F65BCA" w:rsidRDefault="00216117">
      <w:pPr>
        <w:ind w:left="205"/>
        <w:rPr>
          <w:rFonts w:ascii="Calibri" w:hAnsi="Calibri"/>
          <w:sz w:val="4"/>
        </w:rPr>
      </w:pPr>
      <w:r>
        <w:rPr>
          <w:rFonts w:ascii="Calibri" w:hAnsi="Calibri"/>
          <w:w w:val="47"/>
          <w:sz w:val="2"/>
        </w:rPr>
        <w:t>#</w:t>
      </w:r>
      <w:r>
        <w:rPr>
          <w:rFonts w:ascii="Calibri" w:hAnsi="Calibri"/>
          <w:spacing w:val="-1"/>
          <w:w w:val="101"/>
          <w:sz w:val="4"/>
        </w:rPr>
        <w:t>Důvěrn</w:t>
      </w:r>
      <w:r>
        <w:rPr>
          <w:rFonts w:ascii="Calibri" w:hAnsi="Calibri"/>
          <w:w w:val="101"/>
          <w:sz w:val="4"/>
        </w:rPr>
        <w:t>é</w:t>
      </w:r>
      <w:r>
        <w:rPr>
          <w:rFonts w:ascii="Times New Roman" w:hAnsi="Times New Roman"/>
          <w:spacing w:val="-1"/>
          <w:sz w:val="4"/>
        </w:rPr>
        <w:t xml:space="preserve"> </w:t>
      </w:r>
      <w:r>
        <w:rPr>
          <w:rFonts w:ascii="Calibri" w:hAnsi="Calibri"/>
          <w:w w:val="101"/>
          <w:sz w:val="4"/>
        </w:rPr>
        <w:t>/</w:t>
      </w:r>
      <w:r>
        <w:rPr>
          <w:rFonts w:ascii="Times New Roman" w:hAnsi="Times New Roman"/>
          <w:spacing w:val="-1"/>
          <w:sz w:val="4"/>
        </w:rPr>
        <w:t xml:space="preserve"> </w:t>
      </w:r>
      <w:r>
        <w:rPr>
          <w:rFonts w:ascii="Calibri" w:hAnsi="Calibri"/>
          <w:w w:val="101"/>
          <w:sz w:val="4"/>
        </w:rPr>
        <w:t>Confidential</w:t>
      </w:r>
    </w:p>
    <w:p w14:paraId="63781195" w14:textId="77777777" w:rsidR="00F65BCA" w:rsidRDefault="00F65BCA">
      <w:pPr>
        <w:rPr>
          <w:rFonts w:ascii="Calibri" w:hAnsi="Calibri"/>
          <w:sz w:val="4"/>
        </w:rPr>
        <w:sectPr w:rsidR="00F65BCA">
          <w:pgSz w:w="11900" w:h="16840"/>
          <w:pgMar w:top="1120" w:right="640" w:bottom="280" w:left="500" w:header="708" w:footer="708" w:gutter="0"/>
          <w:cols w:space="708"/>
        </w:sectPr>
      </w:pPr>
    </w:p>
    <w:p w14:paraId="104764F0" w14:textId="77777777" w:rsidR="00F65BCA" w:rsidRDefault="00000000">
      <w:pPr>
        <w:pStyle w:val="Nadpis6"/>
        <w:ind w:left="126"/>
        <w:rPr>
          <w:rFonts w:ascii="Calibri"/>
        </w:rPr>
      </w:pPr>
      <w:r>
        <w:rPr>
          <w:rFonts w:ascii="Calibri"/>
        </w:rPr>
      </w:r>
      <w:r>
        <w:rPr>
          <w:rFonts w:ascii="Calibri"/>
        </w:rPr>
        <w:pict w14:anchorId="5FFBCDFD">
          <v:shape id="_x0000_s2593" type="#_x0000_t202" style="width:155.2pt;height:19.35pt;mso-left-percent:-10001;mso-top-percent:-10001;mso-position-horizontal:absolute;mso-position-horizontal-relative:char;mso-position-vertical:absolute;mso-position-vertical-relative:line;mso-left-percent:-10001;mso-top-percent:-10001" fillcolor="#f8cbad" strokeweight=".96pt">
            <v:textbox inset="0,0,0,0">
              <w:txbxContent>
                <w:p w14:paraId="752AD107" w14:textId="77777777" w:rsidR="00F65BCA" w:rsidRDefault="00F65BCA">
                  <w:pPr>
                    <w:pStyle w:val="Zkladntext"/>
                    <w:spacing w:before="11"/>
                    <w:rPr>
                      <w:rFonts w:ascii="Calibri"/>
                      <w:sz w:val="10"/>
                    </w:rPr>
                  </w:pPr>
                </w:p>
                <w:p w14:paraId="06A1F2A2" w14:textId="77777777" w:rsidR="00F65BCA" w:rsidRDefault="00216117">
                  <w:pPr>
                    <w:ind w:left="1336" w:right="1330"/>
                    <w:jc w:val="center"/>
                    <w:rPr>
                      <w:b/>
                      <w:sz w:val="8"/>
                    </w:rPr>
                  </w:pPr>
                  <w:r>
                    <w:rPr>
                      <w:b/>
                      <w:sz w:val="8"/>
                    </w:rPr>
                    <w:t>Asistence</w:t>
                  </w:r>
                </w:p>
              </w:txbxContent>
            </v:textbox>
            <w10:anchorlock/>
          </v:shape>
        </w:pict>
      </w:r>
      <w:r w:rsidR="00216117">
        <w:rPr>
          <w:rFonts w:ascii="Times New Roman"/>
          <w:spacing w:val="39"/>
        </w:rPr>
        <w:t xml:space="preserve"> </w:t>
      </w:r>
      <w:r>
        <w:rPr>
          <w:rFonts w:ascii="Calibri"/>
          <w:spacing w:val="39"/>
        </w:rPr>
      </w:r>
      <w:r>
        <w:rPr>
          <w:rFonts w:ascii="Calibri"/>
          <w:spacing w:val="39"/>
        </w:rPr>
        <w:pict w14:anchorId="400E9014">
          <v:shape id="_x0000_s2592" type="#_x0000_t202" style="width:315.15pt;height:19.35pt;mso-left-percent:-10001;mso-top-percent:-10001;mso-position-horizontal:absolute;mso-position-horizontal-relative:char;mso-position-vertical:absolute;mso-position-vertical-relative:line;mso-left-percent:-10001;mso-top-percent:-10001" fillcolor="#f8cbad" strokeweight=".96pt">
            <v:textbox inset="0,0,0,0">
              <w:txbxContent>
                <w:p w14:paraId="44C35B3A" w14:textId="77777777" w:rsidR="00F65BCA" w:rsidRDefault="00F65BCA">
                  <w:pPr>
                    <w:pStyle w:val="Zkladntext"/>
                    <w:spacing w:before="7"/>
                    <w:rPr>
                      <w:rFonts w:ascii="Times New Roman"/>
                      <w:sz w:val="11"/>
                    </w:rPr>
                  </w:pPr>
                </w:p>
                <w:p w14:paraId="158F9112" w14:textId="77777777" w:rsidR="00F65BCA" w:rsidRDefault="00216117">
                  <w:pPr>
                    <w:ind w:left="2755" w:right="2746"/>
                    <w:jc w:val="center"/>
                    <w:rPr>
                      <w:b/>
                      <w:sz w:val="8"/>
                    </w:rPr>
                  </w:pPr>
                  <w:r>
                    <w:rPr>
                      <w:b/>
                      <w:sz w:val="8"/>
                    </w:rPr>
                    <w:t>Roční pojistné v Kč</w:t>
                  </w:r>
                </w:p>
              </w:txbxContent>
            </v:textbox>
            <w10:anchorlock/>
          </v:shape>
        </w:pict>
      </w:r>
    </w:p>
    <w:p w14:paraId="1DF7FC91" w14:textId="77777777" w:rsidR="00F65BCA" w:rsidRDefault="00F65BCA">
      <w:pPr>
        <w:pStyle w:val="Zkladntext"/>
        <w:spacing w:before="3"/>
        <w:rPr>
          <w:rFonts w:ascii="Calibri"/>
          <w:sz w:val="6"/>
        </w:rPr>
      </w:pPr>
    </w:p>
    <w:p w14:paraId="4DA1150D" w14:textId="77777777" w:rsidR="00F65BCA" w:rsidRDefault="00000000">
      <w:pPr>
        <w:pStyle w:val="Nadpis6"/>
        <w:ind w:left="131"/>
        <w:rPr>
          <w:rFonts w:ascii="Calibri"/>
        </w:rPr>
      </w:pPr>
      <w:r>
        <w:rPr>
          <w:rFonts w:ascii="Calibri"/>
        </w:rPr>
      </w:r>
      <w:r>
        <w:rPr>
          <w:rFonts w:ascii="Calibri"/>
        </w:rPr>
        <w:pict w14:anchorId="47BECBD9">
          <v:shape id="_x0000_s2591" type="#_x0000_t202" style="width:155.9pt;height:112.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915"/>
                  </w:tblGrid>
                  <w:tr w:rsidR="00F65BCA" w14:paraId="34174D3A" w14:textId="77777777">
                    <w:trPr>
                      <w:trHeight w:val="182"/>
                    </w:trPr>
                    <w:tc>
                      <w:tcPr>
                        <w:tcW w:w="3104" w:type="dxa"/>
                        <w:gridSpan w:val="2"/>
                        <w:shd w:val="clear" w:color="auto" w:fill="F8CBAD"/>
                      </w:tcPr>
                      <w:p w14:paraId="55979AB7" w14:textId="77777777" w:rsidR="00F65BCA" w:rsidRDefault="00216117">
                        <w:pPr>
                          <w:pStyle w:val="TableParagraph"/>
                          <w:spacing w:before="40"/>
                          <w:ind w:left="834"/>
                          <w:rPr>
                            <w:b/>
                            <w:sz w:val="8"/>
                          </w:rPr>
                        </w:pPr>
                        <w:r>
                          <w:rPr>
                            <w:b/>
                            <w:sz w:val="8"/>
                          </w:rPr>
                          <w:t>Bez sdruženého pojištění POV + HAV</w:t>
                        </w:r>
                      </w:p>
                    </w:tc>
                  </w:tr>
                  <w:tr w:rsidR="00F65BCA" w14:paraId="5A62CDC6" w14:textId="77777777">
                    <w:trPr>
                      <w:trHeight w:val="124"/>
                    </w:trPr>
                    <w:tc>
                      <w:tcPr>
                        <w:tcW w:w="2189" w:type="dxa"/>
                        <w:shd w:val="clear" w:color="auto" w:fill="F8CBAD"/>
                      </w:tcPr>
                      <w:p w14:paraId="7CFA6F60" w14:textId="77777777" w:rsidR="00F65BCA" w:rsidRDefault="00216117">
                        <w:pPr>
                          <w:pStyle w:val="TableParagraph"/>
                          <w:spacing w:before="16" w:line="88" w:lineRule="exact"/>
                          <w:ind w:left="568" w:right="557"/>
                          <w:jc w:val="center"/>
                          <w:rPr>
                            <w:b/>
                            <w:sz w:val="8"/>
                          </w:rPr>
                        </w:pPr>
                        <w:r>
                          <w:rPr>
                            <w:b/>
                            <w:sz w:val="8"/>
                          </w:rPr>
                          <w:t>Druh vozidla</w:t>
                        </w:r>
                      </w:p>
                    </w:tc>
                    <w:tc>
                      <w:tcPr>
                        <w:tcW w:w="915" w:type="dxa"/>
                        <w:shd w:val="clear" w:color="auto" w:fill="F8CBAD"/>
                      </w:tcPr>
                      <w:p w14:paraId="2E8FB6C1" w14:textId="77777777" w:rsidR="00F65BCA" w:rsidRDefault="00216117">
                        <w:pPr>
                          <w:pStyle w:val="TableParagraph"/>
                          <w:spacing w:before="16" w:line="88" w:lineRule="exact"/>
                          <w:ind w:left="91" w:right="80"/>
                          <w:jc w:val="center"/>
                          <w:rPr>
                            <w:b/>
                            <w:sz w:val="8"/>
                          </w:rPr>
                        </w:pPr>
                        <w:r>
                          <w:rPr>
                            <w:b/>
                            <w:sz w:val="8"/>
                          </w:rPr>
                          <w:t>Celková hmotnost</w:t>
                        </w:r>
                      </w:p>
                    </w:tc>
                  </w:tr>
                  <w:tr w:rsidR="00F65BCA" w14:paraId="57EAD196" w14:textId="77777777">
                    <w:trPr>
                      <w:trHeight w:val="182"/>
                    </w:trPr>
                    <w:tc>
                      <w:tcPr>
                        <w:tcW w:w="2189" w:type="dxa"/>
                        <w:vMerge w:val="restart"/>
                        <w:shd w:val="clear" w:color="auto" w:fill="FCE4D6"/>
                      </w:tcPr>
                      <w:p w14:paraId="1B7CFF98" w14:textId="77777777" w:rsidR="00F65BCA" w:rsidRDefault="00F65BCA">
                        <w:pPr>
                          <w:pStyle w:val="TableParagraph"/>
                          <w:rPr>
                            <w:rFonts w:ascii="Calibri"/>
                            <w:sz w:val="8"/>
                          </w:rPr>
                        </w:pPr>
                      </w:p>
                      <w:p w14:paraId="25663BD1" w14:textId="77777777" w:rsidR="00F65BCA" w:rsidRDefault="00F65BCA">
                        <w:pPr>
                          <w:pStyle w:val="TableParagraph"/>
                          <w:spacing w:before="10"/>
                          <w:rPr>
                            <w:rFonts w:ascii="Calibri"/>
                            <w:sz w:val="6"/>
                          </w:rPr>
                        </w:pPr>
                      </w:p>
                      <w:p w14:paraId="5E119358" w14:textId="77777777" w:rsidR="00F65BCA" w:rsidRDefault="00216117">
                        <w:pPr>
                          <w:pStyle w:val="TableParagraph"/>
                          <w:spacing w:line="276" w:lineRule="auto"/>
                          <w:ind w:left="962" w:hanging="812"/>
                          <w:rPr>
                            <w:sz w:val="8"/>
                          </w:rPr>
                        </w:pPr>
                        <w:r>
                          <w:rPr>
                            <w:sz w:val="8"/>
                          </w:rPr>
                          <w:t>přívěs; návěs; pracovní stroj přípojný; přípojná vozidla traktorů</w:t>
                        </w:r>
                      </w:p>
                    </w:tc>
                    <w:tc>
                      <w:tcPr>
                        <w:tcW w:w="915" w:type="dxa"/>
                        <w:shd w:val="clear" w:color="auto" w:fill="FCE4D6"/>
                      </w:tcPr>
                      <w:p w14:paraId="634E8FAD" w14:textId="77777777" w:rsidR="00F65BCA" w:rsidRDefault="00216117">
                        <w:pPr>
                          <w:pStyle w:val="TableParagraph"/>
                          <w:spacing w:before="47"/>
                          <w:ind w:left="91" w:right="71"/>
                          <w:jc w:val="center"/>
                          <w:rPr>
                            <w:sz w:val="8"/>
                          </w:rPr>
                        </w:pPr>
                        <w:r>
                          <w:rPr>
                            <w:sz w:val="8"/>
                          </w:rPr>
                          <w:t>0-750 kg</w:t>
                        </w:r>
                      </w:p>
                    </w:tc>
                  </w:tr>
                  <w:tr w:rsidR="00F65BCA" w14:paraId="56FC4CB8" w14:textId="77777777">
                    <w:trPr>
                      <w:trHeight w:val="182"/>
                    </w:trPr>
                    <w:tc>
                      <w:tcPr>
                        <w:tcW w:w="2189" w:type="dxa"/>
                        <w:vMerge/>
                        <w:tcBorders>
                          <w:top w:val="nil"/>
                        </w:tcBorders>
                        <w:shd w:val="clear" w:color="auto" w:fill="FCE4D6"/>
                      </w:tcPr>
                      <w:p w14:paraId="66775D5A" w14:textId="77777777" w:rsidR="00F65BCA" w:rsidRDefault="00F65BCA">
                        <w:pPr>
                          <w:rPr>
                            <w:sz w:val="2"/>
                            <w:szCs w:val="2"/>
                          </w:rPr>
                        </w:pPr>
                      </w:p>
                    </w:tc>
                    <w:tc>
                      <w:tcPr>
                        <w:tcW w:w="915" w:type="dxa"/>
                        <w:shd w:val="clear" w:color="auto" w:fill="FCE4D6"/>
                      </w:tcPr>
                      <w:p w14:paraId="0C453B30" w14:textId="77777777" w:rsidR="00F65BCA" w:rsidRDefault="00216117">
                        <w:pPr>
                          <w:pStyle w:val="TableParagraph"/>
                          <w:spacing w:before="47"/>
                          <w:ind w:left="91" w:right="74"/>
                          <w:jc w:val="center"/>
                          <w:rPr>
                            <w:sz w:val="8"/>
                          </w:rPr>
                        </w:pPr>
                        <w:r>
                          <w:rPr>
                            <w:sz w:val="8"/>
                          </w:rPr>
                          <w:t>751-3500 kg</w:t>
                        </w:r>
                      </w:p>
                    </w:tc>
                  </w:tr>
                  <w:tr w:rsidR="00F65BCA" w14:paraId="0FE99BB5" w14:textId="77777777">
                    <w:trPr>
                      <w:trHeight w:val="182"/>
                    </w:trPr>
                    <w:tc>
                      <w:tcPr>
                        <w:tcW w:w="2189" w:type="dxa"/>
                        <w:vMerge/>
                        <w:tcBorders>
                          <w:top w:val="nil"/>
                        </w:tcBorders>
                        <w:shd w:val="clear" w:color="auto" w:fill="FCE4D6"/>
                      </w:tcPr>
                      <w:p w14:paraId="28181619" w14:textId="77777777" w:rsidR="00F65BCA" w:rsidRDefault="00F65BCA">
                        <w:pPr>
                          <w:rPr>
                            <w:sz w:val="2"/>
                            <w:szCs w:val="2"/>
                          </w:rPr>
                        </w:pPr>
                      </w:p>
                    </w:tc>
                    <w:tc>
                      <w:tcPr>
                        <w:tcW w:w="915" w:type="dxa"/>
                        <w:shd w:val="clear" w:color="auto" w:fill="FCE4D6"/>
                      </w:tcPr>
                      <w:p w14:paraId="3F147C19" w14:textId="77777777" w:rsidR="00F65BCA" w:rsidRDefault="00216117">
                        <w:pPr>
                          <w:pStyle w:val="TableParagraph"/>
                          <w:spacing w:before="47"/>
                          <w:ind w:left="91" w:right="74"/>
                          <w:jc w:val="center"/>
                          <w:rPr>
                            <w:sz w:val="8"/>
                          </w:rPr>
                        </w:pPr>
                        <w:r>
                          <w:rPr>
                            <w:sz w:val="8"/>
                          </w:rPr>
                          <w:t>&gt;3500 kg</w:t>
                        </w:r>
                      </w:p>
                    </w:tc>
                  </w:tr>
                  <w:tr w:rsidR="00F65BCA" w14:paraId="176F4B46" w14:textId="77777777">
                    <w:trPr>
                      <w:trHeight w:val="182"/>
                    </w:trPr>
                    <w:tc>
                      <w:tcPr>
                        <w:tcW w:w="2189" w:type="dxa"/>
                        <w:shd w:val="clear" w:color="auto" w:fill="FCE4D6"/>
                      </w:tcPr>
                      <w:p w14:paraId="10073351" w14:textId="77777777" w:rsidR="00F65BCA" w:rsidRDefault="00216117">
                        <w:pPr>
                          <w:pStyle w:val="TableParagraph"/>
                          <w:spacing w:before="47"/>
                          <w:ind w:left="568" w:right="557"/>
                          <w:jc w:val="center"/>
                          <w:rPr>
                            <w:sz w:val="8"/>
                          </w:rPr>
                        </w:pPr>
                        <w:r>
                          <w:rPr>
                            <w:sz w:val="8"/>
                          </w:rPr>
                          <w:t>motocykl; tříkolky a čtyřkolky</w:t>
                        </w:r>
                      </w:p>
                    </w:tc>
                    <w:tc>
                      <w:tcPr>
                        <w:tcW w:w="915" w:type="dxa"/>
                        <w:shd w:val="clear" w:color="auto" w:fill="FCE4D6"/>
                      </w:tcPr>
                      <w:p w14:paraId="7F48659E" w14:textId="77777777" w:rsidR="00F65BCA" w:rsidRDefault="00216117">
                        <w:pPr>
                          <w:pStyle w:val="TableParagraph"/>
                          <w:spacing w:before="47"/>
                          <w:ind w:left="18"/>
                          <w:jc w:val="center"/>
                          <w:rPr>
                            <w:sz w:val="8"/>
                          </w:rPr>
                        </w:pPr>
                        <w:r>
                          <w:rPr>
                            <w:w w:val="101"/>
                            <w:sz w:val="8"/>
                          </w:rPr>
                          <w:t>-</w:t>
                        </w:r>
                      </w:p>
                    </w:tc>
                  </w:tr>
                  <w:tr w:rsidR="00F65BCA" w14:paraId="198DFA30" w14:textId="77777777">
                    <w:trPr>
                      <w:trHeight w:val="182"/>
                    </w:trPr>
                    <w:tc>
                      <w:tcPr>
                        <w:tcW w:w="2189" w:type="dxa"/>
                        <w:shd w:val="clear" w:color="auto" w:fill="FCE4D6"/>
                      </w:tcPr>
                      <w:p w14:paraId="23A76D0F" w14:textId="77777777" w:rsidR="00F65BCA" w:rsidRDefault="00216117">
                        <w:pPr>
                          <w:pStyle w:val="TableParagraph"/>
                          <w:spacing w:before="47"/>
                          <w:ind w:left="568" w:right="555"/>
                          <w:jc w:val="center"/>
                          <w:rPr>
                            <w:sz w:val="8"/>
                          </w:rPr>
                        </w:pPr>
                        <w:r>
                          <w:rPr>
                            <w:sz w:val="8"/>
                          </w:rPr>
                          <w:t>osobní automobil</w:t>
                        </w:r>
                      </w:p>
                    </w:tc>
                    <w:tc>
                      <w:tcPr>
                        <w:tcW w:w="915" w:type="dxa"/>
                        <w:shd w:val="clear" w:color="auto" w:fill="FCE4D6"/>
                      </w:tcPr>
                      <w:p w14:paraId="690FADDE" w14:textId="77777777" w:rsidR="00F65BCA" w:rsidRDefault="00216117">
                        <w:pPr>
                          <w:pStyle w:val="TableParagraph"/>
                          <w:spacing w:before="47"/>
                          <w:ind w:left="19"/>
                          <w:jc w:val="center"/>
                          <w:rPr>
                            <w:sz w:val="8"/>
                          </w:rPr>
                        </w:pPr>
                        <w:r>
                          <w:rPr>
                            <w:w w:val="101"/>
                            <w:sz w:val="8"/>
                          </w:rPr>
                          <w:t>-</w:t>
                        </w:r>
                      </w:p>
                    </w:tc>
                  </w:tr>
                  <w:tr w:rsidR="00F65BCA" w14:paraId="0E0F006B" w14:textId="77777777">
                    <w:trPr>
                      <w:trHeight w:val="182"/>
                    </w:trPr>
                    <w:tc>
                      <w:tcPr>
                        <w:tcW w:w="2189" w:type="dxa"/>
                        <w:shd w:val="clear" w:color="auto" w:fill="FCE4D6"/>
                      </w:tcPr>
                      <w:p w14:paraId="76C3C36C" w14:textId="77777777" w:rsidR="00F65BCA" w:rsidRDefault="00216117">
                        <w:pPr>
                          <w:pStyle w:val="TableParagraph"/>
                          <w:spacing w:before="47"/>
                          <w:ind w:left="568" w:right="556"/>
                          <w:jc w:val="center"/>
                          <w:rPr>
                            <w:sz w:val="8"/>
                          </w:rPr>
                        </w:pPr>
                        <w:r>
                          <w:rPr>
                            <w:sz w:val="8"/>
                          </w:rPr>
                          <w:t>nákladní automobil do 3,5 t</w:t>
                        </w:r>
                      </w:p>
                    </w:tc>
                    <w:tc>
                      <w:tcPr>
                        <w:tcW w:w="915" w:type="dxa"/>
                        <w:shd w:val="clear" w:color="auto" w:fill="FCE4D6"/>
                      </w:tcPr>
                      <w:p w14:paraId="4F2D0B15" w14:textId="77777777" w:rsidR="00F65BCA" w:rsidRDefault="00216117">
                        <w:pPr>
                          <w:pStyle w:val="TableParagraph"/>
                          <w:spacing w:before="47"/>
                          <w:ind w:left="19"/>
                          <w:jc w:val="center"/>
                          <w:rPr>
                            <w:sz w:val="8"/>
                          </w:rPr>
                        </w:pPr>
                        <w:r>
                          <w:rPr>
                            <w:w w:val="101"/>
                            <w:sz w:val="8"/>
                          </w:rPr>
                          <w:t>-</w:t>
                        </w:r>
                      </w:p>
                    </w:tc>
                  </w:tr>
                  <w:tr w:rsidR="00F65BCA" w14:paraId="1A4D1622" w14:textId="77777777">
                    <w:trPr>
                      <w:trHeight w:val="182"/>
                    </w:trPr>
                    <w:tc>
                      <w:tcPr>
                        <w:tcW w:w="2189" w:type="dxa"/>
                        <w:vMerge w:val="restart"/>
                        <w:shd w:val="clear" w:color="auto" w:fill="FCE4D6"/>
                      </w:tcPr>
                      <w:p w14:paraId="708FCFE7" w14:textId="77777777" w:rsidR="00F65BCA" w:rsidRDefault="00F65BCA">
                        <w:pPr>
                          <w:pStyle w:val="TableParagraph"/>
                          <w:rPr>
                            <w:rFonts w:ascii="Calibri"/>
                            <w:sz w:val="7"/>
                          </w:rPr>
                        </w:pPr>
                      </w:p>
                      <w:p w14:paraId="5827B240" w14:textId="77777777" w:rsidR="00F65BCA" w:rsidRDefault="00216117">
                        <w:pPr>
                          <w:pStyle w:val="TableParagraph"/>
                          <w:spacing w:line="276" w:lineRule="auto"/>
                          <w:ind w:left="450" w:hanging="248"/>
                          <w:rPr>
                            <w:sz w:val="8"/>
                          </w:rPr>
                        </w:pPr>
                        <w:r>
                          <w:rPr>
                            <w:sz w:val="8"/>
                          </w:rPr>
                          <w:t>traktor; motorový vozík (malotraktor); pracovní stroj samojízdný; ostatní vozidla; jiný druh</w:t>
                        </w:r>
                      </w:p>
                    </w:tc>
                    <w:tc>
                      <w:tcPr>
                        <w:tcW w:w="915" w:type="dxa"/>
                        <w:shd w:val="clear" w:color="auto" w:fill="FCE4D6"/>
                      </w:tcPr>
                      <w:p w14:paraId="05EE194B" w14:textId="77777777" w:rsidR="00F65BCA" w:rsidRDefault="00216117">
                        <w:pPr>
                          <w:pStyle w:val="TableParagraph"/>
                          <w:spacing w:before="47"/>
                          <w:ind w:left="91" w:right="74"/>
                          <w:jc w:val="center"/>
                          <w:rPr>
                            <w:sz w:val="8"/>
                          </w:rPr>
                        </w:pPr>
                        <w:r>
                          <w:rPr>
                            <w:sz w:val="8"/>
                          </w:rPr>
                          <w:t>0-3500 kg</w:t>
                        </w:r>
                      </w:p>
                    </w:tc>
                  </w:tr>
                  <w:tr w:rsidR="00F65BCA" w14:paraId="3BEA7C9F" w14:textId="77777777">
                    <w:trPr>
                      <w:trHeight w:val="182"/>
                    </w:trPr>
                    <w:tc>
                      <w:tcPr>
                        <w:tcW w:w="2189" w:type="dxa"/>
                        <w:vMerge/>
                        <w:tcBorders>
                          <w:top w:val="nil"/>
                        </w:tcBorders>
                        <w:shd w:val="clear" w:color="auto" w:fill="FCE4D6"/>
                      </w:tcPr>
                      <w:p w14:paraId="1A56DF8F" w14:textId="77777777" w:rsidR="00F65BCA" w:rsidRDefault="00F65BCA">
                        <w:pPr>
                          <w:rPr>
                            <w:sz w:val="2"/>
                            <w:szCs w:val="2"/>
                          </w:rPr>
                        </w:pPr>
                      </w:p>
                    </w:tc>
                    <w:tc>
                      <w:tcPr>
                        <w:tcW w:w="915" w:type="dxa"/>
                        <w:shd w:val="clear" w:color="auto" w:fill="FCE4D6"/>
                      </w:tcPr>
                      <w:p w14:paraId="11CB3630" w14:textId="77777777" w:rsidR="00F65BCA" w:rsidRDefault="00216117">
                        <w:pPr>
                          <w:pStyle w:val="TableParagraph"/>
                          <w:spacing w:before="47"/>
                          <w:ind w:left="91" w:right="74"/>
                          <w:jc w:val="center"/>
                          <w:rPr>
                            <w:sz w:val="8"/>
                          </w:rPr>
                        </w:pPr>
                        <w:r>
                          <w:rPr>
                            <w:sz w:val="8"/>
                          </w:rPr>
                          <w:t>&gt;3500 kg</w:t>
                        </w:r>
                      </w:p>
                    </w:tc>
                  </w:tr>
                  <w:tr w:rsidR="00F65BCA" w14:paraId="7AEEAABD" w14:textId="77777777">
                    <w:trPr>
                      <w:trHeight w:val="182"/>
                    </w:trPr>
                    <w:tc>
                      <w:tcPr>
                        <w:tcW w:w="2189" w:type="dxa"/>
                        <w:vMerge w:val="restart"/>
                        <w:shd w:val="clear" w:color="auto" w:fill="FCE4D6"/>
                      </w:tcPr>
                      <w:p w14:paraId="2DBBA78B" w14:textId="77777777" w:rsidR="00F65BCA" w:rsidRDefault="00F65BCA">
                        <w:pPr>
                          <w:pStyle w:val="TableParagraph"/>
                          <w:rPr>
                            <w:rFonts w:ascii="Calibri"/>
                            <w:sz w:val="7"/>
                          </w:rPr>
                        </w:pPr>
                      </w:p>
                      <w:p w14:paraId="131759CA" w14:textId="77777777" w:rsidR="00F65BCA" w:rsidRDefault="00216117">
                        <w:pPr>
                          <w:pStyle w:val="TableParagraph"/>
                          <w:spacing w:line="276" w:lineRule="auto"/>
                          <w:ind w:left="294" w:hanging="176"/>
                          <w:rPr>
                            <w:sz w:val="8"/>
                          </w:rPr>
                        </w:pPr>
                        <w:r>
                          <w:rPr>
                            <w:sz w:val="8"/>
                          </w:rPr>
                          <w:t>nákladní automobil nad 3,5 t; speciální automobil; tahač návěsů; autobus; autobus pro MHD; trolejbus</w:t>
                        </w:r>
                      </w:p>
                    </w:tc>
                    <w:tc>
                      <w:tcPr>
                        <w:tcW w:w="915" w:type="dxa"/>
                        <w:shd w:val="clear" w:color="auto" w:fill="FCE4D6"/>
                      </w:tcPr>
                      <w:p w14:paraId="01DC4924" w14:textId="77777777" w:rsidR="00F65BCA" w:rsidRDefault="00216117">
                        <w:pPr>
                          <w:pStyle w:val="TableParagraph"/>
                          <w:spacing w:before="47"/>
                          <w:ind w:left="91" w:right="74"/>
                          <w:jc w:val="center"/>
                          <w:rPr>
                            <w:sz w:val="8"/>
                          </w:rPr>
                        </w:pPr>
                        <w:r>
                          <w:rPr>
                            <w:sz w:val="8"/>
                          </w:rPr>
                          <w:t>0-3500 kg</w:t>
                        </w:r>
                      </w:p>
                    </w:tc>
                  </w:tr>
                  <w:tr w:rsidR="00F65BCA" w14:paraId="73E3BB3A" w14:textId="77777777">
                    <w:trPr>
                      <w:trHeight w:val="182"/>
                    </w:trPr>
                    <w:tc>
                      <w:tcPr>
                        <w:tcW w:w="2189" w:type="dxa"/>
                        <w:vMerge/>
                        <w:tcBorders>
                          <w:top w:val="nil"/>
                        </w:tcBorders>
                        <w:shd w:val="clear" w:color="auto" w:fill="FCE4D6"/>
                      </w:tcPr>
                      <w:p w14:paraId="31190B80" w14:textId="77777777" w:rsidR="00F65BCA" w:rsidRDefault="00F65BCA">
                        <w:pPr>
                          <w:rPr>
                            <w:sz w:val="2"/>
                            <w:szCs w:val="2"/>
                          </w:rPr>
                        </w:pPr>
                      </w:p>
                    </w:tc>
                    <w:tc>
                      <w:tcPr>
                        <w:tcW w:w="915" w:type="dxa"/>
                        <w:shd w:val="clear" w:color="auto" w:fill="FCE4D6"/>
                      </w:tcPr>
                      <w:p w14:paraId="28DAFB34" w14:textId="77777777" w:rsidR="00F65BCA" w:rsidRDefault="00216117">
                        <w:pPr>
                          <w:pStyle w:val="TableParagraph"/>
                          <w:spacing w:before="47"/>
                          <w:ind w:left="91" w:right="74"/>
                          <w:jc w:val="center"/>
                          <w:rPr>
                            <w:sz w:val="8"/>
                          </w:rPr>
                        </w:pPr>
                        <w:r>
                          <w:rPr>
                            <w:sz w:val="8"/>
                          </w:rPr>
                          <w:t>&gt;3500 kg</w:t>
                        </w:r>
                      </w:p>
                    </w:tc>
                  </w:tr>
                </w:tbl>
                <w:p w14:paraId="029288E6" w14:textId="77777777" w:rsidR="00F65BCA" w:rsidRDefault="00F65BCA">
                  <w:pPr>
                    <w:pStyle w:val="Zkladntext"/>
                  </w:pPr>
                </w:p>
              </w:txbxContent>
            </v:textbox>
            <w10:anchorlock/>
          </v:shape>
        </w:pict>
      </w:r>
      <w:r w:rsidR="00216117">
        <w:rPr>
          <w:rFonts w:ascii="Times New Roman"/>
          <w:spacing w:val="82"/>
        </w:rPr>
        <w:t xml:space="preserve"> </w:t>
      </w:r>
      <w:r>
        <w:rPr>
          <w:rFonts w:ascii="Calibri"/>
          <w:spacing w:val="82"/>
        </w:rPr>
      </w:r>
      <w:r>
        <w:rPr>
          <w:rFonts w:ascii="Calibri"/>
          <w:spacing w:val="82"/>
        </w:rPr>
        <w:pict w14:anchorId="5D58F49C">
          <v:shape id="_x0000_s2590" type="#_x0000_t202" style="width:315.85pt;height:112.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645"/>
                    <w:gridCol w:w="683"/>
                    <w:gridCol w:w="664"/>
                    <w:gridCol w:w="698"/>
                    <w:gridCol w:w="626"/>
                    <w:gridCol w:w="576"/>
                    <w:gridCol w:w="576"/>
                    <w:gridCol w:w="576"/>
                    <w:gridCol w:w="576"/>
                  </w:tblGrid>
                  <w:tr w:rsidR="00F65BCA" w14:paraId="66FD9F38" w14:textId="77777777">
                    <w:trPr>
                      <w:trHeight w:val="182"/>
                    </w:trPr>
                    <w:tc>
                      <w:tcPr>
                        <w:tcW w:w="3369" w:type="dxa"/>
                        <w:gridSpan w:val="5"/>
                        <w:shd w:val="clear" w:color="auto" w:fill="F8CBAD"/>
                      </w:tcPr>
                      <w:p w14:paraId="27B3E3D3" w14:textId="77777777" w:rsidR="00F65BCA" w:rsidRDefault="00216117">
                        <w:pPr>
                          <w:pStyle w:val="TableParagraph"/>
                          <w:spacing w:before="40"/>
                          <w:ind w:left="1132"/>
                          <w:rPr>
                            <w:b/>
                            <w:sz w:val="8"/>
                          </w:rPr>
                        </w:pPr>
                        <w:r>
                          <w:rPr>
                            <w:b/>
                            <w:sz w:val="8"/>
                          </w:rPr>
                          <w:t>Stáří vozidla do 10 let včetně</w:t>
                        </w:r>
                      </w:p>
                    </w:tc>
                    <w:tc>
                      <w:tcPr>
                        <w:tcW w:w="2930" w:type="dxa"/>
                        <w:gridSpan w:val="5"/>
                        <w:shd w:val="clear" w:color="auto" w:fill="F8CBAD"/>
                      </w:tcPr>
                      <w:p w14:paraId="3B37CE99" w14:textId="77777777" w:rsidR="00F65BCA" w:rsidRDefault="00216117">
                        <w:pPr>
                          <w:pStyle w:val="TableParagraph"/>
                          <w:spacing w:before="40"/>
                          <w:ind w:left="991"/>
                          <w:rPr>
                            <w:b/>
                            <w:sz w:val="8"/>
                          </w:rPr>
                        </w:pPr>
                        <w:r>
                          <w:rPr>
                            <w:b/>
                            <w:sz w:val="8"/>
                          </w:rPr>
                          <w:t>Stáří vozidla 11 a více let</w:t>
                        </w:r>
                      </w:p>
                    </w:tc>
                  </w:tr>
                  <w:tr w:rsidR="00F65BCA" w14:paraId="0CD87794" w14:textId="77777777">
                    <w:trPr>
                      <w:trHeight w:val="124"/>
                    </w:trPr>
                    <w:tc>
                      <w:tcPr>
                        <w:tcW w:w="679" w:type="dxa"/>
                        <w:shd w:val="clear" w:color="auto" w:fill="F8CBAD"/>
                      </w:tcPr>
                      <w:p w14:paraId="2AD206CE" w14:textId="77777777" w:rsidR="00F65BCA" w:rsidRDefault="00216117">
                        <w:pPr>
                          <w:pStyle w:val="TableParagraph"/>
                          <w:spacing w:before="16" w:line="88" w:lineRule="exact"/>
                          <w:ind w:left="311"/>
                          <w:rPr>
                            <w:b/>
                            <w:sz w:val="8"/>
                          </w:rPr>
                        </w:pPr>
                        <w:r>
                          <w:rPr>
                            <w:b/>
                            <w:w w:val="101"/>
                            <w:sz w:val="8"/>
                          </w:rPr>
                          <w:t>S</w:t>
                        </w:r>
                      </w:p>
                    </w:tc>
                    <w:tc>
                      <w:tcPr>
                        <w:tcW w:w="645" w:type="dxa"/>
                        <w:shd w:val="clear" w:color="auto" w:fill="F8CBAD"/>
                      </w:tcPr>
                      <w:p w14:paraId="565BD00C" w14:textId="77777777" w:rsidR="00F65BCA" w:rsidRDefault="00216117">
                        <w:pPr>
                          <w:pStyle w:val="TableParagraph"/>
                          <w:spacing w:before="16" w:line="88" w:lineRule="exact"/>
                          <w:ind w:left="8"/>
                          <w:jc w:val="center"/>
                          <w:rPr>
                            <w:b/>
                            <w:sz w:val="8"/>
                          </w:rPr>
                        </w:pPr>
                        <w:r>
                          <w:rPr>
                            <w:b/>
                            <w:w w:val="101"/>
                            <w:sz w:val="8"/>
                          </w:rPr>
                          <w:t>M</w:t>
                        </w:r>
                      </w:p>
                    </w:tc>
                    <w:tc>
                      <w:tcPr>
                        <w:tcW w:w="683" w:type="dxa"/>
                        <w:shd w:val="clear" w:color="auto" w:fill="F8CBAD"/>
                      </w:tcPr>
                      <w:p w14:paraId="1B493394" w14:textId="77777777" w:rsidR="00F65BCA" w:rsidRDefault="00216117">
                        <w:pPr>
                          <w:pStyle w:val="TableParagraph"/>
                          <w:spacing w:before="16" w:line="88" w:lineRule="exact"/>
                          <w:ind w:right="303"/>
                          <w:jc w:val="right"/>
                          <w:rPr>
                            <w:b/>
                            <w:sz w:val="8"/>
                          </w:rPr>
                        </w:pPr>
                        <w:r>
                          <w:rPr>
                            <w:b/>
                            <w:w w:val="101"/>
                            <w:sz w:val="8"/>
                          </w:rPr>
                          <w:t>L</w:t>
                        </w:r>
                      </w:p>
                    </w:tc>
                    <w:tc>
                      <w:tcPr>
                        <w:tcW w:w="664" w:type="dxa"/>
                        <w:shd w:val="clear" w:color="auto" w:fill="F8CBAD"/>
                      </w:tcPr>
                      <w:p w14:paraId="624C78B9" w14:textId="77777777" w:rsidR="00F65BCA" w:rsidRDefault="00216117">
                        <w:pPr>
                          <w:pStyle w:val="TableParagraph"/>
                          <w:spacing w:before="16" w:line="88" w:lineRule="exact"/>
                          <w:ind w:left="222" w:right="207"/>
                          <w:jc w:val="center"/>
                          <w:rPr>
                            <w:b/>
                            <w:sz w:val="8"/>
                          </w:rPr>
                        </w:pPr>
                        <w:r>
                          <w:rPr>
                            <w:b/>
                            <w:sz w:val="8"/>
                          </w:rPr>
                          <w:t>XL</w:t>
                        </w:r>
                      </w:p>
                    </w:tc>
                    <w:tc>
                      <w:tcPr>
                        <w:tcW w:w="698" w:type="dxa"/>
                        <w:shd w:val="clear" w:color="auto" w:fill="F8CBAD"/>
                      </w:tcPr>
                      <w:p w14:paraId="2AC047BF" w14:textId="77777777" w:rsidR="00F65BCA" w:rsidRDefault="00216117">
                        <w:pPr>
                          <w:pStyle w:val="TableParagraph"/>
                          <w:spacing w:before="16" w:line="88" w:lineRule="exact"/>
                          <w:ind w:left="150" w:right="133"/>
                          <w:jc w:val="center"/>
                          <w:rPr>
                            <w:b/>
                            <w:sz w:val="8"/>
                          </w:rPr>
                        </w:pPr>
                        <w:r>
                          <w:rPr>
                            <w:b/>
                            <w:sz w:val="8"/>
                          </w:rPr>
                          <w:t>Souprava</w:t>
                        </w:r>
                      </w:p>
                    </w:tc>
                    <w:tc>
                      <w:tcPr>
                        <w:tcW w:w="626" w:type="dxa"/>
                        <w:shd w:val="clear" w:color="auto" w:fill="F8CBAD"/>
                      </w:tcPr>
                      <w:p w14:paraId="2D8D2B80" w14:textId="77777777" w:rsidR="00F65BCA" w:rsidRDefault="00216117">
                        <w:pPr>
                          <w:pStyle w:val="TableParagraph"/>
                          <w:spacing w:before="16" w:line="88" w:lineRule="exact"/>
                          <w:ind w:left="288"/>
                          <w:rPr>
                            <w:b/>
                            <w:sz w:val="8"/>
                          </w:rPr>
                        </w:pPr>
                        <w:r>
                          <w:rPr>
                            <w:b/>
                            <w:w w:val="101"/>
                            <w:sz w:val="8"/>
                          </w:rPr>
                          <w:t>S</w:t>
                        </w:r>
                      </w:p>
                    </w:tc>
                    <w:tc>
                      <w:tcPr>
                        <w:tcW w:w="576" w:type="dxa"/>
                        <w:shd w:val="clear" w:color="auto" w:fill="F8CBAD"/>
                      </w:tcPr>
                      <w:p w14:paraId="1BCAA16C" w14:textId="77777777" w:rsidR="00F65BCA" w:rsidRDefault="00216117">
                        <w:pPr>
                          <w:pStyle w:val="TableParagraph"/>
                          <w:spacing w:before="16" w:line="88" w:lineRule="exact"/>
                          <w:ind w:left="257"/>
                          <w:rPr>
                            <w:b/>
                            <w:sz w:val="8"/>
                          </w:rPr>
                        </w:pPr>
                        <w:r>
                          <w:rPr>
                            <w:b/>
                            <w:w w:val="101"/>
                            <w:sz w:val="8"/>
                          </w:rPr>
                          <w:t>M</w:t>
                        </w:r>
                      </w:p>
                    </w:tc>
                    <w:tc>
                      <w:tcPr>
                        <w:tcW w:w="576" w:type="dxa"/>
                        <w:shd w:val="clear" w:color="auto" w:fill="F8CBAD"/>
                      </w:tcPr>
                      <w:p w14:paraId="479F707E" w14:textId="77777777" w:rsidR="00F65BCA" w:rsidRDefault="00216117">
                        <w:pPr>
                          <w:pStyle w:val="TableParagraph"/>
                          <w:spacing w:before="16" w:line="88" w:lineRule="exact"/>
                          <w:ind w:right="247"/>
                          <w:jc w:val="right"/>
                          <w:rPr>
                            <w:b/>
                            <w:sz w:val="8"/>
                          </w:rPr>
                        </w:pPr>
                        <w:r>
                          <w:rPr>
                            <w:b/>
                            <w:w w:val="101"/>
                            <w:sz w:val="8"/>
                          </w:rPr>
                          <w:t>L</w:t>
                        </w:r>
                      </w:p>
                    </w:tc>
                    <w:tc>
                      <w:tcPr>
                        <w:tcW w:w="576" w:type="dxa"/>
                        <w:shd w:val="clear" w:color="auto" w:fill="F8CBAD"/>
                      </w:tcPr>
                      <w:p w14:paraId="4AAB7DD2" w14:textId="77777777" w:rsidR="00F65BCA" w:rsidRDefault="00216117">
                        <w:pPr>
                          <w:pStyle w:val="TableParagraph"/>
                          <w:spacing w:before="16" w:line="88" w:lineRule="exact"/>
                          <w:ind w:left="238"/>
                          <w:rPr>
                            <w:b/>
                            <w:sz w:val="8"/>
                          </w:rPr>
                        </w:pPr>
                        <w:r>
                          <w:rPr>
                            <w:b/>
                            <w:sz w:val="8"/>
                          </w:rPr>
                          <w:t>XL</w:t>
                        </w:r>
                      </w:p>
                    </w:tc>
                    <w:tc>
                      <w:tcPr>
                        <w:tcW w:w="576" w:type="dxa"/>
                        <w:shd w:val="clear" w:color="auto" w:fill="F8CBAD"/>
                      </w:tcPr>
                      <w:p w14:paraId="3006B848" w14:textId="77777777" w:rsidR="00F65BCA" w:rsidRDefault="00216117">
                        <w:pPr>
                          <w:pStyle w:val="TableParagraph"/>
                          <w:spacing w:before="16" w:line="88" w:lineRule="exact"/>
                          <w:ind w:left="88" w:right="72"/>
                          <w:jc w:val="center"/>
                          <w:rPr>
                            <w:b/>
                            <w:sz w:val="8"/>
                          </w:rPr>
                        </w:pPr>
                        <w:r>
                          <w:rPr>
                            <w:b/>
                            <w:sz w:val="8"/>
                          </w:rPr>
                          <w:t>Souprava</w:t>
                        </w:r>
                      </w:p>
                    </w:tc>
                  </w:tr>
                  <w:tr w:rsidR="00F65BCA" w14:paraId="4E763E7D" w14:textId="77777777">
                    <w:trPr>
                      <w:trHeight w:val="182"/>
                    </w:trPr>
                    <w:tc>
                      <w:tcPr>
                        <w:tcW w:w="679" w:type="dxa"/>
                      </w:tcPr>
                      <w:p w14:paraId="67701EF0" w14:textId="77777777" w:rsidR="00F65BCA" w:rsidRDefault="00216117">
                        <w:pPr>
                          <w:pStyle w:val="TableParagraph"/>
                          <w:spacing w:before="47"/>
                          <w:ind w:left="321"/>
                          <w:rPr>
                            <w:sz w:val="8"/>
                          </w:rPr>
                        </w:pPr>
                        <w:r>
                          <w:rPr>
                            <w:w w:val="101"/>
                            <w:sz w:val="8"/>
                          </w:rPr>
                          <w:t>0</w:t>
                        </w:r>
                      </w:p>
                    </w:tc>
                    <w:tc>
                      <w:tcPr>
                        <w:tcW w:w="645" w:type="dxa"/>
                      </w:tcPr>
                      <w:p w14:paraId="535FC38A" w14:textId="77777777" w:rsidR="00F65BCA" w:rsidRDefault="00216117">
                        <w:pPr>
                          <w:pStyle w:val="TableParagraph"/>
                          <w:spacing w:before="47"/>
                          <w:ind w:left="217" w:right="197"/>
                          <w:jc w:val="center"/>
                          <w:rPr>
                            <w:sz w:val="8"/>
                          </w:rPr>
                        </w:pPr>
                        <w:r>
                          <w:rPr>
                            <w:sz w:val="8"/>
                          </w:rPr>
                          <w:t>156</w:t>
                        </w:r>
                      </w:p>
                    </w:tc>
                    <w:tc>
                      <w:tcPr>
                        <w:tcW w:w="683" w:type="dxa"/>
                      </w:tcPr>
                      <w:p w14:paraId="1BDD639F" w14:textId="77777777" w:rsidR="00F65BCA" w:rsidRDefault="00216117">
                        <w:pPr>
                          <w:pStyle w:val="TableParagraph"/>
                          <w:spacing w:before="47"/>
                          <w:ind w:right="255"/>
                          <w:jc w:val="right"/>
                          <w:rPr>
                            <w:sz w:val="8"/>
                          </w:rPr>
                        </w:pPr>
                        <w:r>
                          <w:rPr>
                            <w:sz w:val="8"/>
                          </w:rPr>
                          <w:t>348</w:t>
                        </w:r>
                      </w:p>
                    </w:tc>
                    <w:tc>
                      <w:tcPr>
                        <w:tcW w:w="664" w:type="dxa"/>
                      </w:tcPr>
                      <w:p w14:paraId="1743801D" w14:textId="77777777" w:rsidR="00F65BCA" w:rsidRDefault="00216117">
                        <w:pPr>
                          <w:pStyle w:val="TableParagraph"/>
                          <w:spacing w:before="47"/>
                          <w:ind w:left="228" w:right="205"/>
                          <w:jc w:val="center"/>
                          <w:rPr>
                            <w:sz w:val="8"/>
                          </w:rPr>
                        </w:pPr>
                        <w:r>
                          <w:rPr>
                            <w:sz w:val="8"/>
                          </w:rPr>
                          <w:t>420</w:t>
                        </w:r>
                      </w:p>
                    </w:tc>
                    <w:tc>
                      <w:tcPr>
                        <w:tcW w:w="698" w:type="dxa"/>
                      </w:tcPr>
                      <w:p w14:paraId="1396989A" w14:textId="77777777" w:rsidR="00F65BCA" w:rsidRDefault="00216117">
                        <w:pPr>
                          <w:pStyle w:val="TableParagraph"/>
                          <w:spacing w:before="47"/>
                          <w:ind w:left="150" w:right="128"/>
                          <w:jc w:val="center"/>
                          <w:rPr>
                            <w:sz w:val="8"/>
                          </w:rPr>
                        </w:pPr>
                        <w:r>
                          <w:rPr>
                            <w:sz w:val="8"/>
                          </w:rPr>
                          <w:t>9756</w:t>
                        </w:r>
                      </w:p>
                    </w:tc>
                    <w:tc>
                      <w:tcPr>
                        <w:tcW w:w="626" w:type="dxa"/>
                      </w:tcPr>
                      <w:p w14:paraId="13690B0A" w14:textId="77777777" w:rsidR="00F65BCA" w:rsidRDefault="00216117">
                        <w:pPr>
                          <w:pStyle w:val="TableParagraph"/>
                          <w:spacing w:before="47"/>
                          <w:ind w:left="298"/>
                          <w:rPr>
                            <w:sz w:val="8"/>
                          </w:rPr>
                        </w:pPr>
                        <w:r>
                          <w:rPr>
                            <w:w w:val="101"/>
                            <w:sz w:val="8"/>
                          </w:rPr>
                          <w:t>0</w:t>
                        </w:r>
                      </w:p>
                    </w:tc>
                    <w:tc>
                      <w:tcPr>
                        <w:tcW w:w="576" w:type="dxa"/>
                      </w:tcPr>
                      <w:p w14:paraId="3FD92FDC" w14:textId="77777777" w:rsidR="00F65BCA" w:rsidRDefault="00216117">
                        <w:pPr>
                          <w:pStyle w:val="TableParagraph"/>
                          <w:spacing w:before="47"/>
                          <w:ind w:left="226"/>
                          <w:rPr>
                            <w:sz w:val="8"/>
                          </w:rPr>
                        </w:pPr>
                        <w:r>
                          <w:rPr>
                            <w:sz w:val="8"/>
                          </w:rPr>
                          <w:t>168</w:t>
                        </w:r>
                      </w:p>
                    </w:tc>
                    <w:tc>
                      <w:tcPr>
                        <w:tcW w:w="576" w:type="dxa"/>
                      </w:tcPr>
                      <w:p w14:paraId="0A0DF1BA" w14:textId="77777777" w:rsidR="00F65BCA" w:rsidRDefault="00216117">
                        <w:pPr>
                          <w:pStyle w:val="TableParagraph"/>
                          <w:spacing w:before="47"/>
                          <w:ind w:right="200"/>
                          <w:jc w:val="right"/>
                          <w:rPr>
                            <w:sz w:val="8"/>
                          </w:rPr>
                        </w:pPr>
                        <w:r>
                          <w:rPr>
                            <w:sz w:val="8"/>
                          </w:rPr>
                          <w:t>384</w:t>
                        </w:r>
                      </w:p>
                    </w:tc>
                    <w:tc>
                      <w:tcPr>
                        <w:tcW w:w="576" w:type="dxa"/>
                      </w:tcPr>
                      <w:p w14:paraId="53FF2823" w14:textId="77777777" w:rsidR="00F65BCA" w:rsidRDefault="00216117">
                        <w:pPr>
                          <w:pStyle w:val="TableParagraph"/>
                          <w:spacing w:before="47"/>
                          <w:ind w:left="226"/>
                          <w:rPr>
                            <w:sz w:val="8"/>
                          </w:rPr>
                        </w:pPr>
                        <w:r>
                          <w:rPr>
                            <w:sz w:val="8"/>
                          </w:rPr>
                          <w:t>468</w:t>
                        </w:r>
                      </w:p>
                    </w:tc>
                    <w:tc>
                      <w:tcPr>
                        <w:tcW w:w="576" w:type="dxa"/>
                      </w:tcPr>
                      <w:p w14:paraId="7EB3B00F" w14:textId="77777777" w:rsidR="00F65BCA" w:rsidRDefault="00216117">
                        <w:pPr>
                          <w:pStyle w:val="TableParagraph"/>
                          <w:spacing w:before="47"/>
                          <w:ind w:left="88" w:right="64"/>
                          <w:jc w:val="center"/>
                          <w:rPr>
                            <w:sz w:val="8"/>
                          </w:rPr>
                        </w:pPr>
                        <w:r>
                          <w:rPr>
                            <w:sz w:val="8"/>
                          </w:rPr>
                          <w:t>10728</w:t>
                        </w:r>
                      </w:p>
                    </w:tc>
                  </w:tr>
                  <w:tr w:rsidR="00F65BCA" w14:paraId="5FD14942" w14:textId="77777777">
                    <w:trPr>
                      <w:trHeight w:val="182"/>
                    </w:trPr>
                    <w:tc>
                      <w:tcPr>
                        <w:tcW w:w="679" w:type="dxa"/>
                      </w:tcPr>
                      <w:p w14:paraId="294811CF" w14:textId="77777777" w:rsidR="00F65BCA" w:rsidRDefault="00216117">
                        <w:pPr>
                          <w:pStyle w:val="TableParagraph"/>
                          <w:spacing w:before="47"/>
                          <w:ind w:left="321"/>
                          <w:rPr>
                            <w:sz w:val="8"/>
                          </w:rPr>
                        </w:pPr>
                        <w:r>
                          <w:rPr>
                            <w:w w:val="101"/>
                            <w:sz w:val="8"/>
                          </w:rPr>
                          <w:t>0</w:t>
                        </w:r>
                      </w:p>
                    </w:tc>
                    <w:tc>
                      <w:tcPr>
                        <w:tcW w:w="645" w:type="dxa"/>
                      </w:tcPr>
                      <w:p w14:paraId="4CE00837" w14:textId="77777777" w:rsidR="00F65BCA" w:rsidRDefault="00216117">
                        <w:pPr>
                          <w:pStyle w:val="TableParagraph"/>
                          <w:spacing w:before="47"/>
                          <w:ind w:left="217" w:right="197"/>
                          <w:jc w:val="center"/>
                          <w:rPr>
                            <w:sz w:val="8"/>
                          </w:rPr>
                        </w:pPr>
                        <w:r>
                          <w:rPr>
                            <w:sz w:val="8"/>
                          </w:rPr>
                          <w:t>204</w:t>
                        </w:r>
                      </w:p>
                    </w:tc>
                    <w:tc>
                      <w:tcPr>
                        <w:tcW w:w="683" w:type="dxa"/>
                      </w:tcPr>
                      <w:p w14:paraId="49A813E6" w14:textId="77777777" w:rsidR="00F65BCA" w:rsidRDefault="00216117">
                        <w:pPr>
                          <w:pStyle w:val="TableParagraph"/>
                          <w:spacing w:before="47"/>
                          <w:ind w:right="255"/>
                          <w:jc w:val="right"/>
                          <w:rPr>
                            <w:sz w:val="8"/>
                          </w:rPr>
                        </w:pPr>
                        <w:r>
                          <w:rPr>
                            <w:sz w:val="8"/>
                          </w:rPr>
                          <w:t>696</w:t>
                        </w:r>
                      </w:p>
                    </w:tc>
                    <w:tc>
                      <w:tcPr>
                        <w:tcW w:w="664" w:type="dxa"/>
                      </w:tcPr>
                      <w:p w14:paraId="50104A4D" w14:textId="77777777" w:rsidR="00F65BCA" w:rsidRDefault="00216117">
                        <w:pPr>
                          <w:pStyle w:val="TableParagraph"/>
                          <w:spacing w:before="47"/>
                          <w:ind w:left="228" w:right="205"/>
                          <w:jc w:val="center"/>
                          <w:rPr>
                            <w:sz w:val="8"/>
                          </w:rPr>
                        </w:pPr>
                        <w:r>
                          <w:rPr>
                            <w:sz w:val="8"/>
                          </w:rPr>
                          <w:t>600</w:t>
                        </w:r>
                      </w:p>
                    </w:tc>
                    <w:tc>
                      <w:tcPr>
                        <w:tcW w:w="698" w:type="dxa"/>
                      </w:tcPr>
                      <w:p w14:paraId="1BFF4D75" w14:textId="77777777" w:rsidR="00F65BCA" w:rsidRDefault="00216117">
                        <w:pPr>
                          <w:pStyle w:val="TableParagraph"/>
                          <w:spacing w:before="47"/>
                          <w:ind w:left="150" w:right="128"/>
                          <w:jc w:val="center"/>
                          <w:rPr>
                            <w:sz w:val="8"/>
                          </w:rPr>
                        </w:pPr>
                        <w:r>
                          <w:rPr>
                            <w:sz w:val="8"/>
                          </w:rPr>
                          <w:t>9600</w:t>
                        </w:r>
                      </w:p>
                    </w:tc>
                    <w:tc>
                      <w:tcPr>
                        <w:tcW w:w="626" w:type="dxa"/>
                      </w:tcPr>
                      <w:p w14:paraId="2C4B410B" w14:textId="77777777" w:rsidR="00F65BCA" w:rsidRDefault="00216117">
                        <w:pPr>
                          <w:pStyle w:val="TableParagraph"/>
                          <w:spacing w:before="47"/>
                          <w:ind w:left="298"/>
                          <w:rPr>
                            <w:sz w:val="8"/>
                          </w:rPr>
                        </w:pPr>
                        <w:r>
                          <w:rPr>
                            <w:w w:val="101"/>
                            <w:sz w:val="8"/>
                          </w:rPr>
                          <w:t>0</w:t>
                        </w:r>
                      </w:p>
                    </w:tc>
                    <w:tc>
                      <w:tcPr>
                        <w:tcW w:w="576" w:type="dxa"/>
                      </w:tcPr>
                      <w:p w14:paraId="5E0B1E08" w14:textId="77777777" w:rsidR="00F65BCA" w:rsidRDefault="00216117">
                        <w:pPr>
                          <w:pStyle w:val="TableParagraph"/>
                          <w:spacing w:before="47"/>
                          <w:ind w:left="226"/>
                          <w:rPr>
                            <w:sz w:val="8"/>
                          </w:rPr>
                        </w:pPr>
                        <w:r>
                          <w:rPr>
                            <w:sz w:val="8"/>
                          </w:rPr>
                          <w:t>216</w:t>
                        </w:r>
                      </w:p>
                    </w:tc>
                    <w:tc>
                      <w:tcPr>
                        <w:tcW w:w="576" w:type="dxa"/>
                      </w:tcPr>
                      <w:p w14:paraId="6B8C0D58" w14:textId="77777777" w:rsidR="00F65BCA" w:rsidRDefault="00216117">
                        <w:pPr>
                          <w:pStyle w:val="TableParagraph"/>
                          <w:spacing w:before="47"/>
                          <w:ind w:right="200"/>
                          <w:jc w:val="right"/>
                          <w:rPr>
                            <w:sz w:val="8"/>
                          </w:rPr>
                        </w:pPr>
                        <w:r>
                          <w:rPr>
                            <w:sz w:val="8"/>
                          </w:rPr>
                          <w:t>768</w:t>
                        </w:r>
                      </w:p>
                    </w:tc>
                    <w:tc>
                      <w:tcPr>
                        <w:tcW w:w="576" w:type="dxa"/>
                      </w:tcPr>
                      <w:p w14:paraId="76E8CD25" w14:textId="77777777" w:rsidR="00F65BCA" w:rsidRDefault="00216117">
                        <w:pPr>
                          <w:pStyle w:val="TableParagraph"/>
                          <w:spacing w:before="47"/>
                          <w:ind w:left="226"/>
                          <w:rPr>
                            <w:sz w:val="8"/>
                          </w:rPr>
                        </w:pPr>
                        <w:r>
                          <w:rPr>
                            <w:sz w:val="8"/>
                          </w:rPr>
                          <w:t>660</w:t>
                        </w:r>
                      </w:p>
                    </w:tc>
                    <w:tc>
                      <w:tcPr>
                        <w:tcW w:w="576" w:type="dxa"/>
                      </w:tcPr>
                      <w:p w14:paraId="5C12FF19" w14:textId="77777777" w:rsidR="00F65BCA" w:rsidRDefault="00216117">
                        <w:pPr>
                          <w:pStyle w:val="TableParagraph"/>
                          <w:spacing w:before="47"/>
                          <w:ind w:left="88" w:right="64"/>
                          <w:jc w:val="center"/>
                          <w:rPr>
                            <w:sz w:val="8"/>
                          </w:rPr>
                        </w:pPr>
                        <w:r>
                          <w:rPr>
                            <w:sz w:val="8"/>
                          </w:rPr>
                          <w:t>10560</w:t>
                        </w:r>
                      </w:p>
                    </w:tc>
                  </w:tr>
                  <w:tr w:rsidR="00F65BCA" w14:paraId="28F030BC" w14:textId="77777777">
                    <w:trPr>
                      <w:trHeight w:val="182"/>
                    </w:trPr>
                    <w:tc>
                      <w:tcPr>
                        <w:tcW w:w="679" w:type="dxa"/>
                      </w:tcPr>
                      <w:p w14:paraId="7AF44762" w14:textId="77777777" w:rsidR="00F65BCA" w:rsidRDefault="00216117">
                        <w:pPr>
                          <w:pStyle w:val="TableParagraph"/>
                          <w:spacing w:before="47"/>
                          <w:ind w:left="321"/>
                          <w:rPr>
                            <w:sz w:val="8"/>
                          </w:rPr>
                        </w:pPr>
                        <w:r>
                          <w:rPr>
                            <w:w w:val="101"/>
                            <w:sz w:val="8"/>
                          </w:rPr>
                          <w:t>0</w:t>
                        </w:r>
                      </w:p>
                    </w:tc>
                    <w:tc>
                      <w:tcPr>
                        <w:tcW w:w="645" w:type="dxa"/>
                      </w:tcPr>
                      <w:p w14:paraId="086375B6" w14:textId="77777777" w:rsidR="00F65BCA" w:rsidRDefault="00216117">
                        <w:pPr>
                          <w:pStyle w:val="TableParagraph"/>
                          <w:spacing w:before="47"/>
                          <w:ind w:left="217" w:right="197"/>
                          <w:jc w:val="center"/>
                          <w:rPr>
                            <w:sz w:val="8"/>
                          </w:rPr>
                        </w:pPr>
                        <w:r>
                          <w:rPr>
                            <w:sz w:val="8"/>
                          </w:rPr>
                          <w:t>504</w:t>
                        </w:r>
                      </w:p>
                    </w:tc>
                    <w:tc>
                      <w:tcPr>
                        <w:tcW w:w="683" w:type="dxa"/>
                      </w:tcPr>
                      <w:p w14:paraId="6AA78B60" w14:textId="77777777" w:rsidR="00F65BCA" w:rsidRDefault="00216117">
                        <w:pPr>
                          <w:pStyle w:val="TableParagraph"/>
                          <w:spacing w:before="47"/>
                          <w:ind w:right="233"/>
                          <w:jc w:val="right"/>
                          <w:rPr>
                            <w:sz w:val="8"/>
                          </w:rPr>
                        </w:pPr>
                        <w:r>
                          <w:rPr>
                            <w:sz w:val="8"/>
                          </w:rPr>
                          <w:t>3396</w:t>
                        </w:r>
                      </w:p>
                    </w:tc>
                    <w:tc>
                      <w:tcPr>
                        <w:tcW w:w="664" w:type="dxa"/>
                      </w:tcPr>
                      <w:p w14:paraId="389ACDEC" w14:textId="77777777" w:rsidR="00F65BCA" w:rsidRDefault="00216117">
                        <w:pPr>
                          <w:pStyle w:val="TableParagraph"/>
                          <w:spacing w:before="47"/>
                          <w:ind w:left="228" w:right="207"/>
                          <w:jc w:val="center"/>
                          <w:rPr>
                            <w:sz w:val="8"/>
                          </w:rPr>
                        </w:pPr>
                        <w:r>
                          <w:rPr>
                            <w:sz w:val="8"/>
                          </w:rPr>
                          <w:t>2196</w:t>
                        </w:r>
                      </w:p>
                    </w:tc>
                    <w:tc>
                      <w:tcPr>
                        <w:tcW w:w="698" w:type="dxa"/>
                      </w:tcPr>
                      <w:p w14:paraId="25DAADBA" w14:textId="77777777" w:rsidR="00F65BCA" w:rsidRDefault="00216117">
                        <w:pPr>
                          <w:pStyle w:val="TableParagraph"/>
                          <w:spacing w:before="47"/>
                          <w:ind w:left="150" w:right="128"/>
                          <w:jc w:val="center"/>
                          <w:rPr>
                            <w:sz w:val="8"/>
                          </w:rPr>
                        </w:pPr>
                        <w:r>
                          <w:rPr>
                            <w:sz w:val="8"/>
                          </w:rPr>
                          <w:t>9396</w:t>
                        </w:r>
                      </w:p>
                    </w:tc>
                    <w:tc>
                      <w:tcPr>
                        <w:tcW w:w="626" w:type="dxa"/>
                      </w:tcPr>
                      <w:p w14:paraId="51478DFD" w14:textId="77777777" w:rsidR="00F65BCA" w:rsidRDefault="00216117">
                        <w:pPr>
                          <w:pStyle w:val="TableParagraph"/>
                          <w:spacing w:before="47"/>
                          <w:ind w:left="298"/>
                          <w:rPr>
                            <w:sz w:val="8"/>
                          </w:rPr>
                        </w:pPr>
                        <w:r>
                          <w:rPr>
                            <w:w w:val="101"/>
                            <w:sz w:val="8"/>
                          </w:rPr>
                          <w:t>0</w:t>
                        </w:r>
                      </w:p>
                    </w:tc>
                    <w:tc>
                      <w:tcPr>
                        <w:tcW w:w="576" w:type="dxa"/>
                      </w:tcPr>
                      <w:p w14:paraId="411EFF72" w14:textId="77777777" w:rsidR="00F65BCA" w:rsidRDefault="00216117">
                        <w:pPr>
                          <w:pStyle w:val="TableParagraph"/>
                          <w:spacing w:before="47"/>
                          <w:ind w:left="226"/>
                          <w:rPr>
                            <w:sz w:val="8"/>
                          </w:rPr>
                        </w:pPr>
                        <w:r>
                          <w:rPr>
                            <w:sz w:val="8"/>
                          </w:rPr>
                          <w:t>552</w:t>
                        </w:r>
                      </w:p>
                    </w:tc>
                    <w:tc>
                      <w:tcPr>
                        <w:tcW w:w="576" w:type="dxa"/>
                      </w:tcPr>
                      <w:p w14:paraId="5D3A9EC4" w14:textId="77777777" w:rsidR="00F65BCA" w:rsidRDefault="00216117">
                        <w:pPr>
                          <w:pStyle w:val="TableParagraph"/>
                          <w:spacing w:before="47"/>
                          <w:ind w:right="176"/>
                          <w:jc w:val="right"/>
                          <w:rPr>
                            <w:sz w:val="8"/>
                          </w:rPr>
                        </w:pPr>
                        <w:r>
                          <w:rPr>
                            <w:sz w:val="8"/>
                          </w:rPr>
                          <w:t>3744</w:t>
                        </w:r>
                      </w:p>
                    </w:tc>
                    <w:tc>
                      <w:tcPr>
                        <w:tcW w:w="576" w:type="dxa"/>
                      </w:tcPr>
                      <w:p w14:paraId="2CE9A3B0" w14:textId="77777777" w:rsidR="00F65BCA" w:rsidRDefault="00216117">
                        <w:pPr>
                          <w:pStyle w:val="TableParagraph"/>
                          <w:spacing w:before="47"/>
                          <w:ind w:left="205"/>
                          <w:rPr>
                            <w:sz w:val="8"/>
                          </w:rPr>
                        </w:pPr>
                        <w:r>
                          <w:rPr>
                            <w:sz w:val="8"/>
                          </w:rPr>
                          <w:t>2424</w:t>
                        </w:r>
                      </w:p>
                    </w:tc>
                    <w:tc>
                      <w:tcPr>
                        <w:tcW w:w="576" w:type="dxa"/>
                      </w:tcPr>
                      <w:p w14:paraId="1A3972A7" w14:textId="77777777" w:rsidR="00F65BCA" w:rsidRDefault="00216117">
                        <w:pPr>
                          <w:pStyle w:val="TableParagraph"/>
                          <w:spacing w:before="47"/>
                          <w:ind w:left="88" w:right="64"/>
                          <w:jc w:val="center"/>
                          <w:rPr>
                            <w:sz w:val="8"/>
                          </w:rPr>
                        </w:pPr>
                        <w:r>
                          <w:rPr>
                            <w:sz w:val="8"/>
                          </w:rPr>
                          <w:t>10344</w:t>
                        </w:r>
                      </w:p>
                    </w:tc>
                  </w:tr>
                  <w:tr w:rsidR="00F65BCA" w14:paraId="088A655F" w14:textId="77777777">
                    <w:trPr>
                      <w:trHeight w:val="182"/>
                    </w:trPr>
                    <w:tc>
                      <w:tcPr>
                        <w:tcW w:w="679" w:type="dxa"/>
                      </w:tcPr>
                      <w:p w14:paraId="218A5B64" w14:textId="77777777" w:rsidR="00F65BCA" w:rsidRDefault="00216117">
                        <w:pPr>
                          <w:pStyle w:val="TableParagraph"/>
                          <w:spacing w:before="47"/>
                          <w:ind w:left="321"/>
                          <w:rPr>
                            <w:sz w:val="8"/>
                          </w:rPr>
                        </w:pPr>
                        <w:r>
                          <w:rPr>
                            <w:w w:val="101"/>
                            <w:sz w:val="8"/>
                          </w:rPr>
                          <w:t>0</w:t>
                        </w:r>
                      </w:p>
                    </w:tc>
                    <w:tc>
                      <w:tcPr>
                        <w:tcW w:w="645" w:type="dxa"/>
                      </w:tcPr>
                      <w:p w14:paraId="53E0BC8E" w14:textId="77777777" w:rsidR="00F65BCA" w:rsidRDefault="00216117">
                        <w:pPr>
                          <w:pStyle w:val="TableParagraph"/>
                          <w:spacing w:before="47"/>
                          <w:ind w:left="217" w:right="197"/>
                          <w:jc w:val="center"/>
                          <w:rPr>
                            <w:sz w:val="8"/>
                          </w:rPr>
                        </w:pPr>
                        <w:r>
                          <w:rPr>
                            <w:sz w:val="8"/>
                          </w:rPr>
                          <w:t>300</w:t>
                        </w:r>
                      </w:p>
                    </w:tc>
                    <w:tc>
                      <w:tcPr>
                        <w:tcW w:w="683" w:type="dxa"/>
                      </w:tcPr>
                      <w:p w14:paraId="6FAE7A63" w14:textId="77777777" w:rsidR="00F65BCA" w:rsidRDefault="00216117">
                        <w:pPr>
                          <w:pStyle w:val="TableParagraph"/>
                          <w:spacing w:before="47"/>
                          <w:ind w:right="255"/>
                          <w:jc w:val="right"/>
                          <w:rPr>
                            <w:sz w:val="8"/>
                          </w:rPr>
                        </w:pPr>
                        <w:r>
                          <w:rPr>
                            <w:sz w:val="8"/>
                          </w:rPr>
                          <w:t>900</w:t>
                        </w:r>
                      </w:p>
                    </w:tc>
                    <w:tc>
                      <w:tcPr>
                        <w:tcW w:w="664" w:type="dxa"/>
                      </w:tcPr>
                      <w:p w14:paraId="139A09E6" w14:textId="77777777" w:rsidR="00F65BCA" w:rsidRDefault="00216117">
                        <w:pPr>
                          <w:pStyle w:val="TableParagraph"/>
                          <w:spacing w:before="47"/>
                          <w:ind w:left="228" w:right="207"/>
                          <w:jc w:val="center"/>
                          <w:rPr>
                            <w:sz w:val="8"/>
                          </w:rPr>
                        </w:pPr>
                        <w:r>
                          <w:rPr>
                            <w:sz w:val="8"/>
                          </w:rPr>
                          <w:t>1356</w:t>
                        </w:r>
                      </w:p>
                    </w:tc>
                    <w:tc>
                      <w:tcPr>
                        <w:tcW w:w="698" w:type="dxa"/>
                      </w:tcPr>
                      <w:p w14:paraId="177A7F9E" w14:textId="77777777" w:rsidR="00F65BCA" w:rsidRDefault="00216117">
                        <w:pPr>
                          <w:pStyle w:val="TableParagraph"/>
                          <w:spacing w:before="47"/>
                          <w:ind w:left="150" w:right="128"/>
                          <w:jc w:val="center"/>
                          <w:rPr>
                            <w:sz w:val="8"/>
                          </w:rPr>
                        </w:pPr>
                        <w:r>
                          <w:rPr>
                            <w:sz w:val="8"/>
                          </w:rPr>
                          <w:t>3204</w:t>
                        </w:r>
                      </w:p>
                    </w:tc>
                    <w:tc>
                      <w:tcPr>
                        <w:tcW w:w="626" w:type="dxa"/>
                      </w:tcPr>
                      <w:p w14:paraId="517E99AD" w14:textId="77777777" w:rsidR="00F65BCA" w:rsidRDefault="00216117">
                        <w:pPr>
                          <w:pStyle w:val="TableParagraph"/>
                          <w:spacing w:before="47"/>
                          <w:ind w:left="298"/>
                          <w:rPr>
                            <w:sz w:val="8"/>
                          </w:rPr>
                        </w:pPr>
                        <w:r>
                          <w:rPr>
                            <w:w w:val="101"/>
                            <w:sz w:val="8"/>
                          </w:rPr>
                          <w:t>0</w:t>
                        </w:r>
                      </w:p>
                    </w:tc>
                    <w:tc>
                      <w:tcPr>
                        <w:tcW w:w="576" w:type="dxa"/>
                      </w:tcPr>
                      <w:p w14:paraId="00DA746B" w14:textId="77777777" w:rsidR="00F65BCA" w:rsidRDefault="00216117">
                        <w:pPr>
                          <w:pStyle w:val="TableParagraph"/>
                          <w:spacing w:before="47"/>
                          <w:ind w:left="226"/>
                          <w:rPr>
                            <w:sz w:val="8"/>
                          </w:rPr>
                        </w:pPr>
                        <w:r>
                          <w:rPr>
                            <w:sz w:val="8"/>
                          </w:rPr>
                          <w:t>336</w:t>
                        </w:r>
                      </w:p>
                    </w:tc>
                    <w:tc>
                      <w:tcPr>
                        <w:tcW w:w="576" w:type="dxa"/>
                      </w:tcPr>
                      <w:p w14:paraId="57B0D5EE" w14:textId="77777777" w:rsidR="00F65BCA" w:rsidRDefault="00216117">
                        <w:pPr>
                          <w:pStyle w:val="TableParagraph"/>
                          <w:spacing w:before="47"/>
                          <w:ind w:right="200"/>
                          <w:jc w:val="right"/>
                          <w:rPr>
                            <w:sz w:val="8"/>
                          </w:rPr>
                        </w:pPr>
                        <w:r>
                          <w:rPr>
                            <w:sz w:val="8"/>
                          </w:rPr>
                          <w:t>996</w:t>
                        </w:r>
                      </w:p>
                    </w:tc>
                    <w:tc>
                      <w:tcPr>
                        <w:tcW w:w="576" w:type="dxa"/>
                      </w:tcPr>
                      <w:p w14:paraId="360BF9FB" w14:textId="77777777" w:rsidR="00F65BCA" w:rsidRDefault="00216117">
                        <w:pPr>
                          <w:pStyle w:val="TableParagraph"/>
                          <w:spacing w:before="47"/>
                          <w:ind w:left="205"/>
                          <w:rPr>
                            <w:sz w:val="8"/>
                          </w:rPr>
                        </w:pPr>
                        <w:r>
                          <w:rPr>
                            <w:sz w:val="8"/>
                          </w:rPr>
                          <w:t>1488</w:t>
                        </w:r>
                      </w:p>
                    </w:tc>
                    <w:tc>
                      <w:tcPr>
                        <w:tcW w:w="576" w:type="dxa"/>
                      </w:tcPr>
                      <w:p w14:paraId="0481F46B" w14:textId="77777777" w:rsidR="00F65BCA" w:rsidRDefault="00216117">
                        <w:pPr>
                          <w:pStyle w:val="TableParagraph"/>
                          <w:spacing w:before="47"/>
                          <w:ind w:left="88" w:right="62"/>
                          <w:jc w:val="center"/>
                          <w:rPr>
                            <w:sz w:val="8"/>
                          </w:rPr>
                        </w:pPr>
                        <w:r>
                          <w:rPr>
                            <w:sz w:val="8"/>
                          </w:rPr>
                          <w:t>3516</w:t>
                        </w:r>
                      </w:p>
                    </w:tc>
                  </w:tr>
                  <w:tr w:rsidR="00F65BCA" w14:paraId="1C7AD379" w14:textId="77777777">
                    <w:trPr>
                      <w:trHeight w:val="182"/>
                    </w:trPr>
                    <w:tc>
                      <w:tcPr>
                        <w:tcW w:w="679" w:type="dxa"/>
                      </w:tcPr>
                      <w:p w14:paraId="405F9F57" w14:textId="77777777" w:rsidR="00F65BCA" w:rsidRDefault="00216117">
                        <w:pPr>
                          <w:pStyle w:val="TableParagraph"/>
                          <w:spacing w:before="47"/>
                          <w:ind w:left="321"/>
                          <w:rPr>
                            <w:sz w:val="8"/>
                          </w:rPr>
                        </w:pPr>
                        <w:r>
                          <w:rPr>
                            <w:w w:val="101"/>
                            <w:sz w:val="8"/>
                          </w:rPr>
                          <w:t>0</w:t>
                        </w:r>
                      </w:p>
                    </w:tc>
                    <w:tc>
                      <w:tcPr>
                        <w:tcW w:w="645" w:type="dxa"/>
                      </w:tcPr>
                      <w:p w14:paraId="2F709E6E" w14:textId="77777777" w:rsidR="00F65BCA" w:rsidRDefault="00216117">
                        <w:pPr>
                          <w:pStyle w:val="TableParagraph"/>
                          <w:spacing w:before="47"/>
                          <w:ind w:left="217" w:right="197"/>
                          <w:jc w:val="center"/>
                          <w:rPr>
                            <w:sz w:val="8"/>
                          </w:rPr>
                        </w:pPr>
                        <w:r>
                          <w:rPr>
                            <w:sz w:val="8"/>
                          </w:rPr>
                          <w:t>396</w:t>
                        </w:r>
                      </w:p>
                    </w:tc>
                    <w:tc>
                      <w:tcPr>
                        <w:tcW w:w="683" w:type="dxa"/>
                      </w:tcPr>
                      <w:p w14:paraId="0E7AA2ED" w14:textId="77777777" w:rsidR="00F65BCA" w:rsidRDefault="00216117">
                        <w:pPr>
                          <w:pStyle w:val="TableParagraph"/>
                          <w:spacing w:before="47"/>
                          <w:ind w:right="233"/>
                          <w:jc w:val="right"/>
                          <w:rPr>
                            <w:sz w:val="8"/>
                          </w:rPr>
                        </w:pPr>
                        <w:r>
                          <w:rPr>
                            <w:sz w:val="8"/>
                          </w:rPr>
                          <w:t>1200</w:t>
                        </w:r>
                      </w:p>
                    </w:tc>
                    <w:tc>
                      <w:tcPr>
                        <w:tcW w:w="664" w:type="dxa"/>
                      </w:tcPr>
                      <w:p w14:paraId="11C92415" w14:textId="77777777" w:rsidR="00F65BCA" w:rsidRDefault="00216117">
                        <w:pPr>
                          <w:pStyle w:val="TableParagraph"/>
                          <w:spacing w:before="47"/>
                          <w:ind w:left="228" w:right="207"/>
                          <w:jc w:val="center"/>
                          <w:rPr>
                            <w:sz w:val="8"/>
                          </w:rPr>
                        </w:pPr>
                        <w:r>
                          <w:rPr>
                            <w:sz w:val="8"/>
                          </w:rPr>
                          <w:t>1404</w:t>
                        </w:r>
                      </w:p>
                    </w:tc>
                    <w:tc>
                      <w:tcPr>
                        <w:tcW w:w="698" w:type="dxa"/>
                      </w:tcPr>
                      <w:p w14:paraId="6C7A0621" w14:textId="77777777" w:rsidR="00F65BCA" w:rsidRDefault="00216117">
                        <w:pPr>
                          <w:pStyle w:val="TableParagraph"/>
                          <w:spacing w:before="47"/>
                          <w:ind w:left="150" w:right="128"/>
                          <w:jc w:val="center"/>
                          <w:rPr>
                            <w:sz w:val="8"/>
                          </w:rPr>
                        </w:pPr>
                        <w:r>
                          <w:rPr>
                            <w:sz w:val="8"/>
                          </w:rPr>
                          <w:t>3204</w:t>
                        </w:r>
                      </w:p>
                    </w:tc>
                    <w:tc>
                      <w:tcPr>
                        <w:tcW w:w="626" w:type="dxa"/>
                      </w:tcPr>
                      <w:p w14:paraId="204A0B4A" w14:textId="77777777" w:rsidR="00F65BCA" w:rsidRDefault="00216117">
                        <w:pPr>
                          <w:pStyle w:val="TableParagraph"/>
                          <w:spacing w:before="47"/>
                          <w:ind w:left="298"/>
                          <w:rPr>
                            <w:sz w:val="8"/>
                          </w:rPr>
                        </w:pPr>
                        <w:r>
                          <w:rPr>
                            <w:w w:val="101"/>
                            <w:sz w:val="8"/>
                          </w:rPr>
                          <w:t>0</w:t>
                        </w:r>
                      </w:p>
                    </w:tc>
                    <w:tc>
                      <w:tcPr>
                        <w:tcW w:w="576" w:type="dxa"/>
                      </w:tcPr>
                      <w:p w14:paraId="539FCD8E" w14:textId="77777777" w:rsidR="00F65BCA" w:rsidRDefault="00216117">
                        <w:pPr>
                          <w:pStyle w:val="TableParagraph"/>
                          <w:spacing w:before="47"/>
                          <w:ind w:left="226"/>
                          <w:rPr>
                            <w:sz w:val="8"/>
                          </w:rPr>
                        </w:pPr>
                        <w:r>
                          <w:rPr>
                            <w:sz w:val="8"/>
                          </w:rPr>
                          <w:t>444</w:t>
                        </w:r>
                      </w:p>
                    </w:tc>
                    <w:tc>
                      <w:tcPr>
                        <w:tcW w:w="576" w:type="dxa"/>
                      </w:tcPr>
                      <w:p w14:paraId="349D98DA" w14:textId="77777777" w:rsidR="00F65BCA" w:rsidRDefault="00216117">
                        <w:pPr>
                          <w:pStyle w:val="TableParagraph"/>
                          <w:spacing w:before="47"/>
                          <w:ind w:right="176"/>
                          <w:jc w:val="right"/>
                          <w:rPr>
                            <w:sz w:val="8"/>
                          </w:rPr>
                        </w:pPr>
                        <w:r>
                          <w:rPr>
                            <w:sz w:val="8"/>
                          </w:rPr>
                          <w:t>1320</w:t>
                        </w:r>
                      </w:p>
                    </w:tc>
                    <w:tc>
                      <w:tcPr>
                        <w:tcW w:w="576" w:type="dxa"/>
                      </w:tcPr>
                      <w:p w14:paraId="1CFDBBFD" w14:textId="77777777" w:rsidR="00F65BCA" w:rsidRDefault="00216117">
                        <w:pPr>
                          <w:pStyle w:val="TableParagraph"/>
                          <w:spacing w:before="47"/>
                          <w:ind w:left="205"/>
                          <w:rPr>
                            <w:sz w:val="8"/>
                          </w:rPr>
                        </w:pPr>
                        <w:r>
                          <w:rPr>
                            <w:sz w:val="8"/>
                          </w:rPr>
                          <w:t>1536</w:t>
                        </w:r>
                      </w:p>
                    </w:tc>
                    <w:tc>
                      <w:tcPr>
                        <w:tcW w:w="576" w:type="dxa"/>
                      </w:tcPr>
                      <w:p w14:paraId="4D2195C0" w14:textId="77777777" w:rsidR="00F65BCA" w:rsidRDefault="00216117">
                        <w:pPr>
                          <w:pStyle w:val="TableParagraph"/>
                          <w:spacing w:before="47"/>
                          <w:ind w:left="88" w:right="62"/>
                          <w:jc w:val="center"/>
                          <w:rPr>
                            <w:sz w:val="8"/>
                          </w:rPr>
                        </w:pPr>
                        <w:r>
                          <w:rPr>
                            <w:sz w:val="8"/>
                          </w:rPr>
                          <w:t>3516</w:t>
                        </w:r>
                      </w:p>
                    </w:tc>
                  </w:tr>
                  <w:tr w:rsidR="00F65BCA" w14:paraId="78D9E404" w14:textId="77777777">
                    <w:trPr>
                      <w:trHeight w:val="182"/>
                    </w:trPr>
                    <w:tc>
                      <w:tcPr>
                        <w:tcW w:w="679" w:type="dxa"/>
                      </w:tcPr>
                      <w:p w14:paraId="2F0F91F0" w14:textId="77777777" w:rsidR="00F65BCA" w:rsidRDefault="00216117">
                        <w:pPr>
                          <w:pStyle w:val="TableParagraph"/>
                          <w:spacing w:before="47"/>
                          <w:ind w:left="321"/>
                          <w:rPr>
                            <w:sz w:val="8"/>
                          </w:rPr>
                        </w:pPr>
                        <w:r>
                          <w:rPr>
                            <w:w w:val="101"/>
                            <w:sz w:val="8"/>
                          </w:rPr>
                          <w:t>0</w:t>
                        </w:r>
                      </w:p>
                    </w:tc>
                    <w:tc>
                      <w:tcPr>
                        <w:tcW w:w="645" w:type="dxa"/>
                      </w:tcPr>
                      <w:p w14:paraId="035E7AE2" w14:textId="77777777" w:rsidR="00F65BCA" w:rsidRDefault="00216117">
                        <w:pPr>
                          <w:pStyle w:val="TableParagraph"/>
                          <w:spacing w:before="47"/>
                          <w:ind w:left="217" w:right="197"/>
                          <w:jc w:val="center"/>
                          <w:rPr>
                            <w:sz w:val="8"/>
                          </w:rPr>
                        </w:pPr>
                        <w:r>
                          <w:rPr>
                            <w:sz w:val="8"/>
                          </w:rPr>
                          <w:t>804</w:t>
                        </w:r>
                      </w:p>
                    </w:tc>
                    <w:tc>
                      <w:tcPr>
                        <w:tcW w:w="683" w:type="dxa"/>
                      </w:tcPr>
                      <w:p w14:paraId="5A9CE9A5" w14:textId="77777777" w:rsidR="00F65BCA" w:rsidRDefault="00216117">
                        <w:pPr>
                          <w:pStyle w:val="TableParagraph"/>
                          <w:spacing w:before="47"/>
                          <w:ind w:right="233"/>
                          <w:jc w:val="right"/>
                          <w:rPr>
                            <w:sz w:val="8"/>
                          </w:rPr>
                        </w:pPr>
                        <w:r>
                          <w:rPr>
                            <w:sz w:val="8"/>
                          </w:rPr>
                          <w:t>2400</w:t>
                        </w:r>
                      </w:p>
                    </w:tc>
                    <w:tc>
                      <w:tcPr>
                        <w:tcW w:w="664" w:type="dxa"/>
                      </w:tcPr>
                      <w:p w14:paraId="50BC4BF6" w14:textId="77777777" w:rsidR="00F65BCA" w:rsidRDefault="00216117">
                        <w:pPr>
                          <w:pStyle w:val="TableParagraph"/>
                          <w:spacing w:before="47"/>
                          <w:ind w:left="228" w:right="207"/>
                          <w:jc w:val="center"/>
                          <w:rPr>
                            <w:sz w:val="8"/>
                          </w:rPr>
                        </w:pPr>
                        <w:r>
                          <w:rPr>
                            <w:sz w:val="8"/>
                          </w:rPr>
                          <w:t>2556</w:t>
                        </w:r>
                      </w:p>
                    </w:tc>
                    <w:tc>
                      <w:tcPr>
                        <w:tcW w:w="698" w:type="dxa"/>
                      </w:tcPr>
                      <w:p w14:paraId="62BB0138" w14:textId="77777777" w:rsidR="00F65BCA" w:rsidRDefault="00216117">
                        <w:pPr>
                          <w:pStyle w:val="TableParagraph"/>
                          <w:spacing w:before="47"/>
                          <w:ind w:left="150" w:right="128"/>
                          <w:jc w:val="center"/>
                          <w:rPr>
                            <w:sz w:val="8"/>
                          </w:rPr>
                        </w:pPr>
                        <w:r>
                          <w:rPr>
                            <w:sz w:val="8"/>
                          </w:rPr>
                          <w:t>6096</w:t>
                        </w:r>
                      </w:p>
                    </w:tc>
                    <w:tc>
                      <w:tcPr>
                        <w:tcW w:w="626" w:type="dxa"/>
                      </w:tcPr>
                      <w:p w14:paraId="3B2AADEA" w14:textId="77777777" w:rsidR="00F65BCA" w:rsidRDefault="00216117">
                        <w:pPr>
                          <w:pStyle w:val="TableParagraph"/>
                          <w:spacing w:before="47"/>
                          <w:ind w:left="298"/>
                          <w:rPr>
                            <w:sz w:val="8"/>
                          </w:rPr>
                        </w:pPr>
                        <w:r>
                          <w:rPr>
                            <w:w w:val="101"/>
                            <w:sz w:val="8"/>
                          </w:rPr>
                          <w:t>0</w:t>
                        </w:r>
                      </w:p>
                    </w:tc>
                    <w:tc>
                      <w:tcPr>
                        <w:tcW w:w="576" w:type="dxa"/>
                      </w:tcPr>
                      <w:p w14:paraId="6F5ECB69" w14:textId="77777777" w:rsidR="00F65BCA" w:rsidRDefault="00216117">
                        <w:pPr>
                          <w:pStyle w:val="TableParagraph"/>
                          <w:spacing w:before="47"/>
                          <w:ind w:left="226"/>
                          <w:rPr>
                            <w:sz w:val="8"/>
                          </w:rPr>
                        </w:pPr>
                        <w:r>
                          <w:rPr>
                            <w:sz w:val="8"/>
                          </w:rPr>
                          <w:t>876</w:t>
                        </w:r>
                      </w:p>
                    </w:tc>
                    <w:tc>
                      <w:tcPr>
                        <w:tcW w:w="576" w:type="dxa"/>
                      </w:tcPr>
                      <w:p w14:paraId="22AE8072" w14:textId="77777777" w:rsidR="00F65BCA" w:rsidRDefault="00216117">
                        <w:pPr>
                          <w:pStyle w:val="TableParagraph"/>
                          <w:spacing w:before="47"/>
                          <w:ind w:right="177"/>
                          <w:jc w:val="right"/>
                          <w:rPr>
                            <w:sz w:val="8"/>
                          </w:rPr>
                        </w:pPr>
                        <w:r>
                          <w:rPr>
                            <w:sz w:val="8"/>
                          </w:rPr>
                          <w:t>2640</w:t>
                        </w:r>
                      </w:p>
                    </w:tc>
                    <w:tc>
                      <w:tcPr>
                        <w:tcW w:w="576" w:type="dxa"/>
                      </w:tcPr>
                      <w:p w14:paraId="1B824E4A" w14:textId="77777777" w:rsidR="00F65BCA" w:rsidRDefault="00216117">
                        <w:pPr>
                          <w:pStyle w:val="TableParagraph"/>
                          <w:spacing w:before="47"/>
                          <w:ind w:left="204"/>
                          <w:rPr>
                            <w:sz w:val="8"/>
                          </w:rPr>
                        </w:pPr>
                        <w:r>
                          <w:rPr>
                            <w:sz w:val="8"/>
                          </w:rPr>
                          <w:t>2808</w:t>
                        </w:r>
                      </w:p>
                    </w:tc>
                    <w:tc>
                      <w:tcPr>
                        <w:tcW w:w="576" w:type="dxa"/>
                      </w:tcPr>
                      <w:p w14:paraId="71021B30" w14:textId="77777777" w:rsidR="00F65BCA" w:rsidRDefault="00216117">
                        <w:pPr>
                          <w:pStyle w:val="TableParagraph"/>
                          <w:spacing w:before="47"/>
                          <w:ind w:left="88" w:right="63"/>
                          <w:jc w:val="center"/>
                          <w:rPr>
                            <w:sz w:val="8"/>
                          </w:rPr>
                        </w:pPr>
                        <w:r>
                          <w:rPr>
                            <w:sz w:val="8"/>
                          </w:rPr>
                          <w:t>6708</w:t>
                        </w:r>
                      </w:p>
                    </w:tc>
                  </w:tr>
                  <w:tr w:rsidR="00F65BCA" w14:paraId="0E17FCDC" w14:textId="77777777">
                    <w:trPr>
                      <w:trHeight w:val="182"/>
                    </w:trPr>
                    <w:tc>
                      <w:tcPr>
                        <w:tcW w:w="679" w:type="dxa"/>
                      </w:tcPr>
                      <w:p w14:paraId="5A0D56BA" w14:textId="77777777" w:rsidR="00F65BCA" w:rsidRDefault="00216117">
                        <w:pPr>
                          <w:pStyle w:val="TableParagraph"/>
                          <w:spacing w:before="47"/>
                          <w:ind w:left="321"/>
                          <w:rPr>
                            <w:sz w:val="8"/>
                          </w:rPr>
                        </w:pPr>
                        <w:r>
                          <w:rPr>
                            <w:w w:val="101"/>
                            <w:sz w:val="8"/>
                          </w:rPr>
                          <w:t>0</w:t>
                        </w:r>
                      </w:p>
                    </w:tc>
                    <w:tc>
                      <w:tcPr>
                        <w:tcW w:w="645" w:type="dxa"/>
                      </w:tcPr>
                      <w:p w14:paraId="4CC4FF5A" w14:textId="77777777" w:rsidR="00F65BCA" w:rsidRDefault="00216117">
                        <w:pPr>
                          <w:pStyle w:val="TableParagraph"/>
                          <w:spacing w:before="47"/>
                          <w:ind w:left="217" w:right="197"/>
                          <w:jc w:val="center"/>
                          <w:rPr>
                            <w:sz w:val="8"/>
                          </w:rPr>
                        </w:pPr>
                        <w:r>
                          <w:rPr>
                            <w:sz w:val="8"/>
                          </w:rPr>
                          <w:t>396</w:t>
                        </w:r>
                      </w:p>
                    </w:tc>
                    <w:tc>
                      <w:tcPr>
                        <w:tcW w:w="683" w:type="dxa"/>
                      </w:tcPr>
                      <w:p w14:paraId="3C84FB1C" w14:textId="77777777" w:rsidR="00F65BCA" w:rsidRDefault="00216117">
                        <w:pPr>
                          <w:pStyle w:val="TableParagraph"/>
                          <w:spacing w:before="47"/>
                          <w:ind w:right="233"/>
                          <w:jc w:val="right"/>
                          <w:rPr>
                            <w:sz w:val="8"/>
                          </w:rPr>
                        </w:pPr>
                        <w:r>
                          <w:rPr>
                            <w:sz w:val="8"/>
                          </w:rPr>
                          <w:t>1200</w:t>
                        </w:r>
                      </w:p>
                    </w:tc>
                    <w:tc>
                      <w:tcPr>
                        <w:tcW w:w="664" w:type="dxa"/>
                      </w:tcPr>
                      <w:p w14:paraId="54A22BB9" w14:textId="77777777" w:rsidR="00F65BCA" w:rsidRDefault="00216117">
                        <w:pPr>
                          <w:pStyle w:val="TableParagraph"/>
                          <w:spacing w:before="47"/>
                          <w:ind w:left="228" w:right="207"/>
                          <w:jc w:val="center"/>
                          <w:rPr>
                            <w:sz w:val="8"/>
                          </w:rPr>
                        </w:pPr>
                        <w:r>
                          <w:rPr>
                            <w:sz w:val="8"/>
                          </w:rPr>
                          <w:t>1404</w:t>
                        </w:r>
                      </w:p>
                    </w:tc>
                    <w:tc>
                      <w:tcPr>
                        <w:tcW w:w="698" w:type="dxa"/>
                      </w:tcPr>
                      <w:p w14:paraId="6C744E24" w14:textId="77777777" w:rsidR="00F65BCA" w:rsidRDefault="00216117">
                        <w:pPr>
                          <w:pStyle w:val="TableParagraph"/>
                          <w:spacing w:before="47"/>
                          <w:ind w:left="150" w:right="128"/>
                          <w:jc w:val="center"/>
                          <w:rPr>
                            <w:sz w:val="8"/>
                          </w:rPr>
                        </w:pPr>
                        <w:r>
                          <w:rPr>
                            <w:sz w:val="8"/>
                          </w:rPr>
                          <w:t>3204</w:t>
                        </w:r>
                      </w:p>
                    </w:tc>
                    <w:tc>
                      <w:tcPr>
                        <w:tcW w:w="626" w:type="dxa"/>
                      </w:tcPr>
                      <w:p w14:paraId="44E6B789" w14:textId="77777777" w:rsidR="00F65BCA" w:rsidRDefault="00216117">
                        <w:pPr>
                          <w:pStyle w:val="TableParagraph"/>
                          <w:spacing w:before="47"/>
                          <w:ind w:left="298"/>
                          <w:rPr>
                            <w:sz w:val="8"/>
                          </w:rPr>
                        </w:pPr>
                        <w:r>
                          <w:rPr>
                            <w:w w:val="101"/>
                            <w:sz w:val="8"/>
                          </w:rPr>
                          <w:t>0</w:t>
                        </w:r>
                      </w:p>
                    </w:tc>
                    <w:tc>
                      <w:tcPr>
                        <w:tcW w:w="576" w:type="dxa"/>
                      </w:tcPr>
                      <w:p w14:paraId="621BD15E" w14:textId="77777777" w:rsidR="00F65BCA" w:rsidRDefault="00216117">
                        <w:pPr>
                          <w:pStyle w:val="TableParagraph"/>
                          <w:spacing w:before="47"/>
                          <w:ind w:left="226"/>
                          <w:rPr>
                            <w:sz w:val="8"/>
                          </w:rPr>
                        </w:pPr>
                        <w:r>
                          <w:rPr>
                            <w:sz w:val="8"/>
                          </w:rPr>
                          <w:t>444</w:t>
                        </w:r>
                      </w:p>
                    </w:tc>
                    <w:tc>
                      <w:tcPr>
                        <w:tcW w:w="576" w:type="dxa"/>
                      </w:tcPr>
                      <w:p w14:paraId="603BF1BE" w14:textId="77777777" w:rsidR="00F65BCA" w:rsidRDefault="00216117">
                        <w:pPr>
                          <w:pStyle w:val="TableParagraph"/>
                          <w:spacing w:before="47"/>
                          <w:ind w:right="176"/>
                          <w:jc w:val="right"/>
                          <w:rPr>
                            <w:sz w:val="8"/>
                          </w:rPr>
                        </w:pPr>
                        <w:r>
                          <w:rPr>
                            <w:sz w:val="8"/>
                          </w:rPr>
                          <w:t>1320</w:t>
                        </w:r>
                      </w:p>
                    </w:tc>
                    <w:tc>
                      <w:tcPr>
                        <w:tcW w:w="576" w:type="dxa"/>
                      </w:tcPr>
                      <w:p w14:paraId="76B5E3C1" w14:textId="77777777" w:rsidR="00F65BCA" w:rsidRDefault="00216117">
                        <w:pPr>
                          <w:pStyle w:val="TableParagraph"/>
                          <w:spacing w:before="47"/>
                          <w:ind w:left="205"/>
                          <w:rPr>
                            <w:sz w:val="8"/>
                          </w:rPr>
                        </w:pPr>
                        <w:r>
                          <w:rPr>
                            <w:sz w:val="8"/>
                          </w:rPr>
                          <w:t>1536</w:t>
                        </w:r>
                      </w:p>
                    </w:tc>
                    <w:tc>
                      <w:tcPr>
                        <w:tcW w:w="576" w:type="dxa"/>
                      </w:tcPr>
                      <w:p w14:paraId="3AEF6C3C" w14:textId="77777777" w:rsidR="00F65BCA" w:rsidRDefault="00216117">
                        <w:pPr>
                          <w:pStyle w:val="TableParagraph"/>
                          <w:spacing w:before="47"/>
                          <w:ind w:left="88" w:right="62"/>
                          <w:jc w:val="center"/>
                          <w:rPr>
                            <w:sz w:val="8"/>
                          </w:rPr>
                        </w:pPr>
                        <w:r>
                          <w:rPr>
                            <w:sz w:val="8"/>
                          </w:rPr>
                          <w:t>3516</w:t>
                        </w:r>
                      </w:p>
                    </w:tc>
                  </w:tr>
                  <w:tr w:rsidR="00F65BCA" w14:paraId="198AB9EB" w14:textId="77777777">
                    <w:trPr>
                      <w:trHeight w:val="182"/>
                    </w:trPr>
                    <w:tc>
                      <w:tcPr>
                        <w:tcW w:w="679" w:type="dxa"/>
                      </w:tcPr>
                      <w:p w14:paraId="494C4D34" w14:textId="77777777" w:rsidR="00F65BCA" w:rsidRDefault="00216117">
                        <w:pPr>
                          <w:pStyle w:val="TableParagraph"/>
                          <w:spacing w:before="47"/>
                          <w:ind w:left="321"/>
                          <w:rPr>
                            <w:sz w:val="8"/>
                          </w:rPr>
                        </w:pPr>
                        <w:r>
                          <w:rPr>
                            <w:w w:val="101"/>
                            <w:sz w:val="8"/>
                          </w:rPr>
                          <w:t>0</w:t>
                        </w:r>
                      </w:p>
                    </w:tc>
                    <w:tc>
                      <w:tcPr>
                        <w:tcW w:w="645" w:type="dxa"/>
                      </w:tcPr>
                      <w:p w14:paraId="0F3A9019" w14:textId="77777777" w:rsidR="00F65BCA" w:rsidRDefault="00216117">
                        <w:pPr>
                          <w:pStyle w:val="TableParagraph"/>
                          <w:spacing w:before="47"/>
                          <w:ind w:left="217" w:right="197"/>
                          <w:jc w:val="center"/>
                          <w:rPr>
                            <w:sz w:val="8"/>
                          </w:rPr>
                        </w:pPr>
                        <w:r>
                          <w:rPr>
                            <w:sz w:val="8"/>
                          </w:rPr>
                          <w:t>504</w:t>
                        </w:r>
                      </w:p>
                    </w:tc>
                    <w:tc>
                      <w:tcPr>
                        <w:tcW w:w="683" w:type="dxa"/>
                      </w:tcPr>
                      <w:p w14:paraId="54B6B824" w14:textId="77777777" w:rsidR="00F65BCA" w:rsidRDefault="00216117">
                        <w:pPr>
                          <w:pStyle w:val="TableParagraph"/>
                          <w:spacing w:before="47"/>
                          <w:ind w:right="233"/>
                          <w:jc w:val="right"/>
                          <w:rPr>
                            <w:sz w:val="8"/>
                          </w:rPr>
                        </w:pPr>
                        <w:r>
                          <w:rPr>
                            <w:sz w:val="8"/>
                          </w:rPr>
                          <w:t>3396</w:t>
                        </w:r>
                      </w:p>
                    </w:tc>
                    <w:tc>
                      <w:tcPr>
                        <w:tcW w:w="664" w:type="dxa"/>
                      </w:tcPr>
                      <w:p w14:paraId="00C32B9A" w14:textId="77777777" w:rsidR="00F65BCA" w:rsidRDefault="00216117">
                        <w:pPr>
                          <w:pStyle w:val="TableParagraph"/>
                          <w:spacing w:before="47"/>
                          <w:ind w:left="228" w:right="207"/>
                          <w:jc w:val="center"/>
                          <w:rPr>
                            <w:sz w:val="8"/>
                          </w:rPr>
                        </w:pPr>
                        <w:r>
                          <w:rPr>
                            <w:sz w:val="8"/>
                          </w:rPr>
                          <w:t>2196</w:t>
                        </w:r>
                      </w:p>
                    </w:tc>
                    <w:tc>
                      <w:tcPr>
                        <w:tcW w:w="698" w:type="dxa"/>
                      </w:tcPr>
                      <w:p w14:paraId="5A6C6359" w14:textId="77777777" w:rsidR="00F65BCA" w:rsidRDefault="00216117">
                        <w:pPr>
                          <w:pStyle w:val="TableParagraph"/>
                          <w:spacing w:before="47"/>
                          <w:ind w:left="150" w:right="128"/>
                          <w:jc w:val="center"/>
                          <w:rPr>
                            <w:sz w:val="8"/>
                          </w:rPr>
                        </w:pPr>
                        <w:r>
                          <w:rPr>
                            <w:sz w:val="8"/>
                          </w:rPr>
                          <w:t>9396</w:t>
                        </w:r>
                      </w:p>
                    </w:tc>
                    <w:tc>
                      <w:tcPr>
                        <w:tcW w:w="626" w:type="dxa"/>
                      </w:tcPr>
                      <w:p w14:paraId="0B2C3437" w14:textId="77777777" w:rsidR="00F65BCA" w:rsidRDefault="00216117">
                        <w:pPr>
                          <w:pStyle w:val="TableParagraph"/>
                          <w:spacing w:before="47"/>
                          <w:ind w:left="298"/>
                          <w:rPr>
                            <w:sz w:val="8"/>
                          </w:rPr>
                        </w:pPr>
                        <w:r>
                          <w:rPr>
                            <w:w w:val="101"/>
                            <w:sz w:val="8"/>
                          </w:rPr>
                          <w:t>0</w:t>
                        </w:r>
                      </w:p>
                    </w:tc>
                    <w:tc>
                      <w:tcPr>
                        <w:tcW w:w="576" w:type="dxa"/>
                      </w:tcPr>
                      <w:p w14:paraId="39DBC99E" w14:textId="77777777" w:rsidR="00F65BCA" w:rsidRDefault="00216117">
                        <w:pPr>
                          <w:pStyle w:val="TableParagraph"/>
                          <w:spacing w:before="47"/>
                          <w:ind w:left="226"/>
                          <w:rPr>
                            <w:sz w:val="8"/>
                          </w:rPr>
                        </w:pPr>
                        <w:r>
                          <w:rPr>
                            <w:sz w:val="8"/>
                          </w:rPr>
                          <w:t>552</w:t>
                        </w:r>
                      </w:p>
                    </w:tc>
                    <w:tc>
                      <w:tcPr>
                        <w:tcW w:w="576" w:type="dxa"/>
                      </w:tcPr>
                      <w:p w14:paraId="3FD28F9C" w14:textId="77777777" w:rsidR="00F65BCA" w:rsidRDefault="00216117">
                        <w:pPr>
                          <w:pStyle w:val="TableParagraph"/>
                          <w:spacing w:before="47"/>
                          <w:ind w:right="176"/>
                          <w:jc w:val="right"/>
                          <w:rPr>
                            <w:sz w:val="8"/>
                          </w:rPr>
                        </w:pPr>
                        <w:r>
                          <w:rPr>
                            <w:sz w:val="8"/>
                          </w:rPr>
                          <w:t>3744</w:t>
                        </w:r>
                      </w:p>
                    </w:tc>
                    <w:tc>
                      <w:tcPr>
                        <w:tcW w:w="576" w:type="dxa"/>
                      </w:tcPr>
                      <w:p w14:paraId="0BDC2C04" w14:textId="77777777" w:rsidR="00F65BCA" w:rsidRDefault="00216117">
                        <w:pPr>
                          <w:pStyle w:val="TableParagraph"/>
                          <w:spacing w:before="47"/>
                          <w:ind w:left="205"/>
                          <w:rPr>
                            <w:sz w:val="8"/>
                          </w:rPr>
                        </w:pPr>
                        <w:r>
                          <w:rPr>
                            <w:sz w:val="8"/>
                          </w:rPr>
                          <w:t>2424</w:t>
                        </w:r>
                      </w:p>
                    </w:tc>
                    <w:tc>
                      <w:tcPr>
                        <w:tcW w:w="576" w:type="dxa"/>
                      </w:tcPr>
                      <w:p w14:paraId="18914EDA" w14:textId="77777777" w:rsidR="00F65BCA" w:rsidRDefault="00216117">
                        <w:pPr>
                          <w:pStyle w:val="TableParagraph"/>
                          <w:spacing w:before="47"/>
                          <w:ind w:left="88" w:right="64"/>
                          <w:jc w:val="center"/>
                          <w:rPr>
                            <w:sz w:val="8"/>
                          </w:rPr>
                        </w:pPr>
                        <w:r>
                          <w:rPr>
                            <w:sz w:val="8"/>
                          </w:rPr>
                          <w:t>10344</w:t>
                        </w:r>
                      </w:p>
                    </w:tc>
                  </w:tr>
                  <w:tr w:rsidR="00F65BCA" w14:paraId="787BE66B" w14:textId="77777777">
                    <w:trPr>
                      <w:trHeight w:val="182"/>
                    </w:trPr>
                    <w:tc>
                      <w:tcPr>
                        <w:tcW w:w="679" w:type="dxa"/>
                      </w:tcPr>
                      <w:p w14:paraId="7A0B331A" w14:textId="77777777" w:rsidR="00F65BCA" w:rsidRDefault="00216117">
                        <w:pPr>
                          <w:pStyle w:val="TableParagraph"/>
                          <w:spacing w:before="47"/>
                          <w:ind w:left="321"/>
                          <w:rPr>
                            <w:sz w:val="8"/>
                          </w:rPr>
                        </w:pPr>
                        <w:r>
                          <w:rPr>
                            <w:w w:val="101"/>
                            <w:sz w:val="8"/>
                          </w:rPr>
                          <w:t>0</w:t>
                        </w:r>
                      </w:p>
                    </w:tc>
                    <w:tc>
                      <w:tcPr>
                        <w:tcW w:w="645" w:type="dxa"/>
                      </w:tcPr>
                      <w:p w14:paraId="1AB45845" w14:textId="77777777" w:rsidR="00F65BCA" w:rsidRDefault="00216117">
                        <w:pPr>
                          <w:pStyle w:val="TableParagraph"/>
                          <w:spacing w:before="47"/>
                          <w:ind w:left="217" w:right="197"/>
                          <w:jc w:val="center"/>
                          <w:rPr>
                            <w:sz w:val="8"/>
                          </w:rPr>
                        </w:pPr>
                        <w:r>
                          <w:rPr>
                            <w:sz w:val="8"/>
                          </w:rPr>
                          <w:t>804</w:t>
                        </w:r>
                      </w:p>
                    </w:tc>
                    <w:tc>
                      <w:tcPr>
                        <w:tcW w:w="683" w:type="dxa"/>
                      </w:tcPr>
                      <w:p w14:paraId="13AB113B" w14:textId="77777777" w:rsidR="00F65BCA" w:rsidRDefault="00216117">
                        <w:pPr>
                          <w:pStyle w:val="TableParagraph"/>
                          <w:spacing w:before="47"/>
                          <w:ind w:right="233"/>
                          <w:jc w:val="right"/>
                          <w:rPr>
                            <w:sz w:val="8"/>
                          </w:rPr>
                        </w:pPr>
                        <w:r>
                          <w:rPr>
                            <w:sz w:val="8"/>
                          </w:rPr>
                          <w:t>2400</w:t>
                        </w:r>
                      </w:p>
                    </w:tc>
                    <w:tc>
                      <w:tcPr>
                        <w:tcW w:w="664" w:type="dxa"/>
                      </w:tcPr>
                      <w:p w14:paraId="24C0C6D2" w14:textId="77777777" w:rsidR="00F65BCA" w:rsidRDefault="00216117">
                        <w:pPr>
                          <w:pStyle w:val="TableParagraph"/>
                          <w:spacing w:before="47"/>
                          <w:ind w:left="228" w:right="207"/>
                          <w:jc w:val="center"/>
                          <w:rPr>
                            <w:sz w:val="8"/>
                          </w:rPr>
                        </w:pPr>
                        <w:r>
                          <w:rPr>
                            <w:sz w:val="8"/>
                          </w:rPr>
                          <w:t>2556</w:t>
                        </w:r>
                      </w:p>
                    </w:tc>
                    <w:tc>
                      <w:tcPr>
                        <w:tcW w:w="698" w:type="dxa"/>
                      </w:tcPr>
                      <w:p w14:paraId="12983D95" w14:textId="77777777" w:rsidR="00F65BCA" w:rsidRDefault="00216117">
                        <w:pPr>
                          <w:pStyle w:val="TableParagraph"/>
                          <w:spacing w:before="47"/>
                          <w:ind w:left="150" w:right="128"/>
                          <w:jc w:val="center"/>
                          <w:rPr>
                            <w:sz w:val="8"/>
                          </w:rPr>
                        </w:pPr>
                        <w:r>
                          <w:rPr>
                            <w:sz w:val="8"/>
                          </w:rPr>
                          <w:t>6096</w:t>
                        </w:r>
                      </w:p>
                    </w:tc>
                    <w:tc>
                      <w:tcPr>
                        <w:tcW w:w="626" w:type="dxa"/>
                      </w:tcPr>
                      <w:p w14:paraId="757F480E" w14:textId="77777777" w:rsidR="00F65BCA" w:rsidRDefault="00216117">
                        <w:pPr>
                          <w:pStyle w:val="TableParagraph"/>
                          <w:spacing w:before="47"/>
                          <w:ind w:left="298"/>
                          <w:rPr>
                            <w:sz w:val="8"/>
                          </w:rPr>
                        </w:pPr>
                        <w:r>
                          <w:rPr>
                            <w:w w:val="101"/>
                            <w:sz w:val="8"/>
                          </w:rPr>
                          <w:t>0</w:t>
                        </w:r>
                      </w:p>
                    </w:tc>
                    <w:tc>
                      <w:tcPr>
                        <w:tcW w:w="576" w:type="dxa"/>
                      </w:tcPr>
                      <w:p w14:paraId="2EFC3381" w14:textId="77777777" w:rsidR="00F65BCA" w:rsidRDefault="00216117">
                        <w:pPr>
                          <w:pStyle w:val="TableParagraph"/>
                          <w:spacing w:before="47"/>
                          <w:ind w:left="226"/>
                          <w:rPr>
                            <w:sz w:val="8"/>
                          </w:rPr>
                        </w:pPr>
                        <w:r>
                          <w:rPr>
                            <w:sz w:val="8"/>
                          </w:rPr>
                          <w:t>876</w:t>
                        </w:r>
                      </w:p>
                    </w:tc>
                    <w:tc>
                      <w:tcPr>
                        <w:tcW w:w="576" w:type="dxa"/>
                      </w:tcPr>
                      <w:p w14:paraId="1C509D6E" w14:textId="77777777" w:rsidR="00F65BCA" w:rsidRDefault="00216117">
                        <w:pPr>
                          <w:pStyle w:val="TableParagraph"/>
                          <w:spacing w:before="47"/>
                          <w:ind w:right="176"/>
                          <w:jc w:val="right"/>
                          <w:rPr>
                            <w:sz w:val="8"/>
                          </w:rPr>
                        </w:pPr>
                        <w:r>
                          <w:rPr>
                            <w:sz w:val="8"/>
                          </w:rPr>
                          <w:t>2640</w:t>
                        </w:r>
                      </w:p>
                    </w:tc>
                    <w:tc>
                      <w:tcPr>
                        <w:tcW w:w="576" w:type="dxa"/>
                      </w:tcPr>
                      <w:p w14:paraId="5BB435F6" w14:textId="77777777" w:rsidR="00F65BCA" w:rsidRDefault="00216117">
                        <w:pPr>
                          <w:pStyle w:val="TableParagraph"/>
                          <w:spacing w:before="47"/>
                          <w:ind w:left="205"/>
                          <w:rPr>
                            <w:sz w:val="8"/>
                          </w:rPr>
                        </w:pPr>
                        <w:r>
                          <w:rPr>
                            <w:sz w:val="8"/>
                          </w:rPr>
                          <w:t>2808</w:t>
                        </w:r>
                      </w:p>
                    </w:tc>
                    <w:tc>
                      <w:tcPr>
                        <w:tcW w:w="576" w:type="dxa"/>
                      </w:tcPr>
                      <w:p w14:paraId="2B8716A1" w14:textId="77777777" w:rsidR="00F65BCA" w:rsidRDefault="00216117">
                        <w:pPr>
                          <w:pStyle w:val="TableParagraph"/>
                          <w:spacing w:before="47"/>
                          <w:ind w:left="88" w:right="62"/>
                          <w:jc w:val="center"/>
                          <w:rPr>
                            <w:sz w:val="8"/>
                          </w:rPr>
                        </w:pPr>
                        <w:r>
                          <w:rPr>
                            <w:sz w:val="8"/>
                          </w:rPr>
                          <w:t>6708</w:t>
                        </w:r>
                      </w:p>
                    </w:tc>
                  </w:tr>
                  <w:tr w:rsidR="00F65BCA" w14:paraId="0D78065C" w14:textId="77777777">
                    <w:trPr>
                      <w:trHeight w:val="182"/>
                    </w:trPr>
                    <w:tc>
                      <w:tcPr>
                        <w:tcW w:w="679" w:type="dxa"/>
                      </w:tcPr>
                      <w:p w14:paraId="44437F19" w14:textId="77777777" w:rsidR="00F65BCA" w:rsidRDefault="00216117">
                        <w:pPr>
                          <w:pStyle w:val="TableParagraph"/>
                          <w:spacing w:before="47"/>
                          <w:ind w:left="321"/>
                          <w:rPr>
                            <w:sz w:val="8"/>
                          </w:rPr>
                        </w:pPr>
                        <w:r>
                          <w:rPr>
                            <w:w w:val="101"/>
                            <w:sz w:val="8"/>
                          </w:rPr>
                          <w:t>0</w:t>
                        </w:r>
                      </w:p>
                    </w:tc>
                    <w:tc>
                      <w:tcPr>
                        <w:tcW w:w="645" w:type="dxa"/>
                      </w:tcPr>
                      <w:p w14:paraId="6C6FAF08" w14:textId="77777777" w:rsidR="00F65BCA" w:rsidRDefault="00216117">
                        <w:pPr>
                          <w:pStyle w:val="TableParagraph"/>
                          <w:spacing w:before="47"/>
                          <w:ind w:left="217" w:right="200"/>
                          <w:jc w:val="center"/>
                          <w:rPr>
                            <w:sz w:val="8"/>
                          </w:rPr>
                        </w:pPr>
                        <w:r>
                          <w:rPr>
                            <w:sz w:val="8"/>
                          </w:rPr>
                          <w:t>2004</w:t>
                        </w:r>
                      </w:p>
                    </w:tc>
                    <w:tc>
                      <w:tcPr>
                        <w:tcW w:w="683" w:type="dxa"/>
                      </w:tcPr>
                      <w:p w14:paraId="139AB4A7" w14:textId="77777777" w:rsidR="00F65BCA" w:rsidRDefault="00216117">
                        <w:pPr>
                          <w:pStyle w:val="TableParagraph"/>
                          <w:spacing w:before="47"/>
                          <w:ind w:right="233"/>
                          <w:jc w:val="right"/>
                          <w:rPr>
                            <w:sz w:val="8"/>
                          </w:rPr>
                        </w:pPr>
                        <w:r>
                          <w:rPr>
                            <w:sz w:val="8"/>
                          </w:rPr>
                          <w:t>7500</w:t>
                        </w:r>
                      </w:p>
                    </w:tc>
                    <w:tc>
                      <w:tcPr>
                        <w:tcW w:w="664" w:type="dxa"/>
                      </w:tcPr>
                      <w:p w14:paraId="31113021" w14:textId="77777777" w:rsidR="00F65BCA" w:rsidRDefault="00216117">
                        <w:pPr>
                          <w:pStyle w:val="TableParagraph"/>
                          <w:spacing w:before="47"/>
                          <w:ind w:left="228" w:right="207"/>
                          <w:jc w:val="center"/>
                          <w:rPr>
                            <w:sz w:val="8"/>
                          </w:rPr>
                        </w:pPr>
                        <w:r>
                          <w:rPr>
                            <w:sz w:val="8"/>
                          </w:rPr>
                          <w:t>5952</w:t>
                        </w:r>
                      </w:p>
                    </w:tc>
                    <w:tc>
                      <w:tcPr>
                        <w:tcW w:w="698" w:type="dxa"/>
                      </w:tcPr>
                      <w:p w14:paraId="7B702412" w14:textId="77777777" w:rsidR="00F65BCA" w:rsidRDefault="00216117">
                        <w:pPr>
                          <w:pStyle w:val="TableParagraph"/>
                          <w:spacing w:before="47"/>
                          <w:ind w:left="150" w:right="126"/>
                          <w:jc w:val="center"/>
                          <w:rPr>
                            <w:sz w:val="8"/>
                          </w:rPr>
                        </w:pPr>
                        <w:r>
                          <w:rPr>
                            <w:sz w:val="8"/>
                          </w:rPr>
                          <w:t>13896</w:t>
                        </w:r>
                      </w:p>
                    </w:tc>
                    <w:tc>
                      <w:tcPr>
                        <w:tcW w:w="626" w:type="dxa"/>
                      </w:tcPr>
                      <w:p w14:paraId="1824CEB0" w14:textId="77777777" w:rsidR="00F65BCA" w:rsidRDefault="00216117">
                        <w:pPr>
                          <w:pStyle w:val="TableParagraph"/>
                          <w:spacing w:before="47"/>
                          <w:ind w:left="298"/>
                          <w:rPr>
                            <w:sz w:val="8"/>
                          </w:rPr>
                        </w:pPr>
                        <w:r>
                          <w:rPr>
                            <w:w w:val="101"/>
                            <w:sz w:val="8"/>
                          </w:rPr>
                          <w:t>0</w:t>
                        </w:r>
                      </w:p>
                    </w:tc>
                    <w:tc>
                      <w:tcPr>
                        <w:tcW w:w="576" w:type="dxa"/>
                      </w:tcPr>
                      <w:p w14:paraId="5719EB10" w14:textId="77777777" w:rsidR="00F65BCA" w:rsidRDefault="00216117">
                        <w:pPr>
                          <w:pStyle w:val="TableParagraph"/>
                          <w:spacing w:before="47"/>
                          <w:ind w:left="205"/>
                          <w:rPr>
                            <w:sz w:val="8"/>
                          </w:rPr>
                        </w:pPr>
                        <w:r>
                          <w:rPr>
                            <w:sz w:val="8"/>
                          </w:rPr>
                          <w:t>2196</w:t>
                        </w:r>
                      </w:p>
                    </w:tc>
                    <w:tc>
                      <w:tcPr>
                        <w:tcW w:w="576" w:type="dxa"/>
                      </w:tcPr>
                      <w:p w14:paraId="185B9656" w14:textId="77777777" w:rsidR="00F65BCA" w:rsidRDefault="00216117">
                        <w:pPr>
                          <w:pStyle w:val="TableParagraph"/>
                          <w:spacing w:before="47"/>
                          <w:ind w:right="176"/>
                          <w:jc w:val="right"/>
                          <w:rPr>
                            <w:sz w:val="8"/>
                          </w:rPr>
                        </w:pPr>
                        <w:r>
                          <w:rPr>
                            <w:sz w:val="8"/>
                          </w:rPr>
                          <w:t>8256</w:t>
                        </w:r>
                      </w:p>
                    </w:tc>
                    <w:tc>
                      <w:tcPr>
                        <w:tcW w:w="576" w:type="dxa"/>
                      </w:tcPr>
                      <w:p w14:paraId="0CA32CB3" w14:textId="77777777" w:rsidR="00F65BCA" w:rsidRDefault="00216117">
                        <w:pPr>
                          <w:pStyle w:val="TableParagraph"/>
                          <w:spacing w:before="47"/>
                          <w:ind w:left="205"/>
                          <w:rPr>
                            <w:sz w:val="8"/>
                          </w:rPr>
                        </w:pPr>
                        <w:r>
                          <w:rPr>
                            <w:sz w:val="8"/>
                          </w:rPr>
                          <w:t>6540</w:t>
                        </w:r>
                      </w:p>
                    </w:tc>
                    <w:tc>
                      <w:tcPr>
                        <w:tcW w:w="576" w:type="dxa"/>
                      </w:tcPr>
                      <w:p w14:paraId="6AF67F21" w14:textId="77777777" w:rsidR="00F65BCA" w:rsidRDefault="00216117">
                        <w:pPr>
                          <w:pStyle w:val="TableParagraph"/>
                          <w:spacing w:before="47"/>
                          <w:ind w:left="88" w:right="64"/>
                          <w:jc w:val="center"/>
                          <w:rPr>
                            <w:sz w:val="8"/>
                          </w:rPr>
                        </w:pPr>
                        <w:r>
                          <w:rPr>
                            <w:sz w:val="8"/>
                          </w:rPr>
                          <w:t>15288</w:t>
                        </w:r>
                      </w:p>
                    </w:tc>
                  </w:tr>
                </w:tbl>
                <w:p w14:paraId="5098A427" w14:textId="77777777" w:rsidR="00F65BCA" w:rsidRDefault="00F65BCA">
                  <w:pPr>
                    <w:pStyle w:val="Zkladntext"/>
                  </w:pPr>
                </w:p>
              </w:txbxContent>
            </v:textbox>
            <w10:anchorlock/>
          </v:shape>
        </w:pict>
      </w:r>
    </w:p>
    <w:p w14:paraId="37B16D6A" w14:textId="77777777" w:rsidR="00F65BCA" w:rsidRDefault="00F65BCA">
      <w:pPr>
        <w:pStyle w:val="Zkladntext"/>
        <w:spacing w:before="3"/>
        <w:rPr>
          <w:rFonts w:ascii="Calibri"/>
          <w:sz w:val="10"/>
        </w:rPr>
      </w:pPr>
    </w:p>
    <w:p w14:paraId="2CBF3F3F" w14:textId="77777777" w:rsidR="00F65BCA" w:rsidRDefault="00000000">
      <w:pPr>
        <w:pStyle w:val="Nadpis6"/>
        <w:ind w:left="131"/>
        <w:rPr>
          <w:rFonts w:ascii="Calibri"/>
        </w:rPr>
      </w:pPr>
      <w:r>
        <w:rPr>
          <w:rFonts w:ascii="Calibri"/>
        </w:rPr>
      </w:r>
      <w:r>
        <w:rPr>
          <w:rFonts w:ascii="Calibri"/>
        </w:rPr>
        <w:pict w14:anchorId="5E28737F">
          <v:shape id="_x0000_s2589" type="#_x0000_t202" style="width:155.9pt;height:112.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915"/>
                  </w:tblGrid>
                  <w:tr w:rsidR="00F65BCA" w14:paraId="296A0FD8" w14:textId="77777777">
                    <w:trPr>
                      <w:trHeight w:val="182"/>
                    </w:trPr>
                    <w:tc>
                      <w:tcPr>
                        <w:tcW w:w="3104" w:type="dxa"/>
                        <w:gridSpan w:val="2"/>
                        <w:shd w:val="clear" w:color="auto" w:fill="F8CBAD"/>
                      </w:tcPr>
                      <w:p w14:paraId="0EB74F4E" w14:textId="77777777" w:rsidR="00F65BCA" w:rsidRDefault="00216117">
                        <w:pPr>
                          <w:pStyle w:val="TableParagraph"/>
                          <w:spacing w:before="40"/>
                          <w:ind w:left="962"/>
                          <w:rPr>
                            <w:b/>
                            <w:sz w:val="8"/>
                          </w:rPr>
                        </w:pPr>
                        <w:r>
                          <w:rPr>
                            <w:b/>
                            <w:sz w:val="8"/>
                          </w:rPr>
                          <w:t>Sdružené pojištění POV + HAV</w:t>
                        </w:r>
                      </w:p>
                    </w:tc>
                  </w:tr>
                  <w:tr w:rsidR="00F65BCA" w14:paraId="61C90ACE" w14:textId="77777777">
                    <w:trPr>
                      <w:trHeight w:val="124"/>
                    </w:trPr>
                    <w:tc>
                      <w:tcPr>
                        <w:tcW w:w="2189" w:type="dxa"/>
                        <w:shd w:val="clear" w:color="auto" w:fill="F8CBAD"/>
                      </w:tcPr>
                      <w:p w14:paraId="64EEA742" w14:textId="77777777" w:rsidR="00F65BCA" w:rsidRDefault="00216117">
                        <w:pPr>
                          <w:pStyle w:val="TableParagraph"/>
                          <w:spacing w:before="16" w:line="88" w:lineRule="exact"/>
                          <w:ind w:left="568" w:right="557"/>
                          <w:jc w:val="center"/>
                          <w:rPr>
                            <w:b/>
                            <w:sz w:val="8"/>
                          </w:rPr>
                        </w:pPr>
                        <w:r>
                          <w:rPr>
                            <w:b/>
                            <w:sz w:val="8"/>
                          </w:rPr>
                          <w:t>Druh vozidla</w:t>
                        </w:r>
                      </w:p>
                    </w:tc>
                    <w:tc>
                      <w:tcPr>
                        <w:tcW w:w="915" w:type="dxa"/>
                        <w:shd w:val="clear" w:color="auto" w:fill="F8CBAD"/>
                      </w:tcPr>
                      <w:p w14:paraId="32938E5B" w14:textId="77777777" w:rsidR="00F65BCA" w:rsidRDefault="00216117">
                        <w:pPr>
                          <w:pStyle w:val="TableParagraph"/>
                          <w:spacing w:before="16" w:line="88" w:lineRule="exact"/>
                          <w:ind w:left="91" w:right="80"/>
                          <w:jc w:val="center"/>
                          <w:rPr>
                            <w:b/>
                            <w:sz w:val="8"/>
                          </w:rPr>
                        </w:pPr>
                        <w:r>
                          <w:rPr>
                            <w:b/>
                            <w:sz w:val="8"/>
                          </w:rPr>
                          <w:t>Celková hmotnost</w:t>
                        </w:r>
                      </w:p>
                    </w:tc>
                  </w:tr>
                  <w:tr w:rsidR="00F65BCA" w14:paraId="2FD98BEE" w14:textId="77777777">
                    <w:trPr>
                      <w:trHeight w:val="182"/>
                    </w:trPr>
                    <w:tc>
                      <w:tcPr>
                        <w:tcW w:w="2189" w:type="dxa"/>
                        <w:vMerge w:val="restart"/>
                        <w:shd w:val="clear" w:color="auto" w:fill="FCE4D6"/>
                      </w:tcPr>
                      <w:p w14:paraId="78B06131" w14:textId="77777777" w:rsidR="00F65BCA" w:rsidRDefault="00F65BCA">
                        <w:pPr>
                          <w:pStyle w:val="TableParagraph"/>
                          <w:rPr>
                            <w:rFonts w:ascii="Calibri"/>
                            <w:sz w:val="8"/>
                          </w:rPr>
                        </w:pPr>
                      </w:p>
                      <w:p w14:paraId="218D8545" w14:textId="77777777" w:rsidR="00F65BCA" w:rsidRDefault="00F65BCA">
                        <w:pPr>
                          <w:pStyle w:val="TableParagraph"/>
                          <w:spacing w:before="10"/>
                          <w:rPr>
                            <w:rFonts w:ascii="Calibri"/>
                            <w:sz w:val="6"/>
                          </w:rPr>
                        </w:pPr>
                      </w:p>
                      <w:p w14:paraId="4D3E7445" w14:textId="77777777" w:rsidR="00F65BCA" w:rsidRDefault="00216117">
                        <w:pPr>
                          <w:pStyle w:val="TableParagraph"/>
                          <w:spacing w:line="276" w:lineRule="auto"/>
                          <w:ind w:left="962" w:hanging="812"/>
                          <w:rPr>
                            <w:sz w:val="8"/>
                          </w:rPr>
                        </w:pPr>
                        <w:r>
                          <w:rPr>
                            <w:sz w:val="8"/>
                          </w:rPr>
                          <w:t>přívěs; návěs; pracovní stroj přípojný; přípojná vozidla traktorů</w:t>
                        </w:r>
                      </w:p>
                    </w:tc>
                    <w:tc>
                      <w:tcPr>
                        <w:tcW w:w="915" w:type="dxa"/>
                        <w:shd w:val="clear" w:color="auto" w:fill="FCE4D6"/>
                      </w:tcPr>
                      <w:p w14:paraId="6FFF4A7D" w14:textId="77777777" w:rsidR="00F65BCA" w:rsidRDefault="00216117">
                        <w:pPr>
                          <w:pStyle w:val="TableParagraph"/>
                          <w:spacing w:before="47"/>
                          <w:ind w:left="91" w:right="71"/>
                          <w:jc w:val="center"/>
                          <w:rPr>
                            <w:sz w:val="8"/>
                          </w:rPr>
                        </w:pPr>
                        <w:r>
                          <w:rPr>
                            <w:sz w:val="8"/>
                          </w:rPr>
                          <w:t>0-750 kg</w:t>
                        </w:r>
                      </w:p>
                    </w:tc>
                  </w:tr>
                  <w:tr w:rsidR="00F65BCA" w14:paraId="70E371B4" w14:textId="77777777">
                    <w:trPr>
                      <w:trHeight w:val="182"/>
                    </w:trPr>
                    <w:tc>
                      <w:tcPr>
                        <w:tcW w:w="2189" w:type="dxa"/>
                        <w:vMerge/>
                        <w:tcBorders>
                          <w:top w:val="nil"/>
                        </w:tcBorders>
                        <w:shd w:val="clear" w:color="auto" w:fill="FCE4D6"/>
                      </w:tcPr>
                      <w:p w14:paraId="47DA004D" w14:textId="77777777" w:rsidR="00F65BCA" w:rsidRDefault="00F65BCA">
                        <w:pPr>
                          <w:rPr>
                            <w:sz w:val="2"/>
                            <w:szCs w:val="2"/>
                          </w:rPr>
                        </w:pPr>
                      </w:p>
                    </w:tc>
                    <w:tc>
                      <w:tcPr>
                        <w:tcW w:w="915" w:type="dxa"/>
                        <w:shd w:val="clear" w:color="auto" w:fill="FCE4D6"/>
                      </w:tcPr>
                      <w:p w14:paraId="114A77D2" w14:textId="77777777" w:rsidR="00F65BCA" w:rsidRDefault="00216117">
                        <w:pPr>
                          <w:pStyle w:val="TableParagraph"/>
                          <w:spacing w:before="47"/>
                          <w:ind w:left="91" w:right="74"/>
                          <w:jc w:val="center"/>
                          <w:rPr>
                            <w:sz w:val="8"/>
                          </w:rPr>
                        </w:pPr>
                        <w:r>
                          <w:rPr>
                            <w:sz w:val="8"/>
                          </w:rPr>
                          <w:t>751-3500 kg</w:t>
                        </w:r>
                      </w:p>
                    </w:tc>
                  </w:tr>
                  <w:tr w:rsidR="00F65BCA" w14:paraId="77F91B07" w14:textId="77777777">
                    <w:trPr>
                      <w:trHeight w:val="182"/>
                    </w:trPr>
                    <w:tc>
                      <w:tcPr>
                        <w:tcW w:w="2189" w:type="dxa"/>
                        <w:vMerge/>
                        <w:tcBorders>
                          <w:top w:val="nil"/>
                        </w:tcBorders>
                        <w:shd w:val="clear" w:color="auto" w:fill="FCE4D6"/>
                      </w:tcPr>
                      <w:p w14:paraId="608DEBFE" w14:textId="77777777" w:rsidR="00F65BCA" w:rsidRDefault="00F65BCA">
                        <w:pPr>
                          <w:rPr>
                            <w:sz w:val="2"/>
                            <w:szCs w:val="2"/>
                          </w:rPr>
                        </w:pPr>
                      </w:p>
                    </w:tc>
                    <w:tc>
                      <w:tcPr>
                        <w:tcW w:w="915" w:type="dxa"/>
                        <w:shd w:val="clear" w:color="auto" w:fill="FCE4D6"/>
                      </w:tcPr>
                      <w:p w14:paraId="3FA354CD" w14:textId="77777777" w:rsidR="00F65BCA" w:rsidRDefault="00216117">
                        <w:pPr>
                          <w:pStyle w:val="TableParagraph"/>
                          <w:spacing w:before="47"/>
                          <w:ind w:left="91" w:right="74"/>
                          <w:jc w:val="center"/>
                          <w:rPr>
                            <w:sz w:val="8"/>
                          </w:rPr>
                        </w:pPr>
                        <w:r>
                          <w:rPr>
                            <w:sz w:val="8"/>
                          </w:rPr>
                          <w:t>&gt;3500 kg</w:t>
                        </w:r>
                      </w:p>
                    </w:tc>
                  </w:tr>
                  <w:tr w:rsidR="00F65BCA" w14:paraId="3B33C7CF" w14:textId="77777777">
                    <w:trPr>
                      <w:trHeight w:val="182"/>
                    </w:trPr>
                    <w:tc>
                      <w:tcPr>
                        <w:tcW w:w="2189" w:type="dxa"/>
                        <w:shd w:val="clear" w:color="auto" w:fill="FCE4D6"/>
                      </w:tcPr>
                      <w:p w14:paraId="2A8EE497" w14:textId="77777777" w:rsidR="00F65BCA" w:rsidRDefault="00216117">
                        <w:pPr>
                          <w:pStyle w:val="TableParagraph"/>
                          <w:spacing w:before="47"/>
                          <w:ind w:left="568" w:right="557"/>
                          <w:jc w:val="center"/>
                          <w:rPr>
                            <w:sz w:val="8"/>
                          </w:rPr>
                        </w:pPr>
                        <w:r>
                          <w:rPr>
                            <w:sz w:val="8"/>
                          </w:rPr>
                          <w:t>motocykl; tříkolky a čtyřkolky</w:t>
                        </w:r>
                      </w:p>
                    </w:tc>
                    <w:tc>
                      <w:tcPr>
                        <w:tcW w:w="915" w:type="dxa"/>
                        <w:shd w:val="clear" w:color="auto" w:fill="FCE4D6"/>
                      </w:tcPr>
                      <w:p w14:paraId="46E430DF" w14:textId="77777777" w:rsidR="00F65BCA" w:rsidRDefault="00216117">
                        <w:pPr>
                          <w:pStyle w:val="TableParagraph"/>
                          <w:spacing w:before="47"/>
                          <w:ind w:left="18"/>
                          <w:jc w:val="center"/>
                          <w:rPr>
                            <w:sz w:val="8"/>
                          </w:rPr>
                        </w:pPr>
                        <w:r>
                          <w:rPr>
                            <w:w w:val="101"/>
                            <w:sz w:val="8"/>
                          </w:rPr>
                          <w:t>-</w:t>
                        </w:r>
                      </w:p>
                    </w:tc>
                  </w:tr>
                  <w:tr w:rsidR="00F65BCA" w14:paraId="6D935728" w14:textId="77777777">
                    <w:trPr>
                      <w:trHeight w:val="182"/>
                    </w:trPr>
                    <w:tc>
                      <w:tcPr>
                        <w:tcW w:w="2189" w:type="dxa"/>
                        <w:shd w:val="clear" w:color="auto" w:fill="FCE4D6"/>
                      </w:tcPr>
                      <w:p w14:paraId="4C852026" w14:textId="77777777" w:rsidR="00F65BCA" w:rsidRDefault="00216117">
                        <w:pPr>
                          <w:pStyle w:val="TableParagraph"/>
                          <w:spacing w:before="47"/>
                          <w:ind w:left="568" w:right="555"/>
                          <w:jc w:val="center"/>
                          <w:rPr>
                            <w:sz w:val="8"/>
                          </w:rPr>
                        </w:pPr>
                        <w:r>
                          <w:rPr>
                            <w:sz w:val="8"/>
                          </w:rPr>
                          <w:t>osobní automobil</w:t>
                        </w:r>
                      </w:p>
                    </w:tc>
                    <w:tc>
                      <w:tcPr>
                        <w:tcW w:w="915" w:type="dxa"/>
                        <w:shd w:val="clear" w:color="auto" w:fill="FCE4D6"/>
                      </w:tcPr>
                      <w:p w14:paraId="2A2F2461" w14:textId="77777777" w:rsidR="00F65BCA" w:rsidRDefault="00216117">
                        <w:pPr>
                          <w:pStyle w:val="TableParagraph"/>
                          <w:spacing w:before="47"/>
                          <w:ind w:left="19"/>
                          <w:jc w:val="center"/>
                          <w:rPr>
                            <w:sz w:val="8"/>
                          </w:rPr>
                        </w:pPr>
                        <w:r>
                          <w:rPr>
                            <w:w w:val="101"/>
                            <w:sz w:val="8"/>
                          </w:rPr>
                          <w:t>-</w:t>
                        </w:r>
                      </w:p>
                    </w:tc>
                  </w:tr>
                  <w:tr w:rsidR="00F65BCA" w14:paraId="4794B89D" w14:textId="77777777">
                    <w:trPr>
                      <w:trHeight w:val="182"/>
                    </w:trPr>
                    <w:tc>
                      <w:tcPr>
                        <w:tcW w:w="2189" w:type="dxa"/>
                        <w:shd w:val="clear" w:color="auto" w:fill="FCE4D6"/>
                      </w:tcPr>
                      <w:p w14:paraId="48838308" w14:textId="77777777" w:rsidR="00F65BCA" w:rsidRDefault="00216117">
                        <w:pPr>
                          <w:pStyle w:val="TableParagraph"/>
                          <w:spacing w:before="47"/>
                          <w:ind w:left="568" w:right="556"/>
                          <w:jc w:val="center"/>
                          <w:rPr>
                            <w:sz w:val="8"/>
                          </w:rPr>
                        </w:pPr>
                        <w:r>
                          <w:rPr>
                            <w:sz w:val="8"/>
                          </w:rPr>
                          <w:t>nákladní automobil do 3,5 t</w:t>
                        </w:r>
                      </w:p>
                    </w:tc>
                    <w:tc>
                      <w:tcPr>
                        <w:tcW w:w="915" w:type="dxa"/>
                        <w:shd w:val="clear" w:color="auto" w:fill="FCE4D6"/>
                      </w:tcPr>
                      <w:p w14:paraId="78469A27" w14:textId="77777777" w:rsidR="00F65BCA" w:rsidRDefault="00216117">
                        <w:pPr>
                          <w:pStyle w:val="TableParagraph"/>
                          <w:spacing w:before="47"/>
                          <w:ind w:left="19"/>
                          <w:jc w:val="center"/>
                          <w:rPr>
                            <w:sz w:val="8"/>
                          </w:rPr>
                        </w:pPr>
                        <w:r>
                          <w:rPr>
                            <w:w w:val="101"/>
                            <w:sz w:val="8"/>
                          </w:rPr>
                          <w:t>-</w:t>
                        </w:r>
                      </w:p>
                    </w:tc>
                  </w:tr>
                  <w:tr w:rsidR="00F65BCA" w14:paraId="354AFD36" w14:textId="77777777">
                    <w:trPr>
                      <w:trHeight w:val="182"/>
                    </w:trPr>
                    <w:tc>
                      <w:tcPr>
                        <w:tcW w:w="2189" w:type="dxa"/>
                        <w:vMerge w:val="restart"/>
                        <w:shd w:val="clear" w:color="auto" w:fill="FCE4D6"/>
                      </w:tcPr>
                      <w:p w14:paraId="2F7B2EFC" w14:textId="77777777" w:rsidR="00F65BCA" w:rsidRDefault="00F65BCA">
                        <w:pPr>
                          <w:pStyle w:val="TableParagraph"/>
                          <w:rPr>
                            <w:rFonts w:ascii="Calibri"/>
                            <w:sz w:val="7"/>
                          </w:rPr>
                        </w:pPr>
                      </w:p>
                      <w:p w14:paraId="23C64C1F" w14:textId="77777777" w:rsidR="00F65BCA" w:rsidRDefault="00216117">
                        <w:pPr>
                          <w:pStyle w:val="TableParagraph"/>
                          <w:spacing w:line="276" w:lineRule="auto"/>
                          <w:ind w:left="450" w:hanging="248"/>
                          <w:rPr>
                            <w:sz w:val="8"/>
                          </w:rPr>
                        </w:pPr>
                        <w:r>
                          <w:rPr>
                            <w:sz w:val="8"/>
                          </w:rPr>
                          <w:t>traktor; motorový vozík (malotraktor); pracovní stroj samojízdný; ostatní vozidla; jiný druh</w:t>
                        </w:r>
                      </w:p>
                    </w:tc>
                    <w:tc>
                      <w:tcPr>
                        <w:tcW w:w="915" w:type="dxa"/>
                        <w:shd w:val="clear" w:color="auto" w:fill="FCE4D6"/>
                      </w:tcPr>
                      <w:p w14:paraId="0962FB2F" w14:textId="77777777" w:rsidR="00F65BCA" w:rsidRDefault="00216117">
                        <w:pPr>
                          <w:pStyle w:val="TableParagraph"/>
                          <w:spacing w:before="47"/>
                          <w:ind w:left="91" w:right="74"/>
                          <w:jc w:val="center"/>
                          <w:rPr>
                            <w:sz w:val="8"/>
                          </w:rPr>
                        </w:pPr>
                        <w:r>
                          <w:rPr>
                            <w:sz w:val="8"/>
                          </w:rPr>
                          <w:t>0-3500 kg</w:t>
                        </w:r>
                      </w:p>
                    </w:tc>
                  </w:tr>
                  <w:tr w:rsidR="00F65BCA" w14:paraId="02BE81BC" w14:textId="77777777">
                    <w:trPr>
                      <w:trHeight w:val="182"/>
                    </w:trPr>
                    <w:tc>
                      <w:tcPr>
                        <w:tcW w:w="2189" w:type="dxa"/>
                        <w:vMerge/>
                        <w:tcBorders>
                          <w:top w:val="nil"/>
                        </w:tcBorders>
                        <w:shd w:val="clear" w:color="auto" w:fill="FCE4D6"/>
                      </w:tcPr>
                      <w:p w14:paraId="18E0D0DE" w14:textId="77777777" w:rsidR="00F65BCA" w:rsidRDefault="00F65BCA">
                        <w:pPr>
                          <w:rPr>
                            <w:sz w:val="2"/>
                            <w:szCs w:val="2"/>
                          </w:rPr>
                        </w:pPr>
                      </w:p>
                    </w:tc>
                    <w:tc>
                      <w:tcPr>
                        <w:tcW w:w="915" w:type="dxa"/>
                        <w:shd w:val="clear" w:color="auto" w:fill="FCE4D6"/>
                      </w:tcPr>
                      <w:p w14:paraId="03B99CBC" w14:textId="77777777" w:rsidR="00F65BCA" w:rsidRDefault="00216117">
                        <w:pPr>
                          <w:pStyle w:val="TableParagraph"/>
                          <w:spacing w:before="47"/>
                          <w:ind w:left="91" w:right="74"/>
                          <w:jc w:val="center"/>
                          <w:rPr>
                            <w:sz w:val="8"/>
                          </w:rPr>
                        </w:pPr>
                        <w:r>
                          <w:rPr>
                            <w:sz w:val="8"/>
                          </w:rPr>
                          <w:t>&gt;3500 kg</w:t>
                        </w:r>
                      </w:p>
                    </w:tc>
                  </w:tr>
                  <w:tr w:rsidR="00F65BCA" w14:paraId="7F22D232" w14:textId="77777777">
                    <w:trPr>
                      <w:trHeight w:val="182"/>
                    </w:trPr>
                    <w:tc>
                      <w:tcPr>
                        <w:tcW w:w="2189" w:type="dxa"/>
                        <w:vMerge w:val="restart"/>
                        <w:shd w:val="clear" w:color="auto" w:fill="FCE4D6"/>
                      </w:tcPr>
                      <w:p w14:paraId="6183CDEE" w14:textId="77777777" w:rsidR="00F65BCA" w:rsidRDefault="00F65BCA">
                        <w:pPr>
                          <w:pStyle w:val="TableParagraph"/>
                          <w:rPr>
                            <w:rFonts w:ascii="Calibri"/>
                            <w:sz w:val="7"/>
                          </w:rPr>
                        </w:pPr>
                      </w:p>
                      <w:p w14:paraId="18800BFE" w14:textId="77777777" w:rsidR="00F65BCA" w:rsidRDefault="00216117">
                        <w:pPr>
                          <w:pStyle w:val="TableParagraph"/>
                          <w:spacing w:line="276" w:lineRule="auto"/>
                          <w:ind w:left="294" w:hanging="176"/>
                          <w:rPr>
                            <w:sz w:val="8"/>
                          </w:rPr>
                        </w:pPr>
                        <w:r>
                          <w:rPr>
                            <w:sz w:val="8"/>
                          </w:rPr>
                          <w:t>nákladní automobil nad 3,5 t; speciální automobil; tahač návěsů; autobus; autobus pro MHD; trolejbus</w:t>
                        </w:r>
                      </w:p>
                    </w:tc>
                    <w:tc>
                      <w:tcPr>
                        <w:tcW w:w="915" w:type="dxa"/>
                        <w:shd w:val="clear" w:color="auto" w:fill="FCE4D6"/>
                      </w:tcPr>
                      <w:p w14:paraId="0358C24E" w14:textId="77777777" w:rsidR="00F65BCA" w:rsidRDefault="00216117">
                        <w:pPr>
                          <w:pStyle w:val="TableParagraph"/>
                          <w:spacing w:before="47"/>
                          <w:ind w:left="91" w:right="74"/>
                          <w:jc w:val="center"/>
                          <w:rPr>
                            <w:sz w:val="8"/>
                          </w:rPr>
                        </w:pPr>
                        <w:r>
                          <w:rPr>
                            <w:sz w:val="8"/>
                          </w:rPr>
                          <w:t>0-3500 kg</w:t>
                        </w:r>
                      </w:p>
                    </w:tc>
                  </w:tr>
                  <w:tr w:rsidR="00F65BCA" w14:paraId="2264612E" w14:textId="77777777">
                    <w:trPr>
                      <w:trHeight w:val="182"/>
                    </w:trPr>
                    <w:tc>
                      <w:tcPr>
                        <w:tcW w:w="2189" w:type="dxa"/>
                        <w:vMerge/>
                        <w:tcBorders>
                          <w:top w:val="nil"/>
                        </w:tcBorders>
                        <w:shd w:val="clear" w:color="auto" w:fill="FCE4D6"/>
                      </w:tcPr>
                      <w:p w14:paraId="75E6BA47" w14:textId="77777777" w:rsidR="00F65BCA" w:rsidRDefault="00F65BCA">
                        <w:pPr>
                          <w:rPr>
                            <w:sz w:val="2"/>
                            <w:szCs w:val="2"/>
                          </w:rPr>
                        </w:pPr>
                      </w:p>
                    </w:tc>
                    <w:tc>
                      <w:tcPr>
                        <w:tcW w:w="915" w:type="dxa"/>
                        <w:shd w:val="clear" w:color="auto" w:fill="FCE4D6"/>
                      </w:tcPr>
                      <w:p w14:paraId="2F852836" w14:textId="77777777" w:rsidR="00F65BCA" w:rsidRDefault="00216117">
                        <w:pPr>
                          <w:pStyle w:val="TableParagraph"/>
                          <w:spacing w:before="47"/>
                          <w:ind w:left="91" w:right="74"/>
                          <w:jc w:val="center"/>
                          <w:rPr>
                            <w:sz w:val="8"/>
                          </w:rPr>
                        </w:pPr>
                        <w:r>
                          <w:rPr>
                            <w:sz w:val="8"/>
                          </w:rPr>
                          <w:t>&gt;3500 kg</w:t>
                        </w:r>
                      </w:p>
                    </w:tc>
                  </w:tr>
                </w:tbl>
                <w:p w14:paraId="7FF0F913" w14:textId="77777777" w:rsidR="00F65BCA" w:rsidRDefault="00F65BCA">
                  <w:pPr>
                    <w:pStyle w:val="Zkladntext"/>
                  </w:pPr>
                </w:p>
              </w:txbxContent>
            </v:textbox>
            <w10:anchorlock/>
          </v:shape>
        </w:pict>
      </w:r>
      <w:r w:rsidR="00216117">
        <w:rPr>
          <w:rFonts w:ascii="Times New Roman"/>
          <w:spacing w:val="82"/>
        </w:rPr>
        <w:t xml:space="preserve"> </w:t>
      </w:r>
      <w:r>
        <w:rPr>
          <w:rFonts w:ascii="Calibri"/>
          <w:spacing w:val="82"/>
        </w:rPr>
      </w:r>
      <w:r>
        <w:rPr>
          <w:rFonts w:ascii="Calibri"/>
          <w:spacing w:val="82"/>
        </w:rPr>
        <w:pict w14:anchorId="4C68675E">
          <v:shape id="_x0000_s2588" type="#_x0000_t202" style="width:315.85pt;height:112.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645"/>
                    <w:gridCol w:w="683"/>
                    <w:gridCol w:w="664"/>
                    <w:gridCol w:w="698"/>
                    <w:gridCol w:w="626"/>
                    <w:gridCol w:w="576"/>
                    <w:gridCol w:w="576"/>
                    <w:gridCol w:w="576"/>
                    <w:gridCol w:w="576"/>
                  </w:tblGrid>
                  <w:tr w:rsidR="00F65BCA" w14:paraId="0CF20E87" w14:textId="77777777">
                    <w:trPr>
                      <w:trHeight w:val="182"/>
                    </w:trPr>
                    <w:tc>
                      <w:tcPr>
                        <w:tcW w:w="3369" w:type="dxa"/>
                        <w:gridSpan w:val="5"/>
                        <w:shd w:val="clear" w:color="auto" w:fill="F8CBAD"/>
                      </w:tcPr>
                      <w:p w14:paraId="6BE08143" w14:textId="77777777" w:rsidR="00F65BCA" w:rsidRDefault="00216117">
                        <w:pPr>
                          <w:pStyle w:val="TableParagraph"/>
                          <w:spacing w:before="40"/>
                          <w:ind w:left="1132"/>
                          <w:rPr>
                            <w:b/>
                            <w:sz w:val="8"/>
                          </w:rPr>
                        </w:pPr>
                        <w:r>
                          <w:rPr>
                            <w:b/>
                            <w:sz w:val="8"/>
                          </w:rPr>
                          <w:t>Stáří vozidla do 10 let včetně</w:t>
                        </w:r>
                      </w:p>
                    </w:tc>
                    <w:tc>
                      <w:tcPr>
                        <w:tcW w:w="2930" w:type="dxa"/>
                        <w:gridSpan w:val="5"/>
                        <w:shd w:val="clear" w:color="auto" w:fill="F8CBAD"/>
                      </w:tcPr>
                      <w:p w14:paraId="1ECBD689" w14:textId="77777777" w:rsidR="00F65BCA" w:rsidRDefault="00216117">
                        <w:pPr>
                          <w:pStyle w:val="TableParagraph"/>
                          <w:spacing w:before="40"/>
                          <w:ind w:left="991"/>
                          <w:rPr>
                            <w:b/>
                            <w:sz w:val="8"/>
                          </w:rPr>
                        </w:pPr>
                        <w:r>
                          <w:rPr>
                            <w:b/>
                            <w:sz w:val="8"/>
                          </w:rPr>
                          <w:t>Stáří vozidla 11 a více let</w:t>
                        </w:r>
                      </w:p>
                    </w:tc>
                  </w:tr>
                  <w:tr w:rsidR="00F65BCA" w14:paraId="21FACC90" w14:textId="77777777">
                    <w:trPr>
                      <w:trHeight w:val="124"/>
                    </w:trPr>
                    <w:tc>
                      <w:tcPr>
                        <w:tcW w:w="679" w:type="dxa"/>
                        <w:shd w:val="clear" w:color="auto" w:fill="F8CBAD"/>
                      </w:tcPr>
                      <w:p w14:paraId="3D2412D5" w14:textId="77777777" w:rsidR="00F65BCA" w:rsidRDefault="00216117">
                        <w:pPr>
                          <w:pStyle w:val="TableParagraph"/>
                          <w:spacing w:before="16" w:line="88" w:lineRule="exact"/>
                          <w:ind w:left="311"/>
                          <w:rPr>
                            <w:b/>
                            <w:sz w:val="8"/>
                          </w:rPr>
                        </w:pPr>
                        <w:r>
                          <w:rPr>
                            <w:b/>
                            <w:w w:val="101"/>
                            <w:sz w:val="8"/>
                          </w:rPr>
                          <w:t>S</w:t>
                        </w:r>
                      </w:p>
                    </w:tc>
                    <w:tc>
                      <w:tcPr>
                        <w:tcW w:w="645" w:type="dxa"/>
                        <w:shd w:val="clear" w:color="auto" w:fill="F8CBAD"/>
                      </w:tcPr>
                      <w:p w14:paraId="2BF33B4A" w14:textId="77777777" w:rsidR="00F65BCA" w:rsidRDefault="00216117">
                        <w:pPr>
                          <w:pStyle w:val="TableParagraph"/>
                          <w:spacing w:before="16" w:line="88" w:lineRule="exact"/>
                          <w:ind w:left="8"/>
                          <w:jc w:val="center"/>
                          <w:rPr>
                            <w:b/>
                            <w:sz w:val="8"/>
                          </w:rPr>
                        </w:pPr>
                        <w:r>
                          <w:rPr>
                            <w:b/>
                            <w:w w:val="101"/>
                            <w:sz w:val="8"/>
                          </w:rPr>
                          <w:t>M</w:t>
                        </w:r>
                      </w:p>
                    </w:tc>
                    <w:tc>
                      <w:tcPr>
                        <w:tcW w:w="683" w:type="dxa"/>
                        <w:shd w:val="clear" w:color="auto" w:fill="F8CBAD"/>
                      </w:tcPr>
                      <w:p w14:paraId="2D364B6B" w14:textId="77777777" w:rsidR="00F65BCA" w:rsidRDefault="00216117">
                        <w:pPr>
                          <w:pStyle w:val="TableParagraph"/>
                          <w:spacing w:before="16" w:line="88" w:lineRule="exact"/>
                          <w:ind w:right="303"/>
                          <w:jc w:val="right"/>
                          <w:rPr>
                            <w:b/>
                            <w:sz w:val="8"/>
                          </w:rPr>
                        </w:pPr>
                        <w:r>
                          <w:rPr>
                            <w:b/>
                            <w:w w:val="101"/>
                            <w:sz w:val="8"/>
                          </w:rPr>
                          <w:t>L</w:t>
                        </w:r>
                      </w:p>
                    </w:tc>
                    <w:tc>
                      <w:tcPr>
                        <w:tcW w:w="664" w:type="dxa"/>
                        <w:shd w:val="clear" w:color="auto" w:fill="F8CBAD"/>
                      </w:tcPr>
                      <w:p w14:paraId="16F810EE" w14:textId="77777777" w:rsidR="00F65BCA" w:rsidRDefault="00216117">
                        <w:pPr>
                          <w:pStyle w:val="TableParagraph"/>
                          <w:spacing w:before="16" w:line="88" w:lineRule="exact"/>
                          <w:ind w:left="222" w:right="207"/>
                          <w:jc w:val="center"/>
                          <w:rPr>
                            <w:b/>
                            <w:sz w:val="8"/>
                          </w:rPr>
                        </w:pPr>
                        <w:r>
                          <w:rPr>
                            <w:b/>
                            <w:sz w:val="8"/>
                          </w:rPr>
                          <w:t>XL</w:t>
                        </w:r>
                      </w:p>
                    </w:tc>
                    <w:tc>
                      <w:tcPr>
                        <w:tcW w:w="698" w:type="dxa"/>
                        <w:shd w:val="clear" w:color="auto" w:fill="F8CBAD"/>
                      </w:tcPr>
                      <w:p w14:paraId="45AE31C2" w14:textId="77777777" w:rsidR="00F65BCA" w:rsidRDefault="00216117">
                        <w:pPr>
                          <w:pStyle w:val="TableParagraph"/>
                          <w:spacing w:before="16" w:line="88" w:lineRule="exact"/>
                          <w:ind w:left="150" w:right="133"/>
                          <w:jc w:val="center"/>
                          <w:rPr>
                            <w:b/>
                            <w:sz w:val="8"/>
                          </w:rPr>
                        </w:pPr>
                        <w:r>
                          <w:rPr>
                            <w:b/>
                            <w:sz w:val="8"/>
                          </w:rPr>
                          <w:t>Souprava</w:t>
                        </w:r>
                      </w:p>
                    </w:tc>
                    <w:tc>
                      <w:tcPr>
                        <w:tcW w:w="626" w:type="dxa"/>
                        <w:shd w:val="clear" w:color="auto" w:fill="F8CBAD"/>
                      </w:tcPr>
                      <w:p w14:paraId="46B7BB43" w14:textId="77777777" w:rsidR="00F65BCA" w:rsidRDefault="00216117">
                        <w:pPr>
                          <w:pStyle w:val="TableParagraph"/>
                          <w:spacing w:before="16" w:line="88" w:lineRule="exact"/>
                          <w:ind w:left="288"/>
                          <w:rPr>
                            <w:b/>
                            <w:sz w:val="8"/>
                          </w:rPr>
                        </w:pPr>
                        <w:r>
                          <w:rPr>
                            <w:b/>
                            <w:w w:val="101"/>
                            <w:sz w:val="8"/>
                          </w:rPr>
                          <w:t>S</w:t>
                        </w:r>
                      </w:p>
                    </w:tc>
                    <w:tc>
                      <w:tcPr>
                        <w:tcW w:w="576" w:type="dxa"/>
                        <w:shd w:val="clear" w:color="auto" w:fill="F8CBAD"/>
                      </w:tcPr>
                      <w:p w14:paraId="1197E6BD" w14:textId="77777777" w:rsidR="00F65BCA" w:rsidRDefault="00216117">
                        <w:pPr>
                          <w:pStyle w:val="TableParagraph"/>
                          <w:spacing w:before="16" w:line="88" w:lineRule="exact"/>
                          <w:ind w:left="257"/>
                          <w:rPr>
                            <w:b/>
                            <w:sz w:val="8"/>
                          </w:rPr>
                        </w:pPr>
                        <w:r>
                          <w:rPr>
                            <w:b/>
                            <w:w w:val="101"/>
                            <w:sz w:val="8"/>
                          </w:rPr>
                          <w:t>M</w:t>
                        </w:r>
                      </w:p>
                    </w:tc>
                    <w:tc>
                      <w:tcPr>
                        <w:tcW w:w="576" w:type="dxa"/>
                        <w:shd w:val="clear" w:color="auto" w:fill="F8CBAD"/>
                      </w:tcPr>
                      <w:p w14:paraId="0B7B9BA2" w14:textId="77777777" w:rsidR="00F65BCA" w:rsidRDefault="00216117">
                        <w:pPr>
                          <w:pStyle w:val="TableParagraph"/>
                          <w:spacing w:before="16" w:line="88" w:lineRule="exact"/>
                          <w:ind w:right="247"/>
                          <w:jc w:val="right"/>
                          <w:rPr>
                            <w:b/>
                            <w:sz w:val="8"/>
                          </w:rPr>
                        </w:pPr>
                        <w:r>
                          <w:rPr>
                            <w:b/>
                            <w:w w:val="101"/>
                            <w:sz w:val="8"/>
                          </w:rPr>
                          <w:t>L</w:t>
                        </w:r>
                      </w:p>
                    </w:tc>
                    <w:tc>
                      <w:tcPr>
                        <w:tcW w:w="576" w:type="dxa"/>
                        <w:shd w:val="clear" w:color="auto" w:fill="F8CBAD"/>
                      </w:tcPr>
                      <w:p w14:paraId="200E4775" w14:textId="77777777" w:rsidR="00F65BCA" w:rsidRDefault="00216117">
                        <w:pPr>
                          <w:pStyle w:val="TableParagraph"/>
                          <w:spacing w:before="16" w:line="88" w:lineRule="exact"/>
                          <w:ind w:left="238"/>
                          <w:rPr>
                            <w:b/>
                            <w:sz w:val="8"/>
                          </w:rPr>
                        </w:pPr>
                        <w:r>
                          <w:rPr>
                            <w:b/>
                            <w:sz w:val="8"/>
                          </w:rPr>
                          <w:t>XL</w:t>
                        </w:r>
                      </w:p>
                    </w:tc>
                    <w:tc>
                      <w:tcPr>
                        <w:tcW w:w="576" w:type="dxa"/>
                        <w:shd w:val="clear" w:color="auto" w:fill="F8CBAD"/>
                      </w:tcPr>
                      <w:p w14:paraId="5ED8106B" w14:textId="77777777" w:rsidR="00F65BCA" w:rsidRDefault="00216117">
                        <w:pPr>
                          <w:pStyle w:val="TableParagraph"/>
                          <w:spacing w:before="16" w:line="88" w:lineRule="exact"/>
                          <w:ind w:left="88" w:right="72"/>
                          <w:jc w:val="center"/>
                          <w:rPr>
                            <w:b/>
                            <w:sz w:val="8"/>
                          </w:rPr>
                        </w:pPr>
                        <w:r>
                          <w:rPr>
                            <w:b/>
                            <w:sz w:val="8"/>
                          </w:rPr>
                          <w:t>Souprava</w:t>
                        </w:r>
                      </w:p>
                    </w:tc>
                  </w:tr>
                  <w:tr w:rsidR="00F65BCA" w14:paraId="14F2836E" w14:textId="77777777">
                    <w:trPr>
                      <w:trHeight w:val="182"/>
                    </w:trPr>
                    <w:tc>
                      <w:tcPr>
                        <w:tcW w:w="679" w:type="dxa"/>
                      </w:tcPr>
                      <w:p w14:paraId="2D86752C" w14:textId="77777777" w:rsidR="00F65BCA" w:rsidRDefault="00216117">
                        <w:pPr>
                          <w:pStyle w:val="TableParagraph"/>
                          <w:spacing w:before="47"/>
                          <w:ind w:left="321"/>
                          <w:rPr>
                            <w:sz w:val="8"/>
                          </w:rPr>
                        </w:pPr>
                        <w:r>
                          <w:rPr>
                            <w:w w:val="101"/>
                            <w:sz w:val="8"/>
                          </w:rPr>
                          <w:t>0</w:t>
                        </w:r>
                      </w:p>
                    </w:tc>
                    <w:tc>
                      <w:tcPr>
                        <w:tcW w:w="645" w:type="dxa"/>
                      </w:tcPr>
                      <w:p w14:paraId="1A49F00E" w14:textId="77777777" w:rsidR="00F65BCA" w:rsidRDefault="00216117">
                        <w:pPr>
                          <w:pStyle w:val="TableParagraph"/>
                          <w:spacing w:before="47"/>
                          <w:ind w:left="20"/>
                          <w:jc w:val="center"/>
                          <w:rPr>
                            <w:sz w:val="8"/>
                          </w:rPr>
                        </w:pPr>
                        <w:r>
                          <w:rPr>
                            <w:w w:val="101"/>
                            <w:sz w:val="8"/>
                          </w:rPr>
                          <w:t>0</w:t>
                        </w:r>
                      </w:p>
                    </w:tc>
                    <w:tc>
                      <w:tcPr>
                        <w:tcW w:w="683" w:type="dxa"/>
                      </w:tcPr>
                      <w:p w14:paraId="218AFF1D" w14:textId="77777777" w:rsidR="00F65BCA" w:rsidRDefault="00216117">
                        <w:pPr>
                          <w:pStyle w:val="TableParagraph"/>
                          <w:spacing w:before="47"/>
                          <w:ind w:right="255"/>
                          <w:jc w:val="right"/>
                          <w:rPr>
                            <w:sz w:val="8"/>
                          </w:rPr>
                        </w:pPr>
                        <w:r>
                          <w:rPr>
                            <w:sz w:val="8"/>
                          </w:rPr>
                          <w:t>204</w:t>
                        </w:r>
                      </w:p>
                    </w:tc>
                    <w:tc>
                      <w:tcPr>
                        <w:tcW w:w="664" w:type="dxa"/>
                      </w:tcPr>
                      <w:p w14:paraId="6C69AD96" w14:textId="77777777" w:rsidR="00F65BCA" w:rsidRDefault="00216117">
                        <w:pPr>
                          <w:pStyle w:val="TableParagraph"/>
                          <w:spacing w:before="47"/>
                          <w:ind w:left="228" w:right="205"/>
                          <w:jc w:val="center"/>
                          <w:rPr>
                            <w:sz w:val="8"/>
                          </w:rPr>
                        </w:pPr>
                        <w:r>
                          <w:rPr>
                            <w:sz w:val="8"/>
                          </w:rPr>
                          <w:t>348</w:t>
                        </w:r>
                      </w:p>
                    </w:tc>
                    <w:tc>
                      <w:tcPr>
                        <w:tcW w:w="698" w:type="dxa"/>
                      </w:tcPr>
                      <w:p w14:paraId="2D353A38" w14:textId="77777777" w:rsidR="00F65BCA" w:rsidRDefault="00216117">
                        <w:pPr>
                          <w:pStyle w:val="TableParagraph"/>
                          <w:spacing w:before="47"/>
                          <w:ind w:left="150" w:right="128"/>
                          <w:jc w:val="center"/>
                          <w:rPr>
                            <w:sz w:val="8"/>
                          </w:rPr>
                        </w:pPr>
                        <w:r>
                          <w:rPr>
                            <w:sz w:val="8"/>
                          </w:rPr>
                          <w:t>9600</w:t>
                        </w:r>
                      </w:p>
                    </w:tc>
                    <w:tc>
                      <w:tcPr>
                        <w:tcW w:w="626" w:type="dxa"/>
                      </w:tcPr>
                      <w:p w14:paraId="6E075161" w14:textId="77777777" w:rsidR="00F65BCA" w:rsidRDefault="00216117">
                        <w:pPr>
                          <w:pStyle w:val="TableParagraph"/>
                          <w:spacing w:before="47"/>
                          <w:ind w:left="298"/>
                          <w:rPr>
                            <w:sz w:val="8"/>
                          </w:rPr>
                        </w:pPr>
                        <w:r>
                          <w:rPr>
                            <w:w w:val="101"/>
                            <w:sz w:val="8"/>
                          </w:rPr>
                          <w:t>0</w:t>
                        </w:r>
                      </w:p>
                    </w:tc>
                    <w:tc>
                      <w:tcPr>
                        <w:tcW w:w="576" w:type="dxa"/>
                      </w:tcPr>
                      <w:p w14:paraId="29C9EAAE" w14:textId="77777777" w:rsidR="00F65BCA" w:rsidRDefault="00216117">
                        <w:pPr>
                          <w:pStyle w:val="TableParagraph"/>
                          <w:spacing w:before="47"/>
                          <w:ind w:left="272"/>
                          <w:rPr>
                            <w:sz w:val="8"/>
                          </w:rPr>
                        </w:pPr>
                        <w:r>
                          <w:rPr>
                            <w:w w:val="101"/>
                            <w:sz w:val="8"/>
                          </w:rPr>
                          <w:t>0</w:t>
                        </w:r>
                      </w:p>
                    </w:tc>
                    <w:tc>
                      <w:tcPr>
                        <w:tcW w:w="576" w:type="dxa"/>
                      </w:tcPr>
                      <w:p w14:paraId="423CD32D" w14:textId="77777777" w:rsidR="00F65BCA" w:rsidRDefault="00216117">
                        <w:pPr>
                          <w:pStyle w:val="TableParagraph"/>
                          <w:spacing w:before="47"/>
                          <w:ind w:right="200"/>
                          <w:jc w:val="right"/>
                          <w:rPr>
                            <w:sz w:val="8"/>
                          </w:rPr>
                        </w:pPr>
                        <w:r>
                          <w:rPr>
                            <w:sz w:val="8"/>
                          </w:rPr>
                          <w:t>216</w:t>
                        </w:r>
                      </w:p>
                    </w:tc>
                    <w:tc>
                      <w:tcPr>
                        <w:tcW w:w="576" w:type="dxa"/>
                      </w:tcPr>
                      <w:p w14:paraId="327E4781" w14:textId="77777777" w:rsidR="00F65BCA" w:rsidRDefault="00216117">
                        <w:pPr>
                          <w:pStyle w:val="TableParagraph"/>
                          <w:spacing w:before="47"/>
                          <w:ind w:left="226"/>
                          <w:rPr>
                            <w:sz w:val="8"/>
                          </w:rPr>
                        </w:pPr>
                        <w:r>
                          <w:rPr>
                            <w:sz w:val="8"/>
                          </w:rPr>
                          <w:t>384</w:t>
                        </w:r>
                      </w:p>
                    </w:tc>
                    <w:tc>
                      <w:tcPr>
                        <w:tcW w:w="576" w:type="dxa"/>
                      </w:tcPr>
                      <w:p w14:paraId="3189F7C1" w14:textId="77777777" w:rsidR="00F65BCA" w:rsidRDefault="00216117">
                        <w:pPr>
                          <w:pStyle w:val="TableParagraph"/>
                          <w:spacing w:before="47"/>
                          <w:ind w:left="88" w:right="65"/>
                          <w:jc w:val="center"/>
                          <w:rPr>
                            <w:sz w:val="8"/>
                          </w:rPr>
                        </w:pPr>
                        <w:r>
                          <w:rPr>
                            <w:sz w:val="8"/>
                          </w:rPr>
                          <w:t>10560</w:t>
                        </w:r>
                      </w:p>
                    </w:tc>
                  </w:tr>
                  <w:tr w:rsidR="00F65BCA" w14:paraId="52247D81" w14:textId="77777777">
                    <w:trPr>
                      <w:trHeight w:val="182"/>
                    </w:trPr>
                    <w:tc>
                      <w:tcPr>
                        <w:tcW w:w="679" w:type="dxa"/>
                      </w:tcPr>
                      <w:p w14:paraId="36A8BE0C" w14:textId="77777777" w:rsidR="00F65BCA" w:rsidRDefault="00216117">
                        <w:pPr>
                          <w:pStyle w:val="TableParagraph"/>
                          <w:spacing w:before="47"/>
                          <w:ind w:left="321"/>
                          <w:rPr>
                            <w:sz w:val="8"/>
                          </w:rPr>
                        </w:pPr>
                        <w:r>
                          <w:rPr>
                            <w:w w:val="101"/>
                            <w:sz w:val="8"/>
                          </w:rPr>
                          <w:t>0</w:t>
                        </w:r>
                      </w:p>
                    </w:tc>
                    <w:tc>
                      <w:tcPr>
                        <w:tcW w:w="645" w:type="dxa"/>
                      </w:tcPr>
                      <w:p w14:paraId="028F96D9" w14:textId="77777777" w:rsidR="00F65BCA" w:rsidRDefault="00216117">
                        <w:pPr>
                          <w:pStyle w:val="TableParagraph"/>
                          <w:spacing w:before="47"/>
                          <w:ind w:left="20"/>
                          <w:jc w:val="center"/>
                          <w:rPr>
                            <w:sz w:val="8"/>
                          </w:rPr>
                        </w:pPr>
                        <w:r>
                          <w:rPr>
                            <w:w w:val="101"/>
                            <w:sz w:val="8"/>
                          </w:rPr>
                          <w:t>0</w:t>
                        </w:r>
                      </w:p>
                    </w:tc>
                    <w:tc>
                      <w:tcPr>
                        <w:tcW w:w="683" w:type="dxa"/>
                      </w:tcPr>
                      <w:p w14:paraId="599AB70E" w14:textId="77777777" w:rsidR="00F65BCA" w:rsidRDefault="00216117">
                        <w:pPr>
                          <w:pStyle w:val="TableParagraph"/>
                          <w:spacing w:before="47"/>
                          <w:ind w:right="255"/>
                          <w:jc w:val="right"/>
                          <w:rPr>
                            <w:sz w:val="8"/>
                          </w:rPr>
                        </w:pPr>
                        <w:r>
                          <w:rPr>
                            <w:sz w:val="8"/>
                          </w:rPr>
                          <w:t>504</w:t>
                        </w:r>
                      </w:p>
                    </w:tc>
                    <w:tc>
                      <w:tcPr>
                        <w:tcW w:w="664" w:type="dxa"/>
                      </w:tcPr>
                      <w:p w14:paraId="1F6D8515" w14:textId="77777777" w:rsidR="00F65BCA" w:rsidRDefault="00216117">
                        <w:pPr>
                          <w:pStyle w:val="TableParagraph"/>
                          <w:spacing w:before="47"/>
                          <w:ind w:left="228" w:right="205"/>
                          <w:jc w:val="center"/>
                          <w:rPr>
                            <w:sz w:val="8"/>
                          </w:rPr>
                        </w:pPr>
                        <w:r>
                          <w:rPr>
                            <w:sz w:val="8"/>
                          </w:rPr>
                          <w:t>504</w:t>
                        </w:r>
                      </w:p>
                    </w:tc>
                    <w:tc>
                      <w:tcPr>
                        <w:tcW w:w="698" w:type="dxa"/>
                      </w:tcPr>
                      <w:p w14:paraId="47973DD0" w14:textId="77777777" w:rsidR="00F65BCA" w:rsidRDefault="00216117">
                        <w:pPr>
                          <w:pStyle w:val="TableParagraph"/>
                          <w:spacing w:before="47"/>
                          <w:ind w:left="150" w:right="128"/>
                          <w:jc w:val="center"/>
                          <w:rPr>
                            <w:sz w:val="8"/>
                          </w:rPr>
                        </w:pPr>
                        <w:r>
                          <w:rPr>
                            <w:sz w:val="8"/>
                          </w:rPr>
                          <w:t>9396</w:t>
                        </w:r>
                      </w:p>
                    </w:tc>
                    <w:tc>
                      <w:tcPr>
                        <w:tcW w:w="626" w:type="dxa"/>
                      </w:tcPr>
                      <w:p w14:paraId="102B1D79" w14:textId="77777777" w:rsidR="00F65BCA" w:rsidRDefault="00216117">
                        <w:pPr>
                          <w:pStyle w:val="TableParagraph"/>
                          <w:spacing w:before="47"/>
                          <w:ind w:left="298"/>
                          <w:rPr>
                            <w:sz w:val="8"/>
                          </w:rPr>
                        </w:pPr>
                        <w:r>
                          <w:rPr>
                            <w:w w:val="101"/>
                            <w:sz w:val="8"/>
                          </w:rPr>
                          <w:t>0</w:t>
                        </w:r>
                      </w:p>
                    </w:tc>
                    <w:tc>
                      <w:tcPr>
                        <w:tcW w:w="576" w:type="dxa"/>
                      </w:tcPr>
                      <w:p w14:paraId="61165451" w14:textId="77777777" w:rsidR="00F65BCA" w:rsidRDefault="00216117">
                        <w:pPr>
                          <w:pStyle w:val="TableParagraph"/>
                          <w:spacing w:before="47"/>
                          <w:ind w:left="272"/>
                          <w:rPr>
                            <w:sz w:val="8"/>
                          </w:rPr>
                        </w:pPr>
                        <w:r>
                          <w:rPr>
                            <w:w w:val="101"/>
                            <w:sz w:val="8"/>
                          </w:rPr>
                          <w:t>0</w:t>
                        </w:r>
                      </w:p>
                    </w:tc>
                    <w:tc>
                      <w:tcPr>
                        <w:tcW w:w="576" w:type="dxa"/>
                      </w:tcPr>
                      <w:p w14:paraId="30AD8B75" w14:textId="77777777" w:rsidR="00F65BCA" w:rsidRDefault="00216117">
                        <w:pPr>
                          <w:pStyle w:val="TableParagraph"/>
                          <w:spacing w:before="47"/>
                          <w:ind w:right="200"/>
                          <w:jc w:val="right"/>
                          <w:rPr>
                            <w:sz w:val="8"/>
                          </w:rPr>
                        </w:pPr>
                        <w:r>
                          <w:rPr>
                            <w:sz w:val="8"/>
                          </w:rPr>
                          <w:t>552</w:t>
                        </w:r>
                      </w:p>
                    </w:tc>
                    <w:tc>
                      <w:tcPr>
                        <w:tcW w:w="576" w:type="dxa"/>
                      </w:tcPr>
                      <w:p w14:paraId="0CCBCDCA" w14:textId="77777777" w:rsidR="00F65BCA" w:rsidRDefault="00216117">
                        <w:pPr>
                          <w:pStyle w:val="TableParagraph"/>
                          <w:spacing w:before="47"/>
                          <w:ind w:left="226"/>
                          <w:rPr>
                            <w:sz w:val="8"/>
                          </w:rPr>
                        </w:pPr>
                        <w:r>
                          <w:rPr>
                            <w:sz w:val="8"/>
                          </w:rPr>
                          <w:t>552</w:t>
                        </w:r>
                      </w:p>
                    </w:tc>
                    <w:tc>
                      <w:tcPr>
                        <w:tcW w:w="576" w:type="dxa"/>
                      </w:tcPr>
                      <w:p w14:paraId="01A28066" w14:textId="77777777" w:rsidR="00F65BCA" w:rsidRDefault="00216117">
                        <w:pPr>
                          <w:pStyle w:val="TableParagraph"/>
                          <w:spacing w:before="47"/>
                          <w:ind w:left="88" w:right="65"/>
                          <w:jc w:val="center"/>
                          <w:rPr>
                            <w:sz w:val="8"/>
                          </w:rPr>
                        </w:pPr>
                        <w:r>
                          <w:rPr>
                            <w:sz w:val="8"/>
                          </w:rPr>
                          <w:t>10344</w:t>
                        </w:r>
                      </w:p>
                    </w:tc>
                  </w:tr>
                  <w:tr w:rsidR="00F65BCA" w14:paraId="503E06CC" w14:textId="77777777">
                    <w:trPr>
                      <w:trHeight w:val="182"/>
                    </w:trPr>
                    <w:tc>
                      <w:tcPr>
                        <w:tcW w:w="679" w:type="dxa"/>
                      </w:tcPr>
                      <w:p w14:paraId="5CEF9D66" w14:textId="77777777" w:rsidR="00F65BCA" w:rsidRDefault="00216117">
                        <w:pPr>
                          <w:pStyle w:val="TableParagraph"/>
                          <w:spacing w:before="47"/>
                          <w:ind w:left="321"/>
                          <w:rPr>
                            <w:sz w:val="8"/>
                          </w:rPr>
                        </w:pPr>
                        <w:r>
                          <w:rPr>
                            <w:w w:val="101"/>
                            <w:sz w:val="8"/>
                          </w:rPr>
                          <w:t>0</w:t>
                        </w:r>
                      </w:p>
                    </w:tc>
                    <w:tc>
                      <w:tcPr>
                        <w:tcW w:w="645" w:type="dxa"/>
                      </w:tcPr>
                      <w:p w14:paraId="6F7627B2" w14:textId="77777777" w:rsidR="00F65BCA" w:rsidRDefault="00216117">
                        <w:pPr>
                          <w:pStyle w:val="TableParagraph"/>
                          <w:spacing w:before="47"/>
                          <w:ind w:left="20"/>
                          <w:jc w:val="center"/>
                          <w:rPr>
                            <w:sz w:val="8"/>
                          </w:rPr>
                        </w:pPr>
                        <w:r>
                          <w:rPr>
                            <w:w w:val="101"/>
                            <w:sz w:val="8"/>
                          </w:rPr>
                          <w:t>0</w:t>
                        </w:r>
                      </w:p>
                    </w:tc>
                    <w:tc>
                      <w:tcPr>
                        <w:tcW w:w="683" w:type="dxa"/>
                      </w:tcPr>
                      <w:p w14:paraId="22DDC91C" w14:textId="77777777" w:rsidR="00F65BCA" w:rsidRDefault="00216117">
                        <w:pPr>
                          <w:pStyle w:val="TableParagraph"/>
                          <w:spacing w:before="47"/>
                          <w:ind w:right="233"/>
                          <w:jc w:val="right"/>
                          <w:rPr>
                            <w:sz w:val="8"/>
                          </w:rPr>
                        </w:pPr>
                        <w:r>
                          <w:rPr>
                            <w:sz w:val="8"/>
                          </w:rPr>
                          <w:t>2904</w:t>
                        </w:r>
                      </w:p>
                    </w:tc>
                    <w:tc>
                      <w:tcPr>
                        <w:tcW w:w="664" w:type="dxa"/>
                      </w:tcPr>
                      <w:p w14:paraId="3178EAF3" w14:textId="77777777" w:rsidR="00F65BCA" w:rsidRDefault="00216117">
                        <w:pPr>
                          <w:pStyle w:val="TableParagraph"/>
                          <w:spacing w:before="47"/>
                          <w:ind w:left="228" w:right="207"/>
                          <w:jc w:val="center"/>
                          <w:rPr>
                            <w:sz w:val="8"/>
                          </w:rPr>
                        </w:pPr>
                        <w:r>
                          <w:rPr>
                            <w:sz w:val="8"/>
                          </w:rPr>
                          <w:t>1956</w:t>
                        </w:r>
                      </w:p>
                    </w:tc>
                    <w:tc>
                      <w:tcPr>
                        <w:tcW w:w="698" w:type="dxa"/>
                      </w:tcPr>
                      <w:p w14:paraId="06DA3377" w14:textId="77777777" w:rsidR="00F65BCA" w:rsidRDefault="00216117">
                        <w:pPr>
                          <w:pStyle w:val="TableParagraph"/>
                          <w:spacing w:before="47"/>
                          <w:ind w:left="150" w:right="128"/>
                          <w:jc w:val="center"/>
                          <w:rPr>
                            <w:sz w:val="8"/>
                          </w:rPr>
                        </w:pPr>
                        <w:r>
                          <w:rPr>
                            <w:sz w:val="8"/>
                          </w:rPr>
                          <w:t>8904</w:t>
                        </w:r>
                      </w:p>
                    </w:tc>
                    <w:tc>
                      <w:tcPr>
                        <w:tcW w:w="626" w:type="dxa"/>
                      </w:tcPr>
                      <w:p w14:paraId="7BF4FEC5" w14:textId="77777777" w:rsidR="00F65BCA" w:rsidRDefault="00216117">
                        <w:pPr>
                          <w:pStyle w:val="TableParagraph"/>
                          <w:spacing w:before="47"/>
                          <w:ind w:left="298"/>
                          <w:rPr>
                            <w:sz w:val="8"/>
                          </w:rPr>
                        </w:pPr>
                        <w:r>
                          <w:rPr>
                            <w:w w:val="101"/>
                            <w:sz w:val="8"/>
                          </w:rPr>
                          <w:t>0</w:t>
                        </w:r>
                      </w:p>
                    </w:tc>
                    <w:tc>
                      <w:tcPr>
                        <w:tcW w:w="576" w:type="dxa"/>
                      </w:tcPr>
                      <w:p w14:paraId="00DEC1A8" w14:textId="77777777" w:rsidR="00F65BCA" w:rsidRDefault="00216117">
                        <w:pPr>
                          <w:pStyle w:val="TableParagraph"/>
                          <w:spacing w:before="47"/>
                          <w:ind w:left="272"/>
                          <w:rPr>
                            <w:sz w:val="8"/>
                          </w:rPr>
                        </w:pPr>
                        <w:r>
                          <w:rPr>
                            <w:w w:val="101"/>
                            <w:sz w:val="8"/>
                          </w:rPr>
                          <w:t>0</w:t>
                        </w:r>
                      </w:p>
                    </w:tc>
                    <w:tc>
                      <w:tcPr>
                        <w:tcW w:w="576" w:type="dxa"/>
                      </w:tcPr>
                      <w:p w14:paraId="7CB807B2" w14:textId="77777777" w:rsidR="00F65BCA" w:rsidRDefault="00216117">
                        <w:pPr>
                          <w:pStyle w:val="TableParagraph"/>
                          <w:spacing w:before="47"/>
                          <w:ind w:right="176"/>
                          <w:jc w:val="right"/>
                          <w:rPr>
                            <w:sz w:val="8"/>
                          </w:rPr>
                        </w:pPr>
                        <w:r>
                          <w:rPr>
                            <w:sz w:val="8"/>
                          </w:rPr>
                          <w:t>3192</w:t>
                        </w:r>
                      </w:p>
                    </w:tc>
                    <w:tc>
                      <w:tcPr>
                        <w:tcW w:w="576" w:type="dxa"/>
                      </w:tcPr>
                      <w:p w14:paraId="3B0C2450" w14:textId="77777777" w:rsidR="00F65BCA" w:rsidRDefault="00216117">
                        <w:pPr>
                          <w:pStyle w:val="TableParagraph"/>
                          <w:spacing w:before="47"/>
                          <w:ind w:left="205"/>
                          <w:rPr>
                            <w:sz w:val="8"/>
                          </w:rPr>
                        </w:pPr>
                        <w:r>
                          <w:rPr>
                            <w:sz w:val="8"/>
                          </w:rPr>
                          <w:t>2148</w:t>
                        </w:r>
                      </w:p>
                    </w:tc>
                    <w:tc>
                      <w:tcPr>
                        <w:tcW w:w="576" w:type="dxa"/>
                      </w:tcPr>
                      <w:p w14:paraId="5BD9DE9D" w14:textId="77777777" w:rsidR="00F65BCA" w:rsidRDefault="00216117">
                        <w:pPr>
                          <w:pStyle w:val="TableParagraph"/>
                          <w:spacing w:before="47"/>
                          <w:ind w:left="88" w:right="62"/>
                          <w:jc w:val="center"/>
                          <w:rPr>
                            <w:sz w:val="8"/>
                          </w:rPr>
                        </w:pPr>
                        <w:r>
                          <w:rPr>
                            <w:sz w:val="8"/>
                          </w:rPr>
                          <w:t>9792</w:t>
                        </w:r>
                      </w:p>
                    </w:tc>
                  </w:tr>
                  <w:tr w:rsidR="00F65BCA" w14:paraId="00B5309E" w14:textId="77777777">
                    <w:trPr>
                      <w:trHeight w:val="182"/>
                    </w:trPr>
                    <w:tc>
                      <w:tcPr>
                        <w:tcW w:w="679" w:type="dxa"/>
                      </w:tcPr>
                      <w:p w14:paraId="7697B12C" w14:textId="77777777" w:rsidR="00F65BCA" w:rsidRDefault="00216117">
                        <w:pPr>
                          <w:pStyle w:val="TableParagraph"/>
                          <w:spacing w:before="47"/>
                          <w:ind w:left="321"/>
                          <w:rPr>
                            <w:sz w:val="8"/>
                          </w:rPr>
                        </w:pPr>
                        <w:r>
                          <w:rPr>
                            <w:w w:val="101"/>
                            <w:sz w:val="8"/>
                          </w:rPr>
                          <w:t>0</w:t>
                        </w:r>
                      </w:p>
                    </w:tc>
                    <w:tc>
                      <w:tcPr>
                        <w:tcW w:w="645" w:type="dxa"/>
                      </w:tcPr>
                      <w:p w14:paraId="3474E8DC" w14:textId="77777777" w:rsidR="00F65BCA" w:rsidRDefault="00216117">
                        <w:pPr>
                          <w:pStyle w:val="TableParagraph"/>
                          <w:spacing w:before="47"/>
                          <w:ind w:left="19"/>
                          <w:jc w:val="center"/>
                          <w:rPr>
                            <w:sz w:val="8"/>
                          </w:rPr>
                        </w:pPr>
                        <w:r>
                          <w:rPr>
                            <w:w w:val="101"/>
                            <w:sz w:val="8"/>
                          </w:rPr>
                          <w:t>0</w:t>
                        </w:r>
                      </w:p>
                    </w:tc>
                    <w:tc>
                      <w:tcPr>
                        <w:tcW w:w="683" w:type="dxa"/>
                      </w:tcPr>
                      <w:p w14:paraId="04160DC7" w14:textId="77777777" w:rsidR="00F65BCA" w:rsidRDefault="00216117">
                        <w:pPr>
                          <w:pStyle w:val="TableParagraph"/>
                          <w:spacing w:before="47"/>
                          <w:ind w:right="255"/>
                          <w:jc w:val="right"/>
                          <w:rPr>
                            <w:sz w:val="8"/>
                          </w:rPr>
                        </w:pPr>
                        <w:r>
                          <w:rPr>
                            <w:sz w:val="8"/>
                          </w:rPr>
                          <w:t>600</w:t>
                        </w:r>
                      </w:p>
                    </w:tc>
                    <w:tc>
                      <w:tcPr>
                        <w:tcW w:w="664" w:type="dxa"/>
                      </w:tcPr>
                      <w:p w14:paraId="5D1B3434" w14:textId="77777777" w:rsidR="00F65BCA" w:rsidRDefault="00216117">
                        <w:pPr>
                          <w:pStyle w:val="TableParagraph"/>
                          <w:spacing w:before="47"/>
                          <w:ind w:left="228" w:right="207"/>
                          <w:jc w:val="center"/>
                          <w:rPr>
                            <w:sz w:val="8"/>
                          </w:rPr>
                        </w:pPr>
                        <w:r>
                          <w:rPr>
                            <w:sz w:val="8"/>
                          </w:rPr>
                          <w:t>1200</w:t>
                        </w:r>
                      </w:p>
                    </w:tc>
                    <w:tc>
                      <w:tcPr>
                        <w:tcW w:w="698" w:type="dxa"/>
                      </w:tcPr>
                      <w:p w14:paraId="77AE8F78" w14:textId="77777777" w:rsidR="00F65BCA" w:rsidRDefault="00216117">
                        <w:pPr>
                          <w:pStyle w:val="TableParagraph"/>
                          <w:spacing w:before="47"/>
                          <w:ind w:left="150" w:right="128"/>
                          <w:jc w:val="center"/>
                          <w:rPr>
                            <w:sz w:val="8"/>
                          </w:rPr>
                        </w:pPr>
                        <w:r>
                          <w:rPr>
                            <w:sz w:val="8"/>
                          </w:rPr>
                          <w:t>2904</w:t>
                        </w:r>
                      </w:p>
                    </w:tc>
                    <w:tc>
                      <w:tcPr>
                        <w:tcW w:w="626" w:type="dxa"/>
                      </w:tcPr>
                      <w:p w14:paraId="7EC2F3F6" w14:textId="77777777" w:rsidR="00F65BCA" w:rsidRDefault="00216117">
                        <w:pPr>
                          <w:pStyle w:val="TableParagraph"/>
                          <w:spacing w:before="47"/>
                          <w:ind w:left="298"/>
                          <w:rPr>
                            <w:sz w:val="8"/>
                          </w:rPr>
                        </w:pPr>
                        <w:r>
                          <w:rPr>
                            <w:w w:val="101"/>
                            <w:sz w:val="8"/>
                          </w:rPr>
                          <w:t>0</w:t>
                        </w:r>
                      </w:p>
                    </w:tc>
                    <w:tc>
                      <w:tcPr>
                        <w:tcW w:w="576" w:type="dxa"/>
                      </w:tcPr>
                      <w:p w14:paraId="181630DC" w14:textId="77777777" w:rsidR="00F65BCA" w:rsidRDefault="00216117">
                        <w:pPr>
                          <w:pStyle w:val="TableParagraph"/>
                          <w:spacing w:before="47"/>
                          <w:ind w:left="272"/>
                          <w:rPr>
                            <w:sz w:val="8"/>
                          </w:rPr>
                        </w:pPr>
                        <w:r>
                          <w:rPr>
                            <w:w w:val="101"/>
                            <w:sz w:val="8"/>
                          </w:rPr>
                          <w:t>0</w:t>
                        </w:r>
                      </w:p>
                    </w:tc>
                    <w:tc>
                      <w:tcPr>
                        <w:tcW w:w="576" w:type="dxa"/>
                      </w:tcPr>
                      <w:p w14:paraId="265D3194" w14:textId="77777777" w:rsidR="00F65BCA" w:rsidRDefault="00216117">
                        <w:pPr>
                          <w:pStyle w:val="TableParagraph"/>
                          <w:spacing w:before="47"/>
                          <w:ind w:right="200"/>
                          <w:jc w:val="right"/>
                          <w:rPr>
                            <w:sz w:val="8"/>
                          </w:rPr>
                        </w:pPr>
                        <w:r>
                          <w:rPr>
                            <w:sz w:val="8"/>
                          </w:rPr>
                          <w:t>660</w:t>
                        </w:r>
                      </w:p>
                    </w:tc>
                    <w:tc>
                      <w:tcPr>
                        <w:tcW w:w="576" w:type="dxa"/>
                      </w:tcPr>
                      <w:p w14:paraId="6043C372" w14:textId="77777777" w:rsidR="00F65BCA" w:rsidRDefault="00216117">
                        <w:pPr>
                          <w:pStyle w:val="TableParagraph"/>
                          <w:spacing w:before="47"/>
                          <w:ind w:left="205"/>
                          <w:rPr>
                            <w:sz w:val="8"/>
                          </w:rPr>
                        </w:pPr>
                        <w:r>
                          <w:rPr>
                            <w:sz w:val="8"/>
                          </w:rPr>
                          <w:t>1320</w:t>
                        </w:r>
                      </w:p>
                    </w:tc>
                    <w:tc>
                      <w:tcPr>
                        <w:tcW w:w="576" w:type="dxa"/>
                      </w:tcPr>
                      <w:p w14:paraId="22ADCD99" w14:textId="77777777" w:rsidR="00F65BCA" w:rsidRDefault="00216117">
                        <w:pPr>
                          <w:pStyle w:val="TableParagraph"/>
                          <w:spacing w:before="47"/>
                          <w:ind w:left="88" w:right="62"/>
                          <w:jc w:val="center"/>
                          <w:rPr>
                            <w:sz w:val="8"/>
                          </w:rPr>
                        </w:pPr>
                        <w:r>
                          <w:rPr>
                            <w:sz w:val="8"/>
                          </w:rPr>
                          <w:t>3192</w:t>
                        </w:r>
                      </w:p>
                    </w:tc>
                  </w:tr>
                  <w:tr w:rsidR="00F65BCA" w14:paraId="15D2BBD3" w14:textId="77777777">
                    <w:trPr>
                      <w:trHeight w:val="182"/>
                    </w:trPr>
                    <w:tc>
                      <w:tcPr>
                        <w:tcW w:w="679" w:type="dxa"/>
                      </w:tcPr>
                      <w:p w14:paraId="4216BC32" w14:textId="77777777" w:rsidR="00F65BCA" w:rsidRDefault="00216117">
                        <w:pPr>
                          <w:pStyle w:val="TableParagraph"/>
                          <w:spacing w:before="47"/>
                          <w:ind w:left="321"/>
                          <w:rPr>
                            <w:sz w:val="8"/>
                          </w:rPr>
                        </w:pPr>
                        <w:r>
                          <w:rPr>
                            <w:w w:val="101"/>
                            <w:sz w:val="8"/>
                          </w:rPr>
                          <w:t>0</w:t>
                        </w:r>
                      </w:p>
                    </w:tc>
                    <w:tc>
                      <w:tcPr>
                        <w:tcW w:w="645" w:type="dxa"/>
                      </w:tcPr>
                      <w:p w14:paraId="7D3E96BD" w14:textId="77777777" w:rsidR="00F65BCA" w:rsidRDefault="00216117">
                        <w:pPr>
                          <w:pStyle w:val="TableParagraph"/>
                          <w:spacing w:before="47"/>
                          <w:ind w:left="20"/>
                          <w:jc w:val="center"/>
                          <w:rPr>
                            <w:sz w:val="8"/>
                          </w:rPr>
                        </w:pPr>
                        <w:r>
                          <w:rPr>
                            <w:w w:val="101"/>
                            <w:sz w:val="8"/>
                          </w:rPr>
                          <w:t>0</w:t>
                        </w:r>
                      </w:p>
                    </w:tc>
                    <w:tc>
                      <w:tcPr>
                        <w:tcW w:w="683" w:type="dxa"/>
                      </w:tcPr>
                      <w:p w14:paraId="6529CE63" w14:textId="77777777" w:rsidR="00F65BCA" w:rsidRDefault="00216117">
                        <w:pPr>
                          <w:pStyle w:val="TableParagraph"/>
                          <w:spacing w:before="47"/>
                          <w:ind w:right="255"/>
                          <w:jc w:val="right"/>
                          <w:rPr>
                            <w:sz w:val="8"/>
                          </w:rPr>
                        </w:pPr>
                        <w:r>
                          <w:rPr>
                            <w:sz w:val="8"/>
                          </w:rPr>
                          <w:t>804</w:t>
                        </w:r>
                      </w:p>
                    </w:tc>
                    <w:tc>
                      <w:tcPr>
                        <w:tcW w:w="664" w:type="dxa"/>
                      </w:tcPr>
                      <w:p w14:paraId="0FDFA461" w14:textId="77777777" w:rsidR="00F65BCA" w:rsidRDefault="00216117">
                        <w:pPr>
                          <w:pStyle w:val="TableParagraph"/>
                          <w:spacing w:before="47"/>
                          <w:ind w:left="228" w:right="207"/>
                          <w:jc w:val="center"/>
                          <w:rPr>
                            <w:sz w:val="8"/>
                          </w:rPr>
                        </w:pPr>
                        <w:r>
                          <w:rPr>
                            <w:sz w:val="8"/>
                          </w:rPr>
                          <w:t>1200</w:t>
                        </w:r>
                      </w:p>
                    </w:tc>
                    <w:tc>
                      <w:tcPr>
                        <w:tcW w:w="698" w:type="dxa"/>
                      </w:tcPr>
                      <w:p w14:paraId="11B1CCBF" w14:textId="77777777" w:rsidR="00F65BCA" w:rsidRDefault="00216117">
                        <w:pPr>
                          <w:pStyle w:val="TableParagraph"/>
                          <w:spacing w:before="47"/>
                          <w:ind w:left="150" w:right="128"/>
                          <w:jc w:val="center"/>
                          <w:rPr>
                            <w:sz w:val="8"/>
                          </w:rPr>
                        </w:pPr>
                        <w:r>
                          <w:rPr>
                            <w:sz w:val="8"/>
                          </w:rPr>
                          <w:t>2796</w:t>
                        </w:r>
                      </w:p>
                    </w:tc>
                    <w:tc>
                      <w:tcPr>
                        <w:tcW w:w="626" w:type="dxa"/>
                      </w:tcPr>
                      <w:p w14:paraId="6D087501" w14:textId="77777777" w:rsidR="00F65BCA" w:rsidRDefault="00216117">
                        <w:pPr>
                          <w:pStyle w:val="TableParagraph"/>
                          <w:spacing w:before="47"/>
                          <w:ind w:left="298"/>
                          <w:rPr>
                            <w:sz w:val="8"/>
                          </w:rPr>
                        </w:pPr>
                        <w:r>
                          <w:rPr>
                            <w:w w:val="101"/>
                            <w:sz w:val="8"/>
                          </w:rPr>
                          <w:t>0</w:t>
                        </w:r>
                      </w:p>
                    </w:tc>
                    <w:tc>
                      <w:tcPr>
                        <w:tcW w:w="576" w:type="dxa"/>
                      </w:tcPr>
                      <w:p w14:paraId="787D9B59" w14:textId="77777777" w:rsidR="00F65BCA" w:rsidRDefault="00216117">
                        <w:pPr>
                          <w:pStyle w:val="TableParagraph"/>
                          <w:spacing w:before="47"/>
                          <w:ind w:left="272"/>
                          <w:rPr>
                            <w:sz w:val="8"/>
                          </w:rPr>
                        </w:pPr>
                        <w:r>
                          <w:rPr>
                            <w:w w:val="101"/>
                            <w:sz w:val="8"/>
                          </w:rPr>
                          <w:t>0</w:t>
                        </w:r>
                      </w:p>
                    </w:tc>
                    <w:tc>
                      <w:tcPr>
                        <w:tcW w:w="576" w:type="dxa"/>
                      </w:tcPr>
                      <w:p w14:paraId="05BDAC6E" w14:textId="77777777" w:rsidR="00F65BCA" w:rsidRDefault="00216117">
                        <w:pPr>
                          <w:pStyle w:val="TableParagraph"/>
                          <w:spacing w:before="47"/>
                          <w:ind w:right="200"/>
                          <w:jc w:val="right"/>
                          <w:rPr>
                            <w:sz w:val="8"/>
                          </w:rPr>
                        </w:pPr>
                        <w:r>
                          <w:rPr>
                            <w:sz w:val="8"/>
                          </w:rPr>
                          <w:t>876</w:t>
                        </w:r>
                      </w:p>
                    </w:tc>
                    <w:tc>
                      <w:tcPr>
                        <w:tcW w:w="576" w:type="dxa"/>
                      </w:tcPr>
                      <w:p w14:paraId="588CBE9E" w14:textId="77777777" w:rsidR="00F65BCA" w:rsidRDefault="00216117">
                        <w:pPr>
                          <w:pStyle w:val="TableParagraph"/>
                          <w:spacing w:before="47"/>
                          <w:ind w:left="205"/>
                          <w:rPr>
                            <w:sz w:val="8"/>
                          </w:rPr>
                        </w:pPr>
                        <w:r>
                          <w:rPr>
                            <w:sz w:val="8"/>
                          </w:rPr>
                          <w:t>1320</w:t>
                        </w:r>
                      </w:p>
                    </w:tc>
                    <w:tc>
                      <w:tcPr>
                        <w:tcW w:w="576" w:type="dxa"/>
                      </w:tcPr>
                      <w:p w14:paraId="2A799841" w14:textId="77777777" w:rsidR="00F65BCA" w:rsidRDefault="00216117">
                        <w:pPr>
                          <w:pStyle w:val="TableParagraph"/>
                          <w:spacing w:before="47"/>
                          <w:ind w:left="88" w:right="62"/>
                          <w:jc w:val="center"/>
                          <w:rPr>
                            <w:sz w:val="8"/>
                          </w:rPr>
                        </w:pPr>
                        <w:r>
                          <w:rPr>
                            <w:sz w:val="8"/>
                          </w:rPr>
                          <w:t>3084</w:t>
                        </w:r>
                      </w:p>
                    </w:tc>
                  </w:tr>
                  <w:tr w:rsidR="00F65BCA" w14:paraId="78270193" w14:textId="77777777">
                    <w:trPr>
                      <w:trHeight w:val="182"/>
                    </w:trPr>
                    <w:tc>
                      <w:tcPr>
                        <w:tcW w:w="679" w:type="dxa"/>
                      </w:tcPr>
                      <w:p w14:paraId="507C48B2" w14:textId="77777777" w:rsidR="00F65BCA" w:rsidRDefault="00216117">
                        <w:pPr>
                          <w:pStyle w:val="TableParagraph"/>
                          <w:spacing w:before="47"/>
                          <w:ind w:left="321"/>
                          <w:rPr>
                            <w:sz w:val="8"/>
                          </w:rPr>
                        </w:pPr>
                        <w:r>
                          <w:rPr>
                            <w:w w:val="101"/>
                            <w:sz w:val="8"/>
                          </w:rPr>
                          <w:t>0</w:t>
                        </w:r>
                      </w:p>
                    </w:tc>
                    <w:tc>
                      <w:tcPr>
                        <w:tcW w:w="645" w:type="dxa"/>
                      </w:tcPr>
                      <w:p w14:paraId="4AFDB399" w14:textId="77777777" w:rsidR="00F65BCA" w:rsidRDefault="00216117">
                        <w:pPr>
                          <w:pStyle w:val="TableParagraph"/>
                          <w:spacing w:before="47"/>
                          <w:ind w:left="20"/>
                          <w:jc w:val="center"/>
                          <w:rPr>
                            <w:sz w:val="8"/>
                          </w:rPr>
                        </w:pPr>
                        <w:r>
                          <w:rPr>
                            <w:w w:val="101"/>
                            <w:sz w:val="8"/>
                          </w:rPr>
                          <w:t>0</w:t>
                        </w:r>
                      </w:p>
                    </w:tc>
                    <w:tc>
                      <w:tcPr>
                        <w:tcW w:w="683" w:type="dxa"/>
                      </w:tcPr>
                      <w:p w14:paraId="01DFD3BF" w14:textId="77777777" w:rsidR="00F65BCA" w:rsidRDefault="00216117">
                        <w:pPr>
                          <w:pStyle w:val="TableParagraph"/>
                          <w:spacing w:before="47"/>
                          <w:ind w:right="233"/>
                          <w:jc w:val="right"/>
                          <w:rPr>
                            <w:sz w:val="8"/>
                          </w:rPr>
                        </w:pPr>
                        <w:r>
                          <w:rPr>
                            <w:sz w:val="8"/>
                          </w:rPr>
                          <w:t>1596</w:t>
                        </w:r>
                      </w:p>
                    </w:tc>
                    <w:tc>
                      <w:tcPr>
                        <w:tcW w:w="664" w:type="dxa"/>
                      </w:tcPr>
                      <w:p w14:paraId="02CAEDBA" w14:textId="77777777" w:rsidR="00F65BCA" w:rsidRDefault="00216117">
                        <w:pPr>
                          <w:pStyle w:val="TableParagraph"/>
                          <w:spacing w:before="47"/>
                          <w:ind w:left="228" w:right="207"/>
                          <w:jc w:val="center"/>
                          <w:rPr>
                            <w:sz w:val="8"/>
                          </w:rPr>
                        </w:pPr>
                        <w:r>
                          <w:rPr>
                            <w:sz w:val="8"/>
                          </w:rPr>
                          <w:t>2148</w:t>
                        </w:r>
                      </w:p>
                    </w:tc>
                    <w:tc>
                      <w:tcPr>
                        <w:tcW w:w="698" w:type="dxa"/>
                      </w:tcPr>
                      <w:p w14:paraId="3E0EB9E9" w14:textId="77777777" w:rsidR="00F65BCA" w:rsidRDefault="00216117">
                        <w:pPr>
                          <w:pStyle w:val="TableParagraph"/>
                          <w:spacing w:before="47"/>
                          <w:ind w:left="150" w:right="128"/>
                          <w:jc w:val="center"/>
                          <w:rPr>
                            <w:sz w:val="8"/>
                          </w:rPr>
                        </w:pPr>
                        <w:r>
                          <w:rPr>
                            <w:sz w:val="8"/>
                          </w:rPr>
                          <w:t>5304</w:t>
                        </w:r>
                      </w:p>
                    </w:tc>
                    <w:tc>
                      <w:tcPr>
                        <w:tcW w:w="626" w:type="dxa"/>
                      </w:tcPr>
                      <w:p w14:paraId="55FEF91A" w14:textId="77777777" w:rsidR="00F65BCA" w:rsidRDefault="00216117">
                        <w:pPr>
                          <w:pStyle w:val="TableParagraph"/>
                          <w:spacing w:before="47"/>
                          <w:ind w:left="298"/>
                          <w:rPr>
                            <w:sz w:val="8"/>
                          </w:rPr>
                        </w:pPr>
                        <w:r>
                          <w:rPr>
                            <w:w w:val="101"/>
                            <w:sz w:val="8"/>
                          </w:rPr>
                          <w:t>0</w:t>
                        </w:r>
                      </w:p>
                    </w:tc>
                    <w:tc>
                      <w:tcPr>
                        <w:tcW w:w="576" w:type="dxa"/>
                      </w:tcPr>
                      <w:p w14:paraId="31A74E5C" w14:textId="77777777" w:rsidR="00F65BCA" w:rsidRDefault="00216117">
                        <w:pPr>
                          <w:pStyle w:val="TableParagraph"/>
                          <w:spacing w:before="47"/>
                          <w:ind w:left="272"/>
                          <w:rPr>
                            <w:sz w:val="8"/>
                          </w:rPr>
                        </w:pPr>
                        <w:r>
                          <w:rPr>
                            <w:w w:val="101"/>
                            <w:sz w:val="8"/>
                          </w:rPr>
                          <w:t>0</w:t>
                        </w:r>
                      </w:p>
                    </w:tc>
                    <w:tc>
                      <w:tcPr>
                        <w:tcW w:w="576" w:type="dxa"/>
                      </w:tcPr>
                      <w:p w14:paraId="7A75F92F" w14:textId="77777777" w:rsidR="00F65BCA" w:rsidRDefault="00216117">
                        <w:pPr>
                          <w:pStyle w:val="TableParagraph"/>
                          <w:spacing w:before="47"/>
                          <w:ind w:right="176"/>
                          <w:jc w:val="right"/>
                          <w:rPr>
                            <w:sz w:val="8"/>
                          </w:rPr>
                        </w:pPr>
                        <w:r>
                          <w:rPr>
                            <w:sz w:val="8"/>
                          </w:rPr>
                          <w:t>1764</w:t>
                        </w:r>
                      </w:p>
                    </w:tc>
                    <w:tc>
                      <w:tcPr>
                        <w:tcW w:w="576" w:type="dxa"/>
                      </w:tcPr>
                      <w:p w14:paraId="1AE57125" w14:textId="77777777" w:rsidR="00F65BCA" w:rsidRDefault="00216117">
                        <w:pPr>
                          <w:pStyle w:val="TableParagraph"/>
                          <w:spacing w:before="47"/>
                          <w:ind w:left="205"/>
                          <w:rPr>
                            <w:sz w:val="8"/>
                          </w:rPr>
                        </w:pPr>
                        <w:r>
                          <w:rPr>
                            <w:sz w:val="8"/>
                          </w:rPr>
                          <w:t>2364</w:t>
                        </w:r>
                      </w:p>
                    </w:tc>
                    <w:tc>
                      <w:tcPr>
                        <w:tcW w:w="576" w:type="dxa"/>
                      </w:tcPr>
                      <w:p w14:paraId="6F324FA9" w14:textId="77777777" w:rsidR="00F65BCA" w:rsidRDefault="00216117">
                        <w:pPr>
                          <w:pStyle w:val="TableParagraph"/>
                          <w:spacing w:before="47"/>
                          <w:ind w:left="88" w:right="63"/>
                          <w:jc w:val="center"/>
                          <w:rPr>
                            <w:sz w:val="8"/>
                          </w:rPr>
                        </w:pPr>
                        <w:r>
                          <w:rPr>
                            <w:sz w:val="8"/>
                          </w:rPr>
                          <w:t>5832</w:t>
                        </w:r>
                      </w:p>
                    </w:tc>
                  </w:tr>
                  <w:tr w:rsidR="00F65BCA" w14:paraId="2F8816D7" w14:textId="77777777">
                    <w:trPr>
                      <w:trHeight w:val="182"/>
                    </w:trPr>
                    <w:tc>
                      <w:tcPr>
                        <w:tcW w:w="679" w:type="dxa"/>
                      </w:tcPr>
                      <w:p w14:paraId="0B7455EC" w14:textId="77777777" w:rsidR="00F65BCA" w:rsidRDefault="00216117">
                        <w:pPr>
                          <w:pStyle w:val="TableParagraph"/>
                          <w:spacing w:before="47"/>
                          <w:ind w:left="321"/>
                          <w:rPr>
                            <w:sz w:val="8"/>
                          </w:rPr>
                        </w:pPr>
                        <w:r>
                          <w:rPr>
                            <w:w w:val="101"/>
                            <w:sz w:val="8"/>
                          </w:rPr>
                          <w:t>0</w:t>
                        </w:r>
                      </w:p>
                    </w:tc>
                    <w:tc>
                      <w:tcPr>
                        <w:tcW w:w="645" w:type="dxa"/>
                      </w:tcPr>
                      <w:p w14:paraId="0910F968" w14:textId="77777777" w:rsidR="00F65BCA" w:rsidRDefault="00216117">
                        <w:pPr>
                          <w:pStyle w:val="TableParagraph"/>
                          <w:spacing w:before="47"/>
                          <w:ind w:left="20"/>
                          <w:jc w:val="center"/>
                          <w:rPr>
                            <w:sz w:val="8"/>
                          </w:rPr>
                        </w:pPr>
                        <w:r>
                          <w:rPr>
                            <w:w w:val="101"/>
                            <w:sz w:val="8"/>
                          </w:rPr>
                          <w:t>0</w:t>
                        </w:r>
                      </w:p>
                    </w:tc>
                    <w:tc>
                      <w:tcPr>
                        <w:tcW w:w="683" w:type="dxa"/>
                      </w:tcPr>
                      <w:p w14:paraId="6B3CC6DF" w14:textId="77777777" w:rsidR="00F65BCA" w:rsidRDefault="00216117">
                        <w:pPr>
                          <w:pStyle w:val="TableParagraph"/>
                          <w:spacing w:before="47"/>
                          <w:ind w:right="255"/>
                          <w:jc w:val="right"/>
                          <w:rPr>
                            <w:sz w:val="8"/>
                          </w:rPr>
                        </w:pPr>
                        <w:r>
                          <w:rPr>
                            <w:sz w:val="8"/>
                          </w:rPr>
                          <w:t>804</w:t>
                        </w:r>
                      </w:p>
                    </w:tc>
                    <w:tc>
                      <w:tcPr>
                        <w:tcW w:w="664" w:type="dxa"/>
                      </w:tcPr>
                      <w:p w14:paraId="15A64CC7" w14:textId="77777777" w:rsidR="00F65BCA" w:rsidRDefault="00216117">
                        <w:pPr>
                          <w:pStyle w:val="TableParagraph"/>
                          <w:spacing w:before="47"/>
                          <w:ind w:left="228" w:right="207"/>
                          <w:jc w:val="center"/>
                          <w:rPr>
                            <w:sz w:val="8"/>
                          </w:rPr>
                        </w:pPr>
                        <w:r>
                          <w:rPr>
                            <w:sz w:val="8"/>
                          </w:rPr>
                          <w:t>1200</w:t>
                        </w:r>
                      </w:p>
                    </w:tc>
                    <w:tc>
                      <w:tcPr>
                        <w:tcW w:w="698" w:type="dxa"/>
                      </w:tcPr>
                      <w:p w14:paraId="27DC3A32" w14:textId="77777777" w:rsidR="00F65BCA" w:rsidRDefault="00216117">
                        <w:pPr>
                          <w:pStyle w:val="TableParagraph"/>
                          <w:spacing w:before="47"/>
                          <w:ind w:left="150" w:right="128"/>
                          <w:jc w:val="center"/>
                          <w:rPr>
                            <w:sz w:val="8"/>
                          </w:rPr>
                        </w:pPr>
                        <w:r>
                          <w:rPr>
                            <w:sz w:val="8"/>
                          </w:rPr>
                          <w:t>2796</w:t>
                        </w:r>
                      </w:p>
                    </w:tc>
                    <w:tc>
                      <w:tcPr>
                        <w:tcW w:w="626" w:type="dxa"/>
                      </w:tcPr>
                      <w:p w14:paraId="46B16A14" w14:textId="77777777" w:rsidR="00F65BCA" w:rsidRDefault="00216117">
                        <w:pPr>
                          <w:pStyle w:val="TableParagraph"/>
                          <w:spacing w:before="47"/>
                          <w:ind w:left="298"/>
                          <w:rPr>
                            <w:sz w:val="8"/>
                          </w:rPr>
                        </w:pPr>
                        <w:r>
                          <w:rPr>
                            <w:w w:val="101"/>
                            <w:sz w:val="8"/>
                          </w:rPr>
                          <w:t>0</w:t>
                        </w:r>
                      </w:p>
                    </w:tc>
                    <w:tc>
                      <w:tcPr>
                        <w:tcW w:w="576" w:type="dxa"/>
                      </w:tcPr>
                      <w:p w14:paraId="1F3F59E8" w14:textId="77777777" w:rsidR="00F65BCA" w:rsidRDefault="00216117">
                        <w:pPr>
                          <w:pStyle w:val="TableParagraph"/>
                          <w:spacing w:before="47"/>
                          <w:ind w:left="272"/>
                          <w:rPr>
                            <w:sz w:val="8"/>
                          </w:rPr>
                        </w:pPr>
                        <w:r>
                          <w:rPr>
                            <w:w w:val="101"/>
                            <w:sz w:val="8"/>
                          </w:rPr>
                          <w:t>0</w:t>
                        </w:r>
                      </w:p>
                    </w:tc>
                    <w:tc>
                      <w:tcPr>
                        <w:tcW w:w="576" w:type="dxa"/>
                      </w:tcPr>
                      <w:p w14:paraId="5C68EE8C" w14:textId="77777777" w:rsidR="00F65BCA" w:rsidRDefault="00216117">
                        <w:pPr>
                          <w:pStyle w:val="TableParagraph"/>
                          <w:spacing w:before="47"/>
                          <w:ind w:right="200"/>
                          <w:jc w:val="right"/>
                          <w:rPr>
                            <w:sz w:val="8"/>
                          </w:rPr>
                        </w:pPr>
                        <w:r>
                          <w:rPr>
                            <w:sz w:val="8"/>
                          </w:rPr>
                          <w:t>876</w:t>
                        </w:r>
                      </w:p>
                    </w:tc>
                    <w:tc>
                      <w:tcPr>
                        <w:tcW w:w="576" w:type="dxa"/>
                      </w:tcPr>
                      <w:p w14:paraId="409465D3" w14:textId="77777777" w:rsidR="00F65BCA" w:rsidRDefault="00216117">
                        <w:pPr>
                          <w:pStyle w:val="TableParagraph"/>
                          <w:spacing w:before="47"/>
                          <w:ind w:left="205"/>
                          <w:rPr>
                            <w:sz w:val="8"/>
                          </w:rPr>
                        </w:pPr>
                        <w:r>
                          <w:rPr>
                            <w:sz w:val="8"/>
                          </w:rPr>
                          <w:t>1320</w:t>
                        </w:r>
                      </w:p>
                    </w:tc>
                    <w:tc>
                      <w:tcPr>
                        <w:tcW w:w="576" w:type="dxa"/>
                      </w:tcPr>
                      <w:p w14:paraId="181317E3" w14:textId="77777777" w:rsidR="00F65BCA" w:rsidRDefault="00216117">
                        <w:pPr>
                          <w:pStyle w:val="TableParagraph"/>
                          <w:spacing w:before="47"/>
                          <w:ind w:left="88" w:right="62"/>
                          <w:jc w:val="center"/>
                          <w:rPr>
                            <w:sz w:val="8"/>
                          </w:rPr>
                        </w:pPr>
                        <w:r>
                          <w:rPr>
                            <w:sz w:val="8"/>
                          </w:rPr>
                          <w:t>3084</w:t>
                        </w:r>
                      </w:p>
                    </w:tc>
                  </w:tr>
                  <w:tr w:rsidR="00F65BCA" w14:paraId="15BE6D7F" w14:textId="77777777">
                    <w:trPr>
                      <w:trHeight w:val="182"/>
                    </w:trPr>
                    <w:tc>
                      <w:tcPr>
                        <w:tcW w:w="679" w:type="dxa"/>
                      </w:tcPr>
                      <w:p w14:paraId="12E0F280" w14:textId="77777777" w:rsidR="00F65BCA" w:rsidRDefault="00216117">
                        <w:pPr>
                          <w:pStyle w:val="TableParagraph"/>
                          <w:spacing w:before="47"/>
                          <w:ind w:left="321"/>
                          <w:rPr>
                            <w:sz w:val="8"/>
                          </w:rPr>
                        </w:pPr>
                        <w:r>
                          <w:rPr>
                            <w:w w:val="101"/>
                            <w:sz w:val="8"/>
                          </w:rPr>
                          <w:t>0</w:t>
                        </w:r>
                      </w:p>
                    </w:tc>
                    <w:tc>
                      <w:tcPr>
                        <w:tcW w:w="645" w:type="dxa"/>
                      </w:tcPr>
                      <w:p w14:paraId="5AC3DB69" w14:textId="77777777" w:rsidR="00F65BCA" w:rsidRDefault="00216117">
                        <w:pPr>
                          <w:pStyle w:val="TableParagraph"/>
                          <w:spacing w:before="47"/>
                          <w:ind w:left="19"/>
                          <w:jc w:val="center"/>
                          <w:rPr>
                            <w:sz w:val="8"/>
                          </w:rPr>
                        </w:pPr>
                        <w:r>
                          <w:rPr>
                            <w:w w:val="101"/>
                            <w:sz w:val="8"/>
                          </w:rPr>
                          <w:t>0</w:t>
                        </w:r>
                      </w:p>
                    </w:tc>
                    <w:tc>
                      <w:tcPr>
                        <w:tcW w:w="683" w:type="dxa"/>
                      </w:tcPr>
                      <w:p w14:paraId="26C52CDA" w14:textId="77777777" w:rsidR="00F65BCA" w:rsidRDefault="00216117">
                        <w:pPr>
                          <w:pStyle w:val="TableParagraph"/>
                          <w:spacing w:before="47"/>
                          <w:ind w:right="233"/>
                          <w:jc w:val="right"/>
                          <w:rPr>
                            <w:sz w:val="8"/>
                          </w:rPr>
                        </w:pPr>
                        <w:r>
                          <w:rPr>
                            <w:sz w:val="8"/>
                          </w:rPr>
                          <w:t>2904</w:t>
                        </w:r>
                      </w:p>
                    </w:tc>
                    <w:tc>
                      <w:tcPr>
                        <w:tcW w:w="664" w:type="dxa"/>
                      </w:tcPr>
                      <w:p w14:paraId="75567BA3" w14:textId="77777777" w:rsidR="00F65BCA" w:rsidRDefault="00216117">
                        <w:pPr>
                          <w:pStyle w:val="TableParagraph"/>
                          <w:spacing w:before="47"/>
                          <w:ind w:left="228" w:right="207"/>
                          <w:jc w:val="center"/>
                          <w:rPr>
                            <w:sz w:val="8"/>
                          </w:rPr>
                        </w:pPr>
                        <w:r>
                          <w:rPr>
                            <w:sz w:val="8"/>
                          </w:rPr>
                          <w:t>1956</w:t>
                        </w:r>
                      </w:p>
                    </w:tc>
                    <w:tc>
                      <w:tcPr>
                        <w:tcW w:w="698" w:type="dxa"/>
                      </w:tcPr>
                      <w:p w14:paraId="11D21142" w14:textId="77777777" w:rsidR="00F65BCA" w:rsidRDefault="00216117">
                        <w:pPr>
                          <w:pStyle w:val="TableParagraph"/>
                          <w:spacing w:before="47"/>
                          <w:ind w:left="150" w:right="128"/>
                          <w:jc w:val="center"/>
                          <w:rPr>
                            <w:sz w:val="8"/>
                          </w:rPr>
                        </w:pPr>
                        <w:r>
                          <w:rPr>
                            <w:sz w:val="8"/>
                          </w:rPr>
                          <w:t>8904</w:t>
                        </w:r>
                      </w:p>
                    </w:tc>
                    <w:tc>
                      <w:tcPr>
                        <w:tcW w:w="626" w:type="dxa"/>
                      </w:tcPr>
                      <w:p w14:paraId="42ECB9F6" w14:textId="77777777" w:rsidR="00F65BCA" w:rsidRDefault="00216117">
                        <w:pPr>
                          <w:pStyle w:val="TableParagraph"/>
                          <w:spacing w:before="47"/>
                          <w:ind w:left="298"/>
                          <w:rPr>
                            <w:sz w:val="8"/>
                          </w:rPr>
                        </w:pPr>
                        <w:r>
                          <w:rPr>
                            <w:w w:val="101"/>
                            <w:sz w:val="8"/>
                          </w:rPr>
                          <w:t>0</w:t>
                        </w:r>
                      </w:p>
                    </w:tc>
                    <w:tc>
                      <w:tcPr>
                        <w:tcW w:w="576" w:type="dxa"/>
                      </w:tcPr>
                      <w:p w14:paraId="0EA6F9EC" w14:textId="77777777" w:rsidR="00F65BCA" w:rsidRDefault="00216117">
                        <w:pPr>
                          <w:pStyle w:val="TableParagraph"/>
                          <w:spacing w:before="47"/>
                          <w:ind w:left="272"/>
                          <w:rPr>
                            <w:sz w:val="8"/>
                          </w:rPr>
                        </w:pPr>
                        <w:r>
                          <w:rPr>
                            <w:w w:val="101"/>
                            <w:sz w:val="8"/>
                          </w:rPr>
                          <w:t>0</w:t>
                        </w:r>
                      </w:p>
                    </w:tc>
                    <w:tc>
                      <w:tcPr>
                        <w:tcW w:w="576" w:type="dxa"/>
                      </w:tcPr>
                      <w:p w14:paraId="36CE8743" w14:textId="77777777" w:rsidR="00F65BCA" w:rsidRDefault="00216117">
                        <w:pPr>
                          <w:pStyle w:val="TableParagraph"/>
                          <w:spacing w:before="47"/>
                          <w:ind w:right="176"/>
                          <w:jc w:val="right"/>
                          <w:rPr>
                            <w:sz w:val="8"/>
                          </w:rPr>
                        </w:pPr>
                        <w:r>
                          <w:rPr>
                            <w:sz w:val="8"/>
                          </w:rPr>
                          <w:t>3192</w:t>
                        </w:r>
                      </w:p>
                    </w:tc>
                    <w:tc>
                      <w:tcPr>
                        <w:tcW w:w="576" w:type="dxa"/>
                      </w:tcPr>
                      <w:p w14:paraId="2C27D57B" w14:textId="77777777" w:rsidR="00F65BCA" w:rsidRDefault="00216117">
                        <w:pPr>
                          <w:pStyle w:val="TableParagraph"/>
                          <w:spacing w:before="47"/>
                          <w:ind w:left="205"/>
                          <w:rPr>
                            <w:sz w:val="8"/>
                          </w:rPr>
                        </w:pPr>
                        <w:r>
                          <w:rPr>
                            <w:sz w:val="8"/>
                          </w:rPr>
                          <w:t>2148</w:t>
                        </w:r>
                      </w:p>
                    </w:tc>
                    <w:tc>
                      <w:tcPr>
                        <w:tcW w:w="576" w:type="dxa"/>
                      </w:tcPr>
                      <w:p w14:paraId="0F3595BF" w14:textId="77777777" w:rsidR="00F65BCA" w:rsidRDefault="00216117">
                        <w:pPr>
                          <w:pStyle w:val="TableParagraph"/>
                          <w:spacing w:before="47"/>
                          <w:ind w:left="88" w:right="62"/>
                          <w:jc w:val="center"/>
                          <w:rPr>
                            <w:sz w:val="8"/>
                          </w:rPr>
                        </w:pPr>
                        <w:r>
                          <w:rPr>
                            <w:sz w:val="8"/>
                          </w:rPr>
                          <w:t>9792</w:t>
                        </w:r>
                      </w:p>
                    </w:tc>
                  </w:tr>
                  <w:tr w:rsidR="00F65BCA" w14:paraId="6FDC2C3A" w14:textId="77777777">
                    <w:trPr>
                      <w:trHeight w:val="182"/>
                    </w:trPr>
                    <w:tc>
                      <w:tcPr>
                        <w:tcW w:w="679" w:type="dxa"/>
                      </w:tcPr>
                      <w:p w14:paraId="457B61F3" w14:textId="77777777" w:rsidR="00F65BCA" w:rsidRDefault="00216117">
                        <w:pPr>
                          <w:pStyle w:val="TableParagraph"/>
                          <w:spacing w:before="47"/>
                          <w:ind w:left="321"/>
                          <w:rPr>
                            <w:sz w:val="8"/>
                          </w:rPr>
                        </w:pPr>
                        <w:r>
                          <w:rPr>
                            <w:w w:val="101"/>
                            <w:sz w:val="8"/>
                          </w:rPr>
                          <w:t>0</w:t>
                        </w:r>
                      </w:p>
                    </w:tc>
                    <w:tc>
                      <w:tcPr>
                        <w:tcW w:w="645" w:type="dxa"/>
                      </w:tcPr>
                      <w:p w14:paraId="296985B0" w14:textId="77777777" w:rsidR="00F65BCA" w:rsidRDefault="00216117">
                        <w:pPr>
                          <w:pStyle w:val="TableParagraph"/>
                          <w:spacing w:before="47"/>
                          <w:ind w:left="20"/>
                          <w:jc w:val="center"/>
                          <w:rPr>
                            <w:sz w:val="8"/>
                          </w:rPr>
                        </w:pPr>
                        <w:r>
                          <w:rPr>
                            <w:w w:val="101"/>
                            <w:sz w:val="8"/>
                          </w:rPr>
                          <w:t>0</w:t>
                        </w:r>
                      </w:p>
                    </w:tc>
                    <w:tc>
                      <w:tcPr>
                        <w:tcW w:w="683" w:type="dxa"/>
                      </w:tcPr>
                      <w:p w14:paraId="503A85AE" w14:textId="77777777" w:rsidR="00F65BCA" w:rsidRDefault="00216117">
                        <w:pPr>
                          <w:pStyle w:val="TableParagraph"/>
                          <w:spacing w:before="47"/>
                          <w:ind w:right="233"/>
                          <w:jc w:val="right"/>
                          <w:rPr>
                            <w:sz w:val="8"/>
                          </w:rPr>
                        </w:pPr>
                        <w:r>
                          <w:rPr>
                            <w:sz w:val="8"/>
                          </w:rPr>
                          <w:t>1596</w:t>
                        </w:r>
                      </w:p>
                    </w:tc>
                    <w:tc>
                      <w:tcPr>
                        <w:tcW w:w="664" w:type="dxa"/>
                      </w:tcPr>
                      <w:p w14:paraId="70274EC2" w14:textId="77777777" w:rsidR="00F65BCA" w:rsidRDefault="00216117">
                        <w:pPr>
                          <w:pStyle w:val="TableParagraph"/>
                          <w:spacing w:before="47"/>
                          <w:ind w:left="228" w:right="207"/>
                          <w:jc w:val="center"/>
                          <w:rPr>
                            <w:sz w:val="8"/>
                          </w:rPr>
                        </w:pPr>
                        <w:r>
                          <w:rPr>
                            <w:sz w:val="8"/>
                          </w:rPr>
                          <w:t>2148</w:t>
                        </w:r>
                      </w:p>
                    </w:tc>
                    <w:tc>
                      <w:tcPr>
                        <w:tcW w:w="698" w:type="dxa"/>
                      </w:tcPr>
                      <w:p w14:paraId="2F054D8E" w14:textId="77777777" w:rsidR="00F65BCA" w:rsidRDefault="00216117">
                        <w:pPr>
                          <w:pStyle w:val="TableParagraph"/>
                          <w:spacing w:before="47"/>
                          <w:ind w:left="150" w:right="128"/>
                          <w:jc w:val="center"/>
                          <w:rPr>
                            <w:sz w:val="8"/>
                          </w:rPr>
                        </w:pPr>
                        <w:r>
                          <w:rPr>
                            <w:sz w:val="8"/>
                          </w:rPr>
                          <w:t>5304</w:t>
                        </w:r>
                      </w:p>
                    </w:tc>
                    <w:tc>
                      <w:tcPr>
                        <w:tcW w:w="626" w:type="dxa"/>
                      </w:tcPr>
                      <w:p w14:paraId="797D1BC5" w14:textId="77777777" w:rsidR="00F65BCA" w:rsidRDefault="00216117">
                        <w:pPr>
                          <w:pStyle w:val="TableParagraph"/>
                          <w:spacing w:before="47"/>
                          <w:ind w:left="298"/>
                          <w:rPr>
                            <w:sz w:val="8"/>
                          </w:rPr>
                        </w:pPr>
                        <w:r>
                          <w:rPr>
                            <w:w w:val="101"/>
                            <w:sz w:val="8"/>
                          </w:rPr>
                          <w:t>0</w:t>
                        </w:r>
                      </w:p>
                    </w:tc>
                    <w:tc>
                      <w:tcPr>
                        <w:tcW w:w="576" w:type="dxa"/>
                      </w:tcPr>
                      <w:p w14:paraId="4F9F56F1" w14:textId="77777777" w:rsidR="00F65BCA" w:rsidRDefault="00216117">
                        <w:pPr>
                          <w:pStyle w:val="TableParagraph"/>
                          <w:spacing w:before="47"/>
                          <w:ind w:left="272"/>
                          <w:rPr>
                            <w:sz w:val="8"/>
                          </w:rPr>
                        </w:pPr>
                        <w:r>
                          <w:rPr>
                            <w:w w:val="101"/>
                            <w:sz w:val="8"/>
                          </w:rPr>
                          <w:t>0</w:t>
                        </w:r>
                      </w:p>
                    </w:tc>
                    <w:tc>
                      <w:tcPr>
                        <w:tcW w:w="576" w:type="dxa"/>
                      </w:tcPr>
                      <w:p w14:paraId="2ED7377D" w14:textId="77777777" w:rsidR="00F65BCA" w:rsidRDefault="00216117">
                        <w:pPr>
                          <w:pStyle w:val="TableParagraph"/>
                          <w:spacing w:before="47"/>
                          <w:ind w:right="176"/>
                          <w:jc w:val="right"/>
                          <w:rPr>
                            <w:sz w:val="8"/>
                          </w:rPr>
                        </w:pPr>
                        <w:r>
                          <w:rPr>
                            <w:sz w:val="8"/>
                          </w:rPr>
                          <w:t>1764</w:t>
                        </w:r>
                      </w:p>
                    </w:tc>
                    <w:tc>
                      <w:tcPr>
                        <w:tcW w:w="576" w:type="dxa"/>
                      </w:tcPr>
                      <w:p w14:paraId="11788B62" w14:textId="77777777" w:rsidR="00F65BCA" w:rsidRDefault="00216117">
                        <w:pPr>
                          <w:pStyle w:val="TableParagraph"/>
                          <w:spacing w:before="47"/>
                          <w:ind w:left="205"/>
                          <w:rPr>
                            <w:sz w:val="8"/>
                          </w:rPr>
                        </w:pPr>
                        <w:r>
                          <w:rPr>
                            <w:sz w:val="8"/>
                          </w:rPr>
                          <w:t>2364</w:t>
                        </w:r>
                      </w:p>
                    </w:tc>
                    <w:tc>
                      <w:tcPr>
                        <w:tcW w:w="576" w:type="dxa"/>
                      </w:tcPr>
                      <w:p w14:paraId="5887E154" w14:textId="77777777" w:rsidR="00F65BCA" w:rsidRDefault="00216117">
                        <w:pPr>
                          <w:pStyle w:val="TableParagraph"/>
                          <w:spacing w:before="47"/>
                          <w:ind w:left="88" w:right="62"/>
                          <w:jc w:val="center"/>
                          <w:rPr>
                            <w:sz w:val="8"/>
                          </w:rPr>
                        </w:pPr>
                        <w:r>
                          <w:rPr>
                            <w:sz w:val="8"/>
                          </w:rPr>
                          <w:t>5832</w:t>
                        </w:r>
                      </w:p>
                    </w:tc>
                  </w:tr>
                  <w:tr w:rsidR="00F65BCA" w14:paraId="022ECE21" w14:textId="77777777">
                    <w:trPr>
                      <w:trHeight w:val="182"/>
                    </w:trPr>
                    <w:tc>
                      <w:tcPr>
                        <w:tcW w:w="679" w:type="dxa"/>
                      </w:tcPr>
                      <w:p w14:paraId="6C99AFAB" w14:textId="77777777" w:rsidR="00F65BCA" w:rsidRDefault="00216117">
                        <w:pPr>
                          <w:pStyle w:val="TableParagraph"/>
                          <w:spacing w:before="47"/>
                          <w:ind w:left="321"/>
                          <w:rPr>
                            <w:sz w:val="8"/>
                          </w:rPr>
                        </w:pPr>
                        <w:r>
                          <w:rPr>
                            <w:w w:val="101"/>
                            <w:sz w:val="8"/>
                          </w:rPr>
                          <w:t>0</w:t>
                        </w:r>
                      </w:p>
                    </w:tc>
                    <w:tc>
                      <w:tcPr>
                        <w:tcW w:w="645" w:type="dxa"/>
                      </w:tcPr>
                      <w:p w14:paraId="5EF52409" w14:textId="77777777" w:rsidR="00F65BCA" w:rsidRDefault="00216117">
                        <w:pPr>
                          <w:pStyle w:val="TableParagraph"/>
                          <w:spacing w:before="47"/>
                          <w:ind w:left="19"/>
                          <w:jc w:val="center"/>
                          <w:rPr>
                            <w:sz w:val="8"/>
                          </w:rPr>
                        </w:pPr>
                        <w:r>
                          <w:rPr>
                            <w:w w:val="101"/>
                            <w:sz w:val="8"/>
                          </w:rPr>
                          <w:t>0</w:t>
                        </w:r>
                      </w:p>
                    </w:tc>
                    <w:tc>
                      <w:tcPr>
                        <w:tcW w:w="683" w:type="dxa"/>
                      </w:tcPr>
                      <w:p w14:paraId="7D746347" w14:textId="77777777" w:rsidR="00F65BCA" w:rsidRDefault="00216117">
                        <w:pPr>
                          <w:pStyle w:val="TableParagraph"/>
                          <w:spacing w:before="47"/>
                          <w:ind w:right="233"/>
                          <w:jc w:val="right"/>
                          <w:rPr>
                            <w:sz w:val="8"/>
                          </w:rPr>
                        </w:pPr>
                        <w:r>
                          <w:rPr>
                            <w:sz w:val="8"/>
                          </w:rPr>
                          <w:t>5496</w:t>
                        </w:r>
                      </w:p>
                    </w:tc>
                    <w:tc>
                      <w:tcPr>
                        <w:tcW w:w="664" w:type="dxa"/>
                      </w:tcPr>
                      <w:p w14:paraId="75119E37" w14:textId="77777777" w:rsidR="00F65BCA" w:rsidRDefault="00216117">
                        <w:pPr>
                          <w:pStyle w:val="TableParagraph"/>
                          <w:spacing w:before="47"/>
                          <w:ind w:left="228" w:right="207"/>
                          <w:jc w:val="center"/>
                          <w:rPr>
                            <w:sz w:val="8"/>
                          </w:rPr>
                        </w:pPr>
                        <w:r>
                          <w:rPr>
                            <w:sz w:val="8"/>
                          </w:rPr>
                          <w:t>4956</w:t>
                        </w:r>
                      </w:p>
                    </w:tc>
                    <w:tc>
                      <w:tcPr>
                        <w:tcW w:w="698" w:type="dxa"/>
                      </w:tcPr>
                      <w:p w14:paraId="3FEF94E6" w14:textId="77777777" w:rsidR="00F65BCA" w:rsidRDefault="00216117">
                        <w:pPr>
                          <w:pStyle w:val="TableParagraph"/>
                          <w:spacing w:before="47"/>
                          <w:ind w:left="150" w:right="126"/>
                          <w:jc w:val="center"/>
                          <w:rPr>
                            <w:sz w:val="8"/>
                          </w:rPr>
                        </w:pPr>
                        <w:r>
                          <w:rPr>
                            <w:sz w:val="8"/>
                          </w:rPr>
                          <w:t>11904</w:t>
                        </w:r>
                      </w:p>
                    </w:tc>
                    <w:tc>
                      <w:tcPr>
                        <w:tcW w:w="626" w:type="dxa"/>
                      </w:tcPr>
                      <w:p w14:paraId="65300B34" w14:textId="77777777" w:rsidR="00F65BCA" w:rsidRDefault="00216117">
                        <w:pPr>
                          <w:pStyle w:val="TableParagraph"/>
                          <w:spacing w:before="47"/>
                          <w:ind w:left="298"/>
                          <w:rPr>
                            <w:sz w:val="8"/>
                          </w:rPr>
                        </w:pPr>
                        <w:r>
                          <w:rPr>
                            <w:w w:val="101"/>
                            <w:sz w:val="8"/>
                          </w:rPr>
                          <w:t>0</w:t>
                        </w:r>
                      </w:p>
                    </w:tc>
                    <w:tc>
                      <w:tcPr>
                        <w:tcW w:w="576" w:type="dxa"/>
                      </w:tcPr>
                      <w:p w14:paraId="7F2AA6F3" w14:textId="77777777" w:rsidR="00F65BCA" w:rsidRDefault="00216117">
                        <w:pPr>
                          <w:pStyle w:val="TableParagraph"/>
                          <w:spacing w:before="47"/>
                          <w:ind w:left="272"/>
                          <w:rPr>
                            <w:sz w:val="8"/>
                          </w:rPr>
                        </w:pPr>
                        <w:r>
                          <w:rPr>
                            <w:w w:val="101"/>
                            <w:sz w:val="8"/>
                          </w:rPr>
                          <w:t>0</w:t>
                        </w:r>
                      </w:p>
                    </w:tc>
                    <w:tc>
                      <w:tcPr>
                        <w:tcW w:w="576" w:type="dxa"/>
                      </w:tcPr>
                      <w:p w14:paraId="2253A90C" w14:textId="77777777" w:rsidR="00F65BCA" w:rsidRDefault="00216117">
                        <w:pPr>
                          <w:pStyle w:val="TableParagraph"/>
                          <w:spacing w:before="47"/>
                          <w:ind w:right="176"/>
                          <w:jc w:val="right"/>
                          <w:rPr>
                            <w:sz w:val="8"/>
                          </w:rPr>
                        </w:pPr>
                        <w:r>
                          <w:rPr>
                            <w:sz w:val="8"/>
                          </w:rPr>
                          <w:t>6048</w:t>
                        </w:r>
                      </w:p>
                    </w:tc>
                    <w:tc>
                      <w:tcPr>
                        <w:tcW w:w="576" w:type="dxa"/>
                      </w:tcPr>
                      <w:p w14:paraId="7E88F311" w14:textId="77777777" w:rsidR="00F65BCA" w:rsidRDefault="00216117">
                        <w:pPr>
                          <w:pStyle w:val="TableParagraph"/>
                          <w:spacing w:before="47"/>
                          <w:ind w:left="205"/>
                          <w:rPr>
                            <w:sz w:val="8"/>
                          </w:rPr>
                        </w:pPr>
                        <w:r>
                          <w:rPr>
                            <w:sz w:val="8"/>
                          </w:rPr>
                          <w:t>5448</w:t>
                        </w:r>
                      </w:p>
                    </w:tc>
                    <w:tc>
                      <w:tcPr>
                        <w:tcW w:w="576" w:type="dxa"/>
                      </w:tcPr>
                      <w:p w14:paraId="66E1DED7" w14:textId="77777777" w:rsidR="00F65BCA" w:rsidRDefault="00216117">
                        <w:pPr>
                          <w:pStyle w:val="TableParagraph"/>
                          <w:spacing w:before="47"/>
                          <w:ind w:left="88" w:right="64"/>
                          <w:jc w:val="center"/>
                          <w:rPr>
                            <w:sz w:val="8"/>
                          </w:rPr>
                        </w:pPr>
                        <w:r>
                          <w:rPr>
                            <w:sz w:val="8"/>
                          </w:rPr>
                          <w:t>13092</w:t>
                        </w:r>
                      </w:p>
                    </w:tc>
                  </w:tr>
                </w:tbl>
                <w:p w14:paraId="58A66A4E" w14:textId="77777777" w:rsidR="00F65BCA" w:rsidRDefault="00F65BCA">
                  <w:pPr>
                    <w:pStyle w:val="Zkladntext"/>
                  </w:pPr>
                </w:p>
              </w:txbxContent>
            </v:textbox>
            <w10:anchorlock/>
          </v:shape>
        </w:pict>
      </w:r>
    </w:p>
    <w:p w14:paraId="3FEA0F28" w14:textId="77777777" w:rsidR="00F65BCA" w:rsidRDefault="00F65BCA">
      <w:pPr>
        <w:pStyle w:val="Zkladntext"/>
        <w:rPr>
          <w:rFonts w:ascii="Calibri"/>
          <w:sz w:val="20"/>
        </w:rPr>
      </w:pPr>
    </w:p>
    <w:p w14:paraId="11543F03" w14:textId="77777777" w:rsidR="00F65BCA" w:rsidRDefault="00F65BCA">
      <w:pPr>
        <w:pStyle w:val="Zkladntext"/>
        <w:rPr>
          <w:rFonts w:ascii="Calibri"/>
          <w:sz w:val="20"/>
        </w:rPr>
      </w:pPr>
    </w:p>
    <w:p w14:paraId="68020285" w14:textId="77777777" w:rsidR="00F65BCA" w:rsidRDefault="00F65BCA">
      <w:pPr>
        <w:pStyle w:val="Zkladntext"/>
        <w:rPr>
          <w:rFonts w:ascii="Calibri"/>
          <w:sz w:val="20"/>
        </w:rPr>
      </w:pPr>
    </w:p>
    <w:p w14:paraId="30279D81" w14:textId="77777777" w:rsidR="00F65BCA" w:rsidRDefault="00F65BCA">
      <w:pPr>
        <w:pStyle w:val="Zkladntext"/>
        <w:rPr>
          <w:rFonts w:ascii="Calibri"/>
          <w:sz w:val="20"/>
        </w:rPr>
      </w:pPr>
    </w:p>
    <w:p w14:paraId="7AD23AFF" w14:textId="77777777" w:rsidR="00F65BCA" w:rsidRDefault="00F65BCA">
      <w:pPr>
        <w:pStyle w:val="Zkladntext"/>
        <w:rPr>
          <w:rFonts w:ascii="Calibri"/>
          <w:sz w:val="20"/>
        </w:rPr>
      </w:pPr>
    </w:p>
    <w:p w14:paraId="6E2E405F" w14:textId="77777777" w:rsidR="00F65BCA" w:rsidRDefault="00F65BCA">
      <w:pPr>
        <w:pStyle w:val="Zkladntext"/>
        <w:rPr>
          <w:rFonts w:ascii="Calibri"/>
          <w:sz w:val="20"/>
        </w:rPr>
      </w:pPr>
    </w:p>
    <w:p w14:paraId="7F68608A" w14:textId="77777777" w:rsidR="00F65BCA" w:rsidRDefault="00F65BCA">
      <w:pPr>
        <w:pStyle w:val="Zkladntext"/>
        <w:rPr>
          <w:rFonts w:ascii="Calibri"/>
          <w:sz w:val="20"/>
        </w:rPr>
      </w:pPr>
    </w:p>
    <w:p w14:paraId="624C7ADA" w14:textId="77777777" w:rsidR="00F65BCA" w:rsidRDefault="00F65BCA">
      <w:pPr>
        <w:pStyle w:val="Zkladntext"/>
        <w:rPr>
          <w:rFonts w:ascii="Calibri"/>
          <w:sz w:val="20"/>
        </w:rPr>
      </w:pPr>
    </w:p>
    <w:p w14:paraId="2B11EC9E" w14:textId="77777777" w:rsidR="00F65BCA" w:rsidRDefault="00F65BCA">
      <w:pPr>
        <w:pStyle w:val="Zkladntext"/>
        <w:rPr>
          <w:rFonts w:ascii="Calibri"/>
          <w:sz w:val="20"/>
        </w:rPr>
      </w:pPr>
    </w:p>
    <w:p w14:paraId="69AF20B1" w14:textId="77777777" w:rsidR="00F65BCA" w:rsidRDefault="00F65BCA">
      <w:pPr>
        <w:pStyle w:val="Zkladntext"/>
        <w:rPr>
          <w:rFonts w:ascii="Calibri"/>
          <w:sz w:val="20"/>
        </w:rPr>
      </w:pPr>
    </w:p>
    <w:p w14:paraId="7E862873" w14:textId="77777777" w:rsidR="00F65BCA" w:rsidRDefault="00F65BCA">
      <w:pPr>
        <w:pStyle w:val="Zkladntext"/>
        <w:rPr>
          <w:rFonts w:ascii="Calibri"/>
          <w:sz w:val="20"/>
        </w:rPr>
      </w:pPr>
    </w:p>
    <w:p w14:paraId="7BCAB12B" w14:textId="77777777" w:rsidR="00F65BCA" w:rsidRDefault="00F65BCA">
      <w:pPr>
        <w:pStyle w:val="Zkladntext"/>
        <w:rPr>
          <w:rFonts w:ascii="Calibri"/>
          <w:sz w:val="20"/>
        </w:rPr>
      </w:pPr>
    </w:p>
    <w:p w14:paraId="29FBC651" w14:textId="77777777" w:rsidR="00F65BCA" w:rsidRDefault="00F65BCA">
      <w:pPr>
        <w:pStyle w:val="Zkladntext"/>
        <w:rPr>
          <w:rFonts w:ascii="Calibri"/>
          <w:sz w:val="20"/>
        </w:rPr>
      </w:pPr>
    </w:p>
    <w:p w14:paraId="3AF3E978" w14:textId="77777777" w:rsidR="00F65BCA" w:rsidRDefault="00F65BCA">
      <w:pPr>
        <w:pStyle w:val="Zkladntext"/>
        <w:rPr>
          <w:rFonts w:ascii="Calibri"/>
          <w:sz w:val="20"/>
        </w:rPr>
      </w:pPr>
    </w:p>
    <w:p w14:paraId="3A50647B" w14:textId="77777777" w:rsidR="00F65BCA" w:rsidRDefault="00F65BCA">
      <w:pPr>
        <w:pStyle w:val="Zkladntext"/>
        <w:rPr>
          <w:rFonts w:ascii="Calibri"/>
          <w:sz w:val="20"/>
        </w:rPr>
      </w:pPr>
    </w:p>
    <w:p w14:paraId="392B8BE4" w14:textId="77777777" w:rsidR="00F65BCA" w:rsidRDefault="00F65BCA">
      <w:pPr>
        <w:pStyle w:val="Zkladntext"/>
        <w:rPr>
          <w:rFonts w:ascii="Calibri"/>
          <w:sz w:val="20"/>
        </w:rPr>
      </w:pPr>
    </w:p>
    <w:p w14:paraId="56A26F10" w14:textId="77777777" w:rsidR="00F65BCA" w:rsidRDefault="00F65BCA">
      <w:pPr>
        <w:pStyle w:val="Zkladntext"/>
        <w:rPr>
          <w:rFonts w:ascii="Calibri"/>
          <w:sz w:val="20"/>
        </w:rPr>
      </w:pPr>
    </w:p>
    <w:p w14:paraId="308B8C5C" w14:textId="77777777" w:rsidR="00F65BCA" w:rsidRDefault="00F65BCA">
      <w:pPr>
        <w:pStyle w:val="Zkladntext"/>
        <w:rPr>
          <w:rFonts w:ascii="Calibri"/>
          <w:sz w:val="20"/>
        </w:rPr>
      </w:pPr>
    </w:p>
    <w:p w14:paraId="74946D33" w14:textId="77777777" w:rsidR="00F65BCA" w:rsidRDefault="00F65BCA">
      <w:pPr>
        <w:pStyle w:val="Zkladntext"/>
        <w:rPr>
          <w:rFonts w:ascii="Calibri"/>
          <w:sz w:val="20"/>
        </w:rPr>
      </w:pPr>
    </w:p>
    <w:p w14:paraId="7D2E3E2D" w14:textId="77777777" w:rsidR="00F65BCA" w:rsidRDefault="00F65BCA">
      <w:pPr>
        <w:pStyle w:val="Zkladntext"/>
        <w:rPr>
          <w:rFonts w:ascii="Calibri"/>
          <w:sz w:val="20"/>
        </w:rPr>
      </w:pPr>
    </w:p>
    <w:p w14:paraId="72143FE7" w14:textId="77777777" w:rsidR="00F65BCA" w:rsidRDefault="00F65BCA">
      <w:pPr>
        <w:pStyle w:val="Zkladntext"/>
        <w:rPr>
          <w:rFonts w:ascii="Calibri"/>
          <w:sz w:val="20"/>
        </w:rPr>
      </w:pPr>
    </w:p>
    <w:p w14:paraId="0DE46EFE" w14:textId="77777777" w:rsidR="00F65BCA" w:rsidRDefault="00F65BCA">
      <w:pPr>
        <w:pStyle w:val="Zkladntext"/>
        <w:rPr>
          <w:rFonts w:ascii="Calibri"/>
          <w:sz w:val="20"/>
        </w:rPr>
      </w:pPr>
    </w:p>
    <w:p w14:paraId="0F82B34F" w14:textId="77777777" w:rsidR="00F65BCA" w:rsidRDefault="00F65BCA">
      <w:pPr>
        <w:pStyle w:val="Zkladntext"/>
        <w:rPr>
          <w:rFonts w:ascii="Calibri"/>
          <w:sz w:val="20"/>
        </w:rPr>
      </w:pPr>
    </w:p>
    <w:p w14:paraId="2425978C" w14:textId="77777777" w:rsidR="00F65BCA" w:rsidRDefault="00F65BCA">
      <w:pPr>
        <w:pStyle w:val="Zkladntext"/>
        <w:rPr>
          <w:rFonts w:ascii="Calibri"/>
          <w:sz w:val="20"/>
        </w:rPr>
      </w:pPr>
    </w:p>
    <w:p w14:paraId="51339207" w14:textId="77777777" w:rsidR="00F65BCA" w:rsidRDefault="00F65BCA">
      <w:pPr>
        <w:pStyle w:val="Zkladntext"/>
        <w:rPr>
          <w:rFonts w:ascii="Calibri"/>
          <w:sz w:val="20"/>
        </w:rPr>
      </w:pPr>
    </w:p>
    <w:p w14:paraId="4275EAEA" w14:textId="77777777" w:rsidR="00F65BCA" w:rsidRDefault="00F65BCA">
      <w:pPr>
        <w:pStyle w:val="Zkladntext"/>
        <w:rPr>
          <w:rFonts w:ascii="Calibri"/>
          <w:sz w:val="20"/>
        </w:rPr>
      </w:pPr>
    </w:p>
    <w:p w14:paraId="40C1DAB7" w14:textId="77777777" w:rsidR="00F65BCA" w:rsidRDefault="00F65BCA">
      <w:pPr>
        <w:pStyle w:val="Zkladntext"/>
        <w:rPr>
          <w:rFonts w:ascii="Calibri"/>
          <w:sz w:val="20"/>
        </w:rPr>
      </w:pPr>
    </w:p>
    <w:p w14:paraId="67F071CC" w14:textId="77777777" w:rsidR="00F65BCA" w:rsidRDefault="00F65BCA">
      <w:pPr>
        <w:pStyle w:val="Zkladntext"/>
        <w:rPr>
          <w:rFonts w:ascii="Calibri"/>
          <w:sz w:val="20"/>
        </w:rPr>
      </w:pPr>
    </w:p>
    <w:p w14:paraId="0E4A9EB7" w14:textId="77777777" w:rsidR="00F65BCA" w:rsidRDefault="00F65BCA">
      <w:pPr>
        <w:pStyle w:val="Zkladntext"/>
        <w:rPr>
          <w:rFonts w:ascii="Calibri"/>
          <w:sz w:val="20"/>
        </w:rPr>
      </w:pPr>
    </w:p>
    <w:p w14:paraId="5FB792C4" w14:textId="77777777" w:rsidR="00F65BCA" w:rsidRDefault="00F65BCA">
      <w:pPr>
        <w:pStyle w:val="Zkladntext"/>
        <w:rPr>
          <w:rFonts w:ascii="Calibri"/>
          <w:sz w:val="20"/>
        </w:rPr>
      </w:pPr>
    </w:p>
    <w:p w14:paraId="20866390" w14:textId="77777777" w:rsidR="00F65BCA" w:rsidRDefault="00F65BCA">
      <w:pPr>
        <w:pStyle w:val="Zkladntext"/>
        <w:rPr>
          <w:rFonts w:ascii="Calibri"/>
          <w:sz w:val="20"/>
        </w:rPr>
      </w:pPr>
    </w:p>
    <w:p w14:paraId="5EA6568A" w14:textId="77777777" w:rsidR="00F65BCA" w:rsidRDefault="00F65BCA">
      <w:pPr>
        <w:pStyle w:val="Zkladntext"/>
        <w:rPr>
          <w:rFonts w:ascii="Calibri"/>
          <w:sz w:val="20"/>
        </w:rPr>
      </w:pPr>
    </w:p>
    <w:p w14:paraId="2E52D40F" w14:textId="77777777" w:rsidR="00F65BCA" w:rsidRDefault="00F65BCA">
      <w:pPr>
        <w:pStyle w:val="Zkladntext"/>
        <w:rPr>
          <w:rFonts w:ascii="Calibri"/>
          <w:sz w:val="20"/>
        </w:rPr>
      </w:pPr>
    </w:p>
    <w:p w14:paraId="3A9E1AD1" w14:textId="77777777" w:rsidR="00F65BCA" w:rsidRDefault="00F65BCA">
      <w:pPr>
        <w:pStyle w:val="Zkladntext"/>
        <w:rPr>
          <w:rFonts w:ascii="Calibri"/>
          <w:sz w:val="20"/>
        </w:rPr>
      </w:pPr>
    </w:p>
    <w:p w14:paraId="5E7795D2" w14:textId="77777777" w:rsidR="00F65BCA" w:rsidRDefault="00F65BCA">
      <w:pPr>
        <w:pStyle w:val="Zkladntext"/>
        <w:rPr>
          <w:rFonts w:ascii="Calibri"/>
          <w:sz w:val="20"/>
        </w:rPr>
      </w:pPr>
    </w:p>
    <w:p w14:paraId="2CBB8796" w14:textId="77777777" w:rsidR="00F65BCA" w:rsidRDefault="00F65BCA">
      <w:pPr>
        <w:pStyle w:val="Zkladntext"/>
        <w:rPr>
          <w:rFonts w:ascii="Calibri"/>
          <w:sz w:val="20"/>
        </w:rPr>
      </w:pPr>
    </w:p>
    <w:p w14:paraId="314D475B" w14:textId="77777777" w:rsidR="00F65BCA" w:rsidRDefault="00F65BCA">
      <w:pPr>
        <w:pStyle w:val="Zkladntext"/>
        <w:rPr>
          <w:rFonts w:ascii="Calibri"/>
          <w:sz w:val="20"/>
        </w:rPr>
      </w:pPr>
    </w:p>
    <w:p w14:paraId="7CB73AEF" w14:textId="77777777" w:rsidR="00F65BCA" w:rsidRDefault="00F65BCA">
      <w:pPr>
        <w:pStyle w:val="Zkladntext"/>
        <w:rPr>
          <w:rFonts w:ascii="Calibri"/>
          <w:sz w:val="20"/>
        </w:rPr>
      </w:pPr>
    </w:p>
    <w:p w14:paraId="1C5CCA9A" w14:textId="77777777" w:rsidR="00F65BCA" w:rsidRDefault="00F65BCA">
      <w:pPr>
        <w:pStyle w:val="Zkladntext"/>
        <w:rPr>
          <w:rFonts w:ascii="Calibri"/>
          <w:sz w:val="20"/>
        </w:rPr>
      </w:pPr>
    </w:p>
    <w:p w14:paraId="2ED53F74" w14:textId="77777777" w:rsidR="00F65BCA" w:rsidRDefault="00F65BCA">
      <w:pPr>
        <w:pStyle w:val="Zkladntext"/>
        <w:spacing w:before="3"/>
        <w:rPr>
          <w:rFonts w:ascii="Calibri"/>
          <w:sz w:val="18"/>
        </w:rPr>
      </w:pPr>
    </w:p>
    <w:p w14:paraId="45EFFFE2" w14:textId="77777777" w:rsidR="00F65BCA" w:rsidRDefault="00216117">
      <w:pPr>
        <w:spacing w:before="82"/>
        <w:ind w:left="133"/>
        <w:rPr>
          <w:rFonts w:ascii="Calibri" w:hAnsi="Calibri"/>
          <w:sz w:val="10"/>
        </w:rPr>
      </w:pPr>
      <w:r>
        <w:rPr>
          <w:rFonts w:ascii="Calibri" w:hAnsi="Calibri"/>
          <w:w w:val="95"/>
          <w:sz w:val="2"/>
        </w:rPr>
        <w:t>#</w:t>
      </w:r>
      <w:r>
        <w:rPr>
          <w:rFonts w:ascii="Calibri" w:hAnsi="Calibri"/>
          <w:spacing w:val="-1"/>
          <w:w w:val="103"/>
          <w:sz w:val="10"/>
        </w:rPr>
        <w:t>Důvěrn</w:t>
      </w:r>
      <w:r>
        <w:rPr>
          <w:rFonts w:ascii="Calibri" w:hAnsi="Calibri"/>
          <w:w w:val="103"/>
          <w:sz w:val="10"/>
        </w:rPr>
        <w:t>é</w:t>
      </w:r>
      <w:r>
        <w:rPr>
          <w:rFonts w:ascii="Times New Roman" w:hAnsi="Times New Roman"/>
          <w:spacing w:val="-2"/>
          <w:sz w:val="10"/>
        </w:rPr>
        <w:t xml:space="preserve"> </w:t>
      </w:r>
      <w:r>
        <w:rPr>
          <w:rFonts w:ascii="Calibri" w:hAnsi="Calibri"/>
          <w:w w:val="103"/>
          <w:sz w:val="10"/>
        </w:rPr>
        <w:t>/</w:t>
      </w:r>
      <w:r>
        <w:rPr>
          <w:rFonts w:ascii="Times New Roman" w:hAnsi="Times New Roman"/>
          <w:spacing w:val="-2"/>
          <w:sz w:val="10"/>
        </w:rPr>
        <w:t xml:space="preserve"> </w:t>
      </w:r>
      <w:r>
        <w:rPr>
          <w:rFonts w:ascii="Calibri" w:hAnsi="Calibri"/>
          <w:spacing w:val="-1"/>
          <w:w w:val="103"/>
          <w:sz w:val="10"/>
        </w:rPr>
        <w:t>Confidential</w:t>
      </w:r>
    </w:p>
    <w:p w14:paraId="23386A87" w14:textId="77777777" w:rsidR="00F65BCA" w:rsidRDefault="00F65BCA">
      <w:pPr>
        <w:rPr>
          <w:rFonts w:ascii="Calibri" w:hAnsi="Calibri"/>
          <w:sz w:val="10"/>
        </w:rPr>
        <w:sectPr w:rsidR="00F65BCA">
          <w:pgSz w:w="11900" w:h="16840"/>
          <w:pgMar w:top="1280" w:right="640" w:bottom="280" w:left="500" w:header="708" w:footer="708" w:gutter="0"/>
          <w:cols w:space="708"/>
        </w:sectPr>
      </w:pPr>
    </w:p>
    <w:p w14:paraId="465B8653" w14:textId="77777777" w:rsidR="00F65BCA" w:rsidRDefault="00000000">
      <w:pPr>
        <w:pStyle w:val="Nadpis6"/>
        <w:tabs>
          <w:tab w:val="left" w:pos="6205"/>
        </w:tabs>
        <w:ind w:left="270"/>
        <w:rPr>
          <w:rFonts w:ascii="Calibri"/>
        </w:rPr>
      </w:pPr>
      <w:r>
        <w:rPr>
          <w:rFonts w:ascii="Calibri"/>
          <w:position w:val="16"/>
        </w:rPr>
      </w:r>
      <w:r>
        <w:rPr>
          <w:rFonts w:ascii="Calibri"/>
          <w:position w:val="16"/>
        </w:rPr>
        <w:pict w14:anchorId="5D7C78F6">
          <v:shape id="_x0000_s2587" type="#_x0000_t202" style="width:271pt;height:24pt;mso-left-percent:-10001;mso-top-percent:-10001;mso-position-horizontal:absolute;mso-position-horizontal-relative:char;mso-position-vertical:absolute;mso-position-vertical-relative:line;mso-left-percent:-10001;mso-top-percent:-10001" fillcolor="#f8cbad" strokeweight=".96pt">
            <v:textbox inset="0,0,0,0">
              <w:txbxContent>
                <w:p w14:paraId="257EB65A" w14:textId="77777777" w:rsidR="00F65BCA" w:rsidRDefault="00F65BCA">
                  <w:pPr>
                    <w:pStyle w:val="Zkladntext"/>
                    <w:rPr>
                      <w:rFonts w:ascii="Calibri"/>
                      <w:sz w:val="8"/>
                    </w:rPr>
                  </w:pPr>
                </w:p>
                <w:p w14:paraId="092656CB" w14:textId="77777777" w:rsidR="00F65BCA" w:rsidRDefault="00F65BCA">
                  <w:pPr>
                    <w:pStyle w:val="Zkladntext"/>
                    <w:spacing w:before="8"/>
                    <w:rPr>
                      <w:rFonts w:ascii="Calibri"/>
                      <w:sz w:val="6"/>
                    </w:rPr>
                  </w:pPr>
                </w:p>
                <w:p w14:paraId="1EDC67CA" w14:textId="77777777" w:rsidR="00F65BCA" w:rsidRDefault="00216117">
                  <w:pPr>
                    <w:ind w:left="2254" w:right="2243"/>
                    <w:jc w:val="center"/>
                    <w:rPr>
                      <w:b/>
                      <w:sz w:val="8"/>
                    </w:rPr>
                  </w:pPr>
                  <w:r>
                    <w:rPr>
                      <w:b/>
                      <w:w w:val="105"/>
                      <w:sz w:val="8"/>
                    </w:rPr>
                    <w:t>Poškození všech skel</w:t>
                  </w:r>
                </w:p>
              </w:txbxContent>
            </v:textbox>
            <w10:anchorlock/>
          </v:shape>
        </w:pict>
      </w:r>
      <w:r w:rsidR="00216117">
        <w:rPr>
          <w:rFonts w:ascii="Calibri"/>
          <w:position w:val="16"/>
        </w:rPr>
        <w:tab/>
      </w:r>
      <w:r>
        <w:rPr>
          <w:rFonts w:ascii="Calibri"/>
        </w:rPr>
      </w:r>
      <w:r>
        <w:rPr>
          <w:rFonts w:ascii="Calibri"/>
        </w:rPr>
        <w:pict w14:anchorId="332A18B3">
          <v:shape id="_x0000_s2586" type="#_x0000_t202" style="width:187.95pt;height:32.3pt;mso-left-percent:-10001;mso-top-percent:-10001;mso-position-horizontal:absolute;mso-position-horizontal-relative:char;mso-position-vertical:absolute;mso-position-vertical-relative:line;mso-left-percent:-10001;mso-top-percent:-10001" fillcolor="#ffc" strokeweight=".96pt">
            <v:textbox inset="0,0,0,0">
              <w:txbxContent>
                <w:p w14:paraId="28FC2637" w14:textId="77777777" w:rsidR="00F65BCA" w:rsidRDefault="00F65BCA">
                  <w:pPr>
                    <w:pStyle w:val="Zkladntext"/>
                    <w:spacing w:before="9"/>
                    <w:rPr>
                      <w:rFonts w:ascii="Calibri"/>
                      <w:sz w:val="7"/>
                    </w:rPr>
                  </w:pPr>
                </w:p>
                <w:p w14:paraId="6C52C24D" w14:textId="77777777" w:rsidR="00F65BCA" w:rsidRDefault="00216117">
                  <w:pPr>
                    <w:spacing w:before="1"/>
                    <w:ind w:left="4" w:right="1"/>
                    <w:jc w:val="center"/>
                    <w:rPr>
                      <w:b/>
                      <w:sz w:val="8"/>
                    </w:rPr>
                  </w:pPr>
                  <w:r>
                    <w:rPr>
                      <w:b/>
                      <w:w w:val="105"/>
                      <w:sz w:val="8"/>
                    </w:rPr>
                    <w:t>VÝPOČET:</w:t>
                  </w:r>
                </w:p>
                <w:p w14:paraId="3DF4F843" w14:textId="77777777" w:rsidR="00F65BCA" w:rsidRDefault="00F65BCA">
                  <w:pPr>
                    <w:pStyle w:val="Zkladntext"/>
                    <w:spacing w:before="2"/>
                    <w:rPr>
                      <w:b/>
                      <w:sz w:val="11"/>
                    </w:rPr>
                  </w:pPr>
                </w:p>
                <w:p w14:paraId="79E4F894" w14:textId="77777777" w:rsidR="00F65BCA" w:rsidRDefault="00216117">
                  <w:pPr>
                    <w:spacing w:line="288" w:lineRule="auto"/>
                    <w:ind w:left="4" w:right="1"/>
                    <w:jc w:val="center"/>
                    <w:rPr>
                      <w:b/>
                      <w:sz w:val="8"/>
                    </w:rPr>
                  </w:pPr>
                  <w:r>
                    <w:rPr>
                      <w:b/>
                      <w:w w:val="105"/>
                      <w:sz w:val="8"/>
                    </w:rPr>
                    <w:t xml:space="preserve">Pojistné = </w:t>
                  </w:r>
                  <w:r>
                    <w:rPr>
                      <w:b/>
                      <w:w w:val="105"/>
                      <w:sz w:val="8"/>
                    </w:rPr>
                    <w:t>ZAOKROUHLIT(Limit plnění (v celých tisících Kč) * Sazba * Koeficient spoluúčasti / 12; 0 DESETINNÝCH MÍST) * 12</w:t>
                  </w:r>
                </w:p>
              </w:txbxContent>
            </v:textbox>
            <w10:anchorlock/>
          </v:shape>
        </w:pict>
      </w:r>
    </w:p>
    <w:p w14:paraId="403CEA5B" w14:textId="77777777" w:rsidR="00F65BCA" w:rsidRDefault="00F65BCA">
      <w:pPr>
        <w:pStyle w:val="Zkladntext"/>
        <w:spacing w:before="8"/>
        <w:rPr>
          <w:rFonts w:ascii="Calibri"/>
          <w:sz w:val="5"/>
        </w:rPr>
      </w:pPr>
    </w:p>
    <w:p w14:paraId="7BF7747B" w14:textId="77777777" w:rsidR="00F65BCA" w:rsidRDefault="00F65BCA">
      <w:pPr>
        <w:rPr>
          <w:rFonts w:ascii="Calibri"/>
          <w:sz w:val="5"/>
        </w:rPr>
        <w:sectPr w:rsidR="00F65BCA">
          <w:pgSz w:w="11900" w:h="16840"/>
          <w:pgMar w:top="1280" w:right="640" w:bottom="280" w:left="500" w:header="708" w:footer="708" w:gutter="0"/>
          <w:cols w:space="708"/>
        </w:sectPr>
      </w:pPr>
    </w:p>
    <w:p w14:paraId="5F3C8134" w14:textId="77777777" w:rsidR="00F65BCA" w:rsidRDefault="00F65BCA">
      <w:pPr>
        <w:pStyle w:val="Zkladntext"/>
        <w:rPr>
          <w:rFonts w:ascii="Calibri"/>
          <w:sz w:val="10"/>
        </w:rPr>
      </w:pPr>
    </w:p>
    <w:p w14:paraId="2F357EBC" w14:textId="77777777" w:rsidR="00F65BCA" w:rsidRDefault="00F65BCA">
      <w:pPr>
        <w:pStyle w:val="Zkladntext"/>
        <w:rPr>
          <w:rFonts w:ascii="Calibri"/>
          <w:sz w:val="10"/>
        </w:rPr>
      </w:pPr>
    </w:p>
    <w:p w14:paraId="324BB9C8" w14:textId="77777777" w:rsidR="00F65BCA" w:rsidRDefault="00F65BCA">
      <w:pPr>
        <w:pStyle w:val="Zkladntext"/>
        <w:rPr>
          <w:rFonts w:ascii="Calibri"/>
          <w:sz w:val="10"/>
        </w:rPr>
      </w:pPr>
    </w:p>
    <w:p w14:paraId="1E22EC13" w14:textId="77777777" w:rsidR="00F65BCA" w:rsidRDefault="00F65BCA">
      <w:pPr>
        <w:pStyle w:val="Zkladntext"/>
        <w:rPr>
          <w:rFonts w:ascii="Calibri"/>
          <w:sz w:val="10"/>
        </w:rPr>
      </w:pPr>
    </w:p>
    <w:p w14:paraId="3CC75424" w14:textId="77777777" w:rsidR="00F65BCA" w:rsidRDefault="00F65BCA">
      <w:pPr>
        <w:pStyle w:val="Zkladntext"/>
        <w:rPr>
          <w:rFonts w:ascii="Calibri"/>
          <w:sz w:val="10"/>
        </w:rPr>
      </w:pPr>
    </w:p>
    <w:p w14:paraId="45F3CE9B" w14:textId="77777777" w:rsidR="00F65BCA" w:rsidRDefault="00F65BCA">
      <w:pPr>
        <w:pStyle w:val="Zkladntext"/>
        <w:rPr>
          <w:rFonts w:ascii="Calibri"/>
          <w:sz w:val="10"/>
        </w:rPr>
      </w:pPr>
    </w:p>
    <w:p w14:paraId="3549EEDE" w14:textId="77777777" w:rsidR="00F65BCA" w:rsidRDefault="00F65BCA">
      <w:pPr>
        <w:pStyle w:val="Zkladntext"/>
        <w:rPr>
          <w:rFonts w:ascii="Calibri"/>
          <w:sz w:val="10"/>
        </w:rPr>
      </w:pPr>
    </w:p>
    <w:p w14:paraId="705D9D54" w14:textId="77777777" w:rsidR="00F65BCA" w:rsidRDefault="00F65BCA">
      <w:pPr>
        <w:pStyle w:val="Zkladntext"/>
        <w:rPr>
          <w:rFonts w:ascii="Calibri"/>
          <w:sz w:val="10"/>
        </w:rPr>
      </w:pPr>
    </w:p>
    <w:p w14:paraId="526981D2" w14:textId="77777777" w:rsidR="00F65BCA" w:rsidRDefault="00F65BCA">
      <w:pPr>
        <w:pStyle w:val="Zkladntext"/>
        <w:rPr>
          <w:rFonts w:ascii="Calibri"/>
          <w:sz w:val="10"/>
        </w:rPr>
      </w:pPr>
    </w:p>
    <w:p w14:paraId="34A63B1E" w14:textId="77777777" w:rsidR="00F65BCA" w:rsidRDefault="00F65BCA">
      <w:pPr>
        <w:pStyle w:val="Zkladntext"/>
        <w:rPr>
          <w:rFonts w:ascii="Calibri"/>
          <w:sz w:val="10"/>
        </w:rPr>
      </w:pPr>
    </w:p>
    <w:p w14:paraId="6836C1F7" w14:textId="77777777" w:rsidR="00F65BCA" w:rsidRDefault="00F65BCA">
      <w:pPr>
        <w:pStyle w:val="Zkladntext"/>
        <w:rPr>
          <w:rFonts w:ascii="Calibri"/>
          <w:sz w:val="10"/>
        </w:rPr>
      </w:pPr>
    </w:p>
    <w:p w14:paraId="17BC194B" w14:textId="77777777" w:rsidR="00F65BCA" w:rsidRDefault="00F65BCA">
      <w:pPr>
        <w:pStyle w:val="Zkladntext"/>
        <w:rPr>
          <w:rFonts w:ascii="Calibri"/>
          <w:sz w:val="10"/>
        </w:rPr>
      </w:pPr>
    </w:p>
    <w:p w14:paraId="26230FB0" w14:textId="77777777" w:rsidR="00F65BCA" w:rsidRDefault="00F65BCA">
      <w:pPr>
        <w:pStyle w:val="Zkladntext"/>
        <w:rPr>
          <w:rFonts w:ascii="Calibri"/>
          <w:sz w:val="10"/>
        </w:rPr>
      </w:pPr>
    </w:p>
    <w:p w14:paraId="2A1DAAAE" w14:textId="77777777" w:rsidR="00F65BCA" w:rsidRDefault="00F65BCA">
      <w:pPr>
        <w:pStyle w:val="Zkladntext"/>
        <w:rPr>
          <w:rFonts w:ascii="Calibri"/>
          <w:sz w:val="10"/>
        </w:rPr>
      </w:pPr>
    </w:p>
    <w:p w14:paraId="4F29A396" w14:textId="77777777" w:rsidR="00F65BCA" w:rsidRDefault="00F65BCA">
      <w:pPr>
        <w:pStyle w:val="Zkladntext"/>
        <w:rPr>
          <w:rFonts w:ascii="Calibri"/>
          <w:sz w:val="10"/>
        </w:rPr>
      </w:pPr>
    </w:p>
    <w:p w14:paraId="0B758B2F" w14:textId="77777777" w:rsidR="00F65BCA" w:rsidRDefault="00F65BCA">
      <w:pPr>
        <w:pStyle w:val="Zkladntext"/>
        <w:rPr>
          <w:rFonts w:ascii="Calibri"/>
          <w:sz w:val="10"/>
        </w:rPr>
      </w:pPr>
    </w:p>
    <w:p w14:paraId="37694DCF" w14:textId="77777777" w:rsidR="00F65BCA" w:rsidRDefault="00F65BCA">
      <w:pPr>
        <w:pStyle w:val="Zkladntext"/>
        <w:rPr>
          <w:rFonts w:ascii="Calibri"/>
          <w:sz w:val="10"/>
        </w:rPr>
      </w:pPr>
    </w:p>
    <w:p w14:paraId="5DDADFD4" w14:textId="77777777" w:rsidR="00F65BCA" w:rsidRDefault="00F65BCA">
      <w:pPr>
        <w:pStyle w:val="Zkladntext"/>
        <w:rPr>
          <w:rFonts w:ascii="Calibri"/>
          <w:sz w:val="10"/>
        </w:rPr>
      </w:pPr>
    </w:p>
    <w:p w14:paraId="30C9BBDB" w14:textId="77777777" w:rsidR="00F65BCA" w:rsidRDefault="00F65BCA">
      <w:pPr>
        <w:pStyle w:val="Zkladntext"/>
        <w:rPr>
          <w:rFonts w:ascii="Calibri"/>
          <w:sz w:val="10"/>
        </w:rPr>
      </w:pPr>
    </w:p>
    <w:p w14:paraId="4638935B" w14:textId="77777777" w:rsidR="00F65BCA" w:rsidRDefault="00F65BCA">
      <w:pPr>
        <w:pStyle w:val="Zkladntext"/>
        <w:rPr>
          <w:rFonts w:ascii="Calibri"/>
          <w:sz w:val="10"/>
        </w:rPr>
      </w:pPr>
    </w:p>
    <w:p w14:paraId="0379D8E3" w14:textId="77777777" w:rsidR="00F65BCA" w:rsidRDefault="00F65BCA">
      <w:pPr>
        <w:pStyle w:val="Zkladntext"/>
        <w:rPr>
          <w:rFonts w:ascii="Calibri"/>
          <w:sz w:val="10"/>
        </w:rPr>
      </w:pPr>
    </w:p>
    <w:p w14:paraId="7482333C" w14:textId="77777777" w:rsidR="00F65BCA" w:rsidRDefault="00F65BCA">
      <w:pPr>
        <w:pStyle w:val="Zkladntext"/>
        <w:rPr>
          <w:rFonts w:ascii="Calibri"/>
          <w:sz w:val="10"/>
        </w:rPr>
      </w:pPr>
    </w:p>
    <w:p w14:paraId="41F47C88" w14:textId="77777777" w:rsidR="00F65BCA" w:rsidRDefault="00F65BCA">
      <w:pPr>
        <w:pStyle w:val="Zkladntext"/>
        <w:rPr>
          <w:rFonts w:ascii="Calibri"/>
          <w:sz w:val="10"/>
        </w:rPr>
      </w:pPr>
    </w:p>
    <w:p w14:paraId="5B5A516F" w14:textId="77777777" w:rsidR="00F65BCA" w:rsidRDefault="00F65BCA">
      <w:pPr>
        <w:pStyle w:val="Zkladntext"/>
        <w:rPr>
          <w:rFonts w:ascii="Calibri"/>
          <w:sz w:val="10"/>
        </w:rPr>
      </w:pPr>
    </w:p>
    <w:p w14:paraId="32F2FBF9" w14:textId="77777777" w:rsidR="00F65BCA" w:rsidRDefault="00F65BCA">
      <w:pPr>
        <w:pStyle w:val="Zkladntext"/>
        <w:rPr>
          <w:rFonts w:ascii="Calibri"/>
          <w:sz w:val="10"/>
        </w:rPr>
      </w:pPr>
    </w:p>
    <w:p w14:paraId="2EB94178" w14:textId="77777777" w:rsidR="00F65BCA" w:rsidRDefault="00F65BCA">
      <w:pPr>
        <w:pStyle w:val="Zkladntext"/>
        <w:rPr>
          <w:rFonts w:ascii="Calibri"/>
          <w:sz w:val="10"/>
        </w:rPr>
      </w:pPr>
    </w:p>
    <w:p w14:paraId="14117369" w14:textId="77777777" w:rsidR="00F65BCA" w:rsidRDefault="00F65BCA">
      <w:pPr>
        <w:pStyle w:val="Zkladntext"/>
        <w:rPr>
          <w:rFonts w:ascii="Calibri"/>
          <w:sz w:val="10"/>
        </w:rPr>
      </w:pPr>
    </w:p>
    <w:p w14:paraId="7C853C50" w14:textId="77777777" w:rsidR="00F65BCA" w:rsidRDefault="00F65BCA">
      <w:pPr>
        <w:pStyle w:val="Zkladntext"/>
        <w:rPr>
          <w:rFonts w:ascii="Calibri"/>
          <w:sz w:val="10"/>
        </w:rPr>
      </w:pPr>
    </w:p>
    <w:p w14:paraId="1E67B99B" w14:textId="77777777" w:rsidR="00F65BCA" w:rsidRDefault="00F65BCA">
      <w:pPr>
        <w:pStyle w:val="Zkladntext"/>
        <w:rPr>
          <w:rFonts w:ascii="Calibri"/>
          <w:sz w:val="10"/>
        </w:rPr>
      </w:pPr>
    </w:p>
    <w:p w14:paraId="0C48428F" w14:textId="77777777" w:rsidR="00F65BCA" w:rsidRDefault="00F65BCA">
      <w:pPr>
        <w:pStyle w:val="Zkladntext"/>
        <w:rPr>
          <w:rFonts w:ascii="Calibri"/>
          <w:sz w:val="10"/>
        </w:rPr>
      </w:pPr>
    </w:p>
    <w:p w14:paraId="4B2E13DB" w14:textId="77777777" w:rsidR="00F65BCA" w:rsidRDefault="00F65BCA">
      <w:pPr>
        <w:pStyle w:val="Zkladntext"/>
        <w:rPr>
          <w:rFonts w:ascii="Calibri"/>
          <w:sz w:val="10"/>
        </w:rPr>
      </w:pPr>
    </w:p>
    <w:p w14:paraId="41BCA355" w14:textId="77777777" w:rsidR="00F65BCA" w:rsidRDefault="00F65BCA">
      <w:pPr>
        <w:pStyle w:val="Zkladntext"/>
        <w:rPr>
          <w:rFonts w:ascii="Calibri"/>
          <w:sz w:val="10"/>
        </w:rPr>
      </w:pPr>
    </w:p>
    <w:p w14:paraId="7CD2C77F" w14:textId="77777777" w:rsidR="00F65BCA" w:rsidRDefault="00F65BCA">
      <w:pPr>
        <w:pStyle w:val="Zkladntext"/>
        <w:rPr>
          <w:rFonts w:ascii="Calibri"/>
          <w:sz w:val="10"/>
        </w:rPr>
      </w:pPr>
    </w:p>
    <w:p w14:paraId="3D3C4840" w14:textId="77777777" w:rsidR="00F65BCA" w:rsidRDefault="00F65BCA">
      <w:pPr>
        <w:pStyle w:val="Zkladntext"/>
        <w:rPr>
          <w:rFonts w:ascii="Calibri"/>
          <w:sz w:val="10"/>
        </w:rPr>
      </w:pPr>
    </w:p>
    <w:p w14:paraId="4CAC957E" w14:textId="77777777" w:rsidR="00F65BCA" w:rsidRDefault="00F65BCA">
      <w:pPr>
        <w:pStyle w:val="Zkladntext"/>
        <w:rPr>
          <w:rFonts w:ascii="Calibri"/>
          <w:sz w:val="10"/>
        </w:rPr>
      </w:pPr>
    </w:p>
    <w:p w14:paraId="13EFDF3D" w14:textId="77777777" w:rsidR="00F65BCA" w:rsidRDefault="00F65BCA">
      <w:pPr>
        <w:pStyle w:val="Zkladntext"/>
        <w:rPr>
          <w:rFonts w:ascii="Calibri"/>
          <w:sz w:val="10"/>
        </w:rPr>
      </w:pPr>
    </w:p>
    <w:p w14:paraId="7453E02D" w14:textId="77777777" w:rsidR="00F65BCA" w:rsidRDefault="00F65BCA">
      <w:pPr>
        <w:pStyle w:val="Zkladntext"/>
        <w:rPr>
          <w:rFonts w:ascii="Calibri"/>
          <w:sz w:val="10"/>
        </w:rPr>
      </w:pPr>
    </w:p>
    <w:p w14:paraId="50CC2751" w14:textId="77777777" w:rsidR="00F65BCA" w:rsidRDefault="00F65BCA">
      <w:pPr>
        <w:pStyle w:val="Zkladntext"/>
        <w:rPr>
          <w:rFonts w:ascii="Calibri"/>
          <w:sz w:val="10"/>
        </w:rPr>
      </w:pPr>
    </w:p>
    <w:p w14:paraId="430D29C3" w14:textId="77777777" w:rsidR="00F65BCA" w:rsidRDefault="00F65BCA">
      <w:pPr>
        <w:pStyle w:val="Zkladntext"/>
        <w:rPr>
          <w:rFonts w:ascii="Calibri"/>
          <w:sz w:val="10"/>
        </w:rPr>
      </w:pPr>
    </w:p>
    <w:p w14:paraId="6B0807C9" w14:textId="77777777" w:rsidR="00F65BCA" w:rsidRDefault="00F65BCA">
      <w:pPr>
        <w:pStyle w:val="Zkladntext"/>
        <w:rPr>
          <w:rFonts w:ascii="Calibri"/>
          <w:sz w:val="10"/>
        </w:rPr>
      </w:pPr>
    </w:p>
    <w:p w14:paraId="2E1FA414" w14:textId="77777777" w:rsidR="00F65BCA" w:rsidRDefault="00F65BCA">
      <w:pPr>
        <w:pStyle w:val="Zkladntext"/>
        <w:rPr>
          <w:rFonts w:ascii="Calibri"/>
          <w:sz w:val="10"/>
        </w:rPr>
      </w:pPr>
    </w:p>
    <w:p w14:paraId="0EE66910" w14:textId="77777777" w:rsidR="00F65BCA" w:rsidRDefault="00F65BCA">
      <w:pPr>
        <w:pStyle w:val="Zkladntext"/>
        <w:rPr>
          <w:rFonts w:ascii="Calibri"/>
          <w:sz w:val="10"/>
        </w:rPr>
      </w:pPr>
    </w:p>
    <w:p w14:paraId="38593D77" w14:textId="77777777" w:rsidR="00F65BCA" w:rsidRDefault="00F65BCA">
      <w:pPr>
        <w:pStyle w:val="Zkladntext"/>
        <w:rPr>
          <w:rFonts w:ascii="Calibri"/>
          <w:sz w:val="10"/>
        </w:rPr>
      </w:pPr>
    </w:p>
    <w:p w14:paraId="5297CFFA" w14:textId="77777777" w:rsidR="00F65BCA" w:rsidRDefault="00F65BCA">
      <w:pPr>
        <w:pStyle w:val="Zkladntext"/>
        <w:rPr>
          <w:rFonts w:ascii="Calibri"/>
          <w:sz w:val="10"/>
        </w:rPr>
      </w:pPr>
    </w:p>
    <w:p w14:paraId="25128A2E" w14:textId="77777777" w:rsidR="00F65BCA" w:rsidRDefault="00F65BCA">
      <w:pPr>
        <w:pStyle w:val="Zkladntext"/>
        <w:rPr>
          <w:rFonts w:ascii="Calibri"/>
          <w:sz w:val="10"/>
        </w:rPr>
      </w:pPr>
    </w:p>
    <w:p w14:paraId="534BD0D0" w14:textId="77777777" w:rsidR="00F65BCA" w:rsidRDefault="00F65BCA">
      <w:pPr>
        <w:pStyle w:val="Zkladntext"/>
        <w:rPr>
          <w:rFonts w:ascii="Calibri"/>
          <w:sz w:val="10"/>
        </w:rPr>
      </w:pPr>
    </w:p>
    <w:p w14:paraId="1E96AE0E" w14:textId="77777777" w:rsidR="00F65BCA" w:rsidRDefault="00F65BCA">
      <w:pPr>
        <w:pStyle w:val="Zkladntext"/>
        <w:rPr>
          <w:rFonts w:ascii="Calibri"/>
          <w:sz w:val="10"/>
        </w:rPr>
      </w:pPr>
    </w:p>
    <w:p w14:paraId="15A0178B" w14:textId="77777777" w:rsidR="00F65BCA" w:rsidRDefault="00F65BCA">
      <w:pPr>
        <w:pStyle w:val="Zkladntext"/>
        <w:rPr>
          <w:rFonts w:ascii="Calibri"/>
          <w:sz w:val="10"/>
        </w:rPr>
      </w:pPr>
    </w:p>
    <w:p w14:paraId="39B3FBC6" w14:textId="77777777" w:rsidR="00F65BCA" w:rsidRDefault="00F65BCA">
      <w:pPr>
        <w:pStyle w:val="Zkladntext"/>
        <w:rPr>
          <w:rFonts w:ascii="Calibri"/>
          <w:sz w:val="10"/>
        </w:rPr>
      </w:pPr>
    </w:p>
    <w:p w14:paraId="48CEB152" w14:textId="77777777" w:rsidR="00F65BCA" w:rsidRDefault="00F65BCA">
      <w:pPr>
        <w:pStyle w:val="Zkladntext"/>
        <w:rPr>
          <w:rFonts w:ascii="Calibri"/>
          <w:sz w:val="10"/>
        </w:rPr>
      </w:pPr>
    </w:p>
    <w:p w14:paraId="3C758130" w14:textId="77777777" w:rsidR="00F65BCA" w:rsidRDefault="00F65BCA">
      <w:pPr>
        <w:pStyle w:val="Zkladntext"/>
        <w:rPr>
          <w:rFonts w:ascii="Calibri"/>
          <w:sz w:val="10"/>
        </w:rPr>
      </w:pPr>
    </w:p>
    <w:p w14:paraId="02E9E595" w14:textId="77777777" w:rsidR="00F65BCA" w:rsidRDefault="00F65BCA">
      <w:pPr>
        <w:pStyle w:val="Zkladntext"/>
        <w:rPr>
          <w:rFonts w:ascii="Calibri"/>
          <w:sz w:val="10"/>
        </w:rPr>
      </w:pPr>
    </w:p>
    <w:p w14:paraId="6219421E" w14:textId="77777777" w:rsidR="00F65BCA" w:rsidRDefault="00F65BCA">
      <w:pPr>
        <w:pStyle w:val="Zkladntext"/>
        <w:rPr>
          <w:rFonts w:ascii="Calibri"/>
          <w:sz w:val="10"/>
        </w:rPr>
      </w:pPr>
    </w:p>
    <w:p w14:paraId="7E0A738E" w14:textId="77777777" w:rsidR="00F65BCA" w:rsidRDefault="00F65BCA">
      <w:pPr>
        <w:pStyle w:val="Zkladntext"/>
        <w:rPr>
          <w:rFonts w:ascii="Calibri"/>
          <w:sz w:val="10"/>
        </w:rPr>
      </w:pPr>
    </w:p>
    <w:p w14:paraId="72000CB0" w14:textId="77777777" w:rsidR="00F65BCA" w:rsidRDefault="00F65BCA">
      <w:pPr>
        <w:pStyle w:val="Zkladntext"/>
        <w:rPr>
          <w:rFonts w:ascii="Calibri"/>
          <w:sz w:val="10"/>
        </w:rPr>
      </w:pPr>
    </w:p>
    <w:p w14:paraId="06F3B0C1" w14:textId="77777777" w:rsidR="00F65BCA" w:rsidRDefault="00F65BCA">
      <w:pPr>
        <w:pStyle w:val="Zkladntext"/>
        <w:rPr>
          <w:rFonts w:ascii="Calibri"/>
          <w:sz w:val="10"/>
        </w:rPr>
      </w:pPr>
    </w:p>
    <w:p w14:paraId="4DD0967B" w14:textId="77777777" w:rsidR="00F65BCA" w:rsidRDefault="00F65BCA">
      <w:pPr>
        <w:pStyle w:val="Zkladntext"/>
        <w:rPr>
          <w:rFonts w:ascii="Calibri"/>
          <w:sz w:val="10"/>
        </w:rPr>
      </w:pPr>
    </w:p>
    <w:p w14:paraId="5629D9A1" w14:textId="77777777" w:rsidR="00F65BCA" w:rsidRDefault="00F65BCA">
      <w:pPr>
        <w:pStyle w:val="Zkladntext"/>
        <w:rPr>
          <w:rFonts w:ascii="Calibri"/>
          <w:sz w:val="10"/>
        </w:rPr>
      </w:pPr>
    </w:p>
    <w:p w14:paraId="1E8ED360" w14:textId="77777777" w:rsidR="00F65BCA" w:rsidRDefault="00F65BCA">
      <w:pPr>
        <w:pStyle w:val="Zkladntext"/>
        <w:rPr>
          <w:rFonts w:ascii="Calibri"/>
          <w:sz w:val="10"/>
        </w:rPr>
      </w:pPr>
    </w:p>
    <w:p w14:paraId="684FD434" w14:textId="77777777" w:rsidR="00F65BCA" w:rsidRDefault="00F65BCA">
      <w:pPr>
        <w:pStyle w:val="Zkladntext"/>
        <w:rPr>
          <w:rFonts w:ascii="Calibri"/>
          <w:sz w:val="10"/>
        </w:rPr>
      </w:pPr>
    </w:p>
    <w:p w14:paraId="598CAFEC" w14:textId="77777777" w:rsidR="00F65BCA" w:rsidRDefault="00F65BCA">
      <w:pPr>
        <w:pStyle w:val="Zkladntext"/>
        <w:rPr>
          <w:rFonts w:ascii="Calibri"/>
          <w:sz w:val="10"/>
        </w:rPr>
      </w:pPr>
    </w:p>
    <w:p w14:paraId="0545D332" w14:textId="77777777" w:rsidR="00F65BCA" w:rsidRDefault="00F65BCA">
      <w:pPr>
        <w:pStyle w:val="Zkladntext"/>
        <w:rPr>
          <w:rFonts w:ascii="Calibri"/>
          <w:sz w:val="10"/>
        </w:rPr>
      </w:pPr>
    </w:p>
    <w:p w14:paraId="62C3CC33" w14:textId="77777777" w:rsidR="00F65BCA" w:rsidRDefault="00F65BCA">
      <w:pPr>
        <w:pStyle w:val="Zkladntext"/>
        <w:rPr>
          <w:rFonts w:ascii="Calibri"/>
          <w:sz w:val="10"/>
        </w:rPr>
      </w:pPr>
    </w:p>
    <w:p w14:paraId="0C7DB2B9" w14:textId="77777777" w:rsidR="00F65BCA" w:rsidRDefault="00F65BCA">
      <w:pPr>
        <w:pStyle w:val="Zkladntext"/>
        <w:rPr>
          <w:rFonts w:ascii="Calibri"/>
          <w:sz w:val="10"/>
        </w:rPr>
      </w:pPr>
    </w:p>
    <w:p w14:paraId="4D3E0FCA" w14:textId="77777777" w:rsidR="00F65BCA" w:rsidRDefault="00F65BCA">
      <w:pPr>
        <w:pStyle w:val="Zkladntext"/>
        <w:rPr>
          <w:rFonts w:ascii="Calibri"/>
          <w:sz w:val="10"/>
        </w:rPr>
      </w:pPr>
    </w:p>
    <w:p w14:paraId="60F09524" w14:textId="77777777" w:rsidR="00F65BCA" w:rsidRDefault="00F65BCA">
      <w:pPr>
        <w:pStyle w:val="Zkladntext"/>
        <w:rPr>
          <w:rFonts w:ascii="Calibri"/>
          <w:sz w:val="10"/>
        </w:rPr>
      </w:pPr>
    </w:p>
    <w:p w14:paraId="08968157" w14:textId="77777777" w:rsidR="00F65BCA" w:rsidRDefault="00F65BCA">
      <w:pPr>
        <w:pStyle w:val="Zkladntext"/>
        <w:rPr>
          <w:rFonts w:ascii="Calibri"/>
          <w:sz w:val="10"/>
        </w:rPr>
      </w:pPr>
    </w:p>
    <w:p w14:paraId="10EC925E" w14:textId="77777777" w:rsidR="00F65BCA" w:rsidRDefault="00F65BCA">
      <w:pPr>
        <w:pStyle w:val="Zkladntext"/>
        <w:rPr>
          <w:rFonts w:ascii="Calibri"/>
          <w:sz w:val="10"/>
        </w:rPr>
      </w:pPr>
    </w:p>
    <w:p w14:paraId="5EB7D69F" w14:textId="77777777" w:rsidR="00F65BCA" w:rsidRDefault="00F65BCA">
      <w:pPr>
        <w:pStyle w:val="Zkladntext"/>
        <w:rPr>
          <w:rFonts w:ascii="Calibri"/>
          <w:sz w:val="10"/>
        </w:rPr>
      </w:pPr>
    </w:p>
    <w:p w14:paraId="4DB16DA0" w14:textId="77777777" w:rsidR="00F65BCA" w:rsidRDefault="00F65BCA">
      <w:pPr>
        <w:pStyle w:val="Zkladntext"/>
        <w:rPr>
          <w:rFonts w:ascii="Calibri"/>
          <w:sz w:val="10"/>
        </w:rPr>
      </w:pPr>
    </w:p>
    <w:p w14:paraId="2AC76121" w14:textId="77777777" w:rsidR="00F65BCA" w:rsidRDefault="00F65BCA">
      <w:pPr>
        <w:pStyle w:val="Zkladntext"/>
        <w:rPr>
          <w:rFonts w:ascii="Calibri"/>
          <w:sz w:val="10"/>
        </w:rPr>
      </w:pPr>
    </w:p>
    <w:p w14:paraId="3DE5E5D6" w14:textId="77777777" w:rsidR="00F65BCA" w:rsidRDefault="00F65BCA">
      <w:pPr>
        <w:pStyle w:val="Zkladntext"/>
        <w:rPr>
          <w:rFonts w:ascii="Calibri"/>
          <w:sz w:val="10"/>
        </w:rPr>
      </w:pPr>
    </w:p>
    <w:p w14:paraId="37AF1B15" w14:textId="77777777" w:rsidR="00F65BCA" w:rsidRDefault="00F65BCA">
      <w:pPr>
        <w:pStyle w:val="Zkladntext"/>
        <w:rPr>
          <w:rFonts w:ascii="Calibri"/>
          <w:sz w:val="10"/>
        </w:rPr>
      </w:pPr>
    </w:p>
    <w:p w14:paraId="53AED463" w14:textId="77777777" w:rsidR="00F65BCA" w:rsidRDefault="00F65BCA">
      <w:pPr>
        <w:pStyle w:val="Zkladntext"/>
        <w:rPr>
          <w:rFonts w:ascii="Calibri"/>
          <w:sz w:val="10"/>
        </w:rPr>
      </w:pPr>
    </w:p>
    <w:p w14:paraId="7516B90C" w14:textId="77777777" w:rsidR="00F65BCA" w:rsidRDefault="00F65BCA">
      <w:pPr>
        <w:pStyle w:val="Zkladntext"/>
        <w:rPr>
          <w:rFonts w:ascii="Calibri"/>
          <w:sz w:val="10"/>
        </w:rPr>
      </w:pPr>
    </w:p>
    <w:p w14:paraId="03C5EE75" w14:textId="77777777" w:rsidR="00F65BCA" w:rsidRDefault="00F65BCA">
      <w:pPr>
        <w:pStyle w:val="Zkladntext"/>
        <w:rPr>
          <w:rFonts w:ascii="Calibri"/>
          <w:sz w:val="10"/>
        </w:rPr>
      </w:pPr>
    </w:p>
    <w:p w14:paraId="5B59C3F6" w14:textId="77777777" w:rsidR="00F65BCA" w:rsidRDefault="00F65BCA">
      <w:pPr>
        <w:pStyle w:val="Zkladntext"/>
        <w:rPr>
          <w:rFonts w:ascii="Calibri"/>
          <w:sz w:val="10"/>
        </w:rPr>
      </w:pPr>
    </w:p>
    <w:p w14:paraId="1DBF9CD2" w14:textId="77777777" w:rsidR="00F65BCA" w:rsidRDefault="00F65BCA">
      <w:pPr>
        <w:pStyle w:val="Zkladntext"/>
        <w:rPr>
          <w:rFonts w:ascii="Calibri"/>
          <w:sz w:val="10"/>
        </w:rPr>
      </w:pPr>
    </w:p>
    <w:p w14:paraId="5AEFDFB5" w14:textId="77777777" w:rsidR="00F65BCA" w:rsidRDefault="00F65BCA">
      <w:pPr>
        <w:pStyle w:val="Zkladntext"/>
        <w:rPr>
          <w:rFonts w:ascii="Calibri"/>
          <w:sz w:val="10"/>
        </w:rPr>
      </w:pPr>
    </w:p>
    <w:p w14:paraId="3F65FE2B" w14:textId="77777777" w:rsidR="00F65BCA" w:rsidRDefault="00F65BCA">
      <w:pPr>
        <w:pStyle w:val="Zkladntext"/>
        <w:rPr>
          <w:rFonts w:ascii="Calibri"/>
          <w:sz w:val="10"/>
        </w:rPr>
      </w:pPr>
    </w:p>
    <w:p w14:paraId="46D4822D" w14:textId="77777777" w:rsidR="00F65BCA" w:rsidRDefault="00F65BCA">
      <w:pPr>
        <w:pStyle w:val="Zkladntext"/>
        <w:rPr>
          <w:rFonts w:ascii="Calibri"/>
          <w:sz w:val="10"/>
        </w:rPr>
      </w:pPr>
    </w:p>
    <w:p w14:paraId="6192C7EB" w14:textId="77777777" w:rsidR="00F65BCA" w:rsidRDefault="00F65BCA">
      <w:pPr>
        <w:pStyle w:val="Zkladntext"/>
        <w:rPr>
          <w:rFonts w:ascii="Calibri"/>
          <w:sz w:val="10"/>
        </w:rPr>
      </w:pPr>
    </w:p>
    <w:p w14:paraId="570C7ED3" w14:textId="77777777" w:rsidR="00F65BCA" w:rsidRDefault="00F65BCA">
      <w:pPr>
        <w:pStyle w:val="Zkladntext"/>
        <w:rPr>
          <w:rFonts w:ascii="Calibri"/>
          <w:sz w:val="10"/>
        </w:rPr>
      </w:pPr>
    </w:p>
    <w:p w14:paraId="156A598B" w14:textId="77777777" w:rsidR="00F65BCA" w:rsidRDefault="00F65BCA">
      <w:pPr>
        <w:pStyle w:val="Zkladntext"/>
        <w:rPr>
          <w:rFonts w:ascii="Calibri"/>
          <w:sz w:val="10"/>
        </w:rPr>
      </w:pPr>
    </w:p>
    <w:p w14:paraId="2BF9EAC3" w14:textId="77777777" w:rsidR="00F65BCA" w:rsidRDefault="00F65BCA">
      <w:pPr>
        <w:pStyle w:val="Zkladntext"/>
        <w:rPr>
          <w:rFonts w:ascii="Calibri"/>
          <w:sz w:val="10"/>
        </w:rPr>
      </w:pPr>
    </w:p>
    <w:p w14:paraId="2DAFF656" w14:textId="77777777" w:rsidR="00F65BCA" w:rsidRDefault="00F65BCA">
      <w:pPr>
        <w:pStyle w:val="Zkladntext"/>
        <w:rPr>
          <w:rFonts w:ascii="Calibri"/>
          <w:sz w:val="10"/>
        </w:rPr>
      </w:pPr>
    </w:p>
    <w:p w14:paraId="5289FD42" w14:textId="77777777" w:rsidR="00F65BCA" w:rsidRDefault="00F65BCA">
      <w:pPr>
        <w:pStyle w:val="Zkladntext"/>
        <w:rPr>
          <w:rFonts w:ascii="Calibri"/>
          <w:sz w:val="10"/>
        </w:rPr>
      </w:pPr>
    </w:p>
    <w:p w14:paraId="12C5B9C7" w14:textId="77777777" w:rsidR="00F65BCA" w:rsidRDefault="00F65BCA">
      <w:pPr>
        <w:pStyle w:val="Zkladntext"/>
        <w:rPr>
          <w:rFonts w:ascii="Calibri"/>
          <w:sz w:val="10"/>
        </w:rPr>
      </w:pPr>
    </w:p>
    <w:p w14:paraId="4674B0E1" w14:textId="77777777" w:rsidR="00F65BCA" w:rsidRDefault="00F65BCA">
      <w:pPr>
        <w:pStyle w:val="Zkladntext"/>
        <w:rPr>
          <w:rFonts w:ascii="Calibri"/>
          <w:sz w:val="10"/>
        </w:rPr>
      </w:pPr>
    </w:p>
    <w:p w14:paraId="05B27A50" w14:textId="77777777" w:rsidR="00F65BCA" w:rsidRDefault="00F65BCA">
      <w:pPr>
        <w:pStyle w:val="Zkladntext"/>
        <w:rPr>
          <w:rFonts w:ascii="Calibri"/>
          <w:sz w:val="10"/>
        </w:rPr>
      </w:pPr>
    </w:p>
    <w:p w14:paraId="2B0B08FC" w14:textId="77777777" w:rsidR="00F65BCA" w:rsidRDefault="00F65BCA">
      <w:pPr>
        <w:pStyle w:val="Zkladntext"/>
        <w:rPr>
          <w:rFonts w:ascii="Calibri"/>
          <w:sz w:val="10"/>
        </w:rPr>
      </w:pPr>
    </w:p>
    <w:p w14:paraId="61646EAE" w14:textId="77777777" w:rsidR="00F65BCA" w:rsidRDefault="00F65BCA">
      <w:pPr>
        <w:pStyle w:val="Zkladntext"/>
        <w:rPr>
          <w:rFonts w:ascii="Calibri"/>
          <w:sz w:val="10"/>
        </w:rPr>
      </w:pPr>
    </w:p>
    <w:p w14:paraId="64F6FFD2" w14:textId="77777777" w:rsidR="00F65BCA" w:rsidRDefault="00F65BCA">
      <w:pPr>
        <w:pStyle w:val="Zkladntext"/>
        <w:rPr>
          <w:rFonts w:ascii="Calibri"/>
          <w:sz w:val="10"/>
        </w:rPr>
      </w:pPr>
    </w:p>
    <w:p w14:paraId="72C109BB" w14:textId="77777777" w:rsidR="00F65BCA" w:rsidRDefault="00F65BCA">
      <w:pPr>
        <w:pStyle w:val="Zkladntext"/>
        <w:rPr>
          <w:rFonts w:ascii="Calibri"/>
          <w:sz w:val="10"/>
        </w:rPr>
      </w:pPr>
    </w:p>
    <w:p w14:paraId="729F4118" w14:textId="77777777" w:rsidR="00F65BCA" w:rsidRDefault="00F65BCA">
      <w:pPr>
        <w:pStyle w:val="Zkladntext"/>
        <w:rPr>
          <w:rFonts w:ascii="Calibri"/>
          <w:sz w:val="10"/>
        </w:rPr>
      </w:pPr>
    </w:p>
    <w:p w14:paraId="629120CA" w14:textId="77777777" w:rsidR="00F65BCA" w:rsidRDefault="00F65BCA">
      <w:pPr>
        <w:pStyle w:val="Zkladntext"/>
        <w:rPr>
          <w:rFonts w:ascii="Calibri"/>
          <w:sz w:val="10"/>
        </w:rPr>
      </w:pPr>
    </w:p>
    <w:p w14:paraId="74A3D4F3" w14:textId="77777777" w:rsidR="00F65BCA" w:rsidRDefault="00F65BCA">
      <w:pPr>
        <w:pStyle w:val="Zkladntext"/>
        <w:rPr>
          <w:rFonts w:ascii="Calibri"/>
          <w:sz w:val="10"/>
        </w:rPr>
      </w:pPr>
    </w:p>
    <w:p w14:paraId="4C2D59E0" w14:textId="77777777" w:rsidR="00F65BCA" w:rsidRDefault="00F65BCA">
      <w:pPr>
        <w:pStyle w:val="Zkladntext"/>
        <w:rPr>
          <w:rFonts w:ascii="Calibri"/>
          <w:sz w:val="10"/>
        </w:rPr>
      </w:pPr>
    </w:p>
    <w:p w14:paraId="02DDB9ED" w14:textId="77777777" w:rsidR="00F65BCA" w:rsidRDefault="00F65BCA">
      <w:pPr>
        <w:pStyle w:val="Zkladntext"/>
        <w:rPr>
          <w:rFonts w:ascii="Calibri"/>
          <w:sz w:val="10"/>
        </w:rPr>
      </w:pPr>
    </w:p>
    <w:p w14:paraId="0F325A85" w14:textId="77777777" w:rsidR="00F65BCA" w:rsidRDefault="00F65BCA">
      <w:pPr>
        <w:pStyle w:val="Zkladntext"/>
        <w:rPr>
          <w:rFonts w:ascii="Calibri"/>
          <w:sz w:val="10"/>
        </w:rPr>
      </w:pPr>
    </w:p>
    <w:p w14:paraId="19C7543F" w14:textId="77777777" w:rsidR="00F65BCA" w:rsidRDefault="00F65BCA">
      <w:pPr>
        <w:pStyle w:val="Zkladntext"/>
        <w:rPr>
          <w:rFonts w:ascii="Calibri"/>
          <w:sz w:val="10"/>
        </w:rPr>
      </w:pPr>
    </w:p>
    <w:p w14:paraId="0EF7BAA6" w14:textId="77777777" w:rsidR="00F65BCA" w:rsidRDefault="00F65BCA">
      <w:pPr>
        <w:pStyle w:val="Zkladntext"/>
        <w:rPr>
          <w:rFonts w:ascii="Calibri"/>
          <w:sz w:val="10"/>
        </w:rPr>
      </w:pPr>
    </w:p>
    <w:p w14:paraId="50C029E7" w14:textId="77777777" w:rsidR="00F65BCA" w:rsidRDefault="00F65BCA">
      <w:pPr>
        <w:pStyle w:val="Zkladntext"/>
        <w:rPr>
          <w:rFonts w:ascii="Calibri"/>
          <w:sz w:val="10"/>
        </w:rPr>
      </w:pPr>
    </w:p>
    <w:p w14:paraId="77145436" w14:textId="77777777" w:rsidR="00F65BCA" w:rsidRDefault="00F65BCA">
      <w:pPr>
        <w:pStyle w:val="Zkladntext"/>
        <w:rPr>
          <w:rFonts w:ascii="Calibri"/>
          <w:sz w:val="10"/>
        </w:rPr>
      </w:pPr>
    </w:p>
    <w:p w14:paraId="61EF9EE4" w14:textId="77777777" w:rsidR="00F65BCA" w:rsidRDefault="00F65BCA">
      <w:pPr>
        <w:pStyle w:val="Zkladntext"/>
        <w:rPr>
          <w:rFonts w:ascii="Calibri"/>
          <w:sz w:val="10"/>
        </w:rPr>
      </w:pPr>
    </w:p>
    <w:p w14:paraId="40AF73A9" w14:textId="77777777" w:rsidR="00F65BCA" w:rsidRDefault="00F65BCA">
      <w:pPr>
        <w:pStyle w:val="Zkladntext"/>
        <w:rPr>
          <w:rFonts w:ascii="Calibri"/>
          <w:sz w:val="10"/>
        </w:rPr>
      </w:pPr>
    </w:p>
    <w:p w14:paraId="25F4E447" w14:textId="77777777" w:rsidR="00F65BCA" w:rsidRDefault="00F65BCA">
      <w:pPr>
        <w:pStyle w:val="Zkladntext"/>
        <w:rPr>
          <w:rFonts w:ascii="Calibri"/>
          <w:sz w:val="10"/>
        </w:rPr>
      </w:pPr>
    </w:p>
    <w:p w14:paraId="3EE62F04" w14:textId="77777777" w:rsidR="00F65BCA" w:rsidRDefault="00F65BCA">
      <w:pPr>
        <w:pStyle w:val="Zkladntext"/>
        <w:rPr>
          <w:rFonts w:ascii="Calibri"/>
          <w:sz w:val="10"/>
        </w:rPr>
      </w:pPr>
    </w:p>
    <w:p w14:paraId="1FA68146" w14:textId="77777777" w:rsidR="00F65BCA" w:rsidRDefault="00F65BCA">
      <w:pPr>
        <w:pStyle w:val="Zkladntext"/>
        <w:rPr>
          <w:rFonts w:ascii="Calibri"/>
          <w:sz w:val="10"/>
        </w:rPr>
      </w:pPr>
    </w:p>
    <w:p w14:paraId="51BA2595" w14:textId="77777777" w:rsidR="00F65BCA" w:rsidRDefault="00F65BCA">
      <w:pPr>
        <w:pStyle w:val="Zkladntext"/>
        <w:rPr>
          <w:rFonts w:ascii="Calibri"/>
          <w:sz w:val="10"/>
        </w:rPr>
      </w:pPr>
    </w:p>
    <w:p w14:paraId="6D40A615" w14:textId="77777777" w:rsidR="00F65BCA" w:rsidRDefault="00F65BCA">
      <w:pPr>
        <w:pStyle w:val="Zkladntext"/>
        <w:rPr>
          <w:rFonts w:ascii="Calibri"/>
          <w:sz w:val="10"/>
        </w:rPr>
      </w:pPr>
    </w:p>
    <w:p w14:paraId="6430757A" w14:textId="77777777" w:rsidR="00F65BCA" w:rsidRDefault="00F65BCA">
      <w:pPr>
        <w:pStyle w:val="Zkladntext"/>
        <w:rPr>
          <w:rFonts w:ascii="Calibri"/>
          <w:sz w:val="10"/>
        </w:rPr>
      </w:pPr>
    </w:p>
    <w:p w14:paraId="3217C148" w14:textId="77777777" w:rsidR="00F65BCA" w:rsidRDefault="00F65BCA">
      <w:pPr>
        <w:pStyle w:val="Zkladntext"/>
        <w:rPr>
          <w:rFonts w:ascii="Calibri"/>
          <w:sz w:val="10"/>
        </w:rPr>
      </w:pPr>
    </w:p>
    <w:p w14:paraId="545EB994" w14:textId="77777777" w:rsidR="00F65BCA" w:rsidRDefault="00F65BCA">
      <w:pPr>
        <w:pStyle w:val="Zkladntext"/>
        <w:rPr>
          <w:rFonts w:ascii="Calibri"/>
          <w:sz w:val="10"/>
        </w:rPr>
      </w:pPr>
    </w:p>
    <w:p w14:paraId="5102351C" w14:textId="77777777" w:rsidR="00F65BCA" w:rsidRDefault="00F65BCA">
      <w:pPr>
        <w:pStyle w:val="Zkladntext"/>
        <w:rPr>
          <w:rFonts w:ascii="Calibri"/>
          <w:sz w:val="10"/>
        </w:rPr>
      </w:pPr>
    </w:p>
    <w:p w14:paraId="5CBC64E9" w14:textId="77777777" w:rsidR="00F65BCA" w:rsidRDefault="00F65BCA">
      <w:pPr>
        <w:pStyle w:val="Zkladntext"/>
        <w:spacing w:before="7"/>
        <w:rPr>
          <w:rFonts w:ascii="Calibri"/>
          <w:sz w:val="14"/>
        </w:rPr>
      </w:pPr>
    </w:p>
    <w:p w14:paraId="42783482" w14:textId="77777777" w:rsidR="00F65BCA" w:rsidRDefault="00216117">
      <w:pPr>
        <w:ind w:left="277"/>
        <w:rPr>
          <w:rFonts w:ascii="Calibri" w:hAnsi="Calibri"/>
          <w:sz w:val="10"/>
        </w:rPr>
      </w:pPr>
      <w:r>
        <w:rPr>
          <w:rFonts w:ascii="Calibri" w:hAnsi="Calibri"/>
          <w:w w:val="95"/>
          <w:sz w:val="2"/>
        </w:rPr>
        <w:t>#</w:t>
      </w:r>
      <w:r>
        <w:rPr>
          <w:rFonts w:ascii="Calibri" w:hAnsi="Calibri"/>
          <w:spacing w:val="-1"/>
          <w:w w:val="103"/>
          <w:sz w:val="10"/>
        </w:rPr>
        <w:t>Důvěrn</w:t>
      </w:r>
      <w:r>
        <w:rPr>
          <w:rFonts w:ascii="Calibri" w:hAnsi="Calibri"/>
          <w:w w:val="103"/>
          <w:sz w:val="10"/>
        </w:rPr>
        <w:t>é</w:t>
      </w:r>
      <w:r>
        <w:rPr>
          <w:rFonts w:ascii="Times New Roman" w:hAnsi="Times New Roman"/>
          <w:spacing w:val="-2"/>
          <w:sz w:val="10"/>
        </w:rPr>
        <w:t xml:space="preserve"> </w:t>
      </w:r>
      <w:r>
        <w:rPr>
          <w:rFonts w:ascii="Calibri" w:hAnsi="Calibri"/>
          <w:w w:val="103"/>
          <w:sz w:val="10"/>
        </w:rPr>
        <w:t>/</w:t>
      </w:r>
      <w:r>
        <w:rPr>
          <w:rFonts w:ascii="Times New Roman" w:hAnsi="Times New Roman"/>
          <w:spacing w:val="-2"/>
          <w:sz w:val="10"/>
        </w:rPr>
        <w:t xml:space="preserve"> </w:t>
      </w:r>
      <w:r>
        <w:rPr>
          <w:rFonts w:ascii="Calibri" w:hAnsi="Calibri"/>
          <w:spacing w:val="-1"/>
          <w:w w:val="103"/>
          <w:sz w:val="10"/>
        </w:rPr>
        <w:t>Confidential</w:t>
      </w:r>
    </w:p>
    <w:p w14:paraId="18832E5B" w14:textId="77777777" w:rsidR="00F65BCA" w:rsidRDefault="00216117">
      <w:pPr>
        <w:pStyle w:val="Zkladntext"/>
        <w:spacing w:before="2"/>
        <w:rPr>
          <w:rFonts w:ascii="Calibri"/>
          <w:sz w:val="8"/>
        </w:rPr>
      </w:pPr>
      <w:r>
        <w:br w:type="column"/>
      </w:r>
    </w:p>
    <w:p w14:paraId="7B960557" w14:textId="77777777" w:rsidR="00F65BCA" w:rsidRDefault="00216117">
      <w:pPr>
        <w:ind w:left="294"/>
        <w:rPr>
          <w:sz w:val="8"/>
        </w:rPr>
      </w:pPr>
      <w:r>
        <w:rPr>
          <w:w w:val="105"/>
          <w:sz w:val="8"/>
        </w:rPr>
        <w:t>Poznámka:</w:t>
      </w:r>
    </w:p>
    <w:p w14:paraId="4557C1DB" w14:textId="77777777" w:rsidR="00F65BCA" w:rsidRDefault="00000000">
      <w:pPr>
        <w:spacing w:before="64"/>
        <w:ind w:left="294"/>
        <w:rPr>
          <w:sz w:val="8"/>
        </w:rPr>
      </w:pPr>
      <w:r>
        <w:pict w14:anchorId="710259C6">
          <v:shape id="_x0000_s2467" type="#_x0000_t202" style="position:absolute;left:0;text-align:left;margin-left:38.75pt;margin-top:-15.6pt;width:271.7pt;height:357.85pt;z-index:25172480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986"/>
                    <w:gridCol w:w="1298"/>
                    <w:gridCol w:w="1298"/>
                  </w:tblGrid>
                  <w:tr w:rsidR="00F65BCA" w14:paraId="1A256609" w14:textId="77777777">
                    <w:trPr>
                      <w:trHeight w:val="311"/>
                    </w:trPr>
                    <w:tc>
                      <w:tcPr>
                        <w:tcW w:w="1836" w:type="dxa"/>
                        <w:shd w:val="clear" w:color="auto" w:fill="F8CBAD"/>
                      </w:tcPr>
                      <w:p w14:paraId="77EAA863" w14:textId="77777777" w:rsidR="00F65BCA" w:rsidRDefault="00F65BCA">
                        <w:pPr>
                          <w:pStyle w:val="TableParagraph"/>
                          <w:spacing w:before="6"/>
                          <w:rPr>
                            <w:sz w:val="9"/>
                          </w:rPr>
                        </w:pPr>
                      </w:p>
                      <w:p w14:paraId="004ACE83" w14:textId="77777777" w:rsidR="00F65BCA" w:rsidRDefault="00216117">
                        <w:pPr>
                          <w:pStyle w:val="TableParagraph"/>
                          <w:ind w:left="367" w:right="357"/>
                          <w:jc w:val="center"/>
                          <w:rPr>
                            <w:b/>
                            <w:sz w:val="8"/>
                          </w:rPr>
                        </w:pPr>
                        <w:r>
                          <w:rPr>
                            <w:b/>
                            <w:w w:val="105"/>
                            <w:sz w:val="8"/>
                          </w:rPr>
                          <w:t>Druh vozidla</w:t>
                        </w:r>
                      </w:p>
                    </w:tc>
                    <w:tc>
                      <w:tcPr>
                        <w:tcW w:w="986" w:type="dxa"/>
                        <w:shd w:val="clear" w:color="auto" w:fill="F8CBAD"/>
                      </w:tcPr>
                      <w:p w14:paraId="50E12479" w14:textId="77777777" w:rsidR="00F65BCA" w:rsidRDefault="00F65BCA">
                        <w:pPr>
                          <w:pStyle w:val="TableParagraph"/>
                          <w:spacing w:before="6"/>
                          <w:rPr>
                            <w:sz w:val="9"/>
                          </w:rPr>
                        </w:pPr>
                      </w:p>
                      <w:p w14:paraId="6841083A" w14:textId="77777777" w:rsidR="00F65BCA" w:rsidRDefault="00216117">
                        <w:pPr>
                          <w:pStyle w:val="TableParagraph"/>
                          <w:ind w:left="144" w:right="133"/>
                          <w:jc w:val="center"/>
                          <w:rPr>
                            <w:b/>
                            <w:sz w:val="8"/>
                          </w:rPr>
                        </w:pPr>
                        <w:r>
                          <w:rPr>
                            <w:b/>
                            <w:w w:val="105"/>
                            <w:sz w:val="8"/>
                          </w:rPr>
                          <w:t>Výkon/hmotnost</w:t>
                        </w:r>
                      </w:p>
                    </w:tc>
                    <w:tc>
                      <w:tcPr>
                        <w:tcW w:w="1298" w:type="dxa"/>
                        <w:shd w:val="clear" w:color="auto" w:fill="F8CBAD"/>
                      </w:tcPr>
                      <w:p w14:paraId="21E5923B" w14:textId="77777777" w:rsidR="00F65BCA" w:rsidRDefault="00F65BCA">
                        <w:pPr>
                          <w:pStyle w:val="TableParagraph"/>
                          <w:spacing w:before="6"/>
                          <w:rPr>
                            <w:sz w:val="9"/>
                          </w:rPr>
                        </w:pPr>
                      </w:p>
                      <w:p w14:paraId="7F27B041" w14:textId="77777777" w:rsidR="00F65BCA" w:rsidRDefault="00216117">
                        <w:pPr>
                          <w:pStyle w:val="TableParagraph"/>
                          <w:ind w:left="463"/>
                          <w:rPr>
                            <w:b/>
                            <w:sz w:val="8"/>
                          </w:rPr>
                        </w:pPr>
                        <w:r>
                          <w:rPr>
                            <w:b/>
                            <w:w w:val="105"/>
                            <w:sz w:val="8"/>
                          </w:rPr>
                          <w:t>PO/OSVČ</w:t>
                        </w:r>
                      </w:p>
                    </w:tc>
                    <w:tc>
                      <w:tcPr>
                        <w:tcW w:w="1298" w:type="dxa"/>
                        <w:shd w:val="clear" w:color="auto" w:fill="F8CBAD"/>
                      </w:tcPr>
                      <w:p w14:paraId="30A1B11D" w14:textId="77777777" w:rsidR="00F65BCA" w:rsidRDefault="00F65BCA">
                        <w:pPr>
                          <w:pStyle w:val="TableParagraph"/>
                          <w:spacing w:before="6"/>
                          <w:rPr>
                            <w:sz w:val="9"/>
                          </w:rPr>
                        </w:pPr>
                      </w:p>
                      <w:p w14:paraId="461476FB" w14:textId="77777777" w:rsidR="00F65BCA" w:rsidRDefault="00216117">
                        <w:pPr>
                          <w:pStyle w:val="TableParagraph"/>
                          <w:ind w:left="485" w:right="471"/>
                          <w:jc w:val="center"/>
                          <w:rPr>
                            <w:b/>
                            <w:sz w:val="8"/>
                          </w:rPr>
                        </w:pPr>
                        <w:r>
                          <w:rPr>
                            <w:b/>
                            <w:w w:val="105"/>
                            <w:sz w:val="8"/>
                          </w:rPr>
                          <w:t>FO</w:t>
                        </w:r>
                      </w:p>
                    </w:tc>
                  </w:tr>
                  <w:tr w:rsidR="00F65BCA" w14:paraId="11830A3E" w14:textId="77777777">
                    <w:trPr>
                      <w:trHeight w:val="146"/>
                    </w:trPr>
                    <w:tc>
                      <w:tcPr>
                        <w:tcW w:w="1836" w:type="dxa"/>
                        <w:vMerge w:val="restart"/>
                        <w:shd w:val="clear" w:color="auto" w:fill="FCE4D6"/>
                      </w:tcPr>
                      <w:p w14:paraId="27C81B7F" w14:textId="77777777" w:rsidR="00F65BCA" w:rsidRDefault="00F65BCA">
                        <w:pPr>
                          <w:pStyle w:val="TableParagraph"/>
                          <w:rPr>
                            <w:sz w:val="8"/>
                          </w:rPr>
                        </w:pPr>
                      </w:p>
                      <w:p w14:paraId="42D3A1C4" w14:textId="77777777" w:rsidR="00F65BCA" w:rsidRDefault="00F65BCA">
                        <w:pPr>
                          <w:pStyle w:val="TableParagraph"/>
                          <w:rPr>
                            <w:sz w:val="8"/>
                          </w:rPr>
                        </w:pPr>
                      </w:p>
                      <w:p w14:paraId="4BF1B2BF" w14:textId="77777777" w:rsidR="00F65BCA" w:rsidRDefault="00F65BCA">
                        <w:pPr>
                          <w:pStyle w:val="TableParagraph"/>
                          <w:rPr>
                            <w:sz w:val="8"/>
                          </w:rPr>
                        </w:pPr>
                      </w:p>
                      <w:p w14:paraId="12631B5D" w14:textId="77777777" w:rsidR="00F65BCA" w:rsidRDefault="00F65BCA">
                        <w:pPr>
                          <w:pStyle w:val="TableParagraph"/>
                          <w:rPr>
                            <w:sz w:val="8"/>
                          </w:rPr>
                        </w:pPr>
                      </w:p>
                      <w:p w14:paraId="7F1D6751" w14:textId="77777777" w:rsidR="00F65BCA" w:rsidRDefault="00F65BCA">
                        <w:pPr>
                          <w:pStyle w:val="TableParagraph"/>
                          <w:rPr>
                            <w:sz w:val="8"/>
                          </w:rPr>
                        </w:pPr>
                      </w:p>
                      <w:p w14:paraId="261198E5" w14:textId="77777777" w:rsidR="00F65BCA" w:rsidRDefault="00F65BCA">
                        <w:pPr>
                          <w:pStyle w:val="TableParagraph"/>
                          <w:spacing w:before="4"/>
                          <w:rPr>
                            <w:sz w:val="9"/>
                          </w:rPr>
                        </w:pPr>
                      </w:p>
                      <w:p w14:paraId="0C235672" w14:textId="77777777" w:rsidR="00F65BCA" w:rsidRDefault="00216117">
                        <w:pPr>
                          <w:pStyle w:val="TableParagraph"/>
                          <w:ind w:left="614"/>
                          <w:rPr>
                            <w:sz w:val="8"/>
                          </w:rPr>
                        </w:pPr>
                        <w:r>
                          <w:rPr>
                            <w:w w:val="105"/>
                            <w:sz w:val="8"/>
                          </w:rPr>
                          <w:t>osobní automobil</w:t>
                        </w:r>
                      </w:p>
                    </w:tc>
                    <w:tc>
                      <w:tcPr>
                        <w:tcW w:w="986" w:type="dxa"/>
                        <w:shd w:val="clear" w:color="auto" w:fill="FCE4D6"/>
                      </w:tcPr>
                      <w:p w14:paraId="42B8114E" w14:textId="77777777" w:rsidR="00F65BCA" w:rsidRDefault="00216117">
                        <w:pPr>
                          <w:pStyle w:val="TableParagraph"/>
                          <w:spacing w:before="28"/>
                          <w:ind w:left="144" w:right="132"/>
                          <w:jc w:val="center"/>
                          <w:rPr>
                            <w:sz w:val="8"/>
                          </w:rPr>
                        </w:pPr>
                        <w:r>
                          <w:rPr>
                            <w:w w:val="105"/>
                            <w:sz w:val="8"/>
                          </w:rPr>
                          <w:t>0-49 kW</w:t>
                        </w:r>
                      </w:p>
                    </w:tc>
                    <w:tc>
                      <w:tcPr>
                        <w:tcW w:w="1298" w:type="dxa"/>
                      </w:tcPr>
                      <w:p w14:paraId="2A7CB886" w14:textId="77777777" w:rsidR="00F65BCA" w:rsidRDefault="00216117">
                        <w:pPr>
                          <w:pStyle w:val="TableParagraph"/>
                          <w:spacing w:before="28"/>
                          <w:ind w:left="535"/>
                          <w:rPr>
                            <w:sz w:val="8"/>
                          </w:rPr>
                        </w:pPr>
                        <w:r>
                          <w:rPr>
                            <w:w w:val="105"/>
                            <w:sz w:val="8"/>
                          </w:rPr>
                          <w:t>3,60%</w:t>
                        </w:r>
                      </w:p>
                    </w:tc>
                    <w:tc>
                      <w:tcPr>
                        <w:tcW w:w="1298" w:type="dxa"/>
                      </w:tcPr>
                      <w:p w14:paraId="0DBFC8B2" w14:textId="77777777" w:rsidR="00F65BCA" w:rsidRDefault="00216117">
                        <w:pPr>
                          <w:pStyle w:val="TableParagraph"/>
                          <w:spacing w:before="28"/>
                          <w:ind w:left="490" w:right="471"/>
                          <w:jc w:val="center"/>
                          <w:rPr>
                            <w:sz w:val="8"/>
                          </w:rPr>
                        </w:pPr>
                        <w:r>
                          <w:rPr>
                            <w:w w:val="105"/>
                            <w:sz w:val="8"/>
                          </w:rPr>
                          <w:t>3,60%</w:t>
                        </w:r>
                      </w:p>
                    </w:tc>
                  </w:tr>
                  <w:tr w:rsidR="00F65BCA" w14:paraId="5392A99A" w14:textId="77777777">
                    <w:trPr>
                      <w:trHeight w:val="146"/>
                    </w:trPr>
                    <w:tc>
                      <w:tcPr>
                        <w:tcW w:w="1836" w:type="dxa"/>
                        <w:vMerge/>
                        <w:tcBorders>
                          <w:top w:val="nil"/>
                        </w:tcBorders>
                        <w:shd w:val="clear" w:color="auto" w:fill="FCE4D6"/>
                      </w:tcPr>
                      <w:p w14:paraId="6B2C9B20" w14:textId="77777777" w:rsidR="00F65BCA" w:rsidRDefault="00F65BCA">
                        <w:pPr>
                          <w:rPr>
                            <w:sz w:val="2"/>
                            <w:szCs w:val="2"/>
                          </w:rPr>
                        </w:pPr>
                      </w:p>
                    </w:tc>
                    <w:tc>
                      <w:tcPr>
                        <w:tcW w:w="986" w:type="dxa"/>
                        <w:shd w:val="clear" w:color="auto" w:fill="FCE4D6"/>
                      </w:tcPr>
                      <w:p w14:paraId="29481A14" w14:textId="77777777" w:rsidR="00F65BCA" w:rsidRDefault="00216117">
                        <w:pPr>
                          <w:pStyle w:val="TableParagraph"/>
                          <w:spacing w:before="28"/>
                          <w:ind w:left="143" w:right="133"/>
                          <w:jc w:val="center"/>
                          <w:rPr>
                            <w:sz w:val="8"/>
                          </w:rPr>
                        </w:pPr>
                        <w:r>
                          <w:rPr>
                            <w:w w:val="105"/>
                            <w:sz w:val="8"/>
                          </w:rPr>
                          <w:t>50-59 kW</w:t>
                        </w:r>
                      </w:p>
                    </w:tc>
                    <w:tc>
                      <w:tcPr>
                        <w:tcW w:w="1298" w:type="dxa"/>
                      </w:tcPr>
                      <w:p w14:paraId="4E1D4A0E" w14:textId="77777777" w:rsidR="00F65BCA" w:rsidRDefault="00216117">
                        <w:pPr>
                          <w:pStyle w:val="TableParagraph"/>
                          <w:spacing w:before="28"/>
                          <w:ind w:left="535"/>
                          <w:rPr>
                            <w:sz w:val="8"/>
                          </w:rPr>
                        </w:pPr>
                        <w:r>
                          <w:rPr>
                            <w:w w:val="105"/>
                            <w:sz w:val="8"/>
                          </w:rPr>
                          <w:t>4,05%</w:t>
                        </w:r>
                      </w:p>
                    </w:tc>
                    <w:tc>
                      <w:tcPr>
                        <w:tcW w:w="1298" w:type="dxa"/>
                      </w:tcPr>
                      <w:p w14:paraId="54AEDE4A" w14:textId="77777777" w:rsidR="00F65BCA" w:rsidRDefault="00216117">
                        <w:pPr>
                          <w:pStyle w:val="TableParagraph"/>
                          <w:spacing w:before="28"/>
                          <w:ind w:left="490" w:right="471"/>
                          <w:jc w:val="center"/>
                          <w:rPr>
                            <w:sz w:val="8"/>
                          </w:rPr>
                        </w:pPr>
                        <w:r>
                          <w:rPr>
                            <w:w w:val="105"/>
                            <w:sz w:val="8"/>
                          </w:rPr>
                          <w:t>4,05%</w:t>
                        </w:r>
                      </w:p>
                    </w:tc>
                  </w:tr>
                  <w:tr w:rsidR="00F65BCA" w14:paraId="122936B3" w14:textId="77777777">
                    <w:trPr>
                      <w:trHeight w:val="146"/>
                    </w:trPr>
                    <w:tc>
                      <w:tcPr>
                        <w:tcW w:w="1836" w:type="dxa"/>
                        <w:vMerge/>
                        <w:tcBorders>
                          <w:top w:val="nil"/>
                        </w:tcBorders>
                        <w:shd w:val="clear" w:color="auto" w:fill="FCE4D6"/>
                      </w:tcPr>
                      <w:p w14:paraId="3C81684A" w14:textId="77777777" w:rsidR="00F65BCA" w:rsidRDefault="00F65BCA">
                        <w:pPr>
                          <w:rPr>
                            <w:sz w:val="2"/>
                            <w:szCs w:val="2"/>
                          </w:rPr>
                        </w:pPr>
                      </w:p>
                    </w:tc>
                    <w:tc>
                      <w:tcPr>
                        <w:tcW w:w="986" w:type="dxa"/>
                        <w:shd w:val="clear" w:color="auto" w:fill="FCE4D6"/>
                      </w:tcPr>
                      <w:p w14:paraId="4B8AB593" w14:textId="77777777" w:rsidR="00F65BCA" w:rsidRDefault="00216117">
                        <w:pPr>
                          <w:pStyle w:val="TableParagraph"/>
                          <w:spacing w:before="28"/>
                          <w:ind w:left="143" w:right="133"/>
                          <w:jc w:val="center"/>
                          <w:rPr>
                            <w:sz w:val="8"/>
                          </w:rPr>
                        </w:pPr>
                        <w:r>
                          <w:rPr>
                            <w:w w:val="105"/>
                            <w:sz w:val="8"/>
                          </w:rPr>
                          <w:t>60-69 kW</w:t>
                        </w:r>
                      </w:p>
                    </w:tc>
                    <w:tc>
                      <w:tcPr>
                        <w:tcW w:w="1298" w:type="dxa"/>
                      </w:tcPr>
                      <w:p w14:paraId="2364A850" w14:textId="77777777" w:rsidR="00F65BCA" w:rsidRDefault="00216117">
                        <w:pPr>
                          <w:pStyle w:val="TableParagraph"/>
                          <w:spacing w:before="28"/>
                          <w:ind w:left="535"/>
                          <w:rPr>
                            <w:sz w:val="8"/>
                          </w:rPr>
                        </w:pPr>
                        <w:r>
                          <w:rPr>
                            <w:w w:val="105"/>
                            <w:sz w:val="8"/>
                          </w:rPr>
                          <w:t>4,95%</w:t>
                        </w:r>
                      </w:p>
                    </w:tc>
                    <w:tc>
                      <w:tcPr>
                        <w:tcW w:w="1298" w:type="dxa"/>
                      </w:tcPr>
                      <w:p w14:paraId="6799CBB8" w14:textId="77777777" w:rsidR="00F65BCA" w:rsidRDefault="00216117">
                        <w:pPr>
                          <w:pStyle w:val="TableParagraph"/>
                          <w:spacing w:before="28"/>
                          <w:ind w:left="490" w:right="471"/>
                          <w:jc w:val="center"/>
                          <w:rPr>
                            <w:sz w:val="8"/>
                          </w:rPr>
                        </w:pPr>
                        <w:r>
                          <w:rPr>
                            <w:w w:val="105"/>
                            <w:sz w:val="8"/>
                          </w:rPr>
                          <w:t>4,50%</w:t>
                        </w:r>
                      </w:p>
                    </w:tc>
                  </w:tr>
                  <w:tr w:rsidR="00F65BCA" w14:paraId="1C38556A" w14:textId="77777777">
                    <w:trPr>
                      <w:trHeight w:val="146"/>
                    </w:trPr>
                    <w:tc>
                      <w:tcPr>
                        <w:tcW w:w="1836" w:type="dxa"/>
                        <w:vMerge/>
                        <w:tcBorders>
                          <w:top w:val="nil"/>
                        </w:tcBorders>
                        <w:shd w:val="clear" w:color="auto" w:fill="FCE4D6"/>
                      </w:tcPr>
                      <w:p w14:paraId="5224373C" w14:textId="77777777" w:rsidR="00F65BCA" w:rsidRDefault="00F65BCA">
                        <w:pPr>
                          <w:rPr>
                            <w:sz w:val="2"/>
                            <w:szCs w:val="2"/>
                          </w:rPr>
                        </w:pPr>
                      </w:p>
                    </w:tc>
                    <w:tc>
                      <w:tcPr>
                        <w:tcW w:w="986" w:type="dxa"/>
                        <w:shd w:val="clear" w:color="auto" w:fill="FCE4D6"/>
                      </w:tcPr>
                      <w:p w14:paraId="5267DA34" w14:textId="77777777" w:rsidR="00F65BCA" w:rsidRDefault="00216117">
                        <w:pPr>
                          <w:pStyle w:val="TableParagraph"/>
                          <w:spacing w:before="28"/>
                          <w:ind w:left="143" w:right="133"/>
                          <w:jc w:val="center"/>
                          <w:rPr>
                            <w:sz w:val="8"/>
                          </w:rPr>
                        </w:pPr>
                        <w:r>
                          <w:rPr>
                            <w:w w:val="105"/>
                            <w:sz w:val="8"/>
                          </w:rPr>
                          <w:t>70-79 kW</w:t>
                        </w:r>
                      </w:p>
                    </w:tc>
                    <w:tc>
                      <w:tcPr>
                        <w:tcW w:w="1298" w:type="dxa"/>
                      </w:tcPr>
                      <w:p w14:paraId="752ADBD2" w14:textId="77777777" w:rsidR="00F65BCA" w:rsidRDefault="00216117">
                        <w:pPr>
                          <w:pStyle w:val="TableParagraph"/>
                          <w:spacing w:before="28"/>
                          <w:ind w:left="535"/>
                          <w:rPr>
                            <w:sz w:val="8"/>
                          </w:rPr>
                        </w:pPr>
                        <w:r>
                          <w:rPr>
                            <w:w w:val="105"/>
                            <w:sz w:val="8"/>
                          </w:rPr>
                          <w:t>5,85%</w:t>
                        </w:r>
                      </w:p>
                    </w:tc>
                    <w:tc>
                      <w:tcPr>
                        <w:tcW w:w="1298" w:type="dxa"/>
                      </w:tcPr>
                      <w:p w14:paraId="08400CD1" w14:textId="77777777" w:rsidR="00F65BCA" w:rsidRDefault="00216117">
                        <w:pPr>
                          <w:pStyle w:val="TableParagraph"/>
                          <w:spacing w:before="28"/>
                          <w:ind w:left="490" w:right="471"/>
                          <w:jc w:val="center"/>
                          <w:rPr>
                            <w:sz w:val="8"/>
                          </w:rPr>
                        </w:pPr>
                        <w:r>
                          <w:rPr>
                            <w:w w:val="105"/>
                            <w:sz w:val="8"/>
                          </w:rPr>
                          <w:t>4,95%</w:t>
                        </w:r>
                      </w:p>
                    </w:tc>
                  </w:tr>
                  <w:tr w:rsidR="00F65BCA" w14:paraId="002DF469" w14:textId="77777777">
                    <w:trPr>
                      <w:trHeight w:val="146"/>
                    </w:trPr>
                    <w:tc>
                      <w:tcPr>
                        <w:tcW w:w="1836" w:type="dxa"/>
                        <w:vMerge/>
                        <w:tcBorders>
                          <w:top w:val="nil"/>
                        </w:tcBorders>
                        <w:shd w:val="clear" w:color="auto" w:fill="FCE4D6"/>
                      </w:tcPr>
                      <w:p w14:paraId="383192C8" w14:textId="77777777" w:rsidR="00F65BCA" w:rsidRDefault="00F65BCA">
                        <w:pPr>
                          <w:rPr>
                            <w:sz w:val="2"/>
                            <w:szCs w:val="2"/>
                          </w:rPr>
                        </w:pPr>
                      </w:p>
                    </w:tc>
                    <w:tc>
                      <w:tcPr>
                        <w:tcW w:w="986" w:type="dxa"/>
                        <w:shd w:val="clear" w:color="auto" w:fill="FCE4D6"/>
                      </w:tcPr>
                      <w:p w14:paraId="60D8E33D" w14:textId="77777777" w:rsidR="00F65BCA" w:rsidRDefault="00216117">
                        <w:pPr>
                          <w:pStyle w:val="TableParagraph"/>
                          <w:spacing w:before="28"/>
                          <w:ind w:left="143" w:right="133"/>
                          <w:jc w:val="center"/>
                          <w:rPr>
                            <w:sz w:val="8"/>
                          </w:rPr>
                        </w:pPr>
                        <w:r>
                          <w:rPr>
                            <w:w w:val="105"/>
                            <w:sz w:val="8"/>
                          </w:rPr>
                          <w:t>80-89 kW</w:t>
                        </w:r>
                      </w:p>
                    </w:tc>
                    <w:tc>
                      <w:tcPr>
                        <w:tcW w:w="1298" w:type="dxa"/>
                      </w:tcPr>
                      <w:p w14:paraId="7B927A2A" w14:textId="77777777" w:rsidR="00F65BCA" w:rsidRDefault="00216117">
                        <w:pPr>
                          <w:pStyle w:val="TableParagraph"/>
                          <w:spacing w:before="28"/>
                          <w:ind w:left="535"/>
                          <w:rPr>
                            <w:sz w:val="8"/>
                          </w:rPr>
                        </w:pPr>
                        <w:r>
                          <w:rPr>
                            <w:w w:val="105"/>
                            <w:sz w:val="8"/>
                          </w:rPr>
                          <w:t>6,30%</w:t>
                        </w:r>
                      </w:p>
                    </w:tc>
                    <w:tc>
                      <w:tcPr>
                        <w:tcW w:w="1298" w:type="dxa"/>
                      </w:tcPr>
                      <w:p w14:paraId="3D65A9C0" w14:textId="77777777" w:rsidR="00F65BCA" w:rsidRDefault="00216117">
                        <w:pPr>
                          <w:pStyle w:val="TableParagraph"/>
                          <w:spacing w:before="28"/>
                          <w:ind w:left="490" w:right="471"/>
                          <w:jc w:val="center"/>
                          <w:rPr>
                            <w:sz w:val="8"/>
                          </w:rPr>
                        </w:pPr>
                        <w:r>
                          <w:rPr>
                            <w:w w:val="105"/>
                            <w:sz w:val="8"/>
                          </w:rPr>
                          <w:t>5,40%</w:t>
                        </w:r>
                      </w:p>
                    </w:tc>
                  </w:tr>
                  <w:tr w:rsidR="00F65BCA" w14:paraId="55C479E7" w14:textId="77777777">
                    <w:trPr>
                      <w:trHeight w:val="146"/>
                    </w:trPr>
                    <w:tc>
                      <w:tcPr>
                        <w:tcW w:w="1836" w:type="dxa"/>
                        <w:vMerge/>
                        <w:tcBorders>
                          <w:top w:val="nil"/>
                        </w:tcBorders>
                        <w:shd w:val="clear" w:color="auto" w:fill="FCE4D6"/>
                      </w:tcPr>
                      <w:p w14:paraId="7E060275" w14:textId="77777777" w:rsidR="00F65BCA" w:rsidRDefault="00F65BCA">
                        <w:pPr>
                          <w:rPr>
                            <w:sz w:val="2"/>
                            <w:szCs w:val="2"/>
                          </w:rPr>
                        </w:pPr>
                      </w:p>
                    </w:tc>
                    <w:tc>
                      <w:tcPr>
                        <w:tcW w:w="986" w:type="dxa"/>
                        <w:shd w:val="clear" w:color="auto" w:fill="FCE4D6"/>
                      </w:tcPr>
                      <w:p w14:paraId="47994A0D" w14:textId="77777777" w:rsidR="00F65BCA" w:rsidRDefault="00216117">
                        <w:pPr>
                          <w:pStyle w:val="TableParagraph"/>
                          <w:spacing w:before="28"/>
                          <w:ind w:left="144" w:right="132"/>
                          <w:jc w:val="center"/>
                          <w:rPr>
                            <w:sz w:val="8"/>
                          </w:rPr>
                        </w:pPr>
                        <w:r>
                          <w:rPr>
                            <w:w w:val="105"/>
                            <w:sz w:val="8"/>
                          </w:rPr>
                          <w:t>90-119 kW</w:t>
                        </w:r>
                      </w:p>
                    </w:tc>
                    <w:tc>
                      <w:tcPr>
                        <w:tcW w:w="1298" w:type="dxa"/>
                      </w:tcPr>
                      <w:p w14:paraId="5EBAAD36" w14:textId="77777777" w:rsidR="00F65BCA" w:rsidRDefault="00216117">
                        <w:pPr>
                          <w:pStyle w:val="TableParagraph"/>
                          <w:spacing w:before="28"/>
                          <w:ind w:left="535"/>
                          <w:rPr>
                            <w:sz w:val="8"/>
                          </w:rPr>
                        </w:pPr>
                        <w:r>
                          <w:rPr>
                            <w:w w:val="105"/>
                            <w:sz w:val="8"/>
                          </w:rPr>
                          <w:t>7,65%</w:t>
                        </w:r>
                      </w:p>
                    </w:tc>
                    <w:tc>
                      <w:tcPr>
                        <w:tcW w:w="1298" w:type="dxa"/>
                      </w:tcPr>
                      <w:p w14:paraId="3A93DE50" w14:textId="77777777" w:rsidR="00F65BCA" w:rsidRDefault="00216117">
                        <w:pPr>
                          <w:pStyle w:val="TableParagraph"/>
                          <w:spacing w:before="28"/>
                          <w:ind w:left="490" w:right="471"/>
                          <w:jc w:val="center"/>
                          <w:rPr>
                            <w:sz w:val="8"/>
                          </w:rPr>
                        </w:pPr>
                        <w:r>
                          <w:rPr>
                            <w:w w:val="105"/>
                            <w:sz w:val="8"/>
                          </w:rPr>
                          <w:t>6,30%</w:t>
                        </w:r>
                      </w:p>
                    </w:tc>
                  </w:tr>
                  <w:tr w:rsidR="00F65BCA" w14:paraId="3A4B307E" w14:textId="77777777">
                    <w:trPr>
                      <w:trHeight w:val="146"/>
                    </w:trPr>
                    <w:tc>
                      <w:tcPr>
                        <w:tcW w:w="1836" w:type="dxa"/>
                        <w:vMerge/>
                        <w:tcBorders>
                          <w:top w:val="nil"/>
                        </w:tcBorders>
                        <w:shd w:val="clear" w:color="auto" w:fill="FCE4D6"/>
                      </w:tcPr>
                      <w:p w14:paraId="6D8580C3" w14:textId="77777777" w:rsidR="00F65BCA" w:rsidRDefault="00F65BCA">
                        <w:pPr>
                          <w:rPr>
                            <w:sz w:val="2"/>
                            <w:szCs w:val="2"/>
                          </w:rPr>
                        </w:pPr>
                      </w:p>
                    </w:tc>
                    <w:tc>
                      <w:tcPr>
                        <w:tcW w:w="986" w:type="dxa"/>
                        <w:shd w:val="clear" w:color="auto" w:fill="FCE4D6"/>
                      </w:tcPr>
                      <w:p w14:paraId="35A99D9F" w14:textId="77777777" w:rsidR="00F65BCA" w:rsidRDefault="00216117">
                        <w:pPr>
                          <w:pStyle w:val="TableParagraph"/>
                          <w:spacing w:before="28"/>
                          <w:ind w:left="143" w:right="133"/>
                          <w:jc w:val="center"/>
                          <w:rPr>
                            <w:sz w:val="8"/>
                          </w:rPr>
                        </w:pPr>
                        <w:r>
                          <w:rPr>
                            <w:w w:val="105"/>
                            <w:sz w:val="8"/>
                          </w:rPr>
                          <w:t>120-169 kW</w:t>
                        </w:r>
                      </w:p>
                    </w:tc>
                    <w:tc>
                      <w:tcPr>
                        <w:tcW w:w="1298" w:type="dxa"/>
                      </w:tcPr>
                      <w:p w14:paraId="47109C13" w14:textId="77777777" w:rsidR="00F65BCA" w:rsidRDefault="00216117">
                        <w:pPr>
                          <w:pStyle w:val="TableParagraph"/>
                          <w:spacing w:before="28"/>
                          <w:ind w:left="535"/>
                          <w:rPr>
                            <w:sz w:val="8"/>
                          </w:rPr>
                        </w:pPr>
                        <w:r>
                          <w:rPr>
                            <w:w w:val="105"/>
                            <w:sz w:val="8"/>
                          </w:rPr>
                          <w:t>9,00%</w:t>
                        </w:r>
                      </w:p>
                    </w:tc>
                    <w:tc>
                      <w:tcPr>
                        <w:tcW w:w="1298" w:type="dxa"/>
                      </w:tcPr>
                      <w:p w14:paraId="63407166" w14:textId="77777777" w:rsidR="00F65BCA" w:rsidRDefault="00216117">
                        <w:pPr>
                          <w:pStyle w:val="TableParagraph"/>
                          <w:spacing w:before="28"/>
                          <w:ind w:left="490" w:right="471"/>
                          <w:jc w:val="center"/>
                          <w:rPr>
                            <w:sz w:val="8"/>
                          </w:rPr>
                        </w:pPr>
                        <w:r>
                          <w:rPr>
                            <w:w w:val="105"/>
                            <w:sz w:val="8"/>
                          </w:rPr>
                          <w:t>7,20%</w:t>
                        </w:r>
                      </w:p>
                    </w:tc>
                  </w:tr>
                  <w:tr w:rsidR="00F65BCA" w14:paraId="7041F926" w14:textId="77777777">
                    <w:trPr>
                      <w:trHeight w:val="146"/>
                    </w:trPr>
                    <w:tc>
                      <w:tcPr>
                        <w:tcW w:w="1836" w:type="dxa"/>
                        <w:vMerge/>
                        <w:tcBorders>
                          <w:top w:val="nil"/>
                        </w:tcBorders>
                        <w:shd w:val="clear" w:color="auto" w:fill="FCE4D6"/>
                      </w:tcPr>
                      <w:p w14:paraId="719034D3" w14:textId="77777777" w:rsidR="00F65BCA" w:rsidRDefault="00F65BCA">
                        <w:pPr>
                          <w:rPr>
                            <w:sz w:val="2"/>
                            <w:szCs w:val="2"/>
                          </w:rPr>
                        </w:pPr>
                      </w:p>
                    </w:tc>
                    <w:tc>
                      <w:tcPr>
                        <w:tcW w:w="986" w:type="dxa"/>
                        <w:shd w:val="clear" w:color="auto" w:fill="FCE4D6"/>
                      </w:tcPr>
                      <w:p w14:paraId="444787CD" w14:textId="77777777" w:rsidR="00F65BCA" w:rsidRDefault="00216117">
                        <w:pPr>
                          <w:pStyle w:val="TableParagraph"/>
                          <w:spacing w:before="28"/>
                          <w:ind w:left="144" w:right="132"/>
                          <w:jc w:val="center"/>
                          <w:rPr>
                            <w:sz w:val="8"/>
                          </w:rPr>
                        </w:pPr>
                        <w:r>
                          <w:rPr>
                            <w:w w:val="105"/>
                            <w:sz w:val="8"/>
                          </w:rPr>
                          <w:t>&gt;=170 kW</w:t>
                        </w:r>
                      </w:p>
                    </w:tc>
                    <w:tc>
                      <w:tcPr>
                        <w:tcW w:w="1298" w:type="dxa"/>
                      </w:tcPr>
                      <w:p w14:paraId="073194C6" w14:textId="77777777" w:rsidR="00F65BCA" w:rsidRDefault="00216117">
                        <w:pPr>
                          <w:pStyle w:val="TableParagraph"/>
                          <w:spacing w:before="28"/>
                          <w:ind w:left="513"/>
                          <w:rPr>
                            <w:sz w:val="8"/>
                          </w:rPr>
                        </w:pPr>
                        <w:r>
                          <w:rPr>
                            <w:w w:val="105"/>
                            <w:sz w:val="8"/>
                          </w:rPr>
                          <w:t>10,80%</w:t>
                        </w:r>
                      </w:p>
                    </w:tc>
                    <w:tc>
                      <w:tcPr>
                        <w:tcW w:w="1298" w:type="dxa"/>
                      </w:tcPr>
                      <w:p w14:paraId="1425267B" w14:textId="77777777" w:rsidR="00F65BCA" w:rsidRDefault="00216117">
                        <w:pPr>
                          <w:pStyle w:val="TableParagraph"/>
                          <w:spacing w:before="28"/>
                          <w:ind w:left="490" w:right="471"/>
                          <w:jc w:val="center"/>
                          <w:rPr>
                            <w:sz w:val="8"/>
                          </w:rPr>
                        </w:pPr>
                        <w:r>
                          <w:rPr>
                            <w:w w:val="105"/>
                            <w:sz w:val="8"/>
                          </w:rPr>
                          <w:t>8,78%</w:t>
                        </w:r>
                      </w:p>
                    </w:tc>
                  </w:tr>
                  <w:tr w:rsidR="00F65BCA" w14:paraId="3C61863F" w14:textId="77777777">
                    <w:trPr>
                      <w:trHeight w:val="146"/>
                    </w:trPr>
                    <w:tc>
                      <w:tcPr>
                        <w:tcW w:w="1836" w:type="dxa"/>
                        <w:vMerge w:val="restart"/>
                        <w:shd w:val="clear" w:color="auto" w:fill="FCE4D6"/>
                      </w:tcPr>
                      <w:p w14:paraId="2E00170C" w14:textId="77777777" w:rsidR="00F65BCA" w:rsidRDefault="00F65BCA">
                        <w:pPr>
                          <w:pStyle w:val="TableParagraph"/>
                          <w:rPr>
                            <w:sz w:val="8"/>
                          </w:rPr>
                        </w:pPr>
                      </w:p>
                      <w:p w14:paraId="54810518" w14:textId="77777777" w:rsidR="00F65BCA" w:rsidRDefault="00F65BCA">
                        <w:pPr>
                          <w:pStyle w:val="TableParagraph"/>
                          <w:spacing w:before="6"/>
                          <w:rPr>
                            <w:sz w:val="7"/>
                          </w:rPr>
                        </w:pPr>
                      </w:p>
                      <w:p w14:paraId="74AD4C79" w14:textId="77777777" w:rsidR="00F65BCA" w:rsidRDefault="00216117">
                        <w:pPr>
                          <w:pStyle w:val="TableParagraph"/>
                          <w:ind w:left="431"/>
                          <w:rPr>
                            <w:sz w:val="8"/>
                          </w:rPr>
                        </w:pPr>
                        <w:r>
                          <w:rPr>
                            <w:w w:val="105"/>
                            <w:sz w:val="8"/>
                          </w:rPr>
                          <w:t>nákladní automobil do 3,5 t</w:t>
                        </w:r>
                      </w:p>
                    </w:tc>
                    <w:tc>
                      <w:tcPr>
                        <w:tcW w:w="986" w:type="dxa"/>
                        <w:shd w:val="clear" w:color="auto" w:fill="FCE4D6"/>
                      </w:tcPr>
                      <w:p w14:paraId="375BA73B" w14:textId="77777777" w:rsidR="00F65BCA" w:rsidRDefault="00216117">
                        <w:pPr>
                          <w:pStyle w:val="TableParagraph"/>
                          <w:spacing w:before="28"/>
                          <w:ind w:left="144" w:right="132"/>
                          <w:jc w:val="center"/>
                          <w:rPr>
                            <w:sz w:val="8"/>
                          </w:rPr>
                        </w:pPr>
                        <w:r>
                          <w:rPr>
                            <w:w w:val="105"/>
                            <w:sz w:val="8"/>
                          </w:rPr>
                          <w:t>0-84 kW</w:t>
                        </w:r>
                      </w:p>
                    </w:tc>
                    <w:tc>
                      <w:tcPr>
                        <w:tcW w:w="1298" w:type="dxa"/>
                      </w:tcPr>
                      <w:p w14:paraId="522B6437" w14:textId="77777777" w:rsidR="00F65BCA" w:rsidRDefault="00216117">
                        <w:pPr>
                          <w:pStyle w:val="TableParagraph"/>
                          <w:spacing w:before="28"/>
                          <w:ind w:left="535"/>
                          <w:rPr>
                            <w:sz w:val="8"/>
                          </w:rPr>
                        </w:pPr>
                        <w:r>
                          <w:rPr>
                            <w:w w:val="105"/>
                            <w:sz w:val="8"/>
                          </w:rPr>
                          <w:t>7,20%</w:t>
                        </w:r>
                      </w:p>
                    </w:tc>
                    <w:tc>
                      <w:tcPr>
                        <w:tcW w:w="1298" w:type="dxa"/>
                      </w:tcPr>
                      <w:p w14:paraId="65B06D64" w14:textId="77777777" w:rsidR="00F65BCA" w:rsidRDefault="00216117">
                        <w:pPr>
                          <w:pStyle w:val="TableParagraph"/>
                          <w:spacing w:before="28"/>
                          <w:ind w:left="490" w:right="471"/>
                          <w:jc w:val="center"/>
                          <w:rPr>
                            <w:sz w:val="8"/>
                          </w:rPr>
                        </w:pPr>
                        <w:r>
                          <w:rPr>
                            <w:w w:val="105"/>
                            <w:sz w:val="8"/>
                          </w:rPr>
                          <w:t>7,20%</w:t>
                        </w:r>
                      </w:p>
                    </w:tc>
                  </w:tr>
                  <w:tr w:rsidR="00F65BCA" w14:paraId="6675F2FF" w14:textId="77777777">
                    <w:trPr>
                      <w:trHeight w:val="146"/>
                    </w:trPr>
                    <w:tc>
                      <w:tcPr>
                        <w:tcW w:w="1836" w:type="dxa"/>
                        <w:vMerge/>
                        <w:tcBorders>
                          <w:top w:val="nil"/>
                        </w:tcBorders>
                        <w:shd w:val="clear" w:color="auto" w:fill="FCE4D6"/>
                      </w:tcPr>
                      <w:p w14:paraId="0467EE77" w14:textId="77777777" w:rsidR="00F65BCA" w:rsidRDefault="00F65BCA">
                        <w:pPr>
                          <w:rPr>
                            <w:sz w:val="2"/>
                            <w:szCs w:val="2"/>
                          </w:rPr>
                        </w:pPr>
                      </w:p>
                    </w:tc>
                    <w:tc>
                      <w:tcPr>
                        <w:tcW w:w="986" w:type="dxa"/>
                        <w:shd w:val="clear" w:color="auto" w:fill="FCE4D6"/>
                      </w:tcPr>
                      <w:p w14:paraId="2233FAF6" w14:textId="77777777" w:rsidR="00F65BCA" w:rsidRDefault="00216117">
                        <w:pPr>
                          <w:pStyle w:val="TableParagraph"/>
                          <w:spacing w:before="28"/>
                          <w:ind w:left="144" w:right="132"/>
                          <w:jc w:val="center"/>
                          <w:rPr>
                            <w:sz w:val="8"/>
                          </w:rPr>
                        </w:pPr>
                        <w:r>
                          <w:rPr>
                            <w:w w:val="105"/>
                            <w:sz w:val="8"/>
                          </w:rPr>
                          <w:t>85-169 kW</w:t>
                        </w:r>
                      </w:p>
                    </w:tc>
                    <w:tc>
                      <w:tcPr>
                        <w:tcW w:w="1298" w:type="dxa"/>
                      </w:tcPr>
                      <w:p w14:paraId="3F2F7DE4" w14:textId="77777777" w:rsidR="00F65BCA" w:rsidRDefault="00216117">
                        <w:pPr>
                          <w:pStyle w:val="TableParagraph"/>
                          <w:spacing w:before="28"/>
                          <w:ind w:left="535"/>
                          <w:rPr>
                            <w:sz w:val="8"/>
                          </w:rPr>
                        </w:pPr>
                        <w:r>
                          <w:rPr>
                            <w:w w:val="105"/>
                            <w:sz w:val="8"/>
                          </w:rPr>
                          <w:t>9,45%</w:t>
                        </w:r>
                      </w:p>
                    </w:tc>
                    <w:tc>
                      <w:tcPr>
                        <w:tcW w:w="1298" w:type="dxa"/>
                      </w:tcPr>
                      <w:p w14:paraId="1BFD7B75" w14:textId="77777777" w:rsidR="00F65BCA" w:rsidRDefault="00216117">
                        <w:pPr>
                          <w:pStyle w:val="TableParagraph"/>
                          <w:spacing w:before="28"/>
                          <w:ind w:left="490" w:right="471"/>
                          <w:jc w:val="center"/>
                          <w:rPr>
                            <w:sz w:val="8"/>
                          </w:rPr>
                        </w:pPr>
                        <w:r>
                          <w:rPr>
                            <w:w w:val="105"/>
                            <w:sz w:val="8"/>
                          </w:rPr>
                          <w:t>9,45%</w:t>
                        </w:r>
                      </w:p>
                    </w:tc>
                  </w:tr>
                  <w:tr w:rsidR="00F65BCA" w14:paraId="056ECA5E" w14:textId="77777777">
                    <w:trPr>
                      <w:trHeight w:val="146"/>
                    </w:trPr>
                    <w:tc>
                      <w:tcPr>
                        <w:tcW w:w="1836" w:type="dxa"/>
                        <w:vMerge/>
                        <w:tcBorders>
                          <w:top w:val="nil"/>
                        </w:tcBorders>
                        <w:shd w:val="clear" w:color="auto" w:fill="FCE4D6"/>
                      </w:tcPr>
                      <w:p w14:paraId="55F80304" w14:textId="77777777" w:rsidR="00F65BCA" w:rsidRDefault="00F65BCA">
                        <w:pPr>
                          <w:rPr>
                            <w:sz w:val="2"/>
                            <w:szCs w:val="2"/>
                          </w:rPr>
                        </w:pPr>
                      </w:p>
                    </w:tc>
                    <w:tc>
                      <w:tcPr>
                        <w:tcW w:w="986" w:type="dxa"/>
                        <w:shd w:val="clear" w:color="auto" w:fill="FCE4D6"/>
                      </w:tcPr>
                      <w:p w14:paraId="26989D40" w14:textId="77777777" w:rsidR="00F65BCA" w:rsidRDefault="00216117">
                        <w:pPr>
                          <w:pStyle w:val="TableParagraph"/>
                          <w:spacing w:before="28"/>
                          <w:ind w:left="144" w:right="132"/>
                          <w:jc w:val="center"/>
                          <w:rPr>
                            <w:sz w:val="8"/>
                          </w:rPr>
                        </w:pPr>
                        <w:r>
                          <w:rPr>
                            <w:w w:val="105"/>
                            <w:sz w:val="8"/>
                          </w:rPr>
                          <w:t>&gt;=170 kW</w:t>
                        </w:r>
                      </w:p>
                    </w:tc>
                    <w:tc>
                      <w:tcPr>
                        <w:tcW w:w="1298" w:type="dxa"/>
                      </w:tcPr>
                      <w:p w14:paraId="47D57033" w14:textId="77777777" w:rsidR="00F65BCA" w:rsidRDefault="00216117">
                        <w:pPr>
                          <w:pStyle w:val="TableParagraph"/>
                          <w:spacing w:before="28"/>
                          <w:ind w:left="513"/>
                          <w:rPr>
                            <w:sz w:val="8"/>
                          </w:rPr>
                        </w:pPr>
                        <w:r>
                          <w:rPr>
                            <w:w w:val="105"/>
                            <w:sz w:val="8"/>
                          </w:rPr>
                          <w:t>10,80%</w:t>
                        </w:r>
                      </w:p>
                    </w:tc>
                    <w:tc>
                      <w:tcPr>
                        <w:tcW w:w="1298" w:type="dxa"/>
                      </w:tcPr>
                      <w:p w14:paraId="623E2719" w14:textId="77777777" w:rsidR="00F65BCA" w:rsidRDefault="00216117">
                        <w:pPr>
                          <w:pStyle w:val="TableParagraph"/>
                          <w:spacing w:before="28"/>
                          <w:ind w:left="492" w:right="471"/>
                          <w:jc w:val="center"/>
                          <w:rPr>
                            <w:sz w:val="8"/>
                          </w:rPr>
                        </w:pPr>
                        <w:r>
                          <w:rPr>
                            <w:w w:val="105"/>
                            <w:sz w:val="8"/>
                          </w:rPr>
                          <w:t>10,80%</w:t>
                        </w:r>
                      </w:p>
                    </w:tc>
                  </w:tr>
                  <w:tr w:rsidR="00F65BCA" w14:paraId="65687793" w14:textId="77777777">
                    <w:trPr>
                      <w:trHeight w:val="146"/>
                    </w:trPr>
                    <w:tc>
                      <w:tcPr>
                        <w:tcW w:w="1836" w:type="dxa"/>
                        <w:vMerge w:val="restart"/>
                        <w:shd w:val="clear" w:color="auto" w:fill="FCE4D6"/>
                      </w:tcPr>
                      <w:p w14:paraId="06563B4A" w14:textId="77777777" w:rsidR="00F65BCA" w:rsidRDefault="00F65BCA">
                        <w:pPr>
                          <w:pStyle w:val="TableParagraph"/>
                          <w:spacing w:before="7"/>
                          <w:rPr>
                            <w:sz w:val="8"/>
                          </w:rPr>
                        </w:pPr>
                      </w:p>
                      <w:p w14:paraId="352D2FC5" w14:textId="77777777" w:rsidR="00F65BCA" w:rsidRDefault="00216117">
                        <w:pPr>
                          <w:pStyle w:val="TableParagraph"/>
                          <w:spacing w:before="1"/>
                          <w:ind w:left="573"/>
                          <w:rPr>
                            <w:sz w:val="8"/>
                          </w:rPr>
                        </w:pPr>
                        <w:r>
                          <w:rPr>
                            <w:w w:val="105"/>
                            <w:sz w:val="8"/>
                          </w:rPr>
                          <w:t>speciální automobil</w:t>
                        </w:r>
                      </w:p>
                    </w:tc>
                    <w:tc>
                      <w:tcPr>
                        <w:tcW w:w="986" w:type="dxa"/>
                        <w:shd w:val="clear" w:color="auto" w:fill="FCE4D6"/>
                      </w:tcPr>
                      <w:p w14:paraId="218E60A6" w14:textId="77777777" w:rsidR="00F65BCA" w:rsidRDefault="00216117">
                        <w:pPr>
                          <w:pStyle w:val="TableParagraph"/>
                          <w:spacing w:before="28"/>
                          <w:ind w:left="144" w:right="126"/>
                          <w:jc w:val="center"/>
                          <w:rPr>
                            <w:sz w:val="8"/>
                          </w:rPr>
                        </w:pPr>
                        <w:r>
                          <w:rPr>
                            <w:w w:val="105"/>
                            <w:sz w:val="8"/>
                          </w:rPr>
                          <w:t>0-3500 kg</w:t>
                        </w:r>
                      </w:p>
                    </w:tc>
                    <w:tc>
                      <w:tcPr>
                        <w:tcW w:w="1298" w:type="dxa"/>
                      </w:tcPr>
                      <w:p w14:paraId="6E1E901A" w14:textId="77777777" w:rsidR="00F65BCA" w:rsidRDefault="00216117">
                        <w:pPr>
                          <w:pStyle w:val="TableParagraph"/>
                          <w:spacing w:before="28"/>
                          <w:ind w:left="535"/>
                          <w:rPr>
                            <w:sz w:val="8"/>
                          </w:rPr>
                        </w:pPr>
                        <w:r>
                          <w:rPr>
                            <w:w w:val="105"/>
                            <w:sz w:val="8"/>
                          </w:rPr>
                          <w:t>6,75%</w:t>
                        </w:r>
                      </w:p>
                    </w:tc>
                    <w:tc>
                      <w:tcPr>
                        <w:tcW w:w="1298" w:type="dxa"/>
                      </w:tcPr>
                      <w:p w14:paraId="258B2072" w14:textId="77777777" w:rsidR="00F65BCA" w:rsidRDefault="00216117">
                        <w:pPr>
                          <w:pStyle w:val="TableParagraph"/>
                          <w:spacing w:before="28"/>
                          <w:ind w:left="490" w:right="471"/>
                          <w:jc w:val="center"/>
                          <w:rPr>
                            <w:sz w:val="8"/>
                          </w:rPr>
                        </w:pPr>
                        <w:r>
                          <w:rPr>
                            <w:w w:val="105"/>
                            <w:sz w:val="8"/>
                          </w:rPr>
                          <w:t>6,75%</w:t>
                        </w:r>
                      </w:p>
                    </w:tc>
                  </w:tr>
                  <w:tr w:rsidR="00F65BCA" w14:paraId="779623A2" w14:textId="77777777">
                    <w:trPr>
                      <w:trHeight w:val="146"/>
                    </w:trPr>
                    <w:tc>
                      <w:tcPr>
                        <w:tcW w:w="1836" w:type="dxa"/>
                        <w:vMerge/>
                        <w:tcBorders>
                          <w:top w:val="nil"/>
                        </w:tcBorders>
                        <w:shd w:val="clear" w:color="auto" w:fill="FCE4D6"/>
                      </w:tcPr>
                      <w:p w14:paraId="73C02B26" w14:textId="77777777" w:rsidR="00F65BCA" w:rsidRDefault="00F65BCA">
                        <w:pPr>
                          <w:rPr>
                            <w:sz w:val="2"/>
                            <w:szCs w:val="2"/>
                          </w:rPr>
                        </w:pPr>
                      </w:p>
                    </w:tc>
                    <w:tc>
                      <w:tcPr>
                        <w:tcW w:w="986" w:type="dxa"/>
                        <w:shd w:val="clear" w:color="auto" w:fill="FCE4D6"/>
                      </w:tcPr>
                      <w:p w14:paraId="2E444E76" w14:textId="77777777" w:rsidR="00F65BCA" w:rsidRDefault="00216117">
                        <w:pPr>
                          <w:pStyle w:val="TableParagraph"/>
                          <w:spacing w:before="28"/>
                          <w:ind w:left="144" w:right="124"/>
                          <w:jc w:val="center"/>
                          <w:rPr>
                            <w:sz w:val="8"/>
                          </w:rPr>
                        </w:pPr>
                        <w:r>
                          <w:rPr>
                            <w:w w:val="105"/>
                            <w:sz w:val="8"/>
                          </w:rPr>
                          <w:t>&gt;3500 kg</w:t>
                        </w:r>
                      </w:p>
                    </w:tc>
                    <w:tc>
                      <w:tcPr>
                        <w:tcW w:w="1298" w:type="dxa"/>
                      </w:tcPr>
                      <w:p w14:paraId="0D82CFE0" w14:textId="77777777" w:rsidR="00F65BCA" w:rsidRDefault="00216117">
                        <w:pPr>
                          <w:pStyle w:val="TableParagraph"/>
                          <w:spacing w:before="28"/>
                          <w:ind w:left="535"/>
                          <w:rPr>
                            <w:sz w:val="8"/>
                          </w:rPr>
                        </w:pPr>
                        <w:r>
                          <w:rPr>
                            <w:w w:val="105"/>
                            <w:sz w:val="8"/>
                          </w:rPr>
                          <w:t>9,00%</w:t>
                        </w:r>
                      </w:p>
                    </w:tc>
                    <w:tc>
                      <w:tcPr>
                        <w:tcW w:w="1298" w:type="dxa"/>
                      </w:tcPr>
                      <w:p w14:paraId="6E6D7108" w14:textId="77777777" w:rsidR="00F65BCA" w:rsidRDefault="00216117">
                        <w:pPr>
                          <w:pStyle w:val="TableParagraph"/>
                          <w:spacing w:before="28"/>
                          <w:ind w:left="490" w:right="471"/>
                          <w:jc w:val="center"/>
                          <w:rPr>
                            <w:sz w:val="8"/>
                          </w:rPr>
                        </w:pPr>
                        <w:r>
                          <w:rPr>
                            <w:w w:val="105"/>
                            <w:sz w:val="8"/>
                          </w:rPr>
                          <w:t>9,00%</w:t>
                        </w:r>
                      </w:p>
                    </w:tc>
                  </w:tr>
                  <w:tr w:rsidR="00F65BCA" w14:paraId="2BB3B60D" w14:textId="77777777">
                    <w:trPr>
                      <w:trHeight w:val="146"/>
                    </w:trPr>
                    <w:tc>
                      <w:tcPr>
                        <w:tcW w:w="1836" w:type="dxa"/>
                        <w:shd w:val="clear" w:color="auto" w:fill="FCE4D6"/>
                      </w:tcPr>
                      <w:p w14:paraId="55E1F510" w14:textId="77777777" w:rsidR="00F65BCA" w:rsidRDefault="00216117">
                        <w:pPr>
                          <w:pStyle w:val="TableParagraph"/>
                          <w:spacing w:before="28"/>
                          <w:ind w:left="373" w:right="357"/>
                          <w:jc w:val="center"/>
                          <w:rPr>
                            <w:sz w:val="8"/>
                          </w:rPr>
                        </w:pPr>
                        <w:r>
                          <w:rPr>
                            <w:w w:val="105"/>
                            <w:sz w:val="8"/>
                          </w:rPr>
                          <w:t>nákladní automobil nad 3,5 t</w:t>
                        </w:r>
                      </w:p>
                    </w:tc>
                    <w:tc>
                      <w:tcPr>
                        <w:tcW w:w="986" w:type="dxa"/>
                        <w:shd w:val="clear" w:color="auto" w:fill="FCE4D6"/>
                      </w:tcPr>
                      <w:p w14:paraId="5883405A" w14:textId="77777777" w:rsidR="00F65BCA" w:rsidRDefault="00216117">
                        <w:pPr>
                          <w:pStyle w:val="TableParagraph"/>
                          <w:spacing w:before="28"/>
                          <w:ind w:left="144" w:right="124"/>
                          <w:jc w:val="center"/>
                          <w:rPr>
                            <w:sz w:val="8"/>
                          </w:rPr>
                        </w:pPr>
                        <w:r>
                          <w:rPr>
                            <w:w w:val="105"/>
                            <w:sz w:val="8"/>
                          </w:rPr>
                          <w:t>&gt;3500 kg</w:t>
                        </w:r>
                      </w:p>
                    </w:tc>
                    <w:tc>
                      <w:tcPr>
                        <w:tcW w:w="1298" w:type="dxa"/>
                      </w:tcPr>
                      <w:p w14:paraId="3E4898DC" w14:textId="77777777" w:rsidR="00F65BCA" w:rsidRDefault="00216117">
                        <w:pPr>
                          <w:pStyle w:val="TableParagraph"/>
                          <w:spacing w:before="28"/>
                          <w:ind w:left="535"/>
                          <w:rPr>
                            <w:sz w:val="8"/>
                          </w:rPr>
                        </w:pPr>
                        <w:r>
                          <w:rPr>
                            <w:w w:val="105"/>
                            <w:sz w:val="8"/>
                          </w:rPr>
                          <w:t>9,00%</w:t>
                        </w:r>
                      </w:p>
                    </w:tc>
                    <w:tc>
                      <w:tcPr>
                        <w:tcW w:w="1298" w:type="dxa"/>
                      </w:tcPr>
                      <w:p w14:paraId="021CF370" w14:textId="77777777" w:rsidR="00F65BCA" w:rsidRDefault="00216117">
                        <w:pPr>
                          <w:pStyle w:val="TableParagraph"/>
                          <w:spacing w:before="28"/>
                          <w:ind w:left="490" w:right="471"/>
                          <w:jc w:val="center"/>
                          <w:rPr>
                            <w:sz w:val="8"/>
                          </w:rPr>
                        </w:pPr>
                        <w:r>
                          <w:rPr>
                            <w:w w:val="105"/>
                            <w:sz w:val="8"/>
                          </w:rPr>
                          <w:t>9,00%</w:t>
                        </w:r>
                      </w:p>
                    </w:tc>
                  </w:tr>
                  <w:tr w:rsidR="00F65BCA" w14:paraId="2B78229A" w14:textId="77777777">
                    <w:trPr>
                      <w:trHeight w:val="146"/>
                    </w:trPr>
                    <w:tc>
                      <w:tcPr>
                        <w:tcW w:w="1836" w:type="dxa"/>
                        <w:vMerge w:val="restart"/>
                        <w:shd w:val="clear" w:color="auto" w:fill="FCE4D6"/>
                      </w:tcPr>
                      <w:p w14:paraId="285BEA91" w14:textId="77777777" w:rsidR="00F65BCA" w:rsidRDefault="00F65BCA">
                        <w:pPr>
                          <w:pStyle w:val="TableParagraph"/>
                          <w:spacing w:before="7"/>
                          <w:rPr>
                            <w:sz w:val="8"/>
                          </w:rPr>
                        </w:pPr>
                      </w:p>
                      <w:p w14:paraId="69427EFC" w14:textId="77777777" w:rsidR="00F65BCA" w:rsidRDefault="00216117">
                        <w:pPr>
                          <w:pStyle w:val="TableParagraph"/>
                          <w:spacing w:before="1"/>
                          <w:ind w:left="373" w:right="353"/>
                          <w:jc w:val="center"/>
                          <w:rPr>
                            <w:sz w:val="8"/>
                          </w:rPr>
                        </w:pPr>
                        <w:r>
                          <w:rPr>
                            <w:w w:val="105"/>
                            <w:sz w:val="8"/>
                          </w:rPr>
                          <w:t>tahač návěsů</w:t>
                        </w:r>
                      </w:p>
                    </w:tc>
                    <w:tc>
                      <w:tcPr>
                        <w:tcW w:w="986" w:type="dxa"/>
                        <w:shd w:val="clear" w:color="auto" w:fill="FCE4D6"/>
                      </w:tcPr>
                      <w:p w14:paraId="370E803C" w14:textId="77777777" w:rsidR="00F65BCA" w:rsidRDefault="00216117">
                        <w:pPr>
                          <w:pStyle w:val="TableParagraph"/>
                          <w:spacing w:before="28"/>
                          <w:ind w:left="144" w:right="126"/>
                          <w:jc w:val="center"/>
                          <w:rPr>
                            <w:sz w:val="8"/>
                          </w:rPr>
                        </w:pPr>
                        <w:r>
                          <w:rPr>
                            <w:w w:val="105"/>
                            <w:sz w:val="8"/>
                          </w:rPr>
                          <w:t>0-3500 kg</w:t>
                        </w:r>
                      </w:p>
                    </w:tc>
                    <w:tc>
                      <w:tcPr>
                        <w:tcW w:w="1298" w:type="dxa"/>
                      </w:tcPr>
                      <w:p w14:paraId="425A4CD9" w14:textId="77777777" w:rsidR="00F65BCA" w:rsidRDefault="00216117">
                        <w:pPr>
                          <w:pStyle w:val="TableParagraph"/>
                          <w:spacing w:before="28"/>
                          <w:ind w:left="535"/>
                          <w:rPr>
                            <w:sz w:val="8"/>
                          </w:rPr>
                        </w:pPr>
                        <w:r>
                          <w:rPr>
                            <w:w w:val="105"/>
                            <w:sz w:val="8"/>
                          </w:rPr>
                          <w:t>9,00%</w:t>
                        </w:r>
                      </w:p>
                    </w:tc>
                    <w:tc>
                      <w:tcPr>
                        <w:tcW w:w="1298" w:type="dxa"/>
                      </w:tcPr>
                      <w:p w14:paraId="1D42EC83" w14:textId="77777777" w:rsidR="00F65BCA" w:rsidRDefault="00216117">
                        <w:pPr>
                          <w:pStyle w:val="TableParagraph"/>
                          <w:spacing w:before="28"/>
                          <w:ind w:left="490" w:right="471"/>
                          <w:jc w:val="center"/>
                          <w:rPr>
                            <w:sz w:val="8"/>
                          </w:rPr>
                        </w:pPr>
                        <w:r>
                          <w:rPr>
                            <w:w w:val="105"/>
                            <w:sz w:val="8"/>
                          </w:rPr>
                          <w:t>9,00%</w:t>
                        </w:r>
                      </w:p>
                    </w:tc>
                  </w:tr>
                  <w:tr w:rsidR="00F65BCA" w14:paraId="60192597" w14:textId="77777777">
                    <w:trPr>
                      <w:trHeight w:val="146"/>
                    </w:trPr>
                    <w:tc>
                      <w:tcPr>
                        <w:tcW w:w="1836" w:type="dxa"/>
                        <w:vMerge/>
                        <w:tcBorders>
                          <w:top w:val="nil"/>
                        </w:tcBorders>
                        <w:shd w:val="clear" w:color="auto" w:fill="FCE4D6"/>
                      </w:tcPr>
                      <w:p w14:paraId="3AD42C96" w14:textId="77777777" w:rsidR="00F65BCA" w:rsidRDefault="00F65BCA">
                        <w:pPr>
                          <w:rPr>
                            <w:sz w:val="2"/>
                            <w:szCs w:val="2"/>
                          </w:rPr>
                        </w:pPr>
                      </w:p>
                    </w:tc>
                    <w:tc>
                      <w:tcPr>
                        <w:tcW w:w="986" w:type="dxa"/>
                        <w:shd w:val="clear" w:color="auto" w:fill="FCE4D6"/>
                      </w:tcPr>
                      <w:p w14:paraId="78BF4AA2" w14:textId="77777777" w:rsidR="00F65BCA" w:rsidRDefault="00216117">
                        <w:pPr>
                          <w:pStyle w:val="TableParagraph"/>
                          <w:spacing w:before="28"/>
                          <w:ind w:left="144" w:right="124"/>
                          <w:jc w:val="center"/>
                          <w:rPr>
                            <w:sz w:val="8"/>
                          </w:rPr>
                        </w:pPr>
                        <w:r>
                          <w:rPr>
                            <w:w w:val="105"/>
                            <w:sz w:val="8"/>
                          </w:rPr>
                          <w:t>&gt;3500 kg</w:t>
                        </w:r>
                      </w:p>
                    </w:tc>
                    <w:tc>
                      <w:tcPr>
                        <w:tcW w:w="1298" w:type="dxa"/>
                      </w:tcPr>
                      <w:p w14:paraId="5D9F2861" w14:textId="77777777" w:rsidR="00F65BCA" w:rsidRDefault="00216117">
                        <w:pPr>
                          <w:pStyle w:val="TableParagraph"/>
                          <w:spacing w:before="28"/>
                          <w:ind w:left="513"/>
                          <w:rPr>
                            <w:sz w:val="8"/>
                          </w:rPr>
                        </w:pPr>
                        <w:r>
                          <w:rPr>
                            <w:w w:val="105"/>
                            <w:sz w:val="8"/>
                          </w:rPr>
                          <w:t>11,25%</w:t>
                        </w:r>
                      </w:p>
                    </w:tc>
                    <w:tc>
                      <w:tcPr>
                        <w:tcW w:w="1298" w:type="dxa"/>
                      </w:tcPr>
                      <w:p w14:paraId="3DDCF112" w14:textId="77777777" w:rsidR="00F65BCA" w:rsidRDefault="00216117">
                        <w:pPr>
                          <w:pStyle w:val="TableParagraph"/>
                          <w:spacing w:before="28"/>
                          <w:ind w:left="492" w:right="471"/>
                          <w:jc w:val="center"/>
                          <w:rPr>
                            <w:sz w:val="8"/>
                          </w:rPr>
                        </w:pPr>
                        <w:r>
                          <w:rPr>
                            <w:w w:val="105"/>
                            <w:sz w:val="8"/>
                          </w:rPr>
                          <w:t>11,25%</w:t>
                        </w:r>
                      </w:p>
                    </w:tc>
                  </w:tr>
                  <w:tr w:rsidR="00F65BCA" w14:paraId="4C80ABE5" w14:textId="77777777">
                    <w:trPr>
                      <w:trHeight w:val="146"/>
                    </w:trPr>
                    <w:tc>
                      <w:tcPr>
                        <w:tcW w:w="1836" w:type="dxa"/>
                        <w:vMerge w:val="restart"/>
                        <w:shd w:val="clear" w:color="auto" w:fill="FCE4D6"/>
                      </w:tcPr>
                      <w:p w14:paraId="3FC3FAD5" w14:textId="77777777" w:rsidR="00F65BCA" w:rsidRDefault="00F65BCA">
                        <w:pPr>
                          <w:pStyle w:val="TableParagraph"/>
                          <w:spacing w:before="7"/>
                          <w:rPr>
                            <w:sz w:val="8"/>
                          </w:rPr>
                        </w:pPr>
                      </w:p>
                      <w:p w14:paraId="5C7A8336" w14:textId="77777777" w:rsidR="00F65BCA" w:rsidRDefault="00216117">
                        <w:pPr>
                          <w:pStyle w:val="TableParagraph"/>
                          <w:spacing w:before="1"/>
                          <w:ind w:left="372" w:right="357"/>
                          <w:jc w:val="center"/>
                          <w:rPr>
                            <w:sz w:val="8"/>
                          </w:rPr>
                        </w:pPr>
                        <w:r>
                          <w:rPr>
                            <w:w w:val="105"/>
                            <w:sz w:val="8"/>
                          </w:rPr>
                          <w:t>přívěs</w:t>
                        </w:r>
                      </w:p>
                    </w:tc>
                    <w:tc>
                      <w:tcPr>
                        <w:tcW w:w="986" w:type="dxa"/>
                        <w:shd w:val="clear" w:color="auto" w:fill="FCE4D6"/>
                      </w:tcPr>
                      <w:p w14:paraId="6308938B" w14:textId="77777777" w:rsidR="00F65BCA" w:rsidRDefault="00216117">
                        <w:pPr>
                          <w:pStyle w:val="TableParagraph"/>
                          <w:spacing w:before="28"/>
                          <w:ind w:left="144" w:right="126"/>
                          <w:jc w:val="center"/>
                          <w:rPr>
                            <w:sz w:val="8"/>
                          </w:rPr>
                        </w:pPr>
                        <w:r>
                          <w:rPr>
                            <w:w w:val="105"/>
                            <w:sz w:val="8"/>
                          </w:rPr>
                          <w:t>0-3500 kg</w:t>
                        </w:r>
                      </w:p>
                    </w:tc>
                    <w:tc>
                      <w:tcPr>
                        <w:tcW w:w="1298" w:type="dxa"/>
                      </w:tcPr>
                      <w:p w14:paraId="5B112F09" w14:textId="77777777" w:rsidR="00F65BCA" w:rsidRDefault="00216117">
                        <w:pPr>
                          <w:pStyle w:val="TableParagraph"/>
                          <w:spacing w:before="28"/>
                          <w:ind w:left="535"/>
                          <w:rPr>
                            <w:sz w:val="8"/>
                          </w:rPr>
                        </w:pPr>
                        <w:r>
                          <w:rPr>
                            <w:w w:val="105"/>
                            <w:sz w:val="8"/>
                          </w:rPr>
                          <w:t>6,75%</w:t>
                        </w:r>
                      </w:p>
                    </w:tc>
                    <w:tc>
                      <w:tcPr>
                        <w:tcW w:w="1298" w:type="dxa"/>
                      </w:tcPr>
                      <w:p w14:paraId="3D46498E" w14:textId="77777777" w:rsidR="00F65BCA" w:rsidRDefault="00216117">
                        <w:pPr>
                          <w:pStyle w:val="TableParagraph"/>
                          <w:spacing w:before="28"/>
                          <w:ind w:left="490" w:right="471"/>
                          <w:jc w:val="center"/>
                          <w:rPr>
                            <w:sz w:val="8"/>
                          </w:rPr>
                        </w:pPr>
                        <w:r>
                          <w:rPr>
                            <w:w w:val="105"/>
                            <w:sz w:val="8"/>
                          </w:rPr>
                          <w:t>6,75%</w:t>
                        </w:r>
                      </w:p>
                    </w:tc>
                  </w:tr>
                  <w:tr w:rsidR="00F65BCA" w14:paraId="7779FBDD" w14:textId="77777777">
                    <w:trPr>
                      <w:trHeight w:val="146"/>
                    </w:trPr>
                    <w:tc>
                      <w:tcPr>
                        <w:tcW w:w="1836" w:type="dxa"/>
                        <w:vMerge/>
                        <w:tcBorders>
                          <w:top w:val="nil"/>
                        </w:tcBorders>
                        <w:shd w:val="clear" w:color="auto" w:fill="FCE4D6"/>
                      </w:tcPr>
                      <w:p w14:paraId="7F4F4BD3" w14:textId="77777777" w:rsidR="00F65BCA" w:rsidRDefault="00F65BCA">
                        <w:pPr>
                          <w:rPr>
                            <w:sz w:val="2"/>
                            <w:szCs w:val="2"/>
                          </w:rPr>
                        </w:pPr>
                      </w:p>
                    </w:tc>
                    <w:tc>
                      <w:tcPr>
                        <w:tcW w:w="986" w:type="dxa"/>
                        <w:shd w:val="clear" w:color="auto" w:fill="FCE4D6"/>
                      </w:tcPr>
                      <w:p w14:paraId="201CE37A" w14:textId="77777777" w:rsidR="00F65BCA" w:rsidRDefault="00216117">
                        <w:pPr>
                          <w:pStyle w:val="TableParagraph"/>
                          <w:spacing w:before="28"/>
                          <w:ind w:left="144" w:right="124"/>
                          <w:jc w:val="center"/>
                          <w:rPr>
                            <w:sz w:val="8"/>
                          </w:rPr>
                        </w:pPr>
                        <w:r>
                          <w:rPr>
                            <w:w w:val="105"/>
                            <w:sz w:val="8"/>
                          </w:rPr>
                          <w:t>&gt;3500 kg</w:t>
                        </w:r>
                      </w:p>
                    </w:tc>
                    <w:tc>
                      <w:tcPr>
                        <w:tcW w:w="1298" w:type="dxa"/>
                      </w:tcPr>
                      <w:p w14:paraId="0F4F82AF" w14:textId="77777777" w:rsidR="00F65BCA" w:rsidRDefault="00216117">
                        <w:pPr>
                          <w:pStyle w:val="TableParagraph"/>
                          <w:spacing w:before="28"/>
                          <w:ind w:left="535"/>
                          <w:rPr>
                            <w:sz w:val="8"/>
                          </w:rPr>
                        </w:pPr>
                        <w:r>
                          <w:rPr>
                            <w:w w:val="105"/>
                            <w:sz w:val="8"/>
                          </w:rPr>
                          <w:t>9,00%</w:t>
                        </w:r>
                      </w:p>
                    </w:tc>
                    <w:tc>
                      <w:tcPr>
                        <w:tcW w:w="1298" w:type="dxa"/>
                      </w:tcPr>
                      <w:p w14:paraId="7855325C" w14:textId="77777777" w:rsidR="00F65BCA" w:rsidRDefault="00216117">
                        <w:pPr>
                          <w:pStyle w:val="TableParagraph"/>
                          <w:spacing w:before="28"/>
                          <w:ind w:left="490" w:right="471"/>
                          <w:jc w:val="center"/>
                          <w:rPr>
                            <w:sz w:val="8"/>
                          </w:rPr>
                        </w:pPr>
                        <w:r>
                          <w:rPr>
                            <w:w w:val="105"/>
                            <w:sz w:val="8"/>
                          </w:rPr>
                          <w:t>9,00%</w:t>
                        </w:r>
                      </w:p>
                    </w:tc>
                  </w:tr>
                  <w:tr w:rsidR="00F65BCA" w14:paraId="30BF7E23" w14:textId="77777777">
                    <w:trPr>
                      <w:trHeight w:val="146"/>
                    </w:trPr>
                    <w:tc>
                      <w:tcPr>
                        <w:tcW w:w="1836" w:type="dxa"/>
                        <w:vMerge w:val="restart"/>
                        <w:shd w:val="clear" w:color="auto" w:fill="FCE4D6"/>
                      </w:tcPr>
                      <w:p w14:paraId="1DC044A6" w14:textId="77777777" w:rsidR="00F65BCA" w:rsidRDefault="00F65BCA">
                        <w:pPr>
                          <w:pStyle w:val="TableParagraph"/>
                          <w:spacing w:before="7"/>
                          <w:rPr>
                            <w:sz w:val="8"/>
                          </w:rPr>
                        </w:pPr>
                      </w:p>
                      <w:p w14:paraId="7416556A" w14:textId="77777777" w:rsidR="00F65BCA" w:rsidRDefault="00216117">
                        <w:pPr>
                          <w:pStyle w:val="TableParagraph"/>
                          <w:spacing w:before="1"/>
                          <w:ind w:left="373" w:right="356"/>
                          <w:jc w:val="center"/>
                          <w:rPr>
                            <w:sz w:val="8"/>
                          </w:rPr>
                        </w:pPr>
                        <w:r>
                          <w:rPr>
                            <w:w w:val="105"/>
                            <w:sz w:val="8"/>
                          </w:rPr>
                          <w:t>návěs</w:t>
                        </w:r>
                      </w:p>
                    </w:tc>
                    <w:tc>
                      <w:tcPr>
                        <w:tcW w:w="986" w:type="dxa"/>
                        <w:shd w:val="clear" w:color="auto" w:fill="FCE4D6"/>
                      </w:tcPr>
                      <w:p w14:paraId="17D7BDCB" w14:textId="77777777" w:rsidR="00F65BCA" w:rsidRDefault="00216117">
                        <w:pPr>
                          <w:pStyle w:val="TableParagraph"/>
                          <w:spacing w:before="28"/>
                          <w:ind w:left="144" w:right="126"/>
                          <w:jc w:val="center"/>
                          <w:rPr>
                            <w:sz w:val="8"/>
                          </w:rPr>
                        </w:pPr>
                        <w:r>
                          <w:rPr>
                            <w:w w:val="105"/>
                            <w:sz w:val="8"/>
                          </w:rPr>
                          <w:t>0-3500 kg</w:t>
                        </w:r>
                      </w:p>
                    </w:tc>
                    <w:tc>
                      <w:tcPr>
                        <w:tcW w:w="1298" w:type="dxa"/>
                      </w:tcPr>
                      <w:p w14:paraId="4A98D901" w14:textId="77777777" w:rsidR="00F65BCA" w:rsidRDefault="00216117">
                        <w:pPr>
                          <w:pStyle w:val="TableParagraph"/>
                          <w:spacing w:before="28"/>
                          <w:ind w:left="535"/>
                          <w:rPr>
                            <w:sz w:val="8"/>
                          </w:rPr>
                        </w:pPr>
                        <w:r>
                          <w:rPr>
                            <w:w w:val="105"/>
                            <w:sz w:val="8"/>
                          </w:rPr>
                          <w:t>6,75%</w:t>
                        </w:r>
                      </w:p>
                    </w:tc>
                    <w:tc>
                      <w:tcPr>
                        <w:tcW w:w="1298" w:type="dxa"/>
                      </w:tcPr>
                      <w:p w14:paraId="64C9E768" w14:textId="77777777" w:rsidR="00F65BCA" w:rsidRDefault="00216117">
                        <w:pPr>
                          <w:pStyle w:val="TableParagraph"/>
                          <w:spacing w:before="28"/>
                          <w:ind w:left="490" w:right="471"/>
                          <w:jc w:val="center"/>
                          <w:rPr>
                            <w:sz w:val="8"/>
                          </w:rPr>
                        </w:pPr>
                        <w:r>
                          <w:rPr>
                            <w:w w:val="105"/>
                            <w:sz w:val="8"/>
                          </w:rPr>
                          <w:t>6,75%</w:t>
                        </w:r>
                      </w:p>
                    </w:tc>
                  </w:tr>
                  <w:tr w:rsidR="00F65BCA" w14:paraId="09797FDC" w14:textId="77777777">
                    <w:trPr>
                      <w:trHeight w:val="146"/>
                    </w:trPr>
                    <w:tc>
                      <w:tcPr>
                        <w:tcW w:w="1836" w:type="dxa"/>
                        <w:vMerge/>
                        <w:tcBorders>
                          <w:top w:val="nil"/>
                        </w:tcBorders>
                        <w:shd w:val="clear" w:color="auto" w:fill="FCE4D6"/>
                      </w:tcPr>
                      <w:p w14:paraId="3D56DA22" w14:textId="77777777" w:rsidR="00F65BCA" w:rsidRDefault="00F65BCA">
                        <w:pPr>
                          <w:rPr>
                            <w:sz w:val="2"/>
                            <w:szCs w:val="2"/>
                          </w:rPr>
                        </w:pPr>
                      </w:p>
                    </w:tc>
                    <w:tc>
                      <w:tcPr>
                        <w:tcW w:w="986" w:type="dxa"/>
                        <w:shd w:val="clear" w:color="auto" w:fill="FCE4D6"/>
                      </w:tcPr>
                      <w:p w14:paraId="47FB26E3" w14:textId="77777777" w:rsidR="00F65BCA" w:rsidRDefault="00216117">
                        <w:pPr>
                          <w:pStyle w:val="TableParagraph"/>
                          <w:spacing w:before="28"/>
                          <w:ind w:left="144" w:right="124"/>
                          <w:jc w:val="center"/>
                          <w:rPr>
                            <w:sz w:val="8"/>
                          </w:rPr>
                        </w:pPr>
                        <w:r>
                          <w:rPr>
                            <w:w w:val="105"/>
                            <w:sz w:val="8"/>
                          </w:rPr>
                          <w:t>&gt;3500 kg</w:t>
                        </w:r>
                      </w:p>
                    </w:tc>
                    <w:tc>
                      <w:tcPr>
                        <w:tcW w:w="1298" w:type="dxa"/>
                      </w:tcPr>
                      <w:p w14:paraId="090FB8D2" w14:textId="77777777" w:rsidR="00F65BCA" w:rsidRDefault="00216117">
                        <w:pPr>
                          <w:pStyle w:val="TableParagraph"/>
                          <w:spacing w:before="28"/>
                          <w:ind w:left="535"/>
                          <w:rPr>
                            <w:sz w:val="8"/>
                          </w:rPr>
                        </w:pPr>
                        <w:r>
                          <w:rPr>
                            <w:w w:val="105"/>
                            <w:sz w:val="8"/>
                          </w:rPr>
                          <w:t>9,00%</w:t>
                        </w:r>
                      </w:p>
                    </w:tc>
                    <w:tc>
                      <w:tcPr>
                        <w:tcW w:w="1298" w:type="dxa"/>
                      </w:tcPr>
                      <w:p w14:paraId="3B320869" w14:textId="77777777" w:rsidR="00F65BCA" w:rsidRDefault="00216117">
                        <w:pPr>
                          <w:pStyle w:val="TableParagraph"/>
                          <w:spacing w:before="28"/>
                          <w:ind w:left="490" w:right="471"/>
                          <w:jc w:val="center"/>
                          <w:rPr>
                            <w:sz w:val="8"/>
                          </w:rPr>
                        </w:pPr>
                        <w:r>
                          <w:rPr>
                            <w:w w:val="105"/>
                            <w:sz w:val="8"/>
                          </w:rPr>
                          <w:t>9,00%</w:t>
                        </w:r>
                      </w:p>
                    </w:tc>
                  </w:tr>
                  <w:tr w:rsidR="00F65BCA" w14:paraId="17FFD9B8" w14:textId="77777777">
                    <w:trPr>
                      <w:trHeight w:val="146"/>
                    </w:trPr>
                    <w:tc>
                      <w:tcPr>
                        <w:tcW w:w="1836" w:type="dxa"/>
                        <w:vMerge w:val="restart"/>
                        <w:shd w:val="clear" w:color="auto" w:fill="FCE4D6"/>
                      </w:tcPr>
                      <w:p w14:paraId="152ADAFD" w14:textId="77777777" w:rsidR="00F65BCA" w:rsidRDefault="00F65BCA">
                        <w:pPr>
                          <w:pStyle w:val="TableParagraph"/>
                          <w:spacing w:before="7"/>
                          <w:rPr>
                            <w:sz w:val="8"/>
                          </w:rPr>
                        </w:pPr>
                      </w:p>
                      <w:p w14:paraId="281FDB00" w14:textId="77777777" w:rsidR="00F65BCA" w:rsidRDefault="00216117">
                        <w:pPr>
                          <w:pStyle w:val="TableParagraph"/>
                          <w:spacing w:before="1"/>
                          <w:ind w:left="510"/>
                          <w:rPr>
                            <w:sz w:val="8"/>
                          </w:rPr>
                        </w:pPr>
                        <w:r>
                          <w:rPr>
                            <w:w w:val="105"/>
                            <w:sz w:val="8"/>
                          </w:rPr>
                          <w:t>pracovní stroj přípojný</w:t>
                        </w:r>
                      </w:p>
                    </w:tc>
                    <w:tc>
                      <w:tcPr>
                        <w:tcW w:w="986" w:type="dxa"/>
                        <w:shd w:val="clear" w:color="auto" w:fill="FCE4D6"/>
                      </w:tcPr>
                      <w:p w14:paraId="69216697" w14:textId="77777777" w:rsidR="00F65BCA" w:rsidRDefault="00216117">
                        <w:pPr>
                          <w:pStyle w:val="TableParagraph"/>
                          <w:spacing w:before="28"/>
                          <w:ind w:left="144" w:right="126"/>
                          <w:jc w:val="center"/>
                          <w:rPr>
                            <w:sz w:val="8"/>
                          </w:rPr>
                        </w:pPr>
                        <w:r>
                          <w:rPr>
                            <w:w w:val="105"/>
                            <w:sz w:val="8"/>
                          </w:rPr>
                          <w:t>0-3500 kg</w:t>
                        </w:r>
                      </w:p>
                    </w:tc>
                    <w:tc>
                      <w:tcPr>
                        <w:tcW w:w="1298" w:type="dxa"/>
                      </w:tcPr>
                      <w:p w14:paraId="416995A8" w14:textId="77777777" w:rsidR="00F65BCA" w:rsidRDefault="00216117">
                        <w:pPr>
                          <w:pStyle w:val="TableParagraph"/>
                          <w:spacing w:before="28"/>
                          <w:ind w:left="535"/>
                          <w:rPr>
                            <w:sz w:val="8"/>
                          </w:rPr>
                        </w:pPr>
                        <w:r>
                          <w:rPr>
                            <w:w w:val="105"/>
                            <w:sz w:val="8"/>
                          </w:rPr>
                          <w:t>6,75%</w:t>
                        </w:r>
                      </w:p>
                    </w:tc>
                    <w:tc>
                      <w:tcPr>
                        <w:tcW w:w="1298" w:type="dxa"/>
                      </w:tcPr>
                      <w:p w14:paraId="0A9F2FF7" w14:textId="77777777" w:rsidR="00F65BCA" w:rsidRDefault="00216117">
                        <w:pPr>
                          <w:pStyle w:val="TableParagraph"/>
                          <w:spacing w:before="28"/>
                          <w:ind w:left="490" w:right="471"/>
                          <w:jc w:val="center"/>
                          <w:rPr>
                            <w:sz w:val="8"/>
                          </w:rPr>
                        </w:pPr>
                        <w:r>
                          <w:rPr>
                            <w:w w:val="105"/>
                            <w:sz w:val="8"/>
                          </w:rPr>
                          <w:t>6,75%</w:t>
                        </w:r>
                      </w:p>
                    </w:tc>
                  </w:tr>
                  <w:tr w:rsidR="00F65BCA" w14:paraId="5D5F2DDA" w14:textId="77777777">
                    <w:trPr>
                      <w:trHeight w:val="146"/>
                    </w:trPr>
                    <w:tc>
                      <w:tcPr>
                        <w:tcW w:w="1836" w:type="dxa"/>
                        <w:vMerge/>
                        <w:tcBorders>
                          <w:top w:val="nil"/>
                        </w:tcBorders>
                        <w:shd w:val="clear" w:color="auto" w:fill="FCE4D6"/>
                      </w:tcPr>
                      <w:p w14:paraId="4D502A28" w14:textId="77777777" w:rsidR="00F65BCA" w:rsidRDefault="00F65BCA">
                        <w:pPr>
                          <w:rPr>
                            <w:sz w:val="2"/>
                            <w:szCs w:val="2"/>
                          </w:rPr>
                        </w:pPr>
                      </w:p>
                    </w:tc>
                    <w:tc>
                      <w:tcPr>
                        <w:tcW w:w="986" w:type="dxa"/>
                        <w:shd w:val="clear" w:color="auto" w:fill="FCE4D6"/>
                      </w:tcPr>
                      <w:p w14:paraId="176E10DB" w14:textId="77777777" w:rsidR="00F65BCA" w:rsidRDefault="00216117">
                        <w:pPr>
                          <w:pStyle w:val="TableParagraph"/>
                          <w:spacing w:before="28"/>
                          <w:ind w:left="144" w:right="124"/>
                          <w:jc w:val="center"/>
                          <w:rPr>
                            <w:sz w:val="8"/>
                          </w:rPr>
                        </w:pPr>
                        <w:r>
                          <w:rPr>
                            <w:w w:val="105"/>
                            <w:sz w:val="8"/>
                          </w:rPr>
                          <w:t>&gt;3500 kg</w:t>
                        </w:r>
                      </w:p>
                    </w:tc>
                    <w:tc>
                      <w:tcPr>
                        <w:tcW w:w="1298" w:type="dxa"/>
                      </w:tcPr>
                      <w:p w14:paraId="7489709B" w14:textId="77777777" w:rsidR="00F65BCA" w:rsidRDefault="00216117">
                        <w:pPr>
                          <w:pStyle w:val="TableParagraph"/>
                          <w:spacing w:before="28"/>
                          <w:ind w:left="535"/>
                          <w:rPr>
                            <w:sz w:val="8"/>
                          </w:rPr>
                        </w:pPr>
                        <w:r>
                          <w:rPr>
                            <w:w w:val="105"/>
                            <w:sz w:val="8"/>
                          </w:rPr>
                          <w:t>9,00%</w:t>
                        </w:r>
                      </w:p>
                    </w:tc>
                    <w:tc>
                      <w:tcPr>
                        <w:tcW w:w="1298" w:type="dxa"/>
                      </w:tcPr>
                      <w:p w14:paraId="57B1DC59" w14:textId="77777777" w:rsidR="00F65BCA" w:rsidRDefault="00216117">
                        <w:pPr>
                          <w:pStyle w:val="TableParagraph"/>
                          <w:spacing w:before="28"/>
                          <w:ind w:left="490" w:right="471"/>
                          <w:jc w:val="center"/>
                          <w:rPr>
                            <w:sz w:val="8"/>
                          </w:rPr>
                        </w:pPr>
                        <w:r>
                          <w:rPr>
                            <w:w w:val="105"/>
                            <w:sz w:val="8"/>
                          </w:rPr>
                          <w:t>9,00%</w:t>
                        </w:r>
                      </w:p>
                    </w:tc>
                  </w:tr>
                  <w:tr w:rsidR="00F65BCA" w14:paraId="3AFDAD25" w14:textId="77777777">
                    <w:trPr>
                      <w:trHeight w:val="146"/>
                    </w:trPr>
                    <w:tc>
                      <w:tcPr>
                        <w:tcW w:w="1836" w:type="dxa"/>
                        <w:vMerge w:val="restart"/>
                        <w:shd w:val="clear" w:color="auto" w:fill="FCE4D6"/>
                      </w:tcPr>
                      <w:p w14:paraId="276EF723" w14:textId="77777777" w:rsidR="00F65BCA" w:rsidRDefault="00F65BCA">
                        <w:pPr>
                          <w:pStyle w:val="TableParagraph"/>
                          <w:spacing w:before="7"/>
                          <w:rPr>
                            <w:sz w:val="8"/>
                          </w:rPr>
                        </w:pPr>
                      </w:p>
                      <w:p w14:paraId="670BC59D" w14:textId="77777777" w:rsidR="00F65BCA" w:rsidRDefault="00216117">
                        <w:pPr>
                          <w:pStyle w:val="TableParagraph"/>
                          <w:spacing w:before="1"/>
                          <w:ind w:left="484"/>
                          <w:rPr>
                            <w:sz w:val="8"/>
                          </w:rPr>
                        </w:pPr>
                        <w:r>
                          <w:rPr>
                            <w:w w:val="105"/>
                            <w:sz w:val="8"/>
                          </w:rPr>
                          <w:t>přípojná vozidla traktorů</w:t>
                        </w:r>
                      </w:p>
                    </w:tc>
                    <w:tc>
                      <w:tcPr>
                        <w:tcW w:w="986" w:type="dxa"/>
                        <w:shd w:val="clear" w:color="auto" w:fill="FCE4D6"/>
                      </w:tcPr>
                      <w:p w14:paraId="49A91850" w14:textId="77777777" w:rsidR="00F65BCA" w:rsidRDefault="00216117">
                        <w:pPr>
                          <w:pStyle w:val="TableParagraph"/>
                          <w:spacing w:before="28"/>
                          <w:ind w:left="144" w:right="126"/>
                          <w:jc w:val="center"/>
                          <w:rPr>
                            <w:sz w:val="8"/>
                          </w:rPr>
                        </w:pPr>
                        <w:r>
                          <w:rPr>
                            <w:w w:val="105"/>
                            <w:sz w:val="8"/>
                          </w:rPr>
                          <w:t>0-3500 kg</w:t>
                        </w:r>
                      </w:p>
                    </w:tc>
                    <w:tc>
                      <w:tcPr>
                        <w:tcW w:w="1298" w:type="dxa"/>
                      </w:tcPr>
                      <w:p w14:paraId="77168DB3" w14:textId="77777777" w:rsidR="00F65BCA" w:rsidRDefault="00216117">
                        <w:pPr>
                          <w:pStyle w:val="TableParagraph"/>
                          <w:spacing w:before="28"/>
                          <w:ind w:left="535"/>
                          <w:rPr>
                            <w:sz w:val="8"/>
                          </w:rPr>
                        </w:pPr>
                        <w:r>
                          <w:rPr>
                            <w:w w:val="105"/>
                            <w:sz w:val="8"/>
                          </w:rPr>
                          <w:t>6,75%</w:t>
                        </w:r>
                      </w:p>
                    </w:tc>
                    <w:tc>
                      <w:tcPr>
                        <w:tcW w:w="1298" w:type="dxa"/>
                      </w:tcPr>
                      <w:p w14:paraId="374707A9" w14:textId="77777777" w:rsidR="00F65BCA" w:rsidRDefault="00216117">
                        <w:pPr>
                          <w:pStyle w:val="TableParagraph"/>
                          <w:spacing w:before="28"/>
                          <w:ind w:left="490" w:right="471"/>
                          <w:jc w:val="center"/>
                          <w:rPr>
                            <w:sz w:val="8"/>
                          </w:rPr>
                        </w:pPr>
                        <w:r>
                          <w:rPr>
                            <w:w w:val="105"/>
                            <w:sz w:val="8"/>
                          </w:rPr>
                          <w:t>6,75%</w:t>
                        </w:r>
                      </w:p>
                    </w:tc>
                  </w:tr>
                  <w:tr w:rsidR="00F65BCA" w14:paraId="6734E679" w14:textId="77777777">
                    <w:trPr>
                      <w:trHeight w:val="146"/>
                    </w:trPr>
                    <w:tc>
                      <w:tcPr>
                        <w:tcW w:w="1836" w:type="dxa"/>
                        <w:vMerge/>
                        <w:tcBorders>
                          <w:top w:val="nil"/>
                        </w:tcBorders>
                        <w:shd w:val="clear" w:color="auto" w:fill="FCE4D6"/>
                      </w:tcPr>
                      <w:p w14:paraId="30E83A9C" w14:textId="77777777" w:rsidR="00F65BCA" w:rsidRDefault="00F65BCA">
                        <w:pPr>
                          <w:rPr>
                            <w:sz w:val="2"/>
                            <w:szCs w:val="2"/>
                          </w:rPr>
                        </w:pPr>
                      </w:p>
                    </w:tc>
                    <w:tc>
                      <w:tcPr>
                        <w:tcW w:w="986" w:type="dxa"/>
                        <w:shd w:val="clear" w:color="auto" w:fill="FCE4D6"/>
                      </w:tcPr>
                      <w:p w14:paraId="581D482A" w14:textId="77777777" w:rsidR="00F65BCA" w:rsidRDefault="00216117">
                        <w:pPr>
                          <w:pStyle w:val="TableParagraph"/>
                          <w:spacing w:before="28"/>
                          <w:ind w:left="144" w:right="124"/>
                          <w:jc w:val="center"/>
                          <w:rPr>
                            <w:sz w:val="8"/>
                          </w:rPr>
                        </w:pPr>
                        <w:r>
                          <w:rPr>
                            <w:w w:val="105"/>
                            <w:sz w:val="8"/>
                          </w:rPr>
                          <w:t>&gt;3500 kg</w:t>
                        </w:r>
                      </w:p>
                    </w:tc>
                    <w:tc>
                      <w:tcPr>
                        <w:tcW w:w="1298" w:type="dxa"/>
                      </w:tcPr>
                      <w:p w14:paraId="766656C2" w14:textId="77777777" w:rsidR="00F65BCA" w:rsidRDefault="00216117">
                        <w:pPr>
                          <w:pStyle w:val="TableParagraph"/>
                          <w:spacing w:before="28"/>
                          <w:ind w:left="535"/>
                          <w:rPr>
                            <w:sz w:val="8"/>
                          </w:rPr>
                        </w:pPr>
                        <w:r>
                          <w:rPr>
                            <w:w w:val="105"/>
                            <w:sz w:val="8"/>
                          </w:rPr>
                          <w:t>9,00%</w:t>
                        </w:r>
                      </w:p>
                    </w:tc>
                    <w:tc>
                      <w:tcPr>
                        <w:tcW w:w="1298" w:type="dxa"/>
                      </w:tcPr>
                      <w:p w14:paraId="4F1B5912" w14:textId="77777777" w:rsidR="00F65BCA" w:rsidRDefault="00216117">
                        <w:pPr>
                          <w:pStyle w:val="TableParagraph"/>
                          <w:spacing w:before="28"/>
                          <w:ind w:left="490" w:right="471"/>
                          <w:jc w:val="center"/>
                          <w:rPr>
                            <w:sz w:val="8"/>
                          </w:rPr>
                        </w:pPr>
                        <w:r>
                          <w:rPr>
                            <w:w w:val="105"/>
                            <w:sz w:val="8"/>
                          </w:rPr>
                          <w:t>9,00%</w:t>
                        </w:r>
                      </w:p>
                    </w:tc>
                  </w:tr>
                  <w:tr w:rsidR="00F65BCA" w14:paraId="4F50356C" w14:textId="77777777">
                    <w:trPr>
                      <w:trHeight w:val="146"/>
                    </w:trPr>
                    <w:tc>
                      <w:tcPr>
                        <w:tcW w:w="1836" w:type="dxa"/>
                        <w:vMerge w:val="restart"/>
                        <w:shd w:val="clear" w:color="auto" w:fill="FCE4D6"/>
                      </w:tcPr>
                      <w:p w14:paraId="737A8F1D" w14:textId="77777777" w:rsidR="00F65BCA" w:rsidRDefault="00F65BCA">
                        <w:pPr>
                          <w:pStyle w:val="TableParagraph"/>
                          <w:spacing w:before="7"/>
                          <w:rPr>
                            <w:sz w:val="8"/>
                          </w:rPr>
                        </w:pPr>
                      </w:p>
                      <w:p w14:paraId="3FD13F99" w14:textId="77777777" w:rsidR="00F65BCA" w:rsidRDefault="00216117">
                        <w:pPr>
                          <w:pStyle w:val="TableParagraph"/>
                          <w:spacing w:before="1"/>
                          <w:ind w:left="373" w:right="356"/>
                          <w:jc w:val="center"/>
                          <w:rPr>
                            <w:sz w:val="8"/>
                          </w:rPr>
                        </w:pPr>
                        <w:r>
                          <w:rPr>
                            <w:w w:val="105"/>
                            <w:sz w:val="8"/>
                          </w:rPr>
                          <w:t>autobus</w:t>
                        </w:r>
                      </w:p>
                    </w:tc>
                    <w:tc>
                      <w:tcPr>
                        <w:tcW w:w="986" w:type="dxa"/>
                        <w:shd w:val="clear" w:color="auto" w:fill="FCE4D6"/>
                      </w:tcPr>
                      <w:p w14:paraId="5981B85B" w14:textId="77777777" w:rsidR="00F65BCA" w:rsidRDefault="00216117">
                        <w:pPr>
                          <w:pStyle w:val="TableParagraph"/>
                          <w:spacing w:before="28"/>
                          <w:ind w:left="144" w:right="126"/>
                          <w:jc w:val="center"/>
                          <w:rPr>
                            <w:sz w:val="8"/>
                          </w:rPr>
                        </w:pPr>
                        <w:r>
                          <w:rPr>
                            <w:w w:val="105"/>
                            <w:sz w:val="8"/>
                          </w:rPr>
                          <w:t>0-3500 kg</w:t>
                        </w:r>
                      </w:p>
                    </w:tc>
                    <w:tc>
                      <w:tcPr>
                        <w:tcW w:w="1298" w:type="dxa"/>
                      </w:tcPr>
                      <w:p w14:paraId="608A6ADA" w14:textId="77777777" w:rsidR="00F65BCA" w:rsidRDefault="00216117">
                        <w:pPr>
                          <w:pStyle w:val="TableParagraph"/>
                          <w:spacing w:before="28"/>
                          <w:ind w:left="513"/>
                          <w:rPr>
                            <w:sz w:val="8"/>
                          </w:rPr>
                        </w:pPr>
                        <w:r>
                          <w:rPr>
                            <w:w w:val="105"/>
                            <w:sz w:val="8"/>
                          </w:rPr>
                          <w:t>13,50%</w:t>
                        </w:r>
                      </w:p>
                    </w:tc>
                    <w:tc>
                      <w:tcPr>
                        <w:tcW w:w="1298" w:type="dxa"/>
                      </w:tcPr>
                      <w:p w14:paraId="39320756" w14:textId="77777777" w:rsidR="00F65BCA" w:rsidRDefault="00216117">
                        <w:pPr>
                          <w:pStyle w:val="TableParagraph"/>
                          <w:spacing w:before="28"/>
                          <w:ind w:left="492" w:right="471"/>
                          <w:jc w:val="center"/>
                          <w:rPr>
                            <w:sz w:val="8"/>
                          </w:rPr>
                        </w:pPr>
                        <w:r>
                          <w:rPr>
                            <w:w w:val="105"/>
                            <w:sz w:val="8"/>
                          </w:rPr>
                          <w:t>13,50%</w:t>
                        </w:r>
                      </w:p>
                    </w:tc>
                  </w:tr>
                  <w:tr w:rsidR="00F65BCA" w14:paraId="276D08BE" w14:textId="77777777">
                    <w:trPr>
                      <w:trHeight w:val="146"/>
                    </w:trPr>
                    <w:tc>
                      <w:tcPr>
                        <w:tcW w:w="1836" w:type="dxa"/>
                        <w:vMerge/>
                        <w:tcBorders>
                          <w:top w:val="nil"/>
                        </w:tcBorders>
                        <w:shd w:val="clear" w:color="auto" w:fill="FCE4D6"/>
                      </w:tcPr>
                      <w:p w14:paraId="531E5F81" w14:textId="77777777" w:rsidR="00F65BCA" w:rsidRDefault="00F65BCA">
                        <w:pPr>
                          <w:rPr>
                            <w:sz w:val="2"/>
                            <w:szCs w:val="2"/>
                          </w:rPr>
                        </w:pPr>
                      </w:p>
                    </w:tc>
                    <w:tc>
                      <w:tcPr>
                        <w:tcW w:w="986" w:type="dxa"/>
                        <w:shd w:val="clear" w:color="auto" w:fill="FCE4D6"/>
                      </w:tcPr>
                      <w:p w14:paraId="4F42A796" w14:textId="77777777" w:rsidR="00F65BCA" w:rsidRDefault="00216117">
                        <w:pPr>
                          <w:pStyle w:val="TableParagraph"/>
                          <w:spacing w:before="28"/>
                          <w:ind w:left="144" w:right="124"/>
                          <w:jc w:val="center"/>
                          <w:rPr>
                            <w:sz w:val="8"/>
                          </w:rPr>
                        </w:pPr>
                        <w:r>
                          <w:rPr>
                            <w:w w:val="105"/>
                            <w:sz w:val="8"/>
                          </w:rPr>
                          <w:t>&gt;3500 kg</w:t>
                        </w:r>
                      </w:p>
                    </w:tc>
                    <w:tc>
                      <w:tcPr>
                        <w:tcW w:w="1298" w:type="dxa"/>
                      </w:tcPr>
                      <w:p w14:paraId="4B240985" w14:textId="77777777" w:rsidR="00F65BCA" w:rsidRDefault="00216117">
                        <w:pPr>
                          <w:pStyle w:val="TableParagraph"/>
                          <w:spacing w:before="28"/>
                          <w:ind w:left="513"/>
                          <w:rPr>
                            <w:sz w:val="8"/>
                          </w:rPr>
                        </w:pPr>
                        <w:r>
                          <w:rPr>
                            <w:w w:val="105"/>
                            <w:sz w:val="8"/>
                          </w:rPr>
                          <w:t>15,75%</w:t>
                        </w:r>
                      </w:p>
                    </w:tc>
                    <w:tc>
                      <w:tcPr>
                        <w:tcW w:w="1298" w:type="dxa"/>
                      </w:tcPr>
                      <w:p w14:paraId="408E1FF6" w14:textId="77777777" w:rsidR="00F65BCA" w:rsidRDefault="00216117">
                        <w:pPr>
                          <w:pStyle w:val="TableParagraph"/>
                          <w:spacing w:before="28"/>
                          <w:ind w:left="492" w:right="471"/>
                          <w:jc w:val="center"/>
                          <w:rPr>
                            <w:sz w:val="8"/>
                          </w:rPr>
                        </w:pPr>
                        <w:r>
                          <w:rPr>
                            <w:w w:val="105"/>
                            <w:sz w:val="8"/>
                          </w:rPr>
                          <w:t>15,75%</w:t>
                        </w:r>
                      </w:p>
                    </w:tc>
                  </w:tr>
                  <w:tr w:rsidR="00F65BCA" w14:paraId="10080543" w14:textId="77777777">
                    <w:trPr>
                      <w:trHeight w:val="146"/>
                    </w:trPr>
                    <w:tc>
                      <w:tcPr>
                        <w:tcW w:w="1836" w:type="dxa"/>
                        <w:vMerge w:val="restart"/>
                        <w:shd w:val="clear" w:color="auto" w:fill="FCE4D6"/>
                      </w:tcPr>
                      <w:p w14:paraId="1CF53BD7" w14:textId="77777777" w:rsidR="00F65BCA" w:rsidRDefault="00F65BCA">
                        <w:pPr>
                          <w:pStyle w:val="TableParagraph"/>
                          <w:spacing w:before="7"/>
                          <w:rPr>
                            <w:sz w:val="8"/>
                          </w:rPr>
                        </w:pPr>
                      </w:p>
                      <w:p w14:paraId="07056048" w14:textId="77777777" w:rsidR="00F65BCA" w:rsidRDefault="00216117">
                        <w:pPr>
                          <w:pStyle w:val="TableParagraph"/>
                          <w:spacing w:before="1"/>
                          <w:ind w:left="599"/>
                          <w:rPr>
                            <w:sz w:val="8"/>
                          </w:rPr>
                        </w:pPr>
                        <w:r>
                          <w:rPr>
                            <w:w w:val="105"/>
                            <w:sz w:val="8"/>
                          </w:rPr>
                          <w:t>autobus pro MHD</w:t>
                        </w:r>
                      </w:p>
                    </w:tc>
                    <w:tc>
                      <w:tcPr>
                        <w:tcW w:w="986" w:type="dxa"/>
                        <w:shd w:val="clear" w:color="auto" w:fill="FCE4D6"/>
                      </w:tcPr>
                      <w:p w14:paraId="744B4DF8" w14:textId="77777777" w:rsidR="00F65BCA" w:rsidRDefault="00216117">
                        <w:pPr>
                          <w:pStyle w:val="TableParagraph"/>
                          <w:spacing w:before="28"/>
                          <w:ind w:left="144" w:right="126"/>
                          <w:jc w:val="center"/>
                          <w:rPr>
                            <w:sz w:val="8"/>
                          </w:rPr>
                        </w:pPr>
                        <w:r>
                          <w:rPr>
                            <w:w w:val="105"/>
                            <w:sz w:val="8"/>
                          </w:rPr>
                          <w:t>0-3500 kg</w:t>
                        </w:r>
                      </w:p>
                    </w:tc>
                    <w:tc>
                      <w:tcPr>
                        <w:tcW w:w="1298" w:type="dxa"/>
                      </w:tcPr>
                      <w:p w14:paraId="07FB1C8E" w14:textId="77777777" w:rsidR="00F65BCA" w:rsidRDefault="00216117">
                        <w:pPr>
                          <w:pStyle w:val="TableParagraph"/>
                          <w:spacing w:before="28"/>
                          <w:ind w:left="513"/>
                          <w:rPr>
                            <w:sz w:val="8"/>
                          </w:rPr>
                        </w:pPr>
                        <w:r>
                          <w:rPr>
                            <w:w w:val="105"/>
                            <w:sz w:val="8"/>
                          </w:rPr>
                          <w:t>13,50%</w:t>
                        </w:r>
                      </w:p>
                    </w:tc>
                    <w:tc>
                      <w:tcPr>
                        <w:tcW w:w="1298" w:type="dxa"/>
                      </w:tcPr>
                      <w:p w14:paraId="478337FF" w14:textId="77777777" w:rsidR="00F65BCA" w:rsidRDefault="00216117">
                        <w:pPr>
                          <w:pStyle w:val="TableParagraph"/>
                          <w:spacing w:before="28"/>
                          <w:ind w:left="492" w:right="471"/>
                          <w:jc w:val="center"/>
                          <w:rPr>
                            <w:sz w:val="8"/>
                          </w:rPr>
                        </w:pPr>
                        <w:r>
                          <w:rPr>
                            <w:w w:val="105"/>
                            <w:sz w:val="8"/>
                          </w:rPr>
                          <w:t>13,50%</w:t>
                        </w:r>
                      </w:p>
                    </w:tc>
                  </w:tr>
                  <w:tr w:rsidR="00F65BCA" w14:paraId="6B007BB7" w14:textId="77777777">
                    <w:trPr>
                      <w:trHeight w:val="146"/>
                    </w:trPr>
                    <w:tc>
                      <w:tcPr>
                        <w:tcW w:w="1836" w:type="dxa"/>
                        <w:vMerge/>
                        <w:tcBorders>
                          <w:top w:val="nil"/>
                        </w:tcBorders>
                        <w:shd w:val="clear" w:color="auto" w:fill="FCE4D6"/>
                      </w:tcPr>
                      <w:p w14:paraId="1EBE83BB" w14:textId="77777777" w:rsidR="00F65BCA" w:rsidRDefault="00F65BCA">
                        <w:pPr>
                          <w:rPr>
                            <w:sz w:val="2"/>
                            <w:szCs w:val="2"/>
                          </w:rPr>
                        </w:pPr>
                      </w:p>
                    </w:tc>
                    <w:tc>
                      <w:tcPr>
                        <w:tcW w:w="986" w:type="dxa"/>
                        <w:shd w:val="clear" w:color="auto" w:fill="FCE4D6"/>
                      </w:tcPr>
                      <w:p w14:paraId="0DD04CBE" w14:textId="77777777" w:rsidR="00F65BCA" w:rsidRDefault="00216117">
                        <w:pPr>
                          <w:pStyle w:val="TableParagraph"/>
                          <w:spacing w:before="28"/>
                          <w:ind w:left="144" w:right="124"/>
                          <w:jc w:val="center"/>
                          <w:rPr>
                            <w:sz w:val="8"/>
                          </w:rPr>
                        </w:pPr>
                        <w:r>
                          <w:rPr>
                            <w:w w:val="105"/>
                            <w:sz w:val="8"/>
                          </w:rPr>
                          <w:t>&gt;3500 kg</w:t>
                        </w:r>
                      </w:p>
                    </w:tc>
                    <w:tc>
                      <w:tcPr>
                        <w:tcW w:w="1298" w:type="dxa"/>
                      </w:tcPr>
                      <w:p w14:paraId="0B1CC428" w14:textId="77777777" w:rsidR="00F65BCA" w:rsidRDefault="00216117">
                        <w:pPr>
                          <w:pStyle w:val="TableParagraph"/>
                          <w:spacing w:before="28"/>
                          <w:ind w:left="513"/>
                          <w:rPr>
                            <w:sz w:val="8"/>
                          </w:rPr>
                        </w:pPr>
                        <w:r>
                          <w:rPr>
                            <w:w w:val="105"/>
                            <w:sz w:val="8"/>
                          </w:rPr>
                          <w:t>15,75%</w:t>
                        </w:r>
                      </w:p>
                    </w:tc>
                    <w:tc>
                      <w:tcPr>
                        <w:tcW w:w="1298" w:type="dxa"/>
                      </w:tcPr>
                      <w:p w14:paraId="699DEFAC" w14:textId="77777777" w:rsidR="00F65BCA" w:rsidRDefault="00216117">
                        <w:pPr>
                          <w:pStyle w:val="TableParagraph"/>
                          <w:spacing w:before="28"/>
                          <w:ind w:left="492" w:right="471"/>
                          <w:jc w:val="center"/>
                          <w:rPr>
                            <w:sz w:val="8"/>
                          </w:rPr>
                        </w:pPr>
                        <w:r>
                          <w:rPr>
                            <w:w w:val="105"/>
                            <w:sz w:val="8"/>
                          </w:rPr>
                          <w:t>15,75%</w:t>
                        </w:r>
                      </w:p>
                    </w:tc>
                  </w:tr>
                  <w:tr w:rsidR="00F65BCA" w14:paraId="71067B63" w14:textId="77777777">
                    <w:trPr>
                      <w:trHeight w:val="146"/>
                    </w:trPr>
                    <w:tc>
                      <w:tcPr>
                        <w:tcW w:w="1836" w:type="dxa"/>
                        <w:vMerge w:val="restart"/>
                        <w:shd w:val="clear" w:color="auto" w:fill="FCE4D6"/>
                      </w:tcPr>
                      <w:p w14:paraId="0C96FA58" w14:textId="77777777" w:rsidR="00F65BCA" w:rsidRDefault="00F65BCA">
                        <w:pPr>
                          <w:pStyle w:val="TableParagraph"/>
                          <w:spacing w:before="7"/>
                          <w:rPr>
                            <w:sz w:val="8"/>
                          </w:rPr>
                        </w:pPr>
                      </w:p>
                      <w:p w14:paraId="170EB3F3" w14:textId="77777777" w:rsidR="00F65BCA" w:rsidRDefault="00216117">
                        <w:pPr>
                          <w:pStyle w:val="TableParagraph"/>
                          <w:spacing w:before="1"/>
                          <w:ind w:left="372" w:right="357"/>
                          <w:jc w:val="center"/>
                          <w:rPr>
                            <w:sz w:val="8"/>
                          </w:rPr>
                        </w:pPr>
                        <w:r>
                          <w:rPr>
                            <w:w w:val="105"/>
                            <w:sz w:val="8"/>
                          </w:rPr>
                          <w:t>trolejbus</w:t>
                        </w:r>
                      </w:p>
                    </w:tc>
                    <w:tc>
                      <w:tcPr>
                        <w:tcW w:w="986" w:type="dxa"/>
                        <w:shd w:val="clear" w:color="auto" w:fill="FCE4D6"/>
                      </w:tcPr>
                      <w:p w14:paraId="2A1A2AAD" w14:textId="77777777" w:rsidR="00F65BCA" w:rsidRDefault="00216117">
                        <w:pPr>
                          <w:pStyle w:val="TableParagraph"/>
                          <w:spacing w:before="28"/>
                          <w:ind w:left="144" w:right="126"/>
                          <w:jc w:val="center"/>
                          <w:rPr>
                            <w:sz w:val="8"/>
                          </w:rPr>
                        </w:pPr>
                        <w:r>
                          <w:rPr>
                            <w:w w:val="105"/>
                            <w:sz w:val="8"/>
                          </w:rPr>
                          <w:t>0-3500 kg</w:t>
                        </w:r>
                      </w:p>
                    </w:tc>
                    <w:tc>
                      <w:tcPr>
                        <w:tcW w:w="1298" w:type="dxa"/>
                      </w:tcPr>
                      <w:p w14:paraId="48E3E791" w14:textId="77777777" w:rsidR="00F65BCA" w:rsidRDefault="00216117">
                        <w:pPr>
                          <w:pStyle w:val="TableParagraph"/>
                          <w:spacing w:before="28"/>
                          <w:ind w:left="513"/>
                          <w:rPr>
                            <w:sz w:val="8"/>
                          </w:rPr>
                        </w:pPr>
                        <w:r>
                          <w:rPr>
                            <w:w w:val="105"/>
                            <w:sz w:val="8"/>
                          </w:rPr>
                          <w:t>13,50%</w:t>
                        </w:r>
                      </w:p>
                    </w:tc>
                    <w:tc>
                      <w:tcPr>
                        <w:tcW w:w="1298" w:type="dxa"/>
                      </w:tcPr>
                      <w:p w14:paraId="6A3792C5" w14:textId="77777777" w:rsidR="00F65BCA" w:rsidRDefault="00216117">
                        <w:pPr>
                          <w:pStyle w:val="TableParagraph"/>
                          <w:spacing w:before="28"/>
                          <w:ind w:left="492" w:right="471"/>
                          <w:jc w:val="center"/>
                          <w:rPr>
                            <w:sz w:val="8"/>
                          </w:rPr>
                        </w:pPr>
                        <w:r>
                          <w:rPr>
                            <w:w w:val="105"/>
                            <w:sz w:val="8"/>
                          </w:rPr>
                          <w:t>13,50%</w:t>
                        </w:r>
                      </w:p>
                    </w:tc>
                  </w:tr>
                  <w:tr w:rsidR="00F65BCA" w14:paraId="28DB443D" w14:textId="77777777">
                    <w:trPr>
                      <w:trHeight w:val="146"/>
                    </w:trPr>
                    <w:tc>
                      <w:tcPr>
                        <w:tcW w:w="1836" w:type="dxa"/>
                        <w:vMerge/>
                        <w:tcBorders>
                          <w:top w:val="nil"/>
                        </w:tcBorders>
                        <w:shd w:val="clear" w:color="auto" w:fill="FCE4D6"/>
                      </w:tcPr>
                      <w:p w14:paraId="20B86D6B" w14:textId="77777777" w:rsidR="00F65BCA" w:rsidRDefault="00F65BCA">
                        <w:pPr>
                          <w:rPr>
                            <w:sz w:val="2"/>
                            <w:szCs w:val="2"/>
                          </w:rPr>
                        </w:pPr>
                      </w:p>
                    </w:tc>
                    <w:tc>
                      <w:tcPr>
                        <w:tcW w:w="986" w:type="dxa"/>
                        <w:shd w:val="clear" w:color="auto" w:fill="FCE4D6"/>
                      </w:tcPr>
                      <w:p w14:paraId="5E4A5D70" w14:textId="77777777" w:rsidR="00F65BCA" w:rsidRDefault="00216117">
                        <w:pPr>
                          <w:pStyle w:val="TableParagraph"/>
                          <w:spacing w:before="28"/>
                          <w:ind w:left="144" w:right="124"/>
                          <w:jc w:val="center"/>
                          <w:rPr>
                            <w:sz w:val="8"/>
                          </w:rPr>
                        </w:pPr>
                        <w:r>
                          <w:rPr>
                            <w:w w:val="105"/>
                            <w:sz w:val="8"/>
                          </w:rPr>
                          <w:t>&gt;3500 kg</w:t>
                        </w:r>
                      </w:p>
                    </w:tc>
                    <w:tc>
                      <w:tcPr>
                        <w:tcW w:w="1298" w:type="dxa"/>
                      </w:tcPr>
                      <w:p w14:paraId="65EF7B09" w14:textId="77777777" w:rsidR="00F65BCA" w:rsidRDefault="00216117">
                        <w:pPr>
                          <w:pStyle w:val="TableParagraph"/>
                          <w:spacing w:before="28"/>
                          <w:ind w:left="513"/>
                          <w:rPr>
                            <w:sz w:val="8"/>
                          </w:rPr>
                        </w:pPr>
                        <w:r>
                          <w:rPr>
                            <w:w w:val="105"/>
                            <w:sz w:val="8"/>
                          </w:rPr>
                          <w:t>15,75%</w:t>
                        </w:r>
                      </w:p>
                    </w:tc>
                    <w:tc>
                      <w:tcPr>
                        <w:tcW w:w="1298" w:type="dxa"/>
                      </w:tcPr>
                      <w:p w14:paraId="2F4FF0F2" w14:textId="77777777" w:rsidR="00F65BCA" w:rsidRDefault="00216117">
                        <w:pPr>
                          <w:pStyle w:val="TableParagraph"/>
                          <w:spacing w:before="28"/>
                          <w:ind w:left="492" w:right="471"/>
                          <w:jc w:val="center"/>
                          <w:rPr>
                            <w:sz w:val="8"/>
                          </w:rPr>
                        </w:pPr>
                        <w:r>
                          <w:rPr>
                            <w:w w:val="105"/>
                            <w:sz w:val="8"/>
                          </w:rPr>
                          <w:t>15,75%</w:t>
                        </w:r>
                      </w:p>
                    </w:tc>
                  </w:tr>
                  <w:tr w:rsidR="00F65BCA" w14:paraId="01027CA1" w14:textId="77777777">
                    <w:trPr>
                      <w:trHeight w:val="146"/>
                    </w:trPr>
                    <w:tc>
                      <w:tcPr>
                        <w:tcW w:w="1836" w:type="dxa"/>
                        <w:vMerge w:val="restart"/>
                        <w:shd w:val="clear" w:color="auto" w:fill="FCE4D6"/>
                      </w:tcPr>
                      <w:p w14:paraId="7ED5A735" w14:textId="77777777" w:rsidR="00F65BCA" w:rsidRDefault="00F65BCA">
                        <w:pPr>
                          <w:pStyle w:val="TableParagraph"/>
                          <w:spacing w:before="7"/>
                          <w:rPr>
                            <w:sz w:val="8"/>
                          </w:rPr>
                        </w:pPr>
                      </w:p>
                      <w:p w14:paraId="657C8E4B" w14:textId="77777777" w:rsidR="00F65BCA" w:rsidRDefault="00216117">
                        <w:pPr>
                          <w:pStyle w:val="TableParagraph"/>
                          <w:spacing w:before="1"/>
                          <w:ind w:left="372" w:right="357"/>
                          <w:jc w:val="center"/>
                          <w:rPr>
                            <w:sz w:val="8"/>
                          </w:rPr>
                        </w:pPr>
                        <w:r>
                          <w:rPr>
                            <w:w w:val="105"/>
                            <w:sz w:val="8"/>
                          </w:rPr>
                          <w:t>traktor</w:t>
                        </w:r>
                      </w:p>
                    </w:tc>
                    <w:tc>
                      <w:tcPr>
                        <w:tcW w:w="986" w:type="dxa"/>
                        <w:shd w:val="clear" w:color="auto" w:fill="FCE4D6"/>
                      </w:tcPr>
                      <w:p w14:paraId="766BBEC4" w14:textId="77777777" w:rsidR="00F65BCA" w:rsidRDefault="00216117">
                        <w:pPr>
                          <w:pStyle w:val="TableParagraph"/>
                          <w:spacing w:before="28"/>
                          <w:ind w:left="144" w:right="126"/>
                          <w:jc w:val="center"/>
                          <w:rPr>
                            <w:sz w:val="8"/>
                          </w:rPr>
                        </w:pPr>
                        <w:r>
                          <w:rPr>
                            <w:w w:val="105"/>
                            <w:sz w:val="8"/>
                          </w:rPr>
                          <w:t>0-3500 kg</w:t>
                        </w:r>
                      </w:p>
                    </w:tc>
                    <w:tc>
                      <w:tcPr>
                        <w:tcW w:w="1298" w:type="dxa"/>
                      </w:tcPr>
                      <w:p w14:paraId="1E825825" w14:textId="77777777" w:rsidR="00F65BCA" w:rsidRDefault="00216117">
                        <w:pPr>
                          <w:pStyle w:val="TableParagraph"/>
                          <w:spacing w:before="28"/>
                          <w:ind w:left="535"/>
                          <w:rPr>
                            <w:sz w:val="8"/>
                          </w:rPr>
                        </w:pPr>
                        <w:r>
                          <w:rPr>
                            <w:w w:val="105"/>
                            <w:sz w:val="8"/>
                          </w:rPr>
                          <w:t>6,75%</w:t>
                        </w:r>
                      </w:p>
                    </w:tc>
                    <w:tc>
                      <w:tcPr>
                        <w:tcW w:w="1298" w:type="dxa"/>
                      </w:tcPr>
                      <w:p w14:paraId="097C4F7F" w14:textId="77777777" w:rsidR="00F65BCA" w:rsidRDefault="00216117">
                        <w:pPr>
                          <w:pStyle w:val="TableParagraph"/>
                          <w:spacing w:before="28"/>
                          <w:ind w:left="490" w:right="471"/>
                          <w:jc w:val="center"/>
                          <w:rPr>
                            <w:sz w:val="8"/>
                          </w:rPr>
                        </w:pPr>
                        <w:r>
                          <w:rPr>
                            <w:w w:val="105"/>
                            <w:sz w:val="8"/>
                          </w:rPr>
                          <w:t>6,75%</w:t>
                        </w:r>
                      </w:p>
                    </w:tc>
                  </w:tr>
                  <w:tr w:rsidR="00F65BCA" w14:paraId="6C55D120" w14:textId="77777777">
                    <w:trPr>
                      <w:trHeight w:val="146"/>
                    </w:trPr>
                    <w:tc>
                      <w:tcPr>
                        <w:tcW w:w="1836" w:type="dxa"/>
                        <w:vMerge/>
                        <w:tcBorders>
                          <w:top w:val="nil"/>
                        </w:tcBorders>
                        <w:shd w:val="clear" w:color="auto" w:fill="FCE4D6"/>
                      </w:tcPr>
                      <w:p w14:paraId="5773D686" w14:textId="77777777" w:rsidR="00F65BCA" w:rsidRDefault="00F65BCA">
                        <w:pPr>
                          <w:rPr>
                            <w:sz w:val="2"/>
                            <w:szCs w:val="2"/>
                          </w:rPr>
                        </w:pPr>
                      </w:p>
                    </w:tc>
                    <w:tc>
                      <w:tcPr>
                        <w:tcW w:w="986" w:type="dxa"/>
                        <w:shd w:val="clear" w:color="auto" w:fill="FCE4D6"/>
                      </w:tcPr>
                      <w:p w14:paraId="11F9A8B4" w14:textId="77777777" w:rsidR="00F65BCA" w:rsidRDefault="00216117">
                        <w:pPr>
                          <w:pStyle w:val="TableParagraph"/>
                          <w:spacing w:before="28"/>
                          <w:ind w:left="144" w:right="124"/>
                          <w:jc w:val="center"/>
                          <w:rPr>
                            <w:sz w:val="8"/>
                          </w:rPr>
                        </w:pPr>
                        <w:r>
                          <w:rPr>
                            <w:w w:val="105"/>
                            <w:sz w:val="8"/>
                          </w:rPr>
                          <w:t>&gt;3500 kg</w:t>
                        </w:r>
                      </w:p>
                    </w:tc>
                    <w:tc>
                      <w:tcPr>
                        <w:tcW w:w="1298" w:type="dxa"/>
                      </w:tcPr>
                      <w:p w14:paraId="31C9AE0D" w14:textId="77777777" w:rsidR="00F65BCA" w:rsidRDefault="00216117">
                        <w:pPr>
                          <w:pStyle w:val="TableParagraph"/>
                          <w:spacing w:before="28"/>
                          <w:ind w:left="535"/>
                          <w:rPr>
                            <w:sz w:val="8"/>
                          </w:rPr>
                        </w:pPr>
                        <w:r>
                          <w:rPr>
                            <w:w w:val="105"/>
                            <w:sz w:val="8"/>
                          </w:rPr>
                          <w:t>9,00%</w:t>
                        </w:r>
                      </w:p>
                    </w:tc>
                    <w:tc>
                      <w:tcPr>
                        <w:tcW w:w="1298" w:type="dxa"/>
                      </w:tcPr>
                      <w:p w14:paraId="2126E617" w14:textId="77777777" w:rsidR="00F65BCA" w:rsidRDefault="00216117">
                        <w:pPr>
                          <w:pStyle w:val="TableParagraph"/>
                          <w:spacing w:before="28"/>
                          <w:ind w:left="490" w:right="471"/>
                          <w:jc w:val="center"/>
                          <w:rPr>
                            <w:sz w:val="8"/>
                          </w:rPr>
                        </w:pPr>
                        <w:r>
                          <w:rPr>
                            <w:w w:val="105"/>
                            <w:sz w:val="8"/>
                          </w:rPr>
                          <w:t>9,00%</w:t>
                        </w:r>
                      </w:p>
                    </w:tc>
                  </w:tr>
                  <w:tr w:rsidR="00F65BCA" w14:paraId="0F49FBF6" w14:textId="77777777">
                    <w:trPr>
                      <w:trHeight w:val="146"/>
                    </w:trPr>
                    <w:tc>
                      <w:tcPr>
                        <w:tcW w:w="1836" w:type="dxa"/>
                        <w:vMerge w:val="restart"/>
                        <w:shd w:val="clear" w:color="auto" w:fill="FCE4D6"/>
                      </w:tcPr>
                      <w:p w14:paraId="3344B17C" w14:textId="77777777" w:rsidR="00F65BCA" w:rsidRDefault="00F65BCA">
                        <w:pPr>
                          <w:pStyle w:val="TableParagraph"/>
                          <w:spacing w:before="7"/>
                          <w:rPr>
                            <w:sz w:val="8"/>
                          </w:rPr>
                        </w:pPr>
                      </w:p>
                      <w:p w14:paraId="6D59BB6F" w14:textId="77777777" w:rsidR="00F65BCA" w:rsidRDefault="00216117">
                        <w:pPr>
                          <w:pStyle w:val="TableParagraph"/>
                          <w:spacing w:before="1"/>
                          <w:ind w:left="400"/>
                          <w:rPr>
                            <w:sz w:val="8"/>
                          </w:rPr>
                        </w:pPr>
                        <w:r>
                          <w:rPr>
                            <w:w w:val="105"/>
                            <w:sz w:val="8"/>
                          </w:rPr>
                          <w:t>motorový vozík (malotraktor)</w:t>
                        </w:r>
                      </w:p>
                    </w:tc>
                    <w:tc>
                      <w:tcPr>
                        <w:tcW w:w="986" w:type="dxa"/>
                        <w:shd w:val="clear" w:color="auto" w:fill="FCE4D6"/>
                      </w:tcPr>
                      <w:p w14:paraId="267885EA" w14:textId="77777777" w:rsidR="00F65BCA" w:rsidRDefault="00216117">
                        <w:pPr>
                          <w:pStyle w:val="TableParagraph"/>
                          <w:spacing w:before="28"/>
                          <w:ind w:left="144" w:right="126"/>
                          <w:jc w:val="center"/>
                          <w:rPr>
                            <w:sz w:val="8"/>
                          </w:rPr>
                        </w:pPr>
                        <w:r>
                          <w:rPr>
                            <w:w w:val="105"/>
                            <w:sz w:val="8"/>
                          </w:rPr>
                          <w:t>0-3500 kg</w:t>
                        </w:r>
                      </w:p>
                    </w:tc>
                    <w:tc>
                      <w:tcPr>
                        <w:tcW w:w="1298" w:type="dxa"/>
                      </w:tcPr>
                      <w:p w14:paraId="78B62DC2" w14:textId="77777777" w:rsidR="00F65BCA" w:rsidRDefault="00216117">
                        <w:pPr>
                          <w:pStyle w:val="TableParagraph"/>
                          <w:spacing w:before="28"/>
                          <w:ind w:left="535"/>
                          <w:rPr>
                            <w:sz w:val="8"/>
                          </w:rPr>
                        </w:pPr>
                        <w:r>
                          <w:rPr>
                            <w:w w:val="105"/>
                            <w:sz w:val="8"/>
                          </w:rPr>
                          <w:t>6,75%</w:t>
                        </w:r>
                      </w:p>
                    </w:tc>
                    <w:tc>
                      <w:tcPr>
                        <w:tcW w:w="1298" w:type="dxa"/>
                      </w:tcPr>
                      <w:p w14:paraId="00065DD2" w14:textId="77777777" w:rsidR="00F65BCA" w:rsidRDefault="00216117">
                        <w:pPr>
                          <w:pStyle w:val="TableParagraph"/>
                          <w:spacing w:before="28"/>
                          <w:ind w:left="490" w:right="471"/>
                          <w:jc w:val="center"/>
                          <w:rPr>
                            <w:sz w:val="8"/>
                          </w:rPr>
                        </w:pPr>
                        <w:r>
                          <w:rPr>
                            <w:w w:val="105"/>
                            <w:sz w:val="8"/>
                          </w:rPr>
                          <w:t>6,75%</w:t>
                        </w:r>
                      </w:p>
                    </w:tc>
                  </w:tr>
                  <w:tr w:rsidR="00F65BCA" w14:paraId="79A713F4" w14:textId="77777777">
                    <w:trPr>
                      <w:trHeight w:val="146"/>
                    </w:trPr>
                    <w:tc>
                      <w:tcPr>
                        <w:tcW w:w="1836" w:type="dxa"/>
                        <w:vMerge/>
                        <w:tcBorders>
                          <w:top w:val="nil"/>
                        </w:tcBorders>
                        <w:shd w:val="clear" w:color="auto" w:fill="FCE4D6"/>
                      </w:tcPr>
                      <w:p w14:paraId="2453C877" w14:textId="77777777" w:rsidR="00F65BCA" w:rsidRDefault="00F65BCA">
                        <w:pPr>
                          <w:rPr>
                            <w:sz w:val="2"/>
                            <w:szCs w:val="2"/>
                          </w:rPr>
                        </w:pPr>
                      </w:p>
                    </w:tc>
                    <w:tc>
                      <w:tcPr>
                        <w:tcW w:w="986" w:type="dxa"/>
                        <w:shd w:val="clear" w:color="auto" w:fill="FCE4D6"/>
                      </w:tcPr>
                      <w:p w14:paraId="3D3E31ED" w14:textId="77777777" w:rsidR="00F65BCA" w:rsidRDefault="00216117">
                        <w:pPr>
                          <w:pStyle w:val="TableParagraph"/>
                          <w:spacing w:before="28"/>
                          <w:ind w:left="144" w:right="124"/>
                          <w:jc w:val="center"/>
                          <w:rPr>
                            <w:sz w:val="8"/>
                          </w:rPr>
                        </w:pPr>
                        <w:r>
                          <w:rPr>
                            <w:w w:val="105"/>
                            <w:sz w:val="8"/>
                          </w:rPr>
                          <w:t>&gt;3500 kg</w:t>
                        </w:r>
                      </w:p>
                    </w:tc>
                    <w:tc>
                      <w:tcPr>
                        <w:tcW w:w="1298" w:type="dxa"/>
                      </w:tcPr>
                      <w:p w14:paraId="160E174F" w14:textId="77777777" w:rsidR="00F65BCA" w:rsidRDefault="00216117">
                        <w:pPr>
                          <w:pStyle w:val="TableParagraph"/>
                          <w:spacing w:before="28"/>
                          <w:ind w:left="535"/>
                          <w:rPr>
                            <w:sz w:val="8"/>
                          </w:rPr>
                        </w:pPr>
                        <w:r>
                          <w:rPr>
                            <w:w w:val="105"/>
                            <w:sz w:val="8"/>
                          </w:rPr>
                          <w:t>9,00%</w:t>
                        </w:r>
                      </w:p>
                    </w:tc>
                    <w:tc>
                      <w:tcPr>
                        <w:tcW w:w="1298" w:type="dxa"/>
                      </w:tcPr>
                      <w:p w14:paraId="35A0ECBE" w14:textId="77777777" w:rsidR="00F65BCA" w:rsidRDefault="00216117">
                        <w:pPr>
                          <w:pStyle w:val="TableParagraph"/>
                          <w:spacing w:before="28"/>
                          <w:ind w:left="490" w:right="471"/>
                          <w:jc w:val="center"/>
                          <w:rPr>
                            <w:sz w:val="8"/>
                          </w:rPr>
                        </w:pPr>
                        <w:r>
                          <w:rPr>
                            <w:w w:val="105"/>
                            <w:sz w:val="8"/>
                          </w:rPr>
                          <w:t>9,00%</w:t>
                        </w:r>
                      </w:p>
                    </w:tc>
                  </w:tr>
                  <w:tr w:rsidR="00F65BCA" w14:paraId="5CCCC511" w14:textId="77777777">
                    <w:trPr>
                      <w:trHeight w:val="146"/>
                    </w:trPr>
                    <w:tc>
                      <w:tcPr>
                        <w:tcW w:w="1836" w:type="dxa"/>
                        <w:vMerge w:val="restart"/>
                        <w:shd w:val="clear" w:color="auto" w:fill="FCE4D6"/>
                      </w:tcPr>
                      <w:p w14:paraId="19B57D2A" w14:textId="77777777" w:rsidR="00F65BCA" w:rsidRDefault="00F65BCA">
                        <w:pPr>
                          <w:pStyle w:val="TableParagraph"/>
                          <w:spacing w:before="7"/>
                          <w:rPr>
                            <w:sz w:val="8"/>
                          </w:rPr>
                        </w:pPr>
                      </w:p>
                      <w:p w14:paraId="628F821B" w14:textId="77777777" w:rsidR="00F65BCA" w:rsidRDefault="00216117">
                        <w:pPr>
                          <w:pStyle w:val="TableParagraph"/>
                          <w:spacing w:before="1"/>
                          <w:ind w:left="450"/>
                          <w:rPr>
                            <w:sz w:val="8"/>
                          </w:rPr>
                        </w:pPr>
                        <w:r>
                          <w:rPr>
                            <w:w w:val="105"/>
                            <w:sz w:val="8"/>
                          </w:rPr>
                          <w:t>pracovní stroj samojízdný</w:t>
                        </w:r>
                      </w:p>
                    </w:tc>
                    <w:tc>
                      <w:tcPr>
                        <w:tcW w:w="986" w:type="dxa"/>
                        <w:shd w:val="clear" w:color="auto" w:fill="FCE4D6"/>
                      </w:tcPr>
                      <w:p w14:paraId="367F3B72" w14:textId="77777777" w:rsidR="00F65BCA" w:rsidRDefault="00216117">
                        <w:pPr>
                          <w:pStyle w:val="TableParagraph"/>
                          <w:spacing w:before="28"/>
                          <w:ind w:left="144" w:right="126"/>
                          <w:jc w:val="center"/>
                          <w:rPr>
                            <w:sz w:val="8"/>
                          </w:rPr>
                        </w:pPr>
                        <w:r>
                          <w:rPr>
                            <w:w w:val="105"/>
                            <w:sz w:val="8"/>
                          </w:rPr>
                          <w:t>0-3500 kg</w:t>
                        </w:r>
                      </w:p>
                    </w:tc>
                    <w:tc>
                      <w:tcPr>
                        <w:tcW w:w="1298" w:type="dxa"/>
                      </w:tcPr>
                      <w:p w14:paraId="4A1864FF" w14:textId="77777777" w:rsidR="00F65BCA" w:rsidRDefault="00216117">
                        <w:pPr>
                          <w:pStyle w:val="TableParagraph"/>
                          <w:spacing w:before="28"/>
                          <w:ind w:left="535"/>
                          <w:rPr>
                            <w:sz w:val="8"/>
                          </w:rPr>
                        </w:pPr>
                        <w:r>
                          <w:rPr>
                            <w:w w:val="105"/>
                            <w:sz w:val="8"/>
                          </w:rPr>
                          <w:t>6,75%</w:t>
                        </w:r>
                      </w:p>
                    </w:tc>
                    <w:tc>
                      <w:tcPr>
                        <w:tcW w:w="1298" w:type="dxa"/>
                      </w:tcPr>
                      <w:p w14:paraId="24E769A6" w14:textId="77777777" w:rsidR="00F65BCA" w:rsidRDefault="00216117">
                        <w:pPr>
                          <w:pStyle w:val="TableParagraph"/>
                          <w:spacing w:before="28"/>
                          <w:ind w:left="490" w:right="471"/>
                          <w:jc w:val="center"/>
                          <w:rPr>
                            <w:sz w:val="8"/>
                          </w:rPr>
                        </w:pPr>
                        <w:r>
                          <w:rPr>
                            <w:w w:val="105"/>
                            <w:sz w:val="8"/>
                          </w:rPr>
                          <w:t>6,75%</w:t>
                        </w:r>
                      </w:p>
                    </w:tc>
                  </w:tr>
                  <w:tr w:rsidR="00F65BCA" w14:paraId="6008C2D1" w14:textId="77777777">
                    <w:trPr>
                      <w:trHeight w:val="146"/>
                    </w:trPr>
                    <w:tc>
                      <w:tcPr>
                        <w:tcW w:w="1836" w:type="dxa"/>
                        <w:vMerge/>
                        <w:tcBorders>
                          <w:top w:val="nil"/>
                        </w:tcBorders>
                        <w:shd w:val="clear" w:color="auto" w:fill="FCE4D6"/>
                      </w:tcPr>
                      <w:p w14:paraId="36B10D1F" w14:textId="77777777" w:rsidR="00F65BCA" w:rsidRDefault="00F65BCA">
                        <w:pPr>
                          <w:rPr>
                            <w:sz w:val="2"/>
                            <w:szCs w:val="2"/>
                          </w:rPr>
                        </w:pPr>
                      </w:p>
                    </w:tc>
                    <w:tc>
                      <w:tcPr>
                        <w:tcW w:w="986" w:type="dxa"/>
                        <w:shd w:val="clear" w:color="auto" w:fill="FCE4D6"/>
                      </w:tcPr>
                      <w:p w14:paraId="41511FF9" w14:textId="77777777" w:rsidR="00F65BCA" w:rsidRDefault="00216117">
                        <w:pPr>
                          <w:pStyle w:val="TableParagraph"/>
                          <w:spacing w:before="28"/>
                          <w:ind w:left="144" w:right="124"/>
                          <w:jc w:val="center"/>
                          <w:rPr>
                            <w:sz w:val="8"/>
                          </w:rPr>
                        </w:pPr>
                        <w:r>
                          <w:rPr>
                            <w:w w:val="105"/>
                            <w:sz w:val="8"/>
                          </w:rPr>
                          <w:t>&gt;3500 kg</w:t>
                        </w:r>
                      </w:p>
                    </w:tc>
                    <w:tc>
                      <w:tcPr>
                        <w:tcW w:w="1298" w:type="dxa"/>
                      </w:tcPr>
                      <w:p w14:paraId="604478C2" w14:textId="77777777" w:rsidR="00F65BCA" w:rsidRDefault="00216117">
                        <w:pPr>
                          <w:pStyle w:val="TableParagraph"/>
                          <w:spacing w:before="28"/>
                          <w:ind w:left="535"/>
                          <w:rPr>
                            <w:sz w:val="8"/>
                          </w:rPr>
                        </w:pPr>
                        <w:r>
                          <w:rPr>
                            <w:w w:val="105"/>
                            <w:sz w:val="8"/>
                          </w:rPr>
                          <w:t>9,00%</w:t>
                        </w:r>
                      </w:p>
                    </w:tc>
                    <w:tc>
                      <w:tcPr>
                        <w:tcW w:w="1298" w:type="dxa"/>
                      </w:tcPr>
                      <w:p w14:paraId="3DD99A7F" w14:textId="77777777" w:rsidR="00F65BCA" w:rsidRDefault="00216117">
                        <w:pPr>
                          <w:pStyle w:val="TableParagraph"/>
                          <w:spacing w:before="28"/>
                          <w:ind w:left="490" w:right="471"/>
                          <w:jc w:val="center"/>
                          <w:rPr>
                            <w:sz w:val="8"/>
                          </w:rPr>
                        </w:pPr>
                        <w:r>
                          <w:rPr>
                            <w:w w:val="105"/>
                            <w:sz w:val="8"/>
                          </w:rPr>
                          <w:t>9,00%</w:t>
                        </w:r>
                      </w:p>
                    </w:tc>
                  </w:tr>
                  <w:tr w:rsidR="00F65BCA" w14:paraId="783CF849" w14:textId="77777777">
                    <w:trPr>
                      <w:trHeight w:val="146"/>
                    </w:trPr>
                    <w:tc>
                      <w:tcPr>
                        <w:tcW w:w="1836" w:type="dxa"/>
                        <w:vMerge w:val="restart"/>
                        <w:shd w:val="clear" w:color="auto" w:fill="FCE4D6"/>
                      </w:tcPr>
                      <w:p w14:paraId="4B26AD1B" w14:textId="77777777" w:rsidR="00F65BCA" w:rsidRDefault="00F65BCA">
                        <w:pPr>
                          <w:pStyle w:val="TableParagraph"/>
                          <w:spacing w:before="7"/>
                          <w:rPr>
                            <w:sz w:val="8"/>
                          </w:rPr>
                        </w:pPr>
                      </w:p>
                      <w:p w14:paraId="25CBD534" w14:textId="77777777" w:rsidR="00F65BCA" w:rsidRDefault="00216117">
                        <w:pPr>
                          <w:pStyle w:val="TableParagraph"/>
                          <w:spacing w:before="1"/>
                          <w:ind w:left="373" w:right="352"/>
                          <w:jc w:val="center"/>
                          <w:rPr>
                            <w:sz w:val="8"/>
                          </w:rPr>
                        </w:pPr>
                        <w:r>
                          <w:rPr>
                            <w:w w:val="105"/>
                            <w:sz w:val="8"/>
                          </w:rPr>
                          <w:t>motocykl</w:t>
                        </w:r>
                      </w:p>
                    </w:tc>
                    <w:tc>
                      <w:tcPr>
                        <w:tcW w:w="986" w:type="dxa"/>
                        <w:shd w:val="clear" w:color="auto" w:fill="FCE4D6"/>
                      </w:tcPr>
                      <w:p w14:paraId="17BEF10D" w14:textId="77777777" w:rsidR="00F65BCA" w:rsidRDefault="00216117">
                        <w:pPr>
                          <w:pStyle w:val="TableParagraph"/>
                          <w:spacing w:before="28"/>
                          <w:ind w:left="144" w:right="126"/>
                          <w:jc w:val="center"/>
                          <w:rPr>
                            <w:sz w:val="8"/>
                          </w:rPr>
                        </w:pPr>
                        <w:r>
                          <w:rPr>
                            <w:w w:val="105"/>
                            <w:sz w:val="8"/>
                          </w:rPr>
                          <w:t>0-3500 kg</w:t>
                        </w:r>
                      </w:p>
                    </w:tc>
                    <w:tc>
                      <w:tcPr>
                        <w:tcW w:w="1298" w:type="dxa"/>
                      </w:tcPr>
                      <w:p w14:paraId="13324C4D" w14:textId="77777777" w:rsidR="00F65BCA" w:rsidRDefault="00216117">
                        <w:pPr>
                          <w:pStyle w:val="TableParagraph"/>
                          <w:spacing w:before="28"/>
                          <w:ind w:left="535"/>
                          <w:rPr>
                            <w:sz w:val="8"/>
                          </w:rPr>
                        </w:pPr>
                        <w:r>
                          <w:rPr>
                            <w:w w:val="105"/>
                            <w:sz w:val="8"/>
                          </w:rPr>
                          <w:t>6,75%</w:t>
                        </w:r>
                      </w:p>
                    </w:tc>
                    <w:tc>
                      <w:tcPr>
                        <w:tcW w:w="1298" w:type="dxa"/>
                      </w:tcPr>
                      <w:p w14:paraId="0BA5F1E1" w14:textId="77777777" w:rsidR="00F65BCA" w:rsidRDefault="00216117">
                        <w:pPr>
                          <w:pStyle w:val="TableParagraph"/>
                          <w:spacing w:before="28"/>
                          <w:ind w:left="490" w:right="471"/>
                          <w:jc w:val="center"/>
                          <w:rPr>
                            <w:sz w:val="8"/>
                          </w:rPr>
                        </w:pPr>
                        <w:r>
                          <w:rPr>
                            <w:w w:val="105"/>
                            <w:sz w:val="8"/>
                          </w:rPr>
                          <w:t>6,75%</w:t>
                        </w:r>
                      </w:p>
                    </w:tc>
                  </w:tr>
                  <w:tr w:rsidR="00F65BCA" w14:paraId="6C3076D9" w14:textId="77777777">
                    <w:trPr>
                      <w:trHeight w:val="146"/>
                    </w:trPr>
                    <w:tc>
                      <w:tcPr>
                        <w:tcW w:w="1836" w:type="dxa"/>
                        <w:vMerge/>
                        <w:tcBorders>
                          <w:top w:val="nil"/>
                        </w:tcBorders>
                        <w:shd w:val="clear" w:color="auto" w:fill="FCE4D6"/>
                      </w:tcPr>
                      <w:p w14:paraId="560E0786" w14:textId="77777777" w:rsidR="00F65BCA" w:rsidRDefault="00F65BCA">
                        <w:pPr>
                          <w:rPr>
                            <w:sz w:val="2"/>
                            <w:szCs w:val="2"/>
                          </w:rPr>
                        </w:pPr>
                      </w:p>
                    </w:tc>
                    <w:tc>
                      <w:tcPr>
                        <w:tcW w:w="986" w:type="dxa"/>
                        <w:shd w:val="clear" w:color="auto" w:fill="FCE4D6"/>
                      </w:tcPr>
                      <w:p w14:paraId="73437505" w14:textId="77777777" w:rsidR="00F65BCA" w:rsidRDefault="00216117">
                        <w:pPr>
                          <w:pStyle w:val="TableParagraph"/>
                          <w:spacing w:before="28"/>
                          <w:ind w:left="144" w:right="124"/>
                          <w:jc w:val="center"/>
                          <w:rPr>
                            <w:sz w:val="8"/>
                          </w:rPr>
                        </w:pPr>
                        <w:r>
                          <w:rPr>
                            <w:w w:val="105"/>
                            <w:sz w:val="8"/>
                          </w:rPr>
                          <w:t>&gt;3500 kg</w:t>
                        </w:r>
                      </w:p>
                    </w:tc>
                    <w:tc>
                      <w:tcPr>
                        <w:tcW w:w="1298" w:type="dxa"/>
                      </w:tcPr>
                      <w:p w14:paraId="7DED3CBF" w14:textId="77777777" w:rsidR="00F65BCA" w:rsidRDefault="00216117">
                        <w:pPr>
                          <w:pStyle w:val="TableParagraph"/>
                          <w:spacing w:before="28"/>
                          <w:ind w:left="535"/>
                          <w:rPr>
                            <w:sz w:val="8"/>
                          </w:rPr>
                        </w:pPr>
                        <w:r>
                          <w:rPr>
                            <w:w w:val="105"/>
                            <w:sz w:val="8"/>
                          </w:rPr>
                          <w:t>9,00%</w:t>
                        </w:r>
                      </w:p>
                    </w:tc>
                    <w:tc>
                      <w:tcPr>
                        <w:tcW w:w="1298" w:type="dxa"/>
                      </w:tcPr>
                      <w:p w14:paraId="11405603" w14:textId="77777777" w:rsidR="00F65BCA" w:rsidRDefault="00216117">
                        <w:pPr>
                          <w:pStyle w:val="TableParagraph"/>
                          <w:spacing w:before="28"/>
                          <w:ind w:left="490" w:right="471"/>
                          <w:jc w:val="center"/>
                          <w:rPr>
                            <w:sz w:val="8"/>
                          </w:rPr>
                        </w:pPr>
                        <w:r>
                          <w:rPr>
                            <w:w w:val="105"/>
                            <w:sz w:val="8"/>
                          </w:rPr>
                          <w:t>9,00%</w:t>
                        </w:r>
                      </w:p>
                    </w:tc>
                  </w:tr>
                  <w:tr w:rsidR="00F65BCA" w14:paraId="132D529E" w14:textId="77777777">
                    <w:trPr>
                      <w:trHeight w:val="146"/>
                    </w:trPr>
                    <w:tc>
                      <w:tcPr>
                        <w:tcW w:w="1836" w:type="dxa"/>
                        <w:vMerge w:val="restart"/>
                        <w:shd w:val="clear" w:color="auto" w:fill="FCE4D6"/>
                      </w:tcPr>
                      <w:p w14:paraId="1A4C40CB" w14:textId="77777777" w:rsidR="00F65BCA" w:rsidRDefault="00F65BCA">
                        <w:pPr>
                          <w:pStyle w:val="TableParagraph"/>
                          <w:spacing w:before="7"/>
                          <w:rPr>
                            <w:sz w:val="8"/>
                          </w:rPr>
                        </w:pPr>
                      </w:p>
                      <w:p w14:paraId="7A5E7D31" w14:textId="77777777" w:rsidR="00F65BCA" w:rsidRDefault="00216117">
                        <w:pPr>
                          <w:pStyle w:val="TableParagraph"/>
                          <w:spacing w:before="1"/>
                          <w:ind w:left="582"/>
                          <w:rPr>
                            <w:sz w:val="8"/>
                          </w:rPr>
                        </w:pPr>
                        <w:r>
                          <w:rPr>
                            <w:w w:val="105"/>
                            <w:sz w:val="8"/>
                          </w:rPr>
                          <w:t>tříkolky a čtyřkolky</w:t>
                        </w:r>
                      </w:p>
                    </w:tc>
                    <w:tc>
                      <w:tcPr>
                        <w:tcW w:w="986" w:type="dxa"/>
                        <w:shd w:val="clear" w:color="auto" w:fill="FCE4D6"/>
                      </w:tcPr>
                      <w:p w14:paraId="15F5ABA7" w14:textId="77777777" w:rsidR="00F65BCA" w:rsidRDefault="00216117">
                        <w:pPr>
                          <w:pStyle w:val="TableParagraph"/>
                          <w:spacing w:before="28"/>
                          <w:ind w:left="144" w:right="126"/>
                          <w:jc w:val="center"/>
                          <w:rPr>
                            <w:sz w:val="8"/>
                          </w:rPr>
                        </w:pPr>
                        <w:r>
                          <w:rPr>
                            <w:w w:val="105"/>
                            <w:sz w:val="8"/>
                          </w:rPr>
                          <w:t>0-3500 kg</w:t>
                        </w:r>
                      </w:p>
                    </w:tc>
                    <w:tc>
                      <w:tcPr>
                        <w:tcW w:w="1298" w:type="dxa"/>
                      </w:tcPr>
                      <w:p w14:paraId="0CC6DA0C" w14:textId="77777777" w:rsidR="00F65BCA" w:rsidRDefault="00216117">
                        <w:pPr>
                          <w:pStyle w:val="TableParagraph"/>
                          <w:spacing w:before="28"/>
                          <w:ind w:left="535"/>
                          <w:rPr>
                            <w:sz w:val="8"/>
                          </w:rPr>
                        </w:pPr>
                        <w:r>
                          <w:rPr>
                            <w:w w:val="105"/>
                            <w:sz w:val="8"/>
                          </w:rPr>
                          <w:t>6,75%</w:t>
                        </w:r>
                      </w:p>
                    </w:tc>
                    <w:tc>
                      <w:tcPr>
                        <w:tcW w:w="1298" w:type="dxa"/>
                      </w:tcPr>
                      <w:p w14:paraId="43A7B090" w14:textId="77777777" w:rsidR="00F65BCA" w:rsidRDefault="00216117">
                        <w:pPr>
                          <w:pStyle w:val="TableParagraph"/>
                          <w:spacing w:before="28"/>
                          <w:ind w:left="490" w:right="471"/>
                          <w:jc w:val="center"/>
                          <w:rPr>
                            <w:sz w:val="8"/>
                          </w:rPr>
                        </w:pPr>
                        <w:r>
                          <w:rPr>
                            <w:w w:val="105"/>
                            <w:sz w:val="8"/>
                          </w:rPr>
                          <w:t>6,75%</w:t>
                        </w:r>
                      </w:p>
                    </w:tc>
                  </w:tr>
                  <w:tr w:rsidR="00F65BCA" w14:paraId="477E8385" w14:textId="77777777">
                    <w:trPr>
                      <w:trHeight w:val="146"/>
                    </w:trPr>
                    <w:tc>
                      <w:tcPr>
                        <w:tcW w:w="1836" w:type="dxa"/>
                        <w:vMerge/>
                        <w:tcBorders>
                          <w:top w:val="nil"/>
                        </w:tcBorders>
                        <w:shd w:val="clear" w:color="auto" w:fill="FCE4D6"/>
                      </w:tcPr>
                      <w:p w14:paraId="4CC723C1" w14:textId="77777777" w:rsidR="00F65BCA" w:rsidRDefault="00F65BCA">
                        <w:pPr>
                          <w:rPr>
                            <w:sz w:val="2"/>
                            <w:szCs w:val="2"/>
                          </w:rPr>
                        </w:pPr>
                      </w:p>
                    </w:tc>
                    <w:tc>
                      <w:tcPr>
                        <w:tcW w:w="986" w:type="dxa"/>
                        <w:shd w:val="clear" w:color="auto" w:fill="FCE4D6"/>
                      </w:tcPr>
                      <w:p w14:paraId="0EB39156" w14:textId="77777777" w:rsidR="00F65BCA" w:rsidRDefault="00216117">
                        <w:pPr>
                          <w:pStyle w:val="TableParagraph"/>
                          <w:spacing w:before="28"/>
                          <w:ind w:left="144" w:right="124"/>
                          <w:jc w:val="center"/>
                          <w:rPr>
                            <w:sz w:val="8"/>
                          </w:rPr>
                        </w:pPr>
                        <w:r>
                          <w:rPr>
                            <w:w w:val="105"/>
                            <w:sz w:val="8"/>
                          </w:rPr>
                          <w:t>&gt;3500 kg</w:t>
                        </w:r>
                      </w:p>
                    </w:tc>
                    <w:tc>
                      <w:tcPr>
                        <w:tcW w:w="1298" w:type="dxa"/>
                      </w:tcPr>
                      <w:p w14:paraId="19DB4B23" w14:textId="77777777" w:rsidR="00F65BCA" w:rsidRDefault="00216117">
                        <w:pPr>
                          <w:pStyle w:val="TableParagraph"/>
                          <w:spacing w:before="28"/>
                          <w:ind w:left="535"/>
                          <w:rPr>
                            <w:sz w:val="8"/>
                          </w:rPr>
                        </w:pPr>
                        <w:r>
                          <w:rPr>
                            <w:w w:val="105"/>
                            <w:sz w:val="8"/>
                          </w:rPr>
                          <w:t>9,00%</w:t>
                        </w:r>
                      </w:p>
                    </w:tc>
                    <w:tc>
                      <w:tcPr>
                        <w:tcW w:w="1298" w:type="dxa"/>
                      </w:tcPr>
                      <w:p w14:paraId="0CDE4EB7" w14:textId="77777777" w:rsidR="00F65BCA" w:rsidRDefault="00216117">
                        <w:pPr>
                          <w:pStyle w:val="TableParagraph"/>
                          <w:spacing w:before="28"/>
                          <w:ind w:left="490" w:right="471"/>
                          <w:jc w:val="center"/>
                          <w:rPr>
                            <w:sz w:val="8"/>
                          </w:rPr>
                        </w:pPr>
                        <w:r>
                          <w:rPr>
                            <w:w w:val="105"/>
                            <w:sz w:val="8"/>
                          </w:rPr>
                          <w:t>9,00%</w:t>
                        </w:r>
                      </w:p>
                    </w:tc>
                  </w:tr>
                  <w:tr w:rsidR="00F65BCA" w14:paraId="70F87920" w14:textId="77777777">
                    <w:trPr>
                      <w:trHeight w:val="146"/>
                    </w:trPr>
                    <w:tc>
                      <w:tcPr>
                        <w:tcW w:w="1836" w:type="dxa"/>
                        <w:vMerge w:val="restart"/>
                        <w:shd w:val="clear" w:color="auto" w:fill="FCE4D6"/>
                      </w:tcPr>
                      <w:p w14:paraId="5B885244" w14:textId="77777777" w:rsidR="00F65BCA" w:rsidRDefault="00F65BCA">
                        <w:pPr>
                          <w:pStyle w:val="TableParagraph"/>
                          <w:spacing w:before="7"/>
                          <w:rPr>
                            <w:sz w:val="8"/>
                          </w:rPr>
                        </w:pPr>
                      </w:p>
                      <w:p w14:paraId="17C8E973" w14:textId="77777777" w:rsidR="00F65BCA" w:rsidRDefault="00216117">
                        <w:pPr>
                          <w:pStyle w:val="TableParagraph"/>
                          <w:spacing w:before="1"/>
                          <w:ind w:left="373" w:right="353"/>
                          <w:jc w:val="center"/>
                          <w:rPr>
                            <w:sz w:val="8"/>
                          </w:rPr>
                        </w:pPr>
                        <w:r>
                          <w:rPr>
                            <w:w w:val="105"/>
                            <w:sz w:val="8"/>
                          </w:rPr>
                          <w:t>ostatní vozidla</w:t>
                        </w:r>
                      </w:p>
                    </w:tc>
                    <w:tc>
                      <w:tcPr>
                        <w:tcW w:w="986" w:type="dxa"/>
                        <w:shd w:val="clear" w:color="auto" w:fill="FCE4D6"/>
                      </w:tcPr>
                      <w:p w14:paraId="11B0A617" w14:textId="77777777" w:rsidR="00F65BCA" w:rsidRDefault="00216117">
                        <w:pPr>
                          <w:pStyle w:val="TableParagraph"/>
                          <w:spacing w:before="28"/>
                          <w:ind w:left="144" w:right="126"/>
                          <w:jc w:val="center"/>
                          <w:rPr>
                            <w:sz w:val="8"/>
                          </w:rPr>
                        </w:pPr>
                        <w:r>
                          <w:rPr>
                            <w:w w:val="105"/>
                            <w:sz w:val="8"/>
                          </w:rPr>
                          <w:t>0-3500 kg</w:t>
                        </w:r>
                      </w:p>
                    </w:tc>
                    <w:tc>
                      <w:tcPr>
                        <w:tcW w:w="1298" w:type="dxa"/>
                      </w:tcPr>
                      <w:p w14:paraId="40E07481" w14:textId="77777777" w:rsidR="00F65BCA" w:rsidRDefault="00216117">
                        <w:pPr>
                          <w:pStyle w:val="TableParagraph"/>
                          <w:spacing w:before="28"/>
                          <w:ind w:left="535"/>
                          <w:rPr>
                            <w:sz w:val="8"/>
                          </w:rPr>
                        </w:pPr>
                        <w:r>
                          <w:rPr>
                            <w:w w:val="105"/>
                            <w:sz w:val="8"/>
                          </w:rPr>
                          <w:t>6,75%</w:t>
                        </w:r>
                      </w:p>
                    </w:tc>
                    <w:tc>
                      <w:tcPr>
                        <w:tcW w:w="1298" w:type="dxa"/>
                      </w:tcPr>
                      <w:p w14:paraId="7DE262E2" w14:textId="77777777" w:rsidR="00F65BCA" w:rsidRDefault="00216117">
                        <w:pPr>
                          <w:pStyle w:val="TableParagraph"/>
                          <w:spacing w:before="28"/>
                          <w:ind w:left="490" w:right="471"/>
                          <w:jc w:val="center"/>
                          <w:rPr>
                            <w:sz w:val="8"/>
                          </w:rPr>
                        </w:pPr>
                        <w:r>
                          <w:rPr>
                            <w:w w:val="105"/>
                            <w:sz w:val="8"/>
                          </w:rPr>
                          <w:t>6,75%</w:t>
                        </w:r>
                      </w:p>
                    </w:tc>
                  </w:tr>
                  <w:tr w:rsidR="00F65BCA" w14:paraId="2BB93BF2" w14:textId="77777777">
                    <w:trPr>
                      <w:trHeight w:val="146"/>
                    </w:trPr>
                    <w:tc>
                      <w:tcPr>
                        <w:tcW w:w="1836" w:type="dxa"/>
                        <w:vMerge/>
                        <w:tcBorders>
                          <w:top w:val="nil"/>
                        </w:tcBorders>
                        <w:shd w:val="clear" w:color="auto" w:fill="FCE4D6"/>
                      </w:tcPr>
                      <w:p w14:paraId="074BB8BD" w14:textId="77777777" w:rsidR="00F65BCA" w:rsidRDefault="00F65BCA">
                        <w:pPr>
                          <w:rPr>
                            <w:sz w:val="2"/>
                            <w:szCs w:val="2"/>
                          </w:rPr>
                        </w:pPr>
                      </w:p>
                    </w:tc>
                    <w:tc>
                      <w:tcPr>
                        <w:tcW w:w="986" w:type="dxa"/>
                        <w:shd w:val="clear" w:color="auto" w:fill="FCE4D6"/>
                      </w:tcPr>
                      <w:p w14:paraId="7EFAE4BA" w14:textId="77777777" w:rsidR="00F65BCA" w:rsidRDefault="00216117">
                        <w:pPr>
                          <w:pStyle w:val="TableParagraph"/>
                          <w:spacing w:before="28"/>
                          <w:ind w:left="144" w:right="124"/>
                          <w:jc w:val="center"/>
                          <w:rPr>
                            <w:sz w:val="8"/>
                          </w:rPr>
                        </w:pPr>
                        <w:r>
                          <w:rPr>
                            <w:w w:val="105"/>
                            <w:sz w:val="8"/>
                          </w:rPr>
                          <w:t>&gt;3500 kg</w:t>
                        </w:r>
                      </w:p>
                    </w:tc>
                    <w:tc>
                      <w:tcPr>
                        <w:tcW w:w="1298" w:type="dxa"/>
                      </w:tcPr>
                      <w:p w14:paraId="7A25AB01" w14:textId="77777777" w:rsidR="00F65BCA" w:rsidRDefault="00216117">
                        <w:pPr>
                          <w:pStyle w:val="TableParagraph"/>
                          <w:spacing w:before="28"/>
                          <w:ind w:left="535"/>
                          <w:rPr>
                            <w:sz w:val="8"/>
                          </w:rPr>
                        </w:pPr>
                        <w:r>
                          <w:rPr>
                            <w:w w:val="105"/>
                            <w:sz w:val="8"/>
                          </w:rPr>
                          <w:t>9,00%</w:t>
                        </w:r>
                      </w:p>
                    </w:tc>
                    <w:tc>
                      <w:tcPr>
                        <w:tcW w:w="1298" w:type="dxa"/>
                      </w:tcPr>
                      <w:p w14:paraId="121E33E3" w14:textId="77777777" w:rsidR="00F65BCA" w:rsidRDefault="00216117">
                        <w:pPr>
                          <w:pStyle w:val="TableParagraph"/>
                          <w:spacing w:before="28"/>
                          <w:ind w:left="490" w:right="471"/>
                          <w:jc w:val="center"/>
                          <w:rPr>
                            <w:sz w:val="8"/>
                          </w:rPr>
                        </w:pPr>
                        <w:r>
                          <w:rPr>
                            <w:w w:val="105"/>
                            <w:sz w:val="8"/>
                          </w:rPr>
                          <w:t>9,00%</w:t>
                        </w:r>
                      </w:p>
                    </w:tc>
                  </w:tr>
                  <w:tr w:rsidR="00F65BCA" w14:paraId="7B5147CD" w14:textId="77777777">
                    <w:trPr>
                      <w:trHeight w:val="126"/>
                    </w:trPr>
                    <w:tc>
                      <w:tcPr>
                        <w:tcW w:w="1836" w:type="dxa"/>
                        <w:vMerge w:val="restart"/>
                        <w:shd w:val="clear" w:color="auto" w:fill="FCE4D6"/>
                      </w:tcPr>
                      <w:p w14:paraId="7C3D7A64" w14:textId="77777777" w:rsidR="00F65BCA" w:rsidRDefault="00F65BCA">
                        <w:pPr>
                          <w:pStyle w:val="TableParagraph"/>
                          <w:rPr>
                            <w:sz w:val="7"/>
                          </w:rPr>
                        </w:pPr>
                      </w:p>
                      <w:p w14:paraId="5D8D5978" w14:textId="77777777" w:rsidR="00F65BCA" w:rsidRDefault="00216117">
                        <w:pPr>
                          <w:pStyle w:val="TableParagraph"/>
                          <w:ind w:left="373" w:right="356"/>
                          <w:jc w:val="center"/>
                          <w:rPr>
                            <w:sz w:val="8"/>
                          </w:rPr>
                        </w:pPr>
                        <w:r>
                          <w:rPr>
                            <w:w w:val="105"/>
                            <w:sz w:val="8"/>
                          </w:rPr>
                          <w:t>jiný druh</w:t>
                        </w:r>
                      </w:p>
                    </w:tc>
                    <w:tc>
                      <w:tcPr>
                        <w:tcW w:w="986" w:type="dxa"/>
                        <w:shd w:val="clear" w:color="auto" w:fill="FCE4D6"/>
                      </w:tcPr>
                      <w:p w14:paraId="12AE3646" w14:textId="77777777" w:rsidR="00F65BCA" w:rsidRDefault="00216117">
                        <w:pPr>
                          <w:pStyle w:val="TableParagraph"/>
                          <w:spacing w:before="18" w:line="88" w:lineRule="exact"/>
                          <w:ind w:left="144" w:right="126"/>
                          <w:jc w:val="center"/>
                          <w:rPr>
                            <w:sz w:val="8"/>
                          </w:rPr>
                        </w:pPr>
                        <w:r>
                          <w:rPr>
                            <w:w w:val="105"/>
                            <w:sz w:val="8"/>
                          </w:rPr>
                          <w:t>0-3500 kg</w:t>
                        </w:r>
                      </w:p>
                    </w:tc>
                    <w:tc>
                      <w:tcPr>
                        <w:tcW w:w="1298" w:type="dxa"/>
                      </w:tcPr>
                      <w:p w14:paraId="4064E190" w14:textId="77777777" w:rsidR="00F65BCA" w:rsidRDefault="00216117">
                        <w:pPr>
                          <w:pStyle w:val="TableParagraph"/>
                          <w:spacing w:before="18" w:line="88" w:lineRule="exact"/>
                          <w:ind w:left="535"/>
                          <w:rPr>
                            <w:sz w:val="8"/>
                          </w:rPr>
                        </w:pPr>
                        <w:r>
                          <w:rPr>
                            <w:w w:val="105"/>
                            <w:sz w:val="8"/>
                          </w:rPr>
                          <w:t>6,75%</w:t>
                        </w:r>
                      </w:p>
                    </w:tc>
                    <w:tc>
                      <w:tcPr>
                        <w:tcW w:w="1298" w:type="dxa"/>
                      </w:tcPr>
                      <w:p w14:paraId="792E2BBF" w14:textId="77777777" w:rsidR="00F65BCA" w:rsidRDefault="00216117">
                        <w:pPr>
                          <w:pStyle w:val="TableParagraph"/>
                          <w:spacing w:before="18" w:line="88" w:lineRule="exact"/>
                          <w:ind w:left="490" w:right="471"/>
                          <w:jc w:val="center"/>
                          <w:rPr>
                            <w:sz w:val="8"/>
                          </w:rPr>
                        </w:pPr>
                        <w:r>
                          <w:rPr>
                            <w:w w:val="105"/>
                            <w:sz w:val="8"/>
                          </w:rPr>
                          <w:t>6,75%</w:t>
                        </w:r>
                      </w:p>
                    </w:tc>
                  </w:tr>
                  <w:tr w:rsidR="00F65BCA" w14:paraId="5B22591F" w14:textId="77777777">
                    <w:trPr>
                      <w:trHeight w:val="126"/>
                    </w:trPr>
                    <w:tc>
                      <w:tcPr>
                        <w:tcW w:w="1836" w:type="dxa"/>
                        <w:vMerge/>
                        <w:tcBorders>
                          <w:top w:val="nil"/>
                        </w:tcBorders>
                        <w:shd w:val="clear" w:color="auto" w:fill="FCE4D6"/>
                      </w:tcPr>
                      <w:p w14:paraId="783C88C4" w14:textId="77777777" w:rsidR="00F65BCA" w:rsidRDefault="00F65BCA">
                        <w:pPr>
                          <w:rPr>
                            <w:sz w:val="2"/>
                            <w:szCs w:val="2"/>
                          </w:rPr>
                        </w:pPr>
                      </w:p>
                    </w:tc>
                    <w:tc>
                      <w:tcPr>
                        <w:tcW w:w="986" w:type="dxa"/>
                        <w:shd w:val="clear" w:color="auto" w:fill="FCE4D6"/>
                      </w:tcPr>
                      <w:p w14:paraId="4557CCCD" w14:textId="77777777" w:rsidR="00F65BCA" w:rsidRDefault="00216117">
                        <w:pPr>
                          <w:pStyle w:val="TableParagraph"/>
                          <w:spacing w:before="18" w:line="88" w:lineRule="exact"/>
                          <w:ind w:left="144" w:right="124"/>
                          <w:jc w:val="center"/>
                          <w:rPr>
                            <w:sz w:val="8"/>
                          </w:rPr>
                        </w:pPr>
                        <w:r>
                          <w:rPr>
                            <w:w w:val="105"/>
                            <w:sz w:val="8"/>
                          </w:rPr>
                          <w:t>&gt;3500 kg</w:t>
                        </w:r>
                      </w:p>
                    </w:tc>
                    <w:tc>
                      <w:tcPr>
                        <w:tcW w:w="1298" w:type="dxa"/>
                      </w:tcPr>
                      <w:p w14:paraId="5458A937" w14:textId="77777777" w:rsidR="00F65BCA" w:rsidRDefault="00216117">
                        <w:pPr>
                          <w:pStyle w:val="TableParagraph"/>
                          <w:spacing w:before="18" w:line="88" w:lineRule="exact"/>
                          <w:ind w:left="535"/>
                          <w:rPr>
                            <w:sz w:val="8"/>
                          </w:rPr>
                        </w:pPr>
                        <w:r>
                          <w:rPr>
                            <w:w w:val="105"/>
                            <w:sz w:val="8"/>
                          </w:rPr>
                          <w:t>9,00%</w:t>
                        </w:r>
                      </w:p>
                    </w:tc>
                    <w:tc>
                      <w:tcPr>
                        <w:tcW w:w="1298" w:type="dxa"/>
                      </w:tcPr>
                      <w:p w14:paraId="68608D87" w14:textId="77777777" w:rsidR="00F65BCA" w:rsidRDefault="00216117">
                        <w:pPr>
                          <w:pStyle w:val="TableParagraph"/>
                          <w:spacing w:before="18" w:line="88" w:lineRule="exact"/>
                          <w:ind w:left="490" w:right="471"/>
                          <w:jc w:val="center"/>
                          <w:rPr>
                            <w:sz w:val="8"/>
                          </w:rPr>
                        </w:pPr>
                        <w:r>
                          <w:rPr>
                            <w:w w:val="105"/>
                            <w:sz w:val="8"/>
                          </w:rPr>
                          <w:t>9,00%</w:t>
                        </w:r>
                      </w:p>
                    </w:tc>
                  </w:tr>
                </w:tbl>
                <w:p w14:paraId="4FC1D560" w14:textId="77777777" w:rsidR="00F65BCA" w:rsidRDefault="00F65BCA">
                  <w:pPr>
                    <w:pStyle w:val="Zkladntext"/>
                  </w:pPr>
                </w:p>
              </w:txbxContent>
            </v:textbox>
            <w10:wrap anchorx="page"/>
          </v:shape>
        </w:pict>
      </w:r>
      <w:r w:rsidR="00216117">
        <w:rPr>
          <w:w w:val="105"/>
          <w:sz w:val="8"/>
        </w:rPr>
        <w:t>Limit plnění může nabývat hodnot od 3000 Kč do 150000 Kč.</w:t>
      </w:r>
    </w:p>
    <w:p w14:paraId="52B4D416" w14:textId="77777777" w:rsidR="00F65BCA" w:rsidRDefault="00F65BCA">
      <w:pPr>
        <w:pStyle w:val="Zkladntext"/>
        <w:spacing w:before="5"/>
        <w:rPr>
          <w:sz w:val="14"/>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1908"/>
      </w:tblGrid>
      <w:tr w:rsidR="00F65BCA" w14:paraId="26D7B54D" w14:textId="77777777">
        <w:trPr>
          <w:trHeight w:val="146"/>
        </w:trPr>
        <w:tc>
          <w:tcPr>
            <w:tcW w:w="864" w:type="dxa"/>
            <w:shd w:val="clear" w:color="auto" w:fill="F8CBAD"/>
          </w:tcPr>
          <w:p w14:paraId="7E392E8C" w14:textId="77777777" w:rsidR="00F65BCA" w:rsidRDefault="00216117">
            <w:pPr>
              <w:pStyle w:val="TableParagraph"/>
              <w:spacing w:before="25"/>
              <w:ind w:left="184" w:right="176"/>
              <w:jc w:val="center"/>
              <w:rPr>
                <w:b/>
                <w:sz w:val="8"/>
              </w:rPr>
            </w:pPr>
            <w:r>
              <w:rPr>
                <w:b/>
                <w:w w:val="105"/>
                <w:sz w:val="8"/>
              </w:rPr>
              <w:t>Spoluúčast</w:t>
            </w:r>
          </w:p>
        </w:tc>
        <w:tc>
          <w:tcPr>
            <w:tcW w:w="1908" w:type="dxa"/>
            <w:shd w:val="clear" w:color="auto" w:fill="F8CBAD"/>
          </w:tcPr>
          <w:p w14:paraId="72BBB9E7" w14:textId="77777777" w:rsidR="00F65BCA" w:rsidRDefault="00216117">
            <w:pPr>
              <w:pStyle w:val="TableParagraph"/>
              <w:spacing w:before="25"/>
              <w:ind w:left="487" w:right="474"/>
              <w:jc w:val="center"/>
              <w:rPr>
                <w:b/>
                <w:sz w:val="8"/>
              </w:rPr>
            </w:pPr>
            <w:r>
              <w:rPr>
                <w:b/>
                <w:w w:val="105"/>
                <w:sz w:val="8"/>
              </w:rPr>
              <w:t>Koeficient spoluúčasti</w:t>
            </w:r>
          </w:p>
        </w:tc>
      </w:tr>
      <w:tr w:rsidR="00F65BCA" w14:paraId="79834C64" w14:textId="77777777">
        <w:trPr>
          <w:trHeight w:val="146"/>
        </w:trPr>
        <w:tc>
          <w:tcPr>
            <w:tcW w:w="864" w:type="dxa"/>
            <w:shd w:val="clear" w:color="auto" w:fill="FCE4D6"/>
          </w:tcPr>
          <w:p w14:paraId="3C53117B" w14:textId="77777777" w:rsidR="00F65BCA" w:rsidRDefault="00216117">
            <w:pPr>
              <w:pStyle w:val="TableParagraph"/>
              <w:spacing w:before="44" w:line="81" w:lineRule="exact"/>
              <w:ind w:left="17"/>
              <w:jc w:val="center"/>
              <w:rPr>
                <w:sz w:val="8"/>
              </w:rPr>
            </w:pPr>
            <w:r>
              <w:rPr>
                <w:w w:val="104"/>
                <w:sz w:val="8"/>
              </w:rPr>
              <w:t>0</w:t>
            </w:r>
          </w:p>
        </w:tc>
        <w:tc>
          <w:tcPr>
            <w:tcW w:w="1908" w:type="dxa"/>
          </w:tcPr>
          <w:p w14:paraId="59D27299" w14:textId="77777777" w:rsidR="00F65BCA" w:rsidRDefault="00216117">
            <w:pPr>
              <w:pStyle w:val="TableParagraph"/>
              <w:spacing w:before="44" w:line="81" w:lineRule="exact"/>
              <w:ind w:left="487" w:right="467"/>
              <w:jc w:val="center"/>
              <w:rPr>
                <w:sz w:val="8"/>
              </w:rPr>
            </w:pPr>
            <w:r>
              <w:rPr>
                <w:w w:val="105"/>
                <w:sz w:val="8"/>
              </w:rPr>
              <w:t>1,00</w:t>
            </w:r>
          </w:p>
        </w:tc>
      </w:tr>
      <w:tr w:rsidR="00F65BCA" w14:paraId="23B41B73" w14:textId="77777777">
        <w:trPr>
          <w:trHeight w:val="146"/>
        </w:trPr>
        <w:tc>
          <w:tcPr>
            <w:tcW w:w="864" w:type="dxa"/>
            <w:shd w:val="clear" w:color="auto" w:fill="FCE4D6"/>
          </w:tcPr>
          <w:p w14:paraId="3D169F59" w14:textId="77777777" w:rsidR="00F65BCA" w:rsidRDefault="00216117">
            <w:pPr>
              <w:pStyle w:val="TableParagraph"/>
              <w:spacing w:before="44" w:line="81" w:lineRule="exact"/>
              <w:ind w:left="184" w:right="164"/>
              <w:jc w:val="center"/>
              <w:rPr>
                <w:sz w:val="8"/>
              </w:rPr>
            </w:pPr>
            <w:r>
              <w:rPr>
                <w:w w:val="105"/>
                <w:sz w:val="8"/>
              </w:rPr>
              <w:t>1000</w:t>
            </w:r>
          </w:p>
        </w:tc>
        <w:tc>
          <w:tcPr>
            <w:tcW w:w="1908" w:type="dxa"/>
          </w:tcPr>
          <w:p w14:paraId="27EBFF76" w14:textId="77777777" w:rsidR="00F65BCA" w:rsidRDefault="00216117">
            <w:pPr>
              <w:pStyle w:val="TableParagraph"/>
              <w:spacing w:before="44" w:line="81" w:lineRule="exact"/>
              <w:ind w:left="487" w:right="467"/>
              <w:jc w:val="center"/>
              <w:rPr>
                <w:sz w:val="8"/>
              </w:rPr>
            </w:pPr>
            <w:r>
              <w:rPr>
                <w:w w:val="105"/>
                <w:sz w:val="8"/>
              </w:rPr>
              <w:t>0,90</w:t>
            </w:r>
          </w:p>
        </w:tc>
      </w:tr>
    </w:tbl>
    <w:p w14:paraId="4F8DCC7D" w14:textId="77777777" w:rsidR="00F65BCA" w:rsidRDefault="00F65BCA">
      <w:pPr>
        <w:spacing w:line="81" w:lineRule="exact"/>
        <w:jc w:val="center"/>
        <w:rPr>
          <w:sz w:val="8"/>
        </w:rPr>
        <w:sectPr w:rsidR="00F65BCA">
          <w:type w:val="continuous"/>
          <w:pgSz w:w="11900" w:h="16840"/>
          <w:pgMar w:top="840" w:right="640" w:bottom="280" w:left="500" w:header="708" w:footer="708" w:gutter="0"/>
          <w:cols w:num="2" w:space="708" w:equalWidth="0">
            <w:col w:w="1275" w:space="4672"/>
            <w:col w:w="4813"/>
          </w:cols>
        </w:sectPr>
      </w:pPr>
    </w:p>
    <w:p w14:paraId="0DEABCB7" w14:textId="77777777" w:rsidR="00F65BCA" w:rsidRDefault="00000000">
      <w:pPr>
        <w:pStyle w:val="Nadpis6"/>
        <w:tabs>
          <w:tab w:val="left" w:pos="6406"/>
        </w:tabs>
        <w:ind w:left="509"/>
      </w:pPr>
      <w:r>
        <w:rPr>
          <w:position w:val="13"/>
        </w:rPr>
      </w:r>
      <w:r>
        <w:rPr>
          <w:position w:val="13"/>
        </w:rPr>
        <w:pict w14:anchorId="2C1A6D83">
          <v:shape id="_x0000_s2585" type="#_x0000_t202" style="width:271.2pt;height:21.4pt;mso-left-percent:-10001;mso-top-percent:-10001;mso-position-horizontal:absolute;mso-position-horizontal-relative:char;mso-position-vertical:absolute;mso-position-vertical-relative:line;mso-left-percent:-10001;mso-top-percent:-10001" fillcolor="#f8cbad" strokeweight=".72pt">
            <v:textbox inset="0,0,0,0">
              <w:txbxContent>
                <w:p w14:paraId="22AE4F6E" w14:textId="77777777" w:rsidR="00F65BCA" w:rsidRDefault="00F65BCA">
                  <w:pPr>
                    <w:pStyle w:val="Zkladntext"/>
                    <w:rPr>
                      <w:sz w:val="8"/>
                    </w:rPr>
                  </w:pPr>
                </w:p>
                <w:p w14:paraId="142A038F" w14:textId="77777777" w:rsidR="00F65BCA" w:rsidRDefault="00F65BCA">
                  <w:pPr>
                    <w:pStyle w:val="Zkladntext"/>
                    <w:spacing w:before="3"/>
                    <w:rPr>
                      <w:sz w:val="6"/>
                    </w:rPr>
                  </w:pPr>
                </w:p>
                <w:p w14:paraId="2AD73B33" w14:textId="77777777" w:rsidR="00F65BCA" w:rsidRDefault="00216117">
                  <w:pPr>
                    <w:ind w:left="2384" w:right="2376"/>
                    <w:jc w:val="center"/>
                    <w:rPr>
                      <w:b/>
                      <w:sz w:val="7"/>
                    </w:rPr>
                  </w:pPr>
                  <w:r>
                    <w:rPr>
                      <w:b/>
                      <w:w w:val="105"/>
                      <w:sz w:val="7"/>
                    </w:rPr>
                    <w:t>Úrazové pojištění</w:t>
                  </w:r>
                </w:p>
              </w:txbxContent>
            </v:textbox>
            <w10:anchorlock/>
          </v:shape>
        </w:pict>
      </w:r>
      <w:r w:rsidR="00216117">
        <w:rPr>
          <w:position w:val="13"/>
        </w:rPr>
        <w:tab/>
      </w:r>
      <w:r>
        <w:pict w14:anchorId="3C2E621D">
          <v:shape id="_x0000_s2584" type="#_x0000_t202" style="width:192pt;height:28.35pt;mso-left-percent:-10001;mso-top-percent:-10001;mso-position-horizontal:absolute;mso-position-horizontal-relative:char;mso-position-vertical:absolute;mso-position-vertical-relative:line;mso-left-percent:-10001;mso-top-percent:-10001" fillcolor="#ffc" strokeweight=".72pt">
            <v:textbox inset="0,0,0,0">
              <w:txbxContent>
                <w:p w14:paraId="07F8A16A" w14:textId="77777777" w:rsidR="00F65BCA" w:rsidRDefault="00F65BCA">
                  <w:pPr>
                    <w:pStyle w:val="Zkladntext"/>
                    <w:spacing w:before="9"/>
                    <w:rPr>
                      <w:sz w:val="7"/>
                    </w:rPr>
                  </w:pPr>
                </w:p>
                <w:p w14:paraId="6855153B" w14:textId="77777777" w:rsidR="00F65BCA" w:rsidRDefault="00216117">
                  <w:pPr>
                    <w:spacing w:before="1"/>
                    <w:ind w:left="256" w:right="251"/>
                    <w:jc w:val="center"/>
                    <w:rPr>
                      <w:b/>
                      <w:sz w:val="7"/>
                    </w:rPr>
                  </w:pPr>
                  <w:r>
                    <w:rPr>
                      <w:b/>
                      <w:w w:val="105"/>
                      <w:sz w:val="7"/>
                    </w:rPr>
                    <w:t>VÝPOČET:</w:t>
                  </w:r>
                </w:p>
                <w:p w14:paraId="231C5B57" w14:textId="77777777" w:rsidR="00F65BCA" w:rsidRDefault="00F65BCA">
                  <w:pPr>
                    <w:pStyle w:val="Zkladntext"/>
                    <w:spacing w:before="7"/>
                    <w:rPr>
                      <w:b/>
                      <w:sz w:val="9"/>
                    </w:rPr>
                  </w:pPr>
                </w:p>
                <w:p w14:paraId="11E8E975" w14:textId="77777777" w:rsidR="00F65BCA" w:rsidRDefault="00216117">
                  <w:pPr>
                    <w:spacing w:before="1" w:line="285" w:lineRule="auto"/>
                    <w:ind w:left="259" w:right="251"/>
                    <w:jc w:val="center"/>
                    <w:rPr>
                      <w:b/>
                      <w:sz w:val="7"/>
                    </w:rPr>
                  </w:pPr>
                  <w:r>
                    <w:rPr>
                      <w:b/>
                      <w:w w:val="105"/>
                      <w:sz w:val="7"/>
                    </w:rPr>
                    <w:t xml:space="preserve">Pojistné = </w:t>
                  </w:r>
                  <w:r>
                    <w:rPr>
                      <w:b/>
                      <w:w w:val="105"/>
                      <w:sz w:val="7"/>
                    </w:rPr>
                    <w:t>ZAOKROUHLIT(Maximální počet přepravovaných osob dle VTP * Roční sazba / 12; 0 DESETINNÝCH MÍST) * 12</w:t>
                  </w:r>
                </w:p>
              </w:txbxContent>
            </v:textbox>
            <w10:anchorlock/>
          </v:shape>
        </w:pict>
      </w:r>
    </w:p>
    <w:p w14:paraId="01568224" w14:textId="77777777" w:rsidR="00F65BCA" w:rsidRDefault="00F65BCA">
      <w:pPr>
        <w:pStyle w:val="Zkladntext"/>
        <w:rPr>
          <w:sz w:val="21"/>
        </w:rPr>
      </w:pPr>
    </w:p>
    <w:p w14:paraId="6ECB4165" w14:textId="77777777" w:rsidR="00F65BCA" w:rsidRDefault="00F65BCA">
      <w:pPr>
        <w:rPr>
          <w:sz w:val="21"/>
        </w:rPr>
        <w:sectPr w:rsidR="00F65BCA">
          <w:pgSz w:w="11900" w:h="16840"/>
          <w:pgMar w:top="1260" w:right="640" w:bottom="280" w:left="500" w:header="708" w:footer="708" w:gutter="0"/>
          <w:cols w:space="708"/>
        </w:sectPr>
      </w:pPr>
    </w:p>
    <w:p w14:paraId="0698A0E1" w14:textId="77777777" w:rsidR="00F65BCA" w:rsidRDefault="00F65BCA">
      <w:pPr>
        <w:pStyle w:val="Zkladntext"/>
        <w:rPr>
          <w:sz w:val="8"/>
        </w:rPr>
      </w:pPr>
    </w:p>
    <w:p w14:paraId="28608705" w14:textId="77777777" w:rsidR="00F65BCA" w:rsidRDefault="00F65BCA">
      <w:pPr>
        <w:pStyle w:val="Zkladntext"/>
        <w:rPr>
          <w:sz w:val="8"/>
        </w:rPr>
      </w:pPr>
    </w:p>
    <w:p w14:paraId="1A2895E6" w14:textId="77777777" w:rsidR="00F65BCA" w:rsidRDefault="00F65BCA">
      <w:pPr>
        <w:pStyle w:val="Zkladntext"/>
        <w:rPr>
          <w:sz w:val="8"/>
        </w:rPr>
      </w:pPr>
    </w:p>
    <w:p w14:paraId="220B4C2F" w14:textId="77777777" w:rsidR="00F65BCA" w:rsidRDefault="00F65BCA">
      <w:pPr>
        <w:pStyle w:val="Zkladntext"/>
        <w:rPr>
          <w:sz w:val="8"/>
        </w:rPr>
      </w:pPr>
    </w:p>
    <w:p w14:paraId="26766052" w14:textId="77777777" w:rsidR="00F65BCA" w:rsidRDefault="00F65BCA">
      <w:pPr>
        <w:pStyle w:val="Zkladntext"/>
        <w:rPr>
          <w:sz w:val="8"/>
        </w:rPr>
      </w:pPr>
    </w:p>
    <w:p w14:paraId="2659FAF0" w14:textId="77777777" w:rsidR="00F65BCA" w:rsidRDefault="00F65BCA">
      <w:pPr>
        <w:pStyle w:val="Zkladntext"/>
        <w:rPr>
          <w:sz w:val="8"/>
        </w:rPr>
      </w:pPr>
    </w:p>
    <w:p w14:paraId="64FC9829" w14:textId="77777777" w:rsidR="00F65BCA" w:rsidRDefault="00F65BCA">
      <w:pPr>
        <w:pStyle w:val="Zkladntext"/>
        <w:rPr>
          <w:sz w:val="8"/>
        </w:rPr>
      </w:pPr>
    </w:p>
    <w:p w14:paraId="496647F8" w14:textId="77777777" w:rsidR="00F65BCA" w:rsidRDefault="00F65BCA">
      <w:pPr>
        <w:pStyle w:val="Zkladntext"/>
        <w:rPr>
          <w:sz w:val="8"/>
        </w:rPr>
      </w:pPr>
    </w:p>
    <w:p w14:paraId="73E3BE39" w14:textId="77777777" w:rsidR="00F65BCA" w:rsidRDefault="00F65BCA">
      <w:pPr>
        <w:pStyle w:val="Zkladntext"/>
        <w:rPr>
          <w:sz w:val="8"/>
        </w:rPr>
      </w:pPr>
    </w:p>
    <w:p w14:paraId="03057557" w14:textId="77777777" w:rsidR="00F65BCA" w:rsidRDefault="00F65BCA">
      <w:pPr>
        <w:pStyle w:val="Zkladntext"/>
        <w:rPr>
          <w:sz w:val="8"/>
        </w:rPr>
      </w:pPr>
    </w:p>
    <w:p w14:paraId="03733BFD" w14:textId="77777777" w:rsidR="00F65BCA" w:rsidRDefault="00F65BCA">
      <w:pPr>
        <w:pStyle w:val="Zkladntext"/>
        <w:rPr>
          <w:sz w:val="8"/>
        </w:rPr>
      </w:pPr>
    </w:p>
    <w:p w14:paraId="76D100EC" w14:textId="77777777" w:rsidR="00F65BCA" w:rsidRDefault="00F65BCA">
      <w:pPr>
        <w:pStyle w:val="Zkladntext"/>
        <w:rPr>
          <w:sz w:val="8"/>
        </w:rPr>
      </w:pPr>
    </w:p>
    <w:p w14:paraId="4B1D4E6B" w14:textId="77777777" w:rsidR="00F65BCA" w:rsidRDefault="00F65BCA">
      <w:pPr>
        <w:pStyle w:val="Zkladntext"/>
        <w:rPr>
          <w:sz w:val="8"/>
        </w:rPr>
      </w:pPr>
    </w:p>
    <w:p w14:paraId="3E5630C5" w14:textId="77777777" w:rsidR="00F65BCA" w:rsidRDefault="00F65BCA">
      <w:pPr>
        <w:pStyle w:val="Zkladntext"/>
        <w:rPr>
          <w:sz w:val="8"/>
        </w:rPr>
      </w:pPr>
    </w:p>
    <w:p w14:paraId="0B99BD80" w14:textId="77777777" w:rsidR="00F65BCA" w:rsidRDefault="00F65BCA">
      <w:pPr>
        <w:pStyle w:val="Zkladntext"/>
        <w:rPr>
          <w:sz w:val="8"/>
        </w:rPr>
      </w:pPr>
    </w:p>
    <w:p w14:paraId="2407995D" w14:textId="77777777" w:rsidR="00F65BCA" w:rsidRDefault="00F65BCA">
      <w:pPr>
        <w:pStyle w:val="Zkladntext"/>
        <w:rPr>
          <w:sz w:val="8"/>
        </w:rPr>
      </w:pPr>
    </w:p>
    <w:p w14:paraId="529351A9" w14:textId="77777777" w:rsidR="00F65BCA" w:rsidRDefault="00F65BCA">
      <w:pPr>
        <w:pStyle w:val="Zkladntext"/>
        <w:rPr>
          <w:sz w:val="8"/>
        </w:rPr>
      </w:pPr>
    </w:p>
    <w:p w14:paraId="78B0A82B" w14:textId="77777777" w:rsidR="00F65BCA" w:rsidRDefault="00F65BCA">
      <w:pPr>
        <w:pStyle w:val="Zkladntext"/>
        <w:rPr>
          <w:sz w:val="8"/>
        </w:rPr>
      </w:pPr>
    </w:p>
    <w:p w14:paraId="2C30696A" w14:textId="77777777" w:rsidR="00F65BCA" w:rsidRDefault="00F65BCA">
      <w:pPr>
        <w:pStyle w:val="Zkladntext"/>
        <w:rPr>
          <w:sz w:val="8"/>
        </w:rPr>
      </w:pPr>
    </w:p>
    <w:p w14:paraId="5848E1A5" w14:textId="77777777" w:rsidR="00F65BCA" w:rsidRDefault="00F65BCA">
      <w:pPr>
        <w:pStyle w:val="Zkladntext"/>
        <w:rPr>
          <w:sz w:val="8"/>
        </w:rPr>
      </w:pPr>
    </w:p>
    <w:p w14:paraId="7F05647C" w14:textId="77777777" w:rsidR="00F65BCA" w:rsidRDefault="00F65BCA">
      <w:pPr>
        <w:pStyle w:val="Zkladntext"/>
        <w:rPr>
          <w:sz w:val="8"/>
        </w:rPr>
      </w:pPr>
    </w:p>
    <w:p w14:paraId="0CECD852" w14:textId="77777777" w:rsidR="00F65BCA" w:rsidRDefault="00F65BCA">
      <w:pPr>
        <w:pStyle w:val="Zkladntext"/>
        <w:rPr>
          <w:sz w:val="8"/>
        </w:rPr>
      </w:pPr>
    </w:p>
    <w:p w14:paraId="75336B39" w14:textId="77777777" w:rsidR="00F65BCA" w:rsidRDefault="00F65BCA">
      <w:pPr>
        <w:pStyle w:val="Zkladntext"/>
        <w:rPr>
          <w:sz w:val="8"/>
        </w:rPr>
      </w:pPr>
    </w:p>
    <w:p w14:paraId="50A554B4" w14:textId="77777777" w:rsidR="00F65BCA" w:rsidRDefault="00F65BCA">
      <w:pPr>
        <w:pStyle w:val="Zkladntext"/>
        <w:rPr>
          <w:sz w:val="8"/>
        </w:rPr>
      </w:pPr>
    </w:p>
    <w:p w14:paraId="71AF65EA" w14:textId="77777777" w:rsidR="00F65BCA" w:rsidRDefault="00F65BCA">
      <w:pPr>
        <w:pStyle w:val="Zkladntext"/>
        <w:rPr>
          <w:sz w:val="8"/>
        </w:rPr>
      </w:pPr>
    </w:p>
    <w:p w14:paraId="70E5AAC1" w14:textId="77777777" w:rsidR="00F65BCA" w:rsidRDefault="00F65BCA">
      <w:pPr>
        <w:pStyle w:val="Zkladntext"/>
        <w:rPr>
          <w:sz w:val="8"/>
        </w:rPr>
      </w:pPr>
    </w:p>
    <w:p w14:paraId="35D4ABEB" w14:textId="77777777" w:rsidR="00F65BCA" w:rsidRDefault="00F65BCA">
      <w:pPr>
        <w:pStyle w:val="Zkladntext"/>
        <w:rPr>
          <w:sz w:val="8"/>
        </w:rPr>
      </w:pPr>
    </w:p>
    <w:p w14:paraId="3AD42F50" w14:textId="77777777" w:rsidR="00F65BCA" w:rsidRDefault="00F65BCA">
      <w:pPr>
        <w:pStyle w:val="Zkladntext"/>
        <w:rPr>
          <w:sz w:val="8"/>
        </w:rPr>
      </w:pPr>
    </w:p>
    <w:p w14:paraId="7927DAD6" w14:textId="77777777" w:rsidR="00F65BCA" w:rsidRDefault="00F65BCA">
      <w:pPr>
        <w:pStyle w:val="Zkladntext"/>
        <w:rPr>
          <w:sz w:val="8"/>
        </w:rPr>
      </w:pPr>
    </w:p>
    <w:p w14:paraId="09034E97" w14:textId="77777777" w:rsidR="00F65BCA" w:rsidRDefault="00F65BCA">
      <w:pPr>
        <w:pStyle w:val="Zkladntext"/>
        <w:rPr>
          <w:sz w:val="8"/>
        </w:rPr>
      </w:pPr>
    </w:p>
    <w:p w14:paraId="5EEA9A4C" w14:textId="77777777" w:rsidR="00F65BCA" w:rsidRDefault="00F65BCA">
      <w:pPr>
        <w:pStyle w:val="Zkladntext"/>
        <w:rPr>
          <w:sz w:val="8"/>
        </w:rPr>
      </w:pPr>
    </w:p>
    <w:p w14:paraId="692E2C39" w14:textId="77777777" w:rsidR="00F65BCA" w:rsidRDefault="00F65BCA">
      <w:pPr>
        <w:pStyle w:val="Zkladntext"/>
        <w:rPr>
          <w:sz w:val="8"/>
        </w:rPr>
      </w:pPr>
    </w:p>
    <w:p w14:paraId="2B638603" w14:textId="77777777" w:rsidR="00F65BCA" w:rsidRDefault="00F65BCA">
      <w:pPr>
        <w:pStyle w:val="Zkladntext"/>
        <w:rPr>
          <w:sz w:val="8"/>
        </w:rPr>
      </w:pPr>
    </w:p>
    <w:p w14:paraId="2418EBDF" w14:textId="77777777" w:rsidR="00F65BCA" w:rsidRDefault="00F65BCA">
      <w:pPr>
        <w:pStyle w:val="Zkladntext"/>
        <w:rPr>
          <w:sz w:val="8"/>
        </w:rPr>
      </w:pPr>
    </w:p>
    <w:p w14:paraId="6B1D8820" w14:textId="77777777" w:rsidR="00F65BCA" w:rsidRDefault="00F65BCA">
      <w:pPr>
        <w:pStyle w:val="Zkladntext"/>
        <w:rPr>
          <w:sz w:val="8"/>
        </w:rPr>
      </w:pPr>
    </w:p>
    <w:p w14:paraId="66FC23B7" w14:textId="77777777" w:rsidR="00F65BCA" w:rsidRDefault="00F65BCA">
      <w:pPr>
        <w:pStyle w:val="Zkladntext"/>
        <w:rPr>
          <w:sz w:val="8"/>
        </w:rPr>
      </w:pPr>
    </w:p>
    <w:p w14:paraId="71F3197D" w14:textId="77777777" w:rsidR="00F65BCA" w:rsidRDefault="00F65BCA">
      <w:pPr>
        <w:pStyle w:val="Zkladntext"/>
        <w:rPr>
          <w:sz w:val="8"/>
        </w:rPr>
      </w:pPr>
    </w:p>
    <w:p w14:paraId="1625D3D6" w14:textId="77777777" w:rsidR="00F65BCA" w:rsidRDefault="00F65BCA">
      <w:pPr>
        <w:pStyle w:val="Zkladntext"/>
        <w:rPr>
          <w:sz w:val="8"/>
        </w:rPr>
      </w:pPr>
    </w:p>
    <w:p w14:paraId="443C834C" w14:textId="77777777" w:rsidR="00F65BCA" w:rsidRDefault="00F65BCA">
      <w:pPr>
        <w:pStyle w:val="Zkladntext"/>
        <w:rPr>
          <w:sz w:val="8"/>
        </w:rPr>
      </w:pPr>
    </w:p>
    <w:p w14:paraId="6085CA2E" w14:textId="77777777" w:rsidR="00F65BCA" w:rsidRDefault="00F65BCA">
      <w:pPr>
        <w:pStyle w:val="Zkladntext"/>
        <w:rPr>
          <w:sz w:val="8"/>
        </w:rPr>
      </w:pPr>
    </w:p>
    <w:p w14:paraId="07AA432C" w14:textId="77777777" w:rsidR="00F65BCA" w:rsidRDefault="00F65BCA">
      <w:pPr>
        <w:pStyle w:val="Zkladntext"/>
        <w:rPr>
          <w:sz w:val="8"/>
        </w:rPr>
      </w:pPr>
    </w:p>
    <w:p w14:paraId="29DF9726" w14:textId="77777777" w:rsidR="00F65BCA" w:rsidRDefault="00F65BCA">
      <w:pPr>
        <w:pStyle w:val="Zkladntext"/>
        <w:rPr>
          <w:sz w:val="8"/>
        </w:rPr>
      </w:pPr>
    </w:p>
    <w:p w14:paraId="01B64E12" w14:textId="77777777" w:rsidR="00F65BCA" w:rsidRDefault="00F65BCA">
      <w:pPr>
        <w:pStyle w:val="Zkladntext"/>
        <w:rPr>
          <w:sz w:val="8"/>
        </w:rPr>
      </w:pPr>
    </w:p>
    <w:p w14:paraId="49DDC408" w14:textId="77777777" w:rsidR="00F65BCA" w:rsidRDefault="00F65BCA">
      <w:pPr>
        <w:pStyle w:val="Zkladntext"/>
        <w:rPr>
          <w:sz w:val="8"/>
        </w:rPr>
      </w:pPr>
    </w:p>
    <w:p w14:paraId="5BB6494A" w14:textId="77777777" w:rsidR="00F65BCA" w:rsidRDefault="00F65BCA">
      <w:pPr>
        <w:pStyle w:val="Zkladntext"/>
        <w:rPr>
          <w:sz w:val="8"/>
        </w:rPr>
      </w:pPr>
    </w:p>
    <w:p w14:paraId="7B267951" w14:textId="77777777" w:rsidR="00F65BCA" w:rsidRDefault="00F65BCA">
      <w:pPr>
        <w:pStyle w:val="Zkladntext"/>
        <w:rPr>
          <w:sz w:val="8"/>
        </w:rPr>
      </w:pPr>
    </w:p>
    <w:p w14:paraId="0E0905AD" w14:textId="77777777" w:rsidR="00F65BCA" w:rsidRDefault="00F65BCA">
      <w:pPr>
        <w:pStyle w:val="Zkladntext"/>
        <w:rPr>
          <w:sz w:val="8"/>
        </w:rPr>
      </w:pPr>
    </w:p>
    <w:p w14:paraId="0B2B6B08" w14:textId="77777777" w:rsidR="00F65BCA" w:rsidRDefault="00F65BCA">
      <w:pPr>
        <w:pStyle w:val="Zkladntext"/>
        <w:rPr>
          <w:sz w:val="8"/>
        </w:rPr>
      </w:pPr>
    </w:p>
    <w:p w14:paraId="1BB5D9B1" w14:textId="77777777" w:rsidR="00F65BCA" w:rsidRDefault="00F65BCA">
      <w:pPr>
        <w:pStyle w:val="Zkladntext"/>
        <w:rPr>
          <w:sz w:val="8"/>
        </w:rPr>
      </w:pPr>
    </w:p>
    <w:p w14:paraId="2A6D0F3A" w14:textId="77777777" w:rsidR="00F65BCA" w:rsidRDefault="00F65BCA">
      <w:pPr>
        <w:pStyle w:val="Zkladntext"/>
        <w:rPr>
          <w:sz w:val="8"/>
        </w:rPr>
      </w:pPr>
    </w:p>
    <w:p w14:paraId="34EDF931" w14:textId="77777777" w:rsidR="00F65BCA" w:rsidRDefault="00F65BCA">
      <w:pPr>
        <w:pStyle w:val="Zkladntext"/>
        <w:rPr>
          <w:sz w:val="8"/>
        </w:rPr>
      </w:pPr>
    </w:p>
    <w:p w14:paraId="287D8D77" w14:textId="77777777" w:rsidR="00F65BCA" w:rsidRDefault="00F65BCA">
      <w:pPr>
        <w:pStyle w:val="Zkladntext"/>
        <w:rPr>
          <w:sz w:val="8"/>
        </w:rPr>
      </w:pPr>
    </w:p>
    <w:p w14:paraId="73A8DEB3" w14:textId="77777777" w:rsidR="00F65BCA" w:rsidRDefault="00F65BCA">
      <w:pPr>
        <w:pStyle w:val="Zkladntext"/>
        <w:rPr>
          <w:sz w:val="8"/>
        </w:rPr>
      </w:pPr>
    </w:p>
    <w:p w14:paraId="30747C61" w14:textId="77777777" w:rsidR="00F65BCA" w:rsidRDefault="00F65BCA">
      <w:pPr>
        <w:pStyle w:val="Zkladntext"/>
        <w:rPr>
          <w:sz w:val="8"/>
        </w:rPr>
      </w:pPr>
    </w:p>
    <w:p w14:paraId="7FD458BF" w14:textId="77777777" w:rsidR="00F65BCA" w:rsidRDefault="00F65BCA">
      <w:pPr>
        <w:pStyle w:val="Zkladntext"/>
        <w:rPr>
          <w:sz w:val="8"/>
        </w:rPr>
      </w:pPr>
    </w:p>
    <w:p w14:paraId="105D8A7B" w14:textId="77777777" w:rsidR="00F65BCA" w:rsidRDefault="00F65BCA">
      <w:pPr>
        <w:pStyle w:val="Zkladntext"/>
        <w:rPr>
          <w:sz w:val="8"/>
        </w:rPr>
      </w:pPr>
    </w:p>
    <w:p w14:paraId="6F964428" w14:textId="77777777" w:rsidR="00F65BCA" w:rsidRDefault="00F65BCA">
      <w:pPr>
        <w:pStyle w:val="Zkladntext"/>
        <w:rPr>
          <w:sz w:val="8"/>
        </w:rPr>
      </w:pPr>
    </w:p>
    <w:p w14:paraId="72C1AA90" w14:textId="77777777" w:rsidR="00F65BCA" w:rsidRDefault="00F65BCA">
      <w:pPr>
        <w:pStyle w:val="Zkladntext"/>
        <w:rPr>
          <w:sz w:val="8"/>
        </w:rPr>
      </w:pPr>
    </w:p>
    <w:p w14:paraId="0AB95638" w14:textId="77777777" w:rsidR="00F65BCA" w:rsidRDefault="00F65BCA">
      <w:pPr>
        <w:pStyle w:val="Zkladntext"/>
        <w:rPr>
          <w:sz w:val="8"/>
        </w:rPr>
      </w:pPr>
    </w:p>
    <w:p w14:paraId="032D5839" w14:textId="77777777" w:rsidR="00F65BCA" w:rsidRDefault="00F65BCA">
      <w:pPr>
        <w:pStyle w:val="Zkladntext"/>
        <w:rPr>
          <w:sz w:val="8"/>
        </w:rPr>
      </w:pPr>
    </w:p>
    <w:p w14:paraId="7D9E26D2" w14:textId="77777777" w:rsidR="00F65BCA" w:rsidRDefault="00F65BCA">
      <w:pPr>
        <w:pStyle w:val="Zkladntext"/>
        <w:rPr>
          <w:sz w:val="8"/>
        </w:rPr>
      </w:pPr>
    </w:p>
    <w:p w14:paraId="37443543" w14:textId="77777777" w:rsidR="00F65BCA" w:rsidRDefault="00F65BCA">
      <w:pPr>
        <w:pStyle w:val="Zkladntext"/>
        <w:rPr>
          <w:sz w:val="8"/>
        </w:rPr>
      </w:pPr>
    </w:p>
    <w:p w14:paraId="4EBC1631" w14:textId="77777777" w:rsidR="00F65BCA" w:rsidRDefault="00F65BCA">
      <w:pPr>
        <w:pStyle w:val="Zkladntext"/>
        <w:rPr>
          <w:sz w:val="8"/>
        </w:rPr>
      </w:pPr>
    </w:p>
    <w:p w14:paraId="20AC4140" w14:textId="77777777" w:rsidR="00F65BCA" w:rsidRDefault="00F65BCA">
      <w:pPr>
        <w:pStyle w:val="Zkladntext"/>
        <w:rPr>
          <w:sz w:val="8"/>
        </w:rPr>
      </w:pPr>
    </w:p>
    <w:p w14:paraId="0B4FF9DD" w14:textId="77777777" w:rsidR="00F65BCA" w:rsidRDefault="00F65BCA">
      <w:pPr>
        <w:pStyle w:val="Zkladntext"/>
        <w:rPr>
          <w:sz w:val="8"/>
        </w:rPr>
      </w:pPr>
    </w:p>
    <w:p w14:paraId="16313CF3" w14:textId="77777777" w:rsidR="00F65BCA" w:rsidRDefault="00F65BCA">
      <w:pPr>
        <w:pStyle w:val="Zkladntext"/>
        <w:rPr>
          <w:sz w:val="8"/>
        </w:rPr>
      </w:pPr>
    </w:p>
    <w:p w14:paraId="79FBE973" w14:textId="77777777" w:rsidR="00F65BCA" w:rsidRDefault="00F65BCA">
      <w:pPr>
        <w:pStyle w:val="Zkladntext"/>
        <w:rPr>
          <w:sz w:val="8"/>
        </w:rPr>
      </w:pPr>
    </w:p>
    <w:p w14:paraId="5037E34D" w14:textId="77777777" w:rsidR="00F65BCA" w:rsidRDefault="00F65BCA">
      <w:pPr>
        <w:pStyle w:val="Zkladntext"/>
        <w:rPr>
          <w:sz w:val="8"/>
        </w:rPr>
      </w:pPr>
    </w:p>
    <w:p w14:paraId="0B17EB00" w14:textId="77777777" w:rsidR="00F65BCA" w:rsidRDefault="00F65BCA">
      <w:pPr>
        <w:pStyle w:val="Zkladntext"/>
        <w:rPr>
          <w:sz w:val="8"/>
        </w:rPr>
      </w:pPr>
    </w:p>
    <w:p w14:paraId="2F9F134D" w14:textId="77777777" w:rsidR="00F65BCA" w:rsidRDefault="00F65BCA">
      <w:pPr>
        <w:pStyle w:val="Zkladntext"/>
        <w:rPr>
          <w:sz w:val="8"/>
        </w:rPr>
      </w:pPr>
    </w:p>
    <w:p w14:paraId="04B44293" w14:textId="77777777" w:rsidR="00F65BCA" w:rsidRDefault="00F65BCA">
      <w:pPr>
        <w:pStyle w:val="Zkladntext"/>
        <w:rPr>
          <w:sz w:val="8"/>
        </w:rPr>
      </w:pPr>
    </w:p>
    <w:p w14:paraId="126AAD77" w14:textId="77777777" w:rsidR="00F65BCA" w:rsidRDefault="00F65BCA">
      <w:pPr>
        <w:pStyle w:val="Zkladntext"/>
        <w:rPr>
          <w:sz w:val="8"/>
        </w:rPr>
      </w:pPr>
    </w:p>
    <w:p w14:paraId="218D5A37" w14:textId="77777777" w:rsidR="00F65BCA" w:rsidRDefault="00F65BCA">
      <w:pPr>
        <w:pStyle w:val="Zkladntext"/>
        <w:rPr>
          <w:sz w:val="8"/>
        </w:rPr>
      </w:pPr>
    </w:p>
    <w:p w14:paraId="46CABB5C" w14:textId="77777777" w:rsidR="00F65BCA" w:rsidRDefault="00F65BCA">
      <w:pPr>
        <w:pStyle w:val="Zkladntext"/>
        <w:rPr>
          <w:sz w:val="8"/>
        </w:rPr>
      </w:pPr>
    </w:p>
    <w:p w14:paraId="6A8287EB" w14:textId="77777777" w:rsidR="00F65BCA" w:rsidRDefault="00F65BCA">
      <w:pPr>
        <w:pStyle w:val="Zkladntext"/>
        <w:rPr>
          <w:sz w:val="8"/>
        </w:rPr>
      </w:pPr>
    </w:p>
    <w:p w14:paraId="2CA537DC" w14:textId="77777777" w:rsidR="00F65BCA" w:rsidRDefault="00F65BCA">
      <w:pPr>
        <w:pStyle w:val="Zkladntext"/>
        <w:rPr>
          <w:sz w:val="8"/>
        </w:rPr>
      </w:pPr>
    </w:p>
    <w:p w14:paraId="595CC591" w14:textId="77777777" w:rsidR="00F65BCA" w:rsidRDefault="00F65BCA">
      <w:pPr>
        <w:pStyle w:val="Zkladntext"/>
        <w:rPr>
          <w:sz w:val="8"/>
        </w:rPr>
      </w:pPr>
    </w:p>
    <w:p w14:paraId="571432ED" w14:textId="77777777" w:rsidR="00F65BCA" w:rsidRDefault="00F65BCA">
      <w:pPr>
        <w:pStyle w:val="Zkladntext"/>
        <w:rPr>
          <w:sz w:val="8"/>
        </w:rPr>
      </w:pPr>
    </w:p>
    <w:p w14:paraId="3CF2937A" w14:textId="77777777" w:rsidR="00F65BCA" w:rsidRDefault="00F65BCA">
      <w:pPr>
        <w:pStyle w:val="Zkladntext"/>
        <w:rPr>
          <w:sz w:val="8"/>
        </w:rPr>
      </w:pPr>
    </w:p>
    <w:p w14:paraId="41107FF2" w14:textId="77777777" w:rsidR="00F65BCA" w:rsidRDefault="00F65BCA">
      <w:pPr>
        <w:pStyle w:val="Zkladntext"/>
        <w:rPr>
          <w:sz w:val="8"/>
        </w:rPr>
      </w:pPr>
    </w:p>
    <w:p w14:paraId="31092B7A" w14:textId="77777777" w:rsidR="00F65BCA" w:rsidRDefault="00F65BCA">
      <w:pPr>
        <w:pStyle w:val="Zkladntext"/>
        <w:rPr>
          <w:sz w:val="8"/>
        </w:rPr>
      </w:pPr>
    </w:p>
    <w:p w14:paraId="47D5A283" w14:textId="77777777" w:rsidR="00F65BCA" w:rsidRDefault="00F65BCA">
      <w:pPr>
        <w:pStyle w:val="Zkladntext"/>
        <w:rPr>
          <w:sz w:val="8"/>
        </w:rPr>
      </w:pPr>
    </w:p>
    <w:p w14:paraId="69C86875" w14:textId="77777777" w:rsidR="00F65BCA" w:rsidRDefault="00F65BCA">
      <w:pPr>
        <w:pStyle w:val="Zkladntext"/>
        <w:rPr>
          <w:sz w:val="8"/>
        </w:rPr>
      </w:pPr>
    </w:p>
    <w:p w14:paraId="485C4DC9" w14:textId="77777777" w:rsidR="00F65BCA" w:rsidRDefault="00F65BCA">
      <w:pPr>
        <w:pStyle w:val="Zkladntext"/>
        <w:rPr>
          <w:sz w:val="8"/>
        </w:rPr>
      </w:pPr>
    </w:p>
    <w:p w14:paraId="1820E679" w14:textId="77777777" w:rsidR="00F65BCA" w:rsidRDefault="00F65BCA">
      <w:pPr>
        <w:pStyle w:val="Zkladntext"/>
        <w:rPr>
          <w:sz w:val="8"/>
        </w:rPr>
      </w:pPr>
    </w:p>
    <w:p w14:paraId="41366A40" w14:textId="77777777" w:rsidR="00F65BCA" w:rsidRDefault="00F65BCA">
      <w:pPr>
        <w:pStyle w:val="Zkladntext"/>
        <w:rPr>
          <w:sz w:val="8"/>
        </w:rPr>
      </w:pPr>
    </w:p>
    <w:p w14:paraId="5F96FF3A" w14:textId="77777777" w:rsidR="00F65BCA" w:rsidRDefault="00F65BCA">
      <w:pPr>
        <w:pStyle w:val="Zkladntext"/>
        <w:rPr>
          <w:sz w:val="8"/>
        </w:rPr>
      </w:pPr>
    </w:p>
    <w:p w14:paraId="3ECA3614" w14:textId="77777777" w:rsidR="00F65BCA" w:rsidRDefault="00F65BCA">
      <w:pPr>
        <w:pStyle w:val="Zkladntext"/>
        <w:rPr>
          <w:sz w:val="8"/>
        </w:rPr>
      </w:pPr>
    </w:p>
    <w:p w14:paraId="6E896738" w14:textId="77777777" w:rsidR="00F65BCA" w:rsidRDefault="00F65BCA">
      <w:pPr>
        <w:pStyle w:val="Zkladntext"/>
        <w:rPr>
          <w:sz w:val="8"/>
        </w:rPr>
      </w:pPr>
    </w:p>
    <w:p w14:paraId="2849B3E6" w14:textId="77777777" w:rsidR="00F65BCA" w:rsidRDefault="00F65BCA">
      <w:pPr>
        <w:pStyle w:val="Zkladntext"/>
        <w:rPr>
          <w:sz w:val="8"/>
        </w:rPr>
      </w:pPr>
    </w:p>
    <w:p w14:paraId="2E874F67" w14:textId="77777777" w:rsidR="00F65BCA" w:rsidRDefault="00F65BCA">
      <w:pPr>
        <w:pStyle w:val="Zkladntext"/>
        <w:rPr>
          <w:sz w:val="8"/>
        </w:rPr>
      </w:pPr>
    </w:p>
    <w:p w14:paraId="17FDFBE3" w14:textId="77777777" w:rsidR="00F65BCA" w:rsidRDefault="00F65BCA">
      <w:pPr>
        <w:pStyle w:val="Zkladntext"/>
        <w:rPr>
          <w:sz w:val="8"/>
        </w:rPr>
      </w:pPr>
    </w:p>
    <w:p w14:paraId="05B4E24D" w14:textId="77777777" w:rsidR="00F65BCA" w:rsidRDefault="00F65BCA">
      <w:pPr>
        <w:pStyle w:val="Zkladntext"/>
        <w:rPr>
          <w:sz w:val="8"/>
        </w:rPr>
      </w:pPr>
    </w:p>
    <w:p w14:paraId="075A453F" w14:textId="77777777" w:rsidR="00F65BCA" w:rsidRDefault="00F65BCA">
      <w:pPr>
        <w:pStyle w:val="Zkladntext"/>
        <w:rPr>
          <w:sz w:val="8"/>
        </w:rPr>
      </w:pPr>
    </w:p>
    <w:p w14:paraId="2D1F27E0" w14:textId="77777777" w:rsidR="00F65BCA" w:rsidRDefault="00F65BCA">
      <w:pPr>
        <w:pStyle w:val="Zkladntext"/>
        <w:rPr>
          <w:sz w:val="8"/>
        </w:rPr>
      </w:pPr>
    </w:p>
    <w:p w14:paraId="1F4999BD" w14:textId="77777777" w:rsidR="00F65BCA" w:rsidRDefault="00F65BCA">
      <w:pPr>
        <w:pStyle w:val="Zkladntext"/>
        <w:rPr>
          <w:sz w:val="8"/>
        </w:rPr>
      </w:pPr>
    </w:p>
    <w:p w14:paraId="659BA792" w14:textId="77777777" w:rsidR="00F65BCA" w:rsidRDefault="00F65BCA">
      <w:pPr>
        <w:pStyle w:val="Zkladntext"/>
        <w:rPr>
          <w:sz w:val="8"/>
        </w:rPr>
      </w:pPr>
    </w:p>
    <w:p w14:paraId="1F7889EC" w14:textId="77777777" w:rsidR="00F65BCA" w:rsidRDefault="00F65BCA">
      <w:pPr>
        <w:pStyle w:val="Zkladntext"/>
        <w:rPr>
          <w:sz w:val="8"/>
        </w:rPr>
      </w:pPr>
    </w:p>
    <w:p w14:paraId="6E4FDC34" w14:textId="77777777" w:rsidR="00F65BCA" w:rsidRDefault="00F65BCA">
      <w:pPr>
        <w:pStyle w:val="Zkladntext"/>
        <w:rPr>
          <w:sz w:val="8"/>
        </w:rPr>
      </w:pPr>
    </w:p>
    <w:p w14:paraId="08BF9CF2" w14:textId="77777777" w:rsidR="00F65BCA" w:rsidRDefault="00F65BCA">
      <w:pPr>
        <w:pStyle w:val="Zkladntext"/>
        <w:rPr>
          <w:sz w:val="8"/>
        </w:rPr>
      </w:pPr>
    </w:p>
    <w:p w14:paraId="39F4B2AD" w14:textId="77777777" w:rsidR="00F65BCA" w:rsidRDefault="00F65BCA">
      <w:pPr>
        <w:pStyle w:val="Zkladntext"/>
        <w:rPr>
          <w:sz w:val="8"/>
        </w:rPr>
      </w:pPr>
    </w:p>
    <w:p w14:paraId="7B776A9D" w14:textId="77777777" w:rsidR="00F65BCA" w:rsidRDefault="00F65BCA">
      <w:pPr>
        <w:pStyle w:val="Zkladntext"/>
        <w:rPr>
          <w:sz w:val="8"/>
        </w:rPr>
      </w:pPr>
    </w:p>
    <w:p w14:paraId="2F420C16" w14:textId="77777777" w:rsidR="00F65BCA" w:rsidRDefault="00F65BCA">
      <w:pPr>
        <w:pStyle w:val="Zkladntext"/>
        <w:rPr>
          <w:sz w:val="8"/>
        </w:rPr>
      </w:pPr>
    </w:p>
    <w:p w14:paraId="13D675FF" w14:textId="77777777" w:rsidR="00F65BCA" w:rsidRDefault="00F65BCA">
      <w:pPr>
        <w:pStyle w:val="Zkladntext"/>
        <w:rPr>
          <w:sz w:val="8"/>
        </w:rPr>
      </w:pPr>
    </w:p>
    <w:p w14:paraId="25796E7C" w14:textId="77777777" w:rsidR="00F65BCA" w:rsidRDefault="00F65BCA">
      <w:pPr>
        <w:pStyle w:val="Zkladntext"/>
        <w:rPr>
          <w:sz w:val="8"/>
        </w:rPr>
      </w:pPr>
    </w:p>
    <w:p w14:paraId="3E906363" w14:textId="77777777" w:rsidR="00F65BCA" w:rsidRDefault="00F65BCA">
      <w:pPr>
        <w:pStyle w:val="Zkladntext"/>
        <w:rPr>
          <w:sz w:val="8"/>
        </w:rPr>
      </w:pPr>
    </w:p>
    <w:p w14:paraId="4441ACB9" w14:textId="77777777" w:rsidR="00F65BCA" w:rsidRDefault="00F65BCA">
      <w:pPr>
        <w:pStyle w:val="Zkladntext"/>
        <w:rPr>
          <w:sz w:val="8"/>
        </w:rPr>
      </w:pPr>
    </w:p>
    <w:p w14:paraId="268C144B" w14:textId="77777777" w:rsidR="00F65BCA" w:rsidRDefault="00F65BCA">
      <w:pPr>
        <w:pStyle w:val="Zkladntext"/>
        <w:rPr>
          <w:sz w:val="8"/>
        </w:rPr>
      </w:pPr>
    </w:p>
    <w:p w14:paraId="66F347FA" w14:textId="77777777" w:rsidR="00F65BCA" w:rsidRDefault="00F65BCA">
      <w:pPr>
        <w:pStyle w:val="Zkladntext"/>
        <w:rPr>
          <w:sz w:val="8"/>
        </w:rPr>
      </w:pPr>
    </w:p>
    <w:p w14:paraId="1E1D2DA5" w14:textId="77777777" w:rsidR="00F65BCA" w:rsidRDefault="00F65BCA">
      <w:pPr>
        <w:pStyle w:val="Zkladntext"/>
        <w:rPr>
          <w:sz w:val="8"/>
        </w:rPr>
      </w:pPr>
    </w:p>
    <w:p w14:paraId="606CD507" w14:textId="77777777" w:rsidR="00F65BCA" w:rsidRDefault="00F65BCA">
      <w:pPr>
        <w:pStyle w:val="Zkladntext"/>
        <w:rPr>
          <w:sz w:val="8"/>
        </w:rPr>
      </w:pPr>
    </w:p>
    <w:p w14:paraId="4A354F53" w14:textId="77777777" w:rsidR="00F65BCA" w:rsidRDefault="00F65BCA">
      <w:pPr>
        <w:pStyle w:val="Zkladntext"/>
        <w:rPr>
          <w:sz w:val="8"/>
        </w:rPr>
      </w:pPr>
    </w:p>
    <w:p w14:paraId="7A30FE90" w14:textId="77777777" w:rsidR="00F65BCA" w:rsidRDefault="00F65BCA">
      <w:pPr>
        <w:pStyle w:val="Zkladntext"/>
        <w:rPr>
          <w:sz w:val="8"/>
        </w:rPr>
      </w:pPr>
    </w:p>
    <w:p w14:paraId="44A2CB3B" w14:textId="77777777" w:rsidR="00F65BCA" w:rsidRDefault="00F65BCA">
      <w:pPr>
        <w:pStyle w:val="Zkladntext"/>
        <w:rPr>
          <w:sz w:val="8"/>
        </w:rPr>
      </w:pPr>
    </w:p>
    <w:p w14:paraId="345B6615" w14:textId="77777777" w:rsidR="00F65BCA" w:rsidRDefault="00F65BCA">
      <w:pPr>
        <w:pStyle w:val="Zkladntext"/>
        <w:rPr>
          <w:sz w:val="8"/>
        </w:rPr>
      </w:pPr>
    </w:p>
    <w:p w14:paraId="316810B1" w14:textId="77777777" w:rsidR="00F65BCA" w:rsidRDefault="00F65BCA">
      <w:pPr>
        <w:pStyle w:val="Zkladntext"/>
        <w:rPr>
          <w:sz w:val="8"/>
        </w:rPr>
      </w:pPr>
    </w:p>
    <w:p w14:paraId="005520B5" w14:textId="77777777" w:rsidR="00F65BCA" w:rsidRDefault="00F65BCA">
      <w:pPr>
        <w:pStyle w:val="Zkladntext"/>
        <w:rPr>
          <w:sz w:val="8"/>
        </w:rPr>
      </w:pPr>
    </w:p>
    <w:p w14:paraId="5CD48164" w14:textId="77777777" w:rsidR="00F65BCA" w:rsidRDefault="00F65BCA">
      <w:pPr>
        <w:pStyle w:val="Zkladntext"/>
        <w:rPr>
          <w:sz w:val="8"/>
        </w:rPr>
      </w:pPr>
    </w:p>
    <w:p w14:paraId="5F74B7AA" w14:textId="77777777" w:rsidR="00F65BCA" w:rsidRDefault="00F65BCA">
      <w:pPr>
        <w:pStyle w:val="Zkladntext"/>
        <w:rPr>
          <w:sz w:val="8"/>
        </w:rPr>
      </w:pPr>
    </w:p>
    <w:p w14:paraId="1BB6D0EC" w14:textId="77777777" w:rsidR="00F65BCA" w:rsidRDefault="00F65BCA">
      <w:pPr>
        <w:pStyle w:val="Zkladntext"/>
        <w:rPr>
          <w:sz w:val="8"/>
        </w:rPr>
      </w:pPr>
    </w:p>
    <w:p w14:paraId="4F79B13F" w14:textId="77777777" w:rsidR="00F65BCA" w:rsidRDefault="00F65BCA">
      <w:pPr>
        <w:pStyle w:val="Zkladntext"/>
        <w:rPr>
          <w:sz w:val="8"/>
        </w:rPr>
      </w:pPr>
    </w:p>
    <w:p w14:paraId="0A918A9E" w14:textId="77777777" w:rsidR="00F65BCA" w:rsidRDefault="00F65BCA">
      <w:pPr>
        <w:pStyle w:val="Zkladntext"/>
        <w:rPr>
          <w:sz w:val="8"/>
        </w:rPr>
      </w:pPr>
    </w:p>
    <w:p w14:paraId="0C7F82E1" w14:textId="77777777" w:rsidR="00F65BCA" w:rsidRDefault="00F65BCA">
      <w:pPr>
        <w:pStyle w:val="Zkladntext"/>
        <w:rPr>
          <w:sz w:val="8"/>
        </w:rPr>
      </w:pPr>
    </w:p>
    <w:p w14:paraId="12CC9D0D" w14:textId="77777777" w:rsidR="00F65BCA" w:rsidRDefault="00F65BCA">
      <w:pPr>
        <w:pStyle w:val="Zkladntext"/>
        <w:rPr>
          <w:sz w:val="8"/>
        </w:rPr>
      </w:pPr>
    </w:p>
    <w:p w14:paraId="4EB1AEC0" w14:textId="77777777" w:rsidR="00F65BCA" w:rsidRDefault="00F65BCA">
      <w:pPr>
        <w:pStyle w:val="Zkladntext"/>
        <w:rPr>
          <w:sz w:val="8"/>
        </w:rPr>
      </w:pPr>
    </w:p>
    <w:p w14:paraId="1189C9FA" w14:textId="77777777" w:rsidR="00F65BCA" w:rsidRDefault="00F65BCA">
      <w:pPr>
        <w:pStyle w:val="Zkladntext"/>
        <w:rPr>
          <w:sz w:val="8"/>
        </w:rPr>
      </w:pPr>
    </w:p>
    <w:p w14:paraId="6E164792" w14:textId="77777777" w:rsidR="00F65BCA" w:rsidRDefault="00F65BCA">
      <w:pPr>
        <w:pStyle w:val="Zkladntext"/>
        <w:rPr>
          <w:sz w:val="8"/>
        </w:rPr>
      </w:pPr>
    </w:p>
    <w:p w14:paraId="67C49E61" w14:textId="77777777" w:rsidR="00F65BCA" w:rsidRDefault="00F65BCA">
      <w:pPr>
        <w:pStyle w:val="Zkladntext"/>
        <w:rPr>
          <w:sz w:val="8"/>
        </w:rPr>
      </w:pPr>
    </w:p>
    <w:p w14:paraId="7CFCD044" w14:textId="77777777" w:rsidR="00F65BCA" w:rsidRDefault="00F65BCA">
      <w:pPr>
        <w:pStyle w:val="Zkladntext"/>
        <w:rPr>
          <w:sz w:val="8"/>
        </w:rPr>
      </w:pPr>
    </w:p>
    <w:p w14:paraId="09CEC987" w14:textId="77777777" w:rsidR="00F65BCA" w:rsidRDefault="00F65BCA">
      <w:pPr>
        <w:pStyle w:val="Zkladntext"/>
        <w:rPr>
          <w:sz w:val="8"/>
        </w:rPr>
      </w:pPr>
    </w:p>
    <w:p w14:paraId="5D15E73B" w14:textId="77777777" w:rsidR="00F65BCA" w:rsidRDefault="00F65BCA">
      <w:pPr>
        <w:pStyle w:val="Zkladntext"/>
        <w:rPr>
          <w:sz w:val="8"/>
        </w:rPr>
      </w:pPr>
    </w:p>
    <w:p w14:paraId="2C549C33" w14:textId="77777777" w:rsidR="00F65BCA" w:rsidRDefault="00F65BCA">
      <w:pPr>
        <w:pStyle w:val="Zkladntext"/>
        <w:rPr>
          <w:sz w:val="8"/>
        </w:rPr>
      </w:pPr>
    </w:p>
    <w:p w14:paraId="44F91B3B" w14:textId="77777777" w:rsidR="00F65BCA" w:rsidRDefault="00F65BCA">
      <w:pPr>
        <w:pStyle w:val="Zkladntext"/>
        <w:rPr>
          <w:sz w:val="8"/>
        </w:rPr>
      </w:pPr>
    </w:p>
    <w:p w14:paraId="239683F2" w14:textId="77777777" w:rsidR="00F65BCA" w:rsidRDefault="00F65BCA">
      <w:pPr>
        <w:pStyle w:val="Zkladntext"/>
        <w:rPr>
          <w:sz w:val="8"/>
        </w:rPr>
      </w:pPr>
    </w:p>
    <w:p w14:paraId="6050A8C3" w14:textId="77777777" w:rsidR="00F65BCA" w:rsidRDefault="00F65BCA">
      <w:pPr>
        <w:pStyle w:val="Zkladntext"/>
        <w:rPr>
          <w:sz w:val="8"/>
        </w:rPr>
      </w:pPr>
    </w:p>
    <w:p w14:paraId="1167367B" w14:textId="77777777" w:rsidR="00F65BCA" w:rsidRDefault="00F65BCA">
      <w:pPr>
        <w:pStyle w:val="Zkladntext"/>
        <w:rPr>
          <w:sz w:val="8"/>
        </w:rPr>
      </w:pPr>
    </w:p>
    <w:p w14:paraId="3FA1C6E7" w14:textId="77777777" w:rsidR="00F65BCA" w:rsidRDefault="00F65BCA">
      <w:pPr>
        <w:pStyle w:val="Zkladntext"/>
        <w:rPr>
          <w:sz w:val="8"/>
        </w:rPr>
      </w:pPr>
    </w:p>
    <w:p w14:paraId="3C586AED" w14:textId="77777777" w:rsidR="00F65BCA" w:rsidRDefault="00F65BCA">
      <w:pPr>
        <w:pStyle w:val="Zkladntext"/>
        <w:rPr>
          <w:sz w:val="8"/>
        </w:rPr>
      </w:pPr>
    </w:p>
    <w:p w14:paraId="270AEC3A" w14:textId="77777777" w:rsidR="00F65BCA" w:rsidRDefault="00F65BCA">
      <w:pPr>
        <w:pStyle w:val="Zkladntext"/>
        <w:rPr>
          <w:sz w:val="8"/>
        </w:rPr>
      </w:pPr>
    </w:p>
    <w:p w14:paraId="691536A6" w14:textId="77777777" w:rsidR="00F65BCA" w:rsidRDefault="00F65BCA">
      <w:pPr>
        <w:pStyle w:val="Zkladntext"/>
        <w:rPr>
          <w:sz w:val="8"/>
        </w:rPr>
      </w:pPr>
    </w:p>
    <w:p w14:paraId="6DDE6661" w14:textId="77777777" w:rsidR="00F65BCA" w:rsidRDefault="00F65BCA">
      <w:pPr>
        <w:pStyle w:val="Zkladntext"/>
        <w:rPr>
          <w:sz w:val="8"/>
        </w:rPr>
      </w:pPr>
    </w:p>
    <w:p w14:paraId="080A7C8C" w14:textId="77777777" w:rsidR="00F65BCA" w:rsidRDefault="00F65BCA">
      <w:pPr>
        <w:pStyle w:val="Zkladntext"/>
        <w:rPr>
          <w:sz w:val="8"/>
        </w:rPr>
      </w:pPr>
    </w:p>
    <w:p w14:paraId="1558AA27" w14:textId="77777777" w:rsidR="00F65BCA" w:rsidRDefault="00F65BCA">
      <w:pPr>
        <w:pStyle w:val="Zkladntext"/>
        <w:rPr>
          <w:sz w:val="8"/>
        </w:rPr>
      </w:pPr>
    </w:p>
    <w:p w14:paraId="058462DA" w14:textId="77777777" w:rsidR="00F65BCA" w:rsidRDefault="00F65BCA">
      <w:pPr>
        <w:pStyle w:val="Zkladntext"/>
        <w:rPr>
          <w:sz w:val="8"/>
        </w:rPr>
      </w:pPr>
    </w:p>
    <w:p w14:paraId="42D10004" w14:textId="77777777" w:rsidR="00F65BCA" w:rsidRDefault="00F65BCA">
      <w:pPr>
        <w:pStyle w:val="Zkladntext"/>
        <w:rPr>
          <w:sz w:val="8"/>
        </w:rPr>
      </w:pPr>
    </w:p>
    <w:p w14:paraId="66FA637B" w14:textId="77777777" w:rsidR="00F65BCA" w:rsidRDefault="00F65BCA">
      <w:pPr>
        <w:pStyle w:val="Zkladntext"/>
        <w:rPr>
          <w:sz w:val="8"/>
        </w:rPr>
      </w:pPr>
    </w:p>
    <w:p w14:paraId="2EC75135" w14:textId="77777777" w:rsidR="00F65BCA" w:rsidRDefault="00F65BCA">
      <w:pPr>
        <w:pStyle w:val="Zkladntext"/>
        <w:rPr>
          <w:sz w:val="8"/>
        </w:rPr>
      </w:pPr>
    </w:p>
    <w:p w14:paraId="2F832AD5" w14:textId="77777777" w:rsidR="00F65BCA" w:rsidRDefault="00F65BCA">
      <w:pPr>
        <w:pStyle w:val="Zkladntext"/>
        <w:rPr>
          <w:sz w:val="8"/>
        </w:rPr>
      </w:pPr>
    </w:p>
    <w:p w14:paraId="560EF948" w14:textId="77777777" w:rsidR="00F65BCA" w:rsidRDefault="00F65BCA">
      <w:pPr>
        <w:pStyle w:val="Zkladntext"/>
        <w:rPr>
          <w:sz w:val="8"/>
        </w:rPr>
      </w:pPr>
    </w:p>
    <w:p w14:paraId="177E1913" w14:textId="77777777" w:rsidR="00F65BCA" w:rsidRDefault="00F65BCA">
      <w:pPr>
        <w:pStyle w:val="Zkladntext"/>
        <w:rPr>
          <w:sz w:val="8"/>
        </w:rPr>
      </w:pPr>
    </w:p>
    <w:p w14:paraId="5B94A02E" w14:textId="77777777" w:rsidR="00F65BCA" w:rsidRDefault="00F65BCA">
      <w:pPr>
        <w:pStyle w:val="Zkladntext"/>
        <w:rPr>
          <w:sz w:val="8"/>
        </w:rPr>
      </w:pPr>
    </w:p>
    <w:p w14:paraId="6FD1D9FA" w14:textId="77777777" w:rsidR="00F65BCA" w:rsidRDefault="00F65BCA">
      <w:pPr>
        <w:pStyle w:val="Zkladntext"/>
        <w:rPr>
          <w:sz w:val="8"/>
        </w:rPr>
      </w:pPr>
    </w:p>
    <w:p w14:paraId="60A440C8" w14:textId="77777777" w:rsidR="00F65BCA" w:rsidRDefault="00F65BCA">
      <w:pPr>
        <w:pStyle w:val="Zkladntext"/>
        <w:rPr>
          <w:sz w:val="8"/>
        </w:rPr>
      </w:pPr>
    </w:p>
    <w:p w14:paraId="18562754" w14:textId="77777777" w:rsidR="00F65BCA" w:rsidRDefault="00F65BCA">
      <w:pPr>
        <w:pStyle w:val="Zkladntext"/>
        <w:spacing w:before="10"/>
        <w:rPr>
          <w:sz w:val="7"/>
        </w:rPr>
      </w:pPr>
    </w:p>
    <w:p w14:paraId="3C2F7FDB" w14:textId="77777777" w:rsidR="00F65BCA" w:rsidRDefault="00216117">
      <w:pPr>
        <w:ind w:left="519"/>
        <w:rPr>
          <w:rFonts w:ascii="Calibri" w:hAnsi="Calibri"/>
          <w:sz w:val="9"/>
        </w:rPr>
      </w:pPr>
      <w:r>
        <w:rPr>
          <w:rFonts w:ascii="Calibri" w:hAnsi="Calibri"/>
          <w:w w:val="95"/>
          <w:sz w:val="2"/>
        </w:rPr>
        <w:t>#</w:t>
      </w:r>
      <w:r>
        <w:rPr>
          <w:rFonts w:ascii="Calibri" w:hAnsi="Calibri"/>
          <w:spacing w:val="-1"/>
          <w:w w:val="103"/>
          <w:sz w:val="9"/>
        </w:rPr>
        <w:t>Důvěrn</w:t>
      </w:r>
      <w:r>
        <w:rPr>
          <w:rFonts w:ascii="Calibri" w:hAnsi="Calibri"/>
          <w:w w:val="103"/>
          <w:sz w:val="9"/>
        </w:rPr>
        <w:t>é</w:t>
      </w:r>
      <w:r>
        <w:rPr>
          <w:rFonts w:ascii="Times New Roman" w:hAnsi="Times New Roman"/>
          <w:spacing w:val="-2"/>
          <w:sz w:val="9"/>
        </w:rPr>
        <w:t xml:space="preserve"> </w:t>
      </w:r>
      <w:r>
        <w:rPr>
          <w:rFonts w:ascii="Calibri" w:hAnsi="Calibri"/>
          <w:w w:val="103"/>
          <w:sz w:val="9"/>
        </w:rPr>
        <w:t>/</w:t>
      </w:r>
      <w:r>
        <w:rPr>
          <w:rFonts w:ascii="Times New Roman" w:hAnsi="Times New Roman"/>
          <w:spacing w:val="-2"/>
          <w:sz w:val="9"/>
        </w:rPr>
        <w:t xml:space="preserve"> </w:t>
      </w:r>
      <w:r>
        <w:rPr>
          <w:rFonts w:ascii="Calibri" w:hAnsi="Calibri"/>
          <w:spacing w:val="-1"/>
          <w:w w:val="103"/>
          <w:sz w:val="9"/>
        </w:rPr>
        <w:t>Confidential</w:t>
      </w:r>
    </w:p>
    <w:p w14:paraId="0548D332" w14:textId="77777777" w:rsidR="00F65BCA" w:rsidRDefault="00216117">
      <w:pPr>
        <w:pStyle w:val="Zkladntext"/>
        <w:spacing w:before="4"/>
        <w:rPr>
          <w:rFonts w:ascii="Calibri"/>
          <w:sz w:val="8"/>
        </w:rPr>
      </w:pPr>
      <w:r>
        <w:br w:type="column"/>
      </w:r>
    </w:p>
    <w:p w14:paraId="55DAE873" w14:textId="77777777" w:rsidR="00F65BCA" w:rsidRDefault="00216117">
      <w:pPr>
        <w:spacing w:before="1"/>
        <w:ind w:left="520"/>
        <w:rPr>
          <w:sz w:val="7"/>
        </w:rPr>
      </w:pPr>
      <w:r>
        <w:rPr>
          <w:w w:val="105"/>
          <w:sz w:val="7"/>
        </w:rPr>
        <w:t>Poznámka:</w:t>
      </w:r>
    </w:p>
    <w:p w14:paraId="4A1461F6" w14:textId="77777777" w:rsidR="00F65BCA" w:rsidRDefault="00F65BCA">
      <w:pPr>
        <w:pStyle w:val="Zkladntext"/>
        <w:spacing w:before="6"/>
        <w:rPr>
          <w:sz w:val="7"/>
        </w:rPr>
      </w:pPr>
    </w:p>
    <w:p w14:paraId="0AFF0093" w14:textId="77777777" w:rsidR="00F65BCA" w:rsidRDefault="00000000">
      <w:pPr>
        <w:spacing w:before="1"/>
        <w:ind w:left="519"/>
        <w:rPr>
          <w:sz w:val="7"/>
        </w:rPr>
      </w:pPr>
      <w:r>
        <w:pict w14:anchorId="5A76C913">
          <v:shape id="_x0000_s2464" type="#_x0000_t202" style="position:absolute;left:0;text-align:left;margin-left:50.75pt;margin-top:-27.5pt;width:271.75pt;height:118pt;z-index:251727872;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085"/>
                    <w:gridCol w:w="1085"/>
                    <w:gridCol w:w="1085"/>
                    <w:gridCol w:w="1085"/>
                  </w:tblGrid>
                  <w:tr w:rsidR="00F65BCA" w14:paraId="14E9277E" w14:textId="77777777">
                    <w:trPr>
                      <w:trHeight w:val="158"/>
                    </w:trPr>
                    <w:tc>
                      <w:tcPr>
                        <w:tcW w:w="1085" w:type="dxa"/>
                        <w:tcBorders>
                          <w:top w:val="nil"/>
                          <w:left w:val="nil"/>
                        </w:tcBorders>
                      </w:tcPr>
                      <w:p w14:paraId="4CC56F80" w14:textId="77777777" w:rsidR="00F65BCA" w:rsidRDefault="00F65BCA">
                        <w:pPr>
                          <w:pStyle w:val="TableParagraph"/>
                          <w:rPr>
                            <w:rFonts w:ascii="Times New Roman"/>
                            <w:sz w:val="6"/>
                          </w:rPr>
                        </w:pPr>
                      </w:p>
                    </w:tc>
                    <w:tc>
                      <w:tcPr>
                        <w:tcW w:w="4340" w:type="dxa"/>
                        <w:gridSpan w:val="4"/>
                        <w:shd w:val="clear" w:color="auto" w:fill="F8CBAD"/>
                      </w:tcPr>
                      <w:p w14:paraId="4D536F7F" w14:textId="77777777" w:rsidR="00F65BCA" w:rsidRDefault="00216117">
                        <w:pPr>
                          <w:pStyle w:val="TableParagraph"/>
                          <w:spacing w:before="36"/>
                          <w:ind w:left="1846" w:right="1838"/>
                          <w:jc w:val="center"/>
                          <w:rPr>
                            <w:b/>
                            <w:sz w:val="7"/>
                          </w:rPr>
                        </w:pPr>
                        <w:r>
                          <w:rPr>
                            <w:b/>
                            <w:w w:val="105"/>
                            <w:sz w:val="7"/>
                          </w:rPr>
                          <w:t>Roční sazba v Kč</w:t>
                        </w:r>
                      </w:p>
                    </w:tc>
                  </w:tr>
                  <w:tr w:rsidR="00F65BCA" w14:paraId="6A31B661" w14:textId="77777777">
                    <w:trPr>
                      <w:trHeight w:val="158"/>
                    </w:trPr>
                    <w:tc>
                      <w:tcPr>
                        <w:tcW w:w="1085" w:type="dxa"/>
                        <w:tcBorders>
                          <w:bottom w:val="nil"/>
                        </w:tcBorders>
                        <w:shd w:val="clear" w:color="auto" w:fill="F8CBAD"/>
                      </w:tcPr>
                      <w:p w14:paraId="4F9CC3C5" w14:textId="77777777" w:rsidR="00F65BCA" w:rsidRDefault="00F65BCA">
                        <w:pPr>
                          <w:pStyle w:val="TableParagraph"/>
                          <w:rPr>
                            <w:rFonts w:ascii="Times New Roman"/>
                            <w:sz w:val="6"/>
                          </w:rPr>
                        </w:pPr>
                      </w:p>
                    </w:tc>
                    <w:tc>
                      <w:tcPr>
                        <w:tcW w:w="2170" w:type="dxa"/>
                        <w:gridSpan w:val="2"/>
                        <w:shd w:val="clear" w:color="auto" w:fill="F8CBAD"/>
                      </w:tcPr>
                      <w:p w14:paraId="4C0F42D8" w14:textId="77777777" w:rsidR="00F65BCA" w:rsidRDefault="00216117">
                        <w:pPr>
                          <w:pStyle w:val="TableParagraph"/>
                          <w:spacing w:before="36"/>
                          <w:ind w:left="742" w:right="735"/>
                          <w:jc w:val="center"/>
                          <w:rPr>
                            <w:b/>
                            <w:sz w:val="7"/>
                          </w:rPr>
                        </w:pPr>
                        <w:r>
                          <w:rPr>
                            <w:b/>
                            <w:w w:val="105"/>
                            <w:sz w:val="7"/>
                          </w:rPr>
                          <w:t>Užití vozidla "taxi"</w:t>
                        </w:r>
                      </w:p>
                    </w:tc>
                    <w:tc>
                      <w:tcPr>
                        <w:tcW w:w="2170" w:type="dxa"/>
                        <w:gridSpan w:val="2"/>
                        <w:shd w:val="clear" w:color="auto" w:fill="F8CBAD"/>
                      </w:tcPr>
                      <w:p w14:paraId="00842FFD" w14:textId="77777777" w:rsidR="00F65BCA" w:rsidRDefault="00216117">
                        <w:pPr>
                          <w:pStyle w:val="TableParagraph"/>
                          <w:spacing w:before="36"/>
                          <w:ind w:left="739" w:right="735"/>
                          <w:jc w:val="center"/>
                          <w:rPr>
                            <w:b/>
                            <w:sz w:val="7"/>
                          </w:rPr>
                        </w:pPr>
                        <w:r>
                          <w:rPr>
                            <w:b/>
                            <w:w w:val="105"/>
                            <w:sz w:val="7"/>
                          </w:rPr>
                          <w:t>Ostatní</w:t>
                        </w:r>
                      </w:p>
                    </w:tc>
                  </w:tr>
                  <w:tr w:rsidR="00F65BCA" w14:paraId="1FF7E226" w14:textId="77777777">
                    <w:trPr>
                      <w:trHeight w:val="158"/>
                    </w:trPr>
                    <w:tc>
                      <w:tcPr>
                        <w:tcW w:w="1085" w:type="dxa"/>
                        <w:vMerge w:val="restart"/>
                        <w:tcBorders>
                          <w:top w:val="nil"/>
                        </w:tcBorders>
                        <w:shd w:val="clear" w:color="auto" w:fill="F8CBAD"/>
                      </w:tcPr>
                      <w:p w14:paraId="102E8D4C" w14:textId="77777777" w:rsidR="00F65BCA" w:rsidRDefault="00216117">
                        <w:pPr>
                          <w:pStyle w:val="TableParagraph"/>
                          <w:spacing w:before="36"/>
                          <w:ind w:left="280"/>
                          <w:rPr>
                            <w:b/>
                            <w:sz w:val="7"/>
                          </w:rPr>
                        </w:pPr>
                        <w:r>
                          <w:rPr>
                            <w:b/>
                            <w:w w:val="105"/>
                            <w:sz w:val="7"/>
                          </w:rPr>
                          <w:t>Násobek limitu</w:t>
                        </w:r>
                      </w:p>
                    </w:tc>
                    <w:tc>
                      <w:tcPr>
                        <w:tcW w:w="1085" w:type="dxa"/>
                        <w:shd w:val="clear" w:color="auto" w:fill="FCE4D6"/>
                      </w:tcPr>
                      <w:p w14:paraId="64EF4452" w14:textId="77777777" w:rsidR="00F65BCA" w:rsidRDefault="00216117">
                        <w:pPr>
                          <w:pStyle w:val="TableParagraph"/>
                          <w:spacing w:before="38"/>
                          <w:ind w:left="244" w:right="230"/>
                          <w:jc w:val="center"/>
                          <w:rPr>
                            <w:sz w:val="7"/>
                          </w:rPr>
                        </w:pPr>
                        <w:r>
                          <w:rPr>
                            <w:w w:val="105"/>
                            <w:sz w:val="7"/>
                          </w:rPr>
                          <w:t>motocykly</w:t>
                        </w:r>
                      </w:p>
                    </w:tc>
                    <w:tc>
                      <w:tcPr>
                        <w:tcW w:w="1085" w:type="dxa"/>
                        <w:vMerge w:val="restart"/>
                        <w:shd w:val="clear" w:color="auto" w:fill="FCE4D6"/>
                      </w:tcPr>
                      <w:p w14:paraId="4A1CE1F8" w14:textId="77777777" w:rsidR="00F65BCA" w:rsidRDefault="00F65BCA">
                        <w:pPr>
                          <w:pStyle w:val="TableParagraph"/>
                          <w:spacing w:before="5"/>
                          <w:rPr>
                            <w:sz w:val="10"/>
                          </w:rPr>
                        </w:pPr>
                      </w:p>
                      <w:p w14:paraId="5115BB50" w14:textId="77777777" w:rsidR="00F65BCA" w:rsidRDefault="00216117">
                        <w:pPr>
                          <w:pStyle w:val="TableParagraph"/>
                          <w:ind w:left="240" w:right="230"/>
                          <w:jc w:val="center"/>
                          <w:rPr>
                            <w:sz w:val="7"/>
                          </w:rPr>
                        </w:pPr>
                        <w:r>
                          <w:rPr>
                            <w:w w:val="105"/>
                            <w:sz w:val="7"/>
                          </w:rPr>
                          <w:t>Ostatní</w:t>
                        </w:r>
                      </w:p>
                    </w:tc>
                    <w:tc>
                      <w:tcPr>
                        <w:tcW w:w="1085" w:type="dxa"/>
                        <w:shd w:val="clear" w:color="auto" w:fill="FCE4D6"/>
                      </w:tcPr>
                      <w:p w14:paraId="49BFCC32" w14:textId="77777777" w:rsidR="00F65BCA" w:rsidRDefault="00216117">
                        <w:pPr>
                          <w:pStyle w:val="TableParagraph"/>
                          <w:spacing w:before="38"/>
                          <w:ind w:left="244" w:right="230"/>
                          <w:jc w:val="center"/>
                          <w:rPr>
                            <w:sz w:val="7"/>
                          </w:rPr>
                        </w:pPr>
                        <w:r>
                          <w:rPr>
                            <w:w w:val="105"/>
                            <w:sz w:val="7"/>
                          </w:rPr>
                          <w:t>motocykly</w:t>
                        </w:r>
                      </w:p>
                    </w:tc>
                    <w:tc>
                      <w:tcPr>
                        <w:tcW w:w="1085" w:type="dxa"/>
                        <w:vMerge w:val="restart"/>
                        <w:shd w:val="clear" w:color="auto" w:fill="FCE4D6"/>
                      </w:tcPr>
                      <w:p w14:paraId="5E0975BA" w14:textId="77777777" w:rsidR="00F65BCA" w:rsidRDefault="00F65BCA">
                        <w:pPr>
                          <w:pStyle w:val="TableParagraph"/>
                          <w:spacing w:before="5"/>
                          <w:rPr>
                            <w:sz w:val="10"/>
                          </w:rPr>
                        </w:pPr>
                      </w:p>
                      <w:p w14:paraId="2BF63910" w14:textId="77777777" w:rsidR="00F65BCA" w:rsidRDefault="00216117">
                        <w:pPr>
                          <w:pStyle w:val="TableParagraph"/>
                          <w:ind w:left="239" w:right="230"/>
                          <w:jc w:val="center"/>
                          <w:rPr>
                            <w:sz w:val="7"/>
                          </w:rPr>
                        </w:pPr>
                        <w:r>
                          <w:rPr>
                            <w:w w:val="105"/>
                            <w:sz w:val="7"/>
                          </w:rPr>
                          <w:t>Ostatní</w:t>
                        </w:r>
                      </w:p>
                    </w:tc>
                  </w:tr>
                  <w:tr w:rsidR="00F65BCA" w14:paraId="2F8F3668" w14:textId="77777777">
                    <w:trPr>
                      <w:trHeight w:val="158"/>
                    </w:trPr>
                    <w:tc>
                      <w:tcPr>
                        <w:tcW w:w="1085" w:type="dxa"/>
                        <w:vMerge/>
                        <w:tcBorders>
                          <w:top w:val="nil"/>
                        </w:tcBorders>
                        <w:shd w:val="clear" w:color="auto" w:fill="F8CBAD"/>
                      </w:tcPr>
                      <w:p w14:paraId="03AB7C4A" w14:textId="77777777" w:rsidR="00F65BCA" w:rsidRDefault="00F65BCA">
                        <w:pPr>
                          <w:rPr>
                            <w:sz w:val="2"/>
                            <w:szCs w:val="2"/>
                          </w:rPr>
                        </w:pPr>
                      </w:p>
                    </w:tc>
                    <w:tc>
                      <w:tcPr>
                        <w:tcW w:w="1085" w:type="dxa"/>
                        <w:shd w:val="clear" w:color="auto" w:fill="FCE4D6"/>
                      </w:tcPr>
                      <w:p w14:paraId="64CBC400" w14:textId="77777777" w:rsidR="00F65BCA" w:rsidRDefault="00216117">
                        <w:pPr>
                          <w:pStyle w:val="TableParagraph"/>
                          <w:spacing w:before="38"/>
                          <w:ind w:left="244" w:right="230"/>
                          <w:jc w:val="center"/>
                          <w:rPr>
                            <w:sz w:val="7"/>
                          </w:rPr>
                        </w:pPr>
                        <w:r>
                          <w:rPr>
                            <w:w w:val="105"/>
                            <w:sz w:val="7"/>
                          </w:rPr>
                          <w:t>tříkolky, čtyřkolky</w:t>
                        </w:r>
                      </w:p>
                    </w:tc>
                    <w:tc>
                      <w:tcPr>
                        <w:tcW w:w="1085" w:type="dxa"/>
                        <w:vMerge/>
                        <w:tcBorders>
                          <w:top w:val="nil"/>
                        </w:tcBorders>
                        <w:shd w:val="clear" w:color="auto" w:fill="FCE4D6"/>
                      </w:tcPr>
                      <w:p w14:paraId="782B18C7" w14:textId="77777777" w:rsidR="00F65BCA" w:rsidRDefault="00F65BCA">
                        <w:pPr>
                          <w:rPr>
                            <w:sz w:val="2"/>
                            <w:szCs w:val="2"/>
                          </w:rPr>
                        </w:pPr>
                      </w:p>
                    </w:tc>
                    <w:tc>
                      <w:tcPr>
                        <w:tcW w:w="1085" w:type="dxa"/>
                        <w:shd w:val="clear" w:color="auto" w:fill="FCE4D6"/>
                      </w:tcPr>
                      <w:p w14:paraId="28626FE6" w14:textId="77777777" w:rsidR="00F65BCA" w:rsidRDefault="00216117">
                        <w:pPr>
                          <w:pStyle w:val="TableParagraph"/>
                          <w:spacing w:before="38"/>
                          <w:ind w:left="244" w:right="230"/>
                          <w:jc w:val="center"/>
                          <w:rPr>
                            <w:sz w:val="7"/>
                          </w:rPr>
                        </w:pPr>
                        <w:r>
                          <w:rPr>
                            <w:w w:val="105"/>
                            <w:sz w:val="7"/>
                          </w:rPr>
                          <w:t>tříkolky, čtyřkolky</w:t>
                        </w:r>
                      </w:p>
                    </w:tc>
                    <w:tc>
                      <w:tcPr>
                        <w:tcW w:w="1085" w:type="dxa"/>
                        <w:vMerge/>
                        <w:tcBorders>
                          <w:top w:val="nil"/>
                        </w:tcBorders>
                        <w:shd w:val="clear" w:color="auto" w:fill="FCE4D6"/>
                      </w:tcPr>
                      <w:p w14:paraId="636B89B8" w14:textId="77777777" w:rsidR="00F65BCA" w:rsidRDefault="00F65BCA">
                        <w:pPr>
                          <w:rPr>
                            <w:sz w:val="2"/>
                            <w:szCs w:val="2"/>
                          </w:rPr>
                        </w:pPr>
                      </w:p>
                    </w:tc>
                  </w:tr>
                  <w:tr w:rsidR="00F65BCA" w14:paraId="37335C11" w14:textId="77777777">
                    <w:trPr>
                      <w:trHeight w:val="158"/>
                    </w:trPr>
                    <w:tc>
                      <w:tcPr>
                        <w:tcW w:w="1085" w:type="dxa"/>
                        <w:shd w:val="clear" w:color="auto" w:fill="FCE4D6"/>
                      </w:tcPr>
                      <w:p w14:paraId="2426F01A" w14:textId="77777777" w:rsidR="00F65BCA" w:rsidRDefault="00216117">
                        <w:pPr>
                          <w:pStyle w:val="TableParagraph"/>
                          <w:spacing w:before="38"/>
                          <w:ind w:left="244" w:right="229"/>
                          <w:jc w:val="center"/>
                          <w:rPr>
                            <w:sz w:val="7"/>
                          </w:rPr>
                        </w:pPr>
                        <w:r>
                          <w:rPr>
                            <w:w w:val="105"/>
                            <w:sz w:val="7"/>
                          </w:rPr>
                          <w:t>1x</w:t>
                        </w:r>
                      </w:p>
                    </w:tc>
                    <w:tc>
                      <w:tcPr>
                        <w:tcW w:w="1085" w:type="dxa"/>
                      </w:tcPr>
                      <w:p w14:paraId="04D5D164" w14:textId="77777777" w:rsidR="00F65BCA" w:rsidRDefault="00216117">
                        <w:pPr>
                          <w:pStyle w:val="TableParagraph"/>
                          <w:spacing w:before="38"/>
                          <w:ind w:left="241" w:right="230"/>
                          <w:jc w:val="center"/>
                          <w:rPr>
                            <w:sz w:val="7"/>
                          </w:rPr>
                        </w:pPr>
                        <w:r>
                          <w:rPr>
                            <w:w w:val="105"/>
                            <w:sz w:val="7"/>
                          </w:rPr>
                          <w:t>156</w:t>
                        </w:r>
                      </w:p>
                    </w:tc>
                    <w:tc>
                      <w:tcPr>
                        <w:tcW w:w="1085" w:type="dxa"/>
                      </w:tcPr>
                      <w:p w14:paraId="19CEA8CC" w14:textId="77777777" w:rsidR="00F65BCA" w:rsidRDefault="00216117">
                        <w:pPr>
                          <w:pStyle w:val="TableParagraph"/>
                          <w:spacing w:before="38"/>
                          <w:ind w:left="244" w:right="230"/>
                          <w:jc w:val="center"/>
                          <w:rPr>
                            <w:sz w:val="7"/>
                          </w:rPr>
                        </w:pPr>
                        <w:r>
                          <w:rPr>
                            <w:w w:val="105"/>
                            <w:sz w:val="7"/>
                          </w:rPr>
                          <w:t>78</w:t>
                        </w:r>
                      </w:p>
                    </w:tc>
                    <w:tc>
                      <w:tcPr>
                        <w:tcW w:w="1085" w:type="dxa"/>
                      </w:tcPr>
                      <w:p w14:paraId="282E47D1" w14:textId="77777777" w:rsidR="00F65BCA" w:rsidRDefault="00216117">
                        <w:pPr>
                          <w:pStyle w:val="TableParagraph"/>
                          <w:spacing w:before="38"/>
                          <w:ind w:left="241" w:right="230"/>
                          <w:jc w:val="center"/>
                          <w:rPr>
                            <w:sz w:val="7"/>
                          </w:rPr>
                        </w:pPr>
                        <w:r>
                          <w:rPr>
                            <w:w w:val="105"/>
                            <w:sz w:val="7"/>
                          </w:rPr>
                          <w:t>104</w:t>
                        </w:r>
                      </w:p>
                    </w:tc>
                    <w:tc>
                      <w:tcPr>
                        <w:tcW w:w="1085" w:type="dxa"/>
                      </w:tcPr>
                      <w:p w14:paraId="1285EF20" w14:textId="77777777" w:rsidR="00F65BCA" w:rsidRDefault="00216117">
                        <w:pPr>
                          <w:pStyle w:val="TableParagraph"/>
                          <w:spacing w:before="38"/>
                          <w:ind w:left="503"/>
                          <w:rPr>
                            <w:sz w:val="7"/>
                          </w:rPr>
                        </w:pPr>
                        <w:r>
                          <w:rPr>
                            <w:w w:val="105"/>
                            <w:sz w:val="7"/>
                          </w:rPr>
                          <w:t>52</w:t>
                        </w:r>
                      </w:p>
                    </w:tc>
                  </w:tr>
                  <w:tr w:rsidR="00F65BCA" w14:paraId="13D50155" w14:textId="77777777">
                    <w:trPr>
                      <w:trHeight w:val="158"/>
                    </w:trPr>
                    <w:tc>
                      <w:tcPr>
                        <w:tcW w:w="1085" w:type="dxa"/>
                        <w:shd w:val="clear" w:color="auto" w:fill="FCE4D6"/>
                      </w:tcPr>
                      <w:p w14:paraId="485FCFEB" w14:textId="77777777" w:rsidR="00F65BCA" w:rsidRDefault="00216117">
                        <w:pPr>
                          <w:pStyle w:val="TableParagraph"/>
                          <w:spacing w:before="38"/>
                          <w:ind w:left="244" w:right="229"/>
                          <w:jc w:val="center"/>
                          <w:rPr>
                            <w:sz w:val="7"/>
                          </w:rPr>
                        </w:pPr>
                        <w:r>
                          <w:rPr>
                            <w:w w:val="105"/>
                            <w:sz w:val="7"/>
                          </w:rPr>
                          <w:t>2x</w:t>
                        </w:r>
                      </w:p>
                    </w:tc>
                    <w:tc>
                      <w:tcPr>
                        <w:tcW w:w="1085" w:type="dxa"/>
                      </w:tcPr>
                      <w:p w14:paraId="1EB838C0" w14:textId="77777777" w:rsidR="00F65BCA" w:rsidRDefault="00216117">
                        <w:pPr>
                          <w:pStyle w:val="TableParagraph"/>
                          <w:spacing w:before="38"/>
                          <w:ind w:left="241" w:right="230"/>
                          <w:jc w:val="center"/>
                          <w:rPr>
                            <w:sz w:val="7"/>
                          </w:rPr>
                        </w:pPr>
                        <w:r>
                          <w:rPr>
                            <w:w w:val="105"/>
                            <w:sz w:val="7"/>
                          </w:rPr>
                          <w:t>312</w:t>
                        </w:r>
                      </w:p>
                    </w:tc>
                    <w:tc>
                      <w:tcPr>
                        <w:tcW w:w="1085" w:type="dxa"/>
                      </w:tcPr>
                      <w:p w14:paraId="1C65D114" w14:textId="77777777" w:rsidR="00F65BCA" w:rsidRDefault="00216117">
                        <w:pPr>
                          <w:pStyle w:val="TableParagraph"/>
                          <w:spacing w:before="38"/>
                          <w:ind w:left="241" w:right="230"/>
                          <w:jc w:val="center"/>
                          <w:rPr>
                            <w:sz w:val="7"/>
                          </w:rPr>
                        </w:pPr>
                        <w:r>
                          <w:rPr>
                            <w:w w:val="105"/>
                            <w:sz w:val="7"/>
                          </w:rPr>
                          <w:t>156</w:t>
                        </w:r>
                      </w:p>
                    </w:tc>
                    <w:tc>
                      <w:tcPr>
                        <w:tcW w:w="1085" w:type="dxa"/>
                      </w:tcPr>
                      <w:p w14:paraId="0912B001" w14:textId="77777777" w:rsidR="00F65BCA" w:rsidRDefault="00216117">
                        <w:pPr>
                          <w:pStyle w:val="TableParagraph"/>
                          <w:spacing w:before="38"/>
                          <w:ind w:left="241" w:right="230"/>
                          <w:jc w:val="center"/>
                          <w:rPr>
                            <w:sz w:val="7"/>
                          </w:rPr>
                        </w:pPr>
                        <w:r>
                          <w:rPr>
                            <w:w w:val="105"/>
                            <w:sz w:val="7"/>
                          </w:rPr>
                          <w:t>208</w:t>
                        </w:r>
                      </w:p>
                    </w:tc>
                    <w:tc>
                      <w:tcPr>
                        <w:tcW w:w="1085" w:type="dxa"/>
                      </w:tcPr>
                      <w:p w14:paraId="2CF6D1A2" w14:textId="77777777" w:rsidR="00F65BCA" w:rsidRDefault="00216117">
                        <w:pPr>
                          <w:pStyle w:val="TableParagraph"/>
                          <w:spacing w:before="38"/>
                          <w:ind w:left="481"/>
                          <w:rPr>
                            <w:sz w:val="7"/>
                          </w:rPr>
                        </w:pPr>
                        <w:r>
                          <w:rPr>
                            <w:w w:val="105"/>
                            <w:sz w:val="7"/>
                          </w:rPr>
                          <w:t>104</w:t>
                        </w:r>
                      </w:p>
                    </w:tc>
                  </w:tr>
                  <w:tr w:rsidR="00F65BCA" w14:paraId="0B56550D" w14:textId="77777777">
                    <w:trPr>
                      <w:trHeight w:val="158"/>
                    </w:trPr>
                    <w:tc>
                      <w:tcPr>
                        <w:tcW w:w="1085" w:type="dxa"/>
                        <w:shd w:val="clear" w:color="auto" w:fill="FCE4D6"/>
                      </w:tcPr>
                      <w:p w14:paraId="6DA0C64F" w14:textId="77777777" w:rsidR="00F65BCA" w:rsidRDefault="00216117">
                        <w:pPr>
                          <w:pStyle w:val="TableParagraph"/>
                          <w:spacing w:before="38"/>
                          <w:ind w:left="244" w:right="229"/>
                          <w:jc w:val="center"/>
                          <w:rPr>
                            <w:sz w:val="7"/>
                          </w:rPr>
                        </w:pPr>
                        <w:r>
                          <w:rPr>
                            <w:w w:val="105"/>
                            <w:sz w:val="7"/>
                          </w:rPr>
                          <w:t>3x</w:t>
                        </w:r>
                      </w:p>
                    </w:tc>
                    <w:tc>
                      <w:tcPr>
                        <w:tcW w:w="1085" w:type="dxa"/>
                      </w:tcPr>
                      <w:p w14:paraId="4BE4B9E3" w14:textId="77777777" w:rsidR="00F65BCA" w:rsidRDefault="00216117">
                        <w:pPr>
                          <w:pStyle w:val="TableParagraph"/>
                          <w:spacing w:before="38"/>
                          <w:ind w:left="241" w:right="230"/>
                          <w:jc w:val="center"/>
                          <w:rPr>
                            <w:sz w:val="7"/>
                          </w:rPr>
                        </w:pPr>
                        <w:r>
                          <w:rPr>
                            <w:w w:val="105"/>
                            <w:sz w:val="7"/>
                          </w:rPr>
                          <w:t>468</w:t>
                        </w:r>
                      </w:p>
                    </w:tc>
                    <w:tc>
                      <w:tcPr>
                        <w:tcW w:w="1085" w:type="dxa"/>
                      </w:tcPr>
                      <w:p w14:paraId="20BC169A" w14:textId="77777777" w:rsidR="00F65BCA" w:rsidRDefault="00216117">
                        <w:pPr>
                          <w:pStyle w:val="TableParagraph"/>
                          <w:spacing w:before="38"/>
                          <w:ind w:left="241" w:right="230"/>
                          <w:jc w:val="center"/>
                          <w:rPr>
                            <w:sz w:val="7"/>
                          </w:rPr>
                        </w:pPr>
                        <w:r>
                          <w:rPr>
                            <w:w w:val="105"/>
                            <w:sz w:val="7"/>
                          </w:rPr>
                          <w:t>234</w:t>
                        </w:r>
                      </w:p>
                    </w:tc>
                    <w:tc>
                      <w:tcPr>
                        <w:tcW w:w="1085" w:type="dxa"/>
                      </w:tcPr>
                      <w:p w14:paraId="6ABBE351" w14:textId="77777777" w:rsidR="00F65BCA" w:rsidRDefault="00216117">
                        <w:pPr>
                          <w:pStyle w:val="TableParagraph"/>
                          <w:spacing w:before="38"/>
                          <w:ind w:left="241" w:right="230"/>
                          <w:jc w:val="center"/>
                          <w:rPr>
                            <w:sz w:val="7"/>
                          </w:rPr>
                        </w:pPr>
                        <w:r>
                          <w:rPr>
                            <w:w w:val="105"/>
                            <w:sz w:val="7"/>
                          </w:rPr>
                          <w:t>312</w:t>
                        </w:r>
                      </w:p>
                    </w:tc>
                    <w:tc>
                      <w:tcPr>
                        <w:tcW w:w="1085" w:type="dxa"/>
                      </w:tcPr>
                      <w:p w14:paraId="450C7E4E" w14:textId="77777777" w:rsidR="00F65BCA" w:rsidRDefault="00216117">
                        <w:pPr>
                          <w:pStyle w:val="TableParagraph"/>
                          <w:spacing w:before="38"/>
                          <w:ind w:left="481"/>
                          <w:rPr>
                            <w:sz w:val="7"/>
                          </w:rPr>
                        </w:pPr>
                        <w:r>
                          <w:rPr>
                            <w:w w:val="105"/>
                            <w:sz w:val="7"/>
                          </w:rPr>
                          <w:t>156</w:t>
                        </w:r>
                      </w:p>
                    </w:tc>
                  </w:tr>
                  <w:tr w:rsidR="00F65BCA" w14:paraId="2C0B36AE" w14:textId="77777777">
                    <w:trPr>
                      <w:trHeight w:val="158"/>
                    </w:trPr>
                    <w:tc>
                      <w:tcPr>
                        <w:tcW w:w="1085" w:type="dxa"/>
                        <w:shd w:val="clear" w:color="auto" w:fill="FCE4D6"/>
                      </w:tcPr>
                      <w:p w14:paraId="0A09779E" w14:textId="77777777" w:rsidR="00F65BCA" w:rsidRDefault="00216117">
                        <w:pPr>
                          <w:pStyle w:val="TableParagraph"/>
                          <w:spacing w:before="38"/>
                          <w:ind w:left="244" w:right="229"/>
                          <w:jc w:val="center"/>
                          <w:rPr>
                            <w:sz w:val="7"/>
                          </w:rPr>
                        </w:pPr>
                        <w:r>
                          <w:rPr>
                            <w:w w:val="105"/>
                            <w:sz w:val="7"/>
                          </w:rPr>
                          <w:t>4x</w:t>
                        </w:r>
                      </w:p>
                    </w:tc>
                    <w:tc>
                      <w:tcPr>
                        <w:tcW w:w="1085" w:type="dxa"/>
                      </w:tcPr>
                      <w:p w14:paraId="283E9C1A" w14:textId="77777777" w:rsidR="00F65BCA" w:rsidRDefault="00216117">
                        <w:pPr>
                          <w:pStyle w:val="TableParagraph"/>
                          <w:spacing w:before="38"/>
                          <w:ind w:left="241" w:right="230"/>
                          <w:jc w:val="center"/>
                          <w:rPr>
                            <w:sz w:val="7"/>
                          </w:rPr>
                        </w:pPr>
                        <w:r>
                          <w:rPr>
                            <w:w w:val="105"/>
                            <w:sz w:val="7"/>
                          </w:rPr>
                          <w:t>624</w:t>
                        </w:r>
                      </w:p>
                    </w:tc>
                    <w:tc>
                      <w:tcPr>
                        <w:tcW w:w="1085" w:type="dxa"/>
                      </w:tcPr>
                      <w:p w14:paraId="04F751AA" w14:textId="77777777" w:rsidR="00F65BCA" w:rsidRDefault="00216117">
                        <w:pPr>
                          <w:pStyle w:val="TableParagraph"/>
                          <w:spacing w:before="38"/>
                          <w:ind w:left="241" w:right="230"/>
                          <w:jc w:val="center"/>
                          <w:rPr>
                            <w:sz w:val="7"/>
                          </w:rPr>
                        </w:pPr>
                        <w:r>
                          <w:rPr>
                            <w:w w:val="105"/>
                            <w:sz w:val="7"/>
                          </w:rPr>
                          <w:t>312</w:t>
                        </w:r>
                      </w:p>
                    </w:tc>
                    <w:tc>
                      <w:tcPr>
                        <w:tcW w:w="1085" w:type="dxa"/>
                      </w:tcPr>
                      <w:p w14:paraId="1F048D6C" w14:textId="77777777" w:rsidR="00F65BCA" w:rsidRDefault="00216117">
                        <w:pPr>
                          <w:pStyle w:val="TableParagraph"/>
                          <w:spacing w:before="38"/>
                          <w:ind w:left="241" w:right="230"/>
                          <w:jc w:val="center"/>
                          <w:rPr>
                            <w:sz w:val="7"/>
                          </w:rPr>
                        </w:pPr>
                        <w:r>
                          <w:rPr>
                            <w:w w:val="105"/>
                            <w:sz w:val="7"/>
                          </w:rPr>
                          <w:t>416</w:t>
                        </w:r>
                      </w:p>
                    </w:tc>
                    <w:tc>
                      <w:tcPr>
                        <w:tcW w:w="1085" w:type="dxa"/>
                      </w:tcPr>
                      <w:p w14:paraId="0CB23796" w14:textId="77777777" w:rsidR="00F65BCA" w:rsidRDefault="00216117">
                        <w:pPr>
                          <w:pStyle w:val="TableParagraph"/>
                          <w:spacing w:before="38"/>
                          <w:ind w:left="481"/>
                          <w:rPr>
                            <w:sz w:val="7"/>
                          </w:rPr>
                        </w:pPr>
                        <w:r>
                          <w:rPr>
                            <w:w w:val="105"/>
                            <w:sz w:val="7"/>
                          </w:rPr>
                          <w:t>208</w:t>
                        </w:r>
                      </w:p>
                    </w:tc>
                  </w:tr>
                  <w:tr w:rsidR="00F65BCA" w14:paraId="6EE0E4BA" w14:textId="77777777">
                    <w:trPr>
                      <w:trHeight w:val="158"/>
                    </w:trPr>
                    <w:tc>
                      <w:tcPr>
                        <w:tcW w:w="1085" w:type="dxa"/>
                        <w:shd w:val="clear" w:color="auto" w:fill="FCE4D6"/>
                      </w:tcPr>
                      <w:p w14:paraId="453D8C19" w14:textId="77777777" w:rsidR="00F65BCA" w:rsidRDefault="00216117">
                        <w:pPr>
                          <w:pStyle w:val="TableParagraph"/>
                          <w:spacing w:before="38"/>
                          <w:ind w:left="244" w:right="229"/>
                          <w:jc w:val="center"/>
                          <w:rPr>
                            <w:sz w:val="7"/>
                          </w:rPr>
                        </w:pPr>
                        <w:r>
                          <w:rPr>
                            <w:w w:val="105"/>
                            <w:sz w:val="7"/>
                          </w:rPr>
                          <w:t>5x</w:t>
                        </w:r>
                      </w:p>
                    </w:tc>
                    <w:tc>
                      <w:tcPr>
                        <w:tcW w:w="1085" w:type="dxa"/>
                      </w:tcPr>
                      <w:p w14:paraId="65348195" w14:textId="77777777" w:rsidR="00F65BCA" w:rsidRDefault="00216117">
                        <w:pPr>
                          <w:pStyle w:val="TableParagraph"/>
                          <w:spacing w:before="38"/>
                          <w:ind w:left="241" w:right="230"/>
                          <w:jc w:val="center"/>
                          <w:rPr>
                            <w:sz w:val="7"/>
                          </w:rPr>
                        </w:pPr>
                        <w:r>
                          <w:rPr>
                            <w:w w:val="105"/>
                            <w:sz w:val="7"/>
                          </w:rPr>
                          <w:t>780</w:t>
                        </w:r>
                      </w:p>
                    </w:tc>
                    <w:tc>
                      <w:tcPr>
                        <w:tcW w:w="1085" w:type="dxa"/>
                      </w:tcPr>
                      <w:p w14:paraId="2A5C1D8D" w14:textId="77777777" w:rsidR="00F65BCA" w:rsidRDefault="00216117">
                        <w:pPr>
                          <w:pStyle w:val="TableParagraph"/>
                          <w:spacing w:before="38"/>
                          <w:ind w:left="241" w:right="230"/>
                          <w:jc w:val="center"/>
                          <w:rPr>
                            <w:sz w:val="7"/>
                          </w:rPr>
                        </w:pPr>
                        <w:r>
                          <w:rPr>
                            <w:w w:val="105"/>
                            <w:sz w:val="7"/>
                          </w:rPr>
                          <w:t>390</w:t>
                        </w:r>
                      </w:p>
                    </w:tc>
                    <w:tc>
                      <w:tcPr>
                        <w:tcW w:w="1085" w:type="dxa"/>
                      </w:tcPr>
                      <w:p w14:paraId="2AE67DB2" w14:textId="77777777" w:rsidR="00F65BCA" w:rsidRDefault="00216117">
                        <w:pPr>
                          <w:pStyle w:val="TableParagraph"/>
                          <w:spacing w:before="38"/>
                          <w:ind w:left="241" w:right="230"/>
                          <w:jc w:val="center"/>
                          <w:rPr>
                            <w:sz w:val="7"/>
                          </w:rPr>
                        </w:pPr>
                        <w:r>
                          <w:rPr>
                            <w:w w:val="105"/>
                            <w:sz w:val="7"/>
                          </w:rPr>
                          <w:t>520</w:t>
                        </w:r>
                      </w:p>
                    </w:tc>
                    <w:tc>
                      <w:tcPr>
                        <w:tcW w:w="1085" w:type="dxa"/>
                      </w:tcPr>
                      <w:p w14:paraId="6770D67A" w14:textId="77777777" w:rsidR="00F65BCA" w:rsidRDefault="00216117">
                        <w:pPr>
                          <w:pStyle w:val="TableParagraph"/>
                          <w:spacing w:before="38"/>
                          <w:ind w:left="481"/>
                          <w:rPr>
                            <w:sz w:val="7"/>
                          </w:rPr>
                        </w:pPr>
                        <w:r>
                          <w:rPr>
                            <w:w w:val="105"/>
                            <w:sz w:val="7"/>
                          </w:rPr>
                          <w:t>260</w:t>
                        </w:r>
                      </w:p>
                    </w:tc>
                  </w:tr>
                  <w:tr w:rsidR="00F65BCA" w14:paraId="31C9DD0B" w14:textId="77777777">
                    <w:trPr>
                      <w:trHeight w:val="158"/>
                    </w:trPr>
                    <w:tc>
                      <w:tcPr>
                        <w:tcW w:w="1085" w:type="dxa"/>
                        <w:shd w:val="clear" w:color="auto" w:fill="FCE4D6"/>
                      </w:tcPr>
                      <w:p w14:paraId="44B3AEAD" w14:textId="77777777" w:rsidR="00F65BCA" w:rsidRDefault="00216117">
                        <w:pPr>
                          <w:pStyle w:val="TableParagraph"/>
                          <w:spacing w:before="38"/>
                          <w:ind w:left="244" w:right="229"/>
                          <w:jc w:val="center"/>
                          <w:rPr>
                            <w:sz w:val="7"/>
                          </w:rPr>
                        </w:pPr>
                        <w:r>
                          <w:rPr>
                            <w:w w:val="105"/>
                            <w:sz w:val="7"/>
                          </w:rPr>
                          <w:t>6x</w:t>
                        </w:r>
                      </w:p>
                    </w:tc>
                    <w:tc>
                      <w:tcPr>
                        <w:tcW w:w="1085" w:type="dxa"/>
                      </w:tcPr>
                      <w:p w14:paraId="3C410D79" w14:textId="77777777" w:rsidR="00F65BCA" w:rsidRDefault="00216117">
                        <w:pPr>
                          <w:pStyle w:val="TableParagraph"/>
                          <w:spacing w:before="38"/>
                          <w:ind w:left="241" w:right="230"/>
                          <w:jc w:val="center"/>
                          <w:rPr>
                            <w:sz w:val="7"/>
                          </w:rPr>
                        </w:pPr>
                        <w:r>
                          <w:rPr>
                            <w:w w:val="105"/>
                            <w:sz w:val="7"/>
                          </w:rPr>
                          <w:t>936</w:t>
                        </w:r>
                      </w:p>
                    </w:tc>
                    <w:tc>
                      <w:tcPr>
                        <w:tcW w:w="1085" w:type="dxa"/>
                      </w:tcPr>
                      <w:p w14:paraId="26AEA0A4" w14:textId="77777777" w:rsidR="00F65BCA" w:rsidRDefault="00216117">
                        <w:pPr>
                          <w:pStyle w:val="TableParagraph"/>
                          <w:spacing w:before="38"/>
                          <w:ind w:left="241" w:right="230"/>
                          <w:jc w:val="center"/>
                          <w:rPr>
                            <w:sz w:val="7"/>
                          </w:rPr>
                        </w:pPr>
                        <w:r>
                          <w:rPr>
                            <w:w w:val="105"/>
                            <w:sz w:val="7"/>
                          </w:rPr>
                          <w:t>468</w:t>
                        </w:r>
                      </w:p>
                    </w:tc>
                    <w:tc>
                      <w:tcPr>
                        <w:tcW w:w="1085" w:type="dxa"/>
                      </w:tcPr>
                      <w:p w14:paraId="14558A93" w14:textId="77777777" w:rsidR="00F65BCA" w:rsidRDefault="00216117">
                        <w:pPr>
                          <w:pStyle w:val="TableParagraph"/>
                          <w:spacing w:before="38"/>
                          <w:ind w:left="241" w:right="230"/>
                          <w:jc w:val="center"/>
                          <w:rPr>
                            <w:sz w:val="7"/>
                          </w:rPr>
                        </w:pPr>
                        <w:r>
                          <w:rPr>
                            <w:w w:val="105"/>
                            <w:sz w:val="7"/>
                          </w:rPr>
                          <w:t>624</w:t>
                        </w:r>
                      </w:p>
                    </w:tc>
                    <w:tc>
                      <w:tcPr>
                        <w:tcW w:w="1085" w:type="dxa"/>
                      </w:tcPr>
                      <w:p w14:paraId="30B1D875" w14:textId="77777777" w:rsidR="00F65BCA" w:rsidRDefault="00216117">
                        <w:pPr>
                          <w:pStyle w:val="TableParagraph"/>
                          <w:spacing w:before="38"/>
                          <w:ind w:left="481"/>
                          <w:rPr>
                            <w:sz w:val="7"/>
                          </w:rPr>
                        </w:pPr>
                        <w:r>
                          <w:rPr>
                            <w:w w:val="105"/>
                            <w:sz w:val="7"/>
                          </w:rPr>
                          <w:t>312</w:t>
                        </w:r>
                      </w:p>
                    </w:tc>
                  </w:tr>
                  <w:tr w:rsidR="00F65BCA" w14:paraId="6893E066" w14:textId="77777777">
                    <w:trPr>
                      <w:trHeight w:val="158"/>
                    </w:trPr>
                    <w:tc>
                      <w:tcPr>
                        <w:tcW w:w="1085" w:type="dxa"/>
                        <w:shd w:val="clear" w:color="auto" w:fill="FCE4D6"/>
                      </w:tcPr>
                      <w:p w14:paraId="2831AEFD" w14:textId="77777777" w:rsidR="00F65BCA" w:rsidRDefault="00216117">
                        <w:pPr>
                          <w:pStyle w:val="TableParagraph"/>
                          <w:spacing w:before="38"/>
                          <w:ind w:left="244" w:right="229"/>
                          <w:jc w:val="center"/>
                          <w:rPr>
                            <w:sz w:val="7"/>
                          </w:rPr>
                        </w:pPr>
                        <w:r>
                          <w:rPr>
                            <w:w w:val="105"/>
                            <w:sz w:val="7"/>
                          </w:rPr>
                          <w:t>7x</w:t>
                        </w:r>
                      </w:p>
                    </w:tc>
                    <w:tc>
                      <w:tcPr>
                        <w:tcW w:w="1085" w:type="dxa"/>
                      </w:tcPr>
                      <w:p w14:paraId="1512D809" w14:textId="77777777" w:rsidR="00F65BCA" w:rsidRDefault="00216117">
                        <w:pPr>
                          <w:pStyle w:val="TableParagraph"/>
                          <w:spacing w:before="38"/>
                          <w:ind w:left="241" w:right="230"/>
                          <w:jc w:val="center"/>
                          <w:rPr>
                            <w:sz w:val="7"/>
                          </w:rPr>
                        </w:pPr>
                        <w:r>
                          <w:rPr>
                            <w:w w:val="105"/>
                            <w:sz w:val="7"/>
                          </w:rPr>
                          <w:t>1 092</w:t>
                        </w:r>
                      </w:p>
                    </w:tc>
                    <w:tc>
                      <w:tcPr>
                        <w:tcW w:w="1085" w:type="dxa"/>
                      </w:tcPr>
                      <w:p w14:paraId="0EF6869F" w14:textId="77777777" w:rsidR="00F65BCA" w:rsidRDefault="00216117">
                        <w:pPr>
                          <w:pStyle w:val="TableParagraph"/>
                          <w:spacing w:before="38"/>
                          <w:ind w:left="241" w:right="230"/>
                          <w:jc w:val="center"/>
                          <w:rPr>
                            <w:sz w:val="7"/>
                          </w:rPr>
                        </w:pPr>
                        <w:r>
                          <w:rPr>
                            <w:w w:val="105"/>
                            <w:sz w:val="7"/>
                          </w:rPr>
                          <w:t>546</w:t>
                        </w:r>
                      </w:p>
                    </w:tc>
                    <w:tc>
                      <w:tcPr>
                        <w:tcW w:w="1085" w:type="dxa"/>
                      </w:tcPr>
                      <w:p w14:paraId="229741D4" w14:textId="77777777" w:rsidR="00F65BCA" w:rsidRDefault="00216117">
                        <w:pPr>
                          <w:pStyle w:val="TableParagraph"/>
                          <w:spacing w:before="38"/>
                          <w:ind w:left="241" w:right="230"/>
                          <w:jc w:val="center"/>
                          <w:rPr>
                            <w:sz w:val="7"/>
                          </w:rPr>
                        </w:pPr>
                        <w:r>
                          <w:rPr>
                            <w:w w:val="105"/>
                            <w:sz w:val="7"/>
                          </w:rPr>
                          <w:t>728</w:t>
                        </w:r>
                      </w:p>
                    </w:tc>
                    <w:tc>
                      <w:tcPr>
                        <w:tcW w:w="1085" w:type="dxa"/>
                      </w:tcPr>
                      <w:p w14:paraId="1FC5211C" w14:textId="77777777" w:rsidR="00F65BCA" w:rsidRDefault="00216117">
                        <w:pPr>
                          <w:pStyle w:val="TableParagraph"/>
                          <w:spacing w:before="38"/>
                          <w:ind w:left="481"/>
                          <w:rPr>
                            <w:sz w:val="7"/>
                          </w:rPr>
                        </w:pPr>
                        <w:r>
                          <w:rPr>
                            <w:w w:val="105"/>
                            <w:sz w:val="7"/>
                          </w:rPr>
                          <w:t>364</w:t>
                        </w:r>
                      </w:p>
                    </w:tc>
                  </w:tr>
                  <w:tr w:rsidR="00F65BCA" w14:paraId="263A85D3" w14:textId="77777777">
                    <w:trPr>
                      <w:trHeight w:val="158"/>
                    </w:trPr>
                    <w:tc>
                      <w:tcPr>
                        <w:tcW w:w="1085" w:type="dxa"/>
                        <w:shd w:val="clear" w:color="auto" w:fill="FCE4D6"/>
                      </w:tcPr>
                      <w:p w14:paraId="0C148FDC" w14:textId="77777777" w:rsidR="00F65BCA" w:rsidRDefault="00216117">
                        <w:pPr>
                          <w:pStyle w:val="TableParagraph"/>
                          <w:spacing w:before="38"/>
                          <w:ind w:left="244" w:right="229"/>
                          <w:jc w:val="center"/>
                          <w:rPr>
                            <w:sz w:val="7"/>
                          </w:rPr>
                        </w:pPr>
                        <w:r>
                          <w:rPr>
                            <w:w w:val="105"/>
                            <w:sz w:val="7"/>
                          </w:rPr>
                          <w:t>8x</w:t>
                        </w:r>
                      </w:p>
                    </w:tc>
                    <w:tc>
                      <w:tcPr>
                        <w:tcW w:w="1085" w:type="dxa"/>
                      </w:tcPr>
                      <w:p w14:paraId="0BDFA67E" w14:textId="77777777" w:rsidR="00F65BCA" w:rsidRDefault="00216117">
                        <w:pPr>
                          <w:pStyle w:val="TableParagraph"/>
                          <w:spacing w:before="38"/>
                          <w:ind w:left="241" w:right="230"/>
                          <w:jc w:val="center"/>
                          <w:rPr>
                            <w:sz w:val="7"/>
                          </w:rPr>
                        </w:pPr>
                        <w:r>
                          <w:rPr>
                            <w:w w:val="105"/>
                            <w:sz w:val="7"/>
                          </w:rPr>
                          <w:t>1 248</w:t>
                        </w:r>
                      </w:p>
                    </w:tc>
                    <w:tc>
                      <w:tcPr>
                        <w:tcW w:w="1085" w:type="dxa"/>
                      </w:tcPr>
                      <w:p w14:paraId="1E02F2C3" w14:textId="77777777" w:rsidR="00F65BCA" w:rsidRDefault="00216117">
                        <w:pPr>
                          <w:pStyle w:val="TableParagraph"/>
                          <w:spacing w:before="38"/>
                          <w:ind w:left="241" w:right="230"/>
                          <w:jc w:val="center"/>
                          <w:rPr>
                            <w:sz w:val="7"/>
                          </w:rPr>
                        </w:pPr>
                        <w:r>
                          <w:rPr>
                            <w:w w:val="105"/>
                            <w:sz w:val="7"/>
                          </w:rPr>
                          <w:t>624</w:t>
                        </w:r>
                      </w:p>
                    </w:tc>
                    <w:tc>
                      <w:tcPr>
                        <w:tcW w:w="1085" w:type="dxa"/>
                      </w:tcPr>
                      <w:p w14:paraId="7227E526" w14:textId="77777777" w:rsidR="00F65BCA" w:rsidRDefault="00216117">
                        <w:pPr>
                          <w:pStyle w:val="TableParagraph"/>
                          <w:spacing w:before="38"/>
                          <w:ind w:left="241" w:right="230"/>
                          <w:jc w:val="center"/>
                          <w:rPr>
                            <w:sz w:val="7"/>
                          </w:rPr>
                        </w:pPr>
                        <w:r>
                          <w:rPr>
                            <w:w w:val="105"/>
                            <w:sz w:val="7"/>
                          </w:rPr>
                          <w:t>832</w:t>
                        </w:r>
                      </w:p>
                    </w:tc>
                    <w:tc>
                      <w:tcPr>
                        <w:tcW w:w="1085" w:type="dxa"/>
                      </w:tcPr>
                      <w:p w14:paraId="7F8ED97D" w14:textId="77777777" w:rsidR="00F65BCA" w:rsidRDefault="00216117">
                        <w:pPr>
                          <w:pStyle w:val="TableParagraph"/>
                          <w:spacing w:before="38"/>
                          <w:ind w:left="481"/>
                          <w:rPr>
                            <w:sz w:val="7"/>
                          </w:rPr>
                        </w:pPr>
                        <w:r>
                          <w:rPr>
                            <w:w w:val="105"/>
                            <w:sz w:val="7"/>
                          </w:rPr>
                          <w:t>416</w:t>
                        </w:r>
                      </w:p>
                    </w:tc>
                  </w:tr>
                  <w:tr w:rsidR="00F65BCA" w14:paraId="4755E43E" w14:textId="77777777">
                    <w:trPr>
                      <w:trHeight w:val="158"/>
                    </w:trPr>
                    <w:tc>
                      <w:tcPr>
                        <w:tcW w:w="1085" w:type="dxa"/>
                        <w:shd w:val="clear" w:color="auto" w:fill="FCE4D6"/>
                      </w:tcPr>
                      <w:p w14:paraId="2E2CBB68" w14:textId="77777777" w:rsidR="00F65BCA" w:rsidRDefault="00216117">
                        <w:pPr>
                          <w:pStyle w:val="TableParagraph"/>
                          <w:spacing w:before="38"/>
                          <w:ind w:left="244" w:right="229"/>
                          <w:jc w:val="center"/>
                          <w:rPr>
                            <w:sz w:val="7"/>
                          </w:rPr>
                        </w:pPr>
                        <w:r>
                          <w:rPr>
                            <w:w w:val="105"/>
                            <w:sz w:val="7"/>
                          </w:rPr>
                          <w:t>9x</w:t>
                        </w:r>
                      </w:p>
                    </w:tc>
                    <w:tc>
                      <w:tcPr>
                        <w:tcW w:w="1085" w:type="dxa"/>
                      </w:tcPr>
                      <w:p w14:paraId="051E50C3" w14:textId="77777777" w:rsidR="00F65BCA" w:rsidRDefault="00216117">
                        <w:pPr>
                          <w:pStyle w:val="TableParagraph"/>
                          <w:spacing w:before="38"/>
                          <w:ind w:left="241" w:right="230"/>
                          <w:jc w:val="center"/>
                          <w:rPr>
                            <w:sz w:val="7"/>
                          </w:rPr>
                        </w:pPr>
                        <w:r>
                          <w:rPr>
                            <w:w w:val="105"/>
                            <w:sz w:val="7"/>
                          </w:rPr>
                          <w:t>1 404</w:t>
                        </w:r>
                      </w:p>
                    </w:tc>
                    <w:tc>
                      <w:tcPr>
                        <w:tcW w:w="1085" w:type="dxa"/>
                      </w:tcPr>
                      <w:p w14:paraId="770D035B" w14:textId="77777777" w:rsidR="00F65BCA" w:rsidRDefault="00216117">
                        <w:pPr>
                          <w:pStyle w:val="TableParagraph"/>
                          <w:spacing w:before="38"/>
                          <w:ind w:left="241" w:right="230"/>
                          <w:jc w:val="center"/>
                          <w:rPr>
                            <w:sz w:val="7"/>
                          </w:rPr>
                        </w:pPr>
                        <w:r>
                          <w:rPr>
                            <w:w w:val="105"/>
                            <w:sz w:val="7"/>
                          </w:rPr>
                          <w:t>702</w:t>
                        </w:r>
                      </w:p>
                    </w:tc>
                    <w:tc>
                      <w:tcPr>
                        <w:tcW w:w="1085" w:type="dxa"/>
                      </w:tcPr>
                      <w:p w14:paraId="4946B4F1" w14:textId="77777777" w:rsidR="00F65BCA" w:rsidRDefault="00216117">
                        <w:pPr>
                          <w:pStyle w:val="TableParagraph"/>
                          <w:spacing w:before="38"/>
                          <w:ind w:left="241" w:right="230"/>
                          <w:jc w:val="center"/>
                          <w:rPr>
                            <w:sz w:val="7"/>
                          </w:rPr>
                        </w:pPr>
                        <w:r>
                          <w:rPr>
                            <w:w w:val="105"/>
                            <w:sz w:val="7"/>
                          </w:rPr>
                          <w:t>936</w:t>
                        </w:r>
                      </w:p>
                    </w:tc>
                    <w:tc>
                      <w:tcPr>
                        <w:tcW w:w="1085" w:type="dxa"/>
                      </w:tcPr>
                      <w:p w14:paraId="38985732" w14:textId="77777777" w:rsidR="00F65BCA" w:rsidRDefault="00216117">
                        <w:pPr>
                          <w:pStyle w:val="TableParagraph"/>
                          <w:spacing w:before="38"/>
                          <w:ind w:left="481"/>
                          <w:rPr>
                            <w:sz w:val="7"/>
                          </w:rPr>
                        </w:pPr>
                        <w:r>
                          <w:rPr>
                            <w:w w:val="105"/>
                            <w:sz w:val="7"/>
                          </w:rPr>
                          <w:t>468</w:t>
                        </w:r>
                      </w:p>
                    </w:tc>
                  </w:tr>
                  <w:tr w:rsidR="00F65BCA" w14:paraId="4D35B4EA" w14:textId="77777777">
                    <w:trPr>
                      <w:trHeight w:val="158"/>
                    </w:trPr>
                    <w:tc>
                      <w:tcPr>
                        <w:tcW w:w="1085" w:type="dxa"/>
                        <w:shd w:val="clear" w:color="auto" w:fill="FCE4D6"/>
                      </w:tcPr>
                      <w:p w14:paraId="4521F883" w14:textId="77777777" w:rsidR="00F65BCA" w:rsidRDefault="00216117">
                        <w:pPr>
                          <w:pStyle w:val="TableParagraph"/>
                          <w:spacing w:before="38"/>
                          <w:ind w:left="244" w:right="227"/>
                          <w:jc w:val="center"/>
                          <w:rPr>
                            <w:sz w:val="7"/>
                          </w:rPr>
                        </w:pPr>
                        <w:r>
                          <w:rPr>
                            <w:w w:val="105"/>
                            <w:sz w:val="7"/>
                          </w:rPr>
                          <w:t>10x</w:t>
                        </w:r>
                      </w:p>
                    </w:tc>
                    <w:tc>
                      <w:tcPr>
                        <w:tcW w:w="1085" w:type="dxa"/>
                      </w:tcPr>
                      <w:p w14:paraId="43479933" w14:textId="77777777" w:rsidR="00F65BCA" w:rsidRDefault="00216117">
                        <w:pPr>
                          <w:pStyle w:val="TableParagraph"/>
                          <w:spacing w:before="38"/>
                          <w:ind w:left="241" w:right="230"/>
                          <w:jc w:val="center"/>
                          <w:rPr>
                            <w:sz w:val="7"/>
                          </w:rPr>
                        </w:pPr>
                        <w:r>
                          <w:rPr>
                            <w:w w:val="105"/>
                            <w:sz w:val="7"/>
                          </w:rPr>
                          <w:t>1 560</w:t>
                        </w:r>
                      </w:p>
                    </w:tc>
                    <w:tc>
                      <w:tcPr>
                        <w:tcW w:w="1085" w:type="dxa"/>
                      </w:tcPr>
                      <w:p w14:paraId="2CCD0AAD" w14:textId="77777777" w:rsidR="00F65BCA" w:rsidRDefault="00216117">
                        <w:pPr>
                          <w:pStyle w:val="TableParagraph"/>
                          <w:spacing w:before="38"/>
                          <w:ind w:left="241" w:right="230"/>
                          <w:jc w:val="center"/>
                          <w:rPr>
                            <w:sz w:val="7"/>
                          </w:rPr>
                        </w:pPr>
                        <w:r>
                          <w:rPr>
                            <w:w w:val="105"/>
                            <w:sz w:val="7"/>
                          </w:rPr>
                          <w:t>780</w:t>
                        </w:r>
                      </w:p>
                    </w:tc>
                    <w:tc>
                      <w:tcPr>
                        <w:tcW w:w="1085" w:type="dxa"/>
                      </w:tcPr>
                      <w:p w14:paraId="511F5DD2" w14:textId="77777777" w:rsidR="00F65BCA" w:rsidRDefault="00216117">
                        <w:pPr>
                          <w:pStyle w:val="TableParagraph"/>
                          <w:spacing w:before="38"/>
                          <w:ind w:left="241" w:right="230"/>
                          <w:jc w:val="center"/>
                          <w:rPr>
                            <w:sz w:val="7"/>
                          </w:rPr>
                        </w:pPr>
                        <w:r>
                          <w:rPr>
                            <w:w w:val="105"/>
                            <w:sz w:val="7"/>
                          </w:rPr>
                          <w:t>1 040</w:t>
                        </w:r>
                      </w:p>
                    </w:tc>
                    <w:tc>
                      <w:tcPr>
                        <w:tcW w:w="1085" w:type="dxa"/>
                      </w:tcPr>
                      <w:p w14:paraId="3B5F2C5D" w14:textId="77777777" w:rsidR="00F65BCA" w:rsidRDefault="00216117">
                        <w:pPr>
                          <w:pStyle w:val="TableParagraph"/>
                          <w:spacing w:before="38"/>
                          <w:ind w:left="481"/>
                          <w:rPr>
                            <w:sz w:val="7"/>
                          </w:rPr>
                        </w:pPr>
                        <w:r>
                          <w:rPr>
                            <w:w w:val="105"/>
                            <w:sz w:val="7"/>
                          </w:rPr>
                          <w:t>520</w:t>
                        </w:r>
                      </w:p>
                    </w:tc>
                  </w:tr>
                </w:tbl>
                <w:p w14:paraId="206A59A4" w14:textId="77777777" w:rsidR="00F65BCA" w:rsidRDefault="00F65BCA">
                  <w:pPr>
                    <w:pStyle w:val="Zkladntext"/>
                  </w:pPr>
                </w:p>
              </w:txbxContent>
            </v:textbox>
            <w10:wrap anchorx="page"/>
          </v:shape>
        </w:pict>
      </w:r>
      <w:r w:rsidR="00216117">
        <w:rPr>
          <w:w w:val="105"/>
          <w:sz w:val="7"/>
        </w:rPr>
        <w:t>Úrazové pojištění - základní rozsah lze získat pouze zdarma k HAV ve variantě All Risk.</w:t>
      </w:r>
    </w:p>
    <w:p w14:paraId="73C5B196" w14:textId="77777777" w:rsidR="00F65BCA" w:rsidRDefault="00F65BCA">
      <w:pPr>
        <w:rPr>
          <w:sz w:val="7"/>
        </w:rPr>
        <w:sectPr w:rsidR="00F65BCA">
          <w:type w:val="continuous"/>
          <w:pgSz w:w="11900" w:h="16840"/>
          <w:pgMar w:top="840" w:right="640" w:bottom="280" w:left="500" w:header="708" w:footer="708" w:gutter="0"/>
          <w:cols w:num="2" w:space="708" w:equalWidth="0">
            <w:col w:w="1429" w:space="4489"/>
            <w:col w:w="4842"/>
          </w:cols>
        </w:sectPr>
      </w:pPr>
    </w:p>
    <w:p w14:paraId="023AAB73" w14:textId="77777777" w:rsidR="00F65BCA" w:rsidRDefault="00000000">
      <w:pPr>
        <w:pStyle w:val="Zkladntext"/>
        <w:rPr>
          <w:sz w:val="20"/>
        </w:rPr>
      </w:pPr>
      <w:r>
        <w:lastRenderedPageBreak/>
        <w:pict w14:anchorId="1A0CD63D">
          <v:shape id="_x0000_s2463" type="#_x0000_t202" style="position:absolute;margin-left:385.9pt;margin-top:63.95pt;width:164.05pt;height:32.2pt;z-index:251728896;mso-position-horizontal-relative:page;mso-position-vertical-relative:page" fillcolor="#ffc" strokeweight=".96pt">
            <v:textbox inset="0,0,0,0">
              <w:txbxContent>
                <w:p w14:paraId="5E053A82" w14:textId="77777777" w:rsidR="00F65BCA" w:rsidRDefault="00F65BCA">
                  <w:pPr>
                    <w:pStyle w:val="Zkladntext"/>
                    <w:spacing w:before="9"/>
                    <w:rPr>
                      <w:rFonts w:ascii="Calibri"/>
                      <w:sz w:val="7"/>
                    </w:rPr>
                  </w:pPr>
                </w:p>
                <w:p w14:paraId="09A26B0A" w14:textId="77777777" w:rsidR="00F65BCA" w:rsidRDefault="00216117">
                  <w:pPr>
                    <w:spacing w:before="1"/>
                    <w:ind w:left="119" w:right="118"/>
                    <w:jc w:val="center"/>
                    <w:rPr>
                      <w:b/>
                      <w:sz w:val="8"/>
                    </w:rPr>
                  </w:pPr>
                  <w:r>
                    <w:rPr>
                      <w:b/>
                      <w:w w:val="105"/>
                      <w:sz w:val="8"/>
                    </w:rPr>
                    <w:t>VÝPOČET:</w:t>
                  </w:r>
                </w:p>
                <w:p w14:paraId="36F121FF" w14:textId="77777777" w:rsidR="00F65BCA" w:rsidRDefault="00F65BCA">
                  <w:pPr>
                    <w:pStyle w:val="Zkladntext"/>
                    <w:spacing w:before="2"/>
                    <w:rPr>
                      <w:b/>
                      <w:sz w:val="11"/>
                    </w:rPr>
                  </w:pPr>
                </w:p>
                <w:p w14:paraId="5BB1F26D" w14:textId="77777777" w:rsidR="00F65BCA" w:rsidRDefault="00216117">
                  <w:pPr>
                    <w:spacing w:line="288" w:lineRule="auto"/>
                    <w:ind w:left="121" w:right="118"/>
                    <w:jc w:val="center"/>
                    <w:rPr>
                      <w:b/>
                      <w:sz w:val="8"/>
                    </w:rPr>
                  </w:pPr>
                  <w:r>
                    <w:rPr>
                      <w:b/>
                      <w:w w:val="105"/>
                      <w:sz w:val="8"/>
                    </w:rPr>
                    <w:t xml:space="preserve">Pojistné = </w:t>
                  </w:r>
                  <w:r>
                    <w:rPr>
                      <w:b/>
                      <w:w w:val="105"/>
                      <w:sz w:val="8"/>
                    </w:rPr>
                    <w:t>ZAOKROUHLIT(Pojistná částka * Sazba v % za spoluúčast / 12; 0 DESETINNÝCH MÍST) * 12</w:t>
                  </w:r>
                </w:p>
              </w:txbxContent>
            </v:textbox>
            <w10:wrap anchorx="page" anchory="page"/>
          </v:shape>
        </w:pict>
      </w:r>
      <w:r>
        <w:pict w14:anchorId="7983B10E">
          <v:shape id="_x0000_s2462" type="#_x0000_t202" style="position:absolute;margin-left:35.3pt;margin-top:63.95pt;width:324.4pt;height:24.4pt;z-index:251729920;mso-position-horizontal-relative:page;mso-position-vertical-relative:page" fillcolor="#f8cbad" strokeweight=".96pt">
            <v:textbox inset="0,0,0,0">
              <w:txbxContent>
                <w:p w14:paraId="374EE122" w14:textId="77777777" w:rsidR="00F65BCA" w:rsidRDefault="00F65BCA">
                  <w:pPr>
                    <w:pStyle w:val="Zkladntext"/>
                    <w:rPr>
                      <w:rFonts w:ascii="Calibri"/>
                      <w:sz w:val="8"/>
                    </w:rPr>
                  </w:pPr>
                </w:p>
                <w:p w14:paraId="681FB5C8" w14:textId="77777777" w:rsidR="00F65BCA" w:rsidRDefault="00F65BCA">
                  <w:pPr>
                    <w:pStyle w:val="Zkladntext"/>
                    <w:spacing w:before="10"/>
                    <w:rPr>
                      <w:rFonts w:ascii="Calibri"/>
                      <w:sz w:val="6"/>
                    </w:rPr>
                  </w:pPr>
                </w:p>
                <w:p w14:paraId="238DB118" w14:textId="77777777" w:rsidR="00F65BCA" w:rsidRDefault="00216117">
                  <w:pPr>
                    <w:spacing w:before="1"/>
                    <w:ind w:left="2699" w:right="2689"/>
                    <w:jc w:val="center"/>
                    <w:rPr>
                      <w:b/>
                      <w:sz w:val="8"/>
                    </w:rPr>
                  </w:pPr>
                  <w:r>
                    <w:rPr>
                      <w:b/>
                      <w:w w:val="105"/>
                      <w:sz w:val="8"/>
                    </w:rPr>
                    <w:t>Činnost pracovního stroje</w:t>
                  </w:r>
                </w:p>
              </w:txbxContent>
            </v:textbox>
            <w10:wrap anchorx="page" anchory="page"/>
          </v:shape>
        </w:pict>
      </w:r>
    </w:p>
    <w:p w14:paraId="1FD01A3E" w14:textId="77777777" w:rsidR="00F65BCA" w:rsidRDefault="00F65BCA">
      <w:pPr>
        <w:pStyle w:val="Zkladntext"/>
        <w:rPr>
          <w:sz w:val="20"/>
        </w:rPr>
      </w:pPr>
    </w:p>
    <w:p w14:paraId="0D8B9099" w14:textId="77777777" w:rsidR="00F65BCA" w:rsidRDefault="00F65BCA">
      <w:pPr>
        <w:pStyle w:val="Zkladntext"/>
        <w:spacing w:before="5"/>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6"/>
        <w:gridCol w:w="711"/>
        <w:gridCol w:w="711"/>
        <w:gridCol w:w="776"/>
        <w:gridCol w:w="776"/>
        <w:gridCol w:w="776"/>
        <w:gridCol w:w="776"/>
      </w:tblGrid>
      <w:tr w:rsidR="00F65BCA" w14:paraId="010CE277" w14:textId="77777777">
        <w:trPr>
          <w:trHeight w:val="297"/>
        </w:trPr>
        <w:tc>
          <w:tcPr>
            <w:tcW w:w="1966" w:type="dxa"/>
            <w:tcBorders>
              <w:bottom w:val="nil"/>
            </w:tcBorders>
            <w:shd w:val="clear" w:color="auto" w:fill="F8CBAD"/>
          </w:tcPr>
          <w:p w14:paraId="3E37006B" w14:textId="77777777" w:rsidR="00F65BCA" w:rsidRDefault="00F65BCA">
            <w:pPr>
              <w:pStyle w:val="TableParagraph"/>
              <w:rPr>
                <w:rFonts w:ascii="Times New Roman"/>
                <w:sz w:val="8"/>
              </w:rPr>
            </w:pPr>
          </w:p>
        </w:tc>
        <w:tc>
          <w:tcPr>
            <w:tcW w:w="4526" w:type="dxa"/>
            <w:gridSpan w:val="6"/>
            <w:shd w:val="clear" w:color="auto" w:fill="F8CBAD"/>
          </w:tcPr>
          <w:p w14:paraId="5F17E39C" w14:textId="77777777" w:rsidR="00F65BCA" w:rsidRDefault="00F65BCA">
            <w:pPr>
              <w:pStyle w:val="TableParagraph"/>
              <w:spacing w:before="5"/>
              <w:rPr>
                <w:sz w:val="8"/>
              </w:rPr>
            </w:pPr>
          </w:p>
          <w:p w14:paraId="3283B03D" w14:textId="77777777" w:rsidR="00F65BCA" w:rsidRDefault="00216117">
            <w:pPr>
              <w:pStyle w:val="TableParagraph"/>
              <w:ind w:left="1745" w:right="1740"/>
              <w:jc w:val="center"/>
              <w:rPr>
                <w:b/>
                <w:sz w:val="8"/>
              </w:rPr>
            </w:pPr>
            <w:r>
              <w:rPr>
                <w:b/>
                <w:w w:val="105"/>
                <w:sz w:val="8"/>
              </w:rPr>
              <w:t>Sazba v % za spoluúčast</w:t>
            </w:r>
          </w:p>
        </w:tc>
      </w:tr>
      <w:tr w:rsidR="00F65BCA" w14:paraId="69BCF53C" w14:textId="77777777">
        <w:trPr>
          <w:trHeight w:val="311"/>
        </w:trPr>
        <w:tc>
          <w:tcPr>
            <w:tcW w:w="1966" w:type="dxa"/>
            <w:tcBorders>
              <w:top w:val="nil"/>
            </w:tcBorders>
            <w:shd w:val="clear" w:color="auto" w:fill="F8CBAD"/>
          </w:tcPr>
          <w:p w14:paraId="66589B96" w14:textId="77777777" w:rsidR="00F65BCA" w:rsidRDefault="00216117">
            <w:pPr>
              <w:pStyle w:val="TableParagraph"/>
              <w:spacing w:line="43" w:lineRule="exact"/>
              <w:ind w:left="428" w:right="418"/>
              <w:jc w:val="center"/>
              <w:rPr>
                <w:b/>
                <w:sz w:val="8"/>
              </w:rPr>
            </w:pPr>
            <w:r>
              <w:rPr>
                <w:b/>
                <w:w w:val="105"/>
                <w:sz w:val="8"/>
              </w:rPr>
              <w:t>Druh vozidla</w:t>
            </w:r>
          </w:p>
        </w:tc>
        <w:tc>
          <w:tcPr>
            <w:tcW w:w="711" w:type="dxa"/>
            <w:shd w:val="clear" w:color="auto" w:fill="FCE4D6"/>
          </w:tcPr>
          <w:p w14:paraId="7055B7B6" w14:textId="77777777" w:rsidR="00F65BCA" w:rsidRDefault="00216117">
            <w:pPr>
              <w:pStyle w:val="TableParagraph"/>
              <w:spacing w:before="54"/>
              <w:ind w:left="13" w:right="2"/>
              <w:jc w:val="center"/>
              <w:rPr>
                <w:b/>
                <w:sz w:val="8"/>
              </w:rPr>
            </w:pPr>
            <w:r>
              <w:rPr>
                <w:b/>
                <w:w w:val="105"/>
                <w:sz w:val="8"/>
              </w:rPr>
              <w:t>1 %, min. však 1</w:t>
            </w:r>
          </w:p>
          <w:p w14:paraId="2375ADD7" w14:textId="77777777" w:rsidR="00F65BCA" w:rsidRDefault="00216117">
            <w:pPr>
              <w:pStyle w:val="TableParagraph"/>
              <w:spacing w:before="18"/>
              <w:ind w:left="13" w:right="2"/>
              <w:jc w:val="center"/>
              <w:rPr>
                <w:b/>
                <w:sz w:val="8"/>
              </w:rPr>
            </w:pPr>
            <w:r>
              <w:rPr>
                <w:b/>
                <w:w w:val="105"/>
                <w:sz w:val="8"/>
              </w:rPr>
              <w:t>000 Kč</w:t>
            </w:r>
          </w:p>
        </w:tc>
        <w:tc>
          <w:tcPr>
            <w:tcW w:w="711" w:type="dxa"/>
            <w:shd w:val="clear" w:color="auto" w:fill="FCE4D6"/>
          </w:tcPr>
          <w:p w14:paraId="749ADA28" w14:textId="77777777" w:rsidR="00F65BCA" w:rsidRDefault="00216117">
            <w:pPr>
              <w:pStyle w:val="TableParagraph"/>
              <w:spacing w:before="54"/>
              <w:ind w:left="12" w:right="2"/>
              <w:jc w:val="center"/>
              <w:rPr>
                <w:b/>
                <w:sz w:val="8"/>
              </w:rPr>
            </w:pPr>
            <w:r>
              <w:rPr>
                <w:b/>
                <w:w w:val="105"/>
                <w:sz w:val="8"/>
              </w:rPr>
              <w:t>5 %, min. však 5</w:t>
            </w:r>
          </w:p>
          <w:p w14:paraId="73B0348D" w14:textId="77777777" w:rsidR="00F65BCA" w:rsidRDefault="00216117">
            <w:pPr>
              <w:pStyle w:val="TableParagraph"/>
              <w:spacing w:before="18"/>
              <w:ind w:left="12" w:right="2"/>
              <w:jc w:val="center"/>
              <w:rPr>
                <w:b/>
                <w:sz w:val="8"/>
              </w:rPr>
            </w:pPr>
            <w:r>
              <w:rPr>
                <w:b/>
                <w:w w:val="105"/>
                <w:sz w:val="8"/>
              </w:rPr>
              <w:t>000 Kč</w:t>
            </w:r>
          </w:p>
        </w:tc>
        <w:tc>
          <w:tcPr>
            <w:tcW w:w="776" w:type="dxa"/>
            <w:shd w:val="clear" w:color="auto" w:fill="FCE4D6"/>
          </w:tcPr>
          <w:p w14:paraId="49DD0786" w14:textId="77777777" w:rsidR="00F65BCA" w:rsidRDefault="00216117">
            <w:pPr>
              <w:pStyle w:val="TableParagraph"/>
              <w:spacing w:before="54"/>
              <w:ind w:left="6"/>
              <w:jc w:val="center"/>
              <w:rPr>
                <w:b/>
                <w:sz w:val="8"/>
              </w:rPr>
            </w:pPr>
            <w:r>
              <w:rPr>
                <w:b/>
                <w:w w:val="105"/>
                <w:sz w:val="8"/>
              </w:rPr>
              <w:t>10 %, min. však 10</w:t>
            </w:r>
          </w:p>
          <w:p w14:paraId="3F7674B9" w14:textId="77777777" w:rsidR="00F65BCA" w:rsidRDefault="00216117">
            <w:pPr>
              <w:pStyle w:val="TableParagraph"/>
              <w:spacing w:before="18"/>
              <w:ind w:left="6"/>
              <w:jc w:val="center"/>
              <w:rPr>
                <w:b/>
                <w:sz w:val="8"/>
              </w:rPr>
            </w:pPr>
            <w:r>
              <w:rPr>
                <w:b/>
                <w:w w:val="105"/>
                <w:sz w:val="8"/>
              </w:rPr>
              <w:t>000 Kč</w:t>
            </w:r>
          </w:p>
        </w:tc>
        <w:tc>
          <w:tcPr>
            <w:tcW w:w="776" w:type="dxa"/>
            <w:shd w:val="clear" w:color="auto" w:fill="FCE4D6"/>
          </w:tcPr>
          <w:p w14:paraId="3E68BD44" w14:textId="77777777" w:rsidR="00F65BCA" w:rsidRDefault="00216117">
            <w:pPr>
              <w:pStyle w:val="TableParagraph"/>
              <w:spacing w:before="54"/>
              <w:ind w:left="5"/>
              <w:jc w:val="center"/>
              <w:rPr>
                <w:b/>
                <w:sz w:val="8"/>
              </w:rPr>
            </w:pPr>
            <w:r>
              <w:rPr>
                <w:b/>
                <w:w w:val="105"/>
                <w:sz w:val="8"/>
              </w:rPr>
              <w:t>20 %, min. však 20</w:t>
            </w:r>
          </w:p>
          <w:p w14:paraId="5331AE4C" w14:textId="77777777" w:rsidR="00F65BCA" w:rsidRDefault="00216117">
            <w:pPr>
              <w:pStyle w:val="TableParagraph"/>
              <w:spacing w:before="18"/>
              <w:ind w:left="5"/>
              <w:jc w:val="center"/>
              <w:rPr>
                <w:b/>
                <w:sz w:val="8"/>
              </w:rPr>
            </w:pPr>
            <w:r>
              <w:rPr>
                <w:b/>
                <w:w w:val="105"/>
                <w:sz w:val="8"/>
              </w:rPr>
              <w:t>000 Kč</w:t>
            </w:r>
          </w:p>
        </w:tc>
        <w:tc>
          <w:tcPr>
            <w:tcW w:w="776" w:type="dxa"/>
            <w:shd w:val="clear" w:color="auto" w:fill="FCE4D6"/>
          </w:tcPr>
          <w:p w14:paraId="33F87639" w14:textId="77777777" w:rsidR="00F65BCA" w:rsidRDefault="00216117">
            <w:pPr>
              <w:pStyle w:val="TableParagraph"/>
              <w:spacing w:before="54"/>
              <w:ind w:left="3"/>
              <w:jc w:val="center"/>
              <w:rPr>
                <w:b/>
                <w:sz w:val="8"/>
              </w:rPr>
            </w:pPr>
            <w:r>
              <w:rPr>
                <w:b/>
                <w:w w:val="105"/>
                <w:sz w:val="8"/>
              </w:rPr>
              <w:t>10 %, min. však 50</w:t>
            </w:r>
          </w:p>
          <w:p w14:paraId="5DDC2FAA" w14:textId="77777777" w:rsidR="00F65BCA" w:rsidRDefault="00216117">
            <w:pPr>
              <w:pStyle w:val="TableParagraph"/>
              <w:spacing w:before="18"/>
              <w:ind w:left="3"/>
              <w:jc w:val="center"/>
              <w:rPr>
                <w:b/>
                <w:sz w:val="8"/>
              </w:rPr>
            </w:pPr>
            <w:r>
              <w:rPr>
                <w:b/>
                <w:w w:val="105"/>
                <w:sz w:val="8"/>
              </w:rPr>
              <w:t>000 Kč</w:t>
            </w:r>
          </w:p>
        </w:tc>
        <w:tc>
          <w:tcPr>
            <w:tcW w:w="776" w:type="dxa"/>
            <w:shd w:val="clear" w:color="auto" w:fill="FCE4D6"/>
          </w:tcPr>
          <w:p w14:paraId="631D671F" w14:textId="77777777" w:rsidR="00F65BCA" w:rsidRDefault="00F65BCA">
            <w:pPr>
              <w:pStyle w:val="TableParagraph"/>
              <w:spacing w:before="6"/>
              <w:rPr>
                <w:sz w:val="9"/>
              </w:rPr>
            </w:pPr>
          </w:p>
          <w:p w14:paraId="7A09EC58" w14:textId="77777777" w:rsidR="00F65BCA" w:rsidRDefault="00216117">
            <w:pPr>
              <w:pStyle w:val="TableParagraph"/>
              <w:jc w:val="center"/>
              <w:rPr>
                <w:b/>
                <w:sz w:val="8"/>
              </w:rPr>
            </w:pPr>
            <w:r>
              <w:rPr>
                <w:b/>
                <w:w w:val="105"/>
                <w:sz w:val="8"/>
              </w:rPr>
              <w:t>speciální</w:t>
            </w:r>
          </w:p>
        </w:tc>
      </w:tr>
      <w:tr w:rsidR="00F65BCA" w14:paraId="485509B5" w14:textId="77777777">
        <w:trPr>
          <w:trHeight w:val="177"/>
        </w:trPr>
        <w:tc>
          <w:tcPr>
            <w:tcW w:w="1966" w:type="dxa"/>
            <w:shd w:val="clear" w:color="auto" w:fill="FCE4D6"/>
          </w:tcPr>
          <w:p w14:paraId="1118F603" w14:textId="77777777" w:rsidR="00F65BCA" w:rsidRDefault="00216117">
            <w:pPr>
              <w:pStyle w:val="TableParagraph"/>
              <w:spacing w:before="42"/>
              <w:ind w:left="433" w:right="413"/>
              <w:jc w:val="center"/>
              <w:rPr>
                <w:sz w:val="8"/>
              </w:rPr>
            </w:pPr>
            <w:r>
              <w:rPr>
                <w:w w:val="105"/>
                <w:sz w:val="8"/>
              </w:rPr>
              <w:t>osobní automobil</w:t>
            </w:r>
          </w:p>
        </w:tc>
        <w:tc>
          <w:tcPr>
            <w:tcW w:w="711" w:type="dxa"/>
          </w:tcPr>
          <w:p w14:paraId="05A28432" w14:textId="77777777" w:rsidR="00F65BCA" w:rsidRDefault="00216117">
            <w:pPr>
              <w:pStyle w:val="TableParagraph"/>
              <w:spacing w:before="42"/>
              <w:ind w:left="20" w:right="2"/>
              <w:jc w:val="center"/>
              <w:rPr>
                <w:sz w:val="8"/>
              </w:rPr>
            </w:pPr>
            <w:r>
              <w:rPr>
                <w:w w:val="105"/>
                <w:sz w:val="8"/>
              </w:rPr>
              <w:t>0,13%</w:t>
            </w:r>
          </w:p>
        </w:tc>
        <w:tc>
          <w:tcPr>
            <w:tcW w:w="711" w:type="dxa"/>
          </w:tcPr>
          <w:p w14:paraId="46B620FF" w14:textId="77777777" w:rsidR="00F65BCA" w:rsidRDefault="00216117">
            <w:pPr>
              <w:pStyle w:val="TableParagraph"/>
              <w:spacing w:before="42"/>
              <w:ind w:left="19" w:right="2"/>
              <w:jc w:val="center"/>
              <w:rPr>
                <w:sz w:val="8"/>
              </w:rPr>
            </w:pPr>
            <w:r>
              <w:rPr>
                <w:w w:val="105"/>
                <w:sz w:val="8"/>
              </w:rPr>
              <w:t>0,12%</w:t>
            </w:r>
          </w:p>
        </w:tc>
        <w:tc>
          <w:tcPr>
            <w:tcW w:w="776" w:type="dxa"/>
          </w:tcPr>
          <w:p w14:paraId="541C9E44" w14:textId="77777777" w:rsidR="00F65BCA" w:rsidRDefault="00216117">
            <w:pPr>
              <w:pStyle w:val="TableParagraph"/>
              <w:spacing w:before="42"/>
              <w:ind w:right="256"/>
              <w:jc w:val="right"/>
              <w:rPr>
                <w:sz w:val="8"/>
              </w:rPr>
            </w:pPr>
            <w:r>
              <w:rPr>
                <w:w w:val="105"/>
                <w:sz w:val="8"/>
              </w:rPr>
              <w:t>0,12%</w:t>
            </w:r>
          </w:p>
        </w:tc>
        <w:tc>
          <w:tcPr>
            <w:tcW w:w="776" w:type="dxa"/>
          </w:tcPr>
          <w:p w14:paraId="68F0896B" w14:textId="77777777" w:rsidR="00F65BCA" w:rsidRDefault="00216117">
            <w:pPr>
              <w:pStyle w:val="TableParagraph"/>
              <w:spacing w:before="42"/>
              <w:ind w:left="271"/>
              <w:rPr>
                <w:sz w:val="8"/>
              </w:rPr>
            </w:pPr>
            <w:r>
              <w:rPr>
                <w:w w:val="105"/>
                <w:sz w:val="8"/>
              </w:rPr>
              <w:t>0,11%</w:t>
            </w:r>
          </w:p>
        </w:tc>
        <w:tc>
          <w:tcPr>
            <w:tcW w:w="776" w:type="dxa"/>
          </w:tcPr>
          <w:p w14:paraId="6ED4AB3B" w14:textId="77777777" w:rsidR="00F65BCA" w:rsidRDefault="00216117">
            <w:pPr>
              <w:pStyle w:val="TableParagraph"/>
              <w:spacing w:before="42"/>
              <w:ind w:left="10"/>
              <w:jc w:val="center"/>
              <w:rPr>
                <w:sz w:val="8"/>
              </w:rPr>
            </w:pPr>
            <w:r>
              <w:rPr>
                <w:w w:val="105"/>
                <w:sz w:val="8"/>
              </w:rPr>
              <w:t>0,10%</w:t>
            </w:r>
          </w:p>
        </w:tc>
        <w:tc>
          <w:tcPr>
            <w:tcW w:w="776" w:type="dxa"/>
          </w:tcPr>
          <w:p w14:paraId="6FB9DCB5" w14:textId="77777777" w:rsidR="00F65BCA" w:rsidRDefault="00216117">
            <w:pPr>
              <w:pStyle w:val="TableParagraph"/>
              <w:spacing w:before="42"/>
              <w:ind w:left="8"/>
              <w:jc w:val="center"/>
              <w:rPr>
                <w:sz w:val="8"/>
              </w:rPr>
            </w:pPr>
            <w:r>
              <w:rPr>
                <w:w w:val="105"/>
                <w:sz w:val="8"/>
              </w:rPr>
              <w:t>0,14%</w:t>
            </w:r>
          </w:p>
        </w:tc>
      </w:tr>
      <w:tr w:rsidR="00F65BCA" w14:paraId="6A68E3AC" w14:textId="77777777">
        <w:trPr>
          <w:trHeight w:val="177"/>
        </w:trPr>
        <w:tc>
          <w:tcPr>
            <w:tcW w:w="1966" w:type="dxa"/>
            <w:shd w:val="clear" w:color="auto" w:fill="FCE4D6"/>
          </w:tcPr>
          <w:p w14:paraId="01624BA2" w14:textId="77777777" w:rsidR="00F65BCA" w:rsidRDefault="00216117">
            <w:pPr>
              <w:pStyle w:val="TableParagraph"/>
              <w:spacing w:before="42"/>
              <w:ind w:left="433" w:right="415"/>
              <w:jc w:val="center"/>
              <w:rPr>
                <w:sz w:val="8"/>
              </w:rPr>
            </w:pPr>
            <w:r>
              <w:rPr>
                <w:w w:val="105"/>
                <w:sz w:val="8"/>
              </w:rPr>
              <w:t>nákladní automobil do 3,5 t</w:t>
            </w:r>
          </w:p>
        </w:tc>
        <w:tc>
          <w:tcPr>
            <w:tcW w:w="711" w:type="dxa"/>
          </w:tcPr>
          <w:p w14:paraId="32FC4864" w14:textId="77777777" w:rsidR="00F65BCA" w:rsidRDefault="00216117">
            <w:pPr>
              <w:pStyle w:val="TableParagraph"/>
              <w:spacing w:before="42"/>
              <w:ind w:left="20" w:right="2"/>
              <w:jc w:val="center"/>
              <w:rPr>
                <w:sz w:val="8"/>
              </w:rPr>
            </w:pPr>
            <w:r>
              <w:rPr>
                <w:w w:val="105"/>
                <w:sz w:val="8"/>
              </w:rPr>
              <w:t>0,13%</w:t>
            </w:r>
          </w:p>
        </w:tc>
        <w:tc>
          <w:tcPr>
            <w:tcW w:w="711" w:type="dxa"/>
          </w:tcPr>
          <w:p w14:paraId="1371E332" w14:textId="77777777" w:rsidR="00F65BCA" w:rsidRDefault="00216117">
            <w:pPr>
              <w:pStyle w:val="TableParagraph"/>
              <w:spacing w:before="42"/>
              <w:ind w:left="19" w:right="2"/>
              <w:jc w:val="center"/>
              <w:rPr>
                <w:sz w:val="8"/>
              </w:rPr>
            </w:pPr>
            <w:r>
              <w:rPr>
                <w:w w:val="105"/>
                <w:sz w:val="8"/>
              </w:rPr>
              <w:t>0,12%</w:t>
            </w:r>
          </w:p>
        </w:tc>
        <w:tc>
          <w:tcPr>
            <w:tcW w:w="776" w:type="dxa"/>
          </w:tcPr>
          <w:p w14:paraId="1325C35B" w14:textId="77777777" w:rsidR="00F65BCA" w:rsidRDefault="00216117">
            <w:pPr>
              <w:pStyle w:val="TableParagraph"/>
              <w:spacing w:before="42"/>
              <w:ind w:right="256"/>
              <w:jc w:val="right"/>
              <w:rPr>
                <w:sz w:val="8"/>
              </w:rPr>
            </w:pPr>
            <w:r>
              <w:rPr>
                <w:w w:val="105"/>
                <w:sz w:val="8"/>
              </w:rPr>
              <w:t>0,12%</w:t>
            </w:r>
          </w:p>
        </w:tc>
        <w:tc>
          <w:tcPr>
            <w:tcW w:w="776" w:type="dxa"/>
          </w:tcPr>
          <w:p w14:paraId="2AC42F26" w14:textId="77777777" w:rsidR="00F65BCA" w:rsidRDefault="00216117">
            <w:pPr>
              <w:pStyle w:val="TableParagraph"/>
              <w:spacing w:before="42"/>
              <w:ind w:left="271"/>
              <w:rPr>
                <w:sz w:val="8"/>
              </w:rPr>
            </w:pPr>
            <w:r>
              <w:rPr>
                <w:w w:val="105"/>
                <w:sz w:val="8"/>
              </w:rPr>
              <w:t>0,11%</w:t>
            </w:r>
          </w:p>
        </w:tc>
        <w:tc>
          <w:tcPr>
            <w:tcW w:w="776" w:type="dxa"/>
          </w:tcPr>
          <w:p w14:paraId="43517FA9" w14:textId="77777777" w:rsidR="00F65BCA" w:rsidRDefault="00216117">
            <w:pPr>
              <w:pStyle w:val="TableParagraph"/>
              <w:spacing w:before="42"/>
              <w:ind w:left="10"/>
              <w:jc w:val="center"/>
              <w:rPr>
                <w:sz w:val="8"/>
              </w:rPr>
            </w:pPr>
            <w:r>
              <w:rPr>
                <w:w w:val="105"/>
                <w:sz w:val="8"/>
              </w:rPr>
              <w:t>0,10%</w:t>
            </w:r>
          </w:p>
        </w:tc>
        <w:tc>
          <w:tcPr>
            <w:tcW w:w="776" w:type="dxa"/>
          </w:tcPr>
          <w:p w14:paraId="289B5717" w14:textId="77777777" w:rsidR="00F65BCA" w:rsidRDefault="00216117">
            <w:pPr>
              <w:pStyle w:val="TableParagraph"/>
              <w:spacing w:before="42"/>
              <w:ind w:left="8"/>
              <w:jc w:val="center"/>
              <w:rPr>
                <w:sz w:val="8"/>
              </w:rPr>
            </w:pPr>
            <w:r>
              <w:rPr>
                <w:w w:val="105"/>
                <w:sz w:val="8"/>
              </w:rPr>
              <w:t>0,14%</w:t>
            </w:r>
          </w:p>
        </w:tc>
      </w:tr>
      <w:tr w:rsidR="00F65BCA" w14:paraId="526FEA1D" w14:textId="77777777">
        <w:trPr>
          <w:trHeight w:val="177"/>
        </w:trPr>
        <w:tc>
          <w:tcPr>
            <w:tcW w:w="1966" w:type="dxa"/>
            <w:shd w:val="clear" w:color="auto" w:fill="FCE4D6"/>
          </w:tcPr>
          <w:p w14:paraId="54F320EA" w14:textId="77777777" w:rsidR="00F65BCA" w:rsidRDefault="00216117">
            <w:pPr>
              <w:pStyle w:val="TableParagraph"/>
              <w:spacing w:before="42"/>
              <w:ind w:left="433" w:right="415"/>
              <w:jc w:val="center"/>
              <w:rPr>
                <w:sz w:val="8"/>
              </w:rPr>
            </w:pPr>
            <w:r>
              <w:rPr>
                <w:w w:val="105"/>
                <w:sz w:val="8"/>
              </w:rPr>
              <w:t>speciální automobil</w:t>
            </w:r>
          </w:p>
        </w:tc>
        <w:tc>
          <w:tcPr>
            <w:tcW w:w="711" w:type="dxa"/>
          </w:tcPr>
          <w:p w14:paraId="0E428C46" w14:textId="77777777" w:rsidR="00F65BCA" w:rsidRDefault="00216117">
            <w:pPr>
              <w:pStyle w:val="TableParagraph"/>
              <w:spacing w:before="42"/>
              <w:ind w:left="20" w:right="2"/>
              <w:jc w:val="center"/>
              <w:rPr>
                <w:sz w:val="8"/>
              </w:rPr>
            </w:pPr>
            <w:r>
              <w:rPr>
                <w:w w:val="105"/>
                <w:sz w:val="8"/>
              </w:rPr>
              <w:t>0,12%</w:t>
            </w:r>
          </w:p>
        </w:tc>
        <w:tc>
          <w:tcPr>
            <w:tcW w:w="711" w:type="dxa"/>
          </w:tcPr>
          <w:p w14:paraId="2A0C160C" w14:textId="77777777" w:rsidR="00F65BCA" w:rsidRDefault="00216117">
            <w:pPr>
              <w:pStyle w:val="TableParagraph"/>
              <w:spacing w:before="42"/>
              <w:ind w:left="19" w:right="2"/>
              <w:jc w:val="center"/>
              <w:rPr>
                <w:sz w:val="8"/>
              </w:rPr>
            </w:pPr>
            <w:r>
              <w:rPr>
                <w:w w:val="105"/>
                <w:sz w:val="8"/>
              </w:rPr>
              <w:t>0,11%</w:t>
            </w:r>
          </w:p>
        </w:tc>
        <w:tc>
          <w:tcPr>
            <w:tcW w:w="776" w:type="dxa"/>
          </w:tcPr>
          <w:p w14:paraId="2CB6A22D" w14:textId="77777777" w:rsidR="00F65BCA" w:rsidRDefault="00216117">
            <w:pPr>
              <w:pStyle w:val="TableParagraph"/>
              <w:spacing w:before="42"/>
              <w:ind w:right="256"/>
              <w:jc w:val="right"/>
              <w:rPr>
                <w:sz w:val="8"/>
              </w:rPr>
            </w:pPr>
            <w:r>
              <w:rPr>
                <w:w w:val="105"/>
                <w:sz w:val="8"/>
              </w:rPr>
              <w:t>0,10%</w:t>
            </w:r>
          </w:p>
        </w:tc>
        <w:tc>
          <w:tcPr>
            <w:tcW w:w="776" w:type="dxa"/>
          </w:tcPr>
          <w:p w14:paraId="75786DB0" w14:textId="77777777" w:rsidR="00F65BCA" w:rsidRDefault="00216117">
            <w:pPr>
              <w:pStyle w:val="TableParagraph"/>
              <w:spacing w:before="42"/>
              <w:ind w:left="271"/>
              <w:rPr>
                <w:sz w:val="8"/>
              </w:rPr>
            </w:pPr>
            <w:r>
              <w:rPr>
                <w:w w:val="105"/>
                <w:sz w:val="8"/>
              </w:rPr>
              <w:t>0,10%</w:t>
            </w:r>
          </w:p>
        </w:tc>
        <w:tc>
          <w:tcPr>
            <w:tcW w:w="776" w:type="dxa"/>
          </w:tcPr>
          <w:p w14:paraId="2814F4DF" w14:textId="77777777" w:rsidR="00F65BCA" w:rsidRDefault="00216117">
            <w:pPr>
              <w:pStyle w:val="TableParagraph"/>
              <w:spacing w:before="42"/>
              <w:ind w:left="10"/>
              <w:jc w:val="center"/>
              <w:rPr>
                <w:sz w:val="8"/>
              </w:rPr>
            </w:pPr>
            <w:r>
              <w:rPr>
                <w:w w:val="105"/>
                <w:sz w:val="8"/>
              </w:rPr>
              <w:t>0,09%</w:t>
            </w:r>
          </w:p>
        </w:tc>
        <w:tc>
          <w:tcPr>
            <w:tcW w:w="776" w:type="dxa"/>
          </w:tcPr>
          <w:p w14:paraId="4702D345" w14:textId="77777777" w:rsidR="00F65BCA" w:rsidRDefault="00216117">
            <w:pPr>
              <w:pStyle w:val="TableParagraph"/>
              <w:spacing w:before="42"/>
              <w:ind w:left="8"/>
              <w:jc w:val="center"/>
              <w:rPr>
                <w:sz w:val="8"/>
              </w:rPr>
            </w:pPr>
            <w:r>
              <w:rPr>
                <w:w w:val="105"/>
                <w:sz w:val="8"/>
              </w:rPr>
              <w:t>0,12%</w:t>
            </w:r>
          </w:p>
        </w:tc>
      </w:tr>
      <w:tr w:rsidR="00F65BCA" w14:paraId="73044592" w14:textId="77777777">
        <w:trPr>
          <w:trHeight w:val="177"/>
        </w:trPr>
        <w:tc>
          <w:tcPr>
            <w:tcW w:w="1966" w:type="dxa"/>
            <w:shd w:val="clear" w:color="auto" w:fill="FCE4D6"/>
          </w:tcPr>
          <w:p w14:paraId="2A753187" w14:textId="77777777" w:rsidR="00F65BCA" w:rsidRDefault="00216117">
            <w:pPr>
              <w:pStyle w:val="TableParagraph"/>
              <w:spacing w:before="42"/>
              <w:ind w:left="433" w:right="418"/>
              <w:jc w:val="center"/>
              <w:rPr>
                <w:sz w:val="8"/>
              </w:rPr>
            </w:pPr>
            <w:r>
              <w:rPr>
                <w:w w:val="105"/>
                <w:sz w:val="8"/>
              </w:rPr>
              <w:t>nákladní automobil nad 3,5 t</w:t>
            </w:r>
          </w:p>
        </w:tc>
        <w:tc>
          <w:tcPr>
            <w:tcW w:w="711" w:type="dxa"/>
          </w:tcPr>
          <w:p w14:paraId="6CF9DD75" w14:textId="77777777" w:rsidR="00F65BCA" w:rsidRDefault="00216117">
            <w:pPr>
              <w:pStyle w:val="TableParagraph"/>
              <w:spacing w:before="42"/>
              <w:ind w:left="20" w:right="2"/>
              <w:jc w:val="center"/>
              <w:rPr>
                <w:sz w:val="8"/>
              </w:rPr>
            </w:pPr>
            <w:r>
              <w:rPr>
                <w:w w:val="105"/>
                <w:sz w:val="8"/>
              </w:rPr>
              <w:t>0,12%</w:t>
            </w:r>
          </w:p>
        </w:tc>
        <w:tc>
          <w:tcPr>
            <w:tcW w:w="711" w:type="dxa"/>
          </w:tcPr>
          <w:p w14:paraId="48B1D467" w14:textId="77777777" w:rsidR="00F65BCA" w:rsidRDefault="00216117">
            <w:pPr>
              <w:pStyle w:val="TableParagraph"/>
              <w:spacing w:before="42"/>
              <w:ind w:left="19" w:right="2"/>
              <w:jc w:val="center"/>
              <w:rPr>
                <w:sz w:val="8"/>
              </w:rPr>
            </w:pPr>
            <w:r>
              <w:rPr>
                <w:w w:val="105"/>
                <w:sz w:val="8"/>
              </w:rPr>
              <w:t>0,11%</w:t>
            </w:r>
          </w:p>
        </w:tc>
        <w:tc>
          <w:tcPr>
            <w:tcW w:w="776" w:type="dxa"/>
          </w:tcPr>
          <w:p w14:paraId="692E59D8" w14:textId="77777777" w:rsidR="00F65BCA" w:rsidRDefault="00216117">
            <w:pPr>
              <w:pStyle w:val="TableParagraph"/>
              <w:spacing w:before="42"/>
              <w:ind w:right="256"/>
              <w:jc w:val="right"/>
              <w:rPr>
                <w:sz w:val="8"/>
              </w:rPr>
            </w:pPr>
            <w:r>
              <w:rPr>
                <w:w w:val="105"/>
                <w:sz w:val="8"/>
              </w:rPr>
              <w:t>0,10%</w:t>
            </w:r>
          </w:p>
        </w:tc>
        <w:tc>
          <w:tcPr>
            <w:tcW w:w="776" w:type="dxa"/>
          </w:tcPr>
          <w:p w14:paraId="323998EC" w14:textId="77777777" w:rsidR="00F65BCA" w:rsidRDefault="00216117">
            <w:pPr>
              <w:pStyle w:val="TableParagraph"/>
              <w:spacing w:before="42"/>
              <w:ind w:left="271"/>
              <w:rPr>
                <w:sz w:val="8"/>
              </w:rPr>
            </w:pPr>
            <w:r>
              <w:rPr>
                <w:w w:val="105"/>
                <w:sz w:val="8"/>
              </w:rPr>
              <w:t>0,10%</w:t>
            </w:r>
          </w:p>
        </w:tc>
        <w:tc>
          <w:tcPr>
            <w:tcW w:w="776" w:type="dxa"/>
          </w:tcPr>
          <w:p w14:paraId="66AC6D53" w14:textId="77777777" w:rsidR="00F65BCA" w:rsidRDefault="00216117">
            <w:pPr>
              <w:pStyle w:val="TableParagraph"/>
              <w:spacing w:before="42"/>
              <w:ind w:left="10"/>
              <w:jc w:val="center"/>
              <w:rPr>
                <w:sz w:val="8"/>
              </w:rPr>
            </w:pPr>
            <w:r>
              <w:rPr>
                <w:w w:val="105"/>
                <w:sz w:val="8"/>
              </w:rPr>
              <w:t>0,09%</w:t>
            </w:r>
          </w:p>
        </w:tc>
        <w:tc>
          <w:tcPr>
            <w:tcW w:w="776" w:type="dxa"/>
          </w:tcPr>
          <w:p w14:paraId="7FEAEFF3" w14:textId="77777777" w:rsidR="00F65BCA" w:rsidRDefault="00216117">
            <w:pPr>
              <w:pStyle w:val="TableParagraph"/>
              <w:spacing w:before="42"/>
              <w:ind w:left="8"/>
              <w:jc w:val="center"/>
              <w:rPr>
                <w:sz w:val="8"/>
              </w:rPr>
            </w:pPr>
            <w:r>
              <w:rPr>
                <w:w w:val="105"/>
                <w:sz w:val="8"/>
              </w:rPr>
              <w:t>0,12%</w:t>
            </w:r>
          </w:p>
        </w:tc>
      </w:tr>
      <w:tr w:rsidR="00F65BCA" w14:paraId="29AD9606" w14:textId="77777777">
        <w:trPr>
          <w:trHeight w:val="177"/>
        </w:trPr>
        <w:tc>
          <w:tcPr>
            <w:tcW w:w="1966" w:type="dxa"/>
            <w:shd w:val="clear" w:color="auto" w:fill="FCE4D6"/>
          </w:tcPr>
          <w:p w14:paraId="05EDDB78" w14:textId="77777777" w:rsidR="00F65BCA" w:rsidRDefault="00216117">
            <w:pPr>
              <w:pStyle w:val="TableParagraph"/>
              <w:spacing w:before="42"/>
              <w:ind w:left="433" w:right="414"/>
              <w:jc w:val="center"/>
              <w:rPr>
                <w:sz w:val="8"/>
              </w:rPr>
            </w:pPr>
            <w:r>
              <w:rPr>
                <w:w w:val="105"/>
                <w:sz w:val="8"/>
              </w:rPr>
              <w:t>tahač návěsů</w:t>
            </w:r>
          </w:p>
        </w:tc>
        <w:tc>
          <w:tcPr>
            <w:tcW w:w="711" w:type="dxa"/>
          </w:tcPr>
          <w:p w14:paraId="11092D97" w14:textId="77777777" w:rsidR="00F65BCA" w:rsidRDefault="00216117">
            <w:pPr>
              <w:pStyle w:val="TableParagraph"/>
              <w:spacing w:before="42"/>
              <w:ind w:left="20" w:right="2"/>
              <w:jc w:val="center"/>
              <w:rPr>
                <w:sz w:val="8"/>
              </w:rPr>
            </w:pPr>
            <w:r>
              <w:rPr>
                <w:w w:val="105"/>
                <w:sz w:val="8"/>
              </w:rPr>
              <w:t>0,10%</w:t>
            </w:r>
          </w:p>
        </w:tc>
        <w:tc>
          <w:tcPr>
            <w:tcW w:w="711" w:type="dxa"/>
          </w:tcPr>
          <w:p w14:paraId="2826A6AA" w14:textId="77777777" w:rsidR="00F65BCA" w:rsidRDefault="00216117">
            <w:pPr>
              <w:pStyle w:val="TableParagraph"/>
              <w:spacing w:before="42"/>
              <w:ind w:left="18" w:right="2"/>
              <w:jc w:val="center"/>
              <w:rPr>
                <w:sz w:val="8"/>
              </w:rPr>
            </w:pPr>
            <w:r>
              <w:rPr>
                <w:w w:val="105"/>
                <w:sz w:val="8"/>
              </w:rPr>
              <w:t>0,09%</w:t>
            </w:r>
          </w:p>
        </w:tc>
        <w:tc>
          <w:tcPr>
            <w:tcW w:w="776" w:type="dxa"/>
          </w:tcPr>
          <w:p w14:paraId="6DD4930F" w14:textId="77777777" w:rsidR="00F65BCA" w:rsidRDefault="00216117">
            <w:pPr>
              <w:pStyle w:val="TableParagraph"/>
              <w:spacing w:before="42"/>
              <w:ind w:right="256"/>
              <w:jc w:val="right"/>
              <w:rPr>
                <w:sz w:val="8"/>
              </w:rPr>
            </w:pPr>
            <w:r>
              <w:rPr>
                <w:w w:val="105"/>
                <w:sz w:val="8"/>
              </w:rPr>
              <w:t>0,09%</w:t>
            </w:r>
          </w:p>
        </w:tc>
        <w:tc>
          <w:tcPr>
            <w:tcW w:w="776" w:type="dxa"/>
          </w:tcPr>
          <w:p w14:paraId="0F1A9559" w14:textId="77777777" w:rsidR="00F65BCA" w:rsidRDefault="00216117">
            <w:pPr>
              <w:pStyle w:val="TableParagraph"/>
              <w:spacing w:before="42"/>
              <w:ind w:left="271"/>
              <w:rPr>
                <w:sz w:val="8"/>
              </w:rPr>
            </w:pPr>
            <w:r>
              <w:rPr>
                <w:w w:val="105"/>
                <w:sz w:val="8"/>
              </w:rPr>
              <w:t>0,08%</w:t>
            </w:r>
          </w:p>
        </w:tc>
        <w:tc>
          <w:tcPr>
            <w:tcW w:w="776" w:type="dxa"/>
          </w:tcPr>
          <w:p w14:paraId="09E02438" w14:textId="77777777" w:rsidR="00F65BCA" w:rsidRDefault="00216117">
            <w:pPr>
              <w:pStyle w:val="TableParagraph"/>
              <w:spacing w:before="42"/>
              <w:ind w:left="10"/>
              <w:jc w:val="center"/>
              <w:rPr>
                <w:sz w:val="8"/>
              </w:rPr>
            </w:pPr>
            <w:r>
              <w:rPr>
                <w:w w:val="105"/>
                <w:sz w:val="8"/>
              </w:rPr>
              <w:t>0,08%</w:t>
            </w:r>
          </w:p>
        </w:tc>
        <w:tc>
          <w:tcPr>
            <w:tcW w:w="776" w:type="dxa"/>
          </w:tcPr>
          <w:p w14:paraId="76DA2440" w14:textId="77777777" w:rsidR="00F65BCA" w:rsidRDefault="00216117">
            <w:pPr>
              <w:pStyle w:val="TableParagraph"/>
              <w:spacing w:before="42"/>
              <w:ind w:left="8"/>
              <w:jc w:val="center"/>
              <w:rPr>
                <w:sz w:val="8"/>
              </w:rPr>
            </w:pPr>
            <w:r>
              <w:rPr>
                <w:w w:val="105"/>
                <w:sz w:val="8"/>
              </w:rPr>
              <w:t>0,10%</w:t>
            </w:r>
          </w:p>
        </w:tc>
      </w:tr>
      <w:tr w:rsidR="00F65BCA" w14:paraId="67886B1F" w14:textId="77777777">
        <w:trPr>
          <w:trHeight w:val="177"/>
        </w:trPr>
        <w:tc>
          <w:tcPr>
            <w:tcW w:w="1966" w:type="dxa"/>
            <w:shd w:val="clear" w:color="auto" w:fill="FCE4D6"/>
          </w:tcPr>
          <w:p w14:paraId="036137E1" w14:textId="77777777" w:rsidR="00F65BCA" w:rsidRDefault="00216117">
            <w:pPr>
              <w:pStyle w:val="TableParagraph"/>
              <w:spacing w:before="42"/>
              <w:ind w:left="433" w:right="418"/>
              <w:jc w:val="center"/>
              <w:rPr>
                <w:sz w:val="8"/>
              </w:rPr>
            </w:pPr>
            <w:r>
              <w:rPr>
                <w:w w:val="105"/>
                <w:sz w:val="8"/>
              </w:rPr>
              <w:t>přívěs</w:t>
            </w:r>
          </w:p>
        </w:tc>
        <w:tc>
          <w:tcPr>
            <w:tcW w:w="711" w:type="dxa"/>
          </w:tcPr>
          <w:p w14:paraId="43A96218" w14:textId="77777777" w:rsidR="00F65BCA" w:rsidRDefault="00216117">
            <w:pPr>
              <w:pStyle w:val="TableParagraph"/>
              <w:spacing w:before="42"/>
              <w:ind w:left="20" w:right="2"/>
              <w:jc w:val="center"/>
              <w:rPr>
                <w:sz w:val="8"/>
              </w:rPr>
            </w:pPr>
            <w:r>
              <w:rPr>
                <w:w w:val="105"/>
                <w:sz w:val="8"/>
              </w:rPr>
              <w:t>0,08%</w:t>
            </w:r>
          </w:p>
        </w:tc>
        <w:tc>
          <w:tcPr>
            <w:tcW w:w="711" w:type="dxa"/>
          </w:tcPr>
          <w:p w14:paraId="542504C4" w14:textId="77777777" w:rsidR="00F65BCA" w:rsidRDefault="00216117">
            <w:pPr>
              <w:pStyle w:val="TableParagraph"/>
              <w:spacing w:before="42"/>
              <w:ind w:left="18" w:right="2"/>
              <w:jc w:val="center"/>
              <w:rPr>
                <w:sz w:val="8"/>
              </w:rPr>
            </w:pPr>
            <w:r>
              <w:rPr>
                <w:w w:val="105"/>
                <w:sz w:val="8"/>
              </w:rPr>
              <w:t>0,07%</w:t>
            </w:r>
          </w:p>
        </w:tc>
        <w:tc>
          <w:tcPr>
            <w:tcW w:w="776" w:type="dxa"/>
          </w:tcPr>
          <w:p w14:paraId="2B34A913" w14:textId="77777777" w:rsidR="00F65BCA" w:rsidRDefault="00216117">
            <w:pPr>
              <w:pStyle w:val="TableParagraph"/>
              <w:spacing w:before="42"/>
              <w:ind w:right="256"/>
              <w:jc w:val="right"/>
              <w:rPr>
                <w:sz w:val="8"/>
              </w:rPr>
            </w:pPr>
            <w:r>
              <w:rPr>
                <w:w w:val="105"/>
                <w:sz w:val="8"/>
              </w:rPr>
              <w:t>0,07%</w:t>
            </w:r>
          </w:p>
        </w:tc>
        <w:tc>
          <w:tcPr>
            <w:tcW w:w="776" w:type="dxa"/>
          </w:tcPr>
          <w:p w14:paraId="1E46F786" w14:textId="77777777" w:rsidR="00F65BCA" w:rsidRDefault="00216117">
            <w:pPr>
              <w:pStyle w:val="TableParagraph"/>
              <w:spacing w:before="42"/>
              <w:ind w:left="271"/>
              <w:rPr>
                <w:sz w:val="8"/>
              </w:rPr>
            </w:pPr>
            <w:r>
              <w:rPr>
                <w:w w:val="105"/>
                <w:sz w:val="8"/>
              </w:rPr>
              <w:t>0,07%</w:t>
            </w:r>
          </w:p>
        </w:tc>
        <w:tc>
          <w:tcPr>
            <w:tcW w:w="776" w:type="dxa"/>
          </w:tcPr>
          <w:p w14:paraId="23929D4F" w14:textId="77777777" w:rsidR="00F65BCA" w:rsidRDefault="00216117">
            <w:pPr>
              <w:pStyle w:val="TableParagraph"/>
              <w:spacing w:before="42"/>
              <w:ind w:left="10"/>
              <w:jc w:val="center"/>
              <w:rPr>
                <w:sz w:val="8"/>
              </w:rPr>
            </w:pPr>
            <w:r>
              <w:rPr>
                <w:w w:val="105"/>
                <w:sz w:val="8"/>
              </w:rPr>
              <w:t>0,06%</w:t>
            </w:r>
          </w:p>
        </w:tc>
        <w:tc>
          <w:tcPr>
            <w:tcW w:w="776" w:type="dxa"/>
          </w:tcPr>
          <w:p w14:paraId="4AA99A11" w14:textId="77777777" w:rsidR="00F65BCA" w:rsidRDefault="00216117">
            <w:pPr>
              <w:pStyle w:val="TableParagraph"/>
              <w:spacing w:before="42"/>
              <w:ind w:left="8"/>
              <w:jc w:val="center"/>
              <w:rPr>
                <w:sz w:val="8"/>
              </w:rPr>
            </w:pPr>
            <w:r>
              <w:rPr>
                <w:w w:val="105"/>
                <w:sz w:val="8"/>
              </w:rPr>
              <w:t>0,08%</w:t>
            </w:r>
          </w:p>
        </w:tc>
      </w:tr>
      <w:tr w:rsidR="00F65BCA" w14:paraId="5D40CF47" w14:textId="77777777">
        <w:trPr>
          <w:trHeight w:val="177"/>
        </w:trPr>
        <w:tc>
          <w:tcPr>
            <w:tcW w:w="1966" w:type="dxa"/>
            <w:shd w:val="clear" w:color="auto" w:fill="FCE4D6"/>
          </w:tcPr>
          <w:p w14:paraId="77826225" w14:textId="77777777" w:rsidR="00F65BCA" w:rsidRDefault="00216117">
            <w:pPr>
              <w:pStyle w:val="TableParagraph"/>
              <w:spacing w:before="42"/>
              <w:ind w:left="433" w:right="416"/>
              <w:jc w:val="center"/>
              <w:rPr>
                <w:sz w:val="8"/>
              </w:rPr>
            </w:pPr>
            <w:r>
              <w:rPr>
                <w:w w:val="105"/>
                <w:sz w:val="8"/>
              </w:rPr>
              <w:t>návěs</w:t>
            </w:r>
          </w:p>
        </w:tc>
        <w:tc>
          <w:tcPr>
            <w:tcW w:w="711" w:type="dxa"/>
          </w:tcPr>
          <w:p w14:paraId="5FFC1622" w14:textId="77777777" w:rsidR="00F65BCA" w:rsidRDefault="00216117">
            <w:pPr>
              <w:pStyle w:val="TableParagraph"/>
              <w:spacing w:before="42"/>
              <w:ind w:left="20" w:right="2"/>
              <w:jc w:val="center"/>
              <w:rPr>
                <w:sz w:val="8"/>
              </w:rPr>
            </w:pPr>
            <w:r>
              <w:rPr>
                <w:w w:val="105"/>
                <w:sz w:val="8"/>
              </w:rPr>
              <w:t>0,08%</w:t>
            </w:r>
          </w:p>
        </w:tc>
        <w:tc>
          <w:tcPr>
            <w:tcW w:w="711" w:type="dxa"/>
          </w:tcPr>
          <w:p w14:paraId="64E9F762" w14:textId="77777777" w:rsidR="00F65BCA" w:rsidRDefault="00216117">
            <w:pPr>
              <w:pStyle w:val="TableParagraph"/>
              <w:spacing w:before="42"/>
              <w:ind w:left="18" w:right="2"/>
              <w:jc w:val="center"/>
              <w:rPr>
                <w:sz w:val="8"/>
              </w:rPr>
            </w:pPr>
            <w:r>
              <w:rPr>
                <w:w w:val="105"/>
                <w:sz w:val="8"/>
              </w:rPr>
              <w:t>0,07%</w:t>
            </w:r>
          </w:p>
        </w:tc>
        <w:tc>
          <w:tcPr>
            <w:tcW w:w="776" w:type="dxa"/>
          </w:tcPr>
          <w:p w14:paraId="7EC44D0E" w14:textId="77777777" w:rsidR="00F65BCA" w:rsidRDefault="00216117">
            <w:pPr>
              <w:pStyle w:val="TableParagraph"/>
              <w:spacing w:before="42"/>
              <w:ind w:right="256"/>
              <w:jc w:val="right"/>
              <w:rPr>
                <w:sz w:val="8"/>
              </w:rPr>
            </w:pPr>
            <w:r>
              <w:rPr>
                <w:w w:val="105"/>
                <w:sz w:val="8"/>
              </w:rPr>
              <w:t>0,07%</w:t>
            </w:r>
          </w:p>
        </w:tc>
        <w:tc>
          <w:tcPr>
            <w:tcW w:w="776" w:type="dxa"/>
          </w:tcPr>
          <w:p w14:paraId="4BCD05DA" w14:textId="77777777" w:rsidR="00F65BCA" w:rsidRDefault="00216117">
            <w:pPr>
              <w:pStyle w:val="TableParagraph"/>
              <w:spacing w:before="42"/>
              <w:ind w:left="271"/>
              <w:rPr>
                <w:sz w:val="8"/>
              </w:rPr>
            </w:pPr>
            <w:r>
              <w:rPr>
                <w:w w:val="105"/>
                <w:sz w:val="8"/>
              </w:rPr>
              <w:t>0,07%</w:t>
            </w:r>
          </w:p>
        </w:tc>
        <w:tc>
          <w:tcPr>
            <w:tcW w:w="776" w:type="dxa"/>
          </w:tcPr>
          <w:p w14:paraId="1366481A" w14:textId="77777777" w:rsidR="00F65BCA" w:rsidRDefault="00216117">
            <w:pPr>
              <w:pStyle w:val="TableParagraph"/>
              <w:spacing w:before="42"/>
              <w:ind w:left="10"/>
              <w:jc w:val="center"/>
              <w:rPr>
                <w:sz w:val="8"/>
              </w:rPr>
            </w:pPr>
            <w:r>
              <w:rPr>
                <w:w w:val="105"/>
                <w:sz w:val="8"/>
              </w:rPr>
              <w:t>0,06%</w:t>
            </w:r>
          </w:p>
        </w:tc>
        <w:tc>
          <w:tcPr>
            <w:tcW w:w="776" w:type="dxa"/>
          </w:tcPr>
          <w:p w14:paraId="55E8C0FF" w14:textId="77777777" w:rsidR="00F65BCA" w:rsidRDefault="00216117">
            <w:pPr>
              <w:pStyle w:val="TableParagraph"/>
              <w:spacing w:before="42"/>
              <w:ind w:left="8"/>
              <w:jc w:val="center"/>
              <w:rPr>
                <w:sz w:val="8"/>
              </w:rPr>
            </w:pPr>
            <w:r>
              <w:rPr>
                <w:w w:val="105"/>
                <w:sz w:val="8"/>
              </w:rPr>
              <w:t>0,08%</w:t>
            </w:r>
          </w:p>
        </w:tc>
      </w:tr>
      <w:tr w:rsidR="00F65BCA" w14:paraId="7E535441" w14:textId="77777777">
        <w:trPr>
          <w:trHeight w:val="177"/>
        </w:trPr>
        <w:tc>
          <w:tcPr>
            <w:tcW w:w="1966" w:type="dxa"/>
            <w:shd w:val="clear" w:color="auto" w:fill="FCE4D6"/>
          </w:tcPr>
          <w:p w14:paraId="1A5CAC10" w14:textId="77777777" w:rsidR="00F65BCA" w:rsidRDefault="00216117">
            <w:pPr>
              <w:pStyle w:val="TableParagraph"/>
              <w:spacing w:before="42"/>
              <w:ind w:left="433" w:right="418"/>
              <w:jc w:val="center"/>
              <w:rPr>
                <w:sz w:val="8"/>
              </w:rPr>
            </w:pPr>
            <w:r>
              <w:rPr>
                <w:w w:val="105"/>
                <w:sz w:val="8"/>
              </w:rPr>
              <w:t>pracovní stroj přípojný</w:t>
            </w:r>
          </w:p>
        </w:tc>
        <w:tc>
          <w:tcPr>
            <w:tcW w:w="711" w:type="dxa"/>
          </w:tcPr>
          <w:p w14:paraId="7041B069" w14:textId="77777777" w:rsidR="00F65BCA" w:rsidRDefault="00216117">
            <w:pPr>
              <w:pStyle w:val="TableParagraph"/>
              <w:spacing w:before="42"/>
              <w:ind w:left="20" w:right="2"/>
              <w:jc w:val="center"/>
              <w:rPr>
                <w:sz w:val="8"/>
              </w:rPr>
            </w:pPr>
            <w:r>
              <w:rPr>
                <w:w w:val="105"/>
                <w:sz w:val="8"/>
              </w:rPr>
              <w:t>0,08%</w:t>
            </w:r>
          </w:p>
        </w:tc>
        <w:tc>
          <w:tcPr>
            <w:tcW w:w="711" w:type="dxa"/>
          </w:tcPr>
          <w:p w14:paraId="23199ABE" w14:textId="77777777" w:rsidR="00F65BCA" w:rsidRDefault="00216117">
            <w:pPr>
              <w:pStyle w:val="TableParagraph"/>
              <w:spacing w:before="42"/>
              <w:ind w:left="18" w:right="2"/>
              <w:jc w:val="center"/>
              <w:rPr>
                <w:sz w:val="8"/>
              </w:rPr>
            </w:pPr>
            <w:r>
              <w:rPr>
                <w:w w:val="105"/>
                <w:sz w:val="8"/>
              </w:rPr>
              <w:t>0,07%</w:t>
            </w:r>
          </w:p>
        </w:tc>
        <w:tc>
          <w:tcPr>
            <w:tcW w:w="776" w:type="dxa"/>
          </w:tcPr>
          <w:p w14:paraId="28522266" w14:textId="77777777" w:rsidR="00F65BCA" w:rsidRDefault="00216117">
            <w:pPr>
              <w:pStyle w:val="TableParagraph"/>
              <w:spacing w:before="42"/>
              <w:ind w:right="256"/>
              <w:jc w:val="right"/>
              <w:rPr>
                <w:sz w:val="8"/>
              </w:rPr>
            </w:pPr>
            <w:r>
              <w:rPr>
                <w:w w:val="105"/>
                <w:sz w:val="8"/>
              </w:rPr>
              <w:t>0,07%</w:t>
            </w:r>
          </w:p>
        </w:tc>
        <w:tc>
          <w:tcPr>
            <w:tcW w:w="776" w:type="dxa"/>
          </w:tcPr>
          <w:p w14:paraId="71FE5F72" w14:textId="77777777" w:rsidR="00F65BCA" w:rsidRDefault="00216117">
            <w:pPr>
              <w:pStyle w:val="TableParagraph"/>
              <w:spacing w:before="42"/>
              <w:ind w:left="271"/>
              <w:rPr>
                <w:sz w:val="8"/>
              </w:rPr>
            </w:pPr>
            <w:r>
              <w:rPr>
                <w:w w:val="105"/>
                <w:sz w:val="8"/>
              </w:rPr>
              <w:t>0,07%</w:t>
            </w:r>
          </w:p>
        </w:tc>
        <w:tc>
          <w:tcPr>
            <w:tcW w:w="776" w:type="dxa"/>
          </w:tcPr>
          <w:p w14:paraId="46A081B0" w14:textId="77777777" w:rsidR="00F65BCA" w:rsidRDefault="00216117">
            <w:pPr>
              <w:pStyle w:val="TableParagraph"/>
              <w:spacing w:before="42"/>
              <w:ind w:left="10"/>
              <w:jc w:val="center"/>
              <w:rPr>
                <w:sz w:val="8"/>
              </w:rPr>
            </w:pPr>
            <w:r>
              <w:rPr>
                <w:w w:val="105"/>
                <w:sz w:val="8"/>
              </w:rPr>
              <w:t>0,06%</w:t>
            </w:r>
          </w:p>
        </w:tc>
        <w:tc>
          <w:tcPr>
            <w:tcW w:w="776" w:type="dxa"/>
          </w:tcPr>
          <w:p w14:paraId="169C1EB9" w14:textId="77777777" w:rsidR="00F65BCA" w:rsidRDefault="00216117">
            <w:pPr>
              <w:pStyle w:val="TableParagraph"/>
              <w:spacing w:before="42"/>
              <w:ind w:left="8"/>
              <w:jc w:val="center"/>
              <w:rPr>
                <w:sz w:val="8"/>
              </w:rPr>
            </w:pPr>
            <w:r>
              <w:rPr>
                <w:w w:val="105"/>
                <w:sz w:val="8"/>
              </w:rPr>
              <w:t>0,08%</w:t>
            </w:r>
          </w:p>
        </w:tc>
      </w:tr>
      <w:tr w:rsidR="00F65BCA" w14:paraId="18C00665" w14:textId="77777777">
        <w:trPr>
          <w:trHeight w:val="177"/>
        </w:trPr>
        <w:tc>
          <w:tcPr>
            <w:tcW w:w="1966" w:type="dxa"/>
            <w:shd w:val="clear" w:color="auto" w:fill="FCE4D6"/>
          </w:tcPr>
          <w:p w14:paraId="5DD43287" w14:textId="77777777" w:rsidR="00F65BCA" w:rsidRDefault="00216117">
            <w:pPr>
              <w:pStyle w:val="TableParagraph"/>
              <w:spacing w:before="42"/>
              <w:ind w:left="433" w:right="414"/>
              <w:jc w:val="center"/>
              <w:rPr>
                <w:sz w:val="8"/>
              </w:rPr>
            </w:pPr>
            <w:r>
              <w:rPr>
                <w:w w:val="105"/>
                <w:sz w:val="8"/>
              </w:rPr>
              <w:t>přípojná vozidla traktorů</w:t>
            </w:r>
          </w:p>
        </w:tc>
        <w:tc>
          <w:tcPr>
            <w:tcW w:w="711" w:type="dxa"/>
          </w:tcPr>
          <w:p w14:paraId="30A35B0E" w14:textId="77777777" w:rsidR="00F65BCA" w:rsidRDefault="00216117">
            <w:pPr>
              <w:pStyle w:val="TableParagraph"/>
              <w:spacing w:before="42"/>
              <w:ind w:left="20" w:right="2"/>
              <w:jc w:val="center"/>
              <w:rPr>
                <w:sz w:val="8"/>
              </w:rPr>
            </w:pPr>
            <w:r>
              <w:rPr>
                <w:w w:val="105"/>
                <w:sz w:val="8"/>
              </w:rPr>
              <w:t>0,08%</w:t>
            </w:r>
          </w:p>
        </w:tc>
        <w:tc>
          <w:tcPr>
            <w:tcW w:w="711" w:type="dxa"/>
          </w:tcPr>
          <w:p w14:paraId="05E90527" w14:textId="77777777" w:rsidR="00F65BCA" w:rsidRDefault="00216117">
            <w:pPr>
              <w:pStyle w:val="TableParagraph"/>
              <w:spacing w:before="42"/>
              <w:ind w:left="18" w:right="2"/>
              <w:jc w:val="center"/>
              <w:rPr>
                <w:sz w:val="8"/>
              </w:rPr>
            </w:pPr>
            <w:r>
              <w:rPr>
                <w:w w:val="105"/>
                <w:sz w:val="8"/>
              </w:rPr>
              <w:t>0,07%</w:t>
            </w:r>
          </w:p>
        </w:tc>
        <w:tc>
          <w:tcPr>
            <w:tcW w:w="776" w:type="dxa"/>
          </w:tcPr>
          <w:p w14:paraId="57774D35" w14:textId="77777777" w:rsidR="00F65BCA" w:rsidRDefault="00216117">
            <w:pPr>
              <w:pStyle w:val="TableParagraph"/>
              <w:spacing w:before="42"/>
              <w:ind w:right="256"/>
              <w:jc w:val="right"/>
              <w:rPr>
                <w:sz w:val="8"/>
              </w:rPr>
            </w:pPr>
            <w:r>
              <w:rPr>
                <w:w w:val="105"/>
                <w:sz w:val="8"/>
              </w:rPr>
              <w:t>0,07%</w:t>
            </w:r>
          </w:p>
        </w:tc>
        <w:tc>
          <w:tcPr>
            <w:tcW w:w="776" w:type="dxa"/>
          </w:tcPr>
          <w:p w14:paraId="16D9D242" w14:textId="77777777" w:rsidR="00F65BCA" w:rsidRDefault="00216117">
            <w:pPr>
              <w:pStyle w:val="TableParagraph"/>
              <w:spacing w:before="42"/>
              <w:ind w:left="271"/>
              <w:rPr>
                <w:sz w:val="8"/>
              </w:rPr>
            </w:pPr>
            <w:r>
              <w:rPr>
                <w:w w:val="105"/>
                <w:sz w:val="8"/>
              </w:rPr>
              <w:t>0,07%</w:t>
            </w:r>
          </w:p>
        </w:tc>
        <w:tc>
          <w:tcPr>
            <w:tcW w:w="776" w:type="dxa"/>
          </w:tcPr>
          <w:p w14:paraId="3D63E5F3" w14:textId="77777777" w:rsidR="00F65BCA" w:rsidRDefault="00216117">
            <w:pPr>
              <w:pStyle w:val="TableParagraph"/>
              <w:spacing w:before="42"/>
              <w:ind w:left="10"/>
              <w:jc w:val="center"/>
              <w:rPr>
                <w:sz w:val="8"/>
              </w:rPr>
            </w:pPr>
            <w:r>
              <w:rPr>
                <w:w w:val="105"/>
                <w:sz w:val="8"/>
              </w:rPr>
              <w:t>0,06%</w:t>
            </w:r>
          </w:p>
        </w:tc>
        <w:tc>
          <w:tcPr>
            <w:tcW w:w="776" w:type="dxa"/>
          </w:tcPr>
          <w:p w14:paraId="3C79690E" w14:textId="77777777" w:rsidR="00F65BCA" w:rsidRDefault="00216117">
            <w:pPr>
              <w:pStyle w:val="TableParagraph"/>
              <w:spacing w:before="42"/>
              <w:ind w:left="8"/>
              <w:jc w:val="center"/>
              <w:rPr>
                <w:sz w:val="8"/>
              </w:rPr>
            </w:pPr>
            <w:r>
              <w:rPr>
                <w:w w:val="105"/>
                <w:sz w:val="8"/>
              </w:rPr>
              <w:t>0,08%</w:t>
            </w:r>
          </w:p>
        </w:tc>
      </w:tr>
      <w:tr w:rsidR="00F65BCA" w14:paraId="5284BBEF" w14:textId="77777777">
        <w:trPr>
          <w:trHeight w:val="177"/>
        </w:trPr>
        <w:tc>
          <w:tcPr>
            <w:tcW w:w="1966" w:type="dxa"/>
            <w:shd w:val="clear" w:color="auto" w:fill="FCE4D6"/>
          </w:tcPr>
          <w:p w14:paraId="19C20F09" w14:textId="77777777" w:rsidR="00F65BCA" w:rsidRDefault="00216117">
            <w:pPr>
              <w:pStyle w:val="TableParagraph"/>
              <w:spacing w:before="42"/>
              <w:ind w:left="433" w:right="416"/>
              <w:jc w:val="center"/>
              <w:rPr>
                <w:sz w:val="8"/>
              </w:rPr>
            </w:pPr>
            <w:r>
              <w:rPr>
                <w:w w:val="105"/>
                <w:sz w:val="8"/>
              </w:rPr>
              <w:t>autobus</w:t>
            </w:r>
          </w:p>
        </w:tc>
        <w:tc>
          <w:tcPr>
            <w:tcW w:w="711" w:type="dxa"/>
          </w:tcPr>
          <w:p w14:paraId="44C7848A" w14:textId="77777777" w:rsidR="00F65BCA" w:rsidRDefault="00216117">
            <w:pPr>
              <w:pStyle w:val="TableParagraph"/>
              <w:spacing w:before="42"/>
              <w:ind w:left="20" w:right="2"/>
              <w:jc w:val="center"/>
              <w:rPr>
                <w:sz w:val="8"/>
              </w:rPr>
            </w:pPr>
            <w:r>
              <w:rPr>
                <w:w w:val="105"/>
                <w:sz w:val="8"/>
              </w:rPr>
              <w:t>0,07%</w:t>
            </w:r>
          </w:p>
        </w:tc>
        <w:tc>
          <w:tcPr>
            <w:tcW w:w="711" w:type="dxa"/>
          </w:tcPr>
          <w:p w14:paraId="35348BC8" w14:textId="77777777" w:rsidR="00F65BCA" w:rsidRDefault="00216117">
            <w:pPr>
              <w:pStyle w:val="TableParagraph"/>
              <w:spacing w:before="42"/>
              <w:ind w:left="19" w:right="2"/>
              <w:jc w:val="center"/>
              <w:rPr>
                <w:sz w:val="8"/>
              </w:rPr>
            </w:pPr>
            <w:r>
              <w:rPr>
                <w:w w:val="105"/>
                <w:sz w:val="8"/>
              </w:rPr>
              <w:t>0,06%</w:t>
            </w:r>
          </w:p>
        </w:tc>
        <w:tc>
          <w:tcPr>
            <w:tcW w:w="776" w:type="dxa"/>
          </w:tcPr>
          <w:p w14:paraId="3BE355D7" w14:textId="77777777" w:rsidR="00F65BCA" w:rsidRDefault="00216117">
            <w:pPr>
              <w:pStyle w:val="TableParagraph"/>
              <w:spacing w:before="42"/>
              <w:ind w:right="256"/>
              <w:jc w:val="right"/>
              <w:rPr>
                <w:sz w:val="8"/>
              </w:rPr>
            </w:pPr>
            <w:r>
              <w:rPr>
                <w:w w:val="105"/>
                <w:sz w:val="8"/>
              </w:rPr>
              <w:t>0,06%</w:t>
            </w:r>
          </w:p>
        </w:tc>
        <w:tc>
          <w:tcPr>
            <w:tcW w:w="776" w:type="dxa"/>
          </w:tcPr>
          <w:p w14:paraId="1B60FF4F" w14:textId="77777777" w:rsidR="00F65BCA" w:rsidRDefault="00216117">
            <w:pPr>
              <w:pStyle w:val="TableParagraph"/>
              <w:spacing w:before="42"/>
              <w:ind w:left="271"/>
              <w:rPr>
                <w:sz w:val="8"/>
              </w:rPr>
            </w:pPr>
            <w:r>
              <w:rPr>
                <w:w w:val="105"/>
                <w:sz w:val="8"/>
              </w:rPr>
              <w:t>0,06%</w:t>
            </w:r>
          </w:p>
        </w:tc>
        <w:tc>
          <w:tcPr>
            <w:tcW w:w="776" w:type="dxa"/>
          </w:tcPr>
          <w:p w14:paraId="732F4A3F" w14:textId="77777777" w:rsidR="00F65BCA" w:rsidRDefault="00216117">
            <w:pPr>
              <w:pStyle w:val="TableParagraph"/>
              <w:spacing w:before="42"/>
              <w:ind w:left="10"/>
              <w:jc w:val="center"/>
              <w:rPr>
                <w:sz w:val="8"/>
              </w:rPr>
            </w:pPr>
            <w:r>
              <w:rPr>
                <w:w w:val="105"/>
                <w:sz w:val="8"/>
              </w:rPr>
              <w:t>0,05%</w:t>
            </w:r>
          </w:p>
        </w:tc>
        <w:tc>
          <w:tcPr>
            <w:tcW w:w="776" w:type="dxa"/>
          </w:tcPr>
          <w:p w14:paraId="784036D7" w14:textId="77777777" w:rsidR="00F65BCA" w:rsidRDefault="00216117">
            <w:pPr>
              <w:pStyle w:val="TableParagraph"/>
              <w:spacing w:before="42"/>
              <w:ind w:left="8"/>
              <w:jc w:val="center"/>
              <w:rPr>
                <w:sz w:val="8"/>
              </w:rPr>
            </w:pPr>
            <w:r>
              <w:rPr>
                <w:w w:val="105"/>
                <w:sz w:val="8"/>
              </w:rPr>
              <w:t>0,07%</w:t>
            </w:r>
          </w:p>
        </w:tc>
      </w:tr>
      <w:tr w:rsidR="00F65BCA" w14:paraId="421B3E6B" w14:textId="77777777">
        <w:trPr>
          <w:trHeight w:val="177"/>
        </w:trPr>
        <w:tc>
          <w:tcPr>
            <w:tcW w:w="1966" w:type="dxa"/>
            <w:shd w:val="clear" w:color="auto" w:fill="FCE4D6"/>
          </w:tcPr>
          <w:p w14:paraId="492A93F8" w14:textId="77777777" w:rsidR="00F65BCA" w:rsidRDefault="00216117">
            <w:pPr>
              <w:pStyle w:val="TableParagraph"/>
              <w:spacing w:before="42"/>
              <w:ind w:left="433" w:right="414"/>
              <w:jc w:val="center"/>
              <w:rPr>
                <w:sz w:val="8"/>
              </w:rPr>
            </w:pPr>
            <w:r>
              <w:rPr>
                <w:w w:val="105"/>
                <w:sz w:val="8"/>
              </w:rPr>
              <w:t>autobus pro MHD</w:t>
            </w:r>
          </w:p>
        </w:tc>
        <w:tc>
          <w:tcPr>
            <w:tcW w:w="711" w:type="dxa"/>
          </w:tcPr>
          <w:p w14:paraId="017B6A43" w14:textId="77777777" w:rsidR="00F65BCA" w:rsidRDefault="00216117">
            <w:pPr>
              <w:pStyle w:val="TableParagraph"/>
              <w:spacing w:before="42"/>
              <w:ind w:left="20" w:right="2"/>
              <w:jc w:val="center"/>
              <w:rPr>
                <w:sz w:val="8"/>
              </w:rPr>
            </w:pPr>
            <w:r>
              <w:rPr>
                <w:w w:val="105"/>
                <w:sz w:val="8"/>
              </w:rPr>
              <w:t>0,07%</w:t>
            </w:r>
          </w:p>
        </w:tc>
        <w:tc>
          <w:tcPr>
            <w:tcW w:w="711" w:type="dxa"/>
          </w:tcPr>
          <w:p w14:paraId="76A845A8" w14:textId="77777777" w:rsidR="00F65BCA" w:rsidRDefault="00216117">
            <w:pPr>
              <w:pStyle w:val="TableParagraph"/>
              <w:spacing w:before="42"/>
              <w:ind w:left="19" w:right="2"/>
              <w:jc w:val="center"/>
              <w:rPr>
                <w:sz w:val="8"/>
              </w:rPr>
            </w:pPr>
            <w:r>
              <w:rPr>
                <w:w w:val="105"/>
                <w:sz w:val="8"/>
              </w:rPr>
              <w:t>0,06%</w:t>
            </w:r>
          </w:p>
        </w:tc>
        <w:tc>
          <w:tcPr>
            <w:tcW w:w="776" w:type="dxa"/>
          </w:tcPr>
          <w:p w14:paraId="30853C83" w14:textId="77777777" w:rsidR="00F65BCA" w:rsidRDefault="00216117">
            <w:pPr>
              <w:pStyle w:val="TableParagraph"/>
              <w:spacing w:before="42"/>
              <w:ind w:right="256"/>
              <w:jc w:val="right"/>
              <w:rPr>
                <w:sz w:val="8"/>
              </w:rPr>
            </w:pPr>
            <w:r>
              <w:rPr>
                <w:w w:val="105"/>
                <w:sz w:val="8"/>
              </w:rPr>
              <w:t>0,06%</w:t>
            </w:r>
          </w:p>
        </w:tc>
        <w:tc>
          <w:tcPr>
            <w:tcW w:w="776" w:type="dxa"/>
          </w:tcPr>
          <w:p w14:paraId="026F43FC" w14:textId="77777777" w:rsidR="00F65BCA" w:rsidRDefault="00216117">
            <w:pPr>
              <w:pStyle w:val="TableParagraph"/>
              <w:spacing w:before="42"/>
              <w:ind w:left="271"/>
              <w:rPr>
                <w:sz w:val="8"/>
              </w:rPr>
            </w:pPr>
            <w:r>
              <w:rPr>
                <w:w w:val="105"/>
                <w:sz w:val="8"/>
              </w:rPr>
              <w:t>0,06%</w:t>
            </w:r>
          </w:p>
        </w:tc>
        <w:tc>
          <w:tcPr>
            <w:tcW w:w="776" w:type="dxa"/>
          </w:tcPr>
          <w:p w14:paraId="018FDE96" w14:textId="77777777" w:rsidR="00F65BCA" w:rsidRDefault="00216117">
            <w:pPr>
              <w:pStyle w:val="TableParagraph"/>
              <w:spacing w:before="42"/>
              <w:ind w:left="10"/>
              <w:jc w:val="center"/>
              <w:rPr>
                <w:sz w:val="8"/>
              </w:rPr>
            </w:pPr>
            <w:r>
              <w:rPr>
                <w:w w:val="105"/>
                <w:sz w:val="8"/>
              </w:rPr>
              <w:t>0,05%</w:t>
            </w:r>
          </w:p>
        </w:tc>
        <w:tc>
          <w:tcPr>
            <w:tcW w:w="776" w:type="dxa"/>
          </w:tcPr>
          <w:p w14:paraId="075AD147" w14:textId="77777777" w:rsidR="00F65BCA" w:rsidRDefault="00216117">
            <w:pPr>
              <w:pStyle w:val="TableParagraph"/>
              <w:spacing w:before="42"/>
              <w:ind w:left="8"/>
              <w:jc w:val="center"/>
              <w:rPr>
                <w:sz w:val="8"/>
              </w:rPr>
            </w:pPr>
            <w:r>
              <w:rPr>
                <w:w w:val="105"/>
                <w:sz w:val="8"/>
              </w:rPr>
              <w:t>0,07%</w:t>
            </w:r>
          </w:p>
        </w:tc>
      </w:tr>
      <w:tr w:rsidR="00F65BCA" w14:paraId="78D62451" w14:textId="77777777">
        <w:trPr>
          <w:trHeight w:val="177"/>
        </w:trPr>
        <w:tc>
          <w:tcPr>
            <w:tcW w:w="1966" w:type="dxa"/>
            <w:shd w:val="clear" w:color="auto" w:fill="FCE4D6"/>
          </w:tcPr>
          <w:p w14:paraId="2A366D57" w14:textId="77777777" w:rsidR="00F65BCA" w:rsidRDefault="00216117">
            <w:pPr>
              <w:pStyle w:val="TableParagraph"/>
              <w:spacing w:before="42"/>
              <w:ind w:left="433" w:right="418"/>
              <w:jc w:val="center"/>
              <w:rPr>
                <w:sz w:val="8"/>
              </w:rPr>
            </w:pPr>
            <w:r>
              <w:rPr>
                <w:w w:val="105"/>
                <w:sz w:val="8"/>
              </w:rPr>
              <w:t>trolejbus</w:t>
            </w:r>
          </w:p>
        </w:tc>
        <w:tc>
          <w:tcPr>
            <w:tcW w:w="711" w:type="dxa"/>
          </w:tcPr>
          <w:p w14:paraId="050D5FD3" w14:textId="77777777" w:rsidR="00F65BCA" w:rsidRDefault="00216117">
            <w:pPr>
              <w:pStyle w:val="TableParagraph"/>
              <w:spacing w:before="42"/>
              <w:ind w:left="20" w:right="2"/>
              <w:jc w:val="center"/>
              <w:rPr>
                <w:sz w:val="8"/>
              </w:rPr>
            </w:pPr>
            <w:r>
              <w:rPr>
                <w:w w:val="105"/>
                <w:sz w:val="8"/>
              </w:rPr>
              <w:t>0,07%</w:t>
            </w:r>
          </w:p>
        </w:tc>
        <w:tc>
          <w:tcPr>
            <w:tcW w:w="711" w:type="dxa"/>
          </w:tcPr>
          <w:p w14:paraId="6D21E47C" w14:textId="77777777" w:rsidR="00F65BCA" w:rsidRDefault="00216117">
            <w:pPr>
              <w:pStyle w:val="TableParagraph"/>
              <w:spacing w:before="42"/>
              <w:ind w:left="19" w:right="2"/>
              <w:jc w:val="center"/>
              <w:rPr>
                <w:sz w:val="8"/>
              </w:rPr>
            </w:pPr>
            <w:r>
              <w:rPr>
                <w:w w:val="105"/>
                <w:sz w:val="8"/>
              </w:rPr>
              <w:t>0,06%</w:t>
            </w:r>
          </w:p>
        </w:tc>
        <w:tc>
          <w:tcPr>
            <w:tcW w:w="776" w:type="dxa"/>
          </w:tcPr>
          <w:p w14:paraId="48476A26" w14:textId="77777777" w:rsidR="00F65BCA" w:rsidRDefault="00216117">
            <w:pPr>
              <w:pStyle w:val="TableParagraph"/>
              <w:spacing w:before="42"/>
              <w:ind w:right="256"/>
              <w:jc w:val="right"/>
              <w:rPr>
                <w:sz w:val="8"/>
              </w:rPr>
            </w:pPr>
            <w:r>
              <w:rPr>
                <w:w w:val="105"/>
                <w:sz w:val="8"/>
              </w:rPr>
              <w:t>0,06%</w:t>
            </w:r>
          </w:p>
        </w:tc>
        <w:tc>
          <w:tcPr>
            <w:tcW w:w="776" w:type="dxa"/>
          </w:tcPr>
          <w:p w14:paraId="76C00C71" w14:textId="77777777" w:rsidR="00F65BCA" w:rsidRDefault="00216117">
            <w:pPr>
              <w:pStyle w:val="TableParagraph"/>
              <w:spacing w:before="42"/>
              <w:ind w:left="271"/>
              <w:rPr>
                <w:sz w:val="8"/>
              </w:rPr>
            </w:pPr>
            <w:r>
              <w:rPr>
                <w:w w:val="105"/>
                <w:sz w:val="8"/>
              </w:rPr>
              <w:t>0,06%</w:t>
            </w:r>
          </w:p>
        </w:tc>
        <w:tc>
          <w:tcPr>
            <w:tcW w:w="776" w:type="dxa"/>
          </w:tcPr>
          <w:p w14:paraId="40AA46AF" w14:textId="77777777" w:rsidR="00F65BCA" w:rsidRDefault="00216117">
            <w:pPr>
              <w:pStyle w:val="TableParagraph"/>
              <w:spacing w:before="42"/>
              <w:ind w:left="10"/>
              <w:jc w:val="center"/>
              <w:rPr>
                <w:sz w:val="8"/>
              </w:rPr>
            </w:pPr>
            <w:r>
              <w:rPr>
                <w:w w:val="105"/>
                <w:sz w:val="8"/>
              </w:rPr>
              <w:t>0,05%</w:t>
            </w:r>
          </w:p>
        </w:tc>
        <w:tc>
          <w:tcPr>
            <w:tcW w:w="776" w:type="dxa"/>
          </w:tcPr>
          <w:p w14:paraId="5F667652" w14:textId="77777777" w:rsidR="00F65BCA" w:rsidRDefault="00216117">
            <w:pPr>
              <w:pStyle w:val="TableParagraph"/>
              <w:spacing w:before="42"/>
              <w:ind w:left="8"/>
              <w:jc w:val="center"/>
              <w:rPr>
                <w:sz w:val="8"/>
              </w:rPr>
            </w:pPr>
            <w:r>
              <w:rPr>
                <w:w w:val="105"/>
                <w:sz w:val="8"/>
              </w:rPr>
              <w:t>0,07%</w:t>
            </w:r>
          </w:p>
        </w:tc>
      </w:tr>
      <w:tr w:rsidR="00F65BCA" w14:paraId="0D972D7B" w14:textId="77777777">
        <w:trPr>
          <w:trHeight w:val="177"/>
        </w:trPr>
        <w:tc>
          <w:tcPr>
            <w:tcW w:w="1966" w:type="dxa"/>
            <w:shd w:val="clear" w:color="auto" w:fill="FCE4D6"/>
          </w:tcPr>
          <w:p w14:paraId="4A3C3348" w14:textId="77777777" w:rsidR="00F65BCA" w:rsidRDefault="00216117">
            <w:pPr>
              <w:pStyle w:val="TableParagraph"/>
              <w:spacing w:before="42"/>
              <w:ind w:left="433" w:right="418"/>
              <w:jc w:val="center"/>
              <w:rPr>
                <w:sz w:val="8"/>
              </w:rPr>
            </w:pPr>
            <w:r>
              <w:rPr>
                <w:w w:val="105"/>
                <w:sz w:val="8"/>
              </w:rPr>
              <w:t>traktor</w:t>
            </w:r>
          </w:p>
        </w:tc>
        <w:tc>
          <w:tcPr>
            <w:tcW w:w="711" w:type="dxa"/>
          </w:tcPr>
          <w:p w14:paraId="028834BD" w14:textId="77777777" w:rsidR="00F65BCA" w:rsidRDefault="00216117">
            <w:pPr>
              <w:pStyle w:val="TableParagraph"/>
              <w:spacing w:before="42"/>
              <w:ind w:left="20" w:right="2"/>
              <w:jc w:val="center"/>
              <w:rPr>
                <w:sz w:val="8"/>
              </w:rPr>
            </w:pPr>
            <w:r>
              <w:rPr>
                <w:w w:val="105"/>
                <w:sz w:val="8"/>
              </w:rPr>
              <w:t>0,06%</w:t>
            </w:r>
          </w:p>
        </w:tc>
        <w:tc>
          <w:tcPr>
            <w:tcW w:w="711" w:type="dxa"/>
          </w:tcPr>
          <w:p w14:paraId="3E5BF97F" w14:textId="77777777" w:rsidR="00F65BCA" w:rsidRDefault="00216117">
            <w:pPr>
              <w:pStyle w:val="TableParagraph"/>
              <w:spacing w:before="42"/>
              <w:ind w:left="18" w:right="2"/>
              <w:jc w:val="center"/>
              <w:rPr>
                <w:sz w:val="8"/>
              </w:rPr>
            </w:pPr>
            <w:r>
              <w:rPr>
                <w:w w:val="105"/>
                <w:sz w:val="8"/>
              </w:rPr>
              <w:t>0,05%</w:t>
            </w:r>
          </w:p>
        </w:tc>
        <w:tc>
          <w:tcPr>
            <w:tcW w:w="776" w:type="dxa"/>
          </w:tcPr>
          <w:p w14:paraId="697F57E0" w14:textId="77777777" w:rsidR="00F65BCA" w:rsidRDefault="00216117">
            <w:pPr>
              <w:pStyle w:val="TableParagraph"/>
              <w:spacing w:before="42"/>
              <w:ind w:right="256"/>
              <w:jc w:val="right"/>
              <w:rPr>
                <w:sz w:val="8"/>
              </w:rPr>
            </w:pPr>
            <w:r>
              <w:rPr>
                <w:w w:val="105"/>
                <w:sz w:val="8"/>
              </w:rPr>
              <w:t>0,05%</w:t>
            </w:r>
          </w:p>
        </w:tc>
        <w:tc>
          <w:tcPr>
            <w:tcW w:w="776" w:type="dxa"/>
          </w:tcPr>
          <w:p w14:paraId="555B1BF1" w14:textId="77777777" w:rsidR="00F65BCA" w:rsidRDefault="00216117">
            <w:pPr>
              <w:pStyle w:val="TableParagraph"/>
              <w:spacing w:before="42"/>
              <w:ind w:left="271"/>
              <w:rPr>
                <w:sz w:val="8"/>
              </w:rPr>
            </w:pPr>
            <w:r>
              <w:rPr>
                <w:w w:val="105"/>
                <w:sz w:val="8"/>
              </w:rPr>
              <w:t>0,05%</w:t>
            </w:r>
          </w:p>
        </w:tc>
        <w:tc>
          <w:tcPr>
            <w:tcW w:w="776" w:type="dxa"/>
          </w:tcPr>
          <w:p w14:paraId="234BD826" w14:textId="77777777" w:rsidR="00F65BCA" w:rsidRDefault="00216117">
            <w:pPr>
              <w:pStyle w:val="TableParagraph"/>
              <w:spacing w:before="42"/>
              <w:ind w:left="10"/>
              <w:jc w:val="center"/>
              <w:rPr>
                <w:sz w:val="8"/>
              </w:rPr>
            </w:pPr>
            <w:r>
              <w:rPr>
                <w:w w:val="105"/>
                <w:sz w:val="8"/>
              </w:rPr>
              <w:t>0,05%</w:t>
            </w:r>
          </w:p>
        </w:tc>
        <w:tc>
          <w:tcPr>
            <w:tcW w:w="776" w:type="dxa"/>
          </w:tcPr>
          <w:p w14:paraId="2FAFFD5A" w14:textId="77777777" w:rsidR="00F65BCA" w:rsidRDefault="00216117">
            <w:pPr>
              <w:pStyle w:val="TableParagraph"/>
              <w:spacing w:before="42"/>
              <w:ind w:left="8"/>
              <w:jc w:val="center"/>
              <w:rPr>
                <w:sz w:val="8"/>
              </w:rPr>
            </w:pPr>
            <w:r>
              <w:rPr>
                <w:w w:val="105"/>
                <w:sz w:val="8"/>
              </w:rPr>
              <w:t>0,06%</w:t>
            </w:r>
          </w:p>
        </w:tc>
      </w:tr>
      <w:tr w:rsidR="00F65BCA" w14:paraId="5FDF23E1" w14:textId="77777777">
        <w:trPr>
          <w:trHeight w:val="177"/>
        </w:trPr>
        <w:tc>
          <w:tcPr>
            <w:tcW w:w="1966" w:type="dxa"/>
            <w:shd w:val="clear" w:color="auto" w:fill="FCE4D6"/>
          </w:tcPr>
          <w:p w14:paraId="7BB87B9B" w14:textId="77777777" w:rsidR="00F65BCA" w:rsidRDefault="00216117">
            <w:pPr>
              <w:pStyle w:val="TableParagraph"/>
              <w:spacing w:before="42"/>
              <w:ind w:left="433" w:right="418"/>
              <w:jc w:val="center"/>
              <w:rPr>
                <w:sz w:val="8"/>
              </w:rPr>
            </w:pPr>
            <w:r>
              <w:rPr>
                <w:w w:val="105"/>
                <w:sz w:val="8"/>
              </w:rPr>
              <w:t>motorový vozík (malotraktor)</w:t>
            </w:r>
          </w:p>
        </w:tc>
        <w:tc>
          <w:tcPr>
            <w:tcW w:w="711" w:type="dxa"/>
          </w:tcPr>
          <w:p w14:paraId="6F6AE4CA" w14:textId="77777777" w:rsidR="00F65BCA" w:rsidRDefault="00216117">
            <w:pPr>
              <w:pStyle w:val="TableParagraph"/>
              <w:spacing w:before="42"/>
              <w:ind w:left="20" w:right="2"/>
              <w:jc w:val="center"/>
              <w:rPr>
                <w:sz w:val="8"/>
              </w:rPr>
            </w:pPr>
            <w:r>
              <w:rPr>
                <w:w w:val="105"/>
                <w:sz w:val="8"/>
              </w:rPr>
              <w:t>0,06%</w:t>
            </w:r>
          </w:p>
        </w:tc>
        <w:tc>
          <w:tcPr>
            <w:tcW w:w="711" w:type="dxa"/>
          </w:tcPr>
          <w:p w14:paraId="72D80068" w14:textId="77777777" w:rsidR="00F65BCA" w:rsidRDefault="00216117">
            <w:pPr>
              <w:pStyle w:val="TableParagraph"/>
              <w:spacing w:before="42"/>
              <w:ind w:left="18" w:right="2"/>
              <w:jc w:val="center"/>
              <w:rPr>
                <w:sz w:val="8"/>
              </w:rPr>
            </w:pPr>
            <w:r>
              <w:rPr>
                <w:w w:val="105"/>
                <w:sz w:val="8"/>
              </w:rPr>
              <w:t>0,05%</w:t>
            </w:r>
          </w:p>
        </w:tc>
        <w:tc>
          <w:tcPr>
            <w:tcW w:w="776" w:type="dxa"/>
          </w:tcPr>
          <w:p w14:paraId="63948CB1" w14:textId="77777777" w:rsidR="00F65BCA" w:rsidRDefault="00216117">
            <w:pPr>
              <w:pStyle w:val="TableParagraph"/>
              <w:spacing w:before="42"/>
              <w:ind w:right="256"/>
              <w:jc w:val="right"/>
              <w:rPr>
                <w:sz w:val="8"/>
              </w:rPr>
            </w:pPr>
            <w:r>
              <w:rPr>
                <w:w w:val="105"/>
                <w:sz w:val="8"/>
              </w:rPr>
              <w:t>0,05%</w:t>
            </w:r>
          </w:p>
        </w:tc>
        <w:tc>
          <w:tcPr>
            <w:tcW w:w="776" w:type="dxa"/>
          </w:tcPr>
          <w:p w14:paraId="54E64654" w14:textId="77777777" w:rsidR="00F65BCA" w:rsidRDefault="00216117">
            <w:pPr>
              <w:pStyle w:val="TableParagraph"/>
              <w:spacing w:before="42"/>
              <w:ind w:left="271"/>
              <w:rPr>
                <w:sz w:val="8"/>
              </w:rPr>
            </w:pPr>
            <w:r>
              <w:rPr>
                <w:w w:val="105"/>
                <w:sz w:val="8"/>
              </w:rPr>
              <w:t>0,05%</w:t>
            </w:r>
          </w:p>
        </w:tc>
        <w:tc>
          <w:tcPr>
            <w:tcW w:w="776" w:type="dxa"/>
          </w:tcPr>
          <w:p w14:paraId="2124F12A" w14:textId="77777777" w:rsidR="00F65BCA" w:rsidRDefault="00216117">
            <w:pPr>
              <w:pStyle w:val="TableParagraph"/>
              <w:spacing w:before="42"/>
              <w:ind w:left="10"/>
              <w:jc w:val="center"/>
              <w:rPr>
                <w:sz w:val="8"/>
              </w:rPr>
            </w:pPr>
            <w:r>
              <w:rPr>
                <w:w w:val="105"/>
                <w:sz w:val="8"/>
              </w:rPr>
              <w:t>0,05%</w:t>
            </w:r>
          </w:p>
        </w:tc>
        <w:tc>
          <w:tcPr>
            <w:tcW w:w="776" w:type="dxa"/>
          </w:tcPr>
          <w:p w14:paraId="21449A46" w14:textId="77777777" w:rsidR="00F65BCA" w:rsidRDefault="00216117">
            <w:pPr>
              <w:pStyle w:val="TableParagraph"/>
              <w:spacing w:before="42"/>
              <w:ind w:left="8"/>
              <w:jc w:val="center"/>
              <w:rPr>
                <w:sz w:val="8"/>
              </w:rPr>
            </w:pPr>
            <w:r>
              <w:rPr>
                <w:w w:val="105"/>
                <w:sz w:val="8"/>
              </w:rPr>
              <w:t>0,06%</w:t>
            </w:r>
          </w:p>
        </w:tc>
      </w:tr>
      <w:tr w:rsidR="00F65BCA" w14:paraId="763323B3" w14:textId="77777777">
        <w:trPr>
          <w:trHeight w:val="177"/>
        </w:trPr>
        <w:tc>
          <w:tcPr>
            <w:tcW w:w="1966" w:type="dxa"/>
            <w:shd w:val="clear" w:color="auto" w:fill="FCE4D6"/>
          </w:tcPr>
          <w:p w14:paraId="0E704E46" w14:textId="77777777" w:rsidR="00F65BCA" w:rsidRDefault="00216117">
            <w:pPr>
              <w:pStyle w:val="TableParagraph"/>
              <w:spacing w:before="42"/>
              <w:ind w:left="433" w:right="416"/>
              <w:jc w:val="center"/>
              <w:rPr>
                <w:sz w:val="8"/>
              </w:rPr>
            </w:pPr>
            <w:r>
              <w:rPr>
                <w:w w:val="105"/>
                <w:sz w:val="8"/>
              </w:rPr>
              <w:t>pracovní stroj samojízdný</w:t>
            </w:r>
          </w:p>
        </w:tc>
        <w:tc>
          <w:tcPr>
            <w:tcW w:w="711" w:type="dxa"/>
          </w:tcPr>
          <w:p w14:paraId="05779D9D" w14:textId="77777777" w:rsidR="00F65BCA" w:rsidRDefault="00216117">
            <w:pPr>
              <w:pStyle w:val="TableParagraph"/>
              <w:spacing w:before="42"/>
              <w:ind w:left="20" w:right="2"/>
              <w:jc w:val="center"/>
              <w:rPr>
                <w:sz w:val="8"/>
              </w:rPr>
            </w:pPr>
            <w:r>
              <w:rPr>
                <w:w w:val="105"/>
                <w:sz w:val="8"/>
              </w:rPr>
              <w:t>0,06%</w:t>
            </w:r>
          </w:p>
        </w:tc>
        <w:tc>
          <w:tcPr>
            <w:tcW w:w="711" w:type="dxa"/>
          </w:tcPr>
          <w:p w14:paraId="58E63CC4" w14:textId="77777777" w:rsidR="00F65BCA" w:rsidRDefault="00216117">
            <w:pPr>
              <w:pStyle w:val="TableParagraph"/>
              <w:spacing w:before="42"/>
              <w:ind w:left="19" w:right="2"/>
              <w:jc w:val="center"/>
              <w:rPr>
                <w:sz w:val="8"/>
              </w:rPr>
            </w:pPr>
            <w:r>
              <w:rPr>
                <w:w w:val="105"/>
                <w:sz w:val="8"/>
              </w:rPr>
              <w:t>0,05%</w:t>
            </w:r>
          </w:p>
        </w:tc>
        <w:tc>
          <w:tcPr>
            <w:tcW w:w="776" w:type="dxa"/>
          </w:tcPr>
          <w:p w14:paraId="13B615E7" w14:textId="77777777" w:rsidR="00F65BCA" w:rsidRDefault="00216117">
            <w:pPr>
              <w:pStyle w:val="TableParagraph"/>
              <w:spacing w:before="42"/>
              <w:ind w:right="256"/>
              <w:jc w:val="right"/>
              <w:rPr>
                <w:sz w:val="8"/>
              </w:rPr>
            </w:pPr>
            <w:r>
              <w:rPr>
                <w:w w:val="105"/>
                <w:sz w:val="8"/>
              </w:rPr>
              <w:t>0,05%</w:t>
            </w:r>
          </w:p>
        </w:tc>
        <w:tc>
          <w:tcPr>
            <w:tcW w:w="776" w:type="dxa"/>
          </w:tcPr>
          <w:p w14:paraId="4B730B92" w14:textId="77777777" w:rsidR="00F65BCA" w:rsidRDefault="00216117">
            <w:pPr>
              <w:pStyle w:val="TableParagraph"/>
              <w:spacing w:before="42"/>
              <w:ind w:left="271"/>
              <w:rPr>
                <w:sz w:val="8"/>
              </w:rPr>
            </w:pPr>
            <w:r>
              <w:rPr>
                <w:w w:val="105"/>
                <w:sz w:val="8"/>
              </w:rPr>
              <w:t>0,05%</w:t>
            </w:r>
          </w:p>
        </w:tc>
        <w:tc>
          <w:tcPr>
            <w:tcW w:w="776" w:type="dxa"/>
          </w:tcPr>
          <w:p w14:paraId="178FB2EA" w14:textId="77777777" w:rsidR="00F65BCA" w:rsidRDefault="00216117">
            <w:pPr>
              <w:pStyle w:val="TableParagraph"/>
              <w:spacing w:before="42"/>
              <w:ind w:left="10"/>
              <w:jc w:val="center"/>
              <w:rPr>
                <w:sz w:val="8"/>
              </w:rPr>
            </w:pPr>
            <w:r>
              <w:rPr>
                <w:w w:val="105"/>
                <w:sz w:val="8"/>
              </w:rPr>
              <w:t>0,05%</w:t>
            </w:r>
          </w:p>
        </w:tc>
        <w:tc>
          <w:tcPr>
            <w:tcW w:w="776" w:type="dxa"/>
          </w:tcPr>
          <w:p w14:paraId="7ECF6A6F" w14:textId="77777777" w:rsidR="00F65BCA" w:rsidRDefault="00216117">
            <w:pPr>
              <w:pStyle w:val="TableParagraph"/>
              <w:spacing w:before="42"/>
              <w:ind w:left="8"/>
              <w:jc w:val="center"/>
              <w:rPr>
                <w:sz w:val="8"/>
              </w:rPr>
            </w:pPr>
            <w:r>
              <w:rPr>
                <w:w w:val="105"/>
                <w:sz w:val="8"/>
              </w:rPr>
              <w:t>0,06%</w:t>
            </w:r>
          </w:p>
        </w:tc>
      </w:tr>
      <w:tr w:rsidR="00F65BCA" w14:paraId="660C85B4" w14:textId="77777777">
        <w:trPr>
          <w:trHeight w:val="177"/>
        </w:trPr>
        <w:tc>
          <w:tcPr>
            <w:tcW w:w="1966" w:type="dxa"/>
            <w:shd w:val="clear" w:color="auto" w:fill="FCE4D6"/>
          </w:tcPr>
          <w:p w14:paraId="22ED8224" w14:textId="77777777" w:rsidR="00F65BCA" w:rsidRDefault="00216117">
            <w:pPr>
              <w:pStyle w:val="TableParagraph"/>
              <w:spacing w:before="42"/>
              <w:ind w:left="433" w:right="413"/>
              <w:jc w:val="center"/>
              <w:rPr>
                <w:sz w:val="8"/>
              </w:rPr>
            </w:pPr>
            <w:r>
              <w:rPr>
                <w:w w:val="105"/>
                <w:sz w:val="8"/>
              </w:rPr>
              <w:t>motocykl</w:t>
            </w:r>
          </w:p>
        </w:tc>
        <w:tc>
          <w:tcPr>
            <w:tcW w:w="711" w:type="dxa"/>
          </w:tcPr>
          <w:p w14:paraId="0CA65927" w14:textId="77777777" w:rsidR="00F65BCA" w:rsidRDefault="00216117">
            <w:pPr>
              <w:pStyle w:val="TableParagraph"/>
              <w:spacing w:before="42"/>
              <w:ind w:left="20" w:right="2"/>
              <w:jc w:val="center"/>
              <w:rPr>
                <w:sz w:val="8"/>
              </w:rPr>
            </w:pPr>
            <w:r>
              <w:rPr>
                <w:w w:val="105"/>
                <w:sz w:val="8"/>
              </w:rPr>
              <w:t>0,29%</w:t>
            </w:r>
          </w:p>
        </w:tc>
        <w:tc>
          <w:tcPr>
            <w:tcW w:w="711" w:type="dxa"/>
          </w:tcPr>
          <w:p w14:paraId="64B6D7E0" w14:textId="77777777" w:rsidR="00F65BCA" w:rsidRDefault="00216117">
            <w:pPr>
              <w:pStyle w:val="TableParagraph"/>
              <w:spacing w:before="42"/>
              <w:ind w:left="18" w:right="2"/>
              <w:jc w:val="center"/>
              <w:rPr>
                <w:sz w:val="8"/>
              </w:rPr>
            </w:pPr>
            <w:r>
              <w:rPr>
                <w:w w:val="105"/>
                <w:sz w:val="8"/>
              </w:rPr>
              <w:t>0,27%</w:t>
            </w:r>
          </w:p>
        </w:tc>
        <w:tc>
          <w:tcPr>
            <w:tcW w:w="776" w:type="dxa"/>
          </w:tcPr>
          <w:p w14:paraId="55849ABE" w14:textId="77777777" w:rsidR="00F65BCA" w:rsidRDefault="00216117">
            <w:pPr>
              <w:pStyle w:val="TableParagraph"/>
              <w:spacing w:before="42"/>
              <w:ind w:right="256"/>
              <w:jc w:val="right"/>
              <w:rPr>
                <w:sz w:val="8"/>
              </w:rPr>
            </w:pPr>
            <w:r>
              <w:rPr>
                <w:w w:val="105"/>
                <w:sz w:val="8"/>
              </w:rPr>
              <w:t>0,25%</w:t>
            </w:r>
          </w:p>
        </w:tc>
        <w:tc>
          <w:tcPr>
            <w:tcW w:w="776" w:type="dxa"/>
          </w:tcPr>
          <w:p w14:paraId="5B315A37" w14:textId="77777777" w:rsidR="00F65BCA" w:rsidRDefault="00216117">
            <w:pPr>
              <w:pStyle w:val="TableParagraph"/>
              <w:spacing w:before="42"/>
              <w:ind w:left="271"/>
              <w:rPr>
                <w:sz w:val="8"/>
              </w:rPr>
            </w:pPr>
            <w:r>
              <w:rPr>
                <w:w w:val="105"/>
                <w:sz w:val="8"/>
              </w:rPr>
              <w:t>0,24%</w:t>
            </w:r>
          </w:p>
        </w:tc>
        <w:tc>
          <w:tcPr>
            <w:tcW w:w="776" w:type="dxa"/>
          </w:tcPr>
          <w:p w14:paraId="0F5EDF1A" w14:textId="77777777" w:rsidR="00F65BCA" w:rsidRDefault="00216117">
            <w:pPr>
              <w:pStyle w:val="TableParagraph"/>
              <w:spacing w:before="42"/>
              <w:ind w:left="10"/>
              <w:jc w:val="center"/>
              <w:rPr>
                <w:sz w:val="8"/>
              </w:rPr>
            </w:pPr>
            <w:r>
              <w:rPr>
                <w:w w:val="105"/>
                <w:sz w:val="8"/>
              </w:rPr>
              <w:t>0,23%</w:t>
            </w:r>
          </w:p>
        </w:tc>
        <w:tc>
          <w:tcPr>
            <w:tcW w:w="776" w:type="dxa"/>
          </w:tcPr>
          <w:p w14:paraId="45A1AA3B" w14:textId="77777777" w:rsidR="00F65BCA" w:rsidRDefault="00216117">
            <w:pPr>
              <w:pStyle w:val="TableParagraph"/>
              <w:spacing w:before="42"/>
              <w:ind w:left="8"/>
              <w:jc w:val="center"/>
              <w:rPr>
                <w:sz w:val="8"/>
              </w:rPr>
            </w:pPr>
            <w:r>
              <w:rPr>
                <w:w w:val="105"/>
                <w:sz w:val="8"/>
              </w:rPr>
              <w:t>0,30%</w:t>
            </w:r>
          </w:p>
        </w:tc>
      </w:tr>
      <w:tr w:rsidR="00F65BCA" w14:paraId="7D8BA83B" w14:textId="77777777">
        <w:trPr>
          <w:trHeight w:val="177"/>
        </w:trPr>
        <w:tc>
          <w:tcPr>
            <w:tcW w:w="1966" w:type="dxa"/>
            <w:shd w:val="clear" w:color="auto" w:fill="FCE4D6"/>
          </w:tcPr>
          <w:p w14:paraId="0972364B" w14:textId="77777777" w:rsidR="00F65BCA" w:rsidRDefault="00216117">
            <w:pPr>
              <w:pStyle w:val="TableParagraph"/>
              <w:spacing w:before="42"/>
              <w:ind w:left="433" w:right="414"/>
              <w:jc w:val="center"/>
              <w:rPr>
                <w:sz w:val="8"/>
              </w:rPr>
            </w:pPr>
            <w:r>
              <w:rPr>
                <w:w w:val="105"/>
                <w:sz w:val="8"/>
              </w:rPr>
              <w:t>tříkolky a čtyřkolky</w:t>
            </w:r>
          </w:p>
        </w:tc>
        <w:tc>
          <w:tcPr>
            <w:tcW w:w="711" w:type="dxa"/>
          </w:tcPr>
          <w:p w14:paraId="7D997DEF" w14:textId="77777777" w:rsidR="00F65BCA" w:rsidRDefault="00216117">
            <w:pPr>
              <w:pStyle w:val="TableParagraph"/>
              <w:spacing w:before="42"/>
              <w:ind w:left="20" w:right="2"/>
              <w:jc w:val="center"/>
              <w:rPr>
                <w:sz w:val="8"/>
              </w:rPr>
            </w:pPr>
            <w:r>
              <w:rPr>
                <w:w w:val="105"/>
                <w:sz w:val="8"/>
              </w:rPr>
              <w:t>0,29%</w:t>
            </w:r>
          </w:p>
        </w:tc>
        <w:tc>
          <w:tcPr>
            <w:tcW w:w="711" w:type="dxa"/>
          </w:tcPr>
          <w:p w14:paraId="04813DDA" w14:textId="77777777" w:rsidR="00F65BCA" w:rsidRDefault="00216117">
            <w:pPr>
              <w:pStyle w:val="TableParagraph"/>
              <w:spacing w:before="42"/>
              <w:ind w:left="18" w:right="2"/>
              <w:jc w:val="center"/>
              <w:rPr>
                <w:sz w:val="8"/>
              </w:rPr>
            </w:pPr>
            <w:r>
              <w:rPr>
                <w:w w:val="105"/>
                <w:sz w:val="8"/>
              </w:rPr>
              <w:t>0,27%</w:t>
            </w:r>
          </w:p>
        </w:tc>
        <w:tc>
          <w:tcPr>
            <w:tcW w:w="776" w:type="dxa"/>
          </w:tcPr>
          <w:p w14:paraId="6D2E89C4" w14:textId="77777777" w:rsidR="00F65BCA" w:rsidRDefault="00216117">
            <w:pPr>
              <w:pStyle w:val="TableParagraph"/>
              <w:spacing w:before="42"/>
              <w:ind w:right="256"/>
              <w:jc w:val="right"/>
              <w:rPr>
                <w:sz w:val="8"/>
              </w:rPr>
            </w:pPr>
            <w:r>
              <w:rPr>
                <w:w w:val="105"/>
                <w:sz w:val="8"/>
              </w:rPr>
              <w:t>0,25%</w:t>
            </w:r>
          </w:p>
        </w:tc>
        <w:tc>
          <w:tcPr>
            <w:tcW w:w="776" w:type="dxa"/>
          </w:tcPr>
          <w:p w14:paraId="2D681F89" w14:textId="77777777" w:rsidR="00F65BCA" w:rsidRDefault="00216117">
            <w:pPr>
              <w:pStyle w:val="TableParagraph"/>
              <w:spacing w:before="42"/>
              <w:ind w:left="271"/>
              <w:rPr>
                <w:sz w:val="8"/>
              </w:rPr>
            </w:pPr>
            <w:r>
              <w:rPr>
                <w:w w:val="105"/>
                <w:sz w:val="8"/>
              </w:rPr>
              <w:t>0,24%</w:t>
            </w:r>
          </w:p>
        </w:tc>
        <w:tc>
          <w:tcPr>
            <w:tcW w:w="776" w:type="dxa"/>
          </w:tcPr>
          <w:p w14:paraId="0E8EA403" w14:textId="77777777" w:rsidR="00F65BCA" w:rsidRDefault="00216117">
            <w:pPr>
              <w:pStyle w:val="TableParagraph"/>
              <w:spacing w:before="42"/>
              <w:ind w:left="10"/>
              <w:jc w:val="center"/>
              <w:rPr>
                <w:sz w:val="8"/>
              </w:rPr>
            </w:pPr>
            <w:r>
              <w:rPr>
                <w:w w:val="105"/>
                <w:sz w:val="8"/>
              </w:rPr>
              <w:t>0,23%</w:t>
            </w:r>
          </w:p>
        </w:tc>
        <w:tc>
          <w:tcPr>
            <w:tcW w:w="776" w:type="dxa"/>
          </w:tcPr>
          <w:p w14:paraId="1136C762" w14:textId="77777777" w:rsidR="00F65BCA" w:rsidRDefault="00216117">
            <w:pPr>
              <w:pStyle w:val="TableParagraph"/>
              <w:spacing w:before="42"/>
              <w:ind w:left="8"/>
              <w:jc w:val="center"/>
              <w:rPr>
                <w:sz w:val="8"/>
              </w:rPr>
            </w:pPr>
            <w:r>
              <w:rPr>
                <w:w w:val="105"/>
                <w:sz w:val="8"/>
              </w:rPr>
              <w:t>0,30%</w:t>
            </w:r>
          </w:p>
        </w:tc>
      </w:tr>
      <w:tr w:rsidR="00F65BCA" w14:paraId="7919A770" w14:textId="77777777">
        <w:trPr>
          <w:trHeight w:val="177"/>
        </w:trPr>
        <w:tc>
          <w:tcPr>
            <w:tcW w:w="1966" w:type="dxa"/>
            <w:shd w:val="clear" w:color="auto" w:fill="FCE4D6"/>
          </w:tcPr>
          <w:p w14:paraId="71C1D106" w14:textId="77777777" w:rsidR="00F65BCA" w:rsidRDefault="00216117">
            <w:pPr>
              <w:pStyle w:val="TableParagraph"/>
              <w:spacing w:before="42"/>
              <w:ind w:left="433" w:right="414"/>
              <w:jc w:val="center"/>
              <w:rPr>
                <w:sz w:val="8"/>
              </w:rPr>
            </w:pPr>
            <w:r>
              <w:rPr>
                <w:w w:val="105"/>
                <w:sz w:val="8"/>
              </w:rPr>
              <w:t>ostatní vozidla</w:t>
            </w:r>
          </w:p>
        </w:tc>
        <w:tc>
          <w:tcPr>
            <w:tcW w:w="711" w:type="dxa"/>
          </w:tcPr>
          <w:p w14:paraId="337CBB1B" w14:textId="77777777" w:rsidR="00F65BCA" w:rsidRDefault="00216117">
            <w:pPr>
              <w:pStyle w:val="TableParagraph"/>
              <w:spacing w:before="42"/>
              <w:ind w:left="20" w:right="2"/>
              <w:jc w:val="center"/>
              <w:rPr>
                <w:sz w:val="8"/>
              </w:rPr>
            </w:pPr>
            <w:r>
              <w:rPr>
                <w:w w:val="105"/>
                <w:sz w:val="8"/>
              </w:rPr>
              <w:t>0,18%</w:t>
            </w:r>
          </w:p>
        </w:tc>
        <w:tc>
          <w:tcPr>
            <w:tcW w:w="711" w:type="dxa"/>
          </w:tcPr>
          <w:p w14:paraId="5322D240" w14:textId="77777777" w:rsidR="00F65BCA" w:rsidRDefault="00216117">
            <w:pPr>
              <w:pStyle w:val="TableParagraph"/>
              <w:spacing w:before="42"/>
              <w:ind w:left="19" w:right="2"/>
              <w:jc w:val="center"/>
              <w:rPr>
                <w:sz w:val="8"/>
              </w:rPr>
            </w:pPr>
            <w:r>
              <w:rPr>
                <w:w w:val="105"/>
                <w:sz w:val="8"/>
              </w:rPr>
              <w:t>0,16%</w:t>
            </w:r>
          </w:p>
        </w:tc>
        <w:tc>
          <w:tcPr>
            <w:tcW w:w="776" w:type="dxa"/>
          </w:tcPr>
          <w:p w14:paraId="79E8BA1D" w14:textId="77777777" w:rsidR="00F65BCA" w:rsidRDefault="00216117">
            <w:pPr>
              <w:pStyle w:val="TableParagraph"/>
              <w:spacing w:before="42"/>
              <w:ind w:right="256"/>
              <w:jc w:val="right"/>
              <w:rPr>
                <w:sz w:val="8"/>
              </w:rPr>
            </w:pPr>
            <w:r>
              <w:rPr>
                <w:w w:val="105"/>
                <w:sz w:val="8"/>
              </w:rPr>
              <w:t>0,15%</w:t>
            </w:r>
          </w:p>
        </w:tc>
        <w:tc>
          <w:tcPr>
            <w:tcW w:w="776" w:type="dxa"/>
          </w:tcPr>
          <w:p w14:paraId="7038D4B5" w14:textId="77777777" w:rsidR="00F65BCA" w:rsidRDefault="00216117">
            <w:pPr>
              <w:pStyle w:val="TableParagraph"/>
              <w:spacing w:before="42"/>
              <w:ind w:left="271"/>
              <w:rPr>
                <w:sz w:val="8"/>
              </w:rPr>
            </w:pPr>
            <w:r>
              <w:rPr>
                <w:w w:val="105"/>
                <w:sz w:val="8"/>
              </w:rPr>
              <w:t>0,14%</w:t>
            </w:r>
          </w:p>
        </w:tc>
        <w:tc>
          <w:tcPr>
            <w:tcW w:w="776" w:type="dxa"/>
          </w:tcPr>
          <w:p w14:paraId="4F450C6E" w14:textId="77777777" w:rsidR="00F65BCA" w:rsidRDefault="00216117">
            <w:pPr>
              <w:pStyle w:val="TableParagraph"/>
              <w:spacing w:before="42"/>
              <w:ind w:left="10"/>
              <w:jc w:val="center"/>
              <w:rPr>
                <w:sz w:val="8"/>
              </w:rPr>
            </w:pPr>
            <w:r>
              <w:rPr>
                <w:w w:val="105"/>
                <w:sz w:val="8"/>
              </w:rPr>
              <w:t>0,14%</w:t>
            </w:r>
          </w:p>
        </w:tc>
        <w:tc>
          <w:tcPr>
            <w:tcW w:w="776" w:type="dxa"/>
          </w:tcPr>
          <w:p w14:paraId="26FAA85C" w14:textId="77777777" w:rsidR="00F65BCA" w:rsidRDefault="00216117">
            <w:pPr>
              <w:pStyle w:val="TableParagraph"/>
              <w:spacing w:before="42"/>
              <w:ind w:left="8"/>
              <w:jc w:val="center"/>
              <w:rPr>
                <w:sz w:val="8"/>
              </w:rPr>
            </w:pPr>
            <w:r>
              <w:rPr>
                <w:w w:val="105"/>
                <w:sz w:val="8"/>
              </w:rPr>
              <w:t>0,18%</w:t>
            </w:r>
          </w:p>
        </w:tc>
      </w:tr>
      <w:tr w:rsidR="00F65BCA" w14:paraId="14CFA8C4" w14:textId="77777777">
        <w:trPr>
          <w:trHeight w:val="201"/>
        </w:trPr>
        <w:tc>
          <w:tcPr>
            <w:tcW w:w="1966" w:type="dxa"/>
            <w:shd w:val="clear" w:color="auto" w:fill="FCE4D6"/>
          </w:tcPr>
          <w:p w14:paraId="6839619B" w14:textId="77777777" w:rsidR="00F65BCA" w:rsidRDefault="00216117">
            <w:pPr>
              <w:pStyle w:val="TableParagraph"/>
              <w:spacing w:before="54"/>
              <w:ind w:left="433" w:right="416"/>
              <w:jc w:val="center"/>
              <w:rPr>
                <w:sz w:val="8"/>
              </w:rPr>
            </w:pPr>
            <w:r>
              <w:rPr>
                <w:w w:val="105"/>
                <w:sz w:val="8"/>
              </w:rPr>
              <w:t>jiný druh</w:t>
            </w:r>
          </w:p>
        </w:tc>
        <w:tc>
          <w:tcPr>
            <w:tcW w:w="711" w:type="dxa"/>
          </w:tcPr>
          <w:p w14:paraId="7C626321" w14:textId="77777777" w:rsidR="00F65BCA" w:rsidRDefault="00216117">
            <w:pPr>
              <w:pStyle w:val="TableParagraph"/>
              <w:spacing w:before="54"/>
              <w:ind w:left="20" w:right="2"/>
              <w:jc w:val="center"/>
              <w:rPr>
                <w:sz w:val="8"/>
              </w:rPr>
            </w:pPr>
            <w:r>
              <w:rPr>
                <w:w w:val="105"/>
                <w:sz w:val="8"/>
              </w:rPr>
              <w:t>0,18%</w:t>
            </w:r>
          </w:p>
        </w:tc>
        <w:tc>
          <w:tcPr>
            <w:tcW w:w="711" w:type="dxa"/>
          </w:tcPr>
          <w:p w14:paraId="6581D170" w14:textId="77777777" w:rsidR="00F65BCA" w:rsidRDefault="00216117">
            <w:pPr>
              <w:pStyle w:val="TableParagraph"/>
              <w:spacing w:before="54"/>
              <w:ind w:left="19" w:right="2"/>
              <w:jc w:val="center"/>
              <w:rPr>
                <w:sz w:val="8"/>
              </w:rPr>
            </w:pPr>
            <w:r>
              <w:rPr>
                <w:w w:val="105"/>
                <w:sz w:val="8"/>
              </w:rPr>
              <w:t>0,16%</w:t>
            </w:r>
          </w:p>
        </w:tc>
        <w:tc>
          <w:tcPr>
            <w:tcW w:w="776" w:type="dxa"/>
          </w:tcPr>
          <w:p w14:paraId="404C979E" w14:textId="77777777" w:rsidR="00F65BCA" w:rsidRDefault="00216117">
            <w:pPr>
              <w:pStyle w:val="TableParagraph"/>
              <w:spacing w:before="54"/>
              <w:ind w:right="256"/>
              <w:jc w:val="right"/>
              <w:rPr>
                <w:sz w:val="8"/>
              </w:rPr>
            </w:pPr>
            <w:r>
              <w:rPr>
                <w:w w:val="105"/>
                <w:sz w:val="8"/>
              </w:rPr>
              <w:t>0,15%</w:t>
            </w:r>
          </w:p>
        </w:tc>
        <w:tc>
          <w:tcPr>
            <w:tcW w:w="776" w:type="dxa"/>
          </w:tcPr>
          <w:p w14:paraId="556171BF" w14:textId="77777777" w:rsidR="00F65BCA" w:rsidRDefault="00216117">
            <w:pPr>
              <w:pStyle w:val="TableParagraph"/>
              <w:spacing w:before="54"/>
              <w:ind w:left="271"/>
              <w:rPr>
                <w:sz w:val="8"/>
              </w:rPr>
            </w:pPr>
            <w:r>
              <w:rPr>
                <w:w w:val="105"/>
                <w:sz w:val="8"/>
              </w:rPr>
              <w:t>0,14%</w:t>
            </w:r>
          </w:p>
        </w:tc>
        <w:tc>
          <w:tcPr>
            <w:tcW w:w="776" w:type="dxa"/>
          </w:tcPr>
          <w:p w14:paraId="16559510" w14:textId="77777777" w:rsidR="00F65BCA" w:rsidRDefault="00216117">
            <w:pPr>
              <w:pStyle w:val="TableParagraph"/>
              <w:spacing w:before="54"/>
              <w:ind w:left="10"/>
              <w:jc w:val="center"/>
              <w:rPr>
                <w:sz w:val="8"/>
              </w:rPr>
            </w:pPr>
            <w:r>
              <w:rPr>
                <w:w w:val="105"/>
                <w:sz w:val="8"/>
              </w:rPr>
              <w:t>0,14%</w:t>
            </w:r>
          </w:p>
        </w:tc>
        <w:tc>
          <w:tcPr>
            <w:tcW w:w="776" w:type="dxa"/>
          </w:tcPr>
          <w:p w14:paraId="6C445722" w14:textId="77777777" w:rsidR="00F65BCA" w:rsidRDefault="00216117">
            <w:pPr>
              <w:pStyle w:val="TableParagraph"/>
              <w:spacing w:before="54"/>
              <w:ind w:left="8"/>
              <w:jc w:val="center"/>
              <w:rPr>
                <w:sz w:val="8"/>
              </w:rPr>
            </w:pPr>
            <w:r>
              <w:rPr>
                <w:w w:val="105"/>
                <w:sz w:val="8"/>
              </w:rPr>
              <w:t>0,18%</w:t>
            </w:r>
          </w:p>
        </w:tc>
      </w:tr>
    </w:tbl>
    <w:p w14:paraId="7D8A32F4" w14:textId="77777777" w:rsidR="00F65BCA" w:rsidRDefault="00F65BCA">
      <w:pPr>
        <w:pStyle w:val="Zkladntext"/>
        <w:rPr>
          <w:sz w:val="20"/>
        </w:rPr>
      </w:pPr>
    </w:p>
    <w:p w14:paraId="39D1ACFB" w14:textId="77777777" w:rsidR="00F65BCA" w:rsidRDefault="00F65BCA">
      <w:pPr>
        <w:pStyle w:val="Zkladntext"/>
        <w:rPr>
          <w:sz w:val="20"/>
        </w:rPr>
      </w:pPr>
    </w:p>
    <w:p w14:paraId="3BE5FA37" w14:textId="77777777" w:rsidR="00F65BCA" w:rsidRDefault="00F65BCA">
      <w:pPr>
        <w:pStyle w:val="Zkladntext"/>
        <w:rPr>
          <w:sz w:val="20"/>
        </w:rPr>
      </w:pPr>
    </w:p>
    <w:p w14:paraId="00BCF271" w14:textId="77777777" w:rsidR="00F65BCA" w:rsidRDefault="00F65BCA">
      <w:pPr>
        <w:pStyle w:val="Zkladntext"/>
        <w:rPr>
          <w:sz w:val="20"/>
        </w:rPr>
      </w:pPr>
    </w:p>
    <w:p w14:paraId="6BAD8016" w14:textId="77777777" w:rsidR="00F65BCA" w:rsidRDefault="00F65BCA">
      <w:pPr>
        <w:pStyle w:val="Zkladntext"/>
        <w:rPr>
          <w:sz w:val="20"/>
        </w:rPr>
      </w:pPr>
    </w:p>
    <w:p w14:paraId="7A17BE2E" w14:textId="77777777" w:rsidR="00F65BCA" w:rsidRDefault="00F65BCA">
      <w:pPr>
        <w:pStyle w:val="Zkladntext"/>
        <w:rPr>
          <w:sz w:val="20"/>
        </w:rPr>
      </w:pPr>
    </w:p>
    <w:p w14:paraId="7BE7EF8E" w14:textId="77777777" w:rsidR="00F65BCA" w:rsidRDefault="00F65BCA">
      <w:pPr>
        <w:pStyle w:val="Zkladntext"/>
        <w:rPr>
          <w:sz w:val="20"/>
        </w:rPr>
      </w:pPr>
    </w:p>
    <w:p w14:paraId="0BDE1CBD" w14:textId="77777777" w:rsidR="00F65BCA" w:rsidRDefault="00F65BCA">
      <w:pPr>
        <w:pStyle w:val="Zkladntext"/>
        <w:rPr>
          <w:sz w:val="20"/>
        </w:rPr>
      </w:pPr>
    </w:p>
    <w:p w14:paraId="630145C4" w14:textId="77777777" w:rsidR="00F65BCA" w:rsidRDefault="00F65BCA">
      <w:pPr>
        <w:pStyle w:val="Zkladntext"/>
        <w:rPr>
          <w:sz w:val="20"/>
        </w:rPr>
      </w:pPr>
    </w:p>
    <w:p w14:paraId="42DE5881" w14:textId="77777777" w:rsidR="00F65BCA" w:rsidRDefault="00F65BCA">
      <w:pPr>
        <w:pStyle w:val="Zkladntext"/>
        <w:rPr>
          <w:sz w:val="20"/>
        </w:rPr>
      </w:pPr>
    </w:p>
    <w:p w14:paraId="66F620B5" w14:textId="77777777" w:rsidR="00F65BCA" w:rsidRDefault="00F65BCA">
      <w:pPr>
        <w:pStyle w:val="Zkladntext"/>
        <w:rPr>
          <w:sz w:val="20"/>
        </w:rPr>
      </w:pPr>
    </w:p>
    <w:p w14:paraId="0B51A369" w14:textId="77777777" w:rsidR="00F65BCA" w:rsidRDefault="00F65BCA">
      <w:pPr>
        <w:pStyle w:val="Zkladntext"/>
        <w:rPr>
          <w:sz w:val="20"/>
        </w:rPr>
      </w:pPr>
    </w:p>
    <w:p w14:paraId="55F6BCF3" w14:textId="77777777" w:rsidR="00F65BCA" w:rsidRDefault="00F65BCA">
      <w:pPr>
        <w:pStyle w:val="Zkladntext"/>
        <w:rPr>
          <w:sz w:val="20"/>
        </w:rPr>
      </w:pPr>
    </w:p>
    <w:p w14:paraId="75BB8CE4" w14:textId="77777777" w:rsidR="00F65BCA" w:rsidRDefault="00F65BCA">
      <w:pPr>
        <w:pStyle w:val="Zkladntext"/>
        <w:rPr>
          <w:sz w:val="20"/>
        </w:rPr>
      </w:pPr>
    </w:p>
    <w:p w14:paraId="37190622" w14:textId="77777777" w:rsidR="00F65BCA" w:rsidRDefault="00F65BCA">
      <w:pPr>
        <w:pStyle w:val="Zkladntext"/>
        <w:rPr>
          <w:sz w:val="20"/>
        </w:rPr>
      </w:pPr>
    </w:p>
    <w:p w14:paraId="560D1134" w14:textId="77777777" w:rsidR="00F65BCA" w:rsidRDefault="00F65BCA">
      <w:pPr>
        <w:pStyle w:val="Zkladntext"/>
        <w:rPr>
          <w:sz w:val="20"/>
        </w:rPr>
      </w:pPr>
    </w:p>
    <w:p w14:paraId="4E59E356" w14:textId="77777777" w:rsidR="00F65BCA" w:rsidRDefault="00F65BCA">
      <w:pPr>
        <w:pStyle w:val="Zkladntext"/>
        <w:rPr>
          <w:sz w:val="20"/>
        </w:rPr>
      </w:pPr>
    </w:p>
    <w:p w14:paraId="69734636" w14:textId="77777777" w:rsidR="00F65BCA" w:rsidRDefault="00F65BCA">
      <w:pPr>
        <w:pStyle w:val="Zkladntext"/>
        <w:rPr>
          <w:sz w:val="20"/>
        </w:rPr>
      </w:pPr>
    </w:p>
    <w:p w14:paraId="06597C02" w14:textId="77777777" w:rsidR="00F65BCA" w:rsidRDefault="00F65BCA">
      <w:pPr>
        <w:pStyle w:val="Zkladntext"/>
        <w:rPr>
          <w:sz w:val="20"/>
        </w:rPr>
      </w:pPr>
    </w:p>
    <w:p w14:paraId="31F70BE7" w14:textId="77777777" w:rsidR="00F65BCA" w:rsidRDefault="00F65BCA">
      <w:pPr>
        <w:pStyle w:val="Zkladntext"/>
        <w:rPr>
          <w:sz w:val="20"/>
        </w:rPr>
      </w:pPr>
    </w:p>
    <w:p w14:paraId="6D907914" w14:textId="77777777" w:rsidR="00F65BCA" w:rsidRDefault="00F65BCA">
      <w:pPr>
        <w:pStyle w:val="Zkladntext"/>
        <w:rPr>
          <w:sz w:val="20"/>
        </w:rPr>
      </w:pPr>
    </w:p>
    <w:p w14:paraId="5A81DE23" w14:textId="77777777" w:rsidR="00F65BCA" w:rsidRDefault="00F65BCA">
      <w:pPr>
        <w:pStyle w:val="Zkladntext"/>
        <w:rPr>
          <w:sz w:val="20"/>
        </w:rPr>
      </w:pPr>
    </w:p>
    <w:p w14:paraId="4333D7E1" w14:textId="77777777" w:rsidR="00F65BCA" w:rsidRDefault="00F65BCA">
      <w:pPr>
        <w:pStyle w:val="Zkladntext"/>
        <w:rPr>
          <w:sz w:val="20"/>
        </w:rPr>
      </w:pPr>
    </w:p>
    <w:p w14:paraId="36EDB38C" w14:textId="77777777" w:rsidR="00F65BCA" w:rsidRDefault="00F65BCA">
      <w:pPr>
        <w:pStyle w:val="Zkladntext"/>
        <w:rPr>
          <w:sz w:val="20"/>
        </w:rPr>
      </w:pPr>
    </w:p>
    <w:p w14:paraId="580DCF69" w14:textId="77777777" w:rsidR="00F65BCA" w:rsidRDefault="00F65BCA">
      <w:pPr>
        <w:pStyle w:val="Zkladntext"/>
        <w:rPr>
          <w:sz w:val="20"/>
        </w:rPr>
      </w:pPr>
    </w:p>
    <w:p w14:paraId="24DAC8E9" w14:textId="77777777" w:rsidR="00F65BCA" w:rsidRDefault="00F65BCA">
      <w:pPr>
        <w:pStyle w:val="Zkladntext"/>
        <w:rPr>
          <w:sz w:val="20"/>
        </w:rPr>
      </w:pPr>
    </w:p>
    <w:p w14:paraId="785A5D58" w14:textId="77777777" w:rsidR="00F65BCA" w:rsidRDefault="00F65BCA">
      <w:pPr>
        <w:pStyle w:val="Zkladntext"/>
        <w:rPr>
          <w:sz w:val="20"/>
        </w:rPr>
      </w:pPr>
    </w:p>
    <w:p w14:paraId="3DBBFCD8" w14:textId="77777777" w:rsidR="00F65BCA" w:rsidRDefault="00F65BCA">
      <w:pPr>
        <w:pStyle w:val="Zkladntext"/>
        <w:rPr>
          <w:sz w:val="20"/>
        </w:rPr>
      </w:pPr>
    </w:p>
    <w:p w14:paraId="6FDFB851" w14:textId="77777777" w:rsidR="00F65BCA" w:rsidRDefault="00F65BCA">
      <w:pPr>
        <w:pStyle w:val="Zkladntext"/>
        <w:rPr>
          <w:sz w:val="20"/>
        </w:rPr>
      </w:pPr>
    </w:p>
    <w:p w14:paraId="74AEF10F" w14:textId="77777777" w:rsidR="00F65BCA" w:rsidRDefault="00F65BCA">
      <w:pPr>
        <w:pStyle w:val="Zkladntext"/>
        <w:rPr>
          <w:sz w:val="20"/>
        </w:rPr>
      </w:pPr>
    </w:p>
    <w:p w14:paraId="7662D38B" w14:textId="77777777" w:rsidR="00F65BCA" w:rsidRDefault="00F65BCA">
      <w:pPr>
        <w:pStyle w:val="Zkladntext"/>
        <w:rPr>
          <w:sz w:val="20"/>
        </w:rPr>
      </w:pPr>
    </w:p>
    <w:p w14:paraId="485A6884" w14:textId="77777777" w:rsidR="00F65BCA" w:rsidRDefault="00F65BCA">
      <w:pPr>
        <w:pStyle w:val="Zkladntext"/>
        <w:rPr>
          <w:sz w:val="20"/>
        </w:rPr>
      </w:pPr>
    </w:p>
    <w:p w14:paraId="4F6874E2" w14:textId="77777777" w:rsidR="00F65BCA" w:rsidRDefault="00F65BCA">
      <w:pPr>
        <w:pStyle w:val="Zkladntext"/>
        <w:rPr>
          <w:sz w:val="20"/>
        </w:rPr>
      </w:pPr>
    </w:p>
    <w:p w14:paraId="7558CF46" w14:textId="77777777" w:rsidR="00F65BCA" w:rsidRDefault="00F65BCA">
      <w:pPr>
        <w:pStyle w:val="Zkladntext"/>
        <w:rPr>
          <w:sz w:val="20"/>
        </w:rPr>
      </w:pPr>
    </w:p>
    <w:p w14:paraId="6B14B414" w14:textId="77777777" w:rsidR="00F65BCA" w:rsidRDefault="00F65BCA">
      <w:pPr>
        <w:pStyle w:val="Zkladntext"/>
        <w:rPr>
          <w:sz w:val="20"/>
        </w:rPr>
      </w:pPr>
    </w:p>
    <w:p w14:paraId="144D42A7" w14:textId="77777777" w:rsidR="00F65BCA" w:rsidRDefault="00F65BCA">
      <w:pPr>
        <w:pStyle w:val="Zkladntext"/>
        <w:rPr>
          <w:sz w:val="20"/>
        </w:rPr>
      </w:pPr>
    </w:p>
    <w:p w14:paraId="7302BCFC" w14:textId="77777777" w:rsidR="00F65BCA" w:rsidRDefault="00F65BCA">
      <w:pPr>
        <w:pStyle w:val="Zkladntext"/>
        <w:rPr>
          <w:sz w:val="20"/>
        </w:rPr>
      </w:pPr>
    </w:p>
    <w:p w14:paraId="4B18F1DA" w14:textId="77777777" w:rsidR="00F65BCA" w:rsidRDefault="00F65BCA">
      <w:pPr>
        <w:pStyle w:val="Zkladntext"/>
        <w:rPr>
          <w:sz w:val="20"/>
        </w:rPr>
      </w:pPr>
    </w:p>
    <w:p w14:paraId="17031E07" w14:textId="77777777" w:rsidR="00F65BCA" w:rsidRDefault="00F65BCA">
      <w:pPr>
        <w:pStyle w:val="Zkladntext"/>
        <w:rPr>
          <w:sz w:val="20"/>
        </w:rPr>
      </w:pPr>
    </w:p>
    <w:p w14:paraId="6DA3A03F" w14:textId="77777777" w:rsidR="00F65BCA" w:rsidRDefault="00F65BCA">
      <w:pPr>
        <w:pStyle w:val="Zkladntext"/>
        <w:rPr>
          <w:sz w:val="20"/>
        </w:rPr>
      </w:pPr>
    </w:p>
    <w:p w14:paraId="39478972" w14:textId="77777777" w:rsidR="00F65BCA" w:rsidRDefault="00F65BCA">
      <w:pPr>
        <w:pStyle w:val="Zkladntext"/>
        <w:rPr>
          <w:sz w:val="20"/>
        </w:rPr>
      </w:pPr>
    </w:p>
    <w:p w14:paraId="0870BE4C" w14:textId="77777777" w:rsidR="00F65BCA" w:rsidRDefault="00F65BCA">
      <w:pPr>
        <w:pStyle w:val="Zkladntext"/>
        <w:rPr>
          <w:sz w:val="20"/>
        </w:rPr>
      </w:pPr>
    </w:p>
    <w:p w14:paraId="684121F4" w14:textId="77777777" w:rsidR="00F65BCA" w:rsidRDefault="00F65BCA">
      <w:pPr>
        <w:pStyle w:val="Zkladntext"/>
        <w:rPr>
          <w:sz w:val="20"/>
        </w:rPr>
      </w:pPr>
    </w:p>
    <w:p w14:paraId="25C07E43" w14:textId="77777777" w:rsidR="00F65BCA" w:rsidRDefault="00F65BCA">
      <w:pPr>
        <w:pStyle w:val="Zkladntext"/>
        <w:rPr>
          <w:sz w:val="10"/>
        </w:rPr>
      </w:pPr>
    </w:p>
    <w:p w14:paraId="64B8840A" w14:textId="77777777" w:rsidR="00F65BCA" w:rsidRDefault="00F65BCA">
      <w:pPr>
        <w:pStyle w:val="Zkladntext"/>
        <w:rPr>
          <w:sz w:val="10"/>
        </w:rPr>
      </w:pPr>
    </w:p>
    <w:p w14:paraId="15AE5A36" w14:textId="77777777" w:rsidR="00F65BCA" w:rsidRDefault="00216117">
      <w:pPr>
        <w:ind w:left="205"/>
        <w:rPr>
          <w:rFonts w:ascii="Calibri" w:hAnsi="Calibri"/>
          <w:sz w:val="10"/>
        </w:rPr>
      </w:pPr>
      <w:r>
        <w:rPr>
          <w:rFonts w:ascii="Calibri" w:hAnsi="Calibri"/>
          <w:w w:val="95"/>
          <w:sz w:val="2"/>
        </w:rPr>
        <w:t>#</w:t>
      </w:r>
      <w:r>
        <w:rPr>
          <w:rFonts w:ascii="Calibri" w:hAnsi="Calibri"/>
          <w:spacing w:val="-1"/>
          <w:w w:val="103"/>
          <w:sz w:val="10"/>
        </w:rPr>
        <w:t>Důvěrn</w:t>
      </w:r>
      <w:r>
        <w:rPr>
          <w:rFonts w:ascii="Calibri" w:hAnsi="Calibri"/>
          <w:w w:val="103"/>
          <w:sz w:val="10"/>
        </w:rPr>
        <w:t>é</w:t>
      </w:r>
      <w:r>
        <w:rPr>
          <w:rFonts w:ascii="Times New Roman" w:hAnsi="Times New Roman"/>
          <w:spacing w:val="-2"/>
          <w:sz w:val="10"/>
        </w:rPr>
        <w:t xml:space="preserve"> </w:t>
      </w:r>
      <w:r>
        <w:rPr>
          <w:rFonts w:ascii="Calibri" w:hAnsi="Calibri"/>
          <w:w w:val="103"/>
          <w:sz w:val="10"/>
        </w:rPr>
        <w:t>/</w:t>
      </w:r>
      <w:r>
        <w:rPr>
          <w:rFonts w:ascii="Times New Roman" w:hAnsi="Times New Roman"/>
          <w:spacing w:val="-2"/>
          <w:sz w:val="10"/>
        </w:rPr>
        <w:t xml:space="preserve"> </w:t>
      </w:r>
      <w:r>
        <w:rPr>
          <w:rFonts w:ascii="Calibri" w:hAnsi="Calibri"/>
          <w:spacing w:val="-1"/>
          <w:w w:val="103"/>
          <w:sz w:val="10"/>
        </w:rPr>
        <w:t>Confidential</w:t>
      </w:r>
    </w:p>
    <w:p w14:paraId="5CC796A4" w14:textId="77777777" w:rsidR="00F65BCA" w:rsidRDefault="00F65BCA">
      <w:pPr>
        <w:rPr>
          <w:rFonts w:ascii="Calibri" w:hAnsi="Calibri"/>
          <w:sz w:val="10"/>
        </w:rPr>
        <w:sectPr w:rsidR="00F65BCA">
          <w:pgSz w:w="11900" w:h="16840"/>
          <w:pgMar w:top="1280" w:right="640" w:bottom="280" w:left="500" w:header="708" w:footer="708" w:gutter="0"/>
          <w:cols w:space="708"/>
        </w:sectPr>
      </w:pPr>
    </w:p>
    <w:p w14:paraId="6FEB074A" w14:textId="77777777" w:rsidR="00F65BCA" w:rsidRDefault="00F65BCA">
      <w:pPr>
        <w:pStyle w:val="Zkladntext"/>
        <w:rPr>
          <w:rFonts w:ascii="Calibri"/>
          <w:sz w:val="20"/>
        </w:rPr>
      </w:pPr>
    </w:p>
    <w:p w14:paraId="26838970" w14:textId="77777777" w:rsidR="00F65BCA" w:rsidRDefault="00F65BCA">
      <w:pPr>
        <w:pStyle w:val="Zkladntext"/>
        <w:spacing w:before="2"/>
        <w:rPr>
          <w:rFonts w:ascii="Calibri"/>
          <w:sz w:val="28"/>
        </w:rPr>
      </w:pPr>
    </w:p>
    <w:p w14:paraId="1F3C425D" w14:textId="77777777" w:rsidR="00F65BCA" w:rsidRDefault="00000000">
      <w:pPr>
        <w:pStyle w:val="Zkladntext"/>
        <w:ind w:left="1460"/>
        <w:rPr>
          <w:rFonts w:ascii="Calibri"/>
          <w:sz w:val="20"/>
        </w:rPr>
      </w:pPr>
      <w:r>
        <w:rPr>
          <w:rFonts w:ascii="Calibri"/>
          <w:position w:val="-1"/>
          <w:sz w:val="20"/>
        </w:rPr>
      </w:r>
      <w:r>
        <w:rPr>
          <w:rFonts w:ascii="Calibri"/>
          <w:position w:val="-1"/>
          <w:sz w:val="20"/>
        </w:rPr>
        <w:pict w14:anchorId="5FE6C4D6">
          <v:shape id="_x0000_s2583" type="#_x0000_t202" style="width:221.8pt;height:40.2pt;mso-left-percent:-10001;mso-top-percent:-10001;mso-position-horizontal:absolute;mso-position-horizontal-relative:char;mso-position-vertical:absolute;mso-position-vertical-relative:line;mso-left-percent:-10001;mso-top-percent:-10001" fillcolor="#f8cbad" strokeweight="1.68pt">
            <v:textbox inset="0,0,0,0">
              <w:txbxContent>
                <w:p w14:paraId="73488166" w14:textId="77777777" w:rsidR="00F65BCA" w:rsidRDefault="00F65BCA">
                  <w:pPr>
                    <w:pStyle w:val="Zkladntext"/>
                    <w:spacing w:before="10"/>
                    <w:rPr>
                      <w:rFonts w:ascii="Calibri"/>
                      <w:sz w:val="23"/>
                    </w:rPr>
                  </w:pPr>
                </w:p>
                <w:p w14:paraId="3F99152C" w14:textId="77777777" w:rsidR="00F65BCA" w:rsidRDefault="00216117">
                  <w:pPr>
                    <w:ind w:left="931"/>
                    <w:rPr>
                      <w:b/>
                      <w:sz w:val="15"/>
                    </w:rPr>
                  </w:pPr>
                  <w:r>
                    <w:rPr>
                      <w:b/>
                      <w:sz w:val="15"/>
                    </w:rPr>
                    <w:t>Poškození nebo odcizení zavazadel</w:t>
                  </w:r>
                </w:p>
              </w:txbxContent>
            </v:textbox>
            <w10:anchorlock/>
          </v:shape>
        </w:pict>
      </w:r>
    </w:p>
    <w:p w14:paraId="65CAB7DC" w14:textId="77777777" w:rsidR="00F65BCA" w:rsidRDefault="00F65BCA">
      <w:pPr>
        <w:pStyle w:val="Zkladntext"/>
        <w:spacing w:before="10"/>
        <w:rPr>
          <w:rFonts w:ascii="Calibri"/>
          <w:sz w:val="16"/>
        </w:rPr>
      </w:pPr>
    </w:p>
    <w:tbl>
      <w:tblPr>
        <w:tblStyle w:val="TableNormal"/>
        <w:tblW w:w="0" w:type="auto"/>
        <w:tblInd w:w="1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18"/>
        <w:gridCol w:w="2218"/>
      </w:tblGrid>
      <w:tr w:rsidR="00F65BCA" w14:paraId="730ADDE3" w14:textId="77777777">
        <w:trPr>
          <w:trHeight w:val="289"/>
        </w:trPr>
        <w:tc>
          <w:tcPr>
            <w:tcW w:w="2218" w:type="dxa"/>
            <w:shd w:val="clear" w:color="auto" w:fill="F8CBAD"/>
          </w:tcPr>
          <w:p w14:paraId="2CFC571A" w14:textId="77777777" w:rsidR="00F65BCA" w:rsidRDefault="00216117">
            <w:pPr>
              <w:pStyle w:val="TableParagraph"/>
              <w:spacing w:before="57"/>
              <w:ind w:right="663"/>
              <w:jc w:val="right"/>
              <w:rPr>
                <w:b/>
                <w:sz w:val="15"/>
              </w:rPr>
            </w:pPr>
            <w:r>
              <w:rPr>
                <w:b/>
                <w:sz w:val="15"/>
              </w:rPr>
              <w:t>Limit plnění</w:t>
            </w:r>
          </w:p>
        </w:tc>
        <w:tc>
          <w:tcPr>
            <w:tcW w:w="2218" w:type="dxa"/>
            <w:shd w:val="clear" w:color="auto" w:fill="F8CBAD"/>
          </w:tcPr>
          <w:p w14:paraId="67A654AA" w14:textId="77777777" w:rsidR="00F65BCA" w:rsidRDefault="00216117">
            <w:pPr>
              <w:pStyle w:val="TableParagraph"/>
              <w:spacing w:before="57"/>
              <w:ind w:left="393" w:right="373"/>
              <w:jc w:val="center"/>
              <w:rPr>
                <w:b/>
                <w:sz w:val="15"/>
              </w:rPr>
            </w:pPr>
            <w:r>
              <w:rPr>
                <w:b/>
                <w:sz w:val="15"/>
              </w:rPr>
              <w:t>Roční pojistné v Kč</w:t>
            </w:r>
          </w:p>
        </w:tc>
      </w:tr>
      <w:tr w:rsidR="00F65BCA" w14:paraId="01FE0A5E" w14:textId="77777777">
        <w:trPr>
          <w:trHeight w:val="289"/>
        </w:trPr>
        <w:tc>
          <w:tcPr>
            <w:tcW w:w="2218" w:type="dxa"/>
            <w:shd w:val="clear" w:color="auto" w:fill="FCE4D6"/>
          </w:tcPr>
          <w:p w14:paraId="02EF4F65" w14:textId="77777777" w:rsidR="00F65BCA" w:rsidRDefault="00216117">
            <w:pPr>
              <w:pStyle w:val="TableParagraph"/>
              <w:spacing w:before="57"/>
              <w:ind w:right="740"/>
              <w:jc w:val="right"/>
              <w:rPr>
                <w:sz w:val="15"/>
              </w:rPr>
            </w:pPr>
            <w:r>
              <w:rPr>
                <w:sz w:val="15"/>
              </w:rPr>
              <w:t>10 000 Kč</w:t>
            </w:r>
          </w:p>
        </w:tc>
        <w:tc>
          <w:tcPr>
            <w:tcW w:w="2218" w:type="dxa"/>
          </w:tcPr>
          <w:p w14:paraId="31C587F8" w14:textId="77777777" w:rsidR="00F65BCA" w:rsidRDefault="00216117">
            <w:pPr>
              <w:pStyle w:val="TableParagraph"/>
              <w:spacing w:before="57"/>
              <w:ind w:left="393" w:right="363"/>
              <w:jc w:val="center"/>
              <w:rPr>
                <w:sz w:val="15"/>
              </w:rPr>
            </w:pPr>
            <w:r>
              <w:rPr>
                <w:sz w:val="15"/>
              </w:rPr>
              <w:t>204</w:t>
            </w:r>
          </w:p>
        </w:tc>
      </w:tr>
      <w:tr w:rsidR="00F65BCA" w14:paraId="540D3553" w14:textId="77777777">
        <w:trPr>
          <w:trHeight w:val="289"/>
        </w:trPr>
        <w:tc>
          <w:tcPr>
            <w:tcW w:w="2218" w:type="dxa"/>
            <w:shd w:val="clear" w:color="auto" w:fill="FCE4D6"/>
          </w:tcPr>
          <w:p w14:paraId="09E07764" w14:textId="77777777" w:rsidR="00F65BCA" w:rsidRDefault="00216117">
            <w:pPr>
              <w:pStyle w:val="TableParagraph"/>
              <w:spacing w:before="57"/>
              <w:ind w:right="740"/>
              <w:jc w:val="right"/>
              <w:rPr>
                <w:sz w:val="15"/>
              </w:rPr>
            </w:pPr>
            <w:r>
              <w:rPr>
                <w:sz w:val="15"/>
              </w:rPr>
              <w:t>20 000 Kč</w:t>
            </w:r>
          </w:p>
        </w:tc>
        <w:tc>
          <w:tcPr>
            <w:tcW w:w="2218" w:type="dxa"/>
          </w:tcPr>
          <w:p w14:paraId="0350F680" w14:textId="77777777" w:rsidR="00F65BCA" w:rsidRDefault="00216117">
            <w:pPr>
              <w:pStyle w:val="TableParagraph"/>
              <w:spacing w:before="57"/>
              <w:ind w:left="393" w:right="363"/>
              <w:jc w:val="center"/>
              <w:rPr>
                <w:sz w:val="15"/>
              </w:rPr>
            </w:pPr>
            <w:r>
              <w:rPr>
                <w:sz w:val="15"/>
              </w:rPr>
              <w:t>396</w:t>
            </w:r>
          </w:p>
        </w:tc>
      </w:tr>
      <w:tr w:rsidR="00F65BCA" w14:paraId="262D98F3" w14:textId="77777777">
        <w:trPr>
          <w:trHeight w:val="289"/>
        </w:trPr>
        <w:tc>
          <w:tcPr>
            <w:tcW w:w="2218" w:type="dxa"/>
            <w:shd w:val="clear" w:color="auto" w:fill="FCE4D6"/>
          </w:tcPr>
          <w:p w14:paraId="19C3A1E1" w14:textId="77777777" w:rsidR="00F65BCA" w:rsidRDefault="00216117">
            <w:pPr>
              <w:pStyle w:val="TableParagraph"/>
              <w:spacing w:before="57"/>
              <w:ind w:right="740"/>
              <w:jc w:val="right"/>
              <w:rPr>
                <w:sz w:val="15"/>
              </w:rPr>
            </w:pPr>
            <w:r>
              <w:rPr>
                <w:sz w:val="15"/>
              </w:rPr>
              <w:t>30 000 Kč</w:t>
            </w:r>
          </w:p>
        </w:tc>
        <w:tc>
          <w:tcPr>
            <w:tcW w:w="2218" w:type="dxa"/>
          </w:tcPr>
          <w:p w14:paraId="0125E778" w14:textId="77777777" w:rsidR="00F65BCA" w:rsidRDefault="00216117">
            <w:pPr>
              <w:pStyle w:val="TableParagraph"/>
              <w:spacing w:before="57"/>
              <w:ind w:left="393" w:right="363"/>
              <w:jc w:val="center"/>
              <w:rPr>
                <w:sz w:val="15"/>
              </w:rPr>
            </w:pPr>
            <w:r>
              <w:rPr>
                <w:sz w:val="15"/>
              </w:rPr>
              <w:t>600</w:t>
            </w:r>
          </w:p>
        </w:tc>
      </w:tr>
      <w:tr w:rsidR="00F65BCA" w14:paraId="5A85D705" w14:textId="77777777">
        <w:trPr>
          <w:trHeight w:val="289"/>
        </w:trPr>
        <w:tc>
          <w:tcPr>
            <w:tcW w:w="2218" w:type="dxa"/>
            <w:shd w:val="clear" w:color="auto" w:fill="FCE4D6"/>
          </w:tcPr>
          <w:p w14:paraId="3E515827" w14:textId="77777777" w:rsidR="00F65BCA" w:rsidRDefault="00216117">
            <w:pPr>
              <w:pStyle w:val="TableParagraph"/>
              <w:spacing w:before="57"/>
              <w:ind w:right="740"/>
              <w:jc w:val="right"/>
              <w:rPr>
                <w:sz w:val="15"/>
              </w:rPr>
            </w:pPr>
            <w:r>
              <w:rPr>
                <w:sz w:val="15"/>
              </w:rPr>
              <w:t>40 000 Kč</w:t>
            </w:r>
          </w:p>
        </w:tc>
        <w:tc>
          <w:tcPr>
            <w:tcW w:w="2218" w:type="dxa"/>
          </w:tcPr>
          <w:p w14:paraId="51AFA626" w14:textId="77777777" w:rsidR="00F65BCA" w:rsidRDefault="00216117">
            <w:pPr>
              <w:pStyle w:val="TableParagraph"/>
              <w:spacing w:before="57"/>
              <w:ind w:left="393" w:right="363"/>
              <w:jc w:val="center"/>
              <w:rPr>
                <w:sz w:val="15"/>
              </w:rPr>
            </w:pPr>
            <w:r>
              <w:rPr>
                <w:sz w:val="15"/>
              </w:rPr>
              <w:t>804</w:t>
            </w:r>
          </w:p>
        </w:tc>
      </w:tr>
      <w:tr w:rsidR="00F65BCA" w14:paraId="58636CBA" w14:textId="77777777">
        <w:trPr>
          <w:trHeight w:val="289"/>
        </w:trPr>
        <w:tc>
          <w:tcPr>
            <w:tcW w:w="2218" w:type="dxa"/>
            <w:shd w:val="clear" w:color="auto" w:fill="FCE4D6"/>
          </w:tcPr>
          <w:p w14:paraId="5B96C523" w14:textId="77777777" w:rsidR="00F65BCA" w:rsidRDefault="00216117">
            <w:pPr>
              <w:pStyle w:val="TableParagraph"/>
              <w:spacing w:before="57"/>
              <w:ind w:right="740"/>
              <w:jc w:val="right"/>
              <w:rPr>
                <w:sz w:val="15"/>
              </w:rPr>
            </w:pPr>
            <w:r>
              <w:rPr>
                <w:sz w:val="15"/>
              </w:rPr>
              <w:t>50 000 Kč</w:t>
            </w:r>
          </w:p>
        </w:tc>
        <w:tc>
          <w:tcPr>
            <w:tcW w:w="2218" w:type="dxa"/>
          </w:tcPr>
          <w:p w14:paraId="4215C640" w14:textId="77777777" w:rsidR="00F65BCA" w:rsidRDefault="00216117">
            <w:pPr>
              <w:pStyle w:val="TableParagraph"/>
              <w:spacing w:before="57"/>
              <w:ind w:left="393" w:right="363"/>
              <w:jc w:val="center"/>
              <w:rPr>
                <w:sz w:val="15"/>
              </w:rPr>
            </w:pPr>
            <w:r>
              <w:rPr>
                <w:sz w:val="15"/>
              </w:rPr>
              <w:t>996</w:t>
            </w:r>
          </w:p>
        </w:tc>
      </w:tr>
      <w:tr w:rsidR="00F65BCA" w14:paraId="7E9E1406" w14:textId="77777777">
        <w:trPr>
          <w:trHeight w:val="289"/>
        </w:trPr>
        <w:tc>
          <w:tcPr>
            <w:tcW w:w="2218" w:type="dxa"/>
            <w:shd w:val="clear" w:color="auto" w:fill="FCE4D6"/>
          </w:tcPr>
          <w:p w14:paraId="794EEF7D" w14:textId="77777777" w:rsidR="00F65BCA" w:rsidRDefault="00216117">
            <w:pPr>
              <w:pStyle w:val="TableParagraph"/>
              <w:spacing w:before="57"/>
              <w:ind w:right="740"/>
              <w:jc w:val="right"/>
              <w:rPr>
                <w:sz w:val="15"/>
              </w:rPr>
            </w:pPr>
            <w:r>
              <w:rPr>
                <w:sz w:val="15"/>
              </w:rPr>
              <w:t>60 000 Kč</w:t>
            </w:r>
          </w:p>
        </w:tc>
        <w:tc>
          <w:tcPr>
            <w:tcW w:w="2218" w:type="dxa"/>
          </w:tcPr>
          <w:p w14:paraId="64467908" w14:textId="77777777" w:rsidR="00F65BCA" w:rsidRDefault="00216117">
            <w:pPr>
              <w:pStyle w:val="TableParagraph"/>
              <w:spacing w:before="57"/>
              <w:ind w:left="393" w:right="361"/>
              <w:jc w:val="center"/>
              <w:rPr>
                <w:sz w:val="15"/>
              </w:rPr>
            </w:pPr>
            <w:r>
              <w:rPr>
                <w:sz w:val="15"/>
              </w:rPr>
              <w:t>1 200</w:t>
            </w:r>
          </w:p>
        </w:tc>
      </w:tr>
      <w:tr w:rsidR="00F65BCA" w14:paraId="49CFAD8C" w14:textId="77777777">
        <w:trPr>
          <w:trHeight w:val="289"/>
        </w:trPr>
        <w:tc>
          <w:tcPr>
            <w:tcW w:w="2218" w:type="dxa"/>
            <w:shd w:val="clear" w:color="auto" w:fill="FCE4D6"/>
          </w:tcPr>
          <w:p w14:paraId="11732E82" w14:textId="77777777" w:rsidR="00F65BCA" w:rsidRDefault="00216117">
            <w:pPr>
              <w:pStyle w:val="TableParagraph"/>
              <w:spacing w:before="57"/>
              <w:ind w:right="740"/>
              <w:jc w:val="right"/>
              <w:rPr>
                <w:sz w:val="15"/>
              </w:rPr>
            </w:pPr>
            <w:r>
              <w:rPr>
                <w:sz w:val="15"/>
              </w:rPr>
              <w:t>70 000 Kč</w:t>
            </w:r>
          </w:p>
        </w:tc>
        <w:tc>
          <w:tcPr>
            <w:tcW w:w="2218" w:type="dxa"/>
          </w:tcPr>
          <w:p w14:paraId="0ACBDC50" w14:textId="77777777" w:rsidR="00F65BCA" w:rsidRDefault="00216117">
            <w:pPr>
              <w:pStyle w:val="TableParagraph"/>
              <w:spacing w:before="57"/>
              <w:ind w:left="393" w:right="361"/>
              <w:jc w:val="center"/>
              <w:rPr>
                <w:sz w:val="15"/>
              </w:rPr>
            </w:pPr>
            <w:r>
              <w:rPr>
                <w:sz w:val="15"/>
              </w:rPr>
              <w:t>1 404</w:t>
            </w:r>
          </w:p>
        </w:tc>
      </w:tr>
      <w:tr w:rsidR="00F65BCA" w14:paraId="63F03852" w14:textId="77777777">
        <w:trPr>
          <w:trHeight w:val="289"/>
        </w:trPr>
        <w:tc>
          <w:tcPr>
            <w:tcW w:w="2218" w:type="dxa"/>
            <w:shd w:val="clear" w:color="auto" w:fill="FCE4D6"/>
          </w:tcPr>
          <w:p w14:paraId="3F41AE73" w14:textId="77777777" w:rsidR="00F65BCA" w:rsidRDefault="00216117">
            <w:pPr>
              <w:pStyle w:val="TableParagraph"/>
              <w:spacing w:before="57"/>
              <w:ind w:right="740"/>
              <w:jc w:val="right"/>
              <w:rPr>
                <w:sz w:val="15"/>
              </w:rPr>
            </w:pPr>
            <w:r>
              <w:rPr>
                <w:sz w:val="15"/>
              </w:rPr>
              <w:t>80 000 Kč</w:t>
            </w:r>
          </w:p>
        </w:tc>
        <w:tc>
          <w:tcPr>
            <w:tcW w:w="2218" w:type="dxa"/>
          </w:tcPr>
          <w:p w14:paraId="55CE3C68" w14:textId="77777777" w:rsidR="00F65BCA" w:rsidRDefault="00216117">
            <w:pPr>
              <w:pStyle w:val="TableParagraph"/>
              <w:spacing w:before="57"/>
              <w:ind w:left="393" w:right="361"/>
              <w:jc w:val="center"/>
              <w:rPr>
                <w:sz w:val="15"/>
              </w:rPr>
            </w:pPr>
            <w:r>
              <w:rPr>
                <w:sz w:val="15"/>
              </w:rPr>
              <w:t>1 596</w:t>
            </w:r>
          </w:p>
        </w:tc>
      </w:tr>
      <w:tr w:rsidR="00F65BCA" w14:paraId="7F61D4C8" w14:textId="77777777">
        <w:trPr>
          <w:trHeight w:val="289"/>
        </w:trPr>
        <w:tc>
          <w:tcPr>
            <w:tcW w:w="2218" w:type="dxa"/>
            <w:shd w:val="clear" w:color="auto" w:fill="FCE4D6"/>
          </w:tcPr>
          <w:p w14:paraId="11AD9A21" w14:textId="77777777" w:rsidR="00F65BCA" w:rsidRDefault="00216117">
            <w:pPr>
              <w:pStyle w:val="TableParagraph"/>
              <w:spacing w:before="57"/>
              <w:ind w:right="740"/>
              <w:jc w:val="right"/>
              <w:rPr>
                <w:sz w:val="15"/>
              </w:rPr>
            </w:pPr>
            <w:r>
              <w:rPr>
                <w:sz w:val="15"/>
              </w:rPr>
              <w:t>90 000 Kč</w:t>
            </w:r>
          </w:p>
        </w:tc>
        <w:tc>
          <w:tcPr>
            <w:tcW w:w="2218" w:type="dxa"/>
          </w:tcPr>
          <w:p w14:paraId="4BFE8C86" w14:textId="77777777" w:rsidR="00F65BCA" w:rsidRDefault="00216117">
            <w:pPr>
              <w:pStyle w:val="TableParagraph"/>
              <w:spacing w:before="57"/>
              <w:ind w:left="393" w:right="361"/>
              <w:jc w:val="center"/>
              <w:rPr>
                <w:sz w:val="15"/>
              </w:rPr>
            </w:pPr>
            <w:r>
              <w:rPr>
                <w:sz w:val="15"/>
              </w:rPr>
              <w:t>1 800</w:t>
            </w:r>
          </w:p>
        </w:tc>
      </w:tr>
      <w:tr w:rsidR="00F65BCA" w14:paraId="24C6E3D9" w14:textId="77777777">
        <w:trPr>
          <w:trHeight w:val="289"/>
        </w:trPr>
        <w:tc>
          <w:tcPr>
            <w:tcW w:w="2218" w:type="dxa"/>
            <w:shd w:val="clear" w:color="auto" w:fill="FCE4D6"/>
          </w:tcPr>
          <w:p w14:paraId="672CF045" w14:textId="77777777" w:rsidR="00F65BCA" w:rsidRDefault="00216117">
            <w:pPr>
              <w:pStyle w:val="TableParagraph"/>
              <w:spacing w:before="57"/>
              <w:ind w:right="697"/>
              <w:jc w:val="right"/>
              <w:rPr>
                <w:sz w:val="15"/>
              </w:rPr>
            </w:pPr>
            <w:r>
              <w:rPr>
                <w:sz w:val="15"/>
              </w:rPr>
              <w:t>100 000 Kč</w:t>
            </w:r>
          </w:p>
        </w:tc>
        <w:tc>
          <w:tcPr>
            <w:tcW w:w="2218" w:type="dxa"/>
          </w:tcPr>
          <w:p w14:paraId="420A6B65" w14:textId="77777777" w:rsidR="00F65BCA" w:rsidRDefault="00216117">
            <w:pPr>
              <w:pStyle w:val="TableParagraph"/>
              <w:spacing w:before="57"/>
              <w:ind w:left="393" w:right="361"/>
              <w:jc w:val="center"/>
              <w:rPr>
                <w:sz w:val="15"/>
              </w:rPr>
            </w:pPr>
            <w:r>
              <w:rPr>
                <w:sz w:val="15"/>
              </w:rPr>
              <w:t>2 004</w:t>
            </w:r>
          </w:p>
        </w:tc>
      </w:tr>
    </w:tbl>
    <w:p w14:paraId="7D1FD3B8" w14:textId="77777777" w:rsidR="00F65BCA" w:rsidRDefault="00F65BCA">
      <w:pPr>
        <w:pStyle w:val="Zkladntext"/>
        <w:rPr>
          <w:rFonts w:ascii="Calibri"/>
          <w:sz w:val="20"/>
        </w:rPr>
      </w:pPr>
    </w:p>
    <w:p w14:paraId="490A3C85" w14:textId="77777777" w:rsidR="00F65BCA" w:rsidRDefault="00F65BCA">
      <w:pPr>
        <w:pStyle w:val="Zkladntext"/>
        <w:rPr>
          <w:rFonts w:ascii="Calibri"/>
          <w:sz w:val="20"/>
        </w:rPr>
      </w:pPr>
    </w:p>
    <w:p w14:paraId="28C08BC4" w14:textId="77777777" w:rsidR="00F65BCA" w:rsidRDefault="00F65BCA">
      <w:pPr>
        <w:pStyle w:val="Zkladntext"/>
        <w:rPr>
          <w:rFonts w:ascii="Calibri"/>
          <w:sz w:val="20"/>
        </w:rPr>
      </w:pPr>
    </w:p>
    <w:p w14:paraId="7DBEA2AF" w14:textId="77777777" w:rsidR="00F65BCA" w:rsidRDefault="00F65BCA">
      <w:pPr>
        <w:pStyle w:val="Zkladntext"/>
        <w:rPr>
          <w:rFonts w:ascii="Calibri"/>
          <w:sz w:val="20"/>
        </w:rPr>
      </w:pPr>
    </w:p>
    <w:p w14:paraId="15741487" w14:textId="77777777" w:rsidR="00F65BCA" w:rsidRDefault="00F65BCA">
      <w:pPr>
        <w:pStyle w:val="Zkladntext"/>
        <w:rPr>
          <w:rFonts w:ascii="Calibri"/>
          <w:sz w:val="20"/>
        </w:rPr>
      </w:pPr>
    </w:p>
    <w:p w14:paraId="214449C0" w14:textId="77777777" w:rsidR="00F65BCA" w:rsidRDefault="00F65BCA">
      <w:pPr>
        <w:pStyle w:val="Zkladntext"/>
        <w:rPr>
          <w:rFonts w:ascii="Calibri"/>
          <w:sz w:val="20"/>
        </w:rPr>
      </w:pPr>
    </w:p>
    <w:p w14:paraId="53CE01E5" w14:textId="77777777" w:rsidR="00F65BCA" w:rsidRDefault="00F65BCA">
      <w:pPr>
        <w:pStyle w:val="Zkladntext"/>
        <w:rPr>
          <w:rFonts w:ascii="Calibri"/>
          <w:sz w:val="20"/>
        </w:rPr>
      </w:pPr>
    </w:p>
    <w:p w14:paraId="212BA268" w14:textId="77777777" w:rsidR="00F65BCA" w:rsidRDefault="00F65BCA">
      <w:pPr>
        <w:pStyle w:val="Zkladntext"/>
        <w:rPr>
          <w:rFonts w:ascii="Calibri"/>
          <w:sz w:val="20"/>
        </w:rPr>
      </w:pPr>
    </w:p>
    <w:p w14:paraId="22023F0F" w14:textId="77777777" w:rsidR="00F65BCA" w:rsidRDefault="00F65BCA">
      <w:pPr>
        <w:pStyle w:val="Zkladntext"/>
        <w:rPr>
          <w:rFonts w:ascii="Calibri"/>
          <w:sz w:val="20"/>
        </w:rPr>
      </w:pPr>
    </w:p>
    <w:p w14:paraId="4B39DCAB" w14:textId="77777777" w:rsidR="00F65BCA" w:rsidRDefault="00F65BCA">
      <w:pPr>
        <w:pStyle w:val="Zkladntext"/>
        <w:rPr>
          <w:rFonts w:ascii="Calibri"/>
          <w:sz w:val="20"/>
        </w:rPr>
      </w:pPr>
    </w:p>
    <w:p w14:paraId="05D36B22" w14:textId="77777777" w:rsidR="00F65BCA" w:rsidRDefault="00F65BCA">
      <w:pPr>
        <w:pStyle w:val="Zkladntext"/>
        <w:rPr>
          <w:rFonts w:ascii="Calibri"/>
          <w:sz w:val="20"/>
        </w:rPr>
      </w:pPr>
    </w:p>
    <w:p w14:paraId="1AC1B71E" w14:textId="77777777" w:rsidR="00F65BCA" w:rsidRDefault="00F65BCA">
      <w:pPr>
        <w:pStyle w:val="Zkladntext"/>
        <w:rPr>
          <w:rFonts w:ascii="Calibri"/>
          <w:sz w:val="20"/>
        </w:rPr>
      </w:pPr>
    </w:p>
    <w:p w14:paraId="149AC37B" w14:textId="77777777" w:rsidR="00F65BCA" w:rsidRDefault="00F65BCA">
      <w:pPr>
        <w:pStyle w:val="Zkladntext"/>
        <w:rPr>
          <w:rFonts w:ascii="Calibri"/>
          <w:sz w:val="20"/>
        </w:rPr>
      </w:pPr>
    </w:p>
    <w:p w14:paraId="104A0766" w14:textId="77777777" w:rsidR="00F65BCA" w:rsidRDefault="00F65BCA">
      <w:pPr>
        <w:pStyle w:val="Zkladntext"/>
        <w:rPr>
          <w:rFonts w:ascii="Calibri"/>
          <w:sz w:val="20"/>
        </w:rPr>
      </w:pPr>
    </w:p>
    <w:p w14:paraId="030A9300" w14:textId="77777777" w:rsidR="00F65BCA" w:rsidRDefault="00F65BCA">
      <w:pPr>
        <w:pStyle w:val="Zkladntext"/>
        <w:rPr>
          <w:rFonts w:ascii="Calibri"/>
          <w:sz w:val="20"/>
        </w:rPr>
      </w:pPr>
    </w:p>
    <w:p w14:paraId="47B60A4B" w14:textId="77777777" w:rsidR="00F65BCA" w:rsidRDefault="00F65BCA">
      <w:pPr>
        <w:pStyle w:val="Zkladntext"/>
        <w:rPr>
          <w:rFonts w:ascii="Calibri"/>
          <w:sz w:val="20"/>
        </w:rPr>
      </w:pPr>
    </w:p>
    <w:p w14:paraId="2DB5A7EE" w14:textId="77777777" w:rsidR="00F65BCA" w:rsidRDefault="00F65BCA">
      <w:pPr>
        <w:pStyle w:val="Zkladntext"/>
        <w:rPr>
          <w:rFonts w:ascii="Calibri"/>
          <w:sz w:val="20"/>
        </w:rPr>
      </w:pPr>
    </w:p>
    <w:p w14:paraId="2CF82749" w14:textId="77777777" w:rsidR="00F65BCA" w:rsidRDefault="00F65BCA">
      <w:pPr>
        <w:pStyle w:val="Zkladntext"/>
        <w:rPr>
          <w:rFonts w:ascii="Calibri"/>
          <w:sz w:val="20"/>
        </w:rPr>
      </w:pPr>
    </w:p>
    <w:p w14:paraId="4707DC7B" w14:textId="77777777" w:rsidR="00F65BCA" w:rsidRDefault="00F65BCA">
      <w:pPr>
        <w:pStyle w:val="Zkladntext"/>
        <w:rPr>
          <w:rFonts w:ascii="Calibri"/>
          <w:sz w:val="20"/>
        </w:rPr>
      </w:pPr>
    </w:p>
    <w:p w14:paraId="13A24708" w14:textId="77777777" w:rsidR="00F65BCA" w:rsidRDefault="00F65BCA">
      <w:pPr>
        <w:pStyle w:val="Zkladntext"/>
        <w:rPr>
          <w:rFonts w:ascii="Calibri"/>
          <w:sz w:val="20"/>
        </w:rPr>
      </w:pPr>
    </w:p>
    <w:p w14:paraId="538BCA68" w14:textId="77777777" w:rsidR="00F65BCA" w:rsidRDefault="00F65BCA">
      <w:pPr>
        <w:pStyle w:val="Zkladntext"/>
        <w:rPr>
          <w:rFonts w:ascii="Calibri"/>
          <w:sz w:val="20"/>
        </w:rPr>
      </w:pPr>
    </w:p>
    <w:p w14:paraId="34E0E314" w14:textId="77777777" w:rsidR="00F65BCA" w:rsidRDefault="00F65BCA">
      <w:pPr>
        <w:pStyle w:val="Zkladntext"/>
        <w:rPr>
          <w:rFonts w:ascii="Calibri"/>
          <w:sz w:val="20"/>
        </w:rPr>
      </w:pPr>
    </w:p>
    <w:p w14:paraId="3274544D" w14:textId="77777777" w:rsidR="00F65BCA" w:rsidRDefault="00F65BCA">
      <w:pPr>
        <w:pStyle w:val="Zkladntext"/>
        <w:rPr>
          <w:rFonts w:ascii="Calibri"/>
          <w:sz w:val="20"/>
        </w:rPr>
      </w:pPr>
    </w:p>
    <w:p w14:paraId="33D2E63D" w14:textId="77777777" w:rsidR="00F65BCA" w:rsidRDefault="00F65BCA">
      <w:pPr>
        <w:pStyle w:val="Zkladntext"/>
        <w:rPr>
          <w:rFonts w:ascii="Calibri"/>
          <w:sz w:val="20"/>
        </w:rPr>
      </w:pPr>
    </w:p>
    <w:p w14:paraId="3CD78AF3" w14:textId="77777777" w:rsidR="00F65BCA" w:rsidRDefault="00F65BCA">
      <w:pPr>
        <w:pStyle w:val="Zkladntext"/>
        <w:rPr>
          <w:rFonts w:ascii="Calibri"/>
          <w:sz w:val="20"/>
        </w:rPr>
      </w:pPr>
    </w:p>
    <w:p w14:paraId="33FA6F7C" w14:textId="77777777" w:rsidR="00F65BCA" w:rsidRDefault="00F65BCA">
      <w:pPr>
        <w:pStyle w:val="Zkladntext"/>
        <w:rPr>
          <w:rFonts w:ascii="Calibri"/>
          <w:sz w:val="20"/>
        </w:rPr>
      </w:pPr>
    </w:p>
    <w:p w14:paraId="2993AE68" w14:textId="77777777" w:rsidR="00F65BCA" w:rsidRDefault="00F65BCA">
      <w:pPr>
        <w:pStyle w:val="Zkladntext"/>
        <w:rPr>
          <w:rFonts w:ascii="Calibri"/>
          <w:sz w:val="20"/>
        </w:rPr>
      </w:pPr>
    </w:p>
    <w:p w14:paraId="219694C3" w14:textId="77777777" w:rsidR="00F65BCA" w:rsidRDefault="00F65BCA">
      <w:pPr>
        <w:pStyle w:val="Zkladntext"/>
        <w:rPr>
          <w:rFonts w:ascii="Calibri"/>
          <w:sz w:val="20"/>
        </w:rPr>
      </w:pPr>
    </w:p>
    <w:p w14:paraId="28D5D389" w14:textId="77777777" w:rsidR="00F65BCA" w:rsidRDefault="00F65BCA">
      <w:pPr>
        <w:pStyle w:val="Zkladntext"/>
        <w:rPr>
          <w:rFonts w:ascii="Calibri"/>
          <w:sz w:val="20"/>
        </w:rPr>
      </w:pPr>
    </w:p>
    <w:p w14:paraId="2E20E851" w14:textId="77777777" w:rsidR="00F65BCA" w:rsidRDefault="00F65BCA">
      <w:pPr>
        <w:pStyle w:val="Zkladntext"/>
        <w:rPr>
          <w:rFonts w:ascii="Calibri"/>
          <w:sz w:val="20"/>
        </w:rPr>
      </w:pPr>
    </w:p>
    <w:p w14:paraId="3F7D3215" w14:textId="77777777" w:rsidR="00F65BCA" w:rsidRDefault="00F65BCA">
      <w:pPr>
        <w:pStyle w:val="Zkladntext"/>
        <w:rPr>
          <w:rFonts w:ascii="Calibri"/>
          <w:sz w:val="20"/>
        </w:rPr>
      </w:pPr>
    </w:p>
    <w:p w14:paraId="40F7347C" w14:textId="77777777" w:rsidR="00F65BCA" w:rsidRDefault="00F65BCA">
      <w:pPr>
        <w:pStyle w:val="Zkladntext"/>
        <w:rPr>
          <w:rFonts w:ascii="Calibri"/>
          <w:sz w:val="20"/>
        </w:rPr>
      </w:pPr>
    </w:p>
    <w:p w14:paraId="66A53F41" w14:textId="77777777" w:rsidR="00F65BCA" w:rsidRDefault="00F65BCA">
      <w:pPr>
        <w:pStyle w:val="Zkladntext"/>
        <w:rPr>
          <w:rFonts w:ascii="Calibri"/>
          <w:sz w:val="20"/>
        </w:rPr>
      </w:pPr>
    </w:p>
    <w:p w14:paraId="6C788205" w14:textId="77777777" w:rsidR="00F65BCA" w:rsidRDefault="00F65BCA">
      <w:pPr>
        <w:pStyle w:val="Zkladntext"/>
        <w:rPr>
          <w:rFonts w:ascii="Calibri"/>
          <w:sz w:val="20"/>
        </w:rPr>
      </w:pPr>
    </w:p>
    <w:p w14:paraId="6620D8C0" w14:textId="77777777" w:rsidR="00F65BCA" w:rsidRDefault="00F65BCA">
      <w:pPr>
        <w:pStyle w:val="Zkladntext"/>
        <w:rPr>
          <w:rFonts w:ascii="Calibri"/>
          <w:sz w:val="20"/>
        </w:rPr>
      </w:pPr>
    </w:p>
    <w:p w14:paraId="15281CFD" w14:textId="77777777" w:rsidR="00F65BCA" w:rsidRDefault="00F65BCA">
      <w:pPr>
        <w:pStyle w:val="Zkladntext"/>
        <w:rPr>
          <w:rFonts w:ascii="Calibri"/>
          <w:sz w:val="20"/>
        </w:rPr>
      </w:pPr>
    </w:p>
    <w:p w14:paraId="3EECC437" w14:textId="77777777" w:rsidR="00F65BCA" w:rsidRDefault="00F65BCA">
      <w:pPr>
        <w:pStyle w:val="Zkladntext"/>
        <w:rPr>
          <w:rFonts w:ascii="Calibri"/>
          <w:sz w:val="20"/>
        </w:rPr>
      </w:pPr>
    </w:p>
    <w:p w14:paraId="1C305590" w14:textId="77777777" w:rsidR="00F65BCA" w:rsidRDefault="00F65BCA">
      <w:pPr>
        <w:pStyle w:val="Zkladntext"/>
        <w:rPr>
          <w:rFonts w:ascii="Calibri"/>
          <w:sz w:val="20"/>
        </w:rPr>
      </w:pPr>
    </w:p>
    <w:p w14:paraId="054F3827" w14:textId="77777777" w:rsidR="00F65BCA" w:rsidRDefault="00F65BCA">
      <w:pPr>
        <w:pStyle w:val="Zkladntext"/>
        <w:spacing w:before="3"/>
        <w:rPr>
          <w:rFonts w:ascii="Calibri"/>
          <w:sz w:val="17"/>
        </w:rPr>
      </w:pPr>
    </w:p>
    <w:p w14:paraId="4B29E48B" w14:textId="77777777" w:rsidR="00F65BCA" w:rsidRDefault="00216117">
      <w:pPr>
        <w:pStyle w:val="Nadpis7"/>
      </w:pPr>
      <w:r>
        <w:rPr>
          <w:w w:val="96"/>
          <w:sz w:val="2"/>
        </w:rPr>
        <w:t>#</w:t>
      </w:r>
      <w:r>
        <w:rPr>
          <w:spacing w:val="-1"/>
          <w:w w:val="99"/>
        </w:rPr>
        <w:t>Důvěrn</w:t>
      </w:r>
      <w:r>
        <w:rPr>
          <w:w w:val="99"/>
        </w:rPr>
        <w:t>é</w:t>
      </w:r>
      <w:r>
        <w:rPr>
          <w:rFonts w:ascii="Times New Roman" w:hAnsi="Times New Roman"/>
          <w:spacing w:val="-5"/>
        </w:rPr>
        <w:t xml:space="preserve"> </w:t>
      </w:r>
      <w:r>
        <w:rPr>
          <w:w w:val="99"/>
        </w:rPr>
        <w:t>/</w:t>
      </w:r>
      <w:r>
        <w:rPr>
          <w:rFonts w:ascii="Times New Roman" w:hAnsi="Times New Roman"/>
          <w:spacing w:val="-5"/>
        </w:rPr>
        <w:t xml:space="preserve"> </w:t>
      </w:r>
      <w:r>
        <w:rPr>
          <w:spacing w:val="-1"/>
          <w:w w:val="99"/>
        </w:rPr>
        <w:t>Confidential</w:t>
      </w:r>
    </w:p>
    <w:p w14:paraId="21318110" w14:textId="77777777" w:rsidR="00F65BCA" w:rsidRDefault="00F65BCA">
      <w:pPr>
        <w:sectPr w:rsidR="00F65BCA">
          <w:pgSz w:w="11900" w:h="16840"/>
          <w:pgMar w:top="1600" w:right="640" w:bottom="280" w:left="500" w:header="708" w:footer="708" w:gutter="0"/>
          <w:cols w:space="708"/>
        </w:sectPr>
      </w:pPr>
    </w:p>
    <w:p w14:paraId="0331111E" w14:textId="77777777" w:rsidR="00F65BCA" w:rsidRDefault="00216117">
      <w:pPr>
        <w:pStyle w:val="Nadpis8"/>
        <w:spacing w:before="67" w:line="336" w:lineRule="auto"/>
        <w:ind w:left="565" w:right="8112"/>
        <w:jc w:val="left"/>
      </w:pPr>
      <w:r>
        <w:lastRenderedPageBreak/>
        <w:t>Příloha č. 3 Rekapitulace</w:t>
      </w:r>
      <w:r>
        <w:rPr>
          <w:spacing w:val="-1"/>
        </w:rPr>
        <w:t xml:space="preserve"> </w:t>
      </w:r>
      <w:r>
        <w:t>pojistného</w:t>
      </w:r>
    </w:p>
    <w:p w14:paraId="0C6A5842" w14:textId="77777777" w:rsidR="00F65BCA" w:rsidRDefault="00F65BCA">
      <w:pPr>
        <w:pStyle w:val="Zkladntext"/>
        <w:spacing w:before="9" w:after="1"/>
        <w:rPr>
          <w:b/>
          <w:sz w:val="20"/>
        </w:rPr>
      </w:pPr>
    </w:p>
    <w:tbl>
      <w:tblPr>
        <w:tblStyle w:val="TableNormal"/>
        <w:tblW w:w="0" w:type="auto"/>
        <w:tblInd w:w="5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99"/>
        <w:gridCol w:w="1466"/>
        <w:gridCol w:w="1692"/>
      </w:tblGrid>
      <w:tr w:rsidR="00F65BCA" w14:paraId="6682FB43" w14:textId="77777777">
        <w:trPr>
          <w:trHeight w:val="737"/>
        </w:trPr>
        <w:tc>
          <w:tcPr>
            <w:tcW w:w="4699" w:type="dxa"/>
            <w:tcBorders>
              <w:bottom w:val="single" w:sz="8" w:space="0" w:color="000000"/>
              <w:right w:val="single" w:sz="8" w:space="0" w:color="000000"/>
            </w:tcBorders>
          </w:tcPr>
          <w:p w14:paraId="66C8A3D5" w14:textId="77777777" w:rsidR="00F65BCA" w:rsidRDefault="00F65BCA">
            <w:pPr>
              <w:pStyle w:val="TableParagraph"/>
              <w:rPr>
                <w:rFonts w:ascii="Times New Roman"/>
                <w:sz w:val="18"/>
              </w:rPr>
            </w:pPr>
          </w:p>
        </w:tc>
        <w:tc>
          <w:tcPr>
            <w:tcW w:w="1466" w:type="dxa"/>
            <w:tcBorders>
              <w:left w:val="single" w:sz="8" w:space="0" w:color="000000"/>
              <w:bottom w:val="single" w:sz="8" w:space="0" w:color="000000"/>
              <w:right w:val="single" w:sz="8" w:space="0" w:color="000000"/>
            </w:tcBorders>
          </w:tcPr>
          <w:p w14:paraId="3A421AA1" w14:textId="77777777" w:rsidR="00F65BCA" w:rsidRDefault="00216117">
            <w:pPr>
              <w:pStyle w:val="TableParagraph"/>
              <w:spacing w:before="140" w:line="273" w:lineRule="auto"/>
              <w:ind w:left="630" w:right="-11" w:hanging="584"/>
              <w:rPr>
                <w:b/>
                <w:sz w:val="18"/>
              </w:rPr>
            </w:pPr>
            <w:r>
              <w:rPr>
                <w:b/>
                <w:sz w:val="18"/>
              </w:rPr>
              <w:t>Roční pojistné v Kč</w:t>
            </w:r>
          </w:p>
        </w:tc>
        <w:tc>
          <w:tcPr>
            <w:tcW w:w="1692" w:type="dxa"/>
            <w:tcBorders>
              <w:left w:val="single" w:sz="8" w:space="0" w:color="000000"/>
              <w:bottom w:val="single" w:sz="8" w:space="0" w:color="000000"/>
            </w:tcBorders>
          </w:tcPr>
          <w:p w14:paraId="15047180" w14:textId="77777777" w:rsidR="00F65BCA" w:rsidRDefault="00216117">
            <w:pPr>
              <w:pStyle w:val="TableParagraph"/>
              <w:spacing w:before="140" w:line="273" w:lineRule="auto"/>
              <w:ind w:left="669" w:right="21" w:hanging="572"/>
              <w:rPr>
                <w:b/>
                <w:sz w:val="18"/>
              </w:rPr>
            </w:pPr>
            <w:r>
              <w:rPr>
                <w:b/>
                <w:sz w:val="18"/>
              </w:rPr>
              <w:t>Pojistné za 3 roky v Kč</w:t>
            </w:r>
          </w:p>
        </w:tc>
      </w:tr>
      <w:tr w:rsidR="00F65BCA" w14:paraId="49F777DC" w14:textId="77777777">
        <w:trPr>
          <w:trHeight w:val="462"/>
        </w:trPr>
        <w:tc>
          <w:tcPr>
            <w:tcW w:w="4699" w:type="dxa"/>
            <w:tcBorders>
              <w:top w:val="single" w:sz="8" w:space="0" w:color="000000"/>
              <w:bottom w:val="single" w:sz="8" w:space="0" w:color="000000"/>
              <w:right w:val="single" w:sz="8" w:space="0" w:color="000000"/>
            </w:tcBorders>
          </w:tcPr>
          <w:p w14:paraId="49EE2948" w14:textId="77777777" w:rsidR="00F65BCA" w:rsidRDefault="00216117">
            <w:pPr>
              <w:pStyle w:val="TableParagraph"/>
              <w:spacing w:line="182" w:lineRule="exact"/>
              <w:ind w:left="146" w:right="117"/>
              <w:jc w:val="center"/>
              <w:rPr>
                <w:sz w:val="18"/>
              </w:rPr>
            </w:pPr>
            <w:r>
              <w:rPr>
                <w:sz w:val="18"/>
              </w:rPr>
              <w:t>Pojištění odpovědnosti za újmu způsobenou provozem</w:t>
            </w:r>
          </w:p>
          <w:p w14:paraId="50B2973B" w14:textId="77777777" w:rsidR="00F65BCA" w:rsidRDefault="00216117">
            <w:pPr>
              <w:pStyle w:val="TableParagraph"/>
              <w:spacing w:before="16"/>
              <w:ind w:left="146" w:right="116"/>
              <w:jc w:val="center"/>
              <w:rPr>
                <w:sz w:val="18"/>
              </w:rPr>
            </w:pPr>
            <w:r>
              <w:rPr>
                <w:sz w:val="18"/>
              </w:rPr>
              <w:t>vozidla</w:t>
            </w:r>
          </w:p>
        </w:tc>
        <w:tc>
          <w:tcPr>
            <w:tcW w:w="1466" w:type="dxa"/>
            <w:tcBorders>
              <w:top w:val="single" w:sz="8" w:space="0" w:color="000000"/>
              <w:left w:val="single" w:sz="8" w:space="0" w:color="000000"/>
              <w:bottom w:val="single" w:sz="8" w:space="0" w:color="000000"/>
              <w:right w:val="single" w:sz="8" w:space="0" w:color="000000"/>
            </w:tcBorders>
          </w:tcPr>
          <w:p w14:paraId="6E6097BC" w14:textId="77777777" w:rsidR="00F65BCA" w:rsidRDefault="00F65BCA">
            <w:pPr>
              <w:pStyle w:val="TableParagraph"/>
              <w:spacing w:before="8"/>
              <w:rPr>
                <w:b/>
                <w:sz w:val="19"/>
              </w:rPr>
            </w:pPr>
          </w:p>
          <w:p w14:paraId="0AA9F751" w14:textId="77777777" w:rsidR="00F65BCA" w:rsidRDefault="00216117">
            <w:pPr>
              <w:pStyle w:val="TableParagraph"/>
              <w:ind w:left="264" w:right="210"/>
              <w:jc w:val="center"/>
              <w:rPr>
                <w:sz w:val="18"/>
              </w:rPr>
            </w:pPr>
            <w:r>
              <w:rPr>
                <w:sz w:val="18"/>
              </w:rPr>
              <w:t>70 956 Kč</w:t>
            </w:r>
          </w:p>
        </w:tc>
        <w:tc>
          <w:tcPr>
            <w:tcW w:w="1692" w:type="dxa"/>
            <w:tcBorders>
              <w:top w:val="single" w:sz="8" w:space="0" w:color="000000"/>
              <w:left w:val="single" w:sz="8" w:space="0" w:color="000000"/>
              <w:bottom w:val="single" w:sz="8" w:space="0" w:color="000000"/>
            </w:tcBorders>
          </w:tcPr>
          <w:p w14:paraId="3581A72F" w14:textId="77777777" w:rsidR="00F65BCA" w:rsidRDefault="00216117">
            <w:pPr>
              <w:pStyle w:val="TableParagraph"/>
              <w:spacing w:before="186" w:line="256" w:lineRule="exact"/>
              <w:ind w:left="269" w:right="205"/>
              <w:jc w:val="center"/>
              <w:rPr>
                <w:rFonts w:ascii="Calibri" w:hAnsi="Calibri"/>
              </w:rPr>
            </w:pPr>
            <w:r>
              <w:rPr>
                <w:rFonts w:ascii="Calibri" w:hAnsi="Calibri"/>
              </w:rPr>
              <w:t>212 868 Kč</w:t>
            </w:r>
          </w:p>
        </w:tc>
      </w:tr>
      <w:tr w:rsidR="00F65BCA" w14:paraId="30E9E54A" w14:textId="77777777">
        <w:trPr>
          <w:trHeight w:val="270"/>
        </w:trPr>
        <w:tc>
          <w:tcPr>
            <w:tcW w:w="4699" w:type="dxa"/>
            <w:tcBorders>
              <w:top w:val="single" w:sz="8" w:space="0" w:color="000000"/>
              <w:bottom w:val="single" w:sz="8" w:space="0" w:color="000000"/>
              <w:right w:val="single" w:sz="8" w:space="0" w:color="000000"/>
            </w:tcBorders>
          </w:tcPr>
          <w:p w14:paraId="35BE1F32" w14:textId="77777777" w:rsidR="00F65BCA" w:rsidRDefault="00216117">
            <w:pPr>
              <w:pStyle w:val="TableParagraph"/>
              <w:spacing w:before="6"/>
              <w:ind w:left="146" w:right="116"/>
              <w:jc w:val="center"/>
              <w:rPr>
                <w:sz w:val="18"/>
              </w:rPr>
            </w:pPr>
            <w:r>
              <w:rPr>
                <w:sz w:val="18"/>
              </w:rPr>
              <w:t>Havarijní pojištění</w:t>
            </w:r>
          </w:p>
        </w:tc>
        <w:tc>
          <w:tcPr>
            <w:tcW w:w="1466" w:type="dxa"/>
            <w:tcBorders>
              <w:top w:val="single" w:sz="8" w:space="0" w:color="000000"/>
              <w:left w:val="single" w:sz="8" w:space="0" w:color="000000"/>
              <w:bottom w:val="single" w:sz="8" w:space="0" w:color="000000"/>
              <w:right w:val="single" w:sz="8" w:space="0" w:color="000000"/>
            </w:tcBorders>
          </w:tcPr>
          <w:p w14:paraId="59BF86B2" w14:textId="77777777" w:rsidR="00F65BCA" w:rsidRDefault="00216117">
            <w:pPr>
              <w:pStyle w:val="TableParagraph"/>
              <w:spacing w:before="34"/>
              <w:ind w:left="264" w:right="210"/>
              <w:jc w:val="center"/>
              <w:rPr>
                <w:sz w:val="18"/>
              </w:rPr>
            </w:pPr>
            <w:r>
              <w:rPr>
                <w:sz w:val="18"/>
              </w:rPr>
              <w:t>279 744 Kč</w:t>
            </w:r>
          </w:p>
        </w:tc>
        <w:tc>
          <w:tcPr>
            <w:tcW w:w="1692" w:type="dxa"/>
            <w:tcBorders>
              <w:top w:val="single" w:sz="8" w:space="0" w:color="000000"/>
              <w:left w:val="single" w:sz="8" w:space="0" w:color="000000"/>
              <w:bottom w:val="single" w:sz="8" w:space="0" w:color="000000"/>
            </w:tcBorders>
          </w:tcPr>
          <w:p w14:paraId="239F4A16" w14:textId="77777777" w:rsidR="00F65BCA" w:rsidRDefault="00216117">
            <w:pPr>
              <w:pStyle w:val="TableParagraph"/>
              <w:spacing w:line="250" w:lineRule="exact"/>
              <w:ind w:left="269" w:right="205"/>
              <w:jc w:val="center"/>
              <w:rPr>
                <w:rFonts w:ascii="Calibri" w:hAnsi="Calibri"/>
              </w:rPr>
            </w:pPr>
            <w:r>
              <w:rPr>
                <w:rFonts w:ascii="Calibri" w:hAnsi="Calibri"/>
              </w:rPr>
              <w:t>839 232 Kč</w:t>
            </w:r>
          </w:p>
        </w:tc>
      </w:tr>
      <w:tr w:rsidR="00F65BCA" w14:paraId="26079190" w14:textId="77777777">
        <w:trPr>
          <w:trHeight w:val="270"/>
        </w:trPr>
        <w:tc>
          <w:tcPr>
            <w:tcW w:w="4699" w:type="dxa"/>
            <w:tcBorders>
              <w:top w:val="single" w:sz="8" w:space="0" w:color="000000"/>
              <w:bottom w:val="single" w:sz="8" w:space="0" w:color="000000"/>
              <w:right w:val="single" w:sz="8" w:space="0" w:color="000000"/>
            </w:tcBorders>
          </w:tcPr>
          <w:p w14:paraId="180E23AC" w14:textId="77777777" w:rsidR="00F65BCA" w:rsidRDefault="00216117">
            <w:pPr>
              <w:pStyle w:val="TableParagraph"/>
              <w:spacing w:before="6"/>
              <w:ind w:left="146" w:right="116"/>
              <w:jc w:val="center"/>
              <w:rPr>
                <w:sz w:val="18"/>
              </w:rPr>
            </w:pPr>
            <w:r>
              <w:rPr>
                <w:sz w:val="18"/>
              </w:rPr>
              <w:t>Všechna skla</w:t>
            </w:r>
          </w:p>
        </w:tc>
        <w:tc>
          <w:tcPr>
            <w:tcW w:w="1466" w:type="dxa"/>
            <w:tcBorders>
              <w:top w:val="single" w:sz="8" w:space="0" w:color="000000"/>
              <w:left w:val="single" w:sz="8" w:space="0" w:color="000000"/>
              <w:bottom w:val="single" w:sz="8" w:space="0" w:color="000000"/>
              <w:right w:val="single" w:sz="8" w:space="0" w:color="000000"/>
            </w:tcBorders>
          </w:tcPr>
          <w:p w14:paraId="717B4484" w14:textId="77777777" w:rsidR="00F65BCA" w:rsidRDefault="00216117">
            <w:pPr>
              <w:pStyle w:val="TableParagraph"/>
              <w:spacing w:before="34"/>
              <w:ind w:left="264" w:right="210"/>
              <w:jc w:val="center"/>
              <w:rPr>
                <w:sz w:val="18"/>
              </w:rPr>
            </w:pPr>
            <w:r>
              <w:rPr>
                <w:sz w:val="18"/>
              </w:rPr>
              <w:t>79 584 Kč</w:t>
            </w:r>
          </w:p>
        </w:tc>
        <w:tc>
          <w:tcPr>
            <w:tcW w:w="1692" w:type="dxa"/>
            <w:tcBorders>
              <w:top w:val="single" w:sz="8" w:space="0" w:color="000000"/>
              <w:left w:val="single" w:sz="8" w:space="0" w:color="000000"/>
              <w:bottom w:val="single" w:sz="8" w:space="0" w:color="000000"/>
            </w:tcBorders>
          </w:tcPr>
          <w:p w14:paraId="21005D4A" w14:textId="77777777" w:rsidR="00F65BCA" w:rsidRDefault="00216117">
            <w:pPr>
              <w:pStyle w:val="TableParagraph"/>
              <w:spacing w:line="250" w:lineRule="exact"/>
              <w:ind w:left="269" w:right="205"/>
              <w:jc w:val="center"/>
              <w:rPr>
                <w:rFonts w:ascii="Calibri" w:hAnsi="Calibri"/>
              </w:rPr>
            </w:pPr>
            <w:r>
              <w:rPr>
                <w:rFonts w:ascii="Calibri" w:hAnsi="Calibri"/>
              </w:rPr>
              <w:t>238 752 Kč</w:t>
            </w:r>
          </w:p>
        </w:tc>
      </w:tr>
      <w:tr w:rsidR="00F65BCA" w14:paraId="53396FF3" w14:textId="77777777">
        <w:trPr>
          <w:trHeight w:val="270"/>
        </w:trPr>
        <w:tc>
          <w:tcPr>
            <w:tcW w:w="4699" w:type="dxa"/>
            <w:tcBorders>
              <w:top w:val="single" w:sz="8" w:space="0" w:color="000000"/>
              <w:bottom w:val="single" w:sz="8" w:space="0" w:color="000000"/>
              <w:right w:val="single" w:sz="8" w:space="0" w:color="000000"/>
            </w:tcBorders>
          </w:tcPr>
          <w:p w14:paraId="0B680533" w14:textId="77777777" w:rsidR="00F65BCA" w:rsidRDefault="00216117">
            <w:pPr>
              <w:pStyle w:val="TableParagraph"/>
              <w:spacing w:before="6"/>
              <w:ind w:left="146" w:right="116"/>
              <w:jc w:val="center"/>
              <w:rPr>
                <w:sz w:val="18"/>
              </w:rPr>
            </w:pPr>
            <w:r>
              <w:rPr>
                <w:sz w:val="18"/>
              </w:rPr>
              <w:t>Úrazové pojištění</w:t>
            </w:r>
          </w:p>
        </w:tc>
        <w:tc>
          <w:tcPr>
            <w:tcW w:w="1466" w:type="dxa"/>
            <w:tcBorders>
              <w:top w:val="single" w:sz="8" w:space="0" w:color="000000"/>
              <w:left w:val="single" w:sz="8" w:space="0" w:color="000000"/>
              <w:bottom w:val="single" w:sz="8" w:space="0" w:color="000000"/>
              <w:right w:val="single" w:sz="8" w:space="0" w:color="000000"/>
            </w:tcBorders>
          </w:tcPr>
          <w:p w14:paraId="309C3EBC" w14:textId="77777777" w:rsidR="00F65BCA" w:rsidRDefault="00216117">
            <w:pPr>
              <w:pStyle w:val="TableParagraph"/>
              <w:spacing w:before="34"/>
              <w:ind w:left="264" w:right="210"/>
              <w:jc w:val="center"/>
              <w:rPr>
                <w:sz w:val="18"/>
              </w:rPr>
            </w:pPr>
            <w:r>
              <w:rPr>
                <w:sz w:val="18"/>
              </w:rPr>
              <w:t>13 200 Kč</w:t>
            </w:r>
          </w:p>
        </w:tc>
        <w:tc>
          <w:tcPr>
            <w:tcW w:w="1692" w:type="dxa"/>
            <w:tcBorders>
              <w:top w:val="single" w:sz="8" w:space="0" w:color="000000"/>
              <w:left w:val="single" w:sz="8" w:space="0" w:color="000000"/>
              <w:bottom w:val="single" w:sz="8" w:space="0" w:color="000000"/>
            </w:tcBorders>
          </w:tcPr>
          <w:p w14:paraId="751F7787" w14:textId="77777777" w:rsidR="00F65BCA" w:rsidRDefault="00216117">
            <w:pPr>
              <w:pStyle w:val="TableParagraph"/>
              <w:spacing w:line="250" w:lineRule="exact"/>
              <w:ind w:left="269" w:right="207"/>
              <w:jc w:val="center"/>
              <w:rPr>
                <w:rFonts w:ascii="Calibri" w:hAnsi="Calibri"/>
              </w:rPr>
            </w:pPr>
            <w:r>
              <w:rPr>
                <w:rFonts w:ascii="Calibri" w:hAnsi="Calibri"/>
              </w:rPr>
              <w:t>39 600 Kč</w:t>
            </w:r>
          </w:p>
        </w:tc>
      </w:tr>
      <w:tr w:rsidR="00F65BCA" w14:paraId="56B6D656" w14:textId="77777777">
        <w:trPr>
          <w:trHeight w:val="270"/>
        </w:trPr>
        <w:tc>
          <w:tcPr>
            <w:tcW w:w="4699" w:type="dxa"/>
            <w:tcBorders>
              <w:top w:val="single" w:sz="8" w:space="0" w:color="000000"/>
              <w:bottom w:val="single" w:sz="8" w:space="0" w:color="000000"/>
              <w:right w:val="single" w:sz="8" w:space="0" w:color="000000"/>
            </w:tcBorders>
          </w:tcPr>
          <w:p w14:paraId="5D88AB7F" w14:textId="77777777" w:rsidR="00F65BCA" w:rsidRDefault="00216117">
            <w:pPr>
              <w:pStyle w:val="TableParagraph"/>
              <w:spacing w:before="6"/>
              <w:ind w:left="146" w:right="114"/>
              <w:jc w:val="center"/>
              <w:rPr>
                <w:sz w:val="18"/>
              </w:rPr>
            </w:pPr>
            <w:r>
              <w:rPr>
                <w:sz w:val="18"/>
              </w:rPr>
              <w:t>Pojištění zavazadel</w:t>
            </w:r>
          </w:p>
        </w:tc>
        <w:tc>
          <w:tcPr>
            <w:tcW w:w="1466" w:type="dxa"/>
            <w:tcBorders>
              <w:top w:val="single" w:sz="8" w:space="0" w:color="000000"/>
              <w:left w:val="single" w:sz="8" w:space="0" w:color="000000"/>
              <w:bottom w:val="single" w:sz="8" w:space="0" w:color="000000"/>
              <w:right w:val="single" w:sz="8" w:space="0" w:color="000000"/>
            </w:tcBorders>
          </w:tcPr>
          <w:p w14:paraId="5F280864" w14:textId="77777777" w:rsidR="00F65BCA" w:rsidRDefault="00216117">
            <w:pPr>
              <w:pStyle w:val="TableParagraph"/>
              <w:spacing w:before="34"/>
              <w:ind w:left="264" w:right="210"/>
              <w:jc w:val="center"/>
              <w:rPr>
                <w:sz w:val="18"/>
              </w:rPr>
            </w:pPr>
            <w:r>
              <w:rPr>
                <w:sz w:val="18"/>
              </w:rPr>
              <w:t>11 484 Kč</w:t>
            </w:r>
          </w:p>
        </w:tc>
        <w:tc>
          <w:tcPr>
            <w:tcW w:w="1692" w:type="dxa"/>
            <w:tcBorders>
              <w:top w:val="single" w:sz="8" w:space="0" w:color="000000"/>
              <w:left w:val="single" w:sz="8" w:space="0" w:color="000000"/>
              <w:bottom w:val="single" w:sz="8" w:space="0" w:color="000000"/>
            </w:tcBorders>
          </w:tcPr>
          <w:p w14:paraId="1DD6DBB1" w14:textId="77777777" w:rsidR="00F65BCA" w:rsidRDefault="00216117">
            <w:pPr>
              <w:pStyle w:val="TableParagraph"/>
              <w:spacing w:line="250" w:lineRule="exact"/>
              <w:ind w:left="269" w:right="207"/>
              <w:jc w:val="center"/>
              <w:rPr>
                <w:rFonts w:ascii="Calibri" w:hAnsi="Calibri"/>
              </w:rPr>
            </w:pPr>
            <w:r>
              <w:rPr>
                <w:rFonts w:ascii="Calibri" w:hAnsi="Calibri"/>
              </w:rPr>
              <w:t>34 452 Kč</w:t>
            </w:r>
          </w:p>
        </w:tc>
      </w:tr>
      <w:tr w:rsidR="00F65BCA" w14:paraId="4A6E8FF3" w14:textId="77777777">
        <w:trPr>
          <w:trHeight w:val="270"/>
        </w:trPr>
        <w:tc>
          <w:tcPr>
            <w:tcW w:w="4699" w:type="dxa"/>
            <w:tcBorders>
              <w:top w:val="single" w:sz="8" w:space="0" w:color="000000"/>
              <w:bottom w:val="single" w:sz="8" w:space="0" w:color="000000"/>
              <w:right w:val="single" w:sz="8" w:space="0" w:color="000000"/>
            </w:tcBorders>
          </w:tcPr>
          <w:p w14:paraId="3F49948F" w14:textId="77777777" w:rsidR="00F65BCA" w:rsidRDefault="00216117">
            <w:pPr>
              <w:pStyle w:val="TableParagraph"/>
              <w:spacing w:before="6"/>
              <w:ind w:left="146" w:right="114"/>
              <w:jc w:val="center"/>
              <w:rPr>
                <w:sz w:val="18"/>
              </w:rPr>
            </w:pPr>
            <w:r>
              <w:rPr>
                <w:sz w:val="18"/>
              </w:rPr>
              <w:t>Pojištění Asistenčních služeb</w:t>
            </w:r>
          </w:p>
        </w:tc>
        <w:tc>
          <w:tcPr>
            <w:tcW w:w="1466" w:type="dxa"/>
            <w:tcBorders>
              <w:top w:val="single" w:sz="8" w:space="0" w:color="000000"/>
              <w:left w:val="single" w:sz="8" w:space="0" w:color="000000"/>
              <w:bottom w:val="single" w:sz="8" w:space="0" w:color="000000"/>
              <w:right w:val="single" w:sz="8" w:space="0" w:color="000000"/>
            </w:tcBorders>
          </w:tcPr>
          <w:p w14:paraId="04D4FA55" w14:textId="77777777" w:rsidR="00F65BCA" w:rsidRDefault="00216117">
            <w:pPr>
              <w:pStyle w:val="TableParagraph"/>
              <w:spacing w:before="34"/>
              <w:ind w:left="264" w:right="210"/>
              <w:jc w:val="center"/>
              <w:rPr>
                <w:sz w:val="18"/>
              </w:rPr>
            </w:pPr>
            <w:r>
              <w:rPr>
                <w:sz w:val="18"/>
              </w:rPr>
              <w:t>48 612 Kč</w:t>
            </w:r>
          </w:p>
        </w:tc>
        <w:tc>
          <w:tcPr>
            <w:tcW w:w="1692" w:type="dxa"/>
            <w:tcBorders>
              <w:top w:val="single" w:sz="8" w:space="0" w:color="000000"/>
              <w:left w:val="single" w:sz="8" w:space="0" w:color="000000"/>
              <w:bottom w:val="single" w:sz="8" w:space="0" w:color="000000"/>
            </w:tcBorders>
          </w:tcPr>
          <w:p w14:paraId="7994542F" w14:textId="77777777" w:rsidR="00F65BCA" w:rsidRDefault="00216117">
            <w:pPr>
              <w:pStyle w:val="TableParagraph"/>
              <w:spacing w:line="250" w:lineRule="exact"/>
              <w:ind w:left="269" w:right="205"/>
              <w:jc w:val="center"/>
              <w:rPr>
                <w:rFonts w:ascii="Calibri" w:hAnsi="Calibri"/>
              </w:rPr>
            </w:pPr>
            <w:r>
              <w:rPr>
                <w:rFonts w:ascii="Calibri" w:hAnsi="Calibri"/>
              </w:rPr>
              <w:t>145 836 Kč</w:t>
            </w:r>
          </w:p>
        </w:tc>
      </w:tr>
      <w:tr w:rsidR="00F65BCA" w14:paraId="50446AFC" w14:textId="77777777">
        <w:trPr>
          <w:trHeight w:val="270"/>
        </w:trPr>
        <w:tc>
          <w:tcPr>
            <w:tcW w:w="4699" w:type="dxa"/>
            <w:tcBorders>
              <w:top w:val="single" w:sz="8" w:space="0" w:color="000000"/>
              <w:bottom w:val="single" w:sz="8" w:space="0" w:color="000000"/>
              <w:right w:val="single" w:sz="8" w:space="0" w:color="000000"/>
            </w:tcBorders>
          </w:tcPr>
          <w:p w14:paraId="0E95474E" w14:textId="77777777" w:rsidR="00F65BCA" w:rsidRDefault="00216117">
            <w:pPr>
              <w:pStyle w:val="TableParagraph"/>
              <w:spacing w:before="6"/>
              <w:ind w:left="146" w:right="116"/>
              <w:jc w:val="center"/>
              <w:rPr>
                <w:sz w:val="18"/>
              </w:rPr>
            </w:pPr>
            <w:r>
              <w:rPr>
                <w:sz w:val="18"/>
              </w:rPr>
              <w:t>Pojištění činnosti pracovního stroje</w:t>
            </w:r>
          </w:p>
        </w:tc>
        <w:tc>
          <w:tcPr>
            <w:tcW w:w="1466" w:type="dxa"/>
            <w:tcBorders>
              <w:top w:val="single" w:sz="8" w:space="0" w:color="000000"/>
              <w:left w:val="single" w:sz="8" w:space="0" w:color="000000"/>
              <w:bottom w:val="single" w:sz="8" w:space="0" w:color="000000"/>
              <w:right w:val="single" w:sz="8" w:space="0" w:color="000000"/>
            </w:tcBorders>
          </w:tcPr>
          <w:p w14:paraId="0FDD2FA4" w14:textId="77777777" w:rsidR="00F65BCA" w:rsidRDefault="00216117">
            <w:pPr>
              <w:pStyle w:val="TableParagraph"/>
              <w:spacing w:before="34"/>
              <w:ind w:left="264" w:right="210"/>
              <w:jc w:val="center"/>
              <w:rPr>
                <w:sz w:val="18"/>
              </w:rPr>
            </w:pPr>
            <w:r>
              <w:rPr>
                <w:sz w:val="18"/>
              </w:rPr>
              <w:t>1 548 Kč</w:t>
            </w:r>
          </w:p>
        </w:tc>
        <w:tc>
          <w:tcPr>
            <w:tcW w:w="1692" w:type="dxa"/>
            <w:tcBorders>
              <w:top w:val="single" w:sz="8" w:space="0" w:color="000000"/>
              <w:left w:val="single" w:sz="8" w:space="0" w:color="000000"/>
              <w:bottom w:val="single" w:sz="8" w:space="0" w:color="000000"/>
            </w:tcBorders>
          </w:tcPr>
          <w:p w14:paraId="337951D0" w14:textId="77777777" w:rsidR="00F65BCA" w:rsidRDefault="00216117">
            <w:pPr>
              <w:pStyle w:val="TableParagraph"/>
              <w:spacing w:line="250" w:lineRule="exact"/>
              <w:ind w:left="269" w:right="203"/>
              <w:jc w:val="center"/>
              <w:rPr>
                <w:rFonts w:ascii="Calibri" w:hAnsi="Calibri"/>
              </w:rPr>
            </w:pPr>
            <w:r>
              <w:rPr>
                <w:rFonts w:ascii="Calibri" w:hAnsi="Calibri"/>
              </w:rPr>
              <w:t>4 644 Kč</w:t>
            </w:r>
          </w:p>
        </w:tc>
      </w:tr>
      <w:tr w:rsidR="00F65BCA" w14:paraId="4A6F9C00" w14:textId="77777777">
        <w:trPr>
          <w:trHeight w:val="269"/>
        </w:trPr>
        <w:tc>
          <w:tcPr>
            <w:tcW w:w="4699" w:type="dxa"/>
            <w:tcBorders>
              <w:top w:val="single" w:sz="8" w:space="0" w:color="000000"/>
              <w:right w:val="single" w:sz="8" w:space="0" w:color="000000"/>
            </w:tcBorders>
          </w:tcPr>
          <w:p w14:paraId="6BC917E4" w14:textId="77777777" w:rsidR="00F65BCA" w:rsidRDefault="00216117">
            <w:pPr>
              <w:pStyle w:val="TableParagraph"/>
              <w:spacing w:line="187" w:lineRule="exact"/>
              <w:ind w:left="146" w:right="117"/>
              <w:jc w:val="center"/>
              <w:rPr>
                <w:sz w:val="18"/>
              </w:rPr>
            </w:pPr>
            <w:r>
              <w:rPr>
                <w:sz w:val="18"/>
              </w:rPr>
              <w:t>Celkem</w:t>
            </w:r>
          </w:p>
        </w:tc>
        <w:tc>
          <w:tcPr>
            <w:tcW w:w="1466" w:type="dxa"/>
            <w:tcBorders>
              <w:top w:val="single" w:sz="8" w:space="0" w:color="000000"/>
              <w:left w:val="single" w:sz="8" w:space="0" w:color="000000"/>
              <w:right w:val="single" w:sz="8" w:space="0" w:color="000000"/>
            </w:tcBorders>
          </w:tcPr>
          <w:p w14:paraId="1CA67792" w14:textId="77777777" w:rsidR="00F65BCA" w:rsidRDefault="00216117">
            <w:pPr>
              <w:pStyle w:val="TableParagraph"/>
              <w:spacing w:before="27"/>
              <w:ind w:left="265" w:right="210"/>
              <w:jc w:val="center"/>
              <w:rPr>
                <w:b/>
                <w:sz w:val="18"/>
              </w:rPr>
            </w:pPr>
            <w:r>
              <w:rPr>
                <w:b/>
                <w:sz w:val="18"/>
              </w:rPr>
              <w:t>505 128 Kč</w:t>
            </w:r>
          </w:p>
        </w:tc>
        <w:tc>
          <w:tcPr>
            <w:tcW w:w="1692" w:type="dxa"/>
            <w:tcBorders>
              <w:top w:val="single" w:sz="8" w:space="0" w:color="000000"/>
              <w:left w:val="single" w:sz="8" w:space="0" w:color="000000"/>
            </w:tcBorders>
          </w:tcPr>
          <w:p w14:paraId="3945EBB0" w14:textId="77777777" w:rsidR="00F65BCA" w:rsidRDefault="00216117">
            <w:pPr>
              <w:pStyle w:val="TableParagraph"/>
              <w:spacing w:line="250" w:lineRule="exact"/>
              <w:ind w:left="269" w:right="207"/>
              <w:jc w:val="center"/>
              <w:rPr>
                <w:rFonts w:ascii="Calibri" w:hAnsi="Calibri"/>
                <w:b/>
              </w:rPr>
            </w:pPr>
            <w:r>
              <w:rPr>
                <w:rFonts w:ascii="Calibri" w:hAnsi="Calibri"/>
                <w:b/>
              </w:rPr>
              <w:t>1 515 384 Kč</w:t>
            </w:r>
          </w:p>
        </w:tc>
      </w:tr>
    </w:tbl>
    <w:p w14:paraId="36C07668" w14:textId="77777777" w:rsidR="00F65BCA" w:rsidRDefault="00F65BCA">
      <w:pPr>
        <w:pStyle w:val="Zkladntext"/>
        <w:spacing w:before="10"/>
        <w:rPr>
          <w:b/>
          <w:sz w:val="23"/>
        </w:rPr>
      </w:pPr>
    </w:p>
    <w:p w14:paraId="108B356C" w14:textId="77777777" w:rsidR="00F65BCA" w:rsidRDefault="00216117">
      <w:pPr>
        <w:spacing w:before="1"/>
        <w:ind w:left="567"/>
        <w:rPr>
          <w:rFonts w:ascii="Calibri" w:hAnsi="Calibri"/>
          <w:b/>
        </w:rPr>
      </w:pPr>
      <w:r>
        <w:rPr>
          <w:rFonts w:ascii="Calibri" w:hAnsi="Calibri"/>
          <w:b/>
        </w:rPr>
        <w:t>Podle zákona č. 235/2004 Sb. o DPH jsou pojišťovací služby osvobozeny od daně.</w:t>
      </w:r>
    </w:p>
    <w:p w14:paraId="478D2835" w14:textId="77777777" w:rsidR="00F65BCA" w:rsidRDefault="00F65BCA">
      <w:pPr>
        <w:pStyle w:val="Zkladntext"/>
        <w:rPr>
          <w:rFonts w:ascii="Calibri"/>
          <w:b/>
          <w:sz w:val="20"/>
        </w:rPr>
      </w:pPr>
    </w:p>
    <w:p w14:paraId="0D4C4708" w14:textId="77777777" w:rsidR="00F65BCA" w:rsidRDefault="00F65BCA">
      <w:pPr>
        <w:pStyle w:val="Zkladntext"/>
        <w:rPr>
          <w:rFonts w:ascii="Calibri"/>
          <w:b/>
          <w:sz w:val="20"/>
        </w:rPr>
      </w:pPr>
    </w:p>
    <w:p w14:paraId="424DC636" w14:textId="77777777" w:rsidR="00F65BCA" w:rsidRDefault="00F65BCA">
      <w:pPr>
        <w:pStyle w:val="Zkladntext"/>
        <w:rPr>
          <w:rFonts w:ascii="Calibri"/>
          <w:b/>
          <w:sz w:val="20"/>
        </w:rPr>
      </w:pPr>
    </w:p>
    <w:p w14:paraId="3CB9EA52" w14:textId="77777777" w:rsidR="00F65BCA" w:rsidRDefault="00F65BCA">
      <w:pPr>
        <w:pStyle w:val="Zkladntext"/>
        <w:rPr>
          <w:rFonts w:ascii="Calibri"/>
          <w:b/>
          <w:sz w:val="20"/>
        </w:rPr>
      </w:pPr>
    </w:p>
    <w:p w14:paraId="435F2A6C" w14:textId="77777777" w:rsidR="00F65BCA" w:rsidRDefault="00F65BCA">
      <w:pPr>
        <w:pStyle w:val="Zkladntext"/>
        <w:rPr>
          <w:rFonts w:ascii="Calibri"/>
          <w:b/>
          <w:sz w:val="20"/>
        </w:rPr>
      </w:pPr>
    </w:p>
    <w:p w14:paraId="34EB5AE2" w14:textId="77777777" w:rsidR="00F65BCA" w:rsidRDefault="00F65BCA">
      <w:pPr>
        <w:pStyle w:val="Zkladntext"/>
        <w:rPr>
          <w:rFonts w:ascii="Calibri"/>
          <w:b/>
          <w:sz w:val="20"/>
        </w:rPr>
      </w:pPr>
    </w:p>
    <w:p w14:paraId="440A6E49" w14:textId="77777777" w:rsidR="00F65BCA" w:rsidRDefault="00F65BCA">
      <w:pPr>
        <w:pStyle w:val="Zkladntext"/>
        <w:rPr>
          <w:rFonts w:ascii="Calibri"/>
          <w:b/>
          <w:sz w:val="20"/>
        </w:rPr>
      </w:pPr>
    </w:p>
    <w:p w14:paraId="5F35CCB8" w14:textId="77777777" w:rsidR="00F65BCA" w:rsidRDefault="00F65BCA">
      <w:pPr>
        <w:pStyle w:val="Zkladntext"/>
        <w:rPr>
          <w:rFonts w:ascii="Calibri"/>
          <w:b/>
          <w:sz w:val="20"/>
        </w:rPr>
      </w:pPr>
    </w:p>
    <w:p w14:paraId="2DFBA5C2" w14:textId="77777777" w:rsidR="00F65BCA" w:rsidRDefault="00F65BCA">
      <w:pPr>
        <w:pStyle w:val="Zkladntext"/>
        <w:rPr>
          <w:rFonts w:ascii="Calibri"/>
          <w:b/>
          <w:sz w:val="20"/>
        </w:rPr>
      </w:pPr>
    </w:p>
    <w:p w14:paraId="2A12C112" w14:textId="77777777" w:rsidR="00F65BCA" w:rsidRDefault="00F65BCA">
      <w:pPr>
        <w:pStyle w:val="Zkladntext"/>
        <w:rPr>
          <w:rFonts w:ascii="Calibri"/>
          <w:b/>
          <w:sz w:val="20"/>
        </w:rPr>
      </w:pPr>
    </w:p>
    <w:p w14:paraId="2C858EDB" w14:textId="77777777" w:rsidR="00F65BCA" w:rsidRDefault="00F65BCA">
      <w:pPr>
        <w:pStyle w:val="Zkladntext"/>
        <w:rPr>
          <w:rFonts w:ascii="Calibri"/>
          <w:b/>
          <w:sz w:val="20"/>
        </w:rPr>
      </w:pPr>
    </w:p>
    <w:p w14:paraId="1AC62DB2" w14:textId="77777777" w:rsidR="00F65BCA" w:rsidRDefault="00F65BCA">
      <w:pPr>
        <w:pStyle w:val="Zkladntext"/>
        <w:rPr>
          <w:rFonts w:ascii="Calibri"/>
          <w:b/>
          <w:sz w:val="20"/>
        </w:rPr>
      </w:pPr>
    </w:p>
    <w:p w14:paraId="3FD3B9BD" w14:textId="77777777" w:rsidR="00F65BCA" w:rsidRDefault="00F65BCA">
      <w:pPr>
        <w:pStyle w:val="Zkladntext"/>
        <w:rPr>
          <w:rFonts w:ascii="Calibri"/>
          <w:b/>
          <w:sz w:val="20"/>
        </w:rPr>
      </w:pPr>
    </w:p>
    <w:p w14:paraId="38896AB7" w14:textId="77777777" w:rsidR="00F65BCA" w:rsidRDefault="00F65BCA">
      <w:pPr>
        <w:pStyle w:val="Zkladntext"/>
        <w:rPr>
          <w:rFonts w:ascii="Calibri"/>
          <w:b/>
          <w:sz w:val="20"/>
        </w:rPr>
      </w:pPr>
    </w:p>
    <w:p w14:paraId="0ACFCD45" w14:textId="77777777" w:rsidR="00F65BCA" w:rsidRDefault="00F65BCA">
      <w:pPr>
        <w:pStyle w:val="Zkladntext"/>
        <w:rPr>
          <w:rFonts w:ascii="Calibri"/>
          <w:b/>
          <w:sz w:val="20"/>
        </w:rPr>
      </w:pPr>
    </w:p>
    <w:p w14:paraId="61027AEC" w14:textId="77777777" w:rsidR="00F65BCA" w:rsidRDefault="00F65BCA">
      <w:pPr>
        <w:pStyle w:val="Zkladntext"/>
        <w:rPr>
          <w:rFonts w:ascii="Calibri"/>
          <w:b/>
          <w:sz w:val="20"/>
        </w:rPr>
      </w:pPr>
    </w:p>
    <w:p w14:paraId="3732AC0B" w14:textId="77777777" w:rsidR="00F65BCA" w:rsidRDefault="00F65BCA">
      <w:pPr>
        <w:pStyle w:val="Zkladntext"/>
        <w:rPr>
          <w:rFonts w:ascii="Calibri"/>
          <w:b/>
          <w:sz w:val="20"/>
        </w:rPr>
      </w:pPr>
    </w:p>
    <w:p w14:paraId="2DFEE296" w14:textId="77777777" w:rsidR="00F65BCA" w:rsidRDefault="00F65BCA">
      <w:pPr>
        <w:pStyle w:val="Zkladntext"/>
        <w:rPr>
          <w:rFonts w:ascii="Calibri"/>
          <w:b/>
          <w:sz w:val="20"/>
        </w:rPr>
      </w:pPr>
    </w:p>
    <w:p w14:paraId="26475E00" w14:textId="77777777" w:rsidR="00F65BCA" w:rsidRDefault="00F65BCA">
      <w:pPr>
        <w:pStyle w:val="Zkladntext"/>
        <w:rPr>
          <w:rFonts w:ascii="Calibri"/>
          <w:b/>
          <w:sz w:val="20"/>
        </w:rPr>
      </w:pPr>
    </w:p>
    <w:p w14:paraId="1AEDE0BF" w14:textId="77777777" w:rsidR="00F65BCA" w:rsidRDefault="00F65BCA">
      <w:pPr>
        <w:pStyle w:val="Zkladntext"/>
        <w:rPr>
          <w:rFonts w:ascii="Calibri"/>
          <w:b/>
          <w:sz w:val="20"/>
        </w:rPr>
      </w:pPr>
    </w:p>
    <w:p w14:paraId="32D3C273" w14:textId="77777777" w:rsidR="00F65BCA" w:rsidRDefault="00F65BCA">
      <w:pPr>
        <w:pStyle w:val="Zkladntext"/>
        <w:rPr>
          <w:rFonts w:ascii="Calibri"/>
          <w:b/>
          <w:sz w:val="20"/>
        </w:rPr>
      </w:pPr>
    </w:p>
    <w:p w14:paraId="00D77F10" w14:textId="77777777" w:rsidR="00F65BCA" w:rsidRDefault="00F65BCA">
      <w:pPr>
        <w:pStyle w:val="Zkladntext"/>
        <w:rPr>
          <w:rFonts w:ascii="Calibri"/>
          <w:b/>
          <w:sz w:val="20"/>
        </w:rPr>
      </w:pPr>
    </w:p>
    <w:p w14:paraId="66322EA6" w14:textId="77777777" w:rsidR="00F65BCA" w:rsidRDefault="00F65BCA">
      <w:pPr>
        <w:pStyle w:val="Zkladntext"/>
        <w:rPr>
          <w:rFonts w:ascii="Calibri"/>
          <w:b/>
          <w:sz w:val="20"/>
        </w:rPr>
      </w:pPr>
    </w:p>
    <w:p w14:paraId="2E348C18" w14:textId="77777777" w:rsidR="00F65BCA" w:rsidRDefault="00F65BCA">
      <w:pPr>
        <w:pStyle w:val="Zkladntext"/>
        <w:rPr>
          <w:rFonts w:ascii="Calibri"/>
          <w:b/>
          <w:sz w:val="20"/>
        </w:rPr>
      </w:pPr>
    </w:p>
    <w:p w14:paraId="30EF4857" w14:textId="77777777" w:rsidR="00F65BCA" w:rsidRDefault="00F65BCA">
      <w:pPr>
        <w:pStyle w:val="Zkladntext"/>
        <w:rPr>
          <w:rFonts w:ascii="Calibri"/>
          <w:b/>
          <w:sz w:val="20"/>
        </w:rPr>
      </w:pPr>
    </w:p>
    <w:p w14:paraId="66B7005A" w14:textId="77777777" w:rsidR="00F65BCA" w:rsidRDefault="00F65BCA">
      <w:pPr>
        <w:pStyle w:val="Zkladntext"/>
        <w:rPr>
          <w:rFonts w:ascii="Calibri"/>
          <w:b/>
          <w:sz w:val="20"/>
        </w:rPr>
      </w:pPr>
    </w:p>
    <w:p w14:paraId="1595793B" w14:textId="77777777" w:rsidR="00F65BCA" w:rsidRDefault="00F65BCA">
      <w:pPr>
        <w:pStyle w:val="Zkladntext"/>
        <w:rPr>
          <w:rFonts w:ascii="Calibri"/>
          <w:b/>
          <w:sz w:val="20"/>
        </w:rPr>
      </w:pPr>
    </w:p>
    <w:p w14:paraId="22587B91" w14:textId="77777777" w:rsidR="00F65BCA" w:rsidRDefault="00F65BCA">
      <w:pPr>
        <w:pStyle w:val="Zkladntext"/>
        <w:rPr>
          <w:rFonts w:ascii="Calibri"/>
          <w:b/>
          <w:sz w:val="20"/>
        </w:rPr>
      </w:pPr>
    </w:p>
    <w:p w14:paraId="378926D1" w14:textId="77777777" w:rsidR="00F65BCA" w:rsidRDefault="00F65BCA">
      <w:pPr>
        <w:pStyle w:val="Zkladntext"/>
        <w:rPr>
          <w:rFonts w:ascii="Calibri"/>
          <w:b/>
          <w:sz w:val="20"/>
        </w:rPr>
      </w:pPr>
    </w:p>
    <w:p w14:paraId="23A30229" w14:textId="77777777" w:rsidR="00F65BCA" w:rsidRDefault="00F65BCA">
      <w:pPr>
        <w:pStyle w:val="Zkladntext"/>
        <w:rPr>
          <w:rFonts w:ascii="Calibri"/>
          <w:b/>
          <w:sz w:val="20"/>
        </w:rPr>
      </w:pPr>
    </w:p>
    <w:p w14:paraId="3F969764" w14:textId="77777777" w:rsidR="00F65BCA" w:rsidRDefault="00F65BCA">
      <w:pPr>
        <w:pStyle w:val="Zkladntext"/>
        <w:rPr>
          <w:rFonts w:ascii="Calibri"/>
          <w:b/>
          <w:sz w:val="20"/>
        </w:rPr>
      </w:pPr>
    </w:p>
    <w:p w14:paraId="0F3AAF86" w14:textId="77777777" w:rsidR="00F65BCA" w:rsidRDefault="00F65BCA">
      <w:pPr>
        <w:pStyle w:val="Zkladntext"/>
        <w:rPr>
          <w:rFonts w:ascii="Calibri"/>
          <w:b/>
          <w:sz w:val="20"/>
        </w:rPr>
      </w:pPr>
    </w:p>
    <w:p w14:paraId="596C5323" w14:textId="77777777" w:rsidR="00F65BCA" w:rsidRDefault="00F65BCA">
      <w:pPr>
        <w:pStyle w:val="Zkladntext"/>
        <w:rPr>
          <w:rFonts w:ascii="Calibri"/>
          <w:b/>
          <w:sz w:val="20"/>
        </w:rPr>
      </w:pPr>
    </w:p>
    <w:p w14:paraId="2BBE4D0B" w14:textId="77777777" w:rsidR="00F65BCA" w:rsidRDefault="00F65BCA">
      <w:pPr>
        <w:pStyle w:val="Zkladntext"/>
        <w:rPr>
          <w:rFonts w:ascii="Calibri"/>
          <w:b/>
          <w:sz w:val="20"/>
        </w:rPr>
      </w:pPr>
    </w:p>
    <w:p w14:paraId="3E9E64FB" w14:textId="77777777" w:rsidR="00F65BCA" w:rsidRDefault="00F65BCA">
      <w:pPr>
        <w:pStyle w:val="Zkladntext"/>
        <w:rPr>
          <w:rFonts w:ascii="Calibri"/>
          <w:b/>
          <w:sz w:val="20"/>
        </w:rPr>
      </w:pPr>
    </w:p>
    <w:p w14:paraId="5D94BDAF" w14:textId="77777777" w:rsidR="00F65BCA" w:rsidRDefault="00F65BCA">
      <w:pPr>
        <w:pStyle w:val="Zkladntext"/>
        <w:rPr>
          <w:rFonts w:ascii="Calibri"/>
          <w:b/>
          <w:sz w:val="20"/>
        </w:rPr>
      </w:pPr>
    </w:p>
    <w:p w14:paraId="2E3DCDDF" w14:textId="77777777" w:rsidR="00F65BCA" w:rsidRDefault="00F65BCA">
      <w:pPr>
        <w:pStyle w:val="Zkladntext"/>
        <w:rPr>
          <w:rFonts w:ascii="Calibri"/>
          <w:b/>
          <w:sz w:val="20"/>
        </w:rPr>
      </w:pPr>
    </w:p>
    <w:p w14:paraId="140FC20D" w14:textId="77777777" w:rsidR="00F65BCA" w:rsidRDefault="00F65BCA">
      <w:pPr>
        <w:pStyle w:val="Zkladntext"/>
        <w:rPr>
          <w:rFonts w:ascii="Calibri"/>
          <w:b/>
          <w:sz w:val="20"/>
        </w:rPr>
      </w:pPr>
    </w:p>
    <w:p w14:paraId="3B941EA0" w14:textId="77777777" w:rsidR="00F65BCA" w:rsidRDefault="00F65BCA">
      <w:pPr>
        <w:pStyle w:val="Zkladntext"/>
        <w:rPr>
          <w:rFonts w:ascii="Calibri"/>
          <w:b/>
          <w:sz w:val="20"/>
        </w:rPr>
      </w:pPr>
    </w:p>
    <w:p w14:paraId="3C67B8EA" w14:textId="77777777" w:rsidR="00F65BCA" w:rsidRDefault="00F65BCA">
      <w:pPr>
        <w:pStyle w:val="Zkladntext"/>
        <w:rPr>
          <w:rFonts w:ascii="Calibri"/>
          <w:b/>
          <w:sz w:val="20"/>
        </w:rPr>
      </w:pPr>
    </w:p>
    <w:p w14:paraId="722DCC36" w14:textId="77777777" w:rsidR="00F65BCA" w:rsidRDefault="00F65BCA">
      <w:pPr>
        <w:pStyle w:val="Zkladntext"/>
        <w:rPr>
          <w:rFonts w:ascii="Calibri"/>
          <w:b/>
          <w:sz w:val="20"/>
        </w:rPr>
      </w:pPr>
    </w:p>
    <w:p w14:paraId="62002056" w14:textId="77777777" w:rsidR="00F65BCA" w:rsidRDefault="00F65BCA">
      <w:pPr>
        <w:pStyle w:val="Zkladntext"/>
        <w:spacing w:before="11"/>
        <w:rPr>
          <w:rFonts w:ascii="Calibri"/>
          <w:b/>
          <w:sz w:val="18"/>
        </w:rPr>
      </w:pPr>
    </w:p>
    <w:p w14:paraId="39E572A9" w14:textId="77777777" w:rsidR="00F65BCA" w:rsidRDefault="00216117">
      <w:pPr>
        <w:pStyle w:val="Nadpis6"/>
        <w:ind w:left="519"/>
        <w:rPr>
          <w:rFonts w:ascii="Calibri" w:hAnsi="Calibri"/>
        </w:rPr>
      </w:pPr>
      <w:r>
        <w:rPr>
          <w:rFonts w:ascii="Calibri" w:hAnsi="Calibri"/>
          <w:sz w:val="2"/>
        </w:rPr>
        <w:t xml:space="preserve"># </w:t>
      </w:r>
      <w:r>
        <w:rPr>
          <w:rFonts w:ascii="Calibri" w:hAnsi="Calibri"/>
        </w:rPr>
        <w:t>Důvěrné / Confidential</w:t>
      </w:r>
    </w:p>
    <w:p w14:paraId="326C9B0E" w14:textId="77777777" w:rsidR="00F65BCA" w:rsidRDefault="00F65BCA">
      <w:pPr>
        <w:rPr>
          <w:rFonts w:ascii="Calibri" w:hAnsi="Calibri"/>
        </w:rPr>
        <w:sectPr w:rsidR="00F65BCA">
          <w:pgSz w:w="11900" w:h="16840"/>
          <w:pgMar w:top="1120" w:right="640" w:bottom="280" w:left="500" w:header="708" w:footer="708" w:gutter="0"/>
          <w:cols w:space="708"/>
        </w:sectPr>
      </w:pPr>
    </w:p>
    <w:p w14:paraId="0B8543E0" w14:textId="77777777" w:rsidR="00F65BCA" w:rsidRDefault="00216117">
      <w:pPr>
        <w:pStyle w:val="Nadpis6"/>
        <w:ind w:left="562"/>
        <w:rPr>
          <w:rFonts w:ascii="Calibri"/>
        </w:rPr>
      </w:pPr>
      <w:r>
        <w:rPr>
          <w:rFonts w:ascii="Calibri"/>
          <w:noProof/>
        </w:rPr>
        <w:lastRenderedPageBreak/>
        <w:drawing>
          <wp:inline distT="0" distB="0" distL="0" distR="0" wp14:anchorId="331A29FF" wp14:editId="0DC9F6D4">
            <wp:extent cx="1041554" cy="61436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1041554" cy="614362"/>
                    </a:xfrm>
                    <a:prstGeom prst="rect">
                      <a:avLst/>
                    </a:prstGeom>
                  </pic:spPr>
                </pic:pic>
              </a:graphicData>
            </a:graphic>
          </wp:inline>
        </w:drawing>
      </w:r>
      <w:r>
        <w:rPr>
          <w:rFonts w:ascii="Times New Roman"/>
          <w:spacing w:val="57"/>
        </w:rPr>
        <w:t xml:space="preserve"> </w:t>
      </w:r>
      <w:r w:rsidR="00000000">
        <w:rPr>
          <w:rFonts w:ascii="Calibri"/>
          <w:spacing w:val="57"/>
        </w:rPr>
      </w:r>
      <w:r w:rsidR="00000000">
        <w:rPr>
          <w:rFonts w:ascii="Calibri"/>
          <w:spacing w:val="57"/>
        </w:rPr>
        <w:pict w14:anchorId="0C9ACDB3">
          <v:group id="_x0000_s2456" style="width:224.45pt;height:47.6pt;mso-position-horizontal-relative:char;mso-position-vertical-relative:line" coordsize="4489,952">
            <v:line id="_x0000_s2460" style="position:absolute" from="2135,386" to="2292,386" strokecolor="#c5271c" strokeweight=".3295mm"/>
            <v:line id="_x0000_s2459" style="position:absolute" from="2213,29" to="2213,376" strokecolor="#c5271c" strokeweight="1.0287mm"/>
            <v:line id="_x0000_s2458" style="position:absolute" from="2135,20" to="2292,20" strokecolor="#c5271c" strokeweight=".3309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7" type="#_x0000_t75" style="position:absolute;width:4489;height:952">
              <v:imagedata r:id="rId9" o:title=""/>
            </v:shape>
            <w10:anchorlock/>
          </v:group>
        </w:pict>
      </w:r>
    </w:p>
    <w:p w14:paraId="1289AF69" w14:textId="77777777" w:rsidR="00F65BCA" w:rsidRDefault="00F65BCA">
      <w:pPr>
        <w:pStyle w:val="Zkladntext"/>
        <w:rPr>
          <w:rFonts w:ascii="Calibri"/>
          <w:sz w:val="20"/>
        </w:rPr>
      </w:pPr>
    </w:p>
    <w:p w14:paraId="471B0A1D" w14:textId="77777777" w:rsidR="00F65BCA" w:rsidRDefault="00F65BCA">
      <w:pPr>
        <w:pStyle w:val="Zkladntext"/>
        <w:rPr>
          <w:rFonts w:ascii="Calibri"/>
          <w:sz w:val="20"/>
        </w:rPr>
      </w:pPr>
    </w:p>
    <w:p w14:paraId="735FD280" w14:textId="77777777" w:rsidR="00F65BCA" w:rsidRDefault="00F65BCA">
      <w:pPr>
        <w:pStyle w:val="Zkladntext"/>
        <w:rPr>
          <w:rFonts w:ascii="Calibri"/>
          <w:sz w:val="20"/>
        </w:rPr>
      </w:pPr>
    </w:p>
    <w:p w14:paraId="3E1B5BC8" w14:textId="77777777" w:rsidR="00F65BCA" w:rsidRDefault="00F65BCA">
      <w:pPr>
        <w:pStyle w:val="Zkladntext"/>
        <w:rPr>
          <w:rFonts w:ascii="Calibri"/>
          <w:sz w:val="20"/>
        </w:rPr>
      </w:pPr>
    </w:p>
    <w:p w14:paraId="3A9CD50F" w14:textId="77777777" w:rsidR="00F65BCA" w:rsidRDefault="00F65BCA">
      <w:pPr>
        <w:pStyle w:val="Zkladntext"/>
        <w:rPr>
          <w:rFonts w:ascii="Calibri"/>
          <w:sz w:val="20"/>
        </w:rPr>
      </w:pPr>
    </w:p>
    <w:p w14:paraId="2DA66C47" w14:textId="77777777" w:rsidR="00F65BCA" w:rsidRDefault="00F65BCA">
      <w:pPr>
        <w:pStyle w:val="Zkladntext"/>
        <w:rPr>
          <w:rFonts w:ascii="Calibri"/>
          <w:sz w:val="20"/>
        </w:rPr>
      </w:pPr>
    </w:p>
    <w:p w14:paraId="6494B2BD" w14:textId="77777777" w:rsidR="00F65BCA" w:rsidRDefault="00F65BCA">
      <w:pPr>
        <w:pStyle w:val="Zkladntext"/>
        <w:rPr>
          <w:rFonts w:ascii="Calibri"/>
          <w:sz w:val="20"/>
        </w:rPr>
      </w:pPr>
    </w:p>
    <w:p w14:paraId="3799D96C" w14:textId="77777777" w:rsidR="00F65BCA" w:rsidRDefault="00F65BCA">
      <w:pPr>
        <w:pStyle w:val="Zkladntext"/>
        <w:rPr>
          <w:rFonts w:ascii="Calibri"/>
          <w:sz w:val="20"/>
        </w:rPr>
      </w:pPr>
    </w:p>
    <w:p w14:paraId="2436D921" w14:textId="77777777" w:rsidR="00F65BCA" w:rsidRDefault="00000000">
      <w:pPr>
        <w:pStyle w:val="Zkladntext"/>
        <w:spacing w:before="11"/>
        <w:rPr>
          <w:rFonts w:ascii="Calibri"/>
          <w:sz w:val="26"/>
        </w:rPr>
      </w:pPr>
      <w:r>
        <w:pict w14:anchorId="29D1FAA2">
          <v:group id="_x0000_s2433" style="position:absolute;margin-left:41.85pt;margin-top:18.45pt;width:81.75pt;height:58.95pt;z-index:-251583488;mso-wrap-distance-left:0;mso-wrap-distance-right:0;mso-position-horizontal-relative:page" coordorigin="837,369" coordsize="1635,1179">
            <v:line id="_x0000_s2455" style="position:absolute" from="1024,1120" to="1142,1152" strokecolor="#c5271c" strokeweight=".74894mm"/>
            <v:shape id="_x0000_s2454" type="#_x0000_t75" style="position:absolute;left:837;top:850;width:217;height:138">
              <v:imagedata r:id="rId10" o:title=""/>
            </v:shape>
            <v:shape id="_x0000_s2453" style="position:absolute;left:948;top:738;width:980;height:788" coordorigin="949,738" coordsize="980,788" path="m1911,1062l1697,758r-38,-20l1438,738r-221,l965,1062r-16,53l949,1480r3,18l962,1512r15,10l995,1526r55,l1096,1480r,-87l1438,1393r342,l1780,1480r4,18l1794,1512r15,10l1826,1526r56,l1900,1522r14,-10l1924,1498r4,-18l1928,1115r-1,-14l1924,1088r-6,-13l1911,1062xe" filled="f" strokecolor="#c5271c" strokeweight=".74894mm">
              <v:path arrowok="t"/>
            </v:shape>
            <v:shape id="_x0000_s2452" style="position:absolute;left:1222;top:1151;width:433;height:93" coordorigin="1222,1152" coordsize="433,93" path="m1438,1152r-216,l1229,1204r5,16l1244,1233r14,8l1274,1244r164,l1602,1244r46,-40l1654,1152r-216,xe" filled="f" strokecolor="#c5271c" strokeweight=".74894mm">
              <v:path arrowok="t"/>
            </v:shape>
            <v:line id="_x0000_s2451" style="position:absolute" from="1852,1120" to="1734,1152" strokecolor="#c5271c" strokeweight=".74894mm"/>
            <v:shape id="_x0000_s2450" type="#_x0000_t75" style="position:absolute;left:1822;top:850;width:217;height:138">
              <v:imagedata r:id="rId11" o:title=""/>
            </v:shape>
            <v:shape id="_x0000_s2449" type="#_x0000_t75" style="position:absolute;left:2038;top:676;width:217;height:138">
              <v:imagedata r:id="rId12" o:title=""/>
            </v:shape>
            <v:shape id="_x0000_s2448" type="#_x0000_t75" style="position:absolute;left:2254;top:502;width:217;height:138">
              <v:imagedata r:id="rId13" o:title=""/>
            </v:shape>
            <v:shape id="_x0000_s2447" type="#_x0000_t75" style="position:absolute;left:1269;top:502;width:217;height:138">
              <v:imagedata r:id="rId14" o:title=""/>
            </v:shape>
            <v:shape id="_x0000_s2446" style="position:absolute;left:1503;top:390;width:857;height:788" coordorigin="1503,390" coordsize="857,788" path="m2343,714l2129,410r-38,-20l1871,390r-221,l1503,564r151,l1875,564r252,324l2144,941r,104l2213,1045r,86l2216,1149r10,15l2241,1174r18,4l2314,1178r18,-4l2347,1164r10,-15l2360,1131r,-364l2359,753r-3,-14l2351,726r-8,-12xe" filled="f" strokecolor="#c5271c" strokeweight=".74894mm">
              <v:path arrowok="t"/>
            </v:shape>
            <v:shape id="_x0000_s2445" style="position:absolute;left:1287;top:564;width:857;height:788" coordorigin="1287,564" coordsize="857,788" path="m2127,888l1913,584r-38,-20l1654,564r-220,l1287,738r151,l1659,738r252,324l1928,1115r,104l1997,1219r,87l2000,1324r10,14l2025,1348r18,4l2098,1352r18,-4l2131,1338r9,-14l2144,1306r,-365l2143,927r-3,-13l2134,900r-7,-12xe" filled="f" strokecolor="#c5271c" strokeweight=".74894mm">
              <v:path arrowok="t"/>
            </v:shape>
            <v:shape id="_x0000_s2444" type="#_x0000_t75" style="position:absolute;left:1053;top:676;width:217;height:138">
              <v:imagedata r:id="rId15" o:title=""/>
            </v:shape>
            <v:line id="_x0000_s2443" style="position:absolute" from="1024,1120" to="1142,1152" strokecolor="#c5271c" strokeweight=".74894mm"/>
            <v:shape id="_x0000_s2442" type="#_x0000_t75" style="position:absolute;left:837;top:850;width:217;height:138">
              <v:imagedata r:id="rId10" o:title=""/>
            </v:shape>
            <v:shape id="_x0000_s2441" type="#_x0000_t75" style="position:absolute;left:1269;top:502;width:217;height:138">
              <v:imagedata r:id="rId14" o:title=""/>
            </v:shape>
            <v:shape id="_x0000_s2440" style="position:absolute;left:1222;top:1151;width:433;height:93" coordorigin="1222,1152" coordsize="433,93" path="m1438,1152r-216,l1229,1204r5,16l1244,1233r14,8l1274,1244r164,l1602,1244r46,-40l1654,1152r-216,xe" filled="f" strokecolor="#c5271c" strokeweight=".74894mm">
              <v:path arrowok="t"/>
            </v:shape>
            <v:line id="_x0000_s2439" style="position:absolute" from="1852,1120" to="1734,1152" strokecolor="#c5271c" strokeweight=".74894mm"/>
            <v:shape id="_x0000_s2438" type="#_x0000_t75" style="position:absolute;left:1822;top:850;width:217;height:138">
              <v:imagedata r:id="rId11" o:title=""/>
            </v:shape>
            <v:shape id="_x0000_s2437" type="#_x0000_t75" style="position:absolute;left:2038;top:676;width:217;height:138">
              <v:imagedata r:id="rId12" o:title=""/>
            </v:shape>
            <v:shape id="_x0000_s2436" type="#_x0000_t75" style="position:absolute;left:2254;top:502;width:217;height:138">
              <v:imagedata r:id="rId13" o:title=""/>
            </v:shape>
            <v:shape id="_x0000_s2435" type="#_x0000_t75" style="position:absolute;left:1053;top:676;width:217;height:138">
              <v:imagedata r:id="rId15" o:title=""/>
            </v:shape>
            <v:shape id="_x0000_s2434" style="position:absolute;left:948;top:738;width:980;height:788" coordorigin="949,738" coordsize="980,788" path="m1911,1062l1697,758r-38,-20l1438,738r-221,l965,1062r-16,53l949,1480r3,18l962,1512r15,10l995,1526r55,l1096,1480r,-87l1438,1393r342,l1780,1480r4,18l1794,1512r15,10l1826,1526r56,l1900,1522r14,-10l1924,1498r4,-18l1928,1115r-1,-14l1924,1088r-6,-13l1911,1062xe" filled="f" strokecolor="#c5271c" strokeweight=".74894mm">
              <v:path arrowok="t"/>
            </v:shape>
            <w10:wrap type="topAndBottom" anchorx="page"/>
          </v:group>
        </w:pict>
      </w:r>
    </w:p>
    <w:p w14:paraId="6734991C" w14:textId="77777777" w:rsidR="00F65BCA" w:rsidRDefault="00F65BCA">
      <w:pPr>
        <w:pStyle w:val="Zkladntext"/>
        <w:rPr>
          <w:rFonts w:ascii="Calibri"/>
          <w:sz w:val="7"/>
        </w:rPr>
      </w:pPr>
    </w:p>
    <w:p w14:paraId="67E2A402" w14:textId="77777777" w:rsidR="00F65BCA" w:rsidRDefault="00000000">
      <w:pPr>
        <w:pStyle w:val="Zkladntext"/>
        <w:spacing w:line="20" w:lineRule="exact"/>
        <w:ind w:left="553"/>
        <w:rPr>
          <w:rFonts w:ascii="Calibri"/>
          <w:sz w:val="2"/>
        </w:rPr>
      </w:pPr>
      <w:r>
        <w:rPr>
          <w:rFonts w:ascii="Calibri"/>
          <w:sz w:val="2"/>
        </w:rPr>
      </w:r>
      <w:r>
        <w:rPr>
          <w:rFonts w:ascii="Calibri"/>
          <w:sz w:val="2"/>
        </w:rPr>
        <w:pict w14:anchorId="5BB68344">
          <v:group id="_x0000_s2431" style="width:523.4pt;height:1pt;mso-position-horizontal-relative:char;mso-position-vertical-relative:line" coordsize="10468,20">
            <v:line id="_x0000_s2432" style="position:absolute" from="0,10" to="10467,10" strokecolor="#c5271c" strokeweight="1pt"/>
            <w10:anchorlock/>
          </v:group>
        </w:pict>
      </w:r>
    </w:p>
    <w:p w14:paraId="7CBABC96" w14:textId="77777777" w:rsidR="00F65BCA" w:rsidRDefault="00F65BCA">
      <w:pPr>
        <w:pStyle w:val="Zkladntext"/>
        <w:rPr>
          <w:rFonts w:ascii="Calibri"/>
          <w:sz w:val="20"/>
        </w:rPr>
      </w:pPr>
    </w:p>
    <w:p w14:paraId="22E1BADC" w14:textId="77777777" w:rsidR="00F65BCA" w:rsidRDefault="00F65BCA">
      <w:pPr>
        <w:pStyle w:val="Zkladntext"/>
        <w:spacing w:before="9"/>
        <w:rPr>
          <w:rFonts w:ascii="Calibri"/>
          <w:sz w:val="26"/>
        </w:rPr>
      </w:pPr>
    </w:p>
    <w:p w14:paraId="48CA40D8" w14:textId="77777777" w:rsidR="00F65BCA" w:rsidRDefault="00216117">
      <w:pPr>
        <w:spacing w:before="129"/>
        <w:ind w:left="642"/>
        <w:rPr>
          <w:b/>
          <w:sz w:val="78"/>
        </w:rPr>
      </w:pPr>
      <w:r>
        <w:rPr>
          <w:b/>
          <w:color w:val="C5271C"/>
          <w:sz w:val="78"/>
        </w:rPr>
        <w:t>Sdružené pojištění vozidel</w:t>
      </w:r>
    </w:p>
    <w:p w14:paraId="12267DC8" w14:textId="77777777" w:rsidR="00F65BCA" w:rsidRDefault="00F65BCA">
      <w:pPr>
        <w:pStyle w:val="Zkladntext"/>
        <w:rPr>
          <w:b/>
          <w:sz w:val="20"/>
        </w:rPr>
      </w:pPr>
    </w:p>
    <w:p w14:paraId="69B416EE" w14:textId="77777777" w:rsidR="00F65BCA" w:rsidRDefault="00F65BCA">
      <w:pPr>
        <w:pStyle w:val="Zkladntext"/>
        <w:rPr>
          <w:b/>
          <w:sz w:val="20"/>
        </w:rPr>
      </w:pPr>
    </w:p>
    <w:p w14:paraId="3CE087EC" w14:textId="77777777" w:rsidR="00F65BCA" w:rsidRDefault="00000000">
      <w:pPr>
        <w:pStyle w:val="Zkladntext"/>
        <w:spacing w:before="2"/>
        <w:rPr>
          <w:b/>
          <w:sz w:val="18"/>
        </w:rPr>
      </w:pPr>
      <w:r>
        <w:pict w14:anchorId="03D6A3F2">
          <v:shape id="_x0000_s2430" style="position:absolute;margin-left:35.15pt;margin-top:12.9pt;width:523.4pt;height:.1pt;z-index:-251581440;mso-wrap-distance-left:0;mso-wrap-distance-right:0;mso-position-horizontal-relative:page" coordorigin="703,258" coordsize="10468,0" path="m703,258r10467,e" filled="f" strokecolor="#c5271c" strokeweight="1pt">
            <v:path arrowok="t"/>
            <w10:wrap type="topAndBottom" anchorx="page"/>
          </v:shape>
        </w:pict>
      </w:r>
    </w:p>
    <w:p w14:paraId="0CCB2BF3" w14:textId="77777777" w:rsidR="00F65BCA" w:rsidRDefault="00F65BCA">
      <w:pPr>
        <w:pStyle w:val="Zkladntext"/>
        <w:rPr>
          <w:b/>
          <w:sz w:val="20"/>
        </w:rPr>
      </w:pPr>
    </w:p>
    <w:p w14:paraId="6961BA21" w14:textId="77777777" w:rsidR="00F65BCA" w:rsidRDefault="00F65BCA">
      <w:pPr>
        <w:pStyle w:val="Zkladntext"/>
        <w:rPr>
          <w:b/>
          <w:sz w:val="20"/>
        </w:rPr>
      </w:pPr>
    </w:p>
    <w:p w14:paraId="652E6E4F" w14:textId="77777777" w:rsidR="00F65BCA" w:rsidRDefault="00F65BCA">
      <w:pPr>
        <w:pStyle w:val="Zkladntext"/>
        <w:spacing w:before="6"/>
        <w:rPr>
          <w:b/>
          <w:sz w:val="16"/>
        </w:rPr>
      </w:pPr>
    </w:p>
    <w:p w14:paraId="414AC33C" w14:textId="77777777" w:rsidR="00F65BCA" w:rsidRDefault="00216117">
      <w:pPr>
        <w:spacing w:before="105" w:line="285" w:lineRule="auto"/>
        <w:ind w:left="562" w:right="1897"/>
        <w:rPr>
          <w:sz w:val="32"/>
        </w:rPr>
      </w:pPr>
      <w:r>
        <w:rPr>
          <w:color w:val="231F20"/>
          <w:sz w:val="32"/>
        </w:rPr>
        <w:t>Informační dokument o pojistném produktu IPIDPMV-F-5/2025 Stručná informace o zpracování osobních údajů</w:t>
      </w:r>
    </w:p>
    <w:p w14:paraId="6C30BC45" w14:textId="77777777" w:rsidR="00F65BCA" w:rsidRDefault="00216117">
      <w:pPr>
        <w:spacing w:line="247" w:lineRule="auto"/>
        <w:ind w:left="562" w:right="1897"/>
        <w:rPr>
          <w:sz w:val="32"/>
        </w:rPr>
      </w:pPr>
      <w:r>
        <w:rPr>
          <w:color w:val="231F20"/>
          <w:sz w:val="32"/>
        </w:rPr>
        <w:t>Předsmluvní informace pro zájemce o uzavření pojistné smlouvy PIPMV-F-5/2025</w:t>
      </w:r>
    </w:p>
    <w:p w14:paraId="24B39D5A" w14:textId="77777777" w:rsidR="00F65BCA" w:rsidRDefault="00216117">
      <w:pPr>
        <w:spacing w:before="56" w:line="285" w:lineRule="auto"/>
        <w:ind w:left="562"/>
        <w:rPr>
          <w:sz w:val="32"/>
        </w:rPr>
      </w:pPr>
      <w:r>
        <w:rPr>
          <w:color w:val="231F20"/>
          <w:sz w:val="32"/>
        </w:rPr>
        <w:t>Všeobecné pojistné podmínky pro pojištění vozidel VPPPMV-F-5/2025 Oceňovací tabulky</w:t>
      </w:r>
    </w:p>
    <w:p w14:paraId="19A849F5" w14:textId="77777777" w:rsidR="00F65BCA" w:rsidRDefault="00F65BCA">
      <w:pPr>
        <w:pStyle w:val="Zkladntext"/>
        <w:rPr>
          <w:sz w:val="20"/>
        </w:rPr>
      </w:pPr>
    </w:p>
    <w:p w14:paraId="682A01AF" w14:textId="77777777" w:rsidR="00F65BCA" w:rsidRDefault="00F65BCA">
      <w:pPr>
        <w:pStyle w:val="Zkladntext"/>
        <w:rPr>
          <w:sz w:val="20"/>
        </w:rPr>
      </w:pPr>
    </w:p>
    <w:p w14:paraId="2E8F93EE" w14:textId="77777777" w:rsidR="00F65BCA" w:rsidRDefault="00F65BCA">
      <w:pPr>
        <w:pStyle w:val="Zkladntext"/>
        <w:rPr>
          <w:sz w:val="20"/>
        </w:rPr>
      </w:pPr>
    </w:p>
    <w:p w14:paraId="552AE6E1" w14:textId="77777777" w:rsidR="00F65BCA" w:rsidRDefault="00F65BCA">
      <w:pPr>
        <w:pStyle w:val="Zkladntext"/>
        <w:rPr>
          <w:sz w:val="20"/>
        </w:rPr>
      </w:pPr>
    </w:p>
    <w:p w14:paraId="69E82246" w14:textId="77777777" w:rsidR="00F65BCA" w:rsidRDefault="00F65BCA">
      <w:pPr>
        <w:pStyle w:val="Zkladntext"/>
        <w:rPr>
          <w:sz w:val="20"/>
        </w:rPr>
      </w:pPr>
    </w:p>
    <w:p w14:paraId="0977BDC9" w14:textId="77777777" w:rsidR="00F65BCA" w:rsidRDefault="00F65BCA">
      <w:pPr>
        <w:pStyle w:val="Zkladntext"/>
        <w:rPr>
          <w:sz w:val="20"/>
        </w:rPr>
      </w:pPr>
    </w:p>
    <w:p w14:paraId="51B88024" w14:textId="77777777" w:rsidR="00F65BCA" w:rsidRDefault="00F65BCA">
      <w:pPr>
        <w:pStyle w:val="Zkladntext"/>
        <w:rPr>
          <w:sz w:val="20"/>
        </w:rPr>
      </w:pPr>
    </w:p>
    <w:p w14:paraId="2E18C0CB" w14:textId="77777777" w:rsidR="00F65BCA" w:rsidRDefault="00F65BCA">
      <w:pPr>
        <w:pStyle w:val="Zkladntext"/>
        <w:rPr>
          <w:sz w:val="20"/>
        </w:rPr>
      </w:pPr>
    </w:p>
    <w:p w14:paraId="06A8EBD0" w14:textId="77777777" w:rsidR="00F65BCA" w:rsidRDefault="00F65BCA">
      <w:pPr>
        <w:pStyle w:val="Zkladntext"/>
        <w:rPr>
          <w:sz w:val="20"/>
        </w:rPr>
      </w:pPr>
    </w:p>
    <w:p w14:paraId="196B49A8" w14:textId="77777777" w:rsidR="00F65BCA" w:rsidRDefault="00F65BCA">
      <w:pPr>
        <w:pStyle w:val="Zkladntext"/>
        <w:rPr>
          <w:sz w:val="20"/>
        </w:rPr>
      </w:pPr>
    </w:p>
    <w:p w14:paraId="43F56342" w14:textId="77777777" w:rsidR="00F65BCA" w:rsidRDefault="00F65BCA">
      <w:pPr>
        <w:pStyle w:val="Zkladntext"/>
        <w:rPr>
          <w:sz w:val="20"/>
        </w:rPr>
      </w:pPr>
    </w:p>
    <w:p w14:paraId="37EDC1C7" w14:textId="77777777" w:rsidR="00F65BCA" w:rsidRDefault="00F65BCA">
      <w:pPr>
        <w:pStyle w:val="Zkladntext"/>
        <w:rPr>
          <w:sz w:val="20"/>
        </w:rPr>
      </w:pPr>
    </w:p>
    <w:p w14:paraId="372FD13A" w14:textId="77777777" w:rsidR="00F65BCA" w:rsidRDefault="00F65BCA">
      <w:pPr>
        <w:pStyle w:val="Zkladntext"/>
        <w:rPr>
          <w:sz w:val="20"/>
        </w:rPr>
      </w:pPr>
    </w:p>
    <w:p w14:paraId="407A610E" w14:textId="77777777" w:rsidR="00F65BCA" w:rsidRDefault="00F65BCA">
      <w:pPr>
        <w:pStyle w:val="Zkladntext"/>
        <w:rPr>
          <w:sz w:val="20"/>
        </w:rPr>
      </w:pPr>
    </w:p>
    <w:p w14:paraId="31EA3EC3" w14:textId="77777777" w:rsidR="00F65BCA" w:rsidRDefault="00F65BCA">
      <w:pPr>
        <w:pStyle w:val="Zkladntext"/>
        <w:rPr>
          <w:sz w:val="20"/>
        </w:rPr>
      </w:pPr>
    </w:p>
    <w:p w14:paraId="02768F2B" w14:textId="77777777" w:rsidR="00F65BCA" w:rsidRDefault="00F65BCA">
      <w:pPr>
        <w:pStyle w:val="Zkladntext"/>
        <w:rPr>
          <w:sz w:val="20"/>
        </w:rPr>
      </w:pPr>
    </w:p>
    <w:p w14:paraId="195F0D4F" w14:textId="77777777" w:rsidR="00F65BCA" w:rsidRDefault="00F65BCA">
      <w:pPr>
        <w:pStyle w:val="Zkladntext"/>
        <w:rPr>
          <w:sz w:val="20"/>
        </w:rPr>
      </w:pPr>
    </w:p>
    <w:p w14:paraId="6E8E5B60" w14:textId="77777777" w:rsidR="00F65BCA" w:rsidRDefault="00F65BCA">
      <w:pPr>
        <w:pStyle w:val="Zkladntext"/>
        <w:rPr>
          <w:sz w:val="20"/>
        </w:rPr>
      </w:pPr>
    </w:p>
    <w:p w14:paraId="66547440" w14:textId="77777777" w:rsidR="00F65BCA" w:rsidRDefault="00F65BCA">
      <w:pPr>
        <w:pStyle w:val="Zkladntext"/>
        <w:rPr>
          <w:sz w:val="20"/>
        </w:rPr>
      </w:pPr>
    </w:p>
    <w:p w14:paraId="50FC9730" w14:textId="77777777" w:rsidR="00F65BCA" w:rsidRDefault="00F65BCA">
      <w:pPr>
        <w:pStyle w:val="Zkladntext"/>
        <w:rPr>
          <w:sz w:val="20"/>
        </w:rPr>
      </w:pPr>
    </w:p>
    <w:p w14:paraId="0540E169" w14:textId="77777777" w:rsidR="00F65BCA" w:rsidRDefault="00F65BCA">
      <w:pPr>
        <w:pStyle w:val="Zkladntext"/>
        <w:rPr>
          <w:sz w:val="20"/>
        </w:rPr>
      </w:pPr>
    </w:p>
    <w:p w14:paraId="25142BDF" w14:textId="77777777" w:rsidR="00F65BCA" w:rsidRDefault="00F65BCA">
      <w:pPr>
        <w:pStyle w:val="Zkladntext"/>
        <w:rPr>
          <w:sz w:val="20"/>
        </w:rPr>
      </w:pPr>
    </w:p>
    <w:p w14:paraId="11E3E2BB" w14:textId="77777777" w:rsidR="00F65BCA" w:rsidRDefault="00F65BCA">
      <w:pPr>
        <w:pStyle w:val="Zkladntext"/>
        <w:spacing w:before="10"/>
        <w:rPr>
          <w:sz w:val="27"/>
        </w:rPr>
      </w:pPr>
    </w:p>
    <w:p w14:paraId="6E7DD5CE" w14:textId="77777777" w:rsidR="00F65BCA" w:rsidRDefault="00216117">
      <w:pPr>
        <w:spacing w:before="102"/>
        <w:ind w:left="653"/>
        <w:rPr>
          <w:sz w:val="14"/>
        </w:rPr>
      </w:pPr>
      <w:r>
        <w:rPr>
          <w:color w:val="231F20"/>
          <w:sz w:val="14"/>
        </w:rPr>
        <w:t>6.20.012 05.2025 v04</w:t>
      </w:r>
    </w:p>
    <w:p w14:paraId="6C8030AD" w14:textId="77777777" w:rsidR="00F65BCA" w:rsidRDefault="00F65BCA">
      <w:pPr>
        <w:rPr>
          <w:sz w:val="14"/>
        </w:rPr>
        <w:sectPr w:rsidR="00F65BCA">
          <w:pgSz w:w="11910" w:h="16840"/>
          <w:pgMar w:top="680" w:right="140" w:bottom="0" w:left="140" w:header="708" w:footer="708" w:gutter="0"/>
          <w:cols w:space="708"/>
        </w:sectPr>
      </w:pPr>
    </w:p>
    <w:p w14:paraId="0CD84BF8" w14:textId="77777777" w:rsidR="00F65BCA" w:rsidRDefault="00216117">
      <w:pPr>
        <w:tabs>
          <w:tab w:val="left" w:pos="8530"/>
        </w:tabs>
        <w:spacing w:before="92"/>
        <w:ind w:left="2581"/>
        <w:rPr>
          <w:sz w:val="16"/>
        </w:rPr>
      </w:pPr>
      <w:r>
        <w:rPr>
          <w:color w:val="C5271C"/>
          <w:sz w:val="18"/>
        </w:rPr>
        <w:lastRenderedPageBreak/>
        <w:t>Obsah:</w:t>
      </w:r>
      <w:r>
        <w:rPr>
          <w:color w:val="C5271C"/>
          <w:sz w:val="18"/>
        </w:rPr>
        <w:tab/>
      </w:r>
      <w:r>
        <w:rPr>
          <w:color w:val="231F20"/>
          <w:sz w:val="16"/>
        </w:rPr>
        <w:t>Strana</w:t>
      </w:r>
    </w:p>
    <w:p w14:paraId="60E72AF4" w14:textId="77777777" w:rsidR="00F65BCA" w:rsidRDefault="00000000">
      <w:pPr>
        <w:pStyle w:val="Nadpis9"/>
        <w:tabs>
          <w:tab w:val="right" w:pos="8981"/>
        </w:tabs>
        <w:spacing w:before="115"/>
        <w:ind w:left="2581"/>
        <w:jc w:val="left"/>
      </w:pPr>
      <w:r>
        <w:pict w14:anchorId="5C5C1F07">
          <v:line id="_x0000_s2429" style="position:absolute;left:0;text-align:left;z-index:251738112;mso-position-horizontal-relative:page" from="136.05pt,17.3pt" to="459.2pt,17.3pt" strokecolor="#d1d3d4" strokeweight=".5pt">
            <w10:wrap anchorx="page"/>
          </v:line>
        </w:pict>
      </w:r>
      <w:r w:rsidR="00216117">
        <w:rPr>
          <w:color w:val="C5271C"/>
          <w:w w:val="105"/>
        </w:rPr>
        <w:t>Informační dokument o pojistném</w:t>
      </w:r>
      <w:r w:rsidR="00216117">
        <w:rPr>
          <w:color w:val="C5271C"/>
          <w:spacing w:val="-16"/>
          <w:w w:val="105"/>
        </w:rPr>
        <w:t xml:space="preserve"> </w:t>
      </w:r>
      <w:r w:rsidR="00216117">
        <w:rPr>
          <w:color w:val="C5271C"/>
          <w:w w:val="105"/>
        </w:rPr>
        <w:t>produktu</w:t>
      </w:r>
      <w:r w:rsidR="00216117">
        <w:rPr>
          <w:color w:val="C5271C"/>
          <w:spacing w:val="-4"/>
          <w:w w:val="105"/>
        </w:rPr>
        <w:t xml:space="preserve"> </w:t>
      </w:r>
      <w:r w:rsidR="00216117">
        <w:rPr>
          <w:color w:val="C5271C"/>
          <w:w w:val="105"/>
        </w:rPr>
        <w:t>IPIDPMV-F-5/2025</w:t>
      </w:r>
      <w:r w:rsidR="00216117">
        <w:rPr>
          <w:color w:val="C5271C"/>
          <w:w w:val="105"/>
        </w:rPr>
        <w:tab/>
        <w:t>3</w:t>
      </w:r>
    </w:p>
    <w:p w14:paraId="1F67C5E2" w14:textId="77777777" w:rsidR="00F65BCA" w:rsidRDefault="00000000">
      <w:pPr>
        <w:pStyle w:val="Nadpis9"/>
        <w:tabs>
          <w:tab w:val="right" w:pos="8981"/>
        </w:tabs>
        <w:spacing w:before="171"/>
        <w:ind w:left="2581"/>
        <w:jc w:val="left"/>
      </w:pPr>
      <w:r>
        <w:pict w14:anchorId="551F3E83">
          <v:line id="_x0000_s2428" style="position:absolute;left:0;text-align:left;z-index:251739136;mso-position-horizontal-relative:page" from="136.05pt,20.1pt" to="459.2pt,20.1pt" strokecolor="#d1d3d4" strokeweight=".5pt">
            <w10:wrap anchorx="page"/>
          </v:line>
        </w:pict>
      </w:r>
      <w:r w:rsidR="00216117">
        <w:rPr>
          <w:color w:val="C5271C"/>
          <w:w w:val="105"/>
        </w:rPr>
        <w:t>Stručná informace o zpracování</w:t>
      </w:r>
      <w:r w:rsidR="00216117">
        <w:rPr>
          <w:color w:val="C5271C"/>
          <w:spacing w:val="-12"/>
          <w:w w:val="105"/>
        </w:rPr>
        <w:t xml:space="preserve"> </w:t>
      </w:r>
      <w:r w:rsidR="00216117">
        <w:rPr>
          <w:color w:val="C5271C"/>
          <w:w w:val="105"/>
        </w:rPr>
        <w:t>osobních</w:t>
      </w:r>
      <w:r w:rsidR="00216117">
        <w:rPr>
          <w:color w:val="C5271C"/>
          <w:spacing w:val="-3"/>
          <w:w w:val="105"/>
        </w:rPr>
        <w:t xml:space="preserve"> </w:t>
      </w:r>
      <w:r w:rsidR="00216117">
        <w:rPr>
          <w:color w:val="C5271C"/>
          <w:w w:val="105"/>
        </w:rPr>
        <w:t>údajů</w:t>
      </w:r>
      <w:r w:rsidR="00216117">
        <w:rPr>
          <w:color w:val="C5271C"/>
          <w:w w:val="105"/>
        </w:rPr>
        <w:tab/>
        <w:t>5</w:t>
      </w:r>
    </w:p>
    <w:p w14:paraId="6B1F3083" w14:textId="77777777" w:rsidR="00F65BCA" w:rsidRDefault="00216117">
      <w:pPr>
        <w:pStyle w:val="Nadpis9"/>
        <w:spacing w:before="171"/>
        <w:ind w:left="2581"/>
        <w:jc w:val="left"/>
      </w:pPr>
      <w:r>
        <w:rPr>
          <w:color w:val="C5271C"/>
          <w:w w:val="105"/>
        </w:rPr>
        <w:t>Předsmluvní informace k sjednávanému sdruženému pojištění vozidel</w:t>
      </w:r>
    </w:p>
    <w:p w14:paraId="26950162" w14:textId="77777777" w:rsidR="00F65BCA" w:rsidRDefault="00000000">
      <w:pPr>
        <w:pStyle w:val="Nadpis9"/>
        <w:tabs>
          <w:tab w:val="right" w:pos="8981"/>
        </w:tabs>
        <w:spacing w:before="1"/>
        <w:ind w:left="2581"/>
        <w:jc w:val="left"/>
      </w:pPr>
      <w:r>
        <w:pict w14:anchorId="2AAE01CE">
          <v:line id="_x0000_s2427" style="position:absolute;left:0;text-align:left;z-index:251740160;mso-position-horizontal-relative:page" from="136.05pt,11.6pt" to="459.2pt,11.6pt" strokecolor="#d1d3d4" strokeweight=".5pt">
            <w10:wrap anchorx="page"/>
          </v:line>
        </w:pict>
      </w:r>
      <w:r w:rsidR="00216117">
        <w:rPr>
          <w:color w:val="C5271C"/>
        </w:rPr>
        <w:t>PIPMV-F-5/2025</w:t>
      </w:r>
      <w:r w:rsidR="00216117">
        <w:rPr>
          <w:color w:val="C5271C"/>
        </w:rPr>
        <w:tab/>
        <w:t>7</w:t>
      </w:r>
    </w:p>
    <w:p w14:paraId="3D62E6BE" w14:textId="77777777" w:rsidR="00F65BCA" w:rsidRDefault="00000000">
      <w:pPr>
        <w:pStyle w:val="Nadpis9"/>
        <w:tabs>
          <w:tab w:val="right" w:pos="8981"/>
        </w:tabs>
        <w:spacing w:before="171"/>
        <w:ind w:left="2581"/>
        <w:jc w:val="left"/>
      </w:pPr>
      <w:r>
        <w:pict w14:anchorId="708809FC">
          <v:line id="_x0000_s2426" style="position:absolute;left:0;text-align:left;z-index:251741184;mso-position-horizontal-relative:page" from="136.05pt,20.1pt" to="459.2pt,20.1pt" strokecolor="#d1d3d4" strokeweight=".5pt">
            <w10:wrap anchorx="page"/>
          </v:line>
        </w:pict>
      </w:r>
      <w:r w:rsidR="00216117">
        <w:rPr>
          <w:color w:val="C5271C"/>
          <w:w w:val="105"/>
        </w:rPr>
        <w:t>Všeobecné</w:t>
      </w:r>
      <w:r w:rsidR="00216117">
        <w:rPr>
          <w:color w:val="C5271C"/>
          <w:spacing w:val="-13"/>
          <w:w w:val="105"/>
        </w:rPr>
        <w:t xml:space="preserve"> </w:t>
      </w:r>
      <w:r w:rsidR="00216117">
        <w:rPr>
          <w:color w:val="C5271C"/>
          <w:w w:val="105"/>
        </w:rPr>
        <w:t>pojistné</w:t>
      </w:r>
      <w:r w:rsidR="00216117">
        <w:rPr>
          <w:color w:val="C5271C"/>
          <w:spacing w:val="-13"/>
          <w:w w:val="105"/>
        </w:rPr>
        <w:t xml:space="preserve"> </w:t>
      </w:r>
      <w:r w:rsidR="00216117">
        <w:rPr>
          <w:color w:val="C5271C"/>
          <w:w w:val="105"/>
        </w:rPr>
        <w:t>podmínky</w:t>
      </w:r>
      <w:r w:rsidR="00216117">
        <w:rPr>
          <w:color w:val="C5271C"/>
          <w:spacing w:val="-13"/>
          <w:w w:val="105"/>
        </w:rPr>
        <w:t xml:space="preserve"> </w:t>
      </w:r>
      <w:r w:rsidR="00216117">
        <w:rPr>
          <w:color w:val="C5271C"/>
          <w:w w:val="105"/>
        </w:rPr>
        <w:t>pro</w:t>
      </w:r>
      <w:r w:rsidR="00216117">
        <w:rPr>
          <w:color w:val="C5271C"/>
          <w:spacing w:val="-13"/>
          <w:w w:val="105"/>
        </w:rPr>
        <w:t xml:space="preserve"> </w:t>
      </w:r>
      <w:r w:rsidR="00216117">
        <w:rPr>
          <w:color w:val="C5271C"/>
          <w:w w:val="105"/>
        </w:rPr>
        <w:t>pojištění</w:t>
      </w:r>
      <w:r w:rsidR="00216117">
        <w:rPr>
          <w:color w:val="C5271C"/>
          <w:spacing w:val="-13"/>
          <w:w w:val="105"/>
        </w:rPr>
        <w:t xml:space="preserve"> </w:t>
      </w:r>
      <w:r w:rsidR="00216117">
        <w:rPr>
          <w:color w:val="C5271C"/>
          <w:w w:val="105"/>
        </w:rPr>
        <w:t>vozidel</w:t>
      </w:r>
      <w:r w:rsidR="00216117">
        <w:rPr>
          <w:color w:val="C5271C"/>
          <w:spacing w:val="-12"/>
          <w:w w:val="105"/>
        </w:rPr>
        <w:t xml:space="preserve"> </w:t>
      </w:r>
      <w:r w:rsidR="00216117">
        <w:rPr>
          <w:color w:val="C5271C"/>
          <w:w w:val="105"/>
        </w:rPr>
        <w:t>VPPPMV-F-5/2025</w:t>
      </w:r>
      <w:r w:rsidR="00216117">
        <w:rPr>
          <w:color w:val="C5271C"/>
          <w:w w:val="105"/>
        </w:rPr>
        <w:tab/>
        <w:t>14</w:t>
      </w:r>
    </w:p>
    <w:p w14:paraId="163ACE35" w14:textId="77777777" w:rsidR="00F65BCA" w:rsidRDefault="00216117">
      <w:pPr>
        <w:numPr>
          <w:ilvl w:val="0"/>
          <w:numId w:val="6"/>
        </w:numPr>
        <w:tabs>
          <w:tab w:val="left" w:pos="2772"/>
          <w:tab w:val="right" w:pos="8981"/>
        </w:tabs>
        <w:spacing w:before="222"/>
        <w:ind w:hanging="191"/>
        <w:rPr>
          <w:sz w:val="16"/>
        </w:rPr>
      </w:pPr>
      <w:r>
        <w:rPr>
          <w:color w:val="231F20"/>
          <w:sz w:val="16"/>
        </w:rPr>
        <w:t>OBECNÁ</w:t>
      </w:r>
      <w:r>
        <w:rPr>
          <w:color w:val="231F20"/>
          <w:spacing w:val="-2"/>
          <w:sz w:val="16"/>
        </w:rPr>
        <w:t xml:space="preserve"> </w:t>
      </w:r>
      <w:r>
        <w:rPr>
          <w:color w:val="231F20"/>
          <w:sz w:val="16"/>
        </w:rPr>
        <w:t>USTANOVENÍ</w:t>
      </w:r>
      <w:r>
        <w:rPr>
          <w:color w:val="231F20"/>
          <w:sz w:val="16"/>
        </w:rPr>
        <w:tab/>
        <w:t>14</w:t>
      </w:r>
    </w:p>
    <w:p w14:paraId="69059028" w14:textId="77777777" w:rsidR="00F65BCA" w:rsidRDefault="00216117">
      <w:pPr>
        <w:numPr>
          <w:ilvl w:val="0"/>
          <w:numId w:val="6"/>
        </w:numPr>
        <w:tabs>
          <w:tab w:val="left" w:pos="2777"/>
          <w:tab w:val="right" w:pos="8981"/>
        </w:tabs>
        <w:spacing w:before="112"/>
        <w:ind w:left="2776" w:hanging="196"/>
        <w:rPr>
          <w:sz w:val="16"/>
        </w:rPr>
      </w:pPr>
      <w:r>
        <w:rPr>
          <w:color w:val="231F20"/>
          <w:sz w:val="16"/>
        </w:rPr>
        <w:t>ZVLÁŠTNÍ</w:t>
      </w:r>
      <w:r>
        <w:rPr>
          <w:color w:val="231F20"/>
          <w:spacing w:val="-1"/>
          <w:sz w:val="16"/>
        </w:rPr>
        <w:t xml:space="preserve"> </w:t>
      </w:r>
      <w:r>
        <w:rPr>
          <w:color w:val="231F20"/>
          <w:sz w:val="16"/>
        </w:rPr>
        <w:t>ČÁST</w:t>
      </w:r>
      <w:r>
        <w:rPr>
          <w:color w:val="231F20"/>
          <w:sz w:val="16"/>
        </w:rPr>
        <w:tab/>
        <w:t>20</w:t>
      </w:r>
    </w:p>
    <w:p w14:paraId="1578449F" w14:textId="77777777" w:rsidR="00F65BCA" w:rsidRDefault="00000000">
      <w:pPr>
        <w:pStyle w:val="Nadpis9"/>
        <w:tabs>
          <w:tab w:val="right" w:pos="8981"/>
        </w:tabs>
        <w:spacing w:before="232"/>
        <w:ind w:left="2581"/>
        <w:jc w:val="left"/>
      </w:pPr>
      <w:r>
        <w:pict w14:anchorId="2DF3F3B2">
          <v:line id="_x0000_s2425" style="position:absolute;left:0;text-align:left;z-index:251742208;mso-position-horizontal-relative:page" from="136.05pt,23.15pt" to="459.2pt,23.15pt" strokecolor="#d1d3d4" strokeweight=".5pt">
            <w10:wrap anchorx="page"/>
          </v:line>
        </w:pict>
      </w:r>
      <w:r w:rsidR="00216117">
        <w:rPr>
          <w:color w:val="C5271C"/>
          <w:w w:val="105"/>
        </w:rPr>
        <w:t>Oddíl I.</w:t>
      </w:r>
      <w:r w:rsidR="00216117">
        <w:rPr>
          <w:color w:val="C5271C"/>
          <w:spacing w:val="-6"/>
          <w:w w:val="105"/>
        </w:rPr>
        <w:t xml:space="preserve"> </w:t>
      </w:r>
      <w:r w:rsidR="00216117">
        <w:rPr>
          <w:color w:val="C5271C"/>
          <w:w w:val="105"/>
        </w:rPr>
        <w:t>Pojištění</w:t>
      </w:r>
      <w:r w:rsidR="00216117">
        <w:rPr>
          <w:color w:val="C5271C"/>
          <w:spacing w:val="-3"/>
          <w:w w:val="105"/>
        </w:rPr>
        <w:t xml:space="preserve"> </w:t>
      </w:r>
      <w:r w:rsidR="00216117">
        <w:rPr>
          <w:color w:val="C5271C"/>
          <w:w w:val="105"/>
        </w:rPr>
        <w:t>odpovědnosti</w:t>
      </w:r>
      <w:r w:rsidR="00216117">
        <w:rPr>
          <w:color w:val="C5271C"/>
          <w:w w:val="105"/>
        </w:rPr>
        <w:tab/>
        <w:t>20</w:t>
      </w:r>
    </w:p>
    <w:p w14:paraId="41ED456E" w14:textId="77777777" w:rsidR="00F65BCA" w:rsidRDefault="00216117">
      <w:pPr>
        <w:tabs>
          <w:tab w:val="right" w:pos="8981"/>
        </w:tabs>
        <w:spacing w:before="222"/>
        <w:ind w:left="2581"/>
        <w:rPr>
          <w:sz w:val="16"/>
        </w:rPr>
      </w:pPr>
      <w:r>
        <w:rPr>
          <w:color w:val="231F20"/>
          <w:sz w:val="16"/>
        </w:rPr>
        <w:t>Pododdíl 1.</w:t>
      </w:r>
      <w:r>
        <w:rPr>
          <w:color w:val="231F20"/>
          <w:spacing w:val="-2"/>
          <w:sz w:val="16"/>
        </w:rPr>
        <w:t xml:space="preserve"> </w:t>
      </w:r>
      <w:r>
        <w:rPr>
          <w:color w:val="231F20"/>
          <w:sz w:val="16"/>
        </w:rPr>
        <w:t>Společná</w:t>
      </w:r>
      <w:r>
        <w:rPr>
          <w:color w:val="231F20"/>
          <w:spacing w:val="-1"/>
          <w:sz w:val="16"/>
        </w:rPr>
        <w:t xml:space="preserve"> </w:t>
      </w:r>
      <w:r>
        <w:rPr>
          <w:color w:val="231F20"/>
          <w:sz w:val="16"/>
        </w:rPr>
        <w:t>ustanovení</w:t>
      </w:r>
      <w:r>
        <w:rPr>
          <w:color w:val="231F20"/>
          <w:sz w:val="16"/>
        </w:rPr>
        <w:tab/>
        <w:t>20</w:t>
      </w:r>
    </w:p>
    <w:p w14:paraId="468D533E" w14:textId="77777777" w:rsidR="00F65BCA" w:rsidRDefault="00216117">
      <w:pPr>
        <w:tabs>
          <w:tab w:val="right" w:pos="8981"/>
        </w:tabs>
        <w:spacing w:before="113"/>
        <w:ind w:left="2581"/>
        <w:rPr>
          <w:sz w:val="16"/>
        </w:rPr>
      </w:pPr>
      <w:r>
        <w:rPr>
          <w:color w:val="231F20"/>
          <w:sz w:val="16"/>
        </w:rPr>
        <w:t>Pododdíl 2. Pojištění</w:t>
      </w:r>
      <w:r>
        <w:rPr>
          <w:color w:val="231F20"/>
          <w:spacing w:val="-4"/>
          <w:sz w:val="16"/>
        </w:rPr>
        <w:t xml:space="preserve"> </w:t>
      </w:r>
      <w:r>
        <w:rPr>
          <w:color w:val="231F20"/>
          <w:sz w:val="16"/>
        </w:rPr>
        <w:t>„Přímá</w:t>
      </w:r>
      <w:r>
        <w:rPr>
          <w:color w:val="231F20"/>
          <w:spacing w:val="-2"/>
          <w:sz w:val="16"/>
        </w:rPr>
        <w:t xml:space="preserve"> </w:t>
      </w:r>
      <w:r>
        <w:rPr>
          <w:color w:val="231F20"/>
          <w:sz w:val="16"/>
        </w:rPr>
        <w:t>likvidace“</w:t>
      </w:r>
      <w:r>
        <w:rPr>
          <w:color w:val="231F20"/>
          <w:sz w:val="16"/>
        </w:rPr>
        <w:tab/>
        <w:t>20</w:t>
      </w:r>
    </w:p>
    <w:p w14:paraId="36BF59E6" w14:textId="77777777" w:rsidR="00F65BCA" w:rsidRDefault="00000000">
      <w:pPr>
        <w:pStyle w:val="Nadpis9"/>
        <w:tabs>
          <w:tab w:val="right" w:pos="8981"/>
        </w:tabs>
        <w:spacing w:before="232"/>
        <w:ind w:left="2581"/>
        <w:jc w:val="left"/>
      </w:pPr>
      <w:r>
        <w:pict w14:anchorId="02D8C3EB">
          <v:line id="_x0000_s2424" style="position:absolute;left:0;text-align:left;z-index:251743232;mso-position-horizontal-relative:page" from="136.05pt,23.15pt" to="459.2pt,23.15pt" strokecolor="#d1d3d4" strokeweight=".5pt">
            <w10:wrap anchorx="page"/>
          </v:line>
        </w:pict>
      </w:r>
      <w:r w:rsidR="00216117">
        <w:rPr>
          <w:color w:val="C5271C"/>
          <w:w w:val="105"/>
        </w:rPr>
        <w:t>Oddíl II. Společná ustanovení pro havarijní a</w:t>
      </w:r>
      <w:r w:rsidR="00216117">
        <w:rPr>
          <w:color w:val="C5271C"/>
          <w:spacing w:val="-36"/>
          <w:w w:val="105"/>
        </w:rPr>
        <w:t xml:space="preserve"> </w:t>
      </w:r>
      <w:r w:rsidR="00216117">
        <w:rPr>
          <w:color w:val="C5271C"/>
          <w:w w:val="105"/>
        </w:rPr>
        <w:t>doplňková</w:t>
      </w:r>
      <w:r w:rsidR="00216117">
        <w:rPr>
          <w:color w:val="C5271C"/>
          <w:spacing w:val="-5"/>
          <w:w w:val="105"/>
        </w:rPr>
        <w:t xml:space="preserve"> </w:t>
      </w:r>
      <w:r w:rsidR="00216117">
        <w:rPr>
          <w:color w:val="C5271C"/>
          <w:w w:val="105"/>
        </w:rPr>
        <w:t>pojištění</w:t>
      </w:r>
      <w:r w:rsidR="00216117">
        <w:rPr>
          <w:color w:val="C5271C"/>
          <w:w w:val="105"/>
        </w:rPr>
        <w:tab/>
        <w:t>21</w:t>
      </w:r>
    </w:p>
    <w:p w14:paraId="65E8A75E" w14:textId="77777777" w:rsidR="00F65BCA" w:rsidRDefault="00000000">
      <w:pPr>
        <w:pStyle w:val="Nadpis9"/>
        <w:tabs>
          <w:tab w:val="right" w:pos="8981"/>
        </w:tabs>
        <w:spacing w:before="171"/>
        <w:ind w:left="2581"/>
        <w:jc w:val="left"/>
      </w:pPr>
      <w:r>
        <w:pict w14:anchorId="50E0B017">
          <v:line id="_x0000_s2423" style="position:absolute;left:0;text-align:left;z-index:251744256;mso-position-horizontal-relative:page" from="136.05pt,20.1pt" to="459.2pt,20.1pt" strokecolor="#d1d3d4" strokeweight=".5pt">
            <w10:wrap anchorx="page"/>
          </v:line>
        </w:pict>
      </w:r>
      <w:r w:rsidR="00216117">
        <w:rPr>
          <w:color w:val="C5271C"/>
        </w:rPr>
        <w:t>Oddíl III.</w:t>
      </w:r>
      <w:r w:rsidR="00216117">
        <w:rPr>
          <w:color w:val="C5271C"/>
          <w:spacing w:val="1"/>
        </w:rPr>
        <w:t xml:space="preserve"> </w:t>
      </w:r>
      <w:r w:rsidR="00216117">
        <w:rPr>
          <w:color w:val="C5271C"/>
        </w:rPr>
        <w:t>Havarijní</w:t>
      </w:r>
      <w:r w:rsidR="00216117">
        <w:rPr>
          <w:color w:val="C5271C"/>
          <w:spacing w:val="1"/>
        </w:rPr>
        <w:t xml:space="preserve"> </w:t>
      </w:r>
      <w:r w:rsidR="00216117">
        <w:rPr>
          <w:color w:val="C5271C"/>
        </w:rPr>
        <w:t>pojištění</w:t>
      </w:r>
      <w:r w:rsidR="00216117">
        <w:rPr>
          <w:color w:val="C5271C"/>
        </w:rPr>
        <w:tab/>
        <w:t>24</w:t>
      </w:r>
    </w:p>
    <w:p w14:paraId="2969A0AF" w14:textId="77777777" w:rsidR="00F65BCA" w:rsidRDefault="00000000">
      <w:pPr>
        <w:pStyle w:val="Nadpis9"/>
        <w:tabs>
          <w:tab w:val="right" w:pos="8981"/>
        </w:tabs>
        <w:spacing w:before="171"/>
        <w:ind w:left="2581"/>
        <w:jc w:val="left"/>
      </w:pPr>
      <w:r>
        <w:pict w14:anchorId="56D03228">
          <v:line id="_x0000_s2422" style="position:absolute;left:0;text-align:left;z-index:251745280;mso-position-horizontal-relative:page" from="136.05pt,20.1pt" to="459.2pt,20.1pt" strokecolor="#d1d3d4" strokeweight=".5pt">
            <w10:wrap anchorx="page"/>
          </v:line>
        </w:pict>
      </w:r>
      <w:r w:rsidR="00216117">
        <w:rPr>
          <w:color w:val="C5271C"/>
          <w:w w:val="105"/>
        </w:rPr>
        <w:t xml:space="preserve">Oddíl </w:t>
      </w:r>
      <w:r w:rsidR="00216117">
        <w:rPr>
          <w:color w:val="C5271C"/>
          <w:spacing w:val="-8"/>
          <w:w w:val="105"/>
        </w:rPr>
        <w:t>IV.</w:t>
      </w:r>
      <w:r w:rsidR="00216117">
        <w:rPr>
          <w:color w:val="C5271C"/>
          <w:spacing w:val="-7"/>
          <w:w w:val="105"/>
        </w:rPr>
        <w:t xml:space="preserve"> </w:t>
      </w:r>
      <w:r w:rsidR="00216117">
        <w:rPr>
          <w:color w:val="C5271C"/>
          <w:w w:val="105"/>
        </w:rPr>
        <w:t>Doplňková</w:t>
      </w:r>
      <w:r w:rsidR="00216117">
        <w:rPr>
          <w:color w:val="C5271C"/>
          <w:spacing w:val="-3"/>
          <w:w w:val="105"/>
        </w:rPr>
        <w:t xml:space="preserve"> </w:t>
      </w:r>
      <w:r w:rsidR="00216117">
        <w:rPr>
          <w:color w:val="C5271C"/>
          <w:w w:val="105"/>
        </w:rPr>
        <w:t>pojištění</w:t>
      </w:r>
      <w:r w:rsidR="00216117">
        <w:rPr>
          <w:color w:val="C5271C"/>
          <w:w w:val="105"/>
        </w:rPr>
        <w:tab/>
        <w:t>24</w:t>
      </w:r>
    </w:p>
    <w:p w14:paraId="544623C1" w14:textId="77777777" w:rsidR="00F65BCA" w:rsidRDefault="00216117">
      <w:pPr>
        <w:tabs>
          <w:tab w:val="right" w:pos="8981"/>
        </w:tabs>
        <w:spacing w:before="222"/>
        <w:ind w:left="2581"/>
        <w:rPr>
          <w:sz w:val="16"/>
        </w:rPr>
      </w:pPr>
      <w:r>
        <w:rPr>
          <w:color w:val="231F20"/>
          <w:sz w:val="16"/>
        </w:rPr>
        <w:t>Pododdíl 1. Pojištění „Poškození</w:t>
      </w:r>
      <w:r>
        <w:rPr>
          <w:color w:val="231F20"/>
          <w:spacing w:val="-7"/>
          <w:sz w:val="16"/>
        </w:rPr>
        <w:t xml:space="preserve"> </w:t>
      </w:r>
      <w:r>
        <w:rPr>
          <w:color w:val="231F20"/>
          <w:sz w:val="16"/>
        </w:rPr>
        <w:t>všech</w:t>
      </w:r>
      <w:r>
        <w:rPr>
          <w:color w:val="231F20"/>
          <w:spacing w:val="-1"/>
          <w:sz w:val="16"/>
        </w:rPr>
        <w:t xml:space="preserve"> </w:t>
      </w:r>
      <w:r>
        <w:rPr>
          <w:color w:val="231F20"/>
          <w:sz w:val="16"/>
        </w:rPr>
        <w:t>skel“</w:t>
      </w:r>
      <w:r>
        <w:rPr>
          <w:color w:val="231F20"/>
          <w:sz w:val="16"/>
        </w:rPr>
        <w:tab/>
        <w:t>24</w:t>
      </w:r>
    </w:p>
    <w:p w14:paraId="21D67636" w14:textId="77777777" w:rsidR="00F65BCA" w:rsidRDefault="00216117">
      <w:pPr>
        <w:tabs>
          <w:tab w:val="right" w:pos="8981"/>
        </w:tabs>
        <w:spacing w:before="113"/>
        <w:ind w:left="2581"/>
        <w:rPr>
          <w:sz w:val="16"/>
        </w:rPr>
      </w:pPr>
      <w:r>
        <w:rPr>
          <w:color w:val="231F20"/>
          <w:sz w:val="16"/>
        </w:rPr>
        <w:t>Pododdíl 2. Pojištění „Půjčovné</w:t>
      </w:r>
      <w:r>
        <w:rPr>
          <w:color w:val="231F20"/>
          <w:spacing w:val="-10"/>
          <w:sz w:val="16"/>
        </w:rPr>
        <w:t xml:space="preserve"> </w:t>
      </w:r>
      <w:r>
        <w:rPr>
          <w:color w:val="231F20"/>
          <w:sz w:val="16"/>
        </w:rPr>
        <w:t>(náhradní</w:t>
      </w:r>
      <w:r>
        <w:rPr>
          <w:color w:val="231F20"/>
          <w:spacing w:val="-2"/>
          <w:sz w:val="16"/>
        </w:rPr>
        <w:t xml:space="preserve"> </w:t>
      </w:r>
      <w:r>
        <w:rPr>
          <w:color w:val="231F20"/>
          <w:sz w:val="16"/>
        </w:rPr>
        <w:t>vozidlo)“</w:t>
      </w:r>
      <w:r>
        <w:rPr>
          <w:color w:val="231F20"/>
          <w:sz w:val="16"/>
        </w:rPr>
        <w:tab/>
        <w:t>24</w:t>
      </w:r>
    </w:p>
    <w:p w14:paraId="3B81B9F4" w14:textId="77777777" w:rsidR="00F65BCA" w:rsidRDefault="00216117">
      <w:pPr>
        <w:tabs>
          <w:tab w:val="right" w:pos="8981"/>
        </w:tabs>
        <w:spacing w:before="112"/>
        <w:ind w:left="2581"/>
        <w:rPr>
          <w:sz w:val="16"/>
        </w:rPr>
      </w:pPr>
      <w:r>
        <w:rPr>
          <w:color w:val="231F20"/>
          <w:sz w:val="16"/>
        </w:rPr>
        <w:t>Pododdíl 3. Pojištění „Střet</w:t>
      </w:r>
      <w:r>
        <w:rPr>
          <w:color w:val="231F20"/>
          <w:spacing w:val="-6"/>
          <w:sz w:val="16"/>
        </w:rPr>
        <w:t xml:space="preserve"> </w:t>
      </w:r>
      <w:r>
        <w:rPr>
          <w:color w:val="231F20"/>
          <w:sz w:val="16"/>
        </w:rPr>
        <w:t>se</w:t>
      </w:r>
      <w:r>
        <w:rPr>
          <w:color w:val="231F20"/>
          <w:spacing w:val="-1"/>
          <w:sz w:val="16"/>
        </w:rPr>
        <w:t xml:space="preserve"> </w:t>
      </w:r>
      <w:r>
        <w:rPr>
          <w:color w:val="231F20"/>
          <w:sz w:val="16"/>
        </w:rPr>
        <w:t>zvířetem“</w:t>
      </w:r>
      <w:r>
        <w:rPr>
          <w:color w:val="231F20"/>
          <w:sz w:val="16"/>
        </w:rPr>
        <w:tab/>
        <w:t>25</w:t>
      </w:r>
    </w:p>
    <w:p w14:paraId="7AC7924A" w14:textId="77777777" w:rsidR="00F65BCA" w:rsidRDefault="00216117">
      <w:pPr>
        <w:tabs>
          <w:tab w:val="right" w:pos="8981"/>
        </w:tabs>
        <w:spacing w:before="113"/>
        <w:ind w:left="2581"/>
        <w:rPr>
          <w:sz w:val="16"/>
        </w:rPr>
      </w:pPr>
      <w:r>
        <w:rPr>
          <w:color w:val="231F20"/>
          <w:sz w:val="16"/>
        </w:rPr>
        <w:t>Pododdíl 4. Pojištění „Poškození</w:t>
      </w:r>
      <w:r>
        <w:rPr>
          <w:color w:val="231F20"/>
          <w:spacing w:val="-10"/>
          <w:sz w:val="16"/>
        </w:rPr>
        <w:t xml:space="preserve"> </w:t>
      </w:r>
      <w:r>
        <w:rPr>
          <w:color w:val="231F20"/>
          <w:sz w:val="16"/>
        </w:rPr>
        <w:t>vozidla</w:t>
      </w:r>
      <w:r>
        <w:rPr>
          <w:color w:val="231F20"/>
          <w:spacing w:val="-2"/>
          <w:sz w:val="16"/>
        </w:rPr>
        <w:t xml:space="preserve"> </w:t>
      </w:r>
      <w:r>
        <w:rPr>
          <w:color w:val="231F20"/>
          <w:sz w:val="16"/>
        </w:rPr>
        <w:t>zvířetem“</w:t>
      </w:r>
      <w:r>
        <w:rPr>
          <w:color w:val="231F20"/>
          <w:sz w:val="16"/>
        </w:rPr>
        <w:tab/>
        <w:t>25</w:t>
      </w:r>
    </w:p>
    <w:p w14:paraId="55441A1E" w14:textId="77777777" w:rsidR="00F65BCA" w:rsidRDefault="00216117">
      <w:pPr>
        <w:tabs>
          <w:tab w:val="right" w:pos="8981"/>
        </w:tabs>
        <w:spacing w:before="113"/>
        <w:ind w:left="2581"/>
        <w:rPr>
          <w:sz w:val="16"/>
        </w:rPr>
      </w:pPr>
      <w:r>
        <w:rPr>
          <w:color w:val="231F20"/>
          <w:sz w:val="16"/>
        </w:rPr>
        <w:t>Pododdíl 5. Pojištění „Činnost</w:t>
      </w:r>
      <w:r>
        <w:rPr>
          <w:color w:val="231F20"/>
          <w:spacing w:val="-7"/>
          <w:sz w:val="16"/>
        </w:rPr>
        <w:t xml:space="preserve"> </w:t>
      </w:r>
      <w:r>
        <w:rPr>
          <w:color w:val="231F20"/>
          <w:sz w:val="16"/>
        </w:rPr>
        <w:t>pracovního</w:t>
      </w:r>
      <w:r>
        <w:rPr>
          <w:color w:val="231F20"/>
          <w:spacing w:val="-1"/>
          <w:sz w:val="16"/>
        </w:rPr>
        <w:t xml:space="preserve"> </w:t>
      </w:r>
      <w:r>
        <w:rPr>
          <w:color w:val="231F20"/>
          <w:sz w:val="16"/>
        </w:rPr>
        <w:t>stroje“</w:t>
      </w:r>
      <w:r>
        <w:rPr>
          <w:color w:val="231F20"/>
          <w:sz w:val="16"/>
        </w:rPr>
        <w:tab/>
        <w:t>25</w:t>
      </w:r>
    </w:p>
    <w:p w14:paraId="30AAC6D8" w14:textId="77777777" w:rsidR="00F65BCA" w:rsidRDefault="00216117">
      <w:pPr>
        <w:tabs>
          <w:tab w:val="right" w:pos="8981"/>
        </w:tabs>
        <w:spacing w:before="113"/>
        <w:ind w:left="2581"/>
        <w:rPr>
          <w:sz w:val="16"/>
        </w:rPr>
      </w:pPr>
      <w:r>
        <w:rPr>
          <w:color w:val="231F20"/>
          <w:sz w:val="16"/>
        </w:rPr>
        <w:t>Pododdíl 6. Pojištění „Poškození nebo</w:t>
      </w:r>
      <w:r>
        <w:rPr>
          <w:color w:val="231F20"/>
          <w:spacing w:val="-15"/>
          <w:sz w:val="16"/>
        </w:rPr>
        <w:t xml:space="preserve"> </w:t>
      </w:r>
      <w:r>
        <w:rPr>
          <w:color w:val="231F20"/>
          <w:sz w:val="16"/>
        </w:rPr>
        <w:t>odcizení</w:t>
      </w:r>
      <w:r>
        <w:rPr>
          <w:color w:val="231F20"/>
          <w:spacing w:val="-3"/>
          <w:sz w:val="16"/>
        </w:rPr>
        <w:t xml:space="preserve"> </w:t>
      </w:r>
      <w:r>
        <w:rPr>
          <w:color w:val="231F20"/>
          <w:sz w:val="16"/>
        </w:rPr>
        <w:t>zavazadel“</w:t>
      </w:r>
      <w:r>
        <w:rPr>
          <w:color w:val="231F20"/>
          <w:sz w:val="16"/>
        </w:rPr>
        <w:tab/>
        <w:t>25</w:t>
      </w:r>
    </w:p>
    <w:p w14:paraId="229B0D0F" w14:textId="77777777" w:rsidR="00F65BCA" w:rsidRDefault="00216117">
      <w:pPr>
        <w:tabs>
          <w:tab w:val="right" w:pos="8981"/>
        </w:tabs>
        <w:spacing w:before="112"/>
        <w:ind w:left="2581"/>
        <w:rPr>
          <w:sz w:val="16"/>
        </w:rPr>
      </w:pPr>
      <w:r>
        <w:rPr>
          <w:color w:val="231F20"/>
          <w:sz w:val="16"/>
        </w:rPr>
        <w:t>Pododdíl 7. Pojištění</w:t>
      </w:r>
      <w:r>
        <w:rPr>
          <w:color w:val="231F20"/>
          <w:spacing w:val="-3"/>
          <w:sz w:val="16"/>
        </w:rPr>
        <w:t xml:space="preserve"> </w:t>
      </w:r>
      <w:r>
        <w:rPr>
          <w:color w:val="231F20"/>
          <w:sz w:val="16"/>
        </w:rPr>
        <w:t>„GAP</w:t>
      </w:r>
      <w:r>
        <w:rPr>
          <w:color w:val="231F20"/>
          <w:spacing w:val="-1"/>
          <w:sz w:val="16"/>
        </w:rPr>
        <w:t xml:space="preserve"> </w:t>
      </w:r>
      <w:r>
        <w:rPr>
          <w:color w:val="231F20"/>
          <w:sz w:val="16"/>
        </w:rPr>
        <w:t>Fleet“</w:t>
      </w:r>
      <w:r>
        <w:rPr>
          <w:color w:val="231F20"/>
          <w:sz w:val="16"/>
        </w:rPr>
        <w:tab/>
        <w:t>26</w:t>
      </w:r>
    </w:p>
    <w:p w14:paraId="3150C1F5" w14:textId="77777777" w:rsidR="00F65BCA" w:rsidRDefault="00216117">
      <w:pPr>
        <w:tabs>
          <w:tab w:val="right" w:pos="8981"/>
        </w:tabs>
        <w:spacing w:before="113"/>
        <w:ind w:left="2581"/>
        <w:rPr>
          <w:sz w:val="16"/>
        </w:rPr>
      </w:pPr>
      <w:r>
        <w:rPr>
          <w:color w:val="231F20"/>
          <w:sz w:val="16"/>
        </w:rPr>
        <w:t>Pododdíl 8.</w:t>
      </w:r>
      <w:r>
        <w:rPr>
          <w:color w:val="231F20"/>
          <w:spacing w:val="-2"/>
          <w:sz w:val="16"/>
        </w:rPr>
        <w:t xml:space="preserve"> </w:t>
      </w:r>
      <w:r>
        <w:rPr>
          <w:color w:val="231F20"/>
          <w:sz w:val="16"/>
        </w:rPr>
        <w:t>Pojištění</w:t>
      </w:r>
      <w:r>
        <w:rPr>
          <w:color w:val="231F20"/>
          <w:spacing w:val="-1"/>
          <w:sz w:val="16"/>
        </w:rPr>
        <w:t xml:space="preserve"> </w:t>
      </w:r>
      <w:r>
        <w:rPr>
          <w:color w:val="231F20"/>
          <w:sz w:val="16"/>
        </w:rPr>
        <w:t>„Živly“</w:t>
      </w:r>
      <w:r>
        <w:rPr>
          <w:color w:val="231F20"/>
          <w:sz w:val="16"/>
        </w:rPr>
        <w:tab/>
        <w:t>26</w:t>
      </w:r>
    </w:p>
    <w:p w14:paraId="022D8EC0" w14:textId="77777777" w:rsidR="00F65BCA" w:rsidRDefault="00216117">
      <w:pPr>
        <w:tabs>
          <w:tab w:val="right" w:pos="8981"/>
        </w:tabs>
        <w:spacing w:before="113"/>
        <w:ind w:left="2581"/>
        <w:rPr>
          <w:sz w:val="16"/>
        </w:rPr>
      </w:pPr>
      <w:r>
        <w:rPr>
          <w:color w:val="231F20"/>
          <w:sz w:val="16"/>
        </w:rPr>
        <w:t>Pododdíl 9. Pojištění „POV –</w:t>
      </w:r>
      <w:r>
        <w:rPr>
          <w:color w:val="231F20"/>
          <w:spacing w:val="-7"/>
          <w:sz w:val="16"/>
        </w:rPr>
        <w:t xml:space="preserve"> </w:t>
      </w:r>
      <w:r>
        <w:rPr>
          <w:color w:val="231F20"/>
          <w:sz w:val="16"/>
        </w:rPr>
        <w:t>limit</w:t>
      </w:r>
      <w:r>
        <w:rPr>
          <w:color w:val="231F20"/>
          <w:spacing w:val="-2"/>
          <w:sz w:val="16"/>
        </w:rPr>
        <w:t xml:space="preserve"> </w:t>
      </w:r>
      <w:r>
        <w:rPr>
          <w:color w:val="231F20"/>
          <w:sz w:val="16"/>
        </w:rPr>
        <w:t>TOP“</w:t>
      </w:r>
      <w:r>
        <w:rPr>
          <w:color w:val="231F20"/>
          <w:sz w:val="16"/>
        </w:rPr>
        <w:tab/>
        <w:t>27</w:t>
      </w:r>
    </w:p>
    <w:p w14:paraId="28CA1ED0" w14:textId="77777777" w:rsidR="00F65BCA" w:rsidRDefault="00216117">
      <w:pPr>
        <w:tabs>
          <w:tab w:val="right" w:pos="8981"/>
        </w:tabs>
        <w:spacing w:before="112"/>
        <w:ind w:left="2581"/>
        <w:rPr>
          <w:sz w:val="16"/>
        </w:rPr>
      </w:pPr>
      <w:r>
        <w:rPr>
          <w:color w:val="231F20"/>
          <w:sz w:val="16"/>
        </w:rPr>
        <w:t>Pododdíl 10.</w:t>
      </w:r>
      <w:r>
        <w:rPr>
          <w:color w:val="231F20"/>
          <w:spacing w:val="-2"/>
          <w:sz w:val="16"/>
        </w:rPr>
        <w:t xml:space="preserve"> </w:t>
      </w:r>
      <w:r>
        <w:rPr>
          <w:color w:val="231F20"/>
          <w:sz w:val="16"/>
        </w:rPr>
        <w:t>Pojištění</w:t>
      </w:r>
      <w:r>
        <w:rPr>
          <w:color w:val="231F20"/>
          <w:spacing w:val="-1"/>
          <w:sz w:val="16"/>
        </w:rPr>
        <w:t xml:space="preserve"> </w:t>
      </w:r>
      <w:r>
        <w:rPr>
          <w:color w:val="231F20"/>
          <w:sz w:val="16"/>
        </w:rPr>
        <w:t>Asistence</w:t>
      </w:r>
      <w:r>
        <w:rPr>
          <w:color w:val="231F20"/>
          <w:sz w:val="16"/>
        </w:rPr>
        <w:tab/>
        <w:t>27</w:t>
      </w:r>
    </w:p>
    <w:p w14:paraId="6D0CDAD8" w14:textId="77777777" w:rsidR="00F65BCA" w:rsidRDefault="00216117">
      <w:pPr>
        <w:tabs>
          <w:tab w:val="right" w:pos="8981"/>
        </w:tabs>
        <w:spacing w:before="113"/>
        <w:ind w:left="2581"/>
        <w:rPr>
          <w:sz w:val="16"/>
        </w:rPr>
      </w:pPr>
      <w:r>
        <w:rPr>
          <w:color w:val="231F20"/>
          <w:sz w:val="16"/>
        </w:rPr>
        <w:t>Pododdíl 11. Úrazové pojištění</w:t>
      </w:r>
      <w:r>
        <w:rPr>
          <w:color w:val="231F20"/>
          <w:spacing w:val="-8"/>
          <w:sz w:val="16"/>
        </w:rPr>
        <w:t xml:space="preserve"> </w:t>
      </w:r>
      <w:r>
        <w:rPr>
          <w:color w:val="231F20"/>
          <w:sz w:val="16"/>
        </w:rPr>
        <w:t>dopravovaných</w:t>
      </w:r>
      <w:r>
        <w:rPr>
          <w:color w:val="231F20"/>
          <w:spacing w:val="-1"/>
          <w:sz w:val="16"/>
        </w:rPr>
        <w:t xml:space="preserve"> </w:t>
      </w:r>
      <w:r>
        <w:rPr>
          <w:color w:val="231F20"/>
          <w:sz w:val="16"/>
        </w:rPr>
        <w:t>osob</w:t>
      </w:r>
      <w:r>
        <w:rPr>
          <w:color w:val="231F20"/>
          <w:sz w:val="16"/>
        </w:rPr>
        <w:tab/>
        <w:t>31</w:t>
      </w:r>
    </w:p>
    <w:p w14:paraId="213473AD" w14:textId="77777777" w:rsidR="00F65BCA" w:rsidRDefault="00216117">
      <w:pPr>
        <w:pStyle w:val="Nadpis9"/>
        <w:spacing w:before="232"/>
        <w:ind w:left="2581"/>
        <w:jc w:val="left"/>
      </w:pPr>
      <w:r>
        <w:rPr>
          <w:color w:val="C5271C"/>
          <w:w w:val="105"/>
        </w:rPr>
        <w:t>Oceňovací tabulky pro stanovení výše pojistného plnění</w:t>
      </w:r>
    </w:p>
    <w:p w14:paraId="74467A34" w14:textId="77777777" w:rsidR="00F65BCA" w:rsidRDefault="00216117">
      <w:pPr>
        <w:pStyle w:val="Nadpis9"/>
        <w:tabs>
          <w:tab w:val="right" w:pos="8981"/>
        </w:tabs>
        <w:spacing w:before="1" w:after="19"/>
        <w:ind w:left="2581"/>
        <w:jc w:val="left"/>
      </w:pPr>
      <w:r>
        <w:rPr>
          <w:color w:val="C5271C"/>
        </w:rPr>
        <w:t>z</w:t>
      </w:r>
      <w:r>
        <w:rPr>
          <w:color w:val="C5271C"/>
          <w:spacing w:val="3"/>
        </w:rPr>
        <w:t xml:space="preserve"> </w:t>
      </w:r>
      <w:r>
        <w:rPr>
          <w:color w:val="C5271C"/>
        </w:rPr>
        <w:t>úrazového</w:t>
      </w:r>
      <w:r>
        <w:rPr>
          <w:color w:val="C5271C"/>
          <w:spacing w:val="4"/>
        </w:rPr>
        <w:t xml:space="preserve"> </w:t>
      </w:r>
      <w:r>
        <w:rPr>
          <w:color w:val="C5271C"/>
        </w:rPr>
        <w:t>pojištění</w:t>
      </w:r>
      <w:r>
        <w:rPr>
          <w:color w:val="C5271C"/>
        </w:rPr>
        <w:tab/>
        <w:t>35</w:t>
      </w:r>
    </w:p>
    <w:p w14:paraId="4ECB0C3C" w14:textId="77777777" w:rsidR="00F65BCA" w:rsidRDefault="00000000">
      <w:pPr>
        <w:pStyle w:val="Zkladntext"/>
        <w:spacing w:line="20" w:lineRule="exact"/>
        <w:ind w:left="2576"/>
        <w:rPr>
          <w:sz w:val="2"/>
        </w:rPr>
      </w:pPr>
      <w:r>
        <w:rPr>
          <w:sz w:val="2"/>
        </w:rPr>
      </w:r>
      <w:r>
        <w:rPr>
          <w:sz w:val="2"/>
        </w:rPr>
        <w:pict w14:anchorId="69A9C514">
          <v:group id="_x0000_s2420" style="width:323.15pt;height:.5pt;mso-position-horizontal-relative:char;mso-position-vertical-relative:line" coordsize="6463,10">
            <v:line id="_x0000_s2421" style="position:absolute" from="0,5" to="6463,5" strokecolor="#d1d3d4" strokeweight=".5pt"/>
            <w10:anchorlock/>
          </v:group>
        </w:pict>
      </w:r>
    </w:p>
    <w:p w14:paraId="5EA130A3" w14:textId="77777777" w:rsidR="00F65BCA" w:rsidRDefault="00F65BCA">
      <w:pPr>
        <w:pStyle w:val="Zkladntext"/>
        <w:rPr>
          <w:sz w:val="20"/>
        </w:rPr>
      </w:pPr>
    </w:p>
    <w:p w14:paraId="68D3CB0F" w14:textId="77777777" w:rsidR="00F65BCA" w:rsidRDefault="00F65BCA">
      <w:pPr>
        <w:pStyle w:val="Zkladntext"/>
        <w:rPr>
          <w:sz w:val="20"/>
        </w:rPr>
      </w:pPr>
    </w:p>
    <w:p w14:paraId="2021E33B" w14:textId="77777777" w:rsidR="00F65BCA" w:rsidRDefault="00F65BCA">
      <w:pPr>
        <w:pStyle w:val="Zkladntext"/>
        <w:rPr>
          <w:sz w:val="20"/>
        </w:rPr>
      </w:pPr>
    </w:p>
    <w:p w14:paraId="4F170DAC" w14:textId="77777777" w:rsidR="00F65BCA" w:rsidRDefault="00F65BCA">
      <w:pPr>
        <w:pStyle w:val="Zkladntext"/>
        <w:rPr>
          <w:sz w:val="20"/>
        </w:rPr>
      </w:pPr>
    </w:p>
    <w:p w14:paraId="42746503" w14:textId="77777777" w:rsidR="00F65BCA" w:rsidRDefault="00F65BCA">
      <w:pPr>
        <w:pStyle w:val="Zkladntext"/>
        <w:rPr>
          <w:sz w:val="20"/>
        </w:rPr>
      </w:pPr>
    </w:p>
    <w:p w14:paraId="065402A7" w14:textId="77777777" w:rsidR="00F65BCA" w:rsidRDefault="00F65BCA">
      <w:pPr>
        <w:pStyle w:val="Zkladntext"/>
        <w:rPr>
          <w:sz w:val="20"/>
        </w:rPr>
      </w:pPr>
    </w:p>
    <w:p w14:paraId="5FF67CFC" w14:textId="77777777" w:rsidR="00F65BCA" w:rsidRDefault="00F65BCA">
      <w:pPr>
        <w:pStyle w:val="Zkladntext"/>
        <w:rPr>
          <w:sz w:val="20"/>
        </w:rPr>
      </w:pPr>
    </w:p>
    <w:p w14:paraId="0E25B1DB" w14:textId="77777777" w:rsidR="00F65BCA" w:rsidRDefault="00F65BCA">
      <w:pPr>
        <w:pStyle w:val="Zkladntext"/>
        <w:rPr>
          <w:sz w:val="20"/>
        </w:rPr>
      </w:pPr>
    </w:p>
    <w:p w14:paraId="5724DE06" w14:textId="77777777" w:rsidR="00F65BCA" w:rsidRDefault="00F65BCA">
      <w:pPr>
        <w:pStyle w:val="Zkladntext"/>
        <w:rPr>
          <w:sz w:val="20"/>
        </w:rPr>
      </w:pPr>
    </w:p>
    <w:p w14:paraId="3C666040" w14:textId="77777777" w:rsidR="00F65BCA" w:rsidRDefault="00F65BCA">
      <w:pPr>
        <w:pStyle w:val="Zkladntext"/>
        <w:rPr>
          <w:sz w:val="20"/>
        </w:rPr>
      </w:pPr>
    </w:p>
    <w:p w14:paraId="3E874972" w14:textId="77777777" w:rsidR="00F65BCA" w:rsidRDefault="00F65BCA">
      <w:pPr>
        <w:pStyle w:val="Zkladntext"/>
        <w:rPr>
          <w:sz w:val="20"/>
        </w:rPr>
      </w:pPr>
    </w:p>
    <w:p w14:paraId="67197E37" w14:textId="77777777" w:rsidR="00F65BCA" w:rsidRDefault="00F65BCA">
      <w:pPr>
        <w:pStyle w:val="Zkladntext"/>
        <w:rPr>
          <w:sz w:val="20"/>
        </w:rPr>
      </w:pPr>
    </w:p>
    <w:p w14:paraId="580C0215" w14:textId="77777777" w:rsidR="00F65BCA" w:rsidRDefault="00F65BCA">
      <w:pPr>
        <w:pStyle w:val="Zkladntext"/>
        <w:rPr>
          <w:sz w:val="20"/>
        </w:rPr>
      </w:pPr>
    </w:p>
    <w:p w14:paraId="5FB8D45E" w14:textId="77777777" w:rsidR="00F65BCA" w:rsidRDefault="00F65BCA">
      <w:pPr>
        <w:pStyle w:val="Zkladntext"/>
        <w:rPr>
          <w:sz w:val="20"/>
        </w:rPr>
      </w:pPr>
    </w:p>
    <w:p w14:paraId="50B7F3D6" w14:textId="77777777" w:rsidR="00F65BCA" w:rsidRDefault="00F65BCA">
      <w:pPr>
        <w:pStyle w:val="Zkladntext"/>
        <w:rPr>
          <w:sz w:val="20"/>
        </w:rPr>
      </w:pPr>
    </w:p>
    <w:p w14:paraId="3C1242D7" w14:textId="77777777" w:rsidR="00F65BCA" w:rsidRDefault="00F65BCA">
      <w:pPr>
        <w:pStyle w:val="Zkladntext"/>
        <w:rPr>
          <w:sz w:val="20"/>
        </w:rPr>
      </w:pPr>
    </w:p>
    <w:p w14:paraId="239B13BD" w14:textId="77777777" w:rsidR="00F65BCA" w:rsidRDefault="00F65BCA">
      <w:pPr>
        <w:pStyle w:val="Zkladntext"/>
        <w:rPr>
          <w:sz w:val="20"/>
        </w:rPr>
      </w:pPr>
    </w:p>
    <w:p w14:paraId="0F510724" w14:textId="77777777" w:rsidR="00F65BCA" w:rsidRDefault="00F65BCA">
      <w:pPr>
        <w:pStyle w:val="Zkladntext"/>
        <w:rPr>
          <w:sz w:val="20"/>
        </w:rPr>
      </w:pPr>
    </w:p>
    <w:p w14:paraId="328B9C83" w14:textId="77777777" w:rsidR="00F65BCA" w:rsidRDefault="00F65BCA">
      <w:pPr>
        <w:pStyle w:val="Zkladntext"/>
        <w:rPr>
          <w:sz w:val="20"/>
        </w:rPr>
      </w:pPr>
    </w:p>
    <w:p w14:paraId="31001C6A" w14:textId="77777777" w:rsidR="00F65BCA" w:rsidRDefault="00F65BCA">
      <w:pPr>
        <w:pStyle w:val="Zkladntext"/>
        <w:rPr>
          <w:sz w:val="20"/>
        </w:rPr>
      </w:pPr>
    </w:p>
    <w:p w14:paraId="6C4EEBA4" w14:textId="77777777" w:rsidR="00F65BCA" w:rsidRDefault="00F65BCA">
      <w:pPr>
        <w:pStyle w:val="Zkladntext"/>
        <w:rPr>
          <w:sz w:val="20"/>
        </w:rPr>
      </w:pPr>
    </w:p>
    <w:p w14:paraId="2AB2EA51" w14:textId="77777777" w:rsidR="00F65BCA" w:rsidRDefault="00F65BCA">
      <w:pPr>
        <w:pStyle w:val="Zkladntext"/>
        <w:rPr>
          <w:sz w:val="20"/>
        </w:rPr>
      </w:pPr>
    </w:p>
    <w:p w14:paraId="2CD3E318" w14:textId="77777777" w:rsidR="00F65BCA" w:rsidRDefault="00F65BCA">
      <w:pPr>
        <w:pStyle w:val="Zkladntext"/>
        <w:rPr>
          <w:sz w:val="20"/>
        </w:rPr>
      </w:pPr>
    </w:p>
    <w:p w14:paraId="57BBD600" w14:textId="77777777" w:rsidR="00F65BCA" w:rsidRDefault="00F65BCA">
      <w:pPr>
        <w:pStyle w:val="Zkladntext"/>
        <w:rPr>
          <w:sz w:val="20"/>
        </w:rPr>
      </w:pPr>
    </w:p>
    <w:p w14:paraId="5C0DA660" w14:textId="77777777" w:rsidR="00F65BCA" w:rsidRDefault="00F65BCA">
      <w:pPr>
        <w:pStyle w:val="Zkladntext"/>
        <w:rPr>
          <w:sz w:val="20"/>
        </w:rPr>
      </w:pPr>
    </w:p>
    <w:p w14:paraId="12B48BB1" w14:textId="77777777" w:rsidR="00F65BCA" w:rsidRDefault="00F65BCA">
      <w:pPr>
        <w:pStyle w:val="Zkladntext"/>
        <w:rPr>
          <w:sz w:val="20"/>
        </w:rPr>
      </w:pPr>
    </w:p>
    <w:p w14:paraId="335FBE79" w14:textId="77777777" w:rsidR="00F65BCA" w:rsidRDefault="00F65BCA">
      <w:pPr>
        <w:pStyle w:val="Zkladntext"/>
        <w:spacing w:before="3"/>
        <w:rPr>
          <w:sz w:val="28"/>
        </w:rPr>
      </w:pPr>
    </w:p>
    <w:p w14:paraId="7B1AF222" w14:textId="77777777" w:rsidR="00F65BCA" w:rsidRDefault="00000000">
      <w:pPr>
        <w:tabs>
          <w:tab w:val="left" w:pos="9351"/>
        </w:tabs>
        <w:ind w:left="653"/>
        <w:rPr>
          <w:sz w:val="14"/>
        </w:rPr>
      </w:pPr>
      <w:r>
        <w:pict w14:anchorId="30FA79D7">
          <v:line id="_x0000_s2419" style="position:absolute;left:0;text-align:left;z-index:-299493376;mso-position-horizontal-relative:page" from="0,-13.4pt" to="595.3pt,-13.4pt" strokecolor="#c5271c" strokeweight="1pt">
            <w10:wrap anchorx="page"/>
          </v:line>
        </w:pict>
      </w:r>
      <w:r w:rsidR="00216117">
        <w:rPr>
          <w:color w:val="231F20"/>
          <w:sz w:val="16"/>
        </w:rPr>
        <w:t>2</w:t>
      </w:r>
      <w:r w:rsidR="00216117">
        <w:rPr>
          <w:color w:val="231F20"/>
          <w:spacing w:val="42"/>
          <w:sz w:val="16"/>
        </w:rPr>
        <w:t xml:space="preserve"> </w:t>
      </w:r>
      <w:r w:rsidR="00216117">
        <w:rPr>
          <w:color w:val="C5271C"/>
          <w:sz w:val="20"/>
        </w:rPr>
        <w:t>|</w:t>
      </w:r>
      <w:r w:rsidR="00216117">
        <w:rPr>
          <w:color w:val="C5271C"/>
          <w:spacing w:val="53"/>
          <w:sz w:val="20"/>
        </w:rPr>
        <w:t xml:space="preserve"> </w:t>
      </w:r>
      <w:r w:rsidR="00216117">
        <w:rPr>
          <w:color w:val="231F20"/>
          <w:sz w:val="16"/>
        </w:rPr>
        <w:t>Obsah</w:t>
      </w:r>
      <w:r w:rsidR="00216117">
        <w:rPr>
          <w:color w:val="231F20"/>
          <w:sz w:val="16"/>
        </w:rPr>
        <w:tab/>
      </w:r>
      <w:r w:rsidR="00216117">
        <w:rPr>
          <w:color w:val="231F20"/>
          <w:sz w:val="14"/>
        </w:rPr>
        <w:t>6.20. 012 05.2025 v04</w:t>
      </w:r>
    </w:p>
    <w:p w14:paraId="53C7FBCF" w14:textId="77777777" w:rsidR="00F65BCA" w:rsidRDefault="00F65BCA">
      <w:pPr>
        <w:rPr>
          <w:sz w:val="14"/>
        </w:rPr>
        <w:sectPr w:rsidR="00F65BCA">
          <w:pgSz w:w="11910" w:h="16840"/>
          <w:pgMar w:top="1040" w:right="140" w:bottom="0" w:left="140" w:header="708" w:footer="708" w:gutter="0"/>
          <w:cols w:space="708"/>
        </w:sectPr>
      </w:pPr>
    </w:p>
    <w:p w14:paraId="3A141EF9" w14:textId="77777777" w:rsidR="00F65BCA" w:rsidRDefault="00F65BCA">
      <w:pPr>
        <w:pStyle w:val="Zkladntext"/>
        <w:spacing w:before="10"/>
      </w:pPr>
    </w:p>
    <w:p w14:paraId="30F50A14" w14:textId="77777777" w:rsidR="00F65BCA" w:rsidRDefault="00000000">
      <w:pPr>
        <w:spacing w:before="119"/>
        <w:ind w:left="951"/>
        <w:rPr>
          <w:b/>
          <w:sz w:val="50"/>
        </w:rPr>
      </w:pPr>
      <w:r>
        <w:pict w14:anchorId="14210453">
          <v:shape id="_x0000_s2418" style="position:absolute;left:0;text-align:left;margin-left:34pt;margin-top:-9pt;width:527.25pt;height:189.95pt;z-index:-299483136;mso-position-horizontal-relative:page" coordorigin="680,-180" coordsize="10545,3799" path="m10985,-180r-10065,l844,-168r-65,34l727,-82r-34,66l680,60r,3558l11225,3618r,-3558l11213,-16r-34,-66l11127,-134r-66,-34l10985,-180xe" fillcolor="#007694" stroked="f">
            <v:path arrowok="t"/>
            <w10:wrap anchorx="page"/>
          </v:shape>
        </w:pict>
      </w:r>
      <w:r w:rsidR="00216117">
        <w:rPr>
          <w:b/>
          <w:color w:val="FFFFFF"/>
          <w:sz w:val="50"/>
        </w:rPr>
        <w:t>Sdružené pojištění vozidel</w:t>
      </w:r>
    </w:p>
    <w:p w14:paraId="43907004" w14:textId="77777777" w:rsidR="00F65BCA" w:rsidRDefault="00216117">
      <w:pPr>
        <w:spacing w:before="282"/>
        <w:ind w:left="951"/>
        <w:rPr>
          <w:sz w:val="40"/>
        </w:rPr>
      </w:pPr>
      <w:r>
        <w:rPr>
          <w:color w:val="FFFFFF"/>
          <w:sz w:val="40"/>
        </w:rPr>
        <w:t>Informační dokument o pojistném produktu</w:t>
      </w:r>
    </w:p>
    <w:p w14:paraId="17261FA0" w14:textId="77777777" w:rsidR="00F65BCA" w:rsidRDefault="00F65BCA">
      <w:pPr>
        <w:pStyle w:val="Zkladntext"/>
        <w:rPr>
          <w:sz w:val="20"/>
        </w:rPr>
      </w:pPr>
    </w:p>
    <w:p w14:paraId="2C97EC42" w14:textId="77777777" w:rsidR="00F65BCA" w:rsidRDefault="00F65BCA">
      <w:pPr>
        <w:pStyle w:val="Zkladntext"/>
        <w:rPr>
          <w:sz w:val="20"/>
        </w:rPr>
      </w:pPr>
    </w:p>
    <w:p w14:paraId="5B4F5D1E" w14:textId="77777777" w:rsidR="00F65BCA" w:rsidRDefault="00F65BCA">
      <w:pPr>
        <w:rPr>
          <w:sz w:val="20"/>
        </w:rPr>
        <w:sectPr w:rsidR="00F65BCA">
          <w:pgSz w:w="11910" w:h="16840"/>
          <w:pgMar w:top="660" w:right="140" w:bottom="0" w:left="140" w:header="708" w:footer="708" w:gutter="0"/>
          <w:cols w:space="708"/>
        </w:sectPr>
      </w:pPr>
    </w:p>
    <w:p w14:paraId="0EB42A22" w14:textId="77777777" w:rsidR="00F65BCA" w:rsidRDefault="00F65BCA">
      <w:pPr>
        <w:pStyle w:val="Zkladntext"/>
        <w:spacing w:before="7"/>
        <w:rPr>
          <w:sz w:val="23"/>
        </w:rPr>
      </w:pPr>
    </w:p>
    <w:p w14:paraId="30C112D9" w14:textId="77777777" w:rsidR="00F65BCA" w:rsidRDefault="00216117">
      <w:pPr>
        <w:ind w:left="951"/>
        <w:rPr>
          <w:b/>
          <w:sz w:val="23"/>
        </w:rPr>
      </w:pPr>
      <w:r>
        <w:rPr>
          <w:b/>
          <w:color w:val="FFFFFF"/>
          <w:sz w:val="23"/>
        </w:rPr>
        <w:t>Společnost:</w:t>
      </w:r>
    </w:p>
    <w:p w14:paraId="79FCE705" w14:textId="77777777" w:rsidR="00F65BCA" w:rsidRDefault="00216117">
      <w:pPr>
        <w:spacing w:before="16" w:line="508" w:lineRule="auto"/>
        <w:ind w:left="951" w:right="31"/>
        <w:rPr>
          <w:sz w:val="23"/>
        </w:rPr>
      </w:pPr>
      <w:r>
        <w:rPr>
          <w:color w:val="FFFFFF"/>
          <w:sz w:val="23"/>
        </w:rPr>
        <w:t>Generali Česká pojišťovna a.s. Česká republika</w:t>
      </w:r>
    </w:p>
    <w:p w14:paraId="7637A300" w14:textId="77777777" w:rsidR="00F65BCA" w:rsidRDefault="00216117">
      <w:pPr>
        <w:pStyle w:val="Zkladntext"/>
        <w:spacing w:before="7"/>
        <w:rPr>
          <w:sz w:val="23"/>
        </w:rPr>
      </w:pPr>
      <w:r>
        <w:br w:type="column"/>
      </w:r>
    </w:p>
    <w:p w14:paraId="4F751E53" w14:textId="77777777" w:rsidR="00F65BCA" w:rsidRDefault="00216117">
      <w:pPr>
        <w:spacing w:line="254" w:lineRule="auto"/>
        <w:ind w:left="951" w:right="3738"/>
        <w:rPr>
          <w:sz w:val="23"/>
        </w:rPr>
      </w:pPr>
      <w:r>
        <w:rPr>
          <w:b/>
          <w:color w:val="FFFFFF"/>
          <w:sz w:val="23"/>
        </w:rPr>
        <w:t xml:space="preserve">Produkt: </w:t>
      </w:r>
      <w:r>
        <w:rPr>
          <w:color w:val="FFFFFF"/>
          <w:sz w:val="23"/>
        </w:rPr>
        <w:t>Povinné ručení Havarijní</w:t>
      </w:r>
      <w:r>
        <w:rPr>
          <w:color w:val="FFFFFF"/>
          <w:spacing w:val="-15"/>
          <w:sz w:val="23"/>
        </w:rPr>
        <w:t xml:space="preserve"> </w:t>
      </w:r>
      <w:r>
        <w:rPr>
          <w:color w:val="FFFFFF"/>
          <w:sz w:val="23"/>
        </w:rPr>
        <w:t>pojištění</w:t>
      </w:r>
    </w:p>
    <w:p w14:paraId="5B194292" w14:textId="77777777" w:rsidR="00F65BCA" w:rsidRDefault="00216117">
      <w:pPr>
        <w:spacing w:line="263" w:lineRule="exact"/>
        <w:ind w:left="951"/>
        <w:rPr>
          <w:sz w:val="23"/>
        </w:rPr>
      </w:pPr>
      <w:r>
        <w:rPr>
          <w:color w:val="FFFFFF"/>
          <w:sz w:val="23"/>
        </w:rPr>
        <w:t>Doplňková pojištění</w:t>
      </w:r>
    </w:p>
    <w:p w14:paraId="731BD4DF" w14:textId="77777777" w:rsidR="00F65BCA" w:rsidRDefault="00F65BCA">
      <w:pPr>
        <w:spacing w:line="263" w:lineRule="exact"/>
        <w:rPr>
          <w:sz w:val="23"/>
        </w:rPr>
        <w:sectPr w:rsidR="00F65BCA">
          <w:type w:val="continuous"/>
          <w:pgSz w:w="11910" w:h="16840"/>
          <w:pgMar w:top="840" w:right="140" w:bottom="280" w:left="140" w:header="708" w:footer="708" w:gutter="0"/>
          <w:cols w:num="2" w:space="708" w:equalWidth="0">
            <w:col w:w="4144" w:space="964"/>
            <w:col w:w="6522"/>
          </w:cols>
        </w:sectPr>
      </w:pPr>
    </w:p>
    <w:p w14:paraId="0DC25631" w14:textId="77777777" w:rsidR="00F65BCA" w:rsidRDefault="00216117">
      <w:pPr>
        <w:pStyle w:val="Nadpis9"/>
        <w:spacing w:before="158" w:line="232" w:lineRule="auto"/>
        <w:ind w:left="540" w:right="537"/>
      </w:pPr>
      <w:r>
        <w:rPr>
          <w:color w:val="231F20"/>
        </w:rPr>
        <w:t>Tento dokument (IPIDPMV-F-5/2025) poskytuje pouze zjednodušený stručný přehled základních vlastností pojištění. Úplné informa- ce o produktu najdete v předsmluvních informacích, pojistných podmínkách a pojistné smlouvě, kde je uveden i konkrétní rozsah pojištění, výluk a omezení (ne všechna v tomto dokumentu uvedená pojištění musí být v pojistné smlouvě zároveň sjednána).</w:t>
      </w:r>
    </w:p>
    <w:p w14:paraId="73714DEB" w14:textId="77777777" w:rsidR="00F65BCA" w:rsidRDefault="00216117">
      <w:pPr>
        <w:spacing w:before="116"/>
        <w:ind w:left="540"/>
        <w:jc w:val="both"/>
        <w:rPr>
          <w:b/>
          <w:sz w:val="23"/>
        </w:rPr>
      </w:pPr>
      <w:r>
        <w:rPr>
          <w:b/>
          <w:color w:val="231F20"/>
          <w:sz w:val="23"/>
        </w:rPr>
        <w:t>O jaký druh pojištění se jedná?</w:t>
      </w:r>
    </w:p>
    <w:p w14:paraId="5CC73272" w14:textId="77777777" w:rsidR="00F65BCA" w:rsidRDefault="00000000">
      <w:pPr>
        <w:pStyle w:val="Nadpis9"/>
        <w:spacing w:before="44" w:line="232" w:lineRule="auto"/>
        <w:ind w:left="540" w:right="538"/>
      </w:pPr>
      <w:r>
        <w:pict w14:anchorId="51AFA81D">
          <v:group id="_x0000_s2405" style="position:absolute;left:0;text-align:left;margin-left:303.3pt;margin-top:27.6pt;width:258pt;height:205.55pt;z-index:251749376;mso-position-horizontal-relative:page" coordorigin="6066,552" coordsize="5160,4111">
            <v:shape id="_x0000_s2417" style="position:absolute;left:6066;top:552;width:5160;height:4111" coordorigin="6066,552" coordsize="5160,4111" path="m11225,552r-4479,l6066,552r,4110l6746,4662r4479,l11225,552e" fillcolor="#e4e9ec" stroked="f">
              <v:path arrowok="t"/>
            </v:shape>
            <v:rect id="_x0000_s2416" style="position:absolute;left:6236;top:662;width:511;height:511" fillcolor="#ed1c24" stroked="f"/>
            <v:shape id="_x0000_s2415" style="position:absolute;left:6290;top:731;width:403;height:347" coordorigin="6290,731" coordsize="403,347" path="m6491,731r-201,346l6692,1077,6491,731xe" stroked="f">
              <v:path arrowok="t"/>
            </v:shape>
            <v:shape id="_x0000_s2414" type="#_x0000_t75" style="position:absolute;left:6399;top:868;width:170;height:171">
              <v:imagedata r:id="rId16" o:title=""/>
            </v:shape>
            <v:shape id="_x0000_s2413" type="#_x0000_t75" style="position:absolute;left:6859;top:1178;width:138;height:139">
              <v:imagedata r:id="rId17" o:title=""/>
            </v:shape>
            <v:shape id="_x0000_s2412" type="#_x0000_t75" style="position:absolute;left:6859;top:1923;width:138;height:139">
              <v:imagedata r:id="rId18" o:title=""/>
            </v:shape>
            <v:shape id="_x0000_s2411" type="#_x0000_t75" style="position:absolute;left:6859;top:2267;width:138;height:139">
              <v:imagedata r:id="rId17" o:title=""/>
            </v:shape>
            <v:shape id="_x0000_s2410" type="#_x0000_t75" style="position:absolute;left:6859;top:2840;width:138;height:139">
              <v:imagedata r:id="rId18" o:title=""/>
            </v:shape>
            <v:shape id="_x0000_s2409" type="#_x0000_t75" style="position:absolute;left:6859;top:3012;width:138;height:139">
              <v:imagedata r:id="rId18" o:title=""/>
            </v:shape>
            <v:shape id="_x0000_s2408" type="#_x0000_t75" style="position:absolute;left:6859;top:3584;width:138;height:139">
              <v:imagedata r:id="rId17" o:title=""/>
            </v:shape>
            <v:shape id="_x0000_s2407" type="#_x0000_t75" style="position:absolute;left:6859;top:3756;width:138;height:139">
              <v:imagedata r:id="rId17" o:title=""/>
            </v:shape>
            <v:shape id="_x0000_s2406" type="#_x0000_t202" style="position:absolute;left:6066;top:552;width:5160;height:4111" filled="f" stroked="f">
              <v:textbox inset="0,0,0,0">
                <w:txbxContent>
                  <w:p w14:paraId="74DCE17E" w14:textId="77777777" w:rsidR="00F65BCA" w:rsidRDefault="00216117">
                    <w:pPr>
                      <w:spacing w:before="120"/>
                      <w:ind w:left="793"/>
                      <w:rPr>
                        <w:b/>
                        <w:sz w:val="23"/>
                      </w:rPr>
                    </w:pPr>
                    <w:r>
                      <w:rPr>
                        <w:b/>
                        <w:color w:val="231F20"/>
                        <w:sz w:val="23"/>
                      </w:rPr>
                      <w:t>Na co se pojištění nevztahuje?</w:t>
                    </w:r>
                  </w:p>
                  <w:p w14:paraId="58C386B3" w14:textId="77777777" w:rsidR="00F65BCA" w:rsidRDefault="00216117">
                    <w:pPr>
                      <w:spacing w:before="58" w:line="178" w:lineRule="exact"/>
                      <w:ind w:left="793"/>
                      <w:rPr>
                        <w:b/>
                        <w:sz w:val="16"/>
                      </w:rPr>
                    </w:pPr>
                    <w:r>
                      <w:rPr>
                        <w:b/>
                        <w:color w:val="231F20"/>
                        <w:sz w:val="16"/>
                      </w:rPr>
                      <w:t>Povinné ručení</w:t>
                    </w:r>
                  </w:p>
                  <w:p w14:paraId="60135878" w14:textId="77777777" w:rsidR="00F65BCA" w:rsidRDefault="00216117">
                    <w:pPr>
                      <w:spacing w:line="172" w:lineRule="exact"/>
                      <w:ind w:left="931"/>
                      <w:rPr>
                        <w:sz w:val="16"/>
                      </w:rPr>
                    </w:pPr>
                    <w:r>
                      <w:rPr>
                        <w:color w:val="231F20"/>
                        <w:sz w:val="16"/>
                      </w:rPr>
                      <w:t xml:space="preserve">  Případy, na které se pojištění nevztahuje (výluky</w:t>
                    </w:r>
                  </w:p>
                  <w:p w14:paraId="6135CC75" w14:textId="77777777" w:rsidR="00F65BCA" w:rsidRDefault="00216117">
                    <w:pPr>
                      <w:spacing w:before="4" w:line="223" w:lineRule="auto"/>
                      <w:ind w:left="1020" w:right="406"/>
                      <w:rPr>
                        <w:sz w:val="16"/>
                      </w:rPr>
                    </w:pPr>
                    <w:r>
                      <w:rPr>
                        <w:color w:val="231F20"/>
                        <w:sz w:val="16"/>
                      </w:rPr>
                      <w:t>z pojištění) upravuje zákon o pojištění odpovědnosti z provozu vozidla</w:t>
                    </w:r>
                  </w:p>
                  <w:p w14:paraId="67F18EAD" w14:textId="77777777" w:rsidR="00F65BCA" w:rsidRDefault="00216117">
                    <w:pPr>
                      <w:spacing w:before="48" w:line="178" w:lineRule="exact"/>
                      <w:ind w:left="793"/>
                      <w:rPr>
                        <w:b/>
                        <w:sz w:val="16"/>
                      </w:rPr>
                    </w:pPr>
                    <w:r>
                      <w:rPr>
                        <w:b/>
                        <w:color w:val="231F20"/>
                        <w:sz w:val="16"/>
                      </w:rPr>
                      <w:t>Havarijní pojištění</w:t>
                    </w:r>
                  </w:p>
                  <w:p w14:paraId="38FB6B73" w14:textId="77777777" w:rsidR="00F65BCA" w:rsidRDefault="00216117">
                    <w:pPr>
                      <w:spacing w:before="5" w:line="223" w:lineRule="auto"/>
                      <w:ind w:left="1020" w:right="406" w:hanging="89"/>
                      <w:rPr>
                        <w:sz w:val="16"/>
                      </w:rPr>
                    </w:pPr>
                    <w:r>
                      <w:rPr>
                        <w:color w:val="231F20"/>
                        <w:sz w:val="16"/>
                      </w:rPr>
                      <w:t xml:space="preserve">  škoda vzniklá nesprávnou obsluhou nebo údržbou vozidla</w:t>
                    </w:r>
                  </w:p>
                  <w:p w14:paraId="2055E422" w14:textId="77777777" w:rsidR="00F65BCA" w:rsidRDefault="00216117">
                    <w:pPr>
                      <w:spacing w:before="2" w:line="223" w:lineRule="auto"/>
                      <w:ind w:left="1020" w:hanging="89"/>
                      <w:rPr>
                        <w:sz w:val="16"/>
                      </w:rPr>
                    </w:pPr>
                    <w:r>
                      <w:rPr>
                        <w:color w:val="231F20"/>
                        <w:sz w:val="16"/>
                      </w:rPr>
                      <w:t xml:space="preserve">  škoda vzniklá při provozu vozidla, které nemělo schválenou technickou způsobilost</w:t>
                    </w:r>
                  </w:p>
                  <w:p w14:paraId="1A1DBF86" w14:textId="77777777" w:rsidR="00F65BCA" w:rsidRDefault="00216117">
                    <w:pPr>
                      <w:spacing w:before="48" w:line="178" w:lineRule="exact"/>
                      <w:ind w:left="793"/>
                      <w:rPr>
                        <w:b/>
                        <w:sz w:val="16"/>
                      </w:rPr>
                    </w:pPr>
                    <w:r>
                      <w:rPr>
                        <w:b/>
                        <w:color w:val="231F20"/>
                        <w:sz w:val="16"/>
                      </w:rPr>
                      <w:t>Doplňkové pojištění asistence</w:t>
                    </w:r>
                  </w:p>
                  <w:p w14:paraId="024942FD" w14:textId="77777777" w:rsidR="00F65BCA" w:rsidRDefault="00216117">
                    <w:pPr>
                      <w:spacing w:line="172" w:lineRule="exact"/>
                      <w:ind w:left="931"/>
                      <w:rPr>
                        <w:sz w:val="16"/>
                      </w:rPr>
                    </w:pPr>
                    <w:r>
                      <w:rPr>
                        <w:color w:val="231F20"/>
                        <w:sz w:val="16"/>
                      </w:rPr>
                      <w:t xml:space="preserve">  služby provedené bez předchozího souhlasu pojistitele</w:t>
                    </w:r>
                  </w:p>
                  <w:p w14:paraId="4F9B8614" w14:textId="77777777" w:rsidR="00F65BCA" w:rsidRDefault="00216117">
                    <w:pPr>
                      <w:spacing w:before="4" w:line="223" w:lineRule="auto"/>
                      <w:ind w:left="1020" w:right="406" w:hanging="89"/>
                      <w:rPr>
                        <w:sz w:val="16"/>
                      </w:rPr>
                    </w:pPr>
                    <w:r>
                      <w:rPr>
                        <w:color w:val="231F20"/>
                        <w:sz w:val="16"/>
                      </w:rPr>
                      <w:t xml:space="preserve">  služby poskytnuté nad rámec sjednaného rozsahu pojištění</w:t>
                    </w:r>
                  </w:p>
                  <w:p w14:paraId="1C738084" w14:textId="77777777" w:rsidR="00F65BCA" w:rsidRDefault="00216117">
                    <w:pPr>
                      <w:spacing w:before="48" w:line="178" w:lineRule="exact"/>
                      <w:ind w:left="224"/>
                      <w:jc w:val="center"/>
                      <w:rPr>
                        <w:b/>
                        <w:sz w:val="16"/>
                      </w:rPr>
                    </w:pPr>
                    <w:r>
                      <w:rPr>
                        <w:b/>
                        <w:color w:val="231F20"/>
                        <w:sz w:val="16"/>
                      </w:rPr>
                      <w:t>Doplňkové úrazové pojištění dopravovaných osob</w:t>
                    </w:r>
                  </w:p>
                  <w:p w14:paraId="16160ADE" w14:textId="77777777" w:rsidR="00F65BCA" w:rsidRDefault="00216117">
                    <w:pPr>
                      <w:spacing w:line="172" w:lineRule="exact"/>
                      <w:ind w:left="213"/>
                      <w:jc w:val="center"/>
                      <w:rPr>
                        <w:sz w:val="16"/>
                      </w:rPr>
                    </w:pPr>
                    <w:r>
                      <w:rPr>
                        <w:color w:val="231F20"/>
                        <w:sz w:val="16"/>
                      </w:rPr>
                      <w:t xml:space="preserve">  infekční nemoc, i když byla přenesena zraněním</w:t>
                    </w:r>
                  </w:p>
                  <w:p w14:paraId="66ABA1FD" w14:textId="77777777" w:rsidR="00F65BCA" w:rsidRDefault="00216117">
                    <w:pPr>
                      <w:spacing w:line="178" w:lineRule="exact"/>
                      <w:ind w:left="80"/>
                      <w:jc w:val="center"/>
                      <w:rPr>
                        <w:sz w:val="16"/>
                      </w:rPr>
                    </w:pPr>
                    <w:r>
                      <w:rPr>
                        <w:color w:val="231F20"/>
                        <w:sz w:val="16"/>
                      </w:rPr>
                      <w:t xml:space="preserve">  újma vzniklá při nakládání a vykládání nákladu</w:t>
                    </w:r>
                  </w:p>
                  <w:p w14:paraId="617261B7" w14:textId="77777777" w:rsidR="00F65BCA" w:rsidRDefault="00216117">
                    <w:pPr>
                      <w:spacing w:before="84" w:line="223" w:lineRule="auto"/>
                      <w:ind w:left="793"/>
                      <w:rPr>
                        <w:sz w:val="16"/>
                      </w:rPr>
                    </w:pPr>
                    <w:r>
                      <w:rPr>
                        <w:color w:val="231F20"/>
                        <w:sz w:val="16"/>
                      </w:rPr>
                      <w:t>Úplný rozsah výluk je uveden v pojistných podmínkách, případně pojistné smlouvě a v zákoně o pojištění odpovědnosti z provozu vozidla.</w:t>
                    </w:r>
                  </w:p>
                </w:txbxContent>
              </v:textbox>
            </v:shape>
            <w10:wrap anchorx="page"/>
          </v:group>
        </w:pict>
      </w:r>
      <w:r>
        <w:pict w14:anchorId="5AD130B5">
          <v:group id="_x0000_s2385" style="position:absolute;left:0;text-align:left;margin-left:34pt;margin-top:27.6pt;width:258pt;height:486.15pt;z-index:251751424;mso-position-horizontal-relative:page" coordorigin="680,552" coordsize="5160,9723">
            <v:rect id="_x0000_s2404" style="position:absolute;left:680;top:552;width:681;height:9723" fillcolor="#e4e9ec" stroked="f"/>
            <v:line id="_x0000_s2403" style="position:absolute" from="1361,552" to="1361,10275" strokecolor="#e4e9ec" strokeweight="36e-5mm"/>
            <v:rect id="_x0000_s2402" style="position:absolute;left:1360;top:552;width:4479;height:9723" fillcolor="#e4e9ec" stroked="f"/>
            <v:rect id="_x0000_s2401" style="position:absolute;left:850;top:662;width:511;height:511" fillcolor="#38b54a" stroked="f"/>
            <v:shape id="_x0000_s2400" style="position:absolute;left:1028;top:947;width:94;height:173" coordorigin="1029,947" coordsize="94,173" o:spt="100" adj="0,,0" path="m1049,1057r-17,15l1029,1081r9,16l1056,1114r11,6l1081,1120r11,l1102,1115r7,-8l1113,1103r-36,l1070,1100r-6,-6l1058,1089r,-3l1049,1057xm1122,947r-22,21l1100,971r,7l1100,980r1,8l1101,1022r-1,16l1100,1054r-2,19l1098,1085r-4,8l1091,1098r-4,4l1084,1103r-7,l1113,1103r3,-4l1119,1088r1,-15l1122,1054r,-17l1123,1022r,-34l1122,968r,-15l1122,947xe" stroked="f">
              <v:stroke joinstyle="round"/>
              <v:formulas/>
              <v:path arrowok="t" o:connecttype="segments"/>
            </v:shape>
            <v:shape id="_x0000_s2399" style="position:absolute;left:1028;top:947;width:94;height:173" coordorigin="1029,947" coordsize="94,173" path="m1081,1120r-52,-39l1032,1072r,-2l1032,1072r17,-15l1054,1071r4,15l1058,1089r6,5l1070,1100r7,3l1100,1037r1,-29l1101,996r-1,-28l1122,947r,6l1122,968r1,20l1123,1008r,14l1119,1088r-10,19l1102,1115r-10,5l1081,1120r,xe" filled="f" strokecolor="white" strokeweight=".18pt">
              <v:path arrowok="t"/>
            </v:shape>
            <v:shape id="_x0000_s2398" style="position:absolute;left:873;top:739;width:468;height:226" coordorigin="874,739" coordsize="468,226" o:spt="100" adj="0,,0" path="m1246,940r-112,l1211,965r8,-8l1242,941r4,-1xm1339,922r-455,l913,923r43,10l1009,959r18,-6l1071,941r63,-1l1246,940r36,-12l1342,927r-3,-5xm1113,739r-12,9l1019,757r-51,21l927,828r-53,95l884,922r455,l1330,902r-38,-58l1223,784,1119,748r-6,-9xe" stroked="f">
              <v:stroke joinstyle="round"/>
              <v:formulas/>
              <v:path arrowok="t" o:connecttype="segments"/>
            </v:shape>
            <v:shape id="_x0000_s2397" style="position:absolute;left:873;top:739;width:468;height:226" coordorigin="874,739" coordsize="468,226" path="m874,923r53,-95l968,778r51,-21l1101,748r12,-9l1119,748r104,36l1292,844r38,58l1342,927r-60,1l1242,941r-23,16l1211,965r-77,-25l1071,941r-44,12l1009,959,956,933,913,923r-29,-1l874,923xe" filled="f" strokecolor="#38b54a" strokeweight=".22542mm">
              <v:path arrowok="t"/>
            </v:shape>
            <v:shape id="_x0000_s2396" type="#_x0000_t75" style="position:absolute;left:992;top:726;width:236;height:268">
              <v:imagedata r:id="rId19" o:title=""/>
            </v:shape>
            <v:shape id="_x0000_s2395" type="#_x0000_t75" style="position:absolute;left:1474;top:1167;width:169;height:166">
              <v:imagedata r:id="rId20" o:title=""/>
            </v:shape>
            <v:shape id="_x0000_s2394" type="#_x0000_t75" style="position:absolute;left:1474;top:2315;width:169;height:166">
              <v:imagedata r:id="rId21" o:title=""/>
            </v:shape>
            <v:shape id="_x0000_s2393" type="#_x0000_t75" style="position:absolute;left:1474;top:2855;width:169;height:166">
              <v:imagedata r:id="rId21" o:title=""/>
            </v:shape>
            <v:shape id="_x0000_s2392" style="position:absolute;left:1474;top:3643;width:169;height:886" coordorigin="1474,3643" coordsize="169,886" o:spt="100" adj="0,,0" path="m1642,4369r-12,-6l1600,4391r-27,30l1548,4453r-21,34l1522,4475r-7,-14l1508,4450r-7,-6l1495,4442r-6,l1482,4446r-8,7l1480,4454r5,4l1491,4465r4,6l1499,4480r5,11l1509,4503r4,9l1516,4520r2,5l1519,4529r4,-4l1528,4522r12,-8l1547,4496r4,-9l1556,4477r11,-19l1580,4439r14,-19l1609,4402r16,-17l1642,4369t,-180l1630,4183r-30,28l1573,4241r-25,32l1527,4307r-5,-12l1515,4281r-7,-11l1501,4264r-6,-2l1489,4262r-7,4l1474,4273r6,1l1485,4278r6,7l1495,4291r4,9l1504,4311r5,12l1513,4332r3,8l1518,4345r1,4l1523,4345r5,-3l1540,4334r7,-18l1551,4307r5,-10l1567,4278r13,-19l1594,4240r15,-18l1625,4205r17,-16m1642,4009r-12,-6l1600,4031r-27,30l1548,4093r-21,34l1522,4115r-7,-14l1508,4090r-7,-6l1495,4082r-6,l1482,4086r-8,7l1480,4094r5,4l1491,4105r4,6l1499,4120r5,11l1509,4143r4,9l1516,4160r2,5l1519,4169r4,-4l1528,4162r12,-8l1547,4136r4,-9l1556,4117r11,-19l1580,4079r14,-19l1609,4042r16,-17l1642,4009t,-180l1630,3823r-30,28l1573,3881r-25,32l1527,3947r-5,-12l1515,3921r-7,-11l1501,3904r-6,-2l1489,3902r-7,4l1474,3913r6,1l1485,3918r6,7l1495,3931r4,9l1504,3951r5,12l1513,3972r3,8l1518,3985r1,4l1523,3985r5,-3l1540,3974r7,-18l1551,3947r5,-10l1567,3918r13,-19l1594,3880r15,-18l1625,3845r17,-16m1642,3649r-12,-6l1600,3671r-27,30l1548,3733r-21,34l1522,3755r-7,-14l1508,3730r-7,-6l1495,3722r-6,l1482,3726r-8,7l1480,3734r5,4l1491,3745r4,6l1499,3760r5,11l1509,3783r4,9l1516,3800r2,5l1519,3809r4,-4l1528,3802r12,-8l1547,3776r4,-9l1556,3757r11,-19l1580,3719r14,-19l1609,3682r16,-17l1642,3649e" fillcolor="#38b54a" stroked="f">
              <v:stroke joinstyle="round"/>
              <v:formulas/>
              <v:path arrowok="t" o:connecttype="segments"/>
            </v:shape>
            <v:shape id="_x0000_s2391" type="#_x0000_t75" style="position:absolute;left:1474;top:4723;width:169;height:166">
              <v:imagedata r:id="rId21" o:title=""/>
            </v:shape>
            <v:shape id="_x0000_s2390" type="#_x0000_t75" style="position:absolute;left:1474;top:5083;width:169;height:166">
              <v:imagedata r:id="rId21" o:title=""/>
            </v:shape>
            <v:shape id="_x0000_s2389" type="#_x0000_t75" style="position:absolute;left:1474;top:5691;width:169;height:166">
              <v:imagedata r:id="rId20" o:title=""/>
            </v:shape>
            <v:shape id="_x0000_s2388" type="#_x0000_t75" style="position:absolute;left:1474;top:6411;width:169;height:166">
              <v:imagedata r:id="rId20" o:title=""/>
            </v:shape>
            <v:shape id="_x0000_s2387" type="#_x0000_t75" style="position:absolute;left:1474;top:8099;width:169;height:166">
              <v:imagedata r:id="rId20" o:title=""/>
            </v:shape>
            <v:shape id="_x0000_s2386" type="#_x0000_t202" style="position:absolute;left:680;top:552;width:5160;height:9723" filled="f" stroked="f">
              <v:textbox inset="0,0,0,0">
                <w:txbxContent>
                  <w:p w14:paraId="4A9D2384" w14:textId="77777777" w:rsidR="00F65BCA" w:rsidRDefault="00216117">
                    <w:pPr>
                      <w:spacing w:before="120"/>
                      <w:ind w:left="793"/>
                      <w:rPr>
                        <w:b/>
                        <w:sz w:val="23"/>
                      </w:rPr>
                    </w:pPr>
                    <w:r>
                      <w:rPr>
                        <w:b/>
                        <w:color w:val="231F20"/>
                        <w:sz w:val="23"/>
                      </w:rPr>
                      <w:t>Co je předmětem pojištění?</w:t>
                    </w:r>
                  </w:p>
                  <w:p w14:paraId="096858A5" w14:textId="77777777" w:rsidR="00F65BCA" w:rsidRDefault="00216117">
                    <w:pPr>
                      <w:spacing w:before="66" w:line="182" w:lineRule="exact"/>
                      <w:ind w:left="793"/>
                      <w:rPr>
                        <w:b/>
                        <w:sz w:val="16"/>
                      </w:rPr>
                    </w:pPr>
                    <w:r>
                      <w:rPr>
                        <w:b/>
                        <w:color w:val="231F20"/>
                        <w:sz w:val="16"/>
                      </w:rPr>
                      <w:t>Povinné ručení</w:t>
                    </w:r>
                  </w:p>
                  <w:p w14:paraId="031D75AE" w14:textId="77777777" w:rsidR="00F65BCA" w:rsidRDefault="00216117">
                    <w:pPr>
                      <w:spacing w:line="180" w:lineRule="exact"/>
                      <w:ind w:left="1020"/>
                      <w:rPr>
                        <w:sz w:val="16"/>
                      </w:rPr>
                    </w:pPr>
                    <w:r>
                      <w:rPr>
                        <w:color w:val="231F20"/>
                        <w:sz w:val="16"/>
                      </w:rPr>
                      <w:t>pojištění odpovědnosti za</w:t>
                    </w:r>
                  </w:p>
                  <w:p w14:paraId="1C384F7B" w14:textId="77777777" w:rsidR="00F65BCA" w:rsidRDefault="00216117">
                    <w:pPr>
                      <w:numPr>
                        <w:ilvl w:val="0"/>
                        <w:numId w:val="147"/>
                      </w:numPr>
                      <w:tabs>
                        <w:tab w:val="left" w:pos="1163"/>
                      </w:tabs>
                      <w:spacing w:line="180" w:lineRule="exact"/>
                      <w:ind w:hanging="137"/>
                      <w:rPr>
                        <w:sz w:val="16"/>
                      </w:rPr>
                    </w:pPr>
                    <w:r>
                      <w:rPr>
                        <w:color w:val="231F20"/>
                        <w:sz w:val="16"/>
                      </w:rPr>
                      <w:t>újmu vzniklou ublížením na zdraví nebo</w:t>
                    </w:r>
                    <w:r>
                      <w:rPr>
                        <w:color w:val="231F20"/>
                        <w:spacing w:val="-7"/>
                        <w:sz w:val="16"/>
                      </w:rPr>
                      <w:t xml:space="preserve"> </w:t>
                    </w:r>
                    <w:r>
                      <w:rPr>
                        <w:color w:val="231F20"/>
                        <w:sz w:val="16"/>
                      </w:rPr>
                      <w:t>usmrcením</w:t>
                    </w:r>
                  </w:p>
                  <w:p w14:paraId="374DEF2A" w14:textId="77777777" w:rsidR="00F65BCA" w:rsidRDefault="00216117">
                    <w:pPr>
                      <w:numPr>
                        <w:ilvl w:val="0"/>
                        <w:numId w:val="147"/>
                      </w:numPr>
                      <w:tabs>
                        <w:tab w:val="left" w:pos="1163"/>
                      </w:tabs>
                      <w:spacing w:line="180" w:lineRule="exact"/>
                      <w:ind w:hanging="137"/>
                      <w:rPr>
                        <w:sz w:val="16"/>
                      </w:rPr>
                    </w:pPr>
                    <w:r>
                      <w:rPr>
                        <w:color w:val="231F20"/>
                        <w:sz w:val="16"/>
                      </w:rPr>
                      <w:t>škodu na majetku</w:t>
                    </w:r>
                  </w:p>
                  <w:p w14:paraId="43DCE1B2" w14:textId="77777777" w:rsidR="00F65BCA" w:rsidRDefault="00216117">
                    <w:pPr>
                      <w:spacing w:before="1" w:line="235" w:lineRule="auto"/>
                      <w:ind w:left="1020" w:right="309"/>
                      <w:rPr>
                        <w:sz w:val="16"/>
                      </w:rPr>
                    </w:pPr>
                    <w:r>
                      <w:rPr>
                        <w:color w:val="231F20"/>
                        <w:sz w:val="16"/>
                      </w:rPr>
                      <w:t>vzniklou třetím osobám provozem vozidla uvedeného v pojistné smlouvě</w:t>
                    </w:r>
                  </w:p>
                  <w:p w14:paraId="0BCB2F6D" w14:textId="77777777" w:rsidR="00F65BCA" w:rsidRDefault="00216117">
                    <w:pPr>
                      <w:spacing w:before="64" w:line="182" w:lineRule="exact"/>
                      <w:ind w:left="793"/>
                      <w:rPr>
                        <w:b/>
                        <w:sz w:val="16"/>
                      </w:rPr>
                    </w:pPr>
                    <w:r>
                      <w:rPr>
                        <w:b/>
                        <w:color w:val="231F20"/>
                        <w:sz w:val="16"/>
                      </w:rPr>
                      <w:t>Havarijní pojištění</w:t>
                    </w:r>
                  </w:p>
                  <w:p w14:paraId="0CE72033" w14:textId="77777777" w:rsidR="00F65BCA" w:rsidRDefault="00216117">
                    <w:pPr>
                      <w:spacing w:before="1" w:line="235" w:lineRule="auto"/>
                      <w:ind w:left="1020" w:right="28"/>
                      <w:rPr>
                        <w:sz w:val="16"/>
                      </w:rPr>
                    </w:pPr>
                    <w:r>
                      <w:rPr>
                        <w:color w:val="231F20"/>
                        <w:sz w:val="16"/>
                      </w:rPr>
                      <w:t>pojištění škod na pojištěné věci (vozidlo, skla, zavazadla), které vznikly v důsledku pojistných nebezpečí havárie, vandalismu, odcizení nebo živelní události</w:t>
                    </w:r>
                  </w:p>
                  <w:p w14:paraId="19CAEF77" w14:textId="77777777" w:rsidR="00F65BCA" w:rsidRDefault="00216117">
                    <w:pPr>
                      <w:spacing w:line="235" w:lineRule="auto"/>
                      <w:ind w:left="1020" w:right="406"/>
                      <w:rPr>
                        <w:sz w:val="16"/>
                      </w:rPr>
                    </w:pPr>
                    <w:r>
                      <w:rPr>
                        <w:color w:val="231F20"/>
                        <w:sz w:val="16"/>
                      </w:rPr>
                      <w:t>pojištění je poskytováno v několika variantách dle rozsahu krytí pojistných nebezpečí</w:t>
                    </w:r>
                  </w:p>
                  <w:p w14:paraId="19515EC8" w14:textId="77777777" w:rsidR="00F65BCA" w:rsidRDefault="00216117">
                    <w:pPr>
                      <w:spacing w:before="64" w:line="182" w:lineRule="exact"/>
                      <w:ind w:left="793"/>
                      <w:rPr>
                        <w:b/>
                        <w:sz w:val="16"/>
                      </w:rPr>
                    </w:pPr>
                    <w:r>
                      <w:rPr>
                        <w:b/>
                        <w:color w:val="231F20"/>
                        <w:sz w:val="16"/>
                      </w:rPr>
                      <w:t>Doplňková pojištění</w:t>
                    </w:r>
                  </w:p>
                  <w:p w14:paraId="61ADDB1F" w14:textId="77777777" w:rsidR="00F65BCA" w:rsidRDefault="00216117">
                    <w:pPr>
                      <w:spacing w:line="180" w:lineRule="exact"/>
                      <w:ind w:left="793"/>
                      <w:rPr>
                        <w:sz w:val="16"/>
                      </w:rPr>
                    </w:pPr>
                    <w:r>
                      <w:rPr>
                        <w:color w:val="231F20"/>
                        <w:sz w:val="16"/>
                      </w:rPr>
                      <w:t>pojištění škod na:</w:t>
                    </w:r>
                  </w:p>
                  <w:p w14:paraId="65BC2481" w14:textId="77777777" w:rsidR="00F65BCA" w:rsidRDefault="00216117">
                    <w:pPr>
                      <w:spacing w:before="1" w:line="235" w:lineRule="auto"/>
                      <w:ind w:left="1020" w:right="1389"/>
                      <w:rPr>
                        <w:sz w:val="16"/>
                      </w:rPr>
                    </w:pPr>
                    <w:r>
                      <w:rPr>
                        <w:color w:val="231F20"/>
                        <w:sz w:val="16"/>
                      </w:rPr>
                      <w:t>sklech vozidla, zavazadlech ve vozidle stojícím vozidle způsobené zvířetem vozidle v důsledku střetu se zvířetem vozidle při činnosti pracovního stroje vozidle v důsledku působení živlů</w:t>
                    </w:r>
                  </w:p>
                  <w:p w14:paraId="7DD14672" w14:textId="77777777" w:rsidR="00F65BCA" w:rsidRDefault="00216117">
                    <w:pPr>
                      <w:spacing w:line="177" w:lineRule="exact"/>
                      <w:ind w:left="793"/>
                      <w:rPr>
                        <w:sz w:val="16"/>
                      </w:rPr>
                    </w:pPr>
                    <w:r>
                      <w:rPr>
                        <w:color w:val="231F20"/>
                        <w:sz w:val="16"/>
                      </w:rPr>
                      <w:t>Dále je předmětem pojištění:</w:t>
                    </w:r>
                  </w:p>
                  <w:p w14:paraId="60887E98" w14:textId="77777777" w:rsidR="00F65BCA" w:rsidRDefault="00216117">
                    <w:pPr>
                      <w:spacing w:before="1" w:line="235" w:lineRule="auto"/>
                      <w:ind w:left="1020" w:right="268"/>
                      <w:rPr>
                        <w:sz w:val="16"/>
                      </w:rPr>
                    </w:pPr>
                    <w:r>
                      <w:rPr>
                        <w:color w:val="231F20"/>
                        <w:sz w:val="16"/>
                      </w:rPr>
                      <w:t>úhrada půjčovného za náhradní vozidlo během opravy vozidla</w:t>
                    </w:r>
                  </w:p>
                  <w:p w14:paraId="6F6D7EBC" w14:textId="77777777" w:rsidR="00F65BCA" w:rsidRDefault="00216117">
                    <w:pPr>
                      <w:spacing w:line="235" w:lineRule="auto"/>
                      <w:ind w:left="1020" w:right="713"/>
                      <w:rPr>
                        <w:sz w:val="16"/>
                      </w:rPr>
                    </w:pPr>
                    <w:r>
                      <w:rPr>
                        <w:color w:val="231F20"/>
                        <w:sz w:val="16"/>
                      </w:rPr>
                      <w:t>úhrada pořizovací ceny vozidla při jeho odcizení či zničení</w:t>
                    </w:r>
                  </w:p>
                  <w:p w14:paraId="56A3D341" w14:textId="77777777" w:rsidR="00F65BCA" w:rsidRDefault="00216117">
                    <w:pPr>
                      <w:spacing w:before="64" w:line="182" w:lineRule="exact"/>
                      <w:ind w:left="793"/>
                      <w:rPr>
                        <w:b/>
                        <w:sz w:val="16"/>
                      </w:rPr>
                    </w:pPr>
                    <w:r>
                      <w:rPr>
                        <w:b/>
                        <w:color w:val="231F20"/>
                        <w:sz w:val="16"/>
                      </w:rPr>
                      <w:t>Doplňková pojištění Asistence</w:t>
                    </w:r>
                  </w:p>
                  <w:p w14:paraId="65EC4040" w14:textId="77777777" w:rsidR="00F65BCA" w:rsidRDefault="00216117">
                    <w:pPr>
                      <w:spacing w:before="1" w:line="235" w:lineRule="auto"/>
                      <w:ind w:left="1020" w:right="95"/>
                      <w:rPr>
                        <w:sz w:val="16"/>
                      </w:rPr>
                    </w:pPr>
                    <w:r>
                      <w:rPr>
                        <w:color w:val="231F20"/>
                        <w:sz w:val="16"/>
                      </w:rPr>
                      <w:t>nemožnost pokračovat v cestě kvůli odcizení vozidla nebo jeho nepojízdnosti nebo technické nezpůsobilosti, pojistná nebezpečí jsou uvedena v pojistných podmínkách</w:t>
                    </w:r>
                  </w:p>
                  <w:p w14:paraId="3369B6B6" w14:textId="77777777" w:rsidR="00F65BCA" w:rsidRDefault="00216117">
                    <w:pPr>
                      <w:spacing w:line="235" w:lineRule="auto"/>
                      <w:ind w:left="1020" w:right="28"/>
                      <w:rPr>
                        <w:sz w:val="16"/>
                      </w:rPr>
                    </w:pPr>
                    <w:r>
                      <w:rPr>
                        <w:color w:val="231F20"/>
                        <w:sz w:val="16"/>
                      </w:rPr>
                      <w:t>podle rozsahu pojištění Asistence vzniká v případě pojistné události nárok na asistenční služby, mezi které patří například:</w:t>
                    </w:r>
                  </w:p>
                  <w:p w14:paraId="79932753" w14:textId="77777777" w:rsidR="00F65BCA" w:rsidRDefault="00216117">
                    <w:pPr>
                      <w:numPr>
                        <w:ilvl w:val="0"/>
                        <w:numId w:val="147"/>
                      </w:numPr>
                      <w:tabs>
                        <w:tab w:val="left" w:pos="1163"/>
                      </w:tabs>
                      <w:spacing w:line="178" w:lineRule="exact"/>
                      <w:ind w:hanging="137"/>
                      <w:rPr>
                        <w:sz w:val="16"/>
                      </w:rPr>
                    </w:pPr>
                    <w:r>
                      <w:rPr>
                        <w:color w:val="231F20"/>
                        <w:sz w:val="16"/>
                      </w:rPr>
                      <w:t>příjezd mechanika a oprava na</w:t>
                    </w:r>
                    <w:r>
                      <w:rPr>
                        <w:color w:val="231F20"/>
                        <w:spacing w:val="-1"/>
                        <w:sz w:val="16"/>
                      </w:rPr>
                      <w:t xml:space="preserve"> </w:t>
                    </w:r>
                    <w:r>
                      <w:rPr>
                        <w:color w:val="231F20"/>
                        <w:sz w:val="16"/>
                      </w:rPr>
                      <w:t>místě</w:t>
                    </w:r>
                  </w:p>
                  <w:p w14:paraId="1D5898BC" w14:textId="77777777" w:rsidR="00F65BCA" w:rsidRDefault="00216117">
                    <w:pPr>
                      <w:numPr>
                        <w:ilvl w:val="0"/>
                        <w:numId w:val="147"/>
                      </w:numPr>
                      <w:tabs>
                        <w:tab w:val="left" w:pos="1163"/>
                      </w:tabs>
                      <w:spacing w:line="180" w:lineRule="exact"/>
                      <w:ind w:hanging="137"/>
                      <w:rPr>
                        <w:sz w:val="16"/>
                      </w:rPr>
                    </w:pPr>
                    <w:r>
                      <w:rPr>
                        <w:color w:val="231F20"/>
                        <w:sz w:val="16"/>
                      </w:rPr>
                      <w:t>odtah nepojízdného vozidla</w:t>
                    </w:r>
                  </w:p>
                  <w:p w14:paraId="6AE82841" w14:textId="77777777" w:rsidR="00F65BCA" w:rsidRDefault="00216117">
                    <w:pPr>
                      <w:numPr>
                        <w:ilvl w:val="0"/>
                        <w:numId w:val="147"/>
                      </w:numPr>
                      <w:tabs>
                        <w:tab w:val="left" w:pos="1163"/>
                      </w:tabs>
                      <w:spacing w:line="180" w:lineRule="exact"/>
                      <w:ind w:hanging="137"/>
                      <w:rPr>
                        <w:sz w:val="16"/>
                      </w:rPr>
                    </w:pPr>
                    <w:r>
                      <w:rPr>
                        <w:color w:val="231F20"/>
                        <w:sz w:val="16"/>
                      </w:rPr>
                      <w:t>repatriace vozidla</w:t>
                    </w:r>
                  </w:p>
                  <w:p w14:paraId="675D3C26" w14:textId="77777777" w:rsidR="00F65BCA" w:rsidRDefault="00216117">
                    <w:pPr>
                      <w:numPr>
                        <w:ilvl w:val="0"/>
                        <w:numId w:val="147"/>
                      </w:numPr>
                      <w:tabs>
                        <w:tab w:val="left" w:pos="1163"/>
                      </w:tabs>
                      <w:spacing w:line="180" w:lineRule="exact"/>
                      <w:ind w:hanging="137"/>
                      <w:rPr>
                        <w:sz w:val="16"/>
                      </w:rPr>
                    </w:pPr>
                    <w:r>
                      <w:rPr>
                        <w:color w:val="231F20"/>
                        <w:sz w:val="16"/>
                      </w:rPr>
                      <w:t>náhradní ubytování či přeprava</w:t>
                    </w:r>
                    <w:r>
                      <w:rPr>
                        <w:color w:val="231F20"/>
                        <w:spacing w:val="1"/>
                        <w:sz w:val="16"/>
                      </w:rPr>
                      <w:t xml:space="preserve"> </w:t>
                    </w:r>
                    <w:r>
                      <w:rPr>
                        <w:color w:val="231F20"/>
                        <w:sz w:val="16"/>
                      </w:rPr>
                      <w:t>osob</w:t>
                    </w:r>
                  </w:p>
                  <w:p w14:paraId="7ED9656D" w14:textId="77777777" w:rsidR="00F65BCA" w:rsidRDefault="00216117">
                    <w:pPr>
                      <w:numPr>
                        <w:ilvl w:val="0"/>
                        <w:numId w:val="147"/>
                      </w:numPr>
                      <w:tabs>
                        <w:tab w:val="left" w:pos="1163"/>
                      </w:tabs>
                      <w:spacing w:line="182" w:lineRule="exact"/>
                      <w:ind w:hanging="137"/>
                      <w:rPr>
                        <w:sz w:val="16"/>
                      </w:rPr>
                    </w:pPr>
                    <w:r>
                      <w:rPr>
                        <w:color w:val="231F20"/>
                        <w:sz w:val="16"/>
                      </w:rPr>
                      <w:t>náhradní</w:t>
                    </w:r>
                    <w:r>
                      <w:rPr>
                        <w:color w:val="231F20"/>
                        <w:spacing w:val="-8"/>
                        <w:sz w:val="16"/>
                      </w:rPr>
                      <w:t xml:space="preserve"> </w:t>
                    </w:r>
                    <w:r>
                      <w:rPr>
                        <w:color w:val="231F20"/>
                        <w:spacing w:val="-4"/>
                        <w:sz w:val="16"/>
                      </w:rPr>
                      <w:t>vozidlo</w:t>
                    </w:r>
                  </w:p>
                  <w:p w14:paraId="75150ED0" w14:textId="77777777" w:rsidR="00F65BCA" w:rsidRDefault="00216117">
                    <w:pPr>
                      <w:spacing w:before="63" w:line="182" w:lineRule="exact"/>
                      <w:ind w:left="793"/>
                      <w:rPr>
                        <w:b/>
                        <w:sz w:val="16"/>
                      </w:rPr>
                    </w:pPr>
                    <w:r>
                      <w:rPr>
                        <w:b/>
                        <w:color w:val="231F20"/>
                        <w:sz w:val="16"/>
                      </w:rPr>
                      <w:t>Doplňkové úrazové pojištění dopravovaných osob</w:t>
                    </w:r>
                  </w:p>
                  <w:p w14:paraId="43E64A75" w14:textId="77777777" w:rsidR="00F65BCA" w:rsidRDefault="00216117">
                    <w:pPr>
                      <w:spacing w:before="1" w:line="235" w:lineRule="auto"/>
                      <w:ind w:left="1020" w:right="95"/>
                      <w:rPr>
                        <w:sz w:val="16"/>
                      </w:rPr>
                    </w:pPr>
                    <w:r>
                      <w:rPr>
                        <w:color w:val="231F20"/>
                        <w:sz w:val="16"/>
                      </w:rPr>
                      <w:t>smrt nebo trvalé následky úrazu pojištěného, k nimž došlo při provozu vozidla a příp. doba nezbytného léčení</w:t>
                    </w:r>
                  </w:p>
                  <w:p w14:paraId="74C33EF2" w14:textId="77777777" w:rsidR="00F65BCA" w:rsidRDefault="00F65BCA">
                    <w:pPr>
                      <w:spacing w:before="6"/>
                      <w:rPr>
                        <w:sz w:val="15"/>
                      </w:rPr>
                    </w:pPr>
                  </w:p>
                  <w:p w14:paraId="0152BEF5" w14:textId="77777777" w:rsidR="00F65BCA" w:rsidRDefault="00216117">
                    <w:pPr>
                      <w:spacing w:line="235" w:lineRule="auto"/>
                      <w:ind w:left="793" w:right="309"/>
                      <w:rPr>
                        <w:sz w:val="16"/>
                      </w:rPr>
                    </w:pPr>
                    <w:r>
                      <w:rPr>
                        <w:color w:val="231F20"/>
                        <w:sz w:val="16"/>
                      </w:rPr>
                      <w:t>Přehled sjednaného pojištění a konkrétní rozsah jednotlivých pojištění je uveden v pojistných podmínkách a pojistné smlouvě.</w:t>
                    </w:r>
                  </w:p>
                </w:txbxContent>
              </v:textbox>
            </v:shape>
            <w10:wrap anchorx="page"/>
          </v:group>
        </w:pict>
      </w:r>
      <w:r w:rsidR="00216117">
        <w:rPr>
          <w:color w:val="231F20"/>
        </w:rPr>
        <w:t>Povinné</w:t>
      </w:r>
      <w:r w:rsidR="00216117">
        <w:rPr>
          <w:color w:val="231F20"/>
          <w:spacing w:val="-8"/>
        </w:rPr>
        <w:t xml:space="preserve"> </w:t>
      </w:r>
      <w:r w:rsidR="00216117">
        <w:rPr>
          <w:color w:val="231F20"/>
        </w:rPr>
        <w:t>ručení,</w:t>
      </w:r>
      <w:r w:rsidR="00216117">
        <w:rPr>
          <w:color w:val="231F20"/>
          <w:spacing w:val="-7"/>
        </w:rPr>
        <w:t xml:space="preserve"> </w:t>
      </w:r>
      <w:r w:rsidR="00216117">
        <w:rPr>
          <w:color w:val="231F20"/>
        </w:rPr>
        <w:t>havarijní</w:t>
      </w:r>
      <w:r w:rsidR="00216117">
        <w:rPr>
          <w:color w:val="231F20"/>
          <w:spacing w:val="-7"/>
        </w:rPr>
        <w:t xml:space="preserve"> </w:t>
      </w:r>
      <w:r w:rsidR="00216117">
        <w:rPr>
          <w:color w:val="231F20"/>
        </w:rPr>
        <w:t>a</w:t>
      </w:r>
      <w:r w:rsidR="00216117">
        <w:rPr>
          <w:color w:val="231F20"/>
          <w:spacing w:val="-7"/>
        </w:rPr>
        <w:t xml:space="preserve"> </w:t>
      </w:r>
      <w:r w:rsidR="00216117">
        <w:rPr>
          <w:color w:val="231F20"/>
        </w:rPr>
        <w:t>doplňková</w:t>
      </w:r>
      <w:r w:rsidR="00216117">
        <w:rPr>
          <w:color w:val="231F20"/>
          <w:spacing w:val="-7"/>
        </w:rPr>
        <w:t xml:space="preserve"> </w:t>
      </w:r>
      <w:r w:rsidR="00216117">
        <w:rPr>
          <w:color w:val="231F20"/>
        </w:rPr>
        <w:t>pojištění</w:t>
      </w:r>
      <w:r w:rsidR="00216117">
        <w:rPr>
          <w:color w:val="231F20"/>
          <w:spacing w:val="-8"/>
        </w:rPr>
        <w:t xml:space="preserve"> </w:t>
      </w:r>
      <w:r w:rsidR="00216117">
        <w:rPr>
          <w:color w:val="231F20"/>
        </w:rPr>
        <w:t>(vyjma</w:t>
      </w:r>
      <w:r w:rsidR="00216117">
        <w:rPr>
          <w:color w:val="231F20"/>
          <w:spacing w:val="-7"/>
        </w:rPr>
        <w:t xml:space="preserve"> </w:t>
      </w:r>
      <w:r w:rsidR="00216117">
        <w:rPr>
          <w:color w:val="231F20"/>
        </w:rPr>
        <w:t>úrazového</w:t>
      </w:r>
      <w:r w:rsidR="00216117">
        <w:rPr>
          <w:color w:val="231F20"/>
          <w:spacing w:val="-7"/>
        </w:rPr>
        <w:t xml:space="preserve"> </w:t>
      </w:r>
      <w:r w:rsidR="00216117">
        <w:rPr>
          <w:color w:val="231F20"/>
        </w:rPr>
        <w:t>pojištění</w:t>
      </w:r>
      <w:r w:rsidR="00216117">
        <w:rPr>
          <w:color w:val="231F20"/>
          <w:spacing w:val="-7"/>
        </w:rPr>
        <w:t xml:space="preserve"> </w:t>
      </w:r>
      <w:r w:rsidR="00216117">
        <w:rPr>
          <w:color w:val="231F20"/>
        </w:rPr>
        <w:t>dopravovaných</w:t>
      </w:r>
      <w:r w:rsidR="00216117">
        <w:rPr>
          <w:color w:val="231F20"/>
          <w:spacing w:val="-7"/>
        </w:rPr>
        <w:t xml:space="preserve"> </w:t>
      </w:r>
      <w:r w:rsidR="00216117">
        <w:rPr>
          <w:color w:val="231F20"/>
        </w:rPr>
        <w:t>osob)</w:t>
      </w:r>
      <w:r w:rsidR="00216117">
        <w:rPr>
          <w:color w:val="231F20"/>
          <w:spacing w:val="-8"/>
        </w:rPr>
        <w:t xml:space="preserve"> </w:t>
      </w:r>
      <w:r w:rsidR="00216117">
        <w:rPr>
          <w:color w:val="231F20"/>
        </w:rPr>
        <w:t>jsou</w:t>
      </w:r>
      <w:r w:rsidR="00216117">
        <w:rPr>
          <w:color w:val="231F20"/>
          <w:spacing w:val="-7"/>
        </w:rPr>
        <w:t xml:space="preserve"> </w:t>
      </w:r>
      <w:r w:rsidR="00216117">
        <w:rPr>
          <w:color w:val="231F20"/>
        </w:rPr>
        <w:t>pojištění</w:t>
      </w:r>
      <w:r w:rsidR="00216117">
        <w:rPr>
          <w:color w:val="231F20"/>
          <w:spacing w:val="-7"/>
        </w:rPr>
        <w:t xml:space="preserve"> </w:t>
      </w:r>
      <w:r w:rsidR="00216117">
        <w:rPr>
          <w:color w:val="231F20"/>
        </w:rPr>
        <w:t>soukromá</w:t>
      </w:r>
      <w:r w:rsidR="00216117">
        <w:rPr>
          <w:color w:val="231F20"/>
          <w:spacing w:val="-7"/>
        </w:rPr>
        <w:t xml:space="preserve"> </w:t>
      </w:r>
      <w:r w:rsidR="00216117">
        <w:rPr>
          <w:color w:val="231F20"/>
        </w:rPr>
        <w:t>a</w:t>
      </w:r>
      <w:r w:rsidR="00216117">
        <w:rPr>
          <w:color w:val="231F20"/>
          <w:spacing w:val="-7"/>
        </w:rPr>
        <w:t xml:space="preserve"> </w:t>
      </w:r>
      <w:r w:rsidR="00216117">
        <w:rPr>
          <w:color w:val="231F20"/>
        </w:rPr>
        <w:t>sjednávají se jako pojištění škodová. Úrazové pojištění dopravovaných osob je pojištění soukromé a sjednává se jako pojištění</w:t>
      </w:r>
      <w:r w:rsidR="00216117">
        <w:rPr>
          <w:color w:val="231F20"/>
          <w:spacing w:val="40"/>
        </w:rPr>
        <w:t xml:space="preserve"> </w:t>
      </w:r>
      <w:r w:rsidR="00216117">
        <w:rPr>
          <w:color w:val="231F20"/>
        </w:rPr>
        <w:t>obnosové.</w:t>
      </w:r>
    </w:p>
    <w:p w14:paraId="60E725D7" w14:textId="77777777" w:rsidR="00F65BCA" w:rsidRDefault="00F65BCA">
      <w:pPr>
        <w:pStyle w:val="Zkladntext"/>
        <w:rPr>
          <w:sz w:val="20"/>
        </w:rPr>
      </w:pPr>
    </w:p>
    <w:p w14:paraId="1EA38E90" w14:textId="77777777" w:rsidR="00F65BCA" w:rsidRDefault="00F65BCA">
      <w:pPr>
        <w:pStyle w:val="Zkladntext"/>
        <w:rPr>
          <w:sz w:val="20"/>
        </w:rPr>
      </w:pPr>
    </w:p>
    <w:p w14:paraId="03A0DB8B" w14:textId="77777777" w:rsidR="00F65BCA" w:rsidRDefault="00F65BCA">
      <w:pPr>
        <w:pStyle w:val="Zkladntext"/>
        <w:rPr>
          <w:sz w:val="20"/>
        </w:rPr>
      </w:pPr>
    </w:p>
    <w:p w14:paraId="4D1323EF" w14:textId="77777777" w:rsidR="00F65BCA" w:rsidRDefault="00F65BCA">
      <w:pPr>
        <w:pStyle w:val="Zkladntext"/>
        <w:rPr>
          <w:sz w:val="20"/>
        </w:rPr>
      </w:pPr>
    </w:p>
    <w:p w14:paraId="725669C1" w14:textId="77777777" w:rsidR="00F65BCA" w:rsidRDefault="00F65BCA">
      <w:pPr>
        <w:pStyle w:val="Zkladntext"/>
        <w:rPr>
          <w:sz w:val="20"/>
        </w:rPr>
      </w:pPr>
    </w:p>
    <w:p w14:paraId="7823FA76" w14:textId="77777777" w:rsidR="00F65BCA" w:rsidRDefault="00F65BCA">
      <w:pPr>
        <w:pStyle w:val="Zkladntext"/>
        <w:rPr>
          <w:sz w:val="20"/>
        </w:rPr>
      </w:pPr>
    </w:p>
    <w:p w14:paraId="174C69B2" w14:textId="77777777" w:rsidR="00F65BCA" w:rsidRDefault="00F65BCA">
      <w:pPr>
        <w:pStyle w:val="Zkladntext"/>
        <w:rPr>
          <w:sz w:val="20"/>
        </w:rPr>
      </w:pPr>
    </w:p>
    <w:p w14:paraId="697F89A2" w14:textId="77777777" w:rsidR="00F65BCA" w:rsidRDefault="00F65BCA">
      <w:pPr>
        <w:pStyle w:val="Zkladntext"/>
        <w:rPr>
          <w:sz w:val="20"/>
        </w:rPr>
      </w:pPr>
    </w:p>
    <w:p w14:paraId="5CCFFFFD" w14:textId="77777777" w:rsidR="00F65BCA" w:rsidRDefault="00F65BCA">
      <w:pPr>
        <w:pStyle w:val="Zkladntext"/>
        <w:rPr>
          <w:sz w:val="20"/>
        </w:rPr>
      </w:pPr>
    </w:p>
    <w:p w14:paraId="329C7B95" w14:textId="77777777" w:rsidR="00F65BCA" w:rsidRDefault="00F65BCA">
      <w:pPr>
        <w:pStyle w:val="Zkladntext"/>
        <w:rPr>
          <w:sz w:val="20"/>
        </w:rPr>
      </w:pPr>
    </w:p>
    <w:p w14:paraId="383DC178" w14:textId="77777777" w:rsidR="00F65BCA" w:rsidRDefault="00F65BCA">
      <w:pPr>
        <w:pStyle w:val="Zkladntext"/>
        <w:rPr>
          <w:sz w:val="20"/>
        </w:rPr>
      </w:pPr>
    </w:p>
    <w:p w14:paraId="3433F73B" w14:textId="77777777" w:rsidR="00F65BCA" w:rsidRDefault="00F65BCA">
      <w:pPr>
        <w:pStyle w:val="Zkladntext"/>
        <w:rPr>
          <w:sz w:val="20"/>
        </w:rPr>
      </w:pPr>
    </w:p>
    <w:p w14:paraId="48A055B8" w14:textId="77777777" w:rsidR="00F65BCA" w:rsidRDefault="00F65BCA">
      <w:pPr>
        <w:pStyle w:val="Zkladntext"/>
        <w:rPr>
          <w:sz w:val="20"/>
        </w:rPr>
      </w:pPr>
    </w:p>
    <w:p w14:paraId="4A055207" w14:textId="77777777" w:rsidR="00F65BCA" w:rsidRDefault="00F65BCA">
      <w:pPr>
        <w:pStyle w:val="Zkladntext"/>
        <w:rPr>
          <w:sz w:val="20"/>
        </w:rPr>
      </w:pPr>
    </w:p>
    <w:p w14:paraId="4928BCBF" w14:textId="77777777" w:rsidR="00F65BCA" w:rsidRDefault="00F65BCA">
      <w:pPr>
        <w:pStyle w:val="Zkladntext"/>
        <w:rPr>
          <w:sz w:val="20"/>
        </w:rPr>
      </w:pPr>
    </w:p>
    <w:p w14:paraId="3ADDBBEF" w14:textId="77777777" w:rsidR="00F65BCA" w:rsidRDefault="00F65BCA">
      <w:pPr>
        <w:pStyle w:val="Zkladntext"/>
        <w:rPr>
          <w:sz w:val="20"/>
        </w:rPr>
      </w:pPr>
    </w:p>
    <w:p w14:paraId="677FA3C7" w14:textId="77777777" w:rsidR="00F65BCA" w:rsidRDefault="00F65BCA">
      <w:pPr>
        <w:pStyle w:val="Zkladntext"/>
        <w:rPr>
          <w:sz w:val="20"/>
        </w:rPr>
      </w:pPr>
    </w:p>
    <w:p w14:paraId="26BAEEF9" w14:textId="77777777" w:rsidR="00F65BCA" w:rsidRDefault="00F65BCA">
      <w:pPr>
        <w:pStyle w:val="Zkladntext"/>
        <w:rPr>
          <w:sz w:val="20"/>
        </w:rPr>
      </w:pPr>
    </w:p>
    <w:p w14:paraId="6C6E8C96" w14:textId="77777777" w:rsidR="00F65BCA" w:rsidRDefault="00F65BCA">
      <w:pPr>
        <w:pStyle w:val="Zkladntext"/>
        <w:rPr>
          <w:sz w:val="20"/>
        </w:rPr>
      </w:pPr>
    </w:p>
    <w:p w14:paraId="6814574B" w14:textId="77777777" w:rsidR="00F65BCA" w:rsidRDefault="00F65BCA">
      <w:pPr>
        <w:pStyle w:val="Zkladntext"/>
        <w:rPr>
          <w:sz w:val="20"/>
        </w:rPr>
      </w:pPr>
    </w:p>
    <w:p w14:paraId="6F65BB60" w14:textId="77777777" w:rsidR="00F65BCA" w:rsidRDefault="00F65BCA">
      <w:pPr>
        <w:pStyle w:val="Zkladntext"/>
        <w:rPr>
          <w:sz w:val="20"/>
        </w:rPr>
      </w:pPr>
    </w:p>
    <w:p w14:paraId="2CD237A1" w14:textId="77777777" w:rsidR="00F65BCA" w:rsidRDefault="00F65BCA">
      <w:pPr>
        <w:pStyle w:val="Zkladntext"/>
        <w:rPr>
          <w:sz w:val="20"/>
        </w:rPr>
      </w:pPr>
    </w:p>
    <w:p w14:paraId="17ACE8BE" w14:textId="77777777" w:rsidR="00F65BCA" w:rsidRDefault="00F65BCA">
      <w:pPr>
        <w:pStyle w:val="Zkladntext"/>
        <w:rPr>
          <w:sz w:val="20"/>
        </w:rPr>
      </w:pPr>
    </w:p>
    <w:p w14:paraId="5F697EEA" w14:textId="77777777" w:rsidR="00F65BCA" w:rsidRDefault="00F65BCA">
      <w:pPr>
        <w:pStyle w:val="Zkladntext"/>
        <w:rPr>
          <w:sz w:val="20"/>
        </w:rPr>
      </w:pPr>
    </w:p>
    <w:p w14:paraId="6D36B231" w14:textId="77777777" w:rsidR="00F65BCA" w:rsidRDefault="00F65BCA">
      <w:pPr>
        <w:pStyle w:val="Zkladntext"/>
        <w:rPr>
          <w:sz w:val="20"/>
        </w:rPr>
      </w:pPr>
    </w:p>
    <w:p w14:paraId="665F042D" w14:textId="77777777" w:rsidR="00F65BCA" w:rsidRDefault="00F65BCA">
      <w:pPr>
        <w:pStyle w:val="Zkladntext"/>
        <w:rPr>
          <w:sz w:val="20"/>
        </w:rPr>
      </w:pPr>
    </w:p>
    <w:p w14:paraId="66300E48" w14:textId="77777777" w:rsidR="00F65BCA" w:rsidRDefault="00F65BCA">
      <w:pPr>
        <w:pStyle w:val="Zkladntext"/>
        <w:rPr>
          <w:sz w:val="20"/>
        </w:rPr>
      </w:pPr>
    </w:p>
    <w:p w14:paraId="5CA0DB7D" w14:textId="77777777" w:rsidR="00F65BCA" w:rsidRDefault="00F65BCA">
      <w:pPr>
        <w:pStyle w:val="Zkladntext"/>
        <w:rPr>
          <w:sz w:val="20"/>
        </w:rPr>
      </w:pPr>
    </w:p>
    <w:p w14:paraId="22112381" w14:textId="77777777" w:rsidR="00F65BCA" w:rsidRDefault="00F65BCA">
      <w:pPr>
        <w:pStyle w:val="Zkladntext"/>
        <w:rPr>
          <w:sz w:val="20"/>
        </w:rPr>
      </w:pPr>
    </w:p>
    <w:p w14:paraId="068BBE38" w14:textId="77777777" w:rsidR="00F65BCA" w:rsidRDefault="00F65BCA">
      <w:pPr>
        <w:pStyle w:val="Zkladntext"/>
        <w:rPr>
          <w:sz w:val="20"/>
        </w:rPr>
      </w:pPr>
    </w:p>
    <w:p w14:paraId="3A0D2038" w14:textId="77777777" w:rsidR="00F65BCA" w:rsidRDefault="00F65BCA">
      <w:pPr>
        <w:pStyle w:val="Zkladntext"/>
        <w:rPr>
          <w:sz w:val="20"/>
        </w:rPr>
      </w:pPr>
    </w:p>
    <w:p w14:paraId="2499CED3" w14:textId="77777777" w:rsidR="00F65BCA" w:rsidRDefault="00F65BCA">
      <w:pPr>
        <w:pStyle w:val="Zkladntext"/>
        <w:rPr>
          <w:sz w:val="20"/>
        </w:rPr>
      </w:pPr>
    </w:p>
    <w:p w14:paraId="3BA03D42" w14:textId="77777777" w:rsidR="00F65BCA" w:rsidRDefault="00F65BCA">
      <w:pPr>
        <w:pStyle w:val="Zkladntext"/>
        <w:rPr>
          <w:sz w:val="20"/>
        </w:rPr>
      </w:pPr>
    </w:p>
    <w:p w14:paraId="0D5AE732" w14:textId="77777777" w:rsidR="00F65BCA" w:rsidRDefault="00F65BCA">
      <w:pPr>
        <w:pStyle w:val="Zkladntext"/>
        <w:rPr>
          <w:sz w:val="20"/>
        </w:rPr>
      </w:pPr>
    </w:p>
    <w:p w14:paraId="736410F3" w14:textId="77777777" w:rsidR="00F65BCA" w:rsidRDefault="00F65BCA">
      <w:pPr>
        <w:pStyle w:val="Zkladntext"/>
        <w:rPr>
          <w:sz w:val="20"/>
        </w:rPr>
      </w:pPr>
    </w:p>
    <w:p w14:paraId="60EB256C" w14:textId="77777777" w:rsidR="00F65BCA" w:rsidRDefault="00F65BCA">
      <w:pPr>
        <w:pStyle w:val="Zkladntext"/>
        <w:rPr>
          <w:sz w:val="20"/>
        </w:rPr>
      </w:pPr>
    </w:p>
    <w:p w14:paraId="380796D9" w14:textId="77777777" w:rsidR="00F65BCA" w:rsidRDefault="00F65BCA">
      <w:pPr>
        <w:pStyle w:val="Zkladntext"/>
        <w:rPr>
          <w:sz w:val="20"/>
        </w:rPr>
      </w:pPr>
    </w:p>
    <w:p w14:paraId="1632CAEA" w14:textId="77777777" w:rsidR="00F65BCA" w:rsidRDefault="00F65BCA">
      <w:pPr>
        <w:pStyle w:val="Zkladntext"/>
        <w:rPr>
          <w:sz w:val="20"/>
        </w:rPr>
      </w:pPr>
    </w:p>
    <w:p w14:paraId="359F42CF" w14:textId="77777777" w:rsidR="00F65BCA" w:rsidRDefault="00F65BCA">
      <w:pPr>
        <w:pStyle w:val="Zkladntext"/>
        <w:rPr>
          <w:sz w:val="20"/>
        </w:rPr>
      </w:pPr>
    </w:p>
    <w:p w14:paraId="39D2C3D6" w14:textId="77777777" w:rsidR="00F65BCA" w:rsidRDefault="00F65BCA">
      <w:pPr>
        <w:pStyle w:val="Zkladntext"/>
        <w:rPr>
          <w:sz w:val="20"/>
        </w:rPr>
      </w:pPr>
    </w:p>
    <w:p w14:paraId="65AFAAE7" w14:textId="77777777" w:rsidR="00F65BCA" w:rsidRDefault="00F65BCA">
      <w:pPr>
        <w:pStyle w:val="Zkladntext"/>
        <w:rPr>
          <w:sz w:val="20"/>
        </w:rPr>
      </w:pPr>
    </w:p>
    <w:p w14:paraId="1F3C48AC" w14:textId="77777777" w:rsidR="00F65BCA" w:rsidRDefault="00F65BCA">
      <w:pPr>
        <w:pStyle w:val="Zkladntext"/>
        <w:rPr>
          <w:sz w:val="20"/>
        </w:rPr>
      </w:pPr>
    </w:p>
    <w:p w14:paraId="66BC9F69" w14:textId="77777777" w:rsidR="00F65BCA" w:rsidRDefault="00F65BCA">
      <w:pPr>
        <w:pStyle w:val="Zkladntext"/>
        <w:rPr>
          <w:sz w:val="20"/>
        </w:rPr>
      </w:pPr>
    </w:p>
    <w:p w14:paraId="6D3C706F" w14:textId="77777777" w:rsidR="00F65BCA" w:rsidRDefault="00F65BCA">
      <w:pPr>
        <w:pStyle w:val="Zkladntext"/>
        <w:rPr>
          <w:sz w:val="20"/>
        </w:rPr>
      </w:pPr>
    </w:p>
    <w:p w14:paraId="42B244BD" w14:textId="77777777" w:rsidR="00F65BCA" w:rsidRDefault="00F65BCA">
      <w:pPr>
        <w:pStyle w:val="Zkladntext"/>
        <w:spacing w:before="1"/>
        <w:rPr>
          <w:sz w:val="16"/>
        </w:rPr>
      </w:pPr>
    </w:p>
    <w:p w14:paraId="4C03EE96" w14:textId="77777777" w:rsidR="00F65BCA" w:rsidRDefault="00000000">
      <w:pPr>
        <w:tabs>
          <w:tab w:val="left" w:pos="7568"/>
        </w:tabs>
        <w:spacing w:before="103"/>
        <w:ind w:left="880"/>
        <w:rPr>
          <w:sz w:val="16"/>
        </w:rPr>
      </w:pPr>
      <w:r>
        <w:pict w14:anchorId="2646773B">
          <v:line id="_x0000_s2384" style="position:absolute;left:0;text-align:left;z-index:251746304;mso-position-horizontal-relative:page" from="0,-7.65pt" to="595.3pt,-7.65pt" strokecolor="#c5271c" strokeweight="1pt">
            <w10:wrap anchorx="page"/>
          </v:line>
        </w:pict>
      </w:r>
      <w:r>
        <w:pict w14:anchorId="7858E65A">
          <v:group id="_x0000_s2378" style="position:absolute;left:0;text-align:left;margin-left:303.3pt;margin-top:-298.7pt;width:258pt;height:275pt;z-index:251753472;mso-position-horizontal-relative:page" coordorigin="6066,-5974" coordsize="5160,5500">
            <v:shape id="_x0000_s2383" style="position:absolute;left:6066;top:-5974;width:5160;height:5500" coordorigin="6066,-5974" coordsize="5160,5500" path="m11225,-5974r-4479,l6066,-5974r,5499l6746,-475r4479,l11225,-5974e" fillcolor="#e4e9ec" stroked="f">
              <v:path arrowok="t"/>
            </v:shape>
            <v:rect id="_x0000_s2382" style="position:absolute;left:6236;top:-5864;width:511;height:511" fillcolor="#f15a29" stroked="f"/>
            <v:shape id="_x0000_s2381" style="position:absolute;left:6290;top:-5796;width:403;height:347" coordorigin="6290,-5795" coordsize="403,347" path="m6491,-5795r-201,346l6692,-5449r-201,-346xe" stroked="f">
              <v:path arrowok="t"/>
            </v:shape>
            <v:shape id="_x0000_s2380" style="position:absolute;left:6464;top:-5718;width:433;height:3845" coordorigin="6465,-5717" coordsize="433,3845" o:spt="100" adj="0,,0" path="m6515,-5706r-8,-8l6490,-5717r-17,3l6465,-5706r1,11l6467,-5676r,43l6469,-5553r43,l6514,-5677r1,-29m6518,-5517r-12,-12l6477,-5529r-12,12l6465,-5488r12,12l6506,-5476r12,-12l6518,-5517t377,3483l6890,-2040r-12,-2l6866,-2040r-6,6l6861,-2027r,14l6862,-1983r1,56l6893,-1927r2,-107m6895,-2771r-5,-6l6878,-2779r-12,2l6860,-2771r1,8l6861,-2750r1,30l6863,-2663r30,l6895,-2771t,-2323l6890,-5100r-12,-2l6866,-5100r-6,6l6861,-5087r,14l6862,-5043r1,56l6893,-4987r2,-107m6897,-1902r-8,-8l6868,-1910r-8,8l6860,-1881r8,8l6889,-1873r8,-8l6897,-1902t,-737l6889,-2647r-21,l6860,-2639r,21l6868,-2610r21,l6897,-2618r,-21m6897,-4962r-8,-8l6868,-4970r-8,8l6860,-4941r8,8l6889,-4933r8,-8l6897,-4962e" fillcolor="#f15a29" stroked="f">
              <v:stroke joinstyle="round"/>
              <v:formulas/>
              <v:path arrowok="t" o:connecttype="segments"/>
            </v:shape>
            <v:shape id="_x0000_s2379" type="#_x0000_t202" style="position:absolute;left:6066;top:-5974;width:5160;height:5500" filled="f" stroked="f">
              <v:textbox inset="0,0,0,0">
                <w:txbxContent>
                  <w:p w14:paraId="32798277" w14:textId="77777777" w:rsidR="00F65BCA" w:rsidRDefault="00216117">
                    <w:pPr>
                      <w:spacing w:before="124" w:line="235" w:lineRule="auto"/>
                      <w:ind w:left="793" w:right="1676"/>
                      <w:rPr>
                        <w:b/>
                        <w:sz w:val="23"/>
                      </w:rPr>
                    </w:pPr>
                    <w:r>
                      <w:rPr>
                        <w:b/>
                        <w:color w:val="231F20"/>
                        <w:sz w:val="23"/>
                      </w:rPr>
                      <w:t>Existují nějaká omezení v pojistném krytí?</w:t>
                    </w:r>
                  </w:p>
                  <w:p w14:paraId="7A8ECF37" w14:textId="77777777" w:rsidR="00F65BCA" w:rsidRDefault="00216117">
                    <w:pPr>
                      <w:spacing w:before="58" w:line="177" w:lineRule="exact"/>
                      <w:ind w:left="793"/>
                      <w:rPr>
                        <w:b/>
                        <w:sz w:val="16"/>
                      </w:rPr>
                    </w:pPr>
                    <w:r>
                      <w:rPr>
                        <w:b/>
                        <w:color w:val="231F20"/>
                        <w:sz w:val="16"/>
                      </w:rPr>
                      <w:t>Povinné ručení</w:t>
                    </w:r>
                  </w:p>
                  <w:p w14:paraId="53B075D4" w14:textId="77777777" w:rsidR="00F65BCA" w:rsidRDefault="00216117">
                    <w:pPr>
                      <w:spacing w:line="170" w:lineRule="exact"/>
                      <w:ind w:left="831"/>
                      <w:rPr>
                        <w:sz w:val="16"/>
                      </w:rPr>
                    </w:pPr>
                    <w:r>
                      <w:rPr>
                        <w:color w:val="231F20"/>
                        <w:sz w:val="16"/>
                      </w:rPr>
                      <w:t xml:space="preserve">   </w:t>
                    </w:r>
                    <w:r>
                      <w:rPr>
                        <w:b/>
                        <w:color w:val="231F20"/>
                        <w:sz w:val="16"/>
                      </w:rPr>
                      <w:t xml:space="preserve">výší limitů </w:t>
                    </w:r>
                    <w:r>
                      <w:rPr>
                        <w:color w:val="231F20"/>
                        <w:sz w:val="16"/>
                      </w:rPr>
                      <w:t>ujednaných v pojistné smlouvě, přičemž:</w:t>
                    </w:r>
                  </w:p>
                  <w:p w14:paraId="33A521CE" w14:textId="77777777" w:rsidR="00F65BCA" w:rsidRDefault="00216117">
                    <w:pPr>
                      <w:numPr>
                        <w:ilvl w:val="0"/>
                        <w:numId w:val="146"/>
                      </w:numPr>
                      <w:tabs>
                        <w:tab w:val="left" w:pos="1093"/>
                      </w:tabs>
                      <w:spacing w:before="5" w:line="220" w:lineRule="auto"/>
                      <w:ind w:right="498"/>
                      <w:rPr>
                        <w:sz w:val="16"/>
                      </w:rPr>
                    </w:pPr>
                    <w:r>
                      <w:rPr>
                        <w:color w:val="231F20"/>
                        <w:sz w:val="16"/>
                      </w:rPr>
                      <w:t xml:space="preserve">limit pro újmu vzniklou ublížením na zdraví nebo usmrcením je stanovený zákonem č. 30/2024 </w:t>
                    </w:r>
                    <w:r>
                      <w:rPr>
                        <w:color w:val="231F20"/>
                        <w:spacing w:val="-5"/>
                        <w:sz w:val="16"/>
                      </w:rPr>
                      <w:t xml:space="preserve">Sb., </w:t>
                    </w:r>
                    <w:r>
                      <w:rPr>
                        <w:color w:val="231F20"/>
                        <w:sz w:val="16"/>
                      </w:rPr>
                      <w:t>o odpovědnosti z provozu vozidla na každého poškozeného</w:t>
                    </w:r>
                  </w:p>
                  <w:p w14:paraId="610EA2DE" w14:textId="77777777" w:rsidR="00F65BCA" w:rsidRDefault="00216117">
                    <w:pPr>
                      <w:numPr>
                        <w:ilvl w:val="0"/>
                        <w:numId w:val="146"/>
                      </w:numPr>
                      <w:tabs>
                        <w:tab w:val="left" w:pos="1100"/>
                      </w:tabs>
                      <w:spacing w:before="3" w:line="220" w:lineRule="auto"/>
                      <w:ind w:left="1099" w:right="513" w:hanging="165"/>
                      <w:jc w:val="both"/>
                      <w:rPr>
                        <w:sz w:val="16"/>
                      </w:rPr>
                    </w:pPr>
                    <w:r>
                      <w:rPr>
                        <w:color w:val="231F20"/>
                        <w:sz w:val="16"/>
                      </w:rPr>
                      <w:t xml:space="preserve">limit pro škody na majetku je stanovený zákonem č. 30/2024 Sb., o odpovědnosti z provozu </w:t>
                    </w:r>
                    <w:r>
                      <w:rPr>
                        <w:color w:val="231F20"/>
                        <w:spacing w:val="-3"/>
                        <w:sz w:val="16"/>
                      </w:rPr>
                      <w:t xml:space="preserve">vozidla </w:t>
                    </w:r>
                    <w:r>
                      <w:rPr>
                        <w:color w:val="231F20"/>
                        <w:sz w:val="16"/>
                      </w:rPr>
                      <w:t>bez ohledu na počet</w:t>
                    </w:r>
                    <w:r>
                      <w:rPr>
                        <w:color w:val="231F20"/>
                        <w:spacing w:val="4"/>
                        <w:sz w:val="16"/>
                      </w:rPr>
                      <w:t xml:space="preserve"> </w:t>
                    </w:r>
                    <w:r>
                      <w:rPr>
                        <w:color w:val="231F20"/>
                        <w:sz w:val="16"/>
                      </w:rPr>
                      <w:t>poškozených</w:t>
                    </w:r>
                  </w:p>
                  <w:p w14:paraId="098AFFFC" w14:textId="77777777" w:rsidR="00F65BCA" w:rsidRDefault="00216117">
                    <w:pPr>
                      <w:spacing w:before="47" w:line="177" w:lineRule="exact"/>
                      <w:ind w:left="793"/>
                      <w:rPr>
                        <w:b/>
                        <w:sz w:val="16"/>
                      </w:rPr>
                    </w:pPr>
                    <w:r>
                      <w:rPr>
                        <w:b/>
                        <w:color w:val="231F20"/>
                        <w:sz w:val="16"/>
                      </w:rPr>
                      <w:t>Havarijní pojištění</w:t>
                    </w:r>
                  </w:p>
                  <w:p w14:paraId="348B1827" w14:textId="77777777" w:rsidR="00F65BCA" w:rsidRDefault="00216117">
                    <w:pPr>
                      <w:spacing w:before="5" w:line="220" w:lineRule="auto"/>
                      <w:ind w:left="793"/>
                      <w:rPr>
                        <w:sz w:val="16"/>
                      </w:rPr>
                    </w:pPr>
                    <w:r>
                      <w:rPr>
                        <w:b/>
                        <w:color w:val="231F20"/>
                        <w:sz w:val="16"/>
                      </w:rPr>
                      <w:t xml:space="preserve">horní hranicí pojistného plnění </w:t>
                    </w:r>
                    <w:r>
                      <w:rPr>
                        <w:color w:val="231F20"/>
                        <w:sz w:val="16"/>
                      </w:rPr>
                      <w:t>pojistná částka nebo limit pojistného plnění uvedené v pojistné smlouvě, které stanoví pojistník na vlastní odpovědnost</w:t>
                    </w:r>
                  </w:p>
                  <w:p w14:paraId="572A4D15" w14:textId="77777777" w:rsidR="00F65BCA" w:rsidRDefault="00216117">
                    <w:pPr>
                      <w:spacing w:before="47" w:line="177" w:lineRule="exact"/>
                      <w:ind w:left="793"/>
                      <w:rPr>
                        <w:b/>
                        <w:sz w:val="16"/>
                      </w:rPr>
                    </w:pPr>
                    <w:r>
                      <w:rPr>
                        <w:b/>
                        <w:color w:val="231F20"/>
                        <w:sz w:val="16"/>
                      </w:rPr>
                      <w:t>Doplňkové pojištění asistence</w:t>
                    </w:r>
                  </w:p>
                  <w:p w14:paraId="0CDC1252" w14:textId="77777777" w:rsidR="00F65BCA" w:rsidRDefault="00216117">
                    <w:pPr>
                      <w:spacing w:before="5" w:line="220" w:lineRule="auto"/>
                      <w:ind w:left="935" w:right="268" w:hanging="105"/>
                      <w:rPr>
                        <w:sz w:val="16"/>
                      </w:rPr>
                    </w:pPr>
                    <w:r>
                      <w:rPr>
                        <w:color w:val="231F20"/>
                        <w:sz w:val="16"/>
                      </w:rPr>
                      <w:t xml:space="preserve">  </w:t>
                    </w:r>
                    <w:r>
                      <w:rPr>
                        <w:b/>
                        <w:color w:val="231F20"/>
                        <w:sz w:val="16"/>
                      </w:rPr>
                      <w:t xml:space="preserve">rozsah pojištění </w:t>
                    </w:r>
                    <w:r>
                      <w:rPr>
                        <w:color w:val="231F20"/>
                        <w:sz w:val="16"/>
                      </w:rPr>
                      <w:t xml:space="preserve">asistence a </w:t>
                    </w:r>
                    <w:r>
                      <w:rPr>
                        <w:b/>
                        <w:color w:val="231F20"/>
                        <w:sz w:val="16"/>
                      </w:rPr>
                      <w:t xml:space="preserve">limity pojistného plnění </w:t>
                    </w:r>
                    <w:r>
                      <w:rPr>
                        <w:color w:val="231F20"/>
                        <w:spacing w:val="-3"/>
                        <w:sz w:val="16"/>
                      </w:rPr>
                      <w:t xml:space="preserve">pro </w:t>
                    </w:r>
                    <w:r>
                      <w:rPr>
                        <w:color w:val="231F20"/>
                        <w:spacing w:val="-4"/>
                        <w:sz w:val="16"/>
                      </w:rPr>
                      <w:t xml:space="preserve">jednotlivé varianty asistence </w:t>
                    </w:r>
                    <w:r>
                      <w:rPr>
                        <w:color w:val="231F20"/>
                        <w:spacing w:val="-3"/>
                        <w:sz w:val="16"/>
                      </w:rPr>
                      <w:t xml:space="preserve">jsou </w:t>
                    </w:r>
                    <w:r>
                      <w:rPr>
                        <w:color w:val="231F20"/>
                        <w:spacing w:val="-4"/>
                        <w:sz w:val="16"/>
                      </w:rPr>
                      <w:t xml:space="preserve">uvedeny </w:t>
                    </w:r>
                    <w:r>
                      <w:rPr>
                        <w:color w:val="231F20"/>
                        <w:sz w:val="16"/>
                      </w:rPr>
                      <w:t xml:space="preserve">v </w:t>
                    </w:r>
                    <w:r>
                      <w:rPr>
                        <w:color w:val="231F20"/>
                        <w:spacing w:val="-4"/>
                        <w:sz w:val="16"/>
                      </w:rPr>
                      <w:t xml:space="preserve">tabulkách </w:t>
                    </w:r>
                    <w:r>
                      <w:rPr>
                        <w:color w:val="231F20"/>
                        <w:sz w:val="16"/>
                      </w:rPr>
                      <w:t>Rozsah pojištění asistence v pojistných podmínkách</w:t>
                    </w:r>
                  </w:p>
                  <w:p w14:paraId="71B798A5" w14:textId="77777777" w:rsidR="00F65BCA" w:rsidRDefault="00216117">
                    <w:pPr>
                      <w:spacing w:before="47" w:line="177" w:lineRule="exact"/>
                      <w:ind w:left="793"/>
                      <w:rPr>
                        <w:b/>
                        <w:sz w:val="16"/>
                      </w:rPr>
                    </w:pPr>
                    <w:r>
                      <w:rPr>
                        <w:b/>
                        <w:color w:val="231F20"/>
                        <w:sz w:val="16"/>
                      </w:rPr>
                      <w:t>Doplňkové úrazové pojištění dopravovaných osob</w:t>
                    </w:r>
                  </w:p>
                  <w:p w14:paraId="2B67EF5F" w14:textId="77777777" w:rsidR="00F65BCA" w:rsidRDefault="00216117">
                    <w:pPr>
                      <w:spacing w:before="5" w:line="220" w:lineRule="auto"/>
                      <w:ind w:left="935" w:hanging="106"/>
                      <w:rPr>
                        <w:sz w:val="16"/>
                      </w:rPr>
                    </w:pPr>
                    <w:r>
                      <w:rPr>
                        <w:color w:val="231F20"/>
                        <w:sz w:val="16"/>
                      </w:rPr>
                      <w:t xml:space="preserve">  </w:t>
                    </w:r>
                    <w:r>
                      <w:rPr>
                        <w:b/>
                        <w:color w:val="231F20"/>
                        <w:spacing w:val="-4"/>
                        <w:sz w:val="16"/>
                      </w:rPr>
                      <w:t xml:space="preserve">pojistnými částkami </w:t>
                    </w:r>
                    <w:r>
                      <w:rPr>
                        <w:color w:val="231F20"/>
                        <w:sz w:val="16"/>
                      </w:rPr>
                      <w:t xml:space="preserve">za </w:t>
                    </w:r>
                    <w:r>
                      <w:rPr>
                        <w:color w:val="231F20"/>
                        <w:spacing w:val="-4"/>
                        <w:sz w:val="16"/>
                      </w:rPr>
                      <w:t xml:space="preserve">smrt, trvalé následky </w:t>
                    </w:r>
                    <w:r>
                      <w:rPr>
                        <w:color w:val="231F20"/>
                        <w:spacing w:val="-3"/>
                        <w:sz w:val="16"/>
                      </w:rPr>
                      <w:t xml:space="preserve">nebo </w:t>
                    </w:r>
                    <w:r>
                      <w:rPr>
                        <w:color w:val="231F20"/>
                        <w:spacing w:val="-4"/>
                        <w:sz w:val="16"/>
                      </w:rPr>
                      <w:t xml:space="preserve">příp. dobu </w:t>
                    </w:r>
                    <w:r>
                      <w:rPr>
                        <w:color w:val="231F20"/>
                        <w:sz w:val="16"/>
                      </w:rPr>
                      <w:t>nezbytného léčení, které jsou ujednány v pojistné smlouvě</w:t>
                    </w:r>
                  </w:p>
                  <w:p w14:paraId="4D56EC0C" w14:textId="77777777" w:rsidR="00F65BCA" w:rsidRDefault="00216117">
                    <w:pPr>
                      <w:spacing w:before="74" w:line="177" w:lineRule="exact"/>
                      <w:ind w:left="793"/>
                      <w:rPr>
                        <w:sz w:val="16"/>
                      </w:rPr>
                    </w:pPr>
                    <w:r>
                      <w:rPr>
                        <w:color w:val="231F20"/>
                        <w:sz w:val="16"/>
                      </w:rPr>
                      <w:t>Neposkytujeme pojistné krytí na území států a regionů</w:t>
                    </w:r>
                  </w:p>
                  <w:p w14:paraId="1AAA6EB7" w14:textId="77777777" w:rsidR="00F65BCA" w:rsidRDefault="00216117">
                    <w:pPr>
                      <w:spacing w:before="5" w:line="220" w:lineRule="auto"/>
                      <w:ind w:left="793" w:right="362"/>
                      <w:rPr>
                        <w:sz w:val="16"/>
                      </w:rPr>
                    </w:pPr>
                    <w:r>
                      <w:rPr>
                        <w:color w:val="231F20"/>
                        <w:sz w:val="16"/>
                      </w:rPr>
                      <w:t xml:space="preserve">s úplným embargem nebo pokud by krytí bylo v </w:t>
                    </w:r>
                    <w:r>
                      <w:rPr>
                        <w:color w:val="231F20"/>
                        <w:spacing w:val="-3"/>
                        <w:sz w:val="16"/>
                      </w:rPr>
                      <w:t xml:space="preserve">rozporu </w:t>
                    </w:r>
                    <w:r>
                      <w:rPr>
                        <w:color w:val="231F20"/>
                        <w:sz w:val="16"/>
                      </w:rPr>
                      <w:t xml:space="preserve">s mezinárodními sankcemi. Více informací na </w:t>
                    </w:r>
                    <w:hyperlink r:id="rId22">
                      <w:r>
                        <w:rPr>
                          <w:color w:val="231F20"/>
                          <w:sz w:val="16"/>
                        </w:rPr>
                        <w:t>http://www.generaliceska.cz/sankce-zemi-osob.</w:t>
                      </w:r>
                    </w:hyperlink>
                  </w:p>
                  <w:p w14:paraId="17661A9B" w14:textId="77777777" w:rsidR="00F65BCA" w:rsidRDefault="00216117">
                    <w:pPr>
                      <w:spacing w:before="2" w:line="220" w:lineRule="auto"/>
                      <w:ind w:left="793" w:right="354"/>
                      <w:rPr>
                        <w:sz w:val="16"/>
                      </w:rPr>
                    </w:pPr>
                    <w:r>
                      <w:rPr>
                        <w:color w:val="231F20"/>
                        <w:sz w:val="16"/>
                      </w:rPr>
                      <w:t>Výčet veškerých omezení a limitů je uveden v pojistných podmínkách, případně v pojistné smlouvě.</w:t>
                    </w:r>
                  </w:p>
                </w:txbxContent>
              </v:textbox>
            </v:shape>
            <w10:wrap anchorx="page"/>
          </v:group>
        </w:pict>
      </w:r>
      <w:r w:rsidR="00216117">
        <w:rPr>
          <w:color w:val="231F20"/>
          <w:sz w:val="14"/>
        </w:rPr>
        <w:t>99.6.20.013</w:t>
      </w:r>
      <w:r w:rsidR="00216117">
        <w:rPr>
          <w:color w:val="231F20"/>
          <w:spacing w:val="38"/>
          <w:sz w:val="14"/>
        </w:rPr>
        <w:t xml:space="preserve"> </w:t>
      </w:r>
      <w:r w:rsidR="00216117">
        <w:rPr>
          <w:color w:val="231F20"/>
          <w:sz w:val="14"/>
        </w:rPr>
        <w:t>05.2025 v05</w:t>
      </w:r>
      <w:r w:rsidR="00216117">
        <w:rPr>
          <w:color w:val="231F20"/>
          <w:sz w:val="14"/>
        </w:rPr>
        <w:tab/>
      </w:r>
      <w:r w:rsidR="00216117">
        <w:rPr>
          <w:color w:val="231F20"/>
          <w:sz w:val="16"/>
        </w:rPr>
        <w:t xml:space="preserve">Informační dokument o pojistném produktu </w:t>
      </w:r>
      <w:r w:rsidR="00216117">
        <w:rPr>
          <w:color w:val="C5271C"/>
          <w:sz w:val="20"/>
        </w:rPr>
        <w:t>|</w:t>
      </w:r>
      <w:r w:rsidR="00216117">
        <w:rPr>
          <w:color w:val="C5271C"/>
          <w:spacing w:val="51"/>
          <w:sz w:val="20"/>
        </w:rPr>
        <w:t xml:space="preserve"> </w:t>
      </w:r>
      <w:r w:rsidR="00216117">
        <w:rPr>
          <w:color w:val="231F20"/>
          <w:sz w:val="16"/>
        </w:rPr>
        <w:t>3</w:t>
      </w:r>
    </w:p>
    <w:p w14:paraId="4DE4C7DC" w14:textId="77777777" w:rsidR="00F65BCA" w:rsidRDefault="00F65BCA">
      <w:pPr>
        <w:rPr>
          <w:sz w:val="16"/>
        </w:rPr>
        <w:sectPr w:rsidR="00F65BCA">
          <w:type w:val="continuous"/>
          <w:pgSz w:w="11910" w:h="16840"/>
          <w:pgMar w:top="840" w:right="140" w:bottom="280" w:left="140" w:header="708" w:footer="708" w:gutter="0"/>
          <w:cols w:space="708"/>
        </w:sectPr>
      </w:pPr>
    </w:p>
    <w:tbl>
      <w:tblPr>
        <w:tblStyle w:val="TableNormal"/>
        <w:tblW w:w="0" w:type="auto"/>
        <w:tblInd w:w="547" w:type="dxa"/>
        <w:tblLayout w:type="fixed"/>
        <w:tblLook w:val="01E0" w:firstRow="1" w:lastRow="1" w:firstColumn="1" w:lastColumn="1" w:noHBand="0" w:noVBand="0"/>
      </w:tblPr>
      <w:tblGrid>
        <w:gridCol w:w="5581"/>
        <w:gridCol w:w="4963"/>
      </w:tblGrid>
      <w:tr w:rsidR="00F65BCA" w14:paraId="2811D531" w14:textId="77777777">
        <w:trPr>
          <w:trHeight w:val="1966"/>
        </w:trPr>
        <w:tc>
          <w:tcPr>
            <w:tcW w:w="10544" w:type="dxa"/>
            <w:gridSpan w:val="2"/>
            <w:tcBorders>
              <w:bottom w:val="single" w:sz="48" w:space="0" w:color="FFFFFF"/>
            </w:tcBorders>
          </w:tcPr>
          <w:p w14:paraId="5CD414D1" w14:textId="77777777" w:rsidR="00F65BCA" w:rsidRDefault="00216117">
            <w:pPr>
              <w:pStyle w:val="TableParagraph"/>
              <w:spacing w:before="120"/>
              <w:ind w:left="793"/>
              <w:rPr>
                <w:b/>
                <w:sz w:val="23"/>
              </w:rPr>
            </w:pPr>
            <w:r>
              <w:rPr>
                <w:b/>
                <w:color w:val="231F20"/>
                <w:sz w:val="23"/>
              </w:rPr>
              <w:lastRenderedPageBreak/>
              <w:t>Kde se na mne vztahuje pojistné krytí?</w:t>
            </w:r>
          </w:p>
          <w:p w14:paraId="4F2F8438" w14:textId="77777777" w:rsidR="00F65BCA" w:rsidRDefault="00216117">
            <w:pPr>
              <w:pStyle w:val="TableParagraph"/>
              <w:spacing w:before="86"/>
              <w:ind w:left="793"/>
              <w:rPr>
                <w:b/>
                <w:sz w:val="16"/>
              </w:rPr>
            </w:pPr>
            <w:r>
              <w:rPr>
                <w:b/>
                <w:color w:val="231F20"/>
                <w:sz w:val="16"/>
              </w:rPr>
              <w:t>Povinné ručení</w:t>
            </w:r>
          </w:p>
          <w:p w14:paraId="6CF04091" w14:textId="77777777" w:rsidR="00F65BCA" w:rsidRDefault="00216117">
            <w:pPr>
              <w:pStyle w:val="TableParagraph"/>
              <w:spacing w:before="15" w:line="259" w:lineRule="auto"/>
              <w:ind w:left="1020" w:hanging="227"/>
              <w:rPr>
                <w:sz w:val="16"/>
              </w:rPr>
            </w:pPr>
            <w:r>
              <w:rPr>
                <w:noProof/>
              </w:rPr>
              <w:drawing>
                <wp:inline distT="0" distB="0" distL="0" distR="0" wp14:anchorId="0589F552" wp14:editId="1895108D">
                  <wp:extent cx="106394" cy="104775"/>
                  <wp:effectExtent l="0" t="0" r="0" b="0"/>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23" cstate="print"/>
                          <a:stretch>
                            <a:fillRect/>
                          </a:stretch>
                        </pic:blipFill>
                        <pic:spPr>
                          <a:xfrm>
                            <a:off x="0" y="0"/>
                            <a:ext cx="106394" cy="104775"/>
                          </a:xfrm>
                          <a:prstGeom prst="rect">
                            <a:avLst/>
                          </a:prstGeom>
                        </pic:spPr>
                      </pic:pic>
                    </a:graphicData>
                  </a:graphic>
                </wp:inline>
              </w:drawing>
            </w:r>
            <w:r>
              <w:rPr>
                <w:color w:val="231F20"/>
                <w:position w:val="2"/>
                <w:sz w:val="14"/>
              </w:rPr>
              <w:t xml:space="preserve"> </w:t>
            </w:r>
            <w:r>
              <w:rPr>
                <w:color w:val="231F20"/>
                <w:spacing w:val="-20"/>
                <w:position w:val="2"/>
                <w:sz w:val="14"/>
              </w:rPr>
              <w:t xml:space="preserve"> </w:t>
            </w:r>
            <w:r>
              <w:rPr>
                <w:color w:val="231F20"/>
                <w:position w:val="2"/>
                <w:sz w:val="16"/>
              </w:rPr>
              <w:t xml:space="preserve">území členských států Evropské unie a dalších států tvořících Evropský hospodářský prostor, území států, která určí shromáždění </w:t>
            </w:r>
            <w:r>
              <w:rPr>
                <w:color w:val="231F20"/>
                <w:sz w:val="16"/>
              </w:rPr>
              <w:t>členů České kanceláře pojistitelů a území států vyznačených na zelené</w:t>
            </w:r>
            <w:r>
              <w:rPr>
                <w:color w:val="231F20"/>
                <w:spacing w:val="-1"/>
                <w:sz w:val="16"/>
              </w:rPr>
              <w:t xml:space="preserve"> </w:t>
            </w:r>
            <w:r>
              <w:rPr>
                <w:color w:val="231F20"/>
                <w:sz w:val="16"/>
              </w:rPr>
              <w:t>kartě</w:t>
            </w:r>
          </w:p>
          <w:p w14:paraId="57E9EDEA" w14:textId="77777777" w:rsidR="00F65BCA" w:rsidRDefault="00216117">
            <w:pPr>
              <w:pStyle w:val="TableParagraph"/>
              <w:spacing w:before="117"/>
              <w:ind w:left="793"/>
              <w:rPr>
                <w:b/>
                <w:sz w:val="16"/>
              </w:rPr>
            </w:pPr>
            <w:r>
              <w:rPr>
                <w:b/>
                <w:color w:val="231F20"/>
                <w:sz w:val="16"/>
              </w:rPr>
              <w:t>Ostatní pojištění</w:t>
            </w:r>
          </w:p>
          <w:p w14:paraId="445911EF" w14:textId="77777777" w:rsidR="00F65BCA" w:rsidRDefault="00216117">
            <w:pPr>
              <w:pStyle w:val="TableParagraph"/>
              <w:spacing w:before="15" w:line="259" w:lineRule="auto"/>
              <w:ind w:left="1020" w:right="271" w:hanging="227"/>
              <w:rPr>
                <w:sz w:val="16"/>
              </w:rPr>
            </w:pPr>
            <w:r>
              <w:rPr>
                <w:noProof/>
              </w:rPr>
              <w:drawing>
                <wp:inline distT="0" distB="0" distL="0" distR="0" wp14:anchorId="29A8A8D2" wp14:editId="46615196">
                  <wp:extent cx="106394" cy="104775"/>
                  <wp:effectExtent l="0" t="0" r="0" b="0"/>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23" cstate="print"/>
                          <a:stretch>
                            <a:fillRect/>
                          </a:stretch>
                        </pic:blipFill>
                        <pic:spPr>
                          <a:xfrm>
                            <a:off x="0" y="0"/>
                            <a:ext cx="106394" cy="104775"/>
                          </a:xfrm>
                          <a:prstGeom prst="rect">
                            <a:avLst/>
                          </a:prstGeom>
                        </pic:spPr>
                      </pic:pic>
                    </a:graphicData>
                  </a:graphic>
                </wp:inline>
              </w:drawing>
            </w:r>
            <w:r>
              <w:rPr>
                <w:color w:val="231F20"/>
                <w:position w:val="2"/>
                <w:sz w:val="14"/>
              </w:rPr>
              <w:t xml:space="preserve"> </w:t>
            </w:r>
            <w:r>
              <w:rPr>
                <w:color w:val="231F20"/>
                <w:spacing w:val="-20"/>
                <w:position w:val="2"/>
                <w:sz w:val="14"/>
              </w:rPr>
              <w:t xml:space="preserve"> </w:t>
            </w:r>
            <w:r>
              <w:rPr>
                <w:color w:val="231F20"/>
                <w:position w:val="2"/>
                <w:sz w:val="16"/>
              </w:rPr>
              <w:t xml:space="preserve">geografické území Evropy a Turecka, s výjimkou Arménie, Ázerbájdžánu, Běloruska, Gruzie, Moldavska, Ruska a Ukrajiny, </w:t>
            </w:r>
            <w:r>
              <w:rPr>
                <w:color w:val="231F20"/>
                <w:spacing w:val="-4"/>
                <w:position w:val="2"/>
                <w:sz w:val="16"/>
              </w:rPr>
              <w:t xml:space="preserve">pokud </w:t>
            </w:r>
            <w:r>
              <w:rPr>
                <w:color w:val="231F20"/>
                <w:sz w:val="16"/>
              </w:rPr>
              <w:t>není v pojistné smlouvě nebo pojistných podmínkách uvedeno</w:t>
            </w:r>
            <w:r>
              <w:rPr>
                <w:color w:val="231F20"/>
                <w:spacing w:val="3"/>
                <w:sz w:val="16"/>
              </w:rPr>
              <w:t xml:space="preserve"> </w:t>
            </w:r>
            <w:r>
              <w:rPr>
                <w:color w:val="231F20"/>
                <w:sz w:val="16"/>
              </w:rPr>
              <w:t>jinak</w:t>
            </w:r>
          </w:p>
        </w:tc>
      </w:tr>
      <w:tr w:rsidR="00F65BCA" w14:paraId="234B7D91" w14:textId="77777777">
        <w:trPr>
          <w:trHeight w:val="6144"/>
        </w:trPr>
        <w:tc>
          <w:tcPr>
            <w:tcW w:w="5581" w:type="dxa"/>
            <w:tcBorders>
              <w:top w:val="single" w:sz="48" w:space="0" w:color="FFFFFF"/>
              <w:bottom w:val="single" w:sz="48" w:space="0" w:color="FFFFFF"/>
            </w:tcBorders>
          </w:tcPr>
          <w:p w14:paraId="4F2C8AB2" w14:textId="77777777" w:rsidR="00F65BCA" w:rsidRDefault="00216117">
            <w:pPr>
              <w:pStyle w:val="TableParagraph"/>
              <w:spacing w:before="102"/>
              <w:ind w:left="793"/>
              <w:rPr>
                <w:b/>
                <w:sz w:val="23"/>
              </w:rPr>
            </w:pPr>
            <w:r>
              <w:rPr>
                <w:b/>
                <w:color w:val="231F20"/>
                <w:sz w:val="23"/>
              </w:rPr>
              <w:t>Jaké mám povinnosti?</w:t>
            </w:r>
          </w:p>
          <w:p w14:paraId="7AD1BCF5" w14:textId="77777777" w:rsidR="00F65BCA" w:rsidRDefault="00216117">
            <w:pPr>
              <w:pStyle w:val="TableParagraph"/>
              <w:numPr>
                <w:ilvl w:val="0"/>
                <w:numId w:val="145"/>
              </w:numPr>
              <w:tabs>
                <w:tab w:val="left" w:pos="936"/>
              </w:tabs>
              <w:spacing w:before="86"/>
              <w:ind w:hanging="143"/>
              <w:rPr>
                <w:sz w:val="16"/>
              </w:rPr>
            </w:pPr>
            <w:r>
              <w:rPr>
                <w:color w:val="231F20"/>
                <w:sz w:val="16"/>
              </w:rPr>
              <w:t>řádně a včas hradit</w:t>
            </w:r>
            <w:r>
              <w:rPr>
                <w:color w:val="231F20"/>
                <w:spacing w:val="1"/>
                <w:sz w:val="16"/>
              </w:rPr>
              <w:t xml:space="preserve"> </w:t>
            </w:r>
            <w:r>
              <w:rPr>
                <w:color w:val="231F20"/>
                <w:sz w:val="16"/>
              </w:rPr>
              <w:t>pojistné</w:t>
            </w:r>
          </w:p>
          <w:p w14:paraId="5B4AEB3A" w14:textId="77777777" w:rsidR="00F65BCA" w:rsidRDefault="00216117">
            <w:pPr>
              <w:pStyle w:val="TableParagraph"/>
              <w:numPr>
                <w:ilvl w:val="0"/>
                <w:numId w:val="145"/>
              </w:numPr>
              <w:tabs>
                <w:tab w:val="left" w:pos="936"/>
              </w:tabs>
              <w:spacing w:before="16"/>
              <w:ind w:hanging="143"/>
              <w:rPr>
                <w:sz w:val="16"/>
              </w:rPr>
            </w:pPr>
            <w:r>
              <w:rPr>
                <w:color w:val="231F20"/>
                <w:sz w:val="16"/>
              </w:rPr>
              <w:t>seznámit každého pojištěného a další oprávněné</w:t>
            </w:r>
            <w:r>
              <w:rPr>
                <w:color w:val="231F20"/>
                <w:spacing w:val="4"/>
                <w:sz w:val="16"/>
              </w:rPr>
              <w:t xml:space="preserve"> </w:t>
            </w:r>
            <w:r>
              <w:rPr>
                <w:color w:val="231F20"/>
                <w:sz w:val="16"/>
              </w:rPr>
              <w:t>osoby</w:t>
            </w:r>
          </w:p>
          <w:p w14:paraId="642F0362" w14:textId="77777777" w:rsidR="00F65BCA" w:rsidRDefault="00216117">
            <w:pPr>
              <w:pStyle w:val="TableParagraph"/>
              <w:spacing w:before="16" w:line="261" w:lineRule="auto"/>
              <w:ind w:left="935"/>
              <w:rPr>
                <w:sz w:val="16"/>
              </w:rPr>
            </w:pPr>
            <w:r>
              <w:rPr>
                <w:color w:val="231F20"/>
                <w:sz w:val="16"/>
              </w:rPr>
              <w:t>s obsahem pojistné smlouvy a s tím, jakým způsobem jsou zpracovávány jejich osobní údaje</w:t>
            </w:r>
          </w:p>
          <w:p w14:paraId="7AA1B558" w14:textId="77777777" w:rsidR="00F65BCA" w:rsidRDefault="00216117">
            <w:pPr>
              <w:pStyle w:val="TableParagraph"/>
              <w:numPr>
                <w:ilvl w:val="0"/>
                <w:numId w:val="145"/>
              </w:numPr>
              <w:tabs>
                <w:tab w:val="left" w:pos="936"/>
              </w:tabs>
              <w:spacing w:line="261" w:lineRule="auto"/>
              <w:ind w:right="776"/>
              <w:rPr>
                <w:sz w:val="16"/>
              </w:rPr>
            </w:pPr>
            <w:r>
              <w:rPr>
                <w:color w:val="231F20"/>
                <w:sz w:val="16"/>
              </w:rPr>
              <w:t xml:space="preserve">oznámit jakoukoliv změnu nebo zánik pojistného </w:t>
            </w:r>
            <w:r>
              <w:rPr>
                <w:color w:val="231F20"/>
                <w:spacing w:val="-3"/>
                <w:sz w:val="16"/>
              </w:rPr>
              <w:t xml:space="preserve">rizika </w:t>
            </w:r>
            <w:r>
              <w:rPr>
                <w:color w:val="231F20"/>
                <w:sz w:val="16"/>
              </w:rPr>
              <w:t>a pojistného zájmu, změnu podstatných</w:t>
            </w:r>
            <w:r>
              <w:rPr>
                <w:color w:val="231F20"/>
                <w:spacing w:val="26"/>
                <w:sz w:val="16"/>
              </w:rPr>
              <w:t xml:space="preserve"> </w:t>
            </w:r>
            <w:r>
              <w:rPr>
                <w:color w:val="231F20"/>
                <w:sz w:val="16"/>
              </w:rPr>
              <w:t>skutečností</w:t>
            </w:r>
          </w:p>
          <w:p w14:paraId="28B6DCA4" w14:textId="77777777" w:rsidR="00F65BCA" w:rsidRDefault="00216117">
            <w:pPr>
              <w:pStyle w:val="TableParagraph"/>
              <w:spacing w:line="261" w:lineRule="auto"/>
              <w:ind w:left="935" w:right="23"/>
              <w:rPr>
                <w:sz w:val="16"/>
              </w:rPr>
            </w:pPr>
            <w:r>
              <w:rPr>
                <w:color w:val="231F20"/>
                <w:sz w:val="16"/>
              </w:rPr>
              <w:t>(např. změnu jména, příjmení, názvu, adresy, elektronické adresy, dále úpadek nebo hrozící úpadek)</w:t>
            </w:r>
          </w:p>
          <w:p w14:paraId="0A3B5A2C" w14:textId="77777777" w:rsidR="00F65BCA" w:rsidRDefault="00216117">
            <w:pPr>
              <w:pStyle w:val="TableParagraph"/>
              <w:numPr>
                <w:ilvl w:val="0"/>
                <w:numId w:val="145"/>
              </w:numPr>
              <w:tabs>
                <w:tab w:val="left" w:pos="936"/>
              </w:tabs>
              <w:spacing w:line="261" w:lineRule="auto"/>
              <w:ind w:right="464"/>
              <w:rPr>
                <w:sz w:val="16"/>
              </w:rPr>
            </w:pPr>
            <w:r>
              <w:rPr>
                <w:color w:val="231F20"/>
                <w:sz w:val="16"/>
              </w:rPr>
              <w:t xml:space="preserve">činit veškerá opatření nutná k předcházení vzniku škodní události, a pokud tato přesto nastane, k minimalizaci </w:t>
            </w:r>
            <w:r>
              <w:rPr>
                <w:color w:val="231F20"/>
                <w:spacing w:val="-3"/>
                <w:sz w:val="16"/>
              </w:rPr>
              <w:t xml:space="preserve">jejího </w:t>
            </w:r>
            <w:r>
              <w:rPr>
                <w:color w:val="231F20"/>
                <w:sz w:val="16"/>
              </w:rPr>
              <w:t>rozsahu a</w:t>
            </w:r>
            <w:r>
              <w:rPr>
                <w:color w:val="231F20"/>
                <w:spacing w:val="-1"/>
                <w:sz w:val="16"/>
              </w:rPr>
              <w:t xml:space="preserve"> </w:t>
            </w:r>
            <w:r>
              <w:rPr>
                <w:color w:val="231F20"/>
                <w:sz w:val="16"/>
              </w:rPr>
              <w:t>následků</w:t>
            </w:r>
          </w:p>
          <w:p w14:paraId="21FEEE40" w14:textId="77777777" w:rsidR="00F65BCA" w:rsidRDefault="00216117">
            <w:pPr>
              <w:pStyle w:val="TableParagraph"/>
              <w:numPr>
                <w:ilvl w:val="0"/>
                <w:numId w:val="145"/>
              </w:numPr>
              <w:tabs>
                <w:tab w:val="left" w:pos="936"/>
              </w:tabs>
              <w:spacing w:line="261" w:lineRule="auto"/>
              <w:ind w:right="536"/>
              <w:jc w:val="both"/>
              <w:rPr>
                <w:sz w:val="16"/>
              </w:rPr>
            </w:pPr>
            <w:r>
              <w:rPr>
                <w:color w:val="231F20"/>
                <w:sz w:val="16"/>
              </w:rPr>
              <w:t xml:space="preserve">oznámit bez zbytečného odkladu, nejdéle však do 30 </w:t>
            </w:r>
            <w:r>
              <w:rPr>
                <w:color w:val="231F20"/>
                <w:spacing w:val="-6"/>
                <w:sz w:val="16"/>
              </w:rPr>
              <w:t xml:space="preserve">dnů </w:t>
            </w:r>
            <w:r>
              <w:rPr>
                <w:color w:val="231F20"/>
                <w:sz w:val="16"/>
              </w:rPr>
              <w:t>od okamžiku zjištění škodní události, pojistiteli, že škodní událost nastala</w:t>
            </w:r>
          </w:p>
          <w:p w14:paraId="4C06E3CB" w14:textId="77777777" w:rsidR="00F65BCA" w:rsidRDefault="00216117">
            <w:pPr>
              <w:pStyle w:val="TableParagraph"/>
              <w:numPr>
                <w:ilvl w:val="0"/>
                <w:numId w:val="145"/>
              </w:numPr>
              <w:tabs>
                <w:tab w:val="left" w:pos="936"/>
              </w:tabs>
              <w:spacing w:line="261" w:lineRule="auto"/>
              <w:ind w:right="142"/>
              <w:rPr>
                <w:sz w:val="16"/>
              </w:rPr>
            </w:pPr>
            <w:r>
              <w:rPr>
                <w:color w:val="231F20"/>
                <w:sz w:val="16"/>
              </w:rPr>
              <w:t xml:space="preserve">při uplatnění práva na pojistné plnění předložit veškeré </w:t>
            </w:r>
            <w:r>
              <w:rPr>
                <w:color w:val="231F20"/>
                <w:spacing w:val="-3"/>
                <w:sz w:val="16"/>
              </w:rPr>
              <w:t xml:space="preserve">doklady </w:t>
            </w:r>
            <w:r>
              <w:rPr>
                <w:color w:val="231F20"/>
                <w:sz w:val="16"/>
              </w:rPr>
              <w:t>požadované pojistitelem</w:t>
            </w:r>
          </w:p>
          <w:p w14:paraId="3F5DB4B8" w14:textId="77777777" w:rsidR="00F65BCA" w:rsidRDefault="00216117">
            <w:pPr>
              <w:pStyle w:val="TableParagraph"/>
              <w:numPr>
                <w:ilvl w:val="0"/>
                <w:numId w:val="145"/>
              </w:numPr>
              <w:tabs>
                <w:tab w:val="left" w:pos="936"/>
              </w:tabs>
              <w:spacing w:line="261" w:lineRule="auto"/>
              <w:ind w:right="749"/>
              <w:rPr>
                <w:sz w:val="16"/>
              </w:rPr>
            </w:pPr>
            <w:r>
              <w:rPr>
                <w:color w:val="231F20"/>
                <w:sz w:val="16"/>
              </w:rPr>
              <w:t xml:space="preserve">umožnit pojistiteli nebo jím pověřeným osobám </w:t>
            </w:r>
            <w:r>
              <w:rPr>
                <w:color w:val="231F20"/>
                <w:spacing w:val="-3"/>
                <w:sz w:val="16"/>
              </w:rPr>
              <w:t xml:space="preserve">šetření </w:t>
            </w:r>
            <w:r>
              <w:rPr>
                <w:color w:val="231F20"/>
                <w:sz w:val="16"/>
              </w:rPr>
              <w:t>nezbytná pro posouzení nároku na pojistné</w:t>
            </w:r>
            <w:r>
              <w:rPr>
                <w:color w:val="231F20"/>
                <w:spacing w:val="5"/>
                <w:sz w:val="16"/>
              </w:rPr>
              <w:t xml:space="preserve"> </w:t>
            </w:r>
            <w:r>
              <w:rPr>
                <w:color w:val="231F20"/>
                <w:sz w:val="16"/>
              </w:rPr>
              <w:t>plnění</w:t>
            </w:r>
          </w:p>
          <w:p w14:paraId="08EAC5BF" w14:textId="77777777" w:rsidR="00F65BCA" w:rsidRDefault="00216117">
            <w:pPr>
              <w:pStyle w:val="TableParagraph"/>
              <w:numPr>
                <w:ilvl w:val="0"/>
                <w:numId w:val="145"/>
              </w:numPr>
              <w:tabs>
                <w:tab w:val="left" w:pos="936"/>
              </w:tabs>
              <w:spacing w:line="261" w:lineRule="auto"/>
              <w:ind w:right="168"/>
              <w:rPr>
                <w:sz w:val="16"/>
              </w:rPr>
            </w:pPr>
            <w:r>
              <w:rPr>
                <w:color w:val="231F20"/>
                <w:sz w:val="16"/>
              </w:rPr>
              <w:t>pojistiteli sdělit, že poškozený uplatnil proti pojištěnému právo na</w:t>
            </w:r>
            <w:r>
              <w:rPr>
                <w:color w:val="231F20"/>
                <w:spacing w:val="7"/>
                <w:sz w:val="16"/>
              </w:rPr>
              <w:t xml:space="preserve"> </w:t>
            </w:r>
            <w:r>
              <w:rPr>
                <w:color w:val="231F20"/>
                <w:sz w:val="16"/>
              </w:rPr>
              <w:t>náhradu</w:t>
            </w:r>
            <w:r>
              <w:rPr>
                <w:color w:val="231F20"/>
                <w:spacing w:val="8"/>
                <w:sz w:val="16"/>
              </w:rPr>
              <w:t xml:space="preserve"> </w:t>
            </w:r>
            <w:r>
              <w:rPr>
                <w:color w:val="231F20"/>
                <w:sz w:val="16"/>
              </w:rPr>
              <w:t>škody</w:t>
            </w:r>
            <w:r>
              <w:rPr>
                <w:color w:val="231F20"/>
                <w:spacing w:val="7"/>
                <w:sz w:val="16"/>
              </w:rPr>
              <w:t xml:space="preserve"> </w:t>
            </w:r>
            <w:r>
              <w:rPr>
                <w:color w:val="231F20"/>
                <w:sz w:val="16"/>
              </w:rPr>
              <w:t>či</w:t>
            </w:r>
            <w:r>
              <w:rPr>
                <w:color w:val="231F20"/>
                <w:spacing w:val="8"/>
                <w:sz w:val="16"/>
              </w:rPr>
              <w:t xml:space="preserve"> </w:t>
            </w:r>
            <w:r>
              <w:rPr>
                <w:color w:val="231F20"/>
                <w:sz w:val="16"/>
              </w:rPr>
              <w:t>újmy,</w:t>
            </w:r>
            <w:r>
              <w:rPr>
                <w:color w:val="231F20"/>
                <w:spacing w:val="7"/>
                <w:sz w:val="16"/>
              </w:rPr>
              <w:t xml:space="preserve"> </w:t>
            </w:r>
            <w:r>
              <w:rPr>
                <w:color w:val="231F20"/>
                <w:sz w:val="16"/>
              </w:rPr>
              <w:t>postupovat</w:t>
            </w:r>
            <w:r>
              <w:rPr>
                <w:color w:val="231F20"/>
                <w:spacing w:val="8"/>
                <w:sz w:val="16"/>
              </w:rPr>
              <w:t xml:space="preserve"> </w:t>
            </w:r>
            <w:r>
              <w:rPr>
                <w:color w:val="231F20"/>
                <w:sz w:val="16"/>
              </w:rPr>
              <w:t>podle</w:t>
            </w:r>
            <w:r>
              <w:rPr>
                <w:color w:val="231F20"/>
                <w:spacing w:val="8"/>
                <w:sz w:val="16"/>
              </w:rPr>
              <w:t xml:space="preserve"> </w:t>
            </w:r>
            <w:r>
              <w:rPr>
                <w:color w:val="231F20"/>
                <w:sz w:val="16"/>
              </w:rPr>
              <w:t>pokynů</w:t>
            </w:r>
            <w:r>
              <w:rPr>
                <w:color w:val="231F20"/>
                <w:spacing w:val="7"/>
                <w:sz w:val="16"/>
              </w:rPr>
              <w:t xml:space="preserve"> </w:t>
            </w:r>
            <w:r>
              <w:rPr>
                <w:color w:val="231F20"/>
                <w:sz w:val="16"/>
              </w:rPr>
              <w:t>pojistitele</w:t>
            </w:r>
          </w:p>
          <w:p w14:paraId="31B0EE21" w14:textId="77777777" w:rsidR="00F65BCA" w:rsidRDefault="00216117">
            <w:pPr>
              <w:pStyle w:val="TableParagraph"/>
              <w:numPr>
                <w:ilvl w:val="0"/>
                <w:numId w:val="145"/>
              </w:numPr>
              <w:tabs>
                <w:tab w:val="left" w:pos="936"/>
              </w:tabs>
              <w:spacing w:line="261" w:lineRule="auto"/>
              <w:ind w:right="317"/>
              <w:rPr>
                <w:sz w:val="16"/>
              </w:rPr>
            </w:pPr>
            <w:r>
              <w:rPr>
                <w:color w:val="231F20"/>
                <w:sz w:val="16"/>
              </w:rPr>
              <w:t xml:space="preserve">neuzavírat bez souhlasu pojistitele dohodu o narovnání </w:t>
            </w:r>
            <w:r>
              <w:rPr>
                <w:color w:val="231F20"/>
                <w:spacing w:val="-5"/>
                <w:sz w:val="16"/>
              </w:rPr>
              <w:t xml:space="preserve">nebo </w:t>
            </w:r>
            <w:r>
              <w:rPr>
                <w:color w:val="231F20"/>
                <w:sz w:val="16"/>
              </w:rPr>
              <w:t>neumožnit uznání dluhu v jakékoliv formě</w:t>
            </w:r>
          </w:p>
          <w:p w14:paraId="6BAC353D" w14:textId="77777777" w:rsidR="00F65BCA" w:rsidRDefault="00216117">
            <w:pPr>
              <w:pStyle w:val="TableParagraph"/>
              <w:numPr>
                <w:ilvl w:val="0"/>
                <w:numId w:val="145"/>
              </w:numPr>
              <w:tabs>
                <w:tab w:val="left" w:pos="936"/>
              </w:tabs>
              <w:spacing w:line="261" w:lineRule="auto"/>
              <w:ind w:right="424"/>
              <w:rPr>
                <w:sz w:val="16"/>
              </w:rPr>
            </w:pPr>
            <w:r>
              <w:rPr>
                <w:color w:val="231F20"/>
                <w:sz w:val="16"/>
              </w:rPr>
              <w:t xml:space="preserve">neuzavírat soudní smír ani nezapříčinit vydání rozsudku </w:t>
            </w:r>
            <w:r>
              <w:rPr>
                <w:color w:val="231F20"/>
                <w:spacing w:val="-6"/>
                <w:sz w:val="16"/>
              </w:rPr>
              <w:t xml:space="preserve">pro </w:t>
            </w:r>
            <w:r>
              <w:rPr>
                <w:color w:val="231F20"/>
                <w:sz w:val="16"/>
              </w:rPr>
              <w:t>uznání nebo pro</w:t>
            </w:r>
            <w:r>
              <w:rPr>
                <w:color w:val="231F20"/>
                <w:spacing w:val="-1"/>
                <w:sz w:val="16"/>
              </w:rPr>
              <w:t xml:space="preserve"> </w:t>
            </w:r>
            <w:r>
              <w:rPr>
                <w:color w:val="231F20"/>
                <w:sz w:val="16"/>
              </w:rPr>
              <w:t>zmeškání</w:t>
            </w:r>
          </w:p>
          <w:p w14:paraId="4883496A" w14:textId="77777777" w:rsidR="00F65BCA" w:rsidRDefault="00216117">
            <w:pPr>
              <w:pStyle w:val="TableParagraph"/>
              <w:numPr>
                <w:ilvl w:val="0"/>
                <w:numId w:val="145"/>
              </w:numPr>
              <w:tabs>
                <w:tab w:val="left" w:pos="936"/>
              </w:tabs>
              <w:spacing w:line="261" w:lineRule="auto"/>
              <w:ind w:right="444"/>
              <w:rPr>
                <w:sz w:val="16"/>
              </w:rPr>
            </w:pPr>
            <w:r>
              <w:rPr>
                <w:color w:val="231F20"/>
                <w:sz w:val="16"/>
              </w:rPr>
              <w:t xml:space="preserve">nepostupovat bez písemného souhlasu pojistitele právo </w:t>
            </w:r>
            <w:r>
              <w:rPr>
                <w:color w:val="231F20"/>
                <w:spacing w:val="-9"/>
                <w:sz w:val="16"/>
              </w:rPr>
              <w:t xml:space="preserve">na </w:t>
            </w:r>
            <w:r>
              <w:rPr>
                <w:color w:val="231F20"/>
                <w:sz w:val="16"/>
              </w:rPr>
              <w:t>pojistné plnění ze soukromého pojištění třetí</w:t>
            </w:r>
            <w:r>
              <w:rPr>
                <w:color w:val="231F20"/>
                <w:spacing w:val="6"/>
                <w:sz w:val="16"/>
              </w:rPr>
              <w:t xml:space="preserve"> </w:t>
            </w:r>
            <w:r>
              <w:rPr>
                <w:color w:val="231F20"/>
                <w:sz w:val="16"/>
              </w:rPr>
              <w:t>osobě</w:t>
            </w:r>
          </w:p>
          <w:p w14:paraId="6FA442D8" w14:textId="77777777" w:rsidR="00F65BCA" w:rsidRDefault="00216117">
            <w:pPr>
              <w:pStyle w:val="TableParagraph"/>
              <w:spacing w:before="87"/>
              <w:ind w:left="793"/>
              <w:rPr>
                <w:b/>
                <w:sz w:val="16"/>
              </w:rPr>
            </w:pPr>
            <w:r>
              <w:rPr>
                <w:b/>
                <w:color w:val="231F20"/>
                <w:sz w:val="16"/>
              </w:rPr>
              <w:t>U jednotlivých pojištění existují také další povinnosti</w:t>
            </w:r>
          </w:p>
        </w:tc>
        <w:tc>
          <w:tcPr>
            <w:tcW w:w="4963" w:type="dxa"/>
            <w:tcBorders>
              <w:top w:val="single" w:sz="48" w:space="0" w:color="FFFFFF"/>
              <w:bottom w:val="single" w:sz="48" w:space="0" w:color="FFFFFF"/>
            </w:tcBorders>
            <w:shd w:val="clear" w:color="auto" w:fill="E4E9EC"/>
          </w:tcPr>
          <w:p w14:paraId="0BA5426C" w14:textId="77777777" w:rsidR="00F65BCA" w:rsidRDefault="00F65BCA">
            <w:pPr>
              <w:pStyle w:val="TableParagraph"/>
              <w:rPr>
                <w:sz w:val="18"/>
              </w:rPr>
            </w:pPr>
          </w:p>
          <w:p w14:paraId="5DF1D6B7" w14:textId="77777777" w:rsidR="00F65BCA" w:rsidRDefault="00F65BCA">
            <w:pPr>
              <w:pStyle w:val="TableParagraph"/>
              <w:spacing w:before="4"/>
            </w:pPr>
          </w:p>
          <w:p w14:paraId="21C70E23" w14:textId="77777777" w:rsidR="00F65BCA" w:rsidRDefault="00216117">
            <w:pPr>
              <w:pStyle w:val="TableParagraph"/>
              <w:ind w:left="144"/>
              <w:rPr>
                <w:b/>
                <w:sz w:val="16"/>
              </w:rPr>
            </w:pPr>
            <w:r>
              <w:rPr>
                <w:b/>
                <w:color w:val="231F20"/>
                <w:sz w:val="16"/>
              </w:rPr>
              <w:t>Povinné ručení</w:t>
            </w:r>
          </w:p>
          <w:p w14:paraId="6C761E84" w14:textId="77777777" w:rsidR="00F65BCA" w:rsidRDefault="00216117">
            <w:pPr>
              <w:pStyle w:val="TableParagraph"/>
              <w:numPr>
                <w:ilvl w:val="0"/>
                <w:numId w:val="144"/>
              </w:numPr>
              <w:tabs>
                <w:tab w:val="left" w:pos="287"/>
              </w:tabs>
              <w:spacing w:before="16"/>
              <w:ind w:hanging="143"/>
              <w:rPr>
                <w:sz w:val="16"/>
              </w:rPr>
            </w:pPr>
            <w:r>
              <w:rPr>
                <w:color w:val="231F20"/>
                <w:sz w:val="16"/>
              </w:rPr>
              <w:t>písemně oznámit pojistiteli, že došlo ke škodné</w:t>
            </w:r>
            <w:r>
              <w:rPr>
                <w:color w:val="231F20"/>
                <w:spacing w:val="13"/>
                <w:sz w:val="16"/>
              </w:rPr>
              <w:t xml:space="preserve"> </w:t>
            </w:r>
            <w:r>
              <w:rPr>
                <w:color w:val="231F20"/>
                <w:sz w:val="16"/>
              </w:rPr>
              <w:t>události</w:t>
            </w:r>
          </w:p>
          <w:p w14:paraId="0A7DAAF0" w14:textId="77777777" w:rsidR="00F65BCA" w:rsidRDefault="00216117">
            <w:pPr>
              <w:pStyle w:val="TableParagraph"/>
              <w:spacing w:before="16"/>
              <w:ind w:left="286"/>
              <w:rPr>
                <w:sz w:val="16"/>
              </w:rPr>
            </w:pPr>
            <w:r>
              <w:rPr>
                <w:color w:val="231F20"/>
                <w:sz w:val="16"/>
              </w:rPr>
              <w:t>a předložit vyplněný a podepsaný Záznam o dopravní nehodě</w:t>
            </w:r>
          </w:p>
          <w:p w14:paraId="12136BC4" w14:textId="77777777" w:rsidR="00F65BCA" w:rsidRDefault="00216117">
            <w:pPr>
              <w:pStyle w:val="TableParagraph"/>
              <w:numPr>
                <w:ilvl w:val="0"/>
                <w:numId w:val="144"/>
              </w:numPr>
              <w:tabs>
                <w:tab w:val="left" w:pos="287"/>
              </w:tabs>
              <w:spacing w:before="16"/>
              <w:ind w:hanging="143"/>
              <w:rPr>
                <w:sz w:val="16"/>
              </w:rPr>
            </w:pPr>
            <w:r>
              <w:rPr>
                <w:color w:val="231F20"/>
                <w:sz w:val="16"/>
              </w:rPr>
              <w:t>poškozenému předat své jméno, příjmení a bydliště,</w:t>
            </w:r>
            <w:r>
              <w:rPr>
                <w:color w:val="231F20"/>
                <w:spacing w:val="3"/>
                <w:sz w:val="16"/>
              </w:rPr>
              <w:t xml:space="preserve"> </w:t>
            </w:r>
            <w:r>
              <w:rPr>
                <w:color w:val="231F20"/>
                <w:sz w:val="16"/>
              </w:rPr>
              <w:t>název</w:t>
            </w:r>
          </w:p>
          <w:p w14:paraId="0E1A08FC" w14:textId="77777777" w:rsidR="00F65BCA" w:rsidRDefault="00216117">
            <w:pPr>
              <w:pStyle w:val="TableParagraph"/>
              <w:spacing w:before="19" w:line="235" w:lineRule="auto"/>
              <w:ind w:left="286"/>
              <w:rPr>
                <w:sz w:val="16"/>
              </w:rPr>
            </w:pPr>
            <w:r>
              <w:rPr>
                <w:color w:val="231F20"/>
                <w:sz w:val="16"/>
              </w:rPr>
              <w:t>a sídlo, pojistitele, číslo pojistné smlouvy a registrační značku vozidla</w:t>
            </w:r>
          </w:p>
          <w:p w14:paraId="17D769AA" w14:textId="77777777" w:rsidR="00F65BCA" w:rsidRDefault="00F65BCA">
            <w:pPr>
              <w:pStyle w:val="TableParagraph"/>
              <w:spacing w:before="6"/>
              <w:rPr>
                <w:sz w:val="14"/>
              </w:rPr>
            </w:pPr>
          </w:p>
          <w:p w14:paraId="3DFD687D" w14:textId="77777777" w:rsidR="00F65BCA" w:rsidRDefault="00216117">
            <w:pPr>
              <w:pStyle w:val="TableParagraph"/>
              <w:ind w:left="144"/>
              <w:rPr>
                <w:b/>
                <w:sz w:val="16"/>
              </w:rPr>
            </w:pPr>
            <w:r>
              <w:rPr>
                <w:b/>
                <w:color w:val="231F20"/>
                <w:sz w:val="16"/>
              </w:rPr>
              <w:t>Havarijní</w:t>
            </w:r>
            <w:r>
              <w:rPr>
                <w:b/>
                <w:color w:val="231F20"/>
                <w:spacing w:val="-13"/>
                <w:sz w:val="16"/>
              </w:rPr>
              <w:t xml:space="preserve"> </w:t>
            </w:r>
            <w:r>
              <w:rPr>
                <w:b/>
                <w:color w:val="231F20"/>
                <w:sz w:val="16"/>
              </w:rPr>
              <w:t>pojištění</w:t>
            </w:r>
          </w:p>
          <w:p w14:paraId="3D9E530F" w14:textId="77777777" w:rsidR="00F65BCA" w:rsidRDefault="00216117">
            <w:pPr>
              <w:pStyle w:val="TableParagraph"/>
              <w:numPr>
                <w:ilvl w:val="0"/>
                <w:numId w:val="144"/>
              </w:numPr>
              <w:tabs>
                <w:tab w:val="left" w:pos="287"/>
              </w:tabs>
              <w:spacing w:before="16" w:line="182" w:lineRule="exact"/>
              <w:ind w:hanging="143"/>
              <w:rPr>
                <w:sz w:val="16"/>
              </w:rPr>
            </w:pPr>
            <w:r>
              <w:rPr>
                <w:color w:val="231F20"/>
                <w:sz w:val="16"/>
              </w:rPr>
              <w:t xml:space="preserve">umožnit pojistiteli prohlídku vozidla a pořízení </w:t>
            </w:r>
            <w:r>
              <w:rPr>
                <w:color w:val="231F20"/>
                <w:spacing w:val="6"/>
                <w:sz w:val="16"/>
              </w:rPr>
              <w:t xml:space="preserve"> </w:t>
            </w:r>
            <w:r>
              <w:rPr>
                <w:color w:val="231F20"/>
                <w:sz w:val="16"/>
              </w:rPr>
              <w:t>fotodokumentace</w:t>
            </w:r>
          </w:p>
          <w:p w14:paraId="7DE54382" w14:textId="77777777" w:rsidR="00F65BCA" w:rsidRDefault="00216117">
            <w:pPr>
              <w:pStyle w:val="TableParagraph"/>
              <w:spacing w:line="182" w:lineRule="exact"/>
              <w:ind w:left="286"/>
              <w:rPr>
                <w:sz w:val="16"/>
              </w:rPr>
            </w:pPr>
            <w:r>
              <w:rPr>
                <w:color w:val="231F20"/>
                <w:sz w:val="16"/>
              </w:rPr>
              <w:t>– při uzavření pojistné smlouvy či při vzniku pojistné události</w:t>
            </w:r>
          </w:p>
          <w:p w14:paraId="5F5BC2FE" w14:textId="77777777" w:rsidR="00F65BCA" w:rsidRDefault="00216117">
            <w:pPr>
              <w:pStyle w:val="TableParagraph"/>
              <w:numPr>
                <w:ilvl w:val="0"/>
                <w:numId w:val="144"/>
              </w:numPr>
              <w:tabs>
                <w:tab w:val="left" w:pos="287"/>
              </w:tabs>
              <w:spacing w:before="19" w:line="235" w:lineRule="auto"/>
              <w:ind w:right="116"/>
              <w:rPr>
                <w:sz w:val="16"/>
              </w:rPr>
            </w:pPr>
            <w:r>
              <w:rPr>
                <w:color w:val="231F20"/>
                <w:sz w:val="16"/>
              </w:rPr>
              <w:t xml:space="preserve">na vyžádání předložit doklad o skutečné výši nákladů na </w:t>
            </w:r>
            <w:r>
              <w:rPr>
                <w:color w:val="231F20"/>
                <w:spacing w:val="-3"/>
                <w:sz w:val="16"/>
              </w:rPr>
              <w:t xml:space="preserve">opravu </w:t>
            </w:r>
            <w:r>
              <w:rPr>
                <w:color w:val="231F20"/>
                <w:sz w:val="16"/>
              </w:rPr>
              <w:t>vozidla a další doklady nutné pro výpočet pojistného</w:t>
            </w:r>
            <w:r>
              <w:rPr>
                <w:color w:val="231F20"/>
                <w:spacing w:val="23"/>
                <w:sz w:val="16"/>
              </w:rPr>
              <w:t xml:space="preserve"> </w:t>
            </w:r>
            <w:r>
              <w:rPr>
                <w:color w:val="231F20"/>
                <w:sz w:val="16"/>
              </w:rPr>
              <w:t>plnění</w:t>
            </w:r>
          </w:p>
          <w:p w14:paraId="5E547259" w14:textId="77777777" w:rsidR="00F65BCA" w:rsidRDefault="00F65BCA">
            <w:pPr>
              <w:pStyle w:val="TableParagraph"/>
              <w:spacing w:before="5"/>
              <w:rPr>
                <w:sz w:val="14"/>
              </w:rPr>
            </w:pPr>
          </w:p>
          <w:p w14:paraId="68B3A5A2" w14:textId="77777777" w:rsidR="00F65BCA" w:rsidRDefault="00216117">
            <w:pPr>
              <w:pStyle w:val="TableParagraph"/>
              <w:spacing w:line="182" w:lineRule="exact"/>
              <w:ind w:left="144"/>
              <w:rPr>
                <w:b/>
                <w:sz w:val="16"/>
              </w:rPr>
            </w:pPr>
            <w:r>
              <w:rPr>
                <w:b/>
                <w:color w:val="231F20"/>
                <w:sz w:val="16"/>
              </w:rPr>
              <w:t>Doplňkové pojištění asistence</w:t>
            </w:r>
          </w:p>
          <w:p w14:paraId="4EE627DE" w14:textId="77777777" w:rsidR="00F65BCA" w:rsidRDefault="00216117">
            <w:pPr>
              <w:pStyle w:val="TableParagraph"/>
              <w:numPr>
                <w:ilvl w:val="0"/>
                <w:numId w:val="144"/>
              </w:numPr>
              <w:tabs>
                <w:tab w:val="left" w:pos="270"/>
              </w:tabs>
              <w:spacing w:before="1" w:line="235" w:lineRule="auto"/>
              <w:ind w:left="269" w:right="347" w:hanging="125"/>
              <w:rPr>
                <w:sz w:val="16"/>
              </w:rPr>
            </w:pPr>
            <w:r>
              <w:rPr>
                <w:color w:val="231F20"/>
                <w:sz w:val="16"/>
              </w:rPr>
              <w:t xml:space="preserve">žádost o poskytnutí asistenčních služeb podat telefonicky </w:t>
            </w:r>
            <w:r>
              <w:rPr>
                <w:color w:val="231F20"/>
                <w:spacing w:val="-9"/>
                <w:sz w:val="16"/>
              </w:rPr>
              <w:t xml:space="preserve">na </w:t>
            </w:r>
            <w:r>
              <w:rPr>
                <w:color w:val="231F20"/>
                <w:sz w:val="16"/>
              </w:rPr>
              <w:t>čísle určeném pojistitelem</w:t>
            </w:r>
          </w:p>
          <w:p w14:paraId="6E945EB1" w14:textId="77777777" w:rsidR="00F65BCA" w:rsidRDefault="00216117">
            <w:pPr>
              <w:pStyle w:val="TableParagraph"/>
              <w:numPr>
                <w:ilvl w:val="0"/>
                <w:numId w:val="144"/>
              </w:numPr>
              <w:tabs>
                <w:tab w:val="left" w:pos="270"/>
              </w:tabs>
              <w:spacing w:line="235" w:lineRule="auto"/>
              <w:ind w:left="269" w:right="281" w:hanging="125"/>
              <w:rPr>
                <w:sz w:val="16"/>
              </w:rPr>
            </w:pPr>
            <w:r>
              <w:rPr>
                <w:color w:val="231F20"/>
                <w:sz w:val="16"/>
              </w:rPr>
              <w:t xml:space="preserve">poskytnout poskytovateli asistence potřebnou součinnost </w:t>
            </w:r>
            <w:r>
              <w:rPr>
                <w:color w:val="231F20"/>
                <w:spacing w:val="-6"/>
                <w:sz w:val="16"/>
              </w:rPr>
              <w:t xml:space="preserve">pro </w:t>
            </w:r>
            <w:r>
              <w:rPr>
                <w:color w:val="231F20"/>
                <w:sz w:val="16"/>
              </w:rPr>
              <w:t>poskytnutí asistenčních služeb</w:t>
            </w:r>
          </w:p>
          <w:p w14:paraId="4D018D7B" w14:textId="77777777" w:rsidR="00F65BCA" w:rsidRDefault="00F65BCA">
            <w:pPr>
              <w:pStyle w:val="TableParagraph"/>
              <w:spacing w:before="5"/>
              <w:rPr>
                <w:sz w:val="14"/>
              </w:rPr>
            </w:pPr>
          </w:p>
          <w:p w14:paraId="4F9D9826" w14:textId="77777777" w:rsidR="00F65BCA" w:rsidRDefault="00216117">
            <w:pPr>
              <w:pStyle w:val="TableParagraph"/>
              <w:spacing w:line="182" w:lineRule="exact"/>
              <w:ind w:left="144"/>
              <w:rPr>
                <w:b/>
                <w:sz w:val="16"/>
              </w:rPr>
            </w:pPr>
            <w:r>
              <w:rPr>
                <w:b/>
                <w:color w:val="231F20"/>
                <w:sz w:val="16"/>
              </w:rPr>
              <w:t>Doplňkové úrazové pojištění dopravovaných osob</w:t>
            </w:r>
          </w:p>
          <w:p w14:paraId="6BE2DC4B" w14:textId="77777777" w:rsidR="00F65BCA" w:rsidRDefault="00216117">
            <w:pPr>
              <w:pStyle w:val="TableParagraph"/>
              <w:numPr>
                <w:ilvl w:val="0"/>
                <w:numId w:val="144"/>
              </w:numPr>
              <w:tabs>
                <w:tab w:val="left" w:pos="270"/>
              </w:tabs>
              <w:spacing w:before="1" w:line="235" w:lineRule="auto"/>
              <w:ind w:left="269" w:right="554" w:hanging="125"/>
              <w:rPr>
                <w:sz w:val="16"/>
              </w:rPr>
            </w:pPr>
            <w:r>
              <w:rPr>
                <w:color w:val="231F20"/>
                <w:sz w:val="16"/>
              </w:rPr>
              <w:t xml:space="preserve">vyhledat po úrazu lékařské ošetření, léčit se podle </w:t>
            </w:r>
            <w:r>
              <w:rPr>
                <w:color w:val="231F20"/>
                <w:spacing w:val="-3"/>
                <w:sz w:val="16"/>
              </w:rPr>
              <w:t xml:space="preserve">pokynů </w:t>
            </w:r>
            <w:r>
              <w:rPr>
                <w:color w:val="231F20"/>
                <w:sz w:val="16"/>
              </w:rPr>
              <w:t>lékaře</w:t>
            </w:r>
          </w:p>
          <w:p w14:paraId="792A1810" w14:textId="77777777" w:rsidR="00F65BCA" w:rsidRDefault="00216117">
            <w:pPr>
              <w:pStyle w:val="TableParagraph"/>
              <w:numPr>
                <w:ilvl w:val="0"/>
                <w:numId w:val="144"/>
              </w:numPr>
              <w:tabs>
                <w:tab w:val="left" w:pos="270"/>
              </w:tabs>
              <w:spacing w:line="235" w:lineRule="auto"/>
              <w:ind w:left="269" w:right="536" w:hanging="125"/>
              <w:rPr>
                <w:sz w:val="16"/>
              </w:rPr>
            </w:pPr>
            <w:r>
              <w:rPr>
                <w:color w:val="231F20"/>
                <w:sz w:val="16"/>
              </w:rPr>
              <w:t xml:space="preserve">předložit při uplatnění práva na pojistné plnění </w:t>
            </w:r>
            <w:r>
              <w:rPr>
                <w:color w:val="231F20"/>
                <w:spacing w:val="-2"/>
                <w:sz w:val="16"/>
              </w:rPr>
              <w:t xml:space="preserve">pojistitelem </w:t>
            </w:r>
            <w:r>
              <w:rPr>
                <w:color w:val="231F20"/>
                <w:sz w:val="16"/>
              </w:rPr>
              <w:t>požadované doklady</w:t>
            </w:r>
          </w:p>
          <w:p w14:paraId="5EEA1087" w14:textId="77777777" w:rsidR="00F65BCA" w:rsidRDefault="00F65BCA">
            <w:pPr>
              <w:pStyle w:val="TableParagraph"/>
              <w:spacing w:before="6"/>
              <w:rPr>
                <w:sz w:val="15"/>
              </w:rPr>
            </w:pPr>
          </w:p>
          <w:p w14:paraId="5488E87A" w14:textId="77777777" w:rsidR="00F65BCA" w:rsidRDefault="00216117">
            <w:pPr>
              <w:pStyle w:val="TableParagraph"/>
              <w:spacing w:before="1" w:line="235" w:lineRule="auto"/>
              <w:ind w:left="144" w:right="249"/>
              <w:rPr>
                <w:sz w:val="16"/>
              </w:rPr>
            </w:pPr>
            <w:r>
              <w:rPr>
                <w:color w:val="231F20"/>
                <w:sz w:val="16"/>
              </w:rPr>
              <w:t>Další povinnosti jsou ujednány v pojistných podmínkách případně v pojistné smlouvě.</w:t>
            </w:r>
          </w:p>
        </w:tc>
      </w:tr>
      <w:tr w:rsidR="00F65BCA" w14:paraId="2EF65DBE" w14:textId="77777777">
        <w:trPr>
          <w:trHeight w:val="1609"/>
        </w:trPr>
        <w:tc>
          <w:tcPr>
            <w:tcW w:w="10544" w:type="dxa"/>
            <w:gridSpan w:val="2"/>
            <w:tcBorders>
              <w:top w:val="single" w:sz="48" w:space="0" w:color="FFFFFF"/>
              <w:bottom w:val="single" w:sz="48" w:space="0" w:color="FFFFFF"/>
            </w:tcBorders>
          </w:tcPr>
          <w:p w14:paraId="221CF713" w14:textId="77777777" w:rsidR="00F65BCA" w:rsidRDefault="00216117">
            <w:pPr>
              <w:pStyle w:val="TableParagraph"/>
              <w:spacing w:before="102"/>
              <w:ind w:left="793"/>
              <w:rPr>
                <w:b/>
                <w:sz w:val="23"/>
              </w:rPr>
            </w:pPr>
            <w:r>
              <w:rPr>
                <w:b/>
                <w:color w:val="231F20"/>
                <w:sz w:val="23"/>
              </w:rPr>
              <w:t>Kdy a jak provádět platby?</w:t>
            </w:r>
          </w:p>
          <w:p w14:paraId="4C3F4DBF" w14:textId="77777777" w:rsidR="00F65BCA" w:rsidRDefault="00216117">
            <w:pPr>
              <w:pStyle w:val="TableParagraph"/>
              <w:spacing w:before="86" w:line="261" w:lineRule="auto"/>
              <w:ind w:left="793" w:right="271"/>
              <w:rPr>
                <w:sz w:val="16"/>
              </w:rPr>
            </w:pPr>
            <w:r>
              <w:rPr>
                <w:color w:val="231F20"/>
                <w:sz w:val="16"/>
              </w:rPr>
              <w:t>U pojištění sjednaného na dobu neurčitou se platí tzv. běžné pojistné za roční pojistné období. Platba pojistného může být sjednána ve splátkách, a to měsíčně, čtvrtletně nebo pololetně. U krátkodobého pojištění sjednaného na dobu určitou, maximálně na dobu</w:t>
            </w:r>
          </w:p>
          <w:p w14:paraId="33967AEB" w14:textId="77777777" w:rsidR="00F65BCA" w:rsidRDefault="00216117">
            <w:pPr>
              <w:pStyle w:val="TableParagraph"/>
              <w:spacing w:line="261" w:lineRule="auto"/>
              <w:ind w:left="793" w:right="191"/>
              <w:rPr>
                <w:sz w:val="16"/>
              </w:rPr>
            </w:pPr>
            <w:r>
              <w:rPr>
                <w:color w:val="231F20"/>
                <w:sz w:val="16"/>
              </w:rPr>
              <w:t>1 roku, je placeno tzv. jednorázové pojistné, které musí být zaplaceno celé v den uzavření pojistné smlouvy, pokud se není dohodnuto jinak. Výše, způsob a frekvence placení pojistného jsou uvedeny v pojistné smlouvě. V případě úhrady pojistného bankovním převodem se uvádí variabilní symbol.</w:t>
            </w:r>
          </w:p>
        </w:tc>
      </w:tr>
      <w:tr w:rsidR="00F65BCA" w14:paraId="1B3E7CDB" w14:textId="77777777">
        <w:trPr>
          <w:trHeight w:val="1665"/>
        </w:trPr>
        <w:tc>
          <w:tcPr>
            <w:tcW w:w="10544" w:type="dxa"/>
            <w:gridSpan w:val="2"/>
            <w:tcBorders>
              <w:top w:val="single" w:sz="48" w:space="0" w:color="FFFFFF"/>
              <w:bottom w:val="single" w:sz="48" w:space="0" w:color="FFFFFF"/>
            </w:tcBorders>
          </w:tcPr>
          <w:p w14:paraId="3C7709BB" w14:textId="77777777" w:rsidR="00F65BCA" w:rsidRDefault="00216117">
            <w:pPr>
              <w:pStyle w:val="TableParagraph"/>
              <w:spacing w:before="102"/>
              <w:ind w:left="793"/>
              <w:rPr>
                <w:b/>
                <w:sz w:val="23"/>
              </w:rPr>
            </w:pPr>
            <w:r>
              <w:rPr>
                <w:b/>
                <w:color w:val="231F20"/>
                <w:sz w:val="23"/>
              </w:rPr>
              <w:t>Kdy pojistné krytí začíná a končí?</w:t>
            </w:r>
          </w:p>
          <w:p w14:paraId="3DBD1E41" w14:textId="77777777" w:rsidR="00F65BCA" w:rsidRDefault="00216117">
            <w:pPr>
              <w:pStyle w:val="TableParagraph"/>
              <w:spacing w:before="86" w:line="261" w:lineRule="auto"/>
              <w:ind w:left="793" w:right="191"/>
              <w:rPr>
                <w:sz w:val="16"/>
              </w:rPr>
            </w:pPr>
            <w:r>
              <w:rPr>
                <w:color w:val="231F20"/>
                <w:sz w:val="16"/>
              </w:rPr>
              <w:t>Pojištění kryje pojistné události, ke kterým dojde v době trvání pojištění. Pojištění začíná dnem sjednaným v pojistné smlouvě nebo seznamu vozidel jako počátek pojištění. Není-li v pojistné smlouvě uvedeno jinak, pojištění lze sjednat na dobu neurčitou s ročním pojistným obdobím, přičemž první pojistné období začíná dnem počátku pojištění. Pojištění může skončit dříve, zejména odstoupením od pojistné smlouvy, výpovědí, dohodou, marným uplynutím lhůty stanovené pojistitelem v upomínce o zaplacení dlužného pojistného nebo jeho části, zánikem pojistného zájmu. Pojištění sjednané na dobu určitou skončí rovněž uplynutím pojistné doby.</w:t>
            </w:r>
          </w:p>
        </w:tc>
      </w:tr>
      <w:tr w:rsidR="00F65BCA" w14:paraId="6CA1CD3E" w14:textId="77777777">
        <w:trPr>
          <w:trHeight w:val="1853"/>
        </w:trPr>
        <w:tc>
          <w:tcPr>
            <w:tcW w:w="10544" w:type="dxa"/>
            <w:gridSpan w:val="2"/>
            <w:tcBorders>
              <w:top w:val="single" w:sz="48" w:space="0" w:color="FFFFFF"/>
            </w:tcBorders>
          </w:tcPr>
          <w:p w14:paraId="47489DD9" w14:textId="77777777" w:rsidR="00F65BCA" w:rsidRDefault="00216117">
            <w:pPr>
              <w:pStyle w:val="TableParagraph"/>
              <w:spacing w:before="102"/>
              <w:ind w:left="793"/>
              <w:rPr>
                <w:b/>
                <w:sz w:val="23"/>
              </w:rPr>
            </w:pPr>
            <w:r>
              <w:rPr>
                <w:b/>
                <w:color w:val="231F20"/>
                <w:sz w:val="23"/>
              </w:rPr>
              <w:t>Jak mohu smlouvu vypovědět?</w:t>
            </w:r>
          </w:p>
          <w:p w14:paraId="47DC61D4" w14:textId="77777777" w:rsidR="00F65BCA" w:rsidRDefault="00216117">
            <w:pPr>
              <w:pStyle w:val="TableParagraph"/>
              <w:spacing w:before="86" w:line="261" w:lineRule="auto"/>
              <w:ind w:left="793" w:right="387"/>
              <w:rPr>
                <w:sz w:val="16"/>
              </w:rPr>
            </w:pPr>
            <w:r>
              <w:rPr>
                <w:color w:val="231F20"/>
                <w:sz w:val="16"/>
              </w:rPr>
              <w:t>Pojištění máte právo vypovědět například po uzavření pojistné smlouvy výpovědí doručenou do dvou měsíců ode dne uzavření pojistné smlouvy; ke konci pojistného období s tím, že bude-li výpověď doručena druhé straně později než šest týdnů přede dnem, ve kterém uplyne toto pojistné období, zanikne pojištění ke konci následujícího pojistného období. Máte také právo od pojistné smlouvy odstoupit, a to zejména v případě pojistné smlouvy uzavřené formou obchodu na dálku, do čtrnácti dnů ode dne uzavření pojistné smlouvy nebo ode dne sdělení pojistných podmínek, pokud k tomuto sdělení dojde na vaši žádost po uzavření pojistné smlouvy.</w:t>
            </w:r>
          </w:p>
        </w:tc>
      </w:tr>
    </w:tbl>
    <w:p w14:paraId="164BAB74" w14:textId="77777777" w:rsidR="00F65BCA" w:rsidRDefault="00000000">
      <w:pPr>
        <w:pStyle w:val="Zkladntext"/>
        <w:rPr>
          <w:sz w:val="20"/>
        </w:rPr>
      </w:pPr>
      <w:r>
        <w:pict w14:anchorId="1E83C468">
          <v:group id="_x0000_s2373" style="position:absolute;margin-left:34pt;margin-top:34pt;width:34.05pt;height:99.25pt;z-index:-299474944;mso-position-horizontal-relative:page;mso-position-vertical-relative:page" coordorigin="680,680" coordsize="681,1985">
            <v:rect id="_x0000_s2377" style="position:absolute;left:680;top:680;width:681;height:1985" fillcolor="#e4e9ec" stroked="f"/>
            <v:rect id="_x0000_s2376" style="position:absolute;left:850;top:790;width:511;height:511" fillcolor="#2b3890" stroked="f"/>
            <v:shape id="_x0000_s2375" style="position:absolute;left:911;top:868;width:389;height:347" coordorigin="911,869" coordsize="389,347" path="m1300,1042r-16,67l1243,1164r-62,37l1106,1215r-76,-14l968,1164r-41,-55l911,1042r16,-68l968,919r62,-37l1106,869r75,13l1243,919r41,55l1300,1042xe" filled="f" strokecolor="white" strokeweight="1.08pt">
              <v:path arrowok="t"/>
            </v:shape>
            <v:shape id="_x0000_s2374" type="#_x0000_t75" style="position:absolute;left:911;top:857;width:389;height:368">
              <v:imagedata r:id="rId24" o:title=""/>
            </v:shape>
            <w10:wrap anchorx="page" anchory="page"/>
          </v:group>
        </w:pict>
      </w:r>
      <w:r>
        <w:pict w14:anchorId="40128640">
          <v:group id="_x0000_s2369" style="position:absolute;margin-left:34pt;margin-top:137.5pt;width:34.05pt;height:309pt;z-index:-299473920;mso-position-horizontal-relative:page;mso-position-vertical-relative:page" coordorigin="680,2750" coordsize="681,6180">
            <v:rect id="_x0000_s2372" style="position:absolute;left:680;top:2749;width:341;height:6180" fillcolor="#e4e9ec" stroked="f"/>
            <v:rect id="_x0000_s2371" style="position:absolute;left:850;top:2860;width:511;height:511" fillcolor="#8dc63f" stroked="f"/>
            <v:shape id="_x0000_s2370" type="#_x0000_t75" style="position:absolute;left:909;top:2981;width:401;height:286">
              <v:imagedata r:id="rId25" o:title=""/>
            </v:shape>
            <w10:wrap anchorx="page" anchory="page"/>
          </v:group>
        </w:pict>
      </w:r>
      <w:r>
        <w:pict w14:anchorId="21B50F22">
          <v:group id="_x0000_s2365" style="position:absolute;margin-left:34pt;margin-top:450.7pt;width:34.05pt;height:82.25pt;z-index:-299472896;mso-position-horizontal-relative:page;mso-position-vertical-relative:page" coordorigin="680,9014" coordsize="681,1645">
            <v:rect id="_x0000_s2368" style="position:absolute;left:680;top:9014;width:681;height:1645" fillcolor="#e4e9ec" stroked="f"/>
            <v:rect id="_x0000_s2367" style="position:absolute;left:850;top:9124;width:511;height:511" fillcolor="#ffcb04" stroked="f"/>
            <v:shape id="_x0000_s2366" type="#_x0000_t75" style="position:absolute;left:884;top:9154;width:446;height:452">
              <v:imagedata r:id="rId26" o:title=""/>
            </v:shape>
            <w10:wrap anchorx="page" anchory="page"/>
          </v:group>
        </w:pict>
      </w:r>
      <w:r>
        <w:pict w14:anchorId="3A124293">
          <v:group id="_x0000_s2361" style="position:absolute;margin-left:34pt;margin-top:537.15pt;width:34.05pt;height:85.05pt;z-index:-299471872;mso-position-horizontal-relative:page;mso-position-vertical-relative:page" coordorigin="680,10743" coordsize="681,1701">
            <v:rect id="_x0000_s2364" style="position:absolute;left:680;top:10743;width:681;height:1701" fillcolor="#e4e9ec" stroked="f"/>
            <v:rect id="_x0000_s2363" style="position:absolute;left:850;top:10853;width:511;height:511" fillcolor="#27aae1" stroked="f"/>
            <v:shape id="_x0000_s2362" type="#_x0000_t75" style="position:absolute;left:988;top:10914;width:235;height:389">
              <v:imagedata r:id="rId27" o:title=""/>
            </v:shape>
            <w10:wrap anchorx="page" anchory="page"/>
          </v:group>
        </w:pict>
      </w:r>
      <w:r>
        <w:pict w14:anchorId="6990D638">
          <v:group id="_x0000_s2357" style="position:absolute;margin-left:34pt;margin-top:626.45pt;width:34.05pt;height:93.55pt;z-index:-299470848;mso-position-horizontal-relative:page;mso-position-vertical-relative:page" coordorigin="680,12529" coordsize="681,1871">
            <v:rect id="_x0000_s2360" style="position:absolute;left:680;top:12529;width:681;height:1871" fillcolor="#e4e9ec" stroked="f"/>
            <v:rect id="_x0000_s2359" style="position:absolute;left:850;top:12639;width:511;height:511" fillcolor="#58595b" stroked="f"/>
            <v:shape id="_x0000_s2358" type="#_x0000_t75" style="position:absolute;left:942;top:12716;width:326;height:374">
              <v:imagedata r:id="rId28" o:title=""/>
            </v:shape>
            <w10:wrap anchorx="page" anchory="page"/>
          </v:group>
        </w:pict>
      </w:r>
    </w:p>
    <w:p w14:paraId="6FFD3237" w14:textId="77777777" w:rsidR="00F65BCA" w:rsidRDefault="00F65BCA">
      <w:pPr>
        <w:pStyle w:val="Zkladntext"/>
        <w:rPr>
          <w:sz w:val="20"/>
        </w:rPr>
      </w:pPr>
    </w:p>
    <w:p w14:paraId="5F7C6735" w14:textId="77777777" w:rsidR="00F65BCA" w:rsidRDefault="00F65BCA">
      <w:pPr>
        <w:pStyle w:val="Zkladntext"/>
        <w:rPr>
          <w:sz w:val="20"/>
        </w:rPr>
      </w:pPr>
    </w:p>
    <w:p w14:paraId="42904694" w14:textId="77777777" w:rsidR="00F65BCA" w:rsidRDefault="00F65BCA">
      <w:pPr>
        <w:pStyle w:val="Zkladntext"/>
        <w:rPr>
          <w:sz w:val="20"/>
        </w:rPr>
      </w:pPr>
    </w:p>
    <w:p w14:paraId="33F06BF1" w14:textId="77777777" w:rsidR="00F65BCA" w:rsidRDefault="00F65BCA">
      <w:pPr>
        <w:pStyle w:val="Zkladntext"/>
        <w:rPr>
          <w:sz w:val="20"/>
        </w:rPr>
      </w:pPr>
    </w:p>
    <w:p w14:paraId="2969BDAA" w14:textId="77777777" w:rsidR="00F65BCA" w:rsidRDefault="00F65BCA">
      <w:pPr>
        <w:pStyle w:val="Zkladntext"/>
        <w:rPr>
          <w:sz w:val="20"/>
        </w:rPr>
      </w:pPr>
    </w:p>
    <w:p w14:paraId="589DF6AD" w14:textId="77777777" w:rsidR="00F65BCA" w:rsidRDefault="00F65BCA">
      <w:pPr>
        <w:pStyle w:val="Zkladntext"/>
        <w:rPr>
          <w:sz w:val="20"/>
        </w:rPr>
      </w:pPr>
    </w:p>
    <w:p w14:paraId="3F0D3579" w14:textId="77777777" w:rsidR="00F65BCA" w:rsidRDefault="00F65BCA">
      <w:pPr>
        <w:pStyle w:val="Zkladntext"/>
        <w:spacing w:before="2"/>
        <w:rPr>
          <w:sz w:val="27"/>
        </w:rPr>
      </w:pPr>
    </w:p>
    <w:p w14:paraId="78C928A3" w14:textId="77777777" w:rsidR="00F65BCA" w:rsidRDefault="00000000">
      <w:pPr>
        <w:tabs>
          <w:tab w:val="left" w:pos="9157"/>
        </w:tabs>
        <w:spacing w:before="103"/>
        <w:ind w:left="653"/>
        <w:rPr>
          <w:sz w:val="14"/>
        </w:rPr>
      </w:pPr>
      <w:r>
        <w:pict w14:anchorId="747713DB">
          <v:line id="_x0000_s2356" style="position:absolute;left:0;text-align:left;z-index:-299475968;mso-position-horizontal-relative:page" from="0,-7.65pt" to="595.3pt,-7.65pt" strokecolor="#c5271c" strokeweight="1pt">
            <w10:wrap anchorx="page"/>
          </v:line>
        </w:pict>
      </w:r>
      <w:r w:rsidR="00216117">
        <w:rPr>
          <w:color w:val="231F20"/>
          <w:sz w:val="16"/>
        </w:rPr>
        <w:t xml:space="preserve">4  </w:t>
      </w:r>
      <w:r w:rsidR="00216117">
        <w:rPr>
          <w:color w:val="C5271C"/>
          <w:sz w:val="20"/>
        </w:rPr>
        <w:t xml:space="preserve">|  </w:t>
      </w:r>
      <w:r w:rsidR="00216117">
        <w:rPr>
          <w:color w:val="231F20"/>
          <w:sz w:val="16"/>
        </w:rPr>
        <w:t>Informační dokument o</w:t>
      </w:r>
      <w:r w:rsidR="00216117">
        <w:rPr>
          <w:color w:val="231F20"/>
          <w:spacing w:val="10"/>
          <w:sz w:val="16"/>
        </w:rPr>
        <w:t xml:space="preserve"> </w:t>
      </w:r>
      <w:r w:rsidR="00216117">
        <w:rPr>
          <w:color w:val="231F20"/>
          <w:sz w:val="16"/>
        </w:rPr>
        <w:t>pojistném</w:t>
      </w:r>
      <w:r w:rsidR="00216117">
        <w:rPr>
          <w:color w:val="231F20"/>
          <w:spacing w:val="5"/>
          <w:sz w:val="16"/>
        </w:rPr>
        <w:t xml:space="preserve"> </w:t>
      </w:r>
      <w:r w:rsidR="00216117">
        <w:rPr>
          <w:color w:val="231F20"/>
          <w:sz w:val="16"/>
        </w:rPr>
        <w:t>produktu</w:t>
      </w:r>
      <w:r w:rsidR="00216117">
        <w:rPr>
          <w:color w:val="231F20"/>
          <w:sz w:val="16"/>
        </w:rPr>
        <w:tab/>
      </w:r>
      <w:r w:rsidR="00216117">
        <w:rPr>
          <w:color w:val="231F20"/>
          <w:sz w:val="14"/>
        </w:rPr>
        <w:t>99.6.20.013 05.2025 v05</w:t>
      </w:r>
    </w:p>
    <w:p w14:paraId="5828F292" w14:textId="77777777" w:rsidR="00F65BCA" w:rsidRDefault="00F65BCA">
      <w:pPr>
        <w:rPr>
          <w:sz w:val="14"/>
        </w:rPr>
        <w:sectPr w:rsidR="00F65BCA">
          <w:pgSz w:w="11910" w:h="16840"/>
          <w:pgMar w:top="660" w:right="140" w:bottom="0" w:left="140" w:header="708" w:footer="708" w:gutter="0"/>
          <w:cols w:space="708"/>
        </w:sectPr>
      </w:pPr>
    </w:p>
    <w:p w14:paraId="35EEA088" w14:textId="77777777" w:rsidR="00F65BCA" w:rsidRDefault="00000000">
      <w:pPr>
        <w:pStyle w:val="Zkladntext"/>
        <w:ind w:left="880"/>
        <w:rPr>
          <w:sz w:val="20"/>
        </w:rPr>
      </w:pPr>
      <w:r>
        <w:rPr>
          <w:sz w:val="20"/>
        </w:rPr>
      </w:r>
      <w:r>
        <w:rPr>
          <w:sz w:val="20"/>
        </w:rPr>
        <w:pict w14:anchorId="506AF660">
          <v:shape id="_x0000_s2582" type="#_x0000_t202" style="width:504.6pt;height:51.05pt;mso-left-percent:-10001;mso-top-percent:-10001;mso-position-horizontal:absolute;mso-position-horizontal-relative:char;mso-position-vertical:absolute;mso-position-vertical-relative:line;mso-left-percent:-10001;mso-top-percent:-10001" fillcolor="#c5271c" stroked="f">
            <v:textbox inset="0,0,0,0">
              <w:txbxContent>
                <w:p w14:paraId="730A5075" w14:textId="77777777" w:rsidR="00F65BCA" w:rsidRDefault="00216117">
                  <w:pPr>
                    <w:spacing w:before="28"/>
                    <w:ind w:left="226" w:right="969"/>
                    <w:rPr>
                      <w:sz w:val="40"/>
                    </w:rPr>
                  </w:pPr>
                  <w:r>
                    <w:rPr>
                      <w:color w:val="FFFFFF"/>
                      <w:sz w:val="40"/>
                    </w:rPr>
                    <w:t>Stručná informace o zpracování osobních údajů při sjednávání a změnách pojištění</w:t>
                  </w:r>
                </w:p>
              </w:txbxContent>
            </v:textbox>
            <w10:anchorlock/>
          </v:shape>
        </w:pict>
      </w:r>
    </w:p>
    <w:p w14:paraId="1E9164EA" w14:textId="77777777" w:rsidR="00F65BCA" w:rsidRDefault="00F65BCA">
      <w:pPr>
        <w:pStyle w:val="Zkladntext"/>
        <w:spacing w:before="7"/>
        <w:rPr>
          <w:sz w:val="22"/>
        </w:rPr>
      </w:pPr>
    </w:p>
    <w:p w14:paraId="4AD920E0" w14:textId="77777777" w:rsidR="00F65BCA" w:rsidRDefault="00216117">
      <w:pPr>
        <w:pStyle w:val="Nadpis9"/>
        <w:spacing w:before="102" w:line="278" w:lineRule="auto"/>
        <w:ind w:right="651"/>
      </w:pPr>
      <w:r>
        <w:rPr>
          <w:color w:val="231F20"/>
        </w:rPr>
        <w:t>V</w:t>
      </w:r>
      <w:r>
        <w:rPr>
          <w:color w:val="231F20"/>
          <w:spacing w:val="-4"/>
        </w:rPr>
        <w:t xml:space="preserve"> </w:t>
      </w:r>
      <w:r>
        <w:rPr>
          <w:color w:val="231F20"/>
        </w:rPr>
        <w:t>tomto</w:t>
      </w:r>
      <w:r>
        <w:rPr>
          <w:color w:val="231F20"/>
          <w:spacing w:val="-3"/>
        </w:rPr>
        <w:t xml:space="preserve"> </w:t>
      </w:r>
      <w:r>
        <w:rPr>
          <w:color w:val="231F20"/>
        </w:rPr>
        <w:t>dokumentu</w:t>
      </w:r>
      <w:r>
        <w:rPr>
          <w:color w:val="231F20"/>
          <w:spacing w:val="-3"/>
        </w:rPr>
        <w:t xml:space="preserve"> </w:t>
      </w:r>
      <w:r>
        <w:rPr>
          <w:color w:val="231F20"/>
        </w:rPr>
        <w:t>bychom</w:t>
      </w:r>
      <w:r>
        <w:rPr>
          <w:color w:val="231F20"/>
          <w:spacing w:val="-3"/>
        </w:rPr>
        <w:t xml:space="preserve"> </w:t>
      </w:r>
      <w:r>
        <w:rPr>
          <w:color w:val="231F20"/>
        </w:rPr>
        <w:t>Vás</w:t>
      </w:r>
      <w:r>
        <w:rPr>
          <w:color w:val="231F20"/>
          <w:spacing w:val="-4"/>
        </w:rPr>
        <w:t xml:space="preserve"> </w:t>
      </w:r>
      <w:r>
        <w:rPr>
          <w:color w:val="231F20"/>
        </w:rPr>
        <w:t>rádi</w:t>
      </w:r>
      <w:r>
        <w:rPr>
          <w:color w:val="231F20"/>
          <w:spacing w:val="-3"/>
        </w:rPr>
        <w:t xml:space="preserve"> </w:t>
      </w:r>
      <w:r>
        <w:rPr>
          <w:color w:val="231F20"/>
        </w:rPr>
        <w:t>stručně</w:t>
      </w:r>
      <w:r>
        <w:rPr>
          <w:color w:val="231F20"/>
          <w:spacing w:val="-3"/>
        </w:rPr>
        <w:t xml:space="preserve"> </w:t>
      </w:r>
      <w:r>
        <w:rPr>
          <w:color w:val="231F20"/>
        </w:rPr>
        <w:t>seznámili</w:t>
      </w:r>
      <w:r>
        <w:rPr>
          <w:color w:val="231F20"/>
          <w:spacing w:val="-3"/>
        </w:rPr>
        <w:t xml:space="preserve"> </w:t>
      </w:r>
      <w:r>
        <w:rPr>
          <w:color w:val="231F20"/>
        </w:rPr>
        <w:t>s</w:t>
      </w:r>
      <w:r>
        <w:rPr>
          <w:color w:val="231F20"/>
          <w:spacing w:val="-4"/>
        </w:rPr>
        <w:t xml:space="preserve"> </w:t>
      </w:r>
      <w:r>
        <w:rPr>
          <w:color w:val="231F20"/>
        </w:rPr>
        <w:t>tím,</w:t>
      </w:r>
      <w:r>
        <w:rPr>
          <w:color w:val="231F20"/>
          <w:spacing w:val="-3"/>
        </w:rPr>
        <w:t xml:space="preserve"> </w:t>
      </w:r>
      <w:r>
        <w:rPr>
          <w:color w:val="231F20"/>
        </w:rPr>
        <w:t>jak</w:t>
      </w:r>
      <w:r>
        <w:rPr>
          <w:color w:val="231F20"/>
          <w:spacing w:val="-3"/>
        </w:rPr>
        <w:t xml:space="preserve"> </w:t>
      </w:r>
      <w:r>
        <w:rPr>
          <w:color w:val="231F20"/>
        </w:rPr>
        <w:t>nakládáme</w:t>
      </w:r>
      <w:r>
        <w:rPr>
          <w:color w:val="231F20"/>
          <w:spacing w:val="-3"/>
        </w:rPr>
        <w:t xml:space="preserve"> </w:t>
      </w:r>
      <w:r>
        <w:rPr>
          <w:color w:val="231F20"/>
        </w:rPr>
        <w:t>s</w:t>
      </w:r>
      <w:r>
        <w:rPr>
          <w:color w:val="231F20"/>
          <w:spacing w:val="-3"/>
        </w:rPr>
        <w:t xml:space="preserve"> </w:t>
      </w:r>
      <w:r>
        <w:rPr>
          <w:color w:val="231F20"/>
        </w:rPr>
        <w:t>Vašimi</w:t>
      </w:r>
      <w:r>
        <w:rPr>
          <w:color w:val="231F20"/>
          <w:spacing w:val="-4"/>
        </w:rPr>
        <w:t xml:space="preserve"> </w:t>
      </w:r>
      <w:r>
        <w:rPr>
          <w:color w:val="231F20"/>
        </w:rPr>
        <w:t>osobními</w:t>
      </w:r>
      <w:r>
        <w:rPr>
          <w:color w:val="231F20"/>
          <w:spacing w:val="-3"/>
        </w:rPr>
        <w:t xml:space="preserve"> </w:t>
      </w:r>
      <w:r>
        <w:rPr>
          <w:color w:val="231F20"/>
        </w:rPr>
        <w:t>údaji</w:t>
      </w:r>
      <w:r>
        <w:rPr>
          <w:color w:val="231F20"/>
          <w:spacing w:val="-3"/>
        </w:rPr>
        <w:t xml:space="preserve"> </w:t>
      </w:r>
      <w:r>
        <w:rPr>
          <w:color w:val="231F20"/>
        </w:rPr>
        <w:t>při</w:t>
      </w:r>
      <w:r>
        <w:rPr>
          <w:color w:val="231F20"/>
          <w:spacing w:val="-3"/>
        </w:rPr>
        <w:t xml:space="preserve"> </w:t>
      </w:r>
      <w:r>
        <w:rPr>
          <w:color w:val="231F20"/>
        </w:rPr>
        <w:t>sjednávání</w:t>
      </w:r>
      <w:r>
        <w:rPr>
          <w:color w:val="231F20"/>
          <w:spacing w:val="-4"/>
        </w:rPr>
        <w:t xml:space="preserve"> </w:t>
      </w:r>
      <w:r>
        <w:rPr>
          <w:color w:val="231F20"/>
        </w:rPr>
        <w:t>a</w:t>
      </w:r>
      <w:r>
        <w:rPr>
          <w:color w:val="231F20"/>
          <w:spacing w:val="-3"/>
        </w:rPr>
        <w:t xml:space="preserve"> </w:t>
      </w:r>
      <w:r>
        <w:rPr>
          <w:color w:val="231F20"/>
        </w:rPr>
        <w:t xml:space="preserve">změnách pojištění. Podrobnosti naleznete na </w:t>
      </w:r>
      <w:hyperlink r:id="rId29">
        <w:r>
          <w:rPr>
            <w:color w:val="231F20"/>
          </w:rPr>
          <w:t xml:space="preserve">www.generaliceska.cz </w:t>
        </w:r>
      </w:hyperlink>
      <w:r>
        <w:rPr>
          <w:color w:val="231F20"/>
        </w:rPr>
        <w:t xml:space="preserve">v sekci Osobní údaje, nebo Vám je rádi poskytneme na </w:t>
      </w:r>
      <w:r>
        <w:rPr>
          <w:color w:val="231F20"/>
          <w:spacing w:val="-3"/>
        </w:rPr>
        <w:t xml:space="preserve">vyžádání  </w:t>
      </w:r>
      <w:r>
        <w:rPr>
          <w:color w:val="231F20"/>
        </w:rPr>
        <w:t>ve všech našich obchodních místech.</w:t>
      </w:r>
    </w:p>
    <w:p w14:paraId="06CF103D" w14:textId="77777777" w:rsidR="00F65BCA" w:rsidRDefault="00000000">
      <w:pPr>
        <w:pStyle w:val="Zkladntext"/>
        <w:spacing w:before="4"/>
        <w:rPr>
          <w:sz w:val="21"/>
        </w:rPr>
      </w:pPr>
      <w:r>
        <w:pict w14:anchorId="327AA056">
          <v:shape id="_x0000_s2354" type="#_x0000_t202" style="position:absolute;margin-left:51pt;margin-top:13.5pt;width:238.15pt;height:74pt;z-index:-251554816;mso-wrap-distance-left:0;mso-wrap-distance-right:0;mso-position-horizontal-relative:page" fillcolor="#e6e7e8" stroked="f">
            <v:textbox inset="0,0,0,0">
              <w:txbxContent>
                <w:p w14:paraId="1995F7BF" w14:textId="77777777" w:rsidR="00F65BCA" w:rsidRDefault="00216117">
                  <w:pPr>
                    <w:spacing w:before="164"/>
                    <w:ind w:left="226"/>
                    <w:rPr>
                      <w:b/>
                      <w:sz w:val="28"/>
                    </w:rPr>
                  </w:pPr>
                  <w:r>
                    <w:rPr>
                      <w:b/>
                      <w:color w:val="6D6E71"/>
                      <w:sz w:val="28"/>
                    </w:rPr>
                    <w:t>Kdo je správcem Vašich</w:t>
                  </w:r>
                  <w:r>
                    <w:rPr>
                      <w:b/>
                      <w:color w:val="6D6E71"/>
                      <w:spacing w:val="-55"/>
                      <w:sz w:val="28"/>
                    </w:rPr>
                    <w:t xml:space="preserve"> </w:t>
                  </w:r>
                  <w:r>
                    <w:rPr>
                      <w:b/>
                      <w:color w:val="6D6E71"/>
                      <w:spacing w:val="-2"/>
                      <w:sz w:val="28"/>
                    </w:rPr>
                    <w:t>údajů?</w:t>
                  </w:r>
                </w:p>
                <w:p w14:paraId="294E28D7" w14:textId="77777777" w:rsidR="00F65BCA" w:rsidRDefault="00216117">
                  <w:pPr>
                    <w:spacing w:before="68" w:line="278" w:lineRule="auto"/>
                    <w:ind w:left="226"/>
                    <w:rPr>
                      <w:sz w:val="18"/>
                    </w:rPr>
                  </w:pPr>
                  <w:r>
                    <w:rPr>
                      <w:color w:val="231F20"/>
                      <w:sz w:val="18"/>
                    </w:rPr>
                    <w:t xml:space="preserve">Správcem Vašich osobních údajů je </w:t>
                  </w:r>
                  <w:r>
                    <w:rPr>
                      <w:color w:val="231F20"/>
                      <w:sz w:val="18"/>
                    </w:rPr>
                    <w:t>Generali Česká pojišťovna a.s., IČO 452 72 956, se sídlem Spálená</w:t>
                  </w:r>
                </w:p>
                <w:p w14:paraId="36817A67" w14:textId="77777777" w:rsidR="00F65BCA" w:rsidRDefault="00216117">
                  <w:pPr>
                    <w:ind w:left="226"/>
                    <w:rPr>
                      <w:sz w:val="18"/>
                    </w:rPr>
                  </w:pPr>
                  <w:r>
                    <w:rPr>
                      <w:color w:val="231F20"/>
                      <w:sz w:val="18"/>
                    </w:rPr>
                    <w:t>75/16, Nové Město, 110 00 Praha 1.</w:t>
                  </w:r>
                </w:p>
              </w:txbxContent>
            </v:textbox>
            <w10:wrap type="topAndBottom" anchorx="page"/>
          </v:shape>
        </w:pict>
      </w:r>
    </w:p>
    <w:p w14:paraId="50AEA5FD" w14:textId="77777777" w:rsidR="00F65BCA" w:rsidRDefault="00F65BCA">
      <w:pPr>
        <w:pStyle w:val="Zkladntext"/>
        <w:spacing w:before="9"/>
        <w:rPr>
          <w:sz w:val="26"/>
        </w:rPr>
      </w:pPr>
    </w:p>
    <w:p w14:paraId="5722ACBB" w14:textId="77777777" w:rsidR="00F65BCA" w:rsidRDefault="00000000">
      <w:pPr>
        <w:spacing w:before="104"/>
        <w:ind w:left="880" w:right="5976"/>
        <w:rPr>
          <w:sz w:val="28"/>
        </w:rPr>
      </w:pPr>
      <w:r>
        <w:pict w14:anchorId="2565C674">
          <v:shape id="_x0000_s2353" style="position:absolute;left:0;text-align:left;margin-left:51pt;margin-top:38.95pt;width:238.15pt;height:.1pt;z-index:-251553792;mso-wrap-distance-left:0;mso-wrap-distance-right:0;mso-position-horizontal-relative:page" coordorigin="1020,779" coordsize="4763,0" path="m1020,779r4763,e" filled="f" strokecolor="#d1d3d4">
            <v:path arrowok="t"/>
            <w10:wrap type="topAndBottom" anchorx="page"/>
          </v:shape>
        </w:pict>
      </w:r>
      <w:r>
        <w:pict w14:anchorId="4C7B275B">
          <v:shape id="_x0000_s2352" type="#_x0000_t202" style="position:absolute;left:0;text-align:left;margin-left:303.3pt;margin-top:-90.15pt;width:252.3pt;height:217.6pt;z-index:251768832;mso-position-horizontal-relative:page" fillcolor="#f4d6c8" stroked="f">
            <v:textbox inset="0,0,0,0">
              <w:txbxContent>
                <w:p w14:paraId="0BFFF1EA" w14:textId="77777777" w:rsidR="00F65BCA" w:rsidRDefault="00216117">
                  <w:pPr>
                    <w:spacing w:before="164"/>
                    <w:ind w:left="226"/>
                    <w:jc w:val="both"/>
                    <w:rPr>
                      <w:b/>
                      <w:sz w:val="28"/>
                    </w:rPr>
                  </w:pPr>
                  <w:r>
                    <w:rPr>
                      <w:b/>
                      <w:color w:val="231F20"/>
                      <w:sz w:val="28"/>
                    </w:rPr>
                    <w:t>Jaké údaje o Vás zpracováváme?</w:t>
                  </w:r>
                </w:p>
                <w:p w14:paraId="74F067F6" w14:textId="77777777" w:rsidR="00F65BCA" w:rsidRDefault="00216117">
                  <w:pPr>
                    <w:spacing w:before="68"/>
                    <w:ind w:left="226"/>
                    <w:jc w:val="both"/>
                    <w:rPr>
                      <w:sz w:val="18"/>
                    </w:rPr>
                  </w:pPr>
                  <w:r>
                    <w:rPr>
                      <w:color w:val="231F20"/>
                      <w:sz w:val="18"/>
                    </w:rPr>
                    <w:t>Zpracováváme následující osobní údaje:</w:t>
                  </w:r>
                </w:p>
                <w:p w14:paraId="45D12CEC" w14:textId="77777777" w:rsidR="00F65BCA" w:rsidRDefault="00216117">
                  <w:pPr>
                    <w:numPr>
                      <w:ilvl w:val="0"/>
                      <w:numId w:val="142"/>
                    </w:numPr>
                    <w:tabs>
                      <w:tab w:val="left" w:pos="397"/>
                    </w:tabs>
                    <w:spacing w:before="33" w:line="278" w:lineRule="auto"/>
                    <w:ind w:right="224"/>
                    <w:jc w:val="both"/>
                    <w:rPr>
                      <w:sz w:val="18"/>
                    </w:rPr>
                  </w:pPr>
                  <w:r>
                    <w:rPr>
                      <w:color w:val="231F20"/>
                      <w:sz w:val="18"/>
                    </w:rPr>
                    <w:t xml:space="preserve">Vaše </w:t>
                  </w:r>
                  <w:r>
                    <w:rPr>
                      <w:b/>
                      <w:color w:val="231F20"/>
                      <w:sz w:val="18"/>
                    </w:rPr>
                    <w:t xml:space="preserve">identifikační a kontaktní údaje </w:t>
                  </w:r>
                  <w:r>
                    <w:rPr>
                      <w:color w:val="231F20"/>
                      <w:sz w:val="18"/>
                    </w:rPr>
                    <w:t xml:space="preserve">(e-mailová </w:t>
                  </w:r>
                  <w:r>
                    <w:rPr>
                      <w:color w:val="231F20"/>
                      <w:spacing w:val="-5"/>
                      <w:sz w:val="18"/>
                    </w:rPr>
                    <w:t xml:space="preserve">ad- </w:t>
                  </w:r>
                  <w:r>
                    <w:rPr>
                      <w:color w:val="231F20"/>
                      <w:sz w:val="18"/>
                    </w:rPr>
                    <w:t xml:space="preserve">resa a telefonní číslo nejsou povinné údaje s výjimkou sjednání pojištění na internetu nebo distančním </w:t>
                  </w:r>
                  <w:r>
                    <w:rPr>
                      <w:color w:val="231F20"/>
                      <w:spacing w:val="-4"/>
                      <w:sz w:val="18"/>
                    </w:rPr>
                    <w:t xml:space="preserve">způso- </w:t>
                  </w:r>
                  <w:r>
                    <w:rPr>
                      <w:color w:val="231F20"/>
                      <w:sz w:val="18"/>
                    </w:rPr>
                    <w:t xml:space="preserve">bem, pokud nám je však poskytnete, bude naše </w:t>
                  </w:r>
                  <w:r>
                    <w:rPr>
                      <w:color w:val="231F20"/>
                      <w:spacing w:val="-3"/>
                      <w:sz w:val="18"/>
                    </w:rPr>
                    <w:t xml:space="preserve">komu- </w:t>
                  </w:r>
                  <w:r>
                    <w:rPr>
                      <w:color w:val="231F20"/>
                      <w:sz w:val="18"/>
                    </w:rPr>
                    <w:t>nikace rychlejší a</w:t>
                  </w:r>
                  <w:r>
                    <w:rPr>
                      <w:color w:val="231F20"/>
                      <w:spacing w:val="-2"/>
                      <w:sz w:val="18"/>
                    </w:rPr>
                    <w:t xml:space="preserve"> </w:t>
                  </w:r>
                  <w:r>
                    <w:rPr>
                      <w:color w:val="231F20"/>
                      <w:sz w:val="18"/>
                    </w:rPr>
                    <w:t>efektivnější),</w:t>
                  </w:r>
                </w:p>
                <w:p w14:paraId="04B52A96" w14:textId="77777777" w:rsidR="00F65BCA" w:rsidRDefault="00216117">
                  <w:pPr>
                    <w:numPr>
                      <w:ilvl w:val="0"/>
                      <w:numId w:val="142"/>
                    </w:numPr>
                    <w:tabs>
                      <w:tab w:val="left" w:pos="397"/>
                    </w:tabs>
                    <w:spacing w:line="206" w:lineRule="exact"/>
                    <w:jc w:val="both"/>
                    <w:rPr>
                      <w:sz w:val="18"/>
                    </w:rPr>
                  </w:pPr>
                  <w:r>
                    <w:rPr>
                      <w:b/>
                      <w:color w:val="231F20"/>
                      <w:sz w:val="18"/>
                    </w:rPr>
                    <w:t xml:space="preserve">sociodemografické údaje </w:t>
                  </w:r>
                  <w:r>
                    <w:rPr>
                      <w:color w:val="231F20"/>
                      <w:sz w:val="18"/>
                    </w:rPr>
                    <w:t>(např. věk,</w:t>
                  </w:r>
                  <w:r>
                    <w:rPr>
                      <w:color w:val="231F20"/>
                      <w:spacing w:val="-2"/>
                      <w:sz w:val="18"/>
                    </w:rPr>
                    <w:t xml:space="preserve"> </w:t>
                  </w:r>
                  <w:r>
                    <w:rPr>
                      <w:color w:val="231F20"/>
                      <w:sz w:val="18"/>
                    </w:rPr>
                    <w:t>povolání),</w:t>
                  </w:r>
                </w:p>
                <w:p w14:paraId="352F6F98" w14:textId="77777777" w:rsidR="00F65BCA" w:rsidRDefault="00216117">
                  <w:pPr>
                    <w:numPr>
                      <w:ilvl w:val="0"/>
                      <w:numId w:val="142"/>
                    </w:numPr>
                    <w:tabs>
                      <w:tab w:val="left" w:pos="397"/>
                    </w:tabs>
                    <w:spacing w:before="33"/>
                    <w:rPr>
                      <w:sz w:val="18"/>
                    </w:rPr>
                  </w:pPr>
                  <w:r>
                    <w:rPr>
                      <w:b/>
                      <w:color w:val="231F20"/>
                      <w:sz w:val="18"/>
                    </w:rPr>
                    <w:t>údaje z naší vzájemné</w:t>
                  </w:r>
                  <w:r>
                    <w:rPr>
                      <w:b/>
                      <w:color w:val="231F20"/>
                      <w:spacing w:val="1"/>
                      <w:sz w:val="18"/>
                    </w:rPr>
                    <w:t xml:space="preserve"> </w:t>
                  </w:r>
                  <w:r>
                    <w:rPr>
                      <w:b/>
                      <w:color w:val="231F20"/>
                      <w:sz w:val="18"/>
                    </w:rPr>
                    <w:t>komunikace</w:t>
                  </w:r>
                  <w:r>
                    <w:rPr>
                      <w:color w:val="231F20"/>
                      <w:sz w:val="18"/>
                    </w:rPr>
                    <w:t>,</w:t>
                  </w:r>
                </w:p>
                <w:p w14:paraId="77D8EF69" w14:textId="77777777" w:rsidR="00F65BCA" w:rsidRDefault="00216117">
                  <w:pPr>
                    <w:numPr>
                      <w:ilvl w:val="0"/>
                      <w:numId w:val="142"/>
                    </w:numPr>
                    <w:tabs>
                      <w:tab w:val="left" w:pos="397"/>
                    </w:tabs>
                    <w:spacing w:before="33"/>
                    <w:rPr>
                      <w:sz w:val="18"/>
                    </w:rPr>
                  </w:pPr>
                  <w:r>
                    <w:rPr>
                      <w:b/>
                      <w:color w:val="231F20"/>
                      <w:sz w:val="18"/>
                    </w:rPr>
                    <w:t>údaje o využívaných produktech a</w:t>
                  </w:r>
                  <w:r>
                    <w:rPr>
                      <w:b/>
                      <w:color w:val="231F20"/>
                      <w:spacing w:val="-5"/>
                      <w:sz w:val="18"/>
                    </w:rPr>
                    <w:t xml:space="preserve"> </w:t>
                  </w:r>
                  <w:r>
                    <w:rPr>
                      <w:b/>
                      <w:color w:val="231F20"/>
                      <w:sz w:val="18"/>
                    </w:rPr>
                    <w:t>službách</w:t>
                  </w:r>
                  <w:r>
                    <w:rPr>
                      <w:color w:val="231F20"/>
                      <w:sz w:val="18"/>
                    </w:rPr>
                    <w:t>,</w:t>
                  </w:r>
                </w:p>
                <w:p w14:paraId="58657D23" w14:textId="77777777" w:rsidR="00F65BCA" w:rsidRDefault="00216117">
                  <w:pPr>
                    <w:numPr>
                      <w:ilvl w:val="0"/>
                      <w:numId w:val="142"/>
                    </w:numPr>
                    <w:tabs>
                      <w:tab w:val="left" w:pos="397"/>
                    </w:tabs>
                    <w:spacing w:before="33"/>
                    <w:rPr>
                      <w:sz w:val="18"/>
                    </w:rPr>
                  </w:pPr>
                  <w:r>
                    <w:rPr>
                      <w:b/>
                      <w:color w:val="231F20"/>
                      <w:sz w:val="18"/>
                    </w:rPr>
                    <w:t>údaje o platební morálce, bonitě a</w:t>
                  </w:r>
                  <w:r>
                    <w:rPr>
                      <w:b/>
                      <w:color w:val="231F20"/>
                      <w:spacing w:val="-5"/>
                      <w:sz w:val="18"/>
                    </w:rPr>
                    <w:t xml:space="preserve"> </w:t>
                  </w:r>
                  <w:r>
                    <w:rPr>
                      <w:b/>
                      <w:color w:val="231F20"/>
                      <w:sz w:val="18"/>
                    </w:rPr>
                    <w:t>důvěryhodnosti</w:t>
                  </w:r>
                  <w:r>
                    <w:rPr>
                      <w:color w:val="231F20"/>
                      <w:sz w:val="18"/>
                    </w:rPr>
                    <w:t>,</w:t>
                  </w:r>
                </w:p>
                <w:p w14:paraId="487E9A6E" w14:textId="77777777" w:rsidR="00F65BCA" w:rsidRDefault="00216117">
                  <w:pPr>
                    <w:numPr>
                      <w:ilvl w:val="0"/>
                      <w:numId w:val="142"/>
                    </w:numPr>
                    <w:tabs>
                      <w:tab w:val="left" w:pos="397"/>
                    </w:tabs>
                    <w:spacing w:before="33" w:line="278" w:lineRule="auto"/>
                    <w:ind w:right="224"/>
                    <w:rPr>
                      <w:sz w:val="18"/>
                    </w:rPr>
                  </w:pPr>
                  <w:r>
                    <w:rPr>
                      <w:b/>
                      <w:color w:val="231F20"/>
                      <w:sz w:val="18"/>
                    </w:rPr>
                    <w:t>platební</w:t>
                  </w:r>
                  <w:r>
                    <w:rPr>
                      <w:b/>
                      <w:color w:val="231F20"/>
                      <w:spacing w:val="-10"/>
                      <w:sz w:val="18"/>
                    </w:rPr>
                    <w:t xml:space="preserve"> </w:t>
                  </w:r>
                  <w:r>
                    <w:rPr>
                      <w:b/>
                      <w:color w:val="231F20"/>
                      <w:sz w:val="18"/>
                    </w:rPr>
                    <w:t>údaje</w:t>
                  </w:r>
                  <w:r>
                    <w:rPr>
                      <w:b/>
                      <w:color w:val="231F20"/>
                      <w:spacing w:val="-9"/>
                      <w:sz w:val="18"/>
                    </w:rPr>
                    <w:t xml:space="preserve"> </w:t>
                  </w:r>
                  <w:r>
                    <w:rPr>
                      <w:color w:val="231F20"/>
                      <w:sz w:val="18"/>
                    </w:rPr>
                    <w:t>(např.</w:t>
                  </w:r>
                  <w:r>
                    <w:rPr>
                      <w:color w:val="231F20"/>
                      <w:spacing w:val="-10"/>
                      <w:sz w:val="18"/>
                    </w:rPr>
                    <w:t xml:space="preserve"> </w:t>
                  </w:r>
                  <w:r>
                    <w:rPr>
                      <w:color w:val="231F20"/>
                      <w:sz w:val="18"/>
                    </w:rPr>
                    <w:t>údaj</w:t>
                  </w:r>
                  <w:r>
                    <w:rPr>
                      <w:color w:val="231F20"/>
                      <w:spacing w:val="-9"/>
                      <w:sz w:val="18"/>
                    </w:rPr>
                    <w:t xml:space="preserve"> </w:t>
                  </w:r>
                  <w:r>
                    <w:rPr>
                      <w:color w:val="231F20"/>
                      <w:sz w:val="18"/>
                    </w:rPr>
                    <w:t>o</w:t>
                  </w:r>
                  <w:r>
                    <w:rPr>
                      <w:color w:val="231F20"/>
                      <w:spacing w:val="-9"/>
                      <w:sz w:val="18"/>
                    </w:rPr>
                    <w:t xml:space="preserve"> </w:t>
                  </w:r>
                  <w:r>
                    <w:rPr>
                      <w:color w:val="231F20"/>
                      <w:sz w:val="18"/>
                    </w:rPr>
                    <w:t>zaplaceném</w:t>
                  </w:r>
                  <w:r>
                    <w:rPr>
                      <w:color w:val="231F20"/>
                      <w:spacing w:val="-10"/>
                      <w:sz w:val="18"/>
                    </w:rPr>
                    <w:t xml:space="preserve"> </w:t>
                  </w:r>
                  <w:r>
                    <w:rPr>
                      <w:color w:val="231F20"/>
                      <w:sz w:val="18"/>
                    </w:rPr>
                    <w:t>nebo</w:t>
                  </w:r>
                  <w:r>
                    <w:rPr>
                      <w:color w:val="231F20"/>
                      <w:spacing w:val="-9"/>
                      <w:sz w:val="18"/>
                    </w:rPr>
                    <w:t xml:space="preserve"> </w:t>
                  </w:r>
                  <w:r>
                    <w:rPr>
                      <w:color w:val="231F20"/>
                      <w:sz w:val="18"/>
                    </w:rPr>
                    <w:t>dlužném pojistném, číslo účtu</w:t>
                  </w:r>
                  <w:r>
                    <w:rPr>
                      <w:color w:val="231F20"/>
                      <w:spacing w:val="1"/>
                      <w:sz w:val="18"/>
                    </w:rPr>
                    <w:t xml:space="preserve"> </w:t>
                  </w:r>
                  <w:r>
                    <w:rPr>
                      <w:color w:val="231F20"/>
                      <w:sz w:val="18"/>
                    </w:rPr>
                    <w:t>apod.),</w:t>
                  </w:r>
                </w:p>
                <w:p w14:paraId="3BF74B52" w14:textId="77777777" w:rsidR="00F65BCA" w:rsidRDefault="00216117">
                  <w:pPr>
                    <w:numPr>
                      <w:ilvl w:val="0"/>
                      <w:numId w:val="142"/>
                    </w:numPr>
                    <w:tabs>
                      <w:tab w:val="left" w:pos="397"/>
                    </w:tabs>
                    <w:rPr>
                      <w:sz w:val="18"/>
                    </w:rPr>
                  </w:pPr>
                  <w:r>
                    <w:rPr>
                      <w:b/>
                      <w:color w:val="231F20"/>
                      <w:sz w:val="18"/>
                    </w:rPr>
                    <w:t xml:space="preserve">biometrické údaje </w:t>
                  </w:r>
                  <w:r>
                    <w:rPr>
                      <w:color w:val="231F20"/>
                      <w:sz w:val="18"/>
                    </w:rPr>
                    <w:t>obsažené v biometrickém</w:t>
                  </w:r>
                  <w:r>
                    <w:rPr>
                      <w:color w:val="231F20"/>
                      <w:spacing w:val="31"/>
                      <w:sz w:val="18"/>
                    </w:rPr>
                    <w:t xml:space="preserve"> </w:t>
                  </w:r>
                  <w:r>
                    <w:rPr>
                      <w:color w:val="231F20"/>
                      <w:sz w:val="18"/>
                    </w:rPr>
                    <w:t>podpisu,</w:t>
                  </w:r>
                </w:p>
                <w:p w14:paraId="19116F12" w14:textId="77777777" w:rsidR="00F65BCA" w:rsidRDefault="00216117">
                  <w:pPr>
                    <w:numPr>
                      <w:ilvl w:val="0"/>
                      <w:numId w:val="142"/>
                    </w:numPr>
                    <w:tabs>
                      <w:tab w:val="left" w:pos="397"/>
                    </w:tabs>
                    <w:spacing w:before="33" w:line="278" w:lineRule="auto"/>
                    <w:ind w:right="224"/>
                    <w:rPr>
                      <w:sz w:val="18"/>
                    </w:rPr>
                  </w:pPr>
                  <w:r>
                    <w:rPr>
                      <w:color w:val="231F20"/>
                      <w:sz w:val="18"/>
                    </w:rPr>
                    <w:t xml:space="preserve">další </w:t>
                  </w:r>
                  <w:r>
                    <w:rPr>
                      <w:b/>
                      <w:color w:val="231F20"/>
                      <w:sz w:val="18"/>
                    </w:rPr>
                    <w:t xml:space="preserve">specifické údaje </w:t>
                  </w:r>
                  <w:r>
                    <w:rPr>
                      <w:color w:val="231F20"/>
                      <w:sz w:val="18"/>
                    </w:rPr>
                    <w:t>potřebné k realizaci sjednaného produktu.</w:t>
                  </w:r>
                </w:p>
              </w:txbxContent>
            </v:textbox>
            <w10:wrap anchorx="page"/>
          </v:shape>
        </w:pict>
      </w:r>
      <w:r w:rsidR="00216117">
        <w:rPr>
          <w:color w:val="C5271C"/>
          <w:sz w:val="28"/>
        </w:rPr>
        <w:t>Proč zpracováváme Vaše osobní údaje a co nás k tomu opravňuje?</w:t>
      </w:r>
    </w:p>
    <w:p w14:paraId="68496942" w14:textId="77777777" w:rsidR="00F65BCA" w:rsidRDefault="00216117">
      <w:pPr>
        <w:pStyle w:val="Nadpis8"/>
        <w:spacing w:before="123"/>
        <w:ind w:left="1120"/>
      </w:pPr>
      <w:r>
        <w:rPr>
          <w:color w:val="231F20"/>
        </w:rPr>
        <w:t>Pro přípravu a uzavření smlouvy</w:t>
      </w:r>
    </w:p>
    <w:p w14:paraId="6357F552" w14:textId="77777777" w:rsidR="00F65BCA" w:rsidRDefault="00216117">
      <w:pPr>
        <w:pStyle w:val="Nadpis9"/>
        <w:spacing w:before="33" w:line="278" w:lineRule="auto"/>
        <w:ind w:right="5980"/>
      </w:pPr>
      <w:r>
        <w:rPr>
          <w:noProof/>
        </w:rPr>
        <w:drawing>
          <wp:anchor distT="0" distB="0" distL="0" distR="0" simplePos="0" relativeHeight="251763712" behindDoc="0" locked="0" layoutInCell="1" allowOverlap="1" wp14:anchorId="2BA1B862" wp14:editId="762B57C6">
            <wp:simplePos x="0" y="0"/>
            <wp:positionH relativeFrom="page">
              <wp:posOffset>648002</wp:posOffset>
            </wp:positionH>
            <wp:positionV relativeFrom="paragraph">
              <wp:posOffset>-90328</wp:posOffset>
            </wp:positionV>
            <wp:extent cx="66090" cy="66090"/>
            <wp:effectExtent l="0" t="0" r="0" b="0"/>
            <wp:wrapNone/>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30" cstate="print"/>
                    <a:stretch>
                      <a:fillRect/>
                    </a:stretch>
                  </pic:blipFill>
                  <pic:spPr>
                    <a:xfrm>
                      <a:off x="0" y="0"/>
                      <a:ext cx="66090" cy="66090"/>
                    </a:xfrm>
                    <a:prstGeom prst="rect">
                      <a:avLst/>
                    </a:prstGeom>
                  </pic:spPr>
                </pic:pic>
              </a:graphicData>
            </a:graphic>
          </wp:anchor>
        </w:drawing>
      </w:r>
      <w:r>
        <w:rPr>
          <w:color w:val="231F20"/>
        </w:rPr>
        <w:t>Poskytnutí údajů je zcela dobrovolné. Pokud nám však nesdělíte údaje nezbytné pro sjednání pojištění, nemůžeme připravit nabídku pojištění ani s Vámi pojistnou smlouvu (příp. dodatek) uzavřít. Z těchto důvodů potřebujeme znát Vaše identifikační údaje v rozsahu jméno, příjmení, rodné číslo (datum narození) a adresa bydliště. V případě fyzické osoby podnikatele potřebujeme znát též identifikační číslo, bylo-li přiděleno.</w:t>
      </w:r>
    </w:p>
    <w:p w14:paraId="406B3DA8" w14:textId="77777777" w:rsidR="00F65BCA" w:rsidRDefault="00216117">
      <w:pPr>
        <w:pStyle w:val="Nadpis9"/>
        <w:spacing w:line="278" w:lineRule="auto"/>
        <w:ind w:right="651"/>
      </w:pPr>
      <w:r>
        <w:rPr>
          <w:color w:val="231F20"/>
        </w:rPr>
        <w:t xml:space="preserve">Můžeme Vás také požádat o poskytnutí dalších potřebných údajů dle charakteru Vámi zvoleného produktu. Příklady: </w:t>
      </w:r>
      <w:r>
        <w:rPr>
          <w:color w:val="231F20"/>
          <w:spacing w:val="-3"/>
        </w:rPr>
        <w:t xml:space="preserve">údaje      </w:t>
      </w:r>
      <w:r>
        <w:rPr>
          <w:color w:val="231F20"/>
        </w:rPr>
        <w:t>o</w:t>
      </w:r>
      <w:r>
        <w:rPr>
          <w:color w:val="231F20"/>
          <w:spacing w:val="-12"/>
        </w:rPr>
        <w:t xml:space="preserve"> </w:t>
      </w:r>
      <w:r>
        <w:rPr>
          <w:color w:val="231F20"/>
        </w:rPr>
        <w:t>pojišťovaném</w:t>
      </w:r>
      <w:r>
        <w:rPr>
          <w:color w:val="231F20"/>
          <w:spacing w:val="-11"/>
        </w:rPr>
        <w:t xml:space="preserve"> </w:t>
      </w:r>
      <w:r>
        <w:rPr>
          <w:color w:val="231F20"/>
        </w:rPr>
        <w:t>majetku</w:t>
      </w:r>
      <w:r>
        <w:rPr>
          <w:color w:val="231F20"/>
          <w:spacing w:val="-11"/>
        </w:rPr>
        <w:t xml:space="preserve"> </w:t>
      </w:r>
      <w:r>
        <w:rPr>
          <w:color w:val="231F20"/>
        </w:rPr>
        <w:t>či</w:t>
      </w:r>
      <w:r>
        <w:rPr>
          <w:color w:val="231F20"/>
          <w:spacing w:val="-11"/>
        </w:rPr>
        <w:t xml:space="preserve"> </w:t>
      </w:r>
      <w:r>
        <w:rPr>
          <w:color w:val="231F20"/>
        </w:rPr>
        <w:t>vztazích,</w:t>
      </w:r>
      <w:r>
        <w:rPr>
          <w:color w:val="231F20"/>
          <w:spacing w:val="-11"/>
        </w:rPr>
        <w:t xml:space="preserve"> </w:t>
      </w:r>
      <w:r>
        <w:rPr>
          <w:color w:val="231F20"/>
        </w:rPr>
        <w:t>povolání,</w:t>
      </w:r>
      <w:r>
        <w:rPr>
          <w:color w:val="231F20"/>
          <w:spacing w:val="-11"/>
        </w:rPr>
        <w:t xml:space="preserve"> </w:t>
      </w:r>
      <w:r>
        <w:rPr>
          <w:color w:val="231F20"/>
        </w:rPr>
        <w:t>příjmech,</w:t>
      </w:r>
      <w:r>
        <w:rPr>
          <w:color w:val="231F20"/>
          <w:spacing w:val="-11"/>
        </w:rPr>
        <w:t xml:space="preserve"> </w:t>
      </w:r>
      <w:r>
        <w:rPr>
          <w:color w:val="231F20"/>
        </w:rPr>
        <w:t>rizikovém</w:t>
      </w:r>
      <w:r>
        <w:rPr>
          <w:color w:val="231F20"/>
          <w:spacing w:val="-11"/>
        </w:rPr>
        <w:t xml:space="preserve"> </w:t>
      </w:r>
      <w:r>
        <w:rPr>
          <w:color w:val="231F20"/>
        </w:rPr>
        <w:t>chování,</w:t>
      </w:r>
      <w:r>
        <w:rPr>
          <w:color w:val="231F20"/>
          <w:spacing w:val="-11"/>
        </w:rPr>
        <w:t xml:space="preserve"> </w:t>
      </w:r>
      <w:r>
        <w:rPr>
          <w:color w:val="231F20"/>
        </w:rPr>
        <w:t>provozovaných</w:t>
      </w:r>
      <w:r>
        <w:rPr>
          <w:color w:val="231F20"/>
          <w:spacing w:val="-11"/>
        </w:rPr>
        <w:t xml:space="preserve"> </w:t>
      </w:r>
      <w:r>
        <w:rPr>
          <w:color w:val="231F20"/>
        </w:rPr>
        <w:t>sportech,</w:t>
      </w:r>
      <w:r>
        <w:rPr>
          <w:color w:val="231F20"/>
          <w:spacing w:val="-11"/>
        </w:rPr>
        <w:t xml:space="preserve"> </w:t>
      </w:r>
      <w:r>
        <w:rPr>
          <w:color w:val="231F20"/>
        </w:rPr>
        <w:t>znalostech</w:t>
      </w:r>
      <w:r>
        <w:rPr>
          <w:color w:val="231F20"/>
          <w:spacing w:val="-11"/>
        </w:rPr>
        <w:t xml:space="preserve"> </w:t>
      </w:r>
      <w:r>
        <w:rPr>
          <w:color w:val="231F20"/>
        </w:rPr>
        <w:t>a</w:t>
      </w:r>
      <w:r>
        <w:rPr>
          <w:color w:val="231F20"/>
          <w:spacing w:val="-11"/>
        </w:rPr>
        <w:t xml:space="preserve"> </w:t>
      </w:r>
      <w:r>
        <w:rPr>
          <w:color w:val="231F20"/>
        </w:rPr>
        <w:t>zkušenostech v oblasti investic.</w:t>
      </w:r>
    </w:p>
    <w:p w14:paraId="6D291AF6" w14:textId="77777777" w:rsidR="00F65BCA" w:rsidRDefault="00F65BCA">
      <w:pPr>
        <w:pStyle w:val="Zkladntext"/>
        <w:spacing w:before="5"/>
        <w:rPr>
          <w:sz w:val="11"/>
        </w:rPr>
      </w:pPr>
    </w:p>
    <w:p w14:paraId="5CFC53C4" w14:textId="77777777" w:rsidR="00F65BCA" w:rsidRDefault="00216117">
      <w:pPr>
        <w:pStyle w:val="Nadpis8"/>
        <w:spacing w:before="107"/>
        <w:ind w:left="1120"/>
      </w:pPr>
      <w:r>
        <w:rPr>
          <w:noProof/>
        </w:rPr>
        <w:drawing>
          <wp:anchor distT="0" distB="0" distL="0" distR="0" simplePos="0" relativeHeight="251764736" behindDoc="0" locked="0" layoutInCell="1" allowOverlap="1" wp14:anchorId="77D32E67" wp14:editId="7BA81FC6">
            <wp:simplePos x="0" y="0"/>
            <wp:positionH relativeFrom="page">
              <wp:posOffset>648002</wp:posOffset>
            </wp:positionH>
            <wp:positionV relativeFrom="paragraph">
              <wp:posOffset>109061</wp:posOffset>
            </wp:positionV>
            <wp:extent cx="66090" cy="66090"/>
            <wp:effectExtent l="0" t="0" r="0" b="0"/>
            <wp:wrapNone/>
            <wp:docPr id="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png"/>
                    <pic:cNvPicPr/>
                  </pic:nvPicPr>
                  <pic:blipFill>
                    <a:blip r:embed="rId30" cstate="print"/>
                    <a:stretch>
                      <a:fillRect/>
                    </a:stretch>
                  </pic:blipFill>
                  <pic:spPr>
                    <a:xfrm>
                      <a:off x="0" y="0"/>
                      <a:ext cx="66090" cy="66090"/>
                    </a:xfrm>
                    <a:prstGeom prst="rect">
                      <a:avLst/>
                    </a:prstGeom>
                  </pic:spPr>
                </pic:pic>
              </a:graphicData>
            </a:graphic>
          </wp:anchor>
        </w:drawing>
      </w:r>
      <w:r>
        <w:rPr>
          <w:color w:val="231F20"/>
        </w:rPr>
        <w:t>Pro plnění smlouvy</w:t>
      </w:r>
    </w:p>
    <w:p w14:paraId="57265E8B" w14:textId="77777777" w:rsidR="00F65BCA" w:rsidRDefault="00216117">
      <w:pPr>
        <w:pStyle w:val="Nadpis9"/>
        <w:spacing w:before="33" w:line="278" w:lineRule="auto"/>
        <w:ind w:right="651"/>
      </w:pPr>
      <w:r>
        <w:rPr>
          <w:color w:val="231F20"/>
        </w:rPr>
        <w:t>Zpracovávat Vaše osobní údaje musíme rovněž kvůli řádné správě pojistných smluv včetně jejich změn, likvidaci pojistných událostí, poskytování asistenčních služeb a naší vzájemné komunikaci. Zpracováváme i další údaje podle toho, jaké produkty využíváte a jaké osobní údaje jste nám sdělili či které jsme zjistili například při likvidaci pojistné události.</w:t>
      </w:r>
    </w:p>
    <w:p w14:paraId="7605DA40" w14:textId="77777777" w:rsidR="00F65BCA" w:rsidRDefault="00F65BCA">
      <w:pPr>
        <w:pStyle w:val="Zkladntext"/>
        <w:spacing w:before="7"/>
        <w:rPr>
          <w:sz w:val="11"/>
        </w:rPr>
      </w:pPr>
    </w:p>
    <w:p w14:paraId="5992CEB2" w14:textId="77777777" w:rsidR="00F65BCA" w:rsidRDefault="00216117">
      <w:pPr>
        <w:pStyle w:val="Nadpis8"/>
        <w:spacing w:before="106"/>
        <w:ind w:left="1120"/>
      </w:pPr>
      <w:r>
        <w:rPr>
          <w:noProof/>
        </w:rPr>
        <w:drawing>
          <wp:anchor distT="0" distB="0" distL="0" distR="0" simplePos="0" relativeHeight="251765760" behindDoc="0" locked="0" layoutInCell="1" allowOverlap="1" wp14:anchorId="7BD7E098" wp14:editId="23D01631">
            <wp:simplePos x="0" y="0"/>
            <wp:positionH relativeFrom="page">
              <wp:posOffset>648002</wp:posOffset>
            </wp:positionH>
            <wp:positionV relativeFrom="paragraph">
              <wp:posOffset>108426</wp:posOffset>
            </wp:positionV>
            <wp:extent cx="66090" cy="66090"/>
            <wp:effectExtent l="0" t="0" r="0" b="0"/>
            <wp:wrapNone/>
            <wp:docPr id="1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png"/>
                    <pic:cNvPicPr/>
                  </pic:nvPicPr>
                  <pic:blipFill>
                    <a:blip r:embed="rId30" cstate="print"/>
                    <a:stretch>
                      <a:fillRect/>
                    </a:stretch>
                  </pic:blipFill>
                  <pic:spPr>
                    <a:xfrm>
                      <a:off x="0" y="0"/>
                      <a:ext cx="66090" cy="66090"/>
                    </a:xfrm>
                    <a:prstGeom prst="rect">
                      <a:avLst/>
                    </a:prstGeom>
                  </pic:spPr>
                </pic:pic>
              </a:graphicData>
            </a:graphic>
          </wp:anchor>
        </w:drawing>
      </w:r>
      <w:r>
        <w:rPr>
          <w:color w:val="231F20"/>
        </w:rPr>
        <w:t>Pro plnění právní povinnosti</w:t>
      </w:r>
    </w:p>
    <w:p w14:paraId="70106FD5" w14:textId="77777777" w:rsidR="00F65BCA" w:rsidRDefault="00216117">
      <w:pPr>
        <w:pStyle w:val="Nadpis9"/>
        <w:spacing w:before="33" w:line="278" w:lineRule="auto"/>
        <w:ind w:right="651"/>
      </w:pPr>
      <w:r>
        <w:rPr>
          <w:color w:val="231F20"/>
        </w:rPr>
        <w:t>Některé právní předpisy nám přímo ukládají povinnost zpracovávat Vaše osobní údaje a vybrané údaje předávat dalším subjektům.</w:t>
      </w:r>
      <w:r>
        <w:rPr>
          <w:color w:val="231F20"/>
          <w:spacing w:val="-6"/>
        </w:rPr>
        <w:t xml:space="preserve"> </w:t>
      </w:r>
      <w:r>
        <w:rPr>
          <w:color w:val="231F20"/>
        </w:rPr>
        <w:t>Jedná</w:t>
      </w:r>
      <w:r>
        <w:rPr>
          <w:color w:val="231F20"/>
          <w:spacing w:val="-6"/>
        </w:rPr>
        <w:t xml:space="preserve"> </w:t>
      </w:r>
      <w:r>
        <w:rPr>
          <w:color w:val="231F20"/>
        </w:rPr>
        <w:t>se</w:t>
      </w:r>
      <w:r>
        <w:rPr>
          <w:color w:val="231F20"/>
          <w:spacing w:val="-5"/>
        </w:rPr>
        <w:t xml:space="preserve"> </w:t>
      </w:r>
      <w:r>
        <w:rPr>
          <w:color w:val="231F20"/>
        </w:rPr>
        <w:t>zejména</w:t>
      </w:r>
      <w:r>
        <w:rPr>
          <w:color w:val="231F20"/>
          <w:spacing w:val="-6"/>
        </w:rPr>
        <w:t xml:space="preserve"> </w:t>
      </w:r>
      <w:r>
        <w:rPr>
          <w:color w:val="231F20"/>
        </w:rPr>
        <w:t>o</w:t>
      </w:r>
      <w:r>
        <w:rPr>
          <w:color w:val="231F20"/>
          <w:spacing w:val="-6"/>
        </w:rPr>
        <w:t xml:space="preserve"> </w:t>
      </w:r>
      <w:r>
        <w:rPr>
          <w:color w:val="231F20"/>
        </w:rPr>
        <w:t>předpisy</w:t>
      </w:r>
      <w:r>
        <w:rPr>
          <w:color w:val="231F20"/>
          <w:spacing w:val="-5"/>
        </w:rPr>
        <w:t xml:space="preserve"> </w:t>
      </w:r>
      <w:r>
        <w:rPr>
          <w:color w:val="231F20"/>
        </w:rPr>
        <w:t>upravující</w:t>
      </w:r>
      <w:r>
        <w:rPr>
          <w:color w:val="231F20"/>
          <w:spacing w:val="-6"/>
        </w:rPr>
        <w:t xml:space="preserve"> </w:t>
      </w:r>
      <w:r>
        <w:rPr>
          <w:color w:val="231F20"/>
        </w:rPr>
        <w:t>distribuci</w:t>
      </w:r>
      <w:r>
        <w:rPr>
          <w:color w:val="231F20"/>
          <w:spacing w:val="-6"/>
        </w:rPr>
        <w:t xml:space="preserve"> </w:t>
      </w:r>
      <w:r>
        <w:rPr>
          <w:color w:val="231F20"/>
        </w:rPr>
        <w:t>pojištění,</w:t>
      </w:r>
      <w:r>
        <w:rPr>
          <w:color w:val="231F20"/>
          <w:spacing w:val="-5"/>
        </w:rPr>
        <w:t xml:space="preserve"> </w:t>
      </w:r>
      <w:r>
        <w:rPr>
          <w:color w:val="231F20"/>
        </w:rPr>
        <w:t>pojišťovnictví</w:t>
      </w:r>
      <w:r>
        <w:rPr>
          <w:color w:val="231F20"/>
          <w:spacing w:val="-6"/>
        </w:rPr>
        <w:t xml:space="preserve"> </w:t>
      </w:r>
      <w:r>
        <w:rPr>
          <w:color w:val="231F20"/>
        </w:rPr>
        <w:t>či</w:t>
      </w:r>
      <w:r>
        <w:rPr>
          <w:color w:val="231F20"/>
          <w:spacing w:val="-6"/>
        </w:rPr>
        <w:t xml:space="preserve"> </w:t>
      </w:r>
      <w:r>
        <w:rPr>
          <w:color w:val="231F20"/>
        </w:rPr>
        <w:t>opatření</w:t>
      </w:r>
      <w:r>
        <w:rPr>
          <w:color w:val="231F20"/>
          <w:spacing w:val="-5"/>
        </w:rPr>
        <w:t xml:space="preserve"> </w:t>
      </w:r>
      <w:r>
        <w:rPr>
          <w:color w:val="231F20"/>
        </w:rPr>
        <w:t>proti</w:t>
      </w:r>
      <w:r>
        <w:rPr>
          <w:color w:val="231F20"/>
          <w:spacing w:val="-6"/>
        </w:rPr>
        <w:t xml:space="preserve"> </w:t>
      </w:r>
      <w:r>
        <w:rPr>
          <w:color w:val="231F20"/>
        </w:rPr>
        <w:t>legalizaci</w:t>
      </w:r>
      <w:r>
        <w:rPr>
          <w:color w:val="231F20"/>
          <w:spacing w:val="-6"/>
        </w:rPr>
        <w:t xml:space="preserve"> </w:t>
      </w:r>
      <w:r>
        <w:rPr>
          <w:color w:val="231F20"/>
        </w:rPr>
        <w:t>výnosů</w:t>
      </w:r>
      <w:r>
        <w:rPr>
          <w:color w:val="231F20"/>
          <w:spacing w:val="-5"/>
        </w:rPr>
        <w:t xml:space="preserve"> </w:t>
      </w:r>
      <w:r>
        <w:rPr>
          <w:color w:val="231F20"/>
        </w:rPr>
        <w:t>z</w:t>
      </w:r>
      <w:r>
        <w:rPr>
          <w:color w:val="231F20"/>
          <w:spacing w:val="-6"/>
        </w:rPr>
        <w:t xml:space="preserve"> </w:t>
      </w:r>
      <w:r>
        <w:rPr>
          <w:color w:val="231F20"/>
        </w:rPr>
        <w:t>trestné činnosti a financování terorismu. Také jsme povinni poskytnout součinnost soudům, orgánům činným v trestním řízení, správci daně, České národní bance jako orgánu dohledu, exekutorům</w:t>
      </w:r>
      <w:r>
        <w:rPr>
          <w:color w:val="231F20"/>
          <w:spacing w:val="3"/>
        </w:rPr>
        <w:t xml:space="preserve"> </w:t>
      </w:r>
      <w:r>
        <w:rPr>
          <w:color w:val="231F20"/>
        </w:rPr>
        <w:t>apod.</w:t>
      </w:r>
    </w:p>
    <w:p w14:paraId="419F312B" w14:textId="77777777" w:rsidR="00F65BCA" w:rsidRDefault="00F65BCA">
      <w:pPr>
        <w:pStyle w:val="Zkladntext"/>
        <w:spacing w:before="7"/>
        <w:rPr>
          <w:sz w:val="11"/>
        </w:rPr>
      </w:pPr>
    </w:p>
    <w:p w14:paraId="132E22F4" w14:textId="77777777" w:rsidR="00F65BCA" w:rsidRDefault="00216117">
      <w:pPr>
        <w:pStyle w:val="Nadpis8"/>
        <w:spacing w:before="107"/>
        <w:ind w:left="1120"/>
        <w:jc w:val="left"/>
      </w:pPr>
      <w:r>
        <w:rPr>
          <w:noProof/>
        </w:rPr>
        <w:drawing>
          <wp:anchor distT="0" distB="0" distL="0" distR="0" simplePos="0" relativeHeight="251766784" behindDoc="0" locked="0" layoutInCell="1" allowOverlap="1" wp14:anchorId="00F009BB" wp14:editId="13B1F9B1">
            <wp:simplePos x="0" y="0"/>
            <wp:positionH relativeFrom="page">
              <wp:posOffset>648002</wp:posOffset>
            </wp:positionH>
            <wp:positionV relativeFrom="paragraph">
              <wp:posOffset>109061</wp:posOffset>
            </wp:positionV>
            <wp:extent cx="66090" cy="66090"/>
            <wp:effectExtent l="0" t="0" r="0" b="0"/>
            <wp:wrapNone/>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30" cstate="print"/>
                    <a:stretch>
                      <a:fillRect/>
                    </a:stretch>
                  </pic:blipFill>
                  <pic:spPr>
                    <a:xfrm>
                      <a:off x="0" y="0"/>
                      <a:ext cx="66090" cy="66090"/>
                    </a:xfrm>
                    <a:prstGeom prst="rect">
                      <a:avLst/>
                    </a:prstGeom>
                  </pic:spPr>
                </pic:pic>
              </a:graphicData>
            </a:graphic>
          </wp:anchor>
        </w:drawing>
      </w:r>
      <w:r>
        <w:rPr>
          <w:color w:val="231F20"/>
        </w:rPr>
        <w:t>Pro ochranu našich oprávněných zájmů či oprávněných zájmů třetí strany</w:t>
      </w:r>
    </w:p>
    <w:p w14:paraId="6BFFA66E" w14:textId="77777777" w:rsidR="00F65BCA" w:rsidRDefault="00216117">
      <w:pPr>
        <w:pStyle w:val="Nadpis9"/>
        <w:spacing w:before="33"/>
        <w:jc w:val="left"/>
      </w:pPr>
      <w:r>
        <w:rPr>
          <w:color w:val="231F20"/>
        </w:rPr>
        <w:t>Osobní údaje zpracováváme z důvodu těchto oprávněných zájmů:</w:t>
      </w:r>
    </w:p>
    <w:p w14:paraId="49A0C837" w14:textId="77777777" w:rsidR="00F65BCA" w:rsidRDefault="00216117">
      <w:pPr>
        <w:pStyle w:val="Nadpis9"/>
        <w:numPr>
          <w:ilvl w:val="0"/>
          <w:numId w:val="143"/>
        </w:numPr>
        <w:tabs>
          <w:tab w:val="left" w:pos="1051"/>
        </w:tabs>
        <w:spacing w:before="33"/>
        <w:jc w:val="left"/>
      </w:pPr>
      <w:r>
        <w:rPr>
          <w:color w:val="231F20"/>
        </w:rPr>
        <w:t>vyhodnocování a řízení</w:t>
      </w:r>
      <w:r>
        <w:rPr>
          <w:color w:val="231F20"/>
          <w:spacing w:val="-1"/>
        </w:rPr>
        <w:t xml:space="preserve"> </w:t>
      </w:r>
      <w:r>
        <w:rPr>
          <w:color w:val="231F20"/>
        </w:rPr>
        <w:t>rizik,</w:t>
      </w:r>
    </w:p>
    <w:p w14:paraId="382DC25E" w14:textId="77777777" w:rsidR="00F65BCA" w:rsidRDefault="00216117">
      <w:pPr>
        <w:pStyle w:val="Nadpis9"/>
        <w:numPr>
          <w:ilvl w:val="0"/>
          <w:numId w:val="143"/>
        </w:numPr>
        <w:tabs>
          <w:tab w:val="left" w:pos="1051"/>
        </w:tabs>
        <w:spacing w:before="33"/>
        <w:jc w:val="left"/>
      </w:pPr>
      <w:r>
        <w:rPr>
          <w:color w:val="231F20"/>
        </w:rPr>
        <w:t>řízení kvality poskytovaných služeb a vztahů se</w:t>
      </w:r>
      <w:r>
        <w:rPr>
          <w:color w:val="231F20"/>
          <w:spacing w:val="-2"/>
        </w:rPr>
        <w:t xml:space="preserve"> </w:t>
      </w:r>
      <w:r>
        <w:rPr>
          <w:color w:val="231F20"/>
        </w:rPr>
        <w:t>zákazníky,</w:t>
      </w:r>
    </w:p>
    <w:p w14:paraId="4E866890" w14:textId="77777777" w:rsidR="00F65BCA" w:rsidRDefault="00216117">
      <w:pPr>
        <w:pStyle w:val="Nadpis9"/>
        <w:numPr>
          <w:ilvl w:val="0"/>
          <w:numId w:val="143"/>
        </w:numPr>
        <w:tabs>
          <w:tab w:val="left" w:pos="1051"/>
        </w:tabs>
        <w:spacing w:before="33"/>
        <w:jc w:val="left"/>
      </w:pPr>
      <w:r>
        <w:rPr>
          <w:color w:val="231F20"/>
        </w:rPr>
        <w:t>příprava nezávazné nabídky či kalkulace výše pojistného, pokud následně nedojde k uzavření</w:t>
      </w:r>
      <w:r>
        <w:rPr>
          <w:color w:val="231F20"/>
          <w:spacing w:val="2"/>
        </w:rPr>
        <w:t xml:space="preserve"> </w:t>
      </w:r>
      <w:r>
        <w:rPr>
          <w:color w:val="231F20"/>
        </w:rPr>
        <w:t>smlouvy,</w:t>
      </w:r>
    </w:p>
    <w:p w14:paraId="1566430B" w14:textId="77777777" w:rsidR="00F65BCA" w:rsidRDefault="00216117">
      <w:pPr>
        <w:pStyle w:val="Nadpis9"/>
        <w:numPr>
          <w:ilvl w:val="0"/>
          <w:numId w:val="143"/>
        </w:numPr>
        <w:tabs>
          <w:tab w:val="left" w:pos="1051"/>
        </w:tabs>
        <w:spacing w:before="33"/>
        <w:jc w:val="left"/>
      </w:pPr>
      <w:r>
        <w:rPr>
          <w:color w:val="231F20"/>
        </w:rPr>
        <w:t>příprava, sjednání a plnění smluv sjednaných ve Váš</w:t>
      </w:r>
      <w:r>
        <w:rPr>
          <w:color w:val="231F20"/>
          <w:spacing w:val="-1"/>
        </w:rPr>
        <w:t xml:space="preserve"> </w:t>
      </w:r>
      <w:r>
        <w:rPr>
          <w:color w:val="231F20"/>
        </w:rPr>
        <w:t>prospěch,</w:t>
      </w:r>
    </w:p>
    <w:p w14:paraId="0F26B199" w14:textId="77777777" w:rsidR="00F65BCA" w:rsidRDefault="00216117">
      <w:pPr>
        <w:pStyle w:val="Nadpis9"/>
        <w:numPr>
          <w:ilvl w:val="0"/>
          <w:numId w:val="143"/>
        </w:numPr>
        <w:tabs>
          <w:tab w:val="left" w:pos="1051"/>
        </w:tabs>
        <w:spacing w:before="33"/>
        <w:jc w:val="left"/>
      </w:pPr>
      <w:r>
        <w:rPr>
          <w:color w:val="231F20"/>
        </w:rPr>
        <w:t>zajištění a</w:t>
      </w:r>
      <w:r>
        <w:rPr>
          <w:color w:val="231F20"/>
          <w:spacing w:val="-1"/>
        </w:rPr>
        <w:t xml:space="preserve"> </w:t>
      </w:r>
      <w:r>
        <w:rPr>
          <w:color w:val="231F20"/>
        </w:rPr>
        <w:t>soupojištění,</w:t>
      </w:r>
    </w:p>
    <w:p w14:paraId="5A7801B0" w14:textId="77777777" w:rsidR="00F65BCA" w:rsidRDefault="00216117">
      <w:pPr>
        <w:pStyle w:val="Nadpis9"/>
        <w:numPr>
          <w:ilvl w:val="0"/>
          <w:numId w:val="143"/>
        </w:numPr>
        <w:tabs>
          <w:tab w:val="left" w:pos="1051"/>
        </w:tabs>
        <w:spacing w:before="33"/>
        <w:jc w:val="left"/>
      </w:pPr>
      <w:r>
        <w:rPr>
          <w:color w:val="231F20"/>
        </w:rPr>
        <w:t>vnitřní administrativní účely (např. interní evidence,</w:t>
      </w:r>
      <w:r>
        <w:rPr>
          <w:color w:val="231F20"/>
          <w:spacing w:val="-1"/>
        </w:rPr>
        <w:t xml:space="preserve"> </w:t>
      </w:r>
      <w:r>
        <w:rPr>
          <w:color w:val="231F20"/>
        </w:rPr>
        <w:t>reporting),</w:t>
      </w:r>
    </w:p>
    <w:p w14:paraId="48E5A53D" w14:textId="77777777" w:rsidR="00F65BCA" w:rsidRDefault="00216117">
      <w:pPr>
        <w:pStyle w:val="Nadpis9"/>
        <w:numPr>
          <w:ilvl w:val="0"/>
          <w:numId w:val="143"/>
        </w:numPr>
        <w:tabs>
          <w:tab w:val="left" w:pos="1051"/>
        </w:tabs>
        <w:spacing w:before="33" w:line="278" w:lineRule="auto"/>
        <w:ind w:right="652"/>
      </w:pPr>
      <w:r>
        <w:rPr>
          <w:color w:val="231F20"/>
        </w:rPr>
        <w:t>ochrana našich právních nároků (např. při vymáhání dlužného pojistného nebo jiných našich pohledávek, dále v rámci soudních řízení či řízení před orgány mimosoudního řešení sporů, před Českou národní bankou či dalšími orgány veřejné moci),</w:t>
      </w:r>
    </w:p>
    <w:p w14:paraId="2D00E902" w14:textId="77777777" w:rsidR="00F65BCA" w:rsidRDefault="00216117">
      <w:pPr>
        <w:pStyle w:val="Nadpis9"/>
        <w:numPr>
          <w:ilvl w:val="0"/>
          <w:numId w:val="143"/>
        </w:numPr>
        <w:tabs>
          <w:tab w:val="left" w:pos="1051"/>
        </w:tabs>
        <w:spacing w:line="207" w:lineRule="exact"/>
      </w:pPr>
      <w:r>
        <w:rPr>
          <w:color w:val="231F20"/>
        </w:rPr>
        <w:t>prevence a odhalování pojistného podvodu a dalšího protiprávního jednání (např. využití registru platebních informací</w:t>
      </w:r>
      <w:r>
        <w:rPr>
          <w:color w:val="231F20"/>
          <w:spacing w:val="-15"/>
        </w:rPr>
        <w:t xml:space="preserve"> </w:t>
      </w:r>
      <w:r>
        <w:rPr>
          <w:color w:val="231F20"/>
        </w:rPr>
        <w:t>REPI),</w:t>
      </w:r>
    </w:p>
    <w:p w14:paraId="16F7AF05" w14:textId="77777777" w:rsidR="00F65BCA" w:rsidRDefault="00216117">
      <w:pPr>
        <w:pStyle w:val="Nadpis9"/>
        <w:numPr>
          <w:ilvl w:val="0"/>
          <w:numId w:val="143"/>
        </w:numPr>
        <w:tabs>
          <w:tab w:val="left" w:pos="1051"/>
        </w:tabs>
        <w:spacing w:before="33"/>
      </w:pPr>
      <w:r>
        <w:rPr>
          <w:color w:val="231F20"/>
        </w:rPr>
        <w:t>přímý marketing,</w:t>
      </w:r>
    </w:p>
    <w:p w14:paraId="37021C9F" w14:textId="77777777" w:rsidR="00F65BCA" w:rsidRDefault="00000000">
      <w:pPr>
        <w:pStyle w:val="Nadpis9"/>
        <w:numPr>
          <w:ilvl w:val="0"/>
          <w:numId w:val="143"/>
        </w:numPr>
        <w:tabs>
          <w:tab w:val="left" w:pos="1051"/>
        </w:tabs>
        <w:spacing w:before="33" w:line="278" w:lineRule="auto"/>
        <w:ind w:right="651"/>
      </w:pPr>
      <w:r>
        <w:pict w14:anchorId="2DC4BBF7">
          <v:line id="_x0000_s2351" style="position:absolute;left:0;text-align:left;z-index:-299462656;mso-position-horizontal-relative:page" from="0,74.9pt" to="595.3pt,74.9pt" strokecolor="#c5271c" strokeweight="1pt">
            <w10:wrap anchorx="page"/>
          </v:line>
        </w:pict>
      </w:r>
      <w:r w:rsidR="00216117">
        <w:rPr>
          <w:color w:val="231F20"/>
        </w:rPr>
        <w:t xml:space="preserve">určení, výkon nebo obhajoba právních nároků (např. Váš biometrický podpis můžeme zpracovávat prostřednictvím technologie pro rozpoznávání biometrických prvků v tomto podpisu obsažených, jako je rychlost, tlak aj. V případě </w:t>
      </w:r>
      <w:r w:rsidR="00216117">
        <w:rPr>
          <w:color w:val="231F20"/>
          <w:spacing w:val="-3"/>
        </w:rPr>
        <w:t xml:space="preserve">sporu  </w:t>
      </w:r>
      <w:r w:rsidR="00216117">
        <w:rPr>
          <w:color w:val="231F20"/>
        </w:rPr>
        <w:t>pak prokazujeme, že jste skutečně měli v úmyslu smlouvu či jiný dokument podepsat, a že podpis je skutečně</w:t>
      </w:r>
      <w:r w:rsidR="00216117">
        <w:rPr>
          <w:color w:val="231F20"/>
          <w:spacing w:val="39"/>
        </w:rPr>
        <w:t xml:space="preserve"> </w:t>
      </w:r>
      <w:r w:rsidR="00216117">
        <w:rPr>
          <w:color w:val="231F20"/>
        </w:rPr>
        <w:t>Váš).</w:t>
      </w:r>
    </w:p>
    <w:p w14:paraId="6710D660" w14:textId="77777777" w:rsidR="00F65BCA" w:rsidRDefault="00F65BCA">
      <w:pPr>
        <w:pStyle w:val="Zkladntext"/>
        <w:rPr>
          <w:sz w:val="20"/>
        </w:rPr>
      </w:pPr>
    </w:p>
    <w:p w14:paraId="0BFD202F" w14:textId="77777777" w:rsidR="00F65BCA" w:rsidRDefault="00F65BCA">
      <w:pPr>
        <w:pStyle w:val="Zkladntext"/>
        <w:rPr>
          <w:sz w:val="20"/>
        </w:rPr>
      </w:pPr>
    </w:p>
    <w:p w14:paraId="08C84F7E" w14:textId="77777777" w:rsidR="00F65BCA" w:rsidRDefault="00F65BCA">
      <w:pPr>
        <w:pStyle w:val="Zkladntext"/>
        <w:rPr>
          <w:sz w:val="20"/>
        </w:rPr>
      </w:pPr>
    </w:p>
    <w:p w14:paraId="079E52E5" w14:textId="77777777" w:rsidR="00F65BCA" w:rsidRDefault="00F65BCA">
      <w:pPr>
        <w:pStyle w:val="Zkladntext"/>
        <w:rPr>
          <w:sz w:val="18"/>
        </w:rPr>
      </w:pPr>
    </w:p>
    <w:p w14:paraId="5FDEBE8E" w14:textId="77777777" w:rsidR="00F65BCA" w:rsidRDefault="00F65BCA">
      <w:pPr>
        <w:rPr>
          <w:sz w:val="18"/>
        </w:rPr>
        <w:sectPr w:rsidR="00F65BCA">
          <w:pgSz w:w="11910" w:h="16840"/>
          <w:pgMar w:top="660" w:right="140" w:bottom="0" w:left="140" w:header="708" w:footer="708" w:gutter="0"/>
          <w:cols w:space="708"/>
        </w:sectPr>
      </w:pPr>
    </w:p>
    <w:p w14:paraId="7F414398" w14:textId="77777777" w:rsidR="00F65BCA" w:rsidRDefault="00F65BCA">
      <w:pPr>
        <w:pStyle w:val="Zkladntext"/>
        <w:spacing w:before="10"/>
        <w:rPr>
          <w:sz w:val="13"/>
        </w:rPr>
      </w:pPr>
    </w:p>
    <w:p w14:paraId="05CB21A6" w14:textId="77777777" w:rsidR="00F65BCA" w:rsidRDefault="00216117">
      <w:pPr>
        <w:ind w:left="880"/>
        <w:rPr>
          <w:sz w:val="14"/>
        </w:rPr>
      </w:pPr>
      <w:r>
        <w:rPr>
          <w:color w:val="231F20"/>
          <w:sz w:val="14"/>
        </w:rPr>
        <w:t>99.3.00.068 10.2021 v02</w:t>
      </w:r>
    </w:p>
    <w:p w14:paraId="5CD6817E" w14:textId="77777777" w:rsidR="00F65BCA" w:rsidRDefault="00216117">
      <w:pPr>
        <w:spacing w:before="103"/>
        <w:ind w:left="880"/>
        <w:rPr>
          <w:sz w:val="16"/>
        </w:rPr>
      </w:pPr>
      <w:r>
        <w:br w:type="column"/>
      </w:r>
      <w:r>
        <w:rPr>
          <w:color w:val="231F20"/>
          <w:sz w:val="16"/>
        </w:rPr>
        <w:t xml:space="preserve">Stručná informace o zpracování osobních údajů </w:t>
      </w:r>
      <w:r>
        <w:rPr>
          <w:color w:val="C5271C"/>
          <w:sz w:val="20"/>
        </w:rPr>
        <w:t xml:space="preserve">| </w:t>
      </w:r>
      <w:r>
        <w:rPr>
          <w:color w:val="231F20"/>
          <w:sz w:val="16"/>
        </w:rPr>
        <w:t>5</w:t>
      </w:r>
    </w:p>
    <w:p w14:paraId="2C32B4B6" w14:textId="77777777" w:rsidR="00F65BCA" w:rsidRDefault="00F65BCA">
      <w:pPr>
        <w:rPr>
          <w:sz w:val="16"/>
        </w:rPr>
        <w:sectPr w:rsidR="00F65BCA">
          <w:type w:val="continuous"/>
          <w:pgSz w:w="11910" w:h="16840"/>
          <w:pgMar w:top="840" w:right="140" w:bottom="280" w:left="140" w:header="708" w:footer="708" w:gutter="0"/>
          <w:cols w:num="2" w:space="708" w:equalWidth="0">
            <w:col w:w="2509" w:space="3858"/>
            <w:col w:w="5263"/>
          </w:cols>
        </w:sectPr>
      </w:pPr>
    </w:p>
    <w:p w14:paraId="304B8036" w14:textId="77777777" w:rsidR="00F65BCA" w:rsidRDefault="00000000">
      <w:pPr>
        <w:spacing w:before="79"/>
        <w:ind w:left="653"/>
        <w:rPr>
          <w:sz w:val="28"/>
        </w:rPr>
      </w:pPr>
      <w:r>
        <w:lastRenderedPageBreak/>
        <w:pict w14:anchorId="6F6BCEB4">
          <v:shape id="_x0000_s2350" style="position:absolute;left:0;text-align:left;margin-left:39.7pt;margin-top:21.7pt;width:504.6pt;height:.1pt;z-index:-251546624;mso-wrap-distance-left:0;mso-wrap-distance-right:0;mso-position-horizontal-relative:page" coordorigin="794,434" coordsize="10092,0" path="m794,434r10091,e" filled="f" strokecolor="#d1d3d4">
            <v:path arrowok="t"/>
            <w10:wrap type="topAndBottom" anchorx="page"/>
          </v:shape>
        </w:pict>
      </w:r>
      <w:r w:rsidR="00216117">
        <w:rPr>
          <w:color w:val="C5271C"/>
          <w:sz w:val="28"/>
        </w:rPr>
        <w:t>Dochází k automatizovanému rozhodování?</w:t>
      </w:r>
    </w:p>
    <w:p w14:paraId="5B826624" w14:textId="77777777" w:rsidR="00F65BCA" w:rsidRDefault="00216117">
      <w:pPr>
        <w:pStyle w:val="Nadpis9"/>
        <w:spacing w:before="119"/>
        <w:ind w:left="653"/>
      </w:pPr>
      <w:r>
        <w:rPr>
          <w:color w:val="231F20"/>
        </w:rPr>
        <w:t>Ano, někdy u nás dochází k automatizovanému rozhodování, včetně profilování.</w:t>
      </w:r>
    </w:p>
    <w:p w14:paraId="34955AB4" w14:textId="77777777" w:rsidR="00F65BCA" w:rsidRDefault="00216117">
      <w:pPr>
        <w:pStyle w:val="Nadpis9"/>
        <w:spacing w:before="29" w:line="273" w:lineRule="auto"/>
        <w:ind w:left="653" w:right="879"/>
      </w:pPr>
      <w:r>
        <w:rPr>
          <w:color w:val="231F20"/>
        </w:rPr>
        <w:t>Automatizované rozhodování je proces, kdy k rozhodnutí dospějeme výhradně bez zapojení lidí. Často k němu dochází právě tehdy, když s námi komunikujete na internetu. Uplatňujeme jej hlavně při vypracování nabídky pojištění a při procesu online sjednání pojistné smlouvy. Funguje to tak, že náš online sjednávací program na základě Vámi zadaných údajů a dalších dostupných informací vyhodnotí, za jakých podmínek Vás pojistíme. Současně vypočítá pojistné, případně pojistnou částku. Tyto procesy směřují ke zvýšení rychlosti a jednoduchosti sjednání a správy pojištění a celkově ke zlepšení našich služeb.</w:t>
      </w:r>
    </w:p>
    <w:p w14:paraId="60C58D3F" w14:textId="77777777" w:rsidR="00F65BCA" w:rsidRDefault="00F65BCA">
      <w:pPr>
        <w:pStyle w:val="Zkladntext"/>
        <w:spacing w:before="6"/>
        <w:rPr>
          <w:sz w:val="20"/>
        </w:rPr>
      </w:pPr>
    </w:p>
    <w:p w14:paraId="15C88C45" w14:textId="77777777" w:rsidR="00F65BCA" w:rsidRDefault="00216117">
      <w:pPr>
        <w:pStyle w:val="Nadpis8"/>
        <w:ind w:left="653"/>
      </w:pPr>
      <w:r>
        <w:rPr>
          <w:color w:val="231F20"/>
        </w:rPr>
        <w:t>Nechcete, abychom Vaše osobní údaje při sjednání pojištění takto zpracovávali?</w:t>
      </w:r>
    </w:p>
    <w:p w14:paraId="49B9F980" w14:textId="77777777" w:rsidR="00F65BCA" w:rsidRDefault="00216117">
      <w:pPr>
        <w:pStyle w:val="Nadpis9"/>
        <w:spacing w:before="29"/>
        <w:ind w:left="653"/>
      </w:pPr>
      <w:r>
        <w:rPr>
          <w:color w:val="231F20"/>
        </w:rPr>
        <w:t>Pak místo online sjednavačů využijte naše obchodní místa, kde s Vámi podmínky sjednání pojištění rádi projednáme osobně.</w:t>
      </w:r>
    </w:p>
    <w:p w14:paraId="7EA57372" w14:textId="77777777" w:rsidR="00F65BCA" w:rsidRDefault="00F65BCA">
      <w:pPr>
        <w:pStyle w:val="Zkladntext"/>
        <w:rPr>
          <w:sz w:val="23"/>
        </w:rPr>
      </w:pPr>
    </w:p>
    <w:p w14:paraId="2C4AD55A" w14:textId="77777777" w:rsidR="00F65BCA" w:rsidRDefault="00216117">
      <w:pPr>
        <w:pStyle w:val="Nadpis8"/>
        <w:spacing w:before="1"/>
        <w:ind w:left="653"/>
      </w:pPr>
      <w:r>
        <w:rPr>
          <w:color w:val="231F20"/>
        </w:rPr>
        <w:t>Mohu žádat přezkoumání člověkem?</w:t>
      </w:r>
    </w:p>
    <w:p w14:paraId="4DE797C4" w14:textId="77777777" w:rsidR="00F65BCA" w:rsidRDefault="00216117">
      <w:pPr>
        <w:pStyle w:val="Nadpis9"/>
        <w:spacing w:before="29"/>
        <w:ind w:left="653"/>
      </w:pPr>
      <w:r>
        <w:rPr>
          <w:color w:val="231F20"/>
        </w:rPr>
        <w:t>Ano, v případě automatizovaného rozhodování, včetně profilování, můžete požádat o jeho přezkoumání člověkem.</w:t>
      </w:r>
    </w:p>
    <w:p w14:paraId="48B60B46" w14:textId="77777777" w:rsidR="00F65BCA" w:rsidRDefault="00F65BCA">
      <w:pPr>
        <w:pStyle w:val="Zkladntext"/>
        <w:rPr>
          <w:sz w:val="20"/>
        </w:rPr>
      </w:pPr>
    </w:p>
    <w:p w14:paraId="0ADB6ACD" w14:textId="77777777" w:rsidR="00F65BCA" w:rsidRDefault="00F65BCA">
      <w:pPr>
        <w:pStyle w:val="Zkladntext"/>
        <w:spacing w:before="8"/>
      </w:pPr>
    </w:p>
    <w:p w14:paraId="1E9D034E" w14:textId="77777777" w:rsidR="00F65BCA" w:rsidRDefault="00000000">
      <w:pPr>
        <w:ind w:left="653"/>
        <w:rPr>
          <w:sz w:val="28"/>
        </w:rPr>
      </w:pPr>
      <w:r>
        <w:pict w14:anchorId="15E5BB07">
          <v:shape id="_x0000_s2349" style="position:absolute;left:0;text-align:left;margin-left:39.7pt;margin-top:17.75pt;width:504.6pt;height:.1pt;z-index:-251545600;mso-wrap-distance-left:0;mso-wrap-distance-right:0;mso-position-horizontal-relative:page" coordorigin="794,355" coordsize="10092,0" path="m794,355r10091,e" filled="f" strokecolor="#d1d3d4">
            <v:path arrowok="t"/>
            <w10:wrap type="topAndBottom" anchorx="page"/>
          </v:shape>
        </w:pict>
      </w:r>
      <w:r w:rsidR="00216117">
        <w:rPr>
          <w:color w:val="C5271C"/>
          <w:sz w:val="28"/>
        </w:rPr>
        <w:t>Komu Vaše osobní údaje předáváme?</w:t>
      </w:r>
    </w:p>
    <w:p w14:paraId="08949018" w14:textId="77777777" w:rsidR="00F65BCA" w:rsidRDefault="00216117">
      <w:pPr>
        <w:pStyle w:val="Nadpis9"/>
        <w:spacing w:before="119"/>
        <w:ind w:left="653"/>
      </w:pPr>
      <w:r>
        <w:rPr>
          <w:color w:val="231F20"/>
        </w:rPr>
        <w:t>Vaše údaje předáváme v odůvodněných případech a pouze v nezbytném rozsahu těmto kategoriím příjemců:</w:t>
      </w:r>
    </w:p>
    <w:p w14:paraId="4668AA81" w14:textId="77777777" w:rsidR="00F65BCA" w:rsidRDefault="00216117">
      <w:pPr>
        <w:pStyle w:val="Nadpis8"/>
        <w:spacing w:before="29"/>
        <w:ind w:left="880"/>
        <w:rPr>
          <w:b w:val="0"/>
        </w:rPr>
      </w:pPr>
      <w:r>
        <w:rPr>
          <w:noProof/>
        </w:rPr>
        <w:drawing>
          <wp:anchor distT="0" distB="0" distL="0" distR="0" simplePos="0" relativeHeight="251774976" behindDoc="0" locked="0" layoutInCell="1" allowOverlap="1" wp14:anchorId="2944BF81" wp14:editId="4D738809">
            <wp:simplePos x="0" y="0"/>
            <wp:positionH relativeFrom="page">
              <wp:posOffset>504002</wp:posOffset>
            </wp:positionH>
            <wp:positionV relativeFrom="paragraph">
              <wp:posOffset>59531</wp:posOffset>
            </wp:positionV>
            <wp:extent cx="66090" cy="66090"/>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30" cstate="print"/>
                    <a:stretch>
                      <a:fillRect/>
                    </a:stretch>
                  </pic:blipFill>
                  <pic:spPr>
                    <a:xfrm>
                      <a:off x="0" y="0"/>
                      <a:ext cx="66090" cy="66090"/>
                    </a:xfrm>
                    <a:prstGeom prst="rect">
                      <a:avLst/>
                    </a:prstGeom>
                  </pic:spPr>
                </pic:pic>
              </a:graphicData>
            </a:graphic>
          </wp:anchor>
        </w:drawing>
      </w:r>
      <w:r>
        <w:rPr>
          <w:color w:val="231F20"/>
        </w:rPr>
        <w:t>našim zajistitelům a soupojistitelům</w:t>
      </w:r>
      <w:r>
        <w:rPr>
          <w:b w:val="0"/>
          <w:color w:val="231F20"/>
        </w:rPr>
        <w:t>,</w:t>
      </w:r>
    </w:p>
    <w:p w14:paraId="38620323" w14:textId="77777777" w:rsidR="00F65BCA" w:rsidRDefault="00216117">
      <w:pPr>
        <w:pStyle w:val="Nadpis9"/>
        <w:spacing w:before="29"/>
      </w:pPr>
      <w:r>
        <w:rPr>
          <w:noProof/>
        </w:rPr>
        <w:drawing>
          <wp:anchor distT="0" distB="0" distL="0" distR="0" simplePos="0" relativeHeight="251776000" behindDoc="0" locked="0" layoutInCell="1" allowOverlap="1" wp14:anchorId="6436A8BE" wp14:editId="1FF47B4F">
            <wp:simplePos x="0" y="0"/>
            <wp:positionH relativeFrom="page">
              <wp:posOffset>504002</wp:posOffset>
            </wp:positionH>
            <wp:positionV relativeFrom="paragraph">
              <wp:posOffset>59530</wp:posOffset>
            </wp:positionV>
            <wp:extent cx="66090" cy="66090"/>
            <wp:effectExtent l="0" t="0" r="0" b="0"/>
            <wp:wrapNone/>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30" cstate="print"/>
                    <a:stretch>
                      <a:fillRect/>
                    </a:stretch>
                  </pic:blipFill>
                  <pic:spPr>
                    <a:xfrm>
                      <a:off x="0" y="0"/>
                      <a:ext cx="66090" cy="66090"/>
                    </a:xfrm>
                    <a:prstGeom prst="rect">
                      <a:avLst/>
                    </a:prstGeom>
                  </pic:spPr>
                </pic:pic>
              </a:graphicData>
            </a:graphic>
          </wp:anchor>
        </w:drawing>
      </w:r>
      <w:r>
        <w:rPr>
          <w:b/>
          <w:color w:val="231F20"/>
        </w:rPr>
        <w:t xml:space="preserve">jiným pojišťovnám </w:t>
      </w:r>
      <w:r>
        <w:rPr>
          <w:color w:val="231F20"/>
        </w:rPr>
        <w:t>za účelem prevence a odhalování pojistného podvodu a dalšího protiprávního jednání,</w:t>
      </w:r>
    </w:p>
    <w:p w14:paraId="231F1B40" w14:textId="77777777" w:rsidR="00F65BCA" w:rsidRDefault="00216117">
      <w:pPr>
        <w:pStyle w:val="Nadpis9"/>
        <w:spacing w:before="29" w:line="273" w:lineRule="auto"/>
        <w:ind w:right="878"/>
      </w:pPr>
      <w:r>
        <w:rPr>
          <w:noProof/>
        </w:rPr>
        <w:drawing>
          <wp:anchor distT="0" distB="0" distL="0" distR="0" simplePos="0" relativeHeight="251777024" behindDoc="0" locked="0" layoutInCell="1" allowOverlap="1" wp14:anchorId="012B49F7" wp14:editId="74C1280C">
            <wp:simplePos x="0" y="0"/>
            <wp:positionH relativeFrom="page">
              <wp:posOffset>504002</wp:posOffset>
            </wp:positionH>
            <wp:positionV relativeFrom="paragraph">
              <wp:posOffset>59530</wp:posOffset>
            </wp:positionV>
            <wp:extent cx="66090" cy="66090"/>
            <wp:effectExtent l="0" t="0" r="0" b="0"/>
            <wp:wrapNone/>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30" cstate="print"/>
                    <a:stretch>
                      <a:fillRect/>
                    </a:stretch>
                  </pic:blipFill>
                  <pic:spPr>
                    <a:xfrm>
                      <a:off x="0" y="0"/>
                      <a:ext cx="66090" cy="66090"/>
                    </a:xfrm>
                    <a:prstGeom prst="rect">
                      <a:avLst/>
                    </a:prstGeom>
                  </pic:spPr>
                </pic:pic>
              </a:graphicData>
            </a:graphic>
          </wp:anchor>
        </w:drawing>
      </w:r>
      <w:r>
        <w:rPr>
          <w:b/>
          <w:color w:val="231F20"/>
        </w:rPr>
        <w:t>našim</w:t>
      </w:r>
      <w:r>
        <w:rPr>
          <w:b/>
          <w:color w:val="231F20"/>
          <w:spacing w:val="-15"/>
        </w:rPr>
        <w:t xml:space="preserve"> </w:t>
      </w:r>
      <w:r>
        <w:rPr>
          <w:b/>
          <w:color w:val="231F20"/>
        </w:rPr>
        <w:t>smluvním</w:t>
      </w:r>
      <w:r>
        <w:rPr>
          <w:b/>
          <w:color w:val="231F20"/>
          <w:spacing w:val="-14"/>
        </w:rPr>
        <w:t xml:space="preserve"> </w:t>
      </w:r>
      <w:r>
        <w:rPr>
          <w:b/>
          <w:color w:val="231F20"/>
        </w:rPr>
        <w:t>partnerům</w:t>
      </w:r>
      <w:r>
        <w:rPr>
          <w:color w:val="231F20"/>
        </w:rPr>
        <w:t>,</w:t>
      </w:r>
      <w:r>
        <w:rPr>
          <w:color w:val="231F20"/>
          <w:spacing w:val="-14"/>
        </w:rPr>
        <w:t xml:space="preserve"> </w:t>
      </w:r>
      <w:r>
        <w:rPr>
          <w:color w:val="231F20"/>
        </w:rPr>
        <w:t>např.</w:t>
      </w:r>
      <w:r>
        <w:rPr>
          <w:color w:val="231F20"/>
          <w:spacing w:val="-14"/>
        </w:rPr>
        <w:t xml:space="preserve"> </w:t>
      </w:r>
      <w:r>
        <w:rPr>
          <w:color w:val="231F20"/>
        </w:rPr>
        <w:t>jiným</w:t>
      </w:r>
      <w:r>
        <w:rPr>
          <w:color w:val="231F20"/>
          <w:spacing w:val="-14"/>
        </w:rPr>
        <w:t xml:space="preserve"> </w:t>
      </w:r>
      <w:r>
        <w:rPr>
          <w:color w:val="231F20"/>
        </w:rPr>
        <w:t>společnostem</w:t>
      </w:r>
      <w:r>
        <w:rPr>
          <w:color w:val="231F20"/>
          <w:spacing w:val="-14"/>
        </w:rPr>
        <w:t xml:space="preserve"> </w:t>
      </w:r>
      <w:r>
        <w:rPr>
          <w:color w:val="231F20"/>
        </w:rPr>
        <w:t>ze</w:t>
      </w:r>
      <w:r>
        <w:rPr>
          <w:color w:val="231F20"/>
          <w:spacing w:val="-15"/>
        </w:rPr>
        <w:t xml:space="preserve"> </w:t>
      </w:r>
      <w:r>
        <w:rPr>
          <w:color w:val="231F20"/>
        </w:rPr>
        <w:t>skupiny</w:t>
      </w:r>
      <w:r>
        <w:rPr>
          <w:color w:val="231F20"/>
          <w:spacing w:val="-14"/>
        </w:rPr>
        <w:t xml:space="preserve"> </w:t>
      </w:r>
      <w:r>
        <w:rPr>
          <w:color w:val="231F20"/>
        </w:rPr>
        <w:t>Generali</w:t>
      </w:r>
      <w:r>
        <w:rPr>
          <w:color w:val="231F20"/>
          <w:spacing w:val="-14"/>
        </w:rPr>
        <w:t xml:space="preserve"> </w:t>
      </w:r>
      <w:r>
        <w:rPr>
          <w:color w:val="231F20"/>
        </w:rPr>
        <w:t>v</w:t>
      </w:r>
      <w:r>
        <w:rPr>
          <w:color w:val="231F20"/>
          <w:spacing w:val="-14"/>
        </w:rPr>
        <w:t xml:space="preserve"> </w:t>
      </w:r>
      <w:r>
        <w:rPr>
          <w:color w:val="231F20"/>
        </w:rPr>
        <w:t>rámci</w:t>
      </w:r>
      <w:r>
        <w:rPr>
          <w:color w:val="231F20"/>
          <w:spacing w:val="-14"/>
        </w:rPr>
        <w:t xml:space="preserve"> </w:t>
      </w:r>
      <w:r>
        <w:rPr>
          <w:color w:val="231F20"/>
        </w:rPr>
        <w:t>outsourcingu,</w:t>
      </w:r>
      <w:r>
        <w:rPr>
          <w:color w:val="231F20"/>
          <w:spacing w:val="-14"/>
        </w:rPr>
        <w:t xml:space="preserve"> </w:t>
      </w:r>
      <w:r>
        <w:rPr>
          <w:color w:val="231F20"/>
        </w:rPr>
        <w:t>distributorům,</w:t>
      </w:r>
      <w:r>
        <w:rPr>
          <w:color w:val="231F20"/>
          <w:spacing w:val="-15"/>
        </w:rPr>
        <w:t xml:space="preserve"> </w:t>
      </w:r>
      <w:r>
        <w:rPr>
          <w:color w:val="231F20"/>
        </w:rPr>
        <w:t>asistenčním službám, samostatným likvidátorům pojistných událostí, lékařům, znalcům, smluvním servisům, poskytovatelům poštovních služeb, callcentrům, advokátům,</w:t>
      </w:r>
    </w:p>
    <w:p w14:paraId="7B652F4D" w14:textId="77777777" w:rsidR="00F65BCA" w:rsidRDefault="00216117">
      <w:pPr>
        <w:pStyle w:val="Nadpis9"/>
        <w:spacing w:line="273" w:lineRule="auto"/>
        <w:ind w:right="879"/>
      </w:pPr>
      <w:r>
        <w:rPr>
          <w:noProof/>
        </w:rPr>
        <w:drawing>
          <wp:anchor distT="0" distB="0" distL="0" distR="0" simplePos="0" relativeHeight="251778048" behindDoc="0" locked="0" layoutInCell="1" allowOverlap="1" wp14:anchorId="312A51B8" wp14:editId="3F8DBA83">
            <wp:simplePos x="0" y="0"/>
            <wp:positionH relativeFrom="page">
              <wp:posOffset>504002</wp:posOffset>
            </wp:positionH>
            <wp:positionV relativeFrom="paragraph">
              <wp:posOffset>41117</wp:posOffset>
            </wp:positionV>
            <wp:extent cx="66090" cy="66090"/>
            <wp:effectExtent l="0" t="0" r="0" b="0"/>
            <wp:wrapNone/>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30" cstate="print"/>
                    <a:stretch>
                      <a:fillRect/>
                    </a:stretch>
                  </pic:blipFill>
                  <pic:spPr>
                    <a:xfrm>
                      <a:off x="0" y="0"/>
                      <a:ext cx="66090" cy="66090"/>
                    </a:xfrm>
                    <a:prstGeom prst="rect">
                      <a:avLst/>
                    </a:prstGeom>
                  </pic:spPr>
                </pic:pic>
              </a:graphicData>
            </a:graphic>
          </wp:anchor>
        </w:drawing>
      </w:r>
      <w:r>
        <w:rPr>
          <w:b/>
          <w:color w:val="231F20"/>
        </w:rPr>
        <w:t>jiným subjektům</w:t>
      </w:r>
      <w:r>
        <w:rPr>
          <w:color w:val="231F20"/>
        </w:rPr>
        <w:t>, pokud nám právní předpisy ukládají povinnost údaje předat nebo je to nutné pro ochranu našich oprávněných zájmů (např. soudům, exekutorům, Policii, České kanceláři pojistitelů),</w:t>
      </w:r>
    </w:p>
    <w:p w14:paraId="73D4A0FE" w14:textId="77777777" w:rsidR="00F65BCA" w:rsidRDefault="00216117">
      <w:pPr>
        <w:ind w:left="880"/>
        <w:jc w:val="both"/>
        <w:rPr>
          <w:sz w:val="18"/>
        </w:rPr>
      </w:pPr>
      <w:r>
        <w:rPr>
          <w:noProof/>
        </w:rPr>
        <w:drawing>
          <wp:anchor distT="0" distB="0" distL="0" distR="0" simplePos="0" relativeHeight="251779072" behindDoc="0" locked="0" layoutInCell="1" allowOverlap="1" wp14:anchorId="3B39160C" wp14:editId="180F97C3">
            <wp:simplePos x="0" y="0"/>
            <wp:positionH relativeFrom="page">
              <wp:posOffset>504002</wp:posOffset>
            </wp:positionH>
            <wp:positionV relativeFrom="paragraph">
              <wp:posOffset>41116</wp:posOffset>
            </wp:positionV>
            <wp:extent cx="66090" cy="66090"/>
            <wp:effectExtent l="0" t="0" r="0" b="0"/>
            <wp:wrapNone/>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31" cstate="print"/>
                    <a:stretch>
                      <a:fillRect/>
                    </a:stretch>
                  </pic:blipFill>
                  <pic:spPr>
                    <a:xfrm>
                      <a:off x="0" y="0"/>
                      <a:ext cx="66090" cy="66090"/>
                    </a:xfrm>
                    <a:prstGeom prst="rect">
                      <a:avLst/>
                    </a:prstGeom>
                  </pic:spPr>
                </pic:pic>
              </a:graphicData>
            </a:graphic>
          </wp:anchor>
        </w:drawing>
      </w:r>
      <w:r>
        <w:rPr>
          <w:color w:val="231F20"/>
          <w:sz w:val="18"/>
        </w:rPr>
        <w:t xml:space="preserve">v omezeném rozsahu </w:t>
      </w:r>
      <w:r>
        <w:rPr>
          <w:b/>
          <w:color w:val="231F20"/>
          <w:sz w:val="18"/>
        </w:rPr>
        <w:t xml:space="preserve">akcionářům </w:t>
      </w:r>
      <w:r>
        <w:rPr>
          <w:color w:val="231F20"/>
          <w:sz w:val="18"/>
        </w:rPr>
        <w:t>v rámci reportingu.</w:t>
      </w:r>
    </w:p>
    <w:p w14:paraId="3F313293" w14:textId="77777777" w:rsidR="00F65BCA" w:rsidRDefault="00F65BCA">
      <w:pPr>
        <w:pStyle w:val="Zkladntext"/>
        <w:rPr>
          <w:sz w:val="23"/>
        </w:rPr>
      </w:pPr>
    </w:p>
    <w:p w14:paraId="5D6E0672" w14:textId="77777777" w:rsidR="00F65BCA" w:rsidRDefault="00216117">
      <w:pPr>
        <w:pStyle w:val="Nadpis8"/>
        <w:spacing w:before="1"/>
        <w:ind w:left="653"/>
      </w:pPr>
      <w:r>
        <w:rPr>
          <w:color w:val="231F20"/>
        </w:rPr>
        <w:t>Předáváme osobní údaje i do zahraničí?</w:t>
      </w:r>
    </w:p>
    <w:p w14:paraId="60FA2378" w14:textId="77777777" w:rsidR="00F65BCA" w:rsidRDefault="00216117">
      <w:pPr>
        <w:pStyle w:val="Nadpis9"/>
        <w:spacing w:before="29" w:line="273" w:lineRule="auto"/>
        <w:ind w:left="653" w:right="878"/>
      </w:pPr>
      <w:r>
        <w:rPr>
          <w:color w:val="231F20"/>
        </w:rPr>
        <w:t>V odůvodněných případech a v nezbytně nutném rozsahu můžeme Vaše osobní údaje předat i do zahraničí, v rámci Evropské unie nebo mimo ni. Může se to týkat také údajů o zdravotním stavu.</w:t>
      </w:r>
    </w:p>
    <w:p w14:paraId="772FAD8C" w14:textId="77777777" w:rsidR="00F65BCA" w:rsidRDefault="00F65BCA">
      <w:pPr>
        <w:pStyle w:val="Zkladntext"/>
        <w:rPr>
          <w:sz w:val="20"/>
        </w:rPr>
      </w:pPr>
    </w:p>
    <w:p w14:paraId="7B21D6D5" w14:textId="77777777" w:rsidR="00F65BCA" w:rsidRDefault="00000000">
      <w:pPr>
        <w:spacing w:before="152"/>
        <w:ind w:left="653"/>
        <w:rPr>
          <w:sz w:val="28"/>
        </w:rPr>
      </w:pPr>
      <w:r>
        <w:pict w14:anchorId="293DDFAB">
          <v:shape id="_x0000_s2348" style="position:absolute;left:0;text-align:left;margin-left:39.7pt;margin-top:25.35pt;width:504.6pt;height:.1pt;z-index:-251544576;mso-wrap-distance-left:0;mso-wrap-distance-right:0;mso-position-horizontal-relative:page" coordorigin="794,507" coordsize="10092,0" path="m794,507r10091,e" filled="f" strokecolor="#d1d3d4">
            <v:path arrowok="t"/>
            <w10:wrap type="topAndBottom" anchorx="page"/>
          </v:shape>
        </w:pict>
      </w:r>
      <w:r w:rsidR="00216117">
        <w:rPr>
          <w:color w:val="C5271C"/>
          <w:sz w:val="28"/>
        </w:rPr>
        <w:t>Jak dlouho budou Vaše údaje u nás uloženy?</w:t>
      </w:r>
    </w:p>
    <w:p w14:paraId="5C3B96B3" w14:textId="77777777" w:rsidR="00F65BCA" w:rsidRDefault="00216117">
      <w:pPr>
        <w:pStyle w:val="Nadpis8"/>
        <w:spacing w:before="119"/>
        <w:ind w:left="653"/>
      </w:pPr>
      <w:r>
        <w:rPr>
          <w:color w:val="231F20"/>
        </w:rPr>
        <w:t>Jednali jsme o nabídce pojištění, ale ke sjednání pojištění nedošlo?</w:t>
      </w:r>
    </w:p>
    <w:p w14:paraId="75112B76" w14:textId="77777777" w:rsidR="00F65BCA" w:rsidRDefault="00216117">
      <w:pPr>
        <w:pStyle w:val="Nadpis9"/>
        <w:spacing w:before="29"/>
        <w:ind w:left="653"/>
      </w:pPr>
      <w:r>
        <w:rPr>
          <w:color w:val="231F20"/>
        </w:rPr>
        <w:t>Vaše osobní údaje budeme uchovávat do konce druhého kalendářního roku od naší poslední komunikace.</w:t>
      </w:r>
    </w:p>
    <w:p w14:paraId="2EBD5749" w14:textId="77777777" w:rsidR="00F65BCA" w:rsidRDefault="00F65BCA">
      <w:pPr>
        <w:pStyle w:val="Zkladntext"/>
        <w:rPr>
          <w:sz w:val="23"/>
        </w:rPr>
      </w:pPr>
    </w:p>
    <w:p w14:paraId="30CA6A74" w14:textId="77777777" w:rsidR="00F65BCA" w:rsidRDefault="00216117">
      <w:pPr>
        <w:pStyle w:val="Nadpis8"/>
        <w:ind w:left="653"/>
      </w:pPr>
      <w:r>
        <w:rPr>
          <w:color w:val="231F20"/>
        </w:rPr>
        <w:t>Sjednali jsme pojištění?</w:t>
      </w:r>
    </w:p>
    <w:p w14:paraId="6062C34C" w14:textId="77777777" w:rsidR="00F65BCA" w:rsidRDefault="00216117">
      <w:pPr>
        <w:pStyle w:val="Nadpis9"/>
        <w:spacing w:before="29" w:line="273" w:lineRule="auto"/>
        <w:ind w:left="653" w:right="878"/>
      </w:pPr>
      <w:r>
        <w:rPr>
          <w:color w:val="231F20"/>
        </w:rPr>
        <w:t>Vaše osobní údaje zpracováváme po dobu trvání pojistné smlouvy a také po dobu trvání soudních sporů a jiných řízení.        Po ukončení smlouvy, soudního sporu či jiného řízení uchováváme Vaše osobní údaje po dobu trvání promlčecí lhůty, kdy je možné</w:t>
      </w:r>
      <w:r>
        <w:rPr>
          <w:color w:val="231F20"/>
          <w:spacing w:val="-10"/>
        </w:rPr>
        <w:t xml:space="preserve"> </w:t>
      </w:r>
      <w:r>
        <w:rPr>
          <w:color w:val="231F20"/>
        </w:rPr>
        <w:t>uplatnit</w:t>
      </w:r>
      <w:r>
        <w:rPr>
          <w:color w:val="231F20"/>
          <w:spacing w:val="-10"/>
        </w:rPr>
        <w:t xml:space="preserve"> </w:t>
      </w:r>
      <w:r>
        <w:rPr>
          <w:color w:val="231F20"/>
        </w:rPr>
        <w:t>jakýkoliv</w:t>
      </w:r>
      <w:r>
        <w:rPr>
          <w:color w:val="231F20"/>
          <w:spacing w:val="-9"/>
        </w:rPr>
        <w:t xml:space="preserve"> </w:t>
      </w:r>
      <w:r>
        <w:rPr>
          <w:color w:val="231F20"/>
        </w:rPr>
        <w:t>nárok</w:t>
      </w:r>
      <w:r>
        <w:rPr>
          <w:color w:val="231F20"/>
          <w:spacing w:val="-10"/>
        </w:rPr>
        <w:t xml:space="preserve"> </w:t>
      </w:r>
      <w:r>
        <w:rPr>
          <w:color w:val="231F20"/>
        </w:rPr>
        <w:t>z</w:t>
      </w:r>
      <w:r>
        <w:rPr>
          <w:color w:val="231F20"/>
          <w:spacing w:val="-10"/>
        </w:rPr>
        <w:t xml:space="preserve"> </w:t>
      </w:r>
      <w:r>
        <w:rPr>
          <w:color w:val="231F20"/>
        </w:rPr>
        <w:t>ukončené</w:t>
      </w:r>
      <w:r>
        <w:rPr>
          <w:color w:val="231F20"/>
          <w:spacing w:val="-9"/>
        </w:rPr>
        <w:t xml:space="preserve"> </w:t>
      </w:r>
      <w:r>
        <w:rPr>
          <w:color w:val="231F20"/>
        </w:rPr>
        <w:t>smlouvy.</w:t>
      </w:r>
      <w:r>
        <w:rPr>
          <w:color w:val="231F20"/>
          <w:spacing w:val="-10"/>
        </w:rPr>
        <w:t xml:space="preserve"> </w:t>
      </w:r>
      <w:r>
        <w:rPr>
          <w:color w:val="231F20"/>
        </w:rPr>
        <w:t>Uchováváme</w:t>
      </w:r>
      <w:r>
        <w:rPr>
          <w:color w:val="231F20"/>
          <w:spacing w:val="-10"/>
        </w:rPr>
        <w:t xml:space="preserve"> </w:t>
      </w:r>
      <w:r>
        <w:rPr>
          <w:color w:val="231F20"/>
        </w:rPr>
        <w:t>je</w:t>
      </w:r>
      <w:r>
        <w:rPr>
          <w:color w:val="231F20"/>
          <w:spacing w:val="-9"/>
        </w:rPr>
        <w:t xml:space="preserve"> </w:t>
      </w:r>
      <w:r>
        <w:rPr>
          <w:color w:val="231F20"/>
        </w:rPr>
        <w:t>maximálně</w:t>
      </w:r>
      <w:r>
        <w:rPr>
          <w:color w:val="231F20"/>
          <w:spacing w:val="-10"/>
        </w:rPr>
        <w:t xml:space="preserve"> </w:t>
      </w:r>
      <w:r>
        <w:rPr>
          <w:color w:val="231F20"/>
        </w:rPr>
        <w:t>15</w:t>
      </w:r>
      <w:r>
        <w:rPr>
          <w:color w:val="231F20"/>
          <w:spacing w:val="-10"/>
        </w:rPr>
        <w:t xml:space="preserve"> </w:t>
      </w:r>
      <w:r>
        <w:rPr>
          <w:color w:val="231F20"/>
        </w:rPr>
        <w:t>let</w:t>
      </w:r>
      <w:r>
        <w:rPr>
          <w:color w:val="231F20"/>
          <w:spacing w:val="-9"/>
        </w:rPr>
        <w:t xml:space="preserve"> </w:t>
      </w:r>
      <w:r>
        <w:rPr>
          <w:color w:val="231F20"/>
        </w:rPr>
        <w:t>a</w:t>
      </w:r>
      <w:r>
        <w:rPr>
          <w:color w:val="231F20"/>
          <w:spacing w:val="-10"/>
        </w:rPr>
        <w:t xml:space="preserve"> </w:t>
      </w:r>
      <w:r>
        <w:rPr>
          <w:color w:val="231F20"/>
        </w:rPr>
        <w:t>dále</w:t>
      </w:r>
      <w:r>
        <w:rPr>
          <w:color w:val="231F20"/>
          <w:spacing w:val="-10"/>
        </w:rPr>
        <w:t xml:space="preserve"> </w:t>
      </w:r>
      <w:r>
        <w:rPr>
          <w:color w:val="231F20"/>
        </w:rPr>
        <w:t>po</w:t>
      </w:r>
      <w:r>
        <w:rPr>
          <w:color w:val="231F20"/>
          <w:spacing w:val="-9"/>
        </w:rPr>
        <w:t xml:space="preserve"> </w:t>
      </w:r>
      <w:r>
        <w:rPr>
          <w:color w:val="231F20"/>
        </w:rPr>
        <w:t>dobu</w:t>
      </w:r>
      <w:r>
        <w:rPr>
          <w:color w:val="231F20"/>
          <w:spacing w:val="-10"/>
        </w:rPr>
        <w:t xml:space="preserve"> </w:t>
      </w:r>
      <w:r>
        <w:rPr>
          <w:color w:val="231F20"/>
        </w:rPr>
        <w:t>1</w:t>
      </w:r>
      <w:r>
        <w:rPr>
          <w:color w:val="231F20"/>
          <w:spacing w:val="-10"/>
        </w:rPr>
        <w:t xml:space="preserve"> </w:t>
      </w:r>
      <w:r>
        <w:rPr>
          <w:color w:val="231F20"/>
        </w:rPr>
        <w:t>roku</w:t>
      </w:r>
      <w:r>
        <w:rPr>
          <w:color w:val="231F20"/>
          <w:spacing w:val="-9"/>
        </w:rPr>
        <w:t xml:space="preserve"> </w:t>
      </w:r>
      <w:r>
        <w:rPr>
          <w:color w:val="231F20"/>
        </w:rPr>
        <w:t>po</w:t>
      </w:r>
      <w:r>
        <w:rPr>
          <w:color w:val="231F20"/>
          <w:spacing w:val="-10"/>
        </w:rPr>
        <w:t xml:space="preserve"> </w:t>
      </w:r>
      <w:r>
        <w:rPr>
          <w:color w:val="231F20"/>
        </w:rPr>
        <w:t>marném</w:t>
      </w:r>
      <w:r>
        <w:rPr>
          <w:color w:val="231F20"/>
          <w:spacing w:val="-10"/>
        </w:rPr>
        <w:t xml:space="preserve"> </w:t>
      </w:r>
      <w:r>
        <w:rPr>
          <w:color w:val="231F20"/>
        </w:rPr>
        <w:t>uplynutí promlčecí lhůty jakéhokoliv nároku s ohledem na ochranu našich právních nároků. Kromě toho zpracováváme Vaše osobní údaje též v případě pokračujícího nebo opakovaného finančního plnění z uzavřené smlouvy (např. při vyplácení pojistného plnění formou</w:t>
      </w:r>
      <w:r>
        <w:rPr>
          <w:color w:val="231F20"/>
          <w:spacing w:val="-1"/>
        </w:rPr>
        <w:t xml:space="preserve"> </w:t>
      </w:r>
      <w:r>
        <w:rPr>
          <w:color w:val="231F20"/>
        </w:rPr>
        <w:t>renty).</w:t>
      </w:r>
    </w:p>
    <w:p w14:paraId="47EB2EAC" w14:textId="77777777" w:rsidR="00F65BCA" w:rsidRDefault="00F65BCA">
      <w:pPr>
        <w:pStyle w:val="Zkladntext"/>
        <w:spacing w:before="6"/>
        <w:rPr>
          <w:sz w:val="20"/>
        </w:rPr>
      </w:pPr>
    </w:p>
    <w:p w14:paraId="246A6430" w14:textId="77777777" w:rsidR="00F65BCA" w:rsidRDefault="00216117">
      <w:pPr>
        <w:pStyle w:val="Nadpis9"/>
        <w:spacing w:before="1" w:line="273" w:lineRule="auto"/>
        <w:ind w:left="653" w:right="879"/>
      </w:pPr>
      <w:r>
        <w:rPr>
          <w:color w:val="231F20"/>
        </w:rPr>
        <w:t>Pokud nám to ukládá právní předpis, archivujeme po zákonem stanovenou dobu dokumenty, v nichž jsou obsaženy Vaše údaje.</w:t>
      </w:r>
    </w:p>
    <w:p w14:paraId="209247E7" w14:textId="77777777" w:rsidR="00F65BCA" w:rsidRDefault="00F65BCA">
      <w:pPr>
        <w:pStyle w:val="Zkladntext"/>
        <w:rPr>
          <w:sz w:val="20"/>
        </w:rPr>
      </w:pPr>
    </w:p>
    <w:p w14:paraId="26DD20D1" w14:textId="77777777" w:rsidR="00F65BCA" w:rsidRDefault="00000000">
      <w:pPr>
        <w:spacing w:before="152"/>
        <w:ind w:left="653"/>
        <w:rPr>
          <w:sz w:val="28"/>
        </w:rPr>
      </w:pPr>
      <w:r>
        <w:pict w14:anchorId="45BA7611">
          <v:shape id="_x0000_s2347" style="position:absolute;left:0;text-align:left;margin-left:39.7pt;margin-top:25.35pt;width:504.6pt;height:.1pt;z-index:-251543552;mso-wrap-distance-left:0;mso-wrap-distance-right:0;mso-position-horizontal-relative:page" coordorigin="794,507" coordsize="10092,0" path="m794,507r10091,e" filled="f" strokecolor="#d1d3d4">
            <v:path arrowok="t"/>
            <w10:wrap type="topAndBottom" anchorx="page"/>
          </v:shape>
        </w:pict>
      </w:r>
      <w:r w:rsidR="00216117">
        <w:rPr>
          <w:color w:val="C5271C"/>
          <w:sz w:val="28"/>
        </w:rPr>
        <w:t>Jaká máte práva v souvislosti se zpracováním osobních údajů?</w:t>
      </w:r>
    </w:p>
    <w:p w14:paraId="0C40B8BD" w14:textId="77777777" w:rsidR="00F65BCA" w:rsidRDefault="00216117">
      <w:pPr>
        <w:spacing w:before="123" w:line="273" w:lineRule="auto"/>
        <w:ind w:left="653" w:right="878"/>
        <w:jc w:val="both"/>
        <w:rPr>
          <w:sz w:val="18"/>
        </w:rPr>
      </w:pPr>
      <w:r>
        <w:rPr>
          <w:color w:val="231F20"/>
          <w:sz w:val="18"/>
        </w:rPr>
        <w:t>Máte</w:t>
      </w:r>
      <w:r>
        <w:rPr>
          <w:color w:val="231F20"/>
          <w:spacing w:val="-14"/>
          <w:sz w:val="18"/>
        </w:rPr>
        <w:t xml:space="preserve"> </w:t>
      </w:r>
      <w:r>
        <w:rPr>
          <w:b/>
          <w:color w:val="231F20"/>
          <w:sz w:val="18"/>
        </w:rPr>
        <w:t>právo</w:t>
      </w:r>
      <w:r>
        <w:rPr>
          <w:b/>
          <w:color w:val="231F20"/>
          <w:spacing w:val="-13"/>
          <w:sz w:val="18"/>
        </w:rPr>
        <w:t xml:space="preserve"> </w:t>
      </w:r>
      <w:r>
        <w:rPr>
          <w:b/>
          <w:color w:val="231F20"/>
          <w:sz w:val="18"/>
        </w:rPr>
        <w:t>na</w:t>
      </w:r>
      <w:r>
        <w:rPr>
          <w:b/>
          <w:color w:val="231F20"/>
          <w:spacing w:val="-13"/>
          <w:sz w:val="18"/>
        </w:rPr>
        <w:t xml:space="preserve"> </w:t>
      </w:r>
      <w:r>
        <w:rPr>
          <w:b/>
          <w:color w:val="231F20"/>
          <w:sz w:val="18"/>
        </w:rPr>
        <w:t>přístup</w:t>
      </w:r>
      <w:r>
        <w:rPr>
          <w:b/>
          <w:color w:val="231F20"/>
          <w:spacing w:val="-13"/>
          <w:sz w:val="18"/>
        </w:rPr>
        <w:t xml:space="preserve"> </w:t>
      </w:r>
      <w:r>
        <w:rPr>
          <w:color w:val="231F20"/>
          <w:sz w:val="18"/>
        </w:rPr>
        <w:t>k</w:t>
      </w:r>
      <w:r>
        <w:rPr>
          <w:color w:val="231F20"/>
          <w:spacing w:val="-13"/>
          <w:sz w:val="18"/>
        </w:rPr>
        <w:t xml:space="preserve"> </w:t>
      </w:r>
      <w:r>
        <w:rPr>
          <w:color w:val="231F20"/>
          <w:sz w:val="18"/>
        </w:rPr>
        <w:t>osobním</w:t>
      </w:r>
      <w:r>
        <w:rPr>
          <w:color w:val="231F20"/>
          <w:spacing w:val="-13"/>
          <w:sz w:val="18"/>
        </w:rPr>
        <w:t xml:space="preserve"> </w:t>
      </w:r>
      <w:r>
        <w:rPr>
          <w:color w:val="231F20"/>
          <w:sz w:val="18"/>
        </w:rPr>
        <w:t>údajům,</w:t>
      </w:r>
      <w:r>
        <w:rPr>
          <w:color w:val="231F20"/>
          <w:spacing w:val="-13"/>
          <w:sz w:val="18"/>
        </w:rPr>
        <w:t xml:space="preserve"> </w:t>
      </w:r>
      <w:r>
        <w:rPr>
          <w:color w:val="231F20"/>
          <w:sz w:val="18"/>
        </w:rPr>
        <w:t>které</w:t>
      </w:r>
      <w:r>
        <w:rPr>
          <w:color w:val="231F20"/>
          <w:spacing w:val="-13"/>
          <w:sz w:val="18"/>
        </w:rPr>
        <w:t xml:space="preserve"> </w:t>
      </w:r>
      <w:r>
        <w:rPr>
          <w:color w:val="231F20"/>
          <w:sz w:val="18"/>
        </w:rPr>
        <w:t>o</w:t>
      </w:r>
      <w:r>
        <w:rPr>
          <w:color w:val="231F20"/>
          <w:spacing w:val="-13"/>
          <w:sz w:val="18"/>
        </w:rPr>
        <w:t xml:space="preserve"> </w:t>
      </w:r>
      <w:r>
        <w:rPr>
          <w:color w:val="231F20"/>
          <w:sz w:val="18"/>
        </w:rPr>
        <w:t>Vás</w:t>
      </w:r>
      <w:r>
        <w:rPr>
          <w:color w:val="231F20"/>
          <w:spacing w:val="-13"/>
          <w:sz w:val="18"/>
        </w:rPr>
        <w:t xml:space="preserve"> </w:t>
      </w:r>
      <w:r>
        <w:rPr>
          <w:color w:val="231F20"/>
          <w:sz w:val="18"/>
        </w:rPr>
        <w:t>zpracováváme,</w:t>
      </w:r>
      <w:r>
        <w:rPr>
          <w:color w:val="231F20"/>
          <w:spacing w:val="-12"/>
          <w:sz w:val="18"/>
        </w:rPr>
        <w:t xml:space="preserve"> </w:t>
      </w:r>
      <w:r>
        <w:rPr>
          <w:b/>
          <w:color w:val="231F20"/>
          <w:sz w:val="18"/>
        </w:rPr>
        <w:t>právo</w:t>
      </w:r>
      <w:r>
        <w:rPr>
          <w:b/>
          <w:color w:val="231F20"/>
          <w:spacing w:val="-13"/>
          <w:sz w:val="18"/>
        </w:rPr>
        <w:t xml:space="preserve"> </w:t>
      </w:r>
      <w:r>
        <w:rPr>
          <w:b/>
          <w:color w:val="231F20"/>
          <w:sz w:val="18"/>
        </w:rPr>
        <w:t>na</w:t>
      </w:r>
      <w:r>
        <w:rPr>
          <w:b/>
          <w:color w:val="231F20"/>
          <w:spacing w:val="-13"/>
          <w:sz w:val="18"/>
        </w:rPr>
        <w:t xml:space="preserve"> </w:t>
      </w:r>
      <w:r>
        <w:rPr>
          <w:b/>
          <w:color w:val="231F20"/>
          <w:sz w:val="18"/>
        </w:rPr>
        <w:t>opravu</w:t>
      </w:r>
      <w:r>
        <w:rPr>
          <w:b/>
          <w:color w:val="231F20"/>
          <w:spacing w:val="-13"/>
          <w:sz w:val="18"/>
        </w:rPr>
        <w:t xml:space="preserve"> </w:t>
      </w:r>
      <w:r>
        <w:rPr>
          <w:color w:val="231F20"/>
          <w:sz w:val="18"/>
        </w:rPr>
        <w:t>nepřesných</w:t>
      </w:r>
      <w:r>
        <w:rPr>
          <w:color w:val="231F20"/>
          <w:spacing w:val="-13"/>
          <w:sz w:val="18"/>
        </w:rPr>
        <w:t xml:space="preserve"> </w:t>
      </w:r>
      <w:r>
        <w:rPr>
          <w:color w:val="231F20"/>
          <w:sz w:val="18"/>
        </w:rPr>
        <w:t>či</w:t>
      </w:r>
      <w:r>
        <w:rPr>
          <w:color w:val="231F20"/>
          <w:spacing w:val="-14"/>
          <w:sz w:val="18"/>
        </w:rPr>
        <w:t xml:space="preserve"> </w:t>
      </w:r>
      <w:r>
        <w:rPr>
          <w:color w:val="231F20"/>
          <w:sz w:val="18"/>
        </w:rPr>
        <w:t>neúplných</w:t>
      </w:r>
      <w:r>
        <w:rPr>
          <w:color w:val="231F20"/>
          <w:spacing w:val="-13"/>
          <w:sz w:val="18"/>
        </w:rPr>
        <w:t xml:space="preserve"> </w:t>
      </w:r>
      <w:r>
        <w:rPr>
          <w:color w:val="231F20"/>
          <w:sz w:val="18"/>
        </w:rPr>
        <w:t>údajů</w:t>
      </w:r>
      <w:r>
        <w:rPr>
          <w:color w:val="231F20"/>
          <w:spacing w:val="-13"/>
          <w:sz w:val="18"/>
        </w:rPr>
        <w:t xml:space="preserve"> </w:t>
      </w:r>
      <w:r>
        <w:rPr>
          <w:color w:val="231F20"/>
          <w:sz w:val="18"/>
        </w:rPr>
        <w:t>a</w:t>
      </w:r>
      <w:r>
        <w:rPr>
          <w:color w:val="231F20"/>
          <w:spacing w:val="-12"/>
          <w:sz w:val="18"/>
        </w:rPr>
        <w:t xml:space="preserve"> </w:t>
      </w:r>
      <w:r>
        <w:rPr>
          <w:b/>
          <w:color w:val="231F20"/>
          <w:sz w:val="18"/>
        </w:rPr>
        <w:t xml:space="preserve">právo podat stížnost </w:t>
      </w:r>
      <w:r>
        <w:rPr>
          <w:color w:val="231F20"/>
          <w:sz w:val="18"/>
        </w:rPr>
        <w:t xml:space="preserve">u Úřadu pro ochranu osobních údajů, Pplk. Sochora 27, 170 00 Praha 7, </w:t>
      </w:r>
      <w:hyperlink r:id="rId32">
        <w:r>
          <w:rPr>
            <w:color w:val="231F20"/>
            <w:sz w:val="18"/>
          </w:rPr>
          <w:t xml:space="preserve">www.uoou.cz. </w:t>
        </w:r>
      </w:hyperlink>
      <w:r>
        <w:rPr>
          <w:color w:val="231F20"/>
          <w:sz w:val="18"/>
        </w:rPr>
        <w:t xml:space="preserve">Za určitých podmínek máte dále </w:t>
      </w:r>
      <w:r>
        <w:rPr>
          <w:b/>
          <w:color w:val="231F20"/>
          <w:sz w:val="18"/>
        </w:rPr>
        <w:t xml:space="preserve">právo na výmaz </w:t>
      </w:r>
      <w:r>
        <w:rPr>
          <w:color w:val="231F20"/>
          <w:sz w:val="18"/>
        </w:rPr>
        <w:t xml:space="preserve">osobních údajů, které se Vás týkají, nebo </w:t>
      </w:r>
      <w:r>
        <w:rPr>
          <w:b/>
          <w:color w:val="231F20"/>
          <w:sz w:val="18"/>
        </w:rPr>
        <w:t xml:space="preserve">na omezení </w:t>
      </w:r>
      <w:r>
        <w:rPr>
          <w:color w:val="231F20"/>
          <w:sz w:val="18"/>
        </w:rPr>
        <w:t xml:space="preserve">jejich zpracování a </w:t>
      </w:r>
      <w:r>
        <w:rPr>
          <w:b/>
          <w:color w:val="231F20"/>
          <w:sz w:val="18"/>
        </w:rPr>
        <w:t xml:space="preserve">na přenositelnost </w:t>
      </w:r>
      <w:r>
        <w:rPr>
          <w:color w:val="231F20"/>
          <w:sz w:val="18"/>
        </w:rPr>
        <w:t xml:space="preserve">svých údajů. Máte právo kdykoli bezplatně vznést námitku proti zpracování Vašich osobních údajů, které provádíme z důvodů našich oprávněných zájmů, včetně profilování, nebo za účelem přímého marketingu. Máte také </w:t>
      </w:r>
      <w:r>
        <w:rPr>
          <w:b/>
          <w:color w:val="231F20"/>
          <w:sz w:val="18"/>
        </w:rPr>
        <w:t>právo na přezkoumání automatizovaného rozhodnutí</w:t>
      </w:r>
      <w:r>
        <w:rPr>
          <w:color w:val="231F20"/>
          <w:sz w:val="18"/>
        </w:rPr>
        <w:t>, které pro Vás mělo podstatné</w:t>
      </w:r>
      <w:r>
        <w:rPr>
          <w:color w:val="231F20"/>
          <w:spacing w:val="2"/>
          <w:sz w:val="18"/>
        </w:rPr>
        <w:t xml:space="preserve"> </w:t>
      </w:r>
      <w:r>
        <w:rPr>
          <w:color w:val="231F20"/>
          <w:sz w:val="18"/>
        </w:rPr>
        <w:t>důsledky.</w:t>
      </w:r>
    </w:p>
    <w:p w14:paraId="29FBD0BA" w14:textId="77777777" w:rsidR="00F65BCA" w:rsidRDefault="00F65BCA">
      <w:pPr>
        <w:pStyle w:val="Zkladntext"/>
        <w:rPr>
          <w:sz w:val="20"/>
        </w:rPr>
      </w:pPr>
    </w:p>
    <w:p w14:paraId="3C832D89" w14:textId="77777777" w:rsidR="00F65BCA" w:rsidRDefault="00000000">
      <w:pPr>
        <w:spacing w:before="152"/>
        <w:ind w:left="653"/>
        <w:rPr>
          <w:sz w:val="28"/>
        </w:rPr>
      </w:pPr>
      <w:r>
        <w:pict w14:anchorId="1D5046F0">
          <v:shape id="_x0000_s2346" style="position:absolute;left:0;text-align:left;margin-left:39.7pt;margin-top:25.35pt;width:504.6pt;height:.1pt;z-index:-251542528;mso-wrap-distance-left:0;mso-wrap-distance-right:0;mso-position-horizontal-relative:page" coordorigin="794,507" coordsize="10092,0" path="m794,507r10091,e" filled="f" strokecolor="#d1d3d4">
            <v:path arrowok="t"/>
            <w10:wrap type="topAndBottom" anchorx="page"/>
          </v:shape>
        </w:pict>
      </w:r>
      <w:r w:rsidR="00216117">
        <w:rPr>
          <w:color w:val="C5271C"/>
          <w:sz w:val="28"/>
        </w:rPr>
        <w:t>Jak můžete kontaktovat našeho pověřence pro ochranu osobních údajů?</w:t>
      </w:r>
    </w:p>
    <w:p w14:paraId="0F76C2EE" w14:textId="77777777" w:rsidR="00F65BCA" w:rsidRDefault="00216117">
      <w:pPr>
        <w:spacing w:before="119" w:line="273" w:lineRule="auto"/>
        <w:ind w:left="653" w:right="878"/>
        <w:jc w:val="both"/>
        <w:rPr>
          <w:b/>
          <w:sz w:val="18"/>
        </w:rPr>
      </w:pPr>
      <w:r>
        <w:rPr>
          <w:color w:val="231F20"/>
          <w:sz w:val="18"/>
        </w:rPr>
        <w:t xml:space="preserve">Našeho pověřence pro ochranu osobních údajů můžete se svými žádostmi a dotazy kontaktovat na adrese: </w:t>
      </w:r>
      <w:r>
        <w:rPr>
          <w:b/>
          <w:color w:val="231F20"/>
          <w:sz w:val="18"/>
        </w:rPr>
        <w:t xml:space="preserve">Generali Česká pojišťovna a.s., Na Pankráci 1720/123, 140 00 Praha 4, </w:t>
      </w:r>
      <w:hyperlink r:id="rId33">
        <w:r>
          <w:rPr>
            <w:b/>
            <w:color w:val="231F20"/>
            <w:sz w:val="18"/>
          </w:rPr>
          <w:t>dpo@generaliceska.cz.</w:t>
        </w:r>
      </w:hyperlink>
    </w:p>
    <w:p w14:paraId="5A20D5FD" w14:textId="77777777" w:rsidR="00F65BCA" w:rsidRDefault="00F65BCA">
      <w:pPr>
        <w:pStyle w:val="Zkladntext"/>
        <w:rPr>
          <w:b/>
          <w:sz w:val="20"/>
        </w:rPr>
      </w:pPr>
    </w:p>
    <w:p w14:paraId="38BE2739" w14:textId="77777777" w:rsidR="00F65BCA" w:rsidRDefault="00F65BCA">
      <w:pPr>
        <w:pStyle w:val="Zkladntext"/>
        <w:rPr>
          <w:b/>
          <w:sz w:val="20"/>
        </w:rPr>
      </w:pPr>
    </w:p>
    <w:p w14:paraId="71F38727" w14:textId="77777777" w:rsidR="00F65BCA" w:rsidRDefault="00F65BCA">
      <w:pPr>
        <w:pStyle w:val="Zkladntext"/>
        <w:spacing w:before="10"/>
        <w:rPr>
          <w:b/>
          <w:sz w:val="25"/>
        </w:rPr>
      </w:pPr>
    </w:p>
    <w:p w14:paraId="2694CE05" w14:textId="77777777" w:rsidR="00F65BCA" w:rsidRDefault="00000000">
      <w:pPr>
        <w:tabs>
          <w:tab w:val="left" w:pos="9157"/>
        </w:tabs>
        <w:spacing w:before="103"/>
        <w:ind w:left="653"/>
        <w:rPr>
          <w:sz w:val="14"/>
        </w:rPr>
      </w:pPr>
      <w:r>
        <w:pict w14:anchorId="2BBE3A15">
          <v:line id="_x0000_s2345" style="position:absolute;left:0;text-align:left;z-index:-299450368;mso-position-horizontal-relative:page" from="0,-7.65pt" to="595.3pt,-7.65pt" strokecolor="#c5271c" strokeweight="1pt">
            <w10:wrap anchorx="page"/>
          </v:line>
        </w:pict>
      </w:r>
      <w:r w:rsidR="00216117">
        <w:rPr>
          <w:color w:val="231F20"/>
          <w:sz w:val="16"/>
        </w:rPr>
        <w:t xml:space="preserve">6  </w:t>
      </w:r>
      <w:r w:rsidR="00216117">
        <w:rPr>
          <w:color w:val="C5271C"/>
          <w:sz w:val="20"/>
        </w:rPr>
        <w:t xml:space="preserve">|  </w:t>
      </w:r>
      <w:r w:rsidR="00216117">
        <w:rPr>
          <w:color w:val="231F20"/>
          <w:sz w:val="16"/>
        </w:rPr>
        <w:t>Stručná informace o zpracování</w:t>
      </w:r>
      <w:r w:rsidR="00216117">
        <w:rPr>
          <w:color w:val="231F20"/>
          <w:spacing w:val="12"/>
          <w:sz w:val="16"/>
        </w:rPr>
        <w:t xml:space="preserve"> </w:t>
      </w:r>
      <w:r w:rsidR="00216117">
        <w:rPr>
          <w:color w:val="231F20"/>
          <w:sz w:val="16"/>
        </w:rPr>
        <w:t>osobních</w:t>
      </w:r>
      <w:r w:rsidR="00216117">
        <w:rPr>
          <w:color w:val="231F20"/>
          <w:spacing w:val="1"/>
          <w:sz w:val="16"/>
        </w:rPr>
        <w:t xml:space="preserve"> </w:t>
      </w:r>
      <w:r w:rsidR="00216117">
        <w:rPr>
          <w:color w:val="231F20"/>
          <w:sz w:val="16"/>
        </w:rPr>
        <w:t>údajů</w:t>
      </w:r>
      <w:r w:rsidR="00216117">
        <w:rPr>
          <w:color w:val="231F20"/>
          <w:sz w:val="16"/>
        </w:rPr>
        <w:tab/>
      </w:r>
      <w:r w:rsidR="00216117">
        <w:rPr>
          <w:color w:val="231F20"/>
          <w:sz w:val="14"/>
        </w:rPr>
        <w:t>99.3.00.068 10.2021 v02</w:t>
      </w:r>
    </w:p>
    <w:p w14:paraId="35B04A31" w14:textId="77777777" w:rsidR="00F65BCA" w:rsidRDefault="00F65BCA">
      <w:pPr>
        <w:rPr>
          <w:sz w:val="14"/>
        </w:rPr>
        <w:sectPr w:rsidR="00F65BCA">
          <w:pgSz w:w="11910" w:h="16840"/>
          <w:pgMar w:top="520" w:right="140" w:bottom="0" w:left="140" w:header="708" w:footer="708" w:gutter="0"/>
          <w:cols w:space="708"/>
        </w:sectPr>
      </w:pPr>
    </w:p>
    <w:p w14:paraId="471B125E" w14:textId="77777777" w:rsidR="00F65BCA" w:rsidRDefault="00000000">
      <w:pPr>
        <w:pStyle w:val="Zkladntext"/>
        <w:ind w:left="880"/>
        <w:rPr>
          <w:sz w:val="20"/>
        </w:rPr>
      </w:pPr>
      <w:r>
        <w:rPr>
          <w:sz w:val="20"/>
        </w:rPr>
      </w:r>
      <w:r>
        <w:rPr>
          <w:sz w:val="20"/>
        </w:rPr>
        <w:pict w14:anchorId="5DCDE796">
          <v:shape id="_x0000_s2581" type="#_x0000_t202" style="width:504.6pt;height:25.55pt;mso-left-percent:-10001;mso-top-percent:-10001;mso-position-horizontal:absolute;mso-position-horizontal-relative:char;mso-position-vertical:absolute;mso-position-vertical-relative:line;mso-left-percent:-10001;mso-top-percent:-10001" fillcolor="#c5271c" stroked="f">
            <v:textbox inset="0,0,0,0">
              <w:txbxContent>
                <w:p w14:paraId="17138423" w14:textId="77777777" w:rsidR="00F65BCA" w:rsidRDefault="00216117">
                  <w:pPr>
                    <w:spacing w:before="2"/>
                    <w:ind w:left="226"/>
                    <w:rPr>
                      <w:sz w:val="40"/>
                    </w:rPr>
                  </w:pPr>
                  <w:r>
                    <w:rPr>
                      <w:color w:val="FFFFFF"/>
                      <w:sz w:val="40"/>
                    </w:rPr>
                    <w:t xml:space="preserve">Sdružené pojištění </w:t>
                  </w:r>
                  <w:r>
                    <w:rPr>
                      <w:color w:val="FFFFFF"/>
                      <w:sz w:val="40"/>
                    </w:rPr>
                    <w:t>vozidel - flotilové pojištění</w:t>
                  </w:r>
                </w:p>
              </w:txbxContent>
            </v:textbox>
            <w10:anchorlock/>
          </v:shape>
        </w:pict>
      </w:r>
    </w:p>
    <w:p w14:paraId="749C6E72" w14:textId="77777777" w:rsidR="00F65BCA" w:rsidRDefault="00000000">
      <w:pPr>
        <w:pStyle w:val="Zkladntext"/>
        <w:spacing w:before="9"/>
        <w:rPr>
          <w:sz w:val="12"/>
        </w:rPr>
      </w:pPr>
      <w:r>
        <w:pict w14:anchorId="3F3A415B">
          <v:shape id="_x0000_s2343" type="#_x0000_t202" style="position:absolute;margin-left:51pt;margin-top:8.55pt;width:504.6pt;height:50.6pt;z-index:-251534336;mso-wrap-distance-left:0;mso-wrap-distance-right:0;mso-position-horizontal-relative:page" fillcolor="#e6e7e8" stroked="f">
            <v:textbox inset="0,0,0,0">
              <w:txbxContent>
                <w:p w14:paraId="1F204265" w14:textId="77777777" w:rsidR="00F65BCA" w:rsidRDefault="00216117">
                  <w:pPr>
                    <w:spacing w:line="249" w:lineRule="auto"/>
                    <w:ind w:left="297"/>
                    <w:rPr>
                      <w:sz w:val="40"/>
                    </w:rPr>
                  </w:pPr>
                  <w:r>
                    <w:rPr>
                      <w:color w:val="231F20"/>
                      <w:spacing w:val="-4"/>
                      <w:sz w:val="40"/>
                    </w:rPr>
                    <w:t xml:space="preserve">Předsmluvní informace </w:t>
                  </w:r>
                  <w:r>
                    <w:rPr>
                      <w:color w:val="231F20"/>
                      <w:sz w:val="40"/>
                    </w:rPr>
                    <w:t xml:space="preserve">k </w:t>
                  </w:r>
                  <w:r>
                    <w:rPr>
                      <w:color w:val="231F20"/>
                      <w:spacing w:val="-4"/>
                      <w:sz w:val="40"/>
                    </w:rPr>
                    <w:t xml:space="preserve">sjednávanému </w:t>
                  </w:r>
                  <w:r>
                    <w:rPr>
                      <w:color w:val="231F20"/>
                      <w:spacing w:val="-6"/>
                      <w:sz w:val="40"/>
                    </w:rPr>
                    <w:t xml:space="preserve">sdruženému </w:t>
                  </w:r>
                  <w:r>
                    <w:rPr>
                      <w:color w:val="231F20"/>
                      <w:spacing w:val="-4"/>
                      <w:sz w:val="40"/>
                    </w:rPr>
                    <w:t>pojištění vozidel PIPMV-F-5/2025</w:t>
                  </w:r>
                </w:p>
              </w:txbxContent>
            </v:textbox>
            <w10:wrap type="topAndBottom" anchorx="page"/>
          </v:shape>
        </w:pict>
      </w:r>
    </w:p>
    <w:p w14:paraId="30460480" w14:textId="77777777" w:rsidR="00F65BCA" w:rsidRDefault="00F65BCA">
      <w:pPr>
        <w:pStyle w:val="Zkladntext"/>
        <w:spacing w:before="7"/>
        <w:rPr>
          <w:sz w:val="14"/>
        </w:rPr>
      </w:pPr>
    </w:p>
    <w:p w14:paraId="09276A5C" w14:textId="77777777" w:rsidR="00F65BCA" w:rsidRDefault="00216117">
      <w:pPr>
        <w:pStyle w:val="Nadpis9"/>
        <w:spacing w:before="107" w:line="278" w:lineRule="auto"/>
        <w:ind w:right="1154"/>
        <w:jc w:val="left"/>
      </w:pPr>
      <w:r>
        <w:rPr>
          <w:color w:val="231F20"/>
        </w:rPr>
        <w:t>K pojištění sjednanému dle všeobecných pojistných podmínek pro pojištění vozidel VPPPMV-F-5/2025 (dále jen „</w:t>
      </w:r>
      <w:r>
        <w:rPr>
          <w:b/>
          <w:color w:val="231F20"/>
        </w:rPr>
        <w:t>VPP</w:t>
      </w:r>
      <w:r>
        <w:rPr>
          <w:color w:val="231F20"/>
        </w:rPr>
        <w:t>“)           v souladu</w:t>
      </w:r>
      <w:r>
        <w:rPr>
          <w:color w:val="231F20"/>
          <w:spacing w:val="1"/>
        </w:rPr>
        <w:t xml:space="preserve"> </w:t>
      </w:r>
      <w:r>
        <w:rPr>
          <w:color w:val="231F20"/>
        </w:rPr>
        <w:t>s</w:t>
      </w:r>
      <w:r>
        <w:rPr>
          <w:color w:val="231F20"/>
          <w:spacing w:val="-6"/>
        </w:rPr>
        <w:t xml:space="preserve"> </w:t>
      </w:r>
      <w:r>
        <w:rPr>
          <w:color w:val="231F20"/>
        </w:rPr>
        <w:t>platnými</w:t>
      </w:r>
      <w:r>
        <w:rPr>
          <w:color w:val="231F20"/>
          <w:spacing w:val="-6"/>
        </w:rPr>
        <w:t xml:space="preserve"> </w:t>
      </w:r>
      <w:r>
        <w:rPr>
          <w:color w:val="231F20"/>
        </w:rPr>
        <w:t>právními</w:t>
      </w:r>
      <w:r>
        <w:rPr>
          <w:color w:val="231F20"/>
          <w:spacing w:val="-6"/>
        </w:rPr>
        <w:t xml:space="preserve"> </w:t>
      </w:r>
      <w:r>
        <w:rPr>
          <w:color w:val="231F20"/>
        </w:rPr>
        <w:t>předpisy</w:t>
      </w:r>
      <w:r>
        <w:rPr>
          <w:color w:val="231F20"/>
          <w:spacing w:val="-6"/>
        </w:rPr>
        <w:t xml:space="preserve"> </w:t>
      </w:r>
      <w:r>
        <w:rPr>
          <w:color w:val="231F20"/>
        </w:rPr>
        <w:t>Vám</w:t>
      </w:r>
      <w:r>
        <w:rPr>
          <w:color w:val="231F20"/>
          <w:spacing w:val="-6"/>
        </w:rPr>
        <w:t xml:space="preserve"> </w:t>
      </w:r>
      <w:r>
        <w:rPr>
          <w:color w:val="231F20"/>
        </w:rPr>
        <w:t>jako</w:t>
      </w:r>
      <w:r>
        <w:rPr>
          <w:color w:val="231F20"/>
          <w:spacing w:val="-6"/>
        </w:rPr>
        <w:t xml:space="preserve"> </w:t>
      </w:r>
      <w:r>
        <w:rPr>
          <w:color w:val="231F20"/>
        </w:rPr>
        <w:t>zájemci</w:t>
      </w:r>
      <w:r>
        <w:rPr>
          <w:color w:val="231F20"/>
          <w:spacing w:val="-6"/>
        </w:rPr>
        <w:t xml:space="preserve"> </w:t>
      </w:r>
      <w:r>
        <w:rPr>
          <w:color w:val="231F20"/>
        </w:rPr>
        <w:t>o</w:t>
      </w:r>
      <w:r>
        <w:rPr>
          <w:color w:val="231F20"/>
          <w:spacing w:val="-6"/>
        </w:rPr>
        <w:t xml:space="preserve"> </w:t>
      </w:r>
      <w:r>
        <w:rPr>
          <w:color w:val="231F20"/>
        </w:rPr>
        <w:t>uzavření</w:t>
      </w:r>
      <w:r>
        <w:rPr>
          <w:color w:val="231F20"/>
          <w:spacing w:val="-6"/>
        </w:rPr>
        <w:t xml:space="preserve"> </w:t>
      </w:r>
      <w:r>
        <w:rPr>
          <w:color w:val="231F20"/>
        </w:rPr>
        <w:t>pojistné</w:t>
      </w:r>
      <w:r>
        <w:rPr>
          <w:color w:val="231F20"/>
          <w:spacing w:val="-6"/>
        </w:rPr>
        <w:t xml:space="preserve"> </w:t>
      </w:r>
      <w:r>
        <w:rPr>
          <w:color w:val="231F20"/>
        </w:rPr>
        <w:t>smlouvy</w:t>
      </w:r>
      <w:r>
        <w:rPr>
          <w:color w:val="231F20"/>
          <w:spacing w:val="-6"/>
        </w:rPr>
        <w:t xml:space="preserve"> </w:t>
      </w:r>
      <w:r>
        <w:rPr>
          <w:color w:val="231F20"/>
        </w:rPr>
        <w:t>sdělujeme</w:t>
      </w:r>
      <w:r>
        <w:rPr>
          <w:color w:val="231F20"/>
          <w:spacing w:val="-6"/>
        </w:rPr>
        <w:t xml:space="preserve"> </w:t>
      </w:r>
      <w:r>
        <w:rPr>
          <w:color w:val="231F20"/>
        </w:rPr>
        <w:t>tyto</w:t>
      </w:r>
      <w:r>
        <w:rPr>
          <w:color w:val="231F20"/>
          <w:spacing w:val="-6"/>
        </w:rPr>
        <w:t xml:space="preserve"> </w:t>
      </w:r>
      <w:r>
        <w:rPr>
          <w:color w:val="231F20"/>
        </w:rPr>
        <w:t>informace:</w:t>
      </w:r>
    </w:p>
    <w:p w14:paraId="48280651" w14:textId="77777777" w:rsidR="00F65BCA" w:rsidRDefault="00F65BCA">
      <w:pPr>
        <w:pStyle w:val="Zkladntext"/>
        <w:rPr>
          <w:sz w:val="20"/>
        </w:rPr>
      </w:pPr>
    </w:p>
    <w:p w14:paraId="4287226C" w14:textId="77777777" w:rsidR="00F65BCA" w:rsidRDefault="00F65BCA">
      <w:pPr>
        <w:pStyle w:val="Zkladntext"/>
        <w:spacing w:before="6"/>
        <w:rPr>
          <w:sz w:val="20"/>
        </w:rPr>
      </w:pPr>
    </w:p>
    <w:p w14:paraId="554070A2" w14:textId="77777777" w:rsidR="00F65BCA" w:rsidRDefault="00000000">
      <w:pPr>
        <w:ind w:left="880"/>
        <w:rPr>
          <w:sz w:val="28"/>
        </w:rPr>
      </w:pPr>
      <w:r>
        <w:pict w14:anchorId="38EA0E0F">
          <v:shape id="_x0000_s2342" style="position:absolute;left:0;text-align:left;margin-left:51pt;margin-top:17.75pt;width:195.6pt;height:.1pt;z-index:-251533312;mso-wrap-distance-left:0;mso-wrap-distance-right:0;mso-position-horizontal-relative:page" coordorigin="1020,355" coordsize="3912,0" path="m1020,355r3912,e" filled="f" strokecolor="#d1d3d4">
            <v:path arrowok="t"/>
            <w10:wrap type="topAndBottom" anchorx="page"/>
          </v:shape>
        </w:pict>
      </w:r>
      <w:r>
        <w:pict w14:anchorId="062A32AA">
          <v:shape id="_x0000_s2341" type="#_x0000_t202" style="position:absolute;left:0;text-align:left;margin-left:260.8pt;margin-top:19.7pt;width:294.85pt;height:150.25pt;z-index:251788288;mso-position-horizontal-relative:page" fillcolor="#e6e7e8" stroked="f">
            <v:textbox inset="0,0,0,0">
              <w:txbxContent>
                <w:p w14:paraId="17C2139C" w14:textId="77777777" w:rsidR="00F65BCA" w:rsidRDefault="00216117">
                  <w:pPr>
                    <w:spacing w:before="107"/>
                    <w:ind w:left="170"/>
                    <w:jc w:val="both"/>
                    <w:rPr>
                      <w:b/>
                      <w:sz w:val="28"/>
                    </w:rPr>
                  </w:pPr>
                  <w:r>
                    <w:rPr>
                      <w:b/>
                      <w:color w:val="6D6E71"/>
                      <w:sz w:val="28"/>
                    </w:rPr>
                    <w:t>Informace o pojistiteli</w:t>
                  </w:r>
                </w:p>
                <w:p w14:paraId="0B7714DA" w14:textId="77777777" w:rsidR="00F65BCA" w:rsidRDefault="00216117">
                  <w:pPr>
                    <w:spacing w:before="69" w:line="278" w:lineRule="auto"/>
                    <w:ind w:left="170" w:right="168"/>
                    <w:jc w:val="both"/>
                    <w:rPr>
                      <w:sz w:val="18"/>
                    </w:rPr>
                  </w:pPr>
                  <w:r>
                    <w:rPr>
                      <w:color w:val="231F20"/>
                      <w:sz w:val="18"/>
                    </w:rPr>
                    <w:t>Generali Česká pojišťovna a.s., Spálená 75/16, Nové Město, 110 00 Praha</w:t>
                  </w:r>
                  <w:r>
                    <w:rPr>
                      <w:color w:val="231F20"/>
                      <w:spacing w:val="-12"/>
                      <w:sz w:val="18"/>
                    </w:rPr>
                    <w:t xml:space="preserve"> </w:t>
                  </w:r>
                  <w:r>
                    <w:rPr>
                      <w:color w:val="231F20"/>
                      <w:sz w:val="18"/>
                    </w:rPr>
                    <w:t>1,</w:t>
                  </w:r>
                  <w:r>
                    <w:rPr>
                      <w:color w:val="231F20"/>
                      <w:spacing w:val="-12"/>
                      <w:sz w:val="18"/>
                    </w:rPr>
                    <w:t xml:space="preserve"> </w:t>
                  </w:r>
                  <w:r>
                    <w:rPr>
                      <w:color w:val="231F20"/>
                      <w:sz w:val="18"/>
                    </w:rPr>
                    <w:t>IČO:</w:t>
                  </w:r>
                  <w:r>
                    <w:rPr>
                      <w:color w:val="231F20"/>
                      <w:spacing w:val="-11"/>
                      <w:sz w:val="18"/>
                    </w:rPr>
                    <w:t xml:space="preserve"> </w:t>
                  </w:r>
                  <w:r>
                    <w:rPr>
                      <w:color w:val="231F20"/>
                      <w:sz w:val="18"/>
                    </w:rPr>
                    <w:t>45272956,</w:t>
                  </w:r>
                  <w:r>
                    <w:rPr>
                      <w:color w:val="231F20"/>
                      <w:spacing w:val="-12"/>
                      <w:sz w:val="18"/>
                    </w:rPr>
                    <w:t xml:space="preserve"> </w:t>
                  </w:r>
                  <w:r>
                    <w:rPr>
                      <w:color w:val="231F20"/>
                      <w:sz w:val="18"/>
                    </w:rPr>
                    <w:t>DIČ:</w:t>
                  </w:r>
                  <w:r>
                    <w:rPr>
                      <w:color w:val="231F20"/>
                      <w:spacing w:val="-12"/>
                      <w:sz w:val="18"/>
                    </w:rPr>
                    <w:t xml:space="preserve"> </w:t>
                  </w:r>
                  <w:r>
                    <w:rPr>
                      <w:color w:val="231F20"/>
                      <w:sz w:val="18"/>
                    </w:rPr>
                    <w:t>CZ699001273,</w:t>
                  </w:r>
                  <w:r>
                    <w:rPr>
                      <w:color w:val="231F20"/>
                      <w:spacing w:val="-11"/>
                      <w:sz w:val="18"/>
                    </w:rPr>
                    <w:t xml:space="preserve"> </w:t>
                  </w:r>
                  <w:r>
                    <w:rPr>
                      <w:color w:val="231F20"/>
                      <w:sz w:val="18"/>
                    </w:rPr>
                    <w:t>je</w:t>
                  </w:r>
                  <w:r>
                    <w:rPr>
                      <w:color w:val="231F20"/>
                      <w:spacing w:val="-12"/>
                      <w:sz w:val="18"/>
                    </w:rPr>
                    <w:t xml:space="preserve"> </w:t>
                  </w:r>
                  <w:r>
                    <w:rPr>
                      <w:color w:val="231F20"/>
                      <w:sz w:val="18"/>
                    </w:rPr>
                    <w:t>zapsaná</w:t>
                  </w:r>
                  <w:r>
                    <w:rPr>
                      <w:color w:val="231F20"/>
                      <w:spacing w:val="-12"/>
                      <w:sz w:val="18"/>
                    </w:rPr>
                    <w:t xml:space="preserve"> </w:t>
                  </w:r>
                  <w:r>
                    <w:rPr>
                      <w:color w:val="231F20"/>
                      <w:sz w:val="18"/>
                    </w:rPr>
                    <w:t>v</w:t>
                  </w:r>
                  <w:r>
                    <w:rPr>
                      <w:color w:val="231F20"/>
                      <w:spacing w:val="-11"/>
                      <w:sz w:val="18"/>
                    </w:rPr>
                    <w:t xml:space="preserve"> </w:t>
                  </w:r>
                  <w:r>
                    <w:rPr>
                      <w:color w:val="231F20"/>
                      <w:sz w:val="18"/>
                    </w:rPr>
                    <w:t>obchodním rejstříku</w:t>
                  </w:r>
                  <w:r>
                    <w:rPr>
                      <w:color w:val="231F20"/>
                      <w:spacing w:val="-6"/>
                      <w:sz w:val="18"/>
                    </w:rPr>
                    <w:t xml:space="preserve"> </w:t>
                  </w:r>
                  <w:r>
                    <w:rPr>
                      <w:color w:val="231F20"/>
                      <w:sz w:val="18"/>
                    </w:rPr>
                    <w:t>u</w:t>
                  </w:r>
                  <w:r>
                    <w:rPr>
                      <w:color w:val="231F20"/>
                      <w:spacing w:val="-6"/>
                      <w:sz w:val="18"/>
                    </w:rPr>
                    <w:t xml:space="preserve"> </w:t>
                  </w:r>
                  <w:r>
                    <w:rPr>
                      <w:color w:val="231F20"/>
                      <w:sz w:val="18"/>
                    </w:rPr>
                    <w:t>Městského</w:t>
                  </w:r>
                  <w:r>
                    <w:rPr>
                      <w:color w:val="231F20"/>
                      <w:spacing w:val="-5"/>
                      <w:sz w:val="18"/>
                    </w:rPr>
                    <w:t xml:space="preserve"> </w:t>
                  </w:r>
                  <w:r>
                    <w:rPr>
                      <w:color w:val="231F20"/>
                      <w:sz w:val="18"/>
                    </w:rPr>
                    <w:t>soudu</w:t>
                  </w:r>
                  <w:r>
                    <w:rPr>
                      <w:color w:val="231F20"/>
                      <w:spacing w:val="-6"/>
                      <w:sz w:val="18"/>
                    </w:rPr>
                    <w:t xml:space="preserve"> </w:t>
                  </w:r>
                  <w:r>
                    <w:rPr>
                      <w:color w:val="231F20"/>
                      <w:sz w:val="18"/>
                    </w:rPr>
                    <w:t>v</w:t>
                  </w:r>
                  <w:r>
                    <w:rPr>
                      <w:color w:val="231F20"/>
                      <w:spacing w:val="-5"/>
                      <w:sz w:val="18"/>
                    </w:rPr>
                    <w:t xml:space="preserve"> </w:t>
                  </w:r>
                  <w:r>
                    <w:rPr>
                      <w:color w:val="231F20"/>
                      <w:sz w:val="18"/>
                    </w:rPr>
                    <w:t>Praze,</w:t>
                  </w:r>
                  <w:r>
                    <w:rPr>
                      <w:color w:val="231F20"/>
                      <w:spacing w:val="-6"/>
                      <w:sz w:val="18"/>
                    </w:rPr>
                    <w:t xml:space="preserve"> </w:t>
                  </w:r>
                  <w:r>
                    <w:rPr>
                      <w:color w:val="231F20"/>
                      <w:sz w:val="18"/>
                    </w:rPr>
                    <w:t>spisová</w:t>
                  </w:r>
                  <w:r>
                    <w:rPr>
                      <w:color w:val="231F20"/>
                      <w:spacing w:val="-5"/>
                      <w:sz w:val="18"/>
                    </w:rPr>
                    <w:t xml:space="preserve"> </w:t>
                  </w:r>
                  <w:r>
                    <w:rPr>
                      <w:color w:val="231F20"/>
                      <w:sz w:val="18"/>
                    </w:rPr>
                    <w:t>značka</w:t>
                  </w:r>
                  <w:r>
                    <w:rPr>
                      <w:color w:val="231F20"/>
                      <w:spacing w:val="-6"/>
                      <w:sz w:val="18"/>
                    </w:rPr>
                    <w:t xml:space="preserve"> </w:t>
                  </w:r>
                  <w:r>
                    <w:rPr>
                      <w:color w:val="231F20"/>
                      <w:sz w:val="18"/>
                    </w:rPr>
                    <w:t>B</w:t>
                  </w:r>
                  <w:r>
                    <w:rPr>
                      <w:color w:val="231F20"/>
                      <w:spacing w:val="-5"/>
                      <w:sz w:val="18"/>
                    </w:rPr>
                    <w:t xml:space="preserve"> </w:t>
                  </w:r>
                  <w:r>
                    <w:rPr>
                      <w:color w:val="231F20"/>
                      <w:sz w:val="18"/>
                    </w:rPr>
                    <w:t>1464,</w:t>
                  </w:r>
                  <w:r>
                    <w:rPr>
                      <w:color w:val="231F20"/>
                      <w:spacing w:val="-6"/>
                      <w:sz w:val="18"/>
                    </w:rPr>
                    <w:t xml:space="preserve"> </w:t>
                  </w:r>
                  <w:r>
                    <w:rPr>
                      <w:color w:val="231F20"/>
                      <w:sz w:val="18"/>
                    </w:rPr>
                    <w:t>a</w:t>
                  </w:r>
                  <w:r>
                    <w:rPr>
                      <w:color w:val="231F20"/>
                      <w:spacing w:val="-5"/>
                      <w:sz w:val="18"/>
                    </w:rPr>
                    <w:t xml:space="preserve"> </w:t>
                  </w:r>
                  <w:r>
                    <w:rPr>
                      <w:color w:val="231F20"/>
                      <w:sz w:val="18"/>
                    </w:rPr>
                    <w:t>je</w:t>
                  </w:r>
                  <w:r>
                    <w:rPr>
                      <w:color w:val="231F20"/>
                      <w:spacing w:val="-12"/>
                      <w:sz w:val="18"/>
                    </w:rPr>
                    <w:t xml:space="preserve"> </w:t>
                  </w:r>
                  <w:r>
                    <w:rPr>
                      <w:color w:val="231F20"/>
                      <w:sz w:val="18"/>
                    </w:rPr>
                    <w:t xml:space="preserve">čle- nem Skupiny Generali, zapsané v italském registru pojišťovacích </w:t>
                  </w:r>
                  <w:r>
                    <w:rPr>
                      <w:color w:val="231F20"/>
                      <w:spacing w:val="-4"/>
                      <w:sz w:val="18"/>
                    </w:rPr>
                    <w:t xml:space="preserve">sku- </w:t>
                  </w:r>
                  <w:r>
                    <w:rPr>
                      <w:color w:val="231F20"/>
                      <w:sz w:val="18"/>
                    </w:rPr>
                    <w:t>pin,</w:t>
                  </w:r>
                  <w:r>
                    <w:rPr>
                      <w:color w:val="231F20"/>
                      <w:spacing w:val="-18"/>
                      <w:sz w:val="18"/>
                    </w:rPr>
                    <w:t xml:space="preserve"> </w:t>
                  </w:r>
                  <w:r>
                    <w:rPr>
                      <w:color w:val="231F20"/>
                      <w:sz w:val="18"/>
                    </w:rPr>
                    <w:t>vedeném</w:t>
                  </w:r>
                  <w:r>
                    <w:rPr>
                      <w:color w:val="231F20"/>
                      <w:spacing w:val="-18"/>
                      <w:sz w:val="18"/>
                    </w:rPr>
                    <w:t xml:space="preserve"> </w:t>
                  </w:r>
                  <w:r>
                    <w:rPr>
                      <w:color w:val="231F20"/>
                      <w:sz w:val="18"/>
                    </w:rPr>
                    <w:t>IVASS</w:t>
                  </w:r>
                  <w:r>
                    <w:rPr>
                      <w:color w:val="231F20"/>
                      <w:spacing w:val="-18"/>
                      <w:sz w:val="18"/>
                    </w:rPr>
                    <w:t xml:space="preserve"> </w:t>
                  </w:r>
                  <w:r>
                    <w:rPr>
                      <w:color w:val="231F20"/>
                      <w:sz w:val="18"/>
                    </w:rPr>
                    <w:t>pod</w:t>
                  </w:r>
                  <w:r>
                    <w:rPr>
                      <w:color w:val="231F20"/>
                      <w:spacing w:val="-17"/>
                      <w:sz w:val="18"/>
                    </w:rPr>
                    <w:t xml:space="preserve"> </w:t>
                  </w:r>
                  <w:r>
                    <w:rPr>
                      <w:color w:val="231F20"/>
                      <w:sz w:val="18"/>
                    </w:rPr>
                    <w:t>číslem</w:t>
                  </w:r>
                  <w:r>
                    <w:rPr>
                      <w:color w:val="231F20"/>
                      <w:spacing w:val="-18"/>
                      <w:sz w:val="18"/>
                    </w:rPr>
                    <w:t xml:space="preserve"> </w:t>
                  </w:r>
                  <w:r>
                    <w:rPr>
                      <w:color w:val="231F20"/>
                      <w:sz w:val="18"/>
                    </w:rPr>
                    <w:t>026.</w:t>
                  </w:r>
                  <w:r>
                    <w:rPr>
                      <w:color w:val="231F20"/>
                      <w:spacing w:val="-18"/>
                      <w:sz w:val="18"/>
                    </w:rPr>
                    <w:t xml:space="preserve"> </w:t>
                  </w:r>
                  <w:r>
                    <w:rPr>
                      <w:color w:val="231F20"/>
                      <w:sz w:val="18"/>
                    </w:rPr>
                    <w:t>(dále</w:t>
                  </w:r>
                  <w:r>
                    <w:rPr>
                      <w:color w:val="231F20"/>
                      <w:spacing w:val="-18"/>
                      <w:sz w:val="18"/>
                    </w:rPr>
                    <w:t xml:space="preserve"> </w:t>
                  </w:r>
                  <w:r>
                    <w:rPr>
                      <w:color w:val="231F20"/>
                      <w:sz w:val="18"/>
                    </w:rPr>
                    <w:t>jen</w:t>
                  </w:r>
                  <w:r>
                    <w:rPr>
                      <w:color w:val="231F20"/>
                      <w:spacing w:val="-17"/>
                      <w:sz w:val="18"/>
                    </w:rPr>
                    <w:t xml:space="preserve"> </w:t>
                  </w:r>
                  <w:r>
                    <w:rPr>
                      <w:color w:val="231F20"/>
                      <w:sz w:val="18"/>
                    </w:rPr>
                    <w:t>„</w:t>
                  </w:r>
                  <w:r>
                    <w:rPr>
                      <w:b/>
                      <w:color w:val="231F20"/>
                      <w:sz w:val="18"/>
                    </w:rPr>
                    <w:t>Pojišťovna</w:t>
                  </w:r>
                  <w:r>
                    <w:rPr>
                      <w:color w:val="231F20"/>
                      <w:sz w:val="18"/>
                    </w:rPr>
                    <w:t>“).</w:t>
                  </w:r>
                  <w:r>
                    <w:rPr>
                      <w:color w:val="231F20"/>
                      <w:spacing w:val="-18"/>
                      <w:sz w:val="18"/>
                    </w:rPr>
                    <w:t xml:space="preserve"> </w:t>
                  </w:r>
                  <w:r>
                    <w:rPr>
                      <w:color w:val="231F20"/>
                      <w:sz w:val="18"/>
                    </w:rPr>
                    <w:t>Klientský servis</w:t>
                  </w:r>
                  <w:r>
                    <w:rPr>
                      <w:color w:val="231F20"/>
                      <w:spacing w:val="-29"/>
                      <w:sz w:val="18"/>
                    </w:rPr>
                    <w:t xml:space="preserve"> </w:t>
                  </w:r>
                  <w:r>
                    <w:rPr>
                      <w:color w:val="231F20"/>
                      <w:sz w:val="18"/>
                    </w:rPr>
                    <w:t>Generali</w:t>
                  </w:r>
                  <w:r>
                    <w:rPr>
                      <w:color w:val="231F20"/>
                      <w:spacing w:val="-29"/>
                      <w:sz w:val="18"/>
                    </w:rPr>
                    <w:t xml:space="preserve"> </w:t>
                  </w:r>
                  <w:r>
                    <w:rPr>
                      <w:color w:val="231F20"/>
                      <w:sz w:val="18"/>
                    </w:rPr>
                    <w:t>České</w:t>
                  </w:r>
                  <w:r>
                    <w:rPr>
                      <w:color w:val="231F20"/>
                      <w:spacing w:val="-29"/>
                      <w:sz w:val="18"/>
                    </w:rPr>
                    <w:t xml:space="preserve"> </w:t>
                  </w:r>
                  <w:r>
                    <w:rPr>
                      <w:color w:val="231F20"/>
                      <w:sz w:val="18"/>
                    </w:rPr>
                    <w:t>pojišťovny</w:t>
                  </w:r>
                  <w:r>
                    <w:rPr>
                      <w:color w:val="231F20"/>
                      <w:spacing w:val="-29"/>
                      <w:sz w:val="18"/>
                    </w:rPr>
                    <w:t xml:space="preserve"> </w:t>
                  </w:r>
                  <w:r>
                    <w:rPr>
                      <w:color w:val="231F20"/>
                      <w:sz w:val="18"/>
                    </w:rPr>
                    <w:t>telefonní</w:t>
                  </w:r>
                  <w:r>
                    <w:rPr>
                      <w:color w:val="231F20"/>
                      <w:spacing w:val="-29"/>
                      <w:sz w:val="18"/>
                    </w:rPr>
                    <w:t xml:space="preserve"> </w:t>
                  </w:r>
                  <w:r>
                    <w:rPr>
                      <w:color w:val="231F20"/>
                      <w:sz w:val="18"/>
                    </w:rPr>
                    <w:t>číslo</w:t>
                  </w:r>
                  <w:r>
                    <w:rPr>
                      <w:color w:val="231F20"/>
                      <w:spacing w:val="-29"/>
                      <w:sz w:val="18"/>
                    </w:rPr>
                    <w:t xml:space="preserve"> </w:t>
                  </w:r>
                  <w:r>
                    <w:rPr>
                      <w:color w:val="231F20"/>
                      <w:sz w:val="18"/>
                    </w:rPr>
                    <w:t>+420</w:t>
                  </w:r>
                  <w:r>
                    <w:rPr>
                      <w:color w:val="231F20"/>
                      <w:spacing w:val="-29"/>
                      <w:sz w:val="18"/>
                    </w:rPr>
                    <w:t xml:space="preserve"> </w:t>
                  </w:r>
                  <w:r>
                    <w:rPr>
                      <w:color w:val="231F20"/>
                      <w:sz w:val="18"/>
                    </w:rPr>
                    <w:t>241</w:t>
                  </w:r>
                  <w:r>
                    <w:rPr>
                      <w:color w:val="231F20"/>
                      <w:spacing w:val="-29"/>
                      <w:sz w:val="18"/>
                    </w:rPr>
                    <w:t xml:space="preserve"> </w:t>
                  </w:r>
                  <w:r>
                    <w:rPr>
                      <w:color w:val="231F20"/>
                      <w:sz w:val="18"/>
                    </w:rPr>
                    <w:t>114</w:t>
                  </w:r>
                  <w:r>
                    <w:rPr>
                      <w:color w:val="231F20"/>
                      <w:spacing w:val="-29"/>
                      <w:sz w:val="18"/>
                    </w:rPr>
                    <w:t xml:space="preserve"> </w:t>
                  </w:r>
                  <w:r>
                    <w:rPr>
                      <w:color w:val="231F20"/>
                      <w:sz w:val="18"/>
                    </w:rPr>
                    <w:t>114</w:t>
                  </w:r>
                  <w:r>
                    <w:rPr>
                      <w:color w:val="231F20"/>
                      <w:spacing w:val="-29"/>
                      <w:sz w:val="18"/>
                    </w:rPr>
                    <w:t xml:space="preserve"> </w:t>
                  </w:r>
                  <w:r>
                    <w:rPr>
                      <w:color w:val="231F20"/>
                      <w:sz w:val="18"/>
                    </w:rPr>
                    <w:t>–</w:t>
                  </w:r>
                  <w:r>
                    <w:rPr>
                      <w:color w:val="231F20"/>
                      <w:spacing w:val="-28"/>
                      <w:sz w:val="18"/>
                    </w:rPr>
                    <w:t xml:space="preserve"> </w:t>
                  </w:r>
                  <w:r>
                    <w:rPr>
                      <w:color w:val="231F20"/>
                      <w:sz w:val="18"/>
                    </w:rPr>
                    <w:t>linka je zpoplatněna dle aktuálního ceníku poskytovatele. Datová</w:t>
                  </w:r>
                  <w:r>
                    <w:rPr>
                      <w:color w:val="231F20"/>
                      <w:spacing w:val="-25"/>
                      <w:sz w:val="18"/>
                    </w:rPr>
                    <w:t xml:space="preserve"> </w:t>
                  </w:r>
                  <w:r>
                    <w:rPr>
                      <w:color w:val="231F20"/>
                      <w:sz w:val="18"/>
                    </w:rPr>
                    <w:t>schránka: v93dkf5.</w:t>
                  </w:r>
                  <w:r>
                    <w:rPr>
                      <w:color w:val="231F20"/>
                      <w:spacing w:val="-7"/>
                      <w:sz w:val="18"/>
                    </w:rPr>
                    <w:t xml:space="preserve"> </w:t>
                  </w:r>
                  <w:r>
                    <w:rPr>
                      <w:color w:val="231F20"/>
                      <w:sz w:val="18"/>
                    </w:rPr>
                    <w:t>Aktuální</w:t>
                  </w:r>
                  <w:r>
                    <w:rPr>
                      <w:color w:val="231F20"/>
                      <w:spacing w:val="-6"/>
                      <w:sz w:val="18"/>
                    </w:rPr>
                    <w:t xml:space="preserve"> </w:t>
                  </w:r>
                  <w:r>
                    <w:rPr>
                      <w:color w:val="231F20"/>
                      <w:sz w:val="18"/>
                    </w:rPr>
                    <w:t>kontaktní</w:t>
                  </w:r>
                  <w:r>
                    <w:rPr>
                      <w:color w:val="231F20"/>
                      <w:spacing w:val="-6"/>
                      <w:sz w:val="18"/>
                    </w:rPr>
                    <w:t xml:space="preserve"> </w:t>
                  </w:r>
                  <w:r>
                    <w:rPr>
                      <w:color w:val="231F20"/>
                      <w:sz w:val="18"/>
                    </w:rPr>
                    <w:t>údaje</w:t>
                  </w:r>
                  <w:r>
                    <w:rPr>
                      <w:color w:val="231F20"/>
                      <w:spacing w:val="-6"/>
                      <w:sz w:val="18"/>
                    </w:rPr>
                    <w:t xml:space="preserve"> </w:t>
                  </w:r>
                  <w:r>
                    <w:rPr>
                      <w:color w:val="231F20"/>
                      <w:sz w:val="18"/>
                    </w:rPr>
                    <w:t>lze</w:t>
                  </w:r>
                  <w:r>
                    <w:rPr>
                      <w:color w:val="231F20"/>
                      <w:spacing w:val="-6"/>
                      <w:sz w:val="18"/>
                    </w:rPr>
                    <w:t xml:space="preserve"> </w:t>
                  </w:r>
                  <w:r>
                    <w:rPr>
                      <w:color w:val="231F20"/>
                      <w:sz w:val="18"/>
                    </w:rPr>
                    <w:t>nalézt</w:t>
                  </w:r>
                  <w:r>
                    <w:rPr>
                      <w:color w:val="231F20"/>
                      <w:spacing w:val="-6"/>
                      <w:sz w:val="18"/>
                    </w:rPr>
                    <w:t xml:space="preserve"> </w:t>
                  </w:r>
                  <w:r>
                    <w:rPr>
                      <w:color w:val="231F20"/>
                      <w:sz w:val="18"/>
                    </w:rPr>
                    <w:t>na</w:t>
                  </w:r>
                  <w:r>
                    <w:rPr>
                      <w:color w:val="231F20"/>
                      <w:spacing w:val="-7"/>
                      <w:sz w:val="18"/>
                    </w:rPr>
                    <w:t xml:space="preserve"> </w:t>
                  </w:r>
                  <w:hyperlink r:id="rId34">
                    <w:r>
                      <w:rPr>
                        <w:color w:val="231F20"/>
                        <w:sz w:val="18"/>
                      </w:rPr>
                      <w:t>www.generaliceska.cz.</w:t>
                    </w:r>
                  </w:hyperlink>
                  <w:r>
                    <w:rPr>
                      <w:color w:val="231F20"/>
                      <w:sz w:val="18"/>
                    </w:rPr>
                    <w:t xml:space="preserve"> Zpráva o solventnosti a finanční situaci Pojišťovny je přístupná na </w:t>
                  </w:r>
                  <w:hyperlink r:id="rId35">
                    <w:r>
                      <w:rPr>
                        <w:color w:val="231F20"/>
                        <w:sz w:val="18"/>
                      </w:rPr>
                      <w:t>http://www.generaliceska.cz/vyrocni-zpravy.</w:t>
                    </w:r>
                  </w:hyperlink>
                </w:p>
              </w:txbxContent>
            </v:textbox>
            <w10:wrap anchorx="page"/>
          </v:shape>
        </w:pict>
      </w:r>
      <w:r w:rsidR="00216117">
        <w:rPr>
          <w:color w:val="C5271C"/>
          <w:sz w:val="28"/>
        </w:rPr>
        <w:t>Důležité upozornění</w:t>
      </w:r>
    </w:p>
    <w:p w14:paraId="242DEA2B" w14:textId="77777777" w:rsidR="00F65BCA" w:rsidRDefault="00216117">
      <w:pPr>
        <w:spacing w:before="123" w:line="278" w:lineRule="auto"/>
        <w:ind w:left="880" w:right="6831"/>
        <w:jc w:val="both"/>
        <w:rPr>
          <w:sz w:val="18"/>
        </w:rPr>
      </w:pPr>
      <w:r>
        <w:rPr>
          <w:color w:val="231F20"/>
          <w:sz w:val="18"/>
        </w:rPr>
        <w:t>V</w:t>
      </w:r>
      <w:r>
        <w:rPr>
          <w:color w:val="231F20"/>
          <w:spacing w:val="-16"/>
          <w:sz w:val="18"/>
        </w:rPr>
        <w:t xml:space="preserve"> </w:t>
      </w:r>
      <w:r>
        <w:rPr>
          <w:color w:val="231F20"/>
          <w:sz w:val="18"/>
        </w:rPr>
        <w:t>případě</w:t>
      </w:r>
      <w:r>
        <w:rPr>
          <w:color w:val="231F20"/>
          <w:spacing w:val="-15"/>
          <w:sz w:val="18"/>
        </w:rPr>
        <w:t xml:space="preserve"> </w:t>
      </w:r>
      <w:r>
        <w:rPr>
          <w:color w:val="231F20"/>
          <w:sz w:val="18"/>
        </w:rPr>
        <w:t>uzavření</w:t>
      </w:r>
      <w:r>
        <w:rPr>
          <w:color w:val="231F20"/>
          <w:spacing w:val="-15"/>
          <w:sz w:val="18"/>
        </w:rPr>
        <w:t xml:space="preserve"> </w:t>
      </w:r>
      <w:r>
        <w:rPr>
          <w:b/>
          <w:color w:val="231F20"/>
          <w:sz w:val="18"/>
        </w:rPr>
        <w:t>pojistné</w:t>
      </w:r>
      <w:r>
        <w:rPr>
          <w:b/>
          <w:color w:val="231F20"/>
          <w:spacing w:val="-15"/>
          <w:sz w:val="18"/>
        </w:rPr>
        <w:t xml:space="preserve"> </w:t>
      </w:r>
      <w:r>
        <w:rPr>
          <w:b/>
          <w:color w:val="231F20"/>
          <w:sz w:val="18"/>
        </w:rPr>
        <w:t>smlouvy</w:t>
      </w:r>
      <w:r>
        <w:rPr>
          <w:b/>
          <w:color w:val="231F20"/>
          <w:spacing w:val="-15"/>
          <w:sz w:val="18"/>
        </w:rPr>
        <w:t xml:space="preserve"> </w:t>
      </w:r>
      <w:r>
        <w:rPr>
          <w:b/>
          <w:color w:val="231F20"/>
          <w:sz w:val="18"/>
        </w:rPr>
        <w:t>o</w:t>
      </w:r>
      <w:r>
        <w:rPr>
          <w:b/>
          <w:color w:val="231F20"/>
          <w:spacing w:val="-15"/>
          <w:sz w:val="18"/>
        </w:rPr>
        <w:t xml:space="preserve"> </w:t>
      </w:r>
      <w:r>
        <w:rPr>
          <w:b/>
          <w:color w:val="231F20"/>
          <w:sz w:val="18"/>
        </w:rPr>
        <w:t xml:space="preserve">pojištění souboru vozidel </w:t>
      </w:r>
      <w:r>
        <w:rPr>
          <w:color w:val="231F20"/>
          <w:sz w:val="18"/>
        </w:rPr>
        <w:t>(dále jen "</w:t>
      </w:r>
      <w:r>
        <w:rPr>
          <w:b/>
          <w:color w:val="231F20"/>
          <w:sz w:val="18"/>
        </w:rPr>
        <w:t xml:space="preserve">pojistná </w:t>
      </w:r>
      <w:r>
        <w:rPr>
          <w:b/>
          <w:color w:val="231F20"/>
          <w:spacing w:val="-2"/>
          <w:sz w:val="18"/>
        </w:rPr>
        <w:t>smlouva</w:t>
      </w:r>
      <w:r>
        <w:rPr>
          <w:color w:val="231F20"/>
          <w:spacing w:val="-2"/>
          <w:sz w:val="18"/>
        </w:rPr>
        <w:t xml:space="preserve">"), </w:t>
      </w:r>
      <w:r>
        <w:rPr>
          <w:color w:val="231F20"/>
          <w:sz w:val="18"/>
        </w:rPr>
        <w:t xml:space="preserve">se pojištění neřídí jen touto pojistnou </w:t>
      </w:r>
      <w:r>
        <w:rPr>
          <w:color w:val="231F20"/>
          <w:spacing w:val="-3"/>
          <w:sz w:val="18"/>
        </w:rPr>
        <w:t xml:space="preserve">smlou-  </w:t>
      </w:r>
      <w:r>
        <w:rPr>
          <w:color w:val="231F20"/>
          <w:sz w:val="18"/>
        </w:rPr>
        <w:t>vou,</w:t>
      </w:r>
      <w:r>
        <w:rPr>
          <w:color w:val="231F20"/>
          <w:spacing w:val="15"/>
          <w:sz w:val="18"/>
        </w:rPr>
        <w:t xml:space="preserve"> </w:t>
      </w:r>
      <w:r>
        <w:rPr>
          <w:color w:val="231F20"/>
          <w:sz w:val="18"/>
        </w:rPr>
        <w:t>ale</w:t>
      </w:r>
      <w:r>
        <w:rPr>
          <w:color w:val="231F20"/>
          <w:spacing w:val="16"/>
          <w:sz w:val="18"/>
        </w:rPr>
        <w:t xml:space="preserve"> </w:t>
      </w:r>
      <w:r>
        <w:rPr>
          <w:color w:val="231F20"/>
          <w:sz w:val="18"/>
        </w:rPr>
        <w:t>také</w:t>
      </w:r>
      <w:r>
        <w:rPr>
          <w:color w:val="231F20"/>
          <w:spacing w:val="15"/>
          <w:sz w:val="18"/>
        </w:rPr>
        <w:t xml:space="preserve"> </w:t>
      </w:r>
      <w:r>
        <w:rPr>
          <w:b/>
          <w:color w:val="231F20"/>
          <w:sz w:val="18"/>
        </w:rPr>
        <w:t>pojistnými</w:t>
      </w:r>
      <w:r>
        <w:rPr>
          <w:b/>
          <w:color w:val="231F20"/>
          <w:spacing w:val="15"/>
          <w:sz w:val="18"/>
        </w:rPr>
        <w:t xml:space="preserve"> </w:t>
      </w:r>
      <w:r>
        <w:rPr>
          <w:b/>
          <w:color w:val="231F20"/>
          <w:sz w:val="18"/>
        </w:rPr>
        <w:t>podmínkami</w:t>
      </w:r>
      <w:r>
        <w:rPr>
          <w:b/>
          <w:color w:val="231F20"/>
          <w:spacing w:val="15"/>
          <w:sz w:val="18"/>
        </w:rPr>
        <w:t xml:space="preserve"> </w:t>
      </w:r>
      <w:r>
        <w:rPr>
          <w:color w:val="231F20"/>
          <w:sz w:val="18"/>
        </w:rPr>
        <w:t>(dále</w:t>
      </w:r>
      <w:r>
        <w:rPr>
          <w:color w:val="231F20"/>
          <w:spacing w:val="16"/>
          <w:sz w:val="18"/>
        </w:rPr>
        <w:t xml:space="preserve"> </w:t>
      </w:r>
      <w:r>
        <w:rPr>
          <w:color w:val="231F20"/>
          <w:spacing w:val="-6"/>
          <w:sz w:val="18"/>
        </w:rPr>
        <w:t>jen</w:t>
      </w:r>
    </w:p>
    <w:p w14:paraId="107D3C01" w14:textId="77777777" w:rsidR="00F65BCA" w:rsidRDefault="00216117">
      <w:pPr>
        <w:pStyle w:val="Nadpis9"/>
        <w:spacing w:line="278" w:lineRule="auto"/>
        <w:ind w:right="6831"/>
      </w:pPr>
      <w:r>
        <w:rPr>
          <w:color w:val="231F20"/>
        </w:rPr>
        <w:t>„</w:t>
      </w:r>
      <w:r>
        <w:rPr>
          <w:b/>
          <w:color w:val="231F20"/>
        </w:rPr>
        <w:t>VPP</w:t>
      </w:r>
      <w:r>
        <w:rPr>
          <w:color w:val="231F20"/>
        </w:rPr>
        <w:t xml:space="preserve">“), na které pojistná smlouva odkazuje. </w:t>
      </w:r>
      <w:r>
        <w:rPr>
          <w:color w:val="231F20"/>
          <w:spacing w:val="-7"/>
        </w:rPr>
        <w:t xml:space="preserve">Dů- </w:t>
      </w:r>
      <w:r>
        <w:rPr>
          <w:color w:val="231F20"/>
        </w:rPr>
        <w:t xml:space="preserve">ležitou součástí pojistné smlouvy je </w:t>
      </w:r>
      <w:r>
        <w:rPr>
          <w:b/>
          <w:color w:val="231F20"/>
        </w:rPr>
        <w:t xml:space="preserve">seznam </w:t>
      </w:r>
      <w:r>
        <w:rPr>
          <w:b/>
          <w:color w:val="231F20"/>
          <w:spacing w:val="-6"/>
        </w:rPr>
        <w:t xml:space="preserve">po- </w:t>
      </w:r>
      <w:r>
        <w:rPr>
          <w:b/>
          <w:color w:val="231F20"/>
        </w:rPr>
        <w:t xml:space="preserve">jištěných vozidel </w:t>
      </w:r>
      <w:r>
        <w:rPr>
          <w:color w:val="231F20"/>
        </w:rPr>
        <w:t>(dále jen „</w:t>
      </w:r>
      <w:r>
        <w:rPr>
          <w:b/>
          <w:color w:val="231F20"/>
        </w:rPr>
        <w:t xml:space="preserve">seznam </w:t>
      </w:r>
      <w:r>
        <w:rPr>
          <w:b/>
          <w:color w:val="231F20"/>
          <w:spacing w:val="-2"/>
        </w:rPr>
        <w:t>vozidel</w:t>
      </w:r>
      <w:r>
        <w:rPr>
          <w:color w:val="231F20"/>
          <w:spacing w:val="-2"/>
        </w:rPr>
        <w:t xml:space="preserve">“), </w:t>
      </w:r>
      <w:r>
        <w:rPr>
          <w:color w:val="231F20"/>
        </w:rPr>
        <w:t xml:space="preserve">ve kterém jsou identifikována pojištěná </w:t>
      </w:r>
      <w:r>
        <w:rPr>
          <w:color w:val="231F20"/>
          <w:spacing w:val="-3"/>
        </w:rPr>
        <w:t xml:space="preserve">vozidla    </w:t>
      </w:r>
      <w:r>
        <w:rPr>
          <w:color w:val="231F20"/>
        </w:rPr>
        <w:t xml:space="preserve">a také jsou zde uvedeny informace o zvoleném pojištění – počátek pojištění, pojištěná pojistná nebezpečí (tedy rozsah pojistné ochrany), </w:t>
      </w:r>
      <w:r>
        <w:rPr>
          <w:color w:val="231F20"/>
          <w:spacing w:val="-4"/>
        </w:rPr>
        <w:t xml:space="preserve">výše </w:t>
      </w:r>
      <w:r>
        <w:rPr>
          <w:color w:val="231F20"/>
        </w:rPr>
        <w:t>ročního pojistného</w:t>
      </w:r>
      <w:r>
        <w:rPr>
          <w:color w:val="231F20"/>
          <w:spacing w:val="1"/>
        </w:rPr>
        <w:t xml:space="preserve"> </w:t>
      </w:r>
      <w:r>
        <w:rPr>
          <w:color w:val="231F20"/>
        </w:rPr>
        <w:t>apod.</w:t>
      </w:r>
    </w:p>
    <w:p w14:paraId="2F73B7AC" w14:textId="77777777" w:rsidR="00F65BCA" w:rsidRDefault="00216117">
      <w:pPr>
        <w:pStyle w:val="Nadpis8"/>
        <w:spacing w:line="206" w:lineRule="exact"/>
        <w:ind w:left="880"/>
      </w:pPr>
      <w:r>
        <w:rPr>
          <w:color w:val="231F20"/>
        </w:rPr>
        <w:t>Věnujte prosím pozornost pojistným podmín-</w:t>
      </w:r>
    </w:p>
    <w:p w14:paraId="055A1C00" w14:textId="77777777" w:rsidR="00F65BCA" w:rsidRDefault="00216117">
      <w:pPr>
        <w:spacing w:before="32" w:line="278" w:lineRule="auto"/>
        <w:ind w:left="880" w:right="804"/>
        <w:rPr>
          <w:sz w:val="18"/>
        </w:rPr>
      </w:pPr>
      <w:r>
        <w:rPr>
          <w:b/>
          <w:color w:val="231F20"/>
          <w:sz w:val="18"/>
        </w:rPr>
        <w:t>kám</w:t>
      </w:r>
      <w:r>
        <w:rPr>
          <w:color w:val="231F20"/>
          <w:sz w:val="18"/>
        </w:rPr>
        <w:t xml:space="preserve">, neboť právě pojistné podmínky vymezují, </w:t>
      </w:r>
      <w:r>
        <w:rPr>
          <w:b/>
          <w:color w:val="231F20"/>
          <w:sz w:val="18"/>
        </w:rPr>
        <w:t>co je pojištěno proti kterému nebezpečí</w:t>
      </w:r>
      <w:r>
        <w:rPr>
          <w:color w:val="231F20"/>
          <w:sz w:val="18"/>
        </w:rPr>
        <w:t xml:space="preserve">, ve kterých případech Pojišťovna poskytne pojistné plnění a jakým způsobem se určuje jeho výše. Pojistné podmínky stanoví samozřejmě i případy, kdy Po- jišťovna nemá </w:t>
      </w:r>
      <w:r>
        <w:rPr>
          <w:b/>
          <w:color w:val="231F20"/>
          <w:sz w:val="18"/>
        </w:rPr>
        <w:t xml:space="preserve">povinnost pojistné </w:t>
      </w:r>
      <w:r>
        <w:rPr>
          <w:color w:val="231F20"/>
          <w:sz w:val="18"/>
        </w:rPr>
        <w:t>plnění poskytnout (</w:t>
      </w:r>
      <w:r>
        <w:rPr>
          <w:b/>
          <w:color w:val="231F20"/>
          <w:sz w:val="18"/>
        </w:rPr>
        <w:t>výluky z pojištění</w:t>
      </w:r>
      <w:r>
        <w:rPr>
          <w:color w:val="231F20"/>
          <w:sz w:val="18"/>
        </w:rPr>
        <w:t xml:space="preserve">), nebo za kterých okolností může pojistné plnění </w:t>
      </w:r>
      <w:r>
        <w:rPr>
          <w:b/>
          <w:color w:val="231F20"/>
          <w:sz w:val="18"/>
        </w:rPr>
        <w:t xml:space="preserve">snížit </w:t>
      </w:r>
      <w:r>
        <w:rPr>
          <w:color w:val="231F20"/>
          <w:sz w:val="18"/>
        </w:rPr>
        <w:t xml:space="preserve">nebo </w:t>
      </w:r>
      <w:r>
        <w:rPr>
          <w:b/>
          <w:color w:val="231F20"/>
          <w:sz w:val="18"/>
        </w:rPr>
        <w:t>odmítnout</w:t>
      </w:r>
      <w:r>
        <w:rPr>
          <w:color w:val="231F20"/>
          <w:sz w:val="18"/>
        </w:rPr>
        <w:t>.</w:t>
      </w:r>
    </w:p>
    <w:p w14:paraId="6CF0EFA8" w14:textId="77777777" w:rsidR="00F65BCA" w:rsidRDefault="00F65BCA">
      <w:pPr>
        <w:pStyle w:val="Zkladntext"/>
        <w:rPr>
          <w:sz w:val="20"/>
        </w:rPr>
      </w:pPr>
    </w:p>
    <w:p w14:paraId="7227010E" w14:textId="77777777" w:rsidR="00F65BCA" w:rsidRDefault="00F65BCA">
      <w:pPr>
        <w:pStyle w:val="Zkladntext"/>
        <w:spacing w:before="1"/>
        <w:rPr>
          <w:sz w:val="17"/>
        </w:rPr>
      </w:pPr>
    </w:p>
    <w:p w14:paraId="5D606E32" w14:textId="77777777" w:rsidR="00F65BCA" w:rsidRDefault="00000000">
      <w:pPr>
        <w:ind w:left="880"/>
        <w:rPr>
          <w:sz w:val="28"/>
        </w:rPr>
      </w:pPr>
      <w:r>
        <w:pict w14:anchorId="1BE655BD">
          <v:shape id="_x0000_s2340" style="position:absolute;left:0;text-align:left;margin-left:51pt;margin-top:17.75pt;width:504.6pt;height:.1pt;z-index:-251532288;mso-wrap-distance-left:0;mso-wrap-distance-right:0;mso-position-horizontal-relative:page" coordorigin="1020,355" coordsize="10092,0" path="m1020,355r10092,e" filled="f" strokecolor="#d1d3d4">
            <v:path arrowok="t"/>
            <w10:wrap type="topAndBottom" anchorx="page"/>
          </v:shape>
        </w:pict>
      </w:r>
      <w:r w:rsidR="00216117">
        <w:rPr>
          <w:color w:val="C5271C"/>
          <w:sz w:val="28"/>
        </w:rPr>
        <w:t>Územní omezení poskytnutí pojistného krytí, plnění nebo jakéhokoli benefitu</w:t>
      </w:r>
    </w:p>
    <w:p w14:paraId="57705498" w14:textId="77777777" w:rsidR="00F65BCA" w:rsidRDefault="00216117">
      <w:pPr>
        <w:pStyle w:val="Nadpis9"/>
        <w:spacing w:before="123" w:line="278" w:lineRule="auto"/>
        <w:ind w:right="651"/>
      </w:pPr>
      <w:r>
        <w:rPr>
          <w:b/>
          <w:color w:val="231F20"/>
        </w:rPr>
        <w:t>Územní omezení poskytnutí pojistného krytí</w:t>
      </w:r>
      <w:r>
        <w:rPr>
          <w:color w:val="231F20"/>
        </w:rPr>
        <w:t>, plnění nebo jakéhokoli benefitu se vztahuje na státy, vůči nimž jsou</w:t>
      </w:r>
      <w:r>
        <w:rPr>
          <w:color w:val="231F20"/>
          <w:spacing w:val="-31"/>
        </w:rPr>
        <w:t xml:space="preserve"> </w:t>
      </w:r>
      <w:r>
        <w:rPr>
          <w:color w:val="231F20"/>
        </w:rPr>
        <w:t>uplatňová- ny</w:t>
      </w:r>
      <w:r>
        <w:rPr>
          <w:color w:val="231F20"/>
          <w:spacing w:val="-10"/>
        </w:rPr>
        <w:t xml:space="preserve"> </w:t>
      </w:r>
      <w:r>
        <w:rPr>
          <w:color w:val="231F20"/>
        </w:rPr>
        <w:t>závazné</w:t>
      </w:r>
      <w:r>
        <w:rPr>
          <w:color w:val="231F20"/>
          <w:spacing w:val="-9"/>
        </w:rPr>
        <w:t xml:space="preserve"> </w:t>
      </w:r>
      <w:r>
        <w:rPr>
          <w:color w:val="231F20"/>
        </w:rPr>
        <w:t>mezinárodní</w:t>
      </w:r>
      <w:r>
        <w:rPr>
          <w:color w:val="231F20"/>
          <w:spacing w:val="-9"/>
        </w:rPr>
        <w:t xml:space="preserve"> </w:t>
      </w:r>
      <w:r>
        <w:rPr>
          <w:color w:val="231F20"/>
        </w:rPr>
        <w:t>sankce,</w:t>
      </w:r>
      <w:r>
        <w:rPr>
          <w:color w:val="231F20"/>
          <w:spacing w:val="-9"/>
        </w:rPr>
        <w:t xml:space="preserve"> </w:t>
      </w:r>
      <w:r>
        <w:rPr>
          <w:color w:val="231F20"/>
        </w:rPr>
        <w:t>nebo</w:t>
      </w:r>
      <w:r>
        <w:rPr>
          <w:color w:val="231F20"/>
          <w:spacing w:val="-9"/>
        </w:rPr>
        <w:t xml:space="preserve"> </w:t>
      </w:r>
      <w:r>
        <w:rPr>
          <w:color w:val="231F20"/>
        </w:rPr>
        <w:t>na</w:t>
      </w:r>
      <w:r>
        <w:rPr>
          <w:color w:val="231F20"/>
          <w:spacing w:val="-9"/>
        </w:rPr>
        <w:t xml:space="preserve"> </w:t>
      </w:r>
      <w:r>
        <w:rPr>
          <w:color w:val="231F20"/>
        </w:rPr>
        <w:t>území</w:t>
      </w:r>
      <w:r>
        <w:rPr>
          <w:color w:val="231F20"/>
          <w:spacing w:val="-9"/>
        </w:rPr>
        <w:t xml:space="preserve"> </w:t>
      </w:r>
      <w:r>
        <w:rPr>
          <w:color w:val="231F20"/>
        </w:rPr>
        <w:t>států</w:t>
      </w:r>
      <w:r>
        <w:rPr>
          <w:color w:val="231F20"/>
          <w:spacing w:val="-9"/>
        </w:rPr>
        <w:t xml:space="preserve"> </w:t>
      </w:r>
      <w:r>
        <w:rPr>
          <w:color w:val="231F20"/>
        </w:rPr>
        <w:t>a</w:t>
      </w:r>
      <w:r>
        <w:rPr>
          <w:color w:val="231F20"/>
          <w:spacing w:val="-9"/>
        </w:rPr>
        <w:t xml:space="preserve"> </w:t>
      </w:r>
      <w:r>
        <w:rPr>
          <w:color w:val="231F20"/>
        </w:rPr>
        <w:t>regionů</w:t>
      </w:r>
      <w:r>
        <w:rPr>
          <w:color w:val="231F20"/>
          <w:spacing w:val="-9"/>
        </w:rPr>
        <w:t xml:space="preserve"> </w:t>
      </w:r>
      <w:r>
        <w:rPr>
          <w:color w:val="231F20"/>
        </w:rPr>
        <w:t>s</w:t>
      </w:r>
      <w:r>
        <w:rPr>
          <w:color w:val="231F20"/>
          <w:spacing w:val="-9"/>
        </w:rPr>
        <w:t xml:space="preserve"> </w:t>
      </w:r>
      <w:r>
        <w:rPr>
          <w:color w:val="231F20"/>
        </w:rPr>
        <w:t>úplným</w:t>
      </w:r>
      <w:r>
        <w:rPr>
          <w:color w:val="231F20"/>
          <w:spacing w:val="-9"/>
        </w:rPr>
        <w:t xml:space="preserve"> </w:t>
      </w:r>
      <w:r>
        <w:rPr>
          <w:color w:val="231F20"/>
        </w:rPr>
        <w:t>embargem.</w:t>
      </w:r>
      <w:r>
        <w:rPr>
          <w:color w:val="231F20"/>
          <w:spacing w:val="-9"/>
        </w:rPr>
        <w:t xml:space="preserve"> </w:t>
      </w:r>
      <w:r>
        <w:rPr>
          <w:color w:val="231F20"/>
        </w:rPr>
        <w:t>Více</w:t>
      </w:r>
      <w:r>
        <w:rPr>
          <w:color w:val="231F20"/>
          <w:spacing w:val="-9"/>
        </w:rPr>
        <w:t xml:space="preserve"> </w:t>
      </w:r>
      <w:r>
        <w:rPr>
          <w:color w:val="231F20"/>
        </w:rPr>
        <w:t>informací</w:t>
      </w:r>
      <w:r>
        <w:rPr>
          <w:color w:val="231F20"/>
          <w:spacing w:val="-9"/>
        </w:rPr>
        <w:t xml:space="preserve"> </w:t>
      </w:r>
      <w:r>
        <w:rPr>
          <w:color w:val="231F20"/>
        </w:rPr>
        <w:t>naleznete</w:t>
      </w:r>
      <w:r>
        <w:rPr>
          <w:color w:val="231F20"/>
          <w:spacing w:val="-9"/>
        </w:rPr>
        <w:t xml:space="preserve"> </w:t>
      </w:r>
      <w:r>
        <w:rPr>
          <w:color w:val="231F20"/>
        </w:rPr>
        <w:t>na</w:t>
      </w:r>
      <w:r>
        <w:rPr>
          <w:color w:val="231F20"/>
          <w:spacing w:val="-9"/>
        </w:rPr>
        <w:t xml:space="preserve"> </w:t>
      </w:r>
      <w:r>
        <w:rPr>
          <w:color w:val="231F20"/>
        </w:rPr>
        <w:t>internetových stránkách</w:t>
      </w:r>
      <w:r>
        <w:rPr>
          <w:color w:val="231F20"/>
          <w:spacing w:val="1"/>
        </w:rPr>
        <w:t xml:space="preserve"> </w:t>
      </w:r>
      <w:hyperlink r:id="rId36">
        <w:r>
          <w:rPr>
            <w:color w:val="231F20"/>
          </w:rPr>
          <w:t>https://www.generaliceska.cz/sankce-zemi-osob.</w:t>
        </w:r>
      </w:hyperlink>
    </w:p>
    <w:p w14:paraId="0B6A42A8" w14:textId="77777777" w:rsidR="00F65BCA" w:rsidRDefault="00F65BCA">
      <w:pPr>
        <w:pStyle w:val="Zkladntext"/>
        <w:rPr>
          <w:sz w:val="20"/>
        </w:rPr>
      </w:pPr>
    </w:p>
    <w:p w14:paraId="068BEF0B" w14:textId="77777777" w:rsidR="00F65BCA" w:rsidRDefault="00F65BCA">
      <w:pPr>
        <w:pStyle w:val="Zkladntext"/>
        <w:rPr>
          <w:sz w:val="17"/>
        </w:rPr>
      </w:pPr>
    </w:p>
    <w:p w14:paraId="415E1B77" w14:textId="77777777" w:rsidR="00F65BCA" w:rsidRDefault="00000000">
      <w:pPr>
        <w:ind w:left="880"/>
        <w:rPr>
          <w:sz w:val="28"/>
        </w:rPr>
      </w:pPr>
      <w:r>
        <w:pict w14:anchorId="6E73ED0D">
          <v:shape id="_x0000_s2339" style="position:absolute;left:0;text-align:left;margin-left:51pt;margin-top:17.75pt;width:504.6pt;height:.1pt;z-index:-251531264;mso-wrap-distance-left:0;mso-wrap-distance-right:0;mso-position-horizontal-relative:page" coordorigin="1020,355" coordsize="10092,0" path="m1020,355r10092,e" filled="f" strokecolor="#d1d3d4">
            <v:path arrowok="t"/>
            <w10:wrap type="topAndBottom" anchorx="page"/>
          </v:shape>
        </w:pict>
      </w:r>
      <w:r w:rsidR="00216117">
        <w:rPr>
          <w:color w:val="C5271C"/>
          <w:sz w:val="28"/>
        </w:rPr>
        <w:t>Informace o pojistné smlouvě</w:t>
      </w:r>
    </w:p>
    <w:p w14:paraId="52506CFC" w14:textId="77777777" w:rsidR="00F65BCA" w:rsidRDefault="00216117">
      <w:pPr>
        <w:pStyle w:val="Nadpis9"/>
        <w:spacing w:before="123"/>
      </w:pPr>
      <w:r>
        <w:rPr>
          <w:color w:val="231F20"/>
        </w:rPr>
        <w:t>Pojistná smlouva se řídí právním řádem České republiky.</w:t>
      </w:r>
    </w:p>
    <w:p w14:paraId="7271E7B2" w14:textId="77777777" w:rsidR="00F65BCA" w:rsidRDefault="00216117">
      <w:pPr>
        <w:pStyle w:val="Nadpis9"/>
        <w:spacing w:before="33" w:line="278" w:lineRule="auto"/>
        <w:ind w:right="651"/>
      </w:pPr>
      <w:r>
        <w:rPr>
          <w:color w:val="231F20"/>
        </w:rPr>
        <w:t xml:space="preserve">Pokud je nabídka pojištění činěna pomocí prostředků komunikace na dálku, k uzavření pojistné smlouvy dojde včasným </w:t>
      </w:r>
      <w:r>
        <w:rPr>
          <w:b/>
          <w:color w:val="231F20"/>
        </w:rPr>
        <w:t xml:space="preserve">za- placením prvního pojistného </w:t>
      </w:r>
      <w:r>
        <w:rPr>
          <w:color w:val="231F20"/>
        </w:rPr>
        <w:t xml:space="preserve">ve správné výši a se správným variabilním symbolem na účet Pojišťovny. Pokud není nabídka pojištění činěna, či samotná pojistná smlouva uzavírána pomocí prostředků komunikace na dálku, k uzavření pojistné smlouvy dojde </w:t>
      </w:r>
      <w:r>
        <w:rPr>
          <w:b/>
          <w:color w:val="231F20"/>
        </w:rPr>
        <w:t>podpisem smluvních stran</w:t>
      </w:r>
      <w:r>
        <w:rPr>
          <w:color w:val="231F20"/>
        </w:rPr>
        <w:t>.</w:t>
      </w:r>
    </w:p>
    <w:p w14:paraId="16D283F0" w14:textId="77777777" w:rsidR="00F65BCA" w:rsidRDefault="00216117">
      <w:pPr>
        <w:pStyle w:val="Nadpis9"/>
        <w:spacing w:line="278" w:lineRule="auto"/>
        <w:ind w:right="650"/>
      </w:pPr>
      <w:r>
        <w:rPr>
          <w:color w:val="231F20"/>
        </w:rPr>
        <w:t>Pro</w:t>
      </w:r>
      <w:r>
        <w:rPr>
          <w:color w:val="231F20"/>
          <w:spacing w:val="-3"/>
        </w:rPr>
        <w:t xml:space="preserve"> </w:t>
      </w:r>
      <w:r>
        <w:rPr>
          <w:color w:val="231F20"/>
        </w:rPr>
        <w:t>uzavření</w:t>
      </w:r>
      <w:r>
        <w:rPr>
          <w:color w:val="231F20"/>
          <w:spacing w:val="-3"/>
        </w:rPr>
        <w:t xml:space="preserve"> </w:t>
      </w:r>
      <w:r>
        <w:rPr>
          <w:color w:val="231F20"/>
        </w:rPr>
        <w:t>pojistné</w:t>
      </w:r>
      <w:r>
        <w:rPr>
          <w:color w:val="231F20"/>
          <w:spacing w:val="-3"/>
        </w:rPr>
        <w:t xml:space="preserve"> </w:t>
      </w:r>
      <w:r>
        <w:rPr>
          <w:color w:val="231F20"/>
        </w:rPr>
        <w:t>smlouvy</w:t>
      </w:r>
      <w:r>
        <w:rPr>
          <w:color w:val="231F20"/>
          <w:spacing w:val="-3"/>
        </w:rPr>
        <w:t xml:space="preserve"> </w:t>
      </w:r>
      <w:r>
        <w:rPr>
          <w:color w:val="231F20"/>
        </w:rPr>
        <w:t>a</w:t>
      </w:r>
      <w:r>
        <w:rPr>
          <w:color w:val="231F20"/>
          <w:spacing w:val="-3"/>
        </w:rPr>
        <w:t xml:space="preserve"> </w:t>
      </w:r>
      <w:r>
        <w:rPr>
          <w:color w:val="231F20"/>
        </w:rPr>
        <w:t>pro</w:t>
      </w:r>
      <w:r>
        <w:rPr>
          <w:color w:val="231F20"/>
          <w:spacing w:val="-3"/>
        </w:rPr>
        <w:t xml:space="preserve"> </w:t>
      </w:r>
      <w:r>
        <w:rPr>
          <w:color w:val="231F20"/>
        </w:rPr>
        <w:t>komunikaci</w:t>
      </w:r>
      <w:r>
        <w:rPr>
          <w:color w:val="231F20"/>
          <w:spacing w:val="-2"/>
        </w:rPr>
        <w:t xml:space="preserve"> </w:t>
      </w:r>
      <w:r>
        <w:rPr>
          <w:color w:val="231F20"/>
        </w:rPr>
        <w:t>mezi</w:t>
      </w:r>
      <w:r>
        <w:rPr>
          <w:color w:val="231F20"/>
          <w:spacing w:val="-3"/>
        </w:rPr>
        <w:t xml:space="preserve"> </w:t>
      </w:r>
      <w:r>
        <w:rPr>
          <w:color w:val="231F20"/>
        </w:rPr>
        <w:t>smluvními</w:t>
      </w:r>
      <w:r>
        <w:rPr>
          <w:color w:val="231F20"/>
          <w:spacing w:val="-3"/>
        </w:rPr>
        <w:t xml:space="preserve"> </w:t>
      </w:r>
      <w:r>
        <w:rPr>
          <w:color w:val="231F20"/>
        </w:rPr>
        <w:t>stranami</w:t>
      </w:r>
      <w:r>
        <w:rPr>
          <w:color w:val="231F20"/>
          <w:spacing w:val="-3"/>
        </w:rPr>
        <w:t xml:space="preserve"> </w:t>
      </w:r>
      <w:r>
        <w:rPr>
          <w:color w:val="231F20"/>
        </w:rPr>
        <w:t>se</w:t>
      </w:r>
      <w:r>
        <w:rPr>
          <w:color w:val="231F20"/>
          <w:spacing w:val="-3"/>
        </w:rPr>
        <w:t xml:space="preserve"> </w:t>
      </w:r>
      <w:r>
        <w:rPr>
          <w:color w:val="231F20"/>
        </w:rPr>
        <w:t>použije</w:t>
      </w:r>
      <w:r>
        <w:rPr>
          <w:color w:val="231F20"/>
          <w:spacing w:val="-3"/>
        </w:rPr>
        <w:t xml:space="preserve"> </w:t>
      </w:r>
      <w:r>
        <w:rPr>
          <w:color w:val="231F20"/>
        </w:rPr>
        <w:t>český</w:t>
      </w:r>
      <w:r>
        <w:rPr>
          <w:color w:val="231F20"/>
          <w:spacing w:val="-3"/>
        </w:rPr>
        <w:t xml:space="preserve"> </w:t>
      </w:r>
      <w:r>
        <w:rPr>
          <w:color w:val="231F20"/>
        </w:rPr>
        <w:t>jazyk.</w:t>
      </w:r>
      <w:r>
        <w:rPr>
          <w:color w:val="231F20"/>
          <w:spacing w:val="-2"/>
        </w:rPr>
        <w:t xml:space="preserve"> </w:t>
      </w:r>
      <w:r>
        <w:rPr>
          <w:color w:val="231F20"/>
        </w:rPr>
        <w:t>Uzavřená</w:t>
      </w:r>
      <w:r>
        <w:rPr>
          <w:color w:val="231F20"/>
          <w:spacing w:val="-3"/>
        </w:rPr>
        <w:t xml:space="preserve"> </w:t>
      </w:r>
      <w:r>
        <w:rPr>
          <w:color w:val="231F20"/>
        </w:rPr>
        <w:t>pojistná</w:t>
      </w:r>
      <w:r>
        <w:rPr>
          <w:color w:val="231F20"/>
          <w:spacing w:val="-3"/>
        </w:rPr>
        <w:t xml:space="preserve"> </w:t>
      </w:r>
      <w:r>
        <w:rPr>
          <w:color w:val="231F20"/>
        </w:rPr>
        <w:t>smlouva</w:t>
      </w:r>
      <w:r>
        <w:rPr>
          <w:color w:val="231F20"/>
          <w:spacing w:val="-3"/>
        </w:rPr>
        <w:t xml:space="preserve"> </w:t>
      </w:r>
      <w:r>
        <w:rPr>
          <w:color w:val="231F20"/>
        </w:rPr>
        <w:t>je Pojišťovnou archivována.</w:t>
      </w:r>
    </w:p>
    <w:p w14:paraId="251C53CC" w14:textId="77777777" w:rsidR="00F65BCA" w:rsidRDefault="00216117">
      <w:pPr>
        <w:pStyle w:val="Nadpis9"/>
        <w:spacing w:line="278" w:lineRule="auto"/>
        <w:ind w:right="651"/>
      </w:pPr>
      <w:r>
        <w:rPr>
          <w:color w:val="231F20"/>
        </w:rPr>
        <w:t>Pokud</w:t>
      </w:r>
      <w:r>
        <w:rPr>
          <w:color w:val="231F20"/>
          <w:spacing w:val="-6"/>
        </w:rPr>
        <w:t xml:space="preserve"> </w:t>
      </w:r>
      <w:r>
        <w:rPr>
          <w:color w:val="231F20"/>
        </w:rPr>
        <w:t>některé</w:t>
      </w:r>
      <w:r>
        <w:rPr>
          <w:color w:val="231F20"/>
          <w:spacing w:val="-5"/>
        </w:rPr>
        <w:t xml:space="preserve"> </w:t>
      </w:r>
      <w:r>
        <w:rPr>
          <w:color w:val="231F20"/>
        </w:rPr>
        <w:t>údaje</w:t>
      </w:r>
      <w:r>
        <w:rPr>
          <w:color w:val="231F20"/>
          <w:spacing w:val="-5"/>
        </w:rPr>
        <w:t xml:space="preserve"> </w:t>
      </w:r>
      <w:r>
        <w:rPr>
          <w:color w:val="231F20"/>
        </w:rPr>
        <w:t>či</w:t>
      </w:r>
      <w:r>
        <w:rPr>
          <w:color w:val="231F20"/>
          <w:spacing w:val="-5"/>
        </w:rPr>
        <w:t xml:space="preserve"> </w:t>
      </w:r>
      <w:r>
        <w:rPr>
          <w:color w:val="231F20"/>
        </w:rPr>
        <w:t>skutečnosti</w:t>
      </w:r>
      <w:r>
        <w:rPr>
          <w:color w:val="231F20"/>
          <w:spacing w:val="-6"/>
        </w:rPr>
        <w:t xml:space="preserve"> </w:t>
      </w:r>
      <w:r>
        <w:rPr>
          <w:color w:val="231F20"/>
        </w:rPr>
        <w:t>uvedené</w:t>
      </w:r>
      <w:r>
        <w:rPr>
          <w:color w:val="231F20"/>
          <w:spacing w:val="-5"/>
        </w:rPr>
        <w:t xml:space="preserve"> </w:t>
      </w:r>
      <w:r>
        <w:rPr>
          <w:color w:val="231F20"/>
        </w:rPr>
        <w:t>v</w:t>
      </w:r>
      <w:r>
        <w:rPr>
          <w:color w:val="231F20"/>
          <w:spacing w:val="-5"/>
        </w:rPr>
        <w:t xml:space="preserve"> </w:t>
      </w:r>
      <w:r>
        <w:rPr>
          <w:color w:val="231F20"/>
        </w:rPr>
        <w:t>pojistné</w:t>
      </w:r>
      <w:r>
        <w:rPr>
          <w:color w:val="231F20"/>
          <w:spacing w:val="-5"/>
        </w:rPr>
        <w:t xml:space="preserve"> </w:t>
      </w:r>
      <w:r>
        <w:rPr>
          <w:color w:val="231F20"/>
        </w:rPr>
        <w:t>smlouvě</w:t>
      </w:r>
      <w:r>
        <w:rPr>
          <w:color w:val="231F20"/>
          <w:spacing w:val="-6"/>
        </w:rPr>
        <w:t xml:space="preserve"> </w:t>
      </w:r>
      <w:r>
        <w:rPr>
          <w:color w:val="231F20"/>
        </w:rPr>
        <w:t>nejsou</w:t>
      </w:r>
      <w:r>
        <w:rPr>
          <w:color w:val="231F20"/>
          <w:spacing w:val="-5"/>
        </w:rPr>
        <w:t xml:space="preserve"> </w:t>
      </w:r>
      <w:r>
        <w:rPr>
          <w:color w:val="231F20"/>
        </w:rPr>
        <w:t>správné</w:t>
      </w:r>
      <w:r>
        <w:rPr>
          <w:color w:val="231F20"/>
          <w:spacing w:val="-5"/>
        </w:rPr>
        <w:t xml:space="preserve"> </w:t>
      </w:r>
      <w:r>
        <w:rPr>
          <w:color w:val="231F20"/>
        </w:rPr>
        <w:t>nebo</w:t>
      </w:r>
      <w:r>
        <w:rPr>
          <w:color w:val="231F20"/>
          <w:spacing w:val="-5"/>
        </w:rPr>
        <w:t xml:space="preserve"> </w:t>
      </w:r>
      <w:r>
        <w:rPr>
          <w:color w:val="231F20"/>
        </w:rPr>
        <w:t>neodpovídají</w:t>
      </w:r>
      <w:r>
        <w:rPr>
          <w:color w:val="231F20"/>
          <w:spacing w:val="-6"/>
        </w:rPr>
        <w:t xml:space="preserve"> </w:t>
      </w:r>
      <w:r>
        <w:rPr>
          <w:color w:val="231F20"/>
        </w:rPr>
        <w:t>dohodnutému</w:t>
      </w:r>
      <w:r>
        <w:rPr>
          <w:color w:val="231F20"/>
          <w:spacing w:val="-5"/>
        </w:rPr>
        <w:t xml:space="preserve"> </w:t>
      </w:r>
      <w:r>
        <w:rPr>
          <w:color w:val="231F20"/>
        </w:rPr>
        <w:t>rozsahu,</w:t>
      </w:r>
      <w:r>
        <w:rPr>
          <w:color w:val="231F20"/>
          <w:spacing w:val="-5"/>
        </w:rPr>
        <w:t xml:space="preserve"> </w:t>
      </w:r>
      <w:r>
        <w:rPr>
          <w:color w:val="231F20"/>
        </w:rPr>
        <w:t>kon- taktujte</w:t>
      </w:r>
      <w:r>
        <w:rPr>
          <w:color w:val="231F20"/>
          <w:spacing w:val="-16"/>
        </w:rPr>
        <w:t xml:space="preserve"> </w:t>
      </w:r>
      <w:r>
        <w:rPr>
          <w:color w:val="231F20"/>
        </w:rPr>
        <w:t>nás</w:t>
      </w:r>
      <w:r>
        <w:rPr>
          <w:color w:val="231F20"/>
          <w:spacing w:val="-15"/>
        </w:rPr>
        <w:t xml:space="preserve"> </w:t>
      </w:r>
      <w:r>
        <w:rPr>
          <w:color w:val="231F20"/>
        </w:rPr>
        <w:t>prosím</w:t>
      </w:r>
      <w:r>
        <w:rPr>
          <w:color w:val="231F20"/>
          <w:spacing w:val="-15"/>
        </w:rPr>
        <w:t xml:space="preserve"> </w:t>
      </w:r>
      <w:r>
        <w:rPr>
          <w:color w:val="231F20"/>
        </w:rPr>
        <w:t>buď</w:t>
      </w:r>
      <w:r>
        <w:rPr>
          <w:color w:val="231F20"/>
          <w:spacing w:val="-16"/>
        </w:rPr>
        <w:t xml:space="preserve"> </w:t>
      </w:r>
      <w:r>
        <w:rPr>
          <w:color w:val="231F20"/>
        </w:rPr>
        <w:t>písemně,</w:t>
      </w:r>
      <w:r>
        <w:rPr>
          <w:color w:val="231F20"/>
          <w:spacing w:val="-15"/>
        </w:rPr>
        <w:t xml:space="preserve"> </w:t>
      </w:r>
      <w:r>
        <w:rPr>
          <w:color w:val="231F20"/>
        </w:rPr>
        <w:t>na</w:t>
      </w:r>
      <w:r>
        <w:rPr>
          <w:color w:val="231F20"/>
          <w:spacing w:val="-15"/>
        </w:rPr>
        <w:t xml:space="preserve"> </w:t>
      </w:r>
      <w:r>
        <w:rPr>
          <w:color w:val="231F20"/>
        </w:rPr>
        <w:t>adrese</w:t>
      </w:r>
      <w:r>
        <w:rPr>
          <w:color w:val="231F20"/>
          <w:spacing w:val="-15"/>
        </w:rPr>
        <w:t xml:space="preserve"> </w:t>
      </w:r>
      <w:r>
        <w:rPr>
          <w:color w:val="231F20"/>
        </w:rPr>
        <w:t>Pojišťovny,</w:t>
      </w:r>
      <w:r>
        <w:rPr>
          <w:color w:val="231F20"/>
          <w:spacing w:val="-16"/>
        </w:rPr>
        <w:t xml:space="preserve"> </w:t>
      </w:r>
      <w:r>
        <w:rPr>
          <w:color w:val="231F20"/>
        </w:rPr>
        <w:t>P.</w:t>
      </w:r>
      <w:r>
        <w:rPr>
          <w:color w:val="231F20"/>
          <w:spacing w:val="-15"/>
        </w:rPr>
        <w:t xml:space="preserve"> </w:t>
      </w:r>
      <w:r>
        <w:rPr>
          <w:color w:val="231F20"/>
        </w:rPr>
        <w:t>O.</w:t>
      </w:r>
      <w:r>
        <w:rPr>
          <w:color w:val="231F20"/>
          <w:spacing w:val="-15"/>
        </w:rPr>
        <w:t xml:space="preserve"> </w:t>
      </w:r>
      <w:r>
        <w:rPr>
          <w:color w:val="231F20"/>
        </w:rPr>
        <w:t>BOX</w:t>
      </w:r>
      <w:r>
        <w:rPr>
          <w:color w:val="231F20"/>
          <w:spacing w:val="-15"/>
        </w:rPr>
        <w:t xml:space="preserve"> </w:t>
      </w:r>
      <w:r>
        <w:rPr>
          <w:color w:val="231F20"/>
        </w:rPr>
        <w:t>305,</w:t>
      </w:r>
      <w:r>
        <w:rPr>
          <w:color w:val="231F20"/>
          <w:spacing w:val="-16"/>
        </w:rPr>
        <w:t xml:space="preserve"> </w:t>
      </w:r>
      <w:r>
        <w:rPr>
          <w:color w:val="231F20"/>
        </w:rPr>
        <w:t>659</w:t>
      </w:r>
      <w:r>
        <w:rPr>
          <w:color w:val="231F20"/>
          <w:spacing w:val="-15"/>
        </w:rPr>
        <w:t xml:space="preserve"> </w:t>
      </w:r>
      <w:r>
        <w:rPr>
          <w:color w:val="231F20"/>
        </w:rPr>
        <w:t>05</w:t>
      </w:r>
      <w:r>
        <w:rPr>
          <w:color w:val="231F20"/>
          <w:spacing w:val="-15"/>
        </w:rPr>
        <w:t xml:space="preserve"> </w:t>
      </w:r>
      <w:r>
        <w:rPr>
          <w:color w:val="231F20"/>
        </w:rPr>
        <w:t>Brno,</w:t>
      </w:r>
      <w:r>
        <w:rPr>
          <w:color w:val="231F20"/>
          <w:spacing w:val="-16"/>
        </w:rPr>
        <w:t xml:space="preserve"> </w:t>
      </w:r>
      <w:r>
        <w:rPr>
          <w:color w:val="231F20"/>
        </w:rPr>
        <w:t>nebo</w:t>
      </w:r>
      <w:r>
        <w:rPr>
          <w:color w:val="231F20"/>
          <w:spacing w:val="-15"/>
        </w:rPr>
        <w:t xml:space="preserve"> </w:t>
      </w:r>
      <w:r>
        <w:rPr>
          <w:color w:val="231F20"/>
        </w:rPr>
        <w:t>telefonicky</w:t>
      </w:r>
      <w:r>
        <w:rPr>
          <w:color w:val="231F20"/>
          <w:spacing w:val="-15"/>
        </w:rPr>
        <w:t xml:space="preserve"> </w:t>
      </w:r>
      <w:r>
        <w:rPr>
          <w:color w:val="231F20"/>
        </w:rPr>
        <w:t>na</w:t>
      </w:r>
      <w:r>
        <w:rPr>
          <w:color w:val="231F20"/>
          <w:spacing w:val="-15"/>
        </w:rPr>
        <w:t xml:space="preserve"> </w:t>
      </w:r>
      <w:r>
        <w:rPr>
          <w:color w:val="231F20"/>
        </w:rPr>
        <w:t>čísle</w:t>
      </w:r>
      <w:r>
        <w:rPr>
          <w:color w:val="231F20"/>
          <w:spacing w:val="-16"/>
        </w:rPr>
        <w:t xml:space="preserve"> </w:t>
      </w:r>
      <w:r>
        <w:rPr>
          <w:color w:val="231F20"/>
        </w:rPr>
        <w:t>+420</w:t>
      </w:r>
      <w:r>
        <w:rPr>
          <w:color w:val="231F20"/>
          <w:spacing w:val="-15"/>
        </w:rPr>
        <w:t xml:space="preserve"> </w:t>
      </w:r>
      <w:r>
        <w:rPr>
          <w:color w:val="231F20"/>
        </w:rPr>
        <w:t>241</w:t>
      </w:r>
      <w:r>
        <w:rPr>
          <w:color w:val="231F20"/>
          <w:spacing w:val="-15"/>
        </w:rPr>
        <w:t xml:space="preserve"> </w:t>
      </w:r>
      <w:r>
        <w:rPr>
          <w:color w:val="231F20"/>
        </w:rPr>
        <w:t>114</w:t>
      </w:r>
      <w:r>
        <w:rPr>
          <w:color w:val="231F20"/>
          <w:spacing w:val="-16"/>
        </w:rPr>
        <w:t xml:space="preserve"> </w:t>
      </w:r>
      <w:r>
        <w:rPr>
          <w:color w:val="231F20"/>
        </w:rPr>
        <w:t>114, nebo se obraťte na svého správce</w:t>
      </w:r>
      <w:r>
        <w:rPr>
          <w:color w:val="231F20"/>
          <w:spacing w:val="-26"/>
        </w:rPr>
        <w:t xml:space="preserve"> </w:t>
      </w:r>
      <w:r>
        <w:rPr>
          <w:color w:val="231F20"/>
        </w:rPr>
        <w:t>pojištění.</w:t>
      </w:r>
    </w:p>
    <w:p w14:paraId="4AC78922" w14:textId="77777777" w:rsidR="00F65BCA" w:rsidRDefault="00F65BCA">
      <w:pPr>
        <w:pStyle w:val="Zkladntext"/>
        <w:rPr>
          <w:sz w:val="20"/>
        </w:rPr>
      </w:pPr>
    </w:p>
    <w:p w14:paraId="63E4B6E4" w14:textId="77777777" w:rsidR="00F65BCA" w:rsidRDefault="00F65BCA">
      <w:pPr>
        <w:pStyle w:val="Zkladntext"/>
        <w:spacing w:before="11"/>
        <w:rPr>
          <w:sz w:val="16"/>
        </w:rPr>
      </w:pPr>
    </w:p>
    <w:p w14:paraId="584924FD" w14:textId="77777777" w:rsidR="00F65BCA" w:rsidRDefault="00000000">
      <w:pPr>
        <w:ind w:left="880"/>
        <w:rPr>
          <w:sz w:val="28"/>
        </w:rPr>
      </w:pPr>
      <w:r>
        <w:pict w14:anchorId="705A112B">
          <v:shape id="_x0000_s2338" style="position:absolute;left:0;text-align:left;margin-left:51pt;margin-top:17.75pt;width:504.6pt;height:.1pt;z-index:-251530240;mso-wrap-distance-left:0;mso-wrap-distance-right:0;mso-position-horizontal-relative:page" coordorigin="1020,355" coordsize="10092,0" path="m1020,355r10092,e" filled="f" strokecolor="#d1d3d4">
            <v:path arrowok="t"/>
            <w10:wrap type="topAndBottom" anchorx="page"/>
          </v:shape>
        </w:pict>
      </w:r>
      <w:r w:rsidR="00216117">
        <w:rPr>
          <w:color w:val="C5271C"/>
          <w:sz w:val="28"/>
        </w:rPr>
        <w:t>Doba trvání pojištění</w:t>
      </w:r>
    </w:p>
    <w:p w14:paraId="091CE7CA" w14:textId="77777777" w:rsidR="00F65BCA" w:rsidRDefault="00216117">
      <w:pPr>
        <w:pStyle w:val="Nadpis9"/>
        <w:spacing w:before="123" w:line="278" w:lineRule="auto"/>
        <w:ind w:right="650"/>
      </w:pPr>
      <w:r>
        <w:rPr>
          <w:color w:val="231F20"/>
        </w:rPr>
        <w:t>Po dobu trvání pojištění poskytuje Pojišťovna pojistnou ochranu (tj. poskytne pojistné plnění v případě pojistné události)           a</w:t>
      </w:r>
      <w:r>
        <w:rPr>
          <w:color w:val="231F20"/>
          <w:spacing w:val="-9"/>
        </w:rPr>
        <w:t xml:space="preserve"> </w:t>
      </w:r>
      <w:r>
        <w:rPr>
          <w:color w:val="231F20"/>
        </w:rPr>
        <w:t>pojistník</w:t>
      </w:r>
      <w:r>
        <w:rPr>
          <w:color w:val="231F20"/>
          <w:spacing w:val="-9"/>
        </w:rPr>
        <w:t xml:space="preserve"> </w:t>
      </w:r>
      <w:r>
        <w:rPr>
          <w:color w:val="231F20"/>
        </w:rPr>
        <w:t>je</w:t>
      </w:r>
      <w:r>
        <w:rPr>
          <w:color w:val="231F20"/>
          <w:spacing w:val="-8"/>
        </w:rPr>
        <w:t xml:space="preserve"> </w:t>
      </w:r>
      <w:r>
        <w:rPr>
          <w:color w:val="231F20"/>
        </w:rPr>
        <w:t>povinen</w:t>
      </w:r>
      <w:r>
        <w:rPr>
          <w:color w:val="231F20"/>
          <w:spacing w:val="-9"/>
        </w:rPr>
        <w:t xml:space="preserve"> </w:t>
      </w:r>
      <w:r>
        <w:rPr>
          <w:color w:val="231F20"/>
        </w:rPr>
        <w:t>platit</w:t>
      </w:r>
      <w:r>
        <w:rPr>
          <w:color w:val="231F20"/>
          <w:spacing w:val="-8"/>
        </w:rPr>
        <w:t xml:space="preserve"> </w:t>
      </w:r>
      <w:r>
        <w:rPr>
          <w:color w:val="231F20"/>
        </w:rPr>
        <w:t>pojistné.</w:t>
      </w:r>
      <w:r>
        <w:rPr>
          <w:color w:val="231F20"/>
          <w:spacing w:val="-9"/>
        </w:rPr>
        <w:t xml:space="preserve"> </w:t>
      </w:r>
      <w:r>
        <w:rPr>
          <w:b/>
          <w:color w:val="231F20"/>
        </w:rPr>
        <w:t>Pojištění</w:t>
      </w:r>
      <w:r>
        <w:rPr>
          <w:b/>
          <w:color w:val="231F20"/>
          <w:spacing w:val="-9"/>
        </w:rPr>
        <w:t xml:space="preserve"> </w:t>
      </w:r>
      <w:r>
        <w:rPr>
          <w:b/>
          <w:color w:val="231F20"/>
        </w:rPr>
        <w:t>se</w:t>
      </w:r>
      <w:r>
        <w:rPr>
          <w:b/>
          <w:color w:val="231F20"/>
          <w:spacing w:val="-8"/>
        </w:rPr>
        <w:t xml:space="preserve"> </w:t>
      </w:r>
      <w:r>
        <w:rPr>
          <w:b/>
          <w:color w:val="231F20"/>
        </w:rPr>
        <w:t>sjednává</w:t>
      </w:r>
      <w:r>
        <w:rPr>
          <w:b/>
          <w:color w:val="231F20"/>
          <w:spacing w:val="-9"/>
        </w:rPr>
        <w:t xml:space="preserve"> </w:t>
      </w:r>
      <w:r>
        <w:rPr>
          <w:b/>
          <w:color w:val="231F20"/>
        </w:rPr>
        <w:t>na</w:t>
      </w:r>
      <w:r>
        <w:rPr>
          <w:b/>
          <w:color w:val="231F20"/>
          <w:spacing w:val="-8"/>
        </w:rPr>
        <w:t xml:space="preserve"> </w:t>
      </w:r>
      <w:r>
        <w:rPr>
          <w:b/>
          <w:color w:val="231F20"/>
        </w:rPr>
        <w:t>dobu</w:t>
      </w:r>
      <w:r>
        <w:rPr>
          <w:b/>
          <w:color w:val="231F20"/>
          <w:spacing w:val="-9"/>
        </w:rPr>
        <w:t xml:space="preserve"> </w:t>
      </w:r>
      <w:r>
        <w:rPr>
          <w:b/>
          <w:color w:val="231F20"/>
        </w:rPr>
        <w:t>neurčitou</w:t>
      </w:r>
      <w:r>
        <w:rPr>
          <w:b/>
          <w:color w:val="231F20"/>
          <w:spacing w:val="-9"/>
        </w:rPr>
        <w:t xml:space="preserve"> </w:t>
      </w:r>
      <w:r>
        <w:rPr>
          <w:b/>
          <w:color w:val="231F20"/>
        </w:rPr>
        <w:t>s</w:t>
      </w:r>
      <w:r>
        <w:rPr>
          <w:b/>
          <w:color w:val="231F20"/>
          <w:spacing w:val="-8"/>
        </w:rPr>
        <w:t xml:space="preserve"> </w:t>
      </w:r>
      <w:r>
        <w:rPr>
          <w:b/>
          <w:color w:val="231F20"/>
        </w:rPr>
        <w:t>ročním</w:t>
      </w:r>
      <w:r>
        <w:rPr>
          <w:b/>
          <w:color w:val="231F20"/>
          <w:spacing w:val="-9"/>
        </w:rPr>
        <w:t xml:space="preserve"> </w:t>
      </w:r>
      <w:r>
        <w:rPr>
          <w:b/>
          <w:color w:val="231F20"/>
        </w:rPr>
        <w:t>pojistným</w:t>
      </w:r>
      <w:r>
        <w:rPr>
          <w:b/>
          <w:color w:val="231F20"/>
          <w:spacing w:val="-8"/>
        </w:rPr>
        <w:t xml:space="preserve"> </w:t>
      </w:r>
      <w:r>
        <w:rPr>
          <w:b/>
          <w:color w:val="231F20"/>
        </w:rPr>
        <w:t>obdobím</w:t>
      </w:r>
      <w:r>
        <w:rPr>
          <w:b/>
          <w:color w:val="231F20"/>
          <w:spacing w:val="-9"/>
        </w:rPr>
        <w:t xml:space="preserve"> </w:t>
      </w:r>
      <w:r>
        <w:rPr>
          <w:color w:val="231F20"/>
        </w:rPr>
        <w:t>(12</w:t>
      </w:r>
      <w:r>
        <w:rPr>
          <w:color w:val="231F20"/>
          <w:spacing w:val="-9"/>
        </w:rPr>
        <w:t xml:space="preserve"> </w:t>
      </w:r>
      <w:r>
        <w:rPr>
          <w:color w:val="231F20"/>
        </w:rPr>
        <w:t xml:space="preserve">kalendářních měsíců) </w:t>
      </w:r>
      <w:r>
        <w:rPr>
          <w:b/>
          <w:color w:val="231F20"/>
        </w:rPr>
        <w:t xml:space="preserve">nebo na </w:t>
      </w:r>
      <w:r>
        <w:rPr>
          <w:b/>
          <w:color w:val="231F20"/>
          <w:spacing w:val="2"/>
        </w:rPr>
        <w:t xml:space="preserve">dobu </w:t>
      </w:r>
      <w:r>
        <w:rPr>
          <w:b/>
          <w:color w:val="231F20"/>
        </w:rPr>
        <w:t>určitou</w:t>
      </w:r>
      <w:r>
        <w:rPr>
          <w:color w:val="231F20"/>
        </w:rPr>
        <w:t xml:space="preserve">. Je-li pojištění sjednáno na dobu určitou, nejdéle však na dobu jednoho roku, minimálně však na dobu </w:t>
      </w:r>
      <w:r>
        <w:rPr>
          <w:color w:val="231F20"/>
          <w:spacing w:val="-5"/>
        </w:rPr>
        <w:t xml:space="preserve">15 </w:t>
      </w:r>
      <w:r>
        <w:rPr>
          <w:color w:val="231F20"/>
        </w:rPr>
        <w:t xml:space="preserve">dní, nevyplývá-li potřeba kratší doby trvání pojištění odpovědnosti za újmu způsobenou provozem vozidla (dále  jen „pojištění odpovědnosti“) z obecně závazného právního předpisu, bývá pojistná doba stanovena určením konkrétního data. Počátek pojištění každého vozidla je uveden v seznamu vozidel, který je součástí pojistné smlouvy. Každý následující </w:t>
      </w:r>
      <w:r>
        <w:rPr>
          <w:color w:val="231F20"/>
          <w:spacing w:val="-3"/>
        </w:rPr>
        <w:t xml:space="preserve">seznam </w:t>
      </w:r>
      <w:r>
        <w:rPr>
          <w:color w:val="231F20"/>
        </w:rPr>
        <w:t>vozidel s aktuálním stavem vozidel se stává součástí pojistné</w:t>
      </w:r>
      <w:r>
        <w:rPr>
          <w:color w:val="231F20"/>
          <w:spacing w:val="2"/>
        </w:rPr>
        <w:t xml:space="preserve"> </w:t>
      </w:r>
      <w:r>
        <w:rPr>
          <w:color w:val="231F20"/>
        </w:rPr>
        <w:t>smlouvy.</w:t>
      </w:r>
    </w:p>
    <w:p w14:paraId="34F4D6BF" w14:textId="77777777" w:rsidR="00F65BCA" w:rsidRDefault="00F65BCA">
      <w:pPr>
        <w:pStyle w:val="Zkladntext"/>
        <w:rPr>
          <w:sz w:val="20"/>
        </w:rPr>
      </w:pPr>
    </w:p>
    <w:p w14:paraId="2FDF373A" w14:textId="77777777" w:rsidR="00F65BCA" w:rsidRDefault="00F65BCA">
      <w:pPr>
        <w:pStyle w:val="Zkladntext"/>
        <w:spacing w:before="3"/>
        <w:rPr>
          <w:sz w:val="20"/>
        </w:rPr>
      </w:pPr>
    </w:p>
    <w:p w14:paraId="21567DBF" w14:textId="77777777" w:rsidR="00F65BCA" w:rsidRDefault="00F65BCA">
      <w:pPr>
        <w:rPr>
          <w:sz w:val="20"/>
        </w:rPr>
        <w:sectPr w:rsidR="00F65BCA">
          <w:pgSz w:w="11910" w:h="16840"/>
          <w:pgMar w:top="660" w:right="140" w:bottom="0" w:left="140" w:header="708" w:footer="708" w:gutter="0"/>
          <w:cols w:space="708"/>
        </w:sectPr>
      </w:pPr>
    </w:p>
    <w:p w14:paraId="0E22BB6B" w14:textId="77777777" w:rsidR="00F65BCA" w:rsidRDefault="00000000">
      <w:pPr>
        <w:pStyle w:val="Zkladntext"/>
        <w:spacing w:before="10"/>
        <w:rPr>
          <w:sz w:val="13"/>
        </w:rPr>
      </w:pPr>
      <w:r>
        <w:pict w14:anchorId="4A518BCB">
          <v:line id="_x0000_s2337" style="position:absolute;z-index:-299443200;mso-position-horizontal-relative:page;mso-position-vertical-relative:page" from="0,808.35pt" to="595.3pt,808.35pt" strokecolor="#c5271c" strokeweight="1pt">
            <w10:wrap anchorx="page" anchory="page"/>
          </v:line>
        </w:pict>
      </w:r>
    </w:p>
    <w:p w14:paraId="657C9FBB" w14:textId="77777777" w:rsidR="00F65BCA" w:rsidRDefault="00216117">
      <w:pPr>
        <w:ind w:left="880"/>
        <w:rPr>
          <w:sz w:val="14"/>
        </w:rPr>
      </w:pPr>
      <w:r>
        <w:rPr>
          <w:color w:val="231F20"/>
          <w:sz w:val="14"/>
        </w:rPr>
        <w:t>6.20.012 05.2025 v04</w:t>
      </w:r>
    </w:p>
    <w:p w14:paraId="7908BB0C" w14:textId="77777777" w:rsidR="00F65BCA" w:rsidRDefault="00216117">
      <w:pPr>
        <w:spacing w:before="103"/>
        <w:ind w:left="880"/>
        <w:rPr>
          <w:sz w:val="16"/>
        </w:rPr>
      </w:pPr>
      <w:r>
        <w:br w:type="column"/>
      </w:r>
      <w:r>
        <w:rPr>
          <w:color w:val="231F20"/>
          <w:sz w:val="16"/>
        </w:rPr>
        <w:t xml:space="preserve">Předsmluvní informace </w:t>
      </w:r>
      <w:r>
        <w:rPr>
          <w:color w:val="C5271C"/>
          <w:sz w:val="20"/>
        </w:rPr>
        <w:t xml:space="preserve">| </w:t>
      </w:r>
      <w:r>
        <w:rPr>
          <w:color w:val="231F20"/>
          <w:sz w:val="16"/>
        </w:rPr>
        <w:t>7</w:t>
      </w:r>
    </w:p>
    <w:p w14:paraId="5EFCADB3" w14:textId="77777777" w:rsidR="00F65BCA" w:rsidRDefault="00F65BCA">
      <w:pPr>
        <w:rPr>
          <w:sz w:val="16"/>
        </w:rPr>
        <w:sectPr w:rsidR="00F65BCA">
          <w:type w:val="continuous"/>
          <w:pgSz w:w="11910" w:h="16840"/>
          <w:pgMar w:top="840" w:right="140" w:bottom="280" w:left="140" w:header="708" w:footer="708" w:gutter="0"/>
          <w:cols w:num="2" w:space="708" w:equalWidth="0">
            <w:col w:w="2314" w:space="5827"/>
            <w:col w:w="3489"/>
          </w:cols>
        </w:sectPr>
      </w:pPr>
    </w:p>
    <w:p w14:paraId="1EA08D10" w14:textId="77777777" w:rsidR="00F65BCA" w:rsidRDefault="00216117">
      <w:pPr>
        <w:pStyle w:val="Nadpis9"/>
        <w:spacing w:before="82" w:line="278" w:lineRule="auto"/>
        <w:ind w:left="653" w:right="877"/>
      </w:pPr>
      <w:r>
        <w:rPr>
          <w:color w:val="231F20"/>
        </w:rPr>
        <w:lastRenderedPageBreak/>
        <w:t xml:space="preserve">V případě </w:t>
      </w:r>
      <w:r>
        <w:rPr>
          <w:b/>
          <w:color w:val="231F20"/>
        </w:rPr>
        <w:t xml:space="preserve">vozidla, které je registrováno v jiném státu </w:t>
      </w:r>
      <w:r>
        <w:rPr>
          <w:color w:val="231F20"/>
        </w:rPr>
        <w:t>(vozidlo nemá přidělenou českou registrační značku) lze pojištění uzavřít jen za účelem přihlášení vozidla k registraci v České republice, a to nejvýše na dobu 30 dnů, není-li v pojistné smlouvě uvedena doba kratší. Pokud pojistník Pojišťovně písemně oznámí číslo přidělené české registrační značky jako potvrzení o provedení registrace vozidla v České republice, a to před uplynutím doby 30 dnů od uzavření pojištění (příp. před uplynutím doby kratší, byla-li v pojistné smlouvě tato sjednána), vyjadřuje tím současně zájem na dalším trvání sjednaného pojištění, v opačném případě pojištění uplynutím 30 dnů od jeho uzavření (příp. před uplynutím doby kratší, byla-li v pojistné smlouvě tato sjednána) zaniká.</w:t>
      </w:r>
    </w:p>
    <w:p w14:paraId="10505AE9" w14:textId="77777777" w:rsidR="00F65BCA" w:rsidRDefault="00216117">
      <w:pPr>
        <w:spacing w:line="278" w:lineRule="auto"/>
        <w:ind w:left="653" w:right="878"/>
        <w:jc w:val="both"/>
        <w:rPr>
          <w:sz w:val="18"/>
        </w:rPr>
      </w:pPr>
      <w:r>
        <w:rPr>
          <w:b/>
          <w:color w:val="231F20"/>
          <w:sz w:val="18"/>
        </w:rPr>
        <w:t>Doba</w:t>
      </w:r>
      <w:r>
        <w:rPr>
          <w:b/>
          <w:color w:val="231F20"/>
          <w:spacing w:val="-6"/>
          <w:sz w:val="18"/>
        </w:rPr>
        <w:t xml:space="preserve"> </w:t>
      </w:r>
      <w:r>
        <w:rPr>
          <w:b/>
          <w:color w:val="231F20"/>
          <w:sz w:val="18"/>
        </w:rPr>
        <w:t>trvání</w:t>
      </w:r>
      <w:r>
        <w:rPr>
          <w:b/>
          <w:color w:val="231F20"/>
          <w:spacing w:val="-6"/>
          <w:sz w:val="18"/>
        </w:rPr>
        <w:t xml:space="preserve"> </w:t>
      </w:r>
      <w:r>
        <w:rPr>
          <w:b/>
          <w:color w:val="231F20"/>
          <w:sz w:val="18"/>
        </w:rPr>
        <w:t>pojištění</w:t>
      </w:r>
      <w:r>
        <w:rPr>
          <w:b/>
          <w:color w:val="231F20"/>
          <w:spacing w:val="-6"/>
          <w:sz w:val="18"/>
        </w:rPr>
        <w:t xml:space="preserve"> </w:t>
      </w:r>
      <w:r>
        <w:rPr>
          <w:b/>
          <w:color w:val="231F20"/>
          <w:sz w:val="18"/>
        </w:rPr>
        <w:t>a</w:t>
      </w:r>
      <w:r>
        <w:rPr>
          <w:b/>
          <w:color w:val="231F20"/>
          <w:spacing w:val="-6"/>
          <w:sz w:val="18"/>
        </w:rPr>
        <w:t xml:space="preserve"> </w:t>
      </w:r>
      <w:r>
        <w:rPr>
          <w:b/>
          <w:color w:val="231F20"/>
          <w:sz w:val="18"/>
        </w:rPr>
        <w:t>pojistná</w:t>
      </w:r>
      <w:r>
        <w:rPr>
          <w:b/>
          <w:color w:val="231F20"/>
          <w:spacing w:val="-6"/>
          <w:sz w:val="18"/>
        </w:rPr>
        <w:t xml:space="preserve"> </w:t>
      </w:r>
      <w:r>
        <w:rPr>
          <w:b/>
          <w:color w:val="231F20"/>
          <w:sz w:val="18"/>
        </w:rPr>
        <w:t>doba</w:t>
      </w:r>
      <w:r>
        <w:rPr>
          <w:b/>
          <w:color w:val="231F20"/>
          <w:spacing w:val="-5"/>
          <w:sz w:val="18"/>
        </w:rPr>
        <w:t xml:space="preserve"> </w:t>
      </w:r>
      <w:r>
        <w:rPr>
          <w:b/>
          <w:color w:val="231F20"/>
          <w:sz w:val="18"/>
        </w:rPr>
        <w:t>je</w:t>
      </w:r>
      <w:r>
        <w:rPr>
          <w:b/>
          <w:color w:val="231F20"/>
          <w:spacing w:val="-6"/>
          <w:sz w:val="18"/>
        </w:rPr>
        <w:t xml:space="preserve"> </w:t>
      </w:r>
      <w:r>
        <w:rPr>
          <w:b/>
          <w:color w:val="231F20"/>
          <w:sz w:val="18"/>
        </w:rPr>
        <w:t>vždy</w:t>
      </w:r>
      <w:r>
        <w:rPr>
          <w:b/>
          <w:color w:val="231F20"/>
          <w:spacing w:val="-6"/>
          <w:sz w:val="18"/>
        </w:rPr>
        <w:t xml:space="preserve"> </w:t>
      </w:r>
      <w:r>
        <w:rPr>
          <w:b/>
          <w:color w:val="231F20"/>
          <w:sz w:val="18"/>
        </w:rPr>
        <w:t>uvedena</w:t>
      </w:r>
      <w:r>
        <w:rPr>
          <w:b/>
          <w:color w:val="231F20"/>
          <w:spacing w:val="-6"/>
          <w:sz w:val="18"/>
        </w:rPr>
        <w:t xml:space="preserve"> </w:t>
      </w:r>
      <w:r>
        <w:rPr>
          <w:b/>
          <w:color w:val="231F20"/>
          <w:sz w:val="18"/>
        </w:rPr>
        <w:t>v</w:t>
      </w:r>
      <w:r>
        <w:rPr>
          <w:b/>
          <w:color w:val="231F20"/>
          <w:spacing w:val="-6"/>
          <w:sz w:val="18"/>
        </w:rPr>
        <w:t xml:space="preserve"> </w:t>
      </w:r>
      <w:r>
        <w:rPr>
          <w:b/>
          <w:color w:val="231F20"/>
          <w:sz w:val="18"/>
        </w:rPr>
        <w:t>pojistné</w:t>
      </w:r>
      <w:r>
        <w:rPr>
          <w:b/>
          <w:color w:val="231F20"/>
          <w:spacing w:val="-5"/>
          <w:sz w:val="18"/>
        </w:rPr>
        <w:t xml:space="preserve"> </w:t>
      </w:r>
      <w:r>
        <w:rPr>
          <w:b/>
          <w:color w:val="231F20"/>
          <w:sz w:val="18"/>
        </w:rPr>
        <w:t>smlouvě.</w:t>
      </w:r>
      <w:r>
        <w:rPr>
          <w:b/>
          <w:color w:val="231F20"/>
          <w:spacing w:val="-7"/>
          <w:sz w:val="18"/>
        </w:rPr>
        <w:t xml:space="preserve"> </w:t>
      </w:r>
      <w:r>
        <w:rPr>
          <w:color w:val="231F20"/>
          <w:sz w:val="18"/>
        </w:rPr>
        <w:t>Není-li</w:t>
      </w:r>
      <w:r>
        <w:rPr>
          <w:color w:val="231F20"/>
          <w:spacing w:val="-6"/>
          <w:sz w:val="18"/>
        </w:rPr>
        <w:t xml:space="preserve"> </w:t>
      </w:r>
      <w:r>
        <w:rPr>
          <w:color w:val="231F20"/>
          <w:sz w:val="18"/>
        </w:rPr>
        <w:t>v</w:t>
      </w:r>
      <w:r>
        <w:rPr>
          <w:color w:val="231F20"/>
          <w:spacing w:val="-6"/>
          <w:sz w:val="18"/>
        </w:rPr>
        <w:t xml:space="preserve"> </w:t>
      </w:r>
      <w:r>
        <w:rPr>
          <w:color w:val="231F20"/>
          <w:sz w:val="18"/>
        </w:rPr>
        <w:t>pojistné</w:t>
      </w:r>
      <w:r>
        <w:rPr>
          <w:color w:val="231F20"/>
          <w:spacing w:val="-6"/>
          <w:sz w:val="18"/>
        </w:rPr>
        <w:t xml:space="preserve"> </w:t>
      </w:r>
      <w:r>
        <w:rPr>
          <w:color w:val="231F20"/>
          <w:sz w:val="18"/>
        </w:rPr>
        <w:t>smlouvě</w:t>
      </w:r>
      <w:r>
        <w:rPr>
          <w:color w:val="231F20"/>
          <w:spacing w:val="-6"/>
          <w:sz w:val="18"/>
        </w:rPr>
        <w:t xml:space="preserve"> </w:t>
      </w:r>
      <w:r>
        <w:rPr>
          <w:color w:val="231F20"/>
          <w:sz w:val="18"/>
        </w:rPr>
        <w:t>uveden</w:t>
      </w:r>
      <w:r>
        <w:rPr>
          <w:color w:val="231F20"/>
          <w:spacing w:val="-5"/>
          <w:sz w:val="18"/>
        </w:rPr>
        <w:t xml:space="preserve"> </w:t>
      </w:r>
      <w:r>
        <w:rPr>
          <w:color w:val="231F20"/>
          <w:sz w:val="18"/>
        </w:rPr>
        <w:t>konec</w:t>
      </w:r>
      <w:r>
        <w:rPr>
          <w:color w:val="231F20"/>
          <w:spacing w:val="-6"/>
          <w:sz w:val="18"/>
        </w:rPr>
        <w:t xml:space="preserve"> </w:t>
      </w:r>
      <w:r>
        <w:rPr>
          <w:color w:val="231F20"/>
          <w:spacing w:val="-3"/>
          <w:sz w:val="18"/>
        </w:rPr>
        <w:t xml:space="preserve">pojiště- </w:t>
      </w:r>
      <w:r>
        <w:rPr>
          <w:color w:val="231F20"/>
          <w:sz w:val="18"/>
        </w:rPr>
        <w:t>ní, pak pojištění trvá až do svého zániku (důvody zániku pojištění jsou uvedeny dále). Doba trvání pojištění jednotlivých vozidel je uvedena v seznamu</w:t>
      </w:r>
      <w:r>
        <w:rPr>
          <w:color w:val="231F20"/>
          <w:spacing w:val="-1"/>
          <w:sz w:val="18"/>
        </w:rPr>
        <w:t xml:space="preserve"> </w:t>
      </w:r>
      <w:r>
        <w:rPr>
          <w:color w:val="231F20"/>
          <w:sz w:val="18"/>
        </w:rPr>
        <w:t>vozidel.</w:t>
      </w:r>
    </w:p>
    <w:p w14:paraId="75BC43AE" w14:textId="77777777" w:rsidR="00F65BCA" w:rsidRDefault="00F65BCA">
      <w:pPr>
        <w:pStyle w:val="Zkladntext"/>
        <w:rPr>
          <w:sz w:val="20"/>
        </w:rPr>
      </w:pPr>
    </w:p>
    <w:p w14:paraId="527D5C67" w14:textId="77777777" w:rsidR="00F65BCA" w:rsidRDefault="00000000">
      <w:pPr>
        <w:pStyle w:val="Zkladntext"/>
        <w:spacing w:before="6"/>
        <w:rPr>
          <w:sz w:val="17"/>
        </w:rPr>
      </w:pPr>
      <w:r>
        <w:pict w14:anchorId="356CB740">
          <v:shape id="_x0000_s2336" type="#_x0000_t202" style="position:absolute;margin-left:39.7pt;margin-top:11.3pt;width:504.6pt;height:59.55pt;z-index:-251527168;mso-wrap-distance-left:0;mso-wrap-distance-right:0;mso-position-horizontal-relative:page" fillcolor="#e6e7e8" stroked="f">
            <v:textbox inset="0,0,0,0">
              <w:txbxContent>
                <w:p w14:paraId="0D5CAC36" w14:textId="77777777" w:rsidR="00F65BCA" w:rsidRDefault="00216117">
                  <w:pPr>
                    <w:spacing w:before="123"/>
                    <w:ind w:left="198"/>
                    <w:rPr>
                      <w:sz w:val="40"/>
                    </w:rPr>
                  </w:pPr>
                  <w:r>
                    <w:rPr>
                      <w:color w:val="231F20"/>
                      <w:sz w:val="40"/>
                    </w:rPr>
                    <w:t>Charakteristika a rozsah pojištění,</w:t>
                  </w:r>
                </w:p>
                <w:p w14:paraId="374748E4" w14:textId="77777777" w:rsidR="00F65BCA" w:rsidRDefault="00216117">
                  <w:pPr>
                    <w:spacing w:before="20"/>
                    <w:ind w:left="198"/>
                    <w:rPr>
                      <w:sz w:val="40"/>
                    </w:rPr>
                  </w:pPr>
                  <w:r>
                    <w:rPr>
                      <w:color w:val="231F20"/>
                      <w:sz w:val="40"/>
                    </w:rPr>
                    <w:t>způsob určení výše pojistného plnění, výluky</w:t>
                  </w:r>
                </w:p>
              </w:txbxContent>
            </v:textbox>
            <w10:wrap type="topAndBottom" anchorx="page"/>
          </v:shape>
        </w:pict>
      </w:r>
    </w:p>
    <w:p w14:paraId="2E4EAE5D" w14:textId="77777777" w:rsidR="00F65BCA" w:rsidRDefault="00F65BCA">
      <w:pPr>
        <w:pStyle w:val="Zkladntext"/>
        <w:spacing w:before="7"/>
        <w:rPr>
          <w:sz w:val="19"/>
        </w:rPr>
      </w:pPr>
    </w:p>
    <w:p w14:paraId="1B84028D" w14:textId="77777777" w:rsidR="00F65BCA" w:rsidRDefault="00000000">
      <w:pPr>
        <w:pStyle w:val="Odstavecseseznamem"/>
        <w:numPr>
          <w:ilvl w:val="0"/>
          <w:numId w:val="141"/>
        </w:numPr>
        <w:tabs>
          <w:tab w:val="left" w:pos="894"/>
        </w:tabs>
        <w:spacing w:before="105"/>
        <w:jc w:val="left"/>
        <w:rPr>
          <w:sz w:val="28"/>
        </w:rPr>
      </w:pPr>
      <w:r>
        <w:pict w14:anchorId="26BED730">
          <v:shape id="_x0000_s2335" style="position:absolute;left:0;text-align:left;margin-left:39.7pt;margin-top:23pt;width:504.6pt;height:.1pt;z-index:-251526144;mso-wrap-distance-left:0;mso-wrap-distance-right:0;mso-position-horizontal-relative:page" coordorigin="794,460" coordsize="10092,0" path="m794,460r10091,e" filled="f" strokecolor="#d1d3d4">
            <v:path arrowok="t"/>
            <w10:wrap type="topAndBottom" anchorx="page"/>
          </v:shape>
        </w:pict>
      </w:r>
      <w:r w:rsidR="00216117">
        <w:rPr>
          <w:color w:val="C5271C"/>
          <w:spacing w:val="-3"/>
          <w:sz w:val="28"/>
        </w:rPr>
        <w:t xml:space="preserve">Pojištění odpovědnosti </w:t>
      </w:r>
      <w:r w:rsidR="00216117">
        <w:rPr>
          <w:color w:val="C5271C"/>
          <w:sz w:val="28"/>
        </w:rPr>
        <w:t xml:space="preserve">z </w:t>
      </w:r>
      <w:r w:rsidR="00216117">
        <w:rPr>
          <w:color w:val="C5271C"/>
          <w:spacing w:val="-3"/>
          <w:sz w:val="28"/>
        </w:rPr>
        <w:t>provozu vozidla („povinné</w:t>
      </w:r>
      <w:r w:rsidR="00216117">
        <w:rPr>
          <w:color w:val="C5271C"/>
          <w:spacing w:val="-30"/>
          <w:sz w:val="28"/>
        </w:rPr>
        <w:t xml:space="preserve"> </w:t>
      </w:r>
      <w:r w:rsidR="00216117">
        <w:rPr>
          <w:color w:val="C5271C"/>
          <w:spacing w:val="-3"/>
          <w:sz w:val="28"/>
        </w:rPr>
        <w:t>ručení“)</w:t>
      </w:r>
    </w:p>
    <w:p w14:paraId="326289C1" w14:textId="77777777" w:rsidR="00F65BCA" w:rsidRDefault="00216117">
      <w:pPr>
        <w:pStyle w:val="Nadpis8"/>
        <w:numPr>
          <w:ilvl w:val="1"/>
          <w:numId w:val="141"/>
        </w:numPr>
        <w:tabs>
          <w:tab w:val="left" w:pos="1051"/>
        </w:tabs>
        <w:spacing w:before="181"/>
        <w:ind w:hanging="398"/>
      </w:pPr>
      <w:r>
        <w:rPr>
          <w:color w:val="231F20"/>
        </w:rPr>
        <w:t>Rozsah pojištění, výše pojistného plnění, limit pojistného</w:t>
      </w:r>
      <w:r>
        <w:rPr>
          <w:color w:val="231F20"/>
          <w:spacing w:val="-4"/>
        </w:rPr>
        <w:t xml:space="preserve"> </w:t>
      </w:r>
      <w:r>
        <w:rPr>
          <w:color w:val="231F20"/>
        </w:rPr>
        <w:t>plnění</w:t>
      </w:r>
    </w:p>
    <w:p w14:paraId="094B833D" w14:textId="77777777" w:rsidR="00F65BCA" w:rsidRDefault="00216117">
      <w:pPr>
        <w:pStyle w:val="Nadpis9"/>
        <w:spacing w:before="33" w:line="278" w:lineRule="auto"/>
        <w:ind w:left="1050" w:right="804"/>
        <w:jc w:val="left"/>
      </w:pPr>
      <w:r>
        <w:rPr>
          <w:color w:val="231F20"/>
        </w:rPr>
        <w:t>Povinné ručení kryje újmy způsobené jiné osobě provozem vozidla a chrání tak pojištěného před jejich nepříznivým finanč- ním dopadem.</w:t>
      </w:r>
    </w:p>
    <w:p w14:paraId="30F671A2" w14:textId="77777777" w:rsidR="00F65BCA" w:rsidRDefault="00000000">
      <w:pPr>
        <w:pStyle w:val="Zkladntext"/>
        <w:spacing w:before="5"/>
        <w:rPr>
          <w:sz w:val="14"/>
        </w:rPr>
      </w:pPr>
      <w:r>
        <w:pict w14:anchorId="0252041D">
          <v:shape id="_x0000_s2334" type="#_x0000_t202" style="position:absolute;margin-left:59.55pt;margin-top:9.5pt;width:485pt;height:37.8pt;z-index:-251525120;mso-wrap-distance-left:0;mso-wrap-distance-right:0;mso-position-horizontal-relative:page" fillcolor="#e6e7e8" stroked="f">
            <v:textbox inset="0,0,0,0">
              <w:txbxContent>
                <w:p w14:paraId="35CA0418" w14:textId="77777777" w:rsidR="00F65BCA" w:rsidRDefault="00216117">
                  <w:pPr>
                    <w:spacing w:before="154" w:line="276" w:lineRule="auto"/>
                    <w:ind w:left="226" w:right="71"/>
                    <w:rPr>
                      <w:sz w:val="18"/>
                    </w:rPr>
                  </w:pPr>
                  <w:r>
                    <w:rPr>
                      <w:color w:val="231F20"/>
                      <w:sz w:val="18"/>
                    </w:rPr>
                    <w:t>Pojišťovna uhradí poškozenému újmu na zdraví nebo vzniklou usmrcením, škodu vzniklou poškozením, zničením nebo ztrátou věci, ušlý zisk a v ZPOV stanovených případech náklady spojené s právním zastoupením.</w:t>
                  </w:r>
                </w:p>
              </w:txbxContent>
            </v:textbox>
            <w10:wrap type="topAndBottom" anchorx="page"/>
          </v:shape>
        </w:pict>
      </w:r>
    </w:p>
    <w:p w14:paraId="79722FB6" w14:textId="77777777" w:rsidR="00F65BCA" w:rsidRDefault="00F65BCA">
      <w:pPr>
        <w:pStyle w:val="Zkladntext"/>
        <w:spacing w:before="8"/>
        <w:rPr>
          <w:sz w:val="10"/>
        </w:rPr>
      </w:pPr>
    </w:p>
    <w:p w14:paraId="2C9D4D7B" w14:textId="77777777" w:rsidR="00F65BCA" w:rsidRDefault="00216117">
      <w:pPr>
        <w:pStyle w:val="Nadpis9"/>
        <w:spacing w:before="103" w:line="278" w:lineRule="auto"/>
        <w:ind w:left="1050" w:right="877"/>
      </w:pPr>
      <w:r>
        <w:rPr>
          <w:color w:val="231F20"/>
        </w:rPr>
        <w:t>Pojišťovna poskytne pojistné plnění za podmínek a v rozsahu uvedeném v příslušných ustanoveních platné legislativy upravující</w:t>
      </w:r>
      <w:r>
        <w:rPr>
          <w:color w:val="231F20"/>
          <w:spacing w:val="-4"/>
        </w:rPr>
        <w:t xml:space="preserve"> </w:t>
      </w:r>
      <w:r>
        <w:rPr>
          <w:color w:val="231F20"/>
        </w:rPr>
        <w:t>pojištění</w:t>
      </w:r>
      <w:r>
        <w:rPr>
          <w:color w:val="231F20"/>
          <w:spacing w:val="-4"/>
        </w:rPr>
        <w:t xml:space="preserve"> </w:t>
      </w:r>
      <w:r>
        <w:rPr>
          <w:color w:val="231F20"/>
        </w:rPr>
        <w:t>odpovědnosti</w:t>
      </w:r>
      <w:r>
        <w:rPr>
          <w:color w:val="231F20"/>
          <w:spacing w:val="-3"/>
        </w:rPr>
        <w:t xml:space="preserve"> </w:t>
      </w:r>
      <w:r>
        <w:rPr>
          <w:color w:val="231F20"/>
        </w:rPr>
        <w:t>z</w:t>
      </w:r>
      <w:r>
        <w:rPr>
          <w:color w:val="231F20"/>
          <w:spacing w:val="-3"/>
        </w:rPr>
        <w:t xml:space="preserve"> </w:t>
      </w:r>
      <w:r>
        <w:rPr>
          <w:color w:val="231F20"/>
        </w:rPr>
        <w:t>provozu</w:t>
      </w:r>
      <w:r>
        <w:rPr>
          <w:color w:val="231F20"/>
          <w:spacing w:val="-2"/>
        </w:rPr>
        <w:t xml:space="preserve"> </w:t>
      </w:r>
      <w:r>
        <w:rPr>
          <w:color w:val="231F20"/>
        </w:rPr>
        <w:t>vozidla</w:t>
      </w:r>
      <w:r>
        <w:rPr>
          <w:color w:val="231F20"/>
          <w:spacing w:val="-4"/>
        </w:rPr>
        <w:t xml:space="preserve"> </w:t>
      </w:r>
      <w:r>
        <w:rPr>
          <w:color w:val="231F20"/>
        </w:rPr>
        <w:t>(„</w:t>
      </w:r>
      <w:r>
        <w:rPr>
          <w:b/>
          <w:color w:val="231F20"/>
        </w:rPr>
        <w:t>ZPOV</w:t>
      </w:r>
      <w:r>
        <w:rPr>
          <w:color w:val="231F20"/>
        </w:rPr>
        <w:t>“)</w:t>
      </w:r>
      <w:r>
        <w:rPr>
          <w:color w:val="231F20"/>
          <w:spacing w:val="-2"/>
        </w:rPr>
        <w:t xml:space="preserve"> </w:t>
      </w:r>
      <w:r>
        <w:rPr>
          <w:color w:val="231F20"/>
        </w:rPr>
        <w:t>a</w:t>
      </w:r>
      <w:r>
        <w:rPr>
          <w:color w:val="231F20"/>
          <w:spacing w:val="-2"/>
        </w:rPr>
        <w:t xml:space="preserve"> </w:t>
      </w:r>
      <w:r>
        <w:rPr>
          <w:color w:val="231F20"/>
        </w:rPr>
        <w:t>zákona</w:t>
      </w:r>
      <w:r>
        <w:rPr>
          <w:color w:val="231F20"/>
          <w:spacing w:val="-3"/>
        </w:rPr>
        <w:t xml:space="preserve"> </w:t>
      </w:r>
      <w:r>
        <w:rPr>
          <w:color w:val="231F20"/>
        </w:rPr>
        <w:t>č.</w:t>
      </w:r>
      <w:r>
        <w:rPr>
          <w:color w:val="231F20"/>
          <w:spacing w:val="-2"/>
        </w:rPr>
        <w:t xml:space="preserve"> </w:t>
      </w:r>
      <w:r>
        <w:rPr>
          <w:color w:val="231F20"/>
        </w:rPr>
        <w:t>89/2012</w:t>
      </w:r>
      <w:r>
        <w:rPr>
          <w:color w:val="231F20"/>
          <w:spacing w:val="-3"/>
        </w:rPr>
        <w:t xml:space="preserve"> </w:t>
      </w:r>
      <w:r>
        <w:rPr>
          <w:color w:val="231F20"/>
        </w:rPr>
        <w:t>Sb.,</w:t>
      </w:r>
      <w:r>
        <w:rPr>
          <w:color w:val="231F20"/>
          <w:spacing w:val="-2"/>
        </w:rPr>
        <w:t xml:space="preserve"> </w:t>
      </w:r>
      <w:r>
        <w:rPr>
          <w:color w:val="231F20"/>
        </w:rPr>
        <w:t>občanský</w:t>
      </w:r>
      <w:r>
        <w:rPr>
          <w:color w:val="231F20"/>
          <w:spacing w:val="-3"/>
        </w:rPr>
        <w:t xml:space="preserve"> </w:t>
      </w:r>
      <w:r>
        <w:rPr>
          <w:color w:val="231F20"/>
        </w:rPr>
        <w:t>zákoník,</w:t>
      </w:r>
      <w:r>
        <w:rPr>
          <w:color w:val="231F20"/>
          <w:spacing w:val="-2"/>
        </w:rPr>
        <w:t xml:space="preserve"> </w:t>
      </w:r>
      <w:r>
        <w:rPr>
          <w:color w:val="231F20"/>
        </w:rPr>
        <w:t>v</w:t>
      </w:r>
      <w:r>
        <w:rPr>
          <w:color w:val="231F20"/>
          <w:spacing w:val="-3"/>
        </w:rPr>
        <w:t xml:space="preserve"> </w:t>
      </w:r>
      <w:r>
        <w:rPr>
          <w:color w:val="231F20"/>
        </w:rPr>
        <w:t>platném</w:t>
      </w:r>
      <w:r>
        <w:rPr>
          <w:color w:val="231F20"/>
          <w:spacing w:val="-2"/>
        </w:rPr>
        <w:t xml:space="preserve"> </w:t>
      </w:r>
      <w:r>
        <w:rPr>
          <w:color w:val="231F20"/>
          <w:spacing w:val="-3"/>
        </w:rPr>
        <w:t xml:space="preserve">znění </w:t>
      </w:r>
      <w:r>
        <w:rPr>
          <w:color w:val="231F20"/>
        </w:rPr>
        <w:t>(dále jen „</w:t>
      </w:r>
      <w:r>
        <w:rPr>
          <w:b/>
          <w:color w:val="231F20"/>
        </w:rPr>
        <w:t>zákoník</w:t>
      </w:r>
      <w:r>
        <w:rPr>
          <w:color w:val="231F20"/>
        </w:rPr>
        <w:t>“), maximálně však do výše limitu pojistného plnění stanoveného v seznamu</w:t>
      </w:r>
      <w:r>
        <w:rPr>
          <w:color w:val="231F20"/>
          <w:spacing w:val="9"/>
        </w:rPr>
        <w:t xml:space="preserve"> </w:t>
      </w:r>
      <w:r>
        <w:rPr>
          <w:color w:val="231F20"/>
        </w:rPr>
        <w:t>vozidel.</w:t>
      </w:r>
    </w:p>
    <w:p w14:paraId="29B244F9" w14:textId="77777777" w:rsidR="00F65BCA" w:rsidRDefault="00F65BCA">
      <w:pPr>
        <w:pStyle w:val="Zkladntext"/>
        <w:spacing w:before="9"/>
        <w:rPr>
          <w:sz w:val="20"/>
        </w:rPr>
      </w:pPr>
    </w:p>
    <w:p w14:paraId="370CBD67" w14:textId="77777777" w:rsidR="00F65BCA" w:rsidRDefault="00216117">
      <w:pPr>
        <w:pStyle w:val="Nadpis8"/>
        <w:numPr>
          <w:ilvl w:val="1"/>
          <w:numId w:val="141"/>
        </w:numPr>
        <w:tabs>
          <w:tab w:val="left" w:pos="1051"/>
        </w:tabs>
        <w:spacing w:before="1"/>
        <w:ind w:hanging="398"/>
      </w:pPr>
      <w:r>
        <w:rPr>
          <w:color w:val="231F20"/>
        </w:rPr>
        <w:t>Výluky z</w:t>
      </w:r>
      <w:r>
        <w:rPr>
          <w:color w:val="231F20"/>
          <w:spacing w:val="-1"/>
        </w:rPr>
        <w:t xml:space="preserve"> </w:t>
      </w:r>
      <w:r>
        <w:rPr>
          <w:color w:val="231F20"/>
        </w:rPr>
        <w:t>pojištění</w:t>
      </w:r>
    </w:p>
    <w:p w14:paraId="7ECAF40D" w14:textId="77777777" w:rsidR="00F65BCA" w:rsidRDefault="00216117">
      <w:pPr>
        <w:pStyle w:val="Nadpis9"/>
        <w:spacing w:before="33" w:line="278" w:lineRule="auto"/>
        <w:ind w:left="1050" w:right="874"/>
        <w:jc w:val="left"/>
      </w:pPr>
      <w:r>
        <w:rPr>
          <w:color w:val="231F20"/>
        </w:rPr>
        <w:t>Výlukami</w:t>
      </w:r>
      <w:r>
        <w:rPr>
          <w:color w:val="231F20"/>
          <w:spacing w:val="-8"/>
        </w:rPr>
        <w:t xml:space="preserve"> </w:t>
      </w:r>
      <w:r>
        <w:rPr>
          <w:color w:val="231F20"/>
        </w:rPr>
        <w:t>se</w:t>
      </w:r>
      <w:r>
        <w:rPr>
          <w:color w:val="231F20"/>
          <w:spacing w:val="-8"/>
        </w:rPr>
        <w:t xml:space="preserve"> </w:t>
      </w:r>
      <w:r>
        <w:rPr>
          <w:color w:val="231F20"/>
        </w:rPr>
        <w:t>rozumí</w:t>
      </w:r>
      <w:r>
        <w:rPr>
          <w:color w:val="231F20"/>
          <w:spacing w:val="-8"/>
        </w:rPr>
        <w:t xml:space="preserve"> </w:t>
      </w:r>
      <w:r>
        <w:rPr>
          <w:color w:val="231F20"/>
        </w:rPr>
        <w:t>věci</w:t>
      </w:r>
      <w:r>
        <w:rPr>
          <w:color w:val="231F20"/>
          <w:spacing w:val="-7"/>
        </w:rPr>
        <w:t xml:space="preserve"> </w:t>
      </w:r>
      <w:r>
        <w:rPr>
          <w:color w:val="231F20"/>
        </w:rPr>
        <w:t>nebo</w:t>
      </w:r>
      <w:r>
        <w:rPr>
          <w:color w:val="231F20"/>
          <w:spacing w:val="-8"/>
        </w:rPr>
        <w:t xml:space="preserve"> </w:t>
      </w:r>
      <w:r>
        <w:rPr>
          <w:color w:val="231F20"/>
        </w:rPr>
        <w:t>nebezpečí,</w:t>
      </w:r>
      <w:r>
        <w:rPr>
          <w:color w:val="231F20"/>
          <w:spacing w:val="-8"/>
        </w:rPr>
        <w:t xml:space="preserve"> </w:t>
      </w:r>
      <w:r>
        <w:rPr>
          <w:color w:val="231F20"/>
        </w:rPr>
        <w:t>které</w:t>
      </w:r>
      <w:r>
        <w:rPr>
          <w:color w:val="231F20"/>
          <w:spacing w:val="-7"/>
        </w:rPr>
        <w:t xml:space="preserve"> </w:t>
      </w:r>
      <w:r>
        <w:rPr>
          <w:color w:val="231F20"/>
        </w:rPr>
        <w:t>jsou</w:t>
      </w:r>
      <w:r>
        <w:rPr>
          <w:color w:val="231F20"/>
          <w:spacing w:val="-8"/>
        </w:rPr>
        <w:t xml:space="preserve"> </w:t>
      </w:r>
      <w:r>
        <w:rPr>
          <w:b/>
          <w:color w:val="231F20"/>
        </w:rPr>
        <w:t>vyňaty</w:t>
      </w:r>
      <w:r>
        <w:rPr>
          <w:b/>
          <w:color w:val="231F20"/>
          <w:spacing w:val="-8"/>
        </w:rPr>
        <w:t xml:space="preserve"> </w:t>
      </w:r>
      <w:r>
        <w:rPr>
          <w:b/>
          <w:color w:val="231F20"/>
        </w:rPr>
        <w:t>z</w:t>
      </w:r>
      <w:r>
        <w:rPr>
          <w:b/>
          <w:color w:val="231F20"/>
          <w:spacing w:val="-7"/>
        </w:rPr>
        <w:t xml:space="preserve"> </w:t>
      </w:r>
      <w:r>
        <w:rPr>
          <w:b/>
          <w:color w:val="231F20"/>
        </w:rPr>
        <w:t>pojistného</w:t>
      </w:r>
      <w:r>
        <w:rPr>
          <w:b/>
          <w:color w:val="231F20"/>
          <w:spacing w:val="-8"/>
        </w:rPr>
        <w:t xml:space="preserve"> </w:t>
      </w:r>
      <w:r>
        <w:rPr>
          <w:b/>
          <w:color w:val="231F20"/>
        </w:rPr>
        <w:t>krytí</w:t>
      </w:r>
      <w:r>
        <w:rPr>
          <w:color w:val="231F20"/>
        </w:rPr>
        <w:t>.</w:t>
      </w:r>
      <w:r>
        <w:rPr>
          <w:color w:val="231F20"/>
          <w:spacing w:val="-8"/>
        </w:rPr>
        <w:t xml:space="preserve"> </w:t>
      </w:r>
      <w:r>
        <w:rPr>
          <w:color w:val="231F20"/>
        </w:rPr>
        <w:t>V</w:t>
      </w:r>
      <w:r>
        <w:rPr>
          <w:color w:val="231F20"/>
          <w:spacing w:val="-7"/>
        </w:rPr>
        <w:t xml:space="preserve"> </w:t>
      </w:r>
      <w:r>
        <w:rPr>
          <w:color w:val="231F20"/>
        </w:rPr>
        <w:t>rámci</w:t>
      </w:r>
      <w:r>
        <w:rPr>
          <w:color w:val="231F20"/>
          <w:spacing w:val="-8"/>
        </w:rPr>
        <w:t xml:space="preserve"> </w:t>
      </w:r>
      <w:r>
        <w:rPr>
          <w:color w:val="231F20"/>
        </w:rPr>
        <w:t>výluk</w:t>
      </w:r>
      <w:r>
        <w:rPr>
          <w:color w:val="231F20"/>
          <w:spacing w:val="-8"/>
        </w:rPr>
        <w:t xml:space="preserve"> </w:t>
      </w:r>
      <w:r>
        <w:rPr>
          <w:color w:val="231F20"/>
        </w:rPr>
        <w:t>jsou</w:t>
      </w:r>
      <w:r>
        <w:rPr>
          <w:color w:val="231F20"/>
          <w:spacing w:val="-8"/>
        </w:rPr>
        <w:t xml:space="preserve"> </w:t>
      </w:r>
      <w:r>
        <w:rPr>
          <w:color w:val="231F20"/>
        </w:rPr>
        <w:t>tedy</w:t>
      </w:r>
      <w:r>
        <w:rPr>
          <w:color w:val="231F20"/>
          <w:spacing w:val="-7"/>
        </w:rPr>
        <w:t xml:space="preserve"> </w:t>
      </w:r>
      <w:r>
        <w:rPr>
          <w:color w:val="231F20"/>
        </w:rPr>
        <w:t>stanoveny</w:t>
      </w:r>
      <w:r>
        <w:rPr>
          <w:color w:val="231F20"/>
          <w:spacing w:val="-8"/>
        </w:rPr>
        <w:t xml:space="preserve"> </w:t>
      </w:r>
      <w:r>
        <w:rPr>
          <w:color w:val="231F20"/>
        </w:rPr>
        <w:t>podmín- ky, za kterých Pojišťovna neposkytne pojistné</w:t>
      </w:r>
      <w:r>
        <w:rPr>
          <w:color w:val="231F20"/>
          <w:spacing w:val="1"/>
        </w:rPr>
        <w:t xml:space="preserve"> </w:t>
      </w:r>
      <w:r>
        <w:rPr>
          <w:color w:val="231F20"/>
        </w:rPr>
        <w:t>plnění.</w:t>
      </w:r>
    </w:p>
    <w:p w14:paraId="4B019C8B" w14:textId="77777777" w:rsidR="00F65BCA" w:rsidRDefault="00216117">
      <w:pPr>
        <w:pStyle w:val="Nadpis9"/>
        <w:ind w:left="1050"/>
        <w:jc w:val="left"/>
      </w:pPr>
      <w:r>
        <w:rPr>
          <w:color w:val="231F20"/>
        </w:rPr>
        <w:t>Pojišťovna nehradí újmy a škody, které jsou uvedeny v</w:t>
      </w:r>
      <w:r>
        <w:rPr>
          <w:color w:val="231F20"/>
          <w:spacing w:val="-11"/>
        </w:rPr>
        <w:t xml:space="preserve"> </w:t>
      </w:r>
      <w:r>
        <w:rPr>
          <w:color w:val="231F20"/>
        </w:rPr>
        <w:t>ZPOV.</w:t>
      </w:r>
    </w:p>
    <w:p w14:paraId="17DF6A39" w14:textId="77777777" w:rsidR="00F65BCA" w:rsidRDefault="00F65BCA">
      <w:pPr>
        <w:pStyle w:val="Zkladntext"/>
        <w:spacing w:before="8"/>
        <w:rPr>
          <w:sz w:val="23"/>
        </w:rPr>
      </w:pPr>
    </w:p>
    <w:p w14:paraId="70FACB7F" w14:textId="77777777" w:rsidR="00F65BCA" w:rsidRDefault="00216117">
      <w:pPr>
        <w:pStyle w:val="Nadpis8"/>
        <w:numPr>
          <w:ilvl w:val="1"/>
          <w:numId w:val="141"/>
        </w:numPr>
        <w:tabs>
          <w:tab w:val="left" w:pos="1051"/>
        </w:tabs>
        <w:ind w:hanging="398"/>
      </w:pPr>
      <w:r>
        <w:rPr>
          <w:color w:val="231F20"/>
        </w:rPr>
        <w:t>Právo</w:t>
      </w:r>
      <w:r>
        <w:rPr>
          <w:color w:val="231F20"/>
          <w:spacing w:val="-9"/>
        </w:rPr>
        <w:t xml:space="preserve"> </w:t>
      </w:r>
      <w:r>
        <w:rPr>
          <w:color w:val="231F20"/>
        </w:rPr>
        <w:t>Pojišťovny</w:t>
      </w:r>
      <w:r>
        <w:rPr>
          <w:color w:val="231F20"/>
          <w:spacing w:val="-9"/>
        </w:rPr>
        <w:t xml:space="preserve"> </w:t>
      </w:r>
      <w:r>
        <w:rPr>
          <w:color w:val="231F20"/>
        </w:rPr>
        <w:t>na</w:t>
      </w:r>
      <w:r>
        <w:rPr>
          <w:color w:val="231F20"/>
          <w:spacing w:val="-9"/>
        </w:rPr>
        <w:t xml:space="preserve"> </w:t>
      </w:r>
      <w:r>
        <w:rPr>
          <w:color w:val="231F20"/>
        </w:rPr>
        <w:t>úhradu</w:t>
      </w:r>
      <w:r>
        <w:rPr>
          <w:color w:val="231F20"/>
          <w:spacing w:val="-8"/>
        </w:rPr>
        <w:t xml:space="preserve"> </w:t>
      </w:r>
      <w:r>
        <w:rPr>
          <w:color w:val="231F20"/>
        </w:rPr>
        <w:t>vyplacené</w:t>
      </w:r>
      <w:r>
        <w:rPr>
          <w:color w:val="231F20"/>
          <w:spacing w:val="-9"/>
        </w:rPr>
        <w:t xml:space="preserve"> </w:t>
      </w:r>
      <w:r>
        <w:rPr>
          <w:color w:val="231F20"/>
        </w:rPr>
        <w:t>částky</w:t>
      </w:r>
    </w:p>
    <w:p w14:paraId="605DA937" w14:textId="77777777" w:rsidR="00F65BCA" w:rsidRDefault="00216117">
      <w:pPr>
        <w:pStyle w:val="Nadpis9"/>
        <w:spacing w:before="33"/>
        <w:ind w:left="1050"/>
        <w:jc w:val="left"/>
      </w:pPr>
      <w:r>
        <w:rPr>
          <w:color w:val="231F20"/>
        </w:rPr>
        <w:t>Pojišťovna má proti pojištěnému právo na náhradu toho, co za něho plnila v případech uvedených v ZPOV.</w:t>
      </w:r>
    </w:p>
    <w:p w14:paraId="04319A58" w14:textId="77777777" w:rsidR="00F65BCA" w:rsidRDefault="00F65BCA">
      <w:pPr>
        <w:pStyle w:val="Zkladntext"/>
        <w:spacing w:before="8"/>
        <w:rPr>
          <w:sz w:val="23"/>
        </w:rPr>
      </w:pPr>
    </w:p>
    <w:p w14:paraId="7DFAE301" w14:textId="77777777" w:rsidR="00F65BCA" w:rsidRDefault="00216117">
      <w:pPr>
        <w:pStyle w:val="Nadpis8"/>
        <w:numPr>
          <w:ilvl w:val="1"/>
          <w:numId w:val="141"/>
        </w:numPr>
        <w:tabs>
          <w:tab w:val="left" w:pos="1051"/>
        </w:tabs>
        <w:spacing w:before="1"/>
        <w:ind w:hanging="398"/>
        <w:jc w:val="both"/>
      </w:pPr>
      <w:r>
        <w:rPr>
          <w:color w:val="231F20"/>
        </w:rPr>
        <w:t>Pojištění „Přímá</w:t>
      </w:r>
      <w:r>
        <w:rPr>
          <w:color w:val="231F20"/>
          <w:spacing w:val="-1"/>
        </w:rPr>
        <w:t xml:space="preserve"> </w:t>
      </w:r>
      <w:r>
        <w:rPr>
          <w:color w:val="231F20"/>
        </w:rPr>
        <w:t>likvidace“</w:t>
      </w:r>
    </w:p>
    <w:p w14:paraId="1CE390AE" w14:textId="77777777" w:rsidR="00F65BCA" w:rsidRDefault="00216117">
      <w:pPr>
        <w:pStyle w:val="Nadpis9"/>
        <w:spacing w:before="33" w:line="278" w:lineRule="auto"/>
        <w:ind w:left="1050" w:right="877"/>
      </w:pPr>
      <w:r>
        <w:rPr>
          <w:color w:val="231F20"/>
        </w:rPr>
        <w:t>Pojištění Přímá likvidace je doplňkové škodové pojištění. Pojistné období je shodné s ujednaným pojistným obdobím</w:t>
      </w:r>
      <w:r>
        <w:rPr>
          <w:color w:val="231F20"/>
          <w:spacing w:val="-24"/>
        </w:rPr>
        <w:t xml:space="preserve"> </w:t>
      </w:r>
      <w:r>
        <w:rPr>
          <w:color w:val="231F20"/>
        </w:rPr>
        <w:t>sjed- naným pro pojištění odpovědnosti. Zanikne-li pojištění odpovědnosti vozidla, zaniká současně i pojištění Přímá likvidace. Pojišťovna poskytne v rozsahu a způsobem stanoveným v pojistné smlouvě a VPP pojistné plnění</w:t>
      </w:r>
      <w:r>
        <w:rPr>
          <w:color w:val="231F20"/>
          <w:spacing w:val="7"/>
        </w:rPr>
        <w:t xml:space="preserve"> </w:t>
      </w:r>
      <w:r>
        <w:rPr>
          <w:color w:val="231F20"/>
        </w:rPr>
        <w:t>spočívající:</w:t>
      </w:r>
    </w:p>
    <w:p w14:paraId="61322BAA" w14:textId="77777777" w:rsidR="00F65BCA" w:rsidRDefault="00216117">
      <w:pPr>
        <w:pStyle w:val="Nadpis9"/>
        <w:numPr>
          <w:ilvl w:val="2"/>
          <w:numId w:val="141"/>
        </w:numPr>
        <w:tabs>
          <w:tab w:val="left" w:pos="1221"/>
        </w:tabs>
        <w:spacing w:line="207" w:lineRule="exact"/>
        <w:ind w:left="1220"/>
      </w:pPr>
      <w:r>
        <w:rPr>
          <w:color w:val="231F20"/>
        </w:rPr>
        <w:t>v poskytnutí pojistného plnění odpovídajícího náhradě skutečné škody na pojištěném</w:t>
      </w:r>
      <w:r>
        <w:rPr>
          <w:color w:val="231F20"/>
          <w:spacing w:val="8"/>
        </w:rPr>
        <w:t xml:space="preserve"> </w:t>
      </w:r>
      <w:r>
        <w:rPr>
          <w:color w:val="231F20"/>
        </w:rPr>
        <w:t>vozidle,</w:t>
      </w:r>
    </w:p>
    <w:p w14:paraId="5CC20B66" w14:textId="77777777" w:rsidR="00F65BCA" w:rsidRDefault="00216117">
      <w:pPr>
        <w:pStyle w:val="Nadpis9"/>
        <w:numPr>
          <w:ilvl w:val="2"/>
          <w:numId w:val="141"/>
        </w:numPr>
        <w:tabs>
          <w:tab w:val="left" w:pos="1221"/>
        </w:tabs>
        <w:spacing w:before="33" w:line="278" w:lineRule="auto"/>
        <w:ind w:right="3499" w:firstLine="0"/>
        <w:jc w:val="left"/>
      </w:pPr>
      <w:r>
        <w:rPr>
          <w:color w:val="231F20"/>
        </w:rPr>
        <w:t>v úhradě vynaložených nákladů na pronájem náhradního vozidla oprávněné osobě. Podmínky za kterých Pojišťovna poskytne pojistné plnění a výluky jsou uvedeny ve</w:t>
      </w:r>
      <w:r>
        <w:rPr>
          <w:color w:val="231F20"/>
          <w:spacing w:val="14"/>
        </w:rPr>
        <w:t xml:space="preserve"> </w:t>
      </w:r>
      <w:r>
        <w:rPr>
          <w:color w:val="231F20"/>
          <w:spacing w:val="-5"/>
        </w:rPr>
        <w:t>VPP.</w:t>
      </w:r>
    </w:p>
    <w:p w14:paraId="1B3C1E73" w14:textId="77777777" w:rsidR="00F65BCA" w:rsidRDefault="00216117">
      <w:pPr>
        <w:pStyle w:val="Nadpis9"/>
        <w:spacing w:line="278" w:lineRule="auto"/>
        <w:ind w:left="1050" w:right="804"/>
        <w:jc w:val="left"/>
      </w:pPr>
      <w:r>
        <w:rPr>
          <w:color w:val="231F20"/>
        </w:rPr>
        <w:t>Oprávněná osoba může postoupit právo na pojistné plnění z pojištění Přímá likvidace pouze s písemným souhlasem Po- jišťovny.</w:t>
      </w:r>
    </w:p>
    <w:p w14:paraId="6C68E5CF" w14:textId="77777777" w:rsidR="00F65BCA" w:rsidRDefault="00F65BCA">
      <w:pPr>
        <w:pStyle w:val="Zkladntext"/>
        <w:rPr>
          <w:sz w:val="20"/>
        </w:rPr>
      </w:pPr>
    </w:p>
    <w:p w14:paraId="0F4533B5" w14:textId="77777777" w:rsidR="00F65BCA" w:rsidRDefault="00F65BCA">
      <w:pPr>
        <w:pStyle w:val="Zkladntext"/>
        <w:spacing w:before="5"/>
        <w:rPr>
          <w:sz w:val="20"/>
        </w:rPr>
      </w:pPr>
    </w:p>
    <w:p w14:paraId="6CDD63D1" w14:textId="77777777" w:rsidR="00F65BCA" w:rsidRDefault="00000000">
      <w:pPr>
        <w:pStyle w:val="Odstavecseseznamem"/>
        <w:numPr>
          <w:ilvl w:val="0"/>
          <w:numId w:val="141"/>
        </w:numPr>
        <w:tabs>
          <w:tab w:val="left" w:pos="1108"/>
        </w:tabs>
        <w:ind w:left="1107" w:hanging="455"/>
        <w:jc w:val="both"/>
        <w:rPr>
          <w:sz w:val="28"/>
        </w:rPr>
      </w:pPr>
      <w:r>
        <w:pict w14:anchorId="1F747E71">
          <v:shape id="_x0000_s2333" style="position:absolute;left:0;text-align:left;margin-left:39.7pt;margin-top:17.75pt;width:504.6pt;height:.1pt;z-index:-251524096;mso-wrap-distance-left:0;mso-wrap-distance-right:0;mso-position-horizontal-relative:page" coordorigin="794,355" coordsize="10092,0" path="m794,355r10091,e" filled="f" strokecolor="#d1d3d4">
            <v:path arrowok="t"/>
            <w10:wrap type="topAndBottom" anchorx="page"/>
          </v:shape>
        </w:pict>
      </w:r>
      <w:r w:rsidR="00216117">
        <w:rPr>
          <w:color w:val="C5271C"/>
          <w:sz w:val="28"/>
        </w:rPr>
        <w:t>Pojištění vozidel a dopravovaných věcí</w:t>
      </w:r>
    </w:p>
    <w:p w14:paraId="044B4A8E" w14:textId="77777777" w:rsidR="00F65BCA" w:rsidRDefault="00216117">
      <w:pPr>
        <w:pStyle w:val="Nadpis9"/>
        <w:spacing w:before="111" w:line="278" w:lineRule="auto"/>
        <w:ind w:left="653" w:right="877"/>
      </w:pPr>
      <w:r>
        <w:rPr>
          <w:color w:val="231F20"/>
        </w:rPr>
        <w:t>Pojištění se vztahuje na vozidlo (včetně standardní výbavy), kterému byla přidělena platná česká registrační značka, která je   v době vzniku pojistné události umístěna na vozidle. Na doplňkovou a ostatní výbavu vozidla se pojištění vztahuje jen tehdy, byla-li uvedena v pojistné smlouvě a byla-li v době vzniku pojistné události pevně spojená s vozidlem. Na přepravované věci</w:t>
      </w:r>
      <w:r>
        <w:rPr>
          <w:color w:val="231F20"/>
          <w:spacing w:val="-34"/>
        </w:rPr>
        <w:t xml:space="preserve"> </w:t>
      </w:r>
      <w:r>
        <w:rPr>
          <w:color w:val="231F20"/>
        </w:rPr>
        <w:t>se pojištění vztahuje jen tehdy, bylo-li tak ujednáno v pojistné</w:t>
      </w:r>
      <w:r>
        <w:rPr>
          <w:color w:val="231F20"/>
          <w:spacing w:val="4"/>
        </w:rPr>
        <w:t xml:space="preserve"> </w:t>
      </w:r>
      <w:r>
        <w:rPr>
          <w:color w:val="231F20"/>
        </w:rPr>
        <w:t>smlouvě.</w:t>
      </w:r>
    </w:p>
    <w:p w14:paraId="5777E65A" w14:textId="77777777" w:rsidR="00F65BCA" w:rsidRDefault="00F65BCA">
      <w:pPr>
        <w:pStyle w:val="Zkladntext"/>
        <w:spacing w:before="4"/>
        <w:rPr>
          <w:sz w:val="20"/>
        </w:rPr>
      </w:pPr>
    </w:p>
    <w:p w14:paraId="2DCCF073" w14:textId="77777777" w:rsidR="00F65BCA" w:rsidRDefault="00216117">
      <w:pPr>
        <w:pStyle w:val="Nadpis8"/>
        <w:numPr>
          <w:ilvl w:val="1"/>
          <w:numId w:val="141"/>
        </w:numPr>
        <w:tabs>
          <w:tab w:val="left" w:pos="1051"/>
        </w:tabs>
        <w:ind w:hanging="398"/>
        <w:jc w:val="both"/>
      </w:pPr>
      <w:r>
        <w:rPr>
          <w:color w:val="231F20"/>
        </w:rPr>
        <w:t>Havarijní pojištění (rozsah pojištění, pojistné plnění, specifická</w:t>
      </w:r>
      <w:r>
        <w:rPr>
          <w:color w:val="231F20"/>
          <w:spacing w:val="-4"/>
        </w:rPr>
        <w:t xml:space="preserve"> </w:t>
      </w:r>
      <w:r>
        <w:rPr>
          <w:color w:val="231F20"/>
        </w:rPr>
        <w:t>ujednání)</w:t>
      </w:r>
    </w:p>
    <w:p w14:paraId="2A3138E1" w14:textId="77777777" w:rsidR="00F65BCA" w:rsidRDefault="00216117">
      <w:pPr>
        <w:pStyle w:val="Nadpis9"/>
        <w:spacing w:before="33" w:line="278" w:lineRule="auto"/>
        <w:ind w:left="1050" w:right="894"/>
        <w:jc w:val="left"/>
      </w:pPr>
      <w:r>
        <w:rPr>
          <w:color w:val="231F20"/>
        </w:rPr>
        <w:t>Havarijní pojištění je nabízeno v několika variantách rozsahu pojistné ochrany (produktů), přičemž rozsah pojištění pro tyto jednotlivé varianty shrnuje níže uvedená tabulka:</w:t>
      </w:r>
    </w:p>
    <w:p w14:paraId="3D5FE60E" w14:textId="77777777" w:rsidR="00F65BCA" w:rsidRDefault="00F65BCA">
      <w:pPr>
        <w:pStyle w:val="Zkladntext"/>
        <w:rPr>
          <w:sz w:val="20"/>
        </w:rPr>
      </w:pPr>
    </w:p>
    <w:p w14:paraId="23098A85" w14:textId="77777777" w:rsidR="00F65BCA" w:rsidRDefault="00F65BCA">
      <w:pPr>
        <w:pStyle w:val="Zkladntext"/>
        <w:rPr>
          <w:sz w:val="20"/>
        </w:rPr>
      </w:pPr>
    </w:p>
    <w:p w14:paraId="4013C537" w14:textId="77777777" w:rsidR="00F65BCA" w:rsidRDefault="00F65BCA">
      <w:pPr>
        <w:pStyle w:val="Zkladntext"/>
        <w:rPr>
          <w:sz w:val="20"/>
        </w:rPr>
      </w:pPr>
    </w:p>
    <w:p w14:paraId="5181B1F6" w14:textId="77777777" w:rsidR="00F65BCA" w:rsidRDefault="00F65BCA">
      <w:pPr>
        <w:pStyle w:val="Zkladntext"/>
        <w:spacing w:before="9"/>
        <w:rPr>
          <w:sz w:val="16"/>
        </w:rPr>
      </w:pPr>
    </w:p>
    <w:p w14:paraId="7795022E" w14:textId="77777777" w:rsidR="00F65BCA" w:rsidRDefault="00000000">
      <w:pPr>
        <w:tabs>
          <w:tab w:val="left" w:pos="9351"/>
        </w:tabs>
        <w:spacing w:before="103"/>
        <w:ind w:left="653"/>
        <w:rPr>
          <w:sz w:val="14"/>
        </w:rPr>
      </w:pPr>
      <w:r>
        <w:pict w14:anchorId="5323677B">
          <v:line id="_x0000_s2332" style="position:absolute;left:0;text-align:left;z-index:251793408;mso-position-horizontal-relative:page" from="0,-7.65pt" to="595.3pt,-7.65pt" strokecolor="#c5271c" strokeweight="1pt">
            <w10:wrap anchorx="page"/>
          </v:line>
        </w:pict>
      </w:r>
      <w:r w:rsidR="00216117">
        <w:rPr>
          <w:color w:val="231F20"/>
          <w:sz w:val="16"/>
        </w:rPr>
        <w:t xml:space="preserve">8  </w:t>
      </w:r>
      <w:r w:rsidR="00216117">
        <w:rPr>
          <w:color w:val="C5271C"/>
          <w:sz w:val="20"/>
        </w:rPr>
        <w:t>|</w:t>
      </w:r>
      <w:r w:rsidR="00216117">
        <w:rPr>
          <w:color w:val="C5271C"/>
          <w:spacing w:val="52"/>
          <w:sz w:val="20"/>
        </w:rPr>
        <w:t xml:space="preserve"> </w:t>
      </w:r>
      <w:r w:rsidR="00216117">
        <w:rPr>
          <w:color w:val="231F20"/>
          <w:sz w:val="16"/>
        </w:rPr>
        <w:t>Předsmluvní informace</w:t>
      </w:r>
      <w:r w:rsidR="00216117">
        <w:rPr>
          <w:color w:val="231F20"/>
          <w:sz w:val="16"/>
        </w:rPr>
        <w:tab/>
      </w:r>
      <w:r w:rsidR="00216117">
        <w:rPr>
          <w:color w:val="231F20"/>
          <w:sz w:val="14"/>
        </w:rPr>
        <w:t>6.20.012 05.2025 v04</w:t>
      </w:r>
    </w:p>
    <w:p w14:paraId="2A819A6B" w14:textId="77777777" w:rsidR="00F65BCA" w:rsidRDefault="00F65BCA">
      <w:pPr>
        <w:rPr>
          <w:sz w:val="14"/>
        </w:rPr>
        <w:sectPr w:rsidR="00F65BCA">
          <w:pgSz w:w="11910" w:h="16840"/>
          <w:pgMar w:top="540" w:right="140" w:bottom="0" w:left="140" w:header="708" w:footer="708" w:gutter="0"/>
          <w:cols w:space="708"/>
        </w:sectPr>
      </w:pPr>
    </w:p>
    <w:p w14:paraId="490DD084" w14:textId="77777777" w:rsidR="00F65BCA" w:rsidRDefault="00000000">
      <w:pPr>
        <w:pStyle w:val="Nadpis9"/>
        <w:spacing w:before="82" w:line="278" w:lineRule="auto"/>
        <w:ind w:left="7173" w:right="651"/>
      </w:pPr>
      <w:r>
        <w:lastRenderedPageBreak/>
        <w:pict w14:anchorId="1045AD88">
          <v:shape id="_x0000_s2331" type="#_x0000_t202" style="position:absolute;left:0;text-align:left;margin-left:70.35pt;margin-top:6.1pt;width:270.8pt;height:90.15pt;z-index:251796480;mso-position-horizontal-relative:page" filled="f" stroked="f">
            <v:textbox inset="0,0,0,0">
              <w:txbxContent>
                <w:tbl>
                  <w:tblPr>
                    <w:tblStyle w:val="TableNormal"/>
                    <w:tblW w:w="0" w:type="auto"/>
                    <w:tblInd w:w="7" w:type="dxa"/>
                    <w:tblBorders>
                      <w:top w:val="single" w:sz="8" w:space="0" w:color="C5271C"/>
                      <w:left w:val="single" w:sz="8" w:space="0" w:color="C5271C"/>
                      <w:bottom w:val="single" w:sz="8" w:space="0" w:color="C5271C"/>
                      <w:right w:val="single" w:sz="8" w:space="0" w:color="C5271C"/>
                      <w:insideH w:val="single" w:sz="8" w:space="0" w:color="C5271C"/>
                      <w:insideV w:val="single" w:sz="8" w:space="0" w:color="C5271C"/>
                    </w:tblBorders>
                    <w:tblLayout w:type="fixed"/>
                    <w:tblLook w:val="01E0" w:firstRow="1" w:lastRow="1" w:firstColumn="1" w:lastColumn="1" w:noHBand="0" w:noVBand="0"/>
                  </w:tblPr>
                  <w:tblGrid>
                    <w:gridCol w:w="1644"/>
                    <w:gridCol w:w="907"/>
                    <w:gridCol w:w="1020"/>
                    <w:gridCol w:w="907"/>
                    <w:gridCol w:w="907"/>
                  </w:tblGrid>
                  <w:tr w:rsidR="00F65BCA" w14:paraId="4F31A087" w14:textId="77777777">
                    <w:trPr>
                      <w:trHeight w:val="293"/>
                    </w:trPr>
                    <w:tc>
                      <w:tcPr>
                        <w:tcW w:w="1644" w:type="dxa"/>
                        <w:vMerge w:val="restart"/>
                        <w:tcBorders>
                          <w:left w:val="nil"/>
                          <w:bottom w:val="single" w:sz="4" w:space="0" w:color="231F20"/>
                          <w:right w:val="single" w:sz="4" w:space="0" w:color="231F20"/>
                        </w:tcBorders>
                      </w:tcPr>
                      <w:p w14:paraId="3D343226" w14:textId="77777777" w:rsidR="00F65BCA" w:rsidRDefault="00F65BCA">
                        <w:pPr>
                          <w:pStyle w:val="TableParagraph"/>
                          <w:spacing w:before="4"/>
                          <w:rPr>
                            <w:sz w:val="24"/>
                          </w:rPr>
                        </w:pPr>
                      </w:p>
                      <w:p w14:paraId="1674ABFB" w14:textId="77777777" w:rsidR="00F65BCA" w:rsidRDefault="00216117">
                        <w:pPr>
                          <w:pStyle w:val="TableParagraph"/>
                          <w:ind w:left="229"/>
                          <w:rPr>
                            <w:sz w:val="16"/>
                          </w:rPr>
                        </w:pPr>
                        <w:r>
                          <w:rPr>
                            <w:color w:val="231F20"/>
                            <w:sz w:val="16"/>
                          </w:rPr>
                          <w:t>Varianta pojištění</w:t>
                        </w:r>
                      </w:p>
                    </w:tc>
                    <w:tc>
                      <w:tcPr>
                        <w:tcW w:w="3741" w:type="dxa"/>
                        <w:gridSpan w:val="4"/>
                        <w:tcBorders>
                          <w:left w:val="single" w:sz="4" w:space="0" w:color="231F20"/>
                          <w:bottom w:val="single" w:sz="4" w:space="0" w:color="231F20"/>
                          <w:right w:val="nil"/>
                        </w:tcBorders>
                      </w:tcPr>
                      <w:p w14:paraId="14F67D4D" w14:textId="77777777" w:rsidR="00F65BCA" w:rsidRDefault="00216117">
                        <w:pPr>
                          <w:pStyle w:val="TableParagraph"/>
                          <w:spacing w:before="54"/>
                          <w:ind w:left="85"/>
                          <w:rPr>
                            <w:sz w:val="16"/>
                          </w:rPr>
                        </w:pPr>
                        <w:r>
                          <w:rPr>
                            <w:color w:val="231F20"/>
                            <w:w w:val="105"/>
                            <w:sz w:val="16"/>
                          </w:rPr>
                          <w:t>Pojistná nebezpečí</w:t>
                        </w:r>
                      </w:p>
                    </w:tc>
                  </w:tr>
                  <w:tr w:rsidR="00F65BCA" w14:paraId="61416D46" w14:textId="77777777">
                    <w:trPr>
                      <w:trHeight w:val="443"/>
                    </w:trPr>
                    <w:tc>
                      <w:tcPr>
                        <w:tcW w:w="1644" w:type="dxa"/>
                        <w:vMerge/>
                        <w:tcBorders>
                          <w:top w:val="nil"/>
                          <w:left w:val="nil"/>
                          <w:bottom w:val="single" w:sz="4" w:space="0" w:color="231F20"/>
                          <w:right w:val="single" w:sz="4" w:space="0" w:color="231F20"/>
                        </w:tcBorders>
                      </w:tcPr>
                      <w:p w14:paraId="3DE845AB" w14:textId="77777777" w:rsidR="00F65BCA" w:rsidRDefault="00F65BCA">
                        <w:pPr>
                          <w:rPr>
                            <w:sz w:val="2"/>
                            <w:szCs w:val="2"/>
                          </w:rPr>
                        </w:pPr>
                      </w:p>
                    </w:tc>
                    <w:tc>
                      <w:tcPr>
                        <w:tcW w:w="907" w:type="dxa"/>
                        <w:tcBorders>
                          <w:top w:val="single" w:sz="4" w:space="0" w:color="231F20"/>
                          <w:left w:val="single" w:sz="4" w:space="0" w:color="231F20"/>
                          <w:bottom w:val="single" w:sz="4" w:space="0" w:color="231F20"/>
                          <w:right w:val="single" w:sz="4" w:space="0" w:color="231F20"/>
                        </w:tcBorders>
                      </w:tcPr>
                      <w:p w14:paraId="12C576CF" w14:textId="77777777" w:rsidR="00F65BCA" w:rsidRDefault="00216117">
                        <w:pPr>
                          <w:pStyle w:val="TableParagraph"/>
                          <w:spacing w:before="129"/>
                          <w:ind w:left="121" w:right="103"/>
                          <w:jc w:val="center"/>
                          <w:rPr>
                            <w:sz w:val="16"/>
                          </w:rPr>
                        </w:pPr>
                        <w:r>
                          <w:rPr>
                            <w:color w:val="231F20"/>
                            <w:sz w:val="16"/>
                          </w:rPr>
                          <w:t>Havárie</w:t>
                        </w:r>
                      </w:p>
                    </w:tc>
                    <w:tc>
                      <w:tcPr>
                        <w:tcW w:w="1020" w:type="dxa"/>
                        <w:tcBorders>
                          <w:top w:val="single" w:sz="4" w:space="0" w:color="231F20"/>
                          <w:left w:val="single" w:sz="4" w:space="0" w:color="231F20"/>
                          <w:bottom w:val="single" w:sz="4" w:space="0" w:color="231F20"/>
                          <w:right w:val="single" w:sz="4" w:space="0" w:color="231F20"/>
                        </w:tcBorders>
                      </w:tcPr>
                      <w:p w14:paraId="3C6B93D4" w14:textId="77777777" w:rsidR="00F65BCA" w:rsidRDefault="00216117">
                        <w:pPr>
                          <w:pStyle w:val="TableParagraph"/>
                          <w:spacing w:before="129"/>
                          <w:ind w:left="36" w:right="17"/>
                          <w:jc w:val="center"/>
                          <w:rPr>
                            <w:sz w:val="16"/>
                          </w:rPr>
                        </w:pPr>
                        <w:r>
                          <w:rPr>
                            <w:color w:val="231F20"/>
                            <w:sz w:val="16"/>
                          </w:rPr>
                          <w:t>Vandalismus</w:t>
                        </w:r>
                      </w:p>
                    </w:tc>
                    <w:tc>
                      <w:tcPr>
                        <w:tcW w:w="907" w:type="dxa"/>
                        <w:tcBorders>
                          <w:top w:val="single" w:sz="4" w:space="0" w:color="231F20"/>
                          <w:left w:val="single" w:sz="4" w:space="0" w:color="231F20"/>
                          <w:bottom w:val="single" w:sz="4" w:space="0" w:color="231F20"/>
                          <w:right w:val="single" w:sz="4" w:space="0" w:color="231F20"/>
                        </w:tcBorders>
                      </w:tcPr>
                      <w:p w14:paraId="06130170" w14:textId="77777777" w:rsidR="00F65BCA" w:rsidRDefault="00216117">
                        <w:pPr>
                          <w:pStyle w:val="TableParagraph"/>
                          <w:spacing w:before="129"/>
                          <w:ind w:left="122" w:right="103"/>
                          <w:jc w:val="center"/>
                          <w:rPr>
                            <w:sz w:val="16"/>
                          </w:rPr>
                        </w:pPr>
                        <w:r>
                          <w:rPr>
                            <w:color w:val="231F20"/>
                            <w:sz w:val="16"/>
                          </w:rPr>
                          <w:t>Odcizení</w:t>
                        </w:r>
                      </w:p>
                    </w:tc>
                    <w:tc>
                      <w:tcPr>
                        <w:tcW w:w="907" w:type="dxa"/>
                        <w:tcBorders>
                          <w:top w:val="single" w:sz="4" w:space="0" w:color="231F20"/>
                          <w:left w:val="single" w:sz="4" w:space="0" w:color="231F20"/>
                          <w:bottom w:val="single" w:sz="4" w:space="0" w:color="231F20"/>
                          <w:right w:val="nil"/>
                        </w:tcBorders>
                      </w:tcPr>
                      <w:p w14:paraId="222ADBDD" w14:textId="77777777" w:rsidR="00F65BCA" w:rsidRDefault="00216117">
                        <w:pPr>
                          <w:pStyle w:val="TableParagraph"/>
                          <w:spacing w:before="12" w:line="200" w:lineRule="atLeast"/>
                          <w:ind w:left="214" w:right="177" w:firstLine="40"/>
                          <w:rPr>
                            <w:sz w:val="16"/>
                          </w:rPr>
                        </w:pPr>
                        <w:r>
                          <w:rPr>
                            <w:color w:val="231F20"/>
                            <w:w w:val="90"/>
                            <w:sz w:val="16"/>
                          </w:rPr>
                          <w:t xml:space="preserve">Živelní </w:t>
                        </w:r>
                        <w:r>
                          <w:rPr>
                            <w:color w:val="231F20"/>
                            <w:w w:val="95"/>
                            <w:sz w:val="16"/>
                          </w:rPr>
                          <w:t>událost</w:t>
                        </w:r>
                      </w:p>
                    </w:tc>
                  </w:tr>
                  <w:tr w:rsidR="00F65BCA" w14:paraId="3DAC4515" w14:textId="77777777">
                    <w:trPr>
                      <w:trHeight w:val="245"/>
                    </w:trPr>
                    <w:tc>
                      <w:tcPr>
                        <w:tcW w:w="1644" w:type="dxa"/>
                        <w:tcBorders>
                          <w:top w:val="single" w:sz="4" w:space="0" w:color="231F20"/>
                          <w:left w:val="nil"/>
                          <w:bottom w:val="single" w:sz="4" w:space="0" w:color="231F20"/>
                          <w:right w:val="single" w:sz="4" w:space="0" w:color="231F20"/>
                        </w:tcBorders>
                      </w:tcPr>
                      <w:p w14:paraId="2609F4EB" w14:textId="77777777" w:rsidR="00F65BCA" w:rsidRDefault="00216117">
                        <w:pPr>
                          <w:pStyle w:val="TableParagraph"/>
                          <w:spacing w:before="29"/>
                          <w:ind w:left="89"/>
                          <w:rPr>
                            <w:b/>
                            <w:sz w:val="16"/>
                          </w:rPr>
                        </w:pPr>
                        <w:r>
                          <w:rPr>
                            <w:b/>
                            <w:color w:val="C5271C"/>
                            <w:sz w:val="16"/>
                          </w:rPr>
                          <w:t>All Risk</w:t>
                        </w:r>
                      </w:p>
                    </w:tc>
                    <w:tc>
                      <w:tcPr>
                        <w:tcW w:w="907" w:type="dxa"/>
                        <w:tcBorders>
                          <w:top w:val="single" w:sz="4" w:space="0" w:color="231F20"/>
                          <w:left w:val="single" w:sz="4" w:space="0" w:color="231F20"/>
                          <w:bottom w:val="single" w:sz="4" w:space="0" w:color="231F20"/>
                          <w:right w:val="single" w:sz="4" w:space="0" w:color="231F20"/>
                        </w:tcBorders>
                      </w:tcPr>
                      <w:p w14:paraId="670590B8" w14:textId="77777777" w:rsidR="00F65BCA" w:rsidRDefault="00216117">
                        <w:pPr>
                          <w:pStyle w:val="TableParagraph"/>
                          <w:spacing w:before="29"/>
                          <w:ind w:left="122" w:right="29"/>
                          <w:jc w:val="center"/>
                          <w:rPr>
                            <w:sz w:val="16"/>
                          </w:rPr>
                        </w:pPr>
                        <w:r>
                          <w:rPr>
                            <w:color w:val="231F20"/>
                            <w:sz w:val="16"/>
                          </w:rPr>
                          <w:t>Ano</w:t>
                        </w:r>
                      </w:p>
                    </w:tc>
                    <w:tc>
                      <w:tcPr>
                        <w:tcW w:w="1020" w:type="dxa"/>
                        <w:tcBorders>
                          <w:top w:val="single" w:sz="4" w:space="0" w:color="231F20"/>
                          <w:left w:val="single" w:sz="4" w:space="0" w:color="231F20"/>
                          <w:bottom w:val="single" w:sz="4" w:space="0" w:color="231F20"/>
                          <w:right w:val="single" w:sz="4" w:space="0" w:color="231F20"/>
                        </w:tcBorders>
                      </w:tcPr>
                      <w:p w14:paraId="5B8DC945" w14:textId="77777777" w:rsidR="00F65BCA" w:rsidRDefault="00216117">
                        <w:pPr>
                          <w:pStyle w:val="TableParagraph"/>
                          <w:spacing w:before="29"/>
                          <w:ind w:left="111" w:right="17"/>
                          <w:jc w:val="center"/>
                          <w:rPr>
                            <w:sz w:val="16"/>
                          </w:rPr>
                        </w:pPr>
                        <w:r>
                          <w:rPr>
                            <w:color w:val="231F20"/>
                            <w:sz w:val="16"/>
                          </w:rPr>
                          <w:t>Ano</w:t>
                        </w:r>
                      </w:p>
                    </w:tc>
                    <w:tc>
                      <w:tcPr>
                        <w:tcW w:w="907" w:type="dxa"/>
                        <w:tcBorders>
                          <w:top w:val="single" w:sz="4" w:space="0" w:color="231F20"/>
                          <w:left w:val="single" w:sz="4" w:space="0" w:color="231F20"/>
                          <w:bottom w:val="single" w:sz="4" w:space="0" w:color="231F20"/>
                          <w:right w:val="single" w:sz="4" w:space="0" w:color="231F20"/>
                        </w:tcBorders>
                      </w:tcPr>
                      <w:p w14:paraId="696F4184" w14:textId="77777777" w:rsidR="00F65BCA" w:rsidRDefault="00216117">
                        <w:pPr>
                          <w:pStyle w:val="TableParagraph"/>
                          <w:spacing w:before="29"/>
                          <w:ind w:left="122" w:right="28"/>
                          <w:jc w:val="center"/>
                          <w:rPr>
                            <w:sz w:val="16"/>
                          </w:rPr>
                        </w:pPr>
                        <w:r>
                          <w:rPr>
                            <w:color w:val="231F20"/>
                            <w:sz w:val="16"/>
                          </w:rPr>
                          <w:t>Ano</w:t>
                        </w:r>
                      </w:p>
                    </w:tc>
                    <w:tc>
                      <w:tcPr>
                        <w:tcW w:w="907" w:type="dxa"/>
                        <w:tcBorders>
                          <w:top w:val="single" w:sz="4" w:space="0" w:color="231F20"/>
                          <w:left w:val="single" w:sz="4" w:space="0" w:color="231F20"/>
                          <w:bottom w:val="single" w:sz="4" w:space="0" w:color="231F20"/>
                          <w:right w:val="nil"/>
                        </w:tcBorders>
                      </w:tcPr>
                      <w:p w14:paraId="6C3162E8" w14:textId="77777777" w:rsidR="00F65BCA" w:rsidRDefault="00216117">
                        <w:pPr>
                          <w:pStyle w:val="TableParagraph"/>
                          <w:spacing w:before="29"/>
                          <w:ind w:right="266"/>
                          <w:jc w:val="right"/>
                          <w:rPr>
                            <w:sz w:val="16"/>
                          </w:rPr>
                        </w:pPr>
                        <w:r>
                          <w:rPr>
                            <w:color w:val="231F20"/>
                            <w:w w:val="95"/>
                            <w:sz w:val="16"/>
                          </w:rPr>
                          <w:t>Ano</w:t>
                        </w:r>
                      </w:p>
                    </w:tc>
                  </w:tr>
                  <w:tr w:rsidR="00F65BCA" w14:paraId="285E8DFF" w14:textId="77777777">
                    <w:trPr>
                      <w:trHeight w:val="245"/>
                    </w:trPr>
                    <w:tc>
                      <w:tcPr>
                        <w:tcW w:w="1644" w:type="dxa"/>
                        <w:tcBorders>
                          <w:top w:val="single" w:sz="4" w:space="0" w:color="231F20"/>
                          <w:left w:val="nil"/>
                          <w:bottom w:val="single" w:sz="4" w:space="0" w:color="231F20"/>
                          <w:right w:val="single" w:sz="4" w:space="0" w:color="231F20"/>
                        </w:tcBorders>
                      </w:tcPr>
                      <w:p w14:paraId="14E31890" w14:textId="77777777" w:rsidR="00F65BCA" w:rsidRDefault="00216117">
                        <w:pPr>
                          <w:pStyle w:val="TableParagraph"/>
                          <w:spacing w:before="29"/>
                          <w:ind w:left="89"/>
                          <w:rPr>
                            <w:b/>
                            <w:sz w:val="16"/>
                          </w:rPr>
                        </w:pPr>
                        <w:r>
                          <w:rPr>
                            <w:b/>
                            <w:color w:val="C5271C"/>
                            <w:sz w:val="16"/>
                          </w:rPr>
                          <w:t>Expres</w:t>
                        </w:r>
                      </w:p>
                    </w:tc>
                    <w:tc>
                      <w:tcPr>
                        <w:tcW w:w="907" w:type="dxa"/>
                        <w:tcBorders>
                          <w:top w:val="single" w:sz="4" w:space="0" w:color="231F20"/>
                          <w:left w:val="single" w:sz="4" w:space="0" w:color="231F20"/>
                          <w:bottom w:val="single" w:sz="4" w:space="0" w:color="231F20"/>
                          <w:right w:val="single" w:sz="4" w:space="0" w:color="231F20"/>
                        </w:tcBorders>
                      </w:tcPr>
                      <w:p w14:paraId="67320F4C" w14:textId="77777777" w:rsidR="00F65BCA" w:rsidRDefault="00216117">
                        <w:pPr>
                          <w:pStyle w:val="TableParagraph"/>
                          <w:spacing w:before="29"/>
                          <w:ind w:left="122" w:right="29"/>
                          <w:jc w:val="center"/>
                          <w:rPr>
                            <w:sz w:val="16"/>
                          </w:rPr>
                        </w:pPr>
                        <w:r>
                          <w:rPr>
                            <w:color w:val="231F20"/>
                            <w:sz w:val="16"/>
                          </w:rPr>
                          <w:t>Ano</w:t>
                        </w:r>
                      </w:p>
                    </w:tc>
                    <w:tc>
                      <w:tcPr>
                        <w:tcW w:w="1020" w:type="dxa"/>
                        <w:tcBorders>
                          <w:top w:val="single" w:sz="4" w:space="0" w:color="231F20"/>
                          <w:left w:val="single" w:sz="4" w:space="0" w:color="231F20"/>
                          <w:bottom w:val="single" w:sz="4" w:space="0" w:color="231F20"/>
                          <w:right w:val="single" w:sz="4" w:space="0" w:color="231F20"/>
                        </w:tcBorders>
                      </w:tcPr>
                      <w:p w14:paraId="0681BF4A" w14:textId="77777777" w:rsidR="00F65BCA" w:rsidRDefault="00216117">
                        <w:pPr>
                          <w:pStyle w:val="TableParagraph"/>
                          <w:spacing w:before="29"/>
                          <w:ind w:left="111" w:right="17"/>
                          <w:jc w:val="center"/>
                          <w:rPr>
                            <w:sz w:val="16"/>
                          </w:rPr>
                        </w:pPr>
                        <w:r>
                          <w:rPr>
                            <w:color w:val="231F20"/>
                            <w:sz w:val="16"/>
                          </w:rPr>
                          <w:t>Ano</w:t>
                        </w:r>
                      </w:p>
                    </w:tc>
                    <w:tc>
                      <w:tcPr>
                        <w:tcW w:w="907" w:type="dxa"/>
                        <w:tcBorders>
                          <w:top w:val="single" w:sz="4" w:space="0" w:color="231F20"/>
                          <w:left w:val="single" w:sz="4" w:space="0" w:color="231F20"/>
                          <w:bottom w:val="single" w:sz="4" w:space="0" w:color="231F20"/>
                          <w:right w:val="single" w:sz="4" w:space="0" w:color="231F20"/>
                        </w:tcBorders>
                      </w:tcPr>
                      <w:p w14:paraId="3A9423D8" w14:textId="77777777" w:rsidR="00F65BCA" w:rsidRDefault="00216117">
                        <w:pPr>
                          <w:pStyle w:val="TableParagraph"/>
                          <w:spacing w:before="29"/>
                          <w:ind w:left="122" w:right="28"/>
                          <w:jc w:val="center"/>
                          <w:rPr>
                            <w:sz w:val="16"/>
                          </w:rPr>
                        </w:pPr>
                        <w:r>
                          <w:rPr>
                            <w:color w:val="231F20"/>
                            <w:sz w:val="16"/>
                          </w:rPr>
                          <w:t>Ano</w:t>
                        </w:r>
                      </w:p>
                    </w:tc>
                    <w:tc>
                      <w:tcPr>
                        <w:tcW w:w="907" w:type="dxa"/>
                        <w:tcBorders>
                          <w:top w:val="single" w:sz="4" w:space="0" w:color="231F20"/>
                          <w:left w:val="single" w:sz="4" w:space="0" w:color="231F20"/>
                          <w:bottom w:val="single" w:sz="4" w:space="0" w:color="231F20"/>
                          <w:right w:val="nil"/>
                        </w:tcBorders>
                      </w:tcPr>
                      <w:p w14:paraId="602FE484" w14:textId="77777777" w:rsidR="00F65BCA" w:rsidRDefault="00216117">
                        <w:pPr>
                          <w:pStyle w:val="TableParagraph"/>
                          <w:spacing w:before="29"/>
                          <w:ind w:right="266"/>
                          <w:jc w:val="right"/>
                          <w:rPr>
                            <w:sz w:val="16"/>
                          </w:rPr>
                        </w:pPr>
                        <w:r>
                          <w:rPr>
                            <w:color w:val="231F20"/>
                            <w:w w:val="95"/>
                            <w:sz w:val="16"/>
                          </w:rPr>
                          <w:t>Ano</w:t>
                        </w:r>
                      </w:p>
                    </w:tc>
                  </w:tr>
                  <w:tr w:rsidR="00F65BCA" w14:paraId="1E66EAF6" w14:textId="77777777">
                    <w:trPr>
                      <w:trHeight w:val="245"/>
                    </w:trPr>
                    <w:tc>
                      <w:tcPr>
                        <w:tcW w:w="1644" w:type="dxa"/>
                        <w:tcBorders>
                          <w:top w:val="single" w:sz="4" w:space="0" w:color="231F20"/>
                          <w:left w:val="nil"/>
                          <w:bottom w:val="single" w:sz="4" w:space="0" w:color="231F20"/>
                          <w:right w:val="single" w:sz="4" w:space="0" w:color="231F20"/>
                        </w:tcBorders>
                      </w:tcPr>
                      <w:p w14:paraId="4E7A34A5" w14:textId="77777777" w:rsidR="00F65BCA" w:rsidRDefault="00216117">
                        <w:pPr>
                          <w:pStyle w:val="TableParagraph"/>
                          <w:spacing w:before="29"/>
                          <w:ind w:left="89"/>
                          <w:rPr>
                            <w:b/>
                            <w:sz w:val="16"/>
                          </w:rPr>
                        </w:pPr>
                        <w:r>
                          <w:rPr>
                            <w:b/>
                            <w:color w:val="C5271C"/>
                            <w:sz w:val="16"/>
                          </w:rPr>
                          <w:t>Havárie a živel</w:t>
                        </w:r>
                      </w:p>
                    </w:tc>
                    <w:tc>
                      <w:tcPr>
                        <w:tcW w:w="907" w:type="dxa"/>
                        <w:tcBorders>
                          <w:top w:val="single" w:sz="4" w:space="0" w:color="231F20"/>
                          <w:left w:val="single" w:sz="4" w:space="0" w:color="231F20"/>
                          <w:bottom w:val="single" w:sz="4" w:space="0" w:color="231F20"/>
                          <w:right w:val="single" w:sz="4" w:space="0" w:color="231F20"/>
                        </w:tcBorders>
                      </w:tcPr>
                      <w:p w14:paraId="414282F2" w14:textId="77777777" w:rsidR="00F65BCA" w:rsidRDefault="00216117">
                        <w:pPr>
                          <w:pStyle w:val="TableParagraph"/>
                          <w:spacing w:before="29"/>
                          <w:ind w:left="122" w:right="29"/>
                          <w:jc w:val="center"/>
                          <w:rPr>
                            <w:sz w:val="16"/>
                          </w:rPr>
                        </w:pPr>
                        <w:r>
                          <w:rPr>
                            <w:color w:val="231F20"/>
                            <w:sz w:val="16"/>
                          </w:rPr>
                          <w:t>Ano</w:t>
                        </w:r>
                      </w:p>
                    </w:tc>
                    <w:tc>
                      <w:tcPr>
                        <w:tcW w:w="1020" w:type="dxa"/>
                        <w:tcBorders>
                          <w:top w:val="single" w:sz="4" w:space="0" w:color="231F20"/>
                          <w:left w:val="single" w:sz="4" w:space="0" w:color="231F20"/>
                          <w:bottom w:val="single" w:sz="4" w:space="0" w:color="231F20"/>
                          <w:right w:val="single" w:sz="4" w:space="0" w:color="231F20"/>
                        </w:tcBorders>
                      </w:tcPr>
                      <w:p w14:paraId="2FA6520F" w14:textId="77777777" w:rsidR="00F65BCA" w:rsidRDefault="00216117">
                        <w:pPr>
                          <w:pStyle w:val="TableParagraph"/>
                          <w:spacing w:before="29"/>
                          <w:ind w:left="111" w:right="17"/>
                          <w:jc w:val="center"/>
                          <w:rPr>
                            <w:sz w:val="16"/>
                          </w:rPr>
                        </w:pPr>
                        <w:r>
                          <w:rPr>
                            <w:color w:val="231F20"/>
                            <w:sz w:val="16"/>
                          </w:rPr>
                          <w:t>Ano</w:t>
                        </w:r>
                      </w:p>
                    </w:tc>
                    <w:tc>
                      <w:tcPr>
                        <w:tcW w:w="907" w:type="dxa"/>
                        <w:tcBorders>
                          <w:top w:val="single" w:sz="4" w:space="0" w:color="231F20"/>
                          <w:left w:val="single" w:sz="4" w:space="0" w:color="231F20"/>
                          <w:bottom w:val="single" w:sz="4" w:space="0" w:color="231F20"/>
                          <w:right w:val="single" w:sz="4" w:space="0" w:color="231F20"/>
                        </w:tcBorders>
                      </w:tcPr>
                      <w:p w14:paraId="1AA6E29E" w14:textId="77777777" w:rsidR="00F65BCA" w:rsidRDefault="00F65BCA">
                        <w:pPr>
                          <w:pStyle w:val="TableParagraph"/>
                          <w:rPr>
                            <w:rFonts w:ascii="Times New Roman"/>
                            <w:sz w:val="16"/>
                          </w:rPr>
                        </w:pPr>
                      </w:p>
                    </w:tc>
                    <w:tc>
                      <w:tcPr>
                        <w:tcW w:w="907" w:type="dxa"/>
                        <w:tcBorders>
                          <w:top w:val="single" w:sz="4" w:space="0" w:color="231F20"/>
                          <w:left w:val="single" w:sz="4" w:space="0" w:color="231F20"/>
                          <w:bottom w:val="single" w:sz="4" w:space="0" w:color="231F20"/>
                          <w:right w:val="nil"/>
                        </w:tcBorders>
                      </w:tcPr>
                      <w:p w14:paraId="0F5080B9" w14:textId="77777777" w:rsidR="00F65BCA" w:rsidRDefault="00216117">
                        <w:pPr>
                          <w:pStyle w:val="TableParagraph"/>
                          <w:spacing w:before="29"/>
                          <w:ind w:right="266"/>
                          <w:jc w:val="right"/>
                          <w:rPr>
                            <w:sz w:val="16"/>
                          </w:rPr>
                        </w:pPr>
                        <w:r>
                          <w:rPr>
                            <w:color w:val="231F20"/>
                            <w:w w:val="95"/>
                            <w:sz w:val="16"/>
                          </w:rPr>
                          <w:t>Ano</w:t>
                        </w:r>
                      </w:p>
                    </w:tc>
                  </w:tr>
                  <w:tr w:rsidR="00F65BCA" w14:paraId="26D4B231" w14:textId="77777777">
                    <w:trPr>
                      <w:trHeight w:val="240"/>
                    </w:trPr>
                    <w:tc>
                      <w:tcPr>
                        <w:tcW w:w="1644" w:type="dxa"/>
                        <w:tcBorders>
                          <w:top w:val="single" w:sz="4" w:space="0" w:color="231F20"/>
                          <w:left w:val="nil"/>
                          <w:right w:val="single" w:sz="4" w:space="0" w:color="231F20"/>
                        </w:tcBorders>
                      </w:tcPr>
                      <w:p w14:paraId="6D50AA38" w14:textId="77777777" w:rsidR="00F65BCA" w:rsidRDefault="00216117">
                        <w:pPr>
                          <w:pStyle w:val="TableParagraph"/>
                          <w:spacing w:before="27"/>
                          <w:ind w:left="89"/>
                          <w:rPr>
                            <w:b/>
                            <w:sz w:val="16"/>
                          </w:rPr>
                        </w:pPr>
                        <w:r>
                          <w:rPr>
                            <w:b/>
                            <w:color w:val="C5271C"/>
                            <w:sz w:val="16"/>
                          </w:rPr>
                          <w:t>Odcizení a živel</w:t>
                        </w:r>
                      </w:p>
                    </w:tc>
                    <w:tc>
                      <w:tcPr>
                        <w:tcW w:w="907" w:type="dxa"/>
                        <w:tcBorders>
                          <w:top w:val="single" w:sz="4" w:space="0" w:color="231F20"/>
                          <w:left w:val="single" w:sz="4" w:space="0" w:color="231F20"/>
                          <w:right w:val="single" w:sz="4" w:space="0" w:color="231F20"/>
                        </w:tcBorders>
                      </w:tcPr>
                      <w:p w14:paraId="4A9F11CA" w14:textId="77777777" w:rsidR="00F65BCA" w:rsidRDefault="00F65BCA">
                        <w:pPr>
                          <w:pStyle w:val="TableParagraph"/>
                          <w:rPr>
                            <w:rFonts w:ascii="Times New Roman"/>
                            <w:sz w:val="16"/>
                          </w:rPr>
                        </w:pPr>
                      </w:p>
                    </w:tc>
                    <w:tc>
                      <w:tcPr>
                        <w:tcW w:w="1020" w:type="dxa"/>
                        <w:tcBorders>
                          <w:top w:val="single" w:sz="4" w:space="0" w:color="231F20"/>
                          <w:left w:val="single" w:sz="4" w:space="0" w:color="231F20"/>
                          <w:right w:val="single" w:sz="4" w:space="0" w:color="231F20"/>
                        </w:tcBorders>
                      </w:tcPr>
                      <w:p w14:paraId="537A5E81" w14:textId="77777777" w:rsidR="00F65BCA" w:rsidRDefault="00F65BCA">
                        <w:pPr>
                          <w:pStyle w:val="TableParagraph"/>
                          <w:rPr>
                            <w:rFonts w:ascii="Times New Roman"/>
                            <w:sz w:val="16"/>
                          </w:rPr>
                        </w:pPr>
                      </w:p>
                    </w:tc>
                    <w:tc>
                      <w:tcPr>
                        <w:tcW w:w="907" w:type="dxa"/>
                        <w:tcBorders>
                          <w:top w:val="single" w:sz="4" w:space="0" w:color="231F20"/>
                          <w:left w:val="single" w:sz="4" w:space="0" w:color="231F20"/>
                          <w:right w:val="single" w:sz="4" w:space="0" w:color="231F20"/>
                        </w:tcBorders>
                      </w:tcPr>
                      <w:p w14:paraId="188858D3" w14:textId="77777777" w:rsidR="00F65BCA" w:rsidRDefault="00216117">
                        <w:pPr>
                          <w:pStyle w:val="TableParagraph"/>
                          <w:spacing w:before="27"/>
                          <w:ind w:left="122" w:right="28"/>
                          <w:jc w:val="center"/>
                          <w:rPr>
                            <w:sz w:val="16"/>
                          </w:rPr>
                        </w:pPr>
                        <w:r>
                          <w:rPr>
                            <w:color w:val="231F20"/>
                            <w:sz w:val="16"/>
                          </w:rPr>
                          <w:t>Ano</w:t>
                        </w:r>
                      </w:p>
                    </w:tc>
                    <w:tc>
                      <w:tcPr>
                        <w:tcW w:w="907" w:type="dxa"/>
                        <w:tcBorders>
                          <w:top w:val="single" w:sz="4" w:space="0" w:color="231F20"/>
                          <w:left w:val="single" w:sz="4" w:space="0" w:color="231F20"/>
                          <w:right w:val="nil"/>
                        </w:tcBorders>
                      </w:tcPr>
                      <w:p w14:paraId="41C467F3" w14:textId="77777777" w:rsidR="00F65BCA" w:rsidRDefault="00216117">
                        <w:pPr>
                          <w:pStyle w:val="TableParagraph"/>
                          <w:spacing w:before="27"/>
                          <w:ind w:right="266"/>
                          <w:jc w:val="right"/>
                          <w:rPr>
                            <w:sz w:val="16"/>
                          </w:rPr>
                        </w:pPr>
                        <w:r>
                          <w:rPr>
                            <w:color w:val="231F20"/>
                            <w:w w:val="95"/>
                            <w:sz w:val="16"/>
                          </w:rPr>
                          <w:t>Ano</w:t>
                        </w:r>
                      </w:p>
                    </w:tc>
                  </w:tr>
                </w:tbl>
                <w:p w14:paraId="48C4BE45" w14:textId="77777777" w:rsidR="00F65BCA" w:rsidRDefault="00F65BCA">
                  <w:pPr>
                    <w:pStyle w:val="Zkladntext"/>
                  </w:pPr>
                </w:p>
              </w:txbxContent>
            </v:textbox>
            <w10:wrap anchorx="page"/>
          </v:shape>
        </w:pict>
      </w:r>
      <w:r w:rsidR="00216117">
        <w:rPr>
          <w:color w:val="231F20"/>
        </w:rPr>
        <w:t xml:space="preserve">Pojišťovna poskytne </w:t>
      </w:r>
      <w:r w:rsidR="00216117">
        <w:rPr>
          <w:b/>
          <w:color w:val="231F20"/>
        </w:rPr>
        <w:t xml:space="preserve">pojistné plnění </w:t>
      </w:r>
      <w:r w:rsidR="00216117">
        <w:rPr>
          <w:color w:val="231F20"/>
        </w:rPr>
        <w:t xml:space="preserve">za </w:t>
      </w:r>
      <w:r w:rsidR="00216117">
        <w:rPr>
          <w:color w:val="231F20"/>
          <w:spacing w:val="-4"/>
        </w:rPr>
        <w:t xml:space="preserve">vznik- </w:t>
      </w:r>
      <w:r w:rsidR="00216117">
        <w:rPr>
          <w:color w:val="231F20"/>
        </w:rPr>
        <w:t xml:space="preserve">lou škodu, a to v rozsahu a způsobem stano- veným v  pojistné  smlouvě,  seznamu  vozidel a VPP, maximálně však do výše horní </w:t>
      </w:r>
      <w:r w:rsidR="00216117">
        <w:rPr>
          <w:color w:val="231F20"/>
          <w:spacing w:val="-3"/>
        </w:rPr>
        <w:t xml:space="preserve">hranice </w:t>
      </w:r>
      <w:r w:rsidR="00216117">
        <w:rPr>
          <w:color w:val="231F20"/>
        </w:rPr>
        <w:t>pojistného plnění sjednané v seznamu vozidel, a po odečtení případně sjednané</w:t>
      </w:r>
      <w:r w:rsidR="00216117">
        <w:rPr>
          <w:color w:val="231F20"/>
          <w:spacing w:val="44"/>
        </w:rPr>
        <w:t xml:space="preserve"> </w:t>
      </w:r>
      <w:r w:rsidR="00216117">
        <w:rPr>
          <w:color w:val="231F20"/>
        </w:rPr>
        <w:t>spoluúčasti.</w:t>
      </w:r>
    </w:p>
    <w:p w14:paraId="32052308" w14:textId="77777777" w:rsidR="00F65BCA" w:rsidRDefault="00F65BCA">
      <w:pPr>
        <w:pStyle w:val="Zkladntext"/>
        <w:rPr>
          <w:sz w:val="20"/>
        </w:rPr>
      </w:pPr>
    </w:p>
    <w:p w14:paraId="0A1DC3E6" w14:textId="77777777" w:rsidR="00F65BCA" w:rsidRDefault="00F65BCA">
      <w:pPr>
        <w:pStyle w:val="Zkladntext"/>
        <w:rPr>
          <w:sz w:val="20"/>
        </w:rPr>
      </w:pPr>
    </w:p>
    <w:p w14:paraId="32F107CD" w14:textId="77777777" w:rsidR="00F65BCA" w:rsidRDefault="00F65BCA">
      <w:pPr>
        <w:pStyle w:val="Zkladntext"/>
        <w:spacing w:before="1"/>
        <w:rPr>
          <w:sz w:val="19"/>
        </w:rPr>
      </w:pPr>
    </w:p>
    <w:p w14:paraId="63C5149E" w14:textId="77777777" w:rsidR="00F65BCA" w:rsidRDefault="00216117">
      <w:pPr>
        <w:pStyle w:val="Nadpis8"/>
        <w:spacing w:line="278" w:lineRule="auto"/>
        <w:ind w:left="1277" w:right="651"/>
      </w:pPr>
      <w:r>
        <w:rPr>
          <w:color w:val="231F20"/>
        </w:rPr>
        <w:t>Horní hranice pojistného plnění je určena pojistnou částkou nebo limitem pojistného plnění a v seznamu vozidel ji stanovuje pojistník na vlastní odpovědnost.</w:t>
      </w:r>
    </w:p>
    <w:p w14:paraId="1AB4E6BD" w14:textId="77777777" w:rsidR="00F65BCA" w:rsidRDefault="00216117">
      <w:pPr>
        <w:spacing w:before="113" w:line="278" w:lineRule="auto"/>
        <w:ind w:left="1277" w:right="651"/>
        <w:jc w:val="both"/>
        <w:rPr>
          <w:sz w:val="18"/>
        </w:rPr>
      </w:pPr>
      <w:r>
        <w:rPr>
          <w:b/>
          <w:color w:val="231F20"/>
          <w:sz w:val="18"/>
        </w:rPr>
        <w:t xml:space="preserve">Pojistná částka </w:t>
      </w:r>
      <w:r>
        <w:rPr>
          <w:color w:val="231F20"/>
          <w:sz w:val="18"/>
        </w:rPr>
        <w:t xml:space="preserve">by měla odpovídat </w:t>
      </w:r>
      <w:r>
        <w:rPr>
          <w:b/>
          <w:color w:val="231F20"/>
          <w:sz w:val="18"/>
        </w:rPr>
        <w:t xml:space="preserve">pojistné hodnotě vozidla </w:t>
      </w:r>
      <w:r>
        <w:rPr>
          <w:color w:val="231F20"/>
          <w:sz w:val="18"/>
        </w:rPr>
        <w:t xml:space="preserve">(včetně </w:t>
      </w:r>
      <w:r>
        <w:rPr>
          <w:b/>
          <w:color w:val="231F20"/>
          <w:sz w:val="18"/>
        </w:rPr>
        <w:t>doplňkové výbavy</w:t>
      </w:r>
      <w:r>
        <w:rPr>
          <w:color w:val="231F20"/>
          <w:sz w:val="18"/>
        </w:rPr>
        <w:t xml:space="preserve">) k datu sjednání pojištění. </w:t>
      </w:r>
      <w:r>
        <w:rPr>
          <w:b/>
          <w:color w:val="231F20"/>
          <w:sz w:val="18"/>
        </w:rPr>
        <w:t>Podpojištění</w:t>
      </w:r>
      <w:r>
        <w:rPr>
          <w:b/>
          <w:color w:val="231F20"/>
          <w:spacing w:val="-3"/>
          <w:sz w:val="18"/>
        </w:rPr>
        <w:t xml:space="preserve"> </w:t>
      </w:r>
      <w:r>
        <w:rPr>
          <w:b/>
          <w:color w:val="231F20"/>
          <w:sz w:val="18"/>
        </w:rPr>
        <w:t>vozidla</w:t>
      </w:r>
      <w:r>
        <w:rPr>
          <w:b/>
          <w:color w:val="231F20"/>
          <w:spacing w:val="-2"/>
          <w:sz w:val="18"/>
        </w:rPr>
        <w:t xml:space="preserve"> </w:t>
      </w:r>
      <w:r>
        <w:rPr>
          <w:b/>
          <w:color w:val="231F20"/>
          <w:sz w:val="18"/>
        </w:rPr>
        <w:t>a</w:t>
      </w:r>
      <w:r>
        <w:rPr>
          <w:b/>
          <w:color w:val="231F20"/>
          <w:spacing w:val="-3"/>
          <w:sz w:val="18"/>
        </w:rPr>
        <w:t xml:space="preserve"> </w:t>
      </w:r>
      <w:r>
        <w:rPr>
          <w:b/>
          <w:color w:val="231F20"/>
          <w:sz w:val="18"/>
        </w:rPr>
        <w:t>s</w:t>
      </w:r>
      <w:r>
        <w:rPr>
          <w:b/>
          <w:color w:val="231F20"/>
          <w:spacing w:val="-2"/>
          <w:sz w:val="18"/>
        </w:rPr>
        <w:t xml:space="preserve"> </w:t>
      </w:r>
      <w:r>
        <w:rPr>
          <w:b/>
          <w:color w:val="231F20"/>
          <w:sz w:val="18"/>
        </w:rPr>
        <w:t>ním</w:t>
      </w:r>
      <w:r>
        <w:rPr>
          <w:b/>
          <w:color w:val="231F20"/>
          <w:spacing w:val="-2"/>
          <w:sz w:val="18"/>
        </w:rPr>
        <w:t xml:space="preserve"> </w:t>
      </w:r>
      <w:r>
        <w:rPr>
          <w:b/>
          <w:color w:val="231F20"/>
          <w:sz w:val="18"/>
        </w:rPr>
        <w:t>spojené</w:t>
      </w:r>
      <w:r>
        <w:rPr>
          <w:b/>
          <w:color w:val="231F20"/>
          <w:spacing w:val="-3"/>
          <w:sz w:val="18"/>
        </w:rPr>
        <w:t xml:space="preserve"> </w:t>
      </w:r>
      <w:r>
        <w:rPr>
          <w:b/>
          <w:color w:val="231F20"/>
          <w:sz w:val="18"/>
        </w:rPr>
        <w:t>riziko</w:t>
      </w:r>
      <w:r>
        <w:rPr>
          <w:b/>
          <w:color w:val="231F20"/>
          <w:spacing w:val="-2"/>
          <w:sz w:val="18"/>
        </w:rPr>
        <w:t xml:space="preserve"> </w:t>
      </w:r>
      <w:r>
        <w:rPr>
          <w:b/>
          <w:color w:val="231F20"/>
          <w:sz w:val="18"/>
        </w:rPr>
        <w:t>krácení</w:t>
      </w:r>
      <w:r>
        <w:rPr>
          <w:b/>
          <w:color w:val="231F20"/>
          <w:spacing w:val="-2"/>
          <w:sz w:val="18"/>
        </w:rPr>
        <w:t xml:space="preserve"> </w:t>
      </w:r>
      <w:r>
        <w:rPr>
          <w:b/>
          <w:color w:val="231F20"/>
          <w:sz w:val="18"/>
        </w:rPr>
        <w:t>pojistného</w:t>
      </w:r>
      <w:r>
        <w:rPr>
          <w:b/>
          <w:color w:val="231F20"/>
          <w:spacing w:val="-3"/>
          <w:sz w:val="18"/>
        </w:rPr>
        <w:t xml:space="preserve"> </w:t>
      </w:r>
      <w:r>
        <w:rPr>
          <w:b/>
          <w:color w:val="231F20"/>
          <w:sz w:val="18"/>
        </w:rPr>
        <w:t>plnění</w:t>
      </w:r>
      <w:r>
        <w:rPr>
          <w:b/>
          <w:color w:val="231F20"/>
          <w:spacing w:val="-3"/>
          <w:sz w:val="18"/>
        </w:rPr>
        <w:t xml:space="preserve"> </w:t>
      </w:r>
      <w:r>
        <w:rPr>
          <w:color w:val="231F20"/>
          <w:sz w:val="18"/>
        </w:rPr>
        <w:t>–</w:t>
      </w:r>
      <w:r>
        <w:rPr>
          <w:color w:val="231F20"/>
          <w:spacing w:val="-2"/>
          <w:sz w:val="18"/>
        </w:rPr>
        <w:t xml:space="preserve"> </w:t>
      </w:r>
      <w:r>
        <w:rPr>
          <w:color w:val="231F20"/>
          <w:sz w:val="18"/>
        </w:rPr>
        <w:t>pokud</w:t>
      </w:r>
      <w:r>
        <w:rPr>
          <w:color w:val="231F20"/>
          <w:spacing w:val="-3"/>
          <w:sz w:val="18"/>
        </w:rPr>
        <w:t xml:space="preserve"> </w:t>
      </w:r>
      <w:r>
        <w:rPr>
          <w:color w:val="231F20"/>
          <w:sz w:val="18"/>
        </w:rPr>
        <w:t>by</w:t>
      </w:r>
      <w:r>
        <w:rPr>
          <w:color w:val="231F20"/>
          <w:spacing w:val="-2"/>
          <w:sz w:val="18"/>
        </w:rPr>
        <w:t xml:space="preserve"> </w:t>
      </w:r>
      <w:r>
        <w:rPr>
          <w:color w:val="231F20"/>
          <w:sz w:val="18"/>
        </w:rPr>
        <w:t>k</w:t>
      </w:r>
      <w:r>
        <w:rPr>
          <w:color w:val="231F20"/>
          <w:spacing w:val="-3"/>
          <w:sz w:val="18"/>
        </w:rPr>
        <w:t xml:space="preserve"> </w:t>
      </w:r>
      <w:r>
        <w:rPr>
          <w:color w:val="231F20"/>
          <w:sz w:val="18"/>
        </w:rPr>
        <w:t>datu</w:t>
      </w:r>
      <w:r>
        <w:rPr>
          <w:color w:val="231F20"/>
          <w:spacing w:val="-2"/>
          <w:sz w:val="18"/>
        </w:rPr>
        <w:t xml:space="preserve"> </w:t>
      </w:r>
      <w:r>
        <w:rPr>
          <w:color w:val="231F20"/>
          <w:sz w:val="18"/>
        </w:rPr>
        <w:t>pojistné</w:t>
      </w:r>
      <w:r>
        <w:rPr>
          <w:color w:val="231F20"/>
          <w:spacing w:val="-2"/>
          <w:sz w:val="18"/>
        </w:rPr>
        <w:t xml:space="preserve"> </w:t>
      </w:r>
      <w:r>
        <w:rPr>
          <w:color w:val="231F20"/>
          <w:sz w:val="18"/>
        </w:rPr>
        <w:t>události</w:t>
      </w:r>
      <w:r>
        <w:rPr>
          <w:color w:val="231F20"/>
          <w:spacing w:val="-3"/>
          <w:sz w:val="18"/>
        </w:rPr>
        <w:t xml:space="preserve"> </w:t>
      </w:r>
      <w:r>
        <w:rPr>
          <w:color w:val="231F20"/>
          <w:sz w:val="18"/>
        </w:rPr>
        <w:t>byla</w:t>
      </w:r>
      <w:r>
        <w:rPr>
          <w:color w:val="231F20"/>
          <w:spacing w:val="-2"/>
          <w:sz w:val="18"/>
        </w:rPr>
        <w:t xml:space="preserve"> </w:t>
      </w:r>
      <w:r>
        <w:rPr>
          <w:color w:val="231F20"/>
          <w:spacing w:val="-3"/>
          <w:sz w:val="18"/>
        </w:rPr>
        <w:t xml:space="preserve">pojistná </w:t>
      </w:r>
      <w:r>
        <w:rPr>
          <w:color w:val="231F20"/>
          <w:sz w:val="18"/>
        </w:rPr>
        <w:t>částka nižší, než je tržní hodnota vozidla, jednalo by se o podpojištění. V takovém případě Pojišťovna sníží pojistné</w:t>
      </w:r>
      <w:r>
        <w:rPr>
          <w:color w:val="231F20"/>
          <w:spacing w:val="-28"/>
          <w:sz w:val="18"/>
        </w:rPr>
        <w:t xml:space="preserve"> </w:t>
      </w:r>
      <w:r>
        <w:rPr>
          <w:color w:val="231F20"/>
          <w:sz w:val="18"/>
        </w:rPr>
        <w:t>plnění ve stejném poměru, v jakém je výše pojistné částky k tržní hodnotě</w:t>
      </w:r>
      <w:r>
        <w:rPr>
          <w:color w:val="231F20"/>
          <w:spacing w:val="6"/>
          <w:sz w:val="18"/>
        </w:rPr>
        <w:t xml:space="preserve"> </w:t>
      </w:r>
      <w:r>
        <w:rPr>
          <w:color w:val="231F20"/>
          <w:sz w:val="18"/>
        </w:rPr>
        <w:t>vozidla.</w:t>
      </w:r>
    </w:p>
    <w:p w14:paraId="2904A55F" w14:textId="77777777" w:rsidR="00F65BCA" w:rsidRDefault="00216117">
      <w:pPr>
        <w:spacing w:line="207" w:lineRule="exact"/>
        <w:ind w:left="1277"/>
        <w:jc w:val="both"/>
        <w:rPr>
          <w:sz w:val="18"/>
        </w:rPr>
      </w:pPr>
      <w:r>
        <w:rPr>
          <w:b/>
          <w:color w:val="231F20"/>
          <w:sz w:val="18"/>
        </w:rPr>
        <w:t xml:space="preserve">Limit pojistného plnění </w:t>
      </w:r>
      <w:r>
        <w:rPr>
          <w:color w:val="231F20"/>
          <w:sz w:val="18"/>
        </w:rPr>
        <w:t>je nejvyšší hranicí pojistného plnění při každé pojistné události.</w:t>
      </w:r>
    </w:p>
    <w:p w14:paraId="3248F6A5" w14:textId="77777777" w:rsidR="00F65BCA" w:rsidRDefault="00216117">
      <w:pPr>
        <w:pStyle w:val="Nadpis9"/>
        <w:spacing w:before="147" w:line="278" w:lineRule="auto"/>
        <w:ind w:left="1277" w:right="651"/>
      </w:pPr>
      <w:r>
        <w:rPr>
          <w:b/>
          <w:color w:val="231F20"/>
        </w:rPr>
        <w:t xml:space="preserve">Akceptace doporučené opravny </w:t>
      </w:r>
      <w:r>
        <w:rPr>
          <w:color w:val="231F20"/>
        </w:rPr>
        <w:t>– jestliže se klient v pojistné smlouvě zaváže, že v případě pojistné události využije pro opravu vozidla Pojišťovnou doporučenou autoopravnu, získá slevu na pojistném. Pokud by však vozidlo bylo opravováno v</w:t>
      </w:r>
      <w:r>
        <w:rPr>
          <w:color w:val="231F20"/>
          <w:spacing w:val="-9"/>
        </w:rPr>
        <w:t xml:space="preserve"> </w:t>
      </w:r>
      <w:r>
        <w:rPr>
          <w:color w:val="231F20"/>
        </w:rPr>
        <w:t>jiné,</w:t>
      </w:r>
      <w:r>
        <w:rPr>
          <w:color w:val="231F20"/>
          <w:spacing w:val="-8"/>
        </w:rPr>
        <w:t xml:space="preserve"> </w:t>
      </w:r>
      <w:r>
        <w:rPr>
          <w:color w:val="231F20"/>
        </w:rPr>
        <w:t>než</w:t>
      </w:r>
      <w:r>
        <w:rPr>
          <w:color w:val="231F20"/>
          <w:spacing w:val="-8"/>
        </w:rPr>
        <w:t xml:space="preserve"> </w:t>
      </w:r>
      <w:r>
        <w:rPr>
          <w:color w:val="231F20"/>
        </w:rPr>
        <w:t>doporučené</w:t>
      </w:r>
      <w:r>
        <w:rPr>
          <w:color w:val="231F20"/>
          <w:spacing w:val="-8"/>
        </w:rPr>
        <w:t xml:space="preserve"> </w:t>
      </w:r>
      <w:r>
        <w:rPr>
          <w:color w:val="231F20"/>
        </w:rPr>
        <w:t>autoopravně,</w:t>
      </w:r>
      <w:r>
        <w:rPr>
          <w:color w:val="231F20"/>
          <w:spacing w:val="-8"/>
        </w:rPr>
        <w:t xml:space="preserve"> </w:t>
      </w:r>
      <w:r>
        <w:rPr>
          <w:color w:val="231F20"/>
        </w:rPr>
        <w:t>je</w:t>
      </w:r>
      <w:r>
        <w:rPr>
          <w:color w:val="231F20"/>
          <w:spacing w:val="-8"/>
        </w:rPr>
        <w:t xml:space="preserve"> </w:t>
      </w:r>
      <w:r>
        <w:rPr>
          <w:color w:val="231F20"/>
        </w:rPr>
        <w:t>Pojišťovna</w:t>
      </w:r>
      <w:r>
        <w:rPr>
          <w:color w:val="231F20"/>
          <w:spacing w:val="-8"/>
        </w:rPr>
        <w:t xml:space="preserve"> </w:t>
      </w:r>
      <w:r>
        <w:rPr>
          <w:color w:val="231F20"/>
        </w:rPr>
        <w:t>oprávněna</w:t>
      </w:r>
      <w:r>
        <w:rPr>
          <w:color w:val="231F20"/>
          <w:spacing w:val="-8"/>
        </w:rPr>
        <w:t xml:space="preserve"> </w:t>
      </w:r>
      <w:r>
        <w:rPr>
          <w:color w:val="231F20"/>
        </w:rPr>
        <w:t>snížit</w:t>
      </w:r>
      <w:r>
        <w:rPr>
          <w:color w:val="231F20"/>
          <w:spacing w:val="-9"/>
        </w:rPr>
        <w:t xml:space="preserve"> </w:t>
      </w:r>
      <w:r>
        <w:rPr>
          <w:color w:val="231F20"/>
        </w:rPr>
        <w:t>pojistné</w:t>
      </w:r>
      <w:r>
        <w:rPr>
          <w:color w:val="231F20"/>
          <w:spacing w:val="-10"/>
        </w:rPr>
        <w:t xml:space="preserve"> </w:t>
      </w:r>
      <w:r>
        <w:rPr>
          <w:color w:val="231F20"/>
        </w:rPr>
        <w:t>plnění,</w:t>
      </w:r>
      <w:r>
        <w:rPr>
          <w:color w:val="231F20"/>
          <w:spacing w:val="-12"/>
        </w:rPr>
        <w:t xml:space="preserve"> </w:t>
      </w:r>
      <w:r>
        <w:rPr>
          <w:color w:val="231F20"/>
        </w:rPr>
        <w:t>a</w:t>
      </w:r>
      <w:r>
        <w:rPr>
          <w:color w:val="231F20"/>
          <w:spacing w:val="-12"/>
        </w:rPr>
        <w:t xml:space="preserve"> </w:t>
      </w:r>
      <w:r>
        <w:rPr>
          <w:color w:val="231F20"/>
        </w:rPr>
        <w:t>to</w:t>
      </w:r>
      <w:r>
        <w:rPr>
          <w:color w:val="231F20"/>
          <w:spacing w:val="-12"/>
        </w:rPr>
        <w:t xml:space="preserve"> </w:t>
      </w:r>
      <w:r>
        <w:rPr>
          <w:color w:val="231F20"/>
        </w:rPr>
        <w:t>ve</w:t>
      </w:r>
      <w:r>
        <w:rPr>
          <w:color w:val="231F20"/>
          <w:spacing w:val="-12"/>
        </w:rPr>
        <w:t xml:space="preserve"> </w:t>
      </w:r>
      <w:r>
        <w:rPr>
          <w:color w:val="231F20"/>
        </w:rPr>
        <w:t>stejném</w:t>
      </w:r>
      <w:r>
        <w:rPr>
          <w:color w:val="231F20"/>
          <w:spacing w:val="-12"/>
        </w:rPr>
        <w:t xml:space="preserve"> </w:t>
      </w:r>
      <w:r>
        <w:rPr>
          <w:color w:val="231F20"/>
        </w:rPr>
        <w:t>poměru</w:t>
      </w:r>
      <w:r>
        <w:rPr>
          <w:color w:val="231F20"/>
          <w:spacing w:val="-12"/>
        </w:rPr>
        <w:t xml:space="preserve"> </w:t>
      </w:r>
      <w:r>
        <w:rPr>
          <w:color w:val="231F20"/>
        </w:rPr>
        <w:t>v</w:t>
      </w:r>
      <w:r>
        <w:rPr>
          <w:color w:val="231F20"/>
          <w:spacing w:val="-12"/>
        </w:rPr>
        <w:t xml:space="preserve"> </w:t>
      </w:r>
      <w:r>
        <w:rPr>
          <w:color w:val="231F20"/>
        </w:rPr>
        <w:t>jakém</w:t>
      </w:r>
      <w:r>
        <w:rPr>
          <w:color w:val="231F20"/>
          <w:spacing w:val="-12"/>
        </w:rPr>
        <w:t xml:space="preserve"> </w:t>
      </w:r>
      <w:r>
        <w:rPr>
          <w:color w:val="231F20"/>
        </w:rPr>
        <w:t>poskyt- la slevu na pojistném za akceptaci Pojišťovnou doporučené</w:t>
      </w:r>
      <w:r>
        <w:rPr>
          <w:color w:val="231F20"/>
          <w:spacing w:val="-35"/>
        </w:rPr>
        <w:t xml:space="preserve"> </w:t>
      </w:r>
      <w:r>
        <w:rPr>
          <w:color w:val="231F20"/>
          <w:spacing w:val="-2"/>
        </w:rPr>
        <w:t>autoopravny.</w:t>
      </w:r>
    </w:p>
    <w:p w14:paraId="342AD635" w14:textId="77777777" w:rsidR="00F65BCA" w:rsidRDefault="00F65BCA">
      <w:pPr>
        <w:pStyle w:val="Zkladntext"/>
        <w:spacing w:before="9"/>
        <w:rPr>
          <w:sz w:val="20"/>
        </w:rPr>
      </w:pPr>
    </w:p>
    <w:p w14:paraId="6A6886EB" w14:textId="77777777" w:rsidR="00F65BCA" w:rsidRDefault="00216117">
      <w:pPr>
        <w:pStyle w:val="Nadpis8"/>
        <w:numPr>
          <w:ilvl w:val="1"/>
          <w:numId w:val="141"/>
        </w:numPr>
        <w:tabs>
          <w:tab w:val="left" w:pos="1278"/>
        </w:tabs>
        <w:ind w:left="1277" w:hanging="398"/>
        <w:jc w:val="both"/>
      </w:pPr>
      <w:r>
        <w:rPr>
          <w:color w:val="231F20"/>
        </w:rPr>
        <w:t>Doplňková</w:t>
      </w:r>
      <w:r>
        <w:rPr>
          <w:color w:val="231F20"/>
          <w:spacing w:val="-1"/>
        </w:rPr>
        <w:t xml:space="preserve"> </w:t>
      </w:r>
      <w:r>
        <w:rPr>
          <w:color w:val="231F20"/>
        </w:rPr>
        <w:t>pojištění</w:t>
      </w:r>
    </w:p>
    <w:p w14:paraId="470CD324" w14:textId="77777777" w:rsidR="00F65BCA" w:rsidRDefault="00216117">
      <w:pPr>
        <w:pStyle w:val="Nadpis9"/>
        <w:spacing w:before="33" w:line="278" w:lineRule="auto"/>
        <w:ind w:left="1277" w:right="649"/>
      </w:pPr>
      <w:r>
        <w:rPr>
          <w:color w:val="231F20"/>
        </w:rPr>
        <w:t>Doplňkové pojištění je pojištění, které lze sjednat pro jednotlivá vozidla pouze v kombinaci s některým ze základních po- jištění (povinné ručení, havarijní pojištění). V závislosti na klientem zvolené variantě může pojištění krýt škody v případě, že dojde k poškození pojištěné věci (vozidlo, skla, zavazadla) havárií, živelní událostí, vandalismem, odcizením vozidla, neoprávněným užitím vozidla, nebo v případě vzniku finančních nákladů či ztrát v důsledku škody na pojištěné věci (půj- čovné – náhradní vozidlo, GAP – ztráta hodnoty vozidla). Dále jsou doplňkovými pojištěními pojištění asistence a úrazové pojištění dopravovaných osob.</w:t>
      </w:r>
    </w:p>
    <w:p w14:paraId="520CE9E3" w14:textId="77777777" w:rsidR="00F65BCA" w:rsidRDefault="00216117">
      <w:pPr>
        <w:pStyle w:val="Nadpis9"/>
        <w:spacing w:line="278" w:lineRule="auto"/>
        <w:ind w:left="1277" w:right="648"/>
      </w:pPr>
      <w:r>
        <w:rPr>
          <w:color w:val="231F20"/>
        </w:rPr>
        <w:t>V případě sjednání některého ze základních pojištění může být automaticky sjednáno i některé doplňkové pojištění. Pokud v průběhu pojištění dojde ke změně rozsahu základního pojištění, může dojit k zániku či změně varianty doplňko- vého pojištění. O této skutečnosti je pojistník Pojišťovnou</w:t>
      </w:r>
      <w:r>
        <w:rPr>
          <w:color w:val="231F20"/>
          <w:spacing w:val="4"/>
        </w:rPr>
        <w:t xml:space="preserve"> </w:t>
      </w:r>
      <w:r>
        <w:rPr>
          <w:color w:val="231F20"/>
        </w:rPr>
        <w:t>informován.</w:t>
      </w:r>
    </w:p>
    <w:p w14:paraId="54759330" w14:textId="77777777" w:rsidR="00F65BCA" w:rsidRDefault="00F65BCA">
      <w:pPr>
        <w:pStyle w:val="Zkladntext"/>
        <w:spacing w:before="5"/>
        <w:rPr>
          <w:sz w:val="20"/>
        </w:rPr>
      </w:pPr>
    </w:p>
    <w:p w14:paraId="3D9C7D97" w14:textId="77777777" w:rsidR="00F65BCA" w:rsidRDefault="00216117">
      <w:pPr>
        <w:pStyle w:val="Nadpis8"/>
        <w:numPr>
          <w:ilvl w:val="1"/>
          <w:numId w:val="141"/>
        </w:numPr>
        <w:tabs>
          <w:tab w:val="left" w:pos="1278"/>
        </w:tabs>
        <w:ind w:left="1277" w:hanging="398"/>
      </w:pPr>
      <w:r>
        <w:rPr>
          <w:color w:val="231F20"/>
        </w:rPr>
        <w:t>Výluky z</w:t>
      </w:r>
      <w:r>
        <w:rPr>
          <w:color w:val="231F20"/>
          <w:spacing w:val="-1"/>
        </w:rPr>
        <w:t xml:space="preserve"> </w:t>
      </w:r>
      <w:r>
        <w:rPr>
          <w:color w:val="231F20"/>
        </w:rPr>
        <w:t>pojištění</w:t>
      </w:r>
    </w:p>
    <w:p w14:paraId="378AEBF0" w14:textId="77777777" w:rsidR="00F65BCA" w:rsidRDefault="00216117">
      <w:pPr>
        <w:pStyle w:val="Nadpis9"/>
        <w:spacing w:before="33"/>
        <w:ind w:left="1277"/>
        <w:jc w:val="left"/>
      </w:pPr>
      <w:r>
        <w:rPr>
          <w:color w:val="231F20"/>
        </w:rPr>
        <w:t>Základními výlukami u nabízeného pojištění, kdy Pojišťovna neposkytne pojistné plnění, jsou škody způsobené:</w:t>
      </w:r>
    </w:p>
    <w:p w14:paraId="678A271C" w14:textId="77777777" w:rsidR="00F65BCA" w:rsidRDefault="00216117">
      <w:pPr>
        <w:pStyle w:val="Nadpis9"/>
        <w:numPr>
          <w:ilvl w:val="2"/>
          <w:numId w:val="141"/>
        </w:numPr>
        <w:tabs>
          <w:tab w:val="left" w:pos="1448"/>
        </w:tabs>
        <w:spacing w:before="33"/>
        <w:ind w:left="1447"/>
        <w:jc w:val="left"/>
      </w:pPr>
      <w:r>
        <w:rPr>
          <w:color w:val="231F20"/>
        </w:rPr>
        <w:t>při provádění závazku smluvním partnerem, za které ze zákona odpovídá tento smluvní</w:t>
      </w:r>
      <w:r>
        <w:rPr>
          <w:color w:val="231F20"/>
          <w:spacing w:val="1"/>
        </w:rPr>
        <w:t xml:space="preserve"> </w:t>
      </w:r>
      <w:r>
        <w:rPr>
          <w:color w:val="231F20"/>
        </w:rPr>
        <w:t>partner;</w:t>
      </w:r>
    </w:p>
    <w:p w14:paraId="3A0B3D9B" w14:textId="77777777" w:rsidR="00F65BCA" w:rsidRDefault="00216117">
      <w:pPr>
        <w:pStyle w:val="Nadpis9"/>
        <w:numPr>
          <w:ilvl w:val="2"/>
          <w:numId w:val="141"/>
        </w:numPr>
        <w:tabs>
          <w:tab w:val="left" w:pos="1448"/>
        </w:tabs>
        <w:spacing w:before="33"/>
        <w:ind w:left="1447"/>
        <w:jc w:val="left"/>
      </w:pPr>
      <w:r>
        <w:rPr>
          <w:color w:val="231F20"/>
        </w:rPr>
        <w:t>chybami konstrukce, vadami materiálu nebo výrobními vadami pojištěné</w:t>
      </w:r>
      <w:r>
        <w:rPr>
          <w:color w:val="231F20"/>
          <w:spacing w:val="5"/>
        </w:rPr>
        <w:t xml:space="preserve"> </w:t>
      </w:r>
      <w:r>
        <w:rPr>
          <w:color w:val="231F20"/>
        </w:rPr>
        <w:t>věci;</w:t>
      </w:r>
    </w:p>
    <w:p w14:paraId="5C473461" w14:textId="77777777" w:rsidR="00F65BCA" w:rsidRDefault="00216117">
      <w:pPr>
        <w:pStyle w:val="Nadpis9"/>
        <w:numPr>
          <w:ilvl w:val="2"/>
          <w:numId w:val="141"/>
        </w:numPr>
        <w:tabs>
          <w:tab w:val="left" w:pos="1448"/>
        </w:tabs>
        <w:spacing w:before="33"/>
        <w:ind w:left="1447"/>
        <w:jc w:val="left"/>
      </w:pPr>
      <w:r>
        <w:rPr>
          <w:color w:val="231F20"/>
        </w:rPr>
        <w:t>v důsledku funkčního namáhání, testů, opotřebení, únavy nebo vady materiálu, koroze nebo z obdobných</w:t>
      </w:r>
      <w:r>
        <w:rPr>
          <w:color w:val="231F20"/>
          <w:spacing w:val="26"/>
        </w:rPr>
        <w:t xml:space="preserve"> </w:t>
      </w:r>
      <w:r>
        <w:rPr>
          <w:color w:val="231F20"/>
        </w:rPr>
        <w:t>příčin;</w:t>
      </w:r>
    </w:p>
    <w:p w14:paraId="32B15B9C" w14:textId="77777777" w:rsidR="00F65BCA" w:rsidRDefault="00216117">
      <w:pPr>
        <w:pStyle w:val="Nadpis9"/>
        <w:numPr>
          <w:ilvl w:val="2"/>
          <w:numId w:val="141"/>
        </w:numPr>
        <w:tabs>
          <w:tab w:val="left" w:pos="1448"/>
        </w:tabs>
        <w:spacing w:before="33"/>
        <w:ind w:left="1447"/>
        <w:jc w:val="left"/>
      </w:pPr>
      <w:r>
        <w:rPr>
          <w:color w:val="231F20"/>
        </w:rPr>
        <w:t>v důsledku nesprávné obsluhy nebo</w:t>
      </w:r>
      <w:r>
        <w:rPr>
          <w:color w:val="231F20"/>
          <w:spacing w:val="1"/>
        </w:rPr>
        <w:t xml:space="preserve"> </w:t>
      </w:r>
      <w:r>
        <w:rPr>
          <w:color w:val="231F20"/>
        </w:rPr>
        <w:t>údržby;</w:t>
      </w:r>
    </w:p>
    <w:p w14:paraId="59143880" w14:textId="77777777" w:rsidR="00F65BCA" w:rsidRDefault="00216117">
      <w:pPr>
        <w:pStyle w:val="Nadpis9"/>
        <w:numPr>
          <w:ilvl w:val="2"/>
          <w:numId w:val="141"/>
        </w:numPr>
        <w:tabs>
          <w:tab w:val="left" w:pos="1448"/>
        </w:tabs>
        <w:spacing w:before="33"/>
        <w:ind w:left="1447"/>
        <w:jc w:val="left"/>
      </w:pPr>
      <w:r>
        <w:rPr>
          <w:color w:val="231F20"/>
        </w:rPr>
        <w:t>řízením vozidla osobou, která nemá k jeho řízení příslušné</w:t>
      </w:r>
      <w:r>
        <w:rPr>
          <w:color w:val="231F20"/>
          <w:spacing w:val="-4"/>
        </w:rPr>
        <w:t xml:space="preserve"> </w:t>
      </w:r>
      <w:r>
        <w:rPr>
          <w:color w:val="231F20"/>
        </w:rPr>
        <w:t>oprávnění;</w:t>
      </w:r>
    </w:p>
    <w:p w14:paraId="77C8759E" w14:textId="77777777" w:rsidR="00F65BCA" w:rsidRDefault="00216117">
      <w:pPr>
        <w:pStyle w:val="Nadpis9"/>
        <w:numPr>
          <w:ilvl w:val="2"/>
          <w:numId w:val="141"/>
        </w:numPr>
        <w:tabs>
          <w:tab w:val="left" w:pos="1448"/>
        </w:tabs>
        <w:spacing w:before="33" w:line="278" w:lineRule="auto"/>
        <w:ind w:left="1447" w:right="651"/>
      </w:pPr>
      <w:r>
        <w:rPr>
          <w:color w:val="231F20"/>
        </w:rPr>
        <w:t xml:space="preserve">řízením vozidla osobou po požití alkoholu, drog nebo jiných omamných a návykových látek a po užití léku, s nímž </w:t>
      </w:r>
      <w:r>
        <w:rPr>
          <w:color w:val="231F20"/>
          <w:spacing w:val="-6"/>
        </w:rPr>
        <w:t xml:space="preserve">je </w:t>
      </w:r>
      <w:r>
        <w:rPr>
          <w:color w:val="231F20"/>
        </w:rPr>
        <w:t>spojen zákaz řízení</w:t>
      </w:r>
      <w:r>
        <w:rPr>
          <w:color w:val="231F20"/>
          <w:spacing w:val="-1"/>
        </w:rPr>
        <w:t xml:space="preserve"> </w:t>
      </w:r>
      <w:r>
        <w:rPr>
          <w:color w:val="231F20"/>
        </w:rPr>
        <w:t>vozidel;</w:t>
      </w:r>
    </w:p>
    <w:p w14:paraId="6055168C" w14:textId="77777777" w:rsidR="00F65BCA" w:rsidRDefault="00216117">
      <w:pPr>
        <w:pStyle w:val="Nadpis9"/>
        <w:numPr>
          <w:ilvl w:val="2"/>
          <w:numId w:val="141"/>
        </w:numPr>
        <w:tabs>
          <w:tab w:val="left" w:pos="1448"/>
        </w:tabs>
        <w:spacing w:line="278" w:lineRule="auto"/>
        <w:ind w:left="1447" w:right="651"/>
      </w:pPr>
      <w:r>
        <w:rPr>
          <w:color w:val="231F20"/>
        </w:rPr>
        <w:t xml:space="preserve">řízením vozidla osobou, která se odmítla podrobit na výzvu příslušníka Policii České republiky nebo policejního orgánu jiného státu zkoušce na přítomnost alkoholu, omamné nebo psychotropní látky nebo léku označeného zákazem </w:t>
      </w:r>
      <w:r>
        <w:rPr>
          <w:color w:val="231F20"/>
          <w:spacing w:val="-3"/>
        </w:rPr>
        <w:t xml:space="preserve">řídit  </w:t>
      </w:r>
      <w:r>
        <w:rPr>
          <w:color w:val="231F20"/>
        </w:rPr>
        <w:t>motorové vozidlo a dále osobou, která se po dopravní nehodě nezdržela požití alkoholických nápojů nebo jiných návy- kových látek, a to až do doby provedení dechové či krevní</w:t>
      </w:r>
      <w:r>
        <w:rPr>
          <w:color w:val="231F20"/>
          <w:spacing w:val="6"/>
        </w:rPr>
        <w:t xml:space="preserve"> </w:t>
      </w:r>
      <w:r>
        <w:rPr>
          <w:color w:val="231F20"/>
        </w:rPr>
        <w:t>zkoušky.</w:t>
      </w:r>
    </w:p>
    <w:p w14:paraId="3B4EE548" w14:textId="77777777" w:rsidR="00F65BCA" w:rsidRDefault="00216117">
      <w:pPr>
        <w:pStyle w:val="Nadpis9"/>
        <w:spacing w:line="278" w:lineRule="auto"/>
        <w:ind w:left="1277" w:right="651"/>
      </w:pPr>
      <w:r>
        <w:rPr>
          <w:color w:val="231F20"/>
        </w:rPr>
        <w:t xml:space="preserve">Pojišťovna rovněž neposkytne pojistné plnění v případě </w:t>
      </w:r>
      <w:r>
        <w:rPr>
          <w:b/>
          <w:color w:val="231F20"/>
        </w:rPr>
        <w:t xml:space="preserve">nepřímé škody jakéhokoli druhu </w:t>
      </w:r>
      <w:r>
        <w:rPr>
          <w:color w:val="231F20"/>
        </w:rPr>
        <w:t>(např. ušlý výdělek, ušlý zisk, nemožnost používat pojištěnou věc, hodnotu zvláštní obliby či jinou nemajetkovou újmu) a vedlejších výloh.</w:t>
      </w:r>
    </w:p>
    <w:p w14:paraId="5CBECEA0" w14:textId="77777777" w:rsidR="00F65BCA" w:rsidRDefault="00216117">
      <w:pPr>
        <w:pStyle w:val="Nadpis9"/>
        <w:spacing w:line="278" w:lineRule="auto"/>
        <w:ind w:left="1277" w:right="650"/>
      </w:pPr>
      <w:r>
        <w:rPr>
          <w:b/>
          <w:color w:val="231F20"/>
        </w:rPr>
        <w:t xml:space="preserve">Pojištění se dále nevztahuje </w:t>
      </w:r>
      <w:r>
        <w:rPr>
          <w:color w:val="231F20"/>
        </w:rPr>
        <w:t>na vozidlo, u kterého bude kdykoliv v průběhu pojištění zjištěno, že je nebo bylo opatřeno jiným než identifikačním údajem vozidla (VIN), kterým vozidlo opatřuje jeho výrobce, resp. EČV (evidenční číslo vozidla, kterým může být: č. rámu, č. karoserie nebo č. motoru) pro vozidla, která nejsou opatřena VIN, na vozidla po přestavbě, kdy původní VIN zaniklo.</w:t>
      </w:r>
    </w:p>
    <w:p w14:paraId="1F09B74E" w14:textId="77777777" w:rsidR="00F65BCA" w:rsidRDefault="00F65BCA">
      <w:pPr>
        <w:pStyle w:val="Zkladntext"/>
        <w:spacing w:before="9"/>
        <w:rPr>
          <w:sz w:val="20"/>
        </w:rPr>
      </w:pPr>
    </w:p>
    <w:p w14:paraId="52C9E362" w14:textId="77777777" w:rsidR="00F65BCA" w:rsidRDefault="00216117">
      <w:pPr>
        <w:pStyle w:val="Nadpis9"/>
        <w:spacing w:line="278" w:lineRule="auto"/>
        <w:ind w:left="1277" w:right="651"/>
      </w:pPr>
      <w:r>
        <w:rPr>
          <w:b/>
          <w:color w:val="231F20"/>
        </w:rPr>
        <w:t xml:space="preserve">Pojištění se rovněž nevztahuje </w:t>
      </w:r>
      <w:r>
        <w:rPr>
          <w:color w:val="231F20"/>
        </w:rPr>
        <w:t xml:space="preserve">na vozidlo, u kterého bude kdykoliv v průběhu pojištění zjištěno, že </w:t>
      </w:r>
      <w:r>
        <w:rPr>
          <w:b/>
          <w:color w:val="231F20"/>
        </w:rPr>
        <w:t xml:space="preserve">bylo poškozeno </w:t>
      </w:r>
      <w:r>
        <w:rPr>
          <w:color w:val="231F20"/>
        </w:rPr>
        <w:t>takovým způsobem, že si oprava vozidla vyžádala změnu nebo úpravu podstatných částí mechanismu nebo konstrukce vozidla a tato změna nebo úprava není součástí údajů zapsaných v technickém průkazu nebo osvědčení o registraci vozi- dla. Další výluky jsou stanovené ve VPP.</w:t>
      </w:r>
    </w:p>
    <w:p w14:paraId="2624FB59" w14:textId="77777777" w:rsidR="00F65BCA" w:rsidRDefault="00F65BCA">
      <w:pPr>
        <w:pStyle w:val="Zkladntext"/>
        <w:rPr>
          <w:sz w:val="20"/>
        </w:rPr>
      </w:pPr>
    </w:p>
    <w:p w14:paraId="73CB4984" w14:textId="77777777" w:rsidR="00F65BCA" w:rsidRDefault="00F65BCA">
      <w:pPr>
        <w:pStyle w:val="Zkladntext"/>
        <w:spacing w:before="9"/>
        <w:rPr>
          <w:sz w:val="19"/>
        </w:rPr>
      </w:pPr>
    </w:p>
    <w:p w14:paraId="58D03208" w14:textId="77777777" w:rsidR="00F65BCA" w:rsidRDefault="00000000">
      <w:pPr>
        <w:pStyle w:val="Odstavecseseznamem"/>
        <w:numPr>
          <w:ilvl w:val="0"/>
          <w:numId w:val="141"/>
        </w:numPr>
        <w:tabs>
          <w:tab w:val="left" w:pos="1333"/>
          <w:tab w:val="left" w:pos="1335"/>
        </w:tabs>
        <w:spacing w:before="1"/>
        <w:ind w:left="1334" w:hanging="455"/>
        <w:jc w:val="left"/>
        <w:rPr>
          <w:sz w:val="28"/>
        </w:rPr>
      </w:pPr>
      <w:r>
        <w:pict w14:anchorId="5C1EF7B2">
          <v:shape id="_x0000_s2330" style="position:absolute;left:0;text-align:left;margin-left:51pt;margin-top:17.8pt;width:504.6pt;height:.1pt;z-index:-251522048;mso-wrap-distance-left:0;mso-wrap-distance-right:0;mso-position-horizontal-relative:page" coordorigin="1020,356" coordsize="10092,0" path="m1020,356r10092,e" filled="f" strokecolor="#d1d3d4">
            <v:path arrowok="t"/>
            <w10:wrap type="topAndBottom" anchorx="page"/>
          </v:shape>
        </w:pict>
      </w:r>
      <w:r w:rsidR="00216117">
        <w:rPr>
          <w:color w:val="C5271C"/>
          <w:sz w:val="28"/>
        </w:rPr>
        <w:t>Doplňkové pojištění asistence</w:t>
      </w:r>
    </w:p>
    <w:p w14:paraId="461C3818" w14:textId="77777777" w:rsidR="00F65BCA" w:rsidRDefault="00216117">
      <w:pPr>
        <w:pStyle w:val="Nadpis9"/>
        <w:spacing w:before="111" w:line="278" w:lineRule="auto"/>
        <w:ind w:right="574"/>
        <w:jc w:val="left"/>
      </w:pPr>
      <w:r>
        <w:rPr>
          <w:color w:val="231F20"/>
        </w:rPr>
        <w:t>Asistenční službou se v rozsahu stanoveném pojistnou smlouvou a VPP rozumí zajištění, zorganizování a úhrada služeb spoje- ných s odstraněním následků poruchy, havárie, vandalismu, živelní události či odcizení, které postihly pojištěné vozidlo.</w:t>
      </w:r>
    </w:p>
    <w:p w14:paraId="43A0CCBB" w14:textId="77777777" w:rsidR="00F65BCA" w:rsidRDefault="00F65BCA">
      <w:pPr>
        <w:pStyle w:val="Zkladntext"/>
        <w:rPr>
          <w:sz w:val="20"/>
        </w:rPr>
      </w:pPr>
    </w:p>
    <w:p w14:paraId="0ADAFDE0" w14:textId="77777777" w:rsidR="00F65BCA" w:rsidRDefault="00F65BCA">
      <w:pPr>
        <w:pStyle w:val="Zkladntext"/>
        <w:rPr>
          <w:sz w:val="20"/>
        </w:rPr>
      </w:pPr>
    </w:p>
    <w:p w14:paraId="0E4A28FC" w14:textId="77777777" w:rsidR="00F65BCA" w:rsidRDefault="00F65BCA">
      <w:pPr>
        <w:rPr>
          <w:sz w:val="20"/>
        </w:rPr>
        <w:sectPr w:rsidR="00F65BCA">
          <w:pgSz w:w="11910" w:h="16840"/>
          <w:pgMar w:top="540" w:right="140" w:bottom="0" w:left="140" w:header="708" w:footer="708" w:gutter="0"/>
          <w:cols w:space="708"/>
        </w:sectPr>
      </w:pPr>
    </w:p>
    <w:p w14:paraId="4E12FE46" w14:textId="77777777" w:rsidR="00F65BCA" w:rsidRDefault="00F65BCA">
      <w:pPr>
        <w:pStyle w:val="Zkladntext"/>
        <w:rPr>
          <w:sz w:val="16"/>
        </w:rPr>
      </w:pPr>
    </w:p>
    <w:p w14:paraId="49B19C25" w14:textId="77777777" w:rsidR="00F65BCA" w:rsidRDefault="00216117">
      <w:pPr>
        <w:spacing w:before="131"/>
        <w:ind w:left="880"/>
        <w:rPr>
          <w:sz w:val="14"/>
        </w:rPr>
      </w:pPr>
      <w:r>
        <w:rPr>
          <w:color w:val="231F20"/>
          <w:sz w:val="14"/>
        </w:rPr>
        <w:t>6.20.012 05.2025 v04</w:t>
      </w:r>
    </w:p>
    <w:p w14:paraId="3DC013AE" w14:textId="77777777" w:rsidR="00F65BCA" w:rsidRDefault="00216117">
      <w:pPr>
        <w:pStyle w:val="Zkladntext"/>
        <w:spacing w:before="5"/>
        <w:rPr>
          <w:sz w:val="22"/>
        </w:rPr>
      </w:pPr>
      <w:r>
        <w:br w:type="column"/>
      </w:r>
    </w:p>
    <w:p w14:paraId="0CBFC4B1" w14:textId="77777777" w:rsidR="00F65BCA" w:rsidRDefault="00000000">
      <w:pPr>
        <w:spacing w:before="1"/>
        <w:ind w:left="880"/>
        <w:rPr>
          <w:sz w:val="16"/>
        </w:rPr>
      </w:pPr>
      <w:r>
        <w:pict w14:anchorId="2B1157D5">
          <v:line id="_x0000_s2329" style="position:absolute;left:0;text-align:left;z-index:251795456;mso-position-horizontal-relative:page" from="0,-12.75pt" to="595.3pt,-12.75pt" strokecolor="#c5271c" strokeweight="1pt">
            <w10:wrap anchorx="page"/>
          </v:line>
        </w:pict>
      </w:r>
      <w:r w:rsidR="00216117">
        <w:rPr>
          <w:color w:val="231F20"/>
          <w:sz w:val="16"/>
        </w:rPr>
        <w:t xml:space="preserve">Předsmluvní informace </w:t>
      </w:r>
      <w:r w:rsidR="00216117">
        <w:rPr>
          <w:color w:val="C5271C"/>
          <w:sz w:val="20"/>
        </w:rPr>
        <w:t xml:space="preserve">| </w:t>
      </w:r>
      <w:r w:rsidR="00216117">
        <w:rPr>
          <w:color w:val="231F20"/>
          <w:sz w:val="16"/>
        </w:rPr>
        <w:t>9</w:t>
      </w:r>
    </w:p>
    <w:p w14:paraId="33E982E8" w14:textId="77777777" w:rsidR="00F65BCA" w:rsidRDefault="00F65BCA">
      <w:pPr>
        <w:rPr>
          <w:sz w:val="16"/>
        </w:rPr>
        <w:sectPr w:rsidR="00F65BCA">
          <w:type w:val="continuous"/>
          <w:pgSz w:w="11910" w:h="16840"/>
          <w:pgMar w:top="840" w:right="140" w:bottom="280" w:left="140" w:header="708" w:footer="708" w:gutter="0"/>
          <w:cols w:num="2" w:space="708" w:equalWidth="0">
            <w:col w:w="2314" w:space="5827"/>
            <w:col w:w="3489"/>
          </w:cols>
        </w:sectPr>
      </w:pPr>
    </w:p>
    <w:p w14:paraId="204FD87F" w14:textId="77777777" w:rsidR="00F65BCA" w:rsidRDefault="00216117">
      <w:pPr>
        <w:pStyle w:val="Nadpis8"/>
        <w:numPr>
          <w:ilvl w:val="1"/>
          <w:numId w:val="140"/>
        </w:numPr>
        <w:tabs>
          <w:tab w:val="left" w:pos="1051"/>
        </w:tabs>
        <w:spacing w:before="82"/>
        <w:ind w:hanging="398"/>
        <w:jc w:val="both"/>
      </w:pPr>
      <w:r>
        <w:rPr>
          <w:color w:val="231F20"/>
        </w:rPr>
        <w:lastRenderedPageBreak/>
        <w:t>Rozsah pojištění, výše pojistného plnění, limit pojistného</w:t>
      </w:r>
      <w:r>
        <w:rPr>
          <w:color w:val="231F20"/>
          <w:spacing w:val="-4"/>
        </w:rPr>
        <w:t xml:space="preserve"> </w:t>
      </w:r>
      <w:r>
        <w:rPr>
          <w:color w:val="231F20"/>
        </w:rPr>
        <w:t>plnění</w:t>
      </w:r>
    </w:p>
    <w:p w14:paraId="32314E4A" w14:textId="77777777" w:rsidR="00F65BCA" w:rsidRDefault="00216117">
      <w:pPr>
        <w:pStyle w:val="Nadpis9"/>
        <w:spacing w:before="33" w:line="278" w:lineRule="auto"/>
        <w:ind w:left="1050" w:right="877"/>
      </w:pPr>
      <w:r>
        <w:rPr>
          <w:color w:val="231F20"/>
        </w:rPr>
        <w:t xml:space="preserve">Pojištění asistence zabezpečuje pomoc v případě poruchy, havárie či odcizení vozidla, a v případě poškození </w:t>
      </w:r>
      <w:r>
        <w:rPr>
          <w:color w:val="231F20"/>
          <w:spacing w:val="-3"/>
        </w:rPr>
        <w:t xml:space="preserve">vozidla     </w:t>
      </w:r>
      <w:r>
        <w:rPr>
          <w:color w:val="231F20"/>
          <w:spacing w:val="44"/>
        </w:rPr>
        <w:t xml:space="preserve"> </w:t>
      </w:r>
      <w:r>
        <w:rPr>
          <w:color w:val="231F20"/>
        </w:rPr>
        <w:t>v důsledku vandalismu a živelní události.</w:t>
      </w:r>
    </w:p>
    <w:p w14:paraId="289531AB" w14:textId="77777777" w:rsidR="00F65BCA" w:rsidRDefault="00F65BCA">
      <w:pPr>
        <w:pStyle w:val="Zkladntext"/>
        <w:spacing w:before="10"/>
        <w:rPr>
          <w:sz w:val="20"/>
        </w:rPr>
      </w:pPr>
    </w:p>
    <w:p w14:paraId="7E9F3D37" w14:textId="77777777" w:rsidR="00F65BCA" w:rsidRDefault="00216117">
      <w:pPr>
        <w:pStyle w:val="Nadpis8"/>
        <w:numPr>
          <w:ilvl w:val="1"/>
          <w:numId w:val="140"/>
        </w:numPr>
        <w:tabs>
          <w:tab w:val="left" w:pos="1051"/>
        </w:tabs>
        <w:ind w:hanging="398"/>
        <w:jc w:val="both"/>
      </w:pPr>
      <w:r>
        <w:rPr>
          <w:color w:val="231F20"/>
        </w:rPr>
        <w:t>Výluky</w:t>
      </w:r>
    </w:p>
    <w:p w14:paraId="3DFC6DDA" w14:textId="77777777" w:rsidR="00F65BCA" w:rsidRDefault="00216117">
      <w:pPr>
        <w:pStyle w:val="Nadpis9"/>
        <w:spacing w:before="33"/>
        <w:ind w:left="1050"/>
        <w:jc w:val="left"/>
      </w:pPr>
      <w:r>
        <w:rPr>
          <w:color w:val="231F20"/>
        </w:rPr>
        <w:t>Výluky pro pojištění asistence jsou uvedeny ve VPP.</w:t>
      </w:r>
    </w:p>
    <w:p w14:paraId="180F1C3D" w14:textId="77777777" w:rsidR="00F65BCA" w:rsidRDefault="00F65BCA">
      <w:pPr>
        <w:pStyle w:val="Zkladntext"/>
        <w:rPr>
          <w:sz w:val="20"/>
        </w:rPr>
      </w:pPr>
    </w:p>
    <w:p w14:paraId="16BB140C" w14:textId="77777777" w:rsidR="00F65BCA" w:rsidRDefault="00F65BCA">
      <w:pPr>
        <w:pStyle w:val="Zkladntext"/>
        <w:spacing w:before="4"/>
        <w:rPr>
          <w:sz w:val="23"/>
        </w:rPr>
      </w:pPr>
    </w:p>
    <w:p w14:paraId="21FCD991" w14:textId="77777777" w:rsidR="00F65BCA" w:rsidRDefault="00000000">
      <w:pPr>
        <w:pStyle w:val="Odstavecseseznamem"/>
        <w:numPr>
          <w:ilvl w:val="0"/>
          <w:numId w:val="141"/>
        </w:numPr>
        <w:tabs>
          <w:tab w:val="left" w:pos="1108"/>
        </w:tabs>
        <w:spacing w:before="1"/>
        <w:ind w:left="1107" w:hanging="455"/>
        <w:jc w:val="both"/>
        <w:rPr>
          <w:sz w:val="28"/>
        </w:rPr>
      </w:pPr>
      <w:r>
        <w:pict w14:anchorId="53635CFF">
          <v:shape id="_x0000_s2328" style="position:absolute;left:0;text-align:left;margin-left:39.7pt;margin-top:17.8pt;width:504.6pt;height:.1pt;z-index:-251518976;mso-wrap-distance-left:0;mso-wrap-distance-right:0;mso-position-horizontal-relative:page" coordorigin="794,356" coordsize="10092,0" path="m794,356r10091,e" filled="f" strokecolor="#d1d3d4">
            <v:path arrowok="t"/>
            <w10:wrap type="topAndBottom" anchorx="page"/>
          </v:shape>
        </w:pict>
      </w:r>
      <w:r w:rsidR="00216117">
        <w:rPr>
          <w:color w:val="C5271C"/>
          <w:sz w:val="28"/>
        </w:rPr>
        <w:t>Doplňkové úrazové pojištění dopravovaných</w:t>
      </w:r>
      <w:r w:rsidR="00216117">
        <w:rPr>
          <w:color w:val="C5271C"/>
          <w:spacing w:val="3"/>
          <w:sz w:val="28"/>
        </w:rPr>
        <w:t xml:space="preserve"> </w:t>
      </w:r>
      <w:r w:rsidR="00216117">
        <w:rPr>
          <w:color w:val="C5271C"/>
          <w:sz w:val="28"/>
        </w:rPr>
        <w:t>osob</w:t>
      </w:r>
    </w:p>
    <w:p w14:paraId="7C3354E8" w14:textId="77777777" w:rsidR="00F65BCA" w:rsidRDefault="00216117">
      <w:pPr>
        <w:pStyle w:val="Nadpis8"/>
        <w:numPr>
          <w:ilvl w:val="1"/>
          <w:numId w:val="141"/>
        </w:numPr>
        <w:tabs>
          <w:tab w:val="left" w:pos="1051"/>
        </w:tabs>
        <w:spacing w:before="111"/>
        <w:ind w:hanging="398"/>
        <w:jc w:val="both"/>
      </w:pPr>
      <w:r>
        <w:rPr>
          <w:color w:val="231F20"/>
        </w:rPr>
        <w:t>Rozsah pojištění, výše pojistného plnění, limit pojistného</w:t>
      </w:r>
      <w:r>
        <w:rPr>
          <w:color w:val="231F20"/>
          <w:spacing w:val="-5"/>
        </w:rPr>
        <w:t xml:space="preserve"> </w:t>
      </w:r>
      <w:r>
        <w:rPr>
          <w:color w:val="231F20"/>
        </w:rPr>
        <w:t>plnění:</w:t>
      </w:r>
    </w:p>
    <w:p w14:paraId="584D4230" w14:textId="77777777" w:rsidR="00F65BCA" w:rsidRDefault="00216117">
      <w:pPr>
        <w:pStyle w:val="Nadpis9"/>
        <w:spacing w:before="33" w:line="278" w:lineRule="auto"/>
        <w:ind w:left="1050" w:right="878"/>
      </w:pPr>
      <w:r>
        <w:rPr>
          <w:color w:val="231F20"/>
        </w:rPr>
        <w:t xml:space="preserve">V závislosti na zvolené variantě pojištění poskytne v případě pojistné události Pojišťovna pojištěnému pojistné </w:t>
      </w:r>
      <w:r>
        <w:rPr>
          <w:color w:val="231F20"/>
          <w:spacing w:val="-3"/>
        </w:rPr>
        <w:t xml:space="preserve">plnění      </w:t>
      </w:r>
      <w:r>
        <w:rPr>
          <w:color w:val="231F20"/>
          <w:spacing w:val="44"/>
        </w:rPr>
        <w:t xml:space="preserve"> </w:t>
      </w:r>
      <w:r>
        <w:rPr>
          <w:color w:val="231F20"/>
        </w:rPr>
        <w:t xml:space="preserve">z pojištění doby nezbytného léčení úrazu a případně z pojištění trvalých následků úrazu a obmyšlenému pojistné plnění   z pojištění pro případ smrti následkem úrazu. Pojišťovna poskytne pojistné plnění v rozsahu a způsobem stanoveným      v pojistné smlouvě, VPP a oceňovacích tabulkách, maximálně do limitu pojistného plnění sjednaného v pojistné smlouvě. Klient pojistníka nalezne variantu úrazového pojištění ve smlouvě o financování vozidla uzavřené s pojistníkem či v </w:t>
      </w:r>
      <w:r>
        <w:rPr>
          <w:color w:val="231F20"/>
          <w:spacing w:val="-3"/>
        </w:rPr>
        <w:t xml:space="preserve">jiném </w:t>
      </w:r>
      <w:r>
        <w:rPr>
          <w:color w:val="231F20"/>
        </w:rPr>
        <w:t>dokumentu, který od pojistníka</w:t>
      </w:r>
      <w:r>
        <w:rPr>
          <w:color w:val="231F20"/>
          <w:spacing w:val="1"/>
        </w:rPr>
        <w:t xml:space="preserve"> </w:t>
      </w:r>
      <w:r>
        <w:rPr>
          <w:color w:val="231F20"/>
        </w:rPr>
        <w:t>obdrží.</w:t>
      </w:r>
    </w:p>
    <w:p w14:paraId="26F119A9" w14:textId="77777777" w:rsidR="00F65BCA" w:rsidRDefault="00F65BCA">
      <w:pPr>
        <w:pStyle w:val="Zkladntext"/>
        <w:spacing w:before="10"/>
        <w:rPr>
          <w:sz w:val="20"/>
        </w:rPr>
      </w:pPr>
    </w:p>
    <w:p w14:paraId="0A72234B" w14:textId="77777777" w:rsidR="00F65BCA" w:rsidRDefault="00216117">
      <w:pPr>
        <w:pStyle w:val="Nadpis8"/>
        <w:numPr>
          <w:ilvl w:val="1"/>
          <w:numId w:val="141"/>
        </w:numPr>
        <w:tabs>
          <w:tab w:val="left" w:pos="1051"/>
        </w:tabs>
        <w:ind w:hanging="398"/>
      </w:pPr>
      <w:r>
        <w:rPr>
          <w:color w:val="231F20"/>
        </w:rPr>
        <w:t>Výluky z</w:t>
      </w:r>
      <w:r>
        <w:rPr>
          <w:color w:val="231F20"/>
          <w:spacing w:val="-1"/>
        </w:rPr>
        <w:t xml:space="preserve"> </w:t>
      </w:r>
      <w:r>
        <w:rPr>
          <w:color w:val="231F20"/>
        </w:rPr>
        <w:t>pojištění:</w:t>
      </w:r>
    </w:p>
    <w:p w14:paraId="57C09EE1" w14:textId="77777777" w:rsidR="00F65BCA" w:rsidRDefault="00216117">
      <w:pPr>
        <w:pStyle w:val="Nadpis9"/>
        <w:spacing w:before="33"/>
        <w:ind w:left="1050"/>
        <w:jc w:val="left"/>
      </w:pPr>
      <w:r>
        <w:rPr>
          <w:color w:val="231F20"/>
        </w:rPr>
        <w:t>Základními výlukami u nabízeného pojištění, kdy Pojišťovna neposkytne pojistné plnění, jsou následující úrazy:</w:t>
      </w:r>
    </w:p>
    <w:p w14:paraId="139C0524" w14:textId="77777777" w:rsidR="00F65BCA" w:rsidRDefault="00216117">
      <w:pPr>
        <w:pStyle w:val="Nadpis9"/>
        <w:numPr>
          <w:ilvl w:val="2"/>
          <w:numId w:val="141"/>
        </w:numPr>
        <w:tabs>
          <w:tab w:val="left" w:pos="1221"/>
        </w:tabs>
        <w:spacing w:before="33"/>
        <w:ind w:left="1220"/>
        <w:jc w:val="left"/>
      </w:pPr>
      <w:r>
        <w:rPr>
          <w:color w:val="231F20"/>
        </w:rPr>
        <w:t>pracovní úraz a nemoc z povolání, pokud nemají povahu úrazu, vymezeného ve</w:t>
      </w:r>
      <w:r>
        <w:rPr>
          <w:color w:val="231F20"/>
          <w:spacing w:val="-4"/>
        </w:rPr>
        <w:t xml:space="preserve"> </w:t>
      </w:r>
      <w:r>
        <w:rPr>
          <w:color w:val="231F20"/>
        </w:rPr>
        <w:t>VPP;</w:t>
      </w:r>
    </w:p>
    <w:p w14:paraId="637E0307" w14:textId="77777777" w:rsidR="00F65BCA" w:rsidRDefault="00216117">
      <w:pPr>
        <w:pStyle w:val="Nadpis9"/>
        <w:numPr>
          <w:ilvl w:val="2"/>
          <w:numId w:val="141"/>
        </w:numPr>
        <w:tabs>
          <w:tab w:val="left" w:pos="1221"/>
        </w:tabs>
        <w:spacing w:before="33"/>
        <w:ind w:left="1220"/>
        <w:jc w:val="left"/>
      </w:pPr>
      <w:r>
        <w:rPr>
          <w:color w:val="231F20"/>
        </w:rPr>
        <w:t>sebevraždu, pokus o ni nebo úmyslné</w:t>
      </w:r>
      <w:r>
        <w:rPr>
          <w:color w:val="231F20"/>
          <w:spacing w:val="1"/>
        </w:rPr>
        <w:t xml:space="preserve"> </w:t>
      </w:r>
      <w:r>
        <w:rPr>
          <w:color w:val="231F20"/>
        </w:rPr>
        <w:t>sebepoškození;</w:t>
      </w:r>
    </w:p>
    <w:p w14:paraId="74471249" w14:textId="77777777" w:rsidR="00F65BCA" w:rsidRDefault="00216117">
      <w:pPr>
        <w:pStyle w:val="Nadpis9"/>
        <w:numPr>
          <w:ilvl w:val="2"/>
          <w:numId w:val="141"/>
        </w:numPr>
        <w:tabs>
          <w:tab w:val="left" w:pos="1221"/>
        </w:tabs>
        <w:spacing w:before="33" w:line="278" w:lineRule="auto"/>
        <w:ind w:left="1220" w:right="878"/>
      </w:pPr>
      <w:r>
        <w:rPr>
          <w:color w:val="231F20"/>
        </w:rPr>
        <w:t>úraz, k němuž dojde v důsledku nebo v souvislosti s řízením motorového vozidla pojištěným bez příslušného řidičského oprávnění.</w:t>
      </w:r>
      <w:r>
        <w:rPr>
          <w:color w:val="231F20"/>
          <w:spacing w:val="-5"/>
        </w:rPr>
        <w:t xml:space="preserve"> </w:t>
      </w:r>
      <w:r>
        <w:rPr>
          <w:color w:val="231F20"/>
        </w:rPr>
        <w:t>Tato</w:t>
      </w:r>
      <w:r>
        <w:rPr>
          <w:color w:val="231F20"/>
          <w:spacing w:val="-4"/>
        </w:rPr>
        <w:t xml:space="preserve"> </w:t>
      </w:r>
      <w:r>
        <w:rPr>
          <w:color w:val="231F20"/>
        </w:rPr>
        <w:t>výluka</w:t>
      </w:r>
      <w:r>
        <w:rPr>
          <w:color w:val="231F20"/>
          <w:spacing w:val="-4"/>
        </w:rPr>
        <w:t xml:space="preserve"> </w:t>
      </w:r>
      <w:r>
        <w:rPr>
          <w:color w:val="231F20"/>
        </w:rPr>
        <w:t>se</w:t>
      </w:r>
      <w:r>
        <w:rPr>
          <w:color w:val="231F20"/>
          <w:spacing w:val="-4"/>
        </w:rPr>
        <w:t xml:space="preserve"> </w:t>
      </w:r>
      <w:r>
        <w:rPr>
          <w:color w:val="231F20"/>
        </w:rPr>
        <w:t>nepoužije,</w:t>
      </w:r>
      <w:r>
        <w:rPr>
          <w:color w:val="231F20"/>
          <w:spacing w:val="-5"/>
        </w:rPr>
        <w:t xml:space="preserve"> </w:t>
      </w:r>
      <w:r>
        <w:rPr>
          <w:color w:val="231F20"/>
        </w:rPr>
        <w:t>pokud</w:t>
      </w:r>
      <w:r>
        <w:rPr>
          <w:color w:val="231F20"/>
          <w:spacing w:val="-4"/>
        </w:rPr>
        <w:t xml:space="preserve"> </w:t>
      </w:r>
      <w:r>
        <w:rPr>
          <w:color w:val="231F20"/>
        </w:rPr>
        <w:t>se</w:t>
      </w:r>
      <w:r>
        <w:rPr>
          <w:color w:val="231F20"/>
          <w:spacing w:val="-4"/>
        </w:rPr>
        <w:t xml:space="preserve"> </w:t>
      </w:r>
      <w:r>
        <w:rPr>
          <w:color w:val="231F20"/>
        </w:rPr>
        <w:t>pojištěný</w:t>
      </w:r>
      <w:r>
        <w:rPr>
          <w:color w:val="231F20"/>
          <w:spacing w:val="-4"/>
        </w:rPr>
        <w:t xml:space="preserve"> </w:t>
      </w:r>
      <w:r>
        <w:rPr>
          <w:color w:val="231F20"/>
        </w:rPr>
        <w:t>učil</w:t>
      </w:r>
      <w:r>
        <w:rPr>
          <w:color w:val="231F20"/>
          <w:spacing w:val="-5"/>
        </w:rPr>
        <w:t xml:space="preserve"> </w:t>
      </w:r>
      <w:r>
        <w:rPr>
          <w:color w:val="231F20"/>
        </w:rPr>
        <w:t>vozidlo</w:t>
      </w:r>
      <w:r>
        <w:rPr>
          <w:color w:val="231F20"/>
          <w:spacing w:val="-4"/>
        </w:rPr>
        <w:t xml:space="preserve"> </w:t>
      </w:r>
      <w:r>
        <w:rPr>
          <w:color w:val="231F20"/>
        </w:rPr>
        <w:t>řídit</w:t>
      </w:r>
      <w:r>
        <w:rPr>
          <w:color w:val="231F20"/>
          <w:spacing w:val="-4"/>
        </w:rPr>
        <w:t xml:space="preserve"> </w:t>
      </w:r>
      <w:r>
        <w:rPr>
          <w:color w:val="231F20"/>
        </w:rPr>
        <w:t>nebo</w:t>
      </w:r>
      <w:r>
        <w:rPr>
          <w:color w:val="231F20"/>
          <w:spacing w:val="-4"/>
        </w:rPr>
        <w:t xml:space="preserve"> </w:t>
      </w:r>
      <w:r>
        <w:rPr>
          <w:color w:val="231F20"/>
        </w:rPr>
        <w:t>skládal</w:t>
      </w:r>
      <w:r>
        <w:rPr>
          <w:color w:val="231F20"/>
          <w:spacing w:val="-4"/>
        </w:rPr>
        <w:t xml:space="preserve"> </w:t>
      </w:r>
      <w:r>
        <w:rPr>
          <w:color w:val="231F20"/>
        </w:rPr>
        <w:t>zkoušku</w:t>
      </w:r>
      <w:r>
        <w:rPr>
          <w:color w:val="231F20"/>
          <w:spacing w:val="-5"/>
        </w:rPr>
        <w:t xml:space="preserve"> </w:t>
      </w:r>
      <w:r>
        <w:rPr>
          <w:color w:val="231F20"/>
        </w:rPr>
        <w:t>z</w:t>
      </w:r>
      <w:r>
        <w:rPr>
          <w:color w:val="231F20"/>
          <w:spacing w:val="-4"/>
        </w:rPr>
        <w:t xml:space="preserve"> </w:t>
      </w:r>
      <w:r>
        <w:rPr>
          <w:color w:val="231F20"/>
        </w:rPr>
        <w:t>řízení</w:t>
      </w:r>
      <w:r>
        <w:rPr>
          <w:color w:val="231F20"/>
          <w:spacing w:val="-4"/>
        </w:rPr>
        <w:t xml:space="preserve"> </w:t>
      </w:r>
      <w:r>
        <w:rPr>
          <w:color w:val="231F20"/>
        </w:rPr>
        <w:t>vozidla,</w:t>
      </w:r>
      <w:r>
        <w:rPr>
          <w:color w:val="231F20"/>
          <w:spacing w:val="-4"/>
        </w:rPr>
        <w:t xml:space="preserve"> </w:t>
      </w:r>
      <w:r>
        <w:rPr>
          <w:color w:val="231F20"/>
        </w:rPr>
        <w:t>a</w:t>
      </w:r>
      <w:r>
        <w:rPr>
          <w:color w:val="231F20"/>
          <w:spacing w:val="-5"/>
        </w:rPr>
        <w:t xml:space="preserve"> </w:t>
      </w:r>
      <w:r>
        <w:rPr>
          <w:color w:val="231F20"/>
        </w:rPr>
        <w:t>to</w:t>
      </w:r>
      <w:r>
        <w:rPr>
          <w:color w:val="231F20"/>
          <w:spacing w:val="-4"/>
        </w:rPr>
        <w:t xml:space="preserve"> </w:t>
      </w:r>
      <w:r>
        <w:rPr>
          <w:color w:val="231F20"/>
        </w:rPr>
        <w:t>vždy pouze v souladu s příslušnými právními</w:t>
      </w:r>
      <w:r>
        <w:rPr>
          <w:color w:val="231F20"/>
          <w:spacing w:val="1"/>
        </w:rPr>
        <w:t xml:space="preserve"> </w:t>
      </w:r>
      <w:r>
        <w:rPr>
          <w:color w:val="231F20"/>
        </w:rPr>
        <w:t>předpisy;</w:t>
      </w:r>
    </w:p>
    <w:p w14:paraId="65956631" w14:textId="77777777" w:rsidR="00F65BCA" w:rsidRDefault="00216117">
      <w:pPr>
        <w:pStyle w:val="Nadpis9"/>
        <w:numPr>
          <w:ilvl w:val="2"/>
          <w:numId w:val="141"/>
        </w:numPr>
        <w:tabs>
          <w:tab w:val="left" w:pos="1221"/>
        </w:tabs>
        <w:spacing w:line="278" w:lineRule="auto"/>
        <w:ind w:left="1220" w:right="878"/>
      </w:pPr>
      <w:r>
        <w:rPr>
          <w:color w:val="231F20"/>
        </w:rPr>
        <w:t>úraz, k němuž dojde v důsledku nebo v souvislosti s řízením motorového vozidla při automobilových, motocyklových, motoristických soutěžích a při přípravě na ně; ani v případech, kdy se pojištěný zúčastní těchto soutěží nebo přípravy na ně jako spolujezdec; přípravou se rozumí jakákoli aktivita pojištěného související s motorovým vozidlem nebo moto- cyklem či jiným obdobným vozidlem, včetně jeho</w:t>
      </w:r>
      <w:r>
        <w:rPr>
          <w:color w:val="231F20"/>
          <w:spacing w:val="4"/>
        </w:rPr>
        <w:t xml:space="preserve"> </w:t>
      </w:r>
      <w:r>
        <w:rPr>
          <w:color w:val="231F20"/>
        </w:rPr>
        <w:t>údržby;</w:t>
      </w:r>
    </w:p>
    <w:p w14:paraId="2F7E4064" w14:textId="77777777" w:rsidR="00F65BCA" w:rsidRDefault="00216117">
      <w:pPr>
        <w:pStyle w:val="Nadpis9"/>
        <w:numPr>
          <w:ilvl w:val="2"/>
          <w:numId w:val="141"/>
        </w:numPr>
        <w:tabs>
          <w:tab w:val="left" w:pos="1221"/>
        </w:tabs>
        <w:spacing w:line="207" w:lineRule="exact"/>
        <w:ind w:left="1220"/>
      </w:pPr>
      <w:r>
        <w:rPr>
          <w:color w:val="231F20"/>
        </w:rPr>
        <w:t>úraz v důsledku nebo v souvislosti s jednáním pojištěného po požití alkoholu, omamných či psychotropních</w:t>
      </w:r>
      <w:r>
        <w:rPr>
          <w:color w:val="231F20"/>
          <w:spacing w:val="37"/>
        </w:rPr>
        <w:t xml:space="preserve"> </w:t>
      </w:r>
      <w:r>
        <w:rPr>
          <w:color w:val="231F20"/>
        </w:rPr>
        <w:t>látek;</w:t>
      </w:r>
    </w:p>
    <w:p w14:paraId="197906F6" w14:textId="77777777" w:rsidR="00F65BCA" w:rsidRDefault="00216117">
      <w:pPr>
        <w:pStyle w:val="Nadpis9"/>
        <w:numPr>
          <w:ilvl w:val="2"/>
          <w:numId w:val="141"/>
        </w:numPr>
        <w:tabs>
          <w:tab w:val="left" w:pos="1221"/>
        </w:tabs>
        <w:spacing w:before="33" w:line="278" w:lineRule="auto"/>
        <w:ind w:left="1220" w:right="878"/>
      </w:pPr>
      <w:r>
        <w:rPr>
          <w:color w:val="231F20"/>
        </w:rPr>
        <w:t>úraz, k němuž dojde v důsledku nebo v souvislosti s jízdou pojištěného v motorovém vozidle, jestliže jízda probíhala na soukromém pozemku, to neplatí pro případy, kdy pojištěný prokáže, že pro řízení příslušného vozidla vlastnil odpovída- jící řidičské</w:t>
      </w:r>
      <w:r>
        <w:rPr>
          <w:color w:val="231F20"/>
          <w:spacing w:val="-1"/>
        </w:rPr>
        <w:t xml:space="preserve"> </w:t>
      </w:r>
      <w:r>
        <w:rPr>
          <w:color w:val="231F20"/>
        </w:rPr>
        <w:t>oprávnění.</w:t>
      </w:r>
    </w:p>
    <w:p w14:paraId="530CBB8C" w14:textId="77777777" w:rsidR="00F65BCA" w:rsidRDefault="00216117">
      <w:pPr>
        <w:pStyle w:val="Nadpis9"/>
        <w:spacing w:line="207" w:lineRule="exact"/>
        <w:ind w:left="1050"/>
      </w:pPr>
      <w:r>
        <w:rPr>
          <w:color w:val="231F20"/>
        </w:rPr>
        <w:t>Výluky z úrazového pojištění dopravovaných osob jsou uvedeny ve VPP.</w:t>
      </w:r>
    </w:p>
    <w:p w14:paraId="2A83BBD5" w14:textId="77777777" w:rsidR="00F65BCA" w:rsidRDefault="00F65BCA">
      <w:pPr>
        <w:pStyle w:val="Zkladntext"/>
        <w:rPr>
          <w:sz w:val="20"/>
        </w:rPr>
      </w:pPr>
    </w:p>
    <w:p w14:paraId="1AC9A948" w14:textId="77777777" w:rsidR="00F65BCA" w:rsidRDefault="00000000">
      <w:pPr>
        <w:spacing w:before="129"/>
        <w:ind w:left="653"/>
        <w:rPr>
          <w:sz w:val="28"/>
        </w:rPr>
      </w:pPr>
      <w:r>
        <w:pict w14:anchorId="25F37B94">
          <v:shape id="_x0000_s2327" style="position:absolute;left:0;text-align:left;margin-left:39.7pt;margin-top:24.2pt;width:504.6pt;height:.1pt;z-index:-251517952;mso-wrap-distance-left:0;mso-wrap-distance-right:0;mso-position-horizontal-relative:page" coordorigin="794,484" coordsize="10092,0" path="m794,484r10091,e" filled="f" strokecolor="#d1d3d4">
            <v:path arrowok="t"/>
            <w10:wrap type="topAndBottom" anchorx="page"/>
          </v:shape>
        </w:pict>
      </w:r>
      <w:r w:rsidR="00216117">
        <w:rPr>
          <w:color w:val="C5271C"/>
          <w:sz w:val="28"/>
        </w:rPr>
        <w:t>Informace o výši pojistného, poplatcích hrazených z pojistného</w:t>
      </w:r>
    </w:p>
    <w:p w14:paraId="456FECE6" w14:textId="77777777" w:rsidR="00F65BCA" w:rsidRDefault="00216117">
      <w:pPr>
        <w:pStyle w:val="Nadpis9"/>
        <w:spacing w:before="119"/>
        <w:ind w:left="653"/>
      </w:pPr>
      <w:r>
        <w:rPr>
          <w:color w:val="231F20"/>
        </w:rPr>
        <w:t>Výše pojistného za jednotlivá pojištění včetně doplňkových pojištění (jsou-li sjednána) je stanovena v seznamu vozidel.</w:t>
      </w:r>
    </w:p>
    <w:p w14:paraId="71E000CE" w14:textId="77777777" w:rsidR="00F65BCA" w:rsidRDefault="00F65BCA">
      <w:pPr>
        <w:pStyle w:val="Zkladntext"/>
        <w:rPr>
          <w:sz w:val="20"/>
        </w:rPr>
      </w:pPr>
    </w:p>
    <w:p w14:paraId="398BC317" w14:textId="77777777" w:rsidR="00F65BCA" w:rsidRDefault="00000000">
      <w:pPr>
        <w:spacing w:before="129"/>
        <w:ind w:left="653"/>
        <w:rPr>
          <w:sz w:val="28"/>
        </w:rPr>
      </w:pPr>
      <w:r>
        <w:pict w14:anchorId="08D8A78C">
          <v:shape id="_x0000_s2326" style="position:absolute;left:0;text-align:left;margin-left:39.7pt;margin-top:24.2pt;width:504.6pt;height:.1pt;z-index:-251516928;mso-wrap-distance-left:0;mso-wrap-distance-right:0;mso-position-horizontal-relative:page" coordorigin="794,484" coordsize="10092,0" path="m794,484r10091,e" filled="f" strokecolor="#d1d3d4">
            <v:path arrowok="t"/>
            <w10:wrap type="topAndBottom" anchorx="page"/>
          </v:shape>
        </w:pict>
      </w:r>
      <w:r w:rsidR="00216117">
        <w:rPr>
          <w:color w:val="C5271C"/>
          <w:sz w:val="28"/>
        </w:rPr>
        <w:t>Způsoby a doba placení pojistného</w:t>
      </w:r>
    </w:p>
    <w:p w14:paraId="41C824B1" w14:textId="77777777" w:rsidR="00F65BCA" w:rsidRDefault="00216117">
      <w:pPr>
        <w:pStyle w:val="Nadpis9"/>
        <w:spacing w:before="119" w:line="273" w:lineRule="auto"/>
        <w:ind w:left="653" w:right="877"/>
      </w:pPr>
      <w:r>
        <w:rPr>
          <w:color w:val="231F20"/>
        </w:rPr>
        <w:t>Pojistník se v pojistné smlouvě zavazuje platit pojistné. Je-li pojistná smlouva uzavřena na dobu neurčitou, je pojistné stano- veno jako tzv. běžné pojistné za roční pojistné období. V pojistné smlouvě je možné sjednat splátky pojistného, a to měsíční, čtvrtletní nebo pololetní. V těchto případech je však Pojišťovna oprávněna účtovat pojistníkovi přirážku na pojistném uvedenou v pojistné smlouvě.</w:t>
      </w:r>
    </w:p>
    <w:p w14:paraId="36348440" w14:textId="77777777" w:rsidR="00F65BCA" w:rsidRDefault="00216117">
      <w:pPr>
        <w:pStyle w:val="Nadpis9"/>
        <w:spacing w:line="273" w:lineRule="auto"/>
        <w:ind w:left="653" w:right="878"/>
      </w:pPr>
      <w:r>
        <w:rPr>
          <w:color w:val="231F20"/>
        </w:rPr>
        <w:t>Je-li pojistná smlouva uzavřena na dobu určitou, je pojistné stanoveno jako tzv. jednorázové pojistné. Jednorázové pojistné je splatné vždy celé, a to dnem uzavření pojistné smlouvy, pokud není dohodnuto jinak.</w:t>
      </w:r>
    </w:p>
    <w:p w14:paraId="17C25EF3" w14:textId="77777777" w:rsidR="00F65BCA" w:rsidRDefault="00216117">
      <w:pPr>
        <w:pStyle w:val="Nadpis9"/>
        <w:spacing w:line="273" w:lineRule="auto"/>
        <w:ind w:left="653" w:right="1081"/>
      </w:pPr>
      <w:r>
        <w:rPr>
          <w:color w:val="231F20"/>
        </w:rPr>
        <w:t>Pojistník je povinen hradit pojistné bezhotovostně na bankovní účet a s variabilním symbolem určeným Pojišťovnou.  Způsob</w:t>
      </w:r>
      <w:r>
        <w:rPr>
          <w:color w:val="231F20"/>
          <w:spacing w:val="5"/>
        </w:rPr>
        <w:t xml:space="preserve"> </w:t>
      </w:r>
      <w:r>
        <w:rPr>
          <w:color w:val="231F20"/>
        </w:rPr>
        <w:t>a</w:t>
      </w:r>
      <w:r>
        <w:rPr>
          <w:color w:val="231F20"/>
          <w:spacing w:val="6"/>
        </w:rPr>
        <w:t xml:space="preserve"> </w:t>
      </w:r>
      <w:r>
        <w:rPr>
          <w:color w:val="231F20"/>
        </w:rPr>
        <w:t>doba</w:t>
      </w:r>
      <w:r>
        <w:rPr>
          <w:color w:val="231F20"/>
          <w:spacing w:val="5"/>
        </w:rPr>
        <w:t xml:space="preserve"> </w:t>
      </w:r>
      <w:r>
        <w:rPr>
          <w:color w:val="231F20"/>
        </w:rPr>
        <w:t>placení</w:t>
      </w:r>
      <w:r>
        <w:rPr>
          <w:color w:val="231F20"/>
          <w:spacing w:val="6"/>
        </w:rPr>
        <w:t xml:space="preserve"> </w:t>
      </w:r>
      <w:r>
        <w:rPr>
          <w:color w:val="231F20"/>
        </w:rPr>
        <w:t>pojistného</w:t>
      </w:r>
      <w:r>
        <w:rPr>
          <w:color w:val="231F20"/>
          <w:spacing w:val="5"/>
        </w:rPr>
        <w:t xml:space="preserve"> </w:t>
      </w:r>
      <w:r>
        <w:rPr>
          <w:color w:val="231F20"/>
        </w:rPr>
        <w:t>jsou</w:t>
      </w:r>
      <w:r>
        <w:rPr>
          <w:color w:val="231F20"/>
          <w:spacing w:val="6"/>
        </w:rPr>
        <w:t xml:space="preserve"> </w:t>
      </w:r>
      <w:r>
        <w:rPr>
          <w:color w:val="231F20"/>
        </w:rPr>
        <w:t>stanoveny</w:t>
      </w:r>
      <w:r>
        <w:rPr>
          <w:color w:val="231F20"/>
          <w:spacing w:val="5"/>
        </w:rPr>
        <w:t xml:space="preserve"> </w:t>
      </w:r>
      <w:r>
        <w:rPr>
          <w:color w:val="231F20"/>
        </w:rPr>
        <w:t>v</w:t>
      </w:r>
      <w:r>
        <w:rPr>
          <w:color w:val="231F20"/>
          <w:spacing w:val="6"/>
        </w:rPr>
        <w:t xml:space="preserve"> </w:t>
      </w:r>
      <w:r>
        <w:rPr>
          <w:color w:val="231F20"/>
        </w:rPr>
        <w:t>pojistné</w:t>
      </w:r>
      <w:r>
        <w:rPr>
          <w:color w:val="231F20"/>
          <w:spacing w:val="5"/>
        </w:rPr>
        <w:t xml:space="preserve"> </w:t>
      </w:r>
      <w:r>
        <w:rPr>
          <w:color w:val="231F20"/>
        </w:rPr>
        <w:t>smlouvě.</w:t>
      </w:r>
      <w:r>
        <w:rPr>
          <w:color w:val="231F20"/>
          <w:spacing w:val="6"/>
        </w:rPr>
        <w:t xml:space="preserve"> </w:t>
      </w:r>
      <w:r>
        <w:rPr>
          <w:color w:val="231F20"/>
        </w:rPr>
        <w:t>Při</w:t>
      </w:r>
      <w:r>
        <w:rPr>
          <w:color w:val="231F20"/>
          <w:spacing w:val="5"/>
        </w:rPr>
        <w:t xml:space="preserve"> </w:t>
      </w:r>
      <w:r>
        <w:rPr>
          <w:color w:val="231F20"/>
        </w:rPr>
        <w:t>platbě</w:t>
      </w:r>
      <w:r>
        <w:rPr>
          <w:color w:val="231F20"/>
          <w:spacing w:val="6"/>
        </w:rPr>
        <w:t xml:space="preserve"> </w:t>
      </w:r>
      <w:r>
        <w:rPr>
          <w:color w:val="231F20"/>
        </w:rPr>
        <w:t>je</w:t>
      </w:r>
      <w:r>
        <w:rPr>
          <w:color w:val="231F20"/>
          <w:spacing w:val="6"/>
        </w:rPr>
        <w:t xml:space="preserve"> </w:t>
      </w:r>
      <w:r>
        <w:rPr>
          <w:color w:val="231F20"/>
        </w:rPr>
        <w:t>potřeba</w:t>
      </w:r>
      <w:r>
        <w:rPr>
          <w:color w:val="231F20"/>
          <w:spacing w:val="5"/>
        </w:rPr>
        <w:t xml:space="preserve"> </w:t>
      </w:r>
      <w:r>
        <w:rPr>
          <w:color w:val="231F20"/>
        </w:rPr>
        <w:t>uvést</w:t>
      </w:r>
      <w:r>
        <w:rPr>
          <w:color w:val="231F20"/>
          <w:spacing w:val="6"/>
        </w:rPr>
        <w:t xml:space="preserve"> </w:t>
      </w:r>
      <w:r>
        <w:rPr>
          <w:color w:val="231F20"/>
        </w:rPr>
        <w:t>správný</w:t>
      </w:r>
      <w:r>
        <w:rPr>
          <w:color w:val="231F20"/>
          <w:spacing w:val="5"/>
        </w:rPr>
        <w:t xml:space="preserve"> </w:t>
      </w:r>
      <w:r>
        <w:rPr>
          <w:color w:val="231F20"/>
        </w:rPr>
        <w:t>variabilní</w:t>
      </w:r>
      <w:r>
        <w:rPr>
          <w:color w:val="231F20"/>
          <w:spacing w:val="6"/>
        </w:rPr>
        <w:t xml:space="preserve"> </w:t>
      </w:r>
      <w:r>
        <w:rPr>
          <w:color w:val="231F20"/>
          <w:spacing w:val="-3"/>
        </w:rPr>
        <w:t>symbol.</w:t>
      </w:r>
    </w:p>
    <w:p w14:paraId="16C13FA3" w14:textId="77777777" w:rsidR="00F65BCA" w:rsidRDefault="00F65BCA">
      <w:pPr>
        <w:pStyle w:val="Zkladntext"/>
        <w:spacing w:before="8"/>
        <w:rPr>
          <w:sz w:val="28"/>
        </w:rPr>
      </w:pPr>
    </w:p>
    <w:p w14:paraId="0EB2FBE7" w14:textId="77777777" w:rsidR="00F65BCA" w:rsidRDefault="00000000">
      <w:pPr>
        <w:ind w:left="653"/>
        <w:rPr>
          <w:sz w:val="28"/>
        </w:rPr>
      </w:pPr>
      <w:r>
        <w:pict w14:anchorId="7AA063F9">
          <v:shape id="_x0000_s2325" style="position:absolute;left:0;text-align:left;margin-left:39.7pt;margin-top:17.75pt;width:504.6pt;height:.1pt;z-index:-251515904;mso-wrap-distance-left:0;mso-wrap-distance-right:0;mso-position-horizontal-relative:page" coordorigin="794,355" coordsize="10092,0" path="m794,355r10091,e" filled="f" strokecolor="#d1d3d4">
            <v:path arrowok="t"/>
            <w10:wrap type="topAndBottom" anchorx="page"/>
          </v:shape>
        </w:pict>
      </w:r>
      <w:r w:rsidR="00216117">
        <w:rPr>
          <w:color w:val="C5271C"/>
          <w:sz w:val="28"/>
        </w:rPr>
        <w:t>Poskytnutí plnění</w:t>
      </w:r>
    </w:p>
    <w:p w14:paraId="03767C6D" w14:textId="77777777" w:rsidR="00F65BCA" w:rsidRDefault="00216117">
      <w:pPr>
        <w:pStyle w:val="Nadpis9"/>
        <w:spacing w:before="119" w:line="273" w:lineRule="auto"/>
        <w:ind w:left="653" w:right="878"/>
      </w:pPr>
      <w:r>
        <w:rPr>
          <w:color w:val="231F20"/>
        </w:rPr>
        <w:t>V případě, že Vám za splnění podmínek daných pojistnou smlouvou a pojistnými podmínkami vznikne událost, na kterou se pojištění vztahuje, poskytne Vám Pojišťovna v souladu se sjednanou pojistnou smlouvou a pojistnými podmínkami tzv. pojist- né plnění. Předmětnou událost je třeba včas Pojišťovně nahlásit, prokázat její vznik a rozsah, doložit ji všechny jí požadované informace a dokumenty a poskytnout ji potřebnou součinnost.</w:t>
      </w:r>
    </w:p>
    <w:p w14:paraId="73901B37" w14:textId="77777777" w:rsidR="00F65BCA" w:rsidRDefault="00F65BCA">
      <w:pPr>
        <w:pStyle w:val="Zkladntext"/>
        <w:spacing w:before="6"/>
        <w:rPr>
          <w:sz w:val="20"/>
        </w:rPr>
      </w:pPr>
    </w:p>
    <w:p w14:paraId="7A7100F7" w14:textId="77777777" w:rsidR="00F65BCA" w:rsidRDefault="00216117">
      <w:pPr>
        <w:pStyle w:val="Nadpis9"/>
        <w:spacing w:line="273" w:lineRule="auto"/>
        <w:ind w:left="653" w:right="877"/>
      </w:pPr>
      <w:r>
        <w:rPr>
          <w:color w:val="231F20"/>
        </w:rPr>
        <w:t>Nejčastěji je pojistné plnění poskytováno v penězích na Vámi určený bankovní účet nebo uhrazením konkrétní Vámi čerpané služby. Standardně je pojistné plnění vypláceno ve lhůtě 15 dnů ode dne ukončení šetření nahlášené události. Na šetření udá- losti má Pojišťovna 3 měsíce. Tato lhůta se však může prodloužit například z důvodu nedodání všech potřebných dokumentů  a</w:t>
      </w:r>
      <w:r>
        <w:rPr>
          <w:color w:val="231F20"/>
          <w:spacing w:val="-3"/>
        </w:rPr>
        <w:t xml:space="preserve"> </w:t>
      </w:r>
      <w:r>
        <w:rPr>
          <w:color w:val="231F20"/>
        </w:rPr>
        <w:t>informací,</w:t>
      </w:r>
      <w:r>
        <w:rPr>
          <w:color w:val="231F20"/>
          <w:spacing w:val="-3"/>
        </w:rPr>
        <w:t xml:space="preserve"> </w:t>
      </w:r>
      <w:r>
        <w:rPr>
          <w:color w:val="231F20"/>
        </w:rPr>
        <w:t>které</w:t>
      </w:r>
      <w:r>
        <w:rPr>
          <w:color w:val="231F20"/>
          <w:spacing w:val="-3"/>
        </w:rPr>
        <w:t xml:space="preserve"> </w:t>
      </w:r>
      <w:r>
        <w:rPr>
          <w:color w:val="231F20"/>
        </w:rPr>
        <w:t>Pojišťovna</w:t>
      </w:r>
      <w:r>
        <w:rPr>
          <w:color w:val="231F20"/>
          <w:spacing w:val="-2"/>
        </w:rPr>
        <w:t xml:space="preserve"> </w:t>
      </w:r>
      <w:r>
        <w:rPr>
          <w:color w:val="231F20"/>
        </w:rPr>
        <w:t>pro</w:t>
      </w:r>
      <w:r>
        <w:rPr>
          <w:color w:val="231F20"/>
          <w:spacing w:val="-3"/>
        </w:rPr>
        <w:t xml:space="preserve"> </w:t>
      </w:r>
      <w:r>
        <w:rPr>
          <w:color w:val="231F20"/>
        </w:rPr>
        <w:t>šetření</w:t>
      </w:r>
      <w:r>
        <w:rPr>
          <w:color w:val="231F20"/>
          <w:spacing w:val="-3"/>
        </w:rPr>
        <w:t xml:space="preserve"> </w:t>
      </w:r>
      <w:r>
        <w:rPr>
          <w:color w:val="231F20"/>
        </w:rPr>
        <w:t>události</w:t>
      </w:r>
      <w:r>
        <w:rPr>
          <w:color w:val="231F20"/>
          <w:spacing w:val="-2"/>
        </w:rPr>
        <w:t xml:space="preserve"> </w:t>
      </w:r>
      <w:r>
        <w:rPr>
          <w:color w:val="231F20"/>
        </w:rPr>
        <w:t>potřebuje.</w:t>
      </w:r>
      <w:r>
        <w:rPr>
          <w:color w:val="231F20"/>
          <w:spacing w:val="-3"/>
        </w:rPr>
        <w:t xml:space="preserve"> </w:t>
      </w:r>
      <w:r>
        <w:rPr>
          <w:color w:val="231F20"/>
        </w:rPr>
        <w:t>O</w:t>
      </w:r>
      <w:r>
        <w:rPr>
          <w:color w:val="231F20"/>
          <w:spacing w:val="-3"/>
        </w:rPr>
        <w:t xml:space="preserve"> </w:t>
      </w:r>
      <w:r>
        <w:rPr>
          <w:color w:val="231F20"/>
        </w:rPr>
        <w:t>skutečnosti</w:t>
      </w:r>
      <w:r>
        <w:rPr>
          <w:color w:val="231F20"/>
          <w:spacing w:val="-2"/>
        </w:rPr>
        <w:t xml:space="preserve"> </w:t>
      </w:r>
      <w:r>
        <w:rPr>
          <w:color w:val="231F20"/>
        </w:rPr>
        <w:t>prodloužení</w:t>
      </w:r>
      <w:r>
        <w:rPr>
          <w:color w:val="231F20"/>
          <w:spacing w:val="-3"/>
        </w:rPr>
        <w:t xml:space="preserve"> </w:t>
      </w:r>
      <w:r>
        <w:rPr>
          <w:color w:val="231F20"/>
        </w:rPr>
        <w:t>lhůty</w:t>
      </w:r>
      <w:r>
        <w:rPr>
          <w:color w:val="231F20"/>
          <w:spacing w:val="-3"/>
        </w:rPr>
        <w:t xml:space="preserve"> </w:t>
      </w:r>
      <w:r>
        <w:rPr>
          <w:color w:val="231F20"/>
        </w:rPr>
        <w:t>pro</w:t>
      </w:r>
      <w:r>
        <w:rPr>
          <w:color w:val="231F20"/>
          <w:spacing w:val="-3"/>
        </w:rPr>
        <w:t xml:space="preserve"> </w:t>
      </w:r>
      <w:r>
        <w:rPr>
          <w:color w:val="231F20"/>
        </w:rPr>
        <w:t>šetření</w:t>
      </w:r>
      <w:r>
        <w:rPr>
          <w:color w:val="231F20"/>
          <w:spacing w:val="-2"/>
        </w:rPr>
        <w:t xml:space="preserve"> </w:t>
      </w:r>
      <w:r>
        <w:rPr>
          <w:color w:val="231F20"/>
        </w:rPr>
        <w:t>události</w:t>
      </w:r>
      <w:r>
        <w:rPr>
          <w:color w:val="231F20"/>
          <w:spacing w:val="-3"/>
        </w:rPr>
        <w:t xml:space="preserve"> </w:t>
      </w:r>
      <w:r>
        <w:rPr>
          <w:color w:val="231F20"/>
        </w:rPr>
        <w:t>Vás</w:t>
      </w:r>
      <w:r>
        <w:rPr>
          <w:color w:val="231F20"/>
          <w:spacing w:val="-3"/>
        </w:rPr>
        <w:t xml:space="preserve"> </w:t>
      </w:r>
      <w:r>
        <w:rPr>
          <w:color w:val="231F20"/>
        </w:rPr>
        <w:t>Pojišťovna informuje, a to včetně uvedení důvodu takového</w:t>
      </w:r>
      <w:r>
        <w:rPr>
          <w:color w:val="231F20"/>
          <w:spacing w:val="2"/>
        </w:rPr>
        <w:t xml:space="preserve"> </w:t>
      </w:r>
      <w:r>
        <w:rPr>
          <w:color w:val="231F20"/>
        </w:rPr>
        <w:t>prodloužení.</w:t>
      </w:r>
    </w:p>
    <w:p w14:paraId="5C3F0AD3" w14:textId="77777777" w:rsidR="00F65BCA" w:rsidRDefault="00F65BCA">
      <w:pPr>
        <w:pStyle w:val="Zkladntext"/>
        <w:rPr>
          <w:sz w:val="20"/>
        </w:rPr>
      </w:pPr>
    </w:p>
    <w:p w14:paraId="798F2DAB" w14:textId="77777777" w:rsidR="00F65BCA" w:rsidRDefault="00F65BCA">
      <w:pPr>
        <w:pStyle w:val="Zkladntext"/>
        <w:rPr>
          <w:sz w:val="24"/>
        </w:rPr>
      </w:pPr>
    </w:p>
    <w:p w14:paraId="04D80458" w14:textId="77777777" w:rsidR="00F65BCA" w:rsidRDefault="00000000">
      <w:pPr>
        <w:tabs>
          <w:tab w:val="left" w:pos="9351"/>
        </w:tabs>
        <w:spacing w:before="103"/>
        <w:ind w:left="653"/>
        <w:rPr>
          <w:sz w:val="14"/>
        </w:rPr>
      </w:pPr>
      <w:r>
        <w:pict w14:anchorId="7628378C">
          <v:line id="_x0000_s2324" style="position:absolute;left:0;text-align:left;z-index:-299428864;mso-position-horizontal-relative:page" from="0,-7.65pt" to="595.3pt,-7.65pt" strokecolor="#c5271c" strokeweight="1pt">
            <w10:wrap anchorx="page"/>
          </v:line>
        </w:pict>
      </w:r>
      <w:r w:rsidR="00216117">
        <w:rPr>
          <w:color w:val="231F20"/>
          <w:sz w:val="16"/>
        </w:rPr>
        <w:t xml:space="preserve">10  </w:t>
      </w:r>
      <w:r w:rsidR="00216117">
        <w:rPr>
          <w:color w:val="C5271C"/>
          <w:sz w:val="20"/>
        </w:rPr>
        <w:t>|</w:t>
      </w:r>
      <w:r w:rsidR="00216117">
        <w:rPr>
          <w:color w:val="C5271C"/>
          <w:spacing w:val="52"/>
          <w:sz w:val="20"/>
        </w:rPr>
        <w:t xml:space="preserve"> </w:t>
      </w:r>
      <w:r w:rsidR="00216117">
        <w:rPr>
          <w:color w:val="231F20"/>
          <w:sz w:val="16"/>
        </w:rPr>
        <w:t>Předsmluvní informace</w:t>
      </w:r>
      <w:r w:rsidR="00216117">
        <w:rPr>
          <w:color w:val="231F20"/>
          <w:sz w:val="16"/>
        </w:rPr>
        <w:tab/>
      </w:r>
      <w:r w:rsidR="00216117">
        <w:rPr>
          <w:color w:val="231F20"/>
          <w:sz w:val="14"/>
        </w:rPr>
        <w:t>6.20.012 05.2025 v04</w:t>
      </w:r>
    </w:p>
    <w:p w14:paraId="6E2B43F6" w14:textId="77777777" w:rsidR="00F65BCA" w:rsidRDefault="00F65BCA">
      <w:pPr>
        <w:rPr>
          <w:sz w:val="14"/>
        </w:rPr>
        <w:sectPr w:rsidR="00F65BCA">
          <w:pgSz w:w="11910" w:h="16840"/>
          <w:pgMar w:top="540" w:right="140" w:bottom="0" w:left="140" w:header="708" w:footer="708" w:gutter="0"/>
          <w:cols w:space="708"/>
        </w:sectPr>
      </w:pPr>
    </w:p>
    <w:p w14:paraId="0CDB23B7" w14:textId="77777777" w:rsidR="00F65BCA" w:rsidRDefault="00216117">
      <w:pPr>
        <w:pStyle w:val="Nadpis9"/>
        <w:spacing w:before="82" w:line="273" w:lineRule="auto"/>
        <w:ind w:right="651"/>
      </w:pPr>
      <w:r>
        <w:rPr>
          <w:color w:val="231F20"/>
        </w:rPr>
        <w:lastRenderedPageBreak/>
        <w:t>V</w:t>
      </w:r>
      <w:r>
        <w:rPr>
          <w:color w:val="231F20"/>
          <w:spacing w:val="-5"/>
        </w:rPr>
        <w:t xml:space="preserve"> </w:t>
      </w:r>
      <w:r>
        <w:rPr>
          <w:color w:val="231F20"/>
        </w:rPr>
        <w:t>rámci</w:t>
      </w:r>
      <w:r>
        <w:rPr>
          <w:color w:val="231F20"/>
          <w:spacing w:val="-4"/>
        </w:rPr>
        <w:t xml:space="preserve"> </w:t>
      </w:r>
      <w:r>
        <w:rPr>
          <w:color w:val="231F20"/>
        </w:rPr>
        <w:t>sjednaného</w:t>
      </w:r>
      <w:r>
        <w:rPr>
          <w:color w:val="231F20"/>
          <w:spacing w:val="-4"/>
        </w:rPr>
        <w:t xml:space="preserve"> </w:t>
      </w:r>
      <w:r>
        <w:rPr>
          <w:color w:val="231F20"/>
        </w:rPr>
        <w:t>pojištění</w:t>
      </w:r>
      <w:r>
        <w:rPr>
          <w:color w:val="231F20"/>
          <w:spacing w:val="-4"/>
        </w:rPr>
        <w:t xml:space="preserve"> </w:t>
      </w:r>
      <w:r>
        <w:rPr>
          <w:color w:val="231F20"/>
        </w:rPr>
        <w:t>Vám</w:t>
      </w:r>
      <w:r>
        <w:rPr>
          <w:color w:val="231F20"/>
          <w:spacing w:val="-4"/>
        </w:rPr>
        <w:t xml:space="preserve"> </w:t>
      </w:r>
      <w:r>
        <w:rPr>
          <w:color w:val="231F20"/>
        </w:rPr>
        <w:t>také</w:t>
      </w:r>
      <w:r>
        <w:rPr>
          <w:color w:val="231F20"/>
          <w:spacing w:val="-4"/>
        </w:rPr>
        <w:t xml:space="preserve"> </w:t>
      </w:r>
      <w:r>
        <w:rPr>
          <w:color w:val="231F20"/>
        </w:rPr>
        <w:t>může</w:t>
      </w:r>
      <w:r>
        <w:rPr>
          <w:color w:val="231F20"/>
          <w:spacing w:val="-5"/>
        </w:rPr>
        <w:t xml:space="preserve"> </w:t>
      </w:r>
      <w:r>
        <w:rPr>
          <w:color w:val="231F20"/>
        </w:rPr>
        <w:t>vzniknout</w:t>
      </w:r>
      <w:r>
        <w:rPr>
          <w:color w:val="231F20"/>
          <w:spacing w:val="-4"/>
        </w:rPr>
        <w:t xml:space="preserve"> </w:t>
      </w:r>
      <w:r>
        <w:rPr>
          <w:color w:val="231F20"/>
        </w:rPr>
        <w:t>nárok</w:t>
      </w:r>
      <w:r>
        <w:rPr>
          <w:color w:val="231F20"/>
          <w:spacing w:val="-4"/>
        </w:rPr>
        <w:t xml:space="preserve"> </w:t>
      </w:r>
      <w:r>
        <w:rPr>
          <w:color w:val="231F20"/>
        </w:rPr>
        <w:t>na</w:t>
      </w:r>
      <w:r>
        <w:rPr>
          <w:color w:val="231F20"/>
          <w:spacing w:val="-4"/>
        </w:rPr>
        <w:t xml:space="preserve"> </w:t>
      </w:r>
      <w:r>
        <w:rPr>
          <w:color w:val="231F20"/>
        </w:rPr>
        <w:t>poskytnutí</w:t>
      </w:r>
      <w:r>
        <w:rPr>
          <w:color w:val="231F20"/>
          <w:spacing w:val="-4"/>
        </w:rPr>
        <w:t xml:space="preserve"> </w:t>
      </w:r>
      <w:r>
        <w:rPr>
          <w:color w:val="231F20"/>
        </w:rPr>
        <w:t>jiného</w:t>
      </w:r>
      <w:r>
        <w:rPr>
          <w:color w:val="231F20"/>
          <w:spacing w:val="-4"/>
        </w:rPr>
        <w:t xml:space="preserve"> </w:t>
      </w:r>
      <w:r>
        <w:rPr>
          <w:color w:val="231F20"/>
        </w:rPr>
        <w:t>plnění,</w:t>
      </w:r>
      <w:r>
        <w:rPr>
          <w:color w:val="231F20"/>
          <w:spacing w:val="-4"/>
        </w:rPr>
        <w:t xml:space="preserve"> </w:t>
      </w:r>
      <w:r>
        <w:rPr>
          <w:color w:val="231F20"/>
        </w:rPr>
        <w:t>například</w:t>
      </w:r>
      <w:r>
        <w:rPr>
          <w:color w:val="231F20"/>
          <w:spacing w:val="-5"/>
        </w:rPr>
        <w:t xml:space="preserve"> </w:t>
      </w:r>
      <w:r>
        <w:rPr>
          <w:color w:val="231F20"/>
        </w:rPr>
        <w:t>v</w:t>
      </w:r>
      <w:r>
        <w:rPr>
          <w:color w:val="231F20"/>
          <w:spacing w:val="-4"/>
        </w:rPr>
        <w:t xml:space="preserve"> </w:t>
      </w:r>
      <w:r>
        <w:rPr>
          <w:color w:val="231F20"/>
        </w:rPr>
        <w:t>podobě</w:t>
      </w:r>
      <w:r>
        <w:rPr>
          <w:color w:val="231F20"/>
          <w:spacing w:val="-4"/>
        </w:rPr>
        <w:t xml:space="preserve"> </w:t>
      </w:r>
      <w:r>
        <w:rPr>
          <w:color w:val="231F20"/>
        </w:rPr>
        <w:t>účelně</w:t>
      </w:r>
      <w:r>
        <w:rPr>
          <w:color w:val="231F20"/>
          <w:spacing w:val="-4"/>
        </w:rPr>
        <w:t xml:space="preserve"> </w:t>
      </w:r>
      <w:r>
        <w:rPr>
          <w:color w:val="231F20"/>
        </w:rPr>
        <w:t>vynalože- ných zachraňovacích nákladů vzniklých v souvislosti s nastalou</w:t>
      </w:r>
      <w:r>
        <w:rPr>
          <w:color w:val="231F20"/>
          <w:spacing w:val="2"/>
        </w:rPr>
        <w:t xml:space="preserve"> </w:t>
      </w:r>
      <w:r>
        <w:rPr>
          <w:color w:val="231F20"/>
        </w:rPr>
        <w:t>událostí.</w:t>
      </w:r>
    </w:p>
    <w:p w14:paraId="4DF5D3F5" w14:textId="77777777" w:rsidR="00F65BCA" w:rsidRDefault="00F65BCA">
      <w:pPr>
        <w:pStyle w:val="Zkladntext"/>
        <w:spacing w:before="6"/>
        <w:rPr>
          <w:sz w:val="20"/>
        </w:rPr>
      </w:pPr>
    </w:p>
    <w:p w14:paraId="6AD14BD9" w14:textId="77777777" w:rsidR="00F65BCA" w:rsidRDefault="00216117">
      <w:pPr>
        <w:pStyle w:val="Nadpis9"/>
      </w:pPr>
      <w:r>
        <w:rPr>
          <w:color w:val="231F20"/>
        </w:rPr>
        <w:t>Pojišťovna si není vědoma žádných rizik mimo jeho kontrolu spojených s poskytováním pojištění.</w:t>
      </w:r>
    </w:p>
    <w:p w14:paraId="7A57A89B" w14:textId="77777777" w:rsidR="00F65BCA" w:rsidRDefault="00F65BCA">
      <w:pPr>
        <w:pStyle w:val="Zkladntext"/>
        <w:rPr>
          <w:sz w:val="20"/>
        </w:rPr>
      </w:pPr>
    </w:p>
    <w:p w14:paraId="0FEC4E5A" w14:textId="77777777" w:rsidR="00F65BCA" w:rsidRDefault="00000000">
      <w:pPr>
        <w:spacing w:before="121"/>
        <w:ind w:left="880"/>
        <w:rPr>
          <w:sz w:val="28"/>
        </w:rPr>
      </w:pPr>
      <w:r>
        <w:pict w14:anchorId="7FE7EBDE">
          <v:shape id="_x0000_s2323" style="position:absolute;left:0;text-align:left;margin-left:51pt;margin-top:23.8pt;width:504.6pt;height:.1pt;z-index:-251513856;mso-wrap-distance-left:0;mso-wrap-distance-right:0;mso-position-horizontal-relative:page" coordorigin="1020,476" coordsize="10092,0" path="m1020,476r10092,e" filled="f" strokecolor="#d1d3d4">
            <v:path arrowok="t"/>
            <w10:wrap type="topAndBottom" anchorx="page"/>
          </v:shape>
        </w:pict>
      </w:r>
      <w:r w:rsidR="00216117">
        <w:rPr>
          <w:color w:val="C5271C"/>
          <w:sz w:val="28"/>
        </w:rPr>
        <w:t>Daňové předpisy</w:t>
      </w:r>
    </w:p>
    <w:p w14:paraId="778698E6" w14:textId="77777777" w:rsidR="00F65BCA" w:rsidRDefault="00216117">
      <w:pPr>
        <w:pStyle w:val="Nadpis9"/>
        <w:spacing w:before="123" w:line="278" w:lineRule="auto"/>
        <w:ind w:right="651"/>
      </w:pPr>
      <w:r>
        <w:rPr>
          <w:color w:val="231F20"/>
        </w:rPr>
        <w:t>Právním</w:t>
      </w:r>
      <w:r>
        <w:rPr>
          <w:color w:val="231F20"/>
          <w:spacing w:val="-9"/>
        </w:rPr>
        <w:t xml:space="preserve"> </w:t>
      </w:r>
      <w:r>
        <w:rPr>
          <w:color w:val="231F20"/>
        </w:rPr>
        <w:t>předpisem</w:t>
      </w:r>
      <w:r>
        <w:rPr>
          <w:color w:val="231F20"/>
          <w:spacing w:val="-9"/>
        </w:rPr>
        <w:t xml:space="preserve"> </w:t>
      </w:r>
      <w:r>
        <w:rPr>
          <w:color w:val="231F20"/>
        </w:rPr>
        <w:t>upravujícím</w:t>
      </w:r>
      <w:r>
        <w:rPr>
          <w:color w:val="231F20"/>
          <w:spacing w:val="-9"/>
        </w:rPr>
        <w:t xml:space="preserve"> </w:t>
      </w:r>
      <w:r>
        <w:rPr>
          <w:color w:val="231F20"/>
        </w:rPr>
        <w:t>Vaše</w:t>
      </w:r>
      <w:r>
        <w:rPr>
          <w:color w:val="231F20"/>
          <w:spacing w:val="-9"/>
        </w:rPr>
        <w:t xml:space="preserve"> </w:t>
      </w:r>
      <w:r>
        <w:rPr>
          <w:color w:val="231F20"/>
        </w:rPr>
        <w:t>daňové</w:t>
      </w:r>
      <w:r>
        <w:rPr>
          <w:color w:val="231F20"/>
          <w:spacing w:val="-9"/>
        </w:rPr>
        <w:t xml:space="preserve"> </w:t>
      </w:r>
      <w:r>
        <w:rPr>
          <w:color w:val="231F20"/>
        </w:rPr>
        <w:t>povinnosti</w:t>
      </w:r>
      <w:r>
        <w:rPr>
          <w:color w:val="231F20"/>
          <w:spacing w:val="-9"/>
        </w:rPr>
        <w:t xml:space="preserve"> </w:t>
      </w:r>
      <w:r>
        <w:rPr>
          <w:color w:val="231F20"/>
        </w:rPr>
        <w:t>v</w:t>
      </w:r>
      <w:r>
        <w:rPr>
          <w:color w:val="231F20"/>
          <w:spacing w:val="-9"/>
        </w:rPr>
        <w:t xml:space="preserve"> </w:t>
      </w:r>
      <w:r>
        <w:rPr>
          <w:color w:val="231F20"/>
        </w:rPr>
        <w:t>souvislosti</w:t>
      </w:r>
      <w:r>
        <w:rPr>
          <w:color w:val="231F20"/>
          <w:spacing w:val="-9"/>
        </w:rPr>
        <w:t xml:space="preserve"> </w:t>
      </w:r>
      <w:r>
        <w:rPr>
          <w:color w:val="231F20"/>
        </w:rPr>
        <w:t>s</w:t>
      </w:r>
      <w:r>
        <w:rPr>
          <w:color w:val="231F20"/>
          <w:spacing w:val="-9"/>
        </w:rPr>
        <w:t xml:space="preserve"> </w:t>
      </w:r>
      <w:r>
        <w:rPr>
          <w:color w:val="231F20"/>
        </w:rPr>
        <w:t>pojištěním</w:t>
      </w:r>
      <w:r>
        <w:rPr>
          <w:color w:val="231F20"/>
          <w:spacing w:val="-9"/>
        </w:rPr>
        <w:t xml:space="preserve"> </w:t>
      </w:r>
      <w:r>
        <w:rPr>
          <w:color w:val="231F20"/>
        </w:rPr>
        <w:t>motorových</w:t>
      </w:r>
      <w:r>
        <w:rPr>
          <w:color w:val="231F20"/>
          <w:spacing w:val="-9"/>
        </w:rPr>
        <w:t xml:space="preserve"> </w:t>
      </w:r>
      <w:r>
        <w:rPr>
          <w:color w:val="231F20"/>
        </w:rPr>
        <w:t>vozidel</w:t>
      </w:r>
      <w:r>
        <w:rPr>
          <w:color w:val="231F20"/>
          <w:spacing w:val="-9"/>
        </w:rPr>
        <w:t xml:space="preserve"> </w:t>
      </w:r>
      <w:r>
        <w:rPr>
          <w:color w:val="231F20"/>
        </w:rPr>
        <w:t>je</w:t>
      </w:r>
      <w:r>
        <w:rPr>
          <w:color w:val="231F20"/>
          <w:spacing w:val="-9"/>
        </w:rPr>
        <w:t xml:space="preserve"> </w:t>
      </w:r>
      <w:r>
        <w:rPr>
          <w:color w:val="231F20"/>
        </w:rPr>
        <w:t>zákon</w:t>
      </w:r>
      <w:r>
        <w:rPr>
          <w:color w:val="231F20"/>
          <w:spacing w:val="-9"/>
        </w:rPr>
        <w:t xml:space="preserve"> </w:t>
      </w:r>
      <w:r>
        <w:rPr>
          <w:color w:val="231F20"/>
        </w:rPr>
        <w:t>č.</w:t>
      </w:r>
      <w:r>
        <w:rPr>
          <w:color w:val="231F20"/>
          <w:spacing w:val="-9"/>
        </w:rPr>
        <w:t xml:space="preserve"> </w:t>
      </w:r>
      <w:r>
        <w:rPr>
          <w:color w:val="231F20"/>
        </w:rPr>
        <w:t>586/1992</w:t>
      </w:r>
      <w:r>
        <w:rPr>
          <w:color w:val="231F20"/>
          <w:spacing w:val="-9"/>
        </w:rPr>
        <w:t xml:space="preserve"> </w:t>
      </w:r>
      <w:r>
        <w:rPr>
          <w:color w:val="231F20"/>
        </w:rPr>
        <w:t>Sb., o daních z příjmů, v platném znění. Tento předpis upravuje, která plnění z pojištění majetku a odpovědnosti za škodu jsou od daně</w:t>
      </w:r>
      <w:r>
        <w:rPr>
          <w:color w:val="231F20"/>
          <w:spacing w:val="-19"/>
        </w:rPr>
        <w:t xml:space="preserve"> </w:t>
      </w:r>
      <w:r>
        <w:rPr>
          <w:color w:val="231F20"/>
        </w:rPr>
        <w:t>osvobozena,</w:t>
      </w:r>
      <w:r>
        <w:rPr>
          <w:color w:val="231F20"/>
          <w:spacing w:val="-18"/>
        </w:rPr>
        <w:t xml:space="preserve"> </w:t>
      </w:r>
      <w:r>
        <w:rPr>
          <w:color w:val="231F20"/>
        </w:rPr>
        <w:t>a</w:t>
      </w:r>
      <w:r>
        <w:rPr>
          <w:color w:val="231F20"/>
          <w:spacing w:val="-18"/>
        </w:rPr>
        <w:t xml:space="preserve"> </w:t>
      </w:r>
      <w:r>
        <w:rPr>
          <w:color w:val="231F20"/>
        </w:rPr>
        <w:t>která</w:t>
      </w:r>
      <w:r>
        <w:rPr>
          <w:color w:val="231F20"/>
          <w:spacing w:val="-18"/>
        </w:rPr>
        <w:t xml:space="preserve"> </w:t>
      </w:r>
      <w:r>
        <w:rPr>
          <w:color w:val="231F20"/>
        </w:rPr>
        <w:t>plnění</w:t>
      </w:r>
      <w:r>
        <w:rPr>
          <w:color w:val="231F20"/>
          <w:spacing w:val="-18"/>
        </w:rPr>
        <w:t xml:space="preserve"> </w:t>
      </w:r>
      <w:r>
        <w:rPr>
          <w:color w:val="231F20"/>
        </w:rPr>
        <w:t>dani</w:t>
      </w:r>
      <w:r>
        <w:rPr>
          <w:color w:val="231F20"/>
          <w:spacing w:val="-18"/>
        </w:rPr>
        <w:t xml:space="preserve"> </w:t>
      </w:r>
      <w:r>
        <w:rPr>
          <w:color w:val="231F20"/>
        </w:rPr>
        <w:t>podléhají.</w:t>
      </w:r>
      <w:r>
        <w:rPr>
          <w:color w:val="231F20"/>
          <w:spacing w:val="-18"/>
        </w:rPr>
        <w:t xml:space="preserve"> </w:t>
      </w:r>
      <w:r>
        <w:rPr>
          <w:color w:val="231F20"/>
        </w:rPr>
        <w:t>V</w:t>
      </w:r>
      <w:r>
        <w:rPr>
          <w:color w:val="231F20"/>
          <w:spacing w:val="-18"/>
        </w:rPr>
        <w:t xml:space="preserve"> </w:t>
      </w:r>
      <w:r>
        <w:rPr>
          <w:color w:val="231F20"/>
        </w:rPr>
        <w:t>současné</w:t>
      </w:r>
      <w:r>
        <w:rPr>
          <w:color w:val="231F20"/>
          <w:spacing w:val="-18"/>
        </w:rPr>
        <w:t xml:space="preserve"> </w:t>
      </w:r>
      <w:r>
        <w:rPr>
          <w:color w:val="231F20"/>
        </w:rPr>
        <w:t>době</w:t>
      </w:r>
      <w:r>
        <w:rPr>
          <w:color w:val="231F20"/>
          <w:spacing w:val="-18"/>
        </w:rPr>
        <w:t xml:space="preserve"> </w:t>
      </w:r>
      <w:r>
        <w:rPr>
          <w:color w:val="231F20"/>
        </w:rPr>
        <w:t>není</w:t>
      </w:r>
      <w:r>
        <w:rPr>
          <w:color w:val="231F20"/>
          <w:spacing w:val="-18"/>
        </w:rPr>
        <w:t xml:space="preserve"> </w:t>
      </w:r>
      <w:r>
        <w:rPr>
          <w:color w:val="231F20"/>
        </w:rPr>
        <w:t>pojistník</w:t>
      </w:r>
      <w:r>
        <w:rPr>
          <w:color w:val="231F20"/>
          <w:spacing w:val="-18"/>
        </w:rPr>
        <w:t xml:space="preserve"> </w:t>
      </w:r>
      <w:r>
        <w:rPr>
          <w:color w:val="231F20"/>
        </w:rPr>
        <w:t>povinen</w:t>
      </w:r>
      <w:r>
        <w:rPr>
          <w:color w:val="231F20"/>
          <w:spacing w:val="-18"/>
        </w:rPr>
        <w:t xml:space="preserve"> </w:t>
      </w:r>
      <w:r>
        <w:rPr>
          <w:color w:val="231F20"/>
        </w:rPr>
        <w:t>prostřednictvím</w:t>
      </w:r>
      <w:r>
        <w:rPr>
          <w:color w:val="231F20"/>
          <w:spacing w:val="-18"/>
        </w:rPr>
        <w:t xml:space="preserve"> </w:t>
      </w:r>
      <w:r>
        <w:rPr>
          <w:color w:val="231F20"/>
        </w:rPr>
        <w:t>Pojišťovny</w:t>
      </w:r>
      <w:r>
        <w:rPr>
          <w:color w:val="231F20"/>
          <w:spacing w:val="-18"/>
        </w:rPr>
        <w:t xml:space="preserve"> </w:t>
      </w:r>
      <w:r>
        <w:rPr>
          <w:color w:val="231F20"/>
        </w:rPr>
        <w:t>hradit</w:t>
      </w:r>
      <w:r>
        <w:rPr>
          <w:color w:val="231F20"/>
          <w:spacing w:val="-19"/>
        </w:rPr>
        <w:t xml:space="preserve"> </w:t>
      </w:r>
      <w:r>
        <w:rPr>
          <w:color w:val="231F20"/>
        </w:rPr>
        <w:t>v</w:t>
      </w:r>
      <w:r>
        <w:rPr>
          <w:color w:val="231F20"/>
          <w:spacing w:val="-18"/>
        </w:rPr>
        <w:t xml:space="preserve"> </w:t>
      </w:r>
      <w:r>
        <w:rPr>
          <w:color w:val="231F20"/>
        </w:rPr>
        <w:t>přímé souvislosti s uzavřením pojistné smlouvy jiné</w:t>
      </w:r>
      <w:r>
        <w:rPr>
          <w:color w:val="231F20"/>
          <w:spacing w:val="-27"/>
        </w:rPr>
        <w:t xml:space="preserve"> </w:t>
      </w:r>
      <w:r>
        <w:rPr>
          <w:color w:val="231F20"/>
        </w:rPr>
        <w:t>daně.</w:t>
      </w:r>
    </w:p>
    <w:p w14:paraId="01A4B754" w14:textId="77777777" w:rsidR="00F65BCA" w:rsidRDefault="00F65BCA">
      <w:pPr>
        <w:pStyle w:val="Zkladntext"/>
        <w:spacing w:before="3"/>
        <w:rPr>
          <w:sz w:val="28"/>
        </w:rPr>
      </w:pPr>
    </w:p>
    <w:p w14:paraId="2719CA17" w14:textId="77777777" w:rsidR="00F65BCA" w:rsidRDefault="00000000">
      <w:pPr>
        <w:spacing w:before="1"/>
        <w:ind w:left="880"/>
        <w:rPr>
          <w:sz w:val="28"/>
        </w:rPr>
      </w:pPr>
      <w:r>
        <w:pict w14:anchorId="7F50A725">
          <v:shape id="_x0000_s2322" style="position:absolute;left:0;text-align:left;margin-left:51pt;margin-top:17.8pt;width:504.6pt;height:.1pt;z-index:-251512832;mso-wrap-distance-left:0;mso-wrap-distance-right:0;mso-position-horizontal-relative:page" coordorigin="1020,356" coordsize="10092,0" path="m1020,356r10092,e" filled="f" strokecolor="#d1d3d4">
            <v:path arrowok="t"/>
            <w10:wrap type="topAndBottom" anchorx="page"/>
          </v:shape>
        </w:pict>
      </w:r>
      <w:r w:rsidR="00216117">
        <w:rPr>
          <w:color w:val="C5271C"/>
          <w:sz w:val="28"/>
        </w:rPr>
        <w:t>Poplatky, náklady</w:t>
      </w:r>
    </w:p>
    <w:p w14:paraId="236A8D28" w14:textId="77777777" w:rsidR="00F65BCA" w:rsidRDefault="00216117">
      <w:pPr>
        <w:pStyle w:val="Nadpis9"/>
        <w:spacing w:before="123" w:line="278" w:lineRule="auto"/>
        <w:ind w:right="650"/>
      </w:pPr>
      <w:r>
        <w:rPr>
          <w:color w:val="231F20"/>
        </w:rPr>
        <w:t xml:space="preserve">Nad rámec sjednaného pojistného mohou být účtovány poplatky za služby související se sjednaným pojištěním. Aktuální výše těchto poplatků je uvedena v Sazebníku administrativních poplatků, který lze nalézt na </w:t>
      </w:r>
      <w:hyperlink r:id="rId37">
        <w:r>
          <w:rPr>
            <w:color w:val="231F20"/>
          </w:rPr>
          <w:t xml:space="preserve">www.generaliceska.cz </w:t>
        </w:r>
      </w:hyperlink>
      <w:r>
        <w:rPr>
          <w:color w:val="231F20"/>
        </w:rPr>
        <w:t>a který je též     k dispozici v sídle Pojišťovny a na obchodních místech Pojišťovny. Za použití prostředků komunikace na dálku žádné dodateč- né náklady</w:t>
      </w:r>
      <w:r>
        <w:rPr>
          <w:color w:val="231F20"/>
          <w:spacing w:val="-1"/>
        </w:rPr>
        <w:t xml:space="preserve"> </w:t>
      </w:r>
      <w:r>
        <w:rPr>
          <w:color w:val="231F20"/>
        </w:rPr>
        <w:t>nevznikají.</w:t>
      </w:r>
    </w:p>
    <w:p w14:paraId="49B5EA5F" w14:textId="77777777" w:rsidR="00F65BCA" w:rsidRDefault="00F65BCA">
      <w:pPr>
        <w:pStyle w:val="Zkladntext"/>
        <w:rPr>
          <w:sz w:val="20"/>
        </w:rPr>
      </w:pPr>
    </w:p>
    <w:p w14:paraId="62ED0E7F" w14:textId="77777777" w:rsidR="00F65BCA" w:rsidRDefault="00F65BCA">
      <w:pPr>
        <w:pStyle w:val="Zkladntext"/>
        <w:spacing w:before="10"/>
        <w:rPr>
          <w:sz w:val="21"/>
        </w:rPr>
      </w:pPr>
    </w:p>
    <w:p w14:paraId="3B520756" w14:textId="77777777" w:rsidR="00F65BCA" w:rsidRDefault="00000000">
      <w:pPr>
        <w:ind w:left="880"/>
        <w:rPr>
          <w:sz w:val="28"/>
        </w:rPr>
      </w:pPr>
      <w:r>
        <w:pict w14:anchorId="54292E40">
          <v:shape id="_x0000_s2321" style="position:absolute;left:0;text-align:left;margin-left:51pt;margin-top:17.75pt;width:504.6pt;height:.1pt;z-index:-251511808;mso-wrap-distance-left:0;mso-wrap-distance-right:0;mso-position-horizontal-relative:page" coordorigin="1020,355" coordsize="10092,0" path="m1020,355r10092,e" filled="f" strokecolor="#d1d3d4">
            <v:path arrowok="t"/>
            <w10:wrap type="topAndBottom" anchorx="page"/>
          </v:shape>
        </w:pict>
      </w:r>
      <w:r w:rsidR="00216117">
        <w:rPr>
          <w:color w:val="C5271C"/>
          <w:sz w:val="28"/>
        </w:rPr>
        <w:t>Důsledky porušení podmínek vyplývajících z pojistné smlouvy</w:t>
      </w:r>
    </w:p>
    <w:p w14:paraId="54F048FB" w14:textId="77777777" w:rsidR="00F65BCA" w:rsidRDefault="00216117">
      <w:pPr>
        <w:pStyle w:val="Nadpis9"/>
        <w:spacing w:before="123" w:line="278" w:lineRule="auto"/>
        <w:ind w:right="652"/>
      </w:pPr>
      <w:r>
        <w:rPr>
          <w:color w:val="231F20"/>
        </w:rPr>
        <w:t>V</w:t>
      </w:r>
      <w:r>
        <w:rPr>
          <w:color w:val="231F20"/>
          <w:spacing w:val="-19"/>
        </w:rPr>
        <w:t xml:space="preserve"> </w:t>
      </w:r>
      <w:r>
        <w:rPr>
          <w:color w:val="231F20"/>
        </w:rPr>
        <w:t>případě,</w:t>
      </w:r>
      <w:r>
        <w:rPr>
          <w:color w:val="231F20"/>
          <w:spacing w:val="-19"/>
        </w:rPr>
        <w:t xml:space="preserve"> </w:t>
      </w:r>
      <w:r>
        <w:rPr>
          <w:color w:val="231F20"/>
        </w:rPr>
        <w:t>že</w:t>
      </w:r>
      <w:r>
        <w:rPr>
          <w:color w:val="231F20"/>
          <w:spacing w:val="-18"/>
        </w:rPr>
        <w:t xml:space="preserve"> </w:t>
      </w:r>
      <w:r>
        <w:rPr>
          <w:color w:val="231F20"/>
        </w:rPr>
        <w:t>pojistník,</w:t>
      </w:r>
      <w:r>
        <w:rPr>
          <w:color w:val="231F20"/>
          <w:spacing w:val="-19"/>
        </w:rPr>
        <w:t xml:space="preserve"> </w:t>
      </w:r>
      <w:r>
        <w:rPr>
          <w:color w:val="231F20"/>
        </w:rPr>
        <w:t>pojištěný</w:t>
      </w:r>
      <w:r>
        <w:rPr>
          <w:color w:val="231F20"/>
          <w:spacing w:val="-19"/>
        </w:rPr>
        <w:t xml:space="preserve"> </w:t>
      </w:r>
      <w:r>
        <w:rPr>
          <w:color w:val="231F20"/>
        </w:rPr>
        <w:t>či</w:t>
      </w:r>
      <w:r>
        <w:rPr>
          <w:color w:val="231F20"/>
          <w:spacing w:val="-18"/>
        </w:rPr>
        <w:t xml:space="preserve"> </w:t>
      </w:r>
      <w:r>
        <w:rPr>
          <w:color w:val="231F20"/>
        </w:rPr>
        <w:t>jiná</w:t>
      </w:r>
      <w:r>
        <w:rPr>
          <w:color w:val="231F20"/>
          <w:spacing w:val="-19"/>
        </w:rPr>
        <w:t xml:space="preserve"> </w:t>
      </w:r>
      <w:r>
        <w:rPr>
          <w:color w:val="231F20"/>
        </w:rPr>
        <w:t>osoba</w:t>
      </w:r>
      <w:r>
        <w:rPr>
          <w:color w:val="231F20"/>
          <w:spacing w:val="-19"/>
        </w:rPr>
        <w:t xml:space="preserve"> </w:t>
      </w:r>
      <w:r>
        <w:rPr>
          <w:color w:val="231F20"/>
        </w:rPr>
        <w:t>mající</w:t>
      </w:r>
      <w:r>
        <w:rPr>
          <w:color w:val="231F20"/>
          <w:spacing w:val="-18"/>
        </w:rPr>
        <w:t xml:space="preserve"> </w:t>
      </w:r>
      <w:r>
        <w:rPr>
          <w:color w:val="231F20"/>
        </w:rPr>
        <w:t>právo</w:t>
      </w:r>
      <w:r>
        <w:rPr>
          <w:color w:val="231F20"/>
          <w:spacing w:val="-19"/>
        </w:rPr>
        <w:t xml:space="preserve"> </w:t>
      </w:r>
      <w:r>
        <w:rPr>
          <w:color w:val="231F20"/>
        </w:rPr>
        <w:t>na</w:t>
      </w:r>
      <w:r>
        <w:rPr>
          <w:color w:val="231F20"/>
          <w:spacing w:val="-19"/>
        </w:rPr>
        <w:t xml:space="preserve"> </w:t>
      </w:r>
      <w:r>
        <w:rPr>
          <w:color w:val="231F20"/>
        </w:rPr>
        <w:t>pojistné</w:t>
      </w:r>
      <w:r>
        <w:rPr>
          <w:color w:val="231F20"/>
          <w:spacing w:val="-18"/>
        </w:rPr>
        <w:t xml:space="preserve"> </w:t>
      </w:r>
      <w:r>
        <w:rPr>
          <w:color w:val="231F20"/>
        </w:rPr>
        <w:t>plnění</w:t>
      </w:r>
      <w:r>
        <w:rPr>
          <w:color w:val="231F20"/>
          <w:spacing w:val="-19"/>
        </w:rPr>
        <w:t xml:space="preserve"> </w:t>
      </w:r>
      <w:r>
        <w:rPr>
          <w:color w:val="231F20"/>
        </w:rPr>
        <w:t>poruší</w:t>
      </w:r>
      <w:r>
        <w:rPr>
          <w:color w:val="231F20"/>
          <w:spacing w:val="-18"/>
        </w:rPr>
        <w:t xml:space="preserve"> </w:t>
      </w:r>
      <w:r>
        <w:rPr>
          <w:color w:val="231F20"/>
        </w:rPr>
        <w:t>své</w:t>
      </w:r>
      <w:r>
        <w:rPr>
          <w:color w:val="231F20"/>
          <w:spacing w:val="-19"/>
        </w:rPr>
        <w:t xml:space="preserve"> </w:t>
      </w:r>
      <w:r>
        <w:rPr>
          <w:color w:val="231F20"/>
        </w:rPr>
        <w:t>zákonné</w:t>
      </w:r>
      <w:r>
        <w:rPr>
          <w:color w:val="231F20"/>
          <w:spacing w:val="-19"/>
        </w:rPr>
        <w:t xml:space="preserve"> </w:t>
      </w:r>
      <w:r>
        <w:rPr>
          <w:color w:val="231F20"/>
        </w:rPr>
        <w:t>a/nebo</w:t>
      </w:r>
      <w:r>
        <w:rPr>
          <w:color w:val="231F20"/>
          <w:spacing w:val="-18"/>
        </w:rPr>
        <w:t xml:space="preserve"> </w:t>
      </w:r>
      <w:r>
        <w:rPr>
          <w:color w:val="231F20"/>
        </w:rPr>
        <w:t>smluvní</w:t>
      </w:r>
      <w:r>
        <w:rPr>
          <w:color w:val="231F20"/>
          <w:spacing w:val="-19"/>
        </w:rPr>
        <w:t xml:space="preserve"> </w:t>
      </w:r>
      <w:r>
        <w:rPr>
          <w:color w:val="231F20"/>
        </w:rPr>
        <w:t>povinnosti,</w:t>
      </w:r>
      <w:r>
        <w:rPr>
          <w:color w:val="231F20"/>
          <w:spacing w:val="-19"/>
        </w:rPr>
        <w:t xml:space="preserve"> </w:t>
      </w:r>
      <w:r>
        <w:rPr>
          <w:color w:val="231F20"/>
        </w:rPr>
        <w:t>může dle okolností a smluvních ujednání dojít ke snížení či odmítnutí pojistného plnění, a/nebo vzniku práva na vrácení vyplaceného pojistného</w:t>
      </w:r>
      <w:r>
        <w:rPr>
          <w:color w:val="231F20"/>
          <w:spacing w:val="-8"/>
        </w:rPr>
        <w:t xml:space="preserve"> </w:t>
      </w:r>
      <w:r>
        <w:rPr>
          <w:color w:val="231F20"/>
        </w:rPr>
        <w:t>plnění</w:t>
      </w:r>
      <w:r>
        <w:rPr>
          <w:color w:val="231F20"/>
          <w:spacing w:val="-8"/>
        </w:rPr>
        <w:t xml:space="preserve"> </w:t>
      </w:r>
      <w:r>
        <w:rPr>
          <w:color w:val="231F20"/>
        </w:rPr>
        <w:t>či</w:t>
      </w:r>
      <w:r>
        <w:rPr>
          <w:color w:val="231F20"/>
          <w:spacing w:val="-8"/>
        </w:rPr>
        <w:t xml:space="preserve"> </w:t>
      </w:r>
      <w:r>
        <w:rPr>
          <w:color w:val="231F20"/>
        </w:rPr>
        <w:t>práva</w:t>
      </w:r>
      <w:r>
        <w:rPr>
          <w:color w:val="231F20"/>
          <w:spacing w:val="-7"/>
        </w:rPr>
        <w:t xml:space="preserve"> </w:t>
      </w:r>
      <w:r>
        <w:rPr>
          <w:color w:val="231F20"/>
        </w:rPr>
        <w:t>na</w:t>
      </w:r>
      <w:r>
        <w:rPr>
          <w:color w:val="231F20"/>
          <w:spacing w:val="-8"/>
        </w:rPr>
        <w:t xml:space="preserve"> </w:t>
      </w:r>
      <w:r>
        <w:rPr>
          <w:color w:val="231F20"/>
        </w:rPr>
        <w:t>náhradu</w:t>
      </w:r>
      <w:r>
        <w:rPr>
          <w:color w:val="231F20"/>
          <w:spacing w:val="-8"/>
        </w:rPr>
        <w:t xml:space="preserve"> </w:t>
      </w:r>
      <w:r>
        <w:rPr>
          <w:color w:val="231F20"/>
        </w:rPr>
        <w:t>pojistného</w:t>
      </w:r>
      <w:r>
        <w:rPr>
          <w:color w:val="231F20"/>
          <w:spacing w:val="-7"/>
        </w:rPr>
        <w:t xml:space="preserve"> </w:t>
      </w:r>
      <w:r>
        <w:rPr>
          <w:color w:val="231F20"/>
        </w:rPr>
        <w:t>plnění.</w:t>
      </w:r>
      <w:r>
        <w:rPr>
          <w:color w:val="231F20"/>
          <w:spacing w:val="-8"/>
        </w:rPr>
        <w:t xml:space="preserve"> </w:t>
      </w:r>
      <w:r>
        <w:rPr>
          <w:color w:val="231F20"/>
        </w:rPr>
        <w:t>Porušení</w:t>
      </w:r>
      <w:r>
        <w:rPr>
          <w:color w:val="231F20"/>
          <w:spacing w:val="-8"/>
        </w:rPr>
        <w:t xml:space="preserve"> </w:t>
      </w:r>
      <w:r>
        <w:rPr>
          <w:color w:val="231F20"/>
        </w:rPr>
        <w:t>povinností</w:t>
      </w:r>
      <w:r>
        <w:rPr>
          <w:color w:val="231F20"/>
          <w:spacing w:val="-7"/>
        </w:rPr>
        <w:t xml:space="preserve"> </w:t>
      </w:r>
      <w:r>
        <w:rPr>
          <w:color w:val="231F20"/>
        </w:rPr>
        <w:t>může</w:t>
      </w:r>
      <w:r>
        <w:rPr>
          <w:color w:val="231F20"/>
          <w:spacing w:val="-8"/>
        </w:rPr>
        <w:t xml:space="preserve"> </w:t>
      </w:r>
      <w:r>
        <w:rPr>
          <w:color w:val="231F20"/>
        </w:rPr>
        <w:t>též</w:t>
      </w:r>
      <w:r>
        <w:rPr>
          <w:color w:val="231F20"/>
          <w:spacing w:val="-8"/>
        </w:rPr>
        <w:t xml:space="preserve"> </w:t>
      </w:r>
      <w:r>
        <w:rPr>
          <w:color w:val="231F20"/>
        </w:rPr>
        <w:t>být</w:t>
      </w:r>
      <w:r>
        <w:rPr>
          <w:color w:val="231F20"/>
          <w:spacing w:val="-7"/>
        </w:rPr>
        <w:t xml:space="preserve"> </w:t>
      </w:r>
      <w:r>
        <w:rPr>
          <w:color w:val="231F20"/>
        </w:rPr>
        <w:t>důvodem</w:t>
      </w:r>
      <w:r>
        <w:rPr>
          <w:color w:val="231F20"/>
          <w:spacing w:val="-8"/>
        </w:rPr>
        <w:t xml:space="preserve"> </w:t>
      </w:r>
      <w:r>
        <w:rPr>
          <w:color w:val="231F20"/>
        </w:rPr>
        <w:t>pro</w:t>
      </w:r>
      <w:r>
        <w:rPr>
          <w:color w:val="231F20"/>
          <w:spacing w:val="-8"/>
        </w:rPr>
        <w:t xml:space="preserve"> </w:t>
      </w:r>
      <w:r>
        <w:rPr>
          <w:color w:val="231F20"/>
        </w:rPr>
        <w:t>zánik</w:t>
      </w:r>
      <w:r>
        <w:rPr>
          <w:color w:val="231F20"/>
          <w:spacing w:val="-7"/>
        </w:rPr>
        <w:t xml:space="preserve"> </w:t>
      </w:r>
      <w:r>
        <w:rPr>
          <w:color w:val="231F20"/>
        </w:rPr>
        <w:t>pojištění.</w:t>
      </w:r>
    </w:p>
    <w:p w14:paraId="212C9DC0" w14:textId="77777777" w:rsidR="00F65BCA" w:rsidRDefault="00F65BCA">
      <w:pPr>
        <w:pStyle w:val="Zkladntext"/>
        <w:spacing w:before="3"/>
        <w:rPr>
          <w:sz w:val="28"/>
        </w:rPr>
      </w:pPr>
    </w:p>
    <w:p w14:paraId="47AC9D0D" w14:textId="77777777" w:rsidR="00F65BCA" w:rsidRDefault="00000000">
      <w:pPr>
        <w:spacing w:before="1"/>
        <w:ind w:left="880"/>
        <w:rPr>
          <w:sz w:val="28"/>
        </w:rPr>
      </w:pPr>
      <w:r>
        <w:pict w14:anchorId="4AE0382C">
          <v:shape id="_x0000_s2320" style="position:absolute;left:0;text-align:left;margin-left:51pt;margin-top:17.8pt;width:504.6pt;height:.1pt;z-index:-251510784;mso-wrap-distance-left:0;mso-wrap-distance-right:0;mso-position-horizontal-relative:page" coordorigin="1020,356" coordsize="10092,0" path="m1020,356r10092,e" filled="f" strokecolor="#d1d3d4">
            <v:path arrowok="t"/>
            <w10:wrap type="topAndBottom" anchorx="page"/>
          </v:shape>
        </w:pict>
      </w:r>
      <w:r w:rsidR="00216117">
        <w:rPr>
          <w:color w:val="C5271C"/>
          <w:sz w:val="28"/>
        </w:rPr>
        <w:t>Způsoby zániku pojištění</w:t>
      </w:r>
    </w:p>
    <w:p w14:paraId="4411CE72" w14:textId="77777777" w:rsidR="00F65BCA" w:rsidRDefault="00216117">
      <w:pPr>
        <w:pStyle w:val="Nadpis9"/>
        <w:spacing w:before="123" w:line="278" w:lineRule="auto"/>
        <w:ind w:right="651"/>
      </w:pPr>
      <w:r>
        <w:rPr>
          <w:color w:val="231F20"/>
        </w:rPr>
        <w:t>Pojištění</w:t>
      </w:r>
      <w:r>
        <w:rPr>
          <w:color w:val="231F20"/>
          <w:spacing w:val="-5"/>
        </w:rPr>
        <w:t xml:space="preserve"> </w:t>
      </w:r>
      <w:r>
        <w:rPr>
          <w:color w:val="231F20"/>
        </w:rPr>
        <w:t>zaniká</w:t>
      </w:r>
      <w:r>
        <w:rPr>
          <w:color w:val="231F20"/>
          <w:spacing w:val="-5"/>
        </w:rPr>
        <w:t xml:space="preserve"> </w:t>
      </w:r>
      <w:r>
        <w:rPr>
          <w:color w:val="231F20"/>
        </w:rPr>
        <w:t>z</w:t>
      </w:r>
      <w:r>
        <w:rPr>
          <w:color w:val="231F20"/>
          <w:spacing w:val="-5"/>
        </w:rPr>
        <w:t xml:space="preserve"> </w:t>
      </w:r>
      <w:r>
        <w:rPr>
          <w:color w:val="231F20"/>
        </w:rPr>
        <w:t>důvodů</w:t>
      </w:r>
      <w:r>
        <w:rPr>
          <w:color w:val="231F20"/>
          <w:spacing w:val="-5"/>
        </w:rPr>
        <w:t xml:space="preserve"> </w:t>
      </w:r>
      <w:r>
        <w:rPr>
          <w:color w:val="231F20"/>
        </w:rPr>
        <w:t>uvedených</w:t>
      </w:r>
      <w:r>
        <w:rPr>
          <w:color w:val="231F20"/>
          <w:spacing w:val="-5"/>
        </w:rPr>
        <w:t xml:space="preserve"> </w:t>
      </w:r>
      <w:r>
        <w:rPr>
          <w:color w:val="231F20"/>
        </w:rPr>
        <w:t>v</w:t>
      </w:r>
      <w:r>
        <w:rPr>
          <w:color w:val="231F20"/>
          <w:spacing w:val="-5"/>
        </w:rPr>
        <w:t xml:space="preserve"> </w:t>
      </w:r>
      <w:r>
        <w:rPr>
          <w:color w:val="231F20"/>
        </w:rPr>
        <w:t>právních</w:t>
      </w:r>
      <w:r>
        <w:rPr>
          <w:color w:val="231F20"/>
          <w:spacing w:val="-4"/>
        </w:rPr>
        <w:t xml:space="preserve"> </w:t>
      </w:r>
      <w:r>
        <w:rPr>
          <w:color w:val="231F20"/>
        </w:rPr>
        <w:t>předpisech,</w:t>
      </w:r>
      <w:r>
        <w:rPr>
          <w:color w:val="231F20"/>
          <w:spacing w:val="-5"/>
        </w:rPr>
        <w:t xml:space="preserve"> </w:t>
      </w:r>
      <w:r>
        <w:rPr>
          <w:color w:val="231F20"/>
        </w:rPr>
        <w:t>pojistné</w:t>
      </w:r>
      <w:r>
        <w:rPr>
          <w:color w:val="231F20"/>
          <w:spacing w:val="-5"/>
        </w:rPr>
        <w:t xml:space="preserve"> </w:t>
      </w:r>
      <w:r>
        <w:rPr>
          <w:color w:val="231F20"/>
        </w:rPr>
        <w:t>smlouvě,</w:t>
      </w:r>
      <w:r>
        <w:rPr>
          <w:color w:val="231F20"/>
          <w:spacing w:val="-5"/>
        </w:rPr>
        <w:t xml:space="preserve"> </w:t>
      </w:r>
      <w:r>
        <w:rPr>
          <w:color w:val="231F20"/>
        </w:rPr>
        <w:t>seznamu</w:t>
      </w:r>
      <w:r>
        <w:rPr>
          <w:color w:val="231F20"/>
          <w:spacing w:val="-5"/>
        </w:rPr>
        <w:t xml:space="preserve"> </w:t>
      </w:r>
      <w:r>
        <w:rPr>
          <w:color w:val="231F20"/>
        </w:rPr>
        <w:t>vozidel</w:t>
      </w:r>
      <w:r>
        <w:rPr>
          <w:color w:val="231F20"/>
          <w:spacing w:val="-5"/>
        </w:rPr>
        <w:t xml:space="preserve"> </w:t>
      </w:r>
      <w:r>
        <w:rPr>
          <w:color w:val="231F20"/>
        </w:rPr>
        <w:t>nebo</w:t>
      </w:r>
      <w:r>
        <w:rPr>
          <w:color w:val="231F20"/>
          <w:spacing w:val="-5"/>
        </w:rPr>
        <w:t xml:space="preserve"> </w:t>
      </w:r>
      <w:r>
        <w:rPr>
          <w:color w:val="231F20"/>
        </w:rPr>
        <w:t>v</w:t>
      </w:r>
      <w:r>
        <w:rPr>
          <w:color w:val="231F20"/>
          <w:spacing w:val="-4"/>
        </w:rPr>
        <w:t xml:space="preserve"> </w:t>
      </w:r>
      <w:r>
        <w:rPr>
          <w:color w:val="231F20"/>
        </w:rPr>
        <w:t>těchto</w:t>
      </w:r>
      <w:r>
        <w:rPr>
          <w:color w:val="231F20"/>
          <w:spacing w:val="-5"/>
        </w:rPr>
        <w:t xml:space="preserve"> </w:t>
      </w:r>
      <w:r>
        <w:rPr>
          <w:color w:val="231F20"/>
        </w:rPr>
        <w:t>VPP.</w:t>
      </w:r>
      <w:r>
        <w:rPr>
          <w:color w:val="231F20"/>
          <w:spacing w:val="-5"/>
        </w:rPr>
        <w:t xml:space="preserve"> </w:t>
      </w:r>
      <w:r>
        <w:rPr>
          <w:color w:val="231F20"/>
        </w:rPr>
        <w:t>Je</w:t>
      </w:r>
      <w:r>
        <w:rPr>
          <w:color w:val="231F20"/>
          <w:spacing w:val="-5"/>
        </w:rPr>
        <w:t xml:space="preserve"> </w:t>
      </w:r>
      <w:r>
        <w:rPr>
          <w:color w:val="231F20"/>
        </w:rPr>
        <w:t xml:space="preserve">důležité rozlišovat ukončení pojistné smlouvy – bod 1., uvedeno níže – a zánik pojištění pro jednotlivá vozidla (pojištění odpovědnosti  a havarijní pojištění; úrazové pojištění, asistenční služby a ostatní doplňková pojištění – bod 2., uvedeno níže). V případě, </w:t>
      </w:r>
      <w:r>
        <w:rPr>
          <w:color w:val="231F20"/>
          <w:spacing w:val="-7"/>
        </w:rPr>
        <w:t xml:space="preserve">že </w:t>
      </w:r>
      <w:r>
        <w:rPr>
          <w:color w:val="231F20"/>
        </w:rPr>
        <w:t>dojde k ukončení pojistné smlouvy, zaniknou také pojištění všech jednotlivých</w:t>
      </w:r>
      <w:r>
        <w:rPr>
          <w:color w:val="231F20"/>
          <w:spacing w:val="9"/>
        </w:rPr>
        <w:t xml:space="preserve"> </w:t>
      </w:r>
      <w:r>
        <w:rPr>
          <w:color w:val="231F20"/>
        </w:rPr>
        <w:t>vozidel.</w:t>
      </w:r>
    </w:p>
    <w:p w14:paraId="7A29B344" w14:textId="77777777" w:rsidR="00F65BCA" w:rsidRDefault="00216117">
      <w:pPr>
        <w:pStyle w:val="Nadpis9"/>
        <w:numPr>
          <w:ilvl w:val="0"/>
          <w:numId w:val="139"/>
        </w:numPr>
        <w:tabs>
          <w:tab w:val="left" w:pos="1108"/>
        </w:tabs>
        <w:spacing w:before="113"/>
        <w:ind w:hanging="228"/>
        <w:jc w:val="both"/>
      </w:pPr>
      <w:r>
        <w:rPr>
          <w:color w:val="231F20"/>
        </w:rPr>
        <w:t>Pojistná smlouva je ukončena</w:t>
      </w:r>
      <w:r>
        <w:rPr>
          <w:color w:val="231F20"/>
          <w:spacing w:val="-1"/>
        </w:rPr>
        <w:t xml:space="preserve"> </w:t>
      </w:r>
      <w:r>
        <w:rPr>
          <w:color w:val="231F20"/>
        </w:rPr>
        <w:t>zejména:</w:t>
      </w:r>
    </w:p>
    <w:p w14:paraId="2CCF3F53" w14:textId="77777777" w:rsidR="00F65BCA" w:rsidRDefault="00216117">
      <w:pPr>
        <w:pStyle w:val="Nadpis9"/>
        <w:numPr>
          <w:ilvl w:val="1"/>
          <w:numId w:val="139"/>
        </w:numPr>
        <w:tabs>
          <w:tab w:val="left" w:pos="1335"/>
        </w:tabs>
        <w:spacing w:before="33" w:line="278" w:lineRule="auto"/>
        <w:ind w:right="651"/>
      </w:pPr>
      <w:r>
        <w:rPr>
          <w:color w:val="231F20"/>
        </w:rPr>
        <w:t>nezaplacením</w:t>
      </w:r>
      <w:r>
        <w:rPr>
          <w:color w:val="231F20"/>
          <w:spacing w:val="-5"/>
        </w:rPr>
        <w:t xml:space="preserve"> </w:t>
      </w:r>
      <w:r>
        <w:rPr>
          <w:color w:val="231F20"/>
        </w:rPr>
        <w:t>pojistného,</w:t>
      </w:r>
      <w:r>
        <w:rPr>
          <w:color w:val="231F20"/>
          <w:spacing w:val="-4"/>
        </w:rPr>
        <w:t xml:space="preserve"> </w:t>
      </w:r>
      <w:r>
        <w:rPr>
          <w:color w:val="231F20"/>
        </w:rPr>
        <w:t>a</w:t>
      </w:r>
      <w:r>
        <w:rPr>
          <w:color w:val="231F20"/>
          <w:spacing w:val="-4"/>
        </w:rPr>
        <w:t xml:space="preserve"> </w:t>
      </w:r>
      <w:r>
        <w:rPr>
          <w:color w:val="231F20"/>
        </w:rPr>
        <w:t>to</w:t>
      </w:r>
      <w:r>
        <w:rPr>
          <w:color w:val="231F20"/>
          <w:spacing w:val="-5"/>
        </w:rPr>
        <w:t xml:space="preserve"> </w:t>
      </w:r>
      <w:r>
        <w:rPr>
          <w:color w:val="231F20"/>
        </w:rPr>
        <w:t>marným</w:t>
      </w:r>
      <w:r>
        <w:rPr>
          <w:color w:val="231F20"/>
          <w:spacing w:val="-4"/>
        </w:rPr>
        <w:t xml:space="preserve"> </w:t>
      </w:r>
      <w:r>
        <w:rPr>
          <w:color w:val="231F20"/>
        </w:rPr>
        <w:t>uplynutím</w:t>
      </w:r>
      <w:r>
        <w:rPr>
          <w:color w:val="231F20"/>
          <w:spacing w:val="-4"/>
        </w:rPr>
        <w:t xml:space="preserve"> </w:t>
      </w:r>
      <w:r>
        <w:rPr>
          <w:color w:val="231F20"/>
        </w:rPr>
        <w:t>lhůty</w:t>
      </w:r>
      <w:r>
        <w:rPr>
          <w:color w:val="231F20"/>
          <w:spacing w:val="-4"/>
        </w:rPr>
        <w:t xml:space="preserve"> </w:t>
      </w:r>
      <w:r>
        <w:rPr>
          <w:color w:val="231F20"/>
        </w:rPr>
        <w:t>(v</w:t>
      </w:r>
      <w:r>
        <w:rPr>
          <w:color w:val="231F20"/>
          <w:spacing w:val="-5"/>
        </w:rPr>
        <w:t xml:space="preserve"> </w:t>
      </w:r>
      <w:r>
        <w:rPr>
          <w:color w:val="231F20"/>
        </w:rPr>
        <w:t>min.</w:t>
      </w:r>
      <w:r>
        <w:rPr>
          <w:color w:val="231F20"/>
          <w:spacing w:val="-4"/>
        </w:rPr>
        <w:t xml:space="preserve"> </w:t>
      </w:r>
      <w:r>
        <w:rPr>
          <w:color w:val="231F20"/>
        </w:rPr>
        <w:t>délce</w:t>
      </w:r>
      <w:r>
        <w:rPr>
          <w:color w:val="231F20"/>
          <w:spacing w:val="-4"/>
        </w:rPr>
        <w:t xml:space="preserve"> </w:t>
      </w:r>
      <w:r>
        <w:rPr>
          <w:color w:val="231F20"/>
        </w:rPr>
        <w:t>1</w:t>
      </w:r>
      <w:r>
        <w:rPr>
          <w:color w:val="231F20"/>
          <w:spacing w:val="-5"/>
        </w:rPr>
        <w:t xml:space="preserve"> </w:t>
      </w:r>
      <w:r>
        <w:rPr>
          <w:color w:val="231F20"/>
        </w:rPr>
        <w:t>měsíc)</w:t>
      </w:r>
      <w:r>
        <w:rPr>
          <w:color w:val="231F20"/>
          <w:spacing w:val="-4"/>
        </w:rPr>
        <w:t xml:space="preserve"> </w:t>
      </w:r>
      <w:r>
        <w:rPr>
          <w:color w:val="231F20"/>
        </w:rPr>
        <w:t>stanovené</w:t>
      </w:r>
      <w:r>
        <w:rPr>
          <w:color w:val="231F20"/>
          <w:spacing w:val="-4"/>
        </w:rPr>
        <w:t xml:space="preserve"> </w:t>
      </w:r>
      <w:r>
        <w:rPr>
          <w:color w:val="231F20"/>
        </w:rPr>
        <w:t>Pojišťovnou</w:t>
      </w:r>
      <w:r>
        <w:rPr>
          <w:color w:val="231F20"/>
          <w:spacing w:val="-4"/>
        </w:rPr>
        <w:t xml:space="preserve"> </w:t>
      </w:r>
      <w:r>
        <w:rPr>
          <w:color w:val="231F20"/>
        </w:rPr>
        <w:t>v</w:t>
      </w:r>
      <w:r>
        <w:rPr>
          <w:color w:val="231F20"/>
          <w:spacing w:val="-5"/>
        </w:rPr>
        <w:t xml:space="preserve"> </w:t>
      </w:r>
      <w:r>
        <w:rPr>
          <w:color w:val="231F20"/>
        </w:rPr>
        <w:t>upomínce</w:t>
      </w:r>
      <w:r>
        <w:rPr>
          <w:color w:val="231F20"/>
          <w:spacing w:val="-4"/>
        </w:rPr>
        <w:t xml:space="preserve"> </w:t>
      </w:r>
      <w:r>
        <w:rPr>
          <w:color w:val="231F20"/>
        </w:rPr>
        <w:t>k</w:t>
      </w:r>
      <w:r>
        <w:rPr>
          <w:color w:val="231F20"/>
          <w:spacing w:val="-4"/>
        </w:rPr>
        <w:t xml:space="preserve"> </w:t>
      </w:r>
      <w:r>
        <w:rPr>
          <w:color w:val="231F20"/>
        </w:rPr>
        <w:t>zapla- cení dlužného pojistného nebo jeho části doručené</w:t>
      </w:r>
      <w:r>
        <w:rPr>
          <w:color w:val="231F20"/>
          <w:spacing w:val="3"/>
        </w:rPr>
        <w:t xml:space="preserve"> </w:t>
      </w:r>
      <w:r>
        <w:rPr>
          <w:color w:val="231F20"/>
        </w:rPr>
        <w:t>pojistníkovi;</w:t>
      </w:r>
    </w:p>
    <w:p w14:paraId="25BD244D" w14:textId="77777777" w:rsidR="00F65BCA" w:rsidRDefault="00216117">
      <w:pPr>
        <w:pStyle w:val="Nadpis9"/>
        <w:numPr>
          <w:ilvl w:val="1"/>
          <w:numId w:val="139"/>
        </w:numPr>
        <w:tabs>
          <w:tab w:val="left" w:pos="1335"/>
        </w:tabs>
        <w:ind w:hanging="228"/>
      </w:pPr>
      <w:r>
        <w:rPr>
          <w:color w:val="231F20"/>
        </w:rPr>
        <w:t>dohodou pojistníka a Pojišťovny, která musí obsahovat způsob vzájemného vyrovnání</w:t>
      </w:r>
      <w:r>
        <w:rPr>
          <w:color w:val="231F20"/>
          <w:spacing w:val="3"/>
        </w:rPr>
        <w:t xml:space="preserve"> </w:t>
      </w:r>
      <w:r>
        <w:rPr>
          <w:color w:val="231F20"/>
        </w:rPr>
        <w:t>závazků;</w:t>
      </w:r>
    </w:p>
    <w:p w14:paraId="64266CF2" w14:textId="77777777" w:rsidR="00F65BCA" w:rsidRDefault="00216117">
      <w:pPr>
        <w:pStyle w:val="Nadpis9"/>
        <w:numPr>
          <w:ilvl w:val="1"/>
          <w:numId w:val="139"/>
        </w:numPr>
        <w:tabs>
          <w:tab w:val="left" w:pos="1335"/>
        </w:tabs>
        <w:spacing w:before="33"/>
        <w:ind w:hanging="228"/>
      </w:pPr>
      <w:r>
        <w:rPr>
          <w:color w:val="231F20"/>
        </w:rPr>
        <w:t>výpovědí</w:t>
      </w:r>
      <w:r>
        <w:rPr>
          <w:color w:val="231F20"/>
          <w:spacing w:val="-8"/>
        </w:rPr>
        <w:t xml:space="preserve"> </w:t>
      </w:r>
      <w:r>
        <w:rPr>
          <w:color w:val="231F20"/>
        </w:rPr>
        <w:t>pojistníka</w:t>
      </w:r>
      <w:r>
        <w:rPr>
          <w:color w:val="231F20"/>
          <w:spacing w:val="-7"/>
        </w:rPr>
        <w:t xml:space="preserve"> </w:t>
      </w:r>
      <w:r>
        <w:rPr>
          <w:color w:val="231F20"/>
        </w:rPr>
        <w:t>nebo</w:t>
      </w:r>
      <w:r>
        <w:rPr>
          <w:color w:val="231F20"/>
          <w:spacing w:val="-8"/>
        </w:rPr>
        <w:t xml:space="preserve"> </w:t>
      </w:r>
      <w:r>
        <w:rPr>
          <w:color w:val="231F20"/>
        </w:rPr>
        <w:t>Pojišťovny</w:t>
      </w:r>
      <w:r>
        <w:rPr>
          <w:color w:val="231F20"/>
          <w:spacing w:val="-7"/>
        </w:rPr>
        <w:t xml:space="preserve"> </w:t>
      </w:r>
      <w:r>
        <w:rPr>
          <w:color w:val="231F20"/>
        </w:rPr>
        <w:t>z</w:t>
      </w:r>
      <w:r>
        <w:rPr>
          <w:color w:val="231F20"/>
          <w:spacing w:val="-8"/>
        </w:rPr>
        <w:t xml:space="preserve"> </w:t>
      </w:r>
      <w:r>
        <w:rPr>
          <w:color w:val="231F20"/>
        </w:rPr>
        <w:t>důvodů</w:t>
      </w:r>
      <w:r>
        <w:rPr>
          <w:color w:val="231F20"/>
          <w:spacing w:val="-7"/>
        </w:rPr>
        <w:t xml:space="preserve"> </w:t>
      </w:r>
      <w:r>
        <w:rPr>
          <w:color w:val="231F20"/>
        </w:rPr>
        <w:t>a</w:t>
      </w:r>
      <w:r>
        <w:rPr>
          <w:color w:val="231F20"/>
          <w:spacing w:val="-8"/>
        </w:rPr>
        <w:t xml:space="preserve"> </w:t>
      </w:r>
      <w:r>
        <w:rPr>
          <w:color w:val="231F20"/>
        </w:rPr>
        <w:t>ve</w:t>
      </w:r>
      <w:r>
        <w:rPr>
          <w:color w:val="231F20"/>
          <w:spacing w:val="-7"/>
        </w:rPr>
        <w:t xml:space="preserve"> </w:t>
      </w:r>
      <w:r>
        <w:rPr>
          <w:color w:val="231F20"/>
        </w:rPr>
        <w:t>lhůtách</w:t>
      </w:r>
      <w:r>
        <w:rPr>
          <w:color w:val="231F20"/>
          <w:spacing w:val="-8"/>
        </w:rPr>
        <w:t xml:space="preserve"> </w:t>
      </w:r>
      <w:r>
        <w:rPr>
          <w:color w:val="231F20"/>
        </w:rPr>
        <w:t>uvedenými</w:t>
      </w:r>
      <w:r>
        <w:rPr>
          <w:color w:val="231F20"/>
          <w:spacing w:val="-7"/>
        </w:rPr>
        <w:t xml:space="preserve"> </w:t>
      </w:r>
      <w:r>
        <w:rPr>
          <w:color w:val="231F20"/>
        </w:rPr>
        <w:t>v</w:t>
      </w:r>
      <w:r>
        <w:rPr>
          <w:color w:val="231F20"/>
          <w:spacing w:val="-8"/>
        </w:rPr>
        <w:t xml:space="preserve"> </w:t>
      </w:r>
      <w:r>
        <w:rPr>
          <w:color w:val="231F20"/>
        </w:rPr>
        <w:t>pojistné</w:t>
      </w:r>
      <w:r>
        <w:rPr>
          <w:color w:val="231F20"/>
          <w:spacing w:val="-7"/>
        </w:rPr>
        <w:t xml:space="preserve"> </w:t>
      </w:r>
      <w:r>
        <w:rPr>
          <w:color w:val="231F20"/>
        </w:rPr>
        <w:t>smlouvě,</w:t>
      </w:r>
      <w:r>
        <w:rPr>
          <w:color w:val="231F20"/>
          <w:spacing w:val="-8"/>
        </w:rPr>
        <w:t xml:space="preserve"> </w:t>
      </w:r>
      <w:r>
        <w:rPr>
          <w:color w:val="231F20"/>
        </w:rPr>
        <w:t>VPP</w:t>
      </w:r>
      <w:r>
        <w:rPr>
          <w:color w:val="231F20"/>
          <w:spacing w:val="-7"/>
        </w:rPr>
        <w:t xml:space="preserve"> </w:t>
      </w:r>
      <w:r>
        <w:rPr>
          <w:color w:val="231F20"/>
        </w:rPr>
        <w:t>nebo</w:t>
      </w:r>
      <w:r>
        <w:rPr>
          <w:color w:val="231F20"/>
          <w:spacing w:val="-7"/>
        </w:rPr>
        <w:t xml:space="preserve"> </w:t>
      </w:r>
      <w:r>
        <w:rPr>
          <w:color w:val="231F20"/>
        </w:rPr>
        <w:t>právních</w:t>
      </w:r>
      <w:r>
        <w:rPr>
          <w:color w:val="231F20"/>
          <w:spacing w:val="-8"/>
        </w:rPr>
        <w:t xml:space="preserve"> </w:t>
      </w:r>
      <w:r>
        <w:rPr>
          <w:color w:val="231F20"/>
        </w:rPr>
        <w:t>předpisech;</w:t>
      </w:r>
    </w:p>
    <w:p w14:paraId="312E6AFD" w14:textId="77777777" w:rsidR="00F65BCA" w:rsidRDefault="00216117">
      <w:pPr>
        <w:pStyle w:val="Nadpis9"/>
        <w:numPr>
          <w:ilvl w:val="1"/>
          <w:numId w:val="139"/>
        </w:numPr>
        <w:tabs>
          <w:tab w:val="left" w:pos="1335"/>
        </w:tabs>
        <w:spacing w:before="33"/>
        <w:ind w:hanging="228"/>
      </w:pPr>
      <w:r>
        <w:rPr>
          <w:color w:val="231F20"/>
        </w:rPr>
        <w:t>odstoupením od pojistné smlouvy (viz</w:t>
      </w:r>
      <w:r>
        <w:rPr>
          <w:color w:val="231F20"/>
          <w:spacing w:val="-1"/>
        </w:rPr>
        <w:t xml:space="preserve"> </w:t>
      </w:r>
      <w:r>
        <w:rPr>
          <w:color w:val="231F20"/>
        </w:rPr>
        <w:t>níže).</w:t>
      </w:r>
    </w:p>
    <w:p w14:paraId="5CCB350A" w14:textId="77777777" w:rsidR="00F65BCA" w:rsidRDefault="00216117">
      <w:pPr>
        <w:pStyle w:val="Nadpis9"/>
        <w:numPr>
          <w:ilvl w:val="0"/>
          <w:numId w:val="139"/>
        </w:numPr>
        <w:tabs>
          <w:tab w:val="left" w:pos="1108"/>
        </w:tabs>
        <w:spacing w:before="33"/>
        <w:ind w:hanging="228"/>
      </w:pPr>
      <w:r>
        <w:rPr>
          <w:color w:val="231F20"/>
        </w:rPr>
        <w:t>Pojištění pro jednotlivá vozidla zaniká</w:t>
      </w:r>
      <w:r>
        <w:rPr>
          <w:color w:val="231F20"/>
          <w:spacing w:val="-1"/>
        </w:rPr>
        <w:t xml:space="preserve"> </w:t>
      </w:r>
      <w:r>
        <w:rPr>
          <w:color w:val="231F20"/>
        </w:rPr>
        <w:t>zejména:</w:t>
      </w:r>
    </w:p>
    <w:p w14:paraId="7ABEA542" w14:textId="77777777" w:rsidR="00F65BCA" w:rsidRDefault="00216117">
      <w:pPr>
        <w:pStyle w:val="Odstavecseseznamem"/>
        <w:numPr>
          <w:ilvl w:val="0"/>
          <w:numId w:val="138"/>
        </w:numPr>
        <w:tabs>
          <w:tab w:val="left" w:pos="1335"/>
        </w:tabs>
        <w:spacing w:before="33" w:line="278" w:lineRule="auto"/>
        <w:ind w:right="653"/>
        <w:jc w:val="both"/>
        <w:rPr>
          <w:sz w:val="18"/>
        </w:rPr>
      </w:pPr>
      <w:r>
        <w:rPr>
          <w:color w:val="231F20"/>
          <w:sz w:val="18"/>
        </w:rPr>
        <w:t>dnem</w:t>
      </w:r>
      <w:r>
        <w:rPr>
          <w:color w:val="231F20"/>
          <w:spacing w:val="-16"/>
          <w:sz w:val="18"/>
        </w:rPr>
        <w:t xml:space="preserve"> </w:t>
      </w:r>
      <w:r>
        <w:rPr>
          <w:color w:val="231F20"/>
          <w:sz w:val="18"/>
        </w:rPr>
        <w:t>oznámení</w:t>
      </w:r>
      <w:r>
        <w:rPr>
          <w:color w:val="231F20"/>
          <w:spacing w:val="-16"/>
          <w:sz w:val="18"/>
        </w:rPr>
        <w:t xml:space="preserve"> </w:t>
      </w:r>
      <w:r>
        <w:rPr>
          <w:color w:val="231F20"/>
          <w:sz w:val="18"/>
        </w:rPr>
        <w:t>a</w:t>
      </w:r>
      <w:r>
        <w:rPr>
          <w:color w:val="231F20"/>
          <w:spacing w:val="-15"/>
          <w:sz w:val="18"/>
        </w:rPr>
        <w:t xml:space="preserve"> </w:t>
      </w:r>
      <w:r>
        <w:rPr>
          <w:color w:val="231F20"/>
          <w:sz w:val="18"/>
        </w:rPr>
        <w:t>doložení</w:t>
      </w:r>
      <w:r>
        <w:rPr>
          <w:color w:val="231F20"/>
          <w:spacing w:val="-16"/>
          <w:sz w:val="18"/>
        </w:rPr>
        <w:t xml:space="preserve"> </w:t>
      </w:r>
      <w:r>
        <w:rPr>
          <w:color w:val="231F20"/>
          <w:sz w:val="18"/>
        </w:rPr>
        <w:t>např.</w:t>
      </w:r>
      <w:r>
        <w:rPr>
          <w:color w:val="231F20"/>
          <w:spacing w:val="-15"/>
          <w:sz w:val="18"/>
        </w:rPr>
        <w:t xml:space="preserve"> </w:t>
      </w:r>
      <w:r>
        <w:rPr>
          <w:color w:val="231F20"/>
          <w:sz w:val="18"/>
        </w:rPr>
        <w:t>kopií</w:t>
      </w:r>
      <w:r>
        <w:rPr>
          <w:color w:val="231F20"/>
          <w:spacing w:val="-15"/>
          <w:sz w:val="18"/>
        </w:rPr>
        <w:t xml:space="preserve"> </w:t>
      </w:r>
      <w:r>
        <w:rPr>
          <w:color w:val="231F20"/>
          <w:sz w:val="18"/>
        </w:rPr>
        <w:t>technického</w:t>
      </w:r>
      <w:r>
        <w:rPr>
          <w:color w:val="231F20"/>
          <w:spacing w:val="-16"/>
          <w:sz w:val="18"/>
        </w:rPr>
        <w:t xml:space="preserve"> </w:t>
      </w:r>
      <w:r>
        <w:rPr>
          <w:color w:val="231F20"/>
          <w:sz w:val="18"/>
        </w:rPr>
        <w:t>průkazu,</w:t>
      </w:r>
      <w:r>
        <w:rPr>
          <w:color w:val="231F20"/>
          <w:spacing w:val="-15"/>
          <w:sz w:val="18"/>
        </w:rPr>
        <w:t xml:space="preserve"> </w:t>
      </w:r>
      <w:r>
        <w:rPr>
          <w:color w:val="231F20"/>
          <w:sz w:val="18"/>
        </w:rPr>
        <w:t>kopií</w:t>
      </w:r>
      <w:r>
        <w:rPr>
          <w:color w:val="231F20"/>
          <w:spacing w:val="-15"/>
          <w:sz w:val="18"/>
        </w:rPr>
        <w:t xml:space="preserve"> </w:t>
      </w:r>
      <w:r>
        <w:rPr>
          <w:color w:val="231F20"/>
          <w:sz w:val="18"/>
        </w:rPr>
        <w:t>osvědčení</w:t>
      </w:r>
      <w:r>
        <w:rPr>
          <w:color w:val="231F20"/>
          <w:spacing w:val="-16"/>
          <w:sz w:val="18"/>
        </w:rPr>
        <w:t xml:space="preserve"> </w:t>
      </w:r>
      <w:r>
        <w:rPr>
          <w:color w:val="231F20"/>
          <w:sz w:val="18"/>
        </w:rPr>
        <w:t>o</w:t>
      </w:r>
      <w:r>
        <w:rPr>
          <w:color w:val="231F20"/>
          <w:spacing w:val="-15"/>
          <w:sz w:val="18"/>
        </w:rPr>
        <w:t xml:space="preserve"> </w:t>
      </w:r>
      <w:r>
        <w:rPr>
          <w:color w:val="231F20"/>
          <w:sz w:val="18"/>
        </w:rPr>
        <w:t>registraci,</w:t>
      </w:r>
      <w:r>
        <w:rPr>
          <w:color w:val="231F20"/>
          <w:spacing w:val="-15"/>
          <w:sz w:val="18"/>
        </w:rPr>
        <w:t xml:space="preserve"> </w:t>
      </w:r>
      <w:r>
        <w:rPr>
          <w:color w:val="231F20"/>
          <w:sz w:val="18"/>
        </w:rPr>
        <w:t>protokolu</w:t>
      </w:r>
      <w:r>
        <w:rPr>
          <w:color w:val="231F20"/>
          <w:spacing w:val="-16"/>
          <w:sz w:val="18"/>
        </w:rPr>
        <w:t xml:space="preserve"> </w:t>
      </w:r>
      <w:r>
        <w:rPr>
          <w:color w:val="231F20"/>
          <w:sz w:val="18"/>
        </w:rPr>
        <w:t>od</w:t>
      </w:r>
      <w:r>
        <w:rPr>
          <w:color w:val="231F20"/>
          <w:spacing w:val="-15"/>
          <w:sz w:val="18"/>
        </w:rPr>
        <w:t xml:space="preserve"> </w:t>
      </w:r>
      <w:r>
        <w:rPr>
          <w:color w:val="231F20"/>
          <w:sz w:val="18"/>
        </w:rPr>
        <w:t>policie),</w:t>
      </w:r>
      <w:r>
        <w:rPr>
          <w:color w:val="231F20"/>
          <w:spacing w:val="-16"/>
          <w:sz w:val="18"/>
        </w:rPr>
        <w:t xml:space="preserve"> </w:t>
      </w:r>
      <w:r>
        <w:rPr>
          <w:color w:val="231F20"/>
          <w:sz w:val="18"/>
        </w:rPr>
        <w:t>že</w:t>
      </w:r>
      <w:r>
        <w:rPr>
          <w:color w:val="231F20"/>
          <w:spacing w:val="-16"/>
          <w:sz w:val="18"/>
        </w:rPr>
        <w:t xml:space="preserve"> </w:t>
      </w:r>
      <w:r>
        <w:rPr>
          <w:color w:val="231F20"/>
          <w:sz w:val="18"/>
        </w:rPr>
        <w:t>se</w:t>
      </w:r>
      <w:r>
        <w:rPr>
          <w:color w:val="231F20"/>
          <w:spacing w:val="-17"/>
          <w:sz w:val="18"/>
        </w:rPr>
        <w:t xml:space="preserve"> </w:t>
      </w:r>
      <w:r>
        <w:rPr>
          <w:b/>
          <w:color w:val="231F20"/>
          <w:spacing w:val="-2"/>
          <w:sz w:val="18"/>
        </w:rPr>
        <w:t xml:space="preserve">změnil </w:t>
      </w:r>
      <w:r>
        <w:rPr>
          <w:b/>
          <w:color w:val="231F20"/>
          <w:sz w:val="18"/>
        </w:rPr>
        <w:t>vlastník</w:t>
      </w:r>
      <w:r>
        <w:rPr>
          <w:b/>
          <w:color w:val="231F20"/>
          <w:spacing w:val="-21"/>
          <w:sz w:val="18"/>
        </w:rPr>
        <w:t xml:space="preserve"> </w:t>
      </w:r>
      <w:r>
        <w:rPr>
          <w:color w:val="231F20"/>
          <w:sz w:val="18"/>
        </w:rPr>
        <w:t>pojištěného</w:t>
      </w:r>
      <w:r>
        <w:rPr>
          <w:color w:val="231F20"/>
          <w:spacing w:val="-20"/>
          <w:sz w:val="18"/>
        </w:rPr>
        <w:t xml:space="preserve"> </w:t>
      </w:r>
      <w:r>
        <w:rPr>
          <w:color w:val="231F20"/>
          <w:sz w:val="18"/>
        </w:rPr>
        <w:t>vozidla</w:t>
      </w:r>
      <w:r>
        <w:rPr>
          <w:color w:val="231F20"/>
          <w:spacing w:val="-21"/>
          <w:sz w:val="18"/>
        </w:rPr>
        <w:t xml:space="preserve"> </w:t>
      </w:r>
      <w:r>
        <w:rPr>
          <w:color w:val="231F20"/>
          <w:sz w:val="18"/>
        </w:rPr>
        <w:t>(</w:t>
      </w:r>
      <w:r>
        <w:rPr>
          <w:b/>
          <w:color w:val="231F20"/>
          <w:sz w:val="18"/>
        </w:rPr>
        <w:t>platí</w:t>
      </w:r>
      <w:r>
        <w:rPr>
          <w:b/>
          <w:color w:val="231F20"/>
          <w:spacing w:val="-20"/>
          <w:sz w:val="18"/>
        </w:rPr>
        <w:t xml:space="preserve"> </w:t>
      </w:r>
      <w:r>
        <w:rPr>
          <w:b/>
          <w:color w:val="231F20"/>
          <w:sz w:val="18"/>
        </w:rPr>
        <w:t>pro</w:t>
      </w:r>
      <w:r>
        <w:rPr>
          <w:b/>
          <w:color w:val="231F20"/>
          <w:spacing w:val="-21"/>
          <w:sz w:val="18"/>
        </w:rPr>
        <w:t xml:space="preserve"> </w:t>
      </w:r>
      <w:r>
        <w:rPr>
          <w:b/>
          <w:color w:val="231F20"/>
          <w:sz w:val="18"/>
        </w:rPr>
        <w:t>havarijní</w:t>
      </w:r>
      <w:r>
        <w:rPr>
          <w:b/>
          <w:color w:val="231F20"/>
          <w:spacing w:val="-20"/>
          <w:sz w:val="18"/>
        </w:rPr>
        <w:t xml:space="preserve"> </w:t>
      </w:r>
      <w:r>
        <w:rPr>
          <w:b/>
          <w:color w:val="231F20"/>
          <w:sz w:val="18"/>
        </w:rPr>
        <w:t>pojištění</w:t>
      </w:r>
      <w:r>
        <w:rPr>
          <w:color w:val="231F20"/>
          <w:sz w:val="18"/>
        </w:rPr>
        <w:t>),</w:t>
      </w:r>
      <w:r>
        <w:rPr>
          <w:color w:val="231F20"/>
          <w:spacing w:val="-21"/>
          <w:sz w:val="18"/>
        </w:rPr>
        <w:t xml:space="preserve"> </w:t>
      </w:r>
      <w:r>
        <w:rPr>
          <w:color w:val="231F20"/>
          <w:sz w:val="18"/>
        </w:rPr>
        <w:t>dnem</w:t>
      </w:r>
      <w:r>
        <w:rPr>
          <w:color w:val="231F20"/>
          <w:spacing w:val="-20"/>
          <w:sz w:val="18"/>
        </w:rPr>
        <w:t xml:space="preserve"> </w:t>
      </w:r>
      <w:r>
        <w:rPr>
          <w:color w:val="231F20"/>
          <w:sz w:val="18"/>
        </w:rPr>
        <w:t>oznámení</w:t>
      </w:r>
      <w:r>
        <w:rPr>
          <w:color w:val="231F20"/>
          <w:spacing w:val="-21"/>
          <w:sz w:val="18"/>
        </w:rPr>
        <w:t xml:space="preserve"> </w:t>
      </w:r>
      <w:r>
        <w:rPr>
          <w:color w:val="231F20"/>
          <w:sz w:val="18"/>
        </w:rPr>
        <w:t>a</w:t>
      </w:r>
      <w:r>
        <w:rPr>
          <w:color w:val="231F20"/>
          <w:spacing w:val="-20"/>
          <w:sz w:val="18"/>
        </w:rPr>
        <w:t xml:space="preserve"> </w:t>
      </w:r>
      <w:r>
        <w:rPr>
          <w:color w:val="231F20"/>
          <w:sz w:val="18"/>
        </w:rPr>
        <w:t>doložení,</w:t>
      </w:r>
      <w:r>
        <w:rPr>
          <w:color w:val="231F20"/>
          <w:spacing w:val="-20"/>
          <w:sz w:val="18"/>
        </w:rPr>
        <w:t xml:space="preserve"> </w:t>
      </w:r>
      <w:r>
        <w:rPr>
          <w:color w:val="231F20"/>
          <w:sz w:val="18"/>
        </w:rPr>
        <w:t>že</w:t>
      </w:r>
      <w:r>
        <w:rPr>
          <w:color w:val="231F20"/>
          <w:spacing w:val="-21"/>
          <w:sz w:val="18"/>
        </w:rPr>
        <w:t xml:space="preserve"> </w:t>
      </w:r>
      <w:r>
        <w:rPr>
          <w:b/>
          <w:color w:val="231F20"/>
          <w:sz w:val="18"/>
        </w:rPr>
        <w:t>zanikl</w:t>
      </w:r>
      <w:r>
        <w:rPr>
          <w:b/>
          <w:color w:val="231F20"/>
          <w:spacing w:val="-20"/>
          <w:sz w:val="18"/>
        </w:rPr>
        <w:t xml:space="preserve"> </w:t>
      </w:r>
      <w:r>
        <w:rPr>
          <w:b/>
          <w:color w:val="231F20"/>
          <w:sz w:val="18"/>
        </w:rPr>
        <w:t>pojistný</w:t>
      </w:r>
      <w:r>
        <w:rPr>
          <w:b/>
          <w:color w:val="231F20"/>
          <w:spacing w:val="-21"/>
          <w:sz w:val="18"/>
        </w:rPr>
        <w:t xml:space="preserve"> </w:t>
      </w:r>
      <w:r>
        <w:rPr>
          <w:b/>
          <w:color w:val="231F20"/>
          <w:sz w:val="18"/>
        </w:rPr>
        <w:t>zájem</w:t>
      </w:r>
      <w:r>
        <w:rPr>
          <w:b/>
          <w:color w:val="231F20"/>
          <w:spacing w:val="-20"/>
          <w:sz w:val="18"/>
        </w:rPr>
        <w:t xml:space="preserve"> </w:t>
      </w:r>
      <w:r>
        <w:rPr>
          <w:color w:val="231F20"/>
          <w:sz w:val="18"/>
        </w:rPr>
        <w:t>pojistníka (</w:t>
      </w:r>
      <w:r>
        <w:rPr>
          <w:b/>
          <w:color w:val="231F20"/>
          <w:sz w:val="18"/>
        </w:rPr>
        <w:t>platí pro povinné</w:t>
      </w:r>
      <w:r>
        <w:rPr>
          <w:b/>
          <w:color w:val="231F20"/>
          <w:spacing w:val="-14"/>
          <w:sz w:val="18"/>
        </w:rPr>
        <w:t xml:space="preserve"> </w:t>
      </w:r>
      <w:r>
        <w:rPr>
          <w:b/>
          <w:color w:val="231F20"/>
          <w:sz w:val="18"/>
        </w:rPr>
        <w:t>ručení</w:t>
      </w:r>
      <w:r>
        <w:rPr>
          <w:color w:val="231F20"/>
          <w:sz w:val="18"/>
        </w:rPr>
        <w:t>);</w:t>
      </w:r>
    </w:p>
    <w:p w14:paraId="7ED6D301" w14:textId="77777777" w:rsidR="00F65BCA" w:rsidRDefault="00216117">
      <w:pPr>
        <w:pStyle w:val="Nadpis9"/>
        <w:numPr>
          <w:ilvl w:val="0"/>
          <w:numId w:val="138"/>
        </w:numPr>
        <w:tabs>
          <w:tab w:val="left" w:pos="1335"/>
        </w:tabs>
        <w:spacing w:line="207" w:lineRule="exact"/>
        <w:ind w:hanging="228"/>
        <w:jc w:val="both"/>
      </w:pPr>
      <w:r>
        <w:rPr>
          <w:color w:val="231F20"/>
        </w:rPr>
        <w:t>dohodou</w:t>
      </w:r>
      <w:r>
        <w:rPr>
          <w:color w:val="231F20"/>
          <w:spacing w:val="-6"/>
        </w:rPr>
        <w:t xml:space="preserve"> </w:t>
      </w:r>
      <w:r>
        <w:rPr>
          <w:color w:val="231F20"/>
        </w:rPr>
        <w:t>pojistníka</w:t>
      </w:r>
      <w:r>
        <w:rPr>
          <w:color w:val="231F20"/>
          <w:spacing w:val="-6"/>
        </w:rPr>
        <w:t xml:space="preserve"> </w:t>
      </w:r>
      <w:r>
        <w:rPr>
          <w:color w:val="231F20"/>
        </w:rPr>
        <w:t>a</w:t>
      </w:r>
      <w:r>
        <w:rPr>
          <w:color w:val="231F20"/>
          <w:spacing w:val="-5"/>
        </w:rPr>
        <w:t xml:space="preserve"> </w:t>
      </w:r>
      <w:r>
        <w:rPr>
          <w:color w:val="231F20"/>
        </w:rPr>
        <w:t>Pojišťovny,</w:t>
      </w:r>
      <w:r>
        <w:rPr>
          <w:color w:val="231F20"/>
          <w:spacing w:val="-6"/>
        </w:rPr>
        <w:t xml:space="preserve"> </w:t>
      </w:r>
      <w:r>
        <w:rPr>
          <w:color w:val="231F20"/>
        </w:rPr>
        <w:t>která</w:t>
      </w:r>
      <w:r>
        <w:rPr>
          <w:color w:val="231F20"/>
          <w:spacing w:val="-6"/>
        </w:rPr>
        <w:t xml:space="preserve"> </w:t>
      </w:r>
      <w:r>
        <w:rPr>
          <w:color w:val="231F20"/>
        </w:rPr>
        <w:t>musí</w:t>
      </w:r>
      <w:r>
        <w:rPr>
          <w:color w:val="231F20"/>
          <w:spacing w:val="-5"/>
        </w:rPr>
        <w:t xml:space="preserve"> </w:t>
      </w:r>
      <w:r>
        <w:rPr>
          <w:color w:val="231F20"/>
        </w:rPr>
        <w:t>obsahovat</w:t>
      </w:r>
      <w:r>
        <w:rPr>
          <w:color w:val="231F20"/>
          <w:spacing w:val="-6"/>
        </w:rPr>
        <w:t xml:space="preserve"> </w:t>
      </w:r>
      <w:r>
        <w:rPr>
          <w:color w:val="231F20"/>
        </w:rPr>
        <w:t>způsob</w:t>
      </w:r>
      <w:r>
        <w:rPr>
          <w:color w:val="231F20"/>
          <w:spacing w:val="-6"/>
        </w:rPr>
        <w:t xml:space="preserve"> </w:t>
      </w:r>
      <w:r>
        <w:rPr>
          <w:color w:val="231F20"/>
        </w:rPr>
        <w:t>vzájemného</w:t>
      </w:r>
      <w:r>
        <w:rPr>
          <w:color w:val="231F20"/>
          <w:spacing w:val="-5"/>
        </w:rPr>
        <w:t xml:space="preserve"> </w:t>
      </w:r>
      <w:r>
        <w:rPr>
          <w:color w:val="231F20"/>
        </w:rPr>
        <w:t>vyrovnání</w:t>
      </w:r>
      <w:r>
        <w:rPr>
          <w:color w:val="231F20"/>
          <w:spacing w:val="-6"/>
        </w:rPr>
        <w:t xml:space="preserve"> </w:t>
      </w:r>
      <w:r>
        <w:rPr>
          <w:color w:val="231F20"/>
        </w:rPr>
        <w:t>závazků;</w:t>
      </w:r>
    </w:p>
    <w:p w14:paraId="1269BB49" w14:textId="77777777" w:rsidR="00F65BCA" w:rsidRDefault="00216117">
      <w:pPr>
        <w:pStyle w:val="Nadpis9"/>
        <w:numPr>
          <w:ilvl w:val="0"/>
          <w:numId w:val="138"/>
        </w:numPr>
        <w:tabs>
          <w:tab w:val="left" w:pos="1335"/>
        </w:tabs>
        <w:spacing w:before="33"/>
        <w:ind w:hanging="228"/>
        <w:jc w:val="both"/>
      </w:pPr>
      <w:r>
        <w:rPr>
          <w:color w:val="231F20"/>
        </w:rPr>
        <w:t>výpovědí</w:t>
      </w:r>
      <w:r>
        <w:rPr>
          <w:color w:val="231F20"/>
          <w:spacing w:val="-8"/>
        </w:rPr>
        <w:t xml:space="preserve"> </w:t>
      </w:r>
      <w:r>
        <w:rPr>
          <w:color w:val="231F20"/>
        </w:rPr>
        <w:t>pojistníka</w:t>
      </w:r>
      <w:r>
        <w:rPr>
          <w:color w:val="231F20"/>
          <w:spacing w:val="-7"/>
        </w:rPr>
        <w:t xml:space="preserve"> </w:t>
      </w:r>
      <w:r>
        <w:rPr>
          <w:color w:val="231F20"/>
        </w:rPr>
        <w:t>nebo</w:t>
      </w:r>
      <w:r>
        <w:rPr>
          <w:color w:val="231F20"/>
          <w:spacing w:val="-8"/>
        </w:rPr>
        <w:t xml:space="preserve"> </w:t>
      </w:r>
      <w:r>
        <w:rPr>
          <w:color w:val="231F20"/>
        </w:rPr>
        <w:t>Pojišťovny</w:t>
      </w:r>
      <w:r>
        <w:rPr>
          <w:color w:val="231F20"/>
          <w:spacing w:val="-7"/>
        </w:rPr>
        <w:t xml:space="preserve"> </w:t>
      </w:r>
      <w:r>
        <w:rPr>
          <w:color w:val="231F20"/>
        </w:rPr>
        <w:t>z</w:t>
      </w:r>
      <w:r>
        <w:rPr>
          <w:color w:val="231F20"/>
          <w:spacing w:val="-8"/>
        </w:rPr>
        <w:t xml:space="preserve"> </w:t>
      </w:r>
      <w:r>
        <w:rPr>
          <w:color w:val="231F20"/>
        </w:rPr>
        <w:t>důvodů</w:t>
      </w:r>
      <w:r>
        <w:rPr>
          <w:color w:val="231F20"/>
          <w:spacing w:val="-7"/>
        </w:rPr>
        <w:t xml:space="preserve"> </w:t>
      </w:r>
      <w:r>
        <w:rPr>
          <w:color w:val="231F20"/>
        </w:rPr>
        <w:t>a</w:t>
      </w:r>
      <w:r>
        <w:rPr>
          <w:color w:val="231F20"/>
          <w:spacing w:val="-8"/>
        </w:rPr>
        <w:t xml:space="preserve"> </w:t>
      </w:r>
      <w:r>
        <w:rPr>
          <w:color w:val="231F20"/>
        </w:rPr>
        <w:t>ve</w:t>
      </w:r>
      <w:r>
        <w:rPr>
          <w:color w:val="231F20"/>
          <w:spacing w:val="-7"/>
        </w:rPr>
        <w:t xml:space="preserve"> </w:t>
      </w:r>
      <w:r>
        <w:rPr>
          <w:color w:val="231F20"/>
        </w:rPr>
        <w:t>lhůtách</w:t>
      </w:r>
      <w:r>
        <w:rPr>
          <w:color w:val="231F20"/>
          <w:spacing w:val="-8"/>
        </w:rPr>
        <w:t xml:space="preserve"> </w:t>
      </w:r>
      <w:r>
        <w:rPr>
          <w:color w:val="231F20"/>
        </w:rPr>
        <w:t>uvedenými</w:t>
      </w:r>
      <w:r>
        <w:rPr>
          <w:color w:val="231F20"/>
          <w:spacing w:val="-7"/>
        </w:rPr>
        <w:t xml:space="preserve"> </w:t>
      </w:r>
      <w:r>
        <w:rPr>
          <w:color w:val="231F20"/>
        </w:rPr>
        <w:t>v</w:t>
      </w:r>
      <w:r>
        <w:rPr>
          <w:color w:val="231F20"/>
          <w:spacing w:val="-8"/>
        </w:rPr>
        <w:t xml:space="preserve"> </w:t>
      </w:r>
      <w:r>
        <w:rPr>
          <w:color w:val="231F20"/>
        </w:rPr>
        <w:t>pojistné</w:t>
      </w:r>
      <w:r>
        <w:rPr>
          <w:color w:val="231F20"/>
          <w:spacing w:val="-7"/>
        </w:rPr>
        <w:t xml:space="preserve"> </w:t>
      </w:r>
      <w:r>
        <w:rPr>
          <w:color w:val="231F20"/>
        </w:rPr>
        <w:t>smlouvě,</w:t>
      </w:r>
      <w:r>
        <w:rPr>
          <w:color w:val="231F20"/>
          <w:spacing w:val="-8"/>
        </w:rPr>
        <w:t xml:space="preserve"> </w:t>
      </w:r>
      <w:r>
        <w:rPr>
          <w:color w:val="231F20"/>
        </w:rPr>
        <w:t>VPP</w:t>
      </w:r>
      <w:r>
        <w:rPr>
          <w:color w:val="231F20"/>
          <w:spacing w:val="-7"/>
        </w:rPr>
        <w:t xml:space="preserve"> </w:t>
      </w:r>
      <w:r>
        <w:rPr>
          <w:color w:val="231F20"/>
        </w:rPr>
        <w:t>nebo</w:t>
      </w:r>
      <w:r>
        <w:rPr>
          <w:color w:val="231F20"/>
          <w:spacing w:val="-7"/>
        </w:rPr>
        <w:t xml:space="preserve"> </w:t>
      </w:r>
      <w:r>
        <w:rPr>
          <w:color w:val="231F20"/>
        </w:rPr>
        <w:t>právních</w:t>
      </w:r>
      <w:r>
        <w:rPr>
          <w:color w:val="231F20"/>
          <w:spacing w:val="-8"/>
        </w:rPr>
        <w:t xml:space="preserve"> </w:t>
      </w:r>
      <w:r>
        <w:rPr>
          <w:color w:val="231F20"/>
        </w:rPr>
        <w:t>předpisech;</w:t>
      </w:r>
    </w:p>
    <w:p w14:paraId="7D42A4FA" w14:textId="77777777" w:rsidR="00F65BCA" w:rsidRDefault="00216117">
      <w:pPr>
        <w:pStyle w:val="Nadpis9"/>
        <w:numPr>
          <w:ilvl w:val="0"/>
          <w:numId w:val="138"/>
        </w:numPr>
        <w:tabs>
          <w:tab w:val="left" w:pos="1335"/>
        </w:tabs>
        <w:spacing w:before="33" w:line="278" w:lineRule="auto"/>
        <w:ind w:right="652"/>
      </w:pPr>
      <w:r>
        <w:rPr>
          <w:color w:val="231F20"/>
        </w:rPr>
        <w:t>vyřazením vozidla z evidence – pojištění zaniká dnem, kdy bylo vozidlo vyřazeno z evidence vozidel. Vyřazení vozidla je pojistník</w:t>
      </w:r>
      <w:r>
        <w:rPr>
          <w:color w:val="231F20"/>
          <w:spacing w:val="-7"/>
        </w:rPr>
        <w:t xml:space="preserve"> </w:t>
      </w:r>
      <w:r>
        <w:rPr>
          <w:color w:val="231F20"/>
        </w:rPr>
        <w:t>povinen</w:t>
      </w:r>
      <w:r>
        <w:rPr>
          <w:color w:val="231F20"/>
          <w:spacing w:val="-6"/>
        </w:rPr>
        <w:t xml:space="preserve"> </w:t>
      </w:r>
      <w:r>
        <w:rPr>
          <w:color w:val="231F20"/>
        </w:rPr>
        <w:t>Pojišťovně</w:t>
      </w:r>
      <w:r>
        <w:rPr>
          <w:color w:val="231F20"/>
          <w:spacing w:val="-6"/>
        </w:rPr>
        <w:t xml:space="preserve"> </w:t>
      </w:r>
      <w:r>
        <w:rPr>
          <w:color w:val="231F20"/>
        </w:rPr>
        <w:t>doložit</w:t>
      </w:r>
      <w:r>
        <w:rPr>
          <w:color w:val="231F20"/>
          <w:spacing w:val="-6"/>
        </w:rPr>
        <w:t xml:space="preserve"> </w:t>
      </w:r>
      <w:r>
        <w:rPr>
          <w:color w:val="231F20"/>
        </w:rPr>
        <w:t>(kopií</w:t>
      </w:r>
      <w:r>
        <w:rPr>
          <w:color w:val="231F20"/>
          <w:spacing w:val="-6"/>
        </w:rPr>
        <w:t xml:space="preserve"> </w:t>
      </w:r>
      <w:r>
        <w:rPr>
          <w:color w:val="231F20"/>
        </w:rPr>
        <w:t>technického</w:t>
      </w:r>
      <w:r>
        <w:rPr>
          <w:color w:val="231F20"/>
          <w:spacing w:val="-6"/>
        </w:rPr>
        <w:t xml:space="preserve"> </w:t>
      </w:r>
      <w:r>
        <w:rPr>
          <w:color w:val="231F20"/>
        </w:rPr>
        <w:t>průkazu</w:t>
      </w:r>
      <w:r>
        <w:rPr>
          <w:color w:val="231F20"/>
          <w:spacing w:val="-6"/>
        </w:rPr>
        <w:t xml:space="preserve"> </w:t>
      </w:r>
      <w:r>
        <w:rPr>
          <w:color w:val="231F20"/>
        </w:rPr>
        <w:t>nebo</w:t>
      </w:r>
      <w:r>
        <w:rPr>
          <w:color w:val="231F20"/>
          <w:spacing w:val="-7"/>
        </w:rPr>
        <w:t xml:space="preserve"> </w:t>
      </w:r>
      <w:r>
        <w:rPr>
          <w:color w:val="231F20"/>
        </w:rPr>
        <w:t>osvědčení</w:t>
      </w:r>
      <w:r>
        <w:rPr>
          <w:color w:val="231F20"/>
          <w:spacing w:val="-6"/>
        </w:rPr>
        <w:t xml:space="preserve"> </w:t>
      </w:r>
      <w:r>
        <w:rPr>
          <w:color w:val="231F20"/>
        </w:rPr>
        <w:t>o</w:t>
      </w:r>
      <w:r>
        <w:rPr>
          <w:color w:val="231F20"/>
          <w:spacing w:val="-6"/>
        </w:rPr>
        <w:t xml:space="preserve"> </w:t>
      </w:r>
      <w:r>
        <w:rPr>
          <w:color w:val="231F20"/>
        </w:rPr>
        <w:t>registraci</w:t>
      </w:r>
      <w:r>
        <w:rPr>
          <w:color w:val="231F20"/>
          <w:spacing w:val="-6"/>
        </w:rPr>
        <w:t xml:space="preserve"> </w:t>
      </w:r>
      <w:r>
        <w:rPr>
          <w:color w:val="231F20"/>
        </w:rPr>
        <w:t>vozidla);</w:t>
      </w:r>
    </w:p>
    <w:p w14:paraId="00BFF346" w14:textId="77777777" w:rsidR="00F65BCA" w:rsidRDefault="00216117">
      <w:pPr>
        <w:pStyle w:val="Nadpis9"/>
        <w:numPr>
          <w:ilvl w:val="0"/>
          <w:numId w:val="138"/>
        </w:numPr>
        <w:tabs>
          <w:tab w:val="left" w:pos="1335"/>
        </w:tabs>
        <w:spacing w:line="278" w:lineRule="auto"/>
        <w:ind w:right="653"/>
      </w:pPr>
      <w:r>
        <w:rPr>
          <w:color w:val="231F20"/>
        </w:rPr>
        <w:t>odcizením vozidla – pojištění zaniká okamžikem odcizení vozidla. Odcizení vozidla je pojistník povinen Pojišťovně doložit (protokol</w:t>
      </w:r>
      <w:r>
        <w:rPr>
          <w:color w:val="231F20"/>
          <w:spacing w:val="-5"/>
        </w:rPr>
        <w:t xml:space="preserve"> </w:t>
      </w:r>
      <w:r>
        <w:rPr>
          <w:color w:val="231F20"/>
        </w:rPr>
        <w:t>Policie</w:t>
      </w:r>
      <w:r>
        <w:rPr>
          <w:color w:val="231F20"/>
          <w:spacing w:val="-5"/>
        </w:rPr>
        <w:t xml:space="preserve"> </w:t>
      </w:r>
      <w:r>
        <w:rPr>
          <w:color w:val="231F20"/>
        </w:rPr>
        <w:t>České</w:t>
      </w:r>
      <w:r>
        <w:rPr>
          <w:color w:val="231F20"/>
          <w:spacing w:val="-5"/>
        </w:rPr>
        <w:t xml:space="preserve"> </w:t>
      </w:r>
      <w:r>
        <w:rPr>
          <w:color w:val="231F20"/>
        </w:rPr>
        <w:t>republiky</w:t>
      </w:r>
      <w:r>
        <w:rPr>
          <w:color w:val="231F20"/>
          <w:spacing w:val="-5"/>
        </w:rPr>
        <w:t xml:space="preserve"> </w:t>
      </w:r>
      <w:r>
        <w:rPr>
          <w:color w:val="231F20"/>
        </w:rPr>
        <w:t>nebo</w:t>
      </w:r>
      <w:r>
        <w:rPr>
          <w:color w:val="231F20"/>
          <w:spacing w:val="-4"/>
        </w:rPr>
        <w:t xml:space="preserve"> </w:t>
      </w:r>
      <w:r>
        <w:rPr>
          <w:color w:val="231F20"/>
        </w:rPr>
        <w:t>policejního</w:t>
      </w:r>
      <w:r>
        <w:rPr>
          <w:color w:val="231F20"/>
          <w:spacing w:val="-5"/>
        </w:rPr>
        <w:t xml:space="preserve"> </w:t>
      </w:r>
      <w:r>
        <w:rPr>
          <w:color w:val="231F20"/>
        </w:rPr>
        <w:t>orgánu</w:t>
      </w:r>
      <w:r>
        <w:rPr>
          <w:color w:val="231F20"/>
          <w:spacing w:val="-5"/>
        </w:rPr>
        <w:t xml:space="preserve"> </w:t>
      </w:r>
      <w:r>
        <w:rPr>
          <w:color w:val="231F20"/>
        </w:rPr>
        <w:t>jiného</w:t>
      </w:r>
      <w:r>
        <w:rPr>
          <w:color w:val="231F20"/>
          <w:spacing w:val="-5"/>
        </w:rPr>
        <w:t xml:space="preserve"> </w:t>
      </w:r>
      <w:r>
        <w:rPr>
          <w:color w:val="231F20"/>
        </w:rPr>
        <w:t>státu);</w:t>
      </w:r>
    </w:p>
    <w:p w14:paraId="5EE47FFF" w14:textId="77777777" w:rsidR="00F65BCA" w:rsidRDefault="00216117">
      <w:pPr>
        <w:pStyle w:val="Nadpis9"/>
        <w:numPr>
          <w:ilvl w:val="0"/>
          <w:numId w:val="138"/>
        </w:numPr>
        <w:tabs>
          <w:tab w:val="left" w:pos="1335"/>
        </w:tabs>
        <w:ind w:hanging="228"/>
      </w:pPr>
      <w:r>
        <w:rPr>
          <w:color w:val="231F20"/>
        </w:rPr>
        <w:t>odmítnutím pojistného plnění; toto právo má</w:t>
      </w:r>
      <w:r>
        <w:rPr>
          <w:color w:val="231F20"/>
          <w:spacing w:val="-26"/>
        </w:rPr>
        <w:t xml:space="preserve"> </w:t>
      </w:r>
      <w:r>
        <w:rPr>
          <w:color w:val="231F20"/>
        </w:rPr>
        <w:t>Pojišťovna;</w:t>
      </w:r>
    </w:p>
    <w:p w14:paraId="7F0F42FC" w14:textId="77777777" w:rsidR="00F65BCA" w:rsidRDefault="00216117">
      <w:pPr>
        <w:pStyle w:val="Nadpis9"/>
        <w:numPr>
          <w:ilvl w:val="1"/>
          <w:numId w:val="138"/>
        </w:numPr>
        <w:tabs>
          <w:tab w:val="left" w:pos="1561"/>
        </w:tabs>
        <w:spacing w:before="32" w:line="278" w:lineRule="auto"/>
        <w:ind w:right="652"/>
        <w:jc w:val="both"/>
      </w:pPr>
      <w:r>
        <w:rPr>
          <w:color w:val="231F20"/>
        </w:rPr>
        <w:t>byla-li příčinou pojistné události skutečnost, o které se dozvěděla až po vzniku pojistné události, kterou při sjednávání pojištění</w:t>
      </w:r>
      <w:r>
        <w:rPr>
          <w:color w:val="231F20"/>
          <w:spacing w:val="-11"/>
        </w:rPr>
        <w:t xml:space="preserve"> </w:t>
      </w:r>
      <w:r>
        <w:rPr>
          <w:color w:val="231F20"/>
        </w:rPr>
        <w:t>nebo</w:t>
      </w:r>
      <w:r>
        <w:rPr>
          <w:color w:val="231F20"/>
          <w:spacing w:val="-10"/>
        </w:rPr>
        <w:t xml:space="preserve"> </w:t>
      </w:r>
      <w:r>
        <w:rPr>
          <w:color w:val="231F20"/>
        </w:rPr>
        <w:t>jeho</w:t>
      </w:r>
      <w:r>
        <w:rPr>
          <w:color w:val="231F20"/>
          <w:spacing w:val="-10"/>
        </w:rPr>
        <w:t xml:space="preserve"> </w:t>
      </w:r>
      <w:r>
        <w:rPr>
          <w:color w:val="231F20"/>
        </w:rPr>
        <w:t>změny</w:t>
      </w:r>
      <w:r>
        <w:rPr>
          <w:color w:val="231F20"/>
          <w:spacing w:val="-10"/>
        </w:rPr>
        <w:t xml:space="preserve"> </w:t>
      </w:r>
      <w:r>
        <w:rPr>
          <w:color w:val="231F20"/>
        </w:rPr>
        <w:t>nemohla</w:t>
      </w:r>
      <w:r>
        <w:rPr>
          <w:color w:val="231F20"/>
          <w:spacing w:val="-10"/>
        </w:rPr>
        <w:t xml:space="preserve"> </w:t>
      </w:r>
      <w:r>
        <w:rPr>
          <w:color w:val="231F20"/>
        </w:rPr>
        <w:t>zjistit</w:t>
      </w:r>
      <w:r>
        <w:rPr>
          <w:color w:val="231F20"/>
          <w:spacing w:val="-10"/>
        </w:rPr>
        <w:t xml:space="preserve"> </w:t>
      </w:r>
      <w:r>
        <w:rPr>
          <w:color w:val="231F20"/>
        </w:rPr>
        <w:t>v</w:t>
      </w:r>
      <w:r>
        <w:rPr>
          <w:color w:val="231F20"/>
          <w:spacing w:val="-10"/>
        </w:rPr>
        <w:t xml:space="preserve"> </w:t>
      </w:r>
      <w:r>
        <w:rPr>
          <w:color w:val="231F20"/>
        </w:rPr>
        <w:t>důsledku</w:t>
      </w:r>
      <w:r>
        <w:rPr>
          <w:color w:val="231F20"/>
          <w:spacing w:val="-10"/>
        </w:rPr>
        <w:t xml:space="preserve"> </w:t>
      </w:r>
      <w:r>
        <w:rPr>
          <w:color w:val="231F20"/>
        </w:rPr>
        <w:t>zaviněného</w:t>
      </w:r>
      <w:r>
        <w:rPr>
          <w:color w:val="231F20"/>
          <w:spacing w:val="-10"/>
        </w:rPr>
        <w:t xml:space="preserve"> </w:t>
      </w:r>
      <w:r>
        <w:rPr>
          <w:color w:val="231F20"/>
        </w:rPr>
        <w:t>porušení</w:t>
      </w:r>
      <w:r>
        <w:rPr>
          <w:color w:val="231F20"/>
          <w:spacing w:val="-10"/>
        </w:rPr>
        <w:t xml:space="preserve"> </w:t>
      </w:r>
      <w:r>
        <w:rPr>
          <w:color w:val="231F20"/>
        </w:rPr>
        <w:t>povinnosti</w:t>
      </w:r>
      <w:r>
        <w:rPr>
          <w:color w:val="231F20"/>
          <w:spacing w:val="-10"/>
        </w:rPr>
        <w:t xml:space="preserve"> </w:t>
      </w:r>
      <w:r>
        <w:rPr>
          <w:color w:val="231F20"/>
        </w:rPr>
        <w:t>k</w:t>
      </w:r>
      <w:r>
        <w:rPr>
          <w:color w:val="231F20"/>
          <w:spacing w:val="-10"/>
        </w:rPr>
        <w:t xml:space="preserve"> </w:t>
      </w:r>
      <w:r>
        <w:rPr>
          <w:color w:val="231F20"/>
        </w:rPr>
        <w:t>pravdivým</w:t>
      </w:r>
      <w:r>
        <w:rPr>
          <w:color w:val="231F20"/>
          <w:spacing w:val="-10"/>
        </w:rPr>
        <w:t xml:space="preserve"> </w:t>
      </w:r>
      <w:r>
        <w:rPr>
          <w:color w:val="231F20"/>
        </w:rPr>
        <w:t>sdělením,</w:t>
      </w:r>
      <w:r>
        <w:rPr>
          <w:color w:val="231F20"/>
          <w:spacing w:val="-10"/>
        </w:rPr>
        <w:t xml:space="preserve"> </w:t>
      </w:r>
      <w:r>
        <w:rPr>
          <w:color w:val="231F20"/>
        </w:rPr>
        <w:t>a</w:t>
      </w:r>
      <w:r>
        <w:rPr>
          <w:color w:val="231F20"/>
          <w:spacing w:val="-10"/>
        </w:rPr>
        <w:t xml:space="preserve"> </w:t>
      </w:r>
      <w:r>
        <w:rPr>
          <w:color w:val="231F20"/>
        </w:rPr>
        <w:t>pokud</w:t>
      </w:r>
      <w:r>
        <w:rPr>
          <w:color w:val="231F20"/>
          <w:spacing w:val="-10"/>
        </w:rPr>
        <w:t xml:space="preserve"> </w:t>
      </w:r>
      <w:r>
        <w:rPr>
          <w:color w:val="231F20"/>
        </w:rPr>
        <w:t>by při</w:t>
      </w:r>
      <w:r>
        <w:rPr>
          <w:color w:val="231F20"/>
          <w:spacing w:val="-4"/>
        </w:rPr>
        <w:t xml:space="preserve"> </w:t>
      </w:r>
      <w:r>
        <w:rPr>
          <w:color w:val="231F20"/>
        </w:rPr>
        <w:t>znalosti</w:t>
      </w:r>
      <w:r>
        <w:rPr>
          <w:color w:val="231F20"/>
          <w:spacing w:val="-3"/>
        </w:rPr>
        <w:t xml:space="preserve"> </w:t>
      </w:r>
      <w:r>
        <w:rPr>
          <w:color w:val="231F20"/>
        </w:rPr>
        <w:t>této</w:t>
      </w:r>
      <w:r>
        <w:rPr>
          <w:color w:val="231F20"/>
          <w:spacing w:val="-4"/>
        </w:rPr>
        <w:t xml:space="preserve"> </w:t>
      </w:r>
      <w:r>
        <w:rPr>
          <w:color w:val="231F20"/>
        </w:rPr>
        <w:t>skutečnosti</w:t>
      </w:r>
      <w:r>
        <w:rPr>
          <w:color w:val="231F20"/>
          <w:spacing w:val="-3"/>
        </w:rPr>
        <w:t xml:space="preserve"> </w:t>
      </w:r>
      <w:r>
        <w:rPr>
          <w:color w:val="231F20"/>
        </w:rPr>
        <w:t>při</w:t>
      </w:r>
      <w:r>
        <w:rPr>
          <w:color w:val="231F20"/>
          <w:spacing w:val="-4"/>
        </w:rPr>
        <w:t xml:space="preserve"> </w:t>
      </w:r>
      <w:r>
        <w:rPr>
          <w:color w:val="231F20"/>
        </w:rPr>
        <w:t>uzavírání</w:t>
      </w:r>
      <w:r>
        <w:rPr>
          <w:color w:val="231F20"/>
          <w:spacing w:val="-3"/>
        </w:rPr>
        <w:t xml:space="preserve"> </w:t>
      </w:r>
      <w:r>
        <w:rPr>
          <w:color w:val="231F20"/>
        </w:rPr>
        <w:t>pojistné</w:t>
      </w:r>
      <w:r>
        <w:rPr>
          <w:color w:val="231F20"/>
          <w:spacing w:val="-4"/>
        </w:rPr>
        <w:t xml:space="preserve"> </w:t>
      </w:r>
      <w:r>
        <w:rPr>
          <w:color w:val="231F20"/>
        </w:rPr>
        <w:t>smlouvy</w:t>
      </w:r>
      <w:r>
        <w:rPr>
          <w:color w:val="231F20"/>
          <w:spacing w:val="-3"/>
        </w:rPr>
        <w:t xml:space="preserve"> </w:t>
      </w:r>
      <w:r>
        <w:rPr>
          <w:color w:val="231F20"/>
        </w:rPr>
        <w:t>tuto</w:t>
      </w:r>
      <w:r>
        <w:rPr>
          <w:color w:val="231F20"/>
          <w:spacing w:val="-3"/>
        </w:rPr>
        <w:t xml:space="preserve"> </w:t>
      </w:r>
      <w:r>
        <w:rPr>
          <w:color w:val="231F20"/>
        </w:rPr>
        <w:t>pojistnou</w:t>
      </w:r>
      <w:r>
        <w:rPr>
          <w:color w:val="231F20"/>
          <w:spacing w:val="-4"/>
        </w:rPr>
        <w:t xml:space="preserve"> </w:t>
      </w:r>
      <w:r>
        <w:rPr>
          <w:color w:val="231F20"/>
        </w:rPr>
        <w:t>smlouvu</w:t>
      </w:r>
      <w:r>
        <w:rPr>
          <w:color w:val="231F20"/>
          <w:spacing w:val="-3"/>
        </w:rPr>
        <w:t xml:space="preserve"> </w:t>
      </w:r>
      <w:r>
        <w:rPr>
          <w:color w:val="231F20"/>
        </w:rPr>
        <w:t>neuzavřela</w:t>
      </w:r>
      <w:r>
        <w:rPr>
          <w:color w:val="231F20"/>
          <w:spacing w:val="-4"/>
        </w:rPr>
        <w:t xml:space="preserve"> </w:t>
      </w:r>
      <w:r>
        <w:rPr>
          <w:color w:val="231F20"/>
        </w:rPr>
        <w:t>nebo</w:t>
      </w:r>
      <w:r>
        <w:rPr>
          <w:color w:val="231F20"/>
          <w:spacing w:val="-3"/>
        </w:rPr>
        <w:t xml:space="preserve"> </w:t>
      </w:r>
      <w:r>
        <w:rPr>
          <w:color w:val="231F20"/>
        </w:rPr>
        <w:t>pokud</w:t>
      </w:r>
      <w:r>
        <w:rPr>
          <w:color w:val="231F20"/>
          <w:spacing w:val="-4"/>
        </w:rPr>
        <w:t xml:space="preserve"> </w:t>
      </w:r>
      <w:r>
        <w:rPr>
          <w:color w:val="231F20"/>
        </w:rPr>
        <w:t>by</w:t>
      </w:r>
      <w:r>
        <w:rPr>
          <w:color w:val="231F20"/>
          <w:spacing w:val="-3"/>
        </w:rPr>
        <w:t xml:space="preserve"> </w:t>
      </w:r>
      <w:r>
        <w:rPr>
          <w:color w:val="231F20"/>
        </w:rPr>
        <w:t>ji</w:t>
      </w:r>
      <w:r>
        <w:rPr>
          <w:color w:val="231F20"/>
          <w:spacing w:val="-4"/>
        </w:rPr>
        <w:t xml:space="preserve"> </w:t>
      </w:r>
      <w:r>
        <w:rPr>
          <w:color w:val="231F20"/>
        </w:rPr>
        <w:t>uzavřela za jiných</w:t>
      </w:r>
      <w:r>
        <w:rPr>
          <w:color w:val="231F20"/>
          <w:spacing w:val="-9"/>
        </w:rPr>
        <w:t xml:space="preserve"> </w:t>
      </w:r>
      <w:r>
        <w:rPr>
          <w:color w:val="231F20"/>
        </w:rPr>
        <w:t>podmínek;</w:t>
      </w:r>
    </w:p>
    <w:p w14:paraId="0789B1B1" w14:textId="77777777" w:rsidR="00F65BCA" w:rsidRDefault="00216117">
      <w:pPr>
        <w:pStyle w:val="Nadpis9"/>
        <w:numPr>
          <w:ilvl w:val="1"/>
          <w:numId w:val="138"/>
        </w:numPr>
        <w:tabs>
          <w:tab w:val="left" w:pos="1561"/>
        </w:tabs>
        <w:spacing w:line="278" w:lineRule="auto"/>
        <w:ind w:right="653"/>
        <w:jc w:val="both"/>
      </w:pPr>
      <w:r>
        <w:rPr>
          <w:color w:val="231F20"/>
        </w:rPr>
        <w:t>pokud</w:t>
      </w:r>
      <w:r>
        <w:rPr>
          <w:color w:val="231F20"/>
          <w:spacing w:val="-18"/>
        </w:rPr>
        <w:t xml:space="preserve"> </w:t>
      </w:r>
      <w:r>
        <w:rPr>
          <w:color w:val="231F20"/>
        </w:rPr>
        <w:t>pojistník,</w:t>
      </w:r>
      <w:r>
        <w:rPr>
          <w:color w:val="231F20"/>
          <w:spacing w:val="-17"/>
        </w:rPr>
        <w:t xml:space="preserve"> </w:t>
      </w:r>
      <w:r>
        <w:rPr>
          <w:color w:val="231F20"/>
        </w:rPr>
        <w:t>pojištěný</w:t>
      </w:r>
      <w:r>
        <w:rPr>
          <w:color w:val="231F20"/>
          <w:spacing w:val="-17"/>
        </w:rPr>
        <w:t xml:space="preserve"> </w:t>
      </w:r>
      <w:r>
        <w:rPr>
          <w:color w:val="231F20"/>
        </w:rPr>
        <w:t>nebo</w:t>
      </w:r>
      <w:r>
        <w:rPr>
          <w:color w:val="231F20"/>
          <w:spacing w:val="-17"/>
        </w:rPr>
        <w:t xml:space="preserve"> </w:t>
      </w:r>
      <w:r>
        <w:rPr>
          <w:color w:val="231F20"/>
        </w:rPr>
        <w:t>oprávněná</w:t>
      </w:r>
      <w:r>
        <w:rPr>
          <w:color w:val="231F20"/>
          <w:spacing w:val="-17"/>
        </w:rPr>
        <w:t xml:space="preserve"> </w:t>
      </w:r>
      <w:r>
        <w:rPr>
          <w:color w:val="231F20"/>
        </w:rPr>
        <w:t>osoba</w:t>
      </w:r>
      <w:r>
        <w:rPr>
          <w:color w:val="231F20"/>
          <w:spacing w:val="-18"/>
        </w:rPr>
        <w:t xml:space="preserve"> </w:t>
      </w:r>
      <w:r>
        <w:rPr>
          <w:color w:val="231F20"/>
        </w:rPr>
        <w:t>nebo</w:t>
      </w:r>
      <w:r>
        <w:rPr>
          <w:color w:val="231F20"/>
          <w:spacing w:val="-17"/>
        </w:rPr>
        <w:t xml:space="preserve"> </w:t>
      </w:r>
      <w:r>
        <w:rPr>
          <w:color w:val="231F20"/>
        </w:rPr>
        <w:t>osoba</w:t>
      </w:r>
      <w:r>
        <w:rPr>
          <w:color w:val="231F20"/>
          <w:spacing w:val="-17"/>
        </w:rPr>
        <w:t xml:space="preserve"> </w:t>
      </w:r>
      <w:r>
        <w:rPr>
          <w:color w:val="231F20"/>
        </w:rPr>
        <w:t>jednající</w:t>
      </w:r>
      <w:r>
        <w:rPr>
          <w:color w:val="231F20"/>
          <w:spacing w:val="-17"/>
        </w:rPr>
        <w:t xml:space="preserve"> </w:t>
      </w:r>
      <w:r>
        <w:rPr>
          <w:color w:val="231F20"/>
        </w:rPr>
        <w:t>z</w:t>
      </w:r>
      <w:r>
        <w:rPr>
          <w:color w:val="231F20"/>
          <w:spacing w:val="-17"/>
        </w:rPr>
        <w:t xml:space="preserve"> </w:t>
      </w:r>
      <w:r>
        <w:rPr>
          <w:color w:val="231F20"/>
        </w:rPr>
        <w:t>jejich</w:t>
      </w:r>
      <w:r>
        <w:rPr>
          <w:color w:val="231F20"/>
          <w:spacing w:val="-18"/>
        </w:rPr>
        <w:t xml:space="preserve"> </w:t>
      </w:r>
      <w:r>
        <w:rPr>
          <w:color w:val="231F20"/>
        </w:rPr>
        <w:t>podnětu</w:t>
      </w:r>
      <w:r>
        <w:rPr>
          <w:color w:val="231F20"/>
          <w:spacing w:val="-17"/>
        </w:rPr>
        <w:t xml:space="preserve"> </w:t>
      </w:r>
      <w:r>
        <w:rPr>
          <w:color w:val="231F20"/>
        </w:rPr>
        <w:t>nebo</w:t>
      </w:r>
      <w:r>
        <w:rPr>
          <w:color w:val="231F20"/>
          <w:spacing w:val="-17"/>
        </w:rPr>
        <w:t xml:space="preserve"> </w:t>
      </w:r>
      <w:r>
        <w:rPr>
          <w:color w:val="231F20"/>
        </w:rPr>
        <w:t>v</w:t>
      </w:r>
      <w:r>
        <w:rPr>
          <w:color w:val="231F20"/>
          <w:spacing w:val="-17"/>
        </w:rPr>
        <w:t xml:space="preserve"> </w:t>
      </w:r>
      <w:r>
        <w:rPr>
          <w:color w:val="231F20"/>
        </w:rPr>
        <w:t>jejich</w:t>
      </w:r>
      <w:r>
        <w:rPr>
          <w:color w:val="231F20"/>
          <w:spacing w:val="-17"/>
        </w:rPr>
        <w:t xml:space="preserve"> </w:t>
      </w:r>
      <w:r>
        <w:rPr>
          <w:color w:val="231F20"/>
        </w:rPr>
        <w:t>zastoupení</w:t>
      </w:r>
      <w:r>
        <w:rPr>
          <w:color w:val="231F20"/>
          <w:spacing w:val="-17"/>
        </w:rPr>
        <w:t xml:space="preserve"> </w:t>
      </w:r>
      <w:r>
        <w:rPr>
          <w:color w:val="231F20"/>
        </w:rPr>
        <w:t>uvede</w:t>
      </w:r>
      <w:r>
        <w:rPr>
          <w:color w:val="231F20"/>
          <w:spacing w:val="-18"/>
        </w:rPr>
        <w:t xml:space="preserve"> </w:t>
      </w:r>
      <w:r>
        <w:rPr>
          <w:color w:val="231F20"/>
          <w:spacing w:val="-2"/>
        </w:rPr>
        <w:t xml:space="preserve">při </w:t>
      </w:r>
      <w:r>
        <w:rPr>
          <w:color w:val="231F20"/>
        </w:rPr>
        <w:t>uplatňování</w:t>
      </w:r>
      <w:r>
        <w:rPr>
          <w:color w:val="231F20"/>
          <w:spacing w:val="-21"/>
        </w:rPr>
        <w:t xml:space="preserve"> </w:t>
      </w:r>
      <w:r>
        <w:rPr>
          <w:color w:val="231F20"/>
        </w:rPr>
        <w:t>práva</w:t>
      </w:r>
      <w:r>
        <w:rPr>
          <w:color w:val="231F20"/>
          <w:spacing w:val="-21"/>
        </w:rPr>
        <w:t xml:space="preserve"> </w:t>
      </w:r>
      <w:r>
        <w:rPr>
          <w:color w:val="231F20"/>
        </w:rPr>
        <w:t>na</w:t>
      </w:r>
      <w:r>
        <w:rPr>
          <w:color w:val="231F20"/>
          <w:spacing w:val="-20"/>
        </w:rPr>
        <w:t xml:space="preserve"> </w:t>
      </w:r>
      <w:r>
        <w:rPr>
          <w:color w:val="231F20"/>
        </w:rPr>
        <w:t>pojistné</w:t>
      </w:r>
      <w:r>
        <w:rPr>
          <w:color w:val="231F20"/>
          <w:spacing w:val="-21"/>
        </w:rPr>
        <w:t xml:space="preserve"> </w:t>
      </w:r>
      <w:r>
        <w:rPr>
          <w:color w:val="231F20"/>
        </w:rPr>
        <w:t>plnění,</w:t>
      </w:r>
      <w:r>
        <w:rPr>
          <w:color w:val="231F20"/>
          <w:spacing w:val="-20"/>
        </w:rPr>
        <w:t xml:space="preserve"> </w:t>
      </w:r>
      <w:r>
        <w:rPr>
          <w:color w:val="231F20"/>
        </w:rPr>
        <w:t>byť</w:t>
      </w:r>
      <w:r>
        <w:rPr>
          <w:color w:val="231F20"/>
          <w:spacing w:val="-21"/>
        </w:rPr>
        <w:t xml:space="preserve"> </w:t>
      </w:r>
      <w:r>
        <w:rPr>
          <w:color w:val="231F20"/>
        </w:rPr>
        <w:t>z</w:t>
      </w:r>
      <w:r>
        <w:rPr>
          <w:color w:val="231F20"/>
          <w:spacing w:val="-21"/>
        </w:rPr>
        <w:t xml:space="preserve"> </w:t>
      </w:r>
      <w:r>
        <w:rPr>
          <w:color w:val="231F20"/>
        </w:rPr>
        <w:t>nedbalosti,</w:t>
      </w:r>
      <w:r>
        <w:rPr>
          <w:color w:val="231F20"/>
          <w:spacing w:val="-20"/>
        </w:rPr>
        <w:t xml:space="preserve"> </w:t>
      </w:r>
      <w:r>
        <w:rPr>
          <w:color w:val="231F20"/>
        </w:rPr>
        <w:t>nepravdivé</w:t>
      </w:r>
      <w:r>
        <w:rPr>
          <w:color w:val="231F20"/>
          <w:spacing w:val="-21"/>
        </w:rPr>
        <w:t xml:space="preserve"> </w:t>
      </w:r>
      <w:r>
        <w:rPr>
          <w:color w:val="231F20"/>
        </w:rPr>
        <w:t>nebo</w:t>
      </w:r>
      <w:r>
        <w:rPr>
          <w:color w:val="231F20"/>
          <w:spacing w:val="-20"/>
        </w:rPr>
        <w:t xml:space="preserve"> </w:t>
      </w:r>
      <w:r>
        <w:rPr>
          <w:color w:val="231F20"/>
        </w:rPr>
        <w:t>hrubě</w:t>
      </w:r>
      <w:r>
        <w:rPr>
          <w:color w:val="231F20"/>
          <w:spacing w:val="-21"/>
        </w:rPr>
        <w:t xml:space="preserve"> </w:t>
      </w:r>
      <w:r>
        <w:rPr>
          <w:color w:val="231F20"/>
        </w:rPr>
        <w:t>zkreslené</w:t>
      </w:r>
      <w:r>
        <w:rPr>
          <w:color w:val="231F20"/>
          <w:spacing w:val="-21"/>
        </w:rPr>
        <w:t xml:space="preserve"> </w:t>
      </w:r>
      <w:r>
        <w:rPr>
          <w:color w:val="231F20"/>
        </w:rPr>
        <w:t>údaje</w:t>
      </w:r>
      <w:r>
        <w:rPr>
          <w:color w:val="231F20"/>
          <w:spacing w:val="-20"/>
        </w:rPr>
        <w:t xml:space="preserve"> </w:t>
      </w:r>
      <w:r>
        <w:rPr>
          <w:color w:val="231F20"/>
        </w:rPr>
        <w:t>týkající</w:t>
      </w:r>
      <w:r>
        <w:rPr>
          <w:color w:val="231F20"/>
          <w:spacing w:val="-21"/>
        </w:rPr>
        <w:t xml:space="preserve"> </w:t>
      </w:r>
      <w:r>
        <w:rPr>
          <w:color w:val="231F20"/>
        </w:rPr>
        <w:t>se</w:t>
      </w:r>
      <w:r>
        <w:rPr>
          <w:color w:val="231F20"/>
          <w:spacing w:val="-20"/>
        </w:rPr>
        <w:t xml:space="preserve"> </w:t>
      </w:r>
      <w:r>
        <w:rPr>
          <w:color w:val="231F20"/>
        </w:rPr>
        <w:t>rozsahu</w:t>
      </w:r>
      <w:r>
        <w:rPr>
          <w:color w:val="231F20"/>
          <w:spacing w:val="-21"/>
        </w:rPr>
        <w:t xml:space="preserve"> </w:t>
      </w:r>
      <w:r>
        <w:rPr>
          <w:color w:val="231F20"/>
        </w:rPr>
        <w:t>pojistné události nebo podstatné údaje týkající se této události</w:t>
      </w:r>
      <w:r>
        <w:rPr>
          <w:color w:val="231F20"/>
          <w:spacing w:val="-36"/>
        </w:rPr>
        <w:t xml:space="preserve"> </w:t>
      </w:r>
      <w:r>
        <w:rPr>
          <w:color w:val="231F20"/>
        </w:rPr>
        <w:t>zamlčí;</w:t>
      </w:r>
    </w:p>
    <w:p w14:paraId="48727565" w14:textId="77777777" w:rsidR="00F65BCA" w:rsidRDefault="00216117">
      <w:pPr>
        <w:pStyle w:val="Nadpis9"/>
        <w:numPr>
          <w:ilvl w:val="0"/>
          <w:numId w:val="138"/>
        </w:numPr>
        <w:tabs>
          <w:tab w:val="left" w:pos="1335"/>
        </w:tabs>
        <w:spacing w:line="207" w:lineRule="exact"/>
        <w:ind w:hanging="228"/>
        <w:jc w:val="both"/>
      </w:pPr>
      <w:r>
        <w:rPr>
          <w:color w:val="231F20"/>
        </w:rPr>
        <w:t>uplynutím pojistné doby.</w:t>
      </w:r>
    </w:p>
    <w:p w14:paraId="6A0E6FF7" w14:textId="77777777" w:rsidR="00F65BCA" w:rsidRDefault="00000000">
      <w:pPr>
        <w:pStyle w:val="Nadpis9"/>
        <w:numPr>
          <w:ilvl w:val="0"/>
          <w:numId w:val="139"/>
        </w:numPr>
        <w:tabs>
          <w:tab w:val="left" w:pos="1108"/>
        </w:tabs>
        <w:spacing w:before="33" w:line="278" w:lineRule="auto"/>
        <w:ind w:right="650"/>
        <w:jc w:val="both"/>
      </w:pPr>
      <w:r>
        <w:pict w14:anchorId="16D7D18B">
          <v:line id="_x0000_s2319" style="position:absolute;left:0;text-align:left;z-index:-299423744;mso-position-horizontal-relative:page" from="0,69.25pt" to="595.3pt,69.25pt" strokecolor="#c5271c" strokeweight="1pt">
            <w10:wrap anchorx="page"/>
          </v:line>
        </w:pict>
      </w:r>
      <w:r w:rsidR="00216117">
        <w:rPr>
          <w:color w:val="231F20"/>
        </w:rPr>
        <w:t>Doplňková pojištění sjednaná k pojištění odpovědnosti za újmu způsobenou provozem vozidla nebo k havarijnímu pojištění zanikají společně s těmito základními pojištěními. V případě sjednání pojištění odpovědnosti i havarijního pojištění zanikají doplňková pojištění nejpozději se zánikem posledního základního</w:t>
      </w:r>
      <w:r w:rsidR="00216117">
        <w:rPr>
          <w:color w:val="231F20"/>
          <w:spacing w:val="1"/>
        </w:rPr>
        <w:t xml:space="preserve"> </w:t>
      </w:r>
      <w:r w:rsidR="00216117">
        <w:rPr>
          <w:color w:val="231F20"/>
        </w:rPr>
        <w:t>pojištění.</w:t>
      </w:r>
    </w:p>
    <w:p w14:paraId="46EA537C" w14:textId="77777777" w:rsidR="00F65BCA" w:rsidRDefault="00F65BCA">
      <w:pPr>
        <w:pStyle w:val="Zkladntext"/>
        <w:rPr>
          <w:sz w:val="20"/>
        </w:rPr>
      </w:pPr>
    </w:p>
    <w:p w14:paraId="2691A672" w14:textId="77777777" w:rsidR="00F65BCA" w:rsidRDefault="00F65BCA">
      <w:pPr>
        <w:pStyle w:val="Zkladntext"/>
        <w:rPr>
          <w:sz w:val="20"/>
        </w:rPr>
      </w:pPr>
    </w:p>
    <w:p w14:paraId="3CAB3A8E" w14:textId="77777777" w:rsidR="00F65BCA" w:rsidRDefault="00F65BCA">
      <w:pPr>
        <w:pStyle w:val="Zkladntext"/>
        <w:spacing w:before="3"/>
        <w:rPr>
          <w:sz w:val="28"/>
        </w:rPr>
      </w:pPr>
    </w:p>
    <w:p w14:paraId="0FF23CF2" w14:textId="77777777" w:rsidR="00F65BCA" w:rsidRDefault="00F65BCA">
      <w:pPr>
        <w:rPr>
          <w:sz w:val="28"/>
        </w:rPr>
        <w:sectPr w:rsidR="00F65BCA">
          <w:pgSz w:w="11910" w:h="16840"/>
          <w:pgMar w:top="540" w:right="140" w:bottom="0" w:left="140" w:header="708" w:footer="708" w:gutter="0"/>
          <w:cols w:space="708"/>
        </w:sectPr>
      </w:pPr>
    </w:p>
    <w:p w14:paraId="5B18BDD8" w14:textId="77777777" w:rsidR="00F65BCA" w:rsidRDefault="00F65BCA">
      <w:pPr>
        <w:pStyle w:val="Zkladntext"/>
        <w:spacing w:before="10"/>
        <w:rPr>
          <w:sz w:val="13"/>
        </w:rPr>
      </w:pPr>
    </w:p>
    <w:p w14:paraId="5F37EE92" w14:textId="77777777" w:rsidR="00F65BCA" w:rsidRDefault="00216117">
      <w:pPr>
        <w:ind w:left="880"/>
        <w:rPr>
          <w:sz w:val="14"/>
        </w:rPr>
      </w:pPr>
      <w:r>
        <w:rPr>
          <w:color w:val="231F20"/>
          <w:sz w:val="14"/>
        </w:rPr>
        <w:t>6.20.012 05.2025 v04</w:t>
      </w:r>
    </w:p>
    <w:p w14:paraId="7FC82E7A" w14:textId="77777777" w:rsidR="00F65BCA" w:rsidRDefault="00216117">
      <w:pPr>
        <w:spacing w:before="103"/>
        <w:ind w:left="880"/>
        <w:rPr>
          <w:sz w:val="16"/>
        </w:rPr>
      </w:pPr>
      <w:r>
        <w:br w:type="column"/>
      </w:r>
      <w:r>
        <w:rPr>
          <w:color w:val="231F20"/>
          <w:sz w:val="16"/>
        </w:rPr>
        <w:t xml:space="preserve">Předsmluvní informace </w:t>
      </w:r>
      <w:r>
        <w:rPr>
          <w:color w:val="C5271C"/>
          <w:sz w:val="20"/>
        </w:rPr>
        <w:t xml:space="preserve">| </w:t>
      </w:r>
      <w:r>
        <w:rPr>
          <w:color w:val="231F20"/>
          <w:sz w:val="16"/>
        </w:rPr>
        <w:t>11</w:t>
      </w:r>
    </w:p>
    <w:p w14:paraId="3DABFD8D" w14:textId="77777777" w:rsidR="00F65BCA" w:rsidRDefault="00F65BCA">
      <w:pPr>
        <w:rPr>
          <w:sz w:val="16"/>
        </w:rPr>
        <w:sectPr w:rsidR="00F65BCA">
          <w:type w:val="continuous"/>
          <w:pgSz w:w="11910" w:h="16840"/>
          <w:pgMar w:top="840" w:right="140" w:bottom="280" w:left="140" w:header="708" w:footer="708" w:gutter="0"/>
          <w:cols w:num="2" w:space="708" w:equalWidth="0">
            <w:col w:w="2314" w:space="5738"/>
            <w:col w:w="3578"/>
          </w:cols>
        </w:sectPr>
      </w:pPr>
    </w:p>
    <w:p w14:paraId="0A2ACE30" w14:textId="77777777" w:rsidR="00F65BCA" w:rsidRDefault="00F65BCA">
      <w:pPr>
        <w:pStyle w:val="Zkladntext"/>
        <w:spacing w:before="11"/>
      </w:pPr>
    </w:p>
    <w:p w14:paraId="2734B140" w14:textId="77777777" w:rsidR="00F65BCA" w:rsidRDefault="00000000">
      <w:pPr>
        <w:pStyle w:val="Nadpis8"/>
        <w:ind w:left="823"/>
      </w:pPr>
      <w:r>
        <w:pict w14:anchorId="708E8800">
          <v:rect id="_x0000_s2318" style="position:absolute;left:0;text-align:left;margin-left:39.7pt;margin-top:-9.1pt;width:504.55pt;height:468.65pt;z-index:-299419648;mso-position-horizontal-relative:page" fillcolor="#e6e7e8" stroked="f">
            <w10:wrap anchorx="page"/>
          </v:rect>
        </w:pict>
      </w:r>
      <w:r w:rsidR="00216117">
        <w:rPr>
          <w:color w:val="231F20"/>
        </w:rPr>
        <w:t>Podmínky a lhůty týkající se možnosti odstoupení od pojistné smlouvy</w:t>
      </w:r>
    </w:p>
    <w:p w14:paraId="2B80A55D" w14:textId="77777777" w:rsidR="00F65BCA" w:rsidRDefault="00216117">
      <w:pPr>
        <w:pStyle w:val="Nadpis8"/>
        <w:numPr>
          <w:ilvl w:val="0"/>
          <w:numId w:val="137"/>
        </w:numPr>
        <w:tabs>
          <w:tab w:val="left" w:pos="1221"/>
        </w:tabs>
        <w:spacing w:before="13"/>
        <w:ind w:hanging="398"/>
        <w:jc w:val="both"/>
      </w:pPr>
      <w:r>
        <w:rPr>
          <w:color w:val="231F20"/>
        </w:rPr>
        <w:t>Obecná úprava</w:t>
      </w:r>
      <w:r>
        <w:rPr>
          <w:color w:val="231F20"/>
          <w:spacing w:val="-1"/>
        </w:rPr>
        <w:t xml:space="preserve"> </w:t>
      </w:r>
      <w:r>
        <w:rPr>
          <w:color w:val="231F20"/>
        </w:rPr>
        <w:t>odstoupení</w:t>
      </w:r>
    </w:p>
    <w:p w14:paraId="0154B4B6" w14:textId="77777777" w:rsidR="00F65BCA" w:rsidRDefault="00216117">
      <w:pPr>
        <w:pStyle w:val="Nadpis9"/>
        <w:spacing w:before="13" w:line="254" w:lineRule="auto"/>
        <w:ind w:left="1220" w:right="1105"/>
      </w:pPr>
      <w:r>
        <w:rPr>
          <w:color w:val="231F20"/>
        </w:rPr>
        <w:t>Pojistník má právo od pojistné smlouvy odstoupit, porušila-li Pojišťovna povinnost pravdivě a úplně zodpovědět pí- semné</w:t>
      </w:r>
      <w:r>
        <w:rPr>
          <w:color w:val="231F20"/>
          <w:spacing w:val="-3"/>
        </w:rPr>
        <w:t xml:space="preserve"> </w:t>
      </w:r>
      <w:r>
        <w:rPr>
          <w:color w:val="231F20"/>
        </w:rPr>
        <w:t>dotazy</w:t>
      </w:r>
      <w:r>
        <w:rPr>
          <w:color w:val="231F20"/>
          <w:spacing w:val="-2"/>
        </w:rPr>
        <w:t xml:space="preserve"> </w:t>
      </w:r>
      <w:r>
        <w:rPr>
          <w:color w:val="231F20"/>
        </w:rPr>
        <w:t>zájemce</w:t>
      </w:r>
      <w:r>
        <w:rPr>
          <w:color w:val="231F20"/>
          <w:spacing w:val="-3"/>
        </w:rPr>
        <w:t xml:space="preserve"> </w:t>
      </w:r>
      <w:r>
        <w:rPr>
          <w:color w:val="231F20"/>
        </w:rPr>
        <w:t>při</w:t>
      </w:r>
      <w:r>
        <w:rPr>
          <w:color w:val="231F20"/>
          <w:spacing w:val="-2"/>
        </w:rPr>
        <w:t xml:space="preserve"> </w:t>
      </w:r>
      <w:r>
        <w:rPr>
          <w:color w:val="231F20"/>
        </w:rPr>
        <w:t>jednání</w:t>
      </w:r>
      <w:r>
        <w:rPr>
          <w:color w:val="231F20"/>
          <w:spacing w:val="-3"/>
        </w:rPr>
        <w:t xml:space="preserve"> </w:t>
      </w:r>
      <w:r>
        <w:rPr>
          <w:color w:val="231F20"/>
        </w:rPr>
        <w:t>o</w:t>
      </w:r>
      <w:r>
        <w:rPr>
          <w:color w:val="231F20"/>
          <w:spacing w:val="-2"/>
        </w:rPr>
        <w:t xml:space="preserve"> </w:t>
      </w:r>
      <w:r>
        <w:rPr>
          <w:color w:val="231F20"/>
        </w:rPr>
        <w:t>uzavření</w:t>
      </w:r>
      <w:r>
        <w:rPr>
          <w:color w:val="231F20"/>
          <w:spacing w:val="-2"/>
        </w:rPr>
        <w:t xml:space="preserve"> </w:t>
      </w:r>
      <w:r>
        <w:rPr>
          <w:color w:val="231F20"/>
        </w:rPr>
        <w:t>pojistné</w:t>
      </w:r>
      <w:r>
        <w:rPr>
          <w:color w:val="231F20"/>
          <w:spacing w:val="-3"/>
        </w:rPr>
        <w:t xml:space="preserve"> </w:t>
      </w:r>
      <w:r>
        <w:rPr>
          <w:color w:val="231F20"/>
        </w:rPr>
        <w:t>smlouvy</w:t>
      </w:r>
      <w:r>
        <w:rPr>
          <w:color w:val="231F20"/>
          <w:spacing w:val="-2"/>
        </w:rPr>
        <w:t xml:space="preserve"> </w:t>
      </w:r>
      <w:r>
        <w:rPr>
          <w:color w:val="231F20"/>
        </w:rPr>
        <w:t>nebo</w:t>
      </w:r>
      <w:r>
        <w:rPr>
          <w:color w:val="231F20"/>
          <w:spacing w:val="-3"/>
        </w:rPr>
        <w:t xml:space="preserve"> </w:t>
      </w:r>
      <w:r>
        <w:rPr>
          <w:color w:val="231F20"/>
        </w:rPr>
        <w:t>pojistníka</w:t>
      </w:r>
      <w:r>
        <w:rPr>
          <w:color w:val="231F20"/>
          <w:spacing w:val="-2"/>
        </w:rPr>
        <w:t xml:space="preserve"> </w:t>
      </w:r>
      <w:r>
        <w:rPr>
          <w:color w:val="231F20"/>
        </w:rPr>
        <w:t>při</w:t>
      </w:r>
      <w:r>
        <w:rPr>
          <w:color w:val="231F20"/>
          <w:spacing w:val="-2"/>
        </w:rPr>
        <w:t xml:space="preserve"> </w:t>
      </w:r>
      <w:r>
        <w:rPr>
          <w:color w:val="231F20"/>
        </w:rPr>
        <w:t>jednání</w:t>
      </w:r>
      <w:r>
        <w:rPr>
          <w:color w:val="231F20"/>
          <w:spacing w:val="-3"/>
        </w:rPr>
        <w:t xml:space="preserve"> </w:t>
      </w:r>
      <w:r>
        <w:rPr>
          <w:color w:val="231F20"/>
        </w:rPr>
        <w:t>o</w:t>
      </w:r>
      <w:r>
        <w:rPr>
          <w:color w:val="231F20"/>
          <w:spacing w:val="-2"/>
        </w:rPr>
        <w:t xml:space="preserve"> </w:t>
      </w:r>
      <w:r>
        <w:rPr>
          <w:color w:val="231F20"/>
        </w:rPr>
        <w:t>změně</w:t>
      </w:r>
      <w:r>
        <w:rPr>
          <w:color w:val="231F20"/>
          <w:spacing w:val="-3"/>
        </w:rPr>
        <w:t xml:space="preserve"> </w:t>
      </w:r>
      <w:r>
        <w:rPr>
          <w:color w:val="231F20"/>
        </w:rPr>
        <w:t>pojistné</w:t>
      </w:r>
      <w:r>
        <w:rPr>
          <w:color w:val="231F20"/>
          <w:spacing w:val="-2"/>
        </w:rPr>
        <w:t xml:space="preserve"> </w:t>
      </w:r>
      <w:r>
        <w:rPr>
          <w:color w:val="231F20"/>
        </w:rPr>
        <w:t xml:space="preserve">smlouvy. Stejně tak má pojistník právo od pojistné smlouvy odstoupit v případě, že Pojišťovna poruší povinnost upozornit </w:t>
      </w:r>
      <w:r>
        <w:rPr>
          <w:color w:val="231F20"/>
          <w:spacing w:val="-7"/>
        </w:rPr>
        <w:t xml:space="preserve">na </w:t>
      </w:r>
      <w:r>
        <w:rPr>
          <w:color w:val="231F20"/>
        </w:rPr>
        <w:t>nesrovnalosti, musí-li si jich být při uzavírání pojistné smlouvy vědoma, mezi nabízeným pojištěním a zájemcovými požadavky.</w:t>
      </w:r>
    </w:p>
    <w:p w14:paraId="29A54804" w14:textId="77777777" w:rsidR="00F65BCA" w:rsidRDefault="00216117">
      <w:pPr>
        <w:pStyle w:val="Nadpis9"/>
        <w:spacing w:before="3" w:line="254" w:lineRule="auto"/>
        <w:ind w:left="1220" w:right="1104"/>
      </w:pPr>
      <w:r>
        <w:rPr>
          <w:color w:val="231F20"/>
        </w:rPr>
        <w:t xml:space="preserve">Porušil-li pojistník nebo pojištěný úmyslně nebo z nedbalosti povinnost k pravdivým sdělením na písemné dotazy Pojišťovny týkající se skutečností, které mají význam pro rozhodnutí Pojišťovny, jak ohodnotí pojistné riziko, </w:t>
      </w:r>
      <w:r>
        <w:rPr>
          <w:color w:val="231F20"/>
          <w:spacing w:val="-5"/>
        </w:rPr>
        <w:t xml:space="preserve">zda      </w:t>
      </w:r>
      <w:r>
        <w:rPr>
          <w:color w:val="231F20"/>
        </w:rPr>
        <w:t xml:space="preserve">je pojistí a za jakých podmínek, má Pojišťovna právo od pojistné smlouvy odstoupit, prokáže-li, že by po prav-  divém a úplném zodpovězení dotazů pojistnou smlouvu neuzavřela. Právo odstoupit od pojistné smlouvy zani-      ká, nevyužije-li je strana do dvou měsíců ode dne, kdy zjistila nebo musela zjistit porušení povinnosti stanovené       v § 2788 zákoníku. Odstoupí-li pojistník od pojistné smlouvy, nahradí mu Pojišťovna do jednoho měsíce ode </w:t>
      </w:r>
      <w:r>
        <w:rPr>
          <w:color w:val="231F20"/>
          <w:spacing w:val="-3"/>
        </w:rPr>
        <w:t xml:space="preserve">dne,  </w:t>
      </w:r>
      <w:r>
        <w:rPr>
          <w:color w:val="231F20"/>
        </w:rPr>
        <w:t xml:space="preserve">kdy se odstoupení stane účinným, zaplacené pojistné snížené o to, co již případně z pojištění plnila; odstoupila-li    od pojistné smlouvy Pojišťovna, má právo započíst si i náklady spojené se vznikem a správou pojištění. Odstoupí-li Pojišťovna od pojistné smlouvy a získal-li již pojistník, pojištěný nebo jiná osoba pojistné plnění, nahradí v téže </w:t>
      </w:r>
      <w:r>
        <w:rPr>
          <w:color w:val="231F20"/>
          <w:spacing w:val="-3"/>
        </w:rPr>
        <w:t xml:space="preserve">lhůtě </w:t>
      </w:r>
      <w:r>
        <w:rPr>
          <w:color w:val="231F20"/>
        </w:rPr>
        <w:t>Pojišťovně to, co ze zaplaceného pojistného plnění přesahuje zaplacené</w:t>
      </w:r>
      <w:r>
        <w:rPr>
          <w:color w:val="231F20"/>
          <w:spacing w:val="2"/>
        </w:rPr>
        <w:t xml:space="preserve"> </w:t>
      </w:r>
      <w:r>
        <w:rPr>
          <w:color w:val="231F20"/>
        </w:rPr>
        <w:t>pojistné.</w:t>
      </w:r>
    </w:p>
    <w:p w14:paraId="44C88723" w14:textId="77777777" w:rsidR="00F65BCA" w:rsidRDefault="00216117">
      <w:pPr>
        <w:pStyle w:val="Nadpis8"/>
        <w:numPr>
          <w:ilvl w:val="0"/>
          <w:numId w:val="137"/>
        </w:numPr>
        <w:tabs>
          <w:tab w:val="left" w:pos="1193"/>
        </w:tabs>
        <w:spacing w:before="6"/>
        <w:ind w:left="1192" w:hanging="370"/>
        <w:jc w:val="both"/>
      </w:pPr>
      <w:r>
        <w:rPr>
          <w:color w:val="231F20"/>
        </w:rPr>
        <w:t>Odstoupení od pojistných smluv uzavřených formou obchodu na</w:t>
      </w:r>
      <w:r>
        <w:rPr>
          <w:color w:val="231F20"/>
          <w:spacing w:val="-4"/>
        </w:rPr>
        <w:t xml:space="preserve"> </w:t>
      </w:r>
      <w:r>
        <w:rPr>
          <w:color w:val="231F20"/>
        </w:rPr>
        <w:t>dálku</w:t>
      </w:r>
    </w:p>
    <w:p w14:paraId="5BF52C35" w14:textId="77777777" w:rsidR="00F65BCA" w:rsidRDefault="00216117">
      <w:pPr>
        <w:pStyle w:val="Nadpis9"/>
        <w:spacing w:before="13" w:line="254" w:lineRule="auto"/>
        <w:ind w:left="1220" w:right="1104"/>
      </w:pPr>
      <w:r>
        <w:rPr>
          <w:color w:val="231F20"/>
        </w:rPr>
        <w:t xml:space="preserve">Byla-li pojistná smlouva uzavřena formou obchodu na dálku, má pojistník dále právo bez udání důvodu odstoupit od pojistné smlouvy ve lhůtě 14 dní ode dne jejího uzavření nebo ode dne, kdy mu byly sděleny VPP, pokud k </w:t>
      </w:r>
      <w:r>
        <w:rPr>
          <w:color w:val="231F20"/>
          <w:spacing w:val="-3"/>
        </w:rPr>
        <w:t xml:space="preserve">tomuto </w:t>
      </w:r>
      <w:r>
        <w:rPr>
          <w:color w:val="231F20"/>
        </w:rPr>
        <w:t>sdělení dojde na jeho žádost po uzavření pojistné smlouvy. Poskytla-li Pojišťovna pojistníkovi, který je spotřebitelem, klamavý údaj, má pojistník právo odstoupit od pojistné smlouvy do 3 měsíců ode dne, kdy se o tom dozvěděl nebo dozvědět měl a mohl. Odstoupí-li pojistník od pojistné smlouvy uzavřené formou obchodu na dálku, vrátí mu Pojiš- ťovna bez zbytečného odkladu, nejpozději však do 30 dní ode dne, kdy se odstoupení stane účinným, zaplacené pojistné; přitom má právo odečíst si, co již z pojištění plnila. Bylo-li však pojistné plnění vyplaceno ve výši přesahující výši zaplaceného pojistného, vrátí pojistník, popřípadě pojištěný nebo obmyšlený, Pojišťovně částku zaplaceného pojistného plnění, která přesahuje zaplacené pojistné. Práva na odstoupení uvedená v tomto bodě neplatí pro pojiš- tění zavazadel nebo podobné krátkodobé pojištění s pojistnou dobou kratší než jeden měsíc. V případě neuplatnění shora uvedených práv na odstoupení od pojistné smlouvy, je pojistná smlouva platnou a účinnou a zavazuje strany  k plnění závazků v ní</w:t>
      </w:r>
      <w:r>
        <w:rPr>
          <w:color w:val="231F20"/>
          <w:spacing w:val="-1"/>
        </w:rPr>
        <w:t xml:space="preserve"> </w:t>
      </w:r>
      <w:r>
        <w:rPr>
          <w:color w:val="231F20"/>
        </w:rPr>
        <w:t>obsažených.</w:t>
      </w:r>
    </w:p>
    <w:p w14:paraId="67ADD15B" w14:textId="77777777" w:rsidR="00F65BCA" w:rsidRDefault="00F65BCA">
      <w:pPr>
        <w:pStyle w:val="Zkladntext"/>
        <w:spacing w:before="9"/>
        <w:rPr>
          <w:sz w:val="19"/>
        </w:rPr>
      </w:pPr>
    </w:p>
    <w:p w14:paraId="124583AD" w14:textId="77777777" w:rsidR="00F65BCA" w:rsidRDefault="00216117">
      <w:pPr>
        <w:pStyle w:val="Nadpis9"/>
        <w:spacing w:line="254" w:lineRule="auto"/>
        <w:ind w:left="1220" w:right="1104"/>
      </w:pPr>
      <w:r>
        <w:rPr>
          <w:color w:val="231F20"/>
        </w:rPr>
        <w:t>Odstoupením se pojistná smlouva od počátku ruší. Odstoupíte-li od pojistné smlouvy uzavřené prostřednictvím pro- středku komunikace na dálku, vrátí Vám pojistitel zaplacené pojistné bez zbytečného odkladu, nejpozději však do třiceti dnů ode dne odstoupení od smlouvy. Pojistitel má právo odečíst si, co již z pojištění plnil. Bylo-li pojistné plnění vyplaceno ve výši přesahující výši zaplaceného pojistného, vrátíte Vy, popřípadě pojištěný nebo jiná oprávněná oso- ba, pojistiteli částku zaplaceného pojistného plnění, která přesahuje zaplacené pojistné, a to nejpozději do třiceti dnů ode dne, kdy jste pojistiteli oznámení o odstoupení pojistné smlouvy odeslali.</w:t>
      </w:r>
    </w:p>
    <w:p w14:paraId="0FD941BE" w14:textId="77777777" w:rsidR="00F65BCA" w:rsidRDefault="00F65BCA">
      <w:pPr>
        <w:pStyle w:val="Zkladntext"/>
        <w:spacing w:before="5"/>
        <w:rPr>
          <w:sz w:val="19"/>
        </w:rPr>
      </w:pPr>
    </w:p>
    <w:p w14:paraId="1CBBCADA" w14:textId="77777777" w:rsidR="00F65BCA" w:rsidRDefault="00216117">
      <w:pPr>
        <w:spacing w:line="254" w:lineRule="auto"/>
        <w:ind w:left="1220" w:right="1105"/>
        <w:jc w:val="both"/>
        <w:rPr>
          <w:sz w:val="18"/>
        </w:rPr>
      </w:pPr>
      <w:r>
        <w:rPr>
          <w:b/>
          <w:color w:val="231F20"/>
          <w:sz w:val="18"/>
        </w:rPr>
        <w:t xml:space="preserve">Formulář pro odstoupení </w:t>
      </w:r>
      <w:r>
        <w:rPr>
          <w:color w:val="231F20"/>
          <w:sz w:val="18"/>
        </w:rPr>
        <w:t xml:space="preserve">naleznete na internetových stránkách a obchodních místech pojistitele nebo </w:t>
      </w:r>
      <w:r>
        <w:rPr>
          <w:color w:val="231F20"/>
          <w:spacing w:val="-3"/>
          <w:sz w:val="18"/>
        </w:rPr>
        <w:t xml:space="preserve">můžete      </w:t>
      </w:r>
      <w:r>
        <w:rPr>
          <w:color w:val="231F20"/>
          <w:spacing w:val="44"/>
          <w:sz w:val="18"/>
        </w:rPr>
        <w:t xml:space="preserve"> </w:t>
      </w:r>
      <w:r>
        <w:rPr>
          <w:color w:val="231F20"/>
          <w:sz w:val="18"/>
        </w:rPr>
        <w:t xml:space="preserve">o jeho doručení požádat pojišťovacího zprostředkovatele. Odstoupení od pojistné smlouvy se doručuje písemně, a </w:t>
      </w:r>
      <w:r>
        <w:rPr>
          <w:color w:val="231F20"/>
          <w:spacing w:val="-8"/>
          <w:sz w:val="18"/>
        </w:rPr>
        <w:t xml:space="preserve">to </w:t>
      </w:r>
      <w:r>
        <w:rPr>
          <w:color w:val="231F20"/>
          <w:sz w:val="18"/>
        </w:rPr>
        <w:t xml:space="preserve">zasláním na adresu: </w:t>
      </w:r>
      <w:r>
        <w:rPr>
          <w:b/>
          <w:color w:val="231F20"/>
          <w:sz w:val="18"/>
        </w:rPr>
        <w:t>Generali Česká pojišťovna a.s., P. O. BOX 305, 659 05</w:t>
      </w:r>
      <w:r>
        <w:rPr>
          <w:b/>
          <w:color w:val="231F20"/>
          <w:spacing w:val="-10"/>
          <w:sz w:val="18"/>
        </w:rPr>
        <w:t xml:space="preserve"> </w:t>
      </w:r>
      <w:r>
        <w:rPr>
          <w:b/>
          <w:color w:val="231F20"/>
          <w:sz w:val="18"/>
        </w:rPr>
        <w:t>Brno</w:t>
      </w:r>
      <w:r>
        <w:rPr>
          <w:color w:val="231F20"/>
          <w:sz w:val="18"/>
        </w:rPr>
        <w:t>.</w:t>
      </w:r>
    </w:p>
    <w:p w14:paraId="6B61C2D7" w14:textId="77777777" w:rsidR="00F65BCA" w:rsidRDefault="00F65BCA">
      <w:pPr>
        <w:pStyle w:val="Zkladntext"/>
        <w:rPr>
          <w:sz w:val="20"/>
        </w:rPr>
      </w:pPr>
    </w:p>
    <w:p w14:paraId="207CB468" w14:textId="77777777" w:rsidR="00F65BCA" w:rsidRDefault="00F65BCA">
      <w:pPr>
        <w:pStyle w:val="Zkladntext"/>
        <w:spacing w:before="10"/>
        <w:rPr>
          <w:sz w:val="28"/>
        </w:rPr>
      </w:pPr>
    </w:p>
    <w:p w14:paraId="6B21CED3" w14:textId="77777777" w:rsidR="00F65BCA" w:rsidRDefault="00000000">
      <w:pPr>
        <w:ind w:left="653"/>
        <w:rPr>
          <w:sz w:val="28"/>
        </w:rPr>
      </w:pPr>
      <w:r>
        <w:pict w14:anchorId="27046548">
          <v:shape id="_x0000_s2317" style="position:absolute;left:0;text-align:left;margin-left:39.7pt;margin-top:17.75pt;width:504.6pt;height:.1pt;z-index:-251508736;mso-wrap-distance-left:0;mso-wrap-distance-right:0;mso-position-horizontal-relative:page" coordorigin="794,355" coordsize="10092,0" path="m794,355r10091,e" filled="f" strokecolor="#d1d3d4">
            <v:path arrowok="t"/>
            <w10:wrap type="topAndBottom" anchorx="page"/>
          </v:shape>
        </w:pict>
      </w:r>
      <w:r w:rsidR="00216117">
        <w:rPr>
          <w:color w:val="C5271C"/>
          <w:sz w:val="28"/>
        </w:rPr>
        <w:t>Způsob vyřizování stížností</w:t>
      </w:r>
    </w:p>
    <w:p w14:paraId="0B0854B7" w14:textId="77777777" w:rsidR="00F65BCA" w:rsidRDefault="00216117">
      <w:pPr>
        <w:pStyle w:val="Nadpis9"/>
        <w:spacing w:before="119" w:line="273" w:lineRule="auto"/>
        <w:ind w:left="653" w:right="1154"/>
        <w:jc w:val="left"/>
      </w:pPr>
      <w:r>
        <w:rPr>
          <w:color w:val="231F20"/>
        </w:rPr>
        <w:t>Jestliže nejste s našimi službami spokojeni, můžete vaši případnou stížností sdělit osobně pojišťovacímu zprostředkovateli nebo na obchodních místech pojistitele prostřednictvím on-line formuláře na internetových stránkách https:/</w:t>
      </w:r>
      <w:hyperlink r:id="rId38">
        <w:r>
          <w:rPr>
            <w:color w:val="231F20"/>
          </w:rPr>
          <w:t>/w</w:t>
        </w:r>
      </w:hyperlink>
      <w:r>
        <w:rPr>
          <w:color w:val="231F20"/>
        </w:rPr>
        <w:t>w</w:t>
      </w:r>
      <w:hyperlink r:id="rId39">
        <w:r>
          <w:rPr>
            <w:color w:val="231F20"/>
          </w:rPr>
          <w:t>w.generaliceska.cz/podnety,</w:t>
        </w:r>
      </w:hyperlink>
      <w:r>
        <w:rPr>
          <w:color w:val="231F20"/>
        </w:rPr>
        <w:t xml:space="preserve"> dále prostřednictvím e-mailu </w:t>
      </w:r>
      <w:hyperlink r:id="rId40">
        <w:r>
          <w:rPr>
            <w:color w:val="231F20"/>
          </w:rPr>
          <w:t>stiznosti@generaliceska.cz</w:t>
        </w:r>
      </w:hyperlink>
      <w:r>
        <w:rPr>
          <w:color w:val="231F20"/>
        </w:rPr>
        <w:t xml:space="preserve"> nebo telefonicky na čísle Klientského servisu 241 114 114 případně písemně doručením na adresu: Generali Česká pojišťovna a.s., P. O. BOX 305,</w:t>
      </w:r>
    </w:p>
    <w:p w14:paraId="59A69EDC" w14:textId="77777777" w:rsidR="00F65BCA" w:rsidRDefault="00216117">
      <w:pPr>
        <w:pStyle w:val="Nadpis9"/>
        <w:ind w:left="653"/>
        <w:jc w:val="left"/>
      </w:pPr>
      <w:r>
        <w:rPr>
          <w:color w:val="231F20"/>
        </w:rPr>
        <w:t>659 05 Brno.</w:t>
      </w:r>
    </w:p>
    <w:p w14:paraId="68294878" w14:textId="77777777" w:rsidR="00F65BCA" w:rsidRDefault="00216117">
      <w:pPr>
        <w:pStyle w:val="Nadpis9"/>
        <w:spacing w:before="29" w:line="273" w:lineRule="auto"/>
        <w:ind w:left="653" w:right="877"/>
      </w:pPr>
      <w:r>
        <w:rPr>
          <w:color w:val="231F20"/>
        </w:rPr>
        <w:t>S</w:t>
      </w:r>
      <w:r>
        <w:rPr>
          <w:color w:val="231F20"/>
          <w:spacing w:val="-4"/>
        </w:rPr>
        <w:t xml:space="preserve"> </w:t>
      </w:r>
      <w:r>
        <w:rPr>
          <w:color w:val="231F20"/>
        </w:rPr>
        <w:t>případnou</w:t>
      </w:r>
      <w:r>
        <w:rPr>
          <w:color w:val="231F20"/>
          <w:spacing w:val="-3"/>
        </w:rPr>
        <w:t xml:space="preserve"> </w:t>
      </w:r>
      <w:r>
        <w:rPr>
          <w:color w:val="231F20"/>
        </w:rPr>
        <w:t>stížností</w:t>
      </w:r>
      <w:r>
        <w:rPr>
          <w:color w:val="231F20"/>
          <w:spacing w:val="-4"/>
        </w:rPr>
        <w:t xml:space="preserve"> </w:t>
      </w:r>
      <w:r>
        <w:rPr>
          <w:color w:val="231F20"/>
        </w:rPr>
        <w:t>se</w:t>
      </w:r>
      <w:r>
        <w:rPr>
          <w:color w:val="231F20"/>
          <w:spacing w:val="-3"/>
        </w:rPr>
        <w:t xml:space="preserve"> </w:t>
      </w:r>
      <w:r>
        <w:rPr>
          <w:color w:val="231F20"/>
        </w:rPr>
        <w:t>můžete</w:t>
      </w:r>
      <w:r>
        <w:rPr>
          <w:color w:val="231F20"/>
          <w:spacing w:val="-3"/>
        </w:rPr>
        <w:t xml:space="preserve"> </w:t>
      </w:r>
      <w:r>
        <w:rPr>
          <w:color w:val="231F20"/>
        </w:rPr>
        <w:t>obrátit</w:t>
      </w:r>
      <w:r>
        <w:rPr>
          <w:color w:val="231F20"/>
          <w:spacing w:val="-4"/>
        </w:rPr>
        <w:t xml:space="preserve"> </w:t>
      </w:r>
      <w:r>
        <w:rPr>
          <w:color w:val="231F20"/>
        </w:rPr>
        <w:t>na</w:t>
      </w:r>
      <w:r>
        <w:rPr>
          <w:color w:val="231F20"/>
          <w:spacing w:val="-3"/>
        </w:rPr>
        <w:t xml:space="preserve"> </w:t>
      </w:r>
      <w:r>
        <w:rPr>
          <w:color w:val="231F20"/>
        </w:rPr>
        <w:t>Pojišťovnu</w:t>
      </w:r>
      <w:r>
        <w:rPr>
          <w:color w:val="231F20"/>
          <w:spacing w:val="-3"/>
        </w:rPr>
        <w:t xml:space="preserve"> </w:t>
      </w:r>
      <w:r>
        <w:rPr>
          <w:color w:val="231F20"/>
        </w:rPr>
        <w:t>také</w:t>
      </w:r>
      <w:r>
        <w:rPr>
          <w:color w:val="231F20"/>
          <w:spacing w:val="-4"/>
        </w:rPr>
        <w:t xml:space="preserve"> </w:t>
      </w:r>
      <w:r>
        <w:rPr>
          <w:color w:val="231F20"/>
        </w:rPr>
        <w:t>elektronicky,</w:t>
      </w:r>
      <w:r>
        <w:rPr>
          <w:color w:val="231F20"/>
          <w:spacing w:val="-3"/>
        </w:rPr>
        <w:t xml:space="preserve"> </w:t>
      </w:r>
      <w:r>
        <w:rPr>
          <w:color w:val="231F20"/>
        </w:rPr>
        <w:t>a</w:t>
      </w:r>
      <w:r>
        <w:rPr>
          <w:color w:val="231F20"/>
          <w:spacing w:val="-3"/>
        </w:rPr>
        <w:t xml:space="preserve"> </w:t>
      </w:r>
      <w:r>
        <w:rPr>
          <w:color w:val="231F20"/>
        </w:rPr>
        <w:t>to</w:t>
      </w:r>
      <w:r>
        <w:rPr>
          <w:color w:val="231F20"/>
          <w:spacing w:val="-4"/>
        </w:rPr>
        <w:t xml:space="preserve"> </w:t>
      </w:r>
      <w:r>
        <w:rPr>
          <w:color w:val="231F20"/>
        </w:rPr>
        <w:t>na</w:t>
      </w:r>
      <w:r>
        <w:rPr>
          <w:color w:val="231F20"/>
          <w:spacing w:val="-3"/>
        </w:rPr>
        <w:t xml:space="preserve"> </w:t>
      </w:r>
      <w:r>
        <w:rPr>
          <w:color w:val="231F20"/>
        </w:rPr>
        <w:t>e-mailovou</w:t>
      </w:r>
      <w:r>
        <w:rPr>
          <w:color w:val="231F20"/>
          <w:spacing w:val="-3"/>
        </w:rPr>
        <w:t xml:space="preserve"> </w:t>
      </w:r>
      <w:r>
        <w:rPr>
          <w:color w:val="231F20"/>
        </w:rPr>
        <w:t>adresu</w:t>
      </w:r>
      <w:r>
        <w:rPr>
          <w:color w:val="231F20"/>
          <w:spacing w:val="-4"/>
        </w:rPr>
        <w:t xml:space="preserve"> </w:t>
      </w:r>
      <w:hyperlink r:id="rId41">
        <w:r>
          <w:rPr>
            <w:color w:val="231F20"/>
          </w:rPr>
          <w:t>stiznosti@generaliceska.cz.</w:t>
        </w:r>
      </w:hyperlink>
      <w:r>
        <w:rPr>
          <w:color w:val="231F20"/>
        </w:rPr>
        <w:t xml:space="preserve"> V případě, že nejste spokojeni s vyřízením stížnosti, s vyřízením nesouhlasíte nebo jste neobdrželi reakci na svoji stížnost, můžete se obrátit na kancelář ombudsmana společnosti Generali Česká pojišťovna</w:t>
      </w:r>
      <w:r>
        <w:rPr>
          <w:color w:val="231F20"/>
          <w:spacing w:val="5"/>
        </w:rPr>
        <w:t xml:space="preserve"> </w:t>
      </w:r>
      <w:r>
        <w:rPr>
          <w:color w:val="231F20"/>
        </w:rPr>
        <w:t>a.s.</w:t>
      </w:r>
    </w:p>
    <w:p w14:paraId="12CE08AD" w14:textId="77777777" w:rsidR="00F65BCA" w:rsidRDefault="00216117">
      <w:pPr>
        <w:pStyle w:val="Nadpis9"/>
        <w:spacing w:line="273" w:lineRule="auto"/>
        <w:ind w:left="653" w:right="876"/>
      </w:pPr>
      <w:r>
        <w:rPr>
          <w:color w:val="231F20"/>
        </w:rPr>
        <w:t>Se stížností se můžete obrátit i na Českou národní banku, Na Příkopě 28, 115 03 Praha 1, která je orgánem dohledu nad pojišťovnictvím.</w:t>
      </w:r>
    </w:p>
    <w:p w14:paraId="052F899A" w14:textId="77777777" w:rsidR="00F65BCA" w:rsidRDefault="00216117">
      <w:pPr>
        <w:pStyle w:val="Nadpis9"/>
        <w:ind w:left="653"/>
      </w:pPr>
      <w:r>
        <w:rPr>
          <w:color w:val="231F20"/>
        </w:rPr>
        <w:t>Rozhodování sporů z pojištění přísluší obecným soudům.</w:t>
      </w:r>
    </w:p>
    <w:p w14:paraId="0BBE87A1" w14:textId="77777777" w:rsidR="00F65BCA" w:rsidRDefault="00216117">
      <w:pPr>
        <w:pStyle w:val="Nadpis9"/>
        <w:spacing w:before="29" w:line="273" w:lineRule="auto"/>
        <w:ind w:left="653" w:right="878"/>
      </w:pPr>
      <w:r>
        <w:rPr>
          <w:color w:val="231F20"/>
        </w:rPr>
        <w:t>V</w:t>
      </w:r>
      <w:r>
        <w:rPr>
          <w:color w:val="231F20"/>
          <w:spacing w:val="-5"/>
        </w:rPr>
        <w:t xml:space="preserve"> </w:t>
      </w:r>
      <w:r>
        <w:rPr>
          <w:color w:val="231F20"/>
        </w:rPr>
        <w:t>případě</w:t>
      </w:r>
      <w:r>
        <w:rPr>
          <w:color w:val="231F20"/>
          <w:spacing w:val="-4"/>
        </w:rPr>
        <w:t xml:space="preserve"> </w:t>
      </w:r>
      <w:r>
        <w:rPr>
          <w:color w:val="231F20"/>
        </w:rPr>
        <w:t>neživotního</w:t>
      </w:r>
      <w:r>
        <w:rPr>
          <w:color w:val="231F20"/>
          <w:spacing w:val="-5"/>
        </w:rPr>
        <w:t xml:space="preserve"> </w:t>
      </w:r>
      <w:r>
        <w:rPr>
          <w:color w:val="231F20"/>
        </w:rPr>
        <w:t>pojištění</w:t>
      </w:r>
      <w:r>
        <w:rPr>
          <w:color w:val="231F20"/>
          <w:spacing w:val="-4"/>
        </w:rPr>
        <w:t xml:space="preserve"> </w:t>
      </w:r>
      <w:r>
        <w:rPr>
          <w:color w:val="231F20"/>
        </w:rPr>
        <w:t>mají</w:t>
      </w:r>
      <w:r>
        <w:rPr>
          <w:color w:val="231F20"/>
          <w:spacing w:val="-5"/>
        </w:rPr>
        <w:t xml:space="preserve"> </w:t>
      </w:r>
      <w:r>
        <w:rPr>
          <w:color w:val="231F20"/>
        </w:rPr>
        <w:t>spotřebitelé</w:t>
      </w:r>
      <w:r>
        <w:rPr>
          <w:color w:val="231F20"/>
          <w:spacing w:val="-4"/>
        </w:rPr>
        <w:t xml:space="preserve"> </w:t>
      </w:r>
      <w:r>
        <w:rPr>
          <w:color w:val="231F20"/>
        </w:rPr>
        <w:t>možnost</w:t>
      </w:r>
      <w:r>
        <w:rPr>
          <w:color w:val="231F20"/>
          <w:spacing w:val="-4"/>
        </w:rPr>
        <w:t xml:space="preserve"> </w:t>
      </w:r>
      <w:r>
        <w:rPr>
          <w:color w:val="231F20"/>
        </w:rPr>
        <w:t>řešit</w:t>
      </w:r>
      <w:r>
        <w:rPr>
          <w:color w:val="231F20"/>
          <w:spacing w:val="-5"/>
        </w:rPr>
        <w:t xml:space="preserve"> </w:t>
      </w:r>
      <w:r>
        <w:rPr>
          <w:color w:val="231F20"/>
        </w:rPr>
        <w:t>spor</w:t>
      </w:r>
      <w:r>
        <w:rPr>
          <w:color w:val="231F20"/>
          <w:spacing w:val="-4"/>
        </w:rPr>
        <w:t xml:space="preserve"> </w:t>
      </w:r>
      <w:r>
        <w:rPr>
          <w:color w:val="231F20"/>
        </w:rPr>
        <w:t>mimosoudně</w:t>
      </w:r>
      <w:r>
        <w:rPr>
          <w:color w:val="231F20"/>
          <w:spacing w:val="-5"/>
        </w:rPr>
        <w:t xml:space="preserve"> </w:t>
      </w:r>
      <w:r>
        <w:rPr>
          <w:color w:val="231F20"/>
        </w:rPr>
        <w:t>před</w:t>
      </w:r>
      <w:r>
        <w:rPr>
          <w:color w:val="231F20"/>
          <w:spacing w:val="-4"/>
        </w:rPr>
        <w:t xml:space="preserve"> </w:t>
      </w:r>
      <w:r>
        <w:rPr>
          <w:color w:val="231F20"/>
        </w:rPr>
        <w:t>Českou</w:t>
      </w:r>
      <w:r>
        <w:rPr>
          <w:color w:val="231F20"/>
          <w:spacing w:val="-4"/>
        </w:rPr>
        <w:t xml:space="preserve"> </w:t>
      </w:r>
      <w:r>
        <w:rPr>
          <w:color w:val="231F20"/>
        </w:rPr>
        <w:t>obchodní</w:t>
      </w:r>
      <w:r>
        <w:rPr>
          <w:color w:val="231F20"/>
          <w:spacing w:val="-5"/>
        </w:rPr>
        <w:t xml:space="preserve"> </w:t>
      </w:r>
      <w:r>
        <w:rPr>
          <w:color w:val="231F20"/>
        </w:rPr>
        <w:t>inspekcí</w:t>
      </w:r>
      <w:r>
        <w:rPr>
          <w:color w:val="231F20"/>
          <w:spacing w:val="-4"/>
        </w:rPr>
        <w:t xml:space="preserve"> </w:t>
      </w:r>
      <w:r>
        <w:rPr>
          <w:color w:val="231F20"/>
        </w:rPr>
        <w:t xml:space="preserve">(www.coi.cz). Spotřebitelé mohou u pojištění sjednaných on-line využít pro řešení spotřebitelských sporů on-line platformu na internetové adrese </w:t>
      </w:r>
      <w:hyperlink r:id="rId42">
        <w:r>
          <w:rPr>
            <w:color w:val="231F20"/>
          </w:rPr>
          <w:t>http://ec.europa.eu/consumers/odr/.</w:t>
        </w:r>
      </w:hyperlink>
    </w:p>
    <w:p w14:paraId="2765E52F" w14:textId="77777777" w:rsidR="00F65BCA" w:rsidRDefault="00F65BCA">
      <w:pPr>
        <w:pStyle w:val="Zkladntext"/>
        <w:rPr>
          <w:sz w:val="20"/>
        </w:rPr>
      </w:pPr>
    </w:p>
    <w:p w14:paraId="0B1610AC" w14:textId="77777777" w:rsidR="00F65BCA" w:rsidRDefault="00000000">
      <w:pPr>
        <w:spacing w:before="148"/>
        <w:ind w:left="653"/>
        <w:jc w:val="both"/>
        <w:rPr>
          <w:sz w:val="28"/>
        </w:rPr>
      </w:pPr>
      <w:r>
        <w:pict w14:anchorId="6EAE499B">
          <v:shape id="_x0000_s2316" style="position:absolute;left:0;text-align:left;margin-left:39.7pt;margin-top:25.15pt;width:504.6pt;height:.1pt;z-index:-251507712;mso-wrap-distance-left:0;mso-wrap-distance-right:0;mso-position-horizontal-relative:page" coordorigin="794,503" coordsize="10092,0" path="m794,503r10091,e" filled="f" strokecolor="#d1d3d4">
            <v:path arrowok="t"/>
            <w10:wrap type="topAndBottom" anchorx="page"/>
          </v:shape>
        </w:pict>
      </w:r>
      <w:r w:rsidR="00216117">
        <w:rPr>
          <w:color w:val="C5271C"/>
          <w:sz w:val="28"/>
        </w:rPr>
        <w:t>Doba platnosti poskytnutých údajů</w:t>
      </w:r>
    </w:p>
    <w:p w14:paraId="688A4CBB" w14:textId="77777777" w:rsidR="00F65BCA" w:rsidRDefault="00216117">
      <w:pPr>
        <w:pStyle w:val="Nadpis9"/>
        <w:spacing w:before="123" w:line="278" w:lineRule="auto"/>
        <w:ind w:left="653" w:right="879"/>
      </w:pPr>
      <w:r>
        <w:rPr>
          <w:color w:val="231F20"/>
        </w:rPr>
        <w:t>Informace</w:t>
      </w:r>
      <w:r>
        <w:rPr>
          <w:color w:val="231F20"/>
          <w:spacing w:val="-18"/>
        </w:rPr>
        <w:t xml:space="preserve"> </w:t>
      </w:r>
      <w:r>
        <w:rPr>
          <w:color w:val="231F20"/>
        </w:rPr>
        <w:t>poskytnuté</w:t>
      </w:r>
      <w:r>
        <w:rPr>
          <w:color w:val="231F20"/>
          <w:spacing w:val="-18"/>
        </w:rPr>
        <w:t xml:space="preserve"> </w:t>
      </w:r>
      <w:r>
        <w:rPr>
          <w:color w:val="231F20"/>
        </w:rPr>
        <w:t>v</w:t>
      </w:r>
      <w:r>
        <w:rPr>
          <w:color w:val="231F20"/>
          <w:spacing w:val="-18"/>
        </w:rPr>
        <w:t xml:space="preserve"> </w:t>
      </w:r>
      <w:r>
        <w:rPr>
          <w:color w:val="231F20"/>
        </w:rPr>
        <w:t>tomto</w:t>
      </w:r>
      <w:r>
        <w:rPr>
          <w:color w:val="231F20"/>
          <w:spacing w:val="-18"/>
        </w:rPr>
        <w:t xml:space="preserve"> </w:t>
      </w:r>
      <w:r>
        <w:rPr>
          <w:color w:val="231F20"/>
        </w:rPr>
        <w:t>dokumentu</w:t>
      </w:r>
      <w:r>
        <w:rPr>
          <w:color w:val="231F20"/>
          <w:spacing w:val="-18"/>
        </w:rPr>
        <w:t xml:space="preserve"> </w:t>
      </w:r>
      <w:r>
        <w:rPr>
          <w:color w:val="231F20"/>
        </w:rPr>
        <w:t>nejsou</w:t>
      </w:r>
      <w:r>
        <w:rPr>
          <w:color w:val="231F20"/>
          <w:spacing w:val="-18"/>
        </w:rPr>
        <w:t xml:space="preserve"> </w:t>
      </w:r>
      <w:r>
        <w:rPr>
          <w:color w:val="231F20"/>
        </w:rPr>
        <w:t>předem</w:t>
      </w:r>
      <w:r>
        <w:rPr>
          <w:color w:val="231F20"/>
          <w:spacing w:val="-17"/>
        </w:rPr>
        <w:t xml:space="preserve"> </w:t>
      </w:r>
      <w:r>
        <w:rPr>
          <w:color w:val="231F20"/>
        </w:rPr>
        <w:t>časově</w:t>
      </w:r>
      <w:r>
        <w:rPr>
          <w:color w:val="231F20"/>
          <w:spacing w:val="-18"/>
        </w:rPr>
        <w:t xml:space="preserve"> </w:t>
      </w:r>
      <w:r>
        <w:rPr>
          <w:color w:val="231F20"/>
        </w:rPr>
        <w:t>nijak</w:t>
      </w:r>
      <w:r>
        <w:rPr>
          <w:color w:val="231F20"/>
          <w:spacing w:val="-18"/>
        </w:rPr>
        <w:t xml:space="preserve"> </w:t>
      </w:r>
      <w:r>
        <w:rPr>
          <w:color w:val="231F20"/>
        </w:rPr>
        <w:t>omezené.</w:t>
      </w:r>
      <w:r>
        <w:rPr>
          <w:color w:val="231F20"/>
          <w:spacing w:val="-18"/>
        </w:rPr>
        <w:t xml:space="preserve"> </w:t>
      </w:r>
      <w:r>
        <w:rPr>
          <w:color w:val="231F20"/>
        </w:rPr>
        <w:t>Může</w:t>
      </w:r>
      <w:r>
        <w:rPr>
          <w:color w:val="231F20"/>
          <w:spacing w:val="-18"/>
        </w:rPr>
        <w:t xml:space="preserve"> </w:t>
      </w:r>
      <w:r>
        <w:rPr>
          <w:color w:val="231F20"/>
        </w:rPr>
        <w:t>ale</w:t>
      </w:r>
      <w:r>
        <w:rPr>
          <w:color w:val="231F20"/>
          <w:spacing w:val="-18"/>
        </w:rPr>
        <w:t xml:space="preserve"> </w:t>
      </w:r>
      <w:r>
        <w:rPr>
          <w:color w:val="231F20"/>
        </w:rPr>
        <w:t>dojít</w:t>
      </w:r>
      <w:r>
        <w:rPr>
          <w:color w:val="231F20"/>
          <w:spacing w:val="-17"/>
        </w:rPr>
        <w:t xml:space="preserve"> </w:t>
      </w:r>
      <w:r>
        <w:rPr>
          <w:color w:val="231F20"/>
        </w:rPr>
        <w:t>ke</w:t>
      </w:r>
      <w:r>
        <w:rPr>
          <w:color w:val="231F20"/>
          <w:spacing w:val="-18"/>
        </w:rPr>
        <w:t xml:space="preserve"> </w:t>
      </w:r>
      <w:r>
        <w:rPr>
          <w:color w:val="231F20"/>
        </w:rPr>
        <w:t>změně</w:t>
      </w:r>
      <w:r>
        <w:rPr>
          <w:color w:val="231F20"/>
          <w:spacing w:val="-18"/>
        </w:rPr>
        <w:t xml:space="preserve"> </w:t>
      </w:r>
      <w:r>
        <w:rPr>
          <w:color w:val="231F20"/>
        </w:rPr>
        <w:t>právních</w:t>
      </w:r>
      <w:r>
        <w:rPr>
          <w:color w:val="231F20"/>
          <w:spacing w:val="-18"/>
        </w:rPr>
        <w:t xml:space="preserve"> </w:t>
      </w:r>
      <w:r>
        <w:rPr>
          <w:color w:val="231F20"/>
        </w:rPr>
        <w:t>předpisů,</w:t>
      </w:r>
      <w:r>
        <w:rPr>
          <w:color w:val="231F20"/>
          <w:spacing w:val="-18"/>
        </w:rPr>
        <w:t xml:space="preserve"> </w:t>
      </w:r>
      <w:r>
        <w:rPr>
          <w:color w:val="231F20"/>
        </w:rPr>
        <w:t>kvůli které některé informace přestanou být</w:t>
      </w:r>
      <w:r>
        <w:rPr>
          <w:color w:val="231F20"/>
          <w:spacing w:val="-22"/>
        </w:rPr>
        <w:t xml:space="preserve"> </w:t>
      </w:r>
      <w:r>
        <w:rPr>
          <w:color w:val="231F20"/>
        </w:rPr>
        <w:t>aktuální.</w:t>
      </w:r>
    </w:p>
    <w:p w14:paraId="1CAE8F42" w14:textId="77777777" w:rsidR="00F65BCA" w:rsidRDefault="00F65BCA">
      <w:pPr>
        <w:pStyle w:val="Zkladntext"/>
        <w:rPr>
          <w:sz w:val="20"/>
        </w:rPr>
      </w:pPr>
    </w:p>
    <w:p w14:paraId="6FBA8AF9" w14:textId="77777777" w:rsidR="00F65BCA" w:rsidRDefault="00F65BCA">
      <w:pPr>
        <w:pStyle w:val="Zkladntext"/>
        <w:rPr>
          <w:sz w:val="20"/>
        </w:rPr>
      </w:pPr>
    </w:p>
    <w:p w14:paraId="627274E8" w14:textId="77777777" w:rsidR="00F65BCA" w:rsidRDefault="00F65BCA">
      <w:pPr>
        <w:pStyle w:val="Zkladntext"/>
        <w:spacing w:before="11"/>
        <w:rPr>
          <w:sz w:val="19"/>
        </w:rPr>
      </w:pPr>
    </w:p>
    <w:p w14:paraId="5BFBCB43" w14:textId="77777777" w:rsidR="00F65BCA" w:rsidRDefault="00000000">
      <w:pPr>
        <w:tabs>
          <w:tab w:val="left" w:pos="9351"/>
        </w:tabs>
        <w:spacing w:before="103"/>
        <w:ind w:left="653"/>
        <w:rPr>
          <w:sz w:val="14"/>
        </w:rPr>
      </w:pPr>
      <w:r>
        <w:pict w14:anchorId="2F4A9FF8">
          <v:line id="_x0000_s2315" style="position:absolute;left:0;text-align:left;z-index:-299420672;mso-position-horizontal-relative:page" from="0,-7.65pt" to="595.3pt,-7.65pt" strokecolor="#c5271c" strokeweight="1pt">
            <w10:wrap anchorx="page"/>
          </v:line>
        </w:pict>
      </w:r>
      <w:r w:rsidR="00216117">
        <w:rPr>
          <w:color w:val="231F20"/>
          <w:sz w:val="16"/>
        </w:rPr>
        <w:t xml:space="preserve">12  </w:t>
      </w:r>
      <w:r w:rsidR="00216117">
        <w:rPr>
          <w:color w:val="C5271C"/>
          <w:sz w:val="20"/>
        </w:rPr>
        <w:t>|</w:t>
      </w:r>
      <w:r w:rsidR="00216117">
        <w:rPr>
          <w:color w:val="C5271C"/>
          <w:spacing w:val="52"/>
          <w:sz w:val="20"/>
        </w:rPr>
        <w:t xml:space="preserve"> </w:t>
      </w:r>
      <w:r w:rsidR="00216117">
        <w:rPr>
          <w:color w:val="231F20"/>
          <w:sz w:val="16"/>
        </w:rPr>
        <w:t>Předsmluvní informace</w:t>
      </w:r>
      <w:r w:rsidR="00216117">
        <w:rPr>
          <w:color w:val="231F20"/>
          <w:sz w:val="16"/>
        </w:rPr>
        <w:tab/>
      </w:r>
      <w:r w:rsidR="00216117">
        <w:rPr>
          <w:color w:val="231F20"/>
          <w:sz w:val="14"/>
        </w:rPr>
        <w:t>6.20.012 05.2025 v04</w:t>
      </w:r>
    </w:p>
    <w:p w14:paraId="65B1A127" w14:textId="77777777" w:rsidR="00F65BCA" w:rsidRDefault="00F65BCA">
      <w:pPr>
        <w:rPr>
          <w:sz w:val="14"/>
        </w:rPr>
        <w:sectPr w:rsidR="00F65BCA">
          <w:pgSz w:w="11910" w:h="16840"/>
          <w:pgMar w:top="660" w:right="140" w:bottom="0" w:left="140" w:header="708" w:footer="708" w:gutter="0"/>
          <w:cols w:space="708"/>
        </w:sectPr>
      </w:pPr>
    </w:p>
    <w:p w14:paraId="6A8050DF" w14:textId="77777777" w:rsidR="00F65BCA" w:rsidRDefault="00000000">
      <w:pPr>
        <w:spacing w:before="79"/>
        <w:ind w:left="880"/>
        <w:rPr>
          <w:sz w:val="28"/>
        </w:rPr>
      </w:pPr>
      <w:r>
        <w:lastRenderedPageBreak/>
        <w:pict w14:anchorId="5CE7ACDB">
          <v:shape id="_x0000_s2314" style="position:absolute;left:0;text-align:left;margin-left:51pt;margin-top:21.7pt;width:504.6pt;height:.1pt;z-index:-251504640;mso-wrap-distance-left:0;mso-wrap-distance-right:0;mso-position-horizontal-relative:page" coordorigin="1020,434" coordsize="10092,0" path="m1020,434r10092,e" filled="f" strokecolor="#d1d3d4">
            <v:path arrowok="t"/>
            <w10:wrap type="topAndBottom" anchorx="page"/>
          </v:shape>
        </w:pict>
      </w:r>
      <w:r w:rsidR="00216117">
        <w:rPr>
          <w:color w:val="C5271C"/>
          <w:sz w:val="28"/>
        </w:rPr>
        <w:t>Užitečné rady klientům</w:t>
      </w:r>
    </w:p>
    <w:p w14:paraId="57AB76F1" w14:textId="77777777" w:rsidR="00F65BCA" w:rsidRDefault="00216117">
      <w:pPr>
        <w:pStyle w:val="Nadpis8"/>
        <w:spacing w:before="123"/>
        <w:ind w:left="880"/>
        <w:jc w:val="left"/>
      </w:pPr>
      <w:r>
        <w:rPr>
          <w:color w:val="231F20"/>
        </w:rPr>
        <w:t>Zelená karta k povinnému ručení</w:t>
      </w:r>
    </w:p>
    <w:p w14:paraId="67FEE606" w14:textId="77777777" w:rsidR="00F65BCA" w:rsidRDefault="00216117">
      <w:pPr>
        <w:pStyle w:val="Nadpis9"/>
        <w:spacing w:before="33" w:line="278" w:lineRule="auto"/>
        <w:ind w:left="1107"/>
        <w:jc w:val="left"/>
      </w:pPr>
      <w:r>
        <w:rPr>
          <w:noProof/>
        </w:rPr>
        <w:drawing>
          <wp:anchor distT="0" distB="0" distL="0" distR="0" simplePos="0" relativeHeight="251816960" behindDoc="0" locked="0" layoutInCell="1" allowOverlap="1" wp14:anchorId="3EDF3D80" wp14:editId="15473F94">
            <wp:simplePos x="0" y="0"/>
            <wp:positionH relativeFrom="page">
              <wp:posOffset>648002</wp:posOffset>
            </wp:positionH>
            <wp:positionV relativeFrom="paragraph">
              <wp:posOffset>62071</wp:posOffset>
            </wp:positionV>
            <wp:extent cx="66090" cy="66090"/>
            <wp:effectExtent l="0" t="0" r="0" b="0"/>
            <wp:wrapNone/>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30" cstate="print"/>
                    <a:stretch>
                      <a:fillRect/>
                    </a:stretch>
                  </pic:blipFill>
                  <pic:spPr>
                    <a:xfrm>
                      <a:off x="0" y="0"/>
                      <a:ext cx="66090" cy="66090"/>
                    </a:xfrm>
                    <a:prstGeom prst="rect">
                      <a:avLst/>
                    </a:prstGeom>
                  </pic:spPr>
                </pic:pic>
              </a:graphicData>
            </a:graphic>
          </wp:anchor>
        </w:drawing>
      </w:r>
      <w:r>
        <w:rPr>
          <w:color w:val="231F20"/>
        </w:rPr>
        <w:t>zelená</w:t>
      </w:r>
      <w:r>
        <w:rPr>
          <w:color w:val="231F20"/>
          <w:spacing w:val="-10"/>
        </w:rPr>
        <w:t xml:space="preserve"> </w:t>
      </w:r>
      <w:r>
        <w:rPr>
          <w:color w:val="231F20"/>
        </w:rPr>
        <w:t>karta</w:t>
      </w:r>
      <w:r>
        <w:rPr>
          <w:color w:val="231F20"/>
          <w:spacing w:val="-9"/>
        </w:rPr>
        <w:t xml:space="preserve"> </w:t>
      </w:r>
      <w:r>
        <w:rPr>
          <w:color w:val="231F20"/>
        </w:rPr>
        <w:t>prokazuje,</w:t>
      </w:r>
      <w:r>
        <w:rPr>
          <w:color w:val="231F20"/>
          <w:spacing w:val="-9"/>
        </w:rPr>
        <w:t xml:space="preserve"> </w:t>
      </w:r>
      <w:r>
        <w:rPr>
          <w:color w:val="231F20"/>
        </w:rPr>
        <w:t>že</w:t>
      </w:r>
      <w:r>
        <w:rPr>
          <w:color w:val="231F20"/>
          <w:spacing w:val="-10"/>
        </w:rPr>
        <w:t xml:space="preserve"> </w:t>
      </w:r>
      <w:r>
        <w:rPr>
          <w:color w:val="231F20"/>
        </w:rPr>
        <w:t>máte</w:t>
      </w:r>
      <w:r>
        <w:rPr>
          <w:color w:val="231F20"/>
          <w:spacing w:val="-9"/>
        </w:rPr>
        <w:t xml:space="preserve"> </w:t>
      </w:r>
      <w:r>
        <w:rPr>
          <w:color w:val="231F20"/>
        </w:rPr>
        <w:t>sjednané</w:t>
      </w:r>
      <w:r>
        <w:rPr>
          <w:color w:val="231F20"/>
          <w:spacing w:val="-9"/>
        </w:rPr>
        <w:t xml:space="preserve"> </w:t>
      </w:r>
      <w:r>
        <w:rPr>
          <w:color w:val="231F20"/>
        </w:rPr>
        <w:t>povinné</w:t>
      </w:r>
      <w:r>
        <w:rPr>
          <w:color w:val="231F20"/>
          <w:spacing w:val="-10"/>
        </w:rPr>
        <w:t xml:space="preserve"> </w:t>
      </w:r>
      <w:r>
        <w:rPr>
          <w:color w:val="231F20"/>
        </w:rPr>
        <w:t>ručení,</w:t>
      </w:r>
      <w:r>
        <w:rPr>
          <w:color w:val="231F20"/>
          <w:spacing w:val="-9"/>
        </w:rPr>
        <w:t xml:space="preserve"> </w:t>
      </w:r>
      <w:r>
        <w:rPr>
          <w:color w:val="231F20"/>
        </w:rPr>
        <w:t>a</w:t>
      </w:r>
      <w:r>
        <w:rPr>
          <w:color w:val="231F20"/>
          <w:spacing w:val="-9"/>
        </w:rPr>
        <w:t xml:space="preserve"> </w:t>
      </w:r>
      <w:r>
        <w:rPr>
          <w:color w:val="231F20"/>
        </w:rPr>
        <w:t>to</w:t>
      </w:r>
      <w:r>
        <w:rPr>
          <w:color w:val="231F20"/>
          <w:spacing w:val="-10"/>
        </w:rPr>
        <w:t xml:space="preserve"> </w:t>
      </w:r>
      <w:r>
        <w:rPr>
          <w:color w:val="231F20"/>
        </w:rPr>
        <w:t>jak</w:t>
      </w:r>
      <w:r>
        <w:rPr>
          <w:color w:val="231F20"/>
          <w:spacing w:val="-9"/>
        </w:rPr>
        <w:t xml:space="preserve"> </w:t>
      </w:r>
      <w:r>
        <w:rPr>
          <w:color w:val="231F20"/>
        </w:rPr>
        <w:t>na</w:t>
      </w:r>
      <w:r>
        <w:rPr>
          <w:color w:val="231F20"/>
          <w:spacing w:val="-9"/>
        </w:rPr>
        <w:t xml:space="preserve"> </w:t>
      </w:r>
      <w:r>
        <w:rPr>
          <w:color w:val="231F20"/>
        </w:rPr>
        <w:t>území</w:t>
      </w:r>
      <w:r>
        <w:rPr>
          <w:color w:val="231F20"/>
          <w:spacing w:val="-10"/>
        </w:rPr>
        <w:t xml:space="preserve"> </w:t>
      </w:r>
      <w:r>
        <w:rPr>
          <w:color w:val="231F20"/>
        </w:rPr>
        <w:t>České</w:t>
      </w:r>
      <w:r>
        <w:rPr>
          <w:color w:val="231F20"/>
          <w:spacing w:val="-9"/>
        </w:rPr>
        <w:t xml:space="preserve"> </w:t>
      </w:r>
      <w:r>
        <w:rPr>
          <w:color w:val="231F20"/>
        </w:rPr>
        <w:t>republiky,</w:t>
      </w:r>
      <w:r>
        <w:rPr>
          <w:color w:val="231F20"/>
          <w:spacing w:val="-9"/>
        </w:rPr>
        <w:t xml:space="preserve"> </w:t>
      </w:r>
      <w:r>
        <w:rPr>
          <w:color w:val="231F20"/>
        </w:rPr>
        <w:t>tak</w:t>
      </w:r>
      <w:r>
        <w:rPr>
          <w:color w:val="231F20"/>
          <w:spacing w:val="-10"/>
        </w:rPr>
        <w:t xml:space="preserve"> </w:t>
      </w:r>
      <w:r>
        <w:rPr>
          <w:color w:val="231F20"/>
        </w:rPr>
        <w:t>na</w:t>
      </w:r>
      <w:r>
        <w:rPr>
          <w:color w:val="231F20"/>
          <w:spacing w:val="-9"/>
        </w:rPr>
        <w:t xml:space="preserve"> </w:t>
      </w:r>
      <w:r>
        <w:rPr>
          <w:color w:val="231F20"/>
        </w:rPr>
        <w:t>území</w:t>
      </w:r>
      <w:r>
        <w:rPr>
          <w:color w:val="231F20"/>
          <w:spacing w:val="-9"/>
        </w:rPr>
        <w:t xml:space="preserve"> </w:t>
      </w:r>
      <w:r>
        <w:rPr>
          <w:color w:val="231F20"/>
        </w:rPr>
        <w:t>států</w:t>
      </w:r>
      <w:r>
        <w:rPr>
          <w:color w:val="231F20"/>
          <w:spacing w:val="-10"/>
        </w:rPr>
        <w:t xml:space="preserve"> </w:t>
      </w:r>
      <w:r>
        <w:rPr>
          <w:color w:val="231F20"/>
        </w:rPr>
        <w:t>vyznačených (nepřeškrtnutých) na zelené</w:t>
      </w:r>
      <w:r>
        <w:rPr>
          <w:color w:val="231F20"/>
          <w:spacing w:val="-1"/>
        </w:rPr>
        <w:t xml:space="preserve"> </w:t>
      </w:r>
      <w:r>
        <w:rPr>
          <w:color w:val="231F20"/>
        </w:rPr>
        <w:t>kartě,</w:t>
      </w:r>
    </w:p>
    <w:p w14:paraId="38CB524A" w14:textId="77777777" w:rsidR="00F65BCA" w:rsidRDefault="00216117">
      <w:pPr>
        <w:pStyle w:val="Nadpis9"/>
        <w:ind w:left="1107"/>
        <w:jc w:val="left"/>
      </w:pPr>
      <w:r>
        <w:rPr>
          <w:noProof/>
        </w:rPr>
        <w:drawing>
          <wp:anchor distT="0" distB="0" distL="0" distR="0" simplePos="0" relativeHeight="251817984" behindDoc="0" locked="0" layoutInCell="1" allowOverlap="1" wp14:anchorId="695ECFB4" wp14:editId="75531C68">
            <wp:simplePos x="0" y="0"/>
            <wp:positionH relativeFrom="page">
              <wp:posOffset>648002</wp:posOffset>
            </wp:positionH>
            <wp:positionV relativeFrom="paragraph">
              <wp:posOffset>41116</wp:posOffset>
            </wp:positionV>
            <wp:extent cx="66090" cy="66090"/>
            <wp:effectExtent l="0" t="0" r="0" b="0"/>
            <wp:wrapNone/>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30" cstate="print"/>
                    <a:stretch>
                      <a:fillRect/>
                    </a:stretch>
                  </pic:blipFill>
                  <pic:spPr>
                    <a:xfrm>
                      <a:off x="0" y="0"/>
                      <a:ext cx="66090" cy="66090"/>
                    </a:xfrm>
                    <a:prstGeom prst="rect">
                      <a:avLst/>
                    </a:prstGeom>
                  </pic:spPr>
                </pic:pic>
              </a:graphicData>
            </a:graphic>
          </wp:anchor>
        </w:drawing>
      </w:r>
      <w:r>
        <w:rPr>
          <w:color w:val="231F20"/>
        </w:rPr>
        <w:t>zelenou kartu obdržíte při uzavření pojištění,</w:t>
      </w:r>
    </w:p>
    <w:p w14:paraId="6B20C01D" w14:textId="77777777" w:rsidR="00F65BCA" w:rsidRDefault="00216117">
      <w:pPr>
        <w:pStyle w:val="Nadpis9"/>
        <w:spacing w:before="33" w:line="278" w:lineRule="auto"/>
        <w:ind w:left="1107"/>
        <w:jc w:val="left"/>
      </w:pPr>
      <w:r>
        <w:rPr>
          <w:noProof/>
        </w:rPr>
        <w:drawing>
          <wp:anchor distT="0" distB="0" distL="0" distR="0" simplePos="0" relativeHeight="251819008" behindDoc="0" locked="0" layoutInCell="1" allowOverlap="1" wp14:anchorId="1075B0D4" wp14:editId="0E0D6FFD">
            <wp:simplePos x="0" y="0"/>
            <wp:positionH relativeFrom="page">
              <wp:posOffset>648002</wp:posOffset>
            </wp:positionH>
            <wp:positionV relativeFrom="paragraph">
              <wp:posOffset>62071</wp:posOffset>
            </wp:positionV>
            <wp:extent cx="66090" cy="66090"/>
            <wp:effectExtent l="0" t="0" r="0" b="0"/>
            <wp:wrapNone/>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30" cstate="print"/>
                    <a:stretch>
                      <a:fillRect/>
                    </a:stretch>
                  </pic:blipFill>
                  <pic:spPr>
                    <a:xfrm>
                      <a:off x="0" y="0"/>
                      <a:ext cx="66090" cy="66090"/>
                    </a:xfrm>
                    <a:prstGeom prst="rect">
                      <a:avLst/>
                    </a:prstGeom>
                  </pic:spPr>
                </pic:pic>
              </a:graphicData>
            </a:graphic>
          </wp:anchor>
        </w:drawing>
      </w:r>
      <w:r>
        <w:rPr>
          <w:color w:val="231F20"/>
        </w:rPr>
        <w:t>na zelené kartě je uvedena doba její platnosti, vždy před jejím koncem Vám bude odeslána nová zelená karta, a to ve 2 vy- hotoveních (originál a duplikát),</w:t>
      </w:r>
    </w:p>
    <w:p w14:paraId="62771391" w14:textId="77777777" w:rsidR="00F65BCA" w:rsidRDefault="00216117">
      <w:pPr>
        <w:pStyle w:val="Nadpis9"/>
        <w:ind w:left="1107"/>
        <w:jc w:val="left"/>
      </w:pPr>
      <w:r>
        <w:rPr>
          <w:noProof/>
        </w:rPr>
        <w:drawing>
          <wp:anchor distT="0" distB="0" distL="0" distR="0" simplePos="0" relativeHeight="251820032" behindDoc="0" locked="0" layoutInCell="1" allowOverlap="1" wp14:anchorId="348DEE84" wp14:editId="4403FADF">
            <wp:simplePos x="0" y="0"/>
            <wp:positionH relativeFrom="page">
              <wp:posOffset>648002</wp:posOffset>
            </wp:positionH>
            <wp:positionV relativeFrom="paragraph">
              <wp:posOffset>41116</wp:posOffset>
            </wp:positionV>
            <wp:extent cx="66090" cy="66090"/>
            <wp:effectExtent l="0" t="0" r="0" b="0"/>
            <wp:wrapNone/>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30" cstate="print"/>
                    <a:stretch>
                      <a:fillRect/>
                    </a:stretch>
                  </pic:blipFill>
                  <pic:spPr>
                    <a:xfrm>
                      <a:off x="0" y="0"/>
                      <a:ext cx="66090" cy="66090"/>
                    </a:xfrm>
                    <a:prstGeom prst="rect">
                      <a:avLst/>
                    </a:prstGeom>
                  </pic:spPr>
                </pic:pic>
              </a:graphicData>
            </a:graphic>
          </wp:anchor>
        </w:drawing>
      </w:r>
      <w:r>
        <w:rPr>
          <w:color w:val="231F20"/>
        </w:rPr>
        <w:t>pokud jedete do ciziny, mějte u sebe vždy jak originál, tak duplikát zelené karty.</w:t>
      </w:r>
    </w:p>
    <w:p w14:paraId="0D368569" w14:textId="77777777" w:rsidR="00F65BCA" w:rsidRDefault="00F65BCA">
      <w:pPr>
        <w:pStyle w:val="Zkladntext"/>
        <w:rPr>
          <w:sz w:val="20"/>
        </w:rPr>
      </w:pPr>
    </w:p>
    <w:p w14:paraId="7FA8B78D" w14:textId="77777777" w:rsidR="00F65BCA" w:rsidRDefault="00F65BCA">
      <w:pPr>
        <w:pStyle w:val="Zkladntext"/>
        <w:rPr>
          <w:sz w:val="16"/>
        </w:rPr>
      </w:pPr>
    </w:p>
    <w:p w14:paraId="06969516" w14:textId="77777777" w:rsidR="00F65BCA" w:rsidRDefault="00000000">
      <w:pPr>
        <w:spacing w:before="1"/>
        <w:ind w:left="880"/>
        <w:rPr>
          <w:sz w:val="28"/>
        </w:rPr>
      </w:pPr>
      <w:r>
        <w:pict w14:anchorId="67BC0A56">
          <v:shape id="_x0000_s2313" style="position:absolute;left:0;text-align:left;margin-left:51pt;margin-top:17.8pt;width:504.6pt;height:.1pt;z-index:-251503616;mso-wrap-distance-left:0;mso-wrap-distance-right:0;mso-position-horizontal-relative:page" coordorigin="1020,356" coordsize="10092,0" path="m1020,356r10092,e" filled="f" strokecolor="#d1d3d4">
            <v:path arrowok="t"/>
            <w10:wrap type="topAndBottom" anchorx="page"/>
          </v:shape>
        </w:pict>
      </w:r>
      <w:r w:rsidR="00216117">
        <w:rPr>
          <w:color w:val="C5271C"/>
          <w:sz w:val="28"/>
        </w:rPr>
        <w:t>Jak postupovat při dopravní nehodě</w:t>
      </w:r>
    </w:p>
    <w:p w14:paraId="59E22004" w14:textId="77777777" w:rsidR="00F65BCA" w:rsidRDefault="00216117">
      <w:pPr>
        <w:spacing w:before="83"/>
        <w:ind w:left="1107"/>
        <w:jc w:val="both"/>
        <w:rPr>
          <w:sz w:val="18"/>
        </w:rPr>
      </w:pPr>
      <w:r>
        <w:rPr>
          <w:b/>
          <w:color w:val="231F20"/>
          <w:sz w:val="18"/>
        </w:rPr>
        <w:t xml:space="preserve">zabezpečte místo nehody </w:t>
      </w:r>
      <w:r>
        <w:rPr>
          <w:color w:val="231F20"/>
          <w:sz w:val="18"/>
        </w:rPr>
        <w:t>(zapněte varovná světla, oblékněte si výstražnou vestu a umístěte výstražný trojúhelník);</w:t>
      </w:r>
    </w:p>
    <w:p w14:paraId="52F32E0A" w14:textId="77777777" w:rsidR="00F65BCA" w:rsidRDefault="00216117">
      <w:pPr>
        <w:pStyle w:val="Nadpis9"/>
        <w:spacing w:before="33" w:line="278" w:lineRule="auto"/>
        <w:ind w:left="1107" w:right="651"/>
      </w:pPr>
      <w:r>
        <w:rPr>
          <w:noProof/>
        </w:rPr>
        <w:drawing>
          <wp:anchor distT="0" distB="0" distL="0" distR="0" simplePos="0" relativeHeight="251821056" behindDoc="0" locked="0" layoutInCell="1" allowOverlap="1" wp14:anchorId="33E57077" wp14:editId="04185C4D">
            <wp:simplePos x="0" y="0"/>
            <wp:positionH relativeFrom="page">
              <wp:posOffset>648002</wp:posOffset>
            </wp:positionH>
            <wp:positionV relativeFrom="paragraph">
              <wp:posOffset>-90328</wp:posOffset>
            </wp:positionV>
            <wp:extent cx="66090" cy="66090"/>
            <wp:effectExtent l="0" t="0" r="0" b="0"/>
            <wp:wrapNone/>
            <wp:docPr id="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30" cstate="print"/>
                    <a:stretch>
                      <a:fillRect/>
                    </a:stretch>
                  </pic:blipFill>
                  <pic:spPr>
                    <a:xfrm>
                      <a:off x="0" y="0"/>
                      <a:ext cx="66090" cy="66090"/>
                    </a:xfrm>
                    <a:prstGeom prst="rect">
                      <a:avLst/>
                    </a:prstGeom>
                  </pic:spPr>
                </pic:pic>
              </a:graphicData>
            </a:graphic>
          </wp:anchor>
        </w:drawing>
      </w:r>
      <w:r>
        <w:rPr>
          <w:noProof/>
        </w:rPr>
        <w:drawing>
          <wp:anchor distT="0" distB="0" distL="0" distR="0" simplePos="0" relativeHeight="251822080" behindDoc="0" locked="0" layoutInCell="1" allowOverlap="1" wp14:anchorId="3599ABFF" wp14:editId="63682E0D">
            <wp:simplePos x="0" y="0"/>
            <wp:positionH relativeFrom="page">
              <wp:posOffset>648002</wp:posOffset>
            </wp:positionH>
            <wp:positionV relativeFrom="paragraph">
              <wp:posOffset>62071</wp:posOffset>
            </wp:positionV>
            <wp:extent cx="66090" cy="66090"/>
            <wp:effectExtent l="0" t="0" r="0" b="0"/>
            <wp:wrapNone/>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0" cstate="print"/>
                    <a:stretch>
                      <a:fillRect/>
                    </a:stretch>
                  </pic:blipFill>
                  <pic:spPr>
                    <a:xfrm>
                      <a:off x="0" y="0"/>
                      <a:ext cx="66090" cy="66090"/>
                    </a:xfrm>
                    <a:prstGeom prst="rect">
                      <a:avLst/>
                    </a:prstGeom>
                  </pic:spPr>
                </pic:pic>
              </a:graphicData>
            </a:graphic>
          </wp:anchor>
        </w:drawing>
      </w:r>
      <w:r>
        <w:rPr>
          <w:b/>
          <w:color w:val="231F20"/>
        </w:rPr>
        <w:t>došlo-li ke zranění</w:t>
      </w:r>
      <w:r>
        <w:rPr>
          <w:color w:val="231F20"/>
        </w:rPr>
        <w:t>, kontaktujte zdravotnickou záchrannou službu (v České republice na tel. čísle 155), Policie (v České republice na tel. čísle 158), případně hasičský záchranný sbor (v České republice na tel. čísle 150) nebo volejte integrovaný záchranný systém (v České republice i zahraničí na tel. čísle 112);</w:t>
      </w:r>
    </w:p>
    <w:p w14:paraId="563A27BF" w14:textId="77777777" w:rsidR="00F65BCA" w:rsidRDefault="00216117">
      <w:pPr>
        <w:spacing w:line="207" w:lineRule="exact"/>
        <w:ind w:left="1107"/>
        <w:jc w:val="both"/>
        <w:rPr>
          <w:sz w:val="18"/>
        </w:rPr>
      </w:pPr>
      <w:r>
        <w:rPr>
          <w:noProof/>
        </w:rPr>
        <w:drawing>
          <wp:anchor distT="0" distB="0" distL="0" distR="0" simplePos="0" relativeHeight="251823104" behindDoc="0" locked="0" layoutInCell="1" allowOverlap="1" wp14:anchorId="2EBB8F73" wp14:editId="6C7B09BD">
            <wp:simplePos x="0" y="0"/>
            <wp:positionH relativeFrom="page">
              <wp:posOffset>648002</wp:posOffset>
            </wp:positionH>
            <wp:positionV relativeFrom="paragraph">
              <wp:posOffset>40926</wp:posOffset>
            </wp:positionV>
            <wp:extent cx="66090" cy="66090"/>
            <wp:effectExtent l="0" t="0" r="0" b="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30" cstate="print"/>
                    <a:stretch>
                      <a:fillRect/>
                    </a:stretch>
                  </pic:blipFill>
                  <pic:spPr>
                    <a:xfrm>
                      <a:off x="0" y="0"/>
                      <a:ext cx="66090" cy="66090"/>
                    </a:xfrm>
                    <a:prstGeom prst="rect">
                      <a:avLst/>
                    </a:prstGeom>
                  </pic:spPr>
                </pic:pic>
              </a:graphicData>
            </a:graphic>
          </wp:anchor>
        </w:drawing>
      </w:r>
      <w:r>
        <w:rPr>
          <w:b/>
          <w:color w:val="231F20"/>
          <w:sz w:val="18"/>
        </w:rPr>
        <w:t xml:space="preserve">zdržte se užití </w:t>
      </w:r>
      <w:r>
        <w:rPr>
          <w:color w:val="231F20"/>
          <w:sz w:val="18"/>
        </w:rPr>
        <w:t>alkoholických nápojů a jiných návykových látek;</w:t>
      </w:r>
    </w:p>
    <w:p w14:paraId="1013BCBB" w14:textId="77777777" w:rsidR="00F65BCA" w:rsidRDefault="00216117">
      <w:pPr>
        <w:pStyle w:val="Nadpis8"/>
        <w:spacing w:before="33"/>
        <w:ind w:left="1107"/>
        <w:rPr>
          <w:b w:val="0"/>
        </w:rPr>
      </w:pPr>
      <w:r>
        <w:rPr>
          <w:noProof/>
        </w:rPr>
        <w:drawing>
          <wp:anchor distT="0" distB="0" distL="0" distR="0" simplePos="0" relativeHeight="251824128" behindDoc="0" locked="0" layoutInCell="1" allowOverlap="1" wp14:anchorId="47318521" wp14:editId="51CD2B5D">
            <wp:simplePos x="0" y="0"/>
            <wp:positionH relativeFrom="page">
              <wp:posOffset>648002</wp:posOffset>
            </wp:positionH>
            <wp:positionV relativeFrom="paragraph">
              <wp:posOffset>62071</wp:posOffset>
            </wp:positionV>
            <wp:extent cx="66090" cy="66090"/>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0" cstate="print"/>
                    <a:stretch>
                      <a:fillRect/>
                    </a:stretch>
                  </pic:blipFill>
                  <pic:spPr>
                    <a:xfrm>
                      <a:off x="0" y="0"/>
                      <a:ext cx="66090" cy="66090"/>
                    </a:xfrm>
                    <a:prstGeom prst="rect">
                      <a:avLst/>
                    </a:prstGeom>
                  </pic:spPr>
                </pic:pic>
              </a:graphicData>
            </a:graphic>
          </wp:anchor>
        </w:drawing>
      </w:r>
      <w:r>
        <w:rPr>
          <w:color w:val="231F20"/>
        </w:rPr>
        <w:t>v zákonem stanovených případech nehodu neprodleně ohlaste a nechte vyšetřit příslušnými policejními orgány</w:t>
      </w:r>
      <w:r>
        <w:rPr>
          <w:b w:val="0"/>
          <w:color w:val="231F20"/>
        </w:rPr>
        <w:t>;</w:t>
      </w:r>
    </w:p>
    <w:p w14:paraId="603C0C73" w14:textId="77777777" w:rsidR="00F65BCA" w:rsidRDefault="00216117">
      <w:pPr>
        <w:pStyle w:val="Nadpis8"/>
        <w:spacing w:before="33" w:line="278" w:lineRule="auto"/>
        <w:ind w:left="1107" w:right="651"/>
      </w:pPr>
      <w:r>
        <w:rPr>
          <w:noProof/>
        </w:rPr>
        <w:drawing>
          <wp:anchor distT="0" distB="0" distL="0" distR="0" simplePos="0" relativeHeight="251825152" behindDoc="0" locked="0" layoutInCell="1" allowOverlap="1" wp14:anchorId="47056999" wp14:editId="35B0F21E">
            <wp:simplePos x="0" y="0"/>
            <wp:positionH relativeFrom="page">
              <wp:posOffset>648002</wp:posOffset>
            </wp:positionH>
            <wp:positionV relativeFrom="paragraph">
              <wp:posOffset>62071</wp:posOffset>
            </wp:positionV>
            <wp:extent cx="66090" cy="66090"/>
            <wp:effectExtent l="0" t="0" r="0" b="0"/>
            <wp:wrapNone/>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0" cstate="print"/>
                    <a:stretch>
                      <a:fillRect/>
                    </a:stretch>
                  </pic:blipFill>
                  <pic:spPr>
                    <a:xfrm>
                      <a:off x="0" y="0"/>
                      <a:ext cx="66090" cy="66090"/>
                    </a:xfrm>
                    <a:prstGeom prst="rect">
                      <a:avLst/>
                    </a:prstGeom>
                  </pic:spPr>
                </pic:pic>
              </a:graphicData>
            </a:graphic>
          </wp:anchor>
        </w:drawing>
      </w:r>
      <w:r>
        <w:rPr>
          <w:color w:val="231F20"/>
        </w:rPr>
        <w:t>v případech, kdy nevzniká povinnost oznámit nehodu Policii České republiky nebo policejnímu orgánu jiného</w:t>
      </w:r>
      <w:r>
        <w:rPr>
          <w:color w:val="231F20"/>
          <w:spacing w:val="-24"/>
        </w:rPr>
        <w:t xml:space="preserve"> </w:t>
      </w:r>
      <w:r>
        <w:rPr>
          <w:color w:val="231F20"/>
        </w:rPr>
        <w:t>státu, proveďte:</w:t>
      </w:r>
    </w:p>
    <w:p w14:paraId="7AB692A8" w14:textId="77777777" w:rsidR="00F65BCA" w:rsidRDefault="00216117">
      <w:pPr>
        <w:pStyle w:val="Nadpis8"/>
        <w:ind w:left="1107"/>
      </w:pPr>
      <w:r>
        <w:rPr>
          <w:color w:val="231F20"/>
        </w:rPr>
        <w:t>a zdokumentování místa dopravní nehody a rozsahu škody:</w:t>
      </w:r>
    </w:p>
    <w:p w14:paraId="4925330A" w14:textId="77777777" w:rsidR="00F65BCA" w:rsidRDefault="00216117">
      <w:pPr>
        <w:pStyle w:val="Nadpis9"/>
        <w:numPr>
          <w:ilvl w:val="0"/>
          <w:numId w:val="5"/>
        </w:numPr>
        <w:tabs>
          <w:tab w:val="left" w:pos="1448"/>
        </w:tabs>
        <w:spacing w:before="33" w:line="278" w:lineRule="auto"/>
        <w:ind w:right="650"/>
      </w:pPr>
      <w:r>
        <w:rPr>
          <w:color w:val="231F20"/>
        </w:rPr>
        <w:t>vyznačte postavení vozidel na komunikaci (křídou, barevným sprejem, pískem apod.) a pořízením fotodokumentace místa nehody, poškozených vozidel a věcí;</w:t>
      </w:r>
    </w:p>
    <w:p w14:paraId="3323D1C9" w14:textId="77777777" w:rsidR="00F65BCA" w:rsidRDefault="00216117">
      <w:pPr>
        <w:pStyle w:val="Nadpis9"/>
        <w:numPr>
          <w:ilvl w:val="0"/>
          <w:numId w:val="5"/>
        </w:numPr>
        <w:tabs>
          <w:tab w:val="left" w:pos="1448"/>
        </w:tabs>
      </w:pPr>
      <w:r>
        <w:rPr>
          <w:color w:val="231F20"/>
        </w:rPr>
        <w:t>zjistěte případné svědky nehody (jméno, kontakt);</w:t>
      </w:r>
    </w:p>
    <w:p w14:paraId="0033ECFB" w14:textId="77777777" w:rsidR="00F65BCA" w:rsidRDefault="00216117">
      <w:pPr>
        <w:pStyle w:val="Nadpis9"/>
        <w:numPr>
          <w:ilvl w:val="0"/>
          <w:numId w:val="5"/>
        </w:numPr>
        <w:tabs>
          <w:tab w:val="left" w:pos="1448"/>
        </w:tabs>
        <w:spacing w:before="33" w:line="278" w:lineRule="auto"/>
        <w:ind w:right="651"/>
      </w:pPr>
      <w:r>
        <w:rPr>
          <w:color w:val="231F20"/>
        </w:rPr>
        <w:t xml:space="preserve">sepište společný záznam o dopravní nehodě (místo a datum nehody, identifikace účastníků a vozidel, popis příčin, </w:t>
      </w:r>
      <w:r>
        <w:rPr>
          <w:color w:val="231F20"/>
          <w:spacing w:val="-4"/>
        </w:rPr>
        <w:t xml:space="preserve">prů- </w:t>
      </w:r>
      <w:r>
        <w:rPr>
          <w:color w:val="231F20"/>
        </w:rPr>
        <w:t>běhu, následků nehody, situační plánek);</w:t>
      </w:r>
    </w:p>
    <w:p w14:paraId="63170E4E" w14:textId="77777777" w:rsidR="00F65BCA" w:rsidRDefault="00216117">
      <w:pPr>
        <w:pStyle w:val="Nadpis9"/>
        <w:numPr>
          <w:ilvl w:val="0"/>
          <w:numId w:val="5"/>
        </w:numPr>
        <w:tabs>
          <w:tab w:val="left" w:pos="1448"/>
        </w:tabs>
        <w:spacing w:line="278" w:lineRule="auto"/>
        <w:ind w:right="651"/>
      </w:pPr>
      <w:r>
        <w:rPr>
          <w:color w:val="231F20"/>
        </w:rPr>
        <w:t>nezapomeňte, že záznam by měl obsahovat také stanovisko účastníků k odpovědnosti za způsobenou škodu (tj. k míře účasti a případnému zavinění) a podepsaný by jej měl bez zbytečného odkladu předložit</w:t>
      </w:r>
      <w:r>
        <w:rPr>
          <w:color w:val="231F20"/>
          <w:spacing w:val="10"/>
        </w:rPr>
        <w:t xml:space="preserve"> </w:t>
      </w:r>
      <w:r>
        <w:rPr>
          <w:color w:val="231F20"/>
        </w:rPr>
        <w:t>Pojišťovně;</w:t>
      </w:r>
    </w:p>
    <w:p w14:paraId="068CBE3A" w14:textId="77777777" w:rsidR="00F65BCA" w:rsidRDefault="00216117">
      <w:pPr>
        <w:pStyle w:val="Nadpis8"/>
        <w:spacing w:line="278" w:lineRule="auto"/>
        <w:ind w:left="1277" w:right="651" w:hanging="171"/>
      </w:pPr>
      <w:r>
        <w:rPr>
          <w:color w:val="231F20"/>
        </w:rPr>
        <w:t>b</w:t>
      </w:r>
      <w:r>
        <w:rPr>
          <w:color w:val="231F20"/>
          <w:spacing w:val="8"/>
        </w:rPr>
        <w:t xml:space="preserve"> </w:t>
      </w:r>
      <w:r>
        <w:rPr>
          <w:color w:val="231F20"/>
        </w:rPr>
        <w:t>pokud</w:t>
      </w:r>
      <w:r>
        <w:rPr>
          <w:color w:val="231F20"/>
          <w:spacing w:val="-3"/>
        </w:rPr>
        <w:t xml:space="preserve"> </w:t>
      </w:r>
      <w:r>
        <w:rPr>
          <w:color w:val="231F20"/>
        </w:rPr>
        <w:t>nedojde</w:t>
      </w:r>
      <w:r>
        <w:rPr>
          <w:color w:val="231F20"/>
          <w:spacing w:val="-3"/>
        </w:rPr>
        <w:t xml:space="preserve"> </w:t>
      </w:r>
      <w:r>
        <w:rPr>
          <w:color w:val="231F20"/>
        </w:rPr>
        <w:t>k</w:t>
      </w:r>
      <w:r>
        <w:rPr>
          <w:color w:val="231F20"/>
          <w:spacing w:val="-4"/>
        </w:rPr>
        <w:t xml:space="preserve"> </w:t>
      </w:r>
      <w:r>
        <w:rPr>
          <w:color w:val="231F20"/>
        </w:rPr>
        <w:t>dohodě</w:t>
      </w:r>
      <w:r>
        <w:rPr>
          <w:color w:val="231F20"/>
          <w:spacing w:val="-3"/>
        </w:rPr>
        <w:t xml:space="preserve"> </w:t>
      </w:r>
      <w:r>
        <w:rPr>
          <w:color w:val="231F20"/>
        </w:rPr>
        <w:t>účastníků</w:t>
      </w:r>
      <w:r>
        <w:rPr>
          <w:color w:val="231F20"/>
          <w:spacing w:val="-3"/>
        </w:rPr>
        <w:t xml:space="preserve"> </w:t>
      </w:r>
      <w:r>
        <w:rPr>
          <w:color w:val="231F20"/>
        </w:rPr>
        <w:t>o</w:t>
      </w:r>
      <w:r>
        <w:rPr>
          <w:color w:val="231F20"/>
          <w:spacing w:val="-3"/>
        </w:rPr>
        <w:t xml:space="preserve"> </w:t>
      </w:r>
      <w:r>
        <w:rPr>
          <w:color w:val="231F20"/>
        </w:rPr>
        <w:t>okolnostech</w:t>
      </w:r>
      <w:r>
        <w:rPr>
          <w:color w:val="231F20"/>
          <w:spacing w:val="-3"/>
        </w:rPr>
        <w:t xml:space="preserve"> </w:t>
      </w:r>
      <w:r>
        <w:rPr>
          <w:color w:val="231F20"/>
        </w:rPr>
        <w:t>dopravní</w:t>
      </w:r>
      <w:r>
        <w:rPr>
          <w:color w:val="231F20"/>
          <w:spacing w:val="-3"/>
        </w:rPr>
        <w:t xml:space="preserve"> </w:t>
      </w:r>
      <w:r>
        <w:rPr>
          <w:color w:val="231F20"/>
        </w:rPr>
        <w:t>nehody,</w:t>
      </w:r>
      <w:r>
        <w:rPr>
          <w:color w:val="231F20"/>
          <w:spacing w:val="-4"/>
        </w:rPr>
        <w:t xml:space="preserve"> </w:t>
      </w:r>
      <w:r>
        <w:rPr>
          <w:color w:val="231F20"/>
        </w:rPr>
        <w:t>je</w:t>
      </w:r>
      <w:r>
        <w:rPr>
          <w:color w:val="231F20"/>
          <w:spacing w:val="-3"/>
        </w:rPr>
        <w:t xml:space="preserve"> </w:t>
      </w:r>
      <w:r>
        <w:rPr>
          <w:color w:val="231F20"/>
        </w:rPr>
        <w:t>v</w:t>
      </w:r>
      <w:r>
        <w:rPr>
          <w:color w:val="231F20"/>
          <w:spacing w:val="-3"/>
        </w:rPr>
        <w:t xml:space="preserve"> </w:t>
      </w:r>
      <w:r>
        <w:rPr>
          <w:color w:val="231F20"/>
        </w:rPr>
        <w:t>jejich</w:t>
      </w:r>
      <w:r>
        <w:rPr>
          <w:color w:val="231F20"/>
          <w:spacing w:val="-3"/>
        </w:rPr>
        <w:t xml:space="preserve"> </w:t>
      </w:r>
      <w:r>
        <w:rPr>
          <w:color w:val="231F20"/>
        </w:rPr>
        <w:t>zájmu</w:t>
      </w:r>
      <w:r>
        <w:rPr>
          <w:color w:val="231F20"/>
          <w:spacing w:val="-3"/>
        </w:rPr>
        <w:t xml:space="preserve"> </w:t>
      </w:r>
      <w:r>
        <w:rPr>
          <w:color w:val="231F20"/>
        </w:rPr>
        <w:t>přivolat</w:t>
      </w:r>
      <w:r>
        <w:rPr>
          <w:color w:val="231F20"/>
          <w:spacing w:val="-4"/>
        </w:rPr>
        <w:t xml:space="preserve"> </w:t>
      </w:r>
      <w:r>
        <w:rPr>
          <w:color w:val="231F20"/>
        </w:rPr>
        <w:t>Policii</w:t>
      </w:r>
      <w:r>
        <w:rPr>
          <w:color w:val="231F20"/>
          <w:spacing w:val="-3"/>
        </w:rPr>
        <w:t xml:space="preserve"> </w:t>
      </w:r>
      <w:r>
        <w:rPr>
          <w:color w:val="231F20"/>
        </w:rPr>
        <w:t>České</w:t>
      </w:r>
      <w:r>
        <w:rPr>
          <w:color w:val="231F20"/>
          <w:spacing w:val="-3"/>
        </w:rPr>
        <w:t xml:space="preserve"> </w:t>
      </w:r>
      <w:r>
        <w:rPr>
          <w:color w:val="231F20"/>
        </w:rPr>
        <w:t>repub- liky nebo policejnímu orgánu jiného</w:t>
      </w:r>
      <w:r>
        <w:rPr>
          <w:color w:val="231F20"/>
          <w:spacing w:val="-1"/>
        </w:rPr>
        <w:t xml:space="preserve"> </w:t>
      </w:r>
      <w:r>
        <w:rPr>
          <w:color w:val="231F20"/>
        </w:rPr>
        <w:t>státu.</w:t>
      </w:r>
    </w:p>
    <w:p w14:paraId="606A6A8B" w14:textId="77777777" w:rsidR="00F65BCA" w:rsidRDefault="00216117">
      <w:pPr>
        <w:pStyle w:val="Odstavecseseznamem"/>
        <w:numPr>
          <w:ilvl w:val="0"/>
          <w:numId w:val="5"/>
        </w:numPr>
        <w:tabs>
          <w:tab w:val="left" w:pos="1448"/>
        </w:tabs>
        <w:jc w:val="both"/>
        <w:rPr>
          <w:sz w:val="18"/>
        </w:rPr>
      </w:pPr>
      <w:r>
        <w:rPr>
          <w:b/>
          <w:color w:val="231F20"/>
          <w:sz w:val="18"/>
        </w:rPr>
        <w:t>jste-li viníkem dopravní nehody</w:t>
      </w:r>
      <w:r>
        <w:rPr>
          <w:color w:val="231F20"/>
          <w:sz w:val="18"/>
        </w:rPr>
        <w:t>, neprodleně informujte Pojišťovnu;</w:t>
      </w:r>
    </w:p>
    <w:p w14:paraId="6D864E87" w14:textId="77777777" w:rsidR="00F65BCA" w:rsidRDefault="00216117">
      <w:pPr>
        <w:pStyle w:val="Odstavecseseznamem"/>
        <w:numPr>
          <w:ilvl w:val="0"/>
          <w:numId w:val="5"/>
        </w:numPr>
        <w:tabs>
          <w:tab w:val="left" w:pos="1448"/>
        </w:tabs>
        <w:spacing w:before="32"/>
        <w:jc w:val="both"/>
        <w:rPr>
          <w:sz w:val="18"/>
        </w:rPr>
      </w:pPr>
      <w:r>
        <w:rPr>
          <w:b/>
          <w:color w:val="231F20"/>
          <w:sz w:val="18"/>
        </w:rPr>
        <w:t>jste-li poškozený</w:t>
      </w:r>
      <w:r>
        <w:rPr>
          <w:color w:val="231F20"/>
          <w:sz w:val="18"/>
        </w:rPr>
        <w:t>, obraťte se přímo na pojistitele viníka;</w:t>
      </w:r>
    </w:p>
    <w:p w14:paraId="547F90CB" w14:textId="77777777" w:rsidR="00F65BCA" w:rsidRDefault="00216117">
      <w:pPr>
        <w:pStyle w:val="Odstavecseseznamem"/>
        <w:numPr>
          <w:ilvl w:val="0"/>
          <w:numId w:val="5"/>
        </w:numPr>
        <w:tabs>
          <w:tab w:val="left" w:pos="1448"/>
        </w:tabs>
        <w:spacing w:before="33" w:line="278" w:lineRule="auto"/>
        <w:ind w:right="650"/>
        <w:jc w:val="both"/>
        <w:rPr>
          <w:sz w:val="18"/>
        </w:rPr>
      </w:pPr>
      <w:r>
        <w:rPr>
          <w:b/>
          <w:color w:val="231F20"/>
          <w:spacing w:val="2"/>
          <w:sz w:val="18"/>
        </w:rPr>
        <w:t xml:space="preserve">potřebujete-li </w:t>
      </w:r>
      <w:r>
        <w:rPr>
          <w:b/>
          <w:color w:val="231F20"/>
          <w:sz w:val="18"/>
        </w:rPr>
        <w:t xml:space="preserve">pomoc </w:t>
      </w:r>
      <w:r>
        <w:rPr>
          <w:color w:val="231F20"/>
          <w:sz w:val="18"/>
        </w:rPr>
        <w:t xml:space="preserve">při dopravní nehodě nebo poruše vozidla, můžete využít asistenční službu, a to </w:t>
      </w:r>
      <w:r>
        <w:rPr>
          <w:color w:val="231F20"/>
          <w:spacing w:val="-3"/>
          <w:sz w:val="18"/>
        </w:rPr>
        <w:t xml:space="preserve">24 </w:t>
      </w:r>
      <w:r>
        <w:rPr>
          <w:color w:val="231F20"/>
          <w:sz w:val="18"/>
        </w:rPr>
        <w:t xml:space="preserve">hodin den- ně, 7 dní v týdnu. Z </w:t>
      </w:r>
      <w:r>
        <w:rPr>
          <w:b/>
          <w:color w:val="231F20"/>
          <w:sz w:val="18"/>
        </w:rPr>
        <w:t xml:space="preserve">České </w:t>
      </w:r>
      <w:r>
        <w:rPr>
          <w:b/>
          <w:color w:val="231F20"/>
          <w:spacing w:val="3"/>
          <w:sz w:val="18"/>
        </w:rPr>
        <w:t xml:space="preserve">republiky </w:t>
      </w:r>
      <w:r>
        <w:rPr>
          <w:color w:val="231F20"/>
          <w:sz w:val="18"/>
        </w:rPr>
        <w:t xml:space="preserve">můžete volat na číslo </w:t>
      </w:r>
      <w:r>
        <w:rPr>
          <w:b/>
          <w:color w:val="231F20"/>
          <w:sz w:val="18"/>
        </w:rPr>
        <w:t xml:space="preserve">1224 </w:t>
      </w:r>
      <w:r>
        <w:rPr>
          <w:color w:val="231F20"/>
          <w:sz w:val="18"/>
        </w:rPr>
        <w:t xml:space="preserve">(Linka pomoci řidičům) nebo </w:t>
      </w:r>
      <w:r>
        <w:rPr>
          <w:b/>
          <w:color w:val="231F20"/>
          <w:sz w:val="18"/>
        </w:rPr>
        <w:t xml:space="preserve">z České </w:t>
      </w:r>
      <w:r>
        <w:rPr>
          <w:b/>
          <w:color w:val="231F20"/>
          <w:spacing w:val="3"/>
          <w:sz w:val="18"/>
        </w:rPr>
        <w:t xml:space="preserve">republiky        </w:t>
      </w:r>
      <w:r>
        <w:rPr>
          <w:b/>
          <w:color w:val="231F20"/>
          <w:sz w:val="18"/>
        </w:rPr>
        <w:t xml:space="preserve">i ze </w:t>
      </w:r>
      <w:r>
        <w:rPr>
          <w:b/>
          <w:color w:val="231F20"/>
          <w:spacing w:val="2"/>
          <w:sz w:val="18"/>
        </w:rPr>
        <w:t xml:space="preserve">zahraničí </w:t>
      </w:r>
      <w:r>
        <w:rPr>
          <w:b/>
          <w:color w:val="231F20"/>
          <w:sz w:val="18"/>
        </w:rPr>
        <w:t xml:space="preserve">na číslo </w:t>
      </w:r>
      <w:r>
        <w:rPr>
          <w:b/>
          <w:color w:val="231F20"/>
          <w:spacing w:val="2"/>
          <w:sz w:val="18"/>
        </w:rPr>
        <w:t xml:space="preserve">+420 </w:t>
      </w:r>
      <w:r>
        <w:rPr>
          <w:b/>
          <w:color w:val="231F20"/>
          <w:sz w:val="18"/>
        </w:rPr>
        <w:t>241 114 114</w:t>
      </w:r>
      <w:r>
        <w:rPr>
          <w:color w:val="231F20"/>
          <w:sz w:val="18"/>
        </w:rPr>
        <w:t>. Neslyšící klienti mohou asistenční službu kontaktovat formou SMS na      tel. +420 608 221 586. Ve zprávě je třeba uvést číslo pojistné smlouvy, registrační značku vozidla, popis problému       a místo, kde k události</w:t>
      </w:r>
      <w:r>
        <w:rPr>
          <w:color w:val="231F20"/>
          <w:spacing w:val="1"/>
          <w:sz w:val="18"/>
        </w:rPr>
        <w:t xml:space="preserve"> </w:t>
      </w:r>
      <w:r>
        <w:rPr>
          <w:color w:val="231F20"/>
          <w:sz w:val="18"/>
        </w:rPr>
        <w:t>došlo.</w:t>
      </w:r>
    </w:p>
    <w:p w14:paraId="3CE2B069" w14:textId="77777777" w:rsidR="00F65BCA" w:rsidRDefault="00F65BCA">
      <w:pPr>
        <w:pStyle w:val="Zkladntext"/>
        <w:rPr>
          <w:sz w:val="20"/>
        </w:rPr>
      </w:pPr>
    </w:p>
    <w:p w14:paraId="5F967EDD" w14:textId="77777777" w:rsidR="00F65BCA" w:rsidRDefault="00000000">
      <w:pPr>
        <w:spacing w:before="152"/>
        <w:ind w:left="880"/>
        <w:rPr>
          <w:sz w:val="28"/>
        </w:rPr>
      </w:pPr>
      <w:r>
        <w:pict w14:anchorId="60453313">
          <v:shape id="_x0000_s2312" style="position:absolute;left:0;text-align:left;margin-left:51pt;margin-top:25.35pt;width:504.6pt;height:.1pt;z-index:-251502592;mso-wrap-distance-left:0;mso-wrap-distance-right:0;mso-position-horizontal-relative:page" coordorigin="1020,507" coordsize="10092,0" path="m1020,507r10092,e" filled="f" strokecolor="#d1d3d4">
            <v:path arrowok="t"/>
            <w10:wrap type="topAndBottom" anchorx="page"/>
          </v:shape>
        </w:pict>
      </w:r>
      <w:r w:rsidR="00216117">
        <w:rPr>
          <w:noProof/>
        </w:rPr>
        <w:drawing>
          <wp:anchor distT="0" distB="0" distL="0" distR="0" simplePos="0" relativeHeight="251826176" behindDoc="0" locked="0" layoutInCell="1" allowOverlap="1" wp14:anchorId="59C5595C" wp14:editId="03020920">
            <wp:simplePos x="0" y="0"/>
            <wp:positionH relativeFrom="page">
              <wp:posOffset>648002</wp:posOffset>
            </wp:positionH>
            <wp:positionV relativeFrom="paragraph">
              <wp:posOffset>439598</wp:posOffset>
            </wp:positionV>
            <wp:extent cx="66090" cy="66090"/>
            <wp:effectExtent l="0" t="0" r="0" b="0"/>
            <wp:wrapNone/>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30" cstate="print"/>
                    <a:stretch>
                      <a:fillRect/>
                    </a:stretch>
                  </pic:blipFill>
                  <pic:spPr>
                    <a:xfrm>
                      <a:off x="0" y="0"/>
                      <a:ext cx="66090" cy="66090"/>
                    </a:xfrm>
                    <a:prstGeom prst="rect">
                      <a:avLst/>
                    </a:prstGeom>
                  </pic:spPr>
                </pic:pic>
              </a:graphicData>
            </a:graphic>
          </wp:anchor>
        </w:drawing>
      </w:r>
      <w:r w:rsidR="00216117">
        <w:rPr>
          <w:color w:val="C5271C"/>
          <w:sz w:val="28"/>
        </w:rPr>
        <w:t>Jak nahlásit pojistnou událost</w:t>
      </w:r>
    </w:p>
    <w:p w14:paraId="2B8DD282" w14:textId="77777777" w:rsidR="00F65BCA" w:rsidRDefault="00216117">
      <w:pPr>
        <w:pStyle w:val="Nadpis9"/>
        <w:spacing w:before="83" w:line="278" w:lineRule="auto"/>
        <w:ind w:left="1107" w:right="650"/>
      </w:pPr>
      <w:r>
        <w:rPr>
          <w:color w:val="231F20"/>
        </w:rPr>
        <w:t xml:space="preserve">Pojistnou událost, která vznikla požárem nebo výbuchem, či za okolností vzbuzujících podezření ze spáchání trestného </w:t>
      </w:r>
      <w:r>
        <w:rPr>
          <w:color w:val="231F20"/>
          <w:spacing w:val="-4"/>
        </w:rPr>
        <w:t xml:space="preserve">činu </w:t>
      </w:r>
      <w:r>
        <w:rPr>
          <w:color w:val="231F20"/>
        </w:rPr>
        <w:t>či pokusu o něj, oznamte bez zbytečného odkladu policejním orgánům.</w:t>
      </w:r>
    </w:p>
    <w:p w14:paraId="7AD1801E" w14:textId="77777777" w:rsidR="00F65BCA" w:rsidRDefault="00216117">
      <w:pPr>
        <w:spacing w:line="278" w:lineRule="auto"/>
        <w:ind w:left="1107" w:right="651"/>
        <w:jc w:val="both"/>
        <w:rPr>
          <w:sz w:val="18"/>
        </w:rPr>
      </w:pPr>
      <w:r>
        <w:rPr>
          <w:noProof/>
        </w:rPr>
        <w:drawing>
          <wp:anchor distT="0" distB="0" distL="0" distR="0" simplePos="0" relativeHeight="251827200" behindDoc="0" locked="0" layoutInCell="1" allowOverlap="1" wp14:anchorId="0024B6EB" wp14:editId="1B8A01E2">
            <wp:simplePos x="0" y="0"/>
            <wp:positionH relativeFrom="page">
              <wp:posOffset>648002</wp:posOffset>
            </wp:positionH>
            <wp:positionV relativeFrom="paragraph">
              <wp:posOffset>41116</wp:posOffset>
            </wp:positionV>
            <wp:extent cx="66090" cy="66090"/>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0" cstate="print"/>
                    <a:stretch>
                      <a:fillRect/>
                    </a:stretch>
                  </pic:blipFill>
                  <pic:spPr>
                    <a:xfrm>
                      <a:off x="0" y="0"/>
                      <a:ext cx="66090" cy="66090"/>
                    </a:xfrm>
                    <a:prstGeom prst="rect">
                      <a:avLst/>
                    </a:prstGeom>
                  </pic:spPr>
                </pic:pic>
              </a:graphicData>
            </a:graphic>
          </wp:anchor>
        </w:drawing>
      </w:r>
      <w:r>
        <w:rPr>
          <w:b/>
          <w:color w:val="231F20"/>
          <w:sz w:val="18"/>
        </w:rPr>
        <w:t xml:space="preserve">Pojistnou událost můžete oznámit </w:t>
      </w:r>
      <w:r>
        <w:rPr>
          <w:color w:val="231F20"/>
          <w:sz w:val="18"/>
        </w:rPr>
        <w:t>na lince klientského servisu nebo na internetových stránkách Pojišťovny nebo na kte- rékoliv její pobočce.</w:t>
      </w:r>
    </w:p>
    <w:p w14:paraId="522CF642" w14:textId="77777777" w:rsidR="00F65BCA" w:rsidRDefault="00216117">
      <w:pPr>
        <w:spacing w:line="278" w:lineRule="auto"/>
        <w:ind w:left="1107" w:right="651"/>
        <w:jc w:val="both"/>
        <w:rPr>
          <w:sz w:val="18"/>
        </w:rPr>
      </w:pPr>
      <w:r>
        <w:rPr>
          <w:noProof/>
        </w:rPr>
        <w:drawing>
          <wp:anchor distT="0" distB="0" distL="0" distR="0" simplePos="0" relativeHeight="251828224" behindDoc="0" locked="0" layoutInCell="1" allowOverlap="1" wp14:anchorId="18770188" wp14:editId="28827E19">
            <wp:simplePos x="0" y="0"/>
            <wp:positionH relativeFrom="page">
              <wp:posOffset>648002</wp:posOffset>
            </wp:positionH>
            <wp:positionV relativeFrom="paragraph">
              <wp:posOffset>41116</wp:posOffset>
            </wp:positionV>
            <wp:extent cx="66090" cy="66090"/>
            <wp:effectExtent l="0" t="0" r="0" b="0"/>
            <wp:wrapNone/>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0" cstate="print"/>
                    <a:stretch>
                      <a:fillRect/>
                    </a:stretch>
                  </pic:blipFill>
                  <pic:spPr>
                    <a:xfrm>
                      <a:off x="0" y="0"/>
                      <a:ext cx="66090" cy="66090"/>
                    </a:xfrm>
                    <a:prstGeom prst="rect">
                      <a:avLst/>
                    </a:prstGeom>
                  </pic:spPr>
                </pic:pic>
              </a:graphicData>
            </a:graphic>
          </wp:anchor>
        </w:drawing>
      </w:r>
      <w:r>
        <w:rPr>
          <w:noProof/>
        </w:rPr>
        <w:drawing>
          <wp:anchor distT="0" distB="0" distL="0" distR="0" simplePos="0" relativeHeight="251829248" behindDoc="0" locked="0" layoutInCell="1" allowOverlap="1" wp14:anchorId="312C47B2" wp14:editId="0AC73D80">
            <wp:simplePos x="0" y="0"/>
            <wp:positionH relativeFrom="page">
              <wp:posOffset>648002</wp:posOffset>
            </wp:positionH>
            <wp:positionV relativeFrom="paragraph">
              <wp:posOffset>345916</wp:posOffset>
            </wp:positionV>
            <wp:extent cx="66090" cy="66090"/>
            <wp:effectExtent l="0" t="0" r="0" b="0"/>
            <wp:wrapNone/>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30" cstate="print"/>
                    <a:stretch>
                      <a:fillRect/>
                    </a:stretch>
                  </pic:blipFill>
                  <pic:spPr>
                    <a:xfrm>
                      <a:off x="0" y="0"/>
                      <a:ext cx="66090" cy="66090"/>
                    </a:xfrm>
                    <a:prstGeom prst="rect">
                      <a:avLst/>
                    </a:prstGeom>
                  </pic:spPr>
                </pic:pic>
              </a:graphicData>
            </a:graphic>
          </wp:anchor>
        </w:drawing>
      </w:r>
      <w:r>
        <w:rPr>
          <w:b/>
          <w:color w:val="231F20"/>
          <w:sz w:val="18"/>
        </w:rPr>
        <w:t>Pro</w:t>
      </w:r>
      <w:r>
        <w:rPr>
          <w:b/>
          <w:color w:val="231F20"/>
          <w:spacing w:val="-6"/>
          <w:sz w:val="18"/>
        </w:rPr>
        <w:t xml:space="preserve"> </w:t>
      </w:r>
      <w:r>
        <w:rPr>
          <w:b/>
          <w:color w:val="231F20"/>
          <w:sz w:val="18"/>
        </w:rPr>
        <w:t>hlášení</w:t>
      </w:r>
      <w:r>
        <w:rPr>
          <w:b/>
          <w:color w:val="231F20"/>
          <w:spacing w:val="-5"/>
          <w:sz w:val="18"/>
        </w:rPr>
        <w:t xml:space="preserve"> </w:t>
      </w:r>
      <w:r>
        <w:rPr>
          <w:b/>
          <w:color w:val="231F20"/>
          <w:sz w:val="18"/>
        </w:rPr>
        <w:t>škodní</w:t>
      </w:r>
      <w:r>
        <w:rPr>
          <w:b/>
          <w:color w:val="231F20"/>
          <w:spacing w:val="-6"/>
          <w:sz w:val="18"/>
        </w:rPr>
        <w:t xml:space="preserve"> </w:t>
      </w:r>
      <w:r>
        <w:rPr>
          <w:b/>
          <w:color w:val="231F20"/>
          <w:sz w:val="18"/>
        </w:rPr>
        <w:t>události</w:t>
      </w:r>
      <w:r>
        <w:rPr>
          <w:b/>
          <w:color w:val="231F20"/>
          <w:spacing w:val="-5"/>
          <w:sz w:val="18"/>
        </w:rPr>
        <w:t xml:space="preserve"> </w:t>
      </w:r>
      <w:r>
        <w:rPr>
          <w:b/>
          <w:color w:val="231F20"/>
          <w:sz w:val="18"/>
        </w:rPr>
        <w:t>budete</w:t>
      </w:r>
      <w:r>
        <w:rPr>
          <w:b/>
          <w:color w:val="231F20"/>
          <w:spacing w:val="-5"/>
          <w:sz w:val="18"/>
        </w:rPr>
        <w:t xml:space="preserve"> </w:t>
      </w:r>
      <w:r>
        <w:rPr>
          <w:b/>
          <w:color w:val="231F20"/>
          <w:sz w:val="18"/>
        </w:rPr>
        <w:t>potřebovat:</w:t>
      </w:r>
      <w:r>
        <w:rPr>
          <w:b/>
          <w:color w:val="231F20"/>
          <w:spacing w:val="-6"/>
          <w:sz w:val="18"/>
        </w:rPr>
        <w:t xml:space="preserve"> </w:t>
      </w:r>
      <w:r>
        <w:rPr>
          <w:color w:val="231F20"/>
          <w:sz w:val="18"/>
        </w:rPr>
        <w:t>datum</w:t>
      </w:r>
      <w:r>
        <w:rPr>
          <w:color w:val="231F20"/>
          <w:spacing w:val="-7"/>
          <w:sz w:val="18"/>
        </w:rPr>
        <w:t xml:space="preserve"> </w:t>
      </w:r>
      <w:r>
        <w:rPr>
          <w:color w:val="231F20"/>
          <w:sz w:val="18"/>
        </w:rPr>
        <w:t>nehody</w:t>
      </w:r>
      <w:r>
        <w:rPr>
          <w:color w:val="231F20"/>
          <w:spacing w:val="-5"/>
          <w:sz w:val="18"/>
        </w:rPr>
        <w:t xml:space="preserve"> </w:t>
      </w:r>
      <w:r>
        <w:rPr>
          <w:color w:val="231F20"/>
          <w:sz w:val="18"/>
        </w:rPr>
        <w:t>(nebo</w:t>
      </w:r>
      <w:r>
        <w:rPr>
          <w:color w:val="231F20"/>
          <w:spacing w:val="-5"/>
          <w:sz w:val="18"/>
        </w:rPr>
        <w:t xml:space="preserve"> </w:t>
      </w:r>
      <w:r>
        <w:rPr>
          <w:color w:val="231F20"/>
          <w:sz w:val="18"/>
        </w:rPr>
        <w:t>datum</w:t>
      </w:r>
      <w:r>
        <w:rPr>
          <w:color w:val="231F20"/>
          <w:spacing w:val="-6"/>
          <w:sz w:val="18"/>
        </w:rPr>
        <w:t xml:space="preserve"> </w:t>
      </w:r>
      <w:r>
        <w:rPr>
          <w:color w:val="231F20"/>
          <w:sz w:val="18"/>
        </w:rPr>
        <w:t>zjištění),</w:t>
      </w:r>
      <w:r>
        <w:rPr>
          <w:color w:val="231F20"/>
          <w:spacing w:val="-5"/>
          <w:sz w:val="18"/>
        </w:rPr>
        <w:t xml:space="preserve"> </w:t>
      </w:r>
      <w:r>
        <w:rPr>
          <w:color w:val="231F20"/>
          <w:sz w:val="18"/>
        </w:rPr>
        <w:t>místo</w:t>
      </w:r>
      <w:r>
        <w:rPr>
          <w:color w:val="231F20"/>
          <w:spacing w:val="-5"/>
          <w:sz w:val="18"/>
        </w:rPr>
        <w:t xml:space="preserve"> </w:t>
      </w:r>
      <w:r>
        <w:rPr>
          <w:color w:val="231F20"/>
          <w:sz w:val="18"/>
        </w:rPr>
        <w:t>nehody,</w:t>
      </w:r>
      <w:r>
        <w:rPr>
          <w:color w:val="231F20"/>
          <w:spacing w:val="-6"/>
          <w:sz w:val="18"/>
        </w:rPr>
        <w:t xml:space="preserve"> </w:t>
      </w:r>
      <w:r>
        <w:rPr>
          <w:color w:val="231F20"/>
          <w:sz w:val="18"/>
        </w:rPr>
        <w:t>minimálně</w:t>
      </w:r>
      <w:r>
        <w:rPr>
          <w:color w:val="231F20"/>
          <w:spacing w:val="-6"/>
          <w:sz w:val="18"/>
        </w:rPr>
        <w:t xml:space="preserve"> </w:t>
      </w:r>
      <w:r>
        <w:rPr>
          <w:color w:val="231F20"/>
          <w:sz w:val="18"/>
        </w:rPr>
        <w:t>registrační značku</w:t>
      </w:r>
      <w:r>
        <w:rPr>
          <w:color w:val="231F20"/>
          <w:spacing w:val="-18"/>
          <w:sz w:val="18"/>
        </w:rPr>
        <w:t xml:space="preserve"> </w:t>
      </w:r>
      <w:r>
        <w:rPr>
          <w:color w:val="231F20"/>
          <w:sz w:val="18"/>
        </w:rPr>
        <w:t>viníka</w:t>
      </w:r>
      <w:r>
        <w:rPr>
          <w:color w:val="231F20"/>
          <w:spacing w:val="-17"/>
          <w:sz w:val="18"/>
        </w:rPr>
        <w:t xml:space="preserve"> </w:t>
      </w:r>
      <w:r>
        <w:rPr>
          <w:color w:val="231F20"/>
          <w:sz w:val="18"/>
        </w:rPr>
        <w:t>(ideálně</w:t>
      </w:r>
      <w:r>
        <w:rPr>
          <w:color w:val="231F20"/>
          <w:spacing w:val="-18"/>
          <w:sz w:val="18"/>
        </w:rPr>
        <w:t xml:space="preserve"> </w:t>
      </w:r>
      <w:r>
        <w:rPr>
          <w:color w:val="231F20"/>
          <w:sz w:val="18"/>
        </w:rPr>
        <w:t>také</w:t>
      </w:r>
      <w:r>
        <w:rPr>
          <w:color w:val="231F20"/>
          <w:spacing w:val="-17"/>
          <w:sz w:val="18"/>
        </w:rPr>
        <w:t xml:space="preserve"> </w:t>
      </w:r>
      <w:r>
        <w:rPr>
          <w:color w:val="231F20"/>
          <w:sz w:val="18"/>
        </w:rPr>
        <w:t>číslo</w:t>
      </w:r>
      <w:r>
        <w:rPr>
          <w:color w:val="231F20"/>
          <w:spacing w:val="-18"/>
          <w:sz w:val="18"/>
        </w:rPr>
        <w:t xml:space="preserve"> </w:t>
      </w:r>
      <w:r>
        <w:rPr>
          <w:color w:val="231F20"/>
          <w:sz w:val="18"/>
        </w:rPr>
        <w:t>pojistné</w:t>
      </w:r>
      <w:r>
        <w:rPr>
          <w:color w:val="231F20"/>
          <w:spacing w:val="-17"/>
          <w:sz w:val="18"/>
        </w:rPr>
        <w:t xml:space="preserve"> </w:t>
      </w:r>
      <w:r>
        <w:rPr>
          <w:color w:val="231F20"/>
          <w:sz w:val="18"/>
        </w:rPr>
        <w:t>smlouvy</w:t>
      </w:r>
      <w:r>
        <w:rPr>
          <w:color w:val="231F20"/>
          <w:spacing w:val="-17"/>
          <w:sz w:val="18"/>
        </w:rPr>
        <w:t xml:space="preserve"> </w:t>
      </w:r>
      <w:r>
        <w:rPr>
          <w:color w:val="231F20"/>
          <w:sz w:val="18"/>
        </w:rPr>
        <w:t>a</w:t>
      </w:r>
      <w:r>
        <w:rPr>
          <w:color w:val="231F20"/>
          <w:spacing w:val="-18"/>
          <w:sz w:val="18"/>
        </w:rPr>
        <w:t xml:space="preserve"> </w:t>
      </w:r>
      <w:r>
        <w:rPr>
          <w:color w:val="231F20"/>
          <w:sz w:val="18"/>
        </w:rPr>
        <w:t>jméno</w:t>
      </w:r>
      <w:r>
        <w:rPr>
          <w:color w:val="231F20"/>
          <w:spacing w:val="-17"/>
          <w:sz w:val="18"/>
        </w:rPr>
        <w:t xml:space="preserve"> </w:t>
      </w:r>
      <w:r>
        <w:rPr>
          <w:color w:val="231F20"/>
          <w:sz w:val="18"/>
        </w:rPr>
        <w:t>+</w:t>
      </w:r>
      <w:r>
        <w:rPr>
          <w:color w:val="231F20"/>
          <w:spacing w:val="-18"/>
          <w:sz w:val="18"/>
        </w:rPr>
        <w:t xml:space="preserve"> </w:t>
      </w:r>
      <w:r>
        <w:rPr>
          <w:color w:val="231F20"/>
          <w:sz w:val="18"/>
        </w:rPr>
        <w:t>příjmení),</w:t>
      </w:r>
      <w:r>
        <w:rPr>
          <w:color w:val="231F20"/>
          <w:spacing w:val="-17"/>
          <w:sz w:val="18"/>
        </w:rPr>
        <w:t xml:space="preserve"> </w:t>
      </w:r>
      <w:r>
        <w:rPr>
          <w:color w:val="231F20"/>
          <w:sz w:val="18"/>
        </w:rPr>
        <w:t>registrační</w:t>
      </w:r>
      <w:r>
        <w:rPr>
          <w:color w:val="231F20"/>
          <w:spacing w:val="-17"/>
          <w:sz w:val="18"/>
        </w:rPr>
        <w:t xml:space="preserve"> </w:t>
      </w:r>
      <w:r>
        <w:rPr>
          <w:color w:val="231F20"/>
          <w:sz w:val="18"/>
        </w:rPr>
        <w:t>značku</w:t>
      </w:r>
      <w:r>
        <w:rPr>
          <w:color w:val="231F20"/>
          <w:spacing w:val="-18"/>
          <w:sz w:val="18"/>
        </w:rPr>
        <w:t xml:space="preserve"> </w:t>
      </w:r>
      <w:r>
        <w:rPr>
          <w:color w:val="231F20"/>
          <w:sz w:val="18"/>
        </w:rPr>
        <w:t>poškozeného</w:t>
      </w:r>
      <w:r>
        <w:rPr>
          <w:color w:val="231F20"/>
          <w:spacing w:val="-17"/>
          <w:sz w:val="18"/>
        </w:rPr>
        <w:t xml:space="preserve"> </w:t>
      </w:r>
      <w:r>
        <w:rPr>
          <w:color w:val="231F20"/>
          <w:sz w:val="18"/>
        </w:rPr>
        <w:t>nebo</w:t>
      </w:r>
      <w:r>
        <w:rPr>
          <w:color w:val="231F20"/>
          <w:spacing w:val="-18"/>
          <w:sz w:val="18"/>
        </w:rPr>
        <w:t xml:space="preserve"> </w:t>
      </w:r>
      <w:r>
        <w:rPr>
          <w:color w:val="231F20"/>
          <w:sz w:val="18"/>
        </w:rPr>
        <w:t>jméno</w:t>
      </w:r>
      <w:r>
        <w:rPr>
          <w:color w:val="231F20"/>
          <w:spacing w:val="-17"/>
          <w:sz w:val="18"/>
        </w:rPr>
        <w:t xml:space="preserve"> </w:t>
      </w:r>
      <w:r>
        <w:rPr>
          <w:color w:val="231F20"/>
          <w:sz w:val="18"/>
        </w:rPr>
        <w:t>+</w:t>
      </w:r>
      <w:r>
        <w:rPr>
          <w:color w:val="231F20"/>
          <w:spacing w:val="-17"/>
          <w:sz w:val="18"/>
        </w:rPr>
        <w:t xml:space="preserve"> </w:t>
      </w:r>
      <w:r>
        <w:rPr>
          <w:color w:val="231F20"/>
          <w:sz w:val="18"/>
        </w:rPr>
        <w:t xml:space="preserve">příjmení. </w:t>
      </w:r>
      <w:r>
        <w:rPr>
          <w:b/>
          <w:color w:val="231F20"/>
          <w:sz w:val="18"/>
        </w:rPr>
        <w:t>S opravou vozidla nezačínejte</w:t>
      </w:r>
      <w:r>
        <w:rPr>
          <w:color w:val="231F20"/>
          <w:sz w:val="18"/>
        </w:rPr>
        <w:t>, dokud nemáte souhlas Pojišťovny (po prohlídce</w:t>
      </w:r>
      <w:r>
        <w:rPr>
          <w:color w:val="231F20"/>
          <w:spacing w:val="1"/>
          <w:sz w:val="18"/>
        </w:rPr>
        <w:t xml:space="preserve"> </w:t>
      </w:r>
      <w:r>
        <w:rPr>
          <w:color w:val="231F20"/>
          <w:sz w:val="18"/>
        </w:rPr>
        <w:t>vozidla).</w:t>
      </w:r>
    </w:p>
    <w:p w14:paraId="21F02974" w14:textId="77777777" w:rsidR="00F65BCA" w:rsidRDefault="00216117">
      <w:pPr>
        <w:pStyle w:val="Nadpis8"/>
        <w:spacing w:line="278" w:lineRule="auto"/>
        <w:ind w:left="1107" w:right="652"/>
      </w:pPr>
      <w:r>
        <w:rPr>
          <w:noProof/>
        </w:rPr>
        <w:drawing>
          <wp:anchor distT="0" distB="0" distL="0" distR="0" simplePos="0" relativeHeight="251830272" behindDoc="0" locked="0" layoutInCell="1" allowOverlap="1" wp14:anchorId="188F1611" wp14:editId="444E575A">
            <wp:simplePos x="0" y="0"/>
            <wp:positionH relativeFrom="page">
              <wp:posOffset>648002</wp:posOffset>
            </wp:positionH>
            <wp:positionV relativeFrom="paragraph">
              <wp:posOffset>41116</wp:posOffset>
            </wp:positionV>
            <wp:extent cx="66090" cy="66090"/>
            <wp:effectExtent l="0" t="0" r="0" b="0"/>
            <wp:wrapNone/>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30" cstate="print"/>
                    <a:stretch>
                      <a:fillRect/>
                    </a:stretch>
                  </pic:blipFill>
                  <pic:spPr>
                    <a:xfrm>
                      <a:off x="0" y="0"/>
                      <a:ext cx="66090" cy="66090"/>
                    </a:xfrm>
                    <a:prstGeom prst="rect">
                      <a:avLst/>
                    </a:prstGeom>
                  </pic:spPr>
                </pic:pic>
              </a:graphicData>
            </a:graphic>
          </wp:anchor>
        </w:drawing>
      </w:r>
      <w:r>
        <w:rPr>
          <w:color w:val="231F20"/>
        </w:rPr>
        <w:t>Pro</w:t>
      </w:r>
      <w:r>
        <w:rPr>
          <w:color w:val="231F20"/>
          <w:spacing w:val="-6"/>
        </w:rPr>
        <w:t xml:space="preserve"> </w:t>
      </w:r>
      <w:r>
        <w:rPr>
          <w:color w:val="231F20"/>
        </w:rPr>
        <w:t>opravu</w:t>
      </w:r>
      <w:r>
        <w:rPr>
          <w:color w:val="231F20"/>
          <w:spacing w:val="-6"/>
        </w:rPr>
        <w:t xml:space="preserve"> </w:t>
      </w:r>
      <w:r>
        <w:rPr>
          <w:color w:val="231F20"/>
        </w:rPr>
        <w:t>využijte</w:t>
      </w:r>
      <w:r>
        <w:rPr>
          <w:color w:val="231F20"/>
          <w:spacing w:val="-5"/>
        </w:rPr>
        <w:t xml:space="preserve"> </w:t>
      </w:r>
      <w:r>
        <w:rPr>
          <w:color w:val="231F20"/>
        </w:rPr>
        <w:t>některý</w:t>
      </w:r>
      <w:r>
        <w:rPr>
          <w:color w:val="231F20"/>
          <w:spacing w:val="-6"/>
        </w:rPr>
        <w:t xml:space="preserve"> </w:t>
      </w:r>
      <w:r>
        <w:rPr>
          <w:color w:val="231F20"/>
        </w:rPr>
        <w:t>ze</w:t>
      </w:r>
      <w:r>
        <w:rPr>
          <w:color w:val="231F20"/>
          <w:spacing w:val="-6"/>
        </w:rPr>
        <w:t xml:space="preserve"> </w:t>
      </w:r>
      <w:r>
        <w:rPr>
          <w:color w:val="231F20"/>
        </w:rPr>
        <w:t>smluvních</w:t>
      </w:r>
      <w:r>
        <w:rPr>
          <w:color w:val="231F20"/>
          <w:spacing w:val="-5"/>
        </w:rPr>
        <w:t xml:space="preserve"> </w:t>
      </w:r>
      <w:r>
        <w:rPr>
          <w:color w:val="231F20"/>
        </w:rPr>
        <w:t>servisů</w:t>
      </w:r>
      <w:r>
        <w:rPr>
          <w:color w:val="231F20"/>
          <w:spacing w:val="-6"/>
        </w:rPr>
        <w:t xml:space="preserve"> </w:t>
      </w:r>
      <w:r>
        <w:rPr>
          <w:color w:val="231F20"/>
        </w:rPr>
        <w:t>Pojišťovny</w:t>
      </w:r>
      <w:r>
        <w:rPr>
          <w:color w:val="231F20"/>
          <w:spacing w:val="-6"/>
        </w:rPr>
        <w:t xml:space="preserve"> </w:t>
      </w:r>
      <w:r>
        <w:rPr>
          <w:color w:val="231F20"/>
        </w:rPr>
        <w:t>(seznam</w:t>
      </w:r>
      <w:r>
        <w:rPr>
          <w:color w:val="231F20"/>
          <w:spacing w:val="-5"/>
        </w:rPr>
        <w:t xml:space="preserve"> </w:t>
      </w:r>
      <w:r>
        <w:rPr>
          <w:color w:val="231F20"/>
        </w:rPr>
        <w:t>smluvních</w:t>
      </w:r>
      <w:r>
        <w:rPr>
          <w:color w:val="231F20"/>
          <w:spacing w:val="-6"/>
        </w:rPr>
        <w:t xml:space="preserve"> </w:t>
      </w:r>
      <w:r>
        <w:rPr>
          <w:color w:val="231F20"/>
        </w:rPr>
        <w:t>servisů</w:t>
      </w:r>
      <w:r>
        <w:rPr>
          <w:color w:val="231F20"/>
          <w:spacing w:val="-6"/>
        </w:rPr>
        <w:t xml:space="preserve"> </w:t>
      </w:r>
      <w:r>
        <w:rPr>
          <w:color w:val="231F20"/>
        </w:rPr>
        <w:t>naleznete</w:t>
      </w:r>
      <w:r>
        <w:rPr>
          <w:color w:val="231F20"/>
          <w:spacing w:val="-6"/>
        </w:rPr>
        <w:t xml:space="preserve"> </w:t>
      </w:r>
      <w:r>
        <w:rPr>
          <w:color w:val="231F20"/>
        </w:rPr>
        <w:t>na</w:t>
      </w:r>
      <w:r>
        <w:rPr>
          <w:color w:val="231F20"/>
          <w:spacing w:val="-5"/>
        </w:rPr>
        <w:t xml:space="preserve"> </w:t>
      </w:r>
      <w:r>
        <w:rPr>
          <w:color w:val="231F20"/>
          <w:spacing w:val="-2"/>
        </w:rPr>
        <w:t xml:space="preserve">internetových </w:t>
      </w:r>
      <w:r>
        <w:rPr>
          <w:color w:val="231F20"/>
        </w:rPr>
        <w:t>stránkách Pojišťovny www.generaliceska.cz).</w:t>
      </w:r>
    </w:p>
    <w:p w14:paraId="15731B10" w14:textId="77777777" w:rsidR="00F65BCA" w:rsidRDefault="00216117">
      <w:pPr>
        <w:pStyle w:val="Nadpis9"/>
        <w:ind w:left="1107"/>
      </w:pPr>
      <w:r>
        <w:rPr>
          <w:noProof/>
        </w:rPr>
        <w:drawing>
          <wp:anchor distT="0" distB="0" distL="0" distR="0" simplePos="0" relativeHeight="251831296" behindDoc="0" locked="0" layoutInCell="1" allowOverlap="1" wp14:anchorId="0C79F4FC" wp14:editId="3DB8207E">
            <wp:simplePos x="0" y="0"/>
            <wp:positionH relativeFrom="page">
              <wp:posOffset>648002</wp:posOffset>
            </wp:positionH>
            <wp:positionV relativeFrom="paragraph">
              <wp:posOffset>41116</wp:posOffset>
            </wp:positionV>
            <wp:extent cx="66090" cy="66090"/>
            <wp:effectExtent l="0" t="0" r="0" b="0"/>
            <wp:wrapNone/>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png"/>
                    <pic:cNvPicPr/>
                  </pic:nvPicPr>
                  <pic:blipFill>
                    <a:blip r:embed="rId30" cstate="print"/>
                    <a:stretch>
                      <a:fillRect/>
                    </a:stretch>
                  </pic:blipFill>
                  <pic:spPr>
                    <a:xfrm>
                      <a:off x="0" y="0"/>
                      <a:ext cx="66090" cy="66090"/>
                    </a:xfrm>
                    <a:prstGeom prst="rect">
                      <a:avLst/>
                    </a:prstGeom>
                  </pic:spPr>
                </pic:pic>
              </a:graphicData>
            </a:graphic>
          </wp:anchor>
        </w:drawing>
      </w:r>
      <w:r>
        <w:rPr>
          <w:color w:val="231F20"/>
        </w:rPr>
        <w:t>V případě nehody v zahraničí postupujte podle pokynů Pojišťovny.</w:t>
      </w:r>
    </w:p>
    <w:p w14:paraId="7BE1F912" w14:textId="77777777" w:rsidR="00F65BCA" w:rsidRDefault="00F65BCA">
      <w:pPr>
        <w:pStyle w:val="Zkladntext"/>
        <w:rPr>
          <w:sz w:val="20"/>
        </w:rPr>
      </w:pPr>
    </w:p>
    <w:p w14:paraId="271D1396" w14:textId="77777777" w:rsidR="00F65BCA" w:rsidRDefault="00F65BCA">
      <w:pPr>
        <w:pStyle w:val="Zkladntext"/>
        <w:rPr>
          <w:sz w:val="16"/>
        </w:rPr>
      </w:pPr>
    </w:p>
    <w:p w14:paraId="218538A3" w14:textId="77777777" w:rsidR="00F65BCA" w:rsidRDefault="00000000">
      <w:pPr>
        <w:ind w:left="880"/>
        <w:rPr>
          <w:sz w:val="28"/>
        </w:rPr>
      </w:pPr>
      <w:r>
        <w:pict w14:anchorId="5BC35D69">
          <v:shape id="_x0000_s2311" style="position:absolute;left:0;text-align:left;margin-left:51pt;margin-top:17.75pt;width:504.6pt;height:.1pt;z-index:-251501568;mso-wrap-distance-left:0;mso-wrap-distance-right:0;mso-position-horizontal-relative:page" coordorigin="1020,355" coordsize="10092,0" path="m1020,355r10092,e" filled="f" strokecolor="#d1d3d4">
            <v:path arrowok="t"/>
            <w10:wrap type="topAndBottom" anchorx="page"/>
          </v:shape>
        </w:pict>
      </w:r>
      <w:r w:rsidR="00216117">
        <w:rPr>
          <w:color w:val="C5271C"/>
          <w:sz w:val="28"/>
        </w:rPr>
        <w:t>Změna pojistné smlouvy</w:t>
      </w:r>
    </w:p>
    <w:p w14:paraId="0EDA8236" w14:textId="77777777" w:rsidR="00F65BCA" w:rsidRDefault="00216117">
      <w:pPr>
        <w:pStyle w:val="Nadpis9"/>
        <w:spacing w:before="83" w:line="278" w:lineRule="auto"/>
        <w:ind w:right="650"/>
      </w:pPr>
      <w:r>
        <w:rPr>
          <w:color w:val="231F20"/>
        </w:rPr>
        <w:t>Pro informace jak postupovat kontaktujte: klientský servis na tel. +420 241 114 114. Požadované změny v pojistné smlouvě můžete nahlásit na kterékoliv pobočce Pojišťovny, u svého správce pojištění nebo poslat písemnou žádost na adresu:</w:t>
      </w:r>
      <w:r>
        <w:rPr>
          <w:color w:val="231F20"/>
          <w:spacing w:val="-26"/>
        </w:rPr>
        <w:t xml:space="preserve"> </w:t>
      </w:r>
      <w:r>
        <w:rPr>
          <w:color w:val="231F20"/>
        </w:rPr>
        <w:t>Generali Česká pojišťovna a.s., P. O. Box 305, 659 05 Brno. Žádost lze také přiložit do on-line zóny na klientském portálu Pojišťovny.   Z důvodu bezpečnosti si však Pojišťovna vyhrazuje právo požádat Vás o doplnění nebo potvrzení pravosti Vašeho požadavku.</w:t>
      </w:r>
    </w:p>
    <w:p w14:paraId="6FC1FF8C" w14:textId="77777777" w:rsidR="00F65BCA" w:rsidRDefault="00F65BCA">
      <w:pPr>
        <w:pStyle w:val="Zkladntext"/>
        <w:rPr>
          <w:sz w:val="20"/>
        </w:rPr>
      </w:pPr>
    </w:p>
    <w:p w14:paraId="007584F7" w14:textId="77777777" w:rsidR="00F65BCA" w:rsidRDefault="00F65BCA">
      <w:pPr>
        <w:pStyle w:val="Zkladntext"/>
        <w:rPr>
          <w:sz w:val="20"/>
        </w:rPr>
      </w:pPr>
    </w:p>
    <w:p w14:paraId="377AA8CF" w14:textId="77777777" w:rsidR="00F65BCA" w:rsidRDefault="00F65BCA">
      <w:pPr>
        <w:pStyle w:val="Zkladntext"/>
        <w:rPr>
          <w:sz w:val="20"/>
        </w:rPr>
      </w:pPr>
    </w:p>
    <w:p w14:paraId="77AAE610" w14:textId="77777777" w:rsidR="00F65BCA" w:rsidRDefault="00F65BCA">
      <w:pPr>
        <w:pStyle w:val="Zkladntext"/>
        <w:rPr>
          <w:sz w:val="20"/>
        </w:rPr>
      </w:pPr>
    </w:p>
    <w:p w14:paraId="7248E972" w14:textId="77777777" w:rsidR="00F65BCA" w:rsidRDefault="00F65BCA">
      <w:pPr>
        <w:pStyle w:val="Zkladntext"/>
        <w:rPr>
          <w:sz w:val="20"/>
        </w:rPr>
      </w:pPr>
    </w:p>
    <w:p w14:paraId="7230C182" w14:textId="77777777" w:rsidR="00F65BCA" w:rsidRDefault="00F65BCA">
      <w:pPr>
        <w:pStyle w:val="Zkladntext"/>
        <w:rPr>
          <w:sz w:val="20"/>
        </w:rPr>
      </w:pPr>
    </w:p>
    <w:p w14:paraId="537C853F" w14:textId="77777777" w:rsidR="00F65BCA" w:rsidRDefault="00F65BCA">
      <w:pPr>
        <w:pStyle w:val="Zkladntext"/>
        <w:spacing w:before="10"/>
        <w:rPr>
          <w:sz w:val="16"/>
        </w:rPr>
      </w:pPr>
    </w:p>
    <w:p w14:paraId="6B10A6D0" w14:textId="77777777" w:rsidR="00F65BCA" w:rsidRDefault="00F65BCA">
      <w:pPr>
        <w:rPr>
          <w:sz w:val="16"/>
        </w:rPr>
        <w:sectPr w:rsidR="00F65BCA">
          <w:pgSz w:w="11910" w:h="16840"/>
          <w:pgMar w:top="520" w:right="140" w:bottom="0" w:left="140" w:header="708" w:footer="708" w:gutter="0"/>
          <w:cols w:space="708"/>
        </w:sectPr>
      </w:pPr>
    </w:p>
    <w:p w14:paraId="78DC6D19" w14:textId="77777777" w:rsidR="00F65BCA" w:rsidRDefault="00000000">
      <w:pPr>
        <w:pStyle w:val="Zkladntext"/>
        <w:spacing w:before="10"/>
        <w:rPr>
          <w:sz w:val="13"/>
        </w:rPr>
      </w:pPr>
      <w:r>
        <w:pict w14:anchorId="70E3649A">
          <v:line id="_x0000_s2310" style="position:absolute;z-index:251815936;mso-position-horizontal-relative:page;mso-position-vertical-relative:page" from="0,808.35pt" to="595.3pt,808.35pt" strokecolor="#c5271c" strokeweight="1pt">
            <w10:wrap anchorx="page" anchory="page"/>
          </v:line>
        </w:pict>
      </w:r>
    </w:p>
    <w:p w14:paraId="3B525BE2" w14:textId="77777777" w:rsidR="00F65BCA" w:rsidRDefault="00216117">
      <w:pPr>
        <w:ind w:left="880"/>
        <w:rPr>
          <w:sz w:val="14"/>
        </w:rPr>
      </w:pPr>
      <w:r>
        <w:rPr>
          <w:color w:val="231F20"/>
          <w:sz w:val="14"/>
        </w:rPr>
        <w:t>6.20.012 05.2025 v04</w:t>
      </w:r>
    </w:p>
    <w:p w14:paraId="619BB40F" w14:textId="77777777" w:rsidR="00F65BCA" w:rsidRDefault="00216117">
      <w:pPr>
        <w:spacing w:before="103"/>
        <w:ind w:left="880"/>
        <w:rPr>
          <w:sz w:val="16"/>
        </w:rPr>
      </w:pPr>
      <w:r>
        <w:br w:type="column"/>
      </w:r>
      <w:r>
        <w:rPr>
          <w:color w:val="231F20"/>
          <w:sz w:val="16"/>
        </w:rPr>
        <w:t xml:space="preserve">Předsmluvní informace </w:t>
      </w:r>
      <w:r>
        <w:rPr>
          <w:color w:val="C5271C"/>
          <w:sz w:val="20"/>
        </w:rPr>
        <w:t xml:space="preserve">| </w:t>
      </w:r>
      <w:r>
        <w:rPr>
          <w:color w:val="231F20"/>
          <w:sz w:val="16"/>
        </w:rPr>
        <w:t>13</w:t>
      </w:r>
    </w:p>
    <w:p w14:paraId="2D577DD0" w14:textId="77777777" w:rsidR="00F65BCA" w:rsidRDefault="00F65BCA">
      <w:pPr>
        <w:rPr>
          <w:sz w:val="16"/>
        </w:rPr>
        <w:sectPr w:rsidR="00F65BCA">
          <w:type w:val="continuous"/>
          <w:pgSz w:w="11910" w:h="16840"/>
          <w:pgMar w:top="840" w:right="140" w:bottom="280" w:left="140" w:header="708" w:footer="708" w:gutter="0"/>
          <w:cols w:num="2" w:space="708" w:equalWidth="0">
            <w:col w:w="2314" w:space="5738"/>
            <w:col w:w="3578"/>
          </w:cols>
        </w:sectPr>
      </w:pPr>
    </w:p>
    <w:p w14:paraId="108270A7" w14:textId="77777777" w:rsidR="00F65BCA" w:rsidRDefault="00216117">
      <w:pPr>
        <w:tabs>
          <w:tab w:val="left" w:pos="774"/>
          <w:tab w:val="left" w:pos="11198"/>
        </w:tabs>
        <w:spacing w:before="79"/>
        <w:ind w:left="426"/>
        <w:rPr>
          <w:b/>
          <w:sz w:val="24"/>
        </w:rPr>
      </w:pPr>
      <w:r>
        <w:rPr>
          <w:b/>
          <w:color w:val="FFFFFF"/>
          <w:sz w:val="24"/>
          <w:shd w:val="clear" w:color="auto" w:fill="808285"/>
        </w:rPr>
        <w:lastRenderedPageBreak/>
        <w:t xml:space="preserve"> </w:t>
      </w:r>
      <w:r>
        <w:rPr>
          <w:b/>
          <w:color w:val="FFFFFF"/>
          <w:sz w:val="24"/>
          <w:shd w:val="clear" w:color="auto" w:fill="808285"/>
        </w:rPr>
        <w:tab/>
      </w:r>
      <w:r>
        <w:rPr>
          <w:b/>
          <w:color w:val="FFFFFF"/>
          <w:spacing w:val="10"/>
          <w:sz w:val="24"/>
          <w:shd w:val="clear" w:color="auto" w:fill="808285"/>
        </w:rPr>
        <w:t>VŠEOBECNÉ</w:t>
      </w:r>
      <w:r>
        <w:rPr>
          <w:b/>
          <w:color w:val="FFFFFF"/>
          <w:spacing w:val="39"/>
          <w:sz w:val="24"/>
          <w:shd w:val="clear" w:color="auto" w:fill="808285"/>
        </w:rPr>
        <w:t xml:space="preserve"> </w:t>
      </w:r>
      <w:r>
        <w:rPr>
          <w:b/>
          <w:color w:val="FFFFFF"/>
          <w:spacing w:val="10"/>
          <w:sz w:val="24"/>
          <w:shd w:val="clear" w:color="auto" w:fill="808285"/>
        </w:rPr>
        <w:t>POJISTNÉ</w:t>
      </w:r>
      <w:r>
        <w:rPr>
          <w:b/>
          <w:color w:val="FFFFFF"/>
          <w:spacing w:val="39"/>
          <w:sz w:val="24"/>
          <w:shd w:val="clear" w:color="auto" w:fill="808285"/>
        </w:rPr>
        <w:t xml:space="preserve"> </w:t>
      </w:r>
      <w:r>
        <w:rPr>
          <w:b/>
          <w:color w:val="FFFFFF"/>
          <w:spacing w:val="10"/>
          <w:sz w:val="24"/>
          <w:shd w:val="clear" w:color="auto" w:fill="808285"/>
        </w:rPr>
        <w:t>PODMÍNKY</w:t>
      </w:r>
      <w:r>
        <w:rPr>
          <w:b/>
          <w:color w:val="FFFFFF"/>
          <w:spacing w:val="39"/>
          <w:sz w:val="24"/>
          <w:shd w:val="clear" w:color="auto" w:fill="808285"/>
        </w:rPr>
        <w:t xml:space="preserve"> </w:t>
      </w:r>
      <w:r>
        <w:rPr>
          <w:b/>
          <w:color w:val="FFFFFF"/>
          <w:spacing w:val="8"/>
          <w:sz w:val="24"/>
          <w:shd w:val="clear" w:color="auto" w:fill="808285"/>
        </w:rPr>
        <w:t>PRO</w:t>
      </w:r>
      <w:r>
        <w:rPr>
          <w:b/>
          <w:color w:val="FFFFFF"/>
          <w:spacing w:val="39"/>
          <w:sz w:val="24"/>
          <w:shd w:val="clear" w:color="auto" w:fill="808285"/>
        </w:rPr>
        <w:t xml:space="preserve"> </w:t>
      </w:r>
      <w:r>
        <w:rPr>
          <w:b/>
          <w:color w:val="FFFFFF"/>
          <w:spacing w:val="10"/>
          <w:sz w:val="24"/>
          <w:shd w:val="clear" w:color="auto" w:fill="808285"/>
        </w:rPr>
        <w:t>POJIŠTĚNÍ</w:t>
      </w:r>
      <w:r>
        <w:rPr>
          <w:b/>
          <w:color w:val="FFFFFF"/>
          <w:spacing w:val="39"/>
          <w:sz w:val="24"/>
          <w:shd w:val="clear" w:color="auto" w:fill="808285"/>
        </w:rPr>
        <w:t xml:space="preserve"> </w:t>
      </w:r>
      <w:r>
        <w:rPr>
          <w:b/>
          <w:color w:val="FFFFFF"/>
          <w:spacing w:val="10"/>
          <w:sz w:val="24"/>
          <w:shd w:val="clear" w:color="auto" w:fill="808285"/>
        </w:rPr>
        <w:t>VOZIDEL</w:t>
      </w:r>
      <w:r>
        <w:rPr>
          <w:b/>
          <w:color w:val="FFFFFF"/>
          <w:spacing w:val="39"/>
          <w:sz w:val="24"/>
          <w:shd w:val="clear" w:color="auto" w:fill="808285"/>
        </w:rPr>
        <w:t xml:space="preserve"> </w:t>
      </w:r>
      <w:r>
        <w:rPr>
          <w:b/>
          <w:color w:val="FFFFFF"/>
          <w:spacing w:val="11"/>
          <w:sz w:val="24"/>
          <w:shd w:val="clear" w:color="auto" w:fill="808285"/>
        </w:rPr>
        <w:t>VPPPMV-F-5/2025</w:t>
      </w:r>
      <w:r>
        <w:rPr>
          <w:b/>
          <w:color w:val="FFFFFF"/>
          <w:spacing w:val="11"/>
          <w:sz w:val="24"/>
          <w:shd w:val="clear" w:color="auto" w:fill="808285"/>
        </w:rPr>
        <w:tab/>
      </w:r>
    </w:p>
    <w:p w14:paraId="77287335" w14:textId="77777777" w:rsidR="00F65BCA" w:rsidRDefault="00216117">
      <w:pPr>
        <w:tabs>
          <w:tab w:val="left" w:pos="4269"/>
          <w:tab w:val="left" w:pos="11198"/>
        </w:tabs>
        <w:spacing w:before="234"/>
        <w:ind w:left="426"/>
        <w:rPr>
          <w:sz w:val="24"/>
        </w:rPr>
      </w:pPr>
      <w:r>
        <w:rPr>
          <w:color w:val="231F20"/>
          <w:sz w:val="24"/>
          <w:shd w:val="clear" w:color="auto" w:fill="DCDDDE"/>
        </w:rPr>
        <w:t xml:space="preserve"> </w:t>
      </w:r>
      <w:r>
        <w:rPr>
          <w:color w:val="231F20"/>
          <w:sz w:val="24"/>
          <w:shd w:val="clear" w:color="auto" w:fill="DCDDDE"/>
        </w:rPr>
        <w:tab/>
      </w:r>
      <w:r>
        <w:rPr>
          <w:color w:val="231F20"/>
          <w:spacing w:val="6"/>
          <w:sz w:val="24"/>
          <w:shd w:val="clear" w:color="auto" w:fill="DCDDDE"/>
        </w:rPr>
        <w:t xml:space="preserve">A. </w:t>
      </w:r>
      <w:r>
        <w:rPr>
          <w:color w:val="231F20"/>
          <w:spacing w:val="10"/>
          <w:sz w:val="24"/>
          <w:shd w:val="clear" w:color="auto" w:fill="DCDDDE"/>
        </w:rPr>
        <w:t>OBECNÁ</w:t>
      </w:r>
      <w:r>
        <w:rPr>
          <w:color w:val="231F20"/>
          <w:spacing w:val="-27"/>
          <w:sz w:val="24"/>
          <w:shd w:val="clear" w:color="auto" w:fill="DCDDDE"/>
        </w:rPr>
        <w:t xml:space="preserve"> </w:t>
      </w:r>
      <w:r>
        <w:rPr>
          <w:color w:val="231F20"/>
          <w:spacing w:val="10"/>
          <w:sz w:val="24"/>
          <w:shd w:val="clear" w:color="auto" w:fill="DCDDDE"/>
        </w:rPr>
        <w:t>USTANOVENÍ</w:t>
      </w:r>
      <w:r>
        <w:rPr>
          <w:color w:val="231F20"/>
          <w:spacing w:val="10"/>
          <w:sz w:val="24"/>
          <w:shd w:val="clear" w:color="auto" w:fill="DCDDDE"/>
        </w:rPr>
        <w:tab/>
      </w:r>
    </w:p>
    <w:p w14:paraId="65D8AF76" w14:textId="77777777" w:rsidR="00F65BCA" w:rsidRDefault="00F65BCA">
      <w:pPr>
        <w:pStyle w:val="Zkladntext"/>
        <w:spacing w:before="11"/>
        <w:rPr>
          <w:sz w:val="10"/>
        </w:rPr>
      </w:pPr>
    </w:p>
    <w:p w14:paraId="44D041C5" w14:textId="77777777" w:rsidR="00F65BCA" w:rsidRDefault="00F65BCA">
      <w:pPr>
        <w:rPr>
          <w:sz w:val="10"/>
        </w:rPr>
        <w:sectPr w:rsidR="00F65BCA">
          <w:pgSz w:w="11910" w:h="16840"/>
          <w:pgMar w:top="500" w:right="140" w:bottom="0" w:left="140" w:header="708" w:footer="708" w:gutter="0"/>
          <w:cols w:space="708"/>
        </w:sectPr>
      </w:pPr>
    </w:p>
    <w:p w14:paraId="0477FEBB" w14:textId="77777777" w:rsidR="00F65BCA" w:rsidRDefault="00000000">
      <w:pPr>
        <w:spacing w:before="135"/>
        <w:ind w:left="426"/>
        <w:rPr>
          <w:b/>
          <w:sz w:val="15"/>
        </w:rPr>
      </w:pPr>
      <w:r>
        <w:pict w14:anchorId="5E975185">
          <v:group id="_x0000_s2306" style="position:absolute;left:0;text-align:left;margin-left:0;margin-top:807.85pt;width:595.3pt;height:34.05pt;z-index:251834368;mso-position-horizontal-relative:page;mso-position-vertical-relative:page" coordorigin=",16157" coordsize="11906,681">
            <v:rect id="_x0000_s2309" style="position:absolute;top:16157;width:11906;height:681" fillcolor="#dcddde" stroked="f"/>
            <v:shape id="_x0000_s2308" type="#_x0000_t202" style="position:absolute;left:793;top:16420;width:5475;height:234" filled="f" stroked="f">
              <v:textbox inset="0,0,0,0">
                <w:txbxContent>
                  <w:p w14:paraId="0616EF81" w14:textId="77777777" w:rsidR="00F65BCA" w:rsidRDefault="00216117">
                    <w:pPr>
                      <w:spacing w:before="3"/>
                      <w:rPr>
                        <w:sz w:val="16"/>
                      </w:rPr>
                    </w:pPr>
                    <w:r>
                      <w:rPr>
                        <w:color w:val="231F20"/>
                        <w:sz w:val="16"/>
                      </w:rPr>
                      <w:t xml:space="preserve">14 </w:t>
                    </w:r>
                    <w:r>
                      <w:rPr>
                        <w:color w:val="6D6E71"/>
                        <w:sz w:val="20"/>
                      </w:rPr>
                      <w:t xml:space="preserve">| </w:t>
                    </w:r>
                    <w:r>
                      <w:rPr>
                        <w:color w:val="231F20"/>
                        <w:sz w:val="16"/>
                      </w:rPr>
                      <w:t>Všeobecné pojistné podmínky pro pojištění vozidel VPPPMV-F-5/2025</w:t>
                    </w:r>
                  </w:p>
                </w:txbxContent>
              </v:textbox>
            </v:shape>
            <v:shape id="_x0000_s2307" type="#_x0000_t202" style="position:absolute;left:9491;top:16477;width:1414;height:164" filled="f" stroked="f">
              <v:textbox inset="0,0,0,0">
                <w:txbxContent>
                  <w:p w14:paraId="3DA0D2F1" w14:textId="77777777" w:rsidR="00F65BCA" w:rsidRDefault="00216117">
                    <w:pPr>
                      <w:spacing w:before="2"/>
                      <w:rPr>
                        <w:sz w:val="14"/>
                      </w:rPr>
                    </w:pPr>
                    <w:r>
                      <w:rPr>
                        <w:color w:val="231F20"/>
                        <w:sz w:val="14"/>
                      </w:rPr>
                      <w:t>6.20.012 05.2025 v04</w:t>
                    </w:r>
                  </w:p>
                </w:txbxContent>
              </v:textbox>
            </v:shape>
            <w10:wrap anchorx="page" anchory="page"/>
          </v:group>
        </w:pict>
      </w:r>
      <w:r w:rsidR="00216117">
        <w:rPr>
          <w:color w:val="FFFFFF"/>
          <w:position w:val="4"/>
          <w:sz w:val="16"/>
          <w:shd w:val="clear" w:color="auto" w:fill="808285"/>
        </w:rPr>
        <w:t xml:space="preserve">    Článek 1</w:t>
      </w:r>
      <w:r w:rsidR="00216117">
        <w:rPr>
          <w:color w:val="FFFFFF"/>
          <w:position w:val="4"/>
          <w:sz w:val="16"/>
        </w:rPr>
        <w:t xml:space="preserve"> </w:t>
      </w:r>
      <w:r w:rsidR="00216117">
        <w:rPr>
          <w:b/>
          <w:color w:val="231F20"/>
          <w:sz w:val="15"/>
        </w:rPr>
        <w:t>Úvodní ustanovení</w:t>
      </w:r>
    </w:p>
    <w:p w14:paraId="0A740F73"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16"/>
          <w:position w:val="1"/>
          <w:sz w:val="14"/>
        </w:rPr>
        <w:t xml:space="preserve"> </w:t>
      </w:r>
      <w:r>
        <w:rPr>
          <w:color w:val="231F20"/>
        </w:rPr>
        <w:t>Generali</w:t>
      </w:r>
      <w:r>
        <w:rPr>
          <w:color w:val="231F20"/>
          <w:spacing w:val="-10"/>
        </w:rPr>
        <w:t xml:space="preserve"> </w:t>
      </w:r>
      <w:r>
        <w:rPr>
          <w:color w:val="231F20"/>
        </w:rPr>
        <w:t>Česká</w:t>
      </w:r>
      <w:r>
        <w:rPr>
          <w:color w:val="231F20"/>
          <w:spacing w:val="-10"/>
        </w:rPr>
        <w:t xml:space="preserve"> </w:t>
      </w:r>
      <w:r>
        <w:rPr>
          <w:color w:val="231F20"/>
        </w:rPr>
        <w:t>pojišťovna</w:t>
      </w:r>
      <w:r>
        <w:rPr>
          <w:color w:val="231F20"/>
          <w:spacing w:val="-10"/>
        </w:rPr>
        <w:t xml:space="preserve"> </w:t>
      </w:r>
      <w:r>
        <w:rPr>
          <w:color w:val="231F20"/>
        </w:rPr>
        <w:t>a.s.,</w:t>
      </w:r>
      <w:r>
        <w:rPr>
          <w:color w:val="231F20"/>
          <w:spacing w:val="-9"/>
        </w:rPr>
        <w:t xml:space="preserve"> </w:t>
      </w:r>
      <w:r>
        <w:rPr>
          <w:color w:val="231F20"/>
        </w:rPr>
        <w:t>Spálená</w:t>
      </w:r>
      <w:r>
        <w:rPr>
          <w:color w:val="231F20"/>
          <w:spacing w:val="-10"/>
        </w:rPr>
        <w:t xml:space="preserve"> </w:t>
      </w:r>
      <w:r>
        <w:rPr>
          <w:color w:val="231F20"/>
        </w:rPr>
        <w:t>75/16,</w:t>
      </w:r>
      <w:r>
        <w:rPr>
          <w:color w:val="231F20"/>
          <w:spacing w:val="-10"/>
        </w:rPr>
        <w:t xml:space="preserve"> </w:t>
      </w:r>
      <w:r>
        <w:rPr>
          <w:color w:val="231F20"/>
        </w:rPr>
        <w:t>Nové</w:t>
      </w:r>
      <w:r>
        <w:rPr>
          <w:color w:val="231F20"/>
          <w:spacing w:val="-10"/>
        </w:rPr>
        <w:t xml:space="preserve"> </w:t>
      </w:r>
      <w:r>
        <w:rPr>
          <w:color w:val="231F20"/>
        </w:rPr>
        <w:t>Město,</w:t>
      </w:r>
      <w:r>
        <w:rPr>
          <w:color w:val="231F20"/>
          <w:spacing w:val="-10"/>
        </w:rPr>
        <w:t xml:space="preserve"> </w:t>
      </w:r>
      <w:r>
        <w:rPr>
          <w:color w:val="231F20"/>
        </w:rPr>
        <w:t>110</w:t>
      </w:r>
      <w:r>
        <w:rPr>
          <w:color w:val="231F20"/>
          <w:spacing w:val="-10"/>
        </w:rPr>
        <w:t xml:space="preserve"> </w:t>
      </w:r>
      <w:r>
        <w:rPr>
          <w:color w:val="231F20"/>
        </w:rPr>
        <w:t>00</w:t>
      </w:r>
      <w:r>
        <w:rPr>
          <w:color w:val="231F20"/>
          <w:spacing w:val="-10"/>
        </w:rPr>
        <w:t xml:space="preserve"> </w:t>
      </w:r>
      <w:r>
        <w:rPr>
          <w:color w:val="231F20"/>
        </w:rPr>
        <w:t>Praha</w:t>
      </w:r>
      <w:r>
        <w:rPr>
          <w:color w:val="231F20"/>
          <w:spacing w:val="-10"/>
        </w:rPr>
        <w:t xml:space="preserve"> </w:t>
      </w:r>
      <w:r>
        <w:rPr>
          <w:color w:val="231F20"/>
        </w:rPr>
        <w:t>1, IČO:</w:t>
      </w:r>
      <w:r>
        <w:rPr>
          <w:color w:val="231F20"/>
          <w:spacing w:val="-23"/>
        </w:rPr>
        <w:t xml:space="preserve"> </w:t>
      </w:r>
      <w:r>
        <w:rPr>
          <w:color w:val="231F20"/>
        </w:rPr>
        <w:t>45272956,</w:t>
      </w:r>
      <w:r>
        <w:rPr>
          <w:color w:val="231F20"/>
          <w:spacing w:val="-22"/>
        </w:rPr>
        <w:t xml:space="preserve"> </w:t>
      </w:r>
      <w:r>
        <w:rPr>
          <w:color w:val="231F20"/>
        </w:rPr>
        <w:t>DIČ:</w:t>
      </w:r>
      <w:r>
        <w:rPr>
          <w:color w:val="231F20"/>
          <w:spacing w:val="-22"/>
        </w:rPr>
        <w:t xml:space="preserve"> </w:t>
      </w:r>
      <w:r>
        <w:rPr>
          <w:color w:val="231F20"/>
        </w:rPr>
        <w:t>CZ699001273,</w:t>
      </w:r>
      <w:r>
        <w:rPr>
          <w:color w:val="231F20"/>
          <w:spacing w:val="-22"/>
        </w:rPr>
        <w:t xml:space="preserve"> </w:t>
      </w:r>
      <w:r>
        <w:rPr>
          <w:color w:val="231F20"/>
        </w:rPr>
        <w:t>je</w:t>
      </w:r>
      <w:r>
        <w:rPr>
          <w:color w:val="231F20"/>
          <w:spacing w:val="-22"/>
        </w:rPr>
        <w:t xml:space="preserve"> </w:t>
      </w:r>
      <w:r>
        <w:rPr>
          <w:color w:val="231F20"/>
        </w:rPr>
        <w:t>zapsaná</w:t>
      </w:r>
      <w:r>
        <w:rPr>
          <w:color w:val="231F20"/>
          <w:spacing w:val="-22"/>
        </w:rPr>
        <w:t xml:space="preserve"> </w:t>
      </w:r>
      <w:r>
        <w:rPr>
          <w:color w:val="231F20"/>
        </w:rPr>
        <w:t>v</w:t>
      </w:r>
      <w:r>
        <w:rPr>
          <w:color w:val="231F20"/>
          <w:spacing w:val="-22"/>
        </w:rPr>
        <w:t xml:space="preserve"> </w:t>
      </w:r>
      <w:r>
        <w:rPr>
          <w:color w:val="231F20"/>
        </w:rPr>
        <w:t>obchodním</w:t>
      </w:r>
      <w:r>
        <w:rPr>
          <w:color w:val="231F20"/>
          <w:spacing w:val="-23"/>
        </w:rPr>
        <w:t xml:space="preserve"> </w:t>
      </w:r>
      <w:r>
        <w:rPr>
          <w:color w:val="231F20"/>
          <w:spacing w:val="-3"/>
        </w:rPr>
        <w:t>rejstříku</w:t>
      </w:r>
      <w:r>
        <w:rPr>
          <w:color w:val="231F20"/>
          <w:spacing w:val="-22"/>
        </w:rPr>
        <w:t xml:space="preserve"> </w:t>
      </w:r>
      <w:r>
        <w:rPr>
          <w:color w:val="231F20"/>
        </w:rPr>
        <w:t>u</w:t>
      </w:r>
      <w:r>
        <w:rPr>
          <w:color w:val="231F20"/>
          <w:spacing w:val="-20"/>
        </w:rPr>
        <w:t xml:space="preserve"> </w:t>
      </w:r>
      <w:r>
        <w:rPr>
          <w:color w:val="231F20"/>
        </w:rPr>
        <w:t>Měst- ského</w:t>
      </w:r>
      <w:r>
        <w:rPr>
          <w:color w:val="231F20"/>
          <w:spacing w:val="-11"/>
        </w:rPr>
        <w:t xml:space="preserve"> </w:t>
      </w:r>
      <w:r>
        <w:rPr>
          <w:color w:val="231F20"/>
        </w:rPr>
        <w:t>soudu</w:t>
      </w:r>
      <w:r>
        <w:rPr>
          <w:color w:val="231F20"/>
          <w:spacing w:val="-10"/>
        </w:rPr>
        <w:t xml:space="preserve"> </w:t>
      </w:r>
      <w:r>
        <w:rPr>
          <w:color w:val="231F20"/>
        </w:rPr>
        <w:t>v</w:t>
      </w:r>
      <w:r>
        <w:rPr>
          <w:color w:val="231F20"/>
          <w:spacing w:val="-10"/>
        </w:rPr>
        <w:t xml:space="preserve"> </w:t>
      </w:r>
      <w:r>
        <w:rPr>
          <w:color w:val="231F20"/>
        </w:rPr>
        <w:t>Praze,</w:t>
      </w:r>
      <w:r>
        <w:rPr>
          <w:color w:val="231F20"/>
          <w:spacing w:val="-10"/>
        </w:rPr>
        <w:t xml:space="preserve"> </w:t>
      </w:r>
      <w:r>
        <w:rPr>
          <w:color w:val="231F20"/>
        </w:rPr>
        <w:t>spisová</w:t>
      </w:r>
      <w:r>
        <w:rPr>
          <w:color w:val="231F20"/>
          <w:spacing w:val="-10"/>
        </w:rPr>
        <w:t xml:space="preserve"> </w:t>
      </w:r>
      <w:r>
        <w:rPr>
          <w:color w:val="231F20"/>
        </w:rPr>
        <w:t>značka</w:t>
      </w:r>
      <w:r>
        <w:rPr>
          <w:color w:val="231F20"/>
          <w:spacing w:val="-10"/>
        </w:rPr>
        <w:t xml:space="preserve"> </w:t>
      </w:r>
      <w:r>
        <w:rPr>
          <w:color w:val="231F20"/>
        </w:rPr>
        <w:t>B</w:t>
      </w:r>
      <w:r>
        <w:rPr>
          <w:color w:val="231F20"/>
          <w:spacing w:val="-10"/>
        </w:rPr>
        <w:t xml:space="preserve"> </w:t>
      </w:r>
      <w:r>
        <w:rPr>
          <w:color w:val="231F20"/>
        </w:rPr>
        <w:t>1464,</w:t>
      </w:r>
      <w:r>
        <w:rPr>
          <w:color w:val="231F20"/>
          <w:spacing w:val="-11"/>
        </w:rPr>
        <w:t xml:space="preserve"> </w:t>
      </w:r>
      <w:r>
        <w:rPr>
          <w:color w:val="231F20"/>
        </w:rPr>
        <w:t>a</w:t>
      </w:r>
      <w:r>
        <w:rPr>
          <w:color w:val="231F20"/>
          <w:spacing w:val="-10"/>
        </w:rPr>
        <w:t xml:space="preserve"> </w:t>
      </w:r>
      <w:r>
        <w:rPr>
          <w:color w:val="231F20"/>
        </w:rPr>
        <w:t>je</w:t>
      </w:r>
      <w:r>
        <w:rPr>
          <w:color w:val="231F20"/>
          <w:spacing w:val="-12"/>
        </w:rPr>
        <w:t xml:space="preserve"> </w:t>
      </w:r>
      <w:r>
        <w:rPr>
          <w:color w:val="231F20"/>
        </w:rPr>
        <w:t>členem</w:t>
      </w:r>
      <w:r>
        <w:rPr>
          <w:color w:val="231F20"/>
          <w:spacing w:val="-12"/>
        </w:rPr>
        <w:t xml:space="preserve"> </w:t>
      </w:r>
      <w:r>
        <w:rPr>
          <w:color w:val="231F20"/>
        </w:rPr>
        <w:t>Skupiny</w:t>
      </w:r>
      <w:r>
        <w:rPr>
          <w:color w:val="231F20"/>
          <w:spacing w:val="-13"/>
        </w:rPr>
        <w:t xml:space="preserve"> </w:t>
      </w:r>
      <w:r>
        <w:rPr>
          <w:color w:val="231F20"/>
        </w:rPr>
        <w:t>Generali, zapsané</w:t>
      </w:r>
      <w:r>
        <w:rPr>
          <w:color w:val="231F20"/>
          <w:spacing w:val="-24"/>
        </w:rPr>
        <w:t xml:space="preserve"> </w:t>
      </w:r>
      <w:r>
        <w:rPr>
          <w:color w:val="231F20"/>
        </w:rPr>
        <w:t>v</w:t>
      </w:r>
      <w:r>
        <w:rPr>
          <w:color w:val="231F20"/>
          <w:spacing w:val="-23"/>
        </w:rPr>
        <w:t xml:space="preserve"> </w:t>
      </w:r>
      <w:r>
        <w:rPr>
          <w:color w:val="231F20"/>
        </w:rPr>
        <w:t>italském</w:t>
      </w:r>
      <w:r>
        <w:rPr>
          <w:color w:val="231F20"/>
          <w:spacing w:val="-23"/>
        </w:rPr>
        <w:t xml:space="preserve"> </w:t>
      </w:r>
      <w:r>
        <w:rPr>
          <w:color w:val="231F20"/>
        </w:rPr>
        <w:t>registru</w:t>
      </w:r>
      <w:r>
        <w:rPr>
          <w:color w:val="231F20"/>
          <w:spacing w:val="-23"/>
        </w:rPr>
        <w:t xml:space="preserve"> </w:t>
      </w:r>
      <w:r>
        <w:rPr>
          <w:color w:val="231F20"/>
        </w:rPr>
        <w:t>pojišťovacích</w:t>
      </w:r>
      <w:r>
        <w:rPr>
          <w:color w:val="231F20"/>
          <w:spacing w:val="-24"/>
        </w:rPr>
        <w:t xml:space="preserve"> </w:t>
      </w:r>
      <w:r>
        <w:rPr>
          <w:color w:val="231F20"/>
        </w:rPr>
        <w:t>skupin,</w:t>
      </w:r>
      <w:r>
        <w:rPr>
          <w:color w:val="231F20"/>
          <w:spacing w:val="-23"/>
        </w:rPr>
        <w:t xml:space="preserve"> </w:t>
      </w:r>
      <w:r>
        <w:rPr>
          <w:color w:val="231F20"/>
        </w:rPr>
        <w:t>vedeném</w:t>
      </w:r>
      <w:r>
        <w:rPr>
          <w:color w:val="231F20"/>
          <w:spacing w:val="-23"/>
        </w:rPr>
        <w:t xml:space="preserve"> </w:t>
      </w:r>
      <w:r>
        <w:rPr>
          <w:color w:val="231F20"/>
        </w:rPr>
        <w:t>IVASS,</w:t>
      </w:r>
      <w:r>
        <w:rPr>
          <w:color w:val="231F20"/>
          <w:spacing w:val="-23"/>
        </w:rPr>
        <w:t xml:space="preserve"> </w:t>
      </w:r>
      <w:r>
        <w:rPr>
          <w:color w:val="231F20"/>
        </w:rPr>
        <w:t>pod</w:t>
      </w:r>
      <w:r>
        <w:rPr>
          <w:color w:val="231F20"/>
          <w:spacing w:val="-24"/>
        </w:rPr>
        <w:t xml:space="preserve"> </w:t>
      </w:r>
      <w:r>
        <w:rPr>
          <w:color w:val="231F20"/>
          <w:spacing w:val="-3"/>
        </w:rPr>
        <w:t>číslem</w:t>
      </w:r>
    </w:p>
    <w:p w14:paraId="21815525" w14:textId="77777777" w:rsidR="00F65BCA" w:rsidRDefault="00216117">
      <w:pPr>
        <w:pStyle w:val="Zkladntext"/>
        <w:spacing w:line="278" w:lineRule="auto"/>
        <w:ind w:left="710"/>
        <w:jc w:val="both"/>
      </w:pPr>
      <w:r>
        <w:rPr>
          <w:color w:val="231F20"/>
        </w:rPr>
        <w:t>026.</w:t>
      </w:r>
      <w:r>
        <w:rPr>
          <w:color w:val="231F20"/>
          <w:spacing w:val="-4"/>
        </w:rPr>
        <w:t xml:space="preserve"> </w:t>
      </w:r>
      <w:r>
        <w:rPr>
          <w:color w:val="231F20"/>
        </w:rPr>
        <w:t>(dále</w:t>
      </w:r>
      <w:r>
        <w:rPr>
          <w:color w:val="231F20"/>
          <w:spacing w:val="-4"/>
        </w:rPr>
        <w:t xml:space="preserve"> </w:t>
      </w:r>
      <w:r>
        <w:rPr>
          <w:color w:val="231F20"/>
        </w:rPr>
        <w:t>jen</w:t>
      </w:r>
      <w:r>
        <w:rPr>
          <w:color w:val="231F20"/>
          <w:spacing w:val="-4"/>
        </w:rPr>
        <w:t xml:space="preserve"> </w:t>
      </w:r>
      <w:r>
        <w:rPr>
          <w:color w:val="231F20"/>
        </w:rPr>
        <w:t>„Pojišťovna”),</w:t>
      </w:r>
      <w:r>
        <w:rPr>
          <w:color w:val="231F20"/>
          <w:spacing w:val="-4"/>
        </w:rPr>
        <w:t xml:space="preserve"> </w:t>
      </w:r>
      <w:r>
        <w:rPr>
          <w:color w:val="231F20"/>
        </w:rPr>
        <w:t>která</w:t>
      </w:r>
      <w:r>
        <w:rPr>
          <w:color w:val="231F20"/>
          <w:spacing w:val="-3"/>
        </w:rPr>
        <w:t xml:space="preserve"> </w:t>
      </w:r>
      <w:r>
        <w:rPr>
          <w:color w:val="231F20"/>
        </w:rPr>
        <w:t>poskytuje</w:t>
      </w:r>
      <w:r>
        <w:rPr>
          <w:color w:val="231F20"/>
          <w:spacing w:val="-4"/>
        </w:rPr>
        <w:t xml:space="preserve"> </w:t>
      </w:r>
      <w:r>
        <w:rPr>
          <w:color w:val="231F20"/>
        </w:rPr>
        <w:t>pojištění</w:t>
      </w:r>
      <w:r>
        <w:rPr>
          <w:color w:val="231F20"/>
          <w:spacing w:val="-4"/>
        </w:rPr>
        <w:t xml:space="preserve"> </w:t>
      </w:r>
      <w:r>
        <w:rPr>
          <w:color w:val="231F20"/>
        </w:rPr>
        <w:t>v</w:t>
      </w:r>
      <w:r>
        <w:rPr>
          <w:color w:val="231F20"/>
          <w:spacing w:val="-4"/>
        </w:rPr>
        <w:t xml:space="preserve"> </w:t>
      </w:r>
      <w:r>
        <w:rPr>
          <w:color w:val="231F20"/>
        </w:rPr>
        <w:t>souladu</w:t>
      </w:r>
      <w:r>
        <w:rPr>
          <w:color w:val="231F20"/>
          <w:spacing w:val="-4"/>
        </w:rPr>
        <w:t xml:space="preserve"> </w:t>
      </w:r>
      <w:r>
        <w:rPr>
          <w:color w:val="231F20"/>
        </w:rPr>
        <w:t>se</w:t>
      </w:r>
      <w:r>
        <w:rPr>
          <w:color w:val="231F20"/>
          <w:spacing w:val="-3"/>
        </w:rPr>
        <w:t xml:space="preserve"> zákonem </w:t>
      </w:r>
      <w:r>
        <w:rPr>
          <w:color w:val="231F20"/>
        </w:rPr>
        <w:t>č. 277/2009 Sb., o pojišťovnictví, v platném</w:t>
      </w:r>
      <w:r>
        <w:rPr>
          <w:color w:val="231F20"/>
          <w:spacing w:val="-20"/>
        </w:rPr>
        <w:t xml:space="preserve"> </w:t>
      </w:r>
      <w:r>
        <w:rPr>
          <w:color w:val="231F20"/>
        </w:rPr>
        <w:t>znění.</w:t>
      </w:r>
    </w:p>
    <w:p w14:paraId="79AC1FEA"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12"/>
          <w:position w:val="1"/>
          <w:sz w:val="14"/>
        </w:rPr>
        <w:t xml:space="preserve"> </w:t>
      </w:r>
      <w:r>
        <w:rPr>
          <w:color w:val="231F20"/>
          <w:spacing w:val="-5"/>
        </w:rPr>
        <w:t>Tyto</w:t>
      </w:r>
      <w:r>
        <w:rPr>
          <w:color w:val="231F20"/>
          <w:spacing w:val="-14"/>
        </w:rPr>
        <w:t xml:space="preserve"> </w:t>
      </w:r>
      <w:r>
        <w:rPr>
          <w:color w:val="231F20"/>
        </w:rPr>
        <w:t>Všeobecné</w:t>
      </w:r>
      <w:r>
        <w:rPr>
          <w:color w:val="231F20"/>
          <w:spacing w:val="-15"/>
        </w:rPr>
        <w:t xml:space="preserve"> </w:t>
      </w:r>
      <w:r>
        <w:rPr>
          <w:color w:val="231F20"/>
        </w:rPr>
        <w:t>pojistné</w:t>
      </w:r>
      <w:r>
        <w:rPr>
          <w:color w:val="231F20"/>
          <w:spacing w:val="-14"/>
        </w:rPr>
        <w:t xml:space="preserve"> </w:t>
      </w:r>
      <w:r>
        <w:rPr>
          <w:color w:val="231F20"/>
        </w:rPr>
        <w:t>podmínky</w:t>
      </w:r>
      <w:r>
        <w:rPr>
          <w:color w:val="231F20"/>
          <w:spacing w:val="-15"/>
        </w:rPr>
        <w:t xml:space="preserve"> </w:t>
      </w:r>
      <w:r>
        <w:rPr>
          <w:color w:val="231F20"/>
        </w:rPr>
        <w:t>pro</w:t>
      </w:r>
      <w:r>
        <w:rPr>
          <w:color w:val="231F20"/>
          <w:spacing w:val="-14"/>
        </w:rPr>
        <w:t xml:space="preserve"> </w:t>
      </w:r>
      <w:r>
        <w:rPr>
          <w:color w:val="231F20"/>
        </w:rPr>
        <w:t>pojištění</w:t>
      </w:r>
      <w:r>
        <w:rPr>
          <w:color w:val="231F20"/>
          <w:spacing w:val="-14"/>
        </w:rPr>
        <w:t xml:space="preserve"> </w:t>
      </w:r>
      <w:r>
        <w:rPr>
          <w:color w:val="231F20"/>
        </w:rPr>
        <w:t>vozidel</w:t>
      </w:r>
      <w:r>
        <w:rPr>
          <w:color w:val="231F20"/>
          <w:spacing w:val="-15"/>
        </w:rPr>
        <w:t xml:space="preserve"> </w:t>
      </w:r>
      <w:r>
        <w:rPr>
          <w:color w:val="231F20"/>
        </w:rPr>
        <w:t>(dále</w:t>
      </w:r>
      <w:r>
        <w:rPr>
          <w:color w:val="231F20"/>
          <w:spacing w:val="-14"/>
        </w:rPr>
        <w:t xml:space="preserve"> </w:t>
      </w:r>
      <w:r>
        <w:rPr>
          <w:color w:val="231F20"/>
        </w:rPr>
        <w:t>jen</w:t>
      </w:r>
      <w:r>
        <w:rPr>
          <w:color w:val="231F20"/>
          <w:spacing w:val="-14"/>
        </w:rPr>
        <w:t xml:space="preserve"> </w:t>
      </w:r>
      <w:r>
        <w:rPr>
          <w:color w:val="231F20"/>
        </w:rPr>
        <w:t>„VPP“)</w:t>
      </w:r>
      <w:r>
        <w:rPr>
          <w:color w:val="231F20"/>
          <w:spacing w:val="-15"/>
        </w:rPr>
        <w:t xml:space="preserve"> </w:t>
      </w:r>
      <w:r>
        <w:rPr>
          <w:color w:val="231F20"/>
        </w:rPr>
        <w:t>upra- vují</w:t>
      </w:r>
      <w:r>
        <w:rPr>
          <w:color w:val="231F20"/>
          <w:spacing w:val="-3"/>
        </w:rPr>
        <w:t xml:space="preserve"> </w:t>
      </w:r>
      <w:r>
        <w:rPr>
          <w:color w:val="231F20"/>
        </w:rPr>
        <w:t>podmínky:</w:t>
      </w:r>
    </w:p>
    <w:p w14:paraId="5B514C0B" w14:textId="77777777" w:rsidR="00F65BCA" w:rsidRDefault="00216117">
      <w:pPr>
        <w:pStyle w:val="Odstavecseseznamem"/>
        <w:numPr>
          <w:ilvl w:val="0"/>
          <w:numId w:val="136"/>
        </w:numPr>
        <w:tabs>
          <w:tab w:val="left" w:pos="881"/>
        </w:tabs>
        <w:spacing w:line="278" w:lineRule="auto"/>
        <w:rPr>
          <w:sz w:val="15"/>
        </w:rPr>
      </w:pPr>
      <w:r>
        <w:rPr>
          <w:color w:val="231F20"/>
          <w:sz w:val="15"/>
        </w:rPr>
        <w:t>pojištění odpovědnosti z provozu vozidla (dále jen „pojištění odpověd- nosti“),</w:t>
      </w:r>
    </w:p>
    <w:p w14:paraId="58DF1B89" w14:textId="77777777" w:rsidR="00F65BCA" w:rsidRDefault="00216117">
      <w:pPr>
        <w:pStyle w:val="Odstavecseseznamem"/>
        <w:numPr>
          <w:ilvl w:val="0"/>
          <w:numId w:val="136"/>
        </w:numPr>
        <w:tabs>
          <w:tab w:val="left" w:pos="881"/>
        </w:tabs>
        <w:rPr>
          <w:sz w:val="15"/>
        </w:rPr>
      </w:pPr>
      <w:r>
        <w:rPr>
          <w:color w:val="231F20"/>
          <w:sz w:val="15"/>
        </w:rPr>
        <w:t>pojištění vozidel a dopravovaných</w:t>
      </w:r>
      <w:r>
        <w:rPr>
          <w:color w:val="231F20"/>
          <w:spacing w:val="-8"/>
          <w:sz w:val="15"/>
        </w:rPr>
        <w:t xml:space="preserve"> </w:t>
      </w:r>
      <w:r>
        <w:rPr>
          <w:color w:val="231F20"/>
          <w:sz w:val="15"/>
        </w:rPr>
        <w:t>věcí,</w:t>
      </w:r>
    </w:p>
    <w:p w14:paraId="023032EF" w14:textId="77777777" w:rsidR="00F65BCA" w:rsidRDefault="00216117">
      <w:pPr>
        <w:pStyle w:val="Odstavecseseznamem"/>
        <w:numPr>
          <w:ilvl w:val="0"/>
          <w:numId w:val="136"/>
        </w:numPr>
        <w:tabs>
          <w:tab w:val="left" w:pos="881"/>
        </w:tabs>
        <w:spacing w:before="26"/>
        <w:rPr>
          <w:sz w:val="15"/>
        </w:rPr>
      </w:pPr>
      <w:r>
        <w:rPr>
          <w:color w:val="231F20"/>
          <w:sz w:val="15"/>
        </w:rPr>
        <w:t>pojištění</w:t>
      </w:r>
      <w:r>
        <w:rPr>
          <w:color w:val="231F20"/>
          <w:spacing w:val="-1"/>
          <w:sz w:val="15"/>
        </w:rPr>
        <w:t xml:space="preserve"> </w:t>
      </w:r>
      <w:r>
        <w:rPr>
          <w:color w:val="231F20"/>
          <w:sz w:val="15"/>
        </w:rPr>
        <w:t>Asistence,</w:t>
      </w:r>
    </w:p>
    <w:p w14:paraId="0E1EBE57" w14:textId="77777777" w:rsidR="00F65BCA" w:rsidRDefault="00216117">
      <w:pPr>
        <w:pStyle w:val="Odstavecseseznamem"/>
        <w:numPr>
          <w:ilvl w:val="0"/>
          <w:numId w:val="136"/>
        </w:numPr>
        <w:tabs>
          <w:tab w:val="left" w:pos="881"/>
        </w:tabs>
        <w:spacing w:before="28"/>
        <w:rPr>
          <w:sz w:val="15"/>
        </w:rPr>
      </w:pPr>
      <w:r>
        <w:rPr>
          <w:color w:val="231F20"/>
          <w:sz w:val="15"/>
        </w:rPr>
        <w:t>úrazového pojištění dopravovaných</w:t>
      </w:r>
      <w:r>
        <w:rPr>
          <w:color w:val="231F20"/>
          <w:spacing w:val="-13"/>
          <w:sz w:val="15"/>
        </w:rPr>
        <w:t xml:space="preserve"> </w:t>
      </w:r>
      <w:r>
        <w:rPr>
          <w:color w:val="231F20"/>
          <w:sz w:val="15"/>
        </w:rPr>
        <w:t>osob.</w:t>
      </w:r>
    </w:p>
    <w:p w14:paraId="4C78B5F8" w14:textId="77777777" w:rsidR="00F65BCA" w:rsidRDefault="00216117">
      <w:pPr>
        <w:pStyle w:val="Zkladntext"/>
        <w:spacing w:before="2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29"/>
          <w:position w:val="1"/>
          <w:sz w:val="14"/>
        </w:rPr>
        <w:t xml:space="preserve"> </w:t>
      </w:r>
      <w:r>
        <w:rPr>
          <w:color w:val="231F20"/>
        </w:rPr>
        <w:t>Pojištění</w:t>
      </w:r>
      <w:r>
        <w:rPr>
          <w:color w:val="231F20"/>
          <w:spacing w:val="-31"/>
        </w:rPr>
        <w:t xml:space="preserve"> </w:t>
      </w:r>
      <w:r>
        <w:rPr>
          <w:color w:val="231F20"/>
        </w:rPr>
        <w:t>se</w:t>
      </w:r>
      <w:r>
        <w:rPr>
          <w:color w:val="231F20"/>
          <w:spacing w:val="-30"/>
        </w:rPr>
        <w:t xml:space="preserve"> </w:t>
      </w:r>
      <w:r>
        <w:rPr>
          <w:color w:val="231F20"/>
        </w:rPr>
        <w:t>řídí</w:t>
      </w:r>
      <w:r>
        <w:rPr>
          <w:color w:val="231F20"/>
          <w:spacing w:val="-31"/>
        </w:rPr>
        <w:t xml:space="preserve"> </w:t>
      </w:r>
      <w:r>
        <w:rPr>
          <w:color w:val="231F20"/>
        </w:rPr>
        <w:t>zákonem</w:t>
      </w:r>
      <w:r>
        <w:rPr>
          <w:color w:val="231F20"/>
          <w:spacing w:val="-31"/>
        </w:rPr>
        <w:t xml:space="preserve"> </w:t>
      </w:r>
      <w:r>
        <w:rPr>
          <w:color w:val="231F20"/>
          <w:spacing w:val="-3"/>
        </w:rPr>
        <w:t>č.</w:t>
      </w:r>
      <w:r>
        <w:rPr>
          <w:color w:val="231F20"/>
          <w:spacing w:val="-31"/>
        </w:rPr>
        <w:t xml:space="preserve"> </w:t>
      </w:r>
      <w:r>
        <w:rPr>
          <w:color w:val="231F20"/>
          <w:spacing w:val="-5"/>
        </w:rPr>
        <w:t>89/2012</w:t>
      </w:r>
      <w:r>
        <w:rPr>
          <w:color w:val="231F20"/>
          <w:spacing w:val="-30"/>
        </w:rPr>
        <w:t xml:space="preserve"> </w:t>
      </w:r>
      <w:r>
        <w:rPr>
          <w:color w:val="231F20"/>
          <w:spacing w:val="-4"/>
        </w:rPr>
        <w:t>Sb.,</w:t>
      </w:r>
      <w:r>
        <w:rPr>
          <w:color w:val="231F20"/>
          <w:spacing w:val="-31"/>
        </w:rPr>
        <w:t xml:space="preserve"> </w:t>
      </w:r>
      <w:r>
        <w:rPr>
          <w:color w:val="231F20"/>
        </w:rPr>
        <w:t>občanský</w:t>
      </w:r>
      <w:r>
        <w:rPr>
          <w:color w:val="231F20"/>
          <w:spacing w:val="-31"/>
        </w:rPr>
        <w:t xml:space="preserve"> </w:t>
      </w:r>
      <w:r>
        <w:rPr>
          <w:color w:val="231F20"/>
        </w:rPr>
        <w:t>zákoník,</w:t>
      </w:r>
      <w:r>
        <w:rPr>
          <w:color w:val="231F20"/>
          <w:spacing w:val="-30"/>
        </w:rPr>
        <w:t xml:space="preserve"> </w:t>
      </w:r>
      <w:r>
        <w:rPr>
          <w:color w:val="231F20"/>
        </w:rPr>
        <w:t>v</w:t>
      </w:r>
      <w:r>
        <w:rPr>
          <w:color w:val="231F20"/>
          <w:spacing w:val="-31"/>
        </w:rPr>
        <w:t xml:space="preserve"> </w:t>
      </w:r>
      <w:r>
        <w:rPr>
          <w:color w:val="231F20"/>
        </w:rPr>
        <w:t>platném</w:t>
      </w:r>
      <w:r>
        <w:rPr>
          <w:color w:val="231F20"/>
          <w:spacing w:val="-31"/>
        </w:rPr>
        <w:t xml:space="preserve"> </w:t>
      </w:r>
      <w:r>
        <w:rPr>
          <w:color w:val="231F20"/>
        </w:rPr>
        <w:t>znění</w:t>
      </w:r>
      <w:r>
        <w:rPr>
          <w:color w:val="231F20"/>
          <w:spacing w:val="-31"/>
        </w:rPr>
        <w:t xml:space="preserve"> </w:t>
      </w:r>
      <w:r>
        <w:rPr>
          <w:color w:val="231F20"/>
        </w:rPr>
        <w:t xml:space="preserve">(dále jen „zákoník“) a pojištění odpovědnosti se dále řídí zákonem </w:t>
      </w:r>
      <w:r>
        <w:rPr>
          <w:color w:val="231F20"/>
          <w:spacing w:val="-3"/>
        </w:rPr>
        <w:t xml:space="preserve">č. </w:t>
      </w:r>
      <w:r>
        <w:rPr>
          <w:color w:val="231F20"/>
          <w:spacing w:val="-4"/>
        </w:rPr>
        <w:t>30/2024</w:t>
      </w:r>
      <w:r>
        <w:rPr>
          <w:color w:val="231F20"/>
          <w:spacing w:val="-30"/>
        </w:rPr>
        <w:t xml:space="preserve"> </w:t>
      </w:r>
      <w:r>
        <w:rPr>
          <w:color w:val="231F20"/>
          <w:spacing w:val="-4"/>
        </w:rPr>
        <w:t xml:space="preserve">Sb., </w:t>
      </w:r>
      <w:r>
        <w:rPr>
          <w:color w:val="231F20"/>
        </w:rPr>
        <w:t>o</w:t>
      </w:r>
      <w:r>
        <w:rPr>
          <w:color w:val="231F20"/>
          <w:spacing w:val="-11"/>
        </w:rPr>
        <w:t xml:space="preserve"> </w:t>
      </w:r>
      <w:r>
        <w:rPr>
          <w:color w:val="231F20"/>
        </w:rPr>
        <w:t>pojištění</w:t>
      </w:r>
      <w:r>
        <w:rPr>
          <w:color w:val="231F20"/>
          <w:spacing w:val="-10"/>
        </w:rPr>
        <w:t xml:space="preserve"> </w:t>
      </w:r>
      <w:r>
        <w:rPr>
          <w:color w:val="231F20"/>
        </w:rPr>
        <w:t>odpovědnosti</w:t>
      </w:r>
      <w:r>
        <w:rPr>
          <w:color w:val="231F20"/>
          <w:spacing w:val="-10"/>
        </w:rPr>
        <w:t xml:space="preserve"> </w:t>
      </w:r>
      <w:r>
        <w:rPr>
          <w:color w:val="231F20"/>
        </w:rPr>
        <w:t>z</w:t>
      </w:r>
      <w:r>
        <w:rPr>
          <w:color w:val="231F20"/>
          <w:spacing w:val="-10"/>
        </w:rPr>
        <w:t xml:space="preserve"> </w:t>
      </w:r>
      <w:r>
        <w:rPr>
          <w:color w:val="231F20"/>
          <w:spacing w:val="-3"/>
        </w:rPr>
        <w:t>provozu</w:t>
      </w:r>
      <w:r>
        <w:rPr>
          <w:color w:val="231F20"/>
          <w:spacing w:val="-10"/>
        </w:rPr>
        <w:t xml:space="preserve"> </w:t>
      </w:r>
      <w:r>
        <w:rPr>
          <w:color w:val="231F20"/>
        </w:rPr>
        <w:t>vozidla</w:t>
      </w:r>
      <w:r>
        <w:rPr>
          <w:color w:val="231F20"/>
          <w:spacing w:val="-8"/>
        </w:rPr>
        <w:t xml:space="preserve"> </w:t>
      </w:r>
      <w:r>
        <w:rPr>
          <w:color w:val="231F20"/>
        </w:rPr>
        <w:t>(dále</w:t>
      </w:r>
      <w:r>
        <w:rPr>
          <w:color w:val="231F20"/>
          <w:spacing w:val="-7"/>
        </w:rPr>
        <w:t xml:space="preserve"> </w:t>
      </w:r>
      <w:r>
        <w:rPr>
          <w:color w:val="231F20"/>
        </w:rPr>
        <w:t>jen</w:t>
      </w:r>
      <w:r>
        <w:rPr>
          <w:color w:val="231F20"/>
          <w:spacing w:val="-6"/>
        </w:rPr>
        <w:t xml:space="preserve"> </w:t>
      </w:r>
      <w:r>
        <w:rPr>
          <w:color w:val="231F20"/>
        </w:rPr>
        <w:t>„ZPOV“).</w:t>
      </w:r>
    </w:p>
    <w:p w14:paraId="4DE9DBEF"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4"/>
          <w:position w:val="1"/>
          <w:sz w:val="14"/>
        </w:rPr>
        <w:t xml:space="preserve"> </w:t>
      </w:r>
      <w:r>
        <w:rPr>
          <w:color w:val="231F20"/>
        </w:rPr>
        <w:t>Pojištění</w:t>
      </w:r>
      <w:r>
        <w:rPr>
          <w:color w:val="231F20"/>
          <w:spacing w:val="-18"/>
        </w:rPr>
        <w:t xml:space="preserve"> </w:t>
      </w:r>
      <w:r>
        <w:rPr>
          <w:color w:val="231F20"/>
        </w:rPr>
        <w:t>se</w:t>
      </w:r>
      <w:r>
        <w:rPr>
          <w:color w:val="231F20"/>
          <w:spacing w:val="-17"/>
        </w:rPr>
        <w:t xml:space="preserve"> </w:t>
      </w:r>
      <w:r>
        <w:rPr>
          <w:color w:val="231F20"/>
        </w:rPr>
        <w:t>dále</w:t>
      </w:r>
      <w:r>
        <w:rPr>
          <w:color w:val="231F20"/>
          <w:spacing w:val="-17"/>
        </w:rPr>
        <w:t xml:space="preserve"> </w:t>
      </w:r>
      <w:r>
        <w:rPr>
          <w:color w:val="231F20"/>
        </w:rPr>
        <w:t>řídí</w:t>
      </w:r>
      <w:r>
        <w:rPr>
          <w:color w:val="231F20"/>
          <w:spacing w:val="-18"/>
        </w:rPr>
        <w:t xml:space="preserve"> </w:t>
      </w:r>
      <w:r>
        <w:rPr>
          <w:color w:val="231F20"/>
          <w:spacing w:val="-7"/>
        </w:rPr>
        <w:t>VPP,</w:t>
      </w:r>
      <w:r>
        <w:rPr>
          <w:color w:val="231F20"/>
          <w:spacing w:val="-17"/>
        </w:rPr>
        <w:t xml:space="preserve"> </w:t>
      </w:r>
      <w:r>
        <w:rPr>
          <w:color w:val="231F20"/>
        </w:rPr>
        <w:t>pojistnou</w:t>
      </w:r>
      <w:r>
        <w:rPr>
          <w:color w:val="231F20"/>
          <w:spacing w:val="-18"/>
        </w:rPr>
        <w:t xml:space="preserve"> </w:t>
      </w:r>
      <w:r>
        <w:rPr>
          <w:color w:val="231F20"/>
        </w:rPr>
        <w:t>smlouvou</w:t>
      </w:r>
      <w:r>
        <w:rPr>
          <w:color w:val="231F20"/>
          <w:spacing w:val="-17"/>
        </w:rPr>
        <w:t xml:space="preserve"> </w:t>
      </w:r>
      <w:r>
        <w:rPr>
          <w:color w:val="231F20"/>
        </w:rPr>
        <w:t>o</w:t>
      </w:r>
      <w:r>
        <w:rPr>
          <w:color w:val="231F20"/>
          <w:spacing w:val="-17"/>
        </w:rPr>
        <w:t xml:space="preserve"> </w:t>
      </w:r>
      <w:r>
        <w:rPr>
          <w:color w:val="231F20"/>
        </w:rPr>
        <w:t>pojištění</w:t>
      </w:r>
      <w:r>
        <w:rPr>
          <w:color w:val="231F20"/>
          <w:spacing w:val="-18"/>
        </w:rPr>
        <w:t xml:space="preserve"> </w:t>
      </w:r>
      <w:r>
        <w:rPr>
          <w:color w:val="231F20"/>
        </w:rPr>
        <w:t>souboru</w:t>
      </w:r>
      <w:r>
        <w:rPr>
          <w:color w:val="231F20"/>
          <w:spacing w:val="-17"/>
        </w:rPr>
        <w:t xml:space="preserve"> </w:t>
      </w:r>
      <w:r>
        <w:rPr>
          <w:color w:val="231F20"/>
        </w:rPr>
        <w:t>vozidel</w:t>
      </w:r>
      <w:r>
        <w:rPr>
          <w:color w:val="231F20"/>
          <w:spacing w:val="-17"/>
        </w:rPr>
        <w:t xml:space="preserve"> </w:t>
      </w:r>
      <w:r>
        <w:rPr>
          <w:color w:val="231F20"/>
        </w:rPr>
        <w:t>(dále jen „pojistná smlouva“), seznamem pojištěných vozidel (dále jen „seznam vozidel“)</w:t>
      </w:r>
      <w:r>
        <w:rPr>
          <w:color w:val="231F20"/>
          <w:spacing w:val="-11"/>
        </w:rPr>
        <w:t xml:space="preserve"> </w:t>
      </w:r>
      <w:r>
        <w:rPr>
          <w:color w:val="231F20"/>
        </w:rPr>
        <w:t>a</w:t>
      </w:r>
      <w:r>
        <w:rPr>
          <w:color w:val="231F20"/>
          <w:spacing w:val="-10"/>
        </w:rPr>
        <w:t xml:space="preserve"> </w:t>
      </w:r>
      <w:r>
        <w:rPr>
          <w:color w:val="231F20"/>
        </w:rPr>
        <w:t>sazebníkem</w:t>
      </w:r>
      <w:r>
        <w:rPr>
          <w:color w:val="231F20"/>
          <w:spacing w:val="-11"/>
        </w:rPr>
        <w:t xml:space="preserve"> </w:t>
      </w:r>
      <w:r>
        <w:rPr>
          <w:color w:val="231F20"/>
        </w:rPr>
        <w:t>administrativních</w:t>
      </w:r>
      <w:r>
        <w:rPr>
          <w:color w:val="231F20"/>
          <w:spacing w:val="-10"/>
        </w:rPr>
        <w:t xml:space="preserve"> </w:t>
      </w:r>
      <w:r>
        <w:rPr>
          <w:color w:val="231F20"/>
        </w:rPr>
        <w:t>poplatků.</w:t>
      </w:r>
      <w:r>
        <w:rPr>
          <w:color w:val="231F20"/>
          <w:spacing w:val="-11"/>
        </w:rPr>
        <w:t xml:space="preserve"> </w:t>
      </w:r>
      <w:r>
        <w:rPr>
          <w:color w:val="231F20"/>
        </w:rPr>
        <w:t>Ujednání</w:t>
      </w:r>
      <w:r>
        <w:rPr>
          <w:color w:val="231F20"/>
          <w:spacing w:val="-10"/>
        </w:rPr>
        <w:t xml:space="preserve"> </w:t>
      </w:r>
      <w:r>
        <w:rPr>
          <w:color w:val="231F20"/>
        </w:rPr>
        <w:t>pojistné</w:t>
      </w:r>
      <w:r>
        <w:rPr>
          <w:color w:val="231F20"/>
          <w:spacing w:val="-11"/>
        </w:rPr>
        <w:t xml:space="preserve"> </w:t>
      </w:r>
      <w:r>
        <w:rPr>
          <w:color w:val="231F20"/>
        </w:rPr>
        <w:t>smlou- vy</w:t>
      </w:r>
      <w:r>
        <w:rPr>
          <w:color w:val="231F20"/>
          <w:spacing w:val="-19"/>
        </w:rPr>
        <w:t xml:space="preserve"> </w:t>
      </w:r>
      <w:r>
        <w:rPr>
          <w:color w:val="231F20"/>
        </w:rPr>
        <w:t>mají</w:t>
      </w:r>
      <w:r>
        <w:rPr>
          <w:color w:val="231F20"/>
          <w:spacing w:val="-19"/>
        </w:rPr>
        <w:t xml:space="preserve"> </w:t>
      </w:r>
      <w:r>
        <w:rPr>
          <w:color w:val="231F20"/>
        </w:rPr>
        <w:t>přednost</w:t>
      </w:r>
      <w:r>
        <w:rPr>
          <w:color w:val="231F20"/>
          <w:spacing w:val="-19"/>
        </w:rPr>
        <w:t xml:space="preserve"> </w:t>
      </w:r>
      <w:r>
        <w:rPr>
          <w:color w:val="231F20"/>
        </w:rPr>
        <w:t>před</w:t>
      </w:r>
      <w:r>
        <w:rPr>
          <w:color w:val="231F20"/>
          <w:spacing w:val="-18"/>
        </w:rPr>
        <w:t xml:space="preserve"> </w:t>
      </w:r>
      <w:r>
        <w:rPr>
          <w:color w:val="231F20"/>
        </w:rPr>
        <w:t>ustanoveními</w:t>
      </w:r>
      <w:r>
        <w:rPr>
          <w:color w:val="231F20"/>
          <w:spacing w:val="-19"/>
        </w:rPr>
        <w:t xml:space="preserve"> </w:t>
      </w:r>
      <w:r>
        <w:rPr>
          <w:color w:val="231F20"/>
          <w:spacing w:val="-7"/>
        </w:rPr>
        <w:t>VPP.</w:t>
      </w:r>
      <w:r>
        <w:rPr>
          <w:color w:val="231F20"/>
          <w:spacing w:val="-19"/>
        </w:rPr>
        <w:t xml:space="preserve"> </w:t>
      </w:r>
      <w:r>
        <w:rPr>
          <w:color w:val="231F20"/>
        </w:rPr>
        <w:t>Ustanovení</w:t>
      </w:r>
      <w:r>
        <w:rPr>
          <w:color w:val="231F20"/>
          <w:spacing w:val="-18"/>
        </w:rPr>
        <w:t xml:space="preserve"> </w:t>
      </w:r>
      <w:r>
        <w:rPr>
          <w:color w:val="231F20"/>
        </w:rPr>
        <w:t>VPP</w:t>
      </w:r>
      <w:r>
        <w:rPr>
          <w:color w:val="231F20"/>
          <w:spacing w:val="-19"/>
        </w:rPr>
        <w:t xml:space="preserve"> </w:t>
      </w:r>
      <w:r>
        <w:rPr>
          <w:color w:val="231F20"/>
        </w:rPr>
        <w:t>mají</w:t>
      </w:r>
      <w:r>
        <w:rPr>
          <w:color w:val="231F20"/>
          <w:spacing w:val="-19"/>
        </w:rPr>
        <w:t xml:space="preserve"> </w:t>
      </w:r>
      <w:r>
        <w:rPr>
          <w:color w:val="231F20"/>
        </w:rPr>
        <w:t>přednost</w:t>
      </w:r>
      <w:r>
        <w:rPr>
          <w:color w:val="231F20"/>
          <w:spacing w:val="-19"/>
        </w:rPr>
        <w:t xml:space="preserve"> </w:t>
      </w:r>
      <w:r>
        <w:rPr>
          <w:color w:val="231F20"/>
        </w:rPr>
        <w:t xml:space="preserve">před </w:t>
      </w:r>
      <w:r>
        <w:rPr>
          <w:color w:val="231F20"/>
          <w:w w:val="95"/>
        </w:rPr>
        <w:t>ustanoveními</w:t>
      </w:r>
      <w:r>
        <w:rPr>
          <w:color w:val="231F20"/>
          <w:spacing w:val="-6"/>
          <w:w w:val="95"/>
        </w:rPr>
        <w:t xml:space="preserve"> </w:t>
      </w:r>
      <w:r>
        <w:rPr>
          <w:color w:val="231F20"/>
          <w:w w:val="95"/>
        </w:rPr>
        <w:t>právních</w:t>
      </w:r>
      <w:r>
        <w:rPr>
          <w:color w:val="231F20"/>
          <w:spacing w:val="-6"/>
          <w:w w:val="95"/>
        </w:rPr>
        <w:t xml:space="preserve"> </w:t>
      </w:r>
      <w:r>
        <w:rPr>
          <w:color w:val="231F20"/>
          <w:w w:val="95"/>
        </w:rPr>
        <w:t>předpisů.</w:t>
      </w:r>
      <w:r>
        <w:rPr>
          <w:color w:val="231F20"/>
          <w:spacing w:val="-5"/>
          <w:w w:val="95"/>
        </w:rPr>
        <w:t xml:space="preserve"> </w:t>
      </w:r>
      <w:r>
        <w:rPr>
          <w:color w:val="231F20"/>
          <w:w w:val="95"/>
        </w:rPr>
        <w:t>Nejsou-li</w:t>
      </w:r>
      <w:r>
        <w:rPr>
          <w:color w:val="231F20"/>
          <w:spacing w:val="-6"/>
          <w:w w:val="95"/>
        </w:rPr>
        <w:t xml:space="preserve"> </w:t>
      </w:r>
      <w:r>
        <w:rPr>
          <w:color w:val="231F20"/>
          <w:w w:val="95"/>
        </w:rPr>
        <w:t>některá</w:t>
      </w:r>
      <w:r>
        <w:rPr>
          <w:color w:val="231F20"/>
          <w:spacing w:val="-6"/>
          <w:w w:val="95"/>
        </w:rPr>
        <w:t xml:space="preserve"> </w:t>
      </w:r>
      <w:r>
        <w:rPr>
          <w:color w:val="231F20"/>
          <w:w w:val="95"/>
        </w:rPr>
        <w:t>práva</w:t>
      </w:r>
      <w:r>
        <w:rPr>
          <w:color w:val="231F20"/>
          <w:spacing w:val="-5"/>
          <w:w w:val="95"/>
        </w:rPr>
        <w:t xml:space="preserve"> </w:t>
      </w:r>
      <w:r>
        <w:rPr>
          <w:color w:val="231F20"/>
          <w:w w:val="95"/>
        </w:rPr>
        <w:t>a</w:t>
      </w:r>
      <w:r>
        <w:rPr>
          <w:color w:val="231F20"/>
          <w:spacing w:val="-6"/>
          <w:w w:val="95"/>
        </w:rPr>
        <w:t xml:space="preserve"> </w:t>
      </w:r>
      <w:r>
        <w:rPr>
          <w:color w:val="231F20"/>
          <w:w w:val="95"/>
        </w:rPr>
        <w:t>povinnosti</w:t>
      </w:r>
      <w:r>
        <w:rPr>
          <w:color w:val="231F20"/>
          <w:spacing w:val="-5"/>
          <w:w w:val="95"/>
        </w:rPr>
        <w:t xml:space="preserve"> </w:t>
      </w:r>
      <w:r>
        <w:rPr>
          <w:color w:val="231F20"/>
          <w:w w:val="95"/>
        </w:rPr>
        <w:t xml:space="preserve">účastníků </w:t>
      </w:r>
      <w:r>
        <w:rPr>
          <w:color w:val="231F20"/>
        </w:rPr>
        <w:t>pojištění,</w:t>
      </w:r>
      <w:r>
        <w:rPr>
          <w:color w:val="231F20"/>
          <w:spacing w:val="-26"/>
        </w:rPr>
        <w:t xml:space="preserve"> </w:t>
      </w:r>
      <w:r>
        <w:rPr>
          <w:color w:val="231F20"/>
        </w:rPr>
        <w:t>jakož</w:t>
      </w:r>
      <w:r>
        <w:rPr>
          <w:color w:val="231F20"/>
          <w:spacing w:val="-26"/>
        </w:rPr>
        <w:t xml:space="preserve"> </w:t>
      </w:r>
      <w:r>
        <w:rPr>
          <w:color w:val="231F20"/>
        </w:rPr>
        <w:t>i</w:t>
      </w:r>
      <w:r>
        <w:rPr>
          <w:color w:val="231F20"/>
          <w:spacing w:val="-26"/>
        </w:rPr>
        <w:t xml:space="preserve"> </w:t>
      </w:r>
      <w:r>
        <w:rPr>
          <w:color w:val="231F20"/>
        </w:rPr>
        <w:t>pojmy</w:t>
      </w:r>
      <w:r>
        <w:rPr>
          <w:color w:val="231F20"/>
          <w:spacing w:val="-25"/>
        </w:rPr>
        <w:t xml:space="preserve"> </w:t>
      </w:r>
      <w:r>
        <w:rPr>
          <w:color w:val="231F20"/>
        </w:rPr>
        <w:t>a</w:t>
      </w:r>
      <w:r>
        <w:rPr>
          <w:color w:val="231F20"/>
          <w:spacing w:val="-26"/>
        </w:rPr>
        <w:t xml:space="preserve"> </w:t>
      </w:r>
      <w:r>
        <w:rPr>
          <w:color w:val="231F20"/>
        </w:rPr>
        <w:t>definice</w:t>
      </w:r>
      <w:r>
        <w:rPr>
          <w:color w:val="231F20"/>
          <w:spacing w:val="-26"/>
        </w:rPr>
        <w:t xml:space="preserve"> </w:t>
      </w:r>
      <w:r>
        <w:rPr>
          <w:color w:val="231F20"/>
        </w:rPr>
        <w:t>upraveny</w:t>
      </w:r>
      <w:r>
        <w:rPr>
          <w:color w:val="231F20"/>
          <w:spacing w:val="-25"/>
        </w:rPr>
        <w:t xml:space="preserve"> </w:t>
      </w:r>
      <w:r>
        <w:rPr>
          <w:color w:val="231F20"/>
        </w:rPr>
        <w:t>v</w:t>
      </w:r>
      <w:r>
        <w:rPr>
          <w:color w:val="231F20"/>
          <w:spacing w:val="-26"/>
        </w:rPr>
        <w:t xml:space="preserve"> </w:t>
      </w:r>
      <w:r>
        <w:rPr>
          <w:color w:val="231F20"/>
        </w:rPr>
        <w:t>pojistné</w:t>
      </w:r>
      <w:r>
        <w:rPr>
          <w:color w:val="231F20"/>
          <w:spacing w:val="-26"/>
        </w:rPr>
        <w:t xml:space="preserve"> </w:t>
      </w:r>
      <w:r>
        <w:rPr>
          <w:color w:val="231F20"/>
        </w:rPr>
        <w:t>smlouvě</w:t>
      </w:r>
      <w:r>
        <w:rPr>
          <w:color w:val="231F20"/>
          <w:spacing w:val="-25"/>
        </w:rPr>
        <w:t xml:space="preserve"> </w:t>
      </w:r>
      <w:r>
        <w:rPr>
          <w:color w:val="231F20"/>
        </w:rPr>
        <w:t>nebo</w:t>
      </w:r>
      <w:r>
        <w:rPr>
          <w:color w:val="231F20"/>
          <w:spacing w:val="-26"/>
        </w:rPr>
        <w:t xml:space="preserve"> </w:t>
      </w:r>
      <w:r>
        <w:rPr>
          <w:color w:val="231F20"/>
        </w:rPr>
        <w:t>ve</w:t>
      </w:r>
      <w:r>
        <w:rPr>
          <w:color w:val="231F20"/>
          <w:spacing w:val="-26"/>
        </w:rPr>
        <w:t xml:space="preserve"> </w:t>
      </w:r>
      <w:r>
        <w:rPr>
          <w:color w:val="231F20"/>
          <w:spacing w:val="-7"/>
        </w:rPr>
        <w:t>VPP,</w:t>
      </w:r>
      <w:r>
        <w:rPr>
          <w:color w:val="231F20"/>
          <w:spacing w:val="-25"/>
        </w:rPr>
        <w:t xml:space="preserve"> </w:t>
      </w:r>
      <w:r>
        <w:rPr>
          <w:color w:val="231F20"/>
        </w:rPr>
        <w:t>řídí se ZPOV a</w:t>
      </w:r>
      <w:r>
        <w:rPr>
          <w:color w:val="231F20"/>
          <w:spacing w:val="-9"/>
        </w:rPr>
        <w:t xml:space="preserve"> </w:t>
      </w:r>
      <w:r>
        <w:rPr>
          <w:color w:val="231F20"/>
        </w:rPr>
        <w:t>zákoníkem.</w:t>
      </w:r>
    </w:p>
    <w:p w14:paraId="1FA74ECC" w14:textId="77777777" w:rsidR="00F65BCA" w:rsidRDefault="00216117">
      <w:pPr>
        <w:pStyle w:val="Zkladntext"/>
        <w:spacing w:line="278" w:lineRule="auto"/>
        <w:ind w:left="710" w:right="1"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spacing w:val="27"/>
          <w:position w:val="1"/>
          <w:sz w:val="14"/>
        </w:rPr>
        <w:t xml:space="preserve"> </w:t>
      </w:r>
      <w:r>
        <w:rPr>
          <w:color w:val="231F20"/>
        </w:rPr>
        <w:t>Ustanovení</w:t>
      </w:r>
      <w:r>
        <w:rPr>
          <w:color w:val="231F20"/>
          <w:spacing w:val="-16"/>
        </w:rPr>
        <w:t xml:space="preserve"> </w:t>
      </w:r>
      <w:r>
        <w:rPr>
          <w:color w:val="231F20"/>
        </w:rPr>
        <w:t>této</w:t>
      </w:r>
      <w:r>
        <w:rPr>
          <w:color w:val="231F20"/>
          <w:spacing w:val="-16"/>
        </w:rPr>
        <w:t xml:space="preserve"> </w:t>
      </w:r>
      <w:r>
        <w:rPr>
          <w:color w:val="231F20"/>
        </w:rPr>
        <w:t>části</w:t>
      </w:r>
      <w:r>
        <w:rPr>
          <w:color w:val="231F20"/>
          <w:spacing w:val="-17"/>
        </w:rPr>
        <w:t xml:space="preserve"> </w:t>
      </w:r>
      <w:r>
        <w:rPr>
          <w:color w:val="231F20"/>
        </w:rPr>
        <w:t>A.</w:t>
      </w:r>
      <w:r>
        <w:rPr>
          <w:color w:val="231F20"/>
          <w:spacing w:val="-16"/>
        </w:rPr>
        <w:t xml:space="preserve"> </w:t>
      </w:r>
      <w:r>
        <w:rPr>
          <w:color w:val="231F20"/>
        </w:rPr>
        <w:t>–</w:t>
      </w:r>
      <w:r>
        <w:rPr>
          <w:color w:val="231F20"/>
          <w:spacing w:val="-16"/>
        </w:rPr>
        <w:t xml:space="preserve"> </w:t>
      </w:r>
      <w:r>
        <w:rPr>
          <w:color w:val="231F20"/>
        </w:rPr>
        <w:t>Obecná</w:t>
      </w:r>
      <w:r>
        <w:rPr>
          <w:color w:val="231F20"/>
          <w:spacing w:val="-16"/>
        </w:rPr>
        <w:t xml:space="preserve"> </w:t>
      </w:r>
      <w:r>
        <w:rPr>
          <w:color w:val="231F20"/>
        </w:rPr>
        <w:t>ustanovení</w:t>
      </w:r>
      <w:r>
        <w:rPr>
          <w:color w:val="231F20"/>
          <w:spacing w:val="-17"/>
        </w:rPr>
        <w:t xml:space="preserve"> </w:t>
      </w:r>
      <w:r>
        <w:rPr>
          <w:color w:val="231F20"/>
        </w:rPr>
        <w:t>–</w:t>
      </w:r>
      <w:r>
        <w:rPr>
          <w:color w:val="231F20"/>
          <w:spacing w:val="-16"/>
        </w:rPr>
        <w:t xml:space="preserve"> </w:t>
      </w:r>
      <w:r>
        <w:rPr>
          <w:color w:val="231F20"/>
        </w:rPr>
        <w:t>platí</w:t>
      </w:r>
      <w:r>
        <w:rPr>
          <w:color w:val="231F20"/>
          <w:spacing w:val="-16"/>
        </w:rPr>
        <w:t xml:space="preserve"> </w:t>
      </w:r>
      <w:r>
        <w:rPr>
          <w:color w:val="231F20"/>
        </w:rPr>
        <w:t>i</w:t>
      </w:r>
      <w:r>
        <w:rPr>
          <w:color w:val="231F20"/>
          <w:spacing w:val="-16"/>
        </w:rPr>
        <w:t xml:space="preserve"> </w:t>
      </w:r>
      <w:r>
        <w:rPr>
          <w:color w:val="231F20"/>
        </w:rPr>
        <w:t>pro</w:t>
      </w:r>
      <w:r>
        <w:rPr>
          <w:color w:val="231F20"/>
          <w:spacing w:val="-17"/>
        </w:rPr>
        <w:t xml:space="preserve"> </w:t>
      </w:r>
      <w:r>
        <w:rPr>
          <w:color w:val="231F20"/>
        </w:rPr>
        <w:t>všechna</w:t>
      </w:r>
      <w:r>
        <w:rPr>
          <w:color w:val="231F20"/>
          <w:spacing w:val="-16"/>
        </w:rPr>
        <w:t xml:space="preserve"> </w:t>
      </w:r>
      <w:r>
        <w:rPr>
          <w:color w:val="231F20"/>
        </w:rPr>
        <w:t>ustanovení části B. – Zvláštní</w:t>
      </w:r>
      <w:r>
        <w:rPr>
          <w:color w:val="231F20"/>
          <w:spacing w:val="-8"/>
        </w:rPr>
        <w:t xml:space="preserve"> </w:t>
      </w:r>
      <w:r>
        <w:rPr>
          <w:color w:val="231F20"/>
        </w:rPr>
        <w:t>část.</w:t>
      </w:r>
    </w:p>
    <w:p w14:paraId="70869BF5" w14:textId="77777777" w:rsidR="00F65BCA" w:rsidRDefault="00F65BCA">
      <w:pPr>
        <w:pStyle w:val="Zkladntext"/>
        <w:spacing w:before="8"/>
        <w:rPr>
          <w:sz w:val="20"/>
        </w:rPr>
      </w:pPr>
    </w:p>
    <w:p w14:paraId="7719FA84" w14:textId="77777777" w:rsidR="00F65BCA" w:rsidRDefault="00216117">
      <w:pPr>
        <w:ind w:left="428"/>
        <w:rPr>
          <w:sz w:val="15"/>
        </w:rPr>
      </w:pPr>
      <w:r>
        <w:rPr>
          <w:color w:val="FFFFFF"/>
          <w:position w:val="3"/>
          <w:sz w:val="16"/>
          <w:shd w:val="clear" w:color="auto" w:fill="808285"/>
        </w:rPr>
        <w:t xml:space="preserve">  Článek 2</w:t>
      </w:r>
      <w:r>
        <w:rPr>
          <w:color w:val="FFFFFF"/>
          <w:position w:val="3"/>
          <w:sz w:val="16"/>
        </w:rPr>
        <w:t xml:space="preserve"> </w:t>
      </w:r>
      <w:r>
        <w:rPr>
          <w:color w:val="231F20"/>
          <w:sz w:val="15"/>
        </w:rPr>
        <w:t>Výkladová ustanovení</w:t>
      </w:r>
    </w:p>
    <w:p w14:paraId="3AAC852D" w14:textId="77777777" w:rsidR="00F65BCA" w:rsidRDefault="00216117">
      <w:pPr>
        <w:pStyle w:val="Zkladntext"/>
        <w:spacing w:before="148" w:line="278" w:lineRule="auto"/>
        <w:ind w:left="426"/>
        <w:jc w:val="both"/>
      </w:pPr>
      <w:r>
        <w:rPr>
          <w:color w:val="231F20"/>
        </w:rPr>
        <w:t>Autorizovaným</w:t>
      </w:r>
      <w:r>
        <w:rPr>
          <w:color w:val="231F20"/>
          <w:spacing w:val="-8"/>
        </w:rPr>
        <w:t xml:space="preserve"> </w:t>
      </w:r>
      <w:r>
        <w:rPr>
          <w:color w:val="231F20"/>
        </w:rPr>
        <w:t>servisem</w:t>
      </w:r>
      <w:r>
        <w:rPr>
          <w:color w:val="231F20"/>
          <w:spacing w:val="-7"/>
        </w:rPr>
        <w:t xml:space="preserve"> </w:t>
      </w:r>
      <w:r>
        <w:rPr>
          <w:color w:val="231F20"/>
        </w:rPr>
        <w:t>(opravnou)</w:t>
      </w:r>
      <w:r>
        <w:rPr>
          <w:color w:val="231F20"/>
          <w:spacing w:val="-7"/>
        </w:rPr>
        <w:t xml:space="preserve"> </w:t>
      </w:r>
      <w:r>
        <w:rPr>
          <w:color w:val="231F20"/>
        </w:rPr>
        <w:t>se</w:t>
      </w:r>
      <w:r>
        <w:rPr>
          <w:color w:val="231F20"/>
          <w:spacing w:val="-7"/>
        </w:rPr>
        <w:t xml:space="preserve"> </w:t>
      </w:r>
      <w:r>
        <w:rPr>
          <w:color w:val="231F20"/>
        </w:rPr>
        <w:t>rozumí</w:t>
      </w:r>
      <w:r>
        <w:rPr>
          <w:color w:val="231F20"/>
          <w:spacing w:val="-8"/>
        </w:rPr>
        <w:t xml:space="preserve"> </w:t>
      </w:r>
      <w:r>
        <w:rPr>
          <w:color w:val="231F20"/>
        </w:rPr>
        <w:t>servis,</w:t>
      </w:r>
      <w:r>
        <w:rPr>
          <w:color w:val="231F20"/>
          <w:spacing w:val="-7"/>
        </w:rPr>
        <w:t xml:space="preserve"> </w:t>
      </w:r>
      <w:r>
        <w:rPr>
          <w:color w:val="231F20"/>
        </w:rPr>
        <w:t>jehož</w:t>
      </w:r>
      <w:r>
        <w:rPr>
          <w:color w:val="231F20"/>
          <w:spacing w:val="-7"/>
        </w:rPr>
        <w:t xml:space="preserve"> </w:t>
      </w:r>
      <w:r>
        <w:rPr>
          <w:color w:val="231F20"/>
        </w:rPr>
        <w:t>jméno</w:t>
      </w:r>
      <w:r>
        <w:rPr>
          <w:color w:val="231F20"/>
          <w:spacing w:val="-7"/>
        </w:rPr>
        <w:t xml:space="preserve"> </w:t>
      </w:r>
      <w:r>
        <w:rPr>
          <w:color w:val="231F20"/>
        </w:rPr>
        <w:t>(obchodní</w:t>
      </w:r>
      <w:r>
        <w:rPr>
          <w:color w:val="231F20"/>
          <w:spacing w:val="-7"/>
        </w:rPr>
        <w:t xml:space="preserve"> fir- </w:t>
      </w:r>
      <w:r>
        <w:rPr>
          <w:color w:val="231F20"/>
        </w:rPr>
        <w:t>ma)</w:t>
      </w:r>
      <w:r>
        <w:rPr>
          <w:color w:val="231F20"/>
          <w:spacing w:val="-10"/>
        </w:rPr>
        <w:t xml:space="preserve"> </w:t>
      </w:r>
      <w:r>
        <w:rPr>
          <w:color w:val="231F20"/>
        </w:rPr>
        <w:t>je</w:t>
      </w:r>
      <w:r>
        <w:rPr>
          <w:color w:val="231F20"/>
          <w:spacing w:val="-10"/>
        </w:rPr>
        <w:t xml:space="preserve"> </w:t>
      </w:r>
      <w:r>
        <w:rPr>
          <w:color w:val="231F20"/>
        </w:rPr>
        <w:t>uvedeno</w:t>
      </w:r>
      <w:r>
        <w:rPr>
          <w:color w:val="231F20"/>
          <w:spacing w:val="-10"/>
        </w:rPr>
        <w:t xml:space="preserve"> </w:t>
      </w:r>
      <w:r>
        <w:rPr>
          <w:color w:val="231F20"/>
        </w:rPr>
        <w:t>v</w:t>
      </w:r>
      <w:r>
        <w:rPr>
          <w:color w:val="231F20"/>
          <w:spacing w:val="-10"/>
        </w:rPr>
        <w:t xml:space="preserve"> </w:t>
      </w:r>
      <w:r>
        <w:rPr>
          <w:color w:val="231F20"/>
        </w:rPr>
        <w:t>aktuálním</w:t>
      </w:r>
      <w:r>
        <w:rPr>
          <w:color w:val="231F20"/>
          <w:spacing w:val="-10"/>
        </w:rPr>
        <w:t xml:space="preserve"> </w:t>
      </w:r>
      <w:r>
        <w:rPr>
          <w:color w:val="231F20"/>
        </w:rPr>
        <w:t>seznamu</w:t>
      </w:r>
      <w:r>
        <w:rPr>
          <w:color w:val="231F20"/>
          <w:spacing w:val="-10"/>
        </w:rPr>
        <w:t xml:space="preserve"> </w:t>
      </w:r>
      <w:r>
        <w:rPr>
          <w:color w:val="231F20"/>
        </w:rPr>
        <w:t>opraven</w:t>
      </w:r>
      <w:r>
        <w:rPr>
          <w:color w:val="231F20"/>
          <w:spacing w:val="-10"/>
        </w:rPr>
        <w:t xml:space="preserve"> </w:t>
      </w:r>
      <w:r>
        <w:rPr>
          <w:color w:val="231F20"/>
        </w:rPr>
        <w:t>oficiálně</w:t>
      </w:r>
      <w:r>
        <w:rPr>
          <w:color w:val="231F20"/>
          <w:spacing w:val="-10"/>
        </w:rPr>
        <w:t xml:space="preserve"> </w:t>
      </w:r>
      <w:r>
        <w:rPr>
          <w:color w:val="231F20"/>
        </w:rPr>
        <w:t>vydaným</w:t>
      </w:r>
      <w:r>
        <w:rPr>
          <w:color w:val="231F20"/>
          <w:spacing w:val="-10"/>
        </w:rPr>
        <w:t xml:space="preserve"> </w:t>
      </w:r>
      <w:r>
        <w:rPr>
          <w:color w:val="231F20"/>
        </w:rPr>
        <w:t>výrobcem</w:t>
      </w:r>
      <w:r>
        <w:rPr>
          <w:color w:val="231F20"/>
          <w:spacing w:val="-10"/>
        </w:rPr>
        <w:t xml:space="preserve"> </w:t>
      </w:r>
      <w:r>
        <w:rPr>
          <w:color w:val="231F20"/>
          <w:spacing w:val="-4"/>
        </w:rPr>
        <w:t xml:space="preserve">nebo </w:t>
      </w:r>
      <w:r>
        <w:rPr>
          <w:color w:val="231F20"/>
        </w:rPr>
        <w:t>dovozcem tovární značky pro daný typ</w:t>
      </w:r>
      <w:r>
        <w:rPr>
          <w:color w:val="231F20"/>
          <w:spacing w:val="-10"/>
        </w:rPr>
        <w:t xml:space="preserve"> </w:t>
      </w:r>
      <w:r>
        <w:rPr>
          <w:color w:val="231F20"/>
        </w:rPr>
        <w:t>vozidla.</w:t>
      </w:r>
    </w:p>
    <w:p w14:paraId="077DE67E" w14:textId="77777777" w:rsidR="00F65BCA" w:rsidRDefault="00216117">
      <w:pPr>
        <w:pStyle w:val="Zkladntext"/>
        <w:spacing w:line="278" w:lineRule="auto"/>
        <w:ind w:left="426"/>
        <w:jc w:val="both"/>
      </w:pPr>
      <w:r>
        <w:rPr>
          <w:color w:val="231F20"/>
        </w:rPr>
        <w:t>Činnost vozidla jako pracovního stroje  je  jeho  užívaní  k  pracovní</w:t>
      </w:r>
      <w:r>
        <w:rPr>
          <w:color w:val="231F20"/>
          <w:spacing w:val="18"/>
        </w:rPr>
        <w:t xml:space="preserve"> </w:t>
      </w:r>
      <w:r>
        <w:rPr>
          <w:color w:val="231F20"/>
        </w:rPr>
        <w:t>činnosti, ke</w:t>
      </w:r>
      <w:r>
        <w:rPr>
          <w:color w:val="231F20"/>
          <w:spacing w:val="-30"/>
        </w:rPr>
        <w:t xml:space="preserve"> </w:t>
      </w:r>
      <w:r>
        <w:rPr>
          <w:color w:val="231F20"/>
        </w:rPr>
        <w:t>které</w:t>
      </w:r>
      <w:r>
        <w:rPr>
          <w:color w:val="231F20"/>
          <w:spacing w:val="-30"/>
        </w:rPr>
        <w:t xml:space="preserve"> </w:t>
      </w:r>
      <w:r>
        <w:rPr>
          <w:color w:val="231F20"/>
        </w:rPr>
        <w:t>pracovní</w:t>
      </w:r>
      <w:r>
        <w:rPr>
          <w:color w:val="231F20"/>
          <w:spacing w:val="-30"/>
        </w:rPr>
        <w:t xml:space="preserve"> </w:t>
      </w:r>
      <w:r>
        <w:rPr>
          <w:color w:val="231F20"/>
        </w:rPr>
        <w:t>stroj</w:t>
      </w:r>
      <w:r>
        <w:rPr>
          <w:color w:val="231F20"/>
          <w:spacing w:val="-30"/>
        </w:rPr>
        <w:t xml:space="preserve"> </w:t>
      </w:r>
      <w:r>
        <w:rPr>
          <w:color w:val="231F20"/>
        </w:rPr>
        <w:t>slouží,</w:t>
      </w:r>
      <w:r>
        <w:rPr>
          <w:color w:val="231F20"/>
          <w:spacing w:val="-29"/>
        </w:rPr>
        <w:t xml:space="preserve"> </w:t>
      </w:r>
      <w:r>
        <w:rPr>
          <w:color w:val="231F20"/>
        </w:rPr>
        <w:t>než</w:t>
      </w:r>
      <w:r>
        <w:rPr>
          <w:color w:val="231F20"/>
          <w:spacing w:val="-30"/>
        </w:rPr>
        <w:t xml:space="preserve"> </w:t>
      </w:r>
      <w:r>
        <w:rPr>
          <w:color w:val="231F20"/>
        </w:rPr>
        <w:t>k</w:t>
      </w:r>
      <w:r>
        <w:rPr>
          <w:color w:val="231F20"/>
          <w:spacing w:val="-30"/>
        </w:rPr>
        <w:t xml:space="preserve"> </w:t>
      </w:r>
      <w:r>
        <w:rPr>
          <w:color w:val="231F20"/>
        </w:rPr>
        <w:t>samotné</w:t>
      </w:r>
      <w:r>
        <w:rPr>
          <w:color w:val="231F20"/>
          <w:spacing w:val="-30"/>
        </w:rPr>
        <w:t xml:space="preserve"> </w:t>
      </w:r>
      <w:r>
        <w:rPr>
          <w:color w:val="231F20"/>
        </w:rPr>
        <w:t>jízdě,</w:t>
      </w:r>
      <w:r>
        <w:rPr>
          <w:color w:val="231F20"/>
          <w:spacing w:val="-29"/>
        </w:rPr>
        <w:t xml:space="preserve"> </w:t>
      </w:r>
      <w:r>
        <w:rPr>
          <w:color w:val="231F20"/>
        </w:rPr>
        <w:t>tj.</w:t>
      </w:r>
      <w:r>
        <w:rPr>
          <w:color w:val="231F20"/>
          <w:spacing w:val="-30"/>
        </w:rPr>
        <w:t xml:space="preserve"> </w:t>
      </w:r>
      <w:r>
        <w:rPr>
          <w:color w:val="231F20"/>
        </w:rPr>
        <w:t>přemístění</w:t>
      </w:r>
      <w:r>
        <w:rPr>
          <w:color w:val="231F20"/>
          <w:spacing w:val="-30"/>
        </w:rPr>
        <w:t xml:space="preserve"> </w:t>
      </w:r>
      <w:r>
        <w:rPr>
          <w:color w:val="231F20"/>
        </w:rPr>
        <w:t>vlastní</w:t>
      </w:r>
      <w:r>
        <w:rPr>
          <w:color w:val="231F20"/>
          <w:spacing w:val="-30"/>
        </w:rPr>
        <w:t xml:space="preserve"> </w:t>
      </w:r>
      <w:r>
        <w:rPr>
          <w:color w:val="231F20"/>
        </w:rPr>
        <w:t>(motorickou) silou z jednoho místa na</w:t>
      </w:r>
      <w:r>
        <w:rPr>
          <w:color w:val="231F20"/>
          <w:spacing w:val="-5"/>
        </w:rPr>
        <w:t xml:space="preserve"> </w:t>
      </w:r>
      <w:r>
        <w:rPr>
          <w:color w:val="231F20"/>
        </w:rPr>
        <w:t>druhé.</w:t>
      </w:r>
    </w:p>
    <w:p w14:paraId="04002CC5" w14:textId="77777777" w:rsidR="00F65BCA" w:rsidRDefault="00216117">
      <w:pPr>
        <w:pStyle w:val="Zkladntext"/>
        <w:spacing w:line="278" w:lineRule="auto"/>
        <w:ind w:left="426"/>
        <w:jc w:val="both"/>
      </w:pPr>
      <w:r>
        <w:rPr>
          <w:color w:val="231F20"/>
        </w:rPr>
        <w:t xml:space="preserve">Datem prvního uvedení do provozu se rozumí datum, kdy bylo vozidlo </w:t>
      </w:r>
      <w:r>
        <w:rPr>
          <w:color w:val="231F20"/>
          <w:spacing w:val="-3"/>
        </w:rPr>
        <w:t xml:space="preserve">poprvé </w:t>
      </w:r>
      <w:r>
        <w:rPr>
          <w:color w:val="231F20"/>
        </w:rPr>
        <w:t>registrováno v registru vozidel a to bez ohledu na to, ve kterém státě k</w:t>
      </w:r>
      <w:r>
        <w:rPr>
          <w:color w:val="231F20"/>
          <w:spacing w:val="-23"/>
        </w:rPr>
        <w:t xml:space="preserve"> </w:t>
      </w:r>
      <w:r>
        <w:rPr>
          <w:color w:val="231F20"/>
          <w:spacing w:val="-3"/>
        </w:rPr>
        <w:t xml:space="preserve">registraci </w:t>
      </w:r>
      <w:r>
        <w:rPr>
          <w:color w:val="231F20"/>
        </w:rPr>
        <w:t>došlo.</w:t>
      </w:r>
    </w:p>
    <w:p w14:paraId="15C22F80" w14:textId="77777777" w:rsidR="00F65BCA" w:rsidRDefault="00216117">
      <w:pPr>
        <w:pStyle w:val="Zkladntext"/>
        <w:spacing w:line="278" w:lineRule="auto"/>
        <w:ind w:left="426"/>
        <w:jc w:val="both"/>
      </w:pPr>
      <w:r>
        <w:rPr>
          <w:color w:val="231F20"/>
        </w:rPr>
        <w:t>Doplňkovou</w:t>
      </w:r>
      <w:r>
        <w:rPr>
          <w:color w:val="231F20"/>
          <w:spacing w:val="-7"/>
        </w:rPr>
        <w:t xml:space="preserve"> </w:t>
      </w:r>
      <w:r>
        <w:rPr>
          <w:color w:val="231F20"/>
        </w:rPr>
        <w:t>výbavou</w:t>
      </w:r>
      <w:r>
        <w:rPr>
          <w:color w:val="231F20"/>
          <w:spacing w:val="-7"/>
        </w:rPr>
        <w:t xml:space="preserve"> </w:t>
      </w:r>
      <w:r>
        <w:rPr>
          <w:color w:val="231F20"/>
        </w:rPr>
        <w:t>se</w:t>
      </w:r>
      <w:r>
        <w:rPr>
          <w:color w:val="231F20"/>
          <w:spacing w:val="-7"/>
        </w:rPr>
        <w:t xml:space="preserve"> </w:t>
      </w:r>
      <w:r>
        <w:rPr>
          <w:color w:val="231F20"/>
        </w:rPr>
        <w:t>rozumí</w:t>
      </w:r>
      <w:r>
        <w:rPr>
          <w:color w:val="231F20"/>
          <w:spacing w:val="-6"/>
        </w:rPr>
        <w:t xml:space="preserve"> </w:t>
      </w:r>
      <w:r>
        <w:rPr>
          <w:color w:val="231F20"/>
        </w:rPr>
        <w:t>výbava</w:t>
      </w:r>
      <w:r>
        <w:rPr>
          <w:color w:val="231F20"/>
          <w:spacing w:val="-7"/>
        </w:rPr>
        <w:t xml:space="preserve"> </w:t>
      </w:r>
      <w:r>
        <w:rPr>
          <w:color w:val="231F20"/>
        </w:rPr>
        <w:t>nad</w:t>
      </w:r>
      <w:r>
        <w:rPr>
          <w:color w:val="231F20"/>
          <w:spacing w:val="-7"/>
        </w:rPr>
        <w:t xml:space="preserve"> </w:t>
      </w:r>
      <w:r>
        <w:rPr>
          <w:color w:val="231F20"/>
        </w:rPr>
        <w:t>rámec</w:t>
      </w:r>
      <w:r>
        <w:rPr>
          <w:color w:val="231F20"/>
          <w:spacing w:val="-7"/>
        </w:rPr>
        <w:t xml:space="preserve"> </w:t>
      </w:r>
      <w:r>
        <w:rPr>
          <w:color w:val="231F20"/>
        </w:rPr>
        <w:t>standardní</w:t>
      </w:r>
      <w:r>
        <w:rPr>
          <w:color w:val="231F20"/>
          <w:spacing w:val="-7"/>
        </w:rPr>
        <w:t xml:space="preserve"> </w:t>
      </w:r>
      <w:r>
        <w:rPr>
          <w:color w:val="231F20"/>
        </w:rPr>
        <w:t>výbavy</w:t>
      </w:r>
      <w:r>
        <w:rPr>
          <w:color w:val="231F20"/>
          <w:spacing w:val="-6"/>
        </w:rPr>
        <w:t xml:space="preserve"> </w:t>
      </w:r>
      <w:r>
        <w:rPr>
          <w:color w:val="231F20"/>
        </w:rPr>
        <w:t>dodávaná za příplatek k základní (ceníkové) ceně</w:t>
      </w:r>
      <w:r>
        <w:rPr>
          <w:color w:val="231F20"/>
          <w:spacing w:val="-17"/>
        </w:rPr>
        <w:t xml:space="preserve"> </w:t>
      </w:r>
      <w:r>
        <w:rPr>
          <w:color w:val="231F20"/>
        </w:rPr>
        <w:t>vozidla.</w:t>
      </w:r>
    </w:p>
    <w:p w14:paraId="55A5023D" w14:textId="77777777" w:rsidR="00F65BCA" w:rsidRDefault="00216117">
      <w:pPr>
        <w:pStyle w:val="Zkladntext"/>
        <w:spacing w:line="278" w:lineRule="auto"/>
        <w:ind w:left="426"/>
        <w:jc w:val="both"/>
      </w:pPr>
      <w:r>
        <w:rPr>
          <w:color w:val="231F20"/>
        </w:rPr>
        <w:t>Doplňkovým</w:t>
      </w:r>
      <w:r>
        <w:rPr>
          <w:color w:val="231F20"/>
          <w:spacing w:val="-9"/>
        </w:rPr>
        <w:t xml:space="preserve"> </w:t>
      </w:r>
      <w:r>
        <w:rPr>
          <w:color w:val="231F20"/>
        </w:rPr>
        <w:t>pojištěním</w:t>
      </w:r>
      <w:r>
        <w:rPr>
          <w:color w:val="231F20"/>
          <w:spacing w:val="-8"/>
        </w:rPr>
        <w:t xml:space="preserve"> </w:t>
      </w:r>
      <w:r>
        <w:rPr>
          <w:color w:val="231F20"/>
        </w:rPr>
        <w:t>se</w:t>
      </w:r>
      <w:r>
        <w:rPr>
          <w:color w:val="231F20"/>
          <w:spacing w:val="-9"/>
        </w:rPr>
        <w:t xml:space="preserve"> </w:t>
      </w:r>
      <w:r>
        <w:rPr>
          <w:color w:val="231F20"/>
        </w:rPr>
        <w:t>rozumí</w:t>
      </w:r>
      <w:r>
        <w:rPr>
          <w:color w:val="231F20"/>
          <w:spacing w:val="-8"/>
        </w:rPr>
        <w:t xml:space="preserve"> </w:t>
      </w:r>
      <w:r>
        <w:rPr>
          <w:color w:val="231F20"/>
        </w:rPr>
        <w:t>pojištění</w:t>
      </w:r>
      <w:r>
        <w:rPr>
          <w:color w:val="231F20"/>
          <w:spacing w:val="-8"/>
        </w:rPr>
        <w:t xml:space="preserve"> </w:t>
      </w:r>
      <w:r>
        <w:rPr>
          <w:color w:val="231F20"/>
        </w:rPr>
        <w:t>vázané</w:t>
      </w:r>
      <w:r>
        <w:rPr>
          <w:color w:val="231F20"/>
          <w:spacing w:val="-9"/>
        </w:rPr>
        <w:t xml:space="preserve"> </w:t>
      </w:r>
      <w:r>
        <w:rPr>
          <w:color w:val="231F20"/>
        </w:rPr>
        <w:t>na</w:t>
      </w:r>
      <w:r>
        <w:rPr>
          <w:color w:val="231F20"/>
          <w:spacing w:val="-8"/>
        </w:rPr>
        <w:t xml:space="preserve"> </w:t>
      </w:r>
      <w:r>
        <w:rPr>
          <w:color w:val="231F20"/>
        </w:rPr>
        <w:t>uzavření</w:t>
      </w:r>
      <w:r>
        <w:rPr>
          <w:color w:val="231F20"/>
          <w:spacing w:val="-8"/>
        </w:rPr>
        <w:t xml:space="preserve"> </w:t>
      </w:r>
      <w:r>
        <w:rPr>
          <w:color w:val="231F20"/>
        </w:rPr>
        <w:t>některého</w:t>
      </w:r>
      <w:r>
        <w:rPr>
          <w:color w:val="231F20"/>
          <w:spacing w:val="-9"/>
        </w:rPr>
        <w:t xml:space="preserve"> </w:t>
      </w:r>
      <w:r>
        <w:rPr>
          <w:color w:val="231F20"/>
        </w:rPr>
        <w:t>ze</w:t>
      </w:r>
      <w:r>
        <w:rPr>
          <w:color w:val="231F20"/>
          <w:spacing w:val="-8"/>
        </w:rPr>
        <w:t xml:space="preserve"> </w:t>
      </w:r>
      <w:r>
        <w:rPr>
          <w:color w:val="231F20"/>
          <w:spacing w:val="-6"/>
        </w:rPr>
        <w:t xml:space="preserve">zá- </w:t>
      </w:r>
      <w:r>
        <w:rPr>
          <w:color w:val="231F20"/>
        </w:rPr>
        <w:t>kladních</w:t>
      </w:r>
      <w:r>
        <w:rPr>
          <w:color w:val="231F20"/>
          <w:spacing w:val="-1"/>
        </w:rPr>
        <w:t xml:space="preserve"> </w:t>
      </w:r>
      <w:r>
        <w:rPr>
          <w:color w:val="231F20"/>
        </w:rPr>
        <w:t>pojištění.</w:t>
      </w:r>
    </w:p>
    <w:p w14:paraId="3653B59A" w14:textId="77777777" w:rsidR="00F65BCA" w:rsidRDefault="00216117">
      <w:pPr>
        <w:pStyle w:val="Zkladntext"/>
        <w:spacing w:line="278" w:lineRule="auto"/>
        <w:ind w:left="426"/>
        <w:jc w:val="both"/>
      </w:pPr>
      <w:r>
        <w:rPr>
          <w:color w:val="231F20"/>
        </w:rPr>
        <w:t>Havárií</w:t>
      </w:r>
      <w:r>
        <w:rPr>
          <w:color w:val="231F20"/>
          <w:spacing w:val="-26"/>
        </w:rPr>
        <w:t xml:space="preserve"> </w:t>
      </w:r>
      <w:r>
        <w:rPr>
          <w:color w:val="231F20"/>
        </w:rPr>
        <w:t>se</w:t>
      </w:r>
      <w:r>
        <w:rPr>
          <w:color w:val="231F20"/>
          <w:spacing w:val="-26"/>
        </w:rPr>
        <w:t xml:space="preserve"> </w:t>
      </w:r>
      <w:r>
        <w:rPr>
          <w:color w:val="231F20"/>
        </w:rPr>
        <w:t>rozumí</w:t>
      </w:r>
      <w:r>
        <w:rPr>
          <w:color w:val="231F20"/>
          <w:spacing w:val="-26"/>
        </w:rPr>
        <w:t xml:space="preserve"> </w:t>
      </w:r>
      <w:r>
        <w:rPr>
          <w:color w:val="231F20"/>
        </w:rPr>
        <w:t>poškození</w:t>
      </w:r>
      <w:r>
        <w:rPr>
          <w:color w:val="231F20"/>
          <w:spacing w:val="-26"/>
        </w:rPr>
        <w:t xml:space="preserve"> </w:t>
      </w:r>
      <w:r>
        <w:rPr>
          <w:color w:val="231F20"/>
        </w:rPr>
        <w:t>nebo</w:t>
      </w:r>
      <w:r>
        <w:rPr>
          <w:color w:val="231F20"/>
          <w:spacing w:val="-26"/>
        </w:rPr>
        <w:t xml:space="preserve"> </w:t>
      </w:r>
      <w:r>
        <w:rPr>
          <w:color w:val="231F20"/>
        </w:rPr>
        <w:t>zničení</w:t>
      </w:r>
      <w:r>
        <w:rPr>
          <w:color w:val="231F20"/>
          <w:spacing w:val="-25"/>
        </w:rPr>
        <w:t xml:space="preserve"> </w:t>
      </w:r>
      <w:r>
        <w:rPr>
          <w:color w:val="231F20"/>
        </w:rPr>
        <w:t>pojištěného</w:t>
      </w:r>
      <w:r>
        <w:rPr>
          <w:color w:val="231F20"/>
          <w:spacing w:val="-26"/>
        </w:rPr>
        <w:t xml:space="preserve"> </w:t>
      </w:r>
      <w:r>
        <w:rPr>
          <w:color w:val="231F20"/>
        </w:rPr>
        <w:t>vozidla</w:t>
      </w:r>
      <w:r>
        <w:rPr>
          <w:color w:val="231F20"/>
          <w:spacing w:val="-26"/>
        </w:rPr>
        <w:t xml:space="preserve"> </w:t>
      </w:r>
      <w:r>
        <w:rPr>
          <w:color w:val="231F20"/>
        </w:rPr>
        <w:t>nebo</w:t>
      </w:r>
      <w:r>
        <w:rPr>
          <w:color w:val="231F20"/>
          <w:spacing w:val="-26"/>
        </w:rPr>
        <w:t xml:space="preserve"> </w:t>
      </w:r>
      <w:r>
        <w:rPr>
          <w:color w:val="231F20"/>
        </w:rPr>
        <w:t>věci</w:t>
      </w:r>
      <w:r>
        <w:rPr>
          <w:color w:val="231F20"/>
          <w:spacing w:val="-26"/>
        </w:rPr>
        <w:t xml:space="preserve"> </w:t>
      </w:r>
      <w:r>
        <w:rPr>
          <w:color w:val="231F20"/>
        </w:rPr>
        <w:t>v</w:t>
      </w:r>
      <w:r>
        <w:rPr>
          <w:color w:val="231F20"/>
          <w:spacing w:val="-26"/>
        </w:rPr>
        <w:t xml:space="preserve"> </w:t>
      </w:r>
      <w:r>
        <w:rPr>
          <w:color w:val="231F20"/>
        </w:rPr>
        <w:t>důsledku nahodilého</w:t>
      </w:r>
      <w:r>
        <w:rPr>
          <w:color w:val="231F20"/>
          <w:spacing w:val="-11"/>
        </w:rPr>
        <w:t xml:space="preserve"> </w:t>
      </w:r>
      <w:r>
        <w:rPr>
          <w:color w:val="231F20"/>
        </w:rPr>
        <w:t>náhlého</w:t>
      </w:r>
      <w:r>
        <w:rPr>
          <w:color w:val="231F20"/>
          <w:spacing w:val="-10"/>
        </w:rPr>
        <w:t xml:space="preserve"> </w:t>
      </w:r>
      <w:r>
        <w:rPr>
          <w:color w:val="231F20"/>
        </w:rPr>
        <w:t>působení</w:t>
      </w:r>
      <w:r>
        <w:rPr>
          <w:color w:val="231F20"/>
          <w:spacing w:val="-10"/>
        </w:rPr>
        <w:t xml:space="preserve"> </w:t>
      </w:r>
      <w:r>
        <w:rPr>
          <w:color w:val="231F20"/>
        </w:rPr>
        <w:t>vnějších</w:t>
      </w:r>
      <w:r>
        <w:rPr>
          <w:color w:val="231F20"/>
          <w:spacing w:val="-10"/>
        </w:rPr>
        <w:t xml:space="preserve"> </w:t>
      </w:r>
      <w:r>
        <w:rPr>
          <w:color w:val="231F20"/>
        </w:rPr>
        <w:t>mechanických</w:t>
      </w:r>
      <w:r>
        <w:rPr>
          <w:color w:val="231F20"/>
          <w:spacing w:val="-10"/>
        </w:rPr>
        <w:t xml:space="preserve"> </w:t>
      </w:r>
      <w:r>
        <w:rPr>
          <w:color w:val="231F20"/>
        </w:rPr>
        <w:t>sil</w:t>
      </w:r>
      <w:r>
        <w:rPr>
          <w:color w:val="231F20"/>
          <w:spacing w:val="-10"/>
        </w:rPr>
        <w:t xml:space="preserve"> </w:t>
      </w:r>
      <w:r>
        <w:rPr>
          <w:color w:val="231F20"/>
          <w:spacing w:val="-3"/>
        </w:rPr>
        <w:t>(např.</w:t>
      </w:r>
      <w:r>
        <w:rPr>
          <w:color w:val="231F20"/>
          <w:spacing w:val="-10"/>
        </w:rPr>
        <w:t xml:space="preserve"> </w:t>
      </w:r>
      <w:r>
        <w:rPr>
          <w:color w:val="231F20"/>
        </w:rPr>
        <w:t>střet,</w:t>
      </w:r>
      <w:r>
        <w:rPr>
          <w:color w:val="231F20"/>
          <w:spacing w:val="-10"/>
        </w:rPr>
        <w:t xml:space="preserve"> </w:t>
      </w:r>
      <w:r>
        <w:rPr>
          <w:color w:val="231F20"/>
        </w:rPr>
        <w:t>náraz,</w:t>
      </w:r>
      <w:r>
        <w:rPr>
          <w:color w:val="231F20"/>
          <w:spacing w:val="-10"/>
        </w:rPr>
        <w:t xml:space="preserve"> </w:t>
      </w:r>
      <w:r>
        <w:rPr>
          <w:color w:val="231F20"/>
          <w:spacing w:val="-3"/>
        </w:rPr>
        <w:t xml:space="preserve">pád). </w:t>
      </w:r>
      <w:r>
        <w:rPr>
          <w:color w:val="231F20"/>
        </w:rPr>
        <w:t>Havárií je i poškození vozidla</w:t>
      </w:r>
      <w:r>
        <w:rPr>
          <w:color w:val="231F20"/>
          <w:spacing w:val="-11"/>
        </w:rPr>
        <w:t xml:space="preserve"> </w:t>
      </w:r>
      <w:r>
        <w:rPr>
          <w:color w:val="231F20"/>
        </w:rPr>
        <w:t>zvířetem.</w:t>
      </w:r>
    </w:p>
    <w:p w14:paraId="446AADCF" w14:textId="77777777" w:rsidR="00F65BCA" w:rsidRDefault="00216117">
      <w:pPr>
        <w:pStyle w:val="Odstavecseseznamem"/>
        <w:numPr>
          <w:ilvl w:val="0"/>
          <w:numId w:val="135"/>
        </w:numPr>
        <w:tabs>
          <w:tab w:val="left" w:pos="598"/>
        </w:tabs>
        <w:spacing w:line="278" w:lineRule="auto"/>
        <w:rPr>
          <w:sz w:val="15"/>
        </w:rPr>
      </w:pPr>
      <w:r>
        <w:rPr>
          <w:color w:val="231F20"/>
          <w:sz w:val="15"/>
        </w:rPr>
        <w:t>náraz</w:t>
      </w:r>
      <w:r>
        <w:rPr>
          <w:color w:val="231F20"/>
          <w:spacing w:val="-26"/>
          <w:sz w:val="15"/>
        </w:rPr>
        <w:t xml:space="preserve"> </w:t>
      </w:r>
      <w:r>
        <w:rPr>
          <w:color w:val="231F20"/>
          <w:sz w:val="15"/>
        </w:rPr>
        <w:t>nastane</w:t>
      </w:r>
      <w:r>
        <w:rPr>
          <w:color w:val="231F20"/>
          <w:spacing w:val="-26"/>
          <w:sz w:val="15"/>
        </w:rPr>
        <w:t xml:space="preserve"> </w:t>
      </w:r>
      <w:r>
        <w:rPr>
          <w:color w:val="231F20"/>
          <w:sz w:val="15"/>
        </w:rPr>
        <w:t>nárazem</w:t>
      </w:r>
      <w:r>
        <w:rPr>
          <w:color w:val="231F20"/>
          <w:spacing w:val="-26"/>
          <w:sz w:val="15"/>
        </w:rPr>
        <w:t xml:space="preserve"> </w:t>
      </w:r>
      <w:r>
        <w:rPr>
          <w:color w:val="231F20"/>
          <w:sz w:val="15"/>
        </w:rPr>
        <w:t>vozidla</w:t>
      </w:r>
      <w:r>
        <w:rPr>
          <w:color w:val="231F20"/>
          <w:spacing w:val="-26"/>
          <w:sz w:val="15"/>
        </w:rPr>
        <w:t xml:space="preserve"> </w:t>
      </w:r>
      <w:r>
        <w:rPr>
          <w:color w:val="231F20"/>
          <w:sz w:val="15"/>
        </w:rPr>
        <w:t>do</w:t>
      </w:r>
      <w:r>
        <w:rPr>
          <w:color w:val="231F20"/>
          <w:spacing w:val="-26"/>
          <w:sz w:val="15"/>
        </w:rPr>
        <w:t xml:space="preserve"> </w:t>
      </w:r>
      <w:r>
        <w:rPr>
          <w:color w:val="231F20"/>
          <w:sz w:val="15"/>
        </w:rPr>
        <w:t>nepohyblivé</w:t>
      </w:r>
      <w:r>
        <w:rPr>
          <w:color w:val="231F20"/>
          <w:spacing w:val="-26"/>
          <w:sz w:val="15"/>
        </w:rPr>
        <w:t xml:space="preserve"> </w:t>
      </w:r>
      <w:r>
        <w:rPr>
          <w:color w:val="231F20"/>
          <w:sz w:val="15"/>
        </w:rPr>
        <w:t>překážky</w:t>
      </w:r>
      <w:r>
        <w:rPr>
          <w:color w:val="231F20"/>
          <w:spacing w:val="-26"/>
          <w:sz w:val="15"/>
        </w:rPr>
        <w:t xml:space="preserve"> </w:t>
      </w:r>
      <w:r>
        <w:rPr>
          <w:color w:val="231F20"/>
          <w:sz w:val="15"/>
        </w:rPr>
        <w:t>(například</w:t>
      </w:r>
      <w:r>
        <w:rPr>
          <w:color w:val="231F20"/>
          <w:spacing w:val="-26"/>
          <w:sz w:val="15"/>
        </w:rPr>
        <w:t xml:space="preserve"> </w:t>
      </w:r>
      <w:r>
        <w:rPr>
          <w:color w:val="231F20"/>
          <w:sz w:val="15"/>
        </w:rPr>
        <w:t>stěny</w:t>
      </w:r>
      <w:r>
        <w:rPr>
          <w:color w:val="231F20"/>
          <w:spacing w:val="-26"/>
          <w:sz w:val="15"/>
        </w:rPr>
        <w:t xml:space="preserve"> </w:t>
      </w:r>
      <w:r>
        <w:rPr>
          <w:color w:val="231F20"/>
          <w:spacing w:val="-3"/>
          <w:sz w:val="15"/>
        </w:rPr>
        <w:t xml:space="preserve">domu, </w:t>
      </w:r>
      <w:r>
        <w:rPr>
          <w:color w:val="231F20"/>
          <w:sz w:val="15"/>
        </w:rPr>
        <w:t>stojícího vozidla a</w:t>
      </w:r>
      <w:r>
        <w:rPr>
          <w:color w:val="231F20"/>
          <w:spacing w:val="-3"/>
          <w:sz w:val="15"/>
        </w:rPr>
        <w:t xml:space="preserve"> </w:t>
      </w:r>
      <w:r>
        <w:rPr>
          <w:color w:val="231F20"/>
          <w:sz w:val="15"/>
        </w:rPr>
        <w:t>podobně),</w:t>
      </w:r>
    </w:p>
    <w:p w14:paraId="4B9AC85F" w14:textId="77777777" w:rsidR="00F65BCA" w:rsidRDefault="00216117">
      <w:pPr>
        <w:pStyle w:val="Odstavecseseznamem"/>
        <w:numPr>
          <w:ilvl w:val="0"/>
          <w:numId w:val="135"/>
        </w:numPr>
        <w:tabs>
          <w:tab w:val="left" w:pos="598"/>
        </w:tabs>
        <w:spacing w:line="278" w:lineRule="auto"/>
        <w:rPr>
          <w:sz w:val="15"/>
        </w:rPr>
      </w:pPr>
      <w:r>
        <w:rPr>
          <w:color w:val="231F20"/>
          <w:sz w:val="15"/>
        </w:rPr>
        <w:t>pád</w:t>
      </w:r>
      <w:r>
        <w:rPr>
          <w:color w:val="231F20"/>
          <w:spacing w:val="-26"/>
          <w:sz w:val="15"/>
        </w:rPr>
        <w:t xml:space="preserve"> </w:t>
      </w:r>
      <w:r>
        <w:rPr>
          <w:color w:val="231F20"/>
          <w:sz w:val="15"/>
        </w:rPr>
        <w:t>(stromů,</w:t>
      </w:r>
      <w:r>
        <w:rPr>
          <w:color w:val="231F20"/>
          <w:spacing w:val="-25"/>
          <w:sz w:val="15"/>
        </w:rPr>
        <w:t xml:space="preserve"> </w:t>
      </w:r>
      <w:r>
        <w:rPr>
          <w:color w:val="231F20"/>
          <w:sz w:val="15"/>
        </w:rPr>
        <w:t>stožárů</w:t>
      </w:r>
      <w:r>
        <w:rPr>
          <w:color w:val="231F20"/>
          <w:spacing w:val="-25"/>
          <w:sz w:val="15"/>
        </w:rPr>
        <w:t xml:space="preserve"> </w:t>
      </w:r>
      <w:r>
        <w:rPr>
          <w:color w:val="231F20"/>
          <w:sz w:val="15"/>
        </w:rPr>
        <w:t>a</w:t>
      </w:r>
      <w:r>
        <w:rPr>
          <w:color w:val="231F20"/>
          <w:spacing w:val="-25"/>
          <w:sz w:val="15"/>
        </w:rPr>
        <w:t xml:space="preserve"> </w:t>
      </w:r>
      <w:r>
        <w:rPr>
          <w:color w:val="231F20"/>
          <w:sz w:val="15"/>
        </w:rPr>
        <w:t>jiných</w:t>
      </w:r>
      <w:r>
        <w:rPr>
          <w:color w:val="231F20"/>
          <w:spacing w:val="-25"/>
          <w:sz w:val="15"/>
        </w:rPr>
        <w:t xml:space="preserve"> </w:t>
      </w:r>
      <w:r>
        <w:rPr>
          <w:color w:val="231F20"/>
          <w:sz w:val="15"/>
        </w:rPr>
        <w:t>předmětů)</w:t>
      </w:r>
      <w:r>
        <w:rPr>
          <w:color w:val="231F20"/>
          <w:spacing w:val="-25"/>
          <w:sz w:val="15"/>
        </w:rPr>
        <w:t xml:space="preserve"> </w:t>
      </w:r>
      <w:r>
        <w:rPr>
          <w:color w:val="231F20"/>
          <w:sz w:val="15"/>
        </w:rPr>
        <w:t>je</w:t>
      </w:r>
      <w:r>
        <w:rPr>
          <w:color w:val="231F20"/>
          <w:spacing w:val="-25"/>
          <w:sz w:val="15"/>
        </w:rPr>
        <w:t xml:space="preserve"> </w:t>
      </w:r>
      <w:r>
        <w:rPr>
          <w:color w:val="231F20"/>
          <w:spacing w:val="-3"/>
          <w:sz w:val="15"/>
        </w:rPr>
        <w:t>jev,</w:t>
      </w:r>
      <w:r>
        <w:rPr>
          <w:color w:val="231F20"/>
          <w:spacing w:val="-25"/>
          <w:sz w:val="15"/>
        </w:rPr>
        <w:t xml:space="preserve"> </w:t>
      </w:r>
      <w:r>
        <w:rPr>
          <w:color w:val="231F20"/>
          <w:sz w:val="15"/>
        </w:rPr>
        <w:t>který</w:t>
      </w:r>
      <w:r>
        <w:rPr>
          <w:color w:val="231F20"/>
          <w:spacing w:val="-25"/>
          <w:sz w:val="15"/>
        </w:rPr>
        <w:t xml:space="preserve"> </w:t>
      </w:r>
      <w:r>
        <w:rPr>
          <w:color w:val="231F20"/>
          <w:sz w:val="15"/>
        </w:rPr>
        <w:t>způsobuje</w:t>
      </w:r>
      <w:r>
        <w:rPr>
          <w:color w:val="231F20"/>
          <w:spacing w:val="-25"/>
          <w:sz w:val="15"/>
        </w:rPr>
        <w:t xml:space="preserve"> </w:t>
      </w:r>
      <w:r>
        <w:rPr>
          <w:color w:val="231F20"/>
          <w:sz w:val="15"/>
        </w:rPr>
        <w:t>zemská</w:t>
      </w:r>
      <w:r>
        <w:rPr>
          <w:color w:val="231F20"/>
          <w:spacing w:val="-25"/>
          <w:sz w:val="15"/>
        </w:rPr>
        <w:t xml:space="preserve"> </w:t>
      </w:r>
      <w:r>
        <w:rPr>
          <w:color w:val="231F20"/>
          <w:sz w:val="15"/>
        </w:rPr>
        <w:t>gravitace a není způsobený lidskou</w:t>
      </w:r>
      <w:r>
        <w:rPr>
          <w:color w:val="231F20"/>
          <w:spacing w:val="-5"/>
          <w:sz w:val="15"/>
        </w:rPr>
        <w:t xml:space="preserve"> </w:t>
      </w:r>
      <w:r>
        <w:rPr>
          <w:color w:val="231F20"/>
          <w:sz w:val="15"/>
        </w:rPr>
        <w:t>činností,</w:t>
      </w:r>
    </w:p>
    <w:p w14:paraId="0C05CD1D" w14:textId="77777777" w:rsidR="00F65BCA" w:rsidRDefault="00216117">
      <w:pPr>
        <w:pStyle w:val="Odstavecseseznamem"/>
        <w:numPr>
          <w:ilvl w:val="0"/>
          <w:numId w:val="135"/>
        </w:numPr>
        <w:tabs>
          <w:tab w:val="left" w:pos="598"/>
        </w:tabs>
        <w:spacing w:line="278" w:lineRule="auto"/>
        <w:rPr>
          <w:sz w:val="15"/>
        </w:rPr>
      </w:pPr>
      <w:r>
        <w:rPr>
          <w:color w:val="231F20"/>
          <w:sz w:val="15"/>
        </w:rPr>
        <w:t>střet</w:t>
      </w:r>
      <w:r>
        <w:rPr>
          <w:color w:val="231F20"/>
          <w:spacing w:val="-23"/>
          <w:sz w:val="15"/>
        </w:rPr>
        <w:t xml:space="preserve"> </w:t>
      </w:r>
      <w:r>
        <w:rPr>
          <w:color w:val="231F20"/>
          <w:sz w:val="15"/>
        </w:rPr>
        <w:t>je</w:t>
      </w:r>
      <w:r>
        <w:rPr>
          <w:color w:val="231F20"/>
          <w:spacing w:val="-23"/>
          <w:sz w:val="15"/>
        </w:rPr>
        <w:t xml:space="preserve"> </w:t>
      </w:r>
      <w:r>
        <w:rPr>
          <w:color w:val="231F20"/>
          <w:sz w:val="15"/>
        </w:rPr>
        <w:t>srážka</w:t>
      </w:r>
      <w:r>
        <w:rPr>
          <w:color w:val="231F20"/>
          <w:spacing w:val="-22"/>
          <w:sz w:val="15"/>
        </w:rPr>
        <w:t xml:space="preserve"> </w:t>
      </w:r>
      <w:r>
        <w:rPr>
          <w:color w:val="231F20"/>
          <w:sz w:val="15"/>
        </w:rPr>
        <w:t>s</w:t>
      </w:r>
      <w:r>
        <w:rPr>
          <w:color w:val="231F20"/>
          <w:spacing w:val="-23"/>
          <w:sz w:val="15"/>
        </w:rPr>
        <w:t xml:space="preserve"> </w:t>
      </w:r>
      <w:r>
        <w:rPr>
          <w:color w:val="231F20"/>
          <w:sz w:val="15"/>
        </w:rPr>
        <w:t>pohybujícím</w:t>
      </w:r>
      <w:r>
        <w:rPr>
          <w:color w:val="231F20"/>
          <w:spacing w:val="-23"/>
          <w:sz w:val="15"/>
        </w:rPr>
        <w:t xml:space="preserve"> </w:t>
      </w:r>
      <w:r>
        <w:rPr>
          <w:color w:val="231F20"/>
          <w:sz w:val="15"/>
        </w:rPr>
        <w:t>se</w:t>
      </w:r>
      <w:r>
        <w:rPr>
          <w:color w:val="231F20"/>
          <w:spacing w:val="-22"/>
          <w:sz w:val="15"/>
        </w:rPr>
        <w:t xml:space="preserve"> </w:t>
      </w:r>
      <w:r>
        <w:rPr>
          <w:color w:val="231F20"/>
          <w:sz w:val="15"/>
        </w:rPr>
        <w:t>objektem</w:t>
      </w:r>
      <w:r>
        <w:rPr>
          <w:color w:val="231F20"/>
          <w:spacing w:val="-23"/>
          <w:sz w:val="15"/>
        </w:rPr>
        <w:t xml:space="preserve"> </w:t>
      </w:r>
      <w:r>
        <w:rPr>
          <w:color w:val="231F20"/>
          <w:spacing w:val="-3"/>
          <w:sz w:val="15"/>
        </w:rPr>
        <w:t>(např.</w:t>
      </w:r>
      <w:r>
        <w:rPr>
          <w:color w:val="231F20"/>
          <w:spacing w:val="-23"/>
          <w:sz w:val="15"/>
        </w:rPr>
        <w:t xml:space="preserve"> </w:t>
      </w:r>
      <w:r>
        <w:rPr>
          <w:color w:val="231F20"/>
          <w:sz w:val="15"/>
        </w:rPr>
        <w:t>jiným</w:t>
      </w:r>
      <w:r>
        <w:rPr>
          <w:color w:val="231F20"/>
          <w:spacing w:val="-22"/>
          <w:sz w:val="15"/>
        </w:rPr>
        <w:t xml:space="preserve"> </w:t>
      </w:r>
      <w:r>
        <w:rPr>
          <w:color w:val="231F20"/>
          <w:sz w:val="15"/>
        </w:rPr>
        <w:t>vozidlem,</w:t>
      </w:r>
      <w:r>
        <w:rPr>
          <w:color w:val="231F20"/>
          <w:spacing w:val="-23"/>
          <w:sz w:val="15"/>
        </w:rPr>
        <w:t xml:space="preserve"> </w:t>
      </w:r>
      <w:r>
        <w:rPr>
          <w:color w:val="231F20"/>
          <w:sz w:val="15"/>
        </w:rPr>
        <w:t>člověkem,</w:t>
      </w:r>
      <w:r>
        <w:rPr>
          <w:color w:val="231F20"/>
          <w:spacing w:val="-23"/>
          <w:sz w:val="15"/>
        </w:rPr>
        <w:t xml:space="preserve"> </w:t>
      </w:r>
      <w:r>
        <w:rPr>
          <w:color w:val="231F20"/>
          <w:spacing w:val="-4"/>
          <w:sz w:val="15"/>
        </w:rPr>
        <w:t xml:space="preserve">zvíře- </w:t>
      </w:r>
      <w:r>
        <w:rPr>
          <w:color w:val="231F20"/>
          <w:sz w:val="15"/>
        </w:rPr>
        <w:t>tem a</w:t>
      </w:r>
      <w:r>
        <w:rPr>
          <w:color w:val="231F20"/>
          <w:spacing w:val="-1"/>
          <w:sz w:val="15"/>
        </w:rPr>
        <w:t xml:space="preserve"> </w:t>
      </w:r>
      <w:r>
        <w:rPr>
          <w:color w:val="231F20"/>
          <w:sz w:val="15"/>
        </w:rPr>
        <w:t>podobně).</w:t>
      </w:r>
    </w:p>
    <w:p w14:paraId="559A9AE4" w14:textId="77777777" w:rsidR="00F65BCA" w:rsidRDefault="00216117">
      <w:pPr>
        <w:pStyle w:val="Zkladntext"/>
        <w:spacing w:line="278" w:lineRule="auto"/>
        <w:ind w:left="426"/>
        <w:jc w:val="both"/>
      </w:pPr>
      <w:r>
        <w:rPr>
          <w:color w:val="231F20"/>
        </w:rPr>
        <w:t>Identifikačním</w:t>
      </w:r>
      <w:r>
        <w:rPr>
          <w:color w:val="231F20"/>
          <w:spacing w:val="-13"/>
        </w:rPr>
        <w:t xml:space="preserve"> </w:t>
      </w:r>
      <w:r>
        <w:rPr>
          <w:color w:val="231F20"/>
        </w:rPr>
        <w:t>údajem</w:t>
      </w:r>
      <w:r>
        <w:rPr>
          <w:color w:val="231F20"/>
          <w:spacing w:val="-12"/>
        </w:rPr>
        <w:t xml:space="preserve"> </w:t>
      </w:r>
      <w:r>
        <w:rPr>
          <w:color w:val="231F20"/>
        </w:rPr>
        <w:t>vozidla</w:t>
      </w:r>
      <w:r>
        <w:rPr>
          <w:color w:val="231F20"/>
          <w:spacing w:val="-12"/>
        </w:rPr>
        <w:t xml:space="preserve"> </w:t>
      </w:r>
      <w:r>
        <w:rPr>
          <w:color w:val="231F20"/>
        </w:rPr>
        <w:t>se</w:t>
      </w:r>
      <w:r>
        <w:rPr>
          <w:color w:val="231F20"/>
          <w:spacing w:val="-13"/>
        </w:rPr>
        <w:t xml:space="preserve"> </w:t>
      </w:r>
      <w:r>
        <w:rPr>
          <w:color w:val="231F20"/>
        </w:rPr>
        <w:t>rozumí</w:t>
      </w:r>
      <w:r>
        <w:rPr>
          <w:color w:val="231F20"/>
          <w:spacing w:val="-12"/>
        </w:rPr>
        <w:t xml:space="preserve"> </w:t>
      </w:r>
      <w:r>
        <w:rPr>
          <w:color w:val="231F20"/>
        </w:rPr>
        <w:t>VIN</w:t>
      </w:r>
      <w:r>
        <w:rPr>
          <w:color w:val="231F20"/>
          <w:spacing w:val="-12"/>
        </w:rPr>
        <w:t xml:space="preserve"> </w:t>
      </w:r>
      <w:r>
        <w:rPr>
          <w:color w:val="231F20"/>
        </w:rPr>
        <w:t>(Vehicle</w:t>
      </w:r>
      <w:r>
        <w:rPr>
          <w:color w:val="231F20"/>
          <w:spacing w:val="-13"/>
        </w:rPr>
        <w:t xml:space="preserve"> </w:t>
      </w:r>
      <w:r>
        <w:rPr>
          <w:color w:val="231F20"/>
        </w:rPr>
        <w:t>Identification</w:t>
      </w:r>
      <w:r>
        <w:rPr>
          <w:color w:val="231F20"/>
          <w:spacing w:val="-12"/>
        </w:rPr>
        <w:t xml:space="preserve"> </w:t>
      </w:r>
      <w:r>
        <w:rPr>
          <w:color w:val="231F20"/>
        </w:rPr>
        <w:t>Number),</w:t>
      </w:r>
      <w:r>
        <w:rPr>
          <w:color w:val="231F20"/>
          <w:spacing w:val="-12"/>
        </w:rPr>
        <w:t xml:space="preserve"> </w:t>
      </w:r>
      <w:r>
        <w:rPr>
          <w:color w:val="231F20"/>
          <w:spacing w:val="-4"/>
        </w:rPr>
        <w:t xml:space="preserve">kte- </w:t>
      </w:r>
      <w:r>
        <w:rPr>
          <w:color w:val="231F20"/>
        </w:rPr>
        <w:t>rým</w:t>
      </w:r>
      <w:r>
        <w:rPr>
          <w:color w:val="231F20"/>
          <w:spacing w:val="-23"/>
        </w:rPr>
        <w:t xml:space="preserve"> </w:t>
      </w:r>
      <w:r>
        <w:rPr>
          <w:color w:val="231F20"/>
        </w:rPr>
        <w:t>vozidlo</w:t>
      </w:r>
      <w:r>
        <w:rPr>
          <w:color w:val="231F20"/>
          <w:spacing w:val="-23"/>
        </w:rPr>
        <w:t xml:space="preserve"> </w:t>
      </w:r>
      <w:r>
        <w:rPr>
          <w:color w:val="231F20"/>
        </w:rPr>
        <w:t>opatřuje</w:t>
      </w:r>
      <w:r>
        <w:rPr>
          <w:color w:val="231F20"/>
          <w:spacing w:val="-23"/>
        </w:rPr>
        <w:t xml:space="preserve"> </w:t>
      </w:r>
      <w:r>
        <w:rPr>
          <w:color w:val="231F20"/>
        </w:rPr>
        <w:t>jeho</w:t>
      </w:r>
      <w:r>
        <w:rPr>
          <w:color w:val="231F20"/>
          <w:spacing w:val="-23"/>
        </w:rPr>
        <w:t xml:space="preserve"> </w:t>
      </w:r>
      <w:r>
        <w:rPr>
          <w:color w:val="231F20"/>
        </w:rPr>
        <w:t>výrobce,</w:t>
      </w:r>
      <w:r>
        <w:rPr>
          <w:color w:val="231F20"/>
          <w:spacing w:val="-22"/>
        </w:rPr>
        <w:t xml:space="preserve"> </w:t>
      </w:r>
      <w:r>
        <w:rPr>
          <w:color w:val="231F20"/>
        </w:rPr>
        <w:t>resp.</w:t>
      </w:r>
      <w:r>
        <w:rPr>
          <w:color w:val="231F20"/>
          <w:spacing w:val="-23"/>
        </w:rPr>
        <w:t xml:space="preserve"> </w:t>
      </w:r>
      <w:r>
        <w:rPr>
          <w:color w:val="231F20"/>
        </w:rPr>
        <w:t>EČV</w:t>
      </w:r>
      <w:r>
        <w:rPr>
          <w:color w:val="231F20"/>
          <w:spacing w:val="-23"/>
        </w:rPr>
        <w:t xml:space="preserve"> </w:t>
      </w:r>
      <w:r>
        <w:rPr>
          <w:color w:val="231F20"/>
        </w:rPr>
        <w:t>(evidenční</w:t>
      </w:r>
      <w:r>
        <w:rPr>
          <w:color w:val="231F20"/>
          <w:spacing w:val="-23"/>
        </w:rPr>
        <w:t xml:space="preserve"> </w:t>
      </w:r>
      <w:r>
        <w:rPr>
          <w:color w:val="231F20"/>
        </w:rPr>
        <w:t>číslo</w:t>
      </w:r>
      <w:r>
        <w:rPr>
          <w:color w:val="231F20"/>
          <w:spacing w:val="-23"/>
        </w:rPr>
        <w:t xml:space="preserve"> </w:t>
      </w:r>
      <w:r>
        <w:rPr>
          <w:color w:val="231F20"/>
        </w:rPr>
        <w:t>vozidla,</w:t>
      </w:r>
      <w:r>
        <w:rPr>
          <w:color w:val="231F20"/>
          <w:spacing w:val="-23"/>
        </w:rPr>
        <w:t xml:space="preserve"> </w:t>
      </w:r>
      <w:r>
        <w:rPr>
          <w:color w:val="231F20"/>
        </w:rPr>
        <w:t>kterým</w:t>
      </w:r>
      <w:r>
        <w:rPr>
          <w:color w:val="231F20"/>
          <w:spacing w:val="-22"/>
        </w:rPr>
        <w:t xml:space="preserve"> </w:t>
      </w:r>
      <w:r>
        <w:rPr>
          <w:color w:val="231F20"/>
          <w:spacing w:val="-5"/>
        </w:rPr>
        <w:t xml:space="preserve">může </w:t>
      </w:r>
      <w:r>
        <w:rPr>
          <w:color w:val="231F20"/>
        </w:rPr>
        <w:t>být:</w:t>
      </w:r>
      <w:r>
        <w:rPr>
          <w:color w:val="231F20"/>
          <w:spacing w:val="-9"/>
        </w:rPr>
        <w:t xml:space="preserve"> </w:t>
      </w:r>
      <w:r>
        <w:rPr>
          <w:color w:val="231F20"/>
        </w:rPr>
        <w:t>č.</w:t>
      </w:r>
      <w:r>
        <w:rPr>
          <w:color w:val="231F20"/>
          <w:spacing w:val="-8"/>
        </w:rPr>
        <w:t xml:space="preserve"> </w:t>
      </w:r>
      <w:r>
        <w:rPr>
          <w:color w:val="231F20"/>
        </w:rPr>
        <w:t>rámu,</w:t>
      </w:r>
      <w:r>
        <w:rPr>
          <w:color w:val="231F20"/>
          <w:spacing w:val="-8"/>
        </w:rPr>
        <w:t xml:space="preserve"> </w:t>
      </w:r>
      <w:r>
        <w:rPr>
          <w:color w:val="231F20"/>
        </w:rPr>
        <w:t>č.</w:t>
      </w:r>
      <w:r>
        <w:rPr>
          <w:color w:val="231F20"/>
          <w:spacing w:val="-8"/>
        </w:rPr>
        <w:t xml:space="preserve"> </w:t>
      </w:r>
      <w:r>
        <w:rPr>
          <w:color w:val="231F20"/>
        </w:rPr>
        <w:t>karoserie</w:t>
      </w:r>
      <w:r>
        <w:rPr>
          <w:color w:val="231F20"/>
          <w:spacing w:val="-8"/>
        </w:rPr>
        <w:t xml:space="preserve"> </w:t>
      </w:r>
      <w:r>
        <w:rPr>
          <w:color w:val="231F20"/>
        </w:rPr>
        <w:t>nebo</w:t>
      </w:r>
      <w:r>
        <w:rPr>
          <w:color w:val="231F20"/>
          <w:spacing w:val="-8"/>
        </w:rPr>
        <w:t xml:space="preserve"> </w:t>
      </w:r>
      <w:r>
        <w:rPr>
          <w:color w:val="231F20"/>
        </w:rPr>
        <w:t>č.</w:t>
      </w:r>
      <w:r>
        <w:rPr>
          <w:color w:val="231F20"/>
          <w:spacing w:val="-8"/>
        </w:rPr>
        <w:t xml:space="preserve"> </w:t>
      </w:r>
      <w:r>
        <w:rPr>
          <w:color w:val="231F20"/>
        </w:rPr>
        <w:t>motoru)</w:t>
      </w:r>
      <w:r>
        <w:rPr>
          <w:color w:val="231F20"/>
          <w:spacing w:val="-8"/>
        </w:rPr>
        <w:t xml:space="preserve"> </w:t>
      </w:r>
      <w:r>
        <w:rPr>
          <w:color w:val="231F20"/>
        </w:rPr>
        <w:t>pro</w:t>
      </w:r>
      <w:r>
        <w:rPr>
          <w:color w:val="231F20"/>
          <w:spacing w:val="-8"/>
        </w:rPr>
        <w:t xml:space="preserve"> </w:t>
      </w:r>
      <w:r>
        <w:rPr>
          <w:color w:val="231F20"/>
        </w:rPr>
        <w:t>vozidla,</w:t>
      </w:r>
      <w:r>
        <w:rPr>
          <w:color w:val="231F20"/>
          <w:spacing w:val="-8"/>
        </w:rPr>
        <w:t xml:space="preserve"> </w:t>
      </w:r>
      <w:r>
        <w:rPr>
          <w:color w:val="231F20"/>
        </w:rPr>
        <w:t>která</w:t>
      </w:r>
      <w:r>
        <w:rPr>
          <w:color w:val="231F20"/>
          <w:spacing w:val="-8"/>
        </w:rPr>
        <w:t xml:space="preserve"> </w:t>
      </w:r>
      <w:r>
        <w:rPr>
          <w:color w:val="231F20"/>
        </w:rPr>
        <w:t>nejsou</w:t>
      </w:r>
      <w:r>
        <w:rPr>
          <w:color w:val="231F20"/>
          <w:spacing w:val="-8"/>
        </w:rPr>
        <w:t xml:space="preserve"> </w:t>
      </w:r>
      <w:r>
        <w:rPr>
          <w:color w:val="231F20"/>
        </w:rPr>
        <w:t>opatřena</w:t>
      </w:r>
      <w:r>
        <w:rPr>
          <w:color w:val="231F20"/>
          <w:spacing w:val="-8"/>
        </w:rPr>
        <w:t xml:space="preserve"> </w:t>
      </w:r>
      <w:r>
        <w:rPr>
          <w:color w:val="231F20"/>
        </w:rPr>
        <w:t>VIN, nebo</w:t>
      </w:r>
      <w:r>
        <w:rPr>
          <w:color w:val="231F20"/>
          <w:spacing w:val="-11"/>
        </w:rPr>
        <w:t xml:space="preserve"> </w:t>
      </w:r>
      <w:r>
        <w:rPr>
          <w:color w:val="231F20"/>
        </w:rPr>
        <w:t>vozidla</w:t>
      </w:r>
      <w:r>
        <w:rPr>
          <w:color w:val="231F20"/>
          <w:spacing w:val="-11"/>
        </w:rPr>
        <w:t xml:space="preserve"> </w:t>
      </w:r>
      <w:r>
        <w:rPr>
          <w:color w:val="231F20"/>
        </w:rPr>
        <w:t>po</w:t>
      </w:r>
      <w:r>
        <w:rPr>
          <w:color w:val="231F20"/>
          <w:spacing w:val="-11"/>
        </w:rPr>
        <w:t xml:space="preserve"> </w:t>
      </w:r>
      <w:r>
        <w:rPr>
          <w:color w:val="231F20"/>
        </w:rPr>
        <w:t>přestavbě,</w:t>
      </w:r>
      <w:r>
        <w:rPr>
          <w:color w:val="231F20"/>
          <w:spacing w:val="-11"/>
        </w:rPr>
        <w:t xml:space="preserve"> </w:t>
      </w:r>
      <w:r>
        <w:rPr>
          <w:color w:val="231F20"/>
        </w:rPr>
        <w:t>kdy</w:t>
      </w:r>
      <w:r>
        <w:rPr>
          <w:color w:val="231F20"/>
          <w:spacing w:val="-11"/>
        </w:rPr>
        <w:t xml:space="preserve"> </w:t>
      </w:r>
      <w:r>
        <w:rPr>
          <w:color w:val="231F20"/>
        </w:rPr>
        <w:t>původní</w:t>
      </w:r>
      <w:r>
        <w:rPr>
          <w:color w:val="231F20"/>
          <w:spacing w:val="-11"/>
        </w:rPr>
        <w:t xml:space="preserve"> </w:t>
      </w:r>
      <w:r>
        <w:rPr>
          <w:color w:val="231F20"/>
        </w:rPr>
        <w:t>VIN</w:t>
      </w:r>
      <w:r>
        <w:rPr>
          <w:color w:val="231F20"/>
          <w:spacing w:val="-11"/>
        </w:rPr>
        <w:t xml:space="preserve"> </w:t>
      </w:r>
      <w:r>
        <w:rPr>
          <w:color w:val="231F20"/>
        </w:rPr>
        <w:t>zaniklo.</w:t>
      </w:r>
      <w:r>
        <w:rPr>
          <w:color w:val="231F20"/>
          <w:spacing w:val="-11"/>
        </w:rPr>
        <w:t xml:space="preserve"> </w:t>
      </w:r>
      <w:r>
        <w:rPr>
          <w:color w:val="231F20"/>
        </w:rPr>
        <w:t>Byly-li</w:t>
      </w:r>
      <w:r>
        <w:rPr>
          <w:color w:val="231F20"/>
          <w:spacing w:val="-11"/>
        </w:rPr>
        <w:t xml:space="preserve"> </w:t>
      </w:r>
      <w:r>
        <w:rPr>
          <w:color w:val="231F20"/>
        </w:rPr>
        <w:t>na</w:t>
      </w:r>
      <w:r>
        <w:rPr>
          <w:color w:val="231F20"/>
          <w:spacing w:val="-11"/>
        </w:rPr>
        <w:t xml:space="preserve"> </w:t>
      </w:r>
      <w:r>
        <w:rPr>
          <w:color w:val="231F20"/>
        </w:rPr>
        <w:t>vozidle</w:t>
      </w:r>
      <w:r>
        <w:rPr>
          <w:color w:val="231F20"/>
          <w:spacing w:val="-11"/>
        </w:rPr>
        <w:t xml:space="preserve"> </w:t>
      </w:r>
      <w:r>
        <w:rPr>
          <w:color w:val="231F20"/>
        </w:rPr>
        <w:t>provedeny neschválené změny anebo zásahy do identifikátorů vozidla, vozidlo je</w:t>
      </w:r>
      <w:r>
        <w:rPr>
          <w:color w:val="231F20"/>
          <w:spacing w:val="-25"/>
        </w:rPr>
        <w:t xml:space="preserve"> </w:t>
      </w:r>
      <w:r>
        <w:rPr>
          <w:color w:val="231F20"/>
        </w:rPr>
        <w:t>technicky nezpůsobilé</w:t>
      </w:r>
      <w:r>
        <w:rPr>
          <w:color w:val="231F20"/>
          <w:spacing w:val="-5"/>
        </w:rPr>
        <w:t xml:space="preserve"> </w:t>
      </w:r>
      <w:r>
        <w:rPr>
          <w:color w:val="231F20"/>
        </w:rPr>
        <w:t>k</w:t>
      </w:r>
      <w:r>
        <w:rPr>
          <w:color w:val="231F20"/>
          <w:spacing w:val="-4"/>
        </w:rPr>
        <w:t xml:space="preserve"> </w:t>
      </w:r>
      <w:r>
        <w:rPr>
          <w:color w:val="231F20"/>
        </w:rPr>
        <w:t>provozu</w:t>
      </w:r>
      <w:r>
        <w:rPr>
          <w:color w:val="231F20"/>
          <w:spacing w:val="-5"/>
        </w:rPr>
        <w:t xml:space="preserve"> </w:t>
      </w:r>
      <w:r>
        <w:rPr>
          <w:color w:val="231F20"/>
        </w:rPr>
        <w:t>na</w:t>
      </w:r>
      <w:r>
        <w:rPr>
          <w:color w:val="231F20"/>
          <w:spacing w:val="-4"/>
        </w:rPr>
        <w:t xml:space="preserve"> </w:t>
      </w:r>
      <w:r>
        <w:rPr>
          <w:color w:val="231F20"/>
        </w:rPr>
        <w:t>pozemních</w:t>
      </w:r>
      <w:r>
        <w:rPr>
          <w:color w:val="231F20"/>
          <w:spacing w:val="-4"/>
        </w:rPr>
        <w:t xml:space="preserve"> </w:t>
      </w:r>
      <w:r>
        <w:rPr>
          <w:color w:val="231F20"/>
        </w:rPr>
        <w:t>komunikacích.</w:t>
      </w:r>
      <w:r>
        <w:rPr>
          <w:color w:val="231F20"/>
          <w:spacing w:val="-5"/>
        </w:rPr>
        <w:t xml:space="preserve"> </w:t>
      </w:r>
      <w:r>
        <w:rPr>
          <w:color w:val="231F20"/>
        </w:rPr>
        <w:t>Pro</w:t>
      </w:r>
      <w:r>
        <w:rPr>
          <w:color w:val="231F20"/>
          <w:spacing w:val="-4"/>
        </w:rPr>
        <w:t xml:space="preserve"> </w:t>
      </w:r>
      <w:r>
        <w:rPr>
          <w:color w:val="231F20"/>
        </w:rPr>
        <w:t>účely</w:t>
      </w:r>
      <w:r>
        <w:rPr>
          <w:color w:val="231F20"/>
          <w:spacing w:val="-5"/>
        </w:rPr>
        <w:t xml:space="preserve"> </w:t>
      </w:r>
      <w:r>
        <w:rPr>
          <w:color w:val="231F20"/>
        </w:rPr>
        <w:t>pojištění</w:t>
      </w:r>
      <w:r>
        <w:rPr>
          <w:color w:val="231F20"/>
          <w:spacing w:val="-4"/>
        </w:rPr>
        <w:t xml:space="preserve"> </w:t>
      </w:r>
      <w:r>
        <w:rPr>
          <w:color w:val="231F20"/>
        </w:rPr>
        <w:t>se</w:t>
      </w:r>
      <w:r>
        <w:rPr>
          <w:color w:val="231F20"/>
          <w:spacing w:val="-4"/>
        </w:rPr>
        <w:t xml:space="preserve"> </w:t>
      </w:r>
      <w:r>
        <w:rPr>
          <w:color w:val="231F20"/>
          <w:spacing w:val="-3"/>
        </w:rPr>
        <w:t xml:space="preserve">iden- </w:t>
      </w:r>
      <w:r>
        <w:rPr>
          <w:color w:val="231F20"/>
        </w:rPr>
        <w:t>tifikační</w:t>
      </w:r>
      <w:r>
        <w:rPr>
          <w:color w:val="231F20"/>
          <w:spacing w:val="-10"/>
        </w:rPr>
        <w:t xml:space="preserve"> </w:t>
      </w:r>
      <w:r>
        <w:rPr>
          <w:color w:val="231F20"/>
        </w:rPr>
        <w:t>údaj</w:t>
      </w:r>
      <w:r>
        <w:rPr>
          <w:color w:val="231F20"/>
          <w:spacing w:val="-9"/>
        </w:rPr>
        <w:t xml:space="preserve"> </w:t>
      </w:r>
      <w:r>
        <w:rPr>
          <w:color w:val="231F20"/>
        </w:rPr>
        <w:t>VIN/EČV</w:t>
      </w:r>
      <w:r>
        <w:rPr>
          <w:color w:val="231F20"/>
          <w:spacing w:val="-9"/>
        </w:rPr>
        <w:t xml:space="preserve"> </w:t>
      </w:r>
      <w:r>
        <w:rPr>
          <w:color w:val="231F20"/>
        </w:rPr>
        <w:t>považuje</w:t>
      </w:r>
      <w:r>
        <w:rPr>
          <w:color w:val="231F20"/>
          <w:spacing w:val="-9"/>
        </w:rPr>
        <w:t xml:space="preserve"> </w:t>
      </w:r>
      <w:r>
        <w:rPr>
          <w:color w:val="231F20"/>
        </w:rPr>
        <w:t>za</w:t>
      </w:r>
      <w:r>
        <w:rPr>
          <w:color w:val="231F20"/>
          <w:spacing w:val="-9"/>
        </w:rPr>
        <w:t xml:space="preserve"> </w:t>
      </w:r>
      <w:r>
        <w:rPr>
          <w:color w:val="231F20"/>
        </w:rPr>
        <w:t>jediný</w:t>
      </w:r>
      <w:r>
        <w:rPr>
          <w:color w:val="231F20"/>
          <w:spacing w:val="-10"/>
        </w:rPr>
        <w:t xml:space="preserve"> </w:t>
      </w:r>
      <w:r>
        <w:rPr>
          <w:color w:val="231F20"/>
        </w:rPr>
        <w:t>a</w:t>
      </w:r>
      <w:r>
        <w:rPr>
          <w:color w:val="231F20"/>
          <w:spacing w:val="-9"/>
        </w:rPr>
        <w:t xml:space="preserve"> </w:t>
      </w:r>
      <w:r>
        <w:rPr>
          <w:color w:val="231F20"/>
        </w:rPr>
        <w:t>nezaměnitelný</w:t>
      </w:r>
      <w:r>
        <w:rPr>
          <w:color w:val="231F20"/>
          <w:spacing w:val="-9"/>
        </w:rPr>
        <w:t xml:space="preserve"> </w:t>
      </w:r>
      <w:r>
        <w:rPr>
          <w:color w:val="231F20"/>
        </w:rPr>
        <w:t>identifikátor</w:t>
      </w:r>
      <w:r>
        <w:rPr>
          <w:color w:val="231F20"/>
          <w:spacing w:val="-9"/>
        </w:rPr>
        <w:t xml:space="preserve"> </w:t>
      </w:r>
      <w:r>
        <w:rPr>
          <w:color w:val="231F20"/>
          <w:spacing w:val="-3"/>
        </w:rPr>
        <w:t xml:space="preserve">předmětu </w:t>
      </w:r>
      <w:r>
        <w:rPr>
          <w:color w:val="231F20"/>
        </w:rPr>
        <w:t>pojištění</w:t>
      </w:r>
      <w:r>
        <w:rPr>
          <w:color w:val="231F20"/>
          <w:spacing w:val="-10"/>
        </w:rPr>
        <w:t xml:space="preserve"> </w:t>
      </w:r>
      <w:r>
        <w:rPr>
          <w:color w:val="231F20"/>
        </w:rPr>
        <w:t>(vozidla).</w:t>
      </w:r>
      <w:r>
        <w:rPr>
          <w:color w:val="231F20"/>
          <w:spacing w:val="-10"/>
        </w:rPr>
        <w:t xml:space="preserve"> </w:t>
      </w:r>
      <w:r>
        <w:rPr>
          <w:color w:val="231F20"/>
        </w:rPr>
        <w:t>Další</w:t>
      </w:r>
      <w:r>
        <w:rPr>
          <w:color w:val="231F20"/>
          <w:spacing w:val="-9"/>
        </w:rPr>
        <w:t xml:space="preserve"> </w:t>
      </w:r>
      <w:r>
        <w:rPr>
          <w:color w:val="231F20"/>
        </w:rPr>
        <w:t>údaje</w:t>
      </w:r>
      <w:r>
        <w:rPr>
          <w:color w:val="231F20"/>
          <w:spacing w:val="-10"/>
        </w:rPr>
        <w:t xml:space="preserve"> </w:t>
      </w:r>
      <w:r>
        <w:rPr>
          <w:color w:val="231F20"/>
        </w:rPr>
        <w:t>o</w:t>
      </w:r>
      <w:r>
        <w:rPr>
          <w:color w:val="231F20"/>
          <w:spacing w:val="-9"/>
        </w:rPr>
        <w:t xml:space="preserve"> </w:t>
      </w:r>
      <w:r>
        <w:rPr>
          <w:color w:val="231F20"/>
        </w:rPr>
        <w:t>vozidle</w:t>
      </w:r>
      <w:r>
        <w:rPr>
          <w:color w:val="231F20"/>
          <w:spacing w:val="-10"/>
        </w:rPr>
        <w:t xml:space="preserve"> </w:t>
      </w:r>
      <w:r>
        <w:rPr>
          <w:color w:val="231F20"/>
        </w:rPr>
        <w:t>uvedené</w:t>
      </w:r>
      <w:r>
        <w:rPr>
          <w:color w:val="231F20"/>
          <w:spacing w:val="-10"/>
        </w:rPr>
        <w:t xml:space="preserve"> </w:t>
      </w:r>
      <w:r>
        <w:rPr>
          <w:color w:val="231F20"/>
        </w:rPr>
        <w:t>v</w:t>
      </w:r>
      <w:r>
        <w:rPr>
          <w:color w:val="231F20"/>
          <w:spacing w:val="-9"/>
        </w:rPr>
        <w:t xml:space="preserve"> </w:t>
      </w:r>
      <w:r>
        <w:rPr>
          <w:color w:val="231F20"/>
        </w:rPr>
        <w:t>pojistné</w:t>
      </w:r>
      <w:r>
        <w:rPr>
          <w:color w:val="231F20"/>
          <w:spacing w:val="-10"/>
        </w:rPr>
        <w:t xml:space="preserve"> </w:t>
      </w:r>
      <w:r>
        <w:rPr>
          <w:color w:val="231F20"/>
        </w:rPr>
        <w:t>smlouvě</w:t>
      </w:r>
      <w:r>
        <w:rPr>
          <w:color w:val="231F20"/>
          <w:spacing w:val="-9"/>
        </w:rPr>
        <w:t xml:space="preserve"> </w:t>
      </w:r>
      <w:r>
        <w:rPr>
          <w:color w:val="231F20"/>
        </w:rPr>
        <w:t>neslouží</w:t>
      </w:r>
      <w:r>
        <w:rPr>
          <w:color w:val="231F20"/>
          <w:spacing w:val="-10"/>
        </w:rPr>
        <w:t xml:space="preserve"> </w:t>
      </w:r>
      <w:r>
        <w:rPr>
          <w:color w:val="231F20"/>
          <w:spacing w:val="-6"/>
        </w:rPr>
        <w:t xml:space="preserve">pro </w:t>
      </w:r>
      <w:r>
        <w:rPr>
          <w:color w:val="231F20"/>
        </w:rPr>
        <w:t>identifikaci vozidla, ale jen pro stanovení výše</w:t>
      </w:r>
      <w:r>
        <w:rPr>
          <w:color w:val="231F20"/>
          <w:spacing w:val="-26"/>
        </w:rPr>
        <w:t xml:space="preserve"> </w:t>
      </w:r>
      <w:r>
        <w:rPr>
          <w:color w:val="231F20"/>
        </w:rPr>
        <w:t>pojistného.</w:t>
      </w:r>
    </w:p>
    <w:p w14:paraId="2734F000" w14:textId="77777777" w:rsidR="00F65BCA" w:rsidRDefault="00216117">
      <w:pPr>
        <w:pStyle w:val="Zkladntext"/>
        <w:spacing w:line="278" w:lineRule="auto"/>
        <w:ind w:left="426"/>
        <w:jc w:val="both"/>
      </w:pPr>
      <w:r>
        <w:rPr>
          <w:color w:val="231F20"/>
        </w:rPr>
        <w:t xml:space="preserve">Jiným údajem, než identifikačním údajem vozidla VIN, resp. EČV, továrně </w:t>
      </w:r>
      <w:r>
        <w:rPr>
          <w:color w:val="231F20"/>
          <w:spacing w:val="-3"/>
        </w:rPr>
        <w:t xml:space="preserve">při- </w:t>
      </w:r>
      <w:r>
        <w:rPr>
          <w:color w:val="231F20"/>
        </w:rPr>
        <w:t>děleným</w:t>
      </w:r>
      <w:r>
        <w:rPr>
          <w:color w:val="231F20"/>
          <w:spacing w:val="-9"/>
        </w:rPr>
        <w:t xml:space="preserve"> </w:t>
      </w:r>
      <w:r>
        <w:rPr>
          <w:color w:val="231F20"/>
        </w:rPr>
        <w:t>tomuto</w:t>
      </w:r>
      <w:r>
        <w:rPr>
          <w:color w:val="231F20"/>
          <w:spacing w:val="-9"/>
        </w:rPr>
        <w:t xml:space="preserve"> </w:t>
      </w:r>
      <w:r>
        <w:rPr>
          <w:color w:val="231F20"/>
        </w:rPr>
        <w:t>vozidlu</w:t>
      </w:r>
      <w:r>
        <w:rPr>
          <w:color w:val="231F20"/>
          <w:spacing w:val="-9"/>
        </w:rPr>
        <w:t xml:space="preserve"> </w:t>
      </w:r>
      <w:r>
        <w:rPr>
          <w:color w:val="231F20"/>
        </w:rPr>
        <w:t>jeho</w:t>
      </w:r>
      <w:r>
        <w:rPr>
          <w:color w:val="231F20"/>
          <w:spacing w:val="-9"/>
        </w:rPr>
        <w:t xml:space="preserve"> </w:t>
      </w:r>
      <w:r>
        <w:rPr>
          <w:color w:val="231F20"/>
        </w:rPr>
        <w:t>výrobcem,</w:t>
      </w:r>
      <w:r>
        <w:rPr>
          <w:color w:val="231F20"/>
          <w:spacing w:val="-8"/>
        </w:rPr>
        <w:t xml:space="preserve"> </w:t>
      </w:r>
      <w:r>
        <w:rPr>
          <w:color w:val="231F20"/>
        </w:rPr>
        <w:t>se</w:t>
      </w:r>
      <w:r>
        <w:rPr>
          <w:color w:val="231F20"/>
          <w:spacing w:val="-9"/>
        </w:rPr>
        <w:t xml:space="preserve"> </w:t>
      </w:r>
      <w:r>
        <w:rPr>
          <w:color w:val="231F20"/>
        </w:rPr>
        <w:t>rozumí</w:t>
      </w:r>
      <w:r>
        <w:rPr>
          <w:color w:val="231F20"/>
          <w:spacing w:val="-9"/>
        </w:rPr>
        <w:t xml:space="preserve"> </w:t>
      </w:r>
      <w:r>
        <w:rPr>
          <w:color w:val="231F20"/>
        </w:rPr>
        <w:t>jakákoliv</w:t>
      </w:r>
      <w:r>
        <w:rPr>
          <w:color w:val="231F20"/>
          <w:spacing w:val="-9"/>
        </w:rPr>
        <w:t xml:space="preserve"> </w:t>
      </w:r>
      <w:r>
        <w:rPr>
          <w:color w:val="231F20"/>
        </w:rPr>
        <w:t>neoprávněná</w:t>
      </w:r>
      <w:r>
        <w:rPr>
          <w:color w:val="231F20"/>
          <w:spacing w:val="-8"/>
        </w:rPr>
        <w:t xml:space="preserve"> </w:t>
      </w:r>
      <w:r>
        <w:rPr>
          <w:color w:val="231F20"/>
          <w:spacing w:val="-4"/>
        </w:rPr>
        <w:t xml:space="preserve">změna </w:t>
      </w:r>
      <w:r>
        <w:rPr>
          <w:color w:val="231F20"/>
        </w:rPr>
        <w:t>tohoto</w:t>
      </w:r>
      <w:r>
        <w:rPr>
          <w:color w:val="231F20"/>
          <w:spacing w:val="-21"/>
        </w:rPr>
        <w:t xml:space="preserve"> </w:t>
      </w:r>
      <w:r>
        <w:rPr>
          <w:color w:val="231F20"/>
        </w:rPr>
        <w:t>identifikátoru</w:t>
      </w:r>
      <w:r>
        <w:rPr>
          <w:color w:val="231F20"/>
          <w:spacing w:val="-20"/>
        </w:rPr>
        <w:t xml:space="preserve"> </w:t>
      </w:r>
      <w:r>
        <w:rPr>
          <w:color w:val="231F20"/>
        </w:rPr>
        <w:t>motorových</w:t>
      </w:r>
      <w:r>
        <w:rPr>
          <w:color w:val="231F20"/>
          <w:spacing w:val="-21"/>
        </w:rPr>
        <w:t xml:space="preserve"> </w:t>
      </w:r>
      <w:r>
        <w:rPr>
          <w:color w:val="231F20"/>
        </w:rPr>
        <w:t>vozidel,</w:t>
      </w:r>
      <w:r>
        <w:rPr>
          <w:color w:val="231F20"/>
          <w:spacing w:val="-20"/>
        </w:rPr>
        <w:t xml:space="preserve"> </w:t>
      </w:r>
      <w:r>
        <w:rPr>
          <w:color w:val="231F20"/>
        </w:rPr>
        <w:t>provedená</w:t>
      </w:r>
      <w:r>
        <w:rPr>
          <w:color w:val="231F20"/>
          <w:spacing w:val="-21"/>
        </w:rPr>
        <w:t xml:space="preserve"> </w:t>
      </w:r>
      <w:r>
        <w:rPr>
          <w:color w:val="231F20"/>
        </w:rPr>
        <w:t>bez</w:t>
      </w:r>
      <w:r>
        <w:rPr>
          <w:color w:val="231F20"/>
          <w:spacing w:val="-20"/>
        </w:rPr>
        <w:t xml:space="preserve"> </w:t>
      </w:r>
      <w:r>
        <w:rPr>
          <w:color w:val="231F20"/>
        </w:rPr>
        <w:t>souhlasu</w:t>
      </w:r>
      <w:r>
        <w:rPr>
          <w:color w:val="231F20"/>
          <w:spacing w:val="-21"/>
        </w:rPr>
        <w:t xml:space="preserve"> </w:t>
      </w:r>
      <w:r>
        <w:rPr>
          <w:color w:val="231F20"/>
        </w:rPr>
        <w:t>výrobce</w:t>
      </w:r>
      <w:r>
        <w:rPr>
          <w:color w:val="231F20"/>
          <w:spacing w:val="-20"/>
        </w:rPr>
        <w:t xml:space="preserve"> </w:t>
      </w:r>
      <w:r>
        <w:rPr>
          <w:color w:val="231F20"/>
        </w:rPr>
        <w:t>vozidla nebo</w:t>
      </w:r>
      <w:r>
        <w:rPr>
          <w:color w:val="231F20"/>
          <w:spacing w:val="-9"/>
        </w:rPr>
        <w:t xml:space="preserve"> </w:t>
      </w:r>
      <w:r>
        <w:rPr>
          <w:color w:val="231F20"/>
        </w:rPr>
        <w:t>orgánu</w:t>
      </w:r>
      <w:r>
        <w:rPr>
          <w:color w:val="231F20"/>
          <w:spacing w:val="-8"/>
        </w:rPr>
        <w:t xml:space="preserve"> </w:t>
      </w:r>
      <w:r>
        <w:rPr>
          <w:color w:val="231F20"/>
        </w:rPr>
        <w:t>státní</w:t>
      </w:r>
      <w:r>
        <w:rPr>
          <w:color w:val="231F20"/>
          <w:spacing w:val="-9"/>
        </w:rPr>
        <w:t xml:space="preserve"> </w:t>
      </w:r>
      <w:r>
        <w:rPr>
          <w:color w:val="231F20"/>
        </w:rPr>
        <w:t>správy,</w:t>
      </w:r>
      <w:r>
        <w:rPr>
          <w:color w:val="231F20"/>
          <w:spacing w:val="-8"/>
        </w:rPr>
        <w:t xml:space="preserve"> </w:t>
      </w:r>
      <w:r>
        <w:rPr>
          <w:color w:val="231F20"/>
        </w:rPr>
        <w:t>bez</w:t>
      </w:r>
      <w:r>
        <w:rPr>
          <w:color w:val="231F20"/>
          <w:spacing w:val="-8"/>
        </w:rPr>
        <w:t xml:space="preserve"> </w:t>
      </w:r>
      <w:r>
        <w:rPr>
          <w:color w:val="231F20"/>
        </w:rPr>
        <w:t>ohledu</w:t>
      </w:r>
      <w:r>
        <w:rPr>
          <w:color w:val="231F20"/>
          <w:spacing w:val="-9"/>
        </w:rPr>
        <w:t xml:space="preserve"> </w:t>
      </w:r>
      <w:r>
        <w:rPr>
          <w:color w:val="231F20"/>
        </w:rPr>
        <w:t>na</w:t>
      </w:r>
      <w:r>
        <w:rPr>
          <w:color w:val="231F20"/>
          <w:spacing w:val="-8"/>
        </w:rPr>
        <w:t xml:space="preserve"> </w:t>
      </w:r>
      <w:r>
        <w:rPr>
          <w:color w:val="231F20"/>
        </w:rPr>
        <w:t>to,</w:t>
      </w:r>
      <w:r>
        <w:rPr>
          <w:color w:val="231F20"/>
          <w:spacing w:val="-8"/>
        </w:rPr>
        <w:t xml:space="preserve"> </w:t>
      </w:r>
      <w:r>
        <w:rPr>
          <w:color w:val="231F20"/>
        </w:rPr>
        <w:t>kdo</w:t>
      </w:r>
      <w:r>
        <w:rPr>
          <w:color w:val="231F20"/>
          <w:spacing w:val="-9"/>
        </w:rPr>
        <w:t xml:space="preserve"> </w:t>
      </w:r>
      <w:r>
        <w:rPr>
          <w:color w:val="231F20"/>
        </w:rPr>
        <w:t>takovou</w:t>
      </w:r>
      <w:r>
        <w:rPr>
          <w:color w:val="231F20"/>
          <w:spacing w:val="-8"/>
        </w:rPr>
        <w:t xml:space="preserve"> </w:t>
      </w:r>
      <w:r>
        <w:rPr>
          <w:color w:val="231F20"/>
        </w:rPr>
        <w:t>změnu</w:t>
      </w:r>
      <w:r>
        <w:rPr>
          <w:color w:val="231F20"/>
          <w:spacing w:val="-9"/>
        </w:rPr>
        <w:t xml:space="preserve"> </w:t>
      </w:r>
      <w:r>
        <w:rPr>
          <w:color w:val="231F20"/>
        </w:rPr>
        <w:t>realizoval.</w:t>
      </w:r>
    </w:p>
    <w:p w14:paraId="34E7FB4E" w14:textId="77777777" w:rsidR="00F65BCA" w:rsidRDefault="00216117">
      <w:pPr>
        <w:pStyle w:val="Zkladntext"/>
        <w:spacing w:line="278" w:lineRule="auto"/>
        <w:ind w:left="426"/>
        <w:jc w:val="both"/>
      </w:pPr>
      <w:r>
        <w:rPr>
          <w:color w:val="231F20"/>
        </w:rPr>
        <w:t>Leasingovou smlouvou se rozumí smlouva, podle níž jedna strana s</w:t>
      </w:r>
      <w:r>
        <w:rPr>
          <w:color w:val="231F20"/>
          <w:spacing w:val="-29"/>
        </w:rPr>
        <w:t xml:space="preserve"> </w:t>
      </w:r>
      <w:r>
        <w:rPr>
          <w:color w:val="231F20"/>
        </w:rPr>
        <w:t>podnikatel- ským</w:t>
      </w:r>
      <w:r>
        <w:rPr>
          <w:color w:val="231F20"/>
          <w:spacing w:val="-24"/>
        </w:rPr>
        <w:t xml:space="preserve"> </w:t>
      </w:r>
      <w:r>
        <w:rPr>
          <w:color w:val="231F20"/>
        </w:rPr>
        <w:t>záměrem</w:t>
      </w:r>
      <w:r>
        <w:rPr>
          <w:color w:val="231F20"/>
          <w:spacing w:val="-24"/>
        </w:rPr>
        <w:t xml:space="preserve"> </w:t>
      </w:r>
      <w:r>
        <w:rPr>
          <w:color w:val="231F20"/>
        </w:rPr>
        <w:t>(leasingová</w:t>
      </w:r>
      <w:r>
        <w:rPr>
          <w:color w:val="231F20"/>
          <w:spacing w:val="-24"/>
        </w:rPr>
        <w:t xml:space="preserve"> </w:t>
      </w:r>
      <w:r>
        <w:rPr>
          <w:color w:val="231F20"/>
        </w:rPr>
        <w:t>společnost)</w:t>
      </w:r>
      <w:r>
        <w:rPr>
          <w:color w:val="231F20"/>
          <w:spacing w:val="-24"/>
        </w:rPr>
        <w:t xml:space="preserve"> </w:t>
      </w:r>
      <w:r>
        <w:rPr>
          <w:color w:val="231F20"/>
        </w:rPr>
        <w:t>za</w:t>
      </w:r>
      <w:r>
        <w:rPr>
          <w:color w:val="231F20"/>
          <w:spacing w:val="-24"/>
        </w:rPr>
        <w:t xml:space="preserve"> </w:t>
      </w:r>
      <w:r>
        <w:rPr>
          <w:color w:val="231F20"/>
        </w:rPr>
        <w:t>úplatu</w:t>
      </w:r>
      <w:r>
        <w:rPr>
          <w:color w:val="231F20"/>
          <w:spacing w:val="-24"/>
        </w:rPr>
        <w:t xml:space="preserve"> </w:t>
      </w:r>
      <w:r>
        <w:rPr>
          <w:color w:val="231F20"/>
        </w:rPr>
        <w:t>poskytne</w:t>
      </w:r>
      <w:r>
        <w:rPr>
          <w:color w:val="231F20"/>
          <w:spacing w:val="-24"/>
        </w:rPr>
        <w:t xml:space="preserve"> </w:t>
      </w:r>
      <w:r>
        <w:rPr>
          <w:color w:val="231F20"/>
        </w:rPr>
        <w:t>druhé</w:t>
      </w:r>
      <w:r>
        <w:rPr>
          <w:color w:val="231F20"/>
          <w:spacing w:val="-24"/>
        </w:rPr>
        <w:t xml:space="preserve"> </w:t>
      </w:r>
      <w:r>
        <w:rPr>
          <w:color w:val="231F20"/>
        </w:rPr>
        <w:t>straně</w:t>
      </w:r>
      <w:r>
        <w:rPr>
          <w:color w:val="231F20"/>
          <w:spacing w:val="-24"/>
        </w:rPr>
        <w:t xml:space="preserve"> </w:t>
      </w:r>
      <w:r>
        <w:rPr>
          <w:color w:val="231F20"/>
          <w:spacing w:val="-3"/>
        </w:rPr>
        <w:t xml:space="preserve">(leasingo- </w:t>
      </w:r>
      <w:r>
        <w:rPr>
          <w:color w:val="231F20"/>
        </w:rPr>
        <w:t>vý</w:t>
      </w:r>
      <w:r>
        <w:rPr>
          <w:color w:val="231F20"/>
          <w:spacing w:val="-17"/>
        </w:rPr>
        <w:t xml:space="preserve"> </w:t>
      </w:r>
      <w:r>
        <w:rPr>
          <w:color w:val="231F20"/>
        </w:rPr>
        <w:t>nájemce)</w:t>
      </w:r>
      <w:r>
        <w:rPr>
          <w:color w:val="231F20"/>
          <w:spacing w:val="-16"/>
        </w:rPr>
        <w:t xml:space="preserve"> </w:t>
      </w:r>
      <w:r>
        <w:rPr>
          <w:color w:val="231F20"/>
        </w:rPr>
        <w:t>do</w:t>
      </w:r>
      <w:r>
        <w:rPr>
          <w:color w:val="231F20"/>
          <w:spacing w:val="-16"/>
        </w:rPr>
        <w:t xml:space="preserve"> </w:t>
      </w:r>
      <w:r>
        <w:rPr>
          <w:color w:val="231F20"/>
        </w:rPr>
        <w:t>užívání</w:t>
      </w:r>
      <w:r>
        <w:rPr>
          <w:color w:val="231F20"/>
          <w:spacing w:val="-16"/>
        </w:rPr>
        <w:t xml:space="preserve"> </w:t>
      </w:r>
      <w:r>
        <w:rPr>
          <w:color w:val="231F20"/>
        </w:rPr>
        <w:t>vybraný</w:t>
      </w:r>
      <w:r>
        <w:rPr>
          <w:color w:val="231F20"/>
          <w:spacing w:val="-16"/>
        </w:rPr>
        <w:t xml:space="preserve"> </w:t>
      </w:r>
      <w:r>
        <w:rPr>
          <w:color w:val="231F20"/>
        </w:rPr>
        <w:t>předmět</w:t>
      </w:r>
      <w:r>
        <w:rPr>
          <w:color w:val="231F20"/>
          <w:spacing w:val="-16"/>
        </w:rPr>
        <w:t xml:space="preserve"> </w:t>
      </w:r>
      <w:r>
        <w:rPr>
          <w:color w:val="231F20"/>
        </w:rPr>
        <w:t>(vozidlo),</w:t>
      </w:r>
      <w:r>
        <w:rPr>
          <w:color w:val="231F20"/>
          <w:spacing w:val="-16"/>
        </w:rPr>
        <w:t xml:space="preserve"> </w:t>
      </w:r>
      <w:r>
        <w:rPr>
          <w:color w:val="231F20"/>
        </w:rPr>
        <w:t>který</w:t>
      </w:r>
      <w:r>
        <w:rPr>
          <w:color w:val="231F20"/>
          <w:spacing w:val="-17"/>
        </w:rPr>
        <w:t xml:space="preserve"> </w:t>
      </w:r>
      <w:r>
        <w:rPr>
          <w:color w:val="231F20"/>
        </w:rPr>
        <w:t>je</w:t>
      </w:r>
      <w:r>
        <w:rPr>
          <w:color w:val="231F20"/>
          <w:spacing w:val="-16"/>
        </w:rPr>
        <w:t xml:space="preserve"> </w:t>
      </w:r>
      <w:r>
        <w:rPr>
          <w:color w:val="231F20"/>
        </w:rPr>
        <w:t>po</w:t>
      </w:r>
      <w:r>
        <w:rPr>
          <w:color w:val="231F20"/>
          <w:spacing w:val="-16"/>
        </w:rPr>
        <w:t xml:space="preserve"> </w:t>
      </w:r>
      <w:r>
        <w:rPr>
          <w:color w:val="231F20"/>
        </w:rPr>
        <w:t>celou</w:t>
      </w:r>
      <w:r>
        <w:rPr>
          <w:color w:val="231F20"/>
          <w:spacing w:val="-16"/>
        </w:rPr>
        <w:t xml:space="preserve"> </w:t>
      </w:r>
      <w:r>
        <w:rPr>
          <w:color w:val="231F20"/>
        </w:rPr>
        <w:t>dobu</w:t>
      </w:r>
      <w:r>
        <w:rPr>
          <w:color w:val="231F20"/>
          <w:spacing w:val="-16"/>
        </w:rPr>
        <w:t xml:space="preserve"> </w:t>
      </w:r>
      <w:r>
        <w:rPr>
          <w:color w:val="231F20"/>
        </w:rPr>
        <w:t>leasingu ve vlastnictví leasingové</w:t>
      </w:r>
      <w:r>
        <w:rPr>
          <w:color w:val="231F20"/>
          <w:spacing w:val="-5"/>
        </w:rPr>
        <w:t xml:space="preserve"> </w:t>
      </w:r>
      <w:r>
        <w:rPr>
          <w:color w:val="231F20"/>
        </w:rPr>
        <w:t>společnosti.</w:t>
      </w:r>
    </w:p>
    <w:p w14:paraId="42A0A7DE" w14:textId="77777777" w:rsidR="00F65BCA" w:rsidRDefault="00216117">
      <w:pPr>
        <w:pStyle w:val="Zkladntext"/>
        <w:spacing w:line="278" w:lineRule="auto"/>
        <w:ind w:left="426"/>
        <w:jc w:val="both"/>
      </w:pPr>
      <w:r>
        <w:rPr>
          <w:color w:val="231F20"/>
        </w:rPr>
        <w:t>Nájemním</w:t>
      </w:r>
      <w:r>
        <w:rPr>
          <w:color w:val="231F20"/>
          <w:spacing w:val="-13"/>
        </w:rPr>
        <w:t xml:space="preserve"> </w:t>
      </w:r>
      <w:r>
        <w:rPr>
          <w:color w:val="231F20"/>
        </w:rPr>
        <w:t>vozidlem</w:t>
      </w:r>
      <w:r>
        <w:rPr>
          <w:color w:val="231F20"/>
          <w:spacing w:val="-12"/>
        </w:rPr>
        <w:t xml:space="preserve"> </w:t>
      </w:r>
      <w:r>
        <w:rPr>
          <w:color w:val="231F20"/>
        </w:rPr>
        <w:t>se</w:t>
      </w:r>
      <w:r>
        <w:rPr>
          <w:color w:val="231F20"/>
          <w:spacing w:val="-12"/>
        </w:rPr>
        <w:t xml:space="preserve"> </w:t>
      </w:r>
      <w:r>
        <w:rPr>
          <w:color w:val="231F20"/>
        </w:rPr>
        <w:t>rozumí</w:t>
      </w:r>
      <w:r>
        <w:rPr>
          <w:color w:val="231F20"/>
          <w:spacing w:val="-12"/>
        </w:rPr>
        <w:t xml:space="preserve"> </w:t>
      </w:r>
      <w:r>
        <w:rPr>
          <w:color w:val="231F20"/>
        </w:rPr>
        <w:t>vozidlo</w:t>
      </w:r>
      <w:r>
        <w:rPr>
          <w:color w:val="231F20"/>
          <w:spacing w:val="-12"/>
        </w:rPr>
        <w:t xml:space="preserve"> </w:t>
      </w:r>
      <w:r>
        <w:rPr>
          <w:color w:val="231F20"/>
        </w:rPr>
        <w:t>určené</w:t>
      </w:r>
      <w:r>
        <w:rPr>
          <w:color w:val="231F20"/>
          <w:spacing w:val="-12"/>
        </w:rPr>
        <w:t xml:space="preserve"> </w:t>
      </w:r>
      <w:r>
        <w:rPr>
          <w:color w:val="231F20"/>
        </w:rPr>
        <w:t>k</w:t>
      </w:r>
      <w:r>
        <w:rPr>
          <w:color w:val="231F20"/>
          <w:spacing w:val="-12"/>
        </w:rPr>
        <w:t xml:space="preserve"> </w:t>
      </w:r>
      <w:r>
        <w:rPr>
          <w:color w:val="231F20"/>
        </w:rPr>
        <w:t>pronájmu</w:t>
      </w:r>
      <w:r>
        <w:rPr>
          <w:color w:val="231F20"/>
          <w:spacing w:val="-13"/>
        </w:rPr>
        <w:t xml:space="preserve"> </w:t>
      </w:r>
      <w:r>
        <w:rPr>
          <w:color w:val="231F20"/>
        </w:rPr>
        <w:t>či</w:t>
      </w:r>
      <w:r>
        <w:rPr>
          <w:color w:val="231F20"/>
          <w:spacing w:val="-12"/>
        </w:rPr>
        <w:t xml:space="preserve"> </w:t>
      </w:r>
      <w:r>
        <w:rPr>
          <w:color w:val="231F20"/>
        </w:rPr>
        <w:t>půjčování,</w:t>
      </w:r>
      <w:r>
        <w:rPr>
          <w:color w:val="231F20"/>
          <w:spacing w:val="-12"/>
        </w:rPr>
        <w:t xml:space="preserve"> </w:t>
      </w:r>
      <w:r>
        <w:rPr>
          <w:color w:val="231F20"/>
        </w:rPr>
        <w:t>které</w:t>
      </w:r>
      <w:r>
        <w:rPr>
          <w:color w:val="231F20"/>
          <w:spacing w:val="-12"/>
        </w:rPr>
        <w:t xml:space="preserve"> </w:t>
      </w:r>
      <w:r>
        <w:rPr>
          <w:color w:val="231F20"/>
        </w:rPr>
        <w:t>je</w:t>
      </w:r>
      <w:r>
        <w:rPr>
          <w:color w:val="231F20"/>
          <w:spacing w:val="-12"/>
        </w:rPr>
        <w:t xml:space="preserve"> </w:t>
      </w:r>
      <w:r>
        <w:rPr>
          <w:color w:val="231F20"/>
          <w:spacing w:val="-7"/>
        </w:rPr>
        <w:t xml:space="preserve">ve </w:t>
      </w:r>
      <w:r>
        <w:rPr>
          <w:color w:val="231F20"/>
        </w:rPr>
        <w:t>vlastnictví</w:t>
      </w:r>
      <w:r>
        <w:rPr>
          <w:color w:val="231F20"/>
          <w:spacing w:val="-11"/>
        </w:rPr>
        <w:t xml:space="preserve"> </w:t>
      </w:r>
      <w:r>
        <w:rPr>
          <w:color w:val="231F20"/>
        </w:rPr>
        <w:t>právnické</w:t>
      </w:r>
      <w:r>
        <w:rPr>
          <w:color w:val="231F20"/>
          <w:spacing w:val="-11"/>
        </w:rPr>
        <w:t xml:space="preserve"> </w:t>
      </w:r>
      <w:r>
        <w:rPr>
          <w:color w:val="231F20"/>
        </w:rPr>
        <w:t>nebo</w:t>
      </w:r>
      <w:r>
        <w:rPr>
          <w:color w:val="231F20"/>
          <w:spacing w:val="-11"/>
        </w:rPr>
        <w:t xml:space="preserve"> </w:t>
      </w:r>
      <w:r>
        <w:rPr>
          <w:color w:val="231F20"/>
        </w:rPr>
        <w:t>fyzické</w:t>
      </w:r>
      <w:r>
        <w:rPr>
          <w:color w:val="231F20"/>
          <w:spacing w:val="-10"/>
        </w:rPr>
        <w:t xml:space="preserve"> </w:t>
      </w:r>
      <w:r>
        <w:rPr>
          <w:color w:val="231F20"/>
          <w:spacing w:val="-3"/>
        </w:rPr>
        <w:t>osoby,</w:t>
      </w:r>
      <w:r>
        <w:rPr>
          <w:color w:val="231F20"/>
          <w:spacing w:val="-11"/>
        </w:rPr>
        <w:t xml:space="preserve"> </w:t>
      </w:r>
      <w:r>
        <w:rPr>
          <w:color w:val="231F20"/>
        </w:rPr>
        <w:t>jejímž</w:t>
      </w:r>
      <w:r>
        <w:rPr>
          <w:color w:val="231F20"/>
          <w:spacing w:val="-11"/>
        </w:rPr>
        <w:t xml:space="preserve"> </w:t>
      </w:r>
      <w:r>
        <w:rPr>
          <w:color w:val="231F20"/>
        </w:rPr>
        <w:t>předmětem,</w:t>
      </w:r>
      <w:r>
        <w:rPr>
          <w:color w:val="231F20"/>
          <w:spacing w:val="-10"/>
        </w:rPr>
        <w:t xml:space="preserve"> </w:t>
      </w:r>
      <w:r>
        <w:rPr>
          <w:color w:val="231F20"/>
        </w:rPr>
        <w:t>či</w:t>
      </w:r>
      <w:r>
        <w:rPr>
          <w:color w:val="231F20"/>
          <w:spacing w:val="-11"/>
        </w:rPr>
        <w:t xml:space="preserve"> </w:t>
      </w:r>
      <w:r>
        <w:rPr>
          <w:color w:val="231F20"/>
        </w:rPr>
        <w:t>jedním</w:t>
      </w:r>
      <w:r>
        <w:rPr>
          <w:color w:val="231F20"/>
          <w:spacing w:val="-11"/>
        </w:rPr>
        <w:t xml:space="preserve"> </w:t>
      </w:r>
      <w:r>
        <w:rPr>
          <w:color w:val="231F20"/>
        </w:rPr>
        <w:t>z</w:t>
      </w:r>
      <w:r>
        <w:rPr>
          <w:color w:val="231F20"/>
          <w:spacing w:val="-11"/>
        </w:rPr>
        <w:t xml:space="preserve"> </w:t>
      </w:r>
      <w:r>
        <w:rPr>
          <w:color w:val="231F20"/>
          <w:spacing w:val="-3"/>
        </w:rPr>
        <w:t>předmětů</w:t>
      </w:r>
    </w:p>
    <w:p w14:paraId="2854C2E5" w14:textId="77777777" w:rsidR="00F65BCA" w:rsidRDefault="00216117">
      <w:pPr>
        <w:pStyle w:val="Zkladntext"/>
        <w:spacing w:before="104" w:line="278" w:lineRule="auto"/>
        <w:ind w:left="186" w:right="424"/>
        <w:jc w:val="both"/>
      </w:pPr>
      <w:r>
        <w:br w:type="column"/>
      </w:r>
      <w:r>
        <w:rPr>
          <w:color w:val="231F20"/>
        </w:rPr>
        <w:t>podnikání</w:t>
      </w:r>
      <w:r>
        <w:rPr>
          <w:color w:val="231F20"/>
          <w:spacing w:val="-10"/>
        </w:rPr>
        <w:t xml:space="preserve"> </w:t>
      </w:r>
      <w:r>
        <w:rPr>
          <w:color w:val="231F20"/>
        </w:rPr>
        <w:t>je</w:t>
      </w:r>
      <w:r>
        <w:rPr>
          <w:color w:val="231F20"/>
          <w:spacing w:val="-10"/>
        </w:rPr>
        <w:t xml:space="preserve"> </w:t>
      </w:r>
      <w:r>
        <w:rPr>
          <w:color w:val="231F20"/>
        </w:rPr>
        <w:t>pronájem</w:t>
      </w:r>
      <w:r>
        <w:rPr>
          <w:color w:val="231F20"/>
          <w:spacing w:val="-10"/>
        </w:rPr>
        <w:t xml:space="preserve"> </w:t>
      </w:r>
      <w:r>
        <w:rPr>
          <w:color w:val="231F20"/>
        </w:rPr>
        <w:t>a</w:t>
      </w:r>
      <w:r>
        <w:rPr>
          <w:color w:val="231F20"/>
          <w:spacing w:val="-10"/>
        </w:rPr>
        <w:t xml:space="preserve"> </w:t>
      </w:r>
      <w:r>
        <w:rPr>
          <w:color w:val="231F20"/>
        </w:rPr>
        <w:t>půjčování</w:t>
      </w:r>
      <w:r>
        <w:rPr>
          <w:color w:val="231F20"/>
          <w:spacing w:val="-10"/>
        </w:rPr>
        <w:t xml:space="preserve"> </w:t>
      </w:r>
      <w:r>
        <w:rPr>
          <w:color w:val="231F20"/>
        </w:rPr>
        <w:t>vozidel.</w:t>
      </w:r>
      <w:r>
        <w:rPr>
          <w:color w:val="231F20"/>
          <w:spacing w:val="-10"/>
        </w:rPr>
        <w:t xml:space="preserve"> </w:t>
      </w:r>
      <w:r>
        <w:rPr>
          <w:color w:val="231F20"/>
        </w:rPr>
        <w:t>Za</w:t>
      </w:r>
      <w:r>
        <w:rPr>
          <w:color w:val="231F20"/>
          <w:spacing w:val="-10"/>
        </w:rPr>
        <w:t xml:space="preserve"> </w:t>
      </w:r>
      <w:r>
        <w:rPr>
          <w:color w:val="231F20"/>
        </w:rPr>
        <w:t>nájemní</w:t>
      </w:r>
      <w:r>
        <w:rPr>
          <w:color w:val="231F20"/>
          <w:spacing w:val="-10"/>
        </w:rPr>
        <w:t xml:space="preserve"> </w:t>
      </w:r>
      <w:r>
        <w:rPr>
          <w:color w:val="231F20"/>
        </w:rPr>
        <w:t>vozidlo</w:t>
      </w:r>
      <w:r>
        <w:rPr>
          <w:color w:val="231F20"/>
          <w:spacing w:val="-10"/>
        </w:rPr>
        <w:t xml:space="preserve"> </w:t>
      </w:r>
      <w:r>
        <w:rPr>
          <w:color w:val="231F20"/>
        </w:rPr>
        <w:t>se</w:t>
      </w:r>
      <w:r>
        <w:rPr>
          <w:color w:val="231F20"/>
          <w:spacing w:val="-10"/>
        </w:rPr>
        <w:t xml:space="preserve"> </w:t>
      </w:r>
      <w:r>
        <w:rPr>
          <w:color w:val="231F20"/>
        </w:rPr>
        <w:t>nepovažuje</w:t>
      </w:r>
      <w:r>
        <w:rPr>
          <w:color w:val="231F20"/>
          <w:spacing w:val="-10"/>
        </w:rPr>
        <w:t xml:space="preserve"> </w:t>
      </w:r>
      <w:r>
        <w:rPr>
          <w:color w:val="231F20"/>
          <w:spacing w:val="-7"/>
        </w:rPr>
        <w:t xml:space="preserve">vo- </w:t>
      </w:r>
      <w:r>
        <w:rPr>
          <w:color w:val="231F20"/>
        </w:rPr>
        <w:t>zidlo,</w:t>
      </w:r>
      <w:r>
        <w:rPr>
          <w:color w:val="231F20"/>
          <w:spacing w:val="-13"/>
        </w:rPr>
        <w:t xml:space="preserve"> </w:t>
      </w:r>
      <w:r>
        <w:rPr>
          <w:color w:val="231F20"/>
        </w:rPr>
        <w:t>které</w:t>
      </w:r>
      <w:r>
        <w:rPr>
          <w:color w:val="231F20"/>
          <w:spacing w:val="-12"/>
        </w:rPr>
        <w:t xml:space="preserve"> </w:t>
      </w:r>
      <w:r>
        <w:rPr>
          <w:color w:val="231F20"/>
        </w:rPr>
        <w:t>je</w:t>
      </w:r>
      <w:r>
        <w:rPr>
          <w:color w:val="231F20"/>
          <w:spacing w:val="-12"/>
        </w:rPr>
        <w:t xml:space="preserve"> </w:t>
      </w:r>
      <w:r>
        <w:rPr>
          <w:color w:val="231F20"/>
        </w:rPr>
        <w:t>předmětem</w:t>
      </w:r>
      <w:r>
        <w:rPr>
          <w:color w:val="231F20"/>
          <w:spacing w:val="-12"/>
        </w:rPr>
        <w:t xml:space="preserve"> </w:t>
      </w:r>
      <w:r>
        <w:rPr>
          <w:color w:val="231F20"/>
        </w:rPr>
        <w:t>operativního</w:t>
      </w:r>
      <w:r>
        <w:rPr>
          <w:color w:val="231F20"/>
          <w:spacing w:val="-13"/>
        </w:rPr>
        <w:t xml:space="preserve"> </w:t>
      </w:r>
      <w:r>
        <w:rPr>
          <w:color w:val="231F20"/>
        </w:rPr>
        <w:t>či</w:t>
      </w:r>
      <w:r>
        <w:rPr>
          <w:color w:val="231F20"/>
          <w:spacing w:val="-12"/>
        </w:rPr>
        <w:t xml:space="preserve"> </w:t>
      </w:r>
      <w:r>
        <w:rPr>
          <w:color w:val="231F20"/>
        </w:rPr>
        <w:t>finančního</w:t>
      </w:r>
      <w:r>
        <w:rPr>
          <w:color w:val="231F20"/>
          <w:spacing w:val="-12"/>
        </w:rPr>
        <w:t xml:space="preserve"> </w:t>
      </w:r>
      <w:r>
        <w:rPr>
          <w:color w:val="231F20"/>
        </w:rPr>
        <w:t>leasingu</w:t>
      </w:r>
      <w:r>
        <w:rPr>
          <w:color w:val="231F20"/>
          <w:spacing w:val="-12"/>
        </w:rPr>
        <w:t xml:space="preserve"> </w:t>
      </w:r>
      <w:r>
        <w:rPr>
          <w:color w:val="231F20"/>
        </w:rPr>
        <w:t>nebo</w:t>
      </w:r>
      <w:r>
        <w:rPr>
          <w:color w:val="231F20"/>
          <w:spacing w:val="-13"/>
        </w:rPr>
        <w:t xml:space="preserve"> </w:t>
      </w:r>
      <w:r>
        <w:rPr>
          <w:color w:val="231F20"/>
        </w:rPr>
        <w:t>úvěrové</w:t>
      </w:r>
      <w:r>
        <w:rPr>
          <w:color w:val="231F20"/>
          <w:spacing w:val="-12"/>
        </w:rPr>
        <w:t xml:space="preserve"> </w:t>
      </w:r>
      <w:r>
        <w:rPr>
          <w:color w:val="231F20"/>
        </w:rPr>
        <w:t>či</w:t>
      </w:r>
      <w:r>
        <w:rPr>
          <w:color w:val="231F20"/>
          <w:spacing w:val="-12"/>
        </w:rPr>
        <w:t xml:space="preserve"> </w:t>
      </w:r>
      <w:r>
        <w:rPr>
          <w:color w:val="231F20"/>
          <w:spacing w:val="-3"/>
        </w:rPr>
        <w:t xml:space="preserve">jiné </w:t>
      </w:r>
      <w:r>
        <w:rPr>
          <w:color w:val="231F20"/>
        </w:rPr>
        <w:t xml:space="preserve">obdobné </w:t>
      </w:r>
      <w:r>
        <w:rPr>
          <w:color w:val="231F20"/>
          <w:spacing w:val="2"/>
        </w:rPr>
        <w:t xml:space="preserve">smlouvy </w:t>
      </w:r>
      <w:r>
        <w:rPr>
          <w:color w:val="231F20"/>
        </w:rPr>
        <w:t>mezi osobami, jejichž předmětem podnikání není pronájem  a</w:t>
      </w:r>
      <w:r>
        <w:rPr>
          <w:color w:val="231F20"/>
          <w:spacing w:val="-26"/>
        </w:rPr>
        <w:t xml:space="preserve"> </w:t>
      </w:r>
      <w:r>
        <w:rPr>
          <w:color w:val="231F20"/>
        </w:rPr>
        <w:t>půjčování</w:t>
      </w:r>
      <w:r>
        <w:rPr>
          <w:color w:val="231F20"/>
          <w:spacing w:val="-25"/>
        </w:rPr>
        <w:t xml:space="preserve"> </w:t>
      </w:r>
      <w:r>
        <w:rPr>
          <w:color w:val="231F20"/>
        </w:rPr>
        <w:t>vozidel.</w:t>
      </w:r>
      <w:r>
        <w:rPr>
          <w:color w:val="231F20"/>
          <w:spacing w:val="-25"/>
        </w:rPr>
        <w:t xml:space="preserve"> </w:t>
      </w:r>
      <w:r>
        <w:rPr>
          <w:color w:val="231F20"/>
        </w:rPr>
        <w:t>Za</w:t>
      </w:r>
      <w:r>
        <w:rPr>
          <w:color w:val="231F20"/>
          <w:spacing w:val="-26"/>
        </w:rPr>
        <w:t xml:space="preserve"> </w:t>
      </w:r>
      <w:r>
        <w:rPr>
          <w:color w:val="231F20"/>
        </w:rPr>
        <w:t>nájemní</w:t>
      </w:r>
      <w:r>
        <w:rPr>
          <w:color w:val="231F20"/>
          <w:spacing w:val="-25"/>
        </w:rPr>
        <w:t xml:space="preserve"> </w:t>
      </w:r>
      <w:r>
        <w:rPr>
          <w:color w:val="231F20"/>
        </w:rPr>
        <w:t>vozidlo</w:t>
      </w:r>
      <w:r>
        <w:rPr>
          <w:color w:val="231F20"/>
          <w:spacing w:val="-26"/>
        </w:rPr>
        <w:t xml:space="preserve"> </w:t>
      </w:r>
      <w:r>
        <w:rPr>
          <w:color w:val="231F20"/>
        </w:rPr>
        <w:t>se</w:t>
      </w:r>
      <w:r>
        <w:rPr>
          <w:color w:val="231F20"/>
          <w:spacing w:val="-25"/>
        </w:rPr>
        <w:t xml:space="preserve"> </w:t>
      </w:r>
      <w:r>
        <w:rPr>
          <w:color w:val="231F20"/>
        </w:rPr>
        <w:t>pro</w:t>
      </w:r>
      <w:r>
        <w:rPr>
          <w:color w:val="231F20"/>
          <w:spacing w:val="-25"/>
        </w:rPr>
        <w:t xml:space="preserve"> </w:t>
      </w:r>
      <w:r>
        <w:rPr>
          <w:color w:val="231F20"/>
        </w:rPr>
        <w:t>účely</w:t>
      </w:r>
      <w:r>
        <w:rPr>
          <w:color w:val="231F20"/>
          <w:spacing w:val="-26"/>
        </w:rPr>
        <w:t xml:space="preserve"> </w:t>
      </w:r>
      <w:r>
        <w:rPr>
          <w:color w:val="231F20"/>
        </w:rPr>
        <w:t>tohoto</w:t>
      </w:r>
      <w:r>
        <w:rPr>
          <w:color w:val="231F20"/>
          <w:spacing w:val="-25"/>
        </w:rPr>
        <w:t xml:space="preserve"> </w:t>
      </w:r>
      <w:r>
        <w:rPr>
          <w:color w:val="231F20"/>
        </w:rPr>
        <w:t>pojištění</w:t>
      </w:r>
      <w:r>
        <w:rPr>
          <w:color w:val="231F20"/>
          <w:spacing w:val="-25"/>
        </w:rPr>
        <w:t xml:space="preserve"> </w:t>
      </w:r>
      <w:r>
        <w:rPr>
          <w:color w:val="231F20"/>
        </w:rPr>
        <w:t>nepovažuje</w:t>
      </w:r>
      <w:r>
        <w:rPr>
          <w:color w:val="231F20"/>
          <w:spacing w:val="-26"/>
        </w:rPr>
        <w:t xml:space="preserve"> </w:t>
      </w:r>
      <w:r>
        <w:rPr>
          <w:color w:val="231F20"/>
          <w:spacing w:val="-5"/>
        </w:rPr>
        <w:t xml:space="preserve">vo- </w:t>
      </w:r>
      <w:r>
        <w:rPr>
          <w:color w:val="231F20"/>
        </w:rPr>
        <w:t>zidlo,</w:t>
      </w:r>
      <w:r>
        <w:rPr>
          <w:color w:val="231F20"/>
          <w:spacing w:val="-22"/>
        </w:rPr>
        <w:t xml:space="preserve"> </w:t>
      </w:r>
      <w:r>
        <w:rPr>
          <w:color w:val="231F20"/>
        </w:rPr>
        <w:t>které</w:t>
      </w:r>
      <w:r>
        <w:rPr>
          <w:color w:val="231F20"/>
          <w:spacing w:val="-21"/>
        </w:rPr>
        <w:t xml:space="preserve"> </w:t>
      </w:r>
      <w:r>
        <w:rPr>
          <w:color w:val="231F20"/>
        </w:rPr>
        <w:t>opravna</w:t>
      </w:r>
      <w:r>
        <w:rPr>
          <w:color w:val="231F20"/>
          <w:spacing w:val="-22"/>
        </w:rPr>
        <w:t xml:space="preserve"> </w:t>
      </w:r>
      <w:r>
        <w:rPr>
          <w:color w:val="231F20"/>
        </w:rPr>
        <w:t>vozidel</w:t>
      </w:r>
      <w:r>
        <w:rPr>
          <w:color w:val="231F20"/>
          <w:spacing w:val="-21"/>
        </w:rPr>
        <w:t xml:space="preserve"> </w:t>
      </w:r>
      <w:r>
        <w:rPr>
          <w:color w:val="231F20"/>
        </w:rPr>
        <w:t>umožní</w:t>
      </w:r>
      <w:r>
        <w:rPr>
          <w:color w:val="231F20"/>
          <w:spacing w:val="-22"/>
        </w:rPr>
        <w:t xml:space="preserve"> </w:t>
      </w:r>
      <w:r>
        <w:rPr>
          <w:color w:val="231F20"/>
        </w:rPr>
        <w:t>svému</w:t>
      </w:r>
      <w:r>
        <w:rPr>
          <w:color w:val="231F20"/>
          <w:spacing w:val="-21"/>
        </w:rPr>
        <w:t xml:space="preserve"> </w:t>
      </w:r>
      <w:r>
        <w:rPr>
          <w:color w:val="231F20"/>
        </w:rPr>
        <w:t>zákazníkovi</w:t>
      </w:r>
      <w:r>
        <w:rPr>
          <w:color w:val="231F20"/>
          <w:spacing w:val="-21"/>
        </w:rPr>
        <w:t xml:space="preserve"> </w:t>
      </w:r>
      <w:r>
        <w:rPr>
          <w:color w:val="231F20"/>
        </w:rPr>
        <w:t>používat</w:t>
      </w:r>
      <w:r>
        <w:rPr>
          <w:color w:val="231F20"/>
          <w:spacing w:val="-22"/>
        </w:rPr>
        <w:t xml:space="preserve"> </w:t>
      </w:r>
      <w:r>
        <w:rPr>
          <w:color w:val="231F20"/>
        </w:rPr>
        <w:t>jako</w:t>
      </w:r>
      <w:r>
        <w:rPr>
          <w:color w:val="231F20"/>
          <w:spacing w:val="-21"/>
        </w:rPr>
        <w:t xml:space="preserve"> </w:t>
      </w:r>
      <w:r>
        <w:rPr>
          <w:color w:val="231F20"/>
          <w:spacing w:val="-3"/>
        </w:rPr>
        <w:t>tzv.</w:t>
      </w:r>
      <w:r>
        <w:rPr>
          <w:color w:val="231F20"/>
          <w:spacing w:val="-22"/>
        </w:rPr>
        <w:t xml:space="preserve"> </w:t>
      </w:r>
      <w:r>
        <w:rPr>
          <w:color w:val="231F20"/>
        </w:rPr>
        <w:t>náhradní vozidlo po dobu opravy</w:t>
      </w:r>
      <w:r>
        <w:rPr>
          <w:color w:val="231F20"/>
          <w:spacing w:val="-3"/>
        </w:rPr>
        <w:t xml:space="preserve"> </w:t>
      </w:r>
      <w:r>
        <w:rPr>
          <w:color w:val="231F20"/>
        </w:rPr>
        <w:t>vozidla.</w:t>
      </w:r>
    </w:p>
    <w:p w14:paraId="56C59D76" w14:textId="77777777" w:rsidR="00F65BCA" w:rsidRDefault="00216117">
      <w:pPr>
        <w:pStyle w:val="Zkladntext"/>
        <w:spacing w:line="278" w:lineRule="auto"/>
        <w:ind w:left="186" w:right="424"/>
        <w:jc w:val="both"/>
      </w:pPr>
      <w:r>
        <w:rPr>
          <w:color w:val="231F20"/>
        </w:rPr>
        <w:t>Odcizením se rozumí krádež, loupež a neoprávněné užití. Pojištěná věc je po- važována</w:t>
      </w:r>
      <w:r>
        <w:rPr>
          <w:color w:val="231F20"/>
          <w:spacing w:val="-6"/>
        </w:rPr>
        <w:t xml:space="preserve"> </w:t>
      </w:r>
      <w:r>
        <w:rPr>
          <w:color w:val="231F20"/>
        </w:rPr>
        <w:t>za</w:t>
      </w:r>
      <w:r>
        <w:rPr>
          <w:color w:val="231F20"/>
          <w:spacing w:val="-6"/>
        </w:rPr>
        <w:t xml:space="preserve"> </w:t>
      </w:r>
      <w:r>
        <w:rPr>
          <w:color w:val="231F20"/>
        </w:rPr>
        <w:t>odcizenou</w:t>
      </w:r>
      <w:r>
        <w:rPr>
          <w:color w:val="231F20"/>
          <w:spacing w:val="-6"/>
        </w:rPr>
        <w:t xml:space="preserve"> </w:t>
      </w:r>
      <w:r>
        <w:rPr>
          <w:color w:val="231F20"/>
        </w:rPr>
        <w:t>od</w:t>
      </w:r>
      <w:r>
        <w:rPr>
          <w:color w:val="231F20"/>
          <w:spacing w:val="-6"/>
        </w:rPr>
        <w:t xml:space="preserve"> </w:t>
      </w:r>
      <w:r>
        <w:rPr>
          <w:color w:val="231F20"/>
        </w:rPr>
        <w:t>okamžiku,</w:t>
      </w:r>
      <w:r>
        <w:rPr>
          <w:color w:val="231F20"/>
          <w:spacing w:val="-6"/>
        </w:rPr>
        <w:t xml:space="preserve"> </w:t>
      </w:r>
      <w:r>
        <w:rPr>
          <w:color w:val="231F20"/>
        </w:rPr>
        <w:t>kdy</w:t>
      </w:r>
      <w:r>
        <w:rPr>
          <w:color w:val="231F20"/>
          <w:spacing w:val="-6"/>
        </w:rPr>
        <w:t xml:space="preserve"> </w:t>
      </w:r>
      <w:r>
        <w:rPr>
          <w:color w:val="231F20"/>
        </w:rPr>
        <w:t>bylo</w:t>
      </w:r>
      <w:r>
        <w:rPr>
          <w:color w:val="231F20"/>
          <w:spacing w:val="-6"/>
        </w:rPr>
        <w:t xml:space="preserve"> </w:t>
      </w:r>
      <w:r>
        <w:rPr>
          <w:color w:val="231F20"/>
        </w:rPr>
        <w:t>odcizení</w:t>
      </w:r>
      <w:r>
        <w:rPr>
          <w:color w:val="231F20"/>
          <w:spacing w:val="-6"/>
        </w:rPr>
        <w:t xml:space="preserve"> </w:t>
      </w:r>
      <w:r>
        <w:rPr>
          <w:color w:val="231F20"/>
        </w:rPr>
        <w:t>oznámeno</w:t>
      </w:r>
      <w:r>
        <w:rPr>
          <w:color w:val="231F20"/>
          <w:spacing w:val="-6"/>
        </w:rPr>
        <w:t xml:space="preserve"> </w:t>
      </w:r>
      <w:r>
        <w:rPr>
          <w:color w:val="231F20"/>
        </w:rPr>
        <w:t>Policii</w:t>
      </w:r>
      <w:r>
        <w:rPr>
          <w:color w:val="231F20"/>
          <w:spacing w:val="-6"/>
        </w:rPr>
        <w:t xml:space="preserve"> </w:t>
      </w:r>
      <w:r>
        <w:rPr>
          <w:color w:val="231F20"/>
        </w:rPr>
        <w:t xml:space="preserve">České republiky nebo policejnímu orgánu jiného státu (dále jen „policie“), pokud </w:t>
      </w:r>
      <w:r>
        <w:rPr>
          <w:color w:val="231F20"/>
          <w:spacing w:val="-3"/>
        </w:rPr>
        <w:t xml:space="preserve">nejde </w:t>
      </w:r>
      <w:r>
        <w:rPr>
          <w:color w:val="231F20"/>
        </w:rPr>
        <w:t>okamžik odcizení zjistit</w:t>
      </w:r>
      <w:r>
        <w:rPr>
          <w:color w:val="231F20"/>
          <w:spacing w:val="-3"/>
        </w:rPr>
        <w:t xml:space="preserve"> </w:t>
      </w:r>
      <w:r>
        <w:rPr>
          <w:color w:val="231F20"/>
        </w:rPr>
        <w:t>jinak.</w:t>
      </w:r>
    </w:p>
    <w:p w14:paraId="7636A2A3" w14:textId="77777777" w:rsidR="00F65BCA" w:rsidRDefault="00216117">
      <w:pPr>
        <w:pStyle w:val="Zkladntext"/>
        <w:spacing w:line="278" w:lineRule="auto"/>
        <w:ind w:left="186" w:right="425"/>
        <w:jc w:val="both"/>
      </w:pPr>
      <w:r>
        <w:rPr>
          <w:color w:val="231F20"/>
        </w:rPr>
        <w:t>Oprávněnou</w:t>
      </w:r>
      <w:r>
        <w:rPr>
          <w:color w:val="231F20"/>
          <w:spacing w:val="-15"/>
        </w:rPr>
        <w:t xml:space="preserve"> </w:t>
      </w:r>
      <w:r>
        <w:rPr>
          <w:color w:val="231F20"/>
        </w:rPr>
        <w:t>osobou</w:t>
      </w:r>
      <w:r>
        <w:rPr>
          <w:color w:val="231F20"/>
          <w:spacing w:val="-15"/>
        </w:rPr>
        <w:t xml:space="preserve"> </w:t>
      </w:r>
      <w:r>
        <w:rPr>
          <w:color w:val="231F20"/>
        </w:rPr>
        <w:t>je</w:t>
      </w:r>
      <w:r>
        <w:rPr>
          <w:color w:val="231F20"/>
          <w:spacing w:val="-14"/>
        </w:rPr>
        <w:t xml:space="preserve"> </w:t>
      </w:r>
      <w:r>
        <w:rPr>
          <w:color w:val="231F20"/>
        </w:rPr>
        <w:t>osoba,</w:t>
      </w:r>
      <w:r>
        <w:rPr>
          <w:color w:val="231F20"/>
          <w:spacing w:val="-15"/>
        </w:rPr>
        <w:t xml:space="preserve"> </w:t>
      </w:r>
      <w:r>
        <w:rPr>
          <w:color w:val="231F20"/>
        </w:rPr>
        <w:t>které</w:t>
      </w:r>
      <w:r>
        <w:rPr>
          <w:color w:val="231F20"/>
          <w:spacing w:val="-14"/>
        </w:rPr>
        <w:t xml:space="preserve"> </w:t>
      </w:r>
      <w:r>
        <w:rPr>
          <w:color w:val="231F20"/>
        </w:rPr>
        <w:t>v</w:t>
      </w:r>
      <w:r>
        <w:rPr>
          <w:color w:val="231F20"/>
          <w:spacing w:val="-15"/>
        </w:rPr>
        <w:t xml:space="preserve"> </w:t>
      </w:r>
      <w:r>
        <w:rPr>
          <w:color w:val="231F20"/>
        </w:rPr>
        <w:t>důsledku</w:t>
      </w:r>
      <w:r>
        <w:rPr>
          <w:color w:val="231F20"/>
          <w:spacing w:val="-14"/>
        </w:rPr>
        <w:t xml:space="preserve"> </w:t>
      </w:r>
      <w:r>
        <w:rPr>
          <w:color w:val="231F20"/>
        </w:rPr>
        <w:t>pojistné</w:t>
      </w:r>
      <w:r>
        <w:rPr>
          <w:color w:val="231F20"/>
          <w:spacing w:val="-15"/>
        </w:rPr>
        <w:t xml:space="preserve"> </w:t>
      </w:r>
      <w:r>
        <w:rPr>
          <w:color w:val="231F20"/>
        </w:rPr>
        <w:t>události</w:t>
      </w:r>
      <w:r>
        <w:rPr>
          <w:color w:val="231F20"/>
          <w:spacing w:val="-14"/>
        </w:rPr>
        <w:t xml:space="preserve"> </w:t>
      </w:r>
      <w:r>
        <w:rPr>
          <w:color w:val="231F20"/>
        </w:rPr>
        <w:t>vznikne</w:t>
      </w:r>
      <w:r>
        <w:rPr>
          <w:color w:val="231F20"/>
          <w:spacing w:val="-15"/>
        </w:rPr>
        <w:t xml:space="preserve"> </w:t>
      </w:r>
      <w:r>
        <w:rPr>
          <w:color w:val="231F20"/>
        </w:rPr>
        <w:t>právo</w:t>
      </w:r>
      <w:r>
        <w:rPr>
          <w:color w:val="231F20"/>
          <w:spacing w:val="-14"/>
        </w:rPr>
        <w:t xml:space="preserve"> </w:t>
      </w:r>
      <w:r>
        <w:rPr>
          <w:color w:val="231F20"/>
          <w:spacing w:val="-9"/>
        </w:rPr>
        <w:t xml:space="preserve">na </w:t>
      </w:r>
      <w:r>
        <w:rPr>
          <w:color w:val="231F20"/>
        </w:rPr>
        <w:t>pojistné plnění, není-li dále v těchto VPP uvedeno</w:t>
      </w:r>
      <w:r>
        <w:rPr>
          <w:color w:val="231F20"/>
          <w:spacing w:val="-26"/>
        </w:rPr>
        <w:t xml:space="preserve"> </w:t>
      </w:r>
      <w:r>
        <w:rPr>
          <w:color w:val="231F20"/>
        </w:rPr>
        <w:t>jinak.</w:t>
      </w:r>
    </w:p>
    <w:p w14:paraId="290A4133" w14:textId="77777777" w:rsidR="00F65BCA" w:rsidRDefault="00216117">
      <w:pPr>
        <w:pStyle w:val="Zkladntext"/>
        <w:spacing w:line="278" w:lineRule="auto"/>
        <w:ind w:left="186" w:right="424"/>
        <w:jc w:val="both"/>
      </w:pPr>
      <w:r>
        <w:rPr>
          <w:color w:val="231F20"/>
        </w:rPr>
        <w:t>Ostatní</w:t>
      </w:r>
      <w:r>
        <w:rPr>
          <w:color w:val="231F20"/>
          <w:spacing w:val="-6"/>
        </w:rPr>
        <w:t xml:space="preserve"> </w:t>
      </w:r>
      <w:r>
        <w:rPr>
          <w:color w:val="231F20"/>
        </w:rPr>
        <w:t>výbavou</w:t>
      </w:r>
      <w:r>
        <w:rPr>
          <w:color w:val="231F20"/>
          <w:spacing w:val="-6"/>
        </w:rPr>
        <w:t xml:space="preserve"> </w:t>
      </w:r>
      <w:r>
        <w:rPr>
          <w:color w:val="231F20"/>
        </w:rPr>
        <w:t>vozidla</w:t>
      </w:r>
      <w:r>
        <w:rPr>
          <w:color w:val="231F20"/>
          <w:spacing w:val="-5"/>
        </w:rPr>
        <w:t xml:space="preserve"> </w:t>
      </w:r>
      <w:r>
        <w:rPr>
          <w:color w:val="231F20"/>
        </w:rPr>
        <w:t>se</w:t>
      </w:r>
      <w:r>
        <w:rPr>
          <w:color w:val="231F20"/>
          <w:spacing w:val="-6"/>
        </w:rPr>
        <w:t xml:space="preserve"> </w:t>
      </w:r>
      <w:r>
        <w:rPr>
          <w:color w:val="231F20"/>
        </w:rPr>
        <w:t>rozumí</w:t>
      </w:r>
      <w:r>
        <w:rPr>
          <w:color w:val="231F20"/>
          <w:spacing w:val="-5"/>
        </w:rPr>
        <w:t xml:space="preserve"> </w:t>
      </w:r>
      <w:r>
        <w:rPr>
          <w:color w:val="231F20"/>
        </w:rPr>
        <w:t>jiná</w:t>
      </w:r>
      <w:r>
        <w:rPr>
          <w:color w:val="231F20"/>
          <w:spacing w:val="-6"/>
        </w:rPr>
        <w:t xml:space="preserve"> </w:t>
      </w:r>
      <w:r>
        <w:rPr>
          <w:color w:val="231F20"/>
        </w:rPr>
        <w:t>než</w:t>
      </w:r>
      <w:r>
        <w:rPr>
          <w:color w:val="231F20"/>
          <w:spacing w:val="-5"/>
        </w:rPr>
        <w:t xml:space="preserve"> </w:t>
      </w:r>
      <w:r>
        <w:rPr>
          <w:color w:val="231F20"/>
        </w:rPr>
        <w:t>standardní</w:t>
      </w:r>
      <w:r>
        <w:rPr>
          <w:color w:val="231F20"/>
          <w:spacing w:val="-6"/>
        </w:rPr>
        <w:t xml:space="preserve"> </w:t>
      </w:r>
      <w:r>
        <w:rPr>
          <w:color w:val="231F20"/>
        </w:rPr>
        <w:t>a</w:t>
      </w:r>
      <w:r>
        <w:rPr>
          <w:color w:val="231F20"/>
          <w:spacing w:val="-5"/>
        </w:rPr>
        <w:t xml:space="preserve"> </w:t>
      </w:r>
      <w:r>
        <w:rPr>
          <w:color w:val="231F20"/>
        </w:rPr>
        <w:t>doplňková</w:t>
      </w:r>
      <w:r>
        <w:rPr>
          <w:color w:val="231F20"/>
          <w:spacing w:val="-6"/>
        </w:rPr>
        <w:t xml:space="preserve"> </w:t>
      </w:r>
      <w:r>
        <w:rPr>
          <w:color w:val="231F20"/>
        </w:rPr>
        <w:t>výbava</w:t>
      </w:r>
      <w:r>
        <w:rPr>
          <w:color w:val="231F20"/>
          <w:spacing w:val="-5"/>
        </w:rPr>
        <w:t xml:space="preserve"> </w:t>
      </w:r>
      <w:r>
        <w:rPr>
          <w:color w:val="231F20"/>
        </w:rPr>
        <w:t>vozi- dla.</w:t>
      </w:r>
      <w:r>
        <w:rPr>
          <w:color w:val="231F20"/>
          <w:spacing w:val="-21"/>
        </w:rPr>
        <w:t xml:space="preserve"> </w:t>
      </w:r>
      <w:r>
        <w:rPr>
          <w:color w:val="231F20"/>
        </w:rPr>
        <w:t>Pod</w:t>
      </w:r>
      <w:r>
        <w:rPr>
          <w:color w:val="231F20"/>
          <w:spacing w:val="-21"/>
        </w:rPr>
        <w:t xml:space="preserve"> </w:t>
      </w:r>
      <w:r>
        <w:rPr>
          <w:color w:val="231F20"/>
        </w:rPr>
        <w:t>tento</w:t>
      </w:r>
      <w:r>
        <w:rPr>
          <w:color w:val="231F20"/>
          <w:spacing w:val="-21"/>
        </w:rPr>
        <w:t xml:space="preserve"> </w:t>
      </w:r>
      <w:r>
        <w:rPr>
          <w:color w:val="231F20"/>
        </w:rPr>
        <w:t>pojem</w:t>
      </w:r>
      <w:r>
        <w:rPr>
          <w:color w:val="231F20"/>
          <w:spacing w:val="-21"/>
        </w:rPr>
        <w:t xml:space="preserve"> </w:t>
      </w:r>
      <w:r>
        <w:rPr>
          <w:color w:val="231F20"/>
        </w:rPr>
        <w:t>lze</w:t>
      </w:r>
      <w:r>
        <w:rPr>
          <w:color w:val="231F20"/>
          <w:spacing w:val="-20"/>
        </w:rPr>
        <w:t xml:space="preserve"> </w:t>
      </w:r>
      <w:r>
        <w:rPr>
          <w:color w:val="231F20"/>
        </w:rPr>
        <w:t>zahrnout</w:t>
      </w:r>
      <w:r>
        <w:rPr>
          <w:color w:val="231F20"/>
          <w:spacing w:val="-21"/>
        </w:rPr>
        <w:t xml:space="preserve"> </w:t>
      </w:r>
      <w:r>
        <w:rPr>
          <w:color w:val="231F20"/>
        </w:rPr>
        <w:t>zejména</w:t>
      </w:r>
      <w:r>
        <w:rPr>
          <w:color w:val="231F20"/>
          <w:spacing w:val="-21"/>
        </w:rPr>
        <w:t xml:space="preserve"> </w:t>
      </w:r>
      <w:r>
        <w:rPr>
          <w:color w:val="231F20"/>
        </w:rPr>
        <w:t>speciální</w:t>
      </w:r>
      <w:r>
        <w:rPr>
          <w:color w:val="231F20"/>
          <w:spacing w:val="-21"/>
        </w:rPr>
        <w:t xml:space="preserve"> </w:t>
      </w:r>
      <w:r>
        <w:rPr>
          <w:color w:val="231F20"/>
        </w:rPr>
        <w:t>nástavby,</w:t>
      </w:r>
      <w:r>
        <w:rPr>
          <w:color w:val="231F20"/>
          <w:spacing w:val="-21"/>
        </w:rPr>
        <w:t xml:space="preserve"> </w:t>
      </w:r>
      <w:r>
        <w:rPr>
          <w:color w:val="231F20"/>
        </w:rPr>
        <w:t>střešní</w:t>
      </w:r>
      <w:r>
        <w:rPr>
          <w:color w:val="231F20"/>
          <w:spacing w:val="-20"/>
        </w:rPr>
        <w:t xml:space="preserve"> </w:t>
      </w:r>
      <w:r>
        <w:rPr>
          <w:color w:val="231F20"/>
          <w:spacing w:val="-3"/>
        </w:rPr>
        <w:t>boxy,</w:t>
      </w:r>
      <w:r>
        <w:rPr>
          <w:color w:val="231F20"/>
          <w:spacing w:val="-21"/>
        </w:rPr>
        <w:t xml:space="preserve"> </w:t>
      </w:r>
      <w:r>
        <w:rPr>
          <w:color w:val="231F20"/>
          <w:spacing w:val="-3"/>
        </w:rPr>
        <w:t xml:space="preserve">nosiče </w:t>
      </w:r>
      <w:r>
        <w:rPr>
          <w:color w:val="231F20"/>
        </w:rPr>
        <w:t>kol</w:t>
      </w:r>
      <w:r>
        <w:rPr>
          <w:color w:val="231F20"/>
          <w:spacing w:val="-27"/>
        </w:rPr>
        <w:t xml:space="preserve"> </w:t>
      </w:r>
      <w:r>
        <w:rPr>
          <w:color w:val="231F20"/>
        </w:rPr>
        <w:t>a</w:t>
      </w:r>
      <w:r>
        <w:rPr>
          <w:color w:val="231F20"/>
          <w:spacing w:val="-27"/>
        </w:rPr>
        <w:t xml:space="preserve"> </w:t>
      </w:r>
      <w:r>
        <w:rPr>
          <w:color w:val="231F20"/>
        </w:rPr>
        <w:t>lyží,</w:t>
      </w:r>
      <w:r>
        <w:rPr>
          <w:color w:val="231F20"/>
          <w:spacing w:val="-27"/>
        </w:rPr>
        <w:t xml:space="preserve"> </w:t>
      </w:r>
      <w:r>
        <w:rPr>
          <w:color w:val="231F20"/>
        </w:rPr>
        <w:t>dětské</w:t>
      </w:r>
      <w:r>
        <w:rPr>
          <w:color w:val="231F20"/>
          <w:spacing w:val="-27"/>
        </w:rPr>
        <w:t xml:space="preserve"> </w:t>
      </w:r>
      <w:r>
        <w:rPr>
          <w:color w:val="231F20"/>
        </w:rPr>
        <w:t>autosedačky,</w:t>
      </w:r>
      <w:r>
        <w:rPr>
          <w:color w:val="231F20"/>
          <w:spacing w:val="-27"/>
        </w:rPr>
        <w:t xml:space="preserve"> </w:t>
      </w:r>
      <w:r>
        <w:rPr>
          <w:color w:val="231F20"/>
        </w:rPr>
        <w:t>audiovizuální</w:t>
      </w:r>
      <w:r>
        <w:rPr>
          <w:color w:val="231F20"/>
          <w:spacing w:val="-26"/>
        </w:rPr>
        <w:t xml:space="preserve"> </w:t>
      </w:r>
      <w:r>
        <w:rPr>
          <w:color w:val="231F20"/>
        </w:rPr>
        <w:t>techniku</w:t>
      </w:r>
      <w:r>
        <w:rPr>
          <w:color w:val="231F20"/>
          <w:spacing w:val="-27"/>
        </w:rPr>
        <w:t xml:space="preserve"> </w:t>
      </w:r>
      <w:r>
        <w:rPr>
          <w:color w:val="231F20"/>
        </w:rPr>
        <w:t>(zesilovače,</w:t>
      </w:r>
      <w:r>
        <w:rPr>
          <w:color w:val="231F20"/>
          <w:spacing w:val="-27"/>
        </w:rPr>
        <w:t xml:space="preserve"> </w:t>
      </w:r>
      <w:r>
        <w:rPr>
          <w:color w:val="231F20"/>
        </w:rPr>
        <w:t>zobrazovací</w:t>
      </w:r>
      <w:r>
        <w:rPr>
          <w:color w:val="231F20"/>
          <w:spacing w:val="-27"/>
        </w:rPr>
        <w:t xml:space="preserve"> </w:t>
      </w:r>
      <w:r>
        <w:rPr>
          <w:color w:val="231F20"/>
          <w:spacing w:val="-4"/>
        </w:rPr>
        <w:t xml:space="preserve">jed- </w:t>
      </w:r>
      <w:r>
        <w:rPr>
          <w:color w:val="231F20"/>
          <w:spacing w:val="-3"/>
        </w:rPr>
        <w:t>notky,</w:t>
      </w:r>
      <w:r>
        <w:rPr>
          <w:color w:val="231F20"/>
          <w:spacing w:val="-12"/>
        </w:rPr>
        <w:t xml:space="preserve"> </w:t>
      </w:r>
      <w:r>
        <w:rPr>
          <w:color w:val="231F20"/>
        </w:rPr>
        <w:t>speciální</w:t>
      </w:r>
      <w:r>
        <w:rPr>
          <w:color w:val="231F20"/>
          <w:spacing w:val="-12"/>
        </w:rPr>
        <w:t xml:space="preserve"> </w:t>
      </w:r>
      <w:r>
        <w:rPr>
          <w:color w:val="231F20"/>
        </w:rPr>
        <w:t>reprosoustavy),</w:t>
      </w:r>
      <w:r>
        <w:rPr>
          <w:color w:val="231F20"/>
          <w:spacing w:val="-11"/>
        </w:rPr>
        <w:t xml:space="preserve"> </w:t>
      </w:r>
      <w:r>
        <w:rPr>
          <w:color w:val="231F20"/>
        </w:rPr>
        <w:t>tuningové</w:t>
      </w:r>
      <w:r>
        <w:rPr>
          <w:color w:val="231F20"/>
          <w:spacing w:val="-12"/>
        </w:rPr>
        <w:t xml:space="preserve"> </w:t>
      </w:r>
      <w:r>
        <w:rPr>
          <w:color w:val="231F20"/>
        </w:rPr>
        <w:t>doplňky</w:t>
      </w:r>
      <w:r>
        <w:rPr>
          <w:color w:val="231F20"/>
          <w:spacing w:val="-12"/>
        </w:rPr>
        <w:t xml:space="preserve"> </w:t>
      </w:r>
      <w:r>
        <w:rPr>
          <w:color w:val="231F20"/>
        </w:rPr>
        <w:t>(spoilery,</w:t>
      </w:r>
      <w:r>
        <w:rPr>
          <w:color w:val="231F20"/>
          <w:spacing w:val="-11"/>
        </w:rPr>
        <w:t xml:space="preserve"> </w:t>
      </w:r>
      <w:r>
        <w:rPr>
          <w:color w:val="231F20"/>
        </w:rPr>
        <w:t>plastové</w:t>
      </w:r>
      <w:r>
        <w:rPr>
          <w:color w:val="231F20"/>
          <w:spacing w:val="-12"/>
        </w:rPr>
        <w:t xml:space="preserve"> </w:t>
      </w:r>
      <w:r>
        <w:rPr>
          <w:color w:val="231F20"/>
        </w:rPr>
        <w:t>lišty</w:t>
      </w:r>
      <w:r>
        <w:rPr>
          <w:color w:val="231F20"/>
          <w:spacing w:val="-11"/>
        </w:rPr>
        <w:t xml:space="preserve"> </w:t>
      </w:r>
      <w:r>
        <w:rPr>
          <w:color w:val="231F20"/>
        </w:rPr>
        <w:t>prahů, speciální masky vozů, výfukové systémy, nestandardní disky kol a</w:t>
      </w:r>
      <w:r>
        <w:rPr>
          <w:color w:val="231F20"/>
          <w:spacing w:val="-24"/>
        </w:rPr>
        <w:t xml:space="preserve"> </w:t>
      </w:r>
      <w:r>
        <w:rPr>
          <w:color w:val="231F20"/>
        </w:rPr>
        <w:t>pneumatiky), speciální</w:t>
      </w:r>
      <w:r>
        <w:rPr>
          <w:color w:val="231F20"/>
          <w:spacing w:val="-13"/>
        </w:rPr>
        <w:t xml:space="preserve"> </w:t>
      </w:r>
      <w:r>
        <w:rPr>
          <w:color w:val="231F20"/>
        </w:rPr>
        <w:t>úpravu</w:t>
      </w:r>
      <w:r>
        <w:rPr>
          <w:color w:val="231F20"/>
          <w:spacing w:val="-12"/>
        </w:rPr>
        <w:t xml:space="preserve"> </w:t>
      </w:r>
      <w:r>
        <w:rPr>
          <w:color w:val="231F20"/>
        </w:rPr>
        <w:t>podvozků</w:t>
      </w:r>
      <w:r>
        <w:rPr>
          <w:color w:val="231F20"/>
          <w:spacing w:val="-12"/>
        </w:rPr>
        <w:t xml:space="preserve"> </w:t>
      </w:r>
      <w:r>
        <w:rPr>
          <w:color w:val="231F20"/>
        </w:rPr>
        <w:t>nebo</w:t>
      </w:r>
      <w:r>
        <w:rPr>
          <w:color w:val="231F20"/>
          <w:spacing w:val="-12"/>
        </w:rPr>
        <w:t xml:space="preserve"> </w:t>
      </w:r>
      <w:r>
        <w:rPr>
          <w:color w:val="231F20"/>
        </w:rPr>
        <w:t>motorů</w:t>
      </w:r>
      <w:r>
        <w:rPr>
          <w:color w:val="231F20"/>
          <w:spacing w:val="-12"/>
        </w:rPr>
        <w:t xml:space="preserve"> </w:t>
      </w:r>
      <w:r>
        <w:rPr>
          <w:color w:val="231F20"/>
        </w:rPr>
        <w:t>vozidel,</w:t>
      </w:r>
      <w:r>
        <w:rPr>
          <w:color w:val="231F20"/>
          <w:spacing w:val="-12"/>
        </w:rPr>
        <w:t xml:space="preserve"> </w:t>
      </w:r>
      <w:r>
        <w:rPr>
          <w:color w:val="231F20"/>
        </w:rPr>
        <w:t>grafickou</w:t>
      </w:r>
      <w:r>
        <w:rPr>
          <w:color w:val="231F20"/>
          <w:spacing w:val="-12"/>
        </w:rPr>
        <w:t xml:space="preserve"> </w:t>
      </w:r>
      <w:r>
        <w:rPr>
          <w:color w:val="231F20"/>
        </w:rPr>
        <w:t>úpravu</w:t>
      </w:r>
      <w:r>
        <w:rPr>
          <w:color w:val="231F20"/>
          <w:spacing w:val="-12"/>
        </w:rPr>
        <w:t xml:space="preserve"> </w:t>
      </w:r>
      <w:r>
        <w:rPr>
          <w:color w:val="231F20"/>
        </w:rPr>
        <w:t>laku</w:t>
      </w:r>
      <w:r>
        <w:rPr>
          <w:color w:val="231F20"/>
          <w:spacing w:val="-12"/>
        </w:rPr>
        <w:t xml:space="preserve"> </w:t>
      </w:r>
      <w:r>
        <w:rPr>
          <w:color w:val="231F20"/>
        </w:rPr>
        <w:t>karoserie, reklamní</w:t>
      </w:r>
      <w:r>
        <w:rPr>
          <w:color w:val="231F20"/>
          <w:spacing w:val="-6"/>
        </w:rPr>
        <w:t xml:space="preserve"> </w:t>
      </w:r>
      <w:r>
        <w:rPr>
          <w:color w:val="231F20"/>
        </w:rPr>
        <w:t>polepy,</w:t>
      </w:r>
      <w:r>
        <w:rPr>
          <w:color w:val="231F20"/>
          <w:spacing w:val="-5"/>
        </w:rPr>
        <w:t xml:space="preserve"> </w:t>
      </w:r>
      <w:r>
        <w:rPr>
          <w:color w:val="231F20"/>
        </w:rPr>
        <w:t>tónování</w:t>
      </w:r>
      <w:r>
        <w:rPr>
          <w:color w:val="231F20"/>
          <w:spacing w:val="-5"/>
        </w:rPr>
        <w:t xml:space="preserve"> </w:t>
      </w:r>
      <w:r>
        <w:rPr>
          <w:color w:val="231F20"/>
        </w:rPr>
        <w:t>skel</w:t>
      </w:r>
      <w:r>
        <w:rPr>
          <w:color w:val="231F20"/>
          <w:spacing w:val="-5"/>
        </w:rPr>
        <w:t xml:space="preserve"> </w:t>
      </w:r>
      <w:r>
        <w:rPr>
          <w:color w:val="231F20"/>
        </w:rPr>
        <w:t>dodatečně</w:t>
      </w:r>
      <w:r>
        <w:rPr>
          <w:color w:val="231F20"/>
          <w:spacing w:val="-6"/>
        </w:rPr>
        <w:t xml:space="preserve"> </w:t>
      </w:r>
      <w:r>
        <w:rPr>
          <w:color w:val="231F20"/>
        </w:rPr>
        <w:t>upravované</w:t>
      </w:r>
      <w:r>
        <w:rPr>
          <w:color w:val="231F20"/>
          <w:spacing w:val="-5"/>
        </w:rPr>
        <w:t xml:space="preserve"> </w:t>
      </w:r>
      <w:r>
        <w:rPr>
          <w:color w:val="231F20"/>
        </w:rPr>
        <w:t>nebo</w:t>
      </w:r>
      <w:r>
        <w:rPr>
          <w:color w:val="231F20"/>
          <w:spacing w:val="-5"/>
        </w:rPr>
        <w:t xml:space="preserve"> </w:t>
      </w:r>
      <w:r>
        <w:rPr>
          <w:color w:val="231F20"/>
        </w:rPr>
        <w:t>montované</w:t>
      </w:r>
      <w:r>
        <w:rPr>
          <w:color w:val="231F20"/>
          <w:spacing w:val="-5"/>
        </w:rPr>
        <w:t xml:space="preserve"> </w:t>
      </w:r>
      <w:r>
        <w:rPr>
          <w:color w:val="231F20"/>
        </w:rPr>
        <w:t>výrobci, kteří</w:t>
      </w:r>
      <w:r>
        <w:rPr>
          <w:color w:val="231F20"/>
          <w:spacing w:val="-18"/>
        </w:rPr>
        <w:t xml:space="preserve"> </w:t>
      </w:r>
      <w:r>
        <w:rPr>
          <w:color w:val="231F20"/>
        </w:rPr>
        <w:t>se</w:t>
      </w:r>
      <w:r>
        <w:rPr>
          <w:color w:val="231F20"/>
          <w:spacing w:val="-17"/>
        </w:rPr>
        <w:t xml:space="preserve"> </w:t>
      </w:r>
      <w:r>
        <w:rPr>
          <w:color w:val="231F20"/>
        </w:rPr>
        <w:t>specializují</w:t>
      </w:r>
      <w:r>
        <w:rPr>
          <w:color w:val="231F20"/>
          <w:spacing w:val="-17"/>
        </w:rPr>
        <w:t xml:space="preserve"> </w:t>
      </w:r>
      <w:r>
        <w:rPr>
          <w:color w:val="231F20"/>
        </w:rPr>
        <w:t>právě</w:t>
      </w:r>
      <w:r>
        <w:rPr>
          <w:color w:val="231F20"/>
          <w:spacing w:val="-18"/>
        </w:rPr>
        <w:t xml:space="preserve"> </w:t>
      </w:r>
      <w:r>
        <w:rPr>
          <w:color w:val="231F20"/>
        </w:rPr>
        <w:t>na</w:t>
      </w:r>
      <w:r>
        <w:rPr>
          <w:color w:val="231F20"/>
          <w:spacing w:val="-17"/>
        </w:rPr>
        <w:t xml:space="preserve"> </w:t>
      </w:r>
      <w:r>
        <w:rPr>
          <w:color w:val="231F20"/>
        </w:rPr>
        <w:t>individuální</w:t>
      </w:r>
      <w:r>
        <w:rPr>
          <w:color w:val="231F20"/>
          <w:spacing w:val="-17"/>
        </w:rPr>
        <w:t xml:space="preserve"> </w:t>
      </w:r>
      <w:r>
        <w:rPr>
          <w:color w:val="231F20"/>
        </w:rPr>
        <w:t>úpravu</w:t>
      </w:r>
      <w:r>
        <w:rPr>
          <w:color w:val="231F20"/>
          <w:spacing w:val="-18"/>
        </w:rPr>
        <w:t xml:space="preserve"> </w:t>
      </w:r>
      <w:r>
        <w:rPr>
          <w:color w:val="231F20"/>
        </w:rPr>
        <w:t>vozidel,</w:t>
      </w:r>
      <w:r>
        <w:rPr>
          <w:color w:val="231F20"/>
          <w:spacing w:val="-17"/>
        </w:rPr>
        <w:t xml:space="preserve"> </w:t>
      </w:r>
      <w:r>
        <w:rPr>
          <w:color w:val="231F20"/>
        </w:rPr>
        <w:t>případně</w:t>
      </w:r>
      <w:r>
        <w:rPr>
          <w:color w:val="231F20"/>
          <w:spacing w:val="-17"/>
        </w:rPr>
        <w:t xml:space="preserve"> </w:t>
      </w:r>
      <w:r>
        <w:rPr>
          <w:color w:val="231F20"/>
        </w:rPr>
        <w:t>jsou</w:t>
      </w:r>
      <w:r>
        <w:rPr>
          <w:color w:val="231F20"/>
          <w:spacing w:val="-17"/>
        </w:rPr>
        <w:t xml:space="preserve"> </w:t>
      </w:r>
      <w:r>
        <w:rPr>
          <w:color w:val="231F20"/>
        </w:rPr>
        <w:t>tyto</w:t>
      </w:r>
      <w:r>
        <w:rPr>
          <w:color w:val="231F20"/>
          <w:spacing w:val="-18"/>
        </w:rPr>
        <w:t xml:space="preserve"> </w:t>
      </w:r>
      <w:r>
        <w:rPr>
          <w:color w:val="231F20"/>
        </w:rPr>
        <w:t>úpravy (schválené</w:t>
      </w:r>
      <w:r>
        <w:rPr>
          <w:color w:val="231F20"/>
          <w:spacing w:val="-22"/>
        </w:rPr>
        <w:t xml:space="preserve"> </w:t>
      </w:r>
      <w:r>
        <w:rPr>
          <w:color w:val="231F20"/>
        </w:rPr>
        <w:t>dle</w:t>
      </w:r>
      <w:r>
        <w:rPr>
          <w:color w:val="231F20"/>
          <w:spacing w:val="-21"/>
        </w:rPr>
        <w:t xml:space="preserve"> </w:t>
      </w:r>
      <w:r>
        <w:rPr>
          <w:color w:val="231F20"/>
        </w:rPr>
        <w:t>aktuální</w:t>
      </w:r>
      <w:r>
        <w:rPr>
          <w:color w:val="231F20"/>
          <w:spacing w:val="-22"/>
        </w:rPr>
        <w:t xml:space="preserve"> </w:t>
      </w:r>
      <w:r>
        <w:rPr>
          <w:color w:val="231F20"/>
        </w:rPr>
        <w:t>legislativy)</w:t>
      </w:r>
      <w:r>
        <w:rPr>
          <w:color w:val="231F20"/>
          <w:spacing w:val="-21"/>
        </w:rPr>
        <w:t xml:space="preserve"> </w:t>
      </w:r>
      <w:r>
        <w:rPr>
          <w:color w:val="231F20"/>
        </w:rPr>
        <w:t>provedeny</w:t>
      </w:r>
      <w:r>
        <w:rPr>
          <w:color w:val="231F20"/>
          <w:spacing w:val="-21"/>
        </w:rPr>
        <w:t xml:space="preserve"> </w:t>
      </w:r>
      <w:r>
        <w:rPr>
          <w:color w:val="231F20"/>
        </w:rPr>
        <w:t>svépomocí</w:t>
      </w:r>
      <w:r>
        <w:rPr>
          <w:color w:val="231F20"/>
          <w:spacing w:val="-22"/>
        </w:rPr>
        <w:t xml:space="preserve"> </w:t>
      </w:r>
      <w:r>
        <w:rPr>
          <w:color w:val="231F20"/>
        </w:rPr>
        <w:t>a</w:t>
      </w:r>
      <w:r>
        <w:rPr>
          <w:color w:val="231F20"/>
          <w:spacing w:val="-21"/>
        </w:rPr>
        <w:t xml:space="preserve"> </w:t>
      </w:r>
      <w:r>
        <w:rPr>
          <w:color w:val="231F20"/>
        </w:rPr>
        <w:t>pojištěný</w:t>
      </w:r>
      <w:r>
        <w:rPr>
          <w:color w:val="231F20"/>
          <w:spacing w:val="-22"/>
        </w:rPr>
        <w:t xml:space="preserve"> </w:t>
      </w:r>
      <w:r>
        <w:rPr>
          <w:color w:val="231F20"/>
        </w:rPr>
        <w:t>má</w:t>
      </w:r>
      <w:r>
        <w:rPr>
          <w:color w:val="231F20"/>
          <w:spacing w:val="-21"/>
        </w:rPr>
        <w:t xml:space="preserve"> </w:t>
      </w:r>
      <w:r>
        <w:rPr>
          <w:color w:val="231F20"/>
        </w:rPr>
        <w:t>zájem</w:t>
      </w:r>
      <w:r>
        <w:rPr>
          <w:color w:val="231F20"/>
          <w:spacing w:val="-21"/>
        </w:rPr>
        <w:t xml:space="preserve"> </w:t>
      </w:r>
      <w:r>
        <w:rPr>
          <w:color w:val="231F20"/>
        </w:rPr>
        <w:t>zo- hlednit</w:t>
      </w:r>
      <w:r>
        <w:rPr>
          <w:color w:val="231F20"/>
          <w:spacing w:val="-16"/>
        </w:rPr>
        <w:t xml:space="preserve"> </w:t>
      </w:r>
      <w:r>
        <w:rPr>
          <w:color w:val="231F20"/>
        </w:rPr>
        <w:t>cenu</w:t>
      </w:r>
      <w:r>
        <w:rPr>
          <w:color w:val="231F20"/>
          <w:spacing w:val="-15"/>
        </w:rPr>
        <w:t xml:space="preserve"> </w:t>
      </w:r>
      <w:r>
        <w:rPr>
          <w:color w:val="231F20"/>
        </w:rPr>
        <w:t>této</w:t>
      </w:r>
      <w:r>
        <w:rPr>
          <w:color w:val="231F20"/>
          <w:spacing w:val="-15"/>
        </w:rPr>
        <w:t xml:space="preserve"> </w:t>
      </w:r>
      <w:r>
        <w:rPr>
          <w:color w:val="231F20"/>
        </w:rPr>
        <w:t>ostatní</w:t>
      </w:r>
      <w:r>
        <w:rPr>
          <w:color w:val="231F20"/>
          <w:spacing w:val="-16"/>
        </w:rPr>
        <w:t xml:space="preserve"> </w:t>
      </w:r>
      <w:r>
        <w:rPr>
          <w:color w:val="231F20"/>
        </w:rPr>
        <w:t>výbavy</w:t>
      </w:r>
      <w:r>
        <w:rPr>
          <w:color w:val="231F20"/>
          <w:spacing w:val="-15"/>
        </w:rPr>
        <w:t xml:space="preserve"> </w:t>
      </w:r>
      <w:r>
        <w:rPr>
          <w:color w:val="231F20"/>
        </w:rPr>
        <w:t>v</w:t>
      </w:r>
      <w:r>
        <w:rPr>
          <w:color w:val="231F20"/>
          <w:spacing w:val="-15"/>
        </w:rPr>
        <w:t xml:space="preserve"> </w:t>
      </w:r>
      <w:r>
        <w:rPr>
          <w:color w:val="231F20"/>
        </w:rPr>
        <w:t>pojištění</w:t>
      </w:r>
      <w:r>
        <w:rPr>
          <w:color w:val="231F20"/>
          <w:spacing w:val="-15"/>
        </w:rPr>
        <w:t xml:space="preserve"> </w:t>
      </w:r>
      <w:r>
        <w:rPr>
          <w:color w:val="231F20"/>
        </w:rPr>
        <w:t>jednotlivého</w:t>
      </w:r>
      <w:r>
        <w:rPr>
          <w:color w:val="231F20"/>
          <w:spacing w:val="-16"/>
        </w:rPr>
        <w:t xml:space="preserve"> </w:t>
      </w:r>
      <w:r>
        <w:rPr>
          <w:color w:val="231F20"/>
        </w:rPr>
        <w:t>vozidla.</w:t>
      </w:r>
      <w:r>
        <w:rPr>
          <w:color w:val="231F20"/>
          <w:spacing w:val="-15"/>
        </w:rPr>
        <w:t xml:space="preserve"> </w:t>
      </w:r>
      <w:r>
        <w:rPr>
          <w:color w:val="231F20"/>
        </w:rPr>
        <w:t>Za</w:t>
      </w:r>
      <w:r>
        <w:rPr>
          <w:color w:val="231F20"/>
          <w:spacing w:val="-15"/>
        </w:rPr>
        <w:t xml:space="preserve"> </w:t>
      </w:r>
      <w:r>
        <w:rPr>
          <w:color w:val="231F20"/>
        </w:rPr>
        <w:t>ostatní</w:t>
      </w:r>
      <w:r>
        <w:rPr>
          <w:color w:val="231F20"/>
          <w:spacing w:val="-15"/>
        </w:rPr>
        <w:t xml:space="preserve"> </w:t>
      </w:r>
      <w:r>
        <w:rPr>
          <w:color w:val="231F20"/>
        </w:rPr>
        <w:t>výbavu vozidla</w:t>
      </w:r>
      <w:r>
        <w:rPr>
          <w:color w:val="231F20"/>
          <w:spacing w:val="-26"/>
        </w:rPr>
        <w:t xml:space="preserve"> </w:t>
      </w:r>
      <w:r>
        <w:rPr>
          <w:color w:val="231F20"/>
        </w:rPr>
        <w:t>nebo</w:t>
      </w:r>
      <w:r>
        <w:rPr>
          <w:color w:val="231F20"/>
          <w:spacing w:val="-25"/>
        </w:rPr>
        <w:t xml:space="preserve"> </w:t>
      </w:r>
      <w:r>
        <w:rPr>
          <w:color w:val="231F20"/>
        </w:rPr>
        <w:t>jeho</w:t>
      </w:r>
      <w:r>
        <w:rPr>
          <w:color w:val="231F20"/>
          <w:spacing w:val="-25"/>
        </w:rPr>
        <w:t xml:space="preserve"> </w:t>
      </w:r>
      <w:r>
        <w:rPr>
          <w:color w:val="231F20"/>
        </w:rPr>
        <w:t>součást</w:t>
      </w:r>
      <w:r>
        <w:rPr>
          <w:color w:val="231F20"/>
          <w:spacing w:val="-25"/>
        </w:rPr>
        <w:t xml:space="preserve"> </w:t>
      </w:r>
      <w:r>
        <w:rPr>
          <w:color w:val="231F20"/>
        </w:rPr>
        <w:t>se</w:t>
      </w:r>
      <w:r>
        <w:rPr>
          <w:color w:val="231F20"/>
          <w:spacing w:val="-25"/>
        </w:rPr>
        <w:t xml:space="preserve"> </w:t>
      </w:r>
      <w:r>
        <w:rPr>
          <w:color w:val="231F20"/>
        </w:rPr>
        <w:t>nepovažují</w:t>
      </w:r>
      <w:r>
        <w:rPr>
          <w:color w:val="231F20"/>
          <w:spacing w:val="-25"/>
        </w:rPr>
        <w:t xml:space="preserve"> </w:t>
      </w:r>
      <w:r>
        <w:rPr>
          <w:color w:val="231F20"/>
        </w:rPr>
        <w:t>přenosné</w:t>
      </w:r>
      <w:r>
        <w:rPr>
          <w:color w:val="231F20"/>
          <w:spacing w:val="-25"/>
        </w:rPr>
        <w:t xml:space="preserve"> </w:t>
      </w:r>
      <w:r>
        <w:rPr>
          <w:color w:val="231F20"/>
        </w:rPr>
        <w:t>prvky</w:t>
      </w:r>
      <w:r>
        <w:rPr>
          <w:color w:val="231F20"/>
          <w:spacing w:val="-25"/>
        </w:rPr>
        <w:t xml:space="preserve"> </w:t>
      </w:r>
      <w:r>
        <w:rPr>
          <w:color w:val="231F20"/>
        </w:rPr>
        <w:t>výbavy,</w:t>
      </w:r>
      <w:r>
        <w:rPr>
          <w:color w:val="231F20"/>
          <w:spacing w:val="-25"/>
        </w:rPr>
        <w:t xml:space="preserve"> </w:t>
      </w:r>
      <w:r>
        <w:rPr>
          <w:color w:val="231F20"/>
        </w:rPr>
        <w:t>jako</w:t>
      </w:r>
      <w:r>
        <w:rPr>
          <w:color w:val="231F20"/>
          <w:spacing w:val="-25"/>
        </w:rPr>
        <w:t xml:space="preserve"> </w:t>
      </w:r>
      <w:r>
        <w:rPr>
          <w:color w:val="231F20"/>
          <w:spacing w:val="-3"/>
        </w:rPr>
        <w:t>např.</w:t>
      </w:r>
      <w:r>
        <w:rPr>
          <w:color w:val="231F20"/>
          <w:spacing w:val="-26"/>
        </w:rPr>
        <w:t xml:space="preserve"> </w:t>
      </w:r>
      <w:r>
        <w:rPr>
          <w:color w:val="231F20"/>
        </w:rPr>
        <w:t>přenos- né</w:t>
      </w:r>
      <w:r>
        <w:rPr>
          <w:color w:val="231F20"/>
          <w:spacing w:val="-22"/>
        </w:rPr>
        <w:t xml:space="preserve"> </w:t>
      </w:r>
      <w:r>
        <w:rPr>
          <w:color w:val="231F20"/>
        </w:rPr>
        <w:t>navigace,</w:t>
      </w:r>
      <w:r>
        <w:rPr>
          <w:color w:val="231F20"/>
          <w:spacing w:val="-22"/>
        </w:rPr>
        <w:t xml:space="preserve"> </w:t>
      </w:r>
      <w:r>
        <w:rPr>
          <w:color w:val="231F20"/>
        </w:rPr>
        <w:t>telefony</w:t>
      </w:r>
      <w:r>
        <w:rPr>
          <w:color w:val="231F20"/>
          <w:spacing w:val="-21"/>
        </w:rPr>
        <w:t xml:space="preserve"> </w:t>
      </w:r>
      <w:r>
        <w:rPr>
          <w:color w:val="231F20"/>
        </w:rPr>
        <w:t>a</w:t>
      </w:r>
      <w:r>
        <w:rPr>
          <w:color w:val="231F20"/>
          <w:spacing w:val="-22"/>
        </w:rPr>
        <w:t xml:space="preserve"> </w:t>
      </w:r>
      <w:r>
        <w:rPr>
          <w:color w:val="231F20"/>
        </w:rPr>
        <w:t>zařízení</w:t>
      </w:r>
      <w:r>
        <w:rPr>
          <w:color w:val="231F20"/>
          <w:spacing w:val="-21"/>
        </w:rPr>
        <w:t xml:space="preserve"> </w:t>
      </w:r>
      <w:r>
        <w:rPr>
          <w:color w:val="231F20"/>
        </w:rPr>
        <w:t>pro</w:t>
      </w:r>
      <w:r>
        <w:rPr>
          <w:color w:val="231F20"/>
          <w:spacing w:val="-22"/>
        </w:rPr>
        <w:t xml:space="preserve"> </w:t>
      </w:r>
      <w:r>
        <w:rPr>
          <w:color w:val="231F20"/>
        </w:rPr>
        <w:t>reprodukci</w:t>
      </w:r>
      <w:r>
        <w:rPr>
          <w:color w:val="231F20"/>
          <w:spacing w:val="-21"/>
        </w:rPr>
        <w:t xml:space="preserve"> </w:t>
      </w:r>
      <w:r>
        <w:rPr>
          <w:color w:val="231F20"/>
        </w:rPr>
        <w:t>obrazu</w:t>
      </w:r>
      <w:r>
        <w:rPr>
          <w:color w:val="231F20"/>
          <w:spacing w:val="-22"/>
        </w:rPr>
        <w:t xml:space="preserve"> </w:t>
      </w:r>
      <w:r>
        <w:rPr>
          <w:color w:val="231F20"/>
        </w:rPr>
        <w:t>a</w:t>
      </w:r>
      <w:r>
        <w:rPr>
          <w:color w:val="231F20"/>
          <w:spacing w:val="-21"/>
        </w:rPr>
        <w:t xml:space="preserve"> </w:t>
      </w:r>
      <w:r>
        <w:rPr>
          <w:color w:val="231F20"/>
        </w:rPr>
        <w:t>zvuku,</w:t>
      </w:r>
      <w:r>
        <w:rPr>
          <w:color w:val="231F20"/>
          <w:spacing w:val="-22"/>
        </w:rPr>
        <w:t xml:space="preserve"> </w:t>
      </w:r>
      <w:r>
        <w:rPr>
          <w:color w:val="231F20"/>
        </w:rPr>
        <w:t>které</w:t>
      </w:r>
      <w:r>
        <w:rPr>
          <w:color w:val="231F20"/>
          <w:spacing w:val="-21"/>
        </w:rPr>
        <w:t xml:space="preserve"> </w:t>
      </w:r>
      <w:r>
        <w:rPr>
          <w:color w:val="231F20"/>
        </w:rPr>
        <w:t>nejsou</w:t>
      </w:r>
      <w:r>
        <w:rPr>
          <w:color w:val="231F20"/>
          <w:spacing w:val="-22"/>
        </w:rPr>
        <w:t xml:space="preserve"> </w:t>
      </w:r>
      <w:r>
        <w:rPr>
          <w:color w:val="231F20"/>
        </w:rPr>
        <w:t>pevně spojené s</w:t>
      </w:r>
      <w:r>
        <w:rPr>
          <w:color w:val="231F20"/>
          <w:spacing w:val="-1"/>
        </w:rPr>
        <w:t xml:space="preserve"> </w:t>
      </w:r>
      <w:r>
        <w:rPr>
          <w:color w:val="231F20"/>
        </w:rPr>
        <w:t>vozidlem.</w:t>
      </w:r>
    </w:p>
    <w:p w14:paraId="09741048" w14:textId="77777777" w:rsidR="00F65BCA" w:rsidRDefault="00216117">
      <w:pPr>
        <w:pStyle w:val="Zkladntext"/>
        <w:spacing w:line="278" w:lineRule="auto"/>
        <w:ind w:left="186" w:right="424"/>
        <w:jc w:val="both"/>
      </w:pPr>
      <w:r>
        <w:rPr>
          <w:color w:val="231F20"/>
        </w:rPr>
        <w:t>Podvodným jednáním se rozumí situace, kdy někdo obohatí sebe nebo někoho jiného</w:t>
      </w:r>
      <w:r>
        <w:rPr>
          <w:color w:val="231F20"/>
          <w:spacing w:val="-4"/>
        </w:rPr>
        <w:t xml:space="preserve"> </w:t>
      </w:r>
      <w:r>
        <w:rPr>
          <w:color w:val="231F20"/>
        </w:rPr>
        <w:t>tím,</w:t>
      </w:r>
      <w:r>
        <w:rPr>
          <w:color w:val="231F20"/>
          <w:spacing w:val="-4"/>
        </w:rPr>
        <w:t xml:space="preserve"> </w:t>
      </w:r>
      <w:r>
        <w:rPr>
          <w:color w:val="231F20"/>
        </w:rPr>
        <w:t>že</w:t>
      </w:r>
      <w:r>
        <w:rPr>
          <w:color w:val="231F20"/>
          <w:spacing w:val="-4"/>
        </w:rPr>
        <w:t xml:space="preserve"> </w:t>
      </w:r>
      <w:r>
        <w:rPr>
          <w:color w:val="231F20"/>
        </w:rPr>
        <w:t>uvede</w:t>
      </w:r>
      <w:r>
        <w:rPr>
          <w:color w:val="231F20"/>
          <w:spacing w:val="-4"/>
        </w:rPr>
        <w:t xml:space="preserve"> </w:t>
      </w:r>
      <w:r>
        <w:rPr>
          <w:color w:val="231F20"/>
        </w:rPr>
        <w:t>Pojišťovnu,</w:t>
      </w:r>
      <w:r>
        <w:rPr>
          <w:color w:val="231F20"/>
          <w:spacing w:val="-4"/>
        </w:rPr>
        <w:t xml:space="preserve"> </w:t>
      </w:r>
      <w:r>
        <w:rPr>
          <w:color w:val="231F20"/>
        </w:rPr>
        <w:t>pojistníka,</w:t>
      </w:r>
      <w:r>
        <w:rPr>
          <w:color w:val="231F20"/>
          <w:spacing w:val="-4"/>
        </w:rPr>
        <w:t xml:space="preserve"> </w:t>
      </w:r>
      <w:r>
        <w:rPr>
          <w:color w:val="231F20"/>
        </w:rPr>
        <w:t>pojištěného</w:t>
      </w:r>
      <w:r>
        <w:rPr>
          <w:color w:val="231F20"/>
          <w:spacing w:val="-3"/>
        </w:rPr>
        <w:t xml:space="preserve"> </w:t>
      </w:r>
      <w:r>
        <w:rPr>
          <w:color w:val="231F20"/>
        </w:rPr>
        <w:t>nebo</w:t>
      </w:r>
      <w:r>
        <w:rPr>
          <w:color w:val="231F20"/>
          <w:spacing w:val="-4"/>
        </w:rPr>
        <w:t xml:space="preserve"> </w:t>
      </w:r>
      <w:r>
        <w:rPr>
          <w:color w:val="231F20"/>
        </w:rPr>
        <w:t>oprávněnou</w:t>
      </w:r>
      <w:r>
        <w:rPr>
          <w:color w:val="231F20"/>
          <w:spacing w:val="-4"/>
        </w:rPr>
        <w:t xml:space="preserve"> osobu </w:t>
      </w:r>
      <w:r>
        <w:rPr>
          <w:color w:val="231F20"/>
        </w:rPr>
        <w:t>v</w:t>
      </w:r>
      <w:r>
        <w:rPr>
          <w:color w:val="231F20"/>
          <w:spacing w:val="-5"/>
        </w:rPr>
        <w:t xml:space="preserve"> </w:t>
      </w:r>
      <w:r>
        <w:rPr>
          <w:color w:val="231F20"/>
        </w:rPr>
        <w:t>omyl,</w:t>
      </w:r>
      <w:r>
        <w:rPr>
          <w:color w:val="231F20"/>
          <w:spacing w:val="-5"/>
        </w:rPr>
        <w:t xml:space="preserve"> </w:t>
      </w:r>
      <w:r>
        <w:rPr>
          <w:color w:val="231F20"/>
        </w:rPr>
        <w:t>využije</w:t>
      </w:r>
      <w:r>
        <w:rPr>
          <w:color w:val="231F20"/>
          <w:spacing w:val="-4"/>
        </w:rPr>
        <w:t xml:space="preserve"> </w:t>
      </w:r>
      <w:r>
        <w:rPr>
          <w:color w:val="231F20"/>
        </w:rPr>
        <w:t>jejich</w:t>
      </w:r>
      <w:r>
        <w:rPr>
          <w:color w:val="231F20"/>
          <w:spacing w:val="-5"/>
        </w:rPr>
        <w:t xml:space="preserve"> </w:t>
      </w:r>
      <w:r>
        <w:rPr>
          <w:color w:val="231F20"/>
        </w:rPr>
        <w:t>omylu</w:t>
      </w:r>
      <w:r>
        <w:rPr>
          <w:color w:val="231F20"/>
          <w:spacing w:val="-5"/>
        </w:rPr>
        <w:t xml:space="preserve"> </w:t>
      </w:r>
      <w:r>
        <w:rPr>
          <w:color w:val="231F20"/>
        </w:rPr>
        <w:t>nebo</w:t>
      </w:r>
      <w:r>
        <w:rPr>
          <w:color w:val="231F20"/>
          <w:spacing w:val="-4"/>
        </w:rPr>
        <w:t xml:space="preserve"> </w:t>
      </w:r>
      <w:r>
        <w:rPr>
          <w:color w:val="231F20"/>
        </w:rPr>
        <w:t>jim</w:t>
      </w:r>
      <w:r>
        <w:rPr>
          <w:color w:val="231F20"/>
          <w:spacing w:val="-5"/>
        </w:rPr>
        <w:t xml:space="preserve"> </w:t>
      </w:r>
      <w:r>
        <w:rPr>
          <w:color w:val="231F20"/>
        </w:rPr>
        <w:t>zamlčí</w:t>
      </w:r>
      <w:r>
        <w:rPr>
          <w:color w:val="231F20"/>
          <w:spacing w:val="-5"/>
        </w:rPr>
        <w:t xml:space="preserve"> </w:t>
      </w:r>
      <w:r>
        <w:rPr>
          <w:color w:val="231F20"/>
        </w:rPr>
        <w:t>podstatné</w:t>
      </w:r>
      <w:r>
        <w:rPr>
          <w:color w:val="231F20"/>
          <w:spacing w:val="-4"/>
        </w:rPr>
        <w:t xml:space="preserve"> </w:t>
      </w:r>
      <w:r>
        <w:rPr>
          <w:color w:val="231F20"/>
        </w:rPr>
        <w:t>skutečnosti.</w:t>
      </w:r>
    </w:p>
    <w:p w14:paraId="44A149F6" w14:textId="77777777" w:rsidR="00F65BCA" w:rsidRDefault="00216117">
      <w:pPr>
        <w:pStyle w:val="Zkladntext"/>
        <w:spacing w:line="278" w:lineRule="auto"/>
        <w:ind w:left="186" w:right="424"/>
      </w:pPr>
      <w:r>
        <w:rPr>
          <w:color w:val="231F20"/>
        </w:rPr>
        <w:t>Pojistná událost je nahodilá událost, při které vzniká nárok na pojistné plnění. Pojistnou smlouvou o pojištění souboru vozidel (dále jen "pojistná smlouva")  se</w:t>
      </w:r>
      <w:r>
        <w:rPr>
          <w:color w:val="231F20"/>
          <w:spacing w:val="-11"/>
        </w:rPr>
        <w:t xml:space="preserve"> </w:t>
      </w:r>
      <w:r>
        <w:rPr>
          <w:color w:val="231F20"/>
        </w:rPr>
        <w:t>rozumí</w:t>
      </w:r>
      <w:r>
        <w:rPr>
          <w:color w:val="231F20"/>
          <w:spacing w:val="-10"/>
        </w:rPr>
        <w:t xml:space="preserve"> </w:t>
      </w:r>
      <w:r>
        <w:rPr>
          <w:color w:val="231F20"/>
        </w:rPr>
        <w:t>pojistná</w:t>
      </w:r>
      <w:r>
        <w:rPr>
          <w:color w:val="231F20"/>
          <w:spacing w:val="-11"/>
        </w:rPr>
        <w:t xml:space="preserve"> </w:t>
      </w:r>
      <w:r>
        <w:rPr>
          <w:color w:val="231F20"/>
        </w:rPr>
        <w:t>smlouva,</w:t>
      </w:r>
      <w:r>
        <w:rPr>
          <w:color w:val="231F20"/>
          <w:spacing w:val="-10"/>
        </w:rPr>
        <w:t xml:space="preserve"> </w:t>
      </w:r>
      <w:r>
        <w:rPr>
          <w:color w:val="231F20"/>
        </w:rPr>
        <w:t>na</w:t>
      </w:r>
      <w:r>
        <w:rPr>
          <w:color w:val="231F20"/>
          <w:spacing w:val="-10"/>
        </w:rPr>
        <w:t xml:space="preserve"> </w:t>
      </w:r>
      <w:r>
        <w:rPr>
          <w:color w:val="231F20"/>
        </w:rPr>
        <w:t>jejímž</w:t>
      </w:r>
      <w:r>
        <w:rPr>
          <w:color w:val="231F20"/>
          <w:spacing w:val="-11"/>
        </w:rPr>
        <w:t xml:space="preserve"> </w:t>
      </w:r>
      <w:r>
        <w:rPr>
          <w:color w:val="231F20"/>
        </w:rPr>
        <w:t>základě</w:t>
      </w:r>
      <w:r>
        <w:rPr>
          <w:color w:val="231F20"/>
          <w:spacing w:val="-10"/>
        </w:rPr>
        <w:t xml:space="preserve"> </w:t>
      </w:r>
      <w:r>
        <w:rPr>
          <w:color w:val="231F20"/>
        </w:rPr>
        <w:t>jsou</w:t>
      </w:r>
      <w:r>
        <w:rPr>
          <w:color w:val="231F20"/>
          <w:spacing w:val="-10"/>
        </w:rPr>
        <w:t xml:space="preserve"> </w:t>
      </w:r>
      <w:r>
        <w:rPr>
          <w:color w:val="231F20"/>
        </w:rPr>
        <w:t>pojištěna</w:t>
      </w:r>
      <w:r>
        <w:rPr>
          <w:color w:val="231F20"/>
          <w:spacing w:val="-11"/>
        </w:rPr>
        <w:t xml:space="preserve"> </w:t>
      </w:r>
      <w:r>
        <w:rPr>
          <w:color w:val="231F20"/>
        </w:rPr>
        <w:t>vozidla</w:t>
      </w:r>
      <w:r>
        <w:rPr>
          <w:color w:val="231F20"/>
          <w:spacing w:val="-10"/>
        </w:rPr>
        <w:t xml:space="preserve"> </w:t>
      </w:r>
      <w:r>
        <w:rPr>
          <w:color w:val="231F20"/>
        </w:rPr>
        <w:t>blíže</w:t>
      </w:r>
      <w:r>
        <w:rPr>
          <w:color w:val="231F20"/>
          <w:spacing w:val="-10"/>
        </w:rPr>
        <w:t xml:space="preserve"> </w:t>
      </w:r>
      <w:r>
        <w:rPr>
          <w:color w:val="231F20"/>
          <w:spacing w:val="-3"/>
        </w:rPr>
        <w:t xml:space="preserve">specifi- </w:t>
      </w:r>
      <w:r>
        <w:rPr>
          <w:color w:val="231F20"/>
        </w:rPr>
        <w:t>kovaná</w:t>
      </w:r>
      <w:r>
        <w:rPr>
          <w:color w:val="231F20"/>
          <w:spacing w:val="-9"/>
        </w:rPr>
        <w:t xml:space="preserve"> </w:t>
      </w:r>
      <w:r>
        <w:rPr>
          <w:color w:val="231F20"/>
        </w:rPr>
        <w:t>v</w:t>
      </w:r>
      <w:r>
        <w:rPr>
          <w:color w:val="231F20"/>
          <w:spacing w:val="-9"/>
        </w:rPr>
        <w:t xml:space="preserve"> </w:t>
      </w:r>
      <w:r>
        <w:rPr>
          <w:color w:val="231F20"/>
        </w:rPr>
        <w:t>seznamu</w:t>
      </w:r>
      <w:r>
        <w:rPr>
          <w:color w:val="231F20"/>
          <w:spacing w:val="-8"/>
        </w:rPr>
        <w:t xml:space="preserve"> </w:t>
      </w:r>
      <w:r>
        <w:rPr>
          <w:color w:val="231F20"/>
        </w:rPr>
        <w:t>vozidel,</w:t>
      </w:r>
      <w:r>
        <w:rPr>
          <w:color w:val="231F20"/>
          <w:spacing w:val="-9"/>
        </w:rPr>
        <w:t xml:space="preserve"> </w:t>
      </w:r>
      <w:r>
        <w:rPr>
          <w:color w:val="231F20"/>
          <w:spacing w:val="3"/>
        </w:rPr>
        <w:t>který</w:t>
      </w:r>
      <w:r>
        <w:rPr>
          <w:color w:val="231F20"/>
          <w:spacing w:val="-8"/>
        </w:rPr>
        <w:t xml:space="preserve"> </w:t>
      </w:r>
      <w:r>
        <w:rPr>
          <w:color w:val="231F20"/>
        </w:rPr>
        <w:t>se</w:t>
      </w:r>
      <w:r>
        <w:rPr>
          <w:color w:val="231F20"/>
          <w:spacing w:val="-9"/>
        </w:rPr>
        <w:t xml:space="preserve"> </w:t>
      </w:r>
      <w:r>
        <w:rPr>
          <w:color w:val="231F20"/>
        </w:rPr>
        <w:t>pravidelně</w:t>
      </w:r>
      <w:r>
        <w:rPr>
          <w:color w:val="231F20"/>
          <w:spacing w:val="-9"/>
        </w:rPr>
        <w:t xml:space="preserve"> </w:t>
      </w:r>
      <w:r>
        <w:rPr>
          <w:color w:val="231F20"/>
          <w:spacing w:val="2"/>
        </w:rPr>
        <w:t>aktualizuje</w:t>
      </w:r>
      <w:r>
        <w:rPr>
          <w:color w:val="231F20"/>
          <w:spacing w:val="-8"/>
        </w:rPr>
        <w:t xml:space="preserve"> </w:t>
      </w:r>
      <w:r>
        <w:rPr>
          <w:color w:val="231F20"/>
        </w:rPr>
        <w:t>v</w:t>
      </w:r>
      <w:r>
        <w:rPr>
          <w:color w:val="231F20"/>
          <w:spacing w:val="-9"/>
        </w:rPr>
        <w:t xml:space="preserve"> </w:t>
      </w:r>
      <w:r>
        <w:rPr>
          <w:color w:val="231F20"/>
        </w:rPr>
        <w:t>závislosti</w:t>
      </w:r>
      <w:r>
        <w:rPr>
          <w:color w:val="231F20"/>
          <w:spacing w:val="-8"/>
        </w:rPr>
        <w:t xml:space="preserve"> </w:t>
      </w:r>
      <w:r>
        <w:rPr>
          <w:color w:val="231F20"/>
        </w:rPr>
        <w:t>na</w:t>
      </w:r>
      <w:r>
        <w:rPr>
          <w:color w:val="231F20"/>
          <w:spacing w:val="-9"/>
        </w:rPr>
        <w:t xml:space="preserve"> </w:t>
      </w:r>
      <w:r>
        <w:rPr>
          <w:color w:val="231F20"/>
        </w:rPr>
        <w:t>vstupu a výstupu z/do</w:t>
      </w:r>
      <w:r>
        <w:rPr>
          <w:color w:val="231F20"/>
          <w:spacing w:val="-2"/>
        </w:rPr>
        <w:t xml:space="preserve"> </w:t>
      </w:r>
      <w:r>
        <w:rPr>
          <w:color w:val="231F20"/>
        </w:rPr>
        <w:t>pojištění.</w:t>
      </w:r>
    </w:p>
    <w:p w14:paraId="7A9F37DB" w14:textId="77777777" w:rsidR="00F65BCA" w:rsidRDefault="00216117">
      <w:pPr>
        <w:pStyle w:val="Zkladntext"/>
        <w:spacing w:line="278" w:lineRule="auto"/>
        <w:ind w:left="186"/>
      </w:pPr>
      <w:r>
        <w:rPr>
          <w:color w:val="231F20"/>
        </w:rPr>
        <w:t>Pojistným obdobím je časové období, za které se platí pojistné; není-li v pojistné smlouvě ujednáno jinak, považuje se za ujednané roční pojistné období.</w:t>
      </w:r>
    </w:p>
    <w:p w14:paraId="492ED66D" w14:textId="77777777" w:rsidR="00F65BCA" w:rsidRDefault="00216117">
      <w:pPr>
        <w:pStyle w:val="Zkladntext"/>
        <w:spacing w:line="278" w:lineRule="auto"/>
        <w:ind w:left="186" w:right="422"/>
      </w:pPr>
      <w:r>
        <w:rPr>
          <w:color w:val="231F20"/>
        </w:rPr>
        <w:t>Pojistný</w:t>
      </w:r>
      <w:r>
        <w:rPr>
          <w:color w:val="231F20"/>
          <w:spacing w:val="-13"/>
        </w:rPr>
        <w:t xml:space="preserve"> </w:t>
      </w:r>
      <w:r>
        <w:rPr>
          <w:color w:val="231F20"/>
        </w:rPr>
        <w:t>zájem</w:t>
      </w:r>
      <w:r>
        <w:rPr>
          <w:color w:val="231F20"/>
          <w:spacing w:val="-12"/>
        </w:rPr>
        <w:t xml:space="preserve"> </w:t>
      </w:r>
      <w:r>
        <w:rPr>
          <w:color w:val="231F20"/>
        </w:rPr>
        <w:t>je</w:t>
      </w:r>
      <w:r>
        <w:rPr>
          <w:color w:val="231F20"/>
          <w:spacing w:val="-12"/>
        </w:rPr>
        <w:t xml:space="preserve"> </w:t>
      </w:r>
      <w:r>
        <w:rPr>
          <w:color w:val="231F20"/>
        </w:rPr>
        <w:t>pojistníkova</w:t>
      </w:r>
      <w:r>
        <w:rPr>
          <w:color w:val="231F20"/>
          <w:spacing w:val="-12"/>
        </w:rPr>
        <w:t xml:space="preserve"> </w:t>
      </w:r>
      <w:r>
        <w:rPr>
          <w:color w:val="231F20"/>
        </w:rPr>
        <w:t>oprávněná</w:t>
      </w:r>
      <w:r>
        <w:rPr>
          <w:color w:val="231F20"/>
          <w:spacing w:val="-12"/>
        </w:rPr>
        <w:t xml:space="preserve"> </w:t>
      </w:r>
      <w:r>
        <w:rPr>
          <w:color w:val="231F20"/>
        </w:rPr>
        <w:t>potřeba</w:t>
      </w:r>
      <w:r>
        <w:rPr>
          <w:color w:val="231F20"/>
          <w:spacing w:val="-12"/>
        </w:rPr>
        <w:t xml:space="preserve"> </w:t>
      </w:r>
      <w:r>
        <w:rPr>
          <w:color w:val="231F20"/>
        </w:rPr>
        <w:t>ochrany</w:t>
      </w:r>
      <w:r>
        <w:rPr>
          <w:color w:val="231F20"/>
          <w:spacing w:val="-12"/>
        </w:rPr>
        <w:t xml:space="preserve"> </w:t>
      </w:r>
      <w:r>
        <w:rPr>
          <w:color w:val="231F20"/>
        </w:rPr>
        <w:t>před</w:t>
      </w:r>
      <w:r>
        <w:rPr>
          <w:color w:val="231F20"/>
          <w:spacing w:val="-12"/>
        </w:rPr>
        <w:t xml:space="preserve"> </w:t>
      </w:r>
      <w:r>
        <w:rPr>
          <w:color w:val="231F20"/>
        </w:rPr>
        <w:t>následky</w:t>
      </w:r>
      <w:r>
        <w:rPr>
          <w:color w:val="231F20"/>
          <w:spacing w:val="-12"/>
        </w:rPr>
        <w:t xml:space="preserve"> </w:t>
      </w:r>
      <w:r>
        <w:rPr>
          <w:color w:val="231F20"/>
        </w:rPr>
        <w:t>pojistné události.</w:t>
      </w:r>
    </w:p>
    <w:p w14:paraId="24E4F5D5" w14:textId="77777777" w:rsidR="00F65BCA" w:rsidRDefault="00216117">
      <w:pPr>
        <w:pStyle w:val="Zkladntext"/>
        <w:spacing w:line="278" w:lineRule="auto"/>
        <w:ind w:left="186" w:right="424"/>
        <w:jc w:val="both"/>
      </w:pPr>
      <w:r>
        <w:rPr>
          <w:color w:val="231F20"/>
        </w:rPr>
        <w:t>Provozem</w:t>
      </w:r>
      <w:r>
        <w:rPr>
          <w:color w:val="231F20"/>
          <w:spacing w:val="-5"/>
        </w:rPr>
        <w:t xml:space="preserve"> </w:t>
      </w:r>
      <w:r>
        <w:rPr>
          <w:color w:val="231F20"/>
        </w:rPr>
        <w:t>vozidla</w:t>
      </w:r>
      <w:r>
        <w:rPr>
          <w:color w:val="231F20"/>
          <w:spacing w:val="-4"/>
        </w:rPr>
        <w:t xml:space="preserve"> </w:t>
      </w:r>
      <w:r>
        <w:rPr>
          <w:color w:val="231F20"/>
        </w:rPr>
        <w:t>se</w:t>
      </w:r>
      <w:r>
        <w:rPr>
          <w:color w:val="231F20"/>
          <w:spacing w:val="-4"/>
        </w:rPr>
        <w:t xml:space="preserve"> </w:t>
      </w:r>
      <w:r>
        <w:rPr>
          <w:color w:val="231F20"/>
        </w:rPr>
        <w:t>rozumí</w:t>
      </w:r>
      <w:r>
        <w:rPr>
          <w:color w:val="231F20"/>
          <w:spacing w:val="-4"/>
        </w:rPr>
        <w:t xml:space="preserve"> </w:t>
      </w:r>
      <w:r>
        <w:rPr>
          <w:color w:val="231F20"/>
        </w:rPr>
        <w:t>doba</w:t>
      </w:r>
      <w:r>
        <w:rPr>
          <w:color w:val="231F20"/>
          <w:spacing w:val="-5"/>
        </w:rPr>
        <w:t xml:space="preserve"> </w:t>
      </w:r>
      <w:r>
        <w:rPr>
          <w:color w:val="231F20"/>
        </w:rPr>
        <w:t>řízeného</w:t>
      </w:r>
      <w:r>
        <w:rPr>
          <w:color w:val="231F20"/>
          <w:spacing w:val="-4"/>
        </w:rPr>
        <w:t xml:space="preserve"> </w:t>
      </w:r>
      <w:r>
        <w:rPr>
          <w:color w:val="231F20"/>
        </w:rPr>
        <w:t>pohybu</w:t>
      </w:r>
      <w:r>
        <w:rPr>
          <w:color w:val="231F20"/>
          <w:spacing w:val="-4"/>
        </w:rPr>
        <w:t xml:space="preserve"> </w:t>
      </w:r>
      <w:r>
        <w:rPr>
          <w:color w:val="231F20"/>
        </w:rPr>
        <w:t>vozidla</w:t>
      </w:r>
      <w:r>
        <w:rPr>
          <w:color w:val="231F20"/>
          <w:spacing w:val="-4"/>
        </w:rPr>
        <w:t xml:space="preserve"> </w:t>
      </w:r>
      <w:r>
        <w:rPr>
          <w:color w:val="231F20"/>
        </w:rPr>
        <w:t>(jízda</w:t>
      </w:r>
      <w:r>
        <w:rPr>
          <w:color w:val="231F20"/>
          <w:spacing w:val="-5"/>
        </w:rPr>
        <w:t xml:space="preserve"> </w:t>
      </w:r>
      <w:r>
        <w:rPr>
          <w:color w:val="231F20"/>
        </w:rPr>
        <w:t>vozidla),</w:t>
      </w:r>
      <w:r>
        <w:rPr>
          <w:color w:val="231F20"/>
          <w:spacing w:val="-4"/>
        </w:rPr>
        <w:t xml:space="preserve"> </w:t>
      </w:r>
      <w:r>
        <w:rPr>
          <w:color w:val="231F20"/>
        </w:rPr>
        <w:t>doba chodu</w:t>
      </w:r>
      <w:r>
        <w:rPr>
          <w:color w:val="231F20"/>
          <w:spacing w:val="-7"/>
        </w:rPr>
        <w:t xml:space="preserve"> </w:t>
      </w:r>
      <w:r>
        <w:rPr>
          <w:color w:val="231F20"/>
        </w:rPr>
        <w:t>jeho</w:t>
      </w:r>
      <w:r>
        <w:rPr>
          <w:color w:val="231F20"/>
          <w:spacing w:val="-6"/>
        </w:rPr>
        <w:t xml:space="preserve"> </w:t>
      </w:r>
      <w:r>
        <w:rPr>
          <w:color w:val="231F20"/>
        </w:rPr>
        <w:t>motoru,</w:t>
      </w:r>
      <w:r>
        <w:rPr>
          <w:color w:val="231F20"/>
          <w:spacing w:val="-6"/>
        </w:rPr>
        <w:t xml:space="preserve"> </w:t>
      </w:r>
      <w:r>
        <w:rPr>
          <w:color w:val="231F20"/>
        </w:rPr>
        <w:t>příprava</w:t>
      </w:r>
      <w:r>
        <w:rPr>
          <w:color w:val="231F20"/>
          <w:spacing w:val="-6"/>
        </w:rPr>
        <w:t xml:space="preserve"> </w:t>
      </w:r>
      <w:r>
        <w:rPr>
          <w:color w:val="231F20"/>
        </w:rPr>
        <w:t>k</w:t>
      </w:r>
      <w:r>
        <w:rPr>
          <w:color w:val="231F20"/>
          <w:spacing w:val="-6"/>
        </w:rPr>
        <w:t xml:space="preserve"> </w:t>
      </w:r>
      <w:r>
        <w:rPr>
          <w:color w:val="231F20"/>
        </w:rPr>
        <w:t>jízdě</w:t>
      </w:r>
      <w:r>
        <w:rPr>
          <w:color w:val="231F20"/>
          <w:spacing w:val="-6"/>
        </w:rPr>
        <w:t xml:space="preserve"> </w:t>
      </w:r>
      <w:r>
        <w:rPr>
          <w:color w:val="231F20"/>
        </w:rPr>
        <w:t>a</w:t>
      </w:r>
      <w:r>
        <w:rPr>
          <w:color w:val="231F20"/>
          <w:spacing w:val="-6"/>
        </w:rPr>
        <w:t xml:space="preserve"> </w:t>
      </w:r>
      <w:r>
        <w:rPr>
          <w:color w:val="231F20"/>
        </w:rPr>
        <w:t>bezprostřední</w:t>
      </w:r>
      <w:r>
        <w:rPr>
          <w:color w:val="231F20"/>
          <w:spacing w:val="-6"/>
        </w:rPr>
        <w:t xml:space="preserve"> </w:t>
      </w:r>
      <w:r>
        <w:rPr>
          <w:color w:val="231F20"/>
        </w:rPr>
        <w:t>úkony</w:t>
      </w:r>
      <w:r>
        <w:rPr>
          <w:color w:val="231F20"/>
          <w:spacing w:val="-6"/>
        </w:rPr>
        <w:t xml:space="preserve"> </w:t>
      </w:r>
      <w:r>
        <w:rPr>
          <w:color w:val="231F20"/>
        </w:rPr>
        <w:t>před</w:t>
      </w:r>
      <w:r>
        <w:rPr>
          <w:color w:val="231F20"/>
          <w:spacing w:val="-6"/>
        </w:rPr>
        <w:t xml:space="preserve"> </w:t>
      </w:r>
      <w:r>
        <w:rPr>
          <w:color w:val="231F20"/>
        </w:rPr>
        <w:t>ukončením</w:t>
      </w:r>
      <w:r>
        <w:rPr>
          <w:color w:val="231F20"/>
          <w:spacing w:val="-6"/>
        </w:rPr>
        <w:t xml:space="preserve"> </w:t>
      </w:r>
      <w:r>
        <w:rPr>
          <w:color w:val="231F20"/>
          <w:spacing w:val="-3"/>
        </w:rPr>
        <w:t xml:space="preserve">jízdy </w:t>
      </w:r>
      <w:r>
        <w:rPr>
          <w:color w:val="231F20"/>
        </w:rPr>
        <w:t>vozidla</w:t>
      </w:r>
      <w:r>
        <w:rPr>
          <w:color w:val="231F20"/>
          <w:spacing w:val="-12"/>
        </w:rPr>
        <w:t xml:space="preserve"> </w:t>
      </w:r>
      <w:r>
        <w:rPr>
          <w:color w:val="231F20"/>
        </w:rPr>
        <w:t>a</w:t>
      </w:r>
      <w:r>
        <w:rPr>
          <w:color w:val="231F20"/>
          <w:spacing w:val="-11"/>
        </w:rPr>
        <w:t xml:space="preserve"> </w:t>
      </w:r>
      <w:r>
        <w:rPr>
          <w:color w:val="231F20"/>
        </w:rPr>
        <w:t>po</w:t>
      </w:r>
      <w:r>
        <w:rPr>
          <w:color w:val="231F20"/>
          <w:spacing w:val="-11"/>
        </w:rPr>
        <w:t xml:space="preserve"> </w:t>
      </w:r>
      <w:r>
        <w:rPr>
          <w:color w:val="231F20"/>
        </w:rPr>
        <w:t>ní.</w:t>
      </w:r>
      <w:r>
        <w:rPr>
          <w:color w:val="231F20"/>
          <w:spacing w:val="-11"/>
        </w:rPr>
        <w:t xml:space="preserve"> </w:t>
      </w:r>
      <w:r>
        <w:rPr>
          <w:color w:val="231F20"/>
        </w:rPr>
        <w:t>Provozem</w:t>
      </w:r>
      <w:r>
        <w:rPr>
          <w:color w:val="231F20"/>
          <w:spacing w:val="-11"/>
        </w:rPr>
        <w:t xml:space="preserve"> </w:t>
      </w:r>
      <w:r>
        <w:rPr>
          <w:color w:val="231F20"/>
        </w:rPr>
        <w:t>vozidla</w:t>
      </w:r>
      <w:r>
        <w:rPr>
          <w:color w:val="231F20"/>
          <w:spacing w:val="-11"/>
        </w:rPr>
        <w:t xml:space="preserve"> </w:t>
      </w:r>
      <w:r>
        <w:rPr>
          <w:color w:val="231F20"/>
        </w:rPr>
        <w:t>není</w:t>
      </w:r>
      <w:r>
        <w:rPr>
          <w:color w:val="231F20"/>
          <w:spacing w:val="-11"/>
        </w:rPr>
        <w:t xml:space="preserve"> </w:t>
      </w:r>
      <w:r>
        <w:rPr>
          <w:color w:val="231F20"/>
        </w:rPr>
        <w:t>činnost</w:t>
      </w:r>
      <w:r>
        <w:rPr>
          <w:color w:val="231F20"/>
          <w:spacing w:val="-11"/>
        </w:rPr>
        <w:t xml:space="preserve"> </w:t>
      </w:r>
      <w:r>
        <w:rPr>
          <w:color w:val="231F20"/>
        </w:rPr>
        <w:t>vozidla</w:t>
      </w:r>
      <w:r>
        <w:rPr>
          <w:color w:val="231F20"/>
          <w:spacing w:val="-11"/>
        </w:rPr>
        <w:t xml:space="preserve"> </w:t>
      </w:r>
      <w:r>
        <w:rPr>
          <w:color w:val="231F20"/>
        </w:rPr>
        <w:t>jako</w:t>
      </w:r>
      <w:r>
        <w:rPr>
          <w:color w:val="231F20"/>
          <w:spacing w:val="-11"/>
        </w:rPr>
        <w:t xml:space="preserve"> </w:t>
      </w:r>
      <w:r>
        <w:rPr>
          <w:color w:val="231F20"/>
        </w:rPr>
        <w:t>pracovního</w:t>
      </w:r>
      <w:r>
        <w:rPr>
          <w:color w:val="231F20"/>
          <w:spacing w:val="-11"/>
        </w:rPr>
        <w:t xml:space="preserve"> </w:t>
      </w:r>
      <w:r>
        <w:rPr>
          <w:color w:val="231F20"/>
        </w:rPr>
        <w:t>stroje.</w:t>
      </w:r>
    </w:p>
    <w:p w14:paraId="7EB7A4DF" w14:textId="77777777" w:rsidR="00F65BCA" w:rsidRDefault="00216117">
      <w:pPr>
        <w:pStyle w:val="Zkladntext"/>
        <w:spacing w:line="278" w:lineRule="auto"/>
        <w:ind w:left="186" w:right="424"/>
        <w:jc w:val="both"/>
      </w:pPr>
      <w:r>
        <w:rPr>
          <w:color w:val="231F20"/>
        </w:rPr>
        <w:t>Provozovatelem</w:t>
      </w:r>
      <w:r>
        <w:rPr>
          <w:color w:val="231F20"/>
          <w:spacing w:val="-3"/>
        </w:rPr>
        <w:t xml:space="preserve"> </w:t>
      </w:r>
      <w:r>
        <w:rPr>
          <w:color w:val="231F20"/>
        </w:rPr>
        <w:t>vozidla</w:t>
      </w:r>
      <w:r>
        <w:rPr>
          <w:color w:val="231F20"/>
          <w:spacing w:val="-3"/>
        </w:rPr>
        <w:t xml:space="preserve"> </w:t>
      </w:r>
      <w:r>
        <w:rPr>
          <w:color w:val="231F20"/>
        </w:rPr>
        <w:t>se</w:t>
      </w:r>
      <w:r>
        <w:rPr>
          <w:color w:val="231F20"/>
          <w:spacing w:val="-3"/>
        </w:rPr>
        <w:t xml:space="preserve"> </w:t>
      </w:r>
      <w:r>
        <w:rPr>
          <w:color w:val="231F20"/>
        </w:rPr>
        <w:t>rozumí</w:t>
      </w:r>
      <w:r>
        <w:rPr>
          <w:color w:val="231F20"/>
          <w:spacing w:val="-3"/>
        </w:rPr>
        <w:t xml:space="preserve"> </w:t>
      </w:r>
      <w:r>
        <w:rPr>
          <w:color w:val="231F20"/>
        </w:rPr>
        <w:t>vlastník</w:t>
      </w:r>
      <w:r>
        <w:rPr>
          <w:color w:val="231F20"/>
          <w:spacing w:val="-3"/>
        </w:rPr>
        <w:t xml:space="preserve"> </w:t>
      </w:r>
      <w:r>
        <w:rPr>
          <w:color w:val="231F20"/>
        </w:rPr>
        <w:t>nebo</w:t>
      </w:r>
      <w:r>
        <w:rPr>
          <w:color w:val="231F20"/>
          <w:spacing w:val="-2"/>
        </w:rPr>
        <w:t xml:space="preserve"> </w:t>
      </w:r>
      <w:r>
        <w:rPr>
          <w:color w:val="231F20"/>
        </w:rPr>
        <w:t>jiná</w:t>
      </w:r>
      <w:r>
        <w:rPr>
          <w:color w:val="231F20"/>
          <w:spacing w:val="-3"/>
        </w:rPr>
        <w:t xml:space="preserve"> </w:t>
      </w:r>
      <w:r>
        <w:rPr>
          <w:color w:val="231F20"/>
        </w:rPr>
        <w:t>osoba,</w:t>
      </w:r>
      <w:r>
        <w:rPr>
          <w:color w:val="231F20"/>
          <w:spacing w:val="-3"/>
        </w:rPr>
        <w:t xml:space="preserve"> </w:t>
      </w:r>
      <w:r>
        <w:rPr>
          <w:color w:val="231F20"/>
        </w:rPr>
        <w:t>která</w:t>
      </w:r>
      <w:r>
        <w:rPr>
          <w:color w:val="231F20"/>
          <w:spacing w:val="-3"/>
        </w:rPr>
        <w:t xml:space="preserve"> </w:t>
      </w:r>
      <w:r>
        <w:rPr>
          <w:color w:val="231F20"/>
        </w:rPr>
        <w:t>je</w:t>
      </w:r>
      <w:r>
        <w:rPr>
          <w:color w:val="231F20"/>
          <w:spacing w:val="-3"/>
        </w:rPr>
        <w:t xml:space="preserve"> </w:t>
      </w:r>
      <w:r>
        <w:rPr>
          <w:color w:val="231F20"/>
        </w:rPr>
        <w:t>jako</w:t>
      </w:r>
      <w:r>
        <w:rPr>
          <w:color w:val="231F20"/>
          <w:spacing w:val="-3"/>
        </w:rPr>
        <w:t xml:space="preserve"> </w:t>
      </w:r>
      <w:r>
        <w:rPr>
          <w:color w:val="231F20"/>
        </w:rPr>
        <w:t>provo- zovatel</w:t>
      </w:r>
      <w:r>
        <w:rPr>
          <w:color w:val="231F20"/>
          <w:spacing w:val="-26"/>
        </w:rPr>
        <w:t xml:space="preserve"> </w:t>
      </w:r>
      <w:r>
        <w:rPr>
          <w:color w:val="231F20"/>
        </w:rPr>
        <w:t>zapsána</w:t>
      </w:r>
      <w:r>
        <w:rPr>
          <w:color w:val="231F20"/>
          <w:spacing w:val="-26"/>
        </w:rPr>
        <w:t xml:space="preserve"> </w:t>
      </w:r>
      <w:r>
        <w:rPr>
          <w:color w:val="231F20"/>
        </w:rPr>
        <w:t>v</w:t>
      </w:r>
      <w:r>
        <w:rPr>
          <w:color w:val="231F20"/>
          <w:spacing w:val="-25"/>
        </w:rPr>
        <w:t xml:space="preserve"> </w:t>
      </w:r>
      <w:r>
        <w:rPr>
          <w:color w:val="231F20"/>
        </w:rPr>
        <w:t>registru</w:t>
      </w:r>
      <w:r>
        <w:rPr>
          <w:color w:val="231F20"/>
          <w:spacing w:val="-26"/>
        </w:rPr>
        <w:t xml:space="preserve"> </w:t>
      </w:r>
      <w:r>
        <w:rPr>
          <w:color w:val="231F20"/>
        </w:rPr>
        <w:t>silničních</w:t>
      </w:r>
      <w:r>
        <w:rPr>
          <w:color w:val="231F20"/>
          <w:spacing w:val="-26"/>
        </w:rPr>
        <w:t xml:space="preserve"> </w:t>
      </w:r>
      <w:r>
        <w:rPr>
          <w:color w:val="231F20"/>
        </w:rPr>
        <w:t>vozidel</w:t>
      </w:r>
      <w:r>
        <w:rPr>
          <w:color w:val="231F20"/>
          <w:spacing w:val="-25"/>
        </w:rPr>
        <w:t xml:space="preserve"> </w:t>
      </w:r>
      <w:r>
        <w:rPr>
          <w:color w:val="231F20"/>
        </w:rPr>
        <w:t>České</w:t>
      </w:r>
      <w:r>
        <w:rPr>
          <w:color w:val="231F20"/>
          <w:spacing w:val="-26"/>
        </w:rPr>
        <w:t xml:space="preserve"> </w:t>
      </w:r>
      <w:r>
        <w:rPr>
          <w:color w:val="231F20"/>
        </w:rPr>
        <w:t>republiky</w:t>
      </w:r>
      <w:r>
        <w:rPr>
          <w:color w:val="231F20"/>
          <w:spacing w:val="-25"/>
        </w:rPr>
        <w:t xml:space="preserve"> </w:t>
      </w:r>
      <w:r>
        <w:rPr>
          <w:color w:val="231F20"/>
        </w:rPr>
        <w:t>nebo</w:t>
      </w:r>
      <w:r>
        <w:rPr>
          <w:color w:val="231F20"/>
          <w:spacing w:val="-26"/>
        </w:rPr>
        <w:t xml:space="preserve"> </w:t>
      </w:r>
      <w:r>
        <w:rPr>
          <w:color w:val="231F20"/>
        </w:rPr>
        <w:t>jiná</w:t>
      </w:r>
      <w:r>
        <w:rPr>
          <w:color w:val="231F20"/>
          <w:spacing w:val="-26"/>
        </w:rPr>
        <w:t xml:space="preserve"> </w:t>
      </w:r>
      <w:r>
        <w:rPr>
          <w:color w:val="231F20"/>
        </w:rPr>
        <w:t>osoba</w:t>
      </w:r>
      <w:r>
        <w:rPr>
          <w:color w:val="231F20"/>
          <w:spacing w:val="-25"/>
        </w:rPr>
        <w:t xml:space="preserve"> </w:t>
      </w:r>
      <w:r>
        <w:rPr>
          <w:color w:val="231F20"/>
          <w:spacing w:val="-4"/>
        </w:rPr>
        <w:t xml:space="preserve">zmoc- </w:t>
      </w:r>
      <w:r>
        <w:rPr>
          <w:color w:val="231F20"/>
        </w:rPr>
        <w:t>něná</w:t>
      </w:r>
      <w:r>
        <w:rPr>
          <w:color w:val="231F20"/>
          <w:spacing w:val="-14"/>
        </w:rPr>
        <w:t xml:space="preserve"> </w:t>
      </w:r>
      <w:r>
        <w:rPr>
          <w:color w:val="231F20"/>
        </w:rPr>
        <w:t>vlastníkem</w:t>
      </w:r>
      <w:r>
        <w:rPr>
          <w:color w:val="231F20"/>
          <w:spacing w:val="-13"/>
        </w:rPr>
        <w:t xml:space="preserve"> </w:t>
      </w:r>
      <w:r>
        <w:rPr>
          <w:color w:val="231F20"/>
        </w:rPr>
        <w:t>k</w:t>
      </w:r>
      <w:r>
        <w:rPr>
          <w:color w:val="231F20"/>
          <w:spacing w:val="-13"/>
        </w:rPr>
        <w:t xml:space="preserve"> </w:t>
      </w:r>
      <w:r>
        <w:rPr>
          <w:color w:val="231F20"/>
        </w:rPr>
        <w:t>provozování</w:t>
      </w:r>
      <w:r>
        <w:rPr>
          <w:color w:val="231F20"/>
          <w:spacing w:val="-13"/>
        </w:rPr>
        <w:t xml:space="preserve"> </w:t>
      </w:r>
      <w:r>
        <w:rPr>
          <w:color w:val="231F20"/>
        </w:rPr>
        <w:t>vozidla</w:t>
      </w:r>
      <w:r>
        <w:rPr>
          <w:color w:val="231F20"/>
          <w:spacing w:val="-13"/>
        </w:rPr>
        <w:t xml:space="preserve"> </w:t>
      </w:r>
      <w:r>
        <w:rPr>
          <w:color w:val="231F20"/>
        </w:rPr>
        <w:t>vlastním</w:t>
      </w:r>
      <w:r>
        <w:rPr>
          <w:color w:val="231F20"/>
          <w:spacing w:val="-13"/>
        </w:rPr>
        <w:t xml:space="preserve"> </w:t>
      </w:r>
      <w:r>
        <w:rPr>
          <w:color w:val="231F20"/>
        </w:rPr>
        <w:t>jménem</w:t>
      </w:r>
      <w:r>
        <w:rPr>
          <w:color w:val="231F20"/>
          <w:spacing w:val="-13"/>
        </w:rPr>
        <w:t xml:space="preserve"> </w:t>
      </w:r>
      <w:r>
        <w:rPr>
          <w:color w:val="231F20"/>
        </w:rPr>
        <w:t>(držitel</w:t>
      </w:r>
      <w:r>
        <w:rPr>
          <w:color w:val="231F20"/>
          <w:spacing w:val="-13"/>
        </w:rPr>
        <w:t xml:space="preserve"> </w:t>
      </w:r>
      <w:r>
        <w:rPr>
          <w:color w:val="231F20"/>
        </w:rPr>
        <w:t>vozidla).</w:t>
      </w:r>
      <w:r>
        <w:rPr>
          <w:color w:val="231F20"/>
          <w:spacing w:val="-13"/>
        </w:rPr>
        <w:t xml:space="preserve"> </w:t>
      </w:r>
      <w:r>
        <w:rPr>
          <w:color w:val="231F20"/>
        </w:rPr>
        <w:t>Nelze-li provozovatele určit, platí, že jím je vlastník</w:t>
      </w:r>
      <w:r>
        <w:rPr>
          <w:color w:val="231F20"/>
          <w:spacing w:val="-21"/>
        </w:rPr>
        <w:t xml:space="preserve"> </w:t>
      </w:r>
      <w:r>
        <w:rPr>
          <w:color w:val="231F20"/>
        </w:rPr>
        <w:t>vozidla.</w:t>
      </w:r>
    </w:p>
    <w:p w14:paraId="663CFD90" w14:textId="77777777" w:rsidR="00F65BCA" w:rsidRDefault="00216117">
      <w:pPr>
        <w:pStyle w:val="Zkladntext"/>
        <w:spacing w:line="278" w:lineRule="auto"/>
        <w:ind w:left="186" w:right="424"/>
        <w:jc w:val="both"/>
      </w:pPr>
      <w:r>
        <w:rPr>
          <w:color w:val="231F20"/>
        </w:rPr>
        <w:t>Přiměřeným</w:t>
      </w:r>
      <w:r>
        <w:rPr>
          <w:color w:val="231F20"/>
          <w:spacing w:val="-15"/>
        </w:rPr>
        <w:t xml:space="preserve"> </w:t>
      </w:r>
      <w:r>
        <w:rPr>
          <w:color w:val="231F20"/>
        </w:rPr>
        <w:t>nákladem</w:t>
      </w:r>
      <w:r>
        <w:rPr>
          <w:color w:val="231F20"/>
          <w:spacing w:val="-14"/>
        </w:rPr>
        <w:t xml:space="preserve"> </w:t>
      </w:r>
      <w:r>
        <w:rPr>
          <w:color w:val="231F20"/>
        </w:rPr>
        <w:t>na</w:t>
      </w:r>
      <w:r>
        <w:rPr>
          <w:color w:val="231F20"/>
          <w:spacing w:val="-15"/>
        </w:rPr>
        <w:t xml:space="preserve"> </w:t>
      </w:r>
      <w:r>
        <w:rPr>
          <w:color w:val="231F20"/>
        </w:rPr>
        <w:t>opravu</w:t>
      </w:r>
      <w:r>
        <w:rPr>
          <w:color w:val="231F20"/>
          <w:spacing w:val="-14"/>
        </w:rPr>
        <w:t xml:space="preserve"> </w:t>
      </w:r>
      <w:r>
        <w:rPr>
          <w:color w:val="231F20"/>
        </w:rPr>
        <w:t>se</w:t>
      </w:r>
      <w:r>
        <w:rPr>
          <w:color w:val="231F20"/>
          <w:spacing w:val="-15"/>
        </w:rPr>
        <w:t xml:space="preserve"> </w:t>
      </w:r>
      <w:r>
        <w:rPr>
          <w:color w:val="231F20"/>
        </w:rPr>
        <w:t>rozumí</w:t>
      </w:r>
      <w:r>
        <w:rPr>
          <w:color w:val="231F20"/>
          <w:spacing w:val="-14"/>
        </w:rPr>
        <w:t xml:space="preserve"> </w:t>
      </w:r>
      <w:r>
        <w:rPr>
          <w:color w:val="231F20"/>
        </w:rPr>
        <w:t>náklad</w:t>
      </w:r>
      <w:r>
        <w:rPr>
          <w:color w:val="231F20"/>
          <w:spacing w:val="-14"/>
        </w:rPr>
        <w:t xml:space="preserve"> </w:t>
      </w:r>
      <w:r>
        <w:rPr>
          <w:color w:val="231F20"/>
        </w:rPr>
        <w:t>na</w:t>
      </w:r>
      <w:r>
        <w:rPr>
          <w:color w:val="231F20"/>
          <w:spacing w:val="-15"/>
        </w:rPr>
        <w:t xml:space="preserve"> </w:t>
      </w:r>
      <w:r>
        <w:rPr>
          <w:color w:val="231F20"/>
        </w:rPr>
        <w:t>uvedení</w:t>
      </w:r>
      <w:r>
        <w:rPr>
          <w:color w:val="231F20"/>
          <w:spacing w:val="-14"/>
        </w:rPr>
        <w:t xml:space="preserve"> </w:t>
      </w:r>
      <w:r>
        <w:rPr>
          <w:color w:val="231F20"/>
        </w:rPr>
        <w:t>poškození</w:t>
      </w:r>
      <w:r>
        <w:rPr>
          <w:color w:val="231F20"/>
          <w:spacing w:val="-15"/>
        </w:rPr>
        <w:t xml:space="preserve"> </w:t>
      </w:r>
      <w:r>
        <w:rPr>
          <w:color w:val="231F20"/>
        </w:rPr>
        <w:t>vozidla souvisejících</w:t>
      </w:r>
      <w:r>
        <w:rPr>
          <w:color w:val="231F20"/>
          <w:spacing w:val="-9"/>
        </w:rPr>
        <w:t xml:space="preserve"> </w:t>
      </w:r>
      <w:r>
        <w:rPr>
          <w:color w:val="231F20"/>
        </w:rPr>
        <w:t>s</w:t>
      </w:r>
      <w:r>
        <w:rPr>
          <w:color w:val="231F20"/>
          <w:spacing w:val="-9"/>
        </w:rPr>
        <w:t xml:space="preserve"> </w:t>
      </w:r>
      <w:r>
        <w:rPr>
          <w:color w:val="231F20"/>
        </w:rPr>
        <w:t>pojistnou</w:t>
      </w:r>
      <w:r>
        <w:rPr>
          <w:color w:val="231F20"/>
          <w:spacing w:val="-9"/>
        </w:rPr>
        <w:t xml:space="preserve"> </w:t>
      </w:r>
      <w:r>
        <w:rPr>
          <w:color w:val="231F20"/>
        </w:rPr>
        <w:t>událostí</w:t>
      </w:r>
      <w:r>
        <w:rPr>
          <w:color w:val="231F20"/>
          <w:spacing w:val="-9"/>
        </w:rPr>
        <w:t xml:space="preserve"> </w:t>
      </w:r>
      <w:r>
        <w:rPr>
          <w:color w:val="231F20"/>
        </w:rPr>
        <w:t>do</w:t>
      </w:r>
      <w:r>
        <w:rPr>
          <w:color w:val="231F20"/>
          <w:spacing w:val="-9"/>
        </w:rPr>
        <w:t xml:space="preserve"> </w:t>
      </w:r>
      <w:r>
        <w:rPr>
          <w:color w:val="231F20"/>
        </w:rPr>
        <w:t>stavu</w:t>
      </w:r>
      <w:r>
        <w:rPr>
          <w:color w:val="231F20"/>
          <w:spacing w:val="-9"/>
        </w:rPr>
        <w:t xml:space="preserve"> </w:t>
      </w:r>
      <w:r>
        <w:rPr>
          <w:color w:val="231F20"/>
        </w:rPr>
        <w:t>bezprostředně</w:t>
      </w:r>
      <w:r>
        <w:rPr>
          <w:color w:val="231F20"/>
          <w:spacing w:val="-9"/>
        </w:rPr>
        <w:t xml:space="preserve"> </w:t>
      </w:r>
      <w:r>
        <w:rPr>
          <w:color w:val="231F20"/>
        </w:rPr>
        <w:t>před</w:t>
      </w:r>
      <w:r>
        <w:rPr>
          <w:color w:val="231F20"/>
          <w:spacing w:val="-9"/>
        </w:rPr>
        <w:t xml:space="preserve"> </w:t>
      </w:r>
      <w:r>
        <w:rPr>
          <w:color w:val="231F20"/>
        </w:rPr>
        <w:t>pojistnou</w:t>
      </w:r>
      <w:r>
        <w:rPr>
          <w:color w:val="231F20"/>
          <w:spacing w:val="-9"/>
        </w:rPr>
        <w:t xml:space="preserve"> </w:t>
      </w:r>
      <w:r>
        <w:rPr>
          <w:color w:val="231F20"/>
        </w:rPr>
        <w:t>událostí při</w:t>
      </w:r>
      <w:r>
        <w:rPr>
          <w:color w:val="231F20"/>
          <w:spacing w:val="-17"/>
        </w:rPr>
        <w:t xml:space="preserve"> </w:t>
      </w:r>
      <w:r>
        <w:rPr>
          <w:color w:val="231F20"/>
        </w:rPr>
        <w:t>využití</w:t>
      </w:r>
      <w:r>
        <w:rPr>
          <w:color w:val="231F20"/>
          <w:spacing w:val="-18"/>
        </w:rPr>
        <w:t xml:space="preserve"> </w:t>
      </w:r>
      <w:r>
        <w:rPr>
          <w:color w:val="231F20"/>
        </w:rPr>
        <w:t>technologie</w:t>
      </w:r>
      <w:r>
        <w:rPr>
          <w:color w:val="231F20"/>
          <w:spacing w:val="-17"/>
        </w:rPr>
        <w:t xml:space="preserve"> </w:t>
      </w:r>
      <w:r>
        <w:rPr>
          <w:color w:val="231F20"/>
        </w:rPr>
        <w:t>opravy</w:t>
      </w:r>
      <w:r>
        <w:rPr>
          <w:color w:val="231F20"/>
          <w:spacing w:val="-17"/>
        </w:rPr>
        <w:t xml:space="preserve"> </w:t>
      </w:r>
      <w:r>
        <w:rPr>
          <w:color w:val="231F20"/>
        </w:rPr>
        <w:t>a</w:t>
      </w:r>
      <w:r>
        <w:rPr>
          <w:color w:val="231F20"/>
          <w:spacing w:val="-17"/>
        </w:rPr>
        <w:t xml:space="preserve"> </w:t>
      </w:r>
      <w:r>
        <w:rPr>
          <w:color w:val="231F20"/>
        </w:rPr>
        <w:t>časových</w:t>
      </w:r>
      <w:r>
        <w:rPr>
          <w:color w:val="231F20"/>
          <w:spacing w:val="-17"/>
        </w:rPr>
        <w:t xml:space="preserve"> </w:t>
      </w:r>
      <w:r>
        <w:rPr>
          <w:color w:val="231F20"/>
        </w:rPr>
        <w:t>norem</w:t>
      </w:r>
      <w:r>
        <w:rPr>
          <w:color w:val="231F20"/>
          <w:spacing w:val="-17"/>
        </w:rPr>
        <w:t xml:space="preserve"> </w:t>
      </w:r>
      <w:r>
        <w:rPr>
          <w:color w:val="231F20"/>
        </w:rPr>
        <w:t>předepsaných</w:t>
      </w:r>
      <w:r>
        <w:rPr>
          <w:color w:val="231F20"/>
          <w:spacing w:val="-17"/>
        </w:rPr>
        <w:t xml:space="preserve"> </w:t>
      </w:r>
      <w:r>
        <w:rPr>
          <w:color w:val="231F20"/>
        </w:rPr>
        <w:t>výrobcem</w:t>
      </w:r>
      <w:r>
        <w:rPr>
          <w:color w:val="231F20"/>
          <w:spacing w:val="-17"/>
        </w:rPr>
        <w:t xml:space="preserve"> </w:t>
      </w:r>
      <w:r>
        <w:rPr>
          <w:color w:val="231F20"/>
        </w:rPr>
        <w:t xml:space="preserve">vozidla, sazeb normohodin za položky práce odpovídajících cenám </w:t>
      </w:r>
      <w:r>
        <w:rPr>
          <w:color w:val="231F20"/>
          <w:spacing w:val="2"/>
        </w:rPr>
        <w:t xml:space="preserve">obvyklým </w:t>
      </w:r>
      <w:r>
        <w:rPr>
          <w:color w:val="231F20"/>
        </w:rPr>
        <w:t>v daném místě</w:t>
      </w:r>
      <w:r>
        <w:rPr>
          <w:color w:val="231F20"/>
          <w:spacing w:val="-13"/>
        </w:rPr>
        <w:t xml:space="preserve"> </w:t>
      </w:r>
      <w:r>
        <w:rPr>
          <w:color w:val="231F20"/>
        </w:rPr>
        <w:t>a</w:t>
      </w:r>
      <w:r>
        <w:rPr>
          <w:color w:val="231F20"/>
          <w:spacing w:val="-13"/>
        </w:rPr>
        <w:t xml:space="preserve"> </w:t>
      </w:r>
      <w:r>
        <w:rPr>
          <w:color w:val="231F20"/>
        </w:rPr>
        <w:t>čase</w:t>
      </w:r>
      <w:r>
        <w:rPr>
          <w:color w:val="231F20"/>
          <w:spacing w:val="-12"/>
        </w:rPr>
        <w:t xml:space="preserve"> </w:t>
      </w:r>
      <w:r>
        <w:rPr>
          <w:color w:val="231F20"/>
        </w:rPr>
        <w:t>a</w:t>
      </w:r>
      <w:r>
        <w:rPr>
          <w:color w:val="231F20"/>
          <w:spacing w:val="-13"/>
        </w:rPr>
        <w:t xml:space="preserve"> </w:t>
      </w:r>
      <w:r>
        <w:rPr>
          <w:color w:val="231F20"/>
        </w:rPr>
        <w:t>při</w:t>
      </w:r>
      <w:r>
        <w:rPr>
          <w:color w:val="231F20"/>
          <w:spacing w:val="-12"/>
        </w:rPr>
        <w:t xml:space="preserve"> </w:t>
      </w:r>
      <w:r>
        <w:rPr>
          <w:color w:val="231F20"/>
        </w:rPr>
        <w:t>využití</w:t>
      </w:r>
      <w:r>
        <w:rPr>
          <w:color w:val="231F20"/>
          <w:spacing w:val="-13"/>
        </w:rPr>
        <w:t xml:space="preserve"> </w:t>
      </w:r>
      <w:r>
        <w:rPr>
          <w:color w:val="231F20"/>
        </w:rPr>
        <w:t>náhradních</w:t>
      </w:r>
      <w:r>
        <w:rPr>
          <w:color w:val="231F20"/>
          <w:spacing w:val="-12"/>
        </w:rPr>
        <w:t xml:space="preserve"> </w:t>
      </w:r>
      <w:r>
        <w:rPr>
          <w:color w:val="231F20"/>
        </w:rPr>
        <w:t>dílů</w:t>
      </w:r>
      <w:r>
        <w:rPr>
          <w:color w:val="231F20"/>
          <w:spacing w:val="-13"/>
        </w:rPr>
        <w:t xml:space="preserve"> </w:t>
      </w:r>
      <w:r>
        <w:rPr>
          <w:color w:val="231F20"/>
        </w:rPr>
        <w:t>a</w:t>
      </w:r>
      <w:r>
        <w:rPr>
          <w:color w:val="231F20"/>
          <w:spacing w:val="-12"/>
        </w:rPr>
        <w:t xml:space="preserve"> </w:t>
      </w:r>
      <w:r>
        <w:rPr>
          <w:color w:val="231F20"/>
        </w:rPr>
        <w:t>materiálu</w:t>
      </w:r>
      <w:r>
        <w:rPr>
          <w:color w:val="231F20"/>
          <w:spacing w:val="-13"/>
        </w:rPr>
        <w:t xml:space="preserve"> </w:t>
      </w:r>
      <w:r>
        <w:rPr>
          <w:color w:val="231F20"/>
        </w:rPr>
        <w:t>(zejména</w:t>
      </w:r>
      <w:r>
        <w:rPr>
          <w:color w:val="231F20"/>
          <w:spacing w:val="-12"/>
        </w:rPr>
        <w:t xml:space="preserve"> </w:t>
      </w:r>
      <w:r>
        <w:rPr>
          <w:color w:val="231F20"/>
        </w:rPr>
        <w:t>lakýrnického,</w:t>
      </w:r>
      <w:r>
        <w:rPr>
          <w:color w:val="231F20"/>
          <w:spacing w:val="-13"/>
        </w:rPr>
        <w:t xml:space="preserve"> </w:t>
      </w:r>
      <w:r>
        <w:rPr>
          <w:color w:val="231F20"/>
        </w:rPr>
        <w:t>spo- jovacího apod.) ve stejné nebo obdobné kvalitě, jako jsou dodávané výrobcem vozidla na trh v České</w:t>
      </w:r>
      <w:r>
        <w:rPr>
          <w:color w:val="231F20"/>
          <w:spacing w:val="-5"/>
        </w:rPr>
        <w:t xml:space="preserve"> </w:t>
      </w:r>
      <w:r>
        <w:rPr>
          <w:color w:val="231F20"/>
        </w:rPr>
        <w:t>republice.</w:t>
      </w:r>
    </w:p>
    <w:p w14:paraId="4CD87592" w14:textId="77777777" w:rsidR="00F65BCA" w:rsidRDefault="00216117">
      <w:pPr>
        <w:pStyle w:val="Zkladntext"/>
        <w:spacing w:line="278" w:lineRule="auto"/>
        <w:ind w:left="186" w:right="422"/>
        <w:jc w:val="both"/>
      </w:pPr>
      <w:r>
        <w:rPr>
          <w:color w:val="231F20"/>
        </w:rPr>
        <w:t>Rozpočtem nákladů na opravu (svépomocí) se rozumí stanovení výše pojistné- ho plnění pouze výpočtem (bez účtu za opravu) přiměřených nákladů na</w:t>
      </w:r>
      <w:r>
        <w:rPr>
          <w:color w:val="231F20"/>
          <w:spacing w:val="-21"/>
        </w:rPr>
        <w:t xml:space="preserve"> </w:t>
      </w:r>
      <w:r>
        <w:rPr>
          <w:color w:val="231F20"/>
          <w:spacing w:val="-3"/>
        </w:rPr>
        <w:t xml:space="preserve">opravu </w:t>
      </w:r>
      <w:r>
        <w:rPr>
          <w:color w:val="231F20"/>
          <w:w w:val="95"/>
        </w:rPr>
        <w:t xml:space="preserve">expertním systémem používaným Pojišťovnou, za využití hodinových sazeb vychá- </w:t>
      </w:r>
      <w:r>
        <w:rPr>
          <w:color w:val="231F20"/>
        </w:rPr>
        <w:t>zejících</w:t>
      </w:r>
      <w:r>
        <w:rPr>
          <w:color w:val="231F20"/>
          <w:spacing w:val="-11"/>
        </w:rPr>
        <w:t xml:space="preserve"> </w:t>
      </w:r>
      <w:r>
        <w:rPr>
          <w:color w:val="231F20"/>
        </w:rPr>
        <w:t>z</w:t>
      </w:r>
      <w:r>
        <w:rPr>
          <w:color w:val="231F20"/>
          <w:spacing w:val="-10"/>
        </w:rPr>
        <w:t xml:space="preserve"> </w:t>
      </w:r>
      <w:r>
        <w:rPr>
          <w:color w:val="231F20"/>
        </w:rPr>
        <w:t>cenové</w:t>
      </w:r>
      <w:r>
        <w:rPr>
          <w:color w:val="231F20"/>
          <w:spacing w:val="-10"/>
        </w:rPr>
        <w:t xml:space="preserve"> </w:t>
      </w:r>
      <w:r>
        <w:rPr>
          <w:color w:val="231F20"/>
        </w:rPr>
        <w:t>úrovně</w:t>
      </w:r>
      <w:r>
        <w:rPr>
          <w:color w:val="231F20"/>
          <w:spacing w:val="-11"/>
        </w:rPr>
        <w:t xml:space="preserve"> </w:t>
      </w:r>
      <w:r>
        <w:rPr>
          <w:color w:val="231F20"/>
        </w:rPr>
        <w:t>nejnižších</w:t>
      </w:r>
      <w:r>
        <w:rPr>
          <w:color w:val="231F20"/>
          <w:spacing w:val="-10"/>
        </w:rPr>
        <w:t xml:space="preserve"> </w:t>
      </w:r>
      <w:r>
        <w:rPr>
          <w:color w:val="231F20"/>
        </w:rPr>
        <w:t>hodinových</w:t>
      </w:r>
      <w:r>
        <w:rPr>
          <w:color w:val="231F20"/>
          <w:spacing w:val="-10"/>
        </w:rPr>
        <w:t xml:space="preserve"> </w:t>
      </w:r>
      <w:r>
        <w:rPr>
          <w:color w:val="231F20"/>
          <w:spacing w:val="2"/>
        </w:rPr>
        <w:t>sazeb</w:t>
      </w:r>
      <w:r>
        <w:rPr>
          <w:color w:val="231F20"/>
          <w:spacing w:val="-11"/>
        </w:rPr>
        <w:t xml:space="preserve"> </w:t>
      </w:r>
      <w:r>
        <w:rPr>
          <w:color w:val="231F20"/>
          <w:spacing w:val="2"/>
        </w:rPr>
        <w:t>obvyklých</w:t>
      </w:r>
      <w:r>
        <w:rPr>
          <w:color w:val="231F20"/>
          <w:spacing w:val="-10"/>
        </w:rPr>
        <w:t xml:space="preserve"> </w:t>
      </w:r>
      <w:r>
        <w:rPr>
          <w:color w:val="231F20"/>
        </w:rPr>
        <w:t>v</w:t>
      </w:r>
      <w:r>
        <w:rPr>
          <w:color w:val="231F20"/>
          <w:spacing w:val="-10"/>
        </w:rPr>
        <w:t xml:space="preserve"> </w:t>
      </w:r>
      <w:r>
        <w:rPr>
          <w:color w:val="231F20"/>
        </w:rPr>
        <w:t>daném</w:t>
      </w:r>
      <w:r>
        <w:rPr>
          <w:color w:val="231F20"/>
          <w:spacing w:val="-11"/>
        </w:rPr>
        <w:t xml:space="preserve"> </w:t>
      </w:r>
      <w:r>
        <w:rPr>
          <w:color w:val="231F20"/>
        </w:rPr>
        <w:t>místě a</w:t>
      </w:r>
      <w:r>
        <w:rPr>
          <w:color w:val="231F20"/>
          <w:spacing w:val="-25"/>
        </w:rPr>
        <w:t xml:space="preserve"> </w:t>
      </w:r>
      <w:r>
        <w:rPr>
          <w:color w:val="231F20"/>
        </w:rPr>
        <w:t>čase</w:t>
      </w:r>
      <w:r>
        <w:rPr>
          <w:color w:val="231F20"/>
          <w:spacing w:val="-25"/>
        </w:rPr>
        <w:t xml:space="preserve"> </w:t>
      </w:r>
      <w:r>
        <w:rPr>
          <w:color w:val="231F20"/>
        </w:rPr>
        <w:t>u</w:t>
      </w:r>
      <w:r>
        <w:rPr>
          <w:color w:val="231F20"/>
          <w:spacing w:val="-25"/>
        </w:rPr>
        <w:t xml:space="preserve"> </w:t>
      </w:r>
      <w:r>
        <w:rPr>
          <w:color w:val="231F20"/>
        </w:rPr>
        <w:t>neautorizovaných</w:t>
      </w:r>
      <w:r>
        <w:rPr>
          <w:color w:val="231F20"/>
          <w:spacing w:val="-25"/>
        </w:rPr>
        <w:t xml:space="preserve"> </w:t>
      </w:r>
      <w:r>
        <w:rPr>
          <w:color w:val="231F20"/>
        </w:rPr>
        <w:t>servisů</w:t>
      </w:r>
      <w:r>
        <w:rPr>
          <w:color w:val="231F20"/>
          <w:spacing w:val="-25"/>
        </w:rPr>
        <w:t xml:space="preserve"> </w:t>
      </w:r>
      <w:r>
        <w:rPr>
          <w:color w:val="231F20"/>
        </w:rPr>
        <w:t>a</w:t>
      </w:r>
      <w:r>
        <w:rPr>
          <w:color w:val="231F20"/>
          <w:spacing w:val="-25"/>
        </w:rPr>
        <w:t xml:space="preserve"> </w:t>
      </w:r>
      <w:r>
        <w:rPr>
          <w:color w:val="231F20"/>
        </w:rPr>
        <w:t>z</w:t>
      </w:r>
      <w:r>
        <w:rPr>
          <w:color w:val="231F20"/>
          <w:spacing w:val="-25"/>
        </w:rPr>
        <w:t xml:space="preserve"> </w:t>
      </w:r>
      <w:r>
        <w:rPr>
          <w:color w:val="231F20"/>
        </w:rPr>
        <w:t>ceny</w:t>
      </w:r>
      <w:r>
        <w:rPr>
          <w:color w:val="231F20"/>
          <w:spacing w:val="-24"/>
        </w:rPr>
        <w:t xml:space="preserve"> </w:t>
      </w:r>
      <w:r>
        <w:rPr>
          <w:color w:val="231F20"/>
        </w:rPr>
        <w:t>náhradních</w:t>
      </w:r>
      <w:r>
        <w:rPr>
          <w:color w:val="231F20"/>
          <w:spacing w:val="-25"/>
        </w:rPr>
        <w:t xml:space="preserve"> </w:t>
      </w:r>
      <w:r>
        <w:rPr>
          <w:color w:val="231F20"/>
        </w:rPr>
        <w:t>dílů,</w:t>
      </w:r>
      <w:r>
        <w:rPr>
          <w:color w:val="231F20"/>
          <w:spacing w:val="-25"/>
        </w:rPr>
        <w:t xml:space="preserve"> </w:t>
      </w:r>
      <w:r>
        <w:rPr>
          <w:color w:val="231F20"/>
        </w:rPr>
        <w:t>které</w:t>
      </w:r>
      <w:r>
        <w:rPr>
          <w:color w:val="231F20"/>
          <w:spacing w:val="-25"/>
        </w:rPr>
        <w:t xml:space="preserve"> </w:t>
      </w:r>
      <w:r>
        <w:rPr>
          <w:color w:val="231F20"/>
        </w:rPr>
        <w:t>nejsou</w:t>
      </w:r>
      <w:r>
        <w:rPr>
          <w:color w:val="231F20"/>
          <w:spacing w:val="-25"/>
        </w:rPr>
        <w:t xml:space="preserve"> </w:t>
      </w:r>
      <w:r>
        <w:rPr>
          <w:color w:val="231F20"/>
        </w:rPr>
        <w:t>dodávány příslušným</w:t>
      </w:r>
      <w:r>
        <w:rPr>
          <w:color w:val="231F20"/>
          <w:spacing w:val="-12"/>
        </w:rPr>
        <w:t xml:space="preserve"> </w:t>
      </w:r>
      <w:r>
        <w:rPr>
          <w:color w:val="231F20"/>
          <w:spacing w:val="2"/>
        </w:rPr>
        <w:t>výrobcem</w:t>
      </w:r>
      <w:r>
        <w:rPr>
          <w:color w:val="231F20"/>
          <w:spacing w:val="-12"/>
        </w:rPr>
        <w:t xml:space="preserve"> </w:t>
      </w:r>
      <w:r>
        <w:rPr>
          <w:color w:val="231F20"/>
        </w:rPr>
        <w:t>vozidla,</w:t>
      </w:r>
      <w:r>
        <w:rPr>
          <w:color w:val="231F20"/>
          <w:spacing w:val="-12"/>
        </w:rPr>
        <w:t xml:space="preserve"> </w:t>
      </w:r>
      <w:r>
        <w:rPr>
          <w:color w:val="231F20"/>
        </w:rPr>
        <w:t>ale</w:t>
      </w:r>
      <w:r>
        <w:rPr>
          <w:color w:val="231F20"/>
          <w:spacing w:val="-12"/>
        </w:rPr>
        <w:t xml:space="preserve"> </w:t>
      </w:r>
      <w:r>
        <w:rPr>
          <w:color w:val="231F20"/>
        </w:rPr>
        <w:t>jsou</w:t>
      </w:r>
      <w:r>
        <w:rPr>
          <w:color w:val="231F20"/>
          <w:spacing w:val="-11"/>
        </w:rPr>
        <w:t xml:space="preserve"> </w:t>
      </w:r>
      <w:r>
        <w:rPr>
          <w:color w:val="231F20"/>
        </w:rPr>
        <w:t>produkovány</w:t>
      </w:r>
      <w:r>
        <w:rPr>
          <w:color w:val="231F20"/>
          <w:spacing w:val="-12"/>
        </w:rPr>
        <w:t xml:space="preserve"> </w:t>
      </w:r>
      <w:r>
        <w:rPr>
          <w:color w:val="231F20"/>
        </w:rPr>
        <w:t>podle</w:t>
      </w:r>
      <w:r>
        <w:rPr>
          <w:color w:val="231F20"/>
          <w:spacing w:val="-12"/>
        </w:rPr>
        <w:t xml:space="preserve"> </w:t>
      </w:r>
      <w:r>
        <w:rPr>
          <w:color w:val="231F20"/>
        </w:rPr>
        <w:t>jím</w:t>
      </w:r>
      <w:r>
        <w:rPr>
          <w:color w:val="231F20"/>
          <w:spacing w:val="-12"/>
        </w:rPr>
        <w:t xml:space="preserve"> </w:t>
      </w:r>
      <w:r>
        <w:rPr>
          <w:color w:val="231F20"/>
        </w:rPr>
        <w:t>daných</w:t>
      </w:r>
      <w:r>
        <w:rPr>
          <w:color w:val="231F20"/>
          <w:spacing w:val="-11"/>
        </w:rPr>
        <w:t xml:space="preserve"> </w:t>
      </w:r>
      <w:r>
        <w:rPr>
          <w:color w:val="231F20"/>
        </w:rPr>
        <w:t>specifikací a</w:t>
      </w:r>
      <w:r>
        <w:rPr>
          <w:color w:val="231F20"/>
          <w:spacing w:val="-7"/>
        </w:rPr>
        <w:t xml:space="preserve"> </w:t>
      </w:r>
      <w:r>
        <w:rPr>
          <w:color w:val="231F20"/>
        </w:rPr>
        <w:t>výrobních</w:t>
      </w:r>
      <w:r>
        <w:rPr>
          <w:color w:val="231F20"/>
          <w:spacing w:val="-6"/>
        </w:rPr>
        <w:t xml:space="preserve"> </w:t>
      </w:r>
      <w:r>
        <w:rPr>
          <w:color w:val="231F20"/>
        </w:rPr>
        <w:t>standardů</w:t>
      </w:r>
      <w:r>
        <w:rPr>
          <w:color w:val="231F20"/>
          <w:spacing w:val="-6"/>
        </w:rPr>
        <w:t xml:space="preserve"> </w:t>
      </w:r>
      <w:r>
        <w:rPr>
          <w:color w:val="231F20"/>
          <w:spacing w:val="-3"/>
        </w:rPr>
        <w:t>(tzv.</w:t>
      </w:r>
      <w:r>
        <w:rPr>
          <w:color w:val="231F20"/>
          <w:spacing w:val="-7"/>
        </w:rPr>
        <w:t xml:space="preserve"> </w:t>
      </w:r>
      <w:r>
        <w:rPr>
          <w:color w:val="231F20"/>
        </w:rPr>
        <w:t>aftermarketové</w:t>
      </w:r>
      <w:r>
        <w:rPr>
          <w:color w:val="231F20"/>
          <w:spacing w:val="-6"/>
        </w:rPr>
        <w:t xml:space="preserve"> </w:t>
      </w:r>
      <w:r>
        <w:rPr>
          <w:color w:val="231F20"/>
        </w:rPr>
        <w:t>díly),</w:t>
      </w:r>
      <w:r>
        <w:rPr>
          <w:color w:val="231F20"/>
          <w:spacing w:val="-6"/>
        </w:rPr>
        <w:t xml:space="preserve"> </w:t>
      </w:r>
      <w:r>
        <w:rPr>
          <w:color w:val="231F20"/>
        </w:rPr>
        <w:t>a</w:t>
      </w:r>
      <w:r>
        <w:rPr>
          <w:color w:val="231F20"/>
          <w:spacing w:val="-7"/>
        </w:rPr>
        <w:t xml:space="preserve"> </w:t>
      </w:r>
      <w:r>
        <w:rPr>
          <w:color w:val="231F20"/>
        </w:rPr>
        <w:t>které</w:t>
      </w:r>
      <w:r>
        <w:rPr>
          <w:color w:val="231F20"/>
          <w:spacing w:val="-6"/>
        </w:rPr>
        <w:t xml:space="preserve"> </w:t>
      </w:r>
      <w:r>
        <w:rPr>
          <w:color w:val="231F20"/>
        </w:rPr>
        <w:t>jsou</w:t>
      </w:r>
      <w:r>
        <w:rPr>
          <w:color w:val="231F20"/>
          <w:spacing w:val="-6"/>
        </w:rPr>
        <w:t xml:space="preserve"> </w:t>
      </w:r>
      <w:r>
        <w:rPr>
          <w:color w:val="231F20"/>
        </w:rPr>
        <w:t>běžně</w:t>
      </w:r>
      <w:r>
        <w:rPr>
          <w:color w:val="231F20"/>
          <w:spacing w:val="-7"/>
        </w:rPr>
        <w:t xml:space="preserve"> </w:t>
      </w:r>
      <w:r>
        <w:rPr>
          <w:color w:val="231F20"/>
        </w:rPr>
        <w:t>dostupné</w:t>
      </w:r>
      <w:r>
        <w:rPr>
          <w:color w:val="231F20"/>
          <w:spacing w:val="-6"/>
        </w:rPr>
        <w:t xml:space="preserve"> </w:t>
      </w:r>
      <w:r>
        <w:rPr>
          <w:color w:val="231F20"/>
        </w:rPr>
        <w:t>na trhu v České</w:t>
      </w:r>
      <w:r>
        <w:rPr>
          <w:color w:val="231F20"/>
          <w:spacing w:val="-2"/>
        </w:rPr>
        <w:t xml:space="preserve"> </w:t>
      </w:r>
      <w:r>
        <w:rPr>
          <w:color w:val="231F20"/>
        </w:rPr>
        <w:t>republice.</w:t>
      </w:r>
    </w:p>
    <w:p w14:paraId="27235056" w14:textId="77777777" w:rsidR="00F65BCA" w:rsidRDefault="00216117">
      <w:pPr>
        <w:pStyle w:val="Zkladntext"/>
        <w:spacing w:line="278" w:lineRule="auto"/>
        <w:ind w:left="186" w:right="424"/>
        <w:jc w:val="both"/>
      </w:pPr>
      <w:r>
        <w:rPr>
          <w:color w:val="231F20"/>
        </w:rPr>
        <w:t>Sazebníkem administrativních poplatků se rozumí seznam úhrad za služby po- skytované</w:t>
      </w:r>
      <w:r>
        <w:rPr>
          <w:color w:val="231F20"/>
          <w:spacing w:val="-1"/>
        </w:rPr>
        <w:t xml:space="preserve"> </w:t>
      </w:r>
      <w:r>
        <w:rPr>
          <w:color w:val="231F20"/>
        </w:rPr>
        <w:t>Pojišťovnou.</w:t>
      </w:r>
    </w:p>
    <w:p w14:paraId="10CDB51B" w14:textId="77777777" w:rsidR="00F65BCA" w:rsidRDefault="00216117">
      <w:pPr>
        <w:pStyle w:val="Zkladntext"/>
        <w:spacing w:line="278" w:lineRule="auto"/>
        <w:ind w:left="186" w:right="424"/>
        <w:jc w:val="both"/>
      </w:pPr>
      <w:r>
        <w:rPr>
          <w:color w:val="231F20"/>
        </w:rPr>
        <w:t>Aktuální</w:t>
      </w:r>
      <w:r>
        <w:rPr>
          <w:color w:val="231F20"/>
          <w:spacing w:val="-27"/>
        </w:rPr>
        <w:t xml:space="preserve"> </w:t>
      </w:r>
      <w:r>
        <w:rPr>
          <w:color w:val="231F20"/>
        </w:rPr>
        <w:t>znění</w:t>
      </w:r>
      <w:r>
        <w:rPr>
          <w:color w:val="231F20"/>
          <w:spacing w:val="-27"/>
        </w:rPr>
        <w:t xml:space="preserve"> </w:t>
      </w:r>
      <w:r>
        <w:rPr>
          <w:color w:val="231F20"/>
        </w:rPr>
        <w:t>Sazebníku</w:t>
      </w:r>
      <w:r>
        <w:rPr>
          <w:color w:val="231F20"/>
          <w:spacing w:val="-27"/>
        </w:rPr>
        <w:t xml:space="preserve"> </w:t>
      </w:r>
      <w:r>
        <w:rPr>
          <w:color w:val="231F20"/>
        </w:rPr>
        <w:t>administrativních</w:t>
      </w:r>
      <w:r>
        <w:rPr>
          <w:color w:val="231F20"/>
          <w:spacing w:val="-27"/>
        </w:rPr>
        <w:t xml:space="preserve"> </w:t>
      </w:r>
      <w:r>
        <w:rPr>
          <w:color w:val="231F20"/>
        </w:rPr>
        <w:t>poplatků</w:t>
      </w:r>
      <w:r>
        <w:rPr>
          <w:color w:val="231F20"/>
          <w:spacing w:val="-26"/>
        </w:rPr>
        <w:t xml:space="preserve"> </w:t>
      </w:r>
      <w:r>
        <w:rPr>
          <w:color w:val="231F20"/>
        </w:rPr>
        <w:t>uvádí</w:t>
      </w:r>
      <w:r>
        <w:rPr>
          <w:color w:val="231F20"/>
          <w:spacing w:val="-27"/>
        </w:rPr>
        <w:t xml:space="preserve"> </w:t>
      </w:r>
      <w:r>
        <w:rPr>
          <w:color w:val="231F20"/>
        </w:rPr>
        <w:t>Pojišťovna</w:t>
      </w:r>
      <w:r>
        <w:rPr>
          <w:color w:val="231F20"/>
          <w:spacing w:val="-27"/>
        </w:rPr>
        <w:t xml:space="preserve"> </w:t>
      </w:r>
      <w:r>
        <w:rPr>
          <w:color w:val="231F20"/>
        </w:rPr>
        <w:t>na</w:t>
      </w:r>
      <w:r>
        <w:rPr>
          <w:color w:val="231F20"/>
          <w:spacing w:val="-27"/>
        </w:rPr>
        <w:t xml:space="preserve"> </w:t>
      </w:r>
      <w:r>
        <w:rPr>
          <w:color w:val="231F20"/>
        </w:rPr>
        <w:t>svých</w:t>
      </w:r>
      <w:r>
        <w:rPr>
          <w:color w:val="231F20"/>
          <w:spacing w:val="-26"/>
        </w:rPr>
        <w:t xml:space="preserve"> </w:t>
      </w:r>
      <w:r>
        <w:rPr>
          <w:color w:val="231F20"/>
          <w:spacing w:val="-5"/>
        </w:rPr>
        <w:t xml:space="preserve">ob- </w:t>
      </w:r>
      <w:r>
        <w:rPr>
          <w:color w:val="231F20"/>
        </w:rPr>
        <w:t>chodních</w:t>
      </w:r>
      <w:r>
        <w:rPr>
          <w:color w:val="231F20"/>
          <w:spacing w:val="-29"/>
        </w:rPr>
        <w:t xml:space="preserve"> </w:t>
      </w:r>
      <w:r>
        <w:rPr>
          <w:color w:val="231F20"/>
        </w:rPr>
        <w:t>místech</w:t>
      </w:r>
      <w:r>
        <w:rPr>
          <w:color w:val="231F20"/>
          <w:spacing w:val="-29"/>
        </w:rPr>
        <w:t xml:space="preserve"> </w:t>
      </w:r>
      <w:r>
        <w:rPr>
          <w:color w:val="231F20"/>
          <w:spacing w:val="-3"/>
        </w:rPr>
        <w:t>popř.</w:t>
      </w:r>
      <w:r>
        <w:rPr>
          <w:color w:val="231F20"/>
          <w:spacing w:val="-28"/>
        </w:rPr>
        <w:t xml:space="preserve"> </w:t>
      </w:r>
      <w:r>
        <w:rPr>
          <w:color w:val="231F20"/>
        </w:rPr>
        <w:t>na</w:t>
      </w:r>
      <w:r>
        <w:rPr>
          <w:color w:val="231F20"/>
          <w:spacing w:val="-29"/>
        </w:rPr>
        <w:t xml:space="preserve"> </w:t>
      </w:r>
      <w:r>
        <w:rPr>
          <w:color w:val="231F20"/>
        </w:rPr>
        <w:t>svých</w:t>
      </w:r>
      <w:r>
        <w:rPr>
          <w:color w:val="231F20"/>
          <w:spacing w:val="-28"/>
        </w:rPr>
        <w:t xml:space="preserve"> </w:t>
      </w:r>
      <w:r>
        <w:rPr>
          <w:color w:val="231F20"/>
        </w:rPr>
        <w:t>internetových</w:t>
      </w:r>
      <w:r>
        <w:rPr>
          <w:color w:val="231F20"/>
          <w:spacing w:val="-29"/>
        </w:rPr>
        <w:t xml:space="preserve"> </w:t>
      </w:r>
      <w:r>
        <w:rPr>
          <w:color w:val="231F20"/>
        </w:rPr>
        <w:t>stránkách</w:t>
      </w:r>
      <w:r>
        <w:rPr>
          <w:color w:val="231F20"/>
          <w:spacing w:val="-29"/>
        </w:rPr>
        <w:t xml:space="preserve"> </w:t>
      </w:r>
      <w:r>
        <w:rPr>
          <w:color w:val="231F20"/>
        </w:rPr>
        <w:t>(www.generaliceska.cz). Seznamem</w:t>
      </w:r>
      <w:r>
        <w:rPr>
          <w:color w:val="231F20"/>
          <w:spacing w:val="-6"/>
        </w:rPr>
        <w:t xml:space="preserve"> </w:t>
      </w:r>
      <w:r>
        <w:rPr>
          <w:color w:val="231F20"/>
        </w:rPr>
        <w:t>pojištěných</w:t>
      </w:r>
      <w:r>
        <w:rPr>
          <w:color w:val="231F20"/>
          <w:spacing w:val="-6"/>
        </w:rPr>
        <w:t xml:space="preserve"> </w:t>
      </w:r>
      <w:r>
        <w:rPr>
          <w:color w:val="231F20"/>
        </w:rPr>
        <w:t>vozidel</w:t>
      </w:r>
      <w:r>
        <w:rPr>
          <w:color w:val="231F20"/>
          <w:spacing w:val="-6"/>
        </w:rPr>
        <w:t xml:space="preserve"> </w:t>
      </w:r>
      <w:r>
        <w:rPr>
          <w:color w:val="231F20"/>
        </w:rPr>
        <w:t>(dále</w:t>
      </w:r>
      <w:r>
        <w:rPr>
          <w:color w:val="231F20"/>
          <w:spacing w:val="-6"/>
        </w:rPr>
        <w:t xml:space="preserve"> </w:t>
      </w:r>
      <w:r>
        <w:rPr>
          <w:color w:val="231F20"/>
        </w:rPr>
        <w:t>jen</w:t>
      </w:r>
      <w:r>
        <w:rPr>
          <w:color w:val="231F20"/>
          <w:spacing w:val="-6"/>
        </w:rPr>
        <w:t xml:space="preserve"> </w:t>
      </w:r>
      <w:r>
        <w:rPr>
          <w:color w:val="231F20"/>
        </w:rPr>
        <w:t>„seznam</w:t>
      </w:r>
      <w:r>
        <w:rPr>
          <w:color w:val="231F20"/>
          <w:spacing w:val="-5"/>
        </w:rPr>
        <w:t xml:space="preserve"> </w:t>
      </w:r>
      <w:r>
        <w:rPr>
          <w:color w:val="231F20"/>
        </w:rPr>
        <w:t>vozidel“)</w:t>
      </w:r>
      <w:r>
        <w:rPr>
          <w:color w:val="231F20"/>
          <w:spacing w:val="-6"/>
        </w:rPr>
        <w:t xml:space="preserve"> </w:t>
      </w:r>
      <w:r>
        <w:rPr>
          <w:color w:val="231F20"/>
        </w:rPr>
        <w:t>se</w:t>
      </w:r>
      <w:r>
        <w:rPr>
          <w:color w:val="231F20"/>
          <w:spacing w:val="-6"/>
        </w:rPr>
        <w:t xml:space="preserve"> </w:t>
      </w:r>
      <w:r>
        <w:rPr>
          <w:color w:val="231F20"/>
        </w:rPr>
        <w:t>rozumí</w:t>
      </w:r>
      <w:r>
        <w:rPr>
          <w:color w:val="231F20"/>
          <w:spacing w:val="-6"/>
        </w:rPr>
        <w:t xml:space="preserve"> </w:t>
      </w:r>
      <w:r>
        <w:rPr>
          <w:color w:val="231F20"/>
        </w:rPr>
        <w:t>soupis</w:t>
      </w:r>
      <w:r>
        <w:rPr>
          <w:color w:val="231F20"/>
          <w:spacing w:val="-6"/>
        </w:rPr>
        <w:t xml:space="preserve"> </w:t>
      </w:r>
      <w:r>
        <w:rPr>
          <w:color w:val="231F20"/>
          <w:spacing w:val="-5"/>
        </w:rPr>
        <w:t xml:space="preserve">vo- </w:t>
      </w:r>
      <w:r>
        <w:rPr>
          <w:color w:val="231F20"/>
        </w:rPr>
        <w:t>zidel</w:t>
      </w:r>
      <w:r>
        <w:rPr>
          <w:color w:val="231F20"/>
          <w:spacing w:val="-25"/>
        </w:rPr>
        <w:t xml:space="preserve"> </w:t>
      </w:r>
      <w:r>
        <w:rPr>
          <w:color w:val="231F20"/>
        </w:rPr>
        <w:t>zařazených</w:t>
      </w:r>
      <w:r>
        <w:rPr>
          <w:color w:val="231F20"/>
          <w:spacing w:val="-25"/>
        </w:rPr>
        <w:t xml:space="preserve"> </w:t>
      </w:r>
      <w:r>
        <w:rPr>
          <w:color w:val="231F20"/>
        </w:rPr>
        <w:t>do</w:t>
      </w:r>
      <w:r>
        <w:rPr>
          <w:color w:val="231F20"/>
          <w:spacing w:val="-25"/>
        </w:rPr>
        <w:t xml:space="preserve"> </w:t>
      </w:r>
      <w:r>
        <w:rPr>
          <w:color w:val="231F20"/>
        </w:rPr>
        <w:t>pojištění</w:t>
      </w:r>
      <w:r>
        <w:rPr>
          <w:color w:val="231F20"/>
          <w:spacing w:val="-25"/>
        </w:rPr>
        <w:t xml:space="preserve"> </w:t>
      </w:r>
      <w:r>
        <w:rPr>
          <w:color w:val="231F20"/>
        </w:rPr>
        <w:t>obsahující</w:t>
      </w:r>
      <w:r>
        <w:rPr>
          <w:color w:val="231F20"/>
          <w:spacing w:val="-24"/>
        </w:rPr>
        <w:t xml:space="preserve"> </w:t>
      </w:r>
      <w:r>
        <w:rPr>
          <w:color w:val="231F20"/>
        </w:rPr>
        <w:t>zejména</w:t>
      </w:r>
      <w:r>
        <w:rPr>
          <w:color w:val="231F20"/>
          <w:spacing w:val="-25"/>
        </w:rPr>
        <w:t xml:space="preserve"> </w:t>
      </w:r>
      <w:r>
        <w:rPr>
          <w:color w:val="231F20"/>
        </w:rPr>
        <w:t>informace</w:t>
      </w:r>
      <w:r>
        <w:rPr>
          <w:color w:val="231F20"/>
          <w:spacing w:val="-25"/>
        </w:rPr>
        <w:t xml:space="preserve"> </w:t>
      </w:r>
      <w:r>
        <w:rPr>
          <w:color w:val="231F20"/>
        </w:rPr>
        <w:t>o</w:t>
      </w:r>
      <w:r>
        <w:rPr>
          <w:color w:val="231F20"/>
          <w:spacing w:val="-25"/>
        </w:rPr>
        <w:t xml:space="preserve"> </w:t>
      </w:r>
      <w:r>
        <w:rPr>
          <w:color w:val="231F20"/>
        </w:rPr>
        <w:t>vzniku,</w:t>
      </w:r>
      <w:r>
        <w:rPr>
          <w:color w:val="231F20"/>
          <w:spacing w:val="-24"/>
        </w:rPr>
        <w:t xml:space="preserve"> </w:t>
      </w:r>
      <w:r>
        <w:rPr>
          <w:color w:val="231F20"/>
        </w:rPr>
        <w:t>zániku,</w:t>
      </w:r>
      <w:r>
        <w:rPr>
          <w:color w:val="231F20"/>
          <w:spacing w:val="-25"/>
        </w:rPr>
        <w:t xml:space="preserve"> </w:t>
      </w:r>
      <w:r>
        <w:rPr>
          <w:color w:val="231F20"/>
          <w:spacing w:val="-4"/>
        </w:rPr>
        <w:t xml:space="preserve">druhu </w:t>
      </w:r>
      <w:r>
        <w:rPr>
          <w:color w:val="231F20"/>
        </w:rPr>
        <w:t>a rozsahu pojištění a identifikaci</w:t>
      </w:r>
      <w:r>
        <w:rPr>
          <w:color w:val="231F20"/>
          <w:spacing w:val="-9"/>
        </w:rPr>
        <w:t xml:space="preserve"> </w:t>
      </w:r>
      <w:r>
        <w:rPr>
          <w:color w:val="231F20"/>
        </w:rPr>
        <w:t>vozidel.</w:t>
      </w:r>
    </w:p>
    <w:p w14:paraId="3EA999AF" w14:textId="77777777" w:rsidR="00F65BCA" w:rsidRDefault="00216117">
      <w:pPr>
        <w:pStyle w:val="Zkladntext"/>
        <w:spacing w:line="278" w:lineRule="auto"/>
        <w:ind w:left="186" w:right="424"/>
        <w:jc w:val="both"/>
      </w:pPr>
      <w:r>
        <w:rPr>
          <w:color w:val="231F20"/>
        </w:rPr>
        <w:t>Smluvní půjčovnou Pojišťovny se rozumí fyzická nebo právnická osoba s</w:t>
      </w:r>
      <w:r>
        <w:rPr>
          <w:color w:val="231F20"/>
          <w:spacing w:val="-27"/>
        </w:rPr>
        <w:t xml:space="preserve"> </w:t>
      </w:r>
      <w:r>
        <w:rPr>
          <w:color w:val="231F20"/>
          <w:spacing w:val="-3"/>
        </w:rPr>
        <w:t xml:space="preserve">opráv- </w:t>
      </w:r>
      <w:r>
        <w:rPr>
          <w:color w:val="231F20"/>
        </w:rPr>
        <w:t>něním</w:t>
      </w:r>
      <w:r>
        <w:rPr>
          <w:color w:val="231F20"/>
          <w:spacing w:val="-19"/>
        </w:rPr>
        <w:t xml:space="preserve"> </w:t>
      </w:r>
      <w:r>
        <w:rPr>
          <w:color w:val="231F20"/>
        </w:rPr>
        <w:t>podnikat</w:t>
      </w:r>
      <w:r>
        <w:rPr>
          <w:color w:val="231F20"/>
          <w:spacing w:val="-18"/>
        </w:rPr>
        <w:t xml:space="preserve"> </w:t>
      </w:r>
      <w:r>
        <w:rPr>
          <w:color w:val="231F20"/>
        </w:rPr>
        <w:t>v</w:t>
      </w:r>
      <w:r>
        <w:rPr>
          <w:color w:val="231F20"/>
          <w:spacing w:val="-18"/>
        </w:rPr>
        <w:t xml:space="preserve"> </w:t>
      </w:r>
      <w:r>
        <w:rPr>
          <w:color w:val="231F20"/>
        </w:rPr>
        <w:t>oboru</w:t>
      </w:r>
      <w:r>
        <w:rPr>
          <w:color w:val="231F20"/>
          <w:spacing w:val="-19"/>
        </w:rPr>
        <w:t xml:space="preserve"> </w:t>
      </w:r>
      <w:r>
        <w:rPr>
          <w:color w:val="231F20"/>
        </w:rPr>
        <w:t>půjčování</w:t>
      </w:r>
      <w:r>
        <w:rPr>
          <w:color w:val="231F20"/>
          <w:spacing w:val="-18"/>
        </w:rPr>
        <w:t xml:space="preserve"> </w:t>
      </w:r>
      <w:r>
        <w:rPr>
          <w:color w:val="231F20"/>
        </w:rPr>
        <w:t>silničních</w:t>
      </w:r>
      <w:r>
        <w:rPr>
          <w:color w:val="231F20"/>
          <w:spacing w:val="-18"/>
        </w:rPr>
        <w:t xml:space="preserve"> </w:t>
      </w:r>
      <w:r>
        <w:rPr>
          <w:color w:val="231F20"/>
        </w:rPr>
        <w:t>vozidel,</w:t>
      </w:r>
      <w:r>
        <w:rPr>
          <w:color w:val="231F20"/>
          <w:spacing w:val="-19"/>
        </w:rPr>
        <w:t xml:space="preserve"> </w:t>
      </w:r>
      <w:r>
        <w:rPr>
          <w:color w:val="231F20"/>
        </w:rPr>
        <w:t>která</w:t>
      </w:r>
      <w:r>
        <w:rPr>
          <w:color w:val="231F20"/>
          <w:spacing w:val="-18"/>
        </w:rPr>
        <w:t xml:space="preserve"> </w:t>
      </w:r>
      <w:r>
        <w:rPr>
          <w:color w:val="231F20"/>
        </w:rPr>
        <w:t>spolupracuje</w:t>
      </w:r>
      <w:r>
        <w:rPr>
          <w:color w:val="231F20"/>
          <w:spacing w:val="-18"/>
        </w:rPr>
        <w:t xml:space="preserve"> </w:t>
      </w:r>
      <w:r>
        <w:rPr>
          <w:color w:val="231F20"/>
        </w:rPr>
        <w:t>s</w:t>
      </w:r>
      <w:r>
        <w:rPr>
          <w:color w:val="231F20"/>
          <w:spacing w:val="-19"/>
        </w:rPr>
        <w:t xml:space="preserve"> </w:t>
      </w:r>
      <w:r>
        <w:rPr>
          <w:color w:val="231F20"/>
          <w:spacing w:val="-3"/>
        </w:rPr>
        <w:t xml:space="preserve">Pojišťov- </w:t>
      </w:r>
      <w:r>
        <w:rPr>
          <w:color w:val="231F20"/>
        </w:rPr>
        <w:t>nou</w:t>
      </w:r>
      <w:r>
        <w:rPr>
          <w:color w:val="231F20"/>
          <w:spacing w:val="-20"/>
        </w:rPr>
        <w:t xml:space="preserve"> </w:t>
      </w:r>
      <w:r>
        <w:rPr>
          <w:color w:val="231F20"/>
        </w:rPr>
        <w:t>na</w:t>
      </w:r>
      <w:r>
        <w:rPr>
          <w:color w:val="231F20"/>
          <w:spacing w:val="-20"/>
        </w:rPr>
        <w:t xml:space="preserve"> </w:t>
      </w:r>
      <w:r>
        <w:rPr>
          <w:color w:val="231F20"/>
        </w:rPr>
        <w:t>základě</w:t>
      </w:r>
      <w:r>
        <w:rPr>
          <w:color w:val="231F20"/>
          <w:spacing w:val="-20"/>
        </w:rPr>
        <w:t xml:space="preserve"> </w:t>
      </w:r>
      <w:r>
        <w:rPr>
          <w:color w:val="231F20"/>
        </w:rPr>
        <w:t>smluvního</w:t>
      </w:r>
      <w:r>
        <w:rPr>
          <w:color w:val="231F20"/>
          <w:spacing w:val="-20"/>
        </w:rPr>
        <w:t xml:space="preserve"> </w:t>
      </w:r>
      <w:r>
        <w:rPr>
          <w:color w:val="231F20"/>
        </w:rPr>
        <w:t>vztahu.</w:t>
      </w:r>
      <w:r>
        <w:rPr>
          <w:color w:val="231F20"/>
          <w:spacing w:val="-20"/>
        </w:rPr>
        <w:t xml:space="preserve"> </w:t>
      </w:r>
      <w:r>
        <w:rPr>
          <w:color w:val="231F20"/>
        </w:rPr>
        <w:t>Smluvní</w:t>
      </w:r>
      <w:r>
        <w:rPr>
          <w:color w:val="231F20"/>
          <w:spacing w:val="-19"/>
        </w:rPr>
        <w:t xml:space="preserve"> </w:t>
      </w:r>
      <w:r>
        <w:rPr>
          <w:color w:val="231F20"/>
        </w:rPr>
        <w:t>půjčovnu</w:t>
      </w:r>
      <w:r>
        <w:rPr>
          <w:color w:val="231F20"/>
          <w:spacing w:val="-20"/>
        </w:rPr>
        <w:t xml:space="preserve"> </w:t>
      </w:r>
      <w:r>
        <w:rPr>
          <w:color w:val="231F20"/>
        </w:rPr>
        <w:t>lze</w:t>
      </w:r>
      <w:r>
        <w:rPr>
          <w:color w:val="231F20"/>
          <w:spacing w:val="-20"/>
        </w:rPr>
        <w:t xml:space="preserve"> </w:t>
      </w:r>
      <w:r>
        <w:rPr>
          <w:color w:val="231F20"/>
        </w:rPr>
        <w:t>vyhledat</w:t>
      </w:r>
      <w:r>
        <w:rPr>
          <w:color w:val="231F20"/>
          <w:spacing w:val="-20"/>
        </w:rPr>
        <w:t xml:space="preserve"> </w:t>
      </w:r>
      <w:r>
        <w:rPr>
          <w:color w:val="231F20"/>
        </w:rPr>
        <w:t>na</w:t>
      </w:r>
      <w:r>
        <w:rPr>
          <w:color w:val="231F20"/>
          <w:spacing w:val="-20"/>
        </w:rPr>
        <w:t xml:space="preserve"> </w:t>
      </w:r>
      <w:r>
        <w:rPr>
          <w:color w:val="231F20"/>
        </w:rPr>
        <w:t>internetových stránkách</w:t>
      </w:r>
      <w:r>
        <w:rPr>
          <w:color w:val="231F20"/>
          <w:spacing w:val="-17"/>
        </w:rPr>
        <w:t xml:space="preserve"> </w:t>
      </w:r>
      <w:r>
        <w:rPr>
          <w:color w:val="231F20"/>
        </w:rPr>
        <w:t>Pojišťovny</w:t>
      </w:r>
      <w:r>
        <w:rPr>
          <w:color w:val="231F20"/>
          <w:spacing w:val="-16"/>
        </w:rPr>
        <w:t xml:space="preserve"> </w:t>
      </w:r>
      <w:r>
        <w:rPr>
          <w:color w:val="231F20"/>
        </w:rPr>
        <w:t>nebo</w:t>
      </w:r>
      <w:r>
        <w:rPr>
          <w:color w:val="231F20"/>
          <w:spacing w:val="-17"/>
        </w:rPr>
        <w:t xml:space="preserve"> </w:t>
      </w:r>
      <w:r>
        <w:rPr>
          <w:color w:val="231F20"/>
        </w:rPr>
        <w:t>dotazem</w:t>
      </w:r>
      <w:r>
        <w:rPr>
          <w:color w:val="231F20"/>
          <w:spacing w:val="-16"/>
        </w:rPr>
        <w:t xml:space="preserve"> </w:t>
      </w:r>
      <w:r>
        <w:rPr>
          <w:color w:val="231F20"/>
        </w:rPr>
        <w:t>na</w:t>
      </w:r>
      <w:r>
        <w:rPr>
          <w:color w:val="231F20"/>
          <w:spacing w:val="-17"/>
        </w:rPr>
        <w:t xml:space="preserve"> </w:t>
      </w:r>
      <w:r>
        <w:rPr>
          <w:color w:val="231F20"/>
        </w:rPr>
        <w:t>infolince</w:t>
      </w:r>
      <w:r>
        <w:rPr>
          <w:color w:val="231F20"/>
          <w:spacing w:val="-16"/>
        </w:rPr>
        <w:t xml:space="preserve"> </w:t>
      </w:r>
      <w:r>
        <w:rPr>
          <w:color w:val="231F20"/>
        </w:rPr>
        <w:t>klientského</w:t>
      </w:r>
      <w:r>
        <w:rPr>
          <w:color w:val="231F20"/>
          <w:spacing w:val="-17"/>
        </w:rPr>
        <w:t xml:space="preserve"> </w:t>
      </w:r>
      <w:r>
        <w:rPr>
          <w:color w:val="231F20"/>
        </w:rPr>
        <w:t>servisu</w:t>
      </w:r>
      <w:r>
        <w:rPr>
          <w:color w:val="231F20"/>
          <w:spacing w:val="-16"/>
        </w:rPr>
        <w:t xml:space="preserve"> </w:t>
      </w:r>
      <w:r>
        <w:rPr>
          <w:color w:val="231F20"/>
        </w:rPr>
        <w:t>Pojišťovny.</w:t>
      </w:r>
    </w:p>
    <w:p w14:paraId="0B79B65A" w14:textId="77777777" w:rsidR="00F65BCA" w:rsidRDefault="00F65BCA">
      <w:pPr>
        <w:spacing w:line="278" w:lineRule="auto"/>
        <w:jc w:val="both"/>
        <w:sectPr w:rsidR="00F65BCA">
          <w:type w:val="continuous"/>
          <w:pgSz w:w="11910" w:h="16840"/>
          <w:pgMar w:top="840" w:right="140" w:bottom="280" w:left="140" w:header="708" w:footer="708" w:gutter="0"/>
          <w:cols w:num="2" w:space="708" w:equalWidth="0">
            <w:col w:w="5701" w:space="40"/>
            <w:col w:w="5889"/>
          </w:cols>
        </w:sectPr>
      </w:pPr>
    </w:p>
    <w:p w14:paraId="57556420" w14:textId="77777777" w:rsidR="00F65BCA" w:rsidRDefault="00000000">
      <w:pPr>
        <w:pStyle w:val="Zkladntext"/>
        <w:spacing w:before="75" w:line="278" w:lineRule="auto"/>
        <w:ind w:left="426"/>
        <w:jc w:val="both"/>
      </w:pPr>
      <w:r>
        <w:lastRenderedPageBreak/>
        <w:pict w14:anchorId="6E1F329B">
          <v:group id="_x0000_s2302" style="position:absolute;left:0;text-align:left;margin-left:0;margin-top:807.85pt;width:595.3pt;height:34.05pt;z-index:251837440;mso-position-horizontal-relative:page;mso-position-vertical-relative:page" coordorigin=",16157" coordsize="11906,681">
            <v:rect id="_x0000_s2305" style="position:absolute;top:16157;width:11906;height:681" fillcolor="#dcddde" stroked="f"/>
            <v:shape id="_x0000_s2304" type="#_x0000_t202" style="position:absolute;left:1020;top:16477;width:1414;height:164" filled="f" stroked="f">
              <v:textbox inset="0,0,0,0">
                <w:txbxContent>
                  <w:p w14:paraId="0DEF7EB8" w14:textId="77777777" w:rsidR="00F65BCA" w:rsidRDefault="00216117">
                    <w:pPr>
                      <w:spacing w:before="2"/>
                      <w:rPr>
                        <w:sz w:val="14"/>
                      </w:rPr>
                    </w:pPr>
                    <w:r>
                      <w:rPr>
                        <w:color w:val="231F20"/>
                        <w:sz w:val="14"/>
                      </w:rPr>
                      <w:t>6.20.012 05.2025 v04</w:t>
                    </w:r>
                  </w:p>
                </w:txbxContent>
              </v:textbox>
            </v:shape>
            <v:shape id="_x0000_s2303" type="#_x0000_t202" style="position:absolute;left:5679;top:16420;width:5453;height:234" filled="f" stroked="f">
              <v:textbox inset="0,0,0,0">
                <w:txbxContent>
                  <w:p w14:paraId="34EF65D1" w14:textId="77777777" w:rsidR="00F65BCA" w:rsidRDefault="00216117">
                    <w:pPr>
                      <w:spacing w:before="3"/>
                      <w:rPr>
                        <w:sz w:val="16"/>
                      </w:rPr>
                    </w:pPr>
                    <w:r>
                      <w:rPr>
                        <w:color w:val="231F20"/>
                        <w:sz w:val="16"/>
                      </w:rPr>
                      <w:t xml:space="preserve">Všeobecné pojistné podmínky pro pojištění vozidel VPPPMV-F-5/2025 </w:t>
                    </w:r>
                    <w:r>
                      <w:rPr>
                        <w:color w:val="6D6E71"/>
                        <w:sz w:val="20"/>
                      </w:rPr>
                      <w:t xml:space="preserve">| </w:t>
                    </w:r>
                    <w:r>
                      <w:rPr>
                        <w:color w:val="231F20"/>
                        <w:sz w:val="16"/>
                      </w:rPr>
                      <w:t>15</w:t>
                    </w:r>
                  </w:p>
                </w:txbxContent>
              </v:textbox>
            </v:shape>
            <w10:wrap anchorx="page" anchory="page"/>
          </v:group>
        </w:pict>
      </w:r>
      <w:r w:rsidR="00216117">
        <w:rPr>
          <w:color w:val="231F20"/>
        </w:rPr>
        <w:t>Smluvním</w:t>
      </w:r>
      <w:r w:rsidR="00216117">
        <w:rPr>
          <w:color w:val="231F20"/>
          <w:spacing w:val="-8"/>
        </w:rPr>
        <w:t xml:space="preserve"> </w:t>
      </w:r>
      <w:r w:rsidR="00216117">
        <w:rPr>
          <w:color w:val="231F20"/>
        </w:rPr>
        <w:t>servisem</w:t>
      </w:r>
      <w:r w:rsidR="00216117">
        <w:rPr>
          <w:color w:val="231F20"/>
          <w:spacing w:val="-8"/>
        </w:rPr>
        <w:t xml:space="preserve"> </w:t>
      </w:r>
      <w:r w:rsidR="00216117">
        <w:rPr>
          <w:color w:val="231F20"/>
        </w:rPr>
        <w:t>Pojišťovny</w:t>
      </w:r>
      <w:r w:rsidR="00216117">
        <w:rPr>
          <w:color w:val="231F20"/>
          <w:spacing w:val="-7"/>
        </w:rPr>
        <w:t xml:space="preserve"> </w:t>
      </w:r>
      <w:r w:rsidR="00216117">
        <w:rPr>
          <w:color w:val="231F20"/>
        </w:rPr>
        <w:t>se</w:t>
      </w:r>
      <w:r w:rsidR="00216117">
        <w:rPr>
          <w:color w:val="231F20"/>
          <w:spacing w:val="-8"/>
        </w:rPr>
        <w:t xml:space="preserve"> </w:t>
      </w:r>
      <w:r w:rsidR="00216117">
        <w:rPr>
          <w:color w:val="231F20"/>
        </w:rPr>
        <w:t>rozumí</w:t>
      </w:r>
      <w:r w:rsidR="00216117">
        <w:rPr>
          <w:color w:val="231F20"/>
          <w:spacing w:val="-8"/>
        </w:rPr>
        <w:t xml:space="preserve"> </w:t>
      </w:r>
      <w:r w:rsidR="00216117">
        <w:rPr>
          <w:color w:val="231F20"/>
        </w:rPr>
        <w:t>fyzická</w:t>
      </w:r>
      <w:r w:rsidR="00216117">
        <w:rPr>
          <w:color w:val="231F20"/>
          <w:spacing w:val="-7"/>
        </w:rPr>
        <w:t xml:space="preserve"> </w:t>
      </w:r>
      <w:r w:rsidR="00216117">
        <w:rPr>
          <w:color w:val="231F20"/>
        </w:rPr>
        <w:t>nebo</w:t>
      </w:r>
      <w:r w:rsidR="00216117">
        <w:rPr>
          <w:color w:val="231F20"/>
          <w:spacing w:val="-8"/>
        </w:rPr>
        <w:t xml:space="preserve"> </w:t>
      </w:r>
      <w:r w:rsidR="00216117">
        <w:rPr>
          <w:color w:val="231F20"/>
        </w:rPr>
        <w:t>právnická</w:t>
      </w:r>
      <w:r w:rsidR="00216117">
        <w:rPr>
          <w:color w:val="231F20"/>
          <w:spacing w:val="-7"/>
        </w:rPr>
        <w:t xml:space="preserve"> </w:t>
      </w:r>
      <w:r w:rsidR="00216117">
        <w:rPr>
          <w:color w:val="231F20"/>
        </w:rPr>
        <w:t>osoba</w:t>
      </w:r>
      <w:r w:rsidR="00216117">
        <w:rPr>
          <w:color w:val="231F20"/>
          <w:spacing w:val="-8"/>
        </w:rPr>
        <w:t xml:space="preserve"> </w:t>
      </w:r>
      <w:r w:rsidR="00216117">
        <w:rPr>
          <w:color w:val="231F20"/>
        </w:rPr>
        <w:t>s</w:t>
      </w:r>
      <w:r w:rsidR="00216117">
        <w:rPr>
          <w:color w:val="231F20"/>
          <w:spacing w:val="-8"/>
        </w:rPr>
        <w:t xml:space="preserve"> </w:t>
      </w:r>
      <w:r w:rsidR="00216117">
        <w:rPr>
          <w:color w:val="231F20"/>
        </w:rPr>
        <w:t>opráv- něním</w:t>
      </w:r>
      <w:r w:rsidR="00216117">
        <w:rPr>
          <w:color w:val="231F20"/>
          <w:spacing w:val="-22"/>
        </w:rPr>
        <w:t xml:space="preserve"> </w:t>
      </w:r>
      <w:r w:rsidR="00216117">
        <w:rPr>
          <w:color w:val="231F20"/>
        </w:rPr>
        <w:t>podnikat</w:t>
      </w:r>
      <w:r w:rsidR="00216117">
        <w:rPr>
          <w:color w:val="231F20"/>
          <w:spacing w:val="-22"/>
        </w:rPr>
        <w:t xml:space="preserve"> </w:t>
      </w:r>
      <w:r w:rsidR="00216117">
        <w:rPr>
          <w:color w:val="231F20"/>
        </w:rPr>
        <w:t>v</w:t>
      </w:r>
      <w:r w:rsidR="00216117">
        <w:rPr>
          <w:color w:val="231F20"/>
          <w:spacing w:val="-22"/>
        </w:rPr>
        <w:t xml:space="preserve"> </w:t>
      </w:r>
      <w:r w:rsidR="00216117">
        <w:rPr>
          <w:color w:val="231F20"/>
        </w:rPr>
        <w:t>oboru</w:t>
      </w:r>
      <w:r w:rsidR="00216117">
        <w:rPr>
          <w:color w:val="231F20"/>
          <w:spacing w:val="-22"/>
        </w:rPr>
        <w:t xml:space="preserve"> </w:t>
      </w:r>
      <w:r w:rsidR="00216117">
        <w:rPr>
          <w:color w:val="231F20"/>
        </w:rPr>
        <w:t>opravy</w:t>
      </w:r>
      <w:r w:rsidR="00216117">
        <w:rPr>
          <w:color w:val="231F20"/>
          <w:spacing w:val="-22"/>
        </w:rPr>
        <w:t xml:space="preserve"> </w:t>
      </w:r>
      <w:r w:rsidR="00216117">
        <w:rPr>
          <w:color w:val="231F20"/>
        </w:rPr>
        <w:t>silničních</w:t>
      </w:r>
      <w:r w:rsidR="00216117">
        <w:rPr>
          <w:color w:val="231F20"/>
          <w:spacing w:val="-22"/>
        </w:rPr>
        <w:t xml:space="preserve"> </w:t>
      </w:r>
      <w:r w:rsidR="00216117">
        <w:rPr>
          <w:color w:val="231F20"/>
        </w:rPr>
        <w:t>vozidel,</w:t>
      </w:r>
      <w:r w:rsidR="00216117">
        <w:rPr>
          <w:color w:val="231F20"/>
          <w:spacing w:val="-21"/>
        </w:rPr>
        <w:t xml:space="preserve"> </w:t>
      </w:r>
      <w:r w:rsidR="00216117">
        <w:rPr>
          <w:color w:val="231F20"/>
        </w:rPr>
        <w:t>která</w:t>
      </w:r>
      <w:r w:rsidR="00216117">
        <w:rPr>
          <w:color w:val="231F20"/>
          <w:spacing w:val="-22"/>
        </w:rPr>
        <w:t xml:space="preserve"> </w:t>
      </w:r>
      <w:r w:rsidR="00216117">
        <w:rPr>
          <w:color w:val="231F20"/>
        </w:rPr>
        <w:t>spolupracuje</w:t>
      </w:r>
      <w:r w:rsidR="00216117">
        <w:rPr>
          <w:color w:val="231F20"/>
          <w:spacing w:val="-22"/>
        </w:rPr>
        <w:t xml:space="preserve"> </w:t>
      </w:r>
      <w:r w:rsidR="00216117">
        <w:rPr>
          <w:color w:val="231F20"/>
        </w:rPr>
        <w:t>s</w:t>
      </w:r>
      <w:r w:rsidR="00216117">
        <w:rPr>
          <w:color w:val="231F20"/>
          <w:spacing w:val="-22"/>
        </w:rPr>
        <w:t xml:space="preserve"> </w:t>
      </w:r>
      <w:r w:rsidR="00216117">
        <w:rPr>
          <w:color w:val="231F20"/>
        </w:rPr>
        <w:t>Pojišťovnou na</w:t>
      </w:r>
      <w:r w:rsidR="00216117">
        <w:rPr>
          <w:color w:val="231F20"/>
          <w:spacing w:val="-12"/>
        </w:rPr>
        <w:t xml:space="preserve"> </w:t>
      </w:r>
      <w:r w:rsidR="00216117">
        <w:rPr>
          <w:color w:val="231F20"/>
        </w:rPr>
        <w:t>základě</w:t>
      </w:r>
      <w:r w:rsidR="00216117">
        <w:rPr>
          <w:color w:val="231F20"/>
          <w:spacing w:val="-11"/>
        </w:rPr>
        <w:t xml:space="preserve"> </w:t>
      </w:r>
      <w:r w:rsidR="00216117">
        <w:rPr>
          <w:color w:val="231F20"/>
        </w:rPr>
        <w:t>smluvního</w:t>
      </w:r>
      <w:r w:rsidR="00216117">
        <w:rPr>
          <w:color w:val="231F20"/>
          <w:spacing w:val="-11"/>
        </w:rPr>
        <w:t xml:space="preserve"> </w:t>
      </w:r>
      <w:r w:rsidR="00216117">
        <w:rPr>
          <w:color w:val="231F20"/>
        </w:rPr>
        <w:t>vztahu.</w:t>
      </w:r>
      <w:r w:rsidR="00216117">
        <w:rPr>
          <w:color w:val="231F20"/>
          <w:spacing w:val="-11"/>
        </w:rPr>
        <w:t xml:space="preserve"> </w:t>
      </w:r>
      <w:r w:rsidR="00216117">
        <w:rPr>
          <w:color w:val="231F20"/>
        </w:rPr>
        <w:t>Smluvní</w:t>
      </w:r>
      <w:r w:rsidR="00216117">
        <w:rPr>
          <w:color w:val="231F20"/>
          <w:spacing w:val="-12"/>
        </w:rPr>
        <w:t xml:space="preserve"> </w:t>
      </w:r>
      <w:r w:rsidR="00216117">
        <w:rPr>
          <w:color w:val="231F20"/>
        </w:rPr>
        <w:t>servis</w:t>
      </w:r>
      <w:r w:rsidR="00216117">
        <w:rPr>
          <w:color w:val="231F20"/>
          <w:spacing w:val="-11"/>
        </w:rPr>
        <w:t xml:space="preserve"> </w:t>
      </w:r>
      <w:r w:rsidR="00216117">
        <w:rPr>
          <w:color w:val="231F20"/>
        </w:rPr>
        <w:t>lze</w:t>
      </w:r>
      <w:r w:rsidR="00216117">
        <w:rPr>
          <w:color w:val="231F20"/>
          <w:spacing w:val="-11"/>
        </w:rPr>
        <w:t xml:space="preserve"> </w:t>
      </w:r>
      <w:r w:rsidR="00216117">
        <w:rPr>
          <w:color w:val="231F20"/>
        </w:rPr>
        <w:t>vyhledat</w:t>
      </w:r>
      <w:r w:rsidR="00216117">
        <w:rPr>
          <w:color w:val="231F20"/>
          <w:spacing w:val="-11"/>
        </w:rPr>
        <w:t xml:space="preserve"> </w:t>
      </w:r>
      <w:r w:rsidR="00216117">
        <w:rPr>
          <w:color w:val="231F20"/>
        </w:rPr>
        <w:t>na</w:t>
      </w:r>
      <w:r w:rsidR="00216117">
        <w:rPr>
          <w:color w:val="231F20"/>
          <w:spacing w:val="-11"/>
        </w:rPr>
        <w:t xml:space="preserve"> </w:t>
      </w:r>
      <w:r w:rsidR="00216117">
        <w:rPr>
          <w:color w:val="231F20"/>
        </w:rPr>
        <w:t>internetových</w:t>
      </w:r>
      <w:r w:rsidR="00216117">
        <w:rPr>
          <w:color w:val="231F20"/>
          <w:spacing w:val="-12"/>
        </w:rPr>
        <w:t xml:space="preserve"> </w:t>
      </w:r>
      <w:r w:rsidR="00216117">
        <w:rPr>
          <w:color w:val="231F20"/>
          <w:spacing w:val="-3"/>
        </w:rPr>
        <w:t xml:space="preserve">strán- </w:t>
      </w:r>
      <w:r w:rsidR="00216117">
        <w:rPr>
          <w:color w:val="231F20"/>
        </w:rPr>
        <w:t>kách</w:t>
      </w:r>
      <w:r w:rsidR="00216117">
        <w:rPr>
          <w:color w:val="231F20"/>
          <w:spacing w:val="-10"/>
        </w:rPr>
        <w:t xml:space="preserve"> </w:t>
      </w:r>
      <w:r w:rsidR="00216117">
        <w:rPr>
          <w:color w:val="231F20"/>
        </w:rPr>
        <w:t>Pojišťovny</w:t>
      </w:r>
      <w:r w:rsidR="00216117">
        <w:rPr>
          <w:color w:val="231F20"/>
          <w:spacing w:val="-10"/>
        </w:rPr>
        <w:t xml:space="preserve"> </w:t>
      </w:r>
      <w:r w:rsidR="00216117">
        <w:rPr>
          <w:color w:val="231F20"/>
        </w:rPr>
        <w:t>nebo</w:t>
      </w:r>
      <w:r w:rsidR="00216117">
        <w:rPr>
          <w:color w:val="231F20"/>
          <w:spacing w:val="-10"/>
        </w:rPr>
        <w:t xml:space="preserve"> </w:t>
      </w:r>
      <w:r w:rsidR="00216117">
        <w:rPr>
          <w:color w:val="231F20"/>
        </w:rPr>
        <w:t>dotazem</w:t>
      </w:r>
      <w:r w:rsidR="00216117">
        <w:rPr>
          <w:color w:val="231F20"/>
          <w:spacing w:val="-10"/>
        </w:rPr>
        <w:t xml:space="preserve"> </w:t>
      </w:r>
      <w:r w:rsidR="00216117">
        <w:rPr>
          <w:color w:val="231F20"/>
        </w:rPr>
        <w:t>na</w:t>
      </w:r>
      <w:r w:rsidR="00216117">
        <w:rPr>
          <w:color w:val="231F20"/>
          <w:spacing w:val="-10"/>
        </w:rPr>
        <w:t xml:space="preserve"> </w:t>
      </w:r>
      <w:r w:rsidR="00216117">
        <w:rPr>
          <w:color w:val="231F20"/>
        </w:rPr>
        <w:t>infolince</w:t>
      </w:r>
      <w:r w:rsidR="00216117">
        <w:rPr>
          <w:color w:val="231F20"/>
          <w:spacing w:val="-10"/>
        </w:rPr>
        <w:t xml:space="preserve"> </w:t>
      </w:r>
      <w:r w:rsidR="00216117">
        <w:rPr>
          <w:color w:val="231F20"/>
        </w:rPr>
        <w:t>klientského</w:t>
      </w:r>
      <w:r w:rsidR="00216117">
        <w:rPr>
          <w:color w:val="231F20"/>
          <w:spacing w:val="-10"/>
        </w:rPr>
        <w:t xml:space="preserve"> </w:t>
      </w:r>
      <w:r w:rsidR="00216117">
        <w:rPr>
          <w:color w:val="231F20"/>
        </w:rPr>
        <w:t>servisu</w:t>
      </w:r>
      <w:r w:rsidR="00216117">
        <w:rPr>
          <w:color w:val="231F20"/>
          <w:spacing w:val="-10"/>
        </w:rPr>
        <w:t xml:space="preserve"> </w:t>
      </w:r>
      <w:r w:rsidR="00216117">
        <w:rPr>
          <w:color w:val="231F20"/>
        </w:rPr>
        <w:t>Pojišťovny.</w:t>
      </w:r>
    </w:p>
    <w:p w14:paraId="01EEF9C5" w14:textId="77777777" w:rsidR="00F65BCA" w:rsidRDefault="00216117">
      <w:pPr>
        <w:pStyle w:val="Zkladntext"/>
        <w:spacing w:line="278" w:lineRule="auto"/>
        <w:ind w:left="426" w:right="1"/>
        <w:jc w:val="both"/>
      </w:pPr>
      <w:r>
        <w:rPr>
          <w:color w:val="231F20"/>
        </w:rPr>
        <w:t>Standardní</w:t>
      </w:r>
      <w:r>
        <w:rPr>
          <w:color w:val="231F20"/>
          <w:spacing w:val="-13"/>
        </w:rPr>
        <w:t xml:space="preserve"> </w:t>
      </w:r>
      <w:r>
        <w:rPr>
          <w:color w:val="231F20"/>
        </w:rPr>
        <w:t>(sériovou)</w:t>
      </w:r>
      <w:r>
        <w:rPr>
          <w:color w:val="231F20"/>
          <w:spacing w:val="-12"/>
        </w:rPr>
        <w:t xml:space="preserve"> </w:t>
      </w:r>
      <w:r>
        <w:rPr>
          <w:color w:val="231F20"/>
        </w:rPr>
        <w:t>výbavou</w:t>
      </w:r>
      <w:r>
        <w:rPr>
          <w:color w:val="231F20"/>
          <w:spacing w:val="-12"/>
        </w:rPr>
        <w:t xml:space="preserve"> </w:t>
      </w:r>
      <w:r>
        <w:rPr>
          <w:color w:val="231F20"/>
        </w:rPr>
        <w:t>se</w:t>
      </w:r>
      <w:r>
        <w:rPr>
          <w:color w:val="231F20"/>
          <w:spacing w:val="-13"/>
        </w:rPr>
        <w:t xml:space="preserve"> </w:t>
      </w:r>
      <w:r>
        <w:rPr>
          <w:color w:val="231F20"/>
        </w:rPr>
        <w:t>rozumí</w:t>
      </w:r>
      <w:r>
        <w:rPr>
          <w:color w:val="231F20"/>
          <w:spacing w:val="-12"/>
        </w:rPr>
        <w:t xml:space="preserve"> </w:t>
      </w:r>
      <w:r>
        <w:rPr>
          <w:color w:val="231F20"/>
        </w:rPr>
        <w:t>výbava</w:t>
      </w:r>
      <w:r>
        <w:rPr>
          <w:color w:val="231F20"/>
          <w:spacing w:val="-12"/>
        </w:rPr>
        <w:t xml:space="preserve"> </w:t>
      </w:r>
      <w:r>
        <w:rPr>
          <w:color w:val="231F20"/>
        </w:rPr>
        <w:t>dodávaná</w:t>
      </w:r>
      <w:r>
        <w:rPr>
          <w:color w:val="231F20"/>
          <w:spacing w:val="-12"/>
        </w:rPr>
        <w:t xml:space="preserve"> </w:t>
      </w:r>
      <w:r>
        <w:rPr>
          <w:color w:val="231F20"/>
        </w:rPr>
        <w:t>výrobcem</w:t>
      </w:r>
      <w:r>
        <w:rPr>
          <w:color w:val="231F20"/>
          <w:spacing w:val="-13"/>
        </w:rPr>
        <w:t xml:space="preserve"> </w:t>
      </w:r>
      <w:r>
        <w:rPr>
          <w:color w:val="231F20"/>
        </w:rPr>
        <w:t>do</w:t>
      </w:r>
      <w:r>
        <w:rPr>
          <w:color w:val="231F20"/>
          <w:spacing w:val="-12"/>
        </w:rPr>
        <w:t xml:space="preserve"> </w:t>
      </w:r>
      <w:r>
        <w:rPr>
          <w:color w:val="231F20"/>
        </w:rPr>
        <w:t>vozidla bez</w:t>
      </w:r>
      <w:r>
        <w:rPr>
          <w:color w:val="231F20"/>
          <w:spacing w:val="-30"/>
        </w:rPr>
        <w:t xml:space="preserve"> </w:t>
      </w:r>
      <w:r>
        <w:rPr>
          <w:color w:val="231F20"/>
        </w:rPr>
        <w:t>příplatku</w:t>
      </w:r>
      <w:r>
        <w:rPr>
          <w:color w:val="231F20"/>
          <w:spacing w:val="-29"/>
        </w:rPr>
        <w:t xml:space="preserve"> </w:t>
      </w:r>
      <w:r>
        <w:rPr>
          <w:color w:val="231F20"/>
        </w:rPr>
        <w:t>k</w:t>
      </w:r>
      <w:r>
        <w:rPr>
          <w:color w:val="231F20"/>
          <w:spacing w:val="-29"/>
        </w:rPr>
        <w:t xml:space="preserve"> </w:t>
      </w:r>
      <w:r>
        <w:rPr>
          <w:color w:val="231F20"/>
        </w:rPr>
        <w:t>základní</w:t>
      </w:r>
      <w:r>
        <w:rPr>
          <w:color w:val="231F20"/>
          <w:spacing w:val="-29"/>
        </w:rPr>
        <w:t xml:space="preserve"> </w:t>
      </w:r>
      <w:r>
        <w:rPr>
          <w:color w:val="231F20"/>
        </w:rPr>
        <w:t>(ceníkové)</w:t>
      </w:r>
      <w:r>
        <w:rPr>
          <w:color w:val="231F20"/>
          <w:spacing w:val="-29"/>
        </w:rPr>
        <w:t xml:space="preserve"> </w:t>
      </w:r>
      <w:r>
        <w:rPr>
          <w:color w:val="231F20"/>
        </w:rPr>
        <w:t>ceně</w:t>
      </w:r>
      <w:r>
        <w:rPr>
          <w:color w:val="231F20"/>
          <w:spacing w:val="-29"/>
        </w:rPr>
        <w:t xml:space="preserve"> </w:t>
      </w:r>
      <w:r>
        <w:rPr>
          <w:color w:val="231F20"/>
        </w:rPr>
        <w:t>vozidla;</w:t>
      </w:r>
      <w:r>
        <w:rPr>
          <w:color w:val="231F20"/>
          <w:spacing w:val="-29"/>
        </w:rPr>
        <w:t xml:space="preserve"> </w:t>
      </w:r>
      <w:r>
        <w:rPr>
          <w:color w:val="231F20"/>
        </w:rPr>
        <w:t>standardní</w:t>
      </w:r>
      <w:r>
        <w:rPr>
          <w:color w:val="231F20"/>
          <w:spacing w:val="-29"/>
        </w:rPr>
        <w:t xml:space="preserve"> </w:t>
      </w:r>
      <w:r>
        <w:rPr>
          <w:color w:val="231F20"/>
        </w:rPr>
        <w:t>výbavou</w:t>
      </w:r>
      <w:r>
        <w:rPr>
          <w:color w:val="231F20"/>
          <w:spacing w:val="-29"/>
        </w:rPr>
        <w:t xml:space="preserve"> </w:t>
      </w:r>
      <w:r>
        <w:rPr>
          <w:color w:val="231F20"/>
        </w:rPr>
        <w:t>se</w:t>
      </w:r>
      <w:r>
        <w:rPr>
          <w:color w:val="231F20"/>
          <w:spacing w:val="-29"/>
        </w:rPr>
        <w:t xml:space="preserve"> </w:t>
      </w:r>
      <w:r>
        <w:rPr>
          <w:color w:val="231F20"/>
        </w:rPr>
        <w:t>dále</w:t>
      </w:r>
      <w:r>
        <w:rPr>
          <w:color w:val="231F20"/>
          <w:spacing w:val="-29"/>
        </w:rPr>
        <w:t xml:space="preserve"> </w:t>
      </w:r>
      <w:r>
        <w:rPr>
          <w:color w:val="231F20"/>
          <w:spacing w:val="-4"/>
        </w:rPr>
        <w:t xml:space="preserve">rozumí </w:t>
      </w:r>
      <w:r>
        <w:rPr>
          <w:color w:val="231F20"/>
        </w:rPr>
        <w:t>povinná</w:t>
      </w:r>
      <w:r>
        <w:rPr>
          <w:color w:val="231F20"/>
          <w:spacing w:val="-26"/>
        </w:rPr>
        <w:t xml:space="preserve"> </w:t>
      </w:r>
      <w:r>
        <w:rPr>
          <w:color w:val="231F20"/>
        </w:rPr>
        <w:t>výbava</w:t>
      </w:r>
      <w:r>
        <w:rPr>
          <w:color w:val="231F20"/>
          <w:spacing w:val="-26"/>
        </w:rPr>
        <w:t xml:space="preserve"> </w:t>
      </w:r>
      <w:r>
        <w:rPr>
          <w:color w:val="231F20"/>
        </w:rPr>
        <w:t>vozidla</w:t>
      </w:r>
      <w:r>
        <w:rPr>
          <w:color w:val="231F20"/>
          <w:spacing w:val="-25"/>
        </w:rPr>
        <w:t xml:space="preserve"> </w:t>
      </w:r>
      <w:r>
        <w:rPr>
          <w:color w:val="231F20"/>
        </w:rPr>
        <w:t>definovaná</w:t>
      </w:r>
      <w:r>
        <w:rPr>
          <w:color w:val="231F20"/>
          <w:spacing w:val="-26"/>
        </w:rPr>
        <w:t xml:space="preserve"> </w:t>
      </w:r>
      <w:r>
        <w:rPr>
          <w:color w:val="231F20"/>
        </w:rPr>
        <w:t>příslušnými</w:t>
      </w:r>
      <w:r>
        <w:rPr>
          <w:color w:val="231F20"/>
          <w:spacing w:val="-25"/>
        </w:rPr>
        <w:t xml:space="preserve"> </w:t>
      </w:r>
      <w:r>
        <w:rPr>
          <w:color w:val="231F20"/>
        </w:rPr>
        <w:t>právními</w:t>
      </w:r>
      <w:r>
        <w:rPr>
          <w:color w:val="231F20"/>
          <w:spacing w:val="-26"/>
        </w:rPr>
        <w:t xml:space="preserve"> </w:t>
      </w:r>
      <w:r>
        <w:rPr>
          <w:color w:val="231F20"/>
        </w:rPr>
        <w:t>předpisy</w:t>
      </w:r>
      <w:r>
        <w:rPr>
          <w:color w:val="231F20"/>
          <w:spacing w:val="-26"/>
        </w:rPr>
        <w:t xml:space="preserve"> </w:t>
      </w:r>
      <w:r>
        <w:rPr>
          <w:color w:val="231F20"/>
        </w:rPr>
        <w:t>v</w:t>
      </w:r>
      <w:r>
        <w:rPr>
          <w:color w:val="231F20"/>
          <w:spacing w:val="-25"/>
        </w:rPr>
        <w:t xml:space="preserve"> </w:t>
      </w:r>
      <w:r>
        <w:rPr>
          <w:color w:val="231F20"/>
        </w:rPr>
        <w:t>platném</w:t>
      </w:r>
      <w:r>
        <w:rPr>
          <w:color w:val="231F20"/>
          <w:spacing w:val="-26"/>
        </w:rPr>
        <w:t xml:space="preserve"> </w:t>
      </w:r>
      <w:r>
        <w:rPr>
          <w:color w:val="231F20"/>
        </w:rPr>
        <w:t xml:space="preserve">znění. </w:t>
      </w:r>
      <w:r>
        <w:rPr>
          <w:color w:val="231F20"/>
          <w:spacing w:val="-3"/>
        </w:rPr>
        <w:t xml:space="preserve">Tržní </w:t>
      </w:r>
      <w:r>
        <w:rPr>
          <w:color w:val="231F20"/>
        </w:rPr>
        <w:t xml:space="preserve">hodnotou se rozumí cena, která by byla dosažena při prodeji stejné nebo srovnatelné věci v obvyklém obchodním styku v daném čase a na daném </w:t>
      </w:r>
      <w:r>
        <w:rPr>
          <w:color w:val="231F20"/>
          <w:spacing w:val="-3"/>
        </w:rPr>
        <w:t xml:space="preserve">místě </w:t>
      </w:r>
      <w:r>
        <w:rPr>
          <w:color w:val="231F20"/>
        </w:rPr>
        <w:t xml:space="preserve">v České republice. Přitom se zvažují všechny okolnosti, které mají na cenu </w:t>
      </w:r>
      <w:r>
        <w:rPr>
          <w:color w:val="231F20"/>
          <w:spacing w:val="-6"/>
        </w:rPr>
        <w:t xml:space="preserve">vliv, </w:t>
      </w:r>
      <w:r>
        <w:rPr>
          <w:color w:val="231F20"/>
        </w:rPr>
        <w:t>avšak</w:t>
      </w:r>
      <w:r>
        <w:rPr>
          <w:color w:val="231F20"/>
          <w:spacing w:val="-7"/>
        </w:rPr>
        <w:t xml:space="preserve"> </w:t>
      </w:r>
      <w:r>
        <w:rPr>
          <w:color w:val="231F20"/>
        </w:rPr>
        <w:t>do</w:t>
      </w:r>
      <w:r>
        <w:rPr>
          <w:color w:val="231F20"/>
          <w:spacing w:val="-6"/>
        </w:rPr>
        <w:t xml:space="preserve"> </w:t>
      </w:r>
      <w:r>
        <w:rPr>
          <w:color w:val="231F20"/>
        </w:rPr>
        <w:t>její</w:t>
      </w:r>
      <w:r>
        <w:rPr>
          <w:color w:val="231F20"/>
          <w:spacing w:val="-6"/>
        </w:rPr>
        <w:t xml:space="preserve"> </w:t>
      </w:r>
      <w:r>
        <w:rPr>
          <w:color w:val="231F20"/>
        </w:rPr>
        <w:t>výše</w:t>
      </w:r>
      <w:r>
        <w:rPr>
          <w:color w:val="231F20"/>
          <w:spacing w:val="-6"/>
        </w:rPr>
        <w:t xml:space="preserve"> </w:t>
      </w:r>
      <w:r>
        <w:rPr>
          <w:color w:val="231F20"/>
        </w:rPr>
        <w:t>se</w:t>
      </w:r>
      <w:r>
        <w:rPr>
          <w:color w:val="231F20"/>
          <w:spacing w:val="-6"/>
        </w:rPr>
        <w:t xml:space="preserve"> </w:t>
      </w:r>
      <w:r>
        <w:rPr>
          <w:color w:val="231F20"/>
        </w:rPr>
        <w:t>nepromítají</w:t>
      </w:r>
      <w:r>
        <w:rPr>
          <w:color w:val="231F20"/>
          <w:spacing w:val="-6"/>
        </w:rPr>
        <w:t xml:space="preserve"> </w:t>
      </w:r>
      <w:r>
        <w:rPr>
          <w:color w:val="231F20"/>
        </w:rPr>
        <w:t>vlivy</w:t>
      </w:r>
      <w:r>
        <w:rPr>
          <w:color w:val="231F20"/>
          <w:spacing w:val="-7"/>
        </w:rPr>
        <w:t xml:space="preserve"> </w:t>
      </w:r>
      <w:r>
        <w:rPr>
          <w:color w:val="231F20"/>
        </w:rPr>
        <w:t>mimořádných</w:t>
      </w:r>
      <w:r>
        <w:rPr>
          <w:color w:val="231F20"/>
          <w:spacing w:val="-6"/>
        </w:rPr>
        <w:t xml:space="preserve"> </w:t>
      </w:r>
      <w:r>
        <w:rPr>
          <w:color w:val="231F20"/>
        </w:rPr>
        <w:t>okolností</w:t>
      </w:r>
      <w:r>
        <w:rPr>
          <w:color w:val="231F20"/>
          <w:spacing w:val="-6"/>
        </w:rPr>
        <w:t xml:space="preserve"> </w:t>
      </w:r>
      <w:r>
        <w:rPr>
          <w:color w:val="231F20"/>
        </w:rPr>
        <w:t>trhu,</w:t>
      </w:r>
      <w:r>
        <w:rPr>
          <w:color w:val="231F20"/>
          <w:spacing w:val="-6"/>
        </w:rPr>
        <w:t xml:space="preserve"> </w:t>
      </w:r>
      <w:r>
        <w:rPr>
          <w:color w:val="231F20"/>
        </w:rPr>
        <w:t>osobních</w:t>
      </w:r>
      <w:r>
        <w:rPr>
          <w:color w:val="231F20"/>
          <w:spacing w:val="-6"/>
        </w:rPr>
        <w:t xml:space="preserve"> </w:t>
      </w:r>
      <w:r>
        <w:rPr>
          <w:color w:val="231F20"/>
          <w:spacing w:val="-5"/>
        </w:rPr>
        <w:t xml:space="preserve">po- </w:t>
      </w:r>
      <w:r>
        <w:rPr>
          <w:color w:val="231F20"/>
        </w:rPr>
        <w:t>měrů</w:t>
      </w:r>
      <w:r>
        <w:rPr>
          <w:color w:val="231F20"/>
          <w:spacing w:val="-26"/>
        </w:rPr>
        <w:t xml:space="preserve"> </w:t>
      </w:r>
      <w:r>
        <w:rPr>
          <w:color w:val="231F20"/>
        </w:rPr>
        <w:t>prodávajícího</w:t>
      </w:r>
      <w:r>
        <w:rPr>
          <w:color w:val="231F20"/>
          <w:spacing w:val="-26"/>
        </w:rPr>
        <w:t xml:space="preserve"> </w:t>
      </w:r>
      <w:r>
        <w:rPr>
          <w:color w:val="231F20"/>
        </w:rPr>
        <w:t>nebo</w:t>
      </w:r>
      <w:r>
        <w:rPr>
          <w:color w:val="231F20"/>
          <w:spacing w:val="-26"/>
        </w:rPr>
        <w:t xml:space="preserve"> </w:t>
      </w:r>
      <w:r>
        <w:rPr>
          <w:color w:val="231F20"/>
        </w:rPr>
        <w:t>kupujícího</w:t>
      </w:r>
      <w:r>
        <w:rPr>
          <w:color w:val="231F20"/>
          <w:spacing w:val="-25"/>
        </w:rPr>
        <w:t xml:space="preserve"> </w:t>
      </w:r>
      <w:r>
        <w:rPr>
          <w:color w:val="231F20"/>
        </w:rPr>
        <w:t>ani</w:t>
      </w:r>
      <w:r>
        <w:rPr>
          <w:color w:val="231F20"/>
          <w:spacing w:val="-26"/>
        </w:rPr>
        <w:t xml:space="preserve"> </w:t>
      </w:r>
      <w:r>
        <w:rPr>
          <w:color w:val="231F20"/>
        </w:rPr>
        <w:t>vliv</w:t>
      </w:r>
      <w:r>
        <w:rPr>
          <w:color w:val="231F20"/>
          <w:spacing w:val="-26"/>
        </w:rPr>
        <w:t xml:space="preserve"> </w:t>
      </w:r>
      <w:r>
        <w:rPr>
          <w:color w:val="231F20"/>
        </w:rPr>
        <w:t>zvláštní</w:t>
      </w:r>
      <w:r>
        <w:rPr>
          <w:color w:val="231F20"/>
          <w:spacing w:val="-25"/>
        </w:rPr>
        <w:t xml:space="preserve"> </w:t>
      </w:r>
      <w:r>
        <w:rPr>
          <w:color w:val="231F20"/>
        </w:rPr>
        <w:t>obliby;</w:t>
      </w:r>
      <w:r>
        <w:rPr>
          <w:color w:val="231F20"/>
          <w:spacing w:val="-26"/>
        </w:rPr>
        <w:t xml:space="preserve"> </w:t>
      </w:r>
      <w:r>
        <w:rPr>
          <w:color w:val="231F20"/>
        </w:rPr>
        <w:t>v</w:t>
      </w:r>
      <w:r>
        <w:rPr>
          <w:color w:val="231F20"/>
          <w:spacing w:val="-26"/>
        </w:rPr>
        <w:t xml:space="preserve"> </w:t>
      </w:r>
      <w:r>
        <w:rPr>
          <w:color w:val="231F20"/>
        </w:rPr>
        <w:t>případě</w:t>
      </w:r>
      <w:r>
        <w:rPr>
          <w:color w:val="231F20"/>
          <w:spacing w:val="-26"/>
        </w:rPr>
        <w:t xml:space="preserve"> </w:t>
      </w:r>
      <w:r>
        <w:rPr>
          <w:color w:val="231F20"/>
        </w:rPr>
        <w:t>vozidla</w:t>
      </w:r>
      <w:r>
        <w:rPr>
          <w:color w:val="231F20"/>
          <w:spacing w:val="-25"/>
        </w:rPr>
        <w:t xml:space="preserve"> </w:t>
      </w:r>
      <w:r>
        <w:rPr>
          <w:color w:val="231F20"/>
        </w:rPr>
        <w:t>s</w:t>
      </w:r>
      <w:r>
        <w:rPr>
          <w:color w:val="231F20"/>
          <w:spacing w:val="-26"/>
        </w:rPr>
        <w:t xml:space="preserve"> </w:t>
      </w:r>
      <w:r>
        <w:rPr>
          <w:color w:val="231F20"/>
          <w:spacing w:val="-4"/>
        </w:rPr>
        <w:t xml:space="preserve">jiným </w:t>
      </w:r>
      <w:r>
        <w:rPr>
          <w:color w:val="231F20"/>
        </w:rPr>
        <w:t>údajem</w:t>
      </w:r>
      <w:r>
        <w:rPr>
          <w:color w:val="231F20"/>
          <w:spacing w:val="-18"/>
        </w:rPr>
        <w:t xml:space="preserve"> </w:t>
      </w:r>
      <w:r>
        <w:rPr>
          <w:color w:val="231F20"/>
        </w:rPr>
        <w:t>než</w:t>
      </w:r>
      <w:r>
        <w:rPr>
          <w:color w:val="231F20"/>
          <w:spacing w:val="-18"/>
        </w:rPr>
        <w:t xml:space="preserve"> </w:t>
      </w:r>
      <w:r>
        <w:rPr>
          <w:color w:val="231F20"/>
        </w:rPr>
        <w:t>identifikačním</w:t>
      </w:r>
      <w:r>
        <w:rPr>
          <w:color w:val="231F20"/>
          <w:spacing w:val="-18"/>
        </w:rPr>
        <w:t xml:space="preserve"> </w:t>
      </w:r>
      <w:r>
        <w:rPr>
          <w:color w:val="231F20"/>
        </w:rPr>
        <w:t>údajem</w:t>
      </w:r>
      <w:r>
        <w:rPr>
          <w:color w:val="231F20"/>
          <w:spacing w:val="-18"/>
        </w:rPr>
        <w:t xml:space="preserve"> </w:t>
      </w:r>
      <w:r>
        <w:rPr>
          <w:color w:val="231F20"/>
        </w:rPr>
        <w:t>vozidla</w:t>
      </w:r>
      <w:r>
        <w:rPr>
          <w:color w:val="231F20"/>
          <w:spacing w:val="-17"/>
        </w:rPr>
        <w:t xml:space="preserve"> </w:t>
      </w:r>
      <w:r>
        <w:rPr>
          <w:color w:val="231F20"/>
        </w:rPr>
        <w:t>VIN,</w:t>
      </w:r>
      <w:r>
        <w:rPr>
          <w:color w:val="231F20"/>
          <w:spacing w:val="-18"/>
        </w:rPr>
        <w:t xml:space="preserve"> </w:t>
      </w:r>
      <w:r>
        <w:rPr>
          <w:color w:val="231F20"/>
        </w:rPr>
        <w:t>resp.</w:t>
      </w:r>
      <w:r>
        <w:rPr>
          <w:color w:val="231F20"/>
          <w:spacing w:val="-18"/>
        </w:rPr>
        <w:t xml:space="preserve"> </w:t>
      </w:r>
      <w:r>
        <w:rPr>
          <w:color w:val="231F20"/>
        </w:rPr>
        <w:t>EČV</w:t>
      </w:r>
      <w:r>
        <w:rPr>
          <w:color w:val="231F20"/>
          <w:spacing w:val="-18"/>
        </w:rPr>
        <w:t xml:space="preserve"> </w:t>
      </w:r>
      <w:r>
        <w:rPr>
          <w:color w:val="231F20"/>
        </w:rPr>
        <w:t>se</w:t>
      </w:r>
      <w:r>
        <w:rPr>
          <w:color w:val="231F20"/>
          <w:spacing w:val="-17"/>
        </w:rPr>
        <w:t xml:space="preserve"> </w:t>
      </w:r>
      <w:r>
        <w:rPr>
          <w:color w:val="231F20"/>
        </w:rPr>
        <w:t>na</w:t>
      </w:r>
      <w:r>
        <w:rPr>
          <w:color w:val="231F20"/>
          <w:spacing w:val="-18"/>
        </w:rPr>
        <w:t xml:space="preserve"> </w:t>
      </w:r>
      <w:r>
        <w:rPr>
          <w:color w:val="231F20"/>
        </w:rPr>
        <w:t>takové</w:t>
      </w:r>
      <w:r>
        <w:rPr>
          <w:color w:val="231F20"/>
          <w:spacing w:val="-18"/>
        </w:rPr>
        <w:t xml:space="preserve"> </w:t>
      </w:r>
      <w:r>
        <w:rPr>
          <w:color w:val="231F20"/>
        </w:rPr>
        <w:t>vozidlo</w:t>
      </w:r>
      <w:r>
        <w:rPr>
          <w:color w:val="231F20"/>
          <w:spacing w:val="-18"/>
        </w:rPr>
        <w:t xml:space="preserve"> </w:t>
      </w:r>
      <w:r>
        <w:rPr>
          <w:color w:val="231F20"/>
          <w:spacing w:val="-6"/>
        </w:rPr>
        <w:t xml:space="preserve">pro </w:t>
      </w:r>
      <w:r>
        <w:rPr>
          <w:color w:val="231F20"/>
        </w:rPr>
        <w:t>určení</w:t>
      </w:r>
      <w:r>
        <w:rPr>
          <w:color w:val="231F20"/>
          <w:spacing w:val="-5"/>
        </w:rPr>
        <w:t xml:space="preserve"> </w:t>
      </w:r>
      <w:r>
        <w:rPr>
          <w:color w:val="231F20"/>
        </w:rPr>
        <w:t>jeho</w:t>
      </w:r>
      <w:r>
        <w:rPr>
          <w:color w:val="231F20"/>
          <w:spacing w:val="-4"/>
        </w:rPr>
        <w:t xml:space="preserve"> </w:t>
      </w:r>
      <w:r>
        <w:rPr>
          <w:color w:val="231F20"/>
        </w:rPr>
        <w:t>tržní</w:t>
      </w:r>
      <w:r>
        <w:rPr>
          <w:color w:val="231F20"/>
          <w:spacing w:val="-5"/>
        </w:rPr>
        <w:t xml:space="preserve"> </w:t>
      </w:r>
      <w:r>
        <w:rPr>
          <w:color w:val="231F20"/>
        </w:rPr>
        <w:t>hodnoty</w:t>
      </w:r>
      <w:r>
        <w:rPr>
          <w:color w:val="231F20"/>
          <w:spacing w:val="-4"/>
        </w:rPr>
        <w:t xml:space="preserve"> </w:t>
      </w:r>
      <w:r>
        <w:rPr>
          <w:color w:val="231F20"/>
        </w:rPr>
        <w:t>hledí</w:t>
      </w:r>
      <w:r>
        <w:rPr>
          <w:color w:val="231F20"/>
          <w:spacing w:val="-4"/>
        </w:rPr>
        <w:t xml:space="preserve"> </w:t>
      </w:r>
      <w:r>
        <w:rPr>
          <w:color w:val="231F20"/>
        </w:rPr>
        <w:t>jako</w:t>
      </w:r>
      <w:r>
        <w:rPr>
          <w:color w:val="231F20"/>
          <w:spacing w:val="-5"/>
        </w:rPr>
        <w:t xml:space="preserve"> </w:t>
      </w:r>
      <w:r>
        <w:rPr>
          <w:color w:val="231F20"/>
        </w:rPr>
        <w:t>na</w:t>
      </w:r>
      <w:r>
        <w:rPr>
          <w:color w:val="231F20"/>
          <w:spacing w:val="-4"/>
        </w:rPr>
        <w:t xml:space="preserve"> </w:t>
      </w:r>
      <w:r>
        <w:rPr>
          <w:color w:val="231F20"/>
        </w:rPr>
        <w:t>soubor</w:t>
      </w:r>
      <w:r>
        <w:rPr>
          <w:color w:val="231F20"/>
          <w:spacing w:val="-4"/>
        </w:rPr>
        <w:t xml:space="preserve"> </w:t>
      </w:r>
      <w:r>
        <w:rPr>
          <w:color w:val="231F20"/>
        </w:rPr>
        <w:t>náhradních</w:t>
      </w:r>
      <w:r>
        <w:rPr>
          <w:color w:val="231F20"/>
          <w:spacing w:val="-5"/>
        </w:rPr>
        <w:t xml:space="preserve"> </w:t>
      </w:r>
      <w:r>
        <w:rPr>
          <w:color w:val="231F20"/>
        </w:rPr>
        <w:t>dílů.</w:t>
      </w:r>
    </w:p>
    <w:p w14:paraId="47F09B63" w14:textId="77777777" w:rsidR="00F65BCA" w:rsidRDefault="00216117">
      <w:pPr>
        <w:pStyle w:val="Zkladntext"/>
        <w:spacing w:line="278" w:lineRule="auto"/>
        <w:ind w:left="426" w:right="1"/>
        <w:jc w:val="both"/>
      </w:pPr>
      <w:r>
        <w:rPr>
          <w:color w:val="231F20"/>
        </w:rPr>
        <w:t>Úvěrovou</w:t>
      </w:r>
      <w:r>
        <w:rPr>
          <w:color w:val="231F20"/>
          <w:spacing w:val="-12"/>
        </w:rPr>
        <w:t xml:space="preserve"> </w:t>
      </w:r>
      <w:r>
        <w:rPr>
          <w:color w:val="231F20"/>
        </w:rPr>
        <w:t>smlouvou</w:t>
      </w:r>
      <w:r>
        <w:rPr>
          <w:color w:val="231F20"/>
          <w:spacing w:val="-12"/>
        </w:rPr>
        <w:t xml:space="preserve"> </w:t>
      </w:r>
      <w:r>
        <w:rPr>
          <w:color w:val="231F20"/>
        </w:rPr>
        <w:t>se</w:t>
      </w:r>
      <w:r>
        <w:rPr>
          <w:color w:val="231F20"/>
          <w:spacing w:val="-12"/>
        </w:rPr>
        <w:t xml:space="preserve"> </w:t>
      </w:r>
      <w:r>
        <w:rPr>
          <w:color w:val="231F20"/>
        </w:rPr>
        <w:t>rozumí</w:t>
      </w:r>
      <w:r>
        <w:rPr>
          <w:color w:val="231F20"/>
          <w:spacing w:val="-12"/>
        </w:rPr>
        <w:t xml:space="preserve"> </w:t>
      </w:r>
      <w:r>
        <w:rPr>
          <w:color w:val="231F20"/>
        </w:rPr>
        <w:t>smlouva,</w:t>
      </w:r>
      <w:r>
        <w:rPr>
          <w:color w:val="231F20"/>
          <w:spacing w:val="-11"/>
        </w:rPr>
        <w:t xml:space="preserve"> </w:t>
      </w:r>
      <w:r>
        <w:rPr>
          <w:color w:val="231F20"/>
        </w:rPr>
        <w:t>podle</w:t>
      </w:r>
      <w:r>
        <w:rPr>
          <w:color w:val="231F20"/>
          <w:spacing w:val="-12"/>
        </w:rPr>
        <w:t xml:space="preserve"> </w:t>
      </w:r>
      <w:r>
        <w:rPr>
          <w:color w:val="231F20"/>
        </w:rPr>
        <w:t>níž</w:t>
      </w:r>
      <w:r>
        <w:rPr>
          <w:color w:val="231F20"/>
          <w:spacing w:val="-12"/>
        </w:rPr>
        <w:t xml:space="preserve"> </w:t>
      </w:r>
      <w:r>
        <w:rPr>
          <w:color w:val="231F20"/>
        </w:rPr>
        <w:t>jedna</w:t>
      </w:r>
      <w:r>
        <w:rPr>
          <w:color w:val="231F20"/>
          <w:spacing w:val="-12"/>
        </w:rPr>
        <w:t xml:space="preserve"> </w:t>
      </w:r>
      <w:r>
        <w:rPr>
          <w:color w:val="231F20"/>
        </w:rPr>
        <w:t>strana</w:t>
      </w:r>
      <w:r>
        <w:rPr>
          <w:color w:val="231F20"/>
          <w:spacing w:val="-11"/>
        </w:rPr>
        <w:t xml:space="preserve"> </w:t>
      </w:r>
      <w:r>
        <w:rPr>
          <w:color w:val="231F20"/>
        </w:rPr>
        <w:t>s</w:t>
      </w:r>
      <w:r>
        <w:rPr>
          <w:color w:val="231F20"/>
          <w:spacing w:val="-12"/>
        </w:rPr>
        <w:t xml:space="preserve"> </w:t>
      </w:r>
      <w:r>
        <w:rPr>
          <w:color w:val="231F20"/>
        </w:rPr>
        <w:t>podnikatelským záměrem (úvěrová společnost) za úplatu financuje druhé straně (úvěrový</w:t>
      </w:r>
      <w:r>
        <w:rPr>
          <w:color w:val="231F20"/>
          <w:spacing w:val="-11"/>
        </w:rPr>
        <w:t xml:space="preserve"> </w:t>
      </w:r>
      <w:r>
        <w:rPr>
          <w:color w:val="231F20"/>
          <w:spacing w:val="-3"/>
        </w:rPr>
        <w:t xml:space="preserve">klient) </w:t>
      </w:r>
      <w:r>
        <w:rPr>
          <w:color w:val="231F20"/>
        </w:rPr>
        <w:t>koupi</w:t>
      </w:r>
      <w:r>
        <w:rPr>
          <w:color w:val="231F20"/>
          <w:spacing w:val="-21"/>
        </w:rPr>
        <w:t xml:space="preserve"> </w:t>
      </w:r>
      <w:r>
        <w:rPr>
          <w:color w:val="231F20"/>
        </w:rPr>
        <w:t>vybraného</w:t>
      </w:r>
      <w:r>
        <w:rPr>
          <w:color w:val="231F20"/>
          <w:spacing w:val="-21"/>
        </w:rPr>
        <w:t xml:space="preserve"> </w:t>
      </w:r>
      <w:r>
        <w:rPr>
          <w:color w:val="231F20"/>
        </w:rPr>
        <w:t>předmětu</w:t>
      </w:r>
      <w:r>
        <w:rPr>
          <w:color w:val="231F20"/>
          <w:spacing w:val="-21"/>
        </w:rPr>
        <w:t xml:space="preserve"> </w:t>
      </w:r>
      <w:r>
        <w:rPr>
          <w:color w:val="231F20"/>
        </w:rPr>
        <w:t>(vozidla),</w:t>
      </w:r>
      <w:r>
        <w:rPr>
          <w:color w:val="231F20"/>
          <w:spacing w:val="-21"/>
        </w:rPr>
        <w:t xml:space="preserve"> </w:t>
      </w:r>
      <w:r>
        <w:rPr>
          <w:color w:val="231F20"/>
        </w:rPr>
        <w:t>který</w:t>
      </w:r>
      <w:r>
        <w:rPr>
          <w:color w:val="231F20"/>
          <w:spacing w:val="-21"/>
        </w:rPr>
        <w:t xml:space="preserve"> </w:t>
      </w:r>
      <w:r>
        <w:rPr>
          <w:color w:val="231F20"/>
        </w:rPr>
        <w:t>je</w:t>
      </w:r>
      <w:r>
        <w:rPr>
          <w:color w:val="231F20"/>
          <w:spacing w:val="-21"/>
        </w:rPr>
        <w:t xml:space="preserve"> </w:t>
      </w:r>
      <w:r>
        <w:rPr>
          <w:color w:val="231F20"/>
        </w:rPr>
        <w:t>od</w:t>
      </w:r>
      <w:r>
        <w:rPr>
          <w:color w:val="231F20"/>
          <w:spacing w:val="-21"/>
        </w:rPr>
        <w:t xml:space="preserve"> </w:t>
      </w:r>
      <w:r>
        <w:rPr>
          <w:color w:val="231F20"/>
        </w:rPr>
        <w:t>podpisu</w:t>
      </w:r>
      <w:r>
        <w:rPr>
          <w:color w:val="231F20"/>
          <w:spacing w:val="-21"/>
        </w:rPr>
        <w:t xml:space="preserve"> </w:t>
      </w:r>
      <w:r>
        <w:rPr>
          <w:color w:val="231F20"/>
        </w:rPr>
        <w:t>úvěrové</w:t>
      </w:r>
      <w:r>
        <w:rPr>
          <w:color w:val="231F20"/>
          <w:spacing w:val="-21"/>
        </w:rPr>
        <w:t xml:space="preserve"> </w:t>
      </w:r>
      <w:r>
        <w:rPr>
          <w:color w:val="231F20"/>
        </w:rPr>
        <w:t>smlouvy</w:t>
      </w:r>
      <w:r>
        <w:rPr>
          <w:color w:val="231F20"/>
          <w:spacing w:val="-21"/>
        </w:rPr>
        <w:t xml:space="preserve"> </w:t>
      </w:r>
      <w:r>
        <w:rPr>
          <w:color w:val="231F20"/>
        </w:rPr>
        <w:t>ve</w:t>
      </w:r>
      <w:r>
        <w:rPr>
          <w:color w:val="231F20"/>
          <w:spacing w:val="-21"/>
        </w:rPr>
        <w:t xml:space="preserve"> </w:t>
      </w:r>
      <w:r>
        <w:rPr>
          <w:color w:val="231F20"/>
        </w:rPr>
        <w:t>vlast- nictví</w:t>
      </w:r>
      <w:r>
        <w:rPr>
          <w:color w:val="231F20"/>
          <w:spacing w:val="-8"/>
        </w:rPr>
        <w:t xml:space="preserve"> </w:t>
      </w:r>
      <w:r>
        <w:rPr>
          <w:color w:val="231F20"/>
        </w:rPr>
        <w:t>úvěrového</w:t>
      </w:r>
      <w:r>
        <w:rPr>
          <w:color w:val="231F20"/>
          <w:spacing w:val="-8"/>
        </w:rPr>
        <w:t xml:space="preserve"> </w:t>
      </w:r>
      <w:r>
        <w:rPr>
          <w:color w:val="231F20"/>
        </w:rPr>
        <w:t>klienta,</w:t>
      </w:r>
      <w:r>
        <w:rPr>
          <w:color w:val="231F20"/>
          <w:spacing w:val="-8"/>
        </w:rPr>
        <w:t xml:space="preserve"> </w:t>
      </w:r>
      <w:r>
        <w:rPr>
          <w:color w:val="231F20"/>
        </w:rPr>
        <w:t>pokud</w:t>
      </w:r>
      <w:r>
        <w:rPr>
          <w:color w:val="231F20"/>
          <w:spacing w:val="-8"/>
        </w:rPr>
        <w:t xml:space="preserve"> </w:t>
      </w:r>
      <w:r>
        <w:rPr>
          <w:color w:val="231F20"/>
        </w:rPr>
        <w:t>není</w:t>
      </w:r>
      <w:r>
        <w:rPr>
          <w:color w:val="231F20"/>
          <w:spacing w:val="-8"/>
        </w:rPr>
        <w:t xml:space="preserve"> </w:t>
      </w:r>
      <w:r>
        <w:rPr>
          <w:color w:val="231F20"/>
        </w:rPr>
        <w:t>úvěrovou</w:t>
      </w:r>
      <w:r>
        <w:rPr>
          <w:color w:val="231F20"/>
          <w:spacing w:val="-8"/>
        </w:rPr>
        <w:t xml:space="preserve"> </w:t>
      </w:r>
      <w:r>
        <w:rPr>
          <w:color w:val="231F20"/>
        </w:rPr>
        <w:t>smlouvou</w:t>
      </w:r>
      <w:r>
        <w:rPr>
          <w:color w:val="231F20"/>
          <w:spacing w:val="-7"/>
        </w:rPr>
        <w:t xml:space="preserve"> </w:t>
      </w:r>
      <w:r>
        <w:rPr>
          <w:color w:val="231F20"/>
        </w:rPr>
        <w:t>dohodnuto</w:t>
      </w:r>
      <w:r>
        <w:rPr>
          <w:color w:val="231F20"/>
          <w:spacing w:val="-8"/>
        </w:rPr>
        <w:t xml:space="preserve"> </w:t>
      </w:r>
      <w:r>
        <w:rPr>
          <w:color w:val="231F20"/>
        </w:rPr>
        <w:t>jinak.</w:t>
      </w:r>
    </w:p>
    <w:p w14:paraId="7485EDDF" w14:textId="77777777" w:rsidR="00F65BCA" w:rsidRDefault="00216117">
      <w:pPr>
        <w:pStyle w:val="Zkladntext"/>
        <w:spacing w:line="278" w:lineRule="auto"/>
        <w:ind w:left="426"/>
        <w:jc w:val="both"/>
      </w:pPr>
      <w:r>
        <w:rPr>
          <w:color w:val="231F20"/>
        </w:rPr>
        <w:t>Vandalismem se rozumí poškození nebo zničení pojištěného vozidla, věci nebo jejich částí úmyslným jednáním (zásahem) cizí osoby.</w:t>
      </w:r>
    </w:p>
    <w:p w14:paraId="51036ABD" w14:textId="77777777" w:rsidR="00F65BCA" w:rsidRDefault="00216117">
      <w:pPr>
        <w:pStyle w:val="Zkladntext"/>
        <w:spacing w:line="278" w:lineRule="auto"/>
        <w:ind w:left="426"/>
        <w:jc w:val="both"/>
      </w:pPr>
      <w:r>
        <w:rPr>
          <w:color w:val="231F20"/>
        </w:rPr>
        <w:t>Vlastníkem</w:t>
      </w:r>
      <w:r>
        <w:rPr>
          <w:color w:val="231F20"/>
          <w:spacing w:val="-4"/>
        </w:rPr>
        <w:t xml:space="preserve"> </w:t>
      </w:r>
      <w:r>
        <w:rPr>
          <w:color w:val="231F20"/>
        </w:rPr>
        <w:t>vozidla</w:t>
      </w:r>
      <w:r>
        <w:rPr>
          <w:color w:val="231F20"/>
          <w:spacing w:val="-4"/>
        </w:rPr>
        <w:t xml:space="preserve"> </w:t>
      </w:r>
      <w:r>
        <w:rPr>
          <w:color w:val="231F20"/>
        </w:rPr>
        <w:t>se</w:t>
      </w:r>
      <w:r>
        <w:rPr>
          <w:color w:val="231F20"/>
          <w:spacing w:val="-4"/>
        </w:rPr>
        <w:t xml:space="preserve"> </w:t>
      </w:r>
      <w:r>
        <w:rPr>
          <w:color w:val="231F20"/>
        </w:rPr>
        <w:t>rozumí</w:t>
      </w:r>
      <w:r>
        <w:rPr>
          <w:color w:val="231F20"/>
          <w:spacing w:val="-4"/>
        </w:rPr>
        <w:t xml:space="preserve"> </w:t>
      </w:r>
      <w:r>
        <w:rPr>
          <w:color w:val="231F20"/>
        </w:rPr>
        <w:t>osoba,</w:t>
      </w:r>
      <w:r>
        <w:rPr>
          <w:color w:val="231F20"/>
          <w:spacing w:val="-4"/>
        </w:rPr>
        <w:t xml:space="preserve"> </w:t>
      </w:r>
      <w:r>
        <w:rPr>
          <w:color w:val="231F20"/>
        </w:rPr>
        <w:t>které</w:t>
      </w:r>
      <w:r>
        <w:rPr>
          <w:color w:val="231F20"/>
          <w:spacing w:val="-4"/>
        </w:rPr>
        <w:t xml:space="preserve"> </w:t>
      </w:r>
      <w:r>
        <w:rPr>
          <w:color w:val="231F20"/>
        </w:rPr>
        <w:t>vozidlo</w:t>
      </w:r>
      <w:r>
        <w:rPr>
          <w:color w:val="231F20"/>
          <w:spacing w:val="-4"/>
        </w:rPr>
        <w:t xml:space="preserve"> </w:t>
      </w:r>
      <w:r>
        <w:rPr>
          <w:color w:val="231F20"/>
        </w:rPr>
        <w:t>patří,</w:t>
      </w:r>
      <w:r>
        <w:rPr>
          <w:color w:val="231F20"/>
          <w:spacing w:val="-4"/>
        </w:rPr>
        <w:t xml:space="preserve"> </w:t>
      </w:r>
      <w:r>
        <w:rPr>
          <w:color w:val="231F20"/>
        </w:rPr>
        <w:t>v</w:t>
      </w:r>
      <w:r>
        <w:rPr>
          <w:color w:val="231F20"/>
          <w:spacing w:val="-4"/>
        </w:rPr>
        <w:t xml:space="preserve"> </w:t>
      </w:r>
      <w:r>
        <w:rPr>
          <w:color w:val="231F20"/>
        </w:rPr>
        <w:t>mezích</w:t>
      </w:r>
      <w:r>
        <w:rPr>
          <w:color w:val="231F20"/>
          <w:spacing w:val="-4"/>
        </w:rPr>
        <w:t xml:space="preserve"> </w:t>
      </w:r>
      <w:r>
        <w:rPr>
          <w:color w:val="231F20"/>
        </w:rPr>
        <w:t>právního</w:t>
      </w:r>
      <w:r>
        <w:rPr>
          <w:color w:val="231F20"/>
          <w:spacing w:val="-4"/>
        </w:rPr>
        <w:t xml:space="preserve"> řádu </w:t>
      </w:r>
      <w:r>
        <w:rPr>
          <w:color w:val="231F20"/>
        </w:rPr>
        <w:t>libovolně</w:t>
      </w:r>
      <w:r>
        <w:rPr>
          <w:color w:val="231F20"/>
          <w:spacing w:val="-20"/>
        </w:rPr>
        <w:t xml:space="preserve"> </w:t>
      </w:r>
      <w:r>
        <w:rPr>
          <w:color w:val="231F20"/>
        </w:rPr>
        <w:t>s</w:t>
      </w:r>
      <w:r>
        <w:rPr>
          <w:color w:val="231F20"/>
          <w:spacing w:val="-19"/>
        </w:rPr>
        <w:t xml:space="preserve"> </w:t>
      </w:r>
      <w:r>
        <w:rPr>
          <w:color w:val="231F20"/>
        </w:rPr>
        <w:t>vozidlem</w:t>
      </w:r>
      <w:r>
        <w:rPr>
          <w:color w:val="231F20"/>
          <w:spacing w:val="-20"/>
        </w:rPr>
        <w:t xml:space="preserve"> </w:t>
      </w:r>
      <w:r>
        <w:rPr>
          <w:color w:val="231F20"/>
        </w:rPr>
        <w:t>nakládá</w:t>
      </w:r>
      <w:r>
        <w:rPr>
          <w:color w:val="231F20"/>
          <w:spacing w:val="-19"/>
        </w:rPr>
        <w:t xml:space="preserve"> </w:t>
      </w:r>
      <w:r>
        <w:rPr>
          <w:color w:val="231F20"/>
        </w:rPr>
        <w:t>a</w:t>
      </w:r>
      <w:r>
        <w:rPr>
          <w:color w:val="231F20"/>
          <w:spacing w:val="-19"/>
        </w:rPr>
        <w:t xml:space="preserve"> </w:t>
      </w:r>
      <w:r>
        <w:rPr>
          <w:color w:val="231F20"/>
        </w:rPr>
        <w:t>která</w:t>
      </w:r>
      <w:r>
        <w:rPr>
          <w:color w:val="231F20"/>
          <w:spacing w:val="-20"/>
        </w:rPr>
        <w:t xml:space="preserve"> </w:t>
      </w:r>
      <w:r>
        <w:rPr>
          <w:color w:val="231F20"/>
        </w:rPr>
        <w:t>je</w:t>
      </w:r>
      <w:r>
        <w:rPr>
          <w:color w:val="231F20"/>
          <w:spacing w:val="-19"/>
        </w:rPr>
        <w:t xml:space="preserve"> </w:t>
      </w:r>
      <w:r>
        <w:rPr>
          <w:color w:val="231F20"/>
        </w:rPr>
        <w:t>schopna</w:t>
      </w:r>
      <w:r>
        <w:rPr>
          <w:color w:val="231F20"/>
          <w:spacing w:val="-20"/>
        </w:rPr>
        <w:t xml:space="preserve"> </w:t>
      </w:r>
      <w:r>
        <w:rPr>
          <w:color w:val="231F20"/>
        </w:rPr>
        <w:t>své</w:t>
      </w:r>
      <w:r>
        <w:rPr>
          <w:color w:val="231F20"/>
          <w:spacing w:val="-19"/>
        </w:rPr>
        <w:t xml:space="preserve"> </w:t>
      </w:r>
      <w:r>
        <w:rPr>
          <w:color w:val="231F20"/>
        </w:rPr>
        <w:t>vlastnické</w:t>
      </w:r>
      <w:r>
        <w:rPr>
          <w:color w:val="231F20"/>
          <w:spacing w:val="-19"/>
        </w:rPr>
        <w:t xml:space="preserve"> </w:t>
      </w:r>
      <w:r>
        <w:rPr>
          <w:color w:val="231F20"/>
        </w:rPr>
        <w:t>právo</w:t>
      </w:r>
      <w:r>
        <w:rPr>
          <w:color w:val="231F20"/>
          <w:spacing w:val="-20"/>
        </w:rPr>
        <w:t xml:space="preserve"> </w:t>
      </w:r>
      <w:r>
        <w:rPr>
          <w:color w:val="231F20"/>
        </w:rPr>
        <w:t xml:space="preserve">důvěryhodně prokázat i jinak než zápisem v technickém průkazu nebo osvědčení o </w:t>
      </w:r>
      <w:r>
        <w:rPr>
          <w:color w:val="231F20"/>
          <w:spacing w:val="-3"/>
        </w:rPr>
        <w:t xml:space="preserve">registraci </w:t>
      </w:r>
      <w:r>
        <w:rPr>
          <w:color w:val="231F20"/>
        </w:rPr>
        <w:t>nebo obdobném průkazu</w:t>
      </w:r>
      <w:r>
        <w:rPr>
          <w:color w:val="231F20"/>
          <w:spacing w:val="-2"/>
        </w:rPr>
        <w:t xml:space="preserve"> </w:t>
      </w:r>
      <w:r>
        <w:rPr>
          <w:color w:val="231F20"/>
        </w:rPr>
        <w:t>vozidla.</w:t>
      </w:r>
    </w:p>
    <w:p w14:paraId="0B22AFB4" w14:textId="77777777" w:rsidR="00F65BCA" w:rsidRDefault="00216117">
      <w:pPr>
        <w:pStyle w:val="Zkladntext"/>
        <w:spacing w:line="278" w:lineRule="auto"/>
        <w:ind w:left="426"/>
        <w:jc w:val="both"/>
      </w:pPr>
      <w:r>
        <w:rPr>
          <w:color w:val="231F20"/>
        </w:rPr>
        <w:t>Vozidlem taxislužby se rozumí vozidlo, které je zapsáno v evidenci vozidel taxi- služby vedené Ministerstvem dopravy České republiky.</w:t>
      </w:r>
    </w:p>
    <w:p w14:paraId="4CBB341A" w14:textId="77777777" w:rsidR="00F65BCA" w:rsidRDefault="00216117">
      <w:pPr>
        <w:pStyle w:val="Zkladntext"/>
        <w:spacing w:line="278" w:lineRule="auto"/>
        <w:ind w:left="426" w:right="-8"/>
      </w:pPr>
      <w:r>
        <w:rPr>
          <w:color w:val="231F20"/>
        </w:rPr>
        <w:t>Základním</w:t>
      </w:r>
      <w:r>
        <w:rPr>
          <w:color w:val="231F20"/>
          <w:spacing w:val="-11"/>
        </w:rPr>
        <w:t xml:space="preserve"> </w:t>
      </w:r>
      <w:r>
        <w:rPr>
          <w:color w:val="231F20"/>
        </w:rPr>
        <w:t>pojištěním</w:t>
      </w:r>
      <w:r>
        <w:rPr>
          <w:color w:val="231F20"/>
          <w:spacing w:val="-11"/>
        </w:rPr>
        <w:t xml:space="preserve"> </w:t>
      </w:r>
      <w:r>
        <w:rPr>
          <w:color w:val="231F20"/>
        </w:rPr>
        <w:t>se</w:t>
      </w:r>
      <w:r>
        <w:rPr>
          <w:color w:val="231F20"/>
          <w:spacing w:val="-10"/>
        </w:rPr>
        <w:t xml:space="preserve"> </w:t>
      </w:r>
      <w:r>
        <w:rPr>
          <w:color w:val="231F20"/>
        </w:rPr>
        <w:t>rozumí</w:t>
      </w:r>
      <w:r>
        <w:rPr>
          <w:color w:val="231F20"/>
          <w:spacing w:val="-11"/>
        </w:rPr>
        <w:t xml:space="preserve"> </w:t>
      </w:r>
      <w:r>
        <w:rPr>
          <w:color w:val="231F20"/>
        </w:rPr>
        <w:t>pojištění</w:t>
      </w:r>
      <w:r>
        <w:rPr>
          <w:color w:val="231F20"/>
          <w:spacing w:val="-11"/>
        </w:rPr>
        <w:t xml:space="preserve"> </w:t>
      </w:r>
      <w:r>
        <w:rPr>
          <w:color w:val="231F20"/>
        </w:rPr>
        <w:t>odpovědnosti</w:t>
      </w:r>
      <w:r>
        <w:rPr>
          <w:color w:val="231F20"/>
          <w:spacing w:val="-10"/>
        </w:rPr>
        <w:t xml:space="preserve"> </w:t>
      </w:r>
      <w:r>
        <w:rPr>
          <w:color w:val="231F20"/>
        </w:rPr>
        <w:t>nebo</w:t>
      </w:r>
      <w:r>
        <w:rPr>
          <w:color w:val="231F20"/>
          <w:spacing w:val="-11"/>
        </w:rPr>
        <w:t xml:space="preserve"> </w:t>
      </w:r>
      <w:r>
        <w:rPr>
          <w:color w:val="231F20"/>
        </w:rPr>
        <w:t>havarijní</w:t>
      </w:r>
      <w:r>
        <w:rPr>
          <w:color w:val="231F20"/>
          <w:spacing w:val="-11"/>
        </w:rPr>
        <w:t xml:space="preserve"> </w:t>
      </w:r>
      <w:r>
        <w:rPr>
          <w:color w:val="231F20"/>
        </w:rPr>
        <w:t xml:space="preserve">pojištění. Zničením se rozumí </w:t>
      </w:r>
      <w:r>
        <w:rPr>
          <w:color w:val="231F20"/>
          <w:spacing w:val="-3"/>
        </w:rPr>
        <w:t xml:space="preserve">stav, </w:t>
      </w:r>
      <w:r>
        <w:rPr>
          <w:color w:val="231F20"/>
        </w:rPr>
        <w:t xml:space="preserve">kdy vozidlo nebo věc přestaly fyzicky existovat </w:t>
      </w:r>
      <w:r>
        <w:rPr>
          <w:color w:val="231F20"/>
          <w:spacing w:val="-3"/>
        </w:rPr>
        <w:t xml:space="preserve">(např. </w:t>
      </w:r>
      <w:r>
        <w:rPr>
          <w:color w:val="231F20"/>
        </w:rPr>
        <w:t>shoření, úplná destrukce</w:t>
      </w:r>
      <w:r>
        <w:rPr>
          <w:color w:val="231F20"/>
          <w:spacing w:val="-3"/>
        </w:rPr>
        <w:t xml:space="preserve"> </w:t>
      </w:r>
      <w:r>
        <w:rPr>
          <w:color w:val="231F20"/>
        </w:rPr>
        <w:t>apod.).</w:t>
      </w:r>
    </w:p>
    <w:p w14:paraId="44CAADA0" w14:textId="77777777" w:rsidR="00F65BCA" w:rsidRDefault="00216117">
      <w:pPr>
        <w:pStyle w:val="Zkladntext"/>
        <w:spacing w:line="278" w:lineRule="auto"/>
        <w:ind w:left="426" w:right="-8"/>
      </w:pPr>
      <w:r>
        <w:rPr>
          <w:color w:val="231F20"/>
        </w:rPr>
        <w:t>Zpronevěrou</w:t>
      </w:r>
      <w:r>
        <w:rPr>
          <w:color w:val="231F20"/>
          <w:spacing w:val="-5"/>
        </w:rPr>
        <w:t xml:space="preserve"> </w:t>
      </w:r>
      <w:r>
        <w:rPr>
          <w:color w:val="231F20"/>
        </w:rPr>
        <w:t>se</w:t>
      </w:r>
      <w:r>
        <w:rPr>
          <w:color w:val="231F20"/>
          <w:spacing w:val="-5"/>
        </w:rPr>
        <w:t xml:space="preserve"> </w:t>
      </w:r>
      <w:r>
        <w:rPr>
          <w:color w:val="231F20"/>
        </w:rPr>
        <w:t>rozumí</w:t>
      </w:r>
      <w:r>
        <w:rPr>
          <w:color w:val="231F20"/>
          <w:spacing w:val="-4"/>
        </w:rPr>
        <w:t xml:space="preserve"> </w:t>
      </w:r>
      <w:r>
        <w:rPr>
          <w:color w:val="231F20"/>
        </w:rPr>
        <w:t>situace,</w:t>
      </w:r>
      <w:r>
        <w:rPr>
          <w:color w:val="231F20"/>
          <w:spacing w:val="-5"/>
        </w:rPr>
        <w:t xml:space="preserve"> </w:t>
      </w:r>
      <w:r>
        <w:rPr>
          <w:color w:val="231F20"/>
        </w:rPr>
        <w:t>kdy</w:t>
      </w:r>
      <w:r>
        <w:rPr>
          <w:color w:val="231F20"/>
          <w:spacing w:val="-5"/>
        </w:rPr>
        <w:t xml:space="preserve"> </w:t>
      </w:r>
      <w:r>
        <w:rPr>
          <w:color w:val="231F20"/>
        </w:rPr>
        <w:t>si</w:t>
      </w:r>
      <w:r>
        <w:rPr>
          <w:color w:val="231F20"/>
          <w:spacing w:val="-4"/>
        </w:rPr>
        <w:t xml:space="preserve"> </w:t>
      </w:r>
      <w:r>
        <w:rPr>
          <w:color w:val="231F20"/>
        </w:rPr>
        <w:t>třetí</w:t>
      </w:r>
      <w:r>
        <w:rPr>
          <w:color w:val="231F20"/>
          <w:spacing w:val="-5"/>
        </w:rPr>
        <w:t xml:space="preserve"> </w:t>
      </w:r>
      <w:r>
        <w:rPr>
          <w:color w:val="231F20"/>
        </w:rPr>
        <w:t>osoba</w:t>
      </w:r>
      <w:r>
        <w:rPr>
          <w:color w:val="231F20"/>
          <w:spacing w:val="-5"/>
        </w:rPr>
        <w:t xml:space="preserve"> </w:t>
      </w:r>
      <w:r>
        <w:rPr>
          <w:color w:val="231F20"/>
        </w:rPr>
        <w:t>přisvojí</w:t>
      </w:r>
      <w:r>
        <w:rPr>
          <w:color w:val="231F20"/>
          <w:spacing w:val="-4"/>
        </w:rPr>
        <w:t xml:space="preserve"> </w:t>
      </w:r>
      <w:r>
        <w:rPr>
          <w:color w:val="231F20"/>
        </w:rPr>
        <w:t>pojištěnou</w:t>
      </w:r>
      <w:r>
        <w:rPr>
          <w:color w:val="231F20"/>
          <w:spacing w:val="-5"/>
        </w:rPr>
        <w:t xml:space="preserve"> </w:t>
      </w:r>
      <w:r>
        <w:rPr>
          <w:color w:val="231F20"/>
        </w:rPr>
        <w:t>věc</w:t>
      </w:r>
      <w:r>
        <w:rPr>
          <w:color w:val="231F20"/>
          <w:spacing w:val="-5"/>
        </w:rPr>
        <w:t xml:space="preserve"> </w:t>
      </w:r>
      <w:r>
        <w:rPr>
          <w:color w:val="231F20"/>
        </w:rPr>
        <w:t>nad</w:t>
      </w:r>
      <w:r>
        <w:rPr>
          <w:color w:val="231F20"/>
          <w:spacing w:val="-4"/>
        </w:rPr>
        <w:t xml:space="preserve"> </w:t>
      </w:r>
      <w:r>
        <w:rPr>
          <w:color w:val="231F20"/>
        </w:rPr>
        <w:t>rá- mec, ve kterém jí byla pojištěná věc</w:t>
      </w:r>
      <w:r>
        <w:rPr>
          <w:color w:val="231F20"/>
          <w:spacing w:val="-14"/>
        </w:rPr>
        <w:t xml:space="preserve"> </w:t>
      </w:r>
      <w:r>
        <w:rPr>
          <w:color w:val="231F20"/>
        </w:rPr>
        <w:t>svěřena.</w:t>
      </w:r>
    </w:p>
    <w:p w14:paraId="2E73A759" w14:textId="77777777" w:rsidR="00F65BCA" w:rsidRDefault="00216117">
      <w:pPr>
        <w:pStyle w:val="Zkladntext"/>
        <w:spacing w:line="278" w:lineRule="auto"/>
        <w:ind w:left="426" w:right="-7"/>
      </w:pPr>
      <w:r>
        <w:rPr>
          <w:color w:val="231F20"/>
        </w:rPr>
        <w:t>Živelní</w:t>
      </w:r>
      <w:r>
        <w:rPr>
          <w:color w:val="231F20"/>
          <w:spacing w:val="-6"/>
        </w:rPr>
        <w:t xml:space="preserve"> </w:t>
      </w:r>
      <w:r>
        <w:rPr>
          <w:color w:val="231F20"/>
        </w:rPr>
        <w:t>událostí</w:t>
      </w:r>
      <w:r>
        <w:rPr>
          <w:color w:val="231F20"/>
          <w:spacing w:val="-6"/>
        </w:rPr>
        <w:t xml:space="preserve"> </w:t>
      </w:r>
      <w:r>
        <w:rPr>
          <w:color w:val="231F20"/>
        </w:rPr>
        <w:t>se</w:t>
      </w:r>
      <w:r>
        <w:rPr>
          <w:color w:val="231F20"/>
          <w:spacing w:val="-6"/>
        </w:rPr>
        <w:t xml:space="preserve"> </w:t>
      </w:r>
      <w:r>
        <w:rPr>
          <w:color w:val="231F20"/>
        </w:rPr>
        <w:t>rozumí</w:t>
      </w:r>
      <w:r>
        <w:rPr>
          <w:color w:val="231F20"/>
          <w:spacing w:val="-6"/>
        </w:rPr>
        <w:t xml:space="preserve"> </w:t>
      </w:r>
      <w:r>
        <w:rPr>
          <w:color w:val="231F20"/>
        </w:rPr>
        <w:t>nahodilé</w:t>
      </w:r>
      <w:r>
        <w:rPr>
          <w:color w:val="231F20"/>
          <w:spacing w:val="-6"/>
        </w:rPr>
        <w:t xml:space="preserve"> </w:t>
      </w:r>
      <w:r>
        <w:rPr>
          <w:color w:val="231F20"/>
        </w:rPr>
        <w:t>náhlé</w:t>
      </w:r>
      <w:r>
        <w:rPr>
          <w:color w:val="231F20"/>
          <w:spacing w:val="-6"/>
        </w:rPr>
        <w:t xml:space="preserve"> </w:t>
      </w:r>
      <w:r>
        <w:rPr>
          <w:color w:val="231F20"/>
        </w:rPr>
        <w:t>působení</w:t>
      </w:r>
      <w:r>
        <w:rPr>
          <w:color w:val="231F20"/>
          <w:spacing w:val="-6"/>
        </w:rPr>
        <w:t xml:space="preserve"> </w:t>
      </w:r>
      <w:r>
        <w:rPr>
          <w:color w:val="231F20"/>
        </w:rPr>
        <w:t>následujících</w:t>
      </w:r>
      <w:r>
        <w:rPr>
          <w:color w:val="231F20"/>
          <w:spacing w:val="-6"/>
        </w:rPr>
        <w:t xml:space="preserve"> </w:t>
      </w:r>
      <w:r>
        <w:rPr>
          <w:color w:val="231F20"/>
        </w:rPr>
        <w:t>přírodních</w:t>
      </w:r>
      <w:r>
        <w:rPr>
          <w:color w:val="231F20"/>
          <w:spacing w:val="-6"/>
        </w:rPr>
        <w:t xml:space="preserve"> </w:t>
      </w:r>
      <w:r>
        <w:rPr>
          <w:color w:val="231F20"/>
          <w:spacing w:val="-4"/>
        </w:rPr>
        <w:t xml:space="preserve">fyzi- </w:t>
      </w:r>
      <w:r>
        <w:rPr>
          <w:color w:val="231F20"/>
        </w:rPr>
        <w:t>kálních</w:t>
      </w:r>
      <w:r>
        <w:rPr>
          <w:color w:val="231F20"/>
          <w:spacing w:val="-1"/>
        </w:rPr>
        <w:t xml:space="preserve"> </w:t>
      </w:r>
      <w:r>
        <w:rPr>
          <w:color w:val="231F20"/>
        </w:rPr>
        <w:t>sil:</w:t>
      </w:r>
    </w:p>
    <w:p w14:paraId="25E7BB1B" w14:textId="77777777" w:rsidR="00F65BCA" w:rsidRDefault="00216117">
      <w:pPr>
        <w:pStyle w:val="Odstavecseseznamem"/>
        <w:numPr>
          <w:ilvl w:val="0"/>
          <w:numId w:val="135"/>
        </w:numPr>
        <w:tabs>
          <w:tab w:val="left" w:pos="598"/>
        </w:tabs>
        <w:spacing w:line="278" w:lineRule="auto"/>
        <w:jc w:val="both"/>
        <w:rPr>
          <w:sz w:val="15"/>
        </w:rPr>
      </w:pPr>
      <w:r>
        <w:rPr>
          <w:color w:val="231F20"/>
          <w:sz w:val="15"/>
        </w:rPr>
        <w:t>krupobitím</w:t>
      </w:r>
      <w:r>
        <w:rPr>
          <w:color w:val="231F20"/>
          <w:spacing w:val="-15"/>
          <w:sz w:val="15"/>
        </w:rPr>
        <w:t xml:space="preserve"> </w:t>
      </w:r>
      <w:r>
        <w:rPr>
          <w:color w:val="231F20"/>
          <w:sz w:val="15"/>
        </w:rPr>
        <w:t>se</w:t>
      </w:r>
      <w:r>
        <w:rPr>
          <w:color w:val="231F20"/>
          <w:spacing w:val="-15"/>
          <w:sz w:val="15"/>
        </w:rPr>
        <w:t xml:space="preserve"> </w:t>
      </w:r>
      <w:r>
        <w:rPr>
          <w:color w:val="231F20"/>
          <w:sz w:val="15"/>
        </w:rPr>
        <w:t>rozumí</w:t>
      </w:r>
      <w:r>
        <w:rPr>
          <w:color w:val="231F20"/>
          <w:spacing w:val="-15"/>
          <w:sz w:val="15"/>
        </w:rPr>
        <w:t xml:space="preserve"> </w:t>
      </w:r>
      <w:r>
        <w:rPr>
          <w:color w:val="231F20"/>
          <w:spacing w:val="-3"/>
          <w:sz w:val="15"/>
        </w:rPr>
        <w:t>jev,</w:t>
      </w:r>
      <w:r>
        <w:rPr>
          <w:color w:val="231F20"/>
          <w:spacing w:val="-15"/>
          <w:sz w:val="15"/>
        </w:rPr>
        <w:t xml:space="preserve"> </w:t>
      </w:r>
      <w:r>
        <w:rPr>
          <w:color w:val="231F20"/>
          <w:sz w:val="15"/>
        </w:rPr>
        <w:t>kdy</w:t>
      </w:r>
      <w:r>
        <w:rPr>
          <w:color w:val="231F20"/>
          <w:spacing w:val="-15"/>
          <w:sz w:val="15"/>
        </w:rPr>
        <w:t xml:space="preserve"> </w:t>
      </w:r>
      <w:r>
        <w:rPr>
          <w:color w:val="231F20"/>
          <w:sz w:val="15"/>
        </w:rPr>
        <w:t>kousky</w:t>
      </w:r>
      <w:r>
        <w:rPr>
          <w:color w:val="231F20"/>
          <w:spacing w:val="-15"/>
          <w:sz w:val="15"/>
        </w:rPr>
        <w:t xml:space="preserve"> </w:t>
      </w:r>
      <w:r>
        <w:rPr>
          <w:color w:val="231F20"/>
          <w:sz w:val="15"/>
        </w:rPr>
        <w:t>ledu</w:t>
      </w:r>
      <w:r>
        <w:rPr>
          <w:color w:val="231F20"/>
          <w:spacing w:val="-15"/>
          <w:sz w:val="15"/>
        </w:rPr>
        <w:t xml:space="preserve"> </w:t>
      </w:r>
      <w:r>
        <w:rPr>
          <w:color w:val="231F20"/>
          <w:sz w:val="15"/>
        </w:rPr>
        <w:t>vzniklé</w:t>
      </w:r>
      <w:r>
        <w:rPr>
          <w:color w:val="231F20"/>
          <w:spacing w:val="-15"/>
          <w:sz w:val="15"/>
        </w:rPr>
        <w:t xml:space="preserve"> </w:t>
      </w:r>
      <w:r>
        <w:rPr>
          <w:color w:val="231F20"/>
          <w:sz w:val="15"/>
        </w:rPr>
        <w:t>kondenzací</w:t>
      </w:r>
      <w:r>
        <w:rPr>
          <w:color w:val="231F20"/>
          <w:spacing w:val="-15"/>
          <w:sz w:val="15"/>
        </w:rPr>
        <w:t xml:space="preserve"> </w:t>
      </w:r>
      <w:r>
        <w:rPr>
          <w:color w:val="231F20"/>
          <w:sz w:val="15"/>
        </w:rPr>
        <w:t>atmosférické</w:t>
      </w:r>
      <w:r>
        <w:rPr>
          <w:color w:val="231F20"/>
          <w:spacing w:val="-14"/>
          <w:sz w:val="15"/>
        </w:rPr>
        <w:t xml:space="preserve"> </w:t>
      </w:r>
      <w:r>
        <w:rPr>
          <w:color w:val="231F20"/>
          <w:spacing w:val="-4"/>
          <w:sz w:val="15"/>
        </w:rPr>
        <w:t xml:space="preserve">vlh- </w:t>
      </w:r>
      <w:r>
        <w:rPr>
          <w:color w:val="231F20"/>
          <w:sz w:val="15"/>
        </w:rPr>
        <w:t>kosti dopadají na pojištěnou</w:t>
      </w:r>
      <w:r>
        <w:rPr>
          <w:color w:val="231F20"/>
          <w:spacing w:val="-4"/>
          <w:sz w:val="15"/>
        </w:rPr>
        <w:t xml:space="preserve"> </w:t>
      </w:r>
      <w:r>
        <w:rPr>
          <w:color w:val="231F20"/>
          <w:sz w:val="15"/>
        </w:rPr>
        <w:t>věc;</w:t>
      </w:r>
    </w:p>
    <w:p w14:paraId="4601B002" w14:textId="77777777" w:rsidR="00F65BCA" w:rsidRDefault="00216117">
      <w:pPr>
        <w:pStyle w:val="Odstavecseseznamem"/>
        <w:numPr>
          <w:ilvl w:val="0"/>
          <w:numId w:val="135"/>
        </w:numPr>
        <w:tabs>
          <w:tab w:val="left" w:pos="598"/>
        </w:tabs>
        <w:spacing w:line="278" w:lineRule="auto"/>
        <w:ind w:right="1"/>
        <w:jc w:val="both"/>
        <w:rPr>
          <w:sz w:val="15"/>
        </w:rPr>
      </w:pPr>
      <w:r>
        <w:rPr>
          <w:color w:val="231F20"/>
          <w:sz w:val="15"/>
        </w:rPr>
        <w:t xml:space="preserve">povodní se rozumí přechodné výrazné zvýšení hladiny vodního toku či </w:t>
      </w:r>
      <w:r>
        <w:rPr>
          <w:color w:val="231F20"/>
          <w:spacing w:val="-3"/>
          <w:sz w:val="15"/>
        </w:rPr>
        <w:t xml:space="preserve">vodní </w:t>
      </w:r>
      <w:r>
        <w:rPr>
          <w:color w:val="231F20"/>
          <w:sz w:val="15"/>
        </w:rPr>
        <w:t>nádrže,</w:t>
      </w:r>
      <w:r>
        <w:rPr>
          <w:color w:val="231F20"/>
          <w:spacing w:val="-10"/>
          <w:sz w:val="15"/>
        </w:rPr>
        <w:t xml:space="preserve"> </w:t>
      </w:r>
      <w:r>
        <w:rPr>
          <w:color w:val="231F20"/>
          <w:sz w:val="15"/>
        </w:rPr>
        <w:t>které</w:t>
      </w:r>
      <w:r>
        <w:rPr>
          <w:color w:val="231F20"/>
          <w:spacing w:val="-10"/>
          <w:sz w:val="15"/>
        </w:rPr>
        <w:t xml:space="preserve"> </w:t>
      </w:r>
      <w:r>
        <w:rPr>
          <w:color w:val="231F20"/>
          <w:sz w:val="15"/>
        </w:rPr>
        <w:t>způsobí</w:t>
      </w:r>
      <w:r>
        <w:rPr>
          <w:color w:val="231F20"/>
          <w:spacing w:val="-10"/>
          <w:sz w:val="15"/>
        </w:rPr>
        <w:t xml:space="preserve"> </w:t>
      </w:r>
      <w:r>
        <w:rPr>
          <w:color w:val="231F20"/>
          <w:sz w:val="15"/>
        </w:rPr>
        <w:t>zaplavení</w:t>
      </w:r>
      <w:r>
        <w:rPr>
          <w:color w:val="231F20"/>
          <w:spacing w:val="-10"/>
          <w:sz w:val="15"/>
        </w:rPr>
        <w:t xml:space="preserve"> </w:t>
      </w:r>
      <w:r>
        <w:rPr>
          <w:color w:val="231F20"/>
          <w:sz w:val="15"/>
        </w:rPr>
        <w:t>větších</w:t>
      </w:r>
      <w:r>
        <w:rPr>
          <w:color w:val="231F20"/>
          <w:spacing w:val="-10"/>
          <w:sz w:val="15"/>
        </w:rPr>
        <w:t xml:space="preserve"> </w:t>
      </w:r>
      <w:r>
        <w:rPr>
          <w:color w:val="231F20"/>
          <w:sz w:val="15"/>
        </w:rPr>
        <w:t>či</w:t>
      </w:r>
      <w:r>
        <w:rPr>
          <w:color w:val="231F20"/>
          <w:spacing w:val="-10"/>
          <w:sz w:val="15"/>
        </w:rPr>
        <w:t xml:space="preserve"> </w:t>
      </w:r>
      <w:r>
        <w:rPr>
          <w:color w:val="231F20"/>
          <w:sz w:val="15"/>
        </w:rPr>
        <w:t>menších</w:t>
      </w:r>
      <w:r>
        <w:rPr>
          <w:color w:val="231F20"/>
          <w:spacing w:val="-10"/>
          <w:sz w:val="15"/>
        </w:rPr>
        <w:t xml:space="preserve"> </w:t>
      </w:r>
      <w:r>
        <w:rPr>
          <w:color w:val="231F20"/>
          <w:sz w:val="15"/>
        </w:rPr>
        <w:t>území</w:t>
      </w:r>
      <w:r>
        <w:rPr>
          <w:color w:val="231F20"/>
          <w:spacing w:val="-10"/>
          <w:sz w:val="15"/>
        </w:rPr>
        <w:t xml:space="preserve"> </w:t>
      </w:r>
      <w:r>
        <w:rPr>
          <w:color w:val="231F20"/>
          <w:sz w:val="15"/>
        </w:rPr>
        <w:t>vylitou</w:t>
      </w:r>
      <w:r>
        <w:rPr>
          <w:color w:val="231F20"/>
          <w:spacing w:val="-10"/>
          <w:sz w:val="15"/>
        </w:rPr>
        <w:t xml:space="preserve"> </w:t>
      </w:r>
      <w:r>
        <w:rPr>
          <w:color w:val="231F20"/>
          <w:sz w:val="15"/>
        </w:rPr>
        <w:t>vodou;</w:t>
      </w:r>
    </w:p>
    <w:p w14:paraId="49CA1537" w14:textId="77777777" w:rsidR="00F65BCA" w:rsidRDefault="00216117">
      <w:pPr>
        <w:pStyle w:val="Odstavecseseznamem"/>
        <w:numPr>
          <w:ilvl w:val="0"/>
          <w:numId w:val="135"/>
        </w:numPr>
        <w:tabs>
          <w:tab w:val="left" w:pos="598"/>
        </w:tabs>
        <w:spacing w:line="278" w:lineRule="auto"/>
        <w:ind w:right="1"/>
        <w:jc w:val="both"/>
        <w:rPr>
          <w:sz w:val="15"/>
        </w:rPr>
      </w:pPr>
      <w:r>
        <w:rPr>
          <w:color w:val="231F20"/>
          <w:sz w:val="15"/>
        </w:rPr>
        <w:t>požárem</w:t>
      </w:r>
      <w:r>
        <w:rPr>
          <w:color w:val="231F20"/>
          <w:spacing w:val="-15"/>
          <w:sz w:val="15"/>
        </w:rPr>
        <w:t xml:space="preserve"> </w:t>
      </w:r>
      <w:r>
        <w:rPr>
          <w:color w:val="231F20"/>
          <w:sz w:val="15"/>
        </w:rPr>
        <w:t>se</w:t>
      </w:r>
      <w:r>
        <w:rPr>
          <w:color w:val="231F20"/>
          <w:spacing w:val="-14"/>
          <w:sz w:val="15"/>
        </w:rPr>
        <w:t xml:space="preserve"> </w:t>
      </w:r>
      <w:r>
        <w:rPr>
          <w:color w:val="231F20"/>
          <w:sz w:val="15"/>
        </w:rPr>
        <w:t>rozumí</w:t>
      </w:r>
      <w:r>
        <w:rPr>
          <w:color w:val="231F20"/>
          <w:spacing w:val="-14"/>
          <w:sz w:val="15"/>
        </w:rPr>
        <w:t xml:space="preserve"> </w:t>
      </w:r>
      <w:r>
        <w:rPr>
          <w:color w:val="231F20"/>
          <w:sz w:val="15"/>
        </w:rPr>
        <w:t>oheň</w:t>
      </w:r>
      <w:r>
        <w:rPr>
          <w:color w:val="231F20"/>
          <w:spacing w:val="-15"/>
          <w:sz w:val="15"/>
        </w:rPr>
        <w:t xml:space="preserve"> </w:t>
      </w:r>
      <w:r>
        <w:rPr>
          <w:color w:val="231F20"/>
          <w:sz w:val="15"/>
        </w:rPr>
        <w:t>vzniklý</w:t>
      </w:r>
      <w:r>
        <w:rPr>
          <w:color w:val="231F20"/>
          <w:spacing w:val="-14"/>
          <w:sz w:val="15"/>
        </w:rPr>
        <w:t xml:space="preserve"> </w:t>
      </w:r>
      <w:r>
        <w:rPr>
          <w:color w:val="231F20"/>
          <w:sz w:val="15"/>
        </w:rPr>
        <w:t>mimo</w:t>
      </w:r>
      <w:r>
        <w:rPr>
          <w:color w:val="231F20"/>
          <w:spacing w:val="-14"/>
          <w:sz w:val="15"/>
        </w:rPr>
        <w:t xml:space="preserve"> </w:t>
      </w:r>
      <w:r>
        <w:rPr>
          <w:color w:val="231F20"/>
          <w:sz w:val="15"/>
        </w:rPr>
        <w:t>určené</w:t>
      </w:r>
      <w:r>
        <w:rPr>
          <w:color w:val="231F20"/>
          <w:spacing w:val="-15"/>
          <w:sz w:val="15"/>
        </w:rPr>
        <w:t xml:space="preserve"> </w:t>
      </w:r>
      <w:r>
        <w:rPr>
          <w:color w:val="231F20"/>
          <w:sz w:val="15"/>
        </w:rPr>
        <w:t>ohniště</w:t>
      </w:r>
      <w:r>
        <w:rPr>
          <w:color w:val="231F20"/>
          <w:spacing w:val="-14"/>
          <w:sz w:val="15"/>
        </w:rPr>
        <w:t xml:space="preserve"> </w:t>
      </w:r>
      <w:r>
        <w:rPr>
          <w:color w:val="231F20"/>
          <w:sz w:val="15"/>
        </w:rPr>
        <w:t>nebo</w:t>
      </w:r>
      <w:r>
        <w:rPr>
          <w:color w:val="231F20"/>
          <w:spacing w:val="-14"/>
          <w:sz w:val="15"/>
        </w:rPr>
        <w:t xml:space="preserve"> </w:t>
      </w:r>
      <w:r>
        <w:rPr>
          <w:color w:val="231F20"/>
          <w:sz w:val="15"/>
        </w:rPr>
        <w:t>oheň,</w:t>
      </w:r>
      <w:r>
        <w:rPr>
          <w:color w:val="231F20"/>
          <w:spacing w:val="-15"/>
          <w:sz w:val="15"/>
        </w:rPr>
        <w:t xml:space="preserve"> </w:t>
      </w:r>
      <w:r>
        <w:rPr>
          <w:color w:val="231F20"/>
          <w:sz w:val="15"/>
        </w:rPr>
        <w:t>který</w:t>
      </w:r>
      <w:r>
        <w:rPr>
          <w:color w:val="231F20"/>
          <w:spacing w:val="-14"/>
          <w:sz w:val="15"/>
        </w:rPr>
        <w:t xml:space="preserve"> </w:t>
      </w:r>
      <w:r>
        <w:rPr>
          <w:color w:val="231F20"/>
          <w:spacing w:val="-3"/>
          <w:sz w:val="15"/>
        </w:rPr>
        <w:t xml:space="preserve">ohniště </w:t>
      </w:r>
      <w:r>
        <w:rPr>
          <w:color w:val="231F20"/>
          <w:sz w:val="15"/>
        </w:rPr>
        <w:t>opustil</w:t>
      </w:r>
      <w:r>
        <w:rPr>
          <w:color w:val="231F20"/>
          <w:spacing w:val="-11"/>
          <w:sz w:val="15"/>
        </w:rPr>
        <w:t xml:space="preserve"> </w:t>
      </w:r>
      <w:r>
        <w:rPr>
          <w:color w:val="231F20"/>
          <w:sz w:val="15"/>
        </w:rPr>
        <w:t>a</w:t>
      </w:r>
      <w:r>
        <w:rPr>
          <w:color w:val="231F20"/>
          <w:spacing w:val="-10"/>
          <w:sz w:val="15"/>
        </w:rPr>
        <w:t xml:space="preserve"> </w:t>
      </w:r>
      <w:r>
        <w:rPr>
          <w:color w:val="231F20"/>
          <w:sz w:val="15"/>
        </w:rPr>
        <w:t>vlastní</w:t>
      </w:r>
      <w:r>
        <w:rPr>
          <w:color w:val="231F20"/>
          <w:spacing w:val="-10"/>
          <w:sz w:val="15"/>
        </w:rPr>
        <w:t xml:space="preserve"> </w:t>
      </w:r>
      <w:r>
        <w:rPr>
          <w:color w:val="231F20"/>
          <w:sz w:val="15"/>
        </w:rPr>
        <w:t>silou</w:t>
      </w:r>
      <w:r>
        <w:rPr>
          <w:color w:val="231F20"/>
          <w:spacing w:val="-10"/>
          <w:sz w:val="15"/>
        </w:rPr>
        <w:t xml:space="preserve"> </w:t>
      </w:r>
      <w:r>
        <w:rPr>
          <w:color w:val="231F20"/>
          <w:sz w:val="15"/>
        </w:rPr>
        <w:t>se</w:t>
      </w:r>
      <w:r>
        <w:rPr>
          <w:color w:val="231F20"/>
          <w:spacing w:val="-11"/>
          <w:sz w:val="15"/>
        </w:rPr>
        <w:t xml:space="preserve"> </w:t>
      </w:r>
      <w:r>
        <w:rPr>
          <w:color w:val="231F20"/>
          <w:sz w:val="15"/>
        </w:rPr>
        <w:t>rozšířil,</w:t>
      </w:r>
      <w:r>
        <w:rPr>
          <w:color w:val="231F20"/>
          <w:spacing w:val="-10"/>
          <w:sz w:val="15"/>
        </w:rPr>
        <w:t xml:space="preserve"> </w:t>
      </w:r>
      <w:r>
        <w:rPr>
          <w:color w:val="231F20"/>
          <w:sz w:val="15"/>
        </w:rPr>
        <w:t>popřípadě</w:t>
      </w:r>
      <w:r>
        <w:rPr>
          <w:color w:val="231F20"/>
          <w:spacing w:val="-10"/>
          <w:sz w:val="15"/>
        </w:rPr>
        <w:t xml:space="preserve"> </w:t>
      </w:r>
      <w:r>
        <w:rPr>
          <w:color w:val="231F20"/>
          <w:sz w:val="15"/>
        </w:rPr>
        <w:t>byl</w:t>
      </w:r>
      <w:r>
        <w:rPr>
          <w:color w:val="231F20"/>
          <w:spacing w:val="-10"/>
          <w:sz w:val="15"/>
        </w:rPr>
        <w:t xml:space="preserve"> </w:t>
      </w:r>
      <w:r>
        <w:rPr>
          <w:color w:val="231F20"/>
          <w:sz w:val="15"/>
        </w:rPr>
        <w:t>pachatelem</w:t>
      </w:r>
      <w:r>
        <w:rPr>
          <w:color w:val="231F20"/>
          <w:spacing w:val="-11"/>
          <w:sz w:val="15"/>
        </w:rPr>
        <w:t xml:space="preserve"> </w:t>
      </w:r>
      <w:r>
        <w:rPr>
          <w:color w:val="231F20"/>
          <w:sz w:val="15"/>
        </w:rPr>
        <w:t>založen</w:t>
      </w:r>
      <w:r>
        <w:rPr>
          <w:color w:val="231F20"/>
          <w:spacing w:val="-10"/>
          <w:sz w:val="15"/>
        </w:rPr>
        <w:t xml:space="preserve"> </w:t>
      </w:r>
      <w:r>
        <w:rPr>
          <w:color w:val="231F20"/>
          <w:sz w:val="15"/>
        </w:rPr>
        <w:t>nebo</w:t>
      </w:r>
      <w:r>
        <w:rPr>
          <w:color w:val="231F20"/>
          <w:spacing w:val="-10"/>
          <w:sz w:val="15"/>
        </w:rPr>
        <w:t xml:space="preserve"> </w:t>
      </w:r>
      <w:r>
        <w:rPr>
          <w:color w:val="231F20"/>
          <w:spacing w:val="-4"/>
          <w:sz w:val="15"/>
        </w:rPr>
        <w:t xml:space="preserve">rozší- </w:t>
      </w:r>
      <w:r>
        <w:rPr>
          <w:color w:val="231F20"/>
          <w:sz w:val="15"/>
        </w:rPr>
        <w:t>řen.</w:t>
      </w:r>
      <w:r>
        <w:rPr>
          <w:color w:val="231F20"/>
          <w:spacing w:val="-29"/>
          <w:sz w:val="15"/>
        </w:rPr>
        <w:t xml:space="preserve"> </w:t>
      </w:r>
      <w:r>
        <w:rPr>
          <w:color w:val="231F20"/>
          <w:sz w:val="15"/>
        </w:rPr>
        <w:t>Za</w:t>
      </w:r>
      <w:r>
        <w:rPr>
          <w:color w:val="231F20"/>
          <w:spacing w:val="-29"/>
          <w:sz w:val="15"/>
        </w:rPr>
        <w:t xml:space="preserve"> </w:t>
      </w:r>
      <w:r>
        <w:rPr>
          <w:color w:val="231F20"/>
          <w:sz w:val="15"/>
        </w:rPr>
        <w:t>požár</w:t>
      </w:r>
      <w:r>
        <w:rPr>
          <w:color w:val="231F20"/>
          <w:spacing w:val="-29"/>
          <w:sz w:val="15"/>
        </w:rPr>
        <w:t xml:space="preserve"> </w:t>
      </w:r>
      <w:r>
        <w:rPr>
          <w:color w:val="231F20"/>
          <w:sz w:val="15"/>
        </w:rPr>
        <w:t>se</w:t>
      </w:r>
      <w:r>
        <w:rPr>
          <w:color w:val="231F20"/>
          <w:spacing w:val="-29"/>
          <w:sz w:val="15"/>
        </w:rPr>
        <w:t xml:space="preserve"> </w:t>
      </w:r>
      <w:r>
        <w:rPr>
          <w:color w:val="231F20"/>
          <w:sz w:val="15"/>
        </w:rPr>
        <w:t>nepovažují</w:t>
      </w:r>
      <w:r>
        <w:rPr>
          <w:color w:val="231F20"/>
          <w:spacing w:val="-29"/>
          <w:sz w:val="15"/>
        </w:rPr>
        <w:t xml:space="preserve"> </w:t>
      </w:r>
      <w:r>
        <w:rPr>
          <w:color w:val="231F20"/>
          <w:sz w:val="15"/>
        </w:rPr>
        <w:t>škody</w:t>
      </w:r>
      <w:r>
        <w:rPr>
          <w:color w:val="231F20"/>
          <w:spacing w:val="-29"/>
          <w:sz w:val="15"/>
        </w:rPr>
        <w:t xml:space="preserve"> </w:t>
      </w:r>
      <w:r>
        <w:rPr>
          <w:color w:val="231F20"/>
          <w:sz w:val="15"/>
        </w:rPr>
        <w:t>vzniklé</w:t>
      </w:r>
      <w:r>
        <w:rPr>
          <w:color w:val="231F20"/>
          <w:spacing w:val="-29"/>
          <w:sz w:val="15"/>
        </w:rPr>
        <w:t xml:space="preserve"> </w:t>
      </w:r>
      <w:r>
        <w:rPr>
          <w:color w:val="231F20"/>
          <w:sz w:val="15"/>
        </w:rPr>
        <w:t>ožehnutím,</w:t>
      </w:r>
      <w:r>
        <w:rPr>
          <w:color w:val="231F20"/>
          <w:spacing w:val="-29"/>
          <w:sz w:val="15"/>
        </w:rPr>
        <w:t xml:space="preserve"> </w:t>
      </w:r>
      <w:r>
        <w:rPr>
          <w:color w:val="231F20"/>
          <w:sz w:val="15"/>
        </w:rPr>
        <w:t>které</w:t>
      </w:r>
      <w:r>
        <w:rPr>
          <w:color w:val="231F20"/>
          <w:spacing w:val="-29"/>
          <w:sz w:val="15"/>
        </w:rPr>
        <w:t xml:space="preserve"> </w:t>
      </w:r>
      <w:r>
        <w:rPr>
          <w:color w:val="231F20"/>
          <w:sz w:val="15"/>
        </w:rPr>
        <w:t>nevzniklo</w:t>
      </w:r>
      <w:r>
        <w:rPr>
          <w:color w:val="231F20"/>
          <w:spacing w:val="-29"/>
          <w:sz w:val="15"/>
        </w:rPr>
        <w:t xml:space="preserve"> </w:t>
      </w:r>
      <w:r>
        <w:rPr>
          <w:color w:val="231F20"/>
          <w:sz w:val="15"/>
        </w:rPr>
        <w:t>následkem požáru,</w:t>
      </w:r>
      <w:r>
        <w:rPr>
          <w:color w:val="231F20"/>
          <w:spacing w:val="-10"/>
          <w:sz w:val="15"/>
        </w:rPr>
        <w:t xml:space="preserve"> </w:t>
      </w:r>
      <w:r>
        <w:rPr>
          <w:color w:val="231F20"/>
          <w:sz w:val="15"/>
        </w:rPr>
        <w:t>ani</w:t>
      </w:r>
      <w:r>
        <w:rPr>
          <w:color w:val="231F20"/>
          <w:spacing w:val="-10"/>
          <w:sz w:val="15"/>
        </w:rPr>
        <w:t xml:space="preserve"> </w:t>
      </w:r>
      <w:r>
        <w:rPr>
          <w:color w:val="231F20"/>
          <w:sz w:val="15"/>
        </w:rPr>
        <w:t>škody</w:t>
      </w:r>
      <w:r>
        <w:rPr>
          <w:color w:val="231F20"/>
          <w:spacing w:val="-9"/>
          <w:sz w:val="15"/>
        </w:rPr>
        <w:t xml:space="preserve"> </w:t>
      </w:r>
      <w:r>
        <w:rPr>
          <w:color w:val="231F20"/>
          <w:sz w:val="15"/>
        </w:rPr>
        <w:t>vzniklé</w:t>
      </w:r>
      <w:r>
        <w:rPr>
          <w:color w:val="231F20"/>
          <w:spacing w:val="-10"/>
          <w:sz w:val="15"/>
        </w:rPr>
        <w:t xml:space="preserve"> </w:t>
      </w:r>
      <w:r>
        <w:rPr>
          <w:color w:val="231F20"/>
          <w:sz w:val="15"/>
        </w:rPr>
        <w:t>tím,</w:t>
      </w:r>
      <w:r>
        <w:rPr>
          <w:color w:val="231F20"/>
          <w:spacing w:val="-9"/>
          <w:sz w:val="15"/>
        </w:rPr>
        <w:t xml:space="preserve"> </w:t>
      </w:r>
      <w:r>
        <w:rPr>
          <w:color w:val="231F20"/>
          <w:sz w:val="15"/>
        </w:rPr>
        <w:t>že</w:t>
      </w:r>
      <w:r>
        <w:rPr>
          <w:color w:val="231F20"/>
          <w:spacing w:val="-10"/>
          <w:sz w:val="15"/>
        </w:rPr>
        <w:t xml:space="preserve"> </w:t>
      </w:r>
      <w:r>
        <w:rPr>
          <w:color w:val="231F20"/>
          <w:sz w:val="15"/>
        </w:rPr>
        <w:t>pojištěná</w:t>
      </w:r>
      <w:r>
        <w:rPr>
          <w:color w:val="231F20"/>
          <w:spacing w:val="-10"/>
          <w:sz w:val="15"/>
        </w:rPr>
        <w:t xml:space="preserve"> </w:t>
      </w:r>
      <w:r>
        <w:rPr>
          <w:color w:val="231F20"/>
          <w:sz w:val="15"/>
        </w:rPr>
        <w:t>věc</w:t>
      </w:r>
      <w:r>
        <w:rPr>
          <w:color w:val="231F20"/>
          <w:spacing w:val="-9"/>
          <w:sz w:val="15"/>
        </w:rPr>
        <w:t xml:space="preserve"> </w:t>
      </w:r>
      <w:r>
        <w:rPr>
          <w:color w:val="231F20"/>
          <w:sz w:val="15"/>
        </w:rPr>
        <w:t>byla</w:t>
      </w:r>
      <w:r>
        <w:rPr>
          <w:color w:val="231F20"/>
          <w:spacing w:val="-10"/>
          <w:sz w:val="15"/>
        </w:rPr>
        <w:t xml:space="preserve"> </w:t>
      </w:r>
      <w:r>
        <w:rPr>
          <w:color w:val="231F20"/>
          <w:sz w:val="15"/>
        </w:rPr>
        <w:t>vystavena</w:t>
      </w:r>
      <w:r>
        <w:rPr>
          <w:color w:val="231F20"/>
          <w:spacing w:val="-9"/>
          <w:sz w:val="15"/>
        </w:rPr>
        <w:t xml:space="preserve"> </w:t>
      </w:r>
      <w:r>
        <w:rPr>
          <w:color w:val="231F20"/>
          <w:sz w:val="15"/>
        </w:rPr>
        <w:t>účinkům</w:t>
      </w:r>
      <w:r>
        <w:rPr>
          <w:color w:val="231F20"/>
          <w:spacing w:val="-10"/>
          <w:sz w:val="15"/>
        </w:rPr>
        <w:t xml:space="preserve"> </w:t>
      </w:r>
      <w:r>
        <w:rPr>
          <w:color w:val="231F20"/>
          <w:sz w:val="15"/>
        </w:rPr>
        <w:t>užitko- vého</w:t>
      </w:r>
      <w:r>
        <w:rPr>
          <w:color w:val="231F20"/>
          <w:spacing w:val="-22"/>
          <w:sz w:val="15"/>
        </w:rPr>
        <w:t xml:space="preserve"> </w:t>
      </w:r>
      <w:r>
        <w:rPr>
          <w:color w:val="231F20"/>
          <w:sz w:val="15"/>
        </w:rPr>
        <w:t>ohně,</w:t>
      </w:r>
      <w:r>
        <w:rPr>
          <w:color w:val="231F20"/>
          <w:spacing w:val="-22"/>
          <w:sz w:val="15"/>
        </w:rPr>
        <w:t xml:space="preserve"> </w:t>
      </w:r>
      <w:r>
        <w:rPr>
          <w:color w:val="231F20"/>
          <w:sz w:val="15"/>
        </w:rPr>
        <w:t>tepla,</w:t>
      </w:r>
      <w:r>
        <w:rPr>
          <w:color w:val="231F20"/>
          <w:spacing w:val="-21"/>
          <w:sz w:val="15"/>
        </w:rPr>
        <w:t xml:space="preserve"> </w:t>
      </w:r>
      <w:r>
        <w:rPr>
          <w:color w:val="231F20"/>
          <w:sz w:val="15"/>
        </w:rPr>
        <w:t>elektrického</w:t>
      </w:r>
      <w:r>
        <w:rPr>
          <w:color w:val="231F20"/>
          <w:spacing w:val="-22"/>
          <w:sz w:val="15"/>
        </w:rPr>
        <w:t xml:space="preserve"> </w:t>
      </w:r>
      <w:r>
        <w:rPr>
          <w:color w:val="231F20"/>
          <w:sz w:val="15"/>
        </w:rPr>
        <w:t>proudu,</w:t>
      </w:r>
      <w:r>
        <w:rPr>
          <w:color w:val="231F20"/>
          <w:spacing w:val="-21"/>
          <w:sz w:val="15"/>
        </w:rPr>
        <w:t xml:space="preserve"> </w:t>
      </w:r>
      <w:r>
        <w:rPr>
          <w:color w:val="231F20"/>
          <w:sz w:val="15"/>
        </w:rPr>
        <w:t>chemickým</w:t>
      </w:r>
      <w:r>
        <w:rPr>
          <w:color w:val="231F20"/>
          <w:spacing w:val="-22"/>
          <w:sz w:val="15"/>
        </w:rPr>
        <w:t xml:space="preserve"> </w:t>
      </w:r>
      <w:r>
        <w:rPr>
          <w:color w:val="231F20"/>
          <w:sz w:val="15"/>
        </w:rPr>
        <w:t>účinkům,</w:t>
      </w:r>
      <w:r>
        <w:rPr>
          <w:color w:val="231F20"/>
          <w:spacing w:val="-21"/>
          <w:sz w:val="15"/>
        </w:rPr>
        <w:t xml:space="preserve"> </w:t>
      </w:r>
      <w:r>
        <w:rPr>
          <w:color w:val="231F20"/>
          <w:sz w:val="15"/>
        </w:rPr>
        <w:t>nebo</w:t>
      </w:r>
      <w:r>
        <w:rPr>
          <w:color w:val="231F20"/>
          <w:spacing w:val="-22"/>
          <w:sz w:val="15"/>
        </w:rPr>
        <w:t xml:space="preserve"> </w:t>
      </w:r>
      <w:r>
        <w:rPr>
          <w:color w:val="231F20"/>
          <w:sz w:val="15"/>
        </w:rPr>
        <w:t>škody</w:t>
      </w:r>
      <w:r>
        <w:rPr>
          <w:color w:val="231F20"/>
          <w:spacing w:val="-21"/>
          <w:sz w:val="15"/>
        </w:rPr>
        <w:t xml:space="preserve"> </w:t>
      </w:r>
      <w:r>
        <w:rPr>
          <w:color w:val="231F20"/>
          <w:sz w:val="15"/>
        </w:rPr>
        <w:t>vzniklé pouze</w:t>
      </w:r>
      <w:r>
        <w:rPr>
          <w:color w:val="231F20"/>
          <w:spacing w:val="-21"/>
          <w:sz w:val="15"/>
        </w:rPr>
        <w:t xml:space="preserve"> </w:t>
      </w:r>
      <w:r>
        <w:rPr>
          <w:color w:val="231F20"/>
          <w:sz w:val="15"/>
        </w:rPr>
        <w:t>znečištěním</w:t>
      </w:r>
      <w:r>
        <w:rPr>
          <w:color w:val="231F20"/>
          <w:spacing w:val="-21"/>
          <w:sz w:val="15"/>
        </w:rPr>
        <w:t xml:space="preserve"> </w:t>
      </w:r>
      <w:r>
        <w:rPr>
          <w:color w:val="231F20"/>
          <w:sz w:val="15"/>
        </w:rPr>
        <w:t>kouřem.</w:t>
      </w:r>
      <w:r>
        <w:rPr>
          <w:color w:val="231F20"/>
          <w:spacing w:val="-21"/>
          <w:sz w:val="15"/>
        </w:rPr>
        <w:t xml:space="preserve"> </w:t>
      </w:r>
      <w:r>
        <w:rPr>
          <w:color w:val="231F20"/>
          <w:sz w:val="15"/>
        </w:rPr>
        <w:t>Požárem</w:t>
      </w:r>
      <w:r>
        <w:rPr>
          <w:color w:val="231F20"/>
          <w:spacing w:val="-21"/>
          <w:sz w:val="15"/>
        </w:rPr>
        <w:t xml:space="preserve"> </w:t>
      </w:r>
      <w:r>
        <w:rPr>
          <w:color w:val="231F20"/>
          <w:sz w:val="15"/>
        </w:rPr>
        <w:t>se</w:t>
      </w:r>
      <w:r>
        <w:rPr>
          <w:color w:val="231F20"/>
          <w:spacing w:val="-21"/>
          <w:sz w:val="15"/>
        </w:rPr>
        <w:t xml:space="preserve"> </w:t>
      </w:r>
      <w:r>
        <w:rPr>
          <w:color w:val="231F20"/>
          <w:sz w:val="15"/>
        </w:rPr>
        <w:t>také</w:t>
      </w:r>
      <w:r>
        <w:rPr>
          <w:color w:val="231F20"/>
          <w:spacing w:val="-21"/>
          <w:sz w:val="15"/>
        </w:rPr>
        <w:t xml:space="preserve"> </w:t>
      </w:r>
      <w:r>
        <w:rPr>
          <w:color w:val="231F20"/>
          <w:sz w:val="15"/>
        </w:rPr>
        <w:t>rozumí</w:t>
      </w:r>
      <w:r>
        <w:rPr>
          <w:color w:val="231F20"/>
          <w:spacing w:val="-21"/>
          <w:sz w:val="15"/>
        </w:rPr>
        <w:t xml:space="preserve"> </w:t>
      </w:r>
      <w:r>
        <w:rPr>
          <w:color w:val="231F20"/>
          <w:sz w:val="15"/>
        </w:rPr>
        <w:t>oheň</w:t>
      </w:r>
      <w:r>
        <w:rPr>
          <w:color w:val="231F20"/>
          <w:spacing w:val="-21"/>
          <w:sz w:val="15"/>
        </w:rPr>
        <w:t xml:space="preserve"> </w:t>
      </w:r>
      <w:r>
        <w:rPr>
          <w:color w:val="231F20"/>
          <w:sz w:val="15"/>
        </w:rPr>
        <w:t>vzniklý</w:t>
      </w:r>
      <w:r>
        <w:rPr>
          <w:color w:val="231F20"/>
          <w:spacing w:val="-21"/>
          <w:sz w:val="15"/>
        </w:rPr>
        <w:t xml:space="preserve"> </w:t>
      </w:r>
      <w:r>
        <w:rPr>
          <w:color w:val="231F20"/>
          <w:sz w:val="15"/>
        </w:rPr>
        <w:t>zkratem</w:t>
      </w:r>
      <w:r>
        <w:rPr>
          <w:color w:val="231F20"/>
          <w:spacing w:val="-21"/>
          <w:sz w:val="15"/>
        </w:rPr>
        <w:t xml:space="preserve"> </w:t>
      </w:r>
      <w:r>
        <w:rPr>
          <w:color w:val="231F20"/>
          <w:spacing w:val="-4"/>
          <w:sz w:val="15"/>
        </w:rPr>
        <w:t xml:space="preserve">nebo </w:t>
      </w:r>
      <w:r>
        <w:rPr>
          <w:color w:val="231F20"/>
          <w:sz w:val="15"/>
        </w:rPr>
        <w:t>hořením</w:t>
      </w:r>
      <w:r>
        <w:rPr>
          <w:color w:val="231F20"/>
          <w:spacing w:val="-28"/>
          <w:sz w:val="15"/>
        </w:rPr>
        <w:t xml:space="preserve"> </w:t>
      </w:r>
      <w:r>
        <w:rPr>
          <w:color w:val="231F20"/>
          <w:sz w:val="15"/>
        </w:rPr>
        <w:t>elektrického</w:t>
      </w:r>
      <w:r>
        <w:rPr>
          <w:color w:val="231F20"/>
          <w:spacing w:val="-27"/>
          <w:sz w:val="15"/>
        </w:rPr>
        <w:t xml:space="preserve"> </w:t>
      </w:r>
      <w:r>
        <w:rPr>
          <w:color w:val="231F20"/>
          <w:sz w:val="15"/>
        </w:rPr>
        <w:t>zařízení.</w:t>
      </w:r>
      <w:r>
        <w:rPr>
          <w:color w:val="231F20"/>
          <w:spacing w:val="-27"/>
          <w:sz w:val="15"/>
        </w:rPr>
        <w:t xml:space="preserve"> </w:t>
      </w:r>
      <w:r>
        <w:rPr>
          <w:color w:val="231F20"/>
          <w:sz w:val="15"/>
        </w:rPr>
        <w:t>Podmínkou</w:t>
      </w:r>
      <w:r>
        <w:rPr>
          <w:color w:val="231F20"/>
          <w:spacing w:val="-27"/>
          <w:sz w:val="15"/>
        </w:rPr>
        <w:t xml:space="preserve"> </w:t>
      </w:r>
      <w:r>
        <w:rPr>
          <w:color w:val="231F20"/>
          <w:sz w:val="15"/>
        </w:rPr>
        <w:t>je,</w:t>
      </w:r>
      <w:r>
        <w:rPr>
          <w:color w:val="231F20"/>
          <w:spacing w:val="-27"/>
          <w:sz w:val="15"/>
        </w:rPr>
        <w:t xml:space="preserve"> </w:t>
      </w:r>
      <w:r>
        <w:rPr>
          <w:color w:val="231F20"/>
          <w:sz w:val="15"/>
        </w:rPr>
        <w:t>aby</w:t>
      </w:r>
      <w:r>
        <w:rPr>
          <w:color w:val="231F20"/>
          <w:spacing w:val="-27"/>
          <w:sz w:val="15"/>
        </w:rPr>
        <w:t xml:space="preserve"> </w:t>
      </w:r>
      <w:r>
        <w:rPr>
          <w:color w:val="231F20"/>
          <w:sz w:val="15"/>
        </w:rPr>
        <w:t>se</w:t>
      </w:r>
      <w:r>
        <w:rPr>
          <w:color w:val="231F20"/>
          <w:spacing w:val="-27"/>
          <w:sz w:val="15"/>
        </w:rPr>
        <w:t xml:space="preserve"> </w:t>
      </w:r>
      <w:r>
        <w:rPr>
          <w:color w:val="231F20"/>
          <w:sz w:val="15"/>
        </w:rPr>
        <w:t>oheň</w:t>
      </w:r>
      <w:r>
        <w:rPr>
          <w:color w:val="231F20"/>
          <w:spacing w:val="-27"/>
          <w:sz w:val="15"/>
        </w:rPr>
        <w:t xml:space="preserve"> </w:t>
      </w:r>
      <w:r>
        <w:rPr>
          <w:color w:val="231F20"/>
          <w:sz w:val="15"/>
        </w:rPr>
        <w:t>rozšířil</w:t>
      </w:r>
      <w:r>
        <w:rPr>
          <w:color w:val="231F20"/>
          <w:spacing w:val="-28"/>
          <w:sz w:val="15"/>
        </w:rPr>
        <w:t xml:space="preserve"> </w:t>
      </w:r>
      <w:r>
        <w:rPr>
          <w:color w:val="231F20"/>
          <w:sz w:val="15"/>
        </w:rPr>
        <w:t>i</w:t>
      </w:r>
      <w:r>
        <w:rPr>
          <w:color w:val="231F20"/>
          <w:spacing w:val="-27"/>
          <w:sz w:val="15"/>
        </w:rPr>
        <w:t xml:space="preserve"> </w:t>
      </w:r>
      <w:r>
        <w:rPr>
          <w:color w:val="231F20"/>
          <w:sz w:val="15"/>
        </w:rPr>
        <w:t>mimo</w:t>
      </w:r>
      <w:r>
        <w:rPr>
          <w:color w:val="231F20"/>
          <w:spacing w:val="-27"/>
          <w:sz w:val="15"/>
        </w:rPr>
        <w:t xml:space="preserve"> </w:t>
      </w:r>
      <w:r>
        <w:rPr>
          <w:color w:val="231F20"/>
          <w:sz w:val="15"/>
        </w:rPr>
        <w:t>ohnisko vzniku;</w:t>
      </w:r>
    </w:p>
    <w:p w14:paraId="689CCCAC" w14:textId="77777777" w:rsidR="00F65BCA" w:rsidRDefault="00216117">
      <w:pPr>
        <w:pStyle w:val="Odstavecseseznamem"/>
        <w:numPr>
          <w:ilvl w:val="0"/>
          <w:numId w:val="135"/>
        </w:numPr>
        <w:tabs>
          <w:tab w:val="left" w:pos="598"/>
        </w:tabs>
        <w:spacing w:line="278" w:lineRule="auto"/>
        <w:jc w:val="both"/>
        <w:rPr>
          <w:sz w:val="15"/>
        </w:rPr>
      </w:pPr>
      <w:r>
        <w:rPr>
          <w:color w:val="231F20"/>
          <w:sz w:val="15"/>
        </w:rPr>
        <w:t xml:space="preserve">působením větru (vichřice, tornádo, hurikán, orkán apod.) – jedná se o </w:t>
      </w:r>
      <w:r>
        <w:rPr>
          <w:color w:val="231F20"/>
          <w:spacing w:val="-5"/>
          <w:sz w:val="15"/>
        </w:rPr>
        <w:t xml:space="preserve">dy- </w:t>
      </w:r>
      <w:r>
        <w:rPr>
          <w:color w:val="231F20"/>
          <w:sz w:val="15"/>
        </w:rPr>
        <w:t>namické působení hmoty vzduchu, která se pohybuje rychlostí 75 km/h,</w:t>
      </w:r>
      <w:r>
        <w:rPr>
          <w:color w:val="231F20"/>
          <w:spacing w:val="-19"/>
          <w:sz w:val="15"/>
        </w:rPr>
        <w:t xml:space="preserve"> </w:t>
      </w:r>
      <w:r>
        <w:rPr>
          <w:color w:val="231F20"/>
          <w:spacing w:val="-4"/>
          <w:sz w:val="15"/>
        </w:rPr>
        <w:t xml:space="preserve">resp. </w:t>
      </w:r>
      <w:r>
        <w:rPr>
          <w:color w:val="231F20"/>
          <w:sz w:val="15"/>
        </w:rPr>
        <w:t>20,8</w:t>
      </w:r>
      <w:r>
        <w:rPr>
          <w:color w:val="231F20"/>
          <w:spacing w:val="-10"/>
          <w:sz w:val="15"/>
        </w:rPr>
        <w:t xml:space="preserve"> </w:t>
      </w:r>
      <w:r>
        <w:rPr>
          <w:color w:val="231F20"/>
          <w:sz w:val="15"/>
        </w:rPr>
        <w:t>m/s</w:t>
      </w:r>
      <w:r>
        <w:rPr>
          <w:color w:val="231F20"/>
          <w:spacing w:val="-9"/>
          <w:sz w:val="15"/>
        </w:rPr>
        <w:t xml:space="preserve"> </w:t>
      </w:r>
      <w:r>
        <w:rPr>
          <w:color w:val="231F20"/>
          <w:sz w:val="15"/>
        </w:rPr>
        <w:t>a</w:t>
      </w:r>
      <w:r>
        <w:rPr>
          <w:color w:val="231F20"/>
          <w:spacing w:val="-10"/>
          <w:sz w:val="15"/>
        </w:rPr>
        <w:t xml:space="preserve"> </w:t>
      </w:r>
      <w:r>
        <w:rPr>
          <w:color w:val="231F20"/>
          <w:sz w:val="15"/>
        </w:rPr>
        <w:t>víc.</w:t>
      </w:r>
      <w:r>
        <w:rPr>
          <w:color w:val="231F20"/>
          <w:spacing w:val="-9"/>
          <w:sz w:val="15"/>
        </w:rPr>
        <w:t xml:space="preserve"> </w:t>
      </w:r>
      <w:r>
        <w:rPr>
          <w:color w:val="231F20"/>
          <w:sz w:val="15"/>
        </w:rPr>
        <w:t>Pokud</w:t>
      </w:r>
      <w:r>
        <w:rPr>
          <w:color w:val="231F20"/>
          <w:spacing w:val="-9"/>
          <w:sz w:val="15"/>
        </w:rPr>
        <w:t xml:space="preserve"> </w:t>
      </w:r>
      <w:r>
        <w:rPr>
          <w:color w:val="231F20"/>
          <w:sz w:val="15"/>
        </w:rPr>
        <w:t>není</w:t>
      </w:r>
      <w:r>
        <w:rPr>
          <w:color w:val="231F20"/>
          <w:spacing w:val="-10"/>
          <w:sz w:val="15"/>
        </w:rPr>
        <w:t xml:space="preserve"> </w:t>
      </w:r>
      <w:r>
        <w:rPr>
          <w:color w:val="231F20"/>
          <w:sz w:val="15"/>
        </w:rPr>
        <w:t>tato</w:t>
      </w:r>
      <w:r>
        <w:rPr>
          <w:color w:val="231F20"/>
          <w:spacing w:val="-9"/>
          <w:sz w:val="15"/>
        </w:rPr>
        <w:t xml:space="preserve"> </w:t>
      </w:r>
      <w:r>
        <w:rPr>
          <w:color w:val="231F20"/>
          <w:sz w:val="15"/>
        </w:rPr>
        <w:t>rychlost</w:t>
      </w:r>
      <w:r>
        <w:rPr>
          <w:color w:val="231F20"/>
          <w:spacing w:val="-9"/>
          <w:sz w:val="15"/>
        </w:rPr>
        <w:t xml:space="preserve"> </w:t>
      </w:r>
      <w:r>
        <w:rPr>
          <w:color w:val="231F20"/>
          <w:sz w:val="15"/>
        </w:rPr>
        <w:t>pro</w:t>
      </w:r>
      <w:r>
        <w:rPr>
          <w:color w:val="231F20"/>
          <w:spacing w:val="-10"/>
          <w:sz w:val="15"/>
        </w:rPr>
        <w:t xml:space="preserve"> </w:t>
      </w:r>
      <w:r>
        <w:rPr>
          <w:color w:val="231F20"/>
          <w:sz w:val="15"/>
        </w:rPr>
        <w:t>místo</w:t>
      </w:r>
      <w:r>
        <w:rPr>
          <w:color w:val="231F20"/>
          <w:spacing w:val="-9"/>
          <w:sz w:val="15"/>
        </w:rPr>
        <w:t xml:space="preserve"> </w:t>
      </w:r>
      <w:r>
        <w:rPr>
          <w:color w:val="231F20"/>
          <w:sz w:val="15"/>
        </w:rPr>
        <w:t>škody</w:t>
      </w:r>
      <w:r>
        <w:rPr>
          <w:color w:val="231F20"/>
          <w:spacing w:val="-10"/>
          <w:sz w:val="15"/>
        </w:rPr>
        <w:t xml:space="preserve"> </w:t>
      </w:r>
      <w:r>
        <w:rPr>
          <w:color w:val="231F20"/>
          <w:sz w:val="15"/>
        </w:rPr>
        <w:t>zjistitelná,</w:t>
      </w:r>
      <w:r>
        <w:rPr>
          <w:color w:val="231F20"/>
          <w:spacing w:val="-9"/>
          <w:sz w:val="15"/>
        </w:rPr>
        <w:t xml:space="preserve"> </w:t>
      </w:r>
      <w:r>
        <w:rPr>
          <w:color w:val="231F20"/>
          <w:sz w:val="15"/>
        </w:rPr>
        <w:t>musíte</w:t>
      </w:r>
      <w:r>
        <w:rPr>
          <w:color w:val="231F20"/>
          <w:spacing w:val="-9"/>
          <w:sz w:val="15"/>
        </w:rPr>
        <w:t xml:space="preserve"> </w:t>
      </w:r>
      <w:r>
        <w:rPr>
          <w:color w:val="231F20"/>
          <w:spacing w:val="-4"/>
          <w:sz w:val="15"/>
        </w:rPr>
        <w:t xml:space="preserve">pro- </w:t>
      </w:r>
      <w:r>
        <w:rPr>
          <w:color w:val="231F20"/>
          <w:sz w:val="15"/>
        </w:rPr>
        <w:t>kázat,</w:t>
      </w:r>
      <w:r>
        <w:rPr>
          <w:color w:val="231F20"/>
          <w:spacing w:val="-7"/>
          <w:sz w:val="15"/>
        </w:rPr>
        <w:t xml:space="preserve"> </w:t>
      </w:r>
      <w:r>
        <w:rPr>
          <w:color w:val="231F20"/>
          <w:sz w:val="15"/>
        </w:rPr>
        <w:t>že</w:t>
      </w:r>
      <w:r>
        <w:rPr>
          <w:color w:val="231F20"/>
          <w:spacing w:val="-6"/>
          <w:sz w:val="15"/>
        </w:rPr>
        <w:t xml:space="preserve"> </w:t>
      </w:r>
      <w:r>
        <w:rPr>
          <w:color w:val="231F20"/>
          <w:sz w:val="15"/>
        </w:rPr>
        <w:t>pohyb</w:t>
      </w:r>
      <w:r>
        <w:rPr>
          <w:color w:val="231F20"/>
          <w:spacing w:val="-6"/>
          <w:sz w:val="15"/>
        </w:rPr>
        <w:t xml:space="preserve"> </w:t>
      </w:r>
      <w:r>
        <w:rPr>
          <w:color w:val="231F20"/>
          <w:sz w:val="15"/>
        </w:rPr>
        <w:t>vzduchu</w:t>
      </w:r>
      <w:r>
        <w:rPr>
          <w:color w:val="231F20"/>
          <w:spacing w:val="-7"/>
          <w:sz w:val="15"/>
        </w:rPr>
        <w:t xml:space="preserve"> </w:t>
      </w:r>
      <w:r>
        <w:rPr>
          <w:color w:val="231F20"/>
          <w:sz w:val="15"/>
        </w:rPr>
        <w:t>způsobil</w:t>
      </w:r>
      <w:r>
        <w:rPr>
          <w:color w:val="231F20"/>
          <w:spacing w:val="-6"/>
          <w:sz w:val="15"/>
        </w:rPr>
        <w:t xml:space="preserve"> </w:t>
      </w:r>
      <w:r>
        <w:rPr>
          <w:color w:val="231F20"/>
          <w:sz w:val="15"/>
        </w:rPr>
        <w:t>poškození</w:t>
      </w:r>
      <w:r>
        <w:rPr>
          <w:color w:val="231F20"/>
          <w:spacing w:val="-6"/>
          <w:sz w:val="15"/>
        </w:rPr>
        <w:t xml:space="preserve"> </w:t>
      </w:r>
      <w:r>
        <w:rPr>
          <w:color w:val="231F20"/>
          <w:sz w:val="15"/>
        </w:rPr>
        <w:t>v</w:t>
      </w:r>
      <w:r>
        <w:rPr>
          <w:color w:val="231F20"/>
          <w:spacing w:val="-7"/>
          <w:sz w:val="15"/>
        </w:rPr>
        <w:t xml:space="preserve"> </w:t>
      </w:r>
      <w:r>
        <w:rPr>
          <w:color w:val="231F20"/>
          <w:sz w:val="15"/>
        </w:rPr>
        <w:t>okolí</w:t>
      </w:r>
      <w:r>
        <w:rPr>
          <w:color w:val="231F20"/>
          <w:spacing w:val="-6"/>
          <w:sz w:val="15"/>
        </w:rPr>
        <w:t xml:space="preserve"> </w:t>
      </w:r>
      <w:r>
        <w:rPr>
          <w:color w:val="231F20"/>
          <w:sz w:val="15"/>
        </w:rPr>
        <w:t>místa</w:t>
      </w:r>
      <w:r>
        <w:rPr>
          <w:color w:val="231F20"/>
          <w:spacing w:val="-6"/>
          <w:sz w:val="15"/>
        </w:rPr>
        <w:t xml:space="preserve"> </w:t>
      </w:r>
      <w:r>
        <w:rPr>
          <w:color w:val="231F20"/>
          <w:sz w:val="15"/>
        </w:rPr>
        <w:t>pojistné</w:t>
      </w:r>
      <w:r>
        <w:rPr>
          <w:color w:val="231F20"/>
          <w:spacing w:val="-7"/>
          <w:sz w:val="15"/>
        </w:rPr>
        <w:t xml:space="preserve"> </w:t>
      </w:r>
      <w:r>
        <w:rPr>
          <w:color w:val="231F20"/>
          <w:sz w:val="15"/>
        </w:rPr>
        <w:t>události</w:t>
      </w:r>
      <w:r>
        <w:rPr>
          <w:color w:val="231F20"/>
          <w:spacing w:val="-6"/>
          <w:sz w:val="15"/>
        </w:rPr>
        <w:t xml:space="preserve"> </w:t>
      </w:r>
      <w:r>
        <w:rPr>
          <w:color w:val="231F20"/>
          <w:spacing w:val="-9"/>
          <w:sz w:val="15"/>
        </w:rPr>
        <w:t xml:space="preserve">na </w:t>
      </w:r>
      <w:r>
        <w:rPr>
          <w:color w:val="231F20"/>
          <w:sz w:val="15"/>
        </w:rPr>
        <w:t xml:space="preserve">stejně odolných jiných předmětech, nebo že škoda mohla vzniknout jen v </w:t>
      </w:r>
      <w:r>
        <w:rPr>
          <w:color w:val="231F20"/>
          <w:spacing w:val="-4"/>
          <w:sz w:val="15"/>
        </w:rPr>
        <w:t xml:space="preserve">dů- </w:t>
      </w:r>
      <w:r>
        <w:rPr>
          <w:color w:val="231F20"/>
          <w:sz w:val="15"/>
        </w:rPr>
        <w:t>sledku působení</w:t>
      </w:r>
      <w:r>
        <w:rPr>
          <w:color w:val="231F20"/>
          <w:spacing w:val="-2"/>
          <w:sz w:val="15"/>
        </w:rPr>
        <w:t xml:space="preserve"> </w:t>
      </w:r>
      <w:r>
        <w:rPr>
          <w:color w:val="231F20"/>
          <w:sz w:val="15"/>
        </w:rPr>
        <w:t>větru;</w:t>
      </w:r>
    </w:p>
    <w:p w14:paraId="6264DFB0" w14:textId="77777777" w:rsidR="00F65BCA" w:rsidRDefault="00216117">
      <w:pPr>
        <w:pStyle w:val="Odstavecseseznamem"/>
        <w:numPr>
          <w:ilvl w:val="0"/>
          <w:numId w:val="135"/>
        </w:numPr>
        <w:tabs>
          <w:tab w:val="left" w:pos="598"/>
        </w:tabs>
        <w:spacing w:line="278" w:lineRule="auto"/>
        <w:jc w:val="both"/>
        <w:rPr>
          <w:sz w:val="15"/>
        </w:rPr>
      </w:pPr>
      <w:r>
        <w:rPr>
          <w:color w:val="231F20"/>
          <w:sz w:val="15"/>
        </w:rPr>
        <w:t xml:space="preserve">sesuvem půdy nebo zemin, zřícením skal nebo pádem kamení se </w:t>
      </w:r>
      <w:r>
        <w:rPr>
          <w:color w:val="231F20"/>
          <w:spacing w:val="-3"/>
          <w:sz w:val="15"/>
        </w:rPr>
        <w:t xml:space="preserve">rozumí </w:t>
      </w:r>
      <w:r>
        <w:rPr>
          <w:color w:val="231F20"/>
          <w:sz w:val="15"/>
        </w:rPr>
        <w:t>nahodilý</w:t>
      </w:r>
      <w:r>
        <w:rPr>
          <w:color w:val="231F20"/>
          <w:spacing w:val="-6"/>
          <w:sz w:val="15"/>
        </w:rPr>
        <w:t xml:space="preserve"> </w:t>
      </w:r>
      <w:r>
        <w:rPr>
          <w:color w:val="231F20"/>
          <w:sz w:val="15"/>
        </w:rPr>
        <w:t>pohyb</w:t>
      </w:r>
      <w:r>
        <w:rPr>
          <w:color w:val="231F20"/>
          <w:spacing w:val="-5"/>
          <w:sz w:val="15"/>
        </w:rPr>
        <w:t xml:space="preserve"> </w:t>
      </w:r>
      <w:r>
        <w:rPr>
          <w:color w:val="231F20"/>
          <w:sz w:val="15"/>
        </w:rPr>
        <w:t>této</w:t>
      </w:r>
      <w:r>
        <w:rPr>
          <w:color w:val="231F20"/>
          <w:spacing w:val="-5"/>
          <w:sz w:val="15"/>
        </w:rPr>
        <w:t xml:space="preserve"> </w:t>
      </w:r>
      <w:r>
        <w:rPr>
          <w:color w:val="231F20"/>
          <w:spacing w:val="-3"/>
          <w:sz w:val="15"/>
        </w:rPr>
        <w:t>hmoty,</w:t>
      </w:r>
      <w:r>
        <w:rPr>
          <w:color w:val="231F20"/>
          <w:spacing w:val="-6"/>
          <w:sz w:val="15"/>
        </w:rPr>
        <w:t xml:space="preserve"> </w:t>
      </w:r>
      <w:r>
        <w:rPr>
          <w:color w:val="231F20"/>
          <w:sz w:val="15"/>
        </w:rPr>
        <w:t>a</w:t>
      </w:r>
      <w:r>
        <w:rPr>
          <w:color w:val="231F20"/>
          <w:spacing w:val="-5"/>
          <w:sz w:val="15"/>
        </w:rPr>
        <w:t xml:space="preserve"> </w:t>
      </w:r>
      <w:r>
        <w:rPr>
          <w:color w:val="231F20"/>
          <w:sz w:val="15"/>
        </w:rPr>
        <w:t>to</w:t>
      </w:r>
      <w:r>
        <w:rPr>
          <w:color w:val="231F20"/>
          <w:spacing w:val="-5"/>
          <w:sz w:val="15"/>
        </w:rPr>
        <w:t xml:space="preserve"> </w:t>
      </w:r>
      <w:r>
        <w:rPr>
          <w:color w:val="231F20"/>
          <w:sz w:val="15"/>
        </w:rPr>
        <w:t>i</w:t>
      </w:r>
      <w:r>
        <w:rPr>
          <w:color w:val="231F20"/>
          <w:spacing w:val="-6"/>
          <w:sz w:val="15"/>
        </w:rPr>
        <w:t xml:space="preserve"> </w:t>
      </w:r>
      <w:r>
        <w:rPr>
          <w:color w:val="231F20"/>
          <w:spacing w:val="-3"/>
          <w:sz w:val="15"/>
        </w:rPr>
        <w:t>tehdy,</w:t>
      </w:r>
      <w:r>
        <w:rPr>
          <w:color w:val="231F20"/>
          <w:spacing w:val="-5"/>
          <w:sz w:val="15"/>
        </w:rPr>
        <w:t xml:space="preserve"> </w:t>
      </w:r>
      <w:r>
        <w:rPr>
          <w:color w:val="231F20"/>
          <w:sz w:val="15"/>
        </w:rPr>
        <w:t>dojde-li</w:t>
      </w:r>
      <w:r>
        <w:rPr>
          <w:color w:val="231F20"/>
          <w:spacing w:val="-5"/>
          <w:sz w:val="15"/>
        </w:rPr>
        <w:t xml:space="preserve"> </w:t>
      </w:r>
      <w:r>
        <w:rPr>
          <w:color w:val="231F20"/>
          <w:sz w:val="15"/>
        </w:rPr>
        <w:t>k</w:t>
      </w:r>
      <w:r>
        <w:rPr>
          <w:color w:val="231F20"/>
          <w:spacing w:val="-6"/>
          <w:sz w:val="15"/>
        </w:rPr>
        <w:t xml:space="preserve"> </w:t>
      </w:r>
      <w:r>
        <w:rPr>
          <w:color w:val="231F20"/>
          <w:sz w:val="15"/>
        </w:rPr>
        <w:t>němu</w:t>
      </w:r>
      <w:r>
        <w:rPr>
          <w:color w:val="231F20"/>
          <w:spacing w:val="-5"/>
          <w:sz w:val="15"/>
        </w:rPr>
        <w:t xml:space="preserve"> </w:t>
      </w:r>
      <w:r>
        <w:rPr>
          <w:color w:val="231F20"/>
          <w:sz w:val="15"/>
        </w:rPr>
        <w:t>v</w:t>
      </w:r>
      <w:r>
        <w:rPr>
          <w:color w:val="231F20"/>
          <w:spacing w:val="-5"/>
          <w:sz w:val="15"/>
        </w:rPr>
        <w:t xml:space="preserve"> </w:t>
      </w:r>
      <w:r>
        <w:rPr>
          <w:color w:val="231F20"/>
          <w:sz w:val="15"/>
        </w:rPr>
        <w:t>souvislosti</w:t>
      </w:r>
      <w:r>
        <w:rPr>
          <w:color w:val="231F20"/>
          <w:spacing w:val="-5"/>
          <w:sz w:val="15"/>
        </w:rPr>
        <w:t xml:space="preserve"> </w:t>
      </w:r>
      <w:r>
        <w:rPr>
          <w:color w:val="231F20"/>
          <w:sz w:val="15"/>
        </w:rPr>
        <w:t>s</w:t>
      </w:r>
      <w:r>
        <w:rPr>
          <w:color w:val="231F20"/>
          <w:spacing w:val="-6"/>
          <w:sz w:val="15"/>
        </w:rPr>
        <w:t xml:space="preserve"> </w:t>
      </w:r>
      <w:r>
        <w:rPr>
          <w:color w:val="231F20"/>
          <w:spacing w:val="-3"/>
          <w:sz w:val="15"/>
        </w:rPr>
        <w:t xml:space="preserve">průmys- </w:t>
      </w:r>
      <w:r>
        <w:rPr>
          <w:color w:val="231F20"/>
          <w:sz w:val="15"/>
        </w:rPr>
        <w:t>lovým nebo stavebním</w:t>
      </w:r>
      <w:r>
        <w:rPr>
          <w:color w:val="231F20"/>
          <w:spacing w:val="-3"/>
          <w:sz w:val="15"/>
        </w:rPr>
        <w:t xml:space="preserve"> </w:t>
      </w:r>
      <w:r>
        <w:rPr>
          <w:color w:val="231F20"/>
          <w:sz w:val="15"/>
        </w:rPr>
        <w:t>provozem;</w:t>
      </w:r>
    </w:p>
    <w:p w14:paraId="52E650C8" w14:textId="77777777" w:rsidR="00F65BCA" w:rsidRDefault="00216117">
      <w:pPr>
        <w:pStyle w:val="Odstavecseseznamem"/>
        <w:numPr>
          <w:ilvl w:val="0"/>
          <w:numId w:val="135"/>
        </w:numPr>
        <w:tabs>
          <w:tab w:val="left" w:pos="598"/>
        </w:tabs>
        <w:spacing w:line="278" w:lineRule="auto"/>
        <w:ind w:right="1"/>
        <w:jc w:val="both"/>
        <w:rPr>
          <w:sz w:val="15"/>
        </w:rPr>
      </w:pPr>
      <w:r>
        <w:rPr>
          <w:color w:val="231F20"/>
          <w:sz w:val="15"/>
        </w:rPr>
        <w:t>sesuvem</w:t>
      </w:r>
      <w:r>
        <w:rPr>
          <w:color w:val="231F20"/>
          <w:spacing w:val="-7"/>
          <w:sz w:val="15"/>
        </w:rPr>
        <w:t xml:space="preserve"> </w:t>
      </w:r>
      <w:r>
        <w:rPr>
          <w:color w:val="231F20"/>
          <w:sz w:val="15"/>
        </w:rPr>
        <w:t>sněhu</w:t>
      </w:r>
      <w:r>
        <w:rPr>
          <w:color w:val="231F20"/>
          <w:spacing w:val="-7"/>
          <w:sz w:val="15"/>
        </w:rPr>
        <w:t xml:space="preserve"> </w:t>
      </w:r>
      <w:r>
        <w:rPr>
          <w:color w:val="231F20"/>
          <w:sz w:val="15"/>
        </w:rPr>
        <w:t>nebo</w:t>
      </w:r>
      <w:r>
        <w:rPr>
          <w:color w:val="231F20"/>
          <w:spacing w:val="-7"/>
          <w:sz w:val="15"/>
        </w:rPr>
        <w:t xml:space="preserve"> </w:t>
      </w:r>
      <w:r>
        <w:rPr>
          <w:color w:val="231F20"/>
          <w:sz w:val="15"/>
        </w:rPr>
        <w:t>lavin</w:t>
      </w:r>
      <w:r>
        <w:rPr>
          <w:color w:val="231F20"/>
          <w:spacing w:val="-7"/>
          <w:sz w:val="15"/>
        </w:rPr>
        <w:t xml:space="preserve"> </w:t>
      </w:r>
      <w:r>
        <w:rPr>
          <w:color w:val="231F20"/>
          <w:sz w:val="15"/>
        </w:rPr>
        <w:t>se</w:t>
      </w:r>
      <w:r>
        <w:rPr>
          <w:color w:val="231F20"/>
          <w:spacing w:val="-7"/>
          <w:sz w:val="15"/>
        </w:rPr>
        <w:t xml:space="preserve"> </w:t>
      </w:r>
      <w:r>
        <w:rPr>
          <w:color w:val="231F20"/>
          <w:sz w:val="15"/>
        </w:rPr>
        <w:t>rozumí</w:t>
      </w:r>
      <w:r>
        <w:rPr>
          <w:color w:val="231F20"/>
          <w:spacing w:val="-7"/>
          <w:sz w:val="15"/>
        </w:rPr>
        <w:t xml:space="preserve"> </w:t>
      </w:r>
      <w:r>
        <w:rPr>
          <w:color w:val="231F20"/>
          <w:spacing w:val="-3"/>
          <w:sz w:val="15"/>
        </w:rPr>
        <w:t>jev,</w:t>
      </w:r>
      <w:r>
        <w:rPr>
          <w:color w:val="231F20"/>
          <w:spacing w:val="-7"/>
          <w:sz w:val="15"/>
        </w:rPr>
        <w:t xml:space="preserve"> </w:t>
      </w:r>
      <w:r>
        <w:rPr>
          <w:color w:val="231F20"/>
          <w:sz w:val="15"/>
        </w:rPr>
        <w:t>kdy</w:t>
      </w:r>
      <w:r>
        <w:rPr>
          <w:color w:val="231F20"/>
          <w:spacing w:val="-7"/>
          <w:sz w:val="15"/>
        </w:rPr>
        <w:t xml:space="preserve"> </w:t>
      </w:r>
      <w:r>
        <w:rPr>
          <w:color w:val="231F20"/>
          <w:sz w:val="15"/>
        </w:rPr>
        <w:t>masa</w:t>
      </w:r>
      <w:r>
        <w:rPr>
          <w:color w:val="231F20"/>
          <w:spacing w:val="-7"/>
          <w:sz w:val="15"/>
        </w:rPr>
        <w:t xml:space="preserve"> </w:t>
      </w:r>
      <w:r>
        <w:rPr>
          <w:color w:val="231F20"/>
          <w:sz w:val="15"/>
        </w:rPr>
        <w:t>sněhu</w:t>
      </w:r>
      <w:r>
        <w:rPr>
          <w:color w:val="231F20"/>
          <w:spacing w:val="-7"/>
          <w:sz w:val="15"/>
        </w:rPr>
        <w:t xml:space="preserve"> </w:t>
      </w:r>
      <w:r>
        <w:rPr>
          <w:color w:val="231F20"/>
          <w:sz w:val="15"/>
        </w:rPr>
        <w:t>nebo</w:t>
      </w:r>
      <w:r>
        <w:rPr>
          <w:color w:val="231F20"/>
          <w:spacing w:val="-7"/>
          <w:sz w:val="15"/>
        </w:rPr>
        <w:t xml:space="preserve"> </w:t>
      </w:r>
      <w:r>
        <w:rPr>
          <w:color w:val="231F20"/>
          <w:sz w:val="15"/>
        </w:rPr>
        <w:t>ledu</w:t>
      </w:r>
      <w:r>
        <w:rPr>
          <w:color w:val="231F20"/>
          <w:spacing w:val="-7"/>
          <w:sz w:val="15"/>
        </w:rPr>
        <w:t xml:space="preserve"> </w:t>
      </w:r>
      <w:r>
        <w:rPr>
          <w:color w:val="231F20"/>
          <w:sz w:val="15"/>
        </w:rPr>
        <w:t>se</w:t>
      </w:r>
      <w:r>
        <w:rPr>
          <w:color w:val="231F20"/>
          <w:spacing w:val="-7"/>
          <w:sz w:val="15"/>
        </w:rPr>
        <w:t xml:space="preserve"> </w:t>
      </w:r>
      <w:r>
        <w:rPr>
          <w:color w:val="231F20"/>
          <w:sz w:val="15"/>
        </w:rPr>
        <w:t>náhle uvede</w:t>
      </w:r>
      <w:r>
        <w:rPr>
          <w:color w:val="231F20"/>
          <w:spacing w:val="-10"/>
          <w:sz w:val="15"/>
        </w:rPr>
        <w:t xml:space="preserve"> </w:t>
      </w:r>
      <w:r>
        <w:rPr>
          <w:color w:val="231F20"/>
          <w:sz w:val="15"/>
        </w:rPr>
        <w:t>do</w:t>
      </w:r>
      <w:r>
        <w:rPr>
          <w:color w:val="231F20"/>
          <w:spacing w:val="-9"/>
          <w:sz w:val="15"/>
        </w:rPr>
        <w:t xml:space="preserve"> </w:t>
      </w:r>
      <w:r>
        <w:rPr>
          <w:color w:val="231F20"/>
          <w:sz w:val="15"/>
        </w:rPr>
        <w:t>pohybu</w:t>
      </w:r>
      <w:r>
        <w:rPr>
          <w:color w:val="231F20"/>
          <w:spacing w:val="-10"/>
          <w:sz w:val="15"/>
        </w:rPr>
        <w:t xml:space="preserve"> </w:t>
      </w:r>
      <w:r>
        <w:rPr>
          <w:color w:val="231F20"/>
          <w:sz w:val="15"/>
        </w:rPr>
        <w:t>ze</w:t>
      </w:r>
      <w:r>
        <w:rPr>
          <w:color w:val="231F20"/>
          <w:spacing w:val="-9"/>
          <w:sz w:val="15"/>
        </w:rPr>
        <w:t xml:space="preserve"> </w:t>
      </w:r>
      <w:r>
        <w:rPr>
          <w:color w:val="231F20"/>
          <w:sz w:val="15"/>
        </w:rPr>
        <w:t>svahu</w:t>
      </w:r>
      <w:r>
        <w:rPr>
          <w:color w:val="231F20"/>
          <w:spacing w:val="-10"/>
          <w:sz w:val="15"/>
        </w:rPr>
        <w:t xml:space="preserve"> </w:t>
      </w:r>
      <w:r>
        <w:rPr>
          <w:color w:val="231F20"/>
          <w:sz w:val="15"/>
        </w:rPr>
        <w:t>do</w:t>
      </w:r>
      <w:r>
        <w:rPr>
          <w:color w:val="231F20"/>
          <w:spacing w:val="-9"/>
          <w:sz w:val="15"/>
        </w:rPr>
        <w:t xml:space="preserve"> </w:t>
      </w:r>
      <w:r>
        <w:rPr>
          <w:color w:val="231F20"/>
          <w:sz w:val="15"/>
        </w:rPr>
        <w:t>údolí.</w:t>
      </w:r>
      <w:r>
        <w:rPr>
          <w:color w:val="231F20"/>
          <w:spacing w:val="-9"/>
          <w:sz w:val="15"/>
        </w:rPr>
        <w:t xml:space="preserve"> </w:t>
      </w:r>
      <w:r>
        <w:rPr>
          <w:color w:val="231F20"/>
          <w:sz w:val="15"/>
        </w:rPr>
        <w:t>V</w:t>
      </w:r>
      <w:r>
        <w:rPr>
          <w:color w:val="231F20"/>
          <w:spacing w:val="-10"/>
          <w:sz w:val="15"/>
        </w:rPr>
        <w:t xml:space="preserve"> </w:t>
      </w:r>
      <w:r>
        <w:rPr>
          <w:color w:val="231F20"/>
          <w:sz w:val="15"/>
        </w:rPr>
        <w:t>případě</w:t>
      </w:r>
      <w:r>
        <w:rPr>
          <w:color w:val="231F20"/>
          <w:spacing w:val="-9"/>
          <w:sz w:val="15"/>
        </w:rPr>
        <w:t xml:space="preserve"> </w:t>
      </w:r>
      <w:r>
        <w:rPr>
          <w:color w:val="231F20"/>
          <w:sz w:val="15"/>
        </w:rPr>
        <w:t>lavin</w:t>
      </w:r>
      <w:r>
        <w:rPr>
          <w:color w:val="231F20"/>
          <w:spacing w:val="-10"/>
          <w:sz w:val="15"/>
        </w:rPr>
        <w:t xml:space="preserve"> </w:t>
      </w:r>
      <w:r>
        <w:rPr>
          <w:color w:val="231F20"/>
          <w:sz w:val="15"/>
        </w:rPr>
        <w:t>se</w:t>
      </w:r>
      <w:r>
        <w:rPr>
          <w:color w:val="231F20"/>
          <w:spacing w:val="-9"/>
          <w:sz w:val="15"/>
        </w:rPr>
        <w:t xml:space="preserve"> </w:t>
      </w:r>
      <w:r>
        <w:rPr>
          <w:color w:val="231F20"/>
          <w:sz w:val="15"/>
        </w:rPr>
        <w:t>jedná</w:t>
      </w:r>
      <w:r>
        <w:rPr>
          <w:color w:val="231F20"/>
          <w:spacing w:val="-9"/>
          <w:sz w:val="15"/>
        </w:rPr>
        <w:t xml:space="preserve"> </w:t>
      </w:r>
      <w:r>
        <w:rPr>
          <w:color w:val="231F20"/>
          <w:sz w:val="15"/>
        </w:rPr>
        <w:t>o</w:t>
      </w:r>
      <w:r>
        <w:rPr>
          <w:color w:val="231F20"/>
          <w:spacing w:val="-10"/>
          <w:sz w:val="15"/>
        </w:rPr>
        <w:t xml:space="preserve"> </w:t>
      </w:r>
      <w:r>
        <w:rPr>
          <w:color w:val="231F20"/>
          <w:sz w:val="15"/>
        </w:rPr>
        <w:t>sesuv</w:t>
      </w:r>
      <w:r>
        <w:rPr>
          <w:color w:val="231F20"/>
          <w:spacing w:val="-9"/>
          <w:sz w:val="15"/>
        </w:rPr>
        <w:t xml:space="preserve"> </w:t>
      </w:r>
      <w:r>
        <w:rPr>
          <w:color w:val="231F20"/>
          <w:sz w:val="15"/>
        </w:rPr>
        <w:t>na</w:t>
      </w:r>
      <w:r>
        <w:rPr>
          <w:color w:val="231F20"/>
          <w:spacing w:val="-10"/>
          <w:sz w:val="15"/>
        </w:rPr>
        <w:t xml:space="preserve"> </w:t>
      </w:r>
      <w:r>
        <w:rPr>
          <w:color w:val="231F20"/>
          <w:spacing w:val="-3"/>
          <w:sz w:val="15"/>
        </w:rPr>
        <w:t xml:space="preserve">dráze </w:t>
      </w:r>
      <w:r>
        <w:rPr>
          <w:color w:val="231F20"/>
          <w:sz w:val="15"/>
        </w:rPr>
        <w:t>delší než 50</w:t>
      </w:r>
      <w:r>
        <w:rPr>
          <w:color w:val="231F20"/>
          <w:spacing w:val="-2"/>
          <w:sz w:val="15"/>
        </w:rPr>
        <w:t xml:space="preserve"> </w:t>
      </w:r>
      <w:r>
        <w:rPr>
          <w:color w:val="231F20"/>
          <w:sz w:val="15"/>
        </w:rPr>
        <w:t>m;</w:t>
      </w:r>
    </w:p>
    <w:p w14:paraId="68B5ED6F" w14:textId="77777777" w:rsidR="00F65BCA" w:rsidRDefault="00216117">
      <w:pPr>
        <w:pStyle w:val="Odstavecseseznamem"/>
        <w:numPr>
          <w:ilvl w:val="0"/>
          <w:numId w:val="135"/>
        </w:numPr>
        <w:tabs>
          <w:tab w:val="left" w:pos="598"/>
        </w:tabs>
        <w:spacing w:line="278" w:lineRule="auto"/>
        <w:jc w:val="both"/>
        <w:rPr>
          <w:sz w:val="15"/>
        </w:rPr>
      </w:pPr>
      <w:r>
        <w:rPr>
          <w:color w:val="231F20"/>
          <w:sz w:val="15"/>
        </w:rPr>
        <w:t>tíhou</w:t>
      </w:r>
      <w:r>
        <w:rPr>
          <w:color w:val="231F20"/>
          <w:spacing w:val="-13"/>
          <w:sz w:val="15"/>
        </w:rPr>
        <w:t xml:space="preserve"> </w:t>
      </w:r>
      <w:r>
        <w:rPr>
          <w:color w:val="231F20"/>
          <w:sz w:val="15"/>
        </w:rPr>
        <w:t>sněhu</w:t>
      </w:r>
      <w:r>
        <w:rPr>
          <w:color w:val="231F20"/>
          <w:spacing w:val="-13"/>
          <w:sz w:val="15"/>
        </w:rPr>
        <w:t xml:space="preserve"> </w:t>
      </w:r>
      <w:r>
        <w:rPr>
          <w:color w:val="231F20"/>
          <w:sz w:val="15"/>
        </w:rPr>
        <w:t>nebo</w:t>
      </w:r>
      <w:r>
        <w:rPr>
          <w:color w:val="231F20"/>
          <w:spacing w:val="-13"/>
          <w:sz w:val="15"/>
        </w:rPr>
        <w:t xml:space="preserve"> </w:t>
      </w:r>
      <w:r>
        <w:rPr>
          <w:color w:val="231F20"/>
          <w:sz w:val="15"/>
        </w:rPr>
        <w:t>námrazy</w:t>
      </w:r>
      <w:r>
        <w:rPr>
          <w:color w:val="231F20"/>
          <w:spacing w:val="-13"/>
          <w:sz w:val="15"/>
        </w:rPr>
        <w:t xml:space="preserve"> </w:t>
      </w:r>
      <w:r>
        <w:rPr>
          <w:color w:val="231F20"/>
          <w:sz w:val="15"/>
        </w:rPr>
        <w:t>se</w:t>
      </w:r>
      <w:r>
        <w:rPr>
          <w:color w:val="231F20"/>
          <w:spacing w:val="-13"/>
          <w:sz w:val="15"/>
        </w:rPr>
        <w:t xml:space="preserve"> </w:t>
      </w:r>
      <w:r>
        <w:rPr>
          <w:color w:val="231F20"/>
          <w:sz w:val="15"/>
        </w:rPr>
        <w:t>rozumí</w:t>
      </w:r>
      <w:r>
        <w:rPr>
          <w:color w:val="231F20"/>
          <w:spacing w:val="-13"/>
          <w:sz w:val="15"/>
        </w:rPr>
        <w:t xml:space="preserve"> </w:t>
      </w:r>
      <w:r>
        <w:rPr>
          <w:color w:val="231F20"/>
          <w:sz w:val="15"/>
        </w:rPr>
        <w:t>silná</w:t>
      </w:r>
      <w:r>
        <w:rPr>
          <w:color w:val="231F20"/>
          <w:spacing w:val="-13"/>
          <w:sz w:val="15"/>
        </w:rPr>
        <w:t xml:space="preserve"> </w:t>
      </w:r>
      <w:r>
        <w:rPr>
          <w:color w:val="231F20"/>
          <w:sz w:val="15"/>
        </w:rPr>
        <w:t>vrstva</w:t>
      </w:r>
      <w:r>
        <w:rPr>
          <w:color w:val="231F20"/>
          <w:spacing w:val="-13"/>
          <w:sz w:val="15"/>
        </w:rPr>
        <w:t xml:space="preserve"> </w:t>
      </w:r>
      <w:r>
        <w:rPr>
          <w:color w:val="231F20"/>
          <w:sz w:val="15"/>
        </w:rPr>
        <w:t>sněhu</w:t>
      </w:r>
      <w:r>
        <w:rPr>
          <w:color w:val="231F20"/>
          <w:spacing w:val="-13"/>
          <w:sz w:val="15"/>
        </w:rPr>
        <w:t xml:space="preserve"> </w:t>
      </w:r>
      <w:r>
        <w:rPr>
          <w:color w:val="231F20"/>
          <w:sz w:val="15"/>
        </w:rPr>
        <w:t>či</w:t>
      </w:r>
      <w:r>
        <w:rPr>
          <w:color w:val="231F20"/>
          <w:spacing w:val="-13"/>
          <w:sz w:val="15"/>
        </w:rPr>
        <w:t xml:space="preserve"> </w:t>
      </w:r>
      <w:r>
        <w:rPr>
          <w:color w:val="231F20"/>
          <w:sz w:val="15"/>
        </w:rPr>
        <w:t>námrazy,</w:t>
      </w:r>
      <w:r>
        <w:rPr>
          <w:color w:val="231F20"/>
          <w:spacing w:val="-13"/>
          <w:sz w:val="15"/>
        </w:rPr>
        <w:t xml:space="preserve"> </w:t>
      </w:r>
      <w:r>
        <w:rPr>
          <w:color w:val="231F20"/>
          <w:sz w:val="15"/>
        </w:rPr>
        <w:t>jejíž</w:t>
      </w:r>
      <w:r>
        <w:rPr>
          <w:color w:val="231F20"/>
          <w:spacing w:val="-13"/>
          <w:sz w:val="15"/>
        </w:rPr>
        <w:t xml:space="preserve"> </w:t>
      </w:r>
      <w:r>
        <w:rPr>
          <w:color w:val="231F20"/>
          <w:spacing w:val="-3"/>
          <w:sz w:val="15"/>
        </w:rPr>
        <w:t xml:space="preserve">hmot- </w:t>
      </w:r>
      <w:r>
        <w:rPr>
          <w:color w:val="231F20"/>
          <w:sz w:val="15"/>
        </w:rPr>
        <w:t>nost</w:t>
      </w:r>
      <w:r>
        <w:rPr>
          <w:color w:val="231F20"/>
          <w:spacing w:val="-8"/>
          <w:sz w:val="15"/>
        </w:rPr>
        <w:t xml:space="preserve"> </w:t>
      </w:r>
      <w:r>
        <w:rPr>
          <w:color w:val="231F20"/>
          <w:sz w:val="15"/>
        </w:rPr>
        <w:t>překračuje</w:t>
      </w:r>
      <w:r>
        <w:rPr>
          <w:color w:val="231F20"/>
          <w:spacing w:val="-8"/>
          <w:sz w:val="15"/>
        </w:rPr>
        <w:t xml:space="preserve"> </w:t>
      </w:r>
      <w:r>
        <w:rPr>
          <w:color w:val="231F20"/>
          <w:sz w:val="15"/>
        </w:rPr>
        <w:t>normové</w:t>
      </w:r>
      <w:r>
        <w:rPr>
          <w:color w:val="231F20"/>
          <w:spacing w:val="-8"/>
          <w:sz w:val="15"/>
        </w:rPr>
        <w:t xml:space="preserve"> </w:t>
      </w:r>
      <w:r>
        <w:rPr>
          <w:color w:val="231F20"/>
          <w:sz w:val="15"/>
        </w:rPr>
        <w:t>zatížení</w:t>
      </w:r>
      <w:r>
        <w:rPr>
          <w:color w:val="231F20"/>
          <w:spacing w:val="-8"/>
          <w:sz w:val="15"/>
        </w:rPr>
        <w:t xml:space="preserve"> </w:t>
      </w:r>
      <w:r>
        <w:rPr>
          <w:color w:val="231F20"/>
          <w:sz w:val="15"/>
        </w:rPr>
        <w:t>pod</w:t>
      </w:r>
      <w:r>
        <w:rPr>
          <w:color w:val="231F20"/>
          <w:spacing w:val="-8"/>
          <w:sz w:val="15"/>
        </w:rPr>
        <w:t xml:space="preserve"> </w:t>
      </w:r>
      <w:r>
        <w:rPr>
          <w:color w:val="231F20"/>
          <w:sz w:val="15"/>
        </w:rPr>
        <w:t>ní</w:t>
      </w:r>
      <w:r>
        <w:rPr>
          <w:color w:val="231F20"/>
          <w:spacing w:val="-7"/>
          <w:sz w:val="15"/>
        </w:rPr>
        <w:t xml:space="preserve"> </w:t>
      </w:r>
      <w:r>
        <w:rPr>
          <w:color w:val="231F20"/>
          <w:sz w:val="15"/>
        </w:rPr>
        <w:t>se</w:t>
      </w:r>
      <w:r>
        <w:rPr>
          <w:color w:val="231F20"/>
          <w:spacing w:val="-8"/>
          <w:sz w:val="15"/>
        </w:rPr>
        <w:t xml:space="preserve"> </w:t>
      </w:r>
      <w:r>
        <w:rPr>
          <w:color w:val="231F20"/>
          <w:sz w:val="15"/>
        </w:rPr>
        <w:t>nacházejících</w:t>
      </w:r>
      <w:r>
        <w:rPr>
          <w:color w:val="231F20"/>
          <w:spacing w:val="-8"/>
          <w:sz w:val="15"/>
        </w:rPr>
        <w:t xml:space="preserve"> </w:t>
      </w:r>
      <w:r>
        <w:rPr>
          <w:color w:val="231F20"/>
          <w:sz w:val="15"/>
        </w:rPr>
        <w:t>konstrukcí;</w:t>
      </w:r>
    </w:p>
    <w:p w14:paraId="2662A0EE" w14:textId="77777777" w:rsidR="00F65BCA" w:rsidRDefault="00216117">
      <w:pPr>
        <w:pStyle w:val="Odstavecseseznamem"/>
        <w:numPr>
          <w:ilvl w:val="0"/>
          <w:numId w:val="135"/>
        </w:numPr>
        <w:tabs>
          <w:tab w:val="left" w:pos="597"/>
        </w:tabs>
        <w:jc w:val="both"/>
        <w:rPr>
          <w:sz w:val="15"/>
        </w:rPr>
      </w:pPr>
      <w:r>
        <w:rPr>
          <w:color w:val="231F20"/>
          <w:sz w:val="15"/>
        </w:rPr>
        <w:t>úderem blesku se rozumí elektrický výboj atmosférické</w:t>
      </w:r>
      <w:r>
        <w:rPr>
          <w:color w:val="231F20"/>
          <w:spacing w:val="-23"/>
          <w:sz w:val="15"/>
        </w:rPr>
        <w:t xml:space="preserve"> </w:t>
      </w:r>
      <w:r>
        <w:rPr>
          <w:color w:val="231F20"/>
          <w:sz w:val="15"/>
        </w:rPr>
        <w:t>elektřiny;</w:t>
      </w:r>
    </w:p>
    <w:p w14:paraId="30C489A0" w14:textId="77777777" w:rsidR="00F65BCA" w:rsidRDefault="00216117">
      <w:pPr>
        <w:pStyle w:val="Odstavecseseznamem"/>
        <w:numPr>
          <w:ilvl w:val="0"/>
          <w:numId w:val="135"/>
        </w:numPr>
        <w:tabs>
          <w:tab w:val="left" w:pos="598"/>
        </w:tabs>
        <w:spacing w:before="24" w:line="278" w:lineRule="auto"/>
        <w:ind w:right="1"/>
        <w:jc w:val="both"/>
        <w:rPr>
          <w:sz w:val="15"/>
        </w:rPr>
      </w:pPr>
      <w:r>
        <w:rPr>
          <w:color w:val="231F20"/>
          <w:sz w:val="15"/>
        </w:rPr>
        <w:t>výbuchem</w:t>
      </w:r>
      <w:r>
        <w:rPr>
          <w:color w:val="231F20"/>
          <w:spacing w:val="-9"/>
          <w:sz w:val="15"/>
        </w:rPr>
        <w:t xml:space="preserve"> </w:t>
      </w:r>
      <w:r>
        <w:rPr>
          <w:color w:val="231F20"/>
          <w:sz w:val="15"/>
        </w:rPr>
        <w:t>se</w:t>
      </w:r>
      <w:r>
        <w:rPr>
          <w:color w:val="231F20"/>
          <w:spacing w:val="-8"/>
          <w:sz w:val="15"/>
        </w:rPr>
        <w:t xml:space="preserve"> </w:t>
      </w:r>
      <w:r>
        <w:rPr>
          <w:color w:val="231F20"/>
          <w:sz w:val="15"/>
        </w:rPr>
        <w:t>rozumí</w:t>
      </w:r>
      <w:r>
        <w:rPr>
          <w:color w:val="231F20"/>
          <w:spacing w:val="-9"/>
          <w:sz w:val="15"/>
        </w:rPr>
        <w:t xml:space="preserve"> </w:t>
      </w:r>
      <w:r>
        <w:rPr>
          <w:color w:val="231F20"/>
          <w:sz w:val="15"/>
        </w:rPr>
        <w:t>náhlý</w:t>
      </w:r>
      <w:r>
        <w:rPr>
          <w:color w:val="231F20"/>
          <w:spacing w:val="-8"/>
          <w:sz w:val="15"/>
        </w:rPr>
        <w:t xml:space="preserve"> </w:t>
      </w:r>
      <w:r>
        <w:rPr>
          <w:color w:val="231F20"/>
          <w:sz w:val="15"/>
        </w:rPr>
        <w:t>ničivý</w:t>
      </w:r>
      <w:r>
        <w:rPr>
          <w:color w:val="231F20"/>
          <w:spacing w:val="-9"/>
          <w:sz w:val="15"/>
        </w:rPr>
        <w:t xml:space="preserve"> </w:t>
      </w:r>
      <w:r>
        <w:rPr>
          <w:color w:val="231F20"/>
          <w:sz w:val="15"/>
        </w:rPr>
        <w:t>účinek</w:t>
      </w:r>
      <w:r>
        <w:rPr>
          <w:color w:val="231F20"/>
          <w:spacing w:val="-8"/>
          <w:sz w:val="15"/>
        </w:rPr>
        <w:t xml:space="preserve"> </w:t>
      </w:r>
      <w:r>
        <w:rPr>
          <w:color w:val="231F20"/>
          <w:sz w:val="15"/>
        </w:rPr>
        <w:t>tlakové</w:t>
      </w:r>
      <w:r>
        <w:rPr>
          <w:color w:val="231F20"/>
          <w:spacing w:val="-9"/>
          <w:sz w:val="15"/>
        </w:rPr>
        <w:t xml:space="preserve"> </w:t>
      </w:r>
      <w:r>
        <w:rPr>
          <w:color w:val="231F20"/>
          <w:sz w:val="15"/>
        </w:rPr>
        <w:t>síly</w:t>
      </w:r>
      <w:r>
        <w:rPr>
          <w:color w:val="231F20"/>
          <w:spacing w:val="-8"/>
          <w:sz w:val="15"/>
        </w:rPr>
        <w:t xml:space="preserve"> </w:t>
      </w:r>
      <w:r>
        <w:rPr>
          <w:color w:val="231F20"/>
          <w:sz w:val="15"/>
        </w:rPr>
        <w:t>spočívající</w:t>
      </w:r>
      <w:r>
        <w:rPr>
          <w:color w:val="231F20"/>
          <w:spacing w:val="-9"/>
          <w:sz w:val="15"/>
        </w:rPr>
        <w:t xml:space="preserve"> </w:t>
      </w:r>
      <w:r>
        <w:rPr>
          <w:color w:val="231F20"/>
          <w:sz w:val="15"/>
        </w:rPr>
        <w:t>v</w:t>
      </w:r>
      <w:r>
        <w:rPr>
          <w:color w:val="231F20"/>
          <w:spacing w:val="-8"/>
          <w:sz w:val="15"/>
        </w:rPr>
        <w:t xml:space="preserve"> </w:t>
      </w:r>
      <w:r>
        <w:rPr>
          <w:color w:val="231F20"/>
          <w:sz w:val="15"/>
        </w:rPr>
        <w:t>rozpínavosti plynů</w:t>
      </w:r>
      <w:r>
        <w:rPr>
          <w:color w:val="231F20"/>
          <w:spacing w:val="-10"/>
          <w:sz w:val="15"/>
        </w:rPr>
        <w:t xml:space="preserve"> </w:t>
      </w:r>
      <w:r>
        <w:rPr>
          <w:color w:val="231F20"/>
          <w:sz w:val="15"/>
        </w:rPr>
        <w:t>nebo</w:t>
      </w:r>
      <w:r>
        <w:rPr>
          <w:color w:val="231F20"/>
          <w:spacing w:val="-10"/>
          <w:sz w:val="15"/>
        </w:rPr>
        <w:t xml:space="preserve"> </w:t>
      </w:r>
      <w:r>
        <w:rPr>
          <w:color w:val="231F20"/>
          <w:sz w:val="15"/>
        </w:rPr>
        <w:t>par</w:t>
      </w:r>
      <w:r>
        <w:rPr>
          <w:color w:val="231F20"/>
          <w:spacing w:val="-9"/>
          <w:sz w:val="15"/>
        </w:rPr>
        <w:t xml:space="preserve"> </w:t>
      </w:r>
      <w:r>
        <w:rPr>
          <w:color w:val="231F20"/>
          <w:sz w:val="15"/>
        </w:rPr>
        <w:t>(velmi</w:t>
      </w:r>
      <w:r>
        <w:rPr>
          <w:color w:val="231F20"/>
          <w:spacing w:val="-10"/>
          <w:sz w:val="15"/>
        </w:rPr>
        <w:t xml:space="preserve"> </w:t>
      </w:r>
      <w:r>
        <w:rPr>
          <w:color w:val="231F20"/>
          <w:sz w:val="15"/>
        </w:rPr>
        <w:t>rychlá</w:t>
      </w:r>
      <w:r>
        <w:rPr>
          <w:color w:val="231F20"/>
          <w:spacing w:val="-10"/>
          <w:sz w:val="15"/>
        </w:rPr>
        <w:t xml:space="preserve"> </w:t>
      </w:r>
      <w:r>
        <w:rPr>
          <w:color w:val="231F20"/>
          <w:sz w:val="15"/>
        </w:rPr>
        <w:t>chemická</w:t>
      </w:r>
      <w:r>
        <w:rPr>
          <w:color w:val="231F20"/>
          <w:spacing w:val="-9"/>
          <w:sz w:val="15"/>
        </w:rPr>
        <w:t xml:space="preserve"> </w:t>
      </w:r>
      <w:r>
        <w:rPr>
          <w:color w:val="231F20"/>
          <w:sz w:val="15"/>
        </w:rPr>
        <w:t>reakce</w:t>
      </w:r>
      <w:r>
        <w:rPr>
          <w:color w:val="231F20"/>
          <w:spacing w:val="-10"/>
          <w:sz w:val="15"/>
        </w:rPr>
        <w:t xml:space="preserve"> </w:t>
      </w:r>
      <w:r>
        <w:rPr>
          <w:color w:val="231F20"/>
          <w:sz w:val="15"/>
        </w:rPr>
        <w:t>nestabilní</w:t>
      </w:r>
      <w:r>
        <w:rPr>
          <w:color w:val="231F20"/>
          <w:spacing w:val="-10"/>
          <w:sz w:val="15"/>
        </w:rPr>
        <w:t xml:space="preserve"> </w:t>
      </w:r>
      <w:r>
        <w:rPr>
          <w:color w:val="231F20"/>
          <w:sz w:val="15"/>
        </w:rPr>
        <w:t>soustavy).</w:t>
      </w:r>
      <w:r>
        <w:rPr>
          <w:color w:val="231F20"/>
          <w:spacing w:val="-9"/>
          <w:sz w:val="15"/>
        </w:rPr>
        <w:t xml:space="preserve"> </w:t>
      </w:r>
      <w:r>
        <w:rPr>
          <w:color w:val="231F20"/>
          <w:spacing w:val="-3"/>
          <w:sz w:val="15"/>
        </w:rPr>
        <w:t xml:space="preserve">Výbuchem </w:t>
      </w:r>
      <w:r>
        <w:rPr>
          <w:color w:val="231F20"/>
          <w:sz w:val="15"/>
        </w:rPr>
        <w:t>není reakce ve spalovacím prostoru</w:t>
      </w:r>
      <w:r>
        <w:rPr>
          <w:color w:val="231F20"/>
          <w:spacing w:val="-9"/>
          <w:sz w:val="15"/>
        </w:rPr>
        <w:t xml:space="preserve"> </w:t>
      </w:r>
      <w:r>
        <w:rPr>
          <w:color w:val="231F20"/>
          <w:sz w:val="15"/>
        </w:rPr>
        <w:t>motoru;</w:t>
      </w:r>
    </w:p>
    <w:p w14:paraId="7EE09DAE" w14:textId="77777777" w:rsidR="00F65BCA" w:rsidRDefault="00216117">
      <w:pPr>
        <w:pStyle w:val="Odstavecseseznamem"/>
        <w:numPr>
          <w:ilvl w:val="0"/>
          <w:numId w:val="135"/>
        </w:numPr>
        <w:tabs>
          <w:tab w:val="left" w:pos="598"/>
        </w:tabs>
        <w:spacing w:line="278" w:lineRule="auto"/>
        <w:jc w:val="both"/>
        <w:rPr>
          <w:sz w:val="15"/>
        </w:rPr>
      </w:pPr>
      <w:r>
        <w:rPr>
          <w:color w:val="231F20"/>
          <w:sz w:val="15"/>
        </w:rPr>
        <w:t>záplavou se rozumí zaplavení území vzdutou hladinou spodní vody, vodou  z</w:t>
      </w:r>
      <w:r>
        <w:rPr>
          <w:color w:val="231F20"/>
          <w:spacing w:val="-13"/>
          <w:sz w:val="15"/>
        </w:rPr>
        <w:t xml:space="preserve"> </w:t>
      </w:r>
      <w:r>
        <w:rPr>
          <w:color w:val="231F20"/>
          <w:sz w:val="15"/>
        </w:rPr>
        <w:t>atmosférických</w:t>
      </w:r>
      <w:r>
        <w:rPr>
          <w:color w:val="231F20"/>
          <w:spacing w:val="-12"/>
          <w:sz w:val="15"/>
        </w:rPr>
        <w:t xml:space="preserve"> </w:t>
      </w:r>
      <w:r>
        <w:rPr>
          <w:color w:val="231F20"/>
          <w:sz w:val="15"/>
        </w:rPr>
        <w:t>srážek</w:t>
      </w:r>
      <w:r>
        <w:rPr>
          <w:color w:val="231F20"/>
          <w:spacing w:val="-13"/>
          <w:sz w:val="15"/>
        </w:rPr>
        <w:t xml:space="preserve"> </w:t>
      </w:r>
      <w:r>
        <w:rPr>
          <w:color w:val="231F20"/>
          <w:sz w:val="15"/>
        </w:rPr>
        <w:t>po</w:t>
      </w:r>
      <w:r>
        <w:rPr>
          <w:color w:val="231F20"/>
          <w:spacing w:val="-12"/>
          <w:sz w:val="15"/>
        </w:rPr>
        <w:t xml:space="preserve"> </w:t>
      </w:r>
      <w:r>
        <w:rPr>
          <w:color w:val="231F20"/>
          <w:sz w:val="15"/>
        </w:rPr>
        <w:t>dlouhotrvajících</w:t>
      </w:r>
      <w:r>
        <w:rPr>
          <w:color w:val="231F20"/>
          <w:spacing w:val="-12"/>
          <w:sz w:val="15"/>
        </w:rPr>
        <w:t xml:space="preserve"> </w:t>
      </w:r>
      <w:r>
        <w:rPr>
          <w:color w:val="231F20"/>
          <w:sz w:val="15"/>
        </w:rPr>
        <w:t>deštích,</w:t>
      </w:r>
      <w:r>
        <w:rPr>
          <w:color w:val="231F20"/>
          <w:spacing w:val="-13"/>
          <w:sz w:val="15"/>
        </w:rPr>
        <w:t xml:space="preserve"> </w:t>
      </w:r>
      <w:r>
        <w:rPr>
          <w:color w:val="231F20"/>
          <w:sz w:val="15"/>
        </w:rPr>
        <w:t>po</w:t>
      </w:r>
      <w:r>
        <w:rPr>
          <w:color w:val="231F20"/>
          <w:spacing w:val="-12"/>
          <w:sz w:val="15"/>
        </w:rPr>
        <w:t xml:space="preserve"> </w:t>
      </w:r>
      <w:r>
        <w:rPr>
          <w:color w:val="231F20"/>
          <w:sz w:val="15"/>
        </w:rPr>
        <w:t>průtržích</w:t>
      </w:r>
      <w:r>
        <w:rPr>
          <w:color w:val="231F20"/>
          <w:spacing w:val="-12"/>
          <w:sz w:val="15"/>
        </w:rPr>
        <w:t xml:space="preserve"> </w:t>
      </w:r>
      <w:r>
        <w:rPr>
          <w:color w:val="231F20"/>
          <w:sz w:val="15"/>
        </w:rPr>
        <w:t>mračen</w:t>
      </w:r>
      <w:r>
        <w:rPr>
          <w:color w:val="231F20"/>
          <w:spacing w:val="-13"/>
          <w:sz w:val="15"/>
        </w:rPr>
        <w:t xml:space="preserve"> </w:t>
      </w:r>
      <w:r>
        <w:rPr>
          <w:color w:val="231F20"/>
          <w:spacing w:val="-4"/>
          <w:sz w:val="15"/>
        </w:rPr>
        <w:t xml:space="preserve">nebo </w:t>
      </w:r>
      <w:r>
        <w:rPr>
          <w:color w:val="231F20"/>
          <w:sz w:val="15"/>
        </w:rPr>
        <w:t>za</w:t>
      </w:r>
      <w:r>
        <w:rPr>
          <w:color w:val="231F20"/>
          <w:spacing w:val="-21"/>
          <w:sz w:val="15"/>
        </w:rPr>
        <w:t xml:space="preserve"> </w:t>
      </w:r>
      <w:r>
        <w:rPr>
          <w:color w:val="231F20"/>
          <w:sz w:val="15"/>
        </w:rPr>
        <w:t>prudkého</w:t>
      </w:r>
      <w:r>
        <w:rPr>
          <w:color w:val="231F20"/>
          <w:spacing w:val="-21"/>
          <w:sz w:val="15"/>
        </w:rPr>
        <w:t xml:space="preserve"> </w:t>
      </w:r>
      <w:r>
        <w:rPr>
          <w:color w:val="231F20"/>
          <w:sz w:val="15"/>
        </w:rPr>
        <w:t>tání</w:t>
      </w:r>
      <w:r>
        <w:rPr>
          <w:color w:val="231F20"/>
          <w:spacing w:val="-21"/>
          <w:sz w:val="15"/>
        </w:rPr>
        <w:t xml:space="preserve"> </w:t>
      </w:r>
      <w:r>
        <w:rPr>
          <w:color w:val="231F20"/>
          <w:sz w:val="15"/>
        </w:rPr>
        <w:t>nadměrného</w:t>
      </w:r>
      <w:r>
        <w:rPr>
          <w:color w:val="231F20"/>
          <w:spacing w:val="-21"/>
          <w:sz w:val="15"/>
        </w:rPr>
        <w:t xml:space="preserve"> </w:t>
      </w:r>
      <w:r>
        <w:rPr>
          <w:color w:val="231F20"/>
          <w:sz w:val="15"/>
        </w:rPr>
        <w:t>množství</w:t>
      </w:r>
      <w:r>
        <w:rPr>
          <w:color w:val="231F20"/>
          <w:spacing w:val="-21"/>
          <w:sz w:val="15"/>
        </w:rPr>
        <w:t xml:space="preserve"> </w:t>
      </w:r>
      <w:r>
        <w:rPr>
          <w:color w:val="231F20"/>
          <w:sz w:val="15"/>
        </w:rPr>
        <w:t>sněhu</w:t>
      </w:r>
      <w:r>
        <w:rPr>
          <w:color w:val="231F20"/>
          <w:spacing w:val="-21"/>
          <w:sz w:val="15"/>
        </w:rPr>
        <w:t xml:space="preserve"> </w:t>
      </w:r>
      <w:r>
        <w:rPr>
          <w:color w:val="231F20"/>
          <w:sz w:val="15"/>
        </w:rPr>
        <w:t>a</w:t>
      </w:r>
      <w:r>
        <w:rPr>
          <w:color w:val="231F20"/>
          <w:spacing w:val="-21"/>
          <w:sz w:val="15"/>
        </w:rPr>
        <w:t xml:space="preserve"> </w:t>
      </w:r>
      <w:r>
        <w:rPr>
          <w:color w:val="231F20"/>
          <w:sz w:val="15"/>
        </w:rPr>
        <w:t>zaplavení</w:t>
      </w:r>
      <w:r>
        <w:rPr>
          <w:color w:val="231F20"/>
          <w:spacing w:val="-20"/>
          <w:sz w:val="15"/>
        </w:rPr>
        <w:t xml:space="preserve"> </w:t>
      </w:r>
      <w:r>
        <w:rPr>
          <w:color w:val="231F20"/>
          <w:sz w:val="15"/>
        </w:rPr>
        <w:t>ploch</w:t>
      </w:r>
      <w:r>
        <w:rPr>
          <w:color w:val="231F20"/>
          <w:spacing w:val="-21"/>
          <w:sz w:val="15"/>
        </w:rPr>
        <w:t xml:space="preserve"> </w:t>
      </w:r>
      <w:r>
        <w:rPr>
          <w:color w:val="231F20"/>
          <w:sz w:val="15"/>
        </w:rPr>
        <w:t>vodou</w:t>
      </w:r>
      <w:r>
        <w:rPr>
          <w:color w:val="231F20"/>
          <w:spacing w:val="-21"/>
          <w:sz w:val="15"/>
        </w:rPr>
        <w:t xml:space="preserve"> </w:t>
      </w:r>
      <w:r>
        <w:rPr>
          <w:color w:val="231F20"/>
          <w:sz w:val="15"/>
        </w:rPr>
        <w:t>z</w:t>
      </w:r>
      <w:r>
        <w:rPr>
          <w:color w:val="231F20"/>
          <w:spacing w:val="-21"/>
          <w:sz w:val="15"/>
        </w:rPr>
        <w:t xml:space="preserve"> </w:t>
      </w:r>
      <w:r>
        <w:rPr>
          <w:color w:val="231F20"/>
          <w:sz w:val="15"/>
        </w:rPr>
        <w:t>prask- lého vodovodního</w:t>
      </w:r>
      <w:r>
        <w:rPr>
          <w:color w:val="231F20"/>
          <w:spacing w:val="-2"/>
          <w:sz w:val="15"/>
        </w:rPr>
        <w:t xml:space="preserve"> </w:t>
      </w:r>
      <w:r>
        <w:rPr>
          <w:color w:val="231F20"/>
          <w:sz w:val="15"/>
        </w:rPr>
        <w:t>potrubí;</w:t>
      </w:r>
    </w:p>
    <w:p w14:paraId="0A0E2542" w14:textId="77777777" w:rsidR="00F65BCA" w:rsidRDefault="00216117">
      <w:pPr>
        <w:pStyle w:val="Odstavecseseznamem"/>
        <w:numPr>
          <w:ilvl w:val="0"/>
          <w:numId w:val="135"/>
        </w:numPr>
        <w:tabs>
          <w:tab w:val="left" w:pos="598"/>
        </w:tabs>
        <w:spacing w:line="278" w:lineRule="auto"/>
        <w:ind w:right="1"/>
        <w:jc w:val="both"/>
        <w:rPr>
          <w:sz w:val="15"/>
        </w:rPr>
      </w:pPr>
      <w:r>
        <w:rPr>
          <w:color w:val="231F20"/>
          <w:sz w:val="15"/>
        </w:rPr>
        <w:t>zemětřesením</w:t>
      </w:r>
      <w:r>
        <w:rPr>
          <w:color w:val="231F20"/>
          <w:spacing w:val="-13"/>
          <w:sz w:val="15"/>
        </w:rPr>
        <w:t xml:space="preserve"> </w:t>
      </w:r>
      <w:r>
        <w:rPr>
          <w:color w:val="231F20"/>
          <w:sz w:val="15"/>
        </w:rPr>
        <w:t>se</w:t>
      </w:r>
      <w:r>
        <w:rPr>
          <w:color w:val="231F20"/>
          <w:spacing w:val="-13"/>
          <w:sz w:val="15"/>
        </w:rPr>
        <w:t xml:space="preserve"> </w:t>
      </w:r>
      <w:r>
        <w:rPr>
          <w:color w:val="231F20"/>
          <w:sz w:val="15"/>
        </w:rPr>
        <w:t>rozumí</w:t>
      </w:r>
      <w:r>
        <w:rPr>
          <w:color w:val="231F20"/>
          <w:spacing w:val="-12"/>
          <w:sz w:val="15"/>
        </w:rPr>
        <w:t xml:space="preserve"> </w:t>
      </w:r>
      <w:r>
        <w:rPr>
          <w:color w:val="231F20"/>
          <w:sz w:val="15"/>
        </w:rPr>
        <w:t>otřesy</w:t>
      </w:r>
      <w:r>
        <w:rPr>
          <w:color w:val="231F20"/>
          <w:spacing w:val="-13"/>
          <w:sz w:val="15"/>
        </w:rPr>
        <w:t xml:space="preserve"> </w:t>
      </w:r>
      <w:r>
        <w:rPr>
          <w:color w:val="231F20"/>
          <w:sz w:val="15"/>
        </w:rPr>
        <w:t>zemského</w:t>
      </w:r>
      <w:r>
        <w:rPr>
          <w:color w:val="231F20"/>
          <w:spacing w:val="-12"/>
          <w:sz w:val="15"/>
        </w:rPr>
        <w:t xml:space="preserve"> </w:t>
      </w:r>
      <w:r>
        <w:rPr>
          <w:color w:val="231F20"/>
          <w:sz w:val="15"/>
        </w:rPr>
        <w:t>povrchu</w:t>
      </w:r>
      <w:r>
        <w:rPr>
          <w:color w:val="231F20"/>
          <w:spacing w:val="-13"/>
          <w:sz w:val="15"/>
        </w:rPr>
        <w:t xml:space="preserve"> </w:t>
      </w:r>
      <w:r>
        <w:rPr>
          <w:color w:val="231F20"/>
          <w:sz w:val="15"/>
        </w:rPr>
        <w:t>způsobené</w:t>
      </w:r>
      <w:r>
        <w:rPr>
          <w:color w:val="231F20"/>
          <w:spacing w:val="-12"/>
          <w:sz w:val="15"/>
        </w:rPr>
        <w:t xml:space="preserve"> </w:t>
      </w:r>
      <w:r>
        <w:rPr>
          <w:color w:val="231F20"/>
          <w:sz w:val="15"/>
        </w:rPr>
        <w:t>pohybem</w:t>
      </w:r>
      <w:r>
        <w:rPr>
          <w:color w:val="231F20"/>
          <w:spacing w:val="-13"/>
          <w:sz w:val="15"/>
        </w:rPr>
        <w:t xml:space="preserve"> </w:t>
      </w:r>
      <w:r>
        <w:rPr>
          <w:color w:val="231F20"/>
          <w:spacing w:val="-5"/>
          <w:sz w:val="15"/>
        </w:rPr>
        <w:t xml:space="preserve">zem- </w:t>
      </w:r>
      <w:r>
        <w:rPr>
          <w:color w:val="231F20"/>
          <w:sz w:val="15"/>
        </w:rPr>
        <w:t>ské</w:t>
      </w:r>
      <w:r>
        <w:rPr>
          <w:color w:val="231F20"/>
          <w:spacing w:val="-16"/>
          <w:sz w:val="15"/>
        </w:rPr>
        <w:t xml:space="preserve"> </w:t>
      </w:r>
      <w:r>
        <w:rPr>
          <w:color w:val="231F20"/>
          <w:spacing w:val="-3"/>
          <w:sz w:val="15"/>
        </w:rPr>
        <w:t>kůry,</w:t>
      </w:r>
      <w:r>
        <w:rPr>
          <w:color w:val="231F20"/>
          <w:spacing w:val="-15"/>
          <w:sz w:val="15"/>
        </w:rPr>
        <w:t xml:space="preserve"> </w:t>
      </w:r>
      <w:r>
        <w:rPr>
          <w:color w:val="231F20"/>
          <w:sz w:val="15"/>
        </w:rPr>
        <w:t>dosahující</w:t>
      </w:r>
      <w:r>
        <w:rPr>
          <w:color w:val="231F20"/>
          <w:spacing w:val="-15"/>
          <w:sz w:val="15"/>
        </w:rPr>
        <w:t xml:space="preserve"> </w:t>
      </w:r>
      <w:r>
        <w:rPr>
          <w:color w:val="231F20"/>
          <w:sz w:val="15"/>
        </w:rPr>
        <w:t>alespoň</w:t>
      </w:r>
      <w:r>
        <w:rPr>
          <w:color w:val="231F20"/>
          <w:spacing w:val="-15"/>
          <w:sz w:val="15"/>
        </w:rPr>
        <w:t xml:space="preserve"> </w:t>
      </w:r>
      <w:r>
        <w:rPr>
          <w:color w:val="231F20"/>
          <w:sz w:val="15"/>
        </w:rPr>
        <w:t>6.</w:t>
      </w:r>
      <w:r>
        <w:rPr>
          <w:color w:val="231F20"/>
          <w:spacing w:val="-15"/>
          <w:sz w:val="15"/>
        </w:rPr>
        <w:t xml:space="preserve"> </w:t>
      </w:r>
      <w:r>
        <w:rPr>
          <w:color w:val="231F20"/>
          <w:sz w:val="15"/>
        </w:rPr>
        <w:t>stupně</w:t>
      </w:r>
      <w:r>
        <w:rPr>
          <w:color w:val="231F20"/>
          <w:spacing w:val="-16"/>
          <w:sz w:val="15"/>
        </w:rPr>
        <w:t xml:space="preserve"> </w:t>
      </w:r>
      <w:r>
        <w:rPr>
          <w:color w:val="231F20"/>
          <w:sz w:val="15"/>
        </w:rPr>
        <w:t>mezinárodní</w:t>
      </w:r>
      <w:r>
        <w:rPr>
          <w:color w:val="231F20"/>
          <w:spacing w:val="-15"/>
          <w:sz w:val="15"/>
        </w:rPr>
        <w:t xml:space="preserve"> </w:t>
      </w:r>
      <w:r>
        <w:rPr>
          <w:color w:val="231F20"/>
          <w:sz w:val="15"/>
        </w:rPr>
        <w:t>stupnice</w:t>
      </w:r>
      <w:r>
        <w:rPr>
          <w:color w:val="231F20"/>
          <w:spacing w:val="-15"/>
          <w:sz w:val="15"/>
        </w:rPr>
        <w:t xml:space="preserve"> </w:t>
      </w:r>
      <w:r>
        <w:rPr>
          <w:color w:val="231F20"/>
          <w:sz w:val="15"/>
        </w:rPr>
        <w:t>MSK-64</w:t>
      </w:r>
      <w:r>
        <w:rPr>
          <w:color w:val="231F20"/>
          <w:spacing w:val="-15"/>
          <w:sz w:val="15"/>
        </w:rPr>
        <w:t xml:space="preserve"> </w:t>
      </w:r>
      <w:r>
        <w:rPr>
          <w:color w:val="231F20"/>
          <w:sz w:val="15"/>
        </w:rPr>
        <w:t>udávající makroseizmické</w:t>
      </w:r>
      <w:r>
        <w:rPr>
          <w:color w:val="231F20"/>
          <w:spacing w:val="-25"/>
          <w:sz w:val="15"/>
        </w:rPr>
        <w:t xml:space="preserve"> </w:t>
      </w:r>
      <w:r>
        <w:rPr>
          <w:color w:val="231F20"/>
          <w:sz w:val="15"/>
        </w:rPr>
        <w:t>účinky</w:t>
      </w:r>
      <w:r>
        <w:rPr>
          <w:color w:val="231F20"/>
          <w:spacing w:val="-25"/>
          <w:sz w:val="15"/>
        </w:rPr>
        <w:t xml:space="preserve"> </w:t>
      </w:r>
      <w:r>
        <w:rPr>
          <w:color w:val="231F20"/>
          <w:sz w:val="15"/>
        </w:rPr>
        <w:t>zemětřesení,</w:t>
      </w:r>
      <w:r>
        <w:rPr>
          <w:color w:val="231F20"/>
          <w:spacing w:val="-24"/>
          <w:sz w:val="15"/>
        </w:rPr>
        <w:t xml:space="preserve"> </w:t>
      </w:r>
      <w:r>
        <w:rPr>
          <w:color w:val="231F20"/>
          <w:sz w:val="15"/>
        </w:rPr>
        <w:t>v</w:t>
      </w:r>
      <w:r>
        <w:rPr>
          <w:color w:val="231F20"/>
          <w:spacing w:val="-25"/>
          <w:sz w:val="15"/>
        </w:rPr>
        <w:t xml:space="preserve"> </w:t>
      </w:r>
      <w:r>
        <w:rPr>
          <w:color w:val="231F20"/>
          <w:sz w:val="15"/>
        </w:rPr>
        <w:t>místě</w:t>
      </w:r>
      <w:r>
        <w:rPr>
          <w:color w:val="231F20"/>
          <w:spacing w:val="-25"/>
          <w:sz w:val="15"/>
        </w:rPr>
        <w:t xml:space="preserve"> </w:t>
      </w:r>
      <w:r>
        <w:rPr>
          <w:color w:val="231F20"/>
          <w:sz w:val="15"/>
        </w:rPr>
        <w:t>škodní</w:t>
      </w:r>
      <w:r>
        <w:rPr>
          <w:color w:val="231F20"/>
          <w:spacing w:val="-24"/>
          <w:sz w:val="15"/>
        </w:rPr>
        <w:t xml:space="preserve"> </w:t>
      </w:r>
      <w:r>
        <w:rPr>
          <w:color w:val="231F20"/>
          <w:sz w:val="15"/>
        </w:rPr>
        <w:t>události</w:t>
      </w:r>
      <w:r>
        <w:rPr>
          <w:color w:val="231F20"/>
          <w:spacing w:val="-25"/>
          <w:sz w:val="15"/>
        </w:rPr>
        <w:t xml:space="preserve"> </w:t>
      </w:r>
      <w:r>
        <w:rPr>
          <w:color w:val="231F20"/>
          <w:sz w:val="15"/>
        </w:rPr>
        <w:t>(nikoli</w:t>
      </w:r>
      <w:r>
        <w:rPr>
          <w:color w:val="231F20"/>
          <w:spacing w:val="-25"/>
          <w:sz w:val="15"/>
        </w:rPr>
        <w:t xml:space="preserve"> </w:t>
      </w:r>
      <w:r>
        <w:rPr>
          <w:color w:val="231F20"/>
          <w:sz w:val="15"/>
        </w:rPr>
        <w:t>v</w:t>
      </w:r>
      <w:r>
        <w:rPr>
          <w:color w:val="231F20"/>
          <w:spacing w:val="-24"/>
          <w:sz w:val="15"/>
        </w:rPr>
        <w:t xml:space="preserve"> </w:t>
      </w:r>
      <w:r>
        <w:rPr>
          <w:color w:val="231F20"/>
          <w:sz w:val="15"/>
        </w:rPr>
        <w:t>epicentru).</w:t>
      </w:r>
    </w:p>
    <w:p w14:paraId="5BB810FE" w14:textId="77777777" w:rsidR="00F65BCA" w:rsidRDefault="00216117">
      <w:pPr>
        <w:pStyle w:val="Zkladntext"/>
        <w:spacing w:before="131" w:line="320" w:lineRule="atLeast"/>
        <w:ind w:left="426" w:right="1876" w:firstLine="1"/>
        <w:jc w:val="both"/>
      </w:pPr>
      <w:r>
        <w:rPr>
          <w:color w:val="FFFFFF"/>
          <w:position w:val="3"/>
          <w:sz w:val="16"/>
          <w:shd w:val="clear" w:color="auto" w:fill="808285"/>
        </w:rPr>
        <w:t xml:space="preserve">  </w:t>
      </w:r>
      <w:r>
        <w:rPr>
          <w:color w:val="FFFFFF"/>
          <w:w w:val="105"/>
          <w:position w:val="3"/>
          <w:sz w:val="16"/>
          <w:shd w:val="clear" w:color="auto" w:fill="808285"/>
        </w:rPr>
        <w:t>Článek 3</w:t>
      </w:r>
      <w:r>
        <w:rPr>
          <w:color w:val="FFFFFF"/>
          <w:w w:val="105"/>
          <w:position w:val="3"/>
          <w:sz w:val="16"/>
        </w:rPr>
        <w:t xml:space="preserve"> </w:t>
      </w:r>
      <w:r>
        <w:rPr>
          <w:color w:val="231F20"/>
          <w:w w:val="105"/>
        </w:rPr>
        <w:t>Počátek, změny a zánik pojištění Uzavření a změny pojistné smlouvy</w:t>
      </w:r>
    </w:p>
    <w:p w14:paraId="3F70CD12" w14:textId="77777777" w:rsidR="00F65BCA" w:rsidRDefault="00216117">
      <w:pPr>
        <w:pStyle w:val="Zkladntext"/>
        <w:spacing w:before="2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15"/>
          <w:position w:val="1"/>
          <w:sz w:val="14"/>
        </w:rPr>
        <w:t xml:space="preserve"> </w:t>
      </w:r>
      <w:r>
        <w:rPr>
          <w:color w:val="231F20"/>
        </w:rPr>
        <w:t>Není-li</w:t>
      </w:r>
      <w:r>
        <w:rPr>
          <w:color w:val="231F20"/>
          <w:spacing w:val="-18"/>
        </w:rPr>
        <w:t xml:space="preserve"> </w:t>
      </w:r>
      <w:r>
        <w:rPr>
          <w:color w:val="231F20"/>
        </w:rPr>
        <w:t>v</w:t>
      </w:r>
      <w:r>
        <w:rPr>
          <w:color w:val="231F20"/>
          <w:spacing w:val="-18"/>
        </w:rPr>
        <w:t xml:space="preserve"> </w:t>
      </w:r>
      <w:r>
        <w:rPr>
          <w:color w:val="231F20"/>
        </w:rPr>
        <w:t>pojistné</w:t>
      </w:r>
      <w:r>
        <w:rPr>
          <w:color w:val="231F20"/>
          <w:spacing w:val="-18"/>
        </w:rPr>
        <w:t xml:space="preserve"> </w:t>
      </w:r>
      <w:r>
        <w:rPr>
          <w:color w:val="231F20"/>
        </w:rPr>
        <w:t>smlouvě</w:t>
      </w:r>
      <w:r>
        <w:rPr>
          <w:color w:val="231F20"/>
          <w:spacing w:val="-18"/>
        </w:rPr>
        <w:t xml:space="preserve"> </w:t>
      </w:r>
      <w:r>
        <w:rPr>
          <w:color w:val="231F20"/>
        </w:rPr>
        <w:t>ujednáno</w:t>
      </w:r>
      <w:r>
        <w:rPr>
          <w:color w:val="231F20"/>
          <w:spacing w:val="-18"/>
        </w:rPr>
        <w:t xml:space="preserve"> </w:t>
      </w:r>
      <w:r>
        <w:rPr>
          <w:color w:val="231F20"/>
        </w:rPr>
        <w:t>jinak,</w:t>
      </w:r>
      <w:r>
        <w:rPr>
          <w:color w:val="231F20"/>
          <w:spacing w:val="-18"/>
        </w:rPr>
        <w:t xml:space="preserve"> </w:t>
      </w:r>
      <w:r>
        <w:rPr>
          <w:color w:val="231F20"/>
        </w:rPr>
        <w:t>uzavírá</w:t>
      </w:r>
      <w:r>
        <w:rPr>
          <w:color w:val="231F20"/>
          <w:spacing w:val="-18"/>
        </w:rPr>
        <w:t xml:space="preserve"> </w:t>
      </w:r>
      <w:r>
        <w:rPr>
          <w:color w:val="231F20"/>
        </w:rPr>
        <w:t>se</w:t>
      </w:r>
      <w:r>
        <w:rPr>
          <w:color w:val="231F20"/>
          <w:spacing w:val="-18"/>
        </w:rPr>
        <w:t xml:space="preserve"> </w:t>
      </w:r>
      <w:r>
        <w:rPr>
          <w:color w:val="231F20"/>
        </w:rPr>
        <w:t>pojistná</w:t>
      </w:r>
      <w:r>
        <w:rPr>
          <w:color w:val="231F20"/>
          <w:spacing w:val="-18"/>
        </w:rPr>
        <w:t xml:space="preserve"> </w:t>
      </w:r>
      <w:r>
        <w:rPr>
          <w:color w:val="231F20"/>
        </w:rPr>
        <w:t>smlouva</w:t>
      </w:r>
      <w:r>
        <w:rPr>
          <w:color w:val="231F20"/>
          <w:spacing w:val="-18"/>
        </w:rPr>
        <w:t xml:space="preserve"> </w:t>
      </w:r>
      <w:r>
        <w:rPr>
          <w:color w:val="231F20"/>
        </w:rPr>
        <w:t>na</w:t>
      </w:r>
      <w:r>
        <w:rPr>
          <w:color w:val="231F20"/>
          <w:spacing w:val="-18"/>
        </w:rPr>
        <w:t xml:space="preserve"> </w:t>
      </w:r>
      <w:r>
        <w:rPr>
          <w:color w:val="231F20"/>
        </w:rPr>
        <w:t>dobu neurčitou.</w:t>
      </w:r>
    </w:p>
    <w:p w14:paraId="6577FB7C" w14:textId="77777777" w:rsidR="00F65BCA" w:rsidRDefault="00216117">
      <w:pPr>
        <w:pStyle w:val="Zkladntext"/>
        <w:spacing w:before="75" w:line="278" w:lineRule="auto"/>
        <w:ind w:left="468" w:right="424" w:hanging="283"/>
        <w:jc w:val="both"/>
      </w:pPr>
      <w:r>
        <w:br w:type="column"/>
      </w: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position w:val="1"/>
          <w:sz w:val="14"/>
        </w:rPr>
        <w:t xml:space="preserve"> </w:t>
      </w:r>
      <w:r>
        <w:rPr>
          <w:color w:val="231F20"/>
        </w:rPr>
        <w:t xml:space="preserve">Pojišťovna předem vylučuje přijetí nabídky s dodatkem nebo odchylkou. </w:t>
      </w:r>
      <w:r>
        <w:rPr>
          <w:color w:val="231F20"/>
          <w:spacing w:val="-5"/>
        </w:rPr>
        <w:t xml:space="preserve">Ja- </w:t>
      </w:r>
      <w:r>
        <w:rPr>
          <w:color w:val="231F20"/>
        </w:rPr>
        <w:t>kýkoliv</w:t>
      </w:r>
      <w:r>
        <w:rPr>
          <w:color w:val="231F20"/>
          <w:spacing w:val="-6"/>
        </w:rPr>
        <w:t xml:space="preserve"> </w:t>
      </w:r>
      <w:r>
        <w:rPr>
          <w:color w:val="231F20"/>
        </w:rPr>
        <w:t>projev</w:t>
      </w:r>
      <w:r>
        <w:rPr>
          <w:color w:val="231F20"/>
          <w:spacing w:val="-6"/>
        </w:rPr>
        <w:t xml:space="preserve"> </w:t>
      </w:r>
      <w:r>
        <w:rPr>
          <w:color w:val="231F20"/>
        </w:rPr>
        <w:t>vůle,</w:t>
      </w:r>
      <w:r>
        <w:rPr>
          <w:color w:val="231F20"/>
          <w:spacing w:val="-6"/>
        </w:rPr>
        <w:t xml:space="preserve"> </w:t>
      </w:r>
      <w:r>
        <w:rPr>
          <w:color w:val="231F20"/>
        </w:rPr>
        <w:t>který</w:t>
      </w:r>
      <w:r>
        <w:rPr>
          <w:color w:val="231F20"/>
          <w:spacing w:val="-5"/>
        </w:rPr>
        <w:t xml:space="preserve"> </w:t>
      </w:r>
      <w:r>
        <w:rPr>
          <w:color w:val="231F20"/>
        </w:rPr>
        <w:t>obsahuje</w:t>
      </w:r>
      <w:r>
        <w:rPr>
          <w:color w:val="231F20"/>
          <w:spacing w:val="-6"/>
        </w:rPr>
        <w:t xml:space="preserve"> </w:t>
      </w:r>
      <w:r>
        <w:rPr>
          <w:color w:val="231F20"/>
        </w:rPr>
        <w:t>dodatky,</w:t>
      </w:r>
      <w:r>
        <w:rPr>
          <w:color w:val="231F20"/>
          <w:spacing w:val="-6"/>
        </w:rPr>
        <w:t xml:space="preserve"> </w:t>
      </w:r>
      <w:r>
        <w:rPr>
          <w:color w:val="231F20"/>
        </w:rPr>
        <w:t>výhrady,</w:t>
      </w:r>
      <w:r>
        <w:rPr>
          <w:color w:val="231F20"/>
          <w:spacing w:val="-5"/>
        </w:rPr>
        <w:t xml:space="preserve"> </w:t>
      </w:r>
      <w:r>
        <w:rPr>
          <w:color w:val="231F20"/>
        </w:rPr>
        <w:t>omezení</w:t>
      </w:r>
      <w:r>
        <w:rPr>
          <w:color w:val="231F20"/>
          <w:spacing w:val="-6"/>
        </w:rPr>
        <w:t xml:space="preserve"> </w:t>
      </w:r>
      <w:r>
        <w:rPr>
          <w:color w:val="231F20"/>
        </w:rPr>
        <w:t>či</w:t>
      </w:r>
      <w:r>
        <w:rPr>
          <w:color w:val="231F20"/>
          <w:spacing w:val="-6"/>
        </w:rPr>
        <w:t xml:space="preserve"> </w:t>
      </w:r>
      <w:r>
        <w:rPr>
          <w:color w:val="231F20"/>
        </w:rPr>
        <w:t>jiné</w:t>
      </w:r>
      <w:r>
        <w:rPr>
          <w:color w:val="231F20"/>
          <w:spacing w:val="-5"/>
        </w:rPr>
        <w:t xml:space="preserve"> </w:t>
      </w:r>
      <w:r>
        <w:rPr>
          <w:color w:val="231F20"/>
          <w:spacing w:val="-3"/>
        </w:rPr>
        <w:t xml:space="preserve">změny, </w:t>
      </w:r>
      <w:r>
        <w:rPr>
          <w:color w:val="231F20"/>
        </w:rPr>
        <w:t>a</w:t>
      </w:r>
      <w:r>
        <w:rPr>
          <w:color w:val="231F20"/>
          <w:spacing w:val="-3"/>
        </w:rPr>
        <w:t xml:space="preserve"> </w:t>
      </w:r>
      <w:r>
        <w:rPr>
          <w:color w:val="231F20"/>
        </w:rPr>
        <w:t>to</w:t>
      </w:r>
      <w:r>
        <w:rPr>
          <w:color w:val="231F20"/>
          <w:spacing w:val="-3"/>
        </w:rPr>
        <w:t xml:space="preserve"> </w:t>
      </w:r>
      <w:r>
        <w:rPr>
          <w:color w:val="231F20"/>
        </w:rPr>
        <w:t>i</w:t>
      </w:r>
      <w:r>
        <w:rPr>
          <w:color w:val="231F20"/>
          <w:spacing w:val="-2"/>
        </w:rPr>
        <w:t xml:space="preserve"> </w:t>
      </w:r>
      <w:r>
        <w:rPr>
          <w:color w:val="231F20"/>
        </w:rPr>
        <w:t>v</w:t>
      </w:r>
      <w:r>
        <w:rPr>
          <w:color w:val="231F20"/>
          <w:spacing w:val="-3"/>
        </w:rPr>
        <w:t xml:space="preserve"> </w:t>
      </w:r>
      <w:r>
        <w:rPr>
          <w:color w:val="231F20"/>
        </w:rPr>
        <w:t>případě,</w:t>
      </w:r>
      <w:r>
        <w:rPr>
          <w:color w:val="231F20"/>
          <w:spacing w:val="-3"/>
        </w:rPr>
        <w:t xml:space="preserve"> </w:t>
      </w:r>
      <w:r>
        <w:rPr>
          <w:color w:val="231F20"/>
        </w:rPr>
        <w:t>že</w:t>
      </w:r>
      <w:r>
        <w:rPr>
          <w:color w:val="231F20"/>
          <w:spacing w:val="-2"/>
        </w:rPr>
        <w:t xml:space="preserve"> </w:t>
      </w:r>
      <w:r>
        <w:rPr>
          <w:color w:val="231F20"/>
        </w:rPr>
        <w:t>nemění</w:t>
      </w:r>
      <w:r>
        <w:rPr>
          <w:color w:val="231F20"/>
          <w:spacing w:val="-3"/>
        </w:rPr>
        <w:t xml:space="preserve"> </w:t>
      </w:r>
      <w:r>
        <w:rPr>
          <w:color w:val="231F20"/>
        </w:rPr>
        <w:t>podstatně</w:t>
      </w:r>
      <w:r>
        <w:rPr>
          <w:color w:val="231F20"/>
          <w:spacing w:val="-3"/>
        </w:rPr>
        <w:t xml:space="preserve"> </w:t>
      </w:r>
      <w:r>
        <w:rPr>
          <w:color w:val="231F20"/>
          <w:spacing w:val="2"/>
        </w:rPr>
        <w:t>podmínky</w:t>
      </w:r>
      <w:r>
        <w:rPr>
          <w:color w:val="231F20"/>
          <w:spacing w:val="-2"/>
        </w:rPr>
        <w:t xml:space="preserve"> </w:t>
      </w:r>
      <w:r>
        <w:rPr>
          <w:color w:val="231F20"/>
        </w:rPr>
        <w:t>nabídky,</w:t>
      </w:r>
      <w:r>
        <w:rPr>
          <w:color w:val="231F20"/>
          <w:spacing w:val="-3"/>
        </w:rPr>
        <w:t xml:space="preserve"> </w:t>
      </w:r>
      <w:r>
        <w:rPr>
          <w:color w:val="231F20"/>
        </w:rPr>
        <w:t>je</w:t>
      </w:r>
      <w:r>
        <w:rPr>
          <w:color w:val="231F20"/>
          <w:spacing w:val="-3"/>
        </w:rPr>
        <w:t xml:space="preserve"> </w:t>
      </w:r>
      <w:r>
        <w:rPr>
          <w:color w:val="231F20"/>
        </w:rPr>
        <w:t>odmítnutím</w:t>
      </w:r>
      <w:r>
        <w:rPr>
          <w:color w:val="231F20"/>
          <w:spacing w:val="-2"/>
        </w:rPr>
        <w:t xml:space="preserve"> </w:t>
      </w:r>
      <w:r>
        <w:rPr>
          <w:color w:val="231F20"/>
        </w:rPr>
        <w:t xml:space="preserve">na- </w:t>
      </w:r>
      <w:r>
        <w:rPr>
          <w:color w:val="231F20"/>
          <w:spacing w:val="2"/>
        </w:rPr>
        <w:t xml:space="preserve">bídky </w:t>
      </w:r>
      <w:r>
        <w:rPr>
          <w:color w:val="231F20"/>
        </w:rPr>
        <w:t>a považuje se za novou</w:t>
      </w:r>
      <w:r>
        <w:rPr>
          <w:color w:val="231F20"/>
          <w:spacing w:val="-11"/>
        </w:rPr>
        <w:t xml:space="preserve"> </w:t>
      </w:r>
      <w:r>
        <w:rPr>
          <w:color w:val="231F20"/>
        </w:rPr>
        <w:t>nabídku.</w:t>
      </w:r>
    </w:p>
    <w:p w14:paraId="46F7BCFB" w14:textId="77777777" w:rsidR="00F65BCA" w:rsidRDefault="00000000">
      <w:pPr>
        <w:pStyle w:val="Zkladntext"/>
        <w:spacing w:line="278" w:lineRule="auto"/>
        <w:ind w:left="468" w:right="424"/>
        <w:jc w:val="both"/>
      </w:pPr>
      <w:r>
        <w:pict w14:anchorId="3DE5559A">
          <v:shape id="_x0000_s2301" type="#_x0000_t202" style="position:absolute;left:0;text-align:left;margin-left:303.4pt;margin-top:.05pt;width:9.65pt;height:18.55pt;z-index:251838464;mso-position-horizontal-relative:page" fillcolor="#d1d3d4" stroked="f">
            <v:textbox inset="0,0,0,0">
              <w:txbxContent>
                <w:p w14:paraId="309DC2B2" w14:textId="77777777" w:rsidR="00F65BCA" w:rsidRDefault="00216117">
                  <w:pPr>
                    <w:spacing w:before="2"/>
                    <w:ind w:left="56"/>
                    <w:rPr>
                      <w:sz w:val="14"/>
                    </w:rPr>
                  </w:pPr>
                  <w:r>
                    <w:rPr>
                      <w:color w:val="231F20"/>
                      <w:w w:val="99"/>
                      <w:sz w:val="14"/>
                    </w:rPr>
                    <w:t>3</w:t>
                  </w:r>
                </w:p>
                <w:p w14:paraId="2F42F9B0" w14:textId="77777777" w:rsidR="00F65BCA" w:rsidRDefault="00216117">
                  <w:pPr>
                    <w:spacing w:before="39"/>
                    <w:ind w:left="56"/>
                    <w:rPr>
                      <w:sz w:val="14"/>
                    </w:rPr>
                  </w:pPr>
                  <w:r>
                    <w:rPr>
                      <w:color w:val="231F20"/>
                      <w:w w:val="99"/>
                      <w:sz w:val="14"/>
                    </w:rPr>
                    <w:t>4</w:t>
                  </w:r>
                </w:p>
              </w:txbxContent>
            </v:textbox>
            <w10:wrap anchorx="page"/>
          </v:shape>
        </w:pict>
      </w:r>
      <w:r w:rsidR="00216117">
        <w:rPr>
          <w:color w:val="231F20"/>
          <w:spacing w:val="-3"/>
          <w:w w:val="95"/>
        </w:rPr>
        <w:t>Pro</w:t>
      </w:r>
      <w:r w:rsidR="00216117">
        <w:rPr>
          <w:color w:val="231F20"/>
          <w:spacing w:val="-8"/>
          <w:w w:val="95"/>
        </w:rPr>
        <w:t xml:space="preserve"> </w:t>
      </w:r>
      <w:r w:rsidR="00216117">
        <w:rPr>
          <w:color w:val="231F20"/>
          <w:spacing w:val="-3"/>
          <w:w w:val="95"/>
        </w:rPr>
        <w:t>nabídku</w:t>
      </w:r>
      <w:r w:rsidR="00216117">
        <w:rPr>
          <w:color w:val="231F20"/>
          <w:spacing w:val="-7"/>
          <w:w w:val="95"/>
        </w:rPr>
        <w:t xml:space="preserve"> </w:t>
      </w:r>
      <w:r w:rsidR="00216117">
        <w:rPr>
          <w:color w:val="231F20"/>
          <w:spacing w:val="-3"/>
          <w:w w:val="95"/>
        </w:rPr>
        <w:t>změny</w:t>
      </w:r>
      <w:r w:rsidR="00216117">
        <w:rPr>
          <w:color w:val="231F20"/>
          <w:spacing w:val="-8"/>
          <w:w w:val="95"/>
        </w:rPr>
        <w:t xml:space="preserve"> </w:t>
      </w:r>
      <w:r w:rsidR="00216117">
        <w:rPr>
          <w:color w:val="231F20"/>
          <w:spacing w:val="-3"/>
          <w:w w:val="95"/>
        </w:rPr>
        <w:t>pojistné</w:t>
      </w:r>
      <w:r w:rsidR="00216117">
        <w:rPr>
          <w:color w:val="231F20"/>
          <w:spacing w:val="-7"/>
          <w:w w:val="95"/>
        </w:rPr>
        <w:t xml:space="preserve"> </w:t>
      </w:r>
      <w:r w:rsidR="00216117">
        <w:rPr>
          <w:color w:val="231F20"/>
          <w:spacing w:val="-3"/>
          <w:w w:val="95"/>
        </w:rPr>
        <w:t>smlouvy</w:t>
      </w:r>
      <w:r w:rsidR="00216117">
        <w:rPr>
          <w:color w:val="231F20"/>
          <w:spacing w:val="-7"/>
          <w:w w:val="95"/>
        </w:rPr>
        <w:t xml:space="preserve"> </w:t>
      </w:r>
      <w:r w:rsidR="00216117">
        <w:rPr>
          <w:color w:val="231F20"/>
          <w:w w:val="95"/>
        </w:rPr>
        <w:t>se</w:t>
      </w:r>
      <w:r w:rsidR="00216117">
        <w:rPr>
          <w:color w:val="231F20"/>
          <w:spacing w:val="-8"/>
          <w:w w:val="95"/>
        </w:rPr>
        <w:t xml:space="preserve"> </w:t>
      </w:r>
      <w:r w:rsidR="00216117">
        <w:rPr>
          <w:color w:val="231F20"/>
          <w:spacing w:val="-3"/>
          <w:w w:val="95"/>
        </w:rPr>
        <w:t>výše</w:t>
      </w:r>
      <w:r w:rsidR="00216117">
        <w:rPr>
          <w:color w:val="231F20"/>
          <w:spacing w:val="-7"/>
          <w:w w:val="95"/>
        </w:rPr>
        <w:t xml:space="preserve"> </w:t>
      </w:r>
      <w:r w:rsidR="00216117">
        <w:rPr>
          <w:color w:val="231F20"/>
          <w:spacing w:val="-3"/>
          <w:w w:val="95"/>
        </w:rPr>
        <w:t>uvedená</w:t>
      </w:r>
      <w:r w:rsidR="00216117">
        <w:rPr>
          <w:color w:val="231F20"/>
          <w:spacing w:val="-7"/>
          <w:w w:val="95"/>
        </w:rPr>
        <w:t xml:space="preserve"> </w:t>
      </w:r>
      <w:r w:rsidR="00216117">
        <w:rPr>
          <w:color w:val="231F20"/>
          <w:spacing w:val="-3"/>
          <w:w w:val="95"/>
        </w:rPr>
        <w:t>ustanovení</w:t>
      </w:r>
      <w:r w:rsidR="00216117">
        <w:rPr>
          <w:color w:val="231F20"/>
          <w:spacing w:val="-8"/>
          <w:w w:val="95"/>
        </w:rPr>
        <w:t xml:space="preserve"> </w:t>
      </w:r>
      <w:r w:rsidR="00216117">
        <w:rPr>
          <w:color w:val="231F20"/>
          <w:spacing w:val="-3"/>
          <w:w w:val="95"/>
        </w:rPr>
        <w:t>použijí</w:t>
      </w:r>
      <w:r w:rsidR="00216117">
        <w:rPr>
          <w:color w:val="231F20"/>
          <w:spacing w:val="-7"/>
          <w:w w:val="95"/>
        </w:rPr>
        <w:t xml:space="preserve"> </w:t>
      </w:r>
      <w:r w:rsidR="00216117">
        <w:rPr>
          <w:color w:val="231F20"/>
          <w:spacing w:val="-3"/>
          <w:w w:val="95"/>
        </w:rPr>
        <w:t xml:space="preserve">obdobně. </w:t>
      </w:r>
      <w:r w:rsidR="00216117">
        <w:rPr>
          <w:color w:val="231F20"/>
        </w:rPr>
        <w:t>Pojistník</w:t>
      </w:r>
      <w:r w:rsidR="00216117">
        <w:rPr>
          <w:color w:val="231F20"/>
          <w:spacing w:val="-29"/>
        </w:rPr>
        <w:t xml:space="preserve"> </w:t>
      </w:r>
      <w:r w:rsidR="00216117">
        <w:rPr>
          <w:color w:val="231F20"/>
        </w:rPr>
        <w:t>je</w:t>
      </w:r>
      <w:r w:rsidR="00216117">
        <w:rPr>
          <w:color w:val="231F20"/>
          <w:spacing w:val="-29"/>
        </w:rPr>
        <w:t xml:space="preserve"> </w:t>
      </w:r>
      <w:r w:rsidR="00216117">
        <w:rPr>
          <w:color w:val="231F20"/>
        </w:rPr>
        <w:t>povinen</w:t>
      </w:r>
      <w:r w:rsidR="00216117">
        <w:rPr>
          <w:color w:val="231F20"/>
          <w:spacing w:val="-29"/>
        </w:rPr>
        <w:t xml:space="preserve"> </w:t>
      </w:r>
      <w:r w:rsidR="00216117">
        <w:rPr>
          <w:color w:val="231F20"/>
        </w:rPr>
        <w:t>informovat</w:t>
      </w:r>
      <w:r w:rsidR="00216117">
        <w:rPr>
          <w:color w:val="231F20"/>
          <w:spacing w:val="-29"/>
        </w:rPr>
        <w:t xml:space="preserve"> </w:t>
      </w:r>
      <w:r w:rsidR="00216117">
        <w:rPr>
          <w:color w:val="231F20"/>
        </w:rPr>
        <w:t>pojištěného</w:t>
      </w:r>
      <w:r w:rsidR="00216117">
        <w:rPr>
          <w:color w:val="231F20"/>
          <w:spacing w:val="-29"/>
        </w:rPr>
        <w:t xml:space="preserve"> </w:t>
      </w:r>
      <w:r w:rsidR="00216117">
        <w:rPr>
          <w:color w:val="231F20"/>
        </w:rPr>
        <w:t>o</w:t>
      </w:r>
      <w:r w:rsidR="00216117">
        <w:rPr>
          <w:color w:val="231F20"/>
          <w:spacing w:val="-29"/>
        </w:rPr>
        <w:t xml:space="preserve"> </w:t>
      </w:r>
      <w:r w:rsidR="00216117">
        <w:rPr>
          <w:color w:val="231F20"/>
        </w:rPr>
        <w:t>sjednání</w:t>
      </w:r>
      <w:r w:rsidR="00216117">
        <w:rPr>
          <w:color w:val="231F20"/>
          <w:spacing w:val="-29"/>
        </w:rPr>
        <w:t xml:space="preserve"> </w:t>
      </w:r>
      <w:r w:rsidR="00216117">
        <w:rPr>
          <w:color w:val="231F20"/>
        </w:rPr>
        <w:t>pojištění</w:t>
      </w:r>
      <w:r w:rsidR="00216117">
        <w:rPr>
          <w:color w:val="231F20"/>
          <w:spacing w:val="-28"/>
        </w:rPr>
        <w:t xml:space="preserve"> </w:t>
      </w:r>
      <w:r w:rsidR="00216117">
        <w:rPr>
          <w:color w:val="231F20"/>
        </w:rPr>
        <w:t>v</w:t>
      </w:r>
      <w:r w:rsidR="00216117">
        <w:rPr>
          <w:color w:val="231F20"/>
          <w:spacing w:val="-29"/>
        </w:rPr>
        <w:t xml:space="preserve"> </w:t>
      </w:r>
      <w:r w:rsidR="00216117">
        <w:rPr>
          <w:color w:val="231F20"/>
        </w:rPr>
        <w:t>jeho</w:t>
      </w:r>
      <w:r w:rsidR="00216117">
        <w:rPr>
          <w:color w:val="231F20"/>
          <w:spacing w:val="-29"/>
        </w:rPr>
        <w:t xml:space="preserve"> </w:t>
      </w:r>
      <w:r w:rsidR="00216117">
        <w:rPr>
          <w:color w:val="231F20"/>
        </w:rPr>
        <w:t>prospěch a seznámit jej s obsahem pojistné</w:t>
      </w:r>
      <w:r w:rsidR="00216117">
        <w:rPr>
          <w:color w:val="231F20"/>
          <w:spacing w:val="-12"/>
        </w:rPr>
        <w:t xml:space="preserve"> </w:t>
      </w:r>
      <w:r w:rsidR="00216117">
        <w:rPr>
          <w:color w:val="231F20"/>
        </w:rPr>
        <w:t>smlouvy.</w:t>
      </w:r>
    </w:p>
    <w:p w14:paraId="2919C978"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position w:val="1"/>
          <w:sz w:val="14"/>
        </w:rPr>
        <w:t xml:space="preserve"> </w:t>
      </w:r>
      <w:r>
        <w:rPr>
          <w:color w:val="231F20"/>
        </w:rPr>
        <w:t>Pojištění vzniká okamžikem uvedeným v pojistné smlouvě. Není-li v pojistné smlouvě</w:t>
      </w:r>
      <w:r>
        <w:rPr>
          <w:color w:val="231F20"/>
          <w:spacing w:val="-22"/>
        </w:rPr>
        <w:t xml:space="preserve"> </w:t>
      </w:r>
      <w:r>
        <w:rPr>
          <w:color w:val="231F20"/>
        </w:rPr>
        <w:t>uveden</w:t>
      </w:r>
      <w:r>
        <w:rPr>
          <w:color w:val="231F20"/>
          <w:spacing w:val="-21"/>
        </w:rPr>
        <w:t xml:space="preserve"> </w:t>
      </w:r>
      <w:r>
        <w:rPr>
          <w:color w:val="231F20"/>
        </w:rPr>
        <w:t>okamžik</w:t>
      </w:r>
      <w:r>
        <w:rPr>
          <w:color w:val="231F20"/>
          <w:spacing w:val="-22"/>
        </w:rPr>
        <w:t xml:space="preserve"> </w:t>
      </w:r>
      <w:r>
        <w:rPr>
          <w:color w:val="231F20"/>
        </w:rPr>
        <w:t>vzniku</w:t>
      </w:r>
      <w:r>
        <w:rPr>
          <w:color w:val="231F20"/>
          <w:spacing w:val="-21"/>
        </w:rPr>
        <w:t xml:space="preserve"> </w:t>
      </w:r>
      <w:r>
        <w:rPr>
          <w:color w:val="231F20"/>
        </w:rPr>
        <w:t>pojištění,</w:t>
      </w:r>
      <w:r>
        <w:rPr>
          <w:color w:val="231F20"/>
          <w:spacing w:val="-21"/>
        </w:rPr>
        <w:t xml:space="preserve"> </w:t>
      </w:r>
      <w:r>
        <w:rPr>
          <w:color w:val="231F20"/>
        </w:rPr>
        <w:t>vzniká</w:t>
      </w:r>
      <w:r>
        <w:rPr>
          <w:color w:val="231F20"/>
          <w:spacing w:val="-22"/>
        </w:rPr>
        <w:t xml:space="preserve"> </w:t>
      </w:r>
      <w:r>
        <w:rPr>
          <w:color w:val="231F20"/>
        </w:rPr>
        <w:t>pojištění</w:t>
      </w:r>
      <w:r>
        <w:rPr>
          <w:color w:val="231F20"/>
          <w:spacing w:val="-21"/>
        </w:rPr>
        <w:t xml:space="preserve"> </w:t>
      </w:r>
      <w:r>
        <w:rPr>
          <w:color w:val="231F20"/>
        </w:rPr>
        <w:t>dnem</w:t>
      </w:r>
      <w:r>
        <w:rPr>
          <w:color w:val="231F20"/>
          <w:spacing w:val="-22"/>
        </w:rPr>
        <w:t xml:space="preserve"> </w:t>
      </w:r>
      <w:r>
        <w:rPr>
          <w:color w:val="231F20"/>
        </w:rPr>
        <w:t>následujícím po uzavření pojistné</w:t>
      </w:r>
      <w:r>
        <w:rPr>
          <w:color w:val="231F20"/>
          <w:spacing w:val="-4"/>
        </w:rPr>
        <w:t xml:space="preserve"> </w:t>
      </w:r>
      <w:r>
        <w:rPr>
          <w:color w:val="231F20"/>
        </w:rPr>
        <w:t>smlouvy.</w:t>
      </w:r>
    </w:p>
    <w:p w14:paraId="5D52C3BA"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6</w:t>
      </w:r>
      <w:r>
        <w:rPr>
          <w:color w:val="231F20"/>
          <w:spacing w:val="27"/>
          <w:position w:val="1"/>
          <w:sz w:val="14"/>
        </w:rPr>
        <w:t xml:space="preserve"> </w:t>
      </w:r>
      <w:r>
        <w:rPr>
          <w:color w:val="231F20"/>
        </w:rPr>
        <w:t>Není-li</w:t>
      </w:r>
      <w:r>
        <w:rPr>
          <w:color w:val="231F20"/>
          <w:spacing w:val="-9"/>
        </w:rPr>
        <w:t xml:space="preserve"> </w:t>
      </w:r>
      <w:r>
        <w:rPr>
          <w:color w:val="231F20"/>
        </w:rPr>
        <w:t>v</w:t>
      </w:r>
      <w:r>
        <w:rPr>
          <w:color w:val="231F20"/>
          <w:spacing w:val="-9"/>
        </w:rPr>
        <w:t xml:space="preserve"> </w:t>
      </w:r>
      <w:r>
        <w:rPr>
          <w:color w:val="231F20"/>
        </w:rPr>
        <w:t>pojistné</w:t>
      </w:r>
      <w:r>
        <w:rPr>
          <w:color w:val="231F20"/>
          <w:spacing w:val="-9"/>
        </w:rPr>
        <w:t xml:space="preserve"> </w:t>
      </w:r>
      <w:r>
        <w:rPr>
          <w:color w:val="231F20"/>
        </w:rPr>
        <w:t>smlouvě</w:t>
      </w:r>
      <w:r>
        <w:rPr>
          <w:color w:val="231F20"/>
          <w:spacing w:val="-9"/>
        </w:rPr>
        <w:t xml:space="preserve"> </w:t>
      </w:r>
      <w:r>
        <w:rPr>
          <w:color w:val="231F20"/>
        </w:rPr>
        <w:t>nebo</w:t>
      </w:r>
      <w:r>
        <w:rPr>
          <w:color w:val="231F20"/>
          <w:spacing w:val="-9"/>
        </w:rPr>
        <w:t xml:space="preserve"> </w:t>
      </w:r>
      <w:r>
        <w:rPr>
          <w:color w:val="231F20"/>
        </w:rPr>
        <w:t>těchto</w:t>
      </w:r>
      <w:r>
        <w:rPr>
          <w:color w:val="231F20"/>
          <w:spacing w:val="-9"/>
        </w:rPr>
        <w:t xml:space="preserve"> </w:t>
      </w:r>
      <w:r>
        <w:rPr>
          <w:color w:val="231F20"/>
        </w:rPr>
        <w:t>VPP</w:t>
      </w:r>
      <w:r>
        <w:rPr>
          <w:color w:val="231F20"/>
          <w:spacing w:val="-9"/>
        </w:rPr>
        <w:t xml:space="preserve"> </w:t>
      </w:r>
      <w:r>
        <w:rPr>
          <w:color w:val="231F20"/>
        </w:rPr>
        <w:t>uvedeno</w:t>
      </w:r>
      <w:r>
        <w:rPr>
          <w:color w:val="231F20"/>
          <w:spacing w:val="-9"/>
        </w:rPr>
        <w:t xml:space="preserve"> </w:t>
      </w:r>
      <w:r>
        <w:rPr>
          <w:color w:val="231F20"/>
        </w:rPr>
        <w:t>jinak,</w:t>
      </w:r>
      <w:r>
        <w:rPr>
          <w:color w:val="231F20"/>
          <w:spacing w:val="-9"/>
        </w:rPr>
        <w:t xml:space="preserve"> </w:t>
      </w:r>
      <w:r>
        <w:rPr>
          <w:color w:val="231F20"/>
        </w:rPr>
        <w:t>sjednává</w:t>
      </w:r>
      <w:r>
        <w:rPr>
          <w:color w:val="231F20"/>
          <w:spacing w:val="-9"/>
        </w:rPr>
        <w:t xml:space="preserve"> </w:t>
      </w:r>
      <w:r>
        <w:rPr>
          <w:color w:val="231F20"/>
        </w:rPr>
        <w:t>se</w:t>
      </w:r>
      <w:r>
        <w:rPr>
          <w:color w:val="231F20"/>
          <w:spacing w:val="-9"/>
        </w:rPr>
        <w:t xml:space="preserve"> </w:t>
      </w:r>
      <w:r>
        <w:rPr>
          <w:color w:val="231F20"/>
        </w:rPr>
        <w:t>pojiš- tění</w:t>
      </w:r>
      <w:r>
        <w:rPr>
          <w:color w:val="231F20"/>
          <w:spacing w:val="-21"/>
        </w:rPr>
        <w:t xml:space="preserve"> </w:t>
      </w:r>
      <w:r>
        <w:rPr>
          <w:color w:val="231F20"/>
        </w:rPr>
        <w:t>na</w:t>
      </w:r>
      <w:r>
        <w:rPr>
          <w:color w:val="231F20"/>
          <w:spacing w:val="-20"/>
        </w:rPr>
        <w:t xml:space="preserve"> </w:t>
      </w:r>
      <w:r>
        <w:rPr>
          <w:color w:val="231F20"/>
        </w:rPr>
        <w:t>dobu</w:t>
      </w:r>
      <w:r>
        <w:rPr>
          <w:color w:val="231F20"/>
          <w:spacing w:val="-20"/>
        </w:rPr>
        <w:t xml:space="preserve"> </w:t>
      </w:r>
      <w:r>
        <w:rPr>
          <w:color w:val="231F20"/>
        </w:rPr>
        <w:t>neurčitou</w:t>
      </w:r>
      <w:r>
        <w:rPr>
          <w:color w:val="231F20"/>
          <w:spacing w:val="-21"/>
        </w:rPr>
        <w:t xml:space="preserve"> </w:t>
      </w:r>
      <w:r>
        <w:rPr>
          <w:color w:val="231F20"/>
        </w:rPr>
        <w:t>s</w:t>
      </w:r>
      <w:r>
        <w:rPr>
          <w:color w:val="231F20"/>
          <w:spacing w:val="-20"/>
        </w:rPr>
        <w:t xml:space="preserve"> </w:t>
      </w:r>
      <w:r>
        <w:rPr>
          <w:color w:val="231F20"/>
        </w:rPr>
        <w:t>ročním</w:t>
      </w:r>
      <w:r>
        <w:rPr>
          <w:color w:val="231F20"/>
          <w:spacing w:val="-20"/>
        </w:rPr>
        <w:t xml:space="preserve"> </w:t>
      </w:r>
      <w:r>
        <w:rPr>
          <w:color w:val="231F20"/>
        </w:rPr>
        <w:t>pojistným</w:t>
      </w:r>
      <w:r>
        <w:rPr>
          <w:color w:val="231F20"/>
          <w:spacing w:val="-21"/>
        </w:rPr>
        <w:t xml:space="preserve"> </w:t>
      </w:r>
      <w:r>
        <w:rPr>
          <w:color w:val="231F20"/>
        </w:rPr>
        <w:t>obdobím</w:t>
      </w:r>
      <w:r>
        <w:rPr>
          <w:color w:val="231F20"/>
          <w:spacing w:val="-20"/>
        </w:rPr>
        <w:t xml:space="preserve"> </w:t>
      </w:r>
      <w:r>
        <w:rPr>
          <w:color w:val="231F20"/>
        </w:rPr>
        <w:t>(12</w:t>
      </w:r>
      <w:r>
        <w:rPr>
          <w:color w:val="231F20"/>
          <w:spacing w:val="-20"/>
        </w:rPr>
        <w:t xml:space="preserve"> </w:t>
      </w:r>
      <w:r>
        <w:rPr>
          <w:color w:val="231F20"/>
        </w:rPr>
        <w:t>kalendářních</w:t>
      </w:r>
      <w:r>
        <w:rPr>
          <w:color w:val="231F20"/>
          <w:spacing w:val="-20"/>
        </w:rPr>
        <w:t xml:space="preserve"> </w:t>
      </w:r>
      <w:r>
        <w:rPr>
          <w:color w:val="231F20"/>
        </w:rPr>
        <w:t>měsíců). První</w:t>
      </w:r>
      <w:r>
        <w:rPr>
          <w:color w:val="231F20"/>
          <w:spacing w:val="-20"/>
        </w:rPr>
        <w:t xml:space="preserve"> </w:t>
      </w:r>
      <w:r>
        <w:rPr>
          <w:color w:val="231F20"/>
        </w:rPr>
        <w:t>pojistné</w:t>
      </w:r>
      <w:r>
        <w:rPr>
          <w:color w:val="231F20"/>
          <w:spacing w:val="-20"/>
        </w:rPr>
        <w:t xml:space="preserve"> </w:t>
      </w:r>
      <w:r>
        <w:rPr>
          <w:color w:val="231F20"/>
        </w:rPr>
        <w:t>období</w:t>
      </w:r>
      <w:r>
        <w:rPr>
          <w:color w:val="231F20"/>
          <w:spacing w:val="-20"/>
        </w:rPr>
        <w:t xml:space="preserve"> </w:t>
      </w:r>
      <w:r>
        <w:rPr>
          <w:color w:val="231F20"/>
        </w:rPr>
        <w:t>začíná</w:t>
      </w:r>
      <w:r>
        <w:rPr>
          <w:color w:val="231F20"/>
          <w:spacing w:val="-20"/>
        </w:rPr>
        <w:t xml:space="preserve"> </w:t>
      </w:r>
      <w:r>
        <w:rPr>
          <w:color w:val="231F20"/>
        </w:rPr>
        <w:t>dnem</w:t>
      </w:r>
      <w:r>
        <w:rPr>
          <w:color w:val="231F20"/>
          <w:spacing w:val="-20"/>
        </w:rPr>
        <w:t xml:space="preserve"> </w:t>
      </w:r>
      <w:r>
        <w:rPr>
          <w:color w:val="231F20"/>
        </w:rPr>
        <w:t>uvedeným</w:t>
      </w:r>
      <w:r>
        <w:rPr>
          <w:color w:val="231F20"/>
          <w:spacing w:val="-20"/>
        </w:rPr>
        <w:t xml:space="preserve"> </w:t>
      </w:r>
      <w:r>
        <w:rPr>
          <w:color w:val="231F20"/>
        </w:rPr>
        <w:t>v</w:t>
      </w:r>
      <w:r>
        <w:rPr>
          <w:color w:val="231F20"/>
          <w:spacing w:val="-20"/>
        </w:rPr>
        <w:t xml:space="preserve"> </w:t>
      </w:r>
      <w:r>
        <w:rPr>
          <w:color w:val="231F20"/>
        </w:rPr>
        <w:t>pojistné</w:t>
      </w:r>
      <w:r>
        <w:rPr>
          <w:color w:val="231F20"/>
          <w:spacing w:val="-20"/>
        </w:rPr>
        <w:t xml:space="preserve"> </w:t>
      </w:r>
      <w:r>
        <w:rPr>
          <w:color w:val="231F20"/>
        </w:rPr>
        <w:t>smlouvě</w:t>
      </w:r>
      <w:r>
        <w:rPr>
          <w:color w:val="231F20"/>
          <w:spacing w:val="-20"/>
        </w:rPr>
        <w:t xml:space="preserve"> </w:t>
      </w:r>
      <w:r>
        <w:rPr>
          <w:color w:val="231F20"/>
        </w:rPr>
        <w:t>jako</w:t>
      </w:r>
      <w:r>
        <w:rPr>
          <w:color w:val="231F20"/>
          <w:spacing w:val="-20"/>
        </w:rPr>
        <w:t xml:space="preserve"> </w:t>
      </w:r>
      <w:r>
        <w:rPr>
          <w:color w:val="231F20"/>
          <w:spacing w:val="-3"/>
        </w:rPr>
        <w:t xml:space="preserve">počátek </w:t>
      </w:r>
      <w:r>
        <w:rPr>
          <w:color w:val="231F20"/>
        </w:rPr>
        <w:t>pojištění.</w:t>
      </w:r>
      <w:r>
        <w:rPr>
          <w:color w:val="231F20"/>
          <w:spacing w:val="-11"/>
        </w:rPr>
        <w:t xml:space="preserve"> </w:t>
      </w:r>
      <w:r>
        <w:rPr>
          <w:color w:val="231F20"/>
        </w:rPr>
        <w:t>Následná</w:t>
      </w:r>
      <w:r>
        <w:rPr>
          <w:color w:val="231F20"/>
          <w:spacing w:val="-10"/>
        </w:rPr>
        <w:t xml:space="preserve"> </w:t>
      </w:r>
      <w:r>
        <w:rPr>
          <w:color w:val="231F20"/>
        </w:rPr>
        <w:t>pojistná</w:t>
      </w:r>
      <w:r>
        <w:rPr>
          <w:color w:val="231F20"/>
          <w:spacing w:val="-11"/>
        </w:rPr>
        <w:t xml:space="preserve"> </w:t>
      </w:r>
      <w:r>
        <w:rPr>
          <w:color w:val="231F20"/>
        </w:rPr>
        <w:t>období</w:t>
      </w:r>
      <w:r>
        <w:rPr>
          <w:color w:val="231F20"/>
          <w:spacing w:val="-10"/>
        </w:rPr>
        <w:t xml:space="preserve"> </w:t>
      </w:r>
      <w:r>
        <w:rPr>
          <w:color w:val="231F20"/>
        </w:rPr>
        <w:t>pak</w:t>
      </w:r>
      <w:r>
        <w:rPr>
          <w:color w:val="231F20"/>
          <w:spacing w:val="-11"/>
        </w:rPr>
        <w:t xml:space="preserve"> </w:t>
      </w:r>
      <w:r>
        <w:rPr>
          <w:color w:val="231F20"/>
        </w:rPr>
        <w:t>začínají</w:t>
      </w:r>
      <w:r>
        <w:rPr>
          <w:color w:val="231F20"/>
          <w:spacing w:val="-10"/>
        </w:rPr>
        <w:t xml:space="preserve"> </w:t>
      </w:r>
      <w:r>
        <w:rPr>
          <w:color w:val="231F20"/>
        </w:rPr>
        <w:t>běžet</w:t>
      </w:r>
      <w:r>
        <w:rPr>
          <w:color w:val="231F20"/>
          <w:spacing w:val="-11"/>
        </w:rPr>
        <w:t xml:space="preserve"> </w:t>
      </w:r>
      <w:r>
        <w:rPr>
          <w:color w:val="231F20"/>
        </w:rPr>
        <w:t>v</w:t>
      </w:r>
      <w:r>
        <w:rPr>
          <w:color w:val="231F20"/>
          <w:spacing w:val="-10"/>
        </w:rPr>
        <w:t xml:space="preserve"> </w:t>
      </w:r>
      <w:r>
        <w:rPr>
          <w:color w:val="231F20"/>
        </w:rPr>
        <w:t>den,</w:t>
      </w:r>
      <w:r>
        <w:rPr>
          <w:color w:val="231F20"/>
          <w:spacing w:val="-11"/>
        </w:rPr>
        <w:t xml:space="preserve"> </w:t>
      </w:r>
      <w:r>
        <w:rPr>
          <w:color w:val="231F20"/>
        </w:rPr>
        <w:t>jehož</w:t>
      </w:r>
      <w:r>
        <w:rPr>
          <w:color w:val="231F20"/>
          <w:spacing w:val="-10"/>
        </w:rPr>
        <w:t xml:space="preserve"> </w:t>
      </w:r>
      <w:r>
        <w:rPr>
          <w:color w:val="231F20"/>
        </w:rPr>
        <w:t>označení se shoduje se dnem počátku pojištění (výroční den), pokud není v pojistné smlouvě</w:t>
      </w:r>
      <w:r>
        <w:rPr>
          <w:color w:val="231F20"/>
          <w:spacing w:val="-12"/>
        </w:rPr>
        <w:t xml:space="preserve"> </w:t>
      </w:r>
      <w:r>
        <w:rPr>
          <w:color w:val="231F20"/>
        </w:rPr>
        <w:t>uvedeno</w:t>
      </w:r>
      <w:r>
        <w:rPr>
          <w:color w:val="231F20"/>
          <w:spacing w:val="-12"/>
        </w:rPr>
        <w:t xml:space="preserve"> </w:t>
      </w:r>
      <w:r>
        <w:rPr>
          <w:color w:val="231F20"/>
        </w:rPr>
        <w:t>jinak.</w:t>
      </w:r>
      <w:r>
        <w:rPr>
          <w:color w:val="231F20"/>
          <w:spacing w:val="-12"/>
        </w:rPr>
        <w:t xml:space="preserve"> </w:t>
      </w:r>
      <w:r>
        <w:rPr>
          <w:color w:val="231F20"/>
        </w:rPr>
        <w:t>Konec</w:t>
      </w:r>
      <w:r>
        <w:rPr>
          <w:color w:val="231F20"/>
          <w:spacing w:val="-12"/>
        </w:rPr>
        <w:t xml:space="preserve"> </w:t>
      </w:r>
      <w:r>
        <w:rPr>
          <w:color w:val="231F20"/>
        </w:rPr>
        <w:t>pojistného</w:t>
      </w:r>
      <w:r>
        <w:rPr>
          <w:color w:val="231F20"/>
          <w:spacing w:val="-12"/>
        </w:rPr>
        <w:t xml:space="preserve"> </w:t>
      </w:r>
      <w:r>
        <w:rPr>
          <w:color w:val="231F20"/>
        </w:rPr>
        <w:t>období</w:t>
      </w:r>
      <w:r>
        <w:rPr>
          <w:color w:val="231F20"/>
          <w:spacing w:val="-12"/>
        </w:rPr>
        <w:t xml:space="preserve"> </w:t>
      </w:r>
      <w:r>
        <w:rPr>
          <w:color w:val="231F20"/>
        </w:rPr>
        <w:t>připadá</w:t>
      </w:r>
      <w:r>
        <w:rPr>
          <w:color w:val="231F20"/>
          <w:spacing w:val="-11"/>
        </w:rPr>
        <w:t xml:space="preserve"> </w:t>
      </w:r>
      <w:r>
        <w:rPr>
          <w:color w:val="231F20"/>
        </w:rPr>
        <w:t>na</w:t>
      </w:r>
      <w:r>
        <w:rPr>
          <w:color w:val="231F20"/>
          <w:spacing w:val="-12"/>
        </w:rPr>
        <w:t xml:space="preserve"> </w:t>
      </w:r>
      <w:r>
        <w:rPr>
          <w:color w:val="231F20"/>
        </w:rPr>
        <w:t>den,</w:t>
      </w:r>
      <w:r>
        <w:rPr>
          <w:color w:val="231F20"/>
          <w:spacing w:val="-12"/>
        </w:rPr>
        <w:t xml:space="preserve"> </w:t>
      </w:r>
      <w:r>
        <w:rPr>
          <w:color w:val="231F20"/>
        </w:rPr>
        <w:t>který</w:t>
      </w:r>
      <w:r>
        <w:rPr>
          <w:color w:val="231F20"/>
          <w:spacing w:val="-12"/>
        </w:rPr>
        <w:t xml:space="preserve"> </w:t>
      </w:r>
      <w:r>
        <w:rPr>
          <w:color w:val="231F20"/>
        </w:rPr>
        <w:t>před- chází výročnímu dnu pojistné</w:t>
      </w:r>
      <w:r>
        <w:rPr>
          <w:color w:val="231F20"/>
          <w:spacing w:val="-8"/>
        </w:rPr>
        <w:t xml:space="preserve"> </w:t>
      </w:r>
      <w:r>
        <w:rPr>
          <w:color w:val="231F20"/>
        </w:rPr>
        <w:t>smlouvy.</w:t>
      </w:r>
    </w:p>
    <w:p w14:paraId="4B2BAD2E" w14:textId="77777777" w:rsidR="00F65BCA" w:rsidRDefault="00216117">
      <w:pPr>
        <w:pStyle w:val="Zkladntext"/>
        <w:spacing w:line="172" w:lineRule="exact"/>
        <w:ind w:left="184"/>
        <w:jc w:val="both"/>
      </w:pPr>
      <w:r>
        <w:rPr>
          <w:color w:val="231F20"/>
          <w:w w:val="105"/>
        </w:rPr>
        <w:t>Vznik a trvání pojištění jednotlivých vozidel, pojistná období</w:t>
      </w:r>
    </w:p>
    <w:p w14:paraId="659FAC27" w14:textId="77777777" w:rsidR="00F65BCA" w:rsidRDefault="00216117">
      <w:pPr>
        <w:pStyle w:val="Zkladntext"/>
        <w:spacing w:before="25"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7</w:t>
      </w:r>
      <w:r>
        <w:rPr>
          <w:color w:val="231F20"/>
          <w:spacing w:val="3"/>
          <w:position w:val="1"/>
          <w:sz w:val="14"/>
        </w:rPr>
        <w:t xml:space="preserve"> </w:t>
      </w:r>
      <w:r>
        <w:rPr>
          <w:color w:val="231F20"/>
        </w:rPr>
        <w:t>Pojištění</w:t>
      </w:r>
      <w:r>
        <w:rPr>
          <w:color w:val="231F20"/>
          <w:spacing w:val="-16"/>
        </w:rPr>
        <w:t xml:space="preserve"> </w:t>
      </w:r>
      <w:r>
        <w:rPr>
          <w:color w:val="231F20"/>
        </w:rPr>
        <w:t>jednotlivých</w:t>
      </w:r>
      <w:r>
        <w:rPr>
          <w:color w:val="231F20"/>
          <w:spacing w:val="-17"/>
        </w:rPr>
        <w:t xml:space="preserve"> </w:t>
      </w:r>
      <w:r>
        <w:rPr>
          <w:color w:val="231F20"/>
        </w:rPr>
        <w:t>vozidel</w:t>
      </w:r>
      <w:r>
        <w:rPr>
          <w:color w:val="231F20"/>
          <w:spacing w:val="-17"/>
        </w:rPr>
        <w:t xml:space="preserve"> </w:t>
      </w:r>
      <w:r>
        <w:rPr>
          <w:color w:val="231F20"/>
        </w:rPr>
        <w:t>vzniká</w:t>
      </w:r>
      <w:r>
        <w:rPr>
          <w:color w:val="231F20"/>
          <w:spacing w:val="-17"/>
        </w:rPr>
        <w:t xml:space="preserve"> </w:t>
      </w:r>
      <w:r>
        <w:rPr>
          <w:color w:val="231F20"/>
        </w:rPr>
        <w:t>okamžikem</w:t>
      </w:r>
      <w:r>
        <w:rPr>
          <w:color w:val="231F20"/>
          <w:spacing w:val="-17"/>
        </w:rPr>
        <w:t xml:space="preserve"> </w:t>
      </w:r>
      <w:r>
        <w:rPr>
          <w:color w:val="231F20"/>
        </w:rPr>
        <w:t>uvedeným</w:t>
      </w:r>
      <w:r>
        <w:rPr>
          <w:color w:val="231F20"/>
          <w:spacing w:val="-17"/>
        </w:rPr>
        <w:t xml:space="preserve"> </w:t>
      </w:r>
      <w:r>
        <w:rPr>
          <w:color w:val="231F20"/>
        </w:rPr>
        <w:t>v</w:t>
      </w:r>
      <w:r>
        <w:rPr>
          <w:color w:val="231F20"/>
          <w:spacing w:val="-17"/>
        </w:rPr>
        <w:t xml:space="preserve"> </w:t>
      </w:r>
      <w:r>
        <w:rPr>
          <w:color w:val="231F20"/>
        </w:rPr>
        <w:t>seznamu</w:t>
      </w:r>
      <w:r>
        <w:rPr>
          <w:color w:val="231F20"/>
          <w:spacing w:val="-17"/>
        </w:rPr>
        <w:t xml:space="preserve"> </w:t>
      </w:r>
      <w:r>
        <w:rPr>
          <w:color w:val="231F20"/>
        </w:rPr>
        <w:t>vozidel jako</w:t>
      </w:r>
      <w:r>
        <w:rPr>
          <w:color w:val="231F20"/>
          <w:spacing w:val="-12"/>
        </w:rPr>
        <w:t xml:space="preserve"> </w:t>
      </w:r>
      <w:r>
        <w:rPr>
          <w:color w:val="231F20"/>
        </w:rPr>
        <w:t>počátek</w:t>
      </w:r>
      <w:r>
        <w:rPr>
          <w:color w:val="231F20"/>
          <w:spacing w:val="-12"/>
        </w:rPr>
        <w:t xml:space="preserve"> </w:t>
      </w:r>
      <w:r>
        <w:rPr>
          <w:color w:val="231F20"/>
        </w:rPr>
        <w:t>pojištění</w:t>
      </w:r>
      <w:r>
        <w:rPr>
          <w:color w:val="231F20"/>
          <w:spacing w:val="-12"/>
        </w:rPr>
        <w:t xml:space="preserve"> </w:t>
      </w:r>
      <w:r>
        <w:rPr>
          <w:color w:val="231F20"/>
        </w:rPr>
        <w:t>daného</w:t>
      </w:r>
      <w:r>
        <w:rPr>
          <w:color w:val="231F20"/>
          <w:spacing w:val="-12"/>
        </w:rPr>
        <w:t xml:space="preserve"> </w:t>
      </w:r>
      <w:r>
        <w:rPr>
          <w:color w:val="231F20"/>
        </w:rPr>
        <w:t>vozidla</w:t>
      </w:r>
      <w:r>
        <w:rPr>
          <w:color w:val="231F20"/>
          <w:spacing w:val="-12"/>
        </w:rPr>
        <w:t xml:space="preserve"> </w:t>
      </w:r>
      <w:r>
        <w:rPr>
          <w:color w:val="231F20"/>
        </w:rPr>
        <w:t>přičemž</w:t>
      </w:r>
      <w:r>
        <w:rPr>
          <w:color w:val="231F20"/>
          <w:spacing w:val="-12"/>
        </w:rPr>
        <w:t xml:space="preserve"> </w:t>
      </w:r>
      <w:r>
        <w:rPr>
          <w:color w:val="231F20"/>
        </w:rPr>
        <w:t>tento</w:t>
      </w:r>
      <w:r>
        <w:rPr>
          <w:color w:val="231F20"/>
          <w:spacing w:val="-12"/>
        </w:rPr>
        <w:t xml:space="preserve"> </w:t>
      </w:r>
      <w:r>
        <w:rPr>
          <w:color w:val="231F20"/>
        </w:rPr>
        <w:t>okamžik</w:t>
      </w:r>
      <w:r>
        <w:rPr>
          <w:color w:val="231F20"/>
          <w:spacing w:val="-12"/>
        </w:rPr>
        <w:t xml:space="preserve"> </w:t>
      </w:r>
      <w:r>
        <w:rPr>
          <w:color w:val="231F20"/>
        </w:rPr>
        <w:t>nesmí</w:t>
      </w:r>
      <w:r>
        <w:rPr>
          <w:color w:val="231F20"/>
          <w:spacing w:val="-11"/>
        </w:rPr>
        <w:t xml:space="preserve"> </w:t>
      </w:r>
      <w:r>
        <w:rPr>
          <w:color w:val="231F20"/>
          <w:spacing w:val="-3"/>
        </w:rPr>
        <w:t xml:space="preserve">předchá- </w:t>
      </w:r>
      <w:r>
        <w:rPr>
          <w:color w:val="231F20"/>
        </w:rPr>
        <w:t>zet</w:t>
      </w:r>
      <w:r>
        <w:rPr>
          <w:color w:val="231F20"/>
          <w:spacing w:val="-14"/>
        </w:rPr>
        <w:t xml:space="preserve"> </w:t>
      </w:r>
      <w:r>
        <w:rPr>
          <w:color w:val="231F20"/>
        </w:rPr>
        <w:t>počátku</w:t>
      </w:r>
      <w:r>
        <w:rPr>
          <w:color w:val="231F20"/>
          <w:spacing w:val="-13"/>
        </w:rPr>
        <w:t xml:space="preserve"> </w:t>
      </w:r>
      <w:r>
        <w:rPr>
          <w:color w:val="231F20"/>
        </w:rPr>
        <w:t>pojištění</w:t>
      </w:r>
      <w:r>
        <w:rPr>
          <w:color w:val="231F20"/>
          <w:spacing w:val="-14"/>
        </w:rPr>
        <w:t xml:space="preserve"> </w:t>
      </w:r>
      <w:r>
        <w:rPr>
          <w:color w:val="231F20"/>
        </w:rPr>
        <w:t>dle</w:t>
      </w:r>
      <w:r>
        <w:rPr>
          <w:color w:val="231F20"/>
          <w:spacing w:val="-13"/>
        </w:rPr>
        <w:t xml:space="preserve"> </w:t>
      </w:r>
      <w:r>
        <w:rPr>
          <w:color w:val="231F20"/>
        </w:rPr>
        <w:t>odst.</w:t>
      </w:r>
      <w:r>
        <w:rPr>
          <w:color w:val="231F20"/>
          <w:spacing w:val="-14"/>
        </w:rPr>
        <w:t xml:space="preserve"> </w:t>
      </w:r>
      <w:r>
        <w:rPr>
          <w:color w:val="231F20"/>
        </w:rPr>
        <w:t>5</w:t>
      </w:r>
      <w:r>
        <w:rPr>
          <w:color w:val="231F20"/>
          <w:spacing w:val="-13"/>
        </w:rPr>
        <w:t xml:space="preserve"> </w:t>
      </w:r>
      <w:r>
        <w:rPr>
          <w:color w:val="231F20"/>
        </w:rPr>
        <w:t>tohoto</w:t>
      </w:r>
      <w:r>
        <w:rPr>
          <w:color w:val="231F20"/>
          <w:spacing w:val="-14"/>
        </w:rPr>
        <w:t xml:space="preserve"> </w:t>
      </w:r>
      <w:r>
        <w:rPr>
          <w:color w:val="231F20"/>
        </w:rPr>
        <w:t>článku.</w:t>
      </w:r>
      <w:r>
        <w:rPr>
          <w:color w:val="231F20"/>
          <w:spacing w:val="-13"/>
        </w:rPr>
        <w:t xml:space="preserve"> </w:t>
      </w:r>
      <w:r>
        <w:rPr>
          <w:color w:val="231F20"/>
        </w:rPr>
        <w:t>První</w:t>
      </w:r>
      <w:r>
        <w:rPr>
          <w:color w:val="231F20"/>
          <w:spacing w:val="-14"/>
        </w:rPr>
        <w:t xml:space="preserve"> </w:t>
      </w:r>
      <w:r>
        <w:rPr>
          <w:color w:val="231F20"/>
        </w:rPr>
        <w:t>pojistné</w:t>
      </w:r>
      <w:r>
        <w:rPr>
          <w:color w:val="231F20"/>
          <w:spacing w:val="-13"/>
        </w:rPr>
        <w:t xml:space="preserve"> </w:t>
      </w:r>
      <w:r>
        <w:rPr>
          <w:color w:val="231F20"/>
        </w:rPr>
        <w:t>období</w:t>
      </w:r>
      <w:r>
        <w:rPr>
          <w:color w:val="231F20"/>
          <w:spacing w:val="-14"/>
        </w:rPr>
        <w:t xml:space="preserve"> </w:t>
      </w:r>
      <w:r>
        <w:rPr>
          <w:color w:val="231F20"/>
        </w:rPr>
        <w:t xml:space="preserve">pojištění každého jednotlivého vozidla pak začíná tímto okamžikem a končí vždy </w:t>
      </w:r>
      <w:r>
        <w:rPr>
          <w:color w:val="231F20"/>
          <w:spacing w:val="-8"/>
        </w:rPr>
        <w:t xml:space="preserve">ve </w:t>
      </w:r>
      <w:r>
        <w:rPr>
          <w:color w:val="231F20"/>
        </w:rPr>
        <w:t>24:00</w:t>
      </w:r>
      <w:r>
        <w:rPr>
          <w:color w:val="231F20"/>
          <w:spacing w:val="-15"/>
        </w:rPr>
        <w:t xml:space="preserve"> </w:t>
      </w:r>
      <w:r>
        <w:rPr>
          <w:color w:val="231F20"/>
        </w:rPr>
        <w:t>dne,</w:t>
      </w:r>
      <w:r>
        <w:rPr>
          <w:color w:val="231F20"/>
          <w:spacing w:val="-14"/>
        </w:rPr>
        <w:t xml:space="preserve"> </w:t>
      </w:r>
      <w:r>
        <w:rPr>
          <w:color w:val="231F20"/>
        </w:rPr>
        <w:t>který</w:t>
      </w:r>
      <w:r>
        <w:rPr>
          <w:color w:val="231F20"/>
          <w:spacing w:val="-15"/>
        </w:rPr>
        <w:t xml:space="preserve"> </w:t>
      </w:r>
      <w:r>
        <w:rPr>
          <w:color w:val="231F20"/>
        </w:rPr>
        <w:t>bezprostředně</w:t>
      </w:r>
      <w:r>
        <w:rPr>
          <w:color w:val="231F20"/>
          <w:spacing w:val="-14"/>
        </w:rPr>
        <w:t xml:space="preserve"> </w:t>
      </w:r>
      <w:r>
        <w:rPr>
          <w:color w:val="231F20"/>
        </w:rPr>
        <w:t>předchází</w:t>
      </w:r>
      <w:r>
        <w:rPr>
          <w:color w:val="231F20"/>
          <w:spacing w:val="-14"/>
        </w:rPr>
        <w:t xml:space="preserve"> </w:t>
      </w:r>
      <w:r>
        <w:rPr>
          <w:color w:val="231F20"/>
        </w:rPr>
        <w:t>nejbližšímu</w:t>
      </w:r>
      <w:r>
        <w:rPr>
          <w:color w:val="231F20"/>
          <w:spacing w:val="-15"/>
        </w:rPr>
        <w:t xml:space="preserve"> </w:t>
      </w:r>
      <w:r>
        <w:rPr>
          <w:color w:val="231F20"/>
        </w:rPr>
        <w:t>dalšímu</w:t>
      </w:r>
      <w:r>
        <w:rPr>
          <w:color w:val="231F20"/>
          <w:spacing w:val="-14"/>
        </w:rPr>
        <w:t xml:space="preserve"> </w:t>
      </w:r>
      <w:r>
        <w:rPr>
          <w:color w:val="231F20"/>
        </w:rPr>
        <w:t>výročnímu</w:t>
      </w:r>
      <w:r>
        <w:rPr>
          <w:color w:val="231F20"/>
          <w:spacing w:val="-14"/>
        </w:rPr>
        <w:t xml:space="preserve"> </w:t>
      </w:r>
      <w:r>
        <w:rPr>
          <w:color w:val="231F20"/>
          <w:spacing w:val="-4"/>
        </w:rPr>
        <w:t xml:space="preserve">dni </w:t>
      </w:r>
      <w:r>
        <w:rPr>
          <w:color w:val="231F20"/>
        </w:rPr>
        <w:t>pojistné</w:t>
      </w:r>
      <w:r>
        <w:rPr>
          <w:color w:val="231F20"/>
          <w:spacing w:val="-28"/>
        </w:rPr>
        <w:t xml:space="preserve"> </w:t>
      </w:r>
      <w:r>
        <w:rPr>
          <w:color w:val="231F20"/>
        </w:rPr>
        <w:t>smlouvy.</w:t>
      </w:r>
      <w:r>
        <w:rPr>
          <w:color w:val="231F20"/>
          <w:spacing w:val="-28"/>
        </w:rPr>
        <w:t xml:space="preserve"> </w:t>
      </w:r>
      <w:r>
        <w:rPr>
          <w:color w:val="231F20"/>
        </w:rPr>
        <w:t>Následná</w:t>
      </w:r>
      <w:r>
        <w:rPr>
          <w:color w:val="231F20"/>
          <w:spacing w:val="-28"/>
        </w:rPr>
        <w:t xml:space="preserve"> </w:t>
      </w:r>
      <w:r>
        <w:rPr>
          <w:color w:val="231F20"/>
        </w:rPr>
        <w:t>pojistná</w:t>
      </w:r>
      <w:r>
        <w:rPr>
          <w:color w:val="231F20"/>
          <w:spacing w:val="-28"/>
        </w:rPr>
        <w:t xml:space="preserve"> </w:t>
      </w:r>
      <w:r>
        <w:rPr>
          <w:color w:val="231F20"/>
        </w:rPr>
        <w:t>období</w:t>
      </w:r>
      <w:r>
        <w:rPr>
          <w:color w:val="231F20"/>
          <w:spacing w:val="-28"/>
        </w:rPr>
        <w:t xml:space="preserve"> </w:t>
      </w:r>
      <w:r>
        <w:rPr>
          <w:color w:val="231F20"/>
        </w:rPr>
        <w:t>se</w:t>
      </w:r>
      <w:r>
        <w:rPr>
          <w:color w:val="231F20"/>
          <w:spacing w:val="-28"/>
        </w:rPr>
        <w:t xml:space="preserve"> </w:t>
      </w:r>
      <w:r>
        <w:rPr>
          <w:color w:val="231F20"/>
        </w:rPr>
        <w:t>shodují</w:t>
      </w:r>
      <w:r>
        <w:rPr>
          <w:color w:val="231F20"/>
          <w:spacing w:val="-28"/>
        </w:rPr>
        <w:t xml:space="preserve"> </w:t>
      </w:r>
      <w:r>
        <w:rPr>
          <w:color w:val="231F20"/>
        </w:rPr>
        <w:t>s</w:t>
      </w:r>
      <w:r>
        <w:rPr>
          <w:color w:val="231F20"/>
          <w:spacing w:val="-28"/>
        </w:rPr>
        <w:t xml:space="preserve"> </w:t>
      </w:r>
      <w:r>
        <w:rPr>
          <w:color w:val="231F20"/>
        </w:rPr>
        <w:t>pojistným</w:t>
      </w:r>
      <w:r>
        <w:rPr>
          <w:color w:val="231F20"/>
          <w:spacing w:val="-28"/>
        </w:rPr>
        <w:t xml:space="preserve"> </w:t>
      </w:r>
      <w:r>
        <w:rPr>
          <w:color w:val="231F20"/>
        </w:rPr>
        <w:t>obdobím</w:t>
      </w:r>
      <w:r>
        <w:rPr>
          <w:color w:val="231F20"/>
          <w:spacing w:val="-28"/>
        </w:rPr>
        <w:t xml:space="preserve"> </w:t>
      </w:r>
      <w:r>
        <w:rPr>
          <w:color w:val="231F20"/>
        </w:rPr>
        <w:t>dle odst.</w:t>
      </w:r>
      <w:r>
        <w:rPr>
          <w:color w:val="231F20"/>
          <w:spacing w:val="-14"/>
        </w:rPr>
        <w:t xml:space="preserve"> </w:t>
      </w:r>
      <w:r>
        <w:rPr>
          <w:color w:val="231F20"/>
        </w:rPr>
        <w:t>6.</w:t>
      </w:r>
      <w:r>
        <w:rPr>
          <w:color w:val="231F20"/>
          <w:spacing w:val="-14"/>
        </w:rPr>
        <w:t xml:space="preserve"> </w:t>
      </w:r>
      <w:r>
        <w:rPr>
          <w:color w:val="231F20"/>
        </w:rPr>
        <w:t>Počátek</w:t>
      </w:r>
      <w:r>
        <w:rPr>
          <w:color w:val="231F20"/>
          <w:spacing w:val="-14"/>
        </w:rPr>
        <w:t xml:space="preserve"> </w:t>
      </w:r>
      <w:r>
        <w:rPr>
          <w:color w:val="231F20"/>
        </w:rPr>
        <w:t>pojištění</w:t>
      </w:r>
      <w:r>
        <w:rPr>
          <w:color w:val="231F20"/>
          <w:spacing w:val="-14"/>
        </w:rPr>
        <w:t xml:space="preserve"> </w:t>
      </w:r>
      <w:r>
        <w:rPr>
          <w:color w:val="231F20"/>
        </w:rPr>
        <w:t>jednotlivého</w:t>
      </w:r>
      <w:r>
        <w:rPr>
          <w:color w:val="231F20"/>
          <w:spacing w:val="-13"/>
        </w:rPr>
        <w:t xml:space="preserve"> </w:t>
      </w:r>
      <w:r>
        <w:rPr>
          <w:color w:val="231F20"/>
        </w:rPr>
        <w:t>vozidla</w:t>
      </w:r>
      <w:r>
        <w:rPr>
          <w:color w:val="231F20"/>
          <w:spacing w:val="-14"/>
        </w:rPr>
        <w:t xml:space="preserve"> </w:t>
      </w:r>
      <w:r>
        <w:rPr>
          <w:color w:val="231F20"/>
        </w:rPr>
        <w:t>je</w:t>
      </w:r>
      <w:r>
        <w:rPr>
          <w:color w:val="231F20"/>
          <w:spacing w:val="-14"/>
        </w:rPr>
        <w:t xml:space="preserve"> </w:t>
      </w:r>
      <w:r>
        <w:rPr>
          <w:color w:val="231F20"/>
        </w:rPr>
        <w:t>uveden</w:t>
      </w:r>
      <w:r>
        <w:rPr>
          <w:color w:val="231F20"/>
          <w:spacing w:val="-14"/>
        </w:rPr>
        <w:t xml:space="preserve"> </w:t>
      </w:r>
      <w:r>
        <w:rPr>
          <w:color w:val="231F20"/>
        </w:rPr>
        <w:t>v</w:t>
      </w:r>
      <w:r>
        <w:rPr>
          <w:color w:val="231F20"/>
          <w:spacing w:val="-13"/>
        </w:rPr>
        <w:t xml:space="preserve"> </w:t>
      </w:r>
      <w:r>
        <w:rPr>
          <w:color w:val="231F20"/>
        </w:rPr>
        <w:t>seznamu</w:t>
      </w:r>
      <w:r>
        <w:rPr>
          <w:color w:val="231F20"/>
          <w:spacing w:val="-14"/>
        </w:rPr>
        <w:t xml:space="preserve"> </w:t>
      </w:r>
      <w:r>
        <w:rPr>
          <w:color w:val="231F20"/>
        </w:rPr>
        <w:t>vozidel.</w:t>
      </w:r>
    </w:p>
    <w:p w14:paraId="399C4A55" w14:textId="77777777" w:rsidR="00F65BCA" w:rsidRDefault="00216117">
      <w:pPr>
        <w:pStyle w:val="Zkladntext"/>
        <w:spacing w:line="278" w:lineRule="auto"/>
        <w:ind w:left="468" w:right="422"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8</w:t>
      </w:r>
      <w:r>
        <w:rPr>
          <w:color w:val="231F20"/>
          <w:spacing w:val="31"/>
          <w:position w:val="1"/>
          <w:sz w:val="14"/>
        </w:rPr>
        <w:t xml:space="preserve"> </w:t>
      </w:r>
      <w:r>
        <w:rPr>
          <w:color w:val="231F20"/>
        </w:rPr>
        <w:t>Počátkem</w:t>
      </w:r>
      <w:r>
        <w:rPr>
          <w:color w:val="231F20"/>
          <w:spacing w:val="-14"/>
        </w:rPr>
        <w:t xml:space="preserve"> </w:t>
      </w:r>
      <w:r>
        <w:rPr>
          <w:color w:val="231F20"/>
        </w:rPr>
        <w:t>následně</w:t>
      </w:r>
      <w:r>
        <w:rPr>
          <w:color w:val="231F20"/>
          <w:spacing w:val="-15"/>
        </w:rPr>
        <w:t xml:space="preserve"> </w:t>
      </w:r>
      <w:r>
        <w:rPr>
          <w:color w:val="231F20"/>
        </w:rPr>
        <w:t>sjednaných</w:t>
      </w:r>
      <w:r>
        <w:rPr>
          <w:color w:val="231F20"/>
          <w:spacing w:val="-14"/>
        </w:rPr>
        <w:t xml:space="preserve"> </w:t>
      </w:r>
      <w:r>
        <w:rPr>
          <w:color w:val="231F20"/>
        </w:rPr>
        <w:t>pojištění</w:t>
      </w:r>
      <w:r>
        <w:rPr>
          <w:color w:val="231F20"/>
          <w:spacing w:val="-15"/>
        </w:rPr>
        <w:t xml:space="preserve"> </w:t>
      </w:r>
      <w:r>
        <w:rPr>
          <w:color w:val="231F20"/>
        </w:rPr>
        <w:t>jednotlivých</w:t>
      </w:r>
      <w:r>
        <w:rPr>
          <w:color w:val="231F20"/>
          <w:spacing w:val="-14"/>
        </w:rPr>
        <w:t xml:space="preserve"> </w:t>
      </w:r>
      <w:r>
        <w:rPr>
          <w:color w:val="231F20"/>
        </w:rPr>
        <w:t>vozidel</w:t>
      </w:r>
      <w:r>
        <w:rPr>
          <w:color w:val="231F20"/>
          <w:spacing w:val="-15"/>
        </w:rPr>
        <w:t xml:space="preserve"> </w:t>
      </w:r>
      <w:r>
        <w:rPr>
          <w:color w:val="231F20"/>
        </w:rPr>
        <w:t>je</w:t>
      </w:r>
      <w:r>
        <w:rPr>
          <w:color w:val="231F20"/>
          <w:spacing w:val="-14"/>
        </w:rPr>
        <w:t xml:space="preserve"> </w:t>
      </w:r>
      <w:r>
        <w:rPr>
          <w:color w:val="231F20"/>
        </w:rPr>
        <w:t>okamžik,</w:t>
      </w:r>
      <w:r>
        <w:rPr>
          <w:color w:val="231F20"/>
          <w:spacing w:val="-15"/>
        </w:rPr>
        <w:t xml:space="preserve"> </w:t>
      </w:r>
      <w:r>
        <w:rPr>
          <w:color w:val="231F20"/>
        </w:rPr>
        <w:t>kdy Pojišťovna</w:t>
      </w:r>
      <w:r>
        <w:rPr>
          <w:color w:val="231F20"/>
          <w:spacing w:val="-5"/>
        </w:rPr>
        <w:t xml:space="preserve"> </w:t>
      </w:r>
      <w:r>
        <w:rPr>
          <w:color w:val="231F20"/>
        </w:rPr>
        <w:t>akceptuje</w:t>
      </w:r>
      <w:r>
        <w:rPr>
          <w:color w:val="231F20"/>
          <w:spacing w:val="-4"/>
        </w:rPr>
        <w:t xml:space="preserve"> </w:t>
      </w:r>
      <w:r>
        <w:rPr>
          <w:color w:val="231F20"/>
        </w:rPr>
        <w:t>žádost</w:t>
      </w:r>
      <w:r>
        <w:rPr>
          <w:color w:val="231F20"/>
          <w:spacing w:val="-4"/>
        </w:rPr>
        <w:t xml:space="preserve"> </w:t>
      </w:r>
      <w:r>
        <w:rPr>
          <w:color w:val="231F20"/>
        </w:rPr>
        <w:t>pojistníka</w:t>
      </w:r>
      <w:r>
        <w:rPr>
          <w:color w:val="231F20"/>
          <w:spacing w:val="-4"/>
        </w:rPr>
        <w:t xml:space="preserve"> </w:t>
      </w:r>
      <w:r>
        <w:rPr>
          <w:color w:val="231F20"/>
        </w:rPr>
        <w:t>o</w:t>
      </w:r>
      <w:r>
        <w:rPr>
          <w:color w:val="231F20"/>
          <w:spacing w:val="-5"/>
        </w:rPr>
        <w:t xml:space="preserve"> </w:t>
      </w:r>
      <w:r>
        <w:rPr>
          <w:color w:val="231F20"/>
        </w:rPr>
        <w:t>pojištění</w:t>
      </w:r>
      <w:r>
        <w:rPr>
          <w:color w:val="231F20"/>
          <w:spacing w:val="-4"/>
        </w:rPr>
        <w:t xml:space="preserve"> </w:t>
      </w:r>
      <w:r>
        <w:rPr>
          <w:color w:val="231F20"/>
        </w:rPr>
        <w:t>vozidla,</w:t>
      </w:r>
      <w:r>
        <w:rPr>
          <w:color w:val="231F20"/>
          <w:spacing w:val="-4"/>
        </w:rPr>
        <w:t xml:space="preserve"> </w:t>
      </w:r>
      <w:r>
        <w:rPr>
          <w:color w:val="231F20"/>
        </w:rPr>
        <w:t>neuvede-li</w:t>
      </w:r>
      <w:r>
        <w:rPr>
          <w:color w:val="231F20"/>
          <w:spacing w:val="-4"/>
        </w:rPr>
        <w:t xml:space="preserve"> </w:t>
      </w:r>
      <w:r>
        <w:rPr>
          <w:color w:val="231F20"/>
        </w:rPr>
        <w:t>pojist- ník</w:t>
      </w:r>
      <w:r>
        <w:rPr>
          <w:color w:val="231F20"/>
          <w:spacing w:val="-4"/>
        </w:rPr>
        <w:t xml:space="preserve"> </w:t>
      </w:r>
      <w:r>
        <w:rPr>
          <w:color w:val="231F20"/>
        </w:rPr>
        <w:t>v</w:t>
      </w:r>
      <w:r>
        <w:rPr>
          <w:color w:val="231F20"/>
          <w:spacing w:val="-4"/>
        </w:rPr>
        <w:t xml:space="preserve"> </w:t>
      </w:r>
      <w:r>
        <w:rPr>
          <w:color w:val="231F20"/>
        </w:rPr>
        <w:t>seznamu</w:t>
      </w:r>
      <w:r>
        <w:rPr>
          <w:color w:val="231F20"/>
          <w:spacing w:val="-4"/>
        </w:rPr>
        <w:t xml:space="preserve"> </w:t>
      </w:r>
      <w:r>
        <w:rPr>
          <w:color w:val="231F20"/>
        </w:rPr>
        <w:t>vozidel</w:t>
      </w:r>
      <w:r>
        <w:rPr>
          <w:color w:val="231F20"/>
          <w:spacing w:val="-3"/>
        </w:rPr>
        <w:t xml:space="preserve"> </w:t>
      </w:r>
      <w:r>
        <w:rPr>
          <w:color w:val="231F20"/>
        </w:rPr>
        <w:t>pozdější</w:t>
      </w:r>
      <w:r>
        <w:rPr>
          <w:color w:val="231F20"/>
          <w:spacing w:val="-4"/>
        </w:rPr>
        <w:t xml:space="preserve"> </w:t>
      </w:r>
      <w:r>
        <w:rPr>
          <w:color w:val="231F20"/>
        </w:rPr>
        <w:t>datum</w:t>
      </w:r>
      <w:r>
        <w:rPr>
          <w:color w:val="231F20"/>
          <w:spacing w:val="-4"/>
        </w:rPr>
        <w:t xml:space="preserve"> </w:t>
      </w:r>
      <w:r>
        <w:rPr>
          <w:color w:val="231F20"/>
        </w:rPr>
        <w:t>počátku</w:t>
      </w:r>
      <w:r>
        <w:rPr>
          <w:color w:val="231F20"/>
          <w:spacing w:val="-3"/>
        </w:rPr>
        <w:t xml:space="preserve"> </w:t>
      </w:r>
      <w:r>
        <w:rPr>
          <w:color w:val="231F20"/>
        </w:rPr>
        <w:t>pojištění</w:t>
      </w:r>
      <w:r>
        <w:rPr>
          <w:color w:val="231F20"/>
          <w:spacing w:val="-4"/>
        </w:rPr>
        <w:t xml:space="preserve"> </w:t>
      </w:r>
      <w:r>
        <w:rPr>
          <w:color w:val="231F20"/>
        </w:rPr>
        <w:t>vozidla.</w:t>
      </w:r>
      <w:r>
        <w:rPr>
          <w:color w:val="231F20"/>
          <w:spacing w:val="-4"/>
        </w:rPr>
        <w:t xml:space="preserve"> </w:t>
      </w:r>
      <w:r>
        <w:rPr>
          <w:color w:val="231F20"/>
        </w:rPr>
        <w:t>Pojišťovna bude pojistníka o akceptaci žádosti a počátku pojištění vozidla informovat. Žádost o pojištění vozidla zasílá pojistník Pojišťovně na e-mailovou adresu získatele/zaměstnance Pojišťovny (e-mailová adresa Pojišťovny), kterou je Pojišťovna</w:t>
      </w:r>
      <w:r>
        <w:rPr>
          <w:color w:val="231F20"/>
          <w:spacing w:val="-23"/>
        </w:rPr>
        <w:t xml:space="preserve"> </w:t>
      </w:r>
      <w:r>
        <w:rPr>
          <w:color w:val="231F20"/>
        </w:rPr>
        <w:t>oprávněna</w:t>
      </w:r>
      <w:r>
        <w:rPr>
          <w:color w:val="231F20"/>
          <w:spacing w:val="-23"/>
        </w:rPr>
        <w:t xml:space="preserve"> </w:t>
      </w:r>
      <w:r>
        <w:rPr>
          <w:color w:val="231F20"/>
        </w:rPr>
        <w:t>změnit</w:t>
      </w:r>
      <w:r>
        <w:rPr>
          <w:color w:val="231F20"/>
          <w:spacing w:val="-23"/>
        </w:rPr>
        <w:t xml:space="preserve"> </w:t>
      </w:r>
      <w:r>
        <w:rPr>
          <w:color w:val="231F20"/>
        </w:rPr>
        <w:t>zasláním</w:t>
      </w:r>
      <w:r>
        <w:rPr>
          <w:color w:val="231F20"/>
          <w:spacing w:val="-23"/>
        </w:rPr>
        <w:t xml:space="preserve"> </w:t>
      </w:r>
      <w:r>
        <w:rPr>
          <w:color w:val="231F20"/>
        </w:rPr>
        <w:t>příslušné</w:t>
      </w:r>
      <w:r>
        <w:rPr>
          <w:color w:val="231F20"/>
          <w:spacing w:val="-22"/>
        </w:rPr>
        <w:t xml:space="preserve"> </w:t>
      </w:r>
      <w:r>
        <w:rPr>
          <w:color w:val="231F20"/>
        </w:rPr>
        <w:t>informace</w:t>
      </w:r>
      <w:r>
        <w:rPr>
          <w:color w:val="231F20"/>
          <w:spacing w:val="-23"/>
        </w:rPr>
        <w:t xml:space="preserve"> </w:t>
      </w:r>
      <w:r>
        <w:rPr>
          <w:color w:val="231F20"/>
        </w:rPr>
        <w:t>na</w:t>
      </w:r>
      <w:r>
        <w:rPr>
          <w:color w:val="231F20"/>
          <w:spacing w:val="-23"/>
        </w:rPr>
        <w:t xml:space="preserve"> </w:t>
      </w:r>
      <w:r>
        <w:rPr>
          <w:color w:val="231F20"/>
        </w:rPr>
        <w:t>e-mail</w:t>
      </w:r>
      <w:r>
        <w:rPr>
          <w:color w:val="231F20"/>
          <w:spacing w:val="-23"/>
        </w:rPr>
        <w:t xml:space="preserve"> </w:t>
      </w:r>
      <w:r>
        <w:rPr>
          <w:color w:val="231F20"/>
        </w:rPr>
        <w:t>pojistní- ka (e-mailová adresa</w:t>
      </w:r>
      <w:r>
        <w:rPr>
          <w:color w:val="231F20"/>
          <w:spacing w:val="12"/>
        </w:rPr>
        <w:t xml:space="preserve"> </w:t>
      </w:r>
      <w:r>
        <w:rPr>
          <w:color w:val="231F20"/>
        </w:rPr>
        <w:t>pojistníka).</w:t>
      </w:r>
    </w:p>
    <w:p w14:paraId="3BDC6384"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9</w:t>
      </w:r>
      <w:r>
        <w:rPr>
          <w:color w:val="231F20"/>
          <w:position w:val="1"/>
          <w:sz w:val="14"/>
        </w:rPr>
        <w:t xml:space="preserve"> </w:t>
      </w:r>
      <w:r>
        <w:rPr>
          <w:color w:val="231F20"/>
        </w:rPr>
        <w:t xml:space="preserve">Aktualizace seznamu vozidel – seznamy vozidel pojistníka zasílané </w:t>
      </w:r>
      <w:r>
        <w:rPr>
          <w:color w:val="231F20"/>
          <w:spacing w:val="-4"/>
        </w:rPr>
        <w:t xml:space="preserve">Pojiš- </w:t>
      </w:r>
      <w:r>
        <w:rPr>
          <w:color w:val="231F20"/>
        </w:rPr>
        <w:t>ťovně</w:t>
      </w:r>
      <w:r>
        <w:rPr>
          <w:color w:val="231F20"/>
          <w:spacing w:val="-23"/>
        </w:rPr>
        <w:t xml:space="preserve"> </w:t>
      </w:r>
      <w:r>
        <w:rPr>
          <w:color w:val="231F20"/>
        </w:rPr>
        <w:t>dle</w:t>
      </w:r>
      <w:r>
        <w:rPr>
          <w:color w:val="231F20"/>
          <w:spacing w:val="-22"/>
        </w:rPr>
        <w:t xml:space="preserve"> </w:t>
      </w:r>
      <w:r>
        <w:rPr>
          <w:color w:val="231F20"/>
        </w:rPr>
        <w:t>tohoto</w:t>
      </w:r>
      <w:r>
        <w:rPr>
          <w:color w:val="231F20"/>
          <w:spacing w:val="-22"/>
        </w:rPr>
        <w:t xml:space="preserve"> </w:t>
      </w:r>
      <w:r>
        <w:rPr>
          <w:color w:val="231F20"/>
        </w:rPr>
        <w:t>článku</w:t>
      </w:r>
      <w:r>
        <w:rPr>
          <w:color w:val="231F20"/>
          <w:spacing w:val="-22"/>
        </w:rPr>
        <w:t xml:space="preserve"> </w:t>
      </w:r>
      <w:r>
        <w:rPr>
          <w:color w:val="231F20"/>
        </w:rPr>
        <w:t>musí</w:t>
      </w:r>
      <w:r>
        <w:rPr>
          <w:color w:val="231F20"/>
          <w:spacing w:val="-22"/>
        </w:rPr>
        <w:t xml:space="preserve"> </w:t>
      </w:r>
      <w:r>
        <w:rPr>
          <w:color w:val="231F20"/>
        </w:rPr>
        <w:t>dále</w:t>
      </w:r>
      <w:r>
        <w:rPr>
          <w:color w:val="231F20"/>
          <w:spacing w:val="-22"/>
        </w:rPr>
        <w:t xml:space="preserve"> </w:t>
      </w:r>
      <w:r>
        <w:rPr>
          <w:color w:val="231F20"/>
        </w:rPr>
        <w:t>obsahovat</w:t>
      </w:r>
      <w:r>
        <w:rPr>
          <w:color w:val="231F20"/>
          <w:spacing w:val="-22"/>
        </w:rPr>
        <w:t xml:space="preserve"> </w:t>
      </w:r>
      <w:r>
        <w:rPr>
          <w:color w:val="231F20"/>
        </w:rPr>
        <w:t>identifikaci</w:t>
      </w:r>
      <w:r>
        <w:rPr>
          <w:color w:val="231F20"/>
          <w:spacing w:val="-22"/>
        </w:rPr>
        <w:t xml:space="preserve"> </w:t>
      </w:r>
      <w:r>
        <w:rPr>
          <w:color w:val="231F20"/>
        </w:rPr>
        <w:t>vozidla</w:t>
      </w:r>
      <w:r>
        <w:rPr>
          <w:color w:val="231F20"/>
          <w:spacing w:val="-22"/>
        </w:rPr>
        <w:t xml:space="preserve"> </w:t>
      </w:r>
      <w:r>
        <w:rPr>
          <w:color w:val="231F20"/>
        </w:rPr>
        <w:t>(v</w:t>
      </w:r>
      <w:r>
        <w:rPr>
          <w:color w:val="231F20"/>
          <w:spacing w:val="-22"/>
        </w:rPr>
        <w:t xml:space="preserve"> </w:t>
      </w:r>
      <w:r>
        <w:rPr>
          <w:color w:val="231F20"/>
        </w:rPr>
        <w:t>minimálním rozsahu:</w:t>
      </w:r>
      <w:r>
        <w:rPr>
          <w:color w:val="231F20"/>
          <w:spacing w:val="-15"/>
        </w:rPr>
        <w:t xml:space="preserve"> </w:t>
      </w:r>
      <w:r>
        <w:rPr>
          <w:color w:val="231F20"/>
        </w:rPr>
        <w:t>VIN,</w:t>
      </w:r>
      <w:r>
        <w:rPr>
          <w:color w:val="231F20"/>
          <w:spacing w:val="-14"/>
        </w:rPr>
        <w:t xml:space="preserve"> </w:t>
      </w:r>
      <w:r>
        <w:rPr>
          <w:color w:val="231F20"/>
        </w:rPr>
        <w:t>druh</w:t>
      </w:r>
      <w:r>
        <w:rPr>
          <w:color w:val="231F20"/>
          <w:spacing w:val="-15"/>
        </w:rPr>
        <w:t xml:space="preserve"> </w:t>
      </w:r>
      <w:r>
        <w:rPr>
          <w:color w:val="231F20"/>
        </w:rPr>
        <w:t>vozidla,</w:t>
      </w:r>
      <w:r>
        <w:rPr>
          <w:color w:val="231F20"/>
          <w:spacing w:val="-14"/>
        </w:rPr>
        <w:t xml:space="preserve"> </w:t>
      </w:r>
      <w:r>
        <w:rPr>
          <w:color w:val="231F20"/>
        </w:rPr>
        <w:t>značka</w:t>
      </w:r>
      <w:r>
        <w:rPr>
          <w:color w:val="231F20"/>
          <w:spacing w:val="-15"/>
        </w:rPr>
        <w:t xml:space="preserve"> </w:t>
      </w:r>
      <w:r>
        <w:rPr>
          <w:color w:val="231F20"/>
        </w:rPr>
        <w:t>a</w:t>
      </w:r>
      <w:r>
        <w:rPr>
          <w:color w:val="231F20"/>
          <w:spacing w:val="-14"/>
        </w:rPr>
        <w:t xml:space="preserve"> </w:t>
      </w:r>
      <w:r>
        <w:rPr>
          <w:color w:val="231F20"/>
        </w:rPr>
        <w:t>typ</w:t>
      </w:r>
      <w:r>
        <w:rPr>
          <w:color w:val="231F20"/>
          <w:spacing w:val="-15"/>
        </w:rPr>
        <w:t xml:space="preserve"> </w:t>
      </w:r>
      <w:r>
        <w:rPr>
          <w:color w:val="231F20"/>
        </w:rPr>
        <w:t>vozidla)</w:t>
      </w:r>
      <w:r>
        <w:rPr>
          <w:color w:val="231F20"/>
          <w:spacing w:val="-14"/>
        </w:rPr>
        <w:t xml:space="preserve"> </w:t>
      </w:r>
      <w:r>
        <w:rPr>
          <w:color w:val="231F20"/>
        </w:rPr>
        <w:t>a</w:t>
      </w:r>
      <w:r>
        <w:rPr>
          <w:color w:val="231F20"/>
          <w:spacing w:val="-15"/>
        </w:rPr>
        <w:t xml:space="preserve"> </w:t>
      </w:r>
      <w:r>
        <w:rPr>
          <w:color w:val="231F20"/>
        </w:rPr>
        <w:t>rozsah</w:t>
      </w:r>
      <w:r>
        <w:rPr>
          <w:color w:val="231F20"/>
          <w:spacing w:val="-15"/>
        </w:rPr>
        <w:t xml:space="preserve"> </w:t>
      </w:r>
      <w:r>
        <w:rPr>
          <w:color w:val="231F20"/>
        </w:rPr>
        <w:t>požadovaného</w:t>
      </w:r>
      <w:r>
        <w:rPr>
          <w:color w:val="231F20"/>
          <w:spacing w:val="-14"/>
        </w:rPr>
        <w:t xml:space="preserve"> </w:t>
      </w:r>
      <w:r>
        <w:rPr>
          <w:color w:val="231F20"/>
        </w:rPr>
        <w:t>po- jištění (varianta, limit,</w:t>
      </w:r>
      <w:r>
        <w:rPr>
          <w:color w:val="231F20"/>
          <w:spacing w:val="-6"/>
        </w:rPr>
        <w:t xml:space="preserve"> </w:t>
      </w:r>
      <w:r>
        <w:rPr>
          <w:color w:val="231F20"/>
        </w:rPr>
        <w:t>spoluúčast).</w:t>
      </w:r>
    </w:p>
    <w:p w14:paraId="10E2811E" w14:textId="77777777" w:rsidR="00F65BCA" w:rsidRDefault="00216117">
      <w:pPr>
        <w:pStyle w:val="Zkladntext"/>
        <w:spacing w:line="278" w:lineRule="auto"/>
        <w:ind w:left="468" w:right="425" w:hanging="283"/>
        <w:jc w:val="both"/>
      </w:pPr>
      <w:r>
        <w:rPr>
          <w:color w:val="231F20"/>
          <w:spacing w:val="-22"/>
          <w:position w:val="1"/>
          <w:sz w:val="14"/>
          <w:shd w:val="clear" w:color="auto" w:fill="D1D3D4"/>
        </w:rPr>
        <w:t xml:space="preserve"> </w:t>
      </w:r>
      <w:r>
        <w:rPr>
          <w:color w:val="231F20"/>
          <w:position w:val="1"/>
          <w:sz w:val="14"/>
          <w:shd w:val="clear" w:color="auto" w:fill="D1D3D4"/>
        </w:rPr>
        <w:t>10</w:t>
      </w:r>
      <w:r>
        <w:rPr>
          <w:color w:val="231F20"/>
          <w:spacing w:val="31"/>
          <w:position w:val="1"/>
          <w:sz w:val="14"/>
        </w:rPr>
        <w:t xml:space="preserve"> </w:t>
      </w:r>
      <w:r>
        <w:rPr>
          <w:color w:val="231F20"/>
        </w:rPr>
        <w:t>Dohodne-li</w:t>
      </w:r>
      <w:r>
        <w:rPr>
          <w:color w:val="231F20"/>
          <w:spacing w:val="-14"/>
        </w:rPr>
        <w:t xml:space="preserve"> </w:t>
      </w:r>
      <w:r>
        <w:rPr>
          <w:color w:val="231F20"/>
        </w:rPr>
        <w:t>se</w:t>
      </w:r>
      <w:r>
        <w:rPr>
          <w:color w:val="231F20"/>
          <w:spacing w:val="-13"/>
        </w:rPr>
        <w:t xml:space="preserve"> </w:t>
      </w:r>
      <w:r>
        <w:rPr>
          <w:color w:val="231F20"/>
        </w:rPr>
        <w:t>Pojišťovna</w:t>
      </w:r>
      <w:r>
        <w:rPr>
          <w:color w:val="231F20"/>
          <w:spacing w:val="-13"/>
        </w:rPr>
        <w:t xml:space="preserve"> </w:t>
      </w:r>
      <w:r>
        <w:rPr>
          <w:color w:val="231F20"/>
        </w:rPr>
        <w:t>a</w:t>
      </w:r>
      <w:r>
        <w:rPr>
          <w:color w:val="231F20"/>
          <w:spacing w:val="-14"/>
        </w:rPr>
        <w:t xml:space="preserve"> </w:t>
      </w:r>
      <w:r>
        <w:rPr>
          <w:color w:val="231F20"/>
        </w:rPr>
        <w:t>pojistník,</w:t>
      </w:r>
      <w:r>
        <w:rPr>
          <w:color w:val="231F20"/>
          <w:spacing w:val="-13"/>
        </w:rPr>
        <w:t xml:space="preserve"> </w:t>
      </w:r>
      <w:r>
        <w:rPr>
          <w:color w:val="231F20"/>
        </w:rPr>
        <w:t>je</w:t>
      </w:r>
      <w:r>
        <w:rPr>
          <w:color w:val="231F20"/>
          <w:spacing w:val="-14"/>
        </w:rPr>
        <w:t xml:space="preserve"> </w:t>
      </w:r>
      <w:r>
        <w:rPr>
          <w:color w:val="231F20"/>
        </w:rPr>
        <w:t>možné</w:t>
      </w:r>
      <w:r>
        <w:rPr>
          <w:color w:val="231F20"/>
          <w:spacing w:val="-13"/>
        </w:rPr>
        <w:t xml:space="preserve"> </w:t>
      </w:r>
      <w:r>
        <w:rPr>
          <w:color w:val="231F20"/>
        </w:rPr>
        <w:t>uzavřít</w:t>
      </w:r>
      <w:r>
        <w:rPr>
          <w:color w:val="231F20"/>
          <w:spacing w:val="-13"/>
        </w:rPr>
        <w:t xml:space="preserve"> </w:t>
      </w:r>
      <w:r>
        <w:rPr>
          <w:color w:val="231F20"/>
        </w:rPr>
        <w:t>pojištění</w:t>
      </w:r>
      <w:r>
        <w:rPr>
          <w:color w:val="231F20"/>
          <w:spacing w:val="-14"/>
        </w:rPr>
        <w:t xml:space="preserve"> </w:t>
      </w:r>
      <w:r>
        <w:rPr>
          <w:color w:val="231F20"/>
        </w:rPr>
        <w:t>na</w:t>
      </w:r>
      <w:r>
        <w:rPr>
          <w:color w:val="231F20"/>
          <w:spacing w:val="-13"/>
        </w:rPr>
        <w:t xml:space="preserve"> </w:t>
      </w:r>
      <w:r>
        <w:rPr>
          <w:color w:val="231F20"/>
        </w:rPr>
        <w:t>dobu</w:t>
      </w:r>
      <w:r>
        <w:rPr>
          <w:color w:val="231F20"/>
          <w:spacing w:val="-14"/>
        </w:rPr>
        <w:t xml:space="preserve"> </w:t>
      </w:r>
      <w:r>
        <w:rPr>
          <w:color w:val="231F20"/>
        </w:rPr>
        <w:t>kratší než jeden rok (krátkodobé pojištění).</w:t>
      </w:r>
    </w:p>
    <w:p w14:paraId="5C801E49" w14:textId="77777777" w:rsidR="00F65BCA" w:rsidRDefault="00216117">
      <w:pPr>
        <w:pStyle w:val="Zkladntext"/>
        <w:spacing w:line="278" w:lineRule="auto"/>
        <w:ind w:left="468" w:right="424" w:hanging="283"/>
        <w:jc w:val="both"/>
      </w:pPr>
      <w:r>
        <w:rPr>
          <w:color w:val="231F20"/>
          <w:spacing w:val="-22"/>
          <w:position w:val="1"/>
          <w:sz w:val="14"/>
          <w:shd w:val="clear" w:color="auto" w:fill="D1D3D4"/>
        </w:rPr>
        <w:t xml:space="preserve"> </w:t>
      </w:r>
      <w:r>
        <w:rPr>
          <w:color w:val="231F20"/>
          <w:position w:val="1"/>
          <w:sz w:val="14"/>
          <w:shd w:val="clear" w:color="auto" w:fill="D1D3D4"/>
        </w:rPr>
        <w:t>11</w:t>
      </w:r>
      <w:r>
        <w:rPr>
          <w:color w:val="231F20"/>
          <w:position w:val="1"/>
          <w:sz w:val="14"/>
        </w:rPr>
        <w:t xml:space="preserve"> </w:t>
      </w:r>
      <w:r>
        <w:rPr>
          <w:color w:val="231F20"/>
        </w:rPr>
        <w:t xml:space="preserve">V případě vozidla, které je registrováno v jiném státě než v České </w:t>
      </w:r>
      <w:r>
        <w:rPr>
          <w:color w:val="231F20"/>
          <w:spacing w:val="-3"/>
        </w:rPr>
        <w:t xml:space="preserve">republice </w:t>
      </w:r>
      <w:r>
        <w:rPr>
          <w:color w:val="231F20"/>
        </w:rPr>
        <w:t>(vozidlo</w:t>
      </w:r>
      <w:r>
        <w:rPr>
          <w:color w:val="231F20"/>
          <w:spacing w:val="-13"/>
        </w:rPr>
        <w:t xml:space="preserve"> </w:t>
      </w:r>
      <w:r>
        <w:rPr>
          <w:color w:val="231F20"/>
        </w:rPr>
        <w:t>nemá</w:t>
      </w:r>
      <w:r>
        <w:rPr>
          <w:color w:val="231F20"/>
          <w:spacing w:val="-13"/>
        </w:rPr>
        <w:t xml:space="preserve"> </w:t>
      </w:r>
      <w:r>
        <w:rPr>
          <w:color w:val="231F20"/>
        </w:rPr>
        <w:t>přidělenou</w:t>
      </w:r>
      <w:r>
        <w:rPr>
          <w:color w:val="231F20"/>
          <w:spacing w:val="-12"/>
        </w:rPr>
        <w:t xml:space="preserve"> </w:t>
      </w:r>
      <w:r>
        <w:rPr>
          <w:color w:val="231F20"/>
        </w:rPr>
        <w:t>českou</w:t>
      </w:r>
      <w:r>
        <w:rPr>
          <w:color w:val="231F20"/>
          <w:spacing w:val="-13"/>
        </w:rPr>
        <w:t xml:space="preserve"> </w:t>
      </w:r>
      <w:r>
        <w:rPr>
          <w:color w:val="231F20"/>
        </w:rPr>
        <w:t>registrační</w:t>
      </w:r>
      <w:r>
        <w:rPr>
          <w:color w:val="231F20"/>
          <w:spacing w:val="-12"/>
        </w:rPr>
        <w:t xml:space="preserve"> </w:t>
      </w:r>
      <w:r>
        <w:rPr>
          <w:color w:val="231F20"/>
        </w:rPr>
        <w:t>značku),</w:t>
      </w:r>
      <w:r>
        <w:rPr>
          <w:color w:val="231F20"/>
          <w:spacing w:val="-13"/>
        </w:rPr>
        <w:t xml:space="preserve"> </w:t>
      </w:r>
      <w:r>
        <w:rPr>
          <w:color w:val="231F20"/>
        </w:rPr>
        <w:t>lze</w:t>
      </w:r>
      <w:r>
        <w:rPr>
          <w:color w:val="231F20"/>
          <w:spacing w:val="-12"/>
        </w:rPr>
        <w:t xml:space="preserve"> </w:t>
      </w:r>
      <w:r>
        <w:rPr>
          <w:color w:val="231F20"/>
        </w:rPr>
        <w:t>pojištění</w:t>
      </w:r>
      <w:r>
        <w:rPr>
          <w:color w:val="231F20"/>
          <w:spacing w:val="-13"/>
        </w:rPr>
        <w:t xml:space="preserve"> </w:t>
      </w:r>
      <w:r>
        <w:rPr>
          <w:color w:val="231F20"/>
        </w:rPr>
        <w:t>uzavřít</w:t>
      </w:r>
      <w:r>
        <w:rPr>
          <w:color w:val="231F20"/>
          <w:spacing w:val="-12"/>
        </w:rPr>
        <w:t xml:space="preserve"> </w:t>
      </w:r>
      <w:r>
        <w:rPr>
          <w:color w:val="231F20"/>
          <w:spacing w:val="-5"/>
        </w:rPr>
        <w:t xml:space="preserve">jen </w:t>
      </w:r>
      <w:r>
        <w:rPr>
          <w:color w:val="231F20"/>
        </w:rPr>
        <w:t>za účelem přihlášení vozidla k registraci v České republice, a to nejvýše na dobu</w:t>
      </w:r>
      <w:r>
        <w:rPr>
          <w:color w:val="231F20"/>
          <w:spacing w:val="-11"/>
        </w:rPr>
        <w:t xml:space="preserve"> </w:t>
      </w:r>
      <w:r>
        <w:rPr>
          <w:color w:val="231F20"/>
        </w:rPr>
        <w:t>30</w:t>
      </w:r>
      <w:r>
        <w:rPr>
          <w:color w:val="231F20"/>
          <w:spacing w:val="-11"/>
        </w:rPr>
        <w:t xml:space="preserve"> </w:t>
      </w:r>
      <w:r>
        <w:rPr>
          <w:color w:val="231F20"/>
        </w:rPr>
        <w:t>dnů,</w:t>
      </w:r>
      <w:r>
        <w:rPr>
          <w:color w:val="231F20"/>
          <w:spacing w:val="-11"/>
        </w:rPr>
        <w:t xml:space="preserve"> </w:t>
      </w:r>
      <w:r>
        <w:rPr>
          <w:color w:val="231F20"/>
        </w:rPr>
        <w:t>není-li</w:t>
      </w:r>
      <w:r>
        <w:rPr>
          <w:color w:val="231F20"/>
          <w:spacing w:val="-10"/>
        </w:rPr>
        <w:t xml:space="preserve"> </w:t>
      </w:r>
      <w:r>
        <w:rPr>
          <w:color w:val="231F20"/>
        </w:rPr>
        <w:t>v</w:t>
      </w:r>
      <w:r>
        <w:rPr>
          <w:color w:val="231F20"/>
          <w:spacing w:val="-11"/>
        </w:rPr>
        <w:t xml:space="preserve"> </w:t>
      </w:r>
      <w:r>
        <w:rPr>
          <w:color w:val="231F20"/>
        </w:rPr>
        <w:t>pojistné</w:t>
      </w:r>
      <w:r>
        <w:rPr>
          <w:color w:val="231F20"/>
          <w:spacing w:val="-11"/>
        </w:rPr>
        <w:t xml:space="preserve"> </w:t>
      </w:r>
      <w:r>
        <w:rPr>
          <w:color w:val="231F20"/>
        </w:rPr>
        <w:t>smlouvě</w:t>
      </w:r>
      <w:r>
        <w:rPr>
          <w:color w:val="231F20"/>
          <w:spacing w:val="-10"/>
        </w:rPr>
        <w:t xml:space="preserve"> </w:t>
      </w:r>
      <w:r>
        <w:rPr>
          <w:color w:val="231F20"/>
        </w:rPr>
        <w:t>uvedena</w:t>
      </w:r>
      <w:r>
        <w:rPr>
          <w:color w:val="231F20"/>
          <w:spacing w:val="-11"/>
        </w:rPr>
        <w:t xml:space="preserve"> </w:t>
      </w:r>
      <w:r>
        <w:rPr>
          <w:color w:val="231F20"/>
        </w:rPr>
        <w:t>doba</w:t>
      </w:r>
      <w:r>
        <w:rPr>
          <w:color w:val="231F20"/>
          <w:spacing w:val="-11"/>
        </w:rPr>
        <w:t xml:space="preserve"> </w:t>
      </w:r>
      <w:r>
        <w:rPr>
          <w:color w:val="231F20"/>
        </w:rPr>
        <w:t>kratší.</w:t>
      </w:r>
      <w:r>
        <w:rPr>
          <w:color w:val="231F20"/>
          <w:spacing w:val="-11"/>
        </w:rPr>
        <w:t xml:space="preserve"> </w:t>
      </w:r>
      <w:r>
        <w:rPr>
          <w:color w:val="231F20"/>
        </w:rPr>
        <w:t>Pokud</w:t>
      </w:r>
      <w:r>
        <w:rPr>
          <w:color w:val="231F20"/>
          <w:spacing w:val="-10"/>
        </w:rPr>
        <w:t xml:space="preserve"> </w:t>
      </w:r>
      <w:r>
        <w:rPr>
          <w:color w:val="231F20"/>
        </w:rPr>
        <w:t>pojistník Pojišťovně</w:t>
      </w:r>
      <w:r>
        <w:rPr>
          <w:color w:val="231F20"/>
          <w:spacing w:val="-15"/>
        </w:rPr>
        <w:t xml:space="preserve"> </w:t>
      </w:r>
      <w:r>
        <w:rPr>
          <w:color w:val="231F20"/>
        </w:rPr>
        <w:t>písemně</w:t>
      </w:r>
      <w:r>
        <w:rPr>
          <w:color w:val="231F20"/>
          <w:spacing w:val="-14"/>
        </w:rPr>
        <w:t xml:space="preserve"> </w:t>
      </w:r>
      <w:r>
        <w:rPr>
          <w:color w:val="231F20"/>
        </w:rPr>
        <w:t>oznámí</w:t>
      </w:r>
      <w:r>
        <w:rPr>
          <w:color w:val="231F20"/>
          <w:spacing w:val="-14"/>
        </w:rPr>
        <w:t xml:space="preserve"> </w:t>
      </w:r>
      <w:r>
        <w:rPr>
          <w:color w:val="231F20"/>
        </w:rPr>
        <w:t>číslo</w:t>
      </w:r>
      <w:r>
        <w:rPr>
          <w:color w:val="231F20"/>
          <w:spacing w:val="-14"/>
        </w:rPr>
        <w:t xml:space="preserve"> </w:t>
      </w:r>
      <w:r>
        <w:rPr>
          <w:color w:val="231F20"/>
        </w:rPr>
        <w:t>přidělené</w:t>
      </w:r>
      <w:r>
        <w:rPr>
          <w:color w:val="231F20"/>
          <w:spacing w:val="-14"/>
        </w:rPr>
        <w:t xml:space="preserve"> </w:t>
      </w:r>
      <w:r>
        <w:rPr>
          <w:color w:val="231F20"/>
        </w:rPr>
        <w:t>české</w:t>
      </w:r>
      <w:r>
        <w:rPr>
          <w:color w:val="231F20"/>
          <w:spacing w:val="-15"/>
        </w:rPr>
        <w:t xml:space="preserve"> </w:t>
      </w:r>
      <w:r>
        <w:rPr>
          <w:color w:val="231F20"/>
        </w:rPr>
        <w:t>registrační</w:t>
      </w:r>
      <w:r>
        <w:rPr>
          <w:color w:val="231F20"/>
          <w:spacing w:val="-14"/>
        </w:rPr>
        <w:t xml:space="preserve"> </w:t>
      </w:r>
      <w:r>
        <w:rPr>
          <w:color w:val="231F20"/>
        </w:rPr>
        <w:t>značky</w:t>
      </w:r>
      <w:r>
        <w:rPr>
          <w:color w:val="231F20"/>
          <w:spacing w:val="-14"/>
        </w:rPr>
        <w:t xml:space="preserve"> </w:t>
      </w:r>
      <w:r>
        <w:rPr>
          <w:color w:val="231F20"/>
        </w:rPr>
        <w:t>jako</w:t>
      </w:r>
      <w:r>
        <w:rPr>
          <w:color w:val="231F20"/>
          <w:spacing w:val="-14"/>
        </w:rPr>
        <w:t xml:space="preserve"> </w:t>
      </w:r>
      <w:r>
        <w:rPr>
          <w:color w:val="231F20"/>
          <w:spacing w:val="-5"/>
        </w:rPr>
        <w:t xml:space="preserve">po- </w:t>
      </w:r>
      <w:r>
        <w:rPr>
          <w:color w:val="231F20"/>
        </w:rPr>
        <w:t>tvrzení</w:t>
      </w:r>
      <w:r>
        <w:rPr>
          <w:color w:val="231F20"/>
          <w:spacing w:val="-10"/>
        </w:rPr>
        <w:t xml:space="preserve"> </w:t>
      </w:r>
      <w:r>
        <w:rPr>
          <w:color w:val="231F20"/>
        </w:rPr>
        <w:t>o</w:t>
      </w:r>
      <w:r>
        <w:rPr>
          <w:color w:val="231F20"/>
          <w:spacing w:val="-10"/>
        </w:rPr>
        <w:t xml:space="preserve"> </w:t>
      </w:r>
      <w:r>
        <w:rPr>
          <w:color w:val="231F20"/>
        </w:rPr>
        <w:t>provedení</w:t>
      </w:r>
      <w:r>
        <w:rPr>
          <w:color w:val="231F20"/>
          <w:spacing w:val="-10"/>
        </w:rPr>
        <w:t xml:space="preserve"> </w:t>
      </w:r>
      <w:r>
        <w:rPr>
          <w:color w:val="231F20"/>
        </w:rPr>
        <w:t>registrace</w:t>
      </w:r>
      <w:r>
        <w:rPr>
          <w:color w:val="231F20"/>
          <w:spacing w:val="-10"/>
        </w:rPr>
        <w:t xml:space="preserve"> </w:t>
      </w:r>
      <w:r>
        <w:rPr>
          <w:color w:val="231F20"/>
        </w:rPr>
        <w:t>vozidla</w:t>
      </w:r>
      <w:r>
        <w:rPr>
          <w:color w:val="231F20"/>
          <w:spacing w:val="-10"/>
        </w:rPr>
        <w:t xml:space="preserve"> </w:t>
      </w:r>
      <w:r>
        <w:rPr>
          <w:color w:val="231F20"/>
        </w:rPr>
        <w:t>v</w:t>
      </w:r>
      <w:r>
        <w:rPr>
          <w:color w:val="231F20"/>
          <w:spacing w:val="-10"/>
        </w:rPr>
        <w:t xml:space="preserve"> </w:t>
      </w:r>
      <w:r>
        <w:rPr>
          <w:color w:val="231F20"/>
        </w:rPr>
        <w:t>České</w:t>
      </w:r>
      <w:r>
        <w:rPr>
          <w:color w:val="231F20"/>
          <w:spacing w:val="-10"/>
        </w:rPr>
        <w:t xml:space="preserve"> </w:t>
      </w:r>
      <w:r>
        <w:rPr>
          <w:color w:val="231F20"/>
        </w:rPr>
        <w:t>republice,</w:t>
      </w:r>
      <w:r>
        <w:rPr>
          <w:color w:val="231F20"/>
          <w:spacing w:val="-10"/>
        </w:rPr>
        <w:t xml:space="preserve"> </w:t>
      </w:r>
      <w:r>
        <w:rPr>
          <w:color w:val="231F20"/>
        </w:rPr>
        <w:t>a</w:t>
      </w:r>
      <w:r>
        <w:rPr>
          <w:color w:val="231F20"/>
          <w:spacing w:val="-9"/>
        </w:rPr>
        <w:t xml:space="preserve"> </w:t>
      </w:r>
      <w:r>
        <w:rPr>
          <w:color w:val="231F20"/>
        </w:rPr>
        <w:t>to</w:t>
      </w:r>
      <w:r>
        <w:rPr>
          <w:color w:val="231F20"/>
          <w:spacing w:val="-10"/>
        </w:rPr>
        <w:t xml:space="preserve"> </w:t>
      </w:r>
      <w:r>
        <w:rPr>
          <w:color w:val="231F20"/>
        </w:rPr>
        <w:t>před</w:t>
      </w:r>
      <w:r>
        <w:rPr>
          <w:color w:val="231F20"/>
          <w:spacing w:val="-10"/>
        </w:rPr>
        <w:t xml:space="preserve"> </w:t>
      </w:r>
      <w:r>
        <w:rPr>
          <w:color w:val="231F20"/>
        </w:rPr>
        <w:t>uplynutím doby 30 dnů od uzavření pojištění (příp. před uplynutím doby kratší, byla-li v pojistné smlouvě tato sjednána), vyjadřuje tím současně zájem na dalším trvání</w:t>
      </w:r>
      <w:r>
        <w:rPr>
          <w:color w:val="231F20"/>
          <w:spacing w:val="-17"/>
        </w:rPr>
        <w:t xml:space="preserve"> </w:t>
      </w:r>
      <w:r>
        <w:rPr>
          <w:color w:val="231F20"/>
        </w:rPr>
        <w:t>sjednaného</w:t>
      </w:r>
      <w:r>
        <w:rPr>
          <w:color w:val="231F20"/>
          <w:spacing w:val="-16"/>
        </w:rPr>
        <w:t xml:space="preserve"> </w:t>
      </w:r>
      <w:r>
        <w:rPr>
          <w:color w:val="231F20"/>
        </w:rPr>
        <w:t>pojištění,</w:t>
      </w:r>
      <w:r>
        <w:rPr>
          <w:color w:val="231F20"/>
          <w:spacing w:val="-16"/>
        </w:rPr>
        <w:t xml:space="preserve"> </w:t>
      </w:r>
      <w:r>
        <w:rPr>
          <w:color w:val="231F20"/>
        </w:rPr>
        <w:t>v</w:t>
      </w:r>
      <w:r>
        <w:rPr>
          <w:color w:val="231F20"/>
          <w:spacing w:val="-16"/>
        </w:rPr>
        <w:t xml:space="preserve"> </w:t>
      </w:r>
      <w:r>
        <w:rPr>
          <w:color w:val="231F20"/>
        </w:rPr>
        <w:t>opačném</w:t>
      </w:r>
      <w:r>
        <w:rPr>
          <w:color w:val="231F20"/>
          <w:spacing w:val="-16"/>
        </w:rPr>
        <w:t xml:space="preserve"> </w:t>
      </w:r>
      <w:r>
        <w:rPr>
          <w:color w:val="231F20"/>
        </w:rPr>
        <w:t>případě</w:t>
      </w:r>
      <w:r>
        <w:rPr>
          <w:color w:val="231F20"/>
          <w:spacing w:val="-17"/>
        </w:rPr>
        <w:t xml:space="preserve"> </w:t>
      </w:r>
      <w:r>
        <w:rPr>
          <w:color w:val="231F20"/>
        </w:rPr>
        <w:t>pojištění</w:t>
      </w:r>
      <w:r>
        <w:rPr>
          <w:color w:val="231F20"/>
          <w:spacing w:val="-16"/>
        </w:rPr>
        <w:t xml:space="preserve"> </w:t>
      </w:r>
      <w:r>
        <w:rPr>
          <w:color w:val="231F20"/>
        </w:rPr>
        <w:t>uplynutím</w:t>
      </w:r>
      <w:r>
        <w:rPr>
          <w:color w:val="231F20"/>
          <w:spacing w:val="-16"/>
        </w:rPr>
        <w:t xml:space="preserve"> </w:t>
      </w:r>
      <w:r>
        <w:rPr>
          <w:color w:val="231F20"/>
        </w:rPr>
        <w:t>30</w:t>
      </w:r>
      <w:r>
        <w:rPr>
          <w:color w:val="231F20"/>
          <w:spacing w:val="-16"/>
        </w:rPr>
        <w:t xml:space="preserve"> </w:t>
      </w:r>
      <w:r>
        <w:rPr>
          <w:color w:val="231F20"/>
        </w:rPr>
        <w:t>dnů</w:t>
      </w:r>
      <w:r>
        <w:rPr>
          <w:color w:val="231F20"/>
          <w:spacing w:val="-17"/>
        </w:rPr>
        <w:t xml:space="preserve"> </w:t>
      </w:r>
      <w:r>
        <w:rPr>
          <w:color w:val="231F20"/>
          <w:spacing w:val="-9"/>
        </w:rPr>
        <w:t xml:space="preserve">od </w:t>
      </w:r>
      <w:r>
        <w:rPr>
          <w:color w:val="231F20"/>
        </w:rPr>
        <w:t>jeho</w:t>
      </w:r>
      <w:r>
        <w:rPr>
          <w:color w:val="231F20"/>
          <w:spacing w:val="-15"/>
        </w:rPr>
        <w:t xml:space="preserve"> </w:t>
      </w:r>
      <w:r>
        <w:rPr>
          <w:color w:val="231F20"/>
        </w:rPr>
        <w:t>uzavření</w:t>
      </w:r>
      <w:r>
        <w:rPr>
          <w:color w:val="231F20"/>
          <w:spacing w:val="-14"/>
        </w:rPr>
        <w:t xml:space="preserve"> </w:t>
      </w:r>
      <w:r>
        <w:rPr>
          <w:color w:val="231F20"/>
        </w:rPr>
        <w:t>(příp.</w:t>
      </w:r>
      <w:r>
        <w:rPr>
          <w:color w:val="231F20"/>
          <w:spacing w:val="-15"/>
        </w:rPr>
        <w:t xml:space="preserve"> </w:t>
      </w:r>
      <w:r>
        <w:rPr>
          <w:color w:val="231F20"/>
        </w:rPr>
        <w:t>před</w:t>
      </w:r>
      <w:r>
        <w:rPr>
          <w:color w:val="231F20"/>
          <w:spacing w:val="-14"/>
        </w:rPr>
        <w:t xml:space="preserve"> </w:t>
      </w:r>
      <w:r>
        <w:rPr>
          <w:color w:val="231F20"/>
        </w:rPr>
        <w:t>uplynutím</w:t>
      </w:r>
      <w:r>
        <w:rPr>
          <w:color w:val="231F20"/>
          <w:spacing w:val="-14"/>
        </w:rPr>
        <w:t xml:space="preserve"> </w:t>
      </w:r>
      <w:r>
        <w:rPr>
          <w:color w:val="231F20"/>
        </w:rPr>
        <w:t>doby</w:t>
      </w:r>
      <w:r>
        <w:rPr>
          <w:color w:val="231F20"/>
          <w:spacing w:val="-15"/>
        </w:rPr>
        <w:t xml:space="preserve"> </w:t>
      </w:r>
      <w:r>
        <w:rPr>
          <w:color w:val="231F20"/>
        </w:rPr>
        <w:t>kratší,</w:t>
      </w:r>
      <w:r>
        <w:rPr>
          <w:color w:val="231F20"/>
          <w:spacing w:val="-14"/>
        </w:rPr>
        <w:t xml:space="preserve"> </w:t>
      </w:r>
      <w:r>
        <w:rPr>
          <w:color w:val="231F20"/>
        </w:rPr>
        <w:t>byla-li</w:t>
      </w:r>
      <w:r>
        <w:rPr>
          <w:color w:val="231F20"/>
          <w:spacing w:val="-14"/>
        </w:rPr>
        <w:t xml:space="preserve"> </w:t>
      </w:r>
      <w:r>
        <w:rPr>
          <w:color w:val="231F20"/>
        </w:rPr>
        <w:t>v</w:t>
      </w:r>
      <w:r>
        <w:rPr>
          <w:color w:val="231F20"/>
          <w:spacing w:val="-15"/>
        </w:rPr>
        <w:t xml:space="preserve"> </w:t>
      </w:r>
      <w:r>
        <w:rPr>
          <w:color w:val="231F20"/>
        </w:rPr>
        <w:t>pojistné</w:t>
      </w:r>
      <w:r>
        <w:rPr>
          <w:color w:val="231F20"/>
          <w:spacing w:val="-14"/>
        </w:rPr>
        <w:t xml:space="preserve"> </w:t>
      </w:r>
      <w:r>
        <w:rPr>
          <w:color w:val="231F20"/>
        </w:rPr>
        <w:t>smlouvě</w:t>
      </w:r>
      <w:r>
        <w:rPr>
          <w:color w:val="231F20"/>
          <w:spacing w:val="-14"/>
        </w:rPr>
        <w:t xml:space="preserve"> </w:t>
      </w:r>
      <w:r>
        <w:rPr>
          <w:color w:val="231F20"/>
        </w:rPr>
        <w:t>tato sjednána)</w:t>
      </w:r>
      <w:r>
        <w:rPr>
          <w:color w:val="231F20"/>
          <w:spacing w:val="-1"/>
        </w:rPr>
        <w:t xml:space="preserve"> </w:t>
      </w:r>
      <w:r>
        <w:rPr>
          <w:color w:val="231F20"/>
        </w:rPr>
        <w:t>zaniká.</w:t>
      </w:r>
    </w:p>
    <w:p w14:paraId="3A16ADD0" w14:textId="77777777" w:rsidR="00F65BCA" w:rsidRDefault="00216117">
      <w:pPr>
        <w:pStyle w:val="Zkladntext"/>
        <w:spacing w:line="172" w:lineRule="exact"/>
        <w:ind w:left="184"/>
        <w:jc w:val="both"/>
      </w:pPr>
      <w:r>
        <w:rPr>
          <w:color w:val="231F20"/>
          <w:w w:val="105"/>
        </w:rPr>
        <w:t>Přerušení pojištění jednotlivých vozidel</w:t>
      </w:r>
    </w:p>
    <w:p w14:paraId="1316CF7E" w14:textId="77777777" w:rsidR="00F65BCA" w:rsidRDefault="00216117">
      <w:pPr>
        <w:pStyle w:val="Zkladntext"/>
        <w:spacing w:before="23" w:line="278" w:lineRule="auto"/>
        <w:ind w:left="468" w:right="424" w:hanging="283"/>
        <w:jc w:val="both"/>
      </w:pPr>
      <w:r>
        <w:rPr>
          <w:color w:val="231F20"/>
          <w:spacing w:val="-22"/>
          <w:position w:val="1"/>
          <w:sz w:val="14"/>
          <w:shd w:val="clear" w:color="auto" w:fill="D1D3D4"/>
        </w:rPr>
        <w:t xml:space="preserve"> </w:t>
      </w:r>
      <w:r>
        <w:rPr>
          <w:color w:val="231F20"/>
          <w:position w:val="1"/>
          <w:sz w:val="14"/>
          <w:shd w:val="clear" w:color="auto" w:fill="D1D3D4"/>
        </w:rPr>
        <w:t>12</w:t>
      </w:r>
      <w:r>
        <w:rPr>
          <w:color w:val="231F20"/>
          <w:spacing w:val="-6"/>
          <w:position w:val="1"/>
          <w:sz w:val="14"/>
        </w:rPr>
        <w:t xml:space="preserve"> </w:t>
      </w:r>
      <w:r>
        <w:rPr>
          <w:color w:val="231F20"/>
        </w:rPr>
        <w:t>U pojištění vozidel uvedených v seznamu vozidel se neuplatňuje institut pře- rušení</w:t>
      </w:r>
      <w:r>
        <w:rPr>
          <w:color w:val="231F20"/>
          <w:spacing w:val="-21"/>
        </w:rPr>
        <w:t xml:space="preserve"> </w:t>
      </w:r>
      <w:r>
        <w:rPr>
          <w:color w:val="231F20"/>
        </w:rPr>
        <w:t>pojištění</w:t>
      </w:r>
      <w:r>
        <w:rPr>
          <w:color w:val="231F20"/>
          <w:spacing w:val="-21"/>
        </w:rPr>
        <w:t xml:space="preserve"> </w:t>
      </w:r>
      <w:r>
        <w:rPr>
          <w:color w:val="231F20"/>
        </w:rPr>
        <w:t>upravený</w:t>
      </w:r>
      <w:r>
        <w:rPr>
          <w:color w:val="231F20"/>
          <w:spacing w:val="-20"/>
        </w:rPr>
        <w:t xml:space="preserve"> </w:t>
      </w:r>
      <w:r>
        <w:rPr>
          <w:color w:val="231F20"/>
        </w:rPr>
        <w:t>v</w:t>
      </w:r>
      <w:r>
        <w:rPr>
          <w:color w:val="231F20"/>
          <w:spacing w:val="-21"/>
        </w:rPr>
        <w:t xml:space="preserve"> </w:t>
      </w:r>
      <w:r>
        <w:rPr>
          <w:color w:val="231F20"/>
        </w:rPr>
        <w:t>příslušných</w:t>
      </w:r>
      <w:r>
        <w:rPr>
          <w:color w:val="231F20"/>
          <w:spacing w:val="-21"/>
        </w:rPr>
        <w:t xml:space="preserve"> </w:t>
      </w:r>
      <w:r>
        <w:rPr>
          <w:color w:val="231F20"/>
        </w:rPr>
        <w:t>právních</w:t>
      </w:r>
      <w:r>
        <w:rPr>
          <w:color w:val="231F20"/>
          <w:spacing w:val="-20"/>
        </w:rPr>
        <w:t xml:space="preserve"> </w:t>
      </w:r>
      <w:r>
        <w:rPr>
          <w:color w:val="231F20"/>
        </w:rPr>
        <w:t>předpisech,</w:t>
      </w:r>
      <w:r>
        <w:rPr>
          <w:color w:val="231F20"/>
          <w:spacing w:val="-21"/>
        </w:rPr>
        <w:t xml:space="preserve"> </w:t>
      </w:r>
      <w:r>
        <w:rPr>
          <w:color w:val="231F20"/>
        </w:rPr>
        <w:t>a</w:t>
      </w:r>
      <w:r>
        <w:rPr>
          <w:color w:val="231F20"/>
          <w:spacing w:val="-21"/>
        </w:rPr>
        <w:t xml:space="preserve"> </w:t>
      </w:r>
      <w:r>
        <w:rPr>
          <w:color w:val="231F20"/>
        </w:rPr>
        <w:t>pojištění</w:t>
      </w:r>
      <w:r>
        <w:rPr>
          <w:color w:val="231F20"/>
          <w:spacing w:val="-20"/>
        </w:rPr>
        <w:t xml:space="preserve"> </w:t>
      </w:r>
      <w:r>
        <w:rPr>
          <w:color w:val="231F20"/>
        </w:rPr>
        <w:t>se</w:t>
      </w:r>
      <w:r>
        <w:rPr>
          <w:color w:val="231F20"/>
          <w:spacing w:val="-21"/>
        </w:rPr>
        <w:t xml:space="preserve"> </w:t>
      </w:r>
      <w:r>
        <w:rPr>
          <w:color w:val="231F20"/>
        </w:rPr>
        <w:t>tak nepřerušuje,</w:t>
      </w:r>
      <w:r>
        <w:rPr>
          <w:color w:val="231F20"/>
          <w:spacing w:val="-7"/>
        </w:rPr>
        <w:t xml:space="preserve"> </w:t>
      </w:r>
      <w:r>
        <w:rPr>
          <w:color w:val="231F20"/>
        </w:rPr>
        <w:t>pokud</w:t>
      </w:r>
      <w:r>
        <w:rPr>
          <w:color w:val="231F20"/>
          <w:spacing w:val="-6"/>
        </w:rPr>
        <w:t xml:space="preserve"> </w:t>
      </w:r>
      <w:r>
        <w:rPr>
          <w:color w:val="231F20"/>
        </w:rPr>
        <w:t>není</w:t>
      </w:r>
      <w:r>
        <w:rPr>
          <w:color w:val="231F20"/>
          <w:spacing w:val="-6"/>
        </w:rPr>
        <w:t xml:space="preserve"> </w:t>
      </w:r>
      <w:r>
        <w:rPr>
          <w:color w:val="231F20"/>
        </w:rPr>
        <w:t>přímo</w:t>
      </w:r>
      <w:r>
        <w:rPr>
          <w:color w:val="231F20"/>
          <w:spacing w:val="-6"/>
        </w:rPr>
        <w:t xml:space="preserve"> </w:t>
      </w:r>
      <w:r>
        <w:rPr>
          <w:color w:val="231F20"/>
        </w:rPr>
        <w:t>v</w:t>
      </w:r>
      <w:r>
        <w:rPr>
          <w:color w:val="231F20"/>
          <w:spacing w:val="-6"/>
        </w:rPr>
        <w:t xml:space="preserve"> </w:t>
      </w:r>
      <w:r>
        <w:rPr>
          <w:color w:val="231F20"/>
        </w:rPr>
        <w:t>pojistné</w:t>
      </w:r>
      <w:r>
        <w:rPr>
          <w:color w:val="231F20"/>
          <w:spacing w:val="-6"/>
        </w:rPr>
        <w:t xml:space="preserve"> </w:t>
      </w:r>
      <w:r>
        <w:rPr>
          <w:color w:val="231F20"/>
        </w:rPr>
        <w:t>smlouvě</w:t>
      </w:r>
      <w:r>
        <w:rPr>
          <w:color w:val="231F20"/>
          <w:spacing w:val="-6"/>
        </w:rPr>
        <w:t xml:space="preserve"> </w:t>
      </w:r>
      <w:r>
        <w:rPr>
          <w:color w:val="231F20"/>
        </w:rPr>
        <w:t>ujednáno</w:t>
      </w:r>
      <w:r>
        <w:rPr>
          <w:color w:val="231F20"/>
          <w:spacing w:val="-6"/>
        </w:rPr>
        <w:t xml:space="preserve"> </w:t>
      </w:r>
      <w:r>
        <w:rPr>
          <w:color w:val="231F20"/>
        </w:rPr>
        <w:t>jinak.</w:t>
      </w:r>
    </w:p>
    <w:p w14:paraId="6D22E0D3" w14:textId="77777777" w:rsidR="00F65BCA" w:rsidRDefault="00216117">
      <w:pPr>
        <w:pStyle w:val="Zkladntext"/>
        <w:spacing w:line="172" w:lineRule="exact"/>
        <w:ind w:left="184"/>
        <w:jc w:val="both"/>
      </w:pPr>
      <w:r>
        <w:rPr>
          <w:color w:val="231F20"/>
          <w:w w:val="105"/>
        </w:rPr>
        <w:t>Zánik pojistné smlouvy</w:t>
      </w:r>
    </w:p>
    <w:p w14:paraId="6E17E680" w14:textId="77777777" w:rsidR="00F65BCA" w:rsidRDefault="00216117">
      <w:pPr>
        <w:pStyle w:val="Zkladntext"/>
        <w:spacing w:before="26" w:line="278" w:lineRule="auto"/>
        <w:ind w:left="468" w:right="424" w:hanging="283"/>
        <w:jc w:val="both"/>
      </w:pPr>
      <w:r>
        <w:rPr>
          <w:color w:val="231F20"/>
          <w:spacing w:val="-22"/>
          <w:position w:val="1"/>
          <w:sz w:val="14"/>
          <w:shd w:val="clear" w:color="auto" w:fill="D1D3D4"/>
        </w:rPr>
        <w:t xml:space="preserve"> </w:t>
      </w:r>
      <w:r>
        <w:rPr>
          <w:color w:val="231F20"/>
          <w:position w:val="1"/>
          <w:sz w:val="14"/>
          <w:shd w:val="clear" w:color="auto" w:fill="D1D3D4"/>
        </w:rPr>
        <w:t>13</w:t>
      </w:r>
      <w:r>
        <w:rPr>
          <w:color w:val="231F20"/>
          <w:spacing w:val="38"/>
          <w:position w:val="1"/>
          <w:sz w:val="14"/>
        </w:rPr>
        <w:t xml:space="preserve"> </w:t>
      </w:r>
      <w:r>
        <w:rPr>
          <w:color w:val="231F20"/>
        </w:rPr>
        <w:t>Pokud</w:t>
      </w:r>
      <w:r>
        <w:rPr>
          <w:color w:val="231F20"/>
          <w:spacing w:val="-12"/>
        </w:rPr>
        <w:t xml:space="preserve"> </w:t>
      </w:r>
      <w:r>
        <w:rPr>
          <w:color w:val="231F20"/>
        </w:rPr>
        <w:t>k</w:t>
      </w:r>
      <w:r>
        <w:rPr>
          <w:color w:val="231F20"/>
          <w:spacing w:val="-12"/>
        </w:rPr>
        <w:t xml:space="preserve"> </w:t>
      </w:r>
      <w:r>
        <w:rPr>
          <w:color w:val="231F20"/>
        </w:rPr>
        <w:t>výročnímu</w:t>
      </w:r>
      <w:r>
        <w:rPr>
          <w:color w:val="231F20"/>
          <w:spacing w:val="-12"/>
        </w:rPr>
        <w:t xml:space="preserve"> </w:t>
      </w:r>
      <w:r>
        <w:rPr>
          <w:color w:val="231F20"/>
        </w:rPr>
        <w:t>dni</w:t>
      </w:r>
      <w:r>
        <w:rPr>
          <w:color w:val="231F20"/>
          <w:spacing w:val="-12"/>
        </w:rPr>
        <w:t xml:space="preserve"> </w:t>
      </w:r>
      <w:r>
        <w:rPr>
          <w:color w:val="231F20"/>
        </w:rPr>
        <w:t>nebude</w:t>
      </w:r>
      <w:r>
        <w:rPr>
          <w:color w:val="231F20"/>
          <w:spacing w:val="-12"/>
        </w:rPr>
        <w:t xml:space="preserve"> </w:t>
      </w:r>
      <w:r>
        <w:rPr>
          <w:color w:val="231F20"/>
        </w:rPr>
        <w:t>v</w:t>
      </w:r>
      <w:r>
        <w:rPr>
          <w:color w:val="231F20"/>
          <w:spacing w:val="-12"/>
        </w:rPr>
        <w:t xml:space="preserve"> </w:t>
      </w:r>
      <w:r>
        <w:rPr>
          <w:color w:val="231F20"/>
        </w:rPr>
        <w:t>pojistné</w:t>
      </w:r>
      <w:r>
        <w:rPr>
          <w:color w:val="231F20"/>
          <w:spacing w:val="-12"/>
        </w:rPr>
        <w:t xml:space="preserve"> </w:t>
      </w:r>
      <w:r>
        <w:rPr>
          <w:color w:val="231F20"/>
        </w:rPr>
        <w:t>smlouvě</w:t>
      </w:r>
      <w:r>
        <w:rPr>
          <w:color w:val="231F20"/>
          <w:spacing w:val="-12"/>
        </w:rPr>
        <w:t xml:space="preserve"> </w:t>
      </w:r>
      <w:r>
        <w:rPr>
          <w:color w:val="231F20"/>
        </w:rPr>
        <w:t>sjednáno</w:t>
      </w:r>
      <w:r>
        <w:rPr>
          <w:color w:val="231F20"/>
          <w:spacing w:val="-12"/>
        </w:rPr>
        <w:t xml:space="preserve"> </w:t>
      </w:r>
      <w:r>
        <w:rPr>
          <w:color w:val="231F20"/>
        </w:rPr>
        <w:t>pojištění</w:t>
      </w:r>
      <w:r>
        <w:rPr>
          <w:color w:val="231F20"/>
          <w:spacing w:val="-12"/>
        </w:rPr>
        <w:t xml:space="preserve"> </w:t>
      </w:r>
      <w:r>
        <w:rPr>
          <w:color w:val="231F20"/>
          <w:spacing w:val="-3"/>
        </w:rPr>
        <w:t xml:space="preserve">alespoň </w:t>
      </w:r>
      <w:r>
        <w:rPr>
          <w:color w:val="231F20"/>
        </w:rPr>
        <w:t>jednoho vozidla, pojistná smlouva</w:t>
      </w:r>
      <w:r>
        <w:rPr>
          <w:color w:val="231F20"/>
          <w:spacing w:val="-7"/>
        </w:rPr>
        <w:t xml:space="preserve"> </w:t>
      </w:r>
      <w:r>
        <w:rPr>
          <w:color w:val="231F20"/>
        </w:rPr>
        <w:t>zaniká.</w:t>
      </w:r>
    </w:p>
    <w:p w14:paraId="25F2B36A" w14:textId="77777777" w:rsidR="00F65BCA" w:rsidRDefault="00216117">
      <w:pPr>
        <w:pStyle w:val="Zkladntext"/>
        <w:ind w:left="184"/>
        <w:jc w:val="both"/>
      </w:pPr>
      <w:r>
        <w:rPr>
          <w:color w:val="231F20"/>
          <w:w w:val="105"/>
        </w:rPr>
        <w:t>Zánik pojištění jednotlivých vozidel</w:t>
      </w:r>
    </w:p>
    <w:p w14:paraId="6AD9A72C" w14:textId="77777777" w:rsidR="00F65BCA" w:rsidRDefault="00216117">
      <w:pPr>
        <w:pStyle w:val="Zkladntext"/>
        <w:spacing w:before="27" w:line="278" w:lineRule="auto"/>
        <w:ind w:left="468" w:right="424" w:hanging="283"/>
        <w:jc w:val="both"/>
      </w:pPr>
      <w:r>
        <w:rPr>
          <w:color w:val="231F20"/>
          <w:spacing w:val="-22"/>
          <w:position w:val="1"/>
          <w:sz w:val="14"/>
          <w:shd w:val="clear" w:color="auto" w:fill="D1D3D4"/>
        </w:rPr>
        <w:t xml:space="preserve"> </w:t>
      </w:r>
      <w:r>
        <w:rPr>
          <w:color w:val="231F20"/>
          <w:position w:val="1"/>
          <w:sz w:val="14"/>
          <w:shd w:val="clear" w:color="auto" w:fill="D1D3D4"/>
        </w:rPr>
        <w:t>14</w:t>
      </w:r>
      <w:r>
        <w:rPr>
          <w:color w:val="231F20"/>
          <w:spacing w:val="17"/>
          <w:position w:val="1"/>
          <w:sz w:val="14"/>
        </w:rPr>
        <w:t xml:space="preserve"> </w:t>
      </w:r>
      <w:r>
        <w:rPr>
          <w:color w:val="231F20"/>
        </w:rPr>
        <w:t>Důvody</w:t>
      </w:r>
      <w:r>
        <w:rPr>
          <w:color w:val="231F20"/>
          <w:spacing w:val="-23"/>
        </w:rPr>
        <w:t xml:space="preserve"> </w:t>
      </w:r>
      <w:r>
        <w:rPr>
          <w:color w:val="231F20"/>
        </w:rPr>
        <w:t>a</w:t>
      </w:r>
      <w:r>
        <w:rPr>
          <w:color w:val="231F20"/>
          <w:spacing w:val="-23"/>
        </w:rPr>
        <w:t xml:space="preserve"> </w:t>
      </w:r>
      <w:r>
        <w:rPr>
          <w:color w:val="231F20"/>
        </w:rPr>
        <w:t>podmínky</w:t>
      </w:r>
      <w:r>
        <w:rPr>
          <w:color w:val="231F20"/>
          <w:spacing w:val="-23"/>
        </w:rPr>
        <w:t xml:space="preserve"> </w:t>
      </w:r>
      <w:r>
        <w:rPr>
          <w:color w:val="231F20"/>
        </w:rPr>
        <w:t>zániky</w:t>
      </w:r>
      <w:r>
        <w:rPr>
          <w:color w:val="231F20"/>
          <w:spacing w:val="-23"/>
        </w:rPr>
        <w:t xml:space="preserve"> </w:t>
      </w:r>
      <w:r>
        <w:rPr>
          <w:color w:val="231F20"/>
        </w:rPr>
        <w:t>–</w:t>
      </w:r>
      <w:r>
        <w:rPr>
          <w:color w:val="231F20"/>
          <w:spacing w:val="-24"/>
        </w:rPr>
        <w:t xml:space="preserve"> </w:t>
      </w:r>
      <w:r>
        <w:rPr>
          <w:color w:val="231F20"/>
        </w:rPr>
        <w:t>právní</w:t>
      </w:r>
      <w:r>
        <w:rPr>
          <w:color w:val="231F20"/>
          <w:spacing w:val="-23"/>
        </w:rPr>
        <w:t xml:space="preserve"> </w:t>
      </w:r>
      <w:r>
        <w:rPr>
          <w:color w:val="231F20"/>
        </w:rPr>
        <w:t>pojištění</w:t>
      </w:r>
      <w:r>
        <w:rPr>
          <w:color w:val="231F20"/>
          <w:spacing w:val="-23"/>
        </w:rPr>
        <w:t xml:space="preserve"> </w:t>
      </w:r>
      <w:r>
        <w:rPr>
          <w:color w:val="231F20"/>
        </w:rPr>
        <w:t>stanoví</w:t>
      </w:r>
      <w:r>
        <w:rPr>
          <w:color w:val="231F20"/>
          <w:spacing w:val="-23"/>
        </w:rPr>
        <w:t xml:space="preserve"> </w:t>
      </w:r>
      <w:r>
        <w:rPr>
          <w:color w:val="231F20"/>
        </w:rPr>
        <w:t>ZPOV</w:t>
      </w:r>
      <w:r>
        <w:rPr>
          <w:color w:val="231F20"/>
          <w:spacing w:val="-23"/>
        </w:rPr>
        <w:t xml:space="preserve"> </w:t>
      </w:r>
      <w:r>
        <w:rPr>
          <w:color w:val="231F20"/>
        </w:rPr>
        <w:t>a</w:t>
      </w:r>
      <w:r>
        <w:rPr>
          <w:color w:val="231F20"/>
          <w:spacing w:val="-23"/>
        </w:rPr>
        <w:t xml:space="preserve"> </w:t>
      </w:r>
      <w:r>
        <w:rPr>
          <w:color w:val="231F20"/>
        </w:rPr>
        <w:t>zákoník.</w:t>
      </w:r>
      <w:r>
        <w:rPr>
          <w:color w:val="231F20"/>
          <w:spacing w:val="-23"/>
        </w:rPr>
        <w:t xml:space="preserve"> </w:t>
      </w:r>
      <w:r>
        <w:rPr>
          <w:color w:val="231F20"/>
        </w:rPr>
        <w:t>Pojištění zaniká</w:t>
      </w:r>
      <w:r>
        <w:rPr>
          <w:color w:val="231F20"/>
          <w:spacing w:val="-1"/>
        </w:rPr>
        <w:t xml:space="preserve"> </w:t>
      </w:r>
      <w:r>
        <w:rPr>
          <w:color w:val="231F20"/>
        </w:rPr>
        <w:t>zejména:</w:t>
      </w:r>
    </w:p>
    <w:p w14:paraId="3AEF2FA2" w14:textId="77777777" w:rsidR="00F65BCA" w:rsidRDefault="00216117">
      <w:pPr>
        <w:pStyle w:val="Odstavecseseznamem"/>
        <w:numPr>
          <w:ilvl w:val="0"/>
          <w:numId w:val="7"/>
        </w:numPr>
        <w:tabs>
          <w:tab w:val="left" w:pos="639"/>
        </w:tabs>
        <w:jc w:val="both"/>
        <w:rPr>
          <w:sz w:val="15"/>
        </w:rPr>
      </w:pPr>
      <w:r>
        <w:rPr>
          <w:color w:val="231F20"/>
          <w:sz w:val="15"/>
        </w:rPr>
        <w:t xml:space="preserve">uplynutím </w:t>
      </w:r>
      <w:r>
        <w:rPr>
          <w:color w:val="231F20"/>
          <w:spacing w:val="-3"/>
          <w:sz w:val="15"/>
        </w:rPr>
        <w:t xml:space="preserve">doby, </w:t>
      </w:r>
      <w:r>
        <w:rPr>
          <w:color w:val="231F20"/>
          <w:sz w:val="15"/>
        </w:rPr>
        <w:t>na kterou bylo pojištění</w:t>
      </w:r>
      <w:r>
        <w:rPr>
          <w:color w:val="231F20"/>
          <w:spacing w:val="-9"/>
          <w:sz w:val="15"/>
        </w:rPr>
        <w:t xml:space="preserve"> </w:t>
      </w:r>
      <w:r>
        <w:rPr>
          <w:color w:val="231F20"/>
          <w:sz w:val="15"/>
        </w:rPr>
        <w:t>sjednáno;</w:t>
      </w:r>
    </w:p>
    <w:p w14:paraId="05031C04" w14:textId="77777777" w:rsidR="00F65BCA" w:rsidRDefault="00216117">
      <w:pPr>
        <w:pStyle w:val="Odstavecseseznamem"/>
        <w:numPr>
          <w:ilvl w:val="0"/>
          <w:numId w:val="7"/>
        </w:numPr>
        <w:tabs>
          <w:tab w:val="left" w:pos="639"/>
        </w:tabs>
        <w:spacing w:before="28" w:line="278" w:lineRule="auto"/>
        <w:ind w:right="424"/>
        <w:jc w:val="both"/>
        <w:rPr>
          <w:sz w:val="15"/>
        </w:rPr>
      </w:pPr>
      <w:r>
        <w:rPr>
          <w:color w:val="231F20"/>
          <w:sz w:val="15"/>
        </w:rPr>
        <w:t>dnem,</w:t>
      </w:r>
      <w:r>
        <w:rPr>
          <w:color w:val="231F20"/>
          <w:spacing w:val="-5"/>
          <w:sz w:val="15"/>
        </w:rPr>
        <w:t xml:space="preserve"> </w:t>
      </w:r>
      <w:r>
        <w:rPr>
          <w:color w:val="231F20"/>
          <w:sz w:val="15"/>
        </w:rPr>
        <w:t>kdy</w:t>
      </w:r>
      <w:r>
        <w:rPr>
          <w:color w:val="231F20"/>
          <w:spacing w:val="-5"/>
          <w:sz w:val="15"/>
        </w:rPr>
        <w:t xml:space="preserve"> </w:t>
      </w:r>
      <w:r>
        <w:rPr>
          <w:color w:val="231F20"/>
          <w:sz w:val="15"/>
        </w:rPr>
        <w:t>vozidlo,</w:t>
      </w:r>
      <w:r>
        <w:rPr>
          <w:color w:val="231F20"/>
          <w:spacing w:val="-4"/>
          <w:sz w:val="15"/>
        </w:rPr>
        <w:t xml:space="preserve"> </w:t>
      </w:r>
      <w:r>
        <w:rPr>
          <w:color w:val="231F20"/>
          <w:sz w:val="15"/>
        </w:rPr>
        <w:t>které</w:t>
      </w:r>
      <w:r>
        <w:rPr>
          <w:color w:val="231F20"/>
          <w:spacing w:val="-5"/>
          <w:sz w:val="15"/>
        </w:rPr>
        <w:t xml:space="preserve"> </w:t>
      </w:r>
      <w:r>
        <w:rPr>
          <w:color w:val="231F20"/>
          <w:sz w:val="15"/>
        </w:rPr>
        <w:t>nepodléhá</w:t>
      </w:r>
      <w:r>
        <w:rPr>
          <w:color w:val="231F20"/>
          <w:spacing w:val="-4"/>
          <w:sz w:val="15"/>
        </w:rPr>
        <w:t xml:space="preserve"> </w:t>
      </w:r>
      <w:r>
        <w:rPr>
          <w:color w:val="231F20"/>
          <w:sz w:val="15"/>
        </w:rPr>
        <w:t>registraci</w:t>
      </w:r>
      <w:r>
        <w:rPr>
          <w:color w:val="231F20"/>
          <w:spacing w:val="-5"/>
          <w:sz w:val="15"/>
        </w:rPr>
        <w:t xml:space="preserve"> </w:t>
      </w:r>
      <w:r>
        <w:rPr>
          <w:color w:val="231F20"/>
          <w:sz w:val="15"/>
        </w:rPr>
        <w:t>vozidel,</w:t>
      </w:r>
      <w:r>
        <w:rPr>
          <w:color w:val="231F20"/>
          <w:spacing w:val="-4"/>
          <w:sz w:val="15"/>
        </w:rPr>
        <w:t xml:space="preserve"> </w:t>
      </w:r>
      <w:r>
        <w:rPr>
          <w:color w:val="231F20"/>
          <w:sz w:val="15"/>
        </w:rPr>
        <w:t>zaniklo;</w:t>
      </w:r>
      <w:r>
        <w:rPr>
          <w:color w:val="231F20"/>
          <w:spacing w:val="-5"/>
          <w:sz w:val="15"/>
        </w:rPr>
        <w:t xml:space="preserve"> </w:t>
      </w:r>
      <w:r>
        <w:rPr>
          <w:color w:val="231F20"/>
          <w:sz w:val="15"/>
        </w:rPr>
        <w:t>vozidlo</w:t>
      </w:r>
      <w:r>
        <w:rPr>
          <w:color w:val="231F20"/>
          <w:spacing w:val="-4"/>
          <w:sz w:val="15"/>
        </w:rPr>
        <w:t xml:space="preserve"> </w:t>
      </w:r>
      <w:r>
        <w:rPr>
          <w:color w:val="231F20"/>
          <w:spacing w:val="-6"/>
          <w:sz w:val="15"/>
        </w:rPr>
        <w:t xml:space="preserve">za- </w:t>
      </w:r>
      <w:r>
        <w:rPr>
          <w:color w:val="231F20"/>
          <w:sz w:val="15"/>
        </w:rPr>
        <w:t>nikne</w:t>
      </w:r>
      <w:r>
        <w:rPr>
          <w:color w:val="231F20"/>
          <w:spacing w:val="-15"/>
          <w:sz w:val="15"/>
        </w:rPr>
        <w:t xml:space="preserve"> </w:t>
      </w:r>
      <w:r>
        <w:rPr>
          <w:color w:val="231F20"/>
          <w:sz w:val="15"/>
        </w:rPr>
        <w:t>okamžikem,</w:t>
      </w:r>
      <w:r>
        <w:rPr>
          <w:color w:val="231F20"/>
          <w:spacing w:val="-15"/>
          <w:sz w:val="15"/>
        </w:rPr>
        <w:t xml:space="preserve"> </w:t>
      </w:r>
      <w:r>
        <w:rPr>
          <w:color w:val="231F20"/>
          <w:sz w:val="15"/>
        </w:rPr>
        <w:t>kdy</w:t>
      </w:r>
      <w:r>
        <w:rPr>
          <w:color w:val="231F20"/>
          <w:spacing w:val="-15"/>
          <w:sz w:val="15"/>
        </w:rPr>
        <w:t xml:space="preserve"> </w:t>
      </w:r>
      <w:r>
        <w:rPr>
          <w:color w:val="231F20"/>
          <w:sz w:val="15"/>
        </w:rPr>
        <w:t>nastane</w:t>
      </w:r>
      <w:r>
        <w:rPr>
          <w:color w:val="231F20"/>
          <w:spacing w:val="-15"/>
          <w:sz w:val="15"/>
        </w:rPr>
        <w:t xml:space="preserve"> </w:t>
      </w:r>
      <w:r>
        <w:rPr>
          <w:color w:val="231F20"/>
          <w:sz w:val="15"/>
        </w:rPr>
        <w:t>nevratná</w:t>
      </w:r>
      <w:r>
        <w:rPr>
          <w:color w:val="231F20"/>
          <w:spacing w:val="-15"/>
          <w:sz w:val="15"/>
        </w:rPr>
        <w:t xml:space="preserve"> </w:t>
      </w:r>
      <w:r>
        <w:rPr>
          <w:color w:val="231F20"/>
          <w:sz w:val="15"/>
        </w:rPr>
        <w:t>změna</w:t>
      </w:r>
      <w:r>
        <w:rPr>
          <w:color w:val="231F20"/>
          <w:spacing w:val="-15"/>
          <w:sz w:val="15"/>
        </w:rPr>
        <w:t xml:space="preserve"> </w:t>
      </w:r>
      <w:r>
        <w:rPr>
          <w:color w:val="231F20"/>
          <w:sz w:val="15"/>
        </w:rPr>
        <w:t>znemožňující</w:t>
      </w:r>
      <w:r>
        <w:rPr>
          <w:color w:val="231F20"/>
          <w:spacing w:val="-14"/>
          <w:sz w:val="15"/>
        </w:rPr>
        <w:t xml:space="preserve"> </w:t>
      </w:r>
      <w:r>
        <w:rPr>
          <w:color w:val="231F20"/>
          <w:sz w:val="15"/>
        </w:rPr>
        <w:t>jeho</w:t>
      </w:r>
      <w:r>
        <w:rPr>
          <w:color w:val="231F20"/>
          <w:spacing w:val="-15"/>
          <w:sz w:val="15"/>
        </w:rPr>
        <w:t xml:space="preserve"> </w:t>
      </w:r>
      <w:r>
        <w:rPr>
          <w:color w:val="231F20"/>
          <w:spacing w:val="-3"/>
          <w:sz w:val="15"/>
        </w:rPr>
        <w:t xml:space="preserve">provoz. </w:t>
      </w:r>
      <w:r>
        <w:rPr>
          <w:color w:val="231F20"/>
          <w:sz w:val="15"/>
        </w:rPr>
        <w:t>Zničení</w:t>
      </w:r>
      <w:r>
        <w:rPr>
          <w:color w:val="231F20"/>
          <w:spacing w:val="-7"/>
          <w:sz w:val="15"/>
        </w:rPr>
        <w:t xml:space="preserve"> </w:t>
      </w:r>
      <w:r>
        <w:rPr>
          <w:color w:val="231F20"/>
          <w:sz w:val="15"/>
        </w:rPr>
        <w:t>vozidla</w:t>
      </w:r>
      <w:r>
        <w:rPr>
          <w:color w:val="231F20"/>
          <w:spacing w:val="-7"/>
          <w:sz w:val="15"/>
        </w:rPr>
        <w:t xml:space="preserve"> </w:t>
      </w:r>
      <w:r>
        <w:rPr>
          <w:color w:val="231F20"/>
          <w:sz w:val="15"/>
        </w:rPr>
        <w:t>má</w:t>
      </w:r>
      <w:r>
        <w:rPr>
          <w:color w:val="231F20"/>
          <w:spacing w:val="-7"/>
          <w:sz w:val="15"/>
        </w:rPr>
        <w:t xml:space="preserve"> </w:t>
      </w:r>
      <w:r>
        <w:rPr>
          <w:color w:val="231F20"/>
          <w:sz w:val="15"/>
        </w:rPr>
        <w:t>pojistník</w:t>
      </w:r>
      <w:r>
        <w:rPr>
          <w:color w:val="231F20"/>
          <w:spacing w:val="-7"/>
          <w:sz w:val="15"/>
        </w:rPr>
        <w:t xml:space="preserve"> </w:t>
      </w:r>
      <w:r>
        <w:rPr>
          <w:color w:val="231F20"/>
          <w:sz w:val="15"/>
        </w:rPr>
        <w:t>povinnost</w:t>
      </w:r>
      <w:r>
        <w:rPr>
          <w:color w:val="231F20"/>
          <w:spacing w:val="-7"/>
          <w:sz w:val="15"/>
        </w:rPr>
        <w:t xml:space="preserve"> </w:t>
      </w:r>
      <w:r>
        <w:rPr>
          <w:color w:val="231F20"/>
          <w:sz w:val="15"/>
        </w:rPr>
        <w:t>ihned</w:t>
      </w:r>
      <w:r>
        <w:rPr>
          <w:color w:val="231F20"/>
          <w:spacing w:val="-7"/>
          <w:sz w:val="15"/>
        </w:rPr>
        <w:t xml:space="preserve"> </w:t>
      </w:r>
      <w:r>
        <w:rPr>
          <w:color w:val="231F20"/>
          <w:sz w:val="15"/>
        </w:rPr>
        <w:t>písemně</w:t>
      </w:r>
      <w:r>
        <w:rPr>
          <w:color w:val="231F20"/>
          <w:spacing w:val="-7"/>
          <w:sz w:val="15"/>
        </w:rPr>
        <w:t xml:space="preserve"> </w:t>
      </w:r>
      <w:r>
        <w:rPr>
          <w:color w:val="231F20"/>
          <w:sz w:val="15"/>
        </w:rPr>
        <w:t>oznámit</w:t>
      </w:r>
      <w:r>
        <w:rPr>
          <w:color w:val="231F20"/>
          <w:spacing w:val="-6"/>
          <w:sz w:val="15"/>
        </w:rPr>
        <w:t xml:space="preserve"> </w:t>
      </w:r>
      <w:r>
        <w:rPr>
          <w:color w:val="231F20"/>
          <w:sz w:val="15"/>
        </w:rPr>
        <w:t xml:space="preserve">Pojišťovně a doložit </w:t>
      </w:r>
      <w:r>
        <w:rPr>
          <w:color w:val="231F20"/>
          <w:spacing w:val="-3"/>
          <w:sz w:val="15"/>
        </w:rPr>
        <w:t xml:space="preserve">(např. </w:t>
      </w:r>
      <w:r>
        <w:rPr>
          <w:color w:val="231F20"/>
          <w:sz w:val="15"/>
        </w:rPr>
        <w:t>protokolem od</w:t>
      </w:r>
      <w:r>
        <w:rPr>
          <w:color w:val="231F20"/>
          <w:spacing w:val="-4"/>
          <w:sz w:val="15"/>
        </w:rPr>
        <w:t xml:space="preserve"> </w:t>
      </w:r>
      <w:r>
        <w:rPr>
          <w:color w:val="231F20"/>
          <w:sz w:val="15"/>
        </w:rPr>
        <w:t>policie);</w:t>
      </w:r>
    </w:p>
    <w:p w14:paraId="635687D6" w14:textId="77777777" w:rsidR="00F65BCA" w:rsidRDefault="00216117">
      <w:pPr>
        <w:pStyle w:val="Odstavecseseznamem"/>
        <w:numPr>
          <w:ilvl w:val="0"/>
          <w:numId w:val="7"/>
        </w:numPr>
        <w:tabs>
          <w:tab w:val="left" w:pos="639"/>
        </w:tabs>
        <w:spacing w:line="278" w:lineRule="auto"/>
        <w:ind w:right="423"/>
        <w:jc w:val="both"/>
        <w:rPr>
          <w:sz w:val="15"/>
        </w:rPr>
      </w:pPr>
      <w:r>
        <w:rPr>
          <w:color w:val="231F20"/>
          <w:sz w:val="15"/>
        </w:rPr>
        <w:t>dnem</w:t>
      </w:r>
      <w:r>
        <w:rPr>
          <w:color w:val="231F20"/>
          <w:spacing w:val="-14"/>
          <w:sz w:val="15"/>
        </w:rPr>
        <w:t xml:space="preserve"> </w:t>
      </w:r>
      <w:r>
        <w:rPr>
          <w:color w:val="231F20"/>
          <w:sz w:val="15"/>
        </w:rPr>
        <w:t>vyřazení</w:t>
      </w:r>
      <w:r>
        <w:rPr>
          <w:color w:val="231F20"/>
          <w:spacing w:val="-13"/>
          <w:sz w:val="15"/>
        </w:rPr>
        <w:t xml:space="preserve"> </w:t>
      </w:r>
      <w:r>
        <w:rPr>
          <w:color w:val="231F20"/>
          <w:sz w:val="15"/>
        </w:rPr>
        <w:t>vozidla</w:t>
      </w:r>
      <w:r>
        <w:rPr>
          <w:color w:val="231F20"/>
          <w:spacing w:val="-13"/>
          <w:sz w:val="15"/>
        </w:rPr>
        <w:t xml:space="preserve"> </w:t>
      </w:r>
      <w:r>
        <w:rPr>
          <w:color w:val="231F20"/>
          <w:sz w:val="15"/>
        </w:rPr>
        <w:t>z</w:t>
      </w:r>
      <w:r>
        <w:rPr>
          <w:color w:val="231F20"/>
          <w:spacing w:val="-13"/>
          <w:sz w:val="15"/>
        </w:rPr>
        <w:t xml:space="preserve"> </w:t>
      </w:r>
      <w:r>
        <w:rPr>
          <w:color w:val="231F20"/>
          <w:sz w:val="15"/>
        </w:rPr>
        <w:t>provozu</w:t>
      </w:r>
      <w:r>
        <w:rPr>
          <w:color w:val="231F20"/>
          <w:spacing w:val="-13"/>
          <w:sz w:val="15"/>
        </w:rPr>
        <w:t xml:space="preserve"> </w:t>
      </w:r>
      <w:r>
        <w:rPr>
          <w:color w:val="231F20"/>
          <w:sz w:val="15"/>
        </w:rPr>
        <w:t>podle</w:t>
      </w:r>
      <w:r>
        <w:rPr>
          <w:color w:val="231F20"/>
          <w:spacing w:val="-13"/>
          <w:sz w:val="15"/>
        </w:rPr>
        <w:t xml:space="preserve"> </w:t>
      </w:r>
      <w:r>
        <w:rPr>
          <w:color w:val="231F20"/>
          <w:sz w:val="15"/>
        </w:rPr>
        <w:t>zákona</w:t>
      </w:r>
      <w:r>
        <w:rPr>
          <w:color w:val="231F20"/>
          <w:spacing w:val="-14"/>
          <w:sz w:val="15"/>
        </w:rPr>
        <w:t xml:space="preserve"> </w:t>
      </w:r>
      <w:r>
        <w:rPr>
          <w:color w:val="231F20"/>
          <w:sz w:val="15"/>
        </w:rPr>
        <w:t>o</w:t>
      </w:r>
      <w:r>
        <w:rPr>
          <w:color w:val="231F20"/>
          <w:spacing w:val="-13"/>
          <w:sz w:val="15"/>
        </w:rPr>
        <w:t xml:space="preserve"> </w:t>
      </w:r>
      <w:r>
        <w:rPr>
          <w:color w:val="231F20"/>
          <w:sz w:val="15"/>
        </w:rPr>
        <w:t>podmínkách</w:t>
      </w:r>
      <w:r>
        <w:rPr>
          <w:color w:val="231F20"/>
          <w:spacing w:val="-13"/>
          <w:sz w:val="15"/>
        </w:rPr>
        <w:t xml:space="preserve"> </w:t>
      </w:r>
      <w:r>
        <w:rPr>
          <w:color w:val="231F20"/>
          <w:sz w:val="15"/>
        </w:rPr>
        <w:t>provozu</w:t>
      </w:r>
      <w:r>
        <w:rPr>
          <w:color w:val="231F20"/>
          <w:spacing w:val="-13"/>
          <w:sz w:val="15"/>
        </w:rPr>
        <w:t xml:space="preserve"> </w:t>
      </w:r>
      <w:r>
        <w:rPr>
          <w:color w:val="231F20"/>
          <w:sz w:val="15"/>
        </w:rPr>
        <w:t>vo- zidel</w:t>
      </w:r>
      <w:r>
        <w:rPr>
          <w:color w:val="231F20"/>
          <w:spacing w:val="-14"/>
          <w:sz w:val="15"/>
        </w:rPr>
        <w:t xml:space="preserve"> </w:t>
      </w:r>
      <w:r>
        <w:rPr>
          <w:color w:val="231F20"/>
          <w:sz w:val="15"/>
        </w:rPr>
        <w:t>na</w:t>
      </w:r>
      <w:r>
        <w:rPr>
          <w:color w:val="231F20"/>
          <w:spacing w:val="-13"/>
          <w:sz w:val="15"/>
        </w:rPr>
        <w:t xml:space="preserve"> </w:t>
      </w:r>
      <w:r>
        <w:rPr>
          <w:color w:val="231F20"/>
          <w:sz w:val="15"/>
        </w:rPr>
        <w:t>pozemních</w:t>
      </w:r>
      <w:r>
        <w:rPr>
          <w:color w:val="231F20"/>
          <w:spacing w:val="-13"/>
          <w:sz w:val="15"/>
        </w:rPr>
        <w:t xml:space="preserve"> </w:t>
      </w:r>
      <w:r>
        <w:rPr>
          <w:color w:val="231F20"/>
          <w:sz w:val="15"/>
        </w:rPr>
        <w:t>komunikacích</w:t>
      </w:r>
      <w:r>
        <w:rPr>
          <w:color w:val="231F20"/>
          <w:spacing w:val="-14"/>
          <w:sz w:val="15"/>
        </w:rPr>
        <w:t xml:space="preserve"> </w:t>
      </w:r>
      <w:r>
        <w:rPr>
          <w:color w:val="231F20"/>
          <w:sz w:val="15"/>
        </w:rPr>
        <w:t>či</w:t>
      </w:r>
      <w:r>
        <w:rPr>
          <w:color w:val="231F20"/>
          <w:spacing w:val="-13"/>
          <w:sz w:val="15"/>
        </w:rPr>
        <w:t xml:space="preserve"> </w:t>
      </w:r>
      <w:r>
        <w:rPr>
          <w:color w:val="231F20"/>
          <w:sz w:val="15"/>
        </w:rPr>
        <w:t>dnem</w:t>
      </w:r>
      <w:r>
        <w:rPr>
          <w:color w:val="231F20"/>
          <w:spacing w:val="-13"/>
          <w:sz w:val="15"/>
        </w:rPr>
        <w:t xml:space="preserve"> </w:t>
      </w:r>
      <w:r>
        <w:rPr>
          <w:color w:val="231F20"/>
          <w:sz w:val="15"/>
        </w:rPr>
        <w:t>zápisu</w:t>
      </w:r>
      <w:r>
        <w:rPr>
          <w:color w:val="231F20"/>
          <w:spacing w:val="-13"/>
          <w:sz w:val="15"/>
        </w:rPr>
        <w:t xml:space="preserve"> </w:t>
      </w:r>
      <w:r>
        <w:rPr>
          <w:color w:val="231F20"/>
          <w:sz w:val="15"/>
        </w:rPr>
        <w:t>zániku</w:t>
      </w:r>
      <w:r>
        <w:rPr>
          <w:color w:val="231F20"/>
          <w:spacing w:val="-14"/>
          <w:sz w:val="15"/>
        </w:rPr>
        <w:t xml:space="preserve"> </w:t>
      </w:r>
      <w:r>
        <w:rPr>
          <w:color w:val="231F20"/>
          <w:sz w:val="15"/>
        </w:rPr>
        <w:t>vozidla</w:t>
      </w:r>
      <w:r>
        <w:rPr>
          <w:color w:val="231F20"/>
          <w:spacing w:val="-13"/>
          <w:sz w:val="15"/>
        </w:rPr>
        <w:t xml:space="preserve"> </w:t>
      </w:r>
      <w:r>
        <w:rPr>
          <w:color w:val="231F20"/>
          <w:sz w:val="15"/>
        </w:rPr>
        <w:t>v</w:t>
      </w:r>
      <w:r>
        <w:rPr>
          <w:color w:val="231F20"/>
          <w:spacing w:val="-13"/>
          <w:sz w:val="15"/>
        </w:rPr>
        <w:t xml:space="preserve"> </w:t>
      </w:r>
      <w:r>
        <w:rPr>
          <w:color w:val="231F20"/>
          <w:sz w:val="15"/>
        </w:rPr>
        <w:t xml:space="preserve">registru silničních vozidel; pokud pojistník vůči Pojišťovně projeví vůli, že má na </w:t>
      </w:r>
      <w:r>
        <w:rPr>
          <w:color w:val="231F20"/>
          <w:w w:val="95"/>
          <w:sz w:val="15"/>
        </w:rPr>
        <w:t>pokračování</w:t>
      </w:r>
      <w:r>
        <w:rPr>
          <w:color w:val="231F20"/>
          <w:spacing w:val="-5"/>
          <w:w w:val="95"/>
          <w:sz w:val="15"/>
        </w:rPr>
        <w:t xml:space="preserve"> </w:t>
      </w:r>
      <w:r>
        <w:rPr>
          <w:color w:val="231F20"/>
          <w:w w:val="95"/>
          <w:sz w:val="15"/>
        </w:rPr>
        <w:t>havarijního</w:t>
      </w:r>
      <w:r>
        <w:rPr>
          <w:color w:val="231F20"/>
          <w:spacing w:val="-5"/>
          <w:w w:val="95"/>
          <w:sz w:val="15"/>
        </w:rPr>
        <w:t xml:space="preserve"> </w:t>
      </w:r>
      <w:r>
        <w:rPr>
          <w:color w:val="231F20"/>
          <w:w w:val="95"/>
          <w:sz w:val="15"/>
        </w:rPr>
        <w:t>pojištění,</w:t>
      </w:r>
      <w:r>
        <w:rPr>
          <w:color w:val="231F20"/>
          <w:spacing w:val="-5"/>
          <w:w w:val="95"/>
          <w:sz w:val="15"/>
        </w:rPr>
        <w:t xml:space="preserve"> </w:t>
      </w:r>
      <w:r>
        <w:rPr>
          <w:color w:val="231F20"/>
          <w:w w:val="95"/>
          <w:sz w:val="15"/>
        </w:rPr>
        <w:t>vyřazením</w:t>
      </w:r>
      <w:r>
        <w:rPr>
          <w:color w:val="231F20"/>
          <w:spacing w:val="-4"/>
          <w:w w:val="95"/>
          <w:sz w:val="15"/>
        </w:rPr>
        <w:t xml:space="preserve"> </w:t>
      </w:r>
      <w:r>
        <w:rPr>
          <w:color w:val="231F20"/>
          <w:w w:val="95"/>
          <w:sz w:val="15"/>
        </w:rPr>
        <w:t>vozidla</w:t>
      </w:r>
      <w:r>
        <w:rPr>
          <w:color w:val="231F20"/>
          <w:spacing w:val="-5"/>
          <w:w w:val="95"/>
          <w:sz w:val="15"/>
        </w:rPr>
        <w:t xml:space="preserve"> </w:t>
      </w:r>
      <w:r>
        <w:rPr>
          <w:color w:val="231F20"/>
          <w:w w:val="95"/>
          <w:sz w:val="15"/>
        </w:rPr>
        <w:t>havarijní</w:t>
      </w:r>
      <w:r>
        <w:rPr>
          <w:color w:val="231F20"/>
          <w:spacing w:val="-5"/>
          <w:w w:val="95"/>
          <w:sz w:val="15"/>
        </w:rPr>
        <w:t xml:space="preserve"> </w:t>
      </w:r>
      <w:r>
        <w:rPr>
          <w:color w:val="231F20"/>
          <w:w w:val="95"/>
          <w:sz w:val="15"/>
        </w:rPr>
        <w:t>pojištění</w:t>
      </w:r>
      <w:r>
        <w:rPr>
          <w:color w:val="231F20"/>
          <w:spacing w:val="-5"/>
          <w:w w:val="95"/>
          <w:sz w:val="15"/>
        </w:rPr>
        <w:t xml:space="preserve"> </w:t>
      </w:r>
      <w:r>
        <w:rPr>
          <w:color w:val="231F20"/>
          <w:w w:val="95"/>
          <w:sz w:val="15"/>
        </w:rPr>
        <w:t xml:space="preserve">neza- </w:t>
      </w:r>
      <w:r>
        <w:rPr>
          <w:color w:val="231F20"/>
          <w:sz w:val="15"/>
        </w:rPr>
        <w:t>niká.</w:t>
      </w:r>
      <w:r>
        <w:rPr>
          <w:color w:val="231F20"/>
          <w:spacing w:val="-30"/>
          <w:sz w:val="15"/>
        </w:rPr>
        <w:t xml:space="preserve"> </w:t>
      </w:r>
      <w:r>
        <w:rPr>
          <w:color w:val="231F20"/>
          <w:sz w:val="15"/>
        </w:rPr>
        <w:t>Vyřazení</w:t>
      </w:r>
      <w:r>
        <w:rPr>
          <w:color w:val="231F20"/>
          <w:spacing w:val="-30"/>
          <w:sz w:val="15"/>
        </w:rPr>
        <w:t xml:space="preserve"> </w:t>
      </w:r>
      <w:r>
        <w:rPr>
          <w:color w:val="231F20"/>
          <w:sz w:val="15"/>
        </w:rPr>
        <w:t>vozidla</w:t>
      </w:r>
      <w:r>
        <w:rPr>
          <w:color w:val="231F20"/>
          <w:spacing w:val="-29"/>
          <w:sz w:val="15"/>
        </w:rPr>
        <w:t xml:space="preserve"> </w:t>
      </w:r>
      <w:r>
        <w:rPr>
          <w:color w:val="231F20"/>
          <w:sz w:val="15"/>
        </w:rPr>
        <w:t>a</w:t>
      </w:r>
      <w:r>
        <w:rPr>
          <w:color w:val="231F20"/>
          <w:spacing w:val="-30"/>
          <w:sz w:val="15"/>
        </w:rPr>
        <w:t xml:space="preserve"> </w:t>
      </w:r>
      <w:r>
        <w:rPr>
          <w:color w:val="231F20"/>
          <w:sz w:val="15"/>
        </w:rPr>
        <w:t>zápis</w:t>
      </w:r>
      <w:r>
        <w:rPr>
          <w:color w:val="231F20"/>
          <w:spacing w:val="-30"/>
          <w:sz w:val="15"/>
        </w:rPr>
        <w:t xml:space="preserve"> </w:t>
      </w:r>
      <w:r>
        <w:rPr>
          <w:color w:val="231F20"/>
          <w:sz w:val="15"/>
        </w:rPr>
        <w:t>zániku</w:t>
      </w:r>
      <w:r>
        <w:rPr>
          <w:color w:val="231F20"/>
          <w:spacing w:val="-29"/>
          <w:sz w:val="15"/>
        </w:rPr>
        <w:t xml:space="preserve"> </w:t>
      </w:r>
      <w:r>
        <w:rPr>
          <w:color w:val="231F20"/>
          <w:sz w:val="15"/>
        </w:rPr>
        <w:t>vozidla</w:t>
      </w:r>
      <w:r>
        <w:rPr>
          <w:color w:val="231F20"/>
          <w:spacing w:val="-30"/>
          <w:sz w:val="15"/>
        </w:rPr>
        <w:t xml:space="preserve"> </w:t>
      </w:r>
      <w:r>
        <w:rPr>
          <w:color w:val="231F20"/>
          <w:sz w:val="15"/>
        </w:rPr>
        <w:t>v</w:t>
      </w:r>
      <w:r>
        <w:rPr>
          <w:color w:val="231F20"/>
          <w:spacing w:val="-29"/>
          <w:sz w:val="15"/>
        </w:rPr>
        <w:t xml:space="preserve"> </w:t>
      </w:r>
      <w:r>
        <w:rPr>
          <w:color w:val="231F20"/>
          <w:sz w:val="15"/>
        </w:rPr>
        <w:t>registru</w:t>
      </w:r>
      <w:r>
        <w:rPr>
          <w:color w:val="231F20"/>
          <w:spacing w:val="-30"/>
          <w:sz w:val="15"/>
        </w:rPr>
        <w:t xml:space="preserve"> </w:t>
      </w:r>
      <w:r>
        <w:rPr>
          <w:color w:val="231F20"/>
          <w:sz w:val="15"/>
        </w:rPr>
        <w:t>má</w:t>
      </w:r>
      <w:r>
        <w:rPr>
          <w:color w:val="231F20"/>
          <w:spacing w:val="-30"/>
          <w:sz w:val="15"/>
        </w:rPr>
        <w:t xml:space="preserve"> </w:t>
      </w:r>
      <w:r>
        <w:rPr>
          <w:color w:val="231F20"/>
          <w:sz w:val="15"/>
        </w:rPr>
        <w:t>pojistník</w:t>
      </w:r>
      <w:r>
        <w:rPr>
          <w:color w:val="231F20"/>
          <w:spacing w:val="-29"/>
          <w:sz w:val="15"/>
        </w:rPr>
        <w:t xml:space="preserve"> </w:t>
      </w:r>
      <w:r>
        <w:rPr>
          <w:color w:val="231F20"/>
          <w:sz w:val="15"/>
        </w:rPr>
        <w:t>povinnost ihned</w:t>
      </w:r>
      <w:r>
        <w:rPr>
          <w:color w:val="231F20"/>
          <w:spacing w:val="-19"/>
          <w:sz w:val="15"/>
        </w:rPr>
        <w:t xml:space="preserve"> </w:t>
      </w:r>
      <w:r>
        <w:rPr>
          <w:color w:val="231F20"/>
          <w:sz w:val="15"/>
        </w:rPr>
        <w:t>písemně</w:t>
      </w:r>
      <w:r>
        <w:rPr>
          <w:color w:val="231F20"/>
          <w:spacing w:val="-18"/>
          <w:sz w:val="15"/>
        </w:rPr>
        <w:t xml:space="preserve"> </w:t>
      </w:r>
      <w:r>
        <w:rPr>
          <w:color w:val="231F20"/>
          <w:sz w:val="15"/>
        </w:rPr>
        <w:t>oznámit</w:t>
      </w:r>
      <w:r>
        <w:rPr>
          <w:color w:val="231F20"/>
          <w:spacing w:val="-18"/>
          <w:sz w:val="15"/>
        </w:rPr>
        <w:t xml:space="preserve"> </w:t>
      </w:r>
      <w:r>
        <w:rPr>
          <w:color w:val="231F20"/>
          <w:sz w:val="15"/>
        </w:rPr>
        <w:t>Pojišťovně</w:t>
      </w:r>
      <w:r>
        <w:rPr>
          <w:color w:val="231F20"/>
          <w:spacing w:val="-19"/>
          <w:sz w:val="15"/>
        </w:rPr>
        <w:t xml:space="preserve"> </w:t>
      </w:r>
      <w:r>
        <w:rPr>
          <w:color w:val="231F20"/>
          <w:sz w:val="15"/>
        </w:rPr>
        <w:t>a</w:t>
      </w:r>
      <w:r>
        <w:rPr>
          <w:color w:val="231F20"/>
          <w:spacing w:val="-18"/>
          <w:sz w:val="15"/>
        </w:rPr>
        <w:t xml:space="preserve"> </w:t>
      </w:r>
      <w:r>
        <w:rPr>
          <w:color w:val="231F20"/>
          <w:sz w:val="15"/>
        </w:rPr>
        <w:t>doložit</w:t>
      </w:r>
      <w:r>
        <w:rPr>
          <w:color w:val="231F20"/>
          <w:spacing w:val="-18"/>
          <w:sz w:val="15"/>
        </w:rPr>
        <w:t xml:space="preserve"> </w:t>
      </w:r>
      <w:r>
        <w:rPr>
          <w:color w:val="231F20"/>
          <w:spacing w:val="-3"/>
          <w:sz w:val="15"/>
        </w:rPr>
        <w:t>(např.</w:t>
      </w:r>
      <w:r>
        <w:rPr>
          <w:color w:val="231F20"/>
          <w:spacing w:val="-18"/>
          <w:sz w:val="15"/>
        </w:rPr>
        <w:t xml:space="preserve"> </w:t>
      </w:r>
      <w:r>
        <w:rPr>
          <w:color w:val="231F20"/>
          <w:sz w:val="15"/>
        </w:rPr>
        <w:t>kopií</w:t>
      </w:r>
      <w:r>
        <w:rPr>
          <w:color w:val="231F20"/>
          <w:spacing w:val="-19"/>
          <w:sz w:val="15"/>
        </w:rPr>
        <w:t xml:space="preserve"> </w:t>
      </w:r>
      <w:r>
        <w:rPr>
          <w:color w:val="231F20"/>
          <w:sz w:val="15"/>
        </w:rPr>
        <w:t>technického</w:t>
      </w:r>
      <w:r>
        <w:rPr>
          <w:color w:val="231F20"/>
          <w:spacing w:val="-18"/>
          <w:sz w:val="15"/>
        </w:rPr>
        <w:t xml:space="preserve"> </w:t>
      </w:r>
      <w:r>
        <w:rPr>
          <w:color w:val="231F20"/>
          <w:sz w:val="15"/>
        </w:rPr>
        <w:t>průka- zu, osvědčení o registrací vozidla či jiného</w:t>
      </w:r>
      <w:r>
        <w:rPr>
          <w:color w:val="231F20"/>
          <w:spacing w:val="-29"/>
          <w:sz w:val="15"/>
        </w:rPr>
        <w:t xml:space="preserve"> </w:t>
      </w:r>
      <w:r>
        <w:rPr>
          <w:color w:val="231F20"/>
          <w:sz w:val="15"/>
        </w:rPr>
        <w:t>potvrzení);</w:t>
      </w:r>
    </w:p>
    <w:p w14:paraId="09A61A67" w14:textId="77777777" w:rsidR="00F65BCA" w:rsidRDefault="00216117">
      <w:pPr>
        <w:pStyle w:val="Odstavecseseznamem"/>
        <w:numPr>
          <w:ilvl w:val="0"/>
          <w:numId w:val="7"/>
        </w:numPr>
        <w:tabs>
          <w:tab w:val="left" w:pos="639"/>
        </w:tabs>
        <w:spacing w:line="278" w:lineRule="auto"/>
        <w:ind w:right="424"/>
        <w:jc w:val="both"/>
        <w:rPr>
          <w:sz w:val="15"/>
        </w:rPr>
      </w:pPr>
      <w:r>
        <w:rPr>
          <w:color w:val="231F20"/>
          <w:sz w:val="15"/>
        </w:rPr>
        <w:t>odcizením vozidla; nelze-li dobu odcizení vozidla přesně určit, považuje se</w:t>
      </w:r>
      <w:r>
        <w:rPr>
          <w:color w:val="231F20"/>
          <w:spacing w:val="-14"/>
          <w:sz w:val="15"/>
        </w:rPr>
        <w:t xml:space="preserve"> </w:t>
      </w:r>
      <w:r>
        <w:rPr>
          <w:color w:val="231F20"/>
          <w:sz w:val="15"/>
        </w:rPr>
        <w:t>vozidlo</w:t>
      </w:r>
      <w:r>
        <w:rPr>
          <w:color w:val="231F20"/>
          <w:spacing w:val="-13"/>
          <w:sz w:val="15"/>
        </w:rPr>
        <w:t xml:space="preserve"> </w:t>
      </w:r>
      <w:r>
        <w:rPr>
          <w:color w:val="231F20"/>
          <w:sz w:val="15"/>
        </w:rPr>
        <w:t>za</w:t>
      </w:r>
      <w:r>
        <w:rPr>
          <w:color w:val="231F20"/>
          <w:spacing w:val="-13"/>
          <w:sz w:val="15"/>
        </w:rPr>
        <w:t xml:space="preserve"> </w:t>
      </w:r>
      <w:r>
        <w:rPr>
          <w:color w:val="231F20"/>
          <w:sz w:val="15"/>
        </w:rPr>
        <w:t>odcizené,</w:t>
      </w:r>
      <w:r>
        <w:rPr>
          <w:color w:val="231F20"/>
          <w:spacing w:val="-13"/>
          <w:sz w:val="15"/>
        </w:rPr>
        <w:t xml:space="preserve"> </w:t>
      </w:r>
      <w:r>
        <w:rPr>
          <w:color w:val="231F20"/>
          <w:sz w:val="15"/>
        </w:rPr>
        <w:t>jakmile</w:t>
      </w:r>
      <w:r>
        <w:rPr>
          <w:color w:val="231F20"/>
          <w:spacing w:val="-13"/>
          <w:sz w:val="15"/>
        </w:rPr>
        <w:t xml:space="preserve"> </w:t>
      </w:r>
      <w:r>
        <w:rPr>
          <w:color w:val="231F20"/>
          <w:sz w:val="15"/>
        </w:rPr>
        <w:t>policie</w:t>
      </w:r>
      <w:r>
        <w:rPr>
          <w:color w:val="231F20"/>
          <w:spacing w:val="-14"/>
          <w:sz w:val="15"/>
        </w:rPr>
        <w:t xml:space="preserve"> </w:t>
      </w:r>
      <w:r>
        <w:rPr>
          <w:color w:val="231F20"/>
          <w:sz w:val="15"/>
        </w:rPr>
        <w:t>přijala</w:t>
      </w:r>
      <w:r>
        <w:rPr>
          <w:color w:val="231F20"/>
          <w:spacing w:val="-13"/>
          <w:sz w:val="15"/>
        </w:rPr>
        <w:t xml:space="preserve"> </w:t>
      </w:r>
      <w:r>
        <w:rPr>
          <w:color w:val="231F20"/>
          <w:sz w:val="15"/>
        </w:rPr>
        <w:t>oznámení</w:t>
      </w:r>
      <w:r>
        <w:rPr>
          <w:color w:val="231F20"/>
          <w:spacing w:val="-13"/>
          <w:sz w:val="15"/>
        </w:rPr>
        <w:t xml:space="preserve"> </w:t>
      </w:r>
      <w:r>
        <w:rPr>
          <w:color w:val="231F20"/>
          <w:sz w:val="15"/>
        </w:rPr>
        <w:t>o</w:t>
      </w:r>
      <w:r>
        <w:rPr>
          <w:color w:val="231F20"/>
          <w:spacing w:val="-13"/>
          <w:sz w:val="15"/>
        </w:rPr>
        <w:t xml:space="preserve"> </w:t>
      </w:r>
      <w:r>
        <w:rPr>
          <w:color w:val="231F20"/>
          <w:sz w:val="15"/>
        </w:rPr>
        <w:t>odcizení</w:t>
      </w:r>
      <w:r>
        <w:rPr>
          <w:color w:val="231F20"/>
          <w:spacing w:val="-13"/>
          <w:sz w:val="15"/>
        </w:rPr>
        <w:t xml:space="preserve"> </w:t>
      </w:r>
      <w:r>
        <w:rPr>
          <w:color w:val="231F20"/>
          <w:sz w:val="15"/>
        </w:rPr>
        <w:t>vozidla. Odcizení</w:t>
      </w:r>
      <w:r>
        <w:rPr>
          <w:color w:val="231F20"/>
          <w:spacing w:val="-19"/>
          <w:sz w:val="15"/>
        </w:rPr>
        <w:t xml:space="preserve"> </w:t>
      </w:r>
      <w:r>
        <w:rPr>
          <w:color w:val="231F20"/>
          <w:sz w:val="15"/>
        </w:rPr>
        <w:t>vozidla</w:t>
      </w:r>
      <w:r>
        <w:rPr>
          <w:color w:val="231F20"/>
          <w:spacing w:val="-18"/>
          <w:sz w:val="15"/>
        </w:rPr>
        <w:t xml:space="preserve"> </w:t>
      </w:r>
      <w:r>
        <w:rPr>
          <w:color w:val="231F20"/>
          <w:sz w:val="15"/>
        </w:rPr>
        <w:t>má</w:t>
      </w:r>
      <w:r>
        <w:rPr>
          <w:color w:val="231F20"/>
          <w:spacing w:val="-19"/>
          <w:sz w:val="15"/>
        </w:rPr>
        <w:t xml:space="preserve"> </w:t>
      </w:r>
      <w:r>
        <w:rPr>
          <w:color w:val="231F20"/>
          <w:sz w:val="15"/>
        </w:rPr>
        <w:t>pojistník</w:t>
      </w:r>
      <w:r>
        <w:rPr>
          <w:color w:val="231F20"/>
          <w:spacing w:val="-19"/>
          <w:sz w:val="15"/>
        </w:rPr>
        <w:t xml:space="preserve"> </w:t>
      </w:r>
      <w:r>
        <w:rPr>
          <w:color w:val="231F20"/>
          <w:sz w:val="15"/>
        </w:rPr>
        <w:t>povinnost</w:t>
      </w:r>
      <w:r>
        <w:rPr>
          <w:color w:val="231F20"/>
          <w:spacing w:val="-18"/>
          <w:sz w:val="15"/>
        </w:rPr>
        <w:t xml:space="preserve"> </w:t>
      </w:r>
      <w:r>
        <w:rPr>
          <w:color w:val="231F20"/>
          <w:sz w:val="15"/>
        </w:rPr>
        <w:t>ihned</w:t>
      </w:r>
      <w:r>
        <w:rPr>
          <w:color w:val="231F20"/>
          <w:spacing w:val="-19"/>
          <w:sz w:val="15"/>
        </w:rPr>
        <w:t xml:space="preserve"> </w:t>
      </w:r>
      <w:r>
        <w:rPr>
          <w:color w:val="231F20"/>
          <w:sz w:val="15"/>
        </w:rPr>
        <w:t>písemně</w:t>
      </w:r>
      <w:r>
        <w:rPr>
          <w:color w:val="231F20"/>
          <w:spacing w:val="-18"/>
          <w:sz w:val="15"/>
        </w:rPr>
        <w:t xml:space="preserve"> </w:t>
      </w:r>
      <w:r>
        <w:rPr>
          <w:color w:val="231F20"/>
          <w:sz w:val="15"/>
        </w:rPr>
        <w:t>oznámit</w:t>
      </w:r>
      <w:r>
        <w:rPr>
          <w:color w:val="231F20"/>
          <w:spacing w:val="-19"/>
          <w:sz w:val="15"/>
        </w:rPr>
        <w:t xml:space="preserve"> </w:t>
      </w:r>
      <w:r>
        <w:rPr>
          <w:color w:val="231F20"/>
          <w:sz w:val="15"/>
        </w:rPr>
        <w:t>Pojišťovně a doložit protokolem od</w:t>
      </w:r>
      <w:r>
        <w:rPr>
          <w:color w:val="231F20"/>
          <w:spacing w:val="-3"/>
          <w:sz w:val="15"/>
        </w:rPr>
        <w:t xml:space="preserve"> </w:t>
      </w:r>
      <w:r>
        <w:rPr>
          <w:color w:val="231F20"/>
          <w:sz w:val="15"/>
        </w:rPr>
        <w:t>policie;</w:t>
      </w:r>
    </w:p>
    <w:p w14:paraId="444F85FC" w14:textId="77777777" w:rsidR="00F65BCA" w:rsidRDefault="00F65BCA">
      <w:pPr>
        <w:spacing w:line="278" w:lineRule="auto"/>
        <w:jc w:val="both"/>
        <w:rPr>
          <w:sz w:val="15"/>
        </w:rPr>
        <w:sectPr w:rsidR="00F65BCA">
          <w:pgSz w:w="11910" w:h="16840"/>
          <w:pgMar w:top="520" w:right="140" w:bottom="0" w:left="140" w:header="708" w:footer="708" w:gutter="0"/>
          <w:cols w:num="2" w:space="708" w:equalWidth="0">
            <w:col w:w="5702" w:space="40"/>
            <w:col w:w="5888"/>
          </w:cols>
        </w:sectPr>
      </w:pPr>
    </w:p>
    <w:p w14:paraId="39D3E09A" w14:textId="77777777" w:rsidR="00F65BCA" w:rsidRDefault="00000000">
      <w:pPr>
        <w:pStyle w:val="Odstavecseseznamem"/>
        <w:numPr>
          <w:ilvl w:val="0"/>
          <w:numId w:val="7"/>
        </w:numPr>
        <w:tabs>
          <w:tab w:val="left" w:pos="881"/>
        </w:tabs>
        <w:spacing w:before="75" w:line="278" w:lineRule="auto"/>
        <w:ind w:left="880"/>
        <w:jc w:val="both"/>
        <w:rPr>
          <w:sz w:val="15"/>
        </w:rPr>
      </w:pPr>
      <w:r>
        <w:lastRenderedPageBreak/>
        <w:pict w14:anchorId="2211C100">
          <v:group id="_x0000_s2297" style="position:absolute;left:0;text-align:left;margin-left:0;margin-top:807.85pt;width:595.3pt;height:34.05pt;z-index:251841536;mso-position-horizontal-relative:page;mso-position-vertical-relative:page" coordorigin=",16157" coordsize="11906,681">
            <v:rect id="_x0000_s2300" style="position:absolute;top:16157;width:11906;height:681" fillcolor="#dcddde" stroked="f"/>
            <v:shape id="_x0000_s2299" type="#_x0000_t202" style="position:absolute;left:793;top:16420;width:5475;height:234" filled="f" stroked="f">
              <v:textbox inset="0,0,0,0">
                <w:txbxContent>
                  <w:p w14:paraId="1B068B1C" w14:textId="77777777" w:rsidR="00F65BCA" w:rsidRDefault="00216117">
                    <w:pPr>
                      <w:spacing w:before="3"/>
                      <w:rPr>
                        <w:sz w:val="16"/>
                      </w:rPr>
                    </w:pPr>
                    <w:r>
                      <w:rPr>
                        <w:color w:val="231F20"/>
                        <w:sz w:val="16"/>
                      </w:rPr>
                      <w:t xml:space="preserve">16 </w:t>
                    </w:r>
                    <w:r>
                      <w:rPr>
                        <w:color w:val="6D6E71"/>
                        <w:sz w:val="20"/>
                      </w:rPr>
                      <w:t xml:space="preserve">| </w:t>
                    </w:r>
                    <w:r>
                      <w:rPr>
                        <w:color w:val="231F20"/>
                        <w:sz w:val="16"/>
                      </w:rPr>
                      <w:t>Všeobecné pojistné podmínky pro pojištění vozidel VPPPMV-F-5/2025</w:t>
                    </w:r>
                  </w:p>
                </w:txbxContent>
              </v:textbox>
            </v:shape>
            <v:shape id="_x0000_s2298" type="#_x0000_t202" style="position:absolute;left:9491;top:16477;width:1414;height:164" filled="f" stroked="f">
              <v:textbox inset="0,0,0,0">
                <w:txbxContent>
                  <w:p w14:paraId="38AF1070" w14:textId="77777777" w:rsidR="00F65BCA" w:rsidRDefault="00216117">
                    <w:pPr>
                      <w:spacing w:before="2"/>
                      <w:rPr>
                        <w:sz w:val="14"/>
                      </w:rPr>
                    </w:pPr>
                    <w:r>
                      <w:rPr>
                        <w:color w:val="231F20"/>
                        <w:sz w:val="14"/>
                      </w:rPr>
                      <w:t>6.20.012 05.2025 v04</w:t>
                    </w:r>
                  </w:p>
                </w:txbxContent>
              </v:textbox>
            </v:shape>
            <w10:wrap anchorx="page" anchory="page"/>
          </v:group>
        </w:pict>
      </w:r>
      <w:r w:rsidR="00216117">
        <w:rPr>
          <w:color w:val="231F20"/>
          <w:sz w:val="15"/>
        </w:rPr>
        <w:t>marným uplynutím lhůty (v min. délce 1 měsíc) stanovené Pojišťovnou   v</w:t>
      </w:r>
      <w:r w:rsidR="00216117">
        <w:rPr>
          <w:color w:val="231F20"/>
          <w:spacing w:val="-15"/>
          <w:sz w:val="15"/>
        </w:rPr>
        <w:t xml:space="preserve"> </w:t>
      </w:r>
      <w:r w:rsidR="00216117">
        <w:rPr>
          <w:color w:val="231F20"/>
          <w:sz w:val="15"/>
        </w:rPr>
        <w:t>upomínce</w:t>
      </w:r>
      <w:r w:rsidR="00216117">
        <w:rPr>
          <w:color w:val="231F20"/>
          <w:spacing w:val="-14"/>
          <w:sz w:val="15"/>
        </w:rPr>
        <w:t xml:space="preserve"> </w:t>
      </w:r>
      <w:r w:rsidR="00216117">
        <w:rPr>
          <w:color w:val="231F20"/>
          <w:sz w:val="15"/>
        </w:rPr>
        <w:t>k</w:t>
      </w:r>
      <w:r w:rsidR="00216117">
        <w:rPr>
          <w:color w:val="231F20"/>
          <w:spacing w:val="-15"/>
          <w:sz w:val="15"/>
        </w:rPr>
        <w:t xml:space="preserve"> </w:t>
      </w:r>
      <w:r w:rsidR="00216117">
        <w:rPr>
          <w:color w:val="231F20"/>
          <w:sz w:val="15"/>
        </w:rPr>
        <w:t>zaplacení</w:t>
      </w:r>
      <w:r w:rsidR="00216117">
        <w:rPr>
          <w:color w:val="231F20"/>
          <w:spacing w:val="-14"/>
          <w:sz w:val="15"/>
        </w:rPr>
        <w:t xml:space="preserve"> </w:t>
      </w:r>
      <w:r w:rsidR="00216117">
        <w:rPr>
          <w:color w:val="231F20"/>
          <w:sz w:val="15"/>
        </w:rPr>
        <w:t>pojistného</w:t>
      </w:r>
      <w:r w:rsidR="00216117">
        <w:rPr>
          <w:color w:val="231F20"/>
          <w:spacing w:val="-15"/>
          <w:sz w:val="15"/>
        </w:rPr>
        <w:t xml:space="preserve"> </w:t>
      </w:r>
      <w:r w:rsidR="00216117">
        <w:rPr>
          <w:color w:val="231F20"/>
          <w:sz w:val="15"/>
        </w:rPr>
        <w:t>nebo</w:t>
      </w:r>
      <w:r w:rsidR="00216117">
        <w:rPr>
          <w:color w:val="231F20"/>
          <w:spacing w:val="-14"/>
          <w:sz w:val="15"/>
        </w:rPr>
        <w:t xml:space="preserve"> </w:t>
      </w:r>
      <w:r w:rsidR="00216117">
        <w:rPr>
          <w:color w:val="231F20"/>
          <w:sz w:val="15"/>
        </w:rPr>
        <w:t>jeho</w:t>
      </w:r>
      <w:r w:rsidR="00216117">
        <w:rPr>
          <w:color w:val="231F20"/>
          <w:spacing w:val="-14"/>
          <w:sz w:val="15"/>
        </w:rPr>
        <w:t xml:space="preserve"> </w:t>
      </w:r>
      <w:r w:rsidR="00216117">
        <w:rPr>
          <w:color w:val="231F20"/>
          <w:sz w:val="15"/>
        </w:rPr>
        <w:t>části,</w:t>
      </w:r>
      <w:r w:rsidR="00216117">
        <w:rPr>
          <w:color w:val="231F20"/>
          <w:spacing w:val="-15"/>
          <w:sz w:val="15"/>
        </w:rPr>
        <w:t xml:space="preserve"> </w:t>
      </w:r>
      <w:r w:rsidR="00216117">
        <w:rPr>
          <w:color w:val="231F20"/>
          <w:sz w:val="15"/>
        </w:rPr>
        <w:t>doručené</w:t>
      </w:r>
      <w:r w:rsidR="00216117">
        <w:rPr>
          <w:color w:val="231F20"/>
          <w:spacing w:val="-14"/>
          <w:sz w:val="15"/>
        </w:rPr>
        <w:t xml:space="preserve"> </w:t>
      </w:r>
      <w:r w:rsidR="00216117">
        <w:rPr>
          <w:color w:val="231F20"/>
          <w:sz w:val="15"/>
        </w:rPr>
        <w:t>pojistníkovi;</w:t>
      </w:r>
    </w:p>
    <w:p w14:paraId="105C3570" w14:textId="77777777" w:rsidR="00F65BCA" w:rsidRDefault="00216117">
      <w:pPr>
        <w:pStyle w:val="Odstavecseseznamem"/>
        <w:numPr>
          <w:ilvl w:val="0"/>
          <w:numId w:val="7"/>
        </w:numPr>
        <w:tabs>
          <w:tab w:val="left" w:pos="881"/>
        </w:tabs>
        <w:ind w:left="880"/>
        <w:jc w:val="both"/>
        <w:rPr>
          <w:sz w:val="15"/>
        </w:rPr>
      </w:pPr>
      <w:r>
        <w:rPr>
          <w:color w:val="231F20"/>
          <w:sz w:val="15"/>
        </w:rPr>
        <w:t>výpovědí pojistníka nebo</w:t>
      </w:r>
      <w:r>
        <w:rPr>
          <w:color w:val="231F20"/>
          <w:spacing w:val="-6"/>
          <w:sz w:val="15"/>
        </w:rPr>
        <w:t xml:space="preserve"> </w:t>
      </w:r>
      <w:r>
        <w:rPr>
          <w:color w:val="231F20"/>
          <w:sz w:val="15"/>
        </w:rPr>
        <w:t>Pojišťovny:</w:t>
      </w:r>
    </w:p>
    <w:p w14:paraId="3C7AB3B9" w14:textId="77777777" w:rsidR="00F65BCA" w:rsidRDefault="00216117">
      <w:pPr>
        <w:pStyle w:val="Odstavecseseznamem"/>
        <w:numPr>
          <w:ilvl w:val="1"/>
          <w:numId w:val="7"/>
        </w:numPr>
        <w:tabs>
          <w:tab w:val="left" w:pos="1051"/>
        </w:tabs>
        <w:spacing w:before="28" w:line="278" w:lineRule="auto"/>
        <w:jc w:val="both"/>
        <w:rPr>
          <w:sz w:val="15"/>
        </w:rPr>
      </w:pPr>
      <w:r>
        <w:rPr>
          <w:color w:val="231F20"/>
          <w:sz w:val="15"/>
        </w:rPr>
        <w:t>doručenou</w:t>
      </w:r>
      <w:r>
        <w:rPr>
          <w:color w:val="231F20"/>
          <w:spacing w:val="-23"/>
          <w:sz w:val="15"/>
        </w:rPr>
        <w:t xml:space="preserve"> </w:t>
      </w:r>
      <w:r>
        <w:rPr>
          <w:color w:val="231F20"/>
          <w:sz w:val="15"/>
        </w:rPr>
        <w:t>druhé</w:t>
      </w:r>
      <w:r>
        <w:rPr>
          <w:color w:val="231F20"/>
          <w:spacing w:val="-23"/>
          <w:sz w:val="15"/>
        </w:rPr>
        <w:t xml:space="preserve"> </w:t>
      </w:r>
      <w:r>
        <w:rPr>
          <w:color w:val="231F20"/>
          <w:sz w:val="15"/>
        </w:rPr>
        <w:t>smluvní</w:t>
      </w:r>
      <w:r>
        <w:rPr>
          <w:color w:val="231F20"/>
          <w:spacing w:val="-23"/>
          <w:sz w:val="15"/>
        </w:rPr>
        <w:t xml:space="preserve"> </w:t>
      </w:r>
      <w:r>
        <w:rPr>
          <w:color w:val="231F20"/>
          <w:sz w:val="15"/>
        </w:rPr>
        <w:t>straně</w:t>
      </w:r>
      <w:r>
        <w:rPr>
          <w:color w:val="231F20"/>
          <w:spacing w:val="-22"/>
          <w:sz w:val="15"/>
        </w:rPr>
        <w:t xml:space="preserve"> </w:t>
      </w:r>
      <w:r>
        <w:rPr>
          <w:color w:val="231F20"/>
          <w:sz w:val="15"/>
        </w:rPr>
        <w:t>nejméně</w:t>
      </w:r>
      <w:r>
        <w:rPr>
          <w:color w:val="231F20"/>
          <w:spacing w:val="-23"/>
          <w:sz w:val="15"/>
        </w:rPr>
        <w:t xml:space="preserve"> </w:t>
      </w:r>
      <w:r>
        <w:rPr>
          <w:color w:val="231F20"/>
          <w:sz w:val="15"/>
        </w:rPr>
        <w:t>šest</w:t>
      </w:r>
      <w:r>
        <w:rPr>
          <w:color w:val="231F20"/>
          <w:spacing w:val="-23"/>
          <w:sz w:val="15"/>
        </w:rPr>
        <w:t xml:space="preserve"> </w:t>
      </w:r>
      <w:r>
        <w:rPr>
          <w:color w:val="231F20"/>
          <w:sz w:val="15"/>
        </w:rPr>
        <w:t>týdnů</w:t>
      </w:r>
      <w:r>
        <w:rPr>
          <w:color w:val="231F20"/>
          <w:spacing w:val="-23"/>
          <w:sz w:val="15"/>
        </w:rPr>
        <w:t xml:space="preserve"> </w:t>
      </w:r>
      <w:r>
        <w:rPr>
          <w:color w:val="231F20"/>
          <w:sz w:val="15"/>
        </w:rPr>
        <w:t>před</w:t>
      </w:r>
      <w:r>
        <w:rPr>
          <w:color w:val="231F20"/>
          <w:spacing w:val="-22"/>
          <w:sz w:val="15"/>
        </w:rPr>
        <w:t xml:space="preserve"> </w:t>
      </w:r>
      <w:r>
        <w:rPr>
          <w:color w:val="231F20"/>
          <w:sz w:val="15"/>
        </w:rPr>
        <w:t>koncem</w:t>
      </w:r>
      <w:r>
        <w:rPr>
          <w:color w:val="231F20"/>
          <w:spacing w:val="-23"/>
          <w:sz w:val="15"/>
        </w:rPr>
        <w:t xml:space="preserve"> </w:t>
      </w:r>
      <w:r>
        <w:rPr>
          <w:color w:val="231F20"/>
          <w:sz w:val="15"/>
        </w:rPr>
        <w:t>pojist- ného</w:t>
      </w:r>
      <w:r>
        <w:rPr>
          <w:color w:val="231F20"/>
          <w:spacing w:val="-24"/>
          <w:sz w:val="15"/>
        </w:rPr>
        <w:t xml:space="preserve"> </w:t>
      </w:r>
      <w:r>
        <w:rPr>
          <w:color w:val="231F20"/>
          <w:sz w:val="15"/>
        </w:rPr>
        <w:t>období;</w:t>
      </w:r>
      <w:r>
        <w:rPr>
          <w:color w:val="231F20"/>
          <w:spacing w:val="-23"/>
          <w:sz w:val="15"/>
        </w:rPr>
        <w:t xml:space="preserve"> </w:t>
      </w:r>
      <w:r>
        <w:rPr>
          <w:color w:val="231F20"/>
          <w:sz w:val="15"/>
        </w:rPr>
        <w:t>pojištění</w:t>
      </w:r>
      <w:r>
        <w:rPr>
          <w:color w:val="231F20"/>
          <w:spacing w:val="-24"/>
          <w:sz w:val="15"/>
        </w:rPr>
        <w:t xml:space="preserve"> </w:t>
      </w:r>
      <w:r>
        <w:rPr>
          <w:color w:val="231F20"/>
          <w:sz w:val="15"/>
        </w:rPr>
        <w:t>zanikne</w:t>
      </w:r>
      <w:r>
        <w:rPr>
          <w:color w:val="231F20"/>
          <w:spacing w:val="-23"/>
          <w:sz w:val="15"/>
        </w:rPr>
        <w:t xml:space="preserve"> </w:t>
      </w:r>
      <w:r>
        <w:rPr>
          <w:color w:val="231F20"/>
          <w:sz w:val="15"/>
        </w:rPr>
        <w:t>uplynutím</w:t>
      </w:r>
      <w:r>
        <w:rPr>
          <w:color w:val="231F20"/>
          <w:spacing w:val="-24"/>
          <w:sz w:val="15"/>
        </w:rPr>
        <w:t xml:space="preserve"> </w:t>
      </w:r>
      <w:r>
        <w:rPr>
          <w:color w:val="231F20"/>
          <w:sz w:val="15"/>
        </w:rPr>
        <w:t>pojistného</w:t>
      </w:r>
      <w:r>
        <w:rPr>
          <w:color w:val="231F20"/>
          <w:spacing w:val="-23"/>
          <w:sz w:val="15"/>
        </w:rPr>
        <w:t xml:space="preserve"> </w:t>
      </w:r>
      <w:r>
        <w:rPr>
          <w:color w:val="231F20"/>
          <w:sz w:val="15"/>
        </w:rPr>
        <w:t>období;</w:t>
      </w:r>
      <w:r>
        <w:rPr>
          <w:color w:val="231F20"/>
          <w:spacing w:val="-24"/>
          <w:sz w:val="15"/>
        </w:rPr>
        <w:t xml:space="preserve"> </w:t>
      </w:r>
      <w:r>
        <w:rPr>
          <w:color w:val="231F20"/>
          <w:sz w:val="15"/>
        </w:rPr>
        <w:t>při</w:t>
      </w:r>
      <w:r>
        <w:rPr>
          <w:color w:val="231F20"/>
          <w:spacing w:val="-23"/>
          <w:sz w:val="15"/>
        </w:rPr>
        <w:t xml:space="preserve"> </w:t>
      </w:r>
      <w:r>
        <w:rPr>
          <w:color w:val="231F20"/>
          <w:sz w:val="15"/>
        </w:rPr>
        <w:t>doručení výpovědi</w:t>
      </w:r>
      <w:r>
        <w:rPr>
          <w:color w:val="231F20"/>
          <w:spacing w:val="-13"/>
          <w:sz w:val="15"/>
        </w:rPr>
        <w:t xml:space="preserve"> </w:t>
      </w:r>
      <w:r>
        <w:rPr>
          <w:color w:val="231F20"/>
          <w:sz w:val="15"/>
        </w:rPr>
        <w:t>později</w:t>
      </w:r>
      <w:r>
        <w:rPr>
          <w:color w:val="231F20"/>
          <w:spacing w:val="-12"/>
          <w:sz w:val="15"/>
        </w:rPr>
        <w:t xml:space="preserve"> </w:t>
      </w:r>
      <w:r>
        <w:rPr>
          <w:color w:val="231F20"/>
          <w:sz w:val="15"/>
        </w:rPr>
        <w:t>než</w:t>
      </w:r>
      <w:r>
        <w:rPr>
          <w:color w:val="231F20"/>
          <w:spacing w:val="-12"/>
          <w:sz w:val="15"/>
        </w:rPr>
        <w:t xml:space="preserve"> </w:t>
      </w:r>
      <w:r>
        <w:rPr>
          <w:color w:val="231F20"/>
          <w:sz w:val="15"/>
        </w:rPr>
        <w:t>šest</w:t>
      </w:r>
      <w:r>
        <w:rPr>
          <w:color w:val="231F20"/>
          <w:spacing w:val="-12"/>
          <w:sz w:val="15"/>
        </w:rPr>
        <w:t xml:space="preserve"> </w:t>
      </w:r>
      <w:r>
        <w:rPr>
          <w:color w:val="231F20"/>
          <w:sz w:val="15"/>
        </w:rPr>
        <w:t>týdnů</w:t>
      </w:r>
      <w:r>
        <w:rPr>
          <w:color w:val="231F20"/>
          <w:spacing w:val="-12"/>
          <w:sz w:val="15"/>
        </w:rPr>
        <w:t xml:space="preserve"> </w:t>
      </w:r>
      <w:r>
        <w:rPr>
          <w:color w:val="231F20"/>
          <w:sz w:val="15"/>
        </w:rPr>
        <w:t>před</w:t>
      </w:r>
      <w:r>
        <w:rPr>
          <w:color w:val="231F20"/>
          <w:spacing w:val="-13"/>
          <w:sz w:val="15"/>
        </w:rPr>
        <w:t xml:space="preserve"> </w:t>
      </w:r>
      <w:r>
        <w:rPr>
          <w:color w:val="231F20"/>
          <w:sz w:val="15"/>
        </w:rPr>
        <w:t>koncem</w:t>
      </w:r>
      <w:r>
        <w:rPr>
          <w:color w:val="231F20"/>
          <w:spacing w:val="-12"/>
          <w:sz w:val="15"/>
        </w:rPr>
        <w:t xml:space="preserve"> </w:t>
      </w:r>
      <w:r>
        <w:rPr>
          <w:color w:val="231F20"/>
          <w:sz w:val="15"/>
        </w:rPr>
        <w:t>pojistného</w:t>
      </w:r>
      <w:r>
        <w:rPr>
          <w:color w:val="231F20"/>
          <w:spacing w:val="-12"/>
          <w:sz w:val="15"/>
        </w:rPr>
        <w:t xml:space="preserve"> </w:t>
      </w:r>
      <w:r>
        <w:rPr>
          <w:color w:val="231F20"/>
          <w:sz w:val="15"/>
        </w:rPr>
        <w:t>období,</w:t>
      </w:r>
      <w:r>
        <w:rPr>
          <w:color w:val="231F20"/>
          <w:spacing w:val="-12"/>
          <w:sz w:val="15"/>
        </w:rPr>
        <w:t xml:space="preserve"> </w:t>
      </w:r>
      <w:r>
        <w:rPr>
          <w:color w:val="231F20"/>
          <w:spacing w:val="-4"/>
          <w:sz w:val="15"/>
        </w:rPr>
        <w:t xml:space="preserve">zaniká </w:t>
      </w:r>
      <w:r>
        <w:rPr>
          <w:color w:val="231F20"/>
          <w:sz w:val="15"/>
        </w:rPr>
        <w:t>pojištění ke konci následujícího pojistného</w:t>
      </w:r>
      <w:r>
        <w:rPr>
          <w:color w:val="231F20"/>
          <w:spacing w:val="-16"/>
          <w:sz w:val="15"/>
        </w:rPr>
        <w:t xml:space="preserve"> </w:t>
      </w:r>
      <w:r>
        <w:rPr>
          <w:color w:val="231F20"/>
          <w:sz w:val="15"/>
        </w:rPr>
        <w:t>období;</w:t>
      </w:r>
    </w:p>
    <w:p w14:paraId="4A4D9639" w14:textId="77777777" w:rsidR="00F65BCA" w:rsidRDefault="00216117">
      <w:pPr>
        <w:pStyle w:val="Odstavecseseznamem"/>
        <w:numPr>
          <w:ilvl w:val="1"/>
          <w:numId w:val="7"/>
        </w:numPr>
        <w:tabs>
          <w:tab w:val="left" w:pos="1051"/>
        </w:tabs>
        <w:spacing w:line="278" w:lineRule="auto"/>
        <w:jc w:val="both"/>
        <w:rPr>
          <w:sz w:val="15"/>
        </w:rPr>
      </w:pPr>
      <w:r>
        <w:rPr>
          <w:color w:val="231F20"/>
          <w:sz w:val="15"/>
        </w:rPr>
        <w:t>doručenou</w:t>
      </w:r>
      <w:r>
        <w:rPr>
          <w:color w:val="231F20"/>
          <w:spacing w:val="-6"/>
          <w:sz w:val="15"/>
        </w:rPr>
        <w:t xml:space="preserve"> </w:t>
      </w:r>
      <w:r>
        <w:rPr>
          <w:color w:val="231F20"/>
          <w:sz w:val="15"/>
        </w:rPr>
        <w:t>druhé</w:t>
      </w:r>
      <w:r>
        <w:rPr>
          <w:color w:val="231F20"/>
          <w:spacing w:val="-6"/>
          <w:sz w:val="15"/>
        </w:rPr>
        <w:t xml:space="preserve"> </w:t>
      </w:r>
      <w:r>
        <w:rPr>
          <w:color w:val="231F20"/>
          <w:sz w:val="15"/>
        </w:rPr>
        <w:t>smluvní</w:t>
      </w:r>
      <w:r>
        <w:rPr>
          <w:color w:val="231F20"/>
          <w:spacing w:val="-6"/>
          <w:sz w:val="15"/>
        </w:rPr>
        <w:t xml:space="preserve"> </w:t>
      </w:r>
      <w:r>
        <w:rPr>
          <w:color w:val="231F20"/>
          <w:sz w:val="15"/>
        </w:rPr>
        <w:t>straně</w:t>
      </w:r>
      <w:r>
        <w:rPr>
          <w:color w:val="231F20"/>
          <w:spacing w:val="-5"/>
          <w:sz w:val="15"/>
        </w:rPr>
        <w:t xml:space="preserve"> </w:t>
      </w:r>
      <w:r>
        <w:rPr>
          <w:color w:val="231F20"/>
          <w:sz w:val="15"/>
        </w:rPr>
        <w:t>do</w:t>
      </w:r>
      <w:r>
        <w:rPr>
          <w:color w:val="231F20"/>
          <w:spacing w:val="-6"/>
          <w:sz w:val="15"/>
        </w:rPr>
        <w:t xml:space="preserve"> </w:t>
      </w:r>
      <w:r>
        <w:rPr>
          <w:color w:val="231F20"/>
          <w:sz w:val="15"/>
        </w:rPr>
        <w:t>dvou</w:t>
      </w:r>
      <w:r>
        <w:rPr>
          <w:color w:val="231F20"/>
          <w:spacing w:val="-6"/>
          <w:sz w:val="15"/>
        </w:rPr>
        <w:t xml:space="preserve"> </w:t>
      </w:r>
      <w:r>
        <w:rPr>
          <w:color w:val="231F20"/>
          <w:sz w:val="15"/>
        </w:rPr>
        <w:t>měsíců</w:t>
      </w:r>
      <w:r>
        <w:rPr>
          <w:color w:val="231F20"/>
          <w:spacing w:val="-5"/>
          <w:sz w:val="15"/>
        </w:rPr>
        <w:t xml:space="preserve"> </w:t>
      </w:r>
      <w:r>
        <w:rPr>
          <w:color w:val="231F20"/>
          <w:sz w:val="15"/>
        </w:rPr>
        <w:t>ode</w:t>
      </w:r>
      <w:r>
        <w:rPr>
          <w:color w:val="231F20"/>
          <w:spacing w:val="-6"/>
          <w:sz w:val="15"/>
        </w:rPr>
        <w:t xml:space="preserve"> </w:t>
      </w:r>
      <w:r>
        <w:rPr>
          <w:color w:val="231F20"/>
          <w:sz w:val="15"/>
        </w:rPr>
        <w:t>dne</w:t>
      </w:r>
      <w:r>
        <w:rPr>
          <w:color w:val="231F20"/>
          <w:spacing w:val="-6"/>
          <w:sz w:val="15"/>
        </w:rPr>
        <w:t xml:space="preserve"> </w:t>
      </w:r>
      <w:r>
        <w:rPr>
          <w:color w:val="231F20"/>
          <w:sz w:val="15"/>
        </w:rPr>
        <w:t>uzavření</w:t>
      </w:r>
      <w:r>
        <w:rPr>
          <w:color w:val="231F20"/>
          <w:spacing w:val="-5"/>
          <w:sz w:val="15"/>
        </w:rPr>
        <w:t xml:space="preserve"> </w:t>
      </w:r>
      <w:r>
        <w:rPr>
          <w:color w:val="231F20"/>
          <w:spacing w:val="-6"/>
          <w:sz w:val="15"/>
        </w:rPr>
        <w:t xml:space="preserve">po- </w:t>
      </w:r>
      <w:r>
        <w:rPr>
          <w:color w:val="231F20"/>
          <w:sz w:val="15"/>
        </w:rPr>
        <w:t>jistné</w:t>
      </w:r>
      <w:r>
        <w:rPr>
          <w:color w:val="231F20"/>
          <w:spacing w:val="-7"/>
          <w:sz w:val="15"/>
        </w:rPr>
        <w:t xml:space="preserve"> </w:t>
      </w:r>
      <w:r>
        <w:rPr>
          <w:color w:val="231F20"/>
          <w:sz w:val="15"/>
        </w:rPr>
        <w:t>smlouvy;</w:t>
      </w:r>
      <w:r>
        <w:rPr>
          <w:color w:val="231F20"/>
          <w:spacing w:val="-6"/>
          <w:sz w:val="15"/>
        </w:rPr>
        <w:t xml:space="preserve"> </w:t>
      </w:r>
      <w:r>
        <w:rPr>
          <w:color w:val="231F20"/>
          <w:sz w:val="15"/>
        </w:rPr>
        <w:t>dnem</w:t>
      </w:r>
      <w:r>
        <w:rPr>
          <w:color w:val="231F20"/>
          <w:spacing w:val="-7"/>
          <w:sz w:val="15"/>
        </w:rPr>
        <w:t xml:space="preserve"> </w:t>
      </w:r>
      <w:r>
        <w:rPr>
          <w:color w:val="231F20"/>
          <w:sz w:val="15"/>
        </w:rPr>
        <w:t>doručení</w:t>
      </w:r>
      <w:r>
        <w:rPr>
          <w:color w:val="231F20"/>
          <w:spacing w:val="-6"/>
          <w:sz w:val="15"/>
        </w:rPr>
        <w:t xml:space="preserve"> </w:t>
      </w:r>
      <w:r>
        <w:rPr>
          <w:color w:val="231F20"/>
          <w:sz w:val="15"/>
        </w:rPr>
        <w:t>výpovědi</w:t>
      </w:r>
      <w:r>
        <w:rPr>
          <w:color w:val="231F20"/>
          <w:spacing w:val="-6"/>
          <w:sz w:val="15"/>
        </w:rPr>
        <w:t xml:space="preserve"> </w:t>
      </w:r>
      <w:r>
        <w:rPr>
          <w:color w:val="231F20"/>
          <w:sz w:val="15"/>
        </w:rPr>
        <w:t>počíná</w:t>
      </w:r>
      <w:r>
        <w:rPr>
          <w:color w:val="231F20"/>
          <w:spacing w:val="-7"/>
          <w:sz w:val="15"/>
        </w:rPr>
        <w:t xml:space="preserve"> </w:t>
      </w:r>
      <w:r>
        <w:rPr>
          <w:color w:val="231F20"/>
          <w:sz w:val="15"/>
        </w:rPr>
        <w:t>běžet</w:t>
      </w:r>
      <w:r>
        <w:rPr>
          <w:color w:val="231F20"/>
          <w:spacing w:val="-6"/>
          <w:sz w:val="15"/>
        </w:rPr>
        <w:t xml:space="preserve"> </w:t>
      </w:r>
      <w:r>
        <w:rPr>
          <w:color w:val="231F20"/>
          <w:sz w:val="15"/>
        </w:rPr>
        <w:t>osmidenní</w:t>
      </w:r>
      <w:r>
        <w:rPr>
          <w:color w:val="231F20"/>
          <w:spacing w:val="-6"/>
          <w:sz w:val="15"/>
        </w:rPr>
        <w:t xml:space="preserve"> </w:t>
      </w:r>
      <w:r>
        <w:rPr>
          <w:color w:val="231F20"/>
          <w:spacing w:val="-3"/>
          <w:sz w:val="15"/>
        </w:rPr>
        <w:t xml:space="preserve">výpo- </w:t>
      </w:r>
      <w:r>
        <w:rPr>
          <w:color w:val="231F20"/>
          <w:sz w:val="15"/>
        </w:rPr>
        <w:t>vědní doba, jejímž uplynutím pojištění</w:t>
      </w:r>
      <w:r>
        <w:rPr>
          <w:color w:val="231F20"/>
          <w:spacing w:val="-17"/>
          <w:sz w:val="15"/>
        </w:rPr>
        <w:t xml:space="preserve"> </w:t>
      </w:r>
      <w:r>
        <w:rPr>
          <w:color w:val="231F20"/>
          <w:sz w:val="15"/>
        </w:rPr>
        <w:t>zanikne;</w:t>
      </w:r>
    </w:p>
    <w:p w14:paraId="1D88F6A1" w14:textId="77777777" w:rsidR="00F65BCA" w:rsidRDefault="00216117">
      <w:pPr>
        <w:pStyle w:val="Odstavecseseznamem"/>
        <w:numPr>
          <w:ilvl w:val="1"/>
          <w:numId w:val="7"/>
        </w:numPr>
        <w:tabs>
          <w:tab w:val="left" w:pos="1051"/>
        </w:tabs>
        <w:spacing w:line="278" w:lineRule="auto"/>
        <w:jc w:val="both"/>
        <w:rPr>
          <w:sz w:val="15"/>
        </w:rPr>
      </w:pPr>
      <w:r>
        <w:rPr>
          <w:color w:val="231F20"/>
          <w:sz w:val="15"/>
        </w:rPr>
        <w:t>doručenou</w:t>
      </w:r>
      <w:r>
        <w:rPr>
          <w:color w:val="231F20"/>
          <w:spacing w:val="-16"/>
          <w:sz w:val="15"/>
        </w:rPr>
        <w:t xml:space="preserve"> </w:t>
      </w:r>
      <w:r>
        <w:rPr>
          <w:color w:val="231F20"/>
          <w:sz w:val="15"/>
        </w:rPr>
        <w:t>druhé</w:t>
      </w:r>
      <w:r>
        <w:rPr>
          <w:color w:val="231F20"/>
          <w:spacing w:val="-15"/>
          <w:sz w:val="15"/>
        </w:rPr>
        <w:t xml:space="preserve"> </w:t>
      </w:r>
      <w:r>
        <w:rPr>
          <w:color w:val="231F20"/>
          <w:sz w:val="15"/>
        </w:rPr>
        <w:t>smluvní</w:t>
      </w:r>
      <w:r>
        <w:rPr>
          <w:color w:val="231F20"/>
          <w:spacing w:val="-16"/>
          <w:sz w:val="15"/>
        </w:rPr>
        <w:t xml:space="preserve"> </w:t>
      </w:r>
      <w:r>
        <w:rPr>
          <w:color w:val="231F20"/>
          <w:sz w:val="15"/>
        </w:rPr>
        <w:t>straně</w:t>
      </w:r>
      <w:r>
        <w:rPr>
          <w:color w:val="231F20"/>
          <w:spacing w:val="-15"/>
          <w:sz w:val="15"/>
        </w:rPr>
        <w:t xml:space="preserve"> </w:t>
      </w:r>
      <w:r>
        <w:rPr>
          <w:color w:val="231F20"/>
          <w:sz w:val="15"/>
        </w:rPr>
        <w:t>do</w:t>
      </w:r>
      <w:r>
        <w:rPr>
          <w:color w:val="231F20"/>
          <w:spacing w:val="-16"/>
          <w:sz w:val="15"/>
        </w:rPr>
        <w:t xml:space="preserve"> </w:t>
      </w:r>
      <w:r>
        <w:rPr>
          <w:color w:val="231F20"/>
          <w:sz w:val="15"/>
        </w:rPr>
        <w:t>tří</w:t>
      </w:r>
      <w:r>
        <w:rPr>
          <w:color w:val="231F20"/>
          <w:spacing w:val="-15"/>
          <w:sz w:val="15"/>
        </w:rPr>
        <w:t xml:space="preserve"> </w:t>
      </w:r>
      <w:r>
        <w:rPr>
          <w:color w:val="231F20"/>
          <w:sz w:val="15"/>
        </w:rPr>
        <w:t>měsíců</w:t>
      </w:r>
      <w:r>
        <w:rPr>
          <w:color w:val="231F20"/>
          <w:spacing w:val="-15"/>
          <w:sz w:val="15"/>
        </w:rPr>
        <w:t xml:space="preserve"> </w:t>
      </w:r>
      <w:r>
        <w:rPr>
          <w:color w:val="231F20"/>
          <w:sz w:val="15"/>
        </w:rPr>
        <w:t>ode</w:t>
      </w:r>
      <w:r>
        <w:rPr>
          <w:color w:val="231F20"/>
          <w:spacing w:val="-16"/>
          <w:sz w:val="15"/>
        </w:rPr>
        <w:t xml:space="preserve"> </w:t>
      </w:r>
      <w:r>
        <w:rPr>
          <w:color w:val="231F20"/>
          <w:sz w:val="15"/>
        </w:rPr>
        <w:t>dne</w:t>
      </w:r>
      <w:r>
        <w:rPr>
          <w:color w:val="231F20"/>
          <w:spacing w:val="-15"/>
          <w:sz w:val="15"/>
        </w:rPr>
        <w:t xml:space="preserve"> </w:t>
      </w:r>
      <w:r>
        <w:rPr>
          <w:color w:val="231F20"/>
          <w:sz w:val="15"/>
        </w:rPr>
        <w:t>oznámení</w:t>
      </w:r>
      <w:r>
        <w:rPr>
          <w:color w:val="231F20"/>
          <w:spacing w:val="-16"/>
          <w:sz w:val="15"/>
        </w:rPr>
        <w:t xml:space="preserve"> </w:t>
      </w:r>
      <w:r>
        <w:rPr>
          <w:color w:val="231F20"/>
          <w:spacing w:val="-3"/>
          <w:sz w:val="15"/>
        </w:rPr>
        <w:t xml:space="preserve">vzniku </w:t>
      </w:r>
      <w:r>
        <w:rPr>
          <w:color w:val="231F20"/>
          <w:sz w:val="15"/>
        </w:rPr>
        <w:t>pojistné</w:t>
      </w:r>
      <w:r>
        <w:rPr>
          <w:color w:val="231F20"/>
          <w:spacing w:val="-5"/>
          <w:sz w:val="15"/>
        </w:rPr>
        <w:t xml:space="preserve"> </w:t>
      </w:r>
      <w:r>
        <w:rPr>
          <w:color w:val="231F20"/>
          <w:sz w:val="15"/>
        </w:rPr>
        <w:t>události.</w:t>
      </w:r>
      <w:r>
        <w:rPr>
          <w:color w:val="231F20"/>
          <w:spacing w:val="-5"/>
          <w:sz w:val="15"/>
        </w:rPr>
        <w:t xml:space="preserve"> </w:t>
      </w:r>
      <w:r>
        <w:rPr>
          <w:color w:val="231F20"/>
          <w:sz w:val="15"/>
        </w:rPr>
        <w:t>Dnem</w:t>
      </w:r>
      <w:r>
        <w:rPr>
          <w:color w:val="231F20"/>
          <w:spacing w:val="-5"/>
          <w:sz w:val="15"/>
        </w:rPr>
        <w:t xml:space="preserve"> </w:t>
      </w:r>
      <w:r>
        <w:rPr>
          <w:color w:val="231F20"/>
          <w:sz w:val="15"/>
        </w:rPr>
        <w:t>doručení</w:t>
      </w:r>
      <w:r>
        <w:rPr>
          <w:color w:val="231F20"/>
          <w:spacing w:val="-4"/>
          <w:sz w:val="15"/>
        </w:rPr>
        <w:t xml:space="preserve"> </w:t>
      </w:r>
      <w:r>
        <w:rPr>
          <w:color w:val="231F20"/>
          <w:sz w:val="15"/>
        </w:rPr>
        <w:t>výpovědi</w:t>
      </w:r>
      <w:r>
        <w:rPr>
          <w:color w:val="231F20"/>
          <w:spacing w:val="-5"/>
          <w:sz w:val="15"/>
        </w:rPr>
        <w:t xml:space="preserve"> </w:t>
      </w:r>
      <w:r>
        <w:rPr>
          <w:color w:val="231F20"/>
          <w:sz w:val="15"/>
        </w:rPr>
        <w:t>počíná</w:t>
      </w:r>
      <w:r>
        <w:rPr>
          <w:color w:val="231F20"/>
          <w:spacing w:val="-5"/>
          <w:sz w:val="15"/>
        </w:rPr>
        <w:t xml:space="preserve"> </w:t>
      </w:r>
      <w:r>
        <w:rPr>
          <w:color w:val="231F20"/>
          <w:sz w:val="15"/>
        </w:rPr>
        <w:t>běžet</w:t>
      </w:r>
      <w:r>
        <w:rPr>
          <w:color w:val="231F20"/>
          <w:spacing w:val="-4"/>
          <w:sz w:val="15"/>
        </w:rPr>
        <w:t xml:space="preserve"> </w:t>
      </w:r>
      <w:r>
        <w:rPr>
          <w:color w:val="231F20"/>
          <w:sz w:val="15"/>
        </w:rPr>
        <w:t>měsíční</w:t>
      </w:r>
      <w:r>
        <w:rPr>
          <w:color w:val="231F20"/>
          <w:spacing w:val="-5"/>
          <w:sz w:val="15"/>
        </w:rPr>
        <w:t xml:space="preserve"> </w:t>
      </w:r>
      <w:r>
        <w:rPr>
          <w:color w:val="231F20"/>
          <w:spacing w:val="-4"/>
          <w:sz w:val="15"/>
        </w:rPr>
        <w:t xml:space="preserve">výpo- </w:t>
      </w:r>
      <w:r>
        <w:rPr>
          <w:color w:val="231F20"/>
          <w:sz w:val="15"/>
        </w:rPr>
        <w:t>vědní</w:t>
      </w:r>
      <w:r>
        <w:rPr>
          <w:color w:val="231F20"/>
          <w:spacing w:val="-13"/>
          <w:sz w:val="15"/>
        </w:rPr>
        <w:t xml:space="preserve"> </w:t>
      </w:r>
      <w:r>
        <w:rPr>
          <w:color w:val="231F20"/>
          <w:sz w:val="15"/>
        </w:rPr>
        <w:t>doba,</w:t>
      </w:r>
      <w:r>
        <w:rPr>
          <w:color w:val="231F20"/>
          <w:spacing w:val="-13"/>
          <w:sz w:val="15"/>
        </w:rPr>
        <w:t xml:space="preserve"> </w:t>
      </w:r>
      <w:r>
        <w:rPr>
          <w:color w:val="231F20"/>
          <w:sz w:val="15"/>
        </w:rPr>
        <w:t>jejímž</w:t>
      </w:r>
      <w:r>
        <w:rPr>
          <w:color w:val="231F20"/>
          <w:spacing w:val="-12"/>
          <w:sz w:val="15"/>
        </w:rPr>
        <w:t xml:space="preserve"> </w:t>
      </w:r>
      <w:r>
        <w:rPr>
          <w:color w:val="231F20"/>
          <w:sz w:val="15"/>
        </w:rPr>
        <w:t>uplynutím</w:t>
      </w:r>
      <w:r>
        <w:rPr>
          <w:color w:val="231F20"/>
          <w:spacing w:val="-13"/>
          <w:sz w:val="15"/>
        </w:rPr>
        <w:t xml:space="preserve"> </w:t>
      </w:r>
      <w:r>
        <w:rPr>
          <w:color w:val="231F20"/>
          <w:sz w:val="15"/>
        </w:rPr>
        <w:t>pojištění</w:t>
      </w:r>
      <w:r>
        <w:rPr>
          <w:color w:val="231F20"/>
          <w:spacing w:val="-12"/>
          <w:sz w:val="15"/>
        </w:rPr>
        <w:t xml:space="preserve"> </w:t>
      </w:r>
      <w:r>
        <w:rPr>
          <w:color w:val="231F20"/>
          <w:sz w:val="15"/>
        </w:rPr>
        <w:t>jednotlivého</w:t>
      </w:r>
      <w:r>
        <w:rPr>
          <w:color w:val="231F20"/>
          <w:spacing w:val="-13"/>
          <w:sz w:val="15"/>
        </w:rPr>
        <w:t xml:space="preserve"> </w:t>
      </w:r>
      <w:r>
        <w:rPr>
          <w:color w:val="231F20"/>
          <w:sz w:val="15"/>
        </w:rPr>
        <w:t>vozidla</w:t>
      </w:r>
      <w:r>
        <w:rPr>
          <w:color w:val="231F20"/>
          <w:spacing w:val="-13"/>
          <w:sz w:val="15"/>
        </w:rPr>
        <w:t xml:space="preserve"> </w:t>
      </w:r>
      <w:r>
        <w:rPr>
          <w:color w:val="231F20"/>
          <w:sz w:val="15"/>
        </w:rPr>
        <w:t>zanikne;</w:t>
      </w:r>
    </w:p>
    <w:p w14:paraId="2A6A43E0" w14:textId="77777777" w:rsidR="00F65BCA" w:rsidRDefault="00216117">
      <w:pPr>
        <w:pStyle w:val="Odstavecseseznamem"/>
        <w:numPr>
          <w:ilvl w:val="0"/>
          <w:numId w:val="7"/>
        </w:numPr>
        <w:tabs>
          <w:tab w:val="left" w:pos="881"/>
        </w:tabs>
        <w:spacing w:line="172" w:lineRule="exact"/>
        <w:ind w:left="880"/>
        <w:jc w:val="both"/>
        <w:rPr>
          <w:sz w:val="15"/>
        </w:rPr>
      </w:pPr>
      <w:r>
        <w:rPr>
          <w:color w:val="231F20"/>
          <w:sz w:val="15"/>
        </w:rPr>
        <w:t>dohodou smluvních</w:t>
      </w:r>
      <w:r>
        <w:rPr>
          <w:color w:val="231F20"/>
          <w:spacing w:val="-2"/>
          <w:sz w:val="15"/>
        </w:rPr>
        <w:t xml:space="preserve"> </w:t>
      </w:r>
      <w:r>
        <w:rPr>
          <w:color w:val="231F20"/>
          <w:sz w:val="15"/>
        </w:rPr>
        <w:t>stran;</w:t>
      </w:r>
    </w:p>
    <w:p w14:paraId="49BAA37E" w14:textId="77777777" w:rsidR="00F65BCA" w:rsidRDefault="00216117">
      <w:pPr>
        <w:pStyle w:val="Odstavecseseznamem"/>
        <w:numPr>
          <w:ilvl w:val="0"/>
          <w:numId w:val="7"/>
        </w:numPr>
        <w:tabs>
          <w:tab w:val="left" w:pos="881"/>
        </w:tabs>
        <w:spacing w:before="27"/>
        <w:ind w:left="880"/>
        <w:jc w:val="both"/>
        <w:rPr>
          <w:sz w:val="15"/>
        </w:rPr>
      </w:pPr>
      <w:r>
        <w:rPr>
          <w:color w:val="231F20"/>
          <w:sz w:val="15"/>
        </w:rPr>
        <w:t>odstoupením</w:t>
      </w:r>
      <w:r>
        <w:rPr>
          <w:color w:val="231F20"/>
          <w:spacing w:val="-8"/>
          <w:sz w:val="15"/>
        </w:rPr>
        <w:t xml:space="preserve"> </w:t>
      </w:r>
      <w:r>
        <w:rPr>
          <w:color w:val="231F20"/>
          <w:sz w:val="15"/>
        </w:rPr>
        <w:t>od</w:t>
      </w:r>
      <w:r>
        <w:rPr>
          <w:color w:val="231F20"/>
          <w:spacing w:val="-8"/>
          <w:sz w:val="15"/>
        </w:rPr>
        <w:t xml:space="preserve"> </w:t>
      </w:r>
      <w:r>
        <w:rPr>
          <w:color w:val="231F20"/>
          <w:sz w:val="15"/>
        </w:rPr>
        <w:t>pojistné</w:t>
      </w:r>
      <w:r>
        <w:rPr>
          <w:color w:val="231F20"/>
          <w:spacing w:val="-7"/>
          <w:sz w:val="15"/>
        </w:rPr>
        <w:t xml:space="preserve"> </w:t>
      </w:r>
      <w:r>
        <w:rPr>
          <w:color w:val="231F20"/>
          <w:sz w:val="15"/>
        </w:rPr>
        <w:t>smlouvy</w:t>
      </w:r>
      <w:r>
        <w:rPr>
          <w:color w:val="231F20"/>
          <w:spacing w:val="-8"/>
          <w:sz w:val="15"/>
        </w:rPr>
        <w:t xml:space="preserve"> </w:t>
      </w:r>
      <w:r>
        <w:rPr>
          <w:color w:val="231F20"/>
          <w:sz w:val="15"/>
        </w:rPr>
        <w:t>z</w:t>
      </w:r>
      <w:r>
        <w:rPr>
          <w:color w:val="231F20"/>
          <w:spacing w:val="-8"/>
          <w:sz w:val="15"/>
        </w:rPr>
        <w:t xml:space="preserve"> </w:t>
      </w:r>
      <w:r>
        <w:rPr>
          <w:color w:val="231F20"/>
          <w:sz w:val="15"/>
        </w:rPr>
        <w:t>důvodů</w:t>
      </w:r>
      <w:r>
        <w:rPr>
          <w:color w:val="231F20"/>
          <w:spacing w:val="-7"/>
          <w:sz w:val="15"/>
        </w:rPr>
        <w:t xml:space="preserve"> </w:t>
      </w:r>
      <w:r>
        <w:rPr>
          <w:color w:val="231F20"/>
          <w:sz w:val="15"/>
        </w:rPr>
        <w:t>stanovených</w:t>
      </w:r>
      <w:r>
        <w:rPr>
          <w:color w:val="231F20"/>
          <w:spacing w:val="-8"/>
          <w:sz w:val="15"/>
        </w:rPr>
        <w:t xml:space="preserve"> </w:t>
      </w:r>
      <w:r>
        <w:rPr>
          <w:color w:val="231F20"/>
          <w:sz w:val="15"/>
        </w:rPr>
        <w:t>v</w:t>
      </w:r>
      <w:r>
        <w:rPr>
          <w:color w:val="231F20"/>
          <w:spacing w:val="-8"/>
          <w:sz w:val="15"/>
        </w:rPr>
        <w:t xml:space="preserve"> </w:t>
      </w:r>
      <w:r>
        <w:rPr>
          <w:color w:val="231F20"/>
          <w:sz w:val="15"/>
        </w:rPr>
        <w:t>zákoníku;</w:t>
      </w:r>
    </w:p>
    <w:p w14:paraId="181EFEAE" w14:textId="77777777" w:rsidR="00F65BCA" w:rsidRDefault="00216117">
      <w:pPr>
        <w:pStyle w:val="Zkladntext"/>
        <w:spacing w:before="27" w:line="278" w:lineRule="auto"/>
        <w:ind w:left="880" w:hanging="171"/>
        <w:jc w:val="both"/>
      </w:pPr>
      <w:r>
        <w:rPr>
          <w:color w:val="231F20"/>
        </w:rPr>
        <w:t>i z dalších důvodů uvedených v zákoníku nebo jiných příslušných právních předpisech.</w:t>
      </w:r>
    </w:p>
    <w:p w14:paraId="781D0DE2" w14:textId="77777777" w:rsidR="00F65BCA" w:rsidRDefault="00216117">
      <w:pPr>
        <w:pStyle w:val="Zkladntext"/>
        <w:ind w:left="426"/>
      </w:pPr>
      <w:r>
        <w:rPr>
          <w:color w:val="231F20"/>
          <w:w w:val="105"/>
        </w:rPr>
        <w:t>Speciální důvody zániku povinného ručení</w:t>
      </w:r>
    </w:p>
    <w:p w14:paraId="0DAA8B8B" w14:textId="77777777" w:rsidR="00F65BCA" w:rsidRDefault="00216117">
      <w:pPr>
        <w:pStyle w:val="Zkladntext"/>
        <w:spacing w:before="27" w:line="278" w:lineRule="auto"/>
        <w:ind w:left="710" w:hanging="283"/>
      </w:pPr>
      <w:r>
        <w:rPr>
          <w:color w:val="231F20"/>
          <w:position w:val="1"/>
          <w:sz w:val="14"/>
          <w:shd w:val="clear" w:color="auto" w:fill="D1D3D4"/>
        </w:rPr>
        <w:t xml:space="preserve"> 15</w:t>
      </w:r>
      <w:r>
        <w:rPr>
          <w:color w:val="231F20"/>
          <w:position w:val="1"/>
          <w:sz w:val="14"/>
        </w:rPr>
        <w:t xml:space="preserve"> </w:t>
      </w:r>
      <w:r>
        <w:rPr>
          <w:color w:val="231F20"/>
        </w:rPr>
        <w:t>Povinné ručení zanikne dnem, kdy pojistník, jeho dědic nebo jiný právní ná- stupce oznámí a doloží Pojišťovně zánik svého pojistného zájmu.</w:t>
      </w:r>
    </w:p>
    <w:p w14:paraId="62B81176" w14:textId="77777777" w:rsidR="00F65BCA" w:rsidRDefault="00216117">
      <w:pPr>
        <w:pStyle w:val="Zkladntext"/>
        <w:ind w:left="426"/>
      </w:pPr>
      <w:r>
        <w:rPr>
          <w:color w:val="231F20"/>
          <w:w w:val="105"/>
        </w:rPr>
        <w:t>Speciální důvody zániku havarijního pojištění</w:t>
      </w:r>
    </w:p>
    <w:p w14:paraId="4A82BE06" w14:textId="77777777" w:rsidR="00F65BCA" w:rsidRDefault="00216117">
      <w:pPr>
        <w:pStyle w:val="Zkladntext"/>
        <w:spacing w:before="27"/>
        <w:ind w:left="428"/>
      </w:pPr>
      <w:r>
        <w:rPr>
          <w:color w:val="231F20"/>
          <w:position w:val="1"/>
          <w:sz w:val="14"/>
          <w:shd w:val="clear" w:color="auto" w:fill="D1D3D4"/>
        </w:rPr>
        <w:t xml:space="preserve"> 16</w:t>
      </w:r>
      <w:r>
        <w:rPr>
          <w:color w:val="231F20"/>
          <w:position w:val="1"/>
          <w:sz w:val="14"/>
        </w:rPr>
        <w:t xml:space="preserve"> </w:t>
      </w:r>
      <w:r>
        <w:rPr>
          <w:color w:val="231F20"/>
        </w:rPr>
        <w:t>Havarijní pojištění zanikne zejména:</w:t>
      </w:r>
    </w:p>
    <w:p w14:paraId="14C0C413" w14:textId="77777777" w:rsidR="00F65BCA" w:rsidRDefault="00216117">
      <w:pPr>
        <w:pStyle w:val="Odstavecseseznamem"/>
        <w:numPr>
          <w:ilvl w:val="0"/>
          <w:numId w:val="134"/>
        </w:numPr>
        <w:tabs>
          <w:tab w:val="left" w:pos="881"/>
        </w:tabs>
        <w:spacing w:before="27" w:line="278" w:lineRule="auto"/>
        <w:jc w:val="both"/>
        <w:rPr>
          <w:sz w:val="15"/>
        </w:rPr>
      </w:pPr>
      <w:r>
        <w:rPr>
          <w:color w:val="231F20"/>
          <w:sz w:val="15"/>
        </w:rPr>
        <w:t>dnem, kdy pojistník, jeho dědic nebo jiný právní nástupce vozidla</w:t>
      </w:r>
      <w:r>
        <w:rPr>
          <w:color w:val="231F20"/>
          <w:spacing w:val="-20"/>
          <w:sz w:val="15"/>
        </w:rPr>
        <w:t xml:space="preserve"> </w:t>
      </w:r>
      <w:r>
        <w:rPr>
          <w:color w:val="231F20"/>
          <w:spacing w:val="-3"/>
          <w:sz w:val="15"/>
        </w:rPr>
        <w:t xml:space="preserve">oznámí </w:t>
      </w:r>
      <w:r>
        <w:rPr>
          <w:color w:val="231F20"/>
          <w:sz w:val="15"/>
        </w:rPr>
        <w:t>a</w:t>
      </w:r>
      <w:r>
        <w:rPr>
          <w:color w:val="231F20"/>
          <w:spacing w:val="-28"/>
          <w:sz w:val="15"/>
        </w:rPr>
        <w:t xml:space="preserve"> </w:t>
      </w:r>
      <w:r>
        <w:rPr>
          <w:color w:val="231F20"/>
          <w:sz w:val="15"/>
        </w:rPr>
        <w:t>doloží</w:t>
      </w:r>
      <w:r>
        <w:rPr>
          <w:color w:val="231F20"/>
          <w:spacing w:val="-28"/>
          <w:sz w:val="15"/>
        </w:rPr>
        <w:t xml:space="preserve"> </w:t>
      </w:r>
      <w:r>
        <w:rPr>
          <w:color w:val="231F20"/>
          <w:sz w:val="15"/>
        </w:rPr>
        <w:t>Pojišťovně</w:t>
      </w:r>
      <w:r>
        <w:rPr>
          <w:color w:val="231F20"/>
          <w:spacing w:val="-27"/>
          <w:sz w:val="15"/>
        </w:rPr>
        <w:t xml:space="preserve"> </w:t>
      </w:r>
      <w:r>
        <w:rPr>
          <w:color w:val="231F20"/>
          <w:sz w:val="15"/>
        </w:rPr>
        <w:t>změnu</w:t>
      </w:r>
      <w:r>
        <w:rPr>
          <w:color w:val="231F20"/>
          <w:spacing w:val="-28"/>
          <w:sz w:val="15"/>
        </w:rPr>
        <w:t xml:space="preserve"> </w:t>
      </w:r>
      <w:r>
        <w:rPr>
          <w:color w:val="231F20"/>
          <w:sz w:val="15"/>
        </w:rPr>
        <w:t>vlastnictví</w:t>
      </w:r>
      <w:r>
        <w:rPr>
          <w:color w:val="231F20"/>
          <w:spacing w:val="-27"/>
          <w:sz w:val="15"/>
        </w:rPr>
        <w:t xml:space="preserve"> </w:t>
      </w:r>
      <w:r>
        <w:rPr>
          <w:color w:val="231F20"/>
          <w:sz w:val="15"/>
        </w:rPr>
        <w:t>vozidla.</w:t>
      </w:r>
      <w:r>
        <w:rPr>
          <w:color w:val="231F20"/>
          <w:spacing w:val="-28"/>
          <w:sz w:val="15"/>
        </w:rPr>
        <w:t xml:space="preserve"> </w:t>
      </w:r>
      <w:r>
        <w:rPr>
          <w:color w:val="231F20"/>
          <w:sz w:val="15"/>
        </w:rPr>
        <w:t>Pojištění</w:t>
      </w:r>
      <w:r>
        <w:rPr>
          <w:color w:val="231F20"/>
          <w:spacing w:val="-28"/>
          <w:sz w:val="15"/>
        </w:rPr>
        <w:t xml:space="preserve"> </w:t>
      </w:r>
      <w:r>
        <w:rPr>
          <w:color w:val="231F20"/>
          <w:sz w:val="15"/>
        </w:rPr>
        <w:t>však</w:t>
      </w:r>
      <w:r>
        <w:rPr>
          <w:color w:val="231F20"/>
          <w:spacing w:val="-27"/>
          <w:sz w:val="15"/>
        </w:rPr>
        <w:t xml:space="preserve"> </w:t>
      </w:r>
      <w:r>
        <w:rPr>
          <w:color w:val="231F20"/>
          <w:sz w:val="15"/>
        </w:rPr>
        <w:t>nezanikne</w:t>
      </w:r>
      <w:r>
        <w:rPr>
          <w:color w:val="231F20"/>
          <w:spacing w:val="-28"/>
          <w:sz w:val="15"/>
        </w:rPr>
        <w:t xml:space="preserve"> </w:t>
      </w:r>
      <w:r>
        <w:rPr>
          <w:color w:val="231F20"/>
          <w:sz w:val="15"/>
        </w:rPr>
        <w:t>v</w:t>
      </w:r>
      <w:r>
        <w:rPr>
          <w:color w:val="231F20"/>
          <w:spacing w:val="-27"/>
          <w:sz w:val="15"/>
        </w:rPr>
        <w:t xml:space="preserve"> </w:t>
      </w:r>
      <w:r>
        <w:rPr>
          <w:color w:val="231F20"/>
          <w:sz w:val="15"/>
        </w:rPr>
        <w:t>pří- padě,</w:t>
      </w:r>
      <w:r>
        <w:rPr>
          <w:color w:val="231F20"/>
          <w:spacing w:val="-10"/>
          <w:sz w:val="15"/>
        </w:rPr>
        <w:t xml:space="preserve"> </w:t>
      </w:r>
      <w:r>
        <w:rPr>
          <w:color w:val="231F20"/>
          <w:sz w:val="15"/>
        </w:rPr>
        <w:t>že</w:t>
      </w:r>
      <w:r>
        <w:rPr>
          <w:color w:val="231F20"/>
          <w:spacing w:val="-9"/>
          <w:sz w:val="15"/>
        </w:rPr>
        <w:t xml:space="preserve"> </w:t>
      </w:r>
      <w:r>
        <w:rPr>
          <w:color w:val="231F20"/>
          <w:sz w:val="15"/>
        </w:rPr>
        <w:t>se</w:t>
      </w:r>
      <w:r>
        <w:rPr>
          <w:color w:val="231F20"/>
          <w:spacing w:val="-9"/>
          <w:sz w:val="15"/>
        </w:rPr>
        <w:t xml:space="preserve"> </w:t>
      </w:r>
      <w:r>
        <w:rPr>
          <w:color w:val="231F20"/>
          <w:sz w:val="15"/>
        </w:rPr>
        <w:t>pojistník</w:t>
      </w:r>
      <w:r>
        <w:rPr>
          <w:color w:val="231F20"/>
          <w:spacing w:val="-9"/>
          <w:sz w:val="15"/>
        </w:rPr>
        <w:t xml:space="preserve"> </w:t>
      </w:r>
      <w:r>
        <w:rPr>
          <w:color w:val="231F20"/>
          <w:sz w:val="15"/>
        </w:rPr>
        <w:t>stane</w:t>
      </w:r>
      <w:r>
        <w:rPr>
          <w:color w:val="231F20"/>
          <w:spacing w:val="-9"/>
          <w:sz w:val="15"/>
        </w:rPr>
        <w:t xml:space="preserve"> </w:t>
      </w:r>
      <w:r>
        <w:rPr>
          <w:color w:val="231F20"/>
          <w:sz w:val="15"/>
        </w:rPr>
        <w:t>nově</w:t>
      </w:r>
      <w:r>
        <w:rPr>
          <w:color w:val="231F20"/>
          <w:spacing w:val="-9"/>
          <w:sz w:val="15"/>
        </w:rPr>
        <w:t xml:space="preserve"> </w:t>
      </w:r>
      <w:r>
        <w:rPr>
          <w:color w:val="231F20"/>
          <w:sz w:val="15"/>
        </w:rPr>
        <w:t>vlastníkem</w:t>
      </w:r>
      <w:r>
        <w:rPr>
          <w:color w:val="231F20"/>
          <w:spacing w:val="-9"/>
          <w:sz w:val="15"/>
        </w:rPr>
        <w:t xml:space="preserve"> </w:t>
      </w:r>
      <w:r>
        <w:rPr>
          <w:color w:val="231F20"/>
          <w:sz w:val="15"/>
        </w:rPr>
        <w:t>vozidla</w:t>
      </w:r>
      <w:r>
        <w:rPr>
          <w:color w:val="231F20"/>
          <w:spacing w:val="-10"/>
          <w:sz w:val="15"/>
        </w:rPr>
        <w:t xml:space="preserve"> </w:t>
      </w:r>
      <w:r>
        <w:rPr>
          <w:color w:val="231F20"/>
          <w:sz w:val="15"/>
        </w:rPr>
        <w:t>a</w:t>
      </w:r>
      <w:r>
        <w:rPr>
          <w:color w:val="231F20"/>
          <w:spacing w:val="-9"/>
          <w:sz w:val="15"/>
        </w:rPr>
        <w:t xml:space="preserve"> </w:t>
      </w:r>
      <w:r>
        <w:rPr>
          <w:color w:val="231F20"/>
          <w:sz w:val="15"/>
        </w:rPr>
        <w:t>při</w:t>
      </w:r>
      <w:r>
        <w:rPr>
          <w:color w:val="231F20"/>
          <w:spacing w:val="-9"/>
          <w:sz w:val="15"/>
        </w:rPr>
        <w:t xml:space="preserve"> </w:t>
      </w:r>
      <w:r>
        <w:rPr>
          <w:color w:val="231F20"/>
          <w:sz w:val="15"/>
        </w:rPr>
        <w:t>oznámení</w:t>
      </w:r>
      <w:r>
        <w:rPr>
          <w:color w:val="231F20"/>
          <w:spacing w:val="-9"/>
          <w:sz w:val="15"/>
        </w:rPr>
        <w:t xml:space="preserve"> </w:t>
      </w:r>
      <w:r>
        <w:rPr>
          <w:color w:val="231F20"/>
          <w:spacing w:val="-4"/>
          <w:sz w:val="15"/>
        </w:rPr>
        <w:t xml:space="preserve">změny </w:t>
      </w:r>
      <w:r>
        <w:rPr>
          <w:color w:val="231F20"/>
          <w:sz w:val="15"/>
        </w:rPr>
        <w:t>vlastníka</w:t>
      </w:r>
      <w:r>
        <w:rPr>
          <w:color w:val="231F20"/>
          <w:spacing w:val="-5"/>
          <w:sz w:val="15"/>
        </w:rPr>
        <w:t xml:space="preserve"> </w:t>
      </w:r>
      <w:r>
        <w:rPr>
          <w:color w:val="231F20"/>
          <w:sz w:val="15"/>
        </w:rPr>
        <w:t>dá</w:t>
      </w:r>
      <w:r>
        <w:rPr>
          <w:color w:val="231F20"/>
          <w:spacing w:val="-5"/>
          <w:sz w:val="15"/>
        </w:rPr>
        <w:t xml:space="preserve"> </w:t>
      </w:r>
      <w:r>
        <w:rPr>
          <w:color w:val="231F20"/>
          <w:sz w:val="15"/>
        </w:rPr>
        <w:t>najevo</w:t>
      </w:r>
      <w:r>
        <w:rPr>
          <w:color w:val="231F20"/>
          <w:spacing w:val="-4"/>
          <w:sz w:val="15"/>
        </w:rPr>
        <w:t xml:space="preserve"> </w:t>
      </w:r>
      <w:r>
        <w:rPr>
          <w:color w:val="231F20"/>
          <w:sz w:val="15"/>
        </w:rPr>
        <w:t>svůj</w:t>
      </w:r>
      <w:r>
        <w:rPr>
          <w:color w:val="231F20"/>
          <w:spacing w:val="-5"/>
          <w:sz w:val="15"/>
        </w:rPr>
        <w:t xml:space="preserve"> </w:t>
      </w:r>
      <w:r>
        <w:rPr>
          <w:color w:val="231F20"/>
          <w:sz w:val="15"/>
        </w:rPr>
        <w:t>zájem,</w:t>
      </w:r>
      <w:r>
        <w:rPr>
          <w:color w:val="231F20"/>
          <w:spacing w:val="-5"/>
          <w:sz w:val="15"/>
        </w:rPr>
        <w:t xml:space="preserve"> </w:t>
      </w:r>
      <w:r>
        <w:rPr>
          <w:color w:val="231F20"/>
          <w:sz w:val="15"/>
        </w:rPr>
        <w:t>aby</w:t>
      </w:r>
      <w:r>
        <w:rPr>
          <w:color w:val="231F20"/>
          <w:spacing w:val="-4"/>
          <w:sz w:val="15"/>
        </w:rPr>
        <w:t xml:space="preserve"> </w:t>
      </w:r>
      <w:r>
        <w:rPr>
          <w:color w:val="231F20"/>
          <w:sz w:val="15"/>
        </w:rPr>
        <w:t>pojištění</w:t>
      </w:r>
      <w:r>
        <w:rPr>
          <w:color w:val="231F20"/>
          <w:spacing w:val="-5"/>
          <w:sz w:val="15"/>
        </w:rPr>
        <w:t xml:space="preserve"> </w:t>
      </w:r>
      <w:r>
        <w:rPr>
          <w:color w:val="231F20"/>
          <w:sz w:val="15"/>
        </w:rPr>
        <w:t>dále</w:t>
      </w:r>
      <w:r>
        <w:rPr>
          <w:color w:val="231F20"/>
          <w:spacing w:val="-4"/>
          <w:sz w:val="15"/>
        </w:rPr>
        <w:t xml:space="preserve"> </w:t>
      </w:r>
      <w:r>
        <w:rPr>
          <w:color w:val="231F20"/>
          <w:sz w:val="15"/>
        </w:rPr>
        <w:t>trvalo;</w:t>
      </w:r>
    </w:p>
    <w:p w14:paraId="422EC2DA" w14:textId="77777777" w:rsidR="00F65BCA" w:rsidRDefault="00216117">
      <w:pPr>
        <w:pStyle w:val="Odstavecseseznamem"/>
        <w:numPr>
          <w:ilvl w:val="0"/>
          <w:numId w:val="134"/>
        </w:numPr>
        <w:tabs>
          <w:tab w:val="left" w:pos="881"/>
        </w:tabs>
        <w:spacing w:line="278" w:lineRule="auto"/>
        <w:jc w:val="both"/>
        <w:rPr>
          <w:sz w:val="15"/>
        </w:rPr>
      </w:pPr>
      <w:r>
        <w:rPr>
          <w:color w:val="231F20"/>
          <w:sz w:val="15"/>
        </w:rPr>
        <w:t>dnem,</w:t>
      </w:r>
      <w:r>
        <w:rPr>
          <w:color w:val="231F20"/>
          <w:spacing w:val="-15"/>
          <w:sz w:val="15"/>
        </w:rPr>
        <w:t xml:space="preserve"> </w:t>
      </w:r>
      <w:r>
        <w:rPr>
          <w:color w:val="231F20"/>
          <w:sz w:val="15"/>
        </w:rPr>
        <w:t>kdy</w:t>
      </w:r>
      <w:r>
        <w:rPr>
          <w:color w:val="231F20"/>
          <w:spacing w:val="-14"/>
          <w:sz w:val="15"/>
        </w:rPr>
        <w:t xml:space="preserve"> </w:t>
      </w:r>
      <w:r>
        <w:rPr>
          <w:color w:val="231F20"/>
          <w:sz w:val="15"/>
        </w:rPr>
        <w:t>je</w:t>
      </w:r>
      <w:r>
        <w:rPr>
          <w:color w:val="231F20"/>
          <w:spacing w:val="-15"/>
          <w:sz w:val="15"/>
        </w:rPr>
        <w:t xml:space="preserve"> </w:t>
      </w:r>
      <w:r>
        <w:rPr>
          <w:color w:val="231F20"/>
          <w:sz w:val="15"/>
        </w:rPr>
        <w:t>zveřejněno</w:t>
      </w:r>
      <w:r>
        <w:rPr>
          <w:color w:val="231F20"/>
          <w:spacing w:val="-14"/>
          <w:sz w:val="15"/>
        </w:rPr>
        <w:t xml:space="preserve"> </w:t>
      </w:r>
      <w:r>
        <w:rPr>
          <w:color w:val="231F20"/>
          <w:sz w:val="15"/>
        </w:rPr>
        <w:t>usnesení</w:t>
      </w:r>
      <w:r>
        <w:rPr>
          <w:color w:val="231F20"/>
          <w:spacing w:val="-14"/>
          <w:sz w:val="15"/>
        </w:rPr>
        <w:t xml:space="preserve"> </w:t>
      </w:r>
      <w:r>
        <w:rPr>
          <w:color w:val="231F20"/>
          <w:sz w:val="15"/>
        </w:rPr>
        <w:t>o</w:t>
      </w:r>
      <w:r>
        <w:rPr>
          <w:color w:val="231F20"/>
          <w:spacing w:val="-15"/>
          <w:sz w:val="15"/>
        </w:rPr>
        <w:t xml:space="preserve"> </w:t>
      </w:r>
      <w:r>
        <w:rPr>
          <w:color w:val="231F20"/>
          <w:sz w:val="15"/>
        </w:rPr>
        <w:t>zjištění</w:t>
      </w:r>
      <w:r>
        <w:rPr>
          <w:color w:val="231F20"/>
          <w:spacing w:val="-14"/>
          <w:sz w:val="15"/>
        </w:rPr>
        <w:t xml:space="preserve"> </w:t>
      </w:r>
      <w:r>
        <w:rPr>
          <w:color w:val="231F20"/>
          <w:sz w:val="15"/>
        </w:rPr>
        <w:t>úpadku</w:t>
      </w:r>
      <w:r>
        <w:rPr>
          <w:color w:val="231F20"/>
          <w:spacing w:val="-14"/>
          <w:sz w:val="15"/>
        </w:rPr>
        <w:t xml:space="preserve"> </w:t>
      </w:r>
      <w:r>
        <w:rPr>
          <w:color w:val="231F20"/>
          <w:sz w:val="15"/>
        </w:rPr>
        <w:t>pojistníka</w:t>
      </w:r>
      <w:r>
        <w:rPr>
          <w:color w:val="231F20"/>
          <w:spacing w:val="-15"/>
          <w:sz w:val="15"/>
        </w:rPr>
        <w:t xml:space="preserve"> </w:t>
      </w:r>
      <w:r>
        <w:rPr>
          <w:color w:val="231F20"/>
          <w:sz w:val="15"/>
        </w:rPr>
        <w:t>v</w:t>
      </w:r>
      <w:r>
        <w:rPr>
          <w:color w:val="231F20"/>
          <w:spacing w:val="-14"/>
          <w:sz w:val="15"/>
        </w:rPr>
        <w:t xml:space="preserve"> </w:t>
      </w:r>
      <w:r>
        <w:rPr>
          <w:color w:val="231F20"/>
          <w:sz w:val="15"/>
        </w:rPr>
        <w:t>insolvenč- ním</w:t>
      </w:r>
      <w:r>
        <w:rPr>
          <w:color w:val="231F20"/>
          <w:spacing w:val="-1"/>
          <w:sz w:val="15"/>
        </w:rPr>
        <w:t xml:space="preserve"> </w:t>
      </w:r>
      <w:r>
        <w:rPr>
          <w:color w:val="231F20"/>
          <w:sz w:val="15"/>
        </w:rPr>
        <w:t>rejstříku.</w:t>
      </w:r>
    </w:p>
    <w:p w14:paraId="16F5F6A5" w14:textId="77777777" w:rsidR="00F65BCA" w:rsidRDefault="00216117">
      <w:pPr>
        <w:pStyle w:val="Zkladntext"/>
        <w:ind w:left="426"/>
        <w:jc w:val="both"/>
      </w:pPr>
      <w:r>
        <w:rPr>
          <w:color w:val="231F20"/>
          <w:w w:val="105"/>
        </w:rPr>
        <w:t>Zánik a změny doplňkového pojištění jednotlivých vozidel</w:t>
      </w:r>
    </w:p>
    <w:p w14:paraId="7503DC6C" w14:textId="77777777" w:rsidR="00F65BCA" w:rsidRDefault="00216117">
      <w:pPr>
        <w:pStyle w:val="Zkladntext"/>
        <w:spacing w:before="27" w:line="278" w:lineRule="auto"/>
        <w:ind w:left="710" w:hanging="283"/>
        <w:jc w:val="both"/>
      </w:pPr>
      <w:r>
        <w:rPr>
          <w:color w:val="231F20"/>
          <w:spacing w:val="-22"/>
          <w:position w:val="1"/>
          <w:sz w:val="14"/>
          <w:shd w:val="clear" w:color="auto" w:fill="D1D3D4"/>
        </w:rPr>
        <w:t xml:space="preserve"> </w:t>
      </w:r>
      <w:r>
        <w:rPr>
          <w:color w:val="231F20"/>
          <w:position w:val="1"/>
          <w:sz w:val="14"/>
          <w:shd w:val="clear" w:color="auto" w:fill="D1D3D4"/>
        </w:rPr>
        <w:t>17</w:t>
      </w:r>
      <w:r>
        <w:rPr>
          <w:color w:val="231F20"/>
          <w:spacing w:val="37"/>
          <w:position w:val="1"/>
          <w:sz w:val="14"/>
        </w:rPr>
        <w:t xml:space="preserve"> </w:t>
      </w:r>
      <w:r>
        <w:rPr>
          <w:color w:val="231F20"/>
        </w:rPr>
        <w:t>Kromě</w:t>
      </w:r>
      <w:r>
        <w:rPr>
          <w:color w:val="231F20"/>
          <w:spacing w:val="-13"/>
        </w:rPr>
        <w:t xml:space="preserve"> </w:t>
      </w:r>
      <w:r>
        <w:rPr>
          <w:color w:val="231F20"/>
        </w:rPr>
        <w:t>obecných</w:t>
      </w:r>
      <w:r>
        <w:rPr>
          <w:color w:val="231F20"/>
          <w:spacing w:val="-12"/>
        </w:rPr>
        <w:t xml:space="preserve"> </w:t>
      </w:r>
      <w:r>
        <w:rPr>
          <w:color w:val="231F20"/>
        </w:rPr>
        <w:t>důvodů</w:t>
      </w:r>
      <w:r>
        <w:rPr>
          <w:color w:val="231F20"/>
          <w:spacing w:val="-13"/>
        </w:rPr>
        <w:t xml:space="preserve"> </w:t>
      </w:r>
      <w:r>
        <w:rPr>
          <w:color w:val="231F20"/>
        </w:rPr>
        <w:t>zániku</w:t>
      </w:r>
      <w:r>
        <w:rPr>
          <w:color w:val="231F20"/>
          <w:spacing w:val="-13"/>
        </w:rPr>
        <w:t xml:space="preserve"> </w:t>
      </w:r>
      <w:r>
        <w:rPr>
          <w:color w:val="231F20"/>
        </w:rPr>
        <w:t>pojištění</w:t>
      </w:r>
      <w:r>
        <w:rPr>
          <w:color w:val="231F20"/>
          <w:spacing w:val="-13"/>
        </w:rPr>
        <w:t xml:space="preserve"> </w:t>
      </w:r>
      <w:r>
        <w:rPr>
          <w:color w:val="231F20"/>
        </w:rPr>
        <w:t>ve</w:t>
      </w:r>
      <w:r>
        <w:rPr>
          <w:color w:val="231F20"/>
          <w:spacing w:val="-13"/>
        </w:rPr>
        <w:t xml:space="preserve"> </w:t>
      </w:r>
      <w:r>
        <w:rPr>
          <w:color w:val="231F20"/>
        </w:rPr>
        <w:t>smyslu</w:t>
      </w:r>
      <w:r>
        <w:rPr>
          <w:color w:val="231F20"/>
          <w:spacing w:val="-12"/>
        </w:rPr>
        <w:t xml:space="preserve"> </w:t>
      </w:r>
      <w:r>
        <w:rPr>
          <w:color w:val="231F20"/>
        </w:rPr>
        <w:t>těchto</w:t>
      </w:r>
      <w:r>
        <w:rPr>
          <w:color w:val="231F20"/>
          <w:spacing w:val="-13"/>
        </w:rPr>
        <w:t xml:space="preserve"> </w:t>
      </w:r>
      <w:r>
        <w:rPr>
          <w:color w:val="231F20"/>
        </w:rPr>
        <w:t>VPP</w:t>
      </w:r>
      <w:r>
        <w:rPr>
          <w:color w:val="231F20"/>
          <w:spacing w:val="-13"/>
        </w:rPr>
        <w:t xml:space="preserve"> </w:t>
      </w:r>
      <w:r>
        <w:rPr>
          <w:color w:val="231F20"/>
        </w:rPr>
        <w:t>a</w:t>
      </w:r>
      <w:r>
        <w:rPr>
          <w:color w:val="231F20"/>
          <w:spacing w:val="-13"/>
        </w:rPr>
        <w:t xml:space="preserve"> </w:t>
      </w:r>
      <w:r>
        <w:rPr>
          <w:color w:val="231F20"/>
        </w:rPr>
        <w:t>případných specifických důvodů zániku pojištění, zanikne doplňkové pojištění také</w:t>
      </w:r>
      <w:r>
        <w:rPr>
          <w:color w:val="231F20"/>
          <w:spacing w:val="-23"/>
        </w:rPr>
        <w:t xml:space="preserve"> </w:t>
      </w:r>
      <w:r>
        <w:rPr>
          <w:color w:val="231F20"/>
          <w:spacing w:val="-5"/>
        </w:rPr>
        <w:t xml:space="preserve">vždy </w:t>
      </w:r>
      <w:r>
        <w:rPr>
          <w:color w:val="231F20"/>
        </w:rPr>
        <w:t>nejpozději</w:t>
      </w:r>
      <w:r>
        <w:rPr>
          <w:color w:val="231F20"/>
          <w:spacing w:val="-13"/>
        </w:rPr>
        <w:t xml:space="preserve"> </w:t>
      </w:r>
      <w:r>
        <w:rPr>
          <w:color w:val="231F20"/>
        </w:rPr>
        <w:t>dnem</w:t>
      </w:r>
      <w:r>
        <w:rPr>
          <w:color w:val="231F20"/>
          <w:spacing w:val="-13"/>
        </w:rPr>
        <w:t xml:space="preserve"> </w:t>
      </w:r>
      <w:r>
        <w:rPr>
          <w:color w:val="231F20"/>
        </w:rPr>
        <w:t>zániku</w:t>
      </w:r>
      <w:r>
        <w:rPr>
          <w:color w:val="231F20"/>
          <w:spacing w:val="-13"/>
        </w:rPr>
        <w:t xml:space="preserve"> </w:t>
      </w:r>
      <w:r>
        <w:rPr>
          <w:color w:val="231F20"/>
        </w:rPr>
        <w:t>posledního</w:t>
      </w:r>
      <w:r>
        <w:rPr>
          <w:color w:val="231F20"/>
          <w:spacing w:val="-13"/>
        </w:rPr>
        <w:t xml:space="preserve"> </w:t>
      </w:r>
      <w:r>
        <w:rPr>
          <w:color w:val="231F20"/>
        </w:rPr>
        <w:t>základního</w:t>
      </w:r>
      <w:r>
        <w:rPr>
          <w:color w:val="231F20"/>
          <w:spacing w:val="-13"/>
        </w:rPr>
        <w:t xml:space="preserve"> </w:t>
      </w:r>
      <w:r>
        <w:rPr>
          <w:color w:val="231F20"/>
        </w:rPr>
        <w:t>pojištění,</w:t>
      </w:r>
      <w:r>
        <w:rPr>
          <w:color w:val="231F20"/>
          <w:spacing w:val="-13"/>
        </w:rPr>
        <w:t xml:space="preserve"> </w:t>
      </w:r>
      <w:r>
        <w:rPr>
          <w:color w:val="231F20"/>
        </w:rPr>
        <w:t>ke</w:t>
      </w:r>
      <w:r>
        <w:rPr>
          <w:color w:val="231F20"/>
          <w:spacing w:val="-12"/>
        </w:rPr>
        <w:t xml:space="preserve"> </w:t>
      </w:r>
      <w:r>
        <w:rPr>
          <w:color w:val="231F20"/>
        </w:rPr>
        <w:t>kterému</w:t>
      </w:r>
      <w:r>
        <w:rPr>
          <w:color w:val="231F20"/>
          <w:spacing w:val="-13"/>
        </w:rPr>
        <w:t xml:space="preserve"> </w:t>
      </w:r>
      <w:r>
        <w:rPr>
          <w:color w:val="231F20"/>
        </w:rPr>
        <w:t>bylo</w:t>
      </w:r>
      <w:r>
        <w:rPr>
          <w:color w:val="231F20"/>
          <w:spacing w:val="-13"/>
        </w:rPr>
        <w:t xml:space="preserve"> </w:t>
      </w:r>
      <w:r>
        <w:rPr>
          <w:color w:val="231F20"/>
          <w:spacing w:val="-6"/>
        </w:rPr>
        <w:t xml:space="preserve">do- </w:t>
      </w:r>
      <w:r>
        <w:rPr>
          <w:color w:val="231F20"/>
        </w:rPr>
        <w:t>plňkové pojištění</w:t>
      </w:r>
      <w:r>
        <w:rPr>
          <w:color w:val="231F20"/>
          <w:spacing w:val="-2"/>
        </w:rPr>
        <w:t xml:space="preserve"> </w:t>
      </w:r>
      <w:r>
        <w:rPr>
          <w:color w:val="231F20"/>
        </w:rPr>
        <w:t>sjednáno.</w:t>
      </w:r>
    </w:p>
    <w:p w14:paraId="302C1C30" w14:textId="77777777" w:rsidR="00F65BCA" w:rsidRDefault="00216117">
      <w:pPr>
        <w:pStyle w:val="Zkladntext"/>
        <w:spacing w:line="278" w:lineRule="auto"/>
        <w:ind w:left="710" w:hanging="283"/>
        <w:jc w:val="both"/>
      </w:pPr>
      <w:r>
        <w:rPr>
          <w:color w:val="231F20"/>
          <w:spacing w:val="-22"/>
          <w:position w:val="1"/>
          <w:sz w:val="14"/>
          <w:shd w:val="clear" w:color="auto" w:fill="D1D3D4"/>
        </w:rPr>
        <w:t xml:space="preserve"> </w:t>
      </w:r>
      <w:r>
        <w:rPr>
          <w:color w:val="231F20"/>
          <w:position w:val="1"/>
          <w:sz w:val="14"/>
          <w:shd w:val="clear" w:color="auto" w:fill="D1D3D4"/>
        </w:rPr>
        <w:t>18</w:t>
      </w:r>
      <w:r>
        <w:rPr>
          <w:color w:val="231F20"/>
          <w:position w:val="1"/>
          <w:sz w:val="14"/>
        </w:rPr>
        <w:t xml:space="preserve"> </w:t>
      </w:r>
      <w:r>
        <w:rPr>
          <w:color w:val="231F20"/>
        </w:rPr>
        <w:t xml:space="preserve">Pokud dojde v průběhu pojištění ke změně rozsahu </w:t>
      </w:r>
      <w:r>
        <w:rPr>
          <w:color w:val="231F20"/>
          <w:spacing w:val="2"/>
        </w:rPr>
        <w:t xml:space="preserve">základního </w:t>
      </w:r>
      <w:r>
        <w:rPr>
          <w:color w:val="231F20"/>
        </w:rPr>
        <w:t>pojištění, může</w:t>
      </w:r>
      <w:r>
        <w:rPr>
          <w:color w:val="231F20"/>
          <w:spacing w:val="-7"/>
        </w:rPr>
        <w:t xml:space="preserve"> </w:t>
      </w:r>
      <w:r>
        <w:rPr>
          <w:color w:val="231F20"/>
        </w:rPr>
        <w:t>současně</w:t>
      </w:r>
      <w:r>
        <w:rPr>
          <w:color w:val="231F20"/>
          <w:spacing w:val="-6"/>
        </w:rPr>
        <w:t xml:space="preserve"> </w:t>
      </w:r>
      <w:r>
        <w:rPr>
          <w:color w:val="231F20"/>
        </w:rPr>
        <w:t>dojít</w:t>
      </w:r>
      <w:r>
        <w:rPr>
          <w:color w:val="231F20"/>
          <w:spacing w:val="-6"/>
        </w:rPr>
        <w:t xml:space="preserve"> </w:t>
      </w:r>
      <w:r>
        <w:rPr>
          <w:color w:val="231F20"/>
        </w:rPr>
        <w:t>k</w:t>
      </w:r>
      <w:r>
        <w:rPr>
          <w:color w:val="231F20"/>
          <w:spacing w:val="-7"/>
        </w:rPr>
        <w:t xml:space="preserve"> </w:t>
      </w:r>
      <w:r>
        <w:rPr>
          <w:color w:val="231F20"/>
        </w:rPr>
        <w:t>zániku</w:t>
      </w:r>
      <w:r>
        <w:rPr>
          <w:color w:val="231F20"/>
          <w:spacing w:val="-6"/>
        </w:rPr>
        <w:t xml:space="preserve"> </w:t>
      </w:r>
      <w:r>
        <w:rPr>
          <w:color w:val="231F20"/>
        </w:rPr>
        <w:t>nebo</w:t>
      </w:r>
      <w:r>
        <w:rPr>
          <w:color w:val="231F20"/>
          <w:spacing w:val="-6"/>
        </w:rPr>
        <w:t xml:space="preserve"> </w:t>
      </w:r>
      <w:r>
        <w:rPr>
          <w:color w:val="231F20"/>
        </w:rPr>
        <w:t>ke</w:t>
      </w:r>
      <w:r>
        <w:rPr>
          <w:color w:val="231F20"/>
          <w:spacing w:val="-7"/>
        </w:rPr>
        <w:t xml:space="preserve"> </w:t>
      </w:r>
      <w:r>
        <w:rPr>
          <w:color w:val="231F20"/>
        </w:rPr>
        <w:t>změně</w:t>
      </w:r>
      <w:r>
        <w:rPr>
          <w:color w:val="231F20"/>
          <w:spacing w:val="-6"/>
        </w:rPr>
        <w:t xml:space="preserve"> </w:t>
      </w:r>
      <w:r>
        <w:rPr>
          <w:color w:val="231F20"/>
          <w:spacing w:val="2"/>
        </w:rPr>
        <w:t>varianty</w:t>
      </w:r>
      <w:r>
        <w:rPr>
          <w:color w:val="231F20"/>
          <w:spacing w:val="-6"/>
        </w:rPr>
        <w:t xml:space="preserve"> </w:t>
      </w:r>
      <w:r>
        <w:rPr>
          <w:color w:val="231F20"/>
        </w:rPr>
        <w:t>doplňkového</w:t>
      </w:r>
      <w:r>
        <w:rPr>
          <w:color w:val="231F20"/>
          <w:spacing w:val="-7"/>
        </w:rPr>
        <w:t xml:space="preserve"> </w:t>
      </w:r>
      <w:r>
        <w:rPr>
          <w:color w:val="231F20"/>
        </w:rPr>
        <w:t>pojiště- ní, které bylo společně se základním pojištěním sjednáno. Rozsah</w:t>
      </w:r>
      <w:r>
        <w:rPr>
          <w:color w:val="231F20"/>
          <w:spacing w:val="-27"/>
        </w:rPr>
        <w:t xml:space="preserve"> </w:t>
      </w:r>
      <w:r>
        <w:rPr>
          <w:color w:val="231F20"/>
        </w:rPr>
        <w:t>pojištění je vždy uveden v pojistné</w:t>
      </w:r>
      <w:r>
        <w:rPr>
          <w:color w:val="231F20"/>
          <w:spacing w:val="-4"/>
        </w:rPr>
        <w:t xml:space="preserve"> </w:t>
      </w:r>
      <w:r>
        <w:rPr>
          <w:color w:val="231F20"/>
        </w:rPr>
        <w:t>smlouvě.</w:t>
      </w:r>
    </w:p>
    <w:p w14:paraId="27422825" w14:textId="77777777" w:rsidR="00F65BCA" w:rsidRDefault="00216117">
      <w:pPr>
        <w:pStyle w:val="Zkladntext"/>
        <w:spacing w:line="172" w:lineRule="exact"/>
        <w:ind w:left="426"/>
        <w:jc w:val="both"/>
      </w:pPr>
      <w:r>
        <w:rPr>
          <w:color w:val="231F20"/>
          <w:w w:val="105"/>
        </w:rPr>
        <w:t>Přechod práv a povinností a zákaz postoupení pojistné smlouvy</w:t>
      </w:r>
    </w:p>
    <w:p w14:paraId="300ACA97" w14:textId="77777777" w:rsidR="00F65BCA" w:rsidRDefault="00216117">
      <w:pPr>
        <w:pStyle w:val="Zkladntext"/>
        <w:spacing w:before="26"/>
        <w:ind w:left="428"/>
        <w:jc w:val="both"/>
      </w:pPr>
      <w:r>
        <w:rPr>
          <w:color w:val="231F20"/>
          <w:position w:val="1"/>
          <w:sz w:val="14"/>
          <w:shd w:val="clear" w:color="auto" w:fill="D1D3D4"/>
        </w:rPr>
        <w:t xml:space="preserve"> 19</w:t>
      </w:r>
      <w:r>
        <w:rPr>
          <w:color w:val="231F20"/>
          <w:position w:val="1"/>
          <w:sz w:val="14"/>
        </w:rPr>
        <w:t xml:space="preserve"> </w:t>
      </w:r>
      <w:r>
        <w:rPr>
          <w:color w:val="231F20"/>
        </w:rPr>
        <w:t>Úmrtí vlastníka vozidla, který byl pojistníkem</w:t>
      </w:r>
    </w:p>
    <w:p w14:paraId="290AD0B5" w14:textId="77777777" w:rsidR="00F65BCA" w:rsidRDefault="00216117">
      <w:pPr>
        <w:pStyle w:val="Odstavecseseznamem"/>
        <w:numPr>
          <w:ilvl w:val="0"/>
          <w:numId w:val="133"/>
        </w:numPr>
        <w:tabs>
          <w:tab w:val="left" w:pos="881"/>
        </w:tabs>
        <w:spacing w:before="27"/>
        <w:jc w:val="both"/>
        <w:rPr>
          <w:sz w:val="15"/>
        </w:rPr>
      </w:pPr>
      <w:r>
        <w:rPr>
          <w:color w:val="231F20"/>
          <w:sz w:val="15"/>
        </w:rPr>
        <w:t>Povinné</w:t>
      </w:r>
      <w:r>
        <w:rPr>
          <w:color w:val="231F20"/>
          <w:spacing w:val="-1"/>
          <w:sz w:val="15"/>
        </w:rPr>
        <w:t xml:space="preserve"> </w:t>
      </w:r>
      <w:r>
        <w:rPr>
          <w:color w:val="231F20"/>
          <w:sz w:val="15"/>
        </w:rPr>
        <w:t>ručení</w:t>
      </w:r>
    </w:p>
    <w:p w14:paraId="1EF57F08" w14:textId="77777777" w:rsidR="00F65BCA" w:rsidRDefault="00216117">
      <w:pPr>
        <w:pStyle w:val="Zkladntext"/>
        <w:spacing w:before="28" w:line="278" w:lineRule="auto"/>
        <w:ind w:left="880"/>
        <w:jc w:val="both"/>
      </w:pPr>
      <w:r>
        <w:rPr>
          <w:color w:val="231F20"/>
        </w:rPr>
        <w:t>V</w:t>
      </w:r>
      <w:r>
        <w:rPr>
          <w:color w:val="231F20"/>
          <w:spacing w:val="-25"/>
        </w:rPr>
        <w:t xml:space="preserve"> </w:t>
      </w:r>
      <w:r>
        <w:rPr>
          <w:color w:val="231F20"/>
        </w:rPr>
        <w:t>případě</w:t>
      </w:r>
      <w:r>
        <w:rPr>
          <w:color w:val="231F20"/>
          <w:spacing w:val="-24"/>
        </w:rPr>
        <w:t xml:space="preserve"> </w:t>
      </w:r>
      <w:r>
        <w:rPr>
          <w:color w:val="231F20"/>
        </w:rPr>
        <w:t>úmrtí</w:t>
      </w:r>
      <w:r>
        <w:rPr>
          <w:color w:val="231F20"/>
          <w:spacing w:val="-24"/>
        </w:rPr>
        <w:t xml:space="preserve"> </w:t>
      </w:r>
      <w:r>
        <w:rPr>
          <w:color w:val="231F20"/>
        </w:rPr>
        <w:t>vlastníka</w:t>
      </w:r>
      <w:r>
        <w:rPr>
          <w:color w:val="231F20"/>
          <w:spacing w:val="-24"/>
        </w:rPr>
        <w:t xml:space="preserve"> </w:t>
      </w:r>
      <w:r>
        <w:rPr>
          <w:color w:val="231F20"/>
        </w:rPr>
        <w:t>vozidla</w:t>
      </w:r>
      <w:r>
        <w:rPr>
          <w:color w:val="231F20"/>
          <w:spacing w:val="-24"/>
        </w:rPr>
        <w:t xml:space="preserve"> </w:t>
      </w:r>
      <w:r>
        <w:rPr>
          <w:color w:val="231F20"/>
        </w:rPr>
        <w:t>pojištění</w:t>
      </w:r>
      <w:r>
        <w:rPr>
          <w:color w:val="231F20"/>
          <w:spacing w:val="-24"/>
        </w:rPr>
        <w:t xml:space="preserve"> </w:t>
      </w:r>
      <w:r>
        <w:rPr>
          <w:color w:val="231F20"/>
        </w:rPr>
        <w:t>dále</w:t>
      </w:r>
      <w:r>
        <w:rPr>
          <w:color w:val="231F20"/>
          <w:spacing w:val="-25"/>
        </w:rPr>
        <w:t xml:space="preserve"> </w:t>
      </w:r>
      <w:r>
        <w:rPr>
          <w:color w:val="231F20"/>
        </w:rPr>
        <w:t>trvá</w:t>
      </w:r>
      <w:r>
        <w:rPr>
          <w:color w:val="231F20"/>
          <w:spacing w:val="-24"/>
        </w:rPr>
        <w:t xml:space="preserve"> </w:t>
      </w:r>
      <w:r>
        <w:rPr>
          <w:color w:val="231F20"/>
        </w:rPr>
        <w:t>a</w:t>
      </w:r>
      <w:r>
        <w:rPr>
          <w:color w:val="231F20"/>
          <w:spacing w:val="-24"/>
        </w:rPr>
        <w:t xml:space="preserve"> </w:t>
      </w:r>
      <w:r>
        <w:rPr>
          <w:color w:val="231F20"/>
        </w:rPr>
        <w:t>pojistníky</w:t>
      </w:r>
      <w:r>
        <w:rPr>
          <w:color w:val="231F20"/>
          <w:spacing w:val="-24"/>
        </w:rPr>
        <w:t xml:space="preserve"> </w:t>
      </w:r>
      <w:r>
        <w:rPr>
          <w:color w:val="231F20"/>
        </w:rPr>
        <w:t>se</w:t>
      </w:r>
      <w:r>
        <w:rPr>
          <w:color w:val="231F20"/>
          <w:spacing w:val="-24"/>
        </w:rPr>
        <w:t xml:space="preserve"> </w:t>
      </w:r>
      <w:r>
        <w:rPr>
          <w:color w:val="231F20"/>
        </w:rPr>
        <w:t>stávají</w:t>
      </w:r>
      <w:r>
        <w:rPr>
          <w:color w:val="231F20"/>
          <w:spacing w:val="-24"/>
        </w:rPr>
        <w:t xml:space="preserve"> </w:t>
      </w:r>
      <w:r>
        <w:rPr>
          <w:color w:val="231F20"/>
          <w:spacing w:val="-6"/>
        </w:rPr>
        <w:t xml:space="preserve">dě- </w:t>
      </w:r>
      <w:r>
        <w:rPr>
          <w:color w:val="231F20"/>
        </w:rPr>
        <w:t>dicové</w:t>
      </w:r>
      <w:r>
        <w:rPr>
          <w:color w:val="231F20"/>
          <w:spacing w:val="-27"/>
        </w:rPr>
        <w:t xml:space="preserve"> </w:t>
      </w:r>
      <w:r>
        <w:rPr>
          <w:color w:val="231F20"/>
        </w:rPr>
        <w:t>pojistníka.</w:t>
      </w:r>
      <w:r>
        <w:rPr>
          <w:color w:val="231F20"/>
          <w:spacing w:val="-26"/>
        </w:rPr>
        <w:t xml:space="preserve"> </w:t>
      </w:r>
      <w:r>
        <w:rPr>
          <w:color w:val="231F20"/>
        </w:rPr>
        <w:t>Není-li</w:t>
      </w:r>
      <w:r>
        <w:rPr>
          <w:color w:val="231F20"/>
          <w:spacing w:val="-27"/>
        </w:rPr>
        <w:t xml:space="preserve"> </w:t>
      </w:r>
      <w:r>
        <w:rPr>
          <w:color w:val="231F20"/>
        </w:rPr>
        <w:t>dědic</w:t>
      </w:r>
      <w:r>
        <w:rPr>
          <w:color w:val="231F20"/>
          <w:spacing w:val="-26"/>
        </w:rPr>
        <w:t xml:space="preserve"> </w:t>
      </w:r>
      <w:r>
        <w:rPr>
          <w:color w:val="231F20"/>
        </w:rPr>
        <w:t>současně</w:t>
      </w:r>
      <w:r>
        <w:rPr>
          <w:color w:val="231F20"/>
          <w:spacing w:val="-26"/>
        </w:rPr>
        <w:t xml:space="preserve"> </w:t>
      </w:r>
      <w:r>
        <w:rPr>
          <w:color w:val="231F20"/>
        </w:rPr>
        <w:t>provozovatelem</w:t>
      </w:r>
      <w:r>
        <w:rPr>
          <w:color w:val="231F20"/>
          <w:spacing w:val="-27"/>
        </w:rPr>
        <w:t xml:space="preserve"> </w:t>
      </w:r>
      <w:r>
        <w:rPr>
          <w:color w:val="231F20"/>
        </w:rPr>
        <w:t>vozidla,</w:t>
      </w:r>
      <w:r>
        <w:rPr>
          <w:color w:val="231F20"/>
          <w:spacing w:val="-26"/>
        </w:rPr>
        <w:t xml:space="preserve"> </w:t>
      </w:r>
      <w:r>
        <w:rPr>
          <w:color w:val="231F20"/>
        </w:rPr>
        <w:t>může</w:t>
      </w:r>
      <w:r>
        <w:rPr>
          <w:color w:val="231F20"/>
          <w:spacing w:val="-26"/>
        </w:rPr>
        <w:t xml:space="preserve"> </w:t>
      </w:r>
      <w:r>
        <w:rPr>
          <w:color w:val="231F20"/>
          <w:spacing w:val="-7"/>
        </w:rPr>
        <w:t xml:space="preserve">Po- </w:t>
      </w:r>
      <w:r>
        <w:rPr>
          <w:color w:val="231F20"/>
        </w:rPr>
        <w:t>jišťovně</w:t>
      </w:r>
      <w:r>
        <w:rPr>
          <w:color w:val="231F20"/>
          <w:spacing w:val="-27"/>
        </w:rPr>
        <w:t xml:space="preserve"> </w:t>
      </w:r>
      <w:r>
        <w:rPr>
          <w:color w:val="231F20"/>
        </w:rPr>
        <w:t>oznámit</w:t>
      </w:r>
      <w:r>
        <w:rPr>
          <w:color w:val="231F20"/>
          <w:spacing w:val="-26"/>
        </w:rPr>
        <w:t xml:space="preserve"> </w:t>
      </w:r>
      <w:r>
        <w:rPr>
          <w:color w:val="231F20"/>
        </w:rPr>
        <w:t>zánik</w:t>
      </w:r>
      <w:r>
        <w:rPr>
          <w:color w:val="231F20"/>
          <w:spacing w:val="-26"/>
        </w:rPr>
        <w:t xml:space="preserve"> </w:t>
      </w:r>
      <w:r>
        <w:rPr>
          <w:color w:val="231F20"/>
        </w:rPr>
        <w:t>pojistného</w:t>
      </w:r>
      <w:r>
        <w:rPr>
          <w:color w:val="231F20"/>
          <w:spacing w:val="-26"/>
        </w:rPr>
        <w:t xml:space="preserve"> </w:t>
      </w:r>
      <w:r>
        <w:rPr>
          <w:color w:val="231F20"/>
        </w:rPr>
        <w:t>zájmu.</w:t>
      </w:r>
      <w:r>
        <w:rPr>
          <w:color w:val="231F20"/>
          <w:spacing w:val="-26"/>
        </w:rPr>
        <w:t xml:space="preserve"> </w:t>
      </w:r>
      <w:r>
        <w:rPr>
          <w:color w:val="231F20"/>
        </w:rPr>
        <w:t>S</w:t>
      </w:r>
      <w:r>
        <w:rPr>
          <w:color w:val="231F20"/>
          <w:spacing w:val="-26"/>
        </w:rPr>
        <w:t xml:space="preserve"> </w:t>
      </w:r>
      <w:r>
        <w:rPr>
          <w:color w:val="231F20"/>
        </w:rPr>
        <w:t>oznámením</w:t>
      </w:r>
      <w:r>
        <w:rPr>
          <w:color w:val="231F20"/>
          <w:spacing w:val="-26"/>
        </w:rPr>
        <w:t xml:space="preserve"> </w:t>
      </w:r>
      <w:r>
        <w:rPr>
          <w:color w:val="231F20"/>
        </w:rPr>
        <w:t>současně</w:t>
      </w:r>
      <w:r>
        <w:rPr>
          <w:color w:val="231F20"/>
          <w:spacing w:val="-26"/>
        </w:rPr>
        <w:t xml:space="preserve"> </w:t>
      </w:r>
      <w:r>
        <w:rPr>
          <w:color w:val="231F20"/>
        </w:rPr>
        <w:t>doloží</w:t>
      </w:r>
      <w:r>
        <w:rPr>
          <w:color w:val="231F20"/>
          <w:spacing w:val="-26"/>
        </w:rPr>
        <w:t xml:space="preserve"> </w:t>
      </w:r>
      <w:r>
        <w:rPr>
          <w:color w:val="231F20"/>
          <w:spacing w:val="-4"/>
        </w:rPr>
        <w:t xml:space="preserve">Po- </w:t>
      </w:r>
      <w:r>
        <w:rPr>
          <w:color w:val="231F20"/>
          <w:w w:val="95"/>
        </w:rPr>
        <w:t>jišťovně</w:t>
      </w:r>
      <w:r>
        <w:rPr>
          <w:color w:val="231F20"/>
          <w:spacing w:val="-7"/>
          <w:w w:val="95"/>
        </w:rPr>
        <w:t xml:space="preserve"> </w:t>
      </w:r>
      <w:r>
        <w:rPr>
          <w:color w:val="231F20"/>
          <w:w w:val="95"/>
        </w:rPr>
        <w:t>pravomocné</w:t>
      </w:r>
      <w:r>
        <w:rPr>
          <w:color w:val="231F20"/>
          <w:spacing w:val="-7"/>
          <w:w w:val="95"/>
        </w:rPr>
        <w:t xml:space="preserve"> </w:t>
      </w:r>
      <w:r>
        <w:rPr>
          <w:color w:val="231F20"/>
          <w:w w:val="95"/>
        </w:rPr>
        <w:t>usnesení</w:t>
      </w:r>
      <w:r>
        <w:rPr>
          <w:color w:val="231F20"/>
          <w:spacing w:val="-7"/>
          <w:w w:val="95"/>
        </w:rPr>
        <w:t xml:space="preserve"> </w:t>
      </w:r>
      <w:r>
        <w:rPr>
          <w:color w:val="231F20"/>
          <w:w w:val="95"/>
        </w:rPr>
        <w:t>o</w:t>
      </w:r>
      <w:r>
        <w:rPr>
          <w:color w:val="231F20"/>
          <w:spacing w:val="-7"/>
          <w:w w:val="95"/>
        </w:rPr>
        <w:t xml:space="preserve"> </w:t>
      </w:r>
      <w:r>
        <w:rPr>
          <w:color w:val="231F20"/>
          <w:w w:val="95"/>
        </w:rPr>
        <w:t>dědictví.</w:t>
      </w:r>
      <w:r>
        <w:rPr>
          <w:color w:val="231F20"/>
          <w:spacing w:val="-7"/>
          <w:w w:val="95"/>
        </w:rPr>
        <w:t xml:space="preserve"> </w:t>
      </w:r>
      <w:r>
        <w:rPr>
          <w:color w:val="231F20"/>
          <w:w w:val="95"/>
        </w:rPr>
        <w:t>Tímto</w:t>
      </w:r>
      <w:r>
        <w:rPr>
          <w:color w:val="231F20"/>
          <w:spacing w:val="-6"/>
          <w:w w:val="95"/>
        </w:rPr>
        <w:t xml:space="preserve"> </w:t>
      </w:r>
      <w:r>
        <w:rPr>
          <w:color w:val="231F20"/>
          <w:w w:val="95"/>
        </w:rPr>
        <w:t>oznámením</w:t>
      </w:r>
      <w:r>
        <w:rPr>
          <w:color w:val="231F20"/>
          <w:spacing w:val="-7"/>
          <w:w w:val="95"/>
        </w:rPr>
        <w:t xml:space="preserve"> </w:t>
      </w:r>
      <w:r>
        <w:rPr>
          <w:color w:val="231F20"/>
          <w:w w:val="95"/>
        </w:rPr>
        <w:t>pojištění</w:t>
      </w:r>
      <w:r>
        <w:rPr>
          <w:color w:val="231F20"/>
          <w:spacing w:val="-7"/>
          <w:w w:val="95"/>
        </w:rPr>
        <w:t xml:space="preserve"> </w:t>
      </w:r>
      <w:r>
        <w:rPr>
          <w:color w:val="231F20"/>
          <w:spacing w:val="-3"/>
          <w:w w:val="95"/>
        </w:rPr>
        <w:t>zaniká.</w:t>
      </w:r>
    </w:p>
    <w:p w14:paraId="4B171020" w14:textId="77777777" w:rsidR="00F65BCA" w:rsidRDefault="00216117">
      <w:pPr>
        <w:pStyle w:val="Odstavecseseznamem"/>
        <w:numPr>
          <w:ilvl w:val="0"/>
          <w:numId w:val="133"/>
        </w:numPr>
        <w:tabs>
          <w:tab w:val="left" w:pos="881"/>
        </w:tabs>
        <w:spacing w:line="172" w:lineRule="exact"/>
        <w:jc w:val="both"/>
        <w:rPr>
          <w:sz w:val="15"/>
        </w:rPr>
      </w:pPr>
      <w:r>
        <w:rPr>
          <w:color w:val="231F20"/>
          <w:sz w:val="15"/>
        </w:rPr>
        <w:t>Havarijní</w:t>
      </w:r>
      <w:r>
        <w:rPr>
          <w:color w:val="231F20"/>
          <w:spacing w:val="-1"/>
          <w:sz w:val="15"/>
        </w:rPr>
        <w:t xml:space="preserve"> </w:t>
      </w:r>
      <w:r>
        <w:rPr>
          <w:color w:val="231F20"/>
          <w:sz w:val="15"/>
        </w:rPr>
        <w:t>pojištění</w:t>
      </w:r>
    </w:p>
    <w:p w14:paraId="4ED27AA2" w14:textId="77777777" w:rsidR="00F65BCA" w:rsidRDefault="00216117">
      <w:pPr>
        <w:pStyle w:val="Zkladntext"/>
        <w:spacing w:before="27" w:line="278" w:lineRule="auto"/>
        <w:ind w:left="880"/>
        <w:jc w:val="both"/>
      </w:pPr>
      <w:r>
        <w:rPr>
          <w:color w:val="231F20"/>
        </w:rPr>
        <w:t>V případě úmrtí vlastníka vozidla pojištění dále trvá a pojistníky se</w:t>
      </w:r>
      <w:r>
        <w:rPr>
          <w:color w:val="231F20"/>
          <w:spacing w:val="-24"/>
        </w:rPr>
        <w:t xml:space="preserve"> </w:t>
      </w:r>
      <w:r>
        <w:rPr>
          <w:color w:val="231F20"/>
        </w:rPr>
        <w:t>stáva- jí dědicové pojistníka. Dědic může Pojišťovně oznámit změnu vlastnictví. S</w:t>
      </w:r>
      <w:r>
        <w:rPr>
          <w:color w:val="231F20"/>
          <w:spacing w:val="-28"/>
        </w:rPr>
        <w:t xml:space="preserve"> </w:t>
      </w:r>
      <w:r>
        <w:rPr>
          <w:color w:val="231F20"/>
        </w:rPr>
        <w:t>oznámením</w:t>
      </w:r>
      <w:r>
        <w:rPr>
          <w:color w:val="231F20"/>
          <w:spacing w:val="-28"/>
        </w:rPr>
        <w:t xml:space="preserve"> </w:t>
      </w:r>
      <w:r>
        <w:rPr>
          <w:color w:val="231F20"/>
        </w:rPr>
        <w:t>současně</w:t>
      </w:r>
      <w:r>
        <w:rPr>
          <w:color w:val="231F20"/>
          <w:spacing w:val="-28"/>
        </w:rPr>
        <w:t xml:space="preserve"> </w:t>
      </w:r>
      <w:r>
        <w:rPr>
          <w:color w:val="231F20"/>
        </w:rPr>
        <w:t>doloží</w:t>
      </w:r>
      <w:r>
        <w:rPr>
          <w:color w:val="231F20"/>
          <w:spacing w:val="-27"/>
        </w:rPr>
        <w:t xml:space="preserve"> </w:t>
      </w:r>
      <w:r>
        <w:rPr>
          <w:color w:val="231F20"/>
        </w:rPr>
        <w:t>pravomocné</w:t>
      </w:r>
      <w:r>
        <w:rPr>
          <w:color w:val="231F20"/>
          <w:spacing w:val="-28"/>
        </w:rPr>
        <w:t xml:space="preserve"> </w:t>
      </w:r>
      <w:r>
        <w:rPr>
          <w:color w:val="231F20"/>
        </w:rPr>
        <w:t>usnesení</w:t>
      </w:r>
      <w:r>
        <w:rPr>
          <w:color w:val="231F20"/>
          <w:spacing w:val="-28"/>
        </w:rPr>
        <w:t xml:space="preserve"> </w:t>
      </w:r>
      <w:r>
        <w:rPr>
          <w:color w:val="231F20"/>
        </w:rPr>
        <w:t>o</w:t>
      </w:r>
      <w:r>
        <w:rPr>
          <w:color w:val="231F20"/>
          <w:spacing w:val="-27"/>
        </w:rPr>
        <w:t xml:space="preserve"> </w:t>
      </w:r>
      <w:r>
        <w:rPr>
          <w:color w:val="231F20"/>
        </w:rPr>
        <w:t>dědictví,</w:t>
      </w:r>
      <w:r>
        <w:rPr>
          <w:color w:val="231F20"/>
          <w:spacing w:val="-28"/>
        </w:rPr>
        <w:t xml:space="preserve"> </w:t>
      </w:r>
      <w:r>
        <w:rPr>
          <w:color w:val="231F20"/>
        </w:rPr>
        <w:t>na</w:t>
      </w:r>
      <w:r>
        <w:rPr>
          <w:color w:val="231F20"/>
          <w:spacing w:val="-28"/>
        </w:rPr>
        <w:t xml:space="preserve"> </w:t>
      </w:r>
      <w:r>
        <w:rPr>
          <w:color w:val="231F20"/>
        </w:rPr>
        <w:t>základě kterého</w:t>
      </w:r>
      <w:r>
        <w:rPr>
          <w:color w:val="231F20"/>
          <w:spacing w:val="-20"/>
        </w:rPr>
        <w:t xml:space="preserve"> </w:t>
      </w:r>
      <w:r>
        <w:rPr>
          <w:color w:val="231F20"/>
        </w:rPr>
        <w:t>nabyl</w:t>
      </w:r>
      <w:r>
        <w:rPr>
          <w:color w:val="231F20"/>
          <w:spacing w:val="-20"/>
        </w:rPr>
        <w:t xml:space="preserve"> </w:t>
      </w:r>
      <w:r>
        <w:rPr>
          <w:color w:val="231F20"/>
        </w:rPr>
        <w:t>vlastnictví</w:t>
      </w:r>
      <w:r>
        <w:rPr>
          <w:color w:val="231F20"/>
          <w:spacing w:val="-20"/>
        </w:rPr>
        <w:t xml:space="preserve"> </w:t>
      </w:r>
      <w:r>
        <w:rPr>
          <w:color w:val="231F20"/>
        </w:rPr>
        <w:t>k</w:t>
      </w:r>
      <w:r>
        <w:rPr>
          <w:color w:val="231F20"/>
          <w:spacing w:val="-19"/>
        </w:rPr>
        <w:t xml:space="preserve"> </w:t>
      </w:r>
      <w:r>
        <w:rPr>
          <w:color w:val="231F20"/>
        </w:rPr>
        <w:t>pojištěnému</w:t>
      </w:r>
      <w:r>
        <w:rPr>
          <w:color w:val="231F20"/>
          <w:spacing w:val="-20"/>
        </w:rPr>
        <w:t xml:space="preserve"> </w:t>
      </w:r>
      <w:r>
        <w:rPr>
          <w:color w:val="231F20"/>
        </w:rPr>
        <w:t>vozidlu.</w:t>
      </w:r>
      <w:r>
        <w:rPr>
          <w:color w:val="231F20"/>
          <w:spacing w:val="-20"/>
        </w:rPr>
        <w:t xml:space="preserve"> </w:t>
      </w:r>
      <w:r>
        <w:rPr>
          <w:color w:val="231F20"/>
        </w:rPr>
        <w:t>Tímto</w:t>
      </w:r>
      <w:r>
        <w:rPr>
          <w:color w:val="231F20"/>
          <w:spacing w:val="-20"/>
        </w:rPr>
        <w:t xml:space="preserve"> </w:t>
      </w:r>
      <w:r>
        <w:rPr>
          <w:color w:val="231F20"/>
        </w:rPr>
        <w:t>oznámením</w:t>
      </w:r>
      <w:r>
        <w:rPr>
          <w:color w:val="231F20"/>
          <w:spacing w:val="-19"/>
        </w:rPr>
        <w:t xml:space="preserve"> </w:t>
      </w:r>
      <w:r>
        <w:rPr>
          <w:color w:val="231F20"/>
        </w:rPr>
        <w:t>pojištění zaniká.</w:t>
      </w:r>
    </w:p>
    <w:p w14:paraId="7BB77EFA" w14:textId="77777777" w:rsidR="00F65BCA" w:rsidRDefault="00216117">
      <w:pPr>
        <w:pStyle w:val="Zkladntext"/>
        <w:spacing w:line="172" w:lineRule="exact"/>
        <w:ind w:left="428"/>
        <w:jc w:val="both"/>
      </w:pPr>
      <w:r>
        <w:rPr>
          <w:color w:val="231F20"/>
          <w:position w:val="1"/>
          <w:sz w:val="14"/>
          <w:shd w:val="clear" w:color="auto" w:fill="D1D3D4"/>
        </w:rPr>
        <w:t xml:space="preserve"> 20</w:t>
      </w:r>
      <w:r>
        <w:rPr>
          <w:color w:val="231F20"/>
          <w:position w:val="1"/>
          <w:sz w:val="14"/>
        </w:rPr>
        <w:t xml:space="preserve"> </w:t>
      </w:r>
      <w:r>
        <w:rPr>
          <w:color w:val="231F20"/>
        </w:rPr>
        <w:t>Úmrtí vlastníka vozidla, který nebyl pojistníkem</w:t>
      </w:r>
    </w:p>
    <w:p w14:paraId="498F2CC3" w14:textId="77777777" w:rsidR="00F65BCA" w:rsidRDefault="00216117">
      <w:pPr>
        <w:pStyle w:val="Odstavecseseznamem"/>
        <w:numPr>
          <w:ilvl w:val="0"/>
          <w:numId w:val="132"/>
        </w:numPr>
        <w:tabs>
          <w:tab w:val="left" w:pos="881"/>
        </w:tabs>
        <w:spacing w:before="28"/>
        <w:jc w:val="both"/>
        <w:rPr>
          <w:sz w:val="15"/>
        </w:rPr>
      </w:pPr>
      <w:r>
        <w:rPr>
          <w:color w:val="231F20"/>
          <w:sz w:val="15"/>
        </w:rPr>
        <w:t>Povinné</w:t>
      </w:r>
      <w:r>
        <w:rPr>
          <w:color w:val="231F20"/>
          <w:spacing w:val="-1"/>
          <w:sz w:val="15"/>
        </w:rPr>
        <w:t xml:space="preserve"> </w:t>
      </w:r>
      <w:r>
        <w:rPr>
          <w:color w:val="231F20"/>
          <w:sz w:val="15"/>
        </w:rPr>
        <w:t>ručení</w:t>
      </w:r>
    </w:p>
    <w:p w14:paraId="14B51D11" w14:textId="77777777" w:rsidR="00F65BCA" w:rsidRDefault="00216117">
      <w:pPr>
        <w:pStyle w:val="Zkladntext"/>
        <w:spacing w:before="27" w:line="278" w:lineRule="auto"/>
        <w:ind w:left="880"/>
        <w:jc w:val="both"/>
      </w:pPr>
      <w:r>
        <w:rPr>
          <w:color w:val="231F20"/>
        </w:rPr>
        <w:t>V</w:t>
      </w:r>
      <w:r>
        <w:rPr>
          <w:color w:val="231F20"/>
          <w:spacing w:val="-18"/>
        </w:rPr>
        <w:t xml:space="preserve"> </w:t>
      </w:r>
      <w:r>
        <w:rPr>
          <w:color w:val="231F20"/>
        </w:rPr>
        <w:t>případě</w:t>
      </w:r>
      <w:r>
        <w:rPr>
          <w:color w:val="231F20"/>
          <w:spacing w:val="-18"/>
        </w:rPr>
        <w:t xml:space="preserve"> </w:t>
      </w:r>
      <w:r>
        <w:rPr>
          <w:color w:val="231F20"/>
        </w:rPr>
        <w:t>úmrtí</w:t>
      </w:r>
      <w:r>
        <w:rPr>
          <w:color w:val="231F20"/>
          <w:spacing w:val="-18"/>
        </w:rPr>
        <w:t xml:space="preserve"> </w:t>
      </w:r>
      <w:r>
        <w:rPr>
          <w:color w:val="231F20"/>
        </w:rPr>
        <w:t>vlastníka</w:t>
      </w:r>
      <w:r>
        <w:rPr>
          <w:color w:val="231F20"/>
          <w:spacing w:val="-18"/>
        </w:rPr>
        <w:t xml:space="preserve"> </w:t>
      </w:r>
      <w:r>
        <w:rPr>
          <w:color w:val="231F20"/>
        </w:rPr>
        <w:t>vozidla,</w:t>
      </w:r>
      <w:r>
        <w:rPr>
          <w:color w:val="231F20"/>
          <w:spacing w:val="-17"/>
        </w:rPr>
        <w:t xml:space="preserve"> </w:t>
      </w:r>
      <w:r>
        <w:rPr>
          <w:color w:val="231F20"/>
        </w:rPr>
        <w:t>který</w:t>
      </w:r>
      <w:r>
        <w:rPr>
          <w:color w:val="231F20"/>
          <w:spacing w:val="-18"/>
        </w:rPr>
        <w:t xml:space="preserve"> </w:t>
      </w:r>
      <w:r>
        <w:rPr>
          <w:color w:val="231F20"/>
        </w:rPr>
        <w:t>nebyl</w:t>
      </w:r>
      <w:r>
        <w:rPr>
          <w:color w:val="231F20"/>
          <w:spacing w:val="-18"/>
        </w:rPr>
        <w:t xml:space="preserve"> </w:t>
      </w:r>
      <w:r>
        <w:rPr>
          <w:color w:val="231F20"/>
        </w:rPr>
        <w:t>pojistníkem,</w:t>
      </w:r>
      <w:r>
        <w:rPr>
          <w:color w:val="231F20"/>
          <w:spacing w:val="-18"/>
        </w:rPr>
        <w:t xml:space="preserve"> </w:t>
      </w:r>
      <w:r>
        <w:rPr>
          <w:color w:val="231F20"/>
        </w:rPr>
        <w:t>pojištění</w:t>
      </w:r>
      <w:r>
        <w:rPr>
          <w:color w:val="231F20"/>
          <w:spacing w:val="-18"/>
        </w:rPr>
        <w:t xml:space="preserve"> </w:t>
      </w:r>
      <w:r>
        <w:rPr>
          <w:color w:val="231F20"/>
        </w:rPr>
        <w:t>dál</w:t>
      </w:r>
      <w:r>
        <w:rPr>
          <w:color w:val="231F20"/>
          <w:spacing w:val="-17"/>
        </w:rPr>
        <w:t xml:space="preserve"> </w:t>
      </w:r>
      <w:r>
        <w:rPr>
          <w:color w:val="231F20"/>
          <w:spacing w:val="-3"/>
        </w:rPr>
        <w:t xml:space="preserve">trvá. </w:t>
      </w:r>
      <w:r>
        <w:rPr>
          <w:color w:val="231F20"/>
        </w:rPr>
        <w:t>Pokud</w:t>
      </w:r>
      <w:r>
        <w:rPr>
          <w:color w:val="231F20"/>
          <w:spacing w:val="-14"/>
        </w:rPr>
        <w:t xml:space="preserve"> </w:t>
      </w:r>
      <w:r>
        <w:rPr>
          <w:color w:val="231F20"/>
        </w:rPr>
        <w:t>se</w:t>
      </w:r>
      <w:r>
        <w:rPr>
          <w:color w:val="231F20"/>
          <w:spacing w:val="-13"/>
        </w:rPr>
        <w:t xml:space="preserve"> </w:t>
      </w:r>
      <w:r>
        <w:rPr>
          <w:color w:val="231F20"/>
        </w:rPr>
        <w:t>v</w:t>
      </w:r>
      <w:r>
        <w:rPr>
          <w:color w:val="231F20"/>
          <w:spacing w:val="-13"/>
        </w:rPr>
        <w:t xml:space="preserve"> </w:t>
      </w:r>
      <w:r>
        <w:rPr>
          <w:color w:val="231F20"/>
        </w:rPr>
        <w:t>důsledku</w:t>
      </w:r>
      <w:r>
        <w:rPr>
          <w:color w:val="231F20"/>
          <w:spacing w:val="-13"/>
        </w:rPr>
        <w:t xml:space="preserve"> </w:t>
      </w:r>
      <w:r>
        <w:rPr>
          <w:color w:val="231F20"/>
        </w:rPr>
        <w:t>smrti</w:t>
      </w:r>
      <w:r>
        <w:rPr>
          <w:color w:val="231F20"/>
          <w:spacing w:val="-13"/>
        </w:rPr>
        <w:t xml:space="preserve"> </w:t>
      </w:r>
      <w:r>
        <w:rPr>
          <w:color w:val="231F20"/>
        </w:rPr>
        <w:t>vlastníka</w:t>
      </w:r>
      <w:r>
        <w:rPr>
          <w:color w:val="231F20"/>
          <w:spacing w:val="-13"/>
        </w:rPr>
        <w:t xml:space="preserve"> </w:t>
      </w:r>
      <w:r>
        <w:rPr>
          <w:color w:val="231F20"/>
        </w:rPr>
        <w:t>změní</w:t>
      </w:r>
      <w:r>
        <w:rPr>
          <w:color w:val="231F20"/>
          <w:spacing w:val="-13"/>
        </w:rPr>
        <w:t xml:space="preserve"> </w:t>
      </w:r>
      <w:r>
        <w:rPr>
          <w:color w:val="231F20"/>
        </w:rPr>
        <w:t>provozovatel</w:t>
      </w:r>
      <w:r>
        <w:rPr>
          <w:color w:val="231F20"/>
          <w:spacing w:val="-13"/>
        </w:rPr>
        <w:t xml:space="preserve"> </w:t>
      </w:r>
      <w:r>
        <w:rPr>
          <w:color w:val="231F20"/>
        </w:rPr>
        <w:t>vozidla,</w:t>
      </w:r>
      <w:r>
        <w:rPr>
          <w:color w:val="231F20"/>
          <w:spacing w:val="-13"/>
        </w:rPr>
        <w:t xml:space="preserve"> </w:t>
      </w:r>
      <w:r>
        <w:rPr>
          <w:color w:val="231F20"/>
        </w:rPr>
        <w:t>může</w:t>
      </w:r>
      <w:r>
        <w:rPr>
          <w:color w:val="231F20"/>
          <w:spacing w:val="-14"/>
        </w:rPr>
        <w:t xml:space="preserve"> </w:t>
      </w:r>
      <w:r>
        <w:rPr>
          <w:color w:val="231F20"/>
        </w:rPr>
        <w:t>po- jistník</w:t>
      </w:r>
      <w:r>
        <w:rPr>
          <w:color w:val="231F20"/>
          <w:spacing w:val="-16"/>
        </w:rPr>
        <w:t xml:space="preserve"> </w:t>
      </w:r>
      <w:r>
        <w:rPr>
          <w:color w:val="231F20"/>
        </w:rPr>
        <w:t>Pojišťovně</w:t>
      </w:r>
      <w:r>
        <w:rPr>
          <w:color w:val="231F20"/>
          <w:spacing w:val="-15"/>
        </w:rPr>
        <w:t xml:space="preserve"> </w:t>
      </w:r>
      <w:r>
        <w:rPr>
          <w:color w:val="231F20"/>
        </w:rPr>
        <w:t>oznámit</w:t>
      </w:r>
      <w:r>
        <w:rPr>
          <w:color w:val="231F20"/>
          <w:spacing w:val="-15"/>
        </w:rPr>
        <w:t xml:space="preserve"> </w:t>
      </w:r>
      <w:r>
        <w:rPr>
          <w:color w:val="231F20"/>
        </w:rPr>
        <w:t>zánik</w:t>
      </w:r>
      <w:r>
        <w:rPr>
          <w:color w:val="231F20"/>
          <w:spacing w:val="-16"/>
        </w:rPr>
        <w:t xml:space="preserve"> </w:t>
      </w:r>
      <w:r>
        <w:rPr>
          <w:color w:val="231F20"/>
        </w:rPr>
        <w:t>pojistného</w:t>
      </w:r>
      <w:r>
        <w:rPr>
          <w:color w:val="231F20"/>
          <w:spacing w:val="-15"/>
        </w:rPr>
        <w:t xml:space="preserve"> </w:t>
      </w:r>
      <w:r>
        <w:rPr>
          <w:color w:val="231F20"/>
        </w:rPr>
        <w:t>zájmu.</w:t>
      </w:r>
      <w:r>
        <w:rPr>
          <w:color w:val="231F20"/>
          <w:spacing w:val="-15"/>
        </w:rPr>
        <w:t xml:space="preserve"> </w:t>
      </w:r>
      <w:r>
        <w:rPr>
          <w:color w:val="231F20"/>
        </w:rPr>
        <w:t>Tímto</w:t>
      </w:r>
      <w:r>
        <w:rPr>
          <w:color w:val="231F20"/>
          <w:spacing w:val="-16"/>
        </w:rPr>
        <w:t xml:space="preserve"> </w:t>
      </w:r>
      <w:r>
        <w:rPr>
          <w:color w:val="231F20"/>
        </w:rPr>
        <w:t>oznámením</w:t>
      </w:r>
      <w:r>
        <w:rPr>
          <w:color w:val="231F20"/>
          <w:spacing w:val="-15"/>
        </w:rPr>
        <w:t xml:space="preserve"> </w:t>
      </w:r>
      <w:r>
        <w:rPr>
          <w:color w:val="231F20"/>
          <w:spacing w:val="-3"/>
        </w:rPr>
        <w:t xml:space="preserve">pojiš- </w:t>
      </w:r>
      <w:r>
        <w:rPr>
          <w:color w:val="231F20"/>
        </w:rPr>
        <w:t xml:space="preserve">tění zaniká. K zániku pojistného zájmu nedojde, pokud se pojistník </w:t>
      </w:r>
      <w:r>
        <w:rPr>
          <w:color w:val="231F20"/>
          <w:spacing w:val="-3"/>
        </w:rPr>
        <w:t xml:space="preserve">stane </w:t>
      </w:r>
      <w:r>
        <w:rPr>
          <w:color w:val="231F20"/>
        </w:rPr>
        <w:t>novým provozovatelem</w:t>
      </w:r>
      <w:r>
        <w:rPr>
          <w:color w:val="231F20"/>
          <w:spacing w:val="-3"/>
        </w:rPr>
        <w:t xml:space="preserve"> </w:t>
      </w:r>
      <w:r>
        <w:rPr>
          <w:color w:val="231F20"/>
        </w:rPr>
        <w:t>vozidla.</w:t>
      </w:r>
    </w:p>
    <w:p w14:paraId="0328E20E" w14:textId="77777777" w:rsidR="00F65BCA" w:rsidRDefault="00216117">
      <w:pPr>
        <w:pStyle w:val="Odstavecseseznamem"/>
        <w:numPr>
          <w:ilvl w:val="0"/>
          <w:numId w:val="132"/>
        </w:numPr>
        <w:tabs>
          <w:tab w:val="left" w:pos="881"/>
        </w:tabs>
        <w:spacing w:line="172" w:lineRule="exact"/>
        <w:jc w:val="both"/>
        <w:rPr>
          <w:sz w:val="15"/>
        </w:rPr>
      </w:pPr>
      <w:r>
        <w:rPr>
          <w:color w:val="231F20"/>
          <w:w w:val="95"/>
          <w:sz w:val="15"/>
        </w:rPr>
        <w:t>Havarijní</w:t>
      </w:r>
      <w:r>
        <w:rPr>
          <w:color w:val="231F20"/>
          <w:spacing w:val="-22"/>
          <w:w w:val="95"/>
          <w:sz w:val="15"/>
        </w:rPr>
        <w:t xml:space="preserve"> </w:t>
      </w:r>
      <w:r>
        <w:rPr>
          <w:color w:val="231F20"/>
          <w:w w:val="95"/>
          <w:sz w:val="15"/>
        </w:rPr>
        <w:t>pojištění</w:t>
      </w:r>
    </w:p>
    <w:p w14:paraId="5274F47F" w14:textId="77777777" w:rsidR="00F65BCA" w:rsidRDefault="00216117">
      <w:pPr>
        <w:pStyle w:val="Zkladntext"/>
        <w:spacing w:before="28" w:line="278" w:lineRule="auto"/>
        <w:ind w:left="880"/>
        <w:jc w:val="both"/>
      </w:pPr>
      <w:r>
        <w:rPr>
          <w:color w:val="231F20"/>
        </w:rPr>
        <w:t>V</w:t>
      </w:r>
      <w:r>
        <w:rPr>
          <w:color w:val="231F20"/>
          <w:spacing w:val="-18"/>
        </w:rPr>
        <w:t xml:space="preserve"> </w:t>
      </w:r>
      <w:r>
        <w:rPr>
          <w:color w:val="231F20"/>
        </w:rPr>
        <w:t>případě</w:t>
      </w:r>
      <w:r>
        <w:rPr>
          <w:color w:val="231F20"/>
          <w:spacing w:val="-18"/>
        </w:rPr>
        <w:t xml:space="preserve"> </w:t>
      </w:r>
      <w:r>
        <w:rPr>
          <w:color w:val="231F20"/>
        </w:rPr>
        <w:t>úmrtí</w:t>
      </w:r>
      <w:r>
        <w:rPr>
          <w:color w:val="231F20"/>
          <w:spacing w:val="-18"/>
        </w:rPr>
        <w:t xml:space="preserve"> </w:t>
      </w:r>
      <w:r>
        <w:rPr>
          <w:color w:val="231F20"/>
        </w:rPr>
        <w:t>vlastníka</w:t>
      </w:r>
      <w:r>
        <w:rPr>
          <w:color w:val="231F20"/>
          <w:spacing w:val="-18"/>
        </w:rPr>
        <w:t xml:space="preserve"> </w:t>
      </w:r>
      <w:r>
        <w:rPr>
          <w:color w:val="231F20"/>
        </w:rPr>
        <w:t>vozidla,</w:t>
      </w:r>
      <w:r>
        <w:rPr>
          <w:color w:val="231F20"/>
          <w:spacing w:val="-17"/>
        </w:rPr>
        <w:t xml:space="preserve"> </w:t>
      </w:r>
      <w:r>
        <w:rPr>
          <w:color w:val="231F20"/>
        </w:rPr>
        <w:t>který</w:t>
      </w:r>
      <w:r>
        <w:rPr>
          <w:color w:val="231F20"/>
          <w:spacing w:val="-18"/>
        </w:rPr>
        <w:t xml:space="preserve"> </w:t>
      </w:r>
      <w:r>
        <w:rPr>
          <w:color w:val="231F20"/>
        </w:rPr>
        <w:t>nebyl</w:t>
      </w:r>
      <w:r>
        <w:rPr>
          <w:color w:val="231F20"/>
          <w:spacing w:val="-18"/>
        </w:rPr>
        <w:t xml:space="preserve"> </w:t>
      </w:r>
      <w:r>
        <w:rPr>
          <w:color w:val="231F20"/>
        </w:rPr>
        <w:t>pojistníkem,</w:t>
      </w:r>
      <w:r>
        <w:rPr>
          <w:color w:val="231F20"/>
          <w:spacing w:val="-18"/>
        </w:rPr>
        <w:t xml:space="preserve"> </w:t>
      </w:r>
      <w:r>
        <w:rPr>
          <w:color w:val="231F20"/>
        </w:rPr>
        <w:t>pojištění</w:t>
      </w:r>
      <w:r>
        <w:rPr>
          <w:color w:val="231F20"/>
          <w:spacing w:val="-18"/>
        </w:rPr>
        <w:t xml:space="preserve"> </w:t>
      </w:r>
      <w:r>
        <w:rPr>
          <w:color w:val="231F20"/>
        </w:rPr>
        <w:t>dál</w:t>
      </w:r>
      <w:r>
        <w:rPr>
          <w:color w:val="231F20"/>
          <w:spacing w:val="-17"/>
        </w:rPr>
        <w:t xml:space="preserve"> </w:t>
      </w:r>
      <w:r>
        <w:rPr>
          <w:color w:val="231F20"/>
          <w:spacing w:val="-3"/>
        </w:rPr>
        <w:t xml:space="preserve">trvá. </w:t>
      </w:r>
      <w:r>
        <w:rPr>
          <w:color w:val="231F20"/>
        </w:rPr>
        <w:t>Pojistník</w:t>
      </w:r>
      <w:r>
        <w:rPr>
          <w:color w:val="231F20"/>
          <w:spacing w:val="-15"/>
        </w:rPr>
        <w:t xml:space="preserve"> </w:t>
      </w:r>
      <w:r>
        <w:rPr>
          <w:color w:val="231F20"/>
        </w:rPr>
        <w:t>může</w:t>
      </w:r>
      <w:r>
        <w:rPr>
          <w:color w:val="231F20"/>
          <w:spacing w:val="-15"/>
        </w:rPr>
        <w:t xml:space="preserve"> </w:t>
      </w:r>
      <w:r>
        <w:rPr>
          <w:color w:val="231F20"/>
        </w:rPr>
        <w:t>Pojišťovně</w:t>
      </w:r>
      <w:r>
        <w:rPr>
          <w:color w:val="231F20"/>
          <w:spacing w:val="-15"/>
        </w:rPr>
        <w:t xml:space="preserve"> </w:t>
      </w:r>
      <w:r>
        <w:rPr>
          <w:color w:val="231F20"/>
        </w:rPr>
        <w:t>oznámit,</w:t>
      </w:r>
      <w:r>
        <w:rPr>
          <w:color w:val="231F20"/>
          <w:spacing w:val="-14"/>
        </w:rPr>
        <w:t xml:space="preserve"> </w:t>
      </w:r>
      <w:r>
        <w:rPr>
          <w:color w:val="231F20"/>
        </w:rPr>
        <w:t>že</w:t>
      </w:r>
      <w:r>
        <w:rPr>
          <w:color w:val="231F20"/>
          <w:spacing w:val="-15"/>
        </w:rPr>
        <w:t xml:space="preserve"> </w:t>
      </w:r>
      <w:r>
        <w:rPr>
          <w:color w:val="231F20"/>
        </w:rPr>
        <w:t>vlastník</w:t>
      </w:r>
      <w:r>
        <w:rPr>
          <w:color w:val="231F20"/>
          <w:spacing w:val="-15"/>
        </w:rPr>
        <w:t xml:space="preserve"> </w:t>
      </w:r>
      <w:r>
        <w:rPr>
          <w:color w:val="231F20"/>
        </w:rPr>
        <w:t>vozidla</w:t>
      </w:r>
      <w:r>
        <w:rPr>
          <w:color w:val="231F20"/>
          <w:spacing w:val="-14"/>
        </w:rPr>
        <w:t xml:space="preserve"> </w:t>
      </w:r>
      <w:r>
        <w:rPr>
          <w:color w:val="231F20"/>
        </w:rPr>
        <w:t>zemřel.</w:t>
      </w:r>
      <w:r>
        <w:rPr>
          <w:color w:val="231F20"/>
          <w:spacing w:val="-15"/>
        </w:rPr>
        <w:t xml:space="preserve"> </w:t>
      </w:r>
      <w:r>
        <w:rPr>
          <w:color w:val="231F20"/>
        </w:rPr>
        <w:t>Tímto</w:t>
      </w:r>
      <w:r>
        <w:rPr>
          <w:color w:val="231F20"/>
          <w:spacing w:val="-15"/>
        </w:rPr>
        <w:t xml:space="preserve"> </w:t>
      </w:r>
      <w:r>
        <w:rPr>
          <w:color w:val="231F20"/>
          <w:spacing w:val="-5"/>
        </w:rPr>
        <w:t xml:space="preserve">ozná- </w:t>
      </w:r>
      <w:r>
        <w:rPr>
          <w:color w:val="231F20"/>
        </w:rPr>
        <w:t>mením pojištění</w:t>
      </w:r>
      <w:r>
        <w:rPr>
          <w:color w:val="231F20"/>
          <w:spacing w:val="-2"/>
        </w:rPr>
        <w:t xml:space="preserve"> </w:t>
      </w:r>
      <w:r>
        <w:rPr>
          <w:color w:val="231F20"/>
        </w:rPr>
        <w:t>zaniká.</w:t>
      </w:r>
    </w:p>
    <w:p w14:paraId="6BD49BEE" w14:textId="77777777" w:rsidR="00F65BCA" w:rsidRDefault="00216117">
      <w:pPr>
        <w:pStyle w:val="Zkladntext"/>
        <w:spacing w:line="172" w:lineRule="exact"/>
        <w:ind w:left="428"/>
        <w:jc w:val="both"/>
      </w:pPr>
      <w:r>
        <w:rPr>
          <w:color w:val="231F20"/>
          <w:position w:val="1"/>
          <w:sz w:val="14"/>
          <w:shd w:val="clear" w:color="auto" w:fill="D1D3D4"/>
        </w:rPr>
        <w:t xml:space="preserve"> 21</w:t>
      </w:r>
      <w:r>
        <w:rPr>
          <w:color w:val="231F20"/>
          <w:position w:val="1"/>
          <w:sz w:val="14"/>
        </w:rPr>
        <w:t xml:space="preserve"> </w:t>
      </w:r>
      <w:r>
        <w:rPr>
          <w:color w:val="231F20"/>
        </w:rPr>
        <w:t>Úmrtí pojistníka, který nebyl vlastníkem vozidla</w:t>
      </w:r>
    </w:p>
    <w:p w14:paraId="566EEA9A" w14:textId="77777777" w:rsidR="00F65BCA" w:rsidRDefault="00216117">
      <w:pPr>
        <w:pStyle w:val="Odstavecseseznamem"/>
        <w:numPr>
          <w:ilvl w:val="0"/>
          <w:numId w:val="131"/>
        </w:numPr>
        <w:tabs>
          <w:tab w:val="left" w:pos="881"/>
        </w:tabs>
        <w:spacing w:before="27"/>
        <w:jc w:val="both"/>
        <w:rPr>
          <w:sz w:val="15"/>
        </w:rPr>
      </w:pPr>
      <w:r>
        <w:rPr>
          <w:color w:val="231F20"/>
          <w:sz w:val="15"/>
        </w:rPr>
        <w:t>Povinné</w:t>
      </w:r>
      <w:r>
        <w:rPr>
          <w:color w:val="231F20"/>
          <w:spacing w:val="-1"/>
          <w:sz w:val="15"/>
        </w:rPr>
        <w:t xml:space="preserve"> </w:t>
      </w:r>
      <w:r>
        <w:rPr>
          <w:color w:val="231F20"/>
          <w:sz w:val="15"/>
        </w:rPr>
        <w:t>ručení</w:t>
      </w:r>
    </w:p>
    <w:p w14:paraId="782AFA92" w14:textId="77777777" w:rsidR="00F65BCA" w:rsidRDefault="00216117">
      <w:pPr>
        <w:pStyle w:val="Zkladntext"/>
        <w:spacing w:before="28" w:line="278" w:lineRule="auto"/>
        <w:ind w:left="880"/>
        <w:jc w:val="both"/>
      </w:pPr>
      <w:r>
        <w:rPr>
          <w:color w:val="231F20"/>
        </w:rPr>
        <w:t>V</w:t>
      </w:r>
      <w:r>
        <w:rPr>
          <w:color w:val="231F20"/>
          <w:spacing w:val="-24"/>
        </w:rPr>
        <w:t xml:space="preserve"> </w:t>
      </w:r>
      <w:r>
        <w:rPr>
          <w:color w:val="231F20"/>
        </w:rPr>
        <w:t>případě</w:t>
      </w:r>
      <w:r>
        <w:rPr>
          <w:color w:val="231F20"/>
          <w:spacing w:val="-24"/>
        </w:rPr>
        <w:t xml:space="preserve"> </w:t>
      </w:r>
      <w:r>
        <w:rPr>
          <w:color w:val="231F20"/>
        </w:rPr>
        <w:t>úmrtí</w:t>
      </w:r>
      <w:r>
        <w:rPr>
          <w:color w:val="231F20"/>
          <w:spacing w:val="-23"/>
        </w:rPr>
        <w:t xml:space="preserve"> </w:t>
      </w:r>
      <w:r>
        <w:rPr>
          <w:color w:val="231F20"/>
        </w:rPr>
        <w:t>pojistníka,</w:t>
      </w:r>
      <w:r>
        <w:rPr>
          <w:color w:val="231F20"/>
          <w:spacing w:val="-24"/>
        </w:rPr>
        <w:t xml:space="preserve"> </w:t>
      </w:r>
      <w:r>
        <w:rPr>
          <w:color w:val="231F20"/>
        </w:rPr>
        <w:t>který</w:t>
      </w:r>
      <w:r>
        <w:rPr>
          <w:color w:val="231F20"/>
          <w:spacing w:val="-24"/>
        </w:rPr>
        <w:t xml:space="preserve"> </w:t>
      </w:r>
      <w:r>
        <w:rPr>
          <w:color w:val="231F20"/>
        </w:rPr>
        <w:t>nebyl</w:t>
      </w:r>
      <w:r>
        <w:rPr>
          <w:color w:val="231F20"/>
          <w:spacing w:val="-23"/>
        </w:rPr>
        <w:t xml:space="preserve"> </w:t>
      </w:r>
      <w:r>
        <w:rPr>
          <w:color w:val="231F20"/>
        </w:rPr>
        <w:t>vlastníkem</w:t>
      </w:r>
      <w:r>
        <w:rPr>
          <w:color w:val="231F20"/>
          <w:spacing w:val="-24"/>
        </w:rPr>
        <w:t xml:space="preserve"> </w:t>
      </w:r>
      <w:r>
        <w:rPr>
          <w:color w:val="231F20"/>
        </w:rPr>
        <w:t>vozidla,</w:t>
      </w:r>
      <w:r>
        <w:rPr>
          <w:color w:val="231F20"/>
          <w:spacing w:val="-24"/>
        </w:rPr>
        <w:t xml:space="preserve"> </w:t>
      </w:r>
      <w:r>
        <w:rPr>
          <w:color w:val="231F20"/>
        </w:rPr>
        <w:t>pojištění</w:t>
      </w:r>
      <w:r>
        <w:rPr>
          <w:color w:val="231F20"/>
          <w:spacing w:val="-23"/>
        </w:rPr>
        <w:t xml:space="preserve"> </w:t>
      </w:r>
      <w:r>
        <w:rPr>
          <w:color w:val="231F20"/>
        </w:rPr>
        <w:t>dál</w:t>
      </w:r>
      <w:r>
        <w:rPr>
          <w:color w:val="231F20"/>
          <w:spacing w:val="-24"/>
        </w:rPr>
        <w:t xml:space="preserve"> </w:t>
      </w:r>
      <w:r>
        <w:rPr>
          <w:color w:val="231F20"/>
        </w:rPr>
        <w:t>trvá</w:t>
      </w:r>
      <w:r>
        <w:rPr>
          <w:color w:val="231F20"/>
          <w:spacing w:val="-24"/>
        </w:rPr>
        <w:t xml:space="preserve"> </w:t>
      </w:r>
      <w:r>
        <w:rPr>
          <w:color w:val="231F20"/>
          <w:spacing w:val="-15"/>
        </w:rPr>
        <w:t xml:space="preserve">a </w:t>
      </w:r>
      <w:r>
        <w:rPr>
          <w:color w:val="231F20"/>
        </w:rPr>
        <w:t>pojistníky</w:t>
      </w:r>
      <w:r>
        <w:rPr>
          <w:color w:val="231F20"/>
          <w:spacing w:val="-10"/>
        </w:rPr>
        <w:t xml:space="preserve"> </w:t>
      </w:r>
      <w:r>
        <w:rPr>
          <w:color w:val="231F20"/>
        </w:rPr>
        <w:t>se</w:t>
      </w:r>
      <w:r>
        <w:rPr>
          <w:color w:val="231F20"/>
          <w:spacing w:val="-10"/>
        </w:rPr>
        <w:t xml:space="preserve"> </w:t>
      </w:r>
      <w:r>
        <w:rPr>
          <w:color w:val="231F20"/>
        </w:rPr>
        <w:t>stávají</w:t>
      </w:r>
      <w:r>
        <w:rPr>
          <w:color w:val="231F20"/>
          <w:spacing w:val="-10"/>
        </w:rPr>
        <w:t xml:space="preserve"> </w:t>
      </w:r>
      <w:r>
        <w:rPr>
          <w:color w:val="231F20"/>
        </w:rPr>
        <w:t>dědicové</w:t>
      </w:r>
      <w:r>
        <w:rPr>
          <w:color w:val="231F20"/>
          <w:spacing w:val="-10"/>
        </w:rPr>
        <w:t xml:space="preserve"> </w:t>
      </w:r>
      <w:r>
        <w:rPr>
          <w:color w:val="231F20"/>
        </w:rPr>
        <w:t>pojistníka.</w:t>
      </w:r>
      <w:r>
        <w:rPr>
          <w:color w:val="231F20"/>
          <w:spacing w:val="22"/>
        </w:rPr>
        <w:t xml:space="preserve"> </w:t>
      </w:r>
      <w:r>
        <w:rPr>
          <w:color w:val="231F20"/>
        </w:rPr>
        <w:t>Pokud</w:t>
      </w:r>
      <w:r>
        <w:rPr>
          <w:color w:val="231F20"/>
          <w:spacing w:val="-10"/>
        </w:rPr>
        <w:t xml:space="preserve"> </w:t>
      </w:r>
      <w:r>
        <w:rPr>
          <w:color w:val="231F20"/>
        </w:rPr>
        <w:t>se</w:t>
      </w:r>
      <w:r>
        <w:rPr>
          <w:color w:val="231F20"/>
          <w:spacing w:val="-10"/>
        </w:rPr>
        <w:t xml:space="preserve"> </w:t>
      </w:r>
      <w:r>
        <w:rPr>
          <w:color w:val="231F20"/>
        </w:rPr>
        <w:t>v</w:t>
      </w:r>
      <w:r>
        <w:rPr>
          <w:color w:val="231F20"/>
          <w:spacing w:val="-10"/>
        </w:rPr>
        <w:t xml:space="preserve"> </w:t>
      </w:r>
      <w:r>
        <w:rPr>
          <w:color w:val="231F20"/>
        </w:rPr>
        <w:t>důsledku</w:t>
      </w:r>
      <w:r>
        <w:rPr>
          <w:color w:val="231F20"/>
          <w:spacing w:val="-9"/>
        </w:rPr>
        <w:t xml:space="preserve"> </w:t>
      </w:r>
      <w:r>
        <w:rPr>
          <w:color w:val="231F20"/>
        </w:rPr>
        <w:t>smrti</w:t>
      </w:r>
      <w:r>
        <w:rPr>
          <w:color w:val="231F20"/>
          <w:spacing w:val="-10"/>
        </w:rPr>
        <w:t xml:space="preserve"> </w:t>
      </w:r>
      <w:r>
        <w:rPr>
          <w:color w:val="231F20"/>
          <w:spacing w:val="-3"/>
        </w:rPr>
        <w:t xml:space="preserve">pojist- </w:t>
      </w:r>
      <w:r>
        <w:rPr>
          <w:color w:val="231F20"/>
        </w:rPr>
        <w:t>níka</w:t>
      </w:r>
      <w:r>
        <w:rPr>
          <w:color w:val="231F20"/>
          <w:spacing w:val="-19"/>
        </w:rPr>
        <w:t xml:space="preserve"> </w:t>
      </w:r>
      <w:r>
        <w:rPr>
          <w:color w:val="231F20"/>
        </w:rPr>
        <w:t>změní</w:t>
      </w:r>
      <w:r>
        <w:rPr>
          <w:color w:val="231F20"/>
          <w:spacing w:val="-18"/>
        </w:rPr>
        <w:t xml:space="preserve"> </w:t>
      </w:r>
      <w:r>
        <w:rPr>
          <w:color w:val="231F20"/>
        </w:rPr>
        <w:t>provozovatel</w:t>
      </w:r>
      <w:r>
        <w:rPr>
          <w:color w:val="231F20"/>
          <w:spacing w:val="-18"/>
        </w:rPr>
        <w:t xml:space="preserve"> </w:t>
      </w:r>
      <w:r>
        <w:rPr>
          <w:color w:val="231F20"/>
        </w:rPr>
        <w:t>vozidla,</w:t>
      </w:r>
      <w:r>
        <w:rPr>
          <w:color w:val="231F20"/>
          <w:spacing w:val="-18"/>
        </w:rPr>
        <w:t xml:space="preserve"> </w:t>
      </w:r>
      <w:r>
        <w:rPr>
          <w:color w:val="231F20"/>
        </w:rPr>
        <w:t>může</w:t>
      </w:r>
      <w:r>
        <w:rPr>
          <w:color w:val="231F20"/>
          <w:spacing w:val="-18"/>
        </w:rPr>
        <w:t xml:space="preserve"> </w:t>
      </w:r>
      <w:r>
        <w:rPr>
          <w:color w:val="231F20"/>
        </w:rPr>
        <w:t>dědic</w:t>
      </w:r>
      <w:r>
        <w:rPr>
          <w:color w:val="231F20"/>
          <w:spacing w:val="-18"/>
        </w:rPr>
        <w:t xml:space="preserve"> </w:t>
      </w:r>
      <w:r>
        <w:rPr>
          <w:color w:val="231F20"/>
        </w:rPr>
        <w:t>pojistníka</w:t>
      </w:r>
      <w:r>
        <w:rPr>
          <w:color w:val="231F20"/>
          <w:spacing w:val="-18"/>
        </w:rPr>
        <w:t xml:space="preserve"> </w:t>
      </w:r>
      <w:r>
        <w:rPr>
          <w:color w:val="231F20"/>
        </w:rPr>
        <w:t>Pojišťovně</w:t>
      </w:r>
      <w:r>
        <w:rPr>
          <w:color w:val="231F20"/>
          <w:spacing w:val="-18"/>
        </w:rPr>
        <w:t xml:space="preserve"> </w:t>
      </w:r>
      <w:r>
        <w:rPr>
          <w:color w:val="231F20"/>
          <w:spacing w:val="-3"/>
        </w:rPr>
        <w:t xml:space="preserve">oznámit </w:t>
      </w:r>
      <w:r>
        <w:rPr>
          <w:color w:val="231F20"/>
        </w:rPr>
        <w:t>zánik</w:t>
      </w:r>
      <w:r>
        <w:rPr>
          <w:color w:val="231F20"/>
          <w:spacing w:val="-20"/>
        </w:rPr>
        <w:t xml:space="preserve"> </w:t>
      </w:r>
      <w:r>
        <w:rPr>
          <w:color w:val="231F20"/>
        </w:rPr>
        <w:t>pojistného</w:t>
      </w:r>
      <w:r>
        <w:rPr>
          <w:color w:val="231F20"/>
          <w:spacing w:val="-20"/>
        </w:rPr>
        <w:t xml:space="preserve"> </w:t>
      </w:r>
      <w:r>
        <w:rPr>
          <w:color w:val="231F20"/>
        </w:rPr>
        <w:t>zájmu.</w:t>
      </w:r>
      <w:r>
        <w:rPr>
          <w:color w:val="231F20"/>
          <w:spacing w:val="-19"/>
        </w:rPr>
        <w:t xml:space="preserve"> </w:t>
      </w:r>
      <w:r>
        <w:rPr>
          <w:color w:val="231F20"/>
        </w:rPr>
        <w:t>Tímto</w:t>
      </w:r>
      <w:r>
        <w:rPr>
          <w:color w:val="231F20"/>
          <w:spacing w:val="-20"/>
        </w:rPr>
        <w:t xml:space="preserve"> </w:t>
      </w:r>
      <w:r>
        <w:rPr>
          <w:color w:val="231F20"/>
        </w:rPr>
        <w:t>oznámením</w:t>
      </w:r>
      <w:r>
        <w:rPr>
          <w:color w:val="231F20"/>
          <w:spacing w:val="-19"/>
        </w:rPr>
        <w:t xml:space="preserve"> </w:t>
      </w:r>
      <w:r>
        <w:rPr>
          <w:color w:val="231F20"/>
        </w:rPr>
        <w:t>pojištění</w:t>
      </w:r>
      <w:r>
        <w:rPr>
          <w:color w:val="231F20"/>
          <w:spacing w:val="-20"/>
        </w:rPr>
        <w:t xml:space="preserve"> </w:t>
      </w:r>
      <w:r>
        <w:rPr>
          <w:color w:val="231F20"/>
        </w:rPr>
        <w:t>zaniká.</w:t>
      </w:r>
      <w:r>
        <w:rPr>
          <w:color w:val="231F20"/>
          <w:spacing w:val="-19"/>
        </w:rPr>
        <w:t xml:space="preserve"> </w:t>
      </w:r>
      <w:r>
        <w:rPr>
          <w:color w:val="231F20"/>
        </w:rPr>
        <w:t>K</w:t>
      </w:r>
      <w:r>
        <w:rPr>
          <w:color w:val="231F20"/>
          <w:spacing w:val="-20"/>
        </w:rPr>
        <w:t xml:space="preserve"> </w:t>
      </w:r>
      <w:r>
        <w:rPr>
          <w:color w:val="231F20"/>
        </w:rPr>
        <w:t>zániku</w:t>
      </w:r>
      <w:r>
        <w:rPr>
          <w:color w:val="231F20"/>
          <w:spacing w:val="-19"/>
        </w:rPr>
        <w:t xml:space="preserve"> </w:t>
      </w:r>
      <w:r>
        <w:rPr>
          <w:color w:val="231F20"/>
        </w:rPr>
        <w:t>pojist- ného</w:t>
      </w:r>
      <w:r>
        <w:rPr>
          <w:color w:val="231F20"/>
          <w:spacing w:val="-12"/>
        </w:rPr>
        <w:t xml:space="preserve"> </w:t>
      </w:r>
      <w:r>
        <w:rPr>
          <w:color w:val="231F20"/>
        </w:rPr>
        <w:t>zájmu</w:t>
      </w:r>
      <w:r>
        <w:rPr>
          <w:color w:val="231F20"/>
          <w:spacing w:val="-12"/>
        </w:rPr>
        <w:t xml:space="preserve"> </w:t>
      </w:r>
      <w:r>
        <w:rPr>
          <w:color w:val="231F20"/>
        </w:rPr>
        <w:t>nedojde,</w:t>
      </w:r>
      <w:r>
        <w:rPr>
          <w:color w:val="231F20"/>
          <w:spacing w:val="-12"/>
        </w:rPr>
        <w:t xml:space="preserve"> </w:t>
      </w:r>
      <w:r>
        <w:rPr>
          <w:color w:val="231F20"/>
        </w:rPr>
        <w:t>pokud</w:t>
      </w:r>
      <w:r>
        <w:rPr>
          <w:color w:val="231F20"/>
          <w:spacing w:val="-12"/>
        </w:rPr>
        <w:t xml:space="preserve"> </w:t>
      </w:r>
      <w:r>
        <w:rPr>
          <w:color w:val="231F20"/>
        </w:rPr>
        <w:t>se</w:t>
      </w:r>
      <w:r>
        <w:rPr>
          <w:color w:val="231F20"/>
          <w:spacing w:val="-12"/>
        </w:rPr>
        <w:t xml:space="preserve"> </w:t>
      </w:r>
      <w:r>
        <w:rPr>
          <w:color w:val="231F20"/>
        </w:rPr>
        <w:t>dědic</w:t>
      </w:r>
      <w:r>
        <w:rPr>
          <w:color w:val="231F20"/>
          <w:spacing w:val="-11"/>
        </w:rPr>
        <w:t xml:space="preserve"> </w:t>
      </w:r>
      <w:r>
        <w:rPr>
          <w:color w:val="231F20"/>
        </w:rPr>
        <w:t>pojistníka</w:t>
      </w:r>
      <w:r>
        <w:rPr>
          <w:color w:val="231F20"/>
          <w:spacing w:val="-12"/>
        </w:rPr>
        <w:t xml:space="preserve"> </w:t>
      </w:r>
      <w:r>
        <w:rPr>
          <w:color w:val="231F20"/>
        </w:rPr>
        <w:t>stane</w:t>
      </w:r>
      <w:r>
        <w:rPr>
          <w:color w:val="231F20"/>
          <w:spacing w:val="-12"/>
        </w:rPr>
        <w:t xml:space="preserve"> </w:t>
      </w:r>
      <w:r>
        <w:rPr>
          <w:color w:val="231F20"/>
        </w:rPr>
        <w:t>novým</w:t>
      </w:r>
      <w:r>
        <w:rPr>
          <w:color w:val="231F20"/>
          <w:spacing w:val="-12"/>
        </w:rPr>
        <w:t xml:space="preserve"> </w:t>
      </w:r>
      <w:r>
        <w:rPr>
          <w:color w:val="231F20"/>
        </w:rPr>
        <w:t>provozovate- lem</w:t>
      </w:r>
      <w:r>
        <w:rPr>
          <w:color w:val="231F20"/>
          <w:spacing w:val="-1"/>
        </w:rPr>
        <w:t xml:space="preserve"> </w:t>
      </w:r>
      <w:r>
        <w:rPr>
          <w:color w:val="231F20"/>
        </w:rPr>
        <w:t>vozidla.</w:t>
      </w:r>
    </w:p>
    <w:p w14:paraId="23DBB112" w14:textId="77777777" w:rsidR="00F65BCA" w:rsidRDefault="00216117">
      <w:pPr>
        <w:pStyle w:val="Odstavecseseznamem"/>
        <w:numPr>
          <w:ilvl w:val="0"/>
          <w:numId w:val="131"/>
        </w:numPr>
        <w:tabs>
          <w:tab w:val="left" w:pos="881"/>
        </w:tabs>
        <w:spacing w:line="172" w:lineRule="exact"/>
        <w:jc w:val="both"/>
        <w:rPr>
          <w:sz w:val="15"/>
        </w:rPr>
      </w:pPr>
      <w:r>
        <w:rPr>
          <w:color w:val="231F20"/>
          <w:sz w:val="15"/>
        </w:rPr>
        <w:t>Havarijní</w:t>
      </w:r>
      <w:r>
        <w:rPr>
          <w:color w:val="231F20"/>
          <w:spacing w:val="-1"/>
          <w:sz w:val="15"/>
        </w:rPr>
        <w:t xml:space="preserve"> </w:t>
      </w:r>
      <w:r>
        <w:rPr>
          <w:color w:val="231F20"/>
          <w:sz w:val="15"/>
        </w:rPr>
        <w:t>pojištění</w:t>
      </w:r>
    </w:p>
    <w:p w14:paraId="3E24C719" w14:textId="77777777" w:rsidR="00F65BCA" w:rsidRDefault="00216117">
      <w:pPr>
        <w:pStyle w:val="Zkladntext"/>
        <w:spacing w:before="27" w:line="278" w:lineRule="auto"/>
        <w:ind w:left="880"/>
        <w:jc w:val="both"/>
      </w:pPr>
      <w:r>
        <w:rPr>
          <w:color w:val="231F20"/>
        </w:rPr>
        <w:t>V</w:t>
      </w:r>
      <w:r>
        <w:rPr>
          <w:color w:val="231F20"/>
          <w:spacing w:val="-15"/>
        </w:rPr>
        <w:t xml:space="preserve"> </w:t>
      </w:r>
      <w:r>
        <w:rPr>
          <w:color w:val="231F20"/>
        </w:rPr>
        <w:t>případě</w:t>
      </w:r>
      <w:r>
        <w:rPr>
          <w:color w:val="231F20"/>
          <w:spacing w:val="-15"/>
        </w:rPr>
        <w:t xml:space="preserve"> </w:t>
      </w:r>
      <w:r>
        <w:rPr>
          <w:color w:val="231F20"/>
        </w:rPr>
        <w:t>úmrtí</w:t>
      </w:r>
      <w:r>
        <w:rPr>
          <w:color w:val="231F20"/>
          <w:spacing w:val="-14"/>
        </w:rPr>
        <w:t xml:space="preserve"> </w:t>
      </w:r>
      <w:r>
        <w:rPr>
          <w:color w:val="231F20"/>
        </w:rPr>
        <w:t>pojistníka,</w:t>
      </w:r>
      <w:r>
        <w:rPr>
          <w:color w:val="231F20"/>
          <w:spacing w:val="-15"/>
        </w:rPr>
        <w:t xml:space="preserve"> </w:t>
      </w:r>
      <w:r>
        <w:rPr>
          <w:color w:val="231F20"/>
        </w:rPr>
        <w:t>který</w:t>
      </w:r>
      <w:r>
        <w:rPr>
          <w:color w:val="231F20"/>
          <w:spacing w:val="-15"/>
        </w:rPr>
        <w:t xml:space="preserve"> </w:t>
      </w:r>
      <w:r>
        <w:rPr>
          <w:color w:val="231F20"/>
        </w:rPr>
        <w:t>nebyl</w:t>
      </w:r>
      <w:r>
        <w:rPr>
          <w:color w:val="231F20"/>
          <w:spacing w:val="-14"/>
        </w:rPr>
        <w:t xml:space="preserve"> </w:t>
      </w:r>
      <w:r>
        <w:rPr>
          <w:color w:val="231F20"/>
        </w:rPr>
        <w:t>vlastníkem</w:t>
      </w:r>
      <w:r>
        <w:rPr>
          <w:color w:val="231F20"/>
          <w:spacing w:val="-15"/>
        </w:rPr>
        <w:t xml:space="preserve"> </w:t>
      </w:r>
      <w:r>
        <w:rPr>
          <w:color w:val="231F20"/>
        </w:rPr>
        <w:t>vozidla,</w:t>
      </w:r>
      <w:r>
        <w:rPr>
          <w:color w:val="231F20"/>
          <w:spacing w:val="-15"/>
        </w:rPr>
        <w:t xml:space="preserve"> </w:t>
      </w:r>
      <w:r>
        <w:rPr>
          <w:color w:val="231F20"/>
        </w:rPr>
        <w:t>pojištění</w:t>
      </w:r>
      <w:r>
        <w:rPr>
          <w:color w:val="231F20"/>
          <w:spacing w:val="-14"/>
        </w:rPr>
        <w:t xml:space="preserve"> </w:t>
      </w:r>
      <w:r>
        <w:rPr>
          <w:color w:val="231F20"/>
        </w:rPr>
        <w:t>dál</w:t>
      </w:r>
      <w:r>
        <w:rPr>
          <w:color w:val="231F20"/>
          <w:spacing w:val="-15"/>
        </w:rPr>
        <w:t xml:space="preserve"> </w:t>
      </w:r>
      <w:r>
        <w:rPr>
          <w:color w:val="231F20"/>
        </w:rPr>
        <w:t>trvá a</w:t>
      </w:r>
      <w:r>
        <w:rPr>
          <w:color w:val="231F20"/>
          <w:spacing w:val="-18"/>
        </w:rPr>
        <w:t xml:space="preserve"> </w:t>
      </w:r>
      <w:r>
        <w:rPr>
          <w:color w:val="231F20"/>
        </w:rPr>
        <w:t>pojistníky</w:t>
      </w:r>
      <w:r>
        <w:rPr>
          <w:color w:val="231F20"/>
          <w:spacing w:val="-18"/>
        </w:rPr>
        <w:t xml:space="preserve"> </w:t>
      </w:r>
      <w:r>
        <w:rPr>
          <w:color w:val="231F20"/>
        </w:rPr>
        <w:t>se</w:t>
      </w:r>
      <w:r>
        <w:rPr>
          <w:color w:val="231F20"/>
          <w:spacing w:val="6"/>
        </w:rPr>
        <w:t xml:space="preserve"> </w:t>
      </w:r>
      <w:r>
        <w:rPr>
          <w:color w:val="231F20"/>
        </w:rPr>
        <w:t>stávají</w:t>
      </w:r>
      <w:r>
        <w:rPr>
          <w:color w:val="231F20"/>
          <w:spacing w:val="-18"/>
        </w:rPr>
        <w:t xml:space="preserve"> </w:t>
      </w:r>
      <w:r>
        <w:rPr>
          <w:color w:val="231F20"/>
        </w:rPr>
        <w:t>dědicové</w:t>
      </w:r>
      <w:r>
        <w:rPr>
          <w:color w:val="231F20"/>
          <w:spacing w:val="-18"/>
        </w:rPr>
        <w:t xml:space="preserve"> </w:t>
      </w:r>
      <w:r>
        <w:rPr>
          <w:color w:val="231F20"/>
        </w:rPr>
        <w:t>pojistníka.</w:t>
      </w:r>
      <w:r>
        <w:rPr>
          <w:color w:val="231F20"/>
          <w:spacing w:val="-18"/>
        </w:rPr>
        <w:t xml:space="preserve"> </w:t>
      </w:r>
      <w:r>
        <w:rPr>
          <w:color w:val="231F20"/>
        </w:rPr>
        <w:t>Oznámením</w:t>
      </w:r>
      <w:r>
        <w:rPr>
          <w:color w:val="231F20"/>
          <w:spacing w:val="-17"/>
        </w:rPr>
        <w:t xml:space="preserve"> </w:t>
      </w:r>
      <w:r>
        <w:rPr>
          <w:color w:val="231F20"/>
        </w:rPr>
        <w:t>úmrtí</w:t>
      </w:r>
      <w:r>
        <w:rPr>
          <w:color w:val="231F20"/>
          <w:spacing w:val="-18"/>
        </w:rPr>
        <w:t xml:space="preserve"> </w:t>
      </w:r>
      <w:r>
        <w:rPr>
          <w:color w:val="231F20"/>
        </w:rPr>
        <w:t>pojistníka</w:t>
      </w:r>
      <w:r>
        <w:rPr>
          <w:color w:val="231F20"/>
          <w:spacing w:val="-18"/>
        </w:rPr>
        <w:t xml:space="preserve"> </w:t>
      </w:r>
      <w:r>
        <w:rPr>
          <w:color w:val="231F20"/>
          <w:spacing w:val="-5"/>
        </w:rPr>
        <w:t xml:space="preserve">po- </w:t>
      </w:r>
      <w:r>
        <w:rPr>
          <w:color w:val="231F20"/>
        </w:rPr>
        <w:t>jištění</w:t>
      </w:r>
      <w:r>
        <w:rPr>
          <w:color w:val="231F20"/>
          <w:spacing w:val="-1"/>
        </w:rPr>
        <w:t xml:space="preserve"> </w:t>
      </w:r>
      <w:r>
        <w:rPr>
          <w:color w:val="231F20"/>
        </w:rPr>
        <w:t>nezaniká.</w:t>
      </w:r>
    </w:p>
    <w:p w14:paraId="23F6CF78" w14:textId="77777777" w:rsidR="00F65BCA" w:rsidRDefault="00216117">
      <w:pPr>
        <w:pStyle w:val="Zkladntext"/>
        <w:spacing w:line="172" w:lineRule="exact"/>
        <w:ind w:left="428"/>
        <w:jc w:val="both"/>
      </w:pPr>
      <w:r>
        <w:rPr>
          <w:color w:val="231F20"/>
          <w:position w:val="1"/>
          <w:sz w:val="14"/>
          <w:shd w:val="clear" w:color="auto" w:fill="D1D3D4"/>
        </w:rPr>
        <w:t xml:space="preserve"> 22</w:t>
      </w:r>
      <w:r>
        <w:rPr>
          <w:color w:val="231F20"/>
          <w:position w:val="1"/>
          <w:sz w:val="14"/>
        </w:rPr>
        <w:t xml:space="preserve"> </w:t>
      </w:r>
      <w:r>
        <w:rPr>
          <w:color w:val="231F20"/>
        </w:rPr>
        <w:t>Dědic vstupující do dříve sjednaného pojištění jako pojistník</w:t>
      </w:r>
    </w:p>
    <w:p w14:paraId="4E81E9B6" w14:textId="77777777" w:rsidR="00F65BCA" w:rsidRDefault="00216117">
      <w:pPr>
        <w:pStyle w:val="Zkladntext"/>
        <w:spacing w:before="28" w:line="278" w:lineRule="auto"/>
        <w:ind w:left="710"/>
        <w:jc w:val="both"/>
      </w:pPr>
      <w:r>
        <w:rPr>
          <w:color w:val="231F20"/>
        </w:rPr>
        <w:t xml:space="preserve">Pokud z výše uvedených důvodů vstoupil dědic do již dříve sjednaného </w:t>
      </w:r>
      <w:r>
        <w:rPr>
          <w:color w:val="231F20"/>
          <w:spacing w:val="-6"/>
        </w:rPr>
        <w:t xml:space="preserve">po- </w:t>
      </w:r>
      <w:r>
        <w:rPr>
          <w:color w:val="231F20"/>
        </w:rPr>
        <w:t>jištění</w:t>
      </w:r>
      <w:r>
        <w:rPr>
          <w:color w:val="231F20"/>
          <w:spacing w:val="-22"/>
        </w:rPr>
        <w:t xml:space="preserve"> </w:t>
      </w:r>
      <w:r>
        <w:rPr>
          <w:color w:val="231F20"/>
        </w:rPr>
        <w:t>jako</w:t>
      </w:r>
      <w:r>
        <w:rPr>
          <w:color w:val="231F20"/>
          <w:spacing w:val="-22"/>
        </w:rPr>
        <w:t xml:space="preserve"> </w:t>
      </w:r>
      <w:r>
        <w:rPr>
          <w:color w:val="231F20"/>
        </w:rPr>
        <w:t>pojistník,</w:t>
      </w:r>
      <w:r>
        <w:rPr>
          <w:color w:val="231F20"/>
          <w:spacing w:val="-21"/>
        </w:rPr>
        <w:t xml:space="preserve"> </w:t>
      </w:r>
      <w:r>
        <w:rPr>
          <w:color w:val="231F20"/>
        </w:rPr>
        <w:t>měl</w:t>
      </w:r>
      <w:r>
        <w:rPr>
          <w:color w:val="231F20"/>
          <w:spacing w:val="-22"/>
        </w:rPr>
        <w:t xml:space="preserve"> </w:t>
      </w:r>
      <w:r>
        <w:rPr>
          <w:color w:val="231F20"/>
        </w:rPr>
        <w:t>by</w:t>
      </w:r>
      <w:r>
        <w:rPr>
          <w:color w:val="231F20"/>
          <w:spacing w:val="-22"/>
        </w:rPr>
        <w:t xml:space="preserve"> </w:t>
      </w:r>
      <w:r>
        <w:rPr>
          <w:color w:val="231F20"/>
        </w:rPr>
        <w:t>Pojišťovnu</w:t>
      </w:r>
      <w:r>
        <w:rPr>
          <w:color w:val="231F20"/>
          <w:spacing w:val="-21"/>
        </w:rPr>
        <w:t xml:space="preserve"> </w:t>
      </w:r>
      <w:r>
        <w:rPr>
          <w:color w:val="231F20"/>
        </w:rPr>
        <w:t>kontaktovat.</w:t>
      </w:r>
      <w:r>
        <w:rPr>
          <w:color w:val="231F20"/>
          <w:spacing w:val="-22"/>
        </w:rPr>
        <w:t xml:space="preserve"> </w:t>
      </w:r>
      <w:r>
        <w:rPr>
          <w:color w:val="231F20"/>
        </w:rPr>
        <w:t>Pojištění</w:t>
      </w:r>
      <w:r>
        <w:rPr>
          <w:color w:val="231F20"/>
          <w:spacing w:val="-21"/>
        </w:rPr>
        <w:t xml:space="preserve"> </w:t>
      </w:r>
      <w:r>
        <w:rPr>
          <w:color w:val="231F20"/>
        </w:rPr>
        <w:t>nemusí</w:t>
      </w:r>
      <w:r>
        <w:rPr>
          <w:color w:val="231F20"/>
          <w:spacing w:val="-22"/>
        </w:rPr>
        <w:t xml:space="preserve"> </w:t>
      </w:r>
      <w:r>
        <w:rPr>
          <w:color w:val="231F20"/>
        </w:rPr>
        <w:t>splňovat jeho</w:t>
      </w:r>
      <w:r>
        <w:rPr>
          <w:color w:val="231F20"/>
          <w:spacing w:val="-8"/>
        </w:rPr>
        <w:t xml:space="preserve"> </w:t>
      </w:r>
      <w:r>
        <w:rPr>
          <w:color w:val="231F20"/>
        </w:rPr>
        <w:t>požadavky.</w:t>
      </w:r>
      <w:r>
        <w:rPr>
          <w:color w:val="231F20"/>
          <w:spacing w:val="-7"/>
        </w:rPr>
        <w:t xml:space="preserve"> </w:t>
      </w:r>
      <w:r>
        <w:rPr>
          <w:color w:val="231F20"/>
        </w:rPr>
        <w:t>Pojišťovna</w:t>
      </w:r>
      <w:r>
        <w:rPr>
          <w:color w:val="231F20"/>
          <w:spacing w:val="-7"/>
        </w:rPr>
        <w:t xml:space="preserve"> </w:t>
      </w:r>
      <w:r>
        <w:rPr>
          <w:color w:val="231F20"/>
        </w:rPr>
        <w:t>mu</w:t>
      </w:r>
      <w:r>
        <w:rPr>
          <w:color w:val="231F20"/>
          <w:spacing w:val="-7"/>
        </w:rPr>
        <w:t xml:space="preserve"> </w:t>
      </w:r>
      <w:r>
        <w:rPr>
          <w:color w:val="231F20"/>
        </w:rPr>
        <w:t>pomůže</w:t>
      </w:r>
      <w:r>
        <w:rPr>
          <w:color w:val="231F20"/>
          <w:spacing w:val="-7"/>
        </w:rPr>
        <w:t xml:space="preserve"> </w:t>
      </w:r>
      <w:r>
        <w:rPr>
          <w:color w:val="231F20"/>
        </w:rPr>
        <w:t>nastavit</w:t>
      </w:r>
      <w:r>
        <w:rPr>
          <w:color w:val="231F20"/>
          <w:spacing w:val="-7"/>
        </w:rPr>
        <w:t xml:space="preserve"> </w:t>
      </w:r>
      <w:r>
        <w:rPr>
          <w:color w:val="231F20"/>
        </w:rPr>
        <w:t>pojištění</w:t>
      </w:r>
      <w:r>
        <w:rPr>
          <w:color w:val="231F20"/>
          <w:spacing w:val="-7"/>
        </w:rPr>
        <w:t xml:space="preserve"> </w:t>
      </w:r>
      <w:r>
        <w:rPr>
          <w:color w:val="231F20"/>
        </w:rPr>
        <w:t>na</w:t>
      </w:r>
      <w:r>
        <w:rPr>
          <w:color w:val="231F20"/>
          <w:spacing w:val="-7"/>
        </w:rPr>
        <w:t xml:space="preserve"> </w:t>
      </w:r>
      <w:r>
        <w:rPr>
          <w:color w:val="231F20"/>
        </w:rPr>
        <w:t>míru.</w:t>
      </w:r>
    </w:p>
    <w:p w14:paraId="68EFD104" w14:textId="77777777" w:rsidR="00F65BCA" w:rsidRDefault="00216117">
      <w:pPr>
        <w:pStyle w:val="Zkladntext"/>
        <w:spacing w:before="75" w:line="278" w:lineRule="auto"/>
        <w:ind w:left="469" w:right="425" w:hanging="283"/>
        <w:jc w:val="both"/>
      </w:pPr>
      <w:r>
        <w:br w:type="column"/>
      </w:r>
      <w:r>
        <w:rPr>
          <w:color w:val="231F20"/>
          <w:position w:val="1"/>
          <w:sz w:val="14"/>
          <w:shd w:val="clear" w:color="auto" w:fill="D1D3D4"/>
        </w:rPr>
        <w:t xml:space="preserve"> 23</w:t>
      </w:r>
      <w:r>
        <w:rPr>
          <w:color w:val="231F20"/>
          <w:position w:val="1"/>
          <w:sz w:val="14"/>
        </w:rPr>
        <w:t xml:space="preserve"> </w:t>
      </w:r>
      <w:r>
        <w:rPr>
          <w:color w:val="231F20"/>
        </w:rPr>
        <w:t>Pojistnou smlouvu nelze s výjimkou převodu pojistného kmene postoupit na třetí osobu bez souhlasu druhé smluvní strany.</w:t>
      </w:r>
    </w:p>
    <w:p w14:paraId="533287DA" w14:textId="77777777" w:rsidR="00F65BCA" w:rsidRDefault="00F65BCA">
      <w:pPr>
        <w:pStyle w:val="Zkladntext"/>
        <w:spacing w:before="10"/>
        <w:rPr>
          <w:sz w:val="20"/>
        </w:rPr>
      </w:pPr>
    </w:p>
    <w:p w14:paraId="5492AAA2" w14:textId="77777777" w:rsidR="00F65BCA" w:rsidRDefault="00216117">
      <w:pPr>
        <w:ind w:left="187"/>
        <w:jc w:val="both"/>
        <w:rPr>
          <w:sz w:val="15"/>
        </w:rPr>
      </w:pPr>
      <w:r>
        <w:rPr>
          <w:color w:val="FFFFFF"/>
          <w:sz w:val="16"/>
          <w:shd w:val="clear" w:color="auto" w:fill="808285"/>
        </w:rPr>
        <w:t xml:space="preserve">  Článek 4</w:t>
      </w:r>
      <w:r>
        <w:rPr>
          <w:color w:val="FFFFFF"/>
          <w:sz w:val="16"/>
        </w:rPr>
        <w:t xml:space="preserve"> </w:t>
      </w:r>
      <w:r>
        <w:rPr>
          <w:color w:val="231F20"/>
          <w:position w:val="-2"/>
          <w:sz w:val="15"/>
        </w:rPr>
        <w:t>Pojistné</w:t>
      </w:r>
    </w:p>
    <w:p w14:paraId="19A8ED09" w14:textId="77777777" w:rsidR="00F65BCA" w:rsidRDefault="00216117">
      <w:pPr>
        <w:pStyle w:val="Zkladntext"/>
        <w:spacing w:before="147"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position w:val="1"/>
          <w:sz w:val="14"/>
        </w:rPr>
        <w:t xml:space="preserve"> </w:t>
      </w:r>
      <w:r>
        <w:rPr>
          <w:color w:val="231F20"/>
        </w:rPr>
        <w:t xml:space="preserve">Pojistné stanoví Pojišťovna pomocí pojistné sazby, která je kalkulována na základě pojistně-matematických metod a </w:t>
      </w:r>
      <w:r>
        <w:rPr>
          <w:color w:val="231F20"/>
          <w:spacing w:val="2"/>
        </w:rPr>
        <w:t xml:space="preserve">zahrnuje </w:t>
      </w:r>
      <w:r>
        <w:rPr>
          <w:color w:val="231F20"/>
        </w:rPr>
        <w:t>předpokládané náklady Pojišťovny na pojistné plnění, správní náklady Pojišťovny, povinné odvody z pojistného a přiměřený zisk se zohledněním zejména rozsahu pojištění, ohodnocení rizika na základě údajů o vozidle (kategorie vozidla, objem, hmotnost,</w:t>
      </w:r>
      <w:r>
        <w:rPr>
          <w:color w:val="231F20"/>
          <w:spacing w:val="-18"/>
        </w:rPr>
        <w:t xml:space="preserve"> </w:t>
      </w:r>
      <w:r>
        <w:rPr>
          <w:color w:val="231F20"/>
          <w:spacing w:val="2"/>
        </w:rPr>
        <w:t>výkon</w:t>
      </w:r>
      <w:r>
        <w:rPr>
          <w:color w:val="231F20"/>
          <w:spacing w:val="-18"/>
        </w:rPr>
        <w:t xml:space="preserve"> </w:t>
      </w:r>
      <w:r>
        <w:rPr>
          <w:color w:val="231F20"/>
        </w:rPr>
        <w:t>a</w:t>
      </w:r>
      <w:r>
        <w:rPr>
          <w:color w:val="231F20"/>
          <w:spacing w:val="-18"/>
        </w:rPr>
        <w:t xml:space="preserve"> </w:t>
      </w:r>
      <w:r>
        <w:rPr>
          <w:color w:val="231F20"/>
          <w:spacing w:val="2"/>
        </w:rPr>
        <w:t>další),</w:t>
      </w:r>
      <w:r>
        <w:rPr>
          <w:color w:val="231F20"/>
          <w:spacing w:val="-17"/>
        </w:rPr>
        <w:t xml:space="preserve"> </w:t>
      </w:r>
      <w:r>
        <w:rPr>
          <w:color w:val="231F20"/>
        </w:rPr>
        <w:t>segmentačních</w:t>
      </w:r>
      <w:r>
        <w:rPr>
          <w:color w:val="231F20"/>
          <w:spacing w:val="-18"/>
        </w:rPr>
        <w:t xml:space="preserve"> </w:t>
      </w:r>
      <w:r>
        <w:rPr>
          <w:color w:val="231F20"/>
        </w:rPr>
        <w:t>kritérií</w:t>
      </w:r>
      <w:r>
        <w:rPr>
          <w:color w:val="231F20"/>
          <w:spacing w:val="-18"/>
        </w:rPr>
        <w:t xml:space="preserve"> </w:t>
      </w:r>
      <w:r>
        <w:rPr>
          <w:color w:val="231F20"/>
        </w:rPr>
        <w:t>(např.</w:t>
      </w:r>
      <w:r>
        <w:rPr>
          <w:color w:val="231F20"/>
          <w:spacing w:val="-18"/>
        </w:rPr>
        <w:t xml:space="preserve"> </w:t>
      </w:r>
      <w:r>
        <w:rPr>
          <w:color w:val="231F20"/>
        </w:rPr>
        <w:t>věk</w:t>
      </w:r>
      <w:r>
        <w:rPr>
          <w:color w:val="231F20"/>
          <w:spacing w:val="-17"/>
        </w:rPr>
        <w:t xml:space="preserve"> </w:t>
      </w:r>
      <w:r>
        <w:rPr>
          <w:color w:val="231F20"/>
        </w:rPr>
        <w:t>a</w:t>
      </w:r>
      <w:r>
        <w:rPr>
          <w:color w:val="231F20"/>
          <w:spacing w:val="-18"/>
        </w:rPr>
        <w:t xml:space="preserve"> </w:t>
      </w:r>
      <w:r>
        <w:rPr>
          <w:color w:val="231F20"/>
        </w:rPr>
        <w:t>bydliště</w:t>
      </w:r>
      <w:r>
        <w:rPr>
          <w:color w:val="231F20"/>
          <w:spacing w:val="-18"/>
        </w:rPr>
        <w:t xml:space="preserve"> </w:t>
      </w:r>
      <w:r>
        <w:rPr>
          <w:color w:val="231F20"/>
        </w:rPr>
        <w:t>pojistní- ka,</w:t>
      </w:r>
      <w:r>
        <w:rPr>
          <w:color w:val="231F20"/>
          <w:spacing w:val="-14"/>
        </w:rPr>
        <w:t xml:space="preserve"> </w:t>
      </w:r>
      <w:r>
        <w:rPr>
          <w:color w:val="231F20"/>
        </w:rPr>
        <w:t>stáří</w:t>
      </w:r>
      <w:r>
        <w:rPr>
          <w:color w:val="231F20"/>
          <w:spacing w:val="-13"/>
        </w:rPr>
        <w:t xml:space="preserve"> </w:t>
      </w:r>
      <w:r>
        <w:rPr>
          <w:color w:val="231F20"/>
        </w:rPr>
        <w:t>vozidla</w:t>
      </w:r>
      <w:r>
        <w:rPr>
          <w:color w:val="231F20"/>
          <w:spacing w:val="-14"/>
        </w:rPr>
        <w:t xml:space="preserve"> </w:t>
      </w:r>
      <w:r>
        <w:rPr>
          <w:color w:val="231F20"/>
        </w:rPr>
        <w:t>a</w:t>
      </w:r>
      <w:r>
        <w:rPr>
          <w:color w:val="231F20"/>
          <w:spacing w:val="-13"/>
        </w:rPr>
        <w:t xml:space="preserve"> </w:t>
      </w:r>
      <w:r>
        <w:rPr>
          <w:color w:val="231F20"/>
          <w:spacing w:val="3"/>
        </w:rPr>
        <w:t>další)</w:t>
      </w:r>
      <w:r>
        <w:rPr>
          <w:color w:val="231F20"/>
          <w:spacing w:val="-14"/>
        </w:rPr>
        <w:t xml:space="preserve"> </w:t>
      </w:r>
      <w:r>
        <w:rPr>
          <w:color w:val="231F20"/>
        </w:rPr>
        <w:t>s</w:t>
      </w:r>
      <w:r>
        <w:rPr>
          <w:color w:val="231F20"/>
          <w:spacing w:val="-13"/>
        </w:rPr>
        <w:t xml:space="preserve"> </w:t>
      </w:r>
      <w:r>
        <w:rPr>
          <w:color w:val="231F20"/>
        </w:rPr>
        <w:t>přihlédnutím</w:t>
      </w:r>
      <w:r>
        <w:rPr>
          <w:color w:val="231F20"/>
          <w:spacing w:val="-13"/>
        </w:rPr>
        <w:t xml:space="preserve"> </w:t>
      </w:r>
      <w:r>
        <w:rPr>
          <w:color w:val="231F20"/>
        </w:rPr>
        <w:t>ke</w:t>
      </w:r>
      <w:r>
        <w:rPr>
          <w:color w:val="231F20"/>
          <w:spacing w:val="-14"/>
        </w:rPr>
        <w:t xml:space="preserve"> </w:t>
      </w:r>
      <w:r>
        <w:rPr>
          <w:color w:val="231F20"/>
        </w:rPr>
        <w:t>škodnímu</w:t>
      </w:r>
      <w:r>
        <w:rPr>
          <w:color w:val="231F20"/>
          <w:spacing w:val="-13"/>
        </w:rPr>
        <w:t xml:space="preserve"> </w:t>
      </w:r>
      <w:r>
        <w:rPr>
          <w:color w:val="231F20"/>
        </w:rPr>
        <w:t>průběhu</w:t>
      </w:r>
      <w:r>
        <w:rPr>
          <w:color w:val="231F20"/>
          <w:spacing w:val="-14"/>
        </w:rPr>
        <w:t xml:space="preserve"> </w:t>
      </w:r>
      <w:r>
        <w:rPr>
          <w:color w:val="231F20"/>
        </w:rPr>
        <w:t>založenému</w:t>
      </w:r>
      <w:r>
        <w:rPr>
          <w:color w:val="231F20"/>
          <w:spacing w:val="-13"/>
        </w:rPr>
        <w:t xml:space="preserve"> </w:t>
      </w:r>
      <w:r>
        <w:rPr>
          <w:color w:val="231F20"/>
        </w:rPr>
        <w:t>na vlastních</w:t>
      </w:r>
      <w:r>
        <w:rPr>
          <w:color w:val="231F20"/>
          <w:spacing w:val="-10"/>
        </w:rPr>
        <w:t xml:space="preserve"> </w:t>
      </w:r>
      <w:r>
        <w:rPr>
          <w:color w:val="231F20"/>
        </w:rPr>
        <w:t>statistických</w:t>
      </w:r>
      <w:r>
        <w:rPr>
          <w:color w:val="231F20"/>
          <w:spacing w:val="-9"/>
        </w:rPr>
        <w:t xml:space="preserve"> </w:t>
      </w:r>
      <w:r>
        <w:rPr>
          <w:color w:val="231F20"/>
        </w:rPr>
        <w:t>údajích</w:t>
      </w:r>
      <w:r>
        <w:rPr>
          <w:color w:val="231F20"/>
          <w:spacing w:val="-10"/>
        </w:rPr>
        <w:t xml:space="preserve"> </w:t>
      </w:r>
      <w:r>
        <w:rPr>
          <w:color w:val="231F20"/>
        </w:rPr>
        <w:t>Pojišťovny</w:t>
      </w:r>
      <w:r>
        <w:rPr>
          <w:color w:val="231F20"/>
          <w:spacing w:val="-9"/>
        </w:rPr>
        <w:t xml:space="preserve"> </w:t>
      </w:r>
      <w:r>
        <w:rPr>
          <w:color w:val="231F20"/>
        </w:rPr>
        <w:t>a</w:t>
      </w:r>
      <w:r>
        <w:rPr>
          <w:color w:val="231F20"/>
          <w:spacing w:val="-9"/>
        </w:rPr>
        <w:t xml:space="preserve"> </w:t>
      </w:r>
      <w:r>
        <w:rPr>
          <w:color w:val="231F20"/>
        </w:rPr>
        <w:t>případným</w:t>
      </w:r>
      <w:r>
        <w:rPr>
          <w:color w:val="231F20"/>
          <w:spacing w:val="-10"/>
        </w:rPr>
        <w:t xml:space="preserve"> </w:t>
      </w:r>
      <w:r>
        <w:rPr>
          <w:color w:val="231F20"/>
        </w:rPr>
        <w:t>dalším</w:t>
      </w:r>
      <w:r>
        <w:rPr>
          <w:color w:val="231F20"/>
          <w:spacing w:val="-9"/>
        </w:rPr>
        <w:t xml:space="preserve"> </w:t>
      </w:r>
      <w:r>
        <w:rPr>
          <w:color w:val="231F20"/>
        </w:rPr>
        <w:t>skutečnostem tak,</w:t>
      </w:r>
      <w:r>
        <w:rPr>
          <w:color w:val="231F20"/>
          <w:spacing w:val="-10"/>
        </w:rPr>
        <w:t xml:space="preserve"> </w:t>
      </w:r>
      <w:r>
        <w:rPr>
          <w:color w:val="231F20"/>
        </w:rPr>
        <w:t>aby</w:t>
      </w:r>
      <w:r>
        <w:rPr>
          <w:color w:val="231F20"/>
          <w:spacing w:val="-10"/>
        </w:rPr>
        <w:t xml:space="preserve"> </w:t>
      </w:r>
      <w:r>
        <w:rPr>
          <w:color w:val="231F20"/>
        </w:rPr>
        <w:t>bylo</w:t>
      </w:r>
      <w:r>
        <w:rPr>
          <w:color w:val="231F20"/>
          <w:spacing w:val="-9"/>
        </w:rPr>
        <w:t xml:space="preserve"> </w:t>
      </w:r>
      <w:r>
        <w:rPr>
          <w:color w:val="231F20"/>
        </w:rPr>
        <w:t>umožněno</w:t>
      </w:r>
      <w:r>
        <w:rPr>
          <w:color w:val="231F20"/>
          <w:spacing w:val="-10"/>
        </w:rPr>
        <w:t xml:space="preserve"> </w:t>
      </w:r>
      <w:r>
        <w:rPr>
          <w:color w:val="231F20"/>
        </w:rPr>
        <w:t>trvalé</w:t>
      </w:r>
      <w:r>
        <w:rPr>
          <w:color w:val="231F20"/>
          <w:spacing w:val="-10"/>
        </w:rPr>
        <w:t xml:space="preserve"> </w:t>
      </w:r>
      <w:r>
        <w:rPr>
          <w:color w:val="231F20"/>
        </w:rPr>
        <w:t>plnění</w:t>
      </w:r>
      <w:r>
        <w:rPr>
          <w:color w:val="231F20"/>
          <w:spacing w:val="-9"/>
        </w:rPr>
        <w:t xml:space="preserve"> </w:t>
      </w:r>
      <w:r>
        <w:rPr>
          <w:color w:val="231F20"/>
        </w:rPr>
        <w:t>všech</w:t>
      </w:r>
      <w:r>
        <w:rPr>
          <w:color w:val="231F20"/>
          <w:spacing w:val="-10"/>
        </w:rPr>
        <w:t xml:space="preserve"> </w:t>
      </w:r>
      <w:r>
        <w:rPr>
          <w:color w:val="231F20"/>
        </w:rPr>
        <w:t>závazků</w:t>
      </w:r>
      <w:r>
        <w:rPr>
          <w:color w:val="231F20"/>
          <w:spacing w:val="-9"/>
        </w:rPr>
        <w:t xml:space="preserve"> </w:t>
      </w:r>
      <w:r>
        <w:rPr>
          <w:color w:val="231F20"/>
        </w:rPr>
        <w:t>Pojišťovny.</w:t>
      </w:r>
      <w:r>
        <w:rPr>
          <w:color w:val="231F20"/>
          <w:spacing w:val="-10"/>
        </w:rPr>
        <w:t xml:space="preserve"> </w:t>
      </w:r>
      <w:r>
        <w:rPr>
          <w:color w:val="231F20"/>
        </w:rPr>
        <w:t>Výše</w:t>
      </w:r>
      <w:r>
        <w:rPr>
          <w:color w:val="231F20"/>
          <w:spacing w:val="-10"/>
        </w:rPr>
        <w:t xml:space="preserve"> </w:t>
      </w:r>
      <w:r>
        <w:rPr>
          <w:color w:val="231F20"/>
        </w:rPr>
        <w:t>pojist- ného je uvedena v seznamu</w:t>
      </w:r>
      <w:r>
        <w:rPr>
          <w:color w:val="231F20"/>
          <w:spacing w:val="-5"/>
        </w:rPr>
        <w:t xml:space="preserve"> </w:t>
      </w:r>
      <w:r>
        <w:rPr>
          <w:color w:val="231F20"/>
        </w:rPr>
        <w:t>vozidel.</w:t>
      </w:r>
    </w:p>
    <w:p w14:paraId="009A2021"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2</w:t>
      </w:r>
      <w:r>
        <w:rPr>
          <w:color w:val="231F20"/>
          <w:position w:val="1"/>
          <w:sz w:val="14"/>
        </w:rPr>
        <w:t xml:space="preserve"> </w:t>
      </w:r>
      <w:r>
        <w:rPr>
          <w:color w:val="231F20"/>
        </w:rPr>
        <w:t>Pojišťovna má právo na pojistné za dobu trvání pojištění, ledaže je v přísluš- ných právních předpisech stanoveno, že má právo na pojistné i po zániku pojištění.</w:t>
      </w:r>
    </w:p>
    <w:p w14:paraId="33CF4BC2" w14:textId="77777777" w:rsidR="00F65BCA" w:rsidRDefault="00216117">
      <w:pPr>
        <w:pStyle w:val="Zkladntext"/>
        <w:spacing w:line="278" w:lineRule="auto"/>
        <w:ind w:left="469" w:right="422"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 xml:space="preserve">3 </w:t>
      </w:r>
      <w:r>
        <w:rPr>
          <w:color w:val="231F20"/>
          <w:position w:val="1"/>
          <w:sz w:val="14"/>
        </w:rPr>
        <w:t xml:space="preserve"> </w:t>
      </w:r>
      <w:r>
        <w:rPr>
          <w:color w:val="231F20"/>
        </w:rPr>
        <w:t>Pojistné je hrazeno jako běžné pojistné za roční pojistné období, pokud   není</w:t>
      </w:r>
      <w:r>
        <w:rPr>
          <w:color w:val="231F20"/>
          <w:spacing w:val="-8"/>
        </w:rPr>
        <w:t xml:space="preserve"> </w:t>
      </w:r>
      <w:r>
        <w:rPr>
          <w:color w:val="231F20"/>
        </w:rPr>
        <w:t>v</w:t>
      </w:r>
      <w:r>
        <w:rPr>
          <w:color w:val="231F20"/>
          <w:spacing w:val="-8"/>
        </w:rPr>
        <w:t xml:space="preserve"> </w:t>
      </w:r>
      <w:r>
        <w:rPr>
          <w:color w:val="231F20"/>
        </w:rPr>
        <w:t>pojistné</w:t>
      </w:r>
      <w:r>
        <w:rPr>
          <w:color w:val="231F20"/>
          <w:spacing w:val="-8"/>
        </w:rPr>
        <w:t xml:space="preserve"> </w:t>
      </w:r>
      <w:r>
        <w:rPr>
          <w:color w:val="231F20"/>
        </w:rPr>
        <w:t>smlouvě</w:t>
      </w:r>
      <w:r>
        <w:rPr>
          <w:color w:val="231F20"/>
          <w:spacing w:val="-8"/>
        </w:rPr>
        <w:t xml:space="preserve"> </w:t>
      </w:r>
      <w:r>
        <w:rPr>
          <w:color w:val="231F20"/>
        </w:rPr>
        <w:t>uvedeno</w:t>
      </w:r>
      <w:r>
        <w:rPr>
          <w:color w:val="231F20"/>
          <w:spacing w:val="-8"/>
        </w:rPr>
        <w:t xml:space="preserve"> </w:t>
      </w:r>
      <w:r>
        <w:rPr>
          <w:color w:val="231F20"/>
        </w:rPr>
        <w:t>jinak.</w:t>
      </w:r>
      <w:r>
        <w:rPr>
          <w:color w:val="231F20"/>
          <w:spacing w:val="-8"/>
        </w:rPr>
        <w:t xml:space="preserve"> </w:t>
      </w:r>
      <w:r>
        <w:rPr>
          <w:color w:val="231F20"/>
        </w:rPr>
        <w:t>V</w:t>
      </w:r>
      <w:r>
        <w:rPr>
          <w:color w:val="231F20"/>
          <w:spacing w:val="-8"/>
        </w:rPr>
        <w:t xml:space="preserve"> </w:t>
      </w:r>
      <w:r>
        <w:rPr>
          <w:color w:val="231F20"/>
        </w:rPr>
        <w:t>pojistné</w:t>
      </w:r>
      <w:r>
        <w:rPr>
          <w:color w:val="231F20"/>
          <w:spacing w:val="-8"/>
        </w:rPr>
        <w:t xml:space="preserve"> </w:t>
      </w:r>
      <w:r>
        <w:rPr>
          <w:color w:val="231F20"/>
        </w:rPr>
        <w:t>smlouvě</w:t>
      </w:r>
      <w:r>
        <w:rPr>
          <w:color w:val="231F20"/>
          <w:spacing w:val="-8"/>
        </w:rPr>
        <w:t xml:space="preserve"> </w:t>
      </w:r>
      <w:r>
        <w:rPr>
          <w:color w:val="231F20"/>
        </w:rPr>
        <w:t>je</w:t>
      </w:r>
      <w:r>
        <w:rPr>
          <w:color w:val="231F20"/>
          <w:spacing w:val="-7"/>
        </w:rPr>
        <w:t xml:space="preserve"> </w:t>
      </w:r>
      <w:r>
        <w:rPr>
          <w:color w:val="231F20"/>
        </w:rPr>
        <w:t>možné</w:t>
      </w:r>
      <w:r>
        <w:rPr>
          <w:color w:val="231F20"/>
          <w:spacing w:val="-8"/>
        </w:rPr>
        <w:t xml:space="preserve"> </w:t>
      </w:r>
      <w:r>
        <w:rPr>
          <w:color w:val="231F20"/>
        </w:rPr>
        <w:t xml:space="preserve">sjednat splátky pojistného. V tomto případě má Pojišťovna právo účtovat pojistní- kovi k pojistnému přirážku uvedenou v pojistné smlouvě. Jednotlivé splát- </w:t>
      </w:r>
      <w:r>
        <w:rPr>
          <w:color w:val="231F20"/>
          <w:spacing w:val="3"/>
        </w:rPr>
        <w:t xml:space="preserve">ky </w:t>
      </w:r>
      <w:r>
        <w:rPr>
          <w:color w:val="231F20"/>
        </w:rPr>
        <w:t xml:space="preserve">pojistného jsou splatné vždy </w:t>
      </w:r>
      <w:r>
        <w:rPr>
          <w:color w:val="231F20"/>
          <w:spacing w:val="2"/>
        </w:rPr>
        <w:t xml:space="preserve">prvním </w:t>
      </w:r>
      <w:r>
        <w:rPr>
          <w:color w:val="231F20"/>
        </w:rPr>
        <w:t xml:space="preserve">dnem období uvedených v pojist- né smlouvě. Pro </w:t>
      </w:r>
      <w:r>
        <w:rPr>
          <w:color w:val="231F20"/>
          <w:spacing w:val="2"/>
        </w:rPr>
        <w:t xml:space="preserve">vyloučení </w:t>
      </w:r>
      <w:r>
        <w:rPr>
          <w:color w:val="231F20"/>
        </w:rPr>
        <w:t xml:space="preserve">pochybností se uvádí, že hrazení pojistného ve splátkách nemá vliv na délku pojistného období. Bylo-li ujednáno placení pojistného ve splátkách a nesplní-li </w:t>
      </w:r>
      <w:r>
        <w:rPr>
          <w:color w:val="231F20"/>
          <w:spacing w:val="2"/>
        </w:rPr>
        <w:t xml:space="preserve">pojistník </w:t>
      </w:r>
      <w:r>
        <w:rPr>
          <w:color w:val="231F20"/>
        </w:rPr>
        <w:t xml:space="preserve">některou splátku pojistného, má Pojišťovna právo na celé pojistné; splatnost celého pojistného nastává dnem následujícím po dni splatnosti splátky pojistného, s </w:t>
      </w:r>
      <w:r>
        <w:rPr>
          <w:color w:val="231F20"/>
          <w:spacing w:val="2"/>
        </w:rPr>
        <w:t xml:space="preserve">níž </w:t>
      </w:r>
      <w:r>
        <w:rPr>
          <w:color w:val="231F20"/>
        </w:rPr>
        <w:t xml:space="preserve">je </w:t>
      </w:r>
      <w:r>
        <w:rPr>
          <w:color w:val="231F20"/>
          <w:spacing w:val="2"/>
        </w:rPr>
        <w:t xml:space="preserve">pojistník    </w:t>
      </w:r>
      <w:r>
        <w:rPr>
          <w:color w:val="231F20"/>
        </w:rPr>
        <w:t>v prodlení se</w:t>
      </w:r>
      <w:r>
        <w:rPr>
          <w:color w:val="231F20"/>
          <w:spacing w:val="-2"/>
        </w:rPr>
        <w:t xml:space="preserve"> </w:t>
      </w:r>
      <w:r>
        <w:rPr>
          <w:color w:val="231F20"/>
        </w:rPr>
        <w:t>zaplacením.</w:t>
      </w:r>
    </w:p>
    <w:p w14:paraId="329A2D0B"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31"/>
          <w:position w:val="1"/>
          <w:sz w:val="14"/>
        </w:rPr>
        <w:t xml:space="preserve"> </w:t>
      </w:r>
      <w:r>
        <w:rPr>
          <w:color w:val="231F20"/>
        </w:rPr>
        <w:t>Je-li</w:t>
      </w:r>
      <w:r>
        <w:rPr>
          <w:color w:val="231F20"/>
          <w:spacing w:val="-14"/>
        </w:rPr>
        <w:t xml:space="preserve"> </w:t>
      </w:r>
      <w:r>
        <w:rPr>
          <w:color w:val="231F20"/>
        </w:rPr>
        <w:t>sjednáno</w:t>
      </w:r>
      <w:r>
        <w:rPr>
          <w:color w:val="231F20"/>
          <w:spacing w:val="-14"/>
        </w:rPr>
        <w:t xml:space="preserve"> </w:t>
      </w:r>
      <w:r>
        <w:rPr>
          <w:color w:val="231F20"/>
        </w:rPr>
        <w:t>krátkodobé</w:t>
      </w:r>
      <w:r>
        <w:rPr>
          <w:color w:val="231F20"/>
          <w:spacing w:val="-14"/>
        </w:rPr>
        <w:t xml:space="preserve"> </w:t>
      </w:r>
      <w:r>
        <w:rPr>
          <w:color w:val="231F20"/>
        </w:rPr>
        <w:t>pojištění,</w:t>
      </w:r>
      <w:r>
        <w:rPr>
          <w:color w:val="231F20"/>
          <w:spacing w:val="-14"/>
        </w:rPr>
        <w:t xml:space="preserve"> </w:t>
      </w:r>
      <w:r>
        <w:rPr>
          <w:color w:val="231F20"/>
        </w:rPr>
        <w:t>je</w:t>
      </w:r>
      <w:r>
        <w:rPr>
          <w:color w:val="231F20"/>
          <w:spacing w:val="-14"/>
        </w:rPr>
        <w:t xml:space="preserve"> </w:t>
      </w:r>
      <w:r>
        <w:rPr>
          <w:color w:val="231F20"/>
        </w:rPr>
        <w:t>jednorázové</w:t>
      </w:r>
      <w:r>
        <w:rPr>
          <w:color w:val="231F20"/>
          <w:spacing w:val="-14"/>
        </w:rPr>
        <w:t xml:space="preserve"> </w:t>
      </w:r>
      <w:r>
        <w:rPr>
          <w:color w:val="231F20"/>
        </w:rPr>
        <w:t>pojistné</w:t>
      </w:r>
      <w:r>
        <w:rPr>
          <w:color w:val="231F20"/>
          <w:spacing w:val="-13"/>
        </w:rPr>
        <w:t xml:space="preserve"> </w:t>
      </w:r>
      <w:r>
        <w:rPr>
          <w:color w:val="231F20"/>
        </w:rPr>
        <w:t>na</w:t>
      </w:r>
      <w:r>
        <w:rPr>
          <w:color w:val="231F20"/>
          <w:spacing w:val="-14"/>
        </w:rPr>
        <w:t xml:space="preserve"> </w:t>
      </w:r>
      <w:r>
        <w:rPr>
          <w:color w:val="231F20"/>
        </w:rPr>
        <w:t>celou</w:t>
      </w:r>
      <w:r>
        <w:rPr>
          <w:color w:val="231F20"/>
          <w:spacing w:val="-14"/>
        </w:rPr>
        <w:t xml:space="preserve"> </w:t>
      </w:r>
      <w:r>
        <w:rPr>
          <w:color w:val="231F20"/>
        </w:rPr>
        <w:t>dobu</w:t>
      </w:r>
      <w:r>
        <w:rPr>
          <w:color w:val="231F20"/>
          <w:spacing w:val="-14"/>
        </w:rPr>
        <w:t xml:space="preserve"> </w:t>
      </w:r>
      <w:r>
        <w:rPr>
          <w:color w:val="231F20"/>
          <w:spacing w:val="-4"/>
        </w:rPr>
        <w:t xml:space="preserve">po- </w:t>
      </w:r>
      <w:r>
        <w:rPr>
          <w:color w:val="231F20"/>
        </w:rPr>
        <w:t>jištění splatné ihned při přijetí vozidla do</w:t>
      </w:r>
      <w:r>
        <w:rPr>
          <w:color w:val="231F20"/>
          <w:spacing w:val="-21"/>
        </w:rPr>
        <w:t xml:space="preserve"> </w:t>
      </w:r>
      <w:r>
        <w:rPr>
          <w:color w:val="231F20"/>
        </w:rPr>
        <w:t>pojištění.</w:t>
      </w:r>
    </w:p>
    <w:p w14:paraId="5FBEBC9F"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spacing w:val="29"/>
          <w:position w:val="1"/>
          <w:sz w:val="14"/>
        </w:rPr>
        <w:t xml:space="preserve"> </w:t>
      </w:r>
      <w:r>
        <w:rPr>
          <w:color w:val="231F20"/>
        </w:rPr>
        <w:t>Pojistník</w:t>
      </w:r>
      <w:r>
        <w:rPr>
          <w:color w:val="231F20"/>
          <w:spacing w:val="-10"/>
        </w:rPr>
        <w:t xml:space="preserve"> </w:t>
      </w:r>
      <w:r>
        <w:rPr>
          <w:color w:val="231F20"/>
        </w:rPr>
        <w:t>je</w:t>
      </w:r>
      <w:r>
        <w:rPr>
          <w:color w:val="231F20"/>
          <w:spacing w:val="-10"/>
        </w:rPr>
        <w:t xml:space="preserve"> </w:t>
      </w:r>
      <w:r>
        <w:rPr>
          <w:color w:val="231F20"/>
        </w:rPr>
        <w:t>povinen</w:t>
      </w:r>
      <w:r>
        <w:rPr>
          <w:color w:val="231F20"/>
          <w:spacing w:val="-9"/>
        </w:rPr>
        <w:t xml:space="preserve"> </w:t>
      </w:r>
      <w:r>
        <w:rPr>
          <w:color w:val="231F20"/>
        </w:rPr>
        <w:t>hradit</w:t>
      </w:r>
      <w:r>
        <w:rPr>
          <w:color w:val="231F20"/>
          <w:spacing w:val="-10"/>
        </w:rPr>
        <w:t xml:space="preserve"> </w:t>
      </w:r>
      <w:r>
        <w:rPr>
          <w:color w:val="231F20"/>
        </w:rPr>
        <w:t>pojistné</w:t>
      </w:r>
      <w:r>
        <w:rPr>
          <w:color w:val="231F20"/>
          <w:spacing w:val="-9"/>
        </w:rPr>
        <w:t xml:space="preserve"> </w:t>
      </w:r>
      <w:r>
        <w:rPr>
          <w:color w:val="231F20"/>
        </w:rPr>
        <w:t>řádně</w:t>
      </w:r>
      <w:r>
        <w:rPr>
          <w:color w:val="231F20"/>
          <w:spacing w:val="-10"/>
        </w:rPr>
        <w:t xml:space="preserve"> </w:t>
      </w:r>
      <w:r>
        <w:rPr>
          <w:color w:val="231F20"/>
        </w:rPr>
        <w:t>a</w:t>
      </w:r>
      <w:r>
        <w:rPr>
          <w:color w:val="231F20"/>
          <w:spacing w:val="-9"/>
        </w:rPr>
        <w:t xml:space="preserve"> </w:t>
      </w:r>
      <w:r>
        <w:rPr>
          <w:color w:val="231F20"/>
        </w:rPr>
        <w:t>včas.</w:t>
      </w:r>
      <w:r>
        <w:rPr>
          <w:color w:val="231F20"/>
          <w:spacing w:val="-9"/>
        </w:rPr>
        <w:t xml:space="preserve"> </w:t>
      </w:r>
      <w:r>
        <w:rPr>
          <w:color w:val="231F20"/>
        </w:rPr>
        <w:t>Není-li</w:t>
      </w:r>
      <w:r>
        <w:rPr>
          <w:color w:val="231F20"/>
          <w:spacing w:val="-10"/>
        </w:rPr>
        <w:t xml:space="preserve"> </w:t>
      </w:r>
      <w:r>
        <w:rPr>
          <w:color w:val="231F20"/>
        </w:rPr>
        <w:t>ujednáno</w:t>
      </w:r>
      <w:r>
        <w:rPr>
          <w:color w:val="231F20"/>
          <w:spacing w:val="-9"/>
        </w:rPr>
        <w:t xml:space="preserve"> </w:t>
      </w:r>
      <w:r>
        <w:rPr>
          <w:color w:val="231F20"/>
        </w:rPr>
        <w:t>jinak,</w:t>
      </w:r>
      <w:r>
        <w:rPr>
          <w:color w:val="231F20"/>
          <w:spacing w:val="-9"/>
        </w:rPr>
        <w:t xml:space="preserve"> </w:t>
      </w:r>
      <w:r>
        <w:rPr>
          <w:color w:val="231F20"/>
        </w:rPr>
        <w:t>je</w:t>
      </w:r>
      <w:r>
        <w:rPr>
          <w:color w:val="231F20"/>
          <w:spacing w:val="-10"/>
        </w:rPr>
        <w:t xml:space="preserve"> </w:t>
      </w:r>
      <w:r>
        <w:rPr>
          <w:color w:val="231F20"/>
          <w:spacing w:val="-6"/>
        </w:rPr>
        <w:t xml:space="preserve">po- </w:t>
      </w:r>
      <w:r>
        <w:rPr>
          <w:color w:val="231F20"/>
        </w:rPr>
        <w:t>jistník</w:t>
      </w:r>
      <w:r>
        <w:rPr>
          <w:color w:val="231F20"/>
          <w:spacing w:val="-15"/>
        </w:rPr>
        <w:t xml:space="preserve"> </w:t>
      </w:r>
      <w:r>
        <w:rPr>
          <w:color w:val="231F20"/>
        </w:rPr>
        <w:t>povinen</w:t>
      </w:r>
      <w:r>
        <w:rPr>
          <w:color w:val="231F20"/>
          <w:spacing w:val="-15"/>
        </w:rPr>
        <w:t xml:space="preserve"> </w:t>
      </w:r>
      <w:r>
        <w:rPr>
          <w:color w:val="231F20"/>
        </w:rPr>
        <w:t>hradit</w:t>
      </w:r>
      <w:r>
        <w:rPr>
          <w:color w:val="231F20"/>
          <w:spacing w:val="-15"/>
        </w:rPr>
        <w:t xml:space="preserve"> </w:t>
      </w:r>
      <w:r>
        <w:rPr>
          <w:color w:val="231F20"/>
        </w:rPr>
        <w:t>pojistné</w:t>
      </w:r>
      <w:r>
        <w:rPr>
          <w:color w:val="231F20"/>
          <w:spacing w:val="-15"/>
        </w:rPr>
        <w:t xml:space="preserve"> </w:t>
      </w:r>
      <w:r>
        <w:rPr>
          <w:color w:val="231F20"/>
        </w:rPr>
        <w:t>bezhotovostně</w:t>
      </w:r>
      <w:r>
        <w:rPr>
          <w:color w:val="231F20"/>
          <w:spacing w:val="-15"/>
        </w:rPr>
        <w:t xml:space="preserve"> </w:t>
      </w:r>
      <w:r>
        <w:rPr>
          <w:color w:val="231F20"/>
        </w:rPr>
        <w:t>na</w:t>
      </w:r>
      <w:r>
        <w:rPr>
          <w:color w:val="231F20"/>
          <w:spacing w:val="-15"/>
        </w:rPr>
        <w:t xml:space="preserve"> </w:t>
      </w:r>
      <w:r>
        <w:rPr>
          <w:color w:val="231F20"/>
        </w:rPr>
        <w:t>bankovní</w:t>
      </w:r>
      <w:r>
        <w:rPr>
          <w:color w:val="231F20"/>
          <w:spacing w:val="-15"/>
        </w:rPr>
        <w:t xml:space="preserve"> </w:t>
      </w:r>
      <w:r>
        <w:rPr>
          <w:color w:val="231F20"/>
        </w:rPr>
        <w:t>účet</w:t>
      </w:r>
      <w:r>
        <w:rPr>
          <w:color w:val="231F20"/>
          <w:spacing w:val="-15"/>
        </w:rPr>
        <w:t xml:space="preserve"> </w:t>
      </w:r>
      <w:r>
        <w:rPr>
          <w:color w:val="231F20"/>
        </w:rPr>
        <w:t>a</w:t>
      </w:r>
      <w:r>
        <w:rPr>
          <w:color w:val="231F20"/>
          <w:spacing w:val="-15"/>
        </w:rPr>
        <w:t xml:space="preserve"> </w:t>
      </w:r>
      <w:r>
        <w:rPr>
          <w:color w:val="231F20"/>
        </w:rPr>
        <w:t>s</w:t>
      </w:r>
      <w:r>
        <w:rPr>
          <w:color w:val="231F20"/>
          <w:spacing w:val="-15"/>
        </w:rPr>
        <w:t xml:space="preserve"> </w:t>
      </w:r>
      <w:r>
        <w:rPr>
          <w:color w:val="231F20"/>
        </w:rPr>
        <w:t>variabilním symbolem</w:t>
      </w:r>
      <w:r>
        <w:rPr>
          <w:color w:val="231F20"/>
          <w:spacing w:val="-21"/>
        </w:rPr>
        <w:t xml:space="preserve"> </w:t>
      </w:r>
      <w:r>
        <w:rPr>
          <w:color w:val="231F20"/>
        </w:rPr>
        <w:t>určeným</w:t>
      </w:r>
      <w:r>
        <w:rPr>
          <w:color w:val="231F20"/>
          <w:spacing w:val="-20"/>
        </w:rPr>
        <w:t xml:space="preserve"> </w:t>
      </w:r>
      <w:r>
        <w:rPr>
          <w:color w:val="231F20"/>
        </w:rPr>
        <w:t>Pojišťovnou.</w:t>
      </w:r>
      <w:r>
        <w:rPr>
          <w:color w:val="231F20"/>
          <w:spacing w:val="-20"/>
        </w:rPr>
        <w:t xml:space="preserve"> </w:t>
      </w:r>
      <w:r>
        <w:rPr>
          <w:color w:val="231F20"/>
        </w:rPr>
        <w:t>Má</w:t>
      </w:r>
      <w:r>
        <w:rPr>
          <w:color w:val="231F20"/>
          <w:spacing w:val="-20"/>
        </w:rPr>
        <w:t xml:space="preserve"> </w:t>
      </w:r>
      <w:r>
        <w:rPr>
          <w:color w:val="231F20"/>
        </w:rPr>
        <w:t>se</w:t>
      </w:r>
      <w:r>
        <w:rPr>
          <w:color w:val="231F20"/>
          <w:spacing w:val="-20"/>
        </w:rPr>
        <w:t xml:space="preserve"> </w:t>
      </w:r>
      <w:r>
        <w:rPr>
          <w:color w:val="231F20"/>
        </w:rPr>
        <w:t>za</w:t>
      </w:r>
      <w:r>
        <w:rPr>
          <w:color w:val="231F20"/>
          <w:spacing w:val="-20"/>
        </w:rPr>
        <w:t xml:space="preserve"> </w:t>
      </w:r>
      <w:r>
        <w:rPr>
          <w:color w:val="231F20"/>
        </w:rPr>
        <w:t>to,</w:t>
      </w:r>
      <w:r>
        <w:rPr>
          <w:color w:val="231F20"/>
          <w:spacing w:val="-20"/>
        </w:rPr>
        <w:t xml:space="preserve"> </w:t>
      </w:r>
      <w:r>
        <w:rPr>
          <w:color w:val="231F20"/>
        </w:rPr>
        <w:t>že</w:t>
      </w:r>
      <w:r>
        <w:rPr>
          <w:color w:val="231F20"/>
          <w:spacing w:val="-20"/>
        </w:rPr>
        <w:t xml:space="preserve"> </w:t>
      </w:r>
      <w:r>
        <w:rPr>
          <w:color w:val="231F20"/>
        </w:rPr>
        <w:t>pojistné</w:t>
      </w:r>
      <w:r>
        <w:rPr>
          <w:color w:val="231F20"/>
          <w:spacing w:val="-20"/>
        </w:rPr>
        <w:t xml:space="preserve"> </w:t>
      </w:r>
      <w:r>
        <w:rPr>
          <w:color w:val="231F20"/>
        </w:rPr>
        <w:t>uhrazené</w:t>
      </w:r>
      <w:r>
        <w:rPr>
          <w:color w:val="231F20"/>
          <w:spacing w:val="-21"/>
        </w:rPr>
        <w:t xml:space="preserve"> </w:t>
      </w:r>
      <w:r>
        <w:rPr>
          <w:color w:val="231F20"/>
        </w:rPr>
        <w:t>pod</w:t>
      </w:r>
      <w:r>
        <w:rPr>
          <w:color w:val="231F20"/>
          <w:spacing w:val="-20"/>
        </w:rPr>
        <w:t xml:space="preserve"> </w:t>
      </w:r>
      <w:r>
        <w:rPr>
          <w:color w:val="231F20"/>
        </w:rPr>
        <w:t>správ- ným</w:t>
      </w:r>
      <w:r>
        <w:rPr>
          <w:color w:val="231F20"/>
          <w:spacing w:val="-20"/>
        </w:rPr>
        <w:t xml:space="preserve"> </w:t>
      </w:r>
      <w:r>
        <w:rPr>
          <w:color w:val="231F20"/>
        </w:rPr>
        <w:t>variabilním</w:t>
      </w:r>
      <w:r>
        <w:rPr>
          <w:color w:val="231F20"/>
          <w:spacing w:val="-20"/>
        </w:rPr>
        <w:t xml:space="preserve"> </w:t>
      </w:r>
      <w:r>
        <w:rPr>
          <w:color w:val="231F20"/>
        </w:rPr>
        <w:t>symbolem</w:t>
      </w:r>
      <w:r>
        <w:rPr>
          <w:color w:val="231F20"/>
          <w:spacing w:val="-19"/>
        </w:rPr>
        <w:t xml:space="preserve"> </w:t>
      </w:r>
      <w:r>
        <w:rPr>
          <w:color w:val="231F20"/>
        </w:rPr>
        <w:t>určeným</w:t>
      </w:r>
      <w:r>
        <w:rPr>
          <w:color w:val="231F20"/>
          <w:spacing w:val="-20"/>
        </w:rPr>
        <w:t xml:space="preserve"> </w:t>
      </w:r>
      <w:r>
        <w:rPr>
          <w:color w:val="231F20"/>
        </w:rPr>
        <w:t>Pojišťovnou</w:t>
      </w:r>
      <w:r>
        <w:rPr>
          <w:color w:val="231F20"/>
          <w:spacing w:val="-20"/>
        </w:rPr>
        <w:t xml:space="preserve"> </w:t>
      </w:r>
      <w:r>
        <w:rPr>
          <w:color w:val="231F20"/>
        </w:rPr>
        <w:t>bylo</w:t>
      </w:r>
      <w:r>
        <w:rPr>
          <w:color w:val="231F20"/>
          <w:spacing w:val="-19"/>
        </w:rPr>
        <w:t xml:space="preserve"> </w:t>
      </w:r>
      <w:r>
        <w:rPr>
          <w:color w:val="231F20"/>
        </w:rPr>
        <w:t>uhrazeno</w:t>
      </w:r>
      <w:r>
        <w:rPr>
          <w:color w:val="231F20"/>
          <w:spacing w:val="-20"/>
        </w:rPr>
        <w:t xml:space="preserve"> </w:t>
      </w:r>
      <w:r>
        <w:rPr>
          <w:color w:val="231F20"/>
        </w:rPr>
        <w:t>pojistníkem</w:t>
      </w:r>
      <w:r>
        <w:rPr>
          <w:color w:val="231F20"/>
          <w:spacing w:val="-20"/>
        </w:rPr>
        <w:t xml:space="preserve"> </w:t>
      </w:r>
      <w:r>
        <w:rPr>
          <w:color w:val="231F20"/>
          <w:spacing w:val="-8"/>
        </w:rPr>
        <w:t xml:space="preserve">či </w:t>
      </w:r>
      <w:r>
        <w:rPr>
          <w:color w:val="231F20"/>
        </w:rPr>
        <w:t>s jeho souhlasem jinou</w:t>
      </w:r>
      <w:r>
        <w:rPr>
          <w:color w:val="231F20"/>
          <w:spacing w:val="-4"/>
        </w:rPr>
        <w:t xml:space="preserve"> </w:t>
      </w:r>
      <w:r>
        <w:rPr>
          <w:color w:val="231F20"/>
        </w:rPr>
        <w:t>osobou.</w:t>
      </w:r>
    </w:p>
    <w:p w14:paraId="33571C1B" w14:textId="77777777" w:rsidR="00F65BCA" w:rsidRDefault="00000000">
      <w:pPr>
        <w:pStyle w:val="Zkladntext"/>
        <w:spacing w:line="278" w:lineRule="auto"/>
        <w:ind w:left="469" w:right="418" w:hanging="282"/>
      </w:pPr>
      <w:r>
        <w:pict w14:anchorId="1E25DE7D">
          <v:shape id="_x0000_s2296" type="#_x0000_t202" style="position:absolute;left:0;text-align:left;margin-left:303.4pt;margin-top:50.05pt;width:9.65pt;height:18.55pt;z-index:-299387904;mso-position-horizontal-relative:page" fillcolor="#d1d3d4" stroked="f">
            <v:textbox inset="0,0,0,0">
              <w:txbxContent>
                <w:p w14:paraId="086B96CB" w14:textId="77777777" w:rsidR="00F65BCA" w:rsidRDefault="00216117">
                  <w:pPr>
                    <w:spacing w:before="2"/>
                    <w:ind w:left="56"/>
                    <w:rPr>
                      <w:sz w:val="14"/>
                    </w:rPr>
                  </w:pPr>
                  <w:r>
                    <w:rPr>
                      <w:color w:val="231F20"/>
                      <w:w w:val="99"/>
                      <w:sz w:val="14"/>
                    </w:rPr>
                    <w:t>7</w:t>
                  </w:r>
                </w:p>
                <w:p w14:paraId="22848EFD" w14:textId="77777777" w:rsidR="00F65BCA" w:rsidRDefault="00216117">
                  <w:pPr>
                    <w:spacing w:before="39"/>
                    <w:ind w:left="56"/>
                    <w:rPr>
                      <w:sz w:val="14"/>
                    </w:rPr>
                  </w:pPr>
                  <w:r>
                    <w:rPr>
                      <w:color w:val="231F20"/>
                      <w:w w:val="99"/>
                      <w:sz w:val="14"/>
                    </w:rPr>
                    <w:t>8</w:t>
                  </w:r>
                </w:p>
              </w:txbxContent>
            </v:textbox>
            <w10:wrap anchorx="page"/>
          </v:shape>
        </w:pict>
      </w:r>
      <w:r w:rsidR="00216117">
        <w:rPr>
          <w:color w:val="231F20"/>
          <w:position w:val="1"/>
          <w:sz w:val="14"/>
          <w:shd w:val="clear" w:color="auto" w:fill="D1D3D4"/>
        </w:rPr>
        <w:t xml:space="preserve"> </w:t>
      </w:r>
      <w:r w:rsidR="00216117">
        <w:rPr>
          <w:color w:val="231F20"/>
          <w:spacing w:val="-22"/>
          <w:position w:val="1"/>
          <w:sz w:val="14"/>
          <w:shd w:val="clear" w:color="auto" w:fill="D1D3D4"/>
        </w:rPr>
        <w:t xml:space="preserve"> </w:t>
      </w:r>
      <w:r w:rsidR="00216117">
        <w:rPr>
          <w:color w:val="231F20"/>
          <w:position w:val="1"/>
          <w:sz w:val="14"/>
          <w:shd w:val="clear" w:color="auto" w:fill="D1D3D4"/>
        </w:rPr>
        <w:t>6</w:t>
      </w:r>
      <w:r w:rsidR="00216117">
        <w:rPr>
          <w:color w:val="231F20"/>
          <w:spacing w:val="18"/>
          <w:position w:val="1"/>
          <w:sz w:val="14"/>
        </w:rPr>
        <w:t xml:space="preserve"> </w:t>
      </w:r>
      <w:r w:rsidR="00216117">
        <w:rPr>
          <w:color w:val="231F20"/>
        </w:rPr>
        <w:t>Zaplacením</w:t>
      </w:r>
      <w:r w:rsidR="00216117">
        <w:rPr>
          <w:color w:val="231F20"/>
          <w:spacing w:val="-13"/>
        </w:rPr>
        <w:t xml:space="preserve"> </w:t>
      </w:r>
      <w:r w:rsidR="00216117">
        <w:rPr>
          <w:color w:val="231F20"/>
        </w:rPr>
        <w:t>pojistného</w:t>
      </w:r>
      <w:r w:rsidR="00216117">
        <w:rPr>
          <w:color w:val="231F20"/>
          <w:spacing w:val="-12"/>
        </w:rPr>
        <w:t xml:space="preserve"> </w:t>
      </w:r>
      <w:r w:rsidR="00216117">
        <w:rPr>
          <w:color w:val="231F20"/>
        </w:rPr>
        <w:t>se</w:t>
      </w:r>
      <w:r w:rsidR="00216117">
        <w:rPr>
          <w:color w:val="231F20"/>
          <w:spacing w:val="-13"/>
        </w:rPr>
        <w:t xml:space="preserve"> </w:t>
      </w:r>
      <w:r w:rsidR="00216117">
        <w:rPr>
          <w:color w:val="231F20"/>
        </w:rPr>
        <w:t>rozumí</w:t>
      </w:r>
      <w:r w:rsidR="00216117">
        <w:rPr>
          <w:color w:val="231F20"/>
          <w:spacing w:val="-12"/>
        </w:rPr>
        <w:t xml:space="preserve"> </w:t>
      </w:r>
      <w:r w:rsidR="00216117">
        <w:rPr>
          <w:color w:val="231F20"/>
        </w:rPr>
        <w:t>den,</w:t>
      </w:r>
      <w:r w:rsidR="00216117">
        <w:rPr>
          <w:color w:val="231F20"/>
          <w:spacing w:val="-13"/>
        </w:rPr>
        <w:t xml:space="preserve"> </w:t>
      </w:r>
      <w:r w:rsidR="00216117">
        <w:rPr>
          <w:color w:val="231F20"/>
        </w:rPr>
        <w:t>kdy</w:t>
      </w:r>
      <w:r w:rsidR="00216117">
        <w:rPr>
          <w:color w:val="231F20"/>
          <w:spacing w:val="-13"/>
        </w:rPr>
        <w:t xml:space="preserve"> </w:t>
      </w:r>
      <w:r w:rsidR="00216117">
        <w:rPr>
          <w:color w:val="231F20"/>
        </w:rPr>
        <w:t>bylo</w:t>
      </w:r>
      <w:r w:rsidR="00216117">
        <w:rPr>
          <w:color w:val="231F20"/>
          <w:spacing w:val="-12"/>
        </w:rPr>
        <w:t xml:space="preserve"> </w:t>
      </w:r>
      <w:r w:rsidR="00216117">
        <w:rPr>
          <w:color w:val="231F20"/>
        </w:rPr>
        <w:t>pojistné</w:t>
      </w:r>
      <w:r w:rsidR="00216117">
        <w:rPr>
          <w:color w:val="231F20"/>
          <w:spacing w:val="-13"/>
        </w:rPr>
        <w:t xml:space="preserve"> </w:t>
      </w:r>
      <w:r w:rsidR="00216117">
        <w:rPr>
          <w:color w:val="231F20"/>
        </w:rPr>
        <w:t>uhrazeno</w:t>
      </w:r>
      <w:r w:rsidR="00216117">
        <w:rPr>
          <w:color w:val="231F20"/>
          <w:spacing w:val="-12"/>
        </w:rPr>
        <w:t xml:space="preserve"> </w:t>
      </w:r>
      <w:r w:rsidR="00216117">
        <w:rPr>
          <w:color w:val="231F20"/>
        </w:rPr>
        <w:t>Pojišťovně, resp.</w:t>
      </w:r>
      <w:r w:rsidR="00216117">
        <w:rPr>
          <w:color w:val="231F20"/>
          <w:spacing w:val="-10"/>
        </w:rPr>
        <w:t xml:space="preserve"> </w:t>
      </w:r>
      <w:r w:rsidR="00216117">
        <w:rPr>
          <w:color w:val="231F20"/>
        </w:rPr>
        <w:t>jí</w:t>
      </w:r>
      <w:r w:rsidR="00216117">
        <w:rPr>
          <w:color w:val="231F20"/>
          <w:spacing w:val="-10"/>
        </w:rPr>
        <w:t xml:space="preserve"> </w:t>
      </w:r>
      <w:r w:rsidR="00216117">
        <w:rPr>
          <w:color w:val="231F20"/>
        </w:rPr>
        <w:t>pověřené</w:t>
      </w:r>
      <w:r w:rsidR="00216117">
        <w:rPr>
          <w:color w:val="231F20"/>
          <w:spacing w:val="-10"/>
        </w:rPr>
        <w:t xml:space="preserve"> </w:t>
      </w:r>
      <w:r w:rsidR="00216117">
        <w:rPr>
          <w:color w:val="231F20"/>
        </w:rPr>
        <w:t>osobě</w:t>
      </w:r>
      <w:r w:rsidR="00216117">
        <w:rPr>
          <w:color w:val="231F20"/>
          <w:spacing w:val="-10"/>
        </w:rPr>
        <w:t xml:space="preserve"> </w:t>
      </w:r>
      <w:r w:rsidR="00216117">
        <w:rPr>
          <w:color w:val="231F20"/>
        </w:rPr>
        <w:t>v</w:t>
      </w:r>
      <w:r w:rsidR="00216117">
        <w:rPr>
          <w:color w:val="231F20"/>
          <w:spacing w:val="-9"/>
        </w:rPr>
        <w:t xml:space="preserve"> </w:t>
      </w:r>
      <w:r w:rsidR="00216117">
        <w:rPr>
          <w:color w:val="231F20"/>
        </w:rPr>
        <w:t>hotovosti,</w:t>
      </w:r>
      <w:r w:rsidR="00216117">
        <w:rPr>
          <w:color w:val="231F20"/>
          <w:spacing w:val="-10"/>
        </w:rPr>
        <w:t xml:space="preserve"> </w:t>
      </w:r>
      <w:r w:rsidR="00216117">
        <w:rPr>
          <w:color w:val="231F20"/>
        </w:rPr>
        <w:t>nebo,</w:t>
      </w:r>
      <w:r w:rsidR="00216117">
        <w:rPr>
          <w:color w:val="231F20"/>
          <w:spacing w:val="-10"/>
        </w:rPr>
        <w:t xml:space="preserve"> </w:t>
      </w:r>
      <w:r w:rsidR="00216117">
        <w:rPr>
          <w:color w:val="231F20"/>
        </w:rPr>
        <w:t>v</w:t>
      </w:r>
      <w:r w:rsidR="00216117">
        <w:rPr>
          <w:color w:val="231F20"/>
          <w:spacing w:val="-10"/>
        </w:rPr>
        <w:t xml:space="preserve"> </w:t>
      </w:r>
      <w:r w:rsidR="00216117">
        <w:rPr>
          <w:color w:val="231F20"/>
        </w:rPr>
        <w:t>případě</w:t>
      </w:r>
      <w:r w:rsidR="00216117">
        <w:rPr>
          <w:color w:val="231F20"/>
          <w:spacing w:val="-9"/>
        </w:rPr>
        <w:t xml:space="preserve"> </w:t>
      </w:r>
      <w:r w:rsidR="00216117">
        <w:rPr>
          <w:color w:val="231F20"/>
        </w:rPr>
        <w:t>bezhotovostních</w:t>
      </w:r>
      <w:r w:rsidR="00216117">
        <w:rPr>
          <w:color w:val="231F20"/>
          <w:spacing w:val="-10"/>
        </w:rPr>
        <w:t xml:space="preserve"> </w:t>
      </w:r>
      <w:r w:rsidR="00216117">
        <w:rPr>
          <w:color w:val="231F20"/>
        </w:rPr>
        <w:t>plateb, kdy</w:t>
      </w:r>
      <w:r w:rsidR="00216117">
        <w:rPr>
          <w:color w:val="231F20"/>
          <w:spacing w:val="-12"/>
        </w:rPr>
        <w:t xml:space="preserve"> </w:t>
      </w:r>
      <w:r w:rsidR="00216117">
        <w:rPr>
          <w:color w:val="231F20"/>
        </w:rPr>
        <w:t>byla</w:t>
      </w:r>
      <w:r w:rsidR="00216117">
        <w:rPr>
          <w:color w:val="231F20"/>
          <w:spacing w:val="-12"/>
        </w:rPr>
        <w:t xml:space="preserve"> </w:t>
      </w:r>
      <w:r w:rsidR="00216117">
        <w:rPr>
          <w:color w:val="231F20"/>
        </w:rPr>
        <w:t>částka</w:t>
      </w:r>
      <w:r w:rsidR="00216117">
        <w:rPr>
          <w:color w:val="231F20"/>
          <w:spacing w:val="-13"/>
        </w:rPr>
        <w:t xml:space="preserve"> </w:t>
      </w:r>
      <w:r w:rsidR="00216117">
        <w:rPr>
          <w:color w:val="231F20"/>
        </w:rPr>
        <w:t>odpovídající</w:t>
      </w:r>
      <w:r w:rsidR="00216117">
        <w:rPr>
          <w:color w:val="231F20"/>
          <w:spacing w:val="-12"/>
        </w:rPr>
        <w:t xml:space="preserve"> </w:t>
      </w:r>
      <w:r w:rsidR="00216117">
        <w:rPr>
          <w:color w:val="231F20"/>
        </w:rPr>
        <w:t>výši</w:t>
      </w:r>
      <w:r w:rsidR="00216117">
        <w:rPr>
          <w:color w:val="231F20"/>
          <w:spacing w:val="-12"/>
        </w:rPr>
        <w:t xml:space="preserve"> </w:t>
      </w:r>
      <w:r w:rsidR="00216117">
        <w:rPr>
          <w:color w:val="231F20"/>
        </w:rPr>
        <w:t>pojistného</w:t>
      </w:r>
      <w:r w:rsidR="00216117">
        <w:rPr>
          <w:color w:val="231F20"/>
          <w:spacing w:val="-12"/>
        </w:rPr>
        <w:t xml:space="preserve"> </w:t>
      </w:r>
      <w:r w:rsidR="00216117">
        <w:rPr>
          <w:color w:val="231F20"/>
        </w:rPr>
        <w:t>připsána</w:t>
      </w:r>
      <w:r w:rsidR="00216117">
        <w:rPr>
          <w:color w:val="231F20"/>
          <w:spacing w:val="-12"/>
        </w:rPr>
        <w:t xml:space="preserve"> </w:t>
      </w:r>
      <w:r w:rsidR="00216117">
        <w:rPr>
          <w:color w:val="231F20"/>
        </w:rPr>
        <w:t>na</w:t>
      </w:r>
      <w:r w:rsidR="00216117">
        <w:rPr>
          <w:color w:val="231F20"/>
          <w:spacing w:val="-12"/>
        </w:rPr>
        <w:t xml:space="preserve"> </w:t>
      </w:r>
      <w:r w:rsidR="00216117">
        <w:rPr>
          <w:color w:val="231F20"/>
        </w:rPr>
        <w:t>bankovní</w:t>
      </w:r>
      <w:r w:rsidR="00216117">
        <w:rPr>
          <w:color w:val="231F20"/>
          <w:spacing w:val="-12"/>
        </w:rPr>
        <w:t xml:space="preserve"> </w:t>
      </w:r>
      <w:r w:rsidR="00216117">
        <w:rPr>
          <w:color w:val="231F20"/>
        </w:rPr>
        <w:t>účet</w:t>
      </w:r>
      <w:r w:rsidR="00216117">
        <w:rPr>
          <w:color w:val="231F20"/>
          <w:spacing w:val="-12"/>
        </w:rPr>
        <w:t xml:space="preserve"> </w:t>
      </w:r>
      <w:r w:rsidR="00216117">
        <w:rPr>
          <w:color w:val="231F20"/>
          <w:spacing w:val="-3"/>
        </w:rPr>
        <w:t xml:space="preserve">Pojiš- </w:t>
      </w:r>
      <w:r w:rsidR="00216117">
        <w:rPr>
          <w:color w:val="231F20"/>
        </w:rPr>
        <w:t>ťovny</w:t>
      </w:r>
      <w:r w:rsidR="00216117">
        <w:rPr>
          <w:color w:val="231F20"/>
          <w:spacing w:val="-18"/>
        </w:rPr>
        <w:t xml:space="preserve"> </w:t>
      </w:r>
      <w:r w:rsidR="00216117">
        <w:rPr>
          <w:color w:val="231F20"/>
        </w:rPr>
        <w:t>nebo</w:t>
      </w:r>
      <w:r w:rsidR="00216117">
        <w:rPr>
          <w:color w:val="231F20"/>
          <w:spacing w:val="-17"/>
        </w:rPr>
        <w:t xml:space="preserve"> </w:t>
      </w:r>
      <w:r w:rsidR="00216117">
        <w:rPr>
          <w:color w:val="231F20"/>
        </w:rPr>
        <w:t>jí</w:t>
      </w:r>
      <w:r w:rsidR="00216117">
        <w:rPr>
          <w:color w:val="231F20"/>
          <w:spacing w:val="-17"/>
        </w:rPr>
        <w:t xml:space="preserve"> </w:t>
      </w:r>
      <w:r w:rsidR="00216117">
        <w:rPr>
          <w:color w:val="231F20"/>
        </w:rPr>
        <w:t>pověřené</w:t>
      </w:r>
      <w:r w:rsidR="00216117">
        <w:rPr>
          <w:color w:val="231F20"/>
          <w:spacing w:val="-17"/>
        </w:rPr>
        <w:t xml:space="preserve"> </w:t>
      </w:r>
      <w:r w:rsidR="00216117">
        <w:rPr>
          <w:color w:val="231F20"/>
          <w:spacing w:val="-3"/>
        </w:rPr>
        <w:t>osoby,</w:t>
      </w:r>
      <w:r w:rsidR="00216117">
        <w:rPr>
          <w:color w:val="231F20"/>
          <w:spacing w:val="-17"/>
        </w:rPr>
        <w:t xml:space="preserve"> </w:t>
      </w:r>
      <w:r w:rsidR="00216117">
        <w:rPr>
          <w:color w:val="231F20"/>
        </w:rPr>
        <w:t>není-li</w:t>
      </w:r>
      <w:r w:rsidR="00216117">
        <w:rPr>
          <w:color w:val="231F20"/>
          <w:spacing w:val="-17"/>
        </w:rPr>
        <w:t xml:space="preserve"> </w:t>
      </w:r>
      <w:r w:rsidR="00216117">
        <w:rPr>
          <w:color w:val="231F20"/>
        </w:rPr>
        <w:t>v</w:t>
      </w:r>
      <w:r w:rsidR="00216117">
        <w:rPr>
          <w:color w:val="231F20"/>
          <w:spacing w:val="-17"/>
        </w:rPr>
        <w:t xml:space="preserve"> </w:t>
      </w:r>
      <w:r w:rsidR="00216117">
        <w:rPr>
          <w:color w:val="231F20"/>
        </w:rPr>
        <w:t>pojistné</w:t>
      </w:r>
      <w:r w:rsidR="00216117">
        <w:rPr>
          <w:color w:val="231F20"/>
          <w:spacing w:val="-17"/>
        </w:rPr>
        <w:t xml:space="preserve"> </w:t>
      </w:r>
      <w:r w:rsidR="00216117">
        <w:rPr>
          <w:color w:val="231F20"/>
        </w:rPr>
        <w:t>smlouvě</w:t>
      </w:r>
      <w:r w:rsidR="00216117">
        <w:rPr>
          <w:color w:val="231F20"/>
          <w:spacing w:val="-17"/>
        </w:rPr>
        <w:t xml:space="preserve"> </w:t>
      </w:r>
      <w:r w:rsidR="00216117">
        <w:rPr>
          <w:color w:val="231F20"/>
        </w:rPr>
        <w:t>uvedeno</w:t>
      </w:r>
      <w:r w:rsidR="00216117">
        <w:rPr>
          <w:color w:val="231F20"/>
          <w:spacing w:val="-17"/>
        </w:rPr>
        <w:t xml:space="preserve"> </w:t>
      </w:r>
      <w:r w:rsidR="00216117">
        <w:rPr>
          <w:color w:val="231F20"/>
        </w:rPr>
        <w:t>jinak.</w:t>
      </w:r>
      <w:r w:rsidR="00216117">
        <w:rPr>
          <w:color w:val="231F20"/>
          <w:spacing w:val="-17"/>
        </w:rPr>
        <w:t xml:space="preserve"> </w:t>
      </w:r>
      <w:r w:rsidR="00216117">
        <w:rPr>
          <w:color w:val="231F20"/>
          <w:spacing w:val="-3"/>
        </w:rPr>
        <w:t xml:space="preserve">Pojist- </w:t>
      </w:r>
      <w:r w:rsidR="00216117">
        <w:rPr>
          <w:color w:val="231F20"/>
        </w:rPr>
        <w:t>né</w:t>
      </w:r>
      <w:r w:rsidR="00216117">
        <w:rPr>
          <w:color w:val="231F20"/>
          <w:spacing w:val="-20"/>
        </w:rPr>
        <w:t xml:space="preserve"> </w:t>
      </w:r>
      <w:r w:rsidR="00216117">
        <w:rPr>
          <w:color w:val="231F20"/>
        </w:rPr>
        <w:t>musí</w:t>
      </w:r>
      <w:r w:rsidR="00216117">
        <w:rPr>
          <w:color w:val="231F20"/>
          <w:spacing w:val="-19"/>
        </w:rPr>
        <w:t xml:space="preserve"> </w:t>
      </w:r>
      <w:r w:rsidR="00216117">
        <w:rPr>
          <w:color w:val="231F20"/>
        </w:rPr>
        <w:t>být</w:t>
      </w:r>
      <w:r w:rsidR="00216117">
        <w:rPr>
          <w:color w:val="231F20"/>
          <w:spacing w:val="-19"/>
        </w:rPr>
        <w:t xml:space="preserve"> </w:t>
      </w:r>
      <w:r w:rsidR="00216117">
        <w:rPr>
          <w:color w:val="231F20"/>
        </w:rPr>
        <w:t>uhrazeno</w:t>
      </w:r>
      <w:r w:rsidR="00216117">
        <w:rPr>
          <w:color w:val="231F20"/>
          <w:spacing w:val="-19"/>
        </w:rPr>
        <w:t xml:space="preserve"> </w:t>
      </w:r>
      <w:r w:rsidR="00216117">
        <w:rPr>
          <w:color w:val="231F20"/>
        </w:rPr>
        <w:t>nejpozději</w:t>
      </w:r>
      <w:r w:rsidR="00216117">
        <w:rPr>
          <w:color w:val="231F20"/>
          <w:spacing w:val="-19"/>
        </w:rPr>
        <w:t xml:space="preserve"> </w:t>
      </w:r>
      <w:r w:rsidR="00216117">
        <w:rPr>
          <w:color w:val="231F20"/>
        </w:rPr>
        <w:t>do</w:t>
      </w:r>
      <w:r w:rsidR="00216117">
        <w:rPr>
          <w:color w:val="231F20"/>
          <w:spacing w:val="-19"/>
        </w:rPr>
        <w:t xml:space="preserve"> </w:t>
      </w:r>
      <w:r w:rsidR="00216117">
        <w:rPr>
          <w:color w:val="231F20"/>
        </w:rPr>
        <w:t>data,</w:t>
      </w:r>
      <w:r w:rsidR="00216117">
        <w:rPr>
          <w:color w:val="231F20"/>
          <w:spacing w:val="-19"/>
        </w:rPr>
        <w:t xml:space="preserve"> </w:t>
      </w:r>
      <w:r w:rsidR="00216117">
        <w:rPr>
          <w:color w:val="231F20"/>
        </w:rPr>
        <w:t>které</w:t>
      </w:r>
      <w:r w:rsidR="00216117">
        <w:rPr>
          <w:color w:val="231F20"/>
          <w:spacing w:val="-19"/>
        </w:rPr>
        <w:t xml:space="preserve"> </w:t>
      </w:r>
      <w:r w:rsidR="00216117">
        <w:rPr>
          <w:color w:val="231F20"/>
        </w:rPr>
        <w:t>je</w:t>
      </w:r>
      <w:r w:rsidR="00216117">
        <w:rPr>
          <w:color w:val="231F20"/>
          <w:spacing w:val="-19"/>
        </w:rPr>
        <w:t xml:space="preserve"> </w:t>
      </w:r>
      <w:r w:rsidR="00216117">
        <w:rPr>
          <w:color w:val="231F20"/>
        </w:rPr>
        <w:t>uvedeno</w:t>
      </w:r>
      <w:r w:rsidR="00216117">
        <w:rPr>
          <w:color w:val="231F20"/>
          <w:spacing w:val="-19"/>
        </w:rPr>
        <w:t xml:space="preserve"> </w:t>
      </w:r>
      <w:r w:rsidR="00216117">
        <w:rPr>
          <w:color w:val="231F20"/>
        </w:rPr>
        <w:t>v</w:t>
      </w:r>
      <w:r w:rsidR="00216117">
        <w:rPr>
          <w:color w:val="231F20"/>
          <w:spacing w:val="-20"/>
        </w:rPr>
        <w:t xml:space="preserve"> </w:t>
      </w:r>
      <w:r w:rsidR="00216117">
        <w:rPr>
          <w:color w:val="231F20"/>
        </w:rPr>
        <w:t>pojistné</w:t>
      </w:r>
      <w:r w:rsidR="00216117">
        <w:rPr>
          <w:color w:val="231F20"/>
          <w:spacing w:val="-19"/>
        </w:rPr>
        <w:t xml:space="preserve"> </w:t>
      </w:r>
      <w:r w:rsidR="00216117">
        <w:rPr>
          <w:color w:val="231F20"/>
        </w:rPr>
        <w:t>smlouvě. Pojistné</w:t>
      </w:r>
      <w:r w:rsidR="00216117">
        <w:rPr>
          <w:color w:val="231F20"/>
          <w:spacing w:val="-15"/>
        </w:rPr>
        <w:t xml:space="preserve"> </w:t>
      </w:r>
      <w:r w:rsidR="00216117">
        <w:rPr>
          <w:color w:val="231F20"/>
        </w:rPr>
        <w:t>se</w:t>
      </w:r>
      <w:r w:rsidR="00216117">
        <w:rPr>
          <w:color w:val="231F20"/>
          <w:spacing w:val="-14"/>
        </w:rPr>
        <w:t xml:space="preserve"> </w:t>
      </w:r>
      <w:r w:rsidR="00216117">
        <w:rPr>
          <w:color w:val="231F20"/>
        </w:rPr>
        <w:t>platí</w:t>
      </w:r>
      <w:r w:rsidR="00216117">
        <w:rPr>
          <w:color w:val="231F20"/>
          <w:spacing w:val="-14"/>
        </w:rPr>
        <w:t xml:space="preserve"> </w:t>
      </w:r>
      <w:r w:rsidR="00216117">
        <w:rPr>
          <w:color w:val="231F20"/>
        </w:rPr>
        <w:t>v</w:t>
      </w:r>
      <w:r w:rsidR="00216117">
        <w:rPr>
          <w:color w:val="231F20"/>
          <w:spacing w:val="-14"/>
        </w:rPr>
        <w:t xml:space="preserve"> </w:t>
      </w:r>
      <w:r w:rsidR="00216117">
        <w:rPr>
          <w:color w:val="231F20"/>
        </w:rPr>
        <w:t>tuzemské</w:t>
      </w:r>
      <w:r w:rsidR="00216117">
        <w:rPr>
          <w:color w:val="231F20"/>
          <w:spacing w:val="-14"/>
        </w:rPr>
        <w:t xml:space="preserve"> </w:t>
      </w:r>
      <w:r w:rsidR="00216117">
        <w:rPr>
          <w:color w:val="231F20"/>
        </w:rPr>
        <w:t>měně,</w:t>
      </w:r>
      <w:r w:rsidR="00216117">
        <w:rPr>
          <w:color w:val="231F20"/>
          <w:spacing w:val="-15"/>
        </w:rPr>
        <w:t xml:space="preserve"> </w:t>
      </w:r>
      <w:r w:rsidR="00216117">
        <w:rPr>
          <w:color w:val="231F20"/>
        </w:rPr>
        <w:t>není-li</w:t>
      </w:r>
      <w:r w:rsidR="00216117">
        <w:rPr>
          <w:color w:val="231F20"/>
          <w:spacing w:val="-14"/>
        </w:rPr>
        <w:t xml:space="preserve"> </w:t>
      </w:r>
      <w:r w:rsidR="00216117">
        <w:rPr>
          <w:color w:val="231F20"/>
        </w:rPr>
        <w:t>v</w:t>
      </w:r>
      <w:r w:rsidR="00216117">
        <w:rPr>
          <w:color w:val="231F20"/>
          <w:spacing w:val="-14"/>
        </w:rPr>
        <w:t xml:space="preserve"> </w:t>
      </w:r>
      <w:r w:rsidR="00216117">
        <w:rPr>
          <w:color w:val="231F20"/>
        </w:rPr>
        <w:t>pojistné</w:t>
      </w:r>
      <w:r w:rsidR="00216117">
        <w:rPr>
          <w:color w:val="231F20"/>
          <w:spacing w:val="-14"/>
        </w:rPr>
        <w:t xml:space="preserve"> </w:t>
      </w:r>
      <w:r w:rsidR="00216117">
        <w:rPr>
          <w:color w:val="231F20"/>
        </w:rPr>
        <w:t>smlouvě</w:t>
      </w:r>
      <w:r w:rsidR="00216117">
        <w:rPr>
          <w:color w:val="231F20"/>
          <w:spacing w:val="-14"/>
        </w:rPr>
        <w:t xml:space="preserve"> </w:t>
      </w:r>
      <w:r w:rsidR="00216117">
        <w:rPr>
          <w:color w:val="231F20"/>
        </w:rPr>
        <w:t>uvedeno</w:t>
      </w:r>
      <w:r w:rsidR="00216117">
        <w:rPr>
          <w:color w:val="231F20"/>
          <w:spacing w:val="-15"/>
        </w:rPr>
        <w:t xml:space="preserve"> </w:t>
      </w:r>
      <w:r w:rsidR="00216117">
        <w:rPr>
          <w:color w:val="231F20"/>
        </w:rPr>
        <w:t>jinak. Pojišťovna</w:t>
      </w:r>
      <w:r w:rsidR="00216117">
        <w:rPr>
          <w:color w:val="231F20"/>
          <w:spacing w:val="-12"/>
        </w:rPr>
        <w:t xml:space="preserve"> </w:t>
      </w:r>
      <w:r w:rsidR="00216117">
        <w:rPr>
          <w:color w:val="231F20"/>
        </w:rPr>
        <w:t>má</w:t>
      </w:r>
      <w:r w:rsidR="00216117">
        <w:rPr>
          <w:color w:val="231F20"/>
          <w:spacing w:val="-11"/>
        </w:rPr>
        <w:t xml:space="preserve"> </w:t>
      </w:r>
      <w:r w:rsidR="00216117">
        <w:rPr>
          <w:color w:val="231F20"/>
        </w:rPr>
        <w:t>právo</w:t>
      </w:r>
      <w:r w:rsidR="00216117">
        <w:rPr>
          <w:color w:val="231F20"/>
          <w:spacing w:val="-12"/>
        </w:rPr>
        <w:t xml:space="preserve"> </w:t>
      </w:r>
      <w:r w:rsidR="00216117">
        <w:rPr>
          <w:color w:val="231F20"/>
        </w:rPr>
        <w:t>upravit</w:t>
      </w:r>
      <w:r w:rsidR="00216117">
        <w:rPr>
          <w:color w:val="231F20"/>
          <w:spacing w:val="-11"/>
        </w:rPr>
        <w:t xml:space="preserve"> </w:t>
      </w:r>
      <w:r w:rsidR="00216117">
        <w:rPr>
          <w:color w:val="231F20"/>
        </w:rPr>
        <w:t>nově</w:t>
      </w:r>
      <w:r w:rsidR="00216117">
        <w:rPr>
          <w:color w:val="231F20"/>
          <w:spacing w:val="-12"/>
        </w:rPr>
        <w:t xml:space="preserve"> </w:t>
      </w:r>
      <w:r w:rsidR="00216117">
        <w:rPr>
          <w:color w:val="231F20"/>
        </w:rPr>
        <w:t>výši</w:t>
      </w:r>
      <w:r w:rsidR="00216117">
        <w:rPr>
          <w:color w:val="231F20"/>
          <w:spacing w:val="-11"/>
        </w:rPr>
        <w:t xml:space="preserve"> </w:t>
      </w:r>
      <w:r w:rsidR="00216117">
        <w:rPr>
          <w:color w:val="231F20"/>
        </w:rPr>
        <w:t>pojistného</w:t>
      </w:r>
      <w:r w:rsidR="00216117">
        <w:rPr>
          <w:color w:val="231F20"/>
          <w:spacing w:val="-11"/>
        </w:rPr>
        <w:t xml:space="preserve"> </w:t>
      </w:r>
      <w:r w:rsidR="00216117">
        <w:rPr>
          <w:color w:val="231F20"/>
        </w:rPr>
        <w:t>na</w:t>
      </w:r>
      <w:r w:rsidR="00216117">
        <w:rPr>
          <w:color w:val="231F20"/>
          <w:spacing w:val="-12"/>
        </w:rPr>
        <w:t xml:space="preserve"> </w:t>
      </w:r>
      <w:r w:rsidR="00216117">
        <w:rPr>
          <w:color w:val="231F20"/>
        </w:rPr>
        <w:t>další</w:t>
      </w:r>
      <w:r w:rsidR="00216117">
        <w:rPr>
          <w:color w:val="231F20"/>
          <w:spacing w:val="-11"/>
        </w:rPr>
        <w:t xml:space="preserve"> </w:t>
      </w:r>
      <w:r w:rsidR="00216117">
        <w:rPr>
          <w:color w:val="231F20"/>
        </w:rPr>
        <w:t>pojistné</w:t>
      </w:r>
      <w:r w:rsidR="00216117">
        <w:rPr>
          <w:color w:val="231F20"/>
          <w:spacing w:val="-12"/>
        </w:rPr>
        <w:t xml:space="preserve"> </w:t>
      </w:r>
      <w:r w:rsidR="00216117">
        <w:rPr>
          <w:color w:val="231F20"/>
        </w:rPr>
        <w:t>období,</w:t>
      </w:r>
    </w:p>
    <w:p w14:paraId="2FDE0F07" w14:textId="77777777" w:rsidR="00F65BCA" w:rsidRDefault="00216117">
      <w:pPr>
        <w:pStyle w:val="Odstavecseseznamem"/>
        <w:numPr>
          <w:ilvl w:val="0"/>
          <w:numId w:val="130"/>
        </w:numPr>
        <w:tabs>
          <w:tab w:val="left" w:pos="640"/>
        </w:tabs>
        <w:spacing w:line="278" w:lineRule="auto"/>
        <w:ind w:right="424"/>
        <w:rPr>
          <w:sz w:val="15"/>
        </w:rPr>
      </w:pPr>
      <w:r>
        <w:rPr>
          <w:color w:val="231F20"/>
          <w:sz w:val="15"/>
        </w:rPr>
        <w:t>dojde-li</w:t>
      </w:r>
      <w:r>
        <w:rPr>
          <w:color w:val="231F20"/>
          <w:spacing w:val="-14"/>
          <w:sz w:val="15"/>
        </w:rPr>
        <w:t xml:space="preserve"> </w:t>
      </w:r>
      <w:r>
        <w:rPr>
          <w:color w:val="231F20"/>
          <w:sz w:val="15"/>
        </w:rPr>
        <w:t>ke</w:t>
      </w:r>
      <w:r>
        <w:rPr>
          <w:color w:val="231F20"/>
          <w:spacing w:val="-14"/>
          <w:sz w:val="15"/>
        </w:rPr>
        <w:t xml:space="preserve"> </w:t>
      </w:r>
      <w:r>
        <w:rPr>
          <w:color w:val="231F20"/>
          <w:sz w:val="15"/>
        </w:rPr>
        <w:t>změně</w:t>
      </w:r>
      <w:r>
        <w:rPr>
          <w:color w:val="231F20"/>
          <w:spacing w:val="-14"/>
          <w:sz w:val="15"/>
        </w:rPr>
        <w:t xml:space="preserve"> </w:t>
      </w:r>
      <w:r>
        <w:rPr>
          <w:color w:val="231F20"/>
          <w:sz w:val="15"/>
        </w:rPr>
        <w:t>obecně</w:t>
      </w:r>
      <w:r>
        <w:rPr>
          <w:color w:val="231F20"/>
          <w:spacing w:val="-13"/>
          <w:sz w:val="15"/>
        </w:rPr>
        <w:t xml:space="preserve"> </w:t>
      </w:r>
      <w:r>
        <w:rPr>
          <w:color w:val="231F20"/>
          <w:sz w:val="15"/>
        </w:rPr>
        <w:t>závazných</w:t>
      </w:r>
      <w:r>
        <w:rPr>
          <w:color w:val="231F20"/>
          <w:spacing w:val="-14"/>
          <w:sz w:val="15"/>
        </w:rPr>
        <w:t xml:space="preserve"> </w:t>
      </w:r>
      <w:r>
        <w:rPr>
          <w:color w:val="231F20"/>
          <w:sz w:val="15"/>
        </w:rPr>
        <w:t>právních</w:t>
      </w:r>
      <w:r>
        <w:rPr>
          <w:color w:val="231F20"/>
          <w:spacing w:val="-14"/>
          <w:sz w:val="15"/>
        </w:rPr>
        <w:t xml:space="preserve"> </w:t>
      </w:r>
      <w:r>
        <w:rPr>
          <w:color w:val="231F20"/>
          <w:sz w:val="15"/>
        </w:rPr>
        <w:t>předpisů</w:t>
      </w:r>
      <w:r>
        <w:rPr>
          <w:color w:val="231F20"/>
          <w:spacing w:val="-13"/>
          <w:sz w:val="15"/>
        </w:rPr>
        <w:t xml:space="preserve"> </w:t>
      </w:r>
      <w:r>
        <w:rPr>
          <w:color w:val="231F20"/>
          <w:sz w:val="15"/>
        </w:rPr>
        <w:t>nebo</w:t>
      </w:r>
      <w:r>
        <w:rPr>
          <w:color w:val="231F20"/>
          <w:spacing w:val="-14"/>
          <w:sz w:val="15"/>
        </w:rPr>
        <w:t xml:space="preserve"> </w:t>
      </w:r>
      <w:r>
        <w:rPr>
          <w:color w:val="231F20"/>
          <w:sz w:val="15"/>
        </w:rPr>
        <w:t>rozhodovací praxe</w:t>
      </w:r>
      <w:r>
        <w:rPr>
          <w:color w:val="231F20"/>
          <w:spacing w:val="-9"/>
          <w:sz w:val="15"/>
        </w:rPr>
        <w:t xml:space="preserve"> </w:t>
      </w:r>
      <w:r>
        <w:rPr>
          <w:color w:val="231F20"/>
          <w:sz w:val="15"/>
        </w:rPr>
        <w:t>soudů,</w:t>
      </w:r>
      <w:r>
        <w:rPr>
          <w:color w:val="231F20"/>
          <w:spacing w:val="-9"/>
          <w:sz w:val="15"/>
        </w:rPr>
        <w:t xml:space="preserve"> </w:t>
      </w:r>
      <w:r>
        <w:rPr>
          <w:color w:val="231F20"/>
          <w:sz w:val="15"/>
        </w:rPr>
        <w:t>která</w:t>
      </w:r>
      <w:r>
        <w:rPr>
          <w:color w:val="231F20"/>
          <w:spacing w:val="-9"/>
          <w:sz w:val="15"/>
        </w:rPr>
        <w:t xml:space="preserve"> </w:t>
      </w:r>
      <w:r>
        <w:rPr>
          <w:color w:val="231F20"/>
          <w:sz w:val="15"/>
        </w:rPr>
        <w:t>má</w:t>
      </w:r>
      <w:r>
        <w:rPr>
          <w:color w:val="231F20"/>
          <w:spacing w:val="-9"/>
          <w:sz w:val="15"/>
        </w:rPr>
        <w:t xml:space="preserve"> </w:t>
      </w:r>
      <w:r>
        <w:rPr>
          <w:color w:val="231F20"/>
          <w:sz w:val="15"/>
        </w:rPr>
        <w:t>vliv</w:t>
      </w:r>
      <w:r>
        <w:rPr>
          <w:color w:val="231F20"/>
          <w:spacing w:val="-9"/>
          <w:sz w:val="15"/>
        </w:rPr>
        <w:t xml:space="preserve"> </w:t>
      </w:r>
      <w:r>
        <w:rPr>
          <w:color w:val="231F20"/>
          <w:sz w:val="15"/>
        </w:rPr>
        <w:t>na</w:t>
      </w:r>
      <w:r>
        <w:rPr>
          <w:color w:val="231F20"/>
          <w:spacing w:val="-9"/>
          <w:sz w:val="15"/>
        </w:rPr>
        <w:t xml:space="preserve"> </w:t>
      </w:r>
      <w:r>
        <w:rPr>
          <w:color w:val="231F20"/>
          <w:sz w:val="15"/>
        </w:rPr>
        <w:t>stanovení</w:t>
      </w:r>
      <w:r>
        <w:rPr>
          <w:color w:val="231F20"/>
          <w:spacing w:val="-9"/>
          <w:sz w:val="15"/>
        </w:rPr>
        <w:t xml:space="preserve"> </w:t>
      </w:r>
      <w:r>
        <w:rPr>
          <w:color w:val="231F20"/>
          <w:sz w:val="15"/>
        </w:rPr>
        <w:t>výše</w:t>
      </w:r>
      <w:r>
        <w:rPr>
          <w:color w:val="231F20"/>
          <w:spacing w:val="-9"/>
          <w:sz w:val="15"/>
        </w:rPr>
        <w:t xml:space="preserve"> </w:t>
      </w:r>
      <w:r>
        <w:rPr>
          <w:color w:val="231F20"/>
          <w:sz w:val="15"/>
        </w:rPr>
        <w:t>pojistného</w:t>
      </w:r>
      <w:r>
        <w:rPr>
          <w:color w:val="231F20"/>
          <w:spacing w:val="-9"/>
          <w:sz w:val="15"/>
        </w:rPr>
        <w:t xml:space="preserve"> </w:t>
      </w:r>
      <w:r>
        <w:rPr>
          <w:color w:val="231F20"/>
          <w:sz w:val="15"/>
        </w:rPr>
        <w:t>plnění,</w:t>
      </w:r>
      <w:r>
        <w:rPr>
          <w:color w:val="231F20"/>
          <w:spacing w:val="-9"/>
          <w:sz w:val="15"/>
        </w:rPr>
        <w:t xml:space="preserve"> </w:t>
      </w:r>
      <w:r>
        <w:rPr>
          <w:color w:val="231F20"/>
          <w:sz w:val="15"/>
        </w:rPr>
        <w:t>nebo</w:t>
      </w:r>
    </w:p>
    <w:p w14:paraId="74F34380" w14:textId="77777777" w:rsidR="00F65BCA" w:rsidRDefault="00216117">
      <w:pPr>
        <w:pStyle w:val="Odstavecseseznamem"/>
        <w:numPr>
          <w:ilvl w:val="0"/>
          <w:numId w:val="130"/>
        </w:numPr>
        <w:tabs>
          <w:tab w:val="left" w:pos="640"/>
        </w:tabs>
        <w:spacing w:line="278" w:lineRule="auto"/>
        <w:ind w:right="424"/>
        <w:rPr>
          <w:sz w:val="15"/>
        </w:rPr>
      </w:pPr>
      <w:r>
        <w:rPr>
          <w:color w:val="231F20"/>
          <w:sz w:val="15"/>
        </w:rPr>
        <w:t>není-li</w:t>
      </w:r>
      <w:r>
        <w:rPr>
          <w:color w:val="231F20"/>
          <w:spacing w:val="-10"/>
          <w:sz w:val="15"/>
        </w:rPr>
        <w:t xml:space="preserve"> </w:t>
      </w:r>
      <w:r>
        <w:rPr>
          <w:color w:val="231F20"/>
          <w:sz w:val="15"/>
        </w:rPr>
        <w:t>pojistné</w:t>
      </w:r>
      <w:r>
        <w:rPr>
          <w:color w:val="231F20"/>
          <w:spacing w:val="-9"/>
          <w:sz w:val="15"/>
        </w:rPr>
        <w:t xml:space="preserve"> </w:t>
      </w:r>
      <w:r>
        <w:rPr>
          <w:color w:val="231F20"/>
          <w:sz w:val="15"/>
        </w:rPr>
        <w:t>dostatečné</w:t>
      </w:r>
      <w:r>
        <w:rPr>
          <w:color w:val="231F20"/>
          <w:spacing w:val="-9"/>
          <w:sz w:val="15"/>
        </w:rPr>
        <w:t xml:space="preserve"> </w:t>
      </w:r>
      <w:r>
        <w:rPr>
          <w:color w:val="231F20"/>
          <w:sz w:val="15"/>
        </w:rPr>
        <w:t>podle</w:t>
      </w:r>
      <w:r>
        <w:rPr>
          <w:color w:val="231F20"/>
          <w:spacing w:val="-9"/>
          <w:sz w:val="15"/>
        </w:rPr>
        <w:t xml:space="preserve"> </w:t>
      </w:r>
      <w:r>
        <w:rPr>
          <w:color w:val="231F20"/>
          <w:sz w:val="15"/>
        </w:rPr>
        <w:t>zákona</w:t>
      </w:r>
      <w:r>
        <w:rPr>
          <w:color w:val="231F20"/>
          <w:spacing w:val="-9"/>
          <w:sz w:val="15"/>
        </w:rPr>
        <w:t xml:space="preserve"> </w:t>
      </w:r>
      <w:r>
        <w:rPr>
          <w:color w:val="231F20"/>
          <w:sz w:val="15"/>
        </w:rPr>
        <w:t>č.</w:t>
      </w:r>
      <w:r>
        <w:rPr>
          <w:color w:val="231F20"/>
          <w:spacing w:val="-9"/>
          <w:sz w:val="15"/>
        </w:rPr>
        <w:t xml:space="preserve"> </w:t>
      </w:r>
      <w:r>
        <w:rPr>
          <w:color w:val="231F20"/>
          <w:sz w:val="15"/>
        </w:rPr>
        <w:t>277/2009</w:t>
      </w:r>
      <w:r>
        <w:rPr>
          <w:color w:val="231F20"/>
          <w:spacing w:val="-9"/>
          <w:sz w:val="15"/>
        </w:rPr>
        <w:t xml:space="preserve"> </w:t>
      </w:r>
      <w:r>
        <w:rPr>
          <w:color w:val="231F20"/>
          <w:sz w:val="15"/>
        </w:rPr>
        <w:t>Sb.,</w:t>
      </w:r>
      <w:r>
        <w:rPr>
          <w:color w:val="231F20"/>
          <w:spacing w:val="-9"/>
          <w:sz w:val="15"/>
        </w:rPr>
        <w:t xml:space="preserve"> </w:t>
      </w:r>
      <w:r>
        <w:rPr>
          <w:color w:val="231F20"/>
          <w:sz w:val="15"/>
        </w:rPr>
        <w:t>o</w:t>
      </w:r>
      <w:r>
        <w:rPr>
          <w:color w:val="231F20"/>
          <w:spacing w:val="-9"/>
          <w:sz w:val="15"/>
        </w:rPr>
        <w:t xml:space="preserve"> </w:t>
      </w:r>
      <w:r>
        <w:rPr>
          <w:color w:val="231F20"/>
          <w:sz w:val="15"/>
        </w:rPr>
        <w:t>pojišťovnictví, v platném znění,</w:t>
      </w:r>
      <w:r>
        <w:rPr>
          <w:color w:val="231F20"/>
          <w:spacing w:val="-2"/>
          <w:sz w:val="15"/>
        </w:rPr>
        <w:t xml:space="preserve"> </w:t>
      </w:r>
      <w:r>
        <w:rPr>
          <w:color w:val="231F20"/>
          <w:sz w:val="15"/>
        </w:rPr>
        <w:t>nebo</w:t>
      </w:r>
    </w:p>
    <w:p w14:paraId="33717C0A" w14:textId="77777777" w:rsidR="00F65BCA" w:rsidRDefault="00216117">
      <w:pPr>
        <w:pStyle w:val="Odstavecseseznamem"/>
        <w:numPr>
          <w:ilvl w:val="0"/>
          <w:numId w:val="130"/>
        </w:numPr>
        <w:tabs>
          <w:tab w:val="left" w:pos="640"/>
        </w:tabs>
        <w:spacing w:line="278" w:lineRule="auto"/>
        <w:ind w:left="469" w:right="424" w:firstLine="0"/>
        <w:jc w:val="both"/>
        <w:rPr>
          <w:sz w:val="15"/>
        </w:rPr>
      </w:pPr>
      <w:r>
        <w:rPr>
          <w:color w:val="231F20"/>
          <w:sz w:val="15"/>
        </w:rPr>
        <w:t>došlo-li</w:t>
      </w:r>
      <w:r>
        <w:rPr>
          <w:color w:val="231F20"/>
          <w:spacing w:val="-22"/>
          <w:sz w:val="15"/>
        </w:rPr>
        <w:t xml:space="preserve"> </w:t>
      </w:r>
      <w:r>
        <w:rPr>
          <w:color w:val="231F20"/>
          <w:sz w:val="15"/>
        </w:rPr>
        <w:t>v</w:t>
      </w:r>
      <w:r>
        <w:rPr>
          <w:color w:val="231F20"/>
          <w:spacing w:val="-22"/>
          <w:sz w:val="15"/>
        </w:rPr>
        <w:t xml:space="preserve"> </w:t>
      </w:r>
      <w:r>
        <w:rPr>
          <w:color w:val="231F20"/>
          <w:spacing w:val="-3"/>
          <w:sz w:val="15"/>
        </w:rPr>
        <w:t>předchozím</w:t>
      </w:r>
      <w:r>
        <w:rPr>
          <w:color w:val="231F20"/>
          <w:spacing w:val="-22"/>
          <w:sz w:val="15"/>
        </w:rPr>
        <w:t xml:space="preserve"> </w:t>
      </w:r>
      <w:r>
        <w:rPr>
          <w:color w:val="231F20"/>
          <w:sz w:val="15"/>
        </w:rPr>
        <w:t>pojistném</w:t>
      </w:r>
      <w:r>
        <w:rPr>
          <w:color w:val="231F20"/>
          <w:spacing w:val="-22"/>
          <w:sz w:val="15"/>
        </w:rPr>
        <w:t xml:space="preserve"> </w:t>
      </w:r>
      <w:r>
        <w:rPr>
          <w:color w:val="231F20"/>
          <w:sz w:val="15"/>
        </w:rPr>
        <w:t>období</w:t>
      </w:r>
      <w:r>
        <w:rPr>
          <w:color w:val="231F20"/>
          <w:spacing w:val="-22"/>
          <w:sz w:val="15"/>
        </w:rPr>
        <w:t xml:space="preserve"> </w:t>
      </w:r>
      <w:r>
        <w:rPr>
          <w:color w:val="231F20"/>
          <w:sz w:val="15"/>
        </w:rPr>
        <w:t>k</w:t>
      </w:r>
      <w:r>
        <w:rPr>
          <w:color w:val="231F20"/>
          <w:spacing w:val="-22"/>
          <w:sz w:val="15"/>
        </w:rPr>
        <w:t xml:space="preserve"> </w:t>
      </w:r>
      <w:r>
        <w:rPr>
          <w:color w:val="231F20"/>
          <w:sz w:val="15"/>
        </w:rPr>
        <w:t>jedné</w:t>
      </w:r>
      <w:r>
        <w:rPr>
          <w:color w:val="231F20"/>
          <w:spacing w:val="-22"/>
          <w:sz w:val="15"/>
        </w:rPr>
        <w:t xml:space="preserve"> </w:t>
      </w:r>
      <w:r>
        <w:rPr>
          <w:color w:val="231F20"/>
          <w:sz w:val="15"/>
        </w:rPr>
        <w:t>či</w:t>
      </w:r>
      <w:r>
        <w:rPr>
          <w:color w:val="231F20"/>
          <w:spacing w:val="-22"/>
          <w:sz w:val="15"/>
        </w:rPr>
        <w:t xml:space="preserve"> </w:t>
      </w:r>
      <w:r>
        <w:rPr>
          <w:color w:val="231F20"/>
          <w:sz w:val="15"/>
        </w:rPr>
        <w:t>více</w:t>
      </w:r>
      <w:r>
        <w:rPr>
          <w:color w:val="231F20"/>
          <w:spacing w:val="-22"/>
          <w:sz w:val="15"/>
        </w:rPr>
        <w:t xml:space="preserve"> </w:t>
      </w:r>
      <w:r>
        <w:rPr>
          <w:color w:val="231F20"/>
          <w:sz w:val="15"/>
        </w:rPr>
        <w:t>pojistným</w:t>
      </w:r>
      <w:r>
        <w:rPr>
          <w:color w:val="231F20"/>
          <w:spacing w:val="-22"/>
          <w:sz w:val="15"/>
        </w:rPr>
        <w:t xml:space="preserve"> </w:t>
      </w:r>
      <w:r>
        <w:rPr>
          <w:color w:val="231F20"/>
          <w:sz w:val="15"/>
        </w:rPr>
        <w:t>událostem. Upraví-li</w:t>
      </w:r>
      <w:r>
        <w:rPr>
          <w:color w:val="231F20"/>
          <w:spacing w:val="-17"/>
          <w:sz w:val="15"/>
        </w:rPr>
        <w:t xml:space="preserve"> </w:t>
      </w:r>
      <w:r>
        <w:rPr>
          <w:color w:val="231F20"/>
          <w:sz w:val="15"/>
        </w:rPr>
        <w:t>Pojišťovna</w:t>
      </w:r>
      <w:r>
        <w:rPr>
          <w:color w:val="231F20"/>
          <w:spacing w:val="-16"/>
          <w:sz w:val="15"/>
        </w:rPr>
        <w:t xml:space="preserve"> </w:t>
      </w:r>
      <w:r>
        <w:rPr>
          <w:color w:val="231F20"/>
          <w:sz w:val="15"/>
        </w:rPr>
        <w:t>výši</w:t>
      </w:r>
      <w:r>
        <w:rPr>
          <w:color w:val="231F20"/>
          <w:spacing w:val="-17"/>
          <w:sz w:val="15"/>
        </w:rPr>
        <w:t xml:space="preserve"> </w:t>
      </w:r>
      <w:r>
        <w:rPr>
          <w:color w:val="231F20"/>
          <w:sz w:val="15"/>
        </w:rPr>
        <w:t>pojistného,</w:t>
      </w:r>
      <w:r>
        <w:rPr>
          <w:color w:val="231F20"/>
          <w:spacing w:val="-16"/>
          <w:sz w:val="15"/>
        </w:rPr>
        <w:t xml:space="preserve"> </w:t>
      </w:r>
      <w:r>
        <w:rPr>
          <w:color w:val="231F20"/>
          <w:sz w:val="15"/>
        </w:rPr>
        <w:t>sdělí</w:t>
      </w:r>
      <w:r>
        <w:rPr>
          <w:color w:val="231F20"/>
          <w:spacing w:val="-16"/>
          <w:sz w:val="15"/>
        </w:rPr>
        <w:t xml:space="preserve"> </w:t>
      </w:r>
      <w:r>
        <w:rPr>
          <w:color w:val="231F20"/>
          <w:sz w:val="15"/>
        </w:rPr>
        <w:t>ji</w:t>
      </w:r>
      <w:r>
        <w:rPr>
          <w:color w:val="231F20"/>
          <w:spacing w:val="-17"/>
          <w:sz w:val="15"/>
        </w:rPr>
        <w:t xml:space="preserve"> </w:t>
      </w:r>
      <w:r>
        <w:rPr>
          <w:color w:val="231F20"/>
          <w:sz w:val="15"/>
        </w:rPr>
        <w:t>pojistníkovi</w:t>
      </w:r>
      <w:r>
        <w:rPr>
          <w:color w:val="231F20"/>
          <w:spacing w:val="-16"/>
          <w:sz w:val="15"/>
        </w:rPr>
        <w:t xml:space="preserve"> </w:t>
      </w:r>
      <w:r>
        <w:rPr>
          <w:color w:val="231F20"/>
          <w:sz w:val="15"/>
        </w:rPr>
        <w:t>nejpozději</w:t>
      </w:r>
      <w:r>
        <w:rPr>
          <w:color w:val="231F20"/>
          <w:spacing w:val="-16"/>
          <w:sz w:val="15"/>
        </w:rPr>
        <w:t xml:space="preserve"> </w:t>
      </w:r>
      <w:r>
        <w:rPr>
          <w:color w:val="231F20"/>
          <w:sz w:val="15"/>
        </w:rPr>
        <w:t>dva</w:t>
      </w:r>
      <w:r>
        <w:rPr>
          <w:color w:val="231F20"/>
          <w:spacing w:val="-17"/>
          <w:sz w:val="15"/>
        </w:rPr>
        <w:t xml:space="preserve"> </w:t>
      </w:r>
      <w:r>
        <w:rPr>
          <w:color w:val="231F20"/>
          <w:spacing w:val="-3"/>
          <w:sz w:val="15"/>
        </w:rPr>
        <w:t xml:space="preserve">měsíce </w:t>
      </w:r>
      <w:r>
        <w:rPr>
          <w:color w:val="231F20"/>
          <w:sz w:val="15"/>
        </w:rPr>
        <w:t xml:space="preserve">přede dnem splatnosti pojistného za pojistné období, ve kterém se má </w:t>
      </w:r>
      <w:r>
        <w:rPr>
          <w:color w:val="231F20"/>
          <w:spacing w:val="-4"/>
          <w:sz w:val="15"/>
        </w:rPr>
        <w:t xml:space="preserve">výše </w:t>
      </w:r>
      <w:r>
        <w:rPr>
          <w:color w:val="231F20"/>
          <w:sz w:val="15"/>
        </w:rPr>
        <w:t>pojistného</w:t>
      </w:r>
      <w:r>
        <w:rPr>
          <w:color w:val="231F20"/>
          <w:spacing w:val="-23"/>
          <w:sz w:val="15"/>
        </w:rPr>
        <w:t xml:space="preserve"> </w:t>
      </w:r>
      <w:r>
        <w:rPr>
          <w:color w:val="231F20"/>
          <w:sz w:val="15"/>
        </w:rPr>
        <w:t>změnit.</w:t>
      </w:r>
      <w:r>
        <w:rPr>
          <w:color w:val="231F20"/>
          <w:spacing w:val="-22"/>
          <w:sz w:val="15"/>
        </w:rPr>
        <w:t xml:space="preserve"> </w:t>
      </w:r>
      <w:r>
        <w:rPr>
          <w:color w:val="231F20"/>
          <w:sz w:val="15"/>
        </w:rPr>
        <w:t>Nesouhlasí-li</w:t>
      </w:r>
      <w:r>
        <w:rPr>
          <w:color w:val="231F20"/>
          <w:spacing w:val="-22"/>
          <w:sz w:val="15"/>
        </w:rPr>
        <w:t xml:space="preserve"> </w:t>
      </w:r>
      <w:r>
        <w:rPr>
          <w:color w:val="231F20"/>
          <w:sz w:val="15"/>
        </w:rPr>
        <w:t>pojistník</w:t>
      </w:r>
      <w:r>
        <w:rPr>
          <w:color w:val="231F20"/>
          <w:spacing w:val="-22"/>
          <w:sz w:val="15"/>
        </w:rPr>
        <w:t xml:space="preserve"> </w:t>
      </w:r>
      <w:r>
        <w:rPr>
          <w:color w:val="231F20"/>
          <w:sz w:val="15"/>
        </w:rPr>
        <w:t>se</w:t>
      </w:r>
      <w:r>
        <w:rPr>
          <w:color w:val="231F20"/>
          <w:spacing w:val="-22"/>
          <w:sz w:val="15"/>
        </w:rPr>
        <w:t xml:space="preserve"> </w:t>
      </w:r>
      <w:r>
        <w:rPr>
          <w:color w:val="231F20"/>
          <w:sz w:val="15"/>
        </w:rPr>
        <w:t>změnou,</w:t>
      </w:r>
      <w:r>
        <w:rPr>
          <w:color w:val="231F20"/>
          <w:spacing w:val="-22"/>
          <w:sz w:val="15"/>
        </w:rPr>
        <w:t xml:space="preserve"> </w:t>
      </w:r>
      <w:r>
        <w:rPr>
          <w:color w:val="231F20"/>
          <w:sz w:val="15"/>
        </w:rPr>
        <w:t>může</w:t>
      </w:r>
      <w:r>
        <w:rPr>
          <w:color w:val="231F20"/>
          <w:spacing w:val="-22"/>
          <w:sz w:val="15"/>
        </w:rPr>
        <w:t xml:space="preserve"> </w:t>
      </w:r>
      <w:r>
        <w:rPr>
          <w:color w:val="231F20"/>
          <w:sz w:val="15"/>
        </w:rPr>
        <w:t>nesouhlas</w:t>
      </w:r>
      <w:r>
        <w:rPr>
          <w:color w:val="231F20"/>
          <w:spacing w:val="-22"/>
          <w:sz w:val="15"/>
        </w:rPr>
        <w:t xml:space="preserve"> </w:t>
      </w:r>
      <w:r>
        <w:rPr>
          <w:color w:val="231F20"/>
          <w:spacing w:val="-3"/>
          <w:sz w:val="15"/>
        </w:rPr>
        <w:t xml:space="preserve">projevit </w:t>
      </w:r>
      <w:r>
        <w:rPr>
          <w:color w:val="231F20"/>
          <w:sz w:val="15"/>
        </w:rPr>
        <w:t>do</w:t>
      </w:r>
      <w:r>
        <w:rPr>
          <w:color w:val="231F20"/>
          <w:spacing w:val="-19"/>
          <w:sz w:val="15"/>
        </w:rPr>
        <w:t xml:space="preserve"> </w:t>
      </w:r>
      <w:r>
        <w:rPr>
          <w:color w:val="231F20"/>
          <w:sz w:val="15"/>
        </w:rPr>
        <w:t>jednoho</w:t>
      </w:r>
      <w:r>
        <w:rPr>
          <w:color w:val="231F20"/>
          <w:spacing w:val="-18"/>
          <w:sz w:val="15"/>
        </w:rPr>
        <w:t xml:space="preserve"> </w:t>
      </w:r>
      <w:r>
        <w:rPr>
          <w:color w:val="231F20"/>
          <w:sz w:val="15"/>
        </w:rPr>
        <w:t>měsíce</w:t>
      </w:r>
      <w:r>
        <w:rPr>
          <w:color w:val="231F20"/>
          <w:spacing w:val="-19"/>
          <w:sz w:val="15"/>
        </w:rPr>
        <w:t xml:space="preserve"> </w:t>
      </w:r>
      <w:r>
        <w:rPr>
          <w:color w:val="231F20"/>
          <w:sz w:val="15"/>
        </w:rPr>
        <w:t>ode</w:t>
      </w:r>
      <w:r>
        <w:rPr>
          <w:color w:val="231F20"/>
          <w:spacing w:val="-18"/>
          <w:sz w:val="15"/>
        </w:rPr>
        <w:t xml:space="preserve"> </w:t>
      </w:r>
      <w:r>
        <w:rPr>
          <w:color w:val="231F20"/>
          <w:sz w:val="15"/>
        </w:rPr>
        <w:t>dne,</w:t>
      </w:r>
      <w:r>
        <w:rPr>
          <w:color w:val="231F20"/>
          <w:spacing w:val="-18"/>
          <w:sz w:val="15"/>
        </w:rPr>
        <w:t xml:space="preserve"> </w:t>
      </w:r>
      <w:r>
        <w:rPr>
          <w:color w:val="231F20"/>
          <w:sz w:val="15"/>
        </w:rPr>
        <w:t>kdy</w:t>
      </w:r>
      <w:r>
        <w:rPr>
          <w:color w:val="231F20"/>
          <w:spacing w:val="-19"/>
          <w:sz w:val="15"/>
        </w:rPr>
        <w:t xml:space="preserve"> </w:t>
      </w:r>
      <w:r>
        <w:rPr>
          <w:color w:val="231F20"/>
          <w:sz w:val="15"/>
        </w:rPr>
        <w:t>se</w:t>
      </w:r>
      <w:r>
        <w:rPr>
          <w:color w:val="231F20"/>
          <w:spacing w:val="-18"/>
          <w:sz w:val="15"/>
        </w:rPr>
        <w:t xml:space="preserve"> </w:t>
      </w:r>
      <w:r>
        <w:rPr>
          <w:color w:val="231F20"/>
          <w:sz w:val="15"/>
        </w:rPr>
        <w:t>o</w:t>
      </w:r>
      <w:r>
        <w:rPr>
          <w:color w:val="231F20"/>
          <w:spacing w:val="-18"/>
          <w:sz w:val="15"/>
        </w:rPr>
        <w:t xml:space="preserve"> </w:t>
      </w:r>
      <w:r>
        <w:rPr>
          <w:color w:val="231F20"/>
          <w:sz w:val="15"/>
        </w:rPr>
        <w:t>ní</w:t>
      </w:r>
      <w:r>
        <w:rPr>
          <w:color w:val="231F20"/>
          <w:spacing w:val="-19"/>
          <w:sz w:val="15"/>
        </w:rPr>
        <w:t xml:space="preserve"> </w:t>
      </w:r>
      <w:r>
        <w:rPr>
          <w:color w:val="231F20"/>
          <w:sz w:val="15"/>
        </w:rPr>
        <w:t>dozvěděl;</w:t>
      </w:r>
      <w:r>
        <w:rPr>
          <w:color w:val="231F20"/>
          <w:spacing w:val="-18"/>
          <w:sz w:val="15"/>
        </w:rPr>
        <w:t xml:space="preserve"> </w:t>
      </w:r>
      <w:r>
        <w:rPr>
          <w:color w:val="231F20"/>
          <w:sz w:val="15"/>
        </w:rPr>
        <w:t>v</w:t>
      </w:r>
      <w:r>
        <w:rPr>
          <w:color w:val="231F20"/>
          <w:spacing w:val="-18"/>
          <w:sz w:val="15"/>
        </w:rPr>
        <w:t xml:space="preserve"> </w:t>
      </w:r>
      <w:r>
        <w:rPr>
          <w:color w:val="231F20"/>
          <w:sz w:val="15"/>
        </w:rPr>
        <w:t>takovém</w:t>
      </w:r>
      <w:r>
        <w:rPr>
          <w:color w:val="231F20"/>
          <w:spacing w:val="-19"/>
          <w:sz w:val="15"/>
        </w:rPr>
        <w:t xml:space="preserve"> </w:t>
      </w:r>
      <w:r>
        <w:rPr>
          <w:color w:val="231F20"/>
          <w:sz w:val="15"/>
        </w:rPr>
        <w:t>případě</w:t>
      </w:r>
      <w:r>
        <w:rPr>
          <w:color w:val="231F20"/>
          <w:spacing w:val="-18"/>
          <w:sz w:val="15"/>
        </w:rPr>
        <w:t xml:space="preserve"> </w:t>
      </w:r>
      <w:r>
        <w:rPr>
          <w:color w:val="231F20"/>
          <w:sz w:val="15"/>
        </w:rPr>
        <w:t>pojištění zanikne</w:t>
      </w:r>
      <w:r>
        <w:rPr>
          <w:color w:val="231F20"/>
          <w:spacing w:val="-9"/>
          <w:sz w:val="15"/>
        </w:rPr>
        <w:t xml:space="preserve"> </w:t>
      </w:r>
      <w:r>
        <w:rPr>
          <w:color w:val="231F20"/>
          <w:sz w:val="15"/>
        </w:rPr>
        <w:t>uplynutím</w:t>
      </w:r>
      <w:r>
        <w:rPr>
          <w:color w:val="231F20"/>
          <w:spacing w:val="-8"/>
          <w:sz w:val="15"/>
        </w:rPr>
        <w:t xml:space="preserve"> </w:t>
      </w:r>
      <w:r>
        <w:rPr>
          <w:color w:val="231F20"/>
          <w:sz w:val="15"/>
        </w:rPr>
        <w:t>pojistného</w:t>
      </w:r>
      <w:r>
        <w:rPr>
          <w:color w:val="231F20"/>
          <w:spacing w:val="-8"/>
          <w:sz w:val="15"/>
        </w:rPr>
        <w:t xml:space="preserve"> </w:t>
      </w:r>
      <w:r>
        <w:rPr>
          <w:color w:val="231F20"/>
          <w:sz w:val="15"/>
        </w:rPr>
        <w:t>období,</w:t>
      </w:r>
      <w:r>
        <w:rPr>
          <w:color w:val="231F20"/>
          <w:spacing w:val="-9"/>
          <w:sz w:val="15"/>
        </w:rPr>
        <w:t xml:space="preserve"> </w:t>
      </w:r>
      <w:r>
        <w:rPr>
          <w:color w:val="231F20"/>
          <w:sz w:val="15"/>
        </w:rPr>
        <w:t>které</w:t>
      </w:r>
      <w:r>
        <w:rPr>
          <w:color w:val="231F20"/>
          <w:spacing w:val="-8"/>
          <w:sz w:val="15"/>
        </w:rPr>
        <w:t xml:space="preserve"> </w:t>
      </w:r>
      <w:r>
        <w:rPr>
          <w:color w:val="231F20"/>
          <w:sz w:val="15"/>
        </w:rPr>
        <w:t>předchází</w:t>
      </w:r>
      <w:r>
        <w:rPr>
          <w:color w:val="231F20"/>
          <w:spacing w:val="-8"/>
          <w:sz w:val="15"/>
        </w:rPr>
        <w:t xml:space="preserve"> </w:t>
      </w:r>
      <w:r>
        <w:rPr>
          <w:color w:val="231F20"/>
          <w:sz w:val="15"/>
        </w:rPr>
        <w:t>pojistnému</w:t>
      </w:r>
      <w:r>
        <w:rPr>
          <w:color w:val="231F20"/>
          <w:spacing w:val="-8"/>
          <w:sz w:val="15"/>
        </w:rPr>
        <w:t xml:space="preserve"> </w:t>
      </w:r>
      <w:r>
        <w:rPr>
          <w:color w:val="231F20"/>
          <w:sz w:val="15"/>
        </w:rPr>
        <w:t>období,</w:t>
      </w:r>
      <w:r>
        <w:rPr>
          <w:color w:val="231F20"/>
          <w:spacing w:val="-9"/>
          <w:sz w:val="15"/>
        </w:rPr>
        <w:t xml:space="preserve"> </w:t>
      </w:r>
      <w:r>
        <w:rPr>
          <w:color w:val="231F20"/>
          <w:spacing w:val="-7"/>
          <w:sz w:val="15"/>
        </w:rPr>
        <w:t xml:space="preserve">ve </w:t>
      </w:r>
      <w:r>
        <w:rPr>
          <w:color w:val="231F20"/>
          <w:sz w:val="15"/>
        </w:rPr>
        <w:t>kterém se měla výše pojistného</w:t>
      </w:r>
      <w:r>
        <w:rPr>
          <w:color w:val="231F20"/>
          <w:spacing w:val="-8"/>
          <w:sz w:val="15"/>
        </w:rPr>
        <w:t xml:space="preserve"> </w:t>
      </w:r>
      <w:r>
        <w:rPr>
          <w:color w:val="231F20"/>
          <w:sz w:val="15"/>
        </w:rPr>
        <w:t>změnit.</w:t>
      </w:r>
    </w:p>
    <w:p w14:paraId="23B04CE6"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9</w:t>
      </w:r>
      <w:r>
        <w:rPr>
          <w:color w:val="231F20"/>
          <w:spacing w:val="19"/>
          <w:position w:val="1"/>
          <w:sz w:val="14"/>
        </w:rPr>
        <w:t xml:space="preserve"> </w:t>
      </w:r>
      <w:r>
        <w:rPr>
          <w:color w:val="231F20"/>
        </w:rPr>
        <w:t>Zanikne-li</w:t>
      </w:r>
      <w:r>
        <w:rPr>
          <w:color w:val="231F20"/>
          <w:spacing w:val="-9"/>
        </w:rPr>
        <w:t xml:space="preserve"> </w:t>
      </w:r>
      <w:r>
        <w:rPr>
          <w:color w:val="231F20"/>
        </w:rPr>
        <w:t>pojištění</w:t>
      </w:r>
      <w:r>
        <w:rPr>
          <w:color w:val="231F20"/>
          <w:spacing w:val="-9"/>
        </w:rPr>
        <w:t xml:space="preserve"> </w:t>
      </w:r>
      <w:r>
        <w:rPr>
          <w:color w:val="231F20"/>
        </w:rPr>
        <w:t>v</w:t>
      </w:r>
      <w:r>
        <w:rPr>
          <w:color w:val="231F20"/>
          <w:spacing w:val="-9"/>
        </w:rPr>
        <w:t xml:space="preserve"> </w:t>
      </w:r>
      <w:r>
        <w:rPr>
          <w:color w:val="231F20"/>
        </w:rPr>
        <w:t>důsledku</w:t>
      </w:r>
      <w:r>
        <w:rPr>
          <w:color w:val="231F20"/>
          <w:spacing w:val="-9"/>
        </w:rPr>
        <w:t xml:space="preserve"> </w:t>
      </w:r>
      <w:r>
        <w:rPr>
          <w:color w:val="231F20"/>
        </w:rPr>
        <w:t>pojistné</w:t>
      </w:r>
      <w:r>
        <w:rPr>
          <w:color w:val="231F20"/>
          <w:spacing w:val="-9"/>
        </w:rPr>
        <w:t xml:space="preserve"> </w:t>
      </w:r>
      <w:r>
        <w:rPr>
          <w:color w:val="231F20"/>
        </w:rPr>
        <w:t>události,</w:t>
      </w:r>
      <w:r>
        <w:rPr>
          <w:color w:val="231F20"/>
          <w:spacing w:val="-9"/>
        </w:rPr>
        <w:t xml:space="preserve"> </w:t>
      </w:r>
      <w:r>
        <w:rPr>
          <w:color w:val="231F20"/>
        </w:rPr>
        <w:t>náleží</w:t>
      </w:r>
      <w:r>
        <w:rPr>
          <w:color w:val="231F20"/>
          <w:spacing w:val="-9"/>
        </w:rPr>
        <w:t xml:space="preserve"> </w:t>
      </w:r>
      <w:r>
        <w:rPr>
          <w:color w:val="231F20"/>
        </w:rPr>
        <w:t>Pojišťovně</w:t>
      </w:r>
      <w:r>
        <w:rPr>
          <w:color w:val="231F20"/>
          <w:spacing w:val="-9"/>
        </w:rPr>
        <w:t xml:space="preserve"> </w:t>
      </w:r>
      <w:r>
        <w:rPr>
          <w:color w:val="231F20"/>
        </w:rPr>
        <w:t>pojistné</w:t>
      </w:r>
      <w:r>
        <w:rPr>
          <w:color w:val="231F20"/>
          <w:spacing w:val="-9"/>
        </w:rPr>
        <w:t xml:space="preserve"> </w:t>
      </w:r>
      <w:r>
        <w:rPr>
          <w:color w:val="231F20"/>
          <w:spacing w:val="-6"/>
        </w:rPr>
        <w:t xml:space="preserve">do </w:t>
      </w:r>
      <w:r>
        <w:rPr>
          <w:color w:val="231F20"/>
        </w:rPr>
        <w:t>konce</w:t>
      </w:r>
      <w:r>
        <w:rPr>
          <w:color w:val="231F20"/>
          <w:spacing w:val="-18"/>
        </w:rPr>
        <w:t xml:space="preserve"> </w:t>
      </w:r>
      <w:r>
        <w:rPr>
          <w:color w:val="231F20"/>
        </w:rPr>
        <w:t>pojistného</w:t>
      </w:r>
      <w:r>
        <w:rPr>
          <w:color w:val="231F20"/>
          <w:spacing w:val="-17"/>
        </w:rPr>
        <w:t xml:space="preserve"> </w:t>
      </w:r>
      <w:r>
        <w:rPr>
          <w:color w:val="231F20"/>
        </w:rPr>
        <w:t>období,</w:t>
      </w:r>
      <w:r>
        <w:rPr>
          <w:color w:val="231F20"/>
          <w:spacing w:val="-17"/>
        </w:rPr>
        <w:t xml:space="preserve"> </w:t>
      </w:r>
      <w:r>
        <w:rPr>
          <w:color w:val="231F20"/>
        </w:rPr>
        <w:t>v</w:t>
      </w:r>
      <w:r>
        <w:rPr>
          <w:color w:val="231F20"/>
          <w:spacing w:val="-17"/>
        </w:rPr>
        <w:t xml:space="preserve"> </w:t>
      </w:r>
      <w:r>
        <w:rPr>
          <w:color w:val="231F20"/>
        </w:rPr>
        <w:t>němž</w:t>
      </w:r>
      <w:r>
        <w:rPr>
          <w:color w:val="231F20"/>
          <w:spacing w:val="-17"/>
        </w:rPr>
        <w:t xml:space="preserve"> </w:t>
      </w:r>
      <w:r>
        <w:rPr>
          <w:color w:val="231F20"/>
        </w:rPr>
        <w:t>pojistná</w:t>
      </w:r>
      <w:r>
        <w:rPr>
          <w:color w:val="231F20"/>
          <w:spacing w:val="-17"/>
        </w:rPr>
        <w:t xml:space="preserve"> </w:t>
      </w:r>
      <w:r>
        <w:rPr>
          <w:color w:val="231F20"/>
        </w:rPr>
        <w:t>událost</w:t>
      </w:r>
      <w:r>
        <w:rPr>
          <w:color w:val="231F20"/>
          <w:spacing w:val="-17"/>
        </w:rPr>
        <w:t xml:space="preserve"> </w:t>
      </w:r>
      <w:r>
        <w:rPr>
          <w:color w:val="231F20"/>
        </w:rPr>
        <w:t>nastala.</w:t>
      </w:r>
      <w:r>
        <w:rPr>
          <w:color w:val="231F20"/>
          <w:spacing w:val="-17"/>
        </w:rPr>
        <w:t xml:space="preserve"> </w:t>
      </w:r>
      <w:r>
        <w:rPr>
          <w:color w:val="231F20"/>
        </w:rPr>
        <w:t>Zanikne-li</w:t>
      </w:r>
      <w:r>
        <w:rPr>
          <w:color w:val="231F20"/>
          <w:spacing w:val="-17"/>
        </w:rPr>
        <w:t xml:space="preserve"> </w:t>
      </w:r>
      <w:r>
        <w:rPr>
          <w:color w:val="231F20"/>
        </w:rPr>
        <w:t>pojištění v</w:t>
      </w:r>
      <w:r>
        <w:rPr>
          <w:color w:val="231F20"/>
          <w:spacing w:val="-22"/>
        </w:rPr>
        <w:t xml:space="preserve"> </w:t>
      </w:r>
      <w:r>
        <w:rPr>
          <w:color w:val="231F20"/>
        </w:rPr>
        <w:t>důsledku</w:t>
      </w:r>
      <w:r>
        <w:rPr>
          <w:color w:val="231F20"/>
          <w:spacing w:val="-22"/>
        </w:rPr>
        <w:t xml:space="preserve"> </w:t>
      </w:r>
      <w:r>
        <w:rPr>
          <w:color w:val="231F20"/>
        </w:rPr>
        <w:t>pojistné</w:t>
      </w:r>
      <w:r>
        <w:rPr>
          <w:color w:val="231F20"/>
          <w:spacing w:val="-22"/>
        </w:rPr>
        <w:t xml:space="preserve"> </w:t>
      </w:r>
      <w:r>
        <w:rPr>
          <w:color w:val="231F20"/>
        </w:rPr>
        <w:t>události</w:t>
      </w:r>
      <w:r>
        <w:rPr>
          <w:color w:val="231F20"/>
          <w:spacing w:val="-22"/>
        </w:rPr>
        <w:t xml:space="preserve"> </w:t>
      </w:r>
      <w:r>
        <w:rPr>
          <w:color w:val="231F20"/>
        </w:rPr>
        <w:t>a</w:t>
      </w:r>
      <w:r>
        <w:rPr>
          <w:color w:val="231F20"/>
          <w:spacing w:val="-22"/>
        </w:rPr>
        <w:t xml:space="preserve"> </w:t>
      </w:r>
      <w:r>
        <w:rPr>
          <w:color w:val="231F20"/>
        </w:rPr>
        <w:t>bylo-li</w:t>
      </w:r>
      <w:r>
        <w:rPr>
          <w:color w:val="231F20"/>
          <w:spacing w:val="-22"/>
        </w:rPr>
        <w:t xml:space="preserve"> </w:t>
      </w:r>
      <w:r>
        <w:rPr>
          <w:color w:val="231F20"/>
        </w:rPr>
        <w:t>současně</w:t>
      </w:r>
      <w:r>
        <w:rPr>
          <w:color w:val="231F20"/>
          <w:spacing w:val="-22"/>
        </w:rPr>
        <w:t xml:space="preserve"> </w:t>
      </w:r>
      <w:r>
        <w:rPr>
          <w:color w:val="231F20"/>
        </w:rPr>
        <w:t>sjednáno</w:t>
      </w:r>
      <w:r>
        <w:rPr>
          <w:color w:val="231F20"/>
          <w:spacing w:val="-22"/>
        </w:rPr>
        <w:t xml:space="preserve"> </w:t>
      </w:r>
      <w:r>
        <w:rPr>
          <w:color w:val="231F20"/>
        </w:rPr>
        <w:t>pojistné</w:t>
      </w:r>
      <w:r>
        <w:rPr>
          <w:color w:val="231F20"/>
          <w:spacing w:val="-22"/>
        </w:rPr>
        <w:t xml:space="preserve"> </w:t>
      </w:r>
      <w:r>
        <w:rPr>
          <w:color w:val="231F20"/>
        </w:rPr>
        <w:t>jednorázové, náleží Pojišťovně jednorázové pojistné</w:t>
      </w:r>
      <w:r>
        <w:rPr>
          <w:color w:val="231F20"/>
          <w:spacing w:val="-11"/>
        </w:rPr>
        <w:t xml:space="preserve"> </w:t>
      </w:r>
      <w:r>
        <w:rPr>
          <w:color w:val="231F20"/>
        </w:rPr>
        <w:t>celé.</w:t>
      </w:r>
    </w:p>
    <w:p w14:paraId="3D82CF0C" w14:textId="77777777" w:rsidR="00F65BCA" w:rsidRDefault="00216117">
      <w:pPr>
        <w:pStyle w:val="Zkladntext"/>
        <w:spacing w:line="278" w:lineRule="auto"/>
        <w:ind w:left="469" w:right="424" w:hanging="283"/>
        <w:jc w:val="both"/>
      </w:pPr>
      <w:r>
        <w:rPr>
          <w:color w:val="231F20"/>
          <w:spacing w:val="-22"/>
          <w:position w:val="1"/>
          <w:sz w:val="14"/>
          <w:shd w:val="clear" w:color="auto" w:fill="D1D3D4"/>
        </w:rPr>
        <w:t xml:space="preserve"> </w:t>
      </w:r>
      <w:r>
        <w:rPr>
          <w:color w:val="231F20"/>
          <w:position w:val="1"/>
          <w:sz w:val="14"/>
          <w:shd w:val="clear" w:color="auto" w:fill="D1D3D4"/>
        </w:rPr>
        <w:t>10</w:t>
      </w:r>
      <w:r>
        <w:rPr>
          <w:color w:val="231F20"/>
          <w:spacing w:val="34"/>
          <w:position w:val="1"/>
          <w:sz w:val="14"/>
        </w:rPr>
        <w:t xml:space="preserve"> </w:t>
      </w:r>
      <w:r>
        <w:rPr>
          <w:color w:val="231F20"/>
        </w:rPr>
        <w:t>Je-li</w:t>
      </w:r>
      <w:r>
        <w:rPr>
          <w:color w:val="231F20"/>
          <w:spacing w:val="-12"/>
        </w:rPr>
        <w:t xml:space="preserve"> </w:t>
      </w:r>
      <w:r>
        <w:rPr>
          <w:color w:val="231F20"/>
        </w:rPr>
        <w:t>pojistník</w:t>
      </w:r>
      <w:r>
        <w:rPr>
          <w:color w:val="231F20"/>
          <w:spacing w:val="-12"/>
        </w:rPr>
        <w:t xml:space="preserve"> </w:t>
      </w:r>
      <w:r>
        <w:rPr>
          <w:color w:val="231F20"/>
        </w:rPr>
        <w:t>v</w:t>
      </w:r>
      <w:r>
        <w:rPr>
          <w:color w:val="231F20"/>
          <w:spacing w:val="-13"/>
        </w:rPr>
        <w:t xml:space="preserve"> </w:t>
      </w:r>
      <w:r>
        <w:rPr>
          <w:color w:val="231F20"/>
        </w:rPr>
        <w:t>prodlení</w:t>
      </w:r>
      <w:r>
        <w:rPr>
          <w:color w:val="231F20"/>
          <w:spacing w:val="-12"/>
        </w:rPr>
        <w:t xml:space="preserve"> </w:t>
      </w:r>
      <w:r>
        <w:rPr>
          <w:color w:val="231F20"/>
        </w:rPr>
        <w:t>s</w:t>
      </w:r>
      <w:r>
        <w:rPr>
          <w:color w:val="231F20"/>
          <w:spacing w:val="-12"/>
        </w:rPr>
        <w:t xml:space="preserve"> </w:t>
      </w:r>
      <w:r>
        <w:rPr>
          <w:color w:val="231F20"/>
        </w:rPr>
        <w:t>placením</w:t>
      </w:r>
      <w:r>
        <w:rPr>
          <w:color w:val="231F20"/>
          <w:spacing w:val="-12"/>
        </w:rPr>
        <w:t xml:space="preserve"> </w:t>
      </w:r>
      <w:r>
        <w:rPr>
          <w:color w:val="231F20"/>
        </w:rPr>
        <w:t>pojistného,</w:t>
      </w:r>
      <w:r>
        <w:rPr>
          <w:color w:val="231F20"/>
          <w:spacing w:val="-12"/>
        </w:rPr>
        <w:t xml:space="preserve"> </w:t>
      </w:r>
      <w:r>
        <w:rPr>
          <w:color w:val="231F20"/>
        </w:rPr>
        <w:t>má</w:t>
      </w:r>
      <w:r>
        <w:rPr>
          <w:color w:val="231F20"/>
          <w:spacing w:val="-12"/>
        </w:rPr>
        <w:t xml:space="preserve"> </w:t>
      </w:r>
      <w:r>
        <w:rPr>
          <w:color w:val="231F20"/>
        </w:rPr>
        <w:t>Pojišťovna,</w:t>
      </w:r>
      <w:r>
        <w:rPr>
          <w:color w:val="231F20"/>
          <w:spacing w:val="-12"/>
        </w:rPr>
        <w:t xml:space="preserve"> </w:t>
      </w:r>
      <w:r>
        <w:rPr>
          <w:color w:val="231F20"/>
        </w:rPr>
        <w:t>vedle</w:t>
      </w:r>
      <w:r>
        <w:rPr>
          <w:color w:val="231F20"/>
          <w:spacing w:val="-12"/>
        </w:rPr>
        <w:t xml:space="preserve"> </w:t>
      </w:r>
      <w:r>
        <w:rPr>
          <w:color w:val="231F20"/>
        </w:rPr>
        <w:t>práva</w:t>
      </w:r>
      <w:r>
        <w:rPr>
          <w:color w:val="231F20"/>
          <w:spacing w:val="-12"/>
        </w:rPr>
        <w:t xml:space="preserve"> </w:t>
      </w:r>
      <w:r>
        <w:rPr>
          <w:color w:val="231F20"/>
          <w:spacing w:val="-8"/>
        </w:rPr>
        <w:t xml:space="preserve">na </w:t>
      </w:r>
      <w:r>
        <w:rPr>
          <w:color w:val="231F20"/>
        </w:rPr>
        <w:t>zaplacení</w:t>
      </w:r>
      <w:r>
        <w:rPr>
          <w:color w:val="231F20"/>
          <w:spacing w:val="-11"/>
        </w:rPr>
        <w:t xml:space="preserve"> </w:t>
      </w:r>
      <w:r>
        <w:rPr>
          <w:color w:val="231F20"/>
        </w:rPr>
        <w:t>úroku</w:t>
      </w:r>
      <w:r>
        <w:rPr>
          <w:color w:val="231F20"/>
          <w:spacing w:val="-11"/>
        </w:rPr>
        <w:t xml:space="preserve"> </w:t>
      </w:r>
      <w:r>
        <w:rPr>
          <w:color w:val="231F20"/>
        </w:rPr>
        <w:t>z</w:t>
      </w:r>
      <w:r>
        <w:rPr>
          <w:color w:val="231F20"/>
          <w:spacing w:val="-11"/>
        </w:rPr>
        <w:t xml:space="preserve"> </w:t>
      </w:r>
      <w:r>
        <w:rPr>
          <w:color w:val="231F20"/>
        </w:rPr>
        <w:t>prodlení,</w:t>
      </w:r>
      <w:r>
        <w:rPr>
          <w:color w:val="231F20"/>
          <w:spacing w:val="-11"/>
        </w:rPr>
        <w:t xml:space="preserve"> </w:t>
      </w:r>
      <w:r>
        <w:rPr>
          <w:color w:val="231F20"/>
        </w:rPr>
        <w:t>právo</w:t>
      </w:r>
      <w:r>
        <w:rPr>
          <w:color w:val="231F20"/>
          <w:spacing w:val="-11"/>
        </w:rPr>
        <w:t xml:space="preserve"> </w:t>
      </w:r>
      <w:r>
        <w:rPr>
          <w:color w:val="231F20"/>
        </w:rPr>
        <w:t>na</w:t>
      </w:r>
      <w:r>
        <w:rPr>
          <w:color w:val="231F20"/>
          <w:spacing w:val="-10"/>
        </w:rPr>
        <w:t xml:space="preserve"> </w:t>
      </w:r>
      <w:r>
        <w:rPr>
          <w:color w:val="231F20"/>
        </w:rPr>
        <w:t>náhradu</w:t>
      </w:r>
      <w:r>
        <w:rPr>
          <w:color w:val="231F20"/>
          <w:spacing w:val="-11"/>
        </w:rPr>
        <w:t xml:space="preserve"> </w:t>
      </w:r>
      <w:r>
        <w:rPr>
          <w:color w:val="231F20"/>
        </w:rPr>
        <w:t>nákladů</w:t>
      </w:r>
      <w:r>
        <w:rPr>
          <w:color w:val="231F20"/>
          <w:spacing w:val="-11"/>
        </w:rPr>
        <w:t xml:space="preserve"> </w:t>
      </w:r>
      <w:r>
        <w:rPr>
          <w:color w:val="231F20"/>
        </w:rPr>
        <w:t>spojených</w:t>
      </w:r>
      <w:r>
        <w:rPr>
          <w:color w:val="231F20"/>
          <w:spacing w:val="-11"/>
        </w:rPr>
        <w:t xml:space="preserve"> </w:t>
      </w:r>
      <w:r>
        <w:rPr>
          <w:color w:val="231F20"/>
        </w:rPr>
        <w:t>s</w:t>
      </w:r>
      <w:r>
        <w:rPr>
          <w:color w:val="231F20"/>
          <w:spacing w:val="-11"/>
        </w:rPr>
        <w:t xml:space="preserve"> </w:t>
      </w:r>
      <w:r>
        <w:rPr>
          <w:color w:val="231F20"/>
        </w:rPr>
        <w:t>upomíná- ním</w:t>
      </w:r>
      <w:r>
        <w:rPr>
          <w:color w:val="231F20"/>
          <w:spacing w:val="-7"/>
        </w:rPr>
        <w:t xml:space="preserve"> </w:t>
      </w:r>
      <w:r>
        <w:rPr>
          <w:color w:val="231F20"/>
        </w:rPr>
        <w:t>a</w:t>
      </w:r>
      <w:r>
        <w:rPr>
          <w:color w:val="231F20"/>
          <w:spacing w:val="-7"/>
        </w:rPr>
        <w:t xml:space="preserve"> </w:t>
      </w:r>
      <w:r>
        <w:rPr>
          <w:color w:val="231F20"/>
        </w:rPr>
        <w:t>uplatňováním</w:t>
      </w:r>
      <w:r>
        <w:rPr>
          <w:color w:val="231F20"/>
          <w:spacing w:val="-6"/>
        </w:rPr>
        <w:t xml:space="preserve"> </w:t>
      </w:r>
      <w:r>
        <w:rPr>
          <w:color w:val="231F20"/>
        </w:rPr>
        <w:t>této</w:t>
      </w:r>
      <w:r>
        <w:rPr>
          <w:color w:val="231F20"/>
          <w:spacing w:val="-7"/>
        </w:rPr>
        <w:t xml:space="preserve"> </w:t>
      </w:r>
      <w:r>
        <w:rPr>
          <w:color w:val="231F20"/>
        </w:rPr>
        <w:t>pohledávky.</w:t>
      </w:r>
      <w:r>
        <w:rPr>
          <w:color w:val="231F20"/>
          <w:spacing w:val="-7"/>
        </w:rPr>
        <w:t xml:space="preserve"> </w:t>
      </w:r>
      <w:r>
        <w:rPr>
          <w:color w:val="231F20"/>
        </w:rPr>
        <w:t>Výše</w:t>
      </w:r>
      <w:r>
        <w:rPr>
          <w:color w:val="231F20"/>
          <w:spacing w:val="-6"/>
        </w:rPr>
        <w:t xml:space="preserve"> </w:t>
      </w:r>
      <w:r>
        <w:rPr>
          <w:color w:val="231F20"/>
        </w:rPr>
        <w:t>náhrady</w:t>
      </w:r>
      <w:r>
        <w:rPr>
          <w:color w:val="231F20"/>
          <w:spacing w:val="-7"/>
        </w:rPr>
        <w:t xml:space="preserve"> </w:t>
      </w:r>
      <w:r>
        <w:rPr>
          <w:color w:val="231F20"/>
        </w:rPr>
        <w:t>je</w:t>
      </w:r>
      <w:r>
        <w:rPr>
          <w:color w:val="231F20"/>
          <w:spacing w:val="-7"/>
        </w:rPr>
        <w:t xml:space="preserve"> </w:t>
      </w:r>
      <w:r>
        <w:rPr>
          <w:color w:val="231F20"/>
        </w:rPr>
        <w:t>uvedena</w:t>
      </w:r>
      <w:r>
        <w:rPr>
          <w:color w:val="231F20"/>
          <w:spacing w:val="-6"/>
        </w:rPr>
        <w:t xml:space="preserve"> </w:t>
      </w:r>
      <w:r>
        <w:rPr>
          <w:color w:val="231F20"/>
        </w:rPr>
        <w:t>v</w:t>
      </w:r>
      <w:r>
        <w:rPr>
          <w:color w:val="231F20"/>
          <w:spacing w:val="-7"/>
        </w:rPr>
        <w:t xml:space="preserve"> </w:t>
      </w:r>
      <w:r>
        <w:rPr>
          <w:color w:val="231F20"/>
        </w:rPr>
        <w:t>Sazebníku administrativních</w:t>
      </w:r>
      <w:r>
        <w:rPr>
          <w:color w:val="231F20"/>
          <w:spacing w:val="-1"/>
        </w:rPr>
        <w:t xml:space="preserve"> </w:t>
      </w:r>
      <w:r>
        <w:rPr>
          <w:color w:val="231F20"/>
        </w:rPr>
        <w:t>poplatků.</w:t>
      </w:r>
    </w:p>
    <w:p w14:paraId="5E4DE1BD" w14:textId="77777777" w:rsidR="00F65BCA" w:rsidRDefault="00216117">
      <w:pPr>
        <w:pStyle w:val="Zkladntext"/>
        <w:spacing w:line="278" w:lineRule="auto"/>
        <w:ind w:left="469" w:right="424" w:hanging="283"/>
        <w:jc w:val="both"/>
      </w:pPr>
      <w:r>
        <w:rPr>
          <w:color w:val="231F20"/>
          <w:spacing w:val="-22"/>
          <w:position w:val="1"/>
          <w:sz w:val="14"/>
          <w:shd w:val="clear" w:color="auto" w:fill="D1D3D4"/>
        </w:rPr>
        <w:t xml:space="preserve"> </w:t>
      </w:r>
      <w:r>
        <w:rPr>
          <w:color w:val="231F20"/>
          <w:position w:val="1"/>
          <w:sz w:val="14"/>
          <w:shd w:val="clear" w:color="auto" w:fill="D1D3D4"/>
        </w:rPr>
        <w:t>11</w:t>
      </w:r>
      <w:r>
        <w:rPr>
          <w:color w:val="231F20"/>
          <w:spacing w:val="25"/>
          <w:position w:val="1"/>
          <w:sz w:val="14"/>
        </w:rPr>
        <w:t xml:space="preserve"> </w:t>
      </w:r>
      <w:r>
        <w:rPr>
          <w:color w:val="231F20"/>
        </w:rPr>
        <w:t>Pojišťovna</w:t>
      </w:r>
      <w:r>
        <w:rPr>
          <w:color w:val="231F20"/>
          <w:spacing w:val="-19"/>
        </w:rPr>
        <w:t xml:space="preserve"> </w:t>
      </w:r>
      <w:r>
        <w:rPr>
          <w:color w:val="231F20"/>
        </w:rPr>
        <w:t>je</w:t>
      </w:r>
      <w:r>
        <w:rPr>
          <w:color w:val="231F20"/>
          <w:spacing w:val="-19"/>
        </w:rPr>
        <w:t xml:space="preserve"> </w:t>
      </w:r>
      <w:r>
        <w:rPr>
          <w:color w:val="231F20"/>
        </w:rPr>
        <w:t>oprávněna</w:t>
      </w:r>
      <w:r>
        <w:rPr>
          <w:color w:val="231F20"/>
          <w:spacing w:val="-20"/>
        </w:rPr>
        <w:t xml:space="preserve"> </w:t>
      </w:r>
      <w:r>
        <w:rPr>
          <w:color w:val="231F20"/>
        </w:rPr>
        <w:t>odečíst</w:t>
      </w:r>
      <w:r>
        <w:rPr>
          <w:color w:val="231F20"/>
          <w:spacing w:val="-19"/>
        </w:rPr>
        <w:t xml:space="preserve"> </w:t>
      </w:r>
      <w:r>
        <w:rPr>
          <w:color w:val="231F20"/>
        </w:rPr>
        <w:t>od</w:t>
      </w:r>
      <w:r>
        <w:rPr>
          <w:color w:val="231F20"/>
          <w:spacing w:val="-19"/>
        </w:rPr>
        <w:t xml:space="preserve"> </w:t>
      </w:r>
      <w:r>
        <w:rPr>
          <w:color w:val="231F20"/>
        </w:rPr>
        <w:t>pojistného</w:t>
      </w:r>
      <w:r>
        <w:rPr>
          <w:color w:val="231F20"/>
          <w:spacing w:val="-19"/>
        </w:rPr>
        <w:t xml:space="preserve"> </w:t>
      </w:r>
      <w:r>
        <w:rPr>
          <w:color w:val="231F20"/>
        </w:rPr>
        <w:t>plnění</w:t>
      </w:r>
      <w:r>
        <w:rPr>
          <w:color w:val="231F20"/>
          <w:spacing w:val="-19"/>
        </w:rPr>
        <w:t xml:space="preserve"> </w:t>
      </w:r>
      <w:r>
        <w:rPr>
          <w:color w:val="231F20"/>
        </w:rPr>
        <w:t>dlužné</w:t>
      </w:r>
      <w:r>
        <w:rPr>
          <w:color w:val="231F20"/>
          <w:spacing w:val="-19"/>
        </w:rPr>
        <w:t xml:space="preserve"> </w:t>
      </w:r>
      <w:r>
        <w:rPr>
          <w:color w:val="231F20"/>
        </w:rPr>
        <w:t>částky</w:t>
      </w:r>
      <w:r>
        <w:rPr>
          <w:color w:val="231F20"/>
          <w:spacing w:val="-20"/>
        </w:rPr>
        <w:t xml:space="preserve"> </w:t>
      </w:r>
      <w:r>
        <w:rPr>
          <w:color w:val="231F20"/>
        </w:rPr>
        <w:t>pojistného a</w:t>
      </w:r>
      <w:r>
        <w:rPr>
          <w:color w:val="231F20"/>
          <w:spacing w:val="-19"/>
        </w:rPr>
        <w:t xml:space="preserve"> </w:t>
      </w:r>
      <w:r>
        <w:rPr>
          <w:color w:val="231F20"/>
        </w:rPr>
        <w:t>jiné</w:t>
      </w:r>
      <w:r>
        <w:rPr>
          <w:color w:val="231F20"/>
          <w:spacing w:val="-18"/>
        </w:rPr>
        <w:t xml:space="preserve"> </w:t>
      </w:r>
      <w:r>
        <w:rPr>
          <w:color w:val="231F20"/>
        </w:rPr>
        <w:t>splatné</w:t>
      </w:r>
      <w:r>
        <w:rPr>
          <w:color w:val="231F20"/>
          <w:spacing w:val="-18"/>
        </w:rPr>
        <w:t xml:space="preserve"> </w:t>
      </w:r>
      <w:r>
        <w:rPr>
          <w:color w:val="231F20"/>
        </w:rPr>
        <w:t>pohledávky</w:t>
      </w:r>
      <w:r>
        <w:rPr>
          <w:color w:val="231F20"/>
          <w:spacing w:val="-18"/>
        </w:rPr>
        <w:t xml:space="preserve"> </w:t>
      </w:r>
      <w:r>
        <w:rPr>
          <w:color w:val="231F20"/>
        </w:rPr>
        <w:t>ze</w:t>
      </w:r>
      <w:r>
        <w:rPr>
          <w:color w:val="231F20"/>
          <w:spacing w:val="-18"/>
        </w:rPr>
        <w:t xml:space="preserve"> </w:t>
      </w:r>
      <w:r>
        <w:rPr>
          <w:color w:val="231F20"/>
        </w:rPr>
        <w:t>všech</w:t>
      </w:r>
      <w:r>
        <w:rPr>
          <w:color w:val="231F20"/>
          <w:spacing w:val="-18"/>
        </w:rPr>
        <w:t xml:space="preserve"> </w:t>
      </w:r>
      <w:r>
        <w:rPr>
          <w:color w:val="231F20"/>
        </w:rPr>
        <w:t>pojištění</w:t>
      </w:r>
      <w:r>
        <w:rPr>
          <w:color w:val="231F20"/>
          <w:spacing w:val="-18"/>
        </w:rPr>
        <w:t xml:space="preserve"> </w:t>
      </w:r>
      <w:r>
        <w:rPr>
          <w:color w:val="231F20"/>
        </w:rPr>
        <w:t>sjednaných</w:t>
      </w:r>
      <w:r>
        <w:rPr>
          <w:color w:val="231F20"/>
          <w:spacing w:val="-18"/>
        </w:rPr>
        <w:t xml:space="preserve"> </w:t>
      </w:r>
      <w:r>
        <w:rPr>
          <w:color w:val="231F20"/>
        </w:rPr>
        <w:t>s</w:t>
      </w:r>
      <w:r>
        <w:rPr>
          <w:color w:val="231F20"/>
          <w:spacing w:val="-18"/>
        </w:rPr>
        <w:t xml:space="preserve"> </w:t>
      </w:r>
      <w:r>
        <w:rPr>
          <w:color w:val="231F20"/>
        </w:rPr>
        <w:t>pojistníkem</w:t>
      </w:r>
      <w:r>
        <w:rPr>
          <w:color w:val="231F20"/>
          <w:spacing w:val="-18"/>
        </w:rPr>
        <w:t xml:space="preserve"> </w:t>
      </w:r>
      <w:r>
        <w:rPr>
          <w:color w:val="231F20"/>
        </w:rPr>
        <w:t>s</w:t>
      </w:r>
      <w:r>
        <w:rPr>
          <w:color w:val="231F20"/>
          <w:spacing w:val="-18"/>
        </w:rPr>
        <w:t xml:space="preserve"> </w:t>
      </w:r>
      <w:r>
        <w:rPr>
          <w:color w:val="231F20"/>
        </w:rPr>
        <w:t>výjim- kou pojistných plnění z povinných</w:t>
      </w:r>
      <w:r>
        <w:rPr>
          <w:color w:val="231F20"/>
          <w:spacing w:val="-9"/>
        </w:rPr>
        <w:t xml:space="preserve"> </w:t>
      </w:r>
      <w:r>
        <w:rPr>
          <w:color w:val="231F20"/>
        </w:rPr>
        <w:t>pojištění.</w:t>
      </w:r>
    </w:p>
    <w:p w14:paraId="6CD9FC74" w14:textId="77777777" w:rsidR="00F65BCA" w:rsidRDefault="00216117">
      <w:pPr>
        <w:pStyle w:val="Zkladntext"/>
        <w:spacing w:line="278" w:lineRule="auto"/>
        <w:ind w:left="469" w:right="424" w:hanging="283"/>
        <w:jc w:val="both"/>
      </w:pPr>
      <w:r>
        <w:rPr>
          <w:color w:val="231F20"/>
          <w:spacing w:val="-22"/>
          <w:position w:val="1"/>
          <w:sz w:val="14"/>
          <w:shd w:val="clear" w:color="auto" w:fill="D1D3D4"/>
        </w:rPr>
        <w:t xml:space="preserve"> </w:t>
      </w:r>
      <w:r>
        <w:rPr>
          <w:color w:val="231F20"/>
          <w:position w:val="1"/>
          <w:sz w:val="14"/>
          <w:shd w:val="clear" w:color="auto" w:fill="D1D3D4"/>
        </w:rPr>
        <w:t>12</w:t>
      </w:r>
      <w:r>
        <w:rPr>
          <w:color w:val="231F20"/>
          <w:position w:val="1"/>
          <w:sz w:val="14"/>
        </w:rPr>
        <w:t xml:space="preserve"> </w:t>
      </w:r>
      <w:r>
        <w:rPr>
          <w:color w:val="231F20"/>
        </w:rPr>
        <w:t xml:space="preserve">Pojišťovna je oprávněna odečíst od vráceného přeplatku pojistného </w:t>
      </w:r>
      <w:r>
        <w:rPr>
          <w:color w:val="231F20"/>
          <w:spacing w:val="-3"/>
        </w:rPr>
        <w:t xml:space="preserve">nákla- </w:t>
      </w:r>
      <w:r>
        <w:rPr>
          <w:color w:val="231F20"/>
        </w:rPr>
        <w:t>dy</w:t>
      </w:r>
      <w:r>
        <w:rPr>
          <w:color w:val="231F20"/>
          <w:spacing w:val="-11"/>
        </w:rPr>
        <w:t xml:space="preserve"> </w:t>
      </w:r>
      <w:r>
        <w:rPr>
          <w:color w:val="231F20"/>
        </w:rPr>
        <w:t>uvedené</w:t>
      </w:r>
      <w:r>
        <w:rPr>
          <w:color w:val="231F20"/>
          <w:spacing w:val="-11"/>
        </w:rPr>
        <w:t xml:space="preserve"> </w:t>
      </w:r>
      <w:r>
        <w:rPr>
          <w:color w:val="231F20"/>
        </w:rPr>
        <w:t>v</w:t>
      </w:r>
      <w:r>
        <w:rPr>
          <w:color w:val="231F20"/>
          <w:spacing w:val="-11"/>
        </w:rPr>
        <w:t xml:space="preserve"> </w:t>
      </w:r>
      <w:r>
        <w:rPr>
          <w:color w:val="231F20"/>
        </w:rPr>
        <w:t>Sazebníku</w:t>
      </w:r>
      <w:r>
        <w:rPr>
          <w:color w:val="231F20"/>
          <w:spacing w:val="-11"/>
        </w:rPr>
        <w:t xml:space="preserve"> </w:t>
      </w:r>
      <w:r>
        <w:rPr>
          <w:color w:val="231F20"/>
        </w:rPr>
        <w:t>administrativních</w:t>
      </w:r>
      <w:r>
        <w:rPr>
          <w:color w:val="231F20"/>
          <w:spacing w:val="-11"/>
        </w:rPr>
        <w:t xml:space="preserve"> </w:t>
      </w:r>
      <w:r>
        <w:rPr>
          <w:color w:val="231F20"/>
        </w:rPr>
        <w:t>poplatků,</w:t>
      </w:r>
      <w:r>
        <w:rPr>
          <w:color w:val="231F20"/>
          <w:spacing w:val="-11"/>
        </w:rPr>
        <w:t xml:space="preserve"> </w:t>
      </w:r>
      <w:r>
        <w:rPr>
          <w:color w:val="231F20"/>
        </w:rPr>
        <w:t>které</w:t>
      </w:r>
      <w:r>
        <w:rPr>
          <w:color w:val="231F20"/>
          <w:spacing w:val="-11"/>
        </w:rPr>
        <w:t xml:space="preserve"> </w:t>
      </w:r>
      <w:r>
        <w:rPr>
          <w:color w:val="231F20"/>
        </w:rPr>
        <w:t>Pojišťovně</w:t>
      </w:r>
      <w:r>
        <w:rPr>
          <w:color w:val="231F20"/>
          <w:spacing w:val="-11"/>
        </w:rPr>
        <w:t xml:space="preserve"> </w:t>
      </w:r>
      <w:r>
        <w:rPr>
          <w:color w:val="231F20"/>
        </w:rPr>
        <w:t>vznikly v</w:t>
      </w:r>
      <w:r>
        <w:rPr>
          <w:color w:val="231F20"/>
          <w:spacing w:val="-24"/>
        </w:rPr>
        <w:t xml:space="preserve"> </w:t>
      </w:r>
      <w:r>
        <w:rPr>
          <w:color w:val="231F20"/>
        </w:rPr>
        <w:t>souvislosti</w:t>
      </w:r>
      <w:r>
        <w:rPr>
          <w:color w:val="231F20"/>
          <w:spacing w:val="-23"/>
        </w:rPr>
        <w:t xml:space="preserve"> </w:t>
      </w:r>
      <w:r>
        <w:rPr>
          <w:color w:val="231F20"/>
        </w:rPr>
        <w:t>s</w:t>
      </w:r>
      <w:r>
        <w:rPr>
          <w:color w:val="231F20"/>
          <w:spacing w:val="-23"/>
        </w:rPr>
        <w:t xml:space="preserve"> </w:t>
      </w:r>
      <w:r>
        <w:rPr>
          <w:color w:val="231F20"/>
        </w:rPr>
        <w:t>provedením</w:t>
      </w:r>
      <w:r>
        <w:rPr>
          <w:color w:val="231F20"/>
          <w:spacing w:val="-23"/>
        </w:rPr>
        <w:t xml:space="preserve"> </w:t>
      </w:r>
      <w:r>
        <w:rPr>
          <w:color w:val="231F20"/>
        </w:rPr>
        <w:t>platby</w:t>
      </w:r>
      <w:r>
        <w:rPr>
          <w:color w:val="231F20"/>
          <w:spacing w:val="-23"/>
        </w:rPr>
        <w:t xml:space="preserve"> </w:t>
      </w:r>
      <w:r>
        <w:rPr>
          <w:color w:val="231F20"/>
        </w:rPr>
        <w:t>z</w:t>
      </w:r>
      <w:r>
        <w:rPr>
          <w:color w:val="231F20"/>
          <w:spacing w:val="-23"/>
        </w:rPr>
        <w:t xml:space="preserve"> </w:t>
      </w:r>
      <w:r>
        <w:rPr>
          <w:color w:val="231F20"/>
        </w:rPr>
        <w:t>pokynu</w:t>
      </w:r>
      <w:r>
        <w:rPr>
          <w:color w:val="231F20"/>
          <w:spacing w:val="-24"/>
        </w:rPr>
        <w:t xml:space="preserve"> </w:t>
      </w:r>
      <w:r>
        <w:rPr>
          <w:color w:val="231F20"/>
        </w:rPr>
        <w:t>účastníka</w:t>
      </w:r>
      <w:r>
        <w:rPr>
          <w:color w:val="231F20"/>
          <w:spacing w:val="-23"/>
        </w:rPr>
        <w:t xml:space="preserve"> </w:t>
      </w:r>
      <w:r>
        <w:rPr>
          <w:color w:val="231F20"/>
        </w:rPr>
        <w:t>pojištění</w:t>
      </w:r>
      <w:r>
        <w:rPr>
          <w:color w:val="231F20"/>
          <w:spacing w:val="-23"/>
        </w:rPr>
        <w:t xml:space="preserve"> </w:t>
      </w:r>
      <w:r>
        <w:rPr>
          <w:color w:val="231F20"/>
        </w:rPr>
        <w:t>prostřednictvím poštovní</w:t>
      </w:r>
      <w:r>
        <w:rPr>
          <w:color w:val="231F20"/>
          <w:spacing w:val="-1"/>
        </w:rPr>
        <w:t xml:space="preserve"> </w:t>
      </w:r>
      <w:r>
        <w:rPr>
          <w:color w:val="231F20"/>
        </w:rPr>
        <w:t>poukázky.</w:t>
      </w:r>
    </w:p>
    <w:p w14:paraId="01B6E475" w14:textId="77777777" w:rsidR="00F65BCA" w:rsidRDefault="00216117">
      <w:pPr>
        <w:pStyle w:val="Zkladntext"/>
        <w:spacing w:line="278" w:lineRule="auto"/>
        <w:ind w:left="469" w:right="422" w:hanging="283"/>
        <w:jc w:val="both"/>
      </w:pPr>
      <w:r>
        <w:rPr>
          <w:color w:val="231F20"/>
          <w:spacing w:val="-22"/>
          <w:position w:val="1"/>
          <w:sz w:val="14"/>
          <w:shd w:val="clear" w:color="auto" w:fill="D1D3D4"/>
        </w:rPr>
        <w:t xml:space="preserve"> </w:t>
      </w:r>
      <w:r>
        <w:rPr>
          <w:color w:val="231F20"/>
          <w:position w:val="1"/>
          <w:sz w:val="14"/>
          <w:shd w:val="clear" w:color="auto" w:fill="D1D3D4"/>
        </w:rPr>
        <w:t>13</w:t>
      </w:r>
      <w:r>
        <w:rPr>
          <w:color w:val="231F20"/>
          <w:position w:val="1"/>
          <w:sz w:val="14"/>
        </w:rPr>
        <w:t xml:space="preserve"> </w:t>
      </w:r>
      <w:r>
        <w:rPr>
          <w:color w:val="231F20"/>
        </w:rPr>
        <w:t xml:space="preserve">Má-li </w:t>
      </w:r>
      <w:r>
        <w:rPr>
          <w:color w:val="231F20"/>
          <w:spacing w:val="2"/>
        </w:rPr>
        <w:t xml:space="preserve">pojistník </w:t>
      </w:r>
      <w:r>
        <w:rPr>
          <w:color w:val="231F20"/>
        </w:rPr>
        <w:t xml:space="preserve">plnit na pojistné, poplatky a </w:t>
      </w:r>
      <w:r>
        <w:rPr>
          <w:color w:val="231F20"/>
          <w:spacing w:val="2"/>
        </w:rPr>
        <w:t xml:space="preserve">příslušenství pohledávky </w:t>
      </w:r>
      <w:r>
        <w:rPr>
          <w:color w:val="231F20"/>
        </w:rPr>
        <w:t>dluž- ného</w:t>
      </w:r>
      <w:r>
        <w:rPr>
          <w:color w:val="231F20"/>
          <w:spacing w:val="-4"/>
        </w:rPr>
        <w:t xml:space="preserve"> </w:t>
      </w:r>
      <w:r>
        <w:rPr>
          <w:color w:val="231F20"/>
        </w:rPr>
        <w:t>pojistného,</w:t>
      </w:r>
      <w:r>
        <w:rPr>
          <w:color w:val="231F20"/>
          <w:spacing w:val="-4"/>
        </w:rPr>
        <w:t xml:space="preserve"> </w:t>
      </w:r>
      <w:r>
        <w:rPr>
          <w:color w:val="231F20"/>
        </w:rPr>
        <w:t>započte</w:t>
      </w:r>
      <w:r>
        <w:rPr>
          <w:color w:val="231F20"/>
          <w:spacing w:val="-4"/>
        </w:rPr>
        <w:t xml:space="preserve"> </w:t>
      </w:r>
      <w:r>
        <w:rPr>
          <w:color w:val="231F20"/>
        </w:rPr>
        <w:t>se</w:t>
      </w:r>
      <w:r>
        <w:rPr>
          <w:color w:val="231F20"/>
          <w:spacing w:val="-4"/>
        </w:rPr>
        <w:t xml:space="preserve"> </w:t>
      </w:r>
      <w:r>
        <w:rPr>
          <w:color w:val="231F20"/>
        </w:rPr>
        <w:t>Pojišťovně</w:t>
      </w:r>
      <w:r>
        <w:rPr>
          <w:color w:val="231F20"/>
          <w:spacing w:val="-4"/>
        </w:rPr>
        <w:t xml:space="preserve"> </w:t>
      </w:r>
      <w:r>
        <w:rPr>
          <w:color w:val="231F20"/>
        </w:rPr>
        <w:t>plnění</w:t>
      </w:r>
      <w:r>
        <w:rPr>
          <w:color w:val="231F20"/>
          <w:spacing w:val="-4"/>
        </w:rPr>
        <w:t xml:space="preserve"> </w:t>
      </w:r>
      <w:r>
        <w:rPr>
          <w:color w:val="231F20"/>
          <w:spacing w:val="2"/>
        </w:rPr>
        <w:t>pojistníka</w:t>
      </w:r>
      <w:r>
        <w:rPr>
          <w:color w:val="231F20"/>
          <w:spacing w:val="-4"/>
        </w:rPr>
        <w:t xml:space="preserve"> </w:t>
      </w:r>
      <w:r>
        <w:rPr>
          <w:color w:val="231F20"/>
          <w:spacing w:val="2"/>
        </w:rPr>
        <w:t>nejprve</w:t>
      </w:r>
      <w:r>
        <w:rPr>
          <w:color w:val="231F20"/>
          <w:spacing w:val="-4"/>
        </w:rPr>
        <w:t xml:space="preserve"> </w:t>
      </w:r>
      <w:r>
        <w:rPr>
          <w:color w:val="231F20"/>
        </w:rPr>
        <w:t>na</w:t>
      </w:r>
      <w:r>
        <w:rPr>
          <w:color w:val="231F20"/>
          <w:spacing w:val="-4"/>
        </w:rPr>
        <w:t xml:space="preserve"> </w:t>
      </w:r>
      <w:r>
        <w:rPr>
          <w:color w:val="231F20"/>
          <w:spacing w:val="2"/>
        </w:rPr>
        <w:t xml:space="preserve">dlužné </w:t>
      </w:r>
      <w:r>
        <w:rPr>
          <w:color w:val="231F20"/>
        </w:rPr>
        <w:t xml:space="preserve">pojistné, a to vždy </w:t>
      </w:r>
      <w:r>
        <w:rPr>
          <w:color w:val="231F20"/>
          <w:spacing w:val="2"/>
        </w:rPr>
        <w:t xml:space="preserve">nejprve </w:t>
      </w:r>
      <w:r>
        <w:rPr>
          <w:color w:val="231F20"/>
        </w:rPr>
        <w:t xml:space="preserve">na nejdříve splatné pojistné, resp. splátku pojist- ného, poté na poplatky v pořadí podle jejich splatnosti, dále pak na náklady spojené s </w:t>
      </w:r>
      <w:r>
        <w:rPr>
          <w:color w:val="231F20"/>
          <w:spacing w:val="2"/>
        </w:rPr>
        <w:t xml:space="preserve">vymáháním </w:t>
      </w:r>
      <w:r>
        <w:rPr>
          <w:color w:val="231F20"/>
        </w:rPr>
        <w:t>dlužného pojistného a nakonec na úrok z prodlení. Poplatky,</w:t>
      </w:r>
      <w:r>
        <w:rPr>
          <w:color w:val="231F20"/>
          <w:spacing w:val="-11"/>
        </w:rPr>
        <w:t xml:space="preserve"> </w:t>
      </w:r>
      <w:r>
        <w:rPr>
          <w:color w:val="231F20"/>
        </w:rPr>
        <w:t>náklady</w:t>
      </w:r>
      <w:r>
        <w:rPr>
          <w:color w:val="231F20"/>
          <w:spacing w:val="-11"/>
        </w:rPr>
        <w:t xml:space="preserve"> </w:t>
      </w:r>
      <w:r>
        <w:rPr>
          <w:color w:val="231F20"/>
        </w:rPr>
        <w:t>spojené</w:t>
      </w:r>
      <w:r>
        <w:rPr>
          <w:color w:val="231F20"/>
          <w:spacing w:val="-10"/>
        </w:rPr>
        <w:t xml:space="preserve"> </w:t>
      </w:r>
      <w:r>
        <w:rPr>
          <w:color w:val="231F20"/>
        </w:rPr>
        <w:t>s</w:t>
      </w:r>
      <w:r>
        <w:rPr>
          <w:color w:val="231F20"/>
          <w:spacing w:val="-11"/>
        </w:rPr>
        <w:t xml:space="preserve"> </w:t>
      </w:r>
      <w:r>
        <w:rPr>
          <w:color w:val="231F20"/>
          <w:spacing w:val="2"/>
        </w:rPr>
        <w:t>vymáháním</w:t>
      </w:r>
      <w:r>
        <w:rPr>
          <w:color w:val="231F20"/>
          <w:spacing w:val="-10"/>
        </w:rPr>
        <w:t xml:space="preserve"> </w:t>
      </w:r>
      <w:r>
        <w:rPr>
          <w:color w:val="231F20"/>
        </w:rPr>
        <w:t>dlužného</w:t>
      </w:r>
      <w:r>
        <w:rPr>
          <w:color w:val="231F20"/>
          <w:spacing w:val="-11"/>
        </w:rPr>
        <w:t xml:space="preserve"> </w:t>
      </w:r>
      <w:r>
        <w:rPr>
          <w:color w:val="231F20"/>
        </w:rPr>
        <w:t>pojistného</w:t>
      </w:r>
      <w:r>
        <w:rPr>
          <w:color w:val="231F20"/>
          <w:spacing w:val="-10"/>
        </w:rPr>
        <w:t xml:space="preserve"> </w:t>
      </w:r>
      <w:r>
        <w:rPr>
          <w:color w:val="231F20"/>
        </w:rPr>
        <w:t>ani</w:t>
      </w:r>
      <w:r>
        <w:rPr>
          <w:color w:val="231F20"/>
          <w:spacing w:val="-11"/>
        </w:rPr>
        <w:t xml:space="preserve"> </w:t>
      </w:r>
      <w:r>
        <w:rPr>
          <w:color w:val="231F20"/>
        </w:rPr>
        <w:t>úrok</w:t>
      </w:r>
      <w:r>
        <w:rPr>
          <w:color w:val="231F20"/>
          <w:spacing w:val="-10"/>
        </w:rPr>
        <w:t xml:space="preserve"> </w:t>
      </w:r>
      <w:r>
        <w:rPr>
          <w:color w:val="231F20"/>
        </w:rPr>
        <w:t>z</w:t>
      </w:r>
      <w:r>
        <w:rPr>
          <w:color w:val="231F20"/>
          <w:spacing w:val="-11"/>
        </w:rPr>
        <w:t xml:space="preserve"> </w:t>
      </w:r>
      <w:r>
        <w:rPr>
          <w:color w:val="231F20"/>
        </w:rPr>
        <w:t>pro- dlení se</w:t>
      </w:r>
      <w:r>
        <w:rPr>
          <w:color w:val="231F20"/>
          <w:spacing w:val="-1"/>
        </w:rPr>
        <w:t xml:space="preserve"> </w:t>
      </w:r>
      <w:r>
        <w:rPr>
          <w:color w:val="231F20"/>
        </w:rPr>
        <w:t>neúročí.</w:t>
      </w:r>
    </w:p>
    <w:p w14:paraId="606708C9" w14:textId="77777777" w:rsidR="00F65BCA" w:rsidRDefault="00216117">
      <w:pPr>
        <w:pStyle w:val="Zkladntext"/>
        <w:spacing w:line="172" w:lineRule="exact"/>
        <w:ind w:left="187"/>
        <w:jc w:val="both"/>
      </w:pPr>
      <w:r>
        <w:rPr>
          <w:color w:val="231F20"/>
          <w:position w:val="1"/>
          <w:sz w:val="14"/>
          <w:shd w:val="clear" w:color="auto" w:fill="D1D3D4"/>
        </w:rPr>
        <w:t xml:space="preserve"> 14</w:t>
      </w:r>
      <w:r>
        <w:rPr>
          <w:color w:val="231F20"/>
          <w:position w:val="1"/>
          <w:sz w:val="14"/>
        </w:rPr>
        <w:t xml:space="preserve"> </w:t>
      </w:r>
      <w:r>
        <w:rPr>
          <w:color w:val="231F20"/>
        </w:rPr>
        <w:t>Pojištění se pro nezaplacení pojistného nepřerušuje.</w:t>
      </w:r>
    </w:p>
    <w:p w14:paraId="6BC8EE45" w14:textId="77777777" w:rsidR="00F65BCA" w:rsidRDefault="00F65BCA">
      <w:pPr>
        <w:spacing w:line="172" w:lineRule="exact"/>
        <w:jc w:val="both"/>
        <w:sectPr w:rsidR="00F65BCA">
          <w:pgSz w:w="11910" w:h="16840"/>
          <w:pgMar w:top="520" w:right="140" w:bottom="0" w:left="140" w:header="708" w:footer="708" w:gutter="0"/>
          <w:cols w:num="2" w:space="708" w:equalWidth="0">
            <w:col w:w="5700" w:space="40"/>
            <w:col w:w="5890"/>
          </w:cols>
        </w:sectPr>
      </w:pPr>
    </w:p>
    <w:p w14:paraId="1669C973" w14:textId="77777777" w:rsidR="00F65BCA" w:rsidRDefault="00000000">
      <w:pPr>
        <w:spacing w:before="116"/>
        <w:ind w:left="428"/>
        <w:rPr>
          <w:sz w:val="15"/>
        </w:rPr>
      </w:pPr>
      <w:r>
        <w:lastRenderedPageBreak/>
        <w:pict w14:anchorId="2DD531CF">
          <v:group id="_x0000_s2292" style="position:absolute;left:0;text-align:left;margin-left:0;margin-top:807.85pt;width:595.3pt;height:34.05pt;z-index:251845632;mso-position-horizontal-relative:page;mso-position-vertical-relative:page" coordorigin=",16157" coordsize="11906,681">
            <v:rect id="_x0000_s2295" style="position:absolute;top:16157;width:11906;height:681" fillcolor="#dcddde" stroked="f"/>
            <v:shape id="_x0000_s2294" type="#_x0000_t202" style="position:absolute;left:1020;top:16477;width:1414;height:164" filled="f" stroked="f">
              <v:textbox inset="0,0,0,0">
                <w:txbxContent>
                  <w:p w14:paraId="6A4B7C66" w14:textId="77777777" w:rsidR="00F65BCA" w:rsidRDefault="00216117">
                    <w:pPr>
                      <w:spacing w:before="2"/>
                      <w:rPr>
                        <w:sz w:val="14"/>
                      </w:rPr>
                    </w:pPr>
                    <w:r>
                      <w:rPr>
                        <w:color w:val="231F20"/>
                        <w:sz w:val="14"/>
                      </w:rPr>
                      <w:t>6.20.012 05.2025 v04</w:t>
                    </w:r>
                  </w:p>
                </w:txbxContent>
              </v:textbox>
            </v:shape>
            <v:shape id="_x0000_s2293" type="#_x0000_t202" style="position:absolute;left:5679;top:16420;width:5453;height:234" filled="f" stroked="f">
              <v:textbox inset="0,0,0,0">
                <w:txbxContent>
                  <w:p w14:paraId="5A1AC11F" w14:textId="77777777" w:rsidR="00F65BCA" w:rsidRDefault="00216117">
                    <w:pPr>
                      <w:spacing w:before="3"/>
                      <w:rPr>
                        <w:sz w:val="16"/>
                      </w:rPr>
                    </w:pPr>
                    <w:r>
                      <w:rPr>
                        <w:color w:val="231F20"/>
                        <w:sz w:val="16"/>
                      </w:rPr>
                      <w:t xml:space="preserve">Všeobecné pojistné podmínky pro pojištění vozidel VPPPMV-F-5/2025 </w:t>
                    </w:r>
                    <w:r>
                      <w:rPr>
                        <w:color w:val="6D6E71"/>
                        <w:sz w:val="20"/>
                      </w:rPr>
                      <w:t xml:space="preserve">| </w:t>
                    </w:r>
                    <w:r>
                      <w:rPr>
                        <w:color w:val="231F20"/>
                        <w:sz w:val="16"/>
                      </w:rPr>
                      <w:t>17</w:t>
                    </w:r>
                  </w:p>
                </w:txbxContent>
              </v:textbox>
            </v:shape>
            <w10:wrap anchorx="page" anchory="page"/>
          </v:group>
        </w:pict>
      </w:r>
      <w:r w:rsidR="00216117">
        <w:rPr>
          <w:color w:val="FFFFFF"/>
          <w:position w:val="3"/>
          <w:sz w:val="16"/>
          <w:shd w:val="clear" w:color="auto" w:fill="808285"/>
        </w:rPr>
        <w:t xml:space="preserve">  Článek 5</w:t>
      </w:r>
      <w:r w:rsidR="00216117">
        <w:rPr>
          <w:color w:val="FFFFFF"/>
          <w:position w:val="3"/>
          <w:sz w:val="16"/>
        </w:rPr>
        <w:t xml:space="preserve"> </w:t>
      </w:r>
      <w:r w:rsidR="00216117">
        <w:rPr>
          <w:color w:val="231F20"/>
          <w:sz w:val="15"/>
        </w:rPr>
        <w:t>Pojistné plnění</w:t>
      </w:r>
    </w:p>
    <w:p w14:paraId="73620855"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20"/>
          <w:position w:val="1"/>
          <w:sz w:val="14"/>
        </w:rPr>
        <w:t xml:space="preserve"> </w:t>
      </w:r>
      <w:r>
        <w:rPr>
          <w:color w:val="231F20"/>
        </w:rPr>
        <w:t>Pojistné</w:t>
      </w:r>
      <w:r>
        <w:rPr>
          <w:color w:val="231F20"/>
          <w:spacing w:val="-15"/>
        </w:rPr>
        <w:t xml:space="preserve"> </w:t>
      </w:r>
      <w:r>
        <w:rPr>
          <w:color w:val="231F20"/>
        </w:rPr>
        <w:t>plnění</w:t>
      </w:r>
      <w:r>
        <w:rPr>
          <w:color w:val="231F20"/>
          <w:spacing w:val="-15"/>
        </w:rPr>
        <w:t xml:space="preserve"> </w:t>
      </w:r>
      <w:r>
        <w:rPr>
          <w:color w:val="231F20"/>
        </w:rPr>
        <w:t>poskytuje</w:t>
      </w:r>
      <w:r>
        <w:rPr>
          <w:color w:val="231F20"/>
          <w:spacing w:val="-15"/>
        </w:rPr>
        <w:t xml:space="preserve"> </w:t>
      </w:r>
      <w:r>
        <w:rPr>
          <w:color w:val="231F20"/>
        </w:rPr>
        <w:t>Pojišťovna</w:t>
      </w:r>
      <w:r>
        <w:rPr>
          <w:color w:val="231F20"/>
          <w:spacing w:val="-16"/>
        </w:rPr>
        <w:t xml:space="preserve"> </w:t>
      </w:r>
      <w:r>
        <w:rPr>
          <w:color w:val="231F20"/>
        </w:rPr>
        <w:t>v</w:t>
      </w:r>
      <w:r>
        <w:rPr>
          <w:color w:val="231F20"/>
          <w:spacing w:val="-15"/>
        </w:rPr>
        <w:t xml:space="preserve"> </w:t>
      </w:r>
      <w:r>
        <w:rPr>
          <w:color w:val="231F20"/>
        </w:rPr>
        <w:t>tuzemské</w:t>
      </w:r>
      <w:r>
        <w:rPr>
          <w:color w:val="231F20"/>
          <w:spacing w:val="-15"/>
        </w:rPr>
        <w:t xml:space="preserve"> </w:t>
      </w:r>
      <w:r>
        <w:rPr>
          <w:color w:val="231F20"/>
        </w:rPr>
        <w:t>měně,</w:t>
      </w:r>
      <w:r>
        <w:rPr>
          <w:color w:val="231F20"/>
          <w:spacing w:val="-15"/>
        </w:rPr>
        <w:t xml:space="preserve"> </w:t>
      </w:r>
      <w:r>
        <w:rPr>
          <w:color w:val="231F20"/>
        </w:rPr>
        <w:t>pokud</w:t>
      </w:r>
      <w:r>
        <w:rPr>
          <w:color w:val="231F20"/>
          <w:spacing w:val="-16"/>
        </w:rPr>
        <w:t xml:space="preserve"> </w:t>
      </w:r>
      <w:r>
        <w:rPr>
          <w:color w:val="231F20"/>
        </w:rPr>
        <w:t>ze</w:t>
      </w:r>
      <w:r>
        <w:rPr>
          <w:color w:val="231F20"/>
          <w:spacing w:val="-15"/>
        </w:rPr>
        <w:t xml:space="preserve"> </w:t>
      </w:r>
      <w:r>
        <w:rPr>
          <w:color w:val="231F20"/>
          <w:spacing w:val="-4"/>
        </w:rPr>
        <w:t>ZPOV,</w:t>
      </w:r>
      <w:r>
        <w:rPr>
          <w:color w:val="231F20"/>
          <w:spacing w:val="-15"/>
        </w:rPr>
        <w:t xml:space="preserve"> </w:t>
      </w:r>
      <w:r>
        <w:rPr>
          <w:color w:val="231F20"/>
          <w:spacing w:val="-3"/>
        </w:rPr>
        <w:t xml:space="preserve">záko- </w:t>
      </w:r>
      <w:r>
        <w:rPr>
          <w:color w:val="231F20"/>
        </w:rPr>
        <w:t>níku</w:t>
      </w:r>
      <w:r>
        <w:rPr>
          <w:color w:val="231F20"/>
          <w:spacing w:val="-15"/>
        </w:rPr>
        <w:t xml:space="preserve"> </w:t>
      </w:r>
      <w:r>
        <w:rPr>
          <w:color w:val="231F20"/>
        </w:rPr>
        <w:t>nebo</w:t>
      </w:r>
      <w:r>
        <w:rPr>
          <w:color w:val="231F20"/>
          <w:spacing w:val="-14"/>
        </w:rPr>
        <w:t xml:space="preserve"> </w:t>
      </w:r>
      <w:r>
        <w:rPr>
          <w:color w:val="231F20"/>
        </w:rPr>
        <w:t>mezinárodních</w:t>
      </w:r>
      <w:r>
        <w:rPr>
          <w:color w:val="231F20"/>
          <w:spacing w:val="-15"/>
        </w:rPr>
        <w:t xml:space="preserve"> </w:t>
      </w:r>
      <w:r>
        <w:rPr>
          <w:color w:val="231F20"/>
        </w:rPr>
        <w:t>dohod,</w:t>
      </w:r>
      <w:r>
        <w:rPr>
          <w:color w:val="231F20"/>
          <w:spacing w:val="-14"/>
        </w:rPr>
        <w:t xml:space="preserve"> </w:t>
      </w:r>
      <w:r>
        <w:rPr>
          <w:color w:val="231F20"/>
        </w:rPr>
        <w:t>které</w:t>
      </w:r>
      <w:r>
        <w:rPr>
          <w:color w:val="231F20"/>
          <w:spacing w:val="-15"/>
        </w:rPr>
        <w:t xml:space="preserve"> </w:t>
      </w:r>
      <w:r>
        <w:rPr>
          <w:color w:val="231F20"/>
        </w:rPr>
        <w:t>se</w:t>
      </w:r>
      <w:r>
        <w:rPr>
          <w:color w:val="231F20"/>
          <w:spacing w:val="-14"/>
        </w:rPr>
        <w:t xml:space="preserve"> </w:t>
      </w:r>
      <w:r>
        <w:rPr>
          <w:color w:val="231F20"/>
        </w:rPr>
        <w:t>staly</w:t>
      </w:r>
      <w:r>
        <w:rPr>
          <w:color w:val="231F20"/>
          <w:spacing w:val="-15"/>
        </w:rPr>
        <w:t xml:space="preserve"> </w:t>
      </w:r>
      <w:r>
        <w:rPr>
          <w:color w:val="231F20"/>
        </w:rPr>
        <w:t>součástí</w:t>
      </w:r>
      <w:r>
        <w:rPr>
          <w:color w:val="231F20"/>
          <w:spacing w:val="-14"/>
        </w:rPr>
        <w:t xml:space="preserve"> </w:t>
      </w:r>
      <w:r>
        <w:rPr>
          <w:color w:val="231F20"/>
        </w:rPr>
        <w:t>právního</w:t>
      </w:r>
      <w:r>
        <w:rPr>
          <w:color w:val="231F20"/>
          <w:spacing w:val="-14"/>
        </w:rPr>
        <w:t xml:space="preserve"> </w:t>
      </w:r>
      <w:r>
        <w:rPr>
          <w:color w:val="231F20"/>
        </w:rPr>
        <w:t>řádu</w:t>
      </w:r>
      <w:r>
        <w:rPr>
          <w:color w:val="231F20"/>
          <w:spacing w:val="-15"/>
        </w:rPr>
        <w:t xml:space="preserve"> </w:t>
      </w:r>
      <w:r>
        <w:rPr>
          <w:color w:val="231F20"/>
          <w:spacing w:val="-4"/>
        </w:rPr>
        <w:t xml:space="preserve">České </w:t>
      </w:r>
      <w:r>
        <w:rPr>
          <w:color w:val="231F20"/>
        </w:rPr>
        <w:t>republiky,</w:t>
      </w:r>
      <w:r>
        <w:rPr>
          <w:color w:val="231F20"/>
          <w:spacing w:val="-5"/>
        </w:rPr>
        <w:t xml:space="preserve"> </w:t>
      </w:r>
      <w:r>
        <w:rPr>
          <w:color w:val="231F20"/>
        </w:rPr>
        <w:t>nevyplývá</w:t>
      </w:r>
      <w:r>
        <w:rPr>
          <w:color w:val="231F20"/>
          <w:spacing w:val="-5"/>
        </w:rPr>
        <w:t xml:space="preserve"> </w:t>
      </w:r>
      <w:r>
        <w:rPr>
          <w:color w:val="231F20"/>
        </w:rPr>
        <w:t>povinnost</w:t>
      </w:r>
      <w:r>
        <w:rPr>
          <w:color w:val="231F20"/>
          <w:spacing w:val="-5"/>
        </w:rPr>
        <w:t xml:space="preserve"> </w:t>
      </w:r>
      <w:r>
        <w:rPr>
          <w:color w:val="231F20"/>
        </w:rPr>
        <w:t>Pojišťovny</w:t>
      </w:r>
      <w:r>
        <w:rPr>
          <w:color w:val="231F20"/>
          <w:spacing w:val="-5"/>
        </w:rPr>
        <w:t xml:space="preserve"> </w:t>
      </w:r>
      <w:r>
        <w:rPr>
          <w:color w:val="231F20"/>
        </w:rPr>
        <w:t>plnit</w:t>
      </w:r>
      <w:r>
        <w:rPr>
          <w:color w:val="231F20"/>
          <w:spacing w:val="-5"/>
        </w:rPr>
        <w:t xml:space="preserve"> </w:t>
      </w:r>
      <w:r>
        <w:rPr>
          <w:color w:val="231F20"/>
        </w:rPr>
        <w:t>v</w:t>
      </w:r>
      <w:r>
        <w:rPr>
          <w:color w:val="231F20"/>
          <w:spacing w:val="-5"/>
        </w:rPr>
        <w:t xml:space="preserve"> </w:t>
      </w:r>
      <w:r>
        <w:rPr>
          <w:color w:val="231F20"/>
        </w:rPr>
        <w:t>jiné</w:t>
      </w:r>
      <w:r>
        <w:rPr>
          <w:color w:val="231F20"/>
          <w:spacing w:val="-5"/>
        </w:rPr>
        <w:t xml:space="preserve"> </w:t>
      </w:r>
      <w:r>
        <w:rPr>
          <w:color w:val="231F20"/>
        </w:rPr>
        <w:t>měně.</w:t>
      </w:r>
    </w:p>
    <w:p w14:paraId="12E690A1"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position w:val="1"/>
          <w:sz w:val="14"/>
        </w:rPr>
        <w:t xml:space="preserve"> </w:t>
      </w:r>
      <w:r>
        <w:rPr>
          <w:color w:val="231F20"/>
        </w:rPr>
        <w:t>Pojistné plnění je splatné do 15 dnů po ukončení šetření nutného ke zjištění existence</w:t>
      </w:r>
      <w:r>
        <w:rPr>
          <w:color w:val="231F20"/>
          <w:spacing w:val="-9"/>
        </w:rPr>
        <w:t xml:space="preserve"> </w:t>
      </w:r>
      <w:r>
        <w:rPr>
          <w:color w:val="231F20"/>
        </w:rPr>
        <w:t>a</w:t>
      </w:r>
      <w:r>
        <w:rPr>
          <w:color w:val="231F20"/>
          <w:spacing w:val="-9"/>
        </w:rPr>
        <w:t xml:space="preserve"> </w:t>
      </w:r>
      <w:r>
        <w:rPr>
          <w:color w:val="231F20"/>
        </w:rPr>
        <w:t>rozsahu</w:t>
      </w:r>
      <w:r>
        <w:rPr>
          <w:color w:val="231F20"/>
          <w:spacing w:val="-9"/>
        </w:rPr>
        <w:t xml:space="preserve"> </w:t>
      </w:r>
      <w:r>
        <w:rPr>
          <w:color w:val="231F20"/>
        </w:rPr>
        <w:t>povinnosti</w:t>
      </w:r>
      <w:r>
        <w:rPr>
          <w:color w:val="231F20"/>
          <w:spacing w:val="-9"/>
        </w:rPr>
        <w:t xml:space="preserve"> </w:t>
      </w:r>
      <w:r>
        <w:rPr>
          <w:color w:val="231F20"/>
        </w:rPr>
        <w:t>Pojišťovny</w:t>
      </w:r>
      <w:r>
        <w:rPr>
          <w:color w:val="231F20"/>
          <w:spacing w:val="-9"/>
        </w:rPr>
        <w:t xml:space="preserve"> </w:t>
      </w:r>
      <w:r>
        <w:rPr>
          <w:color w:val="231F20"/>
        </w:rPr>
        <w:t>plnit.</w:t>
      </w:r>
      <w:r>
        <w:rPr>
          <w:color w:val="231F20"/>
          <w:spacing w:val="-9"/>
        </w:rPr>
        <w:t xml:space="preserve"> </w:t>
      </w:r>
      <w:r>
        <w:rPr>
          <w:color w:val="231F20"/>
        </w:rPr>
        <w:t>Šetření</w:t>
      </w:r>
      <w:r>
        <w:rPr>
          <w:color w:val="231F20"/>
          <w:spacing w:val="-9"/>
        </w:rPr>
        <w:t xml:space="preserve"> </w:t>
      </w:r>
      <w:r>
        <w:rPr>
          <w:color w:val="231F20"/>
        </w:rPr>
        <w:t>je</w:t>
      </w:r>
      <w:r>
        <w:rPr>
          <w:color w:val="231F20"/>
          <w:spacing w:val="-9"/>
        </w:rPr>
        <w:t xml:space="preserve"> </w:t>
      </w:r>
      <w:r>
        <w:rPr>
          <w:color w:val="231F20"/>
        </w:rPr>
        <w:t>skončeno,</w:t>
      </w:r>
      <w:r>
        <w:rPr>
          <w:color w:val="231F20"/>
          <w:spacing w:val="-9"/>
        </w:rPr>
        <w:t xml:space="preserve"> </w:t>
      </w:r>
      <w:r>
        <w:rPr>
          <w:color w:val="231F20"/>
        </w:rPr>
        <w:t>jakmile Pojišťovna sdělí jeho výsledky oprávněné</w:t>
      </w:r>
      <w:r>
        <w:rPr>
          <w:color w:val="231F20"/>
          <w:spacing w:val="-15"/>
        </w:rPr>
        <w:t xml:space="preserve"> </w:t>
      </w:r>
      <w:r>
        <w:rPr>
          <w:color w:val="231F20"/>
        </w:rPr>
        <w:t>osobě.</w:t>
      </w:r>
    </w:p>
    <w:p w14:paraId="32472BC2"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position w:val="1"/>
          <w:sz w:val="14"/>
        </w:rPr>
        <w:t xml:space="preserve"> </w:t>
      </w:r>
      <w:r>
        <w:rPr>
          <w:color w:val="231F20"/>
        </w:rPr>
        <w:t>Pojišťovna může rozhodnout o tom, že poskytne naturální plnění (opravou nebo</w:t>
      </w:r>
      <w:r>
        <w:rPr>
          <w:color w:val="231F20"/>
          <w:spacing w:val="-17"/>
        </w:rPr>
        <w:t xml:space="preserve"> </w:t>
      </w:r>
      <w:r>
        <w:rPr>
          <w:color w:val="231F20"/>
        </w:rPr>
        <w:t>výměnou</w:t>
      </w:r>
      <w:r>
        <w:rPr>
          <w:color w:val="231F20"/>
          <w:spacing w:val="-17"/>
        </w:rPr>
        <w:t xml:space="preserve"> </w:t>
      </w:r>
      <w:r>
        <w:rPr>
          <w:color w:val="231F20"/>
        </w:rPr>
        <w:t>věci)</w:t>
      </w:r>
      <w:r>
        <w:rPr>
          <w:color w:val="231F20"/>
          <w:spacing w:val="-17"/>
        </w:rPr>
        <w:t xml:space="preserve"> </w:t>
      </w:r>
      <w:r>
        <w:rPr>
          <w:color w:val="231F20"/>
        </w:rPr>
        <w:t>či</w:t>
      </w:r>
      <w:r>
        <w:rPr>
          <w:color w:val="231F20"/>
          <w:spacing w:val="-16"/>
        </w:rPr>
        <w:t xml:space="preserve"> </w:t>
      </w:r>
      <w:r>
        <w:rPr>
          <w:color w:val="231F20"/>
        </w:rPr>
        <w:t>plnění</w:t>
      </w:r>
      <w:r>
        <w:rPr>
          <w:color w:val="231F20"/>
          <w:spacing w:val="-17"/>
        </w:rPr>
        <w:t xml:space="preserve"> </w:t>
      </w:r>
      <w:r>
        <w:rPr>
          <w:color w:val="231F20"/>
        </w:rPr>
        <w:t>v</w:t>
      </w:r>
      <w:r>
        <w:rPr>
          <w:color w:val="231F20"/>
          <w:spacing w:val="-17"/>
        </w:rPr>
        <w:t xml:space="preserve"> </w:t>
      </w:r>
      <w:r>
        <w:rPr>
          <w:color w:val="231F20"/>
        </w:rPr>
        <w:t>cizí</w:t>
      </w:r>
      <w:r>
        <w:rPr>
          <w:color w:val="231F20"/>
          <w:spacing w:val="-16"/>
        </w:rPr>
        <w:t xml:space="preserve"> </w:t>
      </w:r>
      <w:r>
        <w:rPr>
          <w:color w:val="231F20"/>
        </w:rPr>
        <w:t>měně</w:t>
      </w:r>
      <w:r>
        <w:rPr>
          <w:color w:val="231F20"/>
          <w:spacing w:val="-17"/>
        </w:rPr>
        <w:t xml:space="preserve"> </w:t>
      </w:r>
      <w:r>
        <w:rPr>
          <w:color w:val="231F20"/>
        </w:rPr>
        <w:t>prostřednictvím</w:t>
      </w:r>
      <w:r>
        <w:rPr>
          <w:color w:val="231F20"/>
          <w:spacing w:val="-17"/>
        </w:rPr>
        <w:t xml:space="preserve"> </w:t>
      </w:r>
      <w:r>
        <w:rPr>
          <w:color w:val="231F20"/>
        </w:rPr>
        <w:t>pověřeného</w:t>
      </w:r>
      <w:r>
        <w:rPr>
          <w:color w:val="231F20"/>
          <w:spacing w:val="-17"/>
        </w:rPr>
        <w:t xml:space="preserve"> </w:t>
      </w:r>
      <w:r>
        <w:rPr>
          <w:color w:val="231F20"/>
          <w:spacing w:val="-3"/>
        </w:rPr>
        <w:t xml:space="preserve">subjek- </w:t>
      </w:r>
      <w:r>
        <w:rPr>
          <w:color w:val="231F20"/>
        </w:rPr>
        <w:t>tu.</w:t>
      </w:r>
      <w:r>
        <w:rPr>
          <w:color w:val="231F20"/>
          <w:spacing w:val="-5"/>
        </w:rPr>
        <w:t xml:space="preserve"> </w:t>
      </w:r>
      <w:r>
        <w:rPr>
          <w:color w:val="231F20"/>
        </w:rPr>
        <w:t>Dále</w:t>
      </w:r>
      <w:r>
        <w:rPr>
          <w:color w:val="231F20"/>
          <w:spacing w:val="-5"/>
        </w:rPr>
        <w:t xml:space="preserve"> </w:t>
      </w:r>
      <w:r>
        <w:rPr>
          <w:color w:val="231F20"/>
        </w:rPr>
        <w:t>může</w:t>
      </w:r>
      <w:r>
        <w:rPr>
          <w:color w:val="231F20"/>
          <w:spacing w:val="-5"/>
        </w:rPr>
        <w:t xml:space="preserve"> </w:t>
      </w:r>
      <w:r>
        <w:rPr>
          <w:color w:val="231F20"/>
        </w:rPr>
        <w:t>Pojišťovna</w:t>
      </w:r>
      <w:r>
        <w:rPr>
          <w:color w:val="231F20"/>
          <w:spacing w:val="-5"/>
        </w:rPr>
        <w:t xml:space="preserve"> </w:t>
      </w:r>
      <w:r>
        <w:rPr>
          <w:color w:val="231F20"/>
        </w:rPr>
        <w:t>rozhodnout,</w:t>
      </w:r>
      <w:r>
        <w:rPr>
          <w:color w:val="231F20"/>
          <w:spacing w:val="-5"/>
        </w:rPr>
        <w:t xml:space="preserve"> </w:t>
      </w:r>
      <w:r>
        <w:rPr>
          <w:color w:val="231F20"/>
        </w:rPr>
        <w:t>že</w:t>
      </w:r>
      <w:r>
        <w:rPr>
          <w:color w:val="231F20"/>
          <w:spacing w:val="-5"/>
        </w:rPr>
        <w:t xml:space="preserve"> </w:t>
      </w:r>
      <w:r>
        <w:rPr>
          <w:color w:val="231F20"/>
        </w:rPr>
        <w:t>poskytne</w:t>
      </w:r>
      <w:r>
        <w:rPr>
          <w:color w:val="231F20"/>
          <w:spacing w:val="-4"/>
        </w:rPr>
        <w:t xml:space="preserve"> </w:t>
      </w:r>
      <w:r>
        <w:rPr>
          <w:color w:val="231F20"/>
        </w:rPr>
        <w:t>pojistné</w:t>
      </w:r>
      <w:r>
        <w:rPr>
          <w:color w:val="231F20"/>
          <w:spacing w:val="-5"/>
        </w:rPr>
        <w:t xml:space="preserve"> </w:t>
      </w:r>
      <w:r>
        <w:rPr>
          <w:color w:val="231F20"/>
        </w:rPr>
        <w:t>plnění</w:t>
      </w:r>
      <w:r>
        <w:rPr>
          <w:color w:val="231F20"/>
          <w:spacing w:val="-5"/>
        </w:rPr>
        <w:t xml:space="preserve"> </w:t>
      </w:r>
      <w:r>
        <w:rPr>
          <w:color w:val="231F20"/>
        </w:rPr>
        <w:t>jinak,</w:t>
      </w:r>
      <w:r>
        <w:rPr>
          <w:color w:val="231F20"/>
          <w:spacing w:val="-5"/>
        </w:rPr>
        <w:t xml:space="preserve"> </w:t>
      </w:r>
      <w:r>
        <w:rPr>
          <w:color w:val="231F20"/>
        </w:rPr>
        <w:t>než v</w:t>
      </w:r>
      <w:r>
        <w:rPr>
          <w:color w:val="231F20"/>
          <w:spacing w:val="-8"/>
        </w:rPr>
        <w:t xml:space="preserve"> </w:t>
      </w:r>
      <w:r>
        <w:rPr>
          <w:color w:val="231F20"/>
        </w:rPr>
        <w:t>penězích</w:t>
      </w:r>
      <w:r>
        <w:rPr>
          <w:color w:val="231F20"/>
          <w:spacing w:val="-7"/>
        </w:rPr>
        <w:t xml:space="preserve"> </w:t>
      </w:r>
      <w:r>
        <w:rPr>
          <w:color w:val="231F20"/>
        </w:rPr>
        <w:t>nebo</w:t>
      </w:r>
      <w:r>
        <w:rPr>
          <w:color w:val="231F20"/>
          <w:spacing w:val="-8"/>
        </w:rPr>
        <w:t xml:space="preserve"> </w:t>
      </w:r>
      <w:r>
        <w:rPr>
          <w:color w:val="231F20"/>
        </w:rPr>
        <w:t>naturálním</w:t>
      </w:r>
      <w:r>
        <w:rPr>
          <w:color w:val="231F20"/>
          <w:spacing w:val="-7"/>
        </w:rPr>
        <w:t xml:space="preserve"> </w:t>
      </w:r>
      <w:r>
        <w:rPr>
          <w:color w:val="231F20"/>
        </w:rPr>
        <w:t>plněním</w:t>
      </w:r>
      <w:r>
        <w:rPr>
          <w:color w:val="231F20"/>
          <w:spacing w:val="-8"/>
        </w:rPr>
        <w:t xml:space="preserve"> </w:t>
      </w:r>
      <w:r>
        <w:rPr>
          <w:color w:val="231F20"/>
          <w:spacing w:val="-3"/>
        </w:rPr>
        <w:t>(např.</w:t>
      </w:r>
      <w:r>
        <w:rPr>
          <w:color w:val="231F20"/>
          <w:spacing w:val="-7"/>
        </w:rPr>
        <w:t xml:space="preserve"> </w:t>
      </w:r>
      <w:r>
        <w:rPr>
          <w:color w:val="231F20"/>
        </w:rPr>
        <w:t>u</w:t>
      </w:r>
      <w:r>
        <w:rPr>
          <w:color w:val="231F20"/>
          <w:spacing w:val="-8"/>
        </w:rPr>
        <w:t xml:space="preserve"> </w:t>
      </w:r>
      <w:r>
        <w:rPr>
          <w:color w:val="231F20"/>
        </w:rPr>
        <w:t>asistenčních</w:t>
      </w:r>
      <w:r>
        <w:rPr>
          <w:color w:val="231F20"/>
          <w:spacing w:val="-7"/>
        </w:rPr>
        <w:t xml:space="preserve"> </w:t>
      </w:r>
      <w:r>
        <w:rPr>
          <w:color w:val="231F20"/>
        </w:rPr>
        <w:t>služeb).</w:t>
      </w:r>
    </w:p>
    <w:p w14:paraId="6F667EF3"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1"/>
          <w:position w:val="1"/>
          <w:sz w:val="14"/>
        </w:rPr>
        <w:t xml:space="preserve"> </w:t>
      </w:r>
      <w:r>
        <w:rPr>
          <w:color w:val="231F20"/>
        </w:rPr>
        <w:t>Oprávněná osoba je povinna Pojišťovně před výplatou pojistného plnění pro- kázat, že jí svědčí právo na pojistné</w:t>
      </w:r>
      <w:r>
        <w:rPr>
          <w:color w:val="231F20"/>
          <w:spacing w:val="-16"/>
        </w:rPr>
        <w:t xml:space="preserve"> </w:t>
      </w:r>
      <w:r>
        <w:rPr>
          <w:color w:val="231F20"/>
        </w:rPr>
        <w:t>plnění.</w:t>
      </w:r>
    </w:p>
    <w:p w14:paraId="4A212970"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position w:val="1"/>
          <w:sz w:val="14"/>
        </w:rPr>
        <w:t xml:space="preserve"> </w:t>
      </w:r>
      <w:r>
        <w:rPr>
          <w:color w:val="231F20"/>
        </w:rPr>
        <w:t xml:space="preserve">Pokud je vozidlo používáno k jinému účelu, než který je uveden v pojistné smlouvě, může Pojišťovna pojistné plnění snížit. Pojistné plnění sníží </w:t>
      </w:r>
      <w:r>
        <w:rPr>
          <w:color w:val="231F20"/>
          <w:spacing w:val="-4"/>
        </w:rPr>
        <w:t xml:space="preserve">Pojiš- </w:t>
      </w:r>
      <w:r>
        <w:rPr>
          <w:color w:val="231F20"/>
        </w:rPr>
        <w:t>ťovna</w:t>
      </w:r>
      <w:r>
        <w:rPr>
          <w:color w:val="231F20"/>
          <w:spacing w:val="-5"/>
        </w:rPr>
        <w:t xml:space="preserve"> </w:t>
      </w:r>
      <w:r>
        <w:rPr>
          <w:color w:val="231F20"/>
        </w:rPr>
        <w:t>v</w:t>
      </w:r>
      <w:r>
        <w:rPr>
          <w:color w:val="231F20"/>
          <w:spacing w:val="-5"/>
        </w:rPr>
        <w:t xml:space="preserve"> </w:t>
      </w:r>
      <w:r>
        <w:rPr>
          <w:color w:val="231F20"/>
        </w:rPr>
        <w:t>těch</w:t>
      </w:r>
      <w:r>
        <w:rPr>
          <w:color w:val="231F20"/>
          <w:spacing w:val="-4"/>
        </w:rPr>
        <w:t xml:space="preserve"> </w:t>
      </w:r>
      <w:r>
        <w:rPr>
          <w:color w:val="231F20"/>
        </w:rPr>
        <w:t>případech,</w:t>
      </w:r>
      <w:r>
        <w:rPr>
          <w:color w:val="231F20"/>
          <w:spacing w:val="-5"/>
        </w:rPr>
        <w:t xml:space="preserve"> </w:t>
      </w:r>
      <w:r>
        <w:rPr>
          <w:color w:val="231F20"/>
        </w:rPr>
        <w:t>kdy</w:t>
      </w:r>
      <w:r>
        <w:rPr>
          <w:color w:val="231F20"/>
          <w:spacing w:val="-4"/>
        </w:rPr>
        <w:t xml:space="preserve"> </w:t>
      </w:r>
      <w:r>
        <w:rPr>
          <w:color w:val="231F20"/>
        </w:rPr>
        <w:t>bylo</w:t>
      </w:r>
      <w:r>
        <w:rPr>
          <w:color w:val="231F20"/>
          <w:spacing w:val="-5"/>
        </w:rPr>
        <w:t xml:space="preserve"> </w:t>
      </w:r>
      <w:r>
        <w:rPr>
          <w:color w:val="231F20"/>
        </w:rPr>
        <w:t>za</w:t>
      </w:r>
      <w:r>
        <w:rPr>
          <w:color w:val="231F20"/>
          <w:spacing w:val="-5"/>
        </w:rPr>
        <w:t xml:space="preserve"> </w:t>
      </w:r>
      <w:r>
        <w:rPr>
          <w:color w:val="231F20"/>
        </w:rPr>
        <w:t>pojištěné</w:t>
      </w:r>
      <w:r>
        <w:rPr>
          <w:color w:val="231F20"/>
          <w:spacing w:val="-4"/>
        </w:rPr>
        <w:t xml:space="preserve"> </w:t>
      </w:r>
      <w:r>
        <w:rPr>
          <w:color w:val="231F20"/>
        </w:rPr>
        <w:t>vozidlo</w:t>
      </w:r>
      <w:r>
        <w:rPr>
          <w:color w:val="231F20"/>
          <w:spacing w:val="-5"/>
        </w:rPr>
        <w:t xml:space="preserve"> </w:t>
      </w:r>
      <w:r>
        <w:rPr>
          <w:color w:val="231F20"/>
        </w:rPr>
        <w:t>placeno</w:t>
      </w:r>
      <w:r>
        <w:rPr>
          <w:color w:val="231F20"/>
          <w:spacing w:val="-4"/>
        </w:rPr>
        <w:t xml:space="preserve"> </w:t>
      </w:r>
      <w:r>
        <w:rPr>
          <w:color w:val="231F20"/>
        </w:rPr>
        <w:t>nižší</w:t>
      </w:r>
      <w:r>
        <w:rPr>
          <w:color w:val="231F20"/>
          <w:spacing w:val="-5"/>
        </w:rPr>
        <w:t xml:space="preserve"> </w:t>
      </w:r>
      <w:r>
        <w:rPr>
          <w:color w:val="231F20"/>
        </w:rPr>
        <w:t>pojistné, než</w:t>
      </w:r>
      <w:r>
        <w:rPr>
          <w:color w:val="231F20"/>
          <w:spacing w:val="-13"/>
        </w:rPr>
        <w:t xml:space="preserve"> </w:t>
      </w:r>
      <w:r>
        <w:rPr>
          <w:color w:val="231F20"/>
        </w:rPr>
        <w:t>podle</w:t>
      </w:r>
      <w:r>
        <w:rPr>
          <w:color w:val="231F20"/>
          <w:spacing w:val="-12"/>
        </w:rPr>
        <w:t xml:space="preserve"> </w:t>
      </w:r>
      <w:r>
        <w:rPr>
          <w:color w:val="231F20"/>
        </w:rPr>
        <w:t>jeho</w:t>
      </w:r>
      <w:r>
        <w:rPr>
          <w:color w:val="231F20"/>
          <w:spacing w:val="-12"/>
        </w:rPr>
        <w:t xml:space="preserve"> </w:t>
      </w:r>
      <w:r>
        <w:rPr>
          <w:color w:val="231F20"/>
        </w:rPr>
        <w:t>skutečného</w:t>
      </w:r>
      <w:r>
        <w:rPr>
          <w:color w:val="231F20"/>
          <w:spacing w:val="-12"/>
        </w:rPr>
        <w:t xml:space="preserve"> </w:t>
      </w:r>
      <w:r>
        <w:rPr>
          <w:color w:val="231F20"/>
        </w:rPr>
        <w:t>účelu</w:t>
      </w:r>
      <w:r>
        <w:rPr>
          <w:color w:val="231F20"/>
          <w:spacing w:val="-12"/>
        </w:rPr>
        <w:t xml:space="preserve"> </w:t>
      </w:r>
      <w:r>
        <w:rPr>
          <w:color w:val="231F20"/>
        </w:rPr>
        <w:t>používání</w:t>
      </w:r>
      <w:r>
        <w:rPr>
          <w:color w:val="231F20"/>
          <w:spacing w:val="-13"/>
        </w:rPr>
        <w:t xml:space="preserve"> </w:t>
      </w:r>
      <w:r>
        <w:rPr>
          <w:color w:val="231F20"/>
        </w:rPr>
        <w:t>placeno</w:t>
      </w:r>
      <w:r>
        <w:rPr>
          <w:color w:val="231F20"/>
          <w:spacing w:val="-12"/>
        </w:rPr>
        <w:t xml:space="preserve"> </w:t>
      </w:r>
      <w:r>
        <w:rPr>
          <w:color w:val="231F20"/>
        </w:rPr>
        <w:t>být</w:t>
      </w:r>
      <w:r>
        <w:rPr>
          <w:color w:val="231F20"/>
          <w:spacing w:val="-12"/>
        </w:rPr>
        <w:t xml:space="preserve"> </w:t>
      </w:r>
      <w:r>
        <w:rPr>
          <w:color w:val="231F20"/>
        </w:rPr>
        <w:t>mělo.</w:t>
      </w:r>
      <w:r>
        <w:rPr>
          <w:color w:val="231F20"/>
          <w:spacing w:val="-12"/>
        </w:rPr>
        <w:t xml:space="preserve"> </w:t>
      </w:r>
      <w:r>
        <w:rPr>
          <w:color w:val="231F20"/>
        </w:rPr>
        <w:t>Pojistné</w:t>
      </w:r>
      <w:r>
        <w:rPr>
          <w:color w:val="231F20"/>
          <w:spacing w:val="-12"/>
        </w:rPr>
        <w:t xml:space="preserve"> </w:t>
      </w:r>
      <w:r>
        <w:rPr>
          <w:color w:val="231F20"/>
          <w:spacing w:val="-3"/>
        </w:rPr>
        <w:t xml:space="preserve">plnění </w:t>
      </w:r>
      <w:r>
        <w:rPr>
          <w:color w:val="231F20"/>
        </w:rPr>
        <w:t>Pojišťovna</w:t>
      </w:r>
      <w:r>
        <w:rPr>
          <w:color w:val="231F20"/>
          <w:spacing w:val="-21"/>
        </w:rPr>
        <w:t xml:space="preserve"> </w:t>
      </w:r>
      <w:r>
        <w:rPr>
          <w:color w:val="231F20"/>
        </w:rPr>
        <w:t>sníží</w:t>
      </w:r>
      <w:r>
        <w:rPr>
          <w:color w:val="231F20"/>
          <w:spacing w:val="-20"/>
        </w:rPr>
        <w:t xml:space="preserve"> </w:t>
      </w:r>
      <w:r>
        <w:rPr>
          <w:color w:val="231F20"/>
        </w:rPr>
        <w:t>o</w:t>
      </w:r>
      <w:r>
        <w:rPr>
          <w:color w:val="231F20"/>
          <w:spacing w:val="-20"/>
        </w:rPr>
        <w:t xml:space="preserve"> </w:t>
      </w:r>
      <w:r>
        <w:rPr>
          <w:color w:val="231F20"/>
        </w:rPr>
        <w:t>takovou</w:t>
      </w:r>
      <w:r>
        <w:rPr>
          <w:color w:val="231F20"/>
          <w:spacing w:val="-20"/>
        </w:rPr>
        <w:t xml:space="preserve"> </w:t>
      </w:r>
      <w:r>
        <w:rPr>
          <w:color w:val="231F20"/>
        </w:rPr>
        <w:t>část,</w:t>
      </w:r>
      <w:r>
        <w:rPr>
          <w:color w:val="231F20"/>
          <w:spacing w:val="-20"/>
        </w:rPr>
        <w:t xml:space="preserve"> </w:t>
      </w:r>
      <w:r>
        <w:rPr>
          <w:color w:val="231F20"/>
        </w:rPr>
        <w:t>jaký</w:t>
      </w:r>
      <w:r>
        <w:rPr>
          <w:color w:val="231F20"/>
          <w:spacing w:val="-20"/>
        </w:rPr>
        <w:t xml:space="preserve"> </w:t>
      </w:r>
      <w:r>
        <w:rPr>
          <w:color w:val="231F20"/>
        </w:rPr>
        <w:t>je</w:t>
      </w:r>
      <w:r>
        <w:rPr>
          <w:color w:val="231F20"/>
          <w:spacing w:val="-20"/>
        </w:rPr>
        <w:t xml:space="preserve"> </w:t>
      </w:r>
      <w:r>
        <w:rPr>
          <w:color w:val="231F20"/>
        </w:rPr>
        <w:t>poměr</w:t>
      </w:r>
      <w:r>
        <w:rPr>
          <w:color w:val="231F20"/>
          <w:spacing w:val="-20"/>
        </w:rPr>
        <w:t xml:space="preserve"> </w:t>
      </w:r>
      <w:r>
        <w:rPr>
          <w:color w:val="231F20"/>
        </w:rPr>
        <w:t>pojistného,</w:t>
      </w:r>
      <w:r>
        <w:rPr>
          <w:color w:val="231F20"/>
          <w:spacing w:val="-20"/>
        </w:rPr>
        <w:t xml:space="preserve"> </w:t>
      </w:r>
      <w:r>
        <w:rPr>
          <w:color w:val="231F20"/>
        </w:rPr>
        <w:t>které</w:t>
      </w:r>
      <w:r>
        <w:rPr>
          <w:color w:val="231F20"/>
          <w:spacing w:val="-20"/>
        </w:rPr>
        <w:t xml:space="preserve"> </w:t>
      </w:r>
      <w:r>
        <w:rPr>
          <w:color w:val="231F20"/>
        </w:rPr>
        <w:t>obdržela,</w:t>
      </w:r>
      <w:r>
        <w:rPr>
          <w:color w:val="231F20"/>
          <w:spacing w:val="-20"/>
        </w:rPr>
        <w:t xml:space="preserve"> </w:t>
      </w:r>
      <w:r>
        <w:rPr>
          <w:color w:val="231F20"/>
        </w:rPr>
        <w:t>k</w:t>
      </w:r>
      <w:r>
        <w:rPr>
          <w:color w:val="231F20"/>
          <w:spacing w:val="-20"/>
        </w:rPr>
        <w:t xml:space="preserve"> </w:t>
      </w:r>
      <w:r>
        <w:rPr>
          <w:color w:val="231F20"/>
        </w:rPr>
        <w:t>po- jistnému,</w:t>
      </w:r>
      <w:r>
        <w:rPr>
          <w:color w:val="231F20"/>
          <w:spacing w:val="-22"/>
        </w:rPr>
        <w:t xml:space="preserve"> </w:t>
      </w:r>
      <w:r>
        <w:rPr>
          <w:color w:val="231F20"/>
        </w:rPr>
        <w:t>které</w:t>
      </w:r>
      <w:r>
        <w:rPr>
          <w:color w:val="231F20"/>
          <w:spacing w:val="-21"/>
        </w:rPr>
        <w:t xml:space="preserve"> </w:t>
      </w:r>
      <w:r>
        <w:rPr>
          <w:color w:val="231F20"/>
        </w:rPr>
        <w:t>obdržet</w:t>
      </w:r>
      <w:r>
        <w:rPr>
          <w:color w:val="231F20"/>
          <w:spacing w:val="-21"/>
        </w:rPr>
        <w:t xml:space="preserve"> </w:t>
      </w:r>
      <w:r>
        <w:rPr>
          <w:color w:val="231F20"/>
        </w:rPr>
        <w:t>měla.</w:t>
      </w:r>
      <w:r>
        <w:rPr>
          <w:color w:val="231F20"/>
          <w:spacing w:val="-21"/>
        </w:rPr>
        <w:t xml:space="preserve"> </w:t>
      </w:r>
      <w:r>
        <w:rPr>
          <w:color w:val="231F20"/>
          <w:spacing w:val="-9"/>
        </w:rPr>
        <w:t>To</w:t>
      </w:r>
      <w:r>
        <w:rPr>
          <w:color w:val="231F20"/>
          <w:spacing w:val="-21"/>
        </w:rPr>
        <w:t xml:space="preserve"> </w:t>
      </w:r>
      <w:r>
        <w:rPr>
          <w:color w:val="231F20"/>
        </w:rPr>
        <w:t>neplatí</w:t>
      </w:r>
      <w:r>
        <w:rPr>
          <w:color w:val="231F20"/>
          <w:spacing w:val="-21"/>
        </w:rPr>
        <w:t xml:space="preserve"> </w:t>
      </w:r>
      <w:r>
        <w:rPr>
          <w:color w:val="231F20"/>
        </w:rPr>
        <w:t>pro</w:t>
      </w:r>
      <w:r>
        <w:rPr>
          <w:color w:val="231F20"/>
          <w:spacing w:val="-21"/>
        </w:rPr>
        <w:t xml:space="preserve"> </w:t>
      </w:r>
      <w:r>
        <w:rPr>
          <w:color w:val="231F20"/>
        </w:rPr>
        <w:t>povinné</w:t>
      </w:r>
      <w:r>
        <w:rPr>
          <w:color w:val="231F20"/>
          <w:spacing w:val="-21"/>
        </w:rPr>
        <w:t xml:space="preserve"> </w:t>
      </w:r>
      <w:r>
        <w:rPr>
          <w:color w:val="231F20"/>
        </w:rPr>
        <w:t>ručení.</w:t>
      </w:r>
      <w:r>
        <w:rPr>
          <w:color w:val="231F20"/>
          <w:spacing w:val="-21"/>
        </w:rPr>
        <w:t xml:space="preserve"> </w:t>
      </w:r>
      <w:r>
        <w:rPr>
          <w:color w:val="231F20"/>
        </w:rPr>
        <w:t>Pokud</w:t>
      </w:r>
      <w:r>
        <w:rPr>
          <w:color w:val="231F20"/>
          <w:spacing w:val="-21"/>
        </w:rPr>
        <w:t xml:space="preserve"> </w:t>
      </w:r>
      <w:r>
        <w:rPr>
          <w:color w:val="231F20"/>
        </w:rPr>
        <w:t>se</w:t>
      </w:r>
      <w:r>
        <w:rPr>
          <w:color w:val="231F20"/>
          <w:spacing w:val="-21"/>
        </w:rPr>
        <w:t xml:space="preserve"> </w:t>
      </w:r>
      <w:r>
        <w:rPr>
          <w:color w:val="231F20"/>
        </w:rPr>
        <w:t>o</w:t>
      </w:r>
      <w:r>
        <w:rPr>
          <w:color w:val="231F20"/>
          <w:spacing w:val="-22"/>
        </w:rPr>
        <w:t xml:space="preserve"> </w:t>
      </w:r>
      <w:r>
        <w:rPr>
          <w:color w:val="231F20"/>
        </w:rPr>
        <w:t>tom,</w:t>
      </w:r>
      <w:r>
        <w:rPr>
          <w:color w:val="231F20"/>
          <w:spacing w:val="-21"/>
        </w:rPr>
        <w:t xml:space="preserve"> </w:t>
      </w:r>
      <w:r>
        <w:rPr>
          <w:color w:val="231F20"/>
          <w:spacing w:val="-7"/>
        </w:rPr>
        <w:t xml:space="preserve">že </w:t>
      </w:r>
      <w:r>
        <w:rPr>
          <w:color w:val="231F20"/>
        </w:rPr>
        <w:t>je</w:t>
      </w:r>
      <w:r>
        <w:rPr>
          <w:color w:val="231F20"/>
          <w:spacing w:val="-16"/>
        </w:rPr>
        <w:t xml:space="preserve"> </w:t>
      </w:r>
      <w:r>
        <w:rPr>
          <w:color w:val="231F20"/>
        </w:rPr>
        <w:t>vozidlo</w:t>
      </w:r>
      <w:r>
        <w:rPr>
          <w:color w:val="231F20"/>
          <w:spacing w:val="-17"/>
        </w:rPr>
        <w:t xml:space="preserve"> </w:t>
      </w:r>
      <w:r>
        <w:rPr>
          <w:color w:val="231F20"/>
        </w:rPr>
        <w:t>používáno</w:t>
      </w:r>
      <w:r>
        <w:rPr>
          <w:color w:val="231F20"/>
          <w:spacing w:val="-16"/>
        </w:rPr>
        <w:t xml:space="preserve"> </w:t>
      </w:r>
      <w:r>
        <w:rPr>
          <w:color w:val="231F20"/>
        </w:rPr>
        <w:t>k</w:t>
      </w:r>
      <w:r>
        <w:rPr>
          <w:color w:val="231F20"/>
          <w:spacing w:val="-17"/>
        </w:rPr>
        <w:t xml:space="preserve"> </w:t>
      </w:r>
      <w:r>
        <w:rPr>
          <w:color w:val="231F20"/>
        </w:rPr>
        <w:t>jinému</w:t>
      </w:r>
      <w:r>
        <w:rPr>
          <w:color w:val="231F20"/>
          <w:spacing w:val="-15"/>
        </w:rPr>
        <w:t xml:space="preserve"> </w:t>
      </w:r>
      <w:r>
        <w:rPr>
          <w:color w:val="231F20"/>
        </w:rPr>
        <w:t>účelu</w:t>
      </w:r>
      <w:r>
        <w:rPr>
          <w:color w:val="231F20"/>
          <w:spacing w:val="-17"/>
        </w:rPr>
        <w:t xml:space="preserve"> </w:t>
      </w:r>
      <w:r>
        <w:rPr>
          <w:color w:val="231F20"/>
        </w:rPr>
        <w:t>dozví</w:t>
      </w:r>
      <w:r>
        <w:rPr>
          <w:color w:val="231F20"/>
          <w:spacing w:val="-16"/>
        </w:rPr>
        <w:t xml:space="preserve"> </w:t>
      </w:r>
      <w:r>
        <w:rPr>
          <w:color w:val="231F20"/>
        </w:rPr>
        <w:t>Pojišťovna</w:t>
      </w:r>
      <w:r>
        <w:rPr>
          <w:color w:val="231F20"/>
          <w:spacing w:val="-16"/>
        </w:rPr>
        <w:t xml:space="preserve"> </w:t>
      </w:r>
      <w:r>
        <w:rPr>
          <w:color w:val="231F20"/>
        </w:rPr>
        <w:t>až</w:t>
      </w:r>
      <w:r>
        <w:rPr>
          <w:color w:val="231F20"/>
          <w:spacing w:val="-16"/>
        </w:rPr>
        <w:t xml:space="preserve"> </w:t>
      </w:r>
      <w:r>
        <w:rPr>
          <w:color w:val="231F20"/>
        </w:rPr>
        <w:t>po</w:t>
      </w:r>
      <w:r>
        <w:rPr>
          <w:color w:val="231F20"/>
          <w:spacing w:val="-17"/>
        </w:rPr>
        <w:t xml:space="preserve"> </w:t>
      </w:r>
      <w:r>
        <w:rPr>
          <w:color w:val="231F20"/>
        </w:rPr>
        <w:t>výplatě</w:t>
      </w:r>
      <w:r>
        <w:rPr>
          <w:color w:val="231F20"/>
          <w:spacing w:val="-15"/>
        </w:rPr>
        <w:t xml:space="preserve"> </w:t>
      </w:r>
      <w:r>
        <w:rPr>
          <w:color w:val="231F20"/>
        </w:rPr>
        <w:t>pojistného plnění,</w:t>
      </w:r>
      <w:r>
        <w:rPr>
          <w:color w:val="231F20"/>
          <w:spacing w:val="-4"/>
        </w:rPr>
        <w:t xml:space="preserve"> </w:t>
      </w:r>
      <w:r>
        <w:rPr>
          <w:color w:val="231F20"/>
        </w:rPr>
        <w:t>vzniká</w:t>
      </w:r>
      <w:r>
        <w:rPr>
          <w:color w:val="231F20"/>
          <w:spacing w:val="-3"/>
        </w:rPr>
        <w:t xml:space="preserve"> </w:t>
      </w:r>
      <w:r>
        <w:rPr>
          <w:color w:val="231F20"/>
        </w:rPr>
        <w:t>oprávněné</w:t>
      </w:r>
      <w:r>
        <w:rPr>
          <w:color w:val="231F20"/>
          <w:spacing w:val="-4"/>
        </w:rPr>
        <w:t xml:space="preserve"> </w:t>
      </w:r>
      <w:r>
        <w:rPr>
          <w:color w:val="231F20"/>
        </w:rPr>
        <w:t>osobě</w:t>
      </w:r>
      <w:r>
        <w:rPr>
          <w:color w:val="231F20"/>
          <w:spacing w:val="-3"/>
        </w:rPr>
        <w:t xml:space="preserve"> </w:t>
      </w:r>
      <w:r>
        <w:rPr>
          <w:color w:val="231F20"/>
        </w:rPr>
        <w:t>povinnost</w:t>
      </w:r>
      <w:r>
        <w:rPr>
          <w:color w:val="231F20"/>
          <w:spacing w:val="-4"/>
        </w:rPr>
        <w:t xml:space="preserve"> </w:t>
      </w:r>
      <w:r>
        <w:rPr>
          <w:color w:val="231F20"/>
        </w:rPr>
        <w:t>na</w:t>
      </w:r>
      <w:r>
        <w:rPr>
          <w:color w:val="231F20"/>
          <w:spacing w:val="-3"/>
        </w:rPr>
        <w:t xml:space="preserve"> </w:t>
      </w:r>
      <w:r>
        <w:rPr>
          <w:color w:val="231F20"/>
        </w:rPr>
        <w:t>výzvu</w:t>
      </w:r>
      <w:r>
        <w:rPr>
          <w:color w:val="231F20"/>
          <w:spacing w:val="-4"/>
        </w:rPr>
        <w:t xml:space="preserve"> </w:t>
      </w:r>
      <w:r>
        <w:rPr>
          <w:color w:val="231F20"/>
        </w:rPr>
        <w:t>Pojišťovny</w:t>
      </w:r>
      <w:r>
        <w:rPr>
          <w:color w:val="231F20"/>
          <w:spacing w:val="-3"/>
        </w:rPr>
        <w:t xml:space="preserve"> </w:t>
      </w:r>
      <w:r>
        <w:rPr>
          <w:color w:val="231F20"/>
        </w:rPr>
        <w:t>vrátit</w:t>
      </w:r>
      <w:r>
        <w:rPr>
          <w:color w:val="231F20"/>
          <w:spacing w:val="-4"/>
        </w:rPr>
        <w:t xml:space="preserve"> </w:t>
      </w:r>
      <w:r>
        <w:rPr>
          <w:color w:val="231F20"/>
        </w:rPr>
        <w:t>tu</w:t>
      </w:r>
      <w:r>
        <w:rPr>
          <w:color w:val="231F20"/>
          <w:spacing w:val="-3"/>
        </w:rPr>
        <w:t xml:space="preserve"> část </w:t>
      </w:r>
      <w:r>
        <w:rPr>
          <w:color w:val="231F20"/>
        </w:rPr>
        <w:t>pojistného</w:t>
      </w:r>
      <w:r>
        <w:rPr>
          <w:color w:val="231F20"/>
          <w:spacing w:val="-14"/>
        </w:rPr>
        <w:t xml:space="preserve"> </w:t>
      </w:r>
      <w:r>
        <w:rPr>
          <w:color w:val="231F20"/>
        </w:rPr>
        <w:t>plnění,</w:t>
      </w:r>
      <w:r>
        <w:rPr>
          <w:color w:val="231F20"/>
          <w:spacing w:val="-13"/>
        </w:rPr>
        <w:t xml:space="preserve"> </w:t>
      </w:r>
      <w:r>
        <w:rPr>
          <w:color w:val="231F20"/>
        </w:rPr>
        <w:t>o</w:t>
      </w:r>
      <w:r>
        <w:rPr>
          <w:color w:val="231F20"/>
          <w:spacing w:val="-14"/>
        </w:rPr>
        <w:t xml:space="preserve"> </w:t>
      </w:r>
      <w:r>
        <w:rPr>
          <w:color w:val="231F20"/>
        </w:rPr>
        <w:t>kterou</w:t>
      </w:r>
      <w:r>
        <w:rPr>
          <w:color w:val="231F20"/>
          <w:spacing w:val="-13"/>
        </w:rPr>
        <w:t xml:space="preserve"> </w:t>
      </w:r>
      <w:r>
        <w:rPr>
          <w:color w:val="231F20"/>
        </w:rPr>
        <w:t>by</w:t>
      </w:r>
      <w:r>
        <w:rPr>
          <w:color w:val="231F20"/>
          <w:spacing w:val="-14"/>
        </w:rPr>
        <w:t xml:space="preserve"> </w:t>
      </w:r>
      <w:r>
        <w:rPr>
          <w:color w:val="231F20"/>
        </w:rPr>
        <w:t>Pojišťovna</w:t>
      </w:r>
      <w:r>
        <w:rPr>
          <w:color w:val="231F20"/>
          <w:spacing w:val="-13"/>
        </w:rPr>
        <w:t xml:space="preserve"> </w:t>
      </w:r>
      <w:r>
        <w:rPr>
          <w:color w:val="231F20"/>
        </w:rPr>
        <w:t>plnění</w:t>
      </w:r>
      <w:r>
        <w:rPr>
          <w:color w:val="231F20"/>
          <w:spacing w:val="-13"/>
        </w:rPr>
        <w:t xml:space="preserve"> </w:t>
      </w:r>
      <w:r>
        <w:rPr>
          <w:color w:val="231F20"/>
        </w:rPr>
        <w:t>podle</w:t>
      </w:r>
      <w:r>
        <w:rPr>
          <w:color w:val="231F20"/>
          <w:spacing w:val="-14"/>
        </w:rPr>
        <w:t xml:space="preserve"> </w:t>
      </w:r>
      <w:r>
        <w:rPr>
          <w:color w:val="231F20"/>
        </w:rPr>
        <w:t>tohoto</w:t>
      </w:r>
      <w:r>
        <w:rPr>
          <w:color w:val="231F20"/>
          <w:spacing w:val="-13"/>
        </w:rPr>
        <w:t xml:space="preserve"> </w:t>
      </w:r>
      <w:r>
        <w:rPr>
          <w:color w:val="231F20"/>
        </w:rPr>
        <w:t>článku</w:t>
      </w:r>
      <w:r>
        <w:rPr>
          <w:color w:val="231F20"/>
          <w:spacing w:val="-14"/>
        </w:rPr>
        <w:t xml:space="preserve"> </w:t>
      </w:r>
      <w:r>
        <w:rPr>
          <w:color w:val="231F20"/>
        </w:rPr>
        <w:t>snížila.</w:t>
      </w:r>
    </w:p>
    <w:p w14:paraId="753F7C96"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6</w:t>
      </w:r>
      <w:r>
        <w:rPr>
          <w:color w:val="231F20"/>
          <w:position w:val="1"/>
          <w:sz w:val="14"/>
        </w:rPr>
        <w:t xml:space="preserve"> </w:t>
      </w:r>
      <w:r>
        <w:rPr>
          <w:color w:val="231F20"/>
        </w:rPr>
        <w:t xml:space="preserve">Bude-li pojistná částka v době pojistné události nižší než pojistná </w:t>
      </w:r>
      <w:r>
        <w:rPr>
          <w:color w:val="231F20"/>
          <w:spacing w:val="-3"/>
        </w:rPr>
        <w:t xml:space="preserve">hodnota </w:t>
      </w:r>
      <w:r>
        <w:rPr>
          <w:color w:val="231F20"/>
        </w:rPr>
        <w:t>pojištěného</w:t>
      </w:r>
      <w:r>
        <w:rPr>
          <w:color w:val="231F20"/>
          <w:spacing w:val="-21"/>
        </w:rPr>
        <w:t xml:space="preserve"> </w:t>
      </w:r>
      <w:r>
        <w:rPr>
          <w:color w:val="231F20"/>
        </w:rPr>
        <w:t>vozidla</w:t>
      </w:r>
      <w:r>
        <w:rPr>
          <w:color w:val="231F20"/>
          <w:spacing w:val="-20"/>
        </w:rPr>
        <w:t xml:space="preserve"> </w:t>
      </w:r>
      <w:r>
        <w:rPr>
          <w:color w:val="231F20"/>
        </w:rPr>
        <w:t>(podpojištění),</w:t>
      </w:r>
      <w:r>
        <w:rPr>
          <w:color w:val="231F20"/>
          <w:spacing w:val="-21"/>
        </w:rPr>
        <w:t xml:space="preserve"> </w:t>
      </w:r>
      <w:r>
        <w:rPr>
          <w:color w:val="231F20"/>
        </w:rPr>
        <w:t>sníží</w:t>
      </w:r>
      <w:r>
        <w:rPr>
          <w:color w:val="231F20"/>
          <w:spacing w:val="-20"/>
        </w:rPr>
        <w:t xml:space="preserve"> </w:t>
      </w:r>
      <w:r>
        <w:rPr>
          <w:color w:val="231F20"/>
        </w:rPr>
        <w:t>Pojišťovna</w:t>
      </w:r>
      <w:r>
        <w:rPr>
          <w:color w:val="231F20"/>
          <w:spacing w:val="-21"/>
        </w:rPr>
        <w:t xml:space="preserve"> </w:t>
      </w:r>
      <w:r>
        <w:rPr>
          <w:color w:val="231F20"/>
        </w:rPr>
        <w:t>pojistné</w:t>
      </w:r>
      <w:r>
        <w:rPr>
          <w:color w:val="231F20"/>
          <w:spacing w:val="-20"/>
        </w:rPr>
        <w:t xml:space="preserve"> </w:t>
      </w:r>
      <w:r>
        <w:rPr>
          <w:color w:val="231F20"/>
        </w:rPr>
        <w:t>plnění</w:t>
      </w:r>
      <w:r>
        <w:rPr>
          <w:color w:val="231F20"/>
          <w:spacing w:val="-20"/>
        </w:rPr>
        <w:t xml:space="preserve"> </w:t>
      </w:r>
      <w:r>
        <w:rPr>
          <w:color w:val="231F20"/>
        </w:rPr>
        <w:t>ve</w:t>
      </w:r>
      <w:r>
        <w:rPr>
          <w:color w:val="231F20"/>
          <w:spacing w:val="-21"/>
        </w:rPr>
        <w:t xml:space="preserve"> </w:t>
      </w:r>
      <w:r>
        <w:rPr>
          <w:color w:val="231F20"/>
        </w:rPr>
        <w:t>stejném poměru, v jakém je výše pojistné částky ke skutečné výši pojistné hodnoty pojištěného vozidla, nedohodnou-li se strany</w:t>
      </w:r>
      <w:r>
        <w:rPr>
          <w:color w:val="231F20"/>
          <w:spacing w:val="-12"/>
        </w:rPr>
        <w:t xml:space="preserve"> </w:t>
      </w:r>
      <w:r>
        <w:rPr>
          <w:color w:val="231F20"/>
        </w:rPr>
        <w:t>jinak.</w:t>
      </w:r>
    </w:p>
    <w:p w14:paraId="1F9B6A99"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 xml:space="preserve">7  </w:t>
      </w:r>
      <w:r>
        <w:rPr>
          <w:color w:val="231F20"/>
          <w:position w:val="1"/>
          <w:sz w:val="14"/>
        </w:rPr>
        <w:t xml:space="preserve">  </w:t>
      </w:r>
      <w:r>
        <w:rPr>
          <w:color w:val="231F20"/>
        </w:rPr>
        <w:t>Je-li oprávněná osoba plátcem daně z přidané hodnoty (dále jen „DPH“)    a</w:t>
      </w:r>
      <w:r>
        <w:rPr>
          <w:color w:val="231F20"/>
          <w:spacing w:val="-15"/>
        </w:rPr>
        <w:t xml:space="preserve"> </w:t>
      </w:r>
      <w:r>
        <w:rPr>
          <w:color w:val="231F20"/>
        </w:rPr>
        <w:t>má</w:t>
      </w:r>
      <w:r>
        <w:rPr>
          <w:color w:val="231F20"/>
          <w:spacing w:val="-14"/>
        </w:rPr>
        <w:t xml:space="preserve"> </w:t>
      </w:r>
      <w:r>
        <w:rPr>
          <w:color w:val="231F20"/>
        </w:rPr>
        <w:t>ze</w:t>
      </w:r>
      <w:r>
        <w:rPr>
          <w:color w:val="231F20"/>
          <w:spacing w:val="-14"/>
        </w:rPr>
        <w:t xml:space="preserve"> </w:t>
      </w:r>
      <w:r>
        <w:rPr>
          <w:color w:val="231F20"/>
        </w:rPr>
        <w:t>zákona</w:t>
      </w:r>
      <w:r>
        <w:rPr>
          <w:color w:val="231F20"/>
          <w:spacing w:val="-14"/>
        </w:rPr>
        <w:t xml:space="preserve"> </w:t>
      </w:r>
      <w:r>
        <w:rPr>
          <w:color w:val="231F20"/>
        </w:rPr>
        <w:t>nárok</w:t>
      </w:r>
      <w:r>
        <w:rPr>
          <w:color w:val="231F20"/>
          <w:spacing w:val="-14"/>
        </w:rPr>
        <w:t xml:space="preserve"> </w:t>
      </w:r>
      <w:r>
        <w:rPr>
          <w:color w:val="231F20"/>
        </w:rPr>
        <w:t>na</w:t>
      </w:r>
      <w:r>
        <w:rPr>
          <w:color w:val="231F20"/>
          <w:spacing w:val="-14"/>
        </w:rPr>
        <w:t xml:space="preserve"> </w:t>
      </w:r>
      <w:r>
        <w:rPr>
          <w:color w:val="231F20"/>
        </w:rPr>
        <w:t>odpočet</w:t>
      </w:r>
      <w:r>
        <w:rPr>
          <w:color w:val="231F20"/>
          <w:spacing w:val="-14"/>
        </w:rPr>
        <w:t xml:space="preserve"> </w:t>
      </w:r>
      <w:r>
        <w:rPr>
          <w:color w:val="231F20"/>
        </w:rPr>
        <w:t>příslušné</w:t>
      </w:r>
      <w:r>
        <w:rPr>
          <w:color w:val="231F20"/>
          <w:spacing w:val="-14"/>
        </w:rPr>
        <w:t xml:space="preserve"> </w:t>
      </w:r>
      <w:r>
        <w:rPr>
          <w:color w:val="231F20"/>
        </w:rPr>
        <w:t>sazby</w:t>
      </w:r>
      <w:r>
        <w:rPr>
          <w:color w:val="231F20"/>
          <w:spacing w:val="-14"/>
        </w:rPr>
        <w:t xml:space="preserve"> </w:t>
      </w:r>
      <w:r>
        <w:rPr>
          <w:color w:val="231F20"/>
        </w:rPr>
        <w:t>DPH,</w:t>
      </w:r>
      <w:r>
        <w:rPr>
          <w:color w:val="231F20"/>
          <w:spacing w:val="-14"/>
        </w:rPr>
        <w:t xml:space="preserve"> </w:t>
      </w:r>
      <w:r>
        <w:rPr>
          <w:color w:val="231F20"/>
        </w:rPr>
        <w:t>poskytne</w:t>
      </w:r>
      <w:r>
        <w:rPr>
          <w:color w:val="231F20"/>
          <w:spacing w:val="-13"/>
        </w:rPr>
        <w:t xml:space="preserve"> </w:t>
      </w:r>
      <w:r>
        <w:rPr>
          <w:color w:val="231F20"/>
        </w:rPr>
        <w:t>Pojišťovna oprávněné</w:t>
      </w:r>
      <w:r>
        <w:rPr>
          <w:color w:val="231F20"/>
          <w:spacing w:val="-24"/>
        </w:rPr>
        <w:t xml:space="preserve"> </w:t>
      </w:r>
      <w:r>
        <w:rPr>
          <w:color w:val="231F20"/>
        </w:rPr>
        <w:t>osobě</w:t>
      </w:r>
      <w:r>
        <w:rPr>
          <w:color w:val="231F20"/>
          <w:spacing w:val="-23"/>
        </w:rPr>
        <w:t xml:space="preserve"> </w:t>
      </w:r>
      <w:r>
        <w:rPr>
          <w:color w:val="231F20"/>
        </w:rPr>
        <w:t>plnění</w:t>
      </w:r>
      <w:r>
        <w:rPr>
          <w:color w:val="231F20"/>
          <w:spacing w:val="-23"/>
        </w:rPr>
        <w:t xml:space="preserve"> </w:t>
      </w:r>
      <w:r>
        <w:rPr>
          <w:color w:val="231F20"/>
        </w:rPr>
        <w:t>bez</w:t>
      </w:r>
      <w:r>
        <w:rPr>
          <w:color w:val="231F20"/>
          <w:spacing w:val="-24"/>
        </w:rPr>
        <w:t xml:space="preserve"> </w:t>
      </w:r>
      <w:r>
        <w:rPr>
          <w:color w:val="231F20"/>
        </w:rPr>
        <w:t>DPH;</w:t>
      </w:r>
      <w:r>
        <w:rPr>
          <w:color w:val="231F20"/>
          <w:spacing w:val="-23"/>
        </w:rPr>
        <w:t xml:space="preserve"> </w:t>
      </w:r>
      <w:r>
        <w:rPr>
          <w:color w:val="231F20"/>
        </w:rPr>
        <w:t>v</w:t>
      </w:r>
      <w:r>
        <w:rPr>
          <w:color w:val="231F20"/>
          <w:spacing w:val="-23"/>
        </w:rPr>
        <w:t xml:space="preserve"> </w:t>
      </w:r>
      <w:r>
        <w:rPr>
          <w:color w:val="231F20"/>
        </w:rPr>
        <w:t>ostatních</w:t>
      </w:r>
      <w:r>
        <w:rPr>
          <w:color w:val="231F20"/>
          <w:spacing w:val="-23"/>
        </w:rPr>
        <w:t xml:space="preserve"> </w:t>
      </w:r>
      <w:r>
        <w:rPr>
          <w:color w:val="231F20"/>
        </w:rPr>
        <w:t>případech</w:t>
      </w:r>
      <w:r>
        <w:rPr>
          <w:color w:val="231F20"/>
          <w:spacing w:val="-24"/>
        </w:rPr>
        <w:t xml:space="preserve"> </w:t>
      </w:r>
      <w:r>
        <w:rPr>
          <w:color w:val="231F20"/>
        </w:rPr>
        <w:t>poskytuje</w:t>
      </w:r>
      <w:r>
        <w:rPr>
          <w:color w:val="231F20"/>
          <w:spacing w:val="-23"/>
        </w:rPr>
        <w:t xml:space="preserve"> </w:t>
      </w:r>
      <w:r>
        <w:rPr>
          <w:color w:val="231F20"/>
        </w:rPr>
        <w:t>Pojišťovna plnění</w:t>
      </w:r>
      <w:r>
        <w:rPr>
          <w:color w:val="231F20"/>
          <w:spacing w:val="-6"/>
        </w:rPr>
        <w:t xml:space="preserve"> </w:t>
      </w:r>
      <w:r>
        <w:rPr>
          <w:color w:val="231F20"/>
        </w:rPr>
        <w:t>včetně</w:t>
      </w:r>
      <w:r>
        <w:rPr>
          <w:color w:val="231F20"/>
          <w:spacing w:val="-5"/>
        </w:rPr>
        <w:t xml:space="preserve"> </w:t>
      </w:r>
      <w:r>
        <w:rPr>
          <w:color w:val="231F20"/>
        </w:rPr>
        <w:t>DPH,</w:t>
      </w:r>
      <w:r>
        <w:rPr>
          <w:color w:val="231F20"/>
          <w:spacing w:val="-5"/>
        </w:rPr>
        <w:t xml:space="preserve"> </w:t>
      </w:r>
      <w:r>
        <w:rPr>
          <w:color w:val="231F20"/>
        </w:rPr>
        <w:t>není-li</w:t>
      </w:r>
      <w:r>
        <w:rPr>
          <w:color w:val="231F20"/>
          <w:spacing w:val="-5"/>
        </w:rPr>
        <w:t xml:space="preserve"> </w:t>
      </w:r>
      <w:r>
        <w:rPr>
          <w:color w:val="231F20"/>
        </w:rPr>
        <w:t>v</w:t>
      </w:r>
      <w:r>
        <w:rPr>
          <w:color w:val="231F20"/>
          <w:spacing w:val="-5"/>
        </w:rPr>
        <w:t xml:space="preserve"> </w:t>
      </w:r>
      <w:r>
        <w:rPr>
          <w:color w:val="231F20"/>
        </w:rPr>
        <w:t>pojistné</w:t>
      </w:r>
      <w:r>
        <w:rPr>
          <w:color w:val="231F20"/>
          <w:spacing w:val="-5"/>
        </w:rPr>
        <w:t xml:space="preserve"> </w:t>
      </w:r>
      <w:r>
        <w:rPr>
          <w:color w:val="231F20"/>
        </w:rPr>
        <w:t>smlouvě</w:t>
      </w:r>
      <w:r>
        <w:rPr>
          <w:color w:val="231F20"/>
          <w:spacing w:val="-5"/>
        </w:rPr>
        <w:t xml:space="preserve"> </w:t>
      </w:r>
      <w:r>
        <w:rPr>
          <w:color w:val="231F20"/>
        </w:rPr>
        <w:t>ujednáno</w:t>
      </w:r>
      <w:r>
        <w:rPr>
          <w:color w:val="231F20"/>
          <w:spacing w:val="-5"/>
        </w:rPr>
        <w:t xml:space="preserve"> </w:t>
      </w:r>
      <w:r>
        <w:rPr>
          <w:color w:val="231F20"/>
        </w:rPr>
        <w:t>jinak.</w:t>
      </w:r>
    </w:p>
    <w:p w14:paraId="28553CD6"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8</w:t>
      </w:r>
      <w:r>
        <w:rPr>
          <w:color w:val="231F20"/>
          <w:spacing w:val="19"/>
          <w:position w:val="1"/>
          <w:sz w:val="14"/>
        </w:rPr>
        <w:t xml:space="preserve"> </w:t>
      </w:r>
      <w:r>
        <w:rPr>
          <w:color w:val="231F20"/>
        </w:rPr>
        <w:t>V</w:t>
      </w:r>
      <w:r>
        <w:rPr>
          <w:color w:val="231F20"/>
          <w:spacing w:val="-17"/>
        </w:rPr>
        <w:t xml:space="preserve"> </w:t>
      </w:r>
      <w:r>
        <w:rPr>
          <w:color w:val="231F20"/>
        </w:rPr>
        <w:t>případě</w:t>
      </w:r>
      <w:r>
        <w:rPr>
          <w:color w:val="231F20"/>
          <w:spacing w:val="-17"/>
        </w:rPr>
        <w:t xml:space="preserve"> </w:t>
      </w:r>
      <w:r>
        <w:rPr>
          <w:color w:val="231F20"/>
        </w:rPr>
        <w:t>poskytování</w:t>
      </w:r>
      <w:r>
        <w:rPr>
          <w:color w:val="231F20"/>
          <w:spacing w:val="-16"/>
        </w:rPr>
        <w:t xml:space="preserve"> </w:t>
      </w:r>
      <w:r>
        <w:rPr>
          <w:color w:val="231F20"/>
        </w:rPr>
        <w:t>pojistného</w:t>
      </w:r>
      <w:r>
        <w:rPr>
          <w:color w:val="231F20"/>
          <w:spacing w:val="-17"/>
        </w:rPr>
        <w:t xml:space="preserve"> </w:t>
      </w:r>
      <w:r>
        <w:rPr>
          <w:color w:val="231F20"/>
        </w:rPr>
        <w:t>plnění</w:t>
      </w:r>
      <w:r>
        <w:rPr>
          <w:color w:val="231F20"/>
          <w:spacing w:val="-17"/>
        </w:rPr>
        <w:t xml:space="preserve"> </w:t>
      </w:r>
      <w:r>
        <w:rPr>
          <w:color w:val="231F20"/>
        </w:rPr>
        <w:t>v</w:t>
      </w:r>
      <w:r>
        <w:rPr>
          <w:color w:val="231F20"/>
          <w:spacing w:val="-17"/>
        </w:rPr>
        <w:t xml:space="preserve"> </w:t>
      </w:r>
      <w:r>
        <w:rPr>
          <w:color w:val="231F20"/>
        </w:rPr>
        <w:t>zahraniční</w:t>
      </w:r>
      <w:r>
        <w:rPr>
          <w:color w:val="231F20"/>
          <w:spacing w:val="-17"/>
        </w:rPr>
        <w:t xml:space="preserve"> </w:t>
      </w:r>
      <w:r>
        <w:rPr>
          <w:color w:val="231F20"/>
        </w:rPr>
        <w:t>měně</w:t>
      </w:r>
      <w:r>
        <w:rPr>
          <w:color w:val="231F20"/>
          <w:spacing w:val="-16"/>
        </w:rPr>
        <w:t xml:space="preserve"> </w:t>
      </w:r>
      <w:r>
        <w:rPr>
          <w:color w:val="231F20"/>
        </w:rPr>
        <w:t>se</w:t>
      </w:r>
      <w:r>
        <w:rPr>
          <w:color w:val="231F20"/>
          <w:spacing w:val="-17"/>
        </w:rPr>
        <w:t xml:space="preserve"> </w:t>
      </w:r>
      <w:r>
        <w:rPr>
          <w:color w:val="231F20"/>
        </w:rPr>
        <w:t>pro</w:t>
      </w:r>
      <w:r>
        <w:rPr>
          <w:color w:val="231F20"/>
          <w:spacing w:val="-17"/>
        </w:rPr>
        <w:t xml:space="preserve"> </w:t>
      </w:r>
      <w:r>
        <w:rPr>
          <w:color w:val="231F20"/>
        </w:rPr>
        <w:t>přepočet</w:t>
      </w:r>
      <w:r>
        <w:rPr>
          <w:color w:val="231F20"/>
          <w:spacing w:val="-17"/>
        </w:rPr>
        <w:t xml:space="preserve"> </w:t>
      </w:r>
      <w:r>
        <w:rPr>
          <w:color w:val="231F20"/>
          <w:spacing w:val="-6"/>
        </w:rPr>
        <w:t xml:space="preserve">na </w:t>
      </w:r>
      <w:r>
        <w:rPr>
          <w:color w:val="231F20"/>
        </w:rPr>
        <w:t>českou</w:t>
      </w:r>
      <w:r>
        <w:rPr>
          <w:color w:val="231F20"/>
          <w:spacing w:val="-6"/>
        </w:rPr>
        <w:t xml:space="preserve"> </w:t>
      </w:r>
      <w:r>
        <w:rPr>
          <w:color w:val="231F20"/>
        </w:rPr>
        <w:t>měnu</w:t>
      </w:r>
      <w:r>
        <w:rPr>
          <w:color w:val="231F20"/>
          <w:spacing w:val="-6"/>
        </w:rPr>
        <w:t xml:space="preserve"> </w:t>
      </w:r>
      <w:r>
        <w:rPr>
          <w:color w:val="231F20"/>
        </w:rPr>
        <w:t>použije</w:t>
      </w:r>
      <w:r>
        <w:rPr>
          <w:color w:val="231F20"/>
          <w:spacing w:val="-6"/>
        </w:rPr>
        <w:t xml:space="preserve"> </w:t>
      </w:r>
      <w:r>
        <w:rPr>
          <w:color w:val="231F20"/>
        </w:rPr>
        <w:t>směnného</w:t>
      </w:r>
      <w:r>
        <w:rPr>
          <w:color w:val="231F20"/>
          <w:spacing w:val="-6"/>
        </w:rPr>
        <w:t xml:space="preserve"> </w:t>
      </w:r>
      <w:r>
        <w:rPr>
          <w:color w:val="231F20"/>
        </w:rPr>
        <w:t>kurzu</w:t>
      </w:r>
      <w:r>
        <w:rPr>
          <w:color w:val="231F20"/>
          <w:spacing w:val="-6"/>
        </w:rPr>
        <w:t xml:space="preserve"> </w:t>
      </w:r>
      <w:r>
        <w:rPr>
          <w:color w:val="231F20"/>
        </w:rPr>
        <w:t>České</w:t>
      </w:r>
      <w:r>
        <w:rPr>
          <w:color w:val="231F20"/>
          <w:spacing w:val="-6"/>
        </w:rPr>
        <w:t xml:space="preserve"> </w:t>
      </w:r>
      <w:r>
        <w:rPr>
          <w:color w:val="231F20"/>
        </w:rPr>
        <w:t>národní</w:t>
      </w:r>
      <w:r>
        <w:rPr>
          <w:color w:val="231F20"/>
          <w:spacing w:val="-6"/>
        </w:rPr>
        <w:t xml:space="preserve"> </w:t>
      </w:r>
      <w:r>
        <w:rPr>
          <w:color w:val="231F20"/>
        </w:rPr>
        <w:t>banky</w:t>
      </w:r>
      <w:r>
        <w:rPr>
          <w:color w:val="231F20"/>
          <w:spacing w:val="-6"/>
        </w:rPr>
        <w:t xml:space="preserve"> </w:t>
      </w:r>
      <w:r>
        <w:rPr>
          <w:color w:val="231F20"/>
        </w:rPr>
        <w:t>platného</w:t>
      </w:r>
      <w:r>
        <w:rPr>
          <w:color w:val="231F20"/>
          <w:spacing w:val="-6"/>
        </w:rPr>
        <w:t xml:space="preserve"> </w:t>
      </w:r>
      <w:r>
        <w:rPr>
          <w:color w:val="231F20"/>
        </w:rPr>
        <w:t>v</w:t>
      </w:r>
      <w:r>
        <w:rPr>
          <w:color w:val="231F20"/>
          <w:spacing w:val="-6"/>
        </w:rPr>
        <w:t xml:space="preserve"> </w:t>
      </w:r>
      <w:r>
        <w:rPr>
          <w:color w:val="231F20"/>
        </w:rPr>
        <w:t>den vzniku pojistné</w:t>
      </w:r>
      <w:r>
        <w:rPr>
          <w:color w:val="231F20"/>
          <w:spacing w:val="-2"/>
        </w:rPr>
        <w:t xml:space="preserve"> </w:t>
      </w:r>
      <w:r>
        <w:rPr>
          <w:color w:val="231F20"/>
        </w:rPr>
        <w:t>události.</w:t>
      </w:r>
    </w:p>
    <w:p w14:paraId="690B9BA1"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9</w:t>
      </w:r>
      <w:r>
        <w:rPr>
          <w:color w:val="231F20"/>
          <w:spacing w:val="8"/>
          <w:position w:val="1"/>
          <w:sz w:val="14"/>
        </w:rPr>
        <w:t xml:space="preserve"> </w:t>
      </w:r>
      <w:r>
        <w:rPr>
          <w:color w:val="231F20"/>
        </w:rPr>
        <w:t>Pojišťovna</w:t>
      </w:r>
      <w:r>
        <w:rPr>
          <w:color w:val="231F20"/>
          <w:spacing w:val="-20"/>
        </w:rPr>
        <w:t xml:space="preserve"> </w:t>
      </w:r>
      <w:r>
        <w:rPr>
          <w:color w:val="231F20"/>
        </w:rPr>
        <w:t>nehradí</w:t>
      </w:r>
      <w:r>
        <w:rPr>
          <w:color w:val="231F20"/>
          <w:spacing w:val="-19"/>
        </w:rPr>
        <w:t xml:space="preserve"> </w:t>
      </w:r>
      <w:r>
        <w:rPr>
          <w:color w:val="231F20"/>
        </w:rPr>
        <w:t>náklady</w:t>
      </w:r>
      <w:r>
        <w:rPr>
          <w:color w:val="231F20"/>
          <w:spacing w:val="-20"/>
        </w:rPr>
        <w:t xml:space="preserve"> </w:t>
      </w:r>
      <w:r>
        <w:rPr>
          <w:color w:val="231F20"/>
        </w:rPr>
        <w:t>spojené</w:t>
      </w:r>
      <w:r>
        <w:rPr>
          <w:color w:val="231F20"/>
          <w:spacing w:val="-20"/>
        </w:rPr>
        <w:t xml:space="preserve"> </w:t>
      </w:r>
      <w:r>
        <w:rPr>
          <w:color w:val="231F20"/>
        </w:rPr>
        <w:t>s</w:t>
      </w:r>
      <w:r>
        <w:rPr>
          <w:color w:val="231F20"/>
          <w:spacing w:val="-19"/>
        </w:rPr>
        <w:t xml:space="preserve"> </w:t>
      </w:r>
      <w:r>
        <w:rPr>
          <w:color w:val="231F20"/>
        </w:rPr>
        <w:t>uplatněním</w:t>
      </w:r>
      <w:r>
        <w:rPr>
          <w:color w:val="231F20"/>
          <w:spacing w:val="-20"/>
        </w:rPr>
        <w:t xml:space="preserve"> </w:t>
      </w:r>
      <w:r>
        <w:rPr>
          <w:color w:val="231F20"/>
        </w:rPr>
        <w:t>pohledávky</w:t>
      </w:r>
      <w:r>
        <w:rPr>
          <w:color w:val="231F20"/>
          <w:spacing w:val="-19"/>
        </w:rPr>
        <w:t xml:space="preserve"> </w:t>
      </w:r>
      <w:r>
        <w:rPr>
          <w:color w:val="231F20"/>
        </w:rPr>
        <w:t>na</w:t>
      </w:r>
      <w:r>
        <w:rPr>
          <w:color w:val="231F20"/>
          <w:spacing w:val="-20"/>
        </w:rPr>
        <w:t xml:space="preserve"> </w:t>
      </w:r>
      <w:r>
        <w:rPr>
          <w:color w:val="231F20"/>
        </w:rPr>
        <w:t>pojistné</w:t>
      </w:r>
      <w:r>
        <w:rPr>
          <w:color w:val="231F20"/>
          <w:spacing w:val="-20"/>
        </w:rPr>
        <w:t xml:space="preserve"> </w:t>
      </w:r>
      <w:r>
        <w:rPr>
          <w:color w:val="231F20"/>
        </w:rPr>
        <w:t>plně- ní nebo na zachraňovací</w:t>
      </w:r>
      <w:r>
        <w:rPr>
          <w:color w:val="231F20"/>
          <w:spacing w:val="-7"/>
        </w:rPr>
        <w:t xml:space="preserve"> </w:t>
      </w:r>
      <w:r>
        <w:rPr>
          <w:color w:val="231F20"/>
        </w:rPr>
        <w:t>náklady.</w:t>
      </w:r>
    </w:p>
    <w:p w14:paraId="7D5E7109" w14:textId="77777777" w:rsidR="00F65BCA" w:rsidRDefault="00216117">
      <w:pPr>
        <w:pStyle w:val="Zkladntext"/>
        <w:spacing w:line="278" w:lineRule="auto"/>
        <w:ind w:left="710" w:hanging="283"/>
        <w:jc w:val="both"/>
      </w:pPr>
      <w:r>
        <w:rPr>
          <w:color w:val="231F20"/>
          <w:spacing w:val="-22"/>
          <w:position w:val="1"/>
          <w:sz w:val="14"/>
          <w:shd w:val="clear" w:color="auto" w:fill="D1D3D4"/>
        </w:rPr>
        <w:t xml:space="preserve"> </w:t>
      </w:r>
      <w:r>
        <w:rPr>
          <w:color w:val="231F20"/>
          <w:position w:val="1"/>
          <w:sz w:val="14"/>
          <w:shd w:val="clear" w:color="auto" w:fill="D1D3D4"/>
        </w:rPr>
        <w:t>10</w:t>
      </w:r>
      <w:r>
        <w:rPr>
          <w:color w:val="231F20"/>
          <w:spacing w:val="38"/>
          <w:position w:val="1"/>
          <w:sz w:val="14"/>
        </w:rPr>
        <w:t xml:space="preserve"> </w:t>
      </w:r>
      <w:r>
        <w:rPr>
          <w:color w:val="231F20"/>
        </w:rPr>
        <w:t>Oprávněná</w:t>
      </w:r>
      <w:r>
        <w:rPr>
          <w:color w:val="231F20"/>
          <w:spacing w:val="-17"/>
        </w:rPr>
        <w:t xml:space="preserve"> </w:t>
      </w:r>
      <w:r>
        <w:rPr>
          <w:color w:val="231F20"/>
        </w:rPr>
        <w:t>osoba</w:t>
      </w:r>
      <w:r>
        <w:rPr>
          <w:color w:val="231F20"/>
          <w:spacing w:val="-16"/>
        </w:rPr>
        <w:t xml:space="preserve"> </w:t>
      </w:r>
      <w:r>
        <w:rPr>
          <w:color w:val="231F20"/>
        </w:rPr>
        <w:t>může</w:t>
      </w:r>
      <w:r>
        <w:rPr>
          <w:color w:val="231F20"/>
          <w:spacing w:val="-16"/>
        </w:rPr>
        <w:t xml:space="preserve"> </w:t>
      </w:r>
      <w:r>
        <w:rPr>
          <w:color w:val="231F20"/>
        </w:rPr>
        <w:t>postoupit</w:t>
      </w:r>
      <w:r>
        <w:rPr>
          <w:color w:val="231F20"/>
          <w:spacing w:val="-16"/>
        </w:rPr>
        <w:t xml:space="preserve"> </w:t>
      </w:r>
      <w:r>
        <w:rPr>
          <w:color w:val="231F20"/>
        </w:rPr>
        <w:t>pohledávku</w:t>
      </w:r>
      <w:r>
        <w:rPr>
          <w:color w:val="231F20"/>
          <w:spacing w:val="-16"/>
        </w:rPr>
        <w:t xml:space="preserve"> </w:t>
      </w:r>
      <w:r>
        <w:rPr>
          <w:color w:val="231F20"/>
        </w:rPr>
        <w:t>na</w:t>
      </w:r>
      <w:r>
        <w:rPr>
          <w:color w:val="231F20"/>
          <w:spacing w:val="-16"/>
        </w:rPr>
        <w:t xml:space="preserve"> </w:t>
      </w:r>
      <w:r>
        <w:rPr>
          <w:color w:val="231F20"/>
        </w:rPr>
        <w:t>pojistné</w:t>
      </w:r>
      <w:r>
        <w:rPr>
          <w:color w:val="231F20"/>
          <w:spacing w:val="-17"/>
        </w:rPr>
        <w:t xml:space="preserve"> </w:t>
      </w:r>
      <w:r>
        <w:rPr>
          <w:color w:val="231F20"/>
        </w:rPr>
        <w:t>plnění</w:t>
      </w:r>
      <w:r>
        <w:rPr>
          <w:color w:val="231F20"/>
          <w:spacing w:val="-16"/>
        </w:rPr>
        <w:t xml:space="preserve"> </w:t>
      </w:r>
      <w:r>
        <w:rPr>
          <w:color w:val="231F20"/>
        </w:rPr>
        <w:t>nebo</w:t>
      </w:r>
      <w:r>
        <w:rPr>
          <w:color w:val="231F20"/>
          <w:spacing w:val="-16"/>
        </w:rPr>
        <w:t xml:space="preserve"> </w:t>
      </w:r>
      <w:r>
        <w:rPr>
          <w:color w:val="231F20"/>
          <w:spacing w:val="-3"/>
        </w:rPr>
        <w:t xml:space="preserve">jakéko- </w:t>
      </w:r>
      <w:r>
        <w:rPr>
          <w:color w:val="231F20"/>
        </w:rPr>
        <w:t>liv</w:t>
      </w:r>
      <w:r>
        <w:rPr>
          <w:color w:val="231F20"/>
          <w:spacing w:val="-5"/>
        </w:rPr>
        <w:t xml:space="preserve"> </w:t>
      </w:r>
      <w:r>
        <w:rPr>
          <w:color w:val="231F20"/>
        </w:rPr>
        <w:t>jiné</w:t>
      </w:r>
      <w:r>
        <w:rPr>
          <w:color w:val="231F20"/>
          <w:spacing w:val="-5"/>
        </w:rPr>
        <w:t xml:space="preserve"> </w:t>
      </w:r>
      <w:r>
        <w:rPr>
          <w:color w:val="231F20"/>
        </w:rPr>
        <w:t>plnění</w:t>
      </w:r>
      <w:r>
        <w:rPr>
          <w:color w:val="231F20"/>
          <w:spacing w:val="-5"/>
        </w:rPr>
        <w:t xml:space="preserve"> </w:t>
      </w:r>
      <w:r>
        <w:rPr>
          <w:color w:val="231F20"/>
        </w:rPr>
        <w:t>z</w:t>
      </w:r>
      <w:r>
        <w:rPr>
          <w:color w:val="231F20"/>
          <w:spacing w:val="-5"/>
        </w:rPr>
        <w:t xml:space="preserve"> </w:t>
      </w:r>
      <w:r>
        <w:rPr>
          <w:color w:val="231F20"/>
        </w:rPr>
        <w:t>pojištění</w:t>
      </w:r>
      <w:r>
        <w:rPr>
          <w:color w:val="231F20"/>
          <w:spacing w:val="-5"/>
        </w:rPr>
        <w:t xml:space="preserve"> </w:t>
      </w:r>
      <w:r>
        <w:rPr>
          <w:color w:val="231F20"/>
        </w:rPr>
        <w:t>pouze</w:t>
      </w:r>
      <w:r>
        <w:rPr>
          <w:color w:val="231F20"/>
          <w:spacing w:val="-5"/>
        </w:rPr>
        <w:t xml:space="preserve"> </w:t>
      </w:r>
      <w:r>
        <w:rPr>
          <w:color w:val="231F20"/>
        </w:rPr>
        <w:t>se</w:t>
      </w:r>
      <w:r>
        <w:rPr>
          <w:color w:val="231F20"/>
          <w:spacing w:val="-4"/>
        </w:rPr>
        <w:t xml:space="preserve"> </w:t>
      </w:r>
      <w:r>
        <w:rPr>
          <w:color w:val="231F20"/>
        </w:rPr>
        <w:t>souhlasem</w:t>
      </w:r>
      <w:r>
        <w:rPr>
          <w:color w:val="231F20"/>
          <w:spacing w:val="-5"/>
        </w:rPr>
        <w:t xml:space="preserve"> </w:t>
      </w:r>
      <w:r>
        <w:rPr>
          <w:color w:val="231F20"/>
        </w:rPr>
        <w:t>Pojišťovny.</w:t>
      </w:r>
    </w:p>
    <w:p w14:paraId="2B2368A5" w14:textId="77777777" w:rsidR="00F65BCA" w:rsidRDefault="00216117">
      <w:pPr>
        <w:pStyle w:val="Zkladntext"/>
        <w:spacing w:line="278" w:lineRule="auto"/>
        <w:ind w:left="710" w:right="1" w:hanging="283"/>
        <w:jc w:val="both"/>
      </w:pPr>
      <w:r>
        <w:rPr>
          <w:color w:val="231F20"/>
          <w:spacing w:val="-22"/>
          <w:position w:val="1"/>
          <w:sz w:val="14"/>
          <w:shd w:val="clear" w:color="auto" w:fill="D1D3D4"/>
        </w:rPr>
        <w:t xml:space="preserve"> </w:t>
      </w:r>
      <w:r>
        <w:rPr>
          <w:color w:val="231F20"/>
          <w:position w:val="1"/>
          <w:sz w:val="14"/>
          <w:shd w:val="clear" w:color="auto" w:fill="D1D3D4"/>
        </w:rPr>
        <w:t>11</w:t>
      </w:r>
      <w:r>
        <w:rPr>
          <w:color w:val="231F20"/>
          <w:position w:val="1"/>
          <w:sz w:val="14"/>
        </w:rPr>
        <w:t xml:space="preserve"> </w:t>
      </w:r>
      <w:r>
        <w:rPr>
          <w:color w:val="231F20"/>
        </w:rPr>
        <w:t xml:space="preserve">Pojištění se </w:t>
      </w:r>
      <w:r>
        <w:rPr>
          <w:color w:val="231F20"/>
          <w:spacing w:val="2"/>
        </w:rPr>
        <w:t xml:space="preserve">nevztahuje </w:t>
      </w:r>
      <w:r>
        <w:rPr>
          <w:color w:val="231F20"/>
        </w:rPr>
        <w:t>a z pojištění nevzniká právo na jakékoliv plnění či nárok, pokud by se tak Pojišťovna dostala do</w:t>
      </w:r>
      <w:r>
        <w:rPr>
          <w:color w:val="231F20"/>
          <w:spacing w:val="-7"/>
        </w:rPr>
        <w:t xml:space="preserve"> </w:t>
      </w:r>
      <w:r>
        <w:rPr>
          <w:color w:val="231F20"/>
        </w:rPr>
        <w:t>rozporu:</w:t>
      </w:r>
    </w:p>
    <w:p w14:paraId="08725DE2" w14:textId="77777777" w:rsidR="00F65BCA" w:rsidRDefault="00216117">
      <w:pPr>
        <w:pStyle w:val="Odstavecseseznamem"/>
        <w:numPr>
          <w:ilvl w:val="0"/>
          <w:numId w:val="129"/>
        </w:numPr>
        <w:tabs>
          <w:tab w:val="left" w:pos="881"/>
        </w:tabs>
        <w:jc w:val="both"/>
        <w:rPr>
          <w:sz w:val="15"/>
        </w:rPr>
      </w:pPr>
      <w:r>
        <w:rPr>
          <w:color w:val="231F20"/>
          <w:sz w:val="15"/>
        </w:rPr>
        <w:t>se</w:t>
      </w:r>
      <w:r>
        <w:rPr>
          <w:color w:val="231F20"/>
          <w:spacing w:val="-6"/>
          <w:sz w:val="15"/>
        </w:rPr>
        <w:t xml:space="preserve"> </w:t>
      </w:r>
      <w:r>
        <w:rPr>
          <w:color w:val="231F20"/>
          <w:sz w:val="15"/>
        </w:rPr>
        <w:t>sankcemi,</w:t>
      </w:r>
      <w:r>
        <w:rPr>
          <w:color w:val="231F20"/>
          <w:spacing w:val="-6"/>
          <w:sz w:val="15"/>
        </w:rPr>
        <w:t xml:space="preserve"> </w:t>
      </w:r>
      <w:r>
        <w:rPr>
          <w:color w:val="231F20"/>
          <w:sz w:val="15"/>
        </w:rPr>
        <w:t>zákazy</w:t>
      </w:r>
      <w:r>
        <w:rPr>
          <w:color w:val="231F20"/>
          <w:spacing w:val="-6"/>
          <w:sz w:val="15"/>
        </w:rPr>
        <w:t xml:space="preserve"> </w:t>
      </w:r>
      <w:r>
        <w:rPr>
          <w:color w:val="231F20"/>
          <w:sz w:val="15"/>
        </w:rPr>
        <w:t>či</w:t>
      </w:r>
      <w:r>
        <w:rPr>
          <w:color w:val="231F20"/>
          <w:spacing w:val="-5"/>
          <w:sz w:val="15"/>
        </w:rPr>
        <w:t xml:space="preserve"> </w:t>
      </w:r>
      <w:r>
        <w:rPr>
          <w:color w:val="231F20"/>
          <w:sz w:val="15"/>
        </w:rPr>
        <w:t>omezeními</w:t>
      </w:r>
      <w:r>
        <w:rPr>
          <w:color w:val="231F20"/>
          <w:spacing w:val="-6"/>
          <w:sz w:val="15"/>
        </w:rPr>
        <w:t xml:space="preserve"> </w:t>
      </w:r>
      <w:r>
        <w:rPr>
          <w:color w:val="231F20"/>
          <w:sz w:val="15"/>
        </w:rPr>
        <w:t>danými</w:t>
      </w:r>
      <w:r>
        <w:rPr>
          <w:color w:val="231F20"/>
          <w:spacing w:val="-6"/>
          <w:sz w:val="15"/>
        </w:rPr>
        <w:t xml:space="preserve"> </w:t>
      </w:r>
      <w:r>
        <w:rPr>
          <w:color w:val="231F20"/>
          <w:sz w:val="15"/>
        </w:rPr>
        <w:t>rezolucemi</w:t>
      </w:r>
      <w:r>
        <w:rPr>
          <w:color w:val="231F20"/>
          <w:spacing w:val="-5"/>
          <w:sz w:val="15"/>
        </w:rPr>
        <w:t xml:space="preserve"> </w:t>
      </w:r>
      <w:r>
        <w:rPr>
          <w:color w:val="231F20"/>
          <w:sz w:val="15"/>
        </w:rPr>
        <w:t>OSN</w:t>
      </w:r>
      <w:r>
        <w:rPr>
          <w:color w:val="231F20"/>
          <w:spacing w:val="-6"/>
          <w:sz w:val="15"/>
        </w:rPr>
        <w:t xml:space="preserve"> </w:t>
      </w:r>
      <w:r>
        <w:rPr>
          <w:color w:val="231F20"/>
          <w:sz w:val="15"/>
        </w:rPr>
        <w:t>či</w:t>
      </w:r>
    </w:p>
    <w:p w14:paraId="268855B5" w14:textId="77777777" w:rsidR="00F65BCA" w:rsidRDefault="00216117">
      <w:pPr>
        <w:pStyle w:val="Odstavecseseznamem"/>
        <w:numPr>
          <w:ilvl w:val="0"/>
          <w:numId w:val="129"/>
        </w:numPr>
        <w:tabs>
          <w:tab w:val="left" w:pos="881"/>
        </w:tabs>
        <w:spacing w:before="18" w:line="278" w:lineRule="auto"/>
        <w:jc w:val="both"/>
        <w:rPr>
          <w:sz w:val="15"/>
        </w:rPr>
      </w:pPr>
      <w:r>
        <w:rPr>
          <w:color w:val="231F20"/>
          <w:sz w:val="15"/>
        </w:rPr>
        <w:t xml:space="preserve">se sankcemi obchodními, </w:t>
      </w:r>
      <w:r>
        <w:rPr>
          <w:color w:val="231F20"/>
          <w:spacing w:val="2"/>
          <w:sz w:val="15"/>
        </w:rPr>
        <w:t xml:space="preserve">ekonomickými </w:t>
      </w:r>
      <w:r>
        <w:rPr>
          <w:color w:val="231F20"/>
          <w:sz w:val="15"/>
        </w:rPr>
        <w:t xml:space="preserve">či finančními danými právními či jinými předpisy České republiky, Evropské unie, Spojeného králov- </w:t>
      </w:r>
      <w:r>
        <w:rPr>
          <w:color w:val="231F20"/>
          <w:spacing w:val="2"/>
          <w:sz w:val="15"/>
        </w:rPr>
        <w:t xml:space="preserve">ství </w:t>
      </w:r>
      <w:r>
        <w:rPr>
          <w:color w:val="231F20"/>
          <w:sz w:val="15"/>
        </w:rPr>
        <w:t xml:space="preserve">(UK), Spojených států </w:t>
      </w:r>
      <w:r>
        <w:rPr>
          <w:color w:val="231F20"/>
          <w:spacing w:val="2"/>
          <w:sz w:val="15"/>
        </w:rPr>
        <w:t xml:space="preserve">amerických </w:t>
      </w:r>
      <w:r>
        <w:rPr>
          <w:color w:val="231F20"/>
          <w:sz w:val="15"/>
        </w:rPr>
        <w:t>(USA) nebo dalších příslušných lokálních</w:t>
      </w:r>
      <w:r>
        <w:rPr>
          <w:color w:val="231F20"/>
          <w:spacing w:val="-1"/>
          <w:sz w:val="15"/>
        </w:rPr>
        <w:t xml:space="preserve"> </w:t>
      </w:r>
      <w:r>
        <w:rPr>
          <w:color w:val="231F20"/>
          <w:sz w:val="15"/>
        </w:rPr>
        <w:t>jurisdikci.</w:t>
      </w:r>
    </w:p>
    <w:p w14:paraId="574CD9D8" w14:textId="77777777" w:rsidR="00F65BCA" w:rsidRDefault="00216117">
      <w:pPr>
        <w:pStyle w:val="Zkladntext"/>
        <w:spacing w:line="278" w:lineRule="auto"/>
        <w:ind w:left="710"/>
        <w:jc w:val="both"/>
      </w:pPr>
      <w:r>
        <w:rPr>
          <w:color w:val="231F20"/>
        </w:rPr>
        <w:t>Více informaci včetně odkazů na seznamy sankcionovaných zemí či osob naleznete na internetových stránkách</w:t>
      </w:r>
    </w:p>
    <w:p w14:paraId="3A4E0C2F" w14:textId="77777777" w:rsidR="00F65BCA" w:rsidRDefault="00216117">
      <w:pPr>
        <w:pStyle w:val="Zkladntext"/>
        <w:ind w:left="710"/>
      </w:pPr>
      <w:hyperlink r:id="rId43">
        <w:r>
          <w:rPr>
            <w:color w:val="231F20"/>
          </w:rPr>
          <w:t>www.generaliceska.cz/sankce-zemi-osob.</w:t>
        </w:r>
      </w:hyperlink>
    </w:p>
    <w:p w14:paraId="5F36434F" w14:textId="77777777" w:rsidR="00F65BCA" w:rsidRDefault="00216117">
      <w:pPr>
        <w:pStyle w:val="Zkladntext"/>
        <w:spacing w:before="27"/>
        <w:ind w:left="428"/>
      </w:pPr>
      <w:r>
        <w:rPr>
          <w:color w:val="231F20"/>
          <w:position w:val="1"/>
          <w:sz w:val="14"/>
          <w:shd w:val="clear" w:color="auto" w:fill="D1D3D4"/>
        </w:rPr>
        <w:t xml:space="preserve"> </w:t>
      </w:r>
      <w:r>
        <w:rPr>
          <w:color w:val="231F20"/>
          <w:w w:val="105"/>
          <w:position w:val="1"/>
          <w:sz w:val="14"/>
          <w:shd w:val="clear" w:color="auto" w:fill="D1D3D4"/>
        </w:rPr>
        <w:t>12</w:t>
      </w:r>
      <w:r>
        <w:rPr>
          <w:color w:val="231F20"/>
          <w:w w:val="105"/>
          <w:position w:val="1"/>
          <w:sz w:val="14"/>
        </w:rPr>
        <w:t xml:space="preserve"> </w:t>
      </w:r>
      <w:r>
        <w:rPr>
          <w:color w:val="231F20"/>
          <w:w w:val="105"/>
        </w:rPr>
        <w:t>Země s úplným embargem</w:t>
      </w:r>
    </w:p>
    <w:p w14:paraId="3FC11E8B" w14:textId="77777777" w:rsidR="00F65BCA" w:rsidRDefault="00216117">
      <w:pPr>
        <w:pStyle w:val="Odstavecseseznamem"/>
        <w:numPr>
          <w:ilvl w:val="1"/>
          <w:numId w:val="130"/>
        </w:numPr>
        <w:tabs>
          <w:tab w:val="left" w:pos="881"/>
        </w:tabs>
        <w:spacing w:before="27" w:line="278" w:lineRule="auto"/>
        <w:jc w:val="both"/>
        <w:rPr>
          <w:sz w:val="15"/>
        </w:rPr>
      </w:pPr>
      <w:r>
        <w:rPr>
          <w:color w:val="231F20"/>
          <w:sz w:val="15"/>
        </w:rPr>
        <w:t xml:space="preserve">Pojištění se </w:t>
      </w:r>
      <w:r>
        <w:rPr>
          <w:color w:val="231F20"/>
          <w:spacing w:val="2"/>
          <w:sz w:val="15"/>
        </w:rPr>
        <w:t xml:space="preserve">nevztahuje </w:t>
      </w:r>
      <w:r>
        <w:rPr>
          <w:color w:val="231F20"/>
          <w:sz w:val="15"/>
        </w:rPr>
        <w:t xml:space="preserve">a z pojištění nevzniká právo na jakékoliv plnění či nárok v jakékoli souvislosti se škodní/pojistnou událostí, k </w:t>
      </w:r>
      <w:r>
        <w:rPr>
          <w:color w:val="231F20"/>
          <w:spacing w:val="2"/>
          <w:sz w:val="15"/>
        </w:rPr>
        <w:t xml:space="preserve">níž </w:t>
      </w:r>
      <w:r>
        <w:rPr>
          <w:color w:val="231F20"/>
          <w:sz w:val="15"/>
        </w:rPr>
        <w:t xml:space="preserve">dojde na území následujících států/regionů: Írán, Sýrie, Korejská lidově demo- kratická republika, </w:t>
      </w:r>
      <w:r>
        <w:rPr>
          <w:color w:val="231F20"/>
          <w:spacing w:val="3"/>
          <w:sz w:val="15"/>
        </w:rPr>
        <w:t xml:space="preserve">Krymský </w:t>
      </w:r>
      <w:r>
        <w:rPr>
          <w:color w:val="231F20"/>
          <w:sz w:val="15"/>
        </w:rPr>
        <w:t xml:space="preserve">region, Záporožský, Chersonský, </w:t>
      </w:r>
      <w:r>
        <w:rPr>
          <w:color w:val="231F20"/>
          <w:spacing w:val="2"/>
          <w:sz w:val="15"/>
        </w:rPr>
        <w:t xml:space="preserve">Doněcký </w:t>
      </w:r>
      <w:r>
        <w:rPr>
          <w:color w:val="231F20"/>
          <w:sz w:val="15"/>
        </w:rPr>
        <w:t xml:space="preserve">a </w:t>
      </w:r>
      <w:r>
        <w:rPr>
          <w:color w:val="231F20"/>
          <w:spacing w:val="2"/>
          <w:sz w:val="15"/>
        </w:rPr>
        <w:t xml:space="preserve">Luhanský </w:t>
      </w:r>
      <w:r>
        <w:rPr>
          <w:color w:val="231F20"/>
          <w:sz w:val="15"/>
        </w:rPr>
        <w:t xml:space="preserve">region, Venezuela s </w:t>
      </w:r>
      <w:r>
        <w:rPr>
          <w:color w:val="231F20"/>
          <w:spacing w:val="2"/>
          <w:sz w:val="15"/>
        </w:rPr>
        <w:t xml:space="preserve">americkým </w:t>
      </w:r>
      <w:r>
        <w:rPr>
          <w:color w:val="231F20"/>
          <w:sz w:val="15"/>
        </w:rPr>
        <w:t xml:space="preserve">prvkem, Bělorusko, Ruská federace, Kuba s </w:t>
      </w:r>
      <w:r>
        <w:rPr>
          <w:color w:val="231F20"/>
          <w:spacing w:val="2"/>
          <w:sz w:val="15"/>
        </w:rPr>
        <w:t xml:space="preserve">americkým prvkem </w:t>
      </w:r>
      <w:r>
        <w:rPr>
          <w:color w:val="231F20"/>
          <w:sz w:val="15"/>
        </w:rPr>
        <w:t>(dále jen „země s úplným embar- gem“),</w:t>
      </w:r>
      <w:r>
        <w:rPr>
          <w:color w:val="231F20"/>
          <w:spacing w:val="-11"/>
          <w:sz w:val="15"/>
        </w:rPr>
        <w:t xml:space="preserve"> </w:t>
      </w:r>
      <w:r>
        <w:rPr>
          <w:color w:val="231F20"/>
          <w:sz w:val="15"/>
        </w:rPr>
        <w:t>nebo</w:t>
      </w:r>
      <w:r>
        <w:rPr>
          <w:color w:val="231F20"/>
          <w:spacing w:val="-10"/>
          <w:sz w:val="15"/>
        </w:rPr>
        <w:t xml:space="preserve"> </w:t>
      </w:r>
      <w:r>
        <w:rPr>
          <w:color w:val="231F20"/>
          <w:sz w:val="15"/>
        </w:rPr>
        <w:t>v</w:t>
      </w:r>
      <w:r>
        <w:rPr>
          <w:color w:val="231F20"/>
          <w:spacing w:val="-10"/>
          <w:sz w:val="15"/>
        </w:rPr>
        <w:t xml:space="preserve"> </w:t>
      </w:r>
      <w:r>
        <w:rPr>
          <w:color w:val="231F20"/>
          <w:sz w:val="15"/>
        </w:rPr>
        <w:t>případě</w:t>
      </w:r>
      <w:r>
        <w:rPr>
          <w:color w:val="231F20"/>
          <w:spacing w:val="-10"/>
          <w:sz w:val="15"/>
        </w:rPr>
        <w:t xml:space="preserve"> </w:t>
      </w:r>
      <w:r>
        <w:rPr>
          <w:color w:val="231F20"/>
          <w:sz w:val="15"/>
        </w:rPr>
        <w:t>jakýchkoliv</w:t>
      </w:r>
      <w:r>
        <w:rPr>
          <w:color w:val="231F20"/>
          <w:spacing w:val="-10"/>
          <w:sz w:val="15"/>
        </w:rPr>
        <w:t xml:space="preserve"> </w:t>
      </w:r>
      <w:r>
        <w:rPr>
          <w:color w:val="231F20"/>
          <w:sz w:val="15"/>
        </w:rPr>
        <w:t>činností,</w:t>
      </w:r>
      <w:r>
        <w:rPr>
          <w:color w:val="231F20"/>
          <w:spacing w:val="-10"/>
          <w:sz w:val="15"/>
        </w:rPr>
        <w:t xml:space="preserve"> </w:t>
      </w:r>
      <w:r>
        <w:rPr>
          <w:color w:val="231F20"/>
          <w:sz w:val="15"/>
        </w:rPr>
        <w:t>které</w:t>
      </w:r>
      <w:r>
        <w:rPr>
          <w:color w:val="231F20"/>
          <w:spacing w:val="-10"/>
          <w:sz w:val="15"/>
        </w:rPr>
        <w:t xml:space="preserve"> </w:t>
      </w:r>
      <w:r>
        <w:rPr>
          <w:color w:val="231F20"/>
          <w:sz w:val="15"/>
        </w:rPr>
        <w:t>přímo</w:t>
      </w:r>
      <w:r>
        <w:rPr>
          <w:color w:val="231F20"/>
          <w:spacing w:val="-10"/>
          <w:sz w:val="15"/>
        </w:rPr>
        <w:t xml:space="preserve"> </w:t>
      </w:r>
      <w:r>
        <w:rPr>
          <w:color w:val="231F20"/>
          <w:sz w:val="15"/>
        </w:rPr>
        <w:t>či</w:t>
      </w:r>
      <w:r>
        <w:rPr>
          <w:color w:val="231F20"/>
          <w:spacing w:val="-10"/>
          <w:sz w:val="15"/>
        </w:rPr>
        <w:t xml:space="preserve"> </w:t>
      </w:r>
      <w:r>
        <w:rPr>
          <w:color w:val="231F20"/>
          <w:sz w:val="15"/>
        </w:rPr>
        <w:t>nepřímo</w:t>
      </w:r>
      <w:r>
        <w:rPr>
          <w:color w:val="231F20"/>
          <w:spacing w:val="-10"/>
          <w:sz w:val="15"/>
        </w:rPr>
        <w:t xml:space="preserve"> </w:t>
      </w:r>
      <w:r>
        <w:rPr>
          <w:color w:val="231F20"/>
          <w:sz w:val="15"/>
        </w:rPr>
        <w:t>souvisí s</w:t>
      </w:r>
      <w:r>
        <w:rPr>
          <w:color w:val="231F20"/>
          <w:spacing w:val="-10"/>
          <w:sz w:val="15"/>
        </w:rPr>
        <w:t xml:space="preserve"> </w:t>
      </w:r>
      <w:r>
        <w:rPr>
          <w:color w:val="231F20"/>
          <w:sz w:val="15"/>
        </w:rPr>
        <w:t>vládou</w:t>
      </w:r>
      <w:r>
        <w:rPr>
          <w:color w:val="231F20"/>
          <w:spacing w:val="-9"/>
          <w:sz w:val="15"/>
        </w:rPr>
        <w:t xml:space="preserve"> </w:t>
      </w:r>
      <w:r>
        <w:rPr>
          <w:color w:val="231F20"/>
          <w:sz w:val="15"/>
        </w:rPr>
        <w:t>země</w:t>
      </w:r>
      <w:r>
        <w:rPr>
          <w:color w:val="231F20"/>
          <w:spacing w:val="-9"/>
          <w:sz w:val="15"/>
        </w:rPr>
        <w:t xml:space="preserve"> </w:t>
      </w:r>
      <w:r>
        <w:rPr>
          <w:color w:val="231F20"/>
          <w:sz w:val="15"/>
        </w:rPr>
        <w:t>s</w:t>
      </w:r>
      <w:r>
        <w:rPr>
          <w:color w:val="231F20"/>
          <w:spacing w:val="-9"/>
          <w:sz w:val="15"/>
        </w:rPr>
        <w:t xml:space="preserve"> </w:t>
      </w:r>
      <w:r>
        <w:rPr>
          <w:color w:val="231F20"/>
          <w:sz w:val="15"/>
        </w:rPr>
        <w:t>úplným</w:t>
      </w:r>
      <w:r>
        <w:rPr>
          <w:color w:val="231F20"/>
          <w:spacing w:val="-9"/>
          <w:sz w:val="15"/>
        </w:rPr>
        <w:t xml:space="preserve"> </w:t>
      </w:r>
      <w:r>
        <w:rPr>
          <w:color w:val="231F20"/>
          <w:sz w:val="15"/>
        </w:rPr>
        <w:t>embargem</w:t>
      </w:r>
      <w:r>
        <w:rPr>
          <w:color w:val="231F20"/>
          <w:spacing w:val="-9"/>
          <w:sz w:val="15"/>
        </w:rPr>
        <w:t xml:space="preserve"> </w:t>
      </w:r>
      <w:r>
        <w:rPr>
          <w:color w:val="231F20"/>
          <w:sz w:val="15"/>
        </w:rPr>
        <w:t>nebo</w:t>
      </w:r>
      <w:r>
        <w:rPr>
          <w:color w:val="231F20"/>
          <w:spacing w:val="-9"/>
          <w:sz w:val="15"/>
        </w:rPr>
        <w:t xml:space="preserve"> </w:t>
      </w:r>
      <w:r>
        <w:rPr>
          <w:color w:val="231F20"/>
          <w:spacing w:val="2"/>
          <w:sz w:val="15"/>
        </w:rPr>
        <w:t>právnickými</w:t>
      </w:r>
      <w:r>
        <w:rPr>
          <w:color w:val="231F20"/>
          <w:spacing w:val="-9"/>
          <w:sz w:val="15"/>
        </w:rPr>
        <w:t xml:space="preserve"> </w:t>
      </w:r>
      <w:r>
        <w:rPr>
          <w:color w:val="231F20"/>
          <w:sz w:val="15"/>
        </w:rPr>
        <w:t>osobami</w:t>
      </w:r>
      <w:r>
        <w:rPr>
          <w:color w:val="231F20"/>
          <w:spacing w:val="-9"/>
          <w:sz w:val="15"/>
        </w:rPr>
        <w:t xml:space="preserve"> </w:t>
      </w:r>
      <w:r>
        <w:rPr>
          <w:color w:val="231F20"/>
          <w:sz w:val="15"/>
        </w:rPr>
        <w:t>se</w:t>
      </w:r>
      <w:r>
        <w:rPr>
          <w:color w:val="231F20"/>
          <w:spacing w:val="-9"/>
          <w:sz w:val="15"/>
        </w:rPr>
        <w:t xml:space="preserve"> </w:t>
      </w:r>
      <w:r>
        <w:rPr>
          <w:color w:val="231F20"/>
          <w:sz w:val="15"/>
        </w:rPr>
        <w:t>sídlem v</w:t>
      </w:r>
      <w:r>
        <w:rPr>
          <w:color w:val="231F20"/>
          <w:spacing w:val="-11"/>
          <w:sz w:val="15"/>
        </w:rPr>
        <w:t xml:space="preserve"> </w:t>
      </w:r>
      <w:r>
        <w:rPr>
          <w:color w:val="231F20"/>
          <w:sz w:val="15"/>
        </w:rPr>
        <w:t>zemi</w:t>
      </w:r>
      <w:r>
        <w:rPr>
          <w:color w:val="231F20"/>
          <w:spacing w:val="-10"/>
          <w:sz w:val="15"/>
        </w:rPr>
        <w:t xml:space="preserve"> </w:t>
      </w:r>
      <w:r>
        <w:rPr>
          <w:color w:val="231F20"/>
          <w:sz w:val="15"/>
        </w:rPr>
        <w:t>s</w:t>
      </w:r>
      <w:r>
        <w:rPr>
          <w:color w:val="231F20"/>
          <w:spacing w:val="-10"/>
          <w:sz w:val="15"/>
        </w:rPr>
        <w:t xml:space="preserve"> </w:t>
      </w:r>
      <w:r>
        <w:rPr>
          <w:color w:val="231F20"/>
          <w:sz w:val="15"/>
        </w:rPr>
        <w:t>úplným</w:t>
      </w:r>
      <w:r>
        <w:rPr>
          <w:color w:val="231F20"/>
          <w:spacing w:val="-10"/>
          <w:sz w:val="15"/>
        </w:rPr>
        <w:t xml:space="preserve"> </w:t>
      </w:r>
      <w:r>
        <w:rPr>
          <w:color w:val="231F20"/>
          <w:sz w:val="15"/>
        </w:rPr>
        <w:t>embargem,</w:t>
      </w:r>
      <w:r>
        <w:rPr>
          <w:color w:val="231F20"/>
          <w:spacing w:val="-10"/>
          <w:sz w:val="15"/>
        </w:rPr>
        <w:t xml:space="preserve"> </w:t>
      </w:r>
      <w:r>
        <w:rPr>
          <w:color w:val="231F20"/>
          <w:sz w:val="15"/>
        </w:rPr>
        <w:t>jakož</w:t>
      </w:r>
      <w:r>
        <w:rPr>
          <w:color w:val="231F20"/>
          <w:spacing w:val="-10"/>
          <w:sz w:val="15"/>
        </w:rPr>
        <w:t xml:space="preserve"> </w:t>
      </w:r>
      <w:r>
        <w:rPr>
          <w:color w:val="231F20"/>
          <w:sz w:val="15"/>
        </w:rPr>
        <w:t>i</w:t>
      </w:r>
      <w:r>
        <w:rPr>
          <w:color w:val="231F20"/>
          <w:spacing w:val="-10"/>
          <w:sz w:val="15"/>
        </w:rPr>
        <w:t xml:space="preserve"> </w:t>
      </w:r>
      <w:r>
        <w:rPr>
          <w:color w:val="231F20"/>
          <w:spacing w:val="3"/>
          <w:sz w:val="15"/>
        </w:rPr>
        <w:t>fyzickými</w:t>
      </w:r>
      <w:r>
        <w:rPr>
          <w:color w:val="231F20"/>
          <w:spacing w:val="-10"/>
          <w:sz w:val="15"/>
        </w:rPr>
        <w:t xml:space="preserve"> </w:t>
      </w:r>
      <w:r>
        <w:rPr>
          <w:color w:val="231F20"/>
          <w:sz w:val="15"/>
        </w:rPr>
        <w:t>nebo</w:t>
      </w:r>
      <w:r>
        <w:rPr>
          <w:color w:val="231F20"/>
          <w:spacing w:val="-11"/>
          <w:sz w:val="15"/>
        </w:rPr>
        <w:t xml:space="preserve"> </w:t>
      </w:r>
      <w:r>
        <w:rPr>
          <w:color w:val="231F20"/>
          <w:spacing w:val="2"/>
          <w:sz w:val="15"/>
        </w:rPr>
        <w:t>právnickými</w:t>
      </w:r>
      <w:r>
        <w:rPr>
          <w:color w:val="231F20"/>
          <w:spacing w:val="-10"/>
          <w:sz w:val="15"/>
        </w:rPr>
        <w:t xml:space="preserve"> </w:t>
      </w:r>
      <w:r>
        <w:rPr>
          <w:color w:val="231F20"/>
          <w:sz w:val="15"/>
        </w:rPr>
        <w:t xml:space="preserve">osobami, které se nacházejí na území země s úplným embargem, případně mají </w:t>
      </w:r>
      <w:r>
        <w:rPr>
          <w:color w:val="231F20"/>
          <w:spacing w:val="2"/>
          <w:sz w:val="15"/>
        </w:rPr>
        <w:t xml:space="preserve">výše </w:t>
      </w:r>
      <w:r>
        <w:rPr>
          <w:color w:val="231F20"/>
          <w:sz w:val="15"/>
        </w:rPr>
        <w:t>jmenovaní z této činnosti</w:t>
      </w:r>
      <w:r>
        <w:rPr>
          <w:color w:val="231F20"/>
          <w:spacing w:val="-7"/>
          <w:sz w:val="15"/>
        </w:rPr>
        <w:t xml:space="preserve"> </w:t>
      </w:r>
      <w:r>
        <w:rPr>
          <w:color w:val="231F20"/>
          <w:sz w:val="15"/>
        </w:rPr>
        <w:t>prospěch.</w:t>
      </w:r>
    </w:p>
    <w:p w14:paraId="6EBD8319" w14:textId="77777777" w:rsidR="00F65BCA" w:rsidRDefault="00216117">
      <w:pPr>
        <w:pStyle w:val="Zkladntext"/>
        <w:spacing w:line="278" w:lineRule="auto"/>
        <w:ind w:left="880"/>
        <w:jc w:val="both"/>
      </w:pPr>
      <w:r>
        <w:rPr>
          <w:color w:val="231F20"/>
        </w:rPr>
        <w:t>Územím vždy rozumíme území zemí s úplným embargem vč. jejich</w:t>
      </w:r>
      <w:r>
        <w:rPr>
          <w:color w:val="231F20"/>
          <w:spacing w:val="-27"/>
        </w:rPr>
        <w:t xml:space="preserve"> </w:t>
      </w:r>
      <w:r>
        <w:rPr>
          <w:color w:val="231F20"/>
        </w:rPr>
        <w:t>vnitř- ních</w:t>
      </w:r>
      <w:r>
        <w:rPr>
          <w:color w:val="231F20"/>
          <w:spacing w:val="-5"/>
        </w:rPr>
        <w:t xml:space="preserve"> </w:t>
      </w:r>
      <w:r>
        <w:rPr>
          <w:color w:val="231F20"/>
        </w:rPr>
        <w:t>a</w:t>
      </w:r>
      <w:r>
        <w:rPr>
          <w:color w:val="231F20"/>
          <w:spacing w:val="-5"/>
        </w:rPr>
        <w:t xml:space="preserve"> </w:t>
      </w:r>
      <w:r>
        <w:rPr>
          <w:color w:val="231F20"/>
        </w:rPr>
        <w:t>pobřežních</w:t>
      </w:r>
      <w:r>
        <w:rPr>
          <w:color w:val="231F20"/>
          <w:spacing w:val="-4"/>
        </w:rPr>
        <w:t xml:space="preserve"> </w:t>
      </w:r>
      <w:r>
        <w:rPr>
          <w:color w:val="231F20"/>
        </w:rPr>
        <w:t>vod,</w:t>
      </w:r>
      <w:r>
        <w:rPr>
          <w:color w:val="231F20"/>
          <w:spacing w:val="-5"/>
        </w:rPr>
        <w:t xml:space="preserve"> </w:t>
      </w:r>
      <w:r>
        <w:rPr>
          <w:color w:val="231F20"/>
        </w:rPr>
        <w:t>přilehlých</w:t>
      </w:r>
      <w:r>
        <w:rPr>
          <w:color w:val="231F20"/>
          <w:spacing w:val="-4"/>
        </w:rPr>
        <w:t xml:space="preserve"> </w:t>
      </w:r>
      <w:r>
        <w:rPr>
          <w:color w:val="231F20"/>
        </w:rPr>
        <w:t>zón</w:t>
      </w:r>
      <w:r>
        <w:rPr>
          <w:color w:val="231F20"/>
          <w:spacing w:val="-5"/>
        </w:rPr>
        <w:t xml:space="preserve"> </w:t>
      </w:r>
      <w:r>
        <w:rPr>
          <w:color w:val="231F20"/>
        </w:rPr>
        <w:t>a</w:t>
      </w:r>
      <w:r>
        <w:rPr>
          <w:color w:val="231F20"/>
          <w:spacing w:val="-4"/>
        </w:rPr>
        <w:t xml:space="preserve"> </w:t>
      </w:r>
      <w:r>
        <w:rPr>
          <w:color w:val="231F20"/>
        </w:rPr>
        <w:t>výlučných</w:t>
      </w:r>
      <w:r>
        <w:rPr>
          <w:color w:val="231F20"/>
          <w:spacing w:val="-5"/>
        </w:rPr>
        <w:t xml:space="preserve"> </w:t>
      </w:r>
      <w:r>
        <w:rPr>
          <w:color w:val="231F20"/>
        </w:rPr>
        <w:t>hospodářských</w:t>
      </w:r>
      <w:r>
        <w:rPr>
          <w:color w:val="231F20"/>
          <w:spacing w:val="-5"/>
        </w:rPr>
        <w:t xml:space="preserve"> </w:t>
      </w:r>
      <w:r>
        <w:rPr>
          <w:color w:val="231F20"/>
        </w:rPr>
        <w:t>zón.</w:t>
      </w:r>
    </w:p>
    <w:p w14:paraId="775B56A8" w14:textId="77777777" w:rsidR="00F65BCA" w:rsidRDefault="00216117">
      <w:pPr>
        <w:pStyle w:val="Zkladntext"/>
        <w:spacing w:line="278" w:lineRule="auto"/>
        <w:ind w:left="880"/>
        <w:jc w:val="both"/>
      </w:pPr>
      <w:r>
        <w:rPr>
          <w:color w:val="231F20"/>
          <w:spacing w:val="2"/>
        </w:rPr>
        <w:t>Americký</w:t>
      </w:r>
      <w:r>
        <w:rPr>
          <w:color w:val="231F20"/>
          <w:spacing w:val="-8"/>
        </w:rPr>
        <w:t xml:space="preserve"> </w:t>
      </w:r>
      <w:r>
        <w:rPr>
          <w:color w:val="231F20"/>
          <w:spacing w:val="2"/>
        </w:rPr>
        <w:t>prvek</w:t>
      </w:r>
      <w:r>
        <w:rPr>
          <w:color w:val="231F20"/>
          <w:spacing w:val="-7"/>
        </w:rPr>
        <w:t xml:space="preserve"> </w:t>
      </w:r>
      <w:r>
        <w:rPr>
          <w:color w:val="231F20"/>
        </w:rPr>
        <w:t>(US</w:t>
      </w:r>
      <w:r>
        <w:rPr>
          <w:color w:val="231F20"/>
          <w:spacing w:val="-7"/>
        </w:rPr>
        <w:t xml:space="preserve"> </w:t>
      </w:r>
      <w:r>
        <w:rPr>
          <w:color w:val="231F20"/>
        </w:rPr>
        <w:t>nexus)</w:t>
      </w:r>
      <w:r>
        <w:rPr>
          <w:color w:val="231F20"/>
          <w:spacing w:val="-7"/>
        </w:rPr>
        <w:t xml:space="preserve"> </w:t>
      </w:r>
      <w:r>
        <w:rPr>
          <w:color w:val="231F20"/>
        </w:rPr>
        <w:t>pro</w:t>
      </w:r>
      <w:r>
        <w:rPr>
          <w:color w:val="231F20"/>
          <w:spacing w:val="-7"/>
        </w:rPr>
        <w:t xml:space="preserve"> </w:t>
      </w:r>
      <w:r>
        <w:rPr>
          <w:color w:val="231F20"/>
        </w:rPr>
        <w:t>účely</w:t>
      </w:r>
      <w:r>
        <w:rPr>
          <w:color w:val="231F20"/>
          <w:spacing w:val="-7"/>
        </w:rPr>
        <w:t xml:space="preserve"> </w:t>
      </w:r>
      <w:r>
        <w:rPr>
          <w:color w:val="231F20"/>
        </w:rPr>
        <w:t>tohoto</w:t>
      </w:r>
      <w:r>
        <w:rPr>
          <w:color w:val="231F20"/>
          <w:spacing w:val="-7"/>
        </w:rPr>
        <w:t xml:space="preserve"> </w:t>
      </w:r>
      <w:r>
        <w:rPr>
          <w:color w:val="231F20"/>
        </w:rPr>
        <w:t>ujednání</w:t>
      </w:r>
      <w:r>
        <w:rPr>
          <w:color w:val="231F20"/>
          <w:spacing w:val="-7"/>
        </w:rPr>
        <w:t xml:space="preserve"> </w:t>
      </w:r>
      <w:r>
        <w:rPr>
          <w:color w:val="231F20"/>
          <w:spacing w:val="2"/>
        </w:rPr>
        <w:t>zahrnuje</w:t>
      </w:r>
      <w:r>
        <w:rPr>
          <w:color w:val="231F20"/>
          <w:spacing w:val="-8"/>
        </w:rPr>
        <w:t xml:space="preserve"> </w:t>
      </w:r>
      <w:r>
        <w:rPr>
          <w:color w:val="231F20"/>
        </w:rPr>
        <w:t xml:space="preserve">obchodní případy s možným uplatněním jurisdikce USA, např. z důvodu </w:t>
      </w:r>
      <w:r>
        <w:rPr>
          <w:color w:val="231F20"/>
          <w:spacing w:val="2"/>
        </w:rPr>
        <w:t xml:space="preserve">zapojení </w:t>
      </w:r>
      <w:r>
        <w:rPr>
          <w:color w:val="231F20"/>
        </w:rPr>
        <w:t>společnosti registrované v USA (či její zahraniční pobočky), občana</w:t>
      </w:r>
      <w:r>
        <w:rPr>
          <w:color w:val="231F20"/>
          <w:spacing w:val="-25"/>
        </w:rPr>
        <w:t xml:space="preserve"> </w:t>
      </w:r>
      <w:r>
        <w:rPr>
          <w:color w:val="231F20"/>
        </w:rPr>
        <w:t>USA nebo</w:t>
      </w:r>
      <w:r>
        <w:rPr>
          <w:color w:val="231F20"/>
          <w:spacing w:val="-14"/>
        </w:rPr>
        <w:t xml:space="preserve"> </w:t>
      </w:r>
      <w:r>
        <w:rPr>
          <w:color w:val="231F20"/>
          <w:spacing w:val="2"/>
        </w:rPr>
        <w:t>fyzické</w:t>
      </w:r>
      <w:r>
        <w:rPr>
          <w:color w:val="231F20"/>
          <w:spacing w:val="-14"/>
        </w:rPr>
        <w:t xml:space="preserve"> </w:t>
      </w:r>
      <w:r>
        <w:rPr>
          <w:color w:val="231F20"/>
        </w:rPr>
        <w:t>osoby</w:t>
      </w:r>
      <w:r>
        <w:rPr>
          <w:color w:val="231F20"/>
          <w:spacing w:val="-13"/>
        </w:rPr>
        <w:t xml:space="preserve"> </w:t>
      </w:r>
      <w:r>
        <w:rPr>
          <w:color w:val="231F20"/>
        </w:rPr>
        <w:t>s</w:t>
      </w:r>
      <w:r>
        <w:rPr>
          <w:color w:val="231F20"/>
          <w:spacing w:val="-14"/>
        </w:rPr>
        <w:t xml:space="preserve"> </w:t>
      </w:r>
      <w:r>
        <w:rPr>
          <w:color w:val="231F20"/>
        </w:rPr>
        <w:t>pobytem</w:t>
      </w:r>
      <w:r>
        <w:rPr>
          <w:color w:val="231F20"/>
          <w:spacing w:val="-14"/>
        </w:rPr>
        <w:t xml:space="preserve"> </w:t>
      </w:r>
      <w:r>
        <w:rPr>
          <w:color w:val="231F20"/>
        </w:rPr>
        <w:t>v</w:t>
      </w:r>
      <w:r>
        <w:rPr>
          <w:color w:val="231F20"/>
          <w:spacing w:val="-13"/>
        </w:rPr>
        <w:t xml:space="preserve"> </w:t>
      </w:r>
      <w:r>
        <w:rPr>
          <w:color w:val="231F20"/>
        </w:rPr>
        <w:t>USA</w:t>
      </w:r>
      <w:r>
        <w:rPr>
          <w:color w:val="231F20"/>
          <w:spacing w:val="-14"/>
        </w:rPr>
        <w:t xml:space="preserve"> </w:t>
      </w:r>
      <w:r>
        <w:rPr>
          <w:color w:val="231F20"/>
        </w:rPr>
        <w:t>(rezidenta</w:t>
      </w:r>
      <w:r>
        <w:rPr>
          <w:color w:val="231F20"/>
          <w:spacing w:val="-13"/>
        </w:rPr>
        <w:t xml:space="preserve"> </w:t>
      </w:r>
      <w:r>
        <w:rPr>
          <w:color w:val="231F20"/>
        </w:rPr>
        <w:t>v</w:t>
      </w:r>
      <w:r>
        <w:rPr>
          <w:color w:val="231F20"/>
          <w:spacing w:val="-14"/>
        </w:rPr>
        <w:t xml:space="preserve"> </w:t>
      </w:r>
      <w:r>
        <w:rPr>
          <w:color w:val="231F20"/>
        </w:rPr>
        <w:t>USA),</w:t>
      </w:r>
      <w:r>
        <w:rPr>
          <w:color w:val="231F20"/>
          <w:spacing w:val="-14"/>
        </w:rPr>
        <w:t xml:space="preserve"> </w:t>
      </w:r>
      <w:r>
        <w:rPr>
          <w:color w:val="231F20"/>
          <w:spacing w:val="2"/>
        </w:rPr>
        <w:t>finančního</w:t>
      </w:r>
      <w:r>
        <w:rPr>
          <w:color w:val="231F20"/>
          <w:spacing w:val="-13"/>
        </w:rPr>
        <w:t xml:space="preserve"> </w:t>
      </w:r>
      <w:r>
        <w:rPr>
          <w:color w:val="231F20"/>
        </w:rPr>
        <w:t>systé- mu</w:t>
      </w:r>
      <w:r>
        <w:rPr>
          <w:color w:val="231F20"/>
          <w:spacing w:val="-18"/>
        </w:rPr>
        <w:t xml:space="preserve"> </w:t>
      </w:r>
      <w:r>
        <w:rPr>
          <w:color w:val="231F20"/>
        </w:rPr>
        <w:t>USA,</w:t>
      </w:r>
      <w:r>
        <w:rPr>
          <w:color w:val="231F20"/>
          <w:spacing w:val="-18"/>
        </w:rPr>
        <w:t xml:space="preserve"> </w:t>
      </w:r>
      <w:r>
        <w:rPr>
          <w:color w:val="231F20"/>
          <w:spacing w:val="2"/>
        </w:rPr>
        <w:t>banky</w:t>
      </w:r>
      <w:r>
        <w:rPr>
          <w:color w:val="231F20"/>
          <w:spacing w:val="-17"/>
        </w:rPr>
        <w:t xml:space="preserve"> </w:t>
      </w:r>
      <w:r>
        <w:rPr>
          <w:color w:val="231F20"/>
        </w:rPr>
        <w:t>USA,</w:t>
      </w:r>
      <w:r>
        <w:rPr>
          <w:color w:val="231F20"/>
          <w:spacing w:val="-18"/>
        </w:rPr>
        <w:t xml:space="preserve"> </w:t>
      </w:r>
      <w:r>
        <w:rPr>
          <w:color w:val="231F20"/>
          <w:spacing w:val="2"/>
        </w:rPr>
        <w:t>amerických</w:t>
      </w:r>
      <w:r>
        <w:rPr>
          <w:color w:val="231F20"/>
          <w:spacing w:val="-18"/>
        </w:rPr>
        <w:t xml:space="preserve"> </w:t>
      </w:r>
      <w:r>
        <w:rPr>
          <w:color w:val="231F20"/>
          <w:spacing w:val="2"/>
        </w:rPr>
        <w:t>dolarů</w:t>
      </w:r>
      <w:r>
        <w:rPr>
          <w:color w:val="231F20"/>
          <w:spacing w:val="-17"/>
        </w:rPr>
        <w:t xml:space="preserve"> </w:t>
      </w:r>
      <w:r>
        <w:rPr>
          <w:color w:val="231F20"/>
        </w:rPr>
        <w:t>(USD)</w:t>
      </w:r>
      <w:r>
        <w:rPr>
          <w:color w:val="231F20"/>
          <w:spacing w:val="-18"/>
        </w:rPr>
        <w:t xml:space="preserve"> </w:t>
      </w:r>
      <w:r>
        <w:rPr>
          <w:color w:val="231F20"/>
        </w:rPr>
        <w:t>nebo</w:t>
      </w:r>
      <w:r>
        <w:rPr>
          <w:color w:val="231F20"/>
          <w:spacing w:val="-18"/>
        </w:rPr>
        <w:t xml:space="preserve"> </w:t>
      </w:r>
      <w:r>
        <w:rPr>
          <w:color w:val="231F20"/>
        </w:rPr>
        <w:t>zboží</w:t>
      </w:r>
      <w:r>
        <w:rPr>
          <w:color w:val="231F20"/>
          <w:spacing w:val="-17"/>
        </w:rPr>
        <w:t xml:space="preserve"> </w:t>
      </w:r>
      <w:r>
        <w:rPr>
          <w:color w:val="231F20"/>
          <w:spacing w:val="2"/>
        </w:rPr>
        <w:t xml:space="preserve">pocházejícího </w:t>
      </w:r>
      <w:r>
        <w:rPr>
          <w:color w:val="231F20"/>
        </w:rPr>
        <w:t>z</w:t>
      </w:r>
      <w:r>
        <w:rPr>
          <w:color w:val="231F20"/>
          <w:spacing w:val="-1"/>
        </w:rPr>
        <w:t xml:space="preserve"> </w:t>
      </w:r>
      <w:r>
        <w:rPr>
          <w:color w:val="231F20"/>
        </w:rPr>
        <w:t>USA.</w:t>
      </w:r>
    </w:p>
    <w:p w14:paraId="06185F8C" w14:textId="77777777" w:rsidR="00F65BCA" w:rsidRDefault="00216117">
      <w:pPr>
        <w:pStyle w:val="Odstavecseseznamem"/>
        <w:numPr>
          <w:ilvl w:val="1"/>
          <w:numId w:val="130"/>
        </w:numPr>
        <w:tabs>
          <w:tab w:val="left" w:pos="881"/>
        </w:tabs>
        <w:spacing w:line="278" w:lineRule="auto"/>
        <w:ind w:right="1"/>
        <w:jc w:val="both"/>
        <w:rPr>
          <w:sz w:val="15"/>
        </w:rPr>
      </w:pPr>
      <w:r>
        <w:rPr>
          <w:color w:val="231F20"/>
          <w:sz w:val="15"/>
        </w:rPr>
        <w:t>Více</w:t>
      </w:r>
      <w:r>
        <w:rPr>
          <w:color w:val="231F20"/>
          <w:spacing w:val="-6"/>
          <w:sz w:val="15"/>
        </w:rPr>
        <w:t xml:space="preserve"> </w:t>
      </w:r>
      <w:r>
        <w:rPr>
          <w:color w:val="231F20"/>
          <w:sz w:val="15"/>
        </w:rPr>
        <w:t>informací</w:t>
      </w:r>
      <w:r>
        <w:rPr>
          <w:color w:val="231F20"/>
          <w:spacing w:val="-6"/>
          <w:sz w:val="15"/>
        </w:rPr>
        <w:t xml:space="preserve"> </w:t>
      </w:r>
      <w:r>
        <w:rPr>
          <w:color w:val="231F20"/>
          <w:sz w:val="15"/>
        </w:rPr>
        <w:t>a</w:t>
      </w:r>
      <w:r>
        <w:rPr>
          <w:color w:val="231F20"/>
          <w:spacing w:val="-6"/>
          <w:sz w:val="15"/>
        </w:rPr>
        <w:t xml:space="preserve"> </w:t>
      </w:r>
      <w:r>
        <w:rPr>
          <w:color w:val="231F20"/>
          <w:sz w:val="15"/>
        </w:rPr>
        <w:t>aktuální</w:t>
      </w:r>
      <w:r>
        <w:rPr>
          <w:color w:val="231F20"/>
          <w:spacing w:val="-6"/>
          <w:sz w:val="15"/>
        </w:rPr>
        <w:t xml:space="preserve"> </w:t>
      </w:r>
      <w:r>
        <w:rPr>
          <w:color w:val="231F20"/>
          <w:sz w:val="15"/>
        </w:rPr>
        <w:t>seznam</w:t>
      </w:r>
      <w:r>
        <w:rPr>
          <w:color w:val="231F20"/>
          <w:spacing w:val="-6"/>
          <w:sz w:val="15"/>
        </w:rPr>
        <w:t xml:space="preserve"> </w:t>
      </w:r>
      <w:r>
        <w:rPr>
          <w:color w:val="231F20"/>
          <w:sz w:val="15"/>
        </w:rPr>
        <w:t>těchto</w:t>
      </w:r>
      <w:r>
        <w:rPr>
          <w:color w:val="231F20"/>
          <w:spacing w:val="-6"/>
          <w:sz w:val="15"/>
        </w:rPr>
        <w:t xml:space="preserve"> </w:t>
      </w:r>
      <w:r>
        <w:rPr>
          <w:color w:val="231F20"/>
          <w:sz w:val="15"/>
        </w:rPr>
        <w:t>zemí</w:t>
      </w:r>
      <w:r>
        <w:rPr>
          <w:color w:val="231F20"/>
          <w:spacing w:val="-6"/>
          <w:sz w:val="15"/>
        </w:rPr>
        <w:t xml:space="preserve"> </w:t>
      </w:r>
      <w:r>
        <w:rPr>
          <w:color w:val="231F20"/>
          <w:sz w:val="15"/>
        </w:rPr>
        <w:t>naleznete</w:t>
      </w:r>
      <w:r>
        <w:rPr>
          <w:color w:val="231F20"/>
          <w:spacing w:val="-6"/>
          <w:sz w:val="15"/>
        </w:rPr>
        <w:t xml:space="preserve"> </w:t>
      </w:r>
      <w:r>
        <w:rPr>
          <w:color w:val="231F20"/>
          <w:sz w:val="15"/>
        </w:rPr>
        <w:t>na</w:t>
      </w:r>
      <w:r>
        <w:rPr>
          <w:color w:val="231F20"/>
          <w:spacing w:val="-6"/>
          <w:sz w:val="15"/>
        </w:rPr>
        <w:t xml:space="preserve"> </w:t>
      </w:r>
      <w:r>
        <w:rPr>
          <w:color w:val="231F20"/>
          <w:sz w:val="15"/>
        </w:rPr>
        <w:t>internetových stránkách</w:t>
      </w:r>
      <w:r>
        <w:rPr>
          <w:color w:val="231F20"/>
          <w:spacing w:val="-3"/>
          <w:sz w:val="15"/>
        </w:rPr>
        <w:t xml:space="preserve"> </w:t>
      </w:r>
      <w:hyperlink r:id="rId44">
        <w:r>
          <w:rPr>
            <w:color w:val="231F20"/>
            <w:sz w:val="15"/>
          </w:rPr>
          <w:t>https://www.generaliceska.cz/sankce-zemi-osob.</w:t>
        </w:r>
      </w:hyperlink>
    </w:p>
    <w:p w14:paraId="701642B7" w14:textId="77777777" w:rsidR="00F65BCA" w:rsidRDefault="00216117">
      <w:pPr>
        <w:pStyle w:val="Odstavecseseznamem"/>
        <w:numPr>
          <w:ilvl w:val="1"/>
          <w:numId w:val="130"/>
        </w:numPr>
        <w:tabs>
          <w:tab w:val="left" w:pos="881"/>
        </w:tabs>
        <w:spacing w:line="278" w:lineRule="auto"/>
        <w:jc w:val="both"/>
        <w:rPr>
          <w:sz w:val="15"/>
        </w:rPr>
      </w:pPr>
      <w:r>
        <w:rPr>
          <w:color w:val="231F20"/>
          <w:spacing w:val="-5"/>
          <w:sz w:val="15"/>
        </w:rPr>
        <w:t>Tato</w:t>
      </w:r>
      <w:r>
        <w:rPr>
          <w:color w:val="231F20"/>
          <w:spacing w:val="-16"/>
          <w:sz w:val="15"/>
        </w:rPr>
        <w:t xml:space="preserve"> </w:t>
      </w:r>
      <w:r>
        <w:rPr>
          <w:color w:val="231F20"/>
          <w:sz w:val="15"/>
        </w:rPr>
        <w:t>doložka</w:t>
      </w:r>
      <w:r>
        <w:rPr>
          <w:color w:val="231F20"/>
          <w:spacing w:val="-16"/>
          <w:sz w:val="15"/>
        </w:rPr>
        <w:t xml:space="preserve"> </w:t>
      </w:r>
      <w:r>
        <w:rPr>
          <w:color w:val="231F20"/>
          <w:sz w:val="15"/>
        </w:rPr>
        <w:t>se</w:t>
      </w:r>
      <w:r>
        <w:rPr>
          <w:color w:val="231F20"/>
          <w:spacing w:val="-16"/>
          <w:sz w:val="15"/>
        </w:rPr>
        <w:t xml:space="preserve"> </w:t>
      </w:r>
      <w:r>
        <w:rPr>
          <w:color w:val="231F20"/>
          <w:sz w:val="15"/>
        </w:rPr>
        <w:t>neuplatní</w:t>
      </w:r>
      <w:r>
        <w:rPr>
          <w:color w:val="231F20"/>
          <w:spacing w:val="-16"/>
          <w:sz w:val="15"/>
        </w:rPr>
        <w:t xml:space="preserve"> </w:t>
      </w:r>
      <w:r>
        <w:rPr>
          <w:color w:val="231F20"/>
          <w:sz w:val="15"/>
        </w:rPr>
        <w:t>v</w:t>
      </w:r>
      <w:r>
        <w:rPr>
          <w:color w:val="231F20"/>
          <w:spacing w:val="-16"/>
          <w:sz w:val="15"/>
        </w:rPr>
        <w:t xml:space="preserve"> </w:t>
      </w:r>
      <w:r>
        <w:rPr>
          <w:color w:val="231F20"/>
          <w:sz w:val="15"/>
        </w:rPr>
        <w:t>naléhavých</w:t>
      </w:r>
      <w:r>
        <w:rPr>
          <w:color w:val="231F20"/>
          <w:spacing w:val="-16"/>
          <w:sz w:val="15"/>
        </w:rPr>
        <w:t xml:space="preserve"> </w:t>
      </w:r>
      <w:r>
        <w:rPr>
          <w:color w:val="231F20"/>
          <w:sz w:val="15"/>
        </w:rPr>
        <w:t>případech</w:t>
      </w:r>
      <w:r>
        <w:rPr>
          <w:color w:val="231F20"/>
          <w:spacing w:val="-16"/>
          <w:sz w:val="15"/>
        </w:rPr>
        <w:t xml:space="preserve"> </w:t>
      </w:r>
      <w:r>
        <w:rPr>
          <w:color w:val="231F20"/>
          <w:sz w:val="15"/>
        </w:rPr>
        <w:t>za</w:t>
      </w:r>
      <w:r>
        <w:rPr>
          <w:color w:val="231F20"/>
          <w:spacing w:val="-16"/>
          <w:sz w:val="15"/>
        </w:rPr>
        <w:t xml:space="preserve"> </w:t>
      </w:r>
      <w:r>
        <w:rPr>
          <w:color w:val="231F20"/>
          <w:sz w:val="15"/>
        </w:rPr>
        <w:t>účelem</w:t>
      </w:r>
      <w:r>
        <w:rPr>
          <w:color w:val="231F20"/>
          <w:spacing w:val="-15"/>
          <w:sz w:val="15"/>
        </w:rPr>
        <w:t xml:space="preserve"> </w:t>
      </w:r>
      <w:r>
        <w:rPr>
          <w:color w:val="231F20"/>
          <w:sz w:val="15"/>
        </w:rPr>
        <w:t>zajištění</w:t>
      </w:r>
      <w:r>
        <w:rPr>
          <w:color w:val="231F20"/>
          <w:spacing w:val="-16"/>
          <w:sz w:val="15"/>
        </w:rPr>
        <w:t xml:space="preserve"> </w:t>
      </w:r>
      <w:r>
        <w:rPr>
          <w:color w:val="231F20"/>
          <w:sz w:val="15"/>
        </w:rPr>
        <w:t>bez- pečnosti</w:t>
      </w:r>
      <w:r>
        <w:rPr>
          <w:color w:val="231F20"/>
          <w:spacing w:val="-8"/>
          <w:sz w:val="15"/>
        </w:rPr>
        <w:t xml:space="preserve"> </w:t>
      </w:r>
      <w:r>
        <w:rPr>
          <w:color w:val="231F20"/>
          <w:sz w:val="15"/>
        </w:rPr>
        <w:t>nebo</w:t>
      </w:r>
      <w:r>
        <w:rPr>
          <w:color w:val="231F20"/>
          <w:spacing w:val="-7"/>
          <w:sz w:val="15"/>
        </w:rPr>
        <w:t xml:space="preserve"> </w:t>
      </w:r>
      <w:r>
        <w:rPr>
          <w:color w:val="231F20"/>
          <w:sz w:val="15"/>
        </w:rPr>
        <w:t>ochrany</w:t>
      </w:r>
      <w:r>
        <w:rPr>
          <w:color w:val="231F20"/>
          <w:spacing w:val="-7"/>
          <w:sz w:val="15"/>
        </w:rPr>
        <w:t xml:space="preserve"> </w:t>
      </w:r>
      <w:r>
        <w:rPr>
          <w:color w:val="231F20"/>
          <w:sz w:val="15"/>
        </w:rPr>
        <w:t>a</w:t>
      </w:r>
      <w:r>
        <w:rPr>
          <w:color w:val="231F20"/>
          <w:spacing w:val="-8"/>
          <w:sz w:val="15"/>
        </w:rPr>
        <w:t xml:space="preserve"> </w:t>
      </w:r>
      <w:r>
        <w:rPr>
          <w:color w:val="231F20"/>
          <w:sz w:val="15"/>
        </w:rPr>
        <w:t>v</w:t>
      </w:r>
      <w:r>
        <w:rPr>
          <w:color w:val="231F20"/>
          <w:spacing w:val="-7"/>
          <w:sz w:val="15"/>
        </w:rPr>
        <w:t xml:space="preserve"> </w:t>
      </w:r>
      <w:r>
        <w:rPr>
          <w:color w:val="231F20"/>
          <w:sz w:val="15"/>
        </w:rPr>
        <w:t>těch</w:t>
      </w:r>
      <w:r>
        <w:rPr>
          <w:color w:val="231F20"/>
          <w:spacing w:val="-7"/>
          <w:sz w:val="15"/>
        </w:rPr>
        <w:t xml:space="preserve"> </w:t>
      </w:r>
      <w:r>
        <w:rPr>
          <w:color w:val="231F20"/>
          <w:sz w:val="15"/>
        </w:rPr>
        <w:t>případech,</w:t>
      </w:r>
      <w:r>
        <w:rPr>
          <w:color w:val="231F20"/>
          <w:spacing w:val="-8"/>
          <w:sz w:val="15"/>
        </w:rPr>
        <w:t xml:space="preserve"> </w:t>
      </w:r>
      <w:r>
        <w:rPr>
          <w:color w:val="231F20"/>
          <w:sz w:val="15"/>
        </w:rPr>
        <w:t>kdy</w:t>
      </w:r>
      <w:r>
        <w:rPr>
          <w:color w:val="231F20"/>
          <w:spacing w:val="-7"/>
          <w:sz w:val="15"/>
        </w:rPr>
        <w:t xml:space="preserve"> </w:t>
      </w:r>
      <w:r>
        <w:rPr>
          <w:color w:val="231F20"/>
          <w:sz w:val="15"/>
        </w:rPr>
        <w:t>byla</w:t>
      </w:r>
      <w:r>
        <w:rPr>
          <w:color w:val="231F20"/>
          <w:spacing w:val="-7"/>
          <w:sz w:val="15"/>
        </w:rPr>
        <w:t xml:space="preserve"> </w:t>
      </w:r>
      <w:r>
        <w:rPr>
          <w:color w:val="231F20"/>
          <w:sz w:val="15"/>
        </w:rPr>
        <w:t>souvislost</w:t>
      </w:r>
      <w:r>
        <w:rPr>
          <w:color w:val="231F20"/>
          <w:spacing w:val="-7"/>
          <w:sz w:val="15"/>
        </w:rPr>
        <w:t xml:space="preserve"> </w:t>
      </w:r>
      <w:r>
        <w:rPr>
          <w:color w:val="231F20"/>
          <w:sz w:val="15"/>
        </w:rPr>
        <w:t>s</w:t>
      </w:r>
      <w:r>
        <w:rPr>
          <w:color w:val="231F20"/>
          <w:spacing w:val="-8"/>
          <w:sz w:val="15"/>
        </w:rPr>
        <w:t xml:space="preserve"> </w:t>
      </w:r>
      <w:r>
        <w:rPr>
          <w:color w:val="231F20"/>
          <w:sz w:val="15"/>
        </w:rPr>
        <w:t>konkrétní zemí</w:t>
      </w:r>
      <w:r>
        <w:rPr>
          <w:color w:val="231F20"/>
          <w:spacing w:val="-5"/>
          <w:sz w:val="15"/>
        </w:rPr>
        <w:t xml:space="preserve"> </w:t>
      </w:r>
      <w:r>
        <w:rPr>
          <w:color w:val="231F20"/>
          <w:sz w:val="15"/>
        </w:rPr>
        <w:t>s</w:t>
      </w:r>
      <w:r>
        <w:rPr>
          <w:color w:val="231F20"/>
          <w:spacing w:val="-5"/>
          <w:sz w:val="15"/>
        </w:rPr>
        <w:t xml:space="preserve"> </w:t>
      </w:r>
      <w:r>
        <w:rPr>
          <w:color w:val="231F20"/>
          <w:sz w:val="15"/>
        </w:rPr>
        <w:t>úplným</w:t>
      </w:r>
      <w:r>
        <w:rPr>
          <w:color w:val="231F20"/>
          <w:spacing w:val="-4"/>
          <w:sz w:val="15"/>
        </w:rPr>
        <w:t xml:space="preserve"> </w:t>
      </w:r>
      <w:r>
        <w:rPr>
          <w:color w:val="231F20"/>
          <w:sz w:val="15"/>
        </w:rPr>
        <w:t>embargem</w:t>
      </w:r>
      <w:r>
        <w:rPr>
          <w:color w:val="231F20"/>
          <w:spacing w:val="-5"/>
          <w:sz w:val="15"/>
        </w:rPr>
        <w:t xml:space="preserve"> </w:t>
      </w:r>
      <w:r>
        <w:rPr>
          <w:color w:val="231F20"/>
          <w:sz w:val="15"/>
        </w:rPr>
        <w:t>předem</w:t>
      </w:r>
      <w:r>
        <w:rPr>
          <w:color w:val="231F20"/>
          <w:spacing w:val="-4"/>
          <w:sz w:val="15"/>
        </w:rPr>
        <w:t xml:space="preserve"> </w:t>
      </w:r>
      <w:r>
        <w:rPr>
          <w:color w:val="231F20"/>
          <w:sz w:val="15"/>
        </w:rPr>
        <w:t>Pojišťovně</w:t>
      </w:r>
      <w:r>
        <w:rPr>
          <w:color w:val="231F20"/>
          <w:spacing w:val="-5"/>
          <w:sz w:val="15"/>
        </w:rPr>
        <w:t xml:space="preserve"> </w:t>
      </w:r>
      <w:r>
        <w:rPr>
          <w:color w:val="231F20"/>
          <w:sz w:val="15"/>
        </w:rPr>
        <w:t>oznámena</w:t>
      </w:r>
      <w:r>
        <w:rPr>
          <w:color w:val="231F20"/>
          <w:spacing w:val="-5"/>
          <w:sz w:val="15"/>
        </w:rPr>
        <w:t xml:space="preserve"> </w:t>
      </w:r>
      <w:r>
        <w:rPr>
          <w:color w:val="231F20"/>
          <w:sz w:val="15"/>
        </w:rPr>
        <w:t>a</w:t>
      </w:r>
      <w:r>
        <w:rPr>
          <w:color w:val="231F20"/>
          <w:spacing w:val="-4"/>
          <w:sz w:val="15"/>
        </w:rPr>
        <w:t xml:space="preserve"> </w:t>
      </w:r>
      <w:r>
        <w:rPr>
          <w:color w:val="231F20"/>
          <w:sz w:val="15"/>
        </w:rPr>
        <w:t>Pojišťovna</w:t>
      </w:r>
      <w:r>
        <w:rPr>
          <w:color w:val="231F20"/>
          <w:spacing w:val="-5"/>
          <w:sz w:val="15"/>
        </w:rPr>
        <w:t xml:space="preserve"> </w:t>
      </w:r>
      <w:r>
        <w:rPr>
          <w:color w:val="231F20"/>
          <w:sz w:val="15"/>
        </w:rPr>
        <w:t>pí- semně</w:t>
      </w:r>
      <w:r>
        <w:rPr>
          <w:color w:val="231F20"/>
          <w:spacing w:val="-27"/>
          <w:sz w:val="15"/>
        </w:rPr>
        <w:t xml:space="preserve"> </w:t>
      </w:r>
      <w:r>
        <w:rPr>
          <w:color w:val="231F20"/>
          <w:sz w:val="15"/>
        </w:rPr>
        <w:t>souhlasila</w:t>
      </w:r>
      <w:r>
        <w:rPr>
          <w:color w:val="231F20"/>
          <w:spacing w:val="-26"/>
          <w:sz w:val="15"/>
        </w:rPr>
        <w:t xml:space="preserve"> </w:t>
      </w:r>
      <w:r>
        <w:rPr>
          <w:color w:val="231F20"/>
          <w:sz w:val="15"/>
        </w:rPr>
        <w:t>se</w:t>
      </w:r>
      <w:r>
        <w:rPr>
          <w:color w:val="231F20"/>
          <w:spacing w:val="-26"/>
          <w:sz w:val="15"/>
        </w:rPr>
        <w:t xml:space="preserve"> </w:t>
      </w:r>
      <w:r>
        <w:rPr>
          <w:color w:val="231F20"/>
          <w:sz w:val="15"/>
        </w:rPr>
        <w:t>zahrnutím</w:t>
      </w:r>
      <w:r>
        <w:rPr>
          <w:color w:val="231F20"/>
          <w:spacing w:val="-26"/>
          <w:sz w:val="15"/>
        </w:rPr>
        <w:t xml:space="preserve"> </w:t>
      </w:r>
      <w:r>
        <w:rPr>
          <w:color w:val="231F20"/>
          <w:sz w:val="15"/>
        </w:rPr>
        <w:t>takového</w:t>
      </w:r>
      <w:r>
        <w:rPr>
          <w:color w:val="231F20"/>
          <w:spacing w:val="-26"/>
          <w:sz w:val="15"/>
        </w:rPr>
        <w:t xml:space="preserve"> </w:t>
      </w:r>
      <w:r>
        <w:rPr>
          <w:color w:val="231F20"/>
          <w:sz w:val="15"/>
        </w:rPr>
        <w:t>pojistného</w:t>
      </w:r>
      <w:r>
        <w:rPr>
          <w:color w:val="231F20"/>
          <w:spacing w:val="-27"/>
          <w:sz w:val="15"/>
        </w:rPr>
        <w:t xml:space="preserve"> </w:t>
      </w:r>
      <w:r>
        <w:rPr>
          <w:color w:val="231F20"/>
          <w:sz w:val="15"/>
        </w:rPr>
        <w:t>nebezpečí</w:t>
      </w:r>
      <w:r>
        <w:rPr>
          <w:color w:val="231F20"/>
          <w:spacing w:val="-26"/>
          <w:sz w:val="15"/>
        </w:rPr>
        <w:t xml:space="preserve"> </w:t>
      </w:r>
      <w:r>
        <w:rPr>
          <w:color w:val="231F20"/>
          <w:sz w:val="15"/>
        </w:rPr>
        <w:t>do</w:t>
      </w:r>
      <w:r>
        <w:rPr>
          <w:color w:val="231F20"/>
          <w:spacing w:val="-26"/>
          <w:sz w:val="15"/>
        </w:rPr>
        <w:t xml:space="preserve"> </w:t>
      </w:r>
      <w:r>
        <w:rPr>
          <w:color w:val="231F20"/>
          <w:sz w:val="15"/>
        </w:rPr>
        <w:t>pojištění.</w:t>
      </w:r>
    </w:p>
    <w:p w14:paraId="210A63EA" w14:textId="77777777" w:rsidR="00F65BCA" w:rsidRDefault="00216117">
      <w:pPr>
        <w:pStyle w:val="Zkladntext"/>
        <w:spacing w:line="172" w:lineRule="exact"/>
        <w:ind w:left="426"/>
        <w:jc w:val="both"/>
      </w:pPr>
      <w:r>
        <w:rPr>
          <w:color w:val="231F20"/>
          <w:w w:val="105"/>
        </w:rPr>
        <w:t>Zachraňovací náklady</w:t>
      </w:r>
    </w:p>
    <w:p w14:paraId="26A7BE2F" w14:textId="77777777" w:rsidR="00F65BCA" w:rsidRDefault="00216117">
      <w:pPr>
        <w:pStyle w:val="Zkladntext"/>
        <w:spacing w:before="26"/>
        <w:ind w:left="428"/>
        <w:jc w:val="both"/>
      </w:pPr>
      <w:r>
        <w:rPr>
          <w:color w:val="231F20"/>
          <w:position w:val="1"/>
          <w:sz w:val="14"/>
          <w:shd w:val="clear" w:color="auto" w:fill="D1D3D4"/>
        </w:rPr>
        <w:t xml:space="preserve"> 13</w:t>
      </w:r>
      <w:r>
        <w:rPr>
          <w:color w:val="231F20"/>
          <w:position w:val="1"/>
          <w:sz w:val="14"/>
        </w:rPr>
        <w:t xml:space="preserve"> </w:t>
      </w:r>
      <w:r>
        <w:rPr>
          <w:color w:val="231F20"/>
        </w:rPr>
        <w:t>Zachraňovacími náklady jsou účelně vynaložené náklady:</w:t>
      </w:r>
    </w:p>
    <w:p w14:paraId="0C37D111" w14:textId="77777777" w:rsidR="00F65BCA" w:rsidRDefault="00216117">
      <w:pPr>
        <w:pStyle w:val="Zkladntext"/>
        <w:spacing w:before="27"/>
        <w:ind w:left="710"/>
        <w:jc w:val="both"/>
      </w:pPr>
      <w:r>
        <w:rPr>
          <w:color w:val="231F20"/>
        </w:rPr>
        <w:t>a na odvrácení bezprostředně hrozící pojistné události nebo</w:t>
      </w:r>
    </w:p>
    <w:p w14:paraId="545C314C" w14:textId="77777777" w:rsidR="00F65BCA" w:rsidRDefault="00216117">
      <w:pPr>
        <w:pStyle w:val="Odstavecseseznamem"/>
        <w:numPr>
          <w:ilvl w:val="0"/>
          <w:numId w:val="128"/>
        </w:numPr>
        <w:tabs>
          <w:tab w:val="left" w:pos="638"/>
        </w:tabs>
        <w:spacing w:before="75"/>
        <w:jc w:val="both"/>
        <w:rPr>
          <w:sz w:val="15"/>
        </w:rPr>
      </w:pPr>
      <w:r>
        <w:rPr>
          <w:color w:val="231F20"/>
          <w:w w:val="94"/>
          <w:sz w:val="15"/>
        </w:rPr>
        <w:br w:type="column"/>
      </w:r>
      <w:r>
        <w:rPr>
          <w:color w:val="231F20"/>
          <w:sz w:val="15"/>
        </w:rPr>
        <w:t>na zmírnění následků již nastalé pojistné události</w:t>
      </w:r>
      <w:r>
        <w:rPr>
          <w:color w:val="231F20"/>
          <w:spacing w:val="-23"/>
          <w:sz w:val="15"/>
        </w:rPr>
        <w:t xml:space="preserve"> </w:t>
      </w:r>
      <w:r>
        <w:rPr>
          <w:color w:val="231F20"/>
          <w:sz w:val="15"/>
        </w:rPr>
        <w:t>nebo</w:t>
      </w:r>
    </w:p>
    <w:p w14:paraId="6FDC0C52" w14:textId="77777777" w:rsidR="00F65BCA" w:rsidRDefault="00216117">
      <w:pPr>
        <w:pStyle w:val="Odstavecseseznamem"/>
        <w:numPr>
          <w:ilvl w:val="0"/>
          <w:numId w:val="128"/>
        </w:numPr>
        <w:tabs>
          <w:tab w:val="left" w:pos="638"/>
        </w:tabs>
        <w:spacing w:before="28" w:line="278" w:lineRule="auto"/>
        <w:ind w:right="424"/>
        <w:jc w:val="both"/>
        <w:rPr>
          <w:sz w:val="15"/>
        </w:rPr>
      </w:pPr>
      <w:r>
        <w:rPr>
          <w:color w:val="231F20"/>
          <w:sz w:val="15"/>
        </w:rPr>
        <w:t>vynaložené</w:t>
      </w:r>
      <w:r>
        <w:rPr>
          <w:color w:val="231F20"/>
          <w:spacing w:val="-11"/>
          <w:sz w:val="15"/>
        </w:rPr>
        <w:t xml:space="preserve"> </w:t>
      </w:r>
      <w:r>
        <w:rPr>
          <w:color w:val="231F20"/>
          <w:sz w:val="15"/>
        </w:rPr>
        <w:t>v</w:t>
      </w:r>
      <w:r>
        <w:rPr>
          <w:color w:val="231F20"/>
          <w:spacing w:val="-11"/>
          <w:sz w:val="15"/>
        </w:rPr>
        <w:t xml:space="preserve"> </w:t>
      </w:r>
      <w:r>
        <w:rPr>
          <w:color w:val="231F20"/>
          <w:sz w:val="15"/>
        </w:rPr>
        <w:t>důsledku</w:t>
      </w:r>
      <w:r>
        <w:rPr>
          <w:color w:val="231F20"/>
          <w:spacing w:val="-10"/>
          <w:sz w:val="15"/>
        </w:rPr>
        <w:t xml:space="preserve"> </w:t>
      </w:r>
      <w:r>
        <w:rPr>
          <w:color w:val="231F20"/>
          <w:sz w:val="15"/>
        </w:rPr>
        <w:t>plnění</w:t>
      </w:r>
      <w:r>
        <w:rPr>
          <w:color w:val="231F20"/>
          <w:spacing w:val="-11"/>
          <w:sz w:val="15"/>
        </w:rPr>
        <w:t xml:space="preserve"> </w:t>
      </w:r>
      <w:r>
        <w:rPr>
          <w:color w:val="231F20"/>
          <w:sz w:val="15"/>
        </w:rPr>
        <w:t>povinnosti</w:t>
      </w:r>
      <w:r>
        <w:rPr>
          <w:color w:val="231F20"/>
          <w:spacing w:val="-10"/>
          <w:sz w:val="15"/>
        </w:rPr>
        <w:t xml:space="preserve"> </w:t>
      </w:r>
      <w:r>
        <w:rPr>
          <w:color w:val="231F20"/>
          <w:sz w:val="15"/>
        </w:rPr>
        <w:t>odklidit</w:t>
      </w:r>
      <w:r>
        <w:rPr>
          <w:color w:val="231F20"/>
          <w:spacing w:val="-11"/>
          <w:sz w:val="15"/>
        </w:rPr>
        <w:t xml:space="preserve"> </w:t>
      </w:r>
      <w:r>
        <w:rPr>
          <w:color w:val="231F20"/>
          <w:sz w:val="15"/>
        </w:rPr>
        <w:t>poškozený</w:t>
      </w:r>
      <w:r>
        <w:rPr>
          <w:color w:val="231F20"/>
          <w:spacing w:val="-11"/>
          <w:sz w:val="15"/>
        </w:rPr>
        <w:t xml:space="preserve"> </w:t>
      </w:r>
      <w:r>
        <w:rPr>
          <w:color w:val="231F20"/>
          <w:sz w:val="15"/>
        </w:rPr>
        <w:t>pojištěný</w:t>
      </w:r>
      <w:r>
        <w:rPr>
          <w:color w:val="231F20"/>
          <w:spacing w:val="-10"/>
          <w:sz w:val="15"/>
        </w:rPr>
        <w:t xml:space="preserve"> </w:t>
      </w:r>
      <w:r>
        <w:rPr>
          <w:color w:val="231F20"/>
          <w:sz w:val="15"/>
        </w:rPr>
        <w:t xml:space="preserve">ma- jetek nebo jeho </w:t>
      </w:r>
      <w:r>
        <w:rPr>
          <w:color w:val="231F20"/>
          <w:spacing w:val="2"/>
          <w:sz w:val="15"/>
        </w:rPr>
        <w:t xml:space="preserve">zbytky </w:t>
      </w:r>
      <w:r>
        <w:rPr>
          <w:color w:val="231F20"/>
          <w:sz w:val="15"/>
        </w:rPr>
        <w:t>z hygienických, ekologických a bezpečnostních důvodů.</w:t>
      </w:r>
    </w:p>
    <w:p w14:paraId="67D18C37" w14:textId="77777777" w:rsidR="00F65BCA" w:rsidRDefault="00216117">
      <w:pPr>
        <w:pStyle w:val="Zkladntext"/>
        <w:spacing w:line="278" w:lineRule="auto"/>
        <w:ind w:left="467" w:right="424" w:hanging="283"/>
        <w:jc w:val="both"/>
      </w:pPr>
      <w:r>
        <w:rPr>
          <w:color w:val="231F20"/>
          <w:spacing w:val="-22"/>
          <w:position w:val="1"/>
          <w:sz w:val="14"/>
          <w:shd w:val="clear" w:color="auto" w:fill="D1D3D4"/>
        </w:rPr>
        <w:t xml:space="preserve"> </w:t>
      </w:r>
      <w:r>
        <w:rPr>
          <w:color w:val="231F20"/>
          <w:position w:val="1"/>
          <w:sz w:val="14"/>
          <w:shd w:val="clear" w:color="auto" w:fill="D1D3D4"/>
        </w:rPr>
        <w:t>14</w:t>
      </w:r>
      <w:r>
        <w:rPr>
          <w:color w:val="231F20"/>
          <w:spacing w:val="2"/>
          <w:position w:val="1"/>
          <w:sz w:val="14"/>
        </w:rPr>
        <w:t xml:space="preserve"> </w:t>
      </w:r>
      <w:r>
        <w:rPr>
          <w:color w:val="231F20"/>
        </w:rPr>
        <w:t>Za</w:t>
      </w:r>
      <w:r>
        <w:rPr>
          <w:color w:val="231F20"/>
          <w:spacing w:val="-9"/>
        </w:rPr>
        <w:t xml:space="preserve"> </w:t>
      </w:r>
      <w:r>
        <w:rPr>
          <w:color w:val="231F20"/>
        </w:rPr>
        <w:t>bezprostředně</w:t>
      </w:r>
      <w:r>
        <w:rPr>
          <w:color w:val="231F20"/>
          <w:spacing w:val="-9"/>
        </w:rPr>
        <w:t xml:space="preserve"> </w:t>
      </w:r>
      <w:r>
        <w:rPr>
          <w:color w:val="231F20"/>
        </w:rPr>
        <w:t>hrozící</w:t>
      </w:r>
      <w:r>
        <w:rPr>
          <w:color w:val="231F20"/>
          <w:spacing w:val="-9"/>
        </w:rPr>
        <w:t xml:space="preserve"> </w:t>
      </w:r>
      <w:r>
        <w:rPr>
          <w:color w:val="231F20"/>
        </w:rPr>
        <w:t>pojistnou</w:t>
      </w:r>
      <w:r>
        <w:rPr>
          <w:color w:val="231F20"/>
          <w:spacing w:val="-8"/>
        </w:rPr>
        <w:t xml:space="preserve"> </w:t>
      </w:r>
      <w:r>
        <w:rPr>
          <w:color w:val="231F20"/>
        </w:rPr>
        <w:t>událost</w:t>
      </w:r>
      <w:r>
        <w:rPr>
          <w:color w:val="231F20"/>
          <w:spacing w:val="-9"/>
        </w:rPr>
        <w:t xml:space="preserve"> </w:t>
      </w:r>
      <w:r>
        <w:rPr>
          <w:color w:val="231F20"/>
        </w:rPr>
        <w:t>je</w:t>
      </w:r>
      <w:r>
        <w:rPr>
          <w:color w:val="231F20"/>
          <w:spacing w:val="-9"/>
        </w:rPr>
        <w:t xml:space="preserve"> </w:t>
      </w:r>
      <w:r>
        <w:rPr>
          <w:color w:val="231F20"/>
        </w:rPr>
        <w:t>považován</w:t>
      </w:r>
      <w:r>
        <w:rPr>
          <w:color w:val="231F20"/>
          <w:spacing w:val="-9"/>
        </w:rPr>
        <w:t xml:space="preserve"> </w:t>
      </w:r>
      <w:r>
        <w:rPr>
          <w:color w:val="231F20"/>
          <w:spacing w:val="-3"/>
        </w:rPr>
        <w:t>stav,</w:t>
      </w:r>
      <w:r>
        <w:rPr>
          <w:color w:val="231F20"/>
          <w:spacing w:val="-8"/>
        </w:rPr>
        <w:t xml:space="preserve"> </w:t>
      </w:r>
      <w:r>
        <w:rPr>
          <w:color w:val="231F20"/>
        </w:rPr>
        <w:t>kdy</w:t>
      </w:r>
      <w:r>
        <w:rPr>
          <w:color w:val="231F20"/>
          <w:spacing w:val="-9"/>
        </w:rPr>
        <w:t xml:space="preserve"> </w:t>
      </w:r>
      <w:r>
        <w:rPr>
          <w:color w:val="231F20"/>
        </w:rPr>
        <w:t>by</w:t>
      </w:r>
      <w:r>
        <w:rPr>
          <w:color w:val="231F20"/>
          <w:spacing w:val="-9"/>
        </w:rPr>
        <w:t xml:space="preserve"> </w:t>
      </w:r>
      <w:r>
        <w:rPr>
          <w:color w:val="231F20"/>
        </w:rPr>
        <w:t>bez</w:t>
      </w:r>
      <w:r>
        <w:rPr>
          <w:color w:val="231F20"/>
          <w:spacing w:val="-9"/>
        </w:rPr>
        <w:t xml:space="preserve"> </w:t>
      </w:r>
      <w:r>
        <w:rPr>
          <w:color w:val="231F20"/>
        </w:rPr>
        <w:t>zá- sahu</w:t>
      </w:r>
      <w:r>
        <w:rPr>
          <w:color w:val="231F20"/>
          <w:spacing w:val="-6"/>
        </w:rPr>
        <w:t xml:space="preserve"> </w:t>
      </w:r>
      <w:r>
        <w:rPr>
          <w:color w:val="231F20"/>
        </w:rPr>
        <w:t>muselo</w:t>
      </w:r>
      <w:r>
        <w:rPr>
          <w:color w:val="231F20"/>
          <w:spacing w:val="-6"/>
        </w:rPr>
        <w:t xml:space="preserve"> </w:t>
      </w:r>
      <w:r>
        <w:rPr>
          <w:color w:val="231F20"/>
        </w:rPr>
        <w:t>ke</w:t>
      </w:r>
      <w:r>
        <w:rPr>
          <w:color w:val="231F20"/>
          <w:spacing w:val="-6"/>
        </w:rPr>
        <w:t xml:space="preserve"> </w:t>
      </w:r>
      <w:r>
        <w:rPr>
          <w:color w:val="231F20"/>
        </w:rPr>
        <w:t>vzniku</w:t>
      </w:r>
      <w:r>
        <w:rPr>
          <w:color w:val="231F20"/>
          <w:spacing w:val="-6"/>
        </w:rPr>
        <w:t xml:space="preserve"> </w:t>
      </w:r>
      <w:r>
        <w:rPr>
          <w:color w:val="231F20"/>
        </w:rPr>
        <w:t>pojistné</w:t>
      </w:r>
      <w:r>
        <w:rPr>
          <w:color w:val="231F20"/>
          <w:spacing w:val="-6"/>
        </w:rPr>
        <w:t xml:space="preserve"> </w:t>
      </w:r>
      <w:r>
        <w:rPr>
          <w:color w:val="231F20"/>
        </w:rPr>
        <w:t>události</w:t>
      </w:r>
      <w:r>
        <w:rPr>
          <w:color w:val="231F20"/>
          <w:spacing w:val="-6"/>
        </w:rPr>
        <w:t xml:space="preserve"> </w:t>
      </w:r>
      <w:r>
        <w:rPr>
          <w:color w:val="231F20"/>
        </w:rPr>
        <w:t>nevyhnutelně</w:t>
      </w:r>
      <w:r>
        <w:rPr>
          <w:color w:val="231F20"/>
          <w:spacing w:val="-5"/>
        </w:rPr>
        <w:t xml:space="preserve"> </w:t>
      </w:r>
      <w:r>
        <w:rPr>
          <w:color w:val="231F20"/>
        </w:rPr>
        <w:t>a</w:t>
      </w:r>
      <w:r>
        <w:rPr>
          <w:color w:val="231F20"/>
          <w:spacing w:val="-6"/>
        </w:rPr>
        <w:t xml:space="preserve"> </w:t>
      </w:r>
      <w:r>
        <w:rPr>
          <w:color w:val="231F20"/>
        </w:rPr>
        <w:t>nutně</w:t>
      </w:r>
      <w:r>
        <w:rPr>
          <w:color w:val="231F20"/>
          <w:spacing w:val="-6"/>
        </w:rPr>
        <w:t xml:space="preserve"> </w:t>
      </w:r>
      <w:r>
        <w:rPr>
          <w:color w:val="231F20"/>
        </w:rPr>
        <w:t>dojít,</w:t>
      </w:r>
      <w:r>
        <w:rPr>
          <w:color w:val="231F20"/>
          <w:spacing w:val="-6"/>
        </w:rPr>
        <w:t xml:space="preserve"> </w:t>
      </w:r>
      <w:r>
        <w:rPr>
          <w:color w:val="231F20"/>
        </w:rPr>
        <w:t>přičemž nebylo</w:t>
      </w:r>
      <w:r>
        <w:rPr>
          <w:color w:val="231F20"/>
          <w:spacing w:val="-4"/>
        </w:rPr>
        <w:t xml:space="preserve"> </w:t>
      </w:r>
      <w:r>
        <w:rPr>
          <w:color w:val="231F20"/>
        </w:rPr>
        <w:t>možné</w:t>
      </w:r>
      <w:r>
        <w:rPr>
          <w:color w:val="231F20"/>
          <w:spacing w:val="-4"/>
        </w:rPr>
        <w:t xml:space="preserve"> </w:t>
      </w:r>
      <w:r>
        <w:rPr>
          <w:color w:val="231F20"/>
        </w:rPr>
        <w:t>vzniku</w:t>
      </w:r>
      <w:r>
        <w:rPr>
          <w:color w:val="231F20"/>
          <w:spacing w:val="-4"/>
        </w:rPr>
        <w:t xml:space="preserve"> </w:t>
      </w:r>
      <w:r>
        <w:rPr>
          <w:color w:val="231F20"/>
        </w:rPr>
        <w:t>škody</w:t>
      </w:r>
      <w:r>
        <w:rPr>
          <w:color w:val="231F20"/>
          <w:spacing w:val="-4"/>
        </w:rPr>
        <w:t xml:space="preserve"> </w:t>
      </w:r>
      <w:r>
        <w:rPr>
          <w:color w:val="231F20"/>
        </w:rPr>
        <w:t>či</w:t>
      </w:r>
      <w:r>
        <w:rPr>
          <w:color w:val="231F20"/>
          <w:spacing w:val="-4"/>
        </w:rPr>
        <w:t xml:space="preserve"> </w:t>
      </w:r>
      <w:r>
        <w:rPr>
          <w:color w:val="231F20"/>
        </w:rPr>
        <w:t>újmy</w:t>
      </w:r>
      <w:r>
        <w:rPr>
          <w:color w:val="231F20"/>
          <w:spacing w:val="-4"/>
        </w:rPr>
        <w:t xml:space="preserve"> </w:t>
      </w:r>
      <w:r>
        <w:rPr>
          <w:color w:val="231F20"/>
        </w:rPr>
        <w:t>zabránit</w:t>
      </w:r>
      <w:r>
        <w:rPr>
          <w:color w:val="231F20"/>
          <w:spacing w:val="-4"/>
        </w:rPr>
        <w:t xml:space="preserve"> </w:t>
      </w:r>
      <w:r>
        <w:rPr>
          <w:color w:val="231F20"/>
        </w:rPr>
        <w:t>jiným</w:t>
      </w:r>
      <w:r>
        <w:rPr>
          <w:color w:val="231F20"/>
          <w:spacing w:val="-4"/>
        </w:rPr>
        <w:t xml:space="preserve"> </w:t>
      </w:r>
      <w:r>
        <w:rPr>
          <w:color w:val="231F20"/>
        </w:rPr>
        <w:t>způsobem.</w:t>
      </w:r>
    </w:p>
    <w:p w14:paraId="6CFCFF82" w14:textId="77777777" w:rsidR="00F65BCA" w:rsidRDefault="00216117">
      <w:pPr>
        <w:pStyle w:val="Zkladntext"/>
        <w:spacing w:line="278" w:lineRule="auto"/>
        <w:ind w:left="467" w:right="425" w:hanging="283"/>
        <w:jc w:val="both"/>
      </w:pPr>
      <w:r>
        <w:rPr>
          <w:color w:val="231F20"/>
          <w:spacing w:val="-22"/>
          <w:position w:val="1"/>
          <w:sz w:val="14"/>
          <w:shd w:val="clear" w:color="auto" w:fill="D1D3D4"/>
        </w:rPr>
        <w:t xml:space="preserve"> </w:t>
      </w:r>
      <w:r>
        <w:rPr>
          <w:color w:val="231F20"/>
          <w:position w:val="1"/>
          <w:sz w:val="14"/>
          <w:shd w:val="clear" w:color="auto" w:fill="D1D3D4"/>
        </w:rPr>
        <w:t>15</w:t>
      </w:r>
      <w:r>
        <w:rPr>
          <w:color w:val="231F20"/>
          <w:position w:val="1"/>
          <w:sz w:val="14"/>
        </w:rPr>
        <w:t xml:space="preserve"> </w:t>
      </w:r>
      <w:r>
        <w:rPr>
          <w:color w:val="231F20"/>
        </w:rPr>
        <w:t>Vynaložil-li tyto náklady pojistník účelně, má proti Pojišťovně právo na jejich náhradu,</w:t>
      </w:r>
      <w:r>
        <w:rPr>
          <w:color w:val="231F20"/>
          <w:spacing w:val="-13"/>
        </w:rPr>
        <w:t xml:space="preserve"> </w:t>
      </w:r>
      <w:r>
        <w:rPr>
          <w:color w:val="231F20"/>
        </w:rPr>
        <w:t>jakož</w:t>
      </w:r>
      <w:r>
        <w:rPr>
          <w:color w:val="231F20"/>
          <w:spacing w:val="-12"/>
        </w:rPr>
        <w:t xml:space="preserve"> </w:t>
      </w:r>
      <w:r>
        <w:rPr>
          <w:color w:val="231F20"/>
        </w:rPr>
        <w:t>i</w:t>
      </w:r>
      <w:r>
        <w:rPr>
          <w:color w:val="231F20"/>
          <w:spacing w:val="-13"/>
        </w:rPr>
        <w:t xml:space="preserve"> </w:t>
      </w:r>
      <w:r>
        <w:rPr>
          <w:color w:val="231F20"/>
        </w:rPr>
        <w:t>na</w:t>
      </w:r>
      <w:r>
        <w:rPr>
          <w:color w:val="231F20"/>
          <w:spacing w:val="-12"/>
        </w:rPr>
        <w:t xml:space="preserve"> </w:t>
      </w:r>
      <w:r>
        <w:rPr>
          <w:color w:val="231F20"/>
        </w:rPr>
        <w:t>náhradu</w:t>
      </w:r>
      <w:r>
        <w:rPr>
          <w:color w:val="231F20"/>
          <w:spacing w:val="-13"/>
        </w:rPr>
        <w:t xml:space="preserve"> </w:t>
      </w:r>
      <w:r>
        <w:rPr>
          <w:color w:val="231F20"/>
          <w:spacing w:val="-3"/>
        </w:rPr>
        <w:t>škody,</w:t>
      </w:r>
      <w:r>
        <w:rPr>
          <w:color w:val="231F20"/>
          <w:spacing w:val="-12"/>
        </w:rPr>
        <w:t xml:space="preserve"> </w:t>
      </w:r>
      <w:r>
        <w:rPr>
          <w:color w:val="231F20"/>
        </w:rPr>
        <w:t>kterou</w:t>
      </w:r>
      <w:r>
        <w:rPr>
          <w:color w:val="231F20"/>
          <w:spacing w:val="-13"/>
        </w:rPr>
        <w:t xml:space="preserve"> </w:t>
      </w:r>
      <w:r>
        <w:rPr>
          <w:color w:val="231F20"/>
        </w:rPr>
        <w:t>v</w:t>
      </w:r>
      <w:r>
        <w:rPr>
          <w:color w:val="231F20"/>
          <w:spacing w:val="-12"/>
        </w:rPr>
        <w:t xml:space="preserve"> </w:t>
      </w:r>
      <w:r>
        <w:rPr>
          <w:color w:val="231F20"/>
        </w:rPr>
        <w:t>souvislosti</w:t>
      </w:r>
      <w:r>
        <w:rPr>
          <w:color w:val="231F20"/>
          <w:spacing w:val="-13"/>
        </w:rPr>
        <w:t xml:space="preserve"> </w:t>
      </w:r>
      <w:r>
        <w:rPr>
          <w:color w:val="231F20"/>
        </w:rPr>
        <w:t>s</w:t>
      </w:r>
      <w:r>
        <w:rPr>
          <w:color w:val="231F20"/>
          <w:spacing w:val="-12"/>
        </w:rPr>
        <w:t xml:space="preserve"> </w:t>
      </w:r>
      <w:r>
        <w:rPr>
          <w:color w:val="231F20"/>
        </w:rPr>
        <w:t>touto</w:t>
      </w:r>
      <w:r>
        <w:rPr>
          <w:color w:val="231F20"/>
          <w:spacing w:val="-13"/>
        </w:rPr>
        <w:t xml:space="preserve"> </w:t>
      </w:r>
      <w:r>
        <w:rPr>
          <w:color w:val="231F20"/>
        </w:rPr>
        <w:t>činností</w:t>
      </w:r>
      <w:r>
        <w:rPr>
          <w:color w:val="231F20"/>
          <w:spacing w:val="-12"/>
        </w:rPr>
        <w:t xml:space="preserve"> </w:t>
      </w:r>
      <w:r>
        <w:rPr>
          <w:color w:val="231F20"/>
        </w:rPr>
        <w:t>utrpěl.</w:t>
      </w:r>
    </w:p>
    <w:p w14:paraId="40E2FCC9" w14:textId="77777777" w:rsidR="00F65BCA" w:rsidRDefault="00216117">
      <w:pPr>
        <w:pStyle w:val="Zkladntext"/>
        <w:spacing w:line="278" w:lineRule="auto"/>
        <w:ind w:left="467" w:right="424" w:hanging="283"/>
        <w:jc w:val="both"/>
      </w:pPr>
      <w:r>
        <w:rPr>
          <w:color w:val="231F20"/>
          <w:spacing w:val="-22"/>
          <w:position w:val="1"/>
          <w:sz w:val="14"/>
          <w:shd w:val="clear" w:color="auto" w:fill="D1D3D4"/>
        </w:rPr>
        <w:t xml:space="preserve"> </w:t>
      </w:r>
      <w:r>
        <w:rPr>
          <w:color w:val="231F20"/>
          <w:position w:val="1"/>
          <w:sz w:val="14"/>
          <w:shd w:val="clear" w:color="auto" w:fill="D1D3D4"/>
        </w:rPr>
        <w:t>15</w:t>
      </w:r>
      <w:r>
        <w:rPr>
          <w:color w:val="231F20"/>
          <w:spacing w:val="29"/>
          <w:position w:val="1"/>
          <w:sz w:val="14"/>
        </w:rPr>
        <w:t xml:space="preserve"> </w:t>
      </w:r>
      <w:r>
        <w:rPr>
          <w:color w:val="231F20"/>
        </w:rPr>
        <w:t>Pokud</w:t>
      </w:r>
      <w:r>
        <w:rPr>
          <w:color w:val="231F20"/>
          <w:spacing w:val="-11"/>
        </w:rPr>
        <w:t xml:space="preserve"> </w:t>
      </w:r>
      <w:r>
        <w:rPr>
          <w:color w:val="231F20"/>
        </w:rPr>
        <w:t>není</w:t>
      </w:r>
      <w:r>
        <w:rPr>
          <w:color w:val="231F20"/>
          <w:spacing w:val="-12"/>
        </w:rPr>
        <w:t xml:space="preserve"> </w:t>
      </w:r>
      <w:r>
        <w:rPr>
          <w:color w:val="231F20"/>
        </w:rPr>
        <w:t>v</w:t>
      </w:r>
      <w:r>
        <w:rPr>
          <w:color w:val="231F20"/>
          <w:spacing w:val="-12"/>
        </w:rPr>
        <w:t xml:space="preserve"> </w:t>
      </w:r>
      <w:r>
        <w:rPr>
          <w:color w:val="231F20"/>
        </w:rPr>
        <w:t>pojistné</w:t>
      </w:r>
      <w:r>
        <w:rPr>
          <w:color w:val="231F20"/>
          <w:spacing w:val="-11"/>
        </w:rPr>
        <w:t xml:space="preserve"> </w:t>
      </w:r>
      <w:r>
        <w:rPr>
          <w:color w:val="231F20"/>
        </w:rPr>
        <w:t>smlouvě</w:t>
      </w:r>
      <w:r>
        <w:rPr>
          <w:color w:val="231F20"/>
          <w:spacing w:val="-12"/>
        </w:rPr>
        <w:t xml:space="preserve"> </w:t>
      </w:r>
      <w:r>
        <w:rPr>
          <w:color w:val="231F20"/>
        </w:rPr>
        <w:t>ujednáno</w:t>
      </w:r>
      <w:r>
        <w:rPr>
          <w:color w:val="231F20"/>
          <w:spacing w:val="-11"/>
        </w:rPr>
        <w:t xml:space="preserve"> </w:t>
      </w:r>
      <w:r>
        <w:rPr>
          <w:color w:val="231F20"/>
        </w:rPr>
        <w:t>jinak,</w:t>
      </w:r>
      <w:r>
        <w:rPr>
          <w:color w:val="231F20"/>
          <w:spacing w:val="-12"/>
        </w:rPr>
        <w:t xml:space="preserve"> </w:t>
      </w:r>
      <w:r>
        <w:rPr>
          <w:color w:val="231F20"/>
        </w:rPr>
        <w:t>hradí</w:t>
      </w:r>
      <w:r>
        <w:rPr>
          <w:color w:val="231F20"/>
          <w:spacing w:val="-11"/>
        </w:rPr>
        <w:t xml:space="preserve"> </w:t>
      </w:r>
      <w:r>
        <w:rPr>
          <w:color w:val="231F20"/>
        </w:rPr>
        <w:t>Pojišťovna</w:t>
      </w:r>
      <w:r>
        <w:rPr>
          <w:color w:val="231F20"/>
          <w:spacing w:val="-12"/>
        </w:rPr>
        <w:t xml:space="preserve"> </w:t>
      </w:r>
      <w:r>
        <w:rPr>
          <w:color w:val="231F20"/>
          <w:spacing w:val="-2"/>
        </w:rPr>
        <w:t xml:space="preserve">zachraňovací </w:t>
      </w:r>
      <w:r>
        <w:rPr>
          <w:color w:val="231F20"/>
        </w:rPr>
        <w:t>náklady</w:t>
      </w:r>
      <w:r>
        <w:rPr>
          <w:color w:val="231F20"/>
          <w:spacing w:val="-15"/>
        </w:rPr>
        <w:t xml:space="preserve"> </w:t>
      </w:r>
      <w:r>
        <w:rPr>
          <w:color w:val="231F20"/>
        </w:rPr>
        <w:t>do</w:t>
      </w:r>
      <w:r>
        <w:rPr>
          <w:color w:val="231F20"/>
          <w:spacing w:val="-15"/>
        </w:rPr>
        <w:t xml:space="preserve"> </w:t>
      </w:r>
      <w:r>
        <w:rPr>
          <w:color w:val="231F20"/>
        </w:rPr>
        <w:t>částky</w:t>
      </w:r>
      <w:r>
        <w:rPr>
          <w:color w:val="231F20"/>
          <w:spacing w:val="-15"/>
        </w:rPr>
        <w:t xml:space="preserve"> </w:t>
      </w:r>
      <w:r>
        <w:rPr>
          <w:color w:val="231F20"/>
        </w:rPr>
        <w:t>odpovídající</w:t>
      </w:r>
      <w:r>
        <w:rPr>
          <w:color w:val="231F20"/>
          <w:spacing w:val="-15"/>
        </w:rPr>
        <w:t xml:space="preserve"> </w:t>
      </w:r>
      <w:r>
        <w:rPr>
          <w:color w:val="231F20"/>
        </w:rPr>
        <w:t>2</w:t>
      </w:r>
      <w:r>
        <w:rPr>
          <w:color w:val="231F20"/>
          <w:spacing w:val="-15"/>
        </w:rPr>
        <w:t xml:space="preserve"> </w:t>
      </w:r>
      <w:r>
        <w:rPr>
          <w:color w:val="231F20"/>
        </w:rPr>
        <w:t>%</w:t>
      </w:r>
      <w:r>
        <w:rPr>
          <w:color w:val="231F20"/>
          <w:spacing w:val="-15"/>
        </w:rPr>
        <w:t xml:space="preserve"> </w:t>
      </w:r>
      <w:r>
        <w:rPr>
          <w:color w:val="231F20"/>
        </w:rPr>
        <w:t>horní</w:t>
      </w:r>
      <w:r>
        <w:rPr>
          <w:color w:val="231F20"/>
          <w:spacing w:val="-14"/>
        </w:rPr>
        <w:t xml:space="preserve"> </w:t>
      </w:r>
      <w:r>
        <w:rPr>
          <w:color w:val="231F20"/>
        </w:rPr>
        <w:t>hranice</w:t>
      </w:r>
      <w:r>
        <w:rPr>
          <w:color w:val="231F20"/>
          <w:spacing w:val="-15"/>
        </w:rPr>
        <w:t xml:space="preserve"> </w:t>
      </w:r>
      <w:r>
        <w:rPr>
          <w:color w:val="231F20"/>
        </w:rPr>
        <w:t>pojistného</w:t>
      </w:r>
      <w:r>
        <w:rPr>
          <w:color w:val="231F20"/>
          <w:spacing w:val="-15"/>
        </w:rPr>
        <w:t xml:space="preserve"> </w:t>
      </w:r>
      <w:r>
        <w:rPr>
          <w:color w:val="231F20"/>
        </w:rPr>
        <w:t>plnění,</w:t>
      </w:r>
      <w:r>
        <w:rPr>
          <w:color w:val="231F20"/>
          <w:spacing w:val="-15"/>
        </w:rPr>
        <w:t xml:space="preserve"> </w:t>
      </w:r>
      <w:r>
        <w:rPr>
          <w:color w:val="231F20"/>
        </w:rPr>
        <w:t>v</w:t>
      </w:r>
      <w:r>
        <w:rPr>
          <w:color w:val="231F20"/>
          <w:spacing w:val="-15"/>
        </w:rPr>
        <w:t xml:space="preserve"> </w:t>
      </w:r>
      <w:r>
        <w:rPr>
          <w:color w:val="231F20"/>
        </w:rPr>
        <w:t>případě nákladů</w:t>
      </w:r>
      <w:r>
        <w:rPr>
          <w:color w:val="231F20"/>
          <w:spacing w:val="-10"/>
        </w:rPr>
        <w:t xml:space="preserve"> </w:t>
      </w:r>
      <w:r>
        <w:rPr>
          <w:color w:val="231F20"/>
        </w:rPr>
        <w:t>na</w:t>
      </w:r>
      <w:r>
        <w:rPr>
          <w:color w:val="231F20"/>
          <w:spacing w:val="-10"/>
        </w:rPr>
        <w:t xml:space="preserve"> </w:t>
      </w:r>
      <w:r>
        <w:rPr>
          <w:color w:val="231F20"/>
        </w:rPr>
        <w:t>nařízený</w:t>
      </w:r>
      <w:r>
        <w:rPr>
          <w:color w:val="231F20"/>
          <w:spacing w:val="-9"/>
        </w:rPr>
        <w:t xml:space="preserve"> </w:t>
      </w:r>
      <w:r>
        <w:rPr>
          <w:color w:val="231F20"/>
        </w:rPr>
        <w:t>odtah,</w:t>
      </w:r>
      <w:r>
        <w:rPr>
          <w:color w:val="231F20"/>
          <w:spacing w:val="-10"/>
        </w:rPr>
        <w:t xml:space="preserve"> </w:t>
      </w:r>
      <w:r>
        <w:rPr>
          <w:color w:val="231F20"/>
        </w:rPr>
        <w:t>nákladů</w:t>
      </w:r>
      <w:r>
        <w:rPr>
          <w:color w:val="231F20"/>
          <w:spacing w:val="-10"/>
        </w:rPr>
        <w:t xml:space="preserve"> </w:t>
      </w:r>
      <w:r>
        <w:rPr>
          <w:color w:val="231F20"/>
        </w:rPr>
        <w:t>na</w:t>
      </w:r>
      <w:r>
        <w:rPr>
          <w:color w:val="231F20"/>
          <w:spacing w:val="-9"/>
        </w:rPr>
        <w:t xml:space="preserve"> </w:t>
      </w:r>
      <w:r>
        <w:rPr>
          <w:color w:val="231F20"/>
        </w:rPr>
        <w:t>vyproštění,</w:t>
      </w:r>
      <w:r>
        <w:rPr>
          <w:color w:val="231F20"/>
          <w:spacing w:val="-10"/>
        </w:rPr>
        <w:t xml:space="preserve"> </w:t>
      </w:r>
      <w:r>
        <w:rPr>
          <w:color w:val="231F20"/>
        </w:rPr>
        <w:t>dopravu</w:t>
      </w:r>
      <w:r>
        <w:rPr>
          <w:color w:val="231F20"/>
          <w:spacing w:val="-10"/>
        </w:rPr>
        <w:t xml:space="preserve"> </w:t>
      </w:r>
      <w:r>
        <w:rPr>
          <w:color w:val="231F20"/>
        </w:rPr>
        <w:t>a</w:t>
      </w:r>
      <w:r>
        <w:rPr>
          <w:color w:val="231F20"/>
          <w:spacing w:val="-9"/>
        </w:rPr>
        <w:t xml:space="preserve"> </w:t>
      </w:r>
      <w:r>
        <w:rPr>
          <w:color w:val="231F20"/>
        </w:rPr>
        <w:t>uskladnění</w:t>
      </w:r>
      <w:r>
        <w:rPr>
          <w:color w:val="231F20"/>
          <w:spacing w:val="-10"/>
        </w:rPr>
        <w:t xml:space="preserve"> </w:t>
      </w:r>
      <w:r>
        <w:rPr>
          <w:color w:val="231F20"/>
          <w:spacing w:val="-6"/>
        </w:rPr>
        <w:t xml:space="preserve">po- </w:t>
      </w:r>
      <w:r>
        <w:rPr>
          <w:color w:val="231F20"/>
        </w:rPr>
        <w:t>škozeného</w:t>
      </w:r>
      <w:r>
        <w:rPr>
          <w:color w:val="231F20"/>
          <w:spacing w:val="-12"/>
        </w:rPr>
        <w:t xml:space="preserve"> </w:t>
      </w:r>
      <w:r>
        <w:rPr>
          <w:color w:val="231F20"/>
        </w:rPr>
        <w:t>vozidla</w:t>
      </w:r>
      <w:r>
        <w:rPr>
          <w:color w:val="231F20"/>
          <w:spacing w:val="-11"/>
        </w:rPr>
        <w:t xml:space="preserve"> </w:t>
      </w:r>
      <w:r>
        <w:rPr>
          <w:color w:val="231F20"/>
        </w:rPr>
        <w:t>však</w:t>
      </w:r>
      <w:r>
        <w:rPr>
          <w:color w:val="231F20"/>
          <w:spacing w:val="-12"/>
        </w:rPr>
        <w:t xml:space="preserve"> </w:t>
      </w:r>
      <w:r>
        <w:rPr>
          <w:color w:val="231F20"/>
        </w:rPr>
        <w:t>jen</w:t>
      </w:r>
      <w:r>
        <w:rPr>
          <w:color w:val="231F20"/>
          <w:spacing w:val="-11"/>
        </w:rPr>
        <w:t xml:space="preserve"> </w:t>
      </w:r>
      <w:r>
        <w:rPr>
          <w:color w:val="231F20"/>
        </w:rPr>
        <w:t>do</w:t>
      </w:r>
      <w:r>
        <w:rPr>
          <w:color w:val="231F20"/>
          <w:spacing w:val="-11"/>
        </w:rPr>
        <w:t xml:space="preserve"> </w:t>
      </w:r>
      <w:r>
        <w:rPr>
          <w:color w:val="231F20"/>
        </w:rPr>
        <w:t>částky</w:t>
      </w:r>
      <w:r>
        <w:rPr>
          <w:color w:val="231F20"/>
          <w:spacing w:val="-12"/>
        </w:rPr>
        <w:t xml:space="preserve"> </w:t>
      </w:r>
      <w:r>
        <w:rPr>
          <w:color w:val="231F20"/>
        </w:rPr>
        <w:t>odpovídající</w:t>
      </w:r>
      <w:r>
        <w:rPr>
          <w:color w:val="231F20"/>
          <w:spacing w:val="-11"/>
        </w:rPr>
        <w:t xml:space="preserve"> </w:t>
      </w:r>
      <w:r>
        <w:rPr>
          <w:color w:val="231F20"/>
        </w:rPr>
        <w:t>5</w:t>
      </w:r>
      <w:r>
        <w:rPr>
          <w:color w:val="231F20"/>
          <w:spacing w:val="-11"/>
        </w:rPr>
        <w:t xml:space="preserve"> </w:t>
      </w:r>
      <w:r>
        <w:rPr>
          <w:color w:val="231F20"/>
        </w:rPr>
        <w:t>%</w:t>
      </w:r>
      <w:r>
        <w:rPr>
          <w:color w:val="231F20"/>
          <w:spacing w:val="-12"/>
        </w:rPr>
        <w:t xml:space="preserve"> </w:t>
      </w:r>
      <w:r>
        <w:rPr>
          <w:color w:val="231F20"/>
        </w:rPr>
        <w:t>tržní</w:t>
      </w:r>
      <w:r>
        <w:rPr>
          <w:color w:val="231F20"/>
          <w:spacing w:val="-11"/>
        </w:rPr>
        <w:t xml:space="preserve"> </w:t>
      </w:r>
      <w:r>
        <w:rPr>
          <w:color w:val="231F20"/>
        </w:rPr>
        <w:t>hodnoty</w:t>
      </w:r>
      <w:r>
        <w:rPr>
          <w:color w:val="231F20"/>
          <w:spacing w:val="-12"/>
        </w:rPr>
        <w:t xml:space="preserve"> </w:t>
      </w:r>
      <w:r>
        <w:rPr>
          <w:color w:val="231F20"/>
        </w:rPr>
        <w:t>vozidla; jde-li</w:t>
      </w:r>
      <w:r>
        <w:rPr>
          <w:color w:val="231F20"/>
          <w:spacing w:val="-16"/>
        </w:rPr>
        <w:t xml:space="preserve"> </w:t>
      </w:r>
      <w:r>
        <w:rPr>
          <w:color w:val="231F20"/>
        </w:rPr>
        <w:t>o</w:t>
      </w:r>
      <w:r>
        <w:rPr>
          <w:color w:val="231F20"/>
          <w:spacing w:val="-15"/>
        </w:rPr>
        <w:t xml:space="preserve"> </w:t>
      </w:r>
      <w:r>
        <w:rPr>
          <w:color w:val="231F20"/>
        </w:rPr>
        <w:t>záchranu</w:t>
      </w:r>
      <w:r>
        <w:rPr>
          <w:color w:val="231F20"/>
          <w:spacing w:val="-15"/>
        </w:rPr>
        <w:t xml:space="preserve"> </w:t>
      </w:r>
      <w:r>
        <w:rPr>
          <w:color w:val="231F20"/>
        </w:rPr>
        <w:t>života</w:t>
      </w:r>
      <w:r>
        <w:rPr>
          <w:color w:val="231F20"/>
          <w:spacing w:val="-15"/>
        </w:rPr>
        <w:t xml:space="preserve"> </w:t>
      </w:r>
      <w:r>
        <w:rPr>
          <w:color w:val="231F20"/>
        </w:rPr>
        <w:t>a</w:t>
      </w:r>
      <w:r>
        <w:rPr>
          <w:color w:val="231F20"/>
          <w:spacing w:val="-15"/>
        </w:rPr>
        <w:t xml:space="preserve"> </w:t>
      </w:r>
      <w:r>
        <w:rPr>
          <w:color w:val="231F20"/>
        </w:rPr>
        <w:t>zdraví</w:t>
      </w:r>
      <w:r>
        <w:rPr>
          <w:color w:val="231F20"/>
          <w:spacing w:val="-15"/>
        </w:rPr>
        <w:t xml:space="preserve"> </w:t>
      </w:r>
      <w:r>
        <w:rPr>
          <w:color w:val="231F20"/>
        </w:rPr>
        <w:t>osob</w:t>
      </w:r>
      <w:r>
        <w:rPr>
          <w:color w:val="231F20"/>
          <w:spacing w:val="-15"/>
        </w:rPr>
        <w:t xml:space="preserve"> </w:t>
      </w:r>
      <w:r>
        <w:rPr>
          <w:color w:val="231F20"/>
        </w:rPr>
        <w:t>do</w:t>
      </w:r>
      <w:r>
        <w:rPr>
          <w:color w:val="231F20"/>
          <w:spacing w:val="-15"/>
        </w:rPr>
        <w:t xml:space="preserve"> </w:t>
      </w:r>
      <w:r>
        <w:rPr>
          <w:color w:val="231F20"/>
        </w:rPr>
        <w:t>částky</w:t>
      </w:r>
      <w:r>
        <w:rPr>
          <w:color w:val="231F20"/>
          <w:spacing w:val="-15"/>
        </w:rPr>
        <w:t xml:space="preserve"> </w:t>
      </w:r>
      <w:r>
        <w:rPr>
          <w:color w:val="231F20"/>
        </w:rPr>
        <w:t>odpovídající</w:t>
      </w:r>
      <w:r>
        <w:rPr>
          <w:color w:val="231F20"/>
          <w:spacing w:val="-16"/>
        </w:rPr>
        <w:t xml:space="preserve"> </w:t>
      </w:r>
      <w:r>
        <w:rPr>
          <w:color w:val="231F20"/>
        </w:rPr>
        <w:t>30</w:t>
      </w:r>
      <w:r>
        <w:rPr>
          <w:color w:val="231F20"/>
          <w:spacing w:val="-15"/>
        </w:rPr>
        <w:t xml:space="preserve"> </w:t>
      </w:r>
      <w:r>
        <w:rPr>
          <w:color w:val="231F20"/>
        </w:rPr>
        <w:t>%</w:t>
      </w:r>
      <w:r>
        <w:rPr>
          <w:color w:val="231F20"/>
          <w:spacing w:val="-15"/>
        </w:rPr>
        <w:t xml:space="preserve"> </w:t>
      </w:r>
      <w:r>
        <w:rPr>
          <w:color w:val="231F20"/>
        </w:rPr>
        <w:t>horní</w:t>
      </w:r>
      <w:r>
        <w:rPr>
          <w:color w:val="231F20"/>
          <w:spacing w:val="-15"/>
        </w:rPr>
        <w:t xml:space="preserve"> </w:t>
      </w:r>
      <w:r>
        <w:rPr>
          <w:color w:val="231F20"/>
          <w:spacing w:val="-3"/>
        </w:rPr>
        <w:t xml:space="preserve">hrani- </w:t>
      </w:r>
      <w:r>
        <w:rPr>
          <w:color w:val="231F20"/>
        </w:rPr>
        <w:t>ce pojistného</w:t>
      </w:r>
      <w:r>
        <w:rPr>
          <w:color w:val="231F20"/>
          <w:spacing w:val="-2"/>
        </w:rPr>
        <w:t xml:space="preserve"> </w:t>
      </w:r>
      <w:r>
        <w:rPr>
          <w:color w:val="231F20"/>
        </w:rPr>
        <w:t>plnění.</w:t>
      </w:r>
    </w:p>
    <w:p w14:paraId="5F088DD9" w14:textId="77777777" w:rsidR="00F65BCA" w:rsidRDefault="00F65BCA">
      <w:pPr>
        <w:pStyle w:val="Zkladntext"/>
        <w:spacing w:before="7"/>
        <w:rPr>
          <w:sz w:val="20"/>
        </w:rPr>
      </w:pPr>
    </w:p>
    <w:p w14:paraId="6636AE13" w14:textId="77777777" w:rsidR="00F65BCA" w:rsidRDefault="00216117">
      <w:pPr>
        <w:pStyle w:val="Zkladntext"/>
        <w:spacing w:before="1"/>
        <w:ind w:left="185"/>
        <w:jc w:val="both"/>
      </w:pPr>
      <w:r>
        <w:rPr>
          <w:color w:val="FFFFFF"/>
          <w:position w:val="3"/>
          <w:sz w:val="16"/>
          <w:shd w:val="clear" w:color="auto" w:fill="808285"/>
        </w:rPr>
        <w:t xml:space="preserve">  </w:t>
      </w:r>
      <w:r>
        <w:rPr>
          <w:color w:val="FFFFFF"/>
          <w:w w:val="105"/>
          <w:position w:val="3"/>
          <w:sz w:val="16"/>
          <w:shd w:val="clear" w:color="auto" w:fill="808285"/>
        </w:rPr>
        <w:t>Článek 6</w:t>
      </w:r>
      <w:r>
        <w:rPr>
          <w:color w:val="FFFFFF"/>
          <w:w w:val="105"/>
          <w:position w:val="3"/>
          <w:sz w:val="16"/>
        </w:rPr>
        <w:t xml:space="preserve"> </w:t>
      </w:r>
      <w:r>
        <w:rPr>
          <w:color w:val="231F20"/>
          <w:w w:val="105"/>
        </w:rPr>
        <w:t>Práva a povinnosti z pojištění a následky jejich porušení</w:t>
      </w:r>
    </w:p>
    <w:p w14:paraId="5AC0EC7D" w14:textId="77777777" w:rsidR="00F65BCA" w:rsidRDefault="00216117">
      <w:pPr>
        <w:pStyle w:val="Zkladntext"/>
        <w:spacing w:before="146" w:line="278" w:lineRule="auto"/>
        <w:ind w:left="467" w:right="654" w:hanging="283"/>
        <w:jc w:val="both"/>
      </w:pPr>
      <w:r>
        <w:rPr>
          <w:color w:val="231F20"/>
          <w:position w:val="1"/>
          <w:sz w:val="14"/>
          <w:shd w:val="clear" w:color="auto" w:fill="D1D3D4"/>
        </w:rPr>
        <w:t xml:space="preserve">  </w:t>
      </w:r>
      <w:r>
        <w:rPr>
          <w:color w:val="231F20"/>
          <w:w w:val="105"/>
          <w:position w:val="1"/>
          <w:sz w:val="14"/>
          <w:shd w:val="clear" w:color="auto" w:fill="D1D3D4"/>
        </w:rPr>
        <w:t>1</w:t>
      </w:r>
      <w:r>
        <w:rPr>
          <w:color w:val="231F20"/>
          <w:w w:val="105"/>
          <w:position w:val="1"/>
          <w:sz w:val="14"/>
        </w:rPr>
        <w:t xml:space="preserve"> </w:t>
      </w:r>
      <w:r>
        <w:rPr>
          <w:color w:val="231F20"/>
          <w:w w:val="105"/>
        </w:rPr>
        <w:t>Práva a povinnosti při sjednání pojistné smlouvy a v průběhu trvání pojištění</w:t>
      </w:r>
    </w:p>
    <w:p w14:paraId="363D4C3B" w14:textId="77777777" w:rsidR="00F65BCA" w:rsidRDefault="00216117">
      <w:pPr>
        <w:pStyle w:val="Odstavecseseznamem"/>
        <w:numPr>
          <w:ilvl w:val="0"/>
          <w:numId w:val="127"/>
        </w:numPr>
        <w:tabs>
          <w:tab w:val="left" w:pos="638"/>
        </w:tabs>
        <w:spacing w:line="278" w:lineRule="auto"/>
        <w:ind w:right="424"/>
        <w:jc w:val="both"/>
        <w:rPr>
          <w:sz w:val="15"/>
        </w:rPr>
      </w:pPr>
      <w:r>
        <w:rPr>
          <w:color w:val="231F20"/>
          <w:sz w:val="15"/>
        </w:rPr>
        <w:t>Zájemce</w:t>
      </w:r>
      <w:r>
        <w:rPr>
          <w:color w:val="231F20"/>
          <w:spacing w:val="-22"/>
          <w:sz w:val="15"/>
        </w:rPr>
        <w:t xml:space="preserve"> </w:t>
      </w:r>
      <w:r>
        <w:rPr>
          <w:color w:val="231F20"/>
          <w:sz w:val="15"/>
        </w:rPr>
        <w:t>o</w:t>
      </w:r>
      <w:r>
        <w:rPr>
          <w:color w:val="231F20"/>
          <w:spacing w:val="-22"/>
          <w:sz w:val="15"/>
        </w:rPr>
        <w:t xml:space="preserve"> </w:t>
      </w:r>
      <w:r>
        <w:rPr>
          <w:color w:val="231F20"/>
          <w:sz w:val="15"/>
        </w:rPr>
        <w:t>pojištění,</w:t>
      </w:r>
      <w:r>
        <w:rPr>
          <w:color w:val="231F20"/>
          <w:spacing w:val="-21"/>
          <w:sz w:val="15"/>
        </w:rPr>
        <w:t xml:space="preserve"> </w:t>
      </w:r>
      <w:r>
        <w:rPr>
          <w:color w:val="231F20"/>
          <w:sz w:val="15"/>
        </w:rPr>
        <w:t>pojistník</w:t>
      </w:r>
      <w:r>
        <w:rPr>
          <w:color w:val="231F20"/>
          <w:spacing w:val="-22"/>
          <w:sz w:val="15"/>
        </w:rPr>
        <w:t xml:space="preserve"> </w:t>
      </w:r>
      <w:r>
        <w:rPr>
          <w:color w:val="231F20"/>
          <w:sz w:val="15"/>
        </w:rPr>
        <w:t>a</w:t>
      </w:r>
      <w:r>
        <w:rPr>
          <w:color w:val="231F20"/>
          <w:spacing w:val="-22"/>
          <w:sz w:val="15"/>
        </w:rPr>
        <w:t xml:space="preserve"> </w:t>
      </w:r>
      <w:r>
        <w:rPr>
          <w:color w:val="231F20"/>
          <w:sz w:val="15"/>
        </w:rPr>
        <w:t>pojištěný</w:t>
      </w:r>
      <w:r>
        <w:rPr>
          <w:color w:val="231F20"/>
          <w:spacing w:val="-21"/>
          <w:sz w:val="15"/>
        </w:rPr>
        <w:t xml:space="preserve"> </w:t>
      </w:r>
      <w:r>
        <w:rPr>
          <w:color w:val="231F20"/>
          <w:sz w:val="15"/>
        </w:rPr>
        <w:t>jsou</w:t>
      </w:r>
      <w:r>
        <w:rPr>
          <w:color w:val="231F20"/>
          <w:spacing w:val="-22"/>
          <w:sz w:val="15"/>
        </w:rPr>
        <w:t xml:space="preserve"> </w:t>
      </w:r>
      <w:r>
        <w:rPr>
          <w:color w:val="231F20"/>
          <w:sz w:val="15"/>
        </w:rPr>
        <w:t>při</w:t>
      </w:r>
      <w:r>
        <w:rPr>
          <w:color w:val="231F20"/>
          <w:spacing w:val="-22"/>
          <w:sz w:val="15"/>
        </w:rPr>
        <w:t xml:space="preserve"> </w:t>
      </w:r>
      <w:r>
        <w:rPr>
          <w:color w:val="231F20"/>
          <w:sz w:val="15"/>
        </w:rPr>
        <w:t>jednání</w:t>
      </w:r>
      <w:r>
        <w:rPr>
          <w:color w:val="231F20"/>
          <w:spacing w:val="-21"/>
          <w:sz w:val="15"/>
        </w:rPr>
        <w:t xml:space="preserve"> </w:t>
      </w:r>
      <w:r>
        <w:rPr>
          <w:color w:val="231F20"/>
          <w:sz w:val="15"/>
        </w:rPr>
        <w:t>o</w:t>
      </w:r>
      <w:r>
        <w:rPr>
          <w:color w:val="231F20"/>
          <w:spacing w:val="-22"/>
          <w:sz w:val="15"/>
        </w:rPr>
        <w:t xml:space="preserve"> </w:t>
      </w:r>
      <w:r>
        <w:rPr>
          <w:color w:val="231F20"/>
          <w:sz w:val="15"/>
        </w:rPr>
        <w:t>uzavření</w:t>
      </w:r>
      <w:r>
        <w:rPr>
          <w:color w:val="231F20"/>
          <w:spacing w:val="-21"/>
          <w:sz w:val="15"/>
        </w:rPr>
        <w:t xml:space="preserve"> </w:t>
      </w:r>
      <w:r>
        <w:rPr>
          <w:color w:val="231F20"/>
          <w:sz w:val="15"/>
        </w:rPr>
        <w:t>pojistné smlouvy</w:t>
      </w:r>
      <w:r>
        <w:rPr>
          <w:color w:val="231F20"/>
          <w:spacing w:val="-5"/>
          <w:sz w:val="15"/>
        </w:rPr>
        <w:t xml:space="preserve"> </w:t>
      </w:r>
      <w:r>
        <w:rPr>
          <w:color w:val="231F20"/>
          <w:sz w:val="15"/>
        </w:rPr>
        <w:t>nebo</w:t>
      </w:r>
      <w:r>
        <w:rPr>
          <w:color w:val="231F20"/>
          <w:spacing w:val="-5"/>
          <w:sz w:val="15"/>
        </w:rPr>
        <w:t xml:space="preserve"> </w:t>
      </w:r>
      <w:r>
        <w:rPr>
          <w:color w:val="231F20"/>
          <w:sz w:val="15"/>
        </w:rPr>
        <w:t>o</w:t>
      </w:r>
      <w:r>
        <w:rPr>
          <w:color w:val="231F20"/>
          <w:spacing w:val="-5"/>
          <w:sz w:val="15"/>
        </w:rPr>
        <w:t xml:space="preserve"> </w:t>
      </w:r>
      <w:r>
        <w:rPr>
          <w:color w:val="231F20"/>
          <w:sz w:val="15"/>
        </w:rPr>
        <w:t>její</w:t>
      </w:r>
      <w:r>
        <w:rPr>
          <w:color w:val="231F20"/>
          <w:spacing w:val="-5"/>
          <w:sz w:val="15"/>
        </w:rPr>
        <w:t xml:space="preserve"> </w:t>
      </w:r>
      <w:r>
        <w:rPr>
          <w:color w:val="231F20"/>
          <w:sz w:val="15"/>
        </w:rPr>
        <w:t>změně</w:t>
      </w:r>
      <w:r>
        <w:rPr>
          <w:color w:val="231F20"/>
          <w:spacing w:val="-5"/>
          <w:sz w:val="15"/>
        </w:rPr>
        <w:t xml:space="preserve"> </w:t>
      </w:r>
      <w:r>
        <w:rPr>
          <w:color w:val="231F20"/>
          <w:sz w:val="15"/>
        </w:rPr>
        <w:t>povinni</w:t>
      </w:r>
      <w:r>
        <w:rPr>
          <w:color w:val="231F20"/>
          <w:spacing w:val="-5"/>
          <w:sz w:val="15"/>
        </w:rPr>
        <w:t xml:space="preserve"> </w:t>
      </w:r>
      <w:r>
        <w:rPr>
          <w:color w:val="231F20"/>
          <w:sz w:val="15"/>
        </w:rPr>
        <w:t>odpovědět</w:t>
      </w:r>
      <w:r>
        <w:rPr>
          <w:color w:val="231F20"/>
          <w:spacing w:val="-5"/>
          <w:sz w:val="15"/>
        </w:rPr>
        <w:t xml:space="preserve"> </w:t>
      </w:r>
      <w:r>
        <w:rPr>
          <w:color w:val="231F20"/>
          <w:sz w:val="15"/>
        </w:rPr>
        <w:t>pravdivě</w:t>
      </w:r>
      <w:r>
        <w:rPr>
          <w:color w:val="231F20"/>
          <w:spacing w:val="-5"/>
          <w:sz w:val="15"/>
        </w:rPr>
        <w:t xml:space="preserve"> </w:t>
      </w:r>
      <w:r>
        <w:rPr>
          <w:color w:val="231F20"/>
          <w:sz w:val="15"/>
        </w:rPr>
        <w:t>a</w:t>
      </w:r>
      <w:r>
        <w:rPr>
          <w:color w:val="231F20"/>
          <w:spacing w:val="-5"/>
          <w:sz w:val="15"/>
        </w:rPr>
        <w:t xml:space="preserve"> </w:t>
      </w:r>
      <w:r>
        <w:rPr>
          <w:color w:val="231F20"/>
          <w:sz w:val="15"/>
        </w:rPr>
        <w:t>úplně</w:t>
      </w:r>
      <w:r>
        <w:rPr>
          <w:color w:val="231F20"/>
          <w:spacing w:val="-5"/>
          <w:sz w:val="15"/>
        </w:rPr>
        <w:t xml:space="preserve"> </w:t>
      </w:r>
      <w:r>
        <w:rPr>
          <w:color w:val="231F20"/>
          <w:sz w:val="15"/>
        </w:rPr>
        <w:t>na</w:t>
      </w:r>
      <w:r>
        <w:rPr>
          <w:color w:val="231F20"/>
          <w:spacing w:val="-5"/>
          <w:sz w:val="15"/>
        </w:rPr>
        <w:t xml:space="preserve"> </w:t>
      </w:r>
      <w:r>
        <w:rPr>
          <w:color w:val="231F20"/>
          <w:sz w:val="15"/>
        </w:rPr>
        <w:t>dotazy Pojišťovny</w:t>
      </w:r>
      <w:r>
        <w:rPr>
          <w:color w:val="231F20"/>
          <w:spacing w:val="-17"/>
          <w:sz w:val="15"/>
        </w:rPr>
        <w:t xml:space="preserve"> </w:t>
      </w:r>
      <w:r>
        <w:rPr>
          <w:color w:val="231F20"/>
          <w:sz w:val="15"/>
        </w:rPr>
        <w:t>týkající</w:t>
      </w:r>
      <w:r>
        <w:rPr>
          <w:color w:val="231F20"/>
          <w:spacing w:val="-16"/>
          <w:sz w:val="15"/>
        </w:rPr>
        <w:t xml:space="preserve"> </w:t>
      </w:r>
      <w:r>
        <w:rPr>
          <w:color w:val="231F20"/>
          <w:sz w:val="15"/>
        </w:rPr>
        <w:t>se</w:t>
      </w:r>
      <w:r>
        <w:rPr>
          <w:color w:val="231F20"/>
          <w:spacing w:val="-16"/>
          <w:sz w:val="15"/>
        </w:rPr>
        <w:t xml:space="preserve"> </w:t>
      </w:r>
      <w:r>
        <w:rPr>
          <w:color w:val="231F20"/>
          <w:sz w:val="15"/>
        </w:rPr>
        <w:t>sjednávaného</w:t>
      </w:r>
      <w:r>
        <w:rPr>
          <w:color w:val="231F20"/>
          <w:spacing w:val="-17"/>
          <w:sz w:val="15"/>
        </w:rPr>
        <w:t xml:space="preserve"> </w:t>
      </w:r>
      <w:r>
        <w:rPr>
          <w:color w:val="231F20"/>
          <w:sz w:val="15"/>
        </w:rPr>
        <w:t>pojištění</w:t>
      </w:r>
      <w:r>
        <w:rPr>
          <w:color w:val="231F20"/>
          <w:spacing w:val="-16"/>
          <w:sz w:val="15"/>
        </w:rPr>
        <w:t xml:space="preserve"> </w:t>
      </w:r>
      <w:r>
        <w:rPr>
          <w:color w:val="231F20"/>
          <w:sz w:val="15"/>
        </w:rPr>
        <w:t>a</w:t>
      </w:r>
      <w:r>
        <w:rPr>
          <w:color w:val="231F20"/>
          <w:spacing w:val="-16"/>
          <w:sz w:val="15"/>
        </w:rPr>
        <w:t xml:space="preserve"> </w:t>
      </w:r>
      <w:r>
        <w:rPr>
          <w:color w:val="231F20"/>
          <w:sz w:val="15"/>
        </w:rPr>
        <w:t>sdělit</w:t>
      </w:r>
      <w:r>
        <w:rPr>
          <w:color w:val="231F20"/>
          <w:spacing w:val="-16"/>
          <w:sz w:val="15"/>
        </w:rPr>
        <w:t xml:space="preserve"> </w:t>
      </w:r>
      <w:r>
        <w:rPr>
          <w:color w:val="231F20"/>
          <w:sz w:val="15"/>
        </w:rPr>
        <w:t>Pojišťovně</w:t>
      </w:r>
      <w:r>
        <w:rPr>
          <w:color w:val="231F20"/>
          <w:spacing w:val="-17"/>
          <w:sz w:val="15"/>
        </w:rPr>
        <w:t xml:space="preserve"> </w:t>
      </w:r>
      <w:r>
        <w:rPr>
          <w:color w:val="231F20"/>
          <w:sz w:val="15"/>
        </w:rPr>
        <w:t>v</w:t>
      </w:r>
      <w:r>
        <w:rPr>
          <w:color w:val="231F20"/>
          <w:spacing w:val="-16"/>
          <w:sz w:val="15"/>
        </w:rPr>
        <w:t xml:space="preserve"> </w:t>
      </w:r>
      <w:r>
        <w:rPr>
          <w:color w:val="231F20"/>
          <w:spacing w:val="-3"/>
          <w:sz w:val="15"/>
        </w:rPr>
        <w:t xml:space="preserve">písemné </w:t>
      </w:r>
      <w:r>
        <w:rPr>
          <w:color w:val="231F20"/>
          <w:sz w:val="15"/>
        </w:rPr>
        <w:t>formě všechny podstatné okolnosti, které jsou jim známy a které mají</w:t>
      </w:r>
      <w:r>
        <w:rPr>
          <w:color w:val="231F20"/>
          <w:spacing w:val="-14"/>
          <w:sz w:val="15"/>
        </w:rPr>
        <w:t xml:space="preserve"> </w:t>
      </w:r>
      <w:r>
        <w:rPr>
          <w:color w:val="231F20"/>
          <w:sz w:val="15"/>
        </w:rPr>
        <w:t>vý- znam</w:t>
      </w:r>
      <w:r>
        <w:rPr>
          <w:color w:val="231F20"/>
          <w:spacing w:val="-9"/>
          <w:sz w:val="15"/>
        </w:rPr>
        <w:t xml:space="preserve"> </w:t>
      </w:r>
      <w:r>
        <w:rPr>
          <w:color w:val="231F20"/>
          <w:sz w:val="15"/>
        </w:rPr>
        <w:t>pro</w:t>
      </w:r>
      <w:r>
        <w:rPr>
          <w:color w:val="231F20"/>
          <w:spacing w:val="-8"/>
          <w:sz w:val="15"/>
        </w:rPr>
        <w:t xml:space="preserve"> </w:t>
      </w:r>
      <w:r>
        <w:rPr>
          <w:color w:val="231F20"/>
          <w:sz w:val="15"/>
        </w:rPr>
        <w:t>rozhodnutí</w:t>
      </w:r>
      <w:r>
        <w:rPr>
          <w:color w:val="231F20"/>
          <w:spacing w:val="-8"/>
          <w:sz w:val="15"/>
        </w:rPr>
        <w:t xml:space="preserve"> </w:t>
      </w:r>
      <w:r>
        <w:rPr>
          <w:color w:val="231F20"/>
          <w:sz w:val="15"/>
        </w:rPr>
        <w:t>Pojišťovny,</w:t>
      </w:r>
      <w:r>
        <w:rPr>
          <w:color w:val="231F20"/>
          <w:spacing w:val="-8"/>
          <w:sz w:val="15"/>
        </w:rPr>
        <w:t xml:space="preserve"> </w:t>
      </w:r>
      <w:r>
        <w:rPr>
          <w:color w:val="231F20"/>
          <w:sz w:val="15"/>
        </w:rPr>
        <w:t>jak</w:t>
      </w:r>
      <w:r>
        <w:rPr>
          <w:color w:val="231F20"/>
          <w:spacing w:val="-9"/>
          <w:sz w:val="15"/>
        </w:rPr>
        <w:t xml:space="preserve"> </w:t>
      </w:r>
      <w:r>
        <w:rPr>
          <w:color w:val="231F20"/>
          <w:sz w:val="15"/>
        </w:rPr>
        <w:t>ohodnotí</w:t>
      </w:r>
      <w:r>
        <w:rPr>
          <w:color w:val="231F20"/>
          <w:spacing w:val="-8"/>
          <w:sz w:val="15"/>
        </w:rPr>
        <w:t xml:space="preserve"> </w:t>
      </w:r>
      <w:r>
        <w:rPr>
          <w:color w:val="231F20"/>
          <w:sz w:val="15"/>
        </w:rPr>
        <w:t>pojistné</w:t>
      </w:r>
      <w:r>
        <w:rPr>
          <w:color w:val="231F20"/>
          <w:spacing w:val="-8"/>
          <w:sz w:val="15"/>
        </w:rPr>
        <w:t xml:space="preserve"> </w:t>
      </w:r>
      <w:r>
        <w:rPr>
          <w:color w:val="231F20"/>
          <w:sz w:val="15"/>
        </w:rPr>
        <w:t>riziko,</w:t>
      </w:r>
      <w:r>
        <w:rPr>
          <w:color w:val="231F20"/>
          <w:spacing w:val="-8"/>
          <w:sz w:val="15"/>
        </w:rPr>
        <w:t xml:space="preserve"> </w:t>
      </w:r>
      <w:r>
        <w:rPr>
          <w:color w:val="231F20"/>
          <w:sz w:val="15"/>
        </w:rPr>
        <w:t>zda</w:t>
      </w:r>
      <w:r>
        <w:rPr>
          <w:color w:val="231F20"/>
          <w:spacing w:val="-9"/>
          <w:sz w:val="15"/>
        </w:rPr>
        <w:t xml:space="preserve"> </w:t>
      </w:r>
      <w:r>
        <w:rPr>
          <w:color w:val="231F20"/>
          <w:sz w:val="15"/>
        </w:rPr>
        <w:t>je</w:t>
      </w:r>
      <w:r>
        <w:rPr>
          <w:color w:val="231F20"/>
          <w:spacing w:val="-8"/>
          <w:sz w:val="15"/>
        </w:rPr>
        <w:t xml:space="preserve"> </w:t>
      </w:r>
      <w:r>
        <w:rPr>
          <w:color w:val="231F20"/>
          <w:sz w:val="15"/>
        </w:rPr>
        <w:t>pojistí a</w:t>
      </w:r>
      <w:r>
        <w:rPr>
          <w:color w:val="231F20"/>
          <w:spacing w:val="-13"/>
          <w:sz w:val="15"/>
        </w:rPr>
        <w:t xml:space="preserve"> </w:t>
      </w:r>
      <w:r>
        <w:rPr>
          <w:color w:val="231F20"/>
          <w:sz w:val="15"/>
        </w:rPr>
        <w:t>za</w:t>
      </w:r>
      <w:r>
        <w:rPr>
          <w:color w:val="231F20"/>
          <w:spacing w:val="-13"/>
          <w:sz w:val="15"/>
        </w:rPr>
        <w:t xml:space="preserve"> </w:t>
      </w:r>
      <w:r>
        <w:rPr>
          <w:color w:val="231F20"/>
          <w:sz w:val="15"/>
        </w:rPr>
        <w:t>jakých</w:t>
      </w:r>
      <w:r>
        <w:rPr>
          <w:color w:val="231F20"/>
          <w:spacing w:val="-13"/>
          <w:sz w:val="15"/>
        </w:rPr>
        <w:t xml:space="preserve"> </w:t>
      </w:r>
      <w:r>
        <w:rPr>
          <w:color w:val="231F20"/>
          <w:sz w:val="15"/>
        </w:rPr>
        <w:t>podmínek.</w:t>
      </w:r>
      <w:r>
        <w:rPr>
          <w:color w:val="231F20"/>
          <w:spacing w:val="-12"/>
          <w:sz w:val="15"/>
        </w:rPr>
        <w:t xml:space="preserve"> </w:t>
      </w:r>
      <w:r>
        <w:rPr>
          <w:color w:val="231F20"/>
          <w:sz w:val="15"/>
        </w:rPr>
        <w:t>Okolnosti,</w:t>
      </w:r>
      <w:r>
        <w:rPr>
          <w:color w:val="231F20"/>
          <w:spacing w:val="-13"/>
          <w:sz w:val="15"/>
        </w:rPr>
        <w:t xml:space="preserve"> </w:t>
      </w:r>
      <w:r>
        <w:rPr>
          <w:color w:val="231F20"/>
          <w:sz w:val="15"/>
        </w:rPr>
        <w:t>na</w:t>
      </w:r>
      <w:r>
        <w:rPr>
          <w:color w:val="231F20"/>
          <w:spacing w:val="-13"/>
          <w:sz w:val="15"/>
        </w:rPr>
        <w:t xml:space="preserve"> </w:t>
      </w:r>
      <w:r>
        <w:rPr>
          <w:color w:val="231F20"/>
          <w:sz w:val="15"/>
        </w:rPr>
        <w:t>které</w:t>
      </w:r>
      <w:r>
        <w:rPr>
          <w:color w:val="231F20"/>
          <w:spacing w:val="-13"/>
          <w:sz w:val="15"/>
        </w:rPr>
        <w:t xml:space="preserve"> </w:t>
      </w:r>
      <w:r>
        <w:rPr>
          <w:color w:val="231F20"/>
          <w:sz w:val="15"/>
        </w:rPr>
        <w:t>se</w:t>
      </w:r>
      <w:r>
        <w:rPr>
          <w:color w:val="231F20"/>
          <w:spacing w:val="-12"/>
          <w:sz w:val="15"/>
        </w:rPr>
        <w:t xml:space="preserve"> </w:t>
      </w:r>
      <w:r>
        <w:rPr>
          <w:color w:val="231F20"/>
          <w:sz w:val="15"/>
        </w:rPr>
        <w:t>Pojišťovna</w:t>
      </w:r>
      <w:r>
        <w:rPr>
          <w:color w:val="231F20"/>
          <w:spacing w:val="-13"/>
          <w:sz w:val="15"/>
        </w:rPr>
        <w:t xml:space="preserve"> </w:t>
      </w:r>
      <w:r>
        <w:rPr>
          <w:color w:val="231F20"/>
          <w:sz w:val="15"/>
        </w:rPr>
        <w:t>výslovně</w:t>
      </w:r>
      <w:r>
        <w:rPr>
          <w:color w:val="231F20"/>
          <w:spacing w:val="-13"/>
          <w:sz w:val="15"/>
        </w:rPr>
        <w:t xml:space="preserve"> </w:t>
      </w:r>
      <w:r>
        <w:rPr>
          <w:color w:val="231F20"/>
          <w:sz w:val="15"/>
        </w:rPr>
        <w:t>ptala,</w:t>
      </w:r>
      <w:r>
        <w:rPr>
          <w:color w:val="231F20"/>
          <w:spacing w:val="-13"/>
          <w:sz w:val="15"/>
        </w:rPr>
        <w:t xml:space="preserve"> </w:t>
      </w:r>
      <w:r>
        <w:rPr>
          <w:color w:val="231F20"/>
          <w:spacing w:val="-8"/>
          <w:sz w:val="15"/>
        </w:rPr>
        <w:t xml:space="preserve">se </w:t>
      </w:r>
      <w:r>
        <w:rPr>
          <w:color w:val="231F20"/>
          <w:sz w:val="15"/>
        </w:rPr>
        <w:t>za podstatné považují</w:t>
      </w:r>
      <w:r>
        <w:rPr>
          <w:color w:val="231F20"/>
          <w:spacing w:val="-3"/>
          <w:sz w:val="15"/>
        </w:rPr>
        <w:t xml:space="preserve"> </w:t>
      </w:r>
      <w:r>
        <w:rPr>
          <w:color w:val="231F20"/>
          <w:sz w:val="15"/>
        </w:rPr>
        <w:t>vždy;</w:t>
      </w:r>
    </w:p>
    <w:p w14:paraId="68A23E96" w14:textId="77777777" w:rsidR="00F65BCA" w:rsidRDefault="00216117">
      <w:pPr>
        <w:pStyle w:val="Odstavecseseznamem"/>
        <w:numPr>
          <w:ilvl w:val="0"/>
          <w:numId w:val="127"/>
        </w:numPr>
        <w:tabs>
          <w:tab w:val="left" w:pos="638"/>
        </w:tabs>
        <w:spacing w:line="278" w:lineRule="auto"/>
        <w:ind w:right="424"/>
        <w:jc w:val="both"/>
        <w:rPr>
          <w:sz w:val="15"/>
        </w:rPr>
      </w:pPr>
      <w:r>
        <w:rPr>
          <w:color w:val="231F20"/>
          <w:sz w:val="15"/>
        </w:rPr>
        <w:t>Pojistník</w:t>
      </w:r>
      <w:r>
        <w:rPr>
          <w:color w:val="231F20"/>
          <w:spacing w:val="-7"/>
          <w:sz w:val="15"/>
        </w:rPr>
        <w:t xml:space="preserve"> </w:t>
      </w:r>
      <w:r>
        <w:rPr>
          <w:color w:val="231F20"/>
          <w:sz w:val="15"/>
        </w:rPr>
        <w:t>a</w:t>
      </w:r>
      <w:r>
        <w:rPr>
          <w:color w:val="231F20"/>
          <w:spacing w:val="-7"/>
          <w:sz w:val="15"/>
        </w:rPr>
        <w:t xml:space="preserve"> </w:t>
      </w:r>
      <w:r>
        <w:rPr>
          <w:color w:val="231F20"/>
          <w:sz w:val="15"/>
        </w:rPr>
        <w:t>pojištěný</w:t>
      </w:r>
      <w:r>
        <w:rPr>
          <w:color w:val="231F20"/>
          <w:spacing w:val="-6"/>
          <w:sz w:val="15"/>
        </w:rPr>
        <w:t xml:space="preserve"> </w:t>
      </w:r>
      <w:r>
        <w:rPr>
          <w:color w:val="231F20"/>
          <w:sz w:val="15"/>
        </w:rPr>
        <w:t>jsou</w:t>
      </w:r>
      <w:r>
        <w:rPr>
          <w:color w:val="231F20"/>
          <w:spacing w:val="-7"/>
          <w:sz w:val="15"/>
        </w:rPr>
        <w:t xml:space="preserve"> </w:t>
      </w:r>
      <w:r>
        <w:rPr>
          <w:color w:val="231F20"/>
          <w:sz w:val="15"/>
        </w:rPr>
        <w:t>povinni</w:t>
      </w:r>
      <w:r>
        <w:rPr>
          <w:color w:val="231F20"/>
          <w:spacing w:val="-7"/>
          <w:sz w:val="15"/>
        </w:rPr>
        <w:t xml:space="preserve"> </w:t>
      </w:r>
      <w:r>
        <w:rPr>
          <w:color w:val="231F20"/>
          <w:sz w:val="15"/>
        </w:rPr>
        <w:t>umožnit</w:t>
      </w:r>
      <w:r>
        <w:rPr>
          <w:color w:val="231F20"/>
          <w:spacing w:val="-6"/>
          <w:sz w:val="15"/>
        </w:rPr>
        <w:t xml:space="preserve"> </w:t>
      </w:r>
      <w:r>
        <w:rPr>
          <w:color w:val="231F20"/>
          <w:sz w:val="15"/>
        </w:rPr>
        <w:t>Pojišťovně</w:t>
      </w:r>
      <w:r>
        <w:rPr>
          <w:color w:val="231F20"/>
          <w:spacing w:val="-7"/>
          <w:sz w:val="15"/>
        </w:rPr>
        <w:t xml:space="preserve"> </w:t>
      </w:r>
      <w:r>
        <w:rPr>
          <w:color w:val="231F20"/>
          <w:sz w:val="15"/>
        </w:rPr>
        <w:t>nebo</w:t>
      </w:r>
      <w:r>
        <w:rPr>
          <w:color w:val="231F20"/>
          <w:spacing w:val="-6"/>
          <w:sz w:val="15"/>
        </w:rPr>
        <w:t xml:space="preserve"> </w:t>
      </w:r>
      <w:r>
        <w:rPr>
          <w:color w:val="231F20"/>
          <w:sz w:val="15"/>
        </w:rPr>
        <w:t>jím</w:t>
      </w:r>
      <w:r>
        <w:rPr>
          <w:color w:val="231F20"/>
          <w:spacing w:val="-7"/>
          <w:sz w:val="15"/>
        </w:rPr>
        <w:t xml:space="preserve"> </w:t>
      </w:r>
      <w:r>
        <w:rPr>
          <w:color w:val="231F20"/>
          <w:sz w:val="15"/>
        </w:rPr>
        <w:t>pověřeným osobám ověření správnosti a úplnosti podkladů rozhodných pro výpočet pojistného;</w:t>
      </w:r>
      <w:r>
        <w:rPr>
          <w:color w:val="231F20"/>
          <w:spacing w:val="-26"/>
          <w:sz w:val="15"/>
        </w:rPr>
        <w:t xml:space="preserve"> </w:t>
      </w:r>
      <w:r>
        <w:rPr>
          <w:color w:val="231F20"/>
          <w:sz w:val="15"/>
        </w:rPr>
        <w:t>za</w:t>
      </w:r>
      <w:r>
        <w:rPr>
          <w:color w:val="231F20"/>
          <w:spacing w:val="-25"/>
          <w:sz w:val="15"/>
        </w:rPr>
        <w:t xml:space="preserve"> </w:t>
      </w:r>
      <w:r>
        <w:rPr>
          <w:color w:val="231F20"/>
          <w:sz w:val="15"/>
        </w:rPr>
        <w:t>tímto</w:t>
      </w:r>
      <w:r>
        <w:rPr>
          <w:color w:val="231F20"/>
          <w:spacing w:val="-25"/>
          <w:sz w:val="15"/>
        </w:rPr>
        <w:t xml:space="preserve"> </w:t>
      </w:r>
      <w:r>
        <w:rPr>
          <w:color w:val="231F20"/>
          <w:sz w:val="15"/>
        </w:rPr>
        <w:t>účelem</w:t>
      </w:r>
      <w:r>
        <w:rPr>
          <w:color w:val="231F20"/>
          <w:spacing w:val="-26"/>
          <w:sz w:val="15"/>
        </w:rPr>
        <w:t xml:space="preserve"> </w:t>
      </w:r>
      <w:r>
        <w:rPr>
          <w:color w:val="231F20"/>
          <w:sz w:val="15"/>
        </w:rPr>
        <w:t>jsou</w:t>
      </w:r>
      <w:r>
        <w:rPr>
          <w:color w:val="231F20"/>
          <w:spacing w:val="-25"/>
          <w:sz w:val="15"/>
        </w:rPr>
        <w:t xml:space="preserve"> </w:t>
      </w:r>
      <w:r>
        <w:rPr>
          <w:color w:val="231F20"/>
          <w:sz w:val="15"/>
        </w:rPr>
        <w:t>povinni</w:t>
      </w:r>
      <w:r>
        <w:rPr>
          <w:color w:val="231F20"/>
          <w:spacing w:val="-25"/>
          <w:sz w:val="15"/>
        </w:rPr>
        <w:t xml:space="preserve"> </w:t>
      </w:r>
      <w:r>
        <w:rPr>
          <w:color w:val="231F20"/>
          <w:sz w:val="15"/>
        </w:rPr>
        <w:t>zpřístupnit</w:t>
      </w:r>
      <w:r>
        <w:rPr>
          <w:color w:val="231F20"/>
          <w:spacing w:val="-26"/>
          <w:sz w:val="15"/>
        </w:rPr>
        <w:t xml:space="preserve"> </w:t>
      </w:r>
      <w:r>
        <w:rPr>
          <w:color w:val="231F20"/>
          <w:sz w:val="15"/>
        </w:rPr>
        <w:t>Pojišťovně</w:t>
      </w:r>
      <w:r>
        <w:rPr>
          <w:color w:val="231F20"/>
          <w:spacing w:val="-25"/>
          <w:sz w:val="15"/>
        </w:rPr>
        <w:t xml:space="preserve"> </w:t>
      </w:r>
      <w:r>
        <w:rPr>
          <w:color w:val="231F20"/>
          <w:sz w:val="15"/>
        </w:rPr>
        <w:t>veškerou</w:t>
      </w:r>
      <w:r>
        <w:rPr>
          <w:color w:val="231F20"/>
          <w:spacing w:val="-25"/>
          <w:sz w:val="15"/>
        </w:rPr>
        <w:t xml:space="preserve"> </w:t>
      </w:r>
      <w:r>
        <w:rPr>
          <w:color w:val="231F20"/>
          <w:spacing w:val="-4"/>
          <w:sz w:val="15"/>
        </w:rPr>
        <w:t xml:space="preserve">pří- </w:t>
      </w:r>
      <w:r>
        <w:rPr>
          <w:color w:val="231F20"/>
          <w:sz w:val="15"/>
        </w:rPr>
        <w:t>slušnou dokumentaci a umožnit pořízení</w:t>
      </w:r>
      <w:r>
        <w:rPr>
          <w:color w:val="231F20"/>
          <w:spacing w:val="-12"/>
          <w:sz w:val="15"/>
        </w:rPr>
        <w:t xml:space="preserve"> </w:t>
      </w:r>
      <w:r>
        <w:rPr>
          <w:color w:val="231F20"/>
          <w:sz w:val="15"/>
        </w:rPr>
        <w:t>kopií;</w:t>
      </w:r>
    </w:p>
    <w:p w14:paraId="3347E173" w14:textId="77777777" w:rsidR="00F65BCA" w:rsidRDefault="00216117">
      <w:pPr>
        <w:pStyle w:val="Odstavecseseznamem"/>
        <w:numPr>
          <w:ilvl w:val="0"/>
          <w:numId w:val="127"/>
        </w:numPr>
        <w:tabs>
          <w:tab w:val="left" w:pos="638"/>
        </w:tabs>
        <w:spacing w:line="278" w:lineRule="auto"/>
        <w:ind w:right="424"/>
        <w:jc w:val="both"/>
        <w:rPr>
          <w:sz w:val="15"/>
        </w:rPr>
      </w:pPr>
      <w:r>
        <w:rPr>
          <w:color w:val="231F20"/>
          <w:sz w:val="15"/>
        </w:rPr>
        <w:t xml:space="preserve">Pojistník je povinen Pojišťovně bez zbytečného odkladu, nejpozději </w:t>
      </w:r>
      <w:r>
        <w:rPr>
          <w:color w:val="231F20"/>
          <w:spacing w:val="-6"/>
          <w:sz w:val="15"/>
        </w:rPr>
        <w:t xml:space="preserve">do </w:t>
      </w:r>
      <w:r>
        <w:rPr>
          <w:color w:val="231F20"/>
          <w:sz w:val="15"/>
        </w:rPr>
        <w:t>15</w:t>
      </w:r>
      <w:r>
        <w:rPr>
          <w:color w:val="231F20"/>
          <w:spacing w:val="-8"/>
          <w:sz w:val="15"/>
        </w:rPr>
        <w:t xml:space="preserve"> </w:t>
      </w:r>
      <w:r>
        <w:rPr>
          <w:color w:val="231F20"/>
          <w:sz w:val="15"/>
        </w:rPr>
        <w:t>dnů</w:t>
      </w:r>
      <w:r>
        <w:rPr>
          <w:color w:val="231F20"/>
          <w:spacing w:val="-7"/>
          <w:sz w:val="15"/>
        </w:rPr>
        <w:t xml:space="preserve"> </w:t>
      </w:r>
      <w:r>
        <w:rPr>
          <w:color w:val="231F20"/>
          <w:sz w:val="15"/>
        </w:rPr>
        <w:t>po</w:t>
      </w:r>
      <w:r>
        <w:rPr>
          <w:color w:val="231F20"/>
          <w:spacing w:val="-7"/>
          <w:sz w:val="15"/>
        </w:rPr>
        <w:t xml:space="preserve"> </w:t>
      </w:r>
      <w:r>
        <w:rPr>
          <w:color w:val="231F20"/>
          <w:sz w:val="15"/>
        </w:rPr>
        <w:t>nastalé</w:t>
      </w:r>
      <w:r>
        <w:rPr>
          <w:color w:val="231F20"/>
          <w:spacing w:val="-8"/>
          <w:sz w:val="15"/>
        </w:rPr>
        <w:t xml:space="preserve"> </w:t>
      </w:r>
      <w:r>
        <w:rPr>
          <w:color w:val="231F20"/>
          <w:sz w:val="15"/>
        </w:rPr>
        <w:t>skutečnosti,</w:t>
      </w:r>
      <w:r>
        <w:rPr>
          <w:color w:val="231F20"/>
          <w:spacing w:val="-7"/>
          <w:sz w:val="15"/>
        </w:rPr>
        <w:t xml:space="preserve"> </w:t>
      </w:r>
      <w:r>
        <w:rPr>
          <w:color w:val="231F20"/>
          <w:sz w:val="15"/>
        </w:rPr>
        <w:t>oznámit</w:t>
      </w:r>
      <w:r>
        <w:rPr>
          <w:color w:val="231F20"/>
          <w:spacing w:val="-7"/>
          <w:sz w:val="15"/>
        </w:rPr>
        <w:t xml:space="preserve"> </w:t>
      </w:r>
      <w:r>
        <w:rPr>
          <w:color w:val="231F20"/>
          <w:sz w:val="15"/>
        </w:rPr>
        <w:t>všechny</w:t>
      </w:r>
      <w:r>
        <w:rPr>
          <w:color w:val="231F20"/>
          <w:spacing w:val="-7"/>
          <w:sz w:val="15"/>
        </w:rPr>
        <w:t xml:space="preserve"> </w:t>
      </w:r>
      <w:r>
        <w:rPr>
          <w:color w:val="231F20"/>
          <w:sz w:val="15"/>
        </w:rPr>
        <w:t>změny</w:t>
      </w:r>
      <w:r>
        <w:rPr>
          <w:color w:val="231F20"/>
          <w:spacing w:val="-8"/>
          <w:sz w:val="15"/>
        </w:rPr>
        <w:t xml:space="preserve"> </w:t>
      </w:r>
      <w:r>
        <w:rPr>
          <w:color w:val="231F20"/>
          <w:sz w:val="15"/>
        </w:rPr>
        <w:t>týkající</w:t>
      </w:r>
      <w:r>
        <w:rPr>
          <w:color w:val="231F20"/>
          <w:spacing w:val="-7"/>
          <w:sz w:val="15"/>
        </w:rPr>
        <w:t xml:space="preserve"> </w:t>
      </w:r>
      <w:r>
        <w:rPr>
          <w:color w:val="231F20"/>
          <w:sz w:val="15"/>
        </w:rPr>
        <w:t>se</w:t>
      </w:r>
      <w:r>
        <w:rPr>
          <w:color w:val="231F20"/>
          <w:spacing w:val="-7"/>
          <w:sz w:val="15"/>
        </w:rPr>
        <w:t xml:space="preserve"> </w:t>
      </w:r>
      <w:r>
        <w:rPr>
          <w:color w:val="231F20"/>
          <w:spacing w:val="-3"/>
          <w:sz w:val="15"/>
        </w:rPr>
        <w:t xml:space="preserve">skuteč- </w:t>
      </w:r>
      <w:r>
        <w:rPr>
          <w:color w:val="231F20"/>
          <w:sz w:val="15"/>
        </w:rPr>
        <w:t>ností,</w:t>
      </w:r>
      <w:r>
        <w:rPr>
          <w:color w:val="231F20"/>
          <w:spacing w:val="-9"/>
          <w:sz w:val="15"/>
        </w:rPr>
        <w:t xml:space="preserve"> </w:t>
      </w:r>
      <w:r>
        <w:rPr>
          <w:color w:val="231F20"/>
          <w:sz w:val="15"/>
        </w:rPr>
        <w:t>na</w:t>
      </w:r>
      <w:r>
        <w:rPr>
          <w:color w:val="231F20"/>
          <w:spacing w:val="-9"/>
          <w:sz w:val="15"/>
        </w:rPr>
        <w:t xml:space="preserve"> </w:t>
      </w:r>
      <w:r>
        <w:rPr>
          <w:color w:val="231F20"/>
          <w:sz w:val="15"/>
        </w:rPr>
        <w:t>které</w:t>
      </w:r>
      <w:r>
        <w:rPr>
          <w:color w:val="231F20"/>
          <w:spacing w:val="-8"/>
          <w:sz w:val="15"/>
        </w:rPr>
        <w:t xml:space="preserve"> </w:t>
      </w:r>
      <w:r>
        <w:rPr>
          <w:color w:val="231F20"/>
          <w:sz w:val="15"/>
        </w:rPr>
        <w:t>byl</w:t>
      </w:r>
      <w:r>
        <w:rPr>
          <w:color w:val="231F20"/>
          <w:spacing w:val="-9"/>
          <w:sz w:val="15"/>
        </w:rPr>
        <w:t xml:space="preserve"> </w:t>
      </w:r>
      <w:r>
        <w:rPr>
          <w:color w:val="231F20"/>
          <w:sz w:val="15"/>
        </w:rPr>
        <w:t>při</w:t>
      </w:r>
      <w:r>
        <w:rPr>
          <w:color w:val="231F20"/>
          <w:spacing w:val="-8"/>
          <w:sz w:val="15"/>
        </w:rPr>
        <w:t xml:space="preserve"> </w:t>
      </w:r>
      <w:r>
        <w:rPr>
          <w:color w:val="231F20"/>
          <w:sz w:val="15"/>
        </w:rPr>
        <w:t>sjednávání</w:t>
      </w:r>
      <w:r>
        <w:rPr>
          <w:color w:val="231F20"/>
          <w:spacing w:val="-9"/>
          <w:sz w:val="15"/>
        </w:rPr>
        <w:t xml:space="preserve"> </w:t>
      </w:r>
      <w:r>
        <w:rPr>
          <w:color w:val="231F20"/>
          <w:sz w:val="15"/>
        </w:rPr>
        <w:t>pojištění</w:t>
      </w:r>
      <w:r>
        <w:rPr>
          <w:color w:val="231F20"/>
          <w:spacing w:val="-8"/>
          <w:sz w:val="15"/>
        </w:rPr>
        <w:t xml:space="preserve"> </w:t>
      </w:r>
      <w:r>
        <w:rPr>
          <w:color w:val="231F20"/>
          <w:sz w:val="15"/>
        </w:rPr>
        <w:t>Pojišťovnou</w:t>
      </w:r>
      <w:r>
        <w:rPr>
          <w:color w:val="231F20"/>
          <w:spacing w:val="-9"/>
          <w:sz w:val="15"/>
        </w:rPr>
        <w:t xml:space="preserve"> </w:t>
      </w:r>
      <w:r>
        <w:rPr>
          <w:color w:val="231F20"/>
          <w:sz w:val="15"/>
        </w:rPr>
        <w:t>tázán,</w:t>
      </w:r>
      <w:r>
        <w:rPr>
          <w:color w:val="231F20"/>
          <w:spacing w:val="-8"/>
          <w:sz w:val="15"/>
        </w:rPr>
        <w:t xml:space="preserve"> </w:t>
      </w:r>
      <w:r>
        <w:rPr>
          <w:color w:val="231F20"/>
          <w:sz w:val="15"/>
        </w:rPr>
        <w:t>nebo</w:t>
      </w:r>
      <w:r>
        <w:rPr>
          <w:color w:val="231F20"/>
          <w:spacing w:val="-9"/>
          <w:sz w:val="15"/>
        </w:rPr>
        <w:t xml:space="preserve"> </w:t>
      </w:r>
      <w:r>
        <w:rPr>
          <w:color w:val="231F20"/>
          <w:sz w:val="15"/>
        </w:rPr>
        <w:t>změny týkající</w:t>
      </w:r>
      <w:r>
        <w:rPr>
          <w:color w:val="231F20"/>
          <w:spacing w:val="-30"/>
          <w:sz w:val="15"/>
        </w:rPr>
        <w:t xml:space="preserve"> </w:t>
      </w:r>
      <w:r>
        <w:rPr>
          <w:color w:val="231F20"/>
          <w:sz w:val="15"/>
        </w:rPr>
        <w:t>se</w:t>
      </w:r>
      <w:r>
        <w:rPr>
          <w:color w:val="231F20"/>
          <w:spacing w:val="-30"/>
          <w:sz w:val="15"/>
        </w:rPr>
        <w:t xml:space="preserve"> </w:t>
      </w:r>
      <w:r>
        <w:rPr>
          <w:color w:val="231F20"/>
          <w:sz w:val="15"/>
        </w:rPr>
        <w:t>skutečností</w:t>
      </w:r>
      <w:r>
        <w:rPr>
          <w:color w:val="231F20"/>
          <w:spacing w:val="-30"/>
          <w:sz w:val="15"/>
        </w:rPr>
        <w:t xml:space="preserve"> </w:t>
      </w:r>
      <w:r>
        <w:rPr>
          <w:color w:val="231F20"/>
          <w:sz w:val="15"/>
        </w:rPr>
        <w:t>uvedených</w:t>
      </w:r>
      <w:r>
        <w:rPr>
          <w:color w:val="231F20"/>
          <w:spacing w:val="-30"/>
          <w:sz w:val="15"/>
        </w:rPr>
        <w:t xml:space="preserve"> </w:t>
      </w:r>
      <w:r>
        <w:rPr>
          <w:color w:val="231F20"/>
          <w:sz w:val="15"/>
        </w:rPr>
        <w:t>v</w:t>
      </w:r>
      <w:r>
        <w:rPr>
          <w:color w:val="231F20"/>
          <w:spacing w:val="-30"/>
          <w:sz w:val="15"/>
        </w:rPr>
        <w:t xml:space="preserve"> </w:t>
      </w:r>
      <w:r>
        <w:rPr>
          <w:color w:val="231F20"/>
          <w:sz w:val="15"/>
        </w:rPr>
        <w:t>pojistné</w:t>
      </w:r>
      <w:r>
        <w:rPr>
          <w:color w:val="231F20"/>
          <w:spacing w:val="-29"/>
          <w:sz w:val="15"/>
        </w:rPr>
        <w:t xml:space="preserve"> </w:t>
      </w:r>
      <w:r>
        <w:rPr>
          <w:color w:val="231F20"/>
          <w:sz w:val="15"/>
        </w:rPr>
        <w:t>smlouvě</w:t>
      </w:r>
      <w:r>
        <w:rPr>
          <w:color w:val="231F20"/>
          <w:spacing w:val="-30"/>
          <w:sz w:val="15"/>
        </w:rPr>
        <w:t xml:space="preserve"> </w:t>
      </w:r>
      <w:r>
        <w:rPr>
          <w:color w:val="231F20"/>
          <w:sz w:val="15"/>
        </w:rPr>
        <w:t>nebo</w:t>
      </w:r>
      <w:r>
        <w:rPr>
          <w:color w:val="231F20"/>
          <w:spacing w:val="-30"/>
          <w:sz w:val="15"/>
        </w:rPr>
        <w:t xml:space="preserve"> </w:t>
      </w:r>
      <w:r>
        <w:rPr>
          <w:color w:val="231F20"/>
          <w:sz w:val="15"/>
        </w:rPr>
        <w:t>seznamu</w:t>
      </w:r>
      <w:r>
        <w:rPr>
          <w:color w:val="231F20"/>
          <w:spacing w:val="-30"/>
          <w:sz w:val="15"/>
        </w:rPr>
        <w:t xml:space="preserve"> </w:t>
      </w:r>
      <w:r>
        <w:rPr>
          <w:color w:val="231F20"/>
          <w:sz w:val="15"/>
        </w:rPr>
        <w:t>vozidel, zejména</w:t>
      </w:r>
      <w:r>
        <w:rPr>
          <w:color w:val="231F20"/>
          <w:spacing w:val="-17"/>
          <w:sz w:val="15"/>
        </w:rPr>
        <w:t xml:space="preserve"> </w:t>
      </w:r>
      <w:r>
        <w:rPr>
          <w:color w:val="231F20"/>
          <w:sz w:val="15"/>
        </w:rPr>
        <w:t>pak</w:t>
      </w:r>
      <w:r>
        <w:rPr>
          <w:color w:val="231F20"/>
          <w:spacing w:val="-17"/>
          <w:sz w:val="15"/>
        </w:rPr>
        <w:t xml:space="preserve"> </w:t>
      </w:r>
      <w:r>
        <w:rPr>
          <w:color w:val="231F20"/>
          <w:sz w:val="15"/>
        </w:rPr>
        <w:t>změnu</w:t>
      </w:r>
      <w:r>
        <w:rPr>
          <w:color w:val="231F20"/>
          <w:spacing w:val="-17"/>
          <w:sz w:val="15"/>
        </w:rPr>
        <w:t xml:space="preserve"> </w:t>
      </w:r>
      <w:r>
        <w:rPr>
          <w:color w:val="231F20"/>
          <w:sz w:val="15"/>
        </w:rPr>
        <w:t>vlastnictví</w:t>
      </w:r>
      <w:r>
        <w:rPr>
          <w:color w:val="231F20"/>
          <w:spacing w:val="-17"/>
          <w:sz w:val="15"/>
        </w:rPr>
        <w:t xml:space="preserve"> </w:t>
      </w:r>
      <w:r>
        <w:rPr>
          <w:color w:val="231F20"/>
          <w:sz w:val="15"/>
        </w:rPr>
        <w:t>vozidla</w:t>
      </w:r>
      <w:r>
        <w:rPr>
          <w:color w:val="231F20"/>
          <w:spacing w:val="-17"/>
          <w:sz w:val="15"/>
        </w:rPr>
        <w:t xml:space="preserve"> </w:t>
      </w:r>
      <w:r>
        <w:rPr>
          <w:color w:val="231F20"/>
          <w:sz w:val="15"/>
        </w:rPr>
        <w:t>či</w:t>
      </w:r>
      <w:r>
        <w:rPr>
          <w:color w:val="231F20"/>
          <w:spacing w:val="-16"/>
          <w:sz w:val="15"/>
        </w:rPr>
        <w:t xml:space="preserve"> </w:t>
      </w:r>
      <w:r>
        <w:rPr>
          <w:color w:val="231F20"/>
          <w:sz w:val="15"/>
        </w:rPr>
        <w:t>změnu</w:t>
      </w:r>
      <w:r>
        <w:rPr>
          <w:color w:val="231F20"/>
          <w:spacing w:val="-17"/>
          <w:sz w:val="15"/>
        </w:rPr>
        <w:t xml:space="preserve"> </w:t>
      </w:r>
      <w:r>
        <w:rPr>
          <w:color w:val="231F20"/>
          <w:sz w:val="15"/>
        </w:rPr>
        <w:t>způsobu</w:t>
      </w:r>
      <w:r>
        <w:rPr>
          <w:color w:val="231F20"/>
          <w:spacing w:val="-17"/>
          <w:sz w:val="15"/>
        </w:rPr>
        <w:t xml:space="preserve"> </w:t>
      </w:r>
      <w:r>
        <w:rPr>
          <w:color w:val="231F20"/>
          <w:sz w:val="15"/>
        </w:rPr>
        <w:t>užívání</w:t>
      </w:r>
      <w:r>
        <w:rPr>
          <w:color w:val="231F20"/>
          <w:spacing w:val="-17"/>
          <w:sz w:val="15"/>
        </w:rPr>
        <w:t xml:space="preserve"> </w:t>
      </w:r>
      <w:r>
        <w:rPr>
          <w:color w:val="231F20"/>
          <w:sz w:val="15"/>
        </w:rPr>
        <w:t>vozidla;</w:t>
      </w:r>
    </w:p>
    <w:p w14:paraId="67A0D443" w14:textId="77777777" w:rsidR="00F65BCA" w:rsidRDefault="00216117">
      <w:pPr>
        <w:pStyle w:val="Odstavecseseznamem"/>
        <w:numPr>
          <w:ilvl w:val="0"/>
          <w:numId w:val="127"/>
        </w:numPr>
        <w:tabs>
          <w:tab w:val="left" w:pos="638"/>
        </w:tabs>
        <w:spacing w:line="278" w:lineRule="auto"/>
        <w:ind w:right="424"/>
        <w:jc w:val="both"/>
        <w:rPr>
          <w:sz w:val="15"/>
        </w:rPr>
      </w:pPr>
      <w:r>
        <w:rPr>
          <w:color w:val="231F20"/>
          <w:sz w:val="15"/>
        </w:rPr>
        <w:t>Po</w:t>
      </w:r>
      <w:r>
        <w:rPr>
          <w:color w:val="231F20"/>
          <w:spacing w:val="-21"/>
          <w:sz w:val="15"/>
        </w:rPr>
        <w:t xml:space="preserve"> </w:t>
      </w:r>
      <w:r>
        <w:rPr>
          <w:color w:val="231F20"/>
          <w:sz w:val="15"/>
        </w:rPr>
        <w:t>dobu</w:t>
      </w:r>
      <w:r>
        <w:rPr>
          <w:color w:val="231F20"/>
          <w:spacing w:val="-21"/>
          <w:sz w:val="15"/>
        </w:rPr>
        <w:t xml:space="preserve"> </w:t>
      </w:r>
      <w:r>
        <w:rPr>
          <w:color w:val="231F20"/>
          <w:sz w:val="15"/>
        </w:rPr>
        <w:t>trvání</w:t>
      </w:r>
      <w:r>
        <w:rPr>
          <w:color w:val="231F20"/>
          <w:spacing w:val="-21"/>
          <w:sz w:val="15"/>
        </w:rPr>
        <w:t xml:space="preserve"> </w:t>
      </w:r>
      <w:r>
        <w:rPr>
          <w:color w:val="231F20"/>
          <w:sz w:val="15"/>
        </w:rPr>
        <w:t>pojištění</w:t>
      </w:r>
      <w:r>
        <w:rPr>
          <w:color w:val="231F20"/>
          <w:spacing w:val="-20"/>
          <w:sz w:val="15"/>
        </w:rPr>
        <w:t xml:space="preserve"> </w:t>
      </w:r>
      <w:r>
        <w:rPr>
          <w:color w:val="231F20"/>
          <w:sz w:val="15"/>
        </w:rPr>
        <w:t>je</w:t>
      </w:r>
      <w:r>
        <w:rPr>
          <w:color w:val="231F20"/>
          <w:spacing w:val="-21"/>
          <w:sz w:val="15"/>
        </w:rPr>
        <w:t xml:space="preserve"> </w:t>
      </w:r>
      <w:r>
        <w:rPr>
          <w:color w:val="231F20"/>
          <w:sz w:val="15"/>
        </w:rPr>
        <w:t>pojistník</w:t>
      </w:r>
      <w:r>
        <w:rPr>
          <w:color w:val="231F20"/>
          <w:spacing w:val="-21"/>
          <w:sz w:val="15"/>
        </w:rPr>
        <w:t xml:space="preserve"> </w:t>
      </w:r>
      <w:r>
        <w:rPr>
          <w:color w:val="231F20"/>
          <w:sz w:val="15"/>
        </w:rPr>
        <w:t>povinen</w:t>
      </w:r>
      <w:r>
        <w:rPr>
          <w:color w:val="231F20"/>
          <w:spacing w:val="-20"/>
          <w:sz w:val="15"/>
        </w:rPr>
        <w:t xml:space="preserve"> </w:t>
      </w:r>
      <w:r>
        <w:rPr>
          <w:color w:val="231F20"/>
          <w:sz w:val="15"/>
        </w:rPr>
        <w:t>oznamovat</w:t>
      </w:r>
      <w:r>
        <w:rPr>
          <w:color w:val="231F20"/>
          <w:spacing w:val="-21"/>
          <w:sz w:val="15"/>
        </w:rPr>
        <w:t xml:space="preserve"> </w:t>
      </w:r>
      <w:r>
        <w:rPr>
          <w:color w:val="231F20"/>
          <w:sz w:val="15"/>
        </w:rPr>
        <w:t>Pojišťovně</w:t>
      </w:r>
      <w:r>
        <w:rPr>
          <w:color w:val="231F20"/>
          <w:spacing w:val="-21"/>
          <w:sz w:val="15"/>
        </w:rPr>
        <w:t xml:space="preserve"> </w:t>
      </w:r>
      <w:r>
        <w:rPr>
          <w:color w:val="231F20"/>
          <w:sz w:val="15"/>
        </w:rPr>
        <w:t>bez</w:t>
      </w:r>
      <w:r>
        <w:rPr>
          <w:color w:val="231F20"/>
          <w:spacing w:val="-20"/>
          <w:sz w:val="15"/>
        </w:rPr>
        <w:t xml:space="preserve"> </w:t>
      </w:r>
      <w:r>
        <w:rPr>
          <w:color w:val="231F20"/>
          <w:sz w:val="15"/>
        </w:rPr>
        <w:t>zby- tečného</w:t>
      </w:r>
      <w:r>
        <w:rPr>
          <w:color w:val="231F20"/>
          <w:spacing w:val="-10"/>
          <w:sz w:val="15"/>
        </w:rPr>
        <w:t xml:space="preserve"> </w:t>
      </w:r>
      <w:r>
        <w:rPr>
          <w:color w:val="231F20"/>
          <w:sz w:val="15"/>
        </w:rPr>
        <w:t>odkladu</w:t>
      </w:r>
      <w:r>
        <w:rPr>
          <w:color w:val="231F20"/>
          <w:spacing w:val="-10"/>
          <w:sz w:val="15"/>
        </w:rPr>
        <w:t xml:space="preserve"> </w:t>
      </w:r>
      <w:r>
        <w:rPr>
          <w:color w:val="231F20"/>
          <w:sz w:val="15"/>
        </w:rPr>
        <w:t>případné</w:t>
      </w:r>
      <w:r>
        <w:rPr>
          <w:color w:val="231F20"/>
          <w:spacing w:val="-10"/>
          <w:sz w:val="15"/>
        </w:rPr>
        <w:t xml:space="preserve"> </w:t>
      </w:r>
      <w:r>
        <w:rPr>
          <w:color w:val="231F20"/>
          <w:sz w:val="15"/>
        </w:rPr>
        <w:t>změny</w:t>
      </w:r>
      <w:r>
        <w:rPr>
          <w:color w:val="231F20"/>
          <w:spacing w:val="-10"/>
          <w:sz w:val="15"/>
        </w:rPr>
        <w:t xml:space="preserve"> </w:t>
      </w:r>
      <w:r>
        <w:rPr>
          <w:color w:val="231F20"/>
          <w:sz w:val="15"/>
        </w:rPr>
        <w:t>kontaktních</w:t>
      </w:r>
      <w:r>
        <w:rPr>
          <w:color w:val="231F20"/>
          <w:spacing w:val="-10"/>
          <w:sz w:val="15"/>
        </w:rPr>
        <w:t xml:space="preserve"> </w:t>
      </w:r>
      <w:r>
        <w:rPr>
          <w:color w:val="231F20"/>
          <w:sz w:val="15"/>
        </w:rPr>
        <w:t>údajů</w:t>
      </w:r>
      <w:r>
        <w:rPr>
          <w:color w:val="231F20"/>
          <w:spacing w:val="-9"/>
          <w:sz w:val="15"/>
        </w:rPr>
        <w:t xml:space="preserve"> </w:t>
      </w:r>
      <w:r>
        <w:rPr>
          <w:color w:val="231F20"/>
          <w:sz w:val="15"/>
        </w:rPr>
        <w:t>na</w:t>
      </w:r>
      <w:r>
        <w:rPr>
          <w:color w:val="231F20"/>
          <w:spacing w:val="-10"/>
          <w:sz w:val="15"/>
        </w:rPr>
        <w:t xml:space="preserve"> </w:t>
      </w:r>
      <w:r>
        <w:rPr>
          <w:color w:val="231F20"/>
          <w:sz w:val="15"/>
        </w:rPr>
        <w:t>osobu</w:t>
      </w:r>
      <w:r>
        <w:rPr>
          <w:color w:val="231F20"/>
          <w:spacing w:val="-10"/>
          <w:sz w:val="15"/>
        </w:rPr>
        <w:t xml:space="preserve"> </w:t>
      </w:r>
      <w:r>
        <w:rPr>
          <w:color w:val="231F20"/>
          <w:sz w:val="15"/>
        </w:rPr>
        <w:t>svou,</w:t>
      </w:r>
      <w:r>
        <w:rPr>
          <w:color w:val="231F20"/>
          <w:spacing w:val="-10"/>
          <w:sz w:val="15"/>
        </w:rPr>
        <w:t xml:space="preserve"> </w:t>
      </w:r>
      <w:r>
        <w:rPr>
          <w:color w:val="231F20"/>
          <w:sz w:val="15"/>
        </w:rPr>
        <w:t>jakož i</w:t>
      </w:r>
      <w:r>
        <w:rPr>
          <w:color w:val="231F20"/>
          <w:spacing w:val="-7"/>
          <w:sz w:val="15"/>
        </w:rPr>
        <w:t xml:space="preserve"> </w:t>
      </w:r>
      <w:r>
        <w:rPr>
          <w:color w:val="231F20"/>
          <w:sz w:val="15"/>
        </w:rPr>
        <w:t>další</w:t>
      </w:r>
      <w:r>
        <w:rPr>
          <w:color w:val="231F20"/>
          <w:spacing w:val="-6"/>
          <w:sz w:val="15"/>
        </w:rPr>
        <w:t xml:space="preserve"> </w:t>
      </w:r>
      <w:r>
        <w:rPr>
          <w:color w:val="231F20"/>
          <w:sz w:val="15"/>
        </w:rPr>
        <w:t>osoby</w:t>
      </w:r>
      <w:r>
        <w:rPr>
          <w:color w:val="231F20"/>
          <w:spacing w:val="-7"/>
          <w:sz w:val="15"/>
        </w:rPr>
        <w:t xml:space="preserve"> </w:t>
      </w:r>
      <w:r>
        <w:rPr>
          <w:color w:val="231F20"/>
          <w:sz w:val="15"/>
        </w:rPr>
        <w:t>uvedené</w:t>
      </w:r>
      <w:r>
        <w:rPr>
          <w:color w:val="231F20"/>
          <w:spacing w:val="-6"/>
          <w:sz w:val="15"/>
        </w:rPr>
        <w:t xml:space="preserve"> </w:t>
      </w:r>
      <w:r>
        <w:rPr>
          <w:color w:val="231F20"/>
          <w:sz w:val="15"/>
        </w:rPr>
        <w:t>v</w:t>
      </w:r>
      <w:r>
        <w:rPr>
          <w:color w:val="231F20"/>
          <w:spacing w:val="-7"/>
          <w:sz w:val="15"/>
        </w:rPr>
        <w:t xml:space="preserve"> </w:t>
      </w:r>
      <w:r>
        <w:rPr>
          <w:color w:val="231F20"/>
          <w:sz w:val="15"/>
        </w:rPr>
        <w:t>pojistné</w:t>
      </w:r>
      <w:r>
        <w:rPr>
          <w:color w:val="231F20"/>
          <w:spacing w:val="-6"/>
          <w:sz w:val="15"/>
        </w:rPr>
        <w:t xml:space="preserve"> </w:t>
      </w:r>
      <w:r>
        <w:rPr>
          <w:color w:val="231F20"/>
          <w:sz w:val="15"/>
        </w:rPr>
        <w:t>smlouvě</w:t>
      </w:r>
      <w:r>
        <w:rPr>
          <w:color w:val="231F20"/>
          <w:spacing w:val="-6"/>
          <w:sz w:val="15"/>
        </w:rPr>
        <w:t xml:space="preserve"> </w:t>
      </w:r>
      <w:r>
        <w:rPr>
          <w:color w:val="231F20"/>
          <w:sz w:val="15"/>
        </w:rPr>
        <w:t>nebo</w:t>
      </w:r>
      <w:r>
        <w:rPr>
          <w:color w:val="231F20"/>
          <w:spacing w:val="-7"/>
          <w:sz w:val="15"/>
        </w:rPr>
        <w:t xml:space="preserve"> </w:t>
      </w:r>
      <w:r>
        <w:rPr>
          <w:color w:val="231F20"/>
          <w:sz w:val="15"/>
        </w:rPr>
        <w:t>seznamu</w:t>
      </w:r>
      <w:r>
        <w:rPr>
          <w:color w:val="231F20"/>
          <w:spacing w:val="-6"/>
          <w:sz w:val="15"/>
        </w:rPr>
        <w:t xml:space="preserve"> </w:t>
      </w:r>
      <w:r>
        <w:rPr>
          <w:color w:val="231F20"/>
          <w:sz w:val="15"/>
        </w:rPr>
        <w:t>vozidel;</w:t>
      </w:r>
    </w:p>
    <w:p w14:paraId="1FFC063A" w14:textId="77777777" w:rsidR="00F65BCA" w:rsidRDefault="00216117">
      <w:pPr>
        <w:pStyle w:val="Odstavecseseznamem"/>
        <w:numPr>
          <w:ilvl w:val="0"/>
          <w:numId w:val="127"/>
        </w:numPr>
        <w:tabs>
          <w:tab w:val="left" w:pos="638"/>
        </w:tabs>
        <w:spacing w:line="278" w:lineRule="auto"/>
        <w:ind w:right="424"/>
        <w:jc w:val="both"/>
        <w:rPr>
          <w:sz w:val="15"/>
        </w:rPr>
      </w:pPr>
      <w:r>
        <w:rPr>
          <w:color w:val="231F20"/>
          <w:sz w:val="15"/>
        </w:rPr>
        <w:t>Pojistník</w:t>
      </w:r>
      <w:r>
        <w:rPr>
          <w:color w:val="231F20"/>
          <w:spacing w:val="-15"/>
          <w:sz w:val="15"/>
        </w:rPr>
        <w:t xml:space="preserve"> </w:t>
      </w:r>
      <w:r>
        <w:rPr>
          <w:color w:val="231F20"/>
          <w:sz w:val="15"/>
        </w:rPr>
        <w:t>je</w:t>
      </w:r>
      <w:r>
        <w:rPr>
          <w:color w:val="231F20"/>
          <w:spacing w:val="-15"/>
          <w:sz w:val="15"/>
        </w:rPr>
        <w:t xml:space="preserve"> </w:t>
      </w:r>
      <w:r>
        <w:rPr>
          <w:color w:val="231F20"/>
          <w:sz w:val="15"/>
        </w:rPr>
        <w:t>povinen</w:t>
      </w:r>
      <w:r>
        <w:rPr>
          <w:color w:val="231F20"/>
          <w:spacing w:val="-15"/>
          <w:sz w:val="15"/>
        </w:rPr>
        <w:t xml:space="preserve"> </w:t>
      </w:r>
      <w:r>
        <w:rPr>
          <w:color w:val="231F20"/>
          <w:sz w:val="15"/>
        </w:rPr>
        <w:t>bez</w:t>
      </w:r>
      <w:r>
        <w:rPr>
          <w:color w:val="231F20"/>
          <w:spacing w:val="-15"/>
          <w:sz w:val="15"/>
        </w:rPr>
        <w:t xml:space="preserve"> </w:t>
      </w:r>
      <w:r>
        <w:rPr>
          <w:color w:val="231F20"/>
          <w:sz w:val="15"/>
        </w:rPr>
        <w:t>zbytečného</w:t>
      </w:r>
      <w:r>
        <w:rPr>
          <w:color w:val="231F20"/>
          <w:spacing w:val="-15"/>
          <w:sz w:val="15"/>
        </w:rPr>
        <w:t xml:space="preserve"> </w:t>
      </w:r>
      <w:r>
        <w:rPr>
          <w:color w:val="231F20"/>
          <w:sz w:val="15"/>
        </w:rPr>
        <w:t>odkladu</w:t>
      </w:r>
      <w:r>
        <w:rPr>
          <w:color w:val="231F20"/>
          <w:spacing w:val="-15"/>
          <w:sz w:val="15"/>
        </w:rPr>
        <w:t xml:space="preserve"> </w:t>
      </w:r>
      <w:r>
        <w:rPr>
          <w:color w:val="231F20"/>
          <w:sz w:val="15"/>
        </w:rPr>
        <w:t>informovat</w:t>
      </w:r>
      <w:r>
        <w:rPr>
          <w:color w:val="231F20"/>
          <w:spacing w:val="-14"/>
          <w:sz w:val="15"/>
        </w:rPr>
        <w:t xml:space="preserve"> </w:t>
      </w:r>
      <w:r>
        <w:rPr>
          <w:color w:val="231F20"/>
          <w:sz w:val="15"/>
        </w:rPr>
        <w:t>pojištěného</w:t>
      </w:r>
      <w:r>
        <w:rPr>
          <w:color w:val="231F20"/>
          <w:spacing w:val="-15"/>
          <w:sz w:val="15"/>
        </w:rPr>
        <w:t xml:space="preserve"> </w:t>
      </w:r>
      <w:r>
        <w:rPr>
          <w:color w:val="231F20"/>
          <w:spacing w:val="-3"/>
          <w:sz w:val="15"/>
        </w:rPr>
        <w:t xml:space="preserve">(vlast- </w:t>
      </w:r>
      <w:r>
        <w:rPr>
          <w:color w:val="231F20"/>
          <w:sz w:val="15"/>
        </w:rPr>
        <w:t>níka,</w:t>
      </w:r>
      <w:r>
        <w:rPr>
          <w:color w:val="231F20"/>
          <w:spacing w:val="-24"/>
          <w:sz w:val="15"/>
        </w:rPr>
        <w:t xml:space="preserve"> </w:t>
      </w:r>
      <w:r>
        <w:rPr>
          <w:color w:val="231F20"/>
          <w:sz w:val="15"/>
        </w:rPr>
        <w:t>příp.</w:t>
      </w:r>
      <w:r>
        <w:rPr>
          <w:color w:val="231F20"/>
          <w:spacing w:val="-23"/>
          <w:sz w:val="15"/>
        </w:rPr>
        <w:t xml:space="preserve"> </w:t>
      </w:r>
      <w:r>
        <w:rPr>
          <w:color w:val="231F20"/>
          <w:sz w:val="15"/>
        </w:rPr>
        <w:t>držitele</w:t>
      </w:r>
      <w:r>
        <w:rPr>
          <w:color w:val="231F20"/>
          <w:spacing w:val="-24"/>
          <w:sz w:val="15"/>
        </w:rPr>
        <w:t xml:space="preserve"> </w:t>
      </w:r>
      <w:r>
        <w:rPr>
          <w:color w:val="231F20"/>
          <w:sz w:val="15"/>
        </w:rPr>
        <w:t>nebo</w:t>
      </w:r>
      <w:r>
        <w:rPr>
          <w:color w:val="231F20"/>
          <w:spacing w:val="-23"/>
          <w:sz w:val="15"/>
        </w:rPr>
        <w:t xml:space="preserve"> </w:t>
      </w:r>
      <w:r>
        <w:rPr>
          <w:color w:val="231F20"/>
          <w:sz w:val="15"/>
        </w:rPr>
        <w:t>provozovatele</w:t>
      </w:r>
      <w:r>
        <w:rPr>
          <w:color w:val="231F20"/>
          <w:spacing w:val="-23"/>
          <w:sz w:val="15"/>
        </w:rPr>
        <w:t xml:space="preserve"> </w:t>
      </w:r>
      <w:r>
        <w:rPr>
          <w:color w:val="231F20"/>
          <w:sz w:val="15"/>
        </w:rPr>
        <w:t>vozidla)</w:t>
      </w:r>
      <w:r>
        <w:rPr>
          <w:color w:val="231F20"/>
          <w:spacing w:val="-24"/>
          <w:sz w:val="15"/>
        </w:rPr>
        <w:t xml:space="preserve"> </w:t>
      </w:r>
      <w:r>
        <w:rPr>
          <w:color w:val="231F20"/>
          <w:sz w:val="15"/>
        </w:rPr>
        <w:t>o</w:t>
      </w:r>
      <w:r>
        <w:rPr>
          <w:color w:val="231F20"/>
          <w:spacing w:val="-23"/>
          <w:sz w:val="15"/>
        </w:rPr>
        <w:t xml:space="preserve"> </w:t>
      </w:r>
      <w:r>
        <w:rPr>
          <w:color w:val="231F20"/>
          <w:sz w:val="15"/>
        </w:rPr>
        <w:t>rozsahu</w:t>
      </w:r>
      <w:r>
        <w:rPr>
          <w:color w:val="231F20"/>
          <w:spacing w:val="-23"/>
          <w:sz w:val="15"/>
        </w:rPr>
        <w:t xml:space="preserve"> </w:t>
      </w:r>
      <w:r>
        <w:rPr>
          <w:color w:val="231F20"/>
          <w:sz w:val="15"/>
        </w:rPr>
        <w:t>pojištění</w:t>
      </w:r>
      <w:r>
        <w:rPr>
          <w:color w:val="231F20"/>
          <w:spacing w:val="-24"/>
          <w:sz w:val="15"/>
        </w:rPr>
        <w:t xml:space="preserve"> </w:t>
      </w:r>
      <w:r>
        <w:rPr>
          <w:color w:val="231F20"/>
          <w:sz w:val="15"/>
        </w:rPr>
        <w:t>a</w:t>
      </w:r>
      <w:r>
        <w:rPr>
          <w:color w:val="231F20"/>
          <w:spacing w:val="-23"/>
          <w:sz w:val="15"/>
        </w:rPr>
        <w:t xml:space="preserve"> </w:t>
      </w:r>
      <w:r>
        <w:rPr>
          <w:color w:val="231F20"/>
          <w:sz w:val="15"/>
        </w:rPr>
        <w:t>o</w:t>
      </w:r>
      <w:r>
        <w:rPr>
          <w:color w:val="231F20"/>
          <w:spacing w:val="-24"/>
          <w:sz w:val="15"/>
        </w:rPr>
        <w:t xml:space="preserve"> </w:t>
      </w:r>
      <w:r>
        <w:rPr>
          <w:color w:val="231F20"/>
          <w:spacing w:val="-3"/>
          <w:sz w:val="15"/>
        </w:rPr>
        <w:t xml:space="preserve">všech </w:t>
      </w:r>
      <w:r>
        <w:rPr>
          <w:color w:val="231F20"/>
          <w:sz w:val="15"/>
        </w:rPr>
        <w:t>změnách</w:t>
      </w:r>
      <w:r>
        <w:rPr>
          <w:color w:val="231F20"/>
          <w:spacing w:val="-8"/>
          <w:sz w:val="15"/>
        </w:rPr>
        <w:t xml:space="preserve"> </w:t>
      </w:r>
      <w:r>
        <w:rPr>
          <w:color w:val="231F20"/>
          <w:sz w:val="15"/>
        </w:rPr>
        <w:t>týkajících</w:t>
      </w:r>
      <w:r>
        <w:rPr>
          <w:color w:val="231F20"/>
          <w:spacing w:val="-7"/>
          <w:sz w:val="15"/>
        </w:rPr>
        <w:t xml:space="preserve"> </w:t>
      </w:r>
      <w:r>
        <w:rPr>
          <w:color w:val="231F20"/>
          <w:sz w:val="15"/>
        </w:rPr>
        <w:t>se</w:t>
      </w:r>
      <w:r>
        <w:rPr>
          <w:color w:val="231F20"/>
          <w:spacing w:val="-7"/>
          <w:sz w:val="15"/>
        </w:rPr>
        <w:t xml:space="preserve"> </w:t>
      </w:r>
      <w:r>
        <w:rPr>
          <w:color w:val="231F20"/>
          <w:sz w:val="15"/>
        </w:rPr>
        <w:t>pojištění,</w:t>
      </w:r>
      <w:r>
        <w:rPr>
          <w:color w:val="231F20"/>
          <w:spacing w:val="-7"/>
          <w:sz w:val="15"/>
        </w:rPr>
        <w:t xml:space="preserve"> </w:t>
      </w:r>
      <w:r>
        <w:rPr>
          <w:color w:val="231F20"/>
          <w:sz w:val="15"/>
        </w:rPr>
        <w:t>zejména</w:t>
      </w:r>
      <w:r>
        <w:rPr>
          <w:color w:val="231F20"/>
          <w:spacing w:val="-7"/>
          <w:sz w:val="15"/>
        </w:rPr>
        <w:t xml:space="preserve"> </w:t>
      </w:r>
      <w:r>
        <w:rPr>
          <w:color w:val="231F20"/>
          <w:sz w:val="15"/>
        </w:rPr>
        <w:t>pak</w:t>
      </w:r>
      <w:r>
        <w:rPr>
          <w:color w:val="231F20"/>
          <w:spacing w:val="-7"/>
          <w:sz w:val="15"/>
        </w:rPr>
        <w:t xml:space="preserve"> </w:t>
      </w:r>
      <w:r>
        <w:rPr>
          <w:color w:val="231F20"/>
          <w:sz w:val="15"/>
        </w:rPr>
        <w:t>o</w:t>
      </w:r>
      <w:r>
        <w:rPr>
          <w:color w:val="231F20"/>
          <w:spacing w:val="-7"/>
          <w:sz w:val="15"/>
        </w:rPr>
        <w:t xml:space="preserve"> </w:t>
      </w:r>
      <w:r>
        <w:rPr>
          <w:color w:val="231F20"/>
          <w:sz w:val="15"/>
        </w:rPr>
        <w:t>zániku</w:t>
      </w:r>
      <w:r>
        <w:rPr>
          <w:color w:val="231F20"/>
          <w:spacing w:val="-7"/>
          <w:sz w:val="15"/>
        </w:rPr>
        <w:t xml:space="preserve"> </w:t>
      </w:r>
      <w:r>
        <w:rPr>
          <w:color w:val="231F20"/>
          <w:sz w:val="15"/>
        </w:rPr>
        <w:t>pojištění;</w:t>
      </w:r>
    </w:p>
    <w:p w14:paraId="2287AA86" w14:textId="77777777" w:rsidR="00F65BCA" w:rsidRDefault="00216117">
      <w:pPr>
        <w:pStyle w:val="Odstavecseseznamem"/>
        <w:numPr>
          <w:ilvl w:val="0"/>
          <w:numId w:val="127"/>
        </w:numPr>
        <w:tabs>
          <w:tab w:val="left" w:pos="638"/>
        </w:tabs>
        <w:spacing w:line="278" w:lineRule="auto"/>
        <w:ind w:right="424"/>
        <w:jc w:val="both"/>
        <w:rPr>
          <w:sz w:val="15"/>
        </w:rPr>
      </w:pPr>
      <w:r>
        <w:rPr>
          <w:color w:val="231F20"/>
          <w:sz w:val="15"/>
        </w:rPr>
        <w:t>Pojišťovna má právo ověřovat si pravdivost a úplnost údajů sloužících   k</w:t>
      </w:r>
      <w:r>
        <w:rPr>
          <w:color w:val="231F20"/>
          <w:spacing w:val="-12"/>
          <w:sz w:val="15"/>
        </w:rPr>
        <w:t xml:space="preserve"> </w:t>
      </w:r>
      <w:r>
        <w:rPr>
          <w:color w:val="231F20"/>
          <w:sz w:val="15"/>
        </w:rPr>
        <w:t>identifikaci</w:t>
      </w:r>
      <w:r>
        <w:rPr>
          <w:color w:val="231F20"/>
          <w:spacing w:val="-12"/>
          <w:sz w:val="15"/>
        </w:rPr>
        <w:t xml:space="preserve"> </w:t>
      </w:r>
      <w:r>
        <w:rPr>
          <w:color w:val="231F20"/>
          <w:sz w:val="15"/>
        </w:rPr>
        <w:t>pojistníka,</w:t>
      </w:r>
      <w:r>
        <w:rPr>
          <w:color w:val="231F20"/>
          <w:spacing w:val="-12"/>
          <w:sz w:val="15"/>
        </w:rPr>
        <w:t xml:space="preserve"> </w:t>
      </w:r>
      <w:r>
        <w:rPr>
          <w:color w:val="231F20"/>
          <w:sz w:val="15"/>
        </w:rPr>
        <w:t>pojištěného,</w:t>
      </w:r>
      <w:r>
        <w:rPr>
          <w:color w:val="231F20"/>
          <w:spacing w:val="-12"/>
          <w:sz w:val="15"/>
        </w:rPr>
        <w:t xml:space="preserve"> </w:t>
      </w:r>
      <w:r>
        <w:rPr>
          <w:color w:val="231F20"/>
          <w:sz w:val="15"/>
        </w:rPr>
        <w:t>případně</w:t>
      </w:r>
      <w:r>
        <w:rPr>
          <w:color w:val="231F20"/>
          <w:spacing w:val="-12"/>
          <w:sz w:val="15"/>
        </w:rPr>
        <w:t xml:space="preserve"> </w:t>
      </w:r>
      <w:r>
        <w:rPr>
          <w:color w:val="231F20"/>
          <w:sz w:val="15"/>
        </w:rPr>
        <w:t>jiné</w:t>
      </w:r>
      <w:r>
        <w:rPr>
          <w:color w:val="231F20"/>
          <w:spacing w:val="-12"/>
          <w:sz w:val="15"/>
        </w:rPr>
        <w:t xml:space="preserve"> </w:t>
      </w:r>
      <w:r>
        <w:rPr>
          <w:color w:val="231F20"/>
          <w:sz w:val="15"/>
        </w:rPr>
        <w:t>oprávněné</w:t>
      </w:r>
      <w:r>
        <w:rPr>
          <w:color w:val="231F20"/>
          <w:spacing w:val="-12"/>
          <w:sz w:val="15"/>
        </w:rPr>
        <w:t xml:space="preserve"> </w:t>
      </w:r>
      <w:r>
        <w:rPr>
          <w:color w:val="231F20"/>
          <w:sz w:val="15"/>
        </w:rPr>
        <w:t>osoby</w:t>
      </w:r>
      <w:r>
        <w:rPr>
          <w:color w:val="231F20"/>
          <w:spacing w:val="-12"/>
          <w:sz w:val="15"/>
        </w:rPr>
        <w:t xml:space="preserve"> </w:t>
      </w:r>
      <w:r>
        <w:rPr>
          <w:color w:val="231F20"/>
          <w:sz w:val="15"/>
        </w:rPr>
        <w:t>a</w:t>
      </w:r>
      <w:r>
        <w:rPr>
          <w:color w:val="231F20"/>
          <w:spacing w:val="-11"/>
          <w:sz w:val="15"/>
        </w:rPr>
        <w:t xml:space="preserve"> </w:t>
      </w:r>
      <w:r>
        <w:rPr>
          <w:color w:val="231F20"/>
          <w:sz w:val="15"/>
        </w:rPr>
        <w:t>řidi- če</w:t>
      </w:r>
      <w:r>
        <w:rPr>
          <w:color w:val="231F20"/>
          <w:spacing w:val="-5"/>
          <w:sz w:val="15"/>
        </w:rPr>
        <w:t xml:space="preserve"> </w:t>
      </w:r>
      <w:r>
        <w:rPr>
          <w:color w:val="231F20"/>
          <w:sz w:val="15"/>
        </w:rPr>
        <w:t>pojištěného</w:t>
      </w:r>
      <w:r>
        <w:rPr>
          <w:color w:val="231F20"/>
          <w:spacing w:val="-4"/>
          <w:sz w:val="15"/>
        </w:rPr>
        <w:t xml:space="preserve"> </w:t>
      </w:r>
      <w:r>
        <w:rPr>
          <w:color w:val="231F20"/>
          <w:sz w:val="15"/>
        </w:rPr>
        <w:t>vozidla,</w:t>
      </w:r>
      <w:r>
        <w:rPr>
          <w:color w:val="231F20"/>
          <w:spacing w:val="-5"/>
          <w:sz w:val="15"/>
        </w:rPr>
        <w:t xml:space="preserve"> </w:t>
      </w:r>
      <w:r>
        <w:rPr>
          <w:color w:val="231F20"/>
          <w:sz w:val="15"/>
        </w:rPr>
        <w:t>jakož</w:t>
      </w:r>
      <w:r>
        <w:rPr>
          <w:color w:val="231F20"/>
          <w:spacing w:val="-4"/>
          <w:sz w:val="15"/>
        </w:rPr>
        <w:t xml:space="preserve"> </w:t>
      </w:r>
      <w:r>
        <w:rPr>
          <w:color w:val="231F20"/>
          <w:sz w:val="15"/>
        </w:rPr>
        <w:t>i</w:t>
      </w:r>
      <w:r>
        <w:rPr>
          <w:color w:val="231F20"/>
          <w:spacing w:val="-5"/>
          <w:sz w:val="15"/>
        </w:rPr>
        <w:t xml:space="preserve"> </w:t>
      </w:r>
      <w:r>
        <w:rPr>
          <w:color w:val="231F20"/>
          <w:sz w:val="15"/>
        </w:rPr>
        <w:t>pravdivost</w:t>
      </w:r>
      <w:r>
        <w:rPr>
          <w:color w:val="231F20"/>
          <w:spacing w:val="-4"/>
          <w:sz w:val="15"/>
        </w:rPr>
        <w:t xml:space="preserve"> </w:t>
      </w:r>
      <w:r>
        <w:rPr>
          <w:color w:val="231F20"/>
          <w:sz w:val="15"/>
        </w:rPr>
        <w:t>údajů</w:t>
      </w:r>
      <w:r>
        <w:rPr>
          <w:color w:val="231F20"/>
          <w:spacing w:val="-5"/>
          <w:sz w:val="15"/>
        </w:rPr>
        <w:t xml:space="preserve"> </w:t>
      </w:r>
      <w:r>
        <w:rPr>
          <w:color w:val="231F20"/>
          <w:sz w:val="15"/>
        </w:rPr>
        <w:t>týkajících</w:t>
      </w:r>
      <w:r>
        <w:rPr>
          <w:color w:val="231F20"/>
          <w:spacing w:val="-4"/>
          <w:sz w:val="15"/>
        </w:rPr>
        <w:t xml:space="preserve"> </w:t>
      </w:r>
      <w:r>
        <w:rPr>
          <w:color w:val="231F20"/>
          <w:sz w:val="15"/>
        </w:rPr>
        <w:t>se</w:t>
      </w:r>
      <w:r>
        <w:rPr>
          <w:color w:val="231F20"/>
          <w:spacing w:val="-4"/>
          <w:sz w:val="15"/>
        </w:rPr>
        <w:t xml:space="preserve"> </w:t>
      </w:r>
      <w:r>
        <w:rPr>
          <w:color w:val="231F20"/>
          <w:sz w:val="15"/>
        </w:rPr>
        <w:t>pojištěného. Dále</w:t>
      </w:r>
      <w:r>
        <w:rPr>
          <w:color w:val="231F20"/>
          <w:spacing w:val="-14"/>
          <w:sz w:val="15"/>
        </w:rPr>
        <w:t xml:space="preserve"> </w:t>
      </w:r>
      <w:r>
        <w:rPr>
          <w:color w:val="231F20"/>
          <w:sz w:val="15"/>
        </w:rPr>
        <w:t>má</w:t>
      </w:r>
      <w:r>
        <w:rPr>
          <w:color w:val="231F20"/>
          <w:spacing w:val="-14"/>
          <w:sz w:val="15"/>
        </w:rPr>
        <w:t xml:space="preserve"> </w:t>
      </w:r>
      <w:r>
        <w:rPr>
          <w:color w:val="231F20"/>
          <w:sz w:val="15"/>
        </w:rPr>
        <w:t>Pojišťovna</w:t>
      </w:r>
      <w:r>
        <w:rPr>
          <w:color w:val="231F20"/>
          <w:spacing w:val="-14"/>
          <w:sz w:val="15"/>
        </w:rPr>
        <w:t xml:space="preserve"> </w:t>
      </w:r>
      <w:r>
        <w:rPr>
          <w:color w:val="231F20"/>
          <w:sz w:val="15"/>
        </w:rPr>
        <w:t>právo</w:t>
      </w:r>
      <w:r>
        <w:rPr>
          <w:color w:val="231F20"/>
          <w:spacing w:val="-14"/>
          <w:sz w:val="15"/>
        </w:rPr>
        <w:t xml:space="preserve"> </w:t>
      </w:r>
      <w:r>
        <w:rPr>
          <w:color w:val="231F20"/>
          <w:sz w:val="15"/>
        </w:rPr>
        <w:t>ověřovat</w:t>
      </w:r>
      <w:r>
        <w:rPr>
          <w:color w:val="231F20"/>
          <w:spacing w:val="-14"/>
          <w:sz w:val="15"/>
        </w:rPr>
        <w:t xml:space="preserve"> </w:t>
      </w:r>
      <w:r>
        <w:rPr>
          <w:color w:val="231F20"/>
          <w:sz w:val="15"/>
        </w:rPr>
        <w:t>si</w:t>
      </w:r>
      <w:r>
        <w:rPr>
          <w:color w:val="231F20"/>
          <w:spacing w:val="-14"/>
          <w:sz w:val="15"/>
        </w:rPr>
        <w:t xml:space="preserve"> </w:t>
      </w:r>
      <w:r>
        <w:rPr>
          <w:color w:val="231F20"/>
          <w:sz w:val="15"/>
        </w:rPr>
        <w:t>pravdivost</w:t>
      </w:r>
      <w:r>
        <w:rPr>
          <w:color w:val="231F20"/>
          <w:spacing w:val="-14"/>
          <w:sz w:val="15"/>
        </w:rPr>
        <w:t xml:space="preserve"> </w:t>
      </w:r>
      <w:r>
        <w:rPr>
          <w:color w:val="231F20"/>
          <w:sz w:val="15"/>
        </w:rPr>
        <w:t>a</w:t>
      </w:r>
      <w:r>
        <w:rPr>
          <w:color w:val="231F20"/>
          <w:spacing w:val="-13"/>
          <w:sz w:val="15"/>
        </w:rPr>
        <w:t xml:space="preserve"> </w:t>
      </w:r>
      <w:r>
        <w:rPr>
          <w:color w:val="231F20"/>
          <w:sz w:val="15"/>
        </w:rPr>
        <w:t>úplnost</w:t>
      </w:r>
      <w:r>
        <w:rPr>
          <w:color w:val="231F20"/>
          <w:spacing w:val="-14"/>
          <w:sz w:val="15"/>
        </w:rPr>
        <w:t xml:space="preserve"> </w:t>
      </w:r>
      <w:r>
        <w:rPr>
          <w:color w:val="231F20"/>
          <w:sz w:val="15"/>
        </w:rPr>
        <w:t>údajů</w:t>
      </w:r>
      <w:r>
        <w:rPr>
          <w:color w:val="231F20"/>
          <w:spacing w:val="-14"/>
          <w:sz w:val="15"/>
        </w:rPr>
        <w:t xml:space="preserve"> </w:t>
      </w:r>
      <w:r>
        <w:rPr>
          <w:color w:val="231F20"/>
          <w:sz w:val="15"/>
        </w:rPr>
        <w:t>a</w:t>
      </w:r>
      <w:r>
        <w:rPr>
          <w:color w:val="231F20"/>
          <w:spacing w:val="-14"/>
          <w:sz w:val="15"/>
        </w:rPr>
        <w:t xml:space="preserve"> </w:t>
      </w:r>
      <w:r>
        <w:rPr>
          <w:color w:val="231F20"/>
          <w:sz w:val="15"/>
        </w:rPr>
        <w:t>dokladů týkajících</w:t>
      </w:r>
      <w:r>
        <w:rPr>
          <w:color w:val="231F20"/>
          <w:spacing w:val="-25"/>
          <w:sz w:val="15"/>
        </w:rPr>
        <w:t xml:space="preserve"> </w:t>
      </w:r>
      <w:r>
        <w:rPr>
          <w:color w:val="231F20"/>
          <w:sz w:val="15"/>
        </w:rPr>
        <w:t>se</w:t>
      </w:r>
      <w:r>
        <w:rPr>
          <w:color w:val="231F20"/>
          <w:spacing w:val="-24"/>
          <w:sz w:val="15"/>
        </w:rPr>
        <w:t xml:space="preserve"> </w:t>
      </w:r>
      <w:r>
        <w:rPr>
          <w:color w:val="231F20"/>
          <w:sz w:val="15"/>
        </w:rPr>
        <w:t>pojistné</w:t>
      </w:r>
      <w:r>
        <w:rPr>
          <w:color w:val="231F20"/>
          <w:spacing w:val="-25"/>
          <w:sz w:val="15"/>
        </w:rPr>
        <w:t xml:space="preserve"> </w:t>
      </w:r>
      <w:r>
        <w:rPr>
          <w:color w:val="231F20"/>
          <w:sz w:val="15"/>
        </w:rPr>
        <w:t>smlouvy,</w:t>
      </w:r>
      <w:r>
        <w:rPr>
          <w:color w:val="231F20"/>
          <w:spacing w:val="-24"/>
          <w:sz w:val="15"/>
        </w:rPr>
        <w:t xml:space="preserve"> </w:t>
      </w:r>
      <w:r>
        <w:rPr>
          <w:color w:val="231F20"/>
          <w:sz w:val="15"/>
        </w:rPr>
        <w:t>pojištění</w:t>
      </w:r>
      <w:r>
        <w:rPr>
          <w:color w:val="231F20"/>
          <w:spacing w:val="-25"/>
          <w:sz w:val="15"/>
        </w:rPr>
        <w:t xml:space="preserve"> </w:t>
      </w:r>
      <w:r>
        <w:rPr>
          <w:color w:val="231F20"/>
          <w:sz w:val="15"/>
        </w:rPr>
        <w:t>a</w:t>
      </w:r>
      <w:r>
        <w:rPr>
          <w:color w:val="231F20"/>
          <w:spacing w:val="-24"/>
          <w:sz w:val="15"/>
        </w:rPr>
        <w:t xml:space="preserve"> </w:t>
      </w:r>
      <w:r>
        <w:rPr>
          <w:color w:val="231F20"/>
          <w:sz w:val="15"/>
        </w:rPr>
        <w:t>pojištěného</w:t>
      </w:r>
      <w:r>
        <w:rPr>
          <w:color w:val="231F20"/>
          <w:spacing w:val="-25"/>
          <w:sz w:val="15"/>
        </w:rPr>
        <w:t xml:space="preserve"> </w:t>
      </w:r>
      <w:r>
        <w:rPr>
          <w:color w:val="231F20"/>
          <w:sz w:val="15"/>
        </w:rPr>
        <w:t>vozidla</w:t>
      </w:r>
      <w:r>
        <w:rPr>
          <w:color w:val="231F20"/>
          <w:spacing w:val="-24"/>
          <w:sz w:val="15"/>
        </w:rPr>
        <w:t xml:space="preserve"> </w:t>
      </w:r>
      <w:r>
        <w:rPr>
          <w:color w:val="231F20"/>
          <w:spacing w:val="-3"/>
          <w:sz w:val="15"/>
        </w:rPr>
        <w:t>(např.</w:t>
      </w:r>
      <w:r>
        <w:rPr>
          <w:color w:val="231F20"/>
          <w:spacing w:val="-25"/>
          <w:sz w:val="15"/>
        </w:rPr>
        <w:t xml:space="preserve"> </w:t>
      </w:r>
      <w:r>
        <w:rPr>
          <w:color w:val="231F20"/>
          <w:spacing w:val="-3"/>
          <w:sz w:val="15"/>
        </w:rPr>
        <w:t xml:space="preserve">potvrze- </w:t>
      </w:r>
      <w:r>
        <w:rPr>
          <w:color w:val="231F20"/>
          <w:sz w:val="15"/>
        </w:rPr>
        <w:t>ní</w:t>
      </w:r>
      <w:r>
        <w:rPr>
          <w:color w:val="231F20"/>
          <w:spacing w:val="-11"/>
          <w:sz w:val="15"/>
        </w:rPr>
        <w:t xml:space="preserve"> </w:t>
      </w:r>
      <w:r>
        <w:rPr>
          <w:color w:val="231F20"/>
          <w:sz w:val="15"/>
        </w:rPr>
        <w:t>o</w:t>
      </w:r>
      <w:r>
        <w:rPr>
          <w:color w:val="231F20"/>
          <w:spacing w:val="-10"/>
          <w:sz w:val="15"/>
        </w:rPr>
        <w:t xml:space="preserve"> </w:t>
      </w:r>
      <w:r>
        <w:rPr>
          <w:color w:val="231F20"/>
          <w:sz w:val="15"/>
        </w:rPr>
        <w:t>době</w:t>
      </w:r>
      <w:r>
        <w:rPr>
          <w:color w:val="231F20"/>
          <w:spacing w:val="-10"/>
          <w:sz w:val="15"/>
        </w:rPr>
        <w:t xml:space="preserve"> </w:t>
      </w:r>
      <w:r>
        <w:rPr>
          <w:color w:val="231F20"/>
          <w:sz w:val="15"/>
        </w:rPr>
        <w:t>trvání</w:t>
      </w:r>
      <w:r>
        <w:rPr>
          <w:color w:val="231F20"/>
          <w:spacing w:val="-11"/>
          <w:sz w:val="15"/>
        </w:rPr>
        <w:t xml:space="preserve"> </w:t>
      </w:r>
      <w:r>
        <w:rPr>
          <w:color w:val="231F20"/>
          <w:sz w:val="15"/>
        </w:rPr>
        <w:t>pojištění</w:t>
      </w:r>
      <w:r>
        <w:rPr>
          <w:color w:val="231F20"/>
          <w:spacing w:val="-10"/>
          <w:sz w:val="15"/>
        </w:rPr>
        <w:t xml:space="preserve"> </w:t>
      </w:r>
      <w:r>
        <w:rPr>
          <w:color w:val="231F20"/>
          <w:sz w:val="15"/>
        </w:rPr>
        <w:t>a</w:t>
      </w:r>
      <w:r>
        <w:rPr>
          <w:color w:val="231F20"/>
          <w:spacing w:val="-10"/>
          <w:sz w:val="15"/>
        </w:rPr>
        <w:t xml:space="preserve"> </w:t>
      </w:r>
      <w:r>
        <w:rPr>
          <w:color w:val="231F20"/>
          <w:sz w:val="15"/>
        </w:rPr>
        <w:t>škodním</w:t>
      </w:r>
      <w:r>
        <w:rPr>
          <w:color w:val="231F20"/>
          <w:spacing w:val="-11"/>
          <w:sz w:val="15"/>
        </w:rPr>
        <w:t xml:space="preserve"> </w:t>
      </w:r>
      <w:r>
        <w:rPr>
          <w:color w:val="231F20"/>
          <w:sz w:val="15"/>
        </w:rPr>
        <w:t>průběhu,</w:t>
      </w:r>
      <w:r>
        <w:rPr>
          <w:color w:val="231F20"/>
          <w:spacing w:val="-10"/>
          <w:sz w:val="15"/>
        </w:rPr>
        <w:t xml:space="preserve"> </w:t>
      </w:r>
      <w:r>
        <w:rPr>
          <w:color w:val="231F20"/>
          <w:sz w:val="15"/>
        </w:rPr>
        <w:t>výpis</w:t>
      </w:r>
      <w:r>
        <w:rPr>
          <w:color w:val="231F20"/>
          <w:spacing w:val="-10"/>
          <w:sz w:val="15"/>
        </w:rPr>
        <w:t xml:space="preserve"> </w:t>
      </w:r>
      <w:r>
        <w:rPr>
          <w:color w:val="231F20"/>
          <w:sz w:val="15"/>
        </w:rPr>
        <w:t>z</w:t>
      </w:r>
      <w:r>
        <w:rPr>
          <w:color w:val="231F20"/>
          <w:spacing w:val="-10"/>
          <w:sz w:val="15"/>
        </w:rPr>
        <w:t xml:space="preserve"> </w:t>
      </w:r>
      <w:r>
        <w:rPr>
          <w:color w:val="231F20"/>
          <w:sz w:val="15"/>
        </w:rPr>
        <w:t>obchodního</w:t>
      </w:r>
      <w:r>
        <w:rPr>
          <w:color w:val="231F20"/>
          <w:spacing w:val="-11"/>
          <w:sz w:val="15"/>
        </w:rPr>
        <w:t xml:space="preserve"> </w:t>
      </w:r>
      <w:r>
        <w:rPr>
          <w:color w:val="231F20"/>
          <w:spacing w:val="-3"/>
          <w:sz w:val="15"/>
        </w:rPr>
        <w:t xml:space="preserve">rejstříku, </w:t>
      </w:r>
      <w:r>
        <w:rPr>
          <w:color w:val="231F20"/>
          <w:sz w:val="15"/>
        </w:rPr>
        <w:t>technický</w:t>
      </w:r>
      <w:r>
        <w:rPr>
          <w:color w:val="231F20"/>
          <w:spacing w:val="-12"/>
          <w:sz w:val="15"/>
        </w:rPr>
        <w:t xml:space="preserve"> </w:t>
      </w:r>
      <w:r>
        <w:rPr>
          <w:color w:val="231F20"/>
          <w:sz w:val="15"/>
        </w:rPr>
        <w:t>průkaz</w:t>
      </w:r>
      <w:r>
        <w:rPr>
          <w:color w:val="231F20"/>
          <w:spacing w:val="-11"/>
          <w:sz w:val="15"/>
        </w:rPr>
        <w:t xml:space="preserve"> </w:t>
      </w:r>
      <w:r>
        <w:rPr>
          <w:color w:val="231F20"/>
          <w:sz w:val="15"/>
        </w:rPr>
        <w:t>nebo</w:t>
      </w:r>
      <w:r>
        <w:rPr>
          <w:color w:val="231F20"/>
          <w:spacing w:val="-11"/>
          <w:sz w:val="15"/>
        </w:rPr>
        <w:t xml:space="preserve"> </w:t>
      </w:r>
      <w:r>
        <w:rPr>
          <w:color w:val="231F20"/>
          <w:sz w:val="15"/>
        </w:rPr>
        <w:t>osvědčení</w:t>
      </w:r>
      <w:r>
        <w:rPr>
          <w:color w:val="231F20"/>
          <w:spacing w:val="-11"/>
          <w:sz w:val="15"/>
        </w:rPr>
        <w:t xml:space="preserve"> </w:t>
      </w:r>
      <w:r>
        <w:rPr>
          <w:color w:val="231F20"/>
          <w:sz w:val="15"/>
        </w:rPr>
        <w:t>o</w:t>
      </w:r>
      <w:r>
        <w:rPr>
          <w:color w:val="231F20"/>
          <w:spacing w:val="-11"/>
          <w:sz w:val="15"/>
        </w:rPr>
        <w:t xml:space="preserve"> </w:t>
      </w:r>
      <w:r>
        <w:rPr>
          <w:color w:val="231F20"/>
          <w:sz w:val="15"/>
        </w:rPr>
        <w:t>registraci,</w:t>
      </w:r>
      <w:r>
        <w:rPr>
          <w:color w:val="231F20"/>
          <w:spacing w:val="-11"/>
          <w:sz w:val="15"/>
        </w:rPr>
        <w:t xml:space="preserve"> </w:t>
      </w:r>
      <w:r>
        <w:rPr>
          <w:color w:val="231F20"/>
          <w:sz w:val="15"/>
        </w:rPr>
        <w:t>účet</w:t>
      </w:r>
      <w:r>
        <w:rPr>
          <w:color w:val="231F20"/>
          <w:spacing w:val="-11"/>
          <w:sz w:val="15"/>
        </w:rPr>
        <w:t xml:space="preserve"> </w:t>
      </w:r>
      <w:r>
        <w:rPr>
          <w:color w:val="231F20"/>
          <w:sz w:val="15"/>
        </w:rPr>
        <w:t>za</w:t>
      </w:r>
      <w:r>
        <w:rPr>
          <w:color w:val="231F20"/>
          <w:spacing w:val="-11"/>
          <w:sz w:val="15"/>
        </w:rPr>
        <w:t xml:space="preserve"> </w:t>
      </w:r>
      <w:r>
        <w:rPr>
          <w:color w:val="231F20"/>
          <w:sz w:val="15"/>
        </w:rPr>
        <w:t>opravu</w:t>
      </w:r>
      <w:r>
        <w:rPr>
          <w:color w:val="231F20"/>
          <w:spacing w:val="-11"/>
          <w:sz w:val="15"/>
        </w:rPr>
        <w:t xml:space="preserve"> </w:t>
      </w:r>
      <w:r>
        <w:rPr>
          <w:color w:val="231F20"/>
          <w:sz w:val="15"/>
        </w:rPr>
        <w:t>vozidla,</w:t>
      </w:r>
      <w:r>
        <w:rPr>
          <w:color w:val="231F20"/>
          <w:spacing w:val="-11"/>
          <w:sz w:val="15"/>
        </w:rPr>
        <w:t xml:space="preserve"> </w:t>
      </w:r>
      <w:r>
        <w:rPr>
          <w:color w:val="231F20"/>
          <w:spacing w:val="-4"/>
          <w:sz w:val="15"/>
        </w:rPr>
        <w:t xml:space="preserve">účet </w:t>
      </w:r>
      <w:r>
        <w:rPr>
          <w:color w:val="231F20"/>
          <w:sz w:val="15"/>
        </w:rPr>
        <w:t>za</w:t>
      </w:r>
      <w:r>
        <w:rPr>
          <w:color w:val="231F20"/>
          <w:spacing w:val="-12"/>
          <w:sz w:val="15"/>
        </w:rPr>
        <w:t xml:space="preserve"> </w:t>
      </w:r>
      <w:r>
        <w:rPr>
          <w:color w:val="231F20"/>
          <w:sz w:val="15"/>
        </w:rPr>
        <w:t>nákup</w:t>
      </w:r>
      <w:r>
        <w:rPr>
          <w:color w:val="231F20"/>
          <w:spacing w:val="-11"/>
          <w:sz w:val="15"/>
        </w:rPr>
        <w:t xml:space="preserve"> </w:t>
      </w:r>
      <w:r>
        <w:rPr>
          <w:color w:val="231F20"/>
          <w:sz w:val="15"/>
        </w:rPr>
        <w:t>náhradního</w:t>
      </w:r>
      <w:r>
        <w:rPr>
          <w:color w:val="231F20"/>
          <w:spacing w:val="-11"/>
          <w:sz w:val="15"/>
        </w:rPr>
        <w:t xml:space="preserve"> </w:t>
      </w:r>
      <w:r>
        <w:rPr>
          <w:color w:val="231F20"/>
          <w:sz w:val="15"/>
        </w:rPr>
        <w:t>dílu,</w:t>
      </w:r>
      <w:r>
        <w:rPr>
          <w:color w:val="231F20"/>
          <w:spacing w:val="-11"/>
          <w:sz w:val="15"/>
        </w:rPr>
        <w:t xml:space="preserve"> </w:t>
      </w:r>
      <w:r>
        <w:rPr>
          <w:color w:val="231F20"/>
          <w:sz w:val="15"/>
        </w:rPr>
        <w:t>provedená</w:t>
      </w:r>
      <w:r>
        <w:rPr>
          <w:color w:val="231F20"/>
          <w:spacing w:val="-11"/>
          <w:sz w:val="15"/>
        </w:rPr>
        <w:t xml:space="preserve"> </w:t>
      </w:r>
      <w:r>
        <w:rPr>
          <w:color w:val="231F20"/>
          <w:sz w:val="15"/>
        </w:rPr>
        <w:t>fotodokumentace</w:t>
      </w:r>
      <w:r>
        <w:rPr>
          <w:color w:val="231F20"/>
          <w:spacing w:val="-12"/>
          <w:sz w:val="15"/>
        </w:rPr>
        <w:t xml:space="preserve"> </w:t>
      </w:r>
      <w:r>
        <w:rPr>
          <w:color w:val="231F20"/>
          <w:sz w:val="15"/>
        </w:rPr>
        <w:t>vozidla</w:t>
      </w:r>
      <w:r>
        <w:rPr>
          <w:color w:val="231F20"/>
          <w:spacing w:val="-11"/>
          <w:sz w:val="15"/>
        </w:rPr>
        <w:t xml:space="preserve"> </w:t>
      </w:r>
      <w:r>
        <w:rPr>
          <w:color w:val="231F20"/>
          <w:sz w:val="15"/>
        </w:rPr>
        <w:t>apod.);</w:t>
      </w:r>
    </w:p>
    <w:p w14:paraId="49A5AD26" w14:textId="77777777" w:rsidR="00F65BCA" w:rsidRDefault="00216117">
      <w:pPr>
        <w:pStyle w:val="Odstavecseseznamem"/>
        <w:numPr>
          <w:ilvl w:val="0"/>
          <w:numId w:val="127"/>
        </w:numPr>
        <w:tabs>
          <w:tab w:val="left" w:pos="638"/>
        </w:tabs>
        <w:spacing w:line="278" w:lineRule="auto"/>
        <w:ind w:right="424"/>
        <w:jc w:val="both"/>
        <w:rPr>
          <w:sz w:val="15"/>
        </w:rPr>
      </w:pPr>
      <w:r>
        <w:rPr>
          <w:color w:val="231F20"/>
          <w:sz w:val="15"/>
        </w:rPr>
        <w:t>Kromě</w:t>
      </w:r>
      <w:r>
        <w:rPr>
          <w:color w:val="231F20"/>
          <w:spacing w:val="-12"/>
          <w:sz w:val="15"/>
        </w:rPr>
        <w:t xml:space="preserve"> </w:t>
      </w:r>
      <w:r>
        <w:rPr>
          <w:color w:val="231F20"/>
          <w:sz w:val="15"/>
        </w:rPr>
        <w:t>povinností</w:t>
      </w:r>
      <w:r>
        <w:rPr>
          <w:color w:val="231F20"/>
          <w:spacing w:val="-12"/>
          <w:sz w:val="15"/>
        </w:rPr>
        <w:t xml:space="preserve"> </w:t>
      </w:r>
      <w:r>
        <w:rPr>
          <w:color w:val="231F20"/>
          <w:sz w:val="15"/>
        </w:rPr>
        <w:t>stanovených</w:t>
      </w:r>
      <w:r>
        <w:rPr>
          <w:color w:val="231F20"/>
          <w:spacing w:val="-11"/>
          <w:sz w:val="15"/>
        </w:rPr>
        <w:t xml:space="preserve"> </w:t>
      </w:r>
      <w:r>
        <w:rPr>
          <w:color w:val="231F20"/>
          <w:sz w:val="15"/>
        </w:rPr>
        <w:t>příslušnými</w:t>
      </w:r>
      <w:r>
        <w:rPr>
          <w:color w:val="231F20"/>
          <w:spacing w:val="-12"/>
          <w:sz w:val="15"/>
        </w:rPr>
        <w:t xml:space="preserve"> </w:t>
      </w:r>
      <w:r>
        <w:rPr>
          <w:color w:val="231F20"/>
          <w:sz w:val="15"/>
        </w:rPr>
        <w:t>právními</w:t>
      </w:r>
      <w:r>
        <w:rPr>
          <w:color w:val="231F20"/>
          <w:spacing w:val="-11"/>
          <w:sz w:val="15"/>
        </w:rPr>
        <w:t xml:space="preserve"> </w:t>
      </w:r>
      <w:r>
        <w:rPr>
          <w:color w:val="231F20"/>
          <w:sz w:val="15"/>
        </w:rPr>
        <w:t>předpisy,</w:t>
      </w:r>
      <w:r>
        <w:rPr>
          <w:color w:val="231F20"/>
          <w:spacing w:val="-12"/>
          <w:sz w:val="15"/>
        </w:rPr>
        <w:t xml:space="preserve"> </w:t>
      </w:r>
      <w:r>
        <w:rPr>
          <w:color w:val="231F20"/>
          <w:sz w:val="15"/>
        </w:rPr>
        <w:t>těmito</w:t>
      </w:r>
      <w:r>
        <w:rPr>
          <w:color w:val="231F20"/>
          <w:spacing w:val="-11"/>
          <w:sz w:val="15"/>
        </w:rPr>
        <w:t xml:space="preserve"> </w:t>
      </w:r>
      <w:r>
        <w:rPr>
          <w:color w:val="231F20"/>
          <w:spacing w:val="-5"/>
          <w:sz w:val="15"/>
        </w:rPr>
        <w:t xml:space="preserve">VPP </w:t>
      </w:r>
      <w:r>
        <w:rPr>
          <w:color w:val="231F20"/>
          <w:sz w:val="15"/>
        </w:rPr>
        <w:t xml:space="preserve">a pojistnou smlouvou má pojistník, pojištěný nebo oprávněná osoba, </w:t>
      </w:r>
      <w:r>
        <w:rPr>
          <w:color w:val="231F20"/>
          <w:spacing w:val="-4"/>
          <w:sz w:val="15"/>
        </w:rPr>
        <w:t xml:space="preserve">po- </w:t>
      </w:r>
      <w:r>
        <w:rPr>
          <w:color w:val="231F20"/>
          <w:sz w:val="15"/>
        </w:rPr>
        <w:t>kud</w:t>
      </w:r>
      <w:r>
        <w:rPr>
          <w:color w:val="231F20"/>
          <w:spacing w:val="-19"/>
          <w:sz w:val="15"/>
        </w:rPr>
        <w:t xml:space="preserve"> </w:t>
      </w:r>
      <w:r>
        <w:rPr>
          <w:color w:val="231F20"/>
          <w:sz w:val="15"/>
        </w:rPr>
        <w:t>není</w:t>
      </w:r>
      <w:r>
        <w:rPr>
          <w:color w:val="231F20"/>
          <w:spacing w:val="-18"/>
          <w:sz w:val="15"/>
        </w:rPr>
        <w:t xml:space="preserve"> </w:t>
      </w:r>
      <w:r>
        <w:rPr>
          <w:color w:val="231F20"/>
          <w:sz w:val="15"/>
        </w:rPr>
        <w:t>v</w:t>
      </w:r>
      <w:r>
        <w:rPr>
          <w:color w:val="231F20"/>
          <w:spacing w:val="-18"/>
          <w:sz w:val="15"/>
        </w:rPr>
        <w:t xml:space="preserve"> </w:t>
      </w:r>
      <w:r>
        <w:rPr>
          <w:color w:val="231F20"/>
          <w:sz w:val="15"/>
        </w:rPr>
        <w:t>pojistné</w:t>
      </w:r>
      <w:r>
        <w:rPr>
          <w:color w:val="231F20"/>
          <w:spacing w:val="-18"/>
          <w:sz w:val="15"/>
        </w:rPr>
        <w:t xml:space="preserve"> </w:t>
      </w:r>
      <w:r>
        <w:rPr>
          <w:color w:val="231F20"/>
          <w:sz w:val="15"/>
        </w:rPr>
        <w:t>smlouvě</w:t>
      </w:r>
      <w:r>
        <w:rPr>
          <w:color w:val="231F20"/>
          <w:spacing w:val="-18"/>
          <w:sz w:val="15"/>
        </w:rPr>
        <w:t xml:space="preserve"> </w:t>
      </w:r>
      <w:r>
        <w:rPr>
          <w:color w:val="231F20"/>
          <w:sz w:val="15"/>
        </w:rPr>
        <w:t>stanoveno</w:t>
      </w:r>
      <w:r>
        <w:rPr>
          <w:color w:val="231F20"/>
          <w:spacing w:val="-18"/>
          <w:sz w:val="15"/>
        </w:rPr>
        <w:t xml:space="preserve"> </w:t>
      </w:r>
      <w:r>
        <w:rPr>
          <w:color w:val="231F20"/>
          <w:sz w:val="15"/>
        </w:rPr>
        <w:t>jinak,</w:t>
      </w:r>
      <w:r>
        <w:rPr>
          <w:color w:val="231F20"/>
          <w:spacing w:val="-18"/>
          <w:sz w:val="15"/>
        </w:rPr>
        <w:t xml:space="preserve"> </w:t>
      </w:r>
      <w:r>
        <w:rPr>
          <w:color w:val="231F20"/>
          <w:sz w:val="15"/>
        </w:rPr>
        <w:t>povinnost</w:t>
      </w:r>
      <w:r>
        <w:rPr>
          <w:color w:val="231F20"/>
          <w:spacing w:val="-18"/>
          <w:sz w:val="15"/>
        </w:rPr>
        <w:t xml:space="preserve"> </w:t>
      </w:r>
      <w:r>
        <w:rPr>
          <w:color w:val="231F20"/>
          <w:sz w:val="15"/>
        </w:rPr>
        <w:t>oznámit</w:t>
      </w:r>
      <w:r>
        <w:rPr>
          <w:color w:val="231F20"/>
          <w:spacing w:val="-18"/>
          <w:sz w:val="15"/>
        </w:rPr>
        <w:t xml:space="preserve"> </w:t>
      </w:r>
      <w:r>
        <w:rPr>
          <w:color w:val="231F20"/>
          <w:sz w:val="15"/>
        </w:rPr>
        <w:t>Pojišťovně bez</w:t>
      </w:r>
      <w:r>
        <w:rPr>
          <w:color w:val="231F20"/>
          <w:spacing w:val="-15"/>
          <w:sz w:val="15"/>
        </w:rPr>
        <w:t xml:space="preserve"> </w:t>
      </w:r>
      <w:r>
        <w:rPr>
          <w:color w:val="231F20"/>
          <w:sz w:val="15"/>
        </w:rPr>
        <w:t>zbytečného</w:t>
      </w:r>
      <w:r>
        <w:rPr>
          <w:color w:val="231F20"/>
          <w:spacing w:val="-14"/>
          <w:sz w:val="15"/>
        </w:rPr>
        <w:t xml:space="preserve"> </w:t>
      </w:r>
      <w:r>
        <w:rPr>
          <w:color w:val="231F20"/>
          <w:sz w:val="15"/>
        </w:rPr>
        <w:t>odkladu,</w:t>
      </w:r>
      <w:r>
        <w:rPr>
          <w:color w:val="231F20"/>
          <w:spacing w:val="-14"/>
          <w:sz w:val="15"/>
        </w:rPr>
        <w:t xml:space="preserve"> </w:t>
      </w:r>
      <w:r>
        <w:rPr>
          <w:color w:val="231F20"/>
          <w:sz w:val="15"/>
        </w:rPr>
        <w:t>že</w:t>
      </w:r>
      <w:r>
        <w:rPr>
          <w:color w:val="231F20"/>
          <w:spacing w:val="-14"/>
          <w:sz w:val="15"/>
        </w:rPr>
        <w:t xml:space="preserve"> </w:t>
      </w:r>
      <w:r>
        <w:rPr>
          <w:color w:val="231F20"/>
          <w:sz w:val="15"/>
        </w:rPr>
        <w:t>má</w:t>
      </w:r>
      <w:r>
        <w:rPr>
          <w:color w:val="231F20"/>
          <w:spacing w:val="-14"/>
          <w:sz w:val="15"/>
        </w:rPr>
        <w:t xml:space="preserve"> </w:t>
      </w:r>
      <w:r>
        <w:rPr>
          <w:color w:val="231F20"/>
          <w:sz w:val="15"/>
        </w:rPr>
        <w:t>souběžně</w:t>
      </w:r>
      <w:r>
        <w:rPr>
          <w:color w:val="231F20"/>
          <w:spacing w:val="-14"/>
          <w:sz w:val="15"/>
        </w:rPr>
        <w:t xml:space="preserve"> </w:t>
      </w:r>
      <w:r>
        <w:rPr>
          <w:color w:val="231F20"/>
          <w:sz w:val="15"/>
        </w:rPr>
        <w:t>uzavřeno</w:t>
      </w:r>
      <w:r>
        <w:rPr>
          <w:color w:val="231F20"/>
          <w:spacing w:val="-14"/>
          <w:sz w:val="15"/>
        </w:rPr>
        <w:t xml:space="preserve"> </w:t>
      </w:r>
      <w:r>
        <w:rPr>
          <w:color w:val="231F20"/>
          <w:sz w:val="15"/>
        </w:rPr>
        <w:t>nebo</w:t>
      </w:r>
      <w:r>
        <w:rPr>
          <w:color w:val="231F20"/>
          <w:spacing w:val="-14"/>
          <w:sz w:val="15"/>
        </w:rPr>
        <w:t xml:space="preserve"> </w:t>
      </w:r>
      <w:r>
        <w:rPr>
          <w:color w:val="231F20"/>
          <w:sz w:val="15"/>
        </w:rPr>
        <w:t>později</w:t>
      </w:r>
      <w:r>
        <w:rPr>
          <w:color w:val="231F20"/>
          <w:spacing w:val="-14"/>
          <w:sz w:val="15"/>
        </w:rPr>
        <w:t xml:space="preserve"> </w:t>
      </w:r>
      <w:r>
        <w:rPr>
          <w:color w:val="231F20"/>
          <w:spacing w:val="-3"/>
          <w:sz w:val="15"/>
        </w:rPr>
        <w:t xml:space="preserve">uzavřela </w:t>
      </w:r>
      <w:r>
        <w:rPr>
          <w:color w:val="231F20"/>
          <w:sz w:val="15"/>
        </w:rPr>
        <w:t xml:space="preserve">ohledně téže pojištěné věci nebo souboru věcí další pojištění proti </w:t>
      </w:r>
      <w:r>
        <w:rPr>
          <w:color w:val="231F20"/>
          <w:spacing w:val="-4"/>
          <w:sz w:val="15"/>
        </w:rPr>
        <w:t xml:space="preserve">témuž </w:t>
      </w:r>
      <w:r>
        <w:rPr>
          <w:color w:val="231F20"/>
          <w:sz w:val="15"/>
        </w:rPr>
        <w:t>pojistnému nebezpečí a je povinna oznámit Pojišťovně, u jakého jiného pojistitele</w:t>
      </w:r>
      <w:r>
        <w:rPr>
          <w:color w:val="231F20"/>
          <w:spacing w:val="-11"/>
          <w:sz w:val="15"/>
        </w:rPr>
        <w:t xml:space="preserve"> </w:t>
      </w:r>
      <w:r>
        <w:rPr>
          <w:color w:val="231F20"/>
          <w:sz w:val="15"/>
        </w:rPr>
        <w:t>má</w:t>
      </w:r>
      <w:r>
        <w:rPr>
          <w:color w:val="231F20"/>
          <w:spacing w:val="-11"/>
          <w:sz w:val="15"/>
        </w:rPr>
        <w:t xml:space="preserve"> </w:t>
      </w:r>
      <w:r>
        <w:rPr>
          <w:color w:val="231F20"/>
          <w:sz w:val="15"/>
        </w:rPr>
        <w:t>toto</w:t>
      </w:r>
      <w:r>
        <w:rPr>
          <w:color w:val="231F20"/>
          <w:spacing w:val="-10"/>
          <w:sz w:val="15"/>
        </w:rPr>
        <w:t xml:space="preserve"> </w:t>
      </w:r>
      <w:r>
        <w:rPr>
          <w:color w:val="231F20"/>
          <w:sz w:val="15"/>
        </w:rPr>
        <w:t>pojištění</w:t>
      </w:r>
      <w:r>
        <w:rPr>
          <w:color w:val="231F20"/>
          <w:spacing w:val="-11"/>
          <w:sz w:val="15"/>
        </w:rPr>
        <w:t xml:space="preserve"> </w:t>
      </w:r>
      <w:r>
        <w:rPr>
          <w:color w:val="231F20"/>
          <w:sz w:val="15"/>
        </w:rPr>
        <w:t>uzavřeno,</w:t>
      </w:r>
      <w:r>
        <w:rPr>
          <w:color w:val="231F20"/>
          <w:spacing w:val="-10"/>
          <w:sz w:val="15"/>
        </w:rPr>
        <w:t xml:space="preserve"> </w:t>
      </w:r>
      <w:r>
        <w:rPr>
          <w:color w:val="231F20"/>
          <w:sz w:val="15"/>
        </w:rPr>
        <w:t>včetně</w:t>
      </w:r>
      <w:r>
        <w:rPr>
          <w:color w:val="231F20"/>
          <w:spacing w:val="-11"/>
          <w:sz w:val="15"/>
        </w:rPr>
        <w:t xml:space="preserve"> </w:t>
      </w:r>
      <w:r>
        <w:rPr>
          <w:color w:val="231F20"/>
          <w:sz w:val="15"/>
        </w:rPr>
        <w:t>výše</w:t>
      </w:r>
      <w:r>
        <w:rPr>
          <w:color w:val="231F20"/>
          <w:spacing w:val="-10"/>
          <w:sz w:val="15"/>
        </w:rPr>
        <w:t xml:space="preserve"> </w:t>
      </w:r>
      <w:r>
        <w:rPr>
          <w:color w:val="231F20"/>
          <w:sz w:val="15"/>
        </w:rPr>
        <w:t>pojistných</w:t>
      </w:r>
      <w:r>
        <w:rPr>
          <w:color w:val="231F20"/>
          <w:spacing w:val="-11"/>
          <w:sz w:val="15"/>
        </w:rPr>
        <w:t xml:space="preserve"> </w:t>
      </w:r>
      <w:r>
        <w:rPr>
          <w:color w:val="231F20"/>
          <w:sz w:val="15"/>
        </w:rPr>
        <w:t>částek</w:t>
      </w:r>
      <w:r>
        <w:rPr>
          <w:color w:val="231F20"/>
          <w:spacing w:val="-11"/>
          <w:sz w:val="15"/>
        </w:rPr>
        <w:t xml:space="preserve"> </w:t>
      </w:r>
      <w:r>
        <w:rPr>
          <w:color w:val="231F20"/>
          <w:spacing w:val="-3"/>
          <w:sz w:val="15"/>
        </w:rPr>
        <w:t xml:space="preserve">(limitů </w:t>
      </w:r>
      <w:r>
        <w:rPr>
          <w:color w:val="231F20"/>
          <w:sz w:val="15"/>
        </w:rPr>
        <w:t>pojistného</w:t>
      </w:r>
      <w:r>
        <w:rPr>
          <w:color w:val="231F20"/>
          <w:spacing w:val="-1"/>
          <w:sz w:val="15"/>
        </w:rPr>
        <w:t xml:space="preserve"> </w:t>
      </w:r>
      <w:r>
        <w:rPr>
          <w:color w:val="231F20"/>
          <w:sz w:val="15"/>
        </w:rPr>
        <w:t>plnění).</w:t>
      </w:r>
    </w:p>
    <w:p w14:paraId="73F055CE"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w w:val="105"/>
          <w:position w:val="1"/>
          <w:sz w:val="14"/>
          <w:shd w:val="clear" w:color="auto" w:fill="D1D3D4"/>
        </w:rPr>
        <w:t>2</w:t>
      </w:r>
      <w:r>
        <w:rPr>
          <w:color w:val="231F20"/>
          <w:w w:val="105"/>
          <w:position w:val="1"/>
          <w:sz w:val="14"/>
        </w:rPr>
        <w:t xml:space="preserve"> </w:t>
      </w:r>
      <w:r>
        <w:rPr>
          <w:color w:val="231F20"/>
          <w:w w:val="105"/>
        </w:rPr>
        <w:t>Povinnosti ve vztahu k pojistnému riziku a další povinnosti v průběhu trvání pojištění</w:t>
      </w:r>
    </w:p>
    <w:p w14:paraId="6618B938" w14:textId="77777777" w:rsidR="00F65BCA" w:rsidRDefault="00216117">
      <w:pPr>
        <w:pStyle w:val="Odstavecseseznamem"/>
        <w:numPr>
          <w:ilvl w:val="0"/>
          <w:numId w:val="126"/>
        </w:numPr>
        <w:tabs>
          <w:tab w:val="left" w:pos="638"/>
        </w:tabs>
        <w:spacing w:line="278" w:lineRule="auto"/>
        <w:ind w:right="424"/>
        <w:jc w:val="both"/>
        <w:rPr>
          <w:sz w:val="15"/>
        </w:rPr>
      </w:pPr>
      <w:r>
        <w:rPr>
          <w:color w:val="231F20"/>
          <w:sz w:val="15"/>
        </w:rPr>
        <w:t>Pojistník</w:t>
      </w:r>
      <w:r>
        <w:rPr>
          <w:color w:val="231F20"/>
          <w:spacing w:val="-20"/>
          <w:sz w:val="15"/>
        </w:rPr>
        <w:t xml:space="preserve"> </w:t>
      </w:r>
      <w:r>
        <w:rPr>
          <w:color w:val="231F20"/>
          <w:sz w:val="15"/>
        </w:rPr>
        <w:t>a</w:t>
      </w:r>
      <w:r>
        <w:rPr>
          <w:color w:val="231F20"/>
          <w:spacing w:val="-20"/>
          <w:sz w:val="15"/>
        </w:rPr>
        <w:t xml:space="preserve"> </w:t>
      </w:r>
      <w:r>
        <w:rPr>
          <w:color w:val="231F20"/>
          <w:sz w:val="15"/>
        </w:rPr>
        <w:t>pojištěný</w:t>
      </w:r>
      <w:r>
        <w:rPr>
          <w:color w:val="231F20"/>
          <w:spacing w:val="-20"/>
          <w:sz w:val="15"/>
        </w:rPr>
        <w:t xml:space="preserve"> </w:t>
      </w:r>
      <w:r>
        <w:rPr>
          <w:color w:val="231F20"/>
          <w:sz w:val="15"/>
        </w:rPr>
        <w:t>jsou</w:t>
      </w:r>
      <w:r>
        <w:rPr>
          <w:color w:val="231F20"/>
          <w:spacing w:val="-20"/>
          <w:sz w:val="15"/>
        </w:rPr>
        <w:t xml:space="preserve"> </w:t>
      </w:r>
      <w:r>
        <w:rPr>
          <w:color w:val="231F20"/>
          <w:sz w:val="15"/>
        </w:rPr>
        <w:t>povinni</w:t>
      </w:r>
      <w:r>
        <w:rPr>
          <w:color w:val="231F20"/>
          <w:spacing w:val="-20"/>
          <w:sz w:val="15"/>
        </w:rPr>
        <w:t xml:space="preserve"> </w:t>
      </w:r>
      <w:r>
        <w:rPr>
          <w:color w:val="231F20"/>
          <w:sz w:val="15"/>
        </w:rPr>
        <w:t>oznámit</w:t>
      </w:r>
      <w:r>
        <w:rPr>
          <w:color w:val="231F20"/>
          <w:spacing w:val="-20"/>
          <w:sz w:val="15"/>
        </w:rPr>
        <w:t xml:space="preserve"> </w:t>
      </w:r>
      <w:r>
        <w:rPr>
          <w:color w:val="231F20"/>
          <w:sz w:val="15"/>
        </w:rPr>
        <w:t>Pojišťovně</w:t>
      </w:r>
      <w:r>
        <w:rPr>
          <w:color w:val="231F20"/>
          <w:spacing w:val="-20"/>
          <w:sz w:val="15"/>
        </w:rPr>
        <w:t xml:space="preserve"> </w:t>
      </w:r>
      <w:r>
        <w:rPr>
          <w:color w:val="231F20"/>
          <w:sz w:val="15"/>
        </w:rPr>
        <w:t>bez</w:t>
      </w:r>
      <w:r>
        <w:rPr>
          <w:color w:val="231F20"/>
          <w:spacing w:val="-20"/>
          <w:sz w:val="15"/>
        </w:rPr>
        <w:t xml:space="preserve"> </w:t>
      </w:r>
      <w:r>
        <w:rPr>
          <w:color w:val="231F20"/>
          <w:sz w:val="15"/>
        </w:rPr>
        <w:t>zbytečného</w:t>
      </w:r>
      <w:r>
        <w:rPr>
          <w:color w:val="231F20"/>
          <w:spacing w:val="-20"/>
          <w:sz w:val="15"/>
        </w:rPr>
        <w:t xml:space="preserve"> </w:t>
      </w:r>
      <w:r>
        <w:rPr>
          <w:color w:val="231F20"/>
          <w:spacing w:val="-4"/>
          <w:sz w:val="15"/>
        </w:rPr>
        <w:t xml:space="preserve">odkla- </w:t>
      </w:r>
      <w:r>
        <w:rPr>
          <w:color w:val="231F20"/>
          <w:sz w:val="15"/>
        </w:rPr>
        <w:t>du</w:t>
      </w:r>
      <w:r>
        <w:rPr>
          <w:color w:val="231F20"/>
          <w:spacing w:val="-5"/>
          <w:sz w:val="15"/>
        </w:rPr>
        <w:t xml:space="preserve"> </w:t>
      </w:r>
      <w:r>
        <w:rPr>
          <w:color w:val="231F20"/>
          <w:sz w:val="15"/>
        </w:rPr>
        <w:t>změnu</w:t>
      </w:r>
      <w:r>
        <w:rPr>
          <w:color w:val="231F20"/>
          <w:spacing w:val="-5"/>
          <w:sz w:val="15"/>
        </w:rPr>
        <w:t xml:space="preserve"> </w:t>
      </w:r>
      <w:r>
        <w:rPr>
          <w:color w:val="231F20"/>
          <w:sz w:val="15"/>
        </w:rPr>
        <w:t>pojistného</w:t>
      </w:r>
      <w:r>
        <w:rPr>
          <w:color w:val="231F20"/>
          <w:spacing w:val="-5"/>
          <w:sz w:val="15"/>
        </w:rPr>
        <w:t xml:space="preserve"> </w:t>
      </w:r>
      <w:r>
        <w:rPr>
          <w:color w:val="231F20"/>
          <w:sz w:val="15"/>
        </w:rPr>
        <w:t>rizika</w:t>
      </w:r>
      <w:r>
        <w:rPr>
          <w:color w:val="231F20"/>
          <w:spacing w:val="-4"/>
          <w:sz w:val="15"/>
        </w:rPr>
        <w:t xml:space="preserve"> </w:t>
      </w:r>
      <w:r>
        <w:rPr>
          <w:color w:val="231F20"/>
          <w:sz w:val="15"/>
        </w:rPr>
        <w:t>nebo</w:t>
      </w:r>
      <w:r>
        <w:rPr>
          <w:color w:val="231F20"/>
          <w:spacing w:val="-5"/>
          <w:sz w:val="15"/>
        </w:rPr>
        <w:t xml:space="preserve"> </w:t>
      </w:r>
      <w:r>
        <w:rPr>
          <w:color w:val="231F20"/>
          <w:sz w:val="15"/>
        </w:rPr>
        <w:t>zánik</w:t>
      </w:r>
      <w:r>
        <w:rPr>
          <w:color w:val="231F20"/>
          <w:spacing w:val="-5"/>
          <w:sz w:val="15"/>
        </w:rPr>
        <w:t xml:space="preserve"> </w:t>
      </w:r>
      <w:r>
        <w:rPr>
          <w:color w:val="231F20"/>
          <w:sz w:val="15"/>
        </w:rPr>
        <w:t>pojistného</w:t>
      </w:r>
      <w:r>
        <w:rPr>
          <w:color w:val="231F20"/>
          <w:spacing w:val="-5"/>
          <w:sz w:val="15"/>
        </w:rPr>
        <w:t xml:space="preserve"> </w:t>
      </w:r>
      <w:r>
        <w:rPr>
          <w:color w:val="231F20"/>
          <w:sz w:val="15"/>
        </w:rPr>
        <w:t>nebezpečí;</w:t>
      </w:r>
    </w:p>
    <w:p w14:paraId="5D867D12" w14:textId="77777777" w:rsidR="00F65BCA" w:rsidRDefault="00216117">
      <w:pPr>
        <w:pStyle w:val="Odstavecseseznamem"/>
        <w:numPr>
          <w:ilvl w:val="0"/>
          <w:numId w:val="126"/>
        </w:numPr>
        <w:tabs>
          <w:tab w:val="left" w:pos="638"/>
        </w:tabs>
        <w:spacing w:line="278" w:lineRule="auto"/>
        <w:ind w:right="424"/>
        <w:jc w:val="both"/>
        <w:rPr>
          <w:sz w:val="15"/>
        </w:rPr>
      </w:pPr>
      <w:r>
        <w:rPr>
          <w:color w:val="231F20"/>
          <w:sz w:val="15"/>
        </w:rPr>
        <w:t>Po</w:t>
      </w:r>
      <w:r>
        <w:rPr>
          <w:color w:val="231F20"/>
          <w:spacing w:val="-13"/>
          <w:sz w:val="15"/>
        </w:rPr>
        <w:t xml:space="preserve"> </w:t>
      </w:r>
      <w:r>
        <w:rPr>
          <w:color w:val="231F20"/>
          <w:sz w:val="15"/>
        </w:rPr>
        <w:t>uzavření</w:t>
      </w:r>
      <w:r>
        <w:rPr>
          <w:color w:val="231F20"/>
          <w:spacing w:val="-12"/>
          <w:sz w:val="15"/>
        </w:rPr>
        <w:t xml:space="preserve"> </w:t>
      </w:r>
      <w:r>
        <w:rPr>
          <w:color w:val="231F20"/>
          <w:sz w:val="15"/>
        </w:rPr>
        <w:t>pojistné</w:t>
      </w:r>
      <w:r>
        <w:rPr>
          <w:color w:val="231F20"/>
          <w:spacing w:val="-12"/>
          <w:sz w:val="15"/>
        </w:rPr>
        <w:t xml:space="preserve"> </w:t>
      </w:r>
      <w:r>
        <w:rPr>
          <w:color w:val="231F20"/>
          <w:sz w:val="15"/>
        </w:rPr>
        <w:t>smlouvy</w:t>
      </w:r>
      <w:r>
        <w:rPr>
          <w:color w:val="231F20"/>
          <w:spacing w:val="-12"/>
          <w:sz w:val="15"/>
        </w:rPr>
        <w:t xml:space="preserve"> </w:t>
      </w:r>
      <w:r>
        <w:rPr>
          <w:color w:val="231F20"/>
          <w:sz w:val="15"/>
        </w:rPr>
        <w:t>nesmí</w:t>
      </w:r>
      <w:r>
        <w:rPr>
          <w:color w:val="231F20"/>
          <w:spacing w:val="-12"/>
          <w:sz w:val="15"/>
        </w:rPr>
        <w:t xml:space="preserve"> </w:t>
      </w:r>
      <w:r>
        <w:rPr>
          <w:color w:val="231F20"/>
          <w:sz w:val="15"/>
        </w:rPr>
        <w:t>pojistník</w:t>
      </w:r>
      <w:r>
        <w:rPr>
          <w:color w:val="231F20"/>
          <w:spacing w:val="-13"/>
          <w:sz w:val="15"/>
        </w:rPr>
        <w:t xml:space="preserve"> </w:t>
      </w:r>
      <w:r>
        <w:rPr>
          <w:color w:val="231F20"/>
          <w:sz w:val="15"/>
        </w:rPr>
        <w:t>nebo</w:t>
      </w:r>
      <w:r>
        <w:rPr>
          <w:color w:val="231F20"/>
          <w:spacing w:val="-12"/>
          <w:sz w:val="15"/>
        </w:rPr>
        <w:t xml:space="preserve"> </w:t>
      </w:r>
      <w:r>
        <w:rPr>
          <w:color w:val="231F20"/>
          <w:sz w:val="15"/>
        </w:rPr>
        <w:t>pojištěný</w:t>
      </w:r>
      <w:r>
        <w:rPr>
          <w:color w:val="231F20"/>
          <w:spacing w:val="-12"/>
          <w:sz w:val="15"/>
        </w:rPr>
        <w:t xml:space="preserve"> </w:t>
      </w:r>
      <w:r>
        <w:rPr>
          <w:color w:val="231F20"/>
          <w:sz w:val="15"/>
        </w:rPr>
        <w:t>bez</w:t>
      </w:r>
      <w:r>
        <w:rPr>
          <w:color w:val="231F20"/>
          <w:spacing w:val="-12"/>
          <w:sz w:val="15"/>
        </w:rPr>
        <w:t xml:space="preserve"> </w:t>
      </w:r>
      <w:r>
        <w:rPr>
          <w:color w:val="231F20"/>
          <w:sz w:val="15"/>
        </w:rPr>
        <w:t>souhlasu Pojišťovny</w:t>
      </w:r>
      <w:r>
        <w:rPr>
          <w:color w:val="231F20"/>
          <w:spacing w:val="-25"/>
          <w:sz w:val="15"/>
        </w:rPr>
        <w:t xml:space="preserve"> </w:t>
      </w:r>
      <w:r>
        <w:rPr>
          <w:color w:val="231F20"/>
          <w:sz w:val="15"/>
        </w:rPr>
        <w:t>žádným</w:t>
      </w:r>
      <w:r>
        <w:rPr>
          <w:color w:val="231F20"/>
          <w:spacing w:val="-24"/>
          <w:sz w:val="15"/>
        </w:rPr>
        <w:t xml:space="preserve"> </w:t>
      </w:r>
      <w:r>
        <w:rPr>
          <w:color w:val="231F20"/>
          <w:sz w:val="15"/>
        </w:rPr>
        <w:t>způsobem</w:t>
      </w:r>
      <w:r>
        <w:rPr>
          <w:color w:val="231F20"/>
          <w:spacing w:val="-24"/>
          <w:sz w:val="15"/>
        </w:rPr>
        <w:t xml:space="preserve"> </w:t>
      </w:r>
      <w:r>
        <w:rPr>
          <w:color w:val="231F20"/>
          <w:sz w:val="15"/>
        </w:rPr>
        <w:t>zvyšovat</w:t>
      </w:r>
      <w:r>
        <w:rPr>
          <w:color w:val="231F20"/>
          <w:spacing w:val="-24"/>
          <w:sz w:val="15"/>
        </w:rPr>
        <w:t xml:space="preserve"> </w:t>
      </w:r>
      <w:r>
        <w:rPr>
          <w:color w:val="231F20"/>
          <w:sz w:val="15"/>
        </w:rPr>
        <w:t>riziko</w:t>
      </w:r>
      <w:r>
        <w:rPr>
          <w:color w:val="231F20"/>
          <w:spacing w:val="-24"/>
          <w:sz w:val="15"/>
        </w:rPr>
        <w:t xml:space="preserve"> </w:t>
      </w:r>
      <w:r>
        <w:rPr>
          <w:color w:val="231F20"/>
          <w:sz w:val="15"/>
        </w:rPr>
        <w:t>a</w:t>
      </w:r>
      <w:r>
        <w:rPr>
          <w:color w:val="231F20"/>
          <w:spacing w:val="-25"/>
          <w:sz w:val="15"/>
        </w:rPr>
        <w:t xml:space="preserve"> </w:t>
      </w:r>
      <w:r>
        <w:rPr>
          <w:color w:val="231F20"/>
          <w:sz w:val="15"/>
        </w:rPr>
        <w:t>nesmí</w:t>
      </w:r>
      <w:r>
        <w:rPr>
          <w:color w:val="231F20"/>
          <w:spacing w:val="-24"/>
          <w:sz w:val="15"/>
        </w:rPr>
        <w:t xml:space="preserve"> </w:t>
      </w:r>
      <w:r>
        <w:rPr>
          <w:color w:val="231F20"/>
          <w:sz w:val="15"/>
        </w:rPr>
        <w:t>připustit</w:t>
      </w:r>
      <w:r>
        <w:rPr>
          <w:color w:val="231F20"/>
          <w:spacing w:val="-24"/>
          <w:sz w:val="15"/>
        </w:rPr>
        <w:t xml:space="preserve"> </w:t>
      </w:r>
      <w:r>
        <w:rPr>
          <w:color w:val="231F20"/>
          <w:sz w:val="15"/>
        </w:rPr>
        <w:t>jeho</w:t>
      </w:r>
      <w:r>
        <w:rPr>
          <w:color w:val="231F20"/>
          <w:spacing w:val="-24"/>
          <w:sz w:val="15"/>
        </w:rPr>
        <w:t xml:space="preserve"> </w:t>
      </w:r>
      <w:r>
        <w:rPr>
          <w:color w:val="231F20"/>
          <w:sz w:val="15"/>
        </w:rPr>
        <w:t>zvýšení třetí</w:t>
      </w:r>
      <w:r>
        <w:rPr>
          <w:color w:val="231F20"/>
          <w:spacing w:val="-10"/>
          <w:sz w:val="15"/>
        </w:rPr>
        <w:t xml:space="preserve"> </w:t>
      </w:r>
      <w:r>
        <w:rPr>
          <w:color w:val="231F20"/>
          <w:sz w:val="15"/>
        </w:rPr>
        <w:t>osobou.</w:t>
      </w:r>
      <w:r>
        <w:rPr>
          <w:color w:val="231F20"/>
          <w:spacing w:val="-10"/>
          <w:sz w:val="15"/>
        </w:rPr>
        <w:t xml:space="preserve"> </w:t>
      </w:r>
      <w:r>
        <w:rPr>
          <w:color w:val="231F20"/>
          <w:sz w:val="15"/>
        </w:rPr>
        <w:t>Dozví-li</w:t>
      </w:r>
      <w:r>
        <w:rPr>
          <w:color w:val="231F20"/>
          <w:spacing w:val="-10"/>
          <w:sz w:val="15"/>
        </w:rPr>
        <w:t xml:space="preserve"> </w:t>
      </w:r>
      <w:r>
        <w:rPr>
          <w:color w:val="231F20"/>
          <w:sz w:val="15"/>
        </w:rPr>
        <w:t>se</w:t>
      </w:r>
      <w:r>
        <w:rPr>
          <w:color w:val="231F20"/>
          <w:spacing w:val="-10"/>
          <w:sz w:val="15"/>
        </w:rPr>
        <w:t xml:space="preserve"> </w:t>
      </w:r>
      <w:r>
        <w:rPr>
          <w:color w:val="231F20"/>
          <w:sz w:val="15"/>
        </w:rPr>
        <w:t>pojistník</w:t>
      </w:r>
      <w:r>
        <w:rPr>
          <w:color w:val="231F20"/>
          <w:spacing w:val="-10"/>
          <w:sz w:val="15"/>
        </w:rPr>
        <w:t xml:space="preserve"> </w:t>
      </w:r>
      <w:r>
        <w:rPr>
          <w:color w:val="231F20"/>
          <w:sz w:val="15"/>
        </w:rPr>
        <w:t>nebo</w:t>
      </w:r>
      <w:r>
        <w:rPr>
          <w:color w:val="231F20"/>
          <w:spacing w:val="-10"/>
          <w:sz w:val="15"/>
        </w:rPr>
        <w:t xml:space="preserve"> </w:t>
      </w:r>
      <w:r>
        <w:rPr>
          <w:color w:val="231F20"/>
          <w:sz w:val="15"/>
        </w:rPr>
        <w:t>pojištěný,</w:t>
      </w:r>
      <w:r>
        <w:rPr>
          <w:color w:val="231F20"/>
          <w:spacing w:val="-10"/>
          <w:sz w:val="15"/>
        </w:rPr>
        <w:t xml:space="preserve"> </w:t>
      </w:r>
      <w:r>
        <w:rPr>
          <w:color w:val="231F20"/>
          <w:sz w:val="15"/>
        </w:rPr>
        <w:t>že</w:t>
      </w:r>
      <w:r>
        <w:rPr>
          <w:color w:val="231F20"/>
          <w:spacing w:val="-10"/>
          <w:sz w:val="15"/>
        </w:rPr>
        <w:t xml:space="preserve"> </w:t>
      </w:r>
      <w:r>
        <w:rPr>
          <w:color w:val="231F20"/>
          <w:sz w:val="15"/>
        </w:rPr>
        <w:t>bez</w:t>
      </w:r>
      <w:r>
        <w:rPr>
          <w:color w:val="231F20"/>
          <w:spacing w:val="-10"/>
          <w:sz w:val="15"/>
        </w:rPr>
        <w:t xml:space="preserve"> </w:t>
      </w:r>
      <w:r>
        <w:rPr>
          <w:color w:val="231F20"/>
          <w:sz w:val="15"/>
        </w:rPr>
        <w:t>jeho</w:t>
      </w:r>
      <w:r>
        <w:rPr>
          <w:color w:val="231F20"/>
          <w:spacing w:val="-10"/>
          <w:sz w:val="15"/>
        </w:rPr>
        <w:t xml:space="preserve"> </w:t>
      </w:r>
      <w:r>
        <w:rPr>
          <w:color w:val="231F20"/>
          <w:sz w:val="15"/>
        </w:rPr>
        <w:t>vědomí</w:t>
      </w:r>
      <w:r>
        <w:rPr>
          <w:color w:val="231F20"/>
          <w:spacing w:val="-10"/>
          <w:sz w:val="15"/>
        </w:rPr>
        <w:t xml:space="preserve"> </w:t>
      </w:r>
      <w:r>
        <w:rPr>
          <w:color w:val="231F20"/>
          <w:spacing w:val="-4"/>
          <w:sz w:val="15"/>
        </w:rPr>
        <w:t xml:space="preserve">nebo </w:t>
      </w:r>
      <w:r>
        <w:rPr>
          <w:color w:val="231F20"/>
          <w:sz w:val="15"/>
        </w:rPr>
        <w:t>vůle</w:t>
      </w:r>
      <w:r>
        <w:rPr>
          <w:color w:val="231F20"/>
          <w:spacing w:val="-12"/>
          <w:sz w:val="15"/>
        </w:rPr>
        <w:t xml:space="preserve"> </w:t>
      </w:r>
      <w:r>
        <w:rPr>
          <w:color w:val="231F20"/>
          <w:sz w:val="15"/>
        </w:rPr>
        <w:t>bylo</w:t>
      </w:r>
      <w:r>
        <w:rPr>
          <w:color w:val="231F20"/>
          <w:spacing w:val="-12"/>
          <w:sz w:val="15"/>
        </w:rPr>
        <w:t xml:space="preserve"> </w:t>
      </w:r>
      <w:r>
        <w:rPr>
          <w:color w:val="231F20"/>
          <w:sz w:val="15"/>
        </w:rPr>
        <w:t>pojistné</w:t>
      </w:r>
      <w:r>
        <w:rPr>
          <w:color w:val="231F20"/>
          <w:spacing w:val="-12"/>
          <w:sz w:val="15"/>
        </w:rPr>
        <w:t xml:space="preserve"> </w:t>
      </w:r>
      <w:r>
        <w:rPr>
          <w:color w:val="231F20"/>
          <w:sz w:val="15"/>
        </w:rPr>
        <w:t>riziko</w:t>
      </w:r>
      <w:r>
        <w:rPr>
          <w:color w:val="231F20"/>
          <w:spacing w:val="-12"/>
          <w:sz w:val="15"/>
        </w:rPr>
        <w:t xml:space="preserve"> </w:t>
      </w:r>
      <w:r>
        <w:rPr>
          <w:color w:val="231F20"/>
          <w:sz w:val="15"/>
        </w:rPr>
        <w:t>zvýšeno,</w:t>
      </w:r>
      <w:r>
        <w:rPr>
          <w:color w:val="231F20"/>
          <w:spacing w:val="-12"/>
          <w:sz w:val="15"/>
        </w:rPr>
        <w:t xml:space="preserve"> </w:t>
      </w:r>
      <w:r>
        <w:rPr>
          <w:color w:val="231F20"/>
          <w:sz w:val="15"/>
        </w:rPr>
        <w:t>musí</w:t>
      </w:r>
      <w:r>
        <w:rPr>
          <w:color w:val="231F20"/>
          <w:spacing w:val="-12"/>
          <w:sz w:val="15"/>
        </w:rPr>
        <w:t xml:space="preserve"> </w:t>
      </w:r>
      <w:r>
        <w:rPr>
          <w:color w:val="231F20"/>
          <w:sz w:val="15"/>
        </w:rPr>
        <w:t>tuto</w:t>
      </w:r>
      <w:r>
        <w:rPr>
          <w:color w:val="231F20"/>
          <w:spacing w:val="-12"/>
          <w:sz w:val="15"/>
        </w:rPr>
        <w:t xml:space="preserve"> </w:t>
      </w:r>
      <w:r>
        <w:rPr>
          <w:color w:val="231F20"/>
          <w:sz w:val="15"/>
        </w:rPr>
        <w:t>skutečnost</w:t>
      </w:r>
      <w:r>
        <w:rPr>
          <w:color w:val="231F20"/>
          <w:spacing w:val="-12"/>
          <w:sz w:val="15"/>
        </w:rPr>
        <w:t xml:space="preserve"> </w:t>
      </w:r>
      <w:r>
        <w:rPr>
          <w:color w:val="231F20"/>
          <w:sz w:val="15"/>
        </w:rPr>
        <w:t>bez</w:t>
      </w:r>
      <w:r>
        <w:rPr>
          <w:color w:val="231F20"/>
          <w:spacing w:val="-12"/>
          <w:sz w:val="15"/>
        </w:rPr>
        <w:t xml:space="preserve"> </w:t>
      </w:r>
      <w:r>
        <w:rPr>
          <w:color w:val="231F20"/>
          <w:sz w:val="15"/>
        </w:rPr>
        <w:t>zbytečného</w:t>
      </w:r>
      <w:r>
        <w:rPr>
          <w:color w:val="231F20"/>
          <w:spacing w:val="-12"/>
          <w:sz w:val="15"/>
        </w:rPr>
        <w:t xml:space="preserve"> </w:t>
      </w:r>
      <w:r>
        <w:rPr>
          <w:color w:val="231F20"/>
          <w:spacing w:val="-5"/>
          <w:sz w:val="15"/>
        </w:rPr>
        <w:t xml:space="preserve">od- </w:t>
      </w:r>
      <w:r>
        <w:rPr>
          <w:color w:val="231F20"/>
          <w:sz w:val="15"/>
        </w:rPr>
        <w:t>kladu písemně oznámit</w:t>
      </w:r>
      <w:r>
        <w:rPr>
          <w:color w:val="231F20"/>
          <w:spacing w:val="-5"/>
          <w:sz w:val="15"/>
        </w:rPr>
        <w:t xml:space="preserve"> </w:t>
      </w:r>
      <w:r>
        <w:rPr>
          <w:color w:val="231F20"/>
          <w:sz w:val="15"/>
        </w:rPr>
        <w:t>Pojišťovně;</w:t>
      </w:r>
    </w:p>
    <w:p w14:paraId="0B7912AE" w14:textId="77777777" w:rsidR="00F65BCA" w:rsidRDefault="00216117">
      <w:pPr>
        <w:pStyle w:val="Odstavecseseznamem"/>
        <w:numPr>
          <w:ilvl w:val="0"/>
          <w:numId w:val="126"/>
        </w:numPr>
        <w:tabs>
          <w:tab w:val="left" w:pos="638"/>
        </w:tabs>
        <w:spacing w:line="172" w:lineRule="exact"/>
        <w:jc w:val="both"/>
        <w:rPr>
          <w:sz w:val="15"/>
        </w:rPr>
      </w:pPr>
      <w:r>
        <w:rPr>
          <w:color w:val="231F20"/>
          <w:sz w:val="15"/>
        </w:rPr>
        <w:t>Pojistník</w:t>
      </w:r>
      <w:r>
        <w:rPr>
          <w:color w:val="231F20"/>
          <w:spacing w:val="-7"/>
          <w:sz w:val="15"/>
        </w:rPr>
        <w:t xml:space="preserve"> </w:t>
      </w:r>
      <w:r>
        <w:rPr>
          <w:color w:val="231F20"/>
          <w:sz w:val="15"/>
        </w:rPr>
        <w:t>je</w:t>
      </w:r>
      <w:r>
        <w:rPr>
          <w:color w:val="231F20"/>
          <w:spacing w:val="-7"/>
          <w:sz w:val="15"/>
        </w:rPr>
        <w:t xml:space="preserve"> </w:t>
      </w:r>
      <w:r>
        <w:rPr>
          <w:color w:val="231F20"/>
          <w:sz w:val="15"/>
        </w:rPr>
        <w:t>povinen</w:t>
      </w:r>
      <w:r>
        <w:rPr>
          <w:color w:val="231F20"/>
          <w:spacing w:val="-7"/>
          <w:sz w:val="15"/>
        </w:rPr>
        <w:t xml:space="preserve"> </w:t>
      </w:r>
      <w:r>
        <w:rPr>
          <w:color w:val="231F20"/>
          <w:sz w:val="15"/>
        </w:rPr>
        <w:t>prokázat</w:t>
      </w:r>
      <w:r>
        <w:rPr>
          <w:color w:val="231F20"/>
          <w:spacing w:val="-6"/>
          <w:sz w:val="15"/>
        </w:rPr>
        <w:t xml:space="preserve"> </w:t>
      </w:r>
      <w:r>
        <w:rPr>
          <w:color w:val="231F20"/>
          <w:sz w:val="15"/>
        </w:rPr>
        <w:t>k</w:t>
      </w:r>
      <w:r>
        <w:rPr>
          <w:color w:val="231F20"/>
          <w:spacing w:val="-7"/>
          <w:sz w:val="15"/>
        </w:rPr>
        <w:t xml:space="preserve"> </w:t>
      </w:r>
      <w:r>
        <w:rPr>
          <w:color w:val="231F20"/>
          <w:sz w:val="15"/>
        </w:rPr>
        <w:t>žádosti</w:t>
      </w:r>
      <w:r>
        <w:rPr>
          <w:color w:val="231F20"/>
          <w:spacing w:val="-7"/>
          <w:sz w:val="15"/>
        </w:rPr>
        <w:t xml:space="preserve"> </w:t>
      </w:r>
      <w:r>
        <w:rPr>
          <w:color w:val="231F20"/>
          <w:sz w:val="15"/>
        </w:rPr>
        <w:t>Pojišťovny</w:t>
      </w:r>
      <w:r>
        <w:rPr>
          <w:color w:val="231F20"/>
          <w:spacing w:val="-6"/>
          <w:sz w:val="15"/>
        </w:rPr>
        <w:t xml:space="preserve"> </w:t>
      </w:r>
      <w:r>
        <w:rPr>
          <w:color w:val="231F20"/>
          <w:sz w:val="15"/>
        </w:rPr>
        <w:t>svůj</w:t>
      </w:r>
      <w:r>
        <w:rPr>
          <w:color w:val="231F20"/>
          <w:spacing w:val="-7"/>
          <w:sz w:val="15"/>
        </w:rPr>
        <w:t xml:space="preserve"> </w:t>
      </w:r>
      <w:r>
        <w:rPr>
          <w:color w:val="231F20"/>
          <w:sz w:val="15"/>
        </w:rPr>
        <w:t>pojistný</w:t>
      </w:r>
      <w:r>
        <w:rPr>
          <w:color w:val="231F20"/>
          <w:spacing w:val="-7"/>
          <w:sz w:val="15"/>
        </w:rPr>
        <w:t xml:space="preserve"> </w:t>
      </w:r>
      <w:r>
        <w:rPr>
          <w:color w:val="231F20"/>
          <w:sz w:val="15"/>
        </w:rPr>
        <w:t>zájem;</w:t>
      </w:r>
    </w:p>
    <w:p w14:paraId="3ECE4958" w14:textId="77777777" w:rsidR="00F65BCA" w:rsidRDefault="00216117">
      <w:pPr>
        <w:pStyle w:val="Odstavecseseznamem"/>
        <w:numPr>
          <w:ilvl w:val="0"/>
          <w:numId w:val="126"/>
        </w:numPr>
        <w:tabs>
          <w:tab w:val="left" w:pos="638"/>
        </w:tabs>
        <w:spacing w:before="24" w:line="278" w:lineRule="auto"/>
        <w:ind w:right="425"/>
        <w:jc w:val="both"/>
        <w:rPr>
          <w:sz w:val="15"/>
        </w:rPr>
      </w:pPr>
      <w:r>
        <w:rPr>
          <w:color w:val="231F20"/>
          <w:sz w:val="15"/>
        </w:rPr>
        <w:t>Pojistník</w:t>
      </w:r>
      <w:r>
        <w:rPr>
          <w:color w:val="231F20"/>
          <w:spacing w:val="-9"/>
          <w:sz w:val="15"/>
        </w:rPr>
        <w:t xml:space="preserve"> </w:t>
      </w:r>
      <w:r>
        <w:rPr>
          <w:color w:val="231F20"/>
          <w:sz w:val="15"/>
        </w:rPr>
        <w:t>a</w:t>
      </w:r>
      <w:r>
        <w:rPr>
          <w:color w:val="231F20"/>
          <w:spacing w:val="-9"/>
          <w:sz w:val="15"/>
        </w:rPr>
        <w:t xml:space="preserve"> </w:t>
      </w:r>
      <w:r>
        <w:rPr>
          <w:color w:val="231F20"/>
          <w:sz w:val="15"/>
        </w:rPr>
        <w:t>pojištěný</w:t>
      </w:r>
      <w:r>
        <w:rPr>
          <w:color w:val="231F20"/>
          <w:spacing w:val="-9"/>
          <w:sz w:val="15"/>
        </w:rPr>
        <w:t xml:space="preserve"> </w:t>
      </w:r>
      <w:r>
        <w:rPr>
          <w:color w:val="231F20"/>
          <w:sz w:val="15"/>
        </w:rPr>
        <w:t>jsou</w:t>
      </w:r>
      <w:r>
        <w:rPr>
          <w:color w:val="231F20"/>
          <w:spacing w:val="-9"/>
          <w:sz w:val="15"/>
        </w:rPr>
        <w:t xml:space="preserve"> </w:t>
      </w:r>
      <w:r>
        <w:rPr>
          <w:color w:val="231F20"/>
          <w:sz w:val="15"/>
        </w:rPr>
        <w:t>povinni</w:t>
      </w:r>
      <w:r>
        <w:rPr>
          <w:color w:val="231F20"/>
          <w:spacing w:val="-9"/>
          <w:sz w:val="15"/>
        </w:rPr>
        <w:t xml:space="preserve"> </w:t>
      </w:r>
      <w:r>
        <w:rPr>
          <w:color w:val="231F20"/>
          <w:sz w:val="15"/>
        </w:rPr>
        <w:t>si</w:t>
      </w:r>
      <w:r>
        <w:rPr>
          <w:color w:val="231F20"/>
          <w:spacing w:val="-9"/>
          <w:sz w:val="15"/>
        </w:rPr>
        <w:t xml:space="preserve"> </w:t>
      </w:r>
      <w:r>
        <w:rPr>
          <w:color w:val="231F20"/>
          <w:sz w:val="15"/>
        </w:rPr>
        <w:t>počínat</w:t>
      </w:r>
      <w:r>
        <w:rPr>
          <w:color w:val="231F20"/>
          <w:spacing w:val="-9"/>
          <w:sz w:val="15"/>
        </w:rPr>
        <w:t xml:space="preserve"> </w:t>
      </w:r>
      <w:r>
        <w:rPr>
          <w:color w:val="231F20"/>
          <w:sz w:val="15"/>
        </w:rPr>
        <w:t>tak,</w:t>
      </w:r>
      <w:r>
        <w:rPr>
          <w:color w:val="231F20"/>
          <w:spacing w:val="-9"/>
          <w:sz w:val="15"/>
        </w:rPr>
        <w:t xml:space="preserve"> </w:t>
      </w:r>
      <w:r>
        <w:rPr>
          <w:color w:val="231F20"/>
          <w:sz w:val="15"/>
        </w:rPr>
        <w:t>aby</w:t>
      </w:r>
      <w:r>
        <w:rPr>
          <w:color w:val="231F20"/>
          <w:spacing w:val="-8"/>
          <w:sz w:val="15"/>
        </w:rPr>
        <w:t xml:space="preserve"> </w:t>
      </w:r>
      <w:r>
        <w:rPr>
          <w:color w:val="231F20"/>
          <w:sz w:val="15"/>
        </w:rPr>
        <w:t>nedocházelo</w:t>
      </w:r>
      <w:r>
        <w:rPr>
          <w:color w:val="231F20"/>
          <w:spacing w:val="-9"/>
          <w:sz w:val="15"/>
        </w:rPr>
        <w:t xml:space="preserve"> </w:t>
      </w:r>
      <w:r>
        <w:rPr>
          <w:color w:val="231F20"/>
          <w:sz w:val="15"/>
        </w:rPr>
        <w:t>k</w:t>
      </w:r>
      <w:r>
        <w:rPr>
          <w:color w:val="231F20"/>
          <w:spacing w:val="-9"/>
          <w:sz w:val="15"/>
        </w:rPr>
        <w:t xml:space="preserve"> </w:t>
      </w:r>
      <w:r>
        <w:rPr>
          <w:color w:val="231F20"/>
          <w:sz w:val="15"/>
        </w:rPr>
        <w:t>újmám na hodnotách pojistného</w:t>
      </w:r>
      <w:r>
        <w:rPr>
          <w:color w:val="231F20"/>
          <w:spacing w:val="-3"/>
          <w:sz w:val="15"/>
        </w:rPr>
        <w:t xml:space="preserve"> </w:t>
      </w:r>
      <w:r>
        <w:rPr>
          <w:color w:val="231F20"/>
          <w:sz w:val="15"/>
        </w:rPr>
        <w:t>zájmu.</w:t>
      </w:r>
    </w:p>
    <w:p w14:paraId="0AE08E49" w14:textId="77777777" w:rsidR="00F65BCA" w:rsidRDefault="00216117">
      <w:pPr>
        <w:pStyle w:val="Zkladntext"/>
        <w:spacing w:line="172" w:lineRule="exact"/>
        <w:ind w:left="185"/>
        <w:jc w:val="both"/>
      </w:pPr>
      <w:r>
        <w:rPr>
          <w:color w:val="231F20"/>
          <w:position w:val="1"/>
          <w:sz w:val="14"/>
          <w:shd w:val="clear" w:color="auto" w:fill="D1D3D4"/>
        </w:rPr>
        <w:t xml:space="preserve">  </w:t>
      </w:r>
      <w:r>
        <w:rPr>
          <w:color w:val="231F20"/>
          <w:w w:val="105"/>
          <w:position w:val="1"/>
          <w:sz w:val="14"/>
          <w:shd w:val="clear" w:color="auto" w:fill="D1D3D4"/>
        </w:rPr>
        <w:t>3</w:t>
      </w:r>
      <w:r>
        <w:rPr>
          <w:color w:val="231F20"/>
          <w:w w:val="105"/>
          <w:position w:val="1"/>
          <w:sz w:val="14"/>
        </w:rPr>
        <w:t xml:space="preserve"> </w:t>
      </w:r>
      <w:r>
        <w:rPr>
          <w:color w:val="231F20"/>
          <w:w w:val="105"/>
        </w:rPr>
        <w:t>Prevenční povinnosti a povinnosti v případě pojistné události</w:t>
      </w:r>
    </w:p>
    <w:p w14:paraId="63BF4DC6" w14:textId="77777777" w:rsidR="00F65BCA" w:rsidRDefault="00216117">
      <w:pPr>
        <w:pStyle w:val="Zkladntext"/>
        <w:spacing w:before="28" w:line="278" w:lineRule="auto"/>
        <w:ind w:left="637" w:right="424" w:hanging="171"/>
        <w:jc w:val="both"/>
      </w:pPr>
      <w:r>
        <w:rPr>
          <w:color w:val="231F20"/>
        </w:rPr>
        <w:t xml:space="preserve">a Pojištěný je povinen dbát, aby pojistná událost nenastala, zejména </w:t>
      </w:r>
      <w:r>
        <w:rPr>
          <w:color w:val="231F20"/>
          <w:spacing w:val="-4"/>
        </w:rPr>
        <w:t xml:space="preserve">nesmí </w:t>
      </w:r>
      <w:r>
        <w:rPr>
          <w:color w:val="231F20"/>
        </w:rPr>
        <w:t>porušovat</w:t>
      </w:r>
      <w:r>
        <w:rPr>
          <w:color w:val="231F20"/>
          <w:spacing w:val="-14"/>
        </w:rPr>
        <w:t xml:space="preserve"> </w:t>
      </w:r>
      <w:r>
        <w:rPr>
          <w:color w:val="231F20"/>
        </w:rPr>
        <w:t>povinnosti</w:t>
      </w:r>
      <w:r>
        <w:rPr>
          <w:color w:val="231F20"/>
          <w:spacing w:val="-13"/>
        </w:rPr>
        <w:t xml:space="preserve"> </w:t>
      </w:r>
      <w:r>
        <w:rPr>
          <w:color w:val="231F20"/>
        </w:rPr>
        <w:t>směřující</w:t>
      </w:r>
      <w:r>
        <w:rPr>
          <w:color w:val="231F20"/>
          <w:spacing w:val="-13"/>
        </w:rPr>
        <w:t xml:space="preserve"> </w:t>
      </w:r>
      <w:r>
        <w:rPr>
          <w:color w:val="231F20"/>
        </w:rPr>
        <w:t>ke</w:t>
      </w:r>
      <w:r>
        <w:rPr>
          <w:color w:val="231F20"/>
          <w:spacing w:val="-14"/>
        </w:rPr>
        <w:t xml:space="preserve"> </w:t>
      </w:r>
      <w:r>
        <w:rPr>
          <w:color w:val="231F20"/>
        </w:rPr>
        <w:t>zmenšení</w:t>
      </w:r>
      <w:r>
        <w:rPr>
          <w:color w:val="231F20"/>
          <w:spacing w:val="-13"/>
        </w:rPr>
        <w:t xml:space="preserve"> </w:t>
      </w:r>
      <w:r>
        <w:rPr>
          <w:color w:val="231F20"/>
        </w:rPr>
        <w:t>nebezpečí</w:t>
      </w:r>
      <w:r>
        <w:rPr>
          <w:color w:val="231F20"/>
          <w:spacing w:val="-13"/>
        </w:rPr>
        <w:t xml:space="preserve"> </w:t>
      </w:r>
      <w:r>
        <w:rPr>
          <w:color w:val="231F20"/>
        </w:rPr>
        <w:t>nebo</w:t>
      </w:r>
      <w:r>
        <w:rPr>
          <w:color w:val="231F20"/>
          <w:spacing w:val="-13"/>
        </w:rPr>
        <w:t xml:space="preserve"> </w:t>
      </w:r>
      <w:r>
        <w:rPr>
          <w:color w:val="231F20"/>
        </w:rPr>
        <w:t>k</w:t>
      </w:r>
      <w:r>
        <w:rPr>
          <w:color w:val="231F20"/>
          <w:spacing w:val="-14"/>
        </w:rPr>
        <w:t xml:space="preserve"> </w:t>
      </w:r>
      <w:r>
        <w:rPr>
          <w:color w:val="231F20"/>
        </w:rPr>
        <w:t>jeho</w:t>
      </w:r>
      <w:r>
        <w:rPr>
          <w:color w:val="231F20"/>
          <w:spacing w:val="-13"/>
        </w:rPr>
        <w:t xml:space="preserve"> </w:t>
      </w:r>
      <w:r>
        <w:rPr>
          <w:color w:val="231F20"/>
        </w:rPr>
        <w:t>odvrá- cení,</w:t>
      </w:r>
      <w:r>
        <w:rPr>
          <w:color w:val="231F20"/>
          <w:spacing w:val="-25"/>
        </w:rPr>
        <w:t xml:space="preserve"> </w:t>
      </w:r>
      <w:r>
        <w:rPr>
          <w:color w:val="231F20"/>
        </w:rPr>
        <w:t>které</w:t>
      </w:r>
      <w:r>
        <w:rPr>
          <w:color w:val="231F20"/>
          <w:spacing w:val="-25"/>
        </w:rPr>
        <w:t xml:space="preserve"> </w:t>
      </w:r>
      <w:r>
        <w:rPr>
          <w:color w:val="231F20"/>
        </w:rPr>
        <w:t>jsou</w:t>
      </w:r>
      <w:r>
        <w:rPr>
          <w:color w:val="231F20"/>
          <w:spacing w:val="-25"/>
        </w:rPr>
        <w:t xml:space="preserve"> </w:t>
      </w:r>
      <w:r>
        <w:rPr>
          <w:color w:val="231F20"/>
        </w:rPr>
        <w:t>mu</w:t>
      </w:r>
      <w:r>
        <w:rPr>
          <w:color w:val="231F20"/>
          <w:spacing w:val="-25"/>
        </w:rPr>
        <w:t xml:space="preserve"> </w:t>
      </w:r>
      <w:r>
        <w:rPr>
          <w:color w:val="231F20"/>
        </w:rPr>
        <w:t>uloženy</w:t>
      </w:r>
      <w:r>
        <w:rPr>
          <w:color w:val="231F20"/>
          <w:spacing w:val="-24"/>
        </w:rPr>
        <w:t xml:space="preserve"> </w:t>
      </w:r>
      <w:r>
        <w:rPr>
          <w:color w:val="231F20"/>
        </w:rPr>
        <w:t>právními</w:t>
      </w:r>
      <w:r>
        <w:rPr>
          <w:color w:val="231F20"/>
          <w:spacing w:val="-25"/>
        </w:rPr>
        <w:t xml:space="preserve"> </w:t>
      </w:r>
      <w:r>
        <w:rPr>
          <w:color w:val="231F20"/>
        </w:rPr>
        <w:t>předpisy</w:t>
      </w:r>
      <w:r>
        <w:rPr>
          <w:color w:val="231F20"/>
          <w:spacing w:val="-25"/>
        </w:rPr>
        <w:t xml:space="preserve"> </w:t>
      </w:r>
      <w:r>
        <w:rPr>
          <w:color w:val="231F20"/>
        </w:rPr>
        <w:t>nebo</w:t>
      </w:r>
      <w:r>
        <w:rPr>
          <w:color w:val="231F20"/>
          <w:spacing w:val="-25"/>
        </w:rPr>
        <w:t xml:space="preserve"> </w:t>
      </w:r>
      <w:r>
        <w:rPr>
          <w:color w:val="231F20"/>
        </w:rPr>
        <w:t>na</w:t>
      </w:r>
      <w:r>
        <w:rPr>
          <w:color w:val="231F20"/>
          <w:spacing w:val="-25"/>
        </w:rPr>
        <w:t xml:space="preserve"> </w:t>
      </w:r>
      <w:r>
        <w:rPr>
          <w:color w:val="231F20"/>
        </w:rPr>
        <w:t>jejich</w:t>
      </w:r>
      <w:r>
        <w:rPr>
          <w:color w:val="231F20"/>
          <w:spacing w:val="-24"/>
        </w:rPr>
        <w:t xml:space="preserve"> </w:t>
      </w:r>
      <w:r>
        <w:rPr>
          <w:color w:val="231F20"/>
        </w:rPr>
        <w:t>základě,</w:t>
      </w:r>
      <w:r>
        <w:rPr>
          <w:color w:val="231F20"/>
          <w:spacing w:val="-25"/>
        </w:rPr>
        <w:t xml:space="preserve"> </w:t>
      </w:r>
      <w:r>
        <w:rPr>
          <w:color w:val="231F20"/>
          <w:spacing w:val="-4"/>
        </w:rPr>
        <w:t xml:space="preserve">zejmé- </w:t>
      </w:r>
      <w:r>
        <w:rPr>
          <w:color w:val="231F20"/>
        </w:rPr>
        <w:t>na</w:t>
      </w:r>
      <w:r>
        <w:rPr>
          <w:color w:val="231F20"/>
          <w:spacing w:val="-16"/>
        </w:rPr>
        <w:t xml:space="preserve"> </w:t>
      </w:r>
      <w:r>
        <w:rPr>
          <w:color w:val="231F20"/>
        </w:rPr>
        <w:t>pak</w:t>
      </w:r>
      <w:r>
        <w:rPr>
          <w:color w:val="231F20"/>
          <w:spacing w:val="-16"/>
        </w:rPr>
        <w:t xml:space="preserve"> </w:t>
      </w:r>
      <w:r>
        <w:rPr>
          <w:color w:val="231F20"/>
        </w:rPr>
        <w:t>předpisy</w:t>
      </w:r>
      <w:r>
        <w:rPr>
          <w:color w:val="231F20"/>
          <w:spacing w:val="-16"/>
        </w:rPr>
        <w:t xml:space="preserve"> </w:t>
      </w:r>
      <w:r>
        <w:rPr>
          <w:color w:val="231F20"/>
        </w:rPr>
        <w:t>upravujícími</w:t>
      </w:r>
      <w:r>
        <w:rPr>
          <w:color w:val="231F20"/>
          <w:spacing w:val="-16"/>
        </w:rPr>
        <w:t xml:space="preserve"> </w:t>
      </w:r>
      <w:r>
        <w:rPr>
          <w:color w:val="231F20"/>
        </w:rPr>
        <w:t>provoz</w:t>
      </w:r>
      <w:r>
        <w:rPr>
          <w:color w:val="231F20"/>
          <w:spacing w:val="-16"/>
        </w:rPr>
        <w:t xml:space="preserve"> </w:t>
      </w:r>
      <w:r>
        <w:rPr>
          <w:color w:val="231F20"/>
        </w:rPr>
        <w:t>na</w:t>
      </w:r>
      <w:r>
        <w:rPr>
          <w:color w:val="231F20"/>
          <w:spacing w:val="-16"/>
        </w:rPr>
        <w:t xml:space="preserve"> </w:t>
      </w:r>
      <w:r>
        <w:rPr>
          <w:color w:val="231F20"/>
        </w:rPr>
        <w:t>pozemních</w:t>
      </w:r>
      <w:r>
        <w:rPr>
          <w:color w:val="231F20"/>
          <w:spacing w:val="-16"/>
        </w:rPr>
        <w:t xml:space="preserve"> </w:t>
      </w:r>
      <w:r>
        <w:rPr>
          <w:color w:val="231F20"/>
        </w:rPr>
        <w:t>komunikacích,</w:t>
      </w:r>
      <w:r>
        <w:rPr>
          <w:color w:val="231F20"/>
          <w:spacing w:val="-16"/>
        </w:rPr>
        <w:t xml:space="preserve"> </w:t>
      </w:r>
      <w:r>
        <w:rPr>
          <w:color w:val="231F20"/>
          <w:spacing w:val="-3"/>
        </w:rPr>
        <w:t xml:space="preserve">bezpeč- </w:t>
      </w:r>
      <w:r>
        <w:rPr>
          <w:color w:val="231F20"/>
        </w:rPr>
        <w:t>nostními</w:t>
      </w:r>
      <w:r>
        <w:rPr>
          <w:color w:val="231F20"/>
          <w:spacing w:val="-15"/>
        </w:rPr>
        <w:t xml:space="preserve"> </w:t>
      </w:r>
      <w:r>
        <w:rPr>
          <w:color w:val="231F20"/>
        </w:rPr>
        <w:t>a</w:t>
      </w:r>
      <w:r>
        <w:rPr>
          <w:color w:val="231F20"/>
          <w:spacing w:val="-15"/>
        </w:rPr>
        <w:t xml:space="preserve"> </w:t>
      </w:r>
      <w:r>
        <w:rPr>
          <w:color w:val="231F20"/>
        </w:rPr>
        <w:t>technickými</w:t>
      </w:r>
      <w:r>
        <w:rPr>
          <w:color w:val="231F20"/>
          <w:spacing w:val="-14"/>
        </w:rPr>
        <w:t xml:space="preserve"> </w:t>
      </w:r>
      <w:r>
        <w:rPr>
          <w:color w:val="231F20"/>
        </w:rPr>
        <w:t>normami</w:t>
      </w:r>
      <w:r>
        <w:rPr>
          <w:color w:val="231F20"/>
          <w:spacing w:val="-15"/>
        </w:rPr>
        <w:t xml:space="preserve"> </w:t>
      </w:r>
      <w:r>
        <w:rPr>
          <w:color w:val="231F20"/>
        </w:rPr>
        <w:t>anebo</w:t>
      </w:r>
      <w:r>
        <w:rPr>
          <w:color w:val="231F20"/>
          <w:spacing w:val="-14"/>
        </w:rPr>
        <w:t xml:space="preserve"> </w:t>
      </w:r>
      <w:r>
        <w:rPr>
          <w:color w:val="231F20"/>
        </w:rPr>
        <w:t>které</w:t>
      </w:r>
      <w:r>
        <w:rPr>
          <w:color w:val="231F20"/>
          <w:spacing w:val="-15"/>
        </w:rPr>
        <w:t xml:space="preserve"> </w:t>
      </w:r>
      <w:r>
        <w:rPr>
          <w:color w:val="231F20"/>
        </w:rPr>
        <w:t>mu</w:t>
      </w:r>
      <w:r>
        <w:rPr>
          <w:color w:val="231F20"/>
          <w:spacing w:val="-15"/>
        </w:rPr>
        <w:t xml:space="preserve"> </w:t>
      </w:r>
      <w:r>
        <w:rPr>
          <w:color w:val="231F20"/>
        </w:rPr>
        <w:t>byly</w:t>
      </w:r>
      <w:r>
        <w:rPr>
          <w:color w:val="231F20"/>
          <w:spacing w:val="-14"/>
        </w:rPr>
        <w:t xml:space="preserve"> </w:t>
      </w:r>
      <w:r>
        <w:rPr>
          <w:color w:val="231F20"/>
        </w:rPr>
        <w:t>uloženy</w:t>
      </w:r>
      <w:r>
        <w:rPr>
          <w:color w:val="231F20"/>
          <w:spacing w:val="-15"/>
        </w:rPr>
        <w:t xml:space="preserve"> </w:t>
      </w:r>
      <w:r>
        <w:rPr>
          <w:color w:val="231F20"/>
          <w:spacing w:val="-2"/>
        </w:rPr>
        <w:t xml:space="preserve">Pojišťovnou, </w:t>
      </w:r>
      <w:r>
        <w:rPr>
          <w:color w:val="231F20"/>
        </w:rPr>
        <w:t>ani strpět podobná jednání třetích</w:t>
      </w:r>
      <w:r>
        <w:rPr>
          <w:color w:val="231F20"/>
          <w:spacing w:val="-7"/>
        </w:rPr>
        <w:t xml:space="preserve"> </w:t>
      </w:r>
      <w:r>
        <w:rPr>
          <w:color w:val="231F20"/>
        </w:rPr>
        <w:t>osob.</w:t>
      </w:r>
    </w:p>
    <w:p w14:paraId="3D179B2B" w14:textId="77777777" w:rsidR="00F65BCA" w:rsidRDefault="00F65BCA">
      <w:pPr>
        <w:spacing w:line="278" w:lineRule="auto"/>
        <w:jc w:val="both"/>
        <w:sectPr w:rsidR="00F65BCA">
          <w:pgSz w:w="11910" w:h="16840"/>
          <w:pgMar w:top="520" w:right="140" w:bottom="0" w:left="140" w:header="708" w:footer="708" w:gutter="0"/>
          <w:cols w:num="2" w:space="708" w:equalWidth="0">
            <w:col w:w="5703" w:space="40"/>
            <w:col w:w="5887"/>
          </w:cols>
        </w:sectPr>
      </w:pPr>
    </w:p>
    <w:p w14:paraId="4DA88C39" w14:textId="77777777" w:rsidR="00F65BCA" w:rsidRDefault="00000000">
      <w:pPr>
        <w:pStyle w:val="Odstavecseseznamem"/>
        <w:numPr>
          <w:ilvl w:val="0"/>
          <w:numId w:val="4"/>
        </w:numPr>
        <w:tabs>
          <w:tab w:val="left" w:pos="881"/>
        </w:tabs>
        <w:spacing w:before="75"/>
        <w:jc w:val="both"/>
        <w:rPr>
          <w:sz w:val="15"/>
        </w:rPr>
      </w:pPr>
      <w:r>
        <w:lastRenderedPageBreak/>
        <w:pict w14:anchorId="66E4A837">
          <v:group id="_x0000_s2288" style="position:absolute;left:0;text-align:left;margin-left:0;margin-top:807.85pt;width:595.3pt;height:34.05pt;z-index:251848704;mso-position-horizontal-relative:page;mso-position-vertical-relative:page" coordorigin=",16157" coordsize="11906,681">
            <v:rect id="_x0000_s2291" style="position:absolute;top:16157;width:11906;height:681" fillcolor="#dcddde" stroked="f"/>
            <v:shape id="_x0000_s2290" type="#_x0000_t202" style="position:absolute;left:793;top:16420;width:5475;height:234" filled="f" stroked="f">
              <v:textbox inset="0,0,0,0">
                <w:txbxContent>
                  <w:p w14:paraId="0BBDF557" w14:textId="77777777" w:rsidR="00F65BCA" w:rsidRDefault="00216117">
                    <w:pPr>
                      <w:spacing w:before="3"/>
                      <w:rPr>
                        <w:sz w:val="16"/>
                      </w:rPr>
                    </w:pPr>
                    <w:r>
                      <w:rPr>
                        <w:color w:val="231F20"/>
                        <w:sz w:val="16"/>
                      </w:rPr>
                      <w:t xml:space="preserve">18 </w:t>
                    </w:r>
                    <w:r>
                      <w:rPr>
                        <w:color w:val="6D6E71"/>
                        <w:sz w:val="20"/>
                      </w:rPr>
                      <w:t xml:space="preserve">| </w:t>
                    </w:r>
                    <w:r>
                      <w:rPr>
                        <w:color w:val="231F20"/>
                        <w:sz w:val="16"/>
                      </w:rPr>
                      <w:t>Všeobecné pojistné podmínky pro pojištění vozidel VPPPMV-F-5/2025</w:t>
                    </w:r>
                  </w:p>
                </w:txbxContent>
              </v:textbox>
            </v:shape>
            <v:shape id="_x0000_s2289" type="#_x0000_t202" style="position:absolute;left:9491;top:16477;width:1414;height:164" filled="f" stroked="f">
              <v:textbox inset="0,0,0,0">
                <w:txbxContent>
                  <w:p w14:paraId="06447FE4" w14:textId="77777777" w:rsidR="00F65BCA" w:rsidRDefault="00216117">
                    <w:pPr>
                      <w:spacing w:before="2"/>
                      <w:rPr>
                        <w:sz w:val="14"/>
                      </w:rPr>
                    </w:pPr>
                    <w:r>
                      <w:rPr>
                        <w:color w:val="231F20"/>
                        <w:sz w:val="14"/>
                      </w:rPr>
                      <w:t>6.20.012 05.2025 v04</w:t>
                    </w:r>
                  </w:p>
                </w:txbxContent>
              </v:textbox>
            </v:shape>
            <w10:wrap anchorx="page" anchory="page"/>
          </v:group>
        </w:pict>
      </w:r>
      <w:r w:rsidR="00216117">
        <w:rPr>
          <w:color w:val="231F20"/>
          <w:sz w:val="15"/>
        </w:rPr>
        <w:t>V případě vzniku pojistné události je pojištěný</w:t>
      </w:r>
      <w:r w:rsidR="00216117">
        <w:rPr>
          <w:color w:val="231F20"/>
          <w:spacing w:val="-26"/>
          <w:sz w:val="15"/>
        </w:rPr>
        <w:t xml:space="preserve"> </w:t>
      </w:r>
      <w:r w:rsidR="00216117">
        <w:rPr>
          <w:color w:val="231F20"/>
          <w:sz w:val="15"/>
        </w:rPr>
        <w:t>povinen:</w:t>
      </w:r>
    </w:p>
    <w:p w14:paraId="56184B1C" w14:textId="77777777" w:rsidR="00F65BCA" w:rsidRDefault="00216117">
      <w:pPr>
        <w:pStyle w:val="Odstavecseseznamem"/>
        <w:numPr>
          <w:ilvl w:val="1"/>
          <w:numId w:val="4"/>
        </w:numPr>
        <w:tabs>
          <w:tab w:val="left" w:pos="1051"/>
        </w:tabs>
        <w:spacing w:before="28" w:line="278" w:lineRule="auto"/>
        <w:ind w:right="1"/>
        <w:jc w:val="both"/>
        <w:rPr>
          <w:sz w:val="15"/>
        </w:rPr>
      </w:pPr>
      <w:r>
        <w:rPr>
          <w:color w:val="231F20"/>
          <w:sz w:val="15"/>
        </w:rPr>
        <w:t xml:space="preserve">bez zbytečného odkladu tuto skutečnost oznámit Pojišťovně, podat </w:t>
      </w:r>
      <w:r>
        <w:rPr>
          <w:color w:val="231F20"/>
          <w:spacing w:val="-8"/>
          <w:sz w:val="15"/>
        </w:rPr>
        <w:t xml:space="preserve">jí </w:t>
      </w:r>
      <w:r>
        <w:rPr>
          <w:color w:val="231F20"/>
          <w:sz w:val="15"/>
        </w:rPr>
        <w:t>pravdivé,</w:t>
      </w:r>
      <w:r>
        <w:rPr>
          <w:color w:val="231F20"/>
          <w:spacing w:val="-20"/>
          <w:sz w:val="15"/>
        </w:rPr>
        <w:t xml:space="preserve"> </w:t>
      </w:r>
      <w:r>
        <w:rPr>
          <w:color w:val="231F20"/>
          <w:sz w:val="15"/>
        </w:rPr>
        <w:t>úplné</w:t>
      </w:r>
      <w:r>
        <w:rPr>
          <w:color w:val="231F20"/>
          <w:spacing w:val="-19"/>
          <w:sz w:val="15"/>
        </w:rPr>
        <w:t xml:space="preserve"> </w:t>
      </w:r>
      <w:r>
        <w:rPr>
          <w:color w:val="231F20"/>
          <w:sz w:val="15"/>
        </w:rPr>
        <w:t>a</w:t>
      </w:r>
      <w:r>
        <w:rPr>
          <w:color w:val="231F20"/>
          <w:spacing w:val="-19"/>
          <w:sz w:val="15"/>
        </w:rPr>
        <w:t xml:space="preserve"> </w:t>
      </w:r>
      <w:r>
        <w:rPr>
          <w:color w:val="231F20"/>
          <w:sz w:val="15"/>
        </w:rPr>
        <w:t>nezkreslené</w:t>
      </w:r>
      <w:r>
        <w:rPr>
          <w:color w:val="231F20"/>
          <w:spacing w:val="-19"/>
          <w:sz w:val="15"/>
        </w:rPr>
        <w:t xml:space="preserve"> </w:t>
      </w:r>
      <w:r>
        <w:rPr>
          <w:color w:val="231F20"/>
          <w:sz w:val="15"/>
        </w:rPr>
        <w:t>vysvětlení</w:t>
      </w:r>
      <w:r>
        <w:rPr>
          <w:color w:val="231F20"/>
          <w:spacing w:val="-20"/>
          <w:sz w:val="15"/>
        </w:rPr>
        <w:t xml:space="preserve"> </w:t>
      </w:r>
      <w:r>
        <w:rPr>
          <w:color w:val="231F20"/>
          <w:sz w:val="15"/>
        </w:rPr>
        <w:t>o</w:t>
      </w:r>
      <w:r>
        <w:rPr>
          <w:color w:val="231F20"/>
          <w:spacing w:val="-19"/>
          <w:sz w:val="15"/>
        </w:rPr>
        <w:t xml:space="preserve"> </w:t>
      </w:r>
      <w:r>
        <w:rPr>
          <w:color w:val="231F20"/>
          <w:sz w:val="15"/>
        </w:rPr>
        <w:t>vzniku</w:t>
      </w:r>
      <w:r>
        <w:rPr>
          <w:color w:val="231F20"/>
          <w:spacing w:val="-19"/>
          <w:sz w:val="15"/>
        </w:rPr>
        <w:t xml:space="preserve"> </w:t>
      </w:r>
      <w:r>
        <w:rPr>
          <w:color w:val="231F20"/>
          <w:sz w:val="15"/>
        </w:rPr>
        <w:t>a</w:t>
      </w:r>
      <w:r>
        <w:rPr>
          <w:color w:val="231F20"/>
          <w:spacing w:val="-19"/>
          <w:sz w:val="15"/>
        </w:rPr>
        <w:t xml:space="preserve"> </w:t>
      </w:r>
      <w:r>
        <w:rPr>
          <w:color w:val="231F20"/>
          <w:sz w:val="15"/>
        </w:rPr>
        <w:t>rozsahu</w:t>
      </w:r>
      <w:r>
        <w:rPr>
          <w:color w:val="231F20"/>
          <w:spacing w:val="-20"/>
          <w:sz w:val="15"/>
        </w:rPr>
        <w:t xml:space="preserve"> </w:t>
      </w:r>
      <w:r>
        <w:rPr>
          <w:color w:val="231F20"/>
          <w:sz w:val="15"/>
        </w:rPr>
        <w:t>následků</w:t>
      </w:r>
      <w:r>
        <w:rPr>
          <w:color w:val="231F20"/>
          <w:spacing w:val="-19"/>
          <w:sz w:val="15"/>
        </w:rPr>
        <w:t xml:space="preserve"> </w:t>
      </w:r>
      <w:r>
        <w:rPr>
          <w:color w:val="231F20"/>
          <w:spacing w:val="-7"/>
          <w:sz w:val="15"/>
        </w:rPr>
        <w:t xml:space="preserve">ta- </w:t>
      </w:r>
      <w:r>
        <w:rPr>
          <w:color w:val="231F20"/>
          <w:sz w:val="15"/>
        </w:rPr>
        <w:t>kové</w:t>
      </w:r>
      <w:r>
        <w:rPr>
          <w:color w:val="231F20"/>
          <w:spacing w:val="-20"/>
          <w:sz w:val="15"/>
        </w:rPr>
        <w:t xml:space="preserve"> </w:t>
      </w:r>
      <w:r>
        <w:rPr>
          <w:color w:val="231F20"/>
          <w:sz w:val="15"/>
        </w:rPr>
        <w:t>události,</w:t>
      </w:r>
      <w:r>
        <w:rPr>
          <w:color w:val="231F20"/>
          <w:spacing w:val="-20"/>
          <w:sz w:val="15"/>
        </w:rPr>
        <w:t xml:space="preserve"> </w:t>
      </w:r>
      <w:r>
        <w:rPr>
          <w:color w:val="231F20"/>
          <w:sz w:val="15"/>
        </w:rPr>
        <w:t>o</w:t>
      </w:r>
      <w:r>
        <w:rPr>
          <w:color w:val="231F20"/>
          <w:spacing w:val="-20"/>
          <w:sz w:val="15"/>
        </w:rPr>
        <w:t xml:space="preserve"> </w:t>
      </w:r>
      <w:r>
        <w:rPr>
          <w:color w:val="231F20"/>
          <w:sz w:val="15"/>
        </w:rPr>
        <w:t>právech</w:t>
      </w:r>
      <w:r>
        <w:rPr>
          <w:color w:val="231F20"/>
          <w:spacing w:val="-19"/>
          <w:sz w:val="15"/>
        </w:rPr>
        <w:t xml:space="preserve"> </w:t>
      </w:r>
      <w:r>
        <w:rPr>
          <w:color w:val="231F20"/>
          <w:sz w:val="15"/>
        </w:rPr>
        <w:t>třetích</w:t>
      </w:r>
      <w:r>
        <w:rPr>
          <w:color w:val="231F20"/>
          <w:spacing w:val="-20"/>
          <w:sz w:val="15"/>
        </w:rPr>
        <w:t xml:space="preserve"> </w:t>
      </w:r>
      <w:r>
        <w:rPr>
          <w:color w:val="231F20"/>
          <w:sz w:val="15"/>
        </w:rPr>
        <w:t>osob</w:t>
      </w:r>
      <w:r>
        <w:rPr>
          <w:color w:val="231F20"/>
          <w:spacing w:val="-20"/>
          <w:sz w:val="15"/>
        </w:rPr>
        <w:t xml:space="preserve"> </w:t>
      </w:r>
      <w:r>
        <w:rPr>
          <w:color w:val="231F20"/>
          <w:sz w:val="15"/>
        </w:rPr>
        <w:t>a</w:t>
      </w:r>
      <w:r>
        <w:rPr>
          <w:color w:val="231F20"/>
          <w:spacing w:val="-19"/>
          <w:sz w:val="15"/>
        </w:rPr>
        <w:t xml:space="preserve"> </w:t>
      </w:r>
      <w:r>
        <w:rPr>
          <w:color w:val="231F20"/>
          <w:sz w:val="15"/>
        </w:rPr>
        <w:t>o</w:t>
      </w:r>
      <w:r>
        <w:rPr>
          <w:color w:val="231F20"/>
          <w:spacing w:val="-20"/>
          <w:sz w:val="15"/>
        </w:rPr>
        <w:t xml:space="preserve"> </w:t>
      </w:r>
      <w:r>
        <w:rPr>
          <w:color w:val="231F20"/>
          <w:sz w:val="15"/>
        </w:rPr>
        <w:t>jakémkoliv</w:t>
      </w:r>
      <w:r>
        <w:rPr>
          <w:color w:val="231F20"/>
          <w:spacing w:val="-20"/>
          <w:sz w:val="15"/>
        </w:rPr>
        <w:t xml:space="preserve"> </w:t>
      </w:r>
      <w:r>
        <w:rPr>
          <w:color w:val="231F20"/>
          <w:sz w:val="15"/>
        </w:rPr>
        <w:t>vícenásobném</w:t>
      </w:r>
      <w:r>
        <w:rPr>
          <w:color w:val="231F20"/>
          <w:spacing w:val="-19"/>
          <w:sz w:val="15"/>
        </w:rPr>
        <w:t xml:space="preserve"> </w:t>
      </w:r>
      <w:r>
        <w:rPr>
          <w:color w:val="231F20"/>
          <w:spacing w:val="-3"/>
          <w:sz w:val="15"/>
        </w:rPr>
        <w:t xml:space="preserve">pojiš- </w:t>
      </w:r>
      <w:r>
        <w:rPr>
          <w:color w:val="231F20"/>
          <w:sz w:val="15"/>
        </w:rPr>
        <w:t>tění,</w:t>
      </w:r>
      <w:r>
        <w:rPr>
          <w:color w:val="231F20"/>
          <w:spacing w:val="-24"/>
          <w:sz w:val="15"/>
        </w:rPr>
        <w:t xml:space="preserve"> </w:t>
      </w:r>
      <w:r>
        <w:rPr>
          <w:color w:val="231F20"/>
          <w:sz w:val="15"/>
        </w:rPr>
        <w:t>předložit</w:t>
      </w:r>
      <w:r>
        <w:rPr>
          <w:color w:val="231F20"/>
          <w:spacing w:val="-24"/>
          <w:sz w:val="15"/>
        </w:rPr>
        <w:t xml:space="preserve"> </w:t>
      </w:r>
      <w:r>
        <w:rPr>
          <w:color w:val="231F20"/>
          <w:sz w:val="15"/>
        </w:rPr>
        <w:t>Pojišťovně</w:t>
      </w:r>
      <w:r>
        <w:rPr>
          <w:color w:val="231F20"/>
          <w:spacing w:val="-24"/>
          <w:sz w:val="15"/>
        </w:rPr>
        <w:t xml:space="preserve"> </w:t>
      </w:r>
      <w:r>
        <w:rPr>
          <w:color w:val="231F20"/>
          <w:sz w:val="15"/>
        </w:rPr>
        <w:t>nezbytné</w:t>
      </w:r>
      <w:r>
        <w:rPr>
          <w:color w:val="231F20"/>
          <w:spacing w:val="-24"/>
          <w:sz w:val="15"/>
        </w:rPr>
        <w:t xml:space="preserve"> </w:t>
      </w:r>
      <w:r>
        <w:rPr>
          <w:color w:val="231F20"/>
          <w:sz w:val="15"/>
        </w:rPr>
        <w:t>doklady</w:t>
      </w:r>
      <w:r>
        <w:rPr>
          <w:color w:val="231F20"/>
          <w:spacing w:val="-24"/>
          <w:sz w:val="15"/>
        </w:rPr>
        <w:t xml:space="preserve"> </w:t>
      </w:r>
      <w:r>
        <w:rPr>
          <w:color w:val="231F20"/>
          <w:sz w:val="15"/>
        </w:rPr>
        <w:t>a</w:t>
      </w:r>
      <w:r>
        <w:rPr>
          <w:color w:val="231F20"/>
          <w:spacing w:val="-24"/>
          <w:sz w:val="15"/>
        </w:rPr>
        <w:t xml:space="preserve"> </w:t>
      </w:r>
      <w:r>
        <w:rPr>
          <w:color w:val="231F20"/>
          <w:sz w:val="15"/>
        </w:rPr>
        <w:t>doklady,</w:t>
      </w:r>
      <w:r>
        <w:rPr>
          <w:color w:val="231F20"/>
          <w:spacing w:val="-24"/>
          <w:sz w:val="15"/>
        </w:rPr>
        <w:t xml:space="preserve"> </w:t>
      </w:r>
      <w:r>
        <w:rPr>
          <w:color w:val="231F20"/>
          <w:sz w:val="15"/>
        </w:rPr>
        <w:t>které</w:t>
      </w:r>
      <w:r>
        <w:rPr>
          <w:color w:val="231F20"/>
          <w:spacing w:val="-24"/>
          <w:sz w:val="15"/>
        </w:rPr>
        <w:t xml:space="preserve"> </w:t>
      </w:r>
      <w:r>
        <w:rPr>
          <w:color w:val="231F20"/>
          <w:sz w:val="15"/>
        </w:rPr>
        <w:t>si</w:t>
      </w:r>
      <w:r>
        <w:rPr>
          <w:color w:val="231F20"/>
          <w:spacing w:val="-24"/>
          <w:sz w:val="15"/>
        </w:rPr>
        <w:t xml:space="preserve"> </w:t>
      </w:r>
      <w:r>
        <w:rPr>
          <w:color w:val="231F20"/>
          <w:sz w:val="15"/>
        </w:rPr>
        <w:t>Pojišťovna vyžádá;</w:t>
      </w:r>
    </w:p>
    <w:p w14:paraId="7D065A4B" w14:textId="77777777" w:rsidR="00F65BCA" w:rsidRDefault="00216117">
      <w:pPr>
        <w:pStyle w:val="Odstavecseseznamem"/>
        <w:numPr>
          <w:ilvl w:val="1"/>
          <w:numId w:val="4"/>
        </w:numPr>
        <w:tabs>
          <w:tab w:val="left" w:pos="1051"/>
        </w:tabs>
        <w:spacing w:line="278" w:lineRule="auto"/>
        <w:ind w:right="1"/>
        <w:jc w:val="both"/>
        <w:rPr>
          <w:sz w:val="15"/>
        </w:rPr>
      </w:pPr>
      <w:r>
        <w:rPr>
          <w:color w:val="231F20"/>
          <w:sz w:val="15"/>
        </w:rPr>
        <w:t>učinit</w:t>
      </w:r>
      <w:r>
        <w:rPr>
          <w:color w:val="231F20"/>
          <w:spacing w:val="-4"/>
          <w:sz w:val="15"/>
        </w:rPr>
        <w:t xml:space="preserve"> </w:t>
      </w:r>
      <w:r>
        <w:rPr>
          <w:color w:val="231F20"/>
          <w:sz w:val="15"/>
        </w:rPr>
        <w:t>veškerá</w:t>
      </w:r>
      <w:r>
        <w:rPr>
          <w:color w:val="231F20"/>
          <w:spacing w:val="-4"/>
          <w:sz w:val="15"/>
        </w:rPr>
        <w:t xml:space="preserve"> </w:t>
      </w:r>
      <w:r>
        <w:rPr>
          <w:color w:val="231F20"/>
          <w:sz w:val="15"/>
        </w:rPr>
        <w:t>opatření</w:t>
      </w:r>
      <w:r>
        <w:rPr>
          <w:color w:val="231F20"/>
          <w:spacing w:val="-4"/>
          <w:sz w:val="15"/>
        </w:rPr>
        <w:t xml:space="preserve"> </w:t>
      </w:r>
      <w:r>
        <w:rPr>
          <w:color w:val="231F20"/>
          <w:sz w:val="15"/>
        </w:rPr>
        <w:t>tak,</w:t>
      </w:r>
      <w:r>
        <w:rPr>
          <w:color w:val="231F20"/>
          <w:spacing w:val="-3"/>
          <w:sz w:val="15"/>
        </w:rPr>
        <w:t xml:space="preserve"> </w:t>
      </w:r>
      <w:r>
        <w:rPr>
          <w:color w:val="231F20"/>
          <w:sz w:val="15"/>
        </w:rPr>
        <w:t>aby</w:t>
      </w:r>
      <w:r>
        <w:rPr>
          <w:color w:val="231F20"/>
          <w:spacing w:val="-4"/>
          <w:sz w:val="15"/>
        </w:rPr>
        <w:t xml:space="preserve"> </w:t>
      </w:r>
      <w:r>
        <w:rPr>
          <w:color w:val="231F20"/>
          <w:sz w:val="15"/>
        </w:rPr>
        <w:t>minimalizoval</w:t>
      </w:r>
      <w:r>
        <w:rPr>
          <w:color w:val="231F20"/>
          <w:spacing w:val="-4"/>
          <w:sz w:val="15"/>
        </w:rPr>
        <w:t xml:space="preserve"> </w:t>
      </w:r>
      <w:r>
        <w:rPr>
          <w:color w:val="231F20"/>
          <w:sz w:val="15"/>
        </w:rPr>
        <w:t>rozsah</w:t>
      </w:r>
      <w:r>
        <w:rPr>
          <w:color w:val="231F20"/>
          <w:spacing w:val="-4"/>
          <w:sz w:val="15"/>
        </w:rPr>
        <w:t xml:space="preserve"> </w:t>
      </w:r>
      <w:r>
        <w:rPr>
          <w:color w:val="231F20"/>
          <w:sz w:val="15"/>
        </w:rPr>
        <w:t>a</w:t>
      </w:r>
      <w:r>
        <w:rPr>
          <w:color w:val="231F20"/>
          <w:spacing w:val="-3"/>
          <w:sz w:val="15"/>
        </w:rPr>
        <w:t xml:space="preserve"> </w:t>
      </w:r>
      <w:r>
        <w:rPr>
          <w:color w:val="231F20"/>
          <w:sz w:val="15"/>
        </w:rPr>
        <w:t>následky</w:t>
      </w:r>
      <w:r>
        <w:rPr>
          <w:color w:val="231F20"/>
          <w:spacing w:val="-4"/>
          <w:sz w:val="15"/>
        </w:rPr>
        <w:t xml:space="preserve"> </w:t>
      </w:r>
      <w:r>
        <w:rPr>
          <w:color w:val="231F20"/>
          <w:sz w:val="15"/>
        </w:rPr>
        <w:t>škod- ní</w:t>
      </w:r>
      <w:r>
        <w:rPr>
          <w:color w:val="231F20"/>
          <w:spacing w:val="-5"/>
          <w:sz w:val="15"/>
        </w:rPr>
        <w:t xml:space="preserve"> </w:t>
      </w:r>
      <w:r>
        <w:rPr>
          <w:color w:val="231F20"/>
          <w:sz w:val="15"/>
        </w:rPr>
        <w:t>události,</w:t>
      </w:r>
      <w:r>
        <w:rPr>
          <w:color w:val="231F20"/>
          <w:spacing w:val="-4"/>
          <w:sz w:val="15"/>
        </w:rPr>
        <w:t xml:space="preserve"> </w:t>
      </w:r>
      <w:r>
        <w:rPr>
          <w:color w:val="231F20"/>
          <w:sz w:val="15"/>
        </w:rPr>
        <w:t>a</w:t>
      </w:r>
      <w:r>
        <w:rPr>
          <w:color w:val="231F20"/>
          <w:spacing w:val="-4"/>
          <w:sz w:val="15"/>
        </w:rPr>
        <w:t xml:space="preserve"> </w:t>
      </w:r>
      <w:r>
        <w:rPr>
          <w:color w:val="231F20"/>
          <w:sz w:val="15"/>
        </w:rPr>
        <w:t>postupovat</w:t>
      </w:r>
      <w:r>
        <w:rPr>
          <w:color w:val="231F20"/>
          <w:spacing w:val="-4"/>
          <w:sz w:val="15"/>
        </w:rPr>
        <w:t xml:space="preserve"> </w:t>
      </w:r>
      <w:r>
        <w:rPr>
          <w:color w:val="231F20"/>
          <w:sz w:val="15"/>
        </w:rPr>
        <w:t>podle</w:t>
      </w:r>
      <w:r>
        <w:rPr>
          <w:color w:val="231F20"/>
          <w:spacing w:val="-4"/>
          <w:sz w:val="15"/>
        </w:rPr>
        <w:t xml:space="preserve"> </w:t>
      </w:r>
      <w:r>
        <w:rPr>
          <w:color w:val="231F20"/>
          <w:sz w:val="15"/>
        </w:rPr>
        <w:t>pokynů</w:t>
      </w:r>
      <w:r>
        <w:rPr>
          <w:color w:val="231F20"/>
          <w:spacing w:val="-4"/>
          <w:sz w:val="15"/>
        </w:rPr>
        <w:t xml:space="preserve"> </w:t>
      </w:r>
      <w:r>
        <w:rPr>
          <w:color w:val="231F20"/>
          <w:sz w:val="15"/>
        </w:rPr>
        <w:t>Pojišťovny</w:t>
      </w:r>
      <w:r>
        <w:rPr>
          <w:color w:val="231F20"/>
          <w:spacing w:val="-4"/>
          <w:sz w:val="15"/>
        </w:rPr>
        <w:t xml:space="preserve"> </w:t>
      </w:r>
      <w:r>
        <w:rPr>
          <w:color w:val="231F20"/>
          <w:sz w:val="15"/>
        </w:rPr>
        <w:t>a</w:t>
      </w:r>
      <w:r>
        <w:rPr>
          <w:color w:val="231F20"/>
          <w:spacing w:val="-4"/>
          <w:sz w:val="15"/>
        </w:rPr>
        <w:t xml:space="preserve"> </w:t>
      </w:r>
      <w:r>
        <w:rPr>
          <w:color w:val="231F20"/>
          <w:sz w:val="15"/>
        </w:rPr>
        <w:t>pokud</w:t>
      </w:r>
      <w:r>
        <w:rPr>
          <w:color w:val="231F20"/>
          <w:spacing w:val="-5"/>
          <w:sz w:val="15"/>
        </w:rPr>
        <w:t xml:space="preserve"> </w:t>
      </w:r>
      <w:r>
        <w:rPr>
          <w:color w:val="231F20"/>
          <w:sz w:val="15"/>
        </w:rPr>
        <w:t>to</w:t>
      </w:r>
      <w:r>
        <w:rPr>
          <w:color w:val="231F20"/>
          <w:spacing w:val="-4"/>
          <w:sz w:val="15"/>
        </w:rPr>
        <w:t xml:space="preserve"> </w:t>
      </w:r>
      <w:r>
        <w:rPr>
          <w:color w:val="231F20"/>
          <w:sz w:val="15"/>
        </w:rPr>
        <w:t>okolnosti umožňují, tyto pokyny si</w:t>
      </w:r>
      <w:r>
        <w:rPr>
          <w:color w:val="231F20"/>
          <w:spacing w:val="-5"/>
          <w:sz w:val="15"/>
        </w:rPr>
        <w:t xml:space="preserve"> </w:t>
      </w:r>
      <w:r>
        <w:rPr>
          <w:color w:val="231F20"/>
          <w:sz w:val="15"/>
        </w:rPr>
        <w:t>vyžádat;</w:t>
      </w:r>
    </w:p>
    <w:p w14:paraId="77C2E960" w14:textId="77777777" w:rsidR="00F65BCA" w:rsidRDefault="00216117">
      <w:pPr>
        <w:pStyle w:val="Odstavecseseznamem"/>
        <w:numPr>
          <w:ilvl w:val="1"/>
          <w:numId w:val="4"/>
        </w:numPr>
        <w:tabs>
          <w:tab w:val="left" w:pos="1051"/>
        </w:tabs>
        <w:spacing w:line="278" w:lineRule="auto"/>
        <w:ind w:right="1"/>
        <w:jc w:val="both"/>
        <w:rPr>
          <w:sz w:val="15"/>
        </w:rPr>
      </w:pPr>
      <w:r>
        <w:rPr>
          <w:color w:val="231F20"/>
          <w:sz w:val="15"/>
        </w:rPr>
        <w:t>na</w:t>
      </w:r>
      <w:r>
        <w:rPr>
          <w:color w:val="231F20"/>
          <w:spacing w:val="-17"/>
          <w:sz w:val="15"/>
        </w:rPr>
        <w:t xml:space="preserve"> </w:t>
      </w:r>
      <w:r>
        <w:rPr>
          <w:color w:val="231F20"/>
          <w:sz w:val="15"/>
        </w:rPr>
        <w:t>vlastní</w:t>
      </w:r>
      <w:r>
        <w:rPr>
          <w:color w:val="231F20"/>
          <w:spacing w:val="-16"/>
          <w:sz w:val="15"/>
        </w:rPr>
        <w:t xml:space="preserve"> </w:t>
      </w:r>
      <w:r>
        <w:rPr>
          <w:color w:val="231F20"/>
          <w:sz w:val="15"/>
        </w:rPr>
        <w:t>náklady</w:t>
      </w:r>
      <w:r>
        <w:rPr>
          <w:color w:val="231F20"/>
          <w:spacing w:val="-16"/>
          <w:sz w:val="15"/>
        </w:rPr>
        <w:t xml:space="preserve"> </w:t>
      </w:r>
      <w:r>
        <w:rPr>
          <w:color w:val="231F20"/>
          <w:sz w:val="15"/>
        </w:rPr>
        <w:t>zajistit</w:t>
      </w:r>
      <w:r>
        <w:rPr>
          <w:color w:val="231F20"/>
          <w:spacing w:val="-16"/>
          <w:sz w:val="15"/>
        </w:rPr>
        <w:t xml:space="preserve"> </w:t>
      </w:r>
      <w:r>
        <w:rPr>
          <w:color w:val="231F20"/>
          <w:sz w:val="15"/>
        </w:rPr>
        <w:t>důkazy</w:t>
      </w:r>
      <w:r>
        <w:rPr>
          <w:color w:val="231F20"/>
          <w:spacing w:val="-17"/>
          <w:sz w:val="15"/>
        </w:rPr>
        <w:t xml:space="preserve"> </w:t>
      </w:r>
      <w:r>
        <w:rPr>
          <w:color w:val="231F20"/>
          <w:sz w:val="15"/>
        </w:rPr>
        <w:t>o</w:t>
      </w:r>
      <w:r>
        <w:rPr>
          <w:color w:val="231F20"/>
          <w:spacing w:val="-16"/>
          <w:sz w:val="15"/>
        </w:rPr>
        <w:t xml:space="preserve"> </w:t>
      </w:r>
      <w:r>
        <w:rPr>
          <w:color w:val="231F20"/>
          <w:sz w:val="15"/>
        </w:rPr>
        <w:t>vzniku,</w:t>
      </w:r>
      <w:r>
        <w:rPr>
          <w:color w:val="231F20"/>
          <w:spacing w:val="-16"/>
          <w:sz w:val="15"/>
        </w:rPr>
        <w:t xml:space="preserve"> </w:t>
      </w:r>
      <w:r>
        <w:rPr>
          <w:color w:val="231F20"/>
          <w:sz w:val="15"/>
        </w:rPr>
        <w:t>příčině,</w:t>
      </w:r>
      <w:r>
        <w:rPr>
          <w:color w:val="231F20"/>
          <w:spacing w:val="-16"/>
          <w:sz w:val="15"/>
        </w:rPr>
        <w:t xml:space="preserve"> </w:t>
      </w:r>
      <w:r>
        <w:rPr>
          <w:color w:val="231F20"/>
          <w:sz w:val="15"/>
        </w:rPr>
        <w:t>rozsahu</w:t>
      </w:r>
      <w:r>
        <w:rPr>
          <w:color w:val="231F20"/>
          <w:spacing w:val="-16"/>
          <w:sz w:val="15"/>
        </w:rPr>
        <w:t xml:space="preserve"> </w:t>
      </w:r>
      <w:r>
        <w:rPr>
          <w:color w:val="231F20"/>
          <w:sz w:val="15"/>
        </w:rPr>
        <w:t>a</w:t>
      </w:r>
      <w:r>
        <w:rPr>
          <w:color w:val="231F20"/>
          <w:spacing w:val="-17"/>
          <w:sz w:val="15"/>
        </w:rPr>
        <w:t xml:space="preserve"> </w:t>
      </w:r>
      <w:r>
        <w:rPr>
          <w:color w:val="231F20"/>
          <w:sz w:val="15"/>
        </w:rPr>
        <w:t>následcích škodní</w:t>
      </w:r>
      <w:r>
        <w:rPr>
          <w:color w:val="231F20"/>
          <w:spacing w:val="-7"/>
          <w:sz w:val="15"/>
        </w:rPr>
        <w:t xml:space="preserve"> </w:t>
      </w:r>
      <w:r>
        <w:rPr>
          <w:color w:val="231F20"/>
          <w:sz w:val="15"/>
        </w:rPr>
        <w:t>události</w:t>
      </w:r>
      <w:r>
        <w:rPr>
          <w:color w:val="231F20"/>
          <w:spacing w:val="-7"/>
          <w:sz w:val="15"/>
        </w:rPr>
        <w:t xml:space="preserve"> </w:t>
      </w:r>
      <w:r>
        <w:rPr>
          <w:color w:val="231F20"/>
          <w:sz w:val="15"/>
        </w:rPr>
        <w:t>a</w:t>
      </w:r>
      <w:r>
        <w:rPr>
          <w:color w:val="231F20"/>
          <w:spacing w:val="-7"/>
          <w:sz w:val="15"/>
        </w:rPr>
        <w:t xml:space="preserve"> </w:t>
      </w:r>
      <w:r>
        <w:rPr>
          <w:color w:val="231F20"/>
          <w:sz w:val="15"/>
        </w:rPr>
        <w:t>výši</w:t>
      </w:r>
      <w:r>
        <w:rPr>
          <w:color w:val="231F20"/>
          <w:spacing w:val="-6"/>
          <w:sz w:val="15"/>
        </w:rPr>
        <w:t xml:space="preserve"> </w:t>
      </w:r>
      <w:r>
        <w:rPr>
          <w:color w:val="231F20"/>
          <w:sz w:val="15"/>
        </w:rPr>
        <w:t>vzniklé</w:t>
      </w:r>
      <w:r>
        <w:rPr>
          <w:color w:val="231F20"/>
          <w:spacing w:val="-7"/>
          <w:sz w:val="15"/>
        </w:rPr>
        <w:t xml:space="preserve"> </w:t>
      </w:r>
      <w:r>
        <w:rPr>
          <w:color w:val="231F20"/>
          <w:sz w:val="15"/>
        </w:rPr>
        <w:t>škody</w:t>
      </w:r>
      <w:r>
        <w:rPr>
          <w:color w:val="231F20"/>
          <w:spacing w:val="-7"/>
          <w:sz w:val="15"/>
        </w:rPr>
        <w:t xml:space="preserve"> </w:t>
      </w:r>
      <w:r>
        <w:rPr>
          <w:color w:val="231F20"/>
          <w:sz w:val="15"/>
        </w:rPr>
        <w:t>a</w:t>
      </w:r>
      <w:r>
        <w:rPr>
          <w:color w:val="231F20"/>
          <w:spacing w:val="-6"/>
          <w:sz w:val="15"/>
        </w:rPr>
        <w:t xml:space="preserve"> </w:t>
      </w:r>
      <w:r>
        <w:rPr>
          <w:color w:val="231F20"/>
          <w:sz w:val="15"/>
        </w:rPr>
        <w:t>poskytnout</w:t>
      </w:r>
      <w:r>
        <w:rPr>
          <w:color w:val="231F20"/>
          <w:spacing w:val="-7"/>
          <w:sz w:val="15"/>
        </w:rPr>
        <w:t xml:space="preserve"> </w:t>
      </w:r>
      <w:r>
        <w:rPr>
          <w:color w:val="231F20"/>
          <w:sz w:val="15"/>
        </w:rPr>
        <w:t>je</w:t>
      </w:r>
      <w:r>
        <w:rPr>
          <w:color w:val="231F20"/>
          <w:spacing w:val="-7"/>
          <w:sz w:val="15"/>
        </w:rPr>
        <w:t xml:space="preserve"> </w:t>
      </w:r>
      <w:r>
        <w:rPr>
          <w:color w:val="231F20"/>
          <w:sz w:val="15"/>
        </w:rPr>
        <w:t>Pojišťovně;</w:t>
      </w:r>
    </w:p>
    <w:p w14:paraId="0B800B14" w14:textId="77777777" w:rsidR="00F65BCA" w:rsidRDefault="00216117">
      <w:pPr>
        <w:pStyle w:val="Odstavecseseznamem"/>
        <w:numPr>
          <w:ilvl w:val="1"/>
          <w:numId w:val="4"/>
        </w:numPr>
        <w:tabs>
          <w:tab w:val="left" w:pos="1051"/>
        </w:tabs>
        <w:spacing w:line="278" w:lineRule="auto"/>
        <w:ind w:right="1"/>
        <w:jc w:val="both"/>
        <w:rPr>
          <w:sz w:val="15"/>
        </w:rPr>
      </w:pPr>
      <w:r>
        <w:rPr>
          <w:color w:val="231F20"/>
          <w:sz w:val="15"/>
        </w:rPr>
        <w:t xml:space="preserve">umožnit Pojišťovně nebo jím pověřeným osobám šetření nezbytná </w:t>
      </w:r>
      <w:r>
        <w:rPr>
          <w:color w:val="231F20"/>
          <w:spacing w:val="-6"/>
          <w:sz w:val="15"/>
        </w:rPr>
        <w:t xml:space="preserve">pro </w:t>
      </w:r>
      <w:r>
        <w:rPr>
          <w:color w:val="231F20"/>
          <w:sz w:val="15"/>
        </w:rPr>
        <w:t>posouzení</w:t>
      </w:r>
      <w:r>
        <w:rPr>
          <w:color w:val="231F20"/>
          <w:spacing w:val="-15"/>
          <w:sz w:val="15"/>
        </w:rPr>
        <w:t xml:space="preserve"> </w:t>
      </w:r>
      <w:r>
        <w:rPr>
          <w:color w:val="231F20"/>
          <w:sz w:val="15"/>
        </w:rPr>
        <w:t>nároku</w:t>
      </w:r>
      <w:r>
        <w:rPr>
          <w:color w:val="231F20"/>
          <w:spacing w:val="-14"/>
          <w:sz w:val="15"/>
        </w:rPr>
        <w:t xml:space="preserve"> </w:t>
      </w:r>
      <w:r>
        <w:rPr>
          <w:color w:val="231F20"/>
          <w:sz w:val="15"/>
        </w:rPr>
        <w:t>na</w:t>
      </w:r>
      <w:r>
        <w:rPr>
          <w:color w:val="231F20"/>
          <w:spacing w:val="-15"/>
          <w:sz w:val="15"/>
        </w:rPr>
        <w:t xml:space="preserve"> </w:t>
      </w:r>
      <w:r>
        <w:rPr>
          <w:color w:val="231F20"/>
          <w:sz w:val="15"/>
        </w:rPr>
        <w:t>pojistné</w:t>
      </w:r>
      <w:r>
        <w:rPr>
          <w:color w:val="231F20"/>
          <w:spacing w:val="-14"/>
          <w:sz w:val="15"/>
        </w:rPr>
        <w:t xml:space="preserve"> </w:t>
      </w:r>
      <w:r>
        <w:rPr>
          <w:color w:val="231F20"/>
          <w:sz w:val="15"/>
        </w:rPr>
        <w:t>plnění,</w:t>
      </w:r>
      <w:r>
        <w:rPr>
          <w:color w:val="231F20"/>
          <w:spacing w:val="-15"/>
          <w:sz w:val="15"/>
        </w:rPr>
        <w:t xml:space="preserve"> </w:t>
      </w:r>
      <w:r>
        <w:rPr>
          <w:color w:val="231F20"/>
          <w:sz w:val="15"/>
        </w:rPr>
        <w:t>zejména</w:t>
      </w:r>
      <w:r>
        <w:rPr>
          <w:color w:val="231F20"/>
          <w:spacing w:val="-14"/>
          <w:sz w:val="15"/>
        </w:rPr>
        <w:t xml:space="preserve"> </w:t>
      </w:r>
      <w:r>
        <w:rPr>
          <w:color w:val="231F20"/>
          <w:sz w:val="15"/>
        </w:rPr>
        <w:t>umožnit</w:t>
      </w:r>
      <w:r>
        <w:rPr>
          <w:color w:val="231F20"/>
          <w:spacing w:val="-15"/>
          <w:sz w:val="15"/>
        </w:rPr>
        <w:t xml:space="preserve"> </w:t>
      </w:r>
      <w:r>
        <w:rPr>
          <w:color w:val="231F20"/>
          <w:sz w:val="15"/>
        </w:rPr>
        <w:t>prohlídku</w:t>
      </w:r>
      <w:r>
        <w:rPr>
          <w:color w:val="231F20"/>
          <w:spacing w:val="-14"/>
          <w:sz w:val="15"/>
        </w:rPr>
        <w:t xml:space="preserve"> </w:t>
      </w:r>
      <w:r>
        <w:rPr>
          <w:color w:val="231F20"/>
          <w:spacing w:val="-4"/>
          <w:sz w:val="15"/>
        </w:rPr>
        <w:t xml:space="preserve">poško- </w:t>
      </w:r>
      <w:r>
        <w:rPr>
          <w:color w:val="231F20"/>
          <w:sz w:val="15"/>
        </w:rPr>
        <w:t>zené</w:t>
      </w:r>
      <w:r>
        <w:rPr>
          <w:color w:val="231F20"/>
          <w:spacing w:val="-14"/>
          <w:sz w:val="15"/>
        </w:rPr>
        <w:t xml:space="preserve"> </w:t>
      </w:r>
      <w:r>
        <w:rPr>
          <w:color w:val="231F20"/>
          <w:sz w:val="15"/>
        </w:rPr>
        <w:t>věci,</w:t>
      </w:r>
      <w:r>
        <w:rPr>
          <w:color w:val="231F20"/>
          <w:spacing w:val="-13"/>
          <w:sz w:val="15"/>
        </w:rPr>
        <w:t xml:space="preserve"> </w:t>
      </w:r>
      <w:r>
        <w:rPr>
          <w:color w:val="231F20"/>
          <w:sz w:val="15"/>
        </w:rPr>
        <w:t>prozkoumat</w:t>
      </w:r>
      <w:r>
        <w:rPr>
          <w:color w:val="231F20"/>
          <w:spacing w:val="-14"/>
          <w:sz w:val="15"/>
        </w:rPr>
        <w:t xml:space="preserve"> </w:t>
      </w:r>
      <w:r>
        <w:rPr>
          <w:color w:val="231F20"/>
          <w:sz w:val="15"/>
        </w:rPr>
        <w:t>příčiny</w:t>
      </w:r>
      <w:r>
        <w:rPr>
          <w:color w:val="231F20"/>
          <w:spacing w:val="-13"/>
          <w:sz w:val="15"/>
        </w:rPr>
        <w:t xml:space="preserve"> </w:t>
      </w:r>
      <w:r>
        <w:rPr>
          <w:color w:val="231F20"/>
          <w:sz w:val="15"/>
        </w:rPr>
        <w:t>a</w:t>
      </w:r>
      <w:r>
        <w:rPr>
          <w:color w:val="231F20"/>
          <w:spacing w:val="-14"/>
          <w:sz w:val="15"/>
        </w:rPr>
        <w:t xml:space="preserve"> </w:t>
      </w:r>
      <w:r>
        <w:rPr>
          <w:color w:val="231F20"/>
          <w:sz w:val="15"/>
        </w:rPr>
        <w:t>rozsah</w:t>
      </w:r>
      <w:r>
        <w:rPr>
          <w:color w:val="231F20"/>
          <w:spacing w:val="-13"/>
          <w:sz w:val="15"/>
        </w:rPr>
        <w:t xml:space="preserve"> </w:t>
      </w:r>
      <w:r>
        <w:rPr>
          <w:color w:val="231F20"/>
          <w:sz w:val="15"/>
        </w:rPr>
        <w:t>škody</w:t>
      </w:r>
      <w:r>
        <w:rPr>
          <w:color w:val="231F20"/>
          <w:spacing w:val="-14"/>
          <w:sz w:val="15"/>
        </w:rPr>
        <w:t xml:space="preserve"> </w:t>
      </w:r>
      <w:r>
        <w:rPr>
          <w:color w:val="231F20"/>
          <w:sz w:val="15"/>
        </w:rPr>
        <w:t>pro</w:t>
      </w:r>
      <w:r>
        <w:rPr>
          <w:color w:val="231F20"/>
          <w:spacing w:val="-13"/>
          <w:sz w:val="15"/>
        </w:rPr>
        <w:t xml:space="preserve"> </w:t>
      </w:r>
      <w:r>
        <w:rPr>
          <w:color w:val="231F20"/>
          <w:sz w:val="15"/>
        </w:rPr>
        <w:t>stanovení</w:t>
      </w:r>
      <w:r>
        <w:rPr>
          <w:color w:val="231F20"/>
          <w:spacing w:val="-14"/>
          <w:sz w:val="15"/>
        </w:rPr>
        <w:t xml:space="preserve"> </w:t>
      </w:r>
      <w:r>
        <w:rPr>
          <w:color w:val="231F20"/>
          <w:sz w:val="15"/>
        </w:rPr>
        <w:t>výše</w:t>
      </w:r>
      <w:r>
        <w:rPr>
          <w:color w:val="231F20"/>
          <w:spacing w:val="-13"/>
          <w:sz w:val="15"/>
        </w:rPr>
        <w:t xml:space="preserve"> </w:t>
      </w:r>
      <w:r>
        <w:rPr>
          <w:color w:val="231F20"/>
          <w:sz w:val="15"/>
        </w:rPr>
        <w:t>pojist- ného</w:t>
      </w:r>
      <w:r>
        <w:rPr>
          <w:color w:val="231F20"/>
          <w:spacing w:val="-1"/>
          <w:sz w:val="15"/>
        </w:rPr>
        <w:t xml:space="preserve"> </w:t>
      </w:r>
      <w:r>
        <w:rPr>
          <w:color w:val="231F20"/>
          <w:sz w:val="15"/>
        </w:rPr>
        <w:t>plnění;</w:t>
      </w:r>
    </w:p>
    <w:p w14:paraId="4A35B3D7" w14:textId="77777777" w:rsidR="00F65BCA" w:rsidRDefault="00216117">
      <w:pPr>
        <w:pStyle w:val="Odstavecseseznamem"/>
        <w:numPr>
          <w:ilvl w:val="1"/>
          <w:numId w:val="4"/>
        </w:numPr>
        <w:tabs>
          <w:tab w:val="left" w:pos="1051"/>
        </w:tabs>
        <w:spacing w:line="172" w:lineRule="exact"/>
        <w:jc w:val="both"/>
        <w:rPr>
          <w:sz w:val="15"/>
        </w:rPr>
      </w:pPr>
      <w:r>
        <w:rPr>
          <w:color w:val="231F20"/>
          <w:sz w:val="15"/>
        </w:rPr>
        <w:t>neměnit</w:t>
      </w:r>
      <w:r>
        <w:rPr>
          <w:color w:val="231F20"/>
          <w:spacing w:val="-24"/>
          <w:sz w:val="15"/>
        </w:rPr>
        <w:t xml:space="preserve"> </w:t>
      </w:r>
      <w:r>
        <w:rPr>
          <w:color w:val="231F20"/>
          <w:sz w:val="15"/>
        </w:rPr>
        <w:t>stav</w:t>
      </w:r>
      <w:r>
        <w:rPr>
          <w:color w:val="231F20"/>
          <w:spacing w:val="-23"/>
          <w:sz w:val="15"/>
        </w:rPr>
        <w:t xml:space="preserve"> </w:t>
      </w:r>
      <w:r>
        <w:rPr>
          <w:color w:val="231F20"/>
          <w:sz w:val="15"/>
        </w:rPr>
        <w:t>způsobený</w:t>
      </w:r>
      <w:r>
        <w:rPr>
          <w:color w:val="231F20"/>
          <w:spacing w:val="-23"/>
          <w:sz w:val="15"/>
        </w:rPr>
        <w:t xml:space="preserve"> </w:t>
      </w:r>
      <w:r>
        <w:rPr>
          <w:color w:val="231F20"/>
          <w:sz w:val="15"/>
        </w:rPr>
        <w:t>škodní</w:t>
      </w:r>
      <w:r>
        <w:rPr>
          <w:color w:val="231F20"/>
          <w:spacing w:val="-24"/>
          <w:sz w:val="15"/>
        </w:rPr>
        <w:t xml:space="preserve"> </w:t>
      </w:r>
      <w:r>
        <w:rPr>
          <w:color w:val="231F20"/>
          <w:sz w:val="15"/>
        </w:rPr>
        <w:t>událostí;</w:t>
      </w:r>
    </w:p>
    <w:p w14:paraId="09411414" w14:textId="77777777" w:rsidR="00F65BCA" w:rsidRDefault="00216117">
      <w:pPr>
        <w:pStyle w:val="Odstavecseseznamem"/>
        <w:numPr>
          <w:ilvl w:val="1"/>
          <w:numId w:val="4"/>
        </w:numPr>
        <w:tabs>
          <w:tab w:val="left" w:pos="1051"/>
        </w:tabs>
        <w:spacing w:before="27" w:line="278" w:lineRule="auto"/>
        <w:ind w:right="1"/>
        <w:jc w:val="both"/>
        <w:rPr>
          <w:sz w:val="15"/>
        </w:rPr>
      </w:pPr>
      <w:r>
        <w:rPr>
          <w:color w:val="231F20"/>
          <w:sz w:val="15"/>
        </w:rPr>
        <w:t>oznámit</w:t>
      </w:r>
      <w:r>
        <w:rPr>
          <w:color w:val="231F20"/>
          <w:spacing w:val="-10"/>
          <w:sz w:val="15"/>
        </w:rPr>
        <w:t xml:space="preserve"> </w:t>
      </w:r>
      <w:r>
        <w:rPr>
          <w:color w:val="231F20"/>
          <w:sz w:val="15"/>
        </w:rPr>
        <w:t>bez</w:t>
      </w:r>
      <w:r>
        <w:rPr>
          <w:color w:val="231F20"/>
          <w:spacing w:val="-9"/>
          <w:sz w:val="15"/>
        </w:rPr>
        <w:t xml:space="preserve"> </w:t>
      </w:r>
      <w:r>
        <w:rPr>
          <w:color w:val="231F20"/>
          <w:sz w:val="15"/>
        </w:rPr>
        <w:t>zbytečného</w:t>
      </w:r>
      <w:r>
        <w:rPr>
          <w:color w:val="231F20"/>
          <w:spacing w:val="-9"/>
          <w:sz w:val="15"/>
        </w:rPr>
        <w:t xml:space="preserve"> </w:t>
      </w:r>
      <w:r>
        <w:rPr>
          <w:color w:val="231F20"/>
          <w:sz w:val="15"/>
        </w:rPr>
        <w:t>odkladu</w:t>
      </w:r>
      <w:r>
        <w:rPr>
          <w:color w:val="231F20"/>
          <w:spacing w:val="-10"/>
          <w:sz w:val="15"/>
        </w:rPr>
        <w:t xml:space="preserve"> </w:t>
      </w:r>
      <w:r>
        <w:rPr>
          <w:color w:val="231F20"/>
          <w:sz w:val="15"/>
        </w:rPr>
        <w:t>orgánům</w:t>
      </w:r>
      <w:r>
        <w:rPr>
          <w:color w:val="231F20"/>
          <w:spacing w:val="-9"/>
          <w:sz w:val="15"/>
        </w:rPr>
        <w:t xml:space="preserve"> </w:t>
      </w:r>
      <w:r>
        <w:rPr>
          <w:color w:val="231F20"/>
          <w:sz w:val="15"/>
        </w:rPr>
        <w:t>činným</w:t>
      </w:r>
      <w:r>
        <w:rPr>
          <w:color w:val="231F20"/>
          <w:spacing w:val="-9"/>
          <w:sz w:val="15"/>
        </w:rPr>
        <w:t xml:space="preserve"> </w:t>
      </w:r>
      <w:r>
        <w:rPr>
          <w:color w:val="231F20"/>
          <w:sz w:val="15"/>
        </w:rPr>
        <w:t>v</w:t>
      </w:r>
      <w:r>
        <w:rPr>
          <w:color w:val="231F20"/>
          <w:spacing w:val="-9"/>
          <w:sz w:val="15"/>
        </w:rPr>
        <w:t xml:space="preserve"> </w:t>
      </w:r>
      <w:r>
        <w:rPr>
          <w:color w:val="231F20"/>
          <w:sz w:val="15"/>
        </w:rPr>
        <w:t>trestním,</w:t>
      </w:r>
      <w:r>
        <w:rPr>
          <w:color w:val="231F20"/>
          <w:spacing w:val="-10"/>
          <w:sz w:val="15"/>
        </w:rPr>
        <w:t xml:space="preserve"> </w:t>
      </w:r>
      <w:r>
        <w:rPr>
          <w:color w:val="231F20"/>
          <w:spacing w:val="-3"/>
          <w:sz w:val="15"/>
        </w:rPr>
        <w:t xml:space="preserve">správním </w:t>
      </w:r>
      <w:r>
        <w:rPr>
          <w:color w:val="231F20"/>
          <w:sz w:val="15"/>
        </w:rPr>
        <w:t>nebo</w:t>
      </w:r>
      <w:r>
        <w:rPr>
          <w:color w:val="231F20"/>
          <w:spacing w:val="-11"/>
          <w:sz w:val="15"/>
        </w:rPr>
        <w:t xml:space="preserve"> </w:t>
      </w:r>
      <w:r>
        <w:rPr>
          <w:color w:val="231F20"/>
          <w:sz w:val="15"/>
        </w:rPr>
        <w:t>přestupkovém</w:t>
      </w:r>
      <w:r>
        <w:rPr>
          <w:color w:val="231F20"/>
          <w:spacing w:val="-10"/>
          <w:sz w:val="15"/>
        </w:rPr>
        <w:t xml:space="preserve"> </w:t>
      </w:r>
      <w:r>
        <w:rPr>
          <w:color w:val="231F20"/>
          <w:sz w:val="15"/>
        </w:rPr>
        <w:t>řízení,</w:t>
      </w:r>
      <w:r>
        <w:rPr>
          <w:color w:val="231F20"/>
          <w:spacing w:val="-10"/>
          <w:sz w:val="15"/>
        </w:rPr>
        <w:t xml:space="preserve"> </w:t>
      </w:r>
      <w:r>
        <w:rPr>
          <w:color w:val="231F20"/>
          <w:spacing w:val="-3"/>
          <w:sz w:val="15"/>
        </w:rPr>
        <w:t>popř.</w:t>
      </w:r>
      <w:r>
        <w:rPr>
          <w:color w:val="231F20"/>
          <w:spacing w:val="-10"/>
          <w:sz w:val="15"/>
        </w:rPr>
        <w:t xml:space="preserve"> </w:t>
      </w:r>
      <w:r>
        <w:rPr>
          <w:color w:val="231F20"/>
          <w:sz w:val="15"/>
        </w:rPr>
        <w:t>hasičskému</w:t>
      </w:r>
      <w:r>
        <w:rPr>
          <w:color w:val="231F20"/>
          <w:spacing w:val="-10"/>
          <w:sz w:val="15"/>
        </w:rPr>
        <w:t xml:space="preserve"> </w:t>
      </w:r>
      <w:r>
        <w:rPr>
          <w:color w:val="231F20"/>
          <w:sz w:val="15"/>
        </w:rPr>
        <w:t>záchrannému</w:t>
      </w:r>
      <w:r>
        <w:rPr>
          <w:color w:val="231F20"/>
          <w:spacing w:val="-11"/>
          <w:sz w:val="15"/>
        </w:rPr>
        <w:t xml:space="preserve"> </w:t>
      </w:r>
      <w:r>
        <w:rPr>
          <w:color w:val="231F20"/>
          <w:sz w:val="15"/>
        </w:rPr>
        <w:t>sboru</w:t>
      </w:r>
      <w:r>
        <w:rPr>
          <w:color w:val="231F20"/>
          <w:spacing w:val="-10"/>
          <w:sz w:val="15"/>
        </w:rPr>
        <w:t xml:space="preserve"> </w:t>
      </w:r>
      <w:r>
        <w:rPr>
          <w:color w:val="231F20"/>
          <w:spacing w:val="-4"/>
          <w:sz w:val="15"/>
        </w:rPr>
        <w:t xml:space="preserve">vznik </w:t>
      </w:r>
      <w:r>
        <w:rPr>
          <w:color w:val="231F20"/>
          <w:sz w:val="15"/>
        </w:rPr>
        <w:t xml:space="preserve">události, která nastala za okolností nasvědčujících spáchání </w:t>
      </w:r>
      <w:r>
        <w:rPr>
          <w:color w:val="231F20"/>
          <w:spacing w:val="-3"/>
          <w:sz w:val="15"/>
        </w:rPr>
        <w:t xml:space="preserve">trestného </w:t>
      </w:r>
      <w:r>
        <w:rPr>
          <w:color w:val="231F20"/>
          <w:sz w:val="15"/>
        </w:rPr>
        <w:t>činu nebo</w:t>
      </w:r>
      <w:r>
        <w:rPr>
          <w:color w:val="231F20"/>
          <w:spacing w:val="-1"/>
          <w:sz w:val="15"/>
        </w:rPr>
        <w:t xml:space="preserve"> </w:t>
      </w:r>
      <w:r>
        <w:rPr>
          <w:color w:val="231F20"/>
          <w:sz w:val="15"/>
        </w:rPr>
        <w:t>přestupku;</w:t>
      </w:r>
    </w:p>
    <w:p w14:paraId="20ABF5FF" w14:textId="77777777" w:rsidR="00F65BCA" w:rsidRDefault="00216117">
      <w:pPr>
        <w:pStyle w:val="Odstavecseseznamem"/>
        <w:numPr>
          <w:ilvl w:val="1"/>
          <w:numId w:val="4"/>
        </w:numPr>
        <w:tabs>
          <w:tab w:val="left" w:pos="1051"/>
        </w:tabs>
        <w:spacing w:line="278" w:lineRule="auto"/>
        <w:ind w:right="1"/>
        <w:jc w:val="both"/>
        <w:rPr>
          <w:sz w:val="15"/>
        </w:rPr>
      </w:pPr>
      <w:r>
        <w:rPr>
          <w:color w:val="231F20"/>
          <w:sz w:val="15"/>
        </w:rPr>
        <w:t>plnit</w:t>
      </w:r>
      <w:r>
        <w:rPr>
          <w:color w:val="231F20"/>
          <w:spacing w:val="-11"/>
          <w:sz w:val="15"/>
        </w:rPr>
        <w:t xml:space="preserve"> </w:t>
      </w:r>
      <w:r>
        <w:rPr>
          <w:color w:val="231F20"/>
          <w:sz w:val="15"/>
        </w:rPr>
        <w:t>oznamovací</w:t>
      </w:r>
      <w:r>
        <w:rPr>
          <w:color w:val="231F20"/>
          <w:spacing w:val="-10"/>
          <w:sz w:val="15"/>
        </w:rPr>
        <w:t xml:space="preserve"> </w:t>
      </w:r>
      <w:r>
        <w:rPr>
          <w:color w:val="231F20"/>
          <w:sz w:val="15"/>
        </w:rPr>
        <w:t>povinnosti</w:t>
      </w:r>
      <w:r>
        <w:rPr>
          <w:color w:val="231F20"/>
          <w:spacing w:val="-11"/>
          <w:sz w:val="15"/>
        </w:rPr>
        <w:t xml:space="preserve"> </w:t>
      </w:r>
      <w:r>
        <w:rPr>
          <w:color w:val="231F20"/>
          <w:sz w:val="15"/>
        </w:rPr>
        <w:t>uložené</w:t>
      </w:r>
      <w:r>
        <w:rPr>
          <w:color w:val="231F20"/>
          <w:spacing w:val="-10"/>
          <w:sz w:val="15"/>
        </w:rPr>
        <w:t xml:space="preserve"> </w:t>
      </w:r>
      <w:r>
        <w:rPr>
          <w:color w:val="231F20"/>
          <w:sz w:val="15"/>
        </w:rPr>
        <w:t>obecně</w:t>
      </w:r>
      <w:r>
        <w:rPr>
          <w:color w:val="231F20"/>
          <w:spacing w:val="-10"/>
          <w:sz w:val="15"/>
        </w:rPr>
        <w:t xml:space="preserve"> </w:t>
      </w:r>
      <w:r>
        <w:rPr>
          <w:color w:val="231F20"/>
          <w:sz w:val="15"/>
        </w:rPr>
        <w:t>závaznými</w:t>
      </w:r>
      <w:r>
        <w:rPr>
          <w:color w:val="231F20"/>
          <w:spacing w:val="-11"/>
          <w:sz w:val="15"/>
        </w:rPr>
        <w:t xml:space="preserve"> </w:t>
      </w:r>
      <w:r>
        <w:rPr>
          <w:color w:val="231F20"/>
          <w:sz w:val="15"/>
        </w:rPr>
        <w:t>právními</w:t>
      </w:r>
      <w:r>
        <w:rPr>
          <w:color w:val="231F20"/>
          <w:spacing w:val="-10"/>
          <w:sz w:val="15"/>
        </w:rPr>
        <w:t xml:space="preserve"> </w:t>
      </w:r>
      <w:r>
        <w:rPr>
          <w:color w:val="231F20"/>
          <w:sz w:val="15"/>
        </w:rPr>
        <w:t>před- pisy;</w:t>
      </w:r>
    </w:p>
    <w:p w14:paraId="0008E9FE" w14:textId="77777777" w:rsidR="00F65BCA" w:rsidRDefault="00216117">
      <w:pPr>
        <w:pStyle w:val="Odstavecseseznamem"/>
        <w:numPr>
          <w:ilvl w:val="1"/>
          <w:numId w:val="4"/>
        </w:numPr>
        <w:tabs>
          <w:tab w:val="left" w:pos="1051"/>
        </w:tabs>
        <w:spacing w:line="278" w:lineRule="auto"/>
        <w:ind w:right="1"/>
        <w:jc w:val="both"/>
        <w:rPr>
          <w:sz w:val="15"/>
        </w:rPr>
      </w:pPr>
      <w:r>
        <w:rPr>
          <w:color w:val="231F20"/>
          <w:sz w:val="15"/>
        </w:rPr>
        <w:t>postupovat</w:t>
      </w:r>
      <w:r>
        <w:rPr>
          <w:color w:val="231F20"/>
          <w:spacing w:val="-5"/>
          <w:sz w:val="15"/>
        </w:rPr>
        <w:t xml:space="preserve"> </w:t>
      </w:r>
      <w:r>
        <w:rPr>
          <w:color w:val="231F20"/>
          <w:sz w:val="15"/>
        </w:rPr>
        <w:t>tak,</w:t>
      </w:r>
      <w:r>
        <w:rPr>
          <w:color w:val="231F20"/>
          <w:spacing w:val="-4"/>
          <w:sz w:val="15"/>
        </w:rPr>
        <w:t xml:space="preserve"> </w:t>
      </w:r>
      <w:r>
        <w:rPr>
          <w:color w:val="231F20"/>
          <w:sz w:val="15"/>
        </w:rPr>
        <w:t>aby</w:t>
      </w:r>
      <w:r>
        <w:rPr>
          <w:color w:val="231F20"/>
          <w:spacing w:val="-5"/>
          <w:sz w:val="15"/>
        </w:rPr>
        <w:t xml:space="preserve"> </w:t>
      </w:r>
      <w:r>
        <w:rPr>
          <w:color w:val="231F20"/>
          <w:sz w:val="15"/>
        </w:rPr>
        <w:t>Pojišťovna</w:t>
      </w:r>
      <w:r>
        <w:rPr>
          <w:color w:val="231F20"/>
          <w:spacing w:val="-4"/>
          <w:sz w:val="15"/>
        </w:rPr>
        <w:t xml:space="preserve"> </w:t>
      </w:r>
      <w:r>
        <w:rPr>
          <w:color w:val="231F20"/>
          <w:sz w:val="15"/>
        </w:rPr>
        <w:t>mohla</w:t>
      </w:r>
      <w:r>
        <w:rPr>
          <w:color w:val="231F20"/>
          <w:spacing w:val="-4"/>
          <w:sz w:val="15"/>
        </w:rPr>
        <w:t xml:space="preserve"> </w:t>
      </w:r>
      <w:r>
        <w:rPr>
          <w:color w:val="231F20"/>
          <w:sz w:val="15"/>
        </w:rPr>
        <w:t>vůči</w:t>
      </w:r>
      <w:r>
        <w:rPr>
          <w:color w:val="231F20"/>
          <w:spacing w:val="-5"/>
          <w:sz w:val="15"/>
        </w:rPr>
        <w:t xml:space="preserve"> </w:t>
      </w:r>
      <w:r>
        <w:rPr>
          <w:color w:val="231F20"/>
          <w:sz w:val="15"/>
        </w:rPr>
        <w:t>jinému</w:t>
      </w:r>
      <w:r>
        <w:rPr>
          <w:color w:val="231F20"/>
          <w:spacing w:val="-4"/>
          <w:sz w:val="15"/>
        </w:rPr>
        <w:t xml:space="preserve"> </w:t>
      </w:r>
      <w:r>
        <w:rPr>
          <w:color w:val="231F20"/>
          <w:sz w:val="15"/>
        </w:rPr>
        <w:t>uplatnit</w:t>
      </w:r>
      <w:r>
        <w:rPr>
          <w:color w:val="231F20"/>
          <w:spacing w:val="-4"/>
          <w:sz w:val="15"/>
        </w:rPr>
        <w:t xml:space="preserve"> </w:t>
      </w:r>
      <w:r>
        <w:rPr>
          <w:color w:val="231F20"/>
          <w:sz w:val="15"/>
        </w:rPr>
        <w:t>právo</w:t>
      </w:r>
      <w:r>
        <w:rPr>
          <w:color w:val="231F20"/>
          <w:spacing w:val="-5"/>
          <w:sz w:val="15"/>
        </w:rPr>
        <w:t xml:space="preserve"> </w:t>
      </w:r>
      <w:r>
        <w:rPr>
          <w:color w:val="231F20"/>
          <w:sz w:val="15"/>
        </w:rPr>
        <w:t>na</w:t>
      </w:r>
      <w:r>
        <w:rPr>
          <w:color w:val="231F20"/>
          <w:spacing w:val="-4"/>
          <w:sz w:val="15"/>
        </w:rPr>
        <w:t xml:space="preserve"> </w:t>
      </w:r>
      <w:r>
        <w:rPr>
          <w:color w:val="231F20"/>
          <w:spacing w:val="-7"/>
          <w:sz w:val="15"/>
        </w:rPr>
        <w:t xml:space="preserve">ná- </w:t>
      </w:r>
      <w:r>
        <w:rPr>
          <w:color w:val="231F20"/>
          <w:sz w:val="15"/>
        </w:rPr>
        <w:t>hradu škody nebo jiné obdobné právo, které jí v souvislosti s</w:t>
      </w:r>
      <w:r>
        <w:rPr>
          <w:color w:val="231F20"/>
          <w:spacing w:val="-18"/>
          <w:sz w:val="15"/>
        </w:rPr>
        <w:t xml:space="preserve"> </w:t>
      </w:r>
      <w:r>
        <w:rPr>
          <w:color w:val="231F20"/>
          <w:sz w:val="15"/>
        </w:rPr>
        <w:t>pojistnou událostí</w:t>
      </w:r>
      <w:r>
        <w:rPr>
          <w:color w:val="231F20"/>
          <w:spacing w:val="-1"/>
          <w:sz w:val="15"/>
        </w:rPr>
        <w:t xml:space="preserve"> </w:t>
      </w:r>
      <w:r>
        <w:rPr>
          <w:color w:val="231F20"/>
          <w:sz w:val="15"/>
        </w:rPr>
        <w:t>vzniklo;</w:t>
      </w:r>
    </w:p>
    <w:p w14:paraId="71056B25" w14:textId="77777777" w:rsidR="00F65BCA" w:rsidRDefault="00216117">
      <w:pPr>
        <w:pStyle w:val="Odstavecseseznamem"/>
        <w:numPr>
          <w:ilvl w:val="1"/>
          <w:numId w:val="4"/>
        </w:numPr>
        <w:tabs>
          <w:tab w:val="left" w:pos="1051"/>
        </w:tabs>
        <w:spacing w:line="278" w:lineRule="auto"/>
        <w:ind w:right="1"/>
        <w:jc w:val="both"/>
        <w:rPr>
          <w:sz w:val="15"/>
        </w:rPr>
      </w:pPr>
      <w:r>
        <w:rPr>
          <w:color w:val="231F20"/>
          <w:sz w:val="15"/>
        </w:rPr>
        <w:t>při</w:t>
      </w:r>
      <w:r>
        <w:rPr>
          <w:color w:val="231F20"/>
          <w:spacing w:val="-10"/>
          <w:sz w:val="15"/>
        </w:rPr>
        <w:t xml:space="preserve"> </w:t>
      </w:r>
      <w:r>
        <w:rPr>
          <w:color w:val="231F20"/>
          <w:sz w:val="15"/>
        </w:rPr>
        <w:t>dopravní</w:t>
      </w:r>
      <w:r>
        <w:rPr>
          <w:color w:val="231F20"/>
          <w:spacing w:val="-10"/>
          <w:sz w:val="15"/>
        </w:rPr>
        <w:t xml:space="preserve"> </w:t>
      </w:r>
      <w:r>
        <w:rPr>
          <w:color w:val="231F20"/>
          <w:sz w:val="15"/>
        </w:rPr>
        <w:t>nehodě,</w:t>
      </w:r>
      <w:r>
        <w:rPr>
          <w:color w:val="231F20"/>
          <w:spacing w:val="-10"/>
          <w:sz w:val="15"/>
        </w:rPr>
        <w:t xml:space="preserve"> </w:t>
      </w:r>
      <w:r>
        <w:rPr>
          <w:color w:val="231F20"/>
          <w:sz w:val="15"/>
        </w:rPr>
        <w:t>která</w:t>
      </w:r>
      <w:r>
        <w:rPr>
          <w:color w:val="231F20"/>
          <w:spacing w:val="-10"/>
          <w:sz w:val="15"/>
        </w:rPr>
        <w:t xml:space="preserve"> </w:t>
      </w:r>
      <w:r>
        <w:rPr>
          <w:color w:val="231F20"/>
          <w:sz w:val="15"/>
        </w:rPr>
        <w:t>podle</w:t>
      </w:r>
      <w:r>
        <w:rPr>
          <w:color w:val="231F20"/>
          <w:spacing w:val="-10"/>
          <w:sz w:val="15"/>
        </w:rPr>
        <w:t xml:space="preserve"> </w:t>
      </w:r>
      <w:r>
        <w:rPr>
          <w:color w:val="231F20"/>
          <w:sz w:val="15"/>
        </w:rPr>
        <w:t>právních</w:t>
      </w:r>
      <w:r>
        <w:rPr>
          <w:color w:val="231F20"/>
          <w:spacing w:val="-10"/>
          <w:sz w:val="15"/>
        </w:rPr>
        <w:t xml:space="preserve"> </w:t>
      </w:r>
      <w:r>
        <w:rPr>
          <w:color w:val="231F20"/>
          <w:sz w:val="15"/>
        </w:rPr>
        <w:t>předpisů</w:t>
      </w:r>
      <w:r>
        <w:rPr>
          <w:color w:val="231F20"/>
          <w:spacing w:val="-10"/>
          <w:sz w:val="15"/>
        </w:rPr>
        <w:t xml:space="preserve"> </w:t>
      </w:r>
      <w:r>
        <w:rPr>
          <w:color w:val="231F20"/>
          <w:sz w:val="15"/>
        </w:rPr>
        <w:t>upravujících</w:t>
      </w:r>
      <w:r>
        <w:rPr>
          <w:color w:val="231F20"/>
          <w:spacing w:val="-10"/>
          <w:sz w:val="15"/>
        </w:rPr>
        <w:t xml:space="preserve"> </w:t>
      </w:r>
      <w:r>
        <w:rPr>
          <w:color w:val="231F20"/>
          <w:spacing w:val="-3"/>
          <w:sz w:val="15"/>
        </w:rPr>
        <w:t xml:space="preserve">provoz </w:t>
      </w:r>
      <w:r>
        <w:rPr>
          <w:color w:val="231F20"/>
          <w:sz w:val="15"/>
        </w:rPr>
        <w:t>na</w:t>
      </w:r>
      <w:r>
        <w:rPr>
          <w:color w:val="231F20"/>
          <w:spacing w:val="-17"/>
          <w:sz w:val="15"/>
        </w:rPr>
        <w:t xml:space="preserve"> </w:t>
      </w:r>
      <w:r>
        <w:rPr>
          <w:color w:val="231F20"/>
          <w:sz w:val="15"/>
        </w:rPr>
        <w:t>pozemních</w:t>
      </w:r>
      <w:r>
        <w:rPr>
          <w:color w:val="231F20"/>
          <w:spacing w:val="-16"/>
          <w:sz w:val="15"/>
        </w:rPr>
        <w:t xml:space="preserve"> </w:t>
      </w:r>
      <w:r>
        <w:rPr>
          <w:color w:val="231F20"/>
          <w:sz w:val="15"/>
        </w:rPr>
        <w:t>komunikacích</w:t>
      </w:r>
      <w:r>
        <w:rPr>
          <w:color w:val="231F20"/>
          <w:spacing w:val="-16"/>
          <w:sz w:val="15"/>
        </w:rPr>
        <w:t xml:space="preserve"> </w:t>
      </w:r>
      <w:r>
        <w:rPr>
          <w:color w:val="231F20"/>
          <w:sz w:val="15"/>
        </w:rPr>
        <w:t>nepodléhá</w:t>
      </w:r>
      <w:r>
        <w:rPr>
          <w:color w:val="231F20"/>
          <w:spacing w:val="-16"/>
          <w:sz w:val="15"/>
        </w:rPr>
        <w:t xml:space="preserve"> </w:t>
      </w:r>
      <w:r>
        <w:rPr>
          <w:color w:val="231F20"/>
          <w:sz w:val="15"/>
        </w:rPr>
        <w:t>povinnosti</w:t>
      </w:r>
      <w:r>
        <w:rPr>
          <w:color w:val="231F20"/>
          <w:spacing w:val="-16"/>
          <w:sz w:val="15"/>
        </w:rPr>
        <w:t xml:space="preserve"> </w:t>
      </w:r>
      <w:r>
        <w:rPr>
          <w:color w:val="231F20"/>
          <w:sz w:val="15"/>
        </w:rPr>
        <w:t>oznámení</w:t>
      </w:r>
      <w:r>
        <w:rPr>
          <w:color w:val="231F20"/>
          <w:spacing w:val="-16"/>
          <w:sz w:val="15"/>
        </w:rPr>
        <w:t xml:space="preserve"> </w:t>
      </w:r>
      <w:r>
        <w:rPr>
          <w:color w:val="231F20"/>
          <w:sz w:val="15"/>
        </w:rPr>
        <w:t>policii,</w:t>
      </w:r>
      <w:r>
        <w:rPr>
          <w:color w:val="231F20"/>
          <w:spacing w:val="-16"/>
          <w:sz w:val="15"/>
        </w:rPr>
        <w:t xml:space="preserve"> </w:t>
      </w:r>
      <w:r>
        <w:rPr>
          <w:color w:val="231F20"/>
          <w:spacing w:val="-6"/>
          <w:sz w:val="15"/>
        </w:rPr>
        <w:t xml:space="preserve">se- </w:t>
      </w:r>
      <w:r>
        <w:rPr>
          <w:color w:val="231F20"/>
          <w:sz w:val="15"/>
        </w:rPr>
        <w:t>psat</w:t>
      </w:r>
      <w:r>
        <w:rPr>
          <w:color w:val="231F20"/>
          <w:spacing w:val="-23"/>
          <w:sz w:val="15"/>
        </w:rPr>
        <w:t xml:space="preserve"> </w:t>
      </w:r>
      <w:r>
        <w:rPr>
          <w:color w:val="231F20"/>
          <w:sz w:val="15"/>
        </w:rPr>
        <w:t>společný</w:t>
      </w:r>
      <w:r>
        <w:rPr>
          <w:color w:val="231F20"/>
          <w:spacing w:val="-22"/>
          <w:sz w:val="15"/>
        </w:rPr>
        <w:t xml:space="preserve"> </w:t>
      </w:r>
      <w:r>
        <w:rPr>
          <w:color w:val="231F20"/>
          <w:sz w:val="15"/>
        </w:rPr>
        <w:t>záznam</w:t>
      </w:r>
      <w:r>
        <w:rPr>
          <w:color w:val="231F20"/>
          <w:spacing w:val="-22"/>
          <w:sz w:val="15"/>
        </w:rPr>
        <w:t xml:space="preserve"> </w:t>
      </w:r>
      <w:r>
        <w:rPr>
          <w:color w:val="231F20"/>
          <w:sz w:val="15"/>
        </w:rPr>
        <w:t>o</w:t>
      </w:r>
      <w:r>
        <w:rPr>
          <w:color w:val="231F20"/>
          <w:spacing w:val="-23"/>
          <w:sz w:val="15"/>
        </w:rPr>
        <w:t xml:space="preserve"> </w:t>
      </w:r>
      <w:r>
        <w:rPr>
          <w:color w:val="231F20"/>
          <w:sz w:val="15"/>
        </w:rPr>
        <w:t>dopravní</w:t>
      </w:r>
      <w:r>
        <w:rPr>
          <w:color w:val="231F20"/>
          <w:spacing w:val="-22"/>
          <w:sz w:val="15"/>
        </w:rPr>
        <w:t xml:space="preserve"> </w:t>
      </w:r>
      <w:r>
        <w:rPr>
          <w:color w:val="231F20"/>
          <w:sz w:val="15"/>
        </w:rPr>
        <w:t>nehodě,</w:t>
      </w:r>
      <w:r>
        <w:rPr>
          <w:color w:val="231F20"/>
          <w:spacing w:val="-22"/>
          <w:sz w:val="15"/>
        </w:rPr>
        <w:t xml:space="preserve"> </w:t>
      </w:r>
      <w:r>
        <w:rPr>
          <w:color w:val="231F20"/>
          <w:sz w:val="15"/>
        </w:rPr>
        <w:t>bude-li</w:t>
      </w:r>
      <w:r>
        <w:rPr>
          <w:color w:val="231F20"/>
          <w:spacing w:val="-22"/>
          <w:sz w:val="15"/>
        </w:rPr>
        <w:t xml:space="preserve"> </w:t>
      </w:r>
      <w:r>
        <w:rPr>
          <w:color w:val="231F20"/>
          <w:sz w:val="15"/>
        </w:rPr>
        <w:t>to</w:t>
      </w:r>
      <w:r>
        <w:rPr>
          <w:color w:val="231F20"/>
          <w:spacing w:val="-23"/>
          <w:sz w:val="15"/>
        </w:rPr>
        <w:t xml:space="preserve"> </w:t>
      </w:r>
      <w:r>
        <w:rPr>
          <w:color w:val="231F20"/>
          <w:sz w:val="15"/>
        </w:rPr>
        <w:t>možné</w:t>
      </w:r>
      <w:r>
        <w:rPr>
          <w:color w:val="231F20"/>
          <w:spacing w:val="-22"/>
          <w:sz w:val="15"/>
        </w:rPr>
        <w:t xml:space="preserve"> </w:t>
      </w:r>
      <w:r>
        <w:rPr>
          <w:color w:val="231F20"/>
          <w:sz w:val="15"/>
        </w:rPr>
        <w:t>s</w:t>
      </w:r>
      <w:r>
        <w:rPr>
          <w:color w:val="231F20"/>
          <w:spacing w:val="-22"/>
          <w:sz w:val="15"/>
        </w:rPr>
        <w:t xml:space="preserve"> </w:t>
      </w:r>
      <w:r>
        <w:rPr>
          <w:color w:val="231F20"/>
          <w:sz w:val="15"/>
        </w:rPr>
        <w:t>označením viníka</w:t>
      </w:r>
      <w:r>
        <w:rPr>
          <w:color w:val="231F20"/>
          <w:spacing w:val="-11"/>
          <w:sz w:val="15"/>
        </w:rPr>
        <w:t xml:space="preserve"> </w:t>
      </w:r>
      <w:r>
        <w:rPr>
          <w:color w:val="231F20"/>
          <w:sz w:val="15"/>
        </w:rPr>
        <w:t>dopravní</w:t>
      </w:r>
      <w:r>
        <w:rPr>
          <w:color w:val="231F20"/>
          <w:spacing w:val="-11"/>
          <w:sz w:val="15"/>
        </w:rPr>
        <w:t xml:space="preserve"> </w:t>
      </w:r>
      <w:r>
        <w:rPr>
          <w:color w:val="231F20"/>
          <w:sz w:val="15"/>
        </w:rPr>
        <w:t>nehody,</w:t>
      </w:r>
      <w:r>
        <w:rPr>
          <w:color w:val="231F20"/>
          <w:spacing w:val="-11"/>
          <w:sz w:val="15"/>
        </w:rPr>
        <w:t xml:space="preserve"> </w:t>
      </w:r>
      <w:r>
        <w:rPr>
          <w:color w:val="231F20"/>
          <w:sz w:val="15"/>
        </w:rPr>
        <w:t>a</w:t>
      </w:r>
      <w:r>
        <w:rPr>
          <w:color w:val="231F20"/>
          <w:spacing w:val="-11"/>
          <w:sz w:val="15"/>
        </w:rPr>
        <w:t xml:space="preserve"> </w:t>
      </w:r>
      <w:r>
        <w:rPr>
          <w:color w:val="231F20"/>
          <w:sz w:val="15"/>
        </w:rPr>
        <w:t>bez</w:t>
      </w:r>
      <w:r>
        <w:rPr>
          <w:color w:val="231F20"/>
          <w:spacing w:val="-11"/>
          <w:sz w:val="15"/>
        </w:rPr>
        <w:t xml:space="preserve"> </w:t>
      </w:r>
      <w:r>
        <w:rPr>
          <w:color w:val="231F20"/>
          <w:sz w:val="15"/>
        </w:rPr>
        <w:t>zbytečného</w:t>
      </w:r>
      <w:r>
        <w:rPr>
          <w:color w:val="231F20"/>
          <w:spacing w:val="-11"/>
          <w:sz w:val="15"/>
        </w:rPr>
        <w:t xml:space="preserve"> </w:t>
      </w:r>
      <w:r>
        <w:rPr>
          <w:color w:val="231F20"/>
          <w:sz w:val="15"/>
        </w:rPr>
        <w:t>odkladu</w:t>
      </w:r>
      <w:r>
        <w:rPr>
          <w:color w:val="231F20"/>
          <w:spacing w:val="-10"/>
          <w:sz w:val="15"/>
        </w:rPr>
        <w:t xml:space="preserve"> </w:t>
      </w:r>
      <w:r>
        <w:rPr>
          <w:color w:val="231F20"/>
          <w:sz w:val="15"/>
        </w:rPr>
        <w:t>ho</w:t>
      </w:r>
      <w:r>
        <w:rPr>
          <w:color w:val="231F20"/>
          <w:spacing w:val="-11"/>
          <w:sz w:val="15"/>
        </w:rPr>
        <w:t xml:space="preserve"> </w:t>
      </w:r>
      <w:r>
        <w:rPr>
          <w:color w:val="231F20"/>
          <w:sz w:val="15"/>
        </w:rPr>
        <w:t>vyplněný</w:t>
      </w:r>
      <w:r>
        <w:rPr>
          <w:color w:val="231F20"/>
          <w:spacing w:val="-11"/>
          <w:sz w:val="15"/>
        </w:rPr>
        <w:t xml:space="preserve"> </w:t>
      </w:r>
      <w:r>
        <w:rPr>
          <w:color w:val="231F20"/>
          <w:sz w:val="15"/>
        </w:rPr>
        <w:t>a</w:t>
      </w:r>
      <w:r>
        <w:rPr>
          <w:color w:val="231F20"/>
          <w:spacing w:val="-11"/>
          <w:sz w:val="15"/>
        </w:rPr>
        <w:t xml:space="preserve"> </w:t>
      </w:r>
      <w:r>
        <w:rPr>
          <w:color w:val="231F20"/>
          <w:spacing w:val="-5"/>
          <w:sz w:val="15"/>
        </w:rPr>
        <w:t xml:space="preserve">pode- </w:t>
      </w:r>
      <w:r>
        <w:rPr>
          <w:color w:val="231F20"/>
          <w:sz w:val="15"/>
        </w:rPr>
        <w:t>psaný předložit</w:t>
      </w:r>
      <w:r>
        <w:rPr>
          <w:color w:val="231F20"/>
          <w:spacing w:val="-3"/>
          <w:sz w:val="15"/>
        </w:rPr>
        <w:t xml:space="preserve"> </w:t>
      </w:r>
      <w:r>
        <w:rPr>
          <w:color w:val="231F20"/>
          <w:sz w:val="15"/>
        </w:rPr>
        <w:t>Pojišťovně;</w:t>
      </w:r>
    </w:p>
    <w:p w14:paraId="77EC5B48" w14:textId="77777777" w:rsidR="00F65BCA" w:rsidRDefault="00216117">
      <w:pPr>
        <w:pStyle w:val="Odstavecseseznamem"/>
        <w:numPr>
          <w:ilvl w:val="1"/>
          <w:numId w:val="4"/>
        </w:numPr>
        <w:tabs>
          <w:tab w:val="left" w:pos="1051"/>
        </w:tabs>
        <w:spacing w:line="172" w:lineRule="exact"/>
        <w:jc w:val="both"/>
        <w:rPr>
          <w:sz w:val="15"/>
        </w:rPr>
      </w:pPr>
      <w:r>
        <w:rPr>
          <w:color w:val="231F20"/>
          <w:sz w:val="15"/>
        </w:rPr>
        <w:t>Pojišťovně bez zbytečného odkladu</w:t>
      </w:r>
      <w:r>
        <w:rPr>
          <w:color w:val="231F20"/>
          <w:spacing w:val="-9"/>
          <w:sz w:val="15"/>
        </w:rPr>
        <w:t xml:space="preserve"> </w:t>
      </w:r>
      <w:r>
        <w:rPr>
          <w:color w:val="231F20"/>
          <w:sz w:val="15"/>
        </w:rPr>
        <w:t>oznámit:</w:t>
      </w:r>
    </w:p>
    <w:p w14:paraId="4176D5E9" w14:textId="77777777" w:rsidR="00F65BCA" w:rsidRDefault="00216117">
      <w:pPr>
        <w:pStyle w:val="Odstavecseseznamem"/>
        <w:numPr>
          <w:ilvl w:val="2"/>
          <w:numId w:val="4"/>
        </w:numPr>
        <w:tabs>
          <w:tab w:val="left" w:pos="1164"/>
        </w:tabs>
        <w:spacing w:before="26" w:line="278" w:lineRule="auto"/>
        <w:ind w:right="1"/>
        <w:jc w:val="both"/>
        <w:rPr>
          <w:sz w:val="15"/>
        </w:rPr>
      </w:pPr>
      <w:r>
        <w:rPr>
          <w:color w:val="231F20"/>
          <w:sz w:val="15"/>
        </w:rPr>
        <w:t>že proti němu bylo uplatněno právo na náhradu škody či jiné újmy   a vyjádřit se k požadované náhradě a její</w:t>
      </w:r>
      <w:r>
        <w:rPr>
          <w:color w:val="231F20"/>
          <w:spacing w:val="-25"/>
          <w:sz w:val="15"/>
        </w:rPr>
        <w:t xml:space="preserve"> </w:t>
      </w:r>
      <w:r>
        <w:rPr>
          <w:color w:val="231F20"/>
          <w:sz w:val="15"/>
        </w:rPr>
        <w:t>výši,</w:t>
      </w:r>
    </w:p>
    <w:p w14:paraId="06F9361F" w14:textId="77777777" w:rsidR="00F65BCA" w:rsidRDefault="00216117">
      <w:pPr>
        <w:pStyle w:val="Odstavecseseznamem"/>
        <w:numPr>
          <w:ilvl w:val="2"/>
          <w:numId w:val="4"/>
        </w:numPr>
        <w:tabs>
          <w:tab w:val="left" w:pos="1164"/>
        </w:tabs>
        <w:spacing w:line="278" w:lineRule="auto"/>
        <w:ind w:right="1"/>
        <w:jc w:val="both"/>
        <w:rPr>
          <w:sz w:val="15"/>
        </w:rPr>
      </w:pPr>
      <w:r>
        <w:rPr>
          <w:color w:val="231F20"/>
          <w:sz w:val="15"/>
        </w:rPr>
        <w:t>že</w:t>
      </w:r>
      <w:r>
        <w:rPr>
          <w:color w:val="231F20"/>
          <w:spacing w:val="-12"/>
          <w:sz w:val="15"/>
        </w:rPr>
        <w:t xml:space="preserve"> </w:t>
      </w:r>
      <w:r>
        <w:rPr>
          <w:color w:val="231F20"/>
          <w:sz w:val="15"/>
        </w:rPr>
        <w:t>v</w:t>
      </w:r>
      <w:r>
        <w:rPr>
          <w:color w:val="231F20"/>
          <w:spacing w:val="-12"/>
          <w:sz w:val="15"/>
        </w:rPr>
        <w:t xml:space="preserve"> </w:t>
      </w:r>
      <w:r>
        <w:rPr>
          <w:color w:val="231F20"/>
          <w:sz w:val="15"/>
        </w:rPr>
        <w:t>souvislosti</w:t>
      </w:r>
      <w:r>
        <w:rPr>
          <w:color w:val="231F20"/>
          <w:spacing w:val="-11"/>
          <w:sz w:val="15"/>
        </w:rPr>
        <w:t xml:space="preserve"> </w:t>
      </w:r>
      <w:r>
        <w:rPr>
          <w:color w:val="231F20"/>
          <w:sz w:val="15"/>
        </w:rPr>
        <w:t>s</w:t>
      </w:r>
      <w:r>
        <w:rPr>
          <w:color w:val="231F20"/>
          <w:spacing w:val="-12"/>
          <w:sz w:val="15"/>
        </w:rPr>
        <w:t xml:space="preserve"> </w:t>
      </w:r>
      <w:r>
        <w:rPr>
          <w:color w:val="231F20"/>
          <w:sz w:val="15"/>
        </w:rPr>
        <w:t>pojistnou</w:t>
      </w:r>
      <w:r>
        <w:rPr>
          <w:color w:val="231F20"/>
          <w:spacing w:val="-12"/>
          <w:sz w:val="15"/>
        </w:rPr>
        <w:t xml:space="preserve"> </w:t>
      </w:r>
      <w:r>
        <w:rPr>
          <w:color w:val="231F20"/>
          <w:sz w:val="15"/>
        </w:rPr>
        <w:t>událostí</w:t>
      </w:r>
      <w:r>
        <w:rPr>
          <w:color w:val="231F20"/>
          <w:spacing w:val="-11"/>
          <w:sz w:val="15"/>
        </w:rPr>
        <w:t xml:space="preserve"> </w:t>
      </w:r>
      <w:r>
        <w:rPr>
          <w:color w:val="231F20"/>
          <w:sz w:val="15"/>
        </w:rPr>
        <w:t>bylo</w:t>
      </w:r>
      <w:r>
        <w:rPr>
          <w:color w:val="231F20"/>
          <w:spacing w:val="-12"/>
          <w:sz w:val="15"/>
        </w:rPr>
        <w:t xml:space="preserve"> </w:t>
      </w:r>
      <w:r>
        <w:rPr>
          <w:color w:val="231F20"/>
          <w:sz w:val="15"/>
        </w:rPr>
        <w:t>zahájeno</w:t>
      </w:r>
      <w:r>
        <w:rPr>
          <w:color w:val="231F20"/>
          <w:spacing w:val="-11"/>
          <w:sz w:val="15"/>
        </w:rPr>
        <w:t xml:space="preserve"> </w:t>
      </w:r>
      <w:r>
        <w:rPr>
          <w:color w:val="231F20"/>
          <w:sz w:val="15"/>
        </w:rPr>
        <w:t>správní</w:t>
      </w:r>
      <w:r>
        <w:rPr>
          <w:color w:val="231F20"/>
          <w:spacing w:val="-12"/>
          <w:sz w:val="15"/>
        </w:rPr>
        <w:t xml:space="preserve"> </w:t>
      </w:r>
      <w:r>
        <w:rPr>
          <w:color w:val="231F20"/>
          <w:sz w:val="15"/>
        </w:rPr>
        <w:t>nebo</w:t>
      </w:r>
      <w:r>
        <w:rPr>
          <w:color w:val="231F20"/>
          <w:spacing w:val="-12"/>
          <w:sz w:val="15"/>
        </w:rPr>
        <w:t xml:space="preserve"> </w:t>
      </w:r>
      <w:r>
        <w:rPr>
          <w:color w:val="231F20"/>
          <w:spacing w:val="-4"/>
          <w:sz w:val="15"/>
        </w:rPr>
        <w:t xml:space="preserve">trestní </w:t>
      </w:r>
      <w:r>
        <w:rPr>
          <w:color w:val="231F20"/>
          <w:sz w:val="15"/>
        </w:rPr>
        <w:t>řízení</w:t>
      </w:r>
      <w:r>
        <w:rPr>
          <w:color w:val="231F20"/>
          <w:spacing w:val="-17"/>
          <w:sz w:val="15"/>
        </w:rPr>
        <w:t xml:space="preserve"> </w:t>
      </w:r>
      <w:r>
        <w:rPr>
          <w:color w:val="231F20"/>
          <w:sz w:val="15"/>
        </w:rPr>
        <w:t>a</w:t>
      </w:r>
      <w:r>
        <w:rPr>
          <w:color w:val="231F20"/>
          <w:spacing w:val="-17"/>
          <w:sz w:val="15"/>
        </w:rPr>
        <w:t xml:space="preserve"> </w:t>
      </w:r>
      <w:r>
        <w:rPr>
          <w:color w:val="231F20"/>
          <w:sz w:val="15"/>
        </w:rPr>
        <w:t>neprodleně</w:t>
      </w:r>
      <w:r>
        <w:rPr>
          <w:color w:val="231F20"/>
          <w:spacing w:val="-16"/>
          <w:sz w:val="15"/>
        </w:rPr>
        <w:t xml:space="preserve"> </w:t>
      </w:r>
      <w:r>
        <w:rPr>
          <w:color w:val="231F20"/>
          <w:sz w:val="15"/>
        </w:rPr>
        <w:t>informovat</w:t>
      </w:r>
      <w:r>
        <w:rPr>
          <w:color w:val="231F20"/>
          <w:spacing w:val="-17"/>
          <w:sz w:val="15"/>
        </w:rPr>
        <w:t xml:space="preserve"> </w:t>
      </w:r>
      <w:r>
        <w:rPr>
          <w:color w:val="231F20"/>
          <w:sz w:val="15"/>
        </w:rPr>
        <w:t>Pojišťovnu</w:t>
      </w:r>
      <w:r>
        <w:rPr>
          <w:color w:val="231F20"/>
          <w:spacing w:val="-16"/>
          <w:sz w:val="15"/>
        </w:rPr>
        <w:t xml:space="preserve"> </w:t>
      </w:r>
      <w:r>
        <w:rPr>
          <w:color w:val="231F20"/>
          <w:sz w:val="15"/>
        </w:rPr>
        <w:t>o</w:t>
      </w:r>
      <w:r>
        <w:rPr>
          <w:color w:val="231F20"/>
          <w:spacing w:val="-17"/>
          <w:sz w:val="15"/>
        </w:rPr>
        <w:t xml:space="preserve"> </w:t>
      </w:r>
      <w:r>
        <w:rPr>
          <w:color w:val="231F20"/>
          <w:sz w:val="15"/>
        </w:rPr>
        <w:t>jeho</w:t>
      </w:r>
      <w:r>
        <w:rPr>
          <w:color w:val="231F20"/>
          <w:spacing w:val="-17"/>
          <w:sz w:val="15"/>
        </w:rPr>
        <w:t xml:space="preserve"> </w:t>
      </w:r>
      <w:r>
        <w:rPr>
          <w:color w:val="231F20"/>
          <w:sz w:val="15"/>
        </w:rPr>
        <w:t>průběhu</w:t>
      </w:r>
      <w:r>
        <w:rPr>
          <w:color w:val="231F20"/>
          <w:spacing w:val="-16"/>
          <w:sz w:val="15"/>
        </w:rPr>
        <w:t xml:space="preserve"> </w:t>
      </w:r>
      <w:r>
        <w:rPr>
          <w:color w:val="231F20"/>
          <w:sz w:val="15"/>
        </w:rPr>
        <w:t>a</w:t>
      </w:r>
      <w:r>
        <w:rPr>
          <w:color w:val="231F20"/>
          <w:spacing w:val="-17"/>
          <w:sz w:val="15"/>
        </w:rPr>
        <w:t xml:space="preserve"> </w:t>
      </w:r>
      <w:r>
        <w:rPr>
          <w:color w:val="231F20"/>
          <w:sz w:val="15"/>
        </w:rPr>
        <w:t>výsledku,</w:t>
      </w:r>
    </w:p>
    <w:p w14:paraId="219DFB03" w14:textId="77777777" w:rsidR="00F65BCA" w:rsidRDefault="00216117">
      <w:pPr>
        <w:pStyle w:val="Odstavecseseznamem"/>
        <w:numPr>
          <w:ilvl w:val="2"/>
          <w:numId w:val="4"/>
        </w:numPr>
        <w:tabs>
          <w:tab w:val="left" w:pos="1164"/>
        </w:tabs>
        <w:spacing w:line="278" w:lineRule="auto"/>
        <w:jc w:val="both"/>
        <w:rPr>
          <w:sz w:val="15"/>
        </w:rPr>
      </w:pPr>
      <w:r>
        <w:rPr>
          <w:color w:val="231F20"/>
          <w:sz w:val="15"/>
        </w:rPr>
        <w:t>že</w:t>
      </w:r>
      <w:r>
        <w:rPr>
          <w:color w:val="231F20"/>
          <w:spacing w:val="-11"/>
          <w:sz w:val="15"/>
        </w:rPr>
        <w:t xml:space="preserve"> </w:t>
      </w:r>
      <w:r>
        <w:rPr>
          <w:color w:val="231F20"/>
          <w:sz w:val="15"/>
        </w:rPr>
        <w:t>proti</w:t>
      </w:r>
      <w:r>
        <w:rPr>
          <w:color w:val="231F20"/>
          <w:spacing w:val="-10"/>
          <w:sz w:val="15"/>
        </w:rPr>
        <w:t xml:space="preserve"> </w:t>
      </w:r>
      <w:r>
        <w:rPr>
          <w:color w:val="231F20"/>
          <w:sz w:val="15"/>
        </w:rPr>
        <w:t>němu</w:t>
      </w:r>
      <w:r>
        <w:rPr>
          <w:color w:val="231F20"/>
          <w:spacing w:val="-11"/>
          <w:sz w:val="15"/>
        </w:rPr>
        <w:t xml:space="preserve"> </w:t>
      </w:r>
      <w:r>
        <w:rPr>
          <w:color w:val="231F20"/>
          <w:sz w:val="15"/>
        </w:rPr>
        <w:t>byl</w:t>
      </w:r>
      <w:r>
        <w:rPr>
          <w:color w:val="231F20"/>
          <w:spacing w:val="-10"/>
          <w:sz w:val="15"/>
        </w:rPr>
        <w:t xml:space="preserve"> </w:t>
      </w:r>
      <w:r>
        <w:rPr>
          <w:color w:val="231F20"/>
          <w:sz w:val="15"/>
        </w:rPr>
        <w:t>uplatněn</w:t>
      </w:r>
      <w:r>
        <w:rPr>
          <w:color w:val="231F20"/>
          <w:spacing w:val="-11"/>
          <w:sz w:val="15"/>
        </w:rPr>
        <w:t xml:space="preserve"> </w:t>
      </w:r>
      <w:r>
        <w:rPr>
          <w:color w:val="231F20"/>
          <w:sz w:val="15"/>
        </w:rPr>
        <w:t>nárok</w:t>
      </w:r>
      <w:r>
        <w:rPr>
          <w:color w:val="231F20"/>
          <w:spacing w:val="-10"/>
          <w:sz w:val="15"/>
        </w:rPr>
        <w:t xml:space="preserve"> </w:t>
      </w:r>
      <w:r>
        <w:rPr>
          <w:color w:val="231F20"/>
          <w:sz w:val="15"/>
        </w:rPr>
        <w:t>na</w:t>
      </w:r>
      <w:r>
        <w:rPr>
          <w:color w:val="231F20"/>
          <w:spacing w:val="-11"/>
          <w:sz w:val="15"/>
        </w:rPr>
        <w:t xml:space="preserve"> </w:t>
      </w:r>
      <w:r>
        <w:rPr>
          <w:color w:val="231F20"/>
          <w:sz w:val="15"/>
        </w:rPr>
        <w:t>náhradu</w:t>
      </w:r>
      <w:r>
        <w:rPr>
          <w:color w:val="231F20"/>
          <w:spacing w:val="-10"/>
          <w:sz w:val="15"/>
        </w:rPr>
        <w:t xml:space="preserve"> </w:t>
      </w:r>
      <w:r>
        <w:rPr>
          <w:color w:val="231F20"/>
          <w:sz w:val="15"/>
        </w:rPr>
        <w:t>škody</w:t>
      </w:r>
      <w:r>
        <w:rPr>
          <w:color w:val="231F20"/>
          <w:spacing w:val="-11"/>
          <w:sz w:val="15"/>
        </w:rPr>
        <w:t xml:space="preserve"> </w:t>
      </w:r>
      <w:r>
        <w:rPr>
          <w:color w:val="231F20"/>
          <w:sz w:val="15"/>
        </w:rPr>
        <w:t>či</w:t>
      </w:r>
      <w:r>
        <w:rPr>
          <w:color w:val="231F20"/>
          <w:spacing w:val="-10"/>
          <w:sz w:val="15"/>
        </w:rPr>
        <w:t xml:space="preserve"> </w:t>
      </w:r>
      <w:r>
        <w:rPr>
          <w:color w:val="231F20"/>
          <w:sz w:val="15"/>
        </w:rPr>
        <w:t>jiné</w:t>
      </w:r>
      <w:r>
        <w:rPr>
          <w:color w:val="231F20"/>
          <w:spacing w:val="-11"/>
          <w:sz w:val="15"/>
        </w:rPr>
        <w:t xml:space="preserve"> </w:t>
      </w:r>
      <w:r>
        <w:rPr>
          <w:color w:val="231F20"/>
          <w:sz w:val="15"/>
        </w:rPr>
        <w:t>újmy</w:t>
      </w:r>
      <w:r>
        <w:rPr>
          <w:color w:val="231F20"/>
          <w:spacing w:val="-10"/>
          <w:sz w:val="15"/>
        </w:rPr>
        <w:t xml:space="preserve"> </w:t>
      </w:r>
      <w:r>
        <w:rPr>
          <w:color w:val="231F20"/>
          <w:sz w:val="15"/>
        </w:rPr>
        <w:t>u</w:t>
      </w:r>
      <w:r>
        <w:rPr>
          <w:color w:val="231F20"/>
          <w:spacing w:val="-11"/>
          <w:sz w:val="15"/>
        </w:rPr>
        <w:t xml:space="preserve"> </w:t>
      </w:r>
      <w:r>
        <w:rPr>
          <w:color w:val="231F20"/>
          <w:sz w:val="15"/>
        </w:rPr>
        <w:t>sou- du nebo u jiného orgánu a v řízení postupovat v souladu s pokyny Pojišťovny;</w:t>
      </w:r>
    </w:p>
    <w:p w14:paraId="44B35AF6" w14:textId="77777777" w:rsidR="00F65BCA" w:rsidRDefault="00216117">
      <w:pPr>
        <w:pStyle w:val="Odstavecseseznamem"/>
        <w:numPr>
          <w:ilvl w:val="1"/>
          <w:numId w:val="4"/>
        </w:numPr>
        <w:tabs>
          <w:tab w:val="left" w:pos="1051"/>
        </w:tabs>
        <w:spacing w:line="278" w:lineRule="auto"/>
        <w:jc w:val="both"/>
        <w:rPr>
          <w:sz w:val="15"/>
        </w:rPr>
      </w:pPr>
      <w:r>
        <w:rPr>
          <w:color w:val="231F20"/>
          <w:sz w:val="15"/>
        </w:rPr>
        <w:t>na</w:t>
      </w:r>
      <w:r>
        <w:rPr>
          <w:color w:val="231F20"/>
          <w:spacing w:val="-13"/>
          <w:sz w:val="15"/>
        </w:rPr>
        <w:t xml:space="preserve"> </w:t>
      </w:r>
      <w:r>
        <w:rPr>
          <w:color w:val="231F20"/>
          <w:sz w:val="15"/>
        </w:rPr>
        <w:t>pokyn</w:t>
      </w:r>
      <w:r>
        <w:rPr>
          <w:color w:val="231F20"/>
          <w:spacing w:val="-12"/>
          <w:sz w:val="15"/>
        </w:rPr>
        <w:t xml:space="preserve"> </w:t>
      </w:r>
      <w:r>
        <w:rPr>
          <w:color w:val="231F20"/>
          <w:sz w:val="15"/>
        </w:rPr>
        <w:t>Pojišťovny</w:t>
      </w:r>
      <w:r>
        <w:rPr>
          <w:color w:val="231F20"/>
          <w:spacing w:val="-13"/>
          <w:sz w:val="15"/>
        </w:rPr>
        <w:t xml:space="preserve"> </w:t>
      </w:r>
      <w:r>
        <w:rPr>
          <w:color w:val="231F20"/>
          <w:sz w:val="15"/>
        </w:rPr>
        <w:t>v</w:t>
      </w:r>
      <w:r>
        <w:rPr>
          <w:color w:val="231F20"/>
          <w:spacing w:val="-12"/>
          <w:sz w:val="15"/>
        </w:rPr>
        <w:t xml:space="preserve"> </w:t>
      </w:r>
      <w:r>
        <w:rPr>
          <w:color w:val="231F20"/>
          <w:sz w:val="15"/>
        </w:rPr>
        <w:t>řízení</w:t>
      </w:r>
      <w:r>
        <w:rPr>
          <w:color w:val="231F20"/>
          <w:spacing w:val="-13"/>
          <w:sz w:val="15"/>
        </w:rPr>
        <w:t xml:space="preserve"> </w:t>
      </w:r>
      <w:r>
        <w:rPr>
          <w:color w:val="231F20"/>
          <w:sz w:val="15"/>
        </w:rPr>
        <w:t>o</w:t>
      </w:r>
      <w:r>
        <w:rPr>
          <w:color w:val="231F20"/>
          <w:spacing w:val="-12"/>
          <w:sz w:val="15"/>
        </w:rPr>
        <w:t xml:space="preserve"> </w:t>
      </w:r>
      <w:r>
        <w:rPr>
          <w:color w:val="231F20"/>
          <w:sz w:val="15"/>
        </w:rPr>
        <w:t>náhradě</w:t>
      </w:r>
      <w:r>
        <w:rPr>
          <w:color w:val="231F20"/>
          <w:spacing w:val="-13"/>
          <w:sz w:val="15"/>
        </w:rPr>
        <w:t xml:space="preserve"> </w:t>
      </w:r>
      <w:r>
        <w:rPr>
          <w:color w:val="231F20"/>
          <w:sz w:val="15"/>
        </w:rPr>
        <w:t>škody</w:t>
      </w:r>
      <w:r>
        <w:rPr>
          <w:color w:val="231F20"/>
          <w:spacing w:val="-12"/>
          <w:sz w:val="15"/>
        </w:rPr>
        <w:t xml:space="preserve"> </w:t>
      </w:r>
      <w:r>
        <w:rPr>
          <w:color w:val="231F20"/>
          <w:sz w:val="15"/>
        </w:rPr>
        <w:t>či</w:t>
      </w:r>
      <w:r>
        <w:rPr>
          <w:color w:val="231F20"/>
          <w:spacing w:val="-12"/>
          <w:sz w:val="15"/>
        </w:rPr>
        <w:t xml:space="preserve"> </w:t>
      </w:r>
      <w:r>
        <w:rPr>
          <w:color w:val="231F20"/>
          <w:sz w:val="15"/>
        </w:rPr>
        <w:t>jiné</w:t>
      </w:r>
      <w:r>
        <w:rPr>
          <w:color w:val="231F20"/>
          <w:spacing w:val="-13"/>
          <w:sz w:val="15"/>
        </w:rPr>
        <w:t xml:space="preserve"> </w:t>
      </w:r>
      <w:r>
        <w:rPr>
          <w:color w:val="231F20"/>
          <w:sz w:val="15"/>
        </w:rPr>
        <w:t>újmy</w:t>
      </w:r>
      <w:r>
        <w:rPr>
          <w:color w:val="231F20"/>
          <w:spacing w:val="-12"/>
          <w:sz w:val="15"/>
        </w:rPr>
        <w:t xml:space="preserve"> </w:t>
      </w:r>
      <w:r>
        <w:rPr>
          <w:color w:val="231F20"/>
          <w:sz w:val="15"/>
        </w:rPr>
        <w:t>podat</w:t>
      </w:r>
      <w:r>
        <w:rPr>
          <w:color w:val="231F20"/>
          <w:spacing w:val="-13"/>
          <w:sz w:val="15"/>
        </w:rPr>
        <w:t xml:space="preserve"> </w:t>
      </w:r>
      <w:r>
        <w:rPr>
          <w:color w:val="231F20"/>
          <w:spacing w:val="-3"/>
          <w:sz w:val="15"/>
        </w:rPr>
        <w:t xml:space="preserve">opravný </w:t>
      </w:r>
      <w:r>
        <w:rPr>
          <w:color w:val="231F20"/>
          <w:sz w:val="15"/>
        </w:rPr>
        <w:t>prostředek;</w:t>
      </w:r>
    </w:p>
    <w:p w14:paraId="2FB5640A" w14:textId="77777777" w:rsidR="00F65BCA" w:rsidRDefault="00216117">
      <w:pPr>
        <w:pStyle w:val="Zkladntext"/>
        <w:spacing w:line="278" w:lineRule="auto"/>
        <w:ind w:left="1050" w:right="1" w:hanging="171"/>
        <w:jc w:val="both"/>
      </w:pPr>
      <w:r>
        <w:rPr>
          <w:color w:val="231F20"/>
        </w:rPr>
        <w:t>xii</w:t>
      </w:r>
      <w:r>
        <w:rPr>
          <w:color w:val="231F20"/>
          <w:spacing w:val="-30"/>
        </w:rPr>
        <w:t xml:space="preserve"> </w:t>
      </w:r>
      <w:r>
        <w:rPr>
          <w:color w:val="231F20"/>
        </w:rPr>
        <w:t>vznést</w:t>
      </w:r>
      <w:r>
        <w:rPr>
          <w:color w:val="231F20"/>
          <w:spacing w:val="-1"/>
        </w:rPr>
        <w:t xml:space="preserve"> </w:t>
      </w:r>
      <w:r>
        <w:rPr>
          <w:color w:val="231F20"/>
        </w:rPr>
        <w:t>námitku</w:t>
      </w:r>
      <w:r>
        <w:rPr>
          <w:color w:val="231F20"/>
          <w:spacing w:val="-2"/>
        </w:rPr>
        <w:t xml:space="preserve"> </w:t>
      </w:r>
      <w:r>
        <w:rPr>
          <w:color w:val="231F20"/>
        </w:rPr>
        <w:t>promlčení</w:t>
      </w:r>
      <w:r>
        <w:rPr>
          <w:color w:val="231F20"/>
          <w:spacing w:val="-1"/>
        </w:rPr>
        <w:t xml:space="preserve"> </w:t>
      </w:r>
      <w:r>
        <w:rPr>
          <w:color w:val="231F20"/>
        </w:rPr>
        <w:t>proti</w:t>
      </w:r>
      <w:r>
        <w:rPr>
          <w:color w:val="231F20"/>
          <w:spacing w:val="-1"/>
        </w:rPr>
        <w:t xml:space="preserve"> </w:t>
      </w:r>
      <w:r>
        <w:rPr>
          <w:color w:val="231F20"/>
        </w:rPr>
        <w:t>uplatněnému</w:t>
      </w:r>
      <w:r>
        <w:rPr>
          <w:color w:val="231F20"/>
          <w:spacing w:val="-1"/>
        </w:rPr>
        <w:t xml:space="preserve"> </w:t>
      </w:r>
      <w:r>
        <w:rPr>
          <w:color w:val="231F20"/>
        </w:rPr>
        <w:t>nároku</w:t>
      </w:r>
      <w:r>
        <w:rPr>
          <w:color w:val="231F20"/>
          <w:spacing w:val="-2"/>
        </w:rPr>
        <w:t xml:space="preserve"> </w:t>
      </w:r>
      <w:r>
        <w:rPr>
          <w:color w:val="231F20"/>
        </w:rPr>
        <w:t>na</w:t>
      </w:r>
      <w:r>
        <w:rPr>
          <w:color w:val="231F20"/>
          <w:spacing w:val="-1"/>
        </w:rPr>
        <w:t xml:space="preserve"> </w:t>
      </w:r>
      <w:r>
        <w:rPr>
          <w:color w:val="231F20"/>
        </w:rPr>
        <w:t>náhradu</w:t>
      </w:r>
      <w:r>
        <w:rPr>
          <w:color w:val="231F20"/>
          <w:spacing w:val="-1"/>
        </w:rPr>
        <w:t xml:space="preserve"> </w:t>
      </w:r>
      <w:r>
        <w:rPr>
          <w:color w:val="231F20"/>
          <w:spacing w:val="-3"/>
        </w:rPr>
        <w:t xml:space="preserve">škody </w:t>
      </w:r>
      <w:r>
        <w:rPr>
          <w:color w:val="231F20"/>
        </w:rPr>
        <w:t xml:space="preserve">nebo jiné </w:t>
      </w:r>
      <w:r>
        <w:rPr>
          <w:color w:val="231F20"/>
          <w:spacing w:val="-3"/>
        </w:rPr>
        <w:t xml:space="preserve">újmy, </w:t>
      </w:r>
      <w:r>
        <w:rPr>
          <w:color w:val="231F20"/>
        </w:rPr>
        <w:t>pokud je</w:t>
      </w:r>
      <w:r>
        <w:rPr>
          <w:color w:val="231F20"/>
          <w:spacing w:val="-2"/>
        </w:rPr>
        <w:t xml:space="preserve"> </w:t>
      </w:r>
      <w:r>
        <w:rPr>
          <w:color w:val="231F20"/>
        </w:rPr>
        <w:t>důvodná;</w:t>
      </w:r>
    </w:p>
    <w:p w14:paraId="5CCB90D9" w14:textId="77777777" w:rsidR="00F65BCA" w:rsidRDefault="00216117">
      <w:pPr>
        <w:pStyle w:val="Zkladntext"/>
        <w:spacing w:line="278" w:lineRule="auto"/>
        <w:ind w:left="1050" w:right="1" w:hanging="171"/>
        <w:jc w:val="both"/>
      </w:pPr>
      <w:r>
        <w:rPr>
          <w:color w:val="231F20"/>
        </w:rPr>
        <w:t>xiii</w:t>
      </w:r>
      <w:r>
        <w:rPr>
          <w:color w:val="231F20"/>
          <w:spacing w:val="10"/>
        </w:rPr>
        <w:t xml:space="preserve"> </w:t>
      </w:r>
      <w:r>
        <w:rPr>
          <w:color w:val="231F20"/>
        </w:rPr>
        <w:t>pojištěný</w:t>
      </w:r>
      <w:r>
        <w:rPr>
          <w:color w:val="231F20"/>
          <w:spacing w:val="-13"/>
        </w:rPr>
        <w:t xml:space="preserve"> </w:t>
      </w:r>
      <w:r>
        <w:rPr>
          <w:color w:val="231F20"/>
        </w:rPr>
        <w:t>se</w:t>
      </w:r>
      <w:r>
        <w:rPr>
          <w:color w:val="231F20"/>
          <w:spacing w:val="-13"/>
        </w:rPr>
        <w:t xml:space="preserve"> </w:t>
      </w:r>
      <w:r>
        <w:rPr>
          <w:color w:val="231F20"/>
        </w:rPr>
        <w:t>dále</w:t>
      </w:r>
      <w:r>
        <w:rPr>
          <w:color w:val="231F20"/>
          <w:spacing w:val="-13"/>
        </w:rPr>
        <w:t xml:space="preserve"> </w:t>
      </w:r>
      <w:r>
        <w:rPr>
          <w:color w:val="231F20"/>
        </w:rPr>
        <w:t>nesmí</w:t>
      </w:r>
      <w:r>
        <w:rPr>
          <w:color w:val="231F20"/>
          <w:spacing w:val="-13"/>
        </w:rPr>
        <w:t xml:space="preserve"> </w:t>
      </w:r>
      <w:r>
        <w:rPr>
          <w:color w:val="231F20"/>
        </w:rPr>
        <w:t>zavázat</w:t>
      </w:r>
      <w:r>
        <w:rPr>
          <w:color w:val="231F20"/>
          <w:spacing w:val="-13"/>
        </w:rPr>
        <w:t xml:space="preserve"> </w:t>
      </w:r>
      <w:r>
        <w:rPr>
          <w:color w:val="231F20"/>
        </w:rPr>
        <w:t>bez</w:t>
      </w:r>
      <w:r>
        <w:rPr>
          <w:color w:val="231F20"/>
          <w:spacing w:val="-13"/>
        </w:rPr>
        <w:t xml:space="preserve"> </w:t>
      </w:r>
      <w:r>
        <w:rPr>
          <w:color w:val="231F20"/>
        </w:rPr>
        <w:t>souhlasu</w:t>
      </w:r>
      <w:r>
        <w:rPr>
          <w:color w:val="231F20"/>
          <w:spacing w:val="-12"/>
        </w:rPr>
        <w:t xml:space="preserve"> </w:t>
      </w:r>
      <w:r>
        <w:rPr>
          <w:color w:val="231F20"/>
        </w:rPr>
        <w:t>Pojišťovny</w:t>
      </w:r>
      <w:r>
        <w:rPr>
          <w:color w:val="231F20"/>
          <w:spacing w:val="-13"/>
        </w:rPr>
        <w:t xml:space="preserve"> </w:t>
      </w:r>
      <w:r>
        <w:rPr>
          <w:color w:val="231F20"/>
        </w:rPr>
        <w:t>k</w:t>
      </w:r>
      <w:r>
        <w:rPr>
          <w:color w:val="231F20"/>
          <w:spacing w:val="-13"/>
        </w:rPr>
        <w:t xml:space="preserve"> </w:t>
      </w:r>
      <w:r>
        <w:rPr>
          <w:color w:val="231F20"/>
        </w:rPr>
        <w:t>úhradě</w:t>
      </w:r>
      <w:r>
        <w:rPr>
          <w:color w:val="231F20"/>
          <w:spacing w:val="-13"/>
        </w:rPr>
        <w:t xml:space="preserve"> </w:t>
      </w:r>
      <w:r>
        <w:rPr>
          <w:color w:val="231F20"/>
          <w:spacing w:val="-4"/>
        </w:rPr>
        <w:t xml:space="preserve">pro- </w:t>
      </w:r>
      <w:r>
        <w:rPr>
          <w:color w:val="231F20"/>
        </w:rPr>
        <w:t>mlčené</w:t>
      </w:r>
      <w:r>
        <w:rPr>
          <w:color w:val="231F20"/>
          <w:spacing w:val="-25"/>
        </w:rPr>
        <w:t xml:space="preserve"> </w:t>
      </w:r>
      <w:r>
        <w:rPr>
          <w:color w:val="231F20"/>
        </w:rPr>
        <w:t>pohledávky,</w:t>
      </w:r>
      <w:r>
        <w:rPr>
          <w:color w:val="231F20"/>
          <w:spacing w:val="-24"/>
        </w:rPr>
        <w:t xml:space="preserve"> </w:t>
      </w:r>
      <w:r>
        <w:rPr>
          <w:color w:val="231F20"/>
        </w:rPr>
        <w:t>uzavřít</w:t>
      </w:r>
      <w:r>
        <w:rPr>
          <w:color w:val="231F20"/>
          <w:spacing w:val="-25"/>
        </w:rPr>
        <w:t xml:space="preserve"> </w:t>
      </w:r>
      <w:r>
        <w:rPr>
          <w:color w:val="231F20"/>
        </w:rPr>
        <w:t>soudní</w:t>
      </w:r>
      <w:r>
        <w:rPr>
          <w:color w:val="231F20"/>
          <w:spacing w:val="-24"/>
        </w:rPr>
        <w:t xml:space="preserve"> </w:t>
      </w:r>
      <w:r>
        <w:rPr>
          <w:color w:val="231F20"/>
          <w:spacing w:val="-3"/>
        </w:rPr>
        <w:t>smír,</w:t>
      </w:r>
      <w:r>
        <w:rPr>
          <w:color w:val="231F20"/>
          <w:spacing w:val="-24"/>
        </w:rPr>
        <w:t xml:space="preserve"> </w:t>
      </w:r>
      <w:r>
        <w:rPr>
          <w:color w:val="231F20"/>
        </w:rPr>
        <w:t>uznat</w:t>
      </w:r>
      <w:r>
        <w:rPr>
          <w:color w:val="231F20"/>
          <w:spacing w:val="-25"/>
        </w:rPr>
        <w:t xml:space="preserve"> </w:t>
      </w:r>
      <w:r>
        <w:rPr>
          <w:color w:val="231F20"/>
        </w:rPr>
        <w:t>nárok</w:t>
      </w:r>
      <w:r>
        <w:rPr>
          <w:color w:val="231F20"/>
          <w:spacing w:val="-24"/>
        </w:rPr>
        <w:t xml:space="preserve"> </w:t>
      </w:r>
      <w:r>
        <w:rPr>
          <w:color w:val="231F20"/>
        </w:rPr>
        <w:t>nebo</w:t>
      </w:r>
      <w:r>
        <w:rPr>
          <w:color w:val="231F20"/>
          <w:spacing w:val="-24"/>
        </w:rPr>
        <w:t xml:space="preserve"> </w:t>
      </w:r>
      <w:r>
        <w:rPr>
          <w:color w:val="231F20"/>
        </w:rPr>
        <w:t>základ</w:t>
      </w:r>
      <w:r>
        <w:rPr>
          <w:color w:val="231F20"/>
          <w:spacing w:val="-25"/>
        </w:rPr>
        <w:t xml:space="preserve"> </w:t>
      </w:r>
      <w:r>
        <w:rPr>
          <w:color w:val="231F20"/>
          <w:spacing w:val="-4"/>
        </w:rPr>
        <w:t xml:space="preserve">nároku, </w:t>
      </w:r>
      <w:r>
        <w:rPr>
          <w:color w:val="231F20"/>
        </w:rPr>
        <w:t>o</w:t>
      </w:r>
      <w:r>
        <w:rPr>
          <w:color w:val="231F20"/>
          <w:spacing w:val="-9"/>
        </w:rPr>
        <w:t xml:space="preserve"> </w:t>
      </w:r>
      <w:r>
        <w:rPr>
          <w:color w:val="231F20"/>
        </w:rPr>
        <w:t>kterém</w:t>
      </w:r>
      <w:r>
        <w:rPr>
          <w:color w:val="231F20"/>
          <w:spacing w:val="-8"/>
        </w:rPr>
        <w:t xml:space="preserve"> </w:t>
      </w:r>
      <w:r>
        <w:rPr>
          <w:color w:val="231F20"/>
        </w:rPr>
        <w:t>se</w:t>
      </w:r>
      <w:r>
        <w:rPr>
          <w:color w:val="231F20"/>
          <w:spacing w:val="-9"/>
        </w:rPr>
        <w:t xml:space="preserve"> </w:t>
      </w:r>
      <w:r>
        <w:rPr>
          <w:color w:val="231F20"/>
        </w:rPr>
        <w:t>vede</w:t>
      </w:r>
      <w:r>
        <w:rPr>
          <w:color w:val="231F20"/>
          <w:spacing w:val="-8"/>
        </w:rPr>
        <w:t xml:space="preserve"> </w:t>
      </w:r>
      <w:r>
        <w:rPr>
          <w:color w:val="231F20"/>
        </w:rPr>
        <w:t>soudní</w:t>
      </w:r>
      <w:r>
        <w:rPr>
          <w:color w:val="231F20"/>
          <w:spacing w:val="-8"/>
        </w:rPr>
        <w:t xml:space="preserve"> </w:t>
      </w:r>
      <w:r>
        <w:rPr>
          <w:color w:val="231F20"/>
        </w:rPr>
        <w:t>či</w:t>
      </w:r>
      <w:r>
        <w:rPr>
          <w:color w:val="231F20"/>
          <w:spacing w:val="-9"/>
        </w:rPr>
        <w:t xml:space="preserve"> </w:t>
      </w:r>
      <w:r>
        <w:rPr>
          <w:color w:val="231F20"/>
        </w:rPr>
        <w:t>jiné</w:t>
      </w:r>
      <w:r>
        <w:rPr>
          <w:color w:val="231F20"/>
          <w:spacing w:val="-8"/>
        </w:rPr>
        <w:t xml:space="preserve"> </w:t>
      </w:r>
      <w:r>
        <w:rPr>
          <w:color w:val="231F20"/>
        </w:rPr>
        <w:t>řízení</w:t>
      </w:r>
      <w:r>
        <w:rPr>
          <w:color w:val="231F20"/>
          <w:spacing w:val="-8"/>
        </w:rPr>
        <w:t xml:space="preserve"> </w:t>
      </w:r>
      <w:r>
        <w:rPr>
          <w:color w:val="231F20"/>
        </w:rPr>
        <w:t>a</w:t>
      </w:r>
      <w:r>
        <w:rPr>
          <w:color w:val="231F20"/>
          <w:spacing w:val="-9"/>
        </w:rPr>
        <w:t xml:space="preserve"> </w:t>
      </w:r>
      <w:r>
        <w:rPr>
          <w:color w:val="231F20"/>
        </w:rPr>
        <w:t>nesmí</w:t>
      </w:r>
      <w:r>
        <w:rPr>
          <w:color w:val="231F20"/>
          <w:spacing w:val="-8"/>
        </w:rPr>
        <w:t xml:space="preserve"> </w:t>
      </w:r>
      <w:r>
        <w:rPr>
          <w:color w:val="231F20"/>
        </w:rPr>
        <w:t>umožnit</w:t>
      </w:r>
      <w:r>
        <w:rPr>
          <w:color w:val="231F20"/>
          <w:spacing w:val="-8"/>
        </w:rPr>
        <w:t xml:space="preserve"> </w:t>
      </w:r>
      <w:r>
        <w:rPr>
          <w:color w:val="231F20"/>
        </w:rPr>
        <w:t>vydání</w:t>
      </w:r>
      <w:r>
        <w:rPr>
          <w:color w:val="231F20"/>
          <w:spacing w:val="-9"/>
        </w:rPr>
        <w:t xml:space="preserve"> </w:t>
      </w:r>
      <w:r>
        <w:rPr>
          <w:color w:val="231F20"/>
          <w:spacing w:val="-3"/>
        </w:rPr>
        <w:t xml:space="preserve">rozsudku </w:t>
      </w:r>
      <w:r>
        <w:rPr>
          <w:color w:val="231F20"/>
        </w:rPr>
        <w:t>pro</w:t>
      </w:r>
      <w:r>
        <w:rPr>
          <w:color w:val="231F20"/>
          <w:spacing w:val="-17"/>
        </w:rPr>
        <w:t xml:space="preserve"> </w:t>
      </w:r>
      <w:r>
        <w:rPr>
          <w:color w:val="231F20"/>
        </w:rPr>
        <w:t>zmeškání.</w:t>
      </w:r>
      <w:r>
        <w:rPr>
          <w:color w:val="231F20"/>
          <w:spacing w:val="-16"/>
        </w:rPr>
        <w:t xml:space="preserve"> </w:t>
      </w:r>
      <w:r>
        <w:rPr>
          <w:color w:val="231F20"/>
        </w:rPr>
        <w:t>Poruší-li</w:t>
      </w:r>
      <w:r>
        <w:rPr>
          <w:color w:val="231F20"/>
          <w:spacing w:val="-16"/>
        </w:rPr>
        <w:t xml:space="preserve"> </w:t>
      </w:r>
      <w:r>
        <w:rPr>
          <w:color w:val="231F20"/>
        </w:rPr>
        <w:t>pojištěný</w:t>
      </w:r>
      <w:r>
        <w:rPr>
          <w:color w:val="231F20"/>
          <w:spacing w:val="-16"/>
        </w:rPr>
        <w:t xml:space="preserve"> </w:t>
      </w:r>
      <w:r>
        <w:rPr>
          <w:color w:val="231F20"/>
        </w:rPr>
        <w:t>tuto</w:t>
      </w:r>
      <w:r>
        <w:rPr>
          <w:color w:val="231F20"/>
          <w:spacing w:val="-16"/>
        </w:rPr>
        <w:t xml:space="preserve"> </w:t>
      </w:r>
      <w:r>
        <w:rPr>
          <w:color w:val="231F20"/>
        </w:rPr>
        <w:t>povinnost</w:t>
      </w:r>
      <w:r>
        <w:rPr>
          <w:color w:val="231F20"/>
          <w:spacing w:val="-17"/>
        </w:rPr>
        <w:t xml:space="preserve"> </w:t>
      </w:r>
      <w:r>
        <w:rPr>
          <w:color w:val="231F20"/>
        </w:rPr>
        <w:t>a</w:t>
      </w:r>
      <w:r>
        <w:rPr>
          <w:color w:val="231F20"/>
          <w:spacing w:val="-16"/>
        </w:rPr>
        <w:t xml:space="preserve"> </w:t>
      </w:r>
      <w:r>
        <w:rPr>
          <w:color w:val="231F20"/>
        </w:rPr>
        <w:t>toto</w:t>
      </w:r>
      <w:r>
        <w:rPr>
          <w:color w:val="231F20"/>
          <w:spacing w:val="-16"/>
        </w:rPr>
        <w:t xml:space="preserve"> </w:t>
      </w:r>
      <w:r>
        <w:rPr>
          <w:color w:val="231F20"/>
        </w:rPr>
        <w:t>porušení</w:t>
      </w:r>
      <w:r>
        <w:rPr>
          <w:color w:val="231F20"/>
          <w:spacing w:val="-16"/>
        </w:rPr>
        <w:t xml:space="preserve"> </w:t>
      </w:r>
      <w:r>
        <w:rPr>
          <w:color w:val="231F20"/>
        </w:rPr>
        <w:t>bude</w:t>
      </w:r>
      <w:r>
        <w:rPr>
          <w:color w:val="231F20"/>
          <w:spacing w:val="-16"/>
        </w:rPr>
        <w:t xml:space="preserve"> </w:t>
      </w:r>
      <w:r>
        <w:rPr>
          <w:color w:val="231F20"/>
          <w:spacing w:val="-4"/>
        </w:rPr>
        <w:t xml:space="preserve">mít </w:t>
      </w:r>
      <w:r>
        <w:rPr>
          <w:color w:val="231F20"/>
        </w:rPr>
        <w:t>podstatný</w:t>
      </w:r>
      <w:r>
        <w:rPr>
          <w:color w:val="231F20"/>
          <w:spacing w:val="-12"/>
        </w:rPr>
        <w:t xml:space="preserve"> </w:t>
      </w:r>
      <w:r>
        <w:rPr>
          <w:color w:val="231F20"/>
        </w:rPr>
        <w:t>vliv</w:t>
      </w:r>
      <w:r>
        <w:rPr>
          <w:color w:val="231F20"/>
          <w:spacing w:val="-11"/>
        </w:rPr>
        <w:t xml:space="preserve"> </w:t>
      </w:r>
      <w:r>
        <w:rPr>
          <w:color w:val="231F20"/>
        </w:rPr>
        <w:t>na</w:t>
      </w:r>
      <w:r>
        <w:rPr>
          <w:color w:val="231F20"/>
          <w:spacing w:val="-11"/>
        </w:rPr>
        <w:t xml:space="preserve"> </w:t>
      </w:r>
      <w:r>
        <w:rPr>
          <w:color w:val="231F20"/>
        </w:rPr>
        <w:t>rozsah</w:t>
      </w:r>
      <w:r>
        <w:rPr>
          <w:color w:val="231F20"/>
          <w:spacing w:val="-11"/>
        </w:rPr>
        <w:t xml:space="preserve"> </w:t>
      </w:r>
      <w:r>
        <w:rPr>
          <w:color w:val="231F20"/>
        </w:rPr>
        <w:t>povinnosti</w:t>
      </w:r>
      <w:r>
        <w:rPr>
          <w:color w:val="231F20"/>
          <w:spacing w:val="-11"/>
        </w:rPr>
        <w:t xml:space="preserve"> </w:t>
      </w:r>
      <w:r>
        <w:rPr>
          <w:color w:val="231F20"/>
        </w:rPr>
        <w:t>Pojišťovny</w:t>
      </w:r>
      <w:r>
        <w:rPr>
          <w:color w:val="231F20"/>
          <w:spacing w:val="-11"/>
        </w:rPr>
        <w:t xml:space="preserve"> </w:t>
      </w:r>
      <w:r>
        <w:rPr>
          <w:color w:val="231F20"/>
        </w:rPr>
        <w:t>plnit,</w:t>
      </w:r>
      <w:r>
        <w:rPr>
          <w:color w:val="231F20"/>
          <w:spacing w:val="-11"/>
        </w:rPr>
        <w:t xml:space="preserve"> </w:t>
      </w:r>
      <w:r>
        <w:rPr>
          <w:color w:val="231F20"/>
        </w:rPr>
        <w:t>má</w:t>
      </w:r>
      <w:r>
        <w:rPr>
          <w:color w:val="231F20"/>
          <w:spacing w:val="-11"/>
        </w:rPr>
        <w:t xml:space="preserve"> </w:t>
      </w:r>
      <w:r>
        <w:rPr>
          <w:color w:val="231F20"/>
        </w:rPr>
        <w:t>Pojišťovna</w:t>
      </w:r>
      <w:r>
        <w:rPr>
          <w:color w:val="231F20"/>
          <w:spacing w:val="-11"/>
        </w:rPr>
        <w:t xml:space="preserve"> </w:t>
      </w:r>
      <w:r>
        <w:rPr>
          <w:color w:val="231F20"/>
          <w:spacing w:val="-4"/>
        </w:rPr>
        <w:t xml:space="preserve">proti </w:t>
      </w:r>
      <w:r>
        <w:rPr>
          <w:color w:val="231F20"/>
        </w:rPr>
        <w:t>pojištěnému</w:t>
      </w:r>
      <w:r>
        <w:rPr>
          <w:color w:val="231F20"/>
          <w:spacing w:val="-7"/>
        </w:rPr>
        <w:t xml:space="preserve"> </w:t>
      </w:r>
      <w:r>
        <w:rPr>
          <w:color w:val="231F20"/>
        </w:rPr>
        <w:t>právo</w:t>
      </w:r>
      <w:r>
        <w:rPr>
          <w:color w:val="231F20"/>
          <w:spacing w:val="-6"/>
        </w:rPr>
        <w:t xml:space="preserve"> </w:t>
      </w:r>
      <w:r>
        <w:rPr>
          <w:color w:val="231F20"/>
        </w:rPr>
        <w:t>na</w:t>
      </w:r>
      <w:r>
        <w:rPr>
          <w:color w:val="231F20"/>
          <w:spacing w:val="-7"/>
        </w:rPr>
        <w:t xml:space="preserve"> </w:t>
      </w:r>
      <w:r>
        <w:rPr>
          <w:color w:val="231F20"/>
        </w:rPr>
        <w:t>přiměřenou</w:t>
      </w:r>
      <w:r>
        <w:rPr>
          <w:color w:val="231F20"/>
          <w:spacing w:val="-6"/>
        </w:rPr>
        <w:t xml:space="preserve"> </w:t>
      </w:r>
      <w:r>
        <w:rPr>
          <w:color w:val="231F20"/>
        </w:rPr>
        <w:t>náhradu</w:t>
      </w:r>
      <w:r>
        <w:rPr>
          <w:color w:val="231F20"/>
          <w:spacing w:val="-7"/>
        </w:rPr>
        <w:t xml:space="preserve"> </w:t>
      </w:r>
      <w:r>
        <w:rPr>
          <w:color w:val="231F20"/>
        </w:rPr>
        <w:t>toho,</w:t>
      </w:r>
      <w:r>
        <w:rPr>
          <w:color w:val="231F20"/>
          <w:spacing w:val="-6"/>
        </w:rPr>
        <w:t xml:space="preserve"> </w:t>
      </w:r>
      <w:r>
        <w:rPr>
          <w:color w:val="231F20"/>
        </w:rPr>
        <w:t>co</w:t>
      </w:r>
      <w:r>
        <w:rPr>
          <w:color w:val="231F20"/>
          <w:spacing w:val="-7"/>
        </w:rPr>
        <w:t xml:space="preserve"> </w:t>
      </w:r>
      <w:r>
        <w:rPr>
          <w:color w:val="231F20"/>
        </w:rPr>
        <w:t>za</w:t>
      </w:r>
      <w:r>
        <w:rPr>
          <w:color w:val="231F20"/>
          <w:spacing w:val="-6"/>
        </w:rPr>
        <w:t xml:space="preserve"> </w:t>
      </w:r>
      <w:r>
        <w:rPr>
          <w:color w:val="231F20"/>
        </w:rPr>
        <w:t>něj</w:t>
      </w:r>
      <w:r>
        <w:rPr>
          <w:color w:val="231F20"/>
          <w:spacing w:val="-7"/>
        </w:rPr>
        <w:t xml:space="preserve"> </w:t>
      </w:r>
      <w:r>
        <w:rPr>
          <w:color w:val="231F20"/>
        </w:rPr>
        <w:t>plnila.</w:t>
      </w:r>
    </w:p>
    <w:p w14:paraId="0880BE09" w14:textId="77777777" w:rsidR="00F65BCA" w:rsidRDefault="00216117">
      <w:pPr>
        <w:pStyle w:val="Odstavecseseznamem"/>
        <w:numPr>
          <w:ilvl w:val="0"/>
          <w:numId w:val="4"/>
        </w:numPr>
        <w:tabs>
          <w:tab w:val="left" w:pos="881"/>
        </w:tabs>
        <w:spacing w:line="278" w:lineRule="auto"/>
        <w:ind w:right="1"/>
        <w:jc w:val="both"/>
        <w:rPr>
          <w:sz w:val="15"/>
        </w:rPr>
      </w:pPr>
      <w:r>
        <w:rPr>
          <w:color w:val="231F20"/>
          <w:sz w:val="15"/>
        </w:rPr>
        <w:t>Pojišťovna</w:t>
      </w:r>
      <w:r>
        <w:rPr>
          <w:color w:val="231F20"/>
          <w:spacing w:val="-21"/>
          <w:sz w:val="15"/>
        </w:rPr>
        <w:t xml:space="preserve"> </w:t>
      </w:r>
      <w:r>
        <w:rPr>
          <w:color w:val="231F20"/>
          <w:sz w:val="15"/>
        </w:rPr>
        <w:t>má</w:t>
      </w:r>
      <w:r>
        <w:rPr>
          <w:color w:val="231F20"/>
          <w:spacing w:val="-21"/>
          <w:sz w:val="15"/>
        </w:rPr>
        <w:t xml:space="preserve"> </w:t>
      </w:r>
      <w:r>
        <w:rPr>
          <w:color w:val="231F20"/>
          <w:sz w:val="15"/>
        </w:rPr>
        <w:t>povinnost</w:t>
      </w:r>
      <w:r>
        <w:rPr>
          <w:color w:val="231F20"/>
          <w:spacing w:val="-20"/>
          <w:sz w:val="15"/>
        </w:rPr>
        <w:t xml:space="preserve"> </w:t>
      </w:r>
      <w:r>
        <w:rPr>
          <w:color w:val="231F20"/>
          <w:sz w:val="15"/>
        </w:rPr>
        <w:t>provést</w:t>
      </w:r>
      <w:r>
        <w:rPr>
          <w:color w:val="231F20"/>
          <w:spacing w:val="-21"/>
          <w:sz w:val="15"/>
        </w:rPr>
        <w:t xml:space="preserve"> </w:t>
      </w:r>
      <w:r>
        <w:rPr>
          <w:color w:val="231F20"/>
          <w:sz w:val="15"/>
        </w:rPr>
        <w:t>potřebná</w:t>
      </w:r>
      <w:r>
        <w:rPr>
          <w:color w:val="231F20"/>
          <w:spacing w:val="-20"/>
          <w:sz w:val="15"/>
        </w:rPr>
        <w:t xml:space="preserve"> </w:t>
      </w:r>
      <w:r>
        <w:rPr>
          <w:color w:val="231F20"/>
          <w:sz w:val="15"/>
        </w:rPr>
        <w:t>šetření</w:t>
      </w:r>
      <w:r>
        <w:rPr>
          <w:color w:val="231F20"/>
          <w:spacing w:val="-21"/>
          <w:sz w:val="15"/>
        </w:rPr>
        <w:t xml:space="preserve"> </w:t>
      </w:r>
      <w:r>
        <w:rPr>
          <w:color w:val="231F20"/>
          <w:sz w:val="15"/>
        </w:rPr>
        <w:t>související</w:t>
      </w:r>
      <w:r>
        <w:rPr>
          <w:color w:val="231F20"/>
          <w:spacing w:val="-20"/>
          <w:sz w:val="15"/>
        </w:rPr>
        <w:t xml:space="preserve"> </w:t>
      </w:r>
      <w:r>
        <w:rPr>
          <w:color w:val="231F20"/>
          <w:sz w:val="15"/>
        </w:rPr>
        <w:t>s</w:t>
      </w:r>
      <w:r>
        <w:rPr>
          <w:color w:val="231F20"/>
          <w:spacing w:val="-21"/>
          <w:sz w:val="15"/>
        </w:rPr>
        <w:t xml:space="preserve"> </w:t>
      </w:r>
      <w:r>
        <w:rPr>
          <w:color w:val="231F20"/>
          <w:sz w:val="15"/>
        </w:rPr>
        <w:t>likvidací</w:t>
      </w:r>
      <w:r>
        <w:rPr>
          <w:color w:val="231F20"/>
          <w:spacing w:val="-20"/>
          <w:sz w:val="15"/>
        </w:rPr>
        <w:t xml:space="preserve"> </w:t>
      </w:r>
      <w:r>
        <w:rPr>
          <w:color w:val="231F20"/>
          <w:sz w:val="15"/>
        </w:rPr>
        <w:t>po- jistné</w:t>
      </w:r>
      <w:r>
        <w:rPr>
          <w:color w:val="231F20"/>
          <w:spacing w:val="-8"/>
          <w:sz w:val="15"/>
        </w:rPr>
        <w:t xml:space="preserve"> </w:t>
      </w:r>
      <w:r>
        <w:rPr>
          <w:color w:val="231F20"/>
          <w:sz w:val="15"/>
        </w:rPr>
        <w:t>události</w:t>
      </w:r>
      <w:r>
        <w:rPr>
          <w:color w:val="231F20"/>
          <w:spacing w:val="-7"/>
          <w:sz w:val="15"/>
        </w:rPr>
        <w:t xml:space="preserve"> </w:t>
      </w:r>
      <w:r>
        <w:rPr>
          <w:color w:val="231F20"/>
          <w:sz w:val="15"/>
        </w:rPr>
        <w:t>včetně</w:t>
      </w:r>
      <w:r>
        <w:rPr>
          <w:color w:val="231F20"/>
          <w:spacing w:val="-8"/>
          <w:sz w:val="15"/>
        </w:rPr>
        <w:t xml:space="preserve"> </w:t>
      </w:r>
      <w:r>
        <w:rPr>
          <w:color w:val="231F20"/>
          <w:sz w:val="15"/>
        </w:rPr>
        <w:t>poskytnutí</w:t>
      </w:r>
      <w:r>
        <w:rPr>
          <w:color w:val="231F20"/>
          <w:spacing w:val="-7"/>
          <w:sz w:val="15"/>
        </w:rPr>
        <w:t xml:space="preserve"> </w:t>
      </w:r>
      <w:r>
        <w:rPr>
          <w:color w:val="231F20"/>
          <w:sz w:val="15"/>
        </w:rPr>
        <w:t>potřebné</w:t>
      </w:r>
      <w:r>
        <w:rPr>
          <w:color w:val="231F20"/>
          <w:spacing w:val="-8"/>
          <w:sz w:val="15"/>
        </w:rPr>
        <w:t xml:space="preserve"> </w:t>
      </w:r>
      <w:r>
        <w:rPr>
          <w:color w:val="231F20"/>
          <w:sz w:val="15"/>
        </w:rPr>
        <w:t>součinnosti</w:t>
      </w:r>
      <w:r>
        <w:rPr>
          <w:color w:val="231F20"/>
          <w:spacing w:val="-7"/>
          <w:sz w:val="15"/>
        </w:rPr>
        <w:t xml:space="preserve"> </w:t>
      </w:r>
      <w:r>
        <w:rPr>
          <w:color w:val="231F20"/>
          <w:sz w:val="15"/>
        </w:rPr>
        <w:t>pojistníkovi/pojiště- nému k zajištění prohlídky poškozeného</w:t>
      </w:r>
      <w:r>
        <w:rPr>
          <w:color w:val="231F20"/>
          <w:spacing w:val="-15"/>
          <w:sz w:val="15"/>
        </w:rPr>
        <w:t xml:space="preserve"> </w:t>
      </w:r>
      <w:r>
        <w:rPr>
          <w:color w:val="231F20"/>
          <w:sz w:val="15"/>
        </w:rPr>
        <w:t>vozidla.</w:t>
      </w:r>
    </w:p>
    <w:p w14:paraId="4E0713A5" w14:textId="77777777" w:rsidR="00F65BCA" w:rsidRDefault="00216117">
      <w:pPr>
        <w:pStyle w:val="Odstavecseseznamem"/>
        <w:numPr>
          <w:ilvl w:val="0"/>
          <w:numId w:val="4"/>
        </w:numPr>
        <w:tabs>
          <w:tab w:val="left" w:pos="881"/>
        </w:tabs>
        <w:spacing w:line="278" w:lineRule="auto"/>
        <w:ind w:right="1"/>
        <w:jc w:val="both"/>
        <w:rPr>
          <w:sz w:val="15"/>
        </w:rPr>
      </w:pPr>
      <w:r>
        <w:rPr>
          <w:color w:val="231F20"/>
          <w:sz w:val="15"/>
        </w:rPr>
        <w:t>Kromě</w:t>
      </w:r>
      <w:r>
        <w:rPr>
          <w:color w:val="231F20"/>
          <w:spacing w:val="-26"/>
          <w:sz w:val="15"/>
        </w:rPr>
        <w:t xml:space="preserve"> </w:t>
      </w:r>
      <w:r>
        <w:rPr>
          <w:color w:val="231F20"/>
          <w:sz w:val="15"/>
        </w:rPr>
        <w:t>povinností</w:t>
      </w:r>
      <w:r>
        <w:rPr>
          <w:color w:val="231F20"/>
          <w:spacing w:val="-26"/>
          <w:sz w:val="15"/>
        </w:rPr>
        <w:t xml:space="preserve"> </w:t>
      </w:r>
      <w:r>
        <w:rPr>
          <w:color w:val="231F20"/>
          <w:sz w:val="15"/>
        </w:rPr>
        <w:t>stanovených</w:t>
      </w:r>
      <w:r>
        <w:rPr>
          <w:color w:val="231F20"/>
          <w:spacing w:val="-26"/>
          <w:sz w:val="15"/>
        </w:rPr>
        <w:t xml:space="preserve"> </w:t>
      </w:r>
      <w:r>
        <w:rPr>
          <w:color w:val="231F20"/>
          <w:sz w:val="15"/>
        </w:rPr>
        <w:t>příslušnými</w:t>
      </w:r>
      <w:r>
        <w:rPr>
          <w:color w:val="231F20"/>
          <w:spacing w:val="-26"/>
          <w:sz w:val="15"/>
        </w:rPr>
        <w:t xml:space="preserve"> </w:t>
      </w:r>
      <w:r>
        <w:rPr>
          <w:color w:val="231F20"/>
          <w:sz w:val="15"/>
        </w:rPr>
        <w:t>právními</w:t>
      </w:r>
      <w:r>
        <w:rPr>
          <w:color w:val="231F20"/>
          <w:spacing w:val="-26"/>
          <w:sz w:val="15"/>
        </w:rPr>
        <w:t xml:space="preserve"> </w:t>
      </w:r>
      <w:r>
        <w:rPr>
          <w:color w:val="231F20"/>
          <w:sz w:val="15"/>
        </w:rPr>
        <w:t>předpisy,</w:t>
      </w:r>
      <w:r>
        <w:rPr>
          <w:color w:val="231F20"/>
          <w:spacing w:val="-26"/>
          <w:sz w:val="15"/>
        </w:rPr>
        <w:t xml:space="preserve"> </w:t>
      </w:r>
      <w:r>
        <w:rPr>
          <w:color w:val="231F20"/>
          <w:sz w:val="15"/>
        </w:rPr>
        <w:t>těmito</w:t>
      </w:r>
      <w:r>
        <w:rPr>
          <w:color w:val="231F20"/>
          <w:spacing w:val="-26"/>
          <w:sz w:val="15"/>
        </w:rPr>
        <w:t xml:space="preserve"> </w:t>
      </w:r>
      <w:r>
        <w:rPr>
          <w:color w:val="231F20"/>
          <w:sz w:val="15"/>
        </w:rPr>
        <w:t>VPP</w:t>
      </w:r>
      <w:r>
        <w:rPr>
          <w:color w:val="231F20"/>
          <w:spacing w:val="-25"/>
          <w:sz w:val="15"/>
        </w:rPr>
        <w:t xml:space="preserve"> </w:t>
      </w:r>
      <w:r>
        <w:rPr>
          <w:color w:val="231F20"/>
          <w:spacing w:val="-16"/>
          <w:sz w:val="15"/>
        </w:rPr>
        <w:t xml:space="preserve">a </w:t>
      </w:r>
      <w:r>
        <w:rPr>
          <w:color w:val="231F20"/>
          <w:sz w:val="15"/>
        </w:rPr>
        <w:t>pojistnou</w:t>
      </w:r>
      <w:r>
        <w:rPr>
          <w:color w:val="231F20"/>
          <w:spacing w:val="-6"/>
          <w:sz w:val="15"/>
        </w:rPr>
        <w:t xml:space="preserve"> </w:t>
      </w:r>
      <w:r>
        <w:rPr>
          <w:color w:val="231F20"/>
          <w:sz w:val="15"/>
        </w:rPr>
        <w:t>smlouvou</w:t>
      </w:r>
      <w:r>
        <w:rPr>
          <w:color w:val="231F20"/>
          <w:spacing w:val="-6"/>
          <w:sz w:val="15"/>
        </w:rPr>
        <w:t xml:space="preserve"> </w:t>
      </w:r>
      <w:r>
        <w:rPr>
          <w:color w:val="231F20"/>
          <w:sz w:val="15"/>
        </w:rPr>
        <w:t>má</w:t>
      </w:r>
      <w:r>
        <w:rPr>
          <w:color w:val="231F20"/>
          <w:spacing w:val="-5"/>
          <w:sz w:val="15"/>
        </w:rPr>
        <w:t xml:space="preserve"> </w:t>
      </w:r>
      <w:r>
        <w:rPr>
          <w:color w:val="231F20"/>
          <w:sz w:val="15"/>
        </w:rPr>
        <w:t>pojistník,</w:t>
      </w:r>
      <w:r>
        <w:rPr>
          <w:color w:val="231F20"/>
          <w:spacing w:val="-6"/>
          <w:sz w:val="15"/>
        </w:rPr>
        <w:t xml:space="preserve"> </w:t>
      </w:r>
      <w:r>
        <w:rPr>
          <w:color w:val="231F20"/>
          <w:sz w:val="15"/>
        </w:rPr>
        <w:t>pojištěný</w:t>
      </w:r>
      <w:r>
        <w:rPr>
          <w:color w:val="231F20"/>
          <w:spacing w:val="-5"/>
          <w:sz w:val="15"/>
        </w:rPr>
        <w:t xml:space="preserve"> </w:t>
      </w:r>
      <w:r>
        <w:rPr>
          <w:color w:val="231F20"/>
          <w:sz w:val="15"/>
        </w:rPr>
        <w:t>nebo</w:t>
      </w:r>
      <w:r>
        <w:rPr>
          <w:color w:val="231F20"/>
          <w:spacing w:val="-6"/>
          <w:sz w:val="15"/>
        </w:rPr>
        <w:t xml:space="preserve"> </w:t>
      </w:r>
      <w:r>
        <w:rPr>
          <w:color w:val="231F20"/>
          <w:sz w:val="15"/>
        </w:rPr>
        <w:t>oprávněná</w:t>
      </w:r>
      <w:r>
        <w:rPr>
          <w:color w:val="231F20"/>
          <w:spacing w:val="-5"/>
          <w:sz w:val="15"/>
        </w:rPr>
        <w:t xml:space="preserve"> </w:t>
      </w:r>
      <w:r>
        <w:rPr>
          <w:color w:val="231F20"/>
          <w:sz w:val="15"/>
        </w:rPr>
        <w:t>osoba,</w:t>
      </w:r>
      <w:r>
        <w:rPr>
          <w:color w:val="231F20"/>
          <w:spacing w:val="-6"/>
          <w:sz w:val="15"/>
        </w:rPr>
        <w:t xml:space="preserve"> </w:t>
      </w:r>
      <w:r>
        <w:rPr>
          <w:color w:val="231F20"/>
          <w:spacing w:val="-4"/>
          <w:sz w:val="15"/>
        </w:rPr>
        <w:t xml:space="preserve">pokud </w:t>
      </w:r>
      <w:r>
        <w:rPr>
          <w:color w:val="231F20"/>
          <w:sz w:val="15"/>
        </w:rPr>
        <w:t>není</w:t>
      </w:r>
      <w:r>
        <w:rPr>
          <w:color w:val="231F20"/>
          <w:spacing w:val="-12"/>
          <w:sz w:val="15"/>
        </w:rPr>
        <w:t xml:space="preserve"> </w:t>
      </w:r>
      <w:r>
        <w:rPr>
          <w:color w:val="231F20"/>
          <w:sz w:val="15"/>
        </w:rPr>
        <w:t>v</w:t>
      </w:r>
      <w:r>
        <w:rPr>
          <w:color w:val="231F20"/>
          <w:spacing w:val="-11"/>
          <w:sz w:val="15"/>
        </w:rPr>
        <w:t xml:space="preserve"> </w:t>
      </w:r>
      <w:r>
        <w:rPr>
          <w:color w:val="231F20"/>
          <w:sz w:val="15"/>
        </w:rPr>
        <w:t>pojistné</w:t>
      </w:r>
      <w:r>
        <w:rPr>
          <w:color w:val="231F20"/>
          <w:spacing w:val="-12"/>
          <w:sz w:val="15"/>
        </w:rPr>
        <w:t xml:space="preserve"> </w:t>
      </w:r>
      <w:r>
        <w:rPr>
          <w:color w:val="231F20"/>
          <w:sz w:val="15"/>
        </w:rPr>
        <w:t>smlouvě</w:t>
      </w:r>
      <w:r>
        <w:rPr>
          <w:color w:val="231F20"/>
          <w:spacing w:val="-11"/>
          <w:sz w:val="15"/>
        </w:rPr>
        <w:t xml:space="preserve"> </w:t>
      </w:r>
      <w:r>
        <w:rPr>
          <w:color w:val="231F20"/>
          <w:sz w:val="15"/>
        </w:rPr>
        <w:t>stanoveno</w:t>
      </w:r>
      <w:r>
        <w:rPr>
          <w:color w:val="231F20"/>
          <w:spacing w:val="-11"/>
          <w:sz w:val="15"/>
        </w:rPr>
        <w:t xml:space="preserve"> </w:t>
      </w:r>
      <w:r>
        <w:rPr>
          <w:color w:val="231F20"/>
          <w:sz w:val="15"/>
        </w:rPr>
        <w:t>jinak,</w:t>
      </w:r>
      <w:r>
        <w:rPr>
          <w:color w:val="231F20"/>
          <w:spacing w:val="-12"/>
          <w:sz w:val="15"/>
        </w:rPr>
        <w:t xml:space="preserve"> </w:t>
      </w:r>
      <w:r>
        <w:rPr>
          <w:color w:val="231F20"/>
          <w:sz w:val="15"/>
        </w:rPr>
        <w:t>povinnost</w:t>
      </w:r>
      <w:r>
        <w:rPr>
          <w:color w:val="231F20"/>
          <w:spacing w:val="-11"/>
          <w:sz w:val="15"/>
        </w:rPr>
        <w:t xml:space="preserve"> </w:t>
      </w:r>
      <w:r>
        <w:rPr>
          <w:color w:val="231F20"/>
          <w:sz w:val="15"/>
        </w:rPr>
        <w:t>zabezpečit</w:t>
      </w:r>
      <w:r>
        <w:rPr>
          <w:color w:val="231F20"/>
          <w:spacing w:val="-11"/>
          <w:sz w:val="15"/>
        </w:rPr>
        <w:t xml:space="preserve"> </w:t>
      </w:r>
      <w:r>
        <w:rPr>
          <w:color w:val="231F20"/>
          <w:sz w:val="15"/>
        </w:rPr>
        <w:t>vůči</w:t>
      </w:r>
      <w:r>
        <w:rPr>
          <w:color w:val="231F20"/>
          <w:spacing w:val="-12"/>
          <w:sz w:val="15"/>
        </w:rPr>
        <w:t xml:space="preserve"> </w:t>
      </w:r>
      <w:r>
        <w:rPr>
          <w:color w:val="231F20"/>
          <w:spacing w:val="-3"/>
          <w:sz w:val="15"/>
        </w:rPr>
        <w:t xml:space="preserve">jinému </w:t>
      </w:r>
      <w:r>
        <w:rPr>
          <w:color w:val="231F20"/>
          <w:sz w:val="15"/>
        </w:rPr>
        <w:t>práva,</w:t>
      </w:r>
      <w:r>
        <w:rPr>
          <w:color w:val="231F20"/>
          <w:spacing w:val="-17"/>
          <w:sz w:val="15"/>
        </w:rPr>
        <w:t xml:space="preserve"> </w:t>
      </w:r>
      <w:r>
        <w:rPr>
          <w:color w:val="231F20"/>
          <w:sz w:val="15"/>
        </w:rPr>
        <w:t>která</w:t>
      </w:r>
      <w:r>
        <w:rPr>
          <w:color w:val="231F20"/>
          <w:spacing w:val="-16"/>
          <w:sz w:val="15"/>
        </w:rPr>
        <w:t xml:space="preserve"> </w:t>
      </w:r>
      <w:r>
        <w:rPr>
          <w:color w:val="231F20"/>
          <w:sz w:val="15"/>
        </w:rPr>
        <w:t>na</w:t>
      </w:r>
      <w:r>
        <w:rPr>
          <w:color w:val="231F20"/>
          <w:spacing w:val="-16"/>
          <w:sz w:val="15"/>
        </w:rPr>
        <w:t xml:space="preserve"> </w:t>
      </w:r>
      <w:r>
        <w:rPr>
          <w:color w:val="231F20"/>
          <w:sz w:val="15"/>
        </w:rPr>
        <w:t>Pojišťovnu</w:t>
      </w:r>
      <w:r>
        <w:rPr>
          <w:color w:val="231F20"/>
          <w:spacing w:val="-16"/>
          <w:sz w:val="15"/>
        </w:rPr>
        <w:t xml:space="preserve"> </w:t>
      </w:r>
      <w:r>
        <w:rPr>
          <w:color w:val="231F20"/>
          <w:sz w:val="15"/>
        </w:rPr>
        <w:t>přechází,</w:t>
      </w:r>
      <w:r>
        <w:rPr>
          <w:color w:val="231F20"/>
          <w:spacing w:val="-16"/>
          <w:sz w:val="15"/>
        </w:rPr>
        <w:t xml:space="preserve"> </w:t>
      </w:r>
      <w:r>
        <w:rPr>
          <w:color w:val="231F20"/>
          <w:sz w:val="15"/>
        </w:rPr>
        <w:t>zejména</w:t>
      </w:r>
      <w:r>
        <w:rPr>
          <w:color w:val="231F20"/>
          <w:spacing w:val="-16"/>
          <w:sz w:val="15"/>
        </w:rPr>
        <w:t xml:space="preserve"> </w:t>
      </w:r>
      <w:r>
        <w:rPr>
          <w:color w:val="231F20"/>
          <w:sz w:val="15"/>
        </w:rPr>
        <w:t>právo</w:t>
      </w:r>
      <w:r>
        <w:rPr>
          <w:color w:val="231F20"/>
          <w:spacing w:val="-16"/>
          <w:sz w:val="15"/>
        </w:rPr>
        <w:t xml:space="preserve"> </w:t>
      </w:r>
      <w:r>
        <w:rPr>
          <w:color w:val="231F20"/>
          <w:sz w:val="15"/>
        </w:rPr>
        <w:t>na</w:t>
      </w:r>
      <w:r>
        <w:rPr>
          <w:color w:val="231F20"/>
          <w:spacing w:val="-16"/>
          <w:sz w:val="15"/>
        </w:rPr>
        <w:t xml:space="preserve"> </w:t>
      </w:r>
      <w:r>
        <w:rPr>
          <w:color w:val="231F20"/>
          <w:sz w:val="15"/>
        </w:rPr>
        <w:t>náhradu</w:t>
      </w:r>
      <w:r>
        <w:rPr>
          <w:color w:val="231F20"/>
          <w:spacing w:val="-16"/>
          <w:sz w:val="15"/>
        </w:rPr>
        <w:t xml:space="preserve"> </w:t>
      </w:r>
      <w:r>
        <w:rPr>
          <w:color w:val="231F20"/>
          <w:sz w:val="15"/>
        </w:rPr>
        <w:t>škody</w:t>
      </w:r>
      <w:r>
        <w:rPr>
          <w:color w:val="231F20"/>
          <w:spacing w:val="-16"/>
          <w:sz w:val="15"/>
        </w:rPr>
        <w:t xml:space="preserve"> </w:t>
      </w:r>
      <w:r>
        <w:rPr>
          <w:color w:val="231F20"/>
          <w:sz w:val="15"/>
        </w:rPr>
        <w:t>a</w:t>
      </w:r>
      <w:r>
        <w:rPr>
          <w:color w:val="231F20"/>
          <w:spacing w:val="-16"/>
          <w:sz w:val="15"/>
        </w:rPr>
        <w:t xml:space="preserve"> </w:t>
      </w:r>
      <w:r>
        <w:rPr>
          <w:color w:val="231F20"/>
          <w:spacing w:val="-8"/>
          <w:sz w:val="15"/>
        </w:rPr>
        <w:t xml:space="preserve">na </w:t>
      </w:r>
      <w:r>
        <w:rPr>
          <w:color w:val="231F20"/>
          <w:sz w:val="15"/>
        </w:rPr>
        <w:t>postih a vypořádání nebo jiná obdobná</w:t>
      </w:r>
      <w:r>
        <w:rPr>
          <w:color w:val="231F20"/>
          <w:spacing w:val="-11"/>
          <w:sz w:val="15"/>
        </w:rPr>
        <w:t xml:space="preserve"> </w:t>
      </w:r>
      <w:r>
        <w:rPr>
          <w:color w:val="231F20"/>
          <w:sz w:val="15"/>
        </w:rPr>
        <w:t>práva.</w:t>
      </w:r>
    </w:p>
    <w:p w14:paraId="00897983" w14:textId="77777777" w:rsidR="00F65BCA" w:rsidRDefault="00216117">
      <w:pPr>
        <w:pStyle w:val="Zkladntext"/>
        <w:spacing w:line="172" w:lineRule="exact"/>
        <w:ind w:left="428"/>
        <w:jc w:val="both"/>
      </w:pPr>
      <w:r>
        <w:rPr>
          <w:color w:val="231F20"/>
          <w:position w:val="1"/>
          <w:sz w:val="14"/>
          <w:shd w:val="clear" w:color="auto" w:fill="D1D3D4"/>
        </w:rPr>
        <w:t xml:space="preserve">  </w:t>
      </w:r>
      <w:r>
        <w:rPr>
          <w:color w:val="231F20"/>
          <w:w w:val="105"/>
          <w:position w:val="1"/>
          <w:sz w:val="14"/>
          <w:shd w:val="clear" w:color="auto" w:fill="D1D3D4"/>
        </w:rPr>
        <w:t>4</w:t>
      </w:r>
      <w:r>
        <w:rPr>
          <w:color w:val="231F20"/>
          <w:w w:val="105"/>
          <w:position w:val="1"/>
          <w:sz w:val="14"/>
        </w:rPr>
        <w:t xml:space="preserve"> </w:t>
      </w:r>
      <w:r>
        <w:rPr>
          <w:color w:val="231F20"/>
          <w:w w:val="105"/>
        </w:rPr>
        <w:t>Následky porušení povinností</w:t>
      </w:r>
    </w:p>
    <w:p w14:paraId="35073E87" w14:textId="77777777" w:rsidR="00F65BCA" w:rsidRDefault="00216117">
      <w:pPr>
        <w:pStyle w:val="Odstavecseseznamem"/>
        <w:numPr>
          <w:ilvl w:val="0"/>
          <w:numId w:val="125"/>
        </w:numPr>
        <w:tabs>
          <w:tab w:val="left" w:pos="881"/>
        </w:tabs>
        <w:spacing w:before="27" w:line="278" w:lineRule="auto"/>
        <w:ind w:right="1"/>
        <w:jc w:val="both"/>
        <w:rPr>
          <w:sz w:val="15"/>
        </w:rPr>
      </w:pPr>
      <w:r>
        <w:rPr>
          <w:color w:val="231F20"/>
          <w:sz w:val="15"/>
        </w:rPr>
        <w:t>V</w:t>
      </w:r>
      <w:r>
        <w:rPr>
          <w:color w:val="231F20"/>
          <w:spacing w:val="-19"/>
          <w:sz w:val="15"/>
        </w:rPr>
        <w:t xml:space="preserve"> </w:t>
      </w:r>
      <w:r>
        <w:rPr>
          <w:color w:val="231F20"/>
          <w:sz w:val="15"/>
        </w:rPr>
        <w:t>případě</w:t>
      </w:r>
      <w:r>
        <w:rPr>
          <w:color w:val="231F20"/>
          <w:spacing w:val="-19"/>
          <w:sz w:val="15"/>
        </w:rPr>
        <w:t xml:space="preserve"> </w:t>
      </w:r>
      <w:r>
        <w:rPr>
          <w:color w:val="231F20"/>
          <w:sz w:val="15"/>
        </w:rPr>
        <w:t>porušení</w:t>
      </w:r>
      <w:r>
        <w:rPr>
          <w:color w:val="231F20"/>
          <w:spacing w:val="-19"/>
          <w:sz w:val="15"/>
        </w:rPr>
        <w:t xml:space="preserve"> </w:t>
      </w:r>
      <w:r>
        <w:rPr>
          <w:color w:val="231F20"/>
          <w:sz w:val="15"/>
        </w:rPr>
        <w:t>povinností</w:t>
      </w:r>
      <w:r>
        <w:rPr>
          <w:color w:val="231F20"/>
          <w:spacing w:val="-19"/>
          <w:sz w:val="15"/>
        </w:rPr>
        <w:t xml:space="preserve"> </w:t>
      </w:r>
      <w:r>
        <w:rPr>
          <w:color w:val="231F20"/>
          <w:sz w:val="15"/>
        </w:rPr>
        <w:t>k</w:t>
      </w:r>
      <w:r>
        <w:rPr>
          <w:color w:val="231F20"/>
          <w:spacing w:val="-18"/>
          <w:sz w:val="15"/>
        </w:rPr>
        <w:t xml:space="preserve"> </w:t>
      </w:r>
      <w:r>
        <w:rPr>
          <w:color w:val="231F20"/>
          <w:sz w:val="15"/>
        </w:rPr>
        <w:t>pravdivým</w:t>
      </w:r>
      <w:r>
        <w:rPr>
          <w:color w:val="231F20"/>
          <w:spacing w:val="-19"/>
          <w:sz w:val="15"/>
        </w:rPr>
        <w:t xml:space="preserve"> </w:t>
      </w:r>
      <w:r>
        <w:rPr>
          <w:color w:val="231F20"/>
          <w:sz w:val="15"/>
        </w:rPr>
        <w:t>sdělením</w:t>
      </w:r>
      <w:r>
        <w:rPr>
          <w:color w:val="231F20"/>
          <w:spacing w:val="-19"/>
          <w:sz w:val="15"/>
        </w:rPr>
        <w:t xml:space="preserve"> </w:t>
      </w:r>
      <w:r>
        <w:rPr>
          <w:color w:val="231F20"/>
          <w:sz w:val="15"/>
        </w:rPr>
        <w:t>či</w:t>
      </w:r>
      <w:r>
        <w:rPr>
          <w:color w:val="231F20"/>
          <w:spacing w:val="-19"/>
          <w:sz w:val="15"/>
        </w:rPr>
        <w:t xml:space="preserve"> </w:t>
      </w:r>
      <w:r>
        <w:rPr>
          <w:color w:val="231F20"/>
          <w:sz w:val="15"/>
        </w:rPr>
        <w:t>jiných</w:t>
      </w:r>
      <w:r>
        <w:rPr>
          <w:color w:val="231F20"/>
          <w:spacing w:val="-18"/>
          <w:sz w:val="15"/>
        </w:rPr>
        <w:t xml:space="preserve"> </w:t>
      </w:r>
      <w:r>
        <w:rPr>
          <w:color w:val="231F20"/>
          <w:sz w:val="15"/>
        </w:rPr>
        <w:t>povinností</w:t>
      </w:r>
      <w:r>
        <w:rPr>
          <w:color w:val="231F20"/>
          <w:spacing w:val="-19"/>
          <w:sz w:val="15"/>
        </w:rPr>
        <w:t xml:space="preserve"> </w:t>
      </w:r>
      <w:r>
        <w:rPr>
          <w:color w:val="231F20"/>
          <w:sz w:val="15"/>
        </w:rPr>
        <w:t>při sjednání</w:t>
      </w:r>
      <w:r>
        <w:rPr>
          <w:color w:val="231F20"/>
          <w:spacing w:val="-7"/>
          <w:sz w:val="15"/>
        </w:rPr>
        <w:t xml:space="preserve"> </w:t>
      </w:r>
      <w:r>
        <w:rPr>
          <w:color w:val="231F20"/>
          <w:sz w:val="15"/>
        </w:rPr>
        <w:t>pojistné</w:t>
      </w:r>
      <w:r>
        <w:rPr>
          <w:color w:val="231F20"/>
          <w:spacing w:val="-7"/>
          <w:sz w:val="15"/>
        </w:rPr>
        <w:t xml:space="preserve"> </w:t>
      </w:r>
      <w:r>
        <w:rPr>
          <w:color w:val="231F20"/>
          <w:sz w:val="15"/>
        </w:rPr>
        <w:t>smlouvy</w:t>
      </w:r>
      <w:r>
        <w:rPr>
          <w:color w:val="231F20"/>
          <w:spacing w:val="-7"/>
          <w:sz w:val="15"/>
        </w:rPr>
        <w:t xml:space="preserve"> </w:t>
      </w:r>
      <w:r>
        <w:rPr>
          <w:color w:val="231F20"/>
          <w:sz w:val="15"/>
        </w:rPr>
        <w:t>a</w:t>
      </w:r>
      <w:r>
        <w:rPr>
          <w:color w:val="231F20"/>
          <w:spacing w:val="-6"/>
          <w:sz w:val="15"/>
        </w:rPr>
        <w:t xml:space="preserve"> </w:t>
      </w:r>
      <w:r>
        <w:rPr>
          <w:color w:val="231F20"/>
          <w:sz w:val="15"/>
        </w:rPr>
        <w:t>při</w:t>
      </w:r>
      <w:r>
        <w:rPr>
          <w:color w:val="231F20"/>
          <w:spacing w:val="-7"/>
          <w:sz w:val="15"/>
        </w:rPr>
        <w:t xml:space="preserve"> </w:t>
      </w:r>
      <w:r>
        <w:rPr>
          <w:color w:val="231F20"/>
          <w:sz w:val="15"/>
        </w:rPr>
        <w:t>jejích</w:t>
      </w:r>
      <w:r>
        <w:rPr>
          <w:color w:val="231F20"/>
          <w:spacing w:val="-7"/>
          <w:sz w:val="15"/>
        </w:rPr>
        <w:t xml:space="preserve"> </w:t>
      </w:r>
      <w:r>
        <w:rPr>
          <w:color w:val="231F20"/>
          <w:sz w:val="15"/>
        </w:rPr>
        <w:t>změnách,</w:t>
      </w:r>
      <w:r>
        <w:rPr>
          <w:color w:val="231F20"/>
          <w:spacing w:val="-7"/>
          <w:sz w:val="15"/>
        </w:rPr>
        <w:t xml:space="preserve"> </w:t>
      </w:r>
      <w:r>
        <w:rPr>
          <w:color w:val="231F20"/>
          <w:sz w:val="15"/>
        </w:rPr>
        <w:t>mají</w:t>
      </w:r>
      <w:r>
        <w:rPr>
          <w:color w:val="231F20"/>
          <w:spacing w:val="-6"/>
          <w:sz w:val="15"/>
        </w:rPr>
        <w:t xml:space="preserve"> </w:t>
      </w:r>
      <w:r>
        <w:rPr>
          <w:color w:val="231F20"/>
          <w:sz w:val="15"/>
        </w:rPr>
        <w:t>Pojišťovna</w:t>
      </w:r>
      <w:r>
        <w:rPr>
          <w:color w:val="231F20"/>
          <w:spacing w:val="-7"/>
          <w:sz w:val="15"/>
        </w:rPr>
        <w:t xml:space="preserve"> </w:t>
      </w:r>
      <w:r>
        <w:rPr>
          <w:color w:val="231F20"/>
          <w:sz w:val="15"/>
        </w:rPr>
        <w:t>i</w:t>
      </w:r>
      <w:r>
        <w:rPr>
          <w:color w:val="231F20"/>
          <w:spacing w:val="-7"/>
          <w:sz w:val="15"/>
        </w:rPr>
        <w:t xml:space="preserve"> </w:t>
      </w:r>
      <w:r>
        <w:rPr>
          <w:color w:val="231F20"/>
          <w:sz w:val="15"/>
        </w:rPr>
        <w:t xml:space="preserve">pojistník právo odstoupit od pojistné smlouvy za podmínek stanovených v </w:t>
      </w:r>
      <w:r>
        <w:rPr>
          <w:color w:val="231F20"/>
          <w:spacing w:val="-3"/>
          <w:sz w:val="15"/>
        </w:rPr>
        <w:t xml:space="preserve">zákoní- </w:t>
      </w:r>
      <w:r>
        <w:rPr>
          <w:color w:val="231F20"/>
          <w:sz w:val="15"/>
        </w:rPr>
        <w:t>ku;</w:t>
      </w:r>
      <w:r>
        <w:rPr>
          <w:color w:val="231F20"/>
          <w:spacing w:val="-12"/>
          <w:sz w:val="15"/>
        </w:rPr>
        <w:t xml:space="preserve"> </w:t>
      </w:r>
      <w:r>
        <w:rPr>
          <w:color w:val="231F20"/>
          <w:sz w:val="15"/>
        </w:rPr>
        <w:t>odstoupením</w:t>
      </w:r>
      <w:r>
        <w:rPr>
          <w:color w:val="231F20"/>
          <w:spacing w:val="-11"/>
          <w:sz w:val="15"/>
        </w:rPr>
        <w:t xml:space="preserve"> </w:t>
      </w:r>
      <w:r>
        <w:rPr>
          <w:color w:val="231F20"/>
          <w:sz w:val="15"/>
        </w:rPr>
        <w:t>od</w:t>
      </w:r>
      <w:r>
        <w:rPr>
          <w:color w:val="231F20"/>
          <w:spacing w:val="-11"/>
          <w:sz w:val="15"/>
        </w:rPr>
        <w:t xml:space="preserve"> </w:t>
      </w:r>
      <w:r>
        <w:rPr>
          <w:color w:val="231F20"/>
          <w:sz w:val="15"/>
        </w:rPr>
        <w:t>pojistné</w:t>
      </w:r>
      <w:r>
        <w:rPr>
          <w:color w:val="231F20"/>
          <w:spacing w:val="-11"/>
          <w:sz w:val="15"/>
        </w:rPr>
        <w:t xml:space="preserve"> </w:t>
      </w:r>
      <w:r>
        <w:rPr>
          <w:color w:val="231F20"/>
          <w:sz w:val="15"/>
        </w:rPr>
        <w:t>smlouvy</w:t>
      </w:r>
      <w:r>
        <w:rPr>
          <w:color w:val="231F20"/>
          <w:spacing w:val="-11"/>
          <w:sz w:val="15"/>
        </w:rPr>
        <w:t xml:space="preserve"> </w:t>
      </w:r>
      <w:r>
        <w:rPr>
          <w:color w:val="231F20"/>
          <w:sz w:val="15"/>
        </w:rPr>
        <w:t>se</w:t>
      </w:r>
      <w:r>
        <w:rPr>
          <w:color w:val="231F20"/>
          <w:spacing w:val="-11"/>
          <w:sz w:val="15"/>
        </w:rPr>
        <w:t xml:space="preserve"> </w:t>
      </w:r>
      <w:r>
        <w:rPr>
          <w:color w:val="231F20"/>
          <w:sz w:val="15"/>
        </w:rPr>
        <w:t>pojistná</w:t>
      </w:r>
      <w:r>
        <w:rPr>
          <w:color w:val="231F20"/>
          <w:spacing w:val="-11"/>
          <w:sz w:val="15"/>
        </w:rPr>
        <w:t xml:space="preserve"> </w:t>
      </w:r>
      <w:r>
        <w:rPr>
          <w:color w:val="231F20"/>
          <w:sz w:val="15"/>
        </w:rPr>
        <w:t>smlouva</w:t>
      </w:r>
      <w:r>
        <w:rPr>
          <w:color w:val="231F20"/>
          <w:spacing w:val="-11"/>
          <w:sz w:val="15"/>
        </w:rPr>
        <w:t xml:space="preserve"> </w:t>
      </w:r>
      <w:r>
        <w:rPr>
          <w:color w:val="231F20"/>
          <w:sz w:val="15"/>
        </w:rPr>
        <w:t>od</w:t>
      </w:r>
      <w:r>
        <w:rPr>
          <w:color w:val="231F20"/>
          <w:spacing w:val="-11"/>
          <w:sz w:val="15"/>
        </w:rPr>
        <w:t xml:space="preserve"> </w:t>
      </w:r>
      <w:r>
        <w:rPr>
          <w:color w:val="231F20"/>
          <w:sz w:val="15"/>
        </w:rPr>
        <w:t>počátku</w:t>
      </w:r>
      <w:r>
        <w:rPr>
          <w:color w:val="231F20"/>
          <w:spacing w:val="-11"/>
          <w:sz w:val="15"/>
        </w:rPr>
        <w:t xml:space="preserve"> </w:t>
      </w:r>
      <w:r>
        <w:rPr>
          <w:color w:val="231F20"/>
          <w:spacing w:val="-4"/>
          <w:sz w:val="15"/>
        </w:rPr>
        <w:t xml:space="preserve">ruší; </w:t>
      </w:r>
      <w:r>
        <w:rPr>
          <w:color w:val="231F20"/>
          <w:sz w:val="15"/>
        </w:rPr>
        <w:t>odstoupí-li</w:t>
      </w:r>
      <w:r>
        <w:rPr>
          <w:color w:val="231F20"/>
          <w:spacing w:val="-24"/>
          <w:sz w:val="15"/>
        </w:rPr>
        <w:t xml:space="preserve"> </w:t>
      </w:r>
      <w:r>
        <w:rPr>
          <w:color w:val="231F20"/>
          <w:sz w:val="15"/>
        </w:rPr>
        <w:t>pojistník</w:t>
      </w:r>
      <w:r>
        <w:rPr>
          <w:color w:val="231F20"/>
          <w:spacing w:val="-23"/>
          <w:sz w:val="15"/>
        </w:rPr>
        <w:t xml:space="preserve"> </w:t>
      </w:r>
      <w:r>
        <w:rPr>
          <w:color w:val="231F20"/>
          <w:sz w:val="15"/>
        </w:rPr>
        <w:t>od</w:t>
      </w:r>
      <w:r>
        <w:rPr>
          <w:color w:val="231F20"/>
          <w:spacing w:val="-23"/>
          <w:sz w:val="15"/>
        </w:rPr>
        <w:t xml:space="preserve"> </w:t>
      </w:r>
      <w:r>
        <w:rPr>
          <w:color w:val="231F20"/>
          <w:sz w:val="15"/>
        </w:rPr>
        <w:t>pojistné</w:t>
      </w:r>
      <w:r>
        <w:rPr>
          <w:color w:val="231F20"/>
          <w:spacing w:val="-23"/>
          <w:sz w:val="15"/>
        </w:rPr>
        <w:t xml:space="preserve"> </w:t>
      </w:r>
      <w:r>
        <w:rPr>
          <w:color w:val="231F20"/>
          <w:sz w:val="15"/>
        </w:rPr>
        <w:t>smlouvy,</w:t>
      </w:r>
      <w:r>
        <w:rPr>
          <w:color w:val="231F20"/>
          <w:spacing w:val="-23"/>
          <w:sz w:val="15"/>
        </w:rPr>
        <w:t xml:space="preserve"> </w:t>
      </w:r>
      <w:r>
        <w:rPr>
          <w:color w:val="231F20"/>
          <w:sz w:val="15"/>
        </w:rPr>
        <w:t>nahradí</w:t>
      </w:r>
      <w:r>
        <w:rPr>
          <w:color w:val="231F20"/>
          <w:spacing w:val="-23"/>
          <w:sz w:val="15"/>
        </w:rPr>
        <w:t xml:space="preserve"> </w:t>
      </w:r>
      <w:r>
        <w:rPr>
          <w:color w:val="231F20"/>
          <w:sz w:val="15"/>
        </w:rPr>
        <w:t>mu</w:t>
      </w:r>
      <w:r>
        <w:rPr>
          <w:color w:val="231F20"/>
          <w:spacing w:val="-23"/>
          <w:sz w:val="15"/>
        </w:rPr>
        <w:t xml:space="preserve"> </w:t>
      </w:r>
      <w:r>
        <w:rPr>
          <w:color w:val="231F20"/>
          <w:sz w:val="15"/>
        </w:rPr>
        <w:t>Pojišťovna</w:t>
      </w:r>
      <w:r>
        <w:rPr>
          <w:color w:val="231F20"/>
          <w:spacing w:val="-23"/>
          <w:sz w:val="15"/>
        </w:rPr>
        <w:t xml:space="preserve"> </w:t>
      </w:r>
      <w:r>
        <w:rPr>
          <w:color w:val="231F20"/>
          <w:sz w:val="15"/>
        </w:rPr>
        <w:t>do</w:t>
      </w:r>
      <w:r>
        <w:rPr>
          <w:color w:val="231F20"/>
          <w:spacing w:val="-23"/>
          <w:sz w:val="15"/>
        </w:rPr>
        <w:t xml:space="preserve"> </w:t>
      </w:r>
      <w:r>
        <w:rPr>
          <w:color w:val="231F20"/>
          <w:sz w:val="15"/>
        </w:rPr>
        <w:t>jednoho měsíce</w:t>
      </w:r>
      <w:r>
        <w:rPr>
          <w:color w:val="231F20"/>
          <w:spacing w:val="-17"/>
          <w:sz w:val="15"/>
        </w:rPr>
        <w:t xml:space="preserve"> </w:t>
      </w:r>
      <w:r>
        <w:rPr>
          <w:color w:val="231F20"/>
          <w:sz w:val="15"/>
        </w:rPr>
        <w:t>ode</w:t>
      </w:r>
      <w:r>
        <w:rPr>
          <w:color w:val="231F20"/>
          <w:spacing w:val="-17"/>
          <w:sz w:val="15"/>
        </w:rPr>
        <w:t xml:space="preserve"> </w:t>
      </w:r>
      <w:r>
        <w:rPr>
          <w:color w:val="231F20"/>
          <w:sz w:val="15"/>
        </w:rPr>
        <w:t>dne,</w:t>
      </w:r>
      <w:r>
        <w:rPr>
          <w:color w:val="231F20"/>
          <w:spacing w:val="-17"/>
          <w:sz w:val="15"/>
        </w:rPr>
        <w:t xml:space="preserve"> </w:t>
      </w:r>
      <w:r>
        <w:rPr>
          <w:color w:val="231F20"/>
          <w:sz w:val="15"/>
        </w:rPr>
        <w:t>kdy</w:t>
      </w:r>
      <w:r>
        <w:rPr>
          <w:color w:val="231F20"/>
          <w:spacing w:val="-16"/>
          <w:sz w:val="15"/>
        </w:rPr>
        <w:t xml:space="preserve"> </w:t>
      </w:r>
      <w:r>
        <w:rPr>
          <w:color w:val="231F20"/>
          <w:sz w:val="15"/>
        </w:rPr>
        <w:t>se</w:t>
      </w:r>
      <w:r>
        <w:rPr>
          <w:color w:val="231F20"/>
          <w:spacing w:val="-17"/>
          <w:sz w:val="15"/>
        </w:rPr>
        <w:t xml:space="preserve"> </w:t>
      </w:r>
      <w:r>
        <w:rPr>
          <w:color w:val="231F20"/>
          <w:sz w:val="15"/>
        </w:rPr>
        <w:t>odstoupení</w:t>
      </w:r>
      <w:r>
        <w:rPr>
          <w:color w:val="231F20"/>
          <w:spacing w:val="-17"/>
          <w:sz w:val="15"/>
        </w:rPr>
        <w:t xml:space="preserve"> </w:t>
      </w:r>
      <w:r>
        <w:rPr>
          <w:color w:val="231F20"/>
          <w:sz w:val="15"/>
        </w:rPr>
        <w:t>stane</w:t>
      </w:r>
      <w:r>
        <w:rPr>
          <w:color w:val="231F20"/>
          <w:spacing w:val="-17"/>
          <w:sz w:val="15"/>
        </w:rPr>
        <w:t xml:space="preserve"> </w:t>
      </w:r>
      <w:r>
        <w:rPr>
          <w:color w:val="231F20"/>
          <w:sz w:val="15"/>
        </w:rPr>
        <w:t>účinným,</w:t>
      </w:r>
      <w:r>
        <w:rPr>
          <w:color w:val="231F20"/>
          <w:spacing w:val="-16"/>
          <w:sz w:val="15"/>
        </w:rPr>
        <w:t xml:space="preserve"> </w:t>
      </w:r>
      <w:r>
        <w:rPr>
          <w:color w:val="231F20"/>
          <w:sz w:val="15"/>
        </w:rPr>
        <w:t>zaplacené</w:t>
      </w:r>
      <w:r>
        <w:rPr>
          <w:color w:val="231F20"/>
          <w:spacing w:val="-17"/>
          <w:sz w:val="15"/>
        </w:rPr>
        <w:t xml:space="preserve"> </w:t>
      </w:r>
      <w:r>
        <w:rPr>
          <w:color w:val="231F20"/>
          <w:sz w:val="15"/>
        </w:rPr>
        <w:t>pojistné</w:t>
      </w:r>
      <w:r>
        <w:rPr>
          <w:color w:val="231F20"/>
          <w:spacing w:val="-17"/>
          <w:sz w:val="15"/>
        </w:rPr>
        <w:t xml:space="preserve"> </w:t>
      </w:r>
      <w:r>
        <w:rPr>
          <w:color w:val="231F20"/>
          <w:spacing w:val="-5"/>
          <w:sz w:val="15"/>
        </w:rPr>
        <w:t xml:space="preserve">sní- </w:t>
      </w:r>
      <w:r>
        <w:rPr>
          <w:color w:val="231F20"/>
          <w:sz w:val="15"/>
        </w:rPr>
        <w:t>žené</w:t>
      </w:r>
      <w:r>
        <w:rPr>
          <w:color w:val="231F20"/>
          <w:spacing w:val="-19"/>
          <w:sz w:val="15"/>
        </w:rPr>
        <w:t xml:space="preserve"> </w:t>
      </w:r>
      <w:r>
        <w:rPr>
          <w:color w:val="231F20"/>
          <w:sz w:val="15"/>
        </w:rPr>
        <w:t>o</w:t>
      </w:r>
      <w:r>
        <w:rPr>
          <w:color w:val="231F20"/>
          <w:spacing w:val="-18"/>
          <w:sz w:val="15"/>
        </w:rPr>
        <w:t xml:space="preserve"> </w:t>
      </w:r>
      <w:r>
        <w:rPr>
          <w:color w:val="231F20"/>
          <w:sz w:val="15"/>
        </w:rPr>
        <w:t>to,</w:t>
      </w:r>
      <w:r>
        <w:rPr>
          <w:color w:val="231F20"/>
          <w:spacing w:val="-19"/>
          <w:sz w:val="15"/>
        </w:rPr>
        <w:t xml:space="preserve"> </w:t>
      </w:r>
      <w:r>
        <w:rPr>
          <w:color w:val="231F20"/>
          <w:sz w:val="15"/>
        </w:rPr>
        <w:t>co</w:t>
      </w:r>
      <w:r>
        <w:rPr>
          <w:color w:val="231F20"/>
          <w:spacing w:val="-18"/>
          <w:sz w:val="15"/>
        </w:rPr>
        <w:t xml:space="preserve"> </w:t>
      </w:r>
      <w:r>
        <w:rPr>
          <w:color w:val="231F20"/>
          <w:sz w:val="15"/>
        </w:rPr>
        <w:t>již</w:t>
      </w:r>
      <w:r>
        <w:rPr>
          <w:color w:val="231F20"/>
          <w:spacing w:val="-18"/>
          <w:sz w:val="15"/>
        </w:rPr>
        <w:t xml:space="preserve"> </w:t>
      </w:r>
      <w:r>
        <w:rPr>
          <w:color w:val="231F20"/>
          <w:sz w:val="15"/>
        </w:rPr>
        <w:t>případně</w:t>
      </w:r>
      <w:r>
        <w:rPr>
          <w:color w:val="231F20"/>
          <w:spacing w:val="-19"/>
          <w:sz w:val="15"/>
        </w:rPr>
        <w:t xml:space="preserve"> </w:t>
      </w:r>
      <w:r>
        <w:rPr>
          <w:color w:val="231F20"/>
          <w:sz w:val="15"/>
        </w:rPr>
        <w:t>z</w:t>
      </w:r>
      <w:r>
        <w:rPr>
          <w:color w:val="231F20"/>
          <w:spacing w:val="-18"/>
          <w:sz w:val="15"/>
        </w:rPr>
        <w:t xml:space="preserve"> </w:t>
      </w:r>
      <w:r>
        <w:rPr>
          <w:color w:val="231F20"/>
          <w:sz w:val="15"/>
        </w:rPr>
        <w:t>pojištění</w:t>
      </w:r>
      <w:r>
        <w:rPr>
          <w:color w:val="231F20"/>
          <w:spacing w:val="-18"/>
          <w:sz w:val="15"/>
        </w:rPr>
        <w:t xml:space="preserve"> </w:t>
      </w:r>
      <w:r>
        <w:rPr>
          <w:color w:val="231F20"/>
          <w:sz w:val="15"/>
        </w:rPr>
        <w:t>plnila;</w:t>
      </w:r>
      <w:r>
        <w:rPr>
          <w:color w:val="231F20"/>
          <w:spacing w:val="-19"/>
          <w:sz w:val="15"/>
        </w:rPr>
        <w:t xml:space="preserve"> </w:t>
      </w:r>
      <w:r>
        <w:rPr>
          <w:color w:val="231F20"/>
          <w:sz w:val="15"/>
        </w:rPr>
        <w:t>odstoupila-li</w:t>
      </w:r>
      <w:r>
        <w:rPr>
          <w:color w:val="231F20"/>
          <w:spacing w:val="-18"/>
          <w:sz w:val="15"/>
        </w:rPr>
        <w:t xml:space="preserve"> </w:t>
      </w:r>
      <w:r>
        <w:rPr>
          <w:color w:val="231F20"/>
          <w:sz w:val="15"/>
        </w:rPr>
        <w:t>od</w:t>
      </w:r>
      <w:r>
        <w:rPr>
          <w:color w:val="231F20"/>
          <w:spacing w:val="-18"/>
          <w:sz w:val="15"/>
        </w:rPr>
        <w:t xml:space="preserve"> </w:t>
      </w:r>
      <w:r>
        <w:rPr>
          <w:color w:val="231F20"/>
          <w:sz w:val="15"/>
        </w:rPr>
        <w:t>pojistné</w:t>
      </w:r>
      <w:r>
        <w:rPr>
          <w:color w:val="231F20"/>
          <w:spacing w:val="-19"/>
          <w:sz w:val="15"/>
        </w:rPr>
        <w:t xml:space="preserve"> </w:t>
      </w:r>
      <w:r>
        <w:rPr>
          <w:color w:val="231F20"/>
          <w:sz w:val="15"/>
        </w:rPr>
        <w:t>smlouvy Pojišťovna,</w:t>
      </w:r>
      <w:r>
        <w:rPr>
          <w:color w:val="231F20"/>
          <w:spacing w:val="-13"/>
          <w:sz w:val="15"/>
        </w:rPr>
        <w:t xml:space="preserve"> </w:t>
      </w:r>
      <w:r>
        <w:rPr>
          <w:color w:val="231F20"/>
          <w:sz w:val="15"/>
        </w:rPr>
        <w:t>má</w:t>
      </w:r>
      <w:r>
        <w:rPr>
          <w:color w:val="231F20"/>
          <w:spacing w:val="-13"/>
          <w:sz w:val="15"/>
        </w:rPr>
        <w:t xml:space="preserve"> </w:t>
      </w:r>
      <w:r>
        <w:rPr>
          <w:color w:val="231F20"/>
          <w:sz w:val="15"/>
        </w:rPr>
        <w:t>právo</w:t>
      </w:r>
      <w:r>
        <w:rPr>
          <w:color w:val="231F20"/>
          <w:spacing w:val="-13"/>
          <w:sz w:val="15"/>
        </w:rPr>
        <w:t xml:space="preserve"> </w:t>
      </w:r>
      <w:r>
        <w:rPr>
          <w:color w:val="231F20"/>
          <w:sz w:val="15"/>
        </w:rPr>
        <w:t>také</w:t>
      </w:r>
      <w:r>
        <w:rPr>
          <w:color w:val="231F20"/>
          <w:spacing w:val="-13"/>
          <w:sz w:val="15"/>
        </w:rPr>
        <w:t xml:space="preserve"> </w:t>
      </w:r>
      <w:r>
        <w:rPr>
          <w:color w:val="231F20"/>
          <w:sz w:val="15"/>
        </w:rPr>
        <w:t>na</w:t>
      </w:r>
      <w:r>
        <w:rPr>
          <w:color w:val="231F20"/>
          <w:spacing w:val="-13"/>
          <w:sz w:val="15"/>
        </w:rPr>
        <w:t xml:space="preserve"> </w:t>
      </w:r>
      <w:r>
        <w:rPr>
          <w:color w:val="231F20"/>
          <w:sz w:val="15"/>
        </w:rPr>
        <w:t>náklady</w:t>
      </w:r>
      <w:r>
        <w:rPr>
          <w:color w:val="231F20"/>
          <w:spacing w:val="-13"/>
          <w:sz w:val="15"/>
        </w:rPr>
        <w:t xml:space="preserve"> </w:t>
      </w:r>
      <w:r>
        <w:rPr>
          <w:color w:val="231F20"/>
          <w:sz w:val="15"/>
        </w:rPr>
        <w:t>spojené</w:t>
      </w:r>
      <w:r>
        <w:rPr>
          <w:color w:val="231F20"/>
          <w:spacing w:val="-13"/>
          <w:sz w:val="15"/>
        </w:rPr>
        <w:t xml:space="preserve"> </w:t>
      </w:r>
      <w:r>
        <w:rPr>
          <w:color w:val="231F20"/>
          <w:sz w:val="15"/>
        </w:rPr>
        <w:t>se</w:t>
      </w:r>
      <w:r>
        <w:rPr>
          <w:color w:val="231F20"/>
          <w:spacing w:val="-13"/>
          <w:sz w:val="15"/>
        </w:rPr>
        <w:t xml:space="preserve"> </w:t>
      </w:r>
      <w:r>
        <w:rPr>
          <w:color w:val="231F20"/>
          <w:sz w:val="15"/>
        </w:rPr>
        <w:t>vznikem</w:t>
      </w:r>
      <w:r>
        <w:rPr>
          <w:color w:val="231F20"/>
          <w:spacing w:val="-13"/>
          <w:sz w:val="15"/>
        </w:rPr>
        <w:t xml:space="preserve"> </w:t>
      </w:r>
      <w:r>
        <w:rPr>
          <w:color w:val="231F20"/>
          <w:sz w:val="15"/>
        </w:rPr>
        <w:t>a</w:t>
      </w:r>
      <w:r>
        <w:rPr>
          <w:color w:val="231F20"/>
          <w:spacing w:val="-13"/>
          <w:sz w:val="15"/>
        </w:rPr>
        <w:t xml:space="preserve"> </w:t>
      </w:r>
      <w:r>
        <w:rPr>
          <w:color w:val="231F20"/>
          <w:sz w:val="15"/>
        </w:rPr>
        <w:t>správou</w:t>
      </w:r>
      <w:r>
        <w:rPr>
          <w:color w:val="231F20"/>
          <w:spacing w:val="-13"/>
          <w:sz w:val="15"/>
        </w:rPr>
        <w:t xml:space="preserve"> </w:t>
      </w:r>
      <w:r>
        <w:rPr>
          <w:color w:val="231F20"/>
          <w:spacing w:val="-3"/>
          <w:sz w:val="15"/>
        </w:rPr>
        <w:t xml:space="preserve">pojiš- </w:t>
      </w:r>
      <w:r>
        <w:rPr>
          <w:color w:val="231F20"/>
          <w:sz w:val="15"/>
        </w:rPr>
        <w:t>tění;</w:t>
      </w:r>
      <w:r>
        <w:rPr>
          <w:color w:val="231F20"/>
          <w:spacing w:val="-7"/>
          <w:sz w:val="15"/>
        </w:rPr>
        <w:t xml:space="preserve"> </w:t>
      </w:r>
      <w:r>
        <w:rPr>
          <w:color w:val="231F20"/>
          <w:sz w:val="15"/>
        </w:rPr>
        <w:t>paušální</w:t>
      </w:r>
      <w:r>
        <w:rPr>
          <w:color w:val="231F20"/>
          <w:spacing w:val="-6"/>
          <w:sz w:val="15"/>
        </w:rPr>
        <w:t xml:space="preserve"> </w:t>
      </w:r>
      <w:r>
        <w:rPr>
          <w:color w:val="231F20"/>
          <w:sz w:val="15"/>
        </w:rPr>
        <w:t>výši</w:t>
      </w:r>
      <w:r>
        <w:rPr>
          <w:color w:val="231F20"/>
          <w:spacing w:val="-6"/>
          <w:sz w:val="15"/>
        </w:rPr>
        <w:t xml:space="preserve"> </w:t>
      </w:r>
      <w:r>
        <w:rPr>
          <w:color w:val="231F20"/>
          <w:sz w:val="15"/>
        </w:rPr>
        <w:t>těchto</w:t>
      </w:r>
      <w:r>
        <w:rPr>
          <w:color w:val="231F20"/>
          <w:spacing w:val="-6"/>
          <w:sz w:val="15"/>
        </w:rPr>
        <w:t xml:space="preserve"> </w:t>
      </w:r>
      <w:r>
        <w:rPr>
          <w:color w:val="231F20"/>
          <w:sz w:val="15"/>
        </w:rPr>
        <w:t>nákladů</w:t>
      </w:r>
      <w:r>
        <w:rPr>
          <w:color w:val="231F20"/>
          <w:spacing w:val="-7"/>
          <w:sz w:val="15"/>
        </w:rPr>
        <w:t xml:space="preserve"> </w:t>
      </w:r>
      <w:r>
        <w:rPr>
          <w:color w:val="231F20"/>
          <w:sz w:val="15"/>
        </w:rPr>
        <w:t>nebo</w:t>
      </w:r>
      <w:r>
        <w:rPr>
          <w:color w:val="231F20"/>
          <w:spacing w:val="-6"/>
          <w:sz w:val="15"/>
        </w:rPr>
        <w:t xml:space="preserve"> </w:t>
      </w:r>
      <w:r>
        <w:rPr>
          <w:color w:val="231F20"/>
          <w:sz w:val="15"/>
        </w:rPr>
        <w:t>způsob</w:t>
      </w:r>
      <w:r>
        <w:rPr>
          <w:color w:val="231F20"/>
          <w:spacing w:val="-6"/>
          <w:sz w:val="15"/>
        </w:rPr>
        <w:t xml:space="preserve"> </w:t>
      </w:r>
      <w:r>
        <w:rPr>
          <w:color w:val="231F20"/>
          <w:sz w:val="15"/>
        </w:rPr>
        <w:t>jejich</w:t>
      </w:r>
      <w:r>
        <w:rPr>
          <w:color w:val="231F20"/>
          <w:spacing w:val="-6"/>
          <w:sz w:val="15"/>
        </w:rPr>
        <w:t xml:space="preserve"> </w:t>
      </w:r>
      <w:r>
        <w:rPr>
          <w:color w:val="231F20"/>
          <w:sz w:val="15"/>
        </w:rPr>
        <w:t>výpočtu</w:t>
      </w:r>
      <w:r>
        <w:rPr>
          <w:color w:val="231F20"/>
          <w:spacing w:val="-6"/>
          <w:sz w:val="15"/>
        </w:rPr>
        <w:t xml:space="preserve"> </w:t>
      </w:r>
      <w:r>
        <w:rPr>
          <w:color w:val="231F20"/>
          <w:sz w:val="15"/>
        </w:rPr>
        <w:t>může</w:t>
      </w:r>
      <w:r>
        <w:rPr>
          <w:color w:val="231F20"/>
          <w:spacing w:val="-7"/>
          <w:sz w:val="15"/>
        </w:rPr>
        <w:t xml:space="preserve"> </w:t>
      </w:r>
      <w:r>
        <w:rPr>
          <w:color w:val="231F20"/>
          <w:spacing w:val="-3"/>
          <w:sz w:val="15"/>
        </w:rPr>
        <w:t xml:space="preserve">Pojiš- </w:t>
      </w:r>
      <w:r>
        <w:rPr>
          <w:color w:val="231F20"/>
          <w:sz w:val="15"/>
        </w:rPr>
        <w:t>ťovna</w:t>
      </w:r>
      <w:r>
        <w:rPr>
          <w:color w:val="231F20"/>
          <w:spacing w:val="-10"/>
          <w:sz w:val="15"/>
        </w:rPr>
        <w:t xml:space="preserve"> </w:t>
      </w:r>
      <w:r>
        <w:rPr>
          <w:color w:val="231F20"/>
          <w:sz w:val="15"/>
        </w:rPr>
        <w:t>určit</w:t>
      </w:r>
      <w:r>
        <w:rPr>
          <w:color w:val="231F20"/>
          <w:spacing w:val="-9"/>
          <w:sz w:val="15"/>
        </w:rPr>
        <w:t xml:space="preserve"> </w:t>
      </w:r>
      <w:r>
        <w:rPr>
          <w:color w:val="231F20"/>
          <w:sz w:val="15"/>
        </w:rPr>
        <w:t>v</w:t>
      </w:r>
      <w:r>
        <w:rPr>
          <w:color w:val="231F20"/>
          <w:spacing w:val="-9"/>
          <w:sz w:val="15"/>
        </w:rPr>
        <w:t xml:space="preserve"> </w:t>
      </w:r>
      <w:r>
        <w:rPr>
          <w:color w:val="231F20"/>
          <w:sz w:val="15"/>
        </w:rPr>
        <w:t>Sazebníku</w:t>
      </w:r>
      <w:r>
        <w:rPr>
          <w:color w:val="231F20"/>
          <w:spacing w:val="-9"/>
          <w:sz w:val="15"/>
        </w:rPr>
        <w:t xml:space="preserve"> </w:t>
      </w:r>
      <w:r>
        <w:rPr>
          <w:color w:val="231F20"/>
          <w:sz w:val="15"/>
        </w:rPr>
        <w:t>administrativních</w:t>
      </w:r>
      <w:r>
        <w:rPr>
          <w:color w:val="231F20"/>
          <w:spacing w:val="-9"/>
          <w:sz w:val="15"/>
        </w:rPr>
        <w:t xml:space="preserve"> </w:t>
      </w:r>
      <w:r>
        <w:rPr>
          <w:color w:val="231F20"/>
          <w:sz w:val="15"/>
        </w:rPr>
        <w:t>poplatků;</w:t>
      </w:r>
      <w:r>
        <w:rPr>
          <w:color w:val="231F20"/>
          <w:spacing w:val="-10"/>
          <w:sz w:val="15"/>
        </w:rPr>
        <w:t xml:space="preserve"> </w:t>
      </w:r>
      <w:r>
        <w:rPr>
          <w:color w:val="231F20"/>
          <w:sz w:val="15"/>
        </w:rPr>
        <w:t>odstoupí-li</w:t>
      </w:r>
      <w:r>
        <w:rPr>
          <w:color w:val="231F20"/>
          <w:spacing w:val="-9"/>
          <w:sz w:val="15"/>
        </w:rPr>
        <w:t xml:space="preserve"> </w:t>
      </w:r>
      <w:r>
        <w:rPr>
          <w:color w:val="231F20"/>
          <w:sz w:val="15"/>
        </w:rPr>
        <w:t>Pojišťovna od</w:t>
      </w:r>
      <w:r>
        <w:rPr>
          <w:color w:val="231F20"/>
          <w:spacing w:val="-16"/>
          <w:sz w:val="15"/>
        </w:rPr>
        <w:t xml:space="preserve"> </w:t>
      </w:r>
      <w:r>
        <w:rPr>
          <w:color w:val="231F20"/>
          <w:sz w:val="15"/>
        </w:rPr>
        <w:t>pojistné</w:t>
      </w:r>
      <w:r>
        <w:rPr>
          <w:color w:val="231F20"/>
          <w:spacing w:val="-16"/>
          <w:sz w:val="15"/>
        </w:rPr>
        <w:t xml:space="preserve"> </w:t>
      </w:r>
      <w:r>
        <w:rPr>
          <w:color w:val="231F20"/>
          <w:sz w:val="15"/>
        </w:rPr>
        <w:t>smlouvy</w:t>
      </w:r>
      <w:r>
        <w:rPr>
          <w:color w:val="231F20"/>
          <w:spacing w:val="-16"/>
          <w:sz w:val="15"/>
        </w:rPr>
        <w:t xml:space="preserve"> </w:t>
      </w:r>
      <w:r>
        <w:rPr>
          <w:color w:val="231F20"/>
          <w:sz w:val="15"/>
        </w:rPr>
        <w:t>a</w:t>
      </w:r>
      <w:r>
        <w:rPr>
          <w:color w:val="231F20"/>
          <w:spacing w:val="-16"/>
          <w:sz w:val="15"/>
        </w:rPr>
        <w:t xml:space="preserve"> </w:t>
      </w:r>
      <w:r>
        <w:rPr>
          <w:color w:val="231F20"/>
          <w:sz w:val="15"/>
        </w:rPr>
        <w:t>získal-li</w:t>
      </w:r>
      <w:r>
        <w:rPr>
          <w:color w:val="231F20"/>
          <w:spacing w:val="-16"/>
          <w:sz w:val="15"/>
        </w:rPr>
        <w:t xml:space="preserve"> </w:t>
      </w:r>
      <w:r>
        <w:rPr>
          <w:color w:val="231F20"/>
          <w:sz w:val="15"/>
        </w:rPr>
        <w:t>již</w:t>
      </w:r>
      <w:r>
        <w:rPr>
          <w:color w:val="231F20"/>
          <w:spacing w:val="-16"/>
          <w:sz w:val="15"/>
        </w:rPr>
        <w:t xml:space="preserve"> </w:t>
      </w:r>
      <w:r>
        <w:rPr>
          <w:color w:val="231F20"/>
          <w:sz w:val="15"/>
        </w:rPr>
        <w:t>účastník</w:t>
      </w:r>
      <w:r>
        <w:rPr>
          <w:color w:val="231F20"/>
          <w:spacing w:val="-16"/>
          <w:sz w:val="15"/>
        </w:rPr>
        <w:t xml:space="preserve"> </w:t>
      </w:r>
      <w:r>
        <w:rPr>
          <w:color w:val="231F20"/>
          <w:sz w:val="15"/>
        </w:rPr>
        <w:t>pojištění</w:t>
      </w:r>
      <w:r>
        <w:rPr>
          <w:color w:val="231F20"/>
          <w:spacing w:val="-16"/>
          <w:sz w:val="15"/>
        </w:rPr>
        <w:t xml:space="preserve"> </w:t>
      </w:r>
      <w:r>
        <w:rPr>
          <w:color w:val="231F20"/>
          <w:sz w:val="15"/>
        </w:rPr>
        <w:t>pojistné</w:t>
      </w:r>
      <w:r>
        <w:rPr>
          <w:color w:val="231F20"/>
          <w:spacing w:val="-16"/>
          <w:sz w:val="15"/>
        </w:rPr>
        <w:t xml:space="preserve"> </w:t>
      </w:r>
      <w:r>
        <w:rPr>
          <w:color w:val="231F20"/>
          <w:sz w:val="15"/>
        </w:rPr>
        <w:t>plnění,</w:t>
      </w:r>
      <w:r>
        <w:rPr>
          <w:color w:val="231F20"/>
          <w:spacing w:val="-16"/>
          <w:sz w:val="15"/>
        </w:rPr>
        <w:t xml:space="preserve"> </w:t>
      </w:r>
      <w:r>
        <w:rPr>
          <w:color w:val="231F20"/>
          <w:sz w:val="15"/>
        </w:rPr>
        <w:t>nahradí v</w:t>
      </w:r>
      <w:r>
        <w:rPr>
          <w:color w:val="231F20"/>
          <w:spacing w:val="-6"/>
          <w:sz w:val="15"/>
        </w:rPr>
        <w:t xml:space="preserve"> </w:t>
      </w:r>
      <w:r>
        <w:rPr>
          <w:color w:val="231F20"/>
          <w:sz w:val="15"/>
        </w:rPr>
        <w:t>téže</w:t>
      </w:r>
      <w:r>
        <w:rPr>
          <w:color w:val="231F20"/>
          <w:spacing w:val="-6"/>
          <w:sz w:val="15"/>
        </w:rPr>
        <w:t xml:space="preserve"> </w:t>
      </w:r>
      <w:r>
        <w:rPr>
          <w:color w:val="231F20"/>
          <w:sz w:val="15"/>
        </w:rPr>
        <w:t>lhůtě</w:t>
      </w:r>
      <w:r>
        <w:rPr>
          <w:color w:val="231F20"/>
          <w:spacing w:val="-6"/>
          <w:sz w:val="15"/>
        </w:rPr>
        <w:t xml:space="preserve"> </w:t>
      </w:r>
      <w:r>
        <w:rPr>
          <w:color w:val="231F20"/>
          <w:sz w:val="15"/>
        </w:rPr>
        <w:t>Pojišťovně</w:t>
      </w:r>
      <w:r>
        <w:rPr>
          <w:color w:val="231F20"/>
          <w:spacing w:val="-6"/>
          <w:sz w:val="15"/>
        </w:rPr>
        <w:t xml:space="preserve"> </w:t>
      </w:r>
      <w:r>
        <w:rPr>
          <w:color w:val="231F20"/>
          <w:sz w:val="15"/>
        </w:rPr>
        <w:t>to,</w:t>
      </w:r>
      <w:r>
        <w:rPr>
          <w:color w:val="231F20"/>
          <w:spacing w:val="-6"/>
          <w:sz w:val="15"/>
        </w:rPr>
        <w:t xml:space="preserve"> </w:t>
      </w:r>
      <w:r>
        <w:rPr>
          <w:color w:val="231F20"/>
          <w:sz w:val="15"/>
        </w:rPr>
        <w:t>co</w:t>
      </w:r>
      <w:r>
        <w:rPr>
          <w:color w:val="231F20"/>
          <w:spacing w:val="-6"/>
          <w:sz w:val="15"/>
        </w:rPr>
        <w:t xml:space="preserve"> </w:t>
      </w:r>
      <w:r>
        <w:rPr>
          <w:color w:val="231F20"/>
          <w:sz w:val="15"/>
        </w:rPr>
        <w:t>ze</w:t>
      </w:r>
      <w:r>
        <w:rPr>
          <w:color w:val="231F20"/>
          <w:spacing w:val="-6"/>
          <w:sz w:val="15"/>
        </w:rPr>
        <w:t xml:space="preserve"> </w:t>
      </w:r>
      <w:r>
        <w:rPr>
          <w:color w:val="231F20"/>
          <w:sz w:val="15"/>
        </w:rPr>
        <w:t>zaplaceného</w:t>
      </w:r>
      <w:r>
        <w:rPr>
          <w:color w:val="231F20"/>
          <w:spacing w:val="-6"/>
          <w:sz w:val="15"/>
        </w:rPr>
        <w:t xml:space="preserve"> </w:t>
      </w:r>
      <w:r>
        <w:rPr>
          <w:color w:val="231F20"/>
          <w:sz w:val="15"/>
        </w:rPr>
        <w:t>pojistného</w:t>
      </w:r>
      <w:r>
        <w:rPr>
          <w:color w:val="231F20"/>
          <w:spacing w:val="-6"/>
          <w:sz w:val="15"/>
        </w:rPr>
        <w:t xml:space="preserve"> </w:t>
      </w:r>
      <w:r>
        <w:rPr>
          <w:color w:val="231F20"/>
          <w:sz w:val="15"/>
        </w:rPr>
        <w:t>plnění</w:t>
      </w:r>
      <w:r>
        <w:rPr>
          <w:color w:val="231F20"/>
          <w:spacing w:val="-6"/>
          <w:sz w:val="15"/>
        </w:rPr>
        <w:t xml:space="preserve"> </w:t>
      </w:r>
      <w:r>
        <w:rPr>
          <w:color w:val="231F20"/>
          <w:spacing w:val="-3"/>
          <w:sz w:val="15"/>
        </w:rPr>
        <w:t xml:space="preserve">přesahuje </w:t>
      </w:r>
      <w:r>
        <w:rPr>
          <w:color w:val="231F20"/>
          <w:sz w:val="15"/>
        </w:rPr>
        <w:t>zaplacené</w:t>
      </w:r>
      <w:r>
        <w:rPr>
          <w:color w:val="231F20"/>
          <w:spacing w:val="-1"/>
          <w:sz w:val="15"/>
        </w:rPr>
        <w:t xml:space="preserve"> </w:t>
      </w:r>
      <w:r>
        <w:rPr>
          <w:color w:val="231F20"/>
          <w:sz w:val="15"/>
        </w:rPr>
        <w:t>pojistné.</w:t>
      </w:r>
    </w:p>
    <w:p w14:paraId="71F693C3" w14:textId="77777777" w:rsidR="00F65BCA" w:rsidRDefault="00216117">
      <w:pPr>
        <w:pStyle w:val="Odstavecseseznamem"/>
        <w:numPr>
          <w:ilvl w:val="0"/>
          <w:numId w:val="125"/>
        </w:numPr>
        <w:tabs>
          <w:tab w:val="left" w:pos="881"/>
        </w:tabs>
        <w:spacing w:line="278" w:lineRule="auto"/>
        <w:ind w:right="1"/>
        <w:jc w:val="both"/>
        <w:rPr>
          <w:sz w:val="15"/>
        </w:rPr>
      </w:pPr>
      <w:r>
        <w:rPr>
          <w:color w:val="231F20"/>
          <w:sz w:val="15"/>
        </w:rPr>
        <w:t xml:space="preserve">Porušil-li pojistník povinnosti stanovené mu právními předpisy nebo </w:t>
      </w:r>
      <w:r>
        <w:rPr>
          <w:color w:val="231F20"/>
          <w:spacing w:val="-6"/>
          <w:sz w:val="15"/>
        </w:rPr>
        <w:t xml:space="preserve">po- </w:t>
      </w:r>
      <w:r>
        <w:rPr>
          <w:color w:val="231F20"/>
          <w:sz w:val="15"/>
        </w:rPr>
        <w:t>vinnosti</w:t>
      </w:r>
      <w:r>
        <w:rPr>
          <w:color w:val="231F20"/>
          <w:spacing w:val="-6"/>
          <w:sz w:val="15"/>
        </w:rPr>
        <w:t xml:space="preserve"> </w:t>
      </w:r>
      <w:r>
        <w:rPr>
          <w:color w:val="231F20"/>
          <w:sz w:val="15"/>
        </w:rPr>
        <w:t>smluvně</w:t>
      </w:r>
      <w:r>
        <w:rPr>
          <w:color w:val="231F20"/>
          <w:spacing w:val="-5"/>
          <w:sz w:val="15"/>
        </w:rPr>
        <w:t xml:space="preserve"> </w:t>
      </w:r>
      <w:r>
        <w:rPr>
          <w:color w:val="231F20"/>
          <w:sz w:val="15"/>
        </w:rPr>
        <w:t>převzaté,</w:t>
      </w:r>
      <w:r>
        <w:rPr>
          <w:color w:val="231F20"/>
          <w:spacing w:val="-6"/>
          <w:sz w:val="15"/>
        </w:rPr>
        <w:t xml:space="preserve"> </w:t>
      </w:r>
      <w:r>
        <w:rPr>
          <w:color w:val="231F20"/>
          <w:sz w:val="15"/>
        </w:rPr>
        <w:t>a</w:t>
      </w:r>
      <w:r>
        <w:rPr>
          <w:color w:val="231F20"/>
          <w:spacing w:val="-5"/>
          <w:sz w:val="15"/>
        </w:rPr>
        <w:t xml:space="preserve"> </w:t>
      </w:r>
      <w:r>
        <w:rPr>
          <w:color w:val="231F20"/>
          <w:sz w:val="15"/>
        </w:rPr>
        <w:t>takové</w:t>
      </w:r>
      <w:r>
        <w:rPr>
          <w:color w:val="231F20"/>
          <w:spacing w:val="-6"/>
          <w:sz w:val="15"/>
        </w:rPr>
        <w:t xml:space="preserve"> </w:t>
      </w:r>
      <w:r>
        <w:rPr>
          <w:color w:val="231F20"/>
          <w:sz w:val="15"/>
        </w:rPr>
        <w:t>porušení</w:t>
      </w:r>
      <w:r>
        <w:rPr>
          <w:color w:val="231F20"/>
          <w:spacing w:val="-5"/>
          <w:sz w:val="15"/>
        </w:rPr>
        <w:t xml:space="preserve"> </w:t>
      </w:r>
      <w:r>
        <w:rPr>
          <w:color w:val="231F20"/>
          <w:sz w:val="15"/>
        </w:rPr>
        <w:t>mělo</w:t>
      </w:r>
      <w:r>
        <w:rPr>
          <w:color w:val="231F20"/>
          <w:spacing w:val="-5"/>
          <w:sz w:val="15"/>
        </w:rPr>
        <w:t xml:space="preserve"> </w:t>
      </w:r>
      <w:r>
        <w:rPr>
          <w:color w:val="231F20"/>
          <w:sz w:val="15"/>
        </w:rPr>
        <w:t>vliv</w:t>
      </w:r>
      <w:r>
        <w:rPr>
          <w:color w:val="231F20"/>
          <w:spacing w:val="-6"/>
          <w:sz w:val="15"/>
        </w:rPr>
        <w:t xml:space="preserve"> </w:t>
      </w:r>
      <w:r>
        <w:rPr>
          <w:color w:val="231F20"/>
          <w:sz w:val="15"/>
        </w:rPr>
        <w:t>na</w:t>
      </w:r>
      <w:r>
        <w:rPr>
          <w:color w:val="231F20"/>
          <w:spacing w:val="-5"/>
          <w:sz w:val="15"/>
        </w:rPr>
        <w:t xml:space="preserve"> </w:t>
      </w:r>
      <w:r>
        <w:rPr>
          <w:color w:val="231F20"/>
          <w:sz w:val="15"/>
        </w:rPr>
        <w:t>stanovení</w:t>
      </w:r>
      <w:r>
        <w:rPr>
          <w:color w:val="231F20"/>
          <w:spacing w:val="-6"/>
          <w:sz w:val="15"/>
        </w:rPr>
        <w:t xml:space="preserve"> </w:t>
      </w:r>
      <w:r>
        <w:rPr>
          <w:color w:val="231F20"/>
          <w:spacing w:val="-4"/>
          <w:sz w:val="15"/>
        </w:rPr>
        <w:t xml:space="preserve">výše </w:t>
      </w:r>
      <w:r>
        <w:rPr>
          <w:color w:val="231F20"/>
          <w:sz w:val="15"/>
        </w:rPr>
        <w:t>pojistného,</w:t>
      </w:r>
      <w:r>
        <w:rPr>
          <w:color w:val="231F20"/>
          <w:spacing w:val="-4"/>
          <w:sz w:val="15"/>
        </w:rPr>
        <w:t xml:space="preserve"> </w:t>
      </w:r>
      <w:r>
        <w:rPr>
          <w:color w:val="231F20"/>
          <w:sz w:val="15"/>
        </w:rPr>
        <w:t>má</w:t>
      </w:r>
      <w:r>
        <w:rPr>
          <w:color w:val="231F20"/>
          <w:spacing w:val="-3"/>
          <w:sz w:val="15"/>
        </w:rPr>
        <w:t xml:space="preserve"> </w:t>
      </w:r>
      <w:r>
        <w:rPr>
          <w:color w:val="231F20"/>
          <w:sz w:val="15"/>
        </w:rPr>
        <w:t>Pojišťovna</w:t>
      </w:r>
      <w:r>
        <w:rPr>
          <w:color w:val="231F20"/>
          <w:spacing w:val="-4"/>
          <w:sz w:val="15"/>
        </w:rPr>
        <w:t xml:space="preserve"> </w:t>
      </w:r>
      <w:r>
        <w:rPr>
          <w:color w:val="231F20"/>
          <w:sz w:val="15"/>
        </w:rPr>
        <w:t>právo</w:t>
      </w:r>
      <w:r>
        <w:rPr>
          <w:color w:val="231F20"/>
          <w:spacing w:val="-4"/>
          <w:sz w:val="15"/>
        </w:rPr>
        <w:t xml:space="preserve"> </w:t>
      </w:r>
      <w:r>
        <w:rPr>
          <w:color w:val="231F20"/>
          <w:sz w:val="15"/>
        </w:rPr>
        <w:t>na</w:t>
      </w:r>
      <w:r>
        <w:rPr>
          <w:color w:val="231F20"/>
          <w:spacing w:val="-3"/>
          <w:sz w:val="15"/>
        </w:rPr>
        <w:t xml:space="preserve"> </w:t>
      </w:r>
      <w:r>
        <w:rPr>
          <w:color w:val="231F20"/>
          <w:sz w:val="15"/>
        </w:rPr>
        <w:t>úhradu</w:t>
      </w:r>
      <w:r>
        <w:rPr>
          <w:color w:val="231F20"/>
          <w:spacing w:val="-4"/>
          <w:sz w:val="15"/>
        </w:rPr>
        <w:t xml:space="preserve"> </w:t>
      </w:r>
      <w:r>
        <w:rPr>
          <w:color w:val="231F20"/>
          <w:sz w:val="15"/>
        </w:rPr>
        <w:t>i</w:t>
      </w:r>
      <w:r>
        <w:rPr>
          <w:color w:val="231F20"/>
          <w:spacing w:val="-3"/>
          <w:sz w:val="15"/>
        </w:rPr>
        <w:t xml:space="preserve"> </w:t>
      </w:r>
      <w:r>
        <w:rPr>
          <w:color w:val="231F20"/>
          <w:sz w:val="15"/>
        </w:rPr>
        <w:t>té</w:t>
      </w:r>
      <w:r>
        <w:rPr>
          <w:color w:val="231F20"/>
          <w:spacing w:val="-4"/>
          <w:sz w:val="15"/>
        </w:rPr>
        <w:t xml:space="preserve"> </w:t>
      </w:r>
      <w:r>
        <w:rPr>
          <w:color w:val="231F20"/>
          <w:sz w:val="15"/>
        </w:rPr>
        <w:t>části</w:t>
      </w:r>
      <w:r>
        <w:rPr>
          <w:color w:val="231F20"/>
          <w:spacing w:val="-3"/>
          <w:sz w:val="15"/>
        </w:rPr>
        <w:t xml:space="preserve"> </w:t>
      </w:r>
      <w:r>
        <w:rPr>
          <w:color w:val="231F20"/>
          <w:sz w:val="15"/>
        </w:rPr>
        <w:t>pojistného,</w:t>
      </w:r>
      <w:r>
        <w:rPr>
          <w:color w:val="231F20"/>
          <w:spacing w:val="-4"/>
          <w:sz w:val="15"/>
        </w:rPr>
        <w:t xml:space="preserve"> </w:t>
      </w:r>
      <w:r>
        <w:rPr>
          <w:color w:val="231F20"/>
          <w:sz w:val="15"/>
        </w:rPr>
        <w:t>která</w:t>
      </w:r>
      <w:r>
        <w:rPr>
          <w:color w:val="231F20"/>
          <w:spacing w:val="-3"/>
          <w:sz w:val="15"/>
        </w:rPr>
        <w:t xml:space="preserve"> </w:t>
      </w:r>
      <w:r>
        <w:rPr>
          <w:color w:val="231F20"/>
          <w:sz w:val="15"/>
        </w:rPr>
        <w:t>od- povídá</w:t>
      </w:r>
      <w:r>
        <w:rPr>
          <w:color w:val="231F20"/>
          <w:spacing w:val="-21"/>
          <w:sz w:val="15"/>
        </w:rPr>
        <w:t xml:space="preserve"> </w:t>
      </w:r>
      <w:r>
        <w:rPr>
          <w:color w:val="231F20"/>
          <w:sz w:val="15"/>
        </w:rPr>
        <w:t>rozdílu</w:t>
      </w:r>
      <w:r>
        <w:rPr>
          <w:color w:val="231F20"/>
          <w:spacing w:val="-20"/>
          <w:sz w:val="15"/>
        </w:rPr>
        <w:t xml:space="preserve"> </w:t>
      </w:r>
      <w:r>
        <w:rPr>
          <w:color w:val="231F20"/>
          <w:sz w:val="15"/>
        </w:rPr>
        <w:t>mezi</w:t>
      </w:r>
      <w:r>
        <w:rPr>
          <w:color w:val="231F20"/>
          <w:spacing w:val="-20"/>
          <w:sz w:val="15"/>
        </w:rPr>
        <w:t xml:space="preserve"> </w:t>
      </w:r>
      <w:r>
        <w:rPr>
          <w:color w:val="231F20"/>
          <w:sz w:val="15"/>
        </w:rPr>
        <w:t>stanoveným</w:t>
      </w:r>
      <w:r>
        <w:rPr>
          <w:color w:val="231F20"/>
          <w:spacing w:val="-20"/>
          <w:sz w:val="15"/>
        </w:rPr>
        <w:t xml:space="preserve"> </w:t>
      </w:r>
      <w:r>
        <w:rPr>
          <w:color w:val="231F20"/>
          <w:sz w:val="15"/>
        </w:rPr>
        <w:t>pojistným</w:t>
      </w:r>
      <w:r>
        <w:rPr>
          <w:color w:val="231F20"/>
          <w:spacing w:val="-20"/>
          <w:sz w:val="15"/>
        </w:rPr>
        <w:t xml:space="preserve"> </w:t>
      </w:r>
      <w:r>
        <w:rPr>
          <w:color w:val="231F20"/>
          <w:sz w:val="15"/>
        </w:rPr>
        <w:t>a</w:t>
      </w:r>
      <w:r>
        <w:rPr>
          <w:color w:val="231F20"/>
          <w:spacing w:val="-21"/>
          <w:sz w:val="15"/>
        </w:rPr>
        <w:t xml:space="preserve"> </w:t>
      </w:r>
      <w:r>
        <w:rPr>
          <w:color w:val="231F20"/>
          <w:sz w:val="15"/>
        </w:rPr>
        <w:t>pojistným,</w:t>
      </w:r>
      <w:r>
        <w:rPr>
          <w:color w:val="231F20"/>
          <w:spacing w:val="-20"/>
          <w:sz w:val="15"/>
        </w:rPr>
        <w:t xml:space="preserve"> </w:t>
      </w:r>
      <w:r>
        <w:rPr>
          <w:color w:val="231F20"/>
          <w:sz w:val="15"/>
        </w:rPr>
        <w:t>které</w:t>
      </w:r>
      <w:r>
        <w:rPr>
          <w:color w:val="231F20"/>
          <w:spacing w:val="-20"/>
          <w:sz w:val="15"/>
        </w:rPr>
        <w:t xml:space="preserve"> </w:t>
      </w:r>
      <w:r>
        <w:rPr>
          <w:color w:val="231F20"/>
          <w:sz w:val="15"/>
        </w:rPr>
        <w:t>by</w:t>
      </w:r>
      <w:r>
        <w:rPr>
          <w:color w:val="231F20"/>
          <w:spacing w:val="-20"/>
          <w:sz w:val="15"/>
        </w:rPr>
        <w:t xml:space="preserve"> </w:t>
      </w:r>
      <w:r>
        <w:rPr>
          <w:color w:val="231F20"/>
          <w:sz w:val="15"/>
        </w:rPr>
        <w:t>Pojišťovně správně</w:t>
      </w:r>
      <w:r>
        <w:rPr>
          <w:color w:val="231F20"/>
          <w:spacing w:val="-1"/>
          <w:sz w:val="15"/>
        </w:rPr>
        <w:t xml:space="preserve"> </w:t>
      </w:r>
      <w:r>
        <w:rPr>
          <w:color w:val="231F20"/>
          <w:sz w:val="15"/>
        </w:rPr>
        <w:t>náleželo.</w:t>
      </w:r>
    </w:p>
    <w:p w14:paraId="1B8F9990" w14:textId="77777777" w:rsidR="00F65BCA" w:rsidRDefault="00216117">
      <w:pPr>
        <w:pStyle w:val="Odstavecseseznamem"/>
        <w:numPr>
          <w:ilvl w:val="0"/>
          <w:numId w:val="125"/>
        </w:numPr>
        <w:tabs>
          <w:tab w:val="left" w:pos="639"/>
        </w:tabs>
        <w:spacing w:before="75" w:line="278" w:lineRule="auto"/>
        <w:ind w:left="638" w:right="424"/>
        <w:jc w:val="both"/>
        <w:rPr>
          <w:sz w:val="15"/>
        </w:rPr>
      </w:pPr>
      <w:r>
        <w:rPr>
          <w:color w:val="231F20"/>
          <w:spacing w:val="2"/>
          <w:w w:val="97"/>
          <w:sz w:val="15"/>
        </w:rPr>
        <w:br w:type="column"/>
      </w:r>
      <w:r>
        <w:rPr>
          <w:color w:val="231F20"/>
          <w:sz w:val="15"/>
        </w:rPr>
        <w:t>Není-li</w:t>
      </w:r>
      <w:r>
        <w:rPr>
          <w:color w:val="231F20"/>
          <w:spacing w:val="-13"/>
          <w:sz w:val="15"/>
        </w:rPr>
        <w:t xml:space="preserve"> </w:t>
      </w:r>
      <w:r>
        <w:rPr>
          <w:color w:val="231F20"/>
          <w:sz w:val="15"/>
        </w:rPr>
        <w:t>dále</w:t>
      </w:r>
      <w:r>
        <w:rPr>
          <w:color w:val="231F20"/>
          <w:spacing w:val="-13"/>
          <w:sz w:val="15"/>
        </w:rPr>
        <w:t xml:space="preserve"> </w:t>
      </w:r>
      <w:r>
        <w:rPr>
          <w:color w:val="231F20"/>
          <w:sz w:val="15"/>
        </w:rPr>
        <w:t>uvedeno</w:t>
      </w:r>
      <w:r>
        <w:rPr>
          <w:color w:val="231F20"/>
          <w:spacing w:val="-13"/>
          <w:sz w:val="15"/>
        </w:rPr>
        <w:t xml:space="preserve"> </w:t>
      </w:r>
      <w:r>
        <w:rPr>
          <w:color w:val="231F20"/>
          <w:sz w:val="15"/>
        </w:rPr>
        <w:t>jinak,</w:t>
      </w:r>
      <w:r>
        <w:rPr>
          <w:color w:val="231F20"/>
          <w:spacing w:val="-12"/>
          <w:sz w:val="15"/>
        </w:rPr>
        <w:t xml:space="preserve"> </w:t>
      </w:r>
      <w:r>
        <w:rPr>
          <w:color w:val="231F20"/>
          <w:sz w:val="15"/>
        </w:rPr>
        <w:t>má</w:t>
      </w:r>
      <w:r>
        <w:rPr>
          <w:color w:val="231F20"/>
          <w:spacing w:val="-13"/>
          <w:sz w:val="15"/>
        </w:rPr>
        <w:t xml:space="preserve"> </w:t>
      </w:r>
      <w:r>
        <w:rPr>
          <w:color w:val="231F20"/>
          <w:sz w:val="15"/>
        </w:rPr>
        <w:t>Pojišťovna</w:t>
      </w:r>
      <w:r>
        <w:rPr>
          <w:color w:val="231F20"/>
          <w:spacing w:val="-13"/>
          <w:sz w:val="15"/>
        </w:rPr>
        <w:t xml:space="preserve"> </w:t>
      </w:r>
      <w:r>
        <w:rPr>
          <w:color w:val="231F20"/>
          <w:sz w:val="15"/>
        </w:rPr>
        <w:t>v</w:t>
      </w:r>
      <w:r>
        <w:rPr>
          <w:color w:val="231F20"/>
          <w:spacing w:val="-12"/>
          <w:sz w:val="15"/>
        </w:rPr>
        <w:t xml:space="preserve"> </w:t>
      </w:r>
      <w:r>
        <w:rPr>
          <w:color w:val="231F20"/>
          <w:sz w:val="15"/>
        </w:rPr>
        <w:t>případě</w:t>
      </w:r>
      <w:r>
        <w:rPr>
          <w:color w:val="231F20"/>
          <w:spacing w:val="-13"/>
          <w:sz w:val="15"/>
        </w:rPr>
        <w:t xml:space="preserve"> </w:t>
      </w:r>
      <w:r>
        <w:rPr>
          <w:color w:val="231F20"/>
          <w:sz w:val="15"/>
        </w:rPr>
        <w:t>porušení</w:t>
      </w:r>
      <w:r>
        <w:rPr>
          <w:color w:val="231F20"/>
          <w:spacing w:val="-13"/>
          <w:sz w:val="15"/>
        </w:rPr>
        <w:t xml:space="preserve"> </w:t>
      </w:r>
      <w:r>
        <w:rPr>
          <w:color w:val="231F20"/>
          <w:sz w:val="15"/>
        </w:rPr>
        <w:t>prevenčních povinností</w:t>
      </w:r>
      <w:r>
        <w:rPr>
          <w:color w:val="231F20"/>
          <w:spacing w:val="-9"/>
          <w:sz w:val="15"/>
        </w:rPr>
        <w:t xml:space="preserve"> </w:t>
      </w:r>
      <w:r>
        <w:rPr>
          <w:color w:val="231F20"/>
          <w:sz w:val="15"/>
        </w:rPr>
        <w:t>a</w:t>
      </w:r>
      <w:r>
        <w:rPr>
          <w:color w:val="231F20"/>
          <w:spacing w:val="-9"/>
          <w:sz w:val="15"/>
        </w:rPr>
        <w:t xml:space="preserve"> </w:t>
      </w:r>
      <w:r>
        <w:rPr>
          <w:color w:val="231F20"/>
          <w:sz w:val="15"/>
        </w:rPr>
        <w:t>povinností</w:t>
      </w:r>
      <w:r>
        <w:rPr>
          <w:color w:val="231F20"/>
          <w:spacing w:val="-9"/>
          <w:sz w:val="15"/>
        </w:rPr>
        <w:t xml:space="preserve"> </w:t>
      </w:r>
      <w:r>
        <w:rPr>
          <w:color w:val="231F20"/>
          <w:sz w:val="15"/>
        </w:rPr>
        <w:t>v</w:t>
      </w:r>
      <w:r>
        <w:rPr>
          <w:color w:val="231F20"/>
          <w:spacing w:val="-9"/>
          <w:sz w:val="15"/>
        </w:rPr>
        <w:t xml:space="preserve"> </w:t>
      </w:r>
      <w:r>
        <w:rPr>
          <w:color w:val="231F20"/>
          <w:sz w:val="15"/>
        </w:rPr>
        <w:t>případě</w:t>
      </w:r>
      <w:r>
        <w:rPr>
          <w:color w:val="231F20"/>
          <w:spacing w:val="-9"/>
          <w:sz w:val="15"/>
        </w:rPr>
        <w:t xml:space="preserve"> </w:t>
      </w:r>
      <w:r>
        <w:rPr>
          <w:color w:val="231F20"/>
          <w:sz w:val="15"/>
        </w:rPr>
        <w:t>vzniku</w:t>
      </w:r>
      <w:r>
        <w:rPr>
          <w:color w:val="231F20"/>
          <w:spacing w:val="-9"/>
          <w:sz w:val="15"/>
        </w:rPr>
        <w:t xml:space="preserve"> </w:t>
      </w:r>
      <w:r>
        <w:rPr>
          <w:color w:val="231F20"/>
          <w:sz w:val="15"/>
        </w:rPr>
        <w:t>pojistné</w:t>
      </w:r>
      <w:r>
        <w:rPr>
          <w:color w:val="231F20"/>
          <w:spacing w:val="-9"/>
          <w:sz w:val="15"/>
        </w:rPr>
        <w:t xml:space="preserve"> </w:t>
      </w:r>
      <w:r>
        <w:rPr>
          <w:color w:val="231F20"/>
          <w:sz w:val="15"/>
        </w:rPr>
        <w:t>události</w:t>
      </w:r>
      <w:r>
        <w:rPr>
          <w:color w:val="231F20"/>
          <w:spacing w:val="-9"/>
          <w:sz w:val="15"/>
        </w:rPr>
        <w:t xml:space="preserve"> </w:t>
      </w:r>
      <w:r>
        <w:rPr>
          <w:color w:val="231F20"/>
          <w:sz w:val="15"/>
        </w:rPr>
        <w:t>právo</w:t>
      </w:r>
      <w:r>
        <w:rPr>
          <w:color w:val="231F20"/>
          <w:spacing w:val="-9"/>
          <w:sz w:val="15"/>
        </w:rPr>
        <w:t xml:space="preserve"> </w:t>
      </w:r>
      <w:r>
        <w:rPr>
          <w:color w:val="231F20"/>
          <w:sz w:val="15"/>
        </w:rPr>
        <w:t>na</w:t>
      </w:r>
      <w:r>
        <w:rPr>
          <w:color w:val="231F20"/>
          <w:spacing w:val="-9"/>
          <w:sz w:val="15"/>
        </w:rPr>
        <w:t xml:space="preserve"> </w:t>
      </w:r>
      <w:r>
        <w:rPr>
          <w:color w:val="231F20"/>
          <w:sz w:val="15"/>
        </w:rPr>
        <w:t xml:space="preserve">náhra- du nákladů nebo škody, pokud v důsledku porušení některé z povinností pojistníkem nebo pojištěným </w:t>
      </w:r>
      <w:r>
        <w:rPr>
          <w:color w:val="231F20"/>
          <w:spacing w:val="2"/>
          <w:sz w:val="15"/>
        </w:rPr>
        <w:t xml:space="preserve">vznikne </w:t>
      </w:r>
      <w:r>
        <w:rPr>
          <w:color w:val="231F20"/>
          <w:sz w:val="15"/>
        </w:rPr>
        <w:t xml:space="preserve">Pojišťovně škoda nebo Pojišťovna zbytečně </w:t>
      </w:r>
      <w:r>
        <w:rPr>
          <w:color w:val="231F20"/>
          <w:spacing w:val="2"/>
          <w:sz w:val="15"/>
        </w:rPr>
        <w:t xml:space="preserve">vynaloží </w:t>
      </w:r>
      <w:r>
        <w:rPr>
          <w:color w:val="231F20"/>
          <w:sz w:val="15"/>
        </w:rPr>
        <w:t>náklady; Pojišťovna má právo na náhradu těchto ná- kladů nebo škody proti osobě, která škodu způsobila nebo vynaložení nákladů</w:t>
      </w:r>
      <w:r>
        <w:rPr>
          <w:color w:val="231F20"/>
          <w:spacing w:val="-1"/>
          <w:sz w:val="15"/>
        </w:rPr>
        <w:t xml:space="preserve"> </w:t>
      </w:r>
      <w:r>
        <w:rPr>
          <w:color w:val="231F20"/>
          <w:spacing w:val="2"/>
          <w:sz w:val="15"/>
        </w:rPr>
        <w:t>vyvolala.</w:t>
      </w:r>
    </w:p>
    <w:p w14:paraId="6F02F2F7" w14:textId="77777777" w:rsidR="00F65BCA" w:rsidRDefault="00216117">
      <w:pPr>
        <w:pStyle w:val="Odstavecseseznamem"/>
        <w:numPr>
          <w:ilvl w:val="0"/>
          <w:numId w:val="125"/>
        </w:numPr>
        <w:tabs>
          <w:tab w:val="left" w:pos="639"/>
        </w:tabs>
        <w:spacing w:line="278" w:lineRule="auto"/>
        <w:ind w:left="638" w:right="424"/>
        <w:jc w:val="both"/>
        <w:rPr>
          <w:sz w:val="15"/>
        </w:rPr>
      </w:pPr>
      <w:r>
        <w:rPr>
          <w:color w:val="231F20"/>
          <w:sz w:val="15"/>
        </w:rPr>
        <w:t>Zejména</w:t>
      </w:r>
      <w:r>
        <w:rPr>
          <w:color w:val="231F20"/>
          <w:spacing w:val="-4"/>
          <w:sz w:val="15"/>
        </w:rPr>
        <w:t xml:space="preserve"> </w:t>
      </w:r>
      <w:r>
        <w:rPr>
          <w:color w:val="231F20"/>
          <w:sz w:val="15"/>
        </w:rPr>
        <w:t>má</w:t>
      </w:r>
      <w:r>
        <w:rPr>
          <w:color w:val="231F20"/>
          <w:spacing w:val="-4"/>
          <w:sz w:val="15"/>
        </w:rPr>
        <w:t xml:space="preserve"> </w:t>
      </w:r>
      <w:r>
        <w:rPr>
          <w:color w:val="231F20"/>
          <w:sz w:val="15"/>
        </w:rPr>
        <w:t>Pojišťovna</w:t>
      </w:r>
      <w:r>
        <w:rPr>
          <w:color w:val="231F20"/>
          <w:spacing w:val="-3"/>
          <w:sz w:val="15"/>
        </w:rPr>
        <w:t xml:space="preserve"> </w:t>
      </w:r>
      <w:r>
        <w:rPr>
          <w:color w:val="231F20"/>
          <w:sz w:val="15"/>
        </w:rPr>
        <w:t>právo</w:t>
      </w:r>
      <w:r>
        <w:rPr>
          <w:color w:val="231F20"/>
          <w:spacing w:val="-4"/>
          <w:sz w:val="15"/>
        </w:rPr>
        <w:t xml:space="preserve"> </w:t>
      </w:r>
      <w:r>
        <w:rPr>
          <w:color w:val="231F20"/>
          <w:sz w:val="15"/>
        </w:rPr>
        <w:t>úměrně</w:t>
      </w:r>
      <w:r>
        <w:rPr>
          <w:color w:val="231F20"/>
          <w:spacing w:val="-4"/>
          <w:sz w:val="15"/>
        </w:rPr>
        <w:t xml:space="preserve"> </w:t>
      </w:r>
      <w:r>
        <w:rPr>
          <w:color w:val="231F20"/>
          <w:sz w:val="15"/>
        </w:rPr>
        <w:t>snížit</w:t>
      </w:r>
      <w:r>
        <w:rPr>
          <w:color w:val="231F20"/>
          <w:spacing w:val="-3"/>
          <w:sz w:val="15"/>
        </w:rPr>
        <w:t xml:space="preserve"> </w:t>
      </w:r>
      <w:r>
        <w:rPr>
          <w:color w:val="231F20"/>
          <w:sz w:val="15"/>
        </w:rPr>
        <w:t>pojistné</w:t>
      </w:r>
      <w:r>
        <w:rPr>
          <w:color w:val="231F20"/>
          <w:spacing w:val="-4"/>
          <w:sz w:val="15"/>
        </w:rPr>
        <w:t xml:space="preserve"> </w:t>
      </w:r>
      <w:r>
        <w:rPr>
          <w:color w:val="231F20"/>
          <w:sz w:val="15"/>
        </w:rPr>
        <w:t>plnění,</w:t>
      </w:r>
      <w:r>
        <w:rPr>
          <w:color w:val="231F20"/>
          <w:spacing w:val="-4"/>
          <w:sz w:val="15"/>
        </w:rPr>
        <w:t xml:space="preserve"> </w:t>
      </w:r>
      <w:r>
        <w:rPr>
          <w:color w:val="231F20"/>
          <w:sz w:val="15"/>
        </w:rPr>
        <w:t>pokud</w:t>
      </w:r>
      <w:r>
        <w:rPr>
          <w:color w:val="231F20"/>
          <w:spacing w:val="-3"/>
          <w:sz w:val="15"/>
        </w:rPr>
        <w:t xml:space="preserve"> </w:t>
      </w:r>
      <w:r>
        <w:rPr>
          <w:color w:val="231F20"/>
          <w:sz w:val="15"/>
        </w:rPr>
        <w:t>dojde k</w:t>
      </w:r>
      <w:r>
        <w:rPr>
          <w:color w:val="231F20"/>
          <w:spacing w:val="-22"/>
          <w:sz w:val="15"/>
        </w:rPr>
        <w:t xml:space="preserve"> </w:t>
      </w:r>
      <w:r>
        <w:rPr>
          <w:color w:val="231F20"/>
          <w:sz w:val="15"/>
        </w:rPr>
        <w:t>porušení</w:t>
      </w:r>
      <w:r>
        <w:rPr>
          <w:color w:val="231F20"/>
          <w:spacing w:val="-22"/>
          <w:sz w:val="15"/>
        </w:rPr>
        <w:t xml:space="preserve"> </w:t>
      </w:r>
      <w:r>
        <w:rPr>
          <w:color w:val="231F20"/>
          <w:sz w:val="15"/>
        </w:rPr>
        <w:t>některé</w:t>
      </w:r>
      <w:r>
        <w:rPr>
          <w:color w:val="231F20"/>
          <w:spacing w:val="-22"/>
          <w:sz w:val="15"/>
        </w:rPr>
        <w:t xml:space="preserve"> </w:t>
      </w:r>
      <w:r>
        <w:rPr>
          <w:color w:val="231F20"/>
          <w:sz w:val="15"/>
        </w:rPr>
        <w:t>z</w:t>
      </w:r>
      <w:r>
        <w:rPr>
          <w:color w:val="231F20"/>
          <w:spacing w:val="-22"/>
          <w:sz w:val="15"/>
        </w:rPr>
        <w:t xml:space="preserve"> </w:t>
      </w:r>
      <w:r>
        <w:rPr>
          <w:color w:val="231F20"/>
          <w:sz w:val="15"/>
        </w:rPr>
        <w:t>povinností</w:t>
      </w:r>
      <w:r>
        <w:rPr>
          <w:color w:val="231F20"/>
          <w:spacing w:val="-22"/>
          <w:sz w:val="15"/>
        </w:rPr>
        <w:t xml:space="preserve"> </w:t>
      </w:r>
      <w:r>
        <w:rPr>
          <w:color w:val="231F20"/>
          <w:sz w:val="15"/>
        </w:rPr>
        <w:t>nebo</w:t>
      </w:r>
      <w:r>
        <w:rPr>
          <w:color w:val="231F20"/>
          <w:spacing w:val="-22"/>
          <w:sz w:val="15"/>
        </w:rPr>
        <w:t xml:space="preserve"> </w:t>
      </w:r>
      <w:r>
        <w:rPr>
          <w:color w:val="231F20"/>
          <w:sz w:val="15"/>
        </w:rPr>
        <w:t>k</w:t>
      </w:r>
      <w:r>
        <w:rPr>
          <w:color w:val="231F20"/>
          <w:spacing w:val="-22"/>
          <w:sz w:val="15"/>
        </w:rPr>
        <w:t xml:space="preserve"> </w:t>
      </w:r>
      <w:r>
        <w:rPr>
          <w:color w:val="231F20"/>
          <w:sz w:val="15"/>
        </w:rPr>
        <w:t>nesplnění</w:t>
      </w:r>
      <w:r>
        <w:rPr>
          <w:color w:val="231F20"/>
          <w:spacing w:val="-22"/>
          <w:sz w:val="15"/>
        </w:rPr>
        <w:t xml:space="preserve"> </w:t>
      </w:r>
      <w:r>
        <w:rPr>
          <w:color w:val="231F20"/>
          <w:sz w:val="15"/>
        </w:rPr>
        <w:t>pokynů</w:t>
      </w:r>
      <w:r>
        <w:rPr>
          <w:color w:val="231F20"/>
          <w:spacing w:val="-22"/>
          <w:sz w:val="15"/>
        </w:rPr>
        <w:t xml:space="preserve"> </w:t>
      </w:r>
      <w:r>
        <w:rPr>
          <w:color w:val="231F20"/>
          <w:sz w:val="15"/>
        </w:rPr>
        <w:t>Pojišťovny,</w:t>
      </w:r>
      <w:r>
        <w:rPr>
          <w:color w:val="231F20"/>
          <w:spacing w:val="-22"/>
          <w:sz w:val="15"/>
        </w:rPr>
        <w:t xml:space="preserve"> </w:t>
      </w:r>
      <w:r>
        <w:rPr>
          <w:color w:val="231F20"/>
          <w:sz w:val="15"/>
        </w:rPr>
        <w:t>a</w:t>
      </w:r>
      <w:r>
        <w:rPr>
          <w:color w:val="231F20"/>
          <w:spacing w:val="-22"/>
          <w:sz w:val="15"/>
        </w:rPr>
        <w:t xml:space="preserve"> </w:t>
      </w:r>
      <w:r>
        <w:rPr>
          <w:color w:val="231F20"/>
          <w:spacing w:val="-3"/>
          <w:sz w:val="15"/>
        </w:rPr>
        <w:t xml:space="preserve">mělo </w:t>
      </w:r>
      <w:r>
        <w:rPr>
          <w:color w:val="231F20"/>
          <w:sz w:val="15"/>
        </w:rPr>
        <w:t>to podstatný vliv</w:t>
      </w:r>
      <w:r>
        <w:rPr>
          <w:color w:val="231F20"/>
          <w:spacing w:val="-2"/>
          <w:sz w:val="15"/>
        </w:rPr>
        <w:t xml:space="preserve"> </w:t>
      </w:r>
      <w:r>
        <w:rPr>
          <w:color w:val="231F20"/>
          <w:sz w:val="15"/>
        </w:rPr>
        <w:t>na:</w:t>
      </w:r>
    </w:p>
    <w:p w14:paraId="5F2FDCC6" w14:textId="77777777" w:rsidR="00F65BCA" w:rsidRDefault="00216117">
      <w:pPr>
        <w:pStyle w:val="Odstavecseseznamem"/>
        <w:numPr>
          <w:ilvl w:val="0"/>
          <w:numId w:val="124"/>
        </w:numPr>
        <w:tabs>
          <w:tab w:val="left" w:pos="809"/>
        </w:tabs>
        <w:spacing w:line="172" w:lineRule="exact"/>
        <w:rPr>
          <w:sz w:val="15"/>
        </w:rPr>
      </w:pPr>
      <w:r>
        <w:rPr>
          <w:color w:val="231F20"/>
          <w:sz w:val="15"/>
        </w:rPr>
        <w:t>vznik pojistné</w:t>
      </w:r>
      <w:r>
        <w:rPr>
          <w:color w:val="231F20"/>
          <w:spacing w:val="-2"/>
          <w:sz w:val="15"/>
        </w:rPr>
        <w:t xml:space="preserve"> </w:t>
      </w:r>
      <w:r>
        <w:rPr>
          <w:color w:val="231F20"/>
          <w:sz w:val="15"/>
        </w:rPr>
        <w:t>události,</w:t>
      </w:r>
    </w:p>
    <w:p w14:paraId="4A357943" w14:textId="77777777" w:rsidR="00F65BCA" w:rsidRDefault="00216117">
      <w:pPr>
        <w:pStyle w:val="Odstavecseseznamem"/>
        <w:numPr>
          <w:ilvl w:val="0"/>
          <w:numId w:val="124"/>
        </w:numPr>
        <w:tabs>
          <w:tab w:val="left" w:pos="809"/>
        </w:tabs>
        <w:spacing w:before="27"/>
        <w:rPr>
          <w:sz w:val="15"/>
        </w:rPr>
      </w:pPr>
      <w:r>
        <w:rPr>
          <w:color w:val="231F20"/>
          <w:sz w:val="15"/>
        </w:rPr>
        <w:t>průběh nebo rozsah pojistné</w:t>
      </w:r>
      <w:r>
        <w:rPr>
          <w:color w:val="231F20"/>
          <w:spacing w:val="-5"/>
          <w:sz w:val="15"/>
        </w:rPr>
        <w:t xml:space="preserve"> </w:t>
      </w:r>
      <w:r>
        <w:rPr>
          <w:color w:val="231F20"/>
          <w:sz w:val="15"/>
        </w:rPr>
        <w:t>události,</w:t>
      </w:r>
    </w:p>
    <w:p w14:paraId="0079D74F" w14:textId="77777777" w:rsidR="00F65BCA" w:rsidRDefault="00216117">
      <w:pPr>
        <w:pStyle w:val="Odstavecseseznamem"/>
        <w:numPr>
          <w:ilvl w:val="0"/>
          <w:numId w:val="124"/>
        </w:numPr>
        <w:tabs>
          <w:tab w:val="left" w:pos="809"/>
        </w:tabs>
        <w:spacing w:before="28"/>
        <w:rPr>
          <w:sz w:val="15"/>
        </w:rPr>
      </w:pPr>
      <w:r>
        <w:rPr>
          <w:color w:val="231F20"/>
          <w:sz w:val="15"/>
        </w:rPr>
        <w:t>zjištění či určení výše pojistného</w:t>
      </w:r>
      <w:r>
        <w:rPr>
          <w:color w:val="231F20"/>
          <w:spacing w:val="-11"/>
          <w:sz w:val="15"/>
        </w:rPr>
        <w:t xml:space="preserve"> </w:t>
      </w:r>
      <w:r>
        <w:rPr>
          <w:color w:val="231F20"/>
          <w:sz w:val="15"/>
        </w:rPr>
        <w:t>plnění,</w:t>
      </w:r>
    </w:p>
    <w:p w14:paraId="5D45AE9D" w14:textId="77777777" w:rsidR="00F65BCA" w:rsidRDefault="00216117">
      <w:pPr>
        <w:pStyle w:val="Odstavecseseznamem"/>
        <w:numPr>
          <w:ilvl w:val="0"/>
          <w:numId w:val="124"/>
        </w:numPr>
        <w:tabs>
          <w:tab w:val="left" w:pos="809"/>
        </w:tabs>
        <w:spacing w:before="27"/>
        <w:rPr>
          <w:sz w:val="15"/>
        </w:rPr>
      </w:pPr>
      <w:r>
        <w:rPr>
          <w:color w:val="231F20"/>
          <w:sz w:val="15"/>
        </w:rPr>
        <w:t>ztížení šetření</w:t>
      </w:r>
      <w:r>
        <w:rPr>
          <w:color w:val="231F20"/>
          <w:spacing w:val="-4"/>
          <w:sz w:val="15"/>
        </w:rPr>
        <w:t xml:space="preserve"> </w:t>
      </w:r>
      <w:r>
        <w:rPr>
          <w:color w:val="231F20"/>
          <w:sz w:val="15"/>
        </w:rPr>
        <w:t>Pojišťovny.</w:t>
      </w:r>
    </w:p>
    <w:p w14:paraId="5548B0BA" w14:textId="77777777" w:rsidR="00F65BCA" w:rsidRDefault="00216117">
      <w:pPr>
        <w:pStyle w:val="Zkladntext"/>
        <w:spacing w:before="27"/>
        <w:ind w:left="186"/>
      </w:pPr>
      <w:r>
        <w:rPr>
          <w:color w:val="231F20"/>
          <w:position w:val="1"/>
          <w:sz w:val="14"/>
          <w:shd w:val="clear" w:color="auto" w:fill="D1D3D4"/>
        </w:rPr>
        <w:t xml:space="preserve">  </w:t>
      </w:r>
      <w:r>
        <w:rPr>
          <w:color w:val="231F20"/>
          <w:w w:val="105"/>
          <w:position w:val="1"/>
          <w:sz w:val="14"/>
          <w:shd w:val="clear" w:color="auto" w:fill="D1D3D4"/>
        </w:rPr>
        <w:t>5</w:t>
      </w:r>
      <w:r>
        <w:rPr>
          <w:color w:val="231F20"/>
          <w:w w:val="105"/>
          <w:position w:val="1"/>
          <w:sz w:val="14"/>
        </w:rPr>
        <w:t xml:space="preserve"> </w:t>
      </w:r>
      <w:r>
        <w:rPr>
          <w:color w:val="231F20"/>
          <w:w w:val="105"/>
        </w:rPr>
        <w:t>Odpovědnost za plnění povinností</w:t>
      </w:r>
    </w:p>
    <w:p w14:paraId="60B09FE4" w14:textId="77777777" w:rsidR="00F65BCA" w:rsidRDefault="00216117">
      <w:pPr>
        <w:pStyle w:val="Zkladntext"/>
        <w:spacing w:before="28" w:line="278" w:lineRule="auto"/>
        <w:ind w:left="468" w:right="424"/>
        <w:jc w:val="both"/>
      </w:pPr>
      <w:r>
        <w:rPr>
          <w:color w:val="231F20"/>
          <w:w w:val="95"/>
        </w:rPr>
        <w:t>Všechna</w:t>
      </w:r>
      <w:r>
        <w:rPr>
          <w:color w:val="231F20"/>
          <w:spacing w:val="-6"/>
          <w:w w:val="95"/>
        </w:rPr>
        <w:t xml:space="preserve"> </w:t>
      </w:r>
      <w:r>
        <w:rPr>
          <w:color w:val="231F20"/>
          <w:w w:val="95"/>
        </w:rPr>
        <w:t>ustanovení</w:t>
      </w:r>
      <w:r>
        <w:rPr>
          <w:color w:val="231F20"/>
          <w:spacing w:val="-6"/>
          <w:w w:val="95"/>
        </w:rPr>
        <w:t xml:space="preserve"> </w:t>
      </w:r>
      <w:r>
        <w:rPr>
          <w:color w:val="231F20"/>
          <w:w w:val="95"/>
        </w:rPr>
        <w:t>pojistné</w:t>
      </w:r>
      <w:r>
        <w:rPr>
          <w:color w:val="231F20"/>
          <w:spacing w:val="-6"/>
          <w:w w:val="95"/>
        </w:rPr>
        <w:t xml:space="preserve"> </w:t>
      </w:r>
      <w:r>
        <w:rPr>
          <w:color w:val="231F20"/>
          <w:w w:val="95"/>
        </w:rPr>
        <w:t>smlouvy</w:t>
      </w:r>
      <w:r>
        <w:rPr>
          <w:color w:val="231F20"/>
          <w:spacing w:val="-6"/>
          <w:w w:val="95"/>
        </w:rPr>
        <w:t xml:space="preserve"> </w:t>
      </w:r>
      <w:r>
        <w:rPr>
          <w:color w:val="231F20"/>
          <w:w w:val="95"/>
        </w:rPr>
        <w:t>nebo</w:t>
      </w:r>
      <w:r>
        <w:rPr>
          <w:color w:val="231F20"/>
          <w:spacing w:val="-6"/>
          <w:w w:val="95"/>
        </w:rPr>
        <w:t xml:space="preserve"> </w:t>
      </w:r>
      <w:r>
        <w:rPr>
          <w:color w:val="231F20"/>
          <w:w w:val="95"/>
        </w:rPr>
        <w:t>VPP</w:t>
      </w:r>
      <w:r>
        <w:rPr>
          <w:color w:val="231F20"/>
          <w:spacing w:val="-6"/>
          <w:w w:val="95"/>
        </w:rPr>
        <w:t xml:space="preserve"> </w:t>
      </w:r>
      <w:r>
        <w:rPr>
          <w:color w:val="231F20"/>
          <w:w w:val="95"/>
        </w:rPr>
        <w:t>a</w:t>
      </w:r>
      <w:r>
        <w:rPr>
          <w:color w:val="231F20"/>
          <w:spacing w:val="-6"/>
          <w:w w:val="95"/>
        </w:rPr>
        <w:t xml:space="preserve"> </w:t>
      </w:r>
      <w:r>
        <w:rPr>
          <w:color w:val="231F20"/>
          <w:w w:val="95"/>
        </w:rPr>
        <w:t>povinnosti</w:t>
      </w:r>
      <w:r>
        <w:rPr>
          <w:color w:val="231F20"/>
          <w:spacing w:val="-6"/>
          <w:w w:val="95"/>
        </w:rPr>
        <w:t xml:space="preserve"> </w:t>
      </w:r>
      <w:r>
        <w:rPr>
          <w:color w:val="231F20"/>
          <w:w w:val="95"/>
        </w:rPr>
        <w:t>vyplývající</w:t>
      </w:r>
      <w:r>
        <w:rPr>
          <w:color w:val="231F20"/>
          <w:spacing w:val="-6"/>
          <w:w w:val="95"/>
        </w:rPr>
        <w:t xml:space="preserve"> </w:t>
      </w:r>
      <w:r>
        <w:rPr>
          <w:color w:val="231F20"/>
          <w:w w:val="95"/>
        </w:rPr>
        <w:t>z</w:t>
      </w:r>
      <w:r>
        <w:rPr>
          <w:color w:val="231F20"/>
          <w:spacing w:val="-6"/>
          <w:w w:val="95"/>
        </w:rPr>
        <w:t xml:space="preserve"> </w:t>
      </w:r>
      <w:r>
        <w:rPr>
          <w:color w:val="231F20"/>
          <w:w w:val="95"/>
        </w:rPr>
        <w:t xml:space="preserve">práv- </w:t>
      </w:r>
      <w:r>
        <w:rPr>
          <w:color w:val="231F20"/>
        </w:rPr>
        <w:t>ních</w:t>
      </w:r>
      <w:r>
        <w:rPr>
          <w:color w:val="231F20"/>
          <w:spacing w:val="-15"/>
        </w:rPr>
        <w:t xml:space="preserve"> </w:t>
      </w:r>
      <w:r>
        <w:rPr>
          <w:color w:val="231F20"/>
        </w:rPr>
        <w:t>předpisů,</w:t>
      </w:r>
      <w:r>
        <w:rPr>
          <w:color w:val="231F20"/>
          <w:spacing w:val="-15"/>
        </w:rPr>
        <w:t xml:space="preserve"> </w:t>
      </w:r>
      <w:r>
        <w:rPr>
          <w:color w:val="231F20"/>
        </w:rPr>
        <w:t>které</w:t>
      </w:r>
      <w:r>
        <w:rPr>
          <w:color w:val="231F20"/>
          <w:spacing w:val="-14"/>
        </w:rPr>
        <w:t xml:space="preserve"> </w:t>
      </w:r>
      <w:r>
        <w:rPr>
          <w:color w:val="231F20"/>
        </w:rPr>
        <w:t>se</w:t>
      </w:r>
      <w:r>
        <w:rPr>
          <w:color w:val="231F20"/>
          <w:spacing w:val="-15"/>
        </w:rPr>
        <w:t xml:space="preserve"> </w:t>
      </w:r>
      <w:r>
        <w:rPr>
          <w:color w:val="231F20"/>
        </w:rPr>
        <w:t>týkají</w:t>
      </w:r>
      <w:r>
        <w:rPr>
          <w:color w:val="231F20"/>
          <w:spacing w:val="-15"/>
        </w:rPr>
        <w:t xml:space="preserve"> </w:t>
      </w:r>
      <w:r>
        <w:rPr>
          <w:color w:val="231F20"/>
        </w:rPr>
        <w:t>pojištěného,</w:t>
      </w:r>
      <w:r>
        <w:rPr>
          <w:color w:val="231F20"/>
          <w:spacing w:val="-14"/>
        </w:rPr>
        <w:t xml:space="preserve"> </w:t>
      </w:r>
      <w:r>
        <w:rPr>
          <w:color w:val="231F20"/>
        </w:rPr>
        <w:t>se</w:t>
      </w:r>
      <w:r>
        <w:rPr>
          <w:color w:val="231F20"/>
          <w:spacing w:val="-16"/>
        </w:rPr>
        <w:t xml:space="preserve"> </w:t>
      </w:r>
      <w:r>
        <w:rPr>
          <w:color w:val="231F20"/>
        </w:rPr>
        <w:t>obdobně</w:t>
      </w:r>
      <w:r>
        <w:rPr>
          <w:color w:val="231F20"/>
          <w:spacing w:val="-14"/>
        </w:rPr>
        <w:t xml:space="preserve"> </w:t>
      </w:r>
      <w:r>
        <w:rPr>
          <w:color w:val="231F20"/>
        </w:rPr>
        <w:t>vztahují</w:t>
      </w:r>
      <w:r>
        <w:rPr>
          <w:color w:val="231F20"/>
          <w:spacing w:val="-15"/>
        </w:rPr>
        <w:t xml:space="preserve"> </w:t>
      </w:r>
      <w:r>
        <w:rPr>
          <w:color w:val="231F20"/>
        </w:rPr>
        <w:t>i</w:t>
      </w:r>
      <w:r>
        <w:rPr>
          <w:color w:val="231F20"/>
          <w:spacing w:val="-15"/>
        </w:rPr>
        <w:t xml:space="preserve"> </w:t>
      </w:r>
      <w:r>
        <w:rPr>
          <w:color w:val="231F20"/>
        </w:rPr>
        <w:t>na</w:t>
      </w:r>
      <w:r>
        <w:rPr>
          <w:color w:val="231F20"/>
          <w:spacing w:val="-15"/>
        </w:rPr>
        <w:t xml:space="preserve"> </w:t>
      </w:r>
      <w:r>
        <w:rPr>
          <w:color w:val="231F20"/>
        </w:rPr>
        <w:t>pojistníka, na</w:t>
      </w:r>
      <w:r>
        <w:rPr>
          <w:color w:val="231F20"/>
          <w:spacing w:val="-17"/>
        </w:rPr>
        <w:t xml:space="preserve"> </w:t>
      </w:r>
      <w:r>
        <w:rPr>
          <w:color w:val="231F20"/>
        </w:rPr>
        <w:t>osobu,</w:t>
      </w:r>
      <w:r>
        <w:rPr>
          <w:color w:val="231F20"/>
          <w:spacing w:val="-16"/>
        </w:rPr>
        <w:t xml:space="preserve"> </w:t>
      </w:r>
      <w:r>
        <w:rPr>
          <w:color w:val="231F20"/>
        </w:rPr>
        <w:t>které</w:t>
      </w:r>
      <w:r>
        <w:rPr>
          <w:color w:val="231F20"/>
          <w:spacing w:val="-16"/>
        </w:rPr>
        <w:t xml:space="preserve"> </w:t>
      </w:r>
      <w:r>
        <w:rPr>
          <w:color w:val="231F20"/>
        </w:rPr>
        <w:t>byl</w:t>
      </w:r>
      <w:r>
        <w:rPr>
          <w:color w:val="231F20"/>
          <w:spacing w:val="-17"/>
        </w:rPr>
        <w:t xml:space="preserve"> </w:t>
      </w:r>
      <w:r>
        <w:rPr>
          <w:color w:val="231F20"/>
        </w:rPr>
        <w:t>předmět</w:t>
      </w:r>
      <w:r>
        <w:rPr>
          <w:color w:val="231F20"/>
          <w:spacing w:val="-16"/>
        </w:rPr>
        <w:t xml:space="preserve"> </w:t>
      </w:r>
      <w:r>
        <w:rPr>
          <w:color w:val="231F20"/>
        </w:rPr>
        <w:t>pojištění</w:t>
      </w:r>
      <w:r>
        <w:rPr>
          <w:color w:val="231F20"/>
          <w:spacing w:val="-16"/>
        </w:rPr>
        <w:t xml:space="preserve"> </w:t>
      </w:r>
      <w:r>
        <w:rPr>
          <w:color w:val="231F20"/>
        </w:rPr>
        <w:t>svěřen,</w:t>
      </w:r>
      <w:r>
        <w:rPr>
          <w:color w:val="231F20"/>
          <w:spacing w:val="-17"/>
        </w:rPr>
        <w:t xml:space="preserve"> </w:t>
      </w:r>
      <w:r>
        <w:rPr>
          <w:color w:val="231F20"/>
        </w:rPr>
        <w:t>a</w:t>
      </w:r>
      <w:r>
        <w:rPr>
          <w:color w:val="231F20"/>
          <w:spacing w:val="-16"/>
        </w:rPr>
        <w:t xml:space="preserve"> </w:t>
      </w:r>
      <w:r>
        <w:rPr>
          <w:color w:val="231F20"/>
        </w:rPr>
        <w:t>na</w:t>
      </w:r>
      <w:r>
        <w:rPr>
          <w:color w:val="231F20"/>
          <w:spacing w:val="-16"/>
        </w:rPr>
        <w:t xml:space="preserve"> </w:t>
      </w:r>
      <w:r>
        <w:rPr>
          <w:color w:val="231F20"/>
        </w:rPr>
        <w:t>všechny</w:t>
      </w:r>
      <w:r>
        <w:rPr>
          <w:color w:val="231F20"/>
          <w:spacing w:val="-16"/>
        </w:rPr>
        <w:t xml:space="preserve"> </w:t>
      </w:r>
      <w:r>
        <w:rPr>
          <w:color w:val="231F20"/>
          <w:spacing w:val="-3"/>
        </w:rPr>
        <w:t>osoby,</w:t>
      </w:r>
      <w:r>
        <w:rPr>
          <w:color w:val="231F20"/>
          <w:spacing w:val="-17"/>
        </w:rPr>
        <w:t xml:space="preserve"> </w:t>
      </w:r>
      <w:r>
        <w:rPr>
          <w:color w:val="231F20"/>
        </w:rPr>
        <w:t>které</w:t>
      </w:r>
      <w:r>
        <w:rPr>
          <w:color w:val="231F20"/>
          <w:spacing w:val="-16"/>
        </w:rPr>
        <w:t xml:space="preserve"> </w:t>
      </w:r>
      <w:r>
        <w:rPr>
          <w:color w:val="231F20"/>
        </w:rPr>
        <w:t>uplat- ňují</w:t>
      </w:r>
      <w:r>
        <w:rPr>
          <w:color w:val="231F20"/>
          <w:spacing w:val="-13"/>
        </w:rPr>
        <w:t xml:space="preserve"> </w:t>
      </w:r>
      <w:r>
        <w:rPr>
          <w:color w:val="231F20"/>
        </w:rPr>
        <w:t>právo</w:t>
      </w:r>
      <w:r>
        <w:rPr>
          <w:color w:val="231F20"/>
          <w:spacing w:val="-13"/>
        </w:rPr>
        <w:t xml:space="preserve"> </w:t>
      </w:r>
      <w:r>
        <w:rPr>
          <w:color w:val="231F20"/>
        </w:rPr>
        <w:t>na</w:t>
      </w:r>
      <w:r>
        <w:rPr>
          <w:color w:val="231F20"/>
          <w:spacing w:val="-12"/>
        </w:rPr>
        <w:t xml:space="preserve"> </w:t>
      </w:r>
      <w:r>
        <w:rPr>
          <w:color w:val="231F20"/>
        </w:rPr>
        <w:t>pojistné</w:t>
      </w:r>
      <w:r>
        <w:rPr>
          <w:color w:val="231F20"/>
          <w:spacing w:val="-13"/>
        </w:rPr>
        <w:t xml:space="preserve"> </w:t>
      </w:r>
      <w:r>
        <w:rPr>
          <w:color w:val="231F20"/>
        </w:rPr>
        <w:t>plnění.</w:t>
      </w:r>
      <w:r>
        <w:rPr>
          <w:color w:val="231F20"/>
          <w:spacing w:val="-12"/>
        </w:rPr>
        <w:t xml:space="preserve"> </w:t>
      </w:r>
      <w:r>
        <w:rPr>
          <w:color w:val="231F20"/>
        </w:rPr>
        <w:t>Pojistník</w:t>
      </w:r>
      <w:r>
        <w:rPr>
          <w:color w:val="231F20"/>
          <w:spacing w:val="-13"/>
        </w:rPr>
        <w:t xml:space="preserve"> </w:t>
      </w:r>
      <w:r>
        <w:rPr>
          <w:color w:val="231F20"/>
        </w:rPr>
        <w:t>a</w:t>
      </w:r>
      <w:r>
        <w:rPr>
          <w:color w:val="231F20"/>
          <w:spacing w:val="-13"/>
        </w:rPr>
        <w:t xml:space="preserve"> </w:t>
      </w:r>
      <w:r>
        <w:rPr>
          <w:color w:val="231F20"/>
        </w:rPr>
        <w:t>pojištěný</w:t>
      </w:r>
      <w:r>
        <w:rPr>
          <w:color w:val="231F20"/>
          <w:spacing w:val="-12"/>
        </w:rPr>
        <w:t xml:space="preserve"> </w:t>
      </w:r>
      <w:r>
        <w:rPr>
          <w:color w:val="231F20"/>
        </w:rPr>
        <w:t>odpovídají</w:t>
      </w:r>
      <w:r>
        <w:rPr>
          <w:color w:val="231F20"/>
          <w:spacing w:val="-13"/>
        </w:rPr>
        <w:t xml:space="preserve"> </w:t>
      </w:r>
      <w:r>
        <w:rPr>
          <w:color w:val="231F20"/>
        </w:rPr>
        <w:t>za</w:t>
      </w:r>
      <w:r>
        <w:rPr>
          <w:color w:val="231F20"/>
          <w:spacing w:val="-12"/>
        </w:rPr>
        <w:t xml:space="preserve"> </w:t>
      </w:r>
      <w:r>
        <w:rPr>
          <w:color w:val="231F20"/>
        </w:rPr>
        <w:t>plnění</w:t>
      </w:r>
      <w:r>
        <w:rPr>
          <w:color w:val="231F20"/>
          <w:spacing w:val="-13"/>
        </w:rPr>
        <w:t xml:space="preserve"> </w:t>
      </w:r>
      <w:r>
        <w:rPr>
          <w:color w:val="231F20"/>
          <w:spacing w:val="-4"/>
        </w:rPr>
        <w:t xml:space="preserve">přede- </w:t>
      </w:r>
      <w:r>
        <w:rPr>
          <w:color w:val="231F20"/>
        </w:rPr>
        <w:t>psaných</w:t>
      </w:r>
      <w:r>
        <w:rPr>
          <w:color w:val="231F20"/>
          <w:spacing w:val="-11"/>
        </w:rPr>
        <w:t xml:space="preserve"> </w:t>
      </w:r>
      <w:r>
        <w:rPr>
          <w:color w:val="231F20"/>
        </w:rPr>
        <w:t>povinností</w:t>
      </w:r>
      <w:r>
        <w:rPr>
          <w:color w:val="231F20"/>
          <w:spacing w:val="-11"/>
        </w:rPr>
        <w:t xml:space="preserve"> </w:t>
      </w:r>
      <w:r>
        <w:rPr>
          <w:color w:val="231F20"/>
        </w:rPr>
        <w:t>ke</w:t>
      </w:r>
      <w:r>
        <w:rPr>
          <w:color w:val="231F20"/>
          <w:spacing w:val="-10"/>
        </w:rPr>
        <w:t xml:space="preserve"> </w:t>
      </w:r>
      <w:r>
        <w:rPr>
          <w:color w:val="231F20"/>
        </w:rPr>
        <w:t>zmírnění</w:t>
      </w:r>
      <w:r>
        <w:rPr>
          <w:color w:val="231F20"/>
          <w:spacing w:val="-11"/>
        </w:rPr>
        <w:t xml:space="preserve"> </w:t>
      </w:r>
      <w:r>
        <w:rPr>
          <w:color w:val="231F20"/>
        </w:rPr>
        <w:t>újmy</w:t>
      </w:r>
      <w:r>
        <w:rPr>
          <w:color w:val="231F20"/>
          <w:spacing w:val="-10"/>
        </w:rPr>
        <w:t xml:space="preserve"> </w:t>
      </w:r>
      <w:r>
        <w:rPr>
          <w:color w:val="231F20"/>
        </w:rPr>
        <w:t>a</w:t>
      </w:r>
      <w:r>
        <w:rPr>
          <w:color w:val="231F20"/>
          <w:spacing w:val="-11"/>
        </w:rPr>
        <w:t xml:space="preserve"> </w:t>
      </w:r>
      <w:r>
        <w:rPr>
          <w:color w:val="231F20"/>
        </w:rPr>
        <w:t>povinností</w:t>
      </w:r>
      <w:r>
        <w:rPr>
          <w:color w:val="231F20"/>
          <w:spacing w:val="-11"/>
        </w:rPr>
        <w:t xml:space="preserve"> </w:t>
      </w:r>
      <w:r>
        <w:rPr>
          <w:color w:val="231F20"/>
        </w:rPr>
        <w:t>směřujících</w:t>
      </w:r>
      <w:r>
        <w:rPr>
          <w:color w:val="231F20"/>
          <w:spacing w:val="-10"/>
        </w:rPr>
        <w:t xml:space="preserve"> </w:t>
      </w:r>
      <w:r>
        <w:rPr>
          <w:color w:val="231F20"/>
        </w:rPr>
        <w:t>k</w:t>
      </w:r>
      <w:r>
        <w:rPr>
          <w:color w:val="231F20"/>
          <w:spacing w:val="-11"/>
        </w:rPr>
        <w:t xml:space="preserve"> </w:t>
      </w:r>
      <w:r>
        <w:rPr>
          <w:color w:val="231F20"/>
          <w:spacing w:val="-3"/>
        </w:rPr>
        <w:t xml:space="preserve">předcházení </w:t>
      </w:r>
      <w:r>
        <w:rPr>
          <w:color w:val="231F20"/>
        </w:rPr>
        <w:t>a odvrácení újem těmito osobami. Jsou-li jednání nebo vědomost</w:t>
      </w:r>
      <w:r>
        <w:rPr>
          <w:color w:val="231F20"/>
          <w:spacing w:val="-23"/>
        </w:rPr>
        <w:t xml:space="preserve"> </w:t>
      </w:r>
      <w:r>
        <w:rPr>
          <w:color w:val="231F20"/>
        </w:rPr>
        <w:t>pojistníka nebo</w:t>
      </w:r>
      <w:r>
        <w:rPr>
          <w:color w:val="231F20"/>
          <w:spacing w:val="-16"/>
        </w:rPr>
        <w:t xml:space="preserve"> </w:t>
      </w:r>
      <w:r>
        <w:rPr>
          <w:color w:val="231F20"/>
        </w:rPr>
        <w:t>pojištěného</w:t>
      </w:r>
      <w:r>
        <w:rPr>
          <w:color w:val="231F20"/>
          <w:spacing w:val="-16"/>
        </w:rPr>
        <w:t xml:space="preserve"> </w:t>
      </w:r>
      <w:r>
        <w:rPr>
          <w:color w:val="231F20"/>
        </w:rPr>
        <w:t>právně</w:t>
      </w:r>
      <w:r>
        <w:rPr>
          <w:color w:val="231F20"/>
          <w:spacing w:val="-15"/>
        </w:rPr>
        <w:t xml:space="preserve"> </w:t>
      </w:r>
      <w:r>
        <w:rPr>
          <w:color w:val="231F20"/>
        </w:rPr>
        <w:t>významné,</w:t>
      </w:r>
      <w:r>
        <w:rPr>
          <w:color w:val="231F20"/>
          <w:spacing w:val="-16"/>
        </w:rPr>
        <w:t xml:space="preserve"> </w:t>
      </w:r>
      <w:r>
        <w:rPr>
          <w:color w:val="231F20"/>
        </w:rPr>
        <w:t>přihlíží</w:t>
      </w:r>
      <w:r>
        <w:rPr>
          <w:color w:val="231F20"/>
          <w:spacing w:val="-16"/>
        </w:rPr>
        <w:t xml:space="preserve"> </w:t>
      </w:r>
      <w:r>
        <w:rPr>
          <w:color w:val="231F20"/>
        </w:rPr>
        <w:t>Pojišťovna</w:t>
      </w:r>
      <w:r>
        <w:rPr>
          <w:color w:val="231F20"/>
          <w:spacing w:val="-15"/>
        </w:rPr>
        <w:t xml:space="preserve"> </w:t>
      </w:r>
      <w:r>
        <w:rPr>
          <w:color w:val="231F20"/>
        </w:rPr>
        <w:t>také</w:t>
      </w:r>
      <w:r>
        <w:rPr>
          <w:color w:val="231F20"/>
          <w:spacing w:val="-16"/>
        </w:rPr>
        <w:t xml:space="preserve"> </w:t>
      </w:r>
      <w:r>
        <w:rPr>
          <w:color w:val="231F20"/>
        </w:rPr>
        <w:t>k</w:t>
      </w:r>
      <w:r>
        <w:rPr>
          <w:color w:val="231F20"/>
          <w:spacing w:val="-15"/>
        </w:rPr>
        <w:t xml:space="preserve"> </w:t>
      </w:r>
      <w:r>
        <w:rPr>
          <w:color w:val="231F20"/>
        </w:rPr>
        <w:t>jednání</w:t>
      </w:r>
      <w:r>
        <w:rPr>
          <w:color w:val="231F20"/>
          <w:spacing w:val="-16"/>
        </w:rPr>
        <w:t xml:space="preserve"> </w:t>
      </w:r>
      <w:r>
        <w:rPr>
          <w:color w:val="231F20"/>
        </w:rPr>
        <w:t>a</w:t>
      </w:r>
      <w:r>
        <w:rPr>
          <w:color w:val="231F20"/>
          <w:spacing w:val="-16"/>
        </w:rPr>
        <w:t xml:space="preserve"> </w:t>
      </w:r>
      <w:r>
        <w:rPr>
          <w:color w:val="231F20"/>
          <w:spacing w:val="-4"/>
        </w:rPr>
        <w:t xml:space="preserve">vědo- </w:t>
      </w:r>
      <w:r>
        <w:rPr>
          <w:color w:val="231F20"/>
        </w:rPr>
        <w:t xml:space="preserve">mosti oprávněné osoby nebo osob jednajících z jejich podnětu nebo v </w:t>
      </w:r>
      <w:r>
        <w:rPr>
          <w:color w:val="231F20"/>
          <w:spacing w:val="-3"/>
        </w:rPr>
        <w:t xml:space="preserve">jejich </w:t>
      </w:r>
      <w:r>
        <w:rPr>
          <w:color w:val="231F20"/>
        </w:rPr>
        <w:t>prospěch.</w:t>
      </w:r>
    </w:p>
    <w:p w14:paraId="72F2E33D" w14:textId="77777777" w:rsidR="00F65BCA" w:rsidRDefault="00F65BCA">
      <w:pPr>
        <w:pStyle w:val="Zkladntext"/>
        <w:spacing w:before="10"/>
        <w:rPr>
          <w:sz w:val="20"/>
        </w:rPr>
      </w:pPr>
    </w:p>
    <w:p w14:paraId="6B048D33" w14:textId="77777777" w:rsidR="00F65BCA" w:rsidRDefault="00216117">
      <w:pPr>
        <w:ind w:left="186"/>
        <w:rPr>
          <w:sz w:val="15"/>
        </w:rPr>
      </w:pPr>
      <w:r>
        <w:rPr>
          <w:color w:val="FFFFFF"/>
          <w:position w:val="3"/>
          <w:sz w:val="16"/>
          <w:shd w:val="clear" w:color="auto" w:fill="808285"/>
        </w:rPr>
        <w:t xml:space="preserve">  </w:t>
      </w:r>
      <w:r>
        <w:rPr>
          <w:color w:val="FFFFFF"/>
          <w:w w:val="105"/>
          <w:position w:val="3"/>
          <w:sz w:val="16"/>
          <w:shd w:val="clear" w:color="auto" w:fill="808285"/>
        </w:rPr>
        <w:t>Článek 7</w:t>
      </w:r>
      <w:r>
        <w:rPr>
          <w:color w:val="FFFFFF"/>
          <w:w w:val="105"/>
          <w:position w:val="3"/>
          <w:sz w:val="16"/>
        </w:rPr>
        <w:t xml:space="preserve"> </w:t>
      </w:r>
      <w:r>
        <w:rPr>
          <w:color w:val="231F20"/>
          <w:w w:val="105"/>
          <w:sz w:val="15"/>
        </w:rPr>
        <w:t>Zohlednění předchozího škodního průběhu</w:t>
      </w:r>
    </w:p>
    <w:p w14:paraId="28A9C90D" w14:textId="77777777" w:rsidR="00F65BCA" w:rsidRDefault="00216117">
      <w:pPr>
        <w:pStyle w:val="Zkladntext"/>
        <w:spacing w:before="147" w:line="278" w:lineRule="auto"/>
        <w:ind w:left="468" w:right="424" w:hanging="283"/>
        <w:jc w:val="both"/>
      </w:pPr>
      <w:r>
        <w:rPr>
          <w:color w:val="231F20"/>
          <w:position w:val="1"/>
          <w:sz w:val="14"/>
          <w:shd w:val="clear" w:color="auto" w:fill="D1D3D4"/>
        </w:rPr>
        <w:t xml:space="preserve">  1</w:t>
      </w:r>
      <w:r>
        <w:rPr>
          <w:color w:val="231F20"/>
          <w:position w:val="1"/>
          <w:sz w:val="14"/>
        </w:rPr>
        <w:t xml:space="preserve"> </w:t>
      </w:r>
      <w:r>
        <w:rPr>
          <w:color w:val="231F20"/>
        </w:rPr>
        <w:t>Pojišťovna provádí vyhodnocení škodního průběhu pojištěných vozidel, a to samostatně pro:</w:t>
      </w:r>
    </w:p>
    <w:p w14:paraId="1492C461" w14:textId="77777777" w:rsidR="00F65BCA" w:rsidRDefault="00216117">
      <w:pPr>
        <w:pStyle w:val="Odstavecseseznamem"/>
        <w:numPr>
          <w:ilvl w:val="0"/>
          <w:numId w:val="123"/>
        </w:numPr>
        <w:tabs>
          <w:tab w:val="left" w:pos="639"/>
        </w:tabs>
        <w:jc w:val="both"/>
        <w:rPr>
          <w:sz w:val="15"/>
        </w:rPr>
      </w:pPr>
      <w:r>
        <w:rPr>
          <w:color w:val="231F20"/>
          <w:sz w:val="15"/>
        </w:rPr>
        <w:t>pojištění</w:t>
      </w:r>
      <w:r>
        <w:rPr>
          <w:color w:val="231F20"/>
          <w:spacing w:val="-1"/>
          <w:sz w:val="15"/>
        </w:rPr>
        <w:t xml:space="preserve"> </w:t>
      </w:r>
      <w:r>
        <w:rPr>
          <w:color w:val="231F20"/>
          <w:sz w:val="15"/>
        </w:rPr>
        <w:t>odpovědnosti;</w:t>
      </w:r>
    </w:p>
    <w:p w14:paraId="5D8469BF" w14:textId="77777777" w:rsidR="00F65BCA" w:rsidRDefault="00216117">
      <w:pPr>
        <w:pStyle w:val="Odstavecseseznamem"/>
        <w:numPr>
          <w:ilvl w:val="0"/>
          <w:numId w:val="123"/>
        </w:numPr>
        <w:tabs>
          <w:tab w:val="left" w:pos="639"/>
        </w:tabs>
        <w:spacing w:before="27"/>
        <w:jc w:val="both"/>
        <w:rPr>
          <w:sz w:val="15"/>
        </w:rPr>
      </w:pPr>
      <w:r>
        <w:rPr>
          <w:color w:val="231F20"/>
          <w:sz w:val="15"/>
        </w:rPr>
        <w:t>havarijní</w:t>
      </w:r>
      <w:r>
        <w:rPr>
          <w:color w:val="231F20"/>
          <w:spacing w:val="-1"/>
          <w:sz w:val="15"/>
        </w:rPr>
        <w:t xml:space="preserve"> </w:t>
      </w:r>
      <w:r>
        <w:rPr>
          <w:color w:val="231F20"/>
          <w:sz w:val="15"/>
        </w:rPr>
        <w:t>pojištění.</w:t>
      </w:r>
    </w:p>
    <w:p w14:paraId="3BD99A2E" w14:textId="77777777" w:rsidR="00F65BCA" w:rsidRDefault="00216117">
      <w:pPr>
        <w:pStyle w:val="Zkladntext"/>
        <w:spacing w:before="27"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position w:val="1"/>
          <w:sz w:val="14"/>
        </w:rPr>
        <w:t xml:space="preserve"> </w:t>
      </w:r>
      <w:r>
        <w:rPr>
          <w:color w:val="231F20"/>
        </w:rPr>
        <w:t>Hodnocené období je období určené k hodnocení škodního průběhu. První hodnocené</w:t>
      </w:r>
      <w:r>
        <w:rPr>
          <w:color w:val="231F20"/>
          <w:spacing w:val="-6"/>
        </w:rPr>
        <w:t xml:space="preserve"> </w:t>
      </w:r>
      <w:r>
        <w:rPr>
          <w:color w:val="231F20"/>
        </w:rPr>
        <w:t>období</w:t>
      </w:r>
      <w:r>
        <w:rPr>
          <w:color w:val="231F20"/>
          <w:spacing w:val="-5"/>
        </w:rPr>
        <w:t xml:space="preserve"> </w:t>
      </w:r>
      <w:r>
        <w:rPr>
          <w:color w:val="231F20"/>
        </w:rPr>
        <w:t>je</w:t>
      </w:r>
      <w:r>
        <w:rPr>
          <w:color w:val="231F20"/>
          <w:spacing w:val="-6"/>
        </w:rPr>
        <w:t xml:space="preserve"> </w:t>
      </w:r>
      <w:r>
        <w:rPr>
          <w:color w:val="231F20"/>
        </w:rPr>
        <w:t>období</w:t>
      </w:r>
      <w:r>
        <w:rPr>
          <w:color w:val="231F20"/>
          <w:spacing w:val="-5"/>
        </w:rPr>
        <w:t xml:space="preserve"> </w:t>
      </w:r>
      <w:r>
        <w:rPr>
          <w:color w:val="231F20"/>
        </w:rPr>
        <w:t>od</w:t>
      </w:r>
      <w:r>
        <w:rPr>
          <w:color w:val="231F20"/>
          <w:spacing w:val="-5"/>
        </w:rPr>
        <w:t xml:space="preserve"> </w:t>
      </w:r>
      <w:r>
        <w:rPr>
          <w:color w:val="231F20"/>
        </w:rPr>
        <w:t>počátku</w:t>
      </w:r>
      <w:r>
        <w:rPr>
          <w:color w:val="231F20"/>
          <w:spacing w:val="-6"/>
        </w:rPr>
        <w:t xml:space="preserve"> </w:t>
      </w:r>
      <w:r>
        <w:rPr>
          <w:color w:val="231F20"/>
        </w:rPr>
        <w:t>pojištění</w:t>
      </w:r>
      <w:r>
        <w:rPr>
          <w:color w:val="231F20"/>
          <w:spacing w:val="-5"/>
        </w:rPr>
        <w:t xml:space="preserve"> </w:t>
      </w:r>
      <w:r>
        <w:rPr>
          <w:color w:val="231F20"/>
        </w:rPr>
        <w:t>do</w:t>
      </w:r>
      <w:r>
        <w:rPr>
          <w:color w:val="231F20"/>
          <w:spacing w:val="-5"/>
        </w:rPr>
        <w:t xml:space="preserve"> </w:t>
      </w:r>
      <w:r>
        <w:rPr>
          <w:color w:val="231F20"/>
        </w:rPr>
        <w:t>data</w:t>
      </w:r>
      <w:r>
        <w:rPr>
          <w:color w:val="231F20"/>
          <w:spacing w:val="-6"/>
        </w:rPr>
        <w:t xml:space="preserve"> </w:t>
      </w:r>
      <w:r>
        <w:rPr>
          <w:color w:val="231F20"/>
        </w:rPr>
        <w:t>4</w:t>
      </w:r>
      <w:r>
        <w:rPr>
          <w:color w:val="231F20"/>
          <w:spacing w:val="-5"/>
        </w:rPr>
        <w:t xml:space="preserve"> </w:t>
      </w:r>
      <w:r>
        <w:rPr>
          <w:color w:val="231F20"/>
        </w:rPr>
        <w:t>měsíce</w:t>
      </w:r>
      <w:r>
        <w:rPr>
          <w:color w:val="231F20"/>
          <w:spacing w:val="-6"/>
        </w:rPr>
        <w:t xml:space="preserve"> </w:t>
      </w:r>
      <w:r>
        <w:rPr>
          <w:color w:val="231F20"/>
        </w:rPr>
        <w:t>před</w:t>
      </w:r>
      <w:r>
        <w:rPr>
          <w:color w:val="231F20"/>
          <w:spacing w:val="-5"/>
        </w:rPr>
        <w:t xml:space="preserve"> </w:t>
      </w:r>
      <w:r>
        <w:rPr>
          <w:color w:val="231F20"/>
          <w:spacing w:val="-4"/>
        </w:rPr>
        <w:t xml:space="preserve">vý- </w:t>
      </w:r>
      <w:r>
        <w:rPr>
          <w:color w:val="231F20"/>
        </w:rPr>
        <w:t>ročím</w:t>
      </w:r>
      <w:r>
        <w:rPr>
          <w:color w:val="231F20"/>
          <w:spacing w:val="-21"/>
        </w:rPr>
        <w:t xml:space="preserve"> </w:t>
      </w:r>
      <w:r>
        <w:rPr>
          <w:color w:val="231F20"/>
        </w:rPr>
        <w:t>dnem</w:t>
      </w:r>
      <w:r>
        <w:rPr>
          <w:color w:val="231F20"/>
          <w:spacing w:val="-21"/>
        </w:rPr>
        <w:t xml:space="preserve"> </w:t>
      </w:r>
      <w:r>
        <w:rPr>
          <w:color w:val="231F20"/>
        </w:rPr>
        <w:t>pojistné</w:t>
      </w:r>
      <w:r>
        <w:rPr>
          <w:color w:val="231F20"/>
          <w:spacing w:val="-20"/>
        </w:rPr>
        <w:t xml:space="preserve"> </w:t>
      </w:r>
      <w:r>
        <w:rPr>
          <w:color w:val="231F20"/>
        </w:rPr>
        <w:t>smlouvy.</w:t>
      </w:r>
      <w:r>
        <w:rPr>
          <w:color w:val="231F20"/>
          <w:spacing w:val="-21"/>
        </w:rPr>
        <w:t xml:space="preserve"> </w:t>
      </w:r>
      <w:r>
        <w:rPr>
          <w:color w:val="231F20"/>
        </w:rPr>
        <w:t>Následující</w:t>
      </w:r>
      <w:r>
        <w:rPr>
          <w:color w:val="231F20"/>
          <w:spacing w:val="-20"/>
        </w:rPr>
        <w:t xml:space="preserve"> </w:t>
      </w:r>
      <w:r>
        <w:rPr>
          <w:color w:val="231F20"/>
        </w:rPr>
        <w:t>hodnocená</w:t>
      </w:r>
      <w:r>
        <w:rPr>
          <w:color w:val="231F20"/>
          <w:spacing w:val="-21"/>
        </w:rPr>
        <w:t xml:space="preserve"> </w:t>
      </w:r>
      <w:r>
        <w:rPr>
          <w:color w:val="231F20"/>
        </w:rPr>
        <w:t>období</w:t>
      </w:r>
      <w:r>
        <w:rPr>
          <w:color w:val="231F20"/>
          <w:spacing w:val="-21"/>
        </w:rPr>
        <w:t xml:space="preserve"> </w:t>
      </w:r>
      <w:r>
        <w:rPr>
          <w:color w:val="231F20"/>
        </w:rPr>
        <w:t>jsou</w:t>
      </w:r>
      <w:r>
        <w:rPr>
          <w:color w:val="231F20"/>
          <w:spacing w:val="-20"/>
        </w:rPr>
        <w:t xml:space="preserve"> </w:t>
      </w:r>
      <w:r>
        <w:rPr>
          <w:color w:val="231F20"/>
        </w:rPr>
        <w:t>rovna</w:t>
      </w:r>
      <w:r>
        <w:rPr>
          <w:color w:val="231F20"/>
          <w:spacing w:val="-21"/>
        </w:rPr>
        <w:t xml:space="preserve"> </w:t>
      </w:r>
      <w:r>
        <w:rPr>
          <w:color w:val="231F20"/>
        </w:rPr>
        <w:t>12</w:t>
      </w:r>
      <w:r>
        <w:rPr>
          <w:color w:val="231F20"/>
          <w:spacing w:val="-20"/>
        </w:rPr>
        <w:t xml:space="preserve"> </w:t>
      </w:r>
      <w:r>
        <w:rPr>
          <w:color w:val="231F20"/>
          <w:spacing w:val="-7"/>
        </w:rPr>
        <w:t xml:space="preserve">po </w:t>
      </w:r>
      <w:r>
        <w:rPr>
          <w:color w:val="231F20"/>
        </w:rPr>
        <w:t>sobě</w:t>
      </w:r>
      <w:r>
        <w:rPr>
          <w:color w:val="231F20"/>
          <w:spacing w:val="-11"/>
        </w:rPr>
        <w:t xml:space="preserve"> </w:t>
      </w:r>
      <w:r>
        <w:rPr>
          <w:color w:val="231F20"/>
        </w:rPr>
        <w:t>jdoucím</w:t>
      </w:r>
      <w:r>
        <w:rPr>
          <w:color w:val="231F20"/>
          <w:spacing w:val="-11"/>
        </w:rPr>
        <w:t xml:space="preserve"> </w:t>
      </w:r>
      <w:r>
        <w:rPr>
          <w:color w:val="231F20"/>
        </w:rPr>
        <w:t>kalendářním</w:t>
      </w:r>
      <w:r>
        <w:rPr>
          <w:color w:val="231F20"/>
          <w:spacing w:val="-10"/>
        </w:rPr>
        <w:t xml:space="preserve"> </w:t>
      </w:r>
      <w:r>
        <w:rPr>
          <w:color w:val="231F20"/>
        </w:rPr>
        <w:t>měsícům</w:t>
      </w:r>
      <w:r>
        <w:rPr>
          <w:color w:val="231F20"/>
          <w:spacing w:val="-11"/>
        </w:rPr>
        <w:t xml:space="preserve"> </w:t>
      </w:r>
      <w:r>
        <w:rPr>
          <w:color w:val="231F20"/>
        </w:rPr>
        <w:t>od</w:t>
      </w:r>
      <w:r>
        <w:rPr>
          <w:color w:val="231F20"/>
          <w:spacing w:val="-10"/>
        </w:rPr>
        <w:t xml:space="preserve"> </w:t>
      </w:r>
      <w:r>
        <w:rPr>
          <w:color w:val="231F20"/>
        </w:rPr>
        <w:t>data</w:t>
      </w:r>
      <w:r>
        <w:rPr>
          <w:color w:val="231F20"/>
          <w:spacing w:val="-11"/>
        </w:rPr>
        <w:t xml:space="preserve"> </w:t>
      </w:r>
      <w:r>
        <w:rPr>
          <w:color w:val="231F20"/>
        </w:rPr>
        <w:t>konce</w:t>
      </w:r>
      <w:r>
        <w:rPr>
          <w:color w:val="231F20"/>
          <w:spacing w:val="-11"/>
        </w:rPr>
        <w:t xml:space="preserve"> </w:t>
      </w:r>
      <w:r>
        <w:rPr>
          <w:color w:val="231F20"/>
        </w:rPr>
        <w:t>předchozího</w:t>
      </w:r>
      <w:r>
        <w:rPr>
          <w:color w:val="231F20"/>
          <w:spacing w:val="-10"/>
        </w:rPr>
        <w:t xml:space="preserve"> </w:t>
      </w:r>
      <w:r>
        <w:rPr>
          <w:color w:val="231F20"/>
          <w:spacing w:val="-3"/>
        </w:rPr>
        <w:t xml:space="preserve">hodnocené- </w:t>
      </w:r>
      <w:r>
        <w:rPr>
          <w:color w:val="231F20"/>
        </w:rPr>
        <w:t>ho</w:t>
      </w:r>
      <w:r>
        <w:rPr>
          <w:color w:val="231F20"/>
          <w:spacing w:val="-1"/>
        </w:rPr>
        <w:t xml:space="preserve"> </w:t>
      </w:r>
      <w:r>
        <w:rPr>
          <w:color w:val="231F20"/>
        </w:rPr>
        <w:t>období.</w:t>
      </w:r>
    </w:p>
    <w:p w14:paraId="25FCAFBA"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22"/>
          <w:position w:val="1"/>
          <w:sz w:val="14"/>
        </w:rPr>
        <w:t xml:space="preserve"> </w:t>
      </w:r>
      <w:r>
        <w:rPr>
          <w:color w:val="231F20"/>
        </w:rPr>
        <w:t>Na</w:t>
      </w:r>
      <w:r>
        <w:rPr>
          <w:color w:val="231F20"/>
          <w:spacing w:val="-14"/>
        </w:rPr>
        <w:t xml:space="preserve"> </w:t>
      </w:r>
      <w:r>
        <w:rPr>
          <w:color w:val="231F20"/>
        </w:rPr>
        <w:t>základě</w:t>
      </w:r>
      <w:r>
        <w:rPr>
          <w:color w:val="231F20"/>
          <w:spacing w:val="-13"/>
        </w:rPr>
        <w:t xml:space="preserve"> </w:t>
      </w:r>
      <w:r>
        <w:rPr>
          <w:color w:val="231F20"/>
        </w:rPr>
        <w:t>vyhodnocení</w:t>
      </w:r>
      <w:r>
        <w:rPr>
          <w:color w:val="231F20"/>
          <w:spacing w:val="-14"/>
        </w:rPr>
        <w:t xml:space="preserve"> </w:t>
      </w:r>
      <w:r>
        <w:rPr>
          <w:color w:val="231F20"/>
        </w:rPr>
        <w:t>škodního</w:t>
      </w:r>
      <w:r>
        <w:rPr>
          <w:color w:val="231F20"/>
          <w:spacing w:val="-13"/>
        </w:rPr>
        <w:t xml:space="preserve"> </w:t>
      </w:r>
      <w:r>
        <w:rPr>
          <w:color w:val="231F20"/>
        </w:rPr>
        <w:t>průběhu</w:t>
      </w:r>
      <w:r>
        <w:rPr>
          <w:color w:val="231F20"/>
          <w:spacing w:val="-14"/>
        </w:rPr>
        <w:t xml:space="preserve"> </w:t>
      </w:r>
      <w:r>
        <w:rPr>
          <w:color w:val="231F20"/>
        </w:rPr>
        <w:t>za</w:t>
      </w:r>
      <w:r>
        <w:rPr>
          <w:color w:val="231F20"/>
          <w:spacing w:val="-13"/>
        </w:rPr>
        <w:t xml:space="preserve"> </w:t>
      </w:r>
      <w:r>
        <w:rPr>
          <w:color w:val="231F20"/>
        </w:rPr>
        <w:t>hodnocené</w:t>
      </w:r>
      <w:r>
        <w:rPr>
          <w:color w:val="231F20"/>
          <w:spacing w:val="-14"/>
        </w:rPr>
        <w:t xml:space="preserve"> </w:t>
      </w:r>
      <w:r>
        <w:rPr>
          <w:color w:val="231F20"/>
        </w:rPr>
        <w:t>období</w:t>
      </w:r>
      <w:r>
        <w:rPr>
          <w:color w:val="231F20"/>
          <w:spacing w:val="-13"/>
        </w:rPr>
        <w:t xml:space="preserve"> </w:t>
      </w:r>
      <w:r>
        <w:rPr>
          <w:color w:val="231F20"/>
        </w:rPr>
        <w:t>si</w:t>
      </w:r>
      <w:r>
        <w:rPr>
          <w:color w:val="231F20"/>
          <w:spacing w:val="-14"/>
        </w:rPr>
        <w:t xml:space="preserve"> </w:t>
      </w:r>
      <w:r>
        <w:rPr>
          <w:color w:val="231F20"/>
        </w:rPr>
        <w:t>Pojišťov- na</w:t>
      </w:r>
      <w:r>
        <w:rPr>
          <w:color w:val="231F20"/>
          <w:spacing w:val="-19"/>
        </w:rPr>
        <w:t xml:space="preserve"> </w:t>
      </w:r>
      <w:r>
        <w:rPr>
          <w:color w:val="231F20"/>
        </w:rPr>
        <w:t>vyhrazuje</w:t>
      </w:r>
      <w:r>
        <w:rPr>
          <w:color w:val="231F20"/>
          <w:spacing w:val="-18"/>
        </w:rPr>
        <w:t xml:space="preserve"> </w:t>
      </w:r>
      <w:r>
        <w:rPr>
          <w:color w:val="231F20"/>
        </w:rPr>
        <w:t>právo</w:t>
      </w:r>
      <w:r>
        <w:rPr>
          <w:color w:val="231F20"/>
          <w:spacing w:val="-18"/>
        </w:rPr>
        <w:t xml:space="preserve"> </w:t>
      </w:r>
      <w:r>
        <w:rPr>
          <w:color w:val="231F20"/>
        </w:rPr>
        <w:t>upravit</w:t>
      </w:r>
      <w:r>
        <w:rPr>
          <w:color w:val="231F20"/>
          <w:spacing w:val="-18"/>
        </w:rPr>
        <w:t xml:space="preserve"> </w:t>
      </w:r>
      <w:r>
        <w:rPr>
          <w:color w:val="231F20"/>
        </w:rPr>
        <w:t>výši</w:t>
      </w:r>
      <w:r>
        <w:rPr>
          <w:color w:val="231F20"/>
          <w:spacing w:val="-18"/>
        </w:rPr>
        <w:t xml:space="preserve"> </w:t>
      </w:r>
      <w:r>
        <w:rPr>
          <w:color w:val="231F20"/>
        </w:rPr>
        <w:t>pojistného</w:t>
      </w:r>
      <w:r>
        <w:rPr>
          <w:color w:val="231F20"/>
          <w:spacing w:val="-19"/>
        </w:rPr>
        <w:t xml:space="preserve"> </w:t>
      </w:r>
      <w:r>
        <w:rPr>
          <w:color w:val="231F20"/>
        </w:rPr>
        <w:t>pro</w:t>
      </w:r>
      <w:r>
        <w:rPr>
          <w:color w:val="231F20"/>
          <w:spacing w:val="-18"/>
        </w:rPr>
        <w:t xml:space="preserve"> </w:t>
      </w:r>
      <w:r>
        <w:rPr>
          <w:color w:val="231F20"/>
        </w:rPr>
        <w:t>následující</w:t>
      </w:r>
      <w:r>
        <w:rPr>
          <w:color w:val="231F20"/>
          <w:spacing w:val="-18"/>
        </w:rPr>
        <w:t xml:space="preserve"> </w:t>
      </w:r>
      <w:r>
        <w:rPr>
          <w:color w:val="231F20"/>
        </w:rPr>
        <w:t>pojistné</w:t>
      </w:r>
      <w:r>
        <w:rPr>
          <w:color w:val="231F20"/>
          <w:spacing w:val="-18"/>
        </w:rPr>
        <w:t xml:space="preserve"> </w:t>
      </w:r>
      <w:r>
        <w:rPr>
          <w:color w:val="231F20"/>
        </w:rPr>
        <w:t>období,</w:t>
      </w:r>
      <w:r>
        <w:rPr>
          <w:color w:val="231F20"/>
          <w:spacing w:val="-18"/>
        </w:rPr>
        <w:t xml:space="preserve"> </w:t>
      </w:r>
      <w:r>
        <w:rPr>
          <w:color w:val="231F20"/>
        </w:rPr>
        <w:t>a</w:t>
      </w:r>
      <w:r>
        <w:rPr>
          <w:color w:val="231F20"/>
          <w:spacing w:val="-18"/>
        </w:rPr>
        <w:t xml:space="preserve"> </w:t>
      </w:r>
      <w:r>
        <w:rPr>
          <w:color w:val="231F20"/>
          <w:spacing w:val="-6"/>
        </w:rPr>
        <w:t xml:space="preserve">to </w:t>
      </w:r>
      <w:r>
        <w:rPr>
          <w:color w:val="231F20"/>
        </w:rPr>
        <w:t>formou změny dosud přiznané slevy nebo</w:t>
      </w:r>
      <w:r>
        <w:rPr>
          <w:color w:val="231F20"/>
          <w:spacing w:val="-16"/>
        </w:rPr>
        <w:t xml:space="preserve"> </w:t>
      </w:r>
      <w:r>
        <w:rPr>
          <w:color w:val="231F20"/>
        </w:rPr>
        <w:t>přirážky.</w:t>
      </w:r>
    </w:p>
    <w:p w14:paraId="69EE4451"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20"/>
          <w:position w:val="1"/>
          <w:sz w:val="14"/>
        </w:rPr>
        <w:t xml:space="preserve"> </w:t>
      </w:r>
      <w:r>
        <w:rPr>
          <w:color w:val="231F20"/>
        </w:rPr>
        <w:t>Nedochází-li</w:t>
      </w:r>
      <w:r>
        <w:rPr>
          <w:color w:val="231F20"/>
          <w:spacing w:val="-12"/>
        </w:rPr>
        <w:t xml:space="preserve"> </w:t>
      </w:r>
      <w:r>
        <w:rPr>
          <w:color w:val="231F20"/>
        </w:rPr>
        <w:t>ke</w:t>
      </w:r>
      <w:r>
        <w:rPr>
          <w:color w:val="231F20"/>
          <w:spacing w:val="-12"/>
        </w:rPr>
        <w:t xml:space="preserve"> </w:t>
      </w:r>
      <w:r>
        <w:rPr>
          <w:color w:val="231F20"/>
        </w:rPr>
        <w:t>změně</w:t>
      </w:r>
      <w:r>
        <w:rPr>
          <w:color w:val="231F20"/>
          <w:spacing w:val="-12"/>
        </w:rPr>
        <w:t xml:space="preserve"> </w:t>
      </w:r>
      <w:r>
        <w:rPr>
          <w:color w:val="231F20"/>
        </w:rPr>
        <w:t>pojistného</w:t>
      </w:r>
      <w:r>
        <w:rPr>
          <w:color w:val="231F20"/>
          <w:spacing w:val="-12"/>
        </w:rPr>
        <w:t xml:space="preserve"> </w:t>
      </w:r>
      <w:r>
        <w:rPr>
          <w:color w:val="231F20"/>
        </w:rPr>
        <w:t>pro</w:t>
      </w:r>
      <w:r>
        <w:rPr>
          <w:color w:val="231F20"/>
          <w:spacing w:val="-12"/>
        </w:rPr>
        <w:t xml:space="preserve"> </w:t>
      </w:r>
      <w:r>
        <w:rPr>
          <w:color w:val="231F20"/>
        </w:rPr>
        <w:t>následující</w:t>
      </w:r>
      <w:r>
        <w:rPr>
          <w:color w:val="231F20"/>
          <w:spacing w:val="-12"/>
        </w:rPr>
        <w:t xml:space="preserve"> </w:t>
      </w:r>
      <w:r>
        <w:rPr>
          <w:color w:val="231F20"/>
        </w:rPr>
        <w:t>pojistná</w:t>
      </w:r>
      <w:r>
        <w:rPr>
          <w:color w:val="231F20"/>
          <w:spacing w:val="-12"/>
        </w:rPr>
        <w:t xml:space="preserve"> </w:t>
      </w:r>
      <w:r>
        <w:rPr>
          <w:color w:val="231F20"/>
        </w:rPr>
        <w:t>období,</w:t>
      </w:r>
      <w:r>
        <w:rPr>
          <w:color w:val="231F20"/>
          <w:spacing w:val="-11"/>
        </w:rPr>
        <w:t xml:space="preserve"> </w:t>
      </w:r>
      <w:r>
        <w:rPr>
          <w:color w:val="231F20"/>
        </w:rPr>
        <w:t>není</w:t>
      </w:r>
      <w:r>
        <w:rPr>
          <w:color w:val="231F20"/>
          <w:spacing w:val="-12"/>
        </w:rPr>
        <w:t xml:space="preserve"> </w:t>
      </w:r>
      <w:r>
        <w:rPr>
          <w:color w:val="231F20"/>
        </w:rPr>
        <w:t>pojist- ník</w:t>
      </w:r>
      <w:r>
        <w:rPr>
          <w:color w:val="231F20"/>
          <w:spacing w:val="-7"/>
        </w:rPr>
        <w:t xml:space="preserve"> </w:t>
      </w:r>
      <w:r>
        <w:rPr>
          <w:color w:val="231F20"/>
        </w:rPr>
        <w:t>o</w:t>
      </w:r>
      <w:r>
        <w:rPr>
          <w:color w:val="231F20"/>
          <w:spacing w:val="-6"/>
        </w:rPr>
        <w:t xml:space="preserve"> </w:t>
      </w:r>
      <w:r>
        <w:rPr>
          <w:color w:val="231F20"/>
        </w:rPr>
        <w:t>vyhodnocení</w:t>
      </w:r>
      <w:r>
        <w:rPr>
          <w:color w:val="231F20"/>
          <w:spacing w:val="-6"/>
        </w:rPr>
        <w:t xml:space="preserve"> </w:t>
      </w:r>
      <w:r>
        <w:rPr>
          <w:color w:val="231F20"/>
        </w:rPr>
        <w:t>škodního</w:t>
      </w:r>
      <w:r>
        <w:rPr>
          <w:color w:val="231F20"/>
          <w:spacing w:val="-6"/>
        </w:rPr>
        <w:t xml:space="preserve"> </w:t>
      </w:r>
      <w:r>
        <w:rPr>
          <w:color w:val="231F20"/>
        </w:rPr>
        <w:t>průběhu</w:t>
      </w:r>
      <w:r>
        <w:rPr>
          <w:color w:val="231F20"/>
          <w:spacing w:val="-7"/>
        </w:rPr>
        <w:t xml:space="preserve"> </w:t>
      </w:r>
      <w:r>
        <w:rPr>
          <w:color w:val="231F20"/>
        </w:rPr>
        <w:t>pojistné</w:t>
      </w:r>
      <w:r>
        <w:rPr>
          <w:color w:val="231F20"/>
          <w:spacing w:val="-6"/>
        </w:rPr>
        <w:t xml:space="preserve"> </w:t>
      </w:r>
      <w:r>
        <w:rPr>
          <w:color w:val="231F20"/>
        </w:rPr>
        <w:t>smlouvy</w:t>
      </w:r>
      <w:r>
        <w:rPr>
          <w:color w:val="231F20"/>
          <w:spacing w:val="-6"/>
        </w:rPr>
        <w:t xml:space="preserve"> </w:t>
      </w:r>
      <w:r>
        <w:rPr>
          <w:color w:val="231F20"/>
        </w:rPr>
        <w:t>informován.</w:t>
      </w:r>
    </w:p>
    <w:p w14:paraId="74BFB7C8"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spacing w:val="19"/>
          <w:position w:val="1"/>
          <w:sz w:val="14"/>
        </w:rPr>
        <w:t xml:space="preserve"> </w:t>
      </w:r>
      <w:r>
        <w:rPr>
          <w:color w:val="231F20"/>
        </w:rPr>
        <w:t>Pokud</w:t>
      </w:r>
      <w:r>
        <w:rPr>
          <w:color w:val="231F20"/>
          <w:spacing w:val="-9"/>
        </w:rPr>
        <w:t xml:space="preserve"> </w:t>
      </w:r>
      <w:r>
        <w:rPr>
          <w:color w:val="231F20"/>
        </w:rPr>
        <w:t>Pojišťovna</w:t>
      </w:r>
      <w:r>
        <w:rPr>
          <w:color w:val="231F20"/>
          <w:spacing w:val="-10"/>
        </w:rPr>
        <w:t xml:space="preserve"> </w:t>
      </w:r>
      <w:r>
        <w:rPr>
          <w:color w:val="231F20"/>
        </w:rPr>
        <w:t>zjistí</w:t>
      </w:r>
      <w:r>
        <w:rPr>
          <w:color w:val="231F20"/>
          <w:spacing w:val="-9"/>
        </w:rPr>
        <w:t xml:space="preserve"> </w:t>
      </w:r>
      <w:r>
        <w:rPr>
          <w:color w:val="231F20"/>
        </w:rPr>
        <w:t>až</w:t>
      </w:r>
      <w:r>
        <w:rPr>
          <w:color w:val="231F20"/>
          <w:spacing w:val="-10"/>
        </w:rPr>
        <w:t xml:space="preserve"> </w:t>
      </w:r>
      <w:r>
        <w:rPr>
          <w:color w:val="231F20"/>
        </w:rPr>
        <w:t>po</w:t>
      </w:r>
      <w:r>
        <w:rPr>
          <w:color w:val="231F20"/>
          <w:spacing w:val="-9"/>
        </w:rPr>
        <w:t xml:space="preserve"> </w:t>
      </w:r>
      <w:r>
        <w:rPr>
          <w:color w:val="231F20"/>
        </w:rPr>
        <w:t>sjednání</w:t>
      </w:r>
      <w:r>
        <w:rPr>
          <w:color w:val="231F20"/>
          <w:spacing w:val="-10"/>
        </w:rPr>
        <w:t xml:space="preserve"> </w:t>
      </w:r>
      <w:r>
        <w:rPr>
          <w:color w:val="231F20"/>
        </w:rPr>
        <w:t>pojištění,</w:t>
      </w:r>
      <w:r>
        <w:rPr>
          <w:color w:val="231F20"/>
          <w:spacing w:val="-9"/>
        </w:rPr>
        <w:t xml:space="preserve"> </w:t>
      </w:r>
      <w:r>
        <w:rPr>
          <w:color w:val="231F20"/>
        </w:rPr>
        <w:t>že</w:t>
      </w:r>
      <w:r>
        <w:rPr>
          <w:color w:val="231F20"/>
          <w:spacing w:val="-10"/>
        </w:rPr>
        <w:t xml:space="preserve"> </w:t>
      </w:r>
      <w:r>
        <w:rPr>
          <w:color w:val="231F20"/>
        </w:rPr>
        <w:t>sleva</w:t>
      </w:r>
      <w:r>
        <w:rPr>
          <w:color w:val="231F20"/>
          <w:spacing w:val="-9"/>
        </w:rPr>
        <w:t xml:space="preserve"> </w:t>
      </w:r>
      <w:r>
        <w:rPr>
          <w:color w:val="231F20"/>
        </w:rPr>
        <w:t>na</w:t>
      </w:r>
      <w:r>
        <w:rPr>
          <w:color w:val="231F20"/>
          <w:spacing w:val="-10"/>
        </w:rPr>
        <w:t xml:space="preserve"> </w:t>
      </w:r>
      <w:r>
        <w:rPr>
          <w:color w:val="231F20"/>
        </w:rPr>
        <w:t>pojistném</w:t>
      </w:r>
      <w:r>
        <w:rPr>
          <w:color w:val="231F20"/>
          <w:spacing w:val="-9"/>
        </w:rPr>
        <w:t xml:space="preserve"> </w:t>
      </w:r>
      <w:r>
        <w:rPr>
          <w:color w:val="231F20"/>
        </w:rPr>
        <w:t>nebyla stanovena</w:t>
      </w:r>
      <w:r>
        <w:rPr>
          <w:color w:val="231F20"/>
          <w:spacing w:val="-5"/>
        </w:rPr>
        <w:t xml:space="preserve"> </w:t>
      </w:r>
      <w:r>
        <w:rPr>
          <w:color w:val="231F20"/>
        </w:rPr>
        <w:t>správně,</w:t>
      </w:r>
      <w:r>
        <w:rPr>
          <w:color w:val="231F20"/>
          <w:spacing w:val="-4"/>
        </w:rPr>
        <w:t xml:space="preserve"> </w:t>
      </w:r>
      <w:r>
        <w:rPr>
          <w:color w:val="231F20"/>
        </w:rPr>
        <w:t>je</w:t>
      </w:r>
      <w:r>
        <w:rPr>
          <w:color w:val="231F20"/>
          <w:spacing w:val="-5"/>
        </w:rPr>
        <w:t xml:space="preserve"> </w:t>
      </w:r>
      <w:r>
        <w:rPr>
          <w:color w:val="231F20"/>
        </w:rPr>
        <w:t>oprávněna</w:t>
      </w:r>
      <w:r>
        <w:rPr>
          <w:color w:val="231F20"/>
          <w:spacing w:val="-4"/>
        </w:rPr>
        <w:t xml:space="preserve"> </w:t>
      </w:r>
      <w:r>
        <w:rPr>
          <w:color w:val="231F20"/>
        </w:rPr>
        <w:t>zpětně</w:t>
      </w:r>
      <w:r>
        <w:rPr>
          <w:color w:val="231F20"/>
          <w:spacing w:val="-4"/>
        </w:rPr>
        <w:t xml:space="preserve"> </w:t>
      </w:r>
      <w:r>
        <w:rPr>
          <w:color w:val="231F20"/>
        </w:rPr>
        <w:t>doúčtovat</w:t>
      </w:r>
      <w:r>
        <w:rPr>
          <w:color w:val="231F20"/>
          <w:spacing w:val="-5"/>
        </w:rPr>
        <w:t xml:space="preserve"> </w:t>
      </w:r>
      <w:r>
        <w:rPr>
          <w:color w:val="231F20"/>
        </w:rPr>
        <w:t>pojistníkovi</w:t>
      </w:r>
      <w:r>
        <w:rPr>
          <w:color w:val="231F20"/>
          <w:spacing w:val="-4"/>
        </w:rPr>
        <w:t xml:space="preserve"> </w:t>
      </w:r>
      <w:r>
        <w:rPr>
          <w:color w:val="231F20"/>
          <w:spacing w:val="-2"/>
        </w:rPr>
        <w:t xml:space="preserve">odpovídající </w:t>
      </w:r>
      <w:r>
        <w:rPr>
          <w:color w:val="231F20"/>
        </w:rPr>
        <w:t>výši</w:t>
      </w:r>
      <w:r>
        <w:rPr>
          <w:color w:val="231F20"/>
          <w:spacing w:val="-6"/>
        </w:rPr>
        <w:t xml:space="preserve"> </w:t>
      </w:r>
      <w:r>
        <w:rPr>
          <w:color w:val="231F20"/>
        </w:rPr>
        <w:t>pojistného.</w:t>
      </w:r>
      <w:r>
        <w:rPr>
          <w:color w:val="231F20"/>
          <w:spacing w:val="-5"/>
        </w:rPr>
        <w:t xml:space="preserve"> </w:t>
      </w:r>
      <w:r>
        <w:rPr>
          <w:color w:val="231F20"/>
        </w:rPr>
        <w:t>Pojistník</w:t>
      </w:r>
      <w:r>
        <w:rPr>
          <w:color w:val="231F20"/>
          <w:spacing w:val="-6"/>
        </w:rPr>
        <w:t xml:space="preserve"> </w:t>
      </w:r>
      <w:r>
        <w:rPr>
          <w:color w:val="231F20"/>
        </w:rPr>
        <w:t>je</w:t>
      </w:r>
      <w:r>
        <w:rPr>
          <w:color w:val="231F20"/>
          <w:spacing w:val="-5"/>
        </w:rPr>
        <w:t xml:space="preserve"> </w:t>
      </w:r>
      <w:r>
        <w:rPr>
          <w:color w:val="231F20"/>
        </w:rPr>
        <w:t>povinen</w:t>
      </w:r>
      <w:r>
        <w:rPr>
          <w:color w:val="231F20"/>
          <w:spacing w:val="-5"/>
        </w:rPr>
        <w:t xml:space="preserve"> </w:t>
      </w:r>
      <w:r>
        <w:rPr>
          <w:color w:val="231F20"/>
        </w:rPr>
        <w:t>rozdíl</w:t>
      </w:r>
      <w:r>
        <w:rPr>
          <w:color w:val="231F20"/>
          <w:spacing w:val="-6"/>
        </w:rPr>
        <w:t xml:space="preserve"> </w:t>
      </w:r>
      <w:r>
        <w:rPr>
          <w:color w:val="231F20"/>
        </w:rPr>
        <w:t>na</w:t>
      </w:r>
      <w:r>
        <w:rPr>
          <w:color w:val="231F20"/>
          <w:spacing w:val="-5"/>
        </w:rPr>
        <w:t xml:space="preserve"> </w:t>
      </w:r>
      <w:r>
        <w:rPr>
          <w:color w:val="231F20"/>
        </w:rPr>
        <w:t>pojistném</w:t>
      </w:r>
      <w:r>
        <w:rPr>
          <w:color w:val="231F20"/>
          <w:spacing w:val="-6"/>
        </w:rPr>
        <w:t xml:space="preserve"> </w:t>
      </w:r>
      <w:r>
        <w:rPr>
          <w:color w:val="231F20"/>
        </w:rPr>
        <w:t>doplatit.</w:t>
      </w:r>
    </w:p>
    <w:p w14:paraId="79FA641F" w14:textId="77777777" w:rsidR="00F65BCA" w:rsidRDefault="00F65BCA">
      <w:pPr>
        <w:pStyle w:val="Zkladntext"/>
        <w:spacing w:before="8"/>
        <w:rPr>
          <w:sz w:val="20"/>
        </w:rPr>
      </w:pPr>
    </w:p>
    <w:p w14:paraId="15DFEBD4" w14:textId="77777777" w:rsidR="00F65BCA" w:rsidRDefault="00216117">
      <w:pPr>
        <w:ind w:left="186"/>
        <w:rPr>
          <w:sz w:val="15"/>
        </w:rPr>
      </w:pPr>
      <w:r>
        <w:rPr>
          <w:color w:val="FFFFFF"/>
          <w:position w:val="3"/>
          <w:sz w:val="16"/>
          <w:shd w:val="clear" w:color="auto" w:fill="808285"/>
        </w:rPr>
        <w:t xml:space="preserve">  </w:t>
      </w:r>
      <w:r>
        <w:rPr>
          <w:color w:val="FFFFFF"/>
          <w:w w:val="105"/>
          <w:position w:val="3"/>
          <w:sz w:val="16"/>
          <w:shd w:val="clear" w:color="auto" w:fill="808285"/>
        </w:rPr>
        <w:t>Článek 8</w:t>
      </w:r>
      <w:r>
        <w:rPr>
          <w:color w:val="FFFFFF"/>
          <w:w w:val="105"/>
          <w:position w:val="3"/>
          <w:sz w:val="16"/>
        </w:rPr>
        <w:t xml:space="preserve"> </w:t>
      </w:r>
      <w:r>
        <w:rPr>
          <w:color w:val="231F20"/>
          <w:w w:val="105"/>
          <w:sz w:val="15"/>
        </w:rPr>
        <w:t>Sleva za dlouhodobost pojištění</w:t>
      </w:r>
    </w:p>
    <w:p w14:paraId="4A66F384" w14:textId="77777777" w:rsidR="00F65BCA" w:rsidRDefault="00216117">
      <w:pPr>
        <w:pStyle w:val="Zkladntext"/>
        <w:spacing w:before="147"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20"/>
          <w:position w:val="1"/>
          <w:sz w:val="14"/>
        </w:rPr>
        <w:t xml:space="preserve"> </w:t>
      </w:r>
      <w:r>
        <w:rPr>
          <w:color w:val="231F20"/>
        </w:rPr>
        <w:t>Při</w:t>
      </w:r>
      <w:r>
        <w:rPr>
          <w:color w:val="231F20"/>
          <w:spacing w:val="-8"/>
        </w:rPr>
        <w:t xml:space="preserve"> </w:t>
      </w:r>
      <w:r>
        <w:rPr>
          <w:color w:val="231F20"/>
        </w:rPr>
        <w:t>uzavření</w:t>
      </w:r>
      <w:r>
        <w:rPr>
          <w:color w:val="231F20"/>
          <w:spacing w:val="-8"/>
        </w:rPr>
        <w:t xml:space="preserve"> </w:t>
      </w:r>
      <w:r>
        <w:rPr>
          <w:color w:val="231F20"/>
        </w:rPr>
        <w:t>pojistné</w:t>
      </w:r>
      <w:r>
        <w:rPr>
          <w:color w:val="231F20"/>
          <w:spacing w:val="-9"/>
        </w:rPr>
        <w:t xml:space="preserve"> </w:t>
      </w:r>
      <w:r>
        <w:rPr>
          <w:color w:val="231F20"/>
        </w:rPr>
        <w:t>smlouvy</w:t>
      </w:r>
      <w:r>
        <w:rPr>
          <w:color w:val="231F20"/>
          <w:spacing w:val="-8"/>
        </w:rPr>
        <w:t xml:space="preserve"> </w:t>
      </w:r>
      <w:r>
        <w:rPr>
          <w:color w:val="231F20"/>
        </w:rPr>
        <w:t>lze</w:t>
      </w:r>
      <w:r>
        <w:rPr>
          <w:color w:val="231F20"/>
          <w:spacing w:val="-9"/>
        </w:rPr>
        <w:t xml:space="preserve"> </w:t>
      </w:r>
      <w:r>
        <w:rPr>
          <w:color w:val="231F20"/>
        </w:rPr>
        <w:t>ujednat</w:t>
      </w:r>
      <w:r>
        <w:rPr>
          <w:color w:val="231F20"/>
          <w:spacing w:val="-8"/>
        </w:rPr>
        <w:t xml:space="preserve"> </w:t>
      </w:r>
      <w:r>
        <w:rPr>
          <w:color w:val="231F20"/>
        </w:rPr>
        <w:t>slevu</w:t>
      </w:r>
      <w:r>
        <w:rPr>
          <w:color w:val="231F20"/>
          <w:spacing w:val="-9"/>
        </w:rPr>
        <w:t xml:space="preserve"> </w:t>
      </w:r>
      <w:r>
        <w:rPr>
          <w:color w:val="231F20"/>
        </w:rPr>
        <w:t>za</w:t>
      </w:r>
      <w:r>
        <w:rPr>
          <w:color w:val="231F20"/>
          <w:spacing w:val="-8"/>
        </w:rPr>
        <w:t xml:space="preserve"> </w:t>
      </w:r>
      <w:r>
        <w:rPr>
          <w:color w:val="231F20"/>
          <w:spacing w:val="-3"/>
        </w:rPr>
        <w:t>tzv.</w:t>
      </w:r>
      <w:r>
        <w:rPr>
          <w:color w:val="231F20"/>
          <w:spacing w:val="-9"/>
        </w:rPr>
        <w:t xml:space="preserve"> </w:t>
      </w:r>
      <w:r>
        <w:rPr>
          <w:color w:val="231F20"/>
        </w:rPr>
        <w:t>dlouhodobost</w:t>
      </w:r>
      <w:r>
        <w:rPr>
          <w:color w:val="231F20"/>
          <w:spacing w:val="-8"/>
        </w:rPr>
        <w:t xml:space="preserve"> </w:t>
      </w:r>
      <w:r>
        <w:rPr>
          <w:color w:val="231F20"/>
        </w:rPr>
        <w:t>pojištění dle</w:t>
      </w:r>
      <w:r>
        <w:rPr>
          <w:color w:val="231F20"/>
          <w:spacing w:val="-13"/>
        </w:rPr>
        <w:t xml:space="preserve"> </w:t>
      </w:r>
      <w:r>
        <w:rPr>
          <w:color w:val="231F20"/>
        </w:rPr>
        <w:t>podmínek</w:t>
      </w:r>
      <w:r>
        <w:rPr>
          <w:color w:val="231F20"/>
          <w:spacing w:val="-12"/>
        </w:rPr>
        <w:t xml:space="preserve"> </w:t>
      </w:r>
      <w:r>
        <w:rPr>
          <w:color w:val="231F20"/>
        </w:rPr>
        <w:t>uvedených</w:t>
      </w:r>
      <w:r>
        <w:rPr>
          <w:color w:val="231F20"/>
          <w:spacing w:val="-12"/>
        </w:rPr>
        <w:t xml:space="preserve"> </w:t>
      </w:r>
      <w:r>
        <w:rPr>
          <w:color w:val="231F20"/>
        </w:rPr>
        <w:t>v</w:t>
      </w:r>
      <w:r>
        <w:rPr>
          <w:color w:val="231F20"/>
          <w:spacing w:val="-12"/>
        </w:rPr>
        <w:t xml:space="preserve"> </w:t>
      </w:r>
      <w:r>
        <w:rPr>
          <w:color w:val="231F20"/>
        </w:rPr>
        <w:t>tomto</w:t>
      </w:r>
      <w:r>
        <w:rPr>
          <w:color w:val="231F20"/>
          <w:spacing w:val="-13"/>
        </w:rPr>
        <w:t xml:space="preserve"> </w:t>
      </w:r>
      <w:r>
        <w:rPr>
          <w:color w:val="231F20"/>
        </w:rPr>
        <w:t>článku,</w:t>
      </w:r>
      <w:r>
        <w:rPr>
          <w:color w:val="231F20"/>
          <w:spacing w:val="-12"/>
        </w:rPr>
        <w:t xml:space="preserve"> </w:t>
      </w:r>
      <w:r>
        <w:rPr>
          <w:color w:val="231F20"/>
        </w:rPr>
        <w:t>která</w:t>
      </w:r>
      <w:r>
        <w:rPr>
          <w:color w:val="231F20"/>
          <w:spacing w:val="-12"/>
        </w:rPr>
        <w:t xml:space="preserve"> </w:t>
      </w:r>
      <w:r>
        <w:rPr>
          <w:color w:val="231F20"/>
        </w:rPr>
        <w:t>se</w:t>
      </w:r>
      <w:r>
        <w:rPr>
          <w:color w:val="231F20"/>
          <w:spacing w:val="-12"/>
        </w:rPr>
        <w:t xml:space="preserve"> </w:t>
      </w:r>
      <w:r>
        <w:rPr>
          <w:color w:val="231F20"/>
        </w:rPr>
        <w:t>od</w:t>
      </w:r>
      <w:r>
        <w:rPr>
          <w:color w:val="231F20"/>
          <w:spacing w:val="-12"/>
        </w:rPr>
        <w:t xml:space="preserve"> </w:t>
      </w:r>
      <w:r>
        <w:rPr>
          <w:color w:val="231F20"/>
        </w:rPr>
        <w:t>počátku</w:t>
      </w:r>
      <w:r>
        <w:rPr>
          <w:color w:val="231F20"/>
          <w:spacing w:val="-13"/>
        </w:rPr>
        <w:t xml:space="preserve"> </w:t>
      </w:r>
      <w:r>
        <w:rPr>
          <w:color w:val="231F20"/>
        </w:rPr>
        <w:t>pojistné</w:t>
      </w:r>
      <w:r>
        <w:rPr>
          <w:color w:val="231F20"/>
          <w:spacing w:val="-12"/>
        </w:rPr>
        <w:t xml:space="preserve"> </w:t>
      </w:r>
      <w:r>
        <w:rPr>
          <w:color w:val="231F20"/>
        </w:rPr>
        <w:t>smlou- vy</w:t>
      </w:r>
      <w:r>
        <w:rPr>
          <w:color w:val="231F20"/>
          <w:spacing w:val="-6"/>
        </w:rPr>
        <w:t xml:space="preserve"> </w:t>
      </w:r>
      <w:r>
        <w:rPr>
          <w:color w:val="231F20"/>
        </w:rPr>
        <w:t>zohledňuje</w:t>
      </w:r>
      <w:r>
        <w:rPr>
          <w:color w:val="231F20"/>
          <w:spacing w:val="-6"/>
        </w:rPr>
        <w:t xml:space="preserve"> </w:t>
      </w:r>
      <w:r>
        <w:rPr>
          <w:color w:val="231F20"/>
        </w:rPr>
        <w:t>v</w:t>
      </w:r>
      <w:r>
        <w:rPr>
          <w:color w:val="231F20"/>
          <w:spacing w:val="-6"/>
        </w:rPr>
        <w:t xml:space="preserve"> </w:t>
      </w:r>
      <w:r>
        <w:rPr>
          <w:color w:val="231F20"/>
        </w:rPr>
        <w:t>ročním</w:t>
      </w:r>
      <w:r>
        <w:rPr>
          <w:color w:val="231F20"/>
          <w:spacing w:val="-5"/>
        </w:rPr>
        <w:t xml:space="preserve"> </w:t>
      </w:r>
      <w:r>
        <w:rPr>
          <w:color w:val="231F20"/>
        </w:rPr>
        <w:t>pojistném</w:t>
      </w:r>
      <w:r>
        <w:rPr>
          <w:color w:val="231F20"/>
          <w:spacing w:val="-6"/>
        </w:rPr>
        <w:t xml:space="preserve"> </w:t>
      </w:r>
      <w:r>
        <w:rPr>
          <w:color w:val="231F20"/>
        </w:rPr>
        <w:t>uvedeném</w:t>
      </w:r>
      <w:r>
        <w:rPr>
          <w:color w:val="231F20"/>
          <w:spacing w:val="-6"/>
        </w:rPr>
        <w:t xml:space="preserve"> </w:t>
      </w:r>
      <w:r>
        <w:rPr>
          <w:color w:val="231F20"/>
        </w:rPr>
        <w:t>v</w:t>
      </w:r>
      <w:r>
        <w:rPr>
          <w:color w:val="231F20"/>
          <w:spacing w:val="-6"/>
        </w:rPr>
        <w:t xml:space="preserve"> </w:t>
      </w:r>
      <w:r>
        <w:rPr>
          <w:color w:val="231F20"/>
        </w:rPr>
        <w:t>seznamu</w:t>
      </w:r>
      <w:r>
        <w:rPr>
          <w:color w:val="231F20"/>
          <w:spacing w:val="-5"/>
        </w:rPr>
        <w:t xml:space="preserve"> </w:t>
      </w:r>
      <w:r>
        <w:rPr>
          <w:color w:val="231F20"/>
        </w:rPr>
        <w:t>vozidel.</w:t>
      </w:r>
    </w:p>
    <w:p w14:paraId="6A98DE13"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2</w:t>
      </w:r>
      <w:r>
        <w:rPr>
          <w:color w:val="231F20"/>
          <w:position w:val="1"/>
          <w:sz w:val="14"/>
        </w:rPr>
        <w:t xml:space="preserve"> </w:t>
      </w:r>
      <w:r>
        <w:rPr>
          <w:color w:val="231F20"/>
        </w:rPr>
        <w:t>Výše této slevy je stanovena v závislosti na sjednané minimální době trvání pojistné smlouvy a vztahuje se pouze na základní pojištění.</w:t>
      </w:r>
    </w:p>
    <w:p w14:paraId="058C77EA"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21"/>
          <w:position w:val="1"/>
          <w:sz w:val="14"/>
        </w:rPr>
        <w:t xml:space="preserve"> </w:t>
      </w:r>
      <w:r>
        <w:rPr>
          <w:color w:val="231F20"/>
        </w:rPr>
        <w:t>Pojistníkovi</w:t>
      </w:r>
      <w:r>
        <w:rPr>
          <w:color w:val="231F20"/>
          <w:spacing w:val="-19"/>
        </w:rPr>
        <w:t xml:space="preserve"> </w:t>
      </w:r>
      <w:r>
        <w:rPr>
          <w:color w:val="231F20"/>
        </w:rPr>
        <w:t>vzniká</w:t>
      </w:r>
      <w:r>
        <w:rPr>
          <w:color w:val="231F20"/>
          <w:spacing w:val="-18"/>
        </w:rPr>
        <w:t xml:space="preserve"> </w:t>
      </w:r>
      <w:r>
        <w:rPr>
          <w:color w:val="231F20"/>
        </w:rPr>
        <w:t>právo</w:t>
      </w:r>
      <w:r>
        <w:rPr>
          <w:color w:val="231F20"/>
          <w:spacing w:val="-18"/>
        </w:rPr>
        <w:t xml:space="preserve"> </w:t>
      </w:r>
      <w:r>
        <w:rPr>
          <w:color w:val="231F20"/>
        </w:rPr>
        <w:t>na</w:t>
      </w:r>
      <w:r>
        <w:rPr>
          <w:color w:val="231F20"/>
          <w:spacing w:val="-19"/>
        </w:rPr>
        <w:t xml:space="preserve"> </w:t>
      </w:r>
      <w:r>
        <w:rPr>
          <w:color w:val="231F20"/>
        </w:rPr>
        <w:t>tuto</w:t>
      </w:r>
      <w:r>
        <w:rPr>
          <w:color w:val="231F20"/>
          <w:spacing w:val="-18"/>
        </w:rPr>
        <w:t xml:space="preserve"> </w:t>
      </w:r>
      <w:r>
        <w:rPr>
          <w:color w:val="231F20"/>
        </w:rPr>
        <w:t>slevu</w:t>
      </w:r>
      <w:r>
        <w:rPr>
          <w:color w:val="231F20"/>
          <w:spacing w:val="-19"/>
        </w:rPr>
        <w:t xml:space="preserve"> </w:t>
      </w:r>
      <w:r>
        <w:rPr>
          <w:color w:val="231F20"/>
        </w:rPr>
        <w:t>pouze</w:t>
      </w:r>
      <w:r>
        <w:rPr>
          <w:color w:val="231F20"/>
          <w:spacing w:val="-18"/>
        </w:rPr>
        <w:t xml:space="preserve"> </w:t>
      </w:r>
      <w:r>
        <w:rPr>
          <w:color w:val="231F20"/>
        </w:rPr>
        <w:t>za</w:t>
      </w:r>
      <w:r>
        <w:rPr>
          <w:color w:val="231F20"/>
          <w:spacing w:val="-19"/>
        </w:rPr>
        <w:t xml:space="preserve"> </w:t>
      </w:r>
      <w:r>
        <w:rPr>
          <w:color w:val="231F20"/>
        </w:rPr>
        <w:t>předpokladu,</w:t>
      </w:r>
      <w:r>
        <w:rPr>
          <w:color w:val="231F20"/>
          <w:spacing w:val="-18"/>
        </w:rPr>
        <w:t xml:space="preserve"> </w:t>
      </w:r>
      <w:r>
        <w:rPr>
          <w:color w:val="231F20"/>
        </w:rPr>
        <w:t>že</w:t>
      </w:r>
      <w:r>
        <w:rPr>
          <w:color w:val="231F20"/>
          <w:spacing w:val="-18"/>
        </w:rPr>
        <w:t xml:space="preserve"> </w:t>
      </w:r>
      <w:r>
        <w:rPr>
          <w:color w:val="231F20"/>
        </w:rPr>
        <w:t>po</w:t>
      </w:r>
      <w:r>
        <w:rPr>
          <w:color w:val="231F20"/>
          <w:spacing w:val="-19"/>
        </w:rPr>
        <w:t xml:space="preserve"> </w:t>
      </w:r>
      <w:r>
        <w:rPr>
          <w:color w:val="231F20"/>
        </w:rPr>
        <w:t>sjednanou minimální</w:t>
      </w:r>
      <w:r>
        <w:rPr>
          <w:color w:val="231F20"/>
          <w:spacing w:val="-1"/>
        </w:rPr>
        <w:t xml:space="preserve"> </w:t>
      </w:r>
      <w:r>
        <w:rPr>
          <w:color w:val="231F20"/>
        </w:rPr>
        <w:t>dobu:</w:t>
      </w:r>
    </w:p>
    <w:p w14:paraId="78E10CE4" w14:textId="77777777" w:rsidR="00F65BCA" w:rsidRDefault="00216117">
      <w:pPr>
        <w:pStyle w:val="Odstavecseseznamem"/>
        <w:numPr>
          <w:ilvl w:val="0"/>
          <w:numId w:val="122"/>
        </w:numPr>
        <w:tabs>
          <w:tab w:val="left" w:pos="639"/>
        </w:tabs>
        <w:spacing w:line="278" w:lineRule="auto"/>
        <w:ind w:right="424"/>
        <w:jc w:val="both"/>
        <w:rPr>
          <w:sz w:val="15"/>
        </w:rPr>
      </w:pPr>
      <w:r>
        <w:rPr>
          <w:color w:val="231F20"/>
          <w:sz w:val="15"/>
        </w:rPr>
        <w:t>nedojde</w:t>
      </w:r>
      <w:r>
        <w:rPr>
          <w:color w:val="231F20"/>
          <w:spacing w:val="-22"/>
          <w:sz w:val="15"/>
        </w:rPr>
        <w:t xml:space="preserve"> </w:t>
      </w:r>
      <w:r>
        <w:rPr>
          <w:color w:val="231F20"/>
          <w:sz w:val="15"/>
        </w:rPr>
        <w:t>k</w:t>
      </w:r>
      <w:r>
        <w:rPr>
          <w:color w:val="231F20"/>
          <w:spacing w:val="-22"/>
          <w:sz w:val="15"/>
        </w:rPr>
        <w:t xml:space="preserve"> </w:t>
      </w:r>
      <w:r>
        <w:rPr>
          <w:color w:val="231F20"/>
          <w:sz w:val="15"/>
        </w:rPr>
        <w:t>zániku</w:t>
      </w:r>
      <w:r>
        <w:rPr>
          <w:color w:val="231F20"/>
          <w:spacing w:val="-22"/>
          <w:sz w:val="15"/>
        </w:rPr>
        <w:t xml:space="preserve"> </w:t>
      </w:r>
      <w:r>
        <w:rPr>
          <w:color w:val="231F20"/>
          <w:sz w:val="15"/>
        </w:rPr>
        <w:t>pojistné</w:t>
      </w:r>
      <w:r>
        <w:rPr>
          <w:color w:val="231F20"/>
          <w:spacing w:val="-21"/>
          <w:sz w:val="15"/>
        </w:rPr>
        <w:t xml:space="preserve"> </w:t>
      </w:r>
      <w:r>
        <w:rPr>
          <w:color w:val="231F20"/>
          <w:sz w:val="15"/>
        </w:rPr>
        <w:t>smlouvy</w:t>
      </w:r>
      <w:r>
        <w:rPr>
          <w:color w:val="231F20"/>
          <w:spacing w:val="-22"/>
          <w:sz w:val="15"/>
        </w:rPr>
        <w:t xml:space="preserve"> </w:t>
      </w:r>
      <w:r>
        <w:rPr>
          <w:color w:val="231F20"/>
          <w:sz w:val="15"/>
        </w:rPr>
        <w:t>z</w:t>
      </w:r>
      <w:r>
        <w:rPr>
          <w:color w:val="231F20"/>
          <w:spacing w:val="-22"/>
          <w:sz w:val="15"/>
        </w:rPr>
        <w:t xml:space="preserve"> </w:t>
      </w:r>
      <w:r>
        <w:rPr>
          <w:color w:val="231F20"/>
          <w:sz w:val="15"/>
        </w:rPr>
        <w:t>důvodu</w:t>
      </w:r>
      <w:r>
        <w:rPr>
          <w:color w:val="231F20"/>
          <w:spacing w:val="-21"/>
          <w:sz w:val="15"/>
        </w:rPr>
        <w:t xml:space="preserve"> </w:t>
      </w:r>
      <w:r>
        <w:rPr>
          <w:color w:val="231F20"/>
          <w:sz w:val="15"/>
        </w:rPr>
        <w:t>na</w:t>
      </w:r>
      <w:r>
        <w:rPr>
          <w:color w:val="231F20"/>
          <w:spacing w:val="-22"/>
          <w:sz w:val="15"/>
        </w:rPr>
        <w:t xml:space="preserve"> </w:t>
      </w:r>
      <w:r>
        <w:rPr>
          <w:color w:val="231F20"/>
          <w:sz w:val="15"/>
        </w:rPr>
        <w:t>straně</w:t>
      </w:r>
      <w:r>
        <w:rPr>
          <w:color w:val="231F20"/>
          <w:spacing w:val="-22"/>
          <w:sz w:val="15"/>
        </w:rPr>
        <w:t xml:space="preserve"> </w:t>
      </w:r>
      <w:r>
        <w:rPr>
          <w:color w:val="231F20"/>
          <w:sz w:val="15"/>
        </w:rPr>
        <w:t>pojistníka,</w:t>
      </w:r>
      <w:r>
        <w:rPr>
          <w:color w:val="231F20"/>
          <w:spacing w:val="-21"/>
          <w:sz w:val="15"/>
        </w:rPr>
        <w:t xml:space="preserve"> </w:t>
      </w:r>
      <w:r>
        <w:rPr>
          <w:color w:val="231F20"/>
          <w:sz w:val="15"/>
        </w:rPr>
        <w:t>s</w:t>
      </w:r>
      <w:r>
        <w:rPr>
          <w:color w:val="231F20"/>
          <w:spacing w:val="-22"/>
          <w:sz w:val="15"/>
        </w:rPr>
        <w:t xml:space="preserve"> </w:t>
      </w:r>
      <w:r>
        <w:rPr>
          <w:color w:val="231F20"/>
          <w:sz w:val="15"/>
        </w:rPr>
        <w:t>výjimkou výpovědi</w:t>
      </w:r>
      <w:r>
        <w:rPr>
          <w:color w:val="231F20"/>
          <w:spacing w:val="-7"/>
          <w:sz w:val="15"/>
        </w:rPr>
        <w:t xml:space="preserve"> </w:t>
      </w:r>
      <w:r>
        <w:rPr>
          <w:color w:val="231F20"/>
          <w:sz w:val="15"/>
        </w:rPr>
        <w:t>pojistné</w:t>
      </w:r>
      <w:r>
        <w:rPr>
          <w:color w:val="231F20"/>
          <w:spacing w:val="-7"/>
          <w:sz w:val="15"/>
        </w:rPr>
        <w:t xml:space="preserve"> </w:t>
      </w:r>
      <w:r>
        <w:rPr>
          <w:color w:val="231F20"/>
          <w:sz w:val="15"/>
        </w:rPr>
        <w:t>smlouvy</w:t>
      </w:r>
      <w:r>
        <w:rPr>
          <w:color w:val="231F20"/>
          <w:spacing w:val="-6"/>
          <w:sz w:val="15"/>
        </w:rPr>
        <w:t xml:space="preserve"> </w:t>
      </w:r>
      <w:r>
        <w:rPr>
          <w:color w:val="231F20"/>
          <w:sz w:val="15"/>
        </w:rPr>
        <w:t>pojistníkem</w:t>
      </w:r>
      <w:r>
        <w:rPr>
          <w:color w:val="231F20"/>
          <w:spacing w:val="-7"/>
          <w:sz w:val="15"/>
        </w:rPr>
        <w:t xml:space="preserve"> </w:t>
      </w:r>
      <w:r>
        <w:rPr>
          <w:color w:val="231F20"/>
          <w:sz w:val="15"/>
        </w:rPr>
        <w:t>pro</w:t>
      </w:r>
      <w:r>
        <w:rPr>
          <w:color w:val="231F20"/>
          <w:spacing w:val="-6"/>
          <w:sz w:val="15"/>
        </w:rPr>
        <w:t xml:space="preserve"> </w:t>
      </w:r>
      <w:r>
        <w:rPr>
          <w:color w:val="231F20"/>
          <w:sz w:val="15"/>
        </w:rPr>
        <w:t>nesouhlas</w:t>
      </w:r>
      <w:r>
        <w:rPr>
          <w:color w:val="231F20"/>
          <w:spacing w:val="-7"/>
          <w:sz w:val="15"/>
        </w:rPr>
        <w:t xml:space="preserve"> </w:t>
      </w:r>
      <w:r>
        <w:rPr>
          <w:color w:val="231F20"/>
          <w:sz w:val="15"/>
        </w:rPr>
        <w:t>s</w:t>
      </w:r>
      <w:r>
        <w:rPr>
          <w:color w:val="231F20"/>
          <w:spacing w:val="-6"/>
          <w:sz w:val="15"/>
        </w:rPr>
        <w:t xml:space="preserve"> </w:t>
      </w:r>
      <w:r>
        <w:rPr>
          <w:color w:val="231F20"/>
          <w:sz w:val="15"/>
        </w:rPr>
        <w:t>výší</w:t>
      </w:r>
      <w:r>
        <w:rPr>
          <w:color w:val="231F20"/>
          <w:spacing w:val="-7"/>
          <w:sz w:val="15"/>
        </w:rPr>
        <w:t xml:space="preserve"> </w:t>
      </w:r>
      <w:r>
        <w:rPr>
          <w:color w:val="231F20"/>
          <w:sz w:val="15"/>
        </w:rPr>
        <w:t>pojistného</w:t>
      </w:r>
      <w:r>
        <w:rPr>
          <w:color w:val="231F20"/>
          <w:spacing w:val="-6"/>
          <w:sz w:val="15"/>
        </w:rPr>
        <w:t xml:space="preserve"> </w:t>
      </w:r>
      <w:r>
        <w:rPr>
          <w:color w:val="231F20"/>
          <w:spacing w:val="-8"/>
          <w:sz w:val="15"/>
        </w:rPr>
        <w:t xml:space="preserve">na </w:t>
      </w:r>
      <w:r>
        <w:rPr>
          <w:color w:val="231F20"/>
          <w:sz w:val="15"/>
        </w:rPr>
        <w:t>další pojistné období, a</w:t>
      </w:r>
      <w:r>
        <w:rPr>
          <w:color w:val="231F20"/>
          <w:spacing w:val="-5"/>
          <w:sz w:val="15"/>
        </w:rPr>
        <w:t xml:space="preserve"> </w:t>
      </w:r>
      <w:r>
        <w:rPr>
          <w:color w:val="231F20"/>
          <w:sz w:val="15"/>
        </w:rPr>
        <w:t>současně</w:t>
      </w:r>
    </w:p>
    <w:p w14:paraId="6CB89291" w14:textId="77777777" w:rsidR="00F65BCA" w:rsidRDefault="00216117">
      <w:pPr>
        <w:pStyle w:val="Odstavecseseznamem"/>
        <w:numPr>
          <w:ilvl w:val="0"/>
          <w:numId w:val="122"/>
        </w:numPr>
        <w:tabs>
          <w:tab w:val="left" w:pos="639"/>
        </w:tabs>
        <w:spacing w:line="278" w:lineRule="auto"/>
        <w:ind w:right="424"/>
        <w:jc w:val="both"/>
        <w:rPr>
          <w:sz w:val="15"/>
        </w:rPr>
      </w:pPr>
      <w:r>
        <w:rPr>
          <w:color w:val="231F20"/>
          <w:sz w:val="15"/>
        </w:rPr>
        <w:t>roční pojistné po sjednanou dobu neklesne pod 50 % ročního pojistného k datu počátku pojistné</w:t>
      </w:r>
      <w:r>
        <w:rPr>
          <w:color w:val="231F20"/>
          <w:spacing w:val="-4"/>
          <w:sz w:val="15"/>
        </w:rPr>
        <w:t xml:space="preserve"> </w:t>
      </w:r>
      <w:r>
        <w:rPr>
          <w:color w:val="231F20"/>
          <w:sz w:val="15"/>
        </w:rPr>
        <w:t>smlouvy.</w:t>
      </w:r>
    </w:p>
    <w:p w14:paraId="7FDBBBBC"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position w:val="1"/>
          <w:sz w:val="14"/>
        </w:rPr>
        <w:t xml:space="preserve"> </w:t>
      </w:r>
      <w:r>
        <w:rPr>
          <w:color w:val="231F20"/>
        </w:rPr>
        <w:t>Nebudou-li splněny podmínky pro poskytnutí této slevy je pojistník povinen zaplatit</w:t>
      </w:r>
      <w:r>
        <w:rPr>
          <w:color w:val="231F20"/>
          <w:spacing w:val="-17"/>
        </w:rPr>
        <w:t xml:space="preserve"> </w:t>
      </w:r>
      <w:r>
        <w:rPr>
          <w:color w:val="231F20"/>
        </w:rPr>
        <w:t>Pojišťovně</w:t>
      </w:r>
      <w:r>
        <w:rPr>
          <w:color w:val="231F20"/>
          <w:spacing w:val="-16"/>
        </w:rPr>
        <w:t xml:space="preserve"> </w:t>
      </w:r>
      <w:r>
        <w:rPr>
          <w:color w:val="231F20"/>
        </w:rPr>
        <w:t>částku</w:t>
      </w:r>
      <w:r>
        <w:rPr>
          <w:color w:val="231F20"/>
          <w:spacing w:val="-16"/>
        </w:rPr>
        <w:t xml:space="preserve"> </w:t>
      </w:r>
      <w:r>
        <w:rPr>
          <w:color w:val="231F20"/>
        </w:rPr>
        <w:t>odpovídající</w:t>
      </w:r>
      <w:r>
        <w:rPr>
          <w:color w:val="231F20"/>
          <w:spacing w:val="-16"/>
        </w:rPr>
        <w:t xml:space="preserve"> </w:t>
      </w:r>
      <w:r>
        <w:rPr>
          <w:color w:val="231F20"/>
        </w:rPr>
        <w:t>takto</w:t>
      </w:r>
      <w:r>
        <w:rPr>
          <w:color w:val="231F20"/>
          <w:spacing w:val="-16"/>
        </w:rPr>
        <w:t xml:space="preserve"> </w:t>
      </w:r>
      <w:r>
        <w:rPr>
          <w:color w:val="231F20"/>
        </w:rPr>
        <w:t>poskytnuté</w:t>
      </w:r>
      <w:r>
        <w:rPr>
          <w:color w:val="231F20"/>
          <w:spacing w:val="-16"/>
        </w:rPr>
        <w:t xml:space="preserve"> </w:t>
      </w:r>
      <w:r>
        <w:rPr>
          <w:color w:val="231F20"/>
        </w:rPr>
        <w:t>slevě</w:t>
      </w:r>
      <w:r>
        <w:rPr>
          <w:color w:val="231F20"/>
          <w:spacing w:val="-16"/>
        </w:rPr>
        <w:t xml:space="preserve"> </w:t>
      </w:r>
      <w:r>
        <w:rPr>
          <w:color w:val="231F20"/>
        </w:rPr>
        <w:t>(tj.</w:t>
      </w:r>
      <w:r>
        <w:rPr>
          <w:color w:val="231F20"/>
          <w:spacing w:val="-16"/>
        </w:rPr>
        <w:t xml:space="preserve"> </w:t>
      </w:r>
      <w:r>
        <w:rPr>
          <w:color w:val="231F20"/>
        </w:rPr>
        <w:t>rozdílu</w:t>
      </w:r>
      <w:r>
        <w:rPr>
          <w:color w:val="231F20"/>
          <w:spacing w:val="-16"/>
        </w:rPr>
        <w:t xml:space="preserve"> </w:t>
      </w:r>
      <w:r>
        <w:rPr>
          <w:color w:val="231F20"/>
        </w:rPr>
        <w:t xml:space="preserve">mezi celkovou částkou pojistného za sjednanou minimální dobu trvání pojištění, kterou by byl pojistník povinen uhradit, pokud by mu nebyla poskytnuta </w:t>
      </w:r>
      <w:r>
        <w:rPr>
          <w:color w:val="231F20"/>
          <w:spacing w:val="-4"/>
        </w:rPr>
        <w:t xml:space="preserve">tato </w:t>
      </w:r>
      <w:r>
        <w:rPr>
          <w:color w:val="231F20"/>
        </w:rPr>
        <w:t>sleva,</w:t>
      </w:r>
      <w:r>
        <w:rPr>
          <w:color w:val="231F20"/>
          <w:spacing w:val="-9"/>
        </w:rPr>
        <w:t xml:space="preserve"> </w:t>
      </w:r>
      <w:r>
        <w:rPr>
          <w:color w:val="231F20"/>
        </w:rPr>
        <w:t>a</w:t>
      </w:r>
      <w:r>
        <w:rPr>
          <w:color w:val="231F20"/>
          <w:spacing w:val="-9"/>
        </w:rPr>
        <w:t xml:space="preserve"> </w:t>
      </w:r>
      <w:r>
        <w:rPr>
          <w:color w:val="231F20"/>
        </w:rPr>
        <w:t>částkou</w:t>
      </w:r>
      <w:r>
        <w:rPr>
          <w:color w:val="231F20"/>
          <w:spacing w:val="-8"/>
        </w:rPr>
        <w:t xml:space="preserve"> </w:t>
      </w:r>
      <w:r>
        <w:rPr>
          <w:color w:val="231F20"/>
        </w:rPr>
        <w:t>pojistného,</w:t>
      </w:r>
      <w:r>
        <w:rPr>
          <w:color w:val="231F20"/>
          <w:spacing w:val="-9"/>
        </w:rPr>
        <w:t xml:space="preserve"> </w:t>
      </w:r>
      <w:r>
        <w:rPr>
          <w:color w:val="231F20"/>
        </w:rPr>
        <w:t>kterou</w:t>
      </w:r>
      <w:r>
        <w:rPr>
          <w:color w:val="231F20"/>
          <w:spacing w:val="-8"/>
        </w:rPr>
        <w:t xml:space="preserve"> </w:t>
      </w:r>
      <w:r>
        <w:rPr>
          <w:color w:val="231F20"/>
        </w:rPr>
        <w:t>je</w:t>
      </w:r>
      <w:r>
        <w:rPr>
          <w:color w:val="231F20"/>
          <w:spacing w:val="-9"/>
        </w:rPr>
        <w:t xml:space="preserve"> </w:t>
      </w:r>
      <w:r>
        <w:rPr>
          <w:color w:val="231F20"/>
        </w:rPr>
        <w:t>povinen</w:t>
      </w:r>
      <w:r>
        <w:rPr>
          <w:color w:val="231F20"/>
          <w:spacing w:val="-8"/>
        </w:rPr>
        <w:t xml:space="preserve"> </w:t>
      </w:r>
      <w:r>
        <w:rPr>
          <w:color w:val="231F20"/>
        </w:rPr>
        <w:t>uhradit</w:t>
      </w:r>
      <w:r>
        <w:rPr>
          <w:color w:val="231F20"/>
          <w:spacing w:val="-9"/>
        </w:rPr>
        <w:t xml:space="preserve"> </w:t>
      </w:r>
      <w:r>
        <w:rPr>
          <w:color w:val="231F20"/>
        </w:rPr>
        <w:t>podle</w:t>
      </w:r>
      <w:r>
        <w:rPr>
          <w:color w:val="231F20"/>
          <w:spacing w:val="-8"/>
        </w:rPr>
        <w:t xml:space="preserve"> </w:t>
      </w:r>
      <w:r>
        <w:rPr>
          <w:color w:val="231F20"/>
        </w:rPr>
        <w:t>pojistné</w:t>
      </w:r>
      <w:r>
        <w:rPr>
          <w:color w:val="231F20"/>
          <w:spacing w:val="-9"/>
        </w:rPr>
        <w:t xml:space="preserve"> </w:t>
      </w:r>
      <w:r>
        <w:rPr>
          <w:color w:val="231F20"/>
          <w:spacing w:val="-3"/>
        </w:rPr>
        <w:t xml:space="preserve">smlouvy </w:t>
      </w:r>
      <w:r>
        <w:rPr>
          <w:color w:val="231F20"/>
        </w:rPr>
        <w:t>po</w:t>
      </w:r>
      <w:r>
        <w:rPr>
          <w:color w:val="231F20"/>
          <w:spacing w:val="-25"/>
        </w:rPr>
        <w:t xml:space="preserve"> </w:t>
      </w:r>
      <w:r>
        <w:rPr>
          <w:color w:val="231F20"/>
        </w:rPr>
        <w:t>zohlednění</w:t>
      </w:r>
      <w:r>
        <w:rPr>
          <w:color w:val="231F20"/>
          <w:spacing w:val="-24"/>
        </w:rPr>
        <w:t xml:space="preserve"> </w:t>
      </w:r>
      <w:r>
        <w:rPr>
          <w:color w:val="231F20"/>
        </w:rPr>
        <w:t>této</w:t>
      </w:r>
      <w:r>
        <w:rPr>
          <w:color w:val="231F20"/>
          <w:spacing w:val="-25"/>
        </w:rPr>
        <w:t xml:space="preserve"> </w:t>
      </w:r>
      <w:r>
        <w:rPr>
          <w:color w:val="231F20"/>
        </w:rPr>
        <w:t>slevy).</w:t>
      </w:r>
      <w:r>
        <w:rPr>
          <w:color w:val="231F20"/>
          <w:spacing w:val="-24"/>
        </w:rPr>
        <w:t xml:space="preserve"> </w:t>
      </w:r>
      <w:r>
        <w:rPr>
          <w:color w:val="231F20"/>
        </w:rPr>
        <w:t>Vyúčtování</w:t>
      </w:r>
      <w:r>
        <w:rPr>
          <w:color w:val="231F20"/>
          <w:spacing w:val="-25"/>
        </w:rPr>
        <w:t xml:space="preserve"> </w:t>
      </w:r>
      <w:r>
        <w:rPr>
          <w:color w:val="231F20"/>
        </w:rPr>
        <w:t>provede</w:t>
      </w:r>
      <w:r>
        <w:rPr>
          <w:color w:val="231F20"/>
          <w:spacing w:val="-24"/>
        </w:rPr>
        <w:t xml:space="preserve"> </w:t>
      </w:r>
      <w:r>
        <w:rPr>
          <w:color w:val="231F20"/>
        </w:rPr>
        <w:t>Pojišťovna</w:t>
      </w:r>
      <w:r>
        <w:rPr>
          <w:color w:val="231F20"/>
          <w:spacing w:val="-25"/>
        </w:rPr>
        <w:t xml:space="preserve"> </w:t>
      </w:r>
      <w:r>
        <w:rPr>
          <w:color w:val="231F20"/>
        </w:rPr>
        <w:t>a</w:t>
      </w:r>
      <w:r>
        <w:rPr>
          <w:color w:val="231F20"/>
          <w:spacing w:val="-24"/>
        </w:rPr>
        <w:t xml:space="preserve"> </w:t>
      </w:r>
      <w:r>
        <w:rPr>
          <w:color w:val="231F20"/>
        </w:rPr>
        <w:t>doplatek</w:t>
      </w:r>
      <w:r>
        <w:rPr>
          <w:color w:val="231F20"/>
          <w:spacing w:val="-24"/>
        </w:rPr>
        <w:t xml:space="preserve"> </w:t>
      </w:r>
      <w:r>
        <w:rPr>
          <w:color w:val="231F20"/>
        </w:rPr>
        <w:t>je</w:t>
      </w:r>
      <w:r>
        <w:rPr>
          <w:color w:val="231F20"/>
          <w:spacing w:val="-25"/>
        </w:rPr>
        <w:t xml:space="preserve"> </w:t>
      </w:r>
      <w:r>
        <w:rPr>
          <w:color w:val="231F20"/>
        </w:rPr>
        <w:t>splatný na základě faktury vystavené</w:t>
      </w:r>
      <w:r>
        <w:rPr>
          <w:color w:val="231F20"/>
          <w:spacing w:val="-9"/>
        </w:rPr>
        <w:t xml:space="preserve"> </w:t>
      </w:r>
      <w:r>
        <w:rPr>
          <w:color w:val="231F20"/>
        </w:rPr>
        <w:t>Pojišťovnou.</w:t>
      </w:r>
    </w:p>
    <w:p w14:paraId="2BBE0D44"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spacing w:val="17"/>
          <w:position w:val="1"/>
          <w:sz w:val="14"/>
        </w:rPr>
        <w:t xml:space="preserve"> </w:t>
      </w:r>
      <w:r>
        <w:rPr>
          <w:color w:val="231F20"/>
        </w:rPr>
        <w:t>V</w:t>
      </w:r>
      <w:r>
        <w:rPr>
          <w:color w:val="231F20"/>
          <w:spacing w:val="-9"/>
        </w:rPr>
        <w:t xml:space="preserve"> </w:t>
      </w:r>
      <w:r>
        <w:rPr>
          <w:color w:val="231F20"/>
        </w:rPr>
        <w:t>případě</w:t>
      </w:r>
      <w:r>
        <w:rPr>
          <w:color w:val="231F20"/>
          <w:spacing w:val="-10"/>
        </w:rPr>
        <w:t xml:space="preserve"> </w:t>
      </w:r>
      <w:r>
        <w:rPr>
          <w:color w:val="231F20"/>
        </w:rPr>
        <w:t>uplynutí</w:t>
      </w:r>
      <w:r>
        <w:rPr>
          <w:color w:val="231F20"/>
          <w:spacing w:val="-10"/>
        </w:rPr>
        <w:t xml:space="preserve"> </w:t>
      </w:r>
      <w:r>
        <w:rPr>
          <w:color w:val="231F20"/>
        </w:rPr>
        <w:t>sjednané</w:t>
      </w:r>
      <w:r>
        <w:rPr>
          <w:color w:val="231F20"/>
          <w:spacing w:val="-9"/>
        </w:rPr>
        <w:t xml:space="preserve"> </w:t>
      </w:r>
      <w:r>
        <w:rPr>
          <w:color w:val="231F20"/>
        </w:rPr>
        <w:t>minimální</w:t>
      </w:r>
      <w:r>
        <w:rPr>
          <w:color w:val="231F20"/>
          <w:spacing w:val="-10"/>
        </w:rPr>
        <w:t xml:space="preserve"> </w:t>
      </w:r>
      <w:r>
        <w:rPr>
          <w:color w:val="231F20"/>
        </w:rPr>
        <w:t>doby</w:t>
      </w:r>
      <w:r>
        <w:rPr>
          <w:color w:val="231F20"/>
          <w:spacing w:val="-9"/>
        </w:rPr>
        <w:t xml:space="preserve"> </w:t>
      </w:r>
      <w:r>
        <w:rPr>
          <w:color w:val="231F20"/>
        </w:rPr>
        <w:t>trvaní</w:t>
      </w:r>
      <w:r>
        <w:rPr>
          <w:color w:val="231F20"/>
          <w:spacing w:val="-10"/>
        </w:rPr>
        <w:t xml:space="preserve"> </w:t>
      </w:r>
      <w:r>
        <w:rPr>
          <w:color w:val="231F20"/>
        </w:rPr>
        <w:t>pojistné</w:t>
      </w:r>
      <w:r>
        <w:rPr>
          <w:color w:val="231F20"/>
          <w:spacing w:val="-9"/>
        </w:rPr>
        <w:t xml:space="preserve"> </w:t>
      </w:r>
      <w:r>
        <w:rPr>
          <w:color w:val="231F20"/>
        </w:rPr>
        <w:t>smlouvy</w:t>
      </w:r>
      <w:r>
        <w:rPr>
          <w:color w:val="231F20"/>
          <w:spacing w:val="-10"/>
        </w:rPr>
        <w:t xml:space="preserve"> </w:t>
      </w:r>
      <w:r>
        <w:rPr>
          <w:color w:val="231F20"/>
        </w:rPr>
        <w:t>a</w:t>
      </w:r>
      <w:r>
        <w:rPr>
          <w:color w:val="231F20"/>
          <w:spacing w:val="-10"/>
        </w:rPr>
        <w:t xml:space="preserve"> </w:t>
      </w:r>
      <w:r>
        <w:rPr>
          <w:color w:val="231F20"/>
        </w:rPr>
        <w:t xml:space="preserve">splnění podmínek pro poskytnutí této slevy se tato sleva v nezměněné výši </w:t>
      </w:r>
      <w:r>
        <w:rPr>
          <w:color w:val="231F20"/>
          <w:spacing w:val="-3"/>
        </w:rPr>
        <w:t xml:space="preserve">použije </w:t>
      </w:r>
      <w:r>
        <w:rPr>
          <w:color w:val="231F20"/>
        </w:rPr>
        <w:t>i pro následná pojistná období pojistné smlouvy, nedohodnou-li se smluvní strany</w:t>
      </w:r>
      <w:r>
        <w:rPr>
          <w:color w:val="231F20"/>
          <w:spacing w:val="-1"/>
        </w:rPr>
        <w:t xml:space="preserve"> </w:t>
      </w:r>
      <w:r>
        <w:rPr>
          <w:color w:val="231F20"/>
        </w:rPr>
        <w:t>jinak.</w:t>
      </w:r>
    </w:p>
    <w:p w14:paraId="350FA7D2" w14:textId="77777777" w:rsidR="00F65BCA" w:rsidRDefault="00F65BCA">
      <w:pPr>
        <w:pStyle w:val="Zkladntext"/>
        <w:spacing w:before="6"/>
        <w:rPr>
          <w:sz w:val="20"/>
        </w:rPr>
      </w:pPr>
    </w:p>
    <w:p w14:paraId="34A5ED05" w14:textId="77777777" w:rsidR="00F65BCA" w:rsidRDefault="00216117">
      <w:pPr>
        <w:ind w:left="186"/>
        <w:rPr>
          <w:sz w:val="15"/>
        </w:rPr>
      </w:pPr>
      <w:r>
        <w:rPr>
          <w:color w:val="FFFFFF"/>
          <w:position w:val="3"/>
          <w:sz w:val="16"/>
          <w:shd w:val="clear" w:color="auto" w:fill="808285"/>
        </w:rPr>
        <w:t xml:space="preserve">  Článek 9</w:t>
      </w:r>
      <w:r>
        <w:rPr>
          <w:color w:val="FFFFFF"/>
          <w:position w:val="3"/>
          <w:sz w:val="16"/>
        </w:rPr>
        <w:t xml:space="preserve"> </w:t>
      </w:r>
      <w:r>
        <w:rPr>
          <w:color w:val="231F20"/>
          <w:sz w:val="15"/>
        </w:rPr>
        <w:t>Doručování písemností</w:t>
      </w:r>
    </w:p>
    <w:p w14:paraId="5C82A877" w14:textId="77777777" w:rsidR="00F65BCA" w:rsidRDefault="00216117">
      <w:pPr>
        <w:pStyle w:val="Zkladntext"/>
        <w:spacing w:before="147"/>
        <w:ind w:left="186"/>
      </w:pPr>
      <w:r>
        <w:rPr>
          <w:color w:val="231F20"/>
          <w:position w:val="1"/>
          <w:sz w:val="14"/>
          <w:shd w:val="clear" w:color="auto" w:fill="D1D3D4"/>
        </w:rPr>
        <w:t xml:space="preserve">  1</w:t>
      </w:r>
      <w:r>
        <w:rPr>
          <w:color w:val="231F20"/>
          <w:position w:val="1"/>
          <w:sz w:val="14"/>
        </w:rPr>
        <w:t xml:space="preserve"> </w:t>
      </w:r>
      <w:r>
        <w:rPr>
          <w:color w:val="231F20"/>
        </w:rPr>
        <w:t>Písemnosti si smluvní strany doručují:</w:t>
      </w:r>
    </w:p>
    <w:p w14:paraId="1B85BA4B" w14:textId="77777777" w:rsidR="00F65BCA" w:rsidRDefault="00216117">
      <w:pPr>
        <w:pStyle w:val="Odstavecseseznamem"/>
        <w:numPr>
          <w:ilvl w:val="0"/>
          <w:numId w:val="121"/>
        </w:numPr>
        <w:tabs>
          <w:tab w:val="left" w:pos="639"/>
        </w:tabs>
        <w:spacing w:before="28"/>
        <w:jc w:val="left"/>
        <w:rPr>
          <w:sz w:val="15"/>
        </w:rPr>
      </w:pPr>
      <w:r>
        <w:rPr>
          <w:color w:val="231F20"/>
          <w:sz w:val="15"/>
        </w:rPr>
        <w:t>osobním</w:t>
      </w:r>
      <w:r>
        <w:rPr>
          <w:color w:val="231F20"/>
          <w:spacing w:val="-1"/>
          <w:sz w:val="15"/>
        </w:rPr>
        <w:t xml:space="preserve"> </w:t>
      </w:r>
      <w:r>
        <w:rPr>
          <w:color w:val="231F20"/>
          <w:sz w:val="15"/>
        </w:rPr>
        <w:t>předáním;</w:t>
      </w:r>
    </w:p>
    <w:p w14:paraId="744899A6" w14:textId="77777777" w:rsidR="00F65BCA" w:rsidRDefault="00216117">
      <w:pPr>
        <w:pStyle w:val="Odstavecseseznamem"/>
        <w:numPr>
          <w:ilvl w:val="0"/>
          <w:numId w:val="121"/>
        </w:numPr>
        <w:tabs>
          <w:tab w:val="left" w:pos="639"/>
        </w:tabs>
        <w:spacing w:before="27"/>
        <w:jc w:val="left"/>
        <w:rPr>
          <w:sz w:val="15"/>
        </w:rPr>
      </w:pPr>
      <w:r>
        <w:rPr>
          <w:color w:val="231F20"/>
          <w:sz w:val="15"/>
        </w:rPr>
        <w:t>prostřednictvím veřejné datové sítě do datové</w:t>
      </w:r>
      <w:r>
        <w:rPr>
          <w:color w:val="231F20"/>
          <w:spacing w:val="-17"/>
          <w:sz w:val="15"/>
        </w:rPr>
        <w:t xml:space="preserve"> </w:t>
      </w:r>
      <w:r>
        <w:rPr>
          <w:color w:val="231F20"/>
          <w:sz w:val="15"/>
        </w:rPr>
        <w:t>schránky;</w:t>
      </w:r>
    </w:p>
    <w:p w14:paraId="203B5D4F" w14:textId="77777777" w:rsidR="00F65BCA" w:rsidRDefault="00F65BCA">
      <w:pPr>
        <w:rPr>
          <w:sz w:val="15"/>
        </w:rPr>
        <w:sectPr w:rsidR="00F65BCA">
          <w:pgSz w:w="11910" w:h="16840"/>
          <w:pgMar w:top="520" w:right="140" w:bottom="0" w:left="140" w:header="708" w:footer="708" w:gutter="0"/>
          <w:cols w:num="2" w:space="708" w:equalWidth="0">
            <w:col w:w="5701" w:space="40"/>
            <w:col w:w="5889"/>
          </w:cols>
        </w:sectPr>
      </w:pPr>
    </w:p>
    <w:p w14:paraId="207757AC" w14:textId="77777777" w:rsidR="00F65BCA" w:rsidRDefault="00000000">
      <w:pPr>
        <w:pStyle w:val="Odstavecseseznamem"/>
        <w:numPr>
          <w:ilvl w:val="0"/>
          <w:numId w:val="121"/>
        </w:numPr>
        <w:tabs>
          <w:tab w:val="left" w:pos="881"/>
        </w:tabs>
        <w:spacing w:before="75" w:line="278" w:lineRule="auto"/>
        <w:ind w:left="880" w:right="1"/>
        <w:jc w:val="both"/>
        <w:rPr>
          <w:sz w:val="15"/>
        </w:rPr>
      </w:pPr>
      <w:r>
        <w:lastRenderedPageBreak/>
        <w:pict w14:anchorId="6D1633E6">
          <v:group id="_x0000_s2284" style="position:absolute;left:0;text-align:left;margin-left:0;margin-top:807.85pt;width:595.3pt;height:34.05pt;z-index:251851776;mso-position-horizontal-relative:page;mso-position-vertical-relative:page" coordorigin=",16157" coordsize="11906,681">
            <v:rect id="_x0000_s2287" style="position:absolute;top:16157;width:11906;height:681" fillcolor="#dcddde" stroked="f"/>
            <v:shape id="_x0000_s2286" type="#_x0000_t202" style="position:absolute;left:1020;top:16477;width:1414;height:164" filled="f" stroked="f">
              <v:textbox inset="0,0,0,0">
                <w:txbxContent>
                  <w:p w14:paraId="2F6715F5" w14:textId="77777777" w:rsidR="00F65BCA" w:rsidRDefault="00216117">
                    <w:pPr>
                      <w:spacing w:before="2"/>
                      <w:rPr>
                        <w:sz w:val="14"/>
                      </w:rPr>
                    </w:pPr>
                    <w:r>
                      <w:rPr>
                        <w:color w:val="231F20"/>
                        <w:sz w:val="14"/>
                      </w:rPr>
                      <w:t>6.20.012 05.2025 v04</w:t>
                    </w:r>
                  </w:p>
                </w:txbxContent>
              </v:textbox>
            </v:shape>
            <v:shape id="_x0000_s2285" type="#_x0000_t202" style="position:absolute;left:5679;top:16420;width:5453;height:234" filled="f" stroked="f">
              <v:textbox inset="0,0,0,0">
                <w:txbxContent>
                  <w:p w14:paraId="51F12051" w14:textId="77777777" w:rsidR="00F65BCA" w:rsidRDefault="00216117">
                    <w:pPr>
                      <w:spacing w:before="3"/>
                      <w:rPr>
                        <w:sz w:val="16"/>
                      </w:rPr>
                    </w:pPr>
                    <w:r>
                      <w:rPr>
                        <w:color w:val="231F20"/>
                        <w:sz w:val="16"/>
                      </w:rPr>
                      <w:t xml:space="preserve">Všeobecné pojistné podmínky pro pojištění vozidel VPPPMV-F-5/2025 </w:t>
                    </w:r>
                    <w:r>
                      <w:rPr>
                        <w:color w:val="6D6E71"/>
                        <w:sz w:val="20"/>
                      </w:rPr>
                      <w:t xml:space="preserve">| </w:t>
                    </w:r>
                    <w:r>
                      <w:rPr>
                        <w:color w:val="231F20"/>
                        <w:sz w:val="16"/>
                      </w:rPr>
                      <w:t>19</w:t>
                    </w:r>
                  </w:p>
                </w:txbxContent>
              </v:textbox>
            </v:shape>
            <w10:wrap anchorx="page" anchory="page"/>
          </v:group>
        </w:pict>
      </w:r>
      <w:r w:rsidR="00216117">
        <w:rPr>
          <w:color w:val="231F20"/>
          <w:sz w:val="15"/>
        </w:rPr>
        <w:t xml:space="preserve">s využitím provozovatele poštovních služeb na korespondenční </w:t>
      </w:r>
      <w:r w:rsidR="00216117">
        <w:rPr>
          <w:color w:val="231F20"/>
          <w:spacing w:val="-3"/>
          <w:sz w:val="15"/>
        </w:rPr>
        <w:t xml:space="preserve">adresu, </w:t>
      </w:r>
      <w:r w:rsidR="00216117">
        <w:rPr>
          <w:color w:val="231F20"/>
          <w:sz w:val="15"/>
        </w:rPr>
        <w:t>uvedenou</w:t>
      </w:r>
      <w:r w:rsidR="00216117">
        <w:rPr>
          <w:color w:val="231F20"/>
          <w:spacing w:val="-19"/>
          <w:sz w:val="15"/>
        </w:rPr>
        <w:t xml:space="preserve"> </w:t>
      </w:r>
      <w:r w:rsidR="00216117">
        <w:rPr>
          <w:color w:val="231F20"/>
          <w:sz w:val="15"/>
        </w:rPr>
        <w:t>v</w:t>
      </w:r>
      <w:r w:rsidR="00216117">
        <w:rPr>
          <w:color w:val="231F20"/>
          <w:spacing w:val="-19"/>
          <w:sz w:val="15"/>
        </w:rPr>
        <w:t xml:space="preserve"> </w:t>
      </w:r>
      <w:r w:rsidR="00216117">
        <w:rPr>
          <w:color w:val="231F20"/>
          <w:sz w:val="15"/>
        </w:rPr>
        <w:t>pojistné</w:t>
      </w:r>
      <w:r w:rsidR="00216117">
        <w:rPr>
          <w:color w:val="231F20"/>
          <w:spacing w:val="-19"/>
          <w:sz w:val="15"/>
        </w:rPr>
        <w:t xml:space="preserve"> </w:t>
      </w:r>
      <w:r w:rsidR="00216117">
        <w:rPr>
          <w:color w:val="231F20"/>
          <w:sz w:val="15"/>
        </w:rPr>
        <w:t>smlouvě</w:t>
      </w:r>
      <w:r w:rsidR="00216117">
        <w:rPr>
          <w:color w:val="231F20"/>
          <w:spacing w:val="-19"/>
          <w:sz w:val="15"/>
        </w:rPr>
        <w:t xml:space="preserve"> </w:t>
      </w:r>
      <w:r w:rsidR="00216117">
        <w:rPr>
          <w:color w:val="231F20"/>
          <w:sz w:val="15"/>
        </w:rPr>
        <w:t>nebo</w:t>
      </w:r>
      <w:r w:rsidR="00216117">
        <w:rPr>
          <w:color w:val="231F20"/>
          <w:spacing w:val="-19"/>
          <w:sz w:val="15"/>
        </w:rPr>
        <w:t xml:space="preserve"> </w:t>
      </w:r>
      <w:r w:rsidR="00216117">
        <w:rPr>
          <w:color w:val="231F20"/>
          <w:sz w:val="15"/>
        </w:rPr>
        <w:t>prokazatelně</w:t>
      </w:r>
      <w:r w:rsidR="00216117">
        <w:rPr>
          <w:color w:val="231F20"/>
          <w:spacing w:val="-19"/>
          <w:sz w:val="15"/>
        </w:rPr>
        <w:t xml:space="preserve"> </w:t>
      </w:r>
      <w:r w:rsidR="00216117">
        <w:rPr>
          <w:color w:val="231F20"/>
          <w:sz w:val="15"/>
        </w:rPr>
        <w:t>sdělenou</w:t>
      </w:r>
      <w:r w:rsidR="00216117">
        <w:rPr>
          <w:color w:val="231F20"/>
          <w:spacing w:val="-19"/>
          <w:sz w:val="15"/>
        </w:rPr>
        <w:t xml:space="preserve"> </w:t>
      </w:r>
      <w:r w:rsidR="00216117">
        <w:rPr>
          <w:color w:val="231F20"/>
          <w:sz w:val="15"/>
        </w:rPr>
        <w:t>smluvní</w:t>
      </w:r>
      <w:r w:rsidR="00216117">
        <w:rPr>
          <w:color w:val="231F20"/>
          <w:spacing w:val="-18"/>
          <w:sz w:val="15"/>
        </w:rPr>
        <w:t xml:space="preserve"> </w:t>
      </w:r>
      <w:r w:rsidR="00216117">
        <w:rPr>
          <w:color w:val="231F20"/>
          <w:sz w:val="15"/>
        </w:rPr>
        <w:t>stranou po</w:t>
      </w:r>
      <w:r w:rsidR="00216117">
        <w:rPr>
          <w:color w:val="231F20"/>
          <w:spacing w:val="-24"/>
          <w:sz w:val="15"/>
        </w:rPr>
        <w:t xml:space="preserve"> </w:t>
      </w:r>
      <w:r w:rsidR="00216117">
        <w:rPr>
          <w:color w:val="231F20"/>
          <w:sz w:val="15"/>
        </w:rPr>
        <w:t>uzavření</w:t>
      </w:r>
      <w:r w:rsidR="00216117">
        <w:rPr>
          <w:color w:val="231F20"/>
          <w:spacing w:val="-23"/>
          <w:sz w:val="15"/>
        </w:rPr>
        <w:t xml:space="preserve"> </w:t>
      </w:r>
      <w:r w:rsidR="00216117">
        <w:rPr>
          <w:color w:val="231F20"/>
          <w:sz w:val="15"/>
        </w:rPr>
        <w:t>pojistné</w:t>
      </w:r>
      <w:r w:rsidR="00216117">
        <w:rPr>
          <w:color w:val="231F20"/>
          <w:spacing w:val="-23"/>
          <w:sz w:val="15"/>
        </w:rPr>
        <w:t xml:space="preserve"> </w:t>
      </w:r>
      <w:r w:rsidR="00216117">
        <w:rPr>
          <w:color w:val="231F20"/>
          <w:sz w:val="15"/>
        </w:rPr>
        <w:t>smlouvy</w:t>
      </w:r>
      <w:r w:rsidR="00216117">
        <w:rPr>
          <w:color w:val="231F20"/>
          <w:spacing w:val="-23"/>
          <w:sz w:val="15"/>
        </w:rPr>
        <w:t xml:space="preserve"> </w:t>
      </w:r>
      <w:r w:rsidR="00216117">
        <w:rPr>
          <w:color w:val="231F20"/>
          <w:sz w:val="15"/>
        </w:rPr>
        <w:t>nebo</w:t>
      </w:r>
      <w:r w:rsidR="00216117">
        <w:rPr>
          <w:color w:val="231F20"/>
          <w:spacing w:val="-23"/>
          <w:sz w:val="15"/>
        </w:rPr>
        <w:t xml:space="preserve"> </w:t>
      </w:r>
      <w:r w:rsidR="00216117">
        <w:rPr>
          <w:color w:val="231F20"/>
          <w:sz w:val="15"/>
        </w:rPr>
        <w:t>na</w:t>
      </w:r>
      <w:r w:rsidR="00216117">
        <w:rPr>
          <w:color w:val="231F20"/>
          <w:spacing w:val="-23"/>
          <w:sz w:val="15"/>
        </w:rPr>
        <w:t xml:space="preserve"> </w:t>
      </w:r>
      <w:r w:rsidR="00216117">
        <w:rPr>
          <w:color w:val="231F20"/>
          <w:sz w:val="15"/>
        </w:rPr>
        <w:t>adresu</w:t>
      </w:r>
      <w:r w:rsidR="00216117">
        <w:rPr>
          <w:color w:val="231F20"/>
          <w:spacing w:val="-24"/>
          <w:sz w:val="15"/>
        </w:rPr>
        <w:t xml:space="preserve"> </w:t>
      </w:r>
      <w:r w:rsidR="00216117">
        <w:rPr>
          <w:color w:val="231F20"/>
          <w:sz w:val="15"/>
        </w:rPr>
        <w:t>zjištěnou</w:t>
      </w:r>
      <w:r w:rsidR="00216117">
        <w:rPr>
          <w:color w:val="231F20"/>
          <w:spacing w:val="-23"/>
          <w:sz w:val="15"/>
        </w:rPr>
        <w:t xml:space="preserve"> </w:t>
      </w:r>
      <w:r w:rsidR="00216117">
        <w:rPr>
          <w:color w:val="231F20"/>
          <w:sz w:val="15"/>
        </w:rPr>
        <w:t>v</w:t>
      </w:r>
      <w:r w:rsidR="00216117">
        <w:rPr>
          <w:color w:val="231F20"/>
          <w:spacing w:val="-23"/>
          <w:sz w:val="15"/>
        </w:rPr>
        <w:t xml:space="preserve"> </w:t>
      </w:r>
      <w:r w:rsidR="00216117">
        <w:rPr>
          <w:color w:val="231F20"/>
          <w:sz w:val="15"/>
        </w:rPr>
        <w:t>souladu</w:t>
      </w:r>
      <w:r w:rsidR="00216117">
        <w:rPr>
          <w:color w:val="231F20"/>
          <w:spacing w:val="-23"/>
          <w:sz w:val="15"/>
        </w:rPr>
        <w:t xml:space="preserve"> </w:t>
      </w:r>
      <w:r w:rsidR="00216117">
        <w:rPr>
          <w:color w:val="231F20"/>
          <w:sz w:val="15"/>
        </w:rPr>
        <w:t>s</w:t>
      </w:r>
      <w:r w:rsidR="00216117">
        <w:rPr>
          <w:color w:val="231F20"/>
          <w:spacing w:val="-23"/>
          <w:sz w:val="15"/>
        </w:rPr>
        <w:t xml:space="preserve"> </w:t>
      </w:r>
      <w:r w:rsidR="00216117">
        <w:rPr>
          <w:color w:val="231F20"/>
          <w:sz w:val="15"/>
        </w:rPr>
        <w:t>právními předpisy, na které se adresát</w:t>
      </w:r>
      <w:r w:rsidR="00216117">
        <w:rPr>
          <w:color w:val="231F20"/>
          <w:spacing w:val="-9"/>
          <w:sz w:val="15"/>
        </w:rPr>
        <w:t xml:space="preserve"> </w:t>
      </w:r>
      <w:r w:rsidR="00216117">
        <w:rPr>
          <w:color w:val="231F20"/>
          <w:sz w:val="15"/>
        </w:rPr>
        <w:t>zdržuje;</w:t>
      </w:r>
    </w:p>
    <w:p w14:paraId="1D6B2F43" w14:textId="77777777" w:rsidR="00F65BCA" w:rsidRDefault="00216117">
      <w:pPr>
        <w:pStyle w:val="Odstavecseseznamem"/>
        <w:numPr>
          <w:ilvl w:val="0"/>
          <w:numId w:val="121"/>
        </w:numPr>
        <w:tabs>
          <w:tab w:val="left" w:pos="881"/>
        </w:tabs>
        <w:spacing w:line="278" w:lineRule="auto"/>
        <w:ind w:left="880" w:right="1"/>
        <w:jc w:val="both"/>
        <w:rPr>
          <w:sz w:val="15"/>
        </w:rPr>
      </w:pPr>
      <w:r>
        <w:rPr>
          <w:color w:val="231F20"/>
          <w:sz w:val="15"/>
        </w:rPr>
        <w:t>prostřednictvím</w:t>
      </w:r>
      <w:r>
        <w:rPr>
          <w:color w:val="231F20"/>
          <w:spacing w:val="-19"/>
          <w:sz w:val="15"/>
        </w:rPr>
        <w:t xml:space="preserve"> </w:t>
      </w:r>
      <w:r>
        <w:rPr>
          <w:color w:val="231F20"/>
          <w:sz w:val="15"/>
        </w:rPr>
        <w:t>elektronické</w:t>
      </w:r>
      <w:r>
        <w:rPr>
          <w:color w:val="231F20"/>
          <w:spacing w:val="-19"/>
          <w:sz w:val="15"/>
        </w:rPr>
        <w:t xml:space="preserve"> </w:t>
      </w:r>
      <w:r>
        <w:rPr>
          <w:color w:val="231F20"/>
          <w:sz w:val="15"/>
        </w:rPr>
        <w:t>pošty</w:t>
      </w:r>
      <w:r>
        <w:rPr>
          <w:color w:val="231F20"/>
          <w:spacing w:val="-19"/>
          <w:sz w:val="15"/>
        </w:rPr>
        <w:t xml:space="preserve"> </w:t>
      </w:r>
      <w:r>
        <w:rPr>
          <w:color w:val="231F20"/>
          <w:sz w:val="15"/>
        </w:rPr>
        <w:t>na</w:t>
      </w:r>
      <w:r>
        <w:rPr>
          <w:color w:val="231F20"/>
          <w:spacing w:val="-19"/>
          <w:sz w:val="15"/>
        </w:rPr>
        <w:t xml:space="preserve"> </w:t>
      </w:r>
      <w:r>
        <w:rPr>
          <w:color w:val="231F20"/>
          <w:sz w:val="15"/>
        </w:rPr>
        <w:t>elektronickou</w:t>
      </w:r>
      <w:r>
        <w:rPr>
          <w:color w:val="231F20"/>
          <w:spacing w:val="-18"/>
          <w:sz w:val="15"/>
        </w:rPr>
        <w:t xml:space="preserve"> </w:t>
      </w:r>
      <w:r>
        <w:rPr>
          <w:color w:val="231F20"/>
          <w:sz w:val="15"/>
        </w:rPr>
        <w:t>adresu</w:t>
      </w:r>
      <w:r>
        <w:rPr>
          <w:color w:val="231F20"/>
          <w:spacing w:val="-19"/>
          <w:sz w:val="15"/>
        </w:rPr>
        <w:t xml:space="preserve"> </w:t>
      </w:r>
      <w:r>
        <w:rPr>
          <w:color w:val="231F20"/>
          <w:sz w:val="15"/>
        </w:rPr>
        <w:t>uvedenou</w:t>
      </w:r>
      <w:r>
        <w:rPr>
          <w:color w:val="231F20"/>
          <w:spacing w:val="-19"/>
          <w:sz w:val="15"/>
        </w:rPr>
        <w:t xml:space="preserve"> </w:t>
      </w:r>
      <w:r>
        <w:rPr>
          <w:color w:val="231F20"/>
          <w:sz w:val="15"/>
        </w:rPr>
        <w:t>v</w:t>
      </w:r>
      <w:r>
        <w:rPr>
          <w:color w:val="231F20"/>
          <w:spacing w:val="-19"/>
          <w:sz w:val="15"/>
        </w:rPr>
        <w:t xml:space="preserve"> </w:t>
      </w:r>
      <w:r>
        <w:rPr>
          <w:color w:val="231F20"/>
          <w:spacing w:val="-6"/>
          <w:sz w:val="15"/>
        </w:rPr>
        <w:t xml:space="preserve">po- </w:t>
      </w:r>
      <w:r>
        <w:rPr>
          <w:color w:val="231F20"/>
          <w:sz w:val="15"/>
        </w:rPr>
        <w:t>jistné</w:t>
      </w:r>
      <w:r>
        <w:rPr>
          <w:color w:val="231F20"/>
          <w:spacing w:val="-23"/>
          <w:sz w:val="15"/>
        </w:rPr>
        <w:t xml:space="preserve"> </w:t>
      </w:r>
      <w:r>
        <w:rPr>
          <w:color w:val="231F20"/>
          <w:sz w:val="15"/>
        </w:rPr>
        <w:t>smlouvě</w:t>
      </w:r>
      <w:r>
        <w:rPr>
          <w:color w:val="231F20"/>
          <w:spacing w:val="-22"/>
          <w:sz w:val="15"/>
        </w:rPr>
        <w:t xml:space="preserve"> </w:t>
      </w:r>
      <w:r>
        <w:rPr>
          <w:color w:val="231F20"/>
          <w:sz w:val="15"/>
        </w:rPr>
        <w:t>nebo</w:t>
      </w:r>
      <w:r>
        <w:rPr>
          <w:color w:val="231F20"/>
          <w:spacing w:val="-22"/>
          <w:sz w:val="15"/>
        </w:rPr>
        <w:t xml:space="preserve"> </w:t>
      </w:r>
      <w:r>
        <w:rPr>
          <w:color w:val="231F20"/>
          <w:sz w:val="15"/>
        </w:rPr>
        <w:t>prokazatelně</w:t>
      </w:r>
      <w:r>
        <w:rPr>
          <w:color w:val="231F20"/>
          <w:spacing w:val="-22"/>
          <w:sz w:val="15"/>
        </w:rPr>
        <w:t xml:space="preserve"> </w:t>
      </w:r>
      <w:r>
        <w:rPr>
          <w:color w:val="231F20"/>
          <w:sz w:val="15"/>
        </w:rPr>
        <w:t>sdělenou</w:t>
      </w:r>
      <w:r>
        <w:rPr>
          <w:color w:val="231F20"/>
          <w:spacing w:val="-22"/>
          <w:sz w:val="15"/>
        </w:rPr>
        <w:t xml:space="preserve"> </w:t>
      </w:r>
      <w:r>
        <w:rPr>
          <w:color w:val="231F20"/>
          <w:sz w:val="15"/>
        </w:rPr>
        <w:t>adresátem</w:t>
      </w:r>
      <w:r>
        <w:rPr>
          <w:color w:val="231F20"/>
          <w:spacing w:val="-22"/>
          <w:sz w:val="15"/>
        </w:rPr>
        <w:t xml:space="preserve"> </w:t>
      </w:r>
      <w:r>
        <w:rPr>
          <w:color w:val="231F20"/>
          <w:sz w:val="15"/>
        </w:rPr>
        <w:t>po</w:t>
      </w:r>
      <w:r>
        <w:rPr>
          <w:color w:val="231F20"/>
          <w:spacing w:val="-22"/>
          <w:sz w:val="15"/>
        </w:rPr>
        <w:t xml:space="preserve"> </w:t>
      </w:r>
      <w:r>
        <w:rPr>
          <w:color w:val="231F20"/>
          <w:sz w:val="15"/>
        </w:rPr>
        <w:t>uzavření</w:t>
      </w:r>
      <w:r>
        <w:rPr>
          <w:color w:val="231F20"/>
          <w:spacing w:val="-22"/>
          <w:sz w:val="15"/>
        </w:rPr>
        <w:t xml:space="preserve"> </w:t>
      </w:r>
      <w:r>
        <w:rPr>
          <w:color w:val="231F20"/>
          <w:spacing w:val="-3"/>
          <w:sz w:val="15"/>
        </w:rPr>
        <w:t xml:space="preserve">pojistné </w:t>
      </w:r>
      <w:r>
        <w:rPr>
          <w:color w:val="231F20"/>
          <w:sz w:val="15"/>
        </w:rPr>
        <w:t>smlouvy;</w:t>
      </w:r>
    </w:p>
    <w:p w14:paraId="3400E5A6" w14:textId="77777777" w:rsidR="00F65BCA" w:rsidRDefault="00216117">
      <w:pPr>
        <w:pStyle w:val="Odstavecseseznamem"/>
        <w:numPr>
          <w:ilvl w:val="0"/>
          <w:numId w:val="121"/>
        </w:numPr>
        <w:tabs>
          <w:tab w:val="left" w:pos="881"/>
        </w:tabs>
        <w:spacing w:line="172" w:lineRule="exact"/>
        <w:ind w:left="880"/>
        <w:jc w:val="both"/>
        <w:rPr>
          <w:sz w:val="15"/>
        </w:rPr>
      </w:pPr>
      <w:r>
        <w:rPr>
          <w:color w:val="231F20"/>
          <w:sz w:val="15"/>
        </w:rPr>
        <w:t>prostřednictvím</w:t>
      </w:r>
      <w:r>
        <w:rPr>
          <w:color w:val="231F20"/>
          <w:spacing w:val="-9"/>
          <w:sz w:val="15"/>
        </w:rPr>
        <w:t xml:space="preserve"> </w:t>
      </w:r>
      <w:r>
        <w:rPr>
          <w:color w:val="231F20"/>
          <w:sz w:val="15"/>
        </w:rPr>
        <w:t>internetových</w:t>
      </w:r>
      <w:r>
        <w:rPr>
          <w:color w:val="231F20"/>
          <w:spacing w:val="-9"/>
          <w:sz w:val="15"/>
        </w:rPr>
        <w:t xml:space="preserve"> </w:t>
      </w:r>
      <w:r>
        <w:rPr>
          <w:color w:val="231F20"/>
          <w:sz w:val="15"/>
        </w:rPr>
        <w:t>nebo</w:t>
      </w:r>
      <w:r>
        <w:rPr>
          <w:color w:val="231F20"/>
          <w:spacing w:val="-9"/>
          <w:sz w:val="15"/>
        </w:rPr>
        <w:t xml:space="preserve"> </w:t>
      </w:r>
      <w:r>
        <w:rPr>
          <w:color w:val="231F20"/>
          <w:sz w:val="15"/>
        </w:rPr>
        <w:t>mobilních</w:t>
      </w:r>
      <w:r>
        <w:rPr>
          <w:color w:val="231F20"/>
          <w:spacing w:val="-8"/>
          <w:sz w:val="15"/>
        </w:rPr>
        <w:t xml:space="preserve"> </w:t>
      </w:r>
      <w:r>
        <w:rPr>
          <w:color w:val="231F20"/>
          <w:sz w:val="15"/>
        </w:rPr>
        <w:t>aplikací</w:t>
      </w:r>
      <w:r>
        <w:rPr>
          <w:color w:val="231F20"/>
          <w:spacing w:val="-9"/>
          <w:sz w:val="15"/>
        </w:rPr>
        <w:t xml:space="preserve"> </w:t>
      </w:r>
      <w:r>
        <w:rPr>
          <w:color w:val="231F20"/>
          <w:sz w:val="15"/>
        </w:rPr>
        <w:t>Pojišťovny.</w:t>
      </w:r>
    </w:p>
    <w:p w14:paraId="2176CFA6" w14:textId="77777777" w:rsidR="00F65BCA" w:rsidRDefault="00216117">
      <w:pPr>
        <w:pStyle w:val="Zkladntext"/>
        <w:spacing w:before="27" w:line="278" w:lineRule="auto"/>
        <w:ind w:left="710" w:right="1"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position w:val="1"/>
          <w:sz w:val="14"/>
        </w:rPr>
        <w:t xml:space="preserve"> </w:t>
      </w:r>
      <w:r>
        <w:rPr>
          <w:color w:val="231F20"/>
        </w:rPr>
        <w:t>Písemnost doručovaná na elektronickou adresu je doručena dnem, kdy byla doručena</w:t>
      </w:r>
      <w:r>
        <w:rPr>
          <w:color w:val="231F20"/>
          <w:spacing w:val="-7"/>
        </w:rPr>
        <w:t xml:space="preserve"> </w:t>
      </w:r>
      <w:r>
        <w:rPr>
          <w:color w:val="231F20"/>
        </w:rPr>
        <w:t>do</w:t>
      </w:r>
      <w:r>
        <w:rPr>
          <w:color w:val="231F20"/>
          <w:spacing w:val="-7"/>
        </w:rPr>
        <w:t xml:space="preserve"> </w:t>
      </w:r>
      <w:r>
        <w:rPr>
          <w:color w:val="231F20"/>
        </w:rPr>
        <w:t>e-mailové</w:t>
      </w:r>
      <w:r>
        <w:rPr>
          <w:color w:val="231F20"/>
          <w:spacing w:val="-6"/>
        </w:rPr>
        <w:t xml:space="preserve"> </w:t>
      </w:r>
      <w:r>
        <w:rPr>
          <w:color w:val="231F20"/>
        </w:rPr>
        <w:t>schránky</w:t>
      </w:r>
      <w:r>
        <w:rPr>
          <w:color w:val="231F20"/>
          <w:spacing w:val="-7"/>
        </w:rPr>
        <w:t xml:space="preserve"> </w:t>
      </w:r>
      <w:r>
        <w:rPr>
          <w:color w:val="231F20"/>
        </w:rPr>
        <w:t>adresáta;</w:t>
      </w:r>
      <w:r>
        <w:rPr>
          <w:color w:val="231F20"/>
          <w:spacing w:val="-6"/>
        </w:rPr>
        <w:t xml:space="preserve"> </w:t>
      </w:r>
      <w:r>
        <w:rPr>
          <w:color w:val="231F20"/>
        </w:rPr>
        <w:t>v</w:t>
      </w:r>
      <w:r>
        <w:rPr>
          <w:color w:val="231F20"/>
          <w:spacing w:val="-7"/>
        </w:rPr>
        <w:t xml:space="preserve"> </w:t>
      </w:r>
      <w:r>
        <w:rPr>
          <w:color w:val="231F20"/>
        </w:rPr>
        <w:t>pochybnostech</w:t>
      </w:r>
      <w:r>
        <w:rPr>
          <w:color w:val="231F20"/>
          <w:spacing w:val="-6"/>
        </w:rPr>
        <w:t xml:space="preserve"> </w:t>
      </w:r>
      <w:r>
        <w:rPr>
          <w:color w:val="231F20"/>
        </w:rPr>
        <w:t>se</w:t>
      </w:r>
      <w:r>
        <w:rPr>
          <w:color w:val="231F20"/>
          <w:spacing w:val="-7"/>
        </w:rPr>
        <w:t xml:space="preserve"> </w:t>
      </w:r>
      <w:r>
        <w:rPr>
          <w:color w:val="231F20"/>
        </w:rPr>
        <w:t>má</w:t>
      </w:r>
      <w:r>
        <w:rPr>
          <w:color w:val="231F20"/>
          <w:spacing w:val="-6"/>
        </w:rPr>
        <w:t xml:space="preserve"> </w:t>
      </w:r>
      <w:r>
        <w:rPr>
          <w:color w:val="231F20"/>
        </w:rPr>
        <w:t>za</w:t>
      </w:r>
      <w:r>
        <w:rPr>
          <w:color w:val="231F20"/>
          <w:spacing w:val="-7"/>
        </w:rPr>
        <w:t xml:space="preserve"> </w:t>
      </w:r>
      <w:r>
        <w:rPr>
          <w:color w:val="231F20"/>
        </w:rPr>
        <w:t>to,</w:t>
      </w:r>
      <w:r>
        <w:rPr>
          <w:color w:val="231F20"/>
          <w:spacing w:val="-6"/>
        </w:rPr>
        <w:t xml:space="preserve"> </w:t>
      </w:r>
      <w:r>
        <w:rPr>
          <w:color w:val="231F20"/>
          <w:spacing w:val="-7"/>
        </w:rPr>
        <w:t xml:space="preserve">že </w:t>
      </w:r>
      <w:r>
        <w:rPr>
          <w:color w:val="231F20"/>
        </w:rPr>
        <w:t>je doručena dnem jejího odeslání</w:t>
      </w:r>
      <w:r>
        <w:rPr>
          <w:color w:val="231F20"/>
          <w:spacing w:val="-14"/>
        </w:rPr>
        <w:t xml:space="preserve"> </w:t>
      </w:r>
      <w:r>
        <w:rPr>
          <w:color w:val="231F20"/>
        </w:rPr>
        <w:t>odesílatelem.</w:t>
      </w:r>
    </w:p>
    <w:p w14:paraId="6608CB93" w14:textId="77777777" w:rsidR="00F65BCA" w:rsidRDefault="00216117">
      <w:pPr>
        <w:pStyle w:val="Zkladntext"/>
        <w:spacing w:line="278" w:lineRule="auto"/>
        <w:ind w:left="710" w:right="1"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position w:val="1"/>
          <w:sz w:val="14"/>
        </w:rPr>
        <w:t xml:space="preserve"> </w:t>
      </w:r>
      <w:r>
        <w:rPr>
          <w:color w:val="231F20"/>
        </w:rPr>
        <w:t xml:space="preserve">Smluvní strany jsou povinny si bez zbytečného odkladu sdělit změny </w:t>
      </w:r>
      <w:r>
        <w:rPr>
          <w:color w:val="231F20"/>
          <w:spacing w:val="-4"/>
        </w:rPr>
        <w:t xml:space="preserve">veške- </w:t>
      </w:r>
      <w:r>
        <w:rPr>
          <w:color w:val="231F20"/>
        </w:rPr>
        <w:t>rých</w:t>
      </w:r>
      <w:r>
        <w:rPr>
          <w:color w:val="231F20"/>
          <w:spacing w:val="-16"/>
        </w:rPr>
        <w:t xml:space="preserve"> </w:t>
      </w:r>
      <w:r>
        <w:rPr>
          <w:color w:val="231F20"/>
        </w:rPr>
        <w:t>skutečností</w:t>
      </w:r>
      <w:r>
        <w:rPr>
          <w:color w:val="231F20"/>
          <w:spacing w:val="-15"/>
        </w:rPr>
        <w:t xml:space="preserve"> </w:t>
      </w:r>
      <w:r>
        <w:rPr>
          <w:color w:val="231F20"/>
        </w:rPr>
        <w:t>významných</w:t>
      </w:r>
      <w:r>
        <w:rPr>
          <w:color w:val="231F20"/>
          <w:spacing w:val="-15"/>
        </w:rPr>
        <w:t xml:space="preserve"> </w:t>
      </w:r>
      <w:r>
        <w:rPr>
          <w:color w:val="231F20"/>
        </w:rPr>
        <w:t>pro</w:t>
      </w:r>
      <w:r>
        <w:rPr>
          <w:color w:val="231F20"/>
          <w:spacing w:val="-15"/>
        </w:rPr>
        <w:t xml:space="preserve"> </w:t>
      </w:r>
      <w:r>
        <w:rPr>
          <w:color w:val="231F20"/>
        </w:rPr>
        <w:t>doručování</w:t>
      </w:r>
      <w:r>
        <w:rPr>
          <w:color w:val="231F20"/>
          <w:spacing w:val="-15"/>
        </w:rPr>
        <w:t xml:space="preserve"> </w:t>
      </w:r>
      <w:r>
        <w:rPr>
          <w:color w:val="231F20"/>
        </w:rPr>
        <w:t>a</w:t>
      </w:r>
      <w:r>
        <w:rPr>
          <w:color w:val="231F20"/>
          <w:spacing w:val="-15"/>
        </w:rPr>
        <w:t xml:space="preserve"> </w:t>
      </w:r>
      <w:r>
        <w:rPr>
          <w:color w:val="231F20"/>
        </w:rPr>
        <w:t>oznámit</w:t>
      </w:r>
      <w:r>
        <w:rPr>
          <w:color w:val="231F20"/>
          <w:spacing w:val="-15"/>
        </w:rPr>
        <w:t xml:space="preserve"> </w:t>
      </w:r>
      <w:r>
        <w:rPr>
          <w:color w:val="231F20"/>
        </w:rPr>
        <w:t>si</w:t>
      </w:r>
      <w:r>
        <w:rPr>
          <w:color w:val="231F20"/>
          <w:spacing w:val="-15"/>
        </w:rPr>
        <w:t xml:space="preserve"> </w:t>
      </w:r>
      <w:r>
        <w:rPr>
          <w:color w:val="231F20"/>
        </w:rPr>
        <w:t>navzájem</w:t>
      </w:r>
      <w:r>
        <w:rPr>
          <w:color w:val="231F20"/>
          <w:spacing w:val="-15"/>
        </w:rPr>
        <w:t xml:space="preserve"> </w:t>
      </w:r>
      <w:r>
        <w:rPr>
          <w:color w:val="231F20"/>
        </w:rPr>
        <w:t>svou</w:t>
      </w:r>
      <w:r>
        <w:rPr>
          <w:color w:val="231F20"/>
          <w:spacing w:val="-16"/>
        </w:rPr>
        <w:t xml:space="preserve"> </w:t>
      </w:r>
      <w:r>
        <w:rPr>
          <w:color w:val="231F20"/>
          <w:spacing w:val="-5"/>
        </w:rPr>
        <w:t xml:space="preserve">no- </w:t>
      </w:r>
      <w:r>
        <w:rPr>
          <w:color w:val="231F20"/>
        </w:rPr>
        <w:t>vou</w:t>
      </w:r>
      <w:r>
        <w:rPr>
          <w:color w:val="231F20"/>
          <w:spacing w:val="-8"/>
        </w:rPr>
        <w:t xml:space="preserve"> </w:t>
      </w:r>
      <w:r>
        <w:rPr>
          <w:color w:val="231F20"/>
        </w:rPr>
        <w:t>korespondenční</w:t>
      </w:r>
      <w:r>
        <w:rPr>
          <w:color w:val="231F20"/>
          <w:spacing w:val="-7"/>
        </w:rPr>
        <w:t xml:space="preserve"> </w:t>
      </w:r>
      <w:r>
        <w:rPr>
          <w:color w:val="231F20"/>
        </w:rPr>
        <w:t>nebo</w:t>
      </w:r>
      <w:r>
        <w:rPr>
          <w:color w:val="231F20"/>
          <w:spacing w:val="-7"/>
        </w:rPr>
        <w:t xml:space="preserve"> </w:t>
      </w:r>
      <w:r>
        <w:rPr>
          <w:color w:val="231F20"/>
        </w:rPr>
        <w:t>elektronickou</w:t>
      </w:r>
      <w:r>
        <w:rPr>
          <w:color w:val="231F20"/>
          <w:spacing w:val="-8"/>
        </w:rPr>
        <w:t xml:space="preserve"> </w:t>
      </w:r>
      <w:r>
        <w:rPr>
          <w:color w:val="231F20"/>
        </w:rPr>
        <w:t>adresu</w:t>
      </w:r>
      <w:r>
        <w:rPr>
          <w:color w:val="231F20"/>
          <w:spacing w:val="-7"/>
        </w:rPr>
        <w:t xml:space="preserve"> </w:t>
      </w:r>
      <w:r>
        <w:rPr>
          <w:color w:val="231F20"/>
        </w:rPr>
        <w:t>nebo</w:t>
      </w:r>
      <w:r>
        <w:rPr>
          <w:color w:val="231F20"/>
          <w:spacing w:val="-7"/>
        </w:rPr>
        <w:t xml:space="preserve"> </w:t>
      </w:r>
      <w:r>
        <w:rPr>
          <w:color w:val="231F20"/>
        </w:rPr>
        <w:t>telefonní</w:t>
      </w:r>
      <w:r>
        <w:rPr>
          <w:color w:val="231F20"/>
          <w:spacing w:val="-8"/>
        </w:rPr>
        <w:t xml:space="preserve"> </w:t>
      </w:r>
      <w:r>
        <w:rPr>
          <w:color w:val="231F20"/>
        </w:rPr>
        <w:t>číslo.</w:t>
      </w:r>
    </w:p>
    <w:p w14:paraId="7A76B00C" w14:textId="77777777" w:rsidR="00F65BCA" w:rsidRDefault="00216117">
      <w:pPr>
        <w:pStyle w:val="Zkladntext"/>
        <w:spacing w:line="172" w:lineRule="exact"/>
        <w:ind w:left="428"/>
        <w:jc w:val="both"/>
      </w:pPr>
      <w:r>
        <w:rPr>
          <w:color w:val="231F20"/>
          <w:position w:val="1"/>
          <w:sz w:val="14"/>
          <w:shd w:val="clear" w:color="auto" w:fill="D1D3D4"/>
        </w:rPr>
        <w:t xml:space="preserve">  4</w:t>
      </w:r>
      <w:r>
        <w:rPr>
          <w:color w:val="231F20"/>
          <w:position w:val="1"/>
          <w:sz w:val="14"/>
        </w:rPr>
        <w:t xml:space="preserve"> </w:t>
      </w:r>
      <w:r>
        <w:rPr>
          <w:color w:val="231F20"/>
        </w:rPr>
        <w:t>Zmaří-li vědomě adresát dojití, platí, že jednání či oznámení řádně došlo.</w:t>
      </w:r>
    </w:p>
    <w:p w14:paraId="364CC0E9" w14:textId="77777777" w:rsidR="00F65BCA" w:rsidRDefault="00216117">
      <w:pPr>
        <w:pStyle w:val="Zkladntext"/>
        <w:spacing w:before="27"/>
        <w:ind w:left="710"/>
      </w:pPr>
      <w:r>
        <w:rPr>
          <w:color w:val="231F20"/>
        </w:rPr>
        <w:t>O vědomé zmaření se jedná zejména v případě, kdy adresát:</w:t>
      </w:r>
    </w:p>
    <w:p w14:paraId="39916A8F" w14:textId="77777777" w:rsidR="00F65BCA" w:rsidRDefault="00216117">
      <w:pPr>
        <w:pStyle w:val="Odstavecseseznamem"/>
        <w:numPr>
          <w:ilvl w:val="0"/>
          <w:numId w:val="120"/>
        </w:numPr>
        <w:tabs>
          <w:tab w:val="left" w:pos="881"/>
        </w:tabs>
        <w:spacing w:before="27" w:line="278" w:lineRule="auto"/>
        <w:ind w:right="1"/>
        <w:rPr>
          <w:sz w:val="15"/>
        </w:rPr>
      </w:pPr>
      <w:r>
        <w:rPr>
          <w:color w:val="231F20"/>
          <w:sz w:val="15"/>
        </w:rPr>
        <w:t>neoznámí</w:t>
      </w:r>
      <w:r>
        <w:rPr>
          <w:color w:val="231F20"/>
          <w:spacing w:val="-10"/>
          <w:sz w:val="15"/>
        </w:rPr>
        <w:t xml:space="preserve"> </w:t>
      </w:r>
      <w:r>
        <w:rPr>
          <w:color w:val="231F20"/>
          <w:sz w:val="15"/>
        </w:rPr>
        <w:t>včas</w:t>
      </w:r>
      <w:r>
        <w:rPr>
          <w:color w:val="231F20"/>
          <w:spacing w:val="-10"/>
          <w:sz w:val="15"/>
        </w:rPr>
        <w:t xml:space="preserve"> </w:t>
      </w:r>
      <w:r>
        <w:rPr>
          <w:color w:val="231F20"/>
          <w:sz w:val="15"/>
        </w:rPr>
        <w:t>změnu</w:t>
      </w:r>
      <w:r>
        <w:rPr>
          <w:color w:val="231F20"/>
          <w:spacing w:val="-9"/>
          <w:sz w:val="15"/>
        </w:rPr>
        <w:t xml:space="preserve"> </w:t>
      </w:r>
      <w:r>
        <w:rPr>
          <w:color w:val="231F20"/>
          <w:sz w:val="15"/>
        </w:rPr>
        <w:t>skutečností</w:t>
      </w:r>
      <w:r>
        <w:rPr>
          <w:color w:val="231F20"/>
          <w:spacing w:val="-10"/>
          <w:sz w:val="15"/>
        </w:rPr>
        <w:t xml:space="preserve"> </w:t>
      </w:r>
      <w:r>
        <w:rPr>
          <w:color w:val="231F20"/>
          <w:sz w:val="15"/>
        </w:rPr>
        <w:t>významných</w:t>
      </w:r>
      <w:r>
        <w:rPr>
          <w:color w:val="231F20"/>
          <w:spacing w:val="-9"/>
          <w:sz w:val="15"/>
        </w:rPr>
        <w:t xml:space="preserve"> </w:t>
      </w:r>
      <w:r>
        <w:rPr>
          <w:color w:val="231F20"/>
          <w:sz w:val="15"/>
        </w:rPr>
        <w:t>pro</w:t>
      </w:r>
      <w:r>
        <w:rPr>
          <w:color w:val="231F20"/>
          <w:spacing w:val="-10"/>
          <w:sz w:val="15"/>
        </w:rPr>
        <w:t xml:space="preserve"> </w:t>
      </w:r>
      <w:r>
        <w:rPr>
          <w:color w:val="231F20"/>
          <w:sz w:val="15"/>
        </w:rPr>
        <w:t>doručování</w:t>
      </w:r>
      <w:r>
        <w:rPr>
          <w:color w:val="231F20"/>
          <w:spacing w:val="-9"/>
          <w:sz w:val="15"/>
        </w:rPr>
        <w:t xml:space="preserve"> </w:t>
      </w:r>
      <w:r>
        <w:rPr>
          <w:color w:val="231F20"/>
          <w:sz w:val="15"/>
        </w:rPr>
        <w:t>(zejména změnu</w:t>
      </w:r>
      <w:r>
        <w:rPr>
          <w:color w:val="231F20"/>
          <w:spacing w:val="-19"/>
          <w:sz w:val="15"/>
        </w:rPr>
        <w:t xml:space="preserve"> </w:t>
      </w:r>
      <w:r>
        <w:rPr>
          <w:color w:val="231F20"/>
          <w:sz w:val="15"/>
        </w:rPr>
        <w:t>příjmení,</w:t>
      </w:r>
      <w:r>
        <w:rPr>
          <w:color w:val="231F20"/>
          <w:spacing w:val="-19"/>
          <w:sz w:val="15"/>
        </w:rPr>
        <w:t xml:space="preserve"> </w:t>
      </w:r>
      <w:r>
        <w:rPr>
          <w:color w:val="231F20"/>
          <w:sz w:val="15"/>
        </w:rPr>
        <w:t>změnu</w:t>
      </w:r>
      <w:r>
        <w:rPr>
          <w:color w:val="231F20"/>
          <w:spacing w:val="-19"/>
          <w:sz w:val="15"/>
        </w:rPr>
        <w:t xml:space="preserve"> </w:t>
      </w:r>
      <w:r>
        <w:rPr>
          <w:color w:val="231F20"/>
          <w:sz w:val="15"/>
        </w:rPr>
        <w:t>korespondenční</w:t>
      </w:r>
      <w:r>
        <w:rPr>
          <w:color w:val="231F20"/>
          <w:spacing w:val="-19"/>
          <w:sz w:val="15"/>
        </w:rPr>
        <w:t xml:space="preserve"> </w:t>
      </w:r>
      <w:r>
        <w:rPr>
          <w:color w:val="231F20"/>
          <w:sz w:val="15"/>
        </w:rPr>
        <w:t>nebo</w:t>
      </w:r>
      <w:r>
        <w:rPr>
          <w:color w:val="231F20"/>
          <w:spacing w:val="-19"/>
          <w:sz w:val="15"/>
        </w:rPr>
        <w:t xml:space="preserve"> </w:t>
      </w:r>
      <w:r>
        <w:rPr>
          <w:color w:val="231F20"/>
          <w:sz w:val="15"/>
        </w:rPr>
        <w:t>elektronické</w:t>
      </w:r>
      <w:r>
        <w:rPr>
          <w:color w:val="231F20"/>
          <w:spacing w:val="-19"/>
          <w:sz w:val="15"/>
        </w:rPr>
        <w:t xml:space="preserve"> </w:t>
      </w:r>
      <w:r>
        <w:rPr>
          <w:color w:val="231F20"/>
          <w:sz w:val="15"/>
        </w:rPr>
        <w:t>adresy</w:t>
      </w:r>
      <w:r>
        <w:rPr>
          <w:color w:val="231F20"/>
          <w:spacing w:val="-19"/>
          <w:sz w:val="15"/>
        </w:rPr>
        <w:t xml:space="preserve"> </w:t>
      </w:r>
      <w:r>
        <w:rPr>
          <w:color w:val="231F20"/>
          <w:sz w:val="15"/>
        </w:rPr>
        <w:t>apod.);</w:t>
      </w:r>
    </w:p>
    <w:p w14:paraId="1AB1C778" w14:textId="77777777" w:rsidR="00F65BCA" w:rsidRDefault="00216117">
      <w:pPr>
        <w:pStyle w:val="Odstavecseseznamem"/>
        <w:numPr>
          <w:ilvl w:val="0"/>
          <w:numId w:val="120"/>
        </w:numPr>
        <w:tabs>
          <w:tab w:val="left" w:pos="881"/>
        </w:tabs>
        <w:rPr>
          <w:sz w:val="15"/>
        </w:rPr>
      </w:pPr>
      <w:r>
        <w:rPr>
          <w:color w:val="231F20"/>
          <w:sz w:val="15"/>
        </w:rPr>
        <w:t>nepřevezme v úložní době</w:t>
      </w:r>
      <w:r>
        <w:rPr>
          <w:color w:val="231F20"/>
          <w:spacing w:val="-7"/>
          <w:sz w:val="15"/>
        </w:rPr>
        <w:t xml:space="preserve"> </w:t>
      </w:r>
      <w:r>
        <w:rPr>
          <w:color w:val="231F20"/>
          <w:sz w:val="15"/>
        </w:rPr>
        <w:t>písemnost;</w:t>
      </w:r>
    </w:p>
    <w:p w14:paraId="313E0011" w14:textId="77777777" w:rsidR="00F65BCA" w:rsidRDefault="00216117">
      <w:pPr>
        <w:pStyle w:val="Odstavecseseznamem"/>
        <w:numPr>
          <w:ilvl w:val="0"/>
          <w:numId w:val="120"/>
        </w:numPr>
        <w:tabs>
          <w:tab w:val="left" w:pos="881"/>
        </w:tabs>
        <w:spacing w:before="27"/>
        <w:rPr>
          <w:sz w:val="15"/>
        </w:rPr>
      </w:pPr>
      <w:r>
        <w:rPr>
          <w:color w:val="231F20"/>
          <w:sz w:val="15"/>
        </w:rPr>
        <w:t>neoznačí dostatečně poštovní</w:t>
      </w:r>
      <w:r>
        <w:rPr>
          <w:color w:val="231F20"/>
          <w:spacing w:val="-5"/>
          <w:sz w:val="15"/>
        </w:rPr>
        <w:t xml:space="preserve"> </w:t>
      </w:r>
      <w:r>
        <w:rPr>
          <w:color w:val="231F20"/>
          <w:sz w:val="15"/>
        </w:rPr>
        <w:t>schránku;</w:t>
      </w:r>
    </w:p>
    <w:p w14:paraId="32954BDE" w14:textId="77777777" w:rsidR="00F65BCA" w:rsidRDefault="00216117">
      <w:pPr>
        <w:pStyle w:val="Odstavecseseznamem"/>
        <w:numPr>
          <w:ilvl w:val="0"/>
          <w:numId w:val="120"/>
        </w:numPr>
        <w:tabs>
          <w:tab w:val="left" w:pos="881"/>
        </w:tabs>
        <w:spacing w:before="28"/>
        <w:rPr>
          <w:sz w:val="15"/>
        </w:rPr>
      </w:pPr>
      <w:r>
        <w:rPr>
          <w:color w:val="231F20"/>
          <w:sz w:val="15"/>
        </w:rPr>
        <w:t>odmítne písemnost</w:t>
      </w:r>
      <w:r>
        <w:rPr>
          <w:color w:val="231F20"/>
          <w:spacing w:val="-2"/>
          <w:sz w:val="15"/>
        </w:rPr>
        <w:t xml:space="preserve"> </w:t>
      </w:r>
      <w:r>
        <w:rPr>
          <w:color w:val="231F20"/>
          <w:sz w:val="15"/>
        </w:rPr>
        <w:t>převzít.</w:t>
      </w:r>
    </w:p>
    <w:p w14:paraId="248C4643" w14:textId="77777777" w:rsidR="00F65BCA" w:rsidRDefault="00216117">
      <w:pPr>
        <w:pStyle w:val="Zkladntext"/>
        <w:spacing w:before="27"/>
        <w:ind w:left="428"/>
      </w:pPr>
      <w:r>
        <w:rPr>
          <w:color w:val="231F20"/>
          <w:position w:val="1"/>
          <w:sz w:val="14"/>
          <w:shd w:val="clear" w:color="auto" w:fill="D1D3D4"/>
        </w:rPr>
        <w:t xml:space="preserve">  5</w:t>
      </w:r>
      <w:r>
        <w:rPr>
          <w:color w:val="231F20"/>
          <w:position w:val="1"/>
          <w:sz w:val="14"/>
        </w:rPr>
        <w:t xml:space="preserve"> </w:t>
      </w:r>
      <w:r>
        <w:rPr>
          <w:color w:val="231F20"/>
        </w:rPr>
        <w:t>Za doručené do sféry adresáta se považují písemnosti:</w:t>
      </w:r>
    </w:p>
    <w:p w14:paraId="34703E2D" w14:textId="77777777" w:rsidR="00F65BCA" w:rsidRDefault="00216117">
      <w:pPr>
        <w:pStyle w:val="Odstavecseseznamem"/>
        <w:numPr>
          <w:ilvl w:val="0"/>
          <w:numId w:val="119"/>
        </w:numPr>
        <w:tabs>
          <w:tab w:val="left" w:pos="881"/>
        </w:tabs>
        <w:spacing w:before="27" w:line="278" w:lineRule="auto"/>
        <w:rPr>
          <w:sz w:val="15"/>
        </w:rPr>
      </w:pPr>
      <w:r>
        <w:rPr>
          <w:color w:val="231F20"/>
          <w:sz w:val="15"/>
        </w:rPr>
        <w:t>jejichž přijetí adresát odepřel; okamžikem doručení je pak den takového odepření;</w:t>
      </w:r>
    </w:p>
    <w:p w14:paraId="510E02E9" w14:textId="77777777" w:rsidR="00F65BCA" w:rsidRDefault="00216117">
      <w:pPr>
        <w:pStyle w:val="Odstavecseseznamem"/>
        <w:numPr>
          <w:ilvl w:val="0"/>
          <w:numId w:val="119"/>
        </w:numPr>
        <w:tabs>
          <w:tab w:val="left" w:pos="881"/>
        </w:tabs>
        <w:spacing w:line="278" w:lineRule="auto"/>
        <w:ind w:right="1"/>
        <w:rPr>
          <w:sz w:val="15"/>
        </w:rPr>
      </w:pPr>
      <w:r>
        <w:rPr>
          <w:color w:val="231F20"/>
          <w:sz w:val="15"/>
        </w:rPr>
        <w:t>uložené</w:t>
      </w:r>
      <w:r>
        <w:rPr>
          <w:color w:val="231F20"/>
          <w:spacing w:val="-24"/>
          <w:sz w:val="15"/>
        </w:rPr>
        <w:t xml:space="preserve"> </w:t>
      </w:r>
      <w:r>
        <w:rPr>
          <w:color w:val="231F20"/>
          <w:sz w:val="15"/>
        </w:rPr>
        <w:t>u</w:t>
      </w:r>
      <w:r>
        <w:rPr>
          <w:color w:val="231F20"/>
          <w:spacing w:val="-23"/>
          <w:sz w:val="15"/>
        </w:rPr>
        <w:t xml:space="preserve"> </w:t>
      </w:r>
      <w:r>
        <w:rPr>
          <w:color w:val="231F20"/>
          <w:sz w:val="15"/>
        </w:rPr>
        <w:t>provozovatele</w:t>
      </w:r>
      <w:r>
        <w:rPr>
          <w:color w:val="231F20"/>
          <w:spacing w:val="-24"/>
          <w:sz w:val="15"/>
        </w:rPr>
        <w:t xml:space="preserve"> </w:t>
      </w:r>
      <w:r>
        <w:rPr>
          <w:color w:val="231F20"/>
          <w:sz w:val="15"/>
        </w:rPr>
        <w:t>poštovních</w:t>
      </w:r>
      <w:r>
        <w:rPr>
          <w:color w:val="231F20"/>
          <w:spacing w:val="-23"/>
          <w:sz w:val="15"/>
        </w:rPr>
        <w:t xml:space="preserve"> </w:t>
      </w:r>
      <w:r>
        <w:rPr>
          <w:color w:val="231F20"/>
          <w:sz w:val="15"/>
        </w:rPr>
        <w:t>služeb;</w:t>
      </w:r>
      <w:r>
        <w:rPr>
          <w:color w:val="231F20"/>
          <w:spacing w:val="-24"/>
          <w:sz w:val="15"/>
        </w:rPr>
        <w:t xml:space="preserve"> </w:t>
      </w:r>
      <w:r>
        <w:rPr>
          <w:color w:val="231F20"/>
          <w:sz w:val="15"/>
        </w:rPr>
        <w:t>okamžikem</w:t>
      </w:r>
      <w:r>
        <w:rPr>
          <w:color w:val="231F20"/>
          <w:spacing w:val="-23"/>
          <w:sz w:val="15"/>
        </w:rPr>
        <w:t xml:space="preserve"> </w:t>
      </w:r>
      <w:r>
        <w:rPr>
          <w:color w:val="231F20"/>
          <w:sz w:val="15"/>
        </w:rPr>
        <w:t>doručení</w:t>
      </w:r>
      <w:r>
        <w:rPr>
          <w:color w:val="231F20"/>
          <w:spacing w:val="-23"/>
          <w:sz w:val="15"/>
        </w:rPr>
        <w:t xml:space="preserve"> </w:t>
      </w:r>
      <w:r>
        <w:rPr>
          <w:color w:val="231F20"/>
          <w:sz w:val="15"/>
        </w:rPr>
        <w:t>je</w:t>
      </w:r>
      <w:r>
        <w:rPr>
          <w:color w:val="231F20"/>
          <w:spacing w:val="-24"/>
          <w:sz w:val="15"/>
        </w:rPr>
        <w:t xml:space="preserve"> </w:t>
      </w:r>
      <w:r>
        <w:rPr>
          <w:color w:val="231F20"/>
          <w:sz w:val="15"/>
        </w:rPr>
        <w:t>pak</w:t>
      </w:r>
      <w:r>
        <w:rPr>
          <w:color w:val="231F20"/>
          <w:spacing w:val="-23"/>
          <w:sz w:val="15"/>
        </w:rPr>
        <w:t xml:space="preserve"> </w:t>
      </w:r>
      <w:r>
        <w:rPr>
          <w:color w:val="231F20"/>
          <w:spacing w:val="-5"/>
          <w:sz w:val="15"/>
        </w:rPr>
        <w:t xml:space="preserve">po- </w:t>
      </w:r>
      <w:r>
        <w:rPr>
          <w:color w:val="231F20"/>
          <w:sz w:val="15"/>
        </w:rPr>
        <w:t>slední den úložní</w:t>
      </w:r>
      <w:r>
        <w:rPr>
          <w:color w:val="231F20"/>
          <w:spacing w:val="-3"/>
          <w:sz w:val="15"/>
        </w:rPr>
        <w:t xml:space="preserve"> lhůty.</w:t>
      </w:r>
    </w:p>
    <w:p w14:paraId="21929830" w14:textId="77777777" w:rsidR="00F65BCA" w:rsidRDefault="00216117">
      <w:pPr>
        <w:pStyle w:val="Zkladntext"/>
        <w:spacing w:line="278" w:lineRule="auto"/>
        <w:ind w:left="710" w:right="1"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6</w:t>
      </w:r>
      <w:r>
        <w:rPr>
          <w:color w:val="231F20"/>
          <w:spacing w:val="-1"/>
          <w:position w:val="1"/>
          <w:sz w:val="14"/>
        </w:rPr>
        <w:t xml:space="preserve"> </w:t>
      </w:r>
      <w:r>
        <w:rPr>
          <w:color w:val="231F20"/>
        </w:rPr>
        <w:t xml:space="preserve">Není-li </w:t>
      </w:r>
      <w:r>
        <w:rPr>
          <w:color w:val="231F20"/>
          <w:spacing w:val="2"/>
        </w:rPr>
        <w:t xml:space="preserve">prokázán </w:t>
      </w:r>
      <w:r>
        <w:rPr>
          <w:color w:val="231F20"/>
        </w:rPr>
        <w:t>jiný okamžik doručení, má se za to, že písemnost odeslaná s</w:t>
      </w:r>
      <w:r>
        <w:rPr>
          <w:color w:val="231F20"/>
          <w:spacing w:val="-16"/>
        </w:rPr>
        <w:t xml:space="preserve"> </w:t>
      </w:r>
      <w:r>
        <w:rPr>
          <w:color w:val="231F20"/>
          <w:spacing w:val="2"/>
        </w:rPr>
        <w:t>využitím</w:t>
      </w:r>
      <w:r>
        <w:rPr>
          <w:color w:val="231F20"/>
          <w:spacing w:val="-15"/>
        </w:rPr>
        <w:t xml:space="preserve"> </w:t>
      </w:r>
      <w:r>
        <w:rPr>
          <w:color w:val="231F20"/>
        </w:rPr>
        <w:t>provozovatele</w:t>
      </w:r>
      <w:r>
        <w:rPr>
          <w:color w:val="231F20"/>
          <w:spacing w:val="-15"/>
        </w:rPr>
        <w:t xml:space="preserve"> </w:t>
      </w:r>
      <w:r>
        <w:rPr>
          <w:color w:val="231F20"/>
        </w:rPr>
        <w:t>poštovních</w:t>
      </w:r>
      <w:r>
        <w:rPr>
          <w:color w:val="231F20"/>
          <w:spacing w:val="-16"/>
        </w:rPr>
        <w:t xml:space="preserve"> </w:t>
      </w:r>
      <w:r>
        <w:rPr>
          <w:color w:val="231F20"/>
        </w:rPr>
        <w:t>služeb</w:t>
      </w:r>
      <w:r>
        <w:rPr>
          <w:color w:val="231F20"/>
          <w:spacing w:val="-15"/>
        </w:rPr>
        <w:t xml:space="preserve"> </w:t>
      </w:r>
      <w:r>
        <w:rPr>
          <w:color w:val="231F20"/>
        </w:rPr>
        <w:t>došla</w:t>
      </w:r>
      <w:r>
        <w:rPr>
          <w:color w:val="231F20"/>
          <w:spacing w:val="-15"/>
        </w:rPr>
        <w:t xml:space="preserve"> </w:t>
      </w:r>
      <w:r>
        <w:rPr>
          <w:color w:val="231F20"/>
        </w:rPr>
        <w:t>adresátovi</w:t>
      </w:r>
      <w:r>
        <w:rPr>
          <w:color w:val="231F20"/>
          <w:spacing w:val="-16"/>
        </w:rPr>
        <w:t xml:space="preserve"> </w:t>
      </w:r>
      <w:r>
        <w:rPr>
          <w:color w:val="231F20"/>
        </w:rPr>
        <w:t>3.</w:t>
      </w:r>
      <w:r>
        <w:rPr>
          <w:color w:val="231F20"/>
          <w:spacing w:val="-15"/>
        </w:rPr>
        <w:t xml:space="preserve"> </w:t>
      </w:r>
      <w:r>
        <w:rPr>
          <w:color w:val="231F20"/>
        </w:rPr>
        <w:t>pracovní</w:t>
      </w:r>
      <w:r>
        <w:rPr>
          <w:color w:val="231F20"/>
          <w:spacing w:val="-15"/>
        </w:rPr>
        <w:t xml:space="preserve"> </w:t>
      </w:r>
      <w:r>
        <w:rPr>
          <w:color w:val="231F20"/>
        </w:rPr>
        <w:t>den po</w:t>
      </w:r>
      <w:r>
        <w:rPr>
          <w:color w:val="231F20"/>
          <w:spacing w:val="-5"/>
        </w:rPr>
        <w:t xml:space="preserve"> </w:t>
      </w:r>
      <w:r>
        <w:rPr>
          <w:color w:val="231F20"/>
        </w:rPr>
        <w:t>odeslání,</w:t>
      </w:r>
      <w:r>
        <w:rPr>
          <w:color w:val="231F20"/>
          <w:spacing w:val="-6"/>
        </w:rPr>
        <w:t xml:space="preserve"> </w:t>
      </w:r>
      <w:r>
        <w:rPr>
          <w:color w:val="231F20"/>
        </w:rPr>
        <w:t>byla-li</w:t>
      </w:r>
      <w:r>
        <w:rPr>
          <w:color w:val="231F20"/>
          <w:spacing w:val="-5"/>
        </w:rPr>
        <w:t xml:space="preserve"> </w:t>
      </w:r>
      <w:r>
        <w:rPr>
          <w:color w:val="231F20"/>
        </w:rPr>
        <w:t>však</w:t>
      </w:r>
      <w:r>
        <w:rPr>
          <w:color w:val="231F20"/>
          <w:spacing w:val="-5"/>
        </w:rPr>
        <w:t xml:space="preserve"> </w:t>
      </w:r>
      <w:r>
        <w:rPr>
          <w:color w:val="231F20"/>
        </w:rPr>
        <w:t>odeslána</w:t>
      </w:r>
      <w:r>
        <w:rPr>
          <w:color w:val="231F20"/>
          <w:spacing w:val="-5"/>
        </w:rPr>
        <w:t xml:space="preserve"> </w:t>
      </w:r>
      <w:r>
        <w:rPr>
          <w:color w:val="231F20"/>
        </w:rPr>
        <w:t>na</w:t>
      </w:r>
      <w:r>
        <w:rPr>
          <w:color w:val="231F20"/>
          <w:spacing w:val="-5"/>
        </w:rPr>
        <w:t xml:space="preserve"> </w:t>
      </w:r>
      <w:r>
        <w:rPr>
          <w:color w:val="231F20"/>
        </w:rPr>
        <w:t>adresu</w:t>
      </w:r>
      <w:r>
        <w:rPr>
          <w:color w:val="231F20"/>
          <w:spacing w:val="-5"/>
        </w:rPr>
        <w:t xml:space="preserve"> </w:t>
      </w:r>
      <w:r>
        <w:rPr>
          <w:color w:val="231F20"/>
        </w:rPr>
        <w:t>v</w:t>
      </w:r>
      <w:r>
        <w:rPr>
          <w:color w:val="231F20"/>
          <w:spacing w:val="-5"/>
        </w:rPr>
        <w:t xml:space="preserve"> </w:t>
      </w:r>
      <w:r>
        <w:rPr>
          <w:color w:val="231F20"/>
        </w:rPr>
        <w:t>jiném</w:t>
      </w:r>
      <w:r>
        <w:rPr>
          <w:color w:val="231F20"/>
          <w:spacing w:val="-5"/>
        </w:rPr>
        <w:t xml:space="preserve"> </w:t>
      </w:r>
      <w:r>
        <w:rPr>
          <w:color w:val="231F20"/>
        </w:rPr>
        <w:t>státu,</w:t>
      </w:r>
      <w:r>
        <w:rPr>
          <w:color w:val="231F20"/>
          <w:spacing w:val="-5"/>
        </w:rPr>
        <w:t xml:space="preserve"> </w:t>
      </w:r>
      <w:r>
        <w:rPr>
          <w:color w:val="231F20"/>
        </w:rPr>
        <w:t>pak</w:t>
      </w:r>
      <w:r>
        <w:rPr>
          <w:color w:val="231F20"/>
          <w:spacing w:val="-5"/>
        </w:rPr>
        <w:t xml:space="preserve"> </w:t>
      </w:r>
      <w:r>
        <w:rPr>
          <w:color w:val="231F20"/>
        </w:rPr>
        <w:t>15.</w:t>
      </w:r>
      <w:r>
        <w:rPr>
          <w:color w:val="231F20"/>
          <w:spacing w:val="-5"/>
        </w:rPr>
        <w:t xml:space="preserve"> </w:t>
      </w:r>
      <w:r>
        <w:rPr>
          <w:color w:val="231F20"/>
        </w:rPr>
        <w:t>pracovní den</w:t>
      </w:r>
      <w:r>
        <w:rPr>
          <w:color w:val="231F20"/>
          <w:spacing w:val="-22"/>
        </w:rPr>
        <w:t xml:space="preserve"> </w:t>
      </w:r>
      <w:r>
        <w:rPr>
          <w:color w:val="231F20"/>
        </w:rPr>
        <w:t>po</w:t>
      </w:r>
      <w:r>
        <w:rPr>
          <w:color w:val="231F20"/>
          <w:spacing w:val="-22"/>
        </w:rPr>
        <w:t xml:space="preserve"> </w:t>
      </w:r>
      <w:r>
        <w:rPr>
          <w:color w:val="231F20"/>
        </w:rPr>
        <w:t>odeslání,</w:t>
      </w:r>
      <w:r>
        <w:rPr>
          <w:color w:val="231F20"/>
          <w:spacing w:val="-21"/>
        </w:rPr>
        <w:t xml:space="preserve"> </w:t>
      </w:r>
      <w:r>
        <w:rPr>
          <w:color w:val="231F20"/>
        </w:rPr>
        <w:t>a</w:t>
      </w:r>
      <w:r>
        <w:rPr>
          <w:color w:val="231F20"/>
          <w:spacing w:val="-22"/>
        </w:rPr>
        <w:t xml:space="preserve"> </w:t>
      </w:r>
      <w:r>
        <w:rPr>
          <w:color w:val="231F20"/>
        </w:rPr>
        <w:t>to</w:t>
      </w:r>
      <w:r>
        <w:rPr>
          <w:color w:val="231F20"/>
          <w:spacing w:val="-22"/>
        </w:rPr>
        <w:t xml:space="preserve"> </w:t>
      </w:r>
      <w:r>
        <w:rPr>
          <w:color w:val="231F20"/>
        </w:rPr>
        <w:t>i</w:t>
      </w:r>
      <w:r>
        <w:rPr>
          <w:color w:val="231F20"/>
          <w:spacing w:val="-21"/>
        </w:rPr>
        <w:t xml:space="preserve"> </w:t>
      </w:r>
      <w:r>
        <w:rPr>
          <w:color w:val="231F20"/>
        </w:rPr>
        <w:t>když</w:t>
      </w:r>
      <w:r>
        <w:rPr>
          <w:color w:val="231F20"/>
          <w:spacing w:val="-22"/>
        </w:rPr>
        <w:t xml:space="preserve"> </w:t>
      </w:r>
      <w:r>
        <w:rPr>
          <w:color w:val="231F20"/>
        </w:rPr>
        <w:t>se</w:t>
      </w:r>
      <w:r>
        <w:rPr>
          <w:color w:val="231F20"/>
          <w:spacing w:val="-22"/>
        </w:rPr>
        <w:t xml:space="preserve"> </w:t>
      </w:r>
      <w:r>
        <w:rPr>
          <w:color w:val="231F20"/>
        </w:rPr>
        <w:t>adresát,</w:t>
      </w:r>
      <w:r>
        <w:rPr>
          <w:color w:val="231F20"/>
          <w:spacing w:val="-21"/>
        </w:rPr>
        <w:t xml:space="preserve"> </w:t>
      </w:r>
      <w:r>
        <w:rPr>
          <w:color w:val="231F20"/>
        </w:rPr>
        <w:t>který</w:t>
      </w:r>
      <w:r>
        <w:rPr>
          <w:color w:val="231F20"/>
          <w:spacing w:val="-22"/>
        </w:rPr>
        <w:t xml:space="preserve"> </w:t>
      </w:r>
      <w:r>
        <w:rPr>
          <w:color w:val="231F20"/>
        </w:rPr>
        <w:t>vědomě</w:t>
      </w:r>
      <w:r>
        <w:rPr>
          <w:color w:val="231F20"/>
          <w:spacing w:val="-22"/>
        </w:rPr>
        <w:t xml:space="preserve"> </w:t>
      </w:r>
      <w:r>
        <w:rPr>
          <w:color w:val="231F20"/>
        </w:rPr>
        <w:t>doručení</w:t>
      </w:r>
      <w:r>
        <w:rPr>
          <w:color w:val="231F20"/>
          <w:spacing w:val="-21"/>
        </w:rPr>
        <w:t xml:space="preserve"> </w:t>
      </w:r>
      <w:r>
        <w:rPr>
          <w:color w:val="231F20"/>
        </w:rPr>
        <w:t>zmařil,</w:t>
      </w:r>
      <w:r>
        <w:rPr>
          <w:color w:val="231F20"/>
          <w:spacing w:val="-22"/>
        </w:rPr>
        <w:t xml:space="preserve"> </w:t>
      </w:r>
      <w:r>
        <w:rPr>
          <w:color w:val="231F20"/>
        </w:rPr>
        <w:t>o</w:t>
      </w:r>
      <w:r>
        <w:rPr>
          <w:color w:val="231F20"/>
          <w:spacing w:val="-22"/>
        </w:rPr>
        <w:t xml:space="preserve"> </w:t>
      </w:r>
      <w:r>
        <w:rPr>
          <w:color w:val="231F20"/>
        </w:rPr>
        <w:t>zásilce nedozvěděl.</w:t>
      </w:r>
    </w:p>
    <w:p w14:paraId="0FE5205D" w14:textId="77777777" w:rsidR="00F65BCA" w:rsidRDefault="00F65BCA">
      <w:pPr>
        <w:pStyle w:val="Zkladntext"/>
        <w:spacing w:before="10"/>
        <w:rPr>
          <w:sz w:val="20"/>
        </w:rPr>
      </w:pPr>
    </w:p>
    <w:p w14:paraId="641748BB" w14:textId="77777777" w:rsidR="00F65BCA" w:rsidRDefault="00216117">
      <w:pPr>
        <w:ind w:left="428"/>
        <w:rPr>
          <w:sz w:val="15"/>
        </w:rPr>
      </w:pPr>
      <w:r>
        <w:rPr>
          <w:color w:val="FFFFFF"/>
          <w:position w:val="3"/>
          <w:sz w:val="16"/>
          <w:shd w:val="clear" w:color="auto" w:fill="808285"/>
        </w:rPr>
        <w:t xml:space="preserve">  Článek 10</w:t>
      </w:r>
      <w:r>
        <w:rPr>
          <w:color w:val="FFFFFF"/>
          <w:position w:val="3"/>
          <w:sz w:val="16"/>
        </w:rPr>
        <w:t xml:space="preserve"> </w:t>
      </w:r>
      <w:r>
        <w:rPr>
          <w:color w:val="231F20"/>
          <w:sz w:val="15"/>
        </w:rPr>
        <w:t>Forma právních jednání a oznámení</w:t>
      </w:r>
    </w:p>
    <w:p w14:paraId="6C4E0992" w14:textId="77777777" w:rsidR="00F65BCA" w:rsidRDefault="00216117">
      <w:pPr>
        <w:pStyle w:val="Zkladntext"/>
        <w:spacing w:before="147" w:line="278" w:lineRule="auto"/>
        <w:ind w:left="710" w:right="-12" w:hanging="283"/>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18"/>
          <w:position w:val="1"/>
          <w:sz w:val="14"/>
        </w:rPr>
        <w:t xml:space="preserve"> </w:t>
      </w:r>
      <w:r>
        <w:rPr>
          <w:color w:val="231F20"/>
        </w:rPr>
        <w:t>Veškerá</w:t>
      </w:r>
      <w:r>
        <w:rPr>
          <w:color w:val="231F20"/>
          <w:spacing w:val="-27"/>
        </w:rPr>
        <w:t xml:space="preserve"> </w:t>
      </w:r>
      <w:r>
        <w:rPr>
          <w:color w:val="231F20"/>
        </w:rPr>
        <w:t>právní</w:t>
      </w:r>
      <w:r>
        <w:rPr>
          <w:color w:val="231F20"/>
          <w:spacing w:val="-28"/>
        </w:rPr>
        <w:t xml:space="preserve"> </w:t>
      </w:r>
      <w:r>
        <w:rPr>
          <w:color w:val="231F20"/>
        </w:rPr>
        <w:t>jednání,</w:t>
      </w:r>
      <w:r>
        <w:rPr>
          <w:color w:val="231F20"/>
          <w:spacing w:val="-28"/>
        </w:rPr>
        <w:t xml:space="preserve"> </w:t>
      </w:r>
      <w:r>
        <w:rPr>
          <w:color w:val="231F20"/>
        </w:rPr>
        <w:t>jakož</w:t>
      </w:r>
      <w:r>
        <w:rPr>
          <w:color w:val="231F20"/>
          <w:spacing w:val="-28"/>
        </w:rPr>
        <w:t xml:space="preserve"> </w:t>
      </w:r>
      <w:r>
        <w:rPr>
          <w:color w:val="231F20"/>
        </w:rPr>
        <w:t>i</w:t>
      </w:r>
      <w:r>
        <w:rPr>
          <w:color w:val="231F20"/>
          <w:spacing w:val="-27"/>
        </w:rPr>
        <w:t xml:space="preserve"> </w:t>
      </w:r>
      <w:r>
        <w:rPr>
          <w:color w:val="231F20"/>
        </w:rPr>
        <w:t>oznámení</w:t>
      </w:r>
      <w:r>
        <w:rPr>
          <w:color w:val="231F20"/>
          <w:spacing w:val="-28"/>
        </w:rPr>
        <w:t xml:space="preserve"> </w:t>
      </w:r>
      <w:r>
        <w:rPr>
          <w:color w:val="231F20"/>
        </w:rPr>
        <w:t>týkající</w:t>
      </w:r>
      <w:r>
        <w:rPr>
          <w:color w:val="231F20"/>
          <w:spacing w:val="-28"/>
        </w:rPr>
        <w:t xml:space="preserve"> </w:t>
      </w:r>
      <w:r>
        <w:rPr>
          <w:color w:val="231F20"/>
        </w:rPr>
        <w:t>se</w:t>
      </w:r>
      <w:r>
        <w:rPr>
          <w:color w:val="231F20"/>
          <w:spacing w:val="-28"/>
        </w:rPr>
        <w:t xml:space="preserve"> </w:t>
      </w:r>
      <w:r>
        <w:rPr>
          <w:color w:val="231F20"/>
        </w:rPr>
        <w:t>pojištění</w:t>
      </w:r>
      <w:r>
        <w:rPr>
          <w:color w:val="231F20"/>
          <w:spacing w:val="-27"/>
        </w:rPr>
        <w:t xml:space="preserve"> </w:t>
      </w:r>
      <w:r>
        <w:rPr>
          <w:color w:val="231F20"/>
        </w:rPr>
        <w:t>vyžadují</w:t>
      </w:r>
      <w:r>
        <w:rPr>
          <w:color w:val="231F20"/>
          <w:spacing w:val="-28"/>
        </w:rPr>
        <w:t xml:space="preserve"> </w:t>
      </w:r>
      <w:r>
        <w:rPr>
          <w:color w:val="231F20"/>
        </w:rPr>
        <w:t>písemnou formu, není-li dále uvedeno</w:t>
      </w:r>
      <w:r>
        <w:rPr>
          <w:color w:val="231F20"/>
          <w:spacing w:val="-6"/>
        </w:rPr>
        <w:t xml:space="preserve"> </w:t>
      </w:r>
      <w:r>
        <w:rPr>
          <w:color w:val="231F20"/>
        </w:rPr>
        <w:t>jinak.</w:t>
      </w:r>
    </w:p>
    <w:p w14:paraId="08D20580" w14:textId="77777777" w:rsidR="00F65BCA" w:rsidRDefault="00216117">
      <w:pPr>
        <w:pStyle w:val="Zkladntext"/>
        <w:spacing w:line="172" w:lineRule="exact"/>
        <w:ind w:left="428"/>
      </w:pPr>
      <w:r>
        <w:rPr>
          <w:color w:val="231F20"/>
          <w:position w:val="1"/>
          <w:sz w:val="14"/>
          <w:shd w:val="clear" w:color="auto" w:fill="D1D3D4"/>
        </w:rPr>
        <w:t xml:space="preserve">  2</w:t>
      </w:r>
      <w:r>
        <w:rPr>
          <w:color w:val="231F20"/>
          <w:position w:val="1"/>
          <w:sz w:val="14"/>
        </w:rPr>
        <w:t xml:space="preserve"> </w:t>
      </w:r>
      <w:r>
        <w:rPr>
          <w:color w:val="231F20"/>
        </w:rPr>
        <w:t>Písemnou formu nevyžaduje:</w:t>
      </w:r>
    </w:p>
    <w:p w14:paraId="7C29C2DB" w14:textId="77777777" w:rsidR="00F65BCA" w:rsidRDefault="00216117">
      <w:pPr>
        <w:pStyle w:val="Odstavecseseznamem"/>
        <w:numPr>
          <w:ilvl w:val="0"/>
          <w:numId w:val="118"/>
        </w:numPr>
        <w:tabs>
          <w:tab w:val="left" w:pos="881"/>
        </w:tabs>
        <w:spacing w:before="27"/>
        <w:rPr>
          <w:sz w:val="15"/>
        </w:rPr>
      </w:pPr>
      <w:r>
        <w:rPr>
          <w:color w:val="231F20"/>
          <w:sz w:val="15"/>
        </w:rPr>
        <w:t>oznámení pojistné</w:t>
      </w:r>
      <w:r>
        <w:rPr>
          <w:color w:val="231F20"/>
          <w:spacing w:val="-2"/>
          <w:sz w:val="15"/>
        </w:rPr>
        <w:t xml:space="preserve"> </w:t>
      </w:r>
      <w:r>
        <w:rPr>
          <w:color w:val="231F20"/>
          <w:sz w:val="15"/>
        </w:rPr>
        <w:t>události;</w:t>
      </w:r>
    </w:p>
    <w:p w14:paraId="69255713" w14:textId="77777777" w:rsidR="00F65BCA" w:rsidRDefault="00216117">
      <w:pPr>
        <w:pStyle w:val="Odstavecseseznamem"/>
        <w:numPr>
          <w:ilvl w:val="0"/>
          <w:numId w:val="118"/>
        </w:numPr>
        <w:tabs>
          <w:tab w:val="left" w:pos="881"/>
        </w:tabs>
        <w:spacing w:before="28" w:line="278" w:lineRule="auto"/>
        <w:ind w:right="1"/>
        <w:rPr>
          <w:sz w:val="15"/>
        </w:rPr>
      </w:pPr>
      <w:r>
        <w:rPr>
          <w:color w:val="231F20"/>
          <w:sz w:val="15"/>
        </w:rPr>
        <w:t>oznámení</w:t>
      </w:r>
      <w:r>
        <w:rPr>
          <w:color w:val="231F20"/>
          <w:spacing w:val="-16"/>
          <w:sz w:val="15"/>
        </w:rPr>
        <w:t xml:space="preserve"> </w:t>
      </w:r>
      <w:r>
        <w:rPr>
          <w:color w:val="231F20"/>
          <w:sz w:val="15"/>
        </w:rPr>
        <w:t>změny</w:t>
      </w:r>
      <w:r>
        <w:rPr>
          <w:color w:val="231F20"/>
          <w:spacing w:val="-15"/>
          <w:sz w:val="15"/>
        </w:rPr>
        <w:t xml:space="preserve"> </w:t>
      </w:r>
      <w:r>
        <w:rPr>
          <w:color w:val="231F20"/>
          <w:sz w:val="15"/>
        </w:rPr>
        <w:t>jména</w:t>
      </w:r>
      <w:r>
        <w:rPr>
          <w:color w:val="231F20"/>
          <w:spacing w:val="-16"/>
          <w:sz w:val="15"/>
        </w:rPr>
        <w:t xml:space="preserve"> </w:t>
      </w:r>
      <w:r>
        <w:rPr>
          <w:color w:val="231F20"/>
          <w:sz w:val="15"/>
        </w:rPr>
        <w:t>nebo</w:t>
      </w:r>
      <w:r>
        <w:rPr>
          <w:color w:val="231F20"/>
          <w:spacing w:val="-15"/>
          <w:sz w:val="15"/>
        </w:rPr>
        <w:t xml:space="preserve"> </w:t>
      </w:r>
      <w:r>
        <w:rPr>
          <w:color w:val="231F20"/>
          <w:sz w:val="15"/>
        </w:rPr>
        <w:t>příjmení</w:t>
      </w:r>
      <w:r>
        <w:rPr>
          <w:color w:val="231F20"/>
          <w:spacing w:val="-16"/>
          <w:sz w:val="15"/>
        </w:rPr>
        <w:t xml:space="preserve"> </w:t>
      </w:r>
      <w:r>
        <w:rPr>
          <w:color w:val="231F20"/>
          <w:sz w:val="15"/>
        </w:rPr>
        <w:t>pojistníka/pojištěného,</w:t>
      </w:r>
      <w:r>
        <w:rPr>
          <w:color w:val="231F20"/>
          <w:spacing w:val="-15"/>
          <w:sz w:val="15"/>
        </w:rPr>
        <w:t xml:space="preserve"> </w:t>
      </w:r>
      <w:r>
        <w:rPr>
          <w:color w:val="231F20"/>
          <w:sz w:val="15"/>
        </w:rPr>
        <w:t>změny</w:t>
      </w:r>
      <w:r>
        <w:rPr>
          <w:color w:val="231F20"/>
          <w:spacing w:val="-16"/>
          <w:sz w:val="15"/>
        </w:rPr>
        <w:t xml:space="preserve"> </w:t>
      </w:r>
      <w:r>
        <w:rPr>
          <w:color w:val="231F20"/>
          <w:spacing w:val="-5"/>
          <w:sz w:val="15"/>
        </w:rPr>
        <w:t xml:space="preserve">kore- </w:t>
      </w:r>
      <w:r>
        <w:rPr>
          <w:color w:val="231F20"/>
          <w:sz w:val="15"/>
        </w:rPr>
        <w:t xml:space="preserve">spondenční </w:t>
      </w:r>
      <w:r>
        <w:rPr>
          <w:color w:val="231F20"/>
          <w:spacing w:val="-3"/>
          <w:sz w:val="15"/>
        </w:rPr>
        <w:t xml:space="preserve">adresy, </w:t>
      </w:r>
      <w:r>
        <w:rPr>
          <w:color w:val="231F20"/>
          <w:sz w:val="15"/>
        </w:rPr>
        <w:t xml:space="preserve">elektronické </w:t>
      </w:r>
      <w:r>
        <w:rPr>
          <w:color w:val="231F20"/>
          <w:spacing w:val="-3"/>
          <w:sz w:val="15"/>
        </w:rPr>
        <w:t xml:space="preserve">adresy, </w:t>
      </w:r>
      <w:r>
        <w:rPr>
          <w:color w:val="231F20"/>
          <w:sz w:val="15"/>
        </w:rPr>
        <w:t>telefonního</w:t>
      </w:r>
      <w:r>
        <w:rPr>
          <w:color w:val="231F20"/>
          <w:spacing w:val="-17"/>
          <w:sz w:val="15"/>
        </w:rPr>
        <w:t xml:space="preserve"> </w:t>
      </w:r>
      <w:r>
        <w:rPr>
          <w:color w:val="231F20"/>
          <w:sz w:val="15"/>
        </w:rPr>
        <w:t>čísla;</w:t>
      </w:r>
    </w:p>
    <w:p w14:paraId="588A5622" w14:textId="77777777" w:rsidR="00F65BCA" w:rsidRDefault="00216117">
      <w:pPr>
        <w:pStyle w:val="Odstavecseseznamem"/>
        <w:numPr>
          <w:ilvl w:val="0"/>
          <w:numId w:val="118"/>
        </w:numPr>
        <w:tabs>
          <w:tab w:val="left" w:pos="881"/>
        </w:tabs>
        <w:rPr>
          <w:sz w:val="15"/>
        </w:rPr>
      </w:pPr>
      <w:r>
        <w:rPr>
          <w:color w:val="231F20"/>
          <w:w w:val="95"/>
          <w:sz w:val="15"/>
        </w:rPr>
        <w:t>odvolání výpovědi pojištění podané pojistníkem po projednání s</w:t>
      </w:r>
      <w:r>
        <w:rPr>
          <w:color w:val="231F20"/>
          <w:spacing w:val="-14"/>
          <w:w w:val="95"/>
          <w:sz w:val="15"/>
        </w:rPr>
        <w:t xml:space="preserve"> </w:t>
      </w:r>
      <w:r>
        <w:rPr>
          <w:color w:val="231F20"/>
          <w:spacing w:val="-2"/>
          <w:w w:val="95"/>
          <w:sz w:val="15"/>
        </w:rPr>
        <w:t>Pojišťovnou.</w:t>
      </w:r>
    </w:p>
    <w:p w14:paraId="4E173536" w14:textId="77777777" w:rsidR="00F65BCA" w:rsidRDefault="00216117">
      <w:pPr>
        <w:pStyle w:val="Zkladntext"/>
        <w:spacing w:before="2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 xml:space="preserve">3 </w:t>
      </w:r>
      <w:r>
        <w:rPr>
          <w:color w:val="231F20"/>
          <w:position w:val="1"/>
          <w:sz w:val="14"/>
        </w:rPr>
        <w:t xml:space="preserve">  </w:t>
      </w:r>
      <w:r>
        <w:rPr>
          <w:color w:val="231F20"/>
        </w:rPr>
        <w:t>Pojistník je dále oprávněn činit nad rámec právních jednání uvedených       v odst. 2 tohoto článku nepísemnou formou jakékoliv další právní jednání vůči</w:t>
      </w:r>
      <w:r>
        <w:rPr>
          <w:color w:val="231F20"/>
          <w:spacing w:val="-10"/>
        </w:rPr>
        <w:t xml:space="preserve"> </w:t>
      </w:r>
      <w:r>
        <w:rPr>
          <w:color w:val="231F20"/>
        </w:rPr>
        <w:t>Pojišťovně,</w:t>
      </w:r>
      <w:r>
        <w:rPr>
          <w:color w:val="231F20"/>
          <w:spacing w:val="-9"/>
        </w:rPr>
        <w:t xml:space="preserve"> </w:t>
      </w:r>
      <w:r>
        <w:rPr>
          <w:color w:val="231F20"/>
        </w:rPr>
        <w:t>které</w:t>
      </w:r>
      <w:r>
        <w:rPr>
          <w:color w:val="231F20"/>
          <w:spacing w:val="-9"/>
        </w:rPr>
        <w:t xml:space="preserve"> </w:t>
      </w:r>
      <w:r>
        <w:rPr>
          <w:color w:val="231F20"/>
        </w:rPr>
        <w:t>je</w:t>
      </w:r>
      <w:r>
        <w:rPr>
          <w:color w:val="231F20"/>
          <w:spacing w:val="-9"/>
        </w:rPr>
        <w:t xml:space="preserve"> </w:t>
      </w:r>
      <w:r>
        <w:rPr>
          <w:color w:val="231F20"/>
        </w:rPr>
        <w:t>návrhem</w:t>
      </w:r>
      <w:r>
        <w:rPr>
          <w:color w:val="231F20"/>
          <w:spacing w:val="-10"/>
        </w:rPr>
        <w:t xml:space="preserve"> </w:t>
      </w:r>
      <w:r>
        <w:rPr>
          <w:color w:val="231F20"/>
        </w:rPr>
        <w:t>změny</w:t>
      </w:r>
      <w:r>
        <w:rPr>
          <w:color w:val="231F20"/>
          <w:spacing w:val="-9"/>
        </w:rPr>
        <w:t xml:space="preserve"> </w:t>
      </w:r>
      <w:r>
        <w:rPr>
          <w:color w:val="231F20"/>
        </w:rPr>
        <w:t>pojistné</w:t>
      </w:r>
      <w:r>
        <w:rPr>
          <w:color w:val="231F20"/>
          <w:spacing w:val="-9"/>
        </w:rPr>
        <w:t xml:space="preserve"> </w:t>
      </w:r>
      <w:r>
        <w:rPr>
          <w:color w:val="231F20"/>
        </w:rPr>
        <w:t>smlouvy,</w:t>
      </w:r>
      <w:r>
        <w:rPr>
          <w:color w:val="231F20"/>
          <w:spacing w:val="-9"/>
        </w:rPr>
        <w:t xml:space="preserve"> </w:t>
      </w:r>
      <w:r>
        <w:rPr>
          <w:color w:val="231F20"/>
        </w:rPr>
        <w:t>návrhem</w:t>
      </w:r>
      <w:r>
        <w:rPr>
          <w:color w:val="231F20"/>
          <w:spacing w:val="-10"/>
        </w:rPr>
        <w:t xml:space="preserve"> </w:t>
      </w:r>
      <w:r>
        <w:rPr>
          <w:color w:val="231F20"/>
        </w:rPr>
        <w:t>dohody o</w:t>
      </w:r>
      <w:r>
        <w:rPr>
          <w:color w:val="231F20"/>
          <w:spacing w:val="-4"/>
        </w:rPr>
        <w:t xml:space="preserve"> </w:t>
      </w:r>
      <w:r>
        <w:rPr>
          <w:color w:val="231F20"/>
        </w:rPr>
        <w:t>zániku</w:t>
      </w:r>
      <w:r>
        <w:rPr>
          <w:color w:val="231F20"/>
          <w:spacing w:val="-4"/>
        </w:rPr>
        <w:t xml:space="preserve"> </w:t>
      </w:r>
      <w:r>
        <w:rPr>
          <w:color w:val="231F20"/>
        </w:rPr>
        <w:t>pojištění</w:t>
      </w:r>
      <w:r>
        <w:rPr>
          <w:color w:val="231F20"/>
          <w:spacing w:val="-4"/>
        </w:rPr>
        <w:t xml:space="preserve"> </w:t>
      </w:r>
      <w:r>
        <w:rPr>
          <w:color w:val="231F20"/>
        </w:rPr>
        <w:t>nebo</w:t>
      </w:r>
      <w:r>
        <w:rPr>
          <w:color w:val="231F20"/>
          <w:spacing w:val="-4"/>
        </w:rPr>
        <w:t xml:space="preserve"> </w:t>
      </w:r>
      <w:r>
        <w:rPr>
          <w:color w:val="231F20"/>
        </w:rPr>
        <w:t>návrhem</w:t>
      </w:r>
      <w:r>
        <w:rPr>
          <w:color w:val="231F20"/>
          <w:spacing w:val="-4"/>
        </w:rPr>
        <w:t xml:space="preserve"> </w:t>
      </w:r>
      <w:r>
        <w:rPr>
          <w:color w:val="231F20"/>
        </w:rPr>
        <w:t>jiného</w:t>
      </w:r>
      <w:r>
        <w:rPr>
          <w:color w:val="231F20"/>
          <w:spacing w:val="-4"/>
        </w:rPr>
        <w:t xml:space="preserve"> </w:t>
      </w:r>
      <w:r>
        <w:rPr>
          <w:color w:val="231F20"/>
        </w:rPr>
        <w:t>dvoustranného</w:t>
      </w:r>
      <w:r>
        <w:rPr>
          <w:color w:val="231F20"/>
          <w:spacing w:val="-4"/>
        </w:rPr>
        <w:t xml:space="preserve"> </w:t>
      </w:r>
      <w:r>
        <w:rPr>
          <w:color w:val="231F20"/>
        </w:rPr>
        <w:t>právního</w:t>
      </w:r>
      <w:r>
        <w:rPr>
          <w:color w:val="231F20"/>
          <w:spacing w:val="-3"/>
        </w:rPr>
        <w:t xml:space="preserve"> </w:t>
      </w:r>
      <w:r>
        <w:rPr>
          <w:color w:val="231F20"/>
        </w:rPr>
        <w:t>jednání</w:t>
      </w:r>
      <w:r>
        <w:rPr>
          <w:color w:val="231F20"/>
          <w:spacing w:val="-4"/>
        </w:rPr>
        <w:t xml:space="preserve"> </w:t>
      </w:r>
      <w:r>
        <w:rPr>
          <w:color w:val="231F20"/>
        </w:rPr>
        <w:t>tý- kajícího</w:t>
      </w:r>
      <w:r>
        <w:rPr>
          <w:color w:val="231F20"/>
          <w:spacing w:val="-14"/>
        </w:rPr>
        <w:t xml:space="preserve"> </w:t>
      </w:r>
      <w:r>
        <w:rPr>
          <w:color w:val="231F20"/>
        </w:rPr>
        <w:t>se</w:t>
      </w:r>
      <w:r>
        <w:rPr>
          <w:color w:val="231F20"/>
          <w:spacing w:val="-13"/>
        </w:rPr>
        <w:t xml:space="preserve"> </w:t>
      </w:r>
      <w:r>
        <w:rPr>
          <w:color w:val="231F20"/>
        </w:rPr>
        <w:t>pojištění.</w:t>
      </w:r>
      <w:r>
        <w:rPr>
          <w:color w:val="231F20"/>
          <w:spacing w:val="-13"/>
        </w:rPr>
        <w:t xml:space="preserve"> </w:t>
      </w:r>
      <w:r>
        <w:rPr>
          <w:color w:val="231F20"/>
          <w:spacing w:val="-2"/>
        </w:rPr>
        <w:t>Takový</w:t>
      </w:r>
      <w:r>
        <w:rPr>
          <w:color w:val="231F20"/>
          <w:spacing w:val="-13"/>
        </w:rPr>
        <w:t xml:space="preserve"> </w:t>
      </w:r>
      <w:r>
        <w:rPr>
          <w:color w:val="231F20"/>
        </w:rPr>
        <w:t>nepísemný</w:t>
      </w:r>
      <w:r>
        <w:rPr>
          <w:color w:val="231F20"/>
          <w:spacing w:val="-14"/>
        </w:rPr>
        <w:t xml:space="preserve"> </w:t>
      </w:r>
      <w:r>
        <w:rPr>
          <w:color w:val="231F20"/>
        </w:rPr>
        <w:t>návrh</w:t>
      </w:r>
      <w:r>
        <w:rPr>
          <w:color w:val="231F20"/>
          <w:spacing w:val="-13"/>
        </w:rPr>
        <w:t xml:space="preserve"> </w:t>
      </w:r>
      <w:r>
        <w:rPr>
          <w:color w:val="231F20"/>
        </w:rPr>
        <w:t>pojistníka</w:t>
      </w:r>
      <w:r>
        <w:rPr>
          <w:color w:val="231F20"/>
          <w:spacing w:val="-13"/>
        </w:rPr>
        <w:t xml:space="preserve"> </w:t>
      </w:r>
      <w:r>
        <w:rPr>
          <w:color w:val="231F20"/>
        </w:rPr>
        <w:t>je</w:t>
      </w:r>
      <w:r>
        <w:rPr>
          <w:color w:val="231F20"/>
          <w:spacing w:val="-13"/>
        </w:rPr>
        <w:t xml:space="preserve"> </w:t>
      </w:r>
      <w:r>
        <w:rPr>
          <w:color w:val="231F20"/>
        </w:rPr>
        <w:t>přijat</w:t>
      </w:r>
      <w:r>
        <w:rPr>
          <w:color w:val="231F20"/>
          <w:spacing w:val="-14"/>
        </w:rPr>
        <w:t xml:space="preserve"> </w:t>
      </w:r>
      <w:r>
        <w:rPr>
          <w:color w:val="231F20"/>
        </w:rPr>
        <w:t>v</w:t>
      </w:r>
      <w:r>
        <w:rPr>
          <w:color w:val="231F20"/>
          <w:spacing w:val="-13"/>
        </w:rPr>
        <w:t xml:space="preserve"> </w:t>
      </w:r>
      <w:r>
        <w:rPr>
          <w:color w:val="231F20"/>
        </w:rPr>
        <w:t>okamžiku, kdy</w:t>
      </w:r>
      <w:r>
        <w:rPr>
          <w:color w:val="231F20"/>
          <w:spacing w:val="-8"/>
        </w:rPr>
        <w:t xml:space="preserve"> </w:t>
      </w:r>
      <w:r>
        <w:rPr>
          <w:color w:val="231F20"/>
        </w:rPr>
        <w:t>je</w:t>
      </w:r>
      <w:r>
        <w:rPr>
          <w:color w:val="231F20"/>
          <w:spacing w:val="-7"/>
        </w:rPr>
        <w:t xml:space="preserve"> </w:t>
      </w:r>
      <w:r>
        <w:rPr>
          <w:color w:val="231F20"/>
        </w:rPr>
        <w:t>pojistníkovi</w:t>
      </w:r>
      <w:r>
        <w:rPr>
          <w:color w:val="231F20"/>
          <w:spacing w:val="-8"/>
        </w:rPr>
        <w:t xml:space="preserve"> </w:t>
      </w:r>
      <w:r>
        <w:rPr>
          <w:color w:val="231F20"/>
        </w:rPr>
        <w:t>doručeno</w:t>
      </w:r>
      <w:r>
        <w:rPr>
          <w:color w:val="231F20"/>
          <w:spacing w:val="-7"/>
        </w:rPr>
        <w:t xml:space="preserve"> </w:t>
      </w:r>
      <w:r>
        <w:rPr>
          <w:color w:val="231F20"/>
        </w:rPr>
        <w:t>souhlasné</w:t>
      </w:r>
      <w:r>
        <w:rPr>
          <w:color w:val="231F20"/>
          <w:spacing w:val="-8"/>
        </w:rPr>
        <w:t xml:space="preserve"> </w:t>
      </w:r>
      <w:r>
        <w:rPr>
          <w:color w:val="231F20"/>
        </w:rPr>
        <w:t>právní</w:t>
      </w:r>
      <w:r>
        <w:rPr>
          <w:color w:val="231F20"/>
          <w:spacing w:val="-7"/>
        </w:rPr>
        <w:t xml:space="preserve"> </w:t>
      </w:r>
      <w:r>
        <w:rPr>
          <w:color w:val="231F20"/>
        </w:rPr>
        <w:t>jednání</w:t>
      </w:r>
      <w:r>
        <w:rPr>
          <w:color w:val="231F20"/>
          <w:spacing w:val="-8"/>
        </w:rPr>
        <w:t xml:space="preserve"> </w:t>
      </w:r>
      <w:r>
        <w:rPr>
          <w:color w:val="231F20"/>
        </w:rPr>
        <w:t>Pojišťovny</w:t>
      </w:r>
      <w:r>
        <w:rPr>
          <w:color w:val="231F20"/>
          <w:spacing w:val="-7"/>
        </w:rPr>
        <w:t xml:space="preserve"> </w:t>
      </w:r>
      <w:r>
        <w:rPr>
          <w:color w:val="231F20"/>
        </w:rPr>
        <w:t>v</w:t>
      </w:r>
      <w:r>
        <w:rPr>
          <w:color w:val="231F20"/>
          <w:spacing w:val="-7"/>
        </w:rPr>
        <w:t xml:space="preserve"> </w:t>
      </w:r>
      <w:r>
        <w:rPr>
          <w:color w:val="231F20"/>
        </w:rPr>
        <w:t>písemné formě</w:t>
      </w:r>
      <w:r>
        <w:rPr>
          <w:color w:val="231F20"/>
          <w:spacing w:val="-12"/>
        </w:rPr>
        <w:t xml:space="preserve"> </w:t>
      </w:r>
      <w:r>
        <w:rPr>
          <w:color w:val="231F20"/>
        </w:rPr>
        <w:t>nebo</w:t>
      </w:r>
      <w:r>
        <w:rPr>
          <w:color w:val="231F20"/>
          <w:spacing w:val="-11"/>
        </w:rPr>
        <w:t xml:space="preserve"> </w:t>
      </w:r>
      <w:r>
        <w:rPr>
          <w:color w:val="231F20"/>
        </w:rPr>
        <w:t>potvrzení</w:t>
      </w:r>
      <w:r>
        <w:rPr>
          <w:color w:val="231F20"/>
          <w:spacing w:val="-11"/>
        </w:rPr>
        <w:t xml:space="preserve"> </w:t>
      </w:r>
      <w:r>
        <w:rPr>
          <w:color w:val="231F20"/>
        </w:rPr>
        <w:t>Pojišťovny</w:t>
      </w:r>
      <w:r>
        <w:rPr>
          <w:color w:val="231F20"/>
          <w:spacing w:val="-11"/>
        </w:rPr>
        <w:t xml:space="preserve"> </w:t>
      </w:r>
      <w:r>
        <w:rPr>
          <w:color w:val="231F20"/>
        </w:rPr>
        <w:t>o</w:t>
      </w:r>
      <w:r>
        <w:rPr>
          <w:color w:val="231F20"/>
          <w:spacing w:val="-11"/>
        </w:rPr>
        <w:t xml:space="preserve"> </w:t>
      </w:r>
      <w:r>
        <w:rPr>
          <w:color w:val="231F20"/>
        </w:rPr>
        <w:t>přijetí</w:t>
      </w:r>
      <w:r>
        <w:rPr>
          <w:color w:val="231F20"/>
          <w:spacing w:val="-11"/>
        </w:rPr>
        <w:t xml:space="preserve"> </w:t>
      </w:r>
      <w:r>
        <w:rPr>
          <w:color w:val="231F20"/>
        </w:rPr>
        <w:t>návrhu</w:t>
      </w:r>
      <w:r>
        <w:rPr>
          <w:color w:val="231F20"/>
          <w:spacing w:val="-11"/>
        </w:rPr>
        <w:t xml:space="preserve"> </w:t>
      </w:r>
      <w:r>
        <w:rPr>
          <w:color w:val="231F20"/>
        </w:rPr>
        <w:t>pojistníka</w:t>
      </w:r>
      <w:r>
        <w:rPr>
          <w:color w:val="231F20"/>
          <w:spacing w:val="-11"/>
        </w:rPr>
        <w:t xml:space="preserve"> </w:t>
      </w:r>
      <w:r>
        <w:rPr>
          <w:color w:val="231F20"/>
        </w:rPr>
        <w:t>v</w:t>
      </w:r>
      <w:r>
        <w:rPr>
          <w:color w:val="231F20"/>
          <w:spacing w:val="-12"/>
        </w:rPr>
        <w:t xml:space="preserve"> </w:t>
      </w:r>
      <w:r>
        <w:rPr>
          <w:color w:val="231F20"/>
        </w:rPr>
        <w:t>písemné</w:t>
      </w:r>
      <w:r>
        <w:rPr>
          <w:color w:val="231F20"/>
          <w:spacing w:val="-11"/>
        </w:rPr>
        <w:t xml:space="preserve"> </w:t>
      </w:r>
      <w:r>
        <w:rPr>
          <w:color w:val="231F20"/>
        </w:rPr>
        <w:t>formě.</w:t>
      </w:r>
    </w:p>
    <w:p w14:paraId="6B6130CE" w14:textId="77777777" w:rsidR="00F65BCA" w:rsidRDefault="00216117">
      <w:pPr>
        <w:pStyle w:val="Zkladntext"/>
        <w:spacing w:line="278" w:lineRule="auto"/>
        <w:ind w:left="710" w:right="1"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position w:val="1"/>
          <w:sz w:val="14"/>
        </w:rPr>
        <w:t xml:space="preserve"> </w:t>
      </w:r>
      <w:r>
        <w:rPr>
          <w:color w:val="231F20"/>
        </w:rPr>
        <w:t xml:space="preserve">Pojistník, pojištěný a oprávněna osoba jsou dále oprávněni činit nad </w:t>
      </w:r>
      <w:r>
        <w:rPr>
          <w:color w:val="231F20"/>
          <w:spacing w:val="-3"/>
        </w:rPr>
        <w:t xml:space="preserve">rámec </w:t>
      </w:r>
      <w:r>
        <w:rPr>
          <w:color w:val="231F20"/>
        </w:rPr>
        <w:t>oznámení uvedených v odst. 2 tohoto článku nepísemnou formou jakékoliv další</w:t>
      </w:r>
      <w:r>
        <w:rPr>
          <w:color w:val="231F20"/>
          <w:spacing w:val="-26"/>
        </w:rPr>
        <w:t xml:space="preserve"> </w:t>
      </w:r>
      <w:r>
        <w:rPr>
          <w:color w:val="231F20"/>
        </w:rPr>
        <w:t>oznámení</w:t>
      </w:r>
      <w:r>
        <w:rPr>
          <w:color w:val="231F20"/>
          <w:spacing w:val="-25"/>
        </w:rPr>
        <w:t xml:space="preserve"> </w:t>
      </w:r>
      <w:r>
        <w:rPr>
          <w:color w:val="231F20"/>
        </w:rPr>
        <w:t>týkající</w:t>
      </w:r>
      <w:r>
        <w:rPr>
          <w:color w:val="231F20"/>
          <w:spacing w:val="-25"/>
        </w:rPr>
        <w:t xml:space="preserve"> </w:t>
      </w:r>
      <w:r>
        <w:rPr>
          <w:color w:val="231F20"/>
        </w:rPr>
        <w:t>se</w:t>
      </w:r>
      <w:r>
        <w:rPr>
          <w:color w:val="231F20"/>
          <w:spacing w:val="-25"/>
        </w:rPr>
        <w:t xml:space="preserve"> </w:t>
      </w:r>
      <w:r>
        <w:rPr>
          <w:color w:val="231F20"/>
        </w:rPr>
        <w:t>pojištění.</w:t>
      </w:r>
      <w:r>
        <w:rPr>
          <w:color w:val="231F20"/>
          <w:spacing w:val="-25"/>
        </w:rPr>
        <w:t xml:space="preserve"> </w:t>
      </w:r>
      <w:r>
        <w:rPr>
          <w:color w:val="231F20"/>
          <w:spacing w:val="-3"/>
        </w:rPr>
        <w:t>Takové</w:t>
      </w:r>
      <w:r>
        <w:rPr>
          <w:color w:val="231F20"/>
          <w:spacing w:val="-25"/>
        </w:rPr>
        <w:t xml:space="preserve"> </w:t>
      </w:r>
      <w:r>
        <w:rPr>
          <w:color w:val="231F20"/>
        </w:rPr>
        <w:t>nepísemné</w:t>
      </w:r>
      <w:r>
        <w:rPr>
          <w:color w:val="231F20"/>
          <w:spacing w:val="-25"/>
        </w:rPr>
        <w:t xml:space="preserve"> </w:t>
      </w:r>
      <w:r>
        <w:rPr>
          <w:color w:val="231F20"/>
        </w:rPr>
        <w:t>oznámení</w:t>
      </w:r>
      <w:r>
        <w:rPr>
          <w:color w:val="231F20"/>
          <w:spacing w:val="-26"/>
        </w:rPr>
        <w:t xml:space="preserve"> </w:t>
      </w:r>
      <w:r>
        <w:rPr>
          <w:color w:val="231F20"/>
        </w:rPr>
        <w:t>se</w:t>
      </w:r>
      <w:r>
        <w:rPr>
          <w:color w:val="231F20"/>
          <w:spacing w:val="-25"/>
        </w:rPr>
        <w:t xml:space="preserve"> </w:t>
      </w:r>
      <w:r>
        <w:rPr>
          <w:color w:val="231F20"/>
        </w:rPr>
        <w:t>považuje za</w:t>
      </w:r>
      <w:r>
        <w:rPr>
          <w:color w:val="231F20"/>
          <w:spacing w:val="-4"/>
        </w:rPr>
        <w:t xml:space="preserve"> </w:t>
      </w:r>
      <w:r>
        <w:rPr>
          <w:color w:val="231F20"/>
        </w:rPr>
        <w:t>platně</w:t>
      </w:r>
      <w:r>
        <w:rPr>
          <w:color w:val="231F20"/>
          <w:spacing w:val="-4"/>
        </w:rPr>
        <w:t xml:space="preserve"> </w:t>
      </w:r>
      <w:r>
        <w:rPr>
          <w:color w:val="231F20"/>
        </w:rPr>
        <w:t>učiněné,</w:t>
      </w:r>
      <w:r>
        <w:rPr>
          <w:color w:val="231F20"/>
          <w:spacing w:val="-4"/>
        </w:rPr>
        <w:t xml:space="preserve"> </w:t>
      </w:r>
      <w:r>
        <w:rPr>
          <w:color w:val="231F20"/>
        </w:rPr>
        <w:t>pokud</w:t>
      </w:r>
      <w:r>
        <w:rPr>
          <w:color w:val="231F20"/>
          <w:spacing w:val="-4"/>
        </w:rPr>
        <w:t xml:space="preserve"> </w:t>
      </w:r>
      <w:r>
        <w:rPr>
          <w:color w:val="231F20"/>
        </w:rPr>
        <w:t>Pojišťovna</w:t>
      </w:r>
      <w:r>
        <w:rPr>
          <w:color w:val="231F20"/>
          <w:spacing w:val="-5"/>
        </w:rPr>
        <w:t xml:space="preserve"> </w:t>
      </w:r>
      <w:r>
        <w:rPr>
          <w:color w:val="231F20"/>
        </w:rPr>
        <w:t>v</w:t>
      </w:r>
      <w:r>
        <w:rPr>
          <w:color w:val="231F20"/>
          <w:spacing w:val="-4"/>
        </w:rPr>
        <w:t xml:space="preserve"> </w:t>
      </w:r>
      <w:r>
        <w:rPr>
          <w:color w:val="231F20"/>
        </w:rPr>
        <w:t>písemné</w:t>
      </w:r>
      <w:r>
        <w:rPr>
          <w:color w:val="231F20"/>
          <w:spacing w:val="-4"/>
        </w:rPr>
        <w:t xml:space="preserve"> </w:t>
      </w:r>
      <w:r>
        <w:rPr>
          <w:color w:val="231F20"/>
        </w:rPr>
        <w:t>formě</w:t>
      </w:r>
      <w:r>
        <w:rPr>
          <w:color w:val="231F20"/>
          <w:spacing w:val="-4"/>
        </w:rPr>
        <w:t xml:space="preserve"> </w:t>
      </w:r>
      <w:r>
        <w:rPr>
          <w:color w:val="231F20"/>
        </w:rPr>
        <w:t>potvrdí,</w:t>
      </w:r>
      <w:r>
        <w:rPr>
          <w:color w:val="231F20"/>
          <w:spacing w:val="-4"/>
        </w:rPr>
        <w:t xml:space="preserve"> </w:t>
      </w:r>
      <w:r>
        <w:rPr>
          <w:color w:val="231F20"/>
        </w:rPr>
        <w:t>že</w:t>
      </w:r>
      <w:r>
        <w:rPr>
          <w:color w:val="231F20"/>
          <w:spacing w:val="-4"/>
        </w:rPr>
        <w:t xml:space="preserve"> </w:t>
      </w:r>
      <w:r>
        <w:rPr>
          <w:color w:val="231F20"/>
        </w:rPr>
        <w:t>oznámení obdržela, nebo se začne chovat ve shodě s</w:t>
      </w:r>
      <w:r>
        <w:rPr>
          <w:color w:val="231F20"/>
          <w:spacing w:val="-15"/>
        </w:rPr>
        <w:t xml:space="preserve"> </w:t>
      </w:r>
      <w:r>
        <w:rPr>
          <w:color w:val="231F20"/>
        </w:rPr>
        <w:t>ním.</w:t>
      </w:r>
    </w:p>
    <w:p w14:paraId="0A9A4706" w14:textId="77777777" w:rsidR="00F65BCA" w:rsidRDefault="00216117">
      <w:pPr>
        <w:pStyle w:val="Zkladntext"/>
        <w:spacing w:line="278" w:lineRule="auto"/>
        <w:ind w:left="710" w:right="1"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spacing w:val="20"/>
          <w:position w:val="1"/>
          <w:sz w:val="14"/>
        </w:rPr>
        <w:t xml:space="preserve"> </w:t>
      </w:r>
      <w:r>
        <w:rPr>
          <w:color w:val="231F20"/>
        </w:rPr>
        <w:t>Právní</w:t>
      </w:r>
      <w:r>
        <w:rPr>
          <w:color w:val="231F20"/>
          <w:spacing w:val="-11"/>
        </w:rPr>
        <w:t xml:space="preserve"> </w:t>
      </w:r>
      <w:r>
        <w:rPr>
          <w:color w:val="231F20"/>
        </w:rPr>
        <w:t>jednání</w:t>
      </w:r>
      <w:r>
        <w:rPr>
          <w:color w:val="231F20"/>
          <w:spacing w:val="-12"/>
        </w:rPr>
        <w:t xml:space="preserve"> </w:t>
      </w:r>
      <w:r>
        <w:rPr>
          <w:color w:val="231F20"/>
        </w:rPr>
        <w:t>a</w:t>
      </w:r>
      <w:r>
        <w:rPr>
          <w:color w:val="231F20"/>
          <w:spacing w:val="-11"/>
        </w:rPr>
        <w:t xml:space="preserve"> </w:t>
      </w:r>
      <w:r>
        <w:rPr>
          <w:color w:val="231F20"/>
        </w:rPr>
        <w:t>oznámení,</w:t>
      </w:r>
      <w:r>
        <w:rPr>
          <w:color w:val="231F20"/>
          <w:spacing w:val="-11"/>
        </w:rPr>
        <w:t xml:space="preserve"> </w:t>
      </w:r>
      <w:r>
        <w:rPr>
          <w:color w:val="231F20"/>
        </w:rPr>
        <w:t>která</w:t>
      </w:r>
      <w:r>
        <w:rPr>
          <w:color w:val="231F20"/>
          <w:spacing w:val="-12"/>
        </w:rPr>
        <w:t xml:space="preserve"> </w:t>
      </w:r>
      <w:r>
        <w:rPr>
          <w:color w:val="231F20"/>
        </w:rPr>
        <w:t>nevyžadují</w:t>
      </w:r>
      <w:r>
        <w:rPr>
          <w:color w:val="231F20"/>
          <w:spacing w:val="-11"/>
        </w:rPr>
        <w:t xml:space="preserve"> </w:t>
      </w:r>
      <w:r>
        <w:rPr>
          <w:color w:val="231F20"/>
        </w:rPr>
        <w:t>písemnou</w:t>
      </w:r>
      <w:r>
        <w:rPr>
          <w:color w:val="231F20"/>
          <w:spacing w:val="-11"/>
        </w:rPr>
        <w:t xml:space="preserve"> </w:t>
      </w:r>
      <w:r>
        <w:rPr>
          <w:color w:val="231F20"/>
        </w:rPr>
        <w:t>formu,</w:t>
      </w:r>
      <w:r>
        <w:rPr>
          <w:color w:val="231F20"/>
          <w:spacing w:val="-11"/>
        </w:rPr>
        <w:t xml:space="preserve"> </w:t>
      </w:r>
      <w:r>
        <w:rPr>
          <w:color w:val="231F20"/>
        </w:rPr>
        <w:t>mohou</w:t>
      </w:r>
      <w:r>
        <w:rPr>
          <w:color w:val="231F20"/>
          <w:spacing w:val="-12"/>
        </w:rPr>
        <w:t xml:space="preserve"> </w:t>
      </w:r>
      <w:r>
        <w:rPr>
          <w:color w:val="231F20"/>
        </w:rPr>
        <w:t>být</w:t>
      </w:r>
      <w:r>
        <w:rPr>
          <w:color w:val="231F20"/>
          <w:spacing w:val="-11"/>
        </w:rPr>
        <w:t xml:space="preserve"> </w:t>
      </w:r>
      <w:r>
        <w:rPr>
          <w:color w:val="231F20"/>
          <w:spacing w:val="-5"/>
        </w:rPr>
        <w:t xml:space="preserve">uči- </w:t>
      </w:r>
      <w:r>
        <w:rPr>
          <w:color w:val="231F20"/>
        </w:rPr>
        <w:t>něna</w:t>
      </w:r>
      <w:r>
        <w:rPr>
          <w:color w:val="231F20"/>
          <w:spacing w:val="-22"/>
        </w:rPr>
        <w:t xml:space="preserve"> </w:t>
      </w:r>
      <w:r>
        <w:rPr>
          <w:color w:val="231F20"/>
        </w:rPr>
        <w:t>písemně,</w:t>
      </w:r>
      <w:r>
        <w:rPr>
          <w:color w:val="231F20"/>
          <w:spacing w:val="-21"/>
        </w:rPr>
        <w:t xml:space="preserve"> </w:t>
      </w:r>
      <w:r>
        <w:rPr>
          <w:color w:val="231F20"/>
        </w:rPr>
        <w:t>telefonicky</w:t>
      </w:r>
      <w:r>
        <w:rPr>
          <w:color w:val="231F20"/>
          <w:spacing w:val="-21"/>
        </w:rPr>
        <w:t xml:space="preserve"> </w:t>
      </w:r>
      <w:r>
        <w:rPr>
          <w:color w:val="231F20"/>
        </w:rPr>
        <w:t>na</w:t>
      </w:r>
      <w:r>
        <w:rPr>
          <w:color w:val="231F20"/>
          <w:spacing w:val="-22"/>
        </w:rPr>
        <w:t xml:space="preserve"> </w:t>
      </w:r>
      <w:r>
        <w:rPr>
          <w:color w:val="231F20"/>
        </w:rPr>
        <w:t>telefonním</w:t>
      </w:r>
      <w:r>
        <w:rPr>
          <w:color w:val="231F20"/>
          <w:spacing w:val="-21"/>
        </w:rPr>
        <w:t xml:space="preserve"> </w:t>
      </w:r>
      <w:r>
        <w:rPr>
          <w:color w:val="231F20"/>
        </w:rPr>
        <w:t>čísle</w:t>
      </w:r>
      <w:r>
        <w:rPr>
          <w:color w:val="231F20"/>
          <w:spacing w:val="-21"/>
        </w:rPr>
        <w:t xml:space="preserve"> </w:t>
      </w:r>
      <w:r>
        <w:rPr>
          <w:color w:val="231F20"/>
        </w:rPr>
        <w:t>Pojišťovny</w:t>
      </w:r>
      <w:r>
        <w:rPr>
          <w:color w:val="231F20"/>
          <w:spacing w:val="-21"/>
        </w:rPr>
        <w:t xml:space="preserve"> </w:t>
      </w:r>
      <w:r>
        <w:rPr>
          <w:color w:val="231F20"/>
        </w:rPr>
        <w:t>k</w:t>
      </w:r>
      <w:r>
        <w:rPr>
          <w:color w:val="231F20"/>
          <w:spacing w:val="-22"/>
        </w:rPr>
        <w:t xml:space="preserve"> </w:t>
      </w:r>
      <w:r>
        <w:rPr>
          <w:color w:val="231F20"/>
        </w:rPr>
        <w:t>tomuto</w:t>
      </w:r>
      <w:r>
        <w:rPr>
          <w:color w:val="231F20"/>
          <w:spacing w:val="-21"/>
        </w:rPr>
        <w:t xml:space="preserve"> </w:t>
      </w:r>
      <w:r>
        <w:rPr>
          <w:color w:val="231F20"/>
        </w:rPr>
        <w:t>účelu</w:t>
      </w:r>
      <w:r>
        <w:rPr>
          <w:color w:val="231F20"/>
          <w:spacing w:val="-21"/>
        </w:rPr>
        <w:t xml:space="preserve"> </w:t>
      </w:r>
      <w:r>
        <w:rPr>
          <w:color w:val="231F20"/>
          <w:spacing w:val="-4"/>
        </w:rPr>
        <w:t xml:space="preserve">zříze- </w:t>
      </w:r>
      <w:r>
        <w:rPr>
          <w:color w:val="231F20"/>
          <w:w w:val="95"/>
        </w:rPr>
        <w:t xml:space="preserve">ném, pomocí elektronického formuláře uvedeného na oficiálních internetových </w:t>
      </w:r>
      <w:r>
        <w:rPr>
          <w:color w:val="231F20"/>
          <w:spacing w:val="2"/>
        </w:rPr>
        <w:t>stránkách</w:t>
      </w:r>
      <w:r>
        <w:rPr>
          <w:color w:val="231F20"/>
          <w:spacing w:val="-18"/>
        </w:rPr>
        <w:t xml:space="preserve"> </w:t>
      </w:r>
      <w:r>
        <w:rPr>
          <w:color w:val="231F20"/>
        </w:rPr>
        <w:t>Pojišťovny</w:t>
      </w:r>
      <w:r>
        <w:rPr>
          <w:color w:val="231F20"/>
          <w:spacing w:val="-17"/>
        </w:rPr>
        <w:t xml:space="preserve"> </w:t>
      </w:r>
      <w:r>
        <w:rPr>
          <w:color w:val="231F20"/>
          <w:spacing w:val="3"/>
        </w:rPr>
        <w:t>nebo</w:t>
      </w:r>
      <w:r>
        <w:rPr>
          <w:color w:val="231F20"/>
          <w:spacing w:val="-17"/>
        </w:rPr>
        <w:t xml:space="preserve"> </w:t>
      </w:r>
      <w:r>
        <w:rPr>
          <w:color w:val="231F20"/>
          <w:spacing w:val="3"/>
        </w:rPr>
        <w:t>elektronicky</w:t>
      </w:r>
      <w:r>
        <w:rPr>
          <w:color w:val="231F20"/>
          <w:spacing w:val="-17"/>
        </w:rPr>
        <w:t xml:space="preserve"> </w:t>
      </w:r>
      <w:r>
        <w:rPr>
          <w:color w:val="231F20"/>
        </w:rPr>
        <w:t>na</w:t>
      </w:r>
      <w:r>
        <w:rPr>
          <w:color w:val="231F20"/>
          <w:spacing w:val="-17"/>
        </w:rPr>
        <w:t xml:space="preserve"> </w:t>
      </w:r>
      <w:r>
        <w:rPr>
          <w:color w:val="231F20"/>
          <w:spacing w:val="3"/>
        </w:rPr>
        <w:t>elektronickou</w:t>
      </w:r>
      <w:r>
        <w:rPr>
          <w:color w:val="231F20"/>
          <w:spacing w:val="-17"/>
        </w:rPr>
        <w:t xml:space="preserve"> </w:t>
      </w:r>
      <w:r>
        <w:rPr>
          <w:color w:val="231F20"/>
          <w:spacing w:val="2"/>
        </w:rPr>
        <w:t>adresu</w:t>
      </w:r>
      <w:r>
        <w:rPr>
          <w:color w:val="231F20"/>
          <w:spacing w:val="-17"/>
        </w:rPr>
        <w:t xml:space="preserve"> </w:t>
      </w:r>
      <w:r>
        <w:rPr>
          <w:color w:val="231F20"/>
        </w:rPr>
        <w:t>Pojišťovny k</w:t>
      </w:r>
      <w:r>
        <w:rPr>
          <w:color w:val="231F20"/>
          <w:spacing w:val="-15"/>
        </w:rPr>
        <w:t xml:space="preserve"> </w:t>
      </w:r>
      <w:r>
        <w:rPr>
          <w:color w:val="231F20"/>
        </w:rPr>
        <w:t>tomuto</w:t>
      </w:r>
      <w:r>
        <w:rPr>
          <w:color w:val="231F20"/>
          <w:spacing w:val="-16"/>
        </w:rPr>
        <w:t xml:space="preserve"> </w:t>
      </w:r>
      <w:r>
        <w:rPr>
          <w:color w:val="231F20"/>
        </w:rPr>
        <w:t>účelu</w:t>
      </w:r>
      <w:r>
        <w:rPr>
          <w:color w:val="231F20"/>
          <w:spacing w:val="-16"/>
        </w:rPr>
        <w:t xml:space="preserve"> </w:t>
      </w:r>
      <w:r>
        <w:rPr>
          <w:color w:val="231F20"/>
        </w:rPr>
        <w:t>zřízenou.</w:t>
      </w:r>
      <w:r>
        <w:rPr>
          <w:color w:val="231F20"/>
          <w:spacing w:val="-17"/>
        </w:rPr>
        <w:t xml:space="preserve"> </w:t>
      </w:r>
      <w:r>
        <w:rPr>
          <w:color w:val="231F20"/>
        </w:rPr>
        <w:t>Právní</w:t>
      </w:r>
      <w:r>
        <w:rPr>
          <w:color w:val="231F20"/>
          <w:spacing w:val="-16"/>
        </w:rPr>
        <w:t xml:space="preserve"> </w:t>
      </w:r>
      <w:r>
        <w:rPr>
          <w:color w:val="231F20"/>
        </w:rPr>
        <w:t>jednání</w:t>
      </w:r>
      <w:r>
        <w:rPr>
          <w:color w:val="231F20"/>
          <w:spacing w:val="-16"/>
        </w:rPr>
        <w:t xml:space="preserve"> </w:t>
      </w:r>
      <w:r>
        <w:rPr>
          <w:color w:val="231F20"/>
        </w:rPr>
        <w:t>a</w:t>
      </w:r>
      <w:r>
        <w:rPr>
          <w:color w:val="231F20"/>
          <w:spacing w:val="-16"/>
        </w:rPr>
        <w:t xml:space="preserve"> </w:t>
      </w:r>
      <w:r>
        <w:rPr>
          <w:color w:val="231F20"/>
        </w:rPr>
        <w:t>oznámení,</w:t>
      </w:r>
      <w:r>
        <w:rPr>
          <w:color w:val="231F20"/>
          <w:spacing w:val="-16"/>
        </w:rPr>
        <w:t xml:space="preserve"> </w:t>
      </w:r>
      <w:r>
        <w:rPr>
          <w:color w:val="231F20"/>
        </w:rPr>
        <w:t>která</w:t>
      </w:r>
      <w:r>
        <w:rPr>
          <w:color w:val="231F20"/>
          <w:spacing w:val="-16"/>
        </w:rPr>
        <w:t xml:space="preserve"> </w:t>
      </w:r>
      <w:r>
        <w:rPr>
          <w:color w:val="231F20"/>
        </w:rPr>
        <w:t>nevyžadují</w:t>
      </w:r>
      <w:r>
        <w:rPr>
          <w:color w:val="231F20"/>
          <w:spacing w:val="-16"/>
        </w:rPr>
        <w:t xml:space="preserve"> </w:t>
      </w:r>
      <w:r>
        <w:rPr>
          <w:color w:val="231F20"/>
        </w:rPr>
        <w:t>písem- nou</w:t>
      </w:r>
      <w:r>
        <w:rPr>
          <w:color w:val="231F20"/>
          <w:spacing w:val="-11"/>
        </w:rPr>
        <w:t xml:space="preserve"> </w:t>
      </w:r>
      <w:r>
        <w:rPr>
          <w:color w:val="231F20"/>
        </w:rPr>
        <w:t>formu,</w:t>
      </w:r>
      <w:r>
        <w:rPr>
          <w:color w:val="231F20"/>
          <w:spacing w:val="-10"/>
        </w:rPr>
        <w:t xml:space="preserve"> </w:t>
      </w:r>
      <w:r>
        <w:rPr>
          <w:color w:val="231F20"/>
        </w:rPr>
        <w:t>musí</w:t>
      </w:r>
      <w:r>
        <w:rPr>
          <w:color w:val="231F20"/>
          <w:spacing w:val="-10"/>
        </w:rPr>
        <w:t xml:space="preserve"> </w:t>
      </w:r>
      <w:r>
        <w:rPr>
          <w:color w:val="231F20"/>
        </w:rPr>
        <w:t>byt</w:t>
      </w:r>
      <w:r>
        <w:rPr>
          <w:color w:val="231F20"/>
          <w:spacing w:val="-11"/>
        </w:rPr>
        <w:t xml:space="preserve"> </w:t>
      </w:r>
      <w:r>
        <w:rPr>
          <w:color w:val="231F20"/>
        </w:rPr>
        <w:t>doplněna</w:t>
      </w:r>
      <w:r>
        <w:rPr>
          <w:color w:val="231F20"/>
          <w:spacing w:val="-10"/>
        </w:rPr>
        <w:t xml:space="preserve"> </w:t>
      </w:r>
      <w:r>
        <w:rPr>
          <w:color w:val="231F20"/>
        </w:rPr>
        <w:t>v</w:t>
      </w:r>
      <w:r>
        <w:rPr>
          <w:color w:val="231F20"/>
          <w:spacing w:val="-10"/>
        </w:rPr>
        <w:t xml:space="preserve"> </w:t>
      </w:r>
      <w:r>
        <w:rPr>
          <w:color w:val="231F20"/>
        </w:rPr>
        <w:t>písemné</w:t>
      </w:r>
      <w:r>
        <w:rPr>
          <w:color w:val="231F20"/>
          <w:spacing w:val="-11"/>
        </w:rPr>
        <w:t xml:space="preserve"> </w:t>
      </w:r>
      <w:r>
        <w:rPr>
          <w:color w:val="231F20"/>
        </w:rPr>
        <w:t>formě,</w:t>
      </w:r>
      <w:r>
        <w:rPr>
          <w:color w:val="231F20"/>
          <w:spacing w:val="-10"/>
        </w:rPr>
        <w:t xml:space="preserve"> </w:t>
      </w:r>
      <w:r>
        <w:rPr>
          <w:color w:val="231F20"/>
        </w:rPr>
        <w:t>vyžádá-li</w:t>
      </w:r>
      <w:r>
        <w:rPr>
          <w:color w:val="231F20"/>
          <w:spacing w:val="-10"/>
        </w:rPr>
        <w:t xml:space="preserve"> </w:t>
      </w:r>
      <w:r>
        <w:rPr>
          <w:color w:val="231F20"/>
        </w:rPr>
        <w:t>si</w:t>
      </w:r>
      <w:r>
        <w:rPr>
          <w:color w:val="231F20"/>
          <w:spacing w:val="-11"/>
        </w:rPr>
        <w:t xml:space="preserve"> </w:t>
      </w:r>
      <w:r>
        <w:rPr>
          <w:color w:val="231F20"/>
        </w:rPr>
        <w:t>to</w:t>
      </w:r>
      <w:r>
        <w:rPr>
          <w:color w:val="231F20"/>
          <w:spacing w:val="-10"/>
        </w:rPr>
        <w:t xml:space="preserve"> </w:t>
      </w:r>
      <w:r>
        <w:rPr>
          <w:color w:val="231F20"/>
        </w:rPr>
        <w:t>Pojišťovna.</w:t>
      </w:r>
    </w:p>
    <w:p w14:paraId="5BA37224" w14:textId="77777777" w:rsidR="00F65BCA" w:rsidRDefault="00216117">
      <w:pPr>
        <w:pStyle w:val="Zkladntext"/>
        <w:spacing w:line="278" w:lineRule="auto"/>
        <w:ind w:left="710" w:right="1"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6</w:t>
      </w:r>
      <w:r>
        <w:rPr>
          <w:color w:val="231F20"/>
          <w:spacing w:val="17"/>
          <w:position w:val="1"/>
          <w:sz w:val="14"/>
        </w:rPr>
        <w:t xml:space="preserve"> </w:t>
      </w:r>
      <w:r>
        <w:rPr>
          <w:color w:val="231F20"/>
        </w:rPr>
        <w:t>Právní</w:t>
      </w:r>
      <w:r>
        <w:rPr>
          <w:color w:val="231F20"/>
          <w:spacing w:val="-8"/>
        </w:rPr>
        <w:t xml:space="preserve"> </w:t>
      </w:r>
      <w:r>
        <w:rPr>
          <w:color w:val="231F20"/>
        </w:rPr>
        <w:t>jednání</w:t>
      </w:r>
      <w:r>
        <w:rPr>
          <w:color w:val="231F20"/>
          <w:spacing w:val="-9"/>
        </w:rPr>
        <w:t xml:space="preserve"> </w:t>
      </w:r>
      <w:r>
        <w:rPr>
          <w:color w:val="231F20"/>
        </w:rPr>
        <w:t>nebo</w:t>
      </w:r>
      <w:r>
        <w:rPr>
          <w:color w:val="231F20"/>
          <w:spacing w:val="-9"/>
        </w:rPr>
        <w:t xml:space="preserve"> </w:t>
      </w:r>
      <w:r>
        <w:rPr>
          <w:color w:val="231F20"/>
        </w:rPr>
        <w:t>oznámení</w:t>
      </w:r>
      <w:r>
        <w:rPr>
          <w:color w:val="231F20"/>
          <w:spacing w:val="-9"/>
        </w:rPr>
        <w:t xml:space="preserve"> </w:t>
      </w:r>
      <w:r>
        <w:rPr>
          <w:color w:val="231F20"/>
        </w:rPr>
        <w:t>obsažené</w:t>
      </w:r>
      <w:r>
        <w:rPr>
          <w:color w:val="231F20"/>
          <w:spacing w:val="-9"/>
        </w:rPr>
        <w:t xml:space="preserve"> </w:t>
      </w:r>
      <w:r>
        <w:rPr>
          <w:color w:val="231F20"/>
        </w:rPr>
        <w:t>v</w:t>
      </w:r>
      <w:r>
        <w:rPr>
          <w:color w:val="231F20"/>
          <w:spacing w:val="-9"/>
        </w:rPr>
        <w:t xml:space="preserve"> </w:t>
      </w:r>
      <w:r>
        <w:rPr>
          <w:color w:val="231F20"/>
        </w:rPr>
        <w:t>příloze</w:t>
      </w:r>
      <w:r>
        <w:rPr>
          <w:color w:val="231F20"/>
          <w:spacing w:val="-8"/>
        </w:rPr>
        <w:t xml:space="preserve"> </w:t>
      </w:r>
      <w:r>
        <w:rPr>
          <w:color w:val="231F20"/>
        </w:rPr>
        <w:t>elektronické</w:t>
      </w:r>
      <w:r>
        <w:rPr>
          <w:color w:val="231F20"/>
          <w:spacing w:val="-9"/>
        </w:rPr>
        <w:t xml:space="preserve"> </w:t>
      </w:r>
      <w:r>
        <w:rPr>
          <w:color w:val="231F20"/>
        </w:rPr>
        <w:t>zprávy</w:t>
      </w:r>
      <w:r>
        <w:rPr>
          <w:color w:val="231F20"/>
          <w:spacing w:val="-9"/>
        </w:rPr>
        <w:t xml:space="preserve"> </w:t>
      </w:r>
      <w:r>
        <w:rPr>
          <w:color w:val="231F20"/>
        </w:rPr>
        <w:t>ve</w:t>
      </w:r>
      <w:r>
        <w:rPr>
          <w:color w:val="231F20"/>
          <w:spacing w:val="-9"/>
        </w:rPr>
        <w:t xml:space="preserve"> </w:t>
      </w:r>
      <w:r>
        <w:rPr>
          <w:color w:val="231F20"/>
          <w:spacing w:val="-3"/>
        </w:rPr>
        <w:t xml:space="preserve">for- </w:t>
      </w:r>
      <w:r>
        <w:rPr>
          <w:color w:val="231F20"/>
        </w:rPr>
        <w:t>mátu</w:t>
      </w:r>
      <w:r>
        <w:rPr>
          <w:color w:val="231F20"/>
          <w:spacing w:val="-17"/>
        </w:rPr>
        <w:t xml:space="preserve"> </w:t>
      </w:r>
      <w:r>
        <w:rPr>
          <w:color w:val="231F20"/>
        </w:rPr>
        <w:t>PDF</w:t>
      </w:r>
      <w:r>
        <w:rPr>
          <w:color w:val="231F20"/>
          <w:spacing w:val="-17"/>
        </w:rPr>
        <w:t xml:space="preserve"> </w:t>
      </w:r>
      <w:r>
        <w:rPr>
          <w:color w:val="231F20"/>
        </w:rPr>
        <w:t>nebo</w:t>
      </w:r>
      <w:r>
        <w:rPr>
          <w:color w:val="231F20"/>
          <w:spacing w:val="-17"/>
        </w:rPr>
        <w:t xml:space="preserve"> </w:t>
      </w:r>
      <w:r>
        <w:rPr>
          <w:color w:val="231F20"/>
        </w:rPr>
        <w:t>jinem</w:t>
      </w:r>
      <w:r>
        <w:rPr>
          <w:color w:val="231F20"/>
          <w:spacing w:val="-17"/>
        </w:rPr>
        <w:t xml:space="preserve"> </w:t>
      </w:r>
      <w:r>
        <w:rPr>
          <w:color w:val="231F20"/>
        </w:rPr>
        <w:t>obdobném</w:t>
      </w:r>
      <w:r>
        <w:rPr>
          <w:color w:val="231F20"/>
          <w:spacing w:val="-16"/>
        </w:rPr>
        <w:t xml:space="preserve"> </w:t>
      </w:r>
      <w:r>
        <w:rPr>
          <w:color w:val="231F20"/>
        </w:rPr>
        <w:t>formátu,</w:t>
      </w:r>
      <w:r>
        <w:rPr>
          <w:color w:val="231F20"/>
          <w:spacing w:val="-17"/>
        </w:rPr>
        <w:t xml:space="preserve"> </w:t>
      </w:r>
      <w:r>
        <w:rPr>
          <w:color w:val="231F20"/>
        </w:rPr>
        <w:t>který</w:t>
      </w:r>
      <w:r>
        <w:rPr>
          <w:color w:val="231F20"/>
          <w:spacing w:val="-17"/>
        </w:rPr>
        <w:t xml:space="preserve"> </w:t>
      </w:r>
      <w:r>
        <w:rPr>
          <w:color w:val="231F20"/>
        </w:rPr>
        <w:t>dostatečně</w:t>
      </w:r>
      <w:r>
        <w:rPr>
          <w:color w:val="231F20"/>
          <w:spacing w:val="-17"/>
        </w:rPr>
        <w:t xml:space="preserve"> </w:t>
      </w:r>
      <w:r>
        <w:rPr>
          <w:color w:val="231F20"/>
        </w:rPr>
        <w:t>zabezpečuje</w:t>
      </w:r>
      <w:r>
        <w:rPr>
          <w:color w:val="231F20"/>
          <w:spacing w:val="-17"/>
        </w:rPr>
        <w:t xml:space="preserve"> </w:t>
      </w:r>
      <w:r>
        <w:rPr>
          <w:color w:val="231F20"/>
          <w:spacing w:val="-4"/>
        </w:rPr>
        <w:t xml:space="preserve">jeho </w:t>
      </w:r>
      <w:r>
        <w:rPr>
          <w:color w:val="231F20"/>
        </w:rPr>
        <w:t>obsah proti změně, se považuje písemná forma za dodrženou, je-li takové jednání</w:t>
      </w:r>
      <w:r>
        <w:rPr>
          <w:color w:val="231F20"/>
          <w:spacing w:val="-6"/>
        </w:rPr>
        <w:t xml:space="preserve"> </w:t>
      </w:r>
      <w:r>
        <w:rPr>
          <w:color w:val="231F20"/>
        </w:rPr>
        <w:t>či</w:t>
      </w:r>
      <w:r>
        <w:rPr>
          <w:color w:val="231F20"/>
          <w:spacing w:val="-6"/>
        </w:rPr>
        <w:t xml:space="preserve"> </w:t>
      </w:r>
      <w:r>
        <w:rPr>
          <w:color w:val="231F20"/>
        </w:rPr>
        <w:t>oznámení</w:t>
      </w:r>
      <w:r>
        <w:rPr>
          <w:color w:val="231F20"/>
          <w:spacing w:val="-5"/>
        </w:rPr>
        <w:t xml:space="preserve"> </w:t>
      </w:r>
      <w:r>
        <w:rPr>
          <w:color w:val="231F20"/>
        </w:rPr>
        <w:t>vlastnoručně</w:t>
      </w:r>
      <w:r>
        <w:rPr>
          <w:color w:val="231F20"/>
          <w:spacing w:val="-6"/>
        </w:rPr>
        <w:t xml:space="preserve"> </w:t>
      </w:r>
      <w:r>
        <w:rPr>
          <w:color w:val="231F20"/>
        </w:rPr>
        <w:t>podepsáno</w:t>
      </w:r>
      <w:r>
        <w:rPr>
          <w:color w:val="231F20"/>
          <w:spacing w:val="-6"/>
        </w:rPr>
        <w:t xml:space="preserve"> </w:t>
      </w:r>
      <w:r>
        <w:rPr>
          <w:color w:val="231F20"/>
        </w:rPr>
        <w:t>jednající</w:t>
      </w:r>
      <w:r>
        <w:rPr>
          <w:color w:val="231F20"/>
          <w:spacing w:val="-5"/>
        </w:rPr>
        <w:t xml:space="preserve"> </w:t>
      </w:r>
      <w:r>
        <w:rPr>
          <w:color w:val="231F20"/>
        </w:rPr>
        <w:t>osobou.</w:t>
      </w:r>
    </w:p>
    <w:p w14:paraId="285EBB6D" w14:textId="77777777" w:rsidR="00F65BCA" w:rsidRDefault="00216117">
      <w:pPr>
        <w:pStyle w:val="Zkladntext"/>
        <w:spacing w:line="278" w:lineRule="auto"/>
        <w:ind w:left="710" w:right="1"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7</w:t>
      </w:r>
      <w:r>
        <w:rPr>
          <w:color w:val="231F20"/>
          <w:spacing w:val="23"/>
          <w:position w:val="1"/>
          <w:sz w:val="14"/>
        </w:rPr>
        <w:t xml:space="preserve"> </w:t>
      </w:r>
      <w:r>
        <w:rPr>
          <w:color w:val="231F20"/>
        </w:rPr>
        <w:t>Právní</w:t>
      </w:r>
      <w:r>
        <w:rPr>
          <w:color w:val="231F20"/>
          <w:spacing w:val="-26"/>
        </w:rPr>
        <w:t xml:space="preserve"> </w:t>
      </w:r>
      <w:r>
        <w:rPr>
          <w:color w:val="231F20"/>
        </w:rPr>
        <w:t>jednání</w:t>
      </w:r>
      <w:r>
        <w:rPr>
          <w:color w:val="231F20"/>
          <w:spacing w:val="-27"/>
        </w:rPr>
        <w:t xml:space="preserve"> </w:t>
      </w:r>
      <w:r>
        <w:rPr>
          <w:color w:val="231F20"/>
        </w:rPr>
        <w:t>týkající</w:t>
      </w:r>
      <w:r>
        <w:rPr>
          <w:color w:val="231F20"/>
          <w:spacing w:val="-27"/>
        </w:rPr>
        <w:t xml:space="preserve"> </w:t>
      </w:r>
      <w:r>
        <w:rPr>
          <w:color w:val="231F20"/>
        </w:rPr>
        <w:t>se</w:t>
      </w:r>
      <w:r>
        <w:rPr>
          <w:color w:val="231F20"/>
          <w:spacing w:val="-27"/>
        </w:rPr>
        <w:t xml:space="preserve"> </w:t>
      </w:r>
      <w:r>
        <w:rPr>
          <w:color w:val="231F20"/>
        </w:rPr>
        <w:t>pojištění</w:t>
      </w:r>
      <w:r>
        <w:rPr>
          <w:color w:val="231F20"/>
          <w:spacing w:val="-27"/>
        </w:rPr>
        <w:t xml:space="preserve"> </w:t>
      </w:r>
      <w:r>
        <w:rPr>
          <w:color w:val="231F20"/>
        </w:rPr>
        <w:t>nevyvolává</w:t>
      </w:r>
      <w:r>
        <w:rPr>
          <w:color w:val="231F20"/>
          <w:spacing w:val="-27"/>
        </w:rPr>
        <w:t xml:space="preserve"> </w:t>
      </w:r>
      <w:r>
        <w:rPr>
          <w:color w:val="231F20"/>
        </w:rPr>
        <w:t>právní</w:t>
      </w:r>
      <w:r>
        <w:rPr>
          <w:color w:val="231F20"/>
          <w:spacing w:val="-27"/>
        </w:rPr>
        <w:t xml:space="preserve"> </w:t>
      </w:r>
      <w:r>
        <w:rPr>
          <w:color w:val="231F20"/>
        </w:rPr>
        <w:t>následky</w:t>
      </w:r>
      <w:r>
        <w:rPr>
          <w:color w:val="231F20"/>
          <w:spacing w:val="-27"/>
        </w:rPr>
        <w:t xml:space="preserve"> </w:t>
      </w:r>
      <w:r>
        <w:rPr>
          <w:color w:val="231F20"/>
        </w:rPr>
        <w:t>plynoucí</w:t>
      </w:r>
      <w:r>
        <w:rPr>
          <w:color w:val="231F20"/>
          <w:spacing w:val="-27"/>
        </w:rPr>
        <w:t xml:space="preserve"> </w:t>
      </w:r>
      <w:r>
        <w:rPr>
          <w:color w:val="231F20"/>
        </w:rPr>
        <w:t>ze</w:t>
      </w:r>
      <w:r>
        <w:rPr>
          <w:color w:val="231F20"/>
          <w:spacing w:val="-27"/>
        </w:rPr>
        <w:t xml:space="preserve"> </w:t>
      </w:r>
      <w:r>
        <w:rPr>
          <w:color w:val="231F20"/>
          <w:spacing w:val="-3"/>
        </w:rPr>
        <w:t xml:space="preserve">zvyk- </w:t>
      </w:r>
      <w:r>
        <w:rPr>
          <w:color w:val="231F20"/>
        </w:rPr>
        <w:t>lostí v oblasti</w:t>
      </w:r>
      <w:r>
        <w:rPr>
          <w:color w:val="231F20"/>
          <w:spacing w:val="-4"/>
        </w:rPr>
        <w:t xml:space="preserve"> </w:t>
      </w:r>
      <w:r>
        <w:rPr>
          <w:color w:val="231F20"/>
        </w:rPr>
        <w:t>pojišťovnictví.</w:t>
      </w:r>
    </w:p>
    <w:p w14:paraId="55491119" w14:textId="77777777" w:rsidR="00F65BCA" w:rsidRDefault="00216117">
      <w:pPr>
        <w:pStyle w:val="Zkladntext"/>
        <w:spacing w:before="75" w:line="278" w:lineRule="auto"/>
        <w:ind w:left="468" w:right="424" w:hanging="283"/>
        <w:jc w:val="both"/>
      </w:pPr>
      <w:r>
        <w:br w:type="column"/>
      </w: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8</w:t>
      </w:r>
      <w:r>
        <w:rPr>
          <w:color w:val="231F20"/>
          <w:spacing w:val="-11"/>
          <w:position w:val="1"/>
          <w:sz w:val="14"/>
        </w:rPr>
        <w:t xml:space="preserve"> </w:t>
      </w:r>
      <w:r>
        <w:rPr>
          <w:color w:val="231F20"/>
        </w:rPr>
        <w:t xml:space="preserve">Bude-li právní jednání či oznámení učiněno z e-mailové </w:t>
      </w:r>
      <w:r>
        <w:rPr>
          <w:color w:val="231F20"/>
          <w:spacing w:val="-3"/>
        </w:rPr>
        <w:t xml:space="preserve">adresy </w:t>
      </w:r>
      <w:r>
        <w:rPr>
          <w:color w:val="231F20"/>
        </w:rPr>
        <w:t>či telefonního čísla</w:t>
      </w:r>
      <w:r>
        <w:rPr>
          <w:color w:val="231F20"/>
          <w:spacing w:val="-18"/>
        </w:rPr>
        <w:t xml:space="preserve"> </w:t>
      </w:r>
      <w:r>
        <w:rPr>
          <w:color w:val="231F20"/>
          <w:spacing w:val="-3"/>
        </w:rPr>
        <w:t>prokazatelně</w:t>
      </w:r>
      <w:r>
        <w:rPr>
          <w:color w:val="231F20"/>
          <w:spacing w:val="-18"/>
        </w:rPr>
        <w:t xml:space="preserve"> </w:t>
      </w:r>
      <w:r>
        <w:rPr>
          <w:color w:val="231F20"/>
        </w:rPr>
        <w:t>sděleného</w:t>
      </w:r>
      <w:r>
        <w:rPr>
          <w:color w:val="231F20"/>
          <w:spacing w:val="-18"/>
        </w:rPr>
        <w:t xml:space="preserve"> </w:t>
      </w:r>
      <w:r>
        <w:rPr>
          <w:color w:val="231F20"/>
        </w:rPr>
        <w:t>smluvní</w:t>
      </w:r>
      <w:r>
        <w:rPr>
          <w:color w:val="231F20"/>
          <w:spacing w:val="-18"/>
        </w:rPr>
        <w:t xml:space="preserve"> </w:t>
      </w:r>
      <w:r>
        <w:rPr>
          <w:color w:val="231F20"/>
        </w:rPr>
        <w:t>stranou</w:t>
      </w:r>
      <w:r>
        <w:rPr>
          <w:color w:val="231F20"/>
          <w:spacing w:val="-18"/>
        </w:rPr>
        <w:t xml:space="preserve"> </w:t>
      </w:r>
      <w:r>
        <w:rPr>
          <w:color w:val="231F20"/>
        </w:rPr>
        <w:t>Pojišťovně,</w:t>
      </w:r>
      <w:r>
        <w:rPr>
          <w:color w:val="231F20"/>
          <w:spacing w:val="-18"/>
        </w:rPr>
        <w:t xml:space="preserve"> </w:t>
      </w:r>
      <w:r>
        <w:rPr>
          <w:color w:val="231F20"/>
        </w:rPr>
        <w:t>má</w:t>
      </w:r>
      <w:r>
        <w:rPr>
          <w:color w:val="231F20"/>
          <w:spacing w:val="-18"/>
        </w:rPr>
        <w:t xml:space="preserve"> </w:t>
      </w:r>
      <w:r>
        <w:rPr>
          <w:color w:val="231F20"/>
        </w:rPr>
        <w:t>se</w:t>
      </w:r>
      <w:r>
        <w:rPr>
          <w:color w:val="231F20"/>
          <w:spacing w:val="-17"/>
        </w:rPr>
        <w:t xml:space="preserve"> </w:t>
      </w:r>
      <w:r>
        <w:rPr>
          <w:color w:val="231F20"/>
        </w:rPr>
        <w:t>za</w:t>
      </w:r>
      <w:r>
        <w:rPr>
          <w:color w:val="231F20"/>
          <w:spacing w:val="-18"/>
        </w:rPr>
        <w:t xml:space="preserve"> </w:t>
      </w:r>
      <w:r>
        <w:rPr>
          <w:color w:val="231F20"/>
        </w:rPr>
        <w:t>to,</w:t>
      </w:r>
      <w:r>
        <w:rPr>
          <w:color w:val="231F20"/>
          <w:spacing w:val="-18"/>
        </w:rPr>
        <w:t xml:space="preserve"> </w:t>
      </w:r>
      <w:r>
        <w:rPr>
          <w:color w:val="231F20"/>
        </w:rPr>
        <w:t>že</w:t>
      </w:r>
      <w:r>
        <w:rPr>
          <w:color w:val="231F20"/>
          <w:spacing w:val="-18"/>
        </w:rPr>
        <w:t xml:space="preserve"> </w:t>
      </w:r>
      <w:r>
        <w:rPr>
          <w:color w:val="231F20"/>
        </w:rPr>
        <w:t>bylo učiněno</w:t>
      </w:r>
      <w:r>
        <w:rPr>
          <w:color w:val="231F20"/>
          <w:spacing w:val="-20"/>
        </w:rPr>
        <w:t xml:space="preserve"> </w:t>
      </w:r>
      <w:r>
        <w:rPr>
          <w:color w:val="231F20"/>
        </w:rPr>
        <w:t>touto</w:t>
      </w:r>
      <w:r>
        <w:rPr>
          <w:color w:val="231F20"/>
          <w:spacing w:val="-19"/>
        </w:rPr>
        <w:t xml:space="preserve"> </w:t>
      </w:r>
      <w:r>
        <w:rPr>
          <w:color w:val="231F20"/>
        </w:rPr>
        <w:t>smluvní</w:t>
      </w:r>
      <w:r>
        <w:rPr>
          <w:color w:val="231F20"/>
          <w:spacing w:val="-19"/>
        </w:rPr>
        <w:t xml:space="preserve"> </w:t>
      </w:r>
      <w:r>
        <w:rPr>
          <w:color w:val="231F20"/>
        </w:rPr>
        <w:t>stranou.</w:t>
      </w:r>
      <w:r>
        <w:rPr>
          <w:color w:val="231F20"/>
          <w:spacing w:val="-19"/>
        </w:rPr>
        <w:t xml:space="preserve"> </w:t>
      </w:r>
      <w:r>
        <w:rPr>
          <w:color w:val="231F20"/>
        </w:rPr>
        <w:t>Z</w:t>
      </w:r>
      <w:r>
        <w:rPr>
          <w:color w:val="231F20"/>
          <w:spacing w:val="-20"/>
        </w:rPr>
        <w:t xml:space="preserve"> </w:t>
      </w:r>
      <w:r>
        <w:rPr>
          <w:color w:val="231F20"/>
        </w:rPr>
        <w:t>tohoto</w:t>
      </w:r>
      <w:r>
        <w:rPr>
          <w:color w:val="231F20"/>
          <w:spacing w:val="-19"/>
        </w:rPr>
        <w:t xml:space="preserve"> </w:t>
      </w:r>
      <w:r>
        <w:rPr>
          <w:color w:val="231F20"/>
        </w:rPr>
        <w:t>důvodu</w:t>
      </w:r>
      <w:r>
        <w:rPr>
          <w:color w:val="231F20"/>
          <w:spacing w:val="-19"/>
        </w:rPr>
        <w:t xml:space="preserve"> </w:t>
      </w:r>
      <w:r>
        <w:rPr>
          <w:color w:val="231F20"/>
        </w:rPr>
        <w:t>je</w:t>
      </w:r>
      <w:r>
        <w:rPr>
          <w:color w:val="231F20"/>
          <w:spacing w:val="-19"/>
        </w:rPr>
        <w:t xml:space="preserve"> </w:t>
      </w:r>
      <w:r>
        <w:rPr>
          <w:color w:val="231F20"/>
        </w:rPr>
        <w:t>smluvní</w:t>
      </w:r>
      <w:r>
        <w:rPr>
          <w:color w:val="231F20"/>
          <w:spacing w:val="-20"/>
        </w:rPr>
        <w:t xml:space="preserve"> </w:t>
      </w:r>
      <w:r>
        <w:rPr>
          <w:color w:val="231F20"/>
        </w:rPr>
        <w:t>strana</w:t>
      </w:r>
      <w:r>
        <w:rPr>
          <w:color w:val="231F20"/>
          <w:spacing w:val="-19"/>
        </w:rPr>
        <w:t xml:space="preserve"> </w:t>
      </w:r>
      <w:r>
        <w:rPr>
          <w:color w:val="231F20"/>
        </w:rPr>
        <w:t>povinna</w:t>
      </w:r>
      <w:r>
        <w:rPr>
          <w:color w:val="231F20"/>
          <w:spacing w:val="-19"/>
        </w:rPr>
        <w:t xml:space="preserve"> </w:t>
      </w:r>
      <w:r>
        <w:rPr>
          <w:color w:val="231F20"/>
          <w:spacing w:val="-2"/>
        </w:rPr>
        <w:t xml:space="preserve">bez </w:t>
      </w:r>
      <w:r>
        <w:rPr>
          <w:color w:val="231F20"/>
          <w:w w:val="95"/>
        </w:rPr>
        <w:t>zbytečného</w:t>
      </w:r>
      <w:r>
        <w:rPr>
          <w:color w:val="231F20"/>
          <w:spacing w:val="-14"/>
          <w:w w:val="95"/>
        </w:rPr>
        <w:t xml:space="preserve"> </w:t>
      </w:r>
      <w:r>
        <w:rPr>
          <w:color w:val="231F20"/>
          <w:w w:val="95"/>
        </w:rPr>
        <w:t>odkladu</w:t>
      </w:r>
      <w:r>
        <w:rPr>
          <w:color w:val="231F20"/>
          <w:spacing w:val="-13"/>
          <w:w w:val="95"/>
        </w:rPr>
        <w:t xml:space="preserve"> </w:t>
      </w:r>
      <w:r>
        <w:rPr>
          <w:color w:val="231F20"/>
          <w:w w:val="95"/>
        </w:rPr>
        <w:t>informovat</w:t>
      </w:r>
      <w:r>
        <w:rPr>
          <w:color w:val="231F20"/>
          <w:spacing w:val="-14"/>
          <w:w w:val="95"/>
        </w:rPr>
        <w:t xml:space="preserve"> </w:t>
      </w:r>
      <w:r>
        <w:rPr>
          <w:color w:val="231F20"/>
          <w:w w:val="95"/>
        </w:rPr>
        <w:t>Pojišťovnu</w:t>
      </w:r>
      <w:r>
        <w:rPr>
          <w:color w:val="231F20"/>
          <w:spacing w:val="-13"/>
          <w:w w:val="95"/>
        </w:rPr>
        <w:t xml:space="preserve"> </w:t>
      </w:r>
      <w:r>
        <w:rPr>
          <w:color w:val="231F20"/>
          <w:w w:val="95"/>
        </w:rPr>
        <w:t>o</w:t>
      </w:r>
      <w:r>
        <w:rPr>
          <w:color w:val="231F20"/>
          <w:spacing w:val="-14"/>
          <w:w w:val="95"/>
        </w:rPr>
        <w:t xml:space="preserve"> </w:t>
      </w:r>
      <w:r>
        <w:rPr>
          <w:color w:val="231F20"/>
          <w:w w:val="95"/>
        </w:rPr>
        <w:t>možném</w:t>
      </w:r>
      <w:r>
        <w:rPr>
          <w:color w:val="231F20"/>
          <w:spacing w:val="-13"/>
          <w:w w:val="95"/>
        </w:rPr>
        <w:t xml:space="preserve"> </w:t>
      </w:r>
      <w:r>
        <w:rPr>
          <w:color w:val="231F20"/>
          <w:w w:val="95"/>
        </w:rPr>
        <w:t>zneužití</w:t>
      </w:r>
      <w:r>
        <w:rPr>
          <w:color w:val="231F20"/>
          <w:spacing w:val="-14"/>
          <w:w w:val="95"/>
        </w:rPr>
        <w:t xml:space="preserve"> </w:t>
      </w:r>
      <w:r>
        <w:rPr>
          <w:color w:val="231F20"/>
          <w:w w:val="95"/>
        </w:rPr>
        <w:t>e-mailu</w:t>
      </w:r>
      <w:r>
        <w:rPr>
          <w:color w:val="231F20"/>
          <w:spacing w:val="-13"/>
          <w:w w:val="95"/>
        </w:rPr>
        <w:t xml:space="preserve"> </w:t>
      </w:r>
      <w:r>
        <w:rPr>
          <w:color w:val="231F20"/>
          <w:w w:val="95"/>
        </w:rPr>
        <w:t>či</w:t>
      </w:r>
      <w:r>
        <w:rPr>
          <w:color w:val="231F20"/>
          <w:spacing w:val="-14"/>
          <w:w w:val="95"/>
        </w:rPr>
        <w:t xml:space="preserve"> </w:t>
      </w:r>
      <w:r>
        <w:rPr>
          <w:color w:val="231F20"/>
          <w:w w:val="95"/>
        </w:rPr>
        <w:t>telefon- ního</w:t>
      </w:r>
      <w:r>
        <w:rPr>
          <w:color w:val="231F20"/>
          <w:spacing w:val="-8"/>
          <w:w w:val="95"/>
        </w:rPr>
        <w:t xml:space="preserve"> </w:t>
      </w:r>
      <w:r>
        <w:rPr>
          <w:color w:val="231F20"/>
          <w:w w:val="95"/>
        </w:rPr>
        <w:t>čísla</w:t>
      </w:r>
      <w:r>
        <w:rPr>
          <w:color w:val="231F20"/>
          <w:spacing w:val="-7"/>
          <w:w w:val="95"/>
        </w:rPr>
        <w:t xml:space="preserve"> </w:t>
      </w:r>
      <w:r>
        <w:rPr>
          <w:color w:val="231F20"/>
          <w:spacing w:val="-4"/>
          <w:w w:val="95"/>
        </w:rPr>
        <w:t>(např.</w:t>
      </w:r>
      <w:r>
        <w:rPr>
          <w:color w:val="231F20"/>
          <w:spacing w:val="-8"/>
          <w:w w:val="95"/>
        </w:rPr>
        <w:t xml:space="preserve"> </w:t>
      </w:r>
      <w:r>
        <w:rPr>
          <w:color w:val="231F20"/>
          <w:w w:val="95"/>
        </w:rPr>
        <w:t>z</w:t>
      </w:r>
      <w:r>
        <w:rPr>
          <w:color w:val="231F20"/>
          <w:spacing w:val="-7"/>
          <w:w w:val="95"/>
        </w:rPr>
        <w:t xml:space="preserve"> </w:t>
      </w:r>
      <w:r>
        <w:rPr>
          <w:color w:val="231F20"/>
          <w:w w:val="95"/>
        </w:rPr>
        <w:t>důvodu</w:t>
      </w:r>
      <w:r>
        <w:rPr>
          <w:color w:val="231F20"/>
          <w:spacing w:val="-8"/>
          <w:w w:val="95"/>
        </w:rPr>
        <w:t xml:space="preserve"> </w:t>
      </w:r>
      <w:r>
        <w:rPr>
          <w:color w:val="231F20"/>
          <w:w w:val="95"/>
        </w:rPr>
        <w:t>odcizení,</w:t>
      </w:r>
      <w:r>
        <w:rPr>
          <w:color w:val="231F20"/>
          <w:spacing w:val="-7"/>
          <w:w w:val="95"/>
        </w:rPr>
        <w:t xml:space="preserve"> </w:t>
      </w:r>
      <w:r>
        <w:rPr>
          <w:color w:val="231F20"/>
          <w:spacing w:val="-4"/>
          <w:w w:val="95"/>
        </w:rPr>
        <w:t>ztráty,</w:t>
      </w:r>
      <w:r>
        <w:rPr>
          <w:color w:val="231F20"/>
          <w:spacing w:val="-8"/>
          <w:w w:val="95"/>
        </w:rPr>
        <w:t xml:space="preserve"> </w:t>
      </w:r>
      <w:r>
        <w:rPr>
          <w:color w:val="231F20"/>
          <w:spacing w:val="-3"/>
          <w:w w:val="95"/>
        </w:rPr>
        <w:t>prozrazení</w:t>
      </w:r>
      <w:r>
        <w:rPr>
          <w:color w:val="231F20"/>
          <w:spacing w:val="-7"/>
          <w:w w:val="95"/>
        </w:rPr>
        <w:t xml:space="preserve"> </w:t>
      </w:r>
      <w:r>
        <w:rPr>
          <w:color w:val="231F20"/>
          <w:w w:val="95"/>
        </w:rPr>
        <w:t>přístupových</w:t>
      </w:r>
      <w:r>
        <w:rPr>
          <w:color w:val="231F20"/>
          <w:spacing w:val="-8"/>
          <w:w w:val="95"/>
        </w:rPr>
        <w:t xml:space="preserve"> </w:t>
      </w:r>
      <w:r>
        <w:rPr>
          <w:color w:val="231F20"/>
          <w:w w:val="95"/>
        </w:rPr>
        <w:t>údajů</w:t>
      </w:r>
      <w:r>
        <w:rPr>
          <w:color w:val="231F20"/>
          <w:spacing w:val="-7"/>
          <w:w w:val="95"/>
        </w:rPr>
        <w:t xml:space="preserve"> </w:t>
      </w:r>
      <w:r>
        <w:rPr>
          <w:color w:val="231F20"/>
          <w:w w:val="95"/>
        </w:rPr>
        <w:t>apod.).</w:t>
      </w:r>
    </w:p>
    <w:p w14:paraId="6F21D760"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9</w:t>
      </w:r>
      <w:r>
        <w:rPr>
          <w:color w:val="231F20"/>
          <w:spacing w:val="5"/>
          <w:position w:val="1"/>
          <w:sz w:val="14"/>
        </w:rPr>
        <w:t xml:space="preserve"> </w:t>
      </w:r>
      <w:r>
        <w:rPr>
          <w:color w:val="231F20"/>
        </w:rPr>
        <w:t>Veškeré</w:t>
      </w:r>
      <w:r>
        <w:rPr>
          <w:color w:val="231F20"/>
          <w:spacing w:val="-19"/>
        </w:rPr>
        <w:t xml:space="preserve"> </w:t>
      </w:r>
      <w:r>
        <w:rPr>
          <w:color w:val="231F20"/>
        </w:rPr>
        <w:t>doklady</w:t>
      </w:r>
      <w:r>
        <w:rPr>
          <w:color w:val="231F20"/>
          <w:spacing w:val="-20"/>
        </w:rPr>
        <w:t xml:space="preserve"> </w:t>
      </w:r>
      <w:r>
        <w:rPr>
          <w:color w:val="231F20"/>
        </w:rPr>
        <w:t>týkající</w:t>
      </w:r>
      <w:r>
        <w:rPr>
          <w:color w:val="231F20"/>
          <w:spacing w:val="-20"/>
        </w:rPr>
        <w:t xml:space="preserve"> </w:t>
      </w:r>
      <w:r>
        <w:rPr>
          <w:color w:val="231F20"/>
        </w:rPr>
        <w:t>se</w:t>
      </w:r>
      <w:r>
        <w:rPr>
          <w:color w:val="231F20"/>
          <w:spacing w:val="-20"/>
        </w:rPr>
        <w:t xml:space="preserve"> </w:t>
      </w:r>
      <w:r>
        <w:rPr>
          <w:color w:val="231F20"/>
        </w:rPr>
        <w:t>pojištění</w:t>
      </w:r>
      <w:r>
        <w:rPr>
          <w:color w:val="231F20"/>
          <w:spacing w:val="-19"/>
        </w:rPr>
        <w:t xml:space="preserve"> </w:t>
      </w:r>
      <w:r>
        <w:rPr>
          <w:color w:val="231F20"/>
        </w:rPr>
        <w:t>se</w:t>
      </w:r>
      <w:r>
        <w:rPr>
          <w:color w:val="231F20"/>
          <w:spacing w:val="-20"/>
        </w:rPr>
        <w:t xml:space="preserve"> </w:t>
      </w:r>
      <w:r>
        <w:rPr>
          <w:color w:val="231F20"/>
        </w:rPr>
        <w:t>předkládají</w:t>
      </w:r>
      <w:r>
        <w:rPr>
          <w:color w:val="231F20"/>
          <w:spacing w:val="-20"/>
        </w:rPr>
        <w:t xml:space="preserve"> </w:t>
      </w:r>
      <w:r>
        <w:rPr>
          <w:color w:val="231F20"/>
        </w:rPr>
        <w:t>v</w:t>
      </w:r>
      <w:r>
        <w:rPr>
          <w:color w:val="231F20"/>
          <w:spacing w:val="-20"/>
        </w:rPr>
        <w:t xml:space="preserve"> </w:t>
      </w:r>
      <w:r>
        <w:rPr>
          <w:color w:val="231F20"/>
        </w:rPr>
        <w:t>českém</w:t>
      </w:r>
      <w:r>
        <w:rPr>
          <w:color w:val="231F20"/>
          <w:spacing w:val="-19"/>
        </w:rPr>
        <w:t xml:space="preserve"> </w:t>
      </w:r>
      <w:r>
        <w:rPr>
          <w:color w:val="231F20"/>
        </w:rPr>
        <w:t>jazyce.</w:t>
      </w:r>
      <w:r>
        <w:rPr>
          <w:color w:val="231F20"/>
          <w:spacing w:val="-20"/>
        </w:rPr>
        <w:t xml:space="preserve"> </w:t>
      </w:r>
      <w:r>
        <w:rPr>
          <w:color w:val="231F20"/>
        </w:rPr>
        <w:t>V</w:t>
      </w:r>
      <w:r>
        <w:rPr>
          <w:color w:val="231F20"/>
          <w:spacing w:val="-20"/>
        </w:rPr>
        <w:t xml:space="preserve"> </w:t>
      </w:r>
      <w:r>
        <w:rPr>
          <w:color w:val="231F20"/>
        </w:rPr>
        <w:t>případě dokladů</w:t>
      </w:r>
      <w:r>
        <w:rPr>
          <w:color w:val="231F20"/>
          <w:spacing w:val="-4"/>
        </w:rPr>
        <w:t xml:space="preserve"> </w:t>
      </w:r>
      <w:r>
        <w:rPr>
          <w:color w:val="231F20"/>
        </w:rPr>
        <w:t>v</w:t>
      </w:r>
      <w:r>
        <w:rPr>
          <w:color w:val="231F20"/>
          <w:spacing w:val="-4"/>
        </w:rPr>
        <w:t xml:space="preserve"> </w:t>
      </w:r>
      <w:r>
        <w:rPr>
          <w:color w:val="231F20"/>
        </w:rPr>
        <w:t>jiném</w:t>
      </w:r>
      <w:r>
        <w:rPr>
          <w:color w:val="231F20"/>
          <w:spacing w:val="-4"/>
        </w:rPr>
        <w:t xml:space="preserve"> </w:t>
      </w:r>
      <w:r>
        <w:rPr>
          <w:color w:val="231F20"/>
        </w:rPr>
        <w:t>jazyce,</w:t>
      </w:r>
      <w:r>
        <w:rPr>
          <w:color w:val="231F20"/>
          <w:spacing w:val="-4"/>
        </w:rPr>
        <w:t xml:space="preserve"> </w:t>
      </w:r>
      <w:r>
        <w:rPr>
          <w:color w:val="231F20"/>
        </w:rPr>
        <w:t>je</w:t>
      </w:r>
      <w:r>
        <w:rPr>
          <w:color w:val="231F20"/>
          <w:spacing w:val="-3"/>
        </w:rPr>
        <w:t xml:space="preserve"> </w:t>
      </w:r>
      <w:r>
        <w:rPr>
          <w:color w:val="231F20"/>
        </w:rPr>
        <w:t>nutné</w:t>
      </w:r>
      <w:r>
        <w:rPr>
          <w:color w:val="231F20"/>
          <w:spacing w:val="-4"/>
        </w:rPr>
        <w:t xml:space="preserve"> </w:t>
      </w:r>
      <w:r>
        <w:rPr>
          <w:color w:val="231F20"/>
        </w:rPr>
        <w:t>na</w:t>
      </w:r>
      <w:r>
        <w:rPr>
          <w:color w:val="231F20"/>
          <w:spacing w:val="-4"/>
        </w:rPr>
        <w:t xml:space="preserve"> </w:t>
      </w:r>
      <w:r>
        <w:rPr>
          <w:color w:val="231F20"/>
        </w:rPr>
        <w:t>žádost</w:t>
      </w:r>
      <w:r>
        <w:rPr>
          <w:color w:val="231F20"/>
          <w:spacing w:val="-4"/>
        </w:rPr>
        <w:t xml:space="preserve"> </w:t>
      </w:r>
      <w:r>
        <w:rPr>
          <w:color w:val="231F20"/>
        </w:rPr>
        <w:t>Pojišťovny</w:t>
      </w:r>
      <w:r>
        <w:rPr>
          <w:color w:val="231F20"/>
          <w:spacing w:val="-4"/>
        </w:rPr>
        <w:t xml:space="preserve"> </w:t>
      </w:r>
      <w:r>
        <w:rPr>
          <w:color w:val="231F20"/>
        </w:rPr>
        <w:t>předložit</w:t>
      </w:r>
      <w:r>
        <w:rPr>
          <w:color w:val="231F20"/>
          <w:spacing w:val="-3"/>
        </w:rPr>
        <w:t xml:space="preserve"> </w:t>
      </w:r>
      <w:r>
        <w:rPr>
          <w:color w:val="231F20"/>
        </w:rPr>
        <w:t>tento</w:t>
      </w:r>
      <w:r>
        <w:rPr>
          <w:color w:val="231F20"/>
          <w:spacing w:val="-4"/>
        </w:rPr>
        <w:t xml:space="preserve"> </w:t>
      </w:r>
      <w:r>
        <w:rPr>
          <w:color w:val="231F20"/>
        </w:rPr>
        <w:t>doklad spolu</w:t>
      </w:r>
      <w:r>
        <w:rPr>
          <w:color w:val="231F20"/>
          <w:spacing w:val="-16"/>
        </w:rPr>
        <w:t xml:space="preserve"> </w:t>
      </w:r>
      <w:r>
        <w:rPr>
          <w:color w:val="231F20"/>
        </w:rPr>
        <w:t>s</w:t>
      </w:r>
      <w:r>
        <w:rPr>
          <w:color w:val="231F20"/>
          <w:spacing w:val="-15"/>
        </w:rPr>
        <w:t xml:space="preserve"> </w:t>
      </w:r>
      <w:r>
        <w:rPr>
          <w:color w:val="231F20"/>
        </w:rPr>
        <w:t>jeho</w:t>
      </w:r>
      <w:r>
        <w:rPr>
          <w:color w:val="231F20"/>
          <w:spacing w:val="-16"/>
        </w:rPr>
        <w:t xml:space="preserve"> </w:t>
      </w:r>
      <w:r>
        <w:rPr>
          <w:color w:val="231F20"/>
        </w:rPr>
        <w:t>úředně</w:t>
      </w:r>
      <w:r>
        <w:rPr>
          <w:color w:val="231F20"/>
          <w:spacing w:val="-15"/>
        </w:rPr>
        <w:t xml:space="preserve"> </w:t>
      </w:r>
      <w:r>
        <w:rPr>
          <w:color w:val="231F20"/>
        </w:rPr>
        <w:t>ověřeným</w:t>
      </w:r>
      <w:r>
        <w:rPr>
          <w:color w:val="231F20"/>
          <w:spacing w:val="-15"/>
        </w:rPr>
        <w:t xml:space="preserve"> </w:t>
      </w:r>
      <w:r>
        <w:rPr>
          <w:color w:val="231F20"/>
        </w:rPr>
        <w:t>překladem</w:t>
      </w:r>
      <w:r>
        <w:rPr>
          <w:color w:val="231F20"/>
          <w:spacing w:val="-16"/>
        </w:rPr>
        <w:t xml:space="preserve"> </w:t>
      </w:r>
      <w:r>
        <w:rPr>
          <w:color w:val="231F20"/>
        </w:rPr>
        <w:t>do</w:t>
      </w:r>
      <w:r>
        <w:rPr>
          <w:color w:val="231F20"/>
          <w:spacing w:val="-15"/>
        </w:rPr>
        <w:t xml:space="preserve"> </w:t>
      </w:r>
      <w:r>
        <w:rPr>
          <w:color w:val="231F20"/>
        </w:rPr>
        <w:t>českého</w:t>
      </w:r>
      <w:r>
        <w:rPr>
          <w:color w:val="231F20"/>
          <w:spacing w:val="-15"/>
        </w:rPr>
        <w:t xml:space="preserve"> </w:t>
      </w:r>
      <w:r>
        <w:rPr>
          <w:color w:val="231F20"/>
        </w:rPr>
        <w:t>jazyka.</w:t>
      </w:r>
      <w:r>
        <w:rPr>
          <w:color w:val="231F20"/>
          <w:spacing w:val="-16"/>
        </w:rPr>
        <w:t xml:space="preserve"> </w:t>
      </w:r>
      <w:r>
        <w:rPr>
          <w:color w:val="231F20"/>
        </w:rPr>
        <w:t>Náklady</w:t>
      </w:r>
      <w:r>
        <w:rPr>
          <w:color w:val="231F20"/>
          <w:spacing w:val="-15"/>
        </w:rPr>
        <w:t xml:space="preserve"> </w:t>
      </w:r>
      <w:r>
        <w:rPr>
          <w:color w:val="231F20"/>
        </w:rPr>
        <w:t>na</w:t>
      </w:r>
      <w:r>
        <w:rPr>
          <w:color w:val="231F20"/>
          <w:spacing w:val="-15"/>
        </w:rPr>
        <w:t xml:space="preserve"> </w:t>
      </w:r>
      <w:r>
        <w:rPr>
          <w:color w:val="231F20"/>
          <w:spacing w:val="-5"/>
        </w:rPr>
        <w:t xml:space="preserve">pře- </w:t>
      </w:r>
      <w:r>
        <w:rPr>
          <w:color w:val="231F20"/>
        </w:rPr>
        <w:t>klad těchto dokladů hradí ten, kdo tyto doklady</w:t>
      </w:r>
      <w:r>
        <w:rPr>
          <w:color w:val="231F20"/>
          <w:spacing w:val="-16"/>
        </w:rPr>
        <w:t xml:space="preserve"> </w:t>
      </w:r>
      <w:r>
        <w:rPr>
          <w:color w:val="231F20"/>
        </w:rPr>
        <w:t>předkládá.</w:t>
      </w:r>
    </w:p>
    <w:p w14:paraId="00508247" w14:textId="77777777" w:rsidR="00F65BCA" w:rsidRDefault="00F65BCA">
      <w:pPr>
        <w:pStyle w:val="Zkladntext"/>
        <w:spacing w:before="9"/>
        <w:rPr>
          <w:sz w:val="20"/>
        </w:rPr>
      </w:pPr>
    </w:p>
    <w:p w14:paraId="2BA28FC6" w14:textId="77777777" w:rsidR="00F65BCA" w:rsidRDefault="00216117">
      <w:pPr>
        <w:ind w:left="186"/>
        <w:jc w:val="both"/>
        <w:rPr>
          <w:sz w:val="15"/>
        </w:rPr>
      </w:pPr>
      <w:r>
        <w:rPr>
          <w:color w:val="FFFFFF"/>
          <w:position w:val="3"/>
          <w:sz w:val="16"/>
          <w:shd w:val="clear" w:color="auto" w:fill="808285"/>
        </w:rPr>
        <w:t xml:space="preserve">  </w:t>
      </w:r>
      <w:r>
        <w:rPr>
          <w:color w:val="FFFFFF"/>
          <w:w w:val="105"/>
          <w:position w:val="3"/>
          <w:sz w:val="16"/>
          <w:shd w:val="clear" w:color="auto" w:fill="808285"/>
        </w:rPr>
        <w:t>Článek 11</w:t>
      </w:r>
      <w:r>
        <w:rPr>
          <w:color w:val="FFFFFF"/>
          <w:w w:val="105"/>
          <w:position w:val="3"/>
          <w:sz w:val="16"/>
        </w:rPr>
        <w:t xml:space="preserve"> </w:t>
      </w:r>
      <w:r>
        <w:rPr>
          <w:color w:val="231F20"/>
          <w:w w:val="105"/>
          <w:sz w:val="15"/>
        </w:rPr>
        <w:t>Zproštění mlčenlivosti, zmocnění</w:t>
      </w:r>
    </w:p>
    <w:p w14:paraId="16725854" w14:textId="77777777" w:rsidR="00F65BCA" w:rsidRDefault="00216117">
      <w:pPr>
        <w:pStyle w:val="Zkladntext"/>
        <w:spacing w:before="147"/>
        <w:ind w:left="186"/>
        <w:jc w:val="both"/>
      </w:pPr>
      <w:r>
        <w:rPr>
          <w:color w:val="231F20"/>
          <w:position w:val="1"/>
          <w:sz w:val="14"/>
          <w:shd w:val="clear" w:color="auto" w:fill="D1D3D4"/>
        </w:rPr>
        <w:t xml:space="preserve">  1</w:t>
      </w:r>
      <w:r>
        <w:rPr>
          <w:color w:val="231F20"/>
          <w:position w:val="1"/>
          <w:sz w:val="14"/>
        </w:rPr>
        <w:t xml:space="preserve"> </w:t>
      </w:r>
      <w:r>
        <w:rPr>
          <w:color w:val="231F20"/>
        </w:rPr>
        <w:t>Uzavřením pojistné smlouvy pojistník/pojištěný:</w:t>
      </w:r>
    </w:p>
    <w:p w14:paraId="3BB355A0" w14:textId="77777777" w:rsidR="00F65BCA" w:rsidRDefault="00216117">
      <w:pPr>
        <w:pStyle w:val="Odstavecseseznamem"/>
        <w:numPr>
          <w:ilvl w:val="0"/>
          <w:numId w:val="117"/>
        </w:numPr>
        <w:tabs>
          <w:tab w:val="left" w:pos="639"/>
        </w:tabs>
        <w:spacing w:before="27" w:line="278" w:lineRule="auto"/>
        <w:ind w:right="424"/>
        <w:jc w:val="both"/>
        <w:rPr>
          <w:sz w:val="15"/>
        </w:rPr>
      </w:pPr>
      <w:r>
        <w:rPr>
          <w:color w:val="231F20"/>
          <w:w w:val="95"/>
          <w:sz w:val="15"/>
        </w:rPr>
        <w:t>pro</w:t>
      </w:r>
      <w:r>
        <w:rPr>
          <w:color w:val="231F20"/>
          <w:spacing w:val="-9"/>
          <w:w w:val="95"/>
          <w:sz w:val="15"/>
        </w:rPr>
        <w:t xml:space="preserve"> </w:t>
      </w:r>
      <w:r>
        <w:rPr>
          <w:color w:val="231F20"/>
          <w:w w:val="95"/>
          <w:sz w:val="15"/>
        </w:rPr>
        <w:t>případ</w:t>
      </w:r>
      <w:r>
        <w:rPr>
          <w:color w:val="231F20"/>
          <w:spacing w:val="-8"/>
          <w:w w:val="95"/>
          <w:sz w:val="15"/>
        </w:rPr>
        <w:t xml:space="preserve"> </w:t>
      </w:r>
      <w:r>
        <w:rPr>
          <w:color w:val="231F20"/>
          <w:w w:val="95"/>
          <w:sz w:val="15"/>
        </w:rPr>
        <w:t>šetření</w:t>
      </w:r>
      <w:r>
        <w:rPr>
          <w:color w:val="231F20"/>
          <w:spacing w:val="-8"/>
          <w:w w:val="95"/>
          <w:sz w:val="15"/>
        </w:rPr>
        <w:t xml:space="preserve"> </w:t>
      </w:r>
      <w:r>
        <w:rPr>
          <w:color w:val="231F20"/>
          <w:w w:val="95"/>
          <w:sz w:val="15"/>
        </w:rPr>
        <w:t>škodní</w:t>
      </w:r>
      <w:r>
        <w:rPr>
          <w:color w:val="231F20"/>
          <w:spacing w:val="-8"/>
          <w:w w:val="95"/>
          <w:sz w:val="15"/>
        </w:rPr>
        <w:t xml:space="preserve"> </w:t>
      </w:r>
      <w:r>
        <w:rPr>
          <w:color w:val="231F20"/>
          <w:w w:val="95"/>
          <w:sz w:val="15"/>
        </w:rPr>
        <w:t>události</w:t>
      </w:r>
      <w:r>
        <w:rPr>
          <w:color w:val="231F20"/>
          <w:spacing w:val="-9"/>
          <w:w w:val="95"/>
          <w:sz w:val="15"/>
        </w:rPr>
        <w:t xml:space="preserve"> </w:t>
      </w:r>
      <w:r>
        <w:rPr>
          <w:color w:val="231F20"/>
          <w:w w:val="95"/>
          <w:sz w:val="15"/>
        </w:rPr>
        <w:t>zprošťuje</w:t>
      </w:r>
      <w:r>
        <w:rPr>
          <w:color w:val="231F20"/>
          <w:spacing w:val="-8"/>
          <w:w w:val="95"/>
          <w:sz w:val="15"/>
        </w:rPr>
        <w:t xml:space="preserve"> </w:t>
      </w:r>
      <w:r>
        <w:rPr>
          <w:color w:val="231F20"/>
          <w:w w:val="95"/>
          <w:sz w:val="15"/>
        </w:rPr>
        <w:t>státní</w:t>
      </w:r>
      <w:r>
        <w:rPr>
          <w:color w:val="231F20"/>
          <w:spacing w:val="-8"/>
          <w:w w:val="95"/>
          <w:sz w:val="15"/>
        </w:rPr>
        <w:t xml:space="preserve"> </w:t>
      </w:r>
      <w:r>
        <w:rPr>
          <w:color w:val="231F20"/>
          <w:w w:val="95"/>
          <w:sz w:val="15"/>
        </w:rPr>
        <w:t>zastupitelství,</w:t>
      </w:r>
      <w:r>
        <w:rPr>
          <w:color w:val="231F20"/>
          <w:spacing w:val="-8"/>
          <w:w w:val="95"/>
          <w:sz w:val="15"/>
        </w:rPr>
        <w:t xml:space="preserve"> </w:t>
      </w:r>
      <w:r>
        <w:rPr>
          <w:color w:val="231F20"/>
          <w:w w:val="95"/>
          <w:sz w:val="15"/>
        </w:rPr>
        <w:t>policii</w:t>
      </w:r>
      <w:r>
        <w:rPr>
          <w:color w:val="231F20"/>
          <w:spacing w:val="-8"/>
          <w:w w:val="95"/>
          <w:sz w:val="15"/>
        </w:rPr>
        <w:t xml:space="preserve"> </w:t>
      </w:r>
      <w:r>
        <w:rPr>
          <w:color w:val="231F20"/>
          <w:w w:val="95"/>
          <w:sz w:val="15"/>
        </w:rPr>
        <w:t>a</w:t>
      </w:r>
      <w:r>
        <w:rPr>
          <w:color w:val="231F20"/>
          <w:spacing w:val="-9"/>
          <w:w w:val="95"/>
          <w:sz w:val="15"/>
        </w:rPr>
        <w:t xml:space="preserve"> </w:t>
      </w:r>
      <w:r>
        <w:rPr>
          <w:color w:val="231F20"/>
          <w:w w:val="95"/>
          <w:sz w:val="15"/>
        </w:rPr>
        <w:t xml:space="preserve">další </w:t>
      </w:r>
      <w:r>
        <w:rPr>
          <w:color w:val="231F20"/>
          <w:sz w:val="15"/>
        </w:rPr>
        <w:t>orgány</w:t>
      </w:r>
      <w:r>
        <w:rPr>
          <w:color w:val="231F20"/>
          <w:spacing w:val="-30"/>
          <w:sz w:val="15"/>
        </w:rPr>
        <w:t xml:space="preserve"> </w:t>
      </w:r>
      <w:r>
        <w:rPr>
          <w:color w:val="231F20"/>
          <w:sz w:val="15"/>
        </w:rPr>
        <w:t>činné</w:t>
      </w:r>
      <w:r>
        <w:rPr>
          <w:color w:val="231F20"/>
          <w:spacing w:val="-29"/>
          <w:sz w:val="15"/>
        </w:rPr>
        <w:t xml:space="preserve"> </w:t>
      </w:r>
      <w:r>
        <w:rPr>
          <w:color w:val="231F20"/>
          <w:sz w:val="15"/>
        </w:rPr>
        <w:t>v</w:t>
      </w:r>
      <w:r>
        <w:rPr>
          <w:color w:val="231F20"/>
          <w:spacing w:val="-29"/>
          <w:sz w:val="15"/>
        </w:rPr>
        <w:t xml:space="preserve"> </w:t>
      </w:r>
      <w:r>
        <w:rPr>
          <w:color w:val="231F20"/>
          <w:sz w:val="15"/>
        </w:rPr>
        <w:t>trestním</w:t>
      </w:r>
      <w:r>
        <w:rPr>
          <w:color w:val="231F20"/>
          <w:spacing w:val="-29"/>
          <w:sz w:val="15"/>
        </w:rPr>
        <w:t xml:space="preserve"> </w:t>
      </w:r>
      <w:r>
        <w:rPr>
          <w:color w:val="231F20"/>
          <w:sz w:val="15"/>
        </w:rPr>
        <w:t>řízení,</w:t>
      </w:r>
      <w:r>
        <w:rPr>
          <w:color w:val="231F20"/>
          <w:spacing w:val="-29"/>
          <w:sz w:val="15"/>
        </w:rPr>
        <w:t xml:space="preserve"> </w:t>
      </w:r>
      <w:r>
        <w:rPr>
          <w:color w:val="231F20"/>
          <w:sz w:val="15"/>
        </w:rPr>
        <w:t>hasičský</w:t>
      </w:r>
      <w:r>
        <w:rPr>
          <w:color w:val="231F20"/>
          <w:spacing w:val="-30"/>
          <w:sz w:val="15"/>
        </w:rPr>
        <w:t xml:space="preserve"> </w:t>
      </w:r>
      <w:r>
        <w:rPr>
          <w:color w:val="231F20"/>
          <w:sz w:val="15"/>
        </w:rPr>
        <w:t>záchranný</w:t>
      </w:r>
      <w:r>
        <w:rPr>
          <w:color w:val="231F20"/>
          <w:spacing w:val="-29"/>
          <w:sz w:val="15"/>
        </w:rPr>
        <w:t xml:space="preserve"> </w:t>
      </w:r>
      <w:r>
        <w:rPr>
          <w:color w:val="231F20"/>
          <w:spacing w:val="-3"/>
          <w:sz w:val="15"/>
        </w:rPr>
        <w:t>sbor,</w:t>
      </w:r>
      <w:r>
        <w:rPr>
          <w:color w:val="231F20"/>
          <w:spacing w:val="-29"/>
          <w:sz w:val="15"/>
        </w:rPr>
        <w:t xml:space="preserve"> </w:t>
      </w:r>
      <w:r>
        <w:rPr>
          <w:color w:val="231F20"/>
          <w:sz w:val="15"/>
        </w:rPr>
        <w:t>lékaře,</w:t>
      </w:r>
      <w:r>
        <w:rPr>
          <w:color w:val="231F20"/>
          <w:spacing w:val="-29"/>
          <w:sz w:val="15"/>
        </w:rPr>
        <w:t xml:space="preserve"> </w:t>
      </w:r>
      <w:r>
        <w:rPr>
          <w:color w:val="231F20"/>
          <w:spacing w:val="-2"/>
          <w:sz w:val="15"/>
        </w:rPr>
        <w:t xml:space="preserve">zdravotnická </w:t>
      </w:r>
      <w:r>
        <w:rPr>
          <w:color w:val="231F20"/>
          <w:sz w:val="15"/>
        </w:rPr>
        <w:t>zařízení,</w:t>
      </w:r>
      <w:r>
        <w:rPr>
          <w:color w:val="231F20"/>
          <w:spacing w:val="-21"/>
          <w:sz w:val="15"/>
        </w:rPr>
        <w:t xml:space="preserve"> </w:t>
      </w:r>
      <w:r>
        <w:rPr>
          <w:color w:val="231F20"/>
          <w:sz w:val="15"/>
        </w:rPr>
        <w:t>záchrannou</w:t>
      </w:r>
      <w:r>
        <w:rPr>
          <w:color w:val="231F20"/>
          <w:spacing w:val="-20"/>
          <w:sz w:val="15"/>
        </w:rPr>
        <w:t xml:space="preserve"> </w:t>
      </w:r>
      <w:r>
        <w:rPr>
          <w:color w:val="231F20"/>
          <w:sz w:val="15"/>
        </w:rPr>
        <w:t>službu</w:t>
      </w:r>
      <w:r>
        <w:rPr>
          <w:color w:val="231F20"/>
          <w:spacing w:val="-20"/>
          <w:sz w:val="15"/>
        </w:rPr>
        <w:t xml:space="preserve"> </w:t>
      </w:r>
      <w:r>
        <w:rPr>
          <w:color w:val="231F20"/>
          <w:sz w:val="15"/>
        </w:rPr>
        <w:t>a</w:t>
      </w:r>
      <w:r>
        <w:rPr>
          <w:color w:val="231F20"/>
          <w:spacing w:val="-21"/>
          <w:sz w:val="15"/>
        </w:rPr>
        <w:t xml:space="preserve"> </w:t>
      </w:r>
      <w:r>
        <w:rPr>
          <w:color w:val="231F20"/>
          <w:sz w:val="15"/>
        </w:rPr>
        <w:t>zdravotní</w:t>
      </w:r>
      <w:r>
        <w:rPr>
          <w:color w:val="231F20"/>
          <w:spacing w:val="-20"/>
          <w:sz w:val="15"/>
        </w:rPr>
        <w:t xml:space="preserve"> </w:t>
      </w:r>
      <w:r>
        <w:rPr>
          <w:color w:val="231F20"/>
          <w:sz w:val="15"/>
        </w:rPr>
        <w:t>pojišťovny</w:t>
      </w:r>
      <w:r>
        <w:rPr>
          <w:color w:val="231F20"/>
          <w:spacing w:val="-20"/>
          <w:sz w:val="15"/>
        </w:rPr>
        <w:t xml:space="preserve"> </w:t>
      </w:r>
      <w:r>
        <w:rPr>
          <w:color w:val="231F20"/>
          <w:sz w:val="15"/>
        </w:rPr>
        <w:t>povinnosti</w:t>
      </w:r>
      <w:r>
        <w:rPr>
          <w:color w:val="231F20"/>
          <w:spacing w:val="-21"/>
          <w:sz w:val="15"/>
        </w:rPr>
        <w:t xml:space="preserve"> </w:t>
      </w:r>
      <w:r>
        <w:rPr>
          <w:color w:val="231F20"/>
          <w:sz w:val="15"/>
        </w:rPr>
        <w:t>mlčenlivosti; zavazuje</w:t>
      </w:r>
      <w:r>
        <w:rPr>
          <w:color w:val="231F20"/>
          <w:spacing w:val="-16"/>
          <w:sz w:val="15"/>
        </w:rPr>
        <w:t xml:space="preserve"> </w:t>
      </w:r>
      <w:r>
        <w:rPr>
          <w:color w:val="231F20"/>
          <w:sz w:val="15"/>
        </w:rPr>
        <w:t>se</w:t>
      </w:r>
      <w:r>
        <w:rPr>
          <w:color w:val="231F20"/>
          <w:spacing w:val="-16"/>
          <w:sz w:val="15"/>
        </w:rPr>
        <w:t xml:space="preserve"> </w:t>
      </w:r>
      <w:r>
        <w:rPr>
          <w:color w:val="231F20"/>
          <w:sz w:val="15"/>
        </w:rPr>
        <w:t>informovat</w:t>
      </w:r>
      <w:r>
        <w:rPr>
          <w:color w:val="231F20"/>
          <w:spacing w:val="-16"/>
          <w:sz w:val="15"/>
        </w:rPr>
        <w:t xml:space="preserve"> </w:t>
      </w:r>
      <w:r>
        <w:rPr>
          <w:color w:val="231F20"/>
          <w:sz w:val="15"/>
        </w:rPr>
        <w:t>Pojišťovnu</w:t>
      </w:r>
      <w:r>
        <w:rPr>
          <w:color w:val="231F20"/>
          <w:spacing w:val="-16"/>
          <w:sz w:val="15"/>
        </w:rPr>
        <w:t xml:space="preserve"> </w:t>
      </w:r>
      <w:r>
        <w:rPr>
          <w:color w:val="231F20"/>
          <w:sz w:val="15"/>
        </w:rPr>
        <w:t>o</w:t>
      </w:r>
      <w:r>
        <w:rPr>
          <w:color w:val="231F20"/>
          <w:spacing w:val="-16"/>
          <w:sz w:val="15"/>
        </w:rPr>
        <w:t xml:space="preserve"> </w:t>
      </w:r>
      <w:r>
        <w:rPr>
          <w:color w:val="231F20"/>
          <w:sz w:val="15"/>
        </w:rPr>
        <w:t>ošetřujících</w:t>
      </w:r>
      <w:r>
        <w:rPr>
          <w:color w:val="231F20"/>
          <w:spacing w:val="-16"/>
          <w:sz w:val="15"/>
        </w:rPr>
        <w:t xml:space="preserve"> </w:t>
      </w:r>
      <w:r>
        <w:rPr>
          <w:color w:val="231F20"/>
          <w:sz w:val="15"/>
        </w:rPr>
        <w:t>lékařích</w:t>
      </w:r>
      <w:r>
        <w:rPr>
          <w:color w:val="231F20"/>
          <w:spacing w:val="-16"/>
          <w:sz w:val="15"/>
        </w:rPr>
        <w:t xml:space="preserve"> </w:t>
      </w:r>
      <w:r>
        <w:rPr>
          <w:color w:val="231F20"/>
          <w:sz w:val="15"/>
        </w:rPr>
        <w:t>a</w:t>
      </w:r>
      <w:r>
        <w:rPr>
          <w:color w:val="231F20"/>
          <w:spacing w:val="-16"/>
          <w:sz w:val="15"/>
        </w:rPr>
        <w:t xml:space="preserve"> </w:t>
      </w:r>
      <w:r>
        <w:rPr>
          <w:color w:val="231F20"/>
          <w:sz w:val="15"/>
        </w:rPr>
        <w:t>zdravotnických zařízeních a zajišťovat od nich požadované</w:t>
      </w:r>
      <w:r>
        <w:rPr>
          <w:color w:val="231F20"/>
          <w:spacing w:val="-22"/>
          <w:sz w:val="15"/>
        </w:rPr>
        <w:t xml:space="preserve"> </w:t>
      </w:r>
      <w:r>
        <w:rPr>
          <w:color w:val="231F20"/>
          <w:sz w:val="15"/>
        </w:rPr>
        <w:t>zprávy;</w:t>
      </w:r>
    </w:p>
    <w:p w14:paraId="69E89D0F" w14:textId="77777777" w:rsidR="00F65BCA" w:rsidRDefault="00216117">
      <w:pPr>
        <w:pStyle w:val="Odstavecseseznamem"/>
        <w:numPr>
          <w:ilvl w:val="0"/>
          <w:numId w:val="117"/>
        </w:numPr>
        <w:tabs>
          <w:tab w:val="left" w:pos="639"/>
        </w:tabs>
        <w:spacing w:line="278" w:lineRule="auto"/>
        <w:ind w:right="424"/>
        <w:jc w:val="both"/>
        <w:rPr>
          <w:sz w:val="15"/>
        </w:rPr>
      </w:pPr>
      <w:r>
        <w:rPr>
          <w:color w:val="231F20"/>
          <w:sz w:val="15"/>
        </w:rPr>
        <w:t>zmocňuje</w:t>
      </w:r>
      <w:r>
        <w:rPr>
          <w:color w:val="231F20"/>
          <w:spacing w:val="-14"/>
          <w:sz w:val="15"/>
        </w:rPr>
        <w:t xml:space="preserve"> </w:t>
      </w:r>
      <w:r>
        <w:rPr>
          <w:color w:val="231F20"/>
          <w:sz w:val="15"/>
        </w:rPr>
        <w:t>Pojišťovnu,</w:t>
      </w:r>
      <w:r>
        <w:rPr>
          <w:color w:val="231F20"/>
          <w:spacing w:val="-14"/>
          <w:sz w:val="15"/>
        </w:rPr>
        <w:t xml:space="preserve"> </w:t>
      </w:r>
      <w:r>
        <w:rPr>
          <w:color w:val="231F20"/>
          <w:sz w:val="15"/>
        </w:rPr>
        <w:t>resp.</w:t>
      </w:r>
      <w:r>
        <w:rPr>
          <w:color w:val="231F20"/>
          <w:spacing w:val="-14"/>
          <w:sz w:val="15"/>
        </w:rPr>
        <w:t xml:space="preserve"> </w:t>
      </w:r>
      <w:r>
        <w:rPr>
          <w:color w:val="231F20"/>
          <w:sz w:val="15"/>
        </w:rPr>
        <w:t>jí</w:t>
      </w:r>
      <w:r>
        <w:rPr>
          <w:color w:val="231F20"/>
          <w:spacing w:val="-14"/>
          <w:sz w:val="15"/>
        </w:rPr>
        <w:t xml:space="preserve"> </w:t>
      </w:r>
      <w:r>
        <w:rPr>
          <w:color w:val="231F20"/>
          <w:sz w:val="15"/>
        </w:rPr>
        <w:t>pověřenou</w:t>
      </w:r>
      <w:r>
        <w:rPr>
          <w:color w:val="231F20"/>
          <w:spacing w:val="-14"/>
          <w:sz w:val="15"/>
        </w:rPr>
        <w:t xml:space="preserve"> </w:t>
      </w:r>
      <w:r>
        <w:rPr>
          <w:color w:val="231F20"/>
          <w:sz w:val="15"/>
        </w:rPr>
        <w:t>osobu,</w:t>
      </w:r>
      <w:r>
        <w:rPr>
          <w:color w:val="231F20"/>
          <w:spacing w:val="-14"/>
          <w:sz w:val="15"/>
        </w:rPr>
        <w:t xml:space="preserve"> </w:t>
      </w:r>
      <w:r>
        <w:rPr>
          <w:color w:val="231F20"/>
          <w:sz w:val="15"/>
        </w:rPr>
        <w:t>aby</w:t>
      </w:r>
      <w:r>
        <w:rPr>
          <w:color w:val="231F20"/>
          <w:spacing w:val="-14"/>
          <w:sz w:val="15"/>
        </w:rPr>
        <w:t xml:space="preserve"> </w:t>
      </w:r>
      <w:r>
        <w:rPr>
          <w:color w:val="231F20"/>
          <w:sz w:val="15"/>
        </w:rPr>
        <w:t>ve</w:t>
      </w:r>
      <w:r>
        <w:rPr>
          <w:color w:val="231F20"/>
          <w:spacing w:val="-14"/>
          <w:sz w:val="15"/>
        </w:rPr>
        <w:t xml:space="preserve"> </w:t>
      </w:r>
      <w:r>
        <w:rPr>
          <w:color w:val="231F20"/>
          <w:sz w:val="15"/>
        </w:rPr>
        <w:t>všech</w:t>
      </w:r>
      <w:r>
        <w:rPr>
          <w:color w:val="231F20"/>
          <w:spacing w:val="-14"/>
          <w:sz w:val="15"/>
        </w:rPr>
        <w:t xml:space="preserve"> </w:t>
      </w:r>
      <w:r>
        <w:rPr>
          <w:color w:val="231F20"/>
          <w:sz w:val="15"/>
        </w:rPr>
        <w:t>řízeních</w:t>
      </w:r>
      <w:r>
        <w:rPr>
          <w:color w:val="231F20"/>
          <w:spacing w:val="-13"/>
          <w:sz w:val="15"/>
        </w:rPr>
        <w:t xml:space="preserve"> </w:t>
      </w:r>
      <w:r>
        <w:rPr>
          <w:color w:val="231F20"/>
          <w:spacing w:val="-4"/>
          <w:sz w:val="15"/>
        </w:rPr>
        <w:t xml:space="preserve">pro- </w:t>
      </w:r>
      <w:r>
        <w:rPr>
          <w:color w:val="231F20"/>
          <w:sz w:val="15"/>
        </w:rPr>
        <w:t>bíhajících</w:t>
      </w:r>
      <w:r>
        <w:rPr>
          <w:color w:val="231F20"/>
          <w:spacing w:val="-16"/>
          <w:sz w:val="15"/>
        </w:rPr>
        <w:t xml:space="preserve"> </w:t>
      </w:r>
      <w:r>
        <w:rPr>
          <w:color w:val="231F20"/>
          <w:sz w:val="15"/>
        </w:rPr>
        <w:t>v</w:t>
      </w:r>
      <w:r>
        <w:rPr>
          <w:color w:val="231F20"/>
          <w:spacing w:val="-16"/>
          <w:sz w:val="15"/>
        </w:rPr>
        <w:t xml:space="preserve"> </w:t>
      </w:r>
      <w:r>
        <w:rPr>
          <w:color w:val="231F20"/>
          <w:sz w:val="15"/>
        </w:rPr>
        <w:t>souvislosti</w:t>
      </w:r>
      <w:r>
        <w:rPr>
          <w:color w:val="231F20"/>
          <w:spacing w:val="-16"/>
          <w:sz w:val="15"/>
        </w:rPr>
        <w:t xml:space="preserve"> </w:t>
      </w:r>
      <w:r>
        <w:rPr>
          <w:color w:val="231F20"/>
          <w:sz w:val="15"/>
        </w:rPr>
        <w:t>se</w:t>
      </w:r>
      <w:r>
        <w:rPr>
          <w:color w:val="231F20"/>
          <w:spacing w:val="-16"/>
          <w:sz w:val="15"/>
        </w:rPr>
        <w:t xml:space="preserve"> </w:t>
      </w:r>
      <w:r>
        <w:rPr>
          <w:color w:val="231F20"/>
          <w:sz w:val="15"/>
        </w:rPr>
        <w:t>škodní</w:t>
      </w:r>
      <w:r>
        <w:rPr>
          <w:color w:val="231F20"/>
          <w:spacing w:val="-16"/>
          <w:sz w:val="15"/>
        </w:rPr>
        <w:t xml:space="preserve"> </w:t>
      </w:r>
      <w:r>
        <w:rPr>
          <w:color w:val="231F20"/>
          <w:sz w:val="15"/>
        </w:rPr>
        <w:t>událostí</w:t>
      </w:r>
      <w:r>
        <w:rPr>
          <w:color w:val="231F20"/>
          <w:spacing w:val="-16"/>
          <w:sz w:val="15"/>
        </w:rPr>
        <w:t xml:space="preserve"> </w:t>
      </w:r>
      <w:r>
        <w:rPr>
          <w:color w:val="231F20"/>
          <w:sz w:val="15"/>
        </w:rPr>
        <w:t>mohla</w:t>
      </w:r>
      <w:r>
        <w:rPr>
          <w:color w:val="231F20"/>
          <w:spacing w:val="-15"/>
          <w:sz w:val="15"/>
        </w:rPr>
        <w:t xml:space="preserve"> </w:t>
      </w:r>
      <w:r>
        <w:rPr>
          <w:color w:val="231F20"/>
          <w:sz w:val="15"/>
        </w:rPr>
        <w:t>nahlížet</w:t>
      </w:r>
      <w:r>
        <w:rPr>
          <w:color w:val="231F20"/>
          <w:spacing w:val="-16"/>
          <w:sz w:val="15"/>
        </w:rPr>
        <w:t xml:space="preserve"> </w:t>
      </w:r>
      <w:r>
        <w:rPr>
          <w:color w:val="231F20"/>
          <w:sz w:val="15"/>
        </w:rPr>
        <w:t>do</w:t>
      </w:r>
      <w:r>
        <w:rPr>
          <w:color w:val="231F20"/>
          <w:spacing w:val="-16"/>
          <w:sz w:val="15"/>
        </w:rPr>
        <w:t xml:space="preserve"> </w:t>
      </w:r>
      <w:r>
        <w:rPr>
          <w:color w:val="231F20"/>
          <w:sz w:val="15"/>
        </w:rPr>
        <w:t>soudních,</w:t>
      </w:r>
      <w:r>
        <w:rPr>
          <w:color w:val="231F20"/>
          <w:spacing w:val="-16"/>
          <w:sz w:val="15"/>
        </w:rPr>
        <w:t xml:space="preserve"> </w:t>
      </w:r>
      <w:r>
        <w:rPr>
          <w:color w:val="231F20"/>
          <w:spacing w:val="-3"/>
          <w:sz w:val="15"/>
        </w:rPr>
        <w:t xml:space="preserve">poli- </w:t>
      </w:r>
      <w:r>
        <w:rPr>
          <w:color w:val="231F20"/>
          <w:sz w:val="15"/>
        </w:rPr>
        <w:t>cejních,</w:t>
      </w:r>
      <w:r>
        <w:rPr>
          <w:color w:val="231F20"/>
          <w:spacing w:val="-16"/>
          <w:sz w:val="15"/>
        </w:rPr>
        <w:t xml:space="preserve"> </w:t>
      </w:r>
      <w:r>
        <w:rPr>
          <w:color w:val="231F20"/>
          <w:sz w:val="15"/>
        </w:rPr>
        <w:t>případně</w:t>
      </w:r>
      <w:r>
        <w:rPr>
          <w:color w:val="231F20"/>
          <w:spacing w:val="-15"/>
          <w:sz w:val="15"/>
        </w:rPr>
        <w:t xml:space="preserve"> </w:t>
      </w:r>
      <w:r>
        <w:rPr>
          <w:color w:val="231F20"/>
          <w:sz w:val="15"/>
        </w:rPr>
        <w:t>jiných</w:t>
      </w:r>
      <w:r>
        <w:rPr>
          <w:color w:val="231F20"/>
          <w:spacing w:val="-15"/>
          <w:sz w:val="15"/>
        </w:rPr>
        <w:t xml:space="preserve"> </w:t>
      </w:r>
      <w:r>
        <w:rPr>
          <w:color w:val="231F20"/>
          <w:sz w:val="15"/>
        </w:rPr>
        <w:t>úředních</w:t>
      </w:r>
      <w:r>
        <w:rPr>
          <w:color w:val="231F20"/>
          <w:spacing w:val="-15"/>
          <w:sz w:val="15"/>
        </w:rPr>
        <w:t xml:space="preserve"> </w:t>
      </w:r>
      <w:r>
        <w:rPr>
          <w:color w:val="231F20"/>
          <w:sz w:val="15"/>
        </w:rPr>
        <w:t>spisů</w:t>
      </w:r>
      <w:r>
        <w:rPr>
          <w:color w:val="231F20"/>
          <w:spacing w:val="-15"/>
          <w:sz w:val="15"/>
        </w:rPr>
        <w:t xml:space="preserve"> </w:t>
      </w:r>
      <w:r>
        <w:rPr>
          <w:color w:val="231F20"/>
          <w:sz w:val="15"/>
        </w:rPr>
        <w:t>a</w:t>
      </w:r>
      <w:r>
        <w:rPr>
          <w:color w:val="231F20"/>
          <w:spacing w:val="-15"/>
          <w:sz w:val="15"/>
        </w:rPr>
        <w:t xml:space="preserve"> </w:t>
      </w:r>
      <w:r>
        <w:rPr>
          <w:color w:val="231F20"/>
          <w:sz w:val="15"/>
        </w:rPr>
        <w:t>zhotovovat</w:t>
      </w:r>
      <w:r>
        <w:rPr>
          <w:color w:val="231F20"/>
          <w:spacing w:val="-16"/>
          <w:sz w:val="15"/>
        </w:rPr>
        <w:t xml:space="preserve"> </w:t>
      </w:r>
      <w:r>
        <w:rPr>
          <w:color w:val="231F20"/>
          <w:sz w:val="15"/>
        </w:rPr>
        <w:t>z</w:t>
      </w:r>
      <w:r>
        <w:rPr>
          <w:color w:val="231F20"/>
          <w:spacing w:val="-15"/>
          <w:sz w:val="15"/>
        </w:rPr>
        <w:t xml:space="preserve"> </w:t>
      </w:r>
      <w:r>
        <w:rPr>
          <w:color w:val="231F20"/>
          <w:sz w:val="15"/>
        </w:rPr>
        <w:t>nich</w:t>
      </w:r>
      <w:r>
        <w:rPr>
          <w:color w:val="231F20"/>
          <w:spacing w:val="-15"/>
          <w:sz w:val="15"/>
        </w:rPr>
        <w:t xml:space="preserve"> </w:t>
      </w:r>
      <w:r>
        <w:rPr>
          <w:color w:val="231F20"/>
          <w:sz w:val="15"/>
        </w:rPr>
        <w:t>kopie</w:t>
      </w:r>
      <w:r>
        <w:rPr>
          <w:color w:val="231F20"/>
          <w:spacing w:val="-15"/>
          <w:sz w:val="15"/>
        </w:rPr>
        <w:t xml:space="preserve"> </w:t>
      </w:r>
      <w:r>
        <w:rPr>
          <w:color w:val="231F20"/>
          <w:sz w:val="15"/>
        </w:rPr>
        <w:t>či</w:t>
      </w:r>
      <w:r>
        <w:rPr>
          <w:color w:val="231F20"/>
          <w:spacing w:val="-15"/>
          <w:sz w:val="15"/>
        </w:rPr>
        <w:t xml:space="preserve"> </w:t>
      </w:r>
      <w:r>
        <w:rPr>
          <w:color w:val="231F20"/>
          <w:sz w:val="15"/>
        </w:rPr>
        <w:t>výpisy;</w:t>
      </w:r>
    </w:p>
    <w:p w14:paraId="1BDE42A9" w14:textId="77777777" w:rsidR="00F65BCA" w:rsidRDefault="00216117">
      <w:pPr>
        <w:pStyle w:val="Odstavecseseznamem"/>
        <w:numPr>
          <w:ilvl w:val="0"/>
          <w:numId w:val="117"/>
        </w:numPr>
        <w:tabs>
          <w:tab w:val="left" w:pos="639"/>
        </w:tabs>
        <w:spacing w:line="278" w:lineRule="auto"/>
        <w:ind w:right="425"/>
        <w:jc w:val="both"/>
        <w:rPr>
          <w:sz w:val="15"/>
        </w:rPr>
      </w:pPr>
      <w:r>
        <w:rPr>
          <w:color w:val="231F20"/>
          <w:sz w:val="15"/>
        </w:rPr>
        <w:t>zmocňuje</w:t>
      </w:r>
      <w:r>
        <w:rPr>
          <w:color w:val="231F20"/>
          <w:spacing w:val="-16"/>
          <w:sz w:val="15"/>
        </w:rPr>
        <w:t xml:space="preserve"> </w:t>
      </w:r>
      <w:r>
        <w:rPr>
          <w:color w:val="231F20"/>
          <w:sz w:val="15"/>
        </w:rPr>
        <w:t>Pojišťovnu</w:t>
      </w:r>
      <w:r>
        <w:rPr>
          <w:color w:val="231F20"/>
          <w:spacing w:val="-15"/>
          <w:sz w:val="15"/>
        </w:rPr>
        <w:t xml:space="preserve"> </w:t>
      </w:r>
      <w:r>
        <w:rPr>
          <w:color w:val="231F20"/>
          <w:sz w:val="15"/>
        </w:rPr>
        <w:t>k</w:t>
      </w:r>
      <w:r>
        <w:rPr>
          <w:color w:val="231F20"/>
          <w:spacing w:val="-15"/>
          <w:sz w:val="15"/>
        </w:rPr>
        <w:t xml:space="preserve"> </w:t>
      </w:r>
      <w:r>
        <w:rPr>
          <w:color w:val="231F20"/>
          <w:sz w:val="15"/>
        </w:rPr>
        <w:t>nahlédnutí</w:t>
      </w:r>
      <w:r>
        <w:rPr>
          <w:color w:val="231F20"/>
          <w:spacing w:val="-15"/>
          <w:sz w:val="15"/>
        </w:rPr>
        <w:t xml:space="preserve"> </w:t>
      </w:r>
      <w:r>
        <w:rPr>
          <w:color w:val="231F20"/>
          <w:sz w:val="15"/>
        </w:rPr>
        <w:t>do</w:t>
      </w:r>
      <w:r>
        <w:rPr>
          <w:color w:val="231F20"/>
          <w:spacing w:val="-15"/>
          <w:sz w:val="15"/>
        </w:rPr>
        <w:t xml:space="preserve"> </w:t>
      </w:r>
      <w:r>
        <w:rPr>
          <w:color w:val="231F20"/>
          <w:sz w:val="15"/>
        </w:rPr>
        <w:t>podkladů</w:t>
      </w:r>
      <w:r>
        <w:rPr>
          <w:color w:val="231F20"/>
          <w:spacing w:val="-16"/>
          <w:sz w:val="15"/>
        </w:rPr>
        <w:t xml:space="preserve"> </w:t>
      </w:r>
      <w:r>
        <w:rPr>
          <w:color w:val="231F20"/>
          <w:sz w:val="15"/>
        </w:rPr>
        <w:t>jiných</w:t>
      </w:r>
      <w:r>
        <w:rPr>
          <w:color w:val="231F20"/>
          <w:spacing w:val="-15"/>
          <w:sz w:val="15"/>
        </w:rPr>
        <w:t xml:space="preserve"> </w:t>
      </w:r>
      <w:r>
        <w:rPr>
          <w:color w:val="231F20"/>
          <w:sz w:val="15"/>
        </w:rPr>
        <w:t>pojišťoven</w:t>
      </w:r>
      <w:r>
        <w:rPr>
          <w:color w:val="231F20"/>
          <w:spacing w:val="-15"/>
          <w:sz w:val="15"/>
        </w:rPr>
        <w:t xml:space="preserve"> </w:t>
      </w:r>
      <w:r>
        <w:rPr>
          <w:color w:val="231F20"/>
          <w:sz w:val="15"/>
        </w:rPr>
        <w:t>ve</w:t>
      </w:r>
      <w:r>
        <w:rPr>
          <w:color w:val="231F20"/>
          <w:spacing w:val="-15"/>
          <w:sz w:val="15"/>
        </w:rPr>
        <w:t xml:space="preserve"> </w:t>
      </w:r>
      <w:r>
        <w:rPr>
          <w:color w:val="231F20"/>
          <w:sz w:val="15"/>
        </w:rPr>
        <w:t>vztahu ke</w:t>
      </w:r>
      <w:r>
        <w:rPr>
          <w:color w:val="231F20"/>
          <w:spacing w:val="-12"/>
          <w:sz w:val="15"/>
        </w:rPr>
        <w:t xml:space="preserve"> </w:t>
      </w:r>
      <w:r>
        <w:rPr>
          <w:color w:val="231F20"/>
          <w:sz w:val="15"/>
        </w:rPr>
        <w:t>sjednaným</w:t>
      </w:r>
      <w:r>
        <w:rPr>
          <w:color w:val="231F20"/>
          <w:spacing w:val="-12"/>
          <w:sz w:val="15"/>
        </w:rPr>
        <w:t xml:space="preserve"> </w:t>
      </w:r>
      <w:r>
        <w:rPr>
          <w:color w:val="231F20"/>
          <w:sz w:val="15"/>
        </w:rPr>
        <w:t>pojištěním</w:t>
      </w:r>
      <w:r>
        <w:rPr>
          <w:color w:val="231F20"/>
          <w:spacing w:val="-11"/>
          <w:sz w:val="15"/>
        </w:rPr>
        <w:t xml:space="preserve"> </w:t>
      </w:r>
      <w:r>
        <w:rPr>
          <w:color w:val="231F20"/>
          <w:sz w:val="15"/>
        </w:rPr>
        <w:t>a</w:t>
      </w:r>
      <w:r>
        <w:rPr>
          <w:color w:val="231F20"/>
          <w:spacing w:val="-12"/>
          <w:sz w:val="15"/>
        </w:rPr>
        <w:t xml:space="preserve"> </w:t>
      </w:r>
      <w:r>
        <w:rPr>
          <w:color w:val="231F20"/>
          <w:sz w:val="15"/>
        </w:rPr>
        <w:t>v</w:t>
      </w:r>
      <w:r>
        <w:rPr>
          <w:color w:val="231F20"/>
          <w:spacing w:val="-11"/>
          <w:sz w:val="15"/>
        </w:rPr>
        <w:t xml:space="preserve"> </w:t>
      </w:r>
      <w:r>
        <w:rPr>
          <w:color w:val="231F20"/>
          <w:sz w:val="15"/>
        </w:rPr>
        <w:t>souvislosti</w:t>
      </w:r>
      <w:r>
        <w:rPr>
          <w:color w:val="231F20"/>
          <w:spacing w:val="-12"/>
          <w:sz w:val="15"/>
        </w:rPr>
        <w:t xml:space="preserve"> </w:t>
      </w:r>
      <w:r>
        <w:rPr>
          <w:color w:val="231F20"/>
          <w:sz w:val="15"/>
        </w:rPr>
        <w:t>se</w:t>
      </w:r>
      <w:r>
        <w:rPr>
          <w:color w:val="231F20"/>
          <w:spacing w:val="-12"/>
          <w:sz w:val="15"/>
        </w:rPr>
        <w:t xml:space="preserve"> </w:t>
      </w:r>
      <w:r>
        <w:rPr>
          <w:color w:val="231F20"/>
          <w:sz w:val="15"/>
        </w:rPr>
        <w:t>šetřením</w:t>
      </w:r>
      <w:r>
        <w:rPr>
          <w:color w:val="231F20"/>
          <w:spacing w:val="-11"/>
          <w:sz w:val="15"/>
        </w:rPr>
        <w:t xml:space="preserve"> </w:t>
      </w:r>
      <w:r>
        <w:rPr>
          <w:color w:val="231F20"/>
          <w:sz w:val="15"/>
        </w:rPr>
        <w:t>škodních</w:t>
      </w:r>
      <w:r>
        <w:rPr>
          <w:color w:val="231F20"/>
          <w:spacing w:val="-12"/>
          <w:sz w:val="15"/>
        </w:rPr>
        <w:t xml:space="preserve"> </w:t>
      </w:r>
      <w:r>
        <w:rPr>
          <w:color w:val="231F20"/>
          <w:sz w:val="15"/>
        </w:rPr>
        <w:t>událostí.</w:t>
      </w:r>
    </w:p>
    <w:p w14:paraId="38B00AB0"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6"/>
          <w:position w:val="1"/>
          <w:sz w:val="14"/>
        </w:rPr>
        <w:t xml:space="preserve"> </w:t>
      </w:r>
      <w:r>
        <w:rPr>
          <w:color w:val="231F20"/>
        </w:rPr>
        <w:t>Výše</w:t>
      </w:r>
      <w:r>
        <w:rPr>
          <w:color w:val="231F20"/>
          <w:spacing w:val="-21"/>
        </w:rPr>
        <w:t xml:space="preserve"> </w:t>
      </w:r>
      <w:r>
        <w:rPr>
          <w:color w:val="231F20"/>
        </w:rPr>
        <w:t>uvedené</w:t>
      </w:r>
      <w:r>
        <w:rPr>
          <w:color w:val="231F20"/>
          <w:spacing w:val="-21"/>
        </w:rPr>
        <w:t xml:space="preserve"> </w:t>
      </w:r>
      <w:r>
        <w:rPr>
          <w:color w:val="231F20"/>
        </w:rPr>
        <w:t>zmocnění</w:t>
      </w:r>
      <w:r>
        <w:rPr>
          <w:color w:val="231F20"/>
          <w:spacing w:val="-21"/>
        </w:rPr>
        <w:t xml:space="preserve"> </w:t>
      </w:r>
      <w:r>
        <w:rPr>
          <w:color w:val="231F20"/>
        </w:rPr>
        <w:t>uděluje</w:t>
      </w:r>
      <w:r>
        <w:rPr>
          <w:color w:val="231F20"/>
          <w:spacing w:val="-21"/>
        </w:rPr>
        <w:t xml:space="preserve"> </w:t>
      </w:r>
      <w:r>
        <w:rPr>
          <w:color w:val="231F20"/>
        </w:rPr>
        <w:t>pojistník/pojištěný</w:t>
      </w:r>
      <w:r>
        <w:rPr>
          <w:color w:val="231F20"/>
          <w:spacing w:val="-21"/>
        </w:rPr>
        <w:t xml:space="preserve"> </w:t>
      </w:r>
      <w:r>
        <w:rPr>
          <w:color w:val="231F20"/>
        </w:rPr>
        <w:t>i</w:t>
      </w:r>
      <w:r>
        <w:rPr>
          <w:color w:val="231F20"/>
          <w:spacing w:val="-21"/>
        </w:rPr>
        <w:t xml:space="preserve"> </w:t>
      </w:r>
      <w:r>
        <w:rPr>
          <w:color w:val="231F20"/>
        </w:rPr>
        <w:t>ve</w:t>
      </w:r>
      <w:r>
        <w:rPr>
          <w:color w:val="231F20"/>
          <w:spacing w:val="-20"/>
        </w:rPr>
        <w:t xml:space="preserve"> </w:t>
      </w:r>
      <w:r>
        <w:rPr>
          <w:color w:val="231F20"/>
        </w:rPr>
        <w:t>vztahu</w:t>
      </w:r>
      <w:r>
        <w:rPr>
          <w:color w:val="231F20"/>
          <w:spacing w:val="-21"/>
        </w:rPr>
        <w:t xml:space="preserve"> </w:t>
      </w:r>
      <w:r>
        <w:rPr>
          <w:color w:val="231F20"/>
        </w:rPr>
        <w:t>ke</w:t>
      </w:r>
      <w:r>
        <w:rPr>
          <w:color w:val="231F20"/>
          <w:spacing w:val="-21"/>
        </w:rPr>
        <w:t xml:space="preserve"> </w:t>
      </w:r>
      <w:r>
        <w:rPr>
          <w:color w:val="231F20"/>
        </w:rPr>
        <w:t>dříve</w:t>
      </w:r>
      <w:r>
        <w:rPr>
          <w:color w:val="231F20"/>
          <w:spacing w:val="-21"/>
        </w:rPr>
        <w:t xml:space="preserve"> </w:t>
      </w:r>
      <w:r>
        <w:rPr>
          <w:color w:val="231F20"/>
        </w:rPr>
        <w:t>sjedna- ným</w:t>
      </w:r>
      <w:r>
        <w:rPr>
          <w:color w:val="231F20"/>
          <w:spacing w:val="-17"/>
        </w:rPr>
        <w:t xml:space="preserve"> </w:t>
      </w:r>
      <w:r>
        <w:rPr>
          <w:color w:val="231F20"/>
        </w:rPr>
        <w:t>pojištěním</w:t>
      </w:r>
      <w:r>
        <w:rPr>
          <w:color w:val="231F20"/>
          <w:spacing w:val="-17"/>
        </w:rPr>
        <w:t xml:space="preserve"> </w:t>
      </w:r>
      <w:r>
        <w:rPr>
          <w:color w:val="231F20"/>
        </w:rPr>
        <w:t>a</w:t>
      </w:r>
      <w:r>
        <w:rPr>
          <w:color w:val="231F20"/>
          <w:spacing w:val="-17"/>
        </w:rPr>
        <w:t xml:space="preserve"> </w:t>
      </w:r>
      <w:r>
        <w:rPr>
          <w:color w:val="231F20"/>
        </w:rPr>
        <w:t>vztahují</w:t>
      </w:r>
      <w:r>
        <w:rPr>
          <w:color w:val="231F20"/>
          <w:spacing w:val="-16"/>
        </w:rPr>
        <w:t xml:space="preserve"> </w:t>
      </w:r>
      <w:r>
        <w:rPr>
          <w:color w:val="231F20"/>
        </w:rPr>
        <w:t>se</w:t>
      </w:r>
      <w:r>
        <w:rPr>
          <w:color w:val="231F20"/>
          <w:spacing w:val="-17"/>
        </w:rPr>
        <w:t xml:space="preserve"> </w:t>
      </w:r>
      <w:r>
        <w:rPr>
          <w:color w:val="231F20"/>
        </w:rPr>
        <w:t>i</w:t>
      </w:r>
      <w:r>
        <w:rPr>
          <w:color w:val="231F20"/>
          <w:spacing w:val="-17"/>
        </w:rPr>
        <w:t xml:space="preserve"> </w:t>
      </w:r>
      <w:r>
        <w:rPr>
          <w:color w:val="231F20"/>
        </w:rPr>
        <w:t>na</w:t>
      </w:r>
      <w:r>
        <w:rPr>
          <w:color w:val="231F20"/>
          <w:spacing w:val="-16"/>
        </w:rPr>
        <w:t xml:space="preserve"> </w:t>
      </w:r>
      <w:r>
        <w:rPr>
          <w:color w:val="231F20"/>
        </w:rPr>
        <w:t>dobu</w:t>
      </w:r>
      <w:r>
        <w:rPr>
          <w:color w:val="231F20"/>
          <w:spacing w:val="-17"/>
        </w:rPr>
        <w:t xml:space="preserve"> </w:t>
      </w:r>
      <w:r>
        <w:rPr>
          <w:color w:val="231F20"/>
        </w:rPr>
        <w:t>po</w:t>
      </w:r>
      <w:r>
        <w:rPr>
          <w:color w:val="231F20"/>
          <w:spacing w:val="-17"/>
        </w:rPr>
        <w:t xml:space="preserve"> </w:t>
      </w:r>
      <w:r>
        <w:rPr>
          <w:color w:val="231F20"/>
        </w:rPr>
        <w:t>smrti</w:t>
      </w:r>
      <w:r>
        <w:rPr>
          <w:color w:val="231F20"/>
          <w:spacing w:val="-16"/>
        </w:rPr>
        <w:t xml:space="preserve"> </w:t>
      </w:r>
      <w:r>
        <w:rPr>
          <w:color w:val="231F20"/>
        </w:rPr>
        <w:t>pojistníka/pojištěného</w:t>
      </w:r>
      <w:r>
        <w:rPr>
          <w:color w:val="231F20"/>
          <w:spacing w:val="-17"/>
        </w:rPr>
        <w:t xml:space="preserve"> </w:t>
      </w:r>
      <w:r>
        <w:rPr>
          <w:color w:val="231F20"/>
        </w:rPr>
        <w:t>nebo</w:t>
      </w:r>
      <w:r>
        <w:rPr>
          <w:color w:val="231F20"/>
          <w:spacing w:val="-17"/>
        </w:rPr>
        <w:t xml:space="preserve"> </w:t>
      </w:r>
      <w:r>
        <w:rPr>
          <w:color w:val="231F20"/>
          <w:spacing w:val="-7"/>
        </w:rPr>
        <w:t xml:space="preserve">po </w:t>
      </w:r>
      <w:r>
        <w:rPr>
          <w:color w:val="231F20"/>
        </w:rPr>
        <w:t>zániku pojistníka/pojištěného, je-li právnickou</w:t>
      </w:r>
      <w:r>
        <w:rPr>
          <w:color w:val="231F20"/>
          <w:spacing w:val="-11"/>
        </w:rPr>
        <w:t xml:space="preserve"> </w:t>
      </w:r>
      <w:r>
        <w:rPr>
          <w:color w:val="231F20"/>
        </w:rPr>
        <w:t>osobou.</w:t>
      </w:r>
    </w:p>
    <w:p w14:paraId="5496CBBE" w14:textId="77777777" w:rsidR="00F65BCA" w:rsidRDefault="00216117">
      <w:pPr>
        <w:pStyle w:val="Zkladntext"/>
        <w:spacing w:before="131" w:line="320" w:lineRule="atLeast"/>
        <w:ind w:left="184" w:right="3096" w:firstLine="1"/>
        <w:jc w:val="both"/>
      </w:pPr>
      <w:r>
        <w:rPr>
          <w:color w:val="FFFFFF"/>
          <w:position w:val="3"/>
          <w:sz w:val="16"/>
          <w:shd w:val="clear" w:color="auto" w:fill="808285"/>
        </w:rPr>
        <w:t xml:space="preserve"> </w:t>
      </w:r>
      <w:r>
        <w:rPr>
          <w:color w:val="FFFFFF"/>
          <w:spacing w:val="-6"/>
          <w:position w:val="3"/>
          <w:sz w:val="16"/>
          <w:shd w:val="clear" w:color="auto" w:fill="808285"/>
        </w:rPr>
        <w:t xml:space="preserve"> </w:t>
      </w:r>
      <w:r>
        <w:rPr>
          <w:color w:val="FFFFFF"/>
          <w:spacing w:val="6"/>
          <w:w w:val="105"/>
          <w:position w:val="3"/>
          <w:sz w:val="16"/>
          <w:shd w:val="clear" w:color="auto" w:fill="808285"/>
        </w:rPr>
        <w:t xml:space="preserve">Článek </w:t>
      </w:r>
      <w:r>
        <w:rPr>
          <w:color w:val="FFFFFF"/>
          <w:spacing w:val="4"/>
          <w:w w:val="105"/>
          <w:position w:val="3"/>
          <w:sz w:val="16"/>
          <w:shd w:val="clear" w:color="auto" w:fill="808285"/>
        </w:rPr>
        <w:t>12</w:t>
      </w:r>
      <w:r>
        <w:rPr>
          <w:color w:val="FFFFFF"/>
          <w:spacing w:val="4"/>
          <w:w w:val="105"/>
          <w:position w:val="3"/>
          <w:sz w:val="16"/>
        </w:rPr>
        <w:t xml:space="preserve"> </w:t>
      </w:r>
      <w:r>
        <w:rPr>
          <w:color w:val="231F20"/>
          <w:w w:val="105"/>
        </w:rPr>
        <w:t>Ostatní ujednání Rozhodné právo a rozhodování</w:t>
      </w:r>
      <w:r>
        <w:rPr>
          <w:color w:val="231F20"/>
          <w:spacing w:val="-29"/>
          <w:w w:val="105"/>
        </w:rPr>
        <w:t xml:space="preserve"> </w:t>
      </w:r>
      <w:r>
        <w:rPr>
          <w:color w:val="231F20"/>
          <w:spacing w:val="-4"/>
          <w:w w:val="105"/>
        </w:rPr>
        <w:t>sporů</w:t>
      </w:r>
    </w:p>
    <w:p w14:paraId="38130EA4" w14:textId="77777777" w:rsidR="00F65BCA" w:rsidRDefault="00216117">
      <w:pPr>
        <w:pStyle w:val="Zkladntext"/>
        <w:spacing w:before="27"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position w:val="1"/>
          <w:sz w:val="14"/>
        </w:rPr>
        <w:t xml:space="preserve"> </w:t>
      </w:r>
      <w:r>
        <w:rPr>
          <w:color w:val="231F20"/>
        </w:rPr>
        <w:t xml:space="preserve">Pojistná smlouva a právní vztahy z ní vyplývající nebo s ní související se </w:t>
      </w:r>
      <w:r>
        <w:rPr>
          <w:color w:val="231F20"/>
          <w:spacing w:val="-3"/>
        </w:rPr>
        <w:t xml:space="preserve">řídí </w:t>
      </w:r>
      <w:r>
        <w:rPr>
          <w:color w:val="231F20"/>
        </w:rPr>
        <w:t>právním</w:t>
      </w:r>
      <w:r>
        <w:rPr>
          <w:color w:val="231F20"/>
          <w:spacing w:val="-19"/>
        </w:rPr>
        <w:t xml:space="preserve"> </w:t>
      </w:r>
      <w:r>
        <w:rPr>
          <w:color w:val="231F20"/>
        </w:rPr>
        <w:t>řádem</w:t>
      </w:r>
      <w:r>
        <w:rPr>
          <w:color w:val="231F20"/>
          <w:spacing w:val="-19"/>
        </w:rPr>
        <w:t xml:space="preserve"> </w:t>
      </w:r>
      <w:r>
        <w:rPr>
          <w:color w:val="231F20"/>
        </w:rPr>
        <w:t>České</w:t>
      </w:r>
      <w:r>
        <w:rPr>
          <w:color w:val="231F20"/>
          <w:spacing w:val="-18"/>
        </w:rPr>
        <w:t xml:space="preserve"> </w:t>
      </w:r>
      <w:r>
        <w:rPr>
          <w:color w:val="231F20"/>
        </w:rPr>
        <w:t>republiky,</w:t>
      </w:r>
      <w:r>
        <w:rPr>
          <w:color w:val="231F20"/>
          <w:spacing w:val="-19"/>
        </w:rPr>
        <w:t xml:space="preserve"> </w:t>
      </w:r>
      <w:r>
        <w:rPr>
          <w:color w:val="231F20"/>
        </w:rPr>
        <w:t>ať</w:t>
      </w:r>
      <w:r>
        <w:rPr>
          <w:color w:val="231F20"/>
          <w:spacing w:val="-19"/>
        </w:rPr>
        <w:t xml:space="preserve"> </w:t>
      </w:r>
      <w:r>
        <w:rPr>
          <w:color w:val="231F20"/>
        </w:rPr>
        <w:t>již</w:t>
      </w:r>
      <w:r>
        <w:rPr>
          <w:color w:val="231F20"/>
          <w:spacing w:val="-18"/>
        </w:rPr>
        <w:t xml:space="preserve"> </w:t>
      </w:r>
      <w:r>
        <w:rPr>
          <w:color w:val="231F20"/>
        </w:rPr>
        <w:t>bude</w:t>
      </w:r>
      <w:r>
        <w:rPr>
          <w:color w:val="231F20"/>
          <w:spacing w:val="-19"/>
        </w:rPr>
        <w:t xml:space="preserve"> </w:t>
      </w:r>
      <w:r>
        <w:rPr>
          <w:color w:val="231F20"/>
        </w:rPr>
        <w:t>tento</w:t>
      </w:r>
      <w:r>
        <w:rPr>
          <w:color w:val="231F20"/>
          <w:spacing w:val="-18"/>
        </w:rPr>
        <w:t xml:space="preserve"> </w:t>
      </w:r>
      <w:r>
        <w:rPr>
          <w:color w:val="231F20"/>
        </w:rPr>
        <w:t>vztah</w:t>
      </w:r>
      <w:r>
        <w:rPr>
          <w:color w:val="231F20"/>
          <w:spacing w:val="-19"/>
        </w:rPr>
        <w:t xml:space="preserve"> </w:t>
      </w:r>
      <w:r>
        <w:rPr>
          <w:color w:val="231F20"/>
        </w:rPr>
        <w:t>posouzen</w:t>
      </w:r>
      <w:r>
        <w:rPr>
          <w:color w:val="231F20"/>
          <w:spacing w:val="-19"/>
        </w:rPr>
        <w:t xml:space="preserve"> </w:t>
      </w:r>
      <w:r>
        <w:rPr>
          <w:color w:val="231F20"/>
        </w:rPr>
        <w:t>z</w:t>
      </w:r>
      <w:r>
        <w:rPr>
          <w:color w:val="231F20"/>
          <w:spacing w:val="-18"/>
        </w:rPr>
        <w:t xml:space="preserve"> </w:t>
      </w:r>
      <w:r>
        <w:rPr>
          <w:color w:val="231F20"/>
        </w:rPr>
        <w:t>jakéhokoli právního</w:t>
      </w:r>
      <w:r>
        <w:rPr>
          <w:color w:val="231F20"/>
          <w:spacing w:val="-1"/>
        </w:rPr>
        <w:t xml:space="preserve"> </w:t>
      </w:r>
      <w:r>
        <w:rPr>
          <w:color w:val="231F20"/>
        </w:rPr>
        <w:t>titulu.</w:t>
      </w:r>
    </w:p>
    <w:p w14:paraId="4E258284"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14"/>
          <w:position w:val="1"/>
          <w:sz w:val="14"/>
        </w:rPr>
        <w:t xml:space="preserve"> </w:t>
      </w:r>
      <w:r>
        <w:rPr>
          <w:color w:val="231F20"/>
        </w:rPr>
        <w:t>Rozhodování</w:t>
      </w:r>
      <w:r>
        <w:rPr>
          <w:color w:val="231F20"/>
          <w:spacing w:val="-13"/>
        </w:rPr>
        <w:t xml:space="preserve"> </w:t>
      </w:r>
      <w:r>
        <w:rPr>
          <w:color w:val="231F20"/>
        </w:rPr>
        <w:t>sporů</w:t>
      </w:r>
      <w:r>
        <w:rPr>
          <w:color w:val="231F20"/>
          <w:spacing w:val="-13"/>
        </w:rPr>
        <w:t xml:space="preserve"> </w:t>
      </w:r>
      <w:r>
        <w:rPr>
          <w:color w:val="231F20"/>
        </w:rPr>
        <w:t>z</w:t>
      </w:r>
      <w:r>
        <w:rPr>
          <w:color w:val="231F20"/>
          <w:spacing w:val="-14"/>
        </w:rPr>
        <w:t xml:space="preserve"> </w:t>
      </w:r>
      <w:r>
        <w:rPr>
          <w:color w:val="231F20"/>
        </w:rPr>
        <w:t>pojistné</w:t>
      </w:r>
      <w:r>
        <w:rPr>
          <w:color w:val="231F20"/>
          <w:spacing w:val="-13"/>
        </w:rPr>
        <w:t xml:space="preserve"> </w:t>
      </w:r>
      <w:r>
        <w:rPr>
          <w:color w:val="231F20"/>
        </w:rPr>
        <w:t>smlouvy</w:t>
      </w:r>
      <w:r>
        <w:rPr>
          <w:color w:val="231F20"/>
          <w:spacing w:val="-13"/>
        </w:rPr>
        <w:t xml:space="preserve"> </w:t>
      </w:r>
      <w:r>
        <w:rPr>
          <w:color w:val="231F20"/>
        </w:rPr>
        <w:t>(či</w:t>
      </w:r>
      <w:r>
        <w:rPr>
          <w:color w:val="231F20"/>
          <w:spacing w:val="-13"/>
        </w:rPr>
        <w:t xml:space="preserve"> </w:t>
      </w:r>
      <w:r>
        <w:rPr>
          <w:color w:val="231F20"/>
        </w:rPr>
        <w:t>s</w:t>
      </w:r>
      <w:r>
        <w:rPr>
          <w:color w:val="231F20"/>
          <w:spacing w:val="-13"/>
        </w:rPr>
        <w:t xml:space="preserve"> </w:t>
      </w:r>
      <w:r>
        <w:rPr>
          <w:color w:val="231F20"/>
        </w:rPr>
        <w:t>pojistnou</w:t>
      </w:r>
      <w:r>
        <w:rPr>
          <w:color w:val="231F20"/>
          <w:spacing w:val="-13"/>
        </w:rPr>
        <w:t xml:space="preserve"> </w:t>
      </w:r>
      <w:r>
        <w:rPr>
          <w:color w:val="231F20"/>
        </w:rPr>
        <w:t>smlouvou</w:t>
      </w:r>
      <w:r>
        <w:rPr>
          <w:color w:val="231F20"/>
          <w:spacing w:val="-13"/>
        </w:rPr>
        <w:t xml:space="preserve"> </w:t>
      </w:r>
      <w:r>
        <w:rPr>
          <w:color w:val="231F20"/>
        </w:rPr>
        <w:t>souvisejících) přísluší obecným soudům České</w:t>
      </w:r>
      <w:r>
        <w:rPr>
          <w:color w:val="231F20"/>
          <w:spacing w:val="-8"/>
        </w:rPr>
        <w:t xml:space="preserve"> </w:t>
      </w:r>
      <w:r>
        <w:rPr>
          <w:color w:val="231F20"/>
        </w:rPr>
        <w:t>republiky.</w:t>
      </w:r>
    </w:p>
    <w:p w14:paraId="100CF319"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7"/>
          <w:position w:val="1"/>
          <w:sz w:val="14"/>
        </w:rPr>
        <w:t xml:space="preserve"> </w:t>
      </w:r>
      <w:r>
        <w:rPr>
          <w:color w:val="231F20"/>
        </w:rPr>
        <w:t>V</w:t>
      </w:r>
      <w:r>
        <w:rPr>
          <w:color w:val="231F20"/>
          <w:spacing w:val="-23"/>
        </w:rPr>
        <w:t xml:space="preserve"> </w:t>
      </w:r>
      <w:r>
        <w:rPr>
          <w:color w:val="231F20"/>
        </w:rPr>
        <w:t>případě</w:t>
      </w:r>
      <w:r>
        <w:rPr>
          <w:color w:val="231F20"/>
          <w:spacing w:val="-23"/>
        </w:rPr>
        <w:t xml:space="preserve"> </w:t>
      </w:r>
      <w:r>
        <w:rPr>
          <w:color w:val="231F20"/>
        </w:rPr>
        <w:t>neživotního</w:t>
      </w:r>
      <w:r>
        <w:rPr>
          <w:color w:val="231F20"/>
          <w:spacing w:val="-23"/>
        </w:rPr>
        <w:t xml:space="preserve"> </w:t>
      </w:r>
      <w:r>
        <w:rPr>
          <w:color w:val="231F20"/>
        </w:rPr>
        <w:t>pojištění</w:t>
      </w:r>
      <w:r>
        <w:rPr>
          <w:color w:val="231F20"/>
          <w:spacing w:val="-23"/>
        </w:rPr>
        <w:t xml:space="preserve"> </w:t>
      </w:r>
      <w:r>
        <w:rPr>
          <w:color w:val="231F20"/>
        </w:rPr>
        <w:t>mají</w:t>
      </w:r>
      <w:r>
        <w:rPr>
          <w:color w:val="231F20"/>
          <w:spacing w:val="-23"/>
        </w:rPr>
        <w:t xml:space="preserve"> </w:t>
      </w:r>
      <w:r>
        <w:rPr>
          <w:color w:val="231F20"/>
        </w:rPr>
        <w:t>spotřebitelé</w:t>
      </w:r>
      <w:r>
        <w:rPr>
          <w:color w:val="231F20"/>
          <w:spacing w:val="-23"/>
        </w:rPr>
        <w:t xml:space="preserve"> </w:t>
      </w:r>
      <w:r>
        <w:rPr>
          <w:color w:val="231F20"/>
        </w:rPr>
        <w:t>možnost</w:t>
      </w:r>
      <w:r>
        <w:rPr>
          <w:color w:val="231F20"/>
          <w:spacing w:val="-22"/>
        </w:rPr>
        <w:t xml:space="preserve"> </w:t>
      </w:r>
      <w:r>
        <w:rPr>
          <w:color w:val="231F20"/>
        </w:rPr>
        <w:t>řešit</w:t>
      </w:r>
      <w:r>
        <w:rPr>
          <w:color w:val="231F20"/>
          <w:spacing w:val="-23"/>
        </w:rPr>
        <w:t xml:space="preserve"> </w:t>
      </w:r>
      <w:r>
        <w:rPr>
          <w:color w:val="231F20"/>
        </w:rPr>
        <w:t>spor</w:t>
      </w:r>
      <w:r>
        <w:rPr>
          <w:color w:val="231F20"/>
          <w:spacing w:val="-23"/>
        </w:rPr>
        <w:t xml:space="preserve"> </w:t>
      </w:r>
      <w:r>
        <w:rPr>
          <w:color w:val="231F20"/>
        </w:rPr>
        <w:t>mimosoud- ně</w:t>
      </w:r>
      <w:r>
        <w:rPr>
          <w:color w:val="231F20"/>
          <w:spacing w:val="-17"/>
        </w:rPr>
        <w:t xml:space="preserve"> </w:t>
      </w:r>
      <w:r>
        <w:rPr>
          <w:color w:val="231F20"/>
        </w:rPr>
        <w:t>před</w:t>
      </w:r>
      <w:r>
        <w:rPr>
          <w:color w:val="231F20"/>
          <w:spacing w:val="-16"/>
        </w:rPr>
        <w:t xml:space="preserve"> </w:t>
      </w:r>
      <w:r>
        <w:rPr>
          <w:color w:val="231F20"/>
        </w:rPr>
        <w:t>Českou</w:t>
      </w:r>
      <w:r>
        <w:rPr>
          <w:color w:val="231F20"/>
          <w:spacing w:val="-16"/>
        </w:rPr>
        <w:t xml:space="preserve"> </w:t>
      </w:r>
      <w:r>
        <w:rPr>
          <w:color w:val="231F20"/>
        </w:rPr>
        <w:t>obchodní</w:t>
      </w:r>
      <w:r>
        <w:rPr>
          <w:color w:val="231F20"/>
          <w:spacing w:val="-16"/>
        </w:rPr>
        <w:t xml:space="preserve"> </w:t>
      </w:r>
      <w:r>
        <w:rPr>
          <w:color w:val="231F20"/>
        </w:rPr>
        <w:t>inspekcí</w:t>
      </w:r>
      <w:r>
        <w:rPr>
          <w:color w:val="231F20"/>
          <w:spacing w:val="-16"/>
        </w:rPr>
        <w:t xml:space="preserve"> </w:t>
      </w:r>
      <w:r>
        <w:rPr>
          <w:color w:val="231F20"/>
        </w:rPr>
        <w:t>(www.coi.cz).</w:t>
      </w:r>
      <w:r>
        <w:rPr>
          <w:color w:val="231F20"/>
          <w:spacing w:val="-16"/>
        </w:rPr>
        <w:t xml:space="preserve"> </w:t>
      </w:r>
      <w:r>
        <w:rPr>
          <w:color w:val="231F20"/>
        </w:rPr>
        <w:t>V</w:t>
      </w:r>
      <w:r>
        <w:rPr>
          <w:color w:val="231F20"/>
          <w:spacing w:val="-16"/>
        </w:rPr>
        <w:t xml:space="preserve"> </w:t>
      </w:r>
      <w:r>
        <w:rPr>
          <w:color w:val="231F20"/>
        </w:rPr>
        <w:t>případě</w:t>
      </w:r>
      <w:r>
        <w:rPr>
          <w:color w:val="231F20"/>
          <w:spacing w:val="-16"/>
        </w:rPr>
        <w:t xml:space="preserve"> </w:t>
      </w:r>
      <w:r>
        <w:rPr>
          <w:color w:val="231F20"/>
        </w:rPr>
        <w:t>neživotního</w:t>
      </w:r>
      <w:r>
        <w:rPr>
          <w:color w:val="231F20"/>
          <w:spacing w:val="-16"/>
        </w:rPr>
        <w:t xml:space="preserve"> </w:t>
      </w:r>
      <w:r>
        <w:rPr>
          <w:color w:val="231F20"/>
          <w:spacing w:val="-3"/>
        </w:rPr>
        <w:t xml:space="preserve">pojiš- </w:t>
      </w:r>
      <w:r>
        <w:rPr>
          <w:color w:val="231F20"/>
        </w:rPr>
        <w:t>těni</w:t>
      </w:r>
      <w:r>
        <w:rPr>
          <w:color w:val="231F20"/>
          <w:spacing w:val="-13"/>
        </w:rPr>
        <w:t xml:space="preserve"> </w:t>
      </w:r>
      <w:r>
        <w:rPr>
          <w:color w:val="231F20"/>
        </w:rPr>
        <w:t>mají</w:t>
      </w:r>
      <w:r>
        <w:rPr>
          <w:color w:val="231F20"/>
          <w:spacing w:val="-13"/>
        </w:rPr>
        <w:t xml:space="preserve"> </w:t>
      </w:r>
      <w:r>
        <w:rPr>
          <w:color w:val="231F20"/>
        </w:rPr>
        <w:t>spotřebitelé</w:t>
      </w:r>
      <w:r>
        <w:rPr>
          <w:color w:val="231F20"/>
          <w:spacing w:val="-13"/>
        </w:rPr>
        <w:t xml:space="preserve"> </w:t>
      </w:r>
      <w:r>
        <w:rPr>
          <w:color w:val="231F20"/>
        </w:rPr>
        <w:t>možnost</w:t>
      </w:r>
      <w:r>
        <w:rPr>
          <w:color w:val="231F20"/>
          <w:spacing w:val="-13"/>
        </w:rPr>
        <w:t xml:space="preserve"> </w:t>
      </w:r>
      <w:r>
        <w:rPr>
          <w:color w:val="231F20"/>
        </w:rPr>
        <w:t>řešit</w:t>
      </w:r>
      <w:r>
        <w:rPr>
          <w:color w:val="231F20"/>
          <w:spacing w:val="-13"/>
        </w:rPr>
        <w:t xml:space="preserve"> </w:t>
      </w:r>
      <w:r>
        <w:rPr>
          <w:color w:val="231F20"/>
        </w:rPr>
        <w:t>spor</w:t>
      </w:r>
      <w:r>
        <w:rPr>
          <w:color w:val="231F20"/>
          <w:spacing w:val="-13"/>
        </w:rPr>
        <w:t xml:space="preserve"> </w:t>
      </w:r>
      <w:r>
        <w:rPr>
          <w:color w:val="231F20"/>
        </w:rPr>
        <w:t>mimosoudně</w:t>
      </w:r>
      <w:r>
        <w:rPr>
          <w:color w:val="231F20"/>
          <w:spacing w:val="-13"/>
        </w:rPr>
        <w:t xml:space="preserve"> </w:t>
      </w:r>
      <w:r>
        <w:rPr>
          <w:color w:val="231F20"/>
        </w:rPr>
        <w:t>před</w:t>
      </w:r>
      <w:r>
        <w:rPr>
          <w:color w:val="231F20"/>
          <w:spacing w:val="-13"/>
        </w:rPr>
        <w:t xml:space="preserve"> </w:t>
      </w:r>
      <w:r>
        <w:rPr>
          <w:color w:val="231F20"/>
        </w:rPr>
        <w:t>Českou</w:t>
      </w:r>
      <w:r>
        <w:rPr>
          <w:color w:val="231F20"/>
          <w:spacing w:val="-13"/>
        </w:rPr>
        <w:t xml:space="preserve"> </w:t>
      </w:r>
      <w:r>
        <w:rPr>
          <w:color w:val="231F20"/>
        </w:rPr>
        <w:t>obchodní inspekcí</w:t>
      </w:r>
      <w:r>
        <w:rPr>
          <w:color w:val="231F20"/>
          <w:spacing w:val="-15"/>
        </w:rPr>
        <w:t xml:space="preserve"> </w:t>
      </w:r>
      <w:r>
        <w:rPr>
          <w:color w:val="231F20"/>
        </w:rPr>
        <w:t>(www.coi.cz)</w:t>
      </w:r>
      <w:r>
        <w:rPr>
          <w:color w:val="231F20"/>
          <w:spacing w:val="-14"/>
        </w:rPr>
        <w:t xml:space="preserve"> </w:t>
      </w:r>
      <w:r>
        <w:rPr>
          <w:color w:val="231F20"/>
        </w:rPr>
        <w:t>nebo</w:t>
      </w:r>
      <w:r>
        <w:rPr>
          <w:color w:val="231F20"/>
          <w:spacing w:val="-14"/>
        </w:rPr>
        <w:t xml:space="preserve"> </w:t>
      </w:r>
      <w:r>
        <w:rPr>
          <w:color w:val="231F20"/>
        </w:rPr>
        <w:t>Kanceláří</w:t>
      </w:r>
      <w:r>
        <w:rPr>
          <w:color w:val="231F20"/>
          <w:spacing w:val="-15"/>
        </w:rPr>
        <w:t xml:space="preserve"> </w:t>
      </w:r>
      <w:r>
        <w:rPr>
          <w:color w:val="231F20"/>
        </w:rPr>
        <w:t>ombudsmana</w:t>
      </w:r>
      <w:r>
        <w:rPr>
          <w:color w:val="231F20"/>
          <w:spacing w:val="-14"/>
        </w:rPr>
        <w:t xml:space="preserve"> </w:t>
      </w:r>
      <w:r>
        <w:rPr>
          <w:color w:val="231F20"/>
        </w:rPr>
        <w:t>České</w:t>
      </w:r>
      <w:r>
        <w:rPr>
          <w:color w:val="231F20"/>
          <w:spacing w:val="-14"/>
        </w:rPr>
        <w:t xml:space="preserve"> </w:t>
      </w:r>
      <w:r>
        <w:rPr>
          <w:color w:val="231F20"/>
        </w:rPr>
        <w:t>asociace</w:t>
      </w:r>
      <w:r>
        <w:rPr>
          <w:color w:val="231F20"/>
          <w:spacing w:val="-15"/>
        </w:rPr>
        <w:t xml:space="preserve"> </w:t>
      </w:r>
      <w:r>
        <w:rPr>
          <w:color w:val="231F20"/>
        </w:rPr>
        <w:t>pojišťo- ven z. ú.</w:t>
      </w:r>
      <w:r>
        <w:rPr>
          <w:color w:val="231F20"/>
          <w:spacing w:val="-3"/>
        </w:rPr>
        <w:t xml:space="preserve"> </w:t>
      </w:r>
      <w:r>
        <w:rPr>
          <w:color w:val="231F20"/>
        </w:rPr>
        <w:t>(www.ombudsmancap.cz).</w:t>
      </w:r>
    </w:p>
    <w:p w14:paraId="5BD6C432" w14:textId="77777777" w:rsidR="00F65BCA" w:rsidRDefault="00216117">
      <w:pPr>
        <w:pStyle w:val="Zkladntext"/>
        <w:spacing w:line="278" w:lineRule="auto"/>
        <w:ind w:left="468" w:hanging="283"/>
      </w:pPr>
      <w:r>
        <w:rPr>
          <w:color w:val="231F20"/>
          <w:position w:val="1"/>
          <w:sz w:val="14"/>
          <w:shd w:val="clear" w:color="auto" w:fill="D1D3D4"/>
        </w:rPr>
        <w:t xml:space="preserve">  4</w:t>
      </w:r>
      <w:r>
        <w:rPr>
          <w:color w:val="231F20"/>
          <w:position w:val="1"/>
          <w:sz w:val="14"/>
        </w:rPr>
        <w:t xml:space="preserve"> </w:t>
      </w:r>
      <w:r>
        <w:rPr>
          <w:color w:val="231F20"/>
        </w:rPr>
        <w:t>Spotřebitelé mohou u pojištění sjednaných on-line využít pro řešení spo- třebitelských sporů on-line platformu na internetové adrese: ec.europa.eu/consumers/odr/.</w:t>
      </w:r>
    </w:p>
    <w:p w14:paraId="5931A241" w14:textId="77777777" w:rsidR="00F65BCA" w:rsidRDefault="00216117">
      <w:pPr>
        <w:pStyle w:val="Zkladntext"/>
        <w:spacing w:line="172" w:lineRule="exact"/>
        <w:ind w:left="184"/>
      </w:pPr>
      <w:r>
        <w:rPr>
          <w:color w:val="231F20"/>
          <w:w w:val="105"/>
        </w:rPr>
        <w:t>Poplatky</w:t>
      </w:r>
    </w:p>
    <w:p w14:paraId="602A8DA0" w14:textId="77777777" w:rsidR="00F65BCA" w:rsidRDefault="00216117">
      <w:pPr>
        <w:pStyle w:val="Zkladntext"/>
        <w:spacing w:before="25" w:line="278" w:lineRule="auto"/>
        <w:ind w:left="468" w:right="421" w:hanging="283"/>
      </w:pPr>
      <w:r>
        <w:rPr>
          <w:color w:val="231F20"/>
          <w:position w:val="1"/>
          <w:sz w:val="14"/>
          <w:shd w:val="clear" w:color="auto" w:fill="D1D3D4"/>
        </w:rPr>
        <w:t xml:space="preserve">  5</w:t>
      </w:r>
      <w:r>
        <w:rPr>
          <w:color w:val="231F20"/>
          <w:position w:val="1"/>
          <w:sz w:val="14"/>
        </w:rPr>
        <w:t xml:space="preserve"> </w:t>
      </w:r>
      <w:r>
        <w:rPr>
          <w:color w:val="231F20"/>
        </w:rPr>
        <w:t>Pojišťovna je oprávněna požadovat poplatky za úkony a služby, kterými jsou zejména:</w:t>
      </w:r>
    </w:p>
    <w:p w14:paraId="5B88102F" w14:textId="77777777" w:rsidR="00F65BCA" w:rsidRDefault="00216117">
      <w:pPr>
        <w:pStyle w:val="Odstavecseseznamem"/>
        <w:numPr>
          <w:ilvl w:val="0"/>
          <w:numId w:val="116"/>
        </w:numPr>
        <w:tabs>
          <w:tab w:val="left" w:pos="639"/>
        </w:tabs>
        <w:spacing w:line="278" w:lineRule="auto"/>
        <w:ind w:right="424"/>
        <w:rPr>
          <w:sz w:val="15"/>
        </w:rPr>
      </w:pPr>
      <w:r>
        <w:rPr>
          <w:color w:val="231F20"/>
          <w:sz w:val="15"/>
        </w:rPr>
        <w:t>spojené</w:t>
      </w:r>
      <w:r>
        <w:rPr>
          <w:color w:val="231F20"/>
          <w:spacing w:val="-26"/>
          <w:sz w:val="15"/>
        </w:rPr>
        <w:t xml:space="preserve"> </w:t>
      </w:r>
      <w:r>
        <w:rPr>
          <w:color w:val="231F20"/>
          <w:sz w:val="15"/>
        </w:rPr>
        <w:t>s</w:t>
      </w:r>
      <w:r>
        <w:rPr>
          <w:color w:val="231F20"/>
          <w:spacing w:val="-25"/>
          <w:sz w:val="15"/>
        </w:rPr>
        <w:t xml:space="preserve"> </w:t>
      </w:r>
      <w:r>
        <w:rPr>
          <w:color w:val="231F20"/>
          <w:sz w:val="15"/>
        </w:rPr>
        <w:t>činnostmi</w:t>
      </w:r>
      <w:r>
        <w:rPr>
          <w:color w:val="231F20"/>
          <w:spacing w:val="-25"/>
          <w:sz w:val="15"/>
        </w:rPr>
        <w:t xml:space="preserve"> </w:t>
      </w:r>
      <w:r>
        <w:rPr>
          <w:color w:val="231F20"/>
          <w:sz w:val="15"/>
        </w:rPr>
        <w:t>Pojišťovny</w:t>
      </w:r>
      <w:r>
        <w:rPr>
          <w:color w:val="231F20"/>
          <w:spacing w:val="-26"/>
          <w:sz w:val="15"/>
        </w:rPr>
        <w:t xml:space="preserve"> </w:t>
      </w:r>
      <w:r>
        <w:rPr>
          <w:color w:val="231F20"/>
          <w:sz w:val="15"/>
        </w:rPr>
        <w:t>konanými</w:t>
      </w:r>
      <w:r>
        <w:rPr>
          <w:color w:val="231F20"/>
          <w:spacing w:val="-25"/>
          <w:sz w:val="15"/>
        </w:rPr>
        <w:t xml:space="preserve"> </w:t>
      </w:r>
      <w:r>
        <w:rPr>
          <w:color w:val="231F20"/>
          <w:sz w:val="15"/>
        </w:rPr>
        <w:t>nad</w:t>
      </w:r>
      <w:r>
        <w:rPr>
          <w:color w:val="231F20"/>
          <w:spacing w:val="-25"/>
          <w:sz w:val="15"/>
        </w:rPr>
        <w:t xml:space="preserve"> </w:t>
      </w:r>
      <w:r>
        <w:rPr>
          <w:color w:val="231F20"/>
          <w:sz w:val="15"/>
        </w:rPr>
        <w:t>rámec</w:t>
      </w:r>
      <w:r>
        <w:rPr>
          <w:color w:val="231F20"/>
          <w:spacing w:val="-26"/>
          <w:sz w:val="15"/>
        </w:rPr>
        <w:t xml:space="preserve"> </w:t>
      </w:r>
      <w:r>
        <w:rPr>
          <w:color w:val="231F20"/>
          <w:sz w:val="15"/>
        </w:rPr>
        <w:t>jejích</w:t>
      </w:r>
      <w:r>
        <w:rPr>
          <w:color w:val="231F20"/>
          <w:spacing w:val="-25"/>
          <w:sz w:val="15"/>
        </w:rPr>
        <w:t xml:space="preserve"> </w:t>
      </w:r>
      <w:r>
        <w:rPr>
          <w:color w:val="231F20"/>
          <w:sz w:val="15"/>
        </w:rPr>
        <w:t>povinností</w:t>
      </w:r>
      <w:r>
        <w:rPr>
          <w:color w:val="231F20"/>
          <w:spacing w:val="-25"/>
          <w:sz w:val="15"/>
        </w:rPr>
        <w:t xml:space="preserve"> </w:t>
      </w:r>
      <w:r>
        <w:rPr>
          <w:color w:val="231F20"/>
          <w:spacing w:val="-4"/>
          <w:sz w:val="15"/>
        </w:rPr>
        <w:t xml:space="preserve">stano- </w:t>
      </w:r>
      <w:r>
        <w:rPr>
          <w:color w:val="231F20"/>
          <w:sz w:val="15"/>
        </w:rPr>
        <w:t>vených právními předpisy nebo pojistnou</w:t>
      </w:r>
      <w:r>
        <w:rPr>
          <w:color w:val="231F20"/>
          <w:spacing w:val="-14"/>
          <w:sz w:val="15"/>
        </w:rPr>
        <w:t xml:space="preserve"> </w:t>
      </w:r>
      <w:r>
        <w:rPr>
          <w:color w:val="231F20"/>
          <w:sz w:val="15"/>
        </w:rPr>
        <w:t>smlouvou;</w:t>
      </w:r>
    </w:p>
    <w:p w14:paraId="0DE1CBD8" w14:textId="77777777" w:rsidR="00F65BCA" w:rsidRDefault="00216117">
      <w:pPr>
        <w:pStyle w:val="Odstavecseseznamem"/>
        <w:numPr>
          <w:ilvl w:val="0"/>
          <w:numId w:val="116"/>
        </w:numPr>
        <w:tabs>
          <w:tab w:val="left" w:pos="639"/>
        </w:tabs>
        <w:rPr>
          <w:sz w:val="15"/>
        </w:rPr>
      </w:pPr>
      <w:r>
        <w:rPr>
          <w:color w:val="231F20"/>
          <w:sz w:val="15"/>
        </w:rPr>
        <w:t>vyvolané</w:t>
      </w:r>
      <w:r>
        <w:rPr>
          <w:color w:val="231F20"/>
          <w:spacing w:val="-10"/>
          <w:sz w:val="15"/>
        </w:rPr>
        <w:t xml:space="preserve"> </w:t>
      </w:r>
      <w:r>
        <w:rPr>
          <w:color w:val="231F20"/>
          <w:sz w:val="15"/>
        </w:rPr>
        <w:t>porušením</w:t>
      </w:r>
      <w:r>
        <w:rPr>
          <w:color w:val="231F20"/>
          <w:spacing w:val="-9"/>
          <w:sz w:val="15"/>
        </w:rPr>
        <w:t xml:space="preserve"> </w:t>
      </w:r>
      <w:r>
        <w:rPr>
          <w:color w:val="231F20"/>
          <w:sz w:val="15"/>
        </w:rPr>
        <w:t>povinností</w:t>
      </w:r>
      <w:r>
        <w:rPr>
          <w:color w:val="231F20"/>
          <w:spacing w:val="-10"/>
          <w:sz w:val="15"/>
        </w:rPr>
        <w:t xml:space="preserve"> </w:t>
      </w:r>
      <w:r>
        <w:rPr>
          <w:color w:val="231F20"/>
          <w:sz w:val="15"/>
        </w:rPr>
        <w:t>ze</w:t>
      </w:r>
      <w:r>
        <w:rPr>
          <w:color w:val="231F20"/>
          <w:spacing w:val="-9"/>
          <w:sz w:val="15"/>
        </w:rPr>
        <w:t xml:space="preserve"> </w:t>
      </w:r>
      <w:r>
        <w:rPr>
          <w:color w:val="231F20"/>
          <w:sz w:val="15"/>
        </w:rPr>
        <w:t>strany</w:t>
      </w:r>
      <w:r>
        <w:rPr>
          <w:color w:val="231F20"/>
          <w:spacing w:val="-9"/>
          <w:sz w:val="15"/>
        </w:rPr>
        <w:t xml:space="preserve"> </w:t>
      </w:r>
      <w:r>
        <w:rPr>
          <w:color w:val="231F20"/>
          <w:sz w:val="15"/>
        </w:rPr>
        <w:t>některého</w:t>
      </w:r>
      <w:r>
        <w:rPr>
          <w:color w:val="231F20"/>
          <w:spacing w:val="-10"/>
          <w:sz w:val="15"/>
        </w:rPr>
        <w:t xml:space="preserve"> </w:t>
      </w:r>
      <w:r>
        <w:rPr>
          <w:color w:val="231F20"/>
          <w:sz w:val="15"/>
        </w:rPr>
        <w:t>z</w:t>
      </w:r>
      <w:r>
        <w:rPr>
          <w:color w:val="231F20"/>
          <w:spacing w:val="-9"/>
          <w:sz w:val="15"/>
        </w:rPr>
        <w:t xml:space="preserve"> </w:t>
      </w:r>
      <w:r>
        <w:rPr>
          <w:color w:val="231F20"/>
          <w:sz w:val="15"/>
        </w:rPr>
        <w:t>účastníků</w:t>
      </w:r>
      <w:r>
        <w:rPr>
          <w:color w:val="231F20"/>
          <w:spacing w:val="-10"/>
          <w:sz w:val="15"/>
        </w:rPr>
        <w:t xml:space="preserve"> </w:t>
      </w:r>
      <w:r>
        <w:rPr>
          <w:color w:val="231F20"/>
          <w:sz w:val="15"/>
        </w:rPr>
        <w:t>pojištění;</w:t>
      </w:r>
    </w:p>
    <w:p w14:paraId="2A55DF1C" w14:textId="77777777" w:rsidR="00F65BCA" w:rsidRDefault="00216117">
      <w:pPr>
        <w:pStyle w:val="Odstavecseseznamem"/>
        <w:numPr>
          <w:ilvl w:val="0"/>
          <w:numId w:val="116"/>
        </w:numPr>
        <w:tabs>
          <w:tab w:val="left" w:pos="639"/>
        </w:tabs>
        <w:spacing w:before="27"/>
        <w:rPr>
          <w:sz w:val="15"/>
        </w:rPr>
      </w:pPr>
      <w:r>
        <w:rPr>
          <w:color w:val="231F20"/>
          <w:spacing w:val="-3"/>
          <w:sz w:val="15"/>
        </w:rPr>
        <w:t>prováděny</w:t>
      </w:r>
      <w:r>
        <w:rPr>
          <w:color w:val="231F20"/>
          <w:spacing w:val="-18"/>
          <w:sz w:val="15"/>
        </w:rPr>
        <w:t xml:space="preserve"> </w:t>
      </w:r>
      <w:r>
        <w:rPr>
          <w:color w:val="231F20"/>
          <w:sz w:val="15"/>
        </w:rPr>
        <w:t>z</w:t>
      </w:r>
      <w:r>
        <w:rPr>
          <w:color w:val="231F20"/>
          <w:spacing w:val="-18"/>
          <w:sz w:val="15"/>
        </w:rPr>
        <w:t xml:space="preserve"> </w:t>
      </w:r>
      <w:r>
        <w:rPr>
          <w:color w:val="231F20"/>
          <w:spacing w:val="-3"/>
          <w:sz w:val="15"/>
        </w:rPr>
        <w:t>podnětu</w:t>
      </w:r>
      <w:r>
        <w:rPr>
          <w:color w:val="231F20"/>
          <w:spacing w:val="-18"/>
          <w:sz w:val="15"/>
        </w:rPr>
        <w:t xml:space="preserve"> </w:t>
      </w:r>
      <w:r>
        <w:rPr>
          <w:color w:val="231F20"/>
          <w:spacing w:val="-3"/>
          <w:sz w:val="15"/>
        </w:rPr>
        <w:t>účastníka</w:t>
      </w:r>
      <w:r>
        <w:rPr>
          <w:color w:val="231F20"/>
          <w:spacing w:val="-18"/>
          <w:sz w:val="15"/>
        </w:rPr>
        <w:t xml:space="preserve"> </w:t>
      </w:r>
      <w:r>
        <w:rPr>
          <w:color w:val="231F20"/>
          <w:spacing w:val="-3"/>
          <w:sz w:val="15"/>
        </w:rPr>
        <w:t>pojištění,</w:t>
      </w:r>
      <w:r>
        <w:rPr>
          <w:color w:val="231F20"/>
          <w:spacing w:val="-18"/>
          <w:sz w:val="15"/>
        </w:rPr>
        <w:t xml:space="preserve"> </w:t>
      </w:r>
      <w:r>
        <w:rPr>
          <w:color w:val="231F20"/>
          <w:sz w:val="15"/>
        </w:rPr>
        <w:t>v</w:t>
      </w:r>
      <w:r>
        <w:rPr>
          <w:color w:val="231F20"/>
          <w:spacing w:val="-18"/>
          <w:sz w:val="15"/>
        </w:rPr>
        <w:t xml:space="preserve"> </w:t>
      </w:r>
      <w:r>
        <w:rPr>
          <w:color w:val="231F20"/>
          <w:spacing w:val="-3"/>
          <w:sz w:val="15"/>
        </w:rPr>
        <w:t>jeho</w:t>
      </w:r>
      <w:r>
        <w:rPr>
          <w:color w:val="231F20"/>
          <w:spacing w:val="-17"/>
          <w:sz w:val="15"/>
        </w:rPr>
        <w:t xml:space="preserve"> </w:t>
      </w:r>
      <w:r>
        <w:rPr>
          <w:color w:val="231F20"/>
          <w:spacing w:val="-3"/>
          <w:sz w:val="15"/>
        </w:rPr>
        <w:t>prospěch</w:t>
      </w:r>
      <w:r>
        <w:rPr>
          <w:color w:val="231F20"/>
          <w:spacing w:val="-18"/>
          <w:sz w:val="15"/>
        </w:rPr>
        <w:t xml:space="preserve"> </w:t>
      </w:r>
      <w:r>
        <w:rPr>
          <w:color w:val="231F20"/>
          <w:spacing w:val="-3"/>
          <w:sz w:val="15"/>
        </w:rPr>
        <w:t>nebo</w:t>
      </w:r>
      <w:r>
        <w:rPr>
          <w:color w:val="231F20"/>
          <w:spacing w:val="-18"/>
          <w:sz w:val="15"/>
        </w:rPr>
        <w:t xml:space="preserve"> </w:t>
      </w:r>
      <w:r>
        <w:rPr>
          <w:color w:val="231F20"/>
          <w:sz w:val="15"/>
        </w:rPr>
        <w:t>na</w:t>
      </w:r>
      <w:r>
        <w:rPr>
          <w:color w:val="231F20"/>
          <w:spacing w:val="-18"/>
          <w:sz w:val="15"/>
        </w:rPr>
        <w:t xml:space="preserve"> </w:t>
      </w:r>
      <w:r>
        <w:rPr>
          <w:color w:val="231F20"/>
          <w:spacing w:val="-3"/>
          <w:sz w:val="15"/>
        </w:rPr>
        <w:t>jeho</w:t>
      </w:r>
      <w:r>
        <w:rPr>
          <w:color w:val="231F20"/>
          <w:spacing w:val="-18"/>
          <w:sz w:val="15"/>
        </w:rPr>
        <w:t xml:space="preserve"> </w:t>
      </w:r>
      <w:r>
        <w:rPr>
          <w:color w:val="231F20"/>
          <w:spacing w:val="-3"/>
          <w:sz w:val="15"/>
        </w:rPr>
        <w:t>žádost.</w:t>
      </w:r>
    </w:p>
    <w:p w14:paraId="3B5CED25" w14:textId="77777777" w:rsidR="00F65BCA" w:rsidRDefault="00216117">
      <w:pPr>
        <w:pStyle w:val="Zkladntext"/>
        <w:spacing w:before="27"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6</w:t>
      </w:r>
      <w:r>
        <w:rPr>
          <w:color w:val="231F20"/>
          <w:spacing w:val="18"/>
          <w:position w:val="1"/>
          <w:sz w:val="14"/>
        </w:rPr>
        <w:t xml:space="preserve"> </w:t>
      </w:r>
      <w:r>
        <w:rPr>
          <w:color w:val="231F20"/>
        </w:rPr>
        <w:t>Přehled</w:t>
      </w:r>
      <w:r>
        <w:rPr>
          <w:color w:val="231F20"/>
          <w:spacing w:val="-15"/>
        </w:rPr>
        <w:t xml:space="preserve"> </w:t>
      </w:r>
      <w:r>
        <w:rPr>
          <w:color w:val="231F20"/>
        </w:rPr>
        <w:t>úkonů</w:t>
      </w:r>
      <w:r>
        <w:rPr>
          <w:color w:val="231F20"/>
          <w:spacing w:val="-15"/>
        </w:rPr>
        <w:t xml:space="preserve"> </w:t>
      </w:r>
      <w:r>
        <w:rPr>
          <w:color w:val="231F20"/>
        </w:rPr>
        <w:t>a</w:t>
      </w:r>
      <w:r>
        <w:rPr>
          <w:color w:val="231F20"/>
          <w:spacing w:val="-15"/>
        </w:rPr>
        <w:t xml:space="preserve"> </w:t>
      </w:r>
      <w:r>
        <w:rPr>
          <w:color w:val="231F20"/>
        </w:rPr>
        <w:t>služeb,</w:t>
      </w:r>
      <w:r>
        <w:rPr>
          <w:color w:val="231F20"/>
          <w:spacing w:val="-15"/>
        </w:rPr>
        <w:t xml:space="preserve"> </w:t>
      </w:r>
      <w:r>
        <w:rPr>
          <w:color w:val="231F20"/>
        </w:rPr>
        <w:t>za</w:t>
      </w:r>
      <w:r>
        <w:rPr>
          <w:color w:val="231F20"/>
          <w:spacing w:val="-15"/>
        </w:rPr>
        <w:t xml:space="preserve"> </w:t>
      </w:r>
      <w:r>
        <w:rPr>
          <w:color w:val="231F20"/>
        </w:rPr>
        <w:t>které</w:t>
      </w:r>
      <w:r>
        <w:rPr>
          <w:color w:val="231F20"/>
          <w:spacing w:val="-16"/>
        </w:rPr>
        <w:t xml:space="preserve"> </w:t>
      </w:r>
      <w:r>
        <w:rPr>
          <w:color w:val="231F20"/>
        </w:rPr>
        <w:t>je</w:t>
      </w:r>
      <w:r>
        <w:rPr>
          <w:color w:val="231F20"/>
          <w:spacing w:val="-15"/>
        </w:rPr>
        <w:t xml:space="preserve"> </w:t>
      </w:r>
      <w:r>
        <w:rPr>
          <w:color w:val="231F20"/>
        </w:rPr>
        <w:t>Pojišťovna</w:t>
      </w:r>
      <w:r>
        <w:rPr>
          <w:color w:val="231F20"/>
          <w:spacing w:val="-15"/>
        </w:rPr>
        <w:t xml:space="preserve"> </w:t>
      </w:r>
      <w:r>
        <w:rPr>
          <w:color w:val="231F20"/>
        </w:rPr>
        <w:t>oprávněna</w:t>
      </w:r>
      <w:r>
        <w:rPr>
          <w:color w:val="231F20"/>
          <w:spacing w:val="-15"/>
        </w:rPr>
        <w:t xml:space="preserve"> </w:t>
      </w:r>
      <w:r>
        <w:rPr>
          <w:color w:val="231F20"/>
        </w:rPr>
        <w:t>požadovat</w:t>
      </w:r>
      <w:r>
        <w:rPr>
          <w:color w:val="231F20"/>
          <w:spacing w:val="-15"/>
        </w:rPr>
        <w:t xml:space="preserve"> </w:t>
      </w:r>
      <w:r>
        <w:rPr>
          <w:color w:val="231F20"/>
        </w:rPr>
        <w:t>poplatek a</w:t>
      </w:r>
      <w:r>
        <w:rPr>
          <w:color w:val="231F20"/>
          <w:spacing w:val="-11"/>
        </w:rPr>
        <w:t xml:space="preserve"> </w:t>
      </w:r>
      <w:r>
        <w:rPr>
          <w:color w:val="231F20"/>
        </w:rPr>
        <w:t>jeho</w:t>
      </w:r>
      <w:r>
        <w:rPr>
          <w:color w:val="231F20"/>
          <w:spacing w:val="-10"/>
        </w:rPr>
        <w:t xml:space="preserve"> </w:t>
      </w:r>
      <w:r>
        <w:rPr>
          <w:color w:val="231F20"/>
        </w:rPr>
        <w:t>výše,</w:t>
      </w:r>
      <w:r>
        <w:rPr>
          <w:color w:val="231F20"/>
          <w:spacing w:val="-11"/>
        </w:rPr>
        <w:t xml:space="preserve"> </w:t>
      </w:r>
      <w:r>
        <w:rPr>
          <w:color w:val="231F20"/>
        </w:rPr>
        <w:t>jsou</w:t>
      </w:r>
      <w:r>
        <w:rPr>
          <w:color w:val="231F20"/>
          <w:spacing w:val="-10"/>
        </w:rPr>
        <w:t xml:space="preserve"> </w:t>
      </w:r>
      <w:r>
        <w:rPr>
          <w:color w:val="231F20"/>
        </w:rPr>
        <w:t>uvedeny</w:t>
      </w:r>
      <w:r>
        <w:rPr>
          <w:color w:val="231F20"/>
          <w:spacing w:val="-10"/>
        </w:rPr>
        <w:t xml:space="preserve"> </w:t>
      </w:r>
      <w:r>
        <w:rPr>
          <w:color w:val="231F20"/>
        </w:rPr>
        <w:t>v</w:t>
      </w:r>
      <w:r>
        <w:rPr>
          <w:color w:val="231F20"/>
          <w:spacing w:val="-11"/>
        </w:rPr>
        <w:t xml:space="preserve"> </w:t>
      </w:r>
      <w:r>
        <w:rPr>
          <w:color w:val="231F20"/>
        </w:rPr>
        <w:t>Sazebníku</w:t>
      </w:r>
      <w:r>
        <w:rPr>
          <w:color w:val="231F20"/>
          <w:spacing w:val="-10"/>
        </w:rPr>
        <w:t xml:space="preserve"> </w:t>
      </w:r>
      <w:r>
        <w:rPr>
          <w:color w:val="231F20"/>
        </w:rPr>
        <w:t>administrativních</w:t>
      </w:r>
      <w:r>
        <w:rPr>
          <w:color w:val="231F20"/>
          <w:spacing w:val="-10"/>
        </w:rPr>
        <w:t xml:space="preserve"> </w:t>
      </w:r>
      <w:r>
        <w:rPr>
          <w:color w:val="231F20"/>
        </w:rPr>
        <w:t>poplatků,</w:t>
      </w:r>
      <w:r>
        <w:rPr>
          <w:color w:val="231F20"/>
          <w:spacing w:val="-11"/>
        </w:rPr>
        <w:t xml:space="preserve"> </w:t>
      </w:r>
      <w:r>
        <w:rPr>
          <w:color w:val="231F20"/>
        </w:rPr>
        <w:t>se</w:t>
      </w:r>
      <w:r>
        <w:rPr>
          <w:color w:val="231F20"/>
          <w:spacing w:val="-10"/>
        </w:rPr>
        <w:t xml:space="preserve"> </w:t>
      </w:r>
      <w:r>
        <w:rPr>
          <w:color w:val="231F20"/>
          <w:spacing w:val="-3"/>
        </w:rPr>
        <w:t xml:space="preserve">kterým </w:t>
      </w:r>
      <w:r>
        <w:rPr>
          <w:color w:val="231F20"/>
        </w:rPr>
        <w:t>byl</w:t>
      </w:r>
      <w:r>
        <w:rPr>
          <w:color w:val="231F20"/>
          <w:spacing w:val="-25"/>
        </w:rPr>
        <w:t xml:space="preserve"> </w:t>
      </w:r>
      <w:r>
        <w:rPr>
          <w:color w:val="231F20"/>
        </w:rPr>
        <w:t>pojistník</w:t>
      </w:r>
      <w:r>
        <w:rPr>
          <w:color w:val="231F20"/>
          <w:spacing w:val="-24"/>
        </w:rPr>
        <w:t xml:space="preserve"> </w:t>
      </w:r>
      <w:r>
        <w:rPr>
          <w:color w:val="231F20"/>
        </w:rPr>
        <w:t>seznámen</w:t>
      </w:r>
      <w:r>
        <w:rPr>
          <w:color w:val="231F20"/>
          <w:spacing w:val="-24"/>
        </w:rPr>
        <w:t xml:space="preserve"> </w:t>
      </w:r>
      <w:r>
        <w:rPr>
          <w:color w:val="231F20"/>
        </w:rPr>
        <w:t>před</w:t>
      </w:r>
      <w:r>
        <w:rPr>
          <w:color w:val="231F20"/>
          <w:spacing w:val="-24"/>
        </w:rPr>
        <w:t xml:space="preserve"> </w:t>
      </w:r>
      <w:r>
        <w:rPr>
          <w:color w:val="231F20"/>
        </w:rPr>
        <w:t>uzavřením</w:t>
      </w:r>
      <w:r>
        <w:rPr>
          <w:color w:val="231F20"/>
          <w:spacing w:val="-24"/>
        </w:rPr>
        <w:t xml:space="preserve"> </w:t>
      </w:r>
      <w:r>
        <w:rPr>
          <w:color w:val="231F20"/>
        </w:rPr>
        <w:t>pojistné</w:t>
      </w:r>
      <w:r>
        <w:rPr>
          <w:color w:val="231F20"/>
          <w:spacing w:val="-24"/>
        </w:rPr>
        <w:t xml:space="preserve"> </w:t>
      </w:r>
      <w:r>
        <w:rPr>
          <w:color w:val="231F20"/>
        </w:rPr>
        <w:t>smlouvy.</w:t>
      </w:r>
      <w:r>
        <w:rPr>
          <w:color w:val="231F20"/>
          <w:spacing w:val="-24"/>
        </w:rPr>
        <w:t xml:space="preserve"> </w:t>
      </w:r>
      <w:r>
        <w:rPr>
          <w:color w:val="231F20"/>
        </w:rPr>
        <w:t>V</w:t>
      </w:r>
      <w:r>
        <w:rPr>
          <w:color w:val="231F20"/>
          <w:spacing w:val="-24"/>
        </w:rPr>
        <w:t xml:space="preserve"> </w:t>
      </w:r>
      <w:r>
        <w:rPr>
          <w:color w:val="231F20"/>
        </w:rPr>
        <w:t>případě</w:t>
      </w:r>
      <w:r>
        <w:rPr>
          <w:color w:val="231F20"/>
          <w:spacing w:val="-24"/>
        </w:rPr>
        <w:t xml:space="preserve"> </w:t>
      </w:r>
      <w:r>
        <w:rPr>
          <w:color w:val="231F20"/>
        </w:rPr>
        <w:t>změny</w:t>
      </w:r>
      <w:r>
        <w:rPr>
          <w:color w:val="231F20"/>
          <w:spacing w:val="-24"/>
        </w:rPr>
        <w:t xml:space="preserve"> </w:t>
      </w:r>
      <w:r>
        <w:rPr>
          <w:color w:val="231F20"/>
          <w:spacing w:val="-6"/>
        </w:rPr>
        <w:t xml:space="preserve">Sa- </w:t>
      </w:r>
      <w:r>
        <w:rPr>
          <w:color w:val="231F20"/>
        </w:rPr>
        <w:t xml:space="preserve">zebníku administrativních poplatků je rozhodná výše poplatku podle </w:t>
      </w:r>
      <w:r>
        <w:rPr>
          <w:color w:val="231F20"/>
          <w:spacing w:val="-3"/>
        </w:rPr>
        <w:t xml:space="preserve">Sazeb- </w:t>
      </w:r>
      <w:r>
        <w:rPr>
          <w:color w:val="231F20"/>
        </w:rPr>
        <w:t>níku administrativních poplatků platného ke dni provedení</w:t>
      </w:r>
      <w:r>
        <w:rPr>
          <w:color w:val="231F20"/>
          <w:spacing w:val="-30"/>
        </w:rPr>
        <w:t xml:space="preserve"> </w:t>
      </w:r>
      <w:r>
        <w:rPr>
          <w:color w:val="231F20"/>
        </w:rPr>
        <w:t>zpoplatňovaného úkonu či</w:t>
      </w:r>
      <w:r>
        <w:rPr>
          <w:color w:val="231F20"/>
          <w:spacing w:val="-1"/>
        </w:rPr>
        <w:t xml:space="preserve"> </w:t>
      </w:r>
      <w:r>
        <w:rPr>
          <w:color w:val="231F20"/>
        </w:rPr>
        <w:t>služby.</w:t>
      </w:r>
    </w:p>
    <w:p w14:paraId="77027237"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7</w:t>
      </w:r>
      <w:r>
        <w:rPr>
          <w:color w:val="231F20"/>
          <w:position w:val="1"/>
          <w:sz w:val="14"/>
        </w:rPr>
        <w:t xml:space="preserve"> </w:t>
      </w:r>
      <w:r>
        <w:rPr>
          <w:color w:val="231F20"/>
        </w:rPr>
        <w:t xml:space="preserve">Pojišťovna může Sazebník administrativních poplatků měnit. </w:t>
      </w:r>
      <w:r>
        <w:rPr>
          <w:color w:val="231F20"/>
          <w:spacing w:val="-3"/>
        </w:rPr>
        <w:t>Takovou</w:t>
      </w:r>
      <w:r>
        <w:rPr>
          <w:color w:val="231F20"/>
          <w:spacing w:val="-29"/>
        </w:rPr>
        <w:t xml:space="preserve"> </w:t>
      </w:r>
      <w:r>
        <w:rPr>
          <w:color w:val="231F20"/>
          <w:spacing w:val="-3"/>
        </w:rPr>
        <w:t xml:space="preserve">změnu </w:t>
      </w:r>
      <w:r>
        <w:rPr>
          <w:color w:val="231F20"/>
        </w:rPr>
        <w:t>oznámí</w:t>
      </w:r>
      <w:r>
        <w:rPr>
          <w:color w:val="231F20"/>
          <w:spacing w:val="-22"/>
        </w:rPr>
        <w:t xml:space="preserve"> </w:t>
      </w:r>
      <w:r>
        <w:rPr>
          <w:color w:val="231F20"/>
        </w:rPr>
        <w:t>vhodným</w:t>
      </w:r>
      <w:r>
        <w:rPr>
          <w:color w:val="231F20"/>
          <w:spacing w:val="-21"/>
        </w:rPr>
        <w:t xml:space="preserve"> </w:t>
      </w:r>
      <w:r>
        <w:rPr>
          <w:color w:val="231F20"/>
        </w:rPr>
        <w:t>způsobem</w:t>
      </w:r>
      <w:r>
        <w:rPr>
          <w:color w:val="231F20"/>
          <w:spacing w:val="-21"/>
        </w:rPr>
        <w:t xml:space="preserve"> </w:t>
      </w:r>
      <w:r>
        <w:rPr>
          <w:color w:val="231F20"/>
        </w:rPr>
        <w:t>na</w:t>
      </w:r>
      <w:r>
        <w:rPr>
          <w:color w:val="231F20"/>
          <w:spacing w:val="-21"/>
        </w:rPr>
        <w:t xml:space="preserve"> </w:t>
      </w:r>
      <w:r>
        <w:rPr>
          <w:color w:val="231F20"/>
        </w:rPr>
        <w:t>svých</w:t>
      </w:r>
      <w:r>
        <w:rPr>
          <w:color w:val="231F20"/>
          <w:spacing w:val="-22"/>
        </w:rPr>
        <w:t xml:space="preserve"> </w:t>
      </w:r>
      <w:r>
        <w:rPr>
          <w:color w:val="231F20"/>
        </w:rPr>
        <w:t>internetových</w:t>
      </w:r>
      <w:r>
        <w:rPr>
          <w:color w:val="231F20"/>
          <w:spacing w:val="-21"/>
        </w:rPr>
        <w:t xml:space="preserve"> </w:t>
      </w:r>
      <w:r>
        <w:rPr>
          <w:color w:val="231F20"/>
        </w:rPr>
        <w:t>stránkách.</w:t>
      </w:r>
      <w:r>
        <w:rPr>
          <w:color w:val="231F20"/>
          <w:spacing w:val="-21"/>
        </w:rPr>
        <w:t xml:space="preserve"> </w:t>
      </w:r>
      <w:r>
        <w:rPr>
          <w:color w:val="231F20"/>
        </w:rPr>
        <w:t>Aktuální</w:t>
      </w:r>
      <w:r>
        <w:rPr>
          <w:color w:val="231F20"/>
          <w:spacing w:val="-21"/>
        </w:rPr>
        <w:t xml:space="preserve"> </w:t>
      </w:r>
      <w:r>
        <w:rPr>
          <w:color w:val="231F20"/>
          <w:spacing w:val="-3"/>
        </w:rPr>
        <w:t xml:space="preserve">znění </w:t>
      </w:r>
      <w:r>
        <w:rPr>
          <w:color w:val="231F20"/>
          <w:spacing w:val="3"/>
        </w:rPr>
        <w:t>Sazebníku</w:t>
      </w:r>
      <w:r>
        <w:rPr>
          <w:color w:val="231F20"/>
          <w:spacing w:val="-6"/>
        </w:rPr>
        <w:t xml:space="preserve"> </w:t>
      </w:r>
      <w:r>
        <w:rPr>
          <w:color w:val="231F20"/>
          <w:spacing w:val="2"/>
        </w:rPr>
        <w:t>administrativních</w:t>
      </w:r>
      <w:r>
        <w:rPr>
          <w:color w:val="231F20"/>
          <w:spacing w:val="-5"/>
        </w:rPr>
        <w:t xml:space="preserve"> </w:t>
      </w:r>
      <w:r>
        <w:rPr>
          <w:color w:val="231F20"/>
          <w:spacing w:val="3"/>
        </w:rPr>
        <w:t>poplatků</w:t>
      </w:r>
      <w:r>
        <w:rPr>
          <w:color w:val="231F20"/>
          <w:spacing w:val="-5"/>
        </w:rPr>
        <w:t xml:space="preserve"> </w:t>
      </w:r>
      <w:r>
        <w:rPr>
          <w:color w:val="231F20"/>
        </w:rPr>
        <w:t>je</w:t>
      </w:r>
      <w:r>
        <w:rPr>
          <w:color w:val="231F20"/>
          <w:spacing w:val="-5"/>
        </w:rPr>
        <w:t xml:space="preserve"> </w:t>
      </w:r>
      <w:r>
        <w:rPr>
          <w:color w:val="231F20"/>
          <w:spacing w:val="3"/>
        </w:rPr>
        <w:t>současně</w:t>
      </w:r>
      <w:r>
        <w:rPr>
          <w:color w:val="231F20"/>
          <w:spacing w:val="-5"/>
        </w:rPr>
        <w:t xml:space="preserve"> </w:t>
      </w:r>
      <w:r>
        <w:rPr>
          <w:color w:val="231F20"/>
          <w:spacing w:val="3"/>
        </w:rPr>
        <w:t>dostupné</w:t>
      </w:r>
      <w:r>
        <w:rPr>
          <w:color w:val="231F20"/>
          <w:spacing w:val="-5"/>
        </w:rPr>
        <w:t xml:space="preserve"> </w:t>
      </w:r>
      <w:r>
        <w:rPr>
          <w:color w:val="231F20"/>
        </w:rPr>
        <w:t>k</w:t>
      </w:r>
      <w:r>
        <w:rPr>
          <w:color w:val="231F20"/>
          <w:spacing w:val="-5"/>
        </w:rPr>
        <w:t xml:space="preserve"> </w:t>
      </w:r>
      <w:r>
        <w:rPr>
          <w:color w:val="231F20"/>
          <w:spacing w:val="3"/>
        </w:rPr>
        <w:t xml:space="preserve">nahlédnutí </w:t>
      </w:r>
      <w:r>
        <w:rPr>
          <w:color w:val="231F20"/>
        </w:rPr>
        <w:t>v sídle Pojišťovny a na jejích obchodních</w:t>
      </w:r>
      <w:r>
        <w:rPr>
          <w:color w:val="231F20"/>
          <w:spacing w:val="-18"/>
        </w:rPr>
        <w:t xml:space="preserve"> </w:t>
      </w:r>
      <w:r>
        <w:rPr>
          <w:color w:val="231F20"/>
        </w:rPr>
        <w:t>místech.</w:t>
      </w:r>
    </w:p>
    <w:p w14:paraId="33E496A7" w14:textId="77777777" w:rsidR="00F65BCA" w:rsidRDefault="00216117">
      <w:pPr>
        <w:pStyle w:val="Zkladntext"/>
        <w:spacing w:line="278" w:lineRule="auto"/>
        <w:ind w:left="468"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8</w:t>
      </w:r>
      <w:r>
        <w:rPr>
          <w:color w:val="231F20"/>
          <w:position w:val="1"/>
          <w:sz w:val="14"/>
        </w:rPr>
        <w:t xml:space="preserve"> </w:t>
      </w:r>
      <w:r>
        <w:rPr>
          <w:color w:val="231F20"/>
        </w:rPr>
        <w:t>Poplatek je splatný dnem provedení úkonu či služby Pojišťovnou, není-li ve výzvě</w:t>
      </w:r>
      <w:r>
        <w:rPr>
          <w:color w:val="231F20"/>
          <w:spacing w:val="-24"/>
        </w:rPr>
        <w:t xml:space="preserve"> </w:t>
      </w:r>
      <w:r>
        <w:rPr>
          <w:color w:val="231F20"/>
        </w:rPr>
        <w:t>Pojišťovny</w:t>
      </w:r>
      <w:r>
        <w:rPr>
          <w:color w:val="231F20"/>
          <w:spacing w:val="-23"/>
        </w:rPr>
        <w:t xml:space="preserve"> </w:t>
      </w:r>
      <w:r>
        <w:rPr>
          <w:color w:val="231F20"/>
        </w:rPr>
        <w:t>uvedeno</w:t>
      </w:r>
      <w:r>
        <w:rPr>
          <w:color w:val="231F20"/>
          <w:spacing w:val="-24"/>
        </w:rPr>
        <w:t xml:space="preserve"> </w:t>
      </w:r>
      <w:r>
        <w:rPr>
          <w:color w:val="231F20"/>
        </w:rPr>
        <w:t>jinak.</w:t>
      </w:r>
      <w:r>
        <w:rPr>
          <w:color w:val="231F20"/>
          <w:spacing w:val="-23"/>
        </w:rPr>
        <w:t xml:space="preserve"> </w:t>
      </w:r>
      <w:r>
        <w:rPr>
          <w:color w:val="231F20"/>
        </w:rPr>
        <w:t>Je-li</w:t>
      </w:r>
      <w:r>
        <w:rPr>
          <w:color w:val="231F20"/>
          <w:spacing w:val="-23"/>
        </w:rPr>
        <w:t xml:space="preserve"> </w:t>
      </w:r>
      <w:r>
        <w:rPr>
          <w:color w:val="231F20"/>
        </w:rPr>
        <w:t>tak</w:t>
      </w:r>
      <w:r>
        <w:rPr>
          <w:color w:val="231F20"/>
          <w:spacing w:val="-24"/>
        </w:rPr>
        <w:t xml:space="preserve"> </w:t>
      </w:r>
      <w:r>
        <w:rPr>
          <w:color w:val="231F20"/>
        </w:rPr>
        <w:t>stanoveno,</w:t>
      </w:r>
      <w:r>
        <w:rPr>
          <w:color w:val="231F20"/>
          <w:spacing w:val="-23"/>
        </w:rPr>
        <w:t xml:space="preserve"> </w:t>
      </w:r>
      <w:r>
        <w:rPr>
          <w:color w:val="231F20"/>
        </w:rPr>
        <w:t>provede</w:t>
      </w:r>
      <w:r>
        <w:rPr>
          <w:color w:val="231F20"/>
          <w:spacing w:val="-24"/>
        </w:rPr>
        <w:t xml:space="preserve"> </w:t>
      </w:r>
      <w:r>
        <w:rPr>
          <w:color w:val="231F20"/>
        </w:rPr>
        <w:t>Pojišťovna</w:t>
      </w:r>
      <w:r>
        <w:rPr>
          <w:color w:val="231F20"/>
          <w:spacing w:val="-23"/>
        </w:rPr>
        <w:t xml:space="preserve"> </w:t>
      </w:r>
      <w:r>
        <w:rPr>
          <w:color w:val="231F20"/>
          <w:spacing w:val="-4"/>
        </w:rPr>
        <w:t xml:space="preserve">poža- </w:t>
      </w:r>
      <w:r>
        <w:rPr>
          <w:color w:val="231F20"/>
        </w:rPr>
        <w:t>dovaný</w:t>
      </w:r>
      <w:r>
        <w:rPr>
          <w:color w:val="231F20"/>
          <w:spacing w:val="-12"/>
        </w:rPr>
        <w:t xml:space="preserve"> </w:t>
      </w:r>
      <w:r>
        <w:rPr>
          <w:color w:val="231F20"/>
        </w:rPr>
        <w:t>úkon</w:t>
      </w:r>
      <w:r>
        <w:rPr>
          <w:color w:val="231F20"/>
          <w:spacing w:val="-11"/>
        </w:rPr>
        <w:t xml:space="preserve"> </w:t>
      </w:r>
      <w:r>
        <w:rPr>
          <w:color w:val="231F20"/>
        </w:rPr>
        <w:t>či</w:t>
      </w:r>
      <w:r>
        <w:rPr>
          <w:color w:val="231F20"/>
          <w:spacing w:val="-11"/>
        </w:rPr>
        <w:t xml:space="preserve"> </w:t>
      </w:r>
      <w:r>
        <w:rPr>
          <w:color w:val="231F20"/>
        </w:rPr>
        <w:t>službu</w:t>
      </w:r>
      <w:r>
        <w:rPr>
          <w:color w:val="231F20"/>
          <w:spacing w:val="-11"/>
        </w:rPr>
        <w:t xml:space="preserve"> </w:t>
      </w:r>
      <w:r>
        <w:rPr>
          <w:color w:val="231F20"/>
        </w:rPr>
        <w:t>pouze</w:t>
      </w:r>
      <w:r>
        <w:rPr>
          <w:color w:val="231F20"/>
          <w:spacing w:val="-12"/>
        </w:rPr>
        <w:t xml:space="preserve"> </w:t>
      </w:r>
      <w:r>
        <w:rPr>
          <w:color w:val="231F20"/>
        </w:rPr>
        <w:t>za</w:t>
      </w:r>
      <w:r>
        <w:rPr>
          <w:color w:val="231F20"/>
          <w:spacing w:val="-11"/>
        </w:rPr>
        <w:t xml:space="preserve"> </w:t>
      </w:r>
      <w:r>
        <w:rPr>
          <w:color w:val="231F20"/>
        </w:rPr>
        <w:t>podmínky</w:t>
      </w:r>
      <w:r>
        <w:rPr>
          <w:color w:val="231F20"/>
          <w:spacing w:val="-11"/>
        </w:rPr>
        <w:t xml:space="preserve"> </w:t>
      </w:r>
      <w:r>
        <w:rPr>
          <w:color w:val="231F20"/>
        </w:rPr>
        <w:t>uhrazení</w:t>
      </w:r>
      <w:r>
        <w:rPr>
          <w:color w:val="231F20"/>
          <w:spacing w:val="-11"/>
        </w:rPr>
        <w:t xml:space="preserve"> </w:t>
      </w:r>
      <w:r>
        <w:rPr>
          <w:color w:val="231F20"/>
        </w:rPr>
        <w:t>příslušného</w:t>
      </w:r>
      <w:r>
        <w:rPr>
          <w:color w:val="231F20"/>
          <w:spacing w:val="-11"/>
        </w:rPr>
        <w:t xml:space="preserve"> </w:t>
      </w:r>
      <w:r>
        <w:rPr>
          <w:color w:val="231F20"/>
        </w:rPr>
        <w:t>poplatku.</w:t>
      </w:r>
    </w:p>
    <w:p w14:paraId="63744315" w14:textId="77777777" w:rsidR="00F65BCA" w:rsidRDefault="00F65BCA">
      <w:pPr>
        <w:spacing w:line="278" w:lineRule="auto"/>
        <w:jc w:val="both"/>
        <w:sectPr w:rsidR="00F65BCA">
          <w:pgSz w:w="11910" w:h="16840"/>
          <w:pgMar w:top="520" w:right="140" w:bottom="0" w:left="140" w:header="708" w:footer="708" w:gutter="0"/>
          <w:cols w:num="2" w:space="708" w:equalWidth="0">
            <w:col w:w="5702" w:space="40"/>
            <w:col w:w="5888"/>
          </w:cols>
        </w:sectPr>
      </w:pPr>
    </w:p>
    <w:p w14:paraId="7E3E623A" w14:textId="77777777" w:rsidR="00F65BCA" w:rsidRDefault="00216117">
      <w:pPr>
        <w:tabs>
          <w:tab w:val="left" w:pos="4673"/>
          <w:tab w:val="left" w:pos="11198"/>
        </w:tabs>
        <w:spacing w:before="79"/>
        <w:ind w:left="426"/>
        <w:rPr>
          <w:sz w:val="24"/>
        </w:rPr>
      </w:pPr>
      <w:r>
        <w:rPr>
          <w:color w:val="231F20"/>
          <w:sz w:val="24"/>
          <w:shd w:val="clear" w:color="auto" w:fill="DCDDDE"/>
        </w:rPr>
        <w:lastRenderedPageBreak/>
        <w:t xml:space="preserve"> </w:t>
      </w:r>
      <w:r>
        <w:rPr>
          <w:color w:val="231F20"/>
          <w:sz w:val="24"/>
          <w:shd w:val="clear" w:color="auto" w:fill="DCDDDE"/>
        </w:rPr>
        <w:tab/>
      </w:r>
      <w:r>
        <w:rPr>
          <w:color w:val="231F20"/>
          <w:spacing w:val="6"/>
          <w:sz w:val="24"/>
          <w:shd w:val="clear" w:color="auto" w:fill="DCDDDE"/>
        </w:rPr>
        <w:t xml:space="preserve">B. </w:t>
      </w:r>
      <w:r>
        <w:rPr>
          <w:color w:val="231F20"/>
          <w:spacing w:val="10"/>
          <w:sz w:val="24"/>
          <w:shd w:val="clear" w:color="auto" w:fill="DCDDDE"/>
        </w:rPr>
        <w:t>ZVLÁŠTNÍ</w:t>
      </w:r>
      <w:r>
        <w:rPr>
          <w:color w:val="231F20"/>
          <w:spacing w:val="-4"/>
          <w:sz w:val="24"/>
          <w:shd w:val="clear" w:color="auto" w:fill="DCDDDE"/>
        </w:rPr>
        <w:t xml:space="preserve"> </w:t>
      </w:r>
      <w:r>
        <w:rPr>
          <w:color w:val="231F20"/>
          <w:spacing w:val="9"/>
          <w:sz w:val="24"/>
          <w:shd w:val="clear" w:color="auto" w:fill="DCDDDE"/>
        </w:rPr>
        <w:t>ČÁST</w:t>
      </w:r>
      <w:r>
        <w:rPr>
          <w:color w:val="231F20"/>
          <w:spacing w:val="9"/>
          <w:sz w:val="24"/>
          <w:shd w:val="clear" w:color="auto" w:fill="DCDDDE"/>
        </w:rPr>
        <w:tab/>
      </w:r>
    </w:p>
    <w:p w14:paraId="3A4B56F6" w14:textId="77777777" w:rsidR="00F65BCA" w:rsidRDefault="00F65BCA">
      <w:pPr>
        <w:pStyle w:val="Zkladntext"/>
        <w:rPr>
          <w:sz w:val="20"/>
        </w:rPr>
      </w:pPr>
    </w:p>
    <w:p w14:paraId="7753FA00" w14:textId="77777777" w:rsidR="00F65BCA" w:rsidRDefault="00F65BCA">
      <w:pPr>
        <w:pStyle w:val="Zkladntext"/>
        <w:spacing w:before="10"/>
        <w:rPr>
          <w:sz w:val="17"/>
        </w:rPr>
      </w:pPr>
    </w:p>
    <w:p w14:paraId="6BAABBA6" w14:textId="77777777" w:rsidR="00F65BCA" w:rsidRDefault="00F65BCA">
      <w:pPr>
        <w:rPr>
          <w:sz w:val="17"/>
        </w:rPr>
        <w:sectPr w:rsidR="00F65BCA">
          <w:pgSz w:w="11910" w:h="16840"/>
          <w:pgMar w:top="500" w:right="140" w:bottom="0" w:left="140" w:header="708" w:footer="708" w:gutter="0"/>
          <w:cols w:space="708"/>
        </w:sectPr>
      </w:pPr>
    </w:p>
    <w:p w14:paraId="0FEDADA5" w14:textId="77777777" w:rsidR="00F65BCA" w:rsidRDefault="00000000">
      <w:pPr>
        <w:pStyle w:val="Zkladntext"/>
        <w:spacing w:before="5"/>
        <w:rPr>
          <w:sz w:val="6"/>
        </w:rPr>
      </w:pPr>
      <w:r>
        <w:pict w14:anchorId="07D1EA4E">
          <v:group id="_x0000_s2280" style="position:absolute;margin-left:0;margin-top:807.85pt;width:595.3pt;height:34.05pt;z-index:251855872;mso-position-horizontal-relative:page;mso-position-vertical-relative:page" coordorigin=",16157" coordsize="11906,681">
            <v:rect id="_x0000_s2283" style="position:absolute;top:16157;width:11906;height:681" fillcolor="#dcddde" stroked="f"/>
            <v:shape id="_x0000_s2282" type="#_x0000_t202" style="position:absolute;left:793;top:16420;width:5475;height:234" filled="f" stroked="f">
              <v:textbox inset="0,0,0,0">
                <w:txbxContent>
                  <w:p w14:paraId="64DBBDAA" w14:textId="77777777" w:rsidR="00F65BCA" w:rsidRDefault="00216117">
                    <w:pPr>
                      <w:spacing w:before="3"/>
                      <w:rPr>
                        <w:sz w:val="16"/>
                      </w:rPr>
                    </w:pPr>
                    <w:r>
                      <w:rPr>
                        <w:color w:val="231F20"/>
                        <w:sz w:val="16"/>
                      </w:rPr>
                      <w:t xml:space="preserve">20 </w:t>
                    </w:r>
                    <w:r>
                      <w:rPr>
                        <w:color w:val="6D6E71"/>
                        <w:sz w:val="20"/>
                      </w:rPr>
                      <w:t xml:space="preserve">| </w:t>
                    </w:r>
                    <w:r>
                      <w:rPr>
                        <w:color w:val="231F20"/>
                        <w:sz w:val="16"/>
                      </w:rPr>
                      <w:t>Všeobecné pojistné podmínky pro pojištění vozidel VPPPMV-F-5/2025</w:t>
                    </w:r>
                  </w:p>
                </w:txbxContent>
              </v:textbox>
            </v:shape>
            <v:shape id="_x0000_s2281" type="#_x0000_t202" style="position:absolute;left:9491;top:16477;width:1414;height:164" filled="f" stroked="f">
              <v:textbox inset="0,0,0,0">
                <w:txbxContent>
                  <w:p w14:paraId="19E7A36D" w14:textId="77777777" w:rsidR="00F65BCA" w:rsidRDefault="00216117">
                    <w:pPr>
                      <w:spacing w:before="2"/>
                      <w:rPr>
                        <w:sz w:val="14"/>
                      </w:rPr>
                    </w:pPr>
                    <w:r>
                      <w:rPr>
                        <w:color w:val="231F20"/>
                        <w:sz w:val="14"/>
                      </w:rPr>
                      <w:t>6.20.012 05.2025 v04</w:t>
                    </w:r>
                  </w:p>
                </w:txbxContent>
              </v:textbox>
            </v:shape>
            <w10:wrap anchorx="page" anchory="page"/>
          </v:group>
        </w:pict>
      </w:r>
    </w:p>
    <w:p w14:paraId="2C2B3A6E" w14:textId="77777777" w:rsidR="00F65BCA" w:rsidRDefault="00000000">
      <w:pPr>
        <w:pStyle w:val="Zkladntext"/>
        <w:ind w:left="426" w:right="-72"/>
        <w:rPr>
          <w:sz w:val="20"/>
        </w:rPr>
      </w:pPr>
      <w:r>
        <w:rPr>
          <w:position w:val="-1"/>
          <w:sz w:val="20"/>
        </w:rPr>
      </w:r>
      <w:r>
        <w:rPr>
          <w:position w:val="-1"/>
          <w:sz w:val="20"/>
        </w:rPr>
        <w:pict w14:anchorId="4677A0C9">
          <v:shape id="_x0000_s2580" type="#_x0000_t202" style="width:262.15pt;height:18.35pt;mso-left-percent:-10001;mso-top-percent:-10001;mso-position-horizontal:absolute;mso-position-horizontal-relative:char;mso-position-vertical:absolute;mso-position-vertical-relative:line;mso-left-percent:-10001;mso-top-percent:-10001" filled="f" strokecolor="#231f20" strokeweight="1.5pt">
            <v:textbox inset="0,0,0,0">
              <w:txbxContent>
                <w:p w14:paraId="3A98310B" w14:textId="77777777" w:rsidR="00F65BCA" w:rsidRDefault="00216117">
                  <w:pPr>
                    <w:spacing w:before="29"/>
                    <w:ind w:left="516"/>
                    <w:rPr>
                      <w:sz w:val="24"/>
                    </w:rPr>
                  </w:pPr>
                  <w:r>
                    <w:rPr>
                      <w:color w:val="231F20"/>
                      <w:sz w:val="24"/>
                    </w:rPr>
                    <w:t>ODDÍL I. POJIŠTĚNÍ ODPOVĚDNOSTI</w:t>
                  </w:r>
                </w:p>
              </w:txbxContent>
            </v:textbox>
            <w10:anchorlock/>
          </v:shape>
        </w:pict>
      </w:r>
    </w:p>
    <w:p w14:paraId="116D5D3D" w14:textId="77777777" w:rsidR="00F65BCA" w:rsidRDefault="00216117">
      <w:pPr>
        <w:spacing w:before="126"/>
        <w:ind w:left="426"/>
        <w:rPr>
          <w:sz w:val="24"/>
        </w:rPr>
      </w:pPr>
      <w:r>
        <w:rPr>
          <w:color w:val="231F20"/>
          <w:sz w:val="24"/>
        </w:rPr>
        <w:t>Pododdíl 1 – Společná ustanovení</w:t>
      </w:r>
    </w:p>
    <w:p w14:paraId="2B9EA762" w14:textId="77777777" w:rsidR="00F65BCA" w:rsidRDefault="00216117">
      <w:pPr>
        <w:spacing w:before="250"/>
        <w:ind w:left="428"/>
        <w:rPr>
          <w:sz w:val="15"/>
        </w:rPr>
      </w:pPr>
      <w:r>
        <w:rPr>
          <w:color w:val="FFFFFF"/>
          <w:position w:val="3"/>
          <w:sz w:val="16"/>
          <w:shd w:val="clear" w:color="auto" w:fill="808285"/>
        </w:rPr>
        <w:t xml:space="preserve">  Článek 13</w:t>
      </w:r>
      <w:r>
        <w:rPr>
          <w:color w:val="FFFFFF"/>
          <w:position w:val="3"/>
          <w:sz w:val="16"/>
        </w:rPr>
        <w:t xml:space="preserve"> </w:t>
      </w:r>
      <w:r>
        <w:rPr>
          <w:color w:val="231F20"/>
          <w:sz w:val="15"/>
        </w:rPr>
        <w:t>Úvodní ustanovení</w:t>
      </w:r>
    </w:p>
    <w:p w14:paraId="00881340" w14:textId="77777777" w:rsidR="00F65BCA" w:rsidRDefault="00216117">
      <w:pPr>
        <w:pStyle w:val="Zkladntext"/>
        <w:spacing w:before="146" w:line="278" w:lineRule="auto"/>
        <w:ind w:left="710" w:hanging="283"/>
        <w:jc w:val="both"/>
      </w:pPr>
      <w:r>
        <w:rPr>
          <w:color w:val="231F20"/>
          <w:position w:val="1"/>
          <w:sz w:val="14"/>
          <w:shd w:val="clear" w:color="auto" w:fill="D1D3D4"/>
        </w:rPr>
        <w:t xml:space="preserve">  1</w:t>
      </w:r>
      <w:r>
        <w:rPr>
          <w:color w:val="231F20"/>
          <w:position w:val="1"/>
          <w:sz w:val="14"/>
        </w:rPr>
        <w:t xml:space="preserve"> </w:t>
      </w:r>
      <w:r>
        <w:rPr>
          <w:color w:val="231F20"/>
        </w:rPr>
        <w:t>Pojištění odpovědnosti je pojištění soukromé a sjednává se jako pojištění škodové pro pojistná nebezpečí uvedená v pojistné smlouvě.</w:t>
      </w:r>
    </w:p>
    <w:p w14:paraId="7F573E03" w14:textId="77777777" w:rsidR="00F65BCA" w:rsidRDefault="00216117">
      <w:pPr>
        <w:pStyle w:val="Zkladntext"/>
        <w:spacing w:line="278" w:lineRule="auto"/>
        <w:ind w:left="710" w:hanging="283"/>
        <w:jc w:val="both"/>
      </w:pPr>
      <w:r>
        <w:rPr>
          <w:color w:val="231F20"/>
          <w:position w:val="1"/>
          <w:sz w:val="14"/>
          <w:shd w:val="clear" w:color="auto" w:fill="D1D3D4"/>
        </w:rPr>
        <w:t xml:space="preserve">  2</w:t>
      </w:r>
      <w:r>
        <w:rPr>
          <w:color w:val="231F20"/>
          <w:position w:val="1"/>
          <w:sz w:val="14"/>
        </w:rPr>
        <w:t xml:space="preserve"> </w:t>
      </w:r>
      <w:r>
        <w:rPr>
          <w:color w:val="231F20"/>
        </w:rPr>
        <w:t>Pojištění odpovědnosti se sjednává pro případ ZPOV stanovené odpověd- nosti pojištěného za újmu způsobenou provozem pojištěného vozidla.</w:t>
      </w:r>
    </w:p>
    <w:p w14:paraId="50F2E908"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16"/>
          <w:position w:val="1"/>
          <w:sz w:val="14"/>
        </w:rPr>
        <w:t xml:space="preserve"> </w:t>
      </w:r>
      <w:r>
        <w:rPr>
          <w:color w:val="231F20"/>
        </w:rPr>
        <w:t>Pojistnou</w:t>
      </w:r>
      <w:r>
        <w:rPr>
          <w:color w:val="231F20"/>
          <w:spacing w:val="-16"/>
        </w:rPr>
        <w:t xml:space="preserve"> </w:t>
      </w:r>
      <w:r>
        <w:rPr>
          <w:color w:val="231F20"/>
        </w:rPr>
        <w:t>událostí</w:t>
      </w:r>
      <w:r>
        <w:rPr>
          <w:color w:val="231F20"/>
          <w:spacing w:val="-16"/>
        </w:rPr>
        <w:t xml:space="preserve"> </w:t>
      </w:r>
      <w:r>
        <w:rPr>
          <w:color w:val="231F20"/>
        </w:rPr>
        <w:t>je</w:t>
      </w:r>
      <w:r>
        <w:rPr>
          <w:color w:val="231F20"/>
          <w:spacing w:val="-17"/>
        </w:rPr>
        <w:t xml:space="preserve"> </w:t>
      </w:r>
      <w:r>
        <w:rPr>
          <w:color w:val="231F20"/>
        </w:rPr>
        <w:t>vznik</w:t>
      </w:r>
      <w:r>
        <w:rPr>
          <w:color w:val="231F20"/>
          <w:spacing w:val="-16"/>
        </w:rPr>
        <w:t xml:space="preserve"> </w:t>
      </w:r>
      <w:r>
        <w:rPr>
          <w:color w:val="231F20"/>
        </w:rPr>
        <w:t>povinnosti</w:t>
      </w:r>
      <w:r>
        <w:rPr>
          <w:color w:val="231F20"/>
          <w:spacing w:val="-16"/>
        </w:rPr>
        <w:t xml:space="preserve"> </w:t>
      </w:r>
      <w:r>
        <w:rPr>
          <w:color w:val="231F20"/>
        </w:rPr>
        <w:t>pojištěného</w:t>
      </w:r>
      <w:r>
        <w:rPr>
          <w:color w:val="231F20"/>
          <w:spacing w:val="-16"/>
        </w:rPr>
        <w:t xml:space="preserve"> </w:t>
      </w:r>
      <w:r>
        <w:rPr>
          <w:color w:val="231F20"/>
        </w:rPr>
        <w:t>nahradit</w:t>
      </w:r>
      <w:r>
        <w:rPr>
          <w:color w:val="231F20"/>
          <w:spacing w:val="-17"/>
        </w:rPr>
        <w:t xml:space="preserve"> </w:t>
      </w:r>
      <w:r>
        <w:rPr>
          <w:color w:val="231F20"/>
        </w:rPr>
        <w:t>poškozenému</w:t>
      </w:r>
      <w:r>
        <w:rPr>
          <w:color w:val="231F20"/>
          <w:spacing w:val="-16"/>
        </w:rPr>
        <w:t xml:space="preserve"> </w:t>
      </w:r>
      <w:r>
        <w:rPr>
          <w:color w:val="231F20"/>
          <w:spacing w:val="-4"/>
        </w:rPr>
        <w:t xml:space="preserve">újmu </w:t>
      </w:r>
      <w:r>
        <w:rPr>
          <w:color w:val="231F20"/>
        </w:rPr>
        <w:t>způsobenou jinému provozem motorového vozidla uvedeného v pojistné smlouvě.</w:t>
      </w:r>
    </w:p>
    <w:p w14:paraId="11E2CB86" w14:textId="77777777" w:rsidR="00F65BCA" w:rsidRDefault="00F65BCA">
      <w:pPr>
        <w:pStyle w:val="Zkladntext"/>
        <w:spacing w:before="9"/>
        <w:rPr>
          <w:sz w:val="20"/>
        </w:rPr>
      </w:pPr>
    </w:p>
    <w:p w14:paraId="44A69192" w14:textId="77777777" w:rsidR="00F65BCA" w:rsidRDefault="00216117">
      <w:pPr>
        <w:ind w:left="428"/>
        <w:rPr>
          <w:sz w:val="15"/>
        </w:rPr>
      </w:pPr>
      <w:r>
        <w:rPr>
          <w:color w:val="FFFFFF"/>
          <w:position w:val="3"/>
          <w:sz w:val="16"/>
          <w:shd w:val="clear" w:color="auto" w:fill="808285"/>
        </w:rPr>
        <w:t xml:space="preserve">  Článek 14</w:t>
      </w:r>
      <w:r>
        <w:rPr>
          <w:color w:val="FFFFFF"/>
          <w:position w:val="3"/>
          <w:sz w:val="16"/>
        </w:rPr>
        <w:t xml:space="preserve"> </w:t>
      </w:r>
      <w:r>
        <w:rPr>
          <w:color w:val="231F20"/>
          <w:sz w:val="15"/>
        </w:rPr>
        <w:t>Rozsah pojištění</w:t>
      </w:r>
    </w:p>
    <w:p w14:paraId="452B693A"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position w:val="1"/>
          <w:sz w:val="14"/>
        </w:rPr>
        <w:t xml:space="preserve"> </w:t>
      </w:r>
      <w:r>
        <w:rPr>
          <w:color w:val="231F20"/>
        </w:rPr>
        <w:t xml:space="preserve">Pojišťovna </w:t>
      </w:r>
      <w:r>
        <w:rPr>
          <w:color w:val="231F20"/>
          <w:spacing w:val="4"/>
        </w:rPr>
        <w:t xml:space="preserve">poskytuje </w:t>
      </w:r>
      <w:r>
        <w:rPr>
          <w:color w:val="231F20"/>
          <w:spacing w:val="2"/>
        </w:rPr>
        <w:t xml:space="preserve">pojistné </w:t>
      </w:r>
      <w:r>
        <w:rPr>
          <w:color w:val="231F20"/>
          <w:spacing w:val="3"/>
        </w:rPr>
        <w:t xml:space="preserve">plnění </w:t>
      </w:r>
      <w:r>
        <w:rPr>
          <w:color w:val="231F20"/>
        </w:rPr>
        <w:t xml:space="preserve">za </w:t>
      </w:r>
      <w:r>
        <w:rPr>
          <w:color w:val="231F20"/>
          <w:spacing w:val="3"/>
        </w:rPr>
        <w:t xml:space="preserve">podmínek </w:t>
      </w:r>
      <w:r>
        <w:rPr>
          <w:color w:val="231F20"/>
        </w:rPr>
        <w:t xml:space="preserve">a v </w:t>
      </w:r>
      <w:r>
        <w:rPr>
          <w:color w:val="231F20"/>
          <w:spacing w:val="2"/>
        </w:rPr>
        <w:t xml:space="preserve">rozsahu </w:t>
      </w:r>
      <w:r>
        <w:rPr>
          <w:color w:val="231F20"/>
          <w:spacing w:val="3"/>
        </w:rPr>
        <w:t xml:space="preserve">uvedeném </w:t>
      </w:r>
      <w:r>
        <w:rPr>
          <w:color w:val="231F20"/>
        </w:rPr>
        <w:t>v</w:t>
      </w:r>
      <w:r>
        <w:rPr>
          <w:color w:val="231F20"/>
          <w:spacing w:val="-10"/>
        </w:rPr>
        <w:t xml:space="preserve"> </w:t>
      </w:r>
      <w:r>
        <w:rPr>
          <w:color w:val="231F20"/>
        </w:rPr>
        <w:t>pojistné</w:t>
      </w:r>
      <w:r>
        <w:rPr>
          <w:color w:val="231F20"/>
          <w:spacing w:val="-11"/>
        </w:rPr>
        <w:t xml:space="preserve"> </w:t>
      </w:r>
      <w:r>
        <w:rPr>
          <w:color w:val="231F20"/>
        </w:rPr>
        <w:t>smlouvě,</w:t>
      </w:r>
      <w:r>
        <w:rPr>
          <w:color w:val="231F20"/>
          <w:spacing w:val="-12"/>
        </w:rPr>
        <w:t xml:space="preserve"> </w:t>
      </w:r>
      <w:r>
        <w:rPr>
          <w:color w:val="231F20"/>
        </w:rPr>
        <w:t>a</w:t>
      </w:r>
      <w:r>
        <w:rPr>
          <w:color w:val="231F20"/>
          <w:spacing w:val="-11"/>
        </w:rPr>
        <w:t xml:space="preserve"> </w:t>
      </w:r>
      <w:r>
        <w:rPr>
          <w:color w:val="231F20"/>
        </w:rPr>
        <w:t>to</w:t>
      </w:r>
      <w:r>
        <w:rPr>
          <w:color w:val="231F20"/>
          <w:spacing w:val="-11"/>
        </w:rPr>
        <w:t xml:space="preserve"> </w:t>
      </w:r>
      <w:r>
        <w:rPr>
          <w:color w:val="231F20"/>
        </w:rPr>
        <w:t>až</w:t>
      </w:r>
      <w:r>
        <w:rPr>
          <w:color w:val="231F20"/>
          <w:spacing w:val="-12"/>
        </w:rPr>
        <w:t xml:space="preserve"> </w:t>
      </w:r>
      <w:r>
        <w:rPr>
          <w:color w:val="231F20"/>
        </w:rPr>
        <w:t>do</w:t>
      </w:r>
      <w:r>
        <w:rPr>
          <w:color w:val="231F20"/>
          <w:spacing w:val="-11"/>
        </w:rPr>
        <w:t xml:space="preserve"> </w:t>
      </w:r>
      <w:r>
        <w:rPr>
          <w:color w:val="231F20"/>
        </w:rPr>
        <w:t>limitů</w:t>
      </w:r>
      <w:r>
        <w:rPr>
          <w:color w:val="231F20"/>
          <w:spacing w:val="-12"/>
        </w:rPr>
        <w:t xml:space="preserve"> </w:t>
      </w:r>
      <w:r>
        <w:rPr>
          <w:color w:val="231F20"/>
        </w:rPr>
        <w:t>pojistného</w:t>
      </w:r>
      <w:r>
        <w:rPr>
          <w:color w:val="231F20"/>
          <w:spacing w:val="-11"/>
        </w:rPr>
        <w:t xml:space="preserve"> </w:t>
      </w:r>
      <w:r>
        <w:rPr>
          <w:color w:val="231F20"/>
        </w:rPr>
        <w:t>plnění</w:t>
      </w:r>
      <w:r>
        <w:rPr>
          <w:color w:val="231F20"/>
          <w:spacing w:val="-11"/>
        </w:rPr>
        <w:t xml:space="preserve"> </w:t>
      </w:r>
      <w:r>
        <w:rPr>
          <w:color w:val="231F20"/>
        </w:rPr>
        <w:t>sjednaných</w:t>
      </w:r>
      <w:r>
        <w:rPr>
          <w:color w:val="231F20"/>
          <w:spacing w:val="-12"/>
        </w:rPr>
        <w:t xml:space="preserve"> </w:t>
      </w:r>
      <w:r>
        <w:rPr>
          <w:color w:val="231F20"/>
        </w:rPr>
        <w:t>v</w:t>
      </w:r>
      <w:r>
        <w:rPr>
          <w:color w:val="231F20"/>
          <w:spacing w:val="-11"/>
        </w:rPr>
        <w:t xml:space="preserve"> </w:t>
      </w:r>
      <w:r>
        <w:rPr>
          <w:color w:val="231F20"/>
        </w:rPr>
        <w:t>seznamu vozidel.</w:t>
      </w:r>
      <w:r>
        <w:rPr>
          <w:color w:val="231F20"/>
          <w:spacing w:val="-8"/>
        </w:rPr>
        <w:t xml:space="preserve"> </w:t>
      </w:r>
      <w:r>
        <w:rPr>
          <w:color w:val="231F20"/>
        </w:rPr>
        <w:t>Nejméně</w:t>
      </w:r>
      <w:r>
        <w:rPr>
          <w:color w:val="231F20"/>
          <w:spacing w:val="-8"/>
        </w:rPr>
        <w:t xml:space="preserve"> </w:t>
      </w:r>
      <w:r>
        <w:rPr>
          <w:color w:val="231F20"/>
        </w:rPr>
        <w:t>je</w:t>
      </w:r>
      <w:r>
        <w:rPr>
          <w:color w:val="231F20"/>
          <w:spacing w:val="-7"/>
        </w:rPr>
        <w:t xml:space="preserve"> </w:t>
      </w:r>
      <w:r>
        <w:rPr>
          <w:color w:val="231F20"/>
        </w:rPr>
        <w:t>však</w:t>
      </w:r>
      <w:r>
        <w:rPr>
          <w:color w:val="231F20"/>
          <w:spacing w:val="-8"/>
        </w:rPr>
        <w:t xml:space="preserve"> </w:t>
      </w:r>
      <w:r>
        <w:rPr>
          <w:color w:val="231F20"/>
        </w:rPr>
        <w:t>pojištění</w:t>
      </w:r>
      <w:r>
        <w:rPr>
          <w:color w:val="231F20"/>
          <w:spacing w:val="-7"/>
        </w:rPr>
        <w:t xml:space="preserve"> </w:t>
      </w:r>
      <w:r>
        <w:rPr>
          <w:color w:val="231F20"/>
        </w:rPr>
        <w:t>odpovědnosti</w:t>
      </w:r>
      <w:r>
        <w:rPr>
          <w:color w:val="231F20"/>
          <w:spacing w:val="-8"/>
        </w:rPr>
        <w:t xml:space="preserve"> </w:t>
      </w:r>
      <w:r>
        <w:rPr>
          <w:color w:val="231F20"/>
        </w:rPr>
        <w:t>poskytováno</w:t>
      </w:r>
      <w:r>
        <w:rPr>
          <w:color w:val="231F20"/>
          <w:spacing w:val="-8"/>
        </w:rPr>
        <w:t xml:space="preserve"> </w:t>
      </w:r>
      <w:r>
        <w:rPr>
          <w:color w:val="231F20"/>
        </w:rPr>
        <w:t>v</w:t>
      </w:r>
      <w:r>
        <w:rPr>
          <w:color w:val="231F20"/>
          <w:spacing w:val="-7"/>
        </w:rPr>
        <w:t xml:space="preserve"> </w:t>
      </w:r>
      <w:r>
        <w:rPr>
          <w:color w:val="231F20"/>
        </w:rPr>
        <w:t>rozsahu</w:t>
      </w:r>
      <w:r>
        <w:rPr>
          <w:color w:val="231F20"/>
          <w:spacing w:val="-8"/>
        </w:rPr>
        <w:t xml:space="preserve"> </w:t>
      </w:r>
      <w:r>
        <w:rPr>
          <w:color w:val="231F20"/>
          <w:spacing w:val="-4"/>
        </w:rPr>
        <w:t xml:space="preserve">sta- </w:t>
      </w:r>
      <w:r>
        <w:rPr>
          <w:color w:val="231F20"/>
        </w:rPr>
        <w:t>noveném</w:t>
      </w:r>
      <w:r>
        <w:rPr>
          <w:color w:val="231F20"/>
          <w:spacing w:val="-17"/>
        </w:rPr>
        <w:t xml:space="preserve"> </w:t>
      </w:r>
      <w:r>
        <w:rPr>
          <w:color w:val="231F20"/>
        </w:rPr>
        <w:t>v</w:t>
      </w:r>
      <w:r>
        <w:rPr>
          <w:color w:val="231F20"/>
          <w:spacing w:val="-16"/>
        </w:rPr>
        <w:t xml:space="preserve"> </w:t>
      </w:r>
      <w:r>
        <w:rPr>
          <w:color w:val="231F20"/>
          <w:spacing w:val="-4"/>
        </w:rPr>
        <w:t>ZPOV.</w:t>
      </w:r>
      <w:r>
        <w:rPr>
          <w:color w:val="231F20"/>
          <w:spacing w:val="-16"/>
        </w:rPr>
        <w:t xml:space="preserve"> </w:t>
      </w:r>
      <w:r>
        <w:rPr>
          <w:color w:val="231F20"/>
        </w:rPr>
        <w:t>Podmínkou</w:t>
      </w:r>
      <w:r>
        <w:rPr>
          <w:color w:val="231F20"/>
          <w:spacing w:val="-16"/>
        </w:rPr>
        <w:t xml:space="preserve"> </w:t>
      </w:r>
      <w:r>
        <w:rPr>
          <w:color w:val="231F20"/>
        </w:rPr>
        <w:t>je,</w:t>
      </w:r>
      <w:r>
        <w:rPr>
          <w:color w:val="231F20"/>
          <w:spacing w:val="-16"/>
        </w:rPr>
        <w:t xml:space="preserve"> </w:t>
      </w:r>
      <w:r>
        <w:rPr>
          <w:color w:val="231F20"/>
        </w:rPr>
        <w:t>že</w:t>
      </w:r>
      <w:r>
        <w:rPr>
          <w:color w:val="231F20"/>
          <w:spacing w:val="-16"/>
        </w:rPr>
        <w:t xml:space="preserve"> </w:t>
      </w:r>
      <w:r>
        <w:rPr>
          <w:color w:val="231F20"/>
        </w:rPr>
        <w:t>ke</w:t>
      </w:r>
      <w:r>
        <w:rPr>
          <w:color w:val="231F20"/>
          <w:spacing w:val="-16"/>
        </w:rPr>
        <w:t xml:space="preserve"> </w:t>
      </w:r>
      <w:r>
        <w:rPr>
          <w:color w:val="231F20"/>
        </w:rPr>
        <w:t>škodní</w:t>
      </w:r>
      <w:r>
        <w:rPr>
          <w:color w:val="231F20"/>
          <w:spacing w:val="-16"/>
        </w:rPr>
        <w:t xml:space="preserve"> </w:t>
      </w:r>
      <w:r>
        <w:rPr>
          <w:color w:val="231F20"/>
        </w:rPr>
        <w:t>události,</w:t>
      </w:r>
      <w:r>
        <w:rPr>
          <w:color w:val="231F20"/>
          <w:spacing w:val="-16"/>
        </w:rPr>
        <w:t xml:space="preserve"> </w:t>
      </w:r>
      <w:r>
        <w:rPr>
          <w:color w:val="231F20"/>
        </w:rPr>
        <w:t>ze</w:t>
      </w:r>
      <w:r>
        <w:rPr>
          <w:color w:val="231F20"/>
          <w:spacing w:val="-16"/>
        </w:rPr>
        <w:t xml:space="preserve"> </w:t>
      </w:r>
      <w:r>
        <w:rPr>
          <w:color w:val="231F20"/>
        </w:rPr>
        <w:t>které</w:t>
      </w:r>
      <w:r>
        <w:rPr>
          <w:color w:val="231F20"/>
          <w:spacing w:val="-16"/>
        </w:rPr>
        <w:t xml:space="preserve"> </w:t>
      </w:r>
      <w:r>
        <w:rPr>
          <w:color w:val="231F20"/>
        </w:rPr>
        <w:t>vznikla</w:t>
      </w:r>
      <w:r>
        <w:rPr>
          <w:color w:val="231F20"/>
          <w:spacing w:val="-16"/>
        </w:rPr>
        <w:t xml:space="preserve"> </w:t>
      </w:r>
      <w:r>
        <w:rPr>
          <w:color w:val="231F20"/>
        </w:rPr>
        <w:t>újma, došlo v době trvání povinného</w:t>
      </w:r>
      <w:r>
        <w:rPr>
          <w:color w:val="231F20"/>
          <w:spacing w:val="-7"/>
        </w:rPr>
        <w:t xml:space="preserve"> </w:t>
      </w:r>
      <w:r>
        <w:rPr>
          <w:color w:val="231F20"/>
        </w:rPr>
        <w:t>ručení.</w:t>
      </w:r>
    </w:p>
    <w:p w14:paraId="2D70B215" w14:textId="77777777" w:rsidR="00F65BCA" w:rsidRDefault="00216117">
      <w:pPr>
        <w:pStyle w:val="Zkladntext"/>
        <w:spacing w:line="172" w:lineRule="exact"/>
        <w:ind w:left="428"/>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24"/>
          <w:position w:val="1"/>
          <w:sz w:val="14"/>
        </w:rPr>
        <w:t xml:space="preserve"> </w:t>
      </w:r>
      <w:r>
        <w:rPr>
          <w:color w:val="231F20"/>
        </w:rPr>
        <w:t>Jestliže</w:t>
      </w:r>
      <w:r>
        <w:rPr>
          <w:color w:val="231F20"/>
          <w:spacing w:val="-26"/>
        </w:rPr>
        <w:t xml:space="preserve"> </w:t>
      </w:r>
      <w:r>
        <w:rPr>
          <w:color w:val="231F20"/>
        </w:rPr>
        <w:t>je</w:t>
      </w:r>
      <w:r>
        <w:rPr>
          <w:color w:val="231F20"/>
          <w:spacing w:val="-26"/>
        </w:rPr>
        <w:t xml:space="preserve"> </w:t>
      </w:r>
      <w:r>
        <w:rPr>
          <w:color w:val="231F20"/>
        </w:rPr>
        <w:t>to</w:t>
      </w:r>
      <w:r>
        <w:rPr>
          <w:color w:val="231F20"/>
          <w:spacing w:val="-26"/>
        </w:rPr>
        <w:t xml:space="preserve"> </w:t>
      </w:r>
      <w:r>
        <w:rPr>
          <w:color w:val="231F20"/>
        </w:rPr>
        <w:t>v</w:t>
      </w:r>
      <w:r>
        <w:rPr>
          <w:color w:val="231F20"/>
          <w:spacing w:val="-26"/>
        </w:rPr>
        <w:t xml:space="preserve"> </w:t>
      </w:r>
      <w:r>
        <w:rPr>
          <w:color w:val="231F20"/>
        </w:rPr>
        <w:t>pojistné</w:t>
      </w:r>
      <w:r>
        <w:rPr>
          <w:color w:val="231F20"/>
          <w:spacing w:val="-27"/>
        </w:rPr>
        <w:t xml:space="preserve"> </w:t>
      </w:r>
      <w:r>
        <w:rPr>
          <w:color w:val="231F20"/>
        </w:rPr>
        <w:t>smlouvě</w:t>
      </w:r>
      <w:r>
        <w:rPr>
          <w:color w:val="231F20"/>
          <w:spacing w:val="-26"/>
        </w:rPr>
        <w:t xml:space="preserve"> </w:t>
      </w:r>
      <w:r>
        <w:rPr>
          <w:color w:val="231F20"/>
        </w:rPr>
        <w:t>výslovně</w:t>
      </w:r>
      <w:r>
        <w:rPr>
          <w:color w:val="231F20"/>
          <w:spacing w:val="-26"/>
        </w:rPr>
        <w:t xml:space="preserve"> </w:t>
      </w:r>
      <w:r>
        <w:rPr>
          <w:color w:val="231F20"/>
        </w:rPr>
        <w:t>ujednáno</w:t>
      </w:r>
      <w:r>
        <w:rPr>
          <w:color w:val="231F20"/>
          <w:spacing w:val="-26"/>
        </w:rPr>
        <w:t xml:space="preserve"> </w:t>
      </w:r>
      <w:r>
        <w:rPr>
          <w:color w:val="231F20"/>
        </w:rPr>
        <w:t>a</w:t>
      </w:r>
      <w:r>
        <w:rPr>
          <w:color w:val="231F20"/>
          <w:spacing w:val="-27"/>
        </w:rPr>
        <w:t xml:space="preserve"> </w:t>
      </w:r>
      <w:r>
        <w:rPr>
          <w:color w:val="231F20"/>
        </w:rPr>
        <w:t>splní-li</w:t>
      </w:r>
      <w:r>
        <w:rPr>
          <w:color w:val="231F20"/>
          <w:spacing w:val="-26"/>
        </w:rPr>
        <w:t xml:space="preserve"> </w:t>
      </w:r>
      <w:r>
        <w:rPr>
          <w:color w:val="231F20"/>
        </w:rPr>
        <w:t>pojištěný</w:t>
      </w:r>
      <w:r>
        <w:rPr>
          <w:color w:val="231F20"/>
          <w:spacing w:val="-26"/>
        </w:rPr>
        <w:t xml:space="preserve"> </w:t>
      </w:r>
      <w:r>
        <w:rPr>
          <w:color w:val="231F20"/>
        </w:rPr>
        <w:t>povinnost:</w:t>
      </w:r>
    </w:p>
    <w:p w14:paraId="576CAB91" w14:textId="77777777" w:rsidR="00F65BCA" w:rsidRDefault="00216117">
      <w:pPr>
        <w:pStyle w:val="Odstavecseseznamem"/>
        <w:numPr>
          <w:ilvl w:val="0"/>
          <w:numId w:val="115"/>
        </w:numPr>
        <w:tabs>
          <w:tab w:val="left" w:pos="881"/>
        </w:tabs>
        <w:spacing w:before="28" w:line="278" w:lineRule="auto"/>
        <w:jc w:val="both"/>
        <w:rPr>
          <w:sz w:val="15"/>
        </w:rPr>
      </w:pPr>
      <w:r>
        <w:rPr>
          <w:color w:val="231F20"/>
          <w:sz w:val="15"/>
        </w:rPr>
        <w:t>sdělit</w:t>
      </w:r>
      <w:r>
        <w:rPr>
          <w:color w:val="231F20"/>
          <w:spacing w:val="-26"/>
          <w:sz w:val="15"/>
        </w:rPr>
        <w:t xml:space="preserve"> </w:t>
      </w:r>
      <w:r>
        <w:rPr>
          <w:color w:val="231F20"/>
          <w:sz w:val="15"/>
        </w:rPr>
        <w:t>Pojišťovně</w:t>
      </w:r>
      <w:r>
        <w:rPr>
          <w:color w:val="231F20"/>
          <w:spacing w:val="-26"/>
          <w:sz w:val="15"/>
        </w:rPr>
        <w:t xml:space="preserve"> </w:t>
      </w:r>
      <w:r>
        <w:rPr>
          <w:color w:val="231F20"/>
          <w:sz w:val="15"/>
        </w:rPr>
        <w:t>bez</w:t>
      </w:r>
      <w:r>
        <w:rPr>
          <w:color w:val="231F20"/>
          <w:spacing w:val="-25"/>
          <w:sz w:val="15"/>
        </w:rPr>
        <w:t xml:space="preserve"> </w:t>
      </w:r>
      <w:r>
        <w:rPr>
          <w:color w:val="231F20"/>
          <w:sz w:val="15"/>
        </w:rPr>
        <w:t>zbytečného</w:t>
      </w:r>
      <w:r>
        <w:rPr>
          <w:color w:val="231F20"/>
          <w:spacing w:val="-26"/>
          <w:sz w:val="15"/>
        </w:rPr>
        <w:t xml:space="preserve"> </w:t>
      </w:r>
      <w:r>
        <w:rPr>
          <w:color w:val="231F20"/>
          <w:sz w:val="15"/>
        </w:rPr>
        <w:t>odkladu,</w:t>
      </w:r>
      <w:r>
        <w:rPr>
          <w:color w:val="231F20"/>
          <w:spacing w:val="-26"/>
          <w:sz w:val="15"/>
        </w:rPr>
        <w:t xml:space="preserve"> </w:t>
      </w:r>
      <w:r>
        <w:rPr>
          <w:color w:val="231F20"/>
          <w:sz w:val="15"/>
        </w:rPr>
        <w:t>že</w:t>
      </w:r>
      <w:r>
        <w:rPr>
          <w:color w:val="231F20"/>
          <w:spacing w:val="-25"/>
          <w:sz w:val="15"/>
        </w:rPr>
        <w:t xml:space="preserve"> </w:t>
      </w:r>
      <w:r>
        <w:rPr>
          <w:color w:val="231F20"/>
          <w:sz w:val="15"/>
        </w:rPr>
        <w:t>v</w:t>
      </w:r>
      <w:r>
        <w:rPr>
          <w:color w:val="231F20"/>
          <w:spacing w:val="-26"/>
          <w:sz w:val="15"/>
        </w:rPr>
        <w:t xml:space="preserve"> </w:t>
      </w:r>
      <w:r>
        <w:rPr>
          <w:color w:val="231F20"/>
          <w:sz w:val="15"/>
        </w:rPr>
        <w:t>souvislosti</w:t>
      </w:r>
      <w:r>
        <w:rPr>
          <w:color w:val="231F20"/>
          <w:spacing w:val="-25"/>
          <w:sz w:val="15"/>
        </w:rPr>
        <w:t xml:space="preserve"> </w:t>
      </w:r>
      <w:r>
        <w:rPr>
          <w:color w:val="231F20"/>
          <w:sz w:val="15"/>
        </w:rPr>
        <w:t>se</w:t>
      </w:r>
      <w:r>
        <w:rPr>
          <w:color w:val="231F20"/>
          <w:spacing w:val="-26"/>
          <w:sz w:val="15"/>
        </w:rPr>
        <w:t xml:space="preserve"> </w:t>
      </w:r>
      <w:r>
        <w:rPr>
          <w:color w:val="231F20"/>
          <w:sz w:val="15"/>
        </w:rPr>
        <w:t>škodní</w:t>
      </w:r>
      <w:r>
        <w:rPr>
          <w:color w:val="231F20"/>
          <w:spacing w:val="-26"/>
          <w:sz w:val="15"/>
        </w:rPr>
        <w:t xml:space="preserve"> </w:t>
      </w:r>
      <w:r>
        <w:rPr>
          <w:color w:val="231F20"/>
          <w:sz w:val="15"/>
        </w:rPr>
        <w:t>událos- tí</w:t>
      </w:r>
      <w:r>
        <w:rPr>
          <w:color w:val="231F20"/>
          <w:spacing w:val="-19"/>
          <w:sz w:val="15"/>
        </w:rPr>
        <w:t xml:space="preserve"> </w:t>
      </w:r>
      <w:r>
        <w:rPr>
          <w:color w:val="231F20"/>
          <w:sz w:val="15"/>
        </w:rPr>
        <w:t>bylo</w:t>
      </w:r>
      <w:r>
        <w:rPr>
          <w:color w:val="231F20"/>
          <w:spacing w:val="-18"/>
          <w:sz w:val="15"/>
        </w:rPr>
        <w:t xml:space="preserve"> </w:t>
      </w:r>
      <w:r>
        <w:rPr>
          <w:color w:val="231F20"/>
          <w:sz w:val="15"/>
        </w:rPr>
        <w:t>proti</w:t>
      </w:r>
      <w:r>
        <w:rPr>
          <w:color w:val="231F20"/>
          <w:spacing w:val="-18"/>
          <w:sz w:val="15"/>
        </w:rPr>
        <w:t xml:space="preserve"> </w:t>
      </w:r>
      <w:r>
        <w:rPr>
          <w:color w:val="231F20"/>
          <w:sz w:val="15"/>
        </w:rPr>
        <w:t>němu</w:t>
      </w:r>
      <w:r>
        <w:rPr>
          <w:color w:val="231F20"/>
          <w:spacing w:val="-18"/>
          <w:sz w:val="15"/>
        </w:rPr>
        <w:t xml:space="preserve"> </w:t>
      </w:r>
      <w:r>
        <w:rPr>
          <w:color w:val="231F20"/>
          <w:sz w:val="15"/>
        </w:rPr>
        <w:t>zahájeno</w:t>
      </w:r>
      <w:r>
        <w:rPr>
          <w:color w:val="231F20"/>
          <w:spacing w:val="-18"/>
          <w:sz w:val="15"/>
        </w:rPr>
        <w:t xml:space="preserve"> </w:t>
      </w:r>
      <w:r>
        <w:rPr>
          <w:color w:val="231F20"/>
          <w:sz w:val="15"/>
        </w:rPr>
        <w:t>trestní</w:t>
      </w:r>
      <w:r>
        <w:rPr>
          <w:color w:val="231F20"/>
          <w:spacing w:val="-18"/>
          <w:sz w:val="15"/>
        </w:rPr>
        <w:t xml:space="preserve"> </w:t>
      </w:r>
      <w:r>
        <w:rPr>
          <w:color w:val="231F20"/>
          <w:sz w:val="15"/>
        </w:rPr>
        <w:t>řízení</w:t>
      </w:r>
      <w:r>
        <w:rPr>
          <w:color w:val="231F20"/>
          <w:spacing w:val="-19"/>
          <w:sz w:val="15"/>
        </w:rPr>
        <w:t xml:space="preserve"> </w:t>
      </w:r>
      <w:r>
        <w:rPr>
          <w:color w:val="231F20"/>
          <w:sz w:val="15"/>
        </w:rPr>
        <w:t>a</w:t>
      </w:r>
      <w:r>
        <w:rPr>
          <w:color w:val="231F20"/>
          <w:spacing w:val="-18"/>
          <w:sz w:val="15"/>
        </w:rPr>
        <w:t xml:space="preserve"> </w:t>
      </w:r>
      <w:r>
        <w:rPr>
          <w:color w:val="231F20"/>
          <w:sz w:val="15"/>
        </w:rPr>
        <w:t>Pojišťovnu</w:t>
      </w:r>
      <w:r>
        <w:rPr>
          <w:color w:val="231F20"/>
          <w:spacing w:val="-18"/>
          <w:sz w:val="15"/>
        </w:rPr>
        <w:t xml:space="preserve"> </w:t>
      </w:r>
      <w:r>
        <w:rPr>
          <w:color w:val="231F20"/>
          <w:sz w:val="15"/>
        </w:rPr>
        <w:t>informovat</w:t>
      </w:r>
      <w:r>
        <w:rPr>
          <w:color w:val="231F20"/>
          <w:spacing w:val="-18"/>
          <w:sz w:val="15"/>
        </w:rPr>
        <w:t xml:space="preserve"> </w:t>
      </w:r>
      <w:r>
        <w:rPr>
          <w:color w:val="231F20"/>
          <w:sz w:val="15"/>
        </w:rPr>
        <w:t>o</w:t>
      </w:r>
      <w:r>
        <w:rPr>
          <w:color w:val="231F20"/>
          <w:spacing w:val="-18"/>
          <w:sz w:val="15"/>
        </w:rPr>
        <w:t xml:space="preserve"> </w:t>
      </w:r>
      <w:r>
        <w:rPr>
          <w:color w:val="231F20"/>
          <w:sz w:val="15"/>
        </w:rPr>
        <w:t>průběhu a výsledcích tohoto</w:t>
      </w:r>
      <w:r>
        <w:rPr>
          <w:color w:val="231F20"/>
          <w:spacing w:val="-4"/>
          <w:sz w:val="15"/>
        </w:rPr>
        <w:t xml:space="preserve"> </w:t>
      </w:r>
      <w:r>
        <w:rPr>
          <w:color w:val="231F20"/>
          <w:sz w:val="15"/>
        </w:rPr>
        <w:t>řízení;</w:t>
      </w:r>
    </w:p>
    <w:p w14:paraId="7EFEAEA4" w14:textId="77777777" w:rsidR="00F65BCA" w:rsidRDefault="00216117">
      <w:pPr>
        <w:pStyle w:val="Odstavecseseznamem"/>
        <w:numPr>
          <w:ilvl w:val="0"/>
          <w:numId w:val="115"/>
        </w:numPr>
        <w:tabs>
          <w:tab w:val="left" w:pos="881"/>
        </w:tabs>
        <w:spacing w:line="278" w:lineRule="auto"/>
        <w:jc w:val="both"/>
        <w:rPr>
          <w:sz w:val="15"/>
        </w:rPr>
      </w:pPr>
      <w:r>
        <w:rPr>
          <w:color w:val="231F20"/>
          <w:sz w:val="15"/>
        </w:rPr>
        <w:t>sdělit</w:t>
      </w:r>
      <w:r>
        <w:rPr>
          <w:color w:val="231F20"/>
          <w:spacing w:val="-24"/>
          <w:sz w:val="15"/>
        </w:rPr>
        <w:t xml:space="preserve"> </w:t>
      </w:r>
      <w:r>
        <w:rPr>
          <w:color w:val="231F20"/>
          <w:sz w:val="15"/>
        </w:rPr>
        <w:t>Pojišťovně</w:t>
      </w:r>
      <w:r>
        <w:rPr>
          <w:color w:val="231F20"/>
          <w:spacing w:val="-24"/>
          <w:sz w:val="15"/>
        </w:rPr>
        <w:t xml:space="preserve"> </w:t>
      </w:r>
      <w:r>
        <w:rPr>
          <w:color w:val="231F20"/>
          <w:sz w:val="15"/>
        </w:rPr>
        <w:t>bez</w:t>
      </w:r>
      <w:r>
        <w:rPr>
          <w:color w:val="231F20"/>
          <w:spacing w:val="-23"/>
          <w:sz w:val="15"/>
        </w:rPr>
        <w:t xml:space="preserve"> </w:t>
      </w:r>
      <w:r>
        <w:rPr>
          <w:color w:val="231F20"/>
          <w:sz w:val="15"/>
        </w:rPr>
        <w:t>zbytečného</w:t>
      </w:r>
      <w:r>
        <w:rPr>
          <w:color w:val="231F20"/>
          <w:spacing w:val="-24"/>
          <w:sz w:val="15"/>
        </w:rPr>
        <w:t xml:space="preserve"> </w:t>
      </w:r>
      <w:r>
        <w:rPr>
          <w:color w:val="231F20"/>
          <w:sz w:val="15"/>
        </w:rPr>
        <w:t>odkladu,</w:t>
      </w:r>
      <w:r>
        <w:rPr>
          <w:color w:val="231F20"/>
          <w:spacing w:val="-23"/>
          <w:sz w:val="15"/>
        </w:rPr>
        <w:t xml:space="preserve"> </w:t>
      </w:r>
      <w:r>
        <w:rPr>
          <w:color w:val="231F20"/>
          <w:sz w:val="15"/>
        </w:rPr>
        <w:t>že</w:t>
      </w:r>
      <w:r>
        <w:rPr>
          <w:color w:val="231F20"/>
          <w:spacing w:val="-24"/>
          <w:sz w:val="15"/>
        </w:rPr>
        <w:t xml:space="preserve"> </w:t>
      </w:r>
      <w:r>
        <w:rPr>
          <w:color w:val="231F20"/>
          <w:sz w:val="15"/>
        </w:rPr>
        <w:t>poškozený</w:t>
      </w:r>
      <w:r>
        <w:rPr>
          <w:color w:val="231F20"/>
          <w:spacing w:val="-23"/>
          <w:sz w:val="15"/>
        </w:rPr>
        <w:t xml:space="preserve"> </w:t>
      </w:r>
      <w:r>
        <w:rPr>
          <w:color w:val="231F20"/>
          <w:sz w:val="15"/>
        </w:rPr>
        <w:t>uplatňuje</w:t>
      </w:r>
      <w:r>
        <w:rPr>
          <w:color w:val="231F20"/>
          <w:spacing w:val="-24"/>
          <w:sz w:val="15"/>
        </w:rPr>
        <w:t xml:space="preserve"> </w:t>
      </w:r>
      <w:r>
        <w:rPr>
          <w:color w:val="231F20"/>
          <w:sz w:val="15"/>
        </w:rPr>
        <w:t>právo</w:t>
      </w:r>
      <w:r>
        <w:rPr>
          <w:color w:val="231F20"/>
          <w:spacing w:val="-23"/>
          <w:sz w:val="15"/>
        </w:rPr>
        <w:t xml:space="preserve"> </w:t>
      </w:r>
      <w:r>
        <w:rPr>
          <w:color w:val="231F20"/>
          <w:spacing w:val="-6"/>
          <w:sz w:val="15"/>
        </w:rPr>
        <w:t xml:space="preserve">na </w:t>
      </w:r>
      <w:r>
        <w:rPr>
          <w:color w:val="231F20"/>
          <w:sz w:val="15"/>
        </w:rPr>
        <w:t>náhradu újmy u</w:t>
      </w:r>
      <w:r>
        <w:rPr>
          <w:color w:val="231F20"/>
          <w:spacing w:val="-2"/>
          <w:sz w:val="15"/>
        </w:rPr>
        <w:t xml:space="preserve"> </w:t>
      </w:r>
      <w:r>
        <w:rPr>
          <w:color w:val="231F20"/>
          <w:sz w:val="15"/>
        </w:rPr>
        <w:t>soudu;</w:t>
      </w:r>
    </w:p>
    <w:p w14:paraId="0B7EC909" w14:textId="77777777" w:rsidR="00F65BCA" w:rsidRDefault="00216117">
      <w:pPr>
        <w:pStyle w:val="Odstavecseseznamem"/>
        <w:numPr>
          <w:ilvl w:val="0"/>
          <w:numId w:val="115"/>
        </w:numPr>
        <w:tabs>
          <w:tab w:val="left" w:pos="881"/>
        </w:tabs>
        <w:spacing w:line="278" w:lineRule="auto"/>
        <w:jc w:val="both"/>
        <w:rPr>
          <w:sz w:val="15"/>
        </w:rPr>
      </w:pPr>
      <w:r>
        <w:rPr>
          <w:color w:val="231F20"/>
          <w:sz w:val="15"/>
        </w:rPr>
        <w:t>v</w:t>
      </w:r>
      <w:r>
        <w:rPr>
          <w:color w:val="231F20"/>
          <w:spacing w:val="-8"/>
          <w:sz w:val="15"/>
        </w:rPr>
        <w:t xml:space="preserve"> </w:t>
      </w:r>
      <w:r>
        <w:rPr>
          <w:color w:val="231F20"/>
          <w:sz w:val="15"/>
        </w:rPr>
        <w:t>řízení</w:t>
      </w:r>
      <w:r>
        <w:rPr>
          <w:color w:val="231F20"/>
          <w:spacing w:val="-8"/>
          <w:sz w:val="15"/>
        </w:rPr>
        <w:t xml:space="preserve"> </w:t>
      </w:r>
      <w:r>
        <w:rPr>
          <w:color w:val="231F20"/>
          <w:sz w:val="15"/>
        </w:rPr>
        <w:t>o</w:t>
      </w:r>
      <w:r>
        <w:rPr>
          <w:color w:val="231F20"/>
          <w:spacing w:val="-8"/>
          <w:sz w:val="15"/>
        </w:rPr>
        <w:t xml:space="preserve"> </w:t>
      </w:r>
      <w:r>
        <w:rPr>
          <w:color w:val="231F20"/>
          <w:sz w:val="15"/>
        </w:rPr>
        <w:t>náhradě</w:t>
      </w:r>
      <w:r>
        <w:rPr>
          <w:color w:val="231F20"/>
          <w:spacing w:val="-8"/>
          <w:sz w:val="15"/>
        </w:rPr>
        <w:t xml:space="preserve"> </w:t>
      </w:r>
      <w:r>
        <w:rPr>
          <w:color w:val="231F20"/>
          <w:sz w:val="15"/>
        </w:rPr>
        <w:t>újmy</w:t>
      </w:r>
      <w:r>
        <w:rPr>
          <w:color w:val="231F20"/>
          <w:spacing w:val="-8"/>
          <w:sz w:val="15"/>
        </w:rPr>
        <w:t xml:space="preserve"> </w:t>
      </w:r>
      <w:r>
        <w:rPr>
          <w:color w:val="231F20"/>
          <w:sz w:val="15"/>
        </w:rPr>
        <w:t>ze</w:t>
      </w:r>
      <w:r>
        <w:rPr>
          <w:color w:val="231F20"/>
          <w:spacing w:val="-8"/>
          <w:sz w:val="15"/>
        </w:rPr>
        <w:t xml:space="preserve"> </w:t>
      </w:r>
      <w:r>
        <w:rPr>
          <w:color w:val="231F20"/>
          <w:sz w:val="15"/>
        </w:rPr>
        <w:t>škodní</w:t>
      </w:r>
      <w:r>
        <w:rPr>
          <w:color w:val="231F20"/>
          <w:spacing w:val="-8"/>
          <w:sz w:val="15"/>
        </w:rPr>
        <w:t xml:space="preserve"> </w:t>
      </w:r>
      <w:r>
        <w:rPr>
          <w:color w:val="231F20"/>
          <w:sz w:val="15"/>
        </w:rPr>
        <w:t>události</w:t>
      </w:r>
      <w:r>
        <w:rPr>
          <w:color w:val="231F20"/>
          <w:spacing w:val="-8"/>
          <w:sz w:val="15"/>
        </w:rPr>
        <w:t xml:space="preserve"> </w:t>
      </w:r>
      <w:r>
        <w:rPr>
          <w:color w:val="231F20"/>
          <w:sz w:val="15"/>
        </w:rPr>
        <w:t>postupovat</w:t>
      </w:r>
      <w:r>
        <w:rPr>
          <w:color w:val="231F20"/>
          <w:spacing w:val="-8"/>
          <w:sz w:val="15"/>
        </w:rPr>
        <w:t xml:space="preserve"> </w:t>
      </w:r>
      <w:r>
        <w:rPr>
          <w:color w:val="231F20"/>
          <w:sz w:val="15"/>
        </w:rPr>
        <w:t>v</w:t>
      </w:r>
      <w:r>
        <w:rPr>
          <w:color w:val="231F20"/>
          <w:spacing w:val="-8"/>
          <w:sz w:val="15"/>
        </w:rPr>
        <w:t xml:space="preserve"> </w:t>
      </w:r>
      <w:r>
        <w:rPr>
          <w:color w:val="231F20"/>
          <w:sz w:val="15"/>
        </w:rPr>
        <w:t>souladu</w:t>
      </w:r>
      <w:r>
        <w:rPr>
          <w:color w:val="231F20"/>
          <w:spacing w:val="-8"/>
          <w:sz w:val="15"/>
        </w:rPr>
        <w:t xml:space="preserve"> </w:t>
      </w:r>
      <w:r>
        <w:rPr>
          <w:color w:val="231F20"/>
          <w:sz w:val="15"/>
        </w:rPr>
        <w:t>s</w:t>
      </w:r>
      <w:r>
        <w:rPr>
          <w:color w:val="231F20"/>
          <w:spacing w:val="-8"/>
          <w:sz w:val="15"/>
        </w:rPr>
        <w:t xml:space="preserve"> </w:t>
      </w:r>
      <w:r>
        <w:rPr>
          <w:color w:val="231F20"/>
          <w:sz w:val="15"/>
        </w:rPr>
        <w:t>pokyny Pojišťovny;</w:t>
      </w:r>
      <w:r>
        <w:rPr>
          <w:color w:val="231F20"/>
          <w:spacing w:val="-12"/>
          <w:sz w:val="15"/>
        </w:rPr>
        <w:t xml:space="preserve"> </w:t>
      </w:r>
      <w:r>
        <w:rPr>
          <w:color w:val="231F20"/>
          <w:sz w:val="15"/>
        </w:rPr>
        <w:t>zejména</w:t>
      </w:r>
      <w:r>
        <w:rPr>
          <w:color w:val="231F20"/>
          <w:spacing w:val="-11"/>
          <w:sz w:val="15"/>
        </w:rPr>
        <w:t xml:space="preserve"> </w:t>
      </w:r>
      <w:r>
        <w:rPr>
          <w:color w:val="231F20"/>
          <w:sz w:val="15"/>
        </w:rPr>
        <w:t>se</w:t>
      </w:r>
      <w:r>
        <w:rPr>
          <w:color w:val="231F20"/>
          <w:spacing w:val="-11"/>
          <w:sz w:val="15"/>
        </w:rPr>
        <w:t xml:space="preserve"> </w:t>
      </w:r>
      <w:r>
        <w:rPr>
          <w:color w:val="231F20"/>
          <w:sz w:val="15"/>
        </w:rPr>
        <w:t>nesmí</w:t>
      </w:r>
      <w:r>
        <w:rPr>
          <w:color w:val="231F20"/>
          <w:spacing w:val="-12"/>
          <w:sz w:val="15"/>
        </w:rPr>
        <w:t xml:space="preserve"> </w:t>
      </w:r>
      <w:r>
        <w:rPr>
          <w:color w:val="231F20"/>
          <w:sz w:val="15"/>
        </w:rPr>
        <w:t>bez</w:t>
      </w:r>
      <w:r>
        <w:rPr>
          <w:color w:val="231F20"/>
          <w:spacing w:val="-11"/>
          <w:sz w:val="15"/>
        </w:rPr>
        <w:t xml:space="preserve"> </w:t>
      </w:r>
      <w:r>
        <w:rPr>
          <w:color w:val="231F20"/>
          <w:sz w:val="15"/>
        </w:rPr>
        <w:t>souhlasu</w:t>
      </w:r>
      <w:r>
        <w:rPr>
          <w:color w:val="231F20"/>
          <w:spacing w:val="-11"/>
          <w:sz w:val="15"/>
        </w:rPr>
        <w:t xml:space="preserve"> </w:t>
      </w:r>
      <w:r>
        <w:rPr>
          <w:color w:val="231F20"/>
          <w:sz w:val="15"/>
        </w:rPr>
        <w:t>Pojišťovny</w:t>
      </w:r>
      <w:r>
        <w:rPr>
          <w:color w:val="231F20"/>
          <w:spacing w:val="-12"/>
          <w:sz w:val="15"/>
        </w:rPr>
        <w:t xml:space="preserve"> </w:t>
      </w:r>
      <w:r>
        <w:rPr>
          <w:color w:val="231F20"/>
          <w:sz w:val="15"/>
        </w:rPr>
        <w:t>zavázat</w:t>
      </w:r>
      <w:r>
        <w:rPr>
          <w:color w:val="231F20"/>
          <w:spacing w:val="-11"/>
          <w:sz w:val="15"/>
        </w:rPr>
        <w:t xml:space="preserve"> </w:t>
      </w:r>
      <w:r>
        <w:rPr>
          <w:color w:val="231F20"/>
          <w:sz w:val="15"/>
        </w:rPr>
        <w:t>k</w:t>
      </w:r>
      <w:r>
        <w:rPr>
          <w:color w:val="231F20"/>
          <w:spacing w:val="-11"/>
          <w:sz w:val="15"/>
        </w:rPr>
        <w:t xml:space="preserve"> </w:t>
      </w:r>
      <w:r>
        <w:rPr>
          <w:color w:val="231F20"/>
          <w:spacing w:val="-3"/>
          <w:sz w:val="15"/>
        </w:rPr>
        <w:t xml:space="preserve">náhradě </w:t>
      </w:r>
      <w:r>
        <w:rPr>
          <w:color w:val="231F20"/>
          <w:w w:val="95"/>
          <w:sz w:val="15"/>
        </w:rPr>
        <w:t>promlčené</w:t>
      </w:r>
      <w:r>
        <w:rPr>
          <w:color w:val="231F20"/>
          <w:spacing w:val="-4"/>
          <w:w w:val="95"/>
          <w:sz w:val="15"/>
        </w:rPr>
        <w:t xml:space="preserve"> </w:t>
      </w:r>
      <w:r>
        <w:rPr>
          <w:color w:val="231F20"/>
          <w:w w:val="95"/>
          <w:sz w:val="15"/>
        </w:rPr>
        <w:t>pohledávky</w:t>
      </w:r>
      <w:r>
        <w:rPr>
          <w:color w:val="231F20"/>
          <w:spacing w:val="-3"/>
          <w:w w:val="95"/>
          <w:sz w:val="15"/>
        </w:rPr>
        <w:t xml:space="preserve"> </w:t>
      </w:r>
      <w:r>
        <w:rPr>
          <w:color w:val="231F20"/>
          <w:w w:val="95"/>
          <w:sz w:val="15"/>
        </w:rPr>
        <w:t>a</w:t>
      </w:r>
      <w:r>
        <w:rPr>
          <w:color w:val="231F20"/>
          <w:spacing w:val="-4"/>
          <w:w w:val="95"/>
          <w:sz w:val="15"/>
        </w:rPr>
        <w:t xml:space="preserve"> </w:t>
      </w:r>
      <w:r>
        <w:rPr>
          <w:color w:val="231F20"/>
          <w:w w:val="95"/>
          <w:sz w:val="15"/>
        </w:rPr>
        <w:t>nesmí</w:t>
      </w:r>
      <w:r>
        <w:rPr>
          <w:color w:val="231F20"/>
          <w:spacing w:val="-3"/>
          <w:w w:val="95"/>
          <w:sz w:val="15"/>
        </w:rPr>
        <w:t xml:space="preserve"> </w:t>
      </w:r>
      <w:r>
        <w:rPr>
          <w:color w:val="231F20"/>
          <w:w w:val="95"/>
          <w:sz w:val="15"/>
        </w:rPr>
        <w:t>uzavřít</w:t>
      </w:r>
      <w:r>
        <w:rPr>
          <w:color w:val="231F20"/>
          <w:spacing w:val="-4"/>
          <w:w w:val="95"/>
          <w:sz w:val="15"/>
        </w:rPr>
        <w:t xml:space="preserve"> </w:t>
      </w:r>
      <w:r>
        <w:rPr>
          <w:color w:val="231F20"/>
          <w:w w:val="95"/>
          <w:sz w:val="15"/>
        </w:rPr>
        <w:t>bez</w:t>
      </w:r>
      <w:r>
        <w:rPr>
          <w:color w:val="231F20"/>
          <w:spacing w:val="-3"/>
          <w:w w:val="95"/>
          <w:sz w:val="15"/>
        </w:rPr>
        <w:t xml:space="preserve"> </w:t>
      </w:r>
      <w:r>
        <w:rPr>
          <w:color w:val="231F20"/>
          <w:w w:val="95"/>
          <w:sz w:val="15"/>
        </w:rPr>
        <w:t>souhlasu</w:t>
      </w:r>
      <w:r>
        <w:rPr>
          <w:color w:val="231F20"/>
          <w:spacing w:val="-4"/>
          <w:w w:val="95"/>
          <w:sz w:val="15"/>
        </w:rPr>
        <w:t xml:space="preserve"> </w:t>
      </w:r>
      <w:r>
        <w:rPr>
          <w:color w:val="231F20"/>
          <w:w w:val="95"/>
          <w:sz w:val="15"/>
        </w:rPr>
        <w:t>Pojišťovny</w:t>
      </w:r>
      <w:r>
        <w:rPr>
          <w:color w:val="231F20"/>
          <w:spacing w:val="-3"/>
          <w:w w:val="95"/>
          <w:sz w:val="15"/>
        </w:rPr>
        <w:t xml:space="preserve"> </w:t>
      </w:r>
      <w:r>
        <w:rPr>
          <w:color w:val="231F20"/>
          <w:w w:val="95"/>
          <w:sz w:val="15"/>
        </w:rPr>
        <w:t>soudní</w:t>
      </w:r>
      <w:r>
        <w:rPr>
          <w:color w:val="231F20"/>
          <w:spacing w:val="-4"/>
          <w:w w:val="95"/>
          <w:sz w:val="15"/>
        </w:rPr>
        <w:t xml:space="preserve"> </w:t>
      </w:r>
      <w:r>
        <w:rPr>
          <w:color w:val="231F20"/>
          <w:spacing w:val="-3"/>
          <w:w w:val="95"/>
          <w:sz w:val="15"/>
        </w:rPr>
        <w:t xml:space="preserve">smír; </w:t>
      </w:r>
      <w:r>
        <w:rPr>
          <w:color w:val="231F20"/>
          <w:sz w:val="15"/>
        </w:rPr>
        <w:t>proti</w:t>
      </w:r>
      <w:r>
        <w:rPr>
          <w:color w:val="231F20"/>
          <w:spacing w:val="-9"/>
          <w:sz w:val="15"/>
        </w:rPr>
        <w:t xml:space="preserve"> </w:t>
      </w:r>
      <w:r>
        <w:rPr>
          <w:color w:val="231F20"/>
          <w:sz w:val="15"/>
        </w:rPr>
        <w:t>rozhodnutí</w:t>
      </w:r>
      <w:r>
        <w:rPr>
          <w:color w:val="231F20"/>
          <w:spacing w:val="-9"/>
          <w:sz w:val="15"/>
        </w:rPr>
        <w:t xml:space="preserve"> </w:t>
      </w:r>
      <w:r>
        <w:rPr>
          <w:color w:val="231F20"/>
          <w:sz w:val="15"/>
        </w:rPr>
        <w:t>soudu,</w:t>
      </w:r>
      <w:r>
        <w:rPr>
          <w:color w:val="231F20"/>
          <w:spacing w:val="-8"/>
          <w:sz w:val="15"/>
        </w:rPr>
        <w:t xml:space="preserve"> </w:t>
      </w:r>
      <w:r>
        <w:rPr>
          <w:color w:val="231F20"/>
          <w:sz w:val="15"/>
        </w:rPr>
        <w:t>které</w:t>
      </w:r>
      <w:r>
        <w:rPr>
          <w:color w:val="231F20"/>
          <w:spacing w:val="-9"/>
          <w:sz w:val="15"/>
        </w:rPr>
        <w:t xml:space="preserve"> </w:t>
      </w:r>
      <w:r>
        <w:rPr>
          <w:color w:val="231F20"/>
          <w:sz w:val="15"/>
        </w:rPr>
        <w:t>se</w:t>
      </w:r>
      <w:r>
        <w:rPr>
          <w:color w:val="231F20"/>
          <w:spacing w:val="-9"/>
          <w:sz w:val="15"/>
        </w:rPr>
        <w:t xml:space="preserve"> </w:t>
      </w:r>
      <w:r>
        <w:rPr>
          <w:color w:val="231F20"/>
          <w:sz w:val="15"/>
        </w:rPr>
        <w:t>týká</w:t>
      </w:r>
      <w:r>
        <w:rPr>
          <w:color w:val="231F20"/>
          <w:spacing w:val="-8"/>
          <w:sz w:val="15"/>
        </w:rPr>
        <w:t xml:space="preserve"> </w:t>
      </w:r>
      <w:r>
        <w:rPr>
          <w:color w:val="231F20"/>
          <w:sz w:val="15"/>
        </w:rPr>
        <w:t>náhrady</w:t>
      </w:r>
      <w:r>
        <w:rPr>
          <w:color w:val="231F20"/>
          <w:spacing w:val="-9"/>
          <w:sz w:val="15"/>
        </w:rPr>
        <w:t xml:space="preserve"> </w:t>
      </w:r>
      <w:r>
        <w:rPr>
          <w:color w:val="231F20"/>
          <w:spacing w:val="-3"/>
          <w:sz w:val="15"/>
        </w:rPr>
        <w:t>újmy,</w:t>
      </w:r>
      <w:r>
        <w:rPr>
          <w:color w:val="231F20"/>
          <w:spacing w:val="-8"/>
          <w:sz w:val="15"/>
        </w:rPr>
        <w:t xml:space="preserve"> </w:t>
      </w:r>
      <w:r>
        <w:rPr>
          <w:color w:val="231F20"/>
          <w:sz w:val="15"/>
        </w:rPr>
        <w:t>je</w:t>
      </w:r>
      <w:r>
        <w:rPr>
          <w:color w:val="231F20"/>
          <w:spacing w:val="-9"/>
          <w:sz w:val="15"/>
        </w:rPr>
        <w:t xml:space="preserve"> </w:t>
      </w:r>
      <w:r>
        <w:rPr>
          <w:color w:val="231F20"/>
          <w:sz w:val="15"/>
        </w:rPr>
        <w:t>povinen</w:t>
      </w:r>
      <w:r>
        <w:rPr>
          <w:color w:val="231F20"/>
          <w:spacing w:val="-9"/>
          <w:sz w:val="15"/>
        </w:rPr>
        <w:t xml:space="preserve"> </w:t>
      </w:r>
      <w:r>
        <w:rPr>
          <w:color w:val="231F20"/>
          <w:sz w:val="15"/>
        </w:rPr>
        <w:t>se</w:t>
      </w:r>
      <w:r>
        <w:rPr>
          <w:color w:val="231F20"/>
          <w:spacing w:val="-8"/>
          <w:sz w:val="15"/>
        </w:rPr>
        <w:t xml:space="preserve"> </w:t>
      </w:r>
      <w:r>
        <w:rPr>
          <w:color w:val="231F20"/>
          <w:sz w:val="15"/>
        </w:rPr>
        <w:t>včas</w:t>
      </w:r>
      <w:r>
        <w:rPr>
          <w:color w:val="231F20"/>
          <w:spacing w:val="-9"/>
          <w:sz w:val="15"/>
        </w:rPr>
        <w:t xml:space="preserve"> </w:t>
      </w:r>
      <w:r>
        <w:rPr>
          <w:color w:val="231F20"/>
          <w:spacing w:val="-7"/>
          <w:sz w:val="15"/>
        </w:rPr>
        <w:t xml:space="preserve">od- </w:t>
      </w:r>
      <w:r>
        <w:rPr>
          <w:color w:val="231F20"/>
          <w:sz w:val="15"/>
        </w:rPr>
        <w:t>volat,</w:t>
      </w:r>
      <w:r>
        <w:rPr>
          <w:color w:val="231F20"/>
          <w:spacing w:val="-6"/>
          <w:sz w:val="15"/>
        </w:rPr>
        <w:t xml:space="preserve"> </w:t>
      </w:r>
      <w:r>
        <w:rPr>
          <w:color w:val="231F20"/>
          <w:sz w:val="15"/>
        </w:rPr>
        <w:t>pokud</w:t>
      </w:r>
      <w:r>
        <w:rPr>
          <w:color w:val="231F20"/>
          <w:spacing w:val="-5"/>
          <w:sz w:val="15"/>
        </w:rPr>
        <w:t xml:space="preserve"> </w:t>
      </w:r>
      <w:r>
        <w:rPr>
          <w:color w:val="231F20"/>
          <w:sz w:val="15"/>
        </w:rPr>
        <w:t>v</w:t>
      </w:r>
      <w:r>
        <w:rPr>
          <w:color w:val="231F20"/>
          <w:spacing w:val="-6"/>
          <w:sz w:val="15"/>
        </w:rPr>
        <w:t xml:space="preserve"> </w:t>
      </w:r>
      <w:r>
        <w:rPr>
          <w:color w:val="231F20"/>
          <w:sz w:val="15"/>
        </w:rPr>
        <w:t>odvolací</w:t>
      </w:r>
      <w:r>
        <w:rPr>
          <w:color w:val="231F20"/>
          <w:spacing w:val="-5"/>
          <w:sz w:val="15"/>
        </w:rPr>
        <w:t xml:space="preserve"> </w:t>
      </w:r>
      <w:r>
        <w:rPr>
          <w:color w:val="231F20"/>
          <w:sz w:val="15"/>
        </w:rPr>
        <w:t>lhůtě</w:t>
      </w:r>
      <w:r>
        <w:rPr>
          <w:color w:val="231F20"/>
          <w:spacing w:val="-5"/>
          <w:sz w:val="15"/>
        </w:rPr>
        <w:t xml:space="preserve"> </w:t>
      </w:r>
      <w:r>
        <w:rPr>
          <w:color w:val="231F20"/>
          <w:sz w:val="15"/>
        </w:rPr>
        <w:t>neobdrží</w:t>
      </w:r>
      <w:r>
        <w:rPr>
          <w:color w:val="231F20"/>
          <w:spacing w:val="-6"/>
          <w:sz w:val="15"/>
        </w:rPr>
        <w:t xml:space="preserve"> </w:t>
      </w:r>
      <w:r>
        <w:rPr>
          <w:color w:val="231F20"/>
          <w:sz w:val="15"/>
        </w:rPr>
        <w:t>jiný</w:t>
      </w:r>
      <w:r>
        <w:rPr>
          <w:color w:val="231F20"/>
          <w:spacing w:val="-5"/>
          <w:sz w:val="15"/>
        </w:rPr>
        <w:t xml:space="preserve"> </w:t>
      </w:r>
      <w:r>
        <w:rPr>
          <w:color w:val="231F20"/>
          <w:sz w:val="15"/>
        </w:rPr>
        <w:t>pokyn</w:t>
      </w:r>
      <w:r>
        <w:rPr>
          <w:color w:val="231F20"/>
          <w:spacing w:val="-5"/>
          <w:sz w:val="15"/>
        </w:rPr>
        <w:t xml:space="preserve"> </w:t>
      </w:r>
      <w:r>
        <w:rPr>
          <w:color w:val="231F20"/>
          <w:sz w:val="15"/>
        </w:rPr>
        <w:t>od</w:t>
      </w:r>
      <w:r>
        <w:rPr>
          <w:color w:val="231F20"/>
          <w:spacing w:val="-6"/>
          <w:sz w:val="15"/>
        </w:rPr>
        <w:t xml:space="preserve"> </w:t>
      </w:r>
      <w:r>
        <w:rPr>
          <w:color w:val="231F20"/>
          <w:sz w:val="15"/>
        </w:rPr>
        <w:t>Pojišťovny;</w:t>
      </w:r>
    </w:p>
    <w:p w14:paraId="19F310B3" w14:textId="77777777" w:rsidR="00F65BCA" w:rsidRDefault="00216117">
      <w:pPr>
        <w:pStyle w:val="Zkladntext"/>
        <w:spacing w:line="278" w:lineRule="auto"/>
        <w:ind w:left="710"/>
        <w:jc w:val="both"/>
      </w:pPr>
      <w:r>
        <w:rPr>
          <w:color w:val="231F20"/>
        </w:rPr>
        <w:t>pak</w:t>
      </w:r>
      <w:r>
        <w:rPr>
          <w:color w:val="231F20"/>
          <w:spacing w:val="-15"/>
        </w:rPr>
        <w:t xml:space="preserve"> </w:t>
      </w:r>
      <w:r>
        <w:rPr>
          <w:color w:val="231F20"/>
        </w:rPr>
        <w:t>uhradí</w:t>
      </w:r>
      <w:r>
        <w:rPr>
          <w:color w:val="231F20"/>
          <w:spacing w:val="-15"/>
        </w:rPr>
        <w:t xml:space="preserve"> </w:t>
      </w:r>
      <w:r>
        <w:rPr>
          <w:color w:val="231F20"/>
        </w:rPr>
        <w:t>Pojišťovna</w:t>
      </w:r>
      <w:r>
        <w:rPr>
          <w:color w:val="231F20"/>
          <w:spacing w:val="-15"/>
        </w:rPr>
        <w:t xml:space="preserve"> </w:t>
      </w:r>
      <w:r>
        <w:rPr>
          <w:color w:val="231F20"/>
        </w:rPr>
        <w:t>v</w:t>
      </w:r>
      <w:r>
        <w:rPr>
          <w:color w:val="231F20"/>
          <w:spacing w:val="-14"/>
        </w:rPr>
        <w:t xml:space="preserve"> </w:t>
      </w:r>
      <w:r>
        <w:rPr>
          <w:color w:val="231F20"/>
        </w:rPr>
        <w:t>souvislosti</w:t>
      </w:r>
      <w:r>
        <w:rPr>
          <w:color w:val="231F20"/>
          <w:spacing w:val="-15"/>
        </w:rPr>
        <w:t xml:space="preserve"> </w:t>
      </w:r>
      <w:r>
        <w:rPr>
          <w:color w:val="231F20"/>
        </w:rPr>
        <w:t>se</w:t>
      </w:r>
      <w:r>
        <w:rPr>
          <w:color w:val="231F20"/>
          <w:spacing w:val="-15"/>
        </w:rPr>
        <w:t xml:space="preserve"> </w:t>
      </w:r>
      <w:r>
        <w:rPr>
          <w:color w:val="231F20"/>
        </w:rPr>
        <w:t>škodní</w:t>
      </w:r>
      <w:r>
        <w:rPr>
          <w:color w:val="231F20"/>
          <w:spacing w:val="-14"/>
        </w:rPr>
        <w:t xml:space="preserve"> </w:t>
      </w:r>
      <w:r>
        <w:rPr>
          <w:color w:val="231F20"/>
        </w:rPr>
        <w:t>událostí</w:t>
      </w:r>
      <w:r>
        <w:rPr>
          <w:color w:val="231F20"/>
          <w:spacing w:val="-15"/>
        </w:rPr>
        <w:t xml:space="preserve"> </w:t>
      </w:r>
      <w:r>
        <w:rPr>
          <w:color w:val="231F20"/>
        </w:rPr>
        <w:t>za</w:t>
      </w:r>
      <w:r>
        <w:rPr>
          <w:color w:val="231F20"/>
          <w:spacing w:val="-15"/>
        </w:rPr>
        <w:t xml:space="preserve"> </w:t>
      </w:r>
      <w:r>
        <w:rPr>
          <w:color w:val="231F20"/>
        </w:rPr>
        <w:t>pojištěného</w:t>
      </w:r>
      <w:r>
        <w:rPr>
          <w:color w:val="231F20"/>
          <w:spacing w:val="-15"/>
        </w:rPr>
        <w:t xml:space="preserve"> </w:t>
      </w:r>
      <w:r>
        <w:rPr>
          <w:color w:val="231F20"/>
        </w:rPr>
        <w:t>náklady (v</w:t>
      </w:r>
      <w:r>
        <w:rPr>
          <w:color w:val="231F20"/>
          <w:spacing w:val="-15"/>
        </w:rPr>
        <w:t xml:space="preserve"> </w:t>
      </w:r>
      <w:r>
        <w:rPr>
          <w:color w:val="231F20"/>
        </w:rPr>
        <w:t>případě,</w:t>
      </w:r>
      <w:r>
        <w:rPr>
          <w:color w:val="231F20"/>
          <w:spacing w:val="-14"/>
        </w:rPr>
        <w:t xml:space="preserve"> </w:t>
      </w:r>
      <w:r>
        <w:rPr>
          <w:color w:val="231F20"/>
        </w:rPr>
        <w:t>že</w:t>
      </w:r>
      <w:r>
        <w:rPr>
          <w:color w:val="231F20"/>
          <w:spacing w:val="-15"/>
        </w:rPr>
        <w:t xml:space="preserve"> </w:t>
      </w:r>
      <w:r>
        <w:rPr>
          <w:color w:val="231F20"/>
        </w:rPr>
        <w:t>je</w:t>
      </w:r>
      <w:r>
        <w:rPr>
          <w:color w:val="231F20"/>
          <w:spacing w:val="-14"/>
        </w:rPr>
        <w:t xml:space="preserve"> </w:t>
      </w:r>
      <w:r>
        <w:rPr>
          <w:color w:val="231F20"/>
        </w:rPr>
        <w:t>v</w:t>
      </w:r>
      <w:r>
        <w:rPr>
          <w:color w:val="231F20"/>
          <w:spacing w:val="-15"/>
        </w:rPr>
        <w:t xml:space="preserve"> </w:t>
      </w:r>
      <w:r>
        <w:rPr>
          <w:color w:val="231F20"/>
        </w:rPr>
        <w:t>pojistné</w:t>
      </w:r>
      <w:r>
        <w:rPr>
          <w:color w:val="231F20"/>
          <w:spacing w:val="-14"/>
        </w:rPr>
        <w:t xml:space="preserve"> </w:t>
      </w:r>
      <w:r>
        <w:rPr>
          <w:color w:val="231F20"/>
        </w:rPr>
        <w:t>smlouvě</w:t>
      </w:r>
      <w:r>
        <w:rPr>
          <w:color w:val="231F20"/>
          <w:spacing w:val="-14"/>
        </w:rPr>
        <w:t xml:space="preserve"> </w:t>
      </w:r>
      <w:r>
        <w:rPr>
          <w:color w:val="231F20"/>
        </w:rPr>
        <w:t>nebo</w:t>
      </w:r>
      <w:r>
        <w:rPr>
          <w:color w:val="231F20"/>
          <w:spacing w:val="-15"/>
        </w:rPr>
        <w:t xml:space="preserve"> </w:t>
      </w:r>
      <w:r>
        <w:rPr>
          <w:color w:val="231F20"/>
        </w:rPr>
        <w:t>v</w:t>
      </w:r>
      <w:r>
        <w:rPr>
          <w:color w:val="231F20"/>
          <w:spacing w:val="-14"/>
        </w:rPr>
        <w:t xml:space="preserve"> </w:t>
      </w:r>
      <w:r>
        <w:rPr>
          <w:color w:val="231F20"/>
        </w:rPr>
        <w:t>seznamu</w:t>
      </w:r>
      <w:r>
        <w:rPr>
          <w:color w:val="231F20"/>
          <w:spacing w:val="-15"/>
        </w:rPr>
        <w:t xml:space="preserve"> </w:t>
      </w:r>
      <w:r>
        <w:rPr>
          <w:color w:val="231F20"/>
        </w:rPr>
        <w:t>vozidel</w:t>
      </w:r>
      <w:r>
        <w:rPr>
          <w:color w:val="231F20"/>
          <w:spacing w:val="-14"/>
        </w:rPr>
        <w:t xml:space="preserve"> </w:t>
      </w:r>
      <w:r>
        <w:rPr>
          <w:color w:val="231F20"/>
        </w:rPr>
        <w:t>uveden</w:t>
      </w:r>
      <w:r>
        <w:rPr>
          <w:color w:val="231F20"/>
          <w:spacing w:val="-14"/>
        </w:rPr>
        <w:t xml:space="preserve"> </w:t>
      </w:r>
      <w:r>
        <w:rPr>
          <w:color w:val="231F20"/>
        </w:rPr>
        <w:t>limit,</w:t>
      </w:r>
      <w:r>
        <w:rPr>
          <w:color w:val="231F20"/>
          <w:spacing w:val="-15"/>
        </w:rPr>
        <w:t xml:space="preserve"> </w:t>
      </w:r>
      <w:r>
        <w:rPr>
          <w:color w:val="231F20"/>
        </w:rPr>
        <w:t>pak do výše tohoto limitu uvedeného v pojistné</w:t>
      </w:r>
      <w:r>
        <w:rPr>
          <w:color w:val="231F20"/>
          <w:spacing w:val="-19"/>
        </w:rPr>
        <w:t xml:space="preserve"> </w:t>
      </w:r>
      <w:r>
        <w:rPr>
          <w:color w:val="231F20"/>
        </w:rPr>
        <w:t>smlouvě):</w:t>
      </w:r>
    </w:p>
    <w:p w14:paraId="1CD45FDF" w14:textId="77777777" w:rsidR="00F65BCA" w:rsidRDefault="00216117">
      <w:pPr>
        <w:pStyle w:val="Odstavecseseznamem"/>
        <w:numPr>
          <w:ilvl w:val="1"/>
          <w:numId w:val="116"/>
        </w:numPr>
        <w:tabs>
          <w:tab w:val="left" w:pos="881"/>
        </w:tabs>
        <w:spacing w:line="278" w:lineRule="auto"/>
        <w:jc w:val="both"/>
        <w:rPr>
          <w:sz w:val="15"/>
        </w:rPr>
      </w:pPr>
      <w:r>
        <w:rPr>
          <w:color w:val="231F20"/>
          <w:spacing w:val="2"/>
          <w:sz w:val="15"/>
        </w:rPr>
        <w:t xml:space="preserve">které </w:t>
      </w:r>
      <w:r>
        <w:rPr>
          <w:color w:val="231F20"/>
          <w:spacing w:val="3"/>
          <w:sz w:val="15"/>
        </w:rPr>
        <w:t xml:space="preserve">odpovídají nejvýše mimosmluvní odměně </w:t>
      </w:r>
      <w:r>
        <w:rPr>
          <w:color w:val="231F20"/>
          <w:spacing w:val="2"/>
          <w:sz w:val="15"/>
        </w:rPr>
        <w:t xml:space="preserve">advokáta </w:t>
      </w:r>
      <w:r>
        <w:rPr>
          <w:color w:val="231F20"/>
          <w:sz w:val="15"/>
        </w:rPr>
        <w:t xml:space="preserve">za </w:t>
      </w:r>
      <w:r>
        <w:rPr>
          <w:color w:val="231F20"/>
          <w:spacing w:val="3"/>
          <w:sz w:val="15"/>
        </w:rPr>
        <w:t xml:space="preserve">obhajobu </w:t>
      </w:r>
      <w:r>
        <w:rPr>
          <w:color w:val="231F20"/>
          <w:sz w:val="15"/>
        </w:rPr>
        <w:t>v přípravném řízení a v řízení před soudem prvního stupně v trestním ří- zení,</w:t>
      </w:r>
      <w:r>
        <w:rPr>
          <w:color w:val="231F20"/>
          <w:spacing w:val="-9"/>
          <w:sz w:val="15"/>
        </w:rPr>
        <w:t xml:space="preserve"> </w:t>
      </w:r>
      <w:r>
        <w:rPr>
          <w:color w:val="231F20"/>
          <w:sz w:val="15"/>
        </w:rPr>
        <w:t>které</w:t>
      </w:r>
      <w:r>
        <w:rPr>
          <w:color w:val="231F20"/>
          <w:spacing w:val="-9"/>
          <w:sz w:val="15"/>
        </w:rPr>
        <w:t xml:space="preserve"> </w:t>
      </w:r>
      <w:r>
        <w:rPr>
          <w:color w:val="231F20"/>
          <w:sz w:val="15"/>
        </w:rPr>
        <w:t>je</w:t>
      </w:r>
      <w:r>
        <w:rPr>
          <w:color w:val="231F20"/>
          <w:spacing w:val="-9"/>
          <w:sz w:val="15"/>
        </w:rPr>
        <w:t xml:space="preserve"> </w:t>
      </w:r>
      <w:r>
        <w:rPr>
          <w:color w:val="231F20"/>
          <w:sz w:val="15"/>
        </w:rPr>
        <w:t>vedeno</w:t>
      </w:r>
      <w:r>
        <w:rPr>
          <w:color w:val="231F20"/>
          <w:spacing w:val="-8"/>
          <w:sz w:val="15"/>
        </w:rPr>
        <w:t xml:space="preserve"> </w:t>
      </w:r>
      <w:r>
        <w:rPr>
          <w:color w:val="231F20"/>
          <w:sz w:val="15"/>
        </w:rPr>
        <w:t>proti</w:t>
      </w:r>
      <w:r>
        <w:rPr>
          <w:color w:val="231F20"/>
          <w:spacing w:val="-9"/>
          <w:sz w:val="15"/>
        </w:rPr>
        <w:t xml:space="preserve"> </w:t>
      </w:r>
      <w:r>
        <w:rPr>
          <w:color w:val="231F20"/>
          <w:sz w:val="15"/>
        </w:rPr>
        <w:t>pojištěnému</w:t>
      </w:r>
      <w:r>
        <w:rPr>
          <w:color w:val="231F20"/>
          <w:spacing w:val="-9"/>
          <w:sz w:val="15"/>
        </w:rPr>
        <w:t xml:space="preserve"> </w:t>
      </w:r>
      <w:r>
        <w:rPr>
          <w:color w:val="231F20"/>
          <w:sz w:val="15"/>
        </w:rPr>
        <w:t>nebo</w:t>
      </w:r>
      <w:r>
        <w:rPr>
          <w:color w:val="231F20"/>
          <w:spacing w:val="-8"/>
          <w:sz w:val="15"/>
        </w:rPr>
        <w:t xml:space="preserve"> </w:t>
      </w:r>
      <w:r>
        <w:rPr>
          <w:color w:val="231F20"/>
          <w:sz w:val="15"/>
        </w:rPr>
        <w:t>v</w:t>
      </w:r>
      <w:r>
        <w:rPr>
          <w:color w:val="231F20"/>
          <w:spacing w:val="-9"/>
          <w:sz w:val="15"/>
        </w:rPr>
        <w:t xml:space="preserve"> </w:t>
      </w:r>
      <w:r>
        <w:rPr>
          <w:color w:val="231F20"/>
          <w:sz w:val="15"/>
        </w:rPr>
        <w:t>obdobném</w:t>
      </w:r>
      <w:r>
        <w:rPr>
          <w:color w:val="231F20"/>
          <w:spacing w:val="-9"/>
          <w:sz w:val="15"/>
        </w:rPr>
        <w:t xml:space="preserve"> </w:t>
      </w:r>
      <w:r>
        <w:rPr>
          <w:color w:val="231F20"/>
          <w:sz w:val="15"/>
        </w:rPr>
        <w:t>řízení</w:t>
      </w:r>
      <w:r>
        <w:rPr>
          <w:color w:val="231F20"/>
          <w:spacing w:val="-9"/>
          <w:sz w:val="15"/>
        </w:rPr>
        <w:t xml:space="preserve"> </w:t>
      </w:r>
      <w:r>
        <w:rPr>
          <w:color w:val="231F20"/>
          <w:sz w:val="15"/>
        </w:rPr>
        <w:t>správním souvisejícím</w:t>
      </w:r>
      <w:r>
        <w:rPr>
          <w:color w:val="231F20"/>
          <w:spacing w:val="-28"/>
          <w:sz w:val="15"/>
        </w:rPr>
        <w:t xml:space="preserve"> </w:t>
      </w:r>
      <w:r>
        <w:rPr>
          <w:color w:val="231F20"/>
          <w:sz w:val="15"/>
        </w:rPr>
        <w:t>se</w:t>
      </w:r>
      <w:r>
        <w:rPr>
          <w:color w:val="231F20"/>
          <w:spacing w:val="-28"/>
          <w:sz w:val="15"/>
        </w:rPr>
        <w:t xml:space="preserve"> </w:t>
      </w:r>
      <w:r>
        <w:rPr>
          <w:color w:val="231F20"/>
          <w:sz w:val="15"/>
        </w:rPr>
        <w:t>škodní</w:t>
      </w:r>
      <w:r>
        <w:rPr>
          <w:color w:val="231F20"/>
          <w:spacing w:val="-28"/>
          <w:sz w:val="15"/>
        </w:rPr>
        <w:t xml:space="preserve"> </w:t>
      </w:r>
      <w:r>
        <w:rPr>
          <w:color w:val="231F20"/>
          <w:sz w:val="15"/>
        </w:rPr>
        <w:t>událostí.</w:t>
      </w:r>
      <w:r>
        <w:rPr>
          <w:color w:val="231F20"/>
          <w:spacing w:val="-28"/>
          <w:sz w:val="15"/>
        </w:rPr>
        <w:t xml:space="preserve"> </w:t>
      </w:r>
      <w:r>
        <w:rPr>
          <w:color w:val="231F20"/>
          <w:sz w:val="15"/>
        </w:rPr>
        <w:t>Obdobné</w:t>
      </w:r>
      <w:r>
        <w:rPr>
          <w:color w:val="231F20"/>
          <w:spacing w:val="-28"/>
          <w:sz w:val="15"/>
        </w:rPr>
        <w:t xml:space="preserve"> </w:t>
      </w:r>
      <w:r>
        <w:rPr>
          <w:color w:val="231F20"/>
          <w:sz w:val="15"/>
        </w:rPr>
        <w:t>náklady</w:t>
      </w:r>
      <w:r>
        <w:rPr>
          <w:color w:val="231F20"/>
          <w:spacing w:val="-28"/>
          <w:sz w:val="15"/>
        </w:rPr>
        <w:t xml:space="preserve"> </w:t>
      </w:r>
      <w:r>
        <w:rPr>
          <w:color w:val="231F20"/>
          <w:sz w:val="15"/>
        </w:rPr>
        <w:t>před</w:t>
      </w:r>
      <w:r>
        <w:rPr>
          <w:color w:val="231F20"/>
          <w:spacing w:val="-28"/>
          <w:sz w:val="15"/>
        </w:rPr>
        <w:t xml:space="preserve"> </w:t>
      </w:r>
      <w:r>
        <w:rPr>
          <w:color w:val="231F20"/>
          <w:sz w:val="15"/>
        </w:rPr>
        <w:t>odvolacím</w:t>
      </w:r>
      <w:r>
        <w:rPr>
          <w:color w:val="231F20"/>
          <w:spacing w:val="-28"/>
          <w:sz w:val="15"/>
        </w:rPr>
        <w:t xml:space="preserve"> </w:t>
      </w:r>
      <w:r>
        <w:rPr>
          <w:color w:val="231F20"/>
          <w:sz w:val="15"/>
        </w:rPr>
        <w:t>orgánem nahradí</w:t>
      </w:r>
      <w:r>
        <w:rPr>
          <w:color w:val="231F20"/>
          <w:spacing w:val="-9"/>
          <w:sz w:val="15"/>
        </w:rPr>
        <w:t xml:space="preserve"> </w:t>
      </w:r>
      <w:r>
        <w:rPr>
          <w:color w:val="231F20"/>
          <w:sz w:val="15"/>
        </w:rPr>
        <w:t>Pojišťovna</w:t>
      </w:r>
      <w:r>
        <w:rPr>
          <w:color w:val="231F20"/>
          <w:spacing w:val="-8"/>
          <w:sz w:val="15"/>
        </w:rPr>
        <w:t xml:space="preserve"> </w:t>
      </w:r>
      <w:r>
        <w:rPr>
          <w:color w:val="231F20"/>
          <w:sz w:val="15"/>
        </w:rPr>
        <w:t>jen</w:t>
      </w:r>
      <w:r>
        <w:rPr>
          <w:color w:val="231F20"/>
          <w:spacing w:val="-8"/>
          <w:sz w:val="15"/>
        </w:rPr>
        <w:t xml:space="preserve"> </w:t>
      </w:r>
      <w:r>
        <w:rPr>
          <w:color w:val="231F20"/>
          <w:spacing w:val="-3"/>
          <w:sz w:val="15"/>
        </w:rPr>
        <w:t>tehdy,</w:t>
      </w:r>
      <w:r>
        <w:rPr>
          <w:color w:val="231F20"/>
          <w:spacing w:val="-8"/>
          <w:sz w:val="15"/>
        </w:rPr>
        <w:t xml:space="preserve"> </w:t>
      </w:r>
      <w:r>
        <w:rPr>
          <w:color w:val="231F20"/>
          <w:sz w:val="15"/>
        </w:rPr>
        <w:t>jestliže</w:t>
      </w:r>
      <w:r>
        <w:rPr>
          <w:color w:val="231F20"/>
          <w:spacing w:val="-8"/>
          <w:sz w:val="15"/>
        </w:rPr>
        <w:t xml:space="preserve"> </w:t>
      </w:r>
      <w:r>
        <w:rPr>
          <w:color w:val="231F20"/>
          <w:sz w:val="15"/>
        </w:rPr>
        <w:t>se</w:t>
      </w:r>
      <w:r>
        <w:rPr>
          <w:color w:val="231F20"/>
          <w:spacing w:val="-9"/>
          <w:sz w:val="15"/>
        </w:rPr>
        <w:t xml:space="preserve"> </w:t>
      </w:r>
      <w:r>
        <w:rPr>
          <w:color w:val="231F20"/>
          <w:sz w:val="15"/>
        </w:rPr>
        <w:t>k</w:t>
      </w:r>
      <w:r>
        <w:rPr>
          <w:color w:val="231F20"/>
          <w:spacing w:val="-8"/>
          <w:sz w:val="15"/>
        </w:rPr>
        <w:t xml:space="preserve"> </w:t>
      </w:r>
      <w:r>
        <w:rPr>
          <w:color w:val="231F20"/>
          <w:sz w:val="15"/>
        </w:rPr>
        <w:t>jejich</w:t>
      </w:r>
      <w:r>
        <w:rPr>
          <w:color w:val="231F20"/>
          <w:spacing w:val="-8"/>
          <w:sz w:val="15"/>
        </w:rPr>
        <w:t xml:space="preserve"> </w:t>
      </w:r>
      <w:r>
        <w:rPr>
          <w:color w:val="231F20"/>
          <w:sz w:val="15"/>
        </w:rPr>
        <w:t>úhradě</w:t>
      </w:r>
      <w:r>
        <w:rPr>
          <w:color w:val="231F20"/>
          <w:spacing w:val="-8"/>
          <w:sz w:val="15"/>
        </w:rPr>
        <w:t xml:space="preserve"> </w:t>
      </w:r>
      <w:r>
        <w:rPr>
          <w:color w:val="231F20"/>
          <w:sz w:val="15"/>
        </w:rPr>
        <w:t>zavázala,</w:t>
      </w:r>
    </w:p>
    <w:p w14:paraId="1A6EB45F" w14:textId="77777777" w:rsidR="00F65BCA" w:rsidRDefault="00216117">
      <w:pPr>
        <w:pStyle w:val="Odstavecseseznamem"/>
        <w:numPr>
          <w:ilvl w:val="1"/>
          <w:numId w:val="116"/>
        </w:numPr>
        <w:tabs>
          <w:tab w:val="left" w:pos="881"/>
        </w:tabs>
        <w:spacing w:line="278" w:lineRule="auto"/>
        <w:jc w:val="both"/>
        <w:rPr>
          <w:sz w:val="15"/>
        </w:rPr>
      </w:pPr>
      <w:r>
        <w:rPr>
          <w:color w:val="231F20"/>
          <w:sz w:val="15"/>
        </w:rPr>
        <w:t>soudního</w:t>
      </w:r>
      <w:r>
        <w:rPr>
          <w:color w:val="231F20"/>
          <w:spacing w:val="-9"/>
          <w:sz w:val="15"/>
        </w:rPr>
        <w:t xml:space="preserve"> </w:t>
      </w:r>
      <w:r>
        <w:rPr>
          <w:color w:val="231F20"/>
          <w:sz w:val="15"/>
        </w:rPr>
        <w:t>řízení</w:t>
      </w:r>
      <w:r>
        <w:rPr>
          <w:color w:val="231F20"/>
          <w:spacing w:val="-9"/>
          <w:sz w:val="15"/>
        </w:rPr>
        <w:t xml:space="preserve"> </w:t>
      </w:r>
      <w:r>
        <w:rPr>
          <w:color w:val="231F20"/>
          <w:sz w:val="15"/>
        </w:rPr>
        <w:t>o</w:t>
      </w:r>
      <w:r>
        <w:rPr>
          <w:color w:val="231F20"/>
          <w:spacing w:val="-8"/>
          <w:sz w:val="15"/>
        </w:rPr>
        <w:t xml:space="preserve"> </w:t>
      </w:r>
      <w:r>
        <w:rPr>
          <w:color w:val="231F20"/>
          <w:sz w:val="15"/>
        </w:rPr>
        <w:t>náhradě</w:t>
      </w:r>
      <w:r>
        <w:rPr>
          <w:color w:val="231F20"/>
          <w:spacing w:val="-9"/>
          <w:sz w:val="15"/>
        </w:rPr>
        <w:t xml:space="preserve"> </w:t>
      </w:r>
      <w:r>
        <w:rPr>
          <w:color w:val="231F20"/>
          <w:sz w:val="15"/>
        </w:rPr>
        <w:t>újmy</w:t>
      </w:r>
      <w:r>
        <w:rPr>
          <w:color w:val="231F20"/>
          <w:spacing w:val="-9"/>
          <w:sz w:val="15"/>
        </w:rPr>
        <w:t xml:space="preserve"> </w:t>
      </w:r>
      <w:r>
        <w:rPr>
          <w:color w:val="231F20"/>
          <w:sz w:val="15"/>
        </w:rPr>
        <w:t>vedeného</w:t>
      </w:r>
      <w:r>
        <w:rPr>
          <w:color w:val="231F20"/>
          <w:spacing w:val="-8"/>
          <w:sz w:val="15"/>
        </w:rPr>
        <w:t xml:space="preserve"> </w:t>
      </w:r>
      <w:r>
        <w:rPr>
          <w:color w:val="231F20"/>
          <w:sz w:val="15"/>
        </w:rPr>
        <w:t>s</w:t>
      </w:r>
      <w:r>
        <w:rPr>
          <w:color w:val="231F20"/>
          <w:spacing w:val="-9"/>
          <w:sz w:val="15"/>
        </w:rPr>
        <w:t xml:space="preserve"> </w:t>
      </w:r>
      <w:r>
        <w:rPr>
          <w:color w:val="231F20"/>
          <w:sz w:val="15"/>
        </w:rPr>
        <w:t>vědomím</w:t>
      </w:r>
      <w:r>
        <w:rPr>
          <w:color w:val="231F20"/>
          <w:spacing w:val="-8"/>
          <w:sz w:val="15"/>
        </w:rPr>
        <w:t xml:space="preserve"> </w:t>
      </w:r>
      <w:r>
        <w:rPr>
          <w:color w:val="231F20"/>
          <w:sz w:val="15"/>
        </w:rPr>
        <w:t>a</w:t>
      </w:r>
      <w:r>
        <w:rPr>
          <w:color w:val="231F20"/>
          <w:spacing w:val="-9"/>
          <w:sz w:val="15"/>
        </w:rPr>
        <w:t xml:space="preserve"> </w:t>
      </w:r>
      <w:r>
        <w:rPr>
          <w:color w:val="231F20"/>
          <w:sz w:val="15"/>
        </w:rPr>
        <w:t>souhlasem</w:t>
      </w:r>
      <w:r>
        <w:rPr>
          <w:color w:val="231F20"/>
          <w:spacing w:val="-9"/>
          <w:sz w:val="15"/>
        </w:rPr>
        <w:t xml:space="preserve"> </w:t>
      </w:r>
      <w:r>
        <w:rPr>
          <w:color w:val="231F20"/>
          <w:sz w:val="15"/>
        </w:rPr>
        <w:t xml:space="preserve">Pojiš- </w:t>
      </w:r>
      <w:r>
        <w:rPr>
          <w:color w:val="231F20"/>
          <w:spacing w:val="-3"/>
          <w:sz w:val="15"/>
        </w:rPr>
        <w:t>ťovny,</w:t>
      </w:r>
      <w:r>
        <w:rPr>
          <w:color w:val="231F20"/>
          <w:spacing w:val="-7"/>
          <w:sz w:val="15"/>
        </w:rPr>
        <w:t xml:space="preserve"> </w:t>
      </w:r>
      <w:r>
        <w:rPr>
          <w:color w:val="231F20"/>
          <w:sz w:val="15"/>
        </w:rPr>
        <w:t>pokud</w:t>
      </w:r>
      <w:r>
        <w:rPr>
          <w:color w:val="231F20"/>
          <w:spacing w:val="-7"/>
          <w:sz w:val="15"/>
        </w:rPr>
        <w:t xml:space="preserve"> </w:t>
      </w:r>
      <w:r>
        <w:rPr>
          <w:color w:val="231F20"/>
          <w:sz w:val="15"/>
        </w:rPr>
        <w:t>je</w:t>
      </w:r>
      <w:r>
        <w:rPr>
          <w:color w:val="231F20"/>
          <w:spacing w:val="-6"/>
          <w:sz w:val="15"/>
        </w:rPr>
        <w:t xml:space="preserve"> </w:t>
      </w:r>
      <w:r>
        <w:rPr>
          <w:color w:val="231F20"/>
          <w:sz w:val="15"/>
        </w:rPr>
        <w:t>pojištěný</w:t>
      </w:r>
      <w:r>
        <w:rPr>
          <w:color w:val="231F20"/>
          <w:spacing w:val="-7"/>
          <w:sz w:val="15"/>
        </w:rPr>
        <w:t xml:space="preserve"> </w:t>
      </w:r>
      <w:r>
        <w:rPr>
          <w:color w:val="231F20"/>
          <w:sz w:val="15"/>
        </w:rPr>
        <w:t>povinen</w:t>
      </w:r>
      <w:r>
        <w:rPr>
          <w:color w:val="231F20"/>
          <w:spacing w:val="-6"/>
          <w:sz w:val="15"/>
        </w:rPr>
        <w:t xml:space="preserve"> </w:t>
      </w:r>
      <w:r>
        <w:rPr>
          <w:color w:val="231F20"/>
          <w:sz w:val="15"/>
        </w:rPr>
        <w:t>je</w:t>
      </w:r>
      <w:r>
        <w:rPr>
          <w:color w:val="231F20"/>
          <w:spacing w:val="-7"/>
          <w:sz w:val="15"/>
        </w:rPr>
        <w:t xml:space="preserve"> </w:t>
      </w:r>
      <w:r>
        <w:rPr>
          <w:color w:val="231F20"/>
          <w:sz w:val="15"/>
        </w:rPr>
        <w:t>uhradit;</w:t>
      </w:r>
      <w:r>
        <w:rPr>
          <w:color w:val="231F20"/>
          <w:spacing w:val="-6"/>
          <w:sz w:val="15"/>
        </w:rPr>
        <w:t xml:space="preserve"> </w:t>
      </w:r>
      <w:r>
        <w:rPr>
          <w:color w:val="231F20"/>
          <w:sz w:val="15"/>
        </w:rPr>
        <w:t>náklady</w:t>
      </w:r>
      <w:r>
        <w:rPr>
          <w:color w:val="231F20"/>
          <w:spacing w:val="-7"/>
          <w:sz w:val="15"/>
        </w:rPr>
        <w:t xml:space="preserve"> </w:t>
      </w:r>
      <w:r>
        <w:rPr>
          <w:color w:val="231F20"/>
          <w:sz w:val="15"/>
        </w:rPr>
        <w:t>právního</w:t>
      </w:r>
      <w:r>
        <w:rPr>
          <w:color w:val="231F20"/>
          <w:spacing w:val="-7"/>
          <w:sz w:val="15"/>
        </w:rPr>
        <w:t xml:space="preserve"> </w:t>
      </w:r>
      <w:r>
        <w:rPr>
          <w:color w:val="231F20"/>
          <w:sz w:val="15"/>
        </w:rPr>
        <w:t>zastoupení pojištěného</w:t>
      </w:r>
      <w:r>
        <w:rPr>
          <w:color w:val="231F20"/>
          <w:spacing w:val="-16"/>
          <w:sz w:val="15"/>
        </w:rPr>
        <w:t xml:space="preserve"> </w:t>
      </w:r>
      <w:r>
        <w:rPr>
          <w:color w:val="231F20"/>
          <w:sz w:val="15"/>
        </w:rPr>
        <w:t>uhradí</w:t>
      </w:r>
      <w:r>
        <w:rPr>
          <w:color w:val="231F20"/>
          <w:spacing w:val="-15"/>
          <w:sz w:val="15"/>
        </w:rPr>
        <w:t xml:space="preserve"> </w:t>
      </w:r>
      <w:r>
        <w:rPr>
          <w:color w:val="231F20"/>
          <w:sz w:val="15"/>
        </w:rPr>
        <w:t>Pojišťovna</w:t>
      </w:r>
      <w:r>
        <w:rPr>
          <w:color w:val="231F20"/>
          <w:spacing w:val="-15"/>
          <w:sz w:val="15"/>
        </w:rPr>
        <w:t xml:space="preserve"> </w:t>
      </w:r>
      <w:r>
        <w:rPr>
          <w:color w:val="231F20"/>
          <w:sz w:val="15"/>
        </w:rPr>
        <w:t>jen</w:t>
      </w:r>
      <w:r>
        <w:rPr>
          <w:color w:val="231F20"/>
          <w:spacing w:val="-16"/>
          <w:sz w:val="15"/>
        </w:rPr>
        <w:t xml:space="preserve"> </w:t>
      </w:r>
      <w:r>
        <w:rPr>
          <w:color w:val="231F20"/>
          <w:spacing w:val="-3"/>
          <w:sz w:val="15"/>
        </w:rPr>
        <w:t>tehdy,</w:t>
      </w:r>
      <w:r>
        <w:rPr>
          <w:color w:val="231F20"/>
          <w:spacing w:val="-15"/>
          <w:sz w:val="15"/>
        </w:rPr>
        <w:t xml:space="preserve"> </w:t>
      </w:r>
      <w:r>
        <w:rPr>
          <w:color w:val="231F20"/>
          <w:sz w:val="15"/>
        </w:rPr>
        <w:t>jestliže</w:t>
      </w:r>
      <w:r>
        <w:rPr>
          <w:color w:val="231F20"/>
          <w:spacing w:val="-15"/>
          <w:sz w:val="15"/>
        </w:rPr>
        <w:t xml:space="preserve"> </w:t>
      </w:r>
      <w:r>
        <w:rPr>
          <w:color w:val="231F20"/>
          <w:sz w:val="15"/>
        </w:rPr>
        <w:t>se</w:t>
      </w:r>
      <w:r>
        <w:rPr>
          <w:color w:val="231F20"/>
          <w:spacing w:val="-16"/>
          <w:sz w:val="15"/>
        </w:rPr>
        <w:t xml:space="preserve"> </w:t>
      </w:r>
      <w:r>
        <w:rPr>
          <w:color w:val="231F20"/>
          <w:sz w:val="15"/>
        </w:rPr>
        <w:t>k</w:t>
      </w:r>
      <w:r>
        <w:rPr>
          <w:color w:val="231F20"/>
          <w:spacing w:val="-15"/>
          <w:sz w:val="15"/>
        </w:rPr>
        <w:t xml:space="preserve"> </w:t>
      </w:r>
      <w:r>
        <w:rPr>
          <w:color w:val="231F20"/>
          <w:sz w:val="15"/>
        </w:rPr>
        <w:t>jejich</w:t>
      </w:r>
      <w:r>
        <w:rPr>
          <w:color w:val="231F20"/>
          <w:spacing w:val="-15"/>
          <w:sz w:val="15"/>
        </w:rPr>
        <w:t xml:space="preserve"> </w:t>
      </w:r>
      <w:r>
        <w:rPr>
          <w:color w:val="231F20"/>
          <w:sz w:val="15"/>
        </w:rPr>
        <w:t>úhradě</w:t>
      </w:r>
      <w:r>
        <w:rPr>
          <w:color w:val="231F20"/>
          <w:spacing w:val="-16"/>
          <w:sz w:val="15"/>
        </w:rPr>
        <w:t xml:space="preserve"> </w:t>
      </w:r>
      <w:r>
        <w:rPr>
          <w:color w:val="231F20"/>
          <w:spacing w:val="-3"/>
          <w:sz w:val="15"/>
        </w:rPr>
        <w:t xml:space="preserve">písemně </w:t>
      </w:r>
      <w:r>
        <w:rPr>
          <w:color w:val="231F20"/>
          <w:sz w:val="15"/>
        </w:rPr>
        <w:t>zavázala.</w:t>
      </w:r>
    </w:p>
    <w:p w14:paraId="240A697E" w14:textId="77777777" w:rsidR="00F65BCA" w:rsidRDefault="00F65BCA">
      <w:pPr>
        <w:pStyle w:val="Zkladntext"/>
        <w:spacing w:before="9"/>
        <w:rPr>
          <w:sz w:val="20"/>
        </w:rPr>
      </w:pPr>
    </w:p>
    <w:p w14:paraId="3E7DDD77" w14:textId="77777777" w:rsidR="00F65BCA" w:rsidRDefault="00216117">
      <w:pPr>
        <w:ind w:left="428"/>
        <w:rPr>
          <w:sz w:val="15"/>
        </w:rPr>
      </w:pPr>
      <w:r>
        <w:rPr>
          <w:color w:val="FFFFFF"/>
          <w:position w:val="3"/>
          <w:sz w:val="16"/>
          <w:shd w:val="clear" w:color="auto" w:fill="808285"/>
        </w:rPr>
        <w:t xml:space="preserve">  </w:t>
      </w:r>
      <w:r>
        <w:rPr>
          <w:color w:val="FFFFFF"/>
          <w:w w:val="105"/>
          <w:position w:val="3"/>
          <w:sz w:val="16"/>
          <w:shd w:val="clear" w:color="auto" w:fill="808285"/>
        </w:rPr>
        <w:t>Článek 15</w:t>
      </w:r>
      <w:r>
        <w:rPr>
          <w:color w:val="FFFFFF"/>
          <w:w w:val="105"/>
          <w:position w:val="3"/>
          <w:sz w:val="16"/>
        </w:rPr>
        <w:t xml:space="preserve"> </w:t>
      </w:r>
      <w:r>
        <w:rPr>
          <w:color w:val="231F20"/>
          <w:w w:val="105"/>
          <w:sz w:val="15"/>
        </w:rPr>
        <w:t>Právo Pojišťovny na náhradu vyplacené částky</w:t>
      </w:r>
    </w:p>
    <w:p w14:paraId="7DA5FE23" w14:textId="77777777" w:rsidR="00F65BCA" w:rsidRDefault="00216117">
      <w:pPr>
        <w:pStyle w:val="Zkladntext"/>
        <w:spacing w:before="147" w:line="278" w:lineRule="auto"/>
        <w:ind w:left="426"/>
        <w:jc w:val="both"/>
      </w:pPr>
      <w:r>
        <w:rPr>
          <w:color w:val="231F20"/>
        </w:rPr>
        <w:t>Pojišťovna</w:t>
      </w:r>
      <w:r>
        <w:rPr>
          <w:color w:val="231F20"/>
          <w:spacing w:val="-15"/>
        </w:rPr>
        <w:t xml:space="preserve"> </w:t>
      </w:r>
      <w:r>
        <w:rPr>
          <w:color w:val="231F20"/>
        </w:rPr>
        <w:t>má</w:t>
      </w:r>
      <w:r>
        <w:rPr>
          <w:color w:val="231F20"/>
          <w:spacing w:val="-14"/>
        </w:rPr>
        <w:t xml:space="preserve"> </w:t>
      </w:r>
      <w:r>
        <w:rPr>
          <w:color w:val="231F20"/>
        </w:rPr>
        <w:t>proti</w:t>
      </w:r>
      <w:r>
        <w:rPr>
          <w:color w:val="231F20"/>
          <w:spacing w:val="-14"/>
        </w:rPr>
        <w:t xml:space="preserve"> </w:t>
      </w:r>
      <w:r>
        <w:rPr>
          <w:color w:val="231F20"/>
        </w:rPr>
        <w:t>pojištěnému</w:t>
      </w:r>
      <w:r>
        <w:rPr>
          <w:color w:val="231F20"/>
          <w:spacing w:val="-14"/>
        </w:rPr>
        <w:t xml:space="preserve"> </w:t>
      </w:r>
      <w:r>
        <w:rPr>
          <w:color w:val="231F20"/>
        </w:rPr>
        <w:t>právo</w:t>
      </w:r>
      <w:r>
        <w:rPr>
          <w:color w:val="231F20"/>
          <w:spacing w:val="-15"/>
        </w:rPr>
        <w:t xml:space="preserve"> </w:t>
      </w:r>
      <w:r>
        <w:rPr>
          <w:color w:val="231F20"/>
        </w:rPr>
        <w:t>na</w:t>
      </w:r>
      <w:r>
        <w:rPr>
          <w:color w:val="231F20"/>
          <w:spacing w:val="-14"/>
        </w:rPr>
        <w:t xml:space="preserve"> </w:t>
      </w:r>
      <w:r>
        <w:rPr>
          <w:color w:val="231F20"/>
        </w:rPr>
        <w:t>náhradu</w:t>
      </w:r>
      <w:r>
        <w:rPr>
          <w:color w:val="231F20"/>
          <w:spacing w:val="-14"/>
        </w:rPr>
        <w:t xml:space="preserve"> </w:t>
      </w:r>
      <w:r>
        <w:rPr>
          <w:color w:val="231F20"/>
        </w:rPr>
        <w:t>toho,</w:t>
      </w:r>
      <w:r>
        <w:rPr>
          <w:color w:val="231F20"/>
          <w:spacing w:val="-14"/>
        </w:rPr>
        <w:t xml:space="preserve"> </w:t>
      </w:r>
      <w:r>
        <w:rPr>
          <w:color w:val="231F20"/>
        </w:rPr>
        <w:t>co</w:t>
      </w:r>
      <w:r>
        <w:rPr>
          <w:color w:val="231F20"/>
          <w:spacing w:val="-14"/>
        </w:rPr>
        <w:t xml:space="preserve"> </w:t>
      </w:r>
      <w:r>
        <w:rPr>
          <w:color w:val="231F20"/>
        </w:rPr>
        <w:t>za</w:t>
      </w:r>
      <w:r>
        <w:rPr>
          <w:color w:val="231F20"/>
          <w:spacing w:val="-15"/>
        </w:rPr>
        <w:t xml:space="preserve"> </w:t>
      </w:r>
      <w:r>
        <w:rPr>
          <w:color w:val="231F20"/>
        </w:rPr>
        <w:t>něho</w:t>
      </w:r>
      <w:r>
        <w:rPr>
          <w:color w:val="231F20"/>
          <w:spacing w:val="-14"/>
        </w:rPr>
        <w:t xml:space="preserve"> </w:t>
      </w:r>
      <w:r>
        <w:rPr>
          <w:color w:val="231F20"/>
        </w:rPr>
        <w:t>plnila</w:t>
      </w:r>
      <w:r>
        <w:rPr>
          <w:color w:val="231F20"/>
          <w:spacing w:val="-14"/>
        </w:rPr>
        <w:t xml:space="preserve"> </w:t>
      </w:r>
      <w:r>
        <w:rPr>
          <w:color w:val="231F20"/>
        </w:rPr>
        <w:t>v</w:t>
      </w:r>
      <w:r>
        <w:rPr>
          <w:color w:val="231F20"/>
          <w:spacing w:val="-14"/>
        </w:rPr>
        <w:t xml:space="preserve"> </w:t>
      </w:r>
      <w:r>
        <w:rPr>
          <w:color w:val="231F20"/>
        </w:rPr>
        <w:t>přípa- dech uvedených v</w:t>
      </w:r>
      <w:r>
        <w:rPr>
          <w:color w:val="231F20"/>
          <w:spacing w:val="-3"/>
        </w:rPr>
        <w:t xml:space="preserve"> </w:t>
      </w:r>
      <w:r>
        <w:rPr>
          <w:color w:val="231F20"/>
          <w:spacing w:val="-4"/>
        </w:rPr>
        <w:t>ZPOV.</w:t>
      </w:r>
    </w:p>
    <w:p w14:paraId="641371BC" w14:textId="77777777" w:rsidR="00F65BCA" w:rsidRDefault="00F65BCA">
      <w:pPr>
        <w:pStyle w:val="Zkladntext"/>
        <w:spacing w:before="11"/>
        <w:rPr>
          <w:sz w:val="20"/>
        </w:rPr>
      </w:pPr>
    </w:p>
    <w:p w14:paraId="58FF1E39" w14:textId="77777777" w:rsidR="00F65BCA" w:rsidRDefault="00216117">
      <w:pPr>
        <w:ind w:left="428"/>
        <w:rPr>
          <w:sz w:val="15"/>
        </w:rPr>
      </w:pPr>
      <w:r>
        <w:rPr>
          <w:color w:val="FFFFFF"/>
          <w:position w:val="3"/>
          <w:sz w:val="16"/>
          <w:shd w:val="clear" w:color="auto" w:fill="808285"/>
        </w:rPr>
        <w:t xml:space="preserve">  Článek 16</w:t>
      </w:r>
      <w:r>
        <w:rPr>
          <w:color w:val="FFFFFF"/>
          <w:position w:val="3"/>
          <w:sz w:val="16"/>
        </w:rPr>
        <w:t xml:space="preserve"> </w:t>
      </w:r>
      <w:r>
        <w:rPr>
          <w:color w:val="231F20"/>
          <w:sz w:val="15"/>
        </w:rPr>
        <w:t>Oprávněná osoba</w:t>
      </w:r>
    </w:p>
    <w:p w14:paraId="4E37643F" w14:textId="77777777" w:rsidR="00F65BCA" w:rsidRDefault="00216117">
      <w:pPr>
        <w:pStyle w:val="Zkladntext"/>
        <w:spacing w:before="148" w:line="278" w:lineRule="auto"/>
        <w:ind w:left="426"/>
        <w:jc w:val="both"/>
      </w:pPr>
      <w:r>
        <w:rPr>
          <w:color w:val="231F20"/>
        </w:rPr>
        <w:t>Oprávněnou</w:t>
      </w:r>
      <w:r>
        <w:rPr>
          <w:color w:val="231F20"/>
          <w:spacing w:val="-9"/>
        </w:rPr>
        <w:t xml:space="preserve"> </w:t>
      </w:r>
      <w:r>
        <w:rPr>
          <w:color w:val="231F20"/>
        </w:rPr>
        <w:t>osobou</w:t>
      </w:r>
      <w:r>
        <w:rPr>
          <w:color w:val="231F20"/>
          <w:spacing w:val="-9"/>
        </w:rPr>
        <w:t xml:space="preserve"> </w:t>
      </w:r>
      <w:r>
        <w:rPr>
          <w:color w:val="231F20"/>
        </w:rPr>
        <w:t>v</w:t>
      </w:r>
      <w:r>
        <w:rPr>
          <w:color w:val="231F20"/>
          <w:spacing w:val="-9"/>
        </w:rPr>
        <w:t xml:space="preserve"> </w:t>
      </w:r>
      <w:r>
        <w:rPr>
          <w:color w:val="231F20"/>
        </w:rPr>
        <w:t>pojištění</w:t>
      </w:r>
      <w:r>
        <w:rPr>
          <w:color w:val="231F20"/>
          <w:spacing w:val="-8"/>
        </w:rPr>
        <w:t xml:space="preserve"> </w:t>
      </w:r>
      <w:r>
        <w:rPr>
          <w:color w:val="231F20"/>
        </w:rPr>
        <w:t>odpovědnosti</w:t>
      </w:r>
      <w:r>
        <w:rPr>
          <w:color w:val="231F20"/>
          <w:spacing w:val="-9"/>
        </w:rPr>
        <w:t xml:space="preserve"> </w:t>
      </w:r>
      <w:r>
        <w:rPr>
          <w:color w:val="231F20"/>
        </w:rPr>
        <w:t>je</w:t>
      </w:r>
      <w:r>
        <w:rPr>
          <w:color w:val="231F20"/>
          <w:spacing w:val="-9"/>
        </w:rPr>
        <w:t xml:space="preserve"> </w:t>
      </w:r>
      <w:r>
        <w:rPr>
          <w:color w:val="231F20"/>
        </w:rPr>
        <w:t>osoba,</w:t>
      </w:r>
      <w:r>
        <w:rPr>
          <w:color w:val="231F20"/>
          <w:spacing w:val="-8"/>
        </w:rPr>
        <w:t xml:space="preserve"> </w:t>
      </w:r>
      <w:r>
        <w:rPr>
          <w:color w:val="231F20"/>
        </w:rPr>
        <w:t>které</w:t>
      </w:r>
      <w:r>
        <w:rPr>
          <w:color w:val="231F20"/>
          <w:spacing w:val="-9"/>
        </w:rPr>
        <w:t xml:space="preserve"> </w:t>
      </w:r>
      <w:r>
        <w:rPr>
          <w:color w:val="231F20"/>
        </w:rPr>
        <w:t>v</w:t>
      </w:r>
      <w:r>
        <w:rPr>
          <w:color w:val="231F20"/>
          <w:spacing w:val="-9"/>
        </w:rPr>
        <w:t xml:space="preserve"> </w:t>
      </w:r>
      <w:r>
        <w:rPr>
          <w:color w:val="231F20"/>
        </w:rPr>
        <w:t>důsledku</w:t>
      </w:r>
      <w:r>
        <w:rPr>
          <w:color w:val="231F20"/>
          <w:spacing w:val="-8"/>
        </w:rPr>
        <w:t xml:space="preserve"> </w:t>
      </w:r>
      <w:r>
        <w:rPr>
          <w:color w:val="231F20"/>
        </w:rPr>
        <w:t>pojistné události vznikne právo na pojistné</w:t>
      </w:r>
      <w:r>
        <w:rPr>
          <w:color w:val="231F20"/>
          <w:spacing w:val="-9"/>
        </w:rPr>
        <w:t xml:space="preserve"> </w:t>
      </w:r>
      <w:r>
        <w:rPr>
          <w:color w:val="231F20"/>
        </w:rPr>
        <w:t>plnění.</w:t>
      </w:r>
    </w:p>
    <w:p w14:paraId="3E0DA22C" w14:textId="77777777" w:rsidR="00F65BCA" w:rsidRDefault="00F65BCA">
      <w:pPr>
        <w:pStyle w:val="Zkladntext"/>
        <w:rPr>
          <w:sz w:val="18"/>
        </w:rPr>
      </w:pPr>
    </w:p>
    <w:p w14:paraId="2C13514B" w14:textId="77777777" w:rsidR="00F65BCA" w:rsidRDefault="00216117">
      <w:pPr>
        <w:spacing w:before="148"/>
        <w:ind w:left="426"/>
        <w:jc w:val="both"/>
        <w:rPr>
          <w:sz w:val="24"/>
        </w:rPr>
      </w:pPr>
      <w:r>
        <w:rPr>
          <w:color w:val="231F20"/>
          <w:sz w:val="24"/>
        </w:rPr>
        <w:t>Pododdíl 2 – Pojištění „Přímá likvidace“</w:t>
      </w:r>
    </w:p>
    <w:p w14:paraId="7C2285E1" w14:textId="77777777" w:rsidR="00F65BCA" w:rsidRDefault="00216117">
      <w:pPr>
        <w:spacing w:before="209"/>
        <w:ind w:left="428"/>
        <w:rPr>
          <w:sz w:val="15"/>
        </w:rPr>
      </w:pPr>
      <w:r>
        <w:rPr>
          <w:color w:val="FFFFFF"/>
          <w:position w:val="3"/>
          <w:sz w:val="16"/>
          <w:shd w:val="clear" w:color="auto" w:fill="808285"/>
        </w:rPr>
        <w:t xml:space="preserve">  Článek 17</w:t>
      </w:r>
      <w:r>
        <w:rPr>
          <w:color w:val="FFFFFF"/>
          <w:position w:val="3"/>
          <w:sz w:val="16"/>
        </w:rPr>
        <w:t xml:space="preserve"> </w:t>
      </w:r>
      <w:r>
        <w:rPr>
          <w:color w:val="231F20"/>
          <w:sz w:val="15"/>
        </w:rPr>
        <w:t>Úvodní ustanovení</w:t>
      </w:r>
    </w:p>
    <w:p w14:paraId="53770E8F" w14:textId="77777777" w:rsidR="00F65BCA" w:rsidRDefault="00216117">
      <w:pPr>
        <w:pStyle w:val="Zkladntext"/>
        <w:spacing w:before="148"/>
        <w:ind w:left="426"/>
        <w:jc w:val="both"/>
      </w:pPr>
      <w:r>
        <w:rPr>
          <w:color w:val="231F20"/>
        </w:rPr>
        <w:t>Pojištění Přímá likvidace je doplňkovým škodovým pojištěním.</w:t>
      </w:r>
    </w:p>
    <w:p w14:paraId="19766DAD" w14:textId="77777777" w:rsidR="00F65BCA" w:rsidRDefault="00F65BCA">
      <w:pPr>
        <w:pStyle w:val="Zkladntext"/>
        <w:spacing w:before="3"/>
        <w:rPr>
          <w:sz w:val="23"/>
        </w:rPr>
      </w:pPr>
    </w:p>
    <w:p w14:paraId="6F5A44A3" w14:textId="77777777" w:rsidR="00F65BCA" w:rsidRDefault="00216117">
      <w:pPr>
        <w:pStyle w:val="Zkladntext"/>
        <w:ind w:left="428"/>
      </w:pPr>
      <w:r>
        <w:rPr>
          <w:color w:val="FFFFFF"/>
          <w:position w:val="3"/>
          <w:sz w:val="16"/>
          <w:shd w:val="clear" w:color="auto" w:fill="808285"/>
        </w:rPr>
        <w:t xml:space="preserve">  </w:t>
      </w:r>
      <w:r>
        <w:rPr>
          <w:color w:val="FFFFFF"/>
          <w:w w:val="105"/>
          <w:position w:val="3"/>
          <w:sz w:val="16"/>
          <w:shd w:val="clear" w:color="auto" w:fill="808285"/>
        </w:rPr>
        <w:t>Článek 18</w:t>
      </w:r>
      <w:r>
        <w:rPr>
          <w:color w:val="FFFFFF"/>
          <w:w w:val="105"/>
          <w:position w:val="3"/>
          <w:sz w:val="16"/>
        </w:rPr>
        <w:t xml:space="preserve"> </w:t>
      </w:r>
      <w:r>
        <w:rPr>
          <w:color w:val="231F20"/>
          <w:w w:val="105"/>
        </w:rPr>
        <w:t>Pojistné nebezpečí, územní rozsah, rozsah pojištění</w:t>
      </w:r>
    </w:p>
    <w:p w14:paraId="7508034B"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1"/>
          <w:position w:val="1"/>
          <w:sz w:val="14"/>
        </w:rPr>
        <w:t xml:space="preserve"> </w:t>
      </w:r>
      <w:r>
        <w:rPr>
          <w:color w:val="231F20"/>
        </w:rPr>
        <w:t>Pojištění</w:t>
      </w:r>
      <w:r>
        <w:rPr>
          <w:color w:val="231F20"/>
          <w:spacing w:val="-10"/>
        </w:rPr>
        <w:t xml:space="preserve"> </w:t>
      </w:r>
      <w:r>
        <w:rPr>
          <w:color w:val="231F20"/>
        </w:rPr>
        <w:t>se</w:t>
      </w:r>
      <w:r>
        <w:rPr>
          <w:color w:val="231F20"/>
          <w:spacing w:val="-9"/>
        </w:rPr>
        <w:t xml:space="preserve"> </w:t>
      </w:r>
      <w:r>
        <w:rPr>
          <w:color w:val="231F20"/>
          <w:spacing w:val="2"/>
        </w:rPr>
        <w:t>vztahuje</w:t>
      </w:r>
      <w:r>
        <w:rPr>
          <w:color w:val="231F20"/>
          <w:spacing w:val="-9"/>
        </w:rPr>
        <w:t xml:space="preserve"> </w:t>
      </w:r>
      <w:r>
        <w:rPr>
          <w:color w:val="231F20"/>
        </w:rPr>
        <w:t>na</w:t>
      </w:r>
      <w:r>
        <w:rPr>
          <w:color w:val="231F20"/>
          <w:spacing w:val="-9"/>
        </w:rPr>
        <w:t xml:space="preserve"> </w:t>
      </w:r>
      <w:r>
        <w:rPr>
          <w:color w:val="231F20"/>
        </w:rPr>
        <w:t>případy,</w:t>
      </w:r>
      <w:r>
        <w:rPr>
          <w:color w:val="231F20"/>
          <w:spacing w:val="-10"/>
        </w:rPr>
        <w:t xml:space="preserve"> </w:t>
      </w:r>
      <w:r>
        <w:rPr>
          <w:color w:val="231F20"/>
        </w:rPr>
        <w:t>kdy</w:t>
      </w:r>
      <w:r>
        <w:rPr>
          <w:color w:val="231F20"/>
          <w:spacing w:val="-9"/>
        </w:rPr>
        <w:t xml:space="preserve"> </w:t>
      </w:r>
      <w:r>
        <w:rPr>
          <w:color w:val="231F20"/>
        </w:rPr>
        <w:t>provozem</w:t>
      </w:r>
      <w:r>
        <w:rPr>
          <w:color w:val="231F20"/>
          <w:spacing w:val="-9"/>
        </w:rPr>
        <w:t xml:space="preserve"> </w:t>
      </w:r>
      <w:r>
        <w:rPr>
          <w:color w:val="231F20"/>
        </w:rPr>
        <w:t>jiného</w:t>
      </w:r>
      <w:r>
        <w:rPr>
          <w:color w:val="231F20"/>
          <w:spacing w:val="-9"/>
        </w:rPr>
        <w:t xml:space="preserve"> </w:t>
      </w:r>
      <w:r>
        <w:rPr>
          <w:color w:val="231F20"/>
        </w:rPr>
        <w:t>vozidla</w:t>
      </w:r>
      <w:r>
        <w:rPr>
          <w:color w:val="231F20"/>
          <w:spacing w:val="-10"/>
        </w:rPr>
        <w:t xml:space="preserve"> </w:t>
      </w:r>
      <w:r>
        <w:rPr>
          <w:color w:val="231F20"/>
        </w:rPr>
        <w:t>(dále</w:t>
      </w:r>
      <w:r>
        <w:rPr>
          <w:color w:val="231F20"/>
          <w:spacing w:val="-9"/>
        </w:rPr>
        <w:t xml:space="preserve"> </w:t>
      </w:r>
      <w:r>
        <w:rPr>
          <w:color w:val="231F20"/>
        </w:rPr>
        <w:t>jen</w:t>
      </w:r>
      <w:r>
        <w:rPr>
          <w:color w:val="231F20"/>
          <w:spacing w:val="-9"/>
        </w:rPr>
        <w:t xml:space="preserve"> </w:t>
      </w:r>
      <w:r>
        <w:rPr>
          <w:color w:val="231F20"/>
        </w:rPr>
        <w:t>„ško- dící vozidlo“) dojde k poškození pojištěného vozidla (dále jen „vozidlo“) při dopravní</w:t>
      </w:r>
      <w:r>
        <w:rPr>
          <w:color w:val="231F20"/>
          <w:spacing w:val="-10"/>
        </w:rPr>
        <w:t xml:space="preserve"> </w:t>
      </w:r>
      <w:r>
        <w:rPr>
          <w:color w:val="231F20"/>
        </w:rPr>
        <w:t>nehodě</w:t>
      </w:r>
      <w:r>
        <w:rPr>
          <w:color w:val="231F20"/>
          <w:spacing w:val="-10"/>
        </w:rPr>
        <w:t xml:space="preserve"> </w:t>
      </w:r>
      <w:r>
        <w:rPr>
          <w:color w:val="231F20"/>
        </w:rPr>
        <w:t>na</w:t>
      </w:r>
      <w:r>
        <w:rPr>
          <w:color w:val="231F20"/>
          <w:spacing w:val="-10"/>
        </w:rPr>
        <w:t xml:space="preserve"> </w:t>
      </w:r>
      <w:r>
        <w:rPr>
          <w:color w:val="231F20"/>
        </w:rPr>
        <w:t>pozemní</w:t>
      </w:r>
      <w:r>
        <w:rPr>
          <w:color w:val="231F20"/>
          <w:spacing w:val="-10"/>
        </w:rPr>
        <w:t xml:space="preserve"> </w:t>
      </w:r>
      <w:r>
        <w:rPr>
          <w:color w:val="231F20"/>
        </w:rPr>
        <w:t>komunikaci</w:t>
      </w:r>
      <w:r>
        <w:rPr>
          <w:color w:val="231F20"/>
          <w:spacing w:val="-10"/>
        </w:rPr>
        <w:t xml:space="preserve"> </w:t>
      </w:r>
      <w:r>
        <w:rPr>
          <w:color w:val="231F20"/>
        </w:rPr>
        <w:t>a</w:t>
      </w:r>
      <w:r>
        <w:rPr>
          <w:color w:val="231F20"/>
          <w:spacing w:val="-10"/>
        </w:rPr>
        <w:t xml:space="preserve"> </w:t>
      </w:r>
      <w:r>
        <w:rPr>
          <w:color w:val="231F20"/>
        </w:rPr>
        <w:t>současně</w:t>
      </w:r>
      <w:r>
        <w:rPr>
          <w:color w:val="231F20"/>
          <w:spacing w:val="-10"/>
        </w:rPr>
        <w:t xml:space="preserve"> </w:t>
      </w:r>
      <w:r>
        <w:rPr>
          <w:color w:val="231F20"/>
        </w:rPr>
        <w:t>budou</w:t>
      </w:r>
      <w:r>
        <w:rPr>
          <w:color w:val="231F20"/>
          <w:spacing w:val="-10"/>
        </w:rPr>
        <w:t xml:space="preserve"> </w:t>
      </w:r>
      <w:r>
        <w:rPr>
          <w:color w:val="231F20"/>
        </w:rPr>
        <w:t>splněny</w:t>
      </w:r>
      <w:r>
        <w:rPr>
          <w:color w:val="231F20"/>
          <w:spacing w:val="-10"/>
        </w:rPr>
        <w:t xml:space="preserve"> </w:t>
      </w:r>
      <w:r>
        <w:rPr>
          <w:color w:val="231F20"/>
        </w:rPr>
        <w:t>všech- ny následující</w:t>
      </w:r>
      <w:r>
        <w:rPr>
          <w:color w:val="231F20"/>
          <w:spacing w:val="-2"/>
        </w:rPr>
        <w:t xml:space="preserve"> </w:t>
      </w:r>
      <w:r>
        <w:rPr>
          <w:color w:val="231F20"/>
          <w:spacing w:val="2"/>
        </w:rPr>
        <w:t>podmínky:</w:t>
      </w:r>
    </w:p>
    <w:p w14:paraId="4F734B9B" w14:textId="77777777" w:rsidR="00F65BCA" w:rsidRDefault="00216117">
      <w:pPr>
        <w:pStyle w:val="Odstavecseseznamem"/>
        <w:numPr>
          <w:ilvl w:val="0"/>
          <w:numId w:val="114"/>
        </w:numPr>
        <w:tabs>
          <w:tab w:val="left" w:pos="881"/>
        </w:tabs>
        <w:spacing w:line="172" w:lineRule="exact"/>
        <w:jc w:val="both"/>
        <w:rPr>
          <w:sz w:val="15"/>
        </w:rPr>
      </w:pPr>
      <w:r>
        <w:rPr>
          <w:color w:val="231F20"/>
          <w:sz w:val="15"/>
        </w:rPr>
        <w:t>řidič vozidla za vznik škody neodpovídá, a to ani</w:t>
      </w:r>
      <w:r>
        <w:rPr>
          <w:color w:val="231F20"/>
          <w:spacing w:val="-16"/>
          <w:sz w:val="15"/>
        </w:rPr>
        <w:t xml:space="preserve"> </w:t>
      </w:r>
      <w:r>
        <w:rPr>
          <w:color w:val="231F20"/>
          <w:sz w:val="15"/>
        </w:rPr>
        <w:t>částečně,</w:t>
      </w:r>
    </w:p>
    <w:p w14:paraId="152860CA" w14:textId="77777777" w:rsidR="00F65BCA" w:rsidRDefault="00216117">
      <w:pPr>
        <w:pStyle w:val="Odstavecseseznamem"/>
        <w:numPr>
          <w:ilvl w:val="0"/>
          <w:numId w:val="114"/>
        </w:numPr>
        <w:tabs>
          <w:tab w:val="left" w:pos="881"/>
        </w:tabs>
        <w:spacing w:before="28" w:line="278" w:lineRule="auto"/>
        <w:jc w:val="both"/>
        <w:rPr>
          <w:sz w:val="15"/>
        </w:rPr>
      </w:pPr>
      <w:r>
        <w:rPr>
          <w:color w:val="231F20"/>
          <w:sz w:val="15"/>
        </w:rPr>
        <w:t>škodící vozidlo mělo v době pojistné události sjednané povinné ruče-   ní,</w:t>
      </w:r>
      <w:r>
        <w:rPr>
          <w:color w:val="231F20"/>
          <w:spacing w:val="11"/>
          <w:sz w:val="15"/>
        </w:rPr>
        <w:t xml:space="preserve"> </w:t>
      </w:r>
      <w:r>
        <w:rPr>
          <w:color w:val="231F20"/>
          <w:sz w:val="15"/>
        </w:rPr>
        <w:t>nebo</w:t>
      </w:r>
      <w:r>
        <w:rPr>
          <w:color w:val="231F20"/>
          <w:spacing w:val="11"/>
          <w:sz w:val="15"/>
        </w:rPr>
        <w:t xml:space="preserve"> </w:t>
      </w:r>
      <w:r>
        <w:rPr>
          <w:color w:val="231F20"/>
          <w:sz w:val="15"/>
        </w:rPr>
        <w:t>se</w:t>
      </w:r>
      <w:r>
        <w:rPr>
          <w:color w:val="231F20"/>
          <w:spacing w:val="11"/>
          <w:sz w:val="15"/>
        </w:rPr>
        <w:t xml:space="preserve"> </w:t>
      </w:r>
      <w:r>
        <w:rPr>
          <w:color w:val="231F20"/>
          <w:sz w:val="15"/>
        </w:rPr>
        <w:t>jednalo</w:t>
      </w:r>
      <w:r>
        <w:rPr>
          <w:color w:val="231F20"/>
          <w:spacing w:val="11"/>
          <w:sz w:val="15"/>
        </w:rPr>
        <w:t xml:space="preserve"> </w:t>
      </w:r>
      <w:r>
        <w:rPr>
          <w:color w:val="231F20"/>
          <w:sz w:val="15"/>
        </w:rPr>
        <w:t>o</w:t>
      </w:r>
      <w:r>
        <w:rPr>
          <w:color w:val="231F20"/>
          <w:spacing w:val="11"/>
          <w:sz w:val="15"/>
        </w:rPr>
        <w:t xml:space="preserve"> </w:t>
      </w:r>
      <w:r>
        <w:rPr>
          <w:color w:val="231F20"/>
          <w:sz w:val="15"/>
        </w:rPr>
        <w:t>tuzemské</w:t>
      </w:r>
      <w:r>
        <w:rPr>
          <w:color w:val="231F20"/>
          <w:spacing w:val="11"/>
          <w:sz w:val="15"/>
        </w:rPr>
        <w:t xml:space="preserve"> </w:t>
      </w:r>
      <w:r>
        <w:rPr>
          <w:color w:val="231F20"/>
          <w:sz w:val="15"/>
        </w:rPr>
        <w:t>vozidlo</w:t>
      </w:r>
      <w:r>
        <w:rPr>
          <w:color w:val="231F20"/>
          <w:spacing w:val="11"/>
          <w:sz w:val="15"/>
        </w:rPr>
        <w:t xml:space="preserve"> </w:t>
      </w:r>
      <w:r>
        <w:rPr>
          <w:color w:val="231F20"/>
          <w:sz w:val="15"/>
        </w:rPr>
        <w:t>registrované</w:t>
      </w:r>
      <w:r>
        <w:rPr>
          <w:color w:val="231F20"/>
          <w:spacing w:val="11"/>
          <w:sz w:val="15"/>
        </w:rPr>
        <w:t xml:space="preserve"> </w:t>
      </w:r>
      <w:r>
        <w:rPr>
          <w:color w:val="231F20"/>
          <w:sz w:val="15"/>
        </w:rPr>
        <w:t>v</w:t>
      </w:r>
      <w:r>
        <w:rPr>
          <w:color w:val="231F20"/>
          <w:spacing w:val="11"/>
          <w:sz w:val="15"/>
        </w:rPr>
        <w:t xml:space="preserve"> </w:t>
      </w:r>
      <w:r>
        <w:rPr>
          <w:color w:val="231F20"/>
          <w:sz w:val="15"/>
        </w:rPr>
        <w:t>České</w:t>
      </w:r>
      <w:r>
        <w:rPr>
          <w:color w:val="231F20"/>
          <w:spacing w:val="11"/>
          <w:sz w:val="15"/>
        </w:rPr>
        <w:t xml:space="preserve"> </w:t>
      </w:r>
      <w:r>
        <w:rPr>
          <w:color w:val="231F20"/>
          <w:sz w:val="15"/>
        </w:rPr>
        <w:t>republice</w:t>
      </w:r>
    </w:p>
    <w:p w14:paraId="4915D2F0" w14:textId="77777777" w:rsidR="00F65BCA" w:rsidRDefault="00216117">
      <w:pPr>
        <w:pStyle w:val="Zkladntext"/>
        <w:spacing w:before="105" w:line="278" w:lineRule="auto"/>
        <w:ind w:left="639" w:right="424"/>
        <w:jc w:val="both"/>
      </w:pPr>
      <w:r>
        <w:br w:type="column"/>
      </w:r>
      <w:r>
        <w:rPr>
          <w:color w:val="231F20"/>
        </w:rPr>
        <w:t>bez sjednaného povinného ručení nebo se jednalo o vozidlo nepod- léhající registraci v České republice, k jehož provozu se ale váže povin- nost mít sjednané povinné ručení, bez sjednaného povinného ručení,</w:t>
      </w:r>
    </w:p>
    <w:p w14:paraId="654A2BCF" w14:textId="77777777" w:rsidR="00F65BCA" w:rsidRDefault="00216117">
      <w:pPr>
        <w:pStyle w:val="Odstavecseseznamem"/>
        <w:numPr>
          <w:ilvl w:val="0"/>
          <w:numId w:val="114"/>
        </w:numPr>
        <w:tabs>
          <w:tab w:val="left" w:pos="640"/>
        </w:tabs>
        <w:spacing w:line="278" w:lineRule="auto"/>
        <w:ind w:left="639" w:right="424"/>
        <w:jc w:val="both"/>
        <w:rPr>
          <w:sz w:val="15"/>
        </w:rPr>
      </w:pPr>
      <w:r>
        <w:rPr>
          <w:color w:val="231F20"/>
          <w:sz w:val="15"/>
        </w:rPr>
        <w:t>výplatou pojistného plnění z pojištění „Přímá likvidace“ dojde k přechodu práva</w:t>
      </w:r>
      <w:r>
        <w:rPr>
          <w:color w:val="231F20"/>
          <w:spacing w:val="-9"/>
          <w:sz w:val="15"/>
        </w:rPr>
        <w:t xml:space="preserve"> </w:t>
      </w:r>
      <w:r>
        <w:rPr>
          <w:color w:val="231F20"/>
          <w:sz w:val="15"/>
        </w:rPr>
        <w:t>na</w:t>
      </w:r>
      <w:r>
        <w:rPr>
          <w:color w:val="231F20"/>
          <w:spacing w:val="-8"/>
          <w:sz w:val="15"/>
        </w:rPr>
        <w:t xml:space="preserve"> </w:t>
      </w:r>
      <w:r>
        <w:rPr>
          <w:color w:val="231F20"/>
          <w:sz w:val="15"/>
        </w:rPr>
        <w:t>náhradu</w:t>
      </w:r>
      <w:r>
        <w:rPr>
          <w:color w:val="231F20"/>
          <w:spacing w:val="-9"/>
          <w:sz w:val="15"/>
        </w:rPr>
        <w:t xml:space="preserve"> </w:t>
      </w:r>
      <w:r>
        <w:rPr>
          <w:color w:val="231F20"/>
          <w:sz w:val="15"/>
        </w:rPr>
        <w:t>škody</w:t>
      </w:r>
      <w:r>
        <w:rPr>
          <w:color w:val="231F20"/>
          <w:spacing w:val="-8"/>
          <w:sz w:val="15"/>
        </w:rPr>
        <w:t xml:space="preserve"> </w:t>
      </w:r>
      <w:r>
        <w:rPr>
          <w:color w:val="231F20"/>
          <w:sz w:val="15"/>
        </w:rPr>
        <w:t>nebo</w:t>
      </w:r>
      <w:r>
        <w:rPr>
          <w:color w:val="231F20"/>
          <w:spacing w:val="-9"/>
          <w:sz w:val="15"/>
        </w:rPr>
        <w:t xml:space="preserve"> </w:t>
      </w:r>
      <w:r>
        <w:rPr>
          <w:color w:val="231F20"/>
          <w:sz w:val="15"/>
        </w:rPr>
        <w:t>jiného</w:t>
      </w:r>
      <w:r>
        <w:rPr>
          <w:color w:val="231F20"/>
          <w:spacing w:val="-8"/>
          <w:sz w:val="15"/>
        </w:rPr>
        <w:t xml:space="preserve"> </w:t>
      </w:r>
      <w:r>
        <w:rPr>
          <w:color w:val="231F20"/>
          <w:sz w:val="15"/>
        </w:rPr>
        <w:t>obdobného</w:t>
      </w:r>
      <w:r>
        <w:rPr>
          <w:color w:val="231F20"/>
          <w:spacing w:val="-9"/>
          <w:sz w:val="15"/>
        </w:rPr>
        <w:t xml:space="preserve"> </w:t>
      </w:r>
      <w:r>
        <w:rPr>
          <w:color w:val="231F20"/>
          <w:sz w:val="15"/>
        </w:rPr>
        <w:t>práva</w:t>
      </w:r>
      <w:r>
        <w:rPr>
          <w:color w:val="231F20"/>
          <w:spacing w:val="-8"/>
          <w:sz w:val="15"/>
        </w:rPr>
        <w:t xml:space="preserve"> </w:t>
      </w:r>
      <w:r>
        <w:rPr>
          <w:color w:val="231F20"/>
          <w:sz w:val="15"/>
        </w:rPr>
        <w:t>na</w:t>
      </w:r>
      <w:r>
        <w:rPr>
          <w:color w:val="231F20"/>
          <w:spacing w:val="-9"/>
          <w:sz w:val="15"/>
        </w:rPr>
        <w:t xml:space="preserve"> </w:t>
      </w:r>
      <w:r>
        <w:rPr>
          <w:color w:val="231F20"/>
          <w:sz w:val="15"/>
        </w:rPr>
        <w:t>Pojišťovnu,</w:t>
      </w:r>
    </w:p>
    <w:p w14:paraId="697F903E" w14:textId="77777777" w:rsidR="00F65BCA" w:rsidRDefault="00216117">
      <w:pPr>
        <w:pStyle w:val="Odstavecseseznamem"/>
        <w:numPr>
          <w:ilvl w:val="0"/>
          <w:numId w:val="114"/>
        </w:numPr>
        <w:tabs>
          <w:tab w:val="left" w:pos="640"/>
        </w:tabs>
        <w:spacing w:line="278" w:lineRule="auto"/>
        <w:ind w:left="639" w:right="424"/>
        <w:jc w:val="both"/>
        <w:rPr>
          <w:sz w:val="15"/>
        </w:rPr>
      </w:pPr>
      <w:r>
        <w:rPr>
          <w:color w:val="231F20"/>
          <w:sz w:val="15"/>
        </w:rPr>
        <w:t>oprava</w:t>
      </w:r>
      <w:r>
        <w:rPr>
          <w:color w:val="231F20"/>
          <w:spacing w:val="-8"/>
          <w:sz w:val="15"/>
        </w:rPr>
        <w:t xml:space="preserve"> </w:t>
      </w:r>
      <w:r>
        <w:rPr>
          <w:color w:val="231F20"/>
          <w:sz w:val="15"/>
        </w:rPr>
        <w:t>vozidla</w:t>
      </w:r>
      <w:r>
        <w:rPr>
          <w:color w:val="231F20"/>
          <w:spacing w:val="-7"/>
          <w:sz w:val="15"/>
        </w:rPr>
        <w:t xml:space="preserve"> </w:t>
      </w:r>
      <w:r>
        <w:rPr>
          <w:color w:val="231F20"/>
          <w:sz w:val="15"/>
        </w:rPr>
        <w:t>je</w:t>
      </w:r>
      <w:r>
        <w:rPr>
          <w:color w:val="231F20"/>
          <w:spacing w:val="-7"/>
          <w:sz w:val="15"/>
        </w:rPr>
        <w:t xml:space="preserve"> </w:t>
      </w:r>
      <w:r>
        <w:rPr>
          <w:color w:val="231F20"/>
          <w:sz w:val="15"/>
        </w:rPr>
        <w:t>provedena</w:t>
      </w:r>
      <w:r>
        <w:rPr>
          <w:color w:val="231F20"/>
          <w:spacing w:val="-8"/>
          <w:sz w:val="15"/>
        </w:rPr>
        <w:t xml:space="preserve"> </w:t>
      </w:r>
      <w:r>
        <w:rPr>
          <w:color w:val="231F20"/>
          <w:sz w:val="15"/>
        </w:rPr>
        <w:t>ve</w:t>
      </w:r>
      <w:r>
        <w:rPr>
          <w:color w:val="231F20"/>
          <w:spacing w:val="-7"/>
          <w:sz w:val="15"/>
        </w:rPr>
        <w:t xml:space="preserve"> </w:t>
      </w:r>
      <w:r>
        <w:rPr>
          <w:color w:val="231F20"/>
          <w:sz w:val="15"/>
        </w:rPr>
        <w:t>Smluvním</w:t>
      </w:r>
      <w:r>
        <w:rPr>
          <w:color w:val="231F20"/>
          <w:spacing w:val="-7"/>
          <w:sz w:val="15"/>
        </w:rPr>
        <w:t xml:space="preserve"> </w:t>
      </w:r>
      <w:r>
        <w:rPr>
          <w:color w:val="231F20"/>
          <w:spacing w:val="2"/>
          <w:sz w:val="15"/>
        </w:rPr>
        <w:t>servisu</w:t>
      </w:r>
      <w:r>
        <w:rPr>
          <w:color w:val="231F20"/>
          <w:spacing w:val="-7"/>
          <w:sz w:val="15"/>
        </w:rPr>
        <w:t xml:space="preserve"> </w:t>
      </w:r>
      <w:r>
        <w:rPr>
          <w:color w:val="231F20"/>
          <w:sz w:val="15"/>
        </w:rPr>
        <w:t>Pojišťovny</w:t>
      </w:r>
      <w:r>
        <w:rPr>
          <w:color w:val="231F20"/>
          <w:spacing w:val="-8"/>
          <w:sz w:val="15"/>
        </w:rPr>
        <w:t xml:space="preserve"> </w:t>
      </w:r>
      <w:r>
        <w:rPr>
          <w:color w:val="231F20"/>
          <w:sz w:val="15"/>
        </w:rPr>
        <w:t>a/nebo</w:t>
      </w:r>
      <w:r>
        <w:rPr>
          <w:color w:val="231F20"/>
          <w:spacing w:val="-7"/>
          <w:sz w:val="15"/>
        </w:rPr>
        <w:t xml:space="preserve"> </w:t>
      </w:r>
      <w:r>
        <w:rPr>
          <w:color w:val="231F20"/>
          <w:sz w:val="15"/>
        </w:rPr>
        <w:t xml:space="preserve">pro- nájem </w:t>
      </w:r>
      <w:r>
        <w:rPr>
          <w:color w:val="231F20"/>
          <w:spacing w:val="2"/>
          <w:sz w:val="15"/>
        </w:rPr>
        <w:t xml:space="preserve">náhradního </w:t>
      </w:r>
      <w:r>
        <w:rPr>
          <w:color w:val="231F20"/>
          <w:sz w:val="15"/>
        </w:rPr>
        <w:t xml:space="preserve">vozidla je realizován Smluvní půjčovnou Pojišťovny nebo Smluvním </w:t>
      </w:r>
      <w:r>
        <w:rPr>
          <w:color w:val="231F20"/>
          <w:spacing w:val="2"/>
          <w:sz w:val="15"/>
        </w:rPr>
        <w:t>servisem</w:t>
      </w:r>
      <w:r>
        <w:rPr>
          <w:color w:val="231F20"/>
          <w:spacing w:val="-5"/>
          <w:sz w:val="15"/>
        </w:rPr>
        <w:t xml:space="preserve"> </w:t>
      </w:r>
      <w:r>
        <w:rPr>
          <w:color w:val="231F20"/>
          <w:sz w:val="15"/>
        </w:rPr>
        <w:t>Pojišťovny,</w:t>
      </w:r>
    </w:p>
    <w:p w14:paraId="5DCD97E1" w14:textId="77777777" w:rsidR="00F65BCA" w:rsidRDefault="00216117">
      <w:pPr>
        <w:pStyle w:val="Odstavecseseznamem"/>
        <w:numPr>
          <w:ilvl w:val="0"/>
          <w:numId w:val="114"/>
        </w:numPr>
        <w:tabs>
          <w:tab w:val="left" w:pos="640"/>
        </w:tabs>
        <w:spacing w:line="172" w:lineRule="exact"/>
        <w:ind w:left="639"/>
        <w:jc w:val="both"/>
        <w:rPr>
          <w:sz w:val="15"/>
        </w:rPr>
      </w:pPr>
      <w:r>
        <w:rPr>
          <w:color w:val="231F20"/>
          <w:sz w:val="15"/>
        </w:rPr>
        <w:t xml:space="preserve">nárok na pojistné plnění je uplatněn </w:t>
      </w:r>
      <w:r>
        <w:rPr>
          <w:color w:val="231F20"/>
          <w:spacing w:val="2"/>
          <w:sz w:val="15"/>
        </w:rPr>
        <w:t xml:space="preserve">výhradně </w:t>
      </w:r>
      <w:r>
        <w:rPr>
          <w:color w:val="231F20"/>
          <w:sz w:val="15"/>
        </w:rPr>
        <w:t>u</w:t>
      </w:r>
      <w:r>
        <w:rPr>
          <w:color w:val="231F20"/>
          <w:spacing w:val="-25"/>
          <w:sz w:val="15"/>
        </w:rPr>
        <w:t xml:space="preserve"> </w:t>
      </w:r>
      <w:r>
        <w:rPr>
          <w:color w:val="231F20"/>
          <w:sz w:val="15"/>
        </w:rPr>
        <w:t>Pojišťovny.</w:t>
      </w:r>
    </w:p>
    <w:p w14:paraId="33486828" w14:textId="77777777" w:rsidR="00F65BCA" w:rsidRDefault="00216117">
      <w:pPr>
        <w:pStyle w:val="Zkladntext"/>
        <w:spacing w:before="26" w:line="278" w:lineRule="auto"/>
        <w:ind w:left="469" w:right="424" w:hanging="283"/>
        <w:jc w:val="both"/>
      </w:pPr>
      <w:r>
        <w:rPr>
          <w:color w:val="231F20"/>
          <w:position w:val="1"/>
          <w:sz w:val="14"/>
          <w:shd w:val="clear" w:color="auto" w:fill="D1D3D4"/>
        </w:rPr>
        <w:t xml:space="preserve">  2</w:t>
      </w:r>
      <w:r>
        <w:rPr>
          <w:color w:val="231F20"/>
          <w:position w:val="1"/>
          <w:sz w:val="14"/>
        </w:rPr>
        <w:t xml:space="preserve"> </w:t>
      </w:r>
      <w:r>
        <w:rPr>
          <w:color w:val="231F20"/>
        </w:rPr>
        <w:t>Pojištění se vztahuje na pojistné události, které nastanou na území České republiky.</w:t>
      </w:r>
    </w:p>
    <w:p w14:paraId="7BD0A310" w14:textId="77777777" w:rsidR="00F65BCA" w:rsidRDefault="00216117">
      <w:pPr>
        <w:spacing w:before="133" w:line="320" w:lineRule="atLeast"/>
        <w:ind w:left="186" w:right="3566" w:firstLine="1"/>
        <w:jc w:val="both"/>
        <w:rPr>
          <w:sz w:val="15"/>
        </w:rPr>
      </w:pPr>
      <w:r>
        <w:rPr>
          <w:color w:val="FFFFFF"/>
          <w:position w:val="3"/>
          <w:sz w:val="16"/>
          <w:shd w:val="clear" w:color="auto" w:fill="808285"/>
        </w:rPr>
        <w:t xml:space="preserve">  </w:t>
      </w:r>
      <w:r>
        <w:rPr>
          <w:color w:val="FFFFFF"/>
          <w:w w:val="105"/>
          <w:position w:val="3"/>
          <w:sz w:val="16"/>
          <w:shd w:val="clear" w:color="auto" w:fill="808285"/>
        </w:rPr>
        <w:t>Článek 19</w:t>
      </w:r>
      <w:r>
        <w:rPr>
          <w:color w:val="FFFFFF"/>
          <w:w w:val="105"/>
          <w:position w:val="3"/>
          <w:sz w:val="16"/>
        </w:rPr>
        <w:t xml:space="preserve"> </w:t>
      </w:r>
      <w:r>
        <w:rPr>
          <w:color w:val="231F20"/>
          <w:w w:val="105"/>
          <w:sz w:val="15"/>
        </w:rPr>
        <w:t>Pojistné plnění Vyřízení škody na vozidle</w:t>
      </w:r>
    </w:p>
    <w:p w14:paraId="0E0CA988" w14:textId="77777777" w:rsidR="00F65BCA" w:rsidRDefault="00216117">
      <w:pPr>
        <w:pStyle w:val="Zkladntext"/>
        <w:spacing w:before="27" w:line="278" w:lineRule="auto"/>
        <w:ind w:left="469" w:right="422" w:hanging="283"/>
        <w:jc w:val="both"/>
      </w:pPr>
      <w:r>
        <w:rPr>
          <w:color w:val="231F20"/>
          <w:position w:val="1"/>
          <w:sz w:val="14"/>
          <w:shd w:val="clear" w:color="auto" w:fill="D1D3D4"/>
        </w:rPr>
        <w:t xml:space="preserve">  1</w:t>
      </w:r>
      <w:r>
        <w:rPr>
          <w:color w:val="231F20"/>
          <w:position w:val="1"/>
          <w:sz w:val="14"/>
        </w:rPr>
        <w:t xml:space="preserve"> </w:t>
      </w:r>
      <w:r>
        <w:rPr>
          <w:color w:val="231F20"/>
        </w:rPr>
        <w:t>V případě pojistné události Pojišťovna poskytne oprávněné osobě vymezené v čl. 22 těchto VPP (dále jen „oprávněná osoba“) pojistné plnění odpovída- jící náhradě skutečné škody na vozidle.</w:t>
      </w:r>
    </w:p>
    <w:p w14:paraId="16D07EAE" w14:textId="77777777" w:rsidR="00F65BCA" w:rsidRDefault="00216117">
      <w:pPr>
        <w:pStyle w:val="Zkladntext"/>
        <w:spacing w:line="172" w:lineRule="exact"/>
        <w:ind w:left="186"/>
        <w:jc w:val="both"/>
      </w:pPr>
      <w:r>
        <w:rPr>
          <w:color w:val="231F20"/>
          <w:w w:val="105"/>
        </w:rPr>
        <w:t>Pronájem náhradního vozidla</w:t>
      </w:r>
    </w:p>
    <w:p w14:paraId="57989C7F" w14:textId="77777777" w:rsidR="00F65BCA" w:rsidRDefault="00216117">
      <w:pPr>
        <w:pStyle w:val="Zkladntext"/>
        <w:spacing w:before="27" w:line="278" w:lineRule="auto"/>
        <w:ind w:left="469" w:right="422"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 xml:space="preserve">2  </w:t>
      </w:r>
      <w:r>
        <w:rPr>
          <w:color w:val="231F20"/>
          <w:position w:val="1"/>
          <w:sz w:val="14"/>
        </w:rPr>
        <w:t xml:space="preserve">  </w:t>
      </w:r>
      <w:r>
        <w:rPr>
          <w:color w:val="231F20"/>
        </w:rPr>
        <w:t xml:space="preserve">V případě pojistné události má oprávněná osoba nárok na úhradu nutně    a účelně vynaložených nákladů za pronájem </w:t>
      </w:r>
      <w:r>
        <w:rPr>
          <w:color w:val="231F20"/>
          <w:spacing w:val="2"/>
        </w:rPr>
        <w:t xml:space="preserve">náhradního </w:t>
      </w:r>
      <w:r>
        <w:rPr>
          <w:color w:val="231F20"/>
        </w:rPr>
        <w:t xml:space="preserve">vozidla u Smluvní půjčovny Pojišťovny nebo </w:t>
      </w:r>
      <w:r>
        <w:rPr>
          <w:color w:val="231F20"/>
          <w:spacing w:val="2"/>
        </w:rPr>
        <w:t xml:space="preserve">Smluvního servisu </w:t>
      </w:r>
      <w:r>
        <w:rPr>
          <w:color w:val="231F20"/>
        </w:rPr>
        <w:t xml:space="preserve">Pojišťovny. Pokud v případě poškození </w:t>
      </w:r>
      <w:r>
        <w:rPr>
          <w:color w:val="231F20"/>
          <w:spacing w:val="2"/>
        </w:rPr>
        <w:t xml:space="preserve">nákladního </w:t>
      </w:r>
      <w:r>
        <w:rPr>
          <w:color w:val="231F20"/>
        </w:rPr>
        <w:t>automobilu do 3 500 kg není k dispozici adekvátní náhradní</w:t>
      </w:r>
      <w:r>
        <w:rPr>
          <w:color w:val="231F20"/>
          <w:spacing w:val="-18"/>
        </w:rPr>
        <w:t xml:space="preserve"> </w:t>
      </w:r>
      <w:r>
        <w:rPr>
          <w:color w:val="231F20"/>
        </w:rPr>
        <w:t>vozidlo</w:t>
      </w:r>
      <w:r>
        <w:rPr>
          <w:color w:val="231F20"/>
          <w:spacing w:val="-17"/>
        </w:rPr>
        <w:t xml:space="preserve"> </w:t>
      </w:r>
      <w:r>
        <w:rPr>
          <w:color w:val="231F20"/>
        </w:rPr>
        <w:t>u</w:t>
      </w:r>
      <w:r>
        <w:rPr>
          <w:color w:val="231F20"/>
          <w:spacing w:val="-18"/>
        </w:rPr>
        <w:t xml:space="preserve"> </w:t>
      </w:r>
      <w:r>
        <w:rPr>
          <w:color w:val="231F20"/>
        </w:rPr>
        <w:t>Smluvní</w:t>
      </w:r>
      <w:r>
        <w:rPr>
          <w:color w:val="231F20"/>
          <w:spacing w:val="-17"/>
        </w:rPr>
        <w:t xml:space="preserve"> </w:t>
      </w:r>
      <w:r>
        <w:rPr>
          <w:color w:val="231F20"/>
        </w:rPr>
        <w:t>půjčovny</w:t>
      </w:r>
      <w:r>
        <w:rPr>
          <w:color w:val="231F20"/>
          <w:spacing w:val="-18"/>
        </w:rPr>
        <w:t xml:space="preserve"> </w:t>
      </w:r>
      <w:r>
        <w:rPr>
          <w:color w:val="231F20"/>
        </w:rPr>
        <w:t>Pojišťovny</w:t>
      </w:r>
      <w:r>
        <w:rPr>
          <w:color w:val="231F20"/>
          <w:spacing w:val="-17"/>
        </w:rPr>
        <w:t xml:space="preserve"> </w:t>
      </w:r>
      <w:r>
        <w:rPr>
          <w:color w:val="231F20"/>
        </w:rPr>
        <w:t>nebo</w:t>
      </w:r>
      <w:r>
        <w:rPr>
          <w:color w:val="231F20"/>
          <w:spacing w:val="-18"/>
        </w:rPr>
        <w:t xml:space="preserve"> </w:t>
      </w:r>
      <w:r>
        <w:rPr>
          <w:color w:val="231F20"/>
          <w:spacing w:val="2"/>
        </w:rPr>
        <w:t>Smluvního</w:t>
      </w:r>
      <w:r>
        <w:rPr>
          <w:color w:val="231F20"/>
          <w:spacing w:val="-17"/>
        </w:rPr>
        <w:t xml:space="preserve"> </w:t>
      </w:r>
      <w:r>
        <w:rPr>
          <w:color w:val="231F20"/>
          <w:spacing w:val="2"/>
        </w:rPr>
        <w:t>servisu</w:t>
      </w:r>
      <w:r>
        <w:rPr>
          <w:color w:val="231F20"/>
          <w:spacing w:val="-18"/>
        </w:rPr>
        <w:t xml:space="preserve"> </w:t>
      </w:r>
      <w:r>
        <w:rPr>
          <w:color w:val="231F20"/>
        </w:rPr>
        <w:t>Po- jišťovny,</w:t>
      </w:r>
      <w:r>
        <w:rPr>
          <w:color w:val="231F20"/>
          <w:spacing w:val="-16"/>
        </w:rPr>
        <w:t xml:space="preserve"> </w:t>
      </w:r>
      <w:r>
        <w:rPr>
          <w:color w:val="231F20"/>
        </w:rPr>
        <w:t>má</w:t>
      </w:r>
      <w:r>
        <w:rPr>
          <w:color w:val="231F20"/>
          <w:spacing w:val="-15"/>
        </w:rPr>
        <w:t xml:space="preserve"> </w:t>
      </w:r>
      <w:r>
        <w:rPr>
          <w:color w:val="231F20"/>
        </w:rPr>
        <w:t>oprávněná</w:t>
      </w:r>
      <w:r>
        <w:rPr>
          <w:color w:val="231F20"/>
          <w:spacing w:val="-15"/>
        </w:rPr>
        <w:t xml:space="preserve"> </w:t>
      </w:r>
      <w:r>
        <w:rPr>
          <w:color w:val="231F20"/>
        </w:rPr>
        <w:t>osoba</w:t>
      </w:r>
      <w:r>
        <w:rPr>
          <w:color w:val="231F20"/>
          <w:spacing w:val="-15"/>
        </w:rPr>
        <w:t xml:space="preserve"> </w:t>
      </w:r>
      <w:r>
        <w:rPr>
          <w:color w:val="231F20"/>
        </w:rPr>
        <w:t>nárok</w:t>
      </w:r>
      <w:r>
        <w:rPr>
          <w:color w:val="231F20"/>
          <w:spacing w:val="-15"/>
        </w:rPr>
        <w:t xml:space="preserve"> </w:t>
      </w:r>
      <w:r>
        <w:rPr>
          <w:color w:val="231F20"/>
        </w:rPr>
        <w:t>na</w:t>
      </w:r>
      <w:r>
        <w:rPr>
          <w:color w:val="231F20"/>
          <w:spacing w:val="-15"/>
        </w:rPr>
        <w:t xml:space="preserve"> </w:t>
      </w:r>
      <w:r>
        <w:rPr>
          <w:color w:val="231F20"/>
        </w:rPr>
        <w:t>úhradu</w:t>
      </w:r>
      <w:r>
        <w:rPr>
          <w:color w:val="231F20"/>
          <w:spacing w:val="-16"/>
        </w:rPr>
        <w:t xml:space="preserve"> </w:t>
      </w:r>
      <w:r>
        <w:rPr>
          <w:color w:val="231F20"/>
        </w:rPr>
        <w:t>nutně</w:t>
      </w:r>
      <w:r>
        <w:rPr>
          <w:color w:val="231F20"/>
          <w:spacing w:val="-15"/>
        </w:rPr>
        <w:t xml:space="preserve"> </w:t>
      </w:r>
      <w:r>
        <w:rPr>
          <w:color w:val="231F20"/>
        </w:rPr>
        <w:t>a</w:t>
      </w:r>
      <w:r>
        <w:rPr>
          <w:color w:val="231F20"/>
          <w:spacing w:val="-15"/>
        </w:rPr>
        <w:t xml:space="preserve"> </w:t>
      </w:r>
      <w:r>
        <w:rPr>
          <w:color w:val="231F20"/>
        </w:rPr>
        <w:t>účelně</w:t>
      </w:r>
      <w:r>
        <w:rPr>
          <w:color w:val="231F20"/>
          <w:spacing w:val="-15"/>
        </w:rPr>
        <w:t xml:space="preserve"> </w:t>
      </w:r>
      <w:r>
        <w:rPr>
          <w:color w:val="231F20"/>
        </w:rPr>
        <w:t xml:space="preserve">vynaložených nákladů do </w:t>
      </w:r>
      <w:r>
        <w:rPr>
          <w:color w:val="231F20"/>
          <w:spacing w:val="2"/>
        </w:rPr>
        <w:t xml:space="preserve">výše </w:t>
      </w:r>
      <w:r>
        <w:rPr>
          <w:color w:val="231F20"/>
        </w:rPr>
        <w:t xml:space="preserve">Pojišťovnou akceptovaných limitních </w:t>
      </w:r>
      <w:r>
        <w:rPr>
          <w:color w:val="231F20"/>
          <w:spacing w:val="2"/>
        </w:rPr>
        <w:t xml:space="preserve">sazeb </w:t>
      </w:r>
      <w:r>
        <w:rPr>
          <w:color w:val="231F20"/>
        </w:rPr>
        <w:t xml:space="preserve">za pronájem </w:t>
      </w:r>
      <w:r>
        <w:rPr>
          <w:color w:val="231F20"/>
          <w:spacing w:val="2"/>
        </w:rPr>
        <w:t>náhradního</w:t>
      </w:r>
      <w:r>
        <w:rPr>
          <w:color w:val="231F20"/>
          <w:spacing w:val="-11"/>
        </w:rPr>
        <w:t xml:space="preserve"> </w:t>
      </w:r>
      <w:r>
        <w:rPr>
          <w:color w:val="231F20"/>
        </w:rPr>
        <w:t>vozidla.</w:t>
      </w:r>
      <w:r>
        <w:rPr>
          <w:color w:val="231F20"/>
          <w:spacing w:val="-11"/>
        </w:rPr>
        <w:t xml:space="preserve"> </w:t>
      </w:r>
      <w:r>
        <w:rPr>
          <w:color w:val="231F20"/>
        </w:rPr>
        <w:t>Limitní</w:t>
      </w:r>
      <w:r>
        <w:rPr>
          <w:color w:val="231F20"/>
          <w:spacing w:val="-11"/>
        </w:rPr>
        <w:t xml:space="preserve"> </w:t>
      </w:r>
      <w:r>
        <w:rPr>
          <w:color w:val="231F20"/>
        </w:rPr>
        <w:t>sazby</w:t>
      </w:r>
      <w:r>
        <w:rPr>
          <w:color w:val="231F20"/>
          <w:spacing w:val="-10"/>
        </w:rPr>
        <w:t xml:space="preserve"> </w:t>
      </w:r>
      <w:r>
        <w:rPr>
          <w:color w:val="231F20"/>
        </w:rPr>
        <w:t>jsou</w:t>
      </w:r>
      <w:r>
        <w:rPr>
          <w:color w:val="231F20"/>
          <w:spacing w:val="-11"/>
        </w:rPr>
        <w:t xml:space="preserve"> </w:t>
      </w:r>
      <w:r>
        <w:rPr>
          <w:color w:val="231F20"/>
        </w:rPr>
        <w:t>dostupné</w:t>
      </w:r>
      <w:r>
        <w:rPr>
          <w:color w:val="231F20"/>
          <w:spacing w:val="-11"/>
        </w:rPr>
        <w:t xml:space="preserve"> </w:t>
      </w:r>
      <w:r>
        <w:rPr>
          <w:color w:val="231F20"/>
        </w:rPr>
        <w:t>na</w:t>
      </w:r>
      <w:r>
        <w:rPr>
          <w:color w:val="231F20"/>
          <w:spacing w:val="-10"/>
        </w:rPr>
        <w:t xml:space="preserve"> </w:t>
      </w:r>
      <w:r>
        <w:rPr>
          <w:color w:val="231F20"/>
        </w:rPr>
        <w:t>internetových</w:t>
      </w:r>
      <w:r>
        <w:rPr>
          <w:color w:val="231F20"/>
          <w:spacing w:val="-11"/>
        </w:rPr>
        <w:t xml:space="preserve"> </w:t>
      </w:r>
      <w:r>
        <w:rPr>
          <w:color w:val="231F20"/>
        </w:rPr>
        <w:t>stránkách Pojišťovny</w:t>
      </w:r>
      <w:r>
        <w:rPr>
          <w:color w:val="231F20"/>
          <w:spacing w:val="-2"/>
        </w:rPr>
        <w:t xml:space="preserve"> </w:t>
      </w:r>
      <w:r>
        <w:rPr>
          <w:color w:val="231F20"/>
        </w:rPr>
        <w:t>(www.generaliceska.cz).</w:t>
      </w:r>
    </w:p>
    <w:p w14:paraId="14B89253"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38"/>
          <w:position w:val="1"/>
          <w:sz w:val="14"/>
        </w:rPr>
        <w:t xml:space="preserve"> </w:t>
      </w:r>
      <w:r>
        <w:rPr>
          <w:color w:val="231F20"/>
        </w:rPr>
        <w:t>Pronajmout</w:t>
      </w:r>
      <w:r>
        <w:rPr>
          <w:color w:val="231F20"/>
          <w:spacing w:val="-8"/>
        </w:rPr>
        <w:t xml:space="preserve"> </w:t>
      </w:r>
      <w:r>
        <w:rPr>
          <w:color w:val="231F20"/>
        </w:rPr>
        <w:t>lze</w:t>
      </w:r>
      <w:r>
        <w:rPr>
          <w:color w:val="231F20"/>
          <w:spacing w:val="-8"/>
        </w:rPr>
        <w:t xml:space="preserve"> </w:t>
      </w:r>
      <w:r>
        <w:rPr>
          <w:color w:val="231F20"/>
        </w:rPr>
        <w:t>pouze</w:t>
      </w:r>
      <w:r>
        <w:rPr>
          <w:color w:val="231F20"/>
          <w:spacing w:val="-8"/>
        </w:rPr>
        <w:t xml:space="preserve"> </w:t>
      </w:r>
      <w:r>
        <w:rPr>
          <w:color w:val="231F20"/>
        </w:rPr>
        <w:t>náhradní</w:t>
      </w:r>
      <w:r>
        <w:rPr>
          <w:color w:val="231F20"/>
          <w:spacing w:val="-8"/>
        </w:rPr>
        <w:t xml:space="preserve"> </w:t>
      </w:r>
      <w:r>
        <w:rPr>
          <w:color w:val="231F20"/>
        </w:rPr>
        <w:t>vozidlo</w:t>
      </w:r>
      <w:r>
        <w:rPr>
          <w:color w:val="231F20"/>
          <w:spacing w:val="-8"/>
        </w:rPr>
        <w:t xml:space="preserve"> </w:t>
      </w:r>
      <w:r>
        <w:rPr>
          <w:color w:val="231F20"/>
        </w:rPr>
        <w:t>stejné</w:t>
      </w:r>
      <w:r>
        <w:rPr>
          <w:color w:val="231F20"/>
          <w:spacing w:val="-8"/>
        </w:rPr>
        <w:t xml:space="preserve"> </w:t>
      </w:r>
      <w:r>
        <w:rPr>
          <w:color w:val="231F20"/>
        </w:rPr>
        <w:t>nebo</w:t>
      </w:r>
      <w:r>
        <w:rPr>
          <w:color w:val="231F20"/>
          <w:spacing w:val="-8"/>
        </w:rPr>
        <w:t xml:space="preserve"> </w:t>
      </w:r>
      <w:r>
        <w:rPr>
          <w:color w:val="231F20"/>
        </w:rPr>
        <w:t>nižší</w:t>
      </w:r>
      <w:r>
        <w:rPr>
          <w:color w:val="231F20"/>
          <w:spacing w:val="-8"/>
        </w:rPr>
        <w:t xml:space="preserve"> </w:t>
      </w:r>
      <w:r>
        <w:rPr>
          <w:color w:val="231F20"/>
        </w:rPr>
        <w:t>třídy</w:t>
      </w:r>
      <w:r>
        <w:rPr>
          <w:color w:val="231F20"/>
          <w:spacing w:val="-8"/>
        </w:rPr>
        <w:t xml:space="preserve"> </w:t>
      </w:r>
      <w:r>
        <w:rPr>
          <w:color w:val="231F20"/>
        </w:rPr>
        <w:t>než</w:t>
      </w:r>
      <w:r>
        <w:rPr>
          <w:color w:val="231F20"/>
          <w:spacing w:val="-8"/>
        </w:rPr>
        <w:t xml:space="preserve"> </w:t>
      </w:r>
      <w:r>
        <w:rPr>
          <w:color w:val="231F20"/>
        </w:rPr>
        <w:t>je</w:t>
      </w:r>
      <w:r>
        <w:rPr>
          <w:color w:val="231F20"/>
          <w:spacing w:val="-8"/>
        </w:rPr>
        <w:t xml:space="preserve"> </w:t>
      </w:r>
      <w:r>
        <w:rPr>
          <w:color w:val="231F20"/>
        </w:rPr>
        <w:t>vozidlo, a</w:t>
      </w:r>
      <w:r>
        <w:rPr>
          <w:color w:val="231F20"/>
          <w:spacing w:val="-3"/>
        </w:rPr>
        <w:t xml:space="preserve"> </w:t>
      </w:r>
      <w:r>
        <w:rPr>
          <w:color w:val="231F20"/>
        </w:rPr>
        <w:t>to</w:t>
      </w:r>
      <w:r>
        <w:rPr>
          <w:color w:val="231F20"/>
          <w:spacing w:val="-3"/>
        </w:rPr>
        <w:t xml:space="preserve"> </w:t>
      </w:r>
      <w:r>
        <w:rPr>
          <w:color w:val="231F20"/>
        </w:rPr>
        <w:t>do</w:t>
      </w:r>
      <w:r>
        <w:rPr>
          <w:color w:val="231F20"/>
          <w:spacing w:val="-3"/>
        </w:rPr>
        <w:t xml:space="preserve"> </w:t>
      </w:r>
      <w:r>
        <w:rPr>
          <w:color w:val="231F20"/>
        </w:rPr>
        <w:t>pracovního</w:t>
      </w:r>
      <w:r>
        <w:rPr>
          <w:color w:val="231F20"/>
          <w:spacing w:val="-3"/>
        </w:rPr>
        <w:t xml:space="preserve"> </w:t>
      </w:r>
      <w:r>
        <w:rPr>
          <w:color w:val="231F20"/>
        </w:rPr>
        <w:t>dne</w:t>
      </w:r>
      <w:r>
        <w:rPr>
          <w:color w:val="231F20"/>
          <w:spacing w:val="-3"/>
        </w:rPr>
        <w:t xml:space="preserve"> </w:t>
      </w:r>
      <w:r>
        <w:rPr>
          <w:color w:val="231F20"/>
          <w:spacing w:val="2"/>
        </w:rPr>
        <w:t>následujícího</w:t>
      </w:r>
      <w:r>
        <w:rPr>
          <w:color w:val="231F20"/>
          <w:spacing w:val="-3"/>
        </w:rPr>
        <w:t xml:space="preserve"> </w:t>
      </w:r>
      <w:r>
        <w:rPr>
          <w:color w:val="231F20"/>
        </w:rPr>
        <w:t>po</w:t>
      </w:r>
      <w:r>
        <w:rPr>
          <w:color w:val="231F20"/>
          <w:spacing w:val="-3"/>
        </w:rPr>
        <w:t xml:space="preserve"> </w:t>
      </w:r>
      <w:r>
        <w:rPr>
          <w:color w:val="231F20"/>
        </w:rPr>
        <w:t>dni,</w:t>
      </w:r>
      <w:r>
        <w:rPr>
          <w:color w:val="231F20"/>
          <w:spacing w:val="-3"/>
        </w:rPr>
        <w:t xml:space="preserve"> </w:t>
      </w:r>
      <w:r>
        <w:rPr>
          <w:color w:val="231F20"/>
        </w:rPr>
        <w:t>kdy</w:t>
      </w:r>
      <w:r>
        <w:rPr>
          <w:color w:val="231F20"/>
          <w:spacing w:val="-3"/>
        </w:rPr>
        <w:t xml:space="preserve"> </w:t>
      </w:r>
      <w:r>
        <w:rPr>
          <w:color w:val="231F20"/>
        </w:rPr>
        <w:t>Pojišťovna</w:t>
      </w:r>
      <w:r>
        <w:rPr>
          <w:color w:val="231F20"/>
          <w:spacing w:val="-3"/>
        </w:rPr>
        <w:t xml:space="preserve"> </w:t>
      </w:r>
      <w:r>
        <w:rPr>
          <w:color w:val="231F20"/>
        </w:rPr>
        <w:t>oznámí</w:t>
      </w:r>
      <w:r>
        <w:rPr>
          <w:color w:val="231F20"/>
          <w:spacing w:val="-3"/>
        </w:rPr>
        <w:t xml:space="preserve"> </w:t>
      </w:r>
      <w:r>
        <w:rPr>
          <w:color w:val="231F20"/>
        </w:rPr>
        <w:t xml:space="preserve">opráv- něné osobě, že se jedná o totální škodu, nejdéle však na dobu </w:t>
      </w:r>
      <w:r>
        <w:rPr>
          <w:color w:val="231F20"/>
          <w:spacing w:val="-4"/>
        </w:rPr>
        <w:t xml:space="preserve">15 </w:t>
      </w:r>
      <w:r>
        <w:rPr>
          <w:color w:val="231F20"/>
        </w:rPr>
        <w:t>dnů od dopravní nehody a v ostatních případech pouze po dobu opravy vozidla, nejdéle však na dobu 30 dnů od dopravní</w:t>
      </w:r>
      <w:r>
        <w:rPr>
          <w:color w:val="231F20"/>
          <w:spacing w:val="-6"/>
        </w:rPr>
        <w:t xml:space="preserve"> </w:t>
      </w:r>
      <w:r>
        <w:rPr>
          <w:color w:val="231F20"/>
        </w:rPr>
        <w:t>nehody.</w:t>
      </w:r>
    </w:p>
    <w:p w14:paraId="07D239FF" w14:textId="77777777" w:rsidR="00F65BCA" w:rsidRDefault="00216117">
      <w:pPr>
        <w:pStyle w:val="Zkladntext"/>
        <w:spacing w:line="172" w:lineRule="exact"/>
        <w:ind w:left="186"/>
        <w:jc w:val="both"/>
      </w:pPr>
      <w:r>
        <w:rPr>
          <w:color w:val="231F20"/>
          <w:w w:val="105"/>
        </w:rPr>
        <w:t>Odmítnutí pojistného plnění</w:t>
      </w:r>
    </w:p>
    <w:p w14:paraId="270795D3" w14:textId="77777777" w:rsidR="00F65BCA" w:rsidRDefault="00216117">
      <w:pPr>
        <w:pStyle w:val="Zkladntext"/>
        <w:spacing w:before="25"/>
        <w:ind w:left="187"/>
        <w:jc w:val="both"/>
      </w:pPr>
      <w:r>
        <w:rPr>
          <w:color w:val="231F20"/>
          <w:position w:val="1"/>
          <w:sz w:val="14"/>
          <w:shd w:val="clear" w:color="auto" w:fill="D1D3D4"/>
        </w:rPr>
        <w:t xml:space="preserve">  4</w:t>
      </w:r>
      <w:r>
        <w:rPr>
          <w:color w:val="231F20"/>
          <w:position w:val="1"/>
          <w:sz w:val="14"/>
        </w:rPr>
        <w:t xml:space="preserve"> </w:t>
      </w:r>
      <w:r>
        <w:rPr>
          <w:color w:val="231F20"/>
        </w:rPr>
        <w:t>Pojišťovna může pojistné plnění odmítnout, jestliže:</w:t>
      </w:r>
    </w:p>
    <w:p w14:paraId="690B7D3E" w14:textId="77777777" w:rsidR="00F65BCA" w:rsidRDefault="00216117">
      <w:pPr>
        <w:pStyle w:val="Odstavecseseznamem"/>
        <w:numPr>
          <w:ilvl w:val="0"/>
          <w:numId w:val="113"/>
        </w:numPr>
        <w:tabs>
          <w:tab w:val="left" w:pos="640"/>
        </w:tabs>
        <w:spacing w:before="28" w:line="278" w:lineRule="auto"/>
        <w:ind w:right="423"/>
        <w:jc w:val="both"/>
        <w:rPr>
          <w:sz w:val="15"/>
        </w:rPr>
      </w:pPr>
      <w:r>
        <w:rPr>
          <w:color w:val="231F20"/>
          <w:sz w:val="15"/>
        </w:rPr>
        <w:t xml:space="preserve">příčinou pojistné události byla skutečnost, o které se dozvěděla </w:t>
      </w:r>
      <w:r>
        <w:rPr>
          <w:color w:val="231F20"/>
          <w:spacing w:val="2"/>
          <w:sz w:val="15"/>
        </w:rPr>
        <w:t xml:space="preserve">až </w:t>
      </w:r>
      <w:r>
        <w:rPr>
          <w:color w:val="231F20"/>
          <w:sz w:val="15"/>
        </w:rPr>
        <w:t>po vzniku pojistné události, a kterou nemohla zjistit při sjednávání pojištění nebo</w:t>
      </w:r>
      <w:r>
        <w:rPr>
          <w:color w:val="231F20"/>
          <w:spacing w:val="-9"/>
          <w:sz w:val="15"/>
        </w:rPr>
        <w:t xml:space="preserve"> </w:t>
      </w:r>
      <w:r>
        <w:rPr>
          <w:color w:val="231F20"/>
          <w:sz w:val="15"/>
        </w:rPr>
        <w:t>jeho</w:t>
      </w:r>
      <w:r>
        <w:rPr>
          <w:color w:val="231F20"/>
          <w:spacing w:val="-9"/>
          <w:sz w:val="15"/>
        </w:rPr>
        <w:t xml:space="preserve"> </w:t>
      </w:r>
      <w:r>
        <w:rPr>
          <w:color w:val="231F20"/>
          <w:sz w:val="15"/>
        </w:rPr>
        <w:t>změně</w:t>
      </w:r>
      <w:r>
        <w:rPr>
          <w:color w:val="231F20"/>
          <w:spacing w:val="-8"/>
          <w:sz w:val="15"/>
        </w:rPr>
        <w:t xml:space="preserve"> </w:t>
      </w:r>
      <w:r>
        <w:rPr>
          <w:color w:val="231F20"/>
          <w:sz w:val="15"/>
        </w:rPr>
        <w:t>v</w:t>
      </w:r>
      <w:r>
        <w:rPr>
          <w:color w:val="231F20"/>
          <w:spacing w:val="-9"/>
          <w:sz w:val="15"/>
        </w:rPr>
        <w:t xml:space="preserve"> </w:t>
      </w:r>
      <w:r>
        <w:rPr>
          <w:color w:val="231F20"/>
          <w:sz w:val="15"/>
        </w:rPr>
        <w:t>důsledku</w:t>
      </w:r>
      <w:r>
        <w:rPr>
          <w:color w:val="231F20"/>
          <w:spacing w:val="-8"/>
          <w:sz w:val="15"/>
        </w:rPr>
        <w:t xml:space="preserve"> </w:t>
      </w:r>
      <w:r>
        <w:rPr>
          <w:color w:val="231F20"/>
          <w:sz w:val="15"/>
        </w:rPr>
        <w:t>úmyslně</w:t>
      </w:r>
      <w:r>
        <w:rPr>
          <w:color w:val="231F20"/>
          <w:spacing w:val="-9"/>
          <w:sz w:val="15"/>
        </w:rPr>
        <w:t xml:space="preserve"> </w:t>
      </w:r>
      <w:r>
        <w:rPr>
          <w:color w:val="231F20"/>
          <w:sz w:val="15"/>
        </w:rPr>
        <w:t>nebo</w:t>
      </w:r>
      <w:r>
        <w:rPr>
          <w:color w:val="231F20"/>
          <w:spacing w:val="-9"/>
          <w:sz w:val="15"/>
        </w:rPr>
        <w:t xml:space="preserve"> </w:t>
      </w:r>
      <w:r>
        <w:rPr>
          <w:color w:val="231F20"/>
          <w:sz w:val="15"/>
        </w:rPr>
        <w:t>z</w:t>
      </w:r>
      <w:r>
        <w:rPr>
          <w:color w:val="231F20"/>
          <w:spacing w:val="-8"/>
          <w:sz w:val="15"/>
        </w:rPr>
        <w:t xml:space="preserve"> </w:t>
      </w:r>
      <w:r>
        <w:rPr>
          <w:color w:val="231F20"/>
          <w:sz w:val="15"/>
        </w:rPr>
        <w:t>nedbalosti</w:t>
      </w:r>
      <w:r>
        <w:rPr>
          <w:color w:val="231F20"/>
          <w:spacing w:val="-9"/>
          <w:sz w:val="15"/>
        </w:rPr>
        <w:t xml:space="preserve"> </w:t>
      </w:r>
      <w:r>
        <w:rPr>
          <w:color w:val="231F20"/>
          <w:sz w:val="15"/>
        </w:rPr>
        <w:t>nepravdivě</w:t>
      </w:r>
      <w:r>
        <w:rPr>
          <w:color w:val="231F20"/>
          <w:spacing w:val="-8"/>
          <w:sz w:val="15"/>
        </w:rPr>
        <w:t xml:space="preserve"> </w:t>
      </w:r>
      <w:r>
        <w:rPr>
          <w:color w:val="231F20"/>
          <w:spacing w:val="2"/>
          <w:sz w:val="15"/>
        </w:rPr>
        <w:t xml:space="preserve">nebo </w:t>
      </w:r>
      <w:r>
        <w:rPr>
          <w:color w:val="231F20"/>
          <w:sz w:val="15"/>
        </w:rPr>
        <w:t xml:space="preserve">neúplně zodpovězených dotazů, a jestliže by při znalosti teto skutečnos- ti v době uzavření pojistné </w:t>
      </w:r>
      <w:r>
        <w:rPr>
          <w:color w:val="231F20"/>
          <w:spacing w:val="2"/>
          <w:sz w:val="15"/>
        </w:rPr>
        <w:t xml:space="preserve">smlouvy </w:t>
      </w:r>
      <w:r>
        <w:rPr>
          <w:color w:val="231F20"/>
          <w:sz w:val="15"/>
        </w:rPr>
        <w:t>tuto pojistnou smlouvu neuzavřela, nebo ji uzavřela za jiných podmínek,</w:t>
      </w:r>
      <w:r>
        <w:rPr>
          <w:color w:val="231F20"/>
          <w:spacing w:val="-7"/>
          <w:sz w:val="15"/>
        </w:rPr>
        <w:t xml:space="preserve"> </w:t>
      </w:r>
      <w:r>
        <w:rPr>
          <w:color w:val="231F20"/>
          <w:spacing w:val="2"/>
          <w:sz w:val="15"/>
        </w:rPr>
        <w:t>nebo</w:t>
      </w:r>
    </w:p>
    <w:p w14:paraId="78D09933" w14:textId="77777777" w:rsidR="00F65BCA" w:rsidRDefault="00216117">
      <w:pPr>
        <w:pStyle w:val="Odstavecseseznamem"/>
        <w:numPr>
          <w:ilvl w:val="0"/>
          <w:numId w:val="113"/>
        </w:numPr>
        <w:tabs>
          <w:tab w:val="left" w:pos="640"/>
        </w:tabs>
        <w:spacing w:line="278" w:lineRule="auto"/>
        <w:ind w:right="424"/>
        <w:jc w:val="both"/>
        <w:rPr>
          <w:sz w:val="15"/>
        </w:rPr>
      </w:pPr>
      <w:r>
        <w:rPr>
          <w:color w:val="231F20"/>
          <w:sz w:val="15"/>
        </w:rPr>
        <w:t>pojistník, pojištěný nebo oprávněná osoba nebo osoba jednající z jejich podnětu</w:t>
      </w:r>
      <w:r>
        <w:rPr>
          <w:color w:val="231F20"/>
          <w:spacing w:val="-4"/>
          <w:sz w:val="15"/>
        </w:rPr>
        <w:t xml:space="preserve"> </w:t>
      </w:r>
      <w:r>
        <w:rPr>
          <w:color w:val="231F20"/>
          <w:sz w:val="15"/>
        </w:rPr>
        <w:t>nebo</w:t>
      </w:r>
      <w:r>
        <w:rPr>
          <w:color w:val="231F20"/>
          <w:spacing w:val="-4"/>
          <w:sz w:val="15"/>
        </w:rPr>
        <w:t xml:space="preserve"> </w:t>
      </w:r>
      <w:r>
        <w:rPr>
          <w:color w:val="231F20"/>
          <w:sz w:val="15"/>
        </w:rPr>
        <w:t>v</w:t>
      </w:r>
      <w:r>
        <w:rPr>
          <w:color w:val="231F20"/>
          <w:spacing w:val="-4"/>
          <w:sz w:val="15"/>
        </w:rPr>
        <w:t xml:space="preserve"> </w:t>
      </w:r>
      <w:r>
        <w:rPr>
          <w:color w:val="231F20"/>
          <w:sz w:val="15"/>
        </w:rPr>
        <w:t>jejich</w:t>
      </w:r>
      <w:r>
        <w:rPr>
          <w:color w:val="231F20"/>
          <w:spacing w:val="-4"/>
          <w:sz w:val="15"/>
        </w:rPr>
        <w:t xml:space="preserve"> </w:t>
      </w:r>
      <w:r>
        <w:rPr>
          <w:color w:val="231F20"/>
          <w:sz w:val="15"/>
        </w:rPr>
        <w:t>zastoupení</w:t>
      </w:r>
      <w:r>
        <w:rPr>
          <w:color w:val="231F20"/>
          <w:spacing w:val="-4"/>
          <w:sz w:val="15"/>
        </w:rPr>
        <w:t xml:space="preserve"> </w:t>
      </w:r>
      <w:r>
        <w:rPr>
          <w:color w:val="231F20"/>
          <w:sz w:val="15"/>
        </w:rPr>
        <w:t>uvede</w:t>
      </w:r>
      <w:r>
        <w:rPr>
          <w:color w:val="231F20"/>
          <w:spacing w:val="-4"/>
          <w:sz w:val="15"/>
        </w:rPr>
        <w:t xml:space="preserve"> </w:t>
      </w:r>
      <w:r>
        <w:rPr>
          <w:color w:val="231F20"/>
          <w:sz w:val="15"/>
        </w:rPr>
        <w:t>při</w:t>
      </w:r>
      <w:r>
        <w:rPr>
          <w:color w:val="231F20"/>
          <w:spacing w:val="-4"/>
          <w:sz w:val="15"/>
        </w:rPr>
        <w:t xml:space="preserve"> </w:t>
      </w:r>
      <w:r>
        <w:rPr>
          <w:color w:val="231F20"/>
          <w:sz w:val="15"/>
        </w:rPr>
        <w:t>uplatňování</w:t>
      </w:r>
      <w:r>
        <w:rPr>
          <w:color w:val="231F20"/>
          <w:spacing w:val="-4"/>
          <w:sz w:val="15"/>
        </w:rPr>
        <w:t xml:space="preserve"> </w:t>
      </w:r>
      <w:r>
        <w:rPr>
          <w:color w:val="231F20"/>
          <w:sz w:val="15"/>
        </w:rPr>
        <w:t>práva</w:t>
      </w:r>
      <w:r>
        <w:rPr>
          <w:color w:val="231F20"/>
          <w:spacing w:val="-4"/>
          <w:sz w:val="15"/>
        </w:rPr>
        <w:t xml:space="preserve"> </w:t>
      </w:r>
      <w:r>
        <w:rPr>
          <w:color w:val="231F20"/>
          <w:sz w:val="15"/>
        </w:rPr>
        <w:t>na</w:t>
      </w:r>
      <w:r>
        <w:rPr>
          <w:color w:val="231F20"/>
          <w:spacing w:val="-4"/>
          <w:sz w:val="15"/>
        </w:rPr>
        <w:t xml:space="preserve"> </w:t>
      </w:r>
      <w:r>
        <w:rPr>
          <w:color w:val="231F20"/>
          <w:sz w:val="15"/>
        </w:rPr>
        <w:t>pojistné plnění</w:t>
      </w:r>
      <w:r>
        <w:rPr>
          <w:color w:val="231F20"/>
          <w:spacing w:val="-6"/>
          <w:sz w:val="15"/>
        </w:rPr>
        <w:t xml:space="preserve"> </w:t>
      </w:r>
      <w:r>
        <w:rPr>
          <w:color w:val="231F20"/>
          <w:sz w:val="15"/>
        </w:rPr>
        <w:t>byť</w:t>
      </w:r>
      <w:r>
        <w:rPr>
          <w:color w:val="231F20"/>
          <w:spacing w:val="-6"/>
          <w:sz w:val="15"/>
        </w:rPr>
        <w:t xml:space="preserve"> </w:t>
      </w:r>
      <w:r>
        <w:rPr>
          <w:color w:val="231F20"/>
          <w:sz w:val="15"/>
        </w:rPr>
        <w:t>z</w:t>
      </w:r>
      <w:r>
        <w:rPr>
          <w:color w:val="231F20"/>
          <w:spacing w:val="-6"/>
          <w:sz w:val="15"/>
        </w:rPr>
        <w:t xml:space="preserve"> </w:t>
      </w:r>
      <w:r>
        <w:rPr>
          <w:color w:val="231F20"/>
          <w:sz w:val="15"/>
        </w:rPr>
        <w:t>nedbalosti</w:t>
      </w:r>
      <w:r>
        <w:rPr>
          <w:color w:val="231F20"/>
          <w:spacing w:val="-5"/>
          <w:sz w:val="15"/>
        </w:rPr>
        <w:t xml:space="preserve"> </w:t>
      </w:r>
      <w:r>
        <w:rPr>
          <w:color w:val="231F20"/>
          <w:sz w:val="15"/>
        </w:rPr>
        <w:t>nepravdivé</w:t>
      </w:r>
      <w:r>
        <w:rPr>
          <w:color w:val="231F20"/>
          <w:spacing w:val="-6"/>
          <w:sz w:val="15"/>
        </w:rPr>
        <w:t xml:space="preserve"> </w:t>
      </w:r>
      <w:r>
        <w:rPr>
          <w:color w:val="231F20"/>
          <w:sz w:val="15"/>
        </w:rPr>
        <w:t>nebo</w:t>
      </w:r>
      <w:r>
        <w:rPr>
          <w:color w:val="231F20"/>
          <w:spacing w:val="-6"/>
          <w:sz w:val="15"/>
        </w:rPr>
        <w:t xml:space="preserve"> </w:t>
      </w:r>
      <w:r>
        <w:rPr>
          <w:color w:val="231F20"/>
          <w:sz w:val="15"/>
        </w:rPr>
        <w:t>hrubě</w:t>
      </w:r>
      <w:r>
        <w:rPr>
          <w:color w:val="231F20"/>
          <w:spacing w:val="-5"/>
          <w:sz w:val="15"/>
        </w:rPr>
        <w:t xml:space="preserve"> </w:t>
      </w:r>
      <w:r>
        <w:rPr>
          <w:color w:val="231F20"/>
          <w:sz w:val="15"/>
        </w:rPr>
        <w:t>zkreslené</w:t>
      </w:r>
      <w:r>
        <w:rPr>
          <w:color w:val="231F20"/>
          <w:spacing w:val="-6"/>
          <w:sz w:val="15"/>
        </w:rPr>
        <w:t xml:space="preserve"> </w:t>
      </w:r>
      <w:r>
        <w:rPr>
          <w:color w:val="231F20"/>
          <w:sz w:val="15"/>
        </w:rPr>
        <w:t>údaje</w:t>
      </w:r>
      <w:r>
        <w:rPr>
          <w:color w:val="231F20"/>
          <w:spacing w:val="-6"/>
          <w:sz w:val="15"/>
        </w:rPr>
        <w:t xml:space="preserve"> </w:t>
      </w:r>
      <w:r>
        <w:rPr>
          <w:color w:val="231F20"/>
          <w:sz w:val="15"/>
        </w:rPr>
        <w:t>tykající</w:t>
      </w:r>
      <w:r>
        <w:rPr>
          <w:color w:val="231F20"/>
          <w:spacing w:val="-5"/>
          <w:sz w:val="15"/>
        </w:rPr>
        <w:t xml:space="preserve"> </w:t>
      </w:r>
      <w:r>
        <w:rPr>
          <w:color w:val="231F20"/>
          <w:spacing w:val="-8"/>
          <w:sz w:val="15"/>
        </w:rPr>
        <w:t xml:space="preserve">se </w:t>
      </w:r>
      <w:r>
        <w:rPr>
          <w:color w:val="231F20"/>
          <w:sz w:val="15"/>
        </w:rPr>
        <w:t>rozsahu</w:t>
      </w:r>
      <w:r>
        <w:rPr>
          <w:color w:val="231F20"/>
          <w:spacing w:val="-16"/>
          <w:sz w:val="15"/>
        </w:rPr>
        <w:t xml:space="preserve"> </w:t>
      </w:r>
      <w:r>
        <w:rPr>
          <w:color w:val="231F20"/>
          <w:sz w:val="15"/>
        </w:rPr>
        <w:t>pojistné</w:t>
      </w:r>
      <w:r>
        <w:rPr>
          <w:color w:val="231F20"/>
          <w:spacing w:val="-16"/>
          <w:sz w:val="15"/>
        </w:rPr>
        <w:t xml:space="preserve"> </w:t>
      </w:r>
      <w:r>
        <w:rPr>
          <w:color w:val="231F20"/>
          <w:sz w:val="15"/>
        </w:rPr>
        <w:t>události,</w:t>
      </w:r>
      <w:r>
        <w:rPr>
          <w:color w:val="231F20"/>
          <w:spacing w:val="-16"/>
          <w:sz w:val="15"/>
        </w:rPr>
        <w:t xml:space="preserve"> </w:t>
      </w:r>
      <w:r>
        <w:rPr>
          <w:color w:val="231F20"/>
          <w:sz w:val="15"/>
        </w:rPr>
        <w:t>nebo</w:t>
      </w:r>
      <w:r>
        <w:rPr>
          <w:color w:val="231F20"/>
          <w:spacing w:val="-15"/>
          <w:sz w:val="15"/>
        </w:rPr>
        <w:t xml:space="preserve"> </w:t>
      </w:r>
      <w:r>
        <w:rPr>
          <w:color w:val="231F20"/>
          <w:sz w:val="15"/>
        </w:rPr>
        <w:t>podstatné</w:t>
      </w:r>
      <w:r>
        <w:rPr>
          <w:color w:val="231F20"/>
          <w:spacing w:val="-16"/>
          <w:sz w:val="15"/>
        </w:rPr>
        <w:t xml:space="preserve"> </w:t>
      </w:r>
      <w:r>
        <w:rPr>
          <w:color w:val="231F20"/>
          <w:sz w:val="15"/>
        </w:rPr>
        <w:t>údaje</w:t>
      </w:r>
      <w:r>
        <w:rPr>
          <w:color w:val="231F20"/>
          <w:spacing w:val="-16"/>
          <w:sz w:val="15"/>
        </w:rPr>
        <w:t xml:space="preserve"> </w:t>
      </w:r>
      <w:r>
        <w:rPr>
          <w:color w:val="231F20"/>
          <w:sz w:val="15"/>
        </w:rPr>
        <w:t>tykající</w:t>
      </w:r>
      <w:r>
        <w:rPr>
          <w:color w:val="231F20"/>
          <w:spacing w:val="-15"/>
          <w:sz w:val="15"/>
        </w:rPr>
        <w:t xml:space="preserve"> </w:t>
      </w:r>
      <w:r>
        <w:rPr>
          <w:color w:val="231F20"/>
          <w:sz w:val="15"/>
        </w:rPr>
        <w:t>se</w:t>
      </w:r>
      <w:r>
        <w:rPr>
          <w:color w:val="231F20"/>
          <w:spacing w:val="-16"/>
          <w:sz w:val="15"/>
        </w:rPr>
        <w:t xml:space="preserve"> </w:t>
      </w:r>
      <w:r>
        <w:rPr>
          <w:color w:val="231F20"/>
          <w:sz w:val="15"/>
        </w:rPr>
        <w:t>teto</w:t>
      </w:r>
      <w:r>
        <w:rPr>
          <w:color w:val="231F20"/>
          <w:spacing w:val="-16"/>
          <w:sz w:val="15"/>
        </w:rPr>
        <w:t xml:space="preserve"> </w:t>
      </w:r>
      <w:r>
        <w:rPr>
          <w:color w:val="231F20"/>
          <w:sz w:val="15"/>
        </w:rPr>
        <w:t>události</w:t>
      </w:r>
      <w:r>
        <w:rPr>
          <w:color w:val="231F20"/>
          <w:spacing w:val="-16"/>
          <w:sz w:val="15"/>
        </w:rPr>
        <w:t xml:space="preserve"> </w:t>
      </w:r>
      <w:r>
        <w:rPr>
          <w:color w:val="231F20"/>
          <w:spacing w:val="-6"/>
          <w:sz w:val="15"/>
        </w:rPr>
        <w:t xml:space="preserve">za- </w:t>
      </w:r>
      <w:r>
        <w:rPr>
          <w:color w:val="231F20"/>
          <w:sz w:val="15"/>
        </w:rPr>
        <w:t>mlčí,</w:t>
      </w:r>
      <w:r>
        <w:rPr>
          <w:color w:val="231F20"/>
          <w:spacing w:val="-1"/>
          <w:sz w:val="15"/>
        </w:rPr>
        <w:t xml:space="preserve"> </w:t>
      </w:r>
      <w:r>
        <w:rPr>
          <w:color w:val="231F20"/>
          <w:sz w:val="15"/>
        </w:rPr>
        <w:t>nebo</w:t>
      </w:r>
    </w:p>
    <w:p w14:paraId="75922605" w14:textId="77777777" w:rsidR="00F65BCA" w:rsidRDefault="00216117">
      <w:pPr>
        <w:pStyle w:val="Odstavecseseznamem"/>
        <w:numPr>
          <w:ilvl w:val="0"/>
          <w:numId w:val="113"/>
        </w:numPr>
        <w:tabs>
          <w:tab w:val="left" w:pos="640"/>
        </w:tabs>
        <w:spacing w:line="278" w:lineRule="auto"/>
        <w:ind w:right="424"/>
        <w:jc w:val="both"/>
        <w:rPr>
          <w:sz w:val="15"/>
        </w:rPr>
      </w:pPr>
      <w:r>
        <w:rPr>
          <w:color w:val="231F20"/>
          <w:sz w:val="15"/>
        </w:rPr>
        <w:t>nebude</w:t>
      </w:r>
      <w:r>
        <w:rPr>
          <w:color w:val="231F20"/>
          <w:spacing w:val="-16"/>
          <w:sz w:val="15"/>
        </w:rPr>
        <w:t xml:space="preserve"> </w:t>
      </w:r>
      <w:r>
        <w:rPr>
          <w:color w:val="231F20"/>
          <w:sz w:val="15"/>
        </w:rPr>
        <w:t>souhlasit</w:t>
      </w:r>
      <w:r>
        <w:rPr>
          <w:color w:val="231F20"/>
          <w:spacing w:val="-16"/>
          <w:sz w:val="15"/>
        </w:rPr>
        <w:t xml:space="preserve"> </w:t>
      </w:r>
      <w:r>
        <w:rPr>
          <w:color w:val="231F20"/>
          <w:sz w:val="15"/>
        </w:rPr>
        <w:t>identifikační</w:t>
      </w:r>
      <w:r>
        <w:rPr>
          <w:color w:val="231F20"/>
          <w:spacing w:val="-16"/>
          <w:sz w:val="15"/>
        </w:rPr>
        <w:t xml:space="preserve"> </w:t>
      </w:r>
      <w:r>
        <w:rPr>
          <w:color w:val="231F20"/>
          <w:sz w:val="15"/>
        </w:rPr>
        <w:t>údaj</w:t>
      </w:r>
      <w:r>
        <w:rPr>
          <w:color w:val="231F20"/>
          <w:spacing w:val="-16"/>
          <w:sz w:val="15"/>
        </w:rPr>
        <w:t xml:space="preserve"> </w:t>
      </w:r>
      <w:r>
        <w:rPr>
          <w:color w:val="231F20"/>
          <w:sz w:val="15"/>
        </w:rPr>
        <w:t>a</w:t>
      </w:r>
      <w:r>
        <w:rPr>
          <w:color w:val="231F20"/>
          <w:spacing w:val="-16"/>
          <w:sz w:val="15"/>
        </w:rPr>
        <w:t xml:space="preserve"> </w:t>
      </w:r>
      <w:r>
        <w:rPr>
          <w:color w:val="231F20"/>
          <w:sz w:val="15"/>
        </w:rPr>
        <w:t>specifikace</w:t>
      </w:r>
      <w:r>
        <w:rPr>
          <w:color w:val="231F20"/>
          <w:spacing w:val="-16"/>
          <w:sz w:val="15"/>
        </w:rPr>
        <w:t xml:space="preserve"> </w:t>
      </w:r>
      <w:r>
        <w:rPr>
          <w:color w:val="231F20"/>
          <w:sz w:val="15"/>
        </w:rPr>
        <w:t>vozidla</w:t>
      </w:r>
      <w:r>
        <w:rPr>
          <w:color w:val="231F20"/>
          <w:spacing w:val="-16"/>
          <w:sz w:val="15"/>
        </w:rPr>
        <w:t xml:space="preserve"> </w:t>
      </w:r>
      <w:r>
        <w:rPr>
          <w:color w:val="231F20"/>
          <w:sz w:val="15"/>
        </w:rPr>
        <w:t>dle</w:t>
      </w:r>
      <w:r>
        <w:rPr>
          <w:color w:val="231F20"/>
          <w:spacing w:val="-16"/>
          <w:sz w:val="15"/>
        </w:rPr>
        <w:t xml:space="preserve"> </w:t>
      </w:r>
      <w:r>
        <w:rPr>
          <w:color w:val="231F20"/>
          <w:sz w:val="15"/>
        </w:rPr>
        <w:t>údajů</w:t>
      </w:r>
      <w:r>
        <w:rPr>
          <w:color w:val="231F20"/>
          <w:spacing w:val="-16"/>
          <w:sz w:val="15"/>
        </w:rPr>
        <w:t xml:space="preserve"> </w:t>
      </w:r>
      <w:r>
        <w:rPr>
          <w:color w:val="231F20"/>
          <w:spacing w:val="2"/>
          <w:sz w:val="15"/>
        </w:rPr>
        <w:t xml:space="preserve">výrobce </w:t>
      </w:r>
      <w:r>
        <w:rPr>
          <w:color w:val="231F20"/>
          <w:sz w:val="15"/>
        </w:rPr>
        <w:t>s</w:t>
      </w:r>
      <w:r>
        <w:rPr>
          <w:color w:val="231F20"/>
          <w:spacing w:val="-7"/>
          <w:sz w:val="15"/>
        </w:rPr>
        <w:t xml:space="preserve"> </w:t>
      </w:r>
      <w:r>
        <w:rPr>
          <w:color w:val="231F20"/>
          <w:sz w:val="15"/>
        </w:rPr>
        <w:t>údaji</w:t>
      </w:r>
      <w:r>
        <w:rPr>
          <w:color w:val="231F20"/>
          <w:spacing w:val="-6"/>
          <w:sz w:val="15"/>
        </w:rPr>
        <w:t xml:space="preserve"> </w:t>
      </w:r>
      <w:r>
        <w:rPr>
          <w:color w:val="231F20"/>
          <w:sz w:val="15"/>
        </w:rPr>
        <w:t>v</w:t>
      </w:r>
      <w:r>
        <w:rPr>
          <w:color w:val="231F20"/>
          <w:spacing w:val="-7"/>
          <w:sz w:val="15"/>
        </w:rPr>
        <w:t xml:space="preserve"> </w:t>
      </w:r>
      <w:r>
        <w:rPr>
          <w:color w:val="231F20"/>
          <w:sz w:val="15"/>
        </w:rPr>
        <w:t>pojistné</w:t>
      </w:r>
      <w:r>
        <w:rPr>
          <w:color w:val="231F20"/>
          <w:spacing w:val="-6"/>
          <w:sz w:val="15"/>
        </w:rPr>
        <w:t xml:space="preserve"> </w:t>
      </w:r>
      <w:r>
        <w:rPr>
          <w:color w:val="231F20"/>
          <w:sz w:val="15"/>
        </w:rPr>
        <w:t>smlouvě</w:t>
      </w:r>
      <w:r>
        <w:rPr>
          <w:color w:val="231F20"/>
          <w:spacing w:val="-6"/>
          <w:sz w:val="15"/>
        </w:rPr>
        <w:t xml:space="preserve"> </w:t>
      </w:r>
      <w:r>
        <w:rPr>
          <w:color w:val="231F20"/>
          <w:sz w:val="15"/>
        </w:rPr>
        <w:t>(např.</w:t>
      </w:r>
      <w:r>
        <w:rPr>
          <w:color w:val="231F20"/>
          <w:spacing w:val="-7"/>
          <w:sz w:val="15"/>
        </w:rPr>
        <w:t xml:space="preserve"> </w:t>
      </w:r>
      <w:r>
        <w:rPr>
          <w:color w:val="231F20"/>
          <w:sz w:val="15"/>
        </w:rPr>
        <w:t>odlišný</w:t>
      </w:r>
      <w:r>
        <w:rPr>
          <w:color w:val="231F20"/>
          <w:spacing w:val="-6"/>
          <w:sz w:val="15"/>
        </w:rPr>
        <w:t xml:space="preserve"> </w:t>
      </w:r>
      <w:r>
        <w:rPr>
          <w:color w:val="231F20"/>
          <w:spacing w:val="2"/>
          <w:sz w:val="15"/>
        </w:rPr>
        <w:t>typ</w:t>
      </w:r>
      <w:r>
        <w:rPr>
          <w:color w:val="231F20"/>
          <w:spacing w:val="-7"/>
          <w:sz w:val="15"/>
        </w:rPr>
        <w:t xml:space="preserve"> </w:t>
      </w:r>
      <w:r>
        <w:rPr>
          <w:color w:val="231F20"/>
          <w:sz w:val="15"/>
        </w:rPr>
        <w:t>motoru,</w:t>
      </w:r>
      <w:r>
        <w:rPr>
          <w:color w:val="231F20"/>
          <w:spacing w:val="-6"/>
          <w:sz w:val="15"/>
        </w:rPr>
        <w:t xml:space="preserve"> </w:t>
      </w:r>
      <w:r>
        <w:rPr>
          <w:color w:val="231F20"/>
          <w:spacing w:val="2"/>
          <w:sz w:val="15"/>
        </w:rPr>
        <w:t>barva,</w:t>
      </w:r>
      <w:r>
        <w:rPr>
          <w:color w:val="231F20"/>
          <w:spacing w:val="-6"/>
          <w:sz w:val="15"/>
        </w:rPr>
        <w:t xml:space="preserve"> </w:t>
      </w:r>
      <w:r>
        <w:rPr>
          <w:color w:val="231F20"/>
          <w:spacing w:val="2"/>
          <w:sz w:val="15"/>
        </w:rPr>
        <w:t>typ</w:t>
      </w:r>
      <w:r>
        <w:rPr>
          <w:color w:val="231F20"/>
          <w:spacing w:val="-7"/>
          <w:sz w:val="15"/>
        </w:rPr>
        <w:t xml:space="preserve"> </w:t>
      </w:r>
      <w:r>
        <w:rPr>
          <w:color w:val="231F20"/>
          <w:sz w:val="15"/>
        </w:rPr>
        <w:t xml:space="preserve">karoserie, rok výroby, strana řízení apod.), nebo pokud dojde k porušení povinností uvedených v čl. 6 </w:t>
      </w:r>
      <w:r>
        <w:rPr>
          <w:color w:val="231F20"/>
          <w:spacing w:val="2"/>
          <w:sz w:val="15"/>
        </w:rPr>
        <w:t xml:space="preserve">odst. </w:t>
      </w:r>
      <w:r>
        <w:rPr>
          <w:color w:val="231F20"/>
          <w:sz w:val="15"/>
        </w:rPr>
        <w:t>3 těchto</w:t>
      </w:r>
      <w:r>
        <w:rPr>
          <w:color w:val="231F20"/>
          <w:spacing w:val="15"/>
          <w:sz w:val="15"/>
        </w:rPr>
        <w:t xml:space="preserve"> </w:t>
      </w:r>
      <w:r>
        <w:rPr>
          <w:color w:val="231F20"/>
          <w:spacing w:val="-7"/>
          <w:sz w:val="15"/>
        </w:rPr>
        <w:t>VPP.</w:t>
      </w:r>
    </w:p>
    <w:p w14:paraId="02C98E9F"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position w:val="1"/>
          <w:sz w:val="14"/>
        </w:rPr>
        <w:t xml:space="preserve"> </w:t>
      </w:r>
      <w:r>
        <w:rPr>
          <w:color w:val="231F20"/>
        </w:rPr>
        <w:t>V případě, že se Pojišťovna o skutečnostech uvedených v odst. 4 tohoto článku</w:t>
      </w:r>
      <w:r>
        <w:rPr>
          <w:color w:val="231F20"/>
          <w:spacing w:val="-14"/>
        </w:rPr>
        <w:t xml:space="preserve"> </w:t>
      </w:r>
      <w:r>
        <w:rPr>
          <w:color w:val="231F20"/>
        </w:rPr>
        <w:t>dozví</w:t>
      </w:r>
      <w:r>
        <w:rPr>
          <w:color w:val="231F20"/>
          <w:spacing w:val="-14"/>
        </w:rPr>
        <w:t xml:space="preserve"> </w:t>
      </w:r>
      <w:r>
        <w:rPr>
          <w:color w:val="231F20"/>
          <w:spacing w:val="2"/>
        </w:rPr>
        <w:t>až</w:t>
      </w:r>
      <w:r>
        <w:rPr>
          <w:color w:val="231F20"/>
          <w:spacing w:val="-13"/>
        </w:rPr>
        <w:t xml:space="preserve"> </w:t>
      </w:r>
      <w:r>
        <w:rPr>
          <w:color w:val="231F20"/>
        </w:rPr>
        <w:t>po</w:t>
      </w:r>
      <w:r>
        <w:rPr>
          <w:color w:val="231F20"/>
          <w:spacing w:val="-14"/>
        </w:rPr>
        <w:t xml:space="preserve"> </w:t>
      </w:r>
      <w:r>
        <w:rPr>
          <w:color w:val="231F20"/>
        </w:rPr>
        <w:t>výplatě</w:t>
      </w:r>
      <w:r>
        <w:rPr>
          <w:color w:val="231F20"/>
          <w:spacing w:val="-14"/>
        </w:rPr>
        <w:t xml:space="preserve"> </w:t>
      </w:r>
      <w:r>
        <w:rPr>
          <w:color w:val="231F20"/>
        </w:rPr>
        <w:t>pojistného</w:t>
      </w:r>
      <w:r>
        <w:rPr>
          <w:color w:val="231F20"/>
          <w:spacing w:val="-13"/>
        </w:rPr>
        <w:t xml:space="preserve"> </w:t>
      </w:r>
      <w:r>
        <w:rPr>
          <w:color w:val="231F20"/>
        </w:rPr>
        <w:t>plnění,</w:t>
      </w:r>
      <w:r>
        <w:rPr>
          <w:color w:val="231F20"/>
          <w:spacing w:val="-14"/>
        </w:rPr>
        <w:t xml:space="preserve"> </w:t>
      </w:r>
      <w:r>
        <w:rPr>
          <w:color w:val="231F20"/>
        </w:rPr>
        <w:t>vzniká</w:t>
      </w:r>
      <w:r>
        <w:rPr>
          <w:color w:val="231F20"/>
          <w:spacing w:val="-13"/>
        </w:rPr>
        <w:t xml:space="preserve"> </w:t>
      </w:r>
      <w:r>
        <w:rPr>
          <w:color w:val="231F20"/>
        </w:rPr>
        <w:t>Pojišťovně</w:t>
      </w:r>
      <w:r>
        <w:rPr>
          <w:color w:val="231F20"/>
          <w:spacing w:val="-14"/>
        </w:rPr>
        <w:t xml:space="preserve"> </w:t>
      </w:r>
      <w:r>
        <w:rPr>
          <w:color w:val="231F20"/>
        </w:rPr>
        <w:t>právo</w:t>
      </w:r>
      <w:r>
        <w:rPr>
          <w:color w:val="231F20"/>
          <w:spacing w:val="-14"/>
        </w:rPr>
        <w:t xml:space="preserve"> </w:t>
      </w:r>
      <w:r>
        <w:rPr>
          <w:color w:val="231F20"/>
        </w:rPr>
        <w:t>na</w:t>
      </w:r>
      <w:r>
        <w:rPr>
          <w:color w:val="231F20"/>
          <w:spacing w:val="-13"/>
        </w:rPr>
        <w:t xml:space="preserve"> </w:t>
      </w:r>
      <w:r>
        <w:rPr>
          <w:color w:val="231F20"/>
        </w:rPr>
        <w:t>vrá- cení pojistného</w:t>
      </w:r>
      <w:r>
        <w:rPr>
          <w:color w:val="231F20"/>
          <w:spacing w:val="-1"/>
        </w:rPr>
        <w:t xml:space="preserve"> </w:t>
      </w:r>
      <w:r>
        <w:rPr>
          <w:color w:val="231F20"/>
        </w:rPr>
        <w:t>plnění.</w:t>
      </w:r>
    </w:p>
    <w:p w14:paraId="09712688"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6</w:t>
      </w:r>
      <w:r>
        <w:rPr>
          <w:color w:val="231F20"/>
          <w:spacing w:val="27"/>
          <w:position w:val="1"/>
          <w:sz w:val="14"/>
        </w:rPr>
        <w:t xml:space="preserve"> </w:t>
      </w:r>
      <w:r>
        <w:rPr>
          <w:color w:val="231F20"/>
          <w:spacing w:val="2"/>
        </w:rPr>
        <w:t>Zbytky</w:t>
      </w:r>
      <w:r>
        <w:rPr>
          <w:color w:val="231F20"/>
          <w:spacing w:val="-15"/>
        </w:rPr>
        <w:t xml:space="preserve"> </w:t>
      </w:r>
      <w:r>
        <w:rPr>
          <w:color w:val="231F20"/>
        </w:rPr>
        <w:t>poškozených</w:t>
      </w:r>
      <w:r>
        <w:rPr>
          <w:color w:val="231F20"/>
          <w:spacing w:val="-15"/>
        </w:rPr>
        <w:t xml:space="preserve"> </w:t>
      </w:r>
      <w:r>
        <w:rPr>
          <w:color w:val="231F20"/>
        </w:rPr>
        <w:t>nebo</w:t>
      </w:r>
      <w:r>
        <w:rPr>
          <w:color w:val="231F20"/>
          <w:spacing w:val="-16"/>
        </w:rPr>
        <w:t xml:space="preserve"> </w:t>
      </w:r>
      <w:r>
        <w:rPr>
          <w:color w:val="231F20"/>
        </w:rPr>
        <w:t>zničených</w:t>
      </w:r>
      <w:r>
        <w:rPr>
          <w:color w:val="231F20"/>
          <w:spacing w:val="-15"/>
        </w:rPr>
        <w:t xml:space="preserve"> </w:t>
      </w:r>
      <w:r>
        <w:rPr>
          <w:color w:val="231F20"/>
        </w:rPr>
        <w:t>věcí</w:t>
      </w:r>
      <w:r>
        <w:rPr>
          <w:color w:val="231F20"/>
          <w:spacing w:val="-16"/>
        </w:rPr>
        <w:t xml:space="preserve"> </w:t>
      </w:r>
      <w:r>
        <w:rPr>
          <w:color w:val="231F20"/>
        </w:rPr>
        <w:t>zůstávají</w:t>
      </w:r>
      <w:r>
        <w:rPr>
          <w:color w:val="231F20"/>
          <w:spacing w:val="-15"/>
        </w:rPr>
        <w:t xml:space="preserve"> </w:t>
      </w:r>
      <w:r>
        <w:rPr>
          <w:color w:val="231F20"/>
        </w:rPr>
        <w:t>ve</w:t>
      </w:r>
      <w:r>
        <w:rPr>
          <w:color w:val="231F20"/>
          <w:spacing w:val="-15"/>
        </w:rPr>
        <w:t xml:space="preserve"> </w:t>
      </w:r>
      <w:r>
        <w:rPr>
          <w:color w:val="231F20"/>
          <w:spacing w:val="2"/>
        </w:rPr>
        <w:t>vlastnictví</w:t>
      </w:r>
      <w:r>
        <w:rPr>
          <w:color w:val="231F20"/>
          <w:spacing w:val="-16"/>
        </w:rPr>
        <w:t xml:space="preserve"> </w:t>
      </w:r>
      <w:r>
        <w:rPr>
          <w:color w:val="231F20"/>
        </w:rPr>
        <w:t>pojištěného (vlastníka</w:t>
      </w:r>
      <w:r>
        <w:rPr>
          <w:color w:val="231F20"/>
          <w:spacing w:val="-1"/>
        </w:rPr>
        <w:t xml:space="preserve"> </w:t>
      </w:r>
      <w:r>
        <w:rPr>
          <w:color w:val="231F20"/>
        </w:rPr>
        <w:t>vozidla).</w:t>
      </w:r>
    </w:p>
    <w:p w14:paraId="54DFEECC" w14:textId="77777777" w:rsidR="00F65BCA" w:rsidRDefault="00F65BCA">
      <w:pPr>
        <w:pStyle w:val="Zkladntext"/>
        <w:spacing w:before="8"/>
        <w:rPr>
          <w:sz w:val="20"/>
        </w:rPr>
      </w:pPr>
    </w:p>
    <w:p w14:paraId="2DD8EC35" w14:textId="77777777" w:rsidR="00F65BCA" w:rsidRDefault="00216117">
      <w:pPr>
        <w:ind w:left="187"/>
        <w:jc w:val="both"/>
        <w:rPr>
          <w:sz w:val="15"/>
        </w:rPr>
      </w:pPr>
      <w:r>
        <w:rPr>
          <w:color w:val="FFFFFF"/>
          <w:position w:val="3"/>
          <w:sz w:val="16"/>
          <w:shd w:val="clear" w:color="auto" w:fill="808285"/>
        </w:rPr>
        <w:t xml:space="preserve">  </w:t>
      </w:r>
      <w:r>
        <w:rPr>
          <w:color w:val="FFFFFF"/>
          <w:w w:val="105"/>
          <w:position w:val="3"/>
          <w:sz w:val="16"/>
          <w:shd w:val="clear" w:color="auto" w:fill="808285"/>
        </w:rPr>
        <w:t>Článek 20</w:t>
      </w:r>
      <w:r>
        <w:rPr>
          <w:color w:val="FFFFFF"/>
          <w:w w:val="105"/>
          <w:position w:val="3"/>
          <w:sz w:val="16"/>
        </w:rPr>
        <w:t xml:space="preserve"> </w:t>
      </w:r>
      <w:r>
        <w:rPr>
          <w:color w:val="231F20"/>
          <w:w w:val="105"/>
          <w:sz w:val="15"/>
        </w:rPr>
        <w:t>Pojistná doba, počátek a konec pojištění</w:t>
      </w:r>
    </w:p>
    <w:p w14:paraId="75EA6B37" w14:textId="77777777" w:rsidR="00F65BCA" w:rsidRDefault="00216117">
      <w:pPr>
        <w:pStyle w:val="Zkladntext"/>
        <w:spacing w:before="147" w:line="278" w:lineRule="auto"/>
        <w:ind w:left="186" w:right="424"/>
        <w:jc w:val="both"/>
      </w:pPr>
      <w:r>
        <w:rPr>
          <w:color w:val="231F20"/>
        </w:rPr>
        <w:t>Pojistné období je shodné s ujednaným pojistným obdobím sjednaným pro po- jištění odpovědnosti. Zanikne-li pojištění odpovědnosti, zanikne současně i po- jištění Přímá likvidace.</w:t>
      </w:r>
    </w:p>
    <w:p w14:paraId="3D202580" w14:textId="77777777" w:rsidR="00F65BCA" w:rsidRDefault="00F65BCA">
      <w:pPr>
        <w:pStyle w:val="Zkladntext"/>
        <w:spacing w:before="11"/>
        <w:rPr>
          <w:sz w:val="20"/>
        </w:rPr>
      </w:pPr>
    </w:p>
    <w:p w14:paraId="154B778B" w14:textId="77777777" w:rsidR="00F65BCA" w:rsidRDefault="00216117">
      <w:pPr>
        <w:ind w:left="187"/>
        <w:jc w:val="both"/>
        <w:rPr>
          <w:sz w:val="15"/>
        </w:rPr>
      </w:pPr>
      <w:r>
        <w:rPr>
          <w:color w:val="FFFFFF"/>
          <w:sz w:val="16"/>
          <w:shd w:val="clear" w:color="auto" w:fill="808285"/>
        </w:rPr>
        <w:t xml:space="preserve">  Článek 21</w:t>
      </w:r>
      <w:r>
        <w:rPr>
          <w:color w:val="FFFFFF"/>
          <w:sz w:val="16"/>
        </w:rPr>
        <w:t xml:space="preserve"> </w:t>
      </w:r>
      <w:r>
        <w:rPr>
          <w:color w:val="231F20"/>
          <w:position w:val="-2"/>
          <w:sz w:val="15"/>
        </w:rPr>
        <w:t>Výluky</w:t>
      </w:r>
    </w:p>
    <w:p w14:paraId="0B35D362" w14:textId="77777777" w:rsidR="00F65BCA" w:rsidRDefault="00216117">
      <w:pPr>
        <w:pStyle w:val="Zkladntext"/>
        <w:spacing w:before="147"/>
        <w:ind w:left="187"/>
        <w:jc w:val="both"/>
      </w:pPr>
      <w:r>
        <w:rPr>
          <w:color w:val="231F20"/>
          <w:position w:val="1"/>
          <w:sz w:val="14"/>
          <w:shd w:val="clear" w:color="auto" w:fill="D1D3D4"/>
        </w:rPr>
        <w:t xml:space="preserve">  1</w:t>
      </w:r>
      <w:r>
        <w:rPr>
          <w:color w:val="231F20"/>
          <w:position w:val="1"/>
          <w:sz w:val="14"/>
        </w:rPr>
        <w:t xml:space="preserve"> </w:t>
      </w:r>
      <w:r>
        <w:rPr>
          <w:color w:val="231F20"/>
        </w:rPr>
        <w:t>Pojištění se nevztahuje na poškození vozidla, k němuž došlo při:</w:t>
      </w:r>
    </w:p>
    <w:p w14:paraId="2AFB1FCF" w14:textId="77777777" w:rsidR="00F65BCA" w:rsidRDefault="00216117">
      <w:pPr>
        <w:pStyle w:val="Odstavecseseznamem"/>
        <w:numPr>
          <w:ilvl w:val="0"/>
          <w:numId w:val="112"/>
        </w:numPr>
        <w:tabs>
          <w:tab w:val="left" w:pos="640"/>
        </w:tabs>
        <w:spacing w:before="27" w:line="278" w:lineRule="auto"/>
        <w:ind w:right="424"/>
        <w:jc w:val="both"/>
        <w:rPr>
          <w:sz w:val="15"/>
        </w:rPr>
      </w:pPr>
      <w:r>
        <w:rPr>
          <w:color w:val="231F20"/>
          <w:sz w:val="15"/>
        </w:rPr>
        <w:t>řízení</w:t>
      </w:r>
      <w:r>
        <w:rPr>
          <w:color w:val="231F20"/>
          <w:spacing w:val="-7"/>
          <w:sz w:val="15"/>
        </w:rPr>
        <w:t xml:space="preserve"> </w:t>
      </w:r>
      <w:r>
        <w:rPr>
          <w:color w:val="231F20"/>
          <w:sz w:val="15"/>
        </w:rPr>
        <w:t>vozidla</w:t>
      </w:r>
      <w:r>
        <w:rPr>
          <w:color w:val="231F20"/>
          <w:spacing w:val="-7"/>
          <w:sz w:val="15"/>
        </w:rPr>
        <w:t xml:space="preserve"> </w:t>
      </w:r>
      <w:r>
        <w:rPr>
          <w:color w:val="231F20"/>
          <w:sz w:val="15"/>
        </w:rPr>
        <w:t>osobou,</w:t>
      </w:r>
      <w:r>
        <w:rPr>
          <w:color w:val="231F20"/>
          <w:spacing w:val="-7"/>
          <w:sz w:val="15"/>
        </w:rPr>
        <w:t xml:space="preserve"> </w:t>
      </w:r>
      <w:r>
        <w:rPr>
          <w:color w:val="231F20"/>
          <w:sz w:val="15"/>
        </w:rPr>
        <w:t>která</w:t>
      </w:r>
      <w:r>
        <w:rPr>
          <w:color w:val="231F20"/>
          <w:spacing w:val="-7"/>
          <w:sz w:val="15"/>
        </w:rPr>
        <w:t xml:space="preserve"> </w:t>
      </w:r>
      <w:r>
        <w:rPr>
          <w:color w:val="231F20"/>
          <w:sz w:val="15"/>
        </w:rPr>
        <w:t>nemá</w:t>
      </w:r>
      <w:r>
        <w:rPr>
          <w:color w:val="231F20"/>
          <w:spacing w:val="-7"/>
          <w:sz w:val="15"/>
        </w:rPr>
        <w:t xml:space="preserve"> </w:t>
      </w:r>
      <w:r>
        <w:rPr>
          <w:color w:val="231F20"/>
          <w:sz w:val="15"/>
        </w:rPr>
        <w:t>k</w:t>
      </w:r>
      <w:r>
        <w:rPr>
          <w:color w:val="231F20"/>
          <w:spacing w:val="-7"/>
          <w:sz w:val="15"/>
        </w:rPr>
        <w:t xml:space="preserve"> </w:t>
      </w:r>
      <w:r>
        <w:rPr>
          <w:color w:val="231F20"/>
          <w:sz w:val="15"/>
        </w:rPr>
        <w:t>jeho</w:t>
      </w:r>
      <w:r>
        <w:rPr>
          <w:color w:val="231F20"/>
          <w:spacing w:val="-7"/>
          <w:sz w:val="15"/>
        </w:rPr>
        <w:t xml:space="preserve"> </w:t>
      </w:r>
      <w:r>
        <w:rPr>
          <w:color w:val="231F20"/>
          <w:sz w:val="15"/>
        </w:rPr>
        <w:t>řízení</w:t>
      </w:r>
      <w:r>
        <w:rPr>
          <w:color w:val="231F20"/>
          <w:spacing w:val="-7"/>
          <w:sz w:val="15"/>
        </w:rPr>
        <w:t xml:space="preserve"> </w:t>
      </w:r>
      <w:r>
        <w:rPr>
          <w:color w:val="231F20"/>
          <w:sz w:val="15"/>
        </w:rPr>
        <w:t>příslušné</w:t>
      </w:r>
      <w:r>
        <w:rPr>
          <w:color w:val="231F20"/>
          <w:spacing w:val="-6"/>
          <w:sz w:val="15"/>
        </w:rPr>
        <w:t xml:space="preserve"> </w:t>
      </w:r>
      <w:r>
        <w:rPr>
          <w:color w:val="231F20"/>
          <w:sz w:val="15"/>
        </w:rPr>
        <w:t>oprávnění,</w:t>
      </w:r>
      <w:r>
        <w:rPr>
          <w:color w:val="231F20"/>
          <w:spacing w:val="-7"/>
          <w:sz w:val="15"/>
        </w:rPr>
        <w:t xml:space="preserve"> </w:t>
      </w:r>
      <w:r>
        <w:rPr>
          <w:color w:val="231F20"/>
          <w:sz w:val="15"/>
        </w:rPr>
        <w:t>nebo v</w:t>
      </w:r>
      <w:r>
        <w:rPr>
          <w:color w:val="231F20"/>
          <w:spacing w:val="-11"/>
          <w:sz w:val="15"/>
        </w:rPr>
        <w:t xml:space="preserve"> </w:t>
      </w:r>
      <w:r>
        <w:rPr>
          <w:color w:val="231F20"/>
          <w:sz w:val="15"/>
        </w:rPr>
        <w:t>době,</w:t>
      </w:r>
      <w:r>
        <w:rPr>
          <w:color w:val="231F20"/>
          <w:spacing w:val="-10"/>
          <w:sz w:val="15"/>
        </w:rPr>
        <w:t xml:space="preserve"> </w:t>
      </w:r>
      <w:r>
        <w:rPr>
          <w:color w:val="231F20"/>
          <w:sz w:val="15"/>
        </w:rPr>
        <w:t>kdy</w:t>
      </w:r>
      <w:r>
        <w:rPr>
          <w:color w:val="231F20"/>
          <w:spacing w:val="-11"/>
          <w:sz w:val="15"/>
        </w:rPr>
        <w:t xml:space="preserve"> </w:t>
      </w:r>
      <w:r>
        <w:rPr>
          <w:color w:val="231F20"/>
          <w:sz w:val="15"/>
        </w:rPr>
        <w:t>jí</w:t>
      </w:r>
      <w:r>
        <w:rPr>
          <w:color w:val="231F20"/>
          <w:spacing w:val="-10"/>
          <w:sz w:val="15"/>
        </w:rPr>
        <w:t xml:space="preserve"> </w:t>
      </w:r>
      <w:r>
        <w:rPr>
          <w:color w:val="231F20"/>
          <w:sz w:val="15"/>
        </w:rPr>
        <w:t>bylo</w:t>
      </w:r>
      <w:r>
        <w:rPr>
          <w:color w:val="231F20"/>
          <w:spacing w:val="-11"/>
          <w:sz w:val="15"/>
        </w:rPr>
        <w:t xml:space="preserve"> </w:t>
      </w:r>
      <w:r>
        <w:rPr>
          <w:color w:val="231F20"/>
          <w:sz w:val="15"/>
        </w:rPr>
        <w:t>toto</w:t>
      </w:r>
      <w:r>
        <w:rPr>
          <w:color w:val="231F20"/>
          <w:spacing w:val="-10"/>
          <w:sz w:val="15"/>
        </w:rPr>
        <w:t xml:space="preserve"> </w:t>
      </w:r>
      <w:r>
        <w:rPr>
          <w:color w:val="231F20"/>
          <w:sz w:val="15"/>
        </w:rPr>
        <w:t>oprávnění</w:t>
      </w:r>
      <w:r>
        <w:rPr>
          <w:color w:val="231F20"/>
          <w:spacing w:val="-11"/>
          <w:sz w:val="15"/>
        </w:rPr>
        <w:t xml:space="preserve"> </w:t>
      </w:r>
      <w:r>
        <w:rPr>
          <w:color w:val="231F20"/>
          <w:sz w:val="15"/>
        </w:rPr>
        <w:t>pozastaveno,</w:t>
      </w:r>
      <w:r>
        <w:rPr>
          <w:color w:val="231F20"/>
          <w:spacing w:val="-10"/>
          <w:sz w:val="15"/>
        </w:rPr>
        <w:t xml:space="preserve"> </w:t>
      </w:r>
      <w:r>
        <w:rPr>
          <w:color w:val="231F20"/>
          <w:sz w:val="15"/>
        </w:rPr>
        <w:t>resp.</w:t>
      </w:r>
      <w:r>
        <w:rPr>
          <w:color w:val="231F20"/>
          <w:spacing w:val="-11"/>
          <w:sz w:val="15"/>
        </w:rPr>
        <w:t xml:space="preserve"> </w:t>
      </w:r>
      <w:r>
        <w:rPr>
          <w:color w:val="231F20"/>
          <w:sz w:val="15"/>
        </w:rPr>
        <w:t>v</w:t>
      </w:r>
      <w:r>
        <w:rPr>
          <w:color w:val="231F20"/>
          <w:spacing w:val="-10"/>
          <w:sz w:val="15"/>
        </w:rPr>
        <w:t xml:space="preserve"> </w:t>
      </w:r>
      <w:r>
        <w:rPr>
          <w:color w:val="231F20"/>
          <w:sz w:val="15"/>
        </w:rPr>
        <w:t>době</w:t>
      </w:r>
      <w:r>
        <w:rPr>
          <w:color w:val="231F20"/>
          <w:spacing w:val="-11"/>
          <w:sz w:val="15"/>
        </w:rPr>
        <w:t xml:space="preserve"> </w:t>
      </w:r>
      <w:r>
        <w:rPr>
          <w:color w:val="231F20"/>
          <w:sz w:val="15"/>
        </w:rPr>
        <w:t>zákazu</w:t>
      </w:r>
      <w:r>
        <w:rPr>
          <w:color w:val="231F20"/>
          <w:spacing w:val="-10"/>
          <w:sz w:val="15"/>
        </w:rPr>
        <w:t xml:space="preserve"> </w:t>
      </w:r>
      <w:r>
        <w:rPr>
          <w:color w:val="231F20"/>
          <w:sz w:val="15"/>
        </w:rPr>
        <w:t>řízení takového</w:t>
      </w:r>
      <w:r>
        <w:rPr>
          <w:color w:val="231F20"/>
          <w:spacing w:val="-1"/>
          <w:sz w:val="15"/>
        </w:rPr>
        <w:t xml:space="preserve"> </w:t>
      </w:r>
      <w:r>
        <w:rPr>
          <w:color w:val="231F20"/>
          <w:sz w:val="15"/>
        </w:rPr>
        <w:t>vozidla;</w:t>
      </w:r>
    </w:p>
    <w:p w14:paraId="7F000D6E" w14:textId="77777777" w:rsidR="00F65BCA" w:rsidRDefault="00216117">
      <w:pPr>
        <w:pStyle w:val="Odstavecseseznamem"/>
        <w:numPr>
          <w:ilvl w:val="0"/>
          <w:numId w:val="112"/>
        </w:numPr>
        <w:tabs>
          <w:tab w:val="left" w:pos="640"/>
        </w:tabs>
        <w:spacing w:line="278" w:lineRule="auto"/>
        <w:ind w:right="424"/>
        <w:jc w:val="both"/>
        <w:rPr>
          <w:sz w:val="15"/>
        </w:rPr>
      </w:pPr>
      <w:r>
        <w:rPr>
          <w:color w:val="231F20"/>
          <w:sz w:val="15"/>
        </w:rPr>
        <w:t>řízení</w:t>
      </w:r>
      <w:r>
        <w:rPr>
          <w:color w:val="231F20"/>
          <w:spacing w:val="-28"/>
          <w:sz w:val="15"/>
        </w:rPr>
        <w:t xml:space="preserve"> </w:t>
      </w:r>
      <w:r>
        <w:rPr>
          <w:color w:val="231F20"/>
          <w:sz w:val="15"/>
        </w:rPr>
        <w:t>vozidla</w:t>
      </w:r>
      <w:r>
        <w:rPr>
          <w:color w:val="231F20"/>
          <w:spacing w:val="-27"/>
          <w:sz w:val="15"/>
        </w:rPr>
        <w:t xml:space="preserve"> </w:t>
      </w:r>
      <w:r>
        <w:rPr>
          <w:color w:val="231F20"/>
          <w:sz w:val="15"/>
        </w:rPr>
        <w:t>osobou,</w:t>
      </w:r>
      <w:r>
        <w:rPr>
          <w:color w:val="231F20"/>
          <w:spacing w:val="-28"/>
          <w:sz w:val="15"/>
        </w:rPr>
        <w:t xml:space="preserve"> </w:t>
      </w:r>
      <w:r>
        <w:rPr>
          <w:color w:val="231F20"/>
          <w:sz w:val="15"/>
        </w:rPr>
        <w:t>která</w:t>
      </w:r>
      <w:r>
        <w:rPr>
          <w:color w:val="231F20"/>
          <w:spacing w:val="-27"/>
          <w:sz w:val="15"/>
        </w:rPr>
        <w:t xml:space="preserve"> </w:t>
      </w:r>
      <w:r>
        <w:rPr>
          <w:color w:val="231F20"/>
          <w:sz w:val="15"/>
        </w:rPr>
        <w:t>požila</w:t>
      </w:r>
      <w:r>
        <w:rPr>
          <w:color w:val="231F20"/>
          <w:spacing w:val="-27"/>
          <w:sz w:val="15"/>
        </w:rPr>
        <w:t xml:space="preserve"> </w:t>
      </w:r>
      <w:r>
        <w:rPr>
          <w:color w:val="231F20"/>
          <w:sz w:val="15"/>
        </w:rPr>
        <w:t>nebo</w:t>
      </w:r>
      <w:r>
        <w:rPr>
          <w:color w:val="231F20"/>
          <w:spacing w:val="-28"/>
          <w:sz w:val="15"/>
        </w:rPr>
        <w:t xml:space="preserve"> </w:t>
      </w:r>
      <w:r>
        <w:rPr>
          <w:color w:val="231F20"/>
          <w:sz w:val="15"/>
        </w:rPr>
        <w:t>užila</w:t>
      </w:r>
      <w:r>
        <w:rPr>
          <w:color w:val="231F20"/>
          <w:spacing w:val="-27"/>
          <w:sz w:val="15"/>
        </w:rPr>
        <w:t xml:space="preserve"> </w:t>
      </w:r>
      <w:r>
        <w:rPr>
          <w:color w:val="231F20"/>
          <w:sz w:val="15"/>
        </w:rPr>
        <w:t>alkohol,</w:t>
      </w:r>
      <w:r>
        <w:rPr>
          <w:color w:val="231F20"/>
          <w:spacing w:val="-27"/>
          <w:sz w:val="15"/>
        </w:rPr>
        <w:t xml:space="preserve"> </w:t>
      </w:r>
      <w:r>
        <w:rPr>
          <w:color w:val="231F20"/>
          <w:spacing w:val="-3"/>
          <w:sz w:val="15"/>
        </w:rPr>
        <w:t>drogy</w:t>
      </w:r>
      <w:r>
        <w:rPr>
          <w:color w:val="231F20"/>
          <w:spacing w:val="-28"/>
          <w:sz w:val="15"/>
        </w:rPr>
        <w:t xml:space="preserve"> </w:t>
      </w:r>
      <w:r>
        <w:rPr>
          <w:color w:val="231F20"/>
          <w:sz w:val="15"/>
        </w:rPr>
        <w:t>nebo</w:t>
      </w:r>
      <w:r>
        <w:rPr>
          <w:color w:val="231F20"/>
          <w:spacing w:val="-27"/>
          <w:sz w:val="15"/>
        </w:rPr>
        <w:t xml:space="preserve"> </w:t>
      </w:r>
      <w:r>
        <w:rPr>
          <w:color w:val="231F20"/>
          <w:sz w:val="15"/>
        </w:rPr>
        <w:t>jiné</w:t>
      </w:r>
      <w:r>
        <w:rPr>
          <w:color w:val="231F20"/>
          <w:spacing w:val="-27"/>
          <w:sz w:val="15"/>
        </w:rPr>
        <w:t xml:space="preserve"> </w:t>
      </w:r>
      <w:r>
        <w:rPr>
          <w:color w:val="231F20"/>
          <w:sz w:val="15"/>
        </w:rPr>
        <w:t>omam- né</w:t>
      </w:r>
      <w:r>
        <w:rPr>
          <w:color w:val="231F20"/>
          <w:spacing w:val="-25"/>
          <w:sz w:val="15"/>
        </w:rPr>
        <w:t xml:space="preserve"> </w:t>
      </w:r>
      <w:r>
        <w:rPr>
          <w:color w:val="231F20"/>
          <w:sz w:val="15"/>
        </w:rPr>
        <w:t>a</w:t>
      </w:r>
      <w:r>
        <w:rPr>
          <w:color w:val="231F20"/>
          <w:spacing w:val="-25"/>
          <w:sz w:val="15"/>
        </w:rPr>
        <w:t xml:space="preserve"> </w:t>
      </w:r>
      <w:r>
        <w:rPr>
          <w:color w:val="231F20"/>
          <w:sz w:val="15"/>
        </w:rPr>
        <w:t>návykové</w:t>
      </w:r>
      <w:r>
        <w:rPr>
          <w:color w:val="231F20"/>
          <w:spacing w:val="-25"/>
          <w:sz w:val="15"/>
        </w:rPr>
        <w:t xml:space="preserve"> </w:t>
      </w:r>
      <w:r>
        <w:rPr>
          <w:color w:val="231F20"/>
          <w:spacing w:val="-4"/>
          <w:sz w:val="15"/>
        </w:rPr>
        <w:t>látky,</w:t>
      </w:r>
      <w:r>
        <w:rPr>
          <w:color w:val="231F20"/>
          <w:spacing w:val="-24"/>
          <w:sz w:val="15"/>
        </w:rPr>
        <w:t xml:space="preserve"> </w:t>
      </w:r>
      <w:r>
        <w:rPr>
          <w:color w:val="231F20"/>
          <w:sz w:val="15"/>
        </w:rPr>
        <w:t>pokud</w:t>
      </w:r>
      <w:r>
        <w:rPr>
          <w:color w:val="231F20"/>
          <w:spacing w:val="-25"/>
          <w:sz w:val="15"/>
        </w:rPr>
        <w:t xml:space="preserve"> </w:t>
      </w:r>
      <w:r>
        <w:rPr>
          <w:color w:val="231F20"/>
          <w:sz w:val="15"/>
        </w:rPr>
        <w:t>příslušné</w:t>
      </w:r>
      <w:r>
        <w:rPr>
          <w:color w:val="231F20"/>
          <w:spacing w:val="-25"/>
          <w:sz w:val="15"/>
        </w:rPr>
        <w:t xml:space="preserve"> </w:t>
      </w:r>
      <w:r>
        <w:rPr>
          <w:color w:val="231F20"/>
          <w:spacing w:val="-3"/>
          <w:sz w:val="15"/>
        </w:rPr>
        <w:t>předpisy</w:t>
      </w:r>
      <w:r>
        <w:rPr>
          <w:color w:val="231F20"/>
          <w:spacing w:val="-24"/>
          <w:sz w:val="15"/>
        </w:rPr>
        <w:t xml:space="preserve"> </w:t>
      </w:r>
      <w:r>
        <w:rPr>
          <w:color w:val="231F20"/>
          <w:sz w:val="15"/>
        </w:rPr>
        <w:t>o</w:t>
      </w:r>
      <w:r>
        <w:rPr>
          <w:color w:val="231F20"/>
          <w:spacing w:val="-25"/>
          <w:sz w:val="15"/>
        </w:rPr>
        <w:t xml:space="preserve"> </w:t>
      </w:r>
      <w:r>
        <w:rPr>
          <w:color w:val="231F20"/>
          <w:sz w:val="15"/>
        </w:rPr>
        <w:t>bezpečnosti</w:t>
      </w:r>
      <w:r>
        <w:rPr>
          <w:color w:val="231F20"/>
          <w:spacing w:val="-25"/>
          <w:sz w:val="15"/>
        </w:rPr>
        <w:t xml:space="preserve"> </w:t>
      </w:r>
      <w:r>
        <w:rPr>
          <w:color w:val="231F20"/>
          <w:sz w:val="15"/>
        </w:rPr>
        <w:t>a</w:t>
      </w:r>
      <w:r>
        <w:rPr>
          <w:color w:val="231F20"/>
          <w:spacing w:val="-24"/>
          <w:sz w:val="15"/>
        </w:rPr>
        <w:t xml:space="preserve"> </w:t>
      </w:r>
      <w:r>
        <w:rPr>
          <w:color w:val="231F20"/>
          <w:sz w:val="15"/>
        </w:rPr>
        <w:t>plynulosti</w:t>
      </w:r>
      <w:r>
        <w:rPr>
          <w:color w:val="231F20"/>
          <w:spacing w:val="-25"/>
          <w:sz w:val="15"/>
        </w:rPr>
        <w:t xml:space="preserve"> </w:t>
      </w:r>
      <w:r>
        <w:rPr>
          <w:color w:val="231F20"/>
          <w:spacing w:val="-3"/>
          <w:sz w:val="15"/>
        </w:rPr>
        <w:t xml:space="preserve">pro- </w:t>
      </w:r>
      <w:r>
        <w:rPr>
          <w:color w:val="231F20"/>
          <w:sz w:val="15"/>
        </w:rPr>
        <w:t>vozu</w:t>
      </w:r>
      <w:r>
        <w:rPr>
          <w:color w:val="231F20"/>
          <w:spacing w:val="-10"/>
          <w:sz w:val="15"/>
        </w:rPr>
        <w:t xml:space="preserve"> </w:t>
      </w:r>
      <w:r>
        <w:rPr>
          <w:color w:val="231F20"/>
          <w:sz w:val="15"/>
        </w:rPr>
        <w:t>řízení</w:t>
      </w:r>
      <w:r>
        <w:rPr>
          <w:color w:val="231F20"/>
          <w:spacing w:val="-9"/>
          <w:sz w:val="15"/>
        </w:rPr>
        <w:t xml:space="preserve"> </w:t>
      </w:r>
      <w:r>
        <w:rPr>
          <w:color w:val="231F20"/>
          <w:sz w:val="15"/>
        </w:rPr>
        <w:t>po</w:t>
      </w:r>
      <w:r>
        <w:rPr>
          <w:color w:val="231F20"/>
          <w:spacing w:val="-9"/>
          <w:sz w:val="15"/>
        </w:rPr>
        <w:t xml:space="preserve"> </w:t>
      </w:r>
      <w:r>
        <w:rPr>
          <w:color w:val="231F20"/>
          <w:sz w:val="15"/>
        </w:rPr>
        <w:t>požití</w:t>
      </w:r>
      <w:r>
        <w:rPr>
          <w:color w:val="231F20"/>
          <w:spacing w:val="-9"/>
          <w:sz w:val="15"/>
        </w:rPr>
        <w:t xml:space="preserve"> </w:t>
      </w:r>
      <w:r>
        <w:rPr>
          <w:color w:val="231F20"/>
          <w:sz w:val="15"/>
        </w:rPr>
        <w:t>nebo</w:t>
      </w:r>
      <w:r>
        <w:rPr>
          <w:color w:val="231F20"/>
          <w:spacing w:val="-9"/>
          <w:sz w:val="15"/>
        </w:rPr>
        <w:t xml:space="preserve"> </w:t>
      </w:r>
      <w:r>
        <w:rPr>
          <w:color w:val="231F20"/>
          <w:sz w:val="15"/>
        </w:rPr>
        <w:t>užití</w:t>
      </w:r>
      <w:r>
        <w:rPr>
          <w:color w:val="231F20"/>
          <w:spacing w:val="-9"/>
          <w:sz w:val="15"/>
        </w:rPr>
        <w:t xml:space="preserve"> </w:t>
      </w:r>
      <w:r>
        <w:rPr>
          <w:color w:val="231F20"/>
          <w:sz w:val="15"/>
        </w:rPr>
        <w:t>těchto</w:t>
      </w:r>
      <w:r>
        <w:rPr>
          <w:color w:val="231F20"/>
          <w:spacing w:val="-9"/>
          <w:sz w:val="15"/>
        </w:rPr>
        <w:t xml:space="preserve"> </w:t>
      </w:r>
      <w:r>
        <w:rPr>
          <w:color w:val="231F20"/>
          <w:sz w:val="15"/>
        </w:rPr>
        <w:t>látek</w:t>
      </w:r>
      <w:r>
        <w:rPr>
          <w:color w:val="231F20"/>
          <w:spacing w:val="-9"/>
          <w:sz w:val="15"/>
        </w:rPr>
        <w:t xml:space="preserve"> </w:t>
      </w:r>
      <w:r>
        <w:rPr>
          <w:color w:val="231F20"/>
          <w:sz w:val="15"/>
        </w:rPr>
        <w:t>zakazují</w:t>
      </w:r>
      <w:r>
        <w:rPr>
          <w:color w:val="231F20"/>
          <w:spacing w:val="-9"/>
          <w:sz w:val="15"/>
        </w:rPr>
        <w:t xml:space="preserve"> </w:t>
      </w:r>
      <w:r>
        <w:rPr>
          <w:color w:val="231F20"/>
          <w:sz w:val="15"/>
        </w:rPr>
        <w:t>zcela,</w:t>
      </w:r>
      <w:r>
        <w:rPr>
          <w:color w:val="231F20"/>
          <w:spacing w:val="-9"/>
          <w:sz w:val="15"/>
        </w:rPr>
        <w:t xml:space="preserve"> </w:t>
      </w:r>
      <w:r>
        <w:rPr>
          <w:color w:val="231F20"/>
          <w:sz w:val="15"/>
        </w:rPr>
        <w:t>nebo</w:t>
      </w:r>
      <w:r>
        <w:rPr>
          <w:color w:val="231F20"/>
          <w:spacing w:val="-9"/>
          <w:sz w:val="15"/>
        </w:rPr>
        <w:t xml:space="preserve"> </w:t>
      </w:r>
      <w:r>
        <w:rPr>
          <w:color w:val="231F20"/>
          <w:sz w:val="15"/>
        </w:rPr>
        <w:t>v</w:t>
      </w:r>
      <w:r>
        <w:rPr>
          <w:color w:val="231F20"/>
          <w:spacing w:val="-10"/>
          <w:sz w:val="15"/>
        </w:rPr>
        <w:t xml:space="preserve"> </w:t>
      </w:r>
      <w:r>
        <w:rPr>
          <w:color w:val="231F20"/>
          <w:spacing w:val="-3"/>
          <w:sz w:val="15"/>
        </w:rPr>
        <w:t xml:space="preserve">rozsahu </w:t>
      </w:r>
      <w:r>
        <w:rPr>
          <w:color w:val="231F20"/>
          <w:sz w:val="15"/>
        </w:rPr>
        <w:t>větším,</w:t>
      </w:r>
      <w:r>
        <w:rPr>
          <w:color w:val="231F20"/>
          <w:spacing w:val="-13"/>
          <w:sz w:val="15"/>
        </w:rPr>
        <w:t xml:space="preserve"> </w:t>
      </w:r>
      <w:r>
        <w:rPr>
          <w:color w:val="231F20"/>
          <w:sz w:val="15"/>
        </w:rPr>
        <w:t>než</w:t>
      </w:r>
      <w:r>
        <w:rPr>
          <w:color w:val="231F20"/>
          <w:spacing w:val="-12"/>
          <w:sz w:val="15"/>
        </w:rPr>
        <w:t xml:space="preserve"> </w:t>
      </w:r>
      <w:r>
        <w:rPr>
          <w:color w:val="231F20"/>
          <w:sz w:val="15"/>
        </w:rPr>
        <w:t>příslušné</w:t>
      </w:r>
      <w:r>
        <w:rPr>
          <w:color w:val="231F20"/>
          <w:spacing w:val="-13"/>
          <w:sz w:val="15"/>
        </w:rPr>
        <w:t xml:space="preserve"> </w:t>
      </w:r>
      <w:r>
        <w:rPr>
          <w:color w:val="231F20"/>
          <w:spacing w:val="-3"/>
          <w:sz w:val="15"/>
        </w:rPr>
        <w:t>předpisy</w:t>
      </w:r>
      <w:r>
        <w:rPr>
          <w:color w:val="231F20"/>
          <w:spacing w:val="-12"/>
          <w:sz w:val="15"/>
        </w:rPr>
        <w:t xml:space="preserve"> </w:t>
      </w:r>
      <w:r>
        <w:rPr>
          <w:color w:val="231F20"/>
          <w:sz w:val="15"/>
        </w:rPr>
        <w:t>o</w:t>
      </w:r>
      <w:r>
        <w:rPr>
          <w:color w:val="231F20"/>
          <w:spacing w:val="-12"/>
          <w:sz w:val="15"/>
        </w:rPr>
        <w:t xml:space="preserve"> </w:t>
      </w:r>
      <w:r>
        <w:rPr>
          <w:color w:val="231F20"/>
          <w:sz w:val="15"/>
        </w:rPr>
        <w:t>bezpečnosti</w:t>
      </w:r>
      <w:r>
        <w:rPr>
          <w:color w:val="231F20"/>
          <w:spacing w:val="-13"/>
          <w:sz w:val="15"/>
        </w:rPr>
        <w:t xml:space="preserve"> </w:t>
      </w:r>
      <w:r>
        <w:rPr>
          <w:color w:val="231F20"/>
          <w:sz w:val="15"/>
        </w:rPr>
        <w:t>a</w:t>
      </w:r>
      <w:r>
        <w:rPr>
          <w:color w:val="231F20"/>
          <w:spacing w:val="-12"/>
          <w:sz w:val="15"/>
        </w:rPr>
        <w:t xml:space="preserve"> </w:t>
      </w:r>
      <w:r>
        <w:rPr>
          <w:color w:val="231F20"/>
          <w:sz w:val="15"/>
        </w:rPr>
        <w:t>plynulosti</w:t>
      </w:r>
      <w:r>
        <w:rPr>
          <w:color w:val="231F20"/>
          <w:spacing w:val="-13"/>
          <w:sz w:val="15"/>
        </w:rPr>
        <w:t xml:space="preserve"> </w:t>
      </w:r>
      <w:r>
        <w:rPr>
          <w:color w:val="231F20"/>
          <w:spacing w:val="-3"/>
          <w:sz w:val="15"/>
        </w:rPr>
        <w:t>provozu</w:t>
      </w:r>
      <w:r>
        <w:rPr>
          <w:color w:val="231F20"/>
          <w:spacing w:val="-12"/>
          <w:sz w:val="15"/>
        </w:rPr>
        <w:t xml:space="preserve"> </w:t>
      </w:r>
      <w:r>
        <w:rPr>
          <w:color w:val="231F20"/>
          <w:sz w:val="15"/>
        </w:rPr>
        <w:t>povolují;</w:t>
      </w:r>
    </w:p>
    <w:p w14:paraId="40102EDF" w14:textId="77777777" w:rsidR="00F65BCA" w:rsidRDefault="00F65BCA">
      <w:pPr>
        <w:spacing w:line="278" w:lineRule="auto"/>
        <w:jc w:val="both"/>
        <w:rPr>
          <w:sz w:val="15"/>
        </w:rPr>
        <w:sectPr w:rsidR="00F65BCA">
          <w:type w:val="continuous"/>
          <w:pgSz w:w="11910" w:h="16840"/>
          <w:pgMar w:top="840" w:right="140" w:bottom="280" w:left="140" w:header="708" w:footer="708" w:gutter="0"/>
          <w:cols w:num="2" w:space="708" w:equalWidth="0">
            <w:col w:w="5700" w:space="40"/>
            <w:col w:w="5890"/>
          </w:cols>
        </w:sectPr>
      </w:pPr>
    </w:p>
    <w:p w14:paraId="47E2E8DE" w14:textId="77777777" w:rsidR="00F65BCA" w:rsidRDefault="00000000">
      <w:pPr>
        <w:pStyle w:val="Zkladntext"/>
        <w:spacing w:before="75" w:line="278" w:lineRule="auto"/>
        <w:ind w:left="880"/>
        <w:jc w:val="both"/>
      </w:pPr>
      <w:r>
        <w:lastRenderedPageBreak/>
        <w:pict w14:anchorId="766011D0">
          <v:group id="_x0000_s2275" style="position:absolute;left:0;text-align:left;margin-left:0;margin-top:807.85pt;width:595.3pt;height:34.05pt;z-index:251859968;mso-position-horizontal-relative:page;mso-position-vertical-relative:page" coordorigin=",16157" coordsize="11906,681">
            <v:rect id="_x0000_s2278" style="position:absolute;top:16157;width:11906;height:681" fillcolor="#dcddde" stroked="f"/>
            <v:shape id="_x0000_s2277" type="#_x0000_t202" style="position:absolute;left:1020;top:16477;width:1414;height:164" filled="f" stroked="f">
              <v:textbox inset="0,0,0,0">
                <w:txbxContent>
                  <w:p w14:paraId="7F47A9D4" w14:textId="77777777" w:rsidR="00F65BCA" w:rsidRDefault="00216117">
                    <w:pPr>
                      <w:spacing w:before="2"/>
                      <w:rPr>
                        <w:sz w:val="14"/>
                      </w:rPr>
                    </w:pPr>
                    <w:r>
                      <w:rPr>
                        <w:color w:val="231F20"/>
                        <w:sz w:val="14"/>
                      </w:rPr>
                      <w:t>6.20.012 05.2025 v04</w:t>
                    </w:r>
                  </w:p>
                </w:txbxContent>
              </v:textbox>
            </v:shape>
            <v:shape id="_x0000_s2276" type="#_x0000_t202" style="position:absolute;left:5679;top:16420;width:5453;height:234" filled="f" stroked="f">
              <v:textbox inset="0,0,0,0">
                <w:txbxContent>
                  <w:p w14:paraId="0EECE918" w14:textId="77777777" w:rsidR="00F65BCA" w:rsidRDefault="00216117">
                    <w:pPr>
                      <w:spacing w:before="3"/>
                      <w:rPr>
                        <w:sz w:val="16"/>
                      </w:rPr>
                    </w:pPr>
                    <w:r>
                      <w:rPr>
                        <w:color w:val="231F20"/>
                        <w:sz w:val="16"/>
                      </w:rPr>
                      <w:t xml:space="preserve">Všeobecné pojistné podmínky pro pojištění vozidel VPPPMV-F-5/2025 </w:t>
                    </w:r>
                    <w:r>
                      <w:rPr>
                        <w:color w:val="6D6E71"/>
                        <w:sz w:val="20"/>
                      </w:rPr>
                      <w:t xml:space="preserve">| </w:t>
                    </w:r>
                    <w:r>
                      <w:rPr>
                        <w:color w:val="231F20"/>
                        <w:sz w:val="16"/>
                      </w:rPr>
                      <w:t>21</w:t>
                    </w:r>
                  </w:p>
                </w:txbxContent>
              </v:textbox>
            </v:shape>
            <w10:wrap anchorx="page" anchory="page"/>
          </v:group>
        </w:pict>
      </w:r>
      <w:r w:rsidR="00216117">
        <w:rPr>
          <w:color w:val="231F20"/>
        </w:rPr>
        <w:t>stejně</w:t>
      </w:r>
      <w:r w:rsidR="00216117">
        <w:rPr>
          <w:color w:val="231F20"/>
          <w:spacing w:val="-24"/>
        </w:rPr>
        <w:t xml:space="preserve"> </w:t>
      </w:r>
      <w:r w:rsidR="00216117">
        <w:rPr>
          <w:color w:val="231F20"/>
        </w:rPr>
        <w:t>bude</w:t>
      </w:r>
      <w:r w:rsidR="00216117">
        <w:rPr>
          <w:color w:val="231F20"/>
          <w:spacing w:val="-24"/>
        </w:rPr>
        <w:t xml:space="preserve"> </w:t>
      </w:r>
      <w:r w:rsidR="00216117">
        <w:rPr>
          <w:color w:val="231F20"/>
        </w:rPr>
        <w:t>posuzováno,</w:t>
      </w:r>
      <w:r w:rsidR="00216117">
        <w:rPr>
          <w:color w:val="231F20"/>
          <w:spacing w:val="-24"/>
        </w:rPr>
        <w:t xml:space="preserve"> </w:t>
      </w:r>
      <w:r w:rsidR="00216117">
        <w:rPr>
          <w:color w:val="231F20"/>
        </w:rPr>
        <w:t>požije-li</w:t>
      </w:r>
      <w:r w:rsidR="00216117">
        <w:rPr>
          <w:color w:val="231F20"/>
          <w:spacing w:val="-24"/>
        </w:rPr>
        <w:t xml:space="preserve"> </w:t>
      </w:r>
      <w:r w:rsidR="00216117">
        <w:rPr>
          <w:color w:val="231F20"/>
        </w:rPr>
        <w:t>nebo</w:t>
      </w:r>
      <w:r w:rsidR="00216117">
        <w:rPr>
          <w:color w:val="231F20"/>
          <w:spacing w:val="-23"/>
        </w:rPr>
        <w:t xml:space="preserve"> </w:t>
      </w:r>
      <w:r w:rsidR="00216117">
        <w:rPr>
          <w:color w:val="231F20"/>
        </w:rPr>
        <w:t>užije-li</w:t>
      </w:r>
      <w:r w:rsidR="00216117">
        <w:rPr>
          <w:color w:val="231F20"/>
          <w:spacing w:val="-24"/>
        </w:rPr>
        <w:t xml:space="preserve"> </w:t>
      </w:r>
      <w:r w:rsidR="00216117">
        <w:rPr>
          <w:color w:val="231F20"/>
        </w:rPr>
        <w:t>alkohol</w:t>
      </w:r>
      <w:r w:rsidR="00216117">
        <w:rPr>
          <w:color w:val="231F20"/>
          <w:spacing w:val="-24"/>
        </w:rPr>
        <w:t xml:space="preserve"> </w:t>
      </w:r>
      <w:r w:rsidR="00216117">
        <w:rPr>
          <w:color w:val="231F20"/>
        </w:rPr>
        <w:t>či</w:t>
      </w:r>
      <w:r w:rsidR="00216117">
        <w:rPr>
          <w:color w:val="231F20"/>
          <w:spacing w:val="-24"/>
        </w:rPr>
        <w:t xml:space="preserve"> </w:t>
      </w:r>
      <w:r w:rsidR="00216117">
        <w:rPr>
          <w:color w:val="231F20"/>
        </w:rPr>
        <w:t>výše</w:t>
      </w:r>
      <w:r w:rsidR="00216117">
        <w:rPr>
          <w:color w:val="231F20"/>
          <w:spacing w:val="-23"/>
        </w:rPr>
        <w:t xml:space="preserve"> </w:t>
      </w:r>
      <w:r w:rsidR="00216117">
        <w:rPr>
          <w:color w:val="231F20"/>
        </w:rPr>
        <w:t>uvedené</w:t>
      </w:r>
      <w:r w:rsidR="00216117">
        <w:rPr>
          <w:color w:val="231F20"/>
          <w:spacing w:val="-24"/>
        </w:rPr>
        <w:t xml:space="preserve"> </w:t>
      </w:r>
      <w:r w:rsidR="00216117">
        <w:rPr>
          <w:color w:val="231F20"/>
        </w:rPr>
        <w:t>látky po</w:t>
      </w:r>
      <w:r w:rsidR="00216117">
        <w:rPr>
          <w:color w:val="231F20"/>
          <w:spacing w:val="-18"/>
        </w:rPr>
        <w:t xml:space="preserve"> </w:t>
      </w:r>
      <w:r w:rsidR="00216117">
        <w:rPr>
          <w:color w:val="231F20"/>
        </w:rPr>
        <w:t>nehodě</w:t>
      </w:r>
      <w:r w:rsidR="00216117">
        <w:rPr>
          <w:color w:val="231F20"/>
          <w:spacing w:val="-17"/>
        </w:rPr>
        <w:t xml:space="preserve"> </w:t>
      </w:r>
      <w:r w:rsidR="00216117">
        <w:rPr>
          <w:color w:val="231F20"/>
        </w:rPr>
        <w:t>po</w:t>
      </w:r>
      <w:r w:rsidR="00216117">
        <w:rPr>
          <w:color w:val="231F20"/>
          <w:spacing w:val="-18"/>
        </w:rPr>
        <w:t xml:space="preserve"> </w:t>
      </w:r>
      <w:r w:rsidR="00216117">
        <w:rPr>
          <w:color w:val="231F20"/>
        </w:rPr>
        <w:t>dobu,</w:t>
      </w:r>
      <w:r w:rsidR="00216117">
        <w:rPr>
          <w:color w:val="231F20"/>
          <w:spacing w:val="-17"/>
        </w:rPr>
        <w:t xml:space="preserve"> </w:t>
      </w:r>
      <w:r w:rsidR="00216117">
        <w:rPr>
          <w:color w:val="231F20"/>
        </w:rPr>
        <w:t>do</w:t>
      </w:r>
      <w:r w:rsidR="00216117">
        <w:rPr>
          <w:color w:val="231F20"/>
          <w:spacing w:val="-17"/>
        </w:rPr>
        <w:t xml:space="preserve"> </w:t>
      </w:r>
      <w:r w:rsidR="00216117">
        <w:rPr>
          <w:color w:val="231F20"/>
        </w:rPr>
        <w:t>kdy</w:t>
      </w:r>
      <w:r w:rsidR="00216117">
        <w:rPr>
          <w:color w:val="231F20"/>
          <w:spacing w:val="-18"/>
        </w:rPr>
        <w:t xml:space="preserve"> </w:t>
      </w:r>
      <w:r w:rsidR="00216117">
        <w:rPr>
          <w:color w:val="231F20"/>
        </w:rPr>
        <w:t>by</w:t>
      </w:r>
      <w:r w:rsidR="00216117">
        <w:rPr>
          <w:color w:val="231F20"/>
          <w:spacing w:val="-17"/>
        </w:rPr>
        <w:t xml:space="preserve"> </w:t>
      </w:r>
      <w:r w:rsidR="00216117">
        <w:rPr>
          <w:color w:val="231F20"/>
        </w:rPr>
        <w:t>to</w:t>
      </w:r>
      <w:r w:rsidR="00216117">
        <w:rPr>
          <w:color w:val="231F20"/>
          <w:spacing w:val="-17"/>
        </w:rPr>
        <w:t xml:space="preserve"> </w:t>
      </w:r>
      <w:r w:rsidR="00216117">
        <w:rPr>
          <w:color w:val="231F20"/>
        </w:rPr>
        <w:t>bylo</w:t>
      </w:r>
      <w:r w:rsidR="00216117">
        <w:rPr>
          <w:color w:val="231F20"/>
          <w:spacing w:val="-18"/>
        </w:rPr>
        <w:t xml:space="preserve"> </w:t>
      </w:r>
      <w:r w:rsidR="00216117">
        <w:rPr>
          <w:color w:val="231F20"/>
        </w:rPr>
        <w:t>na</w:t>
      </w:r>
      <w:r w:rsidR="00216117">
        <w:rPr>
          <w:color w:val="231F20"/>
          <w:spacing w:val="-17"/>
        </w:rPr>
        <w:t xml:space="preserve"> </w:t>
      </w:r>
      <w:r w:rsidR="00216117">
        <w:rPr>
          <w:color w:val="231F20"/>
        </w:rPr>
        <w:t>újmu</w:t>
      </w:r>
      <w:r w:rsidR="00216117">
        <w:rPr>
          <w:color w:val="231F20"/>
          <w:spacing w:val="-17"/>
        </w:rPr>
        <w:t xml:space="preserve"> </w:t>
      </w:r>
      <w:r w:rsidR="00216117">
        <w:rPr>
          <w:color w:val="231F20"/>
        </w:rPr>
        <w:t>zjištění,</w:t>
      </w:r>
      <w:r w:rsidR="00216117">
        <w:rPr>
          <w:color w:val="231F20"/>
          <w:spacing w:val="-18"/>
        </w:rPr>
        <w:t xml:space="preserve"> </w:t>
      </w:r>
      <w:r w:rsidR="00216117">
        <w:rPr>
          <w:color w:val="231F20"/>
        </w:rPr>
        <w:t>zda</w:t>
      </w:r>
      <w:r w:rsidR="00216117">
        <w:rPr>
          <w:color w:val="231F20"/>
          <w:spacing w:val="-17"/>
        </w:rPr>
        <w:t xml:space="preserve"> </w:t>
      </w:r>
      <w:r w:rsidR="00216117">
        <w:rPr>
          <w:color w:val="231F20"/>
          <w:spacing w:val="-3"/>
        </w:rPr>
        <w:t>před</w:t>
      </w:r>
      <w:r w:rsidR="00216117">
        <w:rPr>
          <w:color w:val="231F20"/>
          <w:spacing w:val="-17"/>
        </w:rPr>
        <w:t xml:space="preserve"> </w:t>
      </w:r>
      <w:r w:rsidR="00216117">
        <w:rPr>
          <w:color w:val="231F20"/>
        </w:rPr>
        <w:t>jízdou</w:t>
      </w:r>
      <w:r w:rsidR="00216117">
        <w:rPr>
          <w:color w:val="231F20"/>
          <w:spacing w:val="-18"/>
        </w:rPr>
        <w:t xml:space="preserve"> </w:t>
      </w:r>
      <w:r w:rsidR="00216117">
        <w:rPr>
          <w:color w:val="231F20"/>
        </w:rPr>
        <w:t>nebo během</w:t>
      </w:r>
      <w:r w:rsidR="00216117">
        <w:rPr>
          <w:color w:val="231F20"/>
          <w:spacing w:val="-27"/>
        </w:rPr>
        <w:t xml:space="preserve"> </w:t>
      </w:r>
      <w:r w:rsidR="00216117">
        <w:rPr>
          <w:color w:val="231F20"/>
        </w:rPr>
        <w:t>jízdy</w:t>
      </w:r>
      <w:r w:rsidR="00216117">
        <w:rPr>
          <w:color w:val="231F20"/>
          <w:spacing w:val="-27"/>
        </w:rPr>
        <w:t xml:space="preserve"> </w:t>
      </w:r>
      <w:r w:rsidR="00216117">
        <w:rPr>
          <w:color w:val="231F20"/>
        </w:rPr>
        <w:t>požil</w:t>
      </w:r>
      <w:r w:rsidR="00216117">
        <w:rPr>
          <w:color w:val="231F20"/>
          <w:spacing w:val="-27"/>
        </w:rPr>
        <w:t xml:space="preserve"> </w:t>
      </w:r>
      <w:r w:rsidR="00216117">
        <w:rPr>
          <w:color w:val="231F20"/>
        </w:rPr>
        <w:t>nebo</w:t>
      </w:r>
      <w:r w:rsidR="00216117">
        <w:rPr>
          <w:color w:val="231F20"/>
          <w:spacing w:val="-27"/>
        </w:rPr>
        <w:t xml:space="preserve"> </w:t>
      </w:r>
      <w:r w:rsidR="00216117">
        <w:rPr>
          <w:color w:val="231F20"/>
        </w:rPr>
        <w:t>užil</w:t>
      </w:r>
      <w:r w:rsidR="00216117">
        <w:rPr>
          <w:color w:val="231F20"/>
          <w:spacing w:val="-27"/>
        </w:rPr>
        <w:t xml:space="preserve"> </w:t>
      </w:r>
      <w:r w:rsidR="00216117">
        <w:rPr>
          <w:color w:val="231F20"/>
        </w:rPr>
        <w:t>alkoholický</w:t>
      </w:r>
      <w:r w:rsidR="00216117">
        <w:rPr>
          <w:color w:val="231F20"/>
          <w:spacing w:val="-27"/>
        </w:rPr>
        <w:t xml:space="preserve"> </w:t>
      </w:r>
      <w:r w:rsidR="00216117">
        <w:rPr>
          <w:color w:val="231F20"/>
        </w:rPr>
        <w:t>nápoj</w:t>
      </w:r>
      <w:r w:rsidR="00216117">
        <w:rPr>
          <w:color w:val="231F20"/>
          <w:spacing w:val="-27"/>
        </w:rPr>
        <w:t xml:space="preserve"> </w:t>
      </w:r>
      <w:r w:rsidR="00216117">
        <w:rPr>
          <w:color w:val="231F20"/>
        </w:rPr>
        <w:t>nebo</w:t>
      </w:r>
      <w:r w:rsidR="00216117">
        <w:rPr>
          <w:color w:val="231F20"/>
          <w:spacing w:val="-27"/>
        </w:rPr>
        <w:t xml:space="preserve"> </w:t>
      </w:r>
      <w:r w:rsidR="00216117">
        <w:rPr>
          <w:color w:val="231F20"/>
        </w:rPr>
        <w:t>výše</w:t>
      </w:r>
      <w:r w:rsidR="00216117">
        <w:rPr>
          <w:color w:val="231F20"/>
          <w:spacing w:val="-27"/>
        </w:rPr>
        <w:t xml:space="preserve"> </w:t>
      </w:r>
      <w:r w:rsidR="00216117">
        <w:rPr>
          <w:color w:val="231F20"/>
        </w:rPr>
        <w:t>uvedenou</w:t>
      </w:r>
      <w:r w:rsidR="00216117">
        <w:rPr>
          <w:color w:val="231F20"/>
          <w:spacing w:val="-26"/>
        </w:rPr>
        <w:t xml:space="preserve"> </w:t>
      </w:r>
      <w:r w:rsidR="00216117">
        <w:rPr>
          <w:color w:val="231F20"/>
        </w:rPr>
        <w:t>látku;</w:t>
      </w:r>
      <w:r w:rsidR="00216117">
        <w:rPr>
          <w:color w:val="231F20"/>
          <w:spacing w:val="-26"/>
        </w:rPr>
        <w:t xml:space="preserve"> </w:t>
      </w:r>
      <w:r w:rsidR="00216117">
        <w:rPr>
          <w:color w:val="231F20"/>
        </w:rPr>
        <w:t>tato výluka se neuplatní v případě odcizení</w:t>
      </w:r>
      <w:r w:rsidR="00216117">
        <w:rPr>
          <w:color w:val="231F20"/>
          <w:spacing w:val="-18"/>
        </w:rPr>
        <w:t xml:space="preserve"> </w:t>
      </w:r>
      <w:r w:rsidR="00216117">
        <w:rPr>
          <w:color w:val="231F20"/>
        </w:rPr>
        <w:t>vozidla;</w:t>
      </w:r>
    </w:p>
    <w:p w14:paraId="670C6DE7" w14:textId="77777777" w:rsidR="00F65BCA" w:rsidRDefault="00216117">
      <w:pPr>
        <w:pStyle w:val="Odstavecseseznamem"/>
        <w:numPr>
          <w:ilvl w:val="0"/>
          <w:numId w:val="112"/>
        </w:numPr>
        <w:tabs>
          <w:tab w:val="left" w:pos="881"/>
        </w:tabs>
        <w:spacing w:line="278" w:lineRule="auto"/>
        <w:ind w:left="880"/>
        <w:jc w:val="both"/>
        <w:rPr>
          <w:sz w:val="15"/>
        </w:rPr>
      </w:pPr>
      <w:r>
        <w:rPr>
          <w:color w:val="231F20"/>
          <w:sz w:val="15"/>
        </w:rPr>
        <w:t>řízení</w:t>
      </w:r>
      <w:r>
        <w:rPr>
          <w:color w:val="231F20"/>
          <w:spacing w:val="-21"/>
          <w:sz w:val="15"/>
        </w:rPr>
        <w:t xml:space="preserve"> </w:t>
      </w:r>
      <w:r>
        <w:rPr>
          <w:color w:val="231F20"/>
          <w:sz w:val="15"/>
        </w:rPr>
        <w:t>vozidla</w:t>
      </w:r>
      <w:r>
        <w:rPr>
          <w:color w:val="231F20"/>
          <w:spacing w:val="-21"/>
          <w:sz w:val="15"/>
        </w:rPr>
        <w:t xml:space="preserve"> </w:t>
      </w:r>
      <w:r>
        <w:rPr>
          <w:color w:val="231F20"/>
          <w:sz w:val="15"/>
        </w:rPr>
        <w:t>osobou,</w:t>
      </w:r>
      <w:r>
        <w:rPr>
          <w:color w:val="231F20"/>
          <w:spacing w:val="-20"/>
          <w:sz w:val="15"/>
        </w:rPr>
        <w:t xml:space="preserve"> </w:t>
      </w:r>
      <w:r>
        <w:rPr>
          <w:color w:val="231F20"/>
          <w:sz w:val="15"/>
        </w:rPr>
        <w:t>která</w:t>
      </w:r>
      <w:r>
        <w:rPr>
          <w:color w:val="231F20"/>
          <w:spacing w:val="-21"/>
          <w:sz w:val="15"/>
        </w:rPr>
        <w:t xml:space="preserve"> </w:t>
      </w:r>
      <w:r>
        <w:rPr>
          <w:color w:val="231F20"/>
          <w:sz w:val="15"/>
        </w:rPr>
        <w:t>se</w:t>
      </w:r>
      <w:r>
        <w:rPr>
          <w:color w:val="231F20"/>
          <w:spacing w:val="-20"/>
          <w:sz w:val="15"/>
        </w:rPr>
        <w:t xml:space="preserve"> </w:t>
      </w:r>
      <w:r>
        <w:rPr>
          <w:color w:val="231F20"/>
          <w:sz w:val="15"/>
        </w:rPr>
        <w:t>odmítla</w:t>
      </w:r>
      <w:r>
        <w:rPr>
          <w:color w:val="231F20"/>
          <w:spacing w:val="-21"/>
          <w:sz w:val="15"/>
        </w:rPr>
        <w:t xml:space="preserve"> </w:t>
      </w:r>
      <w:r>
        <w:rPr>
          <w:color w:val="231F20"/>
          <w:sz w:val="15"/>
        </w:rPr>
        <w:t>podrobit</w:t>
      </w:r>
      <w:r>
        <w:rPr>
          <w:color w:val="231F20"/>
          <w:spacing w:val="-21"/>
          <w:sz w:val="15"/>
        </w:rPr>
        <w:t xml:space="preserve"> </w:t>
      </w:r>
      <w:r>
        <w:rPr>
          <w:color w:val="231F20"/>
          <w:sz w:val="15"/>
        </w:rPr>
        <w:t>na</w:t>
      </w:r>
      <w:r>
        <w:rPr>
          <w:color w:val="231F20"/>
          <w:spacing w:val="-20"/>
          <w:sz w:val="15"/>
        </w:rPr>
        <w:t xml:space="preserve"> </w:t>
      </w:r>
      <w:r>
        <w:rPr>
          <w:color w:val="231F20"/>
          <w:sz w:val="15"/>
        </w:rPr>
        <w:t>výzvu</w:t>
      </w:r>
      <w:r>
        <w:rPr>
          <w:color w:val="231F20"/>
          <w:spacing w:val="-21"/>
          <w:sz w:val="15"/>
        </w:rPr>
        <w:t xml:space="preserve"> </w:t>
      </w:r>
      <w:r>
        <w:rPr>
          <w:color w:val="231F20"/>
          <w:sz w:val="15"/>
        </w:rPr>
        <w:t>příslušníka</w:t>
      </w:r>
      <w:r>
        <w:rPr>
          <w:color w:val="231F20"/>
          <w:spacing w:val="-21"/>
          <w:sz w:val="15"/>
        </w:rPr>
        <w:t xml:space="preserve"> </w:t>
      </w:r>
      <w:r>
        <w:rPr>
          <w:color w:val="231F20"/>
          <w:sz w:val="15"/>
        </w:rPr>
        <w:t>policie zkoušce</w:t>
      </w:r>
      <w:r>
        <w:rPr>
          <w:color w:val="231F20"/>
          <w:spacing w:val="-19"/>
          <w:sz w:val="15"/>
        </w:rPr>
        <w:t xml:space="preserve"> </w:t>
      </w:r>
      <w:r>
        <w:rPr>
          <w:color w:val="231F20"/>
          <w:sz w:val="15"/>
        </w:rPr>
        <w:t>na</w:t>
      </w:r>
      <w:r>
        <w:rPr>
          <w:color w:val="231F20"/>
          <w:spacing w:val="-18"/>
          <w:sz w:val="15"/>
        </w:rPr>
        <w:t xml:space="preserve"> </w:t>
      </w:r>
      <w:r>
        <w:rPr>
          <w:color w:val="231F20"/>
          <w:sz w:val="15"/>
        </w:rPr>
        <w:t>přítomnost</w:t>
      </w:r>
      <w:r>
        <w:rPr>
          <w:color w:val="231F20"/>
          <w:spacing w:val="-18"/>
          <w:sz w:val="15"/>
        </w:rPr>
        <w:t xml:space="preserve"> </w:t>
      </w:r>
      <w:r>
        <w:rPr>
          <w:color w:val="231F20"/>
          <w:sz w:val="15"/>
        </w:rPr>
        <w:t>alkoholu,</w:t>
      </w:r>
      <w:r>
        <w:rPr>
          <w:color w:val="231F20"/>
          <w:spacing w:val="-19"/>
          <w:sz w:val="15"/>
        </w:rPr>
        <w:t xml:space="preserve"> </w:t>
      </w:r>
      <w:r>
        <w:rPr>
          <w:color w:val="231F20"/>
          <w:sz w:val="15"/>
        </w:rPr>
        <w:t>omamné</w:t>
      </w:r>
      <w:r>
        <w:rPr>
          <w:color w:val="231F20"/>
          <w:spacing w:val="-18"/>
          <w:sz w:val="15"/>
        </w:rPr>
        <w:t xml:space="preserve"> </w:t>
      </w:r>
      <w:r>
        <w:rPr>
          <w:color w:val="231F20"/>
          <w:sz w:val="15"/>
        </w:rPr>
        <w:t>nebo</w:t>
      </w:r>
      <w:r>
        <w:rPr>
          <w:color w:val="231F20"/>
          <w:spacing w:val="-18"/>
          <w:sz w:val="15"/>
        </w:rPr>
        <w:t xml:space="preserve"> </w:t>
      </w:r>
      <w:r>
        <w:rPr>
          <w:color w:val="231F20"/>
          <w:sz w:val="15"/>
        </w:rPr>
        <w:t>psychotropní</w:t>
      </w:r>
      <w:r>
        <w:rPr>
          <w:color w:val="231F20"/>
          <w:spacing w:val="-18"/>
          <w:sz w:val="15"/>
        </w:rPr>
        <w:t xml:space="preserve"> </w:t>
      </w:r>
      <w:r>
        <w:rPr>
          <w:color w:val="231F20"/>
          <w:sz w:val="15"/>
        </w:rPr>
        <w:t>látky</w:t>
      </w:r>
      <w:r>
        <w:rPr>
          <w:color w:val="231F20"/>
          <w:spacing w:val="-19"/>
          <w:sz w:val="15"/>
        </w:rPr>
        <w:t xml:space="preserve"> </w:t>
      </w:r>
      <w:r>
        <w:rPr>
          <w:color w:val="231F20"/>
          <w:sz w:val="15"/>
        </w:rPr>
        <w:t>nebo</w:t>
      </w:r>
      <w:r>
        <w:rPr>
          <w:color w:val="231F20"/>
          <w:spacing w:val="-18"/>
          <w:sz w:val="15"/>
        </w:rPr>
        <w:t xml:space="preserve"> </w:t>
      </w:r>
      <w:r>
        <w:rPr>
          <w:color w:val="231F20"/>
          <w:spacing w:val="-4"/>
          <w:sz w:val="15"/>
        </w:rPr>
        <w:t xml:space="preserve">lé- </w:t>
      </w:r>
      <w:r>
        <w:rPr>
          <w:color w:val="231F20"/>
          <w:sz w:val="15"/>
        </w:rPr>
        <w:t>čivého</w:t>
      </w:r>
      <w:r>
        <w:rPr>
          <w:color w:val="231F20"/>
          <w:spacing w:val="-24"/>
          <w:sz w:val="15"/>
        </w:rPr>
        <w:t xml:space="preserve"> </w:t>
      </w:r>
      <w:r>
        <w:rPr>
          <w:color w:val="231F20"/>
          <w:sz w:val="15"/>
        </w:rPr>
        <w:t>přípravku,</w:t>
      </w:r>
      <w:r>
        <w:rPr>
          <w:color w:val="231F20"/>
          <w:spacing w:val="-23"/>
          <w:sz w:val="15"/>
        </w:rPr>
        <w:t xml:space="preserve"> </w:t>
      </w:r>
      <w:r>
        <w:rPr>
          <w:color w:val="231F20"/>
          <w:sz w:val="15"/>
        </w:rPr>
        <w:t>který</w:t>
      </w:r>
      <w:r>
        <w:rPr>
          <w:color w:val="231F20"/>
          <w:spacing w:val="-23"/>
          <w:sz w:val="15"/>
        </w:rPr>
        <w:t xml:space="preserve"> </w:t>
      </w:r>
      <w:r>
        <w:rPr>
          <w:color w:val="231F20"/>
          <w:sz w:val="15"/>
        </w:rPr>
        <w:t>má</w:t>
      </w:r>
      <w:r>
        <w:rPr>
          <w:color w:val="231F20"/>
          <w:spacing w:val="-23"/>
          <w:sz w:val="15"/>
        </w:rPr>
        <w:t xml:space="preserve"> </w:t>
      </w:r>
      <w:r>
        <w:rPr>
          <w:color w:val="231F20"/>
          <w:sz w:val="15"/>
        </w:rPr>
        <w:t>podle</w:t>
      </w:r>
      <w:r>
        <w:rPr>
          <w:color w:val="231F20"/>
          <w:spacing w:val="-23"/>
          <w:sz w:val="15"/>
        </w:rPr>
        <w:t xml:space="preserve"> </w:t>
      </w:r>
      <w:r>
        <w:rPr>
          <w:color w:val="231F20"/>
          <w:sz w:val="15"/>
        </w:rPr>
        <w:t>příbalové</w:t>
      </w:r>
      <w:r>
        <w:rPr>
          <w:color w:val="231F20"/>
          <w:spacing w:val="-23"/>
          <w:sz w:val="15"/>
        </w:rPr>
        <w:t xml:space="preserve"> </w:t>
      </w:r>
      <w:r>
        <w:rPr>
          <w:color w:val="231F20"/>
          <w:sz w:val="15"/>
        </w:rPr>
        <w:t>informace</w:t>
      </w:r>
      <w:r>
        <w:rPr>
          <w:color w:val="231F20"/>
          <w:spacing w:val="-24"/>
          <w:sz w:val="15"/>
        </w:rPr>
        <w:t xml:space="preserve"> </w:t>
      </w:r>
      <w:r>
        <w:rPr>
          <w:color w:val="231F20"/>
          <w:sz w:val="15"/>
        </w:rPr>
        <w:t>výrazný</w:t>
      </w:r>
      <w:r>
        <w:rPr>
          <w:color w:val="231F20"/>
          <w:spacing w:val="-23"/>
          <w:sz w:val="15"/>
        </w:rPr>
        <w:t xml:space="preserve"> </w:t>
      </w:r>
      <w:r>
        <w:rPr>
          <w:color w:val="231F20"/>
          <w:sz w:val="15"/>
        </w:rPr>
        <w:t>vliv</w:t>
      </w:r>
      <w:r>
        <w:rPr>
          <w:color w:val="231F20"/>
          <w:spacing w:val="-23"/>
          <w:sz w:val="15"/>
        </w:rPr>
        <w:t xml:space="preserve"> </w:t>
      </w:r>
      <w:r>
        <w:rPr>
          <w:color w:val="231F20"/>
          <w:sz w:val="15"/>
        </w:rPr>
        <w:t>na</w:t>
      </w:r>
      <w:r>
        <w:rPr>
          <w:color w:val="231F20"/>
          <w:spacing w:val="-23"/>
          <w:sz w:val="15"/>
        </w:rPr>
        <w:t xml:space="preserve"> </w:t>
      </w:r>
      <w:r>
        <w:rPr>
          <w:color w:val="231F20"/>
          <w:sz w:val="15"/>
        </w:rPr>
        <w:t>schop- nost řídit nebo obsluhovat</w:t>
      </w:r>
      <w:r>
        <w:rPr>
          <w:color w:val="231F20"/>
          <w:spacing w:val="-4"/>
          <w:sz w:val="15"/>
        </w:rPr>
        <w:t xml:space="preserve"> </w:t>
      </w:r>
      <w:r>
        <w:rPr>
          <w:color w:val="231F20"/>
          <w:sz w:val="15"/>
        </w:rPr>
        <w:t>stroje;</w:t>
      </w:r>
    </w:p>
    <w:p w14:paraId="62E12E47" w14:textId="77777777" w:rsidR="00F65BCA" w:rsidRDefault="00216117">
      <w:pPr>
        <w:pStyle w:val="Odstavecseseznamem"/>
        <w:numPr>
          <w:ilvl w:val="0"/>
          <w:numId w:val="112"/>
        </w:numPr>
        <w:tabs>
          <w:tab w:val="left" w:pos="881"/>
        </w:tabs>
        <w:spacing w:line="278" w:lineRule="auto"/>
        <w:ind w:left="880"/>
        <w:jc w:val="both"/>
        <w:rPr>
          <w:sz w:val="15"/>
        </w:rPr>
      </w:pPr>
      <w:r>
        <w:rPr>
          <w:color w:val="231F20"/>
          <w:sz w:val="15"/>
        </w:rPr>
        <w:t>řízení</w:t>
      </w:r>
      <w:r>
        <w:rPr>
          <w:color w:val="231F20"/>
          <w:spacing w:val="-19"/>
          <w:sz w:val="15"/>
        </w:rPr>
        <w:t xml:space="preserve"> </w:t>
      </w:r>
      <w:r>
        <w:rPr>
          <w:color w:val="231F20"/>
          <w:sz w:val="15"/>
        </w:rPr>
        <w:t>vozidla</w:t>
      </w:r>
      <w:r>
        <w:rPr>
          <w:color w:val="231F20"/>
          <w:spacing w:val="-18"/>
          <w:sz w:val="15"/>
        </w:rPr>
        <w:t xml:space="preserve"> </w:t>
      </w:r>
      <w:r>
        <w:rPr>
          <w:color w:val="231F20"/>
          <w:sz w:val="15"/>
        </w:rPr>
        <w:t>osobou,</w:t>
      </w:r>
      <w:r>
        <w:rPr>
          <w:color w:val="231F20"/>
          <w:spacing w:val="-18"/>
          <w:sz w:val="15"/>
        </w:rPr>
        <w:t xml:space="preserve"> </w:t>
      </w:r>
      <w:r>
        <w:rPr>
          <w:color w:val="231F20"/>
          <w:sz w:val="15"/>
        </w:rPr>
        <w:t>která</w:t>
      </w:r>
      <w:r>
        <w:rPr>
          <w:color w:val="231F20"/>
          <w:spacing w:val="-18"/>
          <w:sz w:val="15"/>
        </w:rPr>
        <w:t xml:space="preserve"> </w:t>
      </w:r>
      <w:r>
        <w:rPr>
          <w:color w:val="231F20"/>
          <w:sz w:val="15"/>
        </w:rPr>
        <w:t>užila</w:t>
      </w:r>
      <w:r>
        <w:rPr>
          <w:color w:val="231F20"/>
          <w:spacing w:val="-18"/>
          <w:sz w:val="15"/>
        </w:rPr>
        <w:t xml:space="preserve"> </w:t>
      </w:r>
      <w:r>
        <w:rPr>
          <w:color w:val="231F20"/>
          <w:sz w:val="15"/>
        </w:rPr>
        <w:t>léčivý</w:t>
      </w:r>
      <w:r>
        <w:rPr>
          <w:color w:val="231F20"/>
          <w:spacing w:val="-18"/>
          <w:sz w:val="15"/>
        </w:rPr>
        <w:t xml:space="preserve"> </w:t>
      </w:r>
      <w:r>
        <w:rPr>
          <w:color w:val="231F20"/>
          <w:sz w:val="15"/>
        </w:rPr>
        <w:t>přípravek,</w:t>
      </w:r>
      <w:r>
        <w:rPr>
          <w:color w:val="231F20"/>
          <w:spacing w:val="-18"/>
          <w:sz w:val="15"/>
        </w:rPr>
        <w:t xml:space="preserve"> </w:t>
      </w:r>
      <w:r>
        <w:rPr>
          <w:color w:val="231F20"/>
          <w:sz w:val="15"/>
        </w:rPr>
        <w:t>který</w:t>
      </w:r>
      <w:r>
        <w:rPr>
          <w:color w:val="231F20"/>
          <w:spacing w:val="-19"/>
          <w:sz w:val="15"/>
        </w:rPr>
        <w:t xml:space="preserve"> </w:t>
      </w:r>
      <w:r>
        <w:rPr>
          <w:color w:val="231F20"/>
          <w:sz w:val="15"/>
        </w:rPr>
        <w:t>má</w:t>
      </w:r>
      <w:r>
        <w:rPr>
          <w:color w:val="231F20"/>
          <w:spacing w:val="-18"/>
          <w:sz w:val="15"/>
        </w:rPr>
        <w:t xml:space="preserve"> </w:t>
      </w:r>
      <w:r>
        <w:rPr>
          <w:color w:val="231F20"/>
          <w:sz w:val="15"/>
        </w:rPr>
        <w:t>podle</w:t>
      </w:r>
      <w:r>
        <w:rPr>
          <w:color w:val="231F20"/>
          <w:spacing w:val="-18"/>
          <w:sz w:val="15"/>
        </w:rPr>
        <w:t xml:space="preserve"> </w:t>
      </w:r>
      <w:r>
        <w:rPr>
          <w:color w:val="231F20"/>
          <w:sz w:val="15"/>
        </w:rPr>
        <w:t xml:space="preserve">příbalové informace výrazný vliv na schopnost řídit nebo obsluhovat stroje, a to po dobu, s níž je toto omezení spojeno; obdobné platí i pro </w:t>
      </w:r>
      <w:r>
        <w:rPr>
          <w:color w:val="231F20"/>
          <w:spacing w:val="2"/>
          <w:sz w:val="15"/>
        </w:rPr>
        <w:t xml:space="preserve">lékařský </w:t>
      </w:r>
      <w:r>
        <w:rPr>
          <w:color w:val="231F20"/>
          <w:sz w:val="15"/>
        </w:rPr>
        <w:t>zásah, s</w:t>
      </w:r>
      <w:r>
        <w:rPr>
          <w:color w:val="231F20"/>
          <w:spacing w:val="-6"/>
          <w:sz w:val="15"/>
        </w:rPr>
        <w:t xml:space="preserve"> </w:t>
      </w:r>
      <w:r>
        <w:rPr>
          <w:color w:val="231F20"/>
          <w:sz w:val="15"/>
        </w:rPr>
        <w:t>nímž</w:t>
      </w:r>
      <w:r>
        <w:rPr>
          <w:color w:val="231F20"/>
          <w:spacing w:val="-6"/>
          <w:sz w:val="15"/>
        </w:rPr>
        <w:t xml:space="preserve"> </w:t>
      </w:r>
      <w:r>
        <w:rPr>
          <w:color w:val="231F20"/>
          <w:sz w:val="15"/>
        </w:rPr>
        <w:t>je</w:t>
      </w:r>
      <w:r>
        <w:rPr>
          <w:color w:val="231F20"/>
          <w:spacing w:val="-5"/>
          <w:sz w:val="15"/>
        </w:rPr>
        <w:t xml:space="preserve"> </w:t>
      </w:r>
      <w:r>
        <w:rPr>
          <w:color w:val="231F20"/>
          <w:sz w:val="15"/>
        </w:rPr>
        <w:t>po</w:t>
      </w:r>
      <w:r>
        <w:rPr>
          <w:color w:val="231F20"/>
          <w:spacing w:val="-6"/>
          <w:sz w:val="15"/>
        </w:rPr>
        <w:t xml:space="preserve"> </w:t>
      </w:r>
      <w:r>
        <w:rPr>
          <w:color w:val="231F20"/>
          <w:sz w:val="15"/>
        </w:rPr>
        <w:t>určitou</w:t>
      </w:r>
      <w:r>
        <w:rPr>
          <w:color w:val="231F20"/>
          <w:spacing w:val="-5"/>
          <w:sz w:val="15"/>
        </w:rPr>
        <w:t xml:space="preserve"> </w:t>
      </w:r>
      <w:r>
        <w:rPr>
          <w:color w:val="231F20"/>
          <w:sz w:val="15"/>
        </w:rPr>
        <w:t>dobu</w:t>
      </w:r>
      <w:r>
        <w:rPr>
          <w:color w:val="231F20"/>
          <w:spacing w:val="-6"/>
          <w:sz w:val="15"/>
        </w:rPr>
        <w:t xml:space="preserve"> </w:t>
      </w:r>
      <w:r>
        <w:rPr>
          <w:color w:val="231F20"/>
          <w:sz w:val="15"/>
        </w:rPr>
        <w:t>spojen</w:t>
      </w:r>
      <w:r>
        <w:rPr>
          <w:color w:val="231F20"/>
          <w:spacing w:val="-5"/>
          <w:sz w:val="15"/>
        </w:rPr>
        <w:t xml:space="preserve"> </w:t>
      </w:r>
      <w:r>
        <w:rPr>
          <w:color w:val="231F20"/>
          <w:sz w:val="15"/>
        </w:rPr>
        <w:t>zákaz</w:t>
      </w:r>
      <w:r>
        <w:rPr>
          <w:color w:val="231F20"/>
          <w:spacing w:val="-6"/>
          <w:sz w:val="15"/>
        </w:rPr>
        <w:t xml:space="preserve"> </w:t>
      </w:r>
      <w:r>
        <w:rPr>
          <w:color w:val="231F20"/>
          <w:sz w:val="15"/>
        </w:rPr>
        <w:t>řídit</w:t>
      </w:r>
      <w:r>
        <w:rPr>
          <w:color w:val="231F20"/>
          <w:spacing w:val="-5"/>
          <w:sz w:val="15"/>
        </w:rPr>
        <w:t xml:space="preserve"> </w:t>
      </w:r>
      <w:r>
        <w:rPr>
          <w:color w:val="231F20"/>
          <w:sz w:val="15"/>
        </w:rPr>
        <w:t>vozidlo</w:t>
      </w:r>
      <w:r>
        <w:rPr>
          <w:color w:val="231F20"/>
          <w:spacing w:val="-6"/>
          <w:sz w:val="15"/>
        </w:rPr>
        <w:t xml:space="preserve"> </w:t>
      </w:r>
      <w:r>
        <w:rPr>
          <w:color w:val="231F20"/>
          <w:sz w:val="15"/>
        </w:rPr>
        <w:t>nebo</w:t>
      </w:r>
      <w:r>
        <w:rPr>
          <w:color w:val="231F20"/>
          <w:spacing w:val="-6"/>
          <w:sz w:val="15"/>
        </w:rPr>
        <w:t xml:space="preserve"> </w:t>
      </w:r>
      <w:r>
        <w:rPr>
          <w:color w:val="231F20"/>
          <w:sz w:val="15"/>
        </w:rPr>
        <w:t>dočasná</w:t>
      </w:r>
      <w:r>
        <w:rPr>
          <w:color w:val="231F20"/>
          <w:spacing w:val="-5"/>
          <w:sz w:val="15"/>
        </w:rPr>
        <w:t xml:space="preserve"> </w:t>
      </w:r>
      <w:r>
        <w:rPr>
          <w:color w:val="231F20"/>
          <w:sz w:val="15"/>
        </w:rPr>
        <w:t>nezpů- sobilost</w:t>
      </w:r>
      <w:r>
        <w:rPr>
          <w:color w:val="231F20"/>
          <w:spacing w:val="-29"/>
          <w:sz w:val="15"/>
        </w:rPr>
        <w:t xml:space="preserve"> </w:t>
      </w:r>
      <w:r>
        <w:rPr>
          <w:color w:val="231F20"/>
          <w:sz w:val="15"/>
        </w:rPr>
        <w:t>(fyzická</w:t>
      </w:r>
      <w:r>
        <w:rPr>
          <w:color w:val="231F20"/>
          <w:spacing w:val="-28"/>
          <w:sz w:val="15"/>
        </w:rPr>
        <w:t xml:space="preserve"> </w:t>
      </w:r>
      <w:r>
        <w:rPr>
          <w:color w:val="231F20"/>
          <w:sz w:val="15"/>
        </w:rPr>
        <w:t>i</w:t>
      </w:r>
      <w:r>
        <w:rPr>
          <w:color w:val="231F20"/>
          <w:spacing w:val="-29"/>
          <w:sz w:val="15"/>
        </w:rPr>
        <w:t xml:space="preserve"> </w:t>
      </w:r>
      <w:r>
        <w:rPr>
          <w:color w:val="231F20"/>
          <w:sz w:val="15"/>
        </w:rPr>
        <w:t>duševní)</w:t>
      </w:r>
      <w:r>
        <w:rPr>
          <w:color w:val="231F20"/>
          <w:spacing w:val="-28"/>
          <w:sz w:val="15"/>
        </w:rPr>
        <w:t xml:space="preserve"> </w:t>
      </w:r>
      <w:r>
        <w:rPr>
          <w:color w:val="231F20"/>
          <w:sz w:val="15"/>
        </w:rPr>
        <w:t>řídit</w:t>
      </w:r>
      <w:r>
        <w:rPr>
          <w:color w:val="231F20"/>
          <w:spacing w:val="-28"/>
          <w:sz w:val="15"/>
        </w:rPr>
        <w:t xml:space="preserve"> </w:t>
      </w:r>
      <w:r>
        <w:rPr>
          <w:color w:val="231F20"/>
          <w:sz w:val="15"/>
        </w:rPr>
        <w:t>vozidlo,</w:t>
      </w:r>
      <w:r>
        <w:rPr>
          <w:color w:val="231F20"/>
          <w:spacing w:val="-29"/>
          <w:sz w:val="15"/>
        </w:rPr>
        <w:t xml:space="preserve"> </w:t>
      </w:r>
      <w:r>
        <w:rPr>
          <w:color w:val="231F20"/>
          <w:sz w:val="15"/>
        </w:rPr>
        <w:t>případně</w:t>
      </w:r>
      <w:r>
        <w:rPr>
          <w:color w:val="231F20"/>
          <w:spacing w:val="-28"/>
          <w:sz w:val="15"/>
        </w:rPr>
        <w:t xml:space="preserve"> </w:t>
      </w:r>
      <w:r>
        <w:rPr>
          <w:color w:val="231F20"/>
          <w:sz w:val="15"/>
        </w:rPr>
        <w:t>řízení</w:t>
      </w:r>
      <w:r>
        <w:rPr>
          <w:color w:val="231F20"/>
          <w:spacing w:val="-28"/>
          <w:sz w:val="15"/>
        </w:rPr>
        <w:t xml:space="preserve"> </w:t>
      </w:r>
      <w:r>
        <w:rPr>
          <w:color w:val="231F20"/>
          <w:sz w:val="15"/>
        </w:rPr>
        <w:t>vozidla</w:t>
      </w:r>
      <w:r>
        <w:rPr>
          <w:color w:val="231F20"/>
          <w:spacing w:val="-29"/>
          <w:sz w:val="15"/>
        </w:rPr>
        <w:t xml:space="preserve"> </w:t>
      </w:r>
      <w:r>
        <w:rPr>
          <w:color w:val="231F20"/>
          <w:sz w:val="15"/>
        </w:rPr>
        <w:t>osobou,</w:t>
      </w:r>
      <w:r>
        <w:rPr>
          <w:color w:val="231F20"/>
          <w:spacing w:val="-28"/>
          <w:sz w:val="15"/>
        </w:rPr>
        <w:t xml:space="preserve"> </w:t>
      </w:r>
      <w:r>
        <w:rPr>
          <w:color w:val="231F20"/>
          <w:sz w:val="15"/>
        </w:rPr>
        <w:t>která není</w:t>
      </w:r>
      <w:r>
        <w:rPr>
          <w:color w:val="231F20"/>
          <w:spacing w:val="-21"/>
          <w:sz w:val="15"/>
        </w:rPr>
        <w:t xml:space="preserve"> </w:t>
      </w:r>
      <w:r>
        <w:rPr>
          <w:color w:val="231F20"/>
          <w:sz w:val="15"/>
        </w:rPr>
        <w:t>v</w:t>
      </w:r>
      <w:r>
        <w:rPr>
          <w:color w:val="231F20"/>
          <w:spacing w:val="-21"/>
          <w:sz w:val="15"/>
        </w:rPr>
        <w:t xml:space="preserve"> </w:t>
      </w:r>
      <w:r>
        <w:rPr>
          <w:color w:val="231F20"/>
          <w:sz w:val="15"/>
        </w:rPr>
        <w:t>daném</w:t>
      </w:r>
      <w:r>
        <w:rPr>
          <w:color w:val="231F20"/>
          <w:spacing w:val="-21"/>
          <w:sz w:val="15"/>
        </w:rPr>
        <w:t xml:space="preserve"> </w:t>
      </w:r>
      <w:r>
        <w:rPr>
          <w:color w:val="231F20"/>
          <w:sz w:val="15"/>
        </w:rPr>
        <w:t>okamžiku</w:t>
      </w:r>
      <w:r>
        <w:rPr>
          <w:color w:val="231F20"/>
          <w:spacing w:val="-21"/>
          <w:sz w:val="15"/>
        </w:rPr>
        <w:t xml:space="preserve"> </w:t>
      </w:r>
      <w:r>
        <w:rPr>
          <w:color w:val="231F20"/>
          <w:sz w:val="15"/>
        </w:rPr>
        <w:t>k</w:t>
      </w:r>
      <w:r>
        <w:rPr>
          <w:color w:val="231F20"/>
          <w:spacing w:val="-21"/>
          <w:sz w:val="15"/>
        </w:rPr>
        <w:t xml:space="preserve"> </w:t>
      </w:r>
      <w:r>
        <w:rPr>
          <w:color w:val="231F20"/>
          <w:sz w:val="15"/>
        </w:rPr>
        <w:t>jeho</w:t>
      </w:r>
      <w:r>
        <w:rPr>
          <w:color w:val="231F20"/>
          <w:spacing w:val="-21"/>
          <w:sz w:val="15"/>
        </w:rPr>
        <w:t xml:space="preserve"> </w:t>
      </w:r>
      <w:r>
        <w:rPr>
          <w:color w:val="231F20"/>
          <w:sz w:val="15"/>
        </w:rPr>
        <w:t>řízení</w:t>
      </w:r>
      <w:r>
        <w:rPr>
          <w:color w:val="231F20"/>
          <w:spacing w:val="-21"/>
          <w:sz w:val="15"/>
        </w:rPr>
        <w:t xml:space="preserve"> </w:t>
      </w:r>
      <w:r>
        <w:rPr>
          <w:color w:val="231F20"/>
          <w:sz w:val="15"/>
        </w:rPr>
        <w:t>tělesně</w:t>
      </w:r>
      <w:r>
        <w:rPr>
          <w:color w:val="231F20"/>
          <w:spacing w:val="-20"/>
          <w:sz w:val="15"/>
        </w:rPr>
        <w:t xml:space="preserve"> </w:t>
      </w:r>
      <w:r>
        <w:rPr>
          <w:color w:val="231F20"/>
          <w:sz w:val="15"/>
        </w:rPr>
        <w:t>způsobilá</w:t>
      </w:r>
      <w:r>
        <w:rPr>
          <w:color w:val="231F20"/>
          <w:spacing w:val="-21"/>
          <w:sz w:val="15"/>
        </w:rPr>
        <w:t xml:space="preserve"> </w:t>
      </w:r>
      <w:r>
        <w:rPr>
          <w:color w:val="231F20"/>
          <w:spacing w:val="-3"/>
          <w:sz w:val="15"/>
        </w:rPr>
        <w:t>(např.</w:t>
      </w:r>
      <w:r>
        <w:rPr>
          <w:color w:val="231F20"/>
          <w:spacing w:val="-21"/>
          <w:sz w:val="15"/>
        </w:rPr>
        <w:t xml:space="preserve"> </w:t>
      </w:r>
      <w:r>
        <w:rPr>
          <w:color w:val="231F20"/>
          <w:sz w:val="15"/>
        </w:rPr>
        <w:t>vlivem</w:t>
      </w:r>
      <w:r>
        <w:rPr>
          <w:color w:val="231F20"/>
          <w:spacing w:val="-21"/>
          <w:sz w:val="15"/>
        </w:rPr>
        <w:t xml:space="preserve"> </w:t>
      </w:r>
      <w:r>
        <w:rPr>
          <w:color w:val="231F20"/>
          <w:sz w:val="15"/>
        </w:rPr>
        <w:t>úrazu);</w:t>
      </w:r>
    </w:p>
    <w:p w14:paraId="73B94131" w14:textId="77777777" w:rsidR="00F65BCA" w:rsidRDefault="00216117">
      <w:pPr>
        <w:pStyle w:val="Odstavecseseznamem"/>
        <w:numPr>
          <w:ilvl w:val="0"/>
          <w:numId w:val="112"/>
        </w:numPr>
        <w:tabs>
          <w:tab w:val="left" w:pos="881"/>
        </w:tabs>
        <w:spacing w:line="278" w:lineRule="auto"/>
        <w:ind w:left="880"/>
        <w:jc w:val="both"/>
        <w:rPr>
          <w:sz w:val="15"/>
        </w:rPr>
      </w:pPr>
      <w:r>
        <w:rPr>
          <w:color w:val="231F20"/>
          <w:sz w:val="15"/>
        </w:rPr>
        <w:t>řízení</w:t>
      </w:r>
      <w:r>
        <w:rPr>
          <w:color w:val="231F20"/>
          <w:spacing w:val="-9"/>
          <w:sz w:val="15"/>
        </w:rPr>
        <w:t xml:space="preserve"> </w:t>
      </w:r>
      <w:r>
        <w:rPr>
          <w:color w:val="231F20"/>
          <w:sz w:val="15"/>
        </w:rPr>
        <w:t>vozidla</w:t>
      </w:r>
      <w:r>
        <w:rPr>
          <w:color w:val="231F20"/>
          <w:spacing w:val="-9"/>
          <w:sz w:val="15"/>
        </w:rPr>
        <w:t xml:space="preserve"> </w:t>
      </w:r>
      <w:r>
        <w:rPr>
          <w:color w:val="231F20"/>
          <w:sz w:val="15"/>
        </w:rPr>
        <w:t>osobou,</w:t>
      </w:r>
      <w:r>
        <w:rPr>
          <w:color w:val="231F20"/>
          <w:spacing w:val="-9"/>
          <w:sz w:val="15"/>
        </w:rPr>
        <w:t xml:space="preserve"> </w:t>
      </w:r>
      <w:r>
        <w:rPr>
          <w:color w:val="231F20"/>
          <w:sz w:val="15"/>
        </w:rPr>
        <w:t>která</w:t>
      </w:r>
      <w:r>
        <w:rPr>
          <w:color w:val="231F20"/>
          <w:spacing w:val="-9"/>
          <w:sz w:val="15"/>
        </w:rPr>
        <w:t xml:space="preserve"> </w:t>
      </w:r>
      <w:r>
        <w:rPr>
          <w:color w:val="231F20"/>
          <w:sz w:val="15"/>
        </w:rPr>
        <w:t>bez</w:t>
      </w:r>
      <w:r>
        <w:rPr>
          <w:color w:val="231F20"/>
          <w:spacing w:val="-9"/>
          <w:sz w:val="15"/>
        </w:rPr>
        <w:t xml:space="preserve"> </w:t>
      </w:r>
      <w:r>
        <w:rPr>
          <w:color w:val="231F20"/>
          <w:sz w:val="15"/>
        </w:rPr>
        <w:t>zřetele</w:t>
      </w:r>
      <w:r>
        <w:rPr>
          <w:color w:val="231F20"/>
          <w:spacing w:val="-9"/>
          <w:sz w:val="15"/>
        </w:rPr>
        <w:t xml:space="preserve"> </w:t>
      </w:r>
      <w:r>
        <w:rPr>
          <w:color w:val="231F20"/>
          <w:sz w:val="15"/>
        </w:rPr>
        <w:t>hodného</w:t>
      </w:r>
      <w:r>
        <w:rPr>
          <w:color w:val="231F20"/>
          <w:spacing w:val="-9"/>
          <w:sz w:val="15"/>
        </w:rPr>
        <w:t xml:space="preserve"> </w:t>
      </w:r>
      <w:r>
        <w:rPr>
          <w:color w:val="231F20"/>
          <w:sz w:val="15"/>
        </w:rPr>
        <w:t>důvodu</w:t>
      </w:r>
      <w:r>
        <w:rPr>
          <w:color w:val="231F20"/>
          <w:spacing w:val="-9"/>
          <w:sz w:val="15"/>
        </w:rPr>
        <w:t xml:space="preserve"> </w:t>
      </w:r>
      <w:r>
        <w:rPr>
          <w:color w:val="231F20"/>
          <w:sz w:val="15"/>
        </w:rPr>
        <w:t>nesplnila</w:t>
      </w:r>
      <w:r>
        <w:rPr>
          <w:color w:val="231F20"/>
          <w:spacing w:val="-9"/>
          <w:sz w:val="15"/>
        </w:rPr>
        <w:t xml:space="preserve"> </w:t>
      </w:r>
      <w:r>
        <w:rPr>
          <w:color w:val="231F20"/>
          <w:sz w:val="15"/>
        </w:rPr>
        <w:t>zákon- nou povinnost sepsat společný záznam o dopravní</w:t>
      </w:r>
      <w:r>
        <w:rPr>
          <w:color w:val="231F20"/>
          <w:spacing w:val="-26"/>
          <w:sz w:val="15"/>
        </w:rPr>
        <w:t xml:space="preserve"> </w:t>
      </w:r>
      <w:r>
        <w:rPr>
          <w:color w:val="231F20"/>
          <w:sz w:val="15"/>
        </w:rPr>
        <w:t>nehodě;</w:t>
      </w:r>
    </w:p>
    <w:p w14:paraId="2506E81E" w14:textId="77777777" w:rsidR="00F65BCA" w:rsidRDefault="00216117">
      <w:pPr>
        <w:pStyle w:val="Odstavecseseznamem"/>
        <w:numPr>
          <w:ilvl w:val="0"/>
          <w:numId w:val="112"/>
        </w:numPr>
        <w:tabs>
          <w:tab w:val="left" w:pos="881"/>
        </w:tabs>
        <w:spacing w:line="278" w:lineRule="auto"/>
        <w:ind w:left="880"/>
        <w:jc w:val="both"/>
        <w:rPr>
          <w:sz w:val="15"/>
        </w:rPr>
      </w:pPr>
      <w:r>
        <w:rPr>
          <w:color w:val="231F20"/>
          <w:sz w:val="15"/>
        </w:rPr>
        <w:t>řízení vozidla osobou, která bez zřetele hodného důvodu opustila místo dopravní</w:t>
      </w:r>
      <w:r>
        <w:rPr>
          <w:color w:val="231F20"/>
          <w:spacing w:val="-20"/>
          <w:sz w:val="15"/>
        </w:rPr>
        <w:t xml:space="preserve"> </w:t>
      </w:r>
      <w:r>
        <w:rPr>
          <w:color w:val="231F20"/>
          <w:sz w:val="15"/>
        </w:rPr>
        <w:t>nehody</w:t>
      </w:r>
      <w:r>
        <w:rPr>
          <w:color w:val="231F20"/>
          <w:spacing w:val="-20"/>
          <w:sz w:val="15"/>
        </w:rPr>
        <w:t xml:space="preserve"> </w:t>
      </w:r>
      <w:r>
        <w:rPr>
          <w:color w:val="231F20"/>
          <w:sz w:val="15"/>
        </w:rPr>
        <w:t>nebo</w:t>
      </w:r>
      <w:r>
        <w:rPr>
          <w:color w:val="231F20"/>
          <w:spacing w:val="-19"/>
          <w:sz w:val="15"/>
        </w:rPr>
        <w:t xml:space="preserve"> </w:t>
      </w:r>
      <w:r>
        <w:rPr>
          <w:color w:val="231F20"/>
          <w:sz w:val="15"/>
        </w:rPr>
        <w:t>jinak</w:t>
      </w:r>
      <w:r>
        <w:rPr>
          <w:color w:val="231F20"/>
          <w:spacing w:val="-20"/>
          <w:sz w:val="15"/>
        </w:rPr>
        <w:t xml:space="preserve"> </w:t>
      </w:r>
      <w:r>
        <w:rPr>
          <w:color w:val="231F20"/>
          <w:sz w:val="15"/>
        </w:rPr>
        <w:t>znemožnila</w:t>
      </w:r>
      <w:r>
        <w:rPr>
          <w:color w:val="231F20"/>
          <w:spacing w:val="-19"/>
          <w:sz w:val="15"/>
        </w:rPr>
        <w:t xml:space="preserve"> </w:t>
      </w:r>
      <w:r>
        <w:rPr>
          <w:color w:val="231F20"/>
          <w:sz w:val="15"/>
        </w:rPr>
        <w:t>zjištění</w:t>
      </w:r>
      <w:r>
        <w:rPr>
          <w:color w:val="231F20"/>
          <w:spacing w:val="-20"/>
          <w:sz w:val="15"/>
        </w:rPr>
        <w:t xml:space="preserve"> </w:t>
      </w:r>
      <w:r>
        <w:rPr>
          <w:color w:val="231F20"/>
          <w:sz w:val="15"/>
        </w:rPr>
        <w:t>skutečné</w:t>
      </w:r>
      <w:r>
        <w:rPr>
          <w:color w:val="231F20"/>
          <w:spacing w:val="-19"/>
          <w:sz w:val="15"/>
        </w:rPr>
        <w:t xml:space="preserve"> </w:t>
      </w:r>
      <w:r>
        <w:rPr>
          <w:color w:val="231F20"/>
          <w:sz w:val="15"/>
        </w:rPr>
        <w:t>příčiny</w:t>
      </w:r>
      <w:r>
        <w:rPr>
          <w:color w:val="231F20"/>
          <w:spacing w:val="-20"/>
          <w:sz w:val="15"/>
        </w:rPr>
        <w:t xml:space="preserve"> </w:t>
      </w:r>
      <w:r>
        <w:rPr>
          <w:color w:val="231F20"/>
          <w:sz w:val="15"/>
        </w:rPr>
        <w:t>vzniku</w:t>
      </w:r>
      <w:r>
        <w:rPr>
          <w:color w:val="231F20"/>
          <w:spacing w:val="-19"/>
          <w:sz w:val="15"/>
        </w:rPr>
        <w:t xml:space="preserve"> </w:t>
      </w:r>
      <w:r>
        <w:rPr>
          <w:color w:val="231F20"/>
          <w:spacing w:val="-5"/>
          <w:sz w:val="15"/>
        </w:rPr>
        <w:t xml:space="preserve">do- </w:t>
      </w:r>
      <w:r>
        <w:rPr>
          <w:color w:val="231F20"/>
          <w:sz w:val="15"/>
        </w:rPr>
        <w:t>pravní</w:t>
      </w:r>
      <w:r>
        <w:rPr>
          <w:color w:val="231F20"/>
          <w:spacing w:val="-11"/>
          <w:sz w:val="15"/>
        </w:rPr>
        <w:t xml:space="preserve"> </w:t>
      </w:r>
      <w:r>
        <w:rPr>
          <w:color w:val="231F20"/>
          <w:sz w:val="15"/>
        </w:rPr>
        <w:t>nehody</w:t>
      </w:r>
      <w:r>
        <w:rPr>
          <w:color w:val="231F20"/>
          <w:spacing w:val="-10"/>
          <w:sz w:val="15"/>
        </w:rPr>
        <w:t xml:space="preserve"> </w:t>
      </w:r>
      <w:r>
        <w:rPr>
          <w:color w:val="231F20"/>
          <w:sz w:val="15"/>
        </w:rPr>
        <w:t>či</w:t>
      </w:r>
      <w:r>
        <w:rPr>
          <w:color w:val="231F20"/>
          <w:spacing w:val="-11"/>
          <w:sz w:val="15"/>
        </w:rPr>
        <w:t xml:space="preserve"> </w:t>
      </w:r>
      <w:r>
        <w:rPr>
          <w:color w:val="231F20"/>
          <w:sz w:val="15"/>
        </w:rPr>
        <w:t>v</w:t>
      </w:r>
      <w:r>
        <w:rPr>
          <w:color w:val="231F20"/>
          <w:spacing w:val="-10"/>
          <w:sz w:val="15"/>
        </w:rPr>
        <w:t xml:space="preserve"> </w:t>
      </w:r>
      <w:r>
        <w:rPr>
          <w:color w:val="231F20"/>
          <w:sz w:val="15"/>
        </w:rPr>
        <w:t>zákonem</w:t>
      </w:r>
      <w:r>
        <w:rPr>
          <w:color w:val="231F20"/>
          <w:spacing w:val="-11"/>
          <w:sz w:val="15"/>
        </w:rPr>
        <w:t xml:space="preserve"> </w:t>
      </w:r>
      <w:r>
        <w:rPr>
          <w:color w:val="231F20"/>
          <w:sz w:val="15"/>
        </w:rPr>
        <w:t>stanovených</w:t>
      </w:r>
      <w:r>
        <w:rPr>
          <w:color w:val="231F20"/>
          <w:spacing w:val="-10"/>
          <w:sz w:val="15"/>
        </w:rPr>
        <w:t xml:space="preserve"> </w:t>
      </w:r>
      <w:r>
        <w:rPr>
          <w:color w:val="231F20"/>
          <w:sz w:val="15"/>
        </w:rPr>
        <w:t>případech</w:t>
      </w:r>
      <w:r>
        <w:rPr>
          <w:color w:val="231F20"/>
          <w:spacing w:val="-11"/>
          <w:sz w:val="15"/>
        </w:rPr>
        <w:t xml:space="preserve"> </w:t>
      </w:r>
      <w:r>
        <w:rPr>
          <w:color w:val="231F20"/>
          <w:sz w:val="15"/>
        </w:rPr>
        <w:t>neoznámila</w:t>
      </w:r>
      <w:r>
        <w:rPr>
          <w:color w:val="231F20"/>
          <w:spacing w:val="-10"/>
          <w:sz w:val="15"/>
        </w:rPr>
        <w:t xml:space="preserve"> </w:t>
      </w:r>
      <w:r>
        <w:rPr>
          <w:color w:val="231F20"/>
          <w:sz w:val="15"/>
        </w:rPr>
        <w:t>dopravní nehodu</w:t>
      </w:r>
      <w:r>
        <w:rPr>
          <w:color w:val="231F20"/>
          <w:spacing w:val="-1"/>
          <w:sz w:val="15"/>
        </w:rPr>
        <w:t xml:space="preserve"> </w:t>
      </w:r>
      <w:r>
        <w:rPr>
          <w:color w:val="231F20"/>
          <w:sz w:val="15"/>
        </w:rPr>
        <w:t>policii;</w:t>
      </w:r>
    </w:p>
    <w:p w14:paraId="15038F5B" w14:textId="77777777" w:rsidR="00F65BCA" w:rsidRDefault="00216117">
      <w:pPr>
        <w:pStyle w:val="Odstavecseseznamem"/>
        <w:numPr>
          <w:ilvl w:val="0"/>
          <w:numId w:val="112"/>
        </w:numPr>
        <w:tabs>
          <w:tab w:val="left" w:pos="881"/>
        </w:tabs>
        <w:spacing w:line="278" w:lineRule="auto"/>
        <w:ind w:left="880" w:right="1"/>
        <w:jc w:val="both"/>
        <w:rPr>
          <w:sz w:val="15"/>
        </w:rPr>
      </w:pPr>
      <w:r>
        <w:rPr>
          <w:color w:val="231F20"/>
          <w:sz w:val="15"/>
        </w:rPr>
        <w:t xml:space="preserve">použití vozidla k </w:t>
      </w:r>
      <w:r>
        <w:rPr>
          <w:color w:val="231F20"/>
          <w:spacing w:val="-3"/>
          <w:sz w:val="15"/>
        </w:rPr>
        <w:t xml:space="preserve">protiprávní </w:t>
      </w:r>
      <w:r>
        <w:rPr>
          <w:color w:val="231F20"/>
          <w:sz w:val="15"/>
        </w:rPr>
        <w:t>činnosti osobou pojistníka, pojištěného nebo oprávněné</w:t>
      </w:r>
      <w:r>
        <w:rPr>
          <w:color w:val="231F20"/>
          <w:spacing w:val="-18"/>
          <w:sz w:val="15"/>
        </w:rPr>
        <w:t xml:space="preserve"> </w:t>
      </w:r>
      <w:r>
        <w:rPr>
          <w:color w:val="231F20"/>
          <w:spacing w:val="-4"/>
          <w:sz w:val="15"/>
        </w:rPr>
        <w:t>osoby,</w:t>
      </w:r>
      <w:r>
        <w:rPr>
          <w:color w:val="231F20"/>
          <w:spacing w:val="-18"/>
          <w:sz w:val="15"/>
        </w:rPr>
        <w:t xml:space="preserve"> </w:t>
      </w:r>
      <w:r>
        <w:rPr>
          <w:color w:val="231F20"/>
          <w:sz w:val="15"/>
        </w:rPr>
        <w:t>včetně</w:t>
      </w:r>
      <w:r>
        <w:rPr>
          <w:color w:val="231F20"/>
          <w:spacing w:val="-17"/>
          <w:sz w:val="15"/>
        </w:rPr>
        <w:t xml:space="preserve"> </w:t>
      </w:r>
      <w:r>
        <w:rPr>
          <w:color w:val="231F20"/>
          <w:sz w:val="15"/>
        </w:rPr>
        <w:t>osob</w:t>
      </w:r>
      <w:r>
        <w:rPr>
          <w:color w:val="231F20"/>
          <w:spacing w:val="-18"/>
          <w:sz w:val="15"/>
        </w:rPr>
        <w:t xml:space="preserve"> </w:t>
      </w:r>
      <w:r>
        <w:rPr>
          <w:color w:val="231F20"/>
          <w:sz w:val="15"/>
        </w:rPr>
        <w:t>žijících</w:t>
      </w:r>
      <w:r>
        <w:rPr>
          <w:color w:val="231F20"/>
          <w:spacing w:val="-17"/>
          <w:sz w:val="15"/>
        </w:rPr>
        <w:t xml:space="preserve"> </w:t>
      </w:r>
      <w:r>
        <w:rPr>
          <w:color w:val="231F20"/>
          <w:sz w:val="15"/>
        </w:rPr>
        <w:t>s</w:t>
      </w:r>
      <w:r>
        <w:rPr>
          <w:color w:val="231F20"/>
          <w:spacing w:val="-18"/>
          <w:sz w:val="15"/>
        </w:rPr>
        <w:t xml:space="preserve"> </w:t>
      </w:r>
      <w:r>
        <w:rPr>
          <w:color w:val="231F20"/>
          <w:sz w:val="15"/>
        </w:rPr>
        <w:t>nimi</w:t>
      </w:r>
      <w:r>
        <w:rPr>
          <w:color w:val="231F20"/>
          <w:spacing w:val="-17"/>
          <w:sz w:val="15"/>
        </w:rPr>
        <w:t xml:space="preserve"> </w:t>
      </w:r>
      <w:r>
        <w:rPr>
          <w:color w:val="231F20"/>
          <w:sz w:val="15"/>
        </w:rPr>
        <w:t>ve</w:t>
      </w:r>
      <w:r>
        <w:rPr>
          <w:color w:val="231F20"/>
          <w:spacing w:val="-18"/>
          <w:sz w:val="15"/>
        </w:rPr>
        <w:t xml:space="preserve"> </w:t>
      </w:r>
      <w:r>
        <w:rPr>
          <w:color w:val="231F20"/>
          <w:sz w:val="15"/>
        </w:rPr>
        <w:t>společné</w:t>
      </w:r>
      <w:r>
        <w:rPr>
          <w:color w:val="231F20"/>
          <w:spacing w:val="-18"/>
          <w:sz w:val="15"/>
        </w:rPr>
        <w:t xml:space="preserve"> </w:t>
      </w:r>
      <w:r>
        <w:rPr>
          <w:color w:val="231F20"/>
          <w:sz w:val="15"/>
        </w:rPr>
        <w:t>domácnosti</w:t>
      </w:r>
      <w:r>
        <w:rPr>
          <w:color w:val="231F20"/>
          <w:spacing w:val="-17"/>
          <w:sz w:val="15"/>
        </w:rPr>
        <w:t xml:space="preserve"> </w:t>
      </w:r>
      <w:r>
        <w:rPr>
          <w:color w:val="231F20"/>
          <w:sz w:val="15"/>
        </w:rPr>
        <w:t>nebo odkázaných</w:t>
      </w:r>
      <w:r>
        <w:rPr>
          <w:color w:val="231F20"/>
          <w:spacing w:val="-24"/>
          <w:sz w:val="15"/>
        </w:rPr>
        <w:t xml:space="preserve"> </w:t>
      </w:r>
      <w:r>
        <w:rPr>
          <w:color w:val="231F20"/>
          <w:sz w:val="15"/>
        </w:rPr>
        <w:t>na</w:t>
      </w:r>
      <w:r>
        <w:rPr>
          <w:color w:val="231F20"/>
          <w:spacing w:val="-24"/>
          <w:sz w:val="15"/>
        </w:rPr>
        <w:t xml:space="preserve"> </w:t>
      </w:r>
      <w:r>
        <w:rPr>
          <w:color w:val="231F20"/>
          <w:sz w:val="15"/>
        </w:rPr>
        <w:t>ně</w:t>
      </w:r>
      <w:r>
        <w:rPr>
          <w:color w:val="231F20"/>
          <w:spacing w:val="-24"/>
          <w:sz w:val="15"/>
        </w:rPr>
        <w:t xml:space="preserve"> </w:t>
      </w:r>
      <w:r>
        <w:rPr>
          <w:color w:val="231F20"/>
          <w:sz w:val="15"/>
        </w:rPr>
        <w:t>výživou,</w:t>
      </w:r>
      <w:r>
        <w:rPr>
          <w:color w:val="231F20"/>
          <w:spacing w:val="-24"/>
          <w:sz w:val="15"/>
        </w:rPr>
        <w:t xml:space="preserve"> </w:t>
      </w:r>
      <w:r>
        <w:rPr>
          <w:color w:val="231F20"/>
          <w:sz w:val="15"/>
        </w:rPr>
        <w:t>nebo</w:t>
      </w:r>
      <w:r>
        <w:rPr>
          <w:color w:val="231F20"/>
          <w:spacing w:val="-24"/>
          <w:sz w:val="15"/>
        </w:rPr>
        <w:t xml:space="preserve"> </w:t>
      </w:r>
      <w:r>
        <w:rPr>
          <w:color w:val="231F20"/>
          <w:sz w:val="15"/>
        </w:rPr>
        <w:t>jakékoliv</w:t>
      </w:r>
      <w:r>
        <w:rPr>
          <w:color w:val="231F20"/>
          <w:spacing w:val="-24"/>
          <w:sz w:val="15"/>
        </w:rPr>
        <w:t xml:space="preserve"> </w:t>
      </w:r>
      <w:r>
        <w:rPr>
          <w:color w:val="231F20"/>
          <w:sz w:val="15"/>
        </w:rPr>
        <w:t>jiné</w:t>
      </w:r>
      <w:r>
        <w:rPr>
          <w:color w:val="231F20"/>
          <w:spacing w:val="-24"/>
          <w:sz w:val="15"/>
        </w:rPr>
        <w:t xml:space="preserve"> </w:t>
      </w:r>
      <w:r>
        <w:rPr>
          <w:color w:val="231F20"/>
          <w:sz w:val="15"/>
        </w:rPr>
        <w:t>osoby</w:t>
      </w:r>
      <w:r>
        <w:rPr>
          <w:color w:val="231F20"/>
          <w:spacing w:val="-24"/>
          <w:sz w:val="15"/>
        </w:rPr>
        <w:t xml:space="preserve"> </w:t>
      </w:r>
      <w:r>
        <w:rPr>
          <w:color w:val="231F20"/>
          <w:sz w:val="15"/>
        </w:rPr>
        <w:t>z</w:t>
      </w:r>
      <w:r>
        <w:rPr>
          <w:color w:val="231F20"/>
          <w:spacing w:val="-24"/>
          <w:sz w:val="15"/>
        </w:rPr>
        <w:t xml:space="preserve"> </w:t>
      </w:r>
      <w:r>
        <w:rPr>
          <w:color w:val="231F20"/>
          <w:sz w:val="15"/>
        </w:rPr>
        <w:t>podnětu</w:t>
      </w:r>
      <w:r>
        <w:rPr>
          <w:color w:val="231F20"/>
          <w:spacing w:val="-24"/>
          <w:sz w:val="15"/>
        </w:rPr>
        <w:t xml:space="preserve"> </w:t>
      </w:r>
      <w:r>
        <w:rPr>
          <w:color w:val="231F20"/>
          <w:sz w:val="15"/>
        </w:rPr>
        <w:t>těchto</w:t>
      </w:r>
      <w:r>
        <w:rPr>
          <w:color w:val="231F20"/>
          <w:spacing w:val="-24"/>
          <w:sz w:val="15"/>
        </w:rPr>
        <w:t xml:space="preserve"> </w:t>
      </w:r>
      <w:r>
        <w:rPr>
          <w:color w:val="231F20"/>
          <w:sz w:val="15"/>
        </w:rPr>
        <w:t>osob;</w:t>
      </w:r>
    </w:p>
    <w:p w14:paraId="449F6256" w14:textId="77777777" w:rsidR="00F65BCA" w:rsidRDefault="00216117">
      <w:pPr>
        <w:pStyle w:val="Odstavecseseznamem"/>
        <w:numPr>
          <w:ilvl w:val="0"/>
          <w:numId w:val="112"/>
        </w:numPr>
        <w:tabs>
          <w:tab w:val="left" w:pos="881"/>
        </w:tabs>
        <w:spacing w:line="172" w:lineRule="exact"/>
        <w:ind w:left="880"/>
        <w:jc w:val="both"/>
        <w:rPr>
          <w:sz w:val="15"/>
        </w:rPr>
      </w:pPr>
      <w:r>
        <w:rPr>
          <w:color w:val="231F20"/>
          <w:sz w:val="15"/>
        </w:rPr>
        <w:t>střetu s nezjištěným</w:t>
      </w:r>
      <w:r>
        <w:rPr>
          <w:color w:val="231F20"/>
          <w:spacing w:val="-4"/>
          <w:sz w:val="15"/>
        </w:rPr>
        <w:t xml:space="preserve"> </w:t>
      </w:r>
      <w:r>
        <w:rPr>
          <w:color w:val="231F20"/>
          <w:sz w:val="15"/>
        </w:rPr>
        <w:t>vozidlem;</w:t>
      </w:r>
    </w:p>
    <w:p w14:paraId="318C53A3" w14:textId="77777777" w:rsidR="00F65BCA" w:rsidRDefault="00216117">
      <w:pPr>
        <w:pStyle w:val="Zkladntext"/>
        <w:spacing w:before="26" w:line="278" w:lineRule="auto"/>
        <w:ind w:left="880" w:hanging="171"/>
      </w:pPr>
      <w:r>
        <w:rPr>
          <w:color w:val="231F20"/>
        </w:rPr>
        <w:t>i střetu mezi vozidly jízdní soupravy tvořené motorovým a přípojným vozi- dlem, jakož i škodu na věcech přepravovaných těmito vozidly;</w:t>
      </w:r>
    </w:p>
    <w:p w14:paraId="6F71583F" w14:textId="77777777" w:rsidR="00F65BCA" w:rsidRDefault="00216117">
      <w:pPr>
        <w:pStyle w:val="Odstavecseseznamem"/>
        <w:numPr>
          <w:ilvl w:val="0"/>
          <w:numId w:val="111"/>
        </w:numPr>
        <w:tabs>
          <w:tab w:val="left" w:pos="881"/>
        </w:tabs>
        <w:rPr>
          <w:sz w:val="15"/>
        </w:rPr>
      </w:pPr>
      <w:r>
        <w:rPr>
          <w:color w:val="231F20"/>
          <w:sz w:val="15"/>
        </w:rPr>
        <w:t>manipulaci s nákladem stojícího</w:t>
      </w:r>
      <w:r>
        <w:rPr>
          <w:color w:val="231F20"/>
          <w:spacing w:val="-8"/>
          <w:sz w:val="15"/>
        </w:rPr>
        <w:t xml:space="preserve"> </w:t>
      </w:r>
      <w:r>
        <w:rPr>
          <w:color w:val="231F20"/>
          <w:sz w:val="15"/>
        </w:rPr>
        <w:t>vozidla;</w:t>
      </w:r>
    </w:p>
    <w:p w14:paraId="6A536664" w14:textId="77777777" w:rsidR="00F65BCA" w:rsidRDefault="00216117">
      <w:pPr>
        <w:pStyle w:val="Odstavecseseznamem"/>
        <w:numPr>
          <w:ilvl w:val="0"/>
          <w:numId w:val="111"/>
        </w:numPr>
        <w:tabs>
          <w:tab w:val="left" w:pos="881"/>
        </w:tabs>
        <w:spacing w:before="28"/>
        <w:rPr>
          <w:sz w:val="15"/>
        </w:rPr>
      </w:pPr>
      <w:r>
        <w:rPr>
          <w:color w:val="231F20"/>
          <w:sz w:val="15"/>
        </w:rPr>
        <w:t>střetu s jiným vozidlem téhož</w:t>
      </w:r>
      <w:r>
        <w:rPr>
          <w:color w:val="231F20"/>
          <w:spacing w:val="-11"/>
          <w:sz w:val="15"/>
        </w:rPr>
        <w:t xml:space="preserve"> </w:t>
      </w:r>
      <w:r>
        <w:rPr>
          <w:color w:val="231F20"/>
          <w:sz w:val="15"/>
        </w:rPr>
        <w:t>provozovatele;</w:t>
      </w:r>
    </w:p>
    <w:p w14:paraId="1C8BEDC3" w14:textId="77777777" w:rsidR="00F65BCA" w:rsidRDefault="00216117">
      <w:pPr>
        <w:pStyle w:val="Odstavecseseznamem"/>
        <w:numPr>
          <w:ilvl w:val="0"/>
          <w:numId w:val="111"/>
        </w:numPr>
        <w:tabs>
          <w:tab w:val="left" w:pos="881"/>
        </w:tabs>
        <w:spacing w:before="27" w:line="278" w:lineRule="auto"/>
        <w:jc w:val="both"/>
        <w:rPr>
          <w:sz w:val="15"/>
        </w:rPr>
      </w:pPr>
      <w:r>
        <w:rPr>
          <w:color w:val="231F20"/>
          <w:sz w:val="15"/>
        </w:rPr>
        <w:t>účasti</w:t>
      </w:r>
      <w:r>
        <w:rPr>
          <w:color w:val="231F20"/>
          <w:spacing w:val="-20"/>
          <w:sz w:val="15"/>
        </w:rPr>
        <w:t xml:space="preserve"> </w:t>
      </w:r>
      <w:r>
        <w:rPr>
          <w:color w:val="231F20"/>
          <w:sz w:val="15"/>
        </w:rPr>
        <w:t>na</w:t>
      </w:r>
      <w:r>
        <w:rPr>
          <w:color w:val="231F20"/>
          <w:spacing w:val="-19"/>
          <w:sz w:val="15"/>
        </w:rPr>
        <w:t xml:space="preserve"> </w:t>
      </w:r>
      <w:r>
        <w:rPr>
          <w:color w:val="231F20"/>
          <w:sz w:val="15"/>
        </w:rPr>
        <w:t>organizovaném</w:t>
      </w:r>
      <w:r>
        <w:rPr>
          <w:color w:val="231F20"/>
          <w:spacing w:val="-19"/>
          <w:sz w:val="15"/>
        </w:rPr>
        <w:t xml:space="preserve"> </w:t>
      </w:r>
      <w:r>
        <w:rPr>
          <w:color w:val="231F20"/>
          <w:sz w:val="15"/>
        </w:rPr>
        <w:t>motoristickém</w:t>
      </w:r>
      <w:r>
        <w:rPr>
          <w:color w:val="231F20"/>
          <w:spacing w:val="-19"/>
          <w:sz w:val="15"/>
        </w:rPr>
        <w:t xml:space="preserve"> </w:t>
      </w:r>
      <w:r>
        <w:rPr>
          <w:color w:val="231F20"/>
          <w:sz w:val="15"/>
        </w:rPr>
        <w:t>závodu</w:t>
      </w:r>
      <w:r>
        <w:rPr>
          <w:color w:val="231F20"/>
          <w:spacing w:val="-19"/>
          <w:sz w:val="15"/>
        </w:rPr>
        <w:t xml:space="preserve"> </w:t>
      </w:r>
      <w:r>
        <w:rPr>
          <w:color w:val="231F20"/>
          <w:sz w:val="15"/>
        </w:rPr>
        <w:t>nebo</w:t>
      </w:r>
      <w:r>
        <w:rPr>
          <w:color w:val="231F20"/>
          <w:spacing w:val="-20"/>
          <w:sz w:val="15"/>
        </w:rPr>
        <w:t xml:space="preserve"> </w:t>
      </w:r>
      <w:r>
        <w:rPr>
          <w:color w:val="231F20"/>
          <w:sz w:val="15"/>
        </w:rPr>
        <w:t>soutěži</w:t>
      </w:r>
      <w:r>
        <w:rPr>
          <w:color w:val="231F20"/>
          <w:spacing w:val="-19"/>
          <w:sz w:val="15"/>
        </w:rPr>
        <w:t xml:space="preserve"> </w:t>
      </w:r>
      <w:r>
        <w:rPr>
          <w:color w:val="231F20"/>
          <w:sz w:val="15"/>
        </w:rPr>
        <w:t>(motorsport), jakož</w:t>
      </w:r>
      <w:r>
        <w:rPr>
          <w:color w:val="231F20"/>
          <w:spacing w:val="-12"/>
          <w:sz w:val="15"/>
        </w:rPr>
        <w:t xml:space="preserve"> </w:t>
      </w:r>
      <w:r>
        <w:rPr>
          <w:color w:val="231F20"/>
          <w:sz w:val="15"/>
        </w:rPr>
        <w:t>i</w:t>
      </w:r>
      <w:r>
        <w:rPr>
          <w:color w:val="231F20"/>
          <w:spacing w:val="-12"/>
          <w:sz w:val="15"/>
        </w:rPr>
        <w:t xml:space="preserve"> </w:t>
      </w:r>
      <w:r>
        <w:rPr>
          <w:color w:val="231F20"/>
          <w:sz w:val="15"/>
        </w:rPr>
        <w:t>při</w:t>
      </w:r>
      <w:r>
        <w:rPr>
          <w:color w:val="231F20"/>
          <w:spacing w:val="-11"/>
          <w:sz w:val="15"/>
        </w:rPr>
        <w:t xml:space="preserve"> </w:t>
      </w:r>
      <w:r>
        <w:rPr>
          <w:color w:val="231F20"/>
          <w:sz w:val="15"/>
        </w:rPr>
        <w:t>přípravných</w:t>
      </w:r>
      <w:r>
        <w:rPr>
          <w:color w:val="231F20"/>
          <w:spacing w:val="-12"/>
          <w:sz w:val="15"/>
        </w:rPr>
        <w:t xml:space="preserve"> </w:t>
      </w:r>
      <w:r>
        <w:rPr>
          <w:color w:val="231F20"/>
          <w:sz w:val="15"/>
        </w:rPr>
        <w:t>jízdách</w:t>
      </w:r>
      <w:r>
        <w:rPr>
          <w:color w:val="231F20"/>
          <w:spacing w:val="-11"/>
          <w:sz w:val="15"/>
        </w:rPr>
        <w:t xml:space="preserve"> </w:t>
      </w:r>
      <w:r>
        <w:rPr>
          <w:color w:val="231F20"/>
          <w:sz w:val="15"/>
        </w:rPr>
        <w:t>k</w:t>
      </w:r>
      <w:r>
        <w:rPr>
          <w:color w:val="231F20"/>
          <w:spacing w:val="-12"/>
          <w:sz w:val="15"/>
        </w:rPr>
        <w:t xml:space="preserve"> </w:t>
      </w:r>
      <w:r>
        <w:rPr>
          <w:color w:val="231F20"/>
          <w:sz w:val="15"/>
        </w:rPr>
        <w:t>nim,</w:t>
      </w:r>
      <w:r>
        <w:rPr>
          <w:color w:val="231F20"/>
          <w:spacing w:val="-12"/>
          <w:sz w:val="15"/>
        </w:rPr>
        <w:t xml:space="preserve"> </w:t>
      </w:r>
      <w:r>
        <w:rPr>
          <w:color w:val="231F20"/>
          <w:sz w:val="15"/>
        </w:rPr>
        <w:t>s</w:t>
      </w:r>
      <w:r>
        <w:rPr>
          <w:color w:val="231F20"/>
          <w:spacing w:val="-11"/>
          <w:sz w:val="15"/>
        </w:rPr>
        <w:t xml:space="preserve"> </w:t>
      </w:r>
      <w:r>
        <w:rPr>
          <w:color w:val="231F20"/>
          <w:sz w:val="15"/>
        </w:rPr>
        <w:t>výjimkou</w:t>
      </w:r>
      <w:r>
        <w:rPr>
          <w:color w:val="231F20"/>
          <w:spacing w:val="-12"/>
          <w:sz w:val="15"/>
        </w:rPr>
        <w:t xml:space="preserve"> </w:t>
      </w:r>
      <w:r>
        <w:rPr>
          <w:color w:val="231F20"/>
          <w:sz w:val="15"/>
        </w:rPr>
        <w:t>škody</w:t>
      </w:r>
      <w:r>
        <w:rPr>
          <w:color w:val="231F20"/>
          <w:spacing w:val="-11"/>
          <w:sz w:val="15"/>
        </w:rPr>
        <w:t xml:space="preserve"> </w:t>
      </w:r>
      <w:r>
        <w:rPr>
          <w:color w:val="231F20"/>
          <w:sz w:val="15"/>
        </w:rPr>
        <w:t>způsobené</w:t>
      </w:r>
      <w:r>
        <w:rPr>
          <w:color w:val="231F20"/>
          <w:spacing w:val="-12"/>
          <w:sz w:val="15"/>
        </w:rPr>
        <w:t xml:space="preserve"> </w:t>
      </w:r>
      <w:r>
        <w:rPr>
          <w:color w:val="231F20"/>
          <w:sz w:val="15"/>
        </w:rPr>
        <w:t>při</w:t>
      </w:r>
      <w:r>
        <w:rPr>
          <w:color w:val="231F20"/>
          <w:spacing w:val="-12"/>
          <w:sz w:val="15"/>
        </w:rPr>
        <w:t xml:space="preserve"> </w:t>
      </w:r>
      <w:r>
        <w:rPr>
          <w:color w:val="231F20"/>
          <w:sz w:val="15"/>
        </w:rPr>
        <w:t>tako- véto</w:t>
      </w:r>
      <w:r>
        <w:rPr>
          <w:color w:val="231F20"/>
          <w:spacing w:val="-21"/>
          <w:sz w:val="15"/>
        </w:rPr>
        <w:t xml:space="preserve"> </w:t>
      </w:r>
      <w:r>
        <w:rPr>
          <w:color w:val="231F20"/>
          <w:sz w:val="15"/>
        </w:rPr>
        <w:t>účasti,</w:t>
      </w:r>
      <w:r>
        <w:rPr>
          <w:color w:val="231F20"/>
          <w:spacing w:val="-21"/>
          <w:sz w:val="15"/>
        </w:rPr>
        <w:t xml:space="preserve"> </w:t>
      </w:r>
      <w:r>
        <w:rPr>
          <w:color w:val="231F20"/>
          <w:sz w:val="15"/>
        </w:rPr>
        <w:t>jestliže</w:t>
      </w:r>
      <w:r>
        <w:rPr>
          <w:color w:val="231F20"/>
          <w:spacing w:val="-21"/>
          <w:sz w:val="15"/>
        </w:rPr>
        <w:t xml:space="preserve"> </w:t>
      </w:r>
      <w:r>
        <w:rPr>
          <w:color w:val="231F20"/>
          <w:sz w:val="15"/>
        </w:rPr>
        <w:t>je</w:t>
      </w:r>
      <w:r>
        <w:rPr>
          <w:color w:val="231F20"/>
          <w:spacing w:val="-21"/>
          <w:sz w:val="15"/>
        </w:rPr>
        <w:t xml:space="preserve"> </w:t>
      </w:r>
      <w:r>
        <w:rPr>
          <w:color w:val="231F20"/>
          <w:sz w:val="15"/>
        </w:rPr>
        <w:t>řidič</w:t>
      </w:r>
      <w:r>
        <w:rPr>
          <w:color w:val="231F20"/>
          <w:spacing w:val="-21"/>
          <w:sz w:val="15"/>
        </w:rPr>
        <w:t xml:space="preserve"> </w:t>
      </w:r>
      <w:r>
        <w:rPr>
          <w:color w:val="231F20"/>
          <w:sz w:val="15"/>
        </w:rPr>
        <w:t>při</w:t>
      </w:r>
      <w:r>
        <w:rPr>
          <w:color w:val="231F20"/>
          <w:spacing w:val="-21"/>
          <w:sz w:val="15"/>
        </w:rPr>
        <w:t xml:space="preserve"> </w:t>
      </w:r>
      <w:r>
        <w:rPr>
          <w:color w:val="231F20"/>
          <w:sz w:val="15"/>
        </w:rPr>
        <w:t>tomto</w:t>
      </w:r>
      <w:r>
        <w:rPr>
          <w:color w:val="231F20"/>
          <w:spacing w:val="-21"/>
          <w:sz w:val="15"/>
        </w:rPr>
        <w:t xml:space="preserve"> </w:t>
      </w:r>
      <w:r>
        <w:rPr>
          <w:color w:val="231F20"/>
          <w:sz w:val="15"/>
        </w:rPr>
        <w:t>závodu</w:t>
      </w:r>
      <w:r>
        <w:rPr>
          <w:color w:val="231F20"/>
          <w:spacing w:val="-20"/>
          <w:sz w:val="15"/>
        </w:rPr>
        <w:t xml:space="preserve"> </w:t>
      </w:r>
      <w:r>
        <w:rPr>
          <w:color w:val="231F20"/>
          <w:sz w:val="15"/>
        </w:rPr>
        <w:t>nebo</w:t>
      </w:r>
      <w:r>
        <w:rPr>
          <w:color w:val="231F20"/>
          <w:spacing w:val="-21"/>
          <w:sz w:val="15"/>
        </w:rPr>
        <w:t xml:space="preserve"> </w:t>
      </w:r>
      <w:r>
        <w:rPr>
          <w:color w:val="231F20"/>
          <w:sz w:val="15"/>
        </w:rPr>
        <w:t>soutěži</w:t>
      </w:r>
      <w:r>
        <w:rPr>
          <w:color w:val="231F20"/>
          <w:spacing w:val="-21"/>
          <w:sz w:val="15"/>
        </w:rPr>
        <w:t xml:space="preserve"> </w:t>
      </w:r>
      <w:r>
        <w:rPr>
          <w:color w:val="231F20"/>
          <w:sz w:val="15"/>
        </w:rPr>
        <w:t>povinen</w:t>
      </w:r>
      <w:r>
        <w:rPr>
          <w:color w:val="231F20"/>
          <w:spacing w:val="-21"/>
          <w:sz w:val="15"/>
        </w:rPr>
        <w:t xml:space="preserve"> </w:t>
      </w:r>
      <w:r>
        <w:rPr>
          <w:color w:val="231F20"/>
          <w:sz w:val="15"/>
        </w:rPr>
        <w:t>dodržovat pravidla provozu na pozemních</w:t>
      </w:r>
      <w:r>
        <w:rPr>
          <w:color w:val="231F20"/>
          <w:spacing w:val="-9"/>
          <w:sz w:val="15"/>
        </w:rPr>
        <w:t xml:space="preserve"> </w:t>
      </w:r>
      <w:r>
        <w:rPr>
          <w:color w:val="231F20"/>
          <w:sz w:val="15"/>
        </w:rPr>
        <w:t>komunikacích;</w:t>
      </w:r>
    </w:p>
    <w:p w14:paraId="3F2D06BD" w14:textId="77777777" w:rsidR="00F65BCA" w:rsidRDefault="00216117">
      <w:pPr>
        <w:pStyle w:val="Zkladntext"/>
        <w:spacing w:line="278" w:lineRule="auto"/>
        <w:ind w:left="880" w:hanging="171"/>
        <w:jc w:val="both"/>
      </w:pPr>
      <w:r>
        <w:rPr>
          <w:color w:val="231F20"/>
        </w:rPr>
        <w:t>m</w:t>
      </w:r>
      <w:r>
        <w:rPr>
          <w:color w:val="231F20"/>
          <w:spacing w:val="-20"/>
        </w:rPr>
        <w:t xml:space="preserve"> </w:t>
      </w:r>
      <w:r>
        <w:rPr>
          <w:color w:val="231F20"/>
        </w:rPr>
        <w:t>účasti</w:t>
      </w:r>
      <w:r>
        <w:rPr>
          <w:color w:val="231F20"/>
          <w:spacing w:val="-16"/>
        </w:rPr>
        <w:t xml:space="preserve"> </w:t>
      </w:r>
      <w:r>
        <w:rPr>
          <w:color w:val="231F20"/>
        </w:rPr>
        <w:t>na</w:t>
      </w:r>
      <w:r>
        <w:rPr>
          <w:color w:val="231F20"/>
          <w:spacing w:val="-16"/>
        </w:rPr>
        <w:t xml:space="preserve"> </w:t>
      </w:r>
      <w:r>
        <w:rPr>
          <w:color w:val="231F20"/>
        </w:rPr>
        <w:t>testovacích,</w:t>
      </w:r>
      <w:r>
        <w:rPr>
          <w:color w:val="231F20"/>
          <w:spacing w:val="-16"/>
        </w:rPr>
        <w:t xml:space="preserve"> </w:t>
      </w:r>
      <w:r>
        <w:rPr>
          <w:color w:val="231F20"/>
        </w:rPr>
        <w:t>zkušebních,</w:t>
      </w:r>
      <w:r>
        <w:rPr>
          <w:color w:val="231F20"/>
          <w:spacing w:val="-16"/>
        </w:rPr>
        <w:t xml:space="preserve"> </w:t>
      </w:r>
      <w:r>
        <w:rPr>
          <w:color w:val="231F20"/>
        </w:rPr>
        <w:t>zážitkových</w:t>
      </w:r>
      <w:r>
        <w:rPr>
          <w:color w:val="231F20"/>
          <w:spacing w:val="-16"/>
        </w:rPr>
        <w:t xml:space="preserve"> </w:t>
      </w:r>
      <w:r>
        <w:rPr>
          <w:color w:val="231F20"/>
        </w:rPr>
        <w:t>jízdách,</w:t>
      </w:r>
      <w:r>
        <w:rPr>
          <w:color w:val="231F20"/>
          <w:spacing w:val="-16"/>
        </w:rPr>
        <w:t xml:space="preserve"> </w:t>
      </w:r>
      <w:r>
        <w:rPr>
          <w:color w:val="231F20"/>
        </w:rPr>
        <w:t>školách</w:t>
      </w:r>
      <w:r>
        <w:rPr>
          <w:color w:val="231F20"/>
          <w:spacing w:val="-16"/>
        </w:rPr>
        <w:t xml:space="preserve"> </w:t>
      </w:r>
      <w:r>
        <w:rPr>
          <w:color w:val="231F20"/>
        </w:rPr>
        <w:t>smyku,</w:t>
      </w:r>
      <w:r>
        <w:rPr>
          <w:color w:val="231F20"/>
          <w:spacing w:val="-16"/>
        </w:rPr>
        <w:t xml:space="preserve"> </w:t>
      </w:r>
      <w:r>
        <w:rPr>
          <w:color w:val="231F20"/>
        </w:rPr>
        <w:t>jíz- dách</w:t>
      </w:r>
      <w:r>
        <w:rPr>
          <w:color w:val="231F20"/>
          <w:spacing w:val="-18"/>
        </w:rPr>
        <w:t xml:space="preserve"> </w:t>
      </w:r>
      <w:r>
        <w:rPr>
          <w:color w:val="231F20"/>
        </w:rPr>
        <w:t>na</w:t>
      </w:r>
      <w:r>
        <w:rPr>
          <w:color w:val="231F20"/>
          <w:spacing w:val="-18"/>
        </w:rPr>
        <w:t xml:space="preserve"> </w:t>
      </w:r>
      <w:r>
        <w:rPr>
          <w:color w:val="231F20"/>
        </w:rPr>
        <w:t>uzavřeném</w:t>
      </w:r>
      <w:r>
        <w:rPr>
          <w:color w:val="231F20"/>
          <w:spacing w:val="-18"/>
        </w:rPr>
        <w:t xml:space="preserve"> </w:t>
      </w:r>
      <w:r>
        <w:rPr>
          <w:color w:val="231F20"/>
        </w:rPr>
        <w:t>či</w:t>
      </w:r>
      <w:r>
        <w:rPr>
          <w:color w:val="231F20"/>
          <w:spacing w:val="-18"/>
        </w:rPr>
        <w:t xml:space="preserve"> </w:t>
      </w:r>
      <w:r>
        <w:rPr>
          <w:color w:val="231F20"/>
        </w:rPr>
        <w:t>otevřeném</w:t>
      </w:r>
      <w:r>
        <w:rPr>
          <w:color w:val="231F20"/>
          <w:spacing w:val="-18"/>
        </w:rPr>
        <w:t xml:space="preserve"> </w:t>
      </w:r>
      <w:r>
        <w:rPr>
          <w:color w:val="231F20"/>
        </w:rPr>
        <w:t>okruhu</w:t>
      </w:r>
      <w:r>
        <w:rPr>
          <w:color w:val="231F20"/>
          <w:spacing w:val="-18"/>
        </w:rPr>
        <w:t xml:space="preserve"> </w:t>
      </w:r>
      <w:r>
        <w:rPr>
          <w:color w:val="231F20"/>
        </w:rPr>
        <w:t>nebo</w:t>
      </w:r>
      <w:r>
        <w:rPr>
          <w:color w:val="231F20"/>
          <w:spacing w:val="-17"/>
        </w:rPr>
        <w:t xml:space="preserve"> </w:t>
      </w:r>
      <w:r>
        <w:rPr>
          <w:color w:val="231F20"/>
        </w:rPr>
        <w:t>v</w:t>
      </w:r>
      <w:r>
        <w:rPr>
          <w:color w:val="231F20"/>
          <w:spacing w:val="-18"/>
        </w:rPr>
        <w:t xml:space="preserve"> </w:t>
      </w:r>
      <w:r>
        <w:rPr>
          <w:color w:val="231F20"/>
        </w:rPr>
        <w:t>areálu</w:t>
      </w:r>
      <w:r>
        <w:rPr>
          <w:color w:val="231F20"/>
          <w:spacing w:val="-18"/>
        </w:rPr>
        <w:t xml:space="preserve"> </w:t>
      </w:r>
      <w:r>
        <w:rPr>
          <w:color w:val="231F20"/>
        </w:rPr>
        <w:t>vymezeném</w:t>
      </w:r>
      <w:r>
        <w:rPr>
          <w:color w:val="231F20"/>
          <w:spacing w:val="-18"/>
        </w:rPr>
        <w:t xml:space="preserve"> </w:t>
      </w:r>
      <w:r>
        <w:rPr>
          <w:color w:val="231F20"/>
        </w:rPr>
        <w:t>k</w:t>
      </w:r>
      <w:r>
        <w:rPr>
          <w:color w:val="231F20"/>
          <w:spacing w:val="-18"/>
        </w:rPr>
        <w:t xml:space="preserve"> </w:t>
      </w:r>
      <w:r>
        <w:rPr>
          <w:color w:val="231F20"/>
        </w:rPr>
        <w:t>tako- vému</w:t>
      </w:r>
      <w:r>
        <w:rPr>
          <w:color w:val="231F20"/>
          <w:spacing w:val="-17"/>
        </w:rPr>
        <w:t xml:space="preserve"> </w:t>
      </w:r>
      <w:r>
        <w:rPr>
          <w:color w:val="231F20"/>
        </w:rPr>
        <w:t>účelu</w:t>
      </w:r>
      <w:r>
        <w:rPr>
          <w:color w:val="231F20"/>
          <w:spacing w:val="-17"/>
        </w:rPr>
        <w:t xml:space="preserve"> </w:t>
      </w:r>
      <w:r>
        <w:rPr>
          <w:color w:val="231F20"/>
        </w:rPr>
        <w:t>a</w:t>
      </w:r>
      <w:r>
        <w:rPr>
          <w:color w:val="231F20"/>
          <w:spacing w:val="-17"/>
        </w:rPr>
        <w:t xml:space="preserve"> </w:t>
      </w:r>
      <w:r>
        <w:rPr>
          <w:color w:val="231F20"/>
        </w:rPr>
        <w:t>dále</w:t>
      </w:r>
      <w:r>
        <w:rPr>
          <w:color w:val="231F20"/>
          <w:spacing w:val="-16"/>
        </w:rPr>
        <w:t xml:space="preserve"> </w:t>
      </w:r>
      <w:r>
        <w:rPr>
          <w:color w:val="231F20"/>
        </w:rPr>
        <w:t>jízdách,</w:t>
      </w:r>
      <w:r>
        <w:rPr>
          <w:color w:val="231F20"/>
          <w:spacing w:val="-17"/>
        </w:rPr>
        <w:t xml:space="preserve"> </w:t>
      </w:r>
      <w:r>
        <w:rPr>
          <w:color w:val="231F20"/>
        </w:rPr>
        <w:t>při</w:t>
      </w:r>
      <w:r>
        <w:rPr>
          <w:color w:val="231F20"/>
          <w:spacing w:val="-17"/>
        </w:rPr>
        <w:t xml:space="preserve"> </w:t>
      </w:r>
      <w:r>
        <w:rPr>
          <w:color w:val="231F20"/>
        </w:rPr>
        <w:t>kterých</w:t>
      </w:r>
      <w:r>
        <w:rPr>
          <w:color w:val="231F20"/>
          <w:spacing w:val="-17"/>
        </w:rPr>
        <w:t xml:space="preserve"> </w:t>
      </w:r>
      <w:r>
        <w:rPr>
          <w:color w:val="231F20"/>
        </w:rPr>
        <w:t>řidič</w:t>
      </w:r>
      <w:r>
        <w:rPr>
          <w:color w:val="231F20"/>
          <w:spacing w:val="-16"/>
        </w:rPr>
        <w:t xml:space="preserve"> </w:t>
      </w:r>
      <w:r>
        <w:rPr>
          <w:color w:val="231F20"/>
        </w:rPr>
        <w:t>není</w:t>
      </w:r>
      <w:r>
        <w:rPr>
          <w:color w:val="231F20"/>
          <w:spacing w:val="-17"/>
        </w:rPr>
        <w:t xml:space="preserve"> </w:t>
      </w:r>
      <w:r>
        <w:rPr>
          <w:color w:val="231F20"/>
        </w:rPr>
        <w:t>povinen</w:t>
      </w:r>
      <w:r>
        <w:rPr>
          <w:color w:val="231F20"/>
          <w:spacing w:val="-17"/>
        </w:rPr>
        <w:t xml:space="preserve"> </w:t>
      </w:r>
      <w:r>
        <w:rPr>
          <w:color w:val="231F20"/>
        </w:rPr>
        <w:t>dodržovat</w:t>
      </w:r>
      <w:r>
        <w:rPr>
          <w:color w:val="231F20"/>
          <w:spacing w:val="-16"/>
        </w:rPr>
        <w:t xml:space="preserve"> </w:t>
      </w:r>
      <w:r>
        <w:rPr>
          <w:color w:val="231F20"/>
        </w:rPr>
        <w:t>pravidla provozu na pozemních</w:t>
      </w:r>
      <w:r>
        <w:rPr>
          <w:color w:val="231F20"/>
          <w:spacing w:val="-4"/>
        </w:rPr>
        <w:t xml:space="preserve"> </w:t>
      </w:r>
      <w:r>
        <w:rPr>
          <w:color w:val="231F20"/>
        </w:rPr>
        <w:t>komunikacích;</w:t>
      </w:r>
    </w:p>
    <w:p w14:paraId="3D6863A4" w14:textId="77777777" w:rsidR="00F65BCA" w:rsidRDefault="00216117">
      <w:pPr>
        <w:pStyle w:val="Zkladntext"/>
        <w:spacing w:line="172" w:lineRule="exact"/>
        <w:ind w:left="710"/>
        <w:jc w:val="both"/>
      </w:pPr>
      <w:r>
        <w:rPr>
          <w:color w:val="231F20"/>
        </w:rPr>
        <w:t>n jízdách sloužících k tréninku řidičských dovedností;</w:t>
      </w:r>
    </w:p>
    <w:p w14:paraId="68C36264" w14:textId="77777777" w:rsidR="00F65BCA" w:rsidRDefault="00216117">
      <w:pPr>
        <w:pStyle w:val="Zkladntext"/>
        <w:spacing w:before="28"/>
        <w:ind w:left="710"/>
        <w:jc w:val="both"/>
      </w:pPr>
      <w:r>
        <w:rPr>
          <w:color w:val="231F20"/>
        </w:rPr>
        <w:t>o střetu se zvířetem odhozeným škodícím vozidlem.</w:t>
      </w:r>
    </w:p>
    <w:p w14:paraId="2AA29209" w14:textId="77777777" w:rsidR="00F65BCA" w:rsidRDefault="00216117">
      <w:pPr>
        <w:pStyle w:val="Zkladntext"/>
        <w:spacing w:before="26"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 xml:space="preserve">2 </w:t>
      </w:r>
      <w:r>
        <w:rPr>
          <w:color w:val="231F20"/>
          <w:position w:val="1"/>
          <w:sz w:val="14"/>
        </w:rPr>
        <w:t xml:space="preserve"> </w:t>
      </w:r>
      <w:r>
        <w:rPr>
          <w:color w:val="231F20"/>
          <w:spacing w:val="2"/>
        </w:rPr>
        <w:t xml:space="preserve">Výluky </w:t>
      </w:r>
      <w:r>
        <w:rPr>
          <w:color w:val="231F20"/>
        </w:rPr>
        <w:t xml:space="preserve">uvedené v odst. 1 tohoto článku, pod písmeny a </w:t>
      </w:r>
      <w:r>
        <w:rPr>
          <w:color w:val="231F20"/>
          <w:spacing w:val="2"/>
        </w:rPr>
        <w:t xml:space="preserve">až </w:t>
      </w:r>
      <w:r>
        <w:rPr>
          <w:color w:val="231F20"/>
        </w:rPr>
        <w:t>f neplatí, pokud k</w:t>
      </w:r>
      <w:r>
        <w:rPr>
          <w:color w:val="231F20"/>
          <w:spacing w:val="-5"/>
        </w:rPr>
        <w:t xml:space="preserve"> </w:t>
      </w:r>
      <w:r>
        <w:rPr>
          <w:color w:val="231F20"/>
        </w:rPr>
        <w:t>poškození</w:t>
      </w:r>
      <w:r>
        <w:rPr>
          <w:color w:val="231F20"/>
          <w:spacing w:val="-5"/>
        </w:rPr>
        <w:t xml:space="preserve"> </w:t>
      </w:r>
      <w:r>
        <w:rPr>
          <w:color w:val="231F20"/>
        </w:rPr>
        <w:t>vozidla</w:t>
      </w:r>
      <w:r>
        <w:rPr>
          <w:color w:val="231F20"/>
          <w:spacing w:val="-5"/>
        </w:rPr>
        <w:t xml:space="preserve"> </w:t>
      </w:r>
      <w:r>
        <w:rPr>
          <w:color w:val="231F20"/>
        </w:rPr>
        <w:t>došlo</w:t>
      </w:r>
      <w:r>
        <w:rPr>
          <w:color w:val="231F20"/>
          <w:spacing w:val="-5"/>
        </w:rPr>
        <w:t xml:space="preserve"> </w:t>
      </w:r>
      <w:r>
        <w:rPr>
          <w:color w:val="231F20"/>
        </w:rPr>
        <w:t>v</w:t>
      </w:r>
      <w:r>
        <w:rPr>
          <w:color w:val="231F20"/>
          <w:spacing w:val="-5"/>
        </w:rPr>
        <w:t xml:space="preserve"> </w:t>
      </w:r>
      <w:r>
        <w:rPr>
          <w:color w:val="231F20"/>
        </w:rPr>
        <w:t>době</w:t>
      </w:r>
      <w:r>
        <w:rPr>
          <w:color w:val="231F20"/>
          <w:spacing w:val="-5"/>
        </w:rPr>
        <w:t xml:space="preserve"> </w:t>
      </w:r>
      <w:r>
        <w:rPr>
          <w:color w:val="231F20"/>
        </w:rPr>
        <w:t>od</w:t>
      </w:r>
      <w:r>
        <w:rPr>
          <w:color w:val="231F20"/>
          <w:spacing w:val="-4"/>
        </w:rPr>
        <w:t xml:space="preserve"> </w:t>
      </w:r>
      <w:r>
        <w:rPr>
          <w:color w:val="231F20"/>
        </w:rPr>
        <w:t>odcizení</w:t>
      </w:r>
      <w:r>
        <w:rPr>
          <w:color w:val="231F20"/>
          <w:spacing w:val="-5"/>
        </w:rPr>
        <w:t xml:space="preserve"> </w:t>
      </w:r>
      <w:r>
        <w:rPr>
          <w:color w:val="231F20"/>
        </w:rPr>
        <w:t>do</w:t>
      </w:r>
      <w:r>
        <w:rPr>
          <w:color w:val="231F20"/>
          <w:spacing w:val="-5"/>
        </w:rPr>
        <w:t xml:space="preserve"> </w:t>
      </w:r>
      <w:r>
        <w:rPr>
          <w:color w:val="231F20"/>
        </w:rPr>
        <w:t>vrácení</w:t>
      </w:r>
      <w:r>
        <w:rPr>
          <w:color w:val="231F20"/>
          <w:spacing w:val="-5"/>
        </w:rPr>
        <w:t xml:space="preserve"> </w:t>
      </w:r>
      <w:r>
        <w:rPr>
          <w:color w:val="231F20"/>
        </w:rPr>
        <w:t>vozidla.</w:t>
      </w:r>
    </w:p>
    <w:p w14:paraId="39C938D7" w14:textId="77777777" w:rsidR="00F65BCA" w:rsidRDefault="00216117">
      <w:pPr>
        <w:pStyle w:val="Zkladntext"/>
        <w:spacing w:line="172" w:lineRule="exact"/>
        <w:ind w:left="428"/>
        <w:jc w:val="both"/>
      </w:pPr>
      <w:r>
        <w:rPr>
          <w:color w:val="231F20"/>
          <w:position w:val="1"/>
          <w:sz w:val="14"/>
          <w:shd w:val="clear" w:color="auto" w:fill="D1D3D4"/>
        </w:rPr>
        <w:t xml:space="preserve">  3</w:t>
      </w:r>
      <w:r>
        <w:rPr>
          <w:color w:val="231F20"/>
          <w:position w:val="1"/>
          <w:sz w:val="14"/>
        </w:rPr>
        <w:t xml:space="preserve"> </w:t>
      </w:r>
      <w:r>
        <w:rPr>
          <w:color w:val="231F20"/>
        </w:rPr>
        <w:t>Pojišťovna dále neposkytne pojistné plnění v těchto případech:</w:t>
      </w:r>
    </w:p>
    <w:p w14:paraId="77965436" w14:textId="77777777" w:rsidR="00F65BCA" w:rsidRDefault="00216117">
      <w:pPr>
        <w:pStyle w:val="Odstavecseseznamem"/>
        <w:numPr>
          <w:ilvl w:val="0"/>
          <w:numId w:val="110"/>
        </w:numPr>
        <w:tabs>
          <w:tab w:val="left" w:pos="881"/>
        </w:tabs>
        <w:spacing w:before="28" w:line="278" w:lineRule="auto"/>
        <w:rPr>
          <w:sz w:val="15"/>
        </w:rPr>
      </w:pPr>
      <w:r>
        <w:rPr>
          <w:color w:val="231F20"/>
          <w:sz w:val="15"/>
        </w:rPr>
        <w:t>služby,</w:t>
      </w:r>
      <w:r>
        <w:rPr>
          <w:color w:val="231F20"/>
          <w:spacing w:val="-21"/>
          <w:sz w:val="15"/>
        </w:rPr>
        <w:t xml:space="preserve"> </w:t>
      </w:r>
      <w:r>
        <w:rPr>
          <w:color w:val="231F20"/>
          <w:sz w:val="15"/>
        </w:rPr>
        <w:t>které</w:t>
      </w:r>
      <w:r>
        <w:rPr>
          <w:color w:val="231F20"/>
          <w:spacing w:val="-21"/>
          <w:sz w:val="15"/>
        </w:rPr>
        <w:t xml:space="preserve"> </w:t>
      </w:r>
      <w:r>
        <w:rPr>
          <w:color w:val="231F20"/>
          <w:sz w:val="15"/>
        </w:rPr>
        <w:t>byly</w:t>
      </w:r>
      <w:r>
        <w:rPr>
          <w:color w:val="231F20"/>
          <w:spacing w:val="-20"/>
          <w:sz w:val="15"/>
        </w:rPr>
        <w:t xml:space="preserve"> </w:t>
      </w:r>
      <w:r>
        <w:rPr>
          <w:color w:val="231F20"/>
          <w:sz w:val="15"/>
        </w:rPr>
        <w:t>provedeny</w:t>
      </w:r>
      <w:r>
        <w:rPr>
          <w:color w:val="231F20"/>
          <w:spacing w:val="-21"/>
          <w:sz w:val="15"/>
        </w:rPr>
        <w:t xml:space="preserve"> </w:t>
      </w:r>
      <w:r>
        <w:rPr>
          <w:color w:val="231F20"/>
          <w:sz w:val="15"/>
        </w:rPr>
        <w:t>bez</w:t>
      </w:r>
      <w:r>
        <w:rPr>
          <w:color w:val="231F20"/>
          <w:spacing w:val="-20"/>
          <w:sz w:val="15"/>
        </w:rPr>
        <w:t xml:space="preserve"> </w:t>
      </w:r>
      <w:r>
        <w:rPr>
          <w:color w:val="231F20"/>
          <w:sz w:val="15"/>
        </w:rPr>
        <w:t>souhlasu</w:t>
      </w:r>
      <w:r>
        <w:rPr>
          <w:color w:val="231F20"/>
          <w:spacing w:val="-21"/>
          <w:sz w:val="15"/>
        </w:rPr>
        <w:t xml:space="preserve"> </w:t>
      </w:r>
      <w:r>
        <w:rPr>
          <w:color w:val="231F20"/>
          <w:sz w:val="15"/>
        </w:rPr>
        <w:t>Pojišťovny,</w:t>
      </w:r>
      <w:r>
        <w:rPr>
          <w:color w:val="231F20"/>
          <w:spacing w:val="-21"/>
          <w:sz w:val="15"/>
        </w:rPr>
        <w:t xml:space="preserve"> </w:t>
      </w:r>
      <w:r>
        <w:rPr>
          <w:color w:val="231F20"/>
          <w:sz w:val="15"/>
        </w:rPr>
        <w:t>resp.</w:t>
      </w:r>
      <w:r>
        <w:rPr>
          <w:color w:val="231F20"/>
          <w:spacing w:val="-20"/>
          <w:sz w:val="15"/>
        </w:rPr>
        <w:t xml:space="preserve"> </w:t>
      </w:r>
      <w:r>
        <w:rPr>
          <w:color w:val="231F20"/>
          <w:sz w:val="15"/>
        </w:rPr>
        <w:t>souhlasu</w:t>
      </w:r>
      <w:r>
        <w:rPr>
          <w:color w:val="231F20"/>
          <w:spacing w:val="-21"/>
          <w:sz w:val="15"/>
        </w:rPr>
        <w:t xml:space="preserve"> </w:t>
      </w:r>
      <w:r>
        <w:rPr>
          <w:color w:val="231F20"/>
          <w:spacing w:val="-3"/>
          <w:sz w:val="15"/>
        </w:rPr>
        <w:t xml:space="preserve">jejího </w:t>
      </w:r>
      <w:r>
        <w:rPr>
          <w:color w:val="231F20"/>
          <w:sz w:val="15"/>
        </w:rPr>
        <w:t>smluvního</w:t>
      </w:r>
      <w:r>
        <w:rPr>
          <w:color w:val="231F20"/>
          <w:spacing w:val="-1"/>
          <w:sz w:val="15"/>
        </w:rPr>
        <w:t xml:space="preserve"> </w:t>
      </w:r>
      <w:r>
        <w:rPr>
          <w:color w:val="231F20"/>
          <w:sz w:val="15"/>
        </w:rPr>
        <w:t>partnera;</w:t>
      </w:r>
    </w:p>
    <w:p w14:paraId="5D29A017" w14:textId="77777777" w:rsidR="00F65BCA" w:rsidRDefault="00216117">
      <w:pPr>
        <w:pStyle w:val="Odstavecseseznamem"/>
        <w:numPr>
          <w:ilvl w:val="0"/>
          <w:numId w:val="110"/>
        </w:numPr>
        <w:tabs>
          <w:tab w:val="left" w:pos="881"/>
        </w:tabs>
        <w:spacing w:line="278" w:lineRule="auto"/>
        <w:rPr>
          <w:sz w:val="15"/>
        </w:rPr>
      </w:pPr>
      <w:r>
        <w:rPr>
          <w:color w:val="231F20"/>
          <w:sz w:val="15"/>
        </w:rPr>
        <w:t>postoupení</w:t>
      </w:r>
      <w:r>
        <w:rPr>
          <w:color w:val="231F20"/>
          <w:spacing w:val="-10"/>
          <w:sz w:val="15"/>
        </w:rPr>
        <w:t xml:space="preserve"> </w:t>
      </w:r>
      <w:r>
        <w:rPr>
          <w:color w:val="231F20"/>
          <w:sz w:val="15"/>
        </w:rPr>
        <w:t>nároku</w:t>
      </w:r>
      <w:r>
        <w:rPr>
          <w:color w:val="231F20"/>
          <w:spacing w:val="-10"/>
          <w:sz w:val="15"/>
        </w:rPr>
        <w:t xml:space="preserve"> </w:t>
      </w:r>
      <w:r>
        <w:rPr>
          <w:color w:val="231F20"/>
          <w:sz w:val="15"/>
        </w:rPr>
        <w:t>oprávněné</w:t>
      </w:r>
      <w:r>
        <w:rPr>
          <w:color w:val="231F20"/>
          <w:spacing w:val="-9"/>
          <w:sz w:val="15"/>
        </w:rPr>
        <w:t xml:space="preserve"> </w:t>
      </w:r>
      <w:r>
        <w:rPr>
          <w:color w:val="231F20"/>
          <w:sz w:val="15"/>
        </w:rPr>
        <w:t>osoby</w:t>
      </w:r>
      <w:r>
        <w:rPr>
          <w:color w:val="231F20"/>
          <w:spacing w:val="-10"/>
          <w:sz w:val="15"/>
        </w:rPr>
        <w:t xml:space="preserve"> </w:t>
      </w:r>
      <w:r>
        <w:rPr>
          <w:color w:val="231F20"/>
          <w:sz w:val="15"/>
        </w:rPr>
        <w:t>na</w:t>
      </w:r>
      <w:r>
        <w:rPr>
          <w:color w:val="231F20"/>
          <w:spacing w:val="-9"/>
          <w:sz w:val="15"/>
        </w:rPr>
        <w:t xml:space="preserve"> </w:t>
      </w:r>
      <w:r>
        <w:rPr>
          <w:color w:val="231F20"/>
          <w:sz w:val="15"/>
        </w:rPr>
        <w:t>plnění</w:t>
      </w:r>
      <w:r>
        <w:rPr>
          <w:color w:val="231F20"/>
          <w:spacing w:val="-10"/>
          <w:sz w:val="15"/>
        </w:rPr>
        <w:t xml:space="preserve"> </w:t>
      </w:r>
      <w:r>
        <w:rPr>
          <w:color w:val="231F20"/>
          <w:sz w:val="15"/>
        </w:rPr>
        <w:t>asistenční</w:t>
      </w:r>
      <w:r>
        <w:rPr>
          <w:color w:val="231F20"/>
          <w:spacing w:val="-10"/>
          <w:sz w:val="15"/>
        </w:rPr>
        <w:t xml:space="preserve"> </w:t>
      </w:r>
      <w:r>
        <w:rPr>
          <w:color w:val="231F20"/>
          <w:sz w:val="15"/>
        </w:rPr>
        <w:t>služby,</w:t>
      </w:r>
      <w:r>
        <w:rPr>
          <w:color w:val="231F20"/>
          <w:spacing w:val="-9"/>
          <w:sz w:val="15"/>
        </w:rPr>
        <w:t xml:space="preserve"> </w:t>
      </w:r>
      <w:r>
        <w:rPr>
          <w:color w:val="231F20"/>
          <w:sz w:val="15"/>
        </w:rPr>
        <w:t>její</w:t>
      </w:r>
      <w:r>
        <w:rPr>
          <w:color w:val="231F20"/>
          <w:spacing w:val="-10"/>
          <w:sz w:val="15"/>
        </w:rPr>
        <w:t xml:space="preserve"> </w:t>
      </w:r>
      <w:r>
        <w:rPr>
          <w:color w:val="231F20"/>
          <w:sz w:val="15"/>
        </w:rPr>
        <w:t>části nebo</w:t>
      </w:r>
      <w:r>
        <w:rPr>
          <w:color w:val="231F20"/>
          <w:spacing w:val="-5"/>
          <w:sz w:val="15"/>
        </w:rPr>
        <w:t xml:space="preserve"> </w:t>
      </w:r>
      <w:r>
        <w:rPr>
          <w:color w:val="231F20"/>
          <w:sz w:val="15"/>
        </w:rPr>
        <w:t>práva</w:t>
      </w:r>
      <w:r>
        <w:rPr>
          <w:color w:val="231F20"/>
          <w:spacing w:val="-5"/>
          <w:sz w:val="15"/>
        </w:rPr>
        <w:t xml:space="preserve"> </w:t>
      </w:r>
      <w:r>
        <w:rPr>
          <w:color w:val="231F20"/>
          <w:sz w:val="15"/>
        </w:rPr>
        <w:t>na</w:t>
      </w:r>
      <w:r>
        <w:rPr>
          <w:color w:val="231F20"/>
          <w:spacing w:val="-5"/>
          <w:sz w:val="15"/>
        </w:rPr>
        <w:t xml:space="preserve"> </w:t>
      </w:r>
      <w:r>
        <w:rPr>
          <w:color w:val="231F20"/>
          <w:sz w:val="15"/>
        </w:rPr>
        <w:t>její</w:t>
      </w:r>
      <w:r>
        <w:rPr>
          <w:color w:val="231F20"/>
          <w:spacing w:val="-5"/>
          <w:sz w:val="15"/>
        </w:rPr>
        <w:t xml:space="preserve"> </w:t>
      </w:r>
      <w:r>
        <w:rPr>
          <w:color w:val="231F20"/>
          <w:sz w:val="15"/>
        </w:rPr>
        <w:t>úhradu</w:t>
      </w:r>
      <w:r>
        <w:rPr>
          <w:color w:val="231F20"/>
          <w:spacing w:val="-5"/>
          <w:sz w:val="15"/>
        </w:rPr>
        <w:t xml:space="preserve"> </w:t>
      </w:r>
      <w:r>
        <w:rPr>
          <w:color w:val="231F20"/>
          <w:sz w:val="15"/>
        </w:rPr>
        <w:t>jinému</w:t>
      </w:r>
      <w:r>
        <w:rPr>
          <w:color w:val="231F20"/>
          <w:spacing w:val="-5"/>
          <w:sz w:val="15"/>
        </w:rPr>
        <w:t xml:space="preserve"> </w:t>
      </w:r>
      <w:r>
        <w:rPr>
          <w:color w:val="231F20"/>
          <w:sz w:val="15"/>
        </w:rPr>
        <w:t>bez</w:t>
      </w:r>
      <w:r>
        <w:rPr>
          <w:color w:val="231F20"/>
          <w:spacing w:val="-5"/>
          <w:sz w:val="15"/>
        </w:rPr>
        <w:t xml:space="preserve"> </w:t>
      </w:r>
      <w:r>
        <w:rPr>
          <w:color w:val="231F20"/>
          <w:sz w:val="15"/>
        </w:rPr>
        <w:t>souhlasu</w:t>
      </w:r>
      <w:r>
        <w:rPr>
          <w:color w:val="231F20"/>
          <w:spacing w:val="-5"/>
          <w:sz w:val="15"/>
        </w:rPr>
        <w:t xml:space="preserve"> </w:t>
      </w:r>
      <w:r>
        <w:rPr>
          <w:color w:val="231F20"/>
          <w:sz w:val="15"/>
        </w:rPr>
        <w:t>Pojišťovny;</w:t>
      </w:r>
    </w:p>
    <w:p w14:paraId="20EF7197" w14:textId="77777777" w:rsidR="00F65BCA" w:rsidRDefault="00216117">
      <w:pPr>
        <w:pStyle w:val="Odstavecseseznamem"/>
        <w:numPr>
          <w:ilvl w:val="0"/>
          <w:numId w:val="110"/>
        </w:numPr>
        <w:tabs>
          <w:tab w:val="left" w:pos="881"/>
        </w:tabs>
        <w:rPr>
          <w:sz w:val="15"/>
        </w:rPr>
      </w:pPr>
      <w:r>
        <w:rPr>
          <w:color w:val="231F20"/>
          <w:sz w:val="15"/>
        </w:rPr>
        <w:t>úhrady za pohonné hmoty a</w:t>
      </w:r>
      <w:r>
        <w:rPr>
          <w:color w:val="231F20"/>
          <w:spacing w:val="-5"/>
          <w:sz w:val="15"/>
        </w:rPr>
        <w:t xml:space="preserve"> </w:t>
      </w:r>
      <w:r>
        <w:rPr>
          <w:color w:val="231F20"/>
          <w:sz w:val="15"/>
        </w:rPr>
        <w:t>mýtné;</w:t>
      </w:r>
    </w:p>
    <w:p w14:paraId="1CE58287" w14:textId="77777777" w:rsidR="00F65BCA" w:rsidRDefault="00216117">
      <w:pPr>
        <w:pStyle w:val="Odstavecseseznamem"/>
        <w:numPr>
          <w:ilvl w:val="0"/>
          <w:numId w:val="110"/>
        </w:numPr>
        <w:tabs>
          <w:tab w:val="left" w:pos="881"/>
        </w:tabs>
        <w:spacing w:before="27" w:line="278" w:lineRule="auto"/>
        <w:rPr>
          <w:sz w:val="15"/>
        </w:rPr>
      </w:pPr>
      <w:r>
        <w:rPr>
          <w:color w:val="231F20"/>
          <w:sz w:val="15"/>
        </w:rPr>
        <w:t>újmy</w:t>
      </w:r>
      <w:r>
        <w:rPr>
          <w:color w:val="231F20"/>
          <w:spacing w:val="-12"/>
          <w:sz w:val="15"/>
        </w:rPr>
        <w:t xml:space="preserve"> </w:t>
      </w:r>
      <w:r>
        <w:rPr>
          <w:color w:val="231F20"/>
          <w:sz w:val="15"/>
        </w:rPr>
        <w:t>způsobené</w:t>
      </w:r>
      <w:r>
        <w:rPr>
          <w:color w:val="231F20"/>
          <w:spacing w:val="-11"/>
          <w:sz w:val="15"/>
        </w:rPr>
        <w:t xml:space="preserve"> </w:t>
      </w:r>
      <w:r>
        <w:rPr>
          <w:color w:val="231F20"/>
          <w:sz w:val="15"/>
        </w:rPr>
        <w:t>neschváleným</w:t>
      </w:r>
      <w:r>
        <w:rPr>
          <w:color w:val="231F20"/>
          <w:spacing w:val="-11"/>
          <w:sz w:val="15"/>
        </w:rPr>
        <w:t xml:space="preserve"> </w:t>
      </w:r>
      <w:r>
        <w:rPr>
          <w:color w:val="231F20"/>
          <w:sz w:val="15"/>
        </w:rPr>
        <w:t>doplňkem</w:t>
      </w:r>
      <w:r>
        <w:rPr>
          <w:color w:val="231F20"/>
          <w:spacing w:val="-11"/>
          <w:sz w:val="15"/>
        </w:rPr>
        <w:t xml:space="preserve"> </w:t>
      </w:r>
      <w:r>
        <w:rPr>
          <w:color w:val="231F20"/>
          <w:sz w:val="15"/>
        </w:rPr>
        <w:t>či</w:t>
      </w:r>
      <w:r>
        <w:rPr>
          <w:color w:val="231F20"/>
          <w:spacing w:val="-11"/>
          <w:sz w:val="15"/>
        </w:rPr>
        <w:t xml:space="preserve"> </w:t>
      </w:r>
      <w:r>
        <w:rPr>
          <w:color w:val="231F20"/>
          <w:sz w:val="15"/>
        </w:rPr>
        <w:t>náhradním</w:t>
      </w:r>
      <w:r>
        <w:rPr>
          <w:color w:val="231F20"/>
          <w:spacing w:val="-11"/>
          <w:sz w:val="15"/>
        </w:rPr>
        <w:t xml:space="preserve"> </w:t>
      </w:r>
      <w:r>
        <w:rPr>
          <w:color w:val="231F20"/>
          <w:sz w:val="15"/>
        </w:rPr>
        <w:t>dílem,</w:t>
      </w:r>
      <w:r>
        <w:rPr>
          <w:color w:val="231F20"/>
          <w:spacing w:val="-11"/>
          <w:sz w:val="15"/>
        </w:rPr>
        <w:t xml:space="preserve"> </w:t>
      </w:r>
      <w:r>
        <w:rPr>
          <w:color w:val="231F20"/>
          <w:sz w:val="15"/>
        </w:rPr>
        <w:t>jehož</w:t>
      </w:r>
      <w:r>
        <w:rPr>
          <w:color w:val="231F20"/>
          <w:spacing w:val="-11"/>
          <w:sz w:val="15"/>
        </w:rPr>
        <w:t xml:space="preserve"> </w:t>
      </w:r>
      <w:r>
        <w:rPr>
          <w:color w:val="231F20"/>
          <w:spacing w:val="-4"/>
          <w:sz w:val="15"/>
        </w:rPr>
        <w:t xml:space="preserve">tech- </w:t>
      </w:r>
      <w:r>
        <w:rPr>
          <w:color w:val="231F20"/>
          <w:sz w:val="15"/>
        </w:rPr>
        <w:t>nická</w:t>
      </w:r>
      <w:r>
        <w:rPr>
          <w:color w:val="231F20"/>
          <w:spacing w:val="-15"/>
          <w:sz w:val="15"/>
        </w:rPr>
        <w:t xml:space="preserve"> </w:t>
      </w:r>
      <w:r>
        <w:rPr>
          <w:color w:val="231F20"/>
          <w:sz w:val="15"/>
        </w:rPr>
        <w:t>způsobilost</w:t>
      </w:r>
      <w:r>
        <w:rPr>
          <w:color w:val="231F20"/>
          <w:spacing w:val="-14"/>
          <w:sz w:val="15"/>
        </w:rPr>
        <w:t xml:space="preserve"> </w:t>
      </w:r>
      <w:r>
        <w:rPr>
          <w:color w:val="231F20"/>
          <w:sz w:val="15"/>
        </w:rPr>
        <w:t>nebyla</w:t>
      </w:r>
      <w:r>
        <w:rPr>
          <w:color w:val="231F20"/>
          <w:spacing w:val="-15"/>
          <w:sz w:val="15"/>
        </w:rPr>
        <w:t xml:space="preserve"> </w:t>
      </w:r>
      <w:r>
        <w:rPr>
          <w:color w:val="231F20"/>
          <w:sz w:val="15"/>
        </w:rPr>
        <w:t>schválena</w:t>
      </w:r>
      <w:r>
        <w:rPr>
          <w:color w:val="231F20"/>
          <w:spacing w:val="-14"/>
          <w:sz w:val="15"/>
        </w:rPr>
        <w:t xml:space="preserve"> </w:t>
      </w:r>
      <w:r>
        <w:rPr>
          <w:color w:val="231F20"/>
          <w:sz w:val="15"/>
        </w:rPr>
        <w:t>příslušným</w:t>
      </w:r>
      <w:r>
        <w:rPr>
          <w:color w:val="231F20"/>
          <w:spacing w:val="-15"/>
          <w:sz w:val="15"/>
        </w:rPr>
        <w:t xml:space="preserve"> </w:t>
      </w:r>
      <w:r>
        <w:rPr>
          <w:color w:val="231F20"/>
          <w:sz w:val="15"/>
        </w:rPr>
        <w:t>schvalovacím</w:t>
      </w:r>
      <w:r>
        <w:rPr>
          <w:color w:val="231F20"/>
          <w:spacing w:val="-14"/>
          <w:sz w:val="15"/>
        </w:rPr>
        <w:t xml:space="preserve"> </w:t>
      </w:r>
      <w:r>
        <w:rPr>
          <w:color w:val="231F20"/>
          <w:sz w:val="15"/>
        </w:rPr>
        <w:t>orgánem;</w:t>
      </w:r>
    </w:p>
    <w:p w14:paraId="2BCD3243" w14:textId="77777777" w:rsidR="00F65BCA" w:rsidRDefault="00216117">
      <w:pPr>
        <w:pStyle w:val="Odstavecseseznamem"/>
        <w:numPr>
          <w:ilvl w:val="0"/>
          <w:numId w:val="110"/>
        </w:numPr>
        <w:tabs>
          <w:tab w:val="left" w:pos="881"/>
        </w:tabs>
        <w:rPr>
          <w:sz w:val="15"/>
        </w:rPr>
      </w:pPr>
      <w:r>
        <w:rPr>
          <w:color w:val="231F20"/>
          <w:spacing w:val="-3"/>
          <w:sz w:val="15"/>
        </w:rPr>
        <w:t xml:space="preserve">újmy, </w:t>
      </w:r>
      <w:r>
        <w:rPr>
          <w:color w:val="231F20"/>
          <w:sz w:val="15"/>
        </w:rPr>
        <w:t>které oprávněná osoba způsobila</w:t>
      </w:r>
      <w:r>
        <w:rPr>
          <w:color w:val="231F20"/>
          <w:spacing w:val="-9"/>
          <w:sz w:val="15"/>
        </w:rPr>
        <w:t xml:space="preserve"> </w:t>
      </w:r>
      <w:r>
        <w:rPr>
          <w:color w:val="231F20"/>
          <w:sz w:val="15"/>
        </w:rPr>
        <w:t>úmyslně;</w:t>
      </w:r>
    </w:p>
    <w:p w14:paraId="7A0DF72C" w14:textId="77777777" w:rsidR="00F65BCA" w:rsidRDefault="00216117">
      <w:pPr>
        <w:pStyle w:val="Odstavecseseznamem"/>
        <w:numPr>
          <w:ilvl w:val="0"/>
          <w:numId w:val="110"/>
        </w:numPr>
        <w:tabs>
          <w:tab w:val="left" w:pos="881"/>
        </w:tabs>
        <w:spacing w:before="28" w:line="278" w:lineRule="auto"/>
        <w:jc w:val="both"/>
        <w:rPr>
          <w:sz w:val="15"/>
        </w:rPr>
      </w:pPr>
      <w:r>
        <w:rPr>
          <w:color w:val="231F20"/>
          <w:sz w:val="15"/>
        </w:rPr>
        <w:t>válečných událostí, vzpoury, povstání nebo jiných hromadných</w:t>
      </w:r>
      <w:r>
        <w:rPr>
          <w:color w:val="231F20"/>
          <w:spacing w:val="-12"/>
          <w:sz w:val="15"/>
        </w:rPr>
        <w:t xml:space="preserve"> </w:t>
      </w:r>
      <w:r>
        <w:rPr>
          <w:color w:val="231F20"/>
          <w:sz w:val="15"/>
        </w:rPr>
        <w:t>násilných nepokojů,</w:t>
      </w:r>
      <w:r>
        <w:rPr>
          <w:color w:val="231F20"/>
          <w:spacing w:val="-18"/>
          <w:sz w:val="15"/>
        </w:rPr>
        <w:t xml:space="preserve"> </w:t>
      </w:r>
      <w:r>
        <w:rPr>
          <w:color w:val="231F20"/>
          <w:sz w:val="15"/>
        </w:rPr>
        <w:t>stávky,</w:t>
      </w:r>
      <w:r>
        <w:rPr>
          <w:color w:val="231F20"/>
          <w:spacing w:val="-18"/>
          <w:sz w:val="15"/>
        </w:rPr>
        <w:t xml:space="preserve"> </w:t>
      </w:r>
      <w:r>
        <w:rPr>
          <w:color w:val="231F20"/>
          <w:sz w:val="15"/>
        </w:rPr>
        <w:t>výluky,</w:t>
      </w:r>
      <w:r>
        <w:rPr>
          <w:color w:val="231F20"/>
          <w:spacing w:val="-18"/>
          <w:sz w:val="15"/>
        </w:rPr>
        <w:t xml:space="preserve"> </w:t>
      </w:r>
      <w:r>
        <w:rPr>
          <w:color w:val="231F20"/>
          <w:sz w:val="15"/>
        </w:rPr>
        <w:t>teroristického</w:t>
      </w:r>
      <w:r>
        <w:rPr>
          <w:color w:val="231F20"/>
          <w:spacing w:val="-18"/>
          <w:sz w:val="15"/>
        </w:rPr>
        <w:t xml:space="preserve"> </w:t>
      </w:r>
      <w:r>
        <w:rPr>
          <w:color w:val="231F20"/>
          <w:sz w:val="15"/>
        </w:rPr>
        <w:t>aktu</w:t>
      </w:r>
      <w:r>
        <w:rPr>
          <w:color w:val="231F20"/>
          <w:spacing w:val="-18"/>
          <w:sz w:val="15"/>
        </w:rPr>
        <w:t xml:space="preserve"> </w:t>
      </w:r>
      <w:r>
        <w:rPr>
          <w:color w:val="231F20"/>
          <w:sz w:val="15"/>
        </w:rPr>
        <w:t>provedeného</w:t>
      </w:r>
      <w:r>
        <w:rPr>
          <w:color w:val="231F20"/>
          <w:spacing w:val="-18"/>
          <w:sz w:val="15"/>
        </w:rPr>
        <w:t xml:space="preserve"> </w:t>
      </w:r>
      <w:r>
        <w:rPr>
          <w:color w:val="231F20"/>
          <w:sz w:val="15"/>
        </w:rPr>
        <w:t>pojištěným</w:t>
      </w:r>
      <w:r>
        <w:rPr>
          <w:color w:val="231F20"/>
          <w:spacing w:val="-17"/>
          <w:sz w:val="15"/>
        </w:rPr>
        <w:t xml:space="preserve"> </w:t>
      </w:r>
      <w:r>
        <w:rPr>
          <w:color w:val="231F20"/>
          <w:spacing w:val="-3"/>
          <w:sz w:val="15"/>
        </w:rPr>
        <w:t xml:space="preserve">vozi- </w:t>
      </w:r>
      <w:r>
        <w:rPr>
          <w:color w:val="231F20"/>
          <w:sz w:val="15"/>
        </w:rPr>
        <w:t>dlem</w:t>
      </w:r>
      <w:r>
        <w:rPr>
          <w:color w:val="231F20"/>
          <w:spacing w:val="-16"/>
          <w:sz w:val="15"/>
        </w:rPr>
        <w:t xml:space="preserve"> </w:t>
      </w:r>
      <w:r>
        <w:rPr>
          <w:color w:val="231F20"/>
          <w:sz w:val="15"/>
        </w:rPr>
        <w:t>(tj.</w:t>
      </w:r>
      <w:r>
        <w:rPr>
          <w:color w:val="231F20"/>
          <w:spacing w:val="-15"/>
          <w:sz w:val="15"/>
        </w:rPr>
        <w:t xml:space="preserve"> </w:t>
      </w:r>
      <w:r>
        <w:rPr>
          <w:color w:val="231F20"/>
          <w:sz w:val="15"/>
        </w:rPr>
        <w:t>jednáním</w:t>
      </w:r>
      <w:r>
        <w:rPr>
          <w:color w:val="231F20"/>
          <w:spacing w:val="-15"/>
          <w:sz w:val="15"/>
        </w:rPr>
        <w:t xml:space="preserve"> </w:t>
      </w:r>
      <w:r>
        <w:rPr>
          <w:color w:val="231F20"/>
          <w:sz w:val="15"/>
        </w:rPr>
        <w:t>motivovaným</w:t>
      </w:r>
      <w:r>
        <w:rPr>
          <w:color w:val="231F20"/>
          <w:spacing w:val="-15"/>
          <w:sz w:val="15"/>
        </w:rPr>
        <w:t xml:space="preserve"> </w:t>
      </w:r>
      <w:r>
        <w:rPr>
          <w:color w:val="231F20"/>
          <w:sz w:val="15"/>
        </w:rPr>
        <w:t>politicky,</w:t>
      </w:r>
      <w:r>
        <w:rPr>
          <w:color w:val="231F20"/>
          <w:spacing w:val="-15"/>
          <w:sz w:val="15"/>
        </w:rPr>
        <w:t xml:space="preserve"> </w:t>
      </w:r>
      <w:r>
        <w:rPr>
          <w:color w:val="231F20"/>
          <w:sz w:val="15"/>
        </w:rPr>
        <w:t>sociálně,</w:t>
      </w:r>
      <w:r>
        <w:rPr>
          <w:color w:val="231F20"/>
          <w:spacing w:val="-16"/>
          <w:sz w:val="15"/>
        </w:rPr>
        <w:t xml:space="preserve"> </w:t>
      </w:r>
      <w:r>
        <w:rPr>
          <w:color w:val="231F20"/>
          <w:sz w:val="15"/>
        </w:rPr>
        <w:t>ideologicky</w:t>
      </w:r>
      <w:r>
        <w:rPr>
          <w:color w:val="231F20"/>
          <w:spacing w:val="-15"/>
          <w:sz w:val="15"/>
        </w:rPr>
        <w:t xml:space="preserve"> </w:t>
      </w:r>
      <w:r>
        <w:rPr>
          <w:color w:val="231F20"/>
          <w:sz w:val="15"/>
        </w:rPr>
        <w:t>nebo</w:t>
      </w:r>
      <w:r>
        <w:rPr>
          <w:color w:val="231F20"/>
          <w:spacing w:val="-15"/>
          <w:sz w:val="15"/>
        </w:rPr>
        <w:t xml:space="preserve"> </w:t>
      </w:r>
      <w:r>
        <w:rPr>
          <w:color w:val="231F20"/>
          <w:spacing w:val="-4"/>
          <w:sz w:val="15"/>
        </w:rPr>
        <w:t xml:space="preserve">nábo- </w:t>
      </w:r>
      <w:r>
        <w:rPr>
          <w:color w:val="231F20"/>
          <w:sz w:val="15"/>
        </w:rPr>
        <w:t>žensky) nebo zásahem státní nebo úřední</w:t>
      </w:r>
      <w:r>
        <w:rPr>
          <w:color w:val="231F20"/>
          <w:spacing w:val="-16"/>
          <w:sz w:val="15"/>
        </w:rPr>
        <w:t xml:space="preserve"> </w:t>
      </w:r>
      <w:r>
        <w:rPr>
          <w:color w:val="231F20"/>
          <w:sz w:val="15"/>
        </w:rPr>
        <w:t>moci;</w:t>
      </w:r>
    </w:p>
    <w:p w14:paraId="04D05417" w14:textId="77777777" w:rsidR="00F65BCA" w:rsidRDefault="00216117">
      <w:pPr>
        <w:pStyle w:val="Odstavecseseznamem"/>
        <w:numPr>
          <w:ilvl w:val="0"/>
          <w:numId w:val="110"/>
        </w:numPr>
        <w:tabs>
          <w:tab w:val="left" w:pos="881"/>
        </w:tabs>
        <w:spacing w:line="172" w:lineRule="exact"/>
        <w:jc w:val="both"/>
        <w:rPr>
          <w:sz w:val="15"/>
        </w:rPr>
      </w:pPr>
      <w:r>
        <w:rPr>
          <w:color w:val="231F20"/>
          <w:sz w:val="15"/>
        </w:rPr>
        <w:t>újmy</w:t>
      </w:r>
      <w:r>
        <w:rPr>
          <w:color w:val="231F20"/>
          <w:spacing w:val="-8"/>
          <w:sz w:val="15"/>
        </w:rPr>
        <w:t xml:space="preserve"> </w:t>
      </w:r>
      <w:r>
        <w:rPr>
          <w:color w:val="231F20"/>
          <w:sz w:val="15"/>
        </w:rPr>
        <w:t>vzniklé</w:t>
      </w:r>
      <w:r>
        <w:rPr>
          <w:color w:val="231F20"/>
          <w:spacing w:val="-8"/>
          <w:sz w:val="15"/>
        </w:rPr>
        <w:t xml:space="preserve"> </w:t>
      </w:r>
      <w:r>
        <w:rPr>
          <w:color w:val="231F20"/>
          <w:sz w:val="15"/>
        </w:rPr>
        <w:t>při</w:t>
      </w:r>
      <w:r>
        <w:rPr>
          <w:color w:val="231F20"/>
          <w:spacing w:val="-8"/>
          <w:sz w:val="15"/>
        </w:rPr>
        <w:t xml:space="preserve"> </w:t>
      </w:r>
      <w:r>
        <w:rPr>
          <w:color w:val="231F20"/>
          <w:sz w:val="15"/>
        </w:rPr>
        <w:t>použití</w:t>
      </w:r>
      <w:r>
        <w:rPr>
          <w:color w:val="231F20"/>
          <w:spacing w:val="-8"/>
          <w:sz w:val="15"/>
        </w:rPr>
        <w:t xml:space="preserve"> </w:t>
      </w:r>
      <w:r>
        <w:rPr>
          <w:color w:val="231F20"/>
          <w:sz w:val="15"/>
        </w:rPr>
        <w:t>vozidla</w:t>
      </w:r>
      <w:r>
        <w:rPr>
          <w:color w:val="231F20"/>
          <w:spacing w:val="-8"/>
          <w:sz w:val="15"/>
        </w:rPr>
        <w:t xml:space="preserve"> </w:t>
      </w:r>
      <w:r>
        <w:rPr>
          <w:color w:val="231F20"/>
          <w:sz w:val="15"/>
        </w:rPr>
        <w:t>k</w:t>
      </w:r>
      <w:r>
        <w:rPr>
          <w:color w:val="231F20"/>
          <w:spacing w:val="-8"/>
          <w:sz w:val="15"/>
        </w:rPr>
        <w:t xml:space="preserve"> </w:t>
      </w:r>
      <w:r>
        <w:rPr>
          <w:color w:val="231F20"/>
          <w:sz w:val="15"/>
        </w:rPr>
        <w:t>vojenským</w:t>
      </w:r>
      <w:r>
        <w:rPr>
          <w:color w:val="231F20"/>
          <w:spacing w:val="-8"/>
          <w:sz w:val="15"/>
        </w:rPr>
        <w:t xml:space="preserve"> </w:t>
      </w:r>
      <w:r>
        <w:rPr>
          <w:color w:val="231F20"/>
          <w:sz w:val="15"/>
        </w:rPr>
        <w:t>nebo</w:t>
      </w:r>
      <w:r>
        <w:rPr>
          <w:color w:val="231F20"/>
          <w:spacing w:val="-7"/>
          <w:sz w:val="15"/>
        </w:rPr>
        <w:t xml:space="preserve"> </w:t>
      </w:r>
      <w:r>
        <w:rPr>
          <w:color w:val="231F20"/>
          <w:sz w:val="15"/>
        </w:rPr>
        <w:t>obdobným</w:t>
      </w:r>
      <w:r>
        <w:rPr>
          <w:color w:val="231F20"/>
          <w:spacing w:val="-8"/>
          <w:sz w:val="15"/>
        </w:rPr>
        <w:t xml:space="preserve"> </w:t>
      </w:r>
      <w:r>
        <w:rPr>
          <w:color w:val="231F20"/>
          <w:sz w:val="15"/>
        </w:rPr>
        <w:t>účelům;</w:t>
      </w:r>
    </w:p>
    <w:p w14:paraId="4736A8A2" w14:textId="77777777" w:rsidR="00F65BCA" w:rsidRDefault="00216117">
      <w:pPr>
        <w:pStyle w:val="Odstavecseseznamem"/>
        <w:numPr>
          <w:ilvl w:val="0"/>
          <w:numId w:val="110"/>
        </w:numPr>
        <w:tabs>
          <w:tab w:val="left" w:pos="881"/>
        </w:tabs>
        <w:spacing w:before="27"/>
        <w:jc w:val="both"/>
        <w:rPr>
          <w:sz w:val="15"/>
        </w:rPr>
      </w:pPr>
      <w:r>
        <w:rPr>
          <w:color w:val="231F20"/>
          <w:sz w:val="15"/>
        </w:rPr>
        <w:t>jaderné</w:t>
      </w:r>
      <w:r>
        <w:rPr>
          <w:color w:val="231F20"/>
          <w:spacing w:val="-7"/>
          <w:sz w:val="15"/>
        </w:rPr>
        <w:t xml:space="preserve"> </w:t>
      </w:r>
      <w:r>
        <w:rPr>
          <w:color w:val="231F20"/>
          <w:sz w:val="15"/>
        </w:rPr>
        <w:t>reakce,</w:t>
      </w:r>
      <w:r>
        <w:rPr>
          <w:color w:val="231F20"/>
          <w:spacing w:val="-6"/>
          <w:sz w:val="15"/>
        </w:rPr>
        <w:t xml:space="preserve"> </w:t>
      </w:r>
      <w:r>
        <w:rPr>
          <w:color w:val="231F20"/>
          <w:sz w:val="15"/>
        </w:rPr>
        <w:t>jaderného</w:t>
      </w:r>
      <w:r>
        <w:rPr>
          <w:color w:val="231F20"/>
          <w:spacing w:val="-6"/>
          <w:sz w:val="15"/>
        </w:rPr>
        <w:t xml:space="preserve"> </w:t>
      </w:r>
      <w:r>
        <w:rPr>
          <w:color w:val="231F20"/>
          <w:sz w:val="15"/>
        </w:rPr>
        <w:t>záření</w:t>
      </w:r>
      <w:r>
        <w:rPr>
          <w:color w:val="231F20"/>
          <w:spacing w:val="-7"/>
          <w:sz w:val="15"/>
        </w:rPr>
        <w:t xml:space="preserve"> </w:t>
      </w:r>
      <w:r>
        <w:rPr>
          <w:color w:val="231F20"/>
          <w:sz w:val="15"/>
        </w:rPr>
        <w:t>či</w:t>
      </w:r>
      <w:r>
        <w:rPr>
          <w:color w:val="231F20"/>
          <w:spacing w:val="-6"/>
          <w:sz w:val="15"/>
        </w:rPr>
        <w:t xml:space="preserve"> </w:t>
      </w:r>
      <w:r>
        <w:rPr>
          <w:color w:val="231F20"/>
          <w:sz w:val="15"/>
        </w:rPr>
        <w:t>radioaktivní</w:t>
      </w:r>
      <w:r>
        <w:rPr>
          <w:color w:val="231F20"/>
          <w:spacing w:val="-6"/>
          <w:sz w:val="15"/>
        </w:rPr>
        <w:t xml:space="preserve"> </w:t>
      </w:r>
      <w:r>
        <w:rPr>
          <w:color w:val="231F20"/>
          <w:sz w:val="15"/>
        </w:rPr>
        <w:t>kontaminace;</w:t>
      </w:r>
    </w:p>
    <w:p w14:paraId="16F0241F" w14:textId="77777777" w:rsidR="00F65BCA" w:rsidRDefault="00216117">
      <w:pPr>
        <w:pStyle w:val="Odstavecseseznamem"/>
        <w:numPr>
          <w:ilvl w:val="0"/>
          <w:numId w:val="110"/>
        </w:numPr>
        <w:tabs>
          <w:tab w:val="left" w:pos="881"/>
        </w:tabs>
        <w:spacing w:before="28"/>
        <w:jc w:val="both"/>
        <w:rPr>
          <w:sz w:val="15"/>
        </w:rPr>
      </w:pPr>
      <w:r>
        <w:rPr>
          <w:color w:val="231F20"/>
          <w:sz w:val="15"/>
        </w:rPr>
        <w:t>újmy</w:t>
      </w:r>
      <w:r>
        <w:rPr>
          <w:color w:val="231F20"/>
          <w:spacing w:val="-18"/>
          <w:sz w:val="15"/>
        </w:rPr>
        <w:t xml:space="preserve"> </w:t>
      </w:r>
      <w:r>
        <w:rPr>
          <w:color w:val="231F20"/>
          <w:sz w:val="15"/>
        </w:rPr>
        <w:t>vzniklé</w:t>
      </w:r>
      <w:r>
        <w:rPr>
          <w:color w:val="231F20"/>
          <w:spacing w:val="-17"/>
          <w:sz w:val="15"/>
        </w:rPr>
        <w:t xml:space="preserve"> </w:t>
      </w:r>
      <w:r>
        <w:rPr>
          <w:color w:val="231F20"/>
          <w:sz w:val="15"/>
        </w:rPr>
        <w:t>následkem</w:t>
      </w:r>
      <w:r>
        <w:rPr>
          <w:color w:val="231F20"/>
          <w:spacing w:val="-17"/>
          <w:sz w:val="15"/>
        </w:rPr>
        <w:t xml:space="preserve"> </w:t>
      </w:r>
      <w:r>
        <w:rPr>
          <w:color w:val="231F20"/>
          <w:sz w:val="15"/>
        </w:rPr>
        <w:t>požití</w:t>
      </w:r>
      <w:r>
        <w:rPr>
          <w:color w:val="231F20"/>
          <w:spacing w:val="-17"/>
          <w:sz w:val="15"/>
        </w:rPr>
        <w:t xml:space="preserve"> </w:t>
      </w:r>
      <w:r>
        <w:rPr>
          <w:color w:val="231F20"/>
          <w:sz w:val="15"/>
        </w:rPr>
        <w:t>nebo</w:t>
      </w:r>
      <w:r>
        <w:rPr>
          <w:color w:val="231F20"/>
          <w:spacing w:val="-17"/>
          <w:sz w:val="15"/>
        </w:rPr>
        <w:t xml:space="preserve"> </w:t>
      </w:r>
      <w:r>
        <w:rPr>
          <w:color w:val="231F20"/>
          <w:sz w:val="15"/>
        </w:rPr>
        <w:t>užití</w:t>
      </w:r>
      <w:r>
        <w:rPr>
          <w:color w:val="231F20"/>
          <w:spacing w:val="-17"/>
          <w:sz w:val="15"/>
        </w:rPr>
        <w:t xml:space="preserve"> </w:t>
      </w:r>
      <w:r>
        <w:rPr>
          <w:color w:val="231F20"/>
          <w:sz w:val="15"/>
        </w:rPr>
        <w:t>alkoholu,</w:t>
      </w:r>
      <w:r>
        <w:rPr>
          <w:color w:val="231F20"/>
          <w:spacing w:val="-17"/>
          <w:sz w:val="15"/>
        </w:rPr>
        <w:t xml:space="preserve"> </w:t>
      </w:r>
      <w:r>
        <w:rPr>
          <w:color w:val="231F20"/>
          <w:sz w:val="15"/>
        </w:rPr>
        <w:t>drog</w:t>
      </w:r>
      <w:r>
        <w:rPr>
          <w:color w:val="231F20"/>
          <w:spacing w:val="-17"/>
          <w:sz w:val="15"/>
        </w:rPr>
        <w:t xml:space="preserve"> </w:t>
      </w:r>
      <w:r>
        <w:rPr>
          <w:color w:val="231F20"/>
          <w:sz w:val="15"/>
        </w:rPr>
        <w:t>či</w:t>
      </w:r>
      <w:r>
        <w:rPr>
          <w:color w:val="231F20"/>
          <w:spacing w:val="-18"/>
          <w:sz w:val="15"/>
        </w:rPr>
        <w:t xml:space="preserve"> </w:t>
      </w:r>
      <w:r>
        <w:rPr>
          <w:color w:val="231F20"/>
          <w:sz w:val="15"/>
        </w:rPr>
        <w:t>omamných</w:t>
      </w:r>
      <w:r>
        <w:rPr>
          <w:color w:val="231F20"/>
          <w:spacing w:val="-17"/>
          <w:sz w:val="15"/>
        </w:rPr>
        <w:t xml:space="preserve"> </w:t>
      </w:r>
      <w:r>
        <w:rPr>
          <w:color w:val="231F20"/>
          <w:sz w:val="15"/>
        </w:rPr>
        <w:t>látek;</w:t>
      </w:r>
    </w:p>
    <w:p w14:paraId="15A687DD" w14:textId="77777777" w:rsidR="00F65BCA" w:rsidRDefault="00216117">
      <w:pPr>
        <w:pStyle w:val="Odstavecseseznamem"/>
        <w:numPr>
          <w:ilvl w:val="0"/>
          <w:numId w:val="110"/>
        </w:numPr>
        <w:tabs>
          <w:tab w:val="left" w:pos="881"/>
        </w:tabs>
        <w:spacing w:before="27" w:line="278" w:lineRule="auto"/>
        <w:jc w:val="both"/>
        <w:rPr>
          <w:sz w:val="15"/>
        </w:rPr>
      </w:pPr>
      <w:r>
        <w:rPr>
          <w:color w:val="231F20"/>
          <w:sz w:val="15"/>
        </w:rPr>
        <w:t>služby,</w:t>
      </w:r>
      <w:r>
        <w:rPr>
          <w:color w:val="231F20"/>
          <w:spacing w:val="-15"/>
          <w:sz w:val="15"/>
        </w:rPr>
        <w:t xml:space="preserve"> </w:t>
      </w:r>
      <w:r>
        <w:rPr>
          <w:color w:val="231F20"/>
          <w:sz w:val="15"/>
        </w:rPr>
        <w:t>která</w:t>
      </w:r>
      <w:r>
        <w:rPr>
          <w:color w:val="231F20"/>
          <w:spacing w:val="-14"/>
          <w:sz w:val="15"/>
        </w:rPr>
        <w:t xml:space="preserve"> </w:t>
      </w:r>
      <w:r>
        <w:rPr>
          <w:color w:val="231F20"/>
          <w:sz w:val="15"/>
        </w:rPr>
        <w:t>byly</w:t>
      </w:r>
      <w:r>
        <w:rPr>
          <w:color w:val="231F20"/>
          <w:spacing w:val="-14"/>
          <w:sz w:val="15"/>
        </w:rPr>
        <w:t xml:space="preserve"> </w:t>
      </w:r>
      <w:r>
        <w:rPr>
          <w:color w:val="231F20"/>
          <w:sz w:val="15"/>
        </w:rPr>
        <w:t>poskytnuty</w:t>
      </w:r>
      <w:r>
        <w:rPr>
          <w:color w:val="231F20"/>
          <w:spacing w:val="-15"/>
          <w:sz w:val="15"/>
        </w:rPr>
        <w:t xml:space="preserve"> </w:t>
      </w:r>
      <w:r>
        <w:rPr>
          <w:color w:val="231F20"/>
          <w:sz w:val="15"/>
        </w:rPr>
        <w:t>v</w:t>
      </w:r>
      <w:r>
        <w:rPr>
          <w:color w:val="231F20"/>
          <w:spacing w:val="-14"/>
          <w:sz w:val="15"/>
        </w:rPr>
        <w:t xml:space="preserve"> </w:t>
      </w:r>
      <w:r>
        <w:rPr>
          <w:color w:val="231F20"/>
          <w:sz w:val="15"/>
        </w:rPr>
        <w:t>souvislosti</w:t>
      </w:r>
      <w:r>
        <w:rPr>
          <w:color w:val="231F20"/>
          <w:spacing w:val="-14"/>
          <w:sz w:val="15"/>
        </w:rPr>
        <w:t xml:space="preserve"> </w:t>
      </w:r>
      <w:r>
        <w:rPr>
          <w:color w:val="231F20"/>
          <w:sz w:val="15"/>
        </w:rPr>
        <w:t>s</w:t>
      </w:r>
      <w:r>
        <w:rPr>
          <w:color w:val="231F20"/>
          <w:spacing w:val="-15"/>
          <w:sz w:val="15"/>
        </w:rPr>
        <w:t xml:space="preserve"> </w:t>
      </w:r>
      <w:r>
        <w:rPr>
          <w:color w:val="231F20"/>
          <w:sz w:val="15"/>
        </w:rPr>
        <w:t>manipulací</w:t>
      </w:r>
      <w:r>
        <w:rPr>
          <w:color w:val="231F20"/>
          <w:spacing w:val="-14"/>
          <w:sz w:val="15"/>
        </w:rPr>
        <w:t xml:space="preserve"> </w:t>
      </w:r>
      <w:r>
        <w:rPr>
          <w:color w:val="231F20"/>
          <w:sz w:val="15"/>
        </w:rPr>
        <w:t>s</w:t>
      </w:r>
      <w:r>
        <w:rPr>
          <w:color w:val="231F20"/>
          <w:spacing w:val="-14"/>
          <w:sz w:val="15"/>
        </w:rPr>
        <w:t xml:space="preserve"> </w:t>
      </w:r>
      <w:r>
        <w:rPr>
          <w:color w:val="231F20"/>
          <w:sz w:val="15"/>
        </w:rPr>
        <w:t>nákladem</w:t>
      </w:r>
      <w:r>
        <w:rPr>
          <w:color w:val="231F20"/>
          <w:spacing w:val="-14"/>
          <w:sz w:val="15"/>
        </w:rPr>
        <w:t xml:space="preserve"> </w:t>
      </w:r>
      <w:r>
        <w:rPr>
          <w:color w:val="231F20"/>
          <w:sz w:val="15"/>
        </w:rPr>
        <w:t xml:space="preserve">vozidla </w:t>
      </w:r>
      <w:r>
        <w:rPr>
          <w:color w:val="231F20"/>
          <w:spacing w:val="-3"/>
          <w:sz w:val="15"/>
        </w:rPr>
        <w:t xml:space="preserve">(např. </w:t>
      </w:r>
      <w:r>
        <w:rPr>
          <w:color w:val="231F20"/>
          <w:sz w:val="15"/>
        </w:rPr>
        <w:t>jeho vyložení, přeložení nebo</w:t>
      </w:r>
      <w:r>
        <w:rPr>
          <w:color w:val="231F20"/>
          <w:spacing w:val="-16"/>
          <w:sz w:val="15"/>
        </w:rPr>
        <w:t xml:space="preserve"> </w:t>
      </w:r>
      <w:r>
        <w:rPr>
          <w:color w:val="231F20"/>
          <w:sz w:val="15"/>
        </w:rPr>
        <w:t>uskladnění);</w:t>
      </w:r>
    </w:p>
    <w:p w14:paraId="30B6F184" w14:textId="77777777" w:rsidR="00F65BCA" w:rsidRDefault="00216117">
      <w:pPr>
        <w:pStyle w:val="Odstavecseseznamem"/>
        <w:numPr>
          <w:ilvl w:val="0"/>
          <w:numId w:val="110"/>
        </w:numPr>
        <w:tabs>
          <w:tab w:val="left" w:pos="881"/>
        </w:tabs>
        <w:jc w:val="both"/>
        <w:rPr>
          <w:sz w:val="15"/>
        </w:rPr>
      </w:pPr>
      <w:r>
        <w:rPr>
          <w:color w:val="231F20"/>
          <w:sz w:val="15"/>
        </w:rPr>
        <w:t>újmy</w:t>
      </w:r>
      <w:r>
        <w:rPr>
          <w:color w:val="231F20"/>
          <w:spacing w:val="-6"/>
          <w:sz w:val="15"/>
        </w:rPr>
        <w:t xml:space="preserve"> </w:t>
      </w:r>
      <w:r>
        <w:rPr>
          <w:color w:val="231F20"/>
          <w:sz w:val="15"/>
        </w:rPr>
        <w:t>způsobené</w:t>
      </w:r>
      <w:r>
        <w:rPr>
          <w:color w:val="231F20"/>
          <w:spacing w:val="-6"/>
          <w:sz w:val="15"/>
        </w:rPr>
        <w:t xml:space="preserve"> </w:t>
      </w:r>
      <w:r>
        <w:rPr>
          <w:color w:val="231F20"/>
          <w:sz w:val="15"/>
        </w:rPr>
        <w:t>na</w:t>
      </w:r>
      <w:r>
        <w:rPr>
          <w:color w:val="231F20"/>
          <w:spacing w:val="-6"/>
          <w:sz w:val="15"/>
        </w:rPr>
        <w:t xml:space="preserve"> </w:t>
      </w:r>
      <w:r>
        <w:rPr>
          <w:color w:val="231F20"/>
          <w:sz w:val="15"/>
        </w:rPr>
        <w:t>veřejně</w:t>
      </w:r>
      <w:r>
        <w:rPr>
          <w:color w:val="231F20"/>
          <w:spacing w:val="-6"/>
          <w:sz w:val="15"/>
        </w:rPr>
        <w:t xml:space="preserve"> </w:t>
      </w:r>
      <w:r>
        <w:rPr>
          <w:color w:val="231F20"/>
          <w:sz w:val="15"/>
        </w:rPr>
        <w:t>nepřístupné</w:t>
      </w:r>
      <w:r>
        <w:rPr>
          <w:color w:val="231F20"/>
          <w:spacing w:val="-6"/>
          <w:sz w:val="15"/>
        </w:rPr>
        <w:t xml:space="preserve"> </w:t>
      </w:r>
      <w:r>
        <w:rPr>
          <w:color w:val="231F20"/>
          <w:sz w:val="15"/>
        </w:rPr>
        <w:t>pozemní</w:t>
      </w:r>
      <w:r>
        <w:rPr>
          <w:color w:val="231F20"/>
          <w:spacing w:val="-5"/>
          <w:sz w:val="15"/>
        </w:rPr>
        <w:t xml:space="preserve"> </w:t>
      </w:r>
      <w:r>
        <w:rPr>
          <w:color w:val="231F20"/>
          <w:sz w:val="15"/>
        </w:rPr>
        <w:t>komunikaci;</w:t>
      </w:r>
    </w:p>
    <w:p w14:paraId="755C32AF" w14:textId="77777777" w:rsidR="00F65BCA" w:rsidRDefault="00216117">
      <w:pPr>
        <w:pStyle w:val="Odstavecseseznamem"/>
        <w:numPr>
          <w:ilvl w:val="0"/>
          <w:numId w:val="110"/>
        </w:numPr>
        <w:tabs>
          <w:tab w:val="left" w:pos="881"/>
        </w:tabs>
        <w:spacing w:before="28" w:line="278" w:lineRule="auto"/>
        <w:jc w:val="both"/>
        <w:rPr>
          <w:sz w:val="15"/>
        </w:rPr>
      </w:pPr>
      <w:r>
        <w:rPr>
          <w:color w:val="231F20"/>
          <w:sz w:val="15"/>
        </w:rPr>
        <w:t>Pojišťovna</w:t>
      </w:r>
      <w:r>
        <w:rPr>
          <w:color w:val="231F20"/>
          <w:spacing w:val="-17"/>
          <w:sz w:val="15"/>
        </w:rPr>
        <w:t xml:space="preserve"> </w:t>
      </w:r>
      <w:r>
        <w:rPr>
          <w:color w:val="231F20"/>
          <w:sz w:val="15"/>
        </w:rPr>
        <w:t>dále</w:t>
      </w:r>
      <w:r>
        <w:rPr>
          <w:color w:val="231F20"/>
          <w:spacing w:val="-16"/>
          <w:sz w:val="15"/>
        </w:rPr>
        <w:t xml:space="preserve"> </w:t>
      </w:r>
      <w:r>
        <w:rPr>
          <w:color w:val="231F20"/>
          <w:sz w:val="15"/>
        </w:rPr>
        <w:t>neposkytne</w:t>
      </w:r>
      <w:r>
        <w:rPr>
          <w:color w:val="231F20"/>
          <w:spacing w:val="-16"/>
          <w:sz w:val="15"/>
        </w:rPr>
        <w:t xml:space="preserve"> </w:t>
      </w:r>
      <w:r>
        <w:rPr>
          <w:color w:val="231F20"/>
          <w:sz w:val="15"/>
        </w:rPr>
        <w:t>pojistné</w:t>
      </w:r>
      <w:r>
        <w:rPr>
          <w:color w:val="231F20"/>
          <w:spacing w:val="-16"/>
          <w:sz w:val="15"/>
        </w:rPr>
        <w:t xml:space="preserve"> </w:t>
      </w:r>
      <w:r>
        <w:rPr>
          <w:color w:val="231F20"/>
          <w:sz w:val="15"/>
        </w:rPr>
        <w:t>plnění</w:t>
      </w:r>
      <w:r>
        <w:rPr>
          <w:color w:val="231F20"/>
          <w:spacing w:val="-16"/>
          <w:sz w:val="15"/>
        </w:rPr>
        <w:t xml:space="preserve"> </w:t>
      </w:r>
      <w:r>
        <w:rPr>
          <w:color w:val="231F20"/>
          <w:sz w:val="15"/>
        </w:rPr>
        <w:t>v</w:t>
      </w:r>
      <w:r>
        <w:rPr>
          <w:color w:val="231F20"/>
          <w:spacing w:val="-16"/>
          <w:sz w:val="15"/>
        </w:rPr>
        <w:t xml:space="preserve"> </w:t>
      </w:r>
      <w:r>
        <w:rPr>
          <w:color w:val="231F20"/>
          <w:sz w:val="15"/>
        </w:rPr>
        <w:t>případě</w:t>
      </w:r>
      <w:r>
        <w:rPr>
          <w:color w:val="231F20"/>
          <w:spacing w:val="-16"/>
          <w:sz w:val="15"/>
        </w:rPr>
        <w:t xml:space="preserve"> </w:t>
      </w:r>
      <w:r>
        <w:rPr>
          <w:color w:val="231F20"/>
          <w:sz w:val="15"/>
        </w:rPr>
        <w:t>újmy</w:t>
      </w:r>
      <w:r>
        <w:rPr>
          <w:color w:val="231F20"/>
          <w:spacing w:val="-16"/>
          <w:sz w:val="15"/>
        </w:rPr>
        <w:t xml:space="preserve"> </w:t>
      </w:r>
      <w:r>
        <w:rPr>
          <w:color w:val="231F20"/>
          <w:sz w:val="15"/>
        </w:rPr>
        <w:t>způsobené</w:t>
      </w:r>
      <w:r>
        <w:rPr>
          <w:color w:val="231F20"/>
          <w:spacing w:val="-16"/>
          <w:sz w:val="15"/>
        </w:rPr>
        <w:t xml:space="preserve"> </w:t>
      </w:r>
      <w:r>
        <w:rPr>
          <w:color w:val="231F20"/>
          <w:spacing w:val="-5"/>
          <w:sz w:val="15"/>
        </w:rPr>
        <w:t xml:space="preserve">ško- </w:t>
      </w:r>
      <w:r>
        <w:rPr>
          <w:color w:val="231F20"/>
          <w:sz w:val="15"/>
        </w:rPr>
        <w:t xml:space="preserve">dícím vozidlem bez povinného ručení, pokud ke škodní události došlo </w:t>
      </w:r>
      <w:r>
        <w:rPr>
          <w:color w:val="231F20"/>
          <w:spacing w:val="-7"/>
          <w:sz w:val="15"/>
        </w:rPr>
        <w:t xml:space="preserve">na </w:t>
      </w:r>
      <w:r>
        <w:rPr>
          <w:color w:val="231F20"/>
          <w:sz w:val="15"/>
        </w:rPr>
        <w:t>účelové komunikaci, která není veřejně</w:t>
      </w:r>
      <w:r>
        <w:rPr>
          <w:color w:val="231F20"/>
          <w:spacing w:val="-16"/>
          <w:sz w:val="15"/>
        </w:rPr>
        <w:t xml:space="preserve"> </w:t>
      </w:r>
      <w:r>
        <w:rPr>
          <w:color w:val="231F20"/>
          <w:sz w:val="15"/>
        </w:rPr>
        <w:t>přístupná.</w:t>
      </w:r>
    </w:p>
    <w:p w14:paraId="6D116CB1" w14:textId="77777777" w:rsidR="00F65BCA" w:rsidRDefault="00216117">
      <w:pPr>
        <w:spacing w:before="132" w:line="320" w:lineRule="atLeast"/>
        <w:ind w:left="426" w:right="2930" w:firstLine="1"/>
        <w:jc w:val="both"/>
        <w:rPr>
          <w:sz w:val="15"/>
        </w:rPr>
      </w:pPr>
      <w:r>
        <w:rPr>
          <w:color w:val="FFFFFF"/>
          <w:position w:val="3"/>
          <w:sz w:val="16"/>
          <w:shd w:val="clear" w:color="auto" w:fill="808285"/>
        </w:rPr>
        <w:t xml:space="preserve">  </w:t>
      </w:r>
      <w:r>
        <w:rPr>
          <w:color w:val="FFFFFF"/>
          <w:w w:val="105"/>
          <w:position w:val="3"/>
          <w:sz w:val="16"/>
          <w:shd w:val="clear" w:color="auto" w:fill="808285"/>
        </w:rPr>
        <w:t>Článek 22</w:t>
      </w:r>
      <w:r>
        <w:rPr>
          <w:color w:val="FFFFFF"/>
          <w:w w:val="105"/>
          <w:position w:val="3"/>
          <w:sz w:val="16"/>
        </w:rPr>
        <w:t xml:space="preserve"> </w:t>
      </w:r>
      <w:r>
        <w:rPr>
          <w:color w:val="231F20"/>
          <w:w w:val="105"/>
          <w:sz w:val="15"/>
        </w:rPr>
        <w:t>Oprávněná osoba Oprávněnou osobou se</w:t>
      </w:r>
    </w:p>
    <w:p w14:paraId="5083ABB9" w14:textId="77777777" w:rsidR="00F65BCA" w:rsidRDefault="00216117">
      <w:pPr>
        <w:pStyle w:val="Odstavecseseznamem"/>
        <w:numPr>
          <w:ilvl w:val="0"/>
          <w:numId w:val="109"/>
        </w:numPr>
        <w:tabs>
          <w:tab w:val="left" w:pos="598"/>
        </w:tabs>
        <w:spacing w:before="27" w:line="278" w:lineRule="auto"/>
        <w:jc w:val="both"/>
        <w:rPr>
          <w:sz w:val="15"/>
        </w:rPr>
      </w:pPr>
      <w:r>
        <w:rPr>
          <w:color w:val="231F20"/>
          <w:sz w:val="15"/>
        </w:rPr>
        <w:t xml:space="preserve">pro účely Vyřízení škody na vozidle podle čl. </w:t>
      </w:r>
      <w:r>
        <w:rPr>
          <w:color w:val="231F20"/>
          <w:spacing w:val="-3"/>
          <w:sz w:val="15"/>
        </w:rPr>
        <w:t xml:space="preserve">19 </w:t>
      </w:r>
      <w:r>
        <w:rPr>
          <w:color w:val="231F20"/>
          <w:sz w:val="15"/>
        </w:rPr>
        <w:t xml:space="preserve">odst. 1 těchto VPP rozumí pouze </w:t>
      </w:r>
      <w:r>
        <w:rPr>
          <w:color w:val="231F20"/>
          <w:spacing w:val="2"/>
          <w:sz w:val="15"/>
        </w:rPr>
        <w:t>vlastník</w:t>
      </w:r>
      <w:r>
        <w:rPr>
          <w:color w:val="231F20"/>
          <w:spacing w:val="-2"/>
          <w:sz w:val="15"/>
        </w:rPr>
        <w:t xml:space="preserve"> </w:t>
      </w:r>
      <w:r>
        <w:rPr>
          <w:color w:val="231F20"/>
          <w:sz w:val="15"/>
        </w:rPr>
        <w:t>vozidla,</w:t>
      </w:r>
    </w:p>
    <w:p w14:paraId="665FC7EC" w14:textId="77777777" w:rsidR="00F65BCA" w:rsidRDefault="00216117">
      <w:pPr>
        <w:pStyle w:val="Odstavecseseznamem"/>
        <w:numPr>
          <w:ilvl w:val="0"/>
          <w:numId w:val="109"/>
        </w:numPr>
        <w:tabs>
          <w:tab w:val="left" w:pos="598"/>
        </w:tabs>
        <w:spacing w:line="278" w:lineRule="auto"/>
        <w:jc w:val="both"/>
        <w:rPr>
          <w:sz w:val="15"/>
        </w:rPr>
      </w:pPr>
      <w:r>
        <w:rPr>
          <w:color w:val="231F20"/>
          <w:sz w:val="15"/>
        </w:rPr>
        <w:t>pro</w:t>
      </w:r>
      <w:r>
        <w:rPr>
          <w:color w:val="231F20"/>
          <w:spacing w:val="-11"/>
          <w:sz w:val="15"/>
        </w:rPr>
        <w:t xml:space="preserve"> </w:t>
      </w:r>
      <w:r>
        <w:rPr>
          <w:color w:val="231F20"/>
          <w:sz w:val="15"/>
        </w:rPr>
        <w:t>účely</w:t>
      </w:r>
      <w:r>
        <w:rPr>
          <w:color w:val="231F20"/>
          <w:spacing w:val="-11"/>
          <w:sz w:val="15"/>
        </w:rPr>
        <w:t xml:space="preserve"> </w:t>
      </w:r>
      <w:r>
        <w:rPr>
          <w:color w:val="231F20"/>
          <w:sz w:val="15"/>
        </w:rPr>
        <w:t>Pronájmu</w:t>
      </w:r>
      <w:r>
        <w:rPr>
          <w:color w:val="231F20"/>
          <w:spacing w:val="-11"/>
          <w:sz w:val="15"/>
        </w:rPr>
        <w:t xml:space="preserve"> </w:t>
      </w:r>
      <w:r>
        <w:rPr>
          <w:color w:val="231F20"/>
          <w:spacing w:val="2"/>
          <w:sz w:val="15"/>
        </w:rPr>
        <w:t>náhradního</w:t>
      </w:r>
      <w:r>
        <w:rPr>
          <w:color w:val="231F20"/>
          <w:spacing w:val="-11"/>
          <w:sz w:val="15"/>
        </w:rPr>
        <w:t xml:space="preserve"> </w:t>
      </w:r>
      <w:r>
        <w:rPr>
          <w:color w:val="231F20"/>
          <w:sz w:val="15"/>
        </w:rPr>
        <w:t>vozidla</w:t>
      </w:r>
      <w:r>
        <w:rPr>
          <w:color w:val="231F20"/>
          <w:spacing w:val="-11"/>
          <w:sz w:val="15"/>
        </w:rPr>
        <w:t xml:space="preserve"> </w:t>
      </w:r>
      <w:r>
        <w:rPr>
          <w:color w:val="231F20"/>
          <w:sz w:val="15"/>
        </w:rPr>
        <w:t>podle</w:t>
      </w:r>
      <w:r>
        <w:rPr>
          <w:color w:val="231F20"/>
          <w:spacing w:val="-11"/>
          <w:sz w:val="15"/>
        </w:rPr>
        <w:t xml:space="preserve"> </w:t>
      </w:r>
      <w:r>
        <w:rPr>
          <w:color w:val="231F20"/>
          <w:sz w:val="15"/>
        </w:rPr>
        <w:t>čl.</w:t>
      </w:r>
      <w:r>
        <w:rPr>
          <w:color w:val="231F20"/>
          <w:spacing w:val="-11"/>
          <w:sz w:val="15"/>
        </w:rPr>
        <w:t xml:space="preserve"> </w:t>
      </w:r>
      <w:r>
        <w:rPr>
          <w:color w:val="231F20"/>
          <w:spacing w:val="-3"/>
          <w:sz w:val="15"/>
        </w:rPr>
        <w:t>19</w:t>
      </w:r>
      <w:r>
        <w:rPr>
          <w:color w:val="231F20"/>
          <w:spacing w:val="-11"/>
          <w:sz w:val="15"/>
        </w:rPr>
        <w:t xml:space="preserve"> </w:t>
      </w:r>
      <w:r>
        <w:rPr>
          <w:color w:val="231F20"/>
          <w:sz w:val="15"/>
        </w:rPr>
        <w:t>odst.</w:t>
      </w:r>
      <w:r>
        <w:rPr>
          <w:color w:val="231F20"/>
          <w:spacing w:val="-11"/>
          <w:sz w:val="15"/>
        </w:rPr>
        <w:t xml:space="preserve"> </w:t>
      </w:r>
      <w:r>
        <w:rPr>
          <w:color w:val="231F20"/>
          <w:sz w:val="15"/>
        </w:rPr>
        <w:t>2</w:t>
      </w:r>
      <w:r>
        <w:rPr>
          <w:color w:val="231F20"/>
          <w:spacing w:val="-11"/>
          <w:sz w:val="15"/>
        </w:rPr>
        <w:t xml:space="preserve"> </w:t>
      </w:r>
      <w:r>
        <w:rPr>
          <w:color w:val="231F20"/>
          <w:sz w:val="15"/>
        </w:rPr>
        <w:t>těchto</w:t>
      </w:r>
      <w:r>
        <w:rPr>
          <w:color w:val="231F20"/>
          <w:spacing w:val="-11"/>
          <w:sz w:val="15"/>
        </w:rPr>
        <w:t xml:space="preserve"> </w:t>
      </w:r>
      <w:r>
        <w:rPr>
          <w:color w:val="231F20"/>
          <w:sz w:val="15"/>
        </w:rPr>
        <w:t>VPP</w:t>
      </w:r>
      <w:r>
        <w:rPr>
          <w:color w:val="231F20"/>
          <w:spacing w:val="-11"/>
          <w:sz w:val="15"/>
        </w:rPr>
        <w:t xml:space="preserve"> </w:t>
      </w:r>
      <w:r>
        <w:rPr>
          <w:color w:val="231F20"/>
          <w:sz w:val="15"/>
        </w:rPr>
        <w:t xml:space="preserve">rozumí řidič vozidla a nemůže-li řidič vozidla službu čerpat, rozumí se oprávněnou osobou </w:t>
      </w:r>
      <w:r>
        <w:rPr>
          <w:color w:val="231F20"/>
          <w:spacing w:val="2"/>
          <w:sz w:val="15"/>
        </w:rPr>
        <w:t>vlastník</w:t>
      </w:r>
      <w:r>
        <w:rPr>
          <w:color w:val="231F20"/>
          <w:spacing w:val="-1"/>
          <w:sz w:val="15"/>
        </w:rPr>
        <w:t xml:space="preserve"> </w:t>
      </w:r>
      <w:r>
        <w:rPr>
          <w:color w:val="231F20"/>
          <w:sz w:val="15"/>
        </w:rPr>
        <w:t>vozidla.</w:t>
      </w:r>
    </w:p>
    <w:p w14:paraId="0385A246" w14:textId="77777777" w:rsidR="00F65BCA" w:rsidRDefault="00F65BCA">
      <w:pPr>
        <w:pStyle w:val="Zkladntext"/>
        <w:spacing w:before="10"/>
        <w:rPr>
          <w:sz w:val="20"/>
        </w:rPr>
      </w:pPr>
    </w:p>
    <w:p w14:paraId="38AEFC5F" w14:textId="77777777" w:rsidR="00F65BCA" w:rsidRDefault="00216117">
      <w:pPr>
        <w:spacing w:before="1"/>
        <w:ind w:left="428"/>
        <w:jc w:val="both"/>
        <w:rPr>
          <w:sz w:val="15"/>
        </w:rPr>
      </w:pPr>
      <w:r>
        <w:rPr>
          <w:color w:val="FFFFFF"/>
          <w:position w:val="3"/>
          <w:sz w:val="16"/>
          <w:shd w:val="clear" w:color="auto" w:fill="808285"/>
        </w:rPr>
        <w:t xml:space="preserve">  Článek 23</w:t>
      </w:r>
      <w:r>
        <w:rPr>
          <w:color w:val="FFFFFF"/>
          <w:position w:val="3"/>
          <w:sz w:val="16"/>
        </w:rPr>
        <w:t xml:space="preserve"> </w:t>
      </w:r>
      <w:r>
        <w:rPr>
          <w:color w:val="231F20"/>
          <w:sz w:val="15"/>
        </w:rPr>
        <w:t>Ostatní ujednání</w:t>
      </w:r>
    </w:p>
    <w:p w14:paraId="2C14910B" w14:textId="77777777" w:rsidR="00F65BCA" w:rsidRDefault="00216117">
      <w:pPr>
        <w:pStyle w:val="Zkladntext"/>
        <w:spacing w:before="147" w:line="278" w:lineRule="auto"/>
        <w:ind w:left="426"/>
        <w:jc w:val="both"/>
      </w:pPr>
      <w:r>
        <w:rPr>
          <w:color w:val="231F20"/>
        </w:rPr>
        <w:t>Oprávněná</w:t>
      </w:r>
      <w:r>
        <w:rPr>
          <w:color w:val="231F20"/>
          <w:spacing w:val="-26"/>
        </w:rPr>
        <w:t xml:space="preserve"> </w:t>
      </w:r>
      <w:r>
        <w:rPr>
          <w:color w:val="231F20"/>
        </w:rPr>
        <w:t>osoba</w:t>
      </w:r>
      <w:r>
        <w:rPr>
          <w:color w:val="231F20"/>
          <w:spacing w:val="-26"/>
        </w:rPr>
        <w:t xml:space="preserve"> </w:t>
      </w:r>
      <w:r>
        <w:rPr>
          <w:color w:val="231F20"/>
        </w:rPr>
        <w:t>může</w:t>
      </w:r>
      <w:r>
        <w:rPr>
          <w:color w:val="231F20"/>
          <w:spacing w:val="-26"/>
        </w:rPr>
        <w:t xml:space="preserve"> </w:t>
      </w:r>
      <w:r>
        <w:rPr>
          <w:color w:val="231F20"/>
        </w:rPr>
        <w:t>postoupit</w:t>
      </w:r>
      <w:r>
        <w:rPr>
          <w:color w:val="231F20"/>
          <w:spacing w:val="-26"/>
        </w:rPr>
        <w:t xml:space="preserve"> </w:t>
      </w:r>
      <w:r>
        <w:rPr>
          <w:color w:val="231F20"/>
        </w:rPr>
        <w:t>právo</w:t>
      </w:r>
      <w:r>
        <w:rPr>
          <w:color w:val="231F20"/>
          <w:spacing w:val="-25"/>
        </w:rPr>
        <w:t xml:space="preserve"> </w:t>
      </w:r>
      <w:r>
        <w:rPr>
          <w:color w:val="231F20"/>
        </w:rPr>
        <w:t>na</w:t>
      </w:r>
      <w:r>
        <w:rPr>
          <w:color w:val="231F20"/>
          <w:spacing w:val="-26"/>
        </w:rPr>
        <w:t xml:space="preserve"> </w:t>
      </w:r>
      <w:r>
        <w:rPr>
          <w:color w:val="231F20"/>
        </w:rPr>
        <w:t>pojistné</w:t>
      </w:r>
      <w:r>
        <w:rPr>
          <w:color w:val="231F20"/>
          <w:spacing w:val="-26"/>
        </w:rPr>
        <w:t xml:space="preserve"> </w:t>
      </w:r>
      <w:r>
        <w:rPr>
          <w:color w:val="231F20"/>
        </w:rPr>
        <w:t>plnění</w:t>
      </w:r>
      <w:r>
        <w:rPr>
          <w:color w:val="231F20"/>
          <w:spacing w:val="-26"/>
        </w:rPr>
        <w:t xml:space="preserve"> </w:t>
      </w:r>
      <w:r>
        <w:rPr>
          <w:color w:val="231F20"/>
        </w:rPr>
        <w:t>z</w:t>
      </w:r>
      <w:r>
        <w:rPr>
          <w:color w:val="231F20"/>
          <w:spacing w:val="-25"/>
        </w:rPr>
        <w:t xml:space="preserve"> </w:t>
      </w:r>
      <w:r>
        <w:rPr>
          <w:color w:val="231F20"/>
        </w:rPr>
        <w:t>pojištění</w:t>
      </w:r>
      <w:r>
        <w:rPr>
          <w:color w:val="231F20"/>
          <w:spacing w:val="-26"/>
        </w:rPr>
        <w:t xml:space="preserve"> </w:t>
      </w:r>
      <w:r>
        <w:rPr>
          <w:color w:val="231F20"/>
        </w:rPr>
        <w:t>Přímá</w:t>
      </w:r>
      <w:r>
        <w:rPr>
          <w:color w:val="231F20"/>
          <w:spacing w:val="-26"/>
        </w:rPr>
        <w:t xml:space="preserve"> </w:t>
      </w:r>
      <w:r>
        <w:rPr>
          <w:color w:val="231F20"/>
        </w:rPr>
        <w:t>likvida- ce pouze s písemným souhlasem</w:t>
      </w:r>
      <w:r>
        <w:rPr>
          <w:color w:val="231F20"/>
          <w:spacing w:val="-11"/>
        </w:rPr>
        <w:t xml:space="preserve"> </w:t>
      </w:r>
      <w:r>
        <w:rPr>
          <w:color w:val="231F20"/>
        </w:rPr>
        <w:t>Pojišťovny.</w:t>
      </w:r>
    </w:p>
    <w:p w14:paraId="2C0D263E" w14:textId="77777777" w:rsidR="00F65BCA" w:rsidRDefault="00216117">
      <w:pPr>
        <w:pStyle w:val="Zkladntext"/>
        <w:spacing w:before="10"/>
        <w:rPr>
          <w:sz w:val="3"/>
        </w:rPr>
      </w:pPr>
      <w:r>
        <w:br w:type="column"/>
      </w:r>
    </w:p>
    <w:p w14:paraId="0F80EACC" w14:textId="77777777" w:rsidR="00F65BCA" w:rsidRDefault="00000000">
      <w:pPr>
        <w:pStyle w:val="Zkladntext"/>
        <w:ind w:left="184"/>
        <w:rPr>
          <w:sz w:val="20"/>
        </w:rPr>
      </w:pPr>
      <w:r>
        <w:rPr>
          <w:position w:val="-1"/>
          <w:sz w:val="20"/>
        </w:rPr>
      </w:r>
      <w:r>
        <w:rPr>
          <w:position w:val="-1"/>
          <w:sz w:val="20"/>
        </w:rPr>
        <w:pict w14:anchorId="13EB9BE4">
          <v:shape id="_x0000_s2579" type="#_x0000_t202" style="width:262.15pt;height:32.55pt;mso-left-percent:-10001;mso-top-percent:-10001;mso-position-horizontal:absolute;mso-position-horizontal-relative:char;mso-position-vertical:absolute;mso-position-vertical-relative:line;mso-left-percent:-10001;mso-top-percent:-10001" filled="f" strokecolor="#231f20" strokeweight="1.5pt">
            <v:textbox inset="0,0,0,0">
              <w:txbxContent>
                <w:p w14:paraId="50A66FFA" w14:textId="77777777" w:rsidR="00F65BCA" w:rsidRDefault="00216117">
                  <w:pPr>
                    <w:spacing w:before="26" w:line="249" w:lineRule="auto"/>
                    <w:ind w:left="165" w:right="93" w:firstLine="462"/>
                    <w:rPr>
                      <w:sz w:val="24"/>
                    </w:rPr>
                  </w:pPr>
                  <w:r>
                    <w:rPr>
                      <w:color w:val="231F20"/>
                      <w:sz w:val="24"/>
                    </w:rPr>
                    <w:t>ODDÍL II. SPOLEČNÁ USTANOVENÍ PRO HAVARIJNÍ A DOPLŇKOVÁ POJIŠTĚNÍ</w:t>
                  </w:r>
                </w:p>
              </w:txbxContent>
            </v:textbox>
            <w10:anchorlock/>
          </v:shape>
        </w:pict>
      </w:r>
    </w:p>
    <w:p w14:paraId="5FBC5884" w14:textId="77777777" w:rsidR="00F65BCA" w:rsidRDefault="00F65BCA">
      <w:pPr>
        <w:pStyle w:val="Zkladntext"/>
        <w:spacing w:before="10"/>
        <w:rPr>
          <w:sz w:val="31"/>
        </w:rPr>
      </w:pPr>
    </w:p>
    <w:p w14:paraId="579CB9EF" w14:textId="77777777" w:rsidR="00F65BCA" w:rsidRDefault="00216117">
      <w:pPr>
        <w:ind w:left="185"/>
        <w:rPr>
          <w:sz w:val="15"/>
        </w:rPr>
      </w:pPr>
      <w:r>
        <w:rPr>
          <w:color w:val="FFFFFF"/>
          <w:position w:val="3"/>
          <w:sz w:val="16"/>
          <w:shd w:val="clear" w:color="auto" w:fill="808285"/>
        </w:rPr>
        <w:t xml:space="preserve">  Článek 24</w:t>
      </w:r>
      <w:r>
        <w:rPr>
          <w:color w:val="FFFFFF"/>
          <w:position w:val="3"/>
          <w:sz w:val="16"/>
        </w:rPr>
        <w:t xml:space="preserve"> </w:t>
      </w:r>
      <w:r>
        <w:rPr>
          <w:color w:val="231F20"/>
          <w:sz w:val="15"/>
        </w:rPr>
        <w:t>Úvodní ustanovení</w:t>
      </w:r>
    </w:p>
    <w:p w14:paraId="3295FAF0" w14:textId="77777777" w:rsidR="00F65BCA" w:rsidRDefault="00000000">
      <w:pPr>
        <w:pStyle w:val="Zkladntext"/>
        <w:spacing w:before="147"/>
        <w:ind w:left="467"/>
        <w:jc w:val="both"/>
      </w:pPr>
      <w:r>
        <w:pict w14:anchorId="50C824D6">
          <v:shape id="_x0000_s2273" type="#_x0000_t202" style="position:absolute;left:0;text-align:left;margin-left:303.4pt;margin-top:7.4pt;width:9.65pt;height:18.55pt;z-index:251860992;mso-position-horizontal-relative:page" fillcolor="#d1d3d4" stroked="f">
            <v:textbox inset="0,0,0,0">
              <w:txbxContent>
                <w:p w14:paraId="7746A390" w14:textId="77777777" w:rsidR="00F65BCA" w:rsidRDefault="00216117">
                  <w:pPr>
                    <w:spacing w:before="2"/>
                    <w:ind w:left="56"/>
                    <w:rPr>
                      <w:sz w:val="14"/>
                    </w:rPr>
                  </w:pPr>
                  <w:r>
                    <w:rPr>
                      <w:color w:val="231F20"/>
                      <w:w w:val="99"/>
                      <w:sz w:val="14"/>
                    </w:rPr>
                    <w:t>1</w:t>
                  </w:r>
                </w:p>
                <w:p w14:paraId="6BFDD3E8" w14:textId="77777777" w:rsidR="00F65BCA" w:rsidRDefault="00216117">
                  <w:pPr>
                    <w:spacing w:before="39"/>
                    <w:ind w:left="56"/>
                    <w:rPr>
                      <w:sz w:val="14"/>
                    </w:rPr>
                  </w:pPr>
                  <w:r>
                    <w:rPr>
                      <w:color w:val="231F20"/>
                      <w:w w:val="99"/>
                      <w:sz w:val="14"/>
                    </w:rPr>
                    <w:t>2</w:t>
                  </w:r>
                </w:p>
              </w:txbxContent>
            </v:textbox>
            <w10:wrap anchorx="page"/>
          </v:shape>
        </w:pict>
      </w:r>
      <w:r w:rsidR="00216117">
        <w:rPr>
          <w:color w:val="231F20"/>
        </w:rPr>
        <w:t>Pojištění je soukromé a sjednává se jako pojištění škodové.</w:t>
      </w:r>
    </w:p>
    <w:p w14:paraId="3EC89F5B" w14:textId="77777777" w:rsidR="00F65BCA" w:rsidRDefault="00216117">
      <w:pPr>
        <w:pStyle w:val="Zkladntext"/>
        <w:spacing w:before="28" w:line="278" w:lineRule="auto"/>
        <w:ind w:left="467" w:right="424" w:hanging="1"/>
        <w:jc w:val="both"/>
      </w:pPr>
      <w:r>
        <w:rPr>
          <w:color w:val="231F20"/>
        </w:rPr>
        <w:t>Ustanovení</w:t>
      </w:r>
      <w:r>
        <w:rPr>
          <w:color w:val="231F20"/>
          <w:spacing w:val="-17"/>
        </w:rPr>
        <w:t xml:space="preserve"> </w:t>
      </w:r>
      <w:r>
        <w:rPr>
          <w:color w:val="231F20"/>
        </w:rPr>
        <w:t>tohoto</w:t>
      </w:r>
      <w:r>
        <w:rPr>
          <w:color w:val="231F20"/>
          <w:spacing w:val="-16"/>
        </w:rPr>
        <w:t xml:space="preserve"> </w:t>
      </w:r>
      <w:r>
        <w:rPr>
          <w:color w:val="231F20"/>
        </w:rPr>
        <w:t>pododdílu</w:t>
      </w:r>
      <w:r>
        <w:rPr>
          <w:color w:val="231F20"/>
          <w:spacing w:val="-17"/>
        </w:rPr>
        <w:t xml:space="preserve"> </w:t>
      </w:r>
      <w:r>
        <w:rPr>
          <w:color w:val="231F20"/>
        </w:rPr>
        <w:t>1</w:t>
      </w:r>
      <w:r>
        <w:rPr>
          <w:color w:val="231F20"/>
          <w:spacing w:val="-16"/>
        </w:rPr>
        <w:t xml:space="preserve"> </w:t>
      </w:r>
      <w:r>
        <w:rPr>
          <w:color w:val="231F20"/>
        </w:rPr>
        <w:t>platí</w:t>
      </w:r>
      <w:r>
        <w:rPr>
          <w:color w:val="231F20"/>
          <w:spacing w:val="-16"/>
        </w:rPr>
        <w:t xml:space="preserve"> </w:t>
      </w:r>
      <w:r>
        <w:rPr>
          <w:color w:val="231F20"/>
        </w:rPr>
        <w:t>i</w:t>
      </w:r>
      <w:r>
        <w:rPr>
          <w:color w:val="231F20"/>
          <w:spacing w:val="-17"/>
        </w:rPr>
        <w:t xml:space="preserve"> </w:t>
      </w:r>
      <w:r>
        <w:rPr>
          <w:color w:val="231F20"/>
        </w:rPr>
        <w:t>pro</w:t>
      </w:r>
      <w:r>
        <w:rPr>
          <w:color w:val="231F20"/>
          <w:spacing w:val="-16"/>
        </w:rPr>
        <w:t xml:space="preserve"> </w:t>
      </w:r>
      <w:r>
        <w:rPr>
          <w:color w:val="231F20"/>
        </w:rPr>
        <w:t>všechny</w:t>
      </w:r>
      <w:r>
        <w:rPr>
          <w:color w:val="231F20"/>
          <w:spacing w:val="-17"/>
        </w:rPr>
        <w:t xml:space="preserve"> </w:t>
      </w:r>
      <w:r>
        <w:rPr>
          <w:color w:val="231F20"/>
        </w:rPr>
        <w:t>následující</w:t>
      </w:r>
      <w:r>
        <w:rPr>
          <w:color w:val="231F20"/>
          <w:spacing w:val="-16"/>
        </w:rPr>
        <w:t xml:space="preserve"> </w:t>
      </w:r>
      <w:r>
        <w:rPr>
          <w:color w:val="231F20"/>
        </w:rPr>
        <w:t>pododdíly</w:t>
      </w:r>
      <w:r>
        <w:rPr>
          <w:color w:val="231F20"/>
          <w:spacing w:val="-16"/>
        </w:rPr>
        <w:t xml:space="preserve"> </w:t>
      </w:r>
      <w:r>
        <w:rPr>
          <w:color w:val="231F20"/>
        </w:rPr>
        <w:t>toho- to oddílu.</w:t>
      </w:r>
    </w:p>
    <w:p w14:paraId="31963B8E" w14:textId="77777777" w:rsidR="00F65BCA" w:rsidRDefault="00F65BCA">
      <w:pPr>
        <w:pStyle w:val="Zkladntext"/>
        <w:spacing w:before="10"/>
        <w:rPr>
          <w:sz w:val="20"/>
        </w:rPr>
      </w:pPr>
    </w:p>
    <w:p w14:paraId="6B7773BA" w14:textId="77777777" w:rsidR="00F65BCA" w:rsidRDefault="00216117">
      <w:pPr>
        <w:spacing w:before="1"/>
        <w:ind w:left="185"/>
        <w:rPr>
          <w:sz w:val="15"/>
        </w:rPr>
      </w:pPr>
      <w:r>
        <w:rPr>
          <w:color w:val="FFFFFF"/>
          <w:position w:val="3"/>
          <w:sz w:val="16"/>
          <w:shd w:val="clear" w:color="auto" w:fill="808285"/>
        </w:rPr>
        <w:t xml:space="preserve">  Článek 25</w:t>
      </w:r>
      <w:r>
        <w:rPr>
          <w:color w:val="FFFFFF"/>
          <w:position w:val="3"/>
          <w:sz w:val="16"/>
        </w:rPr>
        <w:t xml:space="preserve"> </w:t>
      </w:r>
      <w:r>
        <w:rPr>
          <w:color w:val="231F20"/>
          <w:sz w:val="15"/>
        </w:rPr>
        <w:t>Rozsah pojištění</w:t>
      </w:r>
    </w:p>
    <w:p w14:paraId="609F88CD" w14:textId="77777777" w:rsidR="00F65BCA" w:rsidRDefault="00216117">
      <w:pPr>
        <w:pStyle w:val="Zkladntext"/>
        <w:spacing w:before="146" w:line="278" w:lineRule="auto"/>
        <w:ind w:left="467" w:right="423"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position w:val="1"/>
          <w:sz w:val="14"/>
        </w:rPr>
        <w:t xml:space="preserve"> </w:t>
      </w:r>
      <w:r>
        <w:rPr>
          <w:color w:val="231F20"/>
        </w:rPr>
        <w:t xml:space="preserve">Z pojištění dle tohoto </w:t>
      </w:r>
      <w:r>
        <w:rPr>
          <w:color w:val="231F20"/>
          <w:spacing w:val="2"/>
        </w:rPr>
        <w:t xml:space="preserve">oddílu poskytuje </w:t>
      </w:r>
      <w:r>
        <w:rPr>
          <w:color w:val="231F20"/>
        </w:rPr>
        <w:t>Pojišťovna pojistné plnění v případě vzniku</w:t>
      </w:r>
      <w:r>
        <w:rPr>
          <w:color w:val="231F20"/>
          <w:spacing w:val="-26"/>
        </w:rPr>
        <w:t xml:space="preserve"> </w:t>
      </w:r>
      <w:r>
        <w:rPr>
          <w:color w:val="231F20"/>
        </w:rPr>
        <w:t>škody</w:t>
      </w:r>
      <w:r>
        <w:rPr>
          <w:color w:val="231F20"/>
          <w:spacing w:val="-25"/>
        </w:rPr>
        <w:t xml:space="preserve"> </w:t>
      </w:r>
      <w:r>
        <w:rPr>
          <w:color w:val="231F20"/>
        </w:rPr>
        <w:t>na</w:t>
      </w:r>
      <w:r>
        <w:rPr>
          <w:color w:val="231F20"/>
          <w:spacing w:val="-25"/>
        </w:rPr>
        <w:t xml:space="preserve"> </w:t>
      </w:r>
      <w:r>
        <w:rPr>
          <w:color w:val="231F20"/>
        </w:rPr>
        <w:t>pojištěné</w:t>
      </w:r>
      <w:r>
        <w:rPr>
          <w:color w:val="231F20"/>
          <w:spacing w:val="-25"/>
        </w:rPr>
        <w:t xml:space="preserve"> </w:t>
      </w:r>
      <w:r>
        <w:rPr>
          <w:color w:val="231F20"/>
        </w:rPr>
        <w:t>věci</w:t>
      </w:r>
      <w:r>
        <w:rPr>
          <w:color w:val="231F20"/>
          <w:spacing w:val="-25"/>
        </w:rPr>
        <w:t xml:space="preserve"> </w:t>
      </w:r>
      <w:r>
        <w:rPr>
          <w:color w:val="231F20"/>
        </w:rPr>
        <w:t>(vozidlo,</w:t>
      </w:r>
      <w:r>
        <w:rPr>
          <w:color w:val="231F20"/>
          <w:spacing w:val="-25"/>
        </w:rPr>
        <w:t xml:space="preserve"> </w:t>
      </w:r>
      <w:r>
        <w:rPr>
          <w:color w:val="231F20"/>
        </w:rPr>
        <w:t>skla,</w:t>
      </w:r>
      <w:r>
        <w:rPr>
          <w:color w:val="231F20"/>
          <w:spacing w:val="-25"/>
        </w:rPr>
        <w:t xml:space="preserve"> </w:t>
      </w:r>
      <w:r>
        <w:rPr>
          <w:color w:val="231F20"/>
        </w:rPr>
        <w:t>zavazadla)</w:t>
      </w:r>
      <w:r>
        <w:rPr>
          <w:color w:val="231F20"/>
          <w:spacing w:val="-25"/>
        </w:rPr>
        <w:t xml:space="preserve"> </w:t>
      </w:r>
      <w:r>
        <w:rPr>
          <w:color w:val="231F20"/>
        </w:rPr>
        <w:t>nebo</w:t>
      </w:r>
      <w:r>
        <w:rPr>
          <w:color w:val="231F20"/>
          <w:spacing w:val="-25"/>
        </w:rPr>
        <w:t xml:space="preserve"> </w:t>
      </w:r>
      <w:r>
        <w:rPr>
          <w:color w:val="231F20"/>
        </w:rPr>
        <w:t>v</w:t>
      </w:r>
      <w:r>
        <w:rPr>
          <w:color w:val="231F20"/>
          <w:spacing w:val="-25"/>
        </w:rPr>
        <w:t xml:space="preserve"> </w:t>
      </w:r>
      <w:r>
        <w:rPr>
          <w:color w:val="231F20"/>
        </w:rPr>
        <w:t>případě</w:t>
      </w:r>
      <w:r>
        <w:rPr>
          <w:color w:val="231F20"/>
          <w:spacing w:val="-25"/>
        </w:rPr>
        <w:t xml:space="preserve"> </w:t>
      </w:r>
      <w:r>
        <w:rPr>
          <w:color w:val="231F20"/>
        </w:rPr>
        <w:t>vzniku finančních nákladů či ztrát v důsledku škody na pojištěné věci (půjčovné – náhradní vozidlo, GAP – ztráta hodnoty</w:t>
      </w:r>
      <w:r>
        <w:rPr>
          <w:color w:val="231F20"/>
          <w:spacing w:val="-10"/>
        </w:rPr>
        <w:t xml:space="preserve"> </w:t>
      </w:r>
      <w:r>
        <w:rPr>
          <w:color w:val="231F20"/>
        </w:rPr>
        <w:t>vozidla).</w:t>
      </w:r>
    </w:p>
    <w:p w14:paraId="634FFF68" w14:textId="77777777" w:rsidR="00F65BCA" w:rsidRDefault="00216117">
      <w:pPr>
        <w:pStyle w:val="Zkladntext"/>
        <w:spacing w:line="278" w:lineRule="auto"/>
        <w:ind w:left="467" w:right="423"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25"/>
          <w:position w:val="1"/>
          <w:sz w:val="14"/>
        </w:rPr>
        <w:t xml:space="preserve"> </w:t>
      </w:r>
      <w:r>
        <w:rPr>
          <w:color w:val="231F20"/>
        </w:rPr>
        <w:t>Pojištění</w:t>
      </w:r>
      <w:r>
        <w:rPr>
          <w:color w:val="231F20"/>
          <w:spacing w:val="-15"/>
        </w:rPr>
        <w:t xml:space="preserve"> </w:t>
      </w:r>
      <w:r>
        <w:rPr>
          <w:color w:val="231F20"/>
        </w:rPr>
        <w:t>se</w:t>
      </w:r>
      <w:r>
        <w:rPr>
          <w:color w:val="231F20"/>
          <w:spacing w:val="-15"/>
        </w:rPr>
        <w:t xml:space="preserve"> </w:t>
      </w:r>
      <w:r>
        <w:rPr>
          <w:color w:val="231F20"/>
        </w:rPr>
        <w:t>vztahuje,</w:t>
      </w:r>
      <w:r>
        <w:rPr>
          <w:color w:val="231F20"/>
          <w:spacing w:val="-14"/>
        </w:rPr>
        <w:t xml:space="preserve"> </w:t>
      </w:r>
      <w:r>
        <w:rPr>
          <w:color w:val="231F20"/>
        </w:rPr>
        <w:t>pokud</w:t>
      </w:r>
      <w:r>
        <w:rPr>
          <w:color w:val="231F20"/>
          <w:spacing w:val="-15"/>
        </w:rPr>
        <w:t xml:space="preserve"> </w:t>
      </w:r>
      <w:r>
        <w:rPr>
          <w:color w:val="231F20"/>
        </w:rPr>
        <w:t>není</w:t>
      </w:r>
      <w:r>
        <w:rPr>
          <w:color w:val="231F20"/>
          <w:spacing w:val="-15"/>
        </w:rPr>
        <w:t xml:space="preserve"> </w:t>
      </w:r>
      <w:r>
        <w:rPr>
          <w:color w:val="231F20"/>
        </w:rPr>
        <w:t>v</w:t>
      </w:r>
      <w:r>
        <w:rPr>
          <w:color w:val="231F20"/>
          <w:spacing w:val="-14"/>
        </w:rPr>
        <w:t xml:space="preserve"> </w:t>
      </w:r>
      <w:r>
        <w:rPr>
          <w:color w:val="231F20"/>
        </w:rPr>
        <w:t>seznamu</w:t>
      </w:r>
      <w:r>
        <w:rPr>
          <w:color w:val="231F20"/>
          <w:spacing w:val="-15"/>
        </w:rPr>
        <w:t xml:space="preserve"> </w:t>
      </w:r>
      <w:r>
        <w:rPr>
          <w:color w:val="231F20"/>
        </w:rPr>
        <w:t>vozidel</w:t>
      </w:r>
      <w:r>
        <w:rPr>
          <w:color w:val="231F20"/>
          <w:spacing w:val="-15"/>
        </w:rPr>
        <w:t xml:space="preserve"> </w:t>
      </w:r>
      <w:r>
        <w:rPr>
          <w:color w:val="231F20"/>
        </w:rPr>
        <w:t>nebo</w:t>
      </w:r>
      <w:r>
        <w:rPr>
          <w:color w:val="231F20"/>
          <w:spacing w:val="-14"/>
        </w:rPr>
        <w:t xml:space="preserve"> </w:t>
      </w:r>
      <w:r>
        <w:rPr>
          <w:color w:val="231F20"/>
        </w:rPr>
        <w:t>v</w:t>
      </w:r>
      <w:r>
        <w:rPr>
          <w:color w:val="231F20"/>
          <w:spacing w:val="-15"/>
        </w:rPr>
        <w:t xml:space="preserve"> </w:t>
      </w:r>
      <w:r>
        <w:rPr>
          <w:color w:val="231F20"/>
        </w:rPr>
        <w:t>tomto</w:t>
      </w:r>
      <w:r>
        <w:rPr>
          <w:color w:val="231F20"/>
          <w:spacing w:val="-15"/>
        </w:rPr>
        <w:t xml:space="preserve"> </w:t>
      </w:r>
      <w:r>
        <w:rPr>
          <w:color w:val="231F20"/>
        </w:rPr>
        <w:t>oddílu</w:t>
      </w:r>
      <w:r>
        <w:rPr>
          <w:color w:val="231F20"/>
          <w:spacing w:val="-14"/>
        </w:rPr>
        <w:t xml:space="preserve"> </w:t>
      </w:r>
      <w:r>
        <w:rPr>
          <w:color w:val="231F20"/>
        </w:rPr>
        <w:t>VPP ujednáno</w:t>
      </w:r>
      <w:r>
        <w:rPr>
          <w:color w:val="231F20"/>
          <w:spacing w:val="-25"/>
        </w:rPr>
        <w:t xml:space="preserve"> </w:t>
      </w:r>
      <w:r>
        <w:rPr>
          <w:color w:val="231F20"/>
        </w:rPr>
        <w:t>jinak,</w:t>
      </w:r>
      <w:r>
        <w:rPr>
          <w:color w:val="231F20"/>
          <w:spacing w:val="-24"/>
        </w:rPr>
        <w:t xml:space="preserve"> </w:t>
      </w:r>
      <w:r>
        <w:rPr>
          <w:color w:val="231F20"/>
        </w:rPr>
        <w:t>na</w:t>
      </w:r>
      <w:r>
        <w:rPr>
          <w:color w:val="231F20"/>
          <w:spacing w:val="-24"/>
        </w:rPr>
        <w:t xml:space="preserve"> </w:t>
      </w:r>
      <w:r>
        <w:rPr>
          <w:color w:val="231F20"/>
        </w:rPr>
        <w:t>pojistné</w:t>
      </w:r>
      <w:r>
        <w:rPr>
          <w:color w:val="231F20"/>
          <w:spacing w:val="-25"/>
        </w:rPr>
        <w:t xml:space="preserve"> </w:t>
      </w:r>
      <w:r>
        <w:rPr>
          <w:color w:val="231F20"/>
        </w:rPr>
        <w:t>události,</w:t>
      </w:r>
      <w:r>
        <w:rPr>
          <w:color w:val="231F20"/>
          <w:spacing w:val="-24"/>
        </w:rPr>
        <w:t xml:space="preserve"> </w:t>
      </w:r>
      <w:r>
        <w:rPr>
          <w:color w:val="231F20"/>
        </w:rPr>
        <w:t>které</w:t>
      </w:r>
      <w:r>
        <w:rPr>
          <w:color w:val="231F20"/>
          <w:spacing w:val="-24"/>
        </w:rPr>
        <w:t xml:space="preserve"> </w:t>
      </w:r>
      <w:r>
        <w:rPr>
          <w:color w:val="231F20"/>
        </w:rPr>
        <w:t>nastanou</w:t>
      </w:r>
      <w:r>
        <w:rPr>
          <w:color w:val="231F20"/>
          <w:spacing w:val="-24"/>
        </w:rPr>
        <w:t xml:space="preserve"> </w:t>
      </w:r>
      <w:r>
        <w:rPr>
          <w:color w:val="231F20"/>
        </w:rPr>
        <w:t>v</w:t>
      </w:r>
      <w:r>
        <w:rPr>
          <w:color w:val="231F20"/>
          <w:spacing w:val="-25"/>
        </w:rPr>
        <w:t xml:space="preserve"> </w:t>
      </w:r>
      <w:r>
        <w:rPr>
          <w:color w:val="231F20"/>
        </w:rPr>
        <w:t>zemích</w:t>
      </w:r>
      <w:r>
        <w:rPr>
          <w:color w:val="231F20"/>
          <w:spacing w:val="-24"/>
        </w:rPr>
        <w:t xml:space="preserve"> </w:t>
      </w:r>
      <w:r>
        <w:rPr>
          <w:color w:val="231F20"/>
        </w:rPr>
        <w:t>nacházejících</w:t>
      </w:r>
      <w:r>
        <w:rPr>
          <w:color w:val="231F20"/>
          <w:spacing w:val="-24"/>
        </w:rPr>
        <w:t xml:space="preserve"> </w:t>
      </w:r>
      <w:r>
        <w:rPr>
          <w:color w:val="231F20"/>
        </w:rPr>
        <w:t>se na</w:t>
      </w:r>
      <w:r>
        <w:rPr>
          <w:color w:val="231F20"/>
          <w:spacing w:val="-26"/>
        </w:rPr>
        <w:t xml:space="preserve"> </w:t>
      </w:r>
      <w:r>
        <w:rPr>
          <w:color w:val="231F20"/>
        </w:rPr>
        <w:t>geografickém</w:t>
      </w:r>
      <w:r>
        <w:rPr>
          <w:color w:val="231F20"/>
          <w:spacing w:val="-25"/>
        </w:rPr>
        <w:t xml:space="preserve"> </w:t>
      </w:r>
      <w:r>
        <w:rPr>
          <w:color w:val="231F20"/>
        </w:rPr>
        <w:t>území</w:t>
      </w:r>
      <w:r>
        <w:rPr>
          <w:color w:val="231F20"/>
          <w:spacing w:val="-25"/>
        </w:rPr>
        <w:t xml:space="preserve"> </w:t>
      </w:r>
      <w:r>
        <w:rPr>
          <w:color w:val="231F20"/>
        </w:rPr>
        <w:t>Evropy</w:t>
      </w:r>
      <w:r>
        <w:rPr>
          <w:color w:val="231F20"/>
          <w:spacing w:val="-25"/>
        </w:rPr>
        <w:t xml:space="preserve"> </w:t>
      </w:r>
      <w:r>
        <w:rPr>
          <w:color w:val="231F20"/>
        </w:rPr>
        <w:t>a</w:t>
      </w:r>
      <w:r>
        <w:rPr>
          <w:color w:val="231F20"/>
          <w:spacing w:val="-25"/>
        </w:rPr>
        <w:t xml:space="preserve"> </w:t>
      </w:r>
      <w:r>
        <w:rPr>
          <w:color w:val="231F20"/>
        </w:rPr>
        <w:t>Turecka,</w:t>
      </w:r>
      <w:r>
        <w:rPr>
          <w:color w:val="231F20"/>
          <w:spacing w:val="-25"/>
        </w:rPr>
        <w:t xml:space="preserve"> </w:t>
      </w:r>
      <w:r>
        <w:rPr>
          <w:color w:val="231F20"/>
        </w:rPr>
        <w:t>s</w:t>
      </w:r>
      <w:r>
        <w:rPr>
          <w:color w:val="231F20"/>
          <w:spacing w:val="-25"/>
        </w:rPr>
        <w:t xml:space="preserve"> </w:t>
      </w:r>
      <w:r>
        <w:rPr>
          <w:color w:val="231F20"/>
        </w:rPr>
        <w:t>výjimkou</w:t>
      </w:r>
      <w:r>
        <w:rPr>
          <w:color w:val="231F20"/>
          <w:spacing w:val="-26"/>
        </w:rPr>
        <w:t xml:space="preserve"> </w:t>
      </w:r>
      <w:r>
        <w:rPr>
          <w:color w:val="231F20"/>
        </w:rPr>
        <w:t>Arménie,</w:t>
      </w:r>
      <w:r>
        <w:rPr>
          <w:color w:val="231F20"/>
          <w:spacing w:val="-25"/>
        </w:rPr>
        <w:t xml:space="preserve"> </w:t>
      </w:r>
      <w:r>
        <w:rPr>
          <w:color w:val="231F20"/>
        </w:rPr>
        <w:t>Ázerbájdžánu, Běloruska, Gruzie, Moldavska, Ruska a</w:t>
      </w:r>
      <w:r>
        <w:rPr>
          <w:color w:val="231F20"/>
          <w:spacing w:val="-11"/>
        </w:rPr>
        <w:t xml:space="preserve"> </w:t>
      </w:r>
      <w:r>
        <w:rPr>
          <w:color w:val="231F20"/>
        </w:rPr>
        <w:t>Ukrajiny.</w:t>
      </w:r>
    </w:p>
    <w:p w14:paraId="0F0617F2"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21"/>
          <w:position w:val="1"/>
          <w:sz w:val="14"/>
        </w:rPr>
        <w:t xml:space="preserve"> </w:t>
      </w:r>
      <w:r>
        <w:rPr>
          <w:color w:val="231F20"/>
        </w:rPr>
        <w:t>Pojištění</w:t>
      </w:r>
      <w:r>
        <w:rPr>
          <w:color w:val="231F20"/>
          <w:spacing w:val="-8"/>
        </w:rPr>
        <w:t xml:space="preserve"> </w:t>
      </w:r>
      <w:r>
        <w:rPr>
          <w:color w:val="231F20"/>
        </w:rPr>
        <w:t>se</w:t>
      </w:r>
      <w:r>
        <w:rPr>
          <w:color w:val="231F20"/>
          <w:spacing w:val="-8"/>
        </w:rPr>
        <w:t xml:space="preserve"> </w:t>
      </w:r>
      <w:r>
        <w:rPr>
          <w:color w:val="231F20"/>
        </w:rPr>
        <w:t>vztahuje</w:t>
      </w:r>
      <w:r>
        <w:rPr>
          <w:color w:val="231F20"/>
          <w:spacing w:val="-8"/>
        </w:rPr>
        <w:t xml:space="preserve"> </w:t>
      </w:r>
      <w:r>
        <w:rPr>
          <w:color w:val="231F20"/>
        </w:rPr>
        <w:t>na</w:t>
      </w:r>
      <w:r>
        <w:rPr>
          <w:color w:val="231F20"/>
          <w:spacing w:val="-7"/>
        </w:rPr>
        <w:t xml:space="preserve"> </w:t>
      </w:r>
      <w:r>
        <w:rPr>
          <w:color w:val="231F20"/>
        </w:rPr>
        <w:t>vozidlo</w:t>
      </w:r>
      <w:r>
        <w:rPr>
          <w:color w:val="231F20"/>
          <w:spacing w:val="-8"/>
        </w:rPr>
        <w:t xml:space="preserve"> </w:t>
      </w:r>
      <w:r>
        <w:rPr>
          <w:color w:val="231F20"/>
        </w:rPr>
        <w:t>včetně</w:t>
      </w:r>
      <w:r>
        <w:rPr>
          <w:color w:val="231F20"/>
          <w:spacing w:val="-8"/>
        </w:rPr>
        <w:t xml:space="preserve"> </w:t>
      </w:r>
      <w:r>
        <w:rPr>
          <w:color w:val="231F20"/>
        </w:rPr>
        <w:t>jeho</w:t>
      </w:r>
      <w:r>
        <w:rPr>
          <w:color w:val="231F20"/>
          <w:spacing w:val="-8"/>
        </w:rPr>
        <w:t xml:space="preserve"> </w:t>
      </w:r>
      <w:r>
        <w:rPr>
          <w:color w:val="231F20"/>
        </w:rPr>
        <w:t>standardní</w:t>
      </w:r>
      <w:r>
        <w:rPr>
          <w:color w:val="231F20"/>
          <w:spacing w:val="-7"/>
        </w:rPr>
        <w:t xml:space="preserve"> </w:t>
      </w:r>
      <w:r>
        <w:rPr>
          <w:color w:val="231F20"/>
        </w:rPr>
        <w:t>výbavy,</w:t>
      </w:r>
      <w:r>
        <w:rPr>
          <w:color w:val="231F20"/>
          <w:spacing w:val="-8"/>
        </w:rPr>
        <w:t xml:space="preserve"> </w:t>
      </w:r>
      <w:r>
        <w:rPr>
          <w:color w:val="231F20"/>
        </w:rPr>
        <w:t>s</w:t>
      </w:r>
      <w:r>
        <w:rPr>
          <w:color w:val="231F20"/>
          <w:spacing w:val="-8"/>
        </w:rPr>
        <w:t xml:space="preserve"> </w:t>
      </w:r>
      <w:r>
        <w:rPr>
          <w:color w:val="231F20"/>
        </w:rPr>
        <w:t>blíže</w:t>
      </w:r>
      <w:r>
        <w:rPr>
          <w:color w:val="231F20"/>
          <w:spacing w:val="-7"/>
        </w:rPr>
        <w:t xml:space="preserve"> </w:t>
      </w:r>
      <w:r>
        <w:rPr>
          <w:color w:val="231F20"/>
        </w:rPr>
        <w:t>speci- fikovaným identifikačním údajem, a kterému je přidělena oprávněnými</w:t>
      </w:r>
      <w:r>
        <w:rPr>
          <w:color w:val="231F20"/>
          <w:spacing w:val="-27"/>
        </w:rPr>
        <w:t xml:space="preserve"> </w:t>
      </w:r>
      <w:r>
        <w:rPr>
          <w:color w:val="231F20"/>
          <w:spacing w:val="-4"/>
        </w:rPr>
        <w:t xml:space="preserve">orgá- </w:t>
      </w:r>
      <w:r>
        <w:rPr>
          <w:color w:val="231F20"/>
        </w:rPr>
        <w:t>ny</w:t>
      </w:r>
      <w:r>
        <w:rPr>
          <w:color w:val="231F20"/>
          <w:spacing w:val="-5"/>
        </w:rPr>
        <w:t xml:space="preserve"> </w:t>
      </w:r>
      <w:r>
        <w:rPr>
          <w:color w:val="231F20"/>
        </w:rPr>
        <w:t>České</w:t>
      </w:r>
      <w:r>
        <w:rPr>
          <w:color w:val="231F20"/>
          <w:spacing w:val="-5"/>
        </w:rPr>
        <w:t xml:space="preserve"> </w:t>
      </w:r>
      <w:r>
        <w:rPr>
          <w:color w:val="231F20"/>
        </w:rPr>
        <w:t>republiky</w:t>
      </w:r>
      <w:r>
        <w:rPr>
          <w:color w:val="231F20"/>
          <w:spacing w:val="-5"/>
        </w:rPr>
        <w:t xml:space="preserve"> </w:t>
      </w:r>
      <w:r>
        <w:rPr>
          <w:color w:val="231F20"/>
        </w:rPr>
        <w:t>platná</w:t>
      </w:r>
      <w:r>
        <w:rPr>
          <w:color w:val="231F20"/>
          <w:spacing w:val="-5"/>
        </w:rPr>
        <w:t xml:space="preserve"> </w:t>
      </w:r>
      <w:r>
        <w:rPr>
          <w:color w:val="231F20"/>
        </w:rPr>
        <w:t>česká</w:t>
      </w:r>
      <w:r>
        <w:rPr>
          <w:color w:val="231F20"/>
          <w:spacing w:val="-5"/>
        </w:rPr>
        <w:t xml:space="preserve"> </w:t>
      </w:r>
      <w:r>
        <w:rPr>
          <w:color w:val="231F20"/>
        </w:rPr>
        <w:t>registrační</w:t>
      </w:r>
      <w:r>
        <w:rPr>
          <w:color w:val="231F20"/>
          <w:spacing w:val="-5"/>
        </w:rPr>
        <w:t xml:space="preserve"> </w:t>
      </w:r>
      <w:r>
        <w:rPr>
          <w:color w:val="231F20"/>
        </w:rPr>
        <w:t>značka</w:t>
      </w:r>
      <w:r>
        <w:rPr>
          <w:color w:val="231F20"/>
          <w:spacing w:val="-5"/>
        </w:rPr>
        <w:t xml:space="preserve"> </w:t>
      </w:r>
      <w:r>
        <w:rPr>
          <w:color w:val="231F20"/>
        </w:rPr>
        <w:t>(dříve</w:t>
      </w:r>
      <w:r>
        <w:rPr>
          <w:color w:val="231F20"/>
          <w:spacing w:val="-5"/>
        </w:rPr>
        <w:t xml:space="preserve"> </w:t>
      </w:r>
      <w:r>
        <w:rPr>
          <w:color w:val="231F20"/>
        </w:rPr>
        <w:t>SPZ),</w:t>
      </w:r>
      <w:r>
        <w:rPr>
          <w:color w:val="231F20"/>
          <w:spacing w:val="-5"/>
        </w:rPr>
        <w:t xml:space="preserve"> </w:t>
      </w:r>
      <w:r>
        <w:rPr>
          <w:color w:val="231F20"/>
        </w:rPr>
        <w:t>není-li</w:t>
      </w:r>
      <w:r>
        <w:rPr>
          <w:color w:val="231F20"/>
          <w:spacing w:val="-5"/>
        </w:rPr>
        <w:t xml:space="preserve"> </w:t>
      </w:r>
      <w:r>
        <w:rPr>
          <w:color w:val="231F20"/>
        </w:rPr>
        <w:t>dále v</w:t>
      </w:r>
      <w:r>
        <w:rPr>
          <w:color w:val="231F20"/>
          <w:spacing w:val="-14"/>
        </w:rPr>
        <w:t xml:space="preserve"> </w:t>
      </w:r>
      <w:r>
        <w:rPr>
          <w:color w:val="231F20"/>
        </w:rPr>
        <w:t>těchto</w:t>
      </w:r>
      <w:r>
        <w:rPr>
          <w:color w:val="231F20"/>
          <w:spacing w:val="-14"/>
        </w:rPr>
        <w:t xml:space="preserve"> </w:t>
      </w:r>
      <w:r>
        <w:rPr>
          <w:color w:val="231F20"/>
        </w:rPr>
        <w:t>pojistných</w:t>
      </w:r>
      <w:r>
        <w:rPr>
          <w:color w:val="231F20"/>
          <w:spacing w:val="-13"/>
        </w:rPr>
        <w:t xml:space="preserve"> </w:t>
      </w:r>
      <w:r>
        <w:rPr>
          <w:color w:val="231F20"/>
        </w:rPr>
        <w:t>podmínkách</w:t>
      </w:r>
      <w:r>
        <w:rPr>
          <w:color w:val="231F20"/>
          <w:spacing w:val="-14"/>
        </w:rPr>
        <w:t xml:space="preserve"> </w:t>
      </w:r>
      <w:r>
        <w:rPr>
          <w:color w:val="231F20"/>
        </w:rPr>
        <w:t>nebo</w:t>
      </w:r>
      <w:r>
        <w:rPr>
          <w:color w:val="231F20"/>
          <w:spacing w:val="-13"/>
        </w:rPr>
        <w:t xml:space="preserve"> </w:t>
      </w:r>
      <w:r>
        <w:rPr>
          <w:color w:val="231F20"/>
        </w:rPr>
        <w:t>v</w:t>
      </w:r>
      <w:r>
        <w:rPr>
          <w:color w:val="231F20"/>
          <w:spacing w:val="-14"/>
        </w:rPr>
        <w:t xml:space="preserve"> </w:t>
      </w:r>
      <w:r>
        <w:rPr>
          <w:color w:val="231F20"/>
        </w:rPr>
        <w:t>pojistné</w:t>
      </w:r>
      <w:r>
        <w:rPr>
          <w:color w:val="231F20"/>
          <w:spacing w:val="-13"/>
        </w:rPr>
        <w:t xml:space="preserve"> </w:t>
      </w:r>
      <w:r>
        <w:rPr>
          <w:color w:val="231F20"/>
        </w:rPr>
        <w:t>smlouvě</w:t>
      </w:r>
      <w:r>
        <w:rPr>
          <w:color w:val="231F20"/>
          <w:spacing w:val="-14"/>
        </w:rPr>
        <w:t xml:space="preserve"> </w:t>
      </w:r>
      <w:r>
        <w:rPr>
          <w:color w:val="231F20"/>
        </w:rPr>
        <w:t>výslovně</w:t>
      </w:r>
      <w:r>
        <w:rPr>
          <w:color w:val="231F20"/>
          <w:spacing w:val="-13"/>
        </w:rPr>
        <w:t xml:space="preserve"> </w:t>
      </w:r>
      <w:r>
        <w:rPr>
          <w:color w:val="231F20"/>
        </w:rPr>
        <w:t>stanoveno jinak.</w:t>
      </w:r>
      <w:r>
        <w:rPr>
          <w:color w:val="231F20"/>
          <w:spacing w:val="-11"/>
        </w:rPr>
        <w:t xml:space="preserve"> </w:t>
      </w:r>
      <w:r>
        <w:rPr>
          <w:color w:val="231F20"/>
        </w:rPr>
        <w:t>Na</w:t>
      </w:r>
      <w:r>
        <w:rPr>
          <w:color w:val="231F20"/>
          <w:spacing w:val="-10"/>
        </w:rPr>
        <w:t xml:space="preserve"> </w:t>
      </w:r>
      <w:r>
        <w:rPr>
          <w:color w:val="231F20"/>
        </w:rPr>
        <w:t>doplňkovou</w:t>
      </w:r>
      <w:r>
        <w:rPr>
          <w:color w:val="231F20"/>
          <w:spacing w:val="-10"/>
        </w:rPr>
        <w:t xml:space="preserve"> </w:t>
      </w:r>
      <w:r>
        <w:rPr>
          <w:color w:val="231F20"/>
        </w:rPr>
        <w:t>a</w:t>
      </w:r>
      <w:r>
        <w:rPr>
          <w:color w:val="231F20"/>
          <w:spacing w:val="-10"/>
        </w:rPr>
        <w:t xml:space="preserve"> </w:t>
      </w:r>
      <w:r>
        <w:rPr>
          <w:color w:val="231F20"/>
        </w:rPr>
        <w:t>ostatní</w:t>
      </w:r>
      <w:r>
        <w:rPr>
          <w:color w:val="231F20"/>
          <w:spacing w:val="-10"/>
        </w:rPr>
        <w:t xml:space="preserve"> </w:t>
      </w:r>
      <w:r>
        <w:rPr>
          <w:color w:val="231F20"/>
        </w:rPr>
        <w:t>výbavu</w:t>
      </w:r>
      <w:r>
        <w:rPr>
          <w:color w:val="231F20"/>
          <w:spacing w:val="-10"/>
        </w:rPr>
        <w:t xml:space="preserve"> </w:t>
      </w:r>
      <w:r>
        <w:rPr>
          <w:color w:val="231F20"/>
        </w:rPr>
        <w:t>vozidla</w:t>
      </w:r>
      <w:r>
        <w:rPr>
          <w:color w:val="231F20"/>
          <w:spacing w:val="-10"/>
        </w:rPr>
        <w:t xml:space="preserve"> </w:t>
      </w:r>
      <w:r>
        <w:rPr>
          <w:color w:val="231F20"/>
        </w:rPr>
        <w:t>se</w:t>
      </w:r>
      <w:r>
        <w:rPr>
          <w:color w:val="231F20"/>
          <w:spacing w:val="-11"/>
        </w:rPr>
        <w:t xml:space="preserve"> </w:t>
      </w:r>
      <w:r>
        <w:rPr>
          <w:color w:val="231F20"/>
        </w:rPr>
        <w:t>pojištění</w:t>
      </w:r>
      <w:r>
        <w:rPr>
          <w:color w:val="231F20"/>
          <w:spacing w:val="-10"/>
        </w:rPr>
        <w:t xml:space="preserve"> </w:t>
      </w:r>
      <w:r>
        <w:rPr>
          <w:color w:val="231F20"/>
        </w:rPr>
        <w:t>vztahuje</w:t>
      </w:r>
      <w:r>
        <w:rPr>
          <w:color w:val="231F20"/>
          <w:spacing w:val="-10"/>
        </w:rPr>
        <w:t xml:space="preserve"> </w:t>
      </w:r>
      <w:r>
        <w:rPr>
          <w:color w:val="231F20"/>
        </w:rPr>
        <w:t>jen</w:t>
      </w:r>
      <w:r>
        <w:rPr>
          <w:color w:val="231F20"/>
          <w:spacing w:val="-10"/>
        </w:rPr>
        <w:t xml:space="preserve"> </w:t>
      </w:r>
      <w:r>
        <w:rPr>
          <w:color w:val="231F20"/>
          <w:spacing w:val="-6"/>
        </w:rPr>
        <w:t xml:space="preserve">tehdy, </w:t>
      </w:r>
      <w:r>
        <w:rPr>
          <w:color w:val="231F20"/>
        </w:rPr>
        <w:t>byla-li uvedena v pojistné smlouvě a byla-li v době vzniku pojistné události pevně</w:t>
      </w:r>
      <w:r>
        <w:rPr>
          <w:color w:val="231F20"/>
          <w:spacing w:val="-13"/>
        </w:rPr>
        <w:t xml:space="preserve"> </w:t>
      </w:r>
      <w:r>
        <w:rPr>
          <w:color w:val="231F20"/>
        </w:rPr>
        <w:t>spojena</w:t>
      </w:r>
      <w:r>
        <w:rPr>
          <w:color w:val="231F20"/>
          <w:spacing w:val="-12"/>
        </w:rPr>
        <w:t xml:space="preserve"> </w:t>
      </w:r>
      <w:r>
        <w:rPr>
          <w:color w:val="231F20"/>
        </w:rPr>
        <w:t>s</w:t>
      </w:r>
      <w:r>
        <w:rPr>
          <w:color w:val="231F20"/>
          <w:spacing w:val="-13"/>
        </w:rPr>
        <w:t xml:space="preserve"> </w:t>
      </w:r>
      <w:r>
        <w:rPr>
          <w:color w:val="231F20"/>
        </w:rPr>
        <w:t>vozidlem.</w:t>
      </w:r>
      <w:r>
        <w:rPr>
          <w:color w:val="231F20"/>
          <w:spacing w:val="-12"/>
        </w:rPr>
        <w:t xml:space="preserve"> </w:t>
      </w:r>
      <w:r>
        <w:rPr>
          <w:color w:val="231F20"/>
        </w:rPr>
        <w:t>U</w:t>
      </w:r>
      <w:r>
        <w:rPr>
          <w:color w:val="231F20"/>
          <w:spacing w:val="-13"/>
        </w:rPr>
        <w:t xml:space="preserve"> </w:t>
      </w:r>
      <w:r>
        <w:rPr>
          <w:color w:val="231F20"/>
        </w:rPr>
        <w:t>doplňkových</w:t>
      </w:r>
      <w:r>
        <w:rPr>
          <w:color w:val="231F20"/>
          <w:spacing w:val="-12"/>
        </w:rPr>
        <w:t xml:space="preserve"> </w:t>
      </w:r>
      <w:r>
        <w:rPr>
          <w:color w:val="231F20"/>
        </w:rPr>
        <w:t>pojištění</w:t>
      </w:r>
      <w:r>
        <w:rPr>
          <w:color w:val="231F20"/>
          <w:spacing w:val="-12"/>
        </w:rPr>
        <w:t xml:space="preserve"> </w:t>
      </w:r>
      <w:r>
        <w:rPr>
          <w:color w:val="231F20"/>
        </w:rPr>
        <w:t>může</w:t>
      </w:r>
      <w:r>
        <w:rPr>
          <w:color w:val="231F20"/>
          <w:spacing w:val="-13"/>
        </w:rPr>
        <w:t xml:space="preserve"> </w:t>
      </w:r>
      <w:r>
        <w:rPr>
          <w:color w:val="231F20"/>
        </w:rPr>
        <w:t>být</w:t>
      </w:r>
      <w:r>
        <w:rPr>
          <w:color w:val="231F20"/>
          <w:spacing w:val="-12"/>
        </w:rPr>
        <w:t xml:space="preserve"> </w:t>
      </w:r>
      <w:r>
        <w:rPr>
          <w:color w:val="231F20"/>
        </w:rPr>
        <w:t>upraveno</w:t>
      </w:r>
      <w:r>
        <w:rPr>
          <w:color w:val="231F20"/>
          <w:spacing w:val="-13"/>
        </w:rPr>
        <w:t xml:space="preserve"> </w:t>
      </w:r>
      <w:r>
        <w:rPr>
          <w:color w:val="231F20"/>
        </w:rPr>
        <w:t>odliš- ně.</w:t>
      </w:r>
      <w:r>
        <w:rPr>
          <w:color w:val="231F20"/>
          <w:spacing w:val="-15"/>
        </w:rPr>
        <w:t xml:space="preserve"> </w:t>
      </w:r>
      <w:r>
        <w:rPr>
          <w:color w:val="231F20"/>
        </w:rPr>
        <w:t>Na</w:t>
      </w:r>
      <w:r>
        <w:rPr>
          <w:color w:val="231F20"/>
          <w:spacing w:val="-14"/>
        </w:rPr>
        <w:t xml:space="preserve"> </w:t>
      </w:r>
      <w:r>
        <w:rPr>
          <w:color w:val="231F20"/>
        </w:rPr>
        <w:t>přepravované</w:t>
      </w:r>
      <w:r>
        <w:rPr>
          <w:color w:val="231F20"/>
          <w:spacing w:val="-14"/>
        </w:rPr>
        <w:t xml:space="preserve"> </w:t>
      </w:r>
      <w:r>
        <w:rPr>
          <w:color w:val="231F20"/>
        </w:rPr>
        <w:t>věci</w:t>
      </w:r>
      <w:r>
        <w:rPr>
          <w:color w:val="231F20"/>
          <w:spacing w:val="-14"/>
        </w:rPr>
        <w:t xml:space="preserve"> </w:t>
      </w:r>
      <w:r>
        <w:rPr>
          <w:color w:val="231F20"/>
        </w:rPr>
        <w:t>se</w:t>
      </w:r>
      <w:r>
        <w:rPr>
          <w:color w:val="231F20"/>
          <w:spacing w:val="-14"/>
        </w:rPr>
        <w:t xml:space="preserve"> </w:t>
      </w:r>
      <w:r>
        <w:rPr>
          <w:color w:val="231F20"/>
        </w:rPr>
        <w:t>pojištění</w:t>
      </w:r>
      <w:r>
        <w:rPr>
          <w:color w:val="231F20"/>
          <w:spacing w:val="-14"/>
        </w:rPr>
        <w:t xml:space="preserve"> </w:t>
      </w:r>
      <w:r>
        <w:rPr>
          <w:color w:val="231F20"/>
        </w:rPr>
        <w:t>vztahuje</w:t>
      </w:r>
      <w:r>
        <w:rPr>
          <w:color w:val="231F20"/>
          <w:spacing w:val="-13"/>
        </w:rPr>
        <w:t xml:space="preserve"> </w:t>
      </w:r>
      <w:r>
        <w:rPr>
          <w:color w:val="231F20"/>
        </w:rPr>
        <w:t>jen</w:t>
      </w:r>
      <w:r>
        <w:rPr>
          <w:color w:val="231F20"/>
          <w:spacing w:val="-14"/>
        </w:rPr>
        <w:t xml:space="preserve"> </w:t>
      </w:r>
      <w:r>
        <w:rPr>
          <w:color w:val="231F20"/>
          <w:spacing w:val="-3"/>
        </w:rPr>
        <w:t>tehdy,</w:t>
      </w:r>
      <w:r>
        <w:rPr>
          <w:color w:val="231F20"/>
          <w:spacing w:val="-14"/>
        </w:rPr>
        <w:t xml:space="preserve"> </w:t>
      </w:r>
      <w:r>
        <w:rPr>
          <w:color w:val="231F20"/>
        </w:rPr>
        <w:t>bylo-li</w:t>
      </w:r>
      <w:r>
        <w:rPr>
          <w:color w:val="231F20"/>
          <w:spacing w:val="-13"/>
        </w:rPr>
        <w:t xml:space="preserve"> </w:t>
      </w:r>
      <w:r>
        <w:rPr>
          <w:color w:val="231F20"/>
        </w:rPr>
        <w:t>tak</w:t>
      </w:r>
      <w:r>
        <w:rPr>
          <w:color w:val="231F20"/>
          <w:spacing w:val="-14"/>
        </w:rPr>
        <w:t xml:space="preserve"> </w:t>
      </w:r>
      <w:r>
        <w:rPr>
          <w:color w:val="231F20"/>
        </w:rPr>
        <w:t>ujednáno v pojistné</w:t>
      </w:r>
      <w:r>
        <w:rPr>
          <w:color w:val="231F20"/>
          <w:spacing w:val="1"/>
        </w:rPr>
        <w:t xml:space="preserve"> </w:t>
      </w:r>
      <w:r>
        <w:rPr>
          <w:color w:val="231F20"/>
        </w:rPr>
        <w:t>smlouvě.</w:t>
      </w:r>
    </w:p>
    <w:p w14:paraId="77D14640"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14"/>
          <w:position w:val="1"/>
          <w:sz w:val="14"/>
        </w:rPr>
        <w:t xml:space="preserve"> </w:t>
      </w:r>
      <w:r>
        <w:rPr>
          <w:color w:val="231F20"/>
        </w:rPr>
        <w:t>Pojištění</w:t>
      </w:r>
      <w:r>
        <w:rPr>
          <w:color w:val="231F20"/>
          <w:spacing w:val="-20"/>
        </w:rPr>
        <w:t xml:space="preserve"> </w:t>
      </w:r>
      <w:r>
        <w:rPr>
          <w:color w:val="231F20"/>
        </w:rPr>
        <w:t>se</w:t>
      </w:r>
      <w:r>
        <w:rPr>
          <w:color w:val="231F20"/>
          <w:spacing w:val="-20"/>
        </w:rPr>
        <w:t xml:space="preserve"> </w:t>
      </w:r>
      <w:r>
        <w:rPr>
          <w:color w:val="231F20"/>
        </w:rPr>
        <w:t>nevztahuje</w:t>
      </w:r>
      <w:r>
        <w:rPr>
          <w:color w:val="231F20"/>
          <w:spacing w:val="-20"/>
        </w:rPr>
        <w:t xml:space="preserve"> </w:t>
      </w:r>
      <w:r>
        <w:rPr>
          <w:color w:val="231F20"/>
        </w:rPr>
        <w:t>na</w:t>
      </w:r>
      <w:r>
        <w:rPr>
          <w:color w:val="231F20"/>
          <w:spacing w:val="-19"/>
        </w:rPr>
        <w:t xml:space="preserve"> </w:t>
      </w:r>
      <w:r>
        <w:rPr>
          <w:color w:val="231F20"/>
        </w:rPr>
        <w:t>vozidlo</w:t>
      </w:r>
      <w:r>
        <w:rPr>
          <w:color w:val="231F20"/>
          <w:spacing w:val="-20"/>
        </w:rPr>
        <w:t xml:space="preserve"> </w:t>
      </w:r>
      <w:r>
        <w:rPr>
          <w:color w:val="231F20"/>
        </w:rPr>
        <w:t>uvedené</w:t>
      </w:r>
      <w:r>
        <w:rPr>
          <w:color w:val="231F20"/>
          <w:spacing w:val="-20"/>
        </w:rPr>
        <w:t xml:space="preserve"> </w:t>
      </w:r>
      <w:r>
        <w:rPr>
          <w:color w:val="231F20"/>
        </w:rPr>
        <w:t>v</w:t>
      </w:r>
      <w:r>
        <w:rPr>
          <w:color w:val="231F20"/>
          <w:spacing w:val="-20"/>
        </w:rPr>
        <w:t xml:space="preserve"> </w:t>
      </w:r>
      <w:r>
        <w:rPr>
          <w:color w:val="231F20"/>
        </w:rPr>
        <w:t>seznamu</w:t>
      </w:r>
      <w:r>
        <w:rPr>
          <w:color w:val="231F20"/>
          <w:spacing w:val="-20"/>
        </w:rPr>
        <w:t xml:space="preserve"> </w:t>
      </w:r>
      <w:r>
        <w:rPr>
          <w:color w:val="231F20"/>
        </w:rPr>
        <w:t>vozidel,</w:t>
      </w:r>
      <w:r>
        <w:rPr>
          <w:color w:val="231F20"/>
          <w:spacing w:val="-20"/>
        </w:rPr>
        <w:t xml:space="preserve"> </w:t>
      </w:r>
      <w:r>
        <w:rPr>
          <w:color w:val="231F20"/>
        </w:rPr>
        <w:t>u</w:t>
      </w:r>
      <w:r>
        <w:rPr>
          <w:color w:val="231F20"/>
          <w:spacing w:val="-20"/>
        </w:rPr>
        <w:t xml:space="preserve"> </w:t>
      </w:r>
      <w:r>
        <w:rPr>
          <w:color w:val="231F20"/>
        </w:rPr>
        <w:t>kterého</w:t>
      </w:r>
      <w:r>
        <w:rPr>
          <w:color w:val="231F20"/>
          <w:spacing w:val="-20"/>
        </w:rPr>
        <w:t xml:space="preserve"> </w:t>
      </w:r>
      <w:r>
        <w:rPr>
          <w:color w:val="231F20"/>
        </w:rPr>
        <w:t>bude kdykoliv po sjednání pojištění zjištěno, že je nebo bylo opatřeno jiným než identifikačním údajem vozidla. V takovém případě má Pojišťovna právo od pojistné smlouvy odstoupit. Odstoupením od pojistné smlouvy se pojistná smlouva od počátku</w:t>
      </w:r>
      <w:r>
        <w:rPr>
          <w:color w:val="231F20"/>
          <w:spacing w:val="1"/>
        </w:rPr>
        <w:t xml:space="preserve"> </w:t>
      </w:r>
      <w:r>
        <w:rPr>
          <w:color w:val="231F20"/>
        </w:rPr>
        <w:t>ruší.</w:t>
      </w:r>
    </w:p>
    <w:p w14:paraId="3280ECF4" w14:textId="77777777" w:rsidR="00F65BCA" w:rsidRDefault="00216117">
      <w:pPr>
        <w:pStyle w:val="Zkladntext"/>
        <w:spacing w:line="278" w:lineRule="auto"/>
        <w:ind w:left="467" w:right="422"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position w:val="1"/>
          <w:sz w:val="14"/>
        </w:rPr>
        <w:t xml:space="preserve"> </w:t>
      </w:r>
      <w:r>
        <w:rPr>
          <w:color w:val="231F20"/>
        </w:rPr>
        <w:t xml:space="preserve">Pojištění se </w:t>
      </w:r>
      <w:r>
        <w:rPr>
          <w:color w:val="231F20"/>
          <w:spacing w:val="2"/>
        </w:rPr>
        <w:t xml:space="preserve">nevztahuje </w:t>
      </w:r>
      <w:r>
        <w:rPr>
          <w:color w:val="231F20"/>
        </w:rPr>
        <w:t>na vozidlo uvedené v seznamu vozidel, u kterého bude</w:t>
      </w:r>
      <w:r>
        <w:rPr>
          <w:color w:val="231F20"/>
          <w:spacing w:val="-14"/>
        </w:rPr>
        <w:t xml:space="preserve"> </w:t>
      </w:r>
      <w:r>
        <w:rPr>
          <w:color w:val="231F20"/>
        </w:rPr>
        <w:t>kdykoliv</w:t>
      </w:r>
      <w:r>
        <w:rPr>
          <w:color w:val="231F20"/>
          <w:spacing w:val="-14"/>
        </w:rPr>
        <w:t xml:space="preserve"> </w:t>
      </w:r>
      <w:r>
        <w:rPr>
          <w:color w:val="231F20"/>
        </w:rPr>
        <w:t>po</w:t>
      </w:r>
      <w:r>
        <w:rPr>
          <w:color w:val="231F20"/>
          <w:spacing w:val="-13"/>
        </w:rPr>
        <w:t xml:space="preserve"> </w:t>
      </w:r>
      <w:r>
        <w:rPr>
          <w:color w:val="231F20"/>
        </w:rPr>
        <w:t>sjednání</w:t>
      </w:r>
      <w:r>
        <w:rPr>
          <w:color w:val="231F20"/>
          <w:spacing w:val="-14"/>
        </w:rPr>
        <w:t xml:space="preserve"> </w:t>
      </w:r>
      <w:r>
        <w:rPr>
          <w:color w:val="231F20"/>
        </w:rPr>
        <w:t>pojištění</w:t>
      </w:r>
      <w:r>
        <w:rPr>
          <w:color w:val="231F20"/>
          <w:spacing w:val="-14"/>
        </w:rPr>
        <w:t xml:space="preserve"> </w:t>
      </w:r>
      <w:r>
        <w:rPr>
          <w:color w:val="231F20"/>
        </w:rPr>
        <w:t>zjištěno,</w:t>
      </w:r>
      <w:r>
        <w:rPr>
          <w:color w:val="231F20"/>
          <w:spacing w:val="-13"/>
        </w:rPr>
        <w:t xml:space="preserve"> </w:t>
      </w:r>
      <w:r>
        <w:rPr>
          <w:color w:val="231F20"/>
        </w:rPr>
        <w:t>že</w:t>
      </w:r>
      <w:r>
        <w:rPr>
          <w:color w:val="231F20"/>
          <w:spacing w:val="-14"/>
        </w:rPr>
        <w:t xml:space="preserve"> </w:t>
      </w:r>
      <w:r>
        <w:rPr>
          <w:color w:val="231F20"/>
        </w:rPr>
        <w:t>bylo</w:t>
      </w:r>
      <w:r>
        <w:rPr>
          <w:color w:val="231F20"/>
          <w:spacing w:val="-13"/>
        </w:rPr>
        <w:t xml:space="preserve"> </w:t>
      </w:r>
      <w:r>
        <w:rPr>
          <w:color w:val="231F20"/>
        </w:rPr>
        <w:t>před</w:t>
      </w:r>
      <w:r>
        <w:rPr>
          <w:color w:val="231F20"/>
          <w:spacing w:val="-14"/>
        </w:rPr>
        <w:t xml:space="preserve"> </w:t>
      </w:r>
      <w:r>
        <w:rPr>
          <w:color w:val="231F20"/>
        </w:rPr>
        <w:t>sjednáním</w:t>
      </w:r>
      <w:r>
        <w:rPr>
          <w:color w:val="231F20"/>
          <w:spacing w:val="-14"/>
        </w:rPr>
        <w:t xml:space="preserve"> </w:t>
      </w:r>
      <w:r>
        <w:rPr>
          <w:color w:val="231F20"/>
        </w:rPr>
        <w:t xml:space="preserve">pojištění poškozeno takovým způsobem, že si oprava vozidla </w:t>
      </w:r>
      <w:r>
        <w:rPr>
          <w:color w:val="231F20"/>
          <w:spacing w:val="2"/>
        </w:rPr>
        <w:t xml:space="preserve">vyžádala </w:t>
      </w:r>
      <w:r>
        <w:rPr>
          <w:color w:val="231F20"/>
        </w:rPr>
        <w:t>změnu nebo úpravu</w:t>
      </w:r>
      <w:r>
        <w:rPr>
          <w:color w:val="231F20"/>
          <w:spacing w:val="-4"/>
        </w:rPr>
        <w:t xml:space="preserve"> </w:t>
      </w:r>
      <w:r>
        <w:rPr>
          <w:color w:val="231F20"/>
        </w:rPr>
        <w:t>podstatných</w:t>
      </w:r>
      <w:r>
        <w:rPr>
          <w:color w:val="231F20"/>
          <w:spacing w:val="-4"/>
        </w:rPr>
        <w:t xml:space="preserve"> </w:t>
      </w:r>
      <w:r>
        <w:rPr>
          <w:color w:val="231F20"/>
        </w:rPr>
        <w:t>částí</w:t>
      </w:r>
      <w:r>
        <w:rPr>
          <w:color w:val="231F20"/>
          <w:spacing w:val="-3"/>
        </w:rPr>
        <w:t xml:space="preserve"> </w:t>
      </w:r>
      <w:r>
        <w:rPr>
          <w:color w:val="231F20"/>
        </w:rPr>
        <w:t>mechanismu</w:t>
      </w:r>
      <w:r>
        <w:rPr>
          <w:color w:val="231F20"/>
          <w:spacing w:val="-4"/>
        </w:rPr>
        <w:t xml:space="preserve"> </w:t>
      </w:r>
      <w:r>
        <w:rPr>
          <w:color w:val="231F20"/>
        </w:rPr>
        <w:t>nebo</w:t>
      </w:r>
      <w:r>
        <w:rPr>
          <w:color w:val="231F20"/>
          <w:spacing w:val="-4"/>
        </w:rPr>
        <w:t xml:space="preserve"> </w:t>
      </w:r>
      <w:r>
        <w:rPr>
          <w:color w:val="231F20"/>
        </w:rPr>
        <w:t>konstrukce</w:t>
      </w:r>
      <w:r>
        <w:rPr>
          <w:color w:val="231F20"/>
          <w:spacing w:val="-3"/>
        </w:rPr>
        <w:t xml:space="preserve"> </w:t>
      </w:r>
      <w:r>
        <w:rPr>
          <w:color w:val="231F20"/>
        </w:rPr>
        <w:t>vozidla</w:t>
      </w:r>
      <w:r>
        <w:rPr>
          <w:color w:val="231F20"/>
          <w:spacing w:val="-4"/>
        </w:rPr>
        <w:t xml:space="preserve"> </w:t>
      </w:r>
      <w:r>
        <w:rPr>
          <w:color w:val="231F20"/>
        </w:rPr>
        <w:t>a</w:t>
      </w:r>
      <w:r>
        <w:rPr>
          <w:color w:val="231F20"/>
          <w:spacing w:val="-4"/>
        </w:rPr>
        <w:t xml:space="preserve"> </w:t>
      </w:r>
      <w:r>
        <w:rPr>
          <w:color w:val="231F20"/>
        </w:rPr>
        <w:t>tato</w:t>
      </w:r>
      <w:r>
        <w:rPr>
          <w:color w:val="231F20"/>
          <w:spacing w:val="-3"/>
        </w:rPr>
        <w:t xml:space="preserve"> </w:t>
      </w:r>
      <w:r>
        <w:rPr>
          <w:color w:val="231F20"/>
        </w:rPr>
        <w:t>změ- na</w:t>
      </w:r>
      <w:r>
        <w:rPr>
          <w:color w:val="231F20"/>
          <w:spacing w:val="-7"/>
        </w:rPr>
        <w:t xml:space="preserve"> </w:t>
      </w:r>
      <w:r>
        <w:rPr>
          <w:color w:val="231F20"/>
        </w:rPr>
        <w:t>nebo</w:t>
      </w:r>
      <w:r>
        <w:rPr>
          <w:color w:val="231F20"/>
          <w:spacing w:val="-6"/>
        </w:rPr>
        <w:t xml:space="preserve"> </w:t>
      </w:r>
      <w:r>
        <w:rPr>
          <w:color w:val="231F20"/>
        </w:rPr>
        <w:t>úprava</w:t>
      </w:r>
      <w:r>
        <w:rPr>
          <w:color w:val="231F20"/>
          <w:spacing w:val="-6"/>
        </w:rPr>
        <w:t xml:space="preserve"> </w:t>
      </w:r>
      <w:r>
        <w:rPr>
          <w:color w:val="231F20"/>
        </w:rPr>
        <w:t>není</w:t>
      </w:r>
      <w:r>
        <w:rPr>
          <w:color w:val="231F20"/>
          <w:spacing w:val="-7"/>
        </w:rPr>
        <w:t xml:space="preserve"> </w:t>
      </w:r>
      <w:r>
        <w:rPr>
          <w:color w:val="231F20"/>
        </w:rPr>
        <w:t>součástí</w:t>
      </w:r>
      <w:r>
        <w:rPr>
          <w:color w:val="231F20"/>
          <w:spacing w:val="-6"/>
        </w:rPr>
        <w:t xml:space="preserve"> </w:t>
      </w:r>
      <w:r>
        <w:rPr>
          <w:color w:val="231F20"/>
        </w:rPr>
        <w:t>údajů</w:t>
      </w:r>
      <w:r>
        <w:rPr>
          <w:color w:val="231F20"/>
          <w:spacing w:val="-6"/>
        </w:rPr>
        <w:t xml:space="preserve"> </w:t>
      </w:r>
      <w:r>
        <w:rPr>
          <w:color w:val="231F20"/>
        </w:rPr>
        <w:t>zapsaných</w:t>
      </w:r>
      <w:r>
        <w:rPr>
          <w:color w:val="231F20"/>
          <w:spacing w:val="-7"/>
        </w:rPr>
        <w:t xml:space="preserve"> </w:t>
      </w:r>
      <w:r>
        <w:rPr>
          <w:color w:val="231F20"/>
        </w:rPr>
        <w:t>v</w:t>
      </w:r>
      <w:r>
        <w:rPr>
          <w:color w:val="231F20"/>
          <w:spacing w:val="-6"/>
        </w:rPr>
        <w:t xml:space="preserve"> </w:t>
      </w:r>
      <w:r>
        <w:rPr>
          <w:color w:val="231F20"/>
        </w:rPr>
        <w:t>technickém</w:t>
      </w:r>
      <w:r>
        <w:rPr>
          <w:color w:val="231F20"/>
          <w:spacing w:val="-6"/>
        </w:rPr>
        <w:t xml:space="preserve"> </w:t>
      </w:r>
      <w:r>
        <w:rPr>
          <w:color w:val="231F20"/>
          <w:spacing w:val="2"/>
        </w:rPr>
        <w:t>průkazu</w:t>
      </w:r>
      <w:r>
        <w:rPr>
          <w:color w:val="231F20"/>
          <w:spacing w:val="-6"/>
        </w:rPr>
        <w:t xml:space="preserve"> </w:t>
      </w:r>
      <w:r>
        <w:rPr>
          <w:color w:val="231F20"/>
          <w:spacing w:val="2"/>
        </w:rPr>
        <w:t xml:space="preserve">nebo </w:t>
      </w:r>
      <w:r>
        <w:rPr>
          <w:color w:val="231F20"/>
        </w:rPr>
        <w:t xml:space="preserve">osvědčení o registraci vozidla. V takovém případě má Pojišťovna právo od pojistné </w:t>
      </w:r>
      <w:r>
        <w:rPr>
          <w:color w:val="231F20"/>
          <w:spacing w:val="2"/>
        </w:rPr>
        <w:t xml:space="preserve">smlouvy </w:t>
      </w:r>
      <w:r>
        <w:rPr>
          <w:color w:val="231F20"/>
        </w:rPr>
        <w:t xml:space="preserve">odstoupit. Odstoupením od pojistné </w:t>
      </w:r>
      <w:r>
        <w:rPr>
          <w:color w:val="231F20"/>
          <w:spacing w:val="2"/>
        </w:rPr>
        <w:t xml:space="preserve">smlouvy </w:t>
      </w:r>
      <w:r>
        <w:rPr>
          <w:color w:val="231F20"/>
        </w:rPr>
        <w:t>se pojistná smlouva od počátku</w:t>
      </w:r>
      <w:r>
        <w:rPr>
          <w:color w:val="231F20"/>
          <w:spacing w:val="-1"/>
        </w:rPr>
        <w:t xml:space="preserve"> </w:t>
      </w:r>
      <w:r>
        <w:rPr>
          <w:color w:val="231F20"/>
        </w:rPr>
        <w:t>ruší.</w:t>
      </w:r>
    </w:p>
    <w:p w14:paraId="170F0F1B" w14:textId="77777777" w:rsidR="00F65BCA" w:rsidRDefault="00F65BCA">
      <w:pPr>
        <w:pStyle w:val="Zkladntext"/>
        <w:spacing w:before="6"/>
        <w:rPr>
          <w:sz w:val="20"/>
        </w:rPr>
      </w:pPr>
    </w:p>
    <w:p w14:paraId="37C336B5" w14:textId="77777777" w:rsidR="00F65BCA" w:rsidRDefault="00216117">
      <w:pPr>
        <w:spacing w:before="1"/>
        <w:ind w:left="185"/>
        <w:rPr>
          <w:sz w:val="15"/>
        </w:rPr>
      </w:pPr>
      <w:r>
        <w:rPr>
          <w:color w:val="FFFFFF"/>
          <w:sz w:val="16"/>
          <w:shd w:val="clear" w:color="auto" w:fill="808285"/>
        </w:rPr>
        <w:t xml:space="preserve">  Článek 26</w:t>
      </w:r>
      <w:r>
        <w:rPr>
          <w:color w:val="FFFFFF"/>
          <w:sz w:val="16"/>
        </w:rPr>
        <w:t xml:space="preserve"> </w:t>
      </w:r>
      <w:r>
        <w:rPr>
          <w:color w:val="231F20"/>
          <w:position w:val="-2"/>
          <w:sz w:val="15"/>
        </w:rPr>
        <w:t>Výluky</w:t>
      </w:r>
    </w:p>
    <w:p w14:paraId="5716848F" w14:textId="77777777" w:rsidR="00F65BCA" w:rsidRDefault="00216117">
      <w:pPr>
        <w:pStyle w:val="Zkladntext"/>
        <w:spacing w:before="146"/>
        <w:ind w:left="185"/>
        <w:jc w:val="both"/>
      </w:pPr>
      <w:r>
        <w:rPr>
          <w:color w:val="231F20"/>
          <w:position w:val="1"/>
          <w:sz w:val="14"/>
          <w:shd w:val="clear" w:color="auto" w:fill="D1D3D4"/>
        </w:rPr>
        <w:t xml:space="preserve">  1</w:t>
      </w:r>
      <w:r>
        <w:rPr>
          <w:color w:val="231F20"/>
          <w:position w:val="1"/>
          <w:sz w:val="14"/>
        </w:rPr>
        <w:t xml:space="preserve"> </w:t>
      </w:r>
      <w:r>
        <w:rPr>
          <w:color w:val="231F20"/>
        </w:rPr>
        <w:t>Pojišťovna neposkytne pojistné plnění v případě:</w:t>
      </w:r>
    </w:p>
    <w:p w14:paraId="15E854BE" w14:textId="77777777" w:rsidR="00F65BCA" w:rsidRDefault="00216117">
      <w:pPr>
        <w:pStyle w:val="Odstavecseseznamem"/>
        <w:numPr>
          <w:ilvl w:val="0"/>
          <w:numId w:val="108"/>
        </w:numPr>
        <w:tabs>
          <w:tab w:val="left" w:pos="638"/>
        </w:tabs>
        <w:spacing w:before="28"/>
        <w:jc w:val="both"/>
        <w:rPr>
          <w:sz w:val="15"/>
        </w:rPr>
      </w:pPr>
      <w:r>
        <w:rPr>
          <w:color w:val="231F20"/>
          <w:sz w:val="15"/>
        </w:rPr>
        <w:t>jaderné reakce, jaderného záření či radioaktivní</w:t>
      </w:r>
      <w:r>
        <w:rPr>
          <w:color w:val="231F20"/>
          <w:spacing w:val="-28"/>
          <w:sz w:val="15"/>
        </w:rPr>
        <w:t xml:space="preserve"> </w:t>
      </w:r>
      <w:r>
        <w:rPr>
          <w:color w:val="231F20"/>
          <w:sz w:val="15"/>
        </w:rPr>
        <w:t>kontaminace;</w:t>
      </w:r>
    </w:p>
    <w:p w14:paraId="0D07BAFE" w14:textId="77777777" w:rsidR="00F65BCA" w:rsidRDefault="00216117">
      <w:pPr>
        <w:pStyle w:val="Odstavecseseznamem"/>
        <w:numPr>
          <w:ilvl w:val="0"/>
          <w:numId w:val="108"/>
        </w:numPr>
        <w:tabs>
          <w:tab w:val="left" w:pos="638"/>
        </w:tabs>
        <w:spacing w:before="27" w:line="278" w:lineRule="auto"/>
        <w:ind w:right="424"/>
        <w:jc w:val="both"/>
        <w:rPr>
          <w:sz w:val="15"/>
        </w:rPr>
      </w:pPr>
      <w:r>
        <w:rPr>
          <w:color w:val="231F20"/>
          <w:sz w:val="15"/>
        </w:rPr>
        <w:t>válečných událostí, vzpoury, povstání nebo jiných hromadných</w:t>
      </w:r>
      <w:r>
        <w:rPr>
          <w:color w:val="231F20"/>
          <w:spacing w:val="-11"/>
          <w:sz w:val="15"/>
        </w:rPr>
        <w:t xml:space="preserve"> </w:t>
      </w:r>
      <w:r>
        <w:rPr>
          <w:color w:val="231F20"/>
          <w:sz w:val="15"/>
        </w:rPr>
        <w:t>násilných nepokojů,</w:t>
      </w:r>
      <w:r>
        <w:rPr>
          <w:color w:val="231F20"/>
          <w:spacing w:val="-18"/>
          <w:sz w:val="15"/>
        </w:rPr>
        <w:t xml:space="preserve"> </w:t>
      </w:r>
      <w:r>
        <w:rPr>
          <w:color w:val="231F20"/>
          <w:sz w:val="15"/>
        </w:rPr>
        <w:t>stávky,</w:t>
      </w:r>
      <w:r>
        <w:rPr>
          <w:color w:val="231F20"/>
          <w:spacing w:val="-18"/>
          <w:sz w:val="15"/>
        </w:rPr>
        <w:t xml:space="preserve"> </w:t>
      </w:r>
      <w:r>
        <w:rPr>
          <w:color w:val="231F20"/>
          <w:sz w:val="15"/>
        </w:rPr>
        <w:t>výluky,</w:t>
      </w:r>
      <w:r>
        <w:rPr>
          <w:color w:val="231F20"/>
          <w:spacing w:val="-17"/>
          <w:sz w:val="15"/>
        </w:rPr>
        <w:t xml:space="preserve"> </w:t>
      </w:r>
      <w:r>
        <w:rPr>
          <w:color w:val="231F20"/>
          <w:sz w:val="15"/>
        </w:rPr>
        <w:t>teroristického</w:t>
      </w:r>
      <w:r>
        <w:rPr>
          <w:color w:val="231F20"/>
          <w:spacing w:val="-18"/>
          <w:sz w:val="15"/>
        </w:rPr>
        <w:t xml:space="preserve"> </w:t>
      </w:r>
      <w:r>
        <w:rPr>
          <w:color w:val="231F20"/>
          <w:sz w:val="15"/>
        </w:rPr>
        <w:t>aktu</w:t>
      </w:r>
      <w:r>
        <w:rPr>
          <w:color w:val="231F20"/>
          <w:spacing w:val="-18"/>
          <w:sz w:val="15"/>
        </w:rPr>
        <w:t xml:space="preserve"> </w:t>
      </w:r>
      <w:r>
        <w:rPr>
          <w:color w:val="231F20"/>
          <w:sz w:val="15"/>
        </w:rPr>
        <w:t>provedeného</w:t>
      </w:r>
      <w:r>
        <w:rPr>
          <w:color w:val="231F20"/>
          <w:spacing w:val="-17"/>
          <w:sz w:val="15"/>
        </w:rPr>
        <w:t xml:space="preserve"> </w:t>
      </w:r>
      <w:r>
        <w:rPr>
          <w:color w:val="231F20"/>
          <w:sz w:val="15"/>
        </w:rPr>
        <w:t>pojištěným</w:t>
      </w:r>
      <w:r>
        <w:rPr>
          <w:color w:val="231F20"/>
          <w:spacing w:val="-18"/>
          <w:sz w:val="15"/>
        </w:rPr>
        <w:t xml:space="preserve"> </w:t>
      </w:r>
      <w:r>
        <w:rPr>
          <w:color w:val="231F20"/>
          <w:spacing w:val="-3"/>
          <w:sz w:val="15"/>
        </w:rPr>
        <w:t xml:space="preserve">vozi- </w:t>
      </w:r>
      <w:r>
        <w:rPr>
          <w:color w:val="231F20"/>
          <w:sz w:val="15"/>
        </w:rPr>
        <w:t>dlem</w:t>
      </w:r>
      <w:r>
        <w:rPr>
          <w:color w:val="231F20"/>
          <w:spacing w:val="-16"/>
          <w:sz w:val="15"/>
        </w:rPr>
        <w:t xml:space="preserve"> </w:t>
      </w:r>
      <w:r>
        <w:rPr>
          <w:color w:val="231F20"/>
          <w:sz w:val="15"/>
        </w:rPr>
        <w:t>(tj.</w:t>
      </w:r>
      <w:r>
        <w:rPr>
          <w:color w:val="231F20"/>
          <w:spacing w:val="-15"/>
          <w:sz w:val="15"/>
        </w:rPr>
        <w:t xml:space="preserve"> </w:t>
      </w:r>
      <w:r>
        <w:rPr>
          <w:color w:val="231F20"/>
          <w:sz w:val="15"/>
        </w:rPr>
        <w:t>jednáním</w:t>
      </w:r>
      <w:r>
        <w:rPr>
          <w:color w:val="231F20"/>
          <w:spacing w:val="-15"/>
          <w:sz w:val="15"/>
        </w:rPr>
        <w:t xml:space="preserve"> </w:t>
      </w:r>
      <w:r>
        <w:rPr>
          <w:color w:val="231F20"/>
          <w:sz w:val="15"/>
        </w:rPr>
        <w:t>motivovaným</w:t>
      </w:r>
      <w:r>
        <w:rPr>
          <w:color w:val="231F20"/>
          <w:spacing w:val="-15"/>
          <w:sz w:val="15"/>
        </w:rPr>
        <w:t xml:space="preserve"> </w:t>
      </w:r>
      <w:r>
        <w:rPr>
          <w:color w:val="231F20"/>
          <w:sz w:val="15"/>
        </w:rPr>
        <w:t>politicky,</w:t>
      </w:r>
      <w:r>
        <w:rPr>
          <w:color w:val="231F20"/>
          <w:spacing w:val="-15"/>
          <w:sz w:val="15"/>
        </w:rPr>
        <w:t xml:space="preserve"> </w:t>
      </w:r>
      <w:r>
        <w:rPr>
          <w:color w:val="231F20"/>
          <w:sz w:val="15"/>
        </w:rPr>
        <w:t>sociálně,</w:t>
      </w:r>
      <w:r>
        <w:rPr>
          <w:color w:val="231F20"/>
          <w:spacing w:val="-15"/>
          <w:sz w:val="15"/>
        </w:rPr>
        <w:t xml:space="preserve"> </w:t>
      </w:r>
      <w:r>
        <w:rPr>
          <w:color w:val="231F20"/>
          <w:sz w:val="15"/>
        </w:rPr>
        <w:t>ideologicky</w:t>
      </w:r>
      <w:r>
        <w:rPr>
          <w:color w:val="231F20"/>
          <w:spacing w:val="-15"/>
          <w:sz w:val="15"/>
        </w:rPr>
        <w:t xml:space="preserve"> </w:t>
      </w:r>
      <w:r>
        <w:rPr>
          <w:color w:val="231F20"/>
          <w:sz w:val="15"/>
        </w:rPr>
        <w:t>nebo</w:t>
      </w:r>
      <w:r>
        <w:rPr>
          <w:color w:val="231F20"/>
          <w:spacing w:val="-15"/>
          <w:sz w:val="15"/>
        </w:rPr>
        <w:t xml:space="preserve"> </w:t>
      </w:r>
      <w:r>
        <w:rPr>
          <w:color w:val="231F20"/>
          <w:spacing w:val="-4"/>
          <w:sz w:val="15"/>
        </w:rPr>
        <w:t xml:space="preserve">nábo- </w:t>
      </w:r>
      <w:r>
        <w:rPr>
          <w:color w:val="231F20"/>
          <w:sz w:val="15"/>
        </w:rPr>
        <w:t>žensky) nebo zásahem státní nebo úřední</w:t>
      </w:r>
      <w:r>
        <w:rPr>
          <w:color w:val="231F20"/>
          <w:spacing w:val="-16"/>
          <w:sz w:val="15"/>
        </w:rPr>
        <w:t xml:space="preserve"> </w:t>
      </w:r>
      <w:r>
        <w:rPr>
          <w:color w:val="231F20"/>
          <w:sz w:val="15"/>
        </w:rPr>
        <w:t>moci;</w:t>
      </w:r>
    </w:p>
    <w:p w14:paraId="7C9D5E10" w14:textId="77777777" w:rsidR="00F65BCA" w:rsidRDefault="00216117">
      <w:pPr>
        <w:pStyle w:val="Odstavecseseznamem"/>
        <w:numPr>
          <w:ilvl w:val="0"/>
          <w:numId w:val="108"/>
        </w:numPr>
        <w:tabs>
          <w:tab w:val="left" w:pos="638"/>
        </w:tabs>
        <w:spacing w:line="172" w:lineRule="exact"/>
        <w:jc w:val="both"/>
        <w:rPr>
          <w:sz w:val="15"/>
        </w:rPr>
      </w:pPr>
      <w:r>
        <w:rPr>
          <w:color w:val="231F20"/>
          <w:sz w:val="15"/>
        </w:rPr>
        <w:t>provádění</w:t>
      </w:r>
      <w:r>
        <w:rPr>
          <w:color w:val="231F20"/>
          <w:spacing w:val="-7"/>
          <w:sz w:val="15"/>
        </w:rPr>
        <w:t xml:space="preserve"> </w:t>
      </w:r>
      <w:r>
        <w:rPr>
          <w:color w:val="231F20"/>
          <w:sz w:val="15"/>
        </w:rPr>
        <w:t>opravy</w:t>
      </w:r>
      <w:r>
        <w:rPr>
          <w:color w:val="231F20"/>
          <w:spacing w:val="-7"/>
          <w:sz w:val="15"/>
        </w:rPr>
        <w:t xml:space="preserve"> </w:t>
      </w:r>
      <w:r>
        <w:rPr>
          <w:color w:val="231F20"/>
          <w:sz w:val="15"/>
        </w:rPr>
        <w:t>nebo</w:t>
      </w:r>
      <w:r>
        <w:rPr>
          <w:color w:val="231F20"/>
          <w:spacing w:val="-6"/>
          <w:sz w:val="15"/>
        </w:rPr>
        <w:t xml:space="preserve"> </w:t>
      </w:r>
      <w:r>
        <w:rPr>
          <w:color w:val="231F20"/>
          <w:sz w:val="15"/>
        </w:rPr>
        <w:t>údržby</w:t>
      </w:r>
      <w:r>
        <w:rPr>
          <w:color w:val="231F20"/>
          <w:spacing w:val="-7"/>
          <w:sz w:val="15"/>
        </w:rPr>
        <w:t xml:space="preserve"> </w:t>
      </w:r>
      <w:r>
        <w:rPr>
          <w:color w:val="231F20"/>
          <w:sz w:val="15"/>
        </w:rPr>
        <w:t>nebo</w:t>
      </w:r>
      <w:r>
        <w:rPr>
          <w:color w:val="231F20"/>
          <w:spacing w:val="-7"/>
          <w:sz w:val="15"/>
        </w:rPr>
        <w:t xml:space="preserve"> </w:t>
      </w:r>
      <w:r>
        <w:rPr>
          <w:color w:val="231F20"/>
          <w:sz w:val="15"/>
        </w:rPr>
        <w:t>v</w:t>
      </w:r>
      <w:r>
        <w:rPr>
          <w:color w:val="231F20"/>
          <w:spacing w:val="-6"/>
          <w:sz w:val="15"/>
        </w:rPr>
        <w:t xml:space="preserve"> </w:t>
      </w:r>
      <w:r>
        <w:rPr>
          <w:color w:val="231F20"/>
          <w:sz w:val="15"/>
        </w:rPr>
        <w:t>přímé</w:t>
      </w:r>
      <w:r>
        <w:rPr>
          <w:color w:val="231F20"/>
          <w:spacing w:val="-7"/>
          <w:sz w:val="15"/>
        </w:rPr>
        <w:t xml:space="preserve"> </w:t>
      </w:r>
      <w:r>
        <w:rPr>
          <w:color w:val="231F20"/>
          <w:sz w:val="15"/>
        </w:rPr>
        <w:t>souvislosti</w:t>
      </w:r>
      <w:r>
        <w:rPr>
          <w:color w:val="231F20"/>
          <w:spacing w:val="-6"/>
          <w:sz w:val="15"/>
        </w:rPr>
        <w:t xml:space="preserve"> </w:t>
      </w:r>
      <w:r>
        <w:rPr>
          <w:color w:val="231F20"/>
          <w:sz w:val="15"/>
        </w:rPr>
        <w:t>s</w:t>
      </w:r>
      <w:r>
        <w:rPr>
          <w:color w:val="231F20"/>
          <w:spacing w:val="-7"/>
          <w:sz w:val="15"/>
        </w:rPr>
        <w:t xml:space="preserve"> </w:t>
      </w:r>
      <w:r>
        <w:rPr>
          <w:color w:val="231F20"/>
          <w:sz w:val="15"/>
        </w:rPr>
        <w:t>těmito</w:t>
      </w:r>
      <w:r>
        <w:rPr>
          <w:color w:val="231F20"/>
          <w:spacing w:val="-7"/>
          <w:sz w:val="15"/>
        </w:rPr>
        <w:t xml:space="preserve"> </w:t>
      </w:r>
      <w:r>
        <w:rPr>
          <w:color w:val="231F20"/>
          <w:sz w:val="15"/>
        </w:rPr>
        <w:t>pracemi;</w:t>
      </w:r>
    </w:p>
    <w:p w14:paraId="3C2E8A11" w14:textId="77777777" w:rsidR="00F65BCA" w:rsidRDefault="00216117">
      <w:pPr>
        <w:pStyle w:val="Odstavecseseznamem"/>
        <w:numPr>
          <w:ilvl w:val="0"/>
          <w:numId w:val="108"/>
        </w:numPr>
        <w:tabs>
          <w:tab w:val="left" w:pos="638"/>
        </w:tabs>
        <w:spacing w:before="28"/>
        <w:jc w:val="both"/>
        <w:rPr>
          <w:sz w:val="15"/>
        </w:rPr>
      </w:pPr>
      <w:r>
        <w:rPr>
          <w:color w:val="231F20"/>
          <w:sz w:val="15"/>
        </w:rPr>
        <w:t>chyby</w:t>
      </w:r>
      <w:r>
        <w:rPr>
          <w:color w:val="231F20"/>
          <w:spacing w:val="-6"/>
          <w:sz w:val="15"/>
        </w:rPr>
        <w:t xml:space="preserve"> </w:t>
      </w:r>
      <w:r>
        <w:rPr>
          <w:color w:val="231F20"/>
          <w:sz w:val="15"/>
        </w:rPr>
        <w:t>konstrukce,</w:t>
      </w:r>
      <w:r>
        <w:rPr>
          <w:color w:val="231F20"/>
          <w:spacing w:val="-5"/>
          <w:sz w:val="15"/>
        </w:rPr>
        <w:t xml:space="preserve"> </w:t>
      </w:r>
      <w:r>
        <w:rPr>
          <w:color w:val="231F20"/>
          <w:sz w:val="15"/>
        </w:rPr>
        <w:t>vady</w:t>
      </w:r>
      <w:r>
        <w:rPr>
          <w:color w:val="231F20"/>
          <w:spacing w:val="-5"/>
          <w:sz w:val="15"/>
        </w:rPr>
        <w:t xml:space="preserve"> </w:t>
      </w:r>
      <w:r>
        <w:rPr>
          <w:color w:val="231F20"/>
          <w:sz w:val="15"/>
        </w:rPr>
        <w:t>materiálu</w:t>
      </w:r>
      <w:r>
        <w:rPr>
          <w:color w:val="231F20"/>
          <w:spacing w:val="-5"/>
          <w:sz w:val="15"/>
        </w:rPr>
        <w:t xml:space="preserve"> </w:t>
      </w:r>
      <w:r>
        <w:rPr>
          <w:color w:val="231F20"/>
          <w:sz w:val="15"/>
        </w:rPr>
        <w:t>nebo</w:t>
      </w:r>
      <w:r>
        <w:rPr>
          <w:color w:val="231F20"/>
          <w:spacing w:val="-5"/>
          <w:sz w:val="15"/>
        </w:rPr>
        <w:t xml:space="preserve"> </w:t>
      </w:r>
      <w:r>
        <w:rPr>
          <w:color w:val="231F20"/>
          <w:sz w:val="15"/>
        </w:rPr>
        <w:t>výrobní</w:t>
      </w:r>
      <w:r>
        <w:rPr>
          <w:color w:val="231F20"/>
          <w:spacing w:val="-5"/>
          <w:sz w:val="15"/>
        </w:rPr>
        <w:t xml:space="preserve"> </w:t>
      </w:r>
      <w:r>
        <w:rPr>
          <w:color w:val="231F20"/>
          <w:sz w:val="15"/>
        </w:rPr>
        <w:t>vady</w:t>
      </w:r>
      <w:r>
        <w:rPr>
          <w:color w:val="231F20"/>
          <w:spacing w:val="-5"/>
          <w:sz w:val="15"/>
        </w:rPr>
        <w:t xml:space="preserve"> </w:t>
      </w:r>
      <w:r>
        <w:rPr>
          <w:color w:val="231F20"/>
          <w:sz w:val="15"/>
        </w:rPr>
        <w:t>pojištěné</w:t>
      </w:r>
      <w:r>
        <w:rPr>
          <w:color w:val="231F20"/>
          <w:spacing w:val="-5"/>
          <w:sz w:val="15"/>
        </w:rPr>
        <w:t xml:space="preserve"> </w:t>
      </w:r>
      <w:r>
        <w:rPr>
          <w:color w:val="231F20"/>
          <w:sz w:val="15"/>
        </w:rPr>
        <w:t>věci;</w:t>
      </w:r>
    </w:p>
    <w:p w14:paraId="60738A90" w14:textId="77777777" w:rsidR="00F65BCA" w:rsidRDefault="00216117">
      <w:pPr>
        <w:pStyle w:val="Odstavecseseznamem"/>
        <w:numPr>
          <w:ilvl w:val="0"/>
          <w:numId w:val="108"/>
        </w:numPr>
        <w:tabs>
          <w:tab w:val="left" w:pos="638"/>
        </w:tabs>
        <w:spacing w:before="28" w:line="278" w:lineRule="auto"/>
        <w:ind w:right="424"/>
        <w:jc w:val="both"/>
        <w:rPr>
          <w:sz w:val="15"/>
        </w:rPr>
      </w:pPr>
      <w:r>
        <w:rPr>
          <w:color w:val="231F20"/>
          <w:sz w:val="15"/>
        </w:rPr>
        <w:t>vady a poškození, které měla pojištěná věc již v době uzavření pojistné smlouvy</w:t>
      </w:r>
      <w:r>
        <w:rPr>
          <w:color w:val="231F20"/>
          <w:spacing w:val="-18"/>
          <w:sz w:val="15"/>
        </w:rPr>
        <w:t xml:space="preserve"> </w:t>
      </w:r>
      <w:r>
        <w:rPr>
          <w:color w:val="231F20"/>
          <w:sz w:val="15"/>
        </w:rPr>
        <w:t>a</w:t>
      </w:r>
      <w:r>
        <w:rPr>
          <w:color w:val="231F20"/>
          <w:spacing w:val="-18"/>
          <w:sz w:val="15"/>
        </w:rPr>
        <w:t xml:space="preserve"> </w:t>
      </w:r>
      <w:r>
        <w:rPr>
          <w:color w:val="231F20"/>
          <w:sz w:val="15"/>
        </w:rPr>
        <w:t>které</w:t>
      </w:r>
      <w:r>
        <w:rPr>
          <w:color w:val="231F20"/>
          <w:spacing w:val="-18"/>
          <w:sz w:val="15"/>
        </w:rPr>
        <w:t xml:space="preserve"> </w:t>
      </w:r>
      <w:r>
        <w:rPr>
          <w:color w:val="231F20"/>
          <w:sz w:val="15"/>
        </w:rPr>
        <w:t>byly</w:t>
      </w:r>
      <w:r>
        <w:rPr>
          <w:color w:val="231F20"/>
          <w:spacing w:val="-17"/>
          <w:sz w:val="15"/>
        </w:rPr>
        <w:t xml:space="preserve"> </w:t>
      </w:r>
      <w:r>
        <w:rPr>
          <w:color w:val="231F20"/>
          <w:sz w:val="15"/>
        </w:rPr>
        <w:t>nebo</w:t>
      </w:r>
      <w:r>
        <w:rPr>
          <w:color w:val="231F20"/>
          <w:spacing w:val="-18"/>
          <w:sz w:val="15"/>
        </w:rPr>
        <w:t xml:space="preserve"> </w:t>
      </w:r>
      <w:r>
        <w:rPr>
          <w:color w:val="231F20"/>
          <w:sz w:val="15"/>
        </w:rPr>
        <w:t>mohly</w:t>
      </w:r>
      <w:r>
        <w:rPr>
          <w:color w:val="231F20"/>
          <w:spacing w:val="-18"/>
          <w:sz w:val="15"/>
        </w:rPr>
        <w:t xml:space="preserve"> </w:t>
      </w:r>
      <w:r>
        <w:rPr>
          <w:color w:val="231F20"/>
          <w:sz w:val="15"/>
        </w:rPr>
        <w:t>být</w:t>
      </w:r>
      <w:r>
        <w:rPr>
          <w:color w:val="231F20"/>
          <w:spacing w:val="-18"/>
          <w:sz w:val="15"/>
        </w:rPr>
        <w:t xml:space="preserve"> </w:t>
      </w:r>
      <w:r>
        <w:rPr>
          <w:color w:val="231F20"/>
          <w:sz w:val="15"/>
        </w:rPr>
        <w:t>známy</w:t>
      </w:r>
      <w:r>
        <w:rPr>
          <w:color w:val="231F20"/>
          <w:spacing w:val="-17"/>
          <w:sz w:val="15"/>
        </w:rPr>
        <w:t xml:space="preserve"> </w:t>
      </w:r>
      <w:r>
        <w:rPr>
          <w:color w:val="231F20"/>
          <w:sz w:val="15"/>
        </w:rPr>
        <w:t>pojistníkovi</w:t>
      </w:r>
      <w:r>
        <w:rPr>
          <w:color w:val="231F20"/>
          <w:spacing w:val="-18"/>
          <w:sz w:val="15"/>
        </w:rPr>
        <w:t xml:space="preserve"> </w:t>
      </w:r>
      <w:r>
        <w:rPr>
          <w:color w:val="231F20"/>
          <w:sz w:val="15"/>
        </w:rPr>
        <w:t>(pojištěnému),</w:t>
      </w:r>
      <w:r>
        <w:rPr>
          <w:color w:val="231F20"/>
          <w:spacing w:val="-18"/>
          <w:sz w:val="15"/>
        </w:rPr>
        <w:t xml:space="preserve"> </w:t>
      </w:r>
      <w:r>
        <w:rPr>
          <w:color w:val="231F20"/>
          <w:spacing w:val="-3"/>
          <w:sz w:val="15"/>
        </w:rPr>
        <w:t xml:space="preserve">jeho </w:t>
      </w:r>
      <w:r>
        <w:rPr>
          <w:color w:val="231F20"/>
          <w:sz w:val="15"/>
        </w:rPr>
        <w:t>zástupcům</w:t>
      </w:r>
      <w:r>
        <w:rPr>
          <w:color w:val="231F20"/>
          <w:spacing w:val="-6"/>
          <w:sz w:val="15"/>
        </w:rPr>
        <w:t xml:space="preserve"> </w:t>
      </w:r>
      <w:r>
        <w:rPr>
          <w:color w:val="231F20"/>
          <w:sz w:val="15"/>
        </w:rPr>
        <w:t>nebo</w:t>
      </w:r>
      <w:r>
        <w:rPr>
          <w:color w:val="231F20"/>
          <w:spacing w:val="-6"/>
          <w:sz w:val="15"/>
        </w:rPr>
        <w:t xml:space="preserve"> </w:t>
      </w:r>
      <w:r>
        <w:rPr>
          <w:color w:val="231F20"/>
          <w:sz w:val="15"/>
        </w:rPr>
        <w:t>zmocněncům</w:t>
      </w:r>
      <w:r>
        <w:rPr>
          <w:color w:val="231F20"/>
          <w:spacing w:val="-6"/>
          <w:sz w:val="15"/>
        </w:rPr>
        <w:t xml:space="preserve"> </w:t>
      </w:r>
      <w:r>
        <w:rPr>
          <w:color w:val="231F20"/>
          <w:sz w:val="15"/>
        </w:rPr>
        <w:t>bez</w:t>
      </w:r>
      <w:r>
        <w:rPr>
          <w:color w:val="231F20"/>
          <w:spacing w:val="-6"/>
          <w:sz w:val="15"/>
        </w:rPr>
        <w:t xml:space="preserve"> </w:t>
      </w:r>
      <w:r>
        <w:rPr>
          <w:color w:val="231F20"/>
          <w:sz w:val="15"/>
        </w:rPr>
        <w:t>ohledu</w:t>
      </w:r>
      <w:r>
        <w:rPr>
          <w:color w:val="231F20"/>
          <w:spacing w:val="-6"/>
          <w:sz w:val="15"/>
        </w:rPr>
        <w:t xml:space="preserve"> </w:t>
      </w:r>
      <w:r>
        <w:rPr>
          <w:color w:val="231F20"/>
          <w:sz w:val="15"/>
        </w:rPr>
        <w:t>na</w:t>
      </w:r>
      <w:r>
        <w:rPr>
          <w:color w:val="231F20"/>
          <w:spacing w:val="-6"/>
          <w:sz w:val="15"/>
        </w:rPr>
        <w:t xml:space="preserve"> </w:t>
      </w:r>
      <w:r>
        <w:rPr>
          <w:color w:val="231F20"/>
          <w:sz w:val="15"/>
        </w:rPr>
        <w:t>to,</w:t>
      </w:r>
      <w:r>
        <w:rPr>
          <w:color w:val="231F20"/>
          <w:spacing w:val="-6"/>
          <w:sz w:val="15"/>
        </w:rPr>
        <w:t xml:space="preserve"> </w:t>
      </w:r>
      <w:r>
        <w:rPr>
          <w:color w:val="231F20"/>
          <w:sz w:val="15"/>
        </w:rPr>
        <w:t>zda</w:t>
      </w:r>
      <w:r>
        <w:rPr>
          <w:color w:val="231F20"/>
          <w:spacing w:val="-6"/>
          <w:sz w:val="15"/>
        </w:rPr>
        <w:t xml:space="preserve"> </w:t>
      </w:r>
      <w:r>
        <w:rPr>
          <w:color w:val="231F20"/>
          <w:sz w:val="15"/>
        </w:rPr>
        <w:t>byly</w:t>
      </w:r>
      <w:r>
        <w:rPr>
          <w:color w:val="231F20"/>
          <w:spacing w:val="-6"/>
          <w:sz w:val="15"/>
        </w:rPr>
        <w:t xml:space="preserve"> </w:t>
      </w:r>
      <w:r>
        <w:rPr>
          <w:color w:val="231F20"/>
          <w:sz w:val="15"/>
        </w:rPr>
        <w:t>nebo</w:t>
      </w:r>
      <w:r>
        <w:rPr>
          <w:color w:val="231F20"/>
          <w:spacing w:val="-6"/>
          <w:sz w:val="15"/>
        </w:rPr>
        <w:t xml:space="preserve"> </w:t>
      </w:r>
      <w:r>
        <w:rPr>
          <w:color w:val="231F20"/>
          <w:sz w:val="15"/>
        </w:rPr>
        <w:t>mohly</w:t>
      </w:r>
      <w:r>
        <w:rPr>
          <w:color w:val="231F20"/>
          <w:spacing w:val="-6"/>
          <w:sz w:val="15"/>
        </w:rPr>
        <w:t xml:space="preserve"> </w:t>
      </w:r>
      <w:r>
        <w:rPr>
          <w:color w:val="231F20"/>
          <w:sz w:val="15"/>
        </w:rPr>
        <w:t>být známy</w:t>
      </w:r>
      <w:r>
        <w:rPr>
          <w:color w:val="231F20"/>
          <w:spacing w:val="-1"/>
          <w:sz w:val="15"/>
        </w:rPr>
        <w:t xml:space="preserve"> </w:t>
      </w:r>
      <w:r>
        <w:rPr>
          <w:color w:val="231F20"/>
          <w:sz w:val="15"/>
        </w:rPr>
        <w:t>Pojišťovně;</w:t>
      </w:r>
    </w:p>
    <w:p w14:paraId="4B978EBA" w14:textId="77777777" w:rsidR="00F65BCA" w:rsidRDefault="00216117">
      <w:pPr>
        <w:pStyle w:val="Odstavecseseznamem"/>
        <w:numPr>
          <w:ilvl w:val="0"/>
          <w:numId w:val="108"/>
        </w:numPr>
        <w:tabs>
          <w:tab w:val="left" w:pos="638"/>
        </w:tabs>
        <w:spacing w:line="278" w:lineRule="auto"/>
        <w:ind w:right="424"/>
        <w:jc w:val="both"/>
        <w:rPr>
          <w:sz w:val="15"/>
        </w:rPr>
      </w:pPr>
      <w:r>
        <w:rPr>
          <w:color w:val="231F20"/>
          <w:sz w:val="15"/>
        </w:rPr>
        <w:t>funkčního</w:t>
      </w:r>
      <w:r>
        <w:rPr>
          <w:color w:val="231F20"/>
          <w:spacing w:val="-18"/>
          <w:sz w:val="15"/>
        </w:rPr>
        <w:t xml:space="preserve"> </w:t>
      </w:r>
      <w:r>
        <w:rPr>
          <w:color w:val="231F20"/>
          <w:sz w:val="15"/>
        </w:rPr>
        <w:t>namáhání,</w:t>
      </w:r>
      <w:r>
        <w:rPr>
          <w:color w:val="231F20"/>
          <w:spacing w:val="-17"/>
          <w:sz w:val="15"/>
        </w:rPr>
        <w:t xml:space="preserve"> </w:t>
      </w:r>
      <w:r>
        <w:rPr>
          <w:color w:val="231F20"/>
          <w:sz w:val="15"/>
        </w:rPr>
        <w:t>testů,</w:t>
      </w:r>
      <w:r>
        <w:rPr>
          <w:color w:val="231F20"/>
          <w:spacing w:val="-18"/>
          <w:sz w:val="15"/>
        </w:rPr>
        <w:t xml:space="preserve"> </w:t>
      </w:r>
      <w:r>
        <w:rPr>
          <w:color w:val="231F20"/>
          <w:sz w:val="15"/>
        </w:rPr>
        <w:t>opotřebení,</w:t>
      </w:r>
      <w:r>
        <w:rPr>
          <w:color w:val="231F20"/>
          <w:spacing w:val="-17"/>
          <w:sz w:val="15"/>
        </w:rPr>
        <w:t xml:space="preserve"> </w:t>
      </w:r>
      <w:r>
        <w:rPr>
          <w:color w:val="231F20"/>
          <w:sz w:val="15"/>
        </w:rPr>
        <w:t>únavy</w:t>
      </w:r>
      <w:r>
        <w:rPr>
          <w:color w:val="231F20"/>
          <w:spacing w:val="-18"/>
          <w:sz w:val="15"/>
        </w:rPr>
        <w:t xml:space="preserve"> </w:t>
      </w:r>
      <w:r>
        <w:rPr>
          <w:color w:val="231F20"/>
          <w:sz w:val="15"/>
        </w:rPr>
        <w:t>nebo</w:t>
      </w:r>
      <w:r>
        <w:rPr>
          <w:color w:val="231F20"/>
          <w:spacing w:val="-17"/>
          <w:sz w:val="15"/>
        </w:rPr>
        <w:t xml:space="preserve"> </w:t>
      </w:r>
      <w:r>
        <w:rPr>
          <w:color w:val="231F20"/>
          <w:sz w:val="15"/>
        </w:rPr>
        <w:t>vady</w:t>
      </w:r>
      <w:r>
        <w:rPr>
          <w:color w:val="231F20"/>
          <w:spacing w:val="-18"/>
          <w:sz w:val="15"/>
        </w:rPr>
        <w:t xml:space="preserve"> </w:t>
      </w:r>
      <w:r>
        <w:rPr>
          <w:color w:val="231F20"/>
          <w:sz w:val="15"/>
        </w:rPr>
        <w:t>materiálu,</w:t>
      </w:r>
      <w:r>
        <w:rPr>
          <w:color w:val="231F20"/>
          <w:spacing w:val="-17"/>
          <w:sz w:val="15"/>
        </w:rPr>
        <w:t xml:space="preserve"> </w:t>
      </w:r>
      <w:r>
        <w:rPr>
          <w:color w:val="231F20"/>
          <w:spacing w:val="-4"/>
          <w:sz w:val="15"/>
        </w:rPr>
        <w:t xml:space="preserve">koroze </w:t>
      </w:r>
      <w:r>
        <w:rPr>
          <w:color w:val="231F20"/>
          <w:sz w:val="15"/>
        </w:rPr>
        <w:t>nebo z obdobných</w:t>
      </w:r>
      <w:r>
        <w:rPr>
          <w:color w:val="231F20"/>
          <w:spacing w:val="-2"/>
          <w:sz w:val="15"/>
        </w:rPr>
        <w:t xml:space="preserve"> </w:t>
      </w:r>
      <w:r>
        <w:rPr>
          <w:color w:val="231F20"/>
          <w:sz w:val="15"/>
        </w:rPr>
        <w:t>příčin;</w:t>
      </w:r>
    </w:p>
    <w:p w14:paraId="104B5C4D" w14:textId="77777777" w:rsidR="00F65BCA" w:rsidRDefault="00216117">
      <w:pPr>
        <w:pStyle w:val="Odstavecseseznamem"/>
        <w:numPr>
          <w:ilvl w:val="0"/>
          <w:numId w:val="108"/>
        </w:numPr>
        <w:tabs>
          <w:tab w:val="left" w:pos="638"/>
        </w:tabs>
        <w:spacing w:line="278" w:lineRule="auto"/>
        <w:ind w:right="424"/>
        <w:jc w:val="both"/>
        <w:rPr>
          <w:sz w:val="15"/>
        </w:rPr>
      </w:pPr>
      <w:r>
        <w:rPr>
          <w:color w:val="231F20"/>
          <w:sz w:val="15"/>
        </w:rPr>
        <w:t>činnosti</w:t>
      </w:r>
      <w:r>
        <w:rPr>
          <w:color w:val="231F20"/>
          <w:spacing w:val="-19"/>
          <w:sz w:val="15"/>
        </w:rPr>
        <w:t xml:space="preserve"> </w:t>
      </w:r>
      <w:r>
        <w:rPr>
          <w:color w:val="231F20"/>
          <w:sz w:val="15"/>
        </w:rPr>
        <w:t>vozidla</w:t>
      </w:r>
      <w:r>
        <w:rPr>
          <w:color w:val="231F20"/>
          <w:spacing w:val="-19"/>
          <w:sz w:val="15"/>
        </w:rPr>
        <w:t xml:space="preserve"> </w:t>
      </w:r>
      <w:r>
        <w:rPr>
          <w:color w:val="231F20"/>
          <w:sz w:val="15"/>
        </w:rPr>
        <w:t>jako</w:t>
      </w:r>
      <w:r>
        <w:rPr>
          <w:color w:val="231F20"/>
          <w:spacing w:val="-19"/>
          <w:sz w:val="15"/>
        </w:rPr>
        <w:t xml:space="preserve"> </w:t>
      </w:r>
      <w:r>
        <w:rPr>
          <w:color w:val="231F20"/>
          <w:sz w:val="15"/>
        </w:rPr>
        <w:t>pracovního</w:t>
      </w:r>
      <w:r>
        <w:rPr>
          <w:color w:val="231F20"/>
          <w:spacing w:val="-18"/>
          <w:sz w:val="15"/>
        </w:rPr>
        <w:t xml:space="preserve"> </w:t>
      </w:r>
      <w:r>
        <w:rPr>
          <w:color w:val="231F20"/>
          <w:sz w:val="15"/>
        </w:rPr>
        <w:t>stroje</w:t>
      </w:r>
      <w:r>
        <w:rPr>
          <w:color w:val="231F20"/>
          <w:spacing w:val="-19"/>
          <w:sz w:val="15"/>
        </w:rPr>
        <w:t xml:space="preserve"> </w:t>
      </w:r>
      <w:r>
        <w:rPr>
          <w:color w:val="231F20"/>
          <w:sz w:val="15"/>
        </w:rPr>
        <w:t>včetně</w:t>
      </w:r>
      <w:r>
        <w:rPr>
          <w:color w:val="231F20"/>
          <w:spacing w:val="-19"/>
          <w:sz w:val="15"/>
        </w:rPr>
        <w:t xml:space="preserve"> </w:t>
      </w:r>
      <w:r>
        <w:rPr>
          <w:color w:val="231F20"/>
          <w:sz w:val="15"/>
        </w:rPr>
        <w:t>jeho</w:t>
      </w:r>
      <w:r>
        <w:rPr>
          <w:color w:val="231F20"/>
          <w:spacing w:val="-18"/>
          <w:sz w:val="15"/>
        </w:rPr>
        <w:t xml:space="preserve"> </w:t>
      </w:r>
      <w:r>
        <w:rPr>
          <w:color w:val="231F20"/>
          <w:sz w:val="15"/>
        </w:rPr>
        <w:t>využití</w:t>
      </w:r>
      <w:r>
        <w:rPr>
          <w:color w:val="231F20"/>
          <w:spacing w:val="-19"/>
          <w:sz w:val="15"/>
        </w:rPr>
        <w:t xml:space="preserve"> </w:t>
      </w:r>
      <w:r>
        <w:rPr>
          <w:color w:val="231F20"/>
          <w:sz w:val="15"/>
        </w:rPr>
        <w:t>ke</w:t>
      </w:r>
      <w:r>
        <w:rPr>
          <w:color w:val="231F20"/>
          <w:spacing w:val="-19"/>
          <w:sz w:val="15"/>
        </w:rPr>
        <w:t xml:space="preserve"> </w:t>
      </w:r>
      <w:r>
        <w:rPr>
          <w:color w:val="231F20"/>
          <w:sz w:val="15"/>
        </w:rPr>
        <w:t>sklápění</w:t>
      </w:r>
      <w:r>
        <w:rPr>
          <w:color w:val="231F20"/>
          <w:spacing w:val="-18"/>
          <w:sz w:val="15"/>
        </w:rPr>
        <w:t xml:space="preserve"> </w:t>
      </w:r>
      <w:r>
        <w:rPr>
          <w:color w:val="231F20"/>
          <w:spacing w:val="-3"/>
          <w:sz w:val="15"/>
        </w:rPr>
        <w:t xml:space="preserve">(včet- </w:t>
      </w:r>
      <w:r>
        <w:rPr>
          <w:color w:val="231F20"/>
          <w:sz w:val="15"/>
        </w:rPr>
        <w:t>ně sklápění na nezpevněném povrchu) nebo k jiné manipulaci s jeho ná- kladem</w:t>
      </w:r>
      <w:r>
        <w:rPr>
          <w:color w:val="231F20"/>
          <w:spacing w:val="-4"/>
          <w:sz w:val="15"/>
        </w:rPr>
        <w:t xml:space="preserve"> </w:t>
      </w:r>
      <w:r>
        <w:rPr>
          <w:color w:val="231F20"/>
          <w:sz w:val="15"/>
        </w:rPr>
        <w:t>(činností</w:t>
      </w:r>
      <w:r>
        <w:rPr>
          <w:color w:val="231F20"/>
          <w:spacing w:val="-4"/>
          <w:sz w:val="15"/>
        </w:rPr>
        <w:t xml:space="preserve"> </w:t>
      </w:r>
      <w:r>
        <w:rPr>
          <w:color w:val="231F20"/>
          <w:sz w:val="15"/>
        </w:rPr>
        <w:t>vozidla</w:t>
      </w:r>
      <w:r>
        <w:rPr>
          <w:color w:val="231F20"/>
          <w:spacing w:val="-3"/>
          <w:sz w:val="15"/>
        </w:rPr>
        <w:t xml:space="preserve"> </w:t>
      </w:r>
      <w:r>
        <w:rPr>
          <w:color w:val="231F20"/>
          <w:sz w:val="15"/>
        </w:rPr>
        <w:t>jako</w:t>
      </w:r>
      <w:r>
        <w:rPr>
          <w:color w:val="231F20"/>
          <w:spacing w:val="-4"/>
          <w:sz w:val="15"/>
        </w:rPr>
        <w:t xml:space="preserve"> </w:t>
      </w:r>
      <w:r>
        <w:rPr>
          <w:color w:val="231F20"/>
          <w:sz w:val="15"/>
        </w:rPr>
        <w:t>pracovního</w:t>
      </w:r>
      <w:r>
        <w:rPr>
          <w:color w:val="231F20"/>
          <w:spacing w:val="-4"/>
          <w:sz w:val="15"/>
        </w:rPr>
        <w:t xml:space="preserve"> </w:t>
      </w:r>
      <w:r>
        <w:rPr>
          <w:color w:val="231F20"/>
          <w:sz w:val="15"/>
        </w:rPr>
        <w:t>stroje</w:t>
      </w:r>
      <w:r>
        <w:rPr>
          <w:color w:val="231F20"/>
          <w:spacing w:val="-3"/>
          <w:sz w:val="15"/>
        </w:rPr>
        <w:t xml:space="preserve"> </w:t>
      </w:r>
      <w:r>
        <w:rPr>
          <w:color w:val="231F20"/>
          <w:sz w:val="15"/>
        </w:rPr>
        <w:t>je</w:t>
      </w:r>
      <w:r>
        <w:rPr>
          <w:color w:val="231F20"/>
          <w:spacing w:val="-4"/>
          <w:sz w:val="15"/>
        </w:rPr>
        <w:t xml:space="preserve"> </w:t>
      </w:r>
      <w:r>
        <w:rPr>
          <w:color w:val="231F20"/>
          <w:sz w:val="15"/>
        </w:rPr>
        <w:t>jeho</w:t>
      </w:r>
      <w:r>
        <w:rPr>
          <w:color w:val="231F20"/>
          <w:spacing w:val="-4"/>
          <w:sz w:val="15"/>
        </w:rPr>
        <w:t xml:space="preserve"> </w:t>
      </w:r>
      <w:r>
        <w:rPr>
          <w:color w:val="231F20"/>
          <w:sz w:val="15"/>
        </w:rPr>
        <w:t>užívaní</w:t>
      </w:r>
      <w:r>
        <w:rPr>
          <w:color w:val="231F20"/>
          <w:spacing w:val="-3"/>
          <w:sz w:val="15"/>
        </w:rPr>
        <w:t xml:space="preserve"> </w:t>
      </w:r>
      <w:r>
        <w:rPr>
          <w:color w:val="231F20"/>
          <w:sz w:val="15"/>
        </w:rPr>
        <w:t>k</w:t>
      </w:r>
      <w:r>
        <w:rPr>
          <w:color w:val="231F20"/>
          <w:spacing w:val="-4"/>
          <w:sz w:val="15"/>
        </w:rPr>
        <w:t xml:space="preserve"> </w:t>
      </w:r>
      <w:r>
        <w:rPr>
          <w:color w:val="231F20"/>
          <w:sz w:val="15"/>
        </w:rPr>
        <w:t>pracovní činnosti,</w:t>
      </w:r>
      <w:r>
        <w:rPr>
          <w:color w:val="231F20"/>
          <w:spacing w:val="-6"/>
          <w:sz w:val="15"/>
        </w:rPr>
        <w:t xml:space="preserve"> </w:t>
      </w:r>
      <w:r>
        <w:rPr>
          <w:color w:val="231F20"/>
          <w:sz w:val="15"/>
        </w:rPr>
        <w:t>ke</w:t>
      </w:r>
      <w:r>
        <w:rPr>
          <w:color w:val="231F20"/>
          <w:spacing w:val="-5"/>
          <w:sz w:val="15"/>
        </w:rPr>
        <w:t xml:space="preserve"> </w:t>
      </w:r>
      <w:r>
        <w:rPr>
          <w:color w:val="231F20"/>
          <w:sz w:val="15"/>
        </w:rPr>
        <w:t>které</w:t>
      </w:r>
      <w:r>
        <w:rPr>
          <w:color w:val="231F20"/>
          <w:spacing w:val="-5"/>
          <w:sz w:val="15"/>
        </w:rPr>
        <w:t xml:space="preserve"> </w:t>
      </w:r>
      <w:r>
        <w:rPr>
          <w:color w:val="231F20"/>
          <w:sz w:val="15"/>
        </w:rPr>
        <w:t>pracovní</w:t>
      </w:r>
      <w:r>
        <w:rPr>
          <w:color w:val="231F20"/>
          <w:spacing w:val="-5"/>
          <w:sz w:val="15"/>
        </w:rPr>
        <w:t xml:space="preserve"> </w:t>
      </w:r>
      <w:r>
        <w:rPr>
          <w:color w:val="231F20"/>
          <w:sz w:val="15"/>
        </w:rPr>
        <w:t>stroj</w:t>
      </w:r>
      <w:r>
        <w:rPr>
          <w:color w:val="231F20"/>
          <w:spacing w:val="-5"/>
          <w:sz w:val="15"/>
        </w:rPr>
        <w:t xml:space="preserve"> </w:t>
      </w:r>
      <w:r>
        <w:rPr>
          <w:color w:val="231F20"/>
          <w:sz w:val="15"/>
        </w:rPr>
        <w:t>slouží,</w:t>
      </w:r>
      <w:r>
        <w:rPr>
          <w:color w:val="231F20"/>
          <w:spacing w:val="-5"/>
          <w:sz w:val="15"/>
        </w:rPr>
        <w:t xml:space="preserve"> </w:t>
      </w:r>
      <w:r>
        <w:rPr>
          <w:color w:val="231F20"/>
          <w:sz w:val="15"/>
        </w:rPr>
        <w:t>než</w:t>
      </w:r>
      <w:r>
        <w:rPr>
          <w:color w:val="231F20"/>
          <w:spacing w:val="-5"/>
          <w:sz w:val="15"/>
        </w:rPr>
        <w:t xml:space="preserve"> </w:t>
      </w:r>
      <w:r>
        <w:rPr>
          <w:color w:val="231F20"/>
          <w:sz w:val="15"/>
        </w:rPr>
        <w:t>k</w:t>
      </w:r>
      <w:r>
        <w:rPr>
          <w:color w:val="231F20"/>
          <w:spacing w:val="-5"/>
          <w:sz w:val="15"/>
        </w:rPr>
        <w:t xml:space="preserve"> </w:t>
      </w:r>
      <w:r>
        <w:rPr>
          <w:color w:val="231F20"/>
          <w:sz w:val="15"/>
        </w:rPr>
        <w:t>samotné</w:t>
      </w:r>
      <w:r>
        <w:rPr>
          <w:color w:val="231F20"/>
          <w:spacing w:val="-5"/>
          <w:sz w:val="15"/>
        </w:rPr>
        <w:t xml:space="preserve"> </w:t>
      </w:r>
      <w:r>
        <w:rPr>
          <w:color w:val="231F20"/>
          <w:sz w:val="15"/>
        </w:rPr>
        <w:t>jízdě,</w:t>
      </w:r>
      <w:r>
        <w:rPr>
          <w:color w:val="231F20"/>
          <w:spacing w:val="-5"/>
          <w:sz w:val="15"/>
        </w:rPr>
        <w:t xml:space="preserve"> </w:t>
      </w:r>
      <w:r>
        <w:rPr>
          <w:color w:val="231F20"/>
          <w:sz w:val="15"/>
        </w:rPr>
        <w:t>tj.</w:t>
      </w:r>
      <w:r>
        <w:rPr>
          <w:color w:val="231F20"/>
          <w:spacing w:val="-5"/>
          <w:sz w:val="15"/>
        </w:rPr>
        <w:t xml:space="preserve"> </w:t>
      </w:r>
      <w:r>
        <w:rPr>
          <w:color w:val="231F20"/>
          <w:sz w:val="15"/>
        </w:rPr>
        <w:t>přemístění vlastní motorickou silou z jednoho místa na</w:t>
      </w:r>
      <w:r>
        <w:rPr>
          <w:color w:val="231F20"/>
          <w:spacing w:val="-21"/>
          <w:sz w:val="15"/>
        </w:rPr>
        <w:t xml:space="preserve"> </w:t>
      </w:r>
      <w:r>
        <w:rPr>
          <w:color w:val="231F20"/>
          <w:sz w:val="15"/>
        </w:rPr>
        <w:t>druhé);</w:t>
      </w:r>
    </w:p>
    <w:p w14:paraId="3620AA93" w14:textId="77777777" w:rsidR="00F65BCA" w:rsidRDefault="00216117">
      <w:pPr>
        <w:pStyle w:val="Odstavecseseznamem"/>
        <w:numPr>
          <w:ilvl w:val="0"/>
          <w:numId w:val="108"/>
        </w:numPr>
        <w:tabs>
          <w:tab w:val="left" w:pos="638"/>
        </w:tabs>
        <w:spacing w:line="172" w:lineRule="exact"/>
        <w:jc w:val="both"/>
        <w:rPr>
          <w:sz w:val="15"/>
        </w:rPr>
      </w:pPr>
      <w:r>
        <w:rPr>
          <w:color w:val="231F20"/>
          <w:sz w:val="15"/>
        </w:rPr>
        <w:t>výbuchu dopravovaných třaskavin nebo jiných nebezpečných</w:t>
      </w:r>
      <w:r>
        <w:rPr>
          <w:color w:val="231F20"/>
          <w:spacing w:val="-29"/>
          <w:sz w:val="15"/>
        </w:rPr>
        <w:t xml:space="preserve"> </w:t>
      </w:r>
      <w:r>
        <w:rPr>
          <w:color w:val="231F20"/>
          <w:sz w:val="15"/>
        </w:rPr>
        <w:t>látek;</w:t>
      </w:r>
    </w:p>
    <w:p w14:paraId="1E3C9083" w14:textId="77777777" w:rsidR="00F65BCA" w:rsidRDefault="00216117">
      <w:pPr>
        <w:pStyle w:val="Odstavecseseznamem"/>
        <w:numPr>
          <w:ilvl w:val="0"/>
          <w:numId w:val="108"/>
        </w:numPr>
        <w:tabs>
          <w:tab w:val="left" w:pos="638"/>
        </w:tabs>
        <w:spacing w:before="27" w:line="278" w:lineRule="auto"/>
        <w:ind w:right="424"/>
        <w:jc w:val="both"/>
        <w:rPr>
          <w:sz w:val="15"/>
        </w:rPr>
      </w:pPr>
      <w:r>
        <w:rPr>
          <w:color w:val="231F20"/>
          <w:sz w:val="15"/>
        </w:rPr>
        <w:t>nesprávné</w:t>
      </w:r>
      <w:r>
        <w:rPr>
          <w:color w:val="231F20"/>
          <w:spacing w:val="-10"/>
          <w:sz w:val="15"/>
        </w:rPr>
        <w:t xml:space="preserve"> </w:t>
      </w:r>
      <w:r>
        <w:rPr>
          <w:color w:val="231F20"/>
          <w:sz w:val="15"/>
        </w:rPr>
        <w:t>obsluhy</w:t>
      </w:r>
      <w:r>
        <w:rPr>
          <w:color w:val="231F20"/>
          <w:spacing w:val="-9"/>
          <w:sz w:val="15"/>
        </w:rPr>
        <w:t xml:space="preserve"> </w:t>
      </w:r>
      <w:r>
        <w:rPr>
          <w:color w:val="231F20"/>
          <w:sz w:val="15"/>
        </w:rPr>
        <w:t>nebo</w:t>
      </w:r>
      <w:r>
        <w:rPr>
          <w:color w:val="231F20"/>
          <w:spacing w:val="-10"/>
          <w:sz w:val="15"/>
        </w:rPr>
        <w:t xml:space="preserve"> </w:t>
      </w:r>
      <w:r>
        <w:rPr>
          <w:color w:val="231F20"/>
          <w:sz w:val="15"/>
        </w:rPr>
        <w:t>údržby</w:t>
      </w:r>
      <w:r>
        <w:rPr>
          <w:color w:val="231F20"/>
          <w:spacing w:val="-9"/>
          <w:sz w:val="15"/>
        </w:rPr>
        <w:t xml:space="preserve"> </w:t>
      </w:r>
      <w:r>
        <w:rPr>
          <w:color w:val="231F20"/>
          <w:spacing w:val="-3"/>
          <w:sz w:val="15"/>
        </w:rPr>
        <w:t>(např.</w:t>
      </w:r>
      <w:r>
        <w:rPr>
          <w:color w:val="231F20"/>
          <w:spacing w:val="-9"/>
          <w:sz w:val="15"/>
        </w:rPr>
        <w:t xml:space="preserve"> </w:t>
      </w:r>
      <w:r>
        <w:rPr>
          <w:color w:val="231F20"/>
          <w:sz w:val="15"/>
        </w:rPr>
        <w:t>nesprávné</w:t>
      </w:r>
      <w:r>
        <w:rPr>
          <w:color w:val="231F20"/>
          <w:spacing w:val="-10"/>
          <w:sz w:val="15"/>
        </w:rPr>
        <w:t xml:space="preserve"> </w:t>
      </w:r>
      <w:r>
        <w:rPr>
          <w:color w:val="231F20"/>
          <w:sz w:val="15"/>
        </w:rPr>
        <w:t>zasouvání</w:t>
      </w:r>
      <w:r>
        <w:rPr>
          <w:color w:val="231F20"/>
          <w:spacing w:val="-9"/>
          <w:sz w:val="15"/>
        </w:rPr>
        <w:t xml:space="preserve"> </w:t>
      </w:r>
      <w:r>
        <w:rPr>
          <w:color w:val="231F20"/>
          <w:sz w:val="15"/>
        </w:rPr>
        <w:t>převodů,</w:t>
      </w:r>
      <w:r>
        <w:rPr>
          <w:color w:val="231F20"/>
          <w:spacing w:val="-10"/>
          <w:sz w:val="15"/>
        </w:rPr>
        <w:t xml:space="preserve"> </w:t>
      </w:r>
      <w:r>
        <w:rPr>
          <w:color w:val="231F20"/>
          <w:sz w:val="15"/>
        </w:rPr>
        <w:t xml:space="preserve">ne- </w:t>
      </w:r>
      <w:r>
        <w:rPr>
          <w:color w:val="231F20"/>
          <w:spacing w:val="2"/>
          <w:sz w:val="15"/>
        </w:rPr>
        <w:t xml:space="preserve">dostatek pohonných </w:t>
      </w:r>
      <w:r>
        <w:rPr>
          <w:color w:val="231F20"/>
          <w:sz w:val="15"/>
        </w:rPr>
        <w:t xml:space="preserve">hmot </w:t>
      </w:r>
      <w:r>
        <w:rPr>
          <w:color w:val="231F20"/>
          <w:spacing w:val="3"/>
          <w:sz w:val="15"/>
        </w:rPr>
        <w:t xml:space="preserve">nebo </w:t>
      </w:r>
      <w:r>
        <w:rPr>
          <w:color w:val="231F20"/>
          <w:spacing w:val="2"/>
          <w:sz w:val="15"/>
        </w:rPr>
        <w:t xml:space="preserve">provozních kapalin, </w:t>
      </w:r>
      <w:r>
        <w:rPr>
          <w:color w:val="231F20"/>
          <w:spacing w:val="3"/>
          <w:sz w:val="15"/>
        </w:rPr>
        <w:t>nesprávné</w:t>
      </w:r>
      <w:r>
        <w:rPr>
          <w:color w:val="231F20"/>
          <w:spacing w:val="-30"/>
          <w:sz w:val="15"/>
        </w:rPr>
        <w:t xml:space="preserve"> </w:t>
      </w:r>
      <w:r>
        <w:rPr>
          <w:color w:val="231F20"/>
          <w:spacing w:val="2"/>
          <w:sz w:val="15"/>
        </w:rPr>
        <w:t xml:space="preserve">uložení </w:t>
      </w:r>
      <w:r>
        <w:rPr>
          <w:color w:val="231F20"/>
          <w:sz w:val="15"/>
        </w:rPr>
        <w:t>a</w:t>
      </w:r>
      <w:r>
        <w:rPr>
          <w:color w:val="231F20"/>
          <w:spacing w:val="-12"/>
          <w:sz w:val="15"/>
        </w:rPr>
        <w:t xml:space="preserve"> </w:t>
      </w:r>
      <w:r>
        <w:rPr>
          <w:color w:val="231F20"/>
          <w:sz w:val="15"/>
        </w:rPr>
        <w:t>upevnění</w:t>
      </w:r>
      <w:r>
        <w:rPr>
          <w:color w:val="231F20"/>
          <w:spacing w:val="-14"/>
          <w:sz w:val="15"/>
        </w:rPr>
        <w:t xml:space="preserve"> </w:t>
      </w:r>
      <w:r>
        <w:rPr>
          <w:color w:val="231F20"/>
          <w:sz w:val="15"/>
        </w:rPr>
        <w:t>nákladu</w:t>
      </w:r>
      <w:r>
        <w:rPr>
          <w:color w:val="231F20"/>
          <w:spacing w:val="-14"/>
          <w:sz w:val="15"/>
        </w:rPr>
        <w:t xml:space="preserve"> </w:t>
      </w:r>
      <w:r>
        <w:rPr>
          <w:color w:val="231F20"/>
          <w:sz w:val="15"/>
        </w:rPr>
        <w:t>na</w:t>
      </w:r>
      <w:r>
        <w:rPr>
          <w:color w:val="231F20"/>
          <w:spacing w:val="-13"/>
          <w:sz w:val="15"/>
        </w:rPr>
        <w:t xml:space="preserve"> </w:t>
      </w:r>
      <w:r>
        <w:rPr>
          <w:color w:val="231F20"/>
          <w:sz w:val="15"/>
        </w:rPr>
        <w:t>pojištěném</w:t>
      </w:r>
      <w:r>
        <w:rPr>
          <w:color w:val="231F20"/>
          <w:spacing w:val="-14"/>
          <w:sz w:val="15"/>
        </w:rPr>
        <w:t xml:space="preserve"> </w:t>
      </w:r>
      <w:r>
        <w:rPr>
          <w:color w:val="231F20"/>
          <w:sz w:val="15"/>
        </w:rPr>
        <w:t>nebo</w:t>
      </w:r>
      <w:r>
        <w:rPr>
          <w:color w:val="231F20"/>
          <w:spacing w:val="-14"/>
          <w:sz w:val="15"/>
        </w:rPr>
        <w:t xml:space="preserve"> </w:t>
      </w:r>
      <w:r>
        <w:rPr>
          <w:color w:val="231F20"/>
          <w:sz w:val="15"/>
        </w:rPr>
        <w:t>vlečeném</w:t>
      </w:r>
      <w:r>
        <w:rPr>
          <w:color w:val="231F20"/>
          <w:spacing w:val="-13"/>
          <w:sz w:val="15"/>
        </w:rPr>
        <w:t xml:space="preserve"> </w:t>
      </w:r>
      <w:r>
        <w:rPr>
          <w:color w:val="231F20"/>
          <w:sz w:val="15"/>
        </w:rPr>
        <w:t>případně</w:t>
      </w:r>
      <w:r>
        <w:rPr>
          <w:color w:val="231F20"/>
          <w:spacing w:val="-14"/>
          <w:sz w:val="15"/>
        </w:rPr>
        <w:t xml:space="preserve"> </w:t>
      </w:r>
      <w:r>
        <w:rPr>
          <w:color w:val="231F20"/>
          <w:sz w:val="15"/>
        </w:rPr>
        <w:t>taženém</w:t>
      </w:r>
      <w:r>
        <w:rPr>
          <w:color w:val="231F20"/>
          <w:spacing w:val="-14"/>
          <w:sz w:val="15"/>
        </w:rPr>
        <w:t xml:space="preserve"> </w:t>
      </w:r>
      <w:r>
        <w:rPr>
          <w:color w:val="231F20"/>
          <w:spacing w:val="-4"/>
          <w:sz w:val="15"/>
        </w:rPr>
        <w:t xml:space="preserve">vozi- </w:t>
      </w:r>
      <w:r>
        <w:rPr>
          <w:color w:val="231F20"/>
          <w:sz w:val="15"/>
        </w:rPr>
        <w:t>dle,</w:t>
      </w:r>
      <w:r>
        <w:rPr>
          <w:color w:val="231F20"/>
          <w:spacing w:val="-9"/>
          <w:sz w:val="15"/>
        </w:rPr>
        <w:t xml:space="preserve"> </w:t>
      </w:r>
      <w:r>
        <w:rPr>
          <w:color w:val="231F20"/>
          <w:sz w:val="15"/>
        </w:rPr>
        <w:t>nesprávné</w:t>
      </w:r>
      <w:r>
        <w:rPr>
          <w:color w:val="231F20"/>
          <w:spacing w:val="-8"/>
          <w:sz w:val="15"/>
        </w:rPr>
        <w:t xml:space="preserve"> </w:t>
      </w:r>
      <w:r>
        <w:rPr>
          <w:color w:val="231F20"/>
          <w:sz w:val="15"/>
        </w:rPr>
        <w:t>zajištění</w:t>
      </w:r>
      <w:r>
        <w:rPr>
          <w:color w:val="231F20"/>
          <w:spacing w:val="-9"/>
          <w:sz w:val="15"/>
        </w:rPr>
        <w:t xml:space="preserve"> </w:t>
      </w:r>
      <w:r>
        <w:rPr>
          <w:color w:val="231F20"/>
          <w:sz w:val="15"/>
        </w:rPr>
        <w:t>vozidla</w:t>
      </w:r>
      <w:r>
        <w:rPr>
          <w:color w:val="231F20"/>
          <w:spacing w:val="-8"/>
          <w:sz w:val="15"/>
        </w:rPr>
        <w:t xml:space="preserve"> </w:t>
      </w:r>
      <w:r>
        <w:rPr>
          <w:color w:val="231F20"/>
          <w:sz w:val="15"/>
        </w:rPr>
        <w:t>proti</w:t>
      </w:r>
      <w:r>
        <w:rPr>
          <w:color w:val="231F20"/>
          <w:spacing w:val="-9"/>
          <w:sz w:val="15"/>
        </w:rPr>
        <w:t xml:space="preserve"> </w:t>
      </w:r>
      <w:r>
        <w:rPr>
          <w:color w:val="231F20"/>
          <w:sz w:val="15"/>
        </w:rPr>
        <w:t>samovolnému</w:t>
      </w:r>
      <w:r>
        <w:rPr>
          <w:color w:val="231F20"/>
          <w:spacing w:val="-8"/>
          <w:sz w:val="15"/>
        </w:rPr>
        <w:t xml:space="preserve"> </w:t>
      </w:r>
      <w:r>
        <w:rPr>
          <w:color w:val="231F20"/>
          <w:sz w:val="15"/>
        </w:rPr>
        <w:t>rozjetí</w:t>
      </w:r>
      <w:r>
        <w:rPr>
          <w:color w:val="231F20"/>
          <w:spacing w:val="-8"/>
          <w:sz w:val="15"/>
        </w:rPr>
        <w:t xml:space="preserve"> </w:t>
      </w:r>
      <w:r>
        <w:rPr>
          <w:color w:val="231F20"/>
          <w:sz w:val="15"/>
        </w:rPr>
        <w:t>apod.);</w:t>
      </w:r>
    </w:p>
    <w:p w14:paraId="1480B388" w14:textId="77777777" w:rsidR="00F65BCA" w:rsidRDefault="00216117">
      <w:pPr>
        <w:pStyle w:val="Odstavecseseznamem"/>
        <w:numPr>
          <w:ilvl w:val="0"/>
          <w:numId w:val="108"/>
        </w:numPr>
        <w:tabs>
          <w:tab w:val="left" w:pos="638"/>
        </w:tabs>
        <w:spacing w:line="278" w:lineRule="auto"/>
        <w:ind w:right="425"/>
        <w:jc w:val="both"/>
        <w:rPr>
          <w:sz w:val="15"/>
        </w:rPr>
      </w:pPr>
      <w:r>
        <w:rPr>
          <w:color w:val="231F20"/>
          <w:sz w:val="15"/>
        </w:rPr>
        <w:t>vzniklé</w:t>
      </w:r>
      <w:r>
        <w:rPr>
          <w:color w:val="231F20"/>
          <w:spacing w:val="-14"/>
          <w:sz w:val="15"/>
        </w:rPr>
        <w:t xml:space="preserve"> </w:t>
      </w:r>
      <w:r>
        <w:rPr>
          <w:color w:val="231F20"/>
          <w:sz w:val="15"/>
        </w:rPr>
        <w:t>v</w:t>
      </w:r>
      <w:r>
        <w:rPr>
          <w:color w:val="231F20"/>
          <w:spacing w:val="-13"/>
          <w:sz w:val="15"/>
        </w:rPr>
        <w:t xml:space="preserve"> </w:t>
      </w:r>
      <w:r>
        <w:rPr>
          <w:color w:val="231F20"/>
          <w:sz w:val="15"/>
        </w:rPr>
        <w:t>souvislosti</w:t>
      </w:r>
      <w:r>
        <w:rPr>
          <w:color w:val="231F20"/>
          <w:spacing w:val="-13"/>
          <w:sz w:val="15"/>
        </w:rPr>
        <w:t xml:space="preserve"> </w:t>
      </w:r>
      <w:r>
        <w:rPr>
          <w:color w:val="231F20"/>
          <w:sz w:val="15"/>
        </w:rPr>
        <w:t>s</w:t>
      </w:r>
      <w:r>
        <w:rPr>
          <w:color w:val="231F20"/>
          <w:spacing w:val="-13"/>
          <w:sz w:val="15"/>
        </w:rPr>
        <w:t xml:space="preserve"> </w:t>
      </w:r>
      <w:r>
        <w:rPr>
          <w:color w:val="231F20"/>
          <w:sz w:val="15"/>
        </w:rPr>
        <w:t>únikem</w:t>
      </w:r>
      <w:r>
        <w:rPr>
          <w:color w:val="231F20"/>
          <w:spacing w:val="-13"/>
          <w:sz w:val="15"/>
        </w:rPr>
        <w:t xml:space="preserve"> </w:t>
      </w:r>
      <w:r>
        <w:rPr>
          <w:color w:val="231F20"/>
          <w:sz w:val="15"/>
        </w:rPr>
        <w:t>nebo</w:t>
      </w:r>
      <w:r>
        <w:rPr>
          <w:color w:val="231F20"/>
          <w:spacing w:val="-14"/>
          <w:sz w:val="15"/>
        </w:rPr>
        <w:t xml:space="preserve"> </w:t>
      </w:r>
      <w:r>
        <w:rPr>
          <w:color w:val="231F20"/>
          <w:sz w:val="15"/>
        </w:rPr>
        <w:t>nedostatkem</w:t>
      </w:r>
      <w:r>
        <w:rPr>
          <w:color w:val="231F20"/>
          <w:spacing w:val="-13"/>
          <w:sz w:val="15"/>
        </w:rPr>
        <w:t xml:space="preserve"> </w:t>
      </w:r>
      <w:r>
        <w:rPr>
          <w:color w:val="231F20"/>
          <w:sz w:val="15"/>
        </w:rPr>
        <w:t>provozních</w:t>
      </w:r>
      <w:r>
        <w:rPr>
          <w:color w:val="231F20"/>
          <w:spacing w:val="-13"/>
          <w:sz w:val="15"/>
        </w:rPr>
        <w:t xml:space="preserve"> </w:t>
      </w:r>
      <w:r>
        <w:rPr>
          <w:color w:val="231F20"/>
          <w:sz w:val="15"/>
        </w:rPr>
        <w:t>kapalin</w:t>
      </w:r>
      <w:r>
        <w:rPr>
          <w:color w:val="231F20"/>
          <w:spacing w:val="-13"/>
          <w:sz w:val="15"/>
        </w:rPr>
        <w:t xml:space="preserve"> </w:t>
      </w:r>
      <w:r>
        <w:rPr>
          <w:color w:val="231F20"/>
          <w:spacing w:val="-3"/>
          <w:sz w:val="15"/>
        </w:rPr>
        <w:t xml:space="preserve">(např. </w:t>
      </w:r>
      <w:r>
        <w:rPr>
          <w:color w:val="231F20"/>
          <w:sz w:val="15"/>
        </w:rPr>
        <w:t>zadření motoru, převodovky nebo jejich části</w:t>
      </w:r>
      <w:r>
        <w:rPr>
          <w:color w:val="231F20"/>
          <w:spacing w:val="-17"/>
          <w:sz w:val="15"/>
        </w:rPr>
        <w:t xml:space="preserve"> </w:t>
      </w:r>
      <w:r>
        <w:rPr>
          <w:color w:val="231F20"/>
          <w:sz w:val="15"/>
        </w:rPr>
        <w:t>apod.);</w:t>
      </w:r>
    </w:p>
    <w:p w14:paraId="287415E4" w14:textId="77777777" w:rsidR="00F65BCA" w:rsidRDefault="00216117">
      <w:pPr>
        <w:pStyle w:val="Odstavecseseznamem"/>
        <w:numPr>
          <w:ilvl w:val="0"/>
          <w:numId w:val="108"/>
        </w:numPr>
        <w:tabs>
          <w:tab w:val="left" w:pos="638"/>
        </w:tabs>
        <w:spacing w:line="278" w:lineRule="auto"/>
        <w:ind w:right="424"/>
        <w:jc w:val="both"/>
        <w:rPr>
          <w:sz w:val="15"/>
        </w:rPr>
      </w:pPr>
      <w:r>
        <w:rPr>
          <w:color w:val="231F20"/>
          <w:sz w:val="15"/>
        </w:rPr>
        <w:t>řízení</w:t>
      </w:r>
      <w:r>
        <w:rPr>
          <w:color w:val="231F20"/>
          <w:spacing w:val="-7"/>
          <w:sz w:val="15"/>
        </w:rPr>
        <w:t xml:space="preserve"> </w:t>
      </w:r>
      <w:r>
        <w:rPr>
          <w:color w:val="231F20"/>
          <w:sz w:val="15"/>
        </w:rPr>
        <w:t>vozidla</w:t>
      </w:r>
      <w:r>
        <w:rPr>
          <w:color w:val="231F20"/>
          <w:spacing w:val="-7"/>
          <w:sz w:val="15"/>
        </w:rPr>
        <w:t xml:space="preserve"> </w:t>
      </w:r>
      <w:r>
        <w:rPr>
          <w:color w:val="231F20"/>
          <w:sz w:val="15"/>
        </w:rPr>
        <w:t>osobou,</w:t>
      </w:r>
      <w:r>
        <w:rPr>
          <w:color w:val="231F20"/>
          <w:spacing w:val="-7"/>
          <w:sz w:val="15"/>
        </w:rPr>
        <w:t xml:space="preserve"> </w:t>
      </w:r>
      <w:r>
        <w:rPr>
          <w:color w:val="231F20"/>
          <w:sz w:val="15"/>
        </w:rPr>
        <w:t>která</w:t>
      </w:r>
      <w:r>
        <w:rPr>
          <w:color w:val="231F20"/>
          <w:spacing w:val="-7"/>
          <w:sz w:val="15"/>
        </w:rPr>
        <w:t xml:space="preserve"> </w:t>
      </w:r>
      <w:r>
        <w:rPr>
          <w:color w:val="231F20"/>
          <w:sz w:val="15"/>
        </w:rPr>
        <w:t>nemá</w:t>
      </w:r>
      <w:r>
        <w:rPr>
          <w:color w:val="231F20"/>
          <w:spacing w:val="-7"/>
          <w:sz w:val="15"/>
        </w:rPr>
        <w:t xml:space="preserve"> </w:t>
      </w:r>
      <w:r>
        <w:rPr>
          <w:color w:val="231F20"/>
          <w:sz w:val="15"/>
        </w:rPr>
        <w:t>k</w:t>
      </w:r>
      <w:r>
        <w:rPr>
          <w:color w:val="231F20"/>
          <w:spacing w:val="-7"/>
          <w:sz w:val="15"/>
        </w:rPr>
        <w:t xml:space="preserve"> </w:t>
      </w:r>
      <w:r>
        <w:rPr>
          <w:color w:val="231F20"/>
          <w:sz w:val="15"/>
        </w:rPr>
        <w:t>jeho</w:t>
      </w:r>
      <w:r>
        <w:rPr>
          <w:color w:val="231F20"/>
          <w:spacing w:val="-7"/>
          <w:sz w:val="15"/>
        </w:rPr>
        <w:t xml:space="preserve"> </w:t>
      </w:r>
      <w:r>
        <w:rPr>
          <w:color w:val="231F20"/>
          <w:sz w:val="15"/>
        </w:rPr>
        <w:t>řízení</w:t>
      </w:r>
      <w:r>
        <w:rPr>
          <w:color w:val="231F20"/>
          <w:spacing w:val="-7"/>
          <w:sz w:val="15"/>
        </w:rPr>
        <w:t xml:space="preserve"> </w:t>
      </w:r>
      <w:r>
        <w:rPr>
          <w:color w:val="231F20"/>
          <w:sz w:val="15"/>
        </w:rPr>
        <w:t>příslušné</w:t>
      </w:r>
      <w:r>
        <w:rPr>
          <w:color w:val="231F20"/>
          <w:spacing w:val="-7"/>
          <w:sz w:val="15"/>
        </w:rPr>
        <w:t xml:space="preserve"> </w:t>
      </w:r>
      <w:r>
        <w:rPr>
          <w:color w:val="231F20"/>
          <w:sz w:val="15"/>
        </w:rPr>
        <w:t>oprávnění,</w:t>
      </w:r>
      <w:r>
        <w:rPr>
          <w:color w:val="231F20"/>
          <w:spacing w:val="-7"/>
          <w:sz w:val="15"/>
        </w:rPr>
        <w:t xml:space="preserve"> </w:t>
      </w:r>
      <w:r>
        <w:rPr>
          <w:color w:val="231F20"/>
          <w:sz w:val="15"/>
        </w:rPr>
        <w:t>nebo v</w:t>
      </w:r>
      <w:r>
        <w:rPr>
          <w:color w:val="231F20"/>
          <w:spacing w:val="-11"/>
          <w:sz w:val="15"/>
        </w:rPr>
        <w:t xml:space="preserve"> </w:t>
      </w:r>
      <w:r>
        <w:rPr>
          <w:color w:val="231F20"/>
          <w:sz w:val="15"/>
        </w:rPr>
        <w:t>době,</w:t>
      </w:r>
      <w:r>
        <w:rPr>
          <w:color w:val="231F20"/>
          <w:spacing w:val="-10"/>
          <w:sz w:val="15"/>
        </w:rPr>
        <w:t xml:space="preserve"> </w:t>
      </w:r>
      <w:r>
        <w:rPr>
          <w:color w:val="231F20"/>
          <w:sz w:val="15"/>
        </w:rPr>
        <w:t>kdy</w:t>
      </w:r>
      <w:r>
        <w:rPr>
          <w:color w:val="231F20"/>
          <w:spacing w:val="-11"/>
          <w:sz w:val="15"/>
        </w:rPr>
        <w:t xml:space="preserve"> </w:t>
      </w:r>
      <w:r>
        <w:rPr>
          <w:color w:val="231F20"/>
          <w:sz w:val="15"/>
        </w:rPr>
        <w:t>jí</w:t>
      </w:r>
      <w:r>
        <w:rPr>
          <w:color w:val="231F20"/>
          <w:spacing w:val="-10"/>
          <w:sz w:val="15"/>
        </w:rPr>
        <w:t xml:space="preserve"> </w:t>
      </w:r>
      <w:r>
        <w:rPr>
          <w:color w:val="231F20"/>
          <w:sz w:val="15"/>
        </w:rPr>
        <w:t>bylo</w:t>
      </w:r>
      <w:r>
        <w:rPr>
          <w:color w:val="231F20"/>
          <w:spacing w:val="-11"/>
          <w:sz w:val="15"/>
        </w:rPr>
        <w:t xml:space="preserve"> </w:t>
      </w:r>
      <w:r>
        <w:rPr>
          <w:color w:val="231F20"/>
          <w:sz w:val="15"/>
        </w:rPr>
        <w:t>toto</w:t>
      </w:r>
      <w:r>
        <w:rPr>
          <w:color w:val="231F20"/>
          <w:spacing w:val="-10"/>
          <w:sz w:val="15"/>
        </w:rPr>
        <w:t xml:space="preserve"> </w:t>
      </w:r>
      <w:r>
        <w:rPr>
          <w:color w:val="231F20"/>
          <w:sz w:val="15"/>
        </w:rPr>
        <w:t>oprávnění</w:t>
      </w:r>
      <w:r>
        <w:rPr>
          <w:color w:val="231F20"/>
          <w:spacing w:val="-11"/>
          <w:sz w:val="15"/>
        </w:rPr>
        <w:t xml:space="preserve"> </w:t>
      </w:r>
      <w:r>
        <w:rPr>
          <w:color w:val="231F20"/>
          <w:sz w:val="15"/>
        </w:rPr>
        <w:t>pozastaveno,</w:t>
      </w:r>
      <w:r>
        <w:rPr>
          <w:color w:val="231F20"/>
          <w:spacing w:val="-10"/>
          <w:sz w:val="15"/>
        </w:rPr>
        <w:t xml:space="preserve"> </w:t>
      </w:r>
      <w:r>
        <w:rPr>
          <w:color w:val="231F20"/>
          <w:sz w:val="15"/>
        </w:rPr>
        <w:t>resp.</w:t>
      </w:r>
      <w:r>
        <w:rPr>
          <w:color w:val="231F20"/>
          <w:spacing w:val="-11"/>
          <w:sz w:val="15"/>
        </w:rPr>
        <w:t xml:space="preserve"> </w:t>
      </w:r>
      <w:r>
        <w:rPr>
          <w:color w:val="231F20"/>
          <w:sz w:val="15"/>
        </w:rPr>
        <w:t>v</w:t>
      </w:r>
      <w:r>
        <w:rPr>
          <w:color w:val="231F20"/>
          <w:spacing w:val="-10"/>
          <w:sz w:val="15"/>
        </w:rPr>
        <w:t xml:space="preserve"> </w:t>
      </w:r>
      <w:r>
        <w:rPr>
          <w:color w:val="231F20"/>
          <w:sz w:val="15"/>
        </w:rPr>
        <w:t>době</w:t>
      </w:r>
      <w:r>
        <w:rPr>
          <w:color w:val="231F20"/>
          <w:spacing w:val="-11"/>
          <w:sz w:val="15"/>
        </w:rPr>
        <w:t xml:space="preserve"> </w:t>
      </w:r>
      <w:r>
        <w:rPr>
          <w:color w:val="231F20"/>
          <w:sz w:val="15"/>
        </w:rPr>
        <w:t>zákazu</w:t>
      </w:r>
      <w:r>
        <w:rPr>
          <w:color w:val="231F20"/>
          <w:spacing w:val="-10"/>
          <w:sz w:val="15"/>
        </w:rPr>
        <w:t xml:space="preserve"> </w:t>
      </w:r>
      <w:r>
        <w:rPr>
          <w:color w:val="231F20"/>
          <w:sz w:val="15"/>
        </w:rPr>
        <w:t>řízení takového</w:t>
      </w:r>
      <w:r>
        <w:rPr>
          <w:color w:val="231F20"/>
          <w:spacing w:val="-1"/>
          <w:sz w:val="15"/>
        </w:rPr>
        <w:t xml:space="preserve"> </w:t>
      </w:r>
      <w:r>
        <w:rPr>
          <w:color w:val="231F20"/>
          <w:sz w:val="15"/>
        </w:rPr>
        <w:t>vozidla;</w:t>
      </w:r>
    </w:p>
    <w:p w14:paraId="08788920" w14:textId="77777777" w:rsidR="00F65BCA" w:rsidRDefault="00F65BCA">
      <w:pPr>
        <w:spacing w:line="278" w:lineRule="auto"/>
        <w:jc w:val="both"/>
        <w:rPr>
          <w:sz w:val="15"/>
        </w:rPr>
        <w:sectPr w:rsidR="00F65BCA">
          <w:pgSz w:w="11910" w:h="16840"/>
          <w:pgMar w:top="520" w:right="140" w:bottom="0" w:left="140" w:header="708" w:footer="708" w:gutter="0"/>
          <w:cols w:num="2" w:space="708" w:equalWidth="0">
            <w:col w:w="5703" w:space="40"/>
            <w:col w:w="5887"/>
          </w:cols>
        </w:sectPr>
      </w:pPr>
    </w:p>
    <w:p w14:paraId="13313412" w14:textId="77777777" w:rsidR="00F65BCA" w:rsidRDefault="00000000">
      <w:pPr>
        <w:pStyle w:val="Odstavecseseznamem"/>
        <w:numPr>
          <w:ilvl w:val="0"/>
          <w:numId w:val="108"/>
        </w:numPr>
        <w:tabs>
          <w:tab w:val="left" w:pos="881"/>
        </w:tabs>
        <w:spacing w:before="75" w:line="278" w:lineRule="auto"/>
        <w:ind w:left="880" w:right="2"/>
        <w:jc w:val="both"/>
        <w:rPr>
          <w:sz w:val="15"/>
        </w:rPr>
      </w:pPr>
      <w:r>
        <w:lastRenderedPageBreak/>
        <w:pict w14:anchorId="293A09A0">
          <v:group id="_x0000_s2269" style="position:absolute;left:0;text-align:left;margin-left:0;margin-top:807.85pt;width:595.3pt;height:34.05pt;z-index:251864064;mso-position-horizontal-relative:page;mso-position-vertical-relative:page" coordorigin=",16157" coordsize="11906,681">
            <v:rect id="_x0000_s2272" style="position:absolute;top:16157;width:11906;height:681" fillcolor="#dcddde" stroked="f"/>
            <v:shape id="_x0000_s2271" type="#_x0000_t202" style="position:absolute;left:793;top:16420;width:5475;height:234" filled="f" stroked="f">
              <v:textbox inset="0,0,0,0">
                <w:txbxContent>
                  <w:p w14:paraId="29A6FF37" w14:textId="77777777" w:rsidR="00F65BCA" w:rsidRDefault="00216117">
                    <w:pPr>
                      <w:spacing w:before="3"/>
                      <w:rPr>
                        <w:sz w:val="16"/>
                      </w:rPr>
                    </w:pPr>
                    <w:r>
                      <w:rPr>
                        <w:color w:val="231F20"/>
                        <w:sz w:val="16"/>
                      </w:rPr>
                      <w:t xml:space="preserve">22 </w:t>
                    </w:r>
                    <w:r>
                      <w:rPr>
                        <w:color w:val="6D6E71"/>
                        <w:sz w:val="20"/>
                      </w:rPr>
                      <w:t xml:space="preserve">| </w:t>
                    </w:r>
                    <w:r>
                      <w:rPr>
                        <w:color w:val="231F20"/>
                        <w:sz w:val="16"/>
                      </w:rPr>
                      <w:t>Všeobecné pojistné podmínky pro pojištění vozidel VPPPMV-F-5/2025</w:t>
                    </w:r>
                  </w:p>
                </w:txbxContent>
              </v:textbox>
            </v:shape>
            <v:shape id="_x0000_s2270" type="#_x0000_t202" style="position:absolute;left:9491;top:16477;width:1414;height:164" filled="f" stroked="f">
              <v:textbox inset="0,0,0,0">
                <w:txbxContent>
                  <w:p w14:paraId="51DA84E2" w14:textId="77777777" w:rsidR="00F65BCA" w:rsidRDefault="00216117">
                    <w:pPr>
                      <w:spacing w:before="2"/>
                      <w:rPr>
                        <w:sz w:val="14"/>
                      </w:rPr>
                    </w:pPr>
                    <w:r>
                      <w:rPr>
                        <w:color w:val="231F20"/>
                        <w:sz w:val="14"/>
                      </w:rPr>
                      <w:t>6.20.012 05.2025 v04</w:t>
                    </w:r>
                  </w:p>
                </w:txbxContent>
              </v:textbox>
            </v:shape>
            <w10:wrap anchorx="page" anchory="page"/>
          </v:group>
        </w:pict>
      </w:r>
      <w:r w:rsidR="00216117">
        <w:rPr>
          <w:color w:val="231F20"/>
          <w:sz w:val="15"/>
        </w:rPr>
        <w:t>řízení</w:t>
      </w:r>
      <w:r w:rsidR="00216117">
        <w:rPr>
          <w:color w:val="231F20"/>
          <w:spacing w:val="-28"/>
          <w:sz w:val="15"/>
        </w:rPr>
        <w:t xml:space="preserve"> </w:t>
      </w:r>
      <w:r w:rsidR="00216117">
        <w:rPr>
          <w:color w:val="231F20"/>
          <w:sz w:val="15"/>
        </w:rPr>
        <w:t>vozidla</w:t>
      </w:r>
      <w:r w:rsidR="00216117">
        <w:rPr>
          <w:color w:val="231F20"/>
          <w:spacing w:val="-28"/>
          <w:sz w:val="15"/>
        </w:rPr>
        <w:t xml:space="preserve"> </w:t>
      </w:r>
      <w:r w:rsidR="00216117">
        <w:rPr>
          <w:color w:val="231F20"/>
          <w:sz w:val="15"/>
        </w:rPr>
        <w:t>osobou,</w:t>
      </w:r>
      <w:r w:rsidR="00216117">
        <w:rPr>
          <w:color w:val="231F20"/>
          <w:spacing w:val="-27"/>
          <w:sz w:val="15"/>
        </w:rPr>
        <w:t xml:space="preserve"> </w:t>
      </w:r>
      <w:r w:rsidR="00216117">
        <w:rPr>
          <w:color w:val="231F20"/>
          <w:sz w:val="15"/>
        </w:rPr>
        <w:t>která</w:t>
      </w:r>
      <w:r w:rsidR="00216117">
        <w:rPr>
          <w:color w:val="231F20"/>
          <w:spacing w:val="-28"/>
          <w:sz w:val="15"/>
        </w:rPr>
        <w:t xml:space="preserve"> </w:t>
      </w:r>
      <w:r w:rsidR="00216117">
        <w:rPr>
          <w:color w:val="231F20"/>
          <w:sz w:val="15"/>
        </w:rPr>
        <w:t>požila</w:t>
      </w:r>
      <w:r w:rsidR="00216117">
        <w:rPr>
          <w:color w:val="231F20"/>
          <w:spacing w:val="-28"/>
          <w:sz w:val="15"/>
        </w:rPr>
        <w:t xml:space="preserve"> </w:t>
      </w:r>
      <w:r w:rsidR="00216117">
        <w:rPr>
          <w:color w:val="231F20"/>
          <w:sz w:val="15"/>
        </w:rPr>
        <w:t>nebo</w:t>
      </w:r>
      <w:r w:rsidR="00216117">
        <w:rPr>
          <w:color w:val="231F20"/>
          <w:spacing w:val="-27"/>
          <w:sz w:val="15"/>
        </w:rPr>
        <w:t xml:space="preserve"> </w:t>
      </w:r>
      <w:r w:rsidR="00216117">
        <w:rPr>
          <w:color w:val="231F20"/>
          <w:sz w:val="15"/>
        </w:rPr>
        <w:t>užila</w:t>
      </w:r>
      <w:r w:rsidR="00216117">
        <w:rPr>
          <w:color w:val="231F20"/>
          <w:spacing w:val="-28"/>
          <w:sz w:val="15"/>
        </w:rPr>
        <w:t xml:space="preserve"> </w:t>
      </w:r>
      <w:r w:rsidR="00216117">
        <w:rPr>
          <w:color w:val="231F20"/>
          <w:sz w:val="15"/>
        </w:rPr>
        <w:t>alkohol,</w:t>
      </w:r>
      <w:r w:rsidR="00216117">
        <w:rPr>
          <w:color w:val="231F20"/>
          <w:spacing w:val="-27"/>
          <w:sz w:val="15"/>
        </w:rPr>
        <w:t xml:space="preserve"> </w:t>
      </w:r>
      <w:r w:rsidR="00216117">
        <w:rPr>
          <w:color w:val="231F20"/>
          <w:spacing w:val="-3"/>
          <w:sz w:val="15"/>
        </w:rPr>
        <w:t>drogy</w:t>
      </w:r>
      <w:r w:rsidR="00216117">
        <w:rPr>
          <w:color w:val="231F20"/>
          <w:spacing w:val="-28"/>
          <w:sz w:val="15"/>
        </w:rPr>
        <w:t xml:space="preserve"> </w:t>
      </w:r>
      <w:r w:rsidR="00216117">
        <w:rPr>
          <w:color w:val="231F20"/>
          <w:sz w:val="15"/>
        </w:rPr>
        <w:t>nebo</w:t>
      </w:r>
      <w:r w:rsidR="00216117">
        <w:rPr>
          <w:color w:val="231F20"/>
          <w:spacing w:val="-28"/>
          <w:sz w:val="15"/>
        </w:rPr>
        <w:t xml:space="preserve"> </w:t>
      </w:r>
      <w:r w:rsidR="00216117">
        <w:rPr>
          <w:color w:val="231F20"/>
          <w:sz w:val="15"/>
        </w:rPr>
        <w:t>jiné</w:t>
      </w:r>
      <w:r w:rsidR="00216117">
        <w:rPr>
          <w:color w:val="231F20"/>
          <w:spacing w:val="-27"/>
          <w:sz w:val="15"/>
        </w:rPr>
        <w:t xml:space="preserve"> </w:t>
      </w:r>
      <w:r w:rsidR="00216117">
        <w:rPr>
          <w:color w:val="231F20"/>
          <w:sz w:val="15"/>
        </w:rPr>
        <w:t xml:space="preserve">omam- né či návykové </w:t>
      </w:r>
      <w:r w:rsidR="00216117">
        <w:rPr>
          <w:color w:val="231F20"/>
          <w:spacing w:val="-4"/>
          <w:sz w:val="15"/>
        </w:rPr>
        <w:t xml:space="preserve">látky, </w:t>
      </w:r>
      <w:r w:rsidR="00216117">
        <w:rPr>
          <w:color w:val="231F20"/>
          <w:sz w:val="15"/>
        </w:rPr>
        <w:t xml:space="preserve">pokud příslušné </w:t>
      </w:r>
      <w:r w:rsidR="00216117">
        <w:rPr>
          <w:color w:val="231F20"/>
          <w:spacing w:val="-3"/>
          <w:sz w:val="15"/>
        </w:rPr>
        <w:t xml:space="preserve">předpisy </w:t>
      </w:r>
      <w:r w:rsidR="00216117">
        <w:rPr>
          <w:color w:val="231F20"/>
          <w:sz w:val="15"/>
        </w:rPr>
        <w:t xml:space="preserve">o bezpečnosti a plynulosti </w:t>
      </w:r>
      <w:r w:rsidR="00216117">
        <w:rPr>
          <w:color w:val="231F20"/>
          <w:spacing w:val="-3"/>
          <w:sz w:val="15"/>
        </w:rPr>
        <w:t>provozu</w:t>
      </w:r>
      <w:r w:rsidR="00216117">
        <w:rPr>
          <w:color w:val="231F20"/>
          <w:spacing w:val="-26"/>
          <w:sz w:val="15"/>
        </w:rPr>
        <w:t xml:space="preserve"> </w:t>
      </w:r>
      <w:r w:rsidR="00216117">
        <w:rPr>
          <w:color w:val="231F20"/>
          <w:sz w:val="15"/>
        </w:rPr>
        <w:t>řízení</w:t>
      </w:r>
      <w:r w:rsidR="00216117">
        <w:rPr>
          <w:color w:val="231F20"/>
          <w:spacing w:val="-25"/>
          <w:sz w:val="15"/>
        </w:rPr>
        <w:t xml:space="preserve"> </w:t>
      </w:r>
      <w:r w:rsidR="00216117">
        <w:rPr>
          <w:color w:val="231F20"/>
          <w:sz w:val="15"/>
        </w:rPr>
        <w:t>po</w:t>
      </w:r>
      <w:r w:rsidR="00216117">
        <w:rPr>
          <w:color w:val="231F20"/>
          <w:spacing w:val="-26"/>
          <w:sz w:val="15"/>
        </w:rPr>
        <w:t xml:space="preserve"> </w:t>
      </w:r>
      <w:r w:rsidR="00216117">
        <w:rPr>
          <w:color w:val="231F20"/>
          <w:sz w:val="15"/>
        </w:rPr>
        <w:t>požití</w:t>
      </w:r>
      <w:r w:rsidR="00216117">
        <w:rPr>
          <w:color w:val="231F20"/>
          <w:spacing w:val="-25"/>
          <w:sz w:val="15"/>
        </w:rPr>
        <w:t xml:space="preserve"> </w:t>
      </w:r>
      <w:r w:rsidR="00216117">
        <w:rPr>
          <w:color w:val="231F20"/>
          <w:sz w:val="15"/>
        </w:rPr>
        <w:t>nebo</w:t>
      </w:r>
      <w:r w:rsidR="00216117">
        <w:rPr>
          <w:color w:val="231F20"/>
          <w:spacing w:val="-26"/>
          <w:sz w:val="15"/>
        </w:rPr>
        <w:t xml:space="preserve"> </w:t>
      </w:r>
      <w:r w:rsidR="00216117">
        <w:rPr>
          <w:color w:val="231F20"/>
          <w:sz w:val="15"/>
        </w:rPr>
        <w:t>užití</w:t>
      </w:r>
      <w:r w:rsidR="00216117">
        <w:rPr>
          <w:color w:val="231F20"/>
          <w:spacing w:val="-25"/>
          <w:sz w:val="15"/>
        </w:rPr>
        <w:t xml:space="preserve"> </w:t>
      </w:r>
      <w:r w:rsidR="00216117">
        <w:rPr>
          <w:color w:val="231F20"/>
          <w:sz w:val="15"/>
        </w:rPr>
        <w:t>těchto</w:t>
      </w:r>
      <w:r w:rsidR="00216117">
        <w:rPr>
          <w:color w:val="231F20"/>
          <w:spacing w:val="-26"/>
          <w:sz w:val="15"/>
        </w:rPr>
        <w:t xml:space="preserve"> </w:t>
      </w:r>
      <w:r w:rsidR="00216117">
        <w:rPr>
          <w:color w:val="231F20"/>
          <w:sz w:val="15"/>
        </w:rPr>
        <w:t>látek</w:t>
      </w:r>
      <w:r w:rsidR="00216117">
        <w:rPr>
          <w:color w:val="231F20"/>
          <w:spacing w:val="-25"/>
          <w:sz w:val="15"/>
        </w:rPr>
        <w:t xml:space="preserve"> </w:t>
      </w:r>
      <w:r w:rsidR="00216117">
        <w:rPr>
          <w:color w:val="231F20"/>
          <w:sz w:val="15"/>
        </w:rPr>
        <w:t>zakazují</w:t>
      </w:r>
      <w:r w:rsidR="00216117">
        <w:rPr>
          <w:color w:val="231F20"/>
          <w:spacing w:val="-26"/>
          <w:sz w:val="15"/>
        </w:rPr>
        <w:t xml:space="preserve"> </w:t>
      </w:r>
      <w:r w:rsidR="00216117">
        <w:rPr>
          <w:color w:val="231F20"/>
          <w:sz w:val="15"/>
        </w:rPr>
        <w:t>zcela,</w:t>
      </w:r>
      <w:r w:rsidR="00216117">
        <w:rPr>
          <w:color w:val="231F20"/>
          <w:spacing w:val="-25"/>
          <w:sz w:val="15"/>
        </w:rPr>
        <w:t xml:space="preserve"> </w:t>
      </w:r>
      <w:r w:rsidR="00216117">
        <w:rPr>
          <w:color w:val="231F20"/>
          <w:sz w:val="15"/>
        </w:rPr>
        <w:t>nebo</w:t>
      </w:r>
      <w:r w:rsidR="00216117">
        <w:rPr>
          <w:color w:val="231F20"/>
          <w:spacing w:val="-26"/>
          <w:sz w:val="15"/>
        </w:rPr>
        <w:t xml:space="preserve"> </w:t>
      </w:r>
      <w:r w:rsidR="00216117">
        <w:rPr>
          <w:color w:val="231F20"/>
          <w:sz w:val="15"/>
        </w:rPr>
        <w:t>v</w:t>
      </w:r>
      <w:r w:rsidR="00216117">
        <w:rPr>
          <w:color w:val="231F20"/>
          <w:spacing w:val="-25"/>
          <w:sz w:val="15"/>
        </w:rPr>
        <w:t xml:space="preserve"> </w:t>
      </w:r>
      <w:r w:rsidR="00216117">
        <w:rPr>
          <w:color w:val="231F20"/>
          <w:spacing w:val="-3"/>
          <w:sz w:val="15"/>
        </w:rPr>
        <w:t xml:space="preserve">rozsahu </w:t>
      </w:r>
      <w:r w:rsidR="00216117">
        <w:rPr>
          <w:color w:val="231F20"/>
          <w:sz w:val="15"/>
        </w:rPr>
        <w:t>větším,</w:t>
      </w:r>
      <w:r w:rsidR="00216117">
        <w:rPr>
          <w:color w:val="231F20"/>
          <w:spacing w:val="-19"/>
          <w:sz w:val="15"/>
        </w:rPr>
        <w:t xml:space="preserve"> </w:t>
      </w:r>
      <w:r w:rsidR="00216117">
        <w:rPr>
          <w:color w:val="231F20"/>
          <w:sz w:val="15"/>
        </w:rPr>
        <w:t>než</w:t>
      </w:r>
      <w:r w:rsidR="00216117">
        <w:rPr>
          <w:color w:val="231F20"/>
          <w:spacing w:val="-19"/>
          <w:sz w:val="15"/>
        </w:rPr>
        <w:t xml:space="preserve"> </w:t>
      </w:r>
      <w:r w:rsidR="00216117">
        <w:rPr>
          <w:color w:val="231F20"/>
          <w:sz w:val="15"/>
        </w:rPr>
        <w:t>příslušné</w:t>
      </w:r>
      <w:r w:rsidR="00216117">
        <w:rPr>
          <w:color w:val="231F20"/>
          <w:spacing w:val="-18"/>
          <w:sz w:val="15"/>
        </w:rPr>
        <w:t xml:space="preserve"> </w:t>
      </w:r>
      <w:r w:rsidR="00216117">
        <w:rPr>
          <w:color w:val="231F20"/>
          <w:sz w:val="15"/>
        </w:rPr>
        <w:t>předpisy</w:t>
      </w:r>
      <w:r w:rsidR="00216117">
        <w:rPr>
          <w:color w:val="231F20"/>
          <w:spacing w:val="-19"/>
          <w:sz w:val="15"/>
        </w:rPr>
        <w:t xml:space="preserve"> </w:t>
      </w:r>
      <w:r w:rsidR="00216117">
        <w:rPr>
          <w:color w:val="231F20"/>
          <w:sz w:val="15"/>
        </w:rPr>
        <w:t>o</w:t>
      </w:r>
      <w:r w:rsidR="00216117">
        <w:rPr>
          <w:color w:val="231F20"/>
          <w:spacing w:val="-18"/>
          <w:sz w:val="15"/>
        </w:rPr>
        <w:t xml:space="preserve"> </w:t>
      </w:r>
      <w:r w:rsidR="00216117">
        <w:rPr>
          <w:color w:val="231F20"/>
          <w:sz w:val="15"/>
        </w:rPr>
        <w:t>bezpečnosti</w:t>
      </w:r>
      <w:r w:rsidR="00216117">
        <w:rPr>
          <w:color w:val="231F20"/>
          <w:spacing w:val="-19"/>
          <w:sz w:val="15"/>
        </w:rPr>
        <w:t xml:space="preserve"> </w:t>
      </w:r>
      <w:r w:rsidR="00216117">
        <w:rPr>
          <w:color w:val="231F20"/>
          <w:sz w:val="15"/>
        </w:rPr>
        <w:t>a</w:t>
      </w:r>
      <w:r w:rsidR="00216117">
        <w:rPr>
          <w:color w:val="231F20"/>
          <w:spacing w:val="-18"/>
          <w:sz w:val="15"/>
        </w:rPr>
        <w:t xml:space="preserve"> </w:t>
      </w:r>
      <w:r w:rsidR="00216117">
        <w:rPr>
          <w:color w:val="231F20"/>
          <w:sz w:val="15"/>
        </w:rPr>
        <w:t>plynulosti</w:t>
      </w:r>
      <w:r w:rsidR="00216117">
        <w:rPr>
          <w:color w:val="231F20"/>
          <w:spacing w:val="-19"/>
          <w:sz w:val="15"/>
        </w:rPr>
        <w:t xml:space="preserve"> </w:t>
      </w:r>
      <w:r w:rsidR="00216117">
        <w:rPr>
          <w:color w:val="231F20"/>
          <w:sz w:val="15"/>
        </w:rPr>
        <w:t>provozu</w:t>
      </w:r>
      <w:r w:rsidR="00216117">
        <w:rPr>
          <w:color w:val="231F20"/>
          <w:spacing w:val="-18"/>
          <w:sz w:val="15"/>
        </w:rPr>
        <w:t xml:space="preserve"> </w:t>
      </w:r>
      <w:r w:rsidR="00216117">
        <w:rPr>
          <w:color w:val="231F20"/>
          <w:sz w:val="15"/>
        </w:rPr>
        <w:t>povolují;</w:t>
      </w:r>
    </w:p>
    <w:p w14:paraId="61A746CB" w14:textId="77777777" w:rsidR="00F65BCA" w:rsidRDefault="00216117">
      <w:pPr>
        <w:pStyle w:val="Zkladntext"/>
        <w:spacing w:line="278" w:lineRule="auto"/>
        <w:ind w:left="880" w:hanging="171"/>
        <w:jc w:val="both"/>
      </w:pPr>
      <w:r>
        <w:rPr>
          <w:color w:val="231F20"/>
        </w:rPr>
        <w:t>m</w:t>
      </w:r>
      <w:r>
        <w:rPr>
          <w:color w:val="231F20"/>
          <w:spacing w:val="-16"/>
        </w:rPr>
        <w:t xml:space="preserve"> </w:t>
      </w:r>
      <w:r>
        <w:rPr>
          <w:color w:val="231F20"/>
          <w:spacing w:val="2"/>
        </w:rPr>
        <w:t>řízení</w:t>
      </w:r>
      <w:r>
        <w:rPr>
          <w:color w:val="231F20"/>
          <w:spacing w:val="-19"/>
        </w:rPr>
        <w:t xml:space="preserve"> </w:t>
      </w:r>
      <w:r>
        <w:rPr>
          <w:color w:val="231F20"/>
        </w:rPr>
        <w:t>vozidla</w:t>
      </w:r>
      <w:r>
        <w:rPr>
          <w:color w:val="231F20"/>
          <w:spacing w:val="-18"/>
        </w:rPr>
        <w:t xml:space="preserve"> </w:t>
      </w:r>
      <w:r>
        <w:rPr>
          <w:color w:val="231F20"/>
          <w:spacing w:val="2"/>
        </w:rPr>
        <w:t>osobou</w:t>
      </w:r>
      <w:r>
        <w:rPr>
          <w:color w:val="231F20"/>
          <w:spacing w:val="-19"/>
        </w:rPr>
        <w:t xml:space="preserve"> </w:t>
      </w:r>
      <w:r>
        <w:rPr>
          <w:color w:val="231F20"/>
        </w:rPr>
        <w:t>po</w:t>
      </w:r>
      <w:r>
        <w:rPr>
          <w:color w:val="231F20"/>
          <w:spacing w:val="-19"/>
        </w:rPr>
        <w:t xml:space="preserve"> </w:t>
      </w:r>
      <w:r>
        <w:rPr>
          <w:color w:val="231F20"/>
        </w:rPr>
        <w:t>užití</w:t>
      </w:r>
      <w:r>
        <w:rPr>
          <w:color w:val="231F20"/>
          <w:spacing w:val="-18"/>
        </w:rPr>
        <w:t xml:space="preserve"> </w:t>
      </w:r>
      <w:r>
        <w:rPr>
          <w:color w:val="231F20"/>
          <w:spacing w:val="2"/>
        </w:rPr>
        <w:t>léčivého</w:t>
      </w:r>
      <w:r>
        <w:rPr>
          <w:color w:val="231F20"/>
          <w:spacing w:val="-19"/>
        </w:rPr>
        <w:t xml:space="preserve"> </w:t>
      </w:r>
      <w:r>
        <w:rPr>
          <w:color w:val="231F20"/>
        </w:rPr>
        <w:t>přípravku,</w:t>
      </w:r>
      <w:r>
        <w:rPr>
          <w:color w:val="231F20"/>
          <w:spacing w:val="-18"/>
        </w:rPr>
        <w:t xml:space="preserve"> </w:t>
      </w:r>
      <w:r>
        <w:rPr>
          <w:color w:val="231F20"/>
          <w:spacing w:val="3"/>
        </w:rPr>
        <w:t>který</w:t>
      </w:r>
      <w:r>
        <w:rPr>
          <w:color w:val="231F20"/>
          <w:spacing w:val="-19"/>
        </w:rPr>
        <w:t xml:space="preserve"> </w:t>
      </w:r>
      <w:r>
        <w:rPr>
          <w:color w:val="231F20"/>
        </w:rPr>
        <w:t>má</w:t>
      </w:r>
      <w:r>
        <w:rPr>
          <w:color w:val="231F20"/>
          <w:spacing w:val="-18"/>
        </w:rPr>
        <w:t xml:space="preserve"> </w:t>
      </w:r>
      <w:r>
        <w:rPr>
          <w:color w:val="231F20"/>
          <w:spacing w:val="2"/>
        </w:rPr>
        <w:t>podle</w:t>
      </w:r>
      <w:r>
        <w:rPr>
          <w:color w:val="231F20"/>
          <w:spacing w:val="-19"/>
        </w:rPr>
        <w:t xml:space="preserve"> </w:t>
      </w:r>
      <w:r>
        <w:rPr>
          <w:color w:val="231F20"/>
          <w:spacing w:val="2"/>
        </w:rPr>
        <w:t>příbalové informace</w:t>
      </w:r>
      <w:r>
        <w:rPr>
          <w:color w:val="231F20"/>
          <w:spacing w:val="-9"/>
        </w:rPr>
        <w:t xml:space="preserve"> </w:t>
      </w:r>
      <w:r>
        <w:rPr>
          <w:color w:val="231F20"/>
          <w:spacing w:val="3"/>
        </w:rPr>
        <w:t>výrazný</w:t>
      </w:r>
      <w:r>
        <w:rPr>
          <w:color w:val="231F20"/>
          <w:spacing w:val="-9"/>
        </w:rPr>
        <w:t xml:space="preserve"> </w:t>
      </w:r>
      <w:r>
        <w:rPr>
          <w:color w:val="231F20"/>
        </w:rPr>
        <w:t>vliv</w:t>
      </w:r>
      <w:r>
        <w:rPr>
          <w:color w:val="231F20"/>
          <w:spacing w:val="-9"/>
        </w:rPr>
        <w:t xml:space="preserve"> </w:t>
      </w:r>
      <w:r>
        <w:rPr>
          <w:color w:val="231F20"/>
        </w:rPr>
        <w:t>na</w:t>
      </w:r>
      <w:r>
        <w:rPr>
          <w:color w:val="231F20"/>
          <w:spacing w:val="-9"/>
        </w:rPr>
        <w:t xml:space="preserve"> </w:t>
      </w:r>
      <w:r>
        <w:rPr>
          <w:color w:val="231F20"/>
          <w:spacing w:val="2"/>
        </w:rPr>
        <w:t>schopnost</w:t>
      </w:r>
      <w:r>
        <w:rPr>
          <w:color w:val="231F20"/>
          <w:spacing w:val="-9"/>
        </w:rPr>
        <w:t xml:space="preserve"> </w:t>
      </w:r>
      <w:r>
        <w:rPr>
          <w:color w:val="231F20"/>
          <w:spacing w:val="2"/>
        </w:rPr>
        <w:t>řídit</w:t>
      </w:r>
      <w:r>
        <w:rPr>
          <w:color w:val="231F20"/>
          <w:spacing w:val="-9"/>
        </w:rPr>
        <w:t xml:space="preserve"> </w:t>
      </w:r>
      <w:r>
        <w:rPr>
          <w:color w:val="231F20"/>
          <w:spacing w:val="2"/>
        </w:rPr>
        <w:t>nebo</w:t>
      </w:r>
      <w:r>
        <w:rPr>
          <w:color w:val="231F20"/>
          <w:spacing w:val="-9"/>
        </w:rPr>
        <w:t xml:space="preserve"> </w:t>
      </w:r>
      <w:r>
        <w:rPr>
          <w:color w:val="231F20"/>
          <w:spacing w:val="2"/>
        </w:rPr>
        <w:t>obsluhovat</w:t>
      </w:r>
      <w:r>
        <w:rPr>
          <w:color w:val="231F20"/>
          <w:spacing w:val="-9"/>
        </w:rPr>
        <w:t xml:space="preserve"> </w:t>
      </w:r>
      <w:r>
        <w:rPr>
          <w:color w:val="231F20"/>
        </w:rPr>
        <w:t>stroje,</w:t>
      </w:r>
      <w:r>
        <w:rPr>
          <w:color w:val="231F20"/>
          <w:spacing w:val="-9"/>
        </w:rPr>
        <w:t xml:space="preserve"> </w:t>
      </w:r>
      <w:r>
        <w:rPr>
          <w:color w:val="231F20"/>
        </w:rPr>
        <w:t>a</w:t>
      </w:r>
      <w:r>
        <w:rPr>
          <w:color w:val="231F20"/>
          <w:spacing w:val="-9"/>
        </w:rPr>
        <w:t xml:space="preserve"> </w:t>
      </w:r>
      <w:r>
        <w:rPr>
          <w:color w:val="231F20"/>
        </w:rPr>
        <w:t>to</w:t>
      </w:r>
      <w:r>
        <w:rPr>
          <w:color w:val="231F20"/>
          <w:spacing w:val="-9"/>
        </w:rPr>
        <w:t xml:space="preserve"> </w:t>
      </w:r>
      <w:r>
        <w:rPr>
          <w:color w:val="231F20"/>
          <w:spacing w:val="3"/>
        </w:rPr>
        <w:t xml:space="preserve">po </w:t>
      </w:r>
      <w:r>
        <w:rPr>
          <w:color w:val="231F20"/>
        </w:rPr>
        <w:t>dobu,</w:t>
      </w:r>
      <w:r>
        <w:rPr>
          <w:color w:val="231F20"/>
          <w:spacing w:val="-3"/>
        </w:rPr>
        <w:t xml:space="preserve"> </w:t>
      </w:r>
      <w:r>
        <w:rPr>
          <w:color w:val="231F20"/>
        </w:rPr>
        <w:t>s</w:t>
      </w:r>
      <w:r>
        <w:rPr>
          <w:color w:val="231F20"/>
          <w:spacing w:val="-2"/>
        </w:rPr>
        <w:t xml:space="preserve"> </w:t>
      </w:r>
      <w:r>
        <w:rPr>
          <w:color w:val="231F20"/>
          <w:spacing w:val="3"/>
        </w:rPr>
        <w:t>níž</w:t>
      </w:r>
      <w:r>
        <w:rPr>
          <w:color w:val="231F20"/>
          <w:spacing w:val="-3"/>
        </w:rPr>
        <w:t xml:space="preserve"> </w:t>
      </w:r>
      <w:r>
        <w:rPr>
          <w:color w:val="231F20"/>
        </w:rPr>
        <w:t>je</w:t>
      </w:r>
      <w:r>
        <w:rPr>
          <w:color w:val="231F20"/>
          <w:spacing w:val="-2"/>
        </w:rPr>
        <w:t xml:space="preserve"> </w:t>
      </w:r>
      <w:r>
        <w:rPr>
          <w:color w:val="231F20"/>
        </w:rPr>
        <w:t>toto</w:t>
      </w:r>
      <w:r>
        <w:rPr>
          <w:color w:val="231F20"/>
          <w:spacing w:val="-2"/>
        </w:rPr>
        <w:t xml:space="preserve"> </w:t>
      </w:r>
      <w:r>
        <w:rPr>
          <w:color w:val="231F20"/>
          <w:spacing w:val="2"/>
        </w:rPr>
        <w:t>omezení</w:t>
      </w:r>
      <w:r>
        <w:rPr>
          <w:color w:val="231F20"/>
          <w:spacing w:val="-3"/>
        </w:rPr>
        <w:t xml:space="preserve"> </w:t>
      </w:r>
      <w:r>
        <w:rPr>
          <w:color w:val="231F20"/>
        </w:rPr>
        <w:t>spojeno,</w:t>
      </w:r>
      <w:r>
        <w:rPr>
          <w:color w:val="231F20"/>
          <w:spacing w:val="-2"/>
        </w:rPr>
        <w:t xml:space="preserve"> </w:t>
      </w:r>
      <w:r>
        <w:rPr>
          <w:color w:val="231F20"/>
          <w:spacing w:val="2"/>
        </w:rPr>
        <w:t>obdobné</w:t>
      </w:r>
      <w:r>
        <w:rPr>
          <w:color w:val="231F20"/>
          <w:spacing w:val="-2"/>
        </w:rPr>
        <w:t xml:space="preserve"> </w:t>
      </w:r>
      <w:r>
        <w:rPr>
          <w:color w:val="231F20"/>
        </w:rPr>
        <w:t>platí</w:t>
      </w:r>
      <w:r>
        <w:rPr>
          <w:color w:val="231F20"/>
          <w:spacing w:val="-3"/>
        </w:rPr>
        <w:t xml:space="preserve"> </w:t>
      </w:r>
      <w:r>
        <w:rPr>
          <w:color w:val="231F20"/>
        </w:rPr>
        <w:t>i</w:t>
      </w:r>
      <w:r>
        <w:rPr>
          <w:color w:val="231F20"/>
          <w:spacing w:val="-2"/>
        </w:rPr>
        <w:t xml:space="preserve"> </w:t>
      </w:r>
      <w:r>
        <w:rPr>
          <w:color w:val="231F20"/>
        </w:rPr>
        <w:t>pro</w:t>
      </w:r>
      <w:r>
        <w:rPr>
          <w:color w:val="231F20"/>
          <w:spacing w:val="-2"/>
        </w:rPr>
        <w:t xml:space="preserve"> </w:t>
      </w:r>
      <w:r>
        <w:rPr>
          <w:color w:val="231F20"/>
          <w:spacing w:val="3"/>
        </w:rPr>
        <w:t>lékařský</w:t>
      </w:r>
      <w:r>
        <w:rPr>
          <w:color w:val="231F20"/>
          <w:spacing w:val="-3"/>
        </w:rPr>
        <w:t xml:space="preserve"> </w:t>
      </w:r>
      <w:r>
        <w:rPr>
          <w:color w:val="231F20"/>
        </w:rPr>
        <w:t>zásah, s</w:t>
      </w:r>
      <w:r>
        <w:rPr>
          <w:color w:val="231F20"/>
          <w:spacing w:val="-13"/>
        </w:rPr>
        <w:t xml:space="preserve"> </w:t>
      </w:r>
      <w:r>
        <w:rPr>
          <w:color w:val="231F20"/>
          <w:spacing w:val="2"/>
        </w:rPr>
        <w:t>nímž</w:t>
      </w:r>
      <w:r>
        <w:rPr>
          <w:color w:val="231F20"/>
          <w:spacing w:val="-13"/>
        </w:rPr>
        <w:t xml:space="preserve"> </w:t>
      </w:r>
      <w:r>
        <w:rPr>
          <w:color w:val="231F20"/>
        </w:rPr>
        <w:t>je</w:t>
      </w:r>
      <w:r>
        <w:rPr>
          <w:color w:val="231F20"/>
          <w:spacing w:val="-12"/>
        </w:rPr>
        <w:t xml:space="preserve"> </w:t>
      </w:r>
      <w:r>
        <w:rPr>
          <w:color w:val="231F20"/>
        </w:rPr>
        <w:t>po</w:t>
      </w:r>
      <w:r>
        <w:rPr>
          <w:color w:val="231F20"/>
          <w:spacing w:val="-13"/>
        </w:rPr>
        <w:t xml:space="preserve"> </w:t>
      </w:r>
      <w:r>
        <w:rPr>
          <w:color w:val="231F20"/>
        </w:rPr>
        <w:t>určitou</w:t>
      </w:r>
      <w:r>
        <w:rPr>
          <w:color w:val="231F20"/>
          <w:spacing w:val="-13"/>
        </w:rPr>
        <w:t xml:space="preserve"> </w:t>
      </w:r>
      <w:r>
        <w:rPr>
          <w:color w:val="231F20"/>
          <w:spacing w:val="2"/>
        </w:rPr>
        <w:t>dobu</w:t>
      </w:r>
      <w:r>
        <w:rPr>
          <w:color w:val="231F20"/>
          <w:spacing w:val="-12"/>
        </w:rPr>
        <w:t xml:space="preserve"> </w:t>
      </w:r>
      <w:r>
        <w:rPr>
          <w:color w:val="231F20"/>
          <w:spacing w:val="2"/>
        </w:rPr>
        <w:t>spojen</w:t>
      </w:r>
      <w:r>
        <w:rPr>
          <w:color w:val="231F20"/>
          <w:spacing w:val="-13"/>
        </w:rPr>
        <w:t xml:space="preserve"> </w:t>
      </w:r>
      <w:r>
        <w:rPr>
          <w:color w:val="231F20"/>
          <w:spacing w:val="3"/>
        </w:rPr>
        <w:t>zákaz</w:t>
      </w:r>
      <w:r>
        <w:rPr>
          <w:color w:val="231F20"/>
          <w:spacing w:val="-12"/>
        </w:rPr>
        <w:t xml:space="preserve"> </w:t>
      </w:r>
      <w:r>
        <w:rPr>
          <w:color w:val="231F20"/>
          <w:spacing w:val="2"/>
        </w:rPr>
        <w:t>řídit</w:t>
      </w:r>
      <w:r>
        <w:rPr>
          <w:color w:val="231F20"/>
          <w:spacing w:val="-13"/>
        </w:rPr>
        <w:t xml:space="preserve"> </w:t>
      </w:r>
      <w:r>
        <w:rPr>
          <w:color w:val="231F20"/>
        </w:rPr>
        <w:t>vozidlo</w:t>
      </w:r>
      <w:r>
        <w:rPr>
          <w:color w:val="231F20"/>
          <w:spacing w:val="-13"/>
        </w:rPr>
        <w:t xml:space="preserve"> </w:t>
      </w:r>
      <w:r>
        <w:rPr>
          <w:color w:val="231F20"/>
          <w:spacing w:val="2"/>
        </w:rPr>
        <w:t>nebo</w:t>
      </w:r>
      <w:r>
        <w:rPr>
          <w:color w:val="231F20"/>
          <w:spacing w:val="-12"/>
        </w:rPr>
        <w:t xml:space="preserve"> </w:t>
      </w:r>
      <w:r>
        <w:rPr>
          <w:color w:val="231F20"/>
          <w:spacing w:val="2"/>
        </w:rPr>
        <w:t>dočasná</w:t>
      </w:r>
      <w:r>
        <w:rPr>
          <w:color w:val="231F20"/>
          <w:spacing w:val="-13"/>
        </w:rPr>
        <w:t xml:space="preserve"> </w:t>
      </w:r>
      <w:r>
        <w:rPr>
          <w:color w:val="231F20"/>
        </w:rPr>
        <w:t xml:space="preserve">nezpů- </w:t>
      </w:r>
      <w:r>
        <w:rPr>
          <w:color w:val="231F20"/>
          <w:spacing w:val="2"/>
        </w:rPr>
        <w:t>sobilost</w:t>
      </w:r>
      <w:r>
        <w:rPr>
          <w:color w:val="231F20"/>
          <w:spacing w:val="-5"/>
        </w:rPr>
        <w:t xml:space="preserve"> </w:t>
      </w:r>
      <w:r>
        <w:rPr>
          <w:color w:val="231F20"/>
          <w:spacing w:val="3"/>
        </w:rPr>
        <w:t>(fyzická</w:t>
      </w:r>
      <w:r>
        <w:rPr>
          <w:color w:val="231F20"/>
          <w:spacing w:val="-4"/>
        </w:rPr>
        <w:t xml:space="preserve"> </w:t>
      </w:r>
      <w:r>
        <w:rPr>
          <w:color w:val="231F20"/>
        </w:rPr>
        <w:t>i</w:t>
      </w:r>
      <w:r>
        <w:rPr>
          <w:color w:val="231F20"/>
          <w:spacing w:val="-5"/>
        </w:rPr>
        <w:t xml:space="preserve"> </w:t>
      </w:r>
      <w:r>
        <w:rPr>
          <w:color w:val="231F20"/>
          <w:spacing w:val="3"/>
        </w:rPr>
        <w:t>duševní)</w:t>
      </w:r>
      <w:r>
        <w:rPr>
          <w:color w:val="231F20"/>
          <w:spacing w:val="-4"/>
        </w:rPr>
        <w:t xml:space="preserve"> </w:t>
      </w:r>
      <w:r>
        <w:rPr>
          <w:color w:val="231F20"/>
          <w:spacing w:val="2"/>
        </w:rPr>
        <w:t>řídit</w:t>
      </w:r>
      <w:r>
        <w:rPr>
          <w:color w:val="231F20"/>
          <w:spacing w:val="-4"/>
        </w:rPr>
        <w:t xml:space="preserve"> </w:t>
      </w:r>
      <w:r>
        <w:rPr>
          <w:color w:val="231F20"/>
        </w:rPr>
        <w:t>vozidlo,</w:t>
      </w:r>
      <w:r>
        <w:rPr>
          <w:color w:val="231F20"/>
          <w:spacing w:val="-5"/>
        </w:rPr>
        <w:t xml:space="preserve"> </w:t>
      </w:r>
      <w:r>
        <w:rPr>
          <w:color w:val="231F20"/>
          <w:spacing w:val="2"/>
        </w:rPr>
        <w:t>případně</w:t>
      </w:r>
      <w:r>
        <w:rPr>
          <w:color w:val="231F20"/>
          <w:spacing w:val="-4"/>
        </w:rPr>
        <w:t xml:space="preserve"> </w:t>
      </w:r>
      <w:r>
        <w:rPr>
          <w:color w:val="231F20"/>
          <w:spacing w:val="2"/>
        </w:rPr>
        <w:t>řízení</w:t>
      </w:r>
      <w:r>
        <w:rPr>
          <w:color w:val="231F20"/>
          <w:spacing w:val="-5"/>
        </w:rPr>
        <w:t xml:space="preserve"> </w:t>
      </w:r>
      <w:r>
        <w:rPr>
          <w:color w:val="231F20"/>
        </w:rPr>
        <w:t>vozidla</w:t>
      </w:r>
      <w:r>
        <w:rPr>
          <w:color w:val="231F20"/>
          <w:spacing w:val="-4"/>
        </w:rPr>
        <w:t xml:space="preserve"> </w:t>
      </w:r>
      <w:r>
        <w:rPr>
          <w:color w:val="231F20"/>
          <w:spacing w:val="2"/>
        </w:rPr>
        <w:t>osobou, která</w:t>
      </w:r>
      <w:r>
        <w:rPr>
          <w:color w:val="231F20"/>
          <w:spacing w:val="-21"/>
        </w:rPr>
        <w:t xml:space="preserve"> </w:t>
      </w:r>
      <w:r>
        <w:rPr>
          <w:color w:val="231F20"/>
          <w:spacing w:val="2"/>
        </w:rPr>
        <w:t>není</w:t>
      </w:r>
      <w:r>
        <w:rPr>
          <w:color w:val="231F20"/>
          <w:spacing w:val="-20"/>
        </w:rPr>
        <w:t xml:space="preserve"> </w:t>
      </w:r>
      <w:r>
        <w:rPr>
          <w:color w:val="231F20"/>
        </w:rPr>
        <w:t>v</w:t>
      </w:r>
      <w:r>
        <w:rPr>
          <w:color w:val="231F20"/>
          <w:spacing w:val="-20"/>
        </w:rPr>
        <w:t xml:space="preserve"> </w:t>
      </w:r>
      <w:r>
        <w:rPr>
          <w:color w:val="231F20"/>
          <w:spacing w:val="2"/>
        </w:rPr>
        <w:t>daném</w:t>
      </w:r>
      <w:r>
        <w:rPr>
          <w:color w:val="231F20"/>
          <w:spacing w:val="-20"/>
        </w:rPr>
        <w:t xml:space="preserve"> </w:t>
      </w:r>
      <w:r>
        <w:rPr>
          <w:color w:val="231F20"/>
          <w:spacing w:val="2"/>
        </w:rPr>
        <w:t>okamžiku</w:t>
      </w:r>
      <w:r>
        <w:rPr>
          <w:color w:val="231F20"/>
          <w:spacing w:val="-21"/>
        </w:rPr>
        <w:t xml:space="preserve"> </w:t>
      </w:r>
      <w:r>
        <w:rPr>
          <w:color w:val="231F20"/>
        </w:rPr>
        <w:t>k</w:t>
      </w:r>
      <w:r>
        <w:rPr>
          <w:color w:val="231F20"/>
          <w:spacing w:val="-20"/>
        </w:rPr>
        <w:t xml:space="preserve"> </w:t>
      </w:r>
      <w:r>
        <w:rPr>
          <w:color w:val="231F20"/>
          <w:spacing w:val="2"/>
        </w:rPr>
        <w:t>jeho</w:t>
      </w:r>
      <w:r>
        <w:rPr>
          <w:color w:val="231F20"/>
          <w:spacing w:val="-20"/>
        </w:rPr>
        <w:t xml:space="preserve"> </w:t>
      </w:r>
      <w:r>
        <w:rPr>
          <w:color w:val="231F20"/>
          <w:spacing w:val="2"/>
        </w:rPr>
        <w:t>řízení</w:t>
      </w:r>
      <w:r>
        <w:rPr>
          <w:color w:val="231F20"/>
          <w:spacing w:val="-20"/>
        </w:rPr>
        <w:t xml:space="preserve"> </w:t>
      </w:r>
      <w:r>
        <w:rPr>
          <w:color w:val="231F20"/>
          <w:spacing w:val="2"/>
        </w:rPr>
        <w:t>tělesně</w:t>
      </w:r>
      <w:r>
        <w:rPr>
          <w:color w:val="231F20"/>
          <w:spacing w:val="-20"/>
        </w:rPr>
        <w:t xml:space="preserve"> </w:t>
      </w:r>
      <w:r>
        <w:rPr>
          <w:color w:val="231F20"/>
          <w:spacing w:val="2"/>
        </w:rPr>
        <w:t>způsobilá</w:t>
      </w:r>
      <w:r>
        <w:rPr>
          <w:color w:val="231F20"/>
          <w:spacing w:val="-21"/>
        </w:rPr>
        <w:t xml:space="preserve"> </w:t>
      </w:r>
      <w:r>
        <w:rPr>
          <w:color w:val="231F20"/>
        </w:rPr>
        <w:t>(např.</w:t>
      </w:r>
      <w:r>
        <w:rPr>
          <w:color w:val="231F20"/>
          <w:spacing w:val="-20"/>
        </w:rPr>
        <w:t xml:space="preserve"> </w:t>
      </w:r>
      <w:r>
        <w:rPr>
          <w:color w:val="231F20"/>
          <w:spacing w:val="2"/>
        </w:rPr>
        <w:t xml:space="preserve">vlivem </w:t>
      </w:r>
      <w:r>
        <w:rPr>
          <w:color w:val="231F20"/>
        </w:rPr>
        <w:t>úrazu);</w:t>
      </w:r>
    </w:p>
    <w:p w14:paraId="6953B2AF" w14:textId="77777777" w:rsidR="00F65BCA" w:rsidRDefault="00216117">
      <w:pPr>
        <w:pStyle w:val="Zkladntext"/>
        <w:spacing w:line="278" w:lineRule="auto"/>
        <w:ind w:left="880" w:right="1" w:hanging="171"/>
        <w:jc w:val="both"/>
      </w:pPr>
      <w:r>
        <w:rPr>
          <w:color w:val="231F20"/>
        </w:rPr>
        <w:t>n řízení vozidla osobou, která se odmítla podrobit na výzvu příslušníka po- licie zkoušce na přítomnost alkoholu, omamné nebo psychotropní látky nebo</w:t>
      </w:r>
      <w:r>
        <w:rPr>
          <w:color w:val="231F20"/>
          <w:spacing w:val="-23"/>
        </w:rPr>
        <w:t xml:space="preserve"> </w:t>
      </w:r>
      <w:r>
        <w:rPr>
          <w:color w:val="231F20"/>
        </w:rPr>
        <w:t>léčivého</w:t>
      </w:r>
      <w:r>
        <w:rPr>
          <w:color w:val="231F20"/>
          <w:spacing w:val="-23"/>
        </w:rPr>
        <w:t xml:space="preserve"> </w:t>
      </w:r>
      <w:r>
        <w:rPr>
          <w:color w:val="231F20"/>
        </w:rPr>
        <w:t>přípravku,</w:t>
      </w:r>
      <w:r>
        <w:rPr>
          <w:color w:val="231F20"/>
          <w:spacing w:val="-23"/>
        </w:rPr>
        <w:t xml:space="preserve"> </w:t>
      </w:r>
      <w:r>
        <w:rPr>
          <w:color w:val="231F20"/>
        </w:rPr>
        <w:t>který</w:t>
      </w:r>
      <w:r>
        <w:rPr>
          <w:color w:val="231F20"/>
          <w:spacing w:val="-22"/>
        </w:rPr>
        <w:t xml:space="preserve"> </w:t>
      </w:r>
      <w:r>
        <w:rPr>
          <w:color w:val="231F20"/>
        </w:rPr>
        <w:t>má</w:t>
      </w:r>
      <w:r>
        <w:rPr>
          <w:color w:val="231F20"/>
          <w:spacing w:val="-23"/>
        </w:rPr>
        <w:t xml:space="preserve"> </w:t>
      </w:r>
      <w:r>
        <w:rPr>
          <w:color w:val="231F20"/>
        </w:rPr>
        <w:t>podle</w:t>
      </w:r>
      <w:r>
        <w:rPr>
          <w:color w:val="231F20"/>
          <w:spacing w:val="-23"/>
        </w:rPr>
        <w:t xml:space="preserve"> </w:t>
      </w:r>
      <w:r>
        <w:rPr>
          <w:color w:val="231F20"/>
        </w:rPr>
        <w:t>příbalové</w:t>
      </w:r>
      <w:r>
        <w:rPr>
          <w:color w:val="231F20"/>
          <w:spacing w:val="-23"/>
        </w:rPr>
        <w:t xml:space="preserve"> </w:t>
      </w:r>
      <w:r>
        <w:rPr>
          <w:color w:val="231F20"/>
        </w:rPr>
        <w:t>informace</w:t>
      </w:r>
      <w:r>
        <w:rPr>
          <w:color w:val="231F20"/>
          <w:spacing w:val="-22"/>
        </w:rPr>
        <w:t xml:space="preserve"> </w:t>
      </w:r>
      <w:r>
        <w:rPr>
          <w:color w:val="231F20"/>
        </w:rPr>
        <w:t>výrazný</w:t>
      </w:r>
      <w:r>
        <w:rPr>
          <w:color w:val="231F20"/>
          <w:spacing w:val="-23"/>
        </w:rPr>
        <w:t xml:space="preserve"> </w:t>
      </w:r>
      <w:r>
        <w:rPr>
          <w:color w:val="231F20"/>
        </w:rPr>
        <w:t>vliv</w:t>
      </w:r>
      <w:r>
        <w:rPr>
          <w:color w:val="231F20"/>
          <w:spacing w:val="-23"/>
        </w:rPr>
        <w:t xml:space="preserve"> </w:t>
      </w:r>
      <w:r>
        <w:rPr>
          <w:color w:val="231F20"/>
        </w:rPr>
        <w:t>na schopnost</w:t>
      </w:r>
      <w:r>
        <w:rPr>
          <w:color w:val="231F20"/>
          <w:spacing w:val="-8"/>
        </w:rPr>
        <w:t xml:space="preserve"> </w:t>
      </w:r>
      <w:r>
        <w:rPr>
          <w:color w:val="231F20"/>
        </w:rPr>
        <w:t>řídit</w:t>
      </w:r>
      <w:r>
        <w:rPr>
          <w:color w:val="231F20"/>
          <w:spacing w:val="-7"/>
        </w:rPr>
        <w:t xml:space="preserve"> </w:t>
      </w:r>
      <w:r>
        <w:rPr>
          <w:color w:val="231F20"/>
        </w:rPr>
        <w:t>nebo</w:t>
      </w:r>
      <w:r>
        <w:rPr>
          <w:color w:val="231F20"/>
          <w:spacing w:val="-8"/>
        </w:rPr>
        <w:t xml:space="preserve"> </w:t>
      </w:r>
      <w:r>
        <w:rPr>
          <w:color w:val="231F20"/>
        </w:rPr>
        <w:t>obsluhovat</w:t>
      </w:r>
      <w:r>
        <w:rPr>
          <w:color w:val="231F20"/>
          <w:spacing w:val="-7"/>
        </w:rPr>
        <w:t xml:space="preserve"> </w:t>
      </w:r>
      <w:r>
        <w:rPr>
          <w:color w:val="231F20"/>
        </w:rPr>
        <w:t>stroje,</w:t>
      </w:r>
      <w:r>
        <w:rPr>
          <w:color w:val="231F20"/>
          <w:spacing w:val="-8"/>
        </w:rPr>
        <w:t xml:space="preserve"> </w:t>
      </w:r>
      <w:r>
        <w:rPr>
          <w:color w:val="231F20"/>
        </w:rPr>
        <w:t>a</w:t>
      </w:r>
      <w:r>
        <w:rPr>
          <w:color w:val="231F20"/>
          <w:spacing w:val="-7"/>
        </w:rPr>
        <w:t xml:space="preserve"> </w:t>
      </w:r>
      <w:r>
        <w:rPr>
          <w:color w:val="231F20"/>
        </w:rPr>
        <w:t>to</w:t>
      </w:r>
      <w:r>
        <w:rPr>
          <w:color w:val="231F20"/>
          <w:spacing w:val="-8"/>
        </w:rPr>
        <w:t xml:space="preserve"> </w:t>
      </w:r>
      <w:r>
        <w:rPr>
          <w:color w:val="231F20"/>
        </w:rPr>
        <w:t>po</w:t>
      </w:r>
      <w:r>
        <w:rPr>
          <w:color w:val="231F20"/>
          <w:spacing w:val="-7"/>
        </w:rPr>
        <w:t xml:space="preserve"> </w:t>
      </w:r>
      <w:r>
        <w:rPr>
          <w:color w:val="231F20"/>
        </w:rPr>
        <w:t>dobu,</w:t>
      </w:r>
      <w:r>
        <w:rPr>
          <w:color w:val="231F20"/>
          <w:spacing w:val="-7"/>
        </w:rPr>
        <w:t xml:space="preserve"> </w:t>
      </w:r>
      <w:r>
        <w:rPr>
          <w:color w:val="231F20"/>
        </w:rPr>
        <w:t>s</w:t>
      </w:r>
      <w:r>
        <w:rPr>
          <w:color w:val="231F20"/>
          <w:spacing w:val="-8"/>
        </w:rPr>
        <w:t xml:space="preserve"> </w:t>
      </w:r>
      <w:r>
        <w:rPr>
          <w:color w:val="231F20"/>
        </w:rPr>
        <w:t>níž</w:t>
      </w:r>
      <w:r>
        <w:rPr>
          <w:color w:val="231F20"/>
          <w:spacing w:val="-7"/>
        </w:rPr>
        <w:t xml:space="preserve"> </w:t>
      </w:r>
      <w:r>
        <w:rPr>
          <w:color w:val="231F20"/>
        </w:rPr>
        <w:t>je</w:t>
      </w:r>
      <w:r>
        <w:rPr>
          <w:color w:val="231F20"/>
          <w:spacing w:val="-8"/>
        </w:rPr>
        <w:t xml:space="preserve"> </w:t>
      </w:r>
      <w:r>
        <w:rPr>
          <w:color w:val="231F20"/>
        </w:rPr>
        <w:t>toto</w:t>
      </w:r>
      <w:r>
        <w:rPr>
          <w:color w:val="231F20"/>
          <w:spacing w:val="-7"/>
        </w:rPr>
        <w:t xml:space="preserve"> </w:t>
      </w:r>
      <w:r>
        <w:rPr>
          <w:color w:val="231F20"/>
        </w:rPr>
        <w:t>omezení spojeno;</w:t>
      </w:r>
    </w:p>
    <w:p w14:paraId="4AFAD4B7" w14:textId="77777777" w:rsidR="00F65BCA" w:rsidRDefault="00216117">
      <w:pPr>
        <w:pStyle w:val="Zkladntext"/>
        <w:spacing w:line="278" w:lineRule="auto"/>
        <w:ind w:left="880" w:right="1" w:hanging="171"/>
        <w:jc w:val="both"/>
      </w:pPr>
      <w:r>
        <w:rPr>
          <w:color w:val="231F20"/>
        </w:rPr>
        <w:t xml:space="preserve">o řízení vozidla osobou, která se po dopravní nehodě nezdržela požití </w:t>
      </w:r>
      <w:r>
        <w:rPr>
          <w:color w:val="231F20"/>
          <w:spacing w:val="-4"/>
        </w:rPr>
        <w:t xml:space="preserve">nebo </w:t>
      </w:r>
      <w:r>
        <w:rPr>
          <w:color w:val="231F20"/>
        </w:rPr>
        <w:t>užití alkoholických nápojů nebo jiných návykových látek, a to až do doby provedení dechové či krevní zkoušky;</w:t>
      </w:r>
    </w:p>
    <w:p w14:paraId="13BF54F6" w14:textId="77777777" w:rsidR="00F65BCA" w:rsidRDefault="00216117">
      <w:pPr>
        <w:pStyle w:val="Odstavecseseznamem"/>
        <w:numPr>
          <w:ilvl w:val="0"/>
          <w:numId w:val="107"/>
        </w:numPr>
        <w:tabs>
          <w:tab w:val="left" w:pos="881"/>
        </w:tabs>
        <w:spacing w:line="278" w:lineRule="auto"/>
        <w:ind w:right="1"/>
        <w:jc w:val="both"/>
        <w:rPr>
          <w:sz w:val="15"/>
        </w:rPr>
      </w:pPr>
      <w:r>
        <w:rPr>
          <w:color w:val="231F20"/>
          <w:sz w:val="15"/>
        </w:rPr>
        <w:t>řízení</w:t>
      </w:r>
      <w:r>
        <w:rPr>
          <w:color w:val="231F20"/>
          <w:spacing w:val="-18"/>
          <w:sz w:val="15"/>
        </w:rPr>
        <w:t xml:space="preserve"> </w:t>
      </w:r>
      <w:r>
        <w:rPr>
          <w:color w:val="231F20"/>
          <w:sz w:val="15"/>
        </w:rPr>
        <w:t>vozidla</w:t>
      </w:r>
      <w:r>
        <w:rPr>
          <w:color w:val="231F20"/>
          <w:spacing w:val="-18"/>
          <w:sz w:val="15"/>
        </w:rPr>
        <w:t xml:space="preserve"> </w:t>
      </w:r>
      <w:r>
        <w:rPr>
          <w:color w:val="231F20"/>
          <w:sz w:val="15"/>
        </w:rPr>
        <w:t>osobou,</w:t>
      </w:r>
      <w:r>
        <w:rPr>
          <w:color w:val="231F20"/>
          <w:spacing w:val="-18"/>
          <w:sz w:val="15"/>
        </w:rPr>
        <w:t xml:space="preserve"> </w:t>
      </w:r>
      <w:r>
        <w:rPr>
          <w:color w:val="231F20"/>
          <w:sz w:val="15"/>
        </w:rPr>
        <w:t>která</w:t>
      </w:r>
      <w:r>
        <w:rPr>
          <w:color w:val="231F20"/>
          <w:spacing w:val="-18"/>
          <w:sz w:val="15"/>
        </w:rPr>
        <w:t xml:space="preserve"> </w:t>
      </w:r>
      <w:r>
        <w:rPr>
          <w:color w:val="231F20"/>
          <w:sz w:val="15"/>
        </w:rPr>
        <w:t>bez</w:t>
      </w:r>
      <w:r>
        <w:rPr>
          <w:color w:val="231F20"/>
          <w:spacing w:val="-18"/>
          <w:sz w:val="15"/>
        </w:rPr>
        <w:t xml:space="preserve"> </w:t>
      </w:r>
      <w:r>
        <w:rPr>
          <w:color w:val="231F20"/>
          <w:sz w:val="15"/>
        </w:rPr>
        <w:t>zřetele</w:t>
      </w:r>
      <w:r>
        <w:rPr>
          <w:color w:val="231F20"/>
          <w:spacing w:val="-18"/>
          <w:sz w:val="15"/>
        </w:rPr>
        <w:t xml:space="preserve"> </w:t>
      </w:r>
      <w:r>
        <w:rPr>
          <w:color w:val="231F20"/>
          <w:sz w:val="15"/>
        </w:rPr>
        <w:t>hodného</w:t>
      </w:r>
      <w:r>
        <w:rPr>
          <w:color w:val="231F20"/>
          <w:spacing w:val="-18"/>
          <w:sz w:val="15"/>
        </w:rPr>
        <w:t xml:space="preserve"> </w:t>
      </w:r>
      <w:r>
        <w:rPr>
          <w:color w:val="231F20"/>
          <w:sz w:val="15"/>
        </w:rPr>
        <w:t>důvodu</w:t>
      </w:r>
      <w:r>
        <w:rPr>
          <w:color w:val="231F20"/>
          <w:spacing w:val="-18"/>
          <w:sz w:val="15"/>
        </w:rPr>
        <w:t xml:space="preserve"> </w:t>
      </w:r>
      <w:r>
        <w:rPr>
          <w:color w:val="231F20"/>
          <w:sz w:val="15"/>
        </w:rPr>
        <w:t>opustila</w:t>
      </w:r>
      <w:r>
        <w:rPr>
          <w:color w:val="231F20"/>
          <w:spacing w:val="-18"/>
          <w:sz w:val="15"/>
        </w:rPr>
        <w:t xml:space="preserve"> </w:t>
      </w:r>
      <w:r>
        <w:rPr>
          <w:color w:val="231F20"/>
          <w:sz w:val="15"/>
        </w:rPr>
        <w:t>místo</w:t>
      </w:r>
      <w:r>
        <w:rPr>
          <w:color w:val="231F20"/>
          <w:spacing w:val="-18"/>
          <w:sz w:val="15"/>
        </w:rPr>
        <w:t xml:space="preserve"> </w:t>
      </w:r>
      <w:r>
        <w:rPr>
          <w:color w:val="231F20"/>
          <w:sz w:val="15"/>
        </w:rPr>
        <w:t>do- pravní</w:t>
      </w:r>
      <w:r>
        <w:rPr>
          <w:color w:val="231F20"/>
          <w:spacing w:val="-6"/>
          <w:sz w:val="15"/>
        </w:rPr>
        <w:t xml:space="preserve"> </w:t>
      </w:r>
      <w:r>
        <w:rPr>
          <w:color w:val="231F20"/>
          <w:sz w:val="15"/>
        </w:rPr>
        <w:t>nehody</w:t>
      </w:r>
      <w:r>
        <w:rPr>
          <w:color w:val="231F20"/>
          <w:spacing w:val="-7"/>
          <w:sz w:val="15"/>
        </w:rPr>
        <w:t xml:space="preserve"> </w:t>
      </w:r>
      <w:r>
        <w:rPr>
          <w:color w:val="231F20"/>
          <w:sz w:val="15"/>
        </w:rPr>
        <w:t>nebo</w:t>
      </w:r>
      <w:r>
        <w:rPr>
          <w:color w:val="231F20"/>
          <w:spacing w:val="-6"/>
          <w:sz w:val="15"/>
        </w:rPr>
        <w:t xml:space="preserve"> </w:t>
      </w:r>
      <w:r>
        <w:rPr>
          <w:color w:val="231F20"/>
          <w:sz w:val="15"/>
        </w:rPr>
        <w:t>se</w:t>
      </w:r>
      <w:r>
        <w:rPr>
          <w:color w:val="231F20"/>
          <w:spacing w:val="-6"/>
          <w:sz w:val="15"/>
        </w:rPr>
        <w:t xml:space="preserve"> </w:t>
      </w:r>
      <w:r>
        <w:rPr>
          <w:color w:val="231F20"/>
          <w:sz w:val="15"/>
        </w:rPr>
        <w:t>na</w:t>
      </w:r>
      <w:r>
        <w:rPr>
          <w:color w:val="231F20"/>
          <w:spacing w:val="-6"/>
          <w:sz w:val="15"/>
        </w:rPr>
        <w:t xml:space="preserve"> </w:t>
      </w:r>
      <w:r>
        <w:rPr>
          <w:color w:val="231F20"/>
          <w:sz w:val="15"/>
        </w:rPr>
        <w:t>toto</w:t>
      </w:r>
      <w:r>
        <w:rPr>
          <w:color w:val="231F20"/>
          <w:spacing w:val="-6"/>
          <w:sz w:val="15"/>
        </w:rPr>
        <w:t xml:space="preserve"> </w:t>
      </w:r>
      <w:r>
        <w:rPr>
          <w:color w:val="231F20"/>
          <w:sz w:val="15"/>
        </w:rPr>
        <w:t>místo</w:t>
      </w:r>
      <w:r>
        <w:rPr>
          <w:color w:val="231F20"/>
          <w:spacing w:val="-6"/>
          <w:sz w:val="15"/>
        </w:rPr>
        <w:t xml:space="preserve"> </w:t>
      </w:r>
      <w:r>
        <w:rPr>
          <w:color w:val="231F20"/>
          <w:sz w:val="15"/>
        </w:rPr>
        <w:t>po</w:t>
      </w:r>
      <w:r>
        <w:rPr>
          <w:color w:val="231F20"/>
          <w:spacing w:val="-6"/>
          <w:sz w:val="15"/>
        </w:rPr>
        <w:t xml:space="preserve"> </w:t>
      </w:r>
      <w:r>
        <w:rPr>
          <w:color w:val="231F20"/>
          <w:sz w:val="15"/>
        </w:rPr>
        <w:t>poskytnutí</w:t>
      </w:r>
      <w:r>
        <w:rPr>
          <w:color w:val="231F20"/>
          <w:spacing w:val="-6"/>
          <w:sz w:val="15"/>
        </w:rPr>
        <w:t xml:space="preserve"> </w:t>
      </w:r>
      <w:r>
        <w:rPr>
          <w:color w:val="231F20"/>
          <w:sz w:val="15"/>
        </w:rPr>
        <w:t>nebo</w:t>
      </w:r>
      <w:r>
        <w:rPr>
          <w:color w:val="231F20"/>
          <w:spacing w:val="-6"/>
          <w:sz w:val="15"/>
        </w:rPr>
        <w:t xml:space="preserve"> </w:t>
      </w:r>
      <w:r>
        <w:rPr>
          <w:color w:val="231F20"/>
          <w:sz w:val="15"/>
        </w:rPr>
        <w:t>přivolání</w:t>
      </w:r>
      <w:r>
        <w:rPr>
          <w:color w:val="231F20"/>
          <w:spacing w:val="-6"/>
          <w:sz w:val="15"/>
        </w:rPr>
        <w:t xml:space="preserve"> </w:t>
      </w:r>
      <w:r>
        <w:rPr>
          <w:color w:val="231F20"/>
          <w:sz w:val="15"/>
        </w:rPr>
        <w:t>pomoci neprodleně</w:t>
      </w:r>
      <w:r>
        <w:rPr>
          <w:color w:val="231F20"/>
          <w:spacing w:val="-27"/>
          <w:sz w:val="15"/>
        </w:rPr>
        <w:t xml:space="preserve"> </w:t>
      </w:r>
      <w:r>
        <w:rPr>
          <w:color w:val="231F20"/>
          <w:sz w:val="15"/>
        </w:rPr>
        <w:t>nevrátila,</w:t>
      </w:r>
      <w:r>
        <w:rPr>
          <w:color w:val="231F20"/>
          <w:spacing w:val="-26"/>
          <w:sz w:val="15"/>
        </w:rPr>
        <w:t xml:space="preserve"> </w:t>
      </w:r>
      <w:r>
        <w:rPr>
          <w:color w:val="231F20"/>
          <w:sz w:val="15"/>
        </w:rPr>
        <w:t>nebo</w:t>
      </w:r>
      <w:r>
        <w:rPr>
          <w:color w:val="231F20"/>
          <w:spacing w:val="-27"/>
          <w:sz w:val="15"/>
        </w:rPr>
        <w:t xml:space="preserve"> </w:t>
      </w:r>
      <w:r>
        <w:rPr>
          <w:color w:val="231F20"/>
          <w:sz w:val="15"/>
        </w:rPr>
        <w:t>jinak</w:t>
      </w:r>
      <w:r>
        <w:rPr>
          <w:color w:val="231F20"/>
          <w:spacing w:val="-26"/>
          <w:sz w:val="15"/>
        </w:rPr>
        <w:t xml:space="preserve"> </w:t>
      </w:r>
      <w:r>
        <w:rPr>
          <w:color w:val="231F20"/>
          <w:sz w:val="15"/>
        </w:rPr>
        <w:t>znemožnila</w:t>
      </w:r>
      <w:r>
        <w:rPr>
          <w:color w:val="231F20"/>
          <w:spacing w:val="-27"/>
          <w:sz w:val="15"/>
        </w:rPr>
        <w:t xml:space="preserve"> </w:t>
      </w:r>
      <w:r>
        <w:rPr>
          <w:color w:val="231F20"/>
          <w:sz w:val="15"/>
        </w:rPr>
        <w:t>zjištění</w:t>
      </w:r>
      <w:r>
        <w:rPr>
          <w:color w:val="231F20"/>
          <w:spacing w:val="-26"/>
          <w:sz w:val="15"/>
        </w:rPr>
        <w:t xml:space="preserve"> </w:t>
      </w:r>
      <w:r>
        <w:rPr>
          <w:color w:val="231F20"/>
          <w:sz w:val="15"/>
        </w:rPr>
        <w:t>skutečné</w:t>
      </w:r>
      <w:r>
        <w:rPr>
          <w:color w:val="231F20"/>
          <w:spacing w:val="-27"/>
          <w:sz w:val="15"/>
        </w:rPr>
        <w:t xml:space="preserve"> </w:t>
      </w:r>
      <w:r>
        <w:rPr>
          <w:color w:val="231F20"/>
          <w:sz w:val="15"/>
        </w:rPr>
        <w:t>příčiny</w:t>
      </w:r>
      <w:r>
        <w:rPr>
          <w:color w:val="231F20"/>
          <w:spacing w:val="-26"/>
          <w:sz w:val="15"/>
        </w:rPr>
        <w:t xml:space="preserve"> </w:t>
      </w:r>
      <w:r>
        <w:rPr>
          <w:color w:val="231F20"/>
          <w:sz w:val="15"/>
        </w:rPr>
        <w:t xml:space="preserve">vzniku </w:t>
      </w:r>
      <w:r>
        <w:rPr>
          <w:color w:val="231F20"/>
          <w:w w:val="95"/>
          <w:sz w:val="15"/>
        </w:rPr>
        <w:t xml:space="preserve">dopravní nehody či v zákonem stanovených případech neoznámila dopravní </w:t>
      </w:r>
      <w:r>
        <w:rPr>
          <w:color w:val="231F20"/>
          <w:sz w:val="15"/>
        </w:rPr>
        <w:t>nehodu</w:t>
      </w:r>
      <w:r>
        <w:rPr>
          <w:color w:val="231F20"/>
          <w:spacing w:val="-1"/>
          <w:sz w:val="15"/>
        </w:rPr>
        <w:t xml:space="preserve"> </w:t>
      </w:r>
      <w:r>
        <w:rPr>
          <w:color w:val="231F20"/>
          <w:sz w:val="15"/>
        </w:rPr>
        <w:t>policii;</w:t>
      </w:r>
    </w:p>
    <w:p w14:paraId="2E2B2B19" w14:textId="77777777" w:rsidR="00F65BCA" w:rsidRDefault="00216117">
      <w:pPr>
        <w:pStyle w:val="Odstavecseseznamem"/>
        <w:numPr>
          <w:ilvl w:val="0"/>
          <w:numId w:val="107"/>
        </w:numPr>
        <w:tabs>
          <w:tab w:val="left" w:pos="881"/>
        </w:tabs>
        <w:spacing w:line="278" w:lineRule="auto"/>
        <w:ind w:right="1"/>
        <w:jc w:val="both"/>
        <w:rPr>
          <w:sz w:val="15"/>
        </w:rPr>
      </w:pPr>
      <w:r>
        <w:rPr>
          <w:color w:val="231F20"/>
          <w:sz w:val="15"/>
        </w:rPr>
        <w:t xml:space="preserve">použití vozidla k protiprávní činnosti osobou pojistníka, pojištěného </w:t>
      </w:r>
      <w:r>
        <w:rPr>
          <w:color w:val="231F20"/>
          <w:spacing w:val="-3"/>
          <w:sz w:val="15"/>
        </w:rPr>
        <w:t xml:space="preserve">nebo </w:t>
      </w:r>
      <w:r>
        <w:rPr>
          <w:color w:val="231F20"/>
          <w:sz w:val="15"/>
        </w:rPr>
        <w:t>jiné</w:t>
      </w:r>
      <w:r>
        <w:rPr>
          <w:color w:val="231F20"/>
          <w:spacing w:val="-8"/>
          <w:sz w:val="15"/>
        </w:rPr>
        <w:t xml:space="preserve"> </w:t>
      </w:r>
      <w:r>
        <w:rPr>
          <w:color w:val="231F20"/>
          <w:sz w:val="15"/>
        </w:rPr>
        <w:t>oprávněné</w:t>
      </w:r>
      <w:r>
        <w:rPr>
          <w:color w:val="231F20"/>
          <w:spacing w:val="-8"/>
          <w:sz w:val="15"/>
        </w:rPr>
        <w:t xml:space="preserve"> </w:t>
      </w:r>
      <w:r>
        <w:rPr>
          <w:color w:val="231F20"/>
          <w:spacing w:val="-3"/>
          <w:sz w:val="15"/>
        </w:rPr>
        <w:t>osoby,</w:t>
      </w:r>
      <w:r>
        <w:rPr>
          <w:color w:val="231F20"/>
          <w:spacing w:val="-7"/>
          <w:sz w:val="15"/>
        </w:rPr>
        <w:t xml:space="preserve"> </w:t>
      </w:r>
      <w:r>
        <w:rPr>
          <w:color w:val="231F20"/>
          <w:sz w:val="15"/>
        </w:rPr>
        <w:t>včetně</w:t>
      </w:r>
      <w:r>
        <w:rPr>
          <w:color w:val="231F20"/>
          <w:spacing w:val="-8"/>
          <w:sz w:val="15"/>
        </w:rPr>
        <w:t xml:space="preserve"> </w:t>
      </w:r>
      <w:r>
        <w:rPr>
          <w:color w:val="231F20"/>
          <w:sz w:val="15"/>
        </w:rPr>
        <w:t>osob</w:t>
      </w:r>
      <w:r>
        <w:rPr>
          <w:color w:val="231F20"/>
          <w:spacing w:val="-7"/>
          <w:sz w:val="15"/>
        </w:rPr>
        <w:t xml:space="preserve"> </w:t>
      </w:r>
      <w:r>
        <w:rPr>
          <w:color w:val="231F20"/>
          <w:sz w:val="15"/>
        </w:rPr>
        <w:t>žijících</w:t>
      </w:r>
      <w:r>
        <w:rPr>
          <w:color w:val="231F20"/>
          <w:spacing w:val="-8"/>
          <w:sz w:val="15"/>
        </w:rPr>
        <w:t xml:space="preserve"> </w:t>
      </w:r>
      <w:r>
        <w:rPr>
          <w:color w:val="231F20"/>
          <w:sz w:val="15"/>
        </w:rPr>
        <w:t>s</w:t>
      </w:r>
      <w:r>
        <w:rPr>
          <w:color w:val="231F20"/>
          <w:spacing w:val="-7"/>
          <w:sz w:val="15"/>
        </w:rPr>
        <w:t xml:space="preserve"> </w:t>
      </w:r>
      <w:r>
        <w:rPr>
          <w:color w:val="231F20"/>
          <w:sz w:val="15"/>
        </w:rPr>
        <w:t>nimi</w:t>
      </w:r>
      <w:r>
        <w:rPr>
          <w:color w:val="231F20"/>
          <w:spacing w:val="-8"/>
          <w:sz w:val="15"/>
        </w:rPr>
        <w:t xml:space="preserve"> </w:t>
      </w:r>
      <w:r>
        <w:rPr>
          <w:color w:val="231F20"/>
          <w:sz w:val="15"/>
        </w:rPr>
        <w:t>ve</w:t>
      </w:r>
      <w:r>
        <w:rPr>
          <w:color w:val="231F20"/>
          <w:spacing w:val="-7"/>
          <w:sz w:val="15"/>
        </w:rPr>
        <w:t xml:space="preserve"> </w:t>
      </w:r>
      <w:r>
        <w:rPr>
          <w:color w:val="231F20"/>
          <w:sz w:val="15"/>
        </w:rPr>
        <w:t>společné</w:t>
      </w:r>
      <w:r>
        <w:rPr>
          <w:color w:val="231F20"/>
          <w:spacing w:val="-8"/>
          <w:sz w:val="15"/>
        </w:rPr>
        <w:t xml:space="preserve"> </w:t>
      </w:r>
      <w:r>
        <w:rPr>
          <w:color w:val="231F20"/>
          <w:sz w:val="15"/>
        </w:rPr>
        <w:t>domácnosti nebo</w:t>
      </w:r>
      <w:r>
        <w:rPr>
          <w:color w:val="231F20"/>
          <w:spacing w:val="-23"/>
          <w:sz w:val="15"/>
        </w:rPr>
        <w:t xml:space="preserve"> </w:t>
      </w:r>
      <w:r>
        <w:rPr>
          <w:color w:val="231F20"/>
          <w:sz w:val="15"/>
        </w:rPr>
        <w:t>odkázaných</w:t>
      </w:r>
      <w:r>
        <w:rPr>
          <w:color w:val="231F20"/>
          <w:spacing w:val="-23"/>
          <w:sz w:val="15"/>
        </w:rPr>
        <w:t xml:space="preserve"> </w:t>
      </w:r>
      <w:r>
        <w:rPr>
          <w:color w:val="231F20"/>
          <w:sz w:val="15"/>
        </w:rPr>
        <w:t>na</w:t>
      </w:r>
      <w:r>
        <w:rPr>
          <w:color w:val="231F20"/>
          <w:spacing w:val="-23"/>
          <w:sz w:val="15"/>
        </w:rPr>
        <w:t xml:space="preserve"> </w:t>
      </w:r>
      <w:r>
        <w:rPr>
          <w:color w:val="231F20"/>
          <w:sz w:val="15"/>
        </w:rPr>
        <w:t>ně</w:t>
      </w:r>
      <w:r>
        <w:rPr>
          <w:color w:val="231F20"/>
          <w:spacing w:val="-23"/>
          <w:sz w:val="15"/>
        </w:rPr>
        <w:t xml:space="preserve"> </w:t>
      </w:r>
      <w:r>
        <w:rPr>
          <w:color w:val="231F20"/>
          <w:sz w:val="15"/>
        </w:rPr>
        <w:t>výživou</w:t>
      </w:r>
      <w:r>
        <w:rPr>
          <w:color w:val="231F20"/>
          <w:spacing w:val="-23"/>
          <w:sz w:val="15"/>
        </w:rPr>
        <w:t xml:space="preserve"> </w:t>
      </w:r>
      <w:r>
        <w:rPr>
          <w:color w:val="231F20"/>
          <w:sz w:val="15"/>
        </w:rPr>
        <w:t>nebo</w:t>
      </w:r>
      <w:r>
        <w:rPr>
          <w:color w:val="231F20"/>
          <w:spacing w:val="-23"/>
          <w:sz w:val="15"/>
        </w:rPr>
        <w:t xml:space="preserve"> </w:t>
      </w:r>
      <w:r>
        <w:rPr>
          <w:color w:val="231F20"/>
          <w:sz w:val="15"/>
        </w:rPr>
        <w:t>jakékoliv</w:t>
      </w:r>
      <w:r>
        <w:rPr>
          <w:color w:val="231F20"/>
          <w:spacing w:val="-23"/>
          <w:sz w:val="15"/>
        </w:rPr>
        <w:t xml:space="preserve"> </w:t>
      </w:r>
      <w:r>
        <w:rPr>
          <w:color w:val="231F20"/>
          <w:sz w:val="15"/>
        </w:rPr>
        <w:t>jiné</w:t>
      </w:r>
      <w:r>
        <w:rPr>
          <w:color w:val="231F20"/>
          <w:spacing w:val="-23"/>
          <w:sz w:val="15"/>
        </w:rPr>
        <w:t xml:space="preserve"> </w:t>
      </w:r>
      <w:r>
        <w:rPr>
          <w:color w:val="231F20"/>
          <w:sz w:val="15"/>
        </w:rPr>
        <w:t>osoby</w:t>
      </w:r>
      <w:r>
        <w:rPr>
          <w:color w:val="231F20"/>
          <w:spacing w:val="-23"/>
          <w:sz w:val="15"/>
        </w:rPr>
        <w:t xml:space="preserve"> </w:t>
      </w:r>
      <w:r>
        <w:rPr>
          <w:color w:val="231F20"/>
          <w:sz w:val="15"/>
        </w:rPr>
        <w:t>jednající</w:t>
      </w:r>
      <w:r>
        <w:rPr>
          <w:color w:val="231F20"/>
          <w:spacing w:val="-23"/>
          <w:sz w:val="15"/>
        </w:rPr>
        <w:t xml:space="preserve"> </w:t>
      </w:r>
      <w:r>
        <w:rPr>
          <w:color w:val="231F20"/>
          <w:sz w:val="15"/>
        </w:rPr>
        <w:t>z</w:t>
      </w:r>
      <w:r>
        <w:rPr>
          <w:color w:val="231F20"/>
          <w:spacing w:val="-23"/>
          <w:sz w:val="15"/>
        </w:rPr>
        <w:t xml:space="preserve"> </w:t>
      </w:r>
      <w:r>
        <w:rPr>
          <w:color w:val="231F20"/>
          <w:sz w:val="15"/>
        </w:rPr>
        <w:t>podně- tu těchto</w:t>
      </w:r>
      <w:r>
        <w:rPr>
          <w:color w:val="231F20"/>
          <w:spacing w:val="-1"/>
          <w:sz w:val="15"/>
        </w:rPr>
        <w:t xml:space="preserve"> </w:t>
      </w:r>
      <w:r>
        <w:rPr>
          <w:color w:val="231F20"/>
          <w:sz w:val="15"/>
        </w:rPr>
        <w:t>osob;</w:t>
      </w:r>
    </w:p>
    <w:p w14:paraId="49212DBB" w14:textId="77777777" w:rsidR="00F65BCA" w:rsidRDefault="00216117">
      <w:pPr>
        <w:pStyle w:val="Odstavecseseznamem"/>
        <w:numPr>
          <w:ilvl w:val="0"/>
          <w:numId w:val="107"/>
        </w:numPr>
        <w:tabs>
          <w:tab w:val="left" w:pos="881"/>
        </w:tabs>
        <w:spacing w:line="278" w:lineRule="auto"/>
        <w:ind w:right="1"/>
        <w:jc w:val="both"/>
        <w:rPr>
          <w:sz w:val="15"/>
        </w:rPr>
      </w:pPr>
      <w:r>
        <w:rPr>
          <w:color w:val="231F20"/>
          <w:sz w:val="15"/>
        </w:rPr>
        <w:t>škody</w:t>
      </w:r>
      <w:r>
        <w:rPr>
          <w:color w:val="231F20"/>
          <w:spacing w:val="-22"/>
          <w:sz w:val="15"/>
        </w:rPr>
        <w:t xml:space="preserve"> </w:t>
      </w:r>
      <w:r>
        <w:rPr>
          <w:color w:val="231F20"/>
          <w:sz w:val="15"/>
        </w:rPr>
        <w:t>vzniklé</w:t>
      </w:r>
      <w:r>
        <w:rPr>
          <w:color w:val="231F20"/>
          <w:spacing w:val="-22"/>
          <w:sz w:val="15"/>
        </w:rPr>
        <w:t xml:space="preserve"> </w:t>
      </w:r>
      <w:r>
        <w:rPr>
          <w:color w:val="231F20"/>
          <w:sz w:val="15"/>
        </w:rPr>
        <w:t>nebo</w:t>
      </w:r>
      <w:r>
        <w:rPr>
          <w:color w:val="231F20"/>
          <w:spacing w:val="-22"/>
          <w:sz w:val="15"/>
        </w:rPr>
        <w:t xml:space="preserve"> </w:t>
      </w:r>
      <w:r>
        <w:rPr>
          <w:color w:val="231F20"/>
          <w:sz w:val="15"/>
        </w:rPr>
        <w:t>způsobené</w:t>
      </w:r>
      <w:r>
        <w:rPr>
          <w:color w:val="231F20"/>
          <w:spacing w:val="-21"/>
          <w:sz w:val="15"/>
        </w:rPr>
        <w:t xml:space="preserve"> </w:t>
      </w:r>
      <w:r>
        <w:rPr>
          <w:color w:val="231F20"/>
          <w:sz w:val="15"/>
        </w:rPr>
        <w:t>úmyslným</w:t>
      </w:r>
      <w:r>
        <w:rPr>
          <w:color w:val="231F20"/>
          <w:spacing w:val="-22"/>
          <w:sz w:val="15"/>
        </w:rPr>
        <w:t xml:space="preserve"> </w:t>
      </w:r>
      <w:r>
        <w:rPr>
          <w:color w:val="231F20"/>
          <w:sz w:val="15"/>
        </w:rPr>
        <w:t>jednáním</w:t>
      </w:r>
      <w:r>
        <w:rPr>
          <w:color w:val="231F20"/>
          <w:spacing w:val="-22"/>
          <w:sz w:val="15"/>
        </w:rPr>
        <w:t xml:space="preserve"> </w:t>
      </w:r>
      <w:r>
        <w:rPr>
          <w:color w:val="231F20"/>
          <w:sz w:val="15"/>
        </w:rPr>
        <w:t>pojištěného,</w:t>
      </w:r>
      <w:r>
        <w:rPr>
          <w:color w:val="231F20"/>
          <w:spacing w:val="-22"/>
          <w:sz w:val="15"/>
        </w:rPr>
        <w:t xml:space="preserve"> </w:t>
      </w:r>
      <w:r>
        <w:rPr>
          <w:color w:val="231F20"/>
          <w:sz w:val="15"/>
        </w:rPr>
        <w:t>osob</w:t>
      </w:r>
      <w:r>
        <w:rPr>
          <w:color w:val="231F20"/>
          <w:spacing w:val="-21"/>
          <w:sz w:val="15"/>
        </w:rPr>
        <w:t xml:space="preserve"> </w:t>
      </w:r>
      <w:r>
        <w:rPr>
          <w:color w:val="231F20"/>
          <w:spacing w:val="-4"/>
          <w:sz w:val="15"/>
        </w:rPr>
        <w:t xml:space="preserve">jemu </w:t>
      </w:r>
      <w:r>
        <w:rPr>
          <w:color w:val="231F20"/>
          <w:sz w:val="15"/>
        </w:rPr>
        <w:t>blízkých, osob v pracovněprávním či obdobném poměru k pojištěnému nebo jiných osob z podnětu</w:t>
      </w:r>
      <w:r>
        <w:rPr>
          <w:color w:val="231F20"/>
          <w:spacing w:val="-6"/>
          <w:sz w:val="15"/>
        </w:rPr>
        <w:t xml:space="preserve"> </w:t>
      </w:r>
      <w:r>
        <w:rPr>
          <w:color w:val="231F20"/>
          <w:sz w:val="15"/>
        </w:rPr>
        <w:t>pojištěného.</w:t>
      </w:r>
    </w:p>
    <w:p w14:paraId="18E43BFF" w14:textId="77777777" w:rsidR="00F65BCA" w:rsidRDefault="00216117">
      <w:pPr>
        <w:pStyle w:val="Zkladntext"/>
        <w:spacing w:line="278" w:lineRule="auto"/>
        <w:ind w:left="710" w:right="1"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position w:val="1"/>
          <w:sz w:val="14"/>
        </w:rPr>
        <w:t xml:space="preserve"> </w:t>
      </w:r>
      <w:r>
        <w:rPr>
          <w:color w:val="231F20"/>
          <w:spacing w:val="4"/>
        </w:rPr>
        <w:t xml:space="preserve">Výluky </w:t>
      </w:r>
      <w:r>
        <w:rPr>
          <w:color w:val="231F20"/>
          <w:spacing w:val="3"/>
        </w:rPr>
        <w:t xml:space="preserve">uvedené </w:t>
      </w:r>
      <w:r>
        <w:rPr>
          <w:color w:val="231F20"/>
        </w:rPr>
        <w:t xml:space="preserve">v </w:t>
      </w:r>
      <w:r>
        <w:rPr>
          <w:color w:val="231F20"/>
          <w:spacing w:val="3"/>
        </w:rPr>
        <w:t xml:space="preserve">předchozím odstavci </w:t>
      </w:r>
      <w:r>
        <w:rPr>
          <w:color w:val="231F20"/>
          <w:spacing w:val="2"/>
        </w:rPr>
        <w:t xml:space="preserve">pod </w:t>
      </w:r>
      <w:r>
        <w:rPr>
          <w:color w:val="231F20"/>
          <w:spacing w:val="3"/>
        </w:rPr>
        <w:t xml:space="preserve">písmeny </w:t>
      </w:r>
      <w:r>
        <w:rPr>
          <w:color w:val="231F20"/>
        </w:rPr>
        <w:t xml:space="preserve">k) </w:t>
      </w:r>
      <w:r>
        <w:rPr>
          <w:color w:val="231F20"/>
          <w:spacing w:val="3"/>
        </w:rPr>
        <w:t xml:space="preserve">až </w:t>
      </w:r>
      <w:r>
        <w:rPr>
          <w:color w:val="231F20"/>
        </w:rPr>
        <w:t xml:space="preserve">p) se </w:t>
      </w:r>
      <w:r>
        <w:rPr>
          <w:color w:val="231F20"/>
          <w:spacing w:val="3"/>
        </w:rPr>
        <w:t xml:space="preserve">nepoužijí </w:t>
      </w:r>
      <w:r>
        <w:rPr>
          <w:color w:val="231F20"/>
        </w:rPr>
        <w:t>v</w:t>
      </w:r>
      <w:r>
        <w:rPr>
          <w:color w:val="231F20"/>
          <w:spacing w:val="-12"/>
        </w:rPr>
        <w:t xml:space="preserve"> </w:t>
      </w:r>
      <w:r>
        <w:rPr>
          <w:color w:val="231F20"/>
        </w:rPr>
        <w:t>případě,</w:t>
      </w:r>
      <w:r>
        <w:rPr>
          <w:color w:val="231F20"/>
          <w:spacing w:val="-14"/>
        </w:rPr>
        <w:t xml:space="preserve"> </w:t>
      </w:r>
      <w:r>
        <w:rPr>
          <w:color w:val="231F20"/>
        </w:rPr>
        <w:t>že</w:t>
      </w:r>
      <w:r>
        <w:rPr>
          <w:color w:val="231F20"/>
          <w:spacing w:val="-14"/>
        </w:rPr>
        <w:t xml:space="preserve"> </w:t>
      </w:r>
      <w:r>
        <w:rPr>
          <w:color w:val="231F20"/>
        </w:rPr>
        <w:t>k</w:t>
      </w:r>
      <w:r>
        <w:rPr>
          <w:color w:val="231F20"/>
          <w:spacing w:val="-14"/>
        </w:rPr>
        <w:t xml:space="preserve"> </w:t>
      </w:r>
      <w:r>
        <w:rPr>
          <w:color w:val="231F20"/>
        </w:rPr>
        <w:t>pojistné</w:t>
      </w:r>
      <w:r>
        <w:rPr>
          <w:color w:val="231F20"/>
          <w:spacing w:val="-13"/>
        </w:rPr>
        <w:t xml:space="preserve"> </w:t>
      </w:r>
      <w:r>
        <w:rPr>
          <w:color w:val="231F20"/>
        </w:rPr>
        <w:t>události</w:t>
      </w:r>
      <w:r>
        <w:rPr>
          <w:color w:val="231F20"/>
          <w:spacing w:val="-14"/>
        </w:rPr>
        <w:t xml:space="preserve"> </w:t>
      </w:r>
      <w:r>
        <w:rPr>
          <w:color w:val="231F20"/>
        </w:rPr>
        <w:t>došlo</w:t>
      </w:r>
      <w:r>
        <w:rPr>
          <w:color w:val="231F20"/>
          <w:spacing w:val="-14"/>
        </w:rPr>
        <w:t xml:space="preserve"> </w:t>
      </w:r>
      <w:r>
        <w:rPr>
          <w:color w:val="231F20"/>
        </w:rPr>
        <w:t>v</w:t>
      </w:r>
      <w:r>
        <w:rPr>
          <w:color w:val="231F20"/>
          <w:spacing w:val="-14"/>
        </w:rPr>
        <w:t xml:space="preserve"> </w:t>
      </w:r>
      <w:r>
        <w:rPr>
          <w:color w:val="231F20"/>
        </w:rPr>
        <w:t>době</w:t>
      </w:r>
      <w:r>
        <w:rPr>
          <w:color w:val="231F20"/>
          <w:spacing w:val="-14"/>
        </w:rPr>
        <w:t xml:space="preserve"> </w:t>
      </w:r>
      <w:r>
        <w:rPr>
          <w:color w:val="231F20"/>
        </w:rPr>
        <w:t>od</w:t>
      </w:r>
      <w:r>
        <w:rPr>
          <w:color w:val="231F20"/>
          <w:spacing w:val="-13"/>
        </w:rPr>
        <w:t xml:space="preserve"> </w:t>
      </w:r>
      <w:r>
        <w:rPr>
          <w:color w:val="231F20"/>
        </w:rPr>
        <w:t>odcizení</w:t>
      </w:r>
      <w:r>
        <w:rPr>
          <w:color w:val="231F20"/>
          <w:spacing w:val="-14"/>
        </w:rPr>
        <w:t xml:space="preserve"> </w:t>
      </w:r>
      <w:r>
        <w:rPr>
          <w:color w:val="231F20"/>
        </w:rPr>
        <w:t>pojištěného</w:t>
      </w:r>
      <w:r>
        <w:rPr>
          <w:color w:val="231F20"/>
          <w:spacing w:val="-14"/>
        </w:rPr>
        <w:t xml:space="preserve"> </w:t>
      </w:r>
      <w:r>
        <w:rPr>
          <w:color w:val="231F20"/>
        </w:rPr>
        <w:t>vozidla do doby jeho vrácení oprávněné</w:t>
      </w:r>
      <w:r>
        <w:rPr>
          <w:color w:val="231F20"/>
          <w:spacing w:val="-7"/>
        </w:rPr>
        <w:t xml:space="preserve"> </w:t>
      </w:r>
      <w:r>
        <w:rPr>
          <w:color w:val="231F20"/>
        </w:rPr>
        <w:t>osobě.</w:t>
      </w:r>
    </w:p>
    <w:p w14:paraId="06DE700B" w14:textId="77777777" w:rsidR="00F65BCA" w:rsidRDefault="00216117">
      <w:pPr>
        <w:pStyle w:val="Zkladntext"/>
        <w:spacing w:line="278" w:lineRule="auto"/>
        <w:ind w:left="710" w:right="2" w:hanging="283"/>
        <w:jc w:val="both"/>
      </w:pPr>
      <w:r>
        <w:rPr>
          <w:color w:val="231F20"/>
          <w:position w:val="1"/>
          <w:sz w:val="14"/>
          <w:shd w:val="clear" w:color="auto" w:fill="D1D3D4"/>
        </w:rPr>
        <w:t xml:space="preserve">  3</w:t>
      </w:r>
      <w:r>
        <w:rPr>
          <w:color w:val="231F20"/>
          <w:position w:val="1"/>
          <w:sz w:val="14"/>
        </w:rPr>
        <w:t xml:space="preserve"> </w:t>
      </w:r>
      <w:r>
        <w:rPr>
          <w:color w:val="231F20"/>
        </w:rPr>
        <w:t>Není-li v pojistné smlouvě nebo seznamu vozidel ujednáno jinak, Pojišťovna dále neposkytne pojistné plnění v těchto případech:</w:t>
      </w:r>
    </w:p>
    <w:p w14:paraId="1E7D17A3" w14:textId="77777777" w:rsidR="00F65BCA" w:rsidRDefault="00216117">
      <w:pPr>
        <w:pStyle w:val="Odstavecseseznamem"/>
        <w:numPr>
          <w:ilvl w:val="0"/>
          <w:numId w:val="106"/>
        </w:numPr>
        <w:tabs>
          <w:tab w:val="left" w:pos="881"/>
        </w:tabs>
        <w:spacing w:line="278" w:lineRule="auto"/>
        <w:ind w:right="1"/>
        <w:jc w:val="both"/>
        <w:rPr>
          <w:sz w:val="15"/>
        </w:rPr>
      </w:pPr>
      <w:r>
        <w:rPr>
          <w:color w:val="231F20"/>
          <w:sz w:val="15"/>
        </w:rPr>
        <w:t xml:space="preserve">škoda způsobená provozem vozidla při jeho účasti na </w:t>
      </w:r>
      <w:r>
        <w:rPr>
          <w:color w:val="231F20"/>
          <w:spacing w:val="-2"/>
          <w:sz w:val="15"/>
        </w:rPr>
        <w:t>organizovaném</w:t>
      </w:r>
      <w:r>
        <w:rPr>
          <w:color w:val="231F20"/>
          <w:spacing w:val="37"/>
          <w:sz w:val="15"/>
        </w:rPr>
        <w:t xml:space="preserve"> </w:t>
      </w:r>
      <w:r>
        <w:rPr>
          <w:color w:val="231F20"/>
          <w:sz w:val="15"/>
        </w:rPr>
        <w:t>motoristickém závodu nebo soutěži (motorsport), jakož i při přípravných jízdách k nim, s výjimkou škody způsobené při takovéto účasti, jestliže je řidič</w:t>
      </w:r>
      <w:r>
        <w:rPr>
          <w:color w:val="231F20"/>
          <w:spacing w:val="-12"/>
          <w:sz w:val="15"/>
        </w:rPr>
        <w:t xml:space="preserve"> </w:t>
      </w:r>
      <w:r>
        <w:rPr>
          <w:color w:val="231F20"/>
          <w:sz w:val="15"/>
        </w:rPr>
        <w:t>při</w:t>
      </w:r>
      <w:r>
        <w:rPr>
          <w:color w:val="231F20"/>
          <w:spacing w:val="-12"/>
          <w:sz w:val="15"/>
        </w:rPr>
        <w:t xml:space="preserve"> </w:t>
      </w:r>
      <w:r>
        <w:rPr>
          <w:color w:val="231F20"/>
          <w:sz w:val="15"/>
        </w:rPr>
        <w:t>tomto</w:t>
      </w:r>
      <w:r>
        <w:rPr>
          <w:color w:val="231F20"/>
          <w:spacing w:val="-11"/>
          <w:sz w:val="15"/>
        </w:rPr>
        <w:t xml:space="preserve"> </w:t>
      </w:r>
      <w:r>
        <w:rPr>
          <w:color w:val="231F20"/>
          <w:sz w:val="15"/>
        </w:rPr>
        <w:t>závodu</w:t>
      </w:r>
      <w:r>
        <w:rPr>
          <w:color w:val="231F20"/>
          <w:spacing w:val="-12"/>
          <w:sz w:val="15"/>
        </w:rPr>
        <w:t xml:space="preserve"> </w:t>
      </w:r>
      <w:r>
        <w:rPr>
          <w:color w:val="231F20"/>
          <w:sz w:val="15"/>
        </w:rPr>
        <w:t>nebo</w:t>
      </w:r>
      <w:r>
        <w:rPr>
          <w:color w:val="231F20"/>
          <w:spacing w:val="-11"/>
          <w:sz w:val="15"/>
        </w:rPr>
        <w:t xml:space="preserve"> </w:t>
      </w:r>
      <w:r>
        <w:rPr>
          <w:color w:val="231F20"/>
          <w:sz w:val="15"/>
        </w:rPr>
        <w:t>soutěži</w:t>
      </w:r>
      <w:r>
        <w:rPr>
          <w:color w:val="231F20"/>
          <w:spacing w:val="-12"/>
          <w:sz w:val="15"/>
        </w:rPr>
        <w:t xml:space="preserve"> </w:t>
      </w:r>
      <w:r>
        <w:rPr>
          <w:color w:val="231F20"/>
          <w:sz w:val="15"/>
        </w:rPr>
        <w:t>povinen</w:t>
      </w:r>
      <w:r>
        <w:rPr>
          <w:color w:val="231F20"/>
          <w:spacing w:val="-11"/>
          <w:sz w:val="15"/>
        </w:rPr>
        <w:t xml:space="preserve"> </w:t>
      </w:r>
      <w:r>
        <w:rPr>
          <w:color w:val="231F20"/>
          <w:sz w:val="15"/>
        </w:rPr>
        <w:t>dodržovat</w:t>
      </w:r>
      <w:r>
        <w:rPr>
          <w:color w:val="231F20"/>
          <w:spacing w:val="-12"/>
          <w:sz w:val="15"/>
        </w:rPr>
        <w:t xml:space="preserve"> </w:t>
      </w:r>
      <w:r>
        <w:rPr>
          <w:color w:val="231F20"/>
          <w:sz w:val="15"/>
        </w:rPr>
        <w:t>pravidla</w:t>
      </w:r>
      <w:r>
        <w:rPr>
          <w:color w:val="231F20"/>
          <w:spacing w:val="-12"/>
          <w:sz w:val="15"/>
        </w:rPr>
        <w:t xml:space="preserve"> </w:t>
      </w:r>
      <w:r>
        <w:rPr>
          <w:color w:val="231F20"/>
          <w:sz w:val="15"/>
        </w:rPr>
        <w:t>provozu</w:t>
      </w:r>
      <w:r>
        <w:rPr>
          <w:color w:val="231F20"/>
          <w:spacing w:val="-11"/>
          <w:sz w:val="15"/>
        </w:rPr>
        <w:t xml:space="preserve"> </w:t>
      </w:r>
      <w:r>
        <w:rPr>
          <w:color w:val="231F20"/>
          <w:spacing w:val="-6"/>
          <w:sz w:val="15"/>
        </w:rPr>
        <w:t xml:space="preserve">na </w:t>
      </w:r>
      <w:r>
        <w:rPr>
          <w:color w:val="231F20"/>
          <w:sz w:val="15"/>
        </w:rPr>
        <w:t>pozemních</w:t>
      </w:r>
      <w:r>
        <w:rPr>
          <w:color w:val="231F20"/>
          <w:spacing w:val="-1"/>
          <w:sz w:val="15"/>
        </w:rPr>
        <w:t xml:space="preserve"> </w:t>
      </w:r>
      <w:r>
        <w:rPr>
          <w:color w:val="231F20"/>
          <w:sz w:val="15"/>
        </w:rPr>
        <w:t>komunikacích;</w:t>
      </w:r>
    </w:p>
    <w:p w14:paraId="40008030" w14:textId="77777777" w:rsidR="00F65BCA" w:rsidRDefault="00216117">
      <w:pPr>
        <w:pStyle w:val="Odstavecseseznamem"/>
        <w:numPr>
          <w:ilvl w:val="0"/>
          <w:numId w:val="106"/>
        </w:numPr>
        <w:tabs>
          <w:tab w:val="left" w:pos="881"/>
        </w:tabs>
        <w:spacing w:line="278" w:lineRule="auto"/>
        <w:ind w:right="2"/>
        <w:jc w:val="both"/>
        <w:rPr>
          <w:sz w:val="15"/>
        </w:rPr>
      </w:pPr>
      <w:r>
        <w:rPr>
          <w:color w:val="231F20"/>
          <w:spacing w:val="-3"/>
          <w:sz w:val="15"/>
        </w:rPr>
        <w:t xml:space="preserve">škoda způsobená provozem vozidla </w:t>
      </w:r>
      <w:r>
        <w:rPr>
          <w:color w:val="231F20"/>
          <w:sz w:val="15"/>
        </w:rPr>
        <w:t xml:space="preserve">při </w:t>
      </w:r>
      <w:r>
        <w:rPr>
          <w:color w:val="231F20"/>
          <w:spacing w:val="-3"/>
          <w:sz w:val="15"/>
        </w:rPr>
        <w:t xml:space="preserve">jeho účasti </w:t>
      </w:r>
      <w:r>
        <w:rPr>
          <w:color w:val="231F20"/>
          <w:sz w:val="15"/>
        </w:rPr>
        <w:t xml:space="preserve">na </w:t>
      </w:r>
      <w:r>
        <w:rPr>
          <w:color w:val="231F20"/>
          <w:spacing w:val="-3"/>
          <w:sz w:val="15"/>
        </w:rPr>
        <w:t>testovacích, zkušeb- ních,</w:t>
      </w:r>
      <w:r>
        <w:rPr>
          <w:color w:val="231F20"/>
          <w:spacing w:val="-21"/>
          <w:sz w:val="15"/>
        </w:rPr>
        <w:t xml:space="preserve"> </w:t>
      </w:r>
      <w:r>
        <w:rPr>
          <w:color w:val="231F20"/>
          <w:spacing w:val="-3"/>
          <w:sz w:val="15"/>
        </w:rPr>
        <w:t>zážitkových</w:t>
      </w:r>
      <w:r>
        <w:rPr>
          <w:color w:val="231F20"/>
          <w:spacing w:val="-21"/>
          <w:sz w:val="15"/>
        </w:rPr>
        <w:t xml:space="preserve"> </w:t>
      </w:r>
      <w:r>
        <w:rPr>
          <w:color w:val="231F20"/>
          <w:spacing w:val="-3"/>
          <w:sz w:val="15"/>
        </w:rPr>
        <w:t>jízdách,</w:t>
      </w:r>
      <w:r>
        <w:rPr>
          <w:color w:val="231F20"/>
          <w:spacing w:val="-21"/>
          <w:sz w:val="15"/>
        </w:rPr>
        <w:t xml:space="preserve"> </w:t>
      </w:r>
      <w:r>
        <w:rPr>
          <w:color w:val="231F20"/>
          <w:spacing w:val="-3"/>
          <w:sz w:val="15"/>
        </w:rPr>
        <w:t>školách</w:t>
      </w:r>
      <w:r>
        <w:rPr>
          <w:color w:val="231F20"/>
          <w:spacing w:val="-20"/>
          <w:sz w:val="15"/>
        </w:rPr>
        <w:t xml:space="preserve"> </w:t>
      </w:r>
      <w:r>
        <w:rPr>
          <w:color w:val="231F20"/>
          <w:spacing w:val="-3"/>
          <w:sz w:val="15"/>
        </w:rPr>
        <w:t>smyku,</w:t>
      </w:r>
      <w:r>
        <w:rPr>
          <w:color w:val="231F20"/>
          <w:spacing w:val="-21"/>
          <w:sz w:val="15"/>
        </w:rPr>
        <w:t xml:space="preserve"> </w:t>
      </w:r>
      <w:r>
        <w:rPr>
          <w:color w:val="231F20"/>
          <w:spacing w:val="-3"/>
          <w:sz w:val="15"/>
        </w:rPr>
        <w:t>jízdách</w:t>
      </w:r>
      <w:r>
        <w:rPr>
          <w:color w:val="231F20"/>
          <w:spacing w:val="-21"/>
          <w:sz w:val="15"/>
        </w:rPr>
        <w:t xml:space="preserve"> </w:t>
      </w:r>
      <w:r>
        <w:rPr>
          <w:color w:val="231F20"/>
          <w:sz w:val="15"/>
        </w:rPr>
        <w:t>na</w:t>
      </w:r>
      <w:r>
        <w:rPr>
          <w:color w:val="231F20"/>
          <w:spacing w:val="-20"/>
          <w:sz w:val="15"/>
        </w:rPr>
        <w:t xml:space="preserve"> </w:t>
      </w:r>
      <w:r>
        <w:rPr>
          <w:color w:val="231F20"/>
          <w:spacing w:val="-3"/>
          <w:sz w:val="15"/>
        </w:rPr>
        <w:t>uzavřeném</w:t>
      </w:r>
      <w:r>
        <w:rPr>
          <w:color w:val="231F20"/>
          <w:spacing w:val="-21"/>
          <w:sz w:val="15"/>
        </w:rPr>
        <w:t xml:space="preserve"> </w:t>
      </w:r>
      <w:r>
        <w:rPr>
          <w:color w:val="231F20"/>
          <w:sz w:val="15"/>
        </w:rPr>
        <w:t>či</w:t>
      </w:r>
      <w:r>
        <w:rPr>
          <w:color w:val="231F20"/>
          <w:spacing w:val="-21"/>
          <w:sz w:val="15"/>
        </w:rPr>
        <w:t xml:space="preserve"> </w:t>
      </w:r>
      <w:r>
        <w:rPr>
          <w:color w:val="231F20"/>
          <w:spacing w:val="-4"/>
          <w:sz w:val="15"/>
        </w:rPr>
        <w:t xml:space="preserve">otevřeném </w:t>
      </w:r>
      <w:r>
        <w:rPr>
          <w:color w:val="231F20"/>
          <w:spacing w:val="-3"/>
          <w:sz w:val="15"/>
        </w:rPr>
        <w:t>okruhu</w:t>
      </w:r>
      <w:r>
        <w:rPr>
          <w:color w:val="231F20"/>
          <w:spacing w:val="-21"/>
          <w:sz w:val="15"/>
        </w:rPr>
        <w:t xml:space="preserve"> </w:t>
      </w:r>
      <w:r>
        <w:rPr>
          <w:color w:val="231F20"/>
          <w:spacing w:val="-3"/>
          <w:sz w:val="15"/>
        </w:rPr>
        <w:t>nebo</w:t>
      </w:r>
      <w:r>
        <w:rPr>
          <w:color w:val="231F20"/>
          <w:spacing w:val="-20"/>
          <w:sz w:val="15"/>
        </w:rPr>
        <w:t xml:space="preserve"> </w:t>
      </w:r>
      <w:r>
        <w:rPr>
          <w:color w:val="231F20"/>
          <w:sz w:val="15"/>
        </w:rPr>
        <w:t>v</w:t>
      </w:r>
      <w:r>
        <w:rPr>
          <w:color w:val="231F20"/>
          <w:spacing w:val="-21"/>
          <w:sz w:val="15"/>
        </w:rPr>
        <w:t xml:space="preserve"> </w:t>
      </w:r>
      <w:r>
        <w:rPr>
          <w:color w:val="231F20"/>
          <w:spacing w:val="-3"/>
          <w:sz w:val="15"/>
        </w:rPr>
        <w:t>areálu</w:t>
      </w:r>
      <w:r>
        <w:rPr>
          <w:color w:val="231F20"/>
          <w:spacing w:val="-20"/>
          <w:sz w:val="15"/>
        </w:rPr>
        <w:t xml:space="preserve"> </w:t>
      </w:r>
      <w:r>
        <w:rPr>
          <w:color w:val="231F20"/>
          <w:spacing w:val="-3"/>
          <w:sz w:val="15"/>
        </w:rPr>
        <w:t>vymezeném</w:t>
      </w:r>
      <w:r>
        <w:rPr>
          <w:color w:val="231F20"/>
          <w:spacing w:val="-21"/>
          <w:sz w:val="15"/>
        </w:rPr>
        <w:t xml:space="preserve"> </w:t>
      </w:r>
      <w:r>
        <w:rPr>
          <w:color w:val="231F20"/>
          <w:sz w:val="15"/>
        </w:rPr>
        <w:t>k</w:t>
      </w:r>
      <w:r>
        <w:rPr>
          <w:color w:val="231F20"/>
          <w:spacing w:val="-20"/>
          <w:sz w:val="15"/>
        </w:rPr>
        <w:t xml:space="preserve"> </w:t>
      </w:r>
      <w:r>
        <w:rPr>
          <w:color w:val="231F20"/>
          <w:spacing w:val="-3"/>
          <w:sz w:val="15"/>
        </w:rPr>
        <w:t>takovému</w:t>
      </w:r>
      <w:r>
        <w:rPr>
          <w:color w:val="231F20"/>
          <w:spacing w:val="-21"/>
          <w:sz w:val="15"/>
        </w:rPr>
        <w:t xml:space="preserve"> </w:t>
      </w:r>
      <w:r>
        <w:rPr>
          <w:color w:val="231F20"/>
          <w:spacing w:val="-3"/>
          <w:sz w:val="15"/>
        </w:rPr>
        <w:t>účelu</w:t>
      </w:r>
      <w:r>
        <w:rPr>
          <w:color w:val="231F20"/>
          <w:spacing w:val="-20"/>
          <w:sz w:val="15"/>
        </w:rPr>
        <w:t xml:space="preserve"> </w:t>
      </w:r>
      <w:r>
        <w:rPr>
          <w:color w:val="231F20"/>
          <w:sz w:val="15"/>
        </w:rPr>
        <w:t>a</w:t>
      </w:r>
      <w:r>
        <w:rPr>
          <w:color w:val="231F20"/>
          <w:spacing w:val="-21"/>
          <w:sz w:val="15"/>
        </w:rPr>
        <w:t xml:space="preserve"> </w:t>
      </w:r>
      <w:r>
        <w:rPr>
          <w:color w:val="231F20"/>
          <w:spacing w:val="-3"/>
          <w:sz w:val="15"/>
        </w:rPr>
        <w:t>dále</w:t>
      </w:r>
      <w:r>
        <w:rPr>
          <w:color w:val="231F20"/>
          <w:spacing w:val="-20"/>
          <w:sz w:val="15"/>
        </w:rPr>
        <w:t xml:space="preserve"> </w:t>
      </w:r>
      <w:r>
        <w:rPr>
          <w:color w:val="231F20"/>
          <w:spacing w:val="-3"/>
          <w:sz w:val="15"/>
        </w:rPr>
        <w:t>jízdách,</w:t>
      </w:r>
      <w:r>
        <w:rPr>
          <w:color w:val="231F20"/>
          <w:spacing w:val="-21"/>
          <w:sz w:val="15"/>
        </w:rPr>
        <w:t xml:space="preserve"> </w:t>
      </w:r>
      <w:r>
        <w:rPr>
          <w:color w:val="231F20"/>
          <w:sz w:val="15"/>
        </w:rPr>
        <w:t>při</w:t>
      </w:r>
      <w:r>
        <w:rPr>
          <w:color w:val="231F20"/>
          <w:spacing w:val="-20"/>
          <w:sz w:val="15"/>
        </w:rPr>
        <w:t xml:space="preserve"> </w:t>
      </w:r>
      <w:r>
        <w:rPr>
          <w:color w:val="231F20"/>
          <w:spacing w:val="-3"/>
          <w:sz w:val="15"/>
        </w:rPr>
        <w:t>kterých řidič</w:t>
      </w:r>
      <w:r>
        <w:rPr>
          <w:color w:val="231F20"/>
          <w:spacing w:val="-17"/>
          <w:sz w:val="15"/>
        </w:rPr>
        <w:t xml:space="preserve"> </w:t>
      </w:r>
      <w:r>
        <w:rPr>
          <w:color w:val="231F20"/>
          <w:spacing w:val="-3"/>
          <w:sz w:val="15"/>
        </w:rPr>
        <w:t>není</w:t>
      </w:r>
      <w:r>
        <w:rPr>
          <w:color w:val="231F20"/>
          <w:spacing w:val="-16"/>
          <w:sz w:val="15"/>
        </w:rPr>
        <w:t xml:space="preserve"> </w:t>
      </w:r>
      <w:r>
        <w:rPr>
          <w:color w:val="231F20"/>
          <w:spacing w:val="-3"/>
          <w:sz w:val="15"/>
        </w:rPr>
        <w:t>povinen</w:t>
      </w:r>
      <w:r>
        <w:rPr>
          <w:color w:val="231F20"/>
          <w:spacing w:val="-16"/>
          <w:sz w:val="15"/>
        </w:rPr>
        <w:t xml:space="preserve"> </w:t>
      </w:r>
      <w:r>
        <w:rPr>
          <w:color w:val="231F20"/>
          <w:spacing w:val="-3"/>
          <w:sz w:val="15"/>
        </w:rPr>
        <w:t>dodržovat</w:t>
      </w:r>
      <w:r>
        <w:rPr>
          <w:color w:val="231F20"/>
          <w:spacing w:val="-16"/>
          <w:sz w:val="15"/>
        </w:rPr>
        <w:t xml:space="preserve"> </w:t>
      </w:r>
      <w:r>
        <w:rPr>
          <w:color w:val="231F20"/>
          <w:spacing w:val="-3"/>
          <w:sz w:val="15"/>
        </w:rPr>
        <w:t>pravidla</w:t>
      </w:r>
      <w:r>
        <w:rPr>
          <w:color w:val="231F20"/>
          <w:spacing w:val="-17"/>
          <w:sz w:val="15"/>
        </w:rPr>
        <w:t xml:space="preserve"> </w:t>
      </w:r>
      <w:r>
        <w:rPr>
          <w:color w:val="231F20"/>
          <w:spacing w:val="-3"/>
          <w:sz w:val="15"/>
        </w:rPr>
        <w:t>provozu</w:t>
      </w:r>
      <w:r>
        <w:rPr>
          <w:color w:val="231F20"/>
          <w:spacing w:val="-16"/>
          <w:sz w:val="15"/>
        </w:rPr>
        <w:t xml:space="preserve"> </w:t>
      </w:r>
      <w:r>
        <w:rPr>
          <w:color w:val="231F20"/>
          <w:sz w:val="15"/>
        </w:rPr>
        <w:t>na</w:t>
      </w:r>
      <w:r>
        <w:rPr>
          <w:color w:val="231F20"/>
          <w:spacing w:val="-16"/>
          <w:sz w:val="15"/>
        </w:rPr>
        <w:t xml:space="preserve"> </w:t>
      </w:r>
      <w:r>
        <w:rPr>
          <w:color w:val="231F20"/>
          <w:spacing w:val="-3"/>
          <w:sz w:val="15"/>
        </w:rPr>
        <w:t>pozemních</w:t>
      </w:r>
      <w:r>
        <w:rPr>
          <w:color w:val="231F20"/>
          <w:spacing w:val="-16"/>
          <w:sz w:val="15"/>
        </w:rPr>
        <w:t xml:space="preserve"> </w:t>
      </w:r>
      <w:r>
        <w:rPr>
          <w:color w:val="231F20"/>
          <w:spacing w:val="-3"/>
          <w:sz w:val="15"/>
        </w:rPr>
        <w:t>komunikacích;</w:t>
      </w:r>
    </w:p>
    <w:p w14:paraId="6E427F36" w14:textId="77777777" w:rsidR="00F65BCA" w:rsidRDefault="00216117">
      <w:pPr>
        <w:pStyle w:val="Odstavecseseznamem"/>
        <w:numPr>
          <w:ilvl w:val="0"/>
          <w:numId w:val="106"/>
        </w:numPr>
        <w:tabs>
          <w:tab w:val="left" w:pos="881"/>
        </w:tabs>
        <w:spacing w:line="172" w:lineRule="exact"/>
        <w:jc w:val="both"/>
        <w:rPr>
          <w:sz w:val="15"/>
        </w:rPr>
      </w:pPr>
      <w:r>
        <w:rPr>
          <w:color w:val="231F20"/>
          <w:sz w:val="15"/>
        </w:rPr>
        <w:t>škoda</w:t>
      </w:r>
      <w:r>
        <w:rPr>
          <w:color w:val="231F20"/>
          <w:spacing w:val="-12"/>
          <w:sz w:val="15"/>
        </w:rPr>
        <w:t xml:space="preserve"> </w:t>
      </w:r>
      <w:r>
        <w:rPr>
          <w:color w:val="231F20"/>
          <w:sz w:val="15"/>
        </w:rPr>
        <w:t>vzniklá</w:t>
      </w:r>
      <w:r>
        <w:rPr>
          <w:color w:val="231F20"/>
          <w:spacing w:val="-12"/>
          <w:sz w:val="15"/>
        </w:rPr>
        <w:t xml:space="preserve"> </w:t>
      </w:r>
      <w:r>
        <w:rPr>
          <w:color w:val="231F20"/>
          <w:sz w:val="15"/>
        </w:rPr>
        <w:t>při</w:t>
      </w:r>
      <w:r>
        <w:rPr>
          <w:color w:val="231F20"/>
          <w:spacing w:val="-11"/>
          <w:sz w:val="15"/>
        </w:rPr>
        <w:t xml:space="preserve"> </w:t>
      </w:r>
      <w:r>
        <w:rPr>
          <w:color w:val="231F20"/>
          <w:sz w:val="15"/>
        </w:rPr>
        <w:t>jízdách</w:t>
      </w:r>
      <w:r>
        <w:rPr>
          <w:color w:val="231F20"/>
          <w:spacing w:val="-12"/>
          <w:sz w:val="15"/>
        </w:rPr>
        <w:t xml:space="preserve"> </w:t>
      </w:r>
      <w:r>
        <w:rPr>
          <w:color w:val="231F20"/>
          <w:sz w:val="15"/>
        </w:rPr>
        <w:t>sloužících</w:t>
      </w:r>
      <w:r>
        <w:rPr>
          <w:color w:val="231F20"/>
          <w:spacing w:val="-12"/>
          <w:sz w:val="15"/>
        </w:rPr>
        <w:t xml:space="preserve"> </w:t>
      </w:r>
      <w:r>
        <w:rPr>
          <w:color w:val="231F20"/>
          <w:sz w:val="15"/>
        </w:rPr>
        <w:t>ke</w:t>
      </w:r>
      <w:r>
        <w:rPr>
          <w:color w:val="231F20"/>
          <w:spacing w:val="-11"/>
          <w:sz w:val="15"/>
        </w:rPr>
        <w:t xml:space="preserve"> </w:t>
      </w:r>
      <w:r>
        <w:rPr>
          <w:color w:val="231F20"/>
          <w:sz w:val="15"/>
        </w:rPr>
        <w:t>zlepšení</w:t>
      </w:r>
      <w:r>
        <w:rPr>
          <w:color w:val="231F20"/>
          <w:spacing w:val="-12"/>
          <w:sz w:val="15"/>
        </w:rPr>
        <w:t xml:space="preserve"> </w:t>
      </w:r>
      <w:r>
        <w:rPr>
          <w:color w:val="231F20"/>
          <w:sz w:val="15"/>
        </w:rPr>
        <w:t>řidičských</w:t>
      </w:r>
      <w:r>
        <w:rPr>
          <w:color w:val="231F20"/>
          <w:spacing w:val="-12"/>
          <w:sz w:val="15"/>
        </w:rPr>
        <w:t xml:space="preserve"> </w:t>
      </w:r>
      <w:r>
        <w:rPr>
          <w:color w:val="231F20"/>
          <w:sz w:val="15"/>
        </w:rPr>
        <w:t>dovedností;</w:t>
      </w:r>
    </w:p>
    <w:p w14:paraId="0817294A" w14:textId="77777777" w:rsidR="00F65BCA" w:rsidRDefault="00216117">
      <w:pPr>
        <w:pStyle w:val="Odstavecseseznamem"/>
        <w:numPr>
          <w:ilvl w:val="0"/>
          <w:numId w:val="106"/>
        </w:numPr>
        <w:tabs>
          <w:tab w:val="left" w:pos="881"/>
        </w:tabs>
        <w:spacing w:before="24"/>
        <w:jc w:val="both"/>
        <w:rPr>
          <w:sz w:val="15"/>
        </w:rPr>
      </w:pPr>
      <w:r>
        <w:rPr>
          <w:color w:val="231F20"/>
          <w:sz w:val="15"/>
        </w:rPr>
        <w:t>škoda</w:t>
      </w:r>
      <w:r>
        <w:rPr>
          <w:color w:val="231F20"/>
          <w:spacing w:val="-9"/>
          <w:sz w:val="15"/>
        </w:rPr>
        <w:t xml:space="preserve"> </w:t>
      </w:r>
      <w:r>
        <w:rPr>
          <w:color w:val="231F20"/>
          <w:sz w:val="15"/>
        </w:rPr>
        <w:t>vzniklá</w:t>
      </w:r>
      <w:r>
        <w:rPr>
          <w:color w:val="231F20"/>
          <w:spacing w:val="-8"/>
          <w:sz w:val="15"/>
        </w:rPr>
        <w:t xml:space="preserve"> </w:t>
      </w:r>
      <w:r>
        <w:rPr>
          <w:color w:val="231F20"/>
          <w:sz w:val="15"/>
        </w:rPr>
        <w:t>při</w:t>
      </w:r>
      <w:r>
        <w:rPr>
          <w:color w:val="231F20"/>
          <w:spacing w:val="-9"/>
          <w:sz w:val="15"/>
        </w:rPr>
        <w:t xml:space="preserve"> </w:t>
      </w:r>
      <w:r>
        <w:rPr>
          <w:color w:val="231F20"/>
          <w:sz w:val="15"/>
        </w:rPr>
        <w:t>použití</w:t>
      </w:r>
      <w:r>
        <w:rPr>
          <w:color w:val="231F20"/>
          <w:spacing w:val="-8"/>
          <w:sz w:val="15"/>
        </w:rPr>
        <w:t xml:space="preserve"> </w:t>
      </w:r>
      <w:r>
        <w:rPr>
          <w:color w:val="231F20"/>
          <w:sz w:val="15"/>
        </w:rPr>
        <w:t>vozidla</w:t>
      </w:r>
      <w:r>
        <w:rPr>
          <w:color w:val="231F20"/>
          <w:spacing w:val="-8"/>
          <w:sz w:val="15"/>
        </w:rPr>
        <w:t xml:space="preserve"> </w:t>
      </w:r>
      <w:r>
        <w:rPr>
          <w:color w:val="231F20"/>
          <w:sz w:val="15"/>
        </w:rPr>
        <w:t>k</w:t>
      </w:r>
      <w:r>
        <w:rPr>
          <w:color w:val="231F20"/>
          <w:spacing w:val="-9"/>
          <w:sz w:val="15"/>
        </w:rPr>
        <w:t xml:space="preserve"> </w:t>
      </w:r>
      <w:r>
        <w:rPr>
          <w:color w:val="231F20"/>
          <w:sz w:val="15"/>
        </w:rPr>
        <w:t>vojenským</w:t>
      </w:r>
      <w:r>
        <w:rPr>
          <w:color w:val="231F20"/>
          <w:spacing w:val="-8"/>
          <w:sz w:val="15"/>
        </w:rPr>
        <w:t xml:space="preserve"> </w:t>
      </w:r>
      <w:r>
        <w:rPr>
          <w:color w:val="231F20"/>
          <w:sz w:val="15"/>
        </w:rPr>
        <w:t>nebo</w:t>
      </w:r>
      <w:r>
        <w:rPr>
          <w:color w:val="231F20"/>
          <w:spacing w:val="-9"/>
          <w:sz w:val="15"/>
        </w:rPr>
        <w:t xml:space="preserve"> </w:t>
      </w:r>
      <w:r>
        <w:rPr>
          <w:color w:val="231F20"/>
          <w:sz w:val="15"/>
        </w:rPr>
        <w:t>obdobným</w:t>
      </w:r>
      <w:r>
        <w:rPr>
          <w:color w:val="231F20"/>
          <w:spacing w:val="-8"/>
          <w:sz w:val="15"/>
        </w:rPr>
        <w:t xml:space="preserve"> </w:t>
      </w:r>
      <w:r>
        <w:rPr>
          <w:color w:val="231F20"/>
          <w:sz w:val="15"/>
        </w:rPr>
        <w:t>účelům;</w:t>
      </w:r>
    </w:p>
    <w:p w14:paraId="7B97BA4B" w14:textId="77777777" w:rsidR="00F65BCA" w:rsidRDefault="00216117">
      <w:pPr>
        <w:pStyle w:val="Odstavecseseznamem"/>
        <w:numPr>
          <w:ilvl w:val="0"/>
          <w:numId w:val="106"/>
        </w:numPr>
        <w:tabs>
          <w:tab w:val="left" w:pos="881"/>
        </w:tabs>
        <w:spacing w:before="27" w:line="278" w:lineRule="auto"/>
        <w:ind w:right="1"/>
        <w:jc w:val="both"/>
        <w:rPr>
          <w:sz w:val="15"/>
        </w:rPr>
      </w:pPr>
      <w:r>
        <w:rPr>
          <w:color w:val="231F20"/>
          <w:sz w:val="15"/>
        </w:rPr>
        <w:t>škoda vzniklá v důsledku podvodu nebo zpronevěry</w:t>
      </w:r>
      <w:r>
        <w:rPr>
          <w:color w:val="231F20"/>
          <w:spacing w:val="-18"/>
          <w:sz w:val="15"/>
        </w:rPr>
        <w:t xml:space="preserve"> </w:t>
      </w:r>
      <w:r>
        <w:rPr>
          <w:color w:val="231F20"/>
          <w:sz w:val="15"/>
        </w:rPr>
        <w:t>vypůjčitele/nájemce, který nevrátil</w:t>
      </w:r>
      <w:r>
        <w:rPr>
          <w:color w:val="231F20"/>
          <w:spacing w:val="-2"/>
          <w:sz w:val="15"/>
        </w:rPr>
        <w:t xml:space="preserve"> </w:t>
      </w:r>
      <w:r>
        <w:rPr>
          <w:color w:val="231F20"/>
          <w:sz w:val="15"/>
        </w:rPr>
        <w:t>vozidlo;</w:t>
      </w:r>
    </w:p>
    <w:p w14:paraId="06D2DB37" w14:textId="77777777" w:rsidR="00F65BCA" w:rsidRDefault="00216117">
      <w:pPr>
        <w:pStyle w:val="Odstavecseseznamem"/>
        <w:numPr>
          <w:ilvl w:val="0"/>
          <w:numId w:val="106"/>
        </w:numPr>
        <w:tabs>
          <w:tab w:val="left" w:pos="881"/>
        </w:tabs>
        <w:spacing w:line="278" w:lineRule="auto"/>
        <w:ind w:right="1"/>
        <w:jc w:val="both"/>
        <w:rPr>
          <w:sz w:val="15"/>
        </w:rPr>
      </w:pPr>
      <w:r>
        <w:rPr>
          <w:color w:val="231F20"/>
          <w:sz w:val="15"/>
        </w:rPr>
        <w:t>škoda</w:t>
      </w:r>
      <w:r>
        <w:rPr>
          <w:color w:val="231F20"/>
          <w:spacing w:val="-11"/>
          <w:sz w:val="15"/>
        </w:rPr>
        <w:t xml:space="preserve"> </w:t>
      </w:r>
      <w:r>
        <w:rPr>
          <w:color w:val="231F20"/>
          <w:sz w:val="15"/>
        </w:rPr>
        <w:t>způsobená</w:t>
      </w:r>
      <w:r>
        <w:rPr>
          <w:color w:val="231F20"/>
          <w:spacing w:val="-11"/>
          <w:sz w:val="15"/>
        </w:rPr>
        <w:t xml:space="preserve"> </w:t>
      </w:r>
      <w:r>
        <w:rPr>
          <w:color w:val="231F20"/>
          <w:sz w:val="15"/>
        </w:rPr>
        <w:t>v</w:t>
      </w:r>
      <w:r>
        <w:rPr>
          <w:color w:val="231F20"/>
          <w:spacing w:val="-10"/>
          <w:sz w:val="15"/>
        </w:rPr>
        <w:t xml:space="preserve"> </w:t>
      </w:r>
      <w:r>
        <w:rPr>
          <w:color w:val="231F20"/>
          <w:sz w:val="15"/>
        </w:rPr>
        <w:t>důsledku</w:t>
      </w:r>
      <w:r>
        <w:rPr>
          <w:color w:val="231F20"/>
          <w:spacing w:val="-11"/>
          <w:sz w:val="15"/>
        </w:rPr>
        <w:t xml:space="preserve"> </w:t>
      </w:r>
      <w:r>
        <w:rPr>
          <w:color w:val="231F20"/>
          <w:sz w:val="15"/>
        </w:rPr>
        <w:t>odcizení</w:t>
      </w:r>
      <w:r>
        <w:rPr>
          <w:color w:val="231F20"/>
          <w:spacing w:val="-10"/>
          <w:sz w:val="15"/>
        </w:rPr>
        <w:t xml:space="preserve"> </w:t>
      </w:r>
      <w:r>
        <w:rPr>
          <w:color w:val="231F20"/>
          <w:sz w:val="15"/>
        </w:rPr>
        <w:t>vozidla,</w:t>
      </w:r>
      <w:r>
        <w:rPr>
          <w:color w:val="231F20"/>
          <w:spacing w:val="-11"/>
          <w:sz w:val="15"/>
        </w:rPr>
        <w:t xml:space="preserve"> </w:t>
      </w:r>
      <w:r>
        <w:rPr>
          <w:color w:val="231F20"/>
          <w:sz w:val="15"/>
        </w:rPr>
        <w:t>jeho</w:t>
      </w:r>
      <w:r>
        <w:rPr>
          <w:color w:val="231F20"/>
          <w:spacing w:val="-11"/>
          <w:sz w:val="15"/>
        </w:rPr>
        <w:t xml:space="preserve"> </w:t>
      </w:r>
      <w:r>
        <w:rPr>
          <w:color w:val="231F20"/>
          <w:sz w:val="15"/>
        </w:rPr>
        <w:t>části</w:t>
      </w:r>
      <w:r>
        <w:rPr>
          <w:color w:val="231F20"/>
          <w:spacing w:val="-10"/>
          <w:sz w:val="15"/>
        </w:rPr>
        <w:t xml:space="preserve"> </w:t>
      </w:r>
      <w:r>
        <w:rPr>
          <w:color w:val="231F20"/>
          <w:sz w:val="15"/>
        </w:rPr>
        <w:t>nebo</w:t>
      </w:r>
      <w:r>
        <w:rPr>
          <w:color w:val="231F20"/>
          <w:spacing w:val="-11"/>
          <w:sz w:val="15"/>
        </w:rPr>
        <w:t xml:space="preserve"> </w:t>
      </w:r>
      <w:r>
        <w:rPr>
          <w:color w:val="231F20"/>
          <w:sz w:val="15"/>
        </w:rPr>
        <w:t>jeho</w:t>
      </w:r>
      <w:r>
        <w:rPr>
          <w:color w:val="231F20"/>
          <w:spacing w:val="-10"/>
          <w:sz w:val="15"/>
        </w:rPr>
        <w:t xml:space="preserve"> </w:t>
      </w:r>
      <w:r>
        <w:rPr>
          <w:color w:val="231F20"/>
          <w:sz w:val="15"/>
        </w:rPr>
        <w:t>doplň- kové</w:t>
      </w:r>
      <w:r>
        <w:rPr>
          <w:color w:val="231F20"/>
          <w:spacing w:val="-16"/>
          <w:sz w:val="15"/>
        </w:rPr>
        <w:t xml:space="preserve"> </w:t>
      </w:r>
      <w:r>
        <w:rPr>
          <w:color w:val="231F20"/>
          <w:sz w:val="15"/>
        </w:rPr>
        <w:t>či</w:t>
      </w:r>
      <w:r>
        <w:rPr>
          <w:color w:val="231F20"/>
          <w:spacing w:val="-16"/>
          <w:sz w:val="15"/>
        </w:rPr>
        <w:t xml:space="preserve"> </w:t>
      </w:r>
      <w:r>
        <w:rPr>
          <w:color w:val="231F20"/>
          <w:sz w:val="15"/>
        </w:rPr>
        <w:t>ostatní</w:t>
      </w:r>
      <w:r>
        <w:rPr>
          <w:color w:val="231F20"/>
          <w:spacing w:val="-16"/>
          <w:sz w:val="15"/>
        </w:rPr>
        <w:t xml:space="preserve"> </w:t>
      </w:r>
      <w:r>
        <w:rPr>
          <w:color w:val="231F20"/>
          <w:sz w:val="15"/>
        </w:rPr>
        <w:t>výbavy,</w:t>
      </w:r>
      <w:r>
        <w:rPr>
          <w:color w:val="231F20"/>
          <w:spacing w:val="-16"/>
          <w:sz w:val="15"/>
        </w:rPr>
        <w:t xml:space="preserve"> </w:t>
      </w:r>
      <w:r>
        <w:rPr>
          <w:color w:val="231F20"/>
          <w:sz w:val="15"/>
        </w:rPr>
        <w:t>kdy</w:t>
      </w:r>
      <w:r>
        <w:rPr>
          <w:color w:val="231F20"/>
          <w:spacing w:val="-16"/>
          <w:sz w:val="15"/>
        </w:rPr>
        <w:t xml:space="preserve"> </w:t>
      </w:r>
      <w:r>
        <w:rPr>
          <w:color w:val="231F20"/>
          <w:sz w:val="15"/>
        </w:rPr>
        <w:t>pojištěný</w:t>
      </w:r>
      <w:r>
        <w:rPr>
          <w:color w:val="231F20"/>
          <w:spacing w:val="-16"/>
          <w:sz w:val="15"/>
        </w:rPr>
        <w:t xml:space="preserve"> </w:t>
      </w:r>
      <w:r>
        <w:rPr>
          <w:color w:val="231F20"/>
          <w:sz w:val="15"/>
        </w:rPr>
        <w:t>nebo</w:t>
      </w:r>
      <w:r>
        <w:rPr>
          <w:color w:val="231F20"/>
          <w:spacing w:val="-16"/>
          <w:sz w:val="15"/>
        </w:rPr>
        <w:t xml:space="preserve"> </w:t>
      </w:r>
      <w:r>
        <w:rPr>
          <w:color w:val="231F20"/>
          <w:sz w:val="15"/>
        </w:rPr>
        <w:t>oprávněná</w:t>
      </w:r>
      <w:r>
        <w:rPr>
          <w:color w:val="231F20"/>
          <w:spacing w:val="-16"/>
          <w:sz w:val="15"/>
        </w:rPr>
        <w:t xml:space="preserve"> </w:t>
      </w:r>
      <w:r>
        <w:rPr>
          <w:color w:val="231F20"/>
          <w:sz w:val="15"/>
        </w:rPr>
        <w:t>osoba</w:t>
      </w:r>
      <w:r>
        <w:rPr>
          <w:color w:val="231F20"/>
          <w:spacing w:val="-16"/>
          <w:sz w:val="15"/>
        </w:rPr>
        <w:t xml:space="preserve"> </w:t>
      </w:r>
      <w:r>
        <w:rPr>
          <w:color w:val="231F20"/>
          <w:sz w:val="15"/>
        </w:rPr>
        <w:t>neoznámí</w:t>
      </w:r>
      <w:r>
        <w:rPr>
          <w:color w:val="231F20"/>
          <w:spacing w:val="-16"/>
          <w:sz w:val="15"/>
        </w:rPr>
        <w:t xml:space="preserve"> </w:t>
      </w:r>
      <w:r>
        <w:rPr>
          <w:color w:val="231F20"/>
          <w:spacing w:val="-4"/>
          <w:sz w:val="15"/>
        </w:rPr>
        <w:t xml:space="preserve">toto </w:t>
      </w:r>
      <w:r>
        <w:rPr>
          <w:color w:val="231F20"/>
          <w:sz w:val="15"/>
        </w:rPr>
        <w:t>odcizení</w:t>
      </w:r>
      <w:r>
        <w:rPr>
          <w:color w:val="231F20"/>
          <w:spacing w:val="-5"/>
          <w:sz w:val="15"/>
        </w:rPr>
        <w:t xml:space="preserve"> </w:t>
      </w:r>
      <w:r>
        <w:rPr>
          <w:color w:val="231F20"/>
          <w:sz w:val="15"/>
        </w:rPr>
        <w:t>policii</w:t>
      </w:r>
      <w:r>
        <w:rPr>
          <w:color w:val="231F20"/>
          <w:spacing w:val="-5"/>
          <w:sz w:val="15"/>
        </w:rPr>
        <w:t xml:space="preserve"> </w:t>
      </w:r>
      <w:r>
        <w:rPr>
          <w:color w:val="231F20"/>
          <w:sz w:val="15"/>
        </w:rPr>
        <w:t>bez</w:t>
      </w:r>
      <w:r>
        <w:rPr>
          <w:color w:val="231F20"/>
          <w:spacing w:val="-5"/>
          <w:sz w:val="15"/>
        </w:rPr>
        <w:t xml:space="preserve"> </w:t>
      </w:r>
      <w:r>
        <w:rPr>
          <w:color w:val="231F20"/>
          <w:sz w:val="15"/>
        </w:rPr>
        <w:t>zbytečného</w:t>
      </w:r>
      <w:r>
        <w:rPr>
          <w:color w:val="231F20"/>
          <w:spacing w:val="-5"/>
          <w:sz w:val="15"/>
        </w:rPr>
        <w:t xml:space="preserve"> </w:t>
      </w:r>
      <w:r>
        <w:rPr>
          <w:color w:val="231F20"/>
          <w:sz w:val="15"/>
        </w:rPr>
        <w:t>odkladu</w:t>
      </w:r>
      <w:r>
        <w:rPr>
          <w:color w:val="231F20"/>
          <w:spacing w:val="-5"/>
          <w:sz w:val="15"/>
        </w:rPr>
        <w:t xml:space="preserve"> </w:t>
      </w:r>
      <w:r>
        <w:rPr>
          <w:color w:val="231F20"/>
          <w:sz w:val="15"/>
        </w:rPr>
        <w:t>po</w:t>
      </w:r>
      <w:r>
        <w:rPr>
          <w:color w:val="231F20"/>
          <w:spacing w:val="-4"/>
          <w:sz w:val="15"/>
        </w:rPr>
        <w:t xml:space="preserve"> </w:t>
      </w:r>
      <w:r>
        <w:rPr>
          <w:color w:val="231F20"/>
          <w:sz w:val="15"/>
        </w:rPr>
        <w:t>zjištění</w:t>
      </w:r>
      <w:r>
        <w:rPr>
          <w:color w:val="231F20"/>
          <w:spacing w:val="-5"/>
          <w:sz w:val="15"/>
        </w:rPr>
        <w:t xml:space="preserve"> </w:t>
      </w:r>
      <w:r>
        <w:rPr>
          <w:color w:val="231F20"/>
          <w:sz w:val="15"/>
        </w:rPr>
        <w:t>odcizení;</w:t>
      </w:r>
    </w:p>
    <w:p w14:paraId="62308C25" w14:textId="77777777" w:rsidR="00F65BCA" w:rsidRDefault="00216117">
      <w:pPr>
        <w:pStyle w:val="Odstavecseseznamem"/>
        <w:numPr>
          <w:ilvl w:val="0"/>
          <w:numId w:val="106"/>
        </w:numPr>
        <w:tabs>
          <w:tab w:val="left" w:pos="881"/>
        </w:tabs>
        <w:spacing w:line="278" w:lineRule="auto"/>
        <w:ind w:right="2"/>
        <w:jc w:val="both"/>
        <w:rPr>
          <w:sz w:val="15"/>
        </w:rPr>
      </w:pPr>
      <w:r>
        <w:rPr>
          <w:color w:val="231F20"/>
          <w:sz w:val="15"/>
        </w:rPr>
        <w:t>škoda vzniklá neoprávněným užitím vozidla osobou blízkou pojištěnému nebo</w:t>
      </w:r>
      <w:r>
        <w:rPr>
          <w:color w:val="231F20"/>
          <w:spacing w:val="-17"/>
          <w:sz w:val="15"/>
        </w:rPr>
        <w:t xml:space="preserve"> </w:t>
      </w:r>
      <w:r>
        <w:rPr>
          <w:color w:val="231F20"/>
          <w:sz w:val="15"/>
        </w:rPr>
        <w:t>osobou</w:t>
      </w:r>
      <w:r>
        <w:rPr>
          <w:color w:val="231F20"/>
          <w:spacing w:val="-16"/>
          <w:sz w:val="15"/>
        </w:rPr>
        <w:t xml:space="preserve"> </w:t>
      </w:r>
      <w:r>
        <w:rPr>
          <w:color w:val="231F20"/>
          <w:sz w:val="15"/>
        </w:rPr>
        <w:t>v</w:t>
      </w:r>
      <w:r>
        <w:rPr>
          <w:color w:val="231F20"/>
          <w:spacing w:val="-16"/>
          <w:sz w:val="15"/>
        </w:rPr>
        <w:t xml:space="preserve"> </w:t>
      </w:r>
      <w:r>
        <w:rPr>
          <w:color w:val="231F20"/>
          <w:sz w:val="15"/>
        </w:rPr>
        <w:t>pracovněprávním</w:t>
      </w:r>
      <w:r>
        <w:rPr>
          <w:color w:val="231F20"/>
          <w:spacing w:val="-16"/>
          <w:sz w:val="15"/>
        </w:rPr>
        <w:t xml:space="preserve"> </w:t>
      </w:r>
      <w:r>
        <w:rPr>
          <w:color w:val="231F20"/>
          <w:sz w:val="15"/>
        </w:rPr>
        <w:t>či</w:t>
      </w:r>
      <w:r>
        <w:rPr>
          <w:color w:val="231F20"/>
          <w:spacing w:val="-16"/>
          <w:sz w:val="15"/>
        </w:rPr>
        <w:t xml:space="preserve"> </w:t>
      </w:r>
      <w:r>
        <w:rPr>
          <w:color w:val="231F20"/>
          <w:sz w:val="15"/>
        </w:rPr>
        <w:t>obdobném</w:t>
      </w:r>
      <w:r>
        <w:rPr>
          <w:color w:val="231F20"/>
          <w:spacing w:val="-16"/>
          <w:sz w:val="15"/>
        </w:rPr>
        <w:t xml:space="preserve"> </w:t>
      </w:r>
      <w:r>
        <w:rPr>
          <w:color w:val="231F20"/>
          <w:sz w:val="15"/>
        </w:rPr>
        <w:t>poměru</w:t>
      </w:r>
      <w:r>
        <w:rPr>
          <w:color w:val="231F20"/>
          <w:spacing w:val="-16"/>
          <w:sz w:val="15"/>
        </w:rPr>
        <w:t xml:space="preserve"> </w:t>
      </w:r>
      <w:r>
        <w:rPr>
          <w:color w:val="231F20"/>
          <w:sz w:val="15"/>
        </w:rPr>
        <w:t>nebo</w:t>
      </w:r>
      <w:r>
        <w:rPr>
          <w:color w:val="231F20"/>
          <w:spacing w:val="-16"/>
          <w:sz w:val="15"/>
        </w:rPr>
        <w:t xml:space="preserve"> </w:t>
      </w:r>
      <w:r>
        <w:rPr>
          <w:color w:val="231F20"/>
          <w:sz w:val="15"/>
        </w:rPr>
        <w:t>i</w:t>
      </w:r>
      <w:r>
        <w:rPr>
          <w:color w:val="231F20"/>
          <w:spacing w:val="-16"/>
          <w:sz w:val="15"/>
        </w:rPr>
        <w:t xml:space="preserve"> </w:t>
      </w:r>
      <w:r>
        <w:rPr>
          <w:color w:val="231F20"/>
          <w:sz w:val="15"/>
        </w:rPr>
        <w:t>ve</w:t>
      </w:r>
      <w:r>
        <w:rPr>
          <w:color w:val="231F20"/>
          <w:spacing w:val="-16"/>
          <w:sz w:val="15"/>
        </w:rPr>
        <w:t xml:space="preserve"> </w:t>
      </w:r>
      <w:r>
        <w:rPr>
          <w:color w:val="231F20"/>
          <w:sz w:val="15"/>
        </w:rPr>
        <w:t>smluvním vztahu k</w:t>
      </w:r>
      <w:r>
        <w:rPr>
          <w:color w:val="231F20"/>
          <w:spacing w:val="-2"/>
          <w:sz w:val="15"/>
        </w:rPr>
        <w:t xml:space="preserve"> </w:t>
      </w:r>
      <w:r>
        <w:rPr>
          <w:color w:val="231F20"/>
          <w:sz w:val="15"/>
        </w:rPr>
        <w:t>pojištěnému;</w:t>
      </w:r>
    </w:p>
    <w:p w14:paraId="7B7D45FF" w14:textId="77777777" w:rsidR="00F65BCA" w:rsidRDefault="00216117">
      <w:pPr>
        <w:pStyle w:val="Odstavecseseznamem"/>
        <w:numPr>
          <w:ilvl w:val="0"/>
          <w:numId w:val="106"/>
        </w:numPr>
        <w:tabs>
          <w:tab w:val="left" w:pos="881"/>
        </w:tabs>
        <w:spacing w:line="278" w:lineRule="auto"/>
        <w:ind w:right="1"/>
        <w:jc w:val="both"/>
        <w:rPr>
          <w:sz w:val="15"/>
        </w:rPr>
      </w:pPr>
      <w:r>
        <w:rPr>
          <w:color w:val="231F20"/>
          <w:sz w:val="15"/>
        </w:rPr>
        <w:t xml:space="preserve">škoda vzniklá neoprávněným užitím vozidla, pokud nebylo </w:t>
      </w:r>
      <w:r>
        <w:rPr>
          <w:color w:val="231F20"/>
          <w:spacing w:val="-3"/>
          <w:sz w:val="15"/>
        </w:rPr>
        <w:t xml:space="preserve">překonáno </w:t>
      </w:r>
      <w:r>
        <w:rPr>
          <w:color w:val="231F20"/>
          <w:sz w:val="15"/>
        </w:rPr>
        <w:t>uzamčení</w:t>
      </w:r>
      <w:r>
        <w:rPr>
          <w:color w:val="231F20"/>
          <w:spacing w:val="-10"/>
          <w:sz w:val="15"/>
        </w:rPr>
        <w:t xml:space="preserve"> </w:t>
      </w:r>
      <w:r>
        <w:rPr>
          <w:color w:val="231F20"/>
          <w:sz w:val="15"/>
        </w:rPr>
        <w:t>chránící</w:t>
      </w:r>
      <w:r>
        <w:rPr>
          <w:color w:val="231F20"/>
          <w:spacing w:val="-9"/>
          <w:sz w:val="15"/>
        </w:rPr>
        <w:t xml:space="preserve"> </w:t>
      </w:r>
      <w:r>
        <w:rPr>
          <w:color w:val="231F20"/>
          <w:sz w:val="15"/>
        </w:rPr>
        <w:t>vozidlo</w:t>
      </w:r>
      <w:r>
        <w:rPr>
          <w:color w:val="231F20"/>
          <w:spacing w:val="-10"/>
          <w:sz w:val="15"/>
        </w:rPr>
        <w:t xml:space="preserve"> </w:t>
      </w:r>
      <w:r>
        <w:rPr>
          <w:color w:val="231F20"/>
          <w:sz w:val="15"/>
        </w:rPr>
        <w:t>nebo</w:t>
      </w:r>
      <w:r>
        <w:rPr>
          <w:color w:val="231F20"/>
          <w:spacing w:val="-9"/>
          <w:sz w:val="15"/>
        </w:rPr>
        <w:t xml:space="preserve"> </w:t>
      </w:r>
      <w:r>
        <w:rPr>
          <w:color w:val="231F20"/>
          <w:sz w:val="15"/>
        </w:rPr>
        <w:t>jiná</w:t>
      </w:r>
      <w:r>
        <w:rPr>
          <w:color w:val="231F20"/>
          <w:spacing w:val="-10"/>
          <w:sz w:val="15"/>
        </w:rPr>
        <w:t xml:space="preserve"> </w:t>
      </w:r>
      <w:r>
        <w:rPr>
          <w:color w:val="231F20"/>
          <w:sz w:val="15"/>
        </w:rPr>
        <w:t>jisticí</w:t>
      </w:r>
      <w:r>
        <w:rPr>
          <w:color w:val="231F20"/>
          <w:spacing w:val="-9"/>
          <w:sz w:val="15"/>
        </w:rPr>
        <w:t xml:space="preserve"> </w:t>
      </w:r>
      <w:r>
        <w:rPr>
          <w:color w:val="231F20"/>
          <w:sz w:val="15"/>
        </w:rPr>
        <w:t>překážka</w:t>
      </w:r>
      <w:r>
        <w:rPr>
          <w:color w:val="231F20"/>
          <w:spacing w:val="-10"/>
          <w:sz w:val="15"/>
        </w:rPr>
        <w:t xml:space="preserve"> </w:t>
      </w:r>
      <w:r>
        <w:rPr>
          <w:color w:val="231F20"/>
          <w:sz w:val="15"/>
        </w:rPr>
        <w:t>s</w:t>
      </w:r>
      <w:r>
        <w:rPr>
          <w:color w:val="231F20"/>
          <w:spacing w:val="-9"/>
          <w:sz w:val="15"/>
        </w:rPr>
        <w:t xml:space="preserve"> </w:t>
      </w:r>
      <w:r>
        <w:rPr>
          <w:color w:val="231F20"/>
          <w:sz w:val="15"/>
        </w:rPr>
        <w:t>použitím</w:t>
      </w:r>
      <w:r>
        <w:rPr>
          <w:color w:val="231F20"/>
          <w:spacing w:val="-10"/>
          <w:sz w:val="15"/>
        </w:rPr>
        <w:t xml:space="preserve"> </w:t>
      </w:r>
      <w:r>
        <w:rPr>
          <w:color w:val="231F20"/>
          <w:sz w:val="15"/>
        </w:rPr>
        <w:t>síly;</w:t>
      </w:r>
    </w:p>
    <w:p w14:paraId="0FF350AF" w14:textId="77777777" w:rsidR="00F65BCA" w:rsidRDefault="00216117">
      <w:pPr>
        <w:pStyle w:val="Odstavecseseznamem"/>
        <w:numPr>
          <w:ilvl w:val="0"/>
          <w:numId w:val="106"/>
        </w:numPr>
        <w:tabs>
          <w:tab w:val="left" w:pos="881"/>
        </w:tabs>
        <w:spacing w:line="278" w:lineRule="auto"/>
        <w:ind w:right="2"/>
        <w:jc w:val="both"/>
        <w:rPr>
          <w:sz w:val="15"/>
        </w:rPr>
      </w:pPr>
      <w:r>
        <w:rPr>
          <w:color w:val="231F20"/>
          <w:sz w:val="15"/>
        </w:rPr>
        <w:t>škoda</w:t>
      </w:r>
      <w:r>
        <w:rPr>
          <w:color w:val="231F20"/>
          <w:spacing w:val="-20"/>
          <w:sz w:val="15"/>
        </w:rPr>
        <w:t xml:space="preserve"> </w:t>
      </w:r>
      <w:r>
        <w:rPr>
          <w:color w:val="231F20"/>
          <w:sz w:val="15"/>
        </w:rPr>
        <w:t>způsobená</w:t>
      </w:r>
      <w:r>
        <w:rPr>
          <w:color w:val="231F20"/>
          <w:spacing w:val="-20"/>
          <w:sz w:val="15"/>
        </w:rPr>
        <w:t xml:space="preserve"> </w:t>
      </w:r>
      <w:r>
        <w:rPr>
          <w:color w:val="231F20"/>
          <w:sz w:val="15"/>
        </w:rPr>
        <w:t>v</w:t>
      </w:r>
      <w:r>
        <w:rPr>
          <w:color w:val="231F20"/>
          <w:spacing w:val="-20"/>
          <w:sz w:val="15"/>
        </w:rPr>
        <w:t xml:space="preserve"> </w:t>
      </w:r>
      <w:r>
        <w:rPr>
          <w:color w:val="231F20"/>
          <w:sz w:val="15"/>
        </w:rPr>
        <w:t>důsledku</w:t>
      </w:r>
      <w:r>
        <w:rPr>
          <w:color w:val="231F20"/>
          <w:spacing w:val="-20"/>
          <w:sz w:val="15"/>
        </w:rPr>
        <w:t xml:space="preserve"> </w:t>
      </w:r>
      <w:r>
        <w:rPr>
          <w:color w:val="231F20"/>
          <w:sz w:val="15"/>
        </w:rPr>
        <w:t>odcizení</w:t>
      </w:r>
      <w:r>
        <w:rPr>
          <w:color w:val="231F20"/>
          <w:spacing w:val="-19"/>
          <w:sz w:val="15"/>
        </w:rPr>
        <w:t xml:space="preserve"> </w:t>
      </w:r>
      <w:r>
        <w:rPr>
          <w:color w:val="231F20"/>
          <w:sz w:val="15"/>
        </w:rPr>
        <w:t>částí</w:t>
      </w:r>
      <w:r>
        <w:rPr>
          <w:color w:val="231F20"/>
          <w:spacing w:val="-20"/>
          <w:sz w:val="15"/>
        </w:rPr>
        <w:t xml:space="preserve"> </w:t>
      </w:r>
      <w:r>
        <w:rPr>
          <w:color w:val="231F20"/>
          <w:sz w:val="15"/>
        </w:rPr>
        <w:t>vozidla</w:t>
      </w:r>
      <w:r>
        <w:rPr>
          <w:color w:val="231F20"/>
          <w:spacing w:val="-20"/>
          <w:sz w:val="15"/>
        </w:rPr>
        <w:t xml:space="preserve"> </w:t>
      </w:r>
      <w:r>
        <w:rPr>
          <w:color w:val="231F20"/>
          <w:sz w:val="15"/>
        </w:rPr>
        <w:t>nebo</w:t>
      </w:r>
      <w:r>
        <w:rPr>
          <w:color w:val="231F20"/>
          <w:spacing w:val="-20"/>
          <w:sz w:val="15"/>
        </w:rPr>
        <w:t xml:space="preserve"> </w:t>
      </w:r>
      <w:r>
        <w:rPr>
          <w:color w:val="231F20"/>
          <w:sz w:val="15"/>
        </w:rPr>
        <w:t>doplňkové</w:t>
      </w:r>
      <w:r>
        <w:rPr>
          <w:color w:val="231F20"/>
          <w:spacing w:val="-20"/>
          <w:sz w:val="15"/>
        </w:rPr>
        <w:t xml:space="preserve"> </w:t>
      </w:r>
      <w:r>
        <w:rPr>
          <w:color w:val="231F20"/>
          <w:sz w:val="15"/>
        </w:rPr>
        <w:t>či</w:t>
      </w:r>
      <w:r>
        <w:rPr>
          <w:color w:val="231F20"/>
          <w:spacing w:val="-19"/>
          <w:sz w:val="15"/>
        </w:rPr>
        <w:t xml:space="preserve"> </w:t>
      </w:r>
      <w:r>
        <w:rPr>
          <w:color w:val="231F20"/>
          <w:spacing w:val="-4"/>
          <w:sz w:val="15"/>
        </w:rPr>
        <w:t xml:space="preserve">stan- </w:t>
      </w:r>
      <w:r>
        <w:rPr>
          <w:color w:val="231F20"/>
          <w:sz w:val="15"/>
        </w:rPr>
        <w:t>dardní</w:t>
      </w:r>
      <w:r>
        <w:rPr>
          <w:color w:val="231F20"/>
          <w:spacing w:val="-10"/>
          <w:sz w:val="15"/>
        </w:rPr>
        <w:t xml:space="preserve"> </w:t>
      </w:r>
      <w:r>
        <w:rPr>
          <w:color w:val="231F20"/>
          <w:sz w:val="15"/>
        </w:rPr>
        <w:t>výbavy</w:t>
      </w:r>
      <w:r>
        <w:rPr>
          <w:color w:val="231F20"/>
          <w:spacing w:val="-9"/>
          <w:sz w:val="15"/>
        </w:rPr>
        <w:t xml:space="preserve"> </w:t>
      </w:r>
      <w:r>
        <w:rPr>
          <w:color w:val="231F20"/>
          <w:sz w:val="15"/>
        </w:rPr>
        <w:t>vozidla</w:t>
      </w:r>
      <w:r>
        <w:rPr>
          <w:color w:val="231F20"/>
          <w:spacing w:val="-10"/>
          <w:sz w:val="15"/>
        </w:rPr>
        <w:t xml:space="preserve"> </w:t>
      </w:r>
      <w:r>
        <w:rPr>
          <w:color w:val="231F20"/>
          <w:sz w:val="15"/>
        </w:rPr>
        <w:t>uložené</w:t>
      </w:r>
      <w:r>
        <w:rPr>
          <w:color w:val="231F20"/>
          <w:spacing w:val="-9"/>
          <w:sz w:val="15"/>
        </w:rPr>
        <w:t xml:space="preserve"> </w:t>
      </w:r>
      <w:r>
        <w:rPr>
          <w:color w:val="231F20"/>
          <w:sz w:val="15"/>
        </w:rPr>
        <w:t>mimo</w:t>
      </w:r>
      <w:r>
        <w:rPr>
          <w:color w:val="231F20"/>
          <w:spacing w:val="-9"/>
          <w:sz w:val="15"/>
        </w:rPr>
        <w:t xml:space="preserve"> </w:t>
      </w:r>
      <w:r>
        <w:rPr>
          <w:color w:val="231F20"/>
          <w:sz w:val="15"/>
        </w:rPr>
        <w:t>prostor</w:t>
      </w:r>
      <w:r>
        <w:rPr>
          <w:color w:val="231F20"/>
          <w:spacing w:val="-10"/>
          <w:sz w:val="15"/>
        </w:rPr>
        <w:t xml:space="preserve"> </w:t>
      </w:r>
      <w:r>
        <w:rPr>
          <w:color w:val="231F20"/>
          <w:sz w:val="15"/>
        </w:rPr>
        <w:t>vozidla</w:t>
      </w:r>
      <w:r>
        <w:rPr>
          <w:color w:val="231F20"/>
          <w:spacing w:val="-9"/>
          <w:sz w:val="15"/>
        </w:rPr>
        <w:t xml:space="preserve"> </w:t>
      </w:r>
      <w:r>
        <w:rPr>
          <w:color w:val="231F20"/>
          <w:spacing w:val="-3"/>
          <w:sz w:val="15"/>
        </w:rPr>
        <w:t>(např.</w:t>
      </w:r>
      <w:r>
        <w:rPr>
          <w:color w:val="231F20"/>
          <w:spacing w:val="-10"/>
          <w:sz w:val="15"/>
        </w:rPr>
        <w:t xml:space="preserve"> </w:t>
      </w:r>
      <w:r>
        <w:rPr>
          <w:color w:val="231F20"/>
          <w:sz w:val="15"/>
        </w:rPr>
        <w:t>v</w:t>
      </w:r>
      <w:r>
        <w:rPr>
          <w:color w:val="231F20"/>
          <w:spacing w:val="-9"/>
          <w:sz w:val="15"/>
        </w:rPr>
        <w:t xml:space="preserve"> </w:t>
      </w:r>
      <w:r>
        <w:rPr>
          <w:color w:val="231F20"/>
          <w:sz w:val="15"/>
        </w:rPr>
        <w:t>garáži);</w:t>
      </w:r>
    </w:p>
    <w:p w14:paraId="046B0599" w14:textId="77777777" w:rsidR="00F65BCA" w:rsidRDefault="00216117">
      <w:pPr>
        <w:pStyle w:val="Odstavecseseznamem"/>
        <w:numPr>
          <w:ilvl w:val="0"/>
          <w:numId w:val="106"/>
        </w:numPr>
        <w:tabs>
          <w:tab w:val="left" w:pos="881"/>
        </w:tabs>
        <w:spacing w:line="278" w:lineRule="auto"/>
        <w:ind w:right="2"/>
        <w:jc w:val="both"/>
        <w:rPr>
          <w:sz w:val="15"/>
        </w:rPr>
      </w:pPr>
      <w:r>
        <w:rPr>
          <w:color w:val="231F20"/>
          <w:sz w:val="15"/>
        </w:rPr>
        <w:t>škoda</w:t>
      </w:r>
      <w:r>
        <w:rPr>
          <w:color w:val="231F20"/>
          <w:spacing w:val="-24"/>
          <w:sz w:val="15"/>
        </w:rPr>
        <w:t xml:space="preserve"> </w:t>
      </w:r>
      <w:r>
        <w:rPr>
          <w:color w:val="231F20"/>
          <w:sz w:val="15"/>
        </w:rPr>
        <w:t>způsobená</w:t>
      </w:r>
      <w:r>
        <w:rPr>
          <w:color w:val="231F20"/>
          <w:spacing w:val="-23"/>
          <w:sz w:val="15"/>
        </w:rPr>
        <w:t xml:space="preserve"> </w:t>
      </w:r>
      <w:r>
        <w:rPr>
          <w:color w:val="231F20"/>
          <w:sz w:val="15"/>
        </w:rPr>
        <w:t>neschváleným</w:t>
      </w:r>
      <w:r>
        <w:rPr>
          <w:color w:val="231F20"/>
          <w:spacing w:val="-23"/>
          <w:sz w:val="15"/>
        </w:rPr>
        <w:t xml:space="preserve"> </w:t>
      </w:r>
      <w:r>
        <w:rPr>
          <w:color w:val="231F20"/>
          <w:sz w:val="15"/>
        </w:rPr>
        <w:t>doplňkem</w:t>
      </w:r>
      <w:r>
        <w:rPr>
          <w:color w:val="231F20"/>
          <w:spacing w:val="-24"/>
          <w:sz w:val="15"/>
        </w:rPr>
        <w:t xml:space="preserve"> </w:t>
      </w:r>
      <w:r>
        <w:rPr>
          <w:color w:val="231F20"/>
          <w:sz w:val="15"/>
        </w:rPr>
        <w:t>či</w:t>
      </w:r>
      <w:r>
        <w:rPr>
          <w:color w:val="231F20"/>
          <w:spacing w:val="-23"/>
          <w:sz w:val="15"/>
        </w:rPr>
        <w:t xml:space="preserve"> </w:t>
      </w:r>
      <w:r>
        <w:rPr>
          <w:color w:val="231F20"/>
          <w:sz w:val="15"/>
        </w:rPr>
        <w:t>náhradním</w:t>
      </w:r>
      <w:r>
        <w:rPr>
          <w:color w:val="231F20"/>
          <w:spacing w:val="-23"/>
          <w:sz w:val="15"/>
        </w:rPr>
        <w:t xml:space="preserve"> </w:t>
      </w:r>
      <w:r>
        <w:rPr>
          <w:color w:val="231F20"/>
          <w:sz w:val="15"/>
        </w:rPr>
        <w:t>dílem,</w:t>
      </w:r>
      <w:r>
        <w:rPr>
          <w:color w:val="231F20"/>
          <w:spacing w:val="-24"/>
          <w:sz w:val="15"/>
        </w:rPr>
        <w:t xml:space="preserve"> </w:t>
      </w:r>
      <w:r>
        <w:rPr>
          <w:color w:val="231F20"/>
          <w:sz w:val="15"/>
        </w:rPr>
        <w:t>jehož</w:t>
      </w:r>
      <w:r>
        <w:rPr>
          <w:color w:val="231F20"/>
          <w:spacing w:val="-23"/>
          <w:sz w:val="15"/>
        </w:rPr>
        <w:t xml:space="preserve"> </w:t>
      </w:r>
      <w:r>
        <w:rPr>
          <w:color w:val="231F20"/>
          <w:sz w:val="15"/>
        </w:rPr>
        <w:t>tech- nická</w:t>
      </w:r>
      <w:r>
        <w:rPr>
          <w:color w:val="231F20"/>
          <w:spacing w:val="-15"/>
          <w:sz w:val="15"/>
        </w:rPr>
        <w:t xml:space="preserve"> </w:t>
      </w:r>
      <w:r>
        <w:rPr>
          <w:color w:val="231F20"/>
          <w:sz w:val="15"/>
        </w:rPr>
        <w:t>způsobilost</w:t>
      </w:r>
      <w:r>
        <w:rPr>
          <w:color w:val="231F20"/>
          <w:spacing w:val="-14"/>
          <w:sz w:val="15"/>
        </w:rPr>
        <w:t xml:space="preserve"> </w:t>
      </w:r>
      <w:r>
        <w:rPr>
          <w:color w:val="231F20"/>
          <w:sz w:val="15"/>
        </w:rPr>
        <w:t>nebyla</w:t>
      </w:r>
      <w:r>
        <w:rPr>
          <w:color w:val="231F20"/>
          <w:spacing w:val="-15"/>
          <w:sz w:val="15"/>
        </w:rPr>
        <w:t xml:space="preserve"> </w:t>
      </w:r>
      <w:r>
        <w:rPr>
          <w:color w:val="231F20"/>
          <w:sz w:val="15"/>
        </w:rPr>
        <w:t>schválena</w:t>
      </w:r>
      <w:r>
        <w:rPr>
          <w:color w:val="231F20"/>
          <w:spacing w:val="-14"/>
          <w:sz w:val="15"/>
        </w:rPr>
        <w:t xml:space="preserve"> </w:t>
      </w:r>
      <w:r>
        <w:rPr>
          <w:color w:val="231F20"/>
          <w:sz w:val="15"/>
        </w:rPr>
        <w:t>příslušným</w:t>
      </w:r>
      <w:r>
        <w:rPr>
          <w:color w:val="231F20"/>
          <w:spacing w:val="-15"/>
          <w:sz w:val="15"/>
        </w:rPr>
        <w:t xml:space="preserve"> </w:t>
      </w:r>
      <w:r>
        <w:rPr>
          <w:color w:val="231F20"/>
          <w:sz w:val="15"/>
        </w:rPr>
        <w:t>schvalovacím</w:t>
      </w:r>
      <w:r>
        <w:rPr>
          <w:color w:val="231F20"/>
          <w:spacing w:val="-14"/>
          <w:sz w:val="15"/>
        </w:rPr>
        <w:t xml:space="preserve"> </w:t>
      </w:r>
      <w:r>
        <w:rPr>
          <w:color w:val="231F20"/>
          <w:sz w:val="15"/>
        </w:rPr>
        <w:t>orgánem;</w:t>
      </w:r>
    </w:p>
    <w:p w14:paraId="18C25EA7" w14:textId="77777777" w:rsidR="00F65BCA" w:rsidRDefault="00216117">
      <w:pPr>
        <w:pStyle w:val="Odstavecseseznamem"/>
        <w:numPr>
          <w:ilvl w:val="0"/>
          <w:numId w:val="106"/>
        </w:numPr>
        <w:tabs>
          <w:tab w:val="left" w:pos="881"/>
        </w:tabs>
        <w:spacing w:line="278" w:lineRule="auto"/>
        <w:ind w:right="1"/>
        <w:jc w:val="both"/>
        <w:rPr>
          <w:sz w:val="15"/>
        </w:rPr>
      </w:pPr>
      <w:r>
        <w:rPr>
          <w:color w:val="231F20"/>
          <w:sz w:val="15"/>
        </w:rPr>
        <w:t xml:space="preserve">nepřímá škoda všeho druhu </w:t>
      </w:r>
      <w:r>
        <w:rPr>
          <w:color w:val="231F20"/>
          <w:spacing w:val="-3"/>
          <w:sz w:val="15"/>
        </w:rPr>
        <w:t xml:space="preserve">(např. </w:t>
      </w:r>
      <w:r>
        <w:rPr>
          <w:color w:val="231F20"/>
          <w:sz w:val="15"/>
        </w:rPr>
        <w:t xml:space="preserve">ušlý výdělek, hodnota zvláštní </w:t>
      </w:r>
      <w:r>
        <w:rPr>
          <w:color w:val="231F20"/>
          <w:spacing w:val="-4"/>
          <w:sz w:val="15"/>
        </w:rPr>
        <w:t xml:space="preserve">obliby, </w:t>
      </w:r>
      <w:r>
        <w:rPr>
          <w:color w:val="231F20"/>
          <w:spacing w:val="3"/>
          <w:sz w:val="15"/>
        </w:rPr>
        <w:t>ušlý</w:t>
      </w:r>
      <w:r>
        <w:rPr>
          <w:color w:val="231F20"/>
          <w:spacing w:val="-9"/>
          <w:sz w:val="15"/>
        </w:rPr>
        <w:t xml:space="preserve"> </w:t>
      </w:r>
      <w:r>
        <w:rPr>
          <w:color w:val="231F20"/>
          <w:spacing w:val="2"/>
          <w:sz w:val="15"/>
        </w:rPr>
        <w:t>zisk,</w:t>
      </w:r>
      <w:r>
        <w:rPr>
          <w:color w:val="231F20"/>
          <w:spacing w:val="-8"/>
          <w:sz w:val="15"/>
        </w:rPr>
        <w:t xml:space="preserve"> </w:t>
      </w:r>
      <w:r>
        <w:rPr>
          <w:color w:val="231F20"/>
          <w:spacing w:val="2"/>
          <w:sz w:val="15"/>
        </w:rPr>
        <w:t>nemajetková</w:t>
      </w:r>
      <w:r>
        <w:rPr>
          <w:color w:val="231F20"/>
          <w:spacing w:val="-9"/>
          <w:sz w:val="15"/>
        </w:rPr>
        <w:t xml:space="preserve"> </w:t>
      </w:r>
      <w:r>
        <w:rPr>
          <w:color w:val="231F20"/>
          <w:spacing w:val="2"/>
          <w:sz w:val="15"/>
        </w:rPr>
        <w:t>újma,</w:t>
      </w:r>
      <w:r>
        <w:rPr>
          <w:color w:val="231F20"/>
          <w:spacing w:val="-8"/>
          <w:sz w:val="15"/>
        </w:rPr>
        <w:t xml:space="preserve"> </w:t>
      </w:r>
      <w:r>
        <w:rPr>
          <w:color w:val="231F20"/>
          <w:spacing w:val="2"/>
          <w:sz w:val="15"/>
        </w:rPr>
        <w:t>nemožnost</w:t>
      </w:r>
      <w:r>
        <w:rPr>
          <w:color w:val="231F20"/>
          <w:spacing w:val="-9"/>
          <w:sz w:val="15"/>
        </w:rPr>
        <w:t xml:space="preserve"> </w:t>
      </w:r>
      <w:r>
        <w:rPr>
          <w:color w:val="231F20"/>
          <w:spacing w:val="2"/>
          <w:sz w:val="15"/>
        </w:rPr>
        <w:t>používat</w:t>
      </w:r>
      <w:r>
        <w:rPr>
          <w:color w:val="231F20"/>
          <w:spacing w:val="-8"/>
          <w:sz w:val="15"/>
        </w:rPr>
        <w:t xml:space="preserve"> </w:t>
      </w:r>
      <w:r>
        <w:rPr>
          <w:color w:val="231F20"/>
          <w:spacing w:val="2"/>
          <w:sz w:val="15"/>
        </w:rPr>
        <w:t>pojištěnou</w:t>
      </w:r>
      <w:r>
        <w:rPr>
          <w:color w:val="231F20"/>
          <w:spacing w:val="-8"/>
          <w:sz w:val="15"/>
        </w:rPr>
        <w:t xml:space="preserve"> </w:t>
      </w:r>
      <w:r>
        <w:rPr>
          <w:color w:val="231F20"/>
          <w:sz w:val="15"/>
        </w:rPr>
        <w:t>věc</w:t>
      </w:r>
      <w:r>
        <w:rPr>
          <w:color w:val="231F20"/>
          <w:spacing w:val="-9"/>
          <w:sz w:val="15"/>
        </w:rPr>
        <w:t xml:space="preserve"> </w:t>
      </w:r>
      <w:r>
        <w:rPr>
          <w:color w:val="231F20"/>
          <w:sz w:val="15"/>
        </w:rPr>
        <w:t xml:space="preserve">apod.) a </w:t>
      </w:r>
      <w:r>
        <w:rPr>
          <w:color w:val="231F20"/>
          <w:spacing w:val="3"/>
          <w:sz w:val="15"/>
        </w:rPr>
        <w:t xml:space="preserve">vedlejší výlohy </w:t>
      </w:r>
      <w:r>
        <w:rPr>
          <w:color w:val="231F20"/>
          <w:sz w:val="15"/>
        </w:rPr>
        <w:t xml:space="preserve">(např. </w:t>
      </w:r>
      <w:r>
        <w:rPr>
          <w:color w:val="231F20"/>
          <w:spacing w:val="3"/>
          <w:sz w:val="15"/>
        </w:rPr>
        <w:t xml:space="preserve">expresní příplatky jakéhokoliv druhu, náklady právního zastoupení </w:t>
      </w:r>
      <w:r>
        <w:rPr>
          <w:color w:val="231F20"/>
          <w:sz w:val="15"/>
        </w:rPr>
        <w:t xml:space="preserve">apod.), </w:t>
      </w:r>
      <w:r>
        <w:rPr>
          <w:color w:val="231F20"/>
          <w:spacing w:val="3"/>
          <w:sz w:val="15"/>
        </w:rPr>
        <w:t xml:space="preserve">pokud není </w:t>
      </w:r>
      <w:r>
        <w:rPr>
          <w:color w:val="231F20"/>
          <w:sz w:val="15"/>
        </w:rPr>
        <w:t xml:space="preserve">v </w:t>
      </w:r>
      <w:r>
        <w:rPr>
          <w:color w:val="231F20"/>
          <w:spacing w:val="2"/>
          <w:sz w:val="15"/>
        </w:rPr>
        <w:t xml:space="preserve">pojistné </w:t>
      </w:r>
      <w:r>
        <w:rPr>
          <w:color w:val="231F20"/>
          <w:spacing w:val="3"/>
          <w:sz w:val="15"/>
        </w:rPr>
        <w:t xml:space="preserve">smlouvě ujednáno nebo </w:t>
      </w:r>
      <w:r>
        <w:rPr>
          <w:color w:val="231F20"/>
          <w:sz w:val="15"/>
        </w:rPr>
        <w:t>s Pojišťovnou v jednotlivých případech dohodnuto</w:t>
      </w:r>
      <w:r>
        <w:rPr>
          <w:color w:val="231F20"/>
          <w:spacing w:val="-29"/>
          <w:sz w:val="15"/>
        </w:rPr>
        <w:t xml:space="preserve"> </w:t>
      </w:r>
      <w:r>
        <w:rPr>
          <w:color w:val="231F20"/>
          <w:sz w:val="15"/>
        </w:rPr>
        <w:t>jinak;</w:t>
      </w:r>
    </w:p>
    <w:p w14:paraId="73B5FC9D" w14:textId="77777777" w:rsidR="00F65BCA" w:rsidRDefault="00216117">
      <w:pPr>
        <w:pStyle w:val="Odstavecseseznamem"/>
        <w:numPr>
          <w:ilvl w:val="0"/>
          <w:numId w:val="106"/>
        </w:numPr>
        <w:tabs>
          <w:tab w:val="left" w:pos="881"/>
        </w:tabs>
        <w:spacing w:line="278" w:lineRule="auto"/>
        <w:ind w:right="1"/>
        <w:jc w:val="both"/>
        <w:rPr>
          <w:sz w:val="15"/>
        </w:rPr>
      </w:pPr>
      <w:r>
        <w:rPr>
          <w:color w:val="231F20"/>
          <w:sz w:val="15"/>
        </w:rPr>
        <w:t>škoda</w:t>
      </w:r>
      <w:r>
        <w:rPr>
          <w:color w:val="231F20"/>
          <w:spacing w:val="-5"/>
          <w:sz w:val="15"/>
        </w:rPr>
        <w:t xml:space="preserve"> </w:t>
      </w:r>
      <w:r>
        <w:rPr>
          <w:color w:val="231F20"/>
          <w:sz w:val="15"/>
        </w:rPr>
        <w:t>na</w:t>
      </w:r>
      <w:r>
        <w:rPr>
          <w:color w:val="231F20"/>
          <w:spacing w:val="-4"/>
          <w:sz w:val="15"/>
        </w:rPr>
        <w:t xml:space="preserve"> </w:t>
      </w:r>
      <w:r>
        <w:rPr>
          <w:color w:val="231F20"/>
          <w:sz w:val="15"/>
        </w:rPr>
        <w:t>obrazových,</w:t>
      </w:r>
      <w:r>
        <w:rPr>
          <w:color w:val="231F20"/>
          <w:spacing w:val="-4"/>
          <w:sz w:val="15"/>
        </w:rPr>
        <w:t xml:space="preserve"> </w:t>
      </w:r>
      <w:r>
        <w:rPr>
          <w:color w:val="231F20"/>
          <w:sz w:val="15"/>
        </w:rPr>
        <w:t>zvukových,</w:t>
      </w:r>
      <w:r>
        <w:rPr>
          <w:color w:val="231F20"/>
          <w:spacing w:val="-4"/>
          <w:sz w:val="15"/>
        </w:rPr>
        <w:t xml:space="preserve"> </w:t>
      </w:r>
      <w:r>
        <w:rPr>
          <w:color w:val="231F20"/>
          <w:sz w:val="15"/>
        </w:rPr>
        <w:t>datových</w:t>
      </w:r>
      <w:r>
        <w:rPr>
          <w:color w:val="231F20"/>
          <w:spacing w:val="-5"/>
          <w:sz w:val="15"/>
        </w:rPr>
        <w:t xml:space="preserve"> </w:t>
      </w:r>
      <w:r>
        <w:rPr>
          <w:color w:val="231F20"/>
          <w:sz w:val="15"/>
        </w:rPr>
        <w:t>a</w:t>
      </w:r>
      <w:r>
        <w:rPr>
          <w:color w:val="231F20"/>
          <w:spacing w:val="-4"/>
          <w:sz w:val="15"/>
        </w:rPr>
        <w:t xml:space="preserve"> </w:t>
      </w:r>
      <w:r>
        <w:rPr>
          <w:color w:val="231F20"/>
          <w:sz w:val="15"/>
        </w:rPr>
        <w:t>obdobných</w:t>
      </w:r>
      <w:r>
        <w:rPr>
          <w:color w:val="231F20"/>
          <w:spacing w:val="-4"/>
          <w:sz w:val="15"/>
        </w:rPr>
        <w:t xml:space="preserve"> </w:t>
      </w:r>
      <w:r>
        <w:rPr>
          <w:color w:val="231F20"/>
          <w:sz w:val="15"/>
        </w:rPr>
        <w:t>nosičích</w:t>
      </w:r>
      <w:r>
        <w:rPr>
          <w:color w:val="231F20"/>
          <w:spacing w:val="-4"/>
          <w:sz w:val="15"/>
        </w:rPr>
        <w:t xml:space="preserve"> </w:t>
      </w:r>
      <w:r>
        <w:rPr>
          <w:color w:val="231F20"/>
          <w:spacing w:val="-3"/>
          <w:sz w:val="15"/>
        </w:rPr>
        <w:t xml:space="preserve">včetně </w:t>
      </w:r>
      <w:r>
        <w:rPr>
          <w:color w:val="231F20"/>
          <w:sz w:val="15"/>
        </w:rPr>
        <w:t>jejich</w:t>
      </w:r>
      <w:r>
        <w:rPr>
          <w:color w:val="231F20"/>
          <w:spacing w:val="-1"/>
          <w:sz w:val="15"/>
        </w:rPr>
        <w:t xml:space="preserve"> </w:t>
      </w:r>
      <w:r>
        <w:rPr>
          <w:color w:val="231F20"/>
          <w:sz w:val="15"/>
        </w:rPr>
        <w:t>obsahu;</w:t>
      </w:r>
    </w:p>
    <w:p w14:paraId="27A90BF9" w14:textId="77777777" w:rsidR="00F65BCA" w:rsidRDefault="00216117">
      <w:pPr>
        <w:pStyle w:val="Zkladntext"/>
        <w:spacing w:line="278" w:lineRule="auto"/>
        <w:ind w:left="880" w:hanging="171"/>
        <w:jc w:val="both"/>
      </w:pPr>
      <w:r>
        <w:rPr>
          <w:color w:val="231F20"/>
        </w:rPr>
        <w:t>m</w:t>
      </w:r>
      <w:r>
        <w:rPr>
          <w:color w:val="231F20"/>
          <w:spacing w:val="-22"/>
        </w:rPr>
        <w:t xml:space="preserve"> </w:t>
      </w:r>
      <w:r>
        <w:rPr>
          <w:color w:val="231F20"/>
        </w:rPr>
        <w:t>škoda</w:t>
      </w:r>
      <w:r>
        <w:rPr>
          <w:color w:val="231F20"/>
          <w:spacing w:val="-23"/>
        </w:rPr>
        <w:t xml:space="preserve"> </w:t>
      </w:r>
      <w:r>
        <w:rPr>
          <w:color w:val="231F20"/>
        </w:rPr>
        <w:t>vzniklá</w:t>
      </w:r>
      <w:r>
        <w:rPr>
          <w:color w:val="231F20"/>
          <w:spacing w:val="-24"/>
        </w:rPr>
        <w:t xml:space="preserve"> </w:t>
      </w:r>
      <w:r>
        <w:rPr>
          <w:color w:val="231F20"/>
        </w:rPr>
        <w:t>v</w:t>
      </w:r>
      <w:r>
        <w:rPr>
          <w:color w:val="231F20"/>
          <w:spacing w:val="-23"/>
        </w:rPr>
        <w:t xml:space="preserve"> </w:t>
      </w:r>
      <w:r>
        <w:rPr>
          <w:color w:val="231F20"/>
        </w:rPr>
        <w:t>příčinné</w:t>
      </w:r>
      <w:r>
        <w:rPr>
          <w:color w:val="231F20"/>
          <w:spacing w:val="-24"/>
        </w:rPr>
        <w:t xml:space="preserve"> </w:t>
      </w:r>
      <w:r>
        <w:rPr>
          <w:color w:val="231F20"/>
        </w:rPr>
        <w:t>souvislosti</w:t>
      </w:r>
      <w:r>
        <w:rPr>
          <w:color w:val="231F20"/>
          <w:spacing w:val="-23"/>
        </w:rPr>
        <w:t xml:space="preserve"> </w:t>
      </w:r>
      <w:r>
        <w:rPr>
          <w:color w:val="231F20"/>
        </w:rPr>
        <w:t>s</w:t>
      </w:r>
      <w:r>
        <w:rPr>
          <w:color w:val="231F20"/>
          <w:spacing w:val="-24"/>
        </w:rPr>
        <w:t xml:space="preserve"> </w:t>
      </w:r>
      <w:r>
        <w:rPr>
          <w:color w:val="231F20"/>
        </w:rPr>
        <w:t>provozem</w:t>
      </w:r>
      <w:r>
        <w:rPr>
          <w:color w:val="231F20"/>
          <w:spacing w:val="-23"/>
        </w:rPr>
        <w:t xml:space="preserve"> </w:t>
      </w:r>
      <w:r>
        <w:rPr>
          <w:color w:val="231F20"/>
        </w:rPr>
        <w:t>vozidla,</w:t>
      </w:r>
      <w:r>
        <w:rPr>
          <w:color w:val="231F20"/>
          <w:spacing w:val="-23"/>
        </w:rPr>
        <w:t xml:space="preserve"> </w:t>
      </w:r>
      <w:r>
        <w:rPr>
          <w:color w:val="231F20"/>
        </w:rPr>
        <w:t>které</w:t>
      </w:r>
      <w:r>
        <w:rPr>
          <w:color w:val="231F20"/>
          <w:spacing w:val="-24"/>
        </w:rPr>
        <w:t xml:space="preserve"> </w:t>
      </w:r>
      <w:r>
        <w:rPr>
          <w:color w:val="231F20"/>
        </w:rPr>
        <w:t>svojí</w:t>
      </w:r>
      <w:r>
        <w:rPr>
          <w:color w:val="231F20"/>
          <w:spacing w:val="-23"/>
        </w:rPr>
        <w:t xml:space="preserve"> </w:t>
      </w:r>
      <w:r>
        <w:rPr>
          <w:color w:val="231F20"/>
        </w:rPr>
        <w:t>konstruk- cí</w:t>
      </w:r>
      <w:r>
        <w:rPr>
          <w:color w:val="231F20"/>
          <w:spacing w:val="-16"/>
        </w:rPr>
        <w:t xml:space="preserve"> </w:t>
      </w:r>
      <w:r>
        <w:rPr>
          <w:color w:val="231F20"/>
        </w:rPr>
        <w:t>nebo</w:t>
      </w:r>
      <w:r>
        <w:rPr>
          <w:color w:val="231F20"/>
          <w:spacing w:val="-17"/>
        </w:rPr>
        <w:t xml:space="preserve"> </w:t>
      </w:r>
      <w:r>
        <w:rPr>
          <w:color w:val="231F20"/>
        </w:rPr>
        <w:t>technickým</w:t>
      </w:r>
      <w:r>
        <w:rPr>
          <w:color w:val="231F20"/>
          <w:spacing w:val="-16"/>
        </w:rPr>
        <w:t xml:space="preserve"> </w:t>
      </w:r>
      <w:r>
        <w:rPr>
          <w:color w:val="231F20"/>
        </w:rPr>
        <w:t>stavem</w:t>
      </w:r>
      <w:r>
        <w:rPr>
          <w:color w:val="231F20"/>
          <w:spacing w:val="-16"/>
        </w:rPr>
        <w:t xml:space="preserve"> </w:t>
      </w:r>
      <w:r>
        <w:rPr>
          <w:color w:val="231F20"/>
        </w:rPr>
        <w:t>neodpovídá</w:t>
      </w:r>
      <w:r>
        <w:rPr>
          <w:color w:val="231F20"/>
          <w:spacing w:val="-16"/>
        </w:rPr>
        <w:t xml:space="preserve"> </w:t>
      </w:r>
      <w:r>
        <w:rPr>
          <w:color w:val="231F20"/>
        </w:rPr>
        <w:t>požadavkům</w:t>
      </w:r>
      <w:r>
        <w:rPr>
          <w:color w:val="231F20"/>
          <w:spacing w:val="-16"/>
        </w:rPr>
        <w:t xml:space="preserve"> </w:t>
      </w:r>
      <w:r>
        <w:rPr>
          <w:color w:val="231F20"/>
        </w:rPr>
        <w:t>bezpečnosti</w:t>
      </w:r>
      <w:r>
        <w:rPr>
          <w:color w:val="231F20"/>
          <w:spacing w:val="-16"/>
        </w:rPr>
        <w:t xml:space="preserve"> </w:t>
      </w:r>
      <w:r>
        <w:rPr>
          <w:color w:val="231F20"/>
          <w:spacing w:val="-3"/>
        </w:rPr>
        <w:t xml:space="preserve">provozu </w:t>
      </w:r>
      <w:r>
        <w:rPr>
          <w:color w:val="231F20"/>
        </w:rPr>
        <w:t>na</w:t>
      </w:r>
      <w:r>
        <w:rPr>
          <w:color w:val="231F20"/>
          <w:spacing w:val="-11"/>
        </w:rPr>
        <w:t xml:space="preserve"> </w:t>
      </w:r>
      <w:r>
        <w:rPr>
          <w:color w:val="231F20"/>
          <w:spacing w:val="2"/>
        </w:rPr>
        <w:t>pozemních</w:t>
      </w:r>
      <w:r>
        <w:rPr>
          <w:color w:val="231F20"/>
          <w:spacing w:val="-10"/>
        </w:rPr>
        <w:t xml:space="preserve"> </w:t>
      </w:r>
      <w:r>
        <w:rPr>
          <w:color w:val="231F20"/>
          <w:spacing w:val="2"/>
        </w:rPr>
        <w:t>komunikacích,</w:t>
      </w:r>
      <w:r>
        <w:rPr>
          <w:color w:val="231F20"/>
          <w:spacing w:val="-10"/>
        </w:rPr>
        <w:t xml:space="preserve"> </w:t>
      </w:r>
      <w:r>
        <w:rPr>
          <w:color w:val="231F20"/>
          <w:spacing w:val="3"/>
        </w:rPr>
        <w:t>obsluhujících</w:t>
      </w:r>
      <w:r>
        <w:rPr>
          <w:color w:val="231F20"/>
          <w:spacing w:val="-10"/>
        </w:rPr>
        <w:t xml:space="preserve"> </w:t>
      </w:r>
      <w:r>
        <w:rPr>
          <w:color w:val="231F20"/>
        </w:rPr>
        <w:t>osob,</w:t>
      </w:r>
      <w:r>
        <w:rPr>
          <w:color w:val="231F20"/>
          <w:spacing w:val="-10"/>
        </w:rPr>
        <w:t xml:space="preserve"> </w:t>
      </w:r>
      <w:r>
        <w:rPr>
          <w:color w:val="231F20"/>
          <w:spacing w:val="2"/>
        </w:rPr>
        <w:t>přepravovaných</w:t>
      </w:r>
      <w:r>
        <w:rPr>
          <w:color w:val="231F20"/>
          <w:spacing w:val="-10"/>
        </w:rPr>
        <w:t xml:space="preserve"> </w:t>
      </w:r>
      <w:r>
        <w:rPr>
          <w:color w:val="231F20"/>
          <w:spacing w:val="3"/>
        </w:rPr>
        <w:t xml:space="preserve">osob </w:t>
      </w:r>
      <w:r>
        <w:rPr>
          <w:color w:val="231F20"/>
          <w:w w:val="95"/>
        </w:rPr>
        <w:t>a</w:t>
      </w:r>
      <w:r>
        <w:rPr>
          <w:color w:val="231F20"/>
          <w:spacing w:val="-2"/>
          <w:w w:val="95"/>
        </w:rPr>
        <w:t xml:space="preserve"> </w:t>
      </w:r>
      <w:r>
        <w:rPr>
          <w:color w:val="231F20"/>
          <w:w w:val="95"/>
        </w:rPr>
        <w:t>věcí,</w:t>
      </w:r>
      <w:r>
        <w:rPr>
          <w:color w:val="231F20"/>
          <w:spacing w:val="-8"/>
          <w:w w:val="95"/>
        </w:rPr>
        <w:t xml:space="preserve"> </w:t>
      </w:r>
      <w:r>
        <w:rPr>
          <w:color w:val="231F20"/>
          <w:w w:val="95"/>
        </w:rPr>
        <w:t>nebo</w:t>
      </w:r>
      <w:r>
        <w:rPr>
          <w:color w:val="231F20"/>
          <w:spacing w:val="-7"/>
          <w:w w:val="95"/>
        </w:rPr>
        <w:t xml:space="preserve"> </w:t>
      </w:r>
      <w:r>
        <w:rPr>
          <w:color w:val="231F20"/>
          <w:w w:val="95"/>
        </w:rPr>
        <w:t>jehož</w:t>
      </w:r>
      <w:r>
        <w:rPr>
          <w:color w:val="231F20"/>
          <w:spacing w:val="-7"/>
          <w:w w:val="95"/>
        </w:rPr>
        <w:t xml:space="preserve"> </w:t>
      </w:r>
      <w:r>
        <w:rPr>
          <w:color w:val="231F20"/>
          <w:w w:val="95"/>
        </w:rPr>
        <w:t>technická</w:t>
      </w:r>
      <w:r>
        <w:rPr>
          <w:color w:val="231F20"/>
          <w:spacing w:val="-7"/>
          <w:w w:val="95"/>
        </w:rPr>
        <w:t xml:space="preserve"> </w:t>
      </w:r>
      <w:r>
        <w:rPr>
          <w:color w:val="231F20"/>
          <w:w w:val="95"/>
        </w:rPr>
        <w:t>způsobilost</w:t>
      </w:r>
      <w:r>
        <w:rPr>
          <w:color w:val="231F20"/>
          <w:spacing w:val="-8"/>
          <w:w w:val="95"/>
        </w:rPr>
        <w:t xml:space="preserve"> </w:t>
      </w:r>
      <w:r>
        <w:rPr>
          <w:color w:val="231F20"/>
          <w:w w:val="95"/>
        </w:rPr>
        <w:t>k</w:t>
      </w:r>
      <w:r>
        <w:rPr>
          <w:color w:val="231F20"/>
          <w:spacing w:val="-7"/>
          <w:w w:val="95"/>
        </w:rPr>
        <w:t xml:space="preserve"> </w:t>
      </w:r>
      <w:r>
        <w:rPr>
          <w:color w:val="231F20"/>
          <w:spacing w:val="-3"/>
          <w:w w:val="95"/>
        </w:rPr>
        <w:t>provozu</w:t>
      </w:r>
      <w:r>
        <w:rPr>
          <w:color w:val="231F20"/>
          <w:spacing w:val="-7"/>
          <w:w w:val="95"/>
        </w:rPr>
        <w:t xml:space="preserve"> </w:t>
      </w:r>
      <w:r>
        <w:rPr>
          <w:color w:val="231F20"/>
          <w:w w:val="95"/>
        </w:rPr>
        <w:t>vozidla</w:t>
      </w:r>
      <w:r>
        <w:rPr>
          <w:color w:val="231F20"/>
          <w:spacing w:val="-7"/>
          <w:w w:val="95"/>
        </w:rPr>
        <w:t xml:space="preserve"> </w:t>
      </w:r>
      <w:r>
        <w:rPr>
          <w:color w:val="231F20"/>
          <w:w w:val="95"/>
        </w:rPr>
        <w:t>nebyla</w:t>
      </w:r>
      <w:r>
        <w:rPr>
          <w:color w:val="231F20"/>
          <w:spacing w:val="-8"/>
          <w:w w:val="95"/>
        </w:rPr>
        <w:t xml:space="preserve"> </w:t>
      </w:r>
      <w:r>
        <w:rPr>
          <w:color w:val="231F20"/>
          <w:w w:val="95"/>
        </w:rPr>
        <w:t>schválena;</w:t>
      </w:r>
    </w:p>
    <w:p w14:paraId="1B3D0987" w14:textId="77777777" w:rsidR="00F65BCA" w:rsidRDefault="00216117">
      <w:pPr>
        <w:pStyle w:val="Zkladntext"/>
        <w:spacing w:line="172" w:lineRule="exact"/>
        <w:ind w:left="710"/>
        <w:jc w:val="both"/>
      </w:pPr>
      <w:r>
        <w:rPr>
          <w:color w:val="231F20"/>
        </w:rPr>
        <w:t>n škody vzniklé v důsledku nasátí vody do motoru.</w:t>
      </w:r>
    </w:p>
    <w:p w14:paraId="0FA3511E" w14:textId="77777777" w:rsidR="00F65BCA" w:rsidRDefault="00216117">
      <w:pPr>
        <w:pStyle w:val="Zkladntext"/>
        <w:spacing w:before="26" w:line="278" w:lineRule="auto"/>
        <w:ind w:left="710" w:right="2"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position w:val="1"/>
          <w:sz w:val="14"/>
        </w:rPr>
        <w:t xml:space="preserve"> </w:t>
      </w:r>
      <w:r>
        <w:rPr>
          <w:color w:val="231F20"/>
        </w:rPr>
        <w:t>Při poškození nebo zničení pneumatik (pojezdových pásů) a audiovizuální výbavy vozidla (včetně všech zobrazovacích jednotek) Pojišťovna</w:t>
      </w:r>
      <w:r>
        <w:rPr>
          <w:color w:val="231F20"/>
          <w:spacing w:val="-20"/>
        </w:rPr>
        <w:t xml:space="preserve"> </w:t>
      </w:r>
      <w:r>
        <w:rPr>
          <w:color w:val="231F20"/>
        </w:rPr>
        <w:t>poskytne pojistné</w:t>
      </w:r>
      <w:r>
        <w:rPr>
          <w:color w:val="231F20"/>
          <w:spacing w:val="-3"/>
        </w:rPr>
        <w:t xml:space="preserve"> </w:t>
      </w:r>
      <w:r>
        <w:rPr>
          <w:color w:val="231F20"/>
        </w:rPr>
        <w:t>plnění</w:t>
      </w:r>
      <w:r>
        <w:rPr>
          <w:color w:val="231F20"/>
          <w:spacing w:val="-3"/>
        </w:rPr>
        <w:t xml:space="preserve"> </w:t>
      </w:r>
      <w:r>
        <w:rPr>
          <w:color w:val="231F20"/>
        </w:rPr>
        <w:t>jen</w:t>
      </w:r>
      <w:r>
        <w:rPr>
          <w:color w:val="231F20"/>
          <w:spacing w:val="-3"/>
        </w:rPr>
        <w:t xml:space="preserve"> tehdy, </w:t>
      </w:r>
      <w:r>
        <w:rPr>
          <w:color w:val="231F20"/>
        </w:rPr>
        <w:t>jestliže</w:t>
      </w:r>
      <w:r>
        <w:rPr>
          <w:color w:val="231F20"/>
          <w:spacing w:val="-3"/>
        </w:rPr>
        <w:t xml:space="preserve"> </w:t>
      </w:r>
      <w:r>
        <w:rPr>
          <w:color w:val="231F20"/>
        </w:rPr>
        <w:t>současně</w:t>
      </w:r>
      <w:r>
        <w:rPr>
          <w:color w:val="231F20"/>
          <w:spacing w:val="-2"/>
        </w:rPr>
        <w:t xml:space="preserve"> </w:t>
      </w:r>
      <w:r>
        <w:rPr>
          <w:color w:val="231F20"/>
        </w:rPr>
        <w:t>došlo</w:t>
      </w:r>
      <w:r>
        <w:rPr>
          <w:color w:val="231F20"/>
          <w:spacing w:val="-3"/>
        </w:rPr>
        <w:t xml:space="preserve"> </w:t>
      </w:r>
      <w:r>
        <w:rPr>
          <w:color w:val="231F20"/>
        </w:rPr>
        <w:t>ze</w:t>
      </w:r>
      <w:r>
        <w:rPr>
          <w:color w:val="231F20"/>
          <w:spacing w:val="-3"/>
        </w:rPr>
        <w:t xml:space="preserve"> </w:t>
      </w:r>
      <w:r>
        <w:rPr>
          <w:color w:val="231F20"/>
        </w:rPr>
        <w:t>stejné</w:t>
      </w:r>
      <w:r>
        <w:rPr>
          <w:color w:val="231F20"/>
          <w:spacing w:val="-3"/>
        </w:rPr>
        <w:t xml:space="preserve"> </w:t>
      </w:r>
      <w:r>
        <w:rPr>
          <w:color w:val="231F20"/>
        </w:rPr>
        <w:t>příčiny</w:t>
      </w:r>
      <w:r>
        <w:rPr>
          <w:color w:val="231F20"/>
          <w:spacing w:val="-3"/>
        </w:rPr>
        <w:t xml:space="preserve"> </w:t>
      </w:r>
      <w:r>
        <w:rPr>
          <w:color w:val="231F20"/>
        </w:rPr>
        <w:t>i</w:t>
      </w:r>
      <w:r>
        <w:rPr>
          <w:color w:val="231F20"/>
          <w:spacing w:val="-3"/>
        </w:rPr>
        <w:t xml:space="preserve"> </w:t>
      </w:r>
      <w:r>
        <w:rPr>
          <w:color w:val="231F20"/>
        </w:rPr>
        <w:t>k</w:t>
      </w:r>
      <w:r>
        <w:rPr>
          <w:color w:val="231F20"/>
          <w:spacing w:val="-2"/>
        </w:rPr>
        <w:t xml:space="preserve"> </w:t>
      </w:r>
      <w:r>
        <w:rPr>
          <w:color w:val="231F20"/>
          <w:spacing w:val="-4"/>
        </w:rPr>
        <w:t>poško-</w:t>
      </w:r>
    </w:p>
    <w:p w14:paraId="076BB3E9" w14:textId="77777777" w:rsidR="00F65BCA" w:rsidRDefault="00216117">
      <w:pPr>
        <w:pStyle w:val="Zkladntext"/>
        <w:spacing w:before="75" w:line="278" w:lineRule="auto"/>
        <w:ind w:left="466" w:right="424"/>
        <w:jc w:val="both"/>
      </w:pPr>
      <w:r>
        <w:br w:type="column"/>
      </w:r>
      <w:r>
        <w:rPr>
          <w:color w:val="231F20"/>
        </w:rPr>
        <w:t>zení</w:t>
      </w:r>
      <w:r>
        <w:rPr>
          <w:color w:val="231F20"/>
          <w:spacing w:val="-11"/>
        </w:rPr>
        <w:t xml:space="preserve"> </w:t>
      </w:r>
      <w:r>
        <w:rPr>
          <w:color w:val="231F20"/>
        </w:rPr>
        <w:t>jiné</w:t>
      </w:r>
      <w:r>
        <w:rPr>
          <w:color w:val="231F20"/>
          <w:spacing w:val="-10"/>
        </w:rPr>
        <w:t xml:space="preserve"> </w:t>
      </w:r>
      <w:r>
        <w:rPr>
          <w:color w:val="231F20"/>
        </w:rPr>
        <w:t>části</w:t>
      </w:r>
      <w:r>
        <w:rPr>
          <w:color w:val="231F20"/>
          <w:spacing w:val="-10"/>
        </w:rPr>
        <w:t xml:space="preserve"> </w:t>
      </w:r>
      <w:r>
        <w:rPr>
          <w:color w:val="231F20"/>
        </w:rPr>
        <w:t>pojištěného</w:t>
      </w:r>
      <w:r>
        <w:rPr>
          <w:color w:val="231F20"/>
          <w:spacing w:val="-11"/>
        </w:rPr>
        <w:t xml:space="preserve"> </w:t>
      </w:r>
      <w:r>
        <w:rPr>
          <w:color w:val="231F20"/>
        </w:rPr>
        <w:t>vozidla,</w:t>
      </w:r>
      <w:r>
        <w:rPr>
          <w:color w:val="231F20"/>
          <w:spacing w:val="-10"/>
        </w:rPr>
        <w:t xml:space="preserve"> </w:t>
      </w:r>
      <w:r>
        <w:rPr>
          <w:color w:val="231F20"/>
        </w:rPr>
        <w:t>za</w:t>
      </w:r>
      <w:r>
        <w:rPr>
          <w:color w:val="231F20"/>
          <w:spacing w:val="-10"/>
        </w:rPr>
        <w:t xml:space="preserve"> </w:t>
      </w:r>
      <w:r>
        <w:rPr>
          <w:color w:val="231F20"/>
        </w:rPr>
        <w:t>které</w:t>
      </w:r>
      <w:r>
        <w:rPr>
          <w:color w:val="231F20"/>
          <w:spacing w:val="-10"/>
        </w:rPr>
        <w:t xml:space="preserve"> </w:t>
      </w:r>
      <w:r>
        <w:rPr>
          <w:color w:val="231F20"/>
        </w:rPr>
        <w:t>je</w:t>
      </w:r>
      <w:r>
        <w:rPr>
          <w:color w:val="231F20"/>
          <w:spacing w:val="-11"/>
        </w:rPr>
        <w:t xml:space="preserve"> </w:t>
      </w:r>
      <w:r>
        <w:rPr>
          <w:color w:val="231F20"/>
        </w:rPr>
        <w:t>Pojišťovna</w:t>
      </w:r>
      <w:r>
        <w:rPr>
          <w:color w:val="231F20"/>
          <w:spacing w:val="-10"/>
        </w:rPr>
        <w:t xml:space="preserve"> </w:t>
      </w:r>
      <w:r>
        <w:rPr>
          <w:color w:val="231F20"/>
        </w:rPr>
        <w:t>povinna</w:t>
      </w:r>
      <w:r>
        <w:rPr>
          <w:color w:val="231F20"/>
          <w:spacing w:val="-10"/>
        </w:rPr>
        <w:t xml:space="preserve"> </w:t>
      </w:r>
      <w:r>
        <w:rPr>
          <w:color w:val="231F20"/>
        </w:rPr>
        <w:t>poskytnout pojistné</w:t>
      </w:r>
      <w:r>
        <w:rPr>
          <w:color w:val="231F20"/>
          <w:spacing w:val="-12"/>
        </w:rPr>
        <w:t xml:space="preserve"> </w:t>
      </w:r>
      <w:r>
        <w:rPr>
          <w:color w:val="231F20"/>
        </w:rPr>
        <w:t>plnění.</w:t>
      </w:r>
      <w:r>
        <w:rPr>
          <w:color w:val="231F20"/>
          <w:spacing w:val="-12"/>
        </w:rPr>
        <w:t xml:space="preserve"> </w:t>
      </w:r>
      <w:r>
        <w:rPr>
          <w:color w:val="231F20"/>
        </w:rPr>
        <w:t>Pojistné</w:t>
      </w:r>
      <w:r>
        <w:rPr>
          <w:color w:val="231F20"/>
          <w:spacing w:val="-11"/>
        </w:rPr>
        <w:t xml:space="preserve"> </w:t>
      </w:r>
      <w:r>
        <w:rPr>
          <w:color w:val="231F20"/>
        </w:rPr>
        <w:t>plnění</w:t>
      </w:r>
      <w:r>
        <w:rPr>
          <w:color w:val="231F20"/>
          <w:spacing w:val="-12"/>
        </w:rPr>
        <w:t xml:space="preserve"> </w:t>
      </w:r>
      <w:r>
        <w:rPr>
          <w:color w:val="231F20"/>
        </w:rPr>
        <w:t>v</w:t>
      </w:r>
      <w:r>
        <w:rPr>
          <w:color w:val="231F20"/>
          <w:spacing w:val="-11"/>
        </w:rPr>
        <w:t xml:space="preserve"> </w:t>
      </w:r>
      <w:r>
        <w:rPr>
          <w:color w:val="231F20"/>
        </w:rPr>
        <w:t>případě</w:t>
      </w:r>
      <w:r>
        <w:rPr>
          <w:color w:val="231F20"/>
          <w:spacing w:val="-12"/>
        </w:rPr>
        <w:t xml:space="preserve"> </w:t>
      </w:r>
      <w:r>
        <w:rPr>
          <w:color w:val="231F20"/>
        </w:rPr>
        <w:t>poškození</w:t>
      </w:r>
      <w:r>
        <w:rPr>
          <w:color w:val="231F20"/>
          <w:spacing w:val="-11"/>
        </w:rPr>
        <w:t xml:space="preserve"> </w:t>
      </w:r>
      <w:r>
        <w:rPr>
          <w:color w:val="231F20"/>
        </w:rPr>
        <w:t>nebo</w:t>
      </w:r>
      <w:r>
        <w:rPr>
          <w:color w:val="231F20"/>
          <w:spacing w:val="-12"/>
        </w:rPr>
        <w:t xml:space="preserve"> </w:t>
      </w:r>
      <w:r>
        <w:rPr>
          <w:color w:val="231F20"/>
        </w:rPr>
        <w:t>zničení</w:t>
      </w:r>
      <w:r>
        <w:rPr>
          <w:color w:val="231F20"/>
          <w:spacing w:val="-12"/>
        </w:rPr>
        <w:t xml:space="preserve"> </w:t>
      </w:r>
      <w:r>
        <w:rPr>
          <w:color w:val="231F20"/>
        </w:rPr>
        <w:t xml:space="preserve">samotných pneumatik Pojišťovna poskytne pouze v případě, pokud k poškození </w:t>
      </w:r>
      <w:r>
        <w:rPr>
          <w:color w:val="231F20"/>
          <w:spacing w:val="-4"/>
        </w:rPr>
        <w:t xml:space="preserve">nebo </w:t>
      </w:r>
      <w:r>
        <w:rPr>
          <w:color w:val="231F20"/>
        </w:rPr>
        <w:t>zničení dojde z pojistného nebezpečí</w:t>
      </w:r>
      <w:r>
        <w:rPr>
          <w:color w:val="231F20"/>
          <w:spacing w:val="-15"/>
        </w:rPr>
        <w:t xml:space="preserve"> </w:t>
      </w:r>
      <w:r>
        <w:rPr>
          <w:color w:val="231F20"/>
        </w:rPr>
        <w:t>vandalismus.</w:t>
      </w:r>
    </w:p>
    <w:p w14:paraId="49E1941C" w14:textId="77777777" w:rsidR="00F65BCA" w:rsidRDefault="00216117">
      <w:pPr>
        <w:pStyle w:val="Zkladntext"/>
        <w:spacing w:line="278" w:lineRule="auto"/>
        <w:ind w:left="466"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spacing w:val="16"/>
          <w:position w:val="1"/>
          <w:sz w:val="14"/>
        </w:rPr>
        <w:t xml:space="preserve"> </w:t>
      </w:r>
      <w:r>
        <w:rPr>
          <w:color w:val="231F20"/>
        </w:rPr>
        <w:t>Pojišťovna</w:t>
      </w:r>
      <w:r>
        <w:rPr>
          <w:color w:val="231F20"/>
          <w:spacing w:val="-14"/>
        </w:rPr>
        <w:t xml:space="preserve"> </w:t>
      </w:r>
      <w:r>
        <w:rPr>
          <w:color w:val="231F20"/>
        </w:rPr>
        <w:t>neposkytne</w:t>
      </w:r>
      <w:r>
        <w:rPr>
          <w:color w:val="231F20"/>
          <w:spacing w:val="-14"/>
        </w:rPr>
        <w:t xml:space="preserve"> </w:t>
      </w:r>
      <w:r>
        <w:rPr>
          <w:color w:val="231F20"/>
        </w:rPr>
        <w:t>pojistné</w:t>
      </w:r>
      <w:r>
        <w:rPr>
          <w:color w:val="231F20"/>
          <w:spacing w:val="-14"/>
        </w:rPr>
        <w:t xml:space="preserve"> </w:t>
      </w:r>
      <w:r>
        <w:rPr>
          <w:color w:val="231F20"/>
        </w:rPr>
        <w:t>plnění</w:t>
      </w:r>
      <w:r>
        <w:rPr>
          <w:color w:val="231F20"/>
          <w:spacing w:val="-14"/>
        </w:rPr>
        <w:t xml:space="preserve"> </w:t>
      </w:r>
      <w:r>
        <w:rPr>
          <w:color w:val="231F20"/>
        </w:rPr>
        <w:t>v</w:t>
      </w:r>
      <w:r>
        <w:rPr>
          <w:color w:val="231F20"/>
          <w:spacing w:val="-14"/>
        </w:rPr>
        <w:t xml:space="preserve"> </w:t>
      </w:r>
      <w:r>
        <w:rPr>
          <w:color w:val="231F20"/>
        </w:rPr>
        <w:t>případě</w:t>
      </w:r>
      <w:r>
        <w:rPr>
          <w:color w:val="231F20"/>
          <w:spacing w:val="-14"/>
        </w:rPr>
        <w:t xml:space="preserve"> </w:t>
      </w:r>
      <w:r>
        <w:rPr>
          <w:color w:val="231F20"/>
        </w:rPr>
        <w:t>poškození</w:t>
      </w:r>
      <w:r>
        <w:rPr>
          <w:color w:val="231F20"/>
          <w:spacing w:val="-14"/>
        </w:rPr>
        <w:t xml:space="preserve"> </w:t>
      </w:r>
      <w:r>
        <w:rPr>
          <w:color w:val="231F20"/>
        </w:rPr>
        <w:t>nebo</w:t>
      </w:r>
      <w:r>
        <w:rPr>
          <w:color w:val="231F20"/>
          <w:spacing w:val="-14"/>
        </w:rPr>
        <w:t xml:space="preserve"> </w:t>
      </w:r>
      <w:r>
        <w:rPr>
          <w:color w:val="231F20"/>
        </w:rPr>
        <w:t>zničení</w:t>
      </w:r>
      <w:r>
        <w:rPr>
          <w:color w:val="231F20"/>
          <w:spacing w:val="-14"/>
        </w:rPr>
        <w:t xml:space="preserve"> </w:t>
      </w:r>
      <w:r>
        <w:rPr>
          <w:color w:val="231F20"/>
          <w:spacing w:val="-3"/>
        </w:rPr>
        <w:t xml:space="preserve">elek- </w:t>
      </w:r>
      <w:r>
        <w:rPr>
          <w:color w:val="231F20"/>
        </w:rPr>
        <w:t>trického či elektronického zařízení vozidla</w:t>
      </w:r>
      <w:r>
        <w:rPr>
          <w:color w:val="231F20"/>
          <w:spacing w:val="-16"/>
        </w:rPr>
        <w:t xml:space="preserve"> </w:t>
      </w:r>
      <w:r>
        <w:rPr>
          <w:color w:val="231F20"/>
        </w:rPr>
        <w:t>zkratem.</w:t>
      </w:r>
    </w:p>
    <w:p w14:paraId="6DFBE54A" w14:textId="77777777" w:rsidR="00F65BCA" w:rsidRDefault="00216117">
      <w:pPr>
        <w:pStyle w:val="Zkladntext"/>
        <w:spacing w:line="278" w:lineRule="auto"/>
        <w:ind w:left="466"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6</w:t>
      </w:r>
      <w:r>
        <w:rPr>
          <w:color w:val="231F20"/>
          <w:spacing w:val="17"/>
          <w:position w:val="1"/>
          <w:sz w:val="14"/>
        </w:rPr>
        <w:t xml:space="preserve"> </w:t>
      </w:r>
      <w:r>
        <w:rPr>
          <w:color w:val="231F20"/>
        </w:rPr>
        <w:t>Pojišťovna</w:t>
      </w:r>
      <w:r>
        <w:rPr>
          <w:color w:val="231F20"/>
          <w:spacing w:val="-14"/>
        </w:rPr>
        <w:t xml:space="preserve"> </w:t>
      </w:r>
      <w:r>
        <w:rPr>
          <w:color w:val="231F20"/>
        </w:rPr>
        <w:t>neposkytne</w:t>
      </w:r>
      <w:r>
        <w:rPr>
          <w:color w:val="231F20"/>
          <w:spacing w:val="-15"/>
        </w:rPr>
        <w:t xml:space="preserve"> </w:t>
      </w:r>
      <w:r>
        <w:rPr>
          <w:color w:val="231F20"/>
        </w:rPr>
        <w:t>pojistné</w:t>
      </w:r>
      <w:r>
        <w:rPr>
          <w:color w:val="231F20"/>
          <w:spacing w:val="-14"/>
        </w:rPr>
        <w:t xml:space="preserve"> </w:t>
      </w:r>
      <w:r>
        <w:rPr>
          <w:color w:val="231F20"/>
        </w:rPr>
        <w:t>plnění</w:t>
      </w:r>
      <w:r>
        <w:rPr>
          <w:color w:val="231F20"/>
          <w:spacing w:val="-14"/>
        </w:rPr>
        <w:t xml:space="preserve"> </w:t>
      </w:r>
      <w:r>
        <w:rPr>
          <w:color w:val="231F20"/>
        </w:rPr>
        <w:t>za</w:t>
      </w:r>
      <w:r>
        <w:rPr>
          <w:color w:val="231F20"/>
          <w:spacing w:val="-14"/>
        </w:rPr>
        <w:t xml:space="preserve"> </w:t>
      </w:r>
      <w:r>
        <w:rPr>
          <w:color w:val="231F20"/>
        </w:rPr>
        <w:t>škody</w:t>
      </w:r>
      <w:r>
        <w:rPr>
          <w:color w:val="231F20"/>
          <w:spacing w:val="-14"/>
        </w:rPr>
        <w:t xml:space="preserve"> </w:t>
      </w:r>
      <w:r>
        <w:rPr>
          <w:color w:val="231F20"/>
        </w:rPr>
        <w:t>vzniklé</w:t>
      </w:r>
      <w:r>
        <w:rPr>
          <w:color w:val="231F20"/>
          <w:spacing w:val="-15"/>
        </w:rPr>
        <w:t xml:space="preserve"> </w:t>
      </w:r>
      <w:r>
        <w:rPr>
          <w:color w:val="231F20"/>
        </w:rPr>
        <w:t>poškozením</w:t>
      </w:r>
      <w:r>
        <w:rPr>
          <w:color w:val="231F20"/>
          <w:spacing w:val="-14"/>
        </w:rPr>
        <w:t xml:space="preserve"> </w:t>
      </w:r>
      <w:r>
        <w:rPr>
          <w:color w:val="231F20"/>
        </w:rPr>
        <w:t>nebo</w:t>
      </w:r>
      <w:r>
        <w:rPr>
          <w:color w:val="231F20"/>
          <w:spacing w:val="-14"/>
        </w:rPr>
        <w:t xml:space="preserve"> </w:t>
      </w:r>
      <w:r>
        <w:rPr>
          <w:color w:val="231F20"/>
        </w:rPr>
        <w:t>zni- čením</w:t>
      </w:r>
      <w:r>
        <w:rPr>
          <w:color w:val="231F20"/>
          <w:spacing w:val="-5"/>
        </w:rPr>
        <w:t xml:space="preserve"> </w:t>
      </w:r>
      <w:r>
        <w:rPr>
          <w:color w:val="231F20"/>
        </w:rPr>
        <w:t>vozidla</w:t>
      </w:r>
      <w:r>
        <w:rPr>
          <w:color w:val="231F20"/>
          <w:spacing w:val="-5"/>
        </w:rPr>
        <w:t xml:space="preserve"> </w:t>
      </w:r>
      <w:r>
        <w:rPr>
          <w:color w:val="231F20"/>
        </w:rPr>
        <w:t>přepravovaným</w:t>
      </w:r>
      <w:r>
        <w:rPr>
          <w:color w:val="231F20"/>
          <w:spacing w:val="-5"/>
        </w:rPr>
        <w:t xml:space="preserve"> </w:t>
      </w:r>
      <w:r>
        <w:rPr>
          <w:color w:val="231F20"/>
        </w:rPr>
        <w:t>nákladem,</w:t>
      </w:r>
      <w:r>
        <w:rPr>
          <w:color w:val="231F20"/>
          <w:spacing w:val="-5"/>
        </w:rPr>
        <w:t xml:space="preserve"> </w:t>
      </w:r>
      <w:r>
        <w:rPr>
          <w:color w:val="231F20"/>
        </w:rPr>
        <w:t>pokud</w:t>
      </w:r>
      <w:r>
        <w:rPr>
          <w:color w:val="231F20"/>
          <w:spacing w:val="-5"/>
        </w:rPr>
        <w:t xml:space="preserve"> </w:t>
      </w:r>
      <w:r>
        <w:rPr>
          <w:color w:val="231F20"/>
        </w:rPr>
        <w:t>současně</w:t>
      </w:r>
      <w:r>
        <w:rPr>
          <w:color w:val="231F20"/>
          <w:spacing w:val="-5"/>
        </w:rPr>
        <w:t xml:space="preserve"> </w:t>
      </w:r>
      <w:r>
        <w:rPr>
          <w:color w:val="231F20"/>
        </w:rPr>
        <w:t>nedošlo</w:t>
      </w:r>
      <w:r>
        <w:rPr>
          <w:color w:val="231F20"/>
          <w:spacing w:val="-5"/>
        </w:rPr>
        <w:t xml:space="preserve"> </w:t>
      </w:r>
      <w:r>
        <w:rPr>
          <w:color w:val="231F20"/>
        </w:rPr>
        <w:t>k</w:t>
      </w:r>
      <w:r>
        <w:rPr>
          <w:color w:val="231F20"/>
          <w:spacing w:val="-5"/>
        </w:rPr>
        <w:t xml:space="preserve"> </w:t>
      </w:r>
      <w:r>
        <w:rPr>
          <w:color w:val="231F20"/>
          <w:spacing w:val="-3"/>
        </w:rPr>
        <w:t xml:space="preserve">poško- </w:t>
      </w:r>
      <w:r>
        <w:rPr>
          <w:color w:val="231F20"/>
        </w:rPr>
        <w:t>zení</w:t>
      </w:r>
      <w:r>
        <w:rPr>
          <w:color w:val="231F20"/>
          <w:spacing w:val="-9"/>
        </w:rPr>
        <w:t xml:space="preserve"> </w:t>
      </w:r>
      <w:r>
        <w:rPr>
          <w:color w:val="231F20"/>
        </w:rPr>
        <w:t>vozidla</w:t>
      </w:r>
      <w:r>
        <w:rPr>
          <w:color w:val="231F20"/>
          <w:spacing w:val="-9"/>
        </w:rPr>
        <w:t xml:space="preserve"> </w:t>
      </w:r>
      <w:r>
        <w:rPr>
          <w:color w:val="231F20"/>
        </w:rPr>
        <w:t>z</w:t>
      </w:r>
      <w:r>
        <w:rPr>
          <w:color w:val="231F20"/>
          <w:spacing w:val="-9"/>
        </w:rPr>
        <w:t xml:space="preserve"> </w:t>
      </w:r>
      <w:r>
        <w:rPr>
          <w:color w:val="231F20"/>
        </w:rPr>
        <w:t>jiné</w:t>
      </w:r>
      <w:r>
        <w:rPr>
          <w:color w:val="231F20"/>
          <w:spacing w:val="-9"/>
        </w:rPr>
        <w:t xml:space="preserve"> </w:t>
      </w:r>
      <w:r>
        <w:rPr>
          <w:color w:val="231F20"/>
        </w:rPr>
        <w:t>příčiny,</w:t>
      </w:r>
      <w:r>
        <w:rPr>
          <w:color w:val="231F20"/>
          <w:spacing w:val="-9"/>
        </w:rPr>
        <w:t xml:space="preserve"> </w:t>
      </w:r>
      <w:r>
        <w:rPr>
          <w:color w:val="231F20"/>
        </w:rPr>
        <w:t>ze</w:t>
      </w:r>
      <w:r>
        <w:rPr>
          <w:color w:val="231F20"/>
          <w:spacing w:val="-9"/>
        </w:rPr>
        <w:t xml:space="preserve"> </w:t>
      </w:r>
      <w:r>
        <w:rPr>
          <w:color w:val="231F20"/>
        </w:rPr>
        <w:t>které</w:t>
      </w:r>
      <w:r>
        <w:rPr>
          <w:color w:val="231F20"/>
          <w:spacing w:val="-9"/>
        </w:rPr>
        <w:t xml:space="preserve"> </w:t>
      </w:r>
      <w:r>
        <w:rPr>
          <w:color w:val="231F20"/>
        </w:rPr>
        <w:t>je</w:t>
      </w:r>
      <w:r>
        <w:rPr>
          <w:color w:val="231F20"/>
          <w:spacing w:val="-9"/>
        </w:rPr>
        <w:t xml:space="preserve"> </w:t>
      </w:r>
      <w:r>
        <w:rPr>
          <w:color w:val="231F20"/>
        </w:rPr>
        <w:t>Pojišťovna</w:t>
      </w:r>
      <w:r>
        <w:rPr>
          <w:color w:val="231F20"/>
          <w:spacing w:val="-9"/>
        </w:rPr>
        <w:t xml:space="preserve"> </w:t>
      </w:r>
      <w:r>
        <w:rPr>
          <w:color w:val="231F20"/>
        </w:rPr>
        <w:t>povinna</w:t>
      </w:r>
      <w:r>
        <w:rPr>
          <w:color w:val="231F20"/>
          <w:spacing w:val="-9"/>
        </w:rPr>
        <w:t xml:space="preserve"> </w:t>
      </w:r>
      <w:r>
        <w:rPr>
          <w:color w:val="231F20"/>
        </w:rPr>
        <w:t>poskytnout</w:t>
      </w:r>
      <w:r>
        <w:rPr>
          <w:color w:val="231F20"/>
          <w:spacing w:val="-9"/>
        </w:rPr>
        <w:t xml:space="preserve"> </w:t>
      </w:r>
      <w:r>
        <w:rPr>
          <w:color w:val="231F20"/>
        </w:rPr>
        <w:t>pojistné plnění.</w:t>
      </w:r>
    </w:p>
    <w:p w14:paraId="73983008" w14:textId="77777777" w:rsidR="00F65BCA" w:rsidRDefault="00F65BCA">
      <w:pPr>
        <w:pStyle w:val="Zkladntext"/>
        <w:spacing w:before="9"/>
        <w:rPr>
          <w:sz w:val="20"/>
        </w:rPr>
      </w:pPr>
    </w:p>
    <w:p w14:paraId="30778F54" w14:textId="77777777" w:rsidR="00F65BCA" w:rsidRDefault="00216117">
      <w:pPr>
        <w:ind w:left="183"/>
        <w:rPr>
          <w:sz w:val="15"/>
        </w:rPr>
      </w:pPr>
      <w:r>
        <w:rPr>
          <w:color w:val="FFFFFF"/>
          <w:position w:val="3"/>
          <w:sz w:val="16"/>
          <w:shd w:val="clear" w:color="auto" w:fill="808285"/>
        </w:rPr>
        <w:t xml:space="preserve">  Článek 27</w:t>
      </w:r>
      <w:r>
        <w:rPr>
          <w:color w:val="FFFFFF"/>
          <w:position w:val="3"/>
          <w:sz w:val="16"/>
        </w:rPr>
        <w:t xml:space="preserve"> </w:t>
      </w:r>
      <w:r>
        <w:rPr>
          <w:color w:val="231F20"/>
          <w:sz w:val="15"/>
        </w:rPr>
        <w:t>Pojistné plnění</w:t>
      </w:r>
    </w:p>
    <w:p w14:paraId="75C25D0F" w14:textId="77777777" w:rsidR="00F65BCA" w:rsidRDefault="00216117">
      <w:pPr>
        <w:pStyle w:val="Zkladntext"/>
        <w:spacing w:before="147" w:line="278" w:lineRule="auto"/>
        <w:ind w:left="466"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position w:val="1"/>
          <w:sz w:val="14"/>
        </w:rPr>
        <w:t xml:space="preserve"> </w:t>
      </w:r>
      <w:r>
        <w:rPr>
          <w:color w:val="231F20"/>
        </w:rPr>
        <w:t xml:space="preserve">Pokud nastane pojistná událost, vzniká oprávněné osobě, kterou je vlastník vozidla nebo vlastník dopravovaných věcí, nárok na pojistné plnění, a to za podmínek stanovených v tomto oddíle </w:t>
      </w:r>
      <w:r>
        <w:rPr>
          <w:color w:val="231F20"/>
          <w:spacing w:val="-6"/>
        </w:rPr>
        <w:t xml:space="preserve">VPP, </w:t>
      </w:r>
      <w:r>
        <w:rPr>
          <w:color w:val="231F20"/>
        </w:rPr>
        <w:t>pojistné smlouvě, seznamu vo- zidel</w:t>
      </w:r>
      <w:r>
        <w:rPr>
          <w:color w:val="231F20"/>
          <w:spacing w:val="-19"/>
        </w:rPr>
        <w:t xml:space="preserve"> </w:t>
      </w:r>
      <w:r>
        <w:rPr>
          <w:color w:val="231F20"/>
        </w:rPr>
        <w:t>a</w:t>
      </w:r>
      <w:r>
        <w:rPr>
          <w:color w:val="231F20"/>
          <w:spacing w:val="-19"/>
        </w:rPr>
        <w:t xml:space="preserve"> </w:t>
      </w:r>
      <w:r>
        <w:rPr>
          <w:color w:val="231F20"/>
        </w:rPr>
        <w:t>případně</w:t>
      </w:r>
      <w:r>
        <w:rPr>
          <w:color w:val="231F20"/>
          <w:spacing w:val="-18"/>
        </w:rPr>
        <w:t xml:space="preserve"> </w:t>
      </w:r>
      <w:r>
        <w:rPr>
          <w:color w:val="231F20"/>
        </w:rPr>
        <w:t>dalších</w:t>
      </w:r>
      <w:r>
        <w:rPr>
          <w:color w:val="231F20"/>
          <w:spacing w:val="-19"/>
        </w:rPr>
        <w:t xml:space="preserve"> </w:t>
      </w:r>
      <w:r>
        <w:rPr>
          <w:color w:val="231F20"/>
        </w:rPr>
        <w:t>ujednáních</w:t>
      </w:r>
      <w:r>
        <w:rPr>
          <w:color w:val="231F20"/>
          <w:spacing w:val="-18"/>
        </w:rPr>
        <w:t xml:space="preserve"> </w:t>
      </w:r>
      <w:r>
        <w:rPr>
          <w:color w:val="231F20"/>
        </w:rPr>
        <w:t>mezi</w:t>
      </w:r>
      <w:r>
        <w:rPr>
          <w:color w:val="231F20"/>
          <w:spacing w:val="-19"/>
        </w:rPr>
        <w:t xml:space="preserve"> </w:t>
      </w:r>
      <w:r>
        <w:rPr>
          <w:color w:val="231F20"/>
        </w:rPr>
        <w:t>Pojišťovnou</w:t>
      </w:r>
      <w:r>
        <w:rPr>
          <w:color w:val="231F20"/>
          <w:spacing w:val="-18"/>
        </w:rPr>
        <w:t xml:space="preserve"> </w:t>
      </w:r>
      <w:r>
        <w:rPr>
          <w:color w:val="231F20"/>
        </w:rPr>
        <w:t>a</w:t>
      </w:r>
      <w:r>
        <w:rPr>
          <w:color w:val="231F20"/>
          <w:spacing w:val="-19"/>
        </w:rPr>
        <w:t xml:space="preserve"> </w:t>
      </w:r>
      <w:r>
        <w:rPr>
          <w:color w:val="231F20"/>
        </w:rPr>
        <w:t>pojistníkem,</w:t>
      </w:r>
      <w:r>
        <w:rPr>
          <w:color w:val="231F20"/>
          <w:spacing w:val="-18"/>
        </w:rPr>
        <w:t xml:space="preserve"> </w:t>
      </w:r>
      <w:r>
        <w:rPr>
          <w:color w:val="231F20"/>
        </w:rPr>
        <w:t>případně jinou oprávněnou</w:t>
      </w:r>
      <w:r>
        <w:rPr>
          <w:color w:val="231F20"/>
          <w:spacing w:val="-2"/>
        </w:rPr>
        <w:t xml:space="preserve"> </w:t>
      </w:r>
      <w:r>
        <w:rPr>
          <w:color w:val="231F20"/>
        </w:rPr>
        <w:t>osobou.</w:t>
      </w:r>
    </w:p>
    <w:p w14:paraId="3C78F698" w14:textId="77777777" w:rsidR="00F65BCA" w:rsidRDefault="00216117">
      <w:pPr>
        <w:pStyle w:val="Zkladntext"/>
        <w:spacing w:line="278" w:lineRule="auto"/>
        <w:ind w:left="466"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1"/>
          <w:position w:val="1"/>
          <w:sz w:val="14"/>
        </w:rPr>
        <w:t xml:space="preserve"> </w:t>
      </w:r>
      <w:r>
        <w:rPr>
          <w:color w:val="231F20"/>
        </w:rPr>
        <w:t xml:space="preserve">Nastane-li událost, se kterou ten, kdo se pokládá za oprávněnou osobu, </w:t>
      </w:r>
      <w:r>
        <w:rPr>
          <w:color w:val="231F20"/>
          <w:spacing w:val="-4"/>
        </w:rPr>
        <w:t xml:space="preserve">spo- </w:t>
      </w:r>
      <w:r>
        <w:rPr>
          <w:color w:val="231F20"/>
        </w:rPr>
        <w:t>juje</w:t>
      </w:r>
      <w:r>
        <w:rPr>
          <w:color w:val="231F20"/>
          <w:spacing w:val="-6"/>
        </w:rPr>
        <w:t xml:space="preserve"> </w:t>
      </w:r>
      <w:r>
        <w:rPr>
          <w:color w:val="231F20"/>
        </w:rPr>
        <w:t>požadavek</w:t>
      </w:r>
      <w:r>
        <w:rPr>
          <w:color w:val="231F20"/>
          <w:spacing w:val="-6"/>
        </w:rPr>
        <w:t xml:space="preserve"> </w:t>
      </w:r>
      <w:r>
        <w:rPr>
          <w:color w:val="231F20"/>
        </w:rPr>
        <w:t>na</w:t>
      </w:r>
      <w:r>
        <w:rPr>
          <w:color w:val="231F20"/>
          <w:spacing w:val="-6"/>
        </w:rPr>
        <w:t xml:space="preserve"> </w:t>
      </w:r>
      <w:r>
        <w:rPr>
          <w:color w:val="231F20"/>
        </w:rPr>
        <w:t>pojistné</w:t>
      </w:r>
      <w:r>
        <w:rPr>
          <w:color w:val="231F20"/>
          <w:spacing w:val="-6"/>
        </w:rPr>
        <w:t xml:space="preserve"> </w:t>
      </w:r>
      <w:r>
        <w:rPr>
          <w:color w:val="231F20"/>
        </w:rPr>
        <w:t>plnění,</w:t>
      </w:r>
      <w:r>
        <w:rPr>
          <w:color w:val="231F20"/>
          <w:spacing w:val="-6"/>
        </w:rPr>
        <w:t xml:space="preserve"> </w:t>
      </w:r>
      <w:r>
        <w:rPr>
          <w:color w:val="231F20"/>
        </w:rPr>
        <w:t>oznámí</w:t>
      </w:r>
      <w:r>
        <w:rPr>
          <w:color w:val="231F20"/>
          <w:spacing w:val="-6"/>
        </w:rPr>
        <w:t xml:space="preserve"> </w:t>
      </w:r>
      <w:r>
        <w:rPr>
          <w:color w:val="231F20"/>
        </w:rPr>
        <w:t>to</w:t>
      </w:r>
      <w:r>
        <w:rPr>
          <w:color w:val="231F20"/>
          <w:spacing w:val="-6"/>
        </w:rPr>
        <w:t xml:space="preserve"> </w:t>
      </w:r>
      <w:r>
        <w:rPr>
          <w:color w:val="231F20"/>
        </w:rPr>
        <w:t>Pojišťovně</w:t>
      </w:r>
      <w:r>
        <w:rPr>
          <w:color w:val="231F20"/>
          <w:spacing w:val="-6"/>
        </w:rPr>
        <w:t xml:space="preserve"> </w:t>
      </w:r>
      <w:r>
        <w:rPr>
          <w:color w:val="231F20"/>
        </w:rPr>
        <w:t>bez</w:t>
      </w:r>
      <w:r>
        <w:rPr>
          <w:color w:val="231F20"/>
          <w:spacing w:val="-5"/>
        </w:rPr>
        <w:t xml:space="preserve"> </w:t>
      </w:r>
      <w:r>
        <w:rPr>
          <w:color w:val="231F20"/>
        </w:rPr>
        <w:t>zbytečného</w:t>
      </w:r>
      <w:r>
        <w:rPr>
          <w:color w:val="231F20"/>
          <w:spacing w:val="-6"/>
        </w:rPr>
        <w:t xml:space="preserve"> </w:t>
      </w:r>
      <w:r>
        <w:rPr>
          <w:color w:val="231F20"/>
          <w:spacing w:val="-7"/>
        </w:rPr>
        <w:t xml:space="preserve">od- </w:t>
      </w:r>
      <w:r>
        <w:rPr>
          <w:color w:val="231F20"/>
        </w:rPr>
        <w:t>kladu,</w:t>
      </w:r>
      <w:r>
        <w:rPr>
          <w:color w:val="231F20"/>
          <w:spacing w:val="-22"/>
        </w:rPr>
        <w:t xml:space="preserve"> </w:t>
      </w:r>
      <w:r>
        <w:rPr>
          <w:color w:val="231F20"/>
        </w:rPr>
        <w:t>podá</w:t>
      </w:r>
      <w:r>
        <w:rPr>
          <w:color w:val="231F20"/>
          <w:spacing w:val="-22"/>
        </w:rPr>
        <w:t xml:space="preserve"> </w:t>
      </w:r>
      <w:r>
        <w:rPr>
          <w:color w:val="231F20"/>
        </w:rPr>
        <w:t>jí</w:t>
      </w:r>
      <w:r>
        <w:rPr>
          <w:color w:val="231F20"/>
          <w:spacing w:val="-22"/>
        </w:rPr>
        <w:t xml:space="preserve"> </w:t>
      </w:r>
      <w:r>
        <w:rPr>
          <w:color w:val="231F20"/>
        </w:rPr>
        <w:t>pravdivé</w:t>
      </w:r>
      <w:r>
        <w:rPr>
          <w:color w:val="231F20"/>
          <w:spacing w:val="-22"/>
        </w:rPr>
        <w:t xml:space="preserve"> </w:t>
      </w:r>
      <w:r>
        <w:rPr>
          <w:color w:val="231F20"/>
        </w:rPr>
        <w:t>vysvětlení</w:t>
      </w:r>
      <w:r>
        <w:rPr>
          <w:color w:val="231F20"/>
          <w:spacing w:val="-21"/>
        </w:rPr>
        <w:t xml:space="preserve"> </w:t>
      </w:r>
      <w:r>
        <w:rPr>
          <w:color w:val="231F20"/>
        </w:rPr>
        <w:t>o</w:t>
      </w:r>
      <w:r>
        <w:rPr>
          <w:color w:val="231F20"/>
          <w:spacing w:val="-22"/>
        </w:rPr>
        <w:t xml:space="preserve"> </w:t>
      </w:r>
      <w:r>
        <w:rPr>
          <w:color w:val="231F20"/>
        </w:rPr>
        <w:t>vzniku</w:t>
      </w:r>
      <w:r>
        <w:rPr>
          <w:color w:val="231F20"/>
          <w:spacing w:val="-22"/>
        </w:rPr>
        <w:t xml:space="preserve"> </w:t>
      </w:r>
      <w:r>
        <w:rPr>
          <w:color w:val="231F20"/>
        </w:rPr>
        <w:t>a</w:t>
      </w:r>
      <w:r>
        <w:rPr>
          <w:color w:val="231F20"/>
          <w:spacing w:val="-22"/>
        </w:rPr>
        <w:t xml:space="preserve"> </w:t>
      </w:r>
      <w:r>
        <w:rPr>
          <w:color w:val="231F20"/>
        </w:rPr>
        <w:t>rozsahu</w:t>
      </w:r>
      <w:r>
        <w:rPr>
          <w:color w:val="231F20"/>
          <w:spacing w:val="-21"/>
        </w:rPr>
        <w:t xml:space="preserve"> </w:t>
      </w:r>
      <w:r>
        <w:rPr>
          <w:color w:val="231F20"/>
        </w:rPr>
        <w:t>následků</w:t>
      </w:r>
      <w:r>
        <w:rPr>
          <w:color w:val="231F20"/>
          <w:spacing w:val="-22"/>
        </w:rPr>
        <w:t xml:space="preserve"> </w:t>
      </w:r>
      <w:r>
        <w:rPr>
          <w:color w:val="231F20"/>
        </w:rPr>
        <w:t>takové</w:t>
      </w:r>
      <w:r>
        <w:rPr>
          <w:color w:val="231F20"/>
          <w:spacing w:val="-22"/>
        </w:rPr>
        <w:t xml:space="preserve"> </w:t>
      </w:r>
      <w:r>
        <w:rPr>
          <w:color w:val="231F20"/>
        </w:rPr>
        <w:t>události, o</w:t>
      </w:r>
      <w:r>
        <w:rPr>
          <w:color w:val="231F20"/>
          <w:spacing w:val="-21"/>
        </w:rPr>
        <w:t xml:space="preserve"> </w:t>
      </w:r>
      <w:r>
        <w:rPr>
          <w:color w:val="231F20"/>
        </w:rPr>
        <w:t>právech</w:t>
      </w:r>
      <w:r>
        <w:rPr>
          <w:color w:val="231F20"/>
          <w:spacing w:val="-21"/>
        </w:rPr>
        <w:t xml:space="preserve"> </w:t>
      </w:r>
      <w:r>
        <w:rPr>
          <w:color w:val="231F20"/>
        </w:rPr>
        <w:t>třetích</w:t>
      </w:r>
      <w:r>
        <w:rPr>
          <w:color w:val="231F20"/>
          <w:spacing w:val="-21"/>
        </w:rPr>
        <w:t xml:space="preserve"> </w:t>
      </w:r>
      <w:r>
        <w:rPr>
          <w:color w:val="231F20"/>
        </w:rPr>
        <w:t>osob</w:t>
      </w:r>
      <w:r>
        <w:rPr>
          <w:color w:val="231F20"/>
          <w:spacing w:val="-21"/>
        </w:rPr>
        <w:t xml:space="preserve"> </w:t>
      </w:r>
      <w:r>
        <w:rPr>
          <w:color w:val="231F20"/>
        </w:rPr>
        <w:t>a</w:t>
      </w:r>
      <w:r>
        <w:rPr>
          <w:color w:val="231F20"/>
          <w:spacing w:val="-21"/>
        </w:rPr>
        <w:t xml:space="preserve"> </w:t>
      </w:r>
      <w:r>
        <w:rPr>
          <w:color w:val="231F20"/>
        </w:rPr>
        <w:t>o</w:t>
      </w:r>
      <w:r>
        <w:rPr>
          <w:color w:val="231F20"/>
          <w:spacing w:val="-21"/>
        </w:rPr>
        <w:t xml:space="preserve"> </w:t>
      </w:r>
      <w:r>
        <w:rPr>
          <w:color w:val="231F20"/>
        </w:rPr>
        <w:t>jakémkoliv</w:t>
      </w:r>
      <w:r>
        <w:rPr>
          <w:color w:val="231F20"/>
          <w:spacing w:val="-21"/>
        </w:rPr>
        <w:t xml:space="preserve"> </w:t>
      </w:r>
      <w:r>
        <w:rPr>
          <w:color w:val="231F20"/>
        </w:rPr>
        <w:t>vícenásobném</w:t>
      </w:r>
      <w:r>
        <w:rPr>
          <w:color w:val="231F20"/>
          <w:spacing w:val="-21"/>
        </w:rPr>
        <w:t xml:space="preserve"> </w:t>
      </w:r>
      <w:r>
        <w:rPr>
          <w:color w:val="231F20"/>
        </w:rPr>
        <w:t>pojištění;</w:t>
      </w:r>
      <w:r>
        <w:rPr>
          <w:color w:val="231F20"/>
          <w:spacing w:val="-21"/>
        </w:rPr>
        <w:t xml:space="preserve"> </w:t>
      </w:r>
      <w:r>
        <w:rPr>
          <w:color w:val="231F20"/>
        </w:rPr>
        <w:t>současně</w:t>
      </w:r>
      <w:r>
        <w:rPr>
          <w:color w:val="231F20"/>
          <w:spacing w:val="-21"/>
        </w:rPr>
        <w:t xml:space="preserve"> </w:t>
      </w:r>
      <w:r>
        <w:rPr>
          <w:color w:val="231F20"/>
          <w:spacing w:val="-4"/>
        </w:rPr>
        <w:t xml:space="preserve">před- </w:t>
      </w:r>
      <w:r>
        <w:rPr>
          <w:color w:val="231F20"/>
        </w:rPr>
        <w:t>loží</w:t>
      </w:r>
      <w:r>
        <w:rPr>
          <w:color w:val="231F20"/>
          <w:spacing w:val="-10"/>
        </w:rPr>
        <w:t xml:space="preserve"> </w:t>
      </w:r>
      <w:r>
        <w:rPr>
          <w:color w:val="231F20"/>
        </w:rPr>
        <w:t>Pojišťovně</w:t>
      </w:r>
      <w:r>
        <w:rPr>
          <w:color w:val="231F20"/>
          <w:spacing w:val="-9"/>
        </w:rPr>
        <w:t xml:space="preserve"> </w:t>
      </w:r>
      <w:r>
        <w:rPr>
          <w:color w:val="231F20"/>
        </w:rPr>
        <w:t>potřebné</w:t>
      </w:r>
      <w:r>
        <w:rPr>
          <w:color w:val="231F20"/>
          <w:spacing w:val="-9"/>
        </w:rPr>
        <w:t xml:space="preserve"> </w:t>
      </w:r>
      <w:r>
        <w:rPr>
          <w:color w:val="231F20"/>
        </w:rPr>
        <w:t>doklady</w:t>
      </w:r>
      <w:r>
        <w:rPr>
          <w:color w:val="231F20"/>
          <w:spacing w:val="-9"/>
        </w:rPr>
        <w:t xml:space="preserve"> </w:t>
      </w:r>
      <w:r>
        <w:rPr>
          <w:color w:val="231F20"/>
        </w:rPr>
        <w:t>a</w:t>
      </w:r>
      <w:r>
        <w:rPr>
          <w:color w:val="231F20"/>
          <w:spacing w:val="-9"/>
        </w:rPr>
        <w:t xml:space="preserve"> </w:t>
      </w:r>
      <w:r>
        <w:rPr>
          <w:color w:val="231F20"/>
        </w:rPr>
        <w:t>postupuje</w:t>
      </w:r>
      <w:r>
        <w:rPr>
          <w:color w:val="231F20"/>
          <w:spacing w:val="-9"/>
        </w:rPr>
        <w:t xml:space="preserve"> </w:t>
      </w:r>
      <w:r>
        <w:rPr>
          <w:color w:val="231F20"/>
        </w:rPr>
        <w:t>způsobem</w:t>
      </w:r>
      <w:r>
        <w:rPr>
          <w:color w:val="231F20"/>
          <w:spacing w:val="-10"/>
        </w:rPr>
        <w:t xml:space="preserve"> </w:t>
      </w:r>
      <w:r>
        <w:rPr>
          <w:color w:val="231F20"/>
        </w:rPr>
        <w:t>ujednaným</w:t>
      </w:r>
      <w:r>
        <w:rPr>
          <w:color w:val="231F20"/>
          <w:spacing w:val="-9"/>
        </w:rPr>
        <w:t xml:space="preserve"> </w:t>
      </w:r>
      <w:r>
        <w:rPr>
          <w:color w:val="231F20"/>
        </w:rPr>
        <w:t>v</w:t>
      </w:r>
      <w:r>
        <w:rPr>
          <w:color w:val="231F20"/>
          <w:spacing w:val="-9"/>
        </w:rPr>
        <w:t xml:space="preserve"> </w:t>
      </w:r>
      <w:r>
        <w:rPr>
          <w:color w:val="231F20"/>
        </w:rPr>
        <w:t xml:space="preserve">těchto </w:t>
      </w:r>
      <w:r>
        <w:rPr>
          <w:color w:val="231F20"/>
          <w:spacing w:val="-6"/>
        </w:rPr>
        <w:t>VPP,</w:t>
      </w:r>
      <w:r>
        <w:rPr>
          <w:color w:val="231F20"/>
          <w:spacing w:val="-7"/>
        </w:rPr>
        <w:t xml:space="preserve"> </w:t>
      </w:r>
      <w:r>
        <w:rPr>
          <w:color w:val="231F20"/>
        </w:rPr>
        <w:t>pojistné</w:t>
      </w:r>
      <w:r>
        <w:rPr>
          <w:color w:val="231F20"/>
          <w:spacing w:val="-7"/>
        </w:rPr>
        <w:t xml:space="preserve"> </w:t>
      </w:r>
      <w:r>
        <w:rPr>
          <w:color w:val="231F20"/>
        </w:rPr>
        <w:t>smlouvě</w:t>
      </w:r>
      <w:r>
        <w:rPr>
          <w:color w:val="231F20"/>
          <w:spacing w:val="-7"/>
        </w:rPr>
        <w:t xml:space="preserve"> </w:t>
      </w:r>
      <w:r>
        <w:rPr>
          <w:color w:val="231F20"/>
        </w:rPr>
        <w:t>nebo</w:t>
      </w:r>
      <w:r>
        <w:rPr>
          <w:color w:val="231F20"/>
          <w:spacing w:val="-7"/>
        </w:rPr>
        <w:t xml:space="preserve"> </w:t>
      </w:r>
      <w:r>
        <w:rPr>
          <w:color w:val="231F20"/>
        </w:rPr>
        <w:t>seznamu</w:t>
      </w:r>
      <w:r>
        <w:rPr>
          <w:color w:val="231F20"/>
          <w:spacing w:val="-7"/>
        </w:rPr>
        <w:t xml:space="preserve"> </w:t>
      </w:r>
      <w:r>
        <w:rPr>
          <w:color w:val="231F20"/>
        </w:rPr>
        <w:t>vozidel.</w:t>
      </w:r>
      <w:r>
        <w:rPr>
          <w:color w:val="231F20"/>
          <w:spacing w:val="-7"/>
        </w:rPr>
        <w:t xml:space="preserve"> </w:t>
      </w:r>
      <w:r>
        <w:rPr>
          <w:color w:val="231F20"/>
        </w:rPr>
        <w:t>Není-li</w:t>
      </w:r>
      <w:r>
        <w:rPr>
          <w:color w:val="231F20"/>
          <w:spacing w:val="-7"/>
        </w:rPr>
        <w:t xml:space="preserve"> </w:t>
      </w:r>
      <w:r>
        <w:rPr>
          <w:color w:val="231F20"/>
        </w:rPr>
        <w:t>oprávněná</w:t>
      </w:r>
      <w:r>
        <w:rPr>
          <w:color w:val="231F20"/>
          <w:spacing w:val="-6"/>
        </w:rPr>
        <w:t xml:space="preserve"> </w:t>
      </w:r>
      <w:r>
        <w:rPr>
          <w:color w:val="231F20"/>
        </w:rPr>
        <w:t>osoba</w:t>
      </w:r>
      <w:r>
        <w:rPr>
          <w:color w:val="231F20"/>
          <w:spacing w:val="-7"/>
        </w:rPr>
        <w:t xml:space="preserve"> </w:t>
      </w:r>
      <w:r>
        <w:rPr>
          <w:color w:val="231F20"/>
          <w:spacing w:val="-5"/>
        </w:rPr>
        <w:t xml:space="preserve">sou- </w:t>
      </w:r>
      <w:r>
        <w:rPr>
          <w:color w:val="231F20"/>
        </w:rPr>
        <w:t>časně</w:t>
      </w:r>
      <w:r>
        <w:rPr>
          <w:color w:val="231F20"/>
          <w:spacing w:val="-19"/>
        </w:rPr>
        <w:t xml:space="preserve"> </w:t>
      </w:r>
      <w:r>
        <w:rPr>
          <w:color w:val="231F20"/>
        </w:rPr>
        <w:t>pojistníkem</w:t>
      </w:r>
      <w:r>
        <w:rPr>
          <w:color w:val="231F20"/>
          <w:spacing w:val="-18"/>
        </w:rPr>
        <w:t xml:space="preserve"> </w:t>
      </w:r>
      <w:r>
        <w:rPr>
          <w:color w:val="231F20"/>
        </w:rPr>
        <w:t>nebo</w:t>
      </w:r>
      <w:r>
        <w:rPr>
          <w:color w:val="231F20"/>
          <w:spacing w:val="-19"/>
        </w:rPr>
        <w:t xml:space="preserve"> </w:t>
      </w:r>
      <w:r>
        <w:rPr>
          <w:color w:val="231F20"/>
        </w:rPr>
        <w:t>pojištěným,</w:t>
      </w:r>
      <w:r>
        <w:rPr>
          <w:color w:val="231F20"/>
          <w:spacing w:val="-18"/>
        </w:rPr>
        <w:t xml:space="preserve"> </w:t>
      </w:r>
      <w:r>
        <w:rPr>
          <w:color w:val="231F20"/>
        </w:rPr>
        <w:t>mají</w:t>
      </w:r>
      <w:r>
        <w:rPr>
          <w:color w:val="231F20"/>
          <w:spacing w:val="-18"/>
        </w:rPr>
        <w:t xml:space="preserve"> </w:t>
      </w:r>
      <w:r>
        <w:rPr>
          <w:color w:val="231F20"/>
        </w:rPr>
        <w:t>tyto</w:t>
      </w:r>
      <w:r>
        <w:rPr>
          <w:color w:val="231F20"/>
          <w:spacing w:val="-19"/>
        </w:rPr>
        <w:t xml:space="preserve"> </w:t>
      </w:r>
      <w:r>
        <w:rPr>
          <w:color w:val="231F20"/>
        </w:rPr>
        <w:t>povinnosti</w:t>
      </w:r>
      <w:r>
        <w:rPr>
          <w:color w:val="231F20"/>
          <w:spacing w:val="-18"/>
        </w:rPr>
        <w:t xml:space="preserve"> </w:t>
      </w:r>
      <w:r>
        <w:rPr>
          <w:color w:val="231F20"/>
        </w:rPr>
        <w:t>i</w:t>
      </w:r>
      <w:r>
        <w:rPr>
          <w:color w:val="231F20"/>
          <w:spacing w:val="-18"/>
        </w:rPr>
        <w:t xml:space="preserve"> </w:t>
      </w:r>
      <w:r>
        <w:rPr>
          <w:color w:val="231F20"/>
        </w:rPr>
        <w:t>pojistník</w:t>
      </w:r>
      <w:r>
        <w:rPr>
          <w:color w:val="231F20"/>
          <w:spacing w:val="-19"/>
        </w:rPr>
        <w:t xml:space="preserve"> </w:t>
      </w:r>
      <w:r>
        <w:rPr>
          <w:color w:val="231F20"/>
        </w:rPr>
        <w:t>a</w:t>
      </w:r>
      <w:r>
        <w:rPr>
          <w:color w:val="231F20"/>
          <w:spacing w:val="-18"/>
        </w:rPr>
        <w:t xml:space="preserve"> </w:t>
      </w:r>
      <w:r>
        <w:rPr>
          <w:color w:val="231F20"/>
        </w:rPr>
        <w:t>pojištěný.</w:t>
      </w:r>
    </w:p>
    <w:p w14:paraId="0798FFA9" w14:textId="77777777" w:rsidR="00F65BCA" w:rsidRDefault="00216117">
      <w:pPr>
        <w:pStyle w:val="Zkladntext"/>
        <w:spacing w:line="278" w:lineRule="auto"/>
        <w:ind w:left="466"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22"/>
          <w:position w:val="1"/>
          <w:sz w:val="14"/>
        </w:rPr>
        <w:t xml:space="preserve"> </w:t>
      </w:r>
      <w:r>
        <w:rPr>
          <w:color w:val="231F20"/>
        </w:rPr>
        <w:t>Vzniklo-li</w:t>
      </w:r>
      <w:r>
        <w:rPr>
          <w:color w:val="231F20"/>
          <w:spacing w:val="-11"/>
        </w:rPr>
        <w:t xml:space="preserve"> </w:t>
      </w:r>
      <w:r>
        <w:rPr>
          <w:color w:val="231F20"/>
        </w:rPr>
        <w:t>právo</w:t>
      </w:r>
      <w:r>
        <w:rPr>
          <w:color w:val="231F20"/>
          <w:spacing w:val="-11"/>
        </w:rPr>
        <w:t xml:space="preserve"> </w:t>
      </w:r>
      <w:r>
        <w:rPr>
          <w:color w:val="231F20"/>
        </w:rPr>
        <w:t>na</w:t>
      </w:r>
      <w:r>
        <w:rPr>
          <w:color w:val="231F20"/>
          <w:spacing w:val="-11"/>
        </w:rPr>
        <w:t xml:space="preserve"> </w:t>
      </w:r>
      <w:r>
        <w:rPr>
          <w:color w:val="231F20"/>
        </w:rPr>
        <w:t>pojistné</w:t>
      </w:r>
      <w:r>
        <w:rPr>
          <w:color w:val="231F20"/>
          <w:spacing w:val="-10"/>
        </w:rPr>
        <w:t xml:space="preserve"> </w:t>
      </w:r>
      <w:r>
        <w:rPr>
          <w:color w:val="231F20"/>
        </w:rPr>
        <w:t>plnění,</w:t>
      </w:r>
      <w:r>
        <w:rPr>
          <w:color w:val="231F20"/>
          <w:spacing w:val="-11"/>
        </w:rPr>
        <w:t xml:space="preserve"> </w:t>
      </w:r>
      <w:r>
        <w:rPr>
          <w:color w:val="231F20"/>
        </w:rPr>
        <w:t>je</w:t>
      </w:r>
      <w:r>
        <w:rPr>
          <w:color w:val="231F20"/>
          <w:spacing w:val="-11"/>
        </w:rPr>
        <w:t xml:space="preserve"> </w:t>
      </w:r>
      <w:r>
        <w:rPr>
          <w:color w:val="231F20"/>
        </w:rPr>
        <w:t>Pojišťovna</w:t>
      </w:r>
      <w:r>
        <w:rPr>
          <w:color w:val="231F20"/>
          <w:spacing w:val="-11"/>
        </w:rPr>
        <w:t xml:space="preserve"> </w:t>
      </w:r>
      <w:r>
        <w:rPr>
          <w:color w:val="231F20"/>
        </w:rPr>
        <w:t>povinna</w:t>
      </w:r>
      <w:r>
        <w:rPr>
          <w:color w:val="231F20"/>
          <w:spacing w:val="-10"/>
        </w:rPr>
        <w:t xml:space="preserve"> </w:t>
      </w:r>
      <w:r>
        <w:rPr>
          <w:color w:val="231F20"/>
        </w:rPr>
        <w:t>vyplatit</w:t>
      </w:r>
      <w:r>
        <w:rPr>
          <w:color w:val="231F20"/>
          <w:spacing w:val="-11"/>
        </w:rPr>
        <w:t xml:space="preserve"> </w:t>
      </w:r>
      <w:r>
        <w:rPr>
          <w:color w:val="231F20"/>
        </w:rPr>
        <w:t>částku</w:t>
      </w:r>
      <w:r>
        <w:rPr>
          <w:color w:val="231F20"/>
          <w:spacing w:val="-11"/>
        </w:rPr>
        <w:t xml:space="preserve"> </w:t>
      </w:r>
      <w:r>
        <w:rPr>
          <w:color w:val="231F20"/>
        </w:rPr>
        <w:t>vypo- čtenou</w:t>
      </w:r>
      <w:r>
        <w:rPr>
          <w:color w:val="231F20"/>
          <w:spacing w:val="-21"/>
        </w:rPr>
        <w:t xml:space="preserve"> </w:t>
      </w:r>
      <w:r>
        <w:rPr>
          <w:color w:val="231F20"/>
        </w:rPr>
        <w:t>podle</w:t>
      </w:r>
      <w:r>
        <w:rPr>
          <w:color w:val="231F20"/>
          <w:spacing w:val="-21"/>
        </w:rPr>
        <w:t xml:space="preserve"> </w:t>
      </w:r>
      <w:r>
        <w:rPr>
          <w:color w:val="231F20"/>
        </w:rPr>
        <w:t>příslušných</w:t>
      </w:r>
      <w:r>
        <w:rPr>
          <w:color w:val="231F20"/>
          <w:spacing w:val="-21"/>
        </w:rPr>
        <w:t xml:space="preserve"> </w:t>
      </w:r>
      <w:r>
        <w:rPr>
          <w:color w:val="231F20"/>
        </w:rPr>
        <w:t>ustanovení</w:t>
      </w:r>
      <w:r>
        <w:rPr>
          <w:color w:val="231F20"/>
          <w:spacing w:val="-21"/>
        </w:rPr>
        <w:t xml:space="preserve"> </w:t>
      </w:r>
      <w:r>
        <w:rPr>
          <w:color w:val="231F20"/>
        </w:rPr>
        <w:t>těchto</w:t>
      </w:r>
      <w:r>
        <w:rPr>
          <w:color w:val="231F20"/>
          <w:spacing w:val="-20"/>
        </w:rPr>
        <w:t xml:space="preserve"> </w:t>
      </w:r>
      <w:r>
        <w:rPr>
          <w:color w:val="231F20"/>
          <w:spacing w:val="-6"/>
        </w:rPr>
        <w:t>VPP,</w:t>
      </w:r>
      <w:r>
        <w:rPr>
          <w:color w:val="231F20"/>
          <w:spacing w:val="-21"/>
        </w:rPr>
        <w:t xml:space="preserve"> </w:t>
      </w:r>
      <w:r>
        <w:rPr>
          <w:color w:val="231F20"/>
        </w:rPr>
        <w:t>pojistné</w:t>
      </w:r>
      <w:r>
        <w:rPr>
          <w:color w:val="231F20"/>
          <w:spacing w:val="-21"/>
        </w:rPr>
        <w:t xml:space="preserve"> </w:t>
      </w:r>
      <w:r>
        <w:rPr>
          <w:color w:val="231F20"/>
        </w:rPr>
        <w:t>smlouvy</w:t>
      </w:r>
      <w:r>
        <w:rPr>
          <w:color w:val="231F20"/>
          <w:spacing w:val="-21"/>
        </w:rPr>
        <w:t xml:space="preserve"> </w:t>
      </w:r>
      <w:r>
        <w:rPr>
          <w:color w:val="231F20"/>
        </w:rPr>
        <w:t>a</w:t>
      </w:r>
      <w:r>
        <w:rPr>
          <w:color w:val="231F20"/>
          <w:spacing w:val="-20"/>
        </w:rPr>
        <w:t xml:space="preserve"> </w:t>
      </w:r>
      <w:r>
        <w:rPr>
          <w:color w:val="231F20"/>
        </w:rPr>
        <w:t>seznamu vozidel,</w:t>
      </w:r>
      <w:r>
        <w:rPr>
          <w:color w:val="231F20"/>
          <w:spacing w:val="-7"/>
        </w:rPr>
        <w:t xml:space="preserve"> </w:t>
      </w:r>
      <w:r>
        <w:rPr>
          <w:color w:val="231F20"/>
        </w:rPr>
        <w:t>maximálně</w:t>
      </w:r>
      <w:r>
        <w:rPr>
          <w:color w:val="231F20"/>
          <w:spacing w:val="-7"/>
        </w:rPr>
        <w:t xml:space="preserve"> </w:t>
      </w:r>
      <w:r>
        <w:rPr>
          <w:color w:val="231F20"/>
        </w:rPr>
        <w:t>však</w:t>
      </w:r>
      <w:r>
        <w:rPr>
          <w:color w:val="231F20"/>
          <w:spacing w:val="-7"/>
        </w:rPr>
        <w:t xml:space="preserve"> </w:t>
      </w:r>
      <w:r>
        <w:rPr>
          <w:color w:val="231F20"/>
        </w:rPr>
        <w:t>do</w:t>
      </w:r>
      <w:r>
        <w:rPr>
          <w:color w:val="231F20"/>
          <w:spacing w:val="-7"/>
        </w:rPr>
        <w:t xml:space="preserve"> </w:t>
      </w:r>
      <w:r>
        <w:rPr>
          <w:color w:val="231F20"/>
        </w:rPr>
        <w:t>horní</w:t>
      </w:r>
      <w:r>
        <w:rPr>
          <w:color w:val="231F20"/>
          <w:spacing w:val="-7"/>
        </w:rPr>
        <w:t xml:space="preserve"> </w:t>
      </w:r>
      <w:r>
        <w:rPr>
          <w:color w:val="231F20"/>
        </w:rPr>
        <w:t>hranice</w:t>
      </w:r>
      <w:r>
        <w:rPr>
          <w:color w:val="231F20"/>
          <w:spacing w:val="-6"/>
        </w:rPr>
        <w:t xml:space="preserve"> </w:t>
      </w:r>
      <w:r>
        <w:rPr>
          <w:color w:val="231F20"/>
        </w:rPr>
        <w:t>pojistného</w:t>
      </w:r>
      <w:r>
        <w:rPr>
          <w:color w:val="231F20"/>
          <w:spacing w:val="-7"/>
        </w:rPr>
        <w:t xml:space="preserve"> </w:t>
      </w:r>
      <w:r>
        <w:rPr>
          <w:color w:val="231F20"/>
        </w:rPr>
        <w:t>plnění,</w:t>
      </w:r>
      <w:r>
        <w:rPr>
          <w:color w:val="231F20"/>
          <w:spacing w:val="-7"/>
        </w:rPr>
        <w:t xml:space="preserve"> </w:t>
      </w:r>
      <w:r>
        <w:rPr>
          <w:color w:val="231F20"/>
        </w:rPr>
        <w:t>na</w:t>
      </w:r>
      <w:r>
        <w:rPr>
          <w:color w:val="231F20"/>
          <w:spacing w:val="-7"/>
        </w:rPr>
        <w:t xml:space="preserve"> </w:t>
      </w:r>
      <w:r>
        <w:rPr>
          <w:color w:val="231F20"/>
        </w:rPr>
        <w:t>kterou</w:t>
      </w:r>
      <w:r>
        <w:rPr>
          <w:color w:val="231F20"/>
          <w:spacing w:val="-7"/>
        </w:rPr>
        <w:t xml:space="preserve"> </w:t>
      </w:r>
      <w:r>
        <w:rPr>
          <w:color w:val="231F20"/>
        </w:rPr>
        <w:t>je</w:t>
      </w:r>
      <w:r>
        <w:rPr>
          <w:color w:val="231F20"/>
          <w:spacing w:val="-7"/>
        </w:rPr>
        <w:t xml:space="preserve"> </w:t>
      </w:r>
      <w:r>
        <w:rPr>
          <w:color w:val="231F20"/>
        </w:rPr>
        <w:t>pří- slušné pojištění</w:t>
      </w:r>
      <w:r>
        <w:rPr>
          <w:color w:val="231F20"/>
          <w:spacing w:val="-2"/>
        </w:rPr>
        <w:t xml:space="preserve"> </w:t>
      </w:r>
      <w:r>
        <w:rPr>
          <w:color w:val="231F20"/>
        </w:rPr>
        <w:t>sjednáno.</w:t>
      </w:r>
    </w:p>
    <w:p w14:paraId="1394B317" w14:textId="77777777" w:rsidR="00F65BCA" w:rsidRDefault="00216117">
      <w:pPr>
        <w:pStyle w:val="Zkladntext"/>
        <w:spacing w:line="278" w:lineRule="auto"/>
        <w:ind w:left="466" w:right="422"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 xml:space="preserve">4 </w:t>
      </w:r>
      <w:r>
        <w:rPr>
          <w:color w:val="231F20"/>
          <w:position w:val="1"/>
          <w:sz w:val="14"/>
        </w:rPr>
        <w:t xml:space="preserve"> </w:t>
      </w:r>
      <w:r>
        <w:rPr>
          <w:color w:val="231F20"/>
        </w:rPr>
        <w:t xml:space="preserve">Při </w:t>
      </w:r>
      <w:r>
        <w:rPr>
          <w:color w:val="231F20"/>
          <w:spacing w:val="2"/>
        </w:rPr>
        <w:t xml:space="preserve">likvidaci </w:t>
      </w:r>
      <w:r>
        <w:rPr>
          <w:color w:val="231F20"/>
        </w:rPr>
        <w:t xml:space="preserve">pojistné události má Pojišťovna právo </w:t>
      </w:r>
      <w:r>
        <w:rPr>
          <w:color w:val="231F20"/>
          <w:spacing w:val="2"/>
        </w:rPr>
        <w:t xml:space="preserve">vyžadovat </w:t>
      </w:r>
      <w:r>
        <w:rPr>
          <w:color w:val="231F20"/>
        </w:rPr>
        <w:t xml:space="preserve">po pojištěném i doložení dokladů o nákupu jednotlivých náhradních </w:t>
      </w:r>
      <w:r>
        <w:rPr>
          <w:color w:val="231F20"/>
          <w:spacing w:val="2"/>
        </w:rPr>
        <w:t xml:space="preserve">dílů </w:t>
      </w:r>
      <w:r>
        <w:rPr>
          <w:color w:val="231F20"/>
        </w:rPr>
        <w:t>a materiálu (ze- jména</w:t>
      </w:r>
      <w:r>
        <w:rPr>
          <w:color w:val="231F20"/>
          <w:spacing w:val="-9"/>
        </w:rPr>
        <w:t xml:space="preserve"> </w:t>
      </w:r>
      <w:r>
        <w:rPr>
          <w:color w:val="231F20"/>
        </w:rPr>
        <w:t>lakýrnického,</w:t>
      </w:r>
      <w:r>
        <w:rPr>
          <w:color w:val="231F20"/>
          <w:spacing w:val="-9"/>
        </w:rPr>
        <w:t xml:space="preserve"> </w:t>
      </w:r>
      <w:r>
        <w:rPr>
          <w:color w:val="231F20"/>
        </w:rPr>
        <w:t>spojovacího</w:t>
      </w:r>
      <w:r>
        <w:rPr>
          <w:color w:val="231F20"/>
          <w:spacing w:val="-9"/>
        </w:rPr>
        <w:t xml:space="preserve"> </w:t>
      </w:r>
      <w:r>
        <w:rPr>
          <w:color w:val="231F20"/>
        </w:rPr>
        <w:t>apod.)</w:t>
      </w:r>
      <w:r>
        <w:rPr>
          <w:color w:val="231F20"/>
          <w:spacing w:val="-9"/>
        </w:rPr>
        <w:t xml:space="preserve"> </w:t>
      </w:r>
      <w:r>
        <w:rPr>
          <w:color w:val="231F20"/>
        </w:rPr>
        <w:t>použitých</w:t>
      </w:r>
      <w:r>
        <w:rPr>
          <w:color w:val="231F20"/>
          <w:spacing w:val="-9"/>
        </w:rPr>
        <w:t xml:space="preserve"> </w:t>
      </w:r>
      <w:r>
        <w:rPr>
          <w:color w:val="231F20"/>
        </w:rPr>
        <w:t>při</w:t>
      </w:r>
      <w:r>
        <w:rPr>
          <w:color w:val="231F20"/>
          <w:spacing w:val="-8"/>
        </w:rPr>
        <w:t xml:space="preserve"> </w:t>
      </w:r>
      <w:r>
        <w:rPr>
          <w:color w:val="231F20"/>
        </w:rPr>
        <w:t>opravě</w:t>
      </w:r>
      <w:r>
        <w:rPr>
          <w:color w:val="231F20"/>
          <w:spacing w:val="-9"/>
        </w:rPr>
        <w:t xml:space="preserve"> </w:t>
      </w:r>
      <w:r>
        <w:rPr>
          <w:color w:val="231F20"/>
        </w:rPr>
        <w:t>vozidla.</w:t>
      </w:r>
      <w:r>
        <w:rPr>
          <w:color w:val="231F20"/>
          <w:spacing w:val="-9"/>
        </w:rPr>
        <w:t xml:space="preserve"> </w:t>
      </w:r>
      <w:r>
        <w:rPr>
          <w:color w:val="231F20"/>
        </w:rPr>
        <w:t xml:space="preserve">Pokud není takový doklad doložen, použije se pro </w:t>
      </w:r>
      <w:r>
        <w:rPr>
          <w:color w:val="231F20"/>
          <w:spacing w:val="2"/>
        </w:rPr>
        <w:t xml:space="preserve">výpočet </w:t>
      </w:r>
      <w:r>
        <w:rPr>
          <w:color w:val="231F20"/>
        </w:rPr>
        <w:t xml:space="preserve">pojistného plnění </w:t>
      </w:r>
      <w:r>
        <w:rPr>
          <w:color w:val="231F20"/>
          <w:spacing w:val="2"/>
        </w:rPr>
        <w:t xml:space="preserve">cena obvyklá </w:t>
      </w:r>
      <w:r>
        <w:rPr>
          <w:color w:val="231F20"/>
        </w:rPr>
        <w:t>v daném místě a</w:t>
      </w:r>
      <w:r>
        <w:rPr>
          <w:color w:val="231F20"/>
          <w:spacing w:val="-6"/>
        </w:rPr>
        <w:t xml:space="preserve"> </w:t>
      </w:r>
      <w:r>
        <w:rPr>
          <w:color w:val="231F20"/>
        </w:rPr>
        <w:t>čase.</w:t>
      </w:r>
    </w:p>
    <w:p w14:paraId="4AA731C7" w14:textId="77777777" w:rsidR="00F65BCA" w:rsidRDefault="00216117">
      <w:pPr>
        <w:pStyle w:val="Zkladntext"/>
        <w:spacing w:line="278" w:lineRule="auto"/>
        <w:ind w:left="466"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position w:val="1"/>
          <w:sz w:val="14"/>
        </w:rPr>
        <w:t xml:space="preserve"> </w:t>
      </w:r>
      <w:r>
        <w:rPr>
          <w:color w:val="231F20"/>
        </w:rPr>
        <w:t>Přiměřeným nákladem na opravu je náklad na uvedení poškození vozidla souvisejících</w:t>
      </w:r>
      <w:r>
        <w:rPr>
          <w:color w:val="231F20"/>
          <w:spacing w:val="-8"/>
        </w:rPr>
        <w:t xml:space="preserve"> </w:t>
      </w:r>
      <w:r>
        <w:rPr>
          <w:color w:val="231F20"/>
        </w:rPr>
        <w:t>s</w:t>
      </w:r>
      <w:r>
        <w:rPr>
          <w:color w:val="231F20"/>
          <w:spacing w:val="-8"/>
        </w:rPr>
        <w:t xml:space="preserve"> </w:t>
      </w:r>
      <w:r>
        <w:rPr>
          <w:color w:val="231F20"/>
        </w:rPr>
        <w:t>pojistnou</w:t>
      </w:r>
      <w:r>
        <w:rPr>
          <w:color w:val="231F20"/>
          <w:spacing w:val="-8"/>
        </w:rPr>
        <w:t xml:space="preserve"> </w:t>
      </w:r>
      <w:r>
        <w:rPr>
          <w:color w:val="231F20"/>
        </w:rPr>
        <w:t>událostí</w:t>
      </w:r>
      <w:r>
        <w:rPr>
          <w:color w:val="231F20"/>
          <w:spacing w:val="-8"/>
        </w:rPr>
        <w:t xml:space="preserve"> </w:t>
      </w:r>
      <w:r>
        <w:rPr>
          <w:color w:val="231F20"/>
        </w:rPr>
        <w:t>do</w:t>
      </w:r>
      <w:r>
        <w:rPr>
          <w:color w:val="231F20"/>
          <w:spacing w:val="-8"/>
        </w:rPr>
        <w:t xml:space="preserve"> </w:t>
      </w:r>
      <w:r>
        <w:rPr>
          <w:color w:val="231F20"/>
        </w:rPr>
        <w:t>stavu,</w:t>
      </w:r>
      <w:r>
        <w:rPr>
          <w:color w:val="231F20"/>
          <w:spacing w:val="-8"/>
        </w:rPr>
        <w:t xml:space="preserve"> </w:t>
      </w:r>
      <w:r>
        <w:rPr>
          <w:color w:val="231F20"/>
        </w:rPr>
        <w:t>v</w:t>
      </w:r>
      <w:r>
        <w:rPr>
          <w:color w:val="231F20"/>
          <w:spacing w:val="-8"/>
        </w:rPr>
        <w:t xml:space="preserve"> </w:t>
      </w:r>
      <w:r>
        <w:rPr>
          <w:color w:val="231F20"/>
        </w:rPr>
        <w:t>jakém</w:t>
      </w:r>
      <w:r>
        <w:rPr>
          <w:color w:val="231F20"/>
          <w:spacing w:val="-8"/>
        </w:rPr>
        <w:t xml:space="preserve"> </w:t>
      </w:r>
      <w:r>
        <w:rPr>
          <w:color w:val="231F20"/>
        </w:rPr>
        <w:t>bylo</w:t>
      </w:r>
      <w:r>
        <w:rPr>
          <w:color w:val="231F20"/>
          <w:spacing w:val="-7"/>
        </w:rPr>
        <w:t xml:space="preserve"> </w:t>
      </w:r>
      <w:r>
        <w:rPr>
          <w:color w:val="231F20"/>
        </w:rPr>
        <w:t>bezprostředně</w:t>
      </w:r>
      <w:r>
        <w:rPr>
          <w:color w:val="231F20"/>
          <w:spacing w:val="-8"/>
        </w:rPr>
        <w:t xml:space="preserve"> </w:t>
      </w:r>
      <w:r>
        <w:rPr>
          <w:color w:val="231F20"/>
        </w:rPr>
        <w:t>před pojistnou</w:t>
      </w:r>
      <w:r>
        <w:rPr>
          <w:color w:val="231F20"/>
          <w:spacing w:val="-18"/>
        </w:rPr>
        <w:t xml:space="preserve"> </w:t>
      </w:r>
      <w:r>
        <w:rPr>
          <w:color w:val="231F20"/>
        </w:rPr>
        <w:t>událostí</w:t>
      </w:r>
      <w:r>
        <w:rPr>
          <w:color w:val="231F20"/>
          <w:spacing w:val="-18"/>
        </w:rPr>
        <w:t xml:space="preserve"> </w:t>
      </w:r>
      <w:r>
        <w:rPr>
          <w:color w:val="231F20"/>
        </w:rPr>
        <w:t>při</w:t>
      </w:r>
      <w:r>
        <w:rPr>
          <w:color w:val="231F20"/>
          <w:spacing w:val="-18"/>
        </w:rPr>
        <w:t xml:space="preserve"> </w:t>
      </w:r>
      <w:r>
        <w:rPr>
          <w:color w:val="231F20"/>
          <w:spacing w:val="2"/>
        </w:rPr>
        <w:t>využití</w:t>
      </w:r>
      <w:r>
        <w:rPr>
          <w:color w:val="231F20"/>
          <w:spacing w:val="-18"/>
        </w:rPr>
        <w:t xml:space="preserve"> </w:t>
      </w:r>
      <w:r>
        <w:rPr>
          <w:color w:val="231F20"/>
        </w:rPr>
        <w:t>technologie</w:t>
      </w:r>
      <w:r>
        <w:rPr>
          <w:color w:val="231F20"/>
          <w:spacing w:val="-18"/>
        </w:rPr>
        <w:t xml:space="preserve"> </w:t>
      </w:r>
      <w:r>
        <w:rPr>
          <w:color w:val="231F20"/>
        </w:rPr>
        <w:t>opravy</w:t>
      </w:r>
      <w:r>
        <w:rPr>
          <w:color w:val="231F20"/>
          <w:spacing w:val="-17"/>
        </w:rPr>
        <w:t xml:space="preserve"> </w:t>
      </w:r>
      <w:r>
        <w:rPr>
          <w:color w:val="231F20"/>
        </w:rPr>
        <w:t>a</w:t>
      </w:r>
      <w:r>
        <w:rPr>
          <w:color w:val="231F20"/>
          <w:spacing w:val="-18"/>
        </w:rPr>
        <w:t xml:space="preserve"> </w:t>
      </w:r>
      <w:r>
        <w:rPr>
          <w:color w:val="231F20"/>
        </w:rPr>
        <w:t>časových</w:t>
      </w:r>
      <w:r>
        <w:rPr>
          <w:color w:val="231F20"/>
          <w:spacing w:val="-18"/>
        </w:rPr>
        <w:t xml:space="preserve"> </w:t>
      </w:r>
      <w:r>
        <w:rPr>
          <w:color w:val="231F20"/>
        </w:rPr>
        <w:t>norem</w:t>
      </w:r>
      <w:r>
        <w:rPr>
          <w:color w:val="231F20"/>
          <w:spacing w:val="-18"/>
        </w:rPr>
        <w:t xml:space="preserve"> </w:t>
      </w:r>
      <w:r>
        <w:rPr>
          <w:color w:val="231F20"/>
        </w:rPr>
        <w:t>předepsa- ných</w:t>
      </w:r>
      <w:r>
        <w:rPr>
          <w:color w:val="231F20"/>
          <w:spacing w:val="-14"/>
        </w:rPr>
        <w:t xml:space="preserve"> </w:t>
      </w:r>
      <w:r>
        <w:rPr>
          <w:color w:val="231F20"/>
          <w:spacing w:val="2"/>
        </w:rPr>
        <w:t>výrobcem</w:t>
      </w:r>
      <w:r>
        <w:rPr>
          <w:color w:val="231F20"/>
          <w:spacing w:val="-13"/>
        </w:rPr>
        <w:t xml:space="preserve"> </w:t>
      </w:r>
      <w:r>
        <w:rPr>
          <w:color w:val="231F20"/>
        </w:rPr>
        <w:t>vozidla,</w:t>
      </w:r>
      <w:r>
        <w:rPr>
          <w:color w:val="231F20"/>
          <w:spacing w:val="-13"/>
        </w:rPr>
        <w:t xml:space="preserve"> </w:t>
      </w:r>
      <w:r>
        <w:rPr>
          <w:color w:val="231F20"/>
          <w:spacing w:val="2"/>
        </w:rPr>
        <w:t>sazeb</w:t>
      </w:r>
      <w:r>
        <w:rPr>
          <w:color w:val="231F20"/>
          <w:spacing w:val="-14"/>
        </w:rPr>
        <w:t xml:space="preserve"> </w:t>
      </w:r>
      <w:r>
        <w:rPr>
          <w:color w:val="231F20"/>
        </w:rPr>
        <w:t>normohodin</w:t>
      </w:r>
      <w:r>
        <w:rPr>
          <w:color w:val="231F20"/>
          <w:spacing w:val="-13"/>
        </w:rPr>
        <w:t xml:space="preserve"> </w:t>
      </w:r>
      <w:r>
        <w:rPr>
          <w:color w:val="231F20"/>
        </w:rPr>
        <w:t>za</w:t>
      </w:r>
      <w:r>
        <w:rPr>
          <w:color w:val="231F20"/>
          <w:spacing w:val="-13"/>
        </w:rPr>
        <w:t xml:space="preserve"> </w:t>
      </w:r>
      <w:r>
        <w:rPr>
          <w:color w:val="231F20"/>
        </w:rPr>
        <w:t>položky</w:t>
      </w:r>
      <w:r>
        <w:rPr>
          <w:color w:val="231F20"/>
          <w:spacing w:val="-14"/>
        </w:rPr>
        <w:t xml:space="preserve"> </w:t>
      </w:r>
      <w:r>
        <w:rPr>
          <w:color w:val="231F20"/>
        </w:rPr>
        <w:t>práce</w:t>
      </w:r>
      <w:r>
        <w:rPr>
          <w:color w:val="231F20"/>
          <w:spacing w:val="-13"/>
        </w:rPr>
        <w:t xml:space="preserve"> </w:t>
      </w:r>
      <w:r>
        <w:rPr>
          <w:color w:val="231F20"/>
        </w:rPr>
        <w:t>odpovídajících</w:t>
      </w:r>
    </w:p>
    <w:p w14:paraId="0B2D7085" w14:textId="77777777" w:rsidR="00F65BCA" w:rsidRDefault="00216117">
      <w:pPr>
        <w:pStyle w:val="Odstavecseseznamem"/>
        <w:numPr>
          <w:ilvl w:val="0"/>
          <w:numId w:val="135"/>
        </w:numPr>
        <w:tabs>
          <w:tab w:val="left" w:pos="637"/>
        </w:tabs>
        <w:spacing w:line="278" w:lineRule="auto"/>
        <w:ind w:left="636" w:right="424"/>
        <w:jc w:val="both"/>
        <w:rPr>
          <w:sz w:val="15"/>
        </w:rPr>
      </w:pPr>
      <w:r>
        <w:rPr>
          <w:color w:val="231F20"/>
          <w:sz w:val="15"/>
        </w:rPr>
        <w:t xml:space="preserve">cenám ve smluvním autorizovaném </w:t>
      </w:r>
      <w:r>
        <w:rPr>
          <w:color w:val="231F20"/>
          <w:spacing w:val="2"/>
          <w:sz w:val="15"/>
        </w:rPr>
        <w:t xml:space="preserve">servisu, </w:t>
      </w:r>
      <w:r>
        <w:rPr>
          <w:color w:val="231F20"/>
          <w:sz w:val="15"/>
        </w:rPr>
        <w:t xml:space="preserve">bylo-li vozidlo opravováno  v autorizovaném </w:t>
      </w:r>
      <w:r>
        <w:rPr>
          <w:color w:val="231F20"/>
          <w:spacing w:val="2"/>
          <w:sz w:val="15"/>
        </w:rPr>
        <w:t>servisu</w:t>
      </w:r>
      <w:r>
        <w:rPr>
          <w:color w:val="231F20"/>
          <w:spacing w:val="-3"/>
          <w:sz w:val="15"/>
        </w:rPr>
        <w:t xml:space="preserve"> </w:t>
      </w:r>
      <w:r>
        <w:rPr>
          <w:color w:val="231F20"/>
          <w:sz w:val="15"/>
        </w:rPr>
        <w:t>nebo</w:t>
      </w:r>
    </w:p>
    <w:p w14:paraId="69424DE5" w14:textId="77777777" w:rsidR="00F65BCA" w:rsidRDefault="00216117">
      <w:pPr>
        <w:pStyle w:val="Odstavecseseznamem"/>
        <w:numPr>
          <w:ilvl w:val="0"/>
          <w:numId w:val="135"/>
        </w:numPr>
        <w:tabs>
          <w:tab w:val="left" w:pos="637"/>
        </w:tabs>
        <w:spacing w:line="278" w:lineRule="auto"/>
        <w:ind w:left="636" w:right="425"/>
        <w:jc w:val="both"/>
        <w:rPr>
          <w:sz w:val="15"/>
        </w:rPr>
      </w:pPr>
      <w:r>
        <w:rPr>
          <w:color w:val="231F20"/>
          <w:sz w:val="15"/>
        </w:rPr>
        <w:t>cenám</w:t>
      </w:r>
      <w:r>
        <w:rPr>
          <w:color w:val="231F20"/>
          <w:spacing w:val="-10"/>
          <w:sz w:val="15"/>
        </w:rPr>
        <w:t xml:space="preserve"> </w:t>
      </w:r>
      <w:r>
        <w:rPr>
          <w:color w:val="231F20"/>
          <w:sz w:val="15"/>
        </w:rPr>
        <w:t>ve</w:t>
      </w:r>
      <w:r>
        <w:rPr>
          <w:color w:val="231F20"/>
          <w:spacing w:val="-10"/>
          <w:sz w:val="15"/>
        </w:rPr>
        <w:t xml:space="preserve"> </w:t>
      </w:r>
      <w:r>
        <w:rPr>
          <w:color w:val="231F20"/>
          <w:sz w:val="15"/>
        </w:rPr>
        <w:t>smluvním</w:t>
      </w:r>
      <w:r>
        <w:rPr>
          <w:color w:val="231F20"/>
          <w:spacing w:val="-9"/>
          <w:sz w:val="15"/>
        </w:rPr>
        <w:t xml:space="preserve"> </w:t>
      </w:r>
      <w:r>
        <w:rPr>
          <w:color w:val="231F20"/>
          <w:sz w:val="15"/>
        </w:rPr>
        <w:t>neautorizovaném</w:t>
      </w:r>
      <w:r>
        <w:rPr>
          <w:color w:val="231F20"/>
          <w:spacing w:val="-10"/>
          <w:sz w:val="15"/>
        </w:rPr>
        <w:t xml:space="preserve"> </w:t>
      </w:r>
      <w:r>
        <w:rPr>
          <w:color w:val="231F20"/>
          <w:spacing w:val="2"/>
          <w:sz w:val="15"/>
        </w:rPr>
        <w:t>servisu,</w:t>
      </w:r>
      <w:r>
        <w:rPr>
          <w:color w:val="231F20"/>
          <w:spacing w:val="-9"/>
          <w:sz w:val="15"/>
        </w:rPr>
        <w:t xml:space="preserve"> </w:t>
      </w:r>
      <w:r>
        <w:rPr>
          <w:color w:val="231F20"/>
          <w:sz w:val="15"/>
        </w:rPr>
        <w:t>bylo-li</w:t>
      </w:r>
      <w:r>
        <w:rPr>
          <w:color w:val="231F20"/>
          <w:spacing w:val="-10"/>
          <w:sz w:val="15"/>
        </w:rPr>
        <w:t xml:space="preserve"> </w:t>
      </w:r>
      <w:r>
        <w:rPr>
          <w:color w:val="231F20"/>
          <w:sz w:val="15"/>
        </w:rPr>
        <w:t>vozidlo</w:t>
      </w:r>
      <w:r>
        <w:rPr>
          <w:color w:val="231F20"/>
          <w:spacing w:val="-9"/>
          <w:sz w:val="15"/>
        </w:rPr>
        <w:t xml:space="preserve"> </w:t>
      </w:r>
      <w:r>
        <w:rPr>
          <w:color w:val="231F20"/>
          <w:sz w:val="15"/>
        </w:rPr>
        <w:t>opravováno v neautorizovaném</w:t>
      </w:r>
      <w:r>
        <w:rPr>
          <w:color w:val="231F20"/>
          <w:spacing w:val="-2"/>
          <w:sz w:val="15"/>
        </w:rPr>
        <w:t xml:space="preserve"> </w:t>
      </w:r>
      <w:r>
        <w:rPr>
          <w:color w:val="231F20"/>
          <w:spacing w:val="2"/>
          <w:sz w:val="15"/>
        </w:rPr>
        <w:t>servisu.</w:t>
      </w:r>
    </w:p>
    <w:p w14:paraId="2FB33125" w14:textId="77777777" w:rsidR="00F65BCA" w:rsidRDefault="00216117">
      <w:pPr>
        <w:pStyle w:val="Zkladntext"/>
        <w:spacing w:line="278" w:lineRule="auto"/>
        <w:ind w:left="466"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6</w:t>
      </w:r>
      <w:r>
        <w:rPr>
          <w:color w:val="231F20"/>
          <w:position w:val="1"/>
          <w:sz w:val="14"/>
        </w:rPr>
        <w:t xml:space="preserve"> </w:t>
      </w:r>
      <w:r>
        <w:rPr>
          <w:color w:val="231F20"/>
        </w:rPr>
        <w:t>Při likvidaci pojistné události vzniklé na audiovizuální technice, navigačních zařízeních,</w:t>
      </w:r>
      <w:r>
        <w:rPr>
          <w:color w:val="231F20"/>
          <w:spacing w:val="-8"/>
        </w:rPr>
        <w:t xml:space="preserve"> </w:t>
      </w:r>
      <w:r>
        <w:rPr>
          <w:color w:val="231F20"/>
        </w:rPr>
        <w:t>airbazích</w:t>
      </w:r>
      <w:r>
        <w:rPr>
          <w:color w:val="231F20"/>
          <w:spacing w:val="-8"/>
        </w:rPr>
        <w:t xml:space="preserve"> </w:t>
      </w:r>
      <w:r>
        <w:rPr>
          <w:color w:val="231F20"/>
        </w:rPr>
        <w:t>včetně</w:t>
      </w:r>
      <w:r>
        <w:rPr>
          <w:color w:val="231F20"/>
          <w:spacing w:val="-8"/>
        </w:rPr>
        <w:t xml:space="preserve"> </w:t>
      </w:r>
      <w:r>
        <w:rPr>
          <w:color w:val="231F20"/>
        </w:rPr>
        <w:t>řídicích</w:t>
      </w:r>
      <w:r>
        <w:rPr>
          <w:color w:val="231F20"/>
          <w:spacing w:val="-8"/>
        </w:rPr>
        <w:t xml:space="preserve"> </w:t>
      </w:r>
      <w:r>
        <w:rPr>
          <w:color w:val="231F20"/>
        </w:rPr>
        <w:t>jednotek</w:t>
      </w:r>
      <w:r>
        <w:rPr>
          <w:color w:val="231F20"/>
          <w:spacing w:val="-7"/>
        </w:rPr>
        <w:t xml:space="preserve"> </w:t>
      </w:r>
      <w:r>
        <w:rPr>
          <w:color w:val="231F20"/>
        </w:rPr>
        <w:t>k</w:t>
      </w:r>
      <w:r>
        <w:rPr>
          <w:color w:val="231F20"/>
          <w:spacing w:val="-8"/>
        </w:rPr>
        <w:t xml:space="preserve"> </w:t>
      </w:r>
      <w:r>
        <w:rPr>
          <w:color w:val="231F20"/>
        </w:rPr>
        <w:t>nim,</w:t>
      </w:r>
      <w:r>
        <w:rPr>
          <w:color w:val="231F20"/>
          <w:spacing w:val="-8"/>
        </w:rPr>
        <w:t xml:space="preserve"> </w:t>
      </w:r>
      <w:r>
        <w:rPr>
          <w:color w:val="231F20"/>
        </w:rPr>
        <w:t>ostatních</w:t>
      </w:r>
      <w:r>
        <w:rPr>
          <w:color w:val="231F20"/>
          <w:spacing w:val="-8"/>
        </w:rPr>
        <w:t xml:space="preserve"> </w:t>
      </w:r>
      <w:r>
        <w:rPr>
          <w:color w:val="231F20"/>
          <w:spacing w:val="-3"/>
        </w:rPr>
        <w:t xml:space="preserve">elektronických </w:t>
      </w:r>
      <w:r>
        <w:rPr>
          <w:color w:val="231F20"/>
        </w:rPr>
        <w:t>prvcích vozidla, sedadlech včetně zádržných systémů poskytne Pojišťovna pojistné</w:t>
      </w:r>
      <w:r>
        <w:rPr>
          <w:color w:val="231F20"/>
          <w:spacing w:val="-29"/>
        </w:rPr>
        <w:t xml:space="preserve"> </w:t>
      </w:r>
      <w:r>
        <w:rPr>
          <w:color w:val="231F20"/>
        </w:rPr>
        <w:t>plnění</w:t>
      </w:r>
      <w:r>
        <w:rPr>
          <w:color w:val="231F20"/>
          <w:spacing w:val="-28"/>
        </w:rPr>
        <w:t xml:space="preserve"> </w:t>
      </w:r>
      <w:r>
        <w:rPr>
          <w:color w:val="231F20"/>
        </w:rPr>
        <w:t>pouze</w:t>
      </w:r>
      <w:r>
        <w:rPr>
          <w:color w:val="231F20"/>
          <w:spacing w:val="-28"/>
        </w:rPr>
        <w:t xml:space="preserve"> </w:t>
      </w:r>
      <w:r>
        <w:rPr>
          <w:color w:val="231F20"/>
        </w:rPr>
        <w:t>na</w:t>
      </w:r>
      <w:r>
        <w:rPr>
          <w:color w:val="231F20"/>
          <w:spacing w:val="-28"/>
        </w:rPr>
        <w:t xml:space="preserve"> </w:t>
      </w:r>
      <w:r>
        <w:rPr>
          <w:color w:val="231F20"/>
        </w:rPr>
        <w:t>základě</w:t>
      </w:r>
      <w:r>
        <w:rPr>
          <w:color w:val="231F20"/>
          <w:spacing w:val="-28"/>
        </w:rPr>
        <w:t xml:space="preserve"> </w:t>
      </w:r>
      <w:r>
        <w:rPr>
          <w:color w:val="231F20"/>
        </w:rPr>
        <w:t>předložených</w:t>
      </w:r>
      <w:r>
        <w:rPr>
          <w:color w:val="231F20"/>
          <w:spacing w:val="-29"/>
        </w:rPr>
        <w:t xml:space="preserve"> </w:t>
      </w:r>
      <w:r>
        <w:rPr>
          <w:color w:val="231F20"/>
        </w:rPr>
        <w:t>dokladů</w:t>
      </w:r>
      <w:r>
        <w:rPr>
          <w:color w:val="231F20"/>
          <w:spacing w:val="-28"/>
        </w:rPr>
        <w:t xml:space="preserve"> </w:t>
      </w:r>
      <w:r>
        <w:rPr>
          <w:color w:val="231F20"/>
        </w:rPr>
        <w:t>vystavených</w:t>
      </w:r>
      <w:r>
        <w:rPr>
          <w:color w:val="231F20"/>
          <w:spacing w:val="-28"/>
        </w:rPr>
        <w:t xml:space="preserve"> </w:t>
      </w:r>
      <w:r>
        <w:rPr>
          <w:color w:val="231F20"/>
          <w:spacing w:val="-3"/>
        </w:rPr>
        <w:t xml:space="preserve">smluvním </w:t>
      </w:r>
      <w:r>
        <w:rPr>
          <w:color w:val="231F20"/>
        </w:rPr>
        <w:t xml:space="preserve">servisem Pojišťovny či autorizovaným servisem, z nichž bude patrné </w:t>
      </w:r>
      <w:r>
        <w:rPr>
          <w:color w:val="231F20"/>
          <w:spacing w:val="-4"/>
        </w:rPr>
        <w:t xml:space="preserve">prove- </w:t>
      </w:r>
      <w:r>
        <w:rPr>
          <w:color w:val="231F20"/>
        </w:rPr>
        <w:t>dení</w:t>
      </w:r>
      <w:r>
        <w:rPr>
          <w:color w:val="231F20"/>
          <w:spacing w:val="-8"/>
        </w:rPr>
        <w:t xml:space="preserve"> </w:t>
      </w:r>
      <w:r>
        <w:rPr>
          <w:color w:val="231F20"/>
        </w:rPr>
        <w:t>výměny</w:t>
      </w:r>
      <w:r>
        <w:rPr>
          <w:color w:val="231F20"/>
          <w:spacing w:val="-8"/>
        </w:rPr>
        <w:t xml:space="preserve"> </w:t>
      </w:r>
      <w:r>
        <w:rPr>
          <w:color w:val="231F20"/>
        </w:rPr>
        <w:t>(opravy)</w:t>
      </w:r>
      <w:r>
        <w:rPr>
          <w:color w:val="231F20"/>
          <w:spacing w:val="-8"/>
        </w:rPr>
        <w:t xml:space="preserve"> </w:t>
      </w:r>
      <w:r>
        <w:rPr>
          <w:color w:val="231F20"/>
        </w:rPr>
        <w:t>v</w:t>
      </w:r>
      <w:r>
        <w:rPr>
          <w:color w:val="231F20"/>
          <w:spacing w:val="-8"/>
        </w:rPr>
        <w:t xml:space="preserve"> </w:t>
      </w:r>
      <w:r>
        <w:rPr>
          <w:color w:val="231F20"/>
        </w:rPr>
        <w:t>tomto</w:t>
      </w:r>
      <w:r>
        <w:rPr>
          <w:color w:val="231F20"/>
          <w:spacing w:val="-8"/>
        </w:rPr>
        <w:t xml:space="preserve"> </w:t>
      </w:r>
      <w:r>
        <w:rPr>
          <w:color w:val="231F20"/>
        </w:rPr>
        <w:t>odstavci</w:t>
      </w:r>
      <w:r>
        <w:rPr>
          <w:color w:val="231F20"/>
          <w:spacing w:val="-8"/>
        </w:rPr>
        <w:t xml:space="preserve"> </w:t>
      </w:r>
      <w:r>
        <w:rPr>
          <w:color w:val="231F20"/>
        </w:rPr>
        <w:t>uvedené</w:t>
      </w:r>
      <w:r>
        <w:rPr>
          <w:color w:val="231F20"/>
          <w:spacing w:val="-8"/>
        </w:rPr>
        <w:t xml:space="preserve"> </w:t>
      </w:r>
      <w:r>
        <w:rPr>
          <w:color w:val="231F20"/>
        </w:rPr>
        <w:t>výbavy</w:t>
      </w:r>
      <w:r>
        <w:rPr>
          <w:color w:val="231F20"/>
          <w:spacing w:val="-8"/>
        </w:rPr>
        <w:t xml:space="preserve"> </w:t>
      </w:r>
      <w:r>
        <w:rPr>
          <w:color w:val="231F20"/>
        </w:rPr>
        <w:t>pojištěného</w:t>
      </w:r>
      <w:r>
        <w:rPr>
          <w:color w:val="231F20"/>
          <w:spacing w:val="-7"/>
        </w:rPr>
        <w:t xml:space="preserve"> </w:t>
      </w:r>
      <w:r>
        <w:rPr>
          <w:color w:val="231F20"/>
        </w:rPr>
        <w:t xml:space="preserve">vozidla. V případě, že oprávněná osoba bude neopravené pojištěné vozidlo po </w:t>
      </w:r>
      <w:r>
        <w:rPr>
          <w:color w:val="231F20"/>
          <w:spacing w:val="-5"/>
        </w:rPr>
        <w:t xml:space="preserve">po- </w:t>
      </w:r>
      <w:r>
        <w:rPr>
          <w:color w:val="231F20"/>
        </w:rPr>
        <w:t>jistné</w:t>
      </w:r>
      <w:r>
        <w:rPr>
          <w:color w:val="231F20"/>
          <w:spacing w:val="-7"/>
        </w:rPr>
        <w:t xml:space="preserve"> </w:t>
      </w:r>
      <w:r>
        <w:rPr>
          <w:color w:val="231F20"/>
        </w:rPr>
        <w:t>události</w:t>
      </w:r>
      <w:r>
        <w:rPr>
          <w:color w:val="231F20"/>
          <w:spacing w:val="-6"/>
        </w:rPr>
        <w:t xml:space="preserve"> </w:t>
      </w:r>
      <w:r>
        <w:rPr>
          <w:color w:val="231F20"/>
        </w:rPr>
        <w:t>prodávat</w:t>
      </w:r>
      <w:r>
        <w:rPr>
          <w:color w:val="231F20"/>
          <w:spacing w:val="-6"/>
        </w:rPr>
        <w:t xml:space="preserve"> </w:t>
      </w:r>
      <w:r>
        <w:rPr>
          <w:color w:val="231F20"/>
        </w:rPr>
        <w:t>nebo</w:t>
      </w:r>
      <w:r>
        <w:rPr>
          <w:color w:val="231F20"/>
          <w:spacing w:val="-6"/>
        </w:rPr>
        <w:t xml:space="preserve"> </w:t>
      </w:r>
      <w:r>
        <w:rPr>
          <w:color w:val="231F20"/>
        </w:rPr>
        <w:t>nedoloží</w:t>
      </w:r>
      <w:r>
        <w:rPr>
          <w:color w:val="231F20"/>
          <w:spacing w:val="-7"/>
        </w:rPr>
        <w:t xml:space="preserve"> </w:t>
      </w:r>
      <w:r>
        <w:rPr>
          <w:color w:val="231F20"/>
        </w:rPr>
        <w:t>doklad</w:t>
      </w:r>
      <w:r>
        <w:rPr>
          <w:color w:val="231F20"/>
          <w:spacing w:val="-6"/>
        </w:rPr>
        <w:t xml:space="preserve"> </w:t>
      </w:r>
      <w:r>
        <w:rPr>
          <w:color w:val="231F20"/>
        </w:rPr>
        <w:t>o</w:t>
      </w:r>
      <w:r>
        <w:rPr>
          <w:color w:val="231F20"/>
          <w:spacing w:val="-6"/>
        </w:rPr>
        <w:t xml:space="preserve"> </w:t>
      </w:r>
      <w:r>
        <w:rPr>
          <w:color w:val="231F20"/>
        </w:rPr>
        <w:t>provedení</w:t>
      </w:r>
      <w:r>
        <w:rPr>
          <w:color w:val="231F20"/>
          <w:spacing w:val="-6"/>
        </w:rPr>
        <w:t xml:space="preserve"> </w:t>
      </w:r>
      <w:r>
        <w:rPr>
          <w:color w:val="231F20"/>
        </w:rPr>
        <w:t>opravy</w:t>
      </w:r>
      <w:r>
        <w:rPr>
          <w:color w:val="231F20"/>
          <w:spacing w:val="-6"/>
        </w:rPr>
        <w:t xml:space="preserve"> </w:t>
      </w:r>
      <w:r>
        <w:rPr>
          <w:color w:val="231F20"/>
        </w:rPr>
        <w:t>vystavený smluvním</w:t>
      </w:r>
      <w:r>
        <w:rPr>
          <w:color w:val="231F20"/>
          <w:spacing w:val="-23"/>
        </w:rPr>
        <w:t xml:space="preserve"> </w:t>
      </w:r>
      <w:r>
        <w:rPr>
          <w:color w:val="231F20"/>
        </w:rPr>
        <w:t>servisem</w:t>
      </w:r>
      <w:r>
        <w:rPr>
          <w:color w:val="231F20"/>
          <w:spacing w:val="-23"/>
        </w:rPr>
        <w:t xml:space="preserve"> </w:t>
      </w:r>
      <w:r>
        <w:rPr>
          <w:color w:val="231F20"/>
        </w:rPr>
        <w:t>Pojišťovny</w:t>
      </w:r>
      <w:r>
        <w:rPr>
          <w:color w:val="231F20"/>
          <w:spacing w:val="-23"/>
        </w:rPr>
        <w:t xml:space="preserve"> </w:t>
      </w:r>
      <w:r>
        <w:rPr>
          <w:color w:val="231F20"/>
        </w:rPr>
        <w:t>či</w:t>
      </w:r>
      <w:r>
        <w:rPr>
          <w:color w:val="231F20"/>
          <w:spacing w:val="-23"/>
        </w:rPr>
        <w:t xml:space="preserve"> </w:t>
      </w:r>
      <w:r>
        <w:rPr>
          <w:color w:val="231F20"/>
        </w:rPr>
        <w:t>autorizovaným</w:t>
      </w:r>
      <w:r>
        <w:rPr>
          <w:color w:val="231F20"/>
          <w:spacing w:val="-23"/>
        </w:rPr>
        <w:t xml:space="preserve"> </w:t>
      </w:r>
      <w:r>
        <w:rPr>
          <w:color w:val="231F20"/>
        </w:rPr>
        <w:t>opravcem,</w:t>
      </w:r>
      <w:r>
        <w:rPr>
          <w:color w:val="231F20"/>
          <w:spacing w:val="-23"/>
        </w:rPr>
        <w:t xml:space="preserve"> </w:t>
      </w:r>
      <w:r>
        <w:rPr>
          <w:color w:val="231F20"/>
        </w:rPr>
        <w:t>uhradí</w:t>
      </w:r>
      <w:r>
        <w:rPr>
          <w:color w:val="231F20"/>
          <w:spacing w:val="-23"/>
        </w:rPr>
        <w:t xml:space="preserve"> </w:t>
      </w:r>
      <w:r>
        <w:rPr>
          <w:color w:val="231F20"/>
        </w:rPr>
        <w:t>Pojišťovna oprávněné</w:t>
      </w:r>
      <w:r>
        <w:rPr>
          <w:color w:val="231F20"/>
          <w:spacing w:val="-15"/>
        </w:rPr>
        <w:t xml:space="preserve"> </w:t>
      </w:r>
      <w:r>
        <w:rPr>
          <w:color w:val="231F20"/>
        </w:rPr>
        <w:t>osobě</w:t>
      </w:r>
      <w:r>
        <w:rPr>
          <w:color w:val="231F20"/>
          <w:spacing w:val="-15"/>
        </w:rPr>
        <w:t xml:space="preserve"> </w:t>
      </w:r>
      <w:r>
        <w:rPr>
          <w:color w:val="231F20"/>
        </w:rPr>
        <w:t>pojistné</w:t>
      </w:r>
      <w:r>
        <w:rPr>
          <w:color w:val="231F20"/>
          <w:spacing w:val="-15"/>
        </w:rPr>
        <w:t xml:space="preserve"> </w:t>
      </w:r>
      <w:r>
        <w:rPr>
          <w:color w:val="231F20"/>
        </w:rPr>
        <w:t>plnění</w:t>
      </w:r>
      <w:r>
        <w:rPr>
          <w:color w:val="231F20"/>
          <w:spacing w:val="-15"/>
        </w:rPr>
        <w:t xml:space="preserve"> </w:t>
      </w:r>
      <w:r>
        <w:rPr>
          <w:color w:val="231F20"/>
        </w:rPr>
        <w:t>(po</w:t>
      </w:r>
      <w:r>
        <w:rPr>
          <w:color w:val="231F20"/>
          <w:spacing w:val="-15"/>
        </w:rPr>
        <w:t xml:space="preserve"> </w:t>
      </w:r>
      <w:r>
        <w:rPr>
          <w:color w:val="231F20"/>
        </w:rPr>
        <w:t>započtení</w:t>
      </w:r>
      <w:r>
        <w:rPr>
          <w:color w:val="231F20"/>
          <w:spacing w:val="-15"/>
        </w:rPr>
        <w:t xml:space="preserve"> </w:t>
      </w:r>
      <w:r>
        <w:rPr>
          <w:color w:val="231F20"/>
        </w:rPr>
        <w:t>příslušné</w:t>
      </w:r>
      <w:r>
        <w:rPr>
          <w:color w:val="231F20"/>
          <w:spacing w:val="-15"/>
        </w:rPr>
        <w:t xml:space="preserve"> </w:t>
      </w:r>
      <w:r>
        <w:rPr>
          <w:color w:val="231F20"/>
        </w:rPr>
        <w:t>spoluúčasti</w:t>
      </w:r>
      <w:r>
        <w:rPr>
          <w:color w:val="231F20"/>
          <w:spacing w:val="-15"/>
        </w:rPr>
        <w:t xml:space="preserve"> </w:t>
      </w:r>
      <w:r>
        <w:rPr>
          <w:color w:val="231F20"/>
        </w:rPr>
        <w:t>a</w:t>
      </w:r>
      <w:r>
        <w:rPr>
          <w:color w:val="231F20"/>
          <w:spacing w:val="-15"/>
        </w:rPr>
        <w:t xml:space="preserve"> </w:t>
      </w:r>
      <w:r>
        <w:rPr>
          <w:color w:val="231F20"/>
        </w:rPr>
        <w:t>se</w:t>
      </w:r>
      <w:r>
        <w:rPr>
          <w:color w:val="231F20"/>
          <w:spacing w:val="-15"/>
        </w:rPr>
        <w:t xml:space="preserve"> </w:t>
      </w:r>
      <w:r>
        <w:rPr>
          <w:color w:val="231F20"/>
        </w:rPr>
        <w:t xml:space="preserve">zo- hledněním ostatních úprav pojistného plnění uvedených v těchto VPP </w:t>
      </w:r>
      <w:r>
        <w:rPr>
          <w:color w:val="231F20"/>
          <w:spacing w:val="-5"/>
        </w:rPr>
        <w:t xml:space="preserve">nebo </w:t>
      </w:r>
      <w:r>
        <w:rPr>
          <w:color w:val="231F20"/>
        </w:rPr>
        <w:t>dohodnutých</w:t>
      </w:r>
      <w:r>
        <w:rPr>
          <w:color w:val="231F20"/>
          <w:spacing w:val="-8"/>
        </w:rPr>
        <w:t xml:space="preserve"> </w:t>
      </w:r>
      <w:r>
        <w:rPr>
          <w:color w:val="231F20"/>
        </w:rPr>
        <w:t>v</w:t>
      </w:r>
      <w:r>
        <w:rPr>
          <w:color w:val="231F20"/>
          <w:spacing w:val="-7"/>
        </w:rPr>
        <w:t xml:space="preserve"> </w:t>
      </w:r>
      <w:r>
        <w:rPr>
          <w:color w:val="231F20"/>
        </w:rPr>
        <w:t>pojistné</w:t>
      </w:r>
      <w:r>
        <w:rPr>
          <w:color w:val="231F20"/>
          <w:spacing w:val="-7"/>
        </w:rPr>
        <w:t xml:space="preserve"> </w:t>
      </w:r>
      <w:r>
        <w:rPr>
          <w:color w:val="231F20"/>
        </w:rPr>
        <w:t>smlouvě</w:t>
      </w:r>
      <w:r>
        <w:rPr>
          <w:color w:val="231F20"/>
          <w:spacing w:val="-7"/>
        </w:rPr>
        <w:t xml:space="preserve"> </w:t>
      </w:r>
      <w:r>
        <w:rPr>
          <w:color w:val="231F20"/>
        </w:rPr>
        <w:t>nebo</w:t>
      </w:r>
      <w:r>
        <w:rPr>
          <w:color w:val="231F20"/>
          <w:spacing w:val="-7"/>
        </w:rPr>
        <w:t xml:space="preserve"> </w:t>
      </w:r>
      <w:r>
        <w:rPr>
          <w:color w:val="231F20"/>
        </w:rPr>
        <w:t>seznamu</w:t>
      </w:r>
      <w:r>
        <w:rPr>
          <w:color w:val="231F20"/>
          <w:spacing w:val="-8"/>
        </w:rPr>
        <w:t xml:space="preserve"> </w:t>
      </w:r>
      <w:r>
        <w:rPr>
          <w:color w:val="231F20"/>
        </w:rPr>
        <w:t>vozidel)</w:t>
      </w:r>
      <w:r>
        <w:rPr>
          <w:color w:val="231F20"/>
          <w:spacing w:val="-7"/>
        </w:rPr>
        <w:t xml:space="preserve"> </w:t>
      </w:r>
      <w:r>
        <w:rPr>
          <w:color w:val="231F20"/>
        </w:rPr>
        <w:t>ve</w:t>
      </w:r>
      <w:r>
        <w:rPr>
          <w:color w:val="231F20"/>
          <w:spacing w:val="-7"/>
        </w:rPr>
        <w:t xml:space="preserve"> </w:t>
      </w:r>
      <w:r>
        <w:rPr>
          <w:color w:val="231F20"/>
        </w:rPr>
        <w:t>výši</w:t>
      </w:r>
      <w:r>
        <w:rPr>
          <w:color w:val="231F20"/>
          <w:spacing w:val="-7"/>
        </w:rPr>
        <w:t xml:space="preserve"> </w:t>
      </w:r>
      <w:r>
        <w:rPr>
          <w:color w:val="231F20"/>
          <w:spacing w:val="-2"/>
        </w:rPr>
        <w:t xml:space="preserve">odpovídající </w:t>
      </w:r>
      <w:r>
        <w:rPr>
          <w:color w:val="231F20"/>
        </w:rPr>
        <w:t>snížení</w:t>
      </w:r>
      <w:r>
        <w:rPr>
          <w:color w:val="231F20"/>
          <w:spacing w:val="-13"/>
        </w:rPr>
        <w:t xml:space="preserve"> </w:t>
      </w:r>
      <w:r>
        <w:rPr>
          <w:color w:val="231F20"/>
        </w:rPr>
        <w:t>hodnoty</w:t>
      </w:r>
      <w:r>
        <w:rPr>
          <w:color w:val="231F20"/>
          <w:spacing w:val="-12"/>
        </w:rPr>
        <w:t xml:space="preserve"> </w:t>
      </w:r>
      <w:r>
        <w:rPr>
          <w:color w:val="231F20"/>
        </w:rPr>
        <w:t>pojištěného</w:t>
      </w:r>
      <w:r>
        <w:rPr>
          <w:color w:val="231F20"/>
          <w:spacing w:val="-12"/>
        </w:rPr>
        <w:t xml:space="preserve"> </w:t>
      </w:r>
      <w:r>
        <w:rPr>
          <w:color w:val="231F20"/>
        </w:rPr>
        <w:t>vozidla</w:t>
      </w:r>
      <w:r>
        <w:rPr>
          <w:color w:val="231F20"/>
          <w:spacing w:val="-12"/>
        </w:rPr>
        <w:t xml:space="preserve"> </w:t>
      </w:r>
      <w:r>
        <w:rPr>
          <w:color w:val="231F20"/>
        </w:rPr>
        <w:t>jako</w:t>
      </w:r>
      <w:r>
        <w:rPr>
          <w:color w:val="231F20"/>
          <w:spacing w:val="-12"/>
        </w:rPr>
        <w:t xml:space="preserve"> </w:t>
      </w:r>
      <w:r>
        <w:rPr>
          <w:color w:val="231F20"/>
        </w:rPr>
        <w:t>celku</w:t>
      </w:r>
      <w:r>
        <w:rPr>
          <w:color w:val="231F20"/>
          <w:spacing w:val="-12"/>
        </w:rPr>
        <w:t xml:space="preserve"> </w:t>
      </w:r>
      <w:r>
        <w:rPr>
          <w:color w:val="231F20"/>
        </w:rPr>
        <w:t>vlivem</w:t>
      </w:r>
      <w:r>
        <w:rPr>
          <w:color w:val="231F20"/>
          <w:spacing w:val="-12"/>
        </w:rPr>
        <w:t xml:space="preserve"> </w:t>
      </w:r>
      <w:r>
        <w:rPr>
          <w:color w:val="231F20"/>
        </w:rPr>
        <w:t>pojistné</w:t>
      </w:r>
      <w:r>
        <w:rPr>
          <w:color w:val="231F20"/>
          <w:spacing w:val="-12"/>
        </w:rPr>
        <w:t xml:space="preserve"> </w:t>
      </w:r>
      <w:r>
        <w:rPr>
          <w:color w:val="231F20"/>
        </w:rPr>
        <w:t>události</w:t>
      </w:r>
      <w:r>
        <w:rPr>
          <w:color w:val="231F20"/>
          <w:spacing w:val="-12"/>
        </w:rPr>
        <w:t xml:space="preserve"> </w:t>
      </w:r>
      <w:r>
        <w:rPr>
          <w:color w:val="231F20"/>
        </w:rPr>
        <w:t>na</w:t>
      </w:r>
      <w:r>
        <w:rPr>
          <w:color w:val="231F20"/>
          <w:spacing w:val="-12"/>
        </w:rPr>
        <w:t xml:space="preserve"> </w:t>
      </w:r>
      <w:r>
        <w:rPr>
          <w:color w:val="231F20"/>
          <w:spacing w:val="-6"/>
        </w:rPr>
        <w:t xml:space="preserve">vý- </w:t>
      </w:r>
      <w:r>
        <w:rPr>
          <w:color w:val="231F20"/>
        </w:rPr>
        <w:t>bavě uvedené v předchozí</w:t>
      </w:r>
      <w:r>
        <w:rPr>
          <w:color w:val="231F20"/>
          <w:spacing w:val="-5"/>
        </w:rPr>
        <w:t xml:space="preserve"> </w:t>
      </w:r>
      <w:r>
        <w:rPr>
          <w:color w:val="231F20"/>
        </w:rPr>
        <w:t>větě.</w:t>
      </w:r>
    </w:p>
    <w:p w14:paraId="087121F3" w14:textId="77777777" w:rsidR="00F65BCA" w:rsidRDefault="00216117">
      <w:pPr>
        <w:pStyle w:val="Zkladntext"/>
        <w:spacing w:line="278" w:lineRule="auto"/>
        <w:ind w:left="466"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7</w:t>
      </w:r>
      <w:r>
        <w:rPr>
          <w:color w:val="231F20"/>
          <w:spacing w:val="6"/>
          <w:position w:val="1"/>
          <w:sz w:val="14"/>
        </w:rPr>
        <w:t xml:space="preserve"> </w:t>
      </w:r>
      <w:r>
        <w:rPr>
          <w:color w:val="231F20"/>
        </w:rPr>
        <w:t>Při</w:t>
      </w:r>
      <w:r>
        <w:rPr>
          <w:color w:val="231F20"/>
          <w:spacing w:val="-18"/>
        </w:rPr>
        <w:t xml:space="preserve"> </w:t>
      </w:r>
      <w:r>
        <w:rPr>
          <w:color w:val="231F20"/>
        </w:rPr>
        <w:t>likvidaci</w:t>
      </w:r>
      <w:r>
        <w:rPr>
          <w:color w:val="231F20"/>
          <w:spacing w:val="-19"/>
        </w:rPr>
        <w:t xml:space="preserve"> </w:t>
      </w:r>
      <w:r>
        <w:rPr>
          <w:color w:val="231F20"/>
        </w:rPr>
        <w:t>pojistné</w:t>
      </w:r>
      <w:r>
        <w:rPr>
          <w:color w:val="231F20"/>
          <w:spacing w:val="-18"/>
        </w:rPr>
        <w:t xml:space="preserve"> </w:t>
      </w:r>
      <w:r>
        <w:rPr>
          <w:color w:val="231F20"/>
        </w:rPr>
        <w:t>události</w:t>
      </w:r>
      <w:r>
        <w:rPr>
          <w:color w:val="231F20"/>
          <w:spacing w:val="-18"/>
        </w:rPr>
        <w:t xml:space="preserve"> </w:t>
      </w:r>
      <w:r>
        <w:rPr>
          <w:color w:val="231F20"/>
        </w:rPr>
        <w:t>vzniklé</w:t>
      </w:r>
      <w:r>
        <w:rPr>
          <w:color w:val="231F20"/>
          <w:spacing w:val="-19"/>
        </w:rPr>
        <w:t xml:space="preserve"> </w:t>
      </w:r>
      <w:r>
        <w:rPr>
          <w:color w:val="231F20"/>
        </w:rPr>
        <w:t>na</w:t>
      </w:r>
      <w:r>
        <w:rPr>
          <w:color w:val="231F20"/>
          <w:spacing w:val="-18"/>
        </w:rPr>
        <w:t xml:space="preserve"> </w:t>
      </w:r>
      <w:r>
        <w:rPr>
          <w:color w:val="231F20"/>
        </w:rPr>
        <w:t>audiovizuální</w:t>
      </w:r>
      <w:r>
        <w:rPr>
          <w:color w:val="231F20"/>
          <w:spacing w:val="-19"/>
        </w:rPr>
        <w:t xml:space="preserve"> </w:t>
      </w:r>
      <w:r>
        <w:rPr>
          <w:color w:val="231F20"/>
        </w:rPr>
        <w:t>technice,</w:t>
      </w:r>
      <w:r>
        <w:rPr>
          <w:color w:val="231F20"/>
          <w:spacing w:val="-18"/>
        </w:rPr>
        <w:t xml:space="preserve"> </w:t>
      </w:r>
      <w:r>
        <w:rPr>
          <w:color w:val="231F20"/>
        </w:rPr>
        <w:t>navigačních</w:t>
      </w:r>
      <w:r>
        <w:rPr>
          <w:color w:val="231F20"/>
          <w:spacing w:val="-19"/>
        </w:rPr>
        <w:t xml:space="preserve"> </w:t>
      </w:r>
      <w:r>
        <w:rPr>
          <w:color w:val="231F20"/>
          <w:spacing w:val="-5"/>
        </w:rPr>
        <w:t xml:space="preserve">za- </w:t>
      </w:r>
      <w:r>
        <w:rPr>
          <w:color w:val="231F20"/>
        </w:rPr>
        <w:t>řízeních</w:t>
      </w:r>
      <w:r>
        <w:rPr>
          <w:color w:val="231F20"/>
          <w:spacing w:val="-13"/>
        </w:rPr>
        <w:t xml:space="preserve"> </w:t>
      </w:r>
      <w:r>
        <w:rPr>
          <w:color w:val="231F20"/>
        </w:rPr>
        <w:t>a</w:t>
      </w:r>
      <w:r>
        <w:rPr>
          <w:color w:val="231F20"/>
          <w:spacing w:val="-12"/>
        </w:rPr>
        <w:t xml:space="preserve"> </w:t>
      </w:r>
      <w:r>
        <w:rPr>
          <w:color w:val="231F20"/>
        </w:rPr>
        <w:t>discích</w:t>
      </w:r>
      <w:r>
        <w:rPr>
          <w:color w:val="231F20"/>
          <w:spacing w:val="-13"/>
        </w:rPr>
        <w:t xml:space="preserve"> </w:t>
      </w:r>
      <w:r>
        <w:rPr>
          <w:color w:val="231F20"/>
        </w:rPr>
        <w:t>kol</w:t>
      </w:r>
      <w:r>
        <w:rPr>
          <w:color w:val="231F20"/>
          <w:spacing w:val="-12"/>
        </w:rPr>
        <w:t xml:space="preserve"> </w:t>
      </w:r>
      <w:r>
        <w:rPr>
          <w:color w:val="231F20"/>
        </w:rPr>
        <w:t>je</w:t>
      </w:r>
      <w:r>
        <w:rPr>
          <w:color w:val="231F20"/>
          <w:spacing w:val="-13"/>
        </w:rPr>
        <w:t xml:space="preserve"> </w:t>
      </w:r>
      <w:r>
        <w:rPr>
          <w:color w:val="231F20"/>
        </w:rPr>
        <w:t>maximální</w:t>
      </w:r>
      <w:r>
        <w:rPr>
          <w:color w:val="231F20"/>
          <w:spacing w:val="-12"/>
        </w:rPr>
        <w:t xml:space="preserve"> </w:t>
      </w:r>
      <w:r>
        <w:rPr>
          <w:color w:val="231F20"/>
        </w:rPr>
        <w:t>hodnota</w:t>
      </w:r>
      <w:r>
        <w:rPr>
          <w:color w:val="231F20"/>
          <w:spacing w:val="-13"/>
        </w:rPr>
        <w:t xml:space="preserve"> </w:t>
      </w:r>
      <w:r>
        <w:rPr>
          <w:color w:val="231F20"/>
        </w:rPr>
        <w:t>uvedených</w:t>
      </w:r>
      <w:r>
        <w:rPr>
          <w:color w:val="231F20"/>
          <w:spacing w:val="-12"/>
        </w:rPr>
        <w:t xml:space="preserve"> </w:t>
      </w:r>
      <w:r>
        <w:rPr>
          <w:color w:val="231F20"/>
        </w:rPr>
        <w:t>předmětů</w:t>
      </w:r>
      <w:r>
        <w:rPr>
          <w:color w:val="231F20"/>
          <w:spacing w:val="-13"/>
        </w:rPr>
        <w:t xml:space="preserve"> </w:t>
      </w:r>
      <w:r>
        <w:rPr>
          <w:color w:val="231F20"/>
        </w:rPr>
        <w:t>pro</w:t>
      </w:r>
      <w:r>
        <w:rPr>
          <w:color w:val="231F20"/>
          <w:spacing w:val="-12"/>
        </w:rPr>
        <w:t xml:space="preserve"> </w:t>
      </w:r>
      <w:r>
        <w:rPr>
          <w:color w:val="231F20"/>
        </w:rPr>
        <w:t>potřeby určení</w:t>
      </w:r>
      <w:r>
        <w:rPr>
          <w:color w:val="231F20"/>
          <w:spacing w:val="-12"/>
        </w:rPr>
        <w:t xml:space="preserve"> </w:t>
      </w:r>
      <w:r>
        <w:rPr>
          <w:color w:val="231F20"/>
        </w:rPr>
        <w:t>výše</w:t>
      </w:r>
      <w:r>
        <w:rPr>
          <w:color w:val="231F20"/>
          <w:spacing w:val="-11"/>
        </w:rPr>
        <w:t xml:space="preserve"> </w:t>
      </w:r>
      <w:r>
        <w:rPr>
          <w:color w:val="231F20"/>
        </w:rPr>
        <w:t>pojistného</w:t>
      </w:r>
      <w:r>
        <w:rPr>
          <w:color w:val="231F20"/>
          <w:spacing w:val="-11"/>
        </w:rPr>
        <w:t xml:space="preserve"> </w:t>
      </w:r>
      <w:r>
        <w:rPr>
          <w:color w:val="231F20"/>
        </w:rPr>
        <w:t>plnění</w:t>
      </w:r>
      <w:r>
        <w:rPr>
          <w:color w:val="231F20"/>
          <w:spacing w:val="-11"/>
        </w:rPr>
        <w:t xml:space="preserve"> </w:t>
      </w:r>
      <w:r>
        <w:rPr>
          <w:color w:val="231F20"/>
        </w:rPr>
        <w:t>stanovena</w:t>
      </w:r>
      <w:r>
        <w:rPr>
          <w:color w:val="231F20"/>
          <w:spacing w:val="-11"/>
        </w:rPr>
        <w:t xml:space="preserve"> </w:t>
      </w:r>
      <w:r>
        <w:rPr>
          <w:color w:val="231F20"/>
        </w:rPr>
        <w:t>dle</w:t>
      </w:r>
      <w:r>
        <w:rPr>
          <w:color w:val="231F20"/>
          <w:spacing w:val="-11"/>
        </w:rPr>
        <w:t xml:space="preserve"> </w:t>
      </w:r>
      <w:r>
        <w:rPr>
          <w:color w:val="231F20"/>
        </w:rPr>
        <w:t>specifikace</w:t>
      </w:r>
      <w:r>
        <w:rPr>
          <w:color w:val="231F20"/>
          <w:spacing w:val="-11"/>
        </w:rPr>
        <w:t xml:space="preserve"> </w:t>
      </w:r>
      <w:r>
        <w:rPr>
          <w:color w:val="231F20"/>
        </w:rPr>
        <w:t>uvedených</w:t>
      </w:r>
      <w:r>
        <w:rPr>
          <w:color w:val="231F20"/>
          <w:spacing w:val="-12"/>
        </w:rPr>
        <w:t xml:space="preserve"> </w:t>
      </w:r>
      <w:r>
        <w:rPr>
          <w:color w:val="231F20"/>
        </w:rPr>
        <w:t>prvků</w:t>
      </w:r>
      <w:r>
        <w:rPr>
          <w:color w:val="231F20"/>
          <w:spacing w:val="-11"/>
        </w:rPr>
        <w:t xml:space="preserve"> </w:t>
      </w:r>
      <w:r>
        <w:rPr>
          <w:color w:val="231F20"/>
        </w:rPr>
        <w:t>při sjednání</w:t>
      </w:r>
      <w:r>
        <w:rPr>
          <w:color w:val="231F20"/>
          <w:spacing w:val="-21"/>
        </w:rPr>
        <w:t xml:space="preserve"> </w:t>
      </w:r>
      <w:r>
        <w:rPr>
          <w:color w:val="231F20"/>
        </w:rPr>
        <w:t>pojištění</w:t>
      </w:r>
      <w:r>
        <w:rPr>
          <w:color w:val="231F20"/>
          <w:spacing w:val="-20"/>
        </w:rPr>
        <w:t xml:space="preserve"> </w:t>
      </w:r>
      <w:r>
        <w:rPr>
          <w:color w:val="231F20"/>
        </w:rPr>
        <w:t>jednotlivého</w:t>
      </w:r>
      <w:r>
        <w:rPr>
          <w:color w:val="231F20"/>
          <w:spacing w:val="-20"/>
        </w:rPr>
        <w:t xml:space="preserve"> </w:t>
      </w:r>
      <w:r>
        <w:rPr>
          <w:color w:val="231F20"/>
        </w:rPr>
        <w:t>vozidla.</w:t>
      </w:r>
      <w:r>
        <w:rPr>
          <w:color w:val="231F20"/>
          <w:spacing w:val="-21"/>
        </w:rPr>
        <w:t xml:space="preserve"> </w:t>
      </w:r>
      <w:r>
        <w:rPr>
          <w:color w:val="231F20"/>
        </w:rPr>
        <w:t>Nebyl-li</w:t>
      </w:r>
      <w:r>
        <w:rPr>
          <w:color w:val="231F20"/>
          <w:spacing w:val="-20"/>
        </w:rPr>
        <w:t xml:space="preserve"> </w:t>
      </w:r>
      <w:r>
        <w:rPr>
          <w:color w:val="231F20"/>
        </w:rPr>
        <w:t>předmětný</w:t>
      </w:r>
      <w:r>
        <w:rPr>
          <w:color w:val="231F20"/>
          <w:spacing w:val="-20"/>
        </w:rPr>
        <w:t xml:space="preserve"> </w:t>
      </w:r>
      <w:r>
        <w:rPr>
          <w:color w:val="231F20"/>
        </w:rPr>
        <w:t>prvek</w:t>
      </w:r>
      <w:r>
        <w:rPr>
          <w:color w:val="231F20"/>
          <w:spacing w:val="-20"/>
        </w:rPr>
        <w:t xml:space="preserve"> </w:t>
      </w:r>
      <w:r>
        <w:rPr>
          <w:color w:val="231F20"/>
        </w:rPr>
        <w:t xml:space="preserve">specifikován </w:t>
      </w:r>
      <w:r>
        <w:rPr>
          <w:color w:val="231F20"/>
          <w:w w:val="95"/>
        </w:rPr>
        <w:t xml:space="preserve">při sjednání pojištění jednotlivého vozidla přesným označením nebo pořizovací </w:t>
      </w:r>
      <w:r>
        <w:rPr>
          <w:color w:val="231F20"/>
        </w:rPr>
        <w:t>cenou,</w:t>
      </w:r>
      <w:r>
        <w:rPr>
          <w:color w:val="231F20"/>
          <w:spacing w:val="-13"/>
        </w:rPr>
        <w:t xml:space="preserve"> </w:t>
      </w:r>
      <w:r>
        <w:rPr>
          <w:color w:val="231F20"/>
        </w:rPr>
        <w:t>vychází</w:t>
      </w:r>
      <w:r>
        <w:rPr>
          <w:color w:val="231F20"/>
          <w:spacing w:val="-13"/>
        </w:rPr>
        <w:t xml:space="preserve"> </w:t>
      </w:r>
      <w:r>
        <w:rPr>
          <w:color w:val="231F20"/>
        </w:rPr>
        <w:t>Pojišťovna</w:t>
      </w:r>
      <w:r>
        <w:rPr>
          <w:color w:val="231F20"/>
          <w:spacing w:val="-13"/>
        </w:rPr>
        <w:t xml:space="preserve"> </w:t>
      </w:r>
      <w:r>
        <w:rPr>
          <w:color w:val="231F20"/>
        </w:rPr>
        <w:t>z</w:t>
      </w:r>
      <w:r>
        <w:rPr>
          <w:color w:val="231F20"/>
          <w:spacing w:val="-13"/>
        </w:rPr>
        <w:t xml:space="preserve"> </w:t>
      </w:r>
      <w:r>
        <w:rPr>
          <w:color w:val="231F20"/>
        </w:rPr>
        <w:t>nejnižší</w:t>
      </w:r>
      <w:r>
        <w:rPr>
          <w:color w:val="231F20"/>
          <w:spacing w:val="-13"/>
        </w:rPr>
        <w:t xml:space="preserve"> </w:t>
      </w:r>
      <w:r>
        <w:rPr>
          <w:color w:val="231F20"/>
        </w:rPr>
        <w:t>ceny</w:t>
      </w:r>
      <w:r>
        <w:rPr>
          <w:color w:val="231F20"/>
          <w:spacing w:val="-14"/>
        </w:rPr>
        <w:t xml:space="preserve"> </w:t>
      </w:r>
      <w:r>
        <w:rPr>
          <w:color w:val="231F20"/>
        </w:rPr>
        <w:t>funkčně</w:t>
      </w:r>
      <w:r>
        <w:rPr>
          <w:color w:val="231F20"/>
          <w:spacing w:val="-13"/>
        </w:rPr>
        <w:t xml:space="preserve"> </w:t>
      </w:r>
      <w:r>
        <w:rPr>
          <w:color w:val="231F20"/>
        </w:rPr>
        <w:t>obdobného</w:t>
      </w:r>
      <w:r>
        <w:rPr>
          <w:color w:val="231F20"/>
          <w:spacing w:val="-13"/>
        </w:rPr>
        <w:t xml:space="preserve"> </w:t>
      </w:r>
      <w:r>
        <w:rPr>
          <w:color w:val="231F20"/>
        </w:rPr>
        <w:t>dílu</w:t>
      </w:r>
      <w:r>
        <w:rPr>
          <w:color w:val="231F20"/>
          <w:spacing w:val="-13"/>
        </w:rPr>
        <w:t xml:space="preserve"> </w:t>
      </w:r>
      <w:r>
        <w:rPr>
          <w:color w:val="231F20"/>
        </w:rPr>
        <w:t>běžně</w:t>
      </w:r>
      <w:r>
        <w:rPr>
          <w:color w:val="231F20"/>
          <w:spacing w:val="-13"/>
        </w:rPr>
        <w:t xml:space="preserve"> </w:t>
      </w:r>
      <w:r>
        <w:rPr>
          <w:color w:val="231F20"/>
          <w:spacing w:val="-5"/>
        </w:rPr>
        <w:t xml:space="preserve">do- </w:t>
      </w:r>
      <w:r>
        <w:rPr>
          <w:color w:val="231F20"/>
        </w:rPr>
        <w:t>stupného</w:t>
      </w:r>
      <w:r>
        <w:rPr>
          <w:color w:val="231F20"/>
          <w:spacing w:val="-6"/>
        </w:rPr>
        <w:t xml:space="preserve"> </w:t>
      </w:r>
      <w:r>
        <w:rPr>
          <w:color w:val="231F20"/>
        </w:rPr>
        <w:t>na</w:t>
      </w:r>
      <w:r>
        <w:rPr>
          <w:color w:val="231F20"/>
          <w:spacing w:val="-5"/>
        </w:rPr>
        <w:t xml:space="preserve"> </w:t>
      </w:r>
      <w:r>
        <w:rPr>
          <w:color w:val="231F20"/>
        </w:rPr>
        <w:t>trhu</w:t>
      </w:r>
      <w:r>
        <w:rPr>
          <w:color w:val="231F20"/>
          <w:spacing w:val="-6"/>
        </w:rPr>
        <w:t xml:space="preserve"> </w:t>
      </w:r>
      <w:r>
        <w:rPr>
          <w:color w:val="231F20"/>
        </w:rPr>
        <w:t>v</w:t>
      </w:r>
      <w:r>
        <w:rPr>
          <w:color w:val="231F20"/>
          <w:spacing w:val="-5"/>
        </w:rPr>
        <w:t xml:space="preserve"> </w:t>
      </w:r>
      <w:r>
        <w:rPr>
          <w:color w:val="231F20"/>
        </w:rPr>
        <w:t>České</w:t>
      </w:r>
      <w:r>
        <w:rPr>
          <w:color w:val="231F20"/>
          <w:spacing w:val="-5"/>
        </w:rPr>
        <w:t xml:space="preserve"> </w:t>
      </w:r>
      <w:r>
        <w:rPr>
          <w:color w:val="231F20"/>
        </w:rPr>
        <w:t>republice,</w:t>
      </w:r>
      <w:r>
        <w:rPr>
          <w:color w:val="231F20"/>
          <w:spacing w:val="-6"/>
        </w:rPr>
        <w:t xml:space="preserve"> </w:t>
      </w:r>
      <w:r>
        <w:rPr>
          <w:color w:val="231F20"/>
        </w:rPr>
        <w:t>bez</w:t>
      </w:r>
      <w:r>
        <w:rPr>
          <w:color w:val="231F20"/>
          <w:spacing w:val="-5"/>
        </w:rPr>
        <w:t xml:space="preserve"> </w:t>
      </w:r>
      <w:r>
        <w:rPr>
          <w:color w:val="231F20"/>
        </w:rPr>
        <w:t>ohledu</w:t>
      </w:r>
      <w:r>
        <w:rPr>
          <w:color w:val="231F20"/>
          <w:spacing w:val="-5"/>
        </w:rPr>
        <w:t xml:space="preserve"> </w:t>
      </w:r>
      <w:r>
        <w:rPr>
          <w:color w:val="231F20"/>
        </w:rPr>
        <w:t>na</w:t>
      </w:r>
      <w:r>
        <w:rPr>
          <w:color w:val="231F20"/>
          <w:spacing w:val="-6"/>
        </w:rPr>
        <w:t xml:space="preserve"> </w:t>
      </w:r>
      <w:r>
        <w:rPr>
          <w:color w:val="231F20"/>
        </w:rPr>
        <w:t>značku</w:t>
      </w:r>
      <w:r>
        <w:rPr>
          <w:color w:val="231F20"/>
          <w:spacing w:val="-5"/>
        </w:rPr>
        <w:t xml:space="preserve"> </w:t>
      </w:r>
      <w:r>
        <w:rPr>
          <w:color w:val="231F20"/>
        </w:rPr>
        <w:t>výrobce.</w:t>
      </w:r>
    </w:p>
    <w:p w14:paraId="77302205" w14:textId="77777777" w:rsidR="00F65BCA" w:rsidRDefault="00216117">
      <w:pPr>
        <w:pStyle w:val="Zkladntext"/>
        <w:spacing w:line="278" w:lineRule="auto"/>
        <w:ind w:left="466"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8</w:t>
      </w:r>
      <w:r>
        <w:rPr>
          <w:color w:val="231F20"/>
          <w:spacing w:val="27"/>
          <w:position w:val="1"/>
          <w:sz w:val="14"/>
        </w:rPr>
        <w:t xml:space="preserve"> </w:t>
      </w:r>
      <w:r>
        <w:rPr>
          <w:color w:val="231F20"/>
        </w:rPr>
        <w:t>Pokud</w:t>
      </w:r>
      <w:r>
        <w:rPr>
          <w:color w:val="231F20"/>
          <w:spacing w:val="-11"/>
        </w:rPr>
        <w:t xml:space="preserve"> </w:t>
      </w:r>
      <w:r>
        <w:rPr>
          <w:color w:val="231F20"/>
        </w:rPr>
        <w:t>Pojišťovna</w:t>
      </w:r>
      <w:r>
        <w:rPr>
          <w:color w:val="231F20"/>
          <w:spacing w:val="-11"/>
        </w:rPr>
        <w:t xml:space="preserve"> </w:t>
      </w:r>
      <w:r>
        <w:rPr>
          <w:color w:val="231F20"/>
        </w:rPr>
        <w:t>v</w:t>
      </w:r>
      <w:r>
        <w:rPr>
          <w:color w:val="231F20"/>
          <w:spacing w:val="-11"/>
        </w:rPr>
        <w:t xml:space="preserve"> </w:t>
      </w:r>
      <w:r>
        <w:rPr>
          <w:color w:val="231F20"/>
        </w:rPr>
        <w:t>souladu</w:t>
      </w:r>
      <w:r>
        <w:rPr>
          <w:color w:val="231F20"/>
          <w:spacing w:val="-11"/>
        </w:rPr>
        <w:t xml:space="preserve"> </w:t>
      </w:r>
      <w:r>
        <w:rPr>
          <w:color w:val="231F20"/>
        </w:rPr>
        <w:t>s</w:t>
      </w:r>
      <w:r>
        <w:rPr>
          <w:color w:val="231F20"/>
          <w:spacing w:val="-11"/>
        </w:rPr>
        <w:t xml:space="preserve"> </w:t>
      </w:r>
      <w:r>
        <w:rPr>
          <w:color w:val="231F20"/>
        </w:rPr>
        <w:t>těmito</w:t>
      </w:r>
      <w:r>
        <w:rPr>
          <w:color w:val="231F20"/>
          <w:spacing w:val="-11"/>
        </w:rPr>
        <w:t xml:space="preserve"> </w:t>
      </w:r>
      <w:r>
        <w:rPr>
          <w:color w:val="231F20"/>
        </w:rPr>
        <w:t>VPP</w:t>
      </w:r>
      <w:r>
        <w:rPr>
          <w:color w:val="231F20"/>
          <w:spacing w:val="-11"/>
        </w:rPr>
        <w:t xml:space="preserve"> </w:t>
      </w:r>
      <w:r>
        <w:rPr>
          <w:color w:val="231F20"/>
        </w:rPr>
        <w:t>rozhodne,</w:t>
      </w:r>
      <w:r>
        <w:rPr>
          <w:color w:val="231F20"/>
          <w:spacing w:val="-11"/>
        </w:rPr>
        <w:t xml:space="preserve"> </w:t>
      </w:r>
      <w:r>
        <w:rPr>
          <w:color w:val="231F20"/>
        </w:rPr>
        <w:t>že</w:t>
      </w:r>
      <w:r>
        <w:rPr>
          <w:color w:val="231F20"/>
          <w:spacing w:val="-11"/>
        </w:rPr>
        <w:t xml:space="preserve"> </w:t>
      </w:r>
      <w:r>
        <w:rPr>
          <w:color w:val="231F20"/>
        </w:rPr>
        <w:t>poskytne</w:t>
      </w:r>
      <w:r>
        <w:rPr>
          <w:color w:val="231F20"/>
          <w:spacing w:val="-12"/>
        </w:rPr>
        <w:t xml:space="preserve"> </w:t>
      </w:r>
      <w:r>
        <w:rPr>
          <w:color w:val="231F20"/>
        </w:rPr>
        <w:t>naturální</w:t>
      </w:r>
      <w:r>
        <w:rPr>
          <w:color w:val="231F20"/>
          <w:spacing w:val="-11"/>
        </w:rPr>
        <w:t xml:space="preserve"> </w:t>
      </w:r>
      <w:r>
        <w:rPr>
          <w:color w:val="231F20"/>
        </w:rPr>
        <w:t>pl- nění,</w:t>
      </w:r>
      <w:r>
        <w:rPr>
          <w:color w:val="231F20"/>
          <w:spacing w:val="-24"/>
        </w:rPr>
        <w:t xml:space="preserve"> </w:t>
      </w:r>
      <w:r>
        <w:rPr>
          <w:color w:val="231F20"/>
        </w:rPr>
        <w:t>a</w:t>
      </w:r>
      <w:r>
        <w:rPr>
          <w:color w:val="231F20"/>
          <w:spacing w:val="-23"/>
        </w:rPr>
        <w:t xml:space="preserve"> </w:t>
      </w:r>
      <w:r>
        <w:rPr>
          <w:color w:val="231F20"/>
        </w:rPr>
        <w:t>přesto</w:t>
      </w:r>
      <w:r>
        <w:rPr>
          <w:color w:val="231F20"/>
          <w:spacing w:val="-24"/>
        </w:rPr>
        <w:t xml:space="preserve"> </w:t>
      </w:r>
      <w:r>
        <w:rPr>
          <w:color w:val="231F20"/>
        </w:rPr>
        <w:t>byla</w:t>
      </w:r>
      <w:r>
        <w:rPr>
          <w:color w:val="231F20"/>
          <w:spacing w:val="-23"/>
        </w:rPr>
        <w:t xml:space="preserve"> </w:t>
      </w:r>
      <w:r>
        <w:rPr>
          <w:color w:val="231F20"/>
        </w:rPr>
        <w:t>provedena</w:t>
      </w:r>
      <w:r>
        <w:rPr>
          <w:color w:val="231F20"/>
          <w:spacing w:val="-24"/>
        </w:rPr>
        <w:t xml:space="preserve"> </w:t>
      </w:r>
      <w:r>
        <w:rPr>
          <w:color w:val="231F20"/>
        </w:rPr>
        <w:t>oprava</w:t>
      </w:r>
      <w:r>
        <w:rPr>
          <w:color w:val="231F20"/>
          <w:spacing w:val="-23"/>
        </w:rPr>
        <w:t xml:space="preserve"> </w:t>
      </w:r>
      <w:r>
        <w:rPr>
          <w:color w:val="231F20"/>
        </w:rPr>
        <w:t>nebo</w:t>
      </w:r>
      <w:r>
        <w:rPr>
          <w:color w:val="231F20"/>
          <w:spacing w:val="-24"/>
        </w:rPr>
        <w:t xml:space="preserve"> </w:t>
      </w:r>
      <w:r>
        <w:rPr>
          <w:color w:val="231F20"/>
        </w:rPr>
        <w:t>výměna</w:t>
      </w:r>
      <w:r>
        <w:rPr>
          <w:color w:val="231F20"/>
          <w:spacing w:val="-23"/>
        </w:rPr>
        <w:t xml:space="preserve"> </w:t>
      </w:r>
      <w:r>
        <w:rPr>
          <w:color w:val="231F20"/>
        </w:rPr>
        <w:t>věci</w:t>
      </w:r>
      <w:r>
        <w:rPr>
          <w:color w:val="231F20"/>
          <w:spacing w:val="-24"/>
        </w:rPr>
        <w:t xml:space="preserve"> </w:t>
      </w:r>
      <w:r>
        <w:rPr>
          <w:color w:val="231F20"/>
        </w:rPr>
        <w:t>jiným</w:t>
      </w:r>
      <w:r>
        <w:rPr>
          <w:color w:val="231F20"/>
          <w:spacing w:val="-23"/>
        </w:rPr>
        <w:t xml:space="preserve"> </w:t>
      </w:r>
      <w:r>
        <w:rPr>
          <w:color w:val="231F20"/>
        </w:rPr>
        <w:t>než</w:t>
      </w:r>
      <w:r>
        <w:rPr>
          <w:color w:val="231F20"/>
          <w:spacing w:val="-24"/>
        </w:rPr>
        <w:t xml:space="preserve"> </w:t>
      </w:r>
      <w:r>
        <w:rPr>
          <w:color w:val="231F20"/>
        </w:rPr>
        <w:t xml:space="preserve">Pojišťovnou stanoveným způsobem, poskytne Pojišťovna pojistné plnění jen do té </w:t>
      </w:r>
      <w:r>
        <w:rPr>
          <w:color w:val="231F20"/>
          <w:spacing w:val="-3"/>
        </w:rPr>
        <w:t xml:space="preserve">výše, </w:t>
      </w:r>
      <w:r>
        <w:rPr>
          <w:color w:val="231F20"/>
        </w:rPr>
        <w:t>kterou by poskytla, kdyby bylo postupováno podle jejích pokynů,</w:t>
      </w:r>
      <w:r>
        <w:rPr>
          <w:color w:val="231F20"/>
          <w:spacing w:val="-10"/>
        </w:rPr>
        <w:t xml:space="preserve"> </w:t>
      </w:r>
      <w:r>
        <w:rPr>
          <w:color w:val="231F20"/>
        </w:rPr>
        <w:t>respektive do</w:t>
      </w:r>
      <w:r>
        <w:rPr>
          <w:color w:val="231F20"/>
          <w:spacing w:val="-5"/>
        </w:rPr>
        <w:t xml:space="preserve"> </w:t>
      </w:r>
      <w:r>
        <w:rPr>
          <w:color w:val="231F20"/>
        </w:rPr>
        <w:t>té</w:t>
      </w:r>
      <w:r>
        <w:rPr>
          <w:color w:val="231F20"/>
          <w:spacing w:val="-5"/>
        </w:rPr>
        <w:t xml:space="preserve"> </w:t>
      </w:r>
      <w:r>
        <w:rPr>
          <w:color w:val="231F20"/>
        </w:rPr>
        <w:t>výše,</w:t>
      </w:r>
      <w:r>
        <w:rPr>
          <w:color w:val="231F20"/>
          <w:spacing w:val="-5"/>
        </w:rPr>
        <w:t xml:space="preserve"> </w:t>
      </w:r>
      <w:r>
        <w:rPr>
          <w:color w:val="231F20"/>
        </w:rPr>
        <w:t>která</w:t>
      </w:r>
      <w:r>
        <w:rPr>
          <w:color w:val="231F20"/>
          <w:spacing w:val="-4"/>
        </w:rPr>
        <w:t xml:space="preserve"> </w:t>
      </w:r>
      <w:r>
        <w:rPr>
          <w:color w:val="231F20"/>
        </w:rPr>
        <w:t>odpovídá</w:t>
      </w:r>
      <w:r>
        <w:rPr>
          <w:color w:val="231F20"/>
          <w:spacing w:val="-5"/>
        </w:rPr>
        <w:t xml:space="preserve"> </w:t>
      </w:r>
      <w:r>
        <w:rPr>
          <w:color w:val="231F20"/>
        </w:rPr>
        <w:t>hodnotě</w:t>
      </w:r>
      <w:r>
        <w:rPr>
          <w:color w:val="231F20"/>
          <w:spacing w:val="-5"/>
        </w:rPr>
        <w:t xml:space="preserve"> </w:t>
      </w:r>
      <w:r>
        <w:rPr>
          <w:color w:val="231F20"/>
        </w:rPr>
        <w:t>plnění</w:t>
      </w:r>
      <w:r>
        <w:rPr>
          <w:color w:val="231F20"/>
          <w:spacing w:val="-5"/>
        </w:rPr>
        <w:t xml:space="preserve"> </w:t>
      </w:r>
      <w:r>
        <w:rPr>
          <w:color w:val="231F20"/>
        </w:rPr>
        <w:t>při</w:t>
      </w:r>
      <w:r>
        <w:rPr>
          <w:color w:val="231F20"/>
          <w:spacing w:val="-4"/>
        </w:rPr>
        <w:t xml:space="preserve"> </w:t>
      </w:r>
      <w:r>
        <w:rPr>
          <w:color w:val="231F20"/>
        </w:rPr>
        <w:t>naturální</w:t>
      </w:r>
      <w:r>
        <w:rPr>
          <w:color w:val="231F20"/>
          <w:spacing w:val="-5"/>
        </w:rPr>
        <w:t xml:space="preserve"> </w:t>
      </w:r>
      <w:r>
        <w:rPr>
          <w:color w:val="231F20"/>
        </w:rPr>
        <w:t>restituci.</w:t>
      </w:r>
    </w:p>
    <w:p w14:paraId="0C96033E" w14:textId="77777777" w:rsidR="00F65BCA" w:rsidRDefault="00216117">
      <w:pPr>
        <w:pStyle w:val="Zkladntext"/>
        <w:spacing w:line="278" w:lineRule="auto"/>
        <w:ind w:left="466"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9</w:t>
      </w:r>
      <w:r>
        <w:rPr>
          <w:color w:val="231F20"/>
          <w:position w:val="1"/>
          <w:sz w:val="14"/>
        </w:rPr>
        <w:t xml:space="preserve"> </w:t>
      </w:r>
      <w:r>
        <w:rPr>
          <w:color w:val="231F20"/>
        </w:rPr>
        <w:t>Výše pojistného plnění pro vozidlo, jeho části včetně samostatně</w:t>
      </w:r>
      <w:r>
        <w:rPr>
          <w:color w:val="231F20"/>
          <w:spacing w:val="-31"/>
        </w:rPr>
        <w:t xml:space="preserve"> </w:t>
      </w:r>
      <w:r>
        <w:rPr>
          <w:color w:val="231F20"/>
        </w:rPr>
        <w:t>pojištěných skel,</w:t>
      </w:r>
      <w:r>
        <w:rPr>
          <w:color w:val="231F20"/>
          <w:spacing w:val="-4"/>
        </w:rPr>
        <w:t xml:space="preserve"> </w:t>
      </w:r>
      <w:r>
        <w:rPr>
          <w:color w:val="231F20"/>
        </w:rPr>
        <w:t>standardní</w:t>
      </w:r>
      <w:r>
        <w:rPr>
          <w:color w:val="231F20"/>
          <w:spacing w:val="-4"/>
        </w:rPr>
        <w:t xml:space="preserve"> </w:t>
      </w:r>
      <w:r>
        <w:rPr>
          <w:color w:val="231F20"/>
        </w:rPr>
        <w:t>i</w:t>
      </w:r>
      <w:r>
        <w:rPr>
          <w:color w:val="231F20"/>
          <w:spacing w:val="-4"/>
        </w:rPr>
        <w:t xml:space="preserve"> </w:t>
      </w:r>
      <w:r>
        <w:rPr>
          <w:color w:val="231F20"/>
        </w:rPr>
        <w:t>doplňkovou</w:t>
      </w:r>
      <w:r>
        <w:rPr>
          <w:color w:val="231F20"/>
          <w:spacing w:val="-4"/>
        </w:rPr>
        <w:t xml:space="preserve"> </w:t>
      </w:r>
      <w:r>
        <w:rPr>
          <w:color w:val="231F20"/>
        </w:rPr>
        <w:t>či</w:t>
      </w:r>
      <w:r>
        <w:rPr>
          <w:color w:val="231F20"/>
          <w:spacing w:val="-4"/>
        </w:rPr>
        <w:t xml:space="preserve"> </w:t>
      </w:r>
      <w:r>
        <w:rPr>
          <w:color w:val="231F20"/>
        </w:rPr>
        <w:t>ostatní</w:t>
      </w:r>
      <w:r>
        <w:rPr>
          <w:color w:val="231F20"/>
          <w:spacing w:val="-4"/>
        </w:rPr>
        <w:t xml:space="preserve"> </w:t>
      </w:r>
      <w:r>
        <w:rPr>
          <w:color w:val="231F20"/>
        </w:rPr>
        <w:t>výbavu</w:t>
      </w:r>
      <w:r>
        <w:rPr>
          <w:color w:val="231F20"/>
          <w:spacing w:val="-4"/>
        </w:rPr>
        <w:t xml:space="preserve"> </w:t>
      </w:r>
      <w:r>
        <w:rPr>
          <w:color w:val="231F20"/>
        </w:rPr>
        <w:t>vozidla</w:t>
      </w:r>
      <w:r>
        <w:rPr>
          <w:color w:val="231F20"/>
          <w:spacing w:val="-4"/>
        </w:rPr>
        <w:t xml:space="preserve"> </w:t>
      </w:r>
      <w:r>
        <w:rPr>
          <w:color w:val="231F20"/>
        </w:rPr>
        <w:t>včetně</w:t>
      </w:r>
      <w:r>
        <w:rPr>
          <w:color w:val="231F20"/>
          <w:spacing w:val="-3"/>
        </w:rPr>
        <w:t xml:space="preserve"> </w:t>
      </w:r>
      <w:r>
        <w:rPr>
          <w:color w:val="231F20"/>
        </w:rPr>
        <w:t>jejich</w:t>
      </w:r>
      <w:r>
        <w:rPr>
          <w:color w:val="231F20"/>
          <w:spacing w:val="-4"/>
        </w:rPr>
        <w:t xml:space="preserve"> </w:t>
      </w:r>
      <w:r>
        <w:rPr>
          <w:color w:val="231F20"/>
        </w:rPr>
        <w:t>částí</w:t>
      </w:r>
      <w:r>
        <w:rPr>
          <w:color w:val="231F20"/>
          <w:spacing w:val="-4"/>
        </w:rPr>
        <w:t xml:space="preserve"> </w:t>
      </w:r>
      <w:r>
        <w:rPr>
          <w:color w:val="231F20"/>
          <w:spacing w:val="-7"/>
        </w:rPr>
        <w:t xml:space="preserve">se </w:t>
      </w:r>
      <w:r>
        <w:rPr>
          <w:color w:val="231F20"/>
        </w:rPr>
        <w:t>určí</w:t>
      </w:r>
      <w:r>
        <w:rPr>
          <w:color w:val="231F20"/>
          <w:spacing w:val="-6"/>
        </w:rPr>
        <w:t xml:space="preserve"> </w:t>
      </w:r>
      <w:r>
        <w:rPr>
          <w:color w:val="231F20"/>
        </w:rPr>
        <w:t>podle</w:t>
      </w:r>
      <w:r>
        <w:rPr>
          <w:color w:val="231F20"/>
          <w:spacing w:val="-5"/>
        </w:rPr>
        <w:t xml:space="preserve"> </w:t>
      </w:r>
      <w:r>
        <w:rPr>
          <w:color w:val="231F20"/>
        </w:rPr>
        <w:t>rozsahu</w:t>
      </w:r>
      <w:r>
        <w:rPr>
          <w:color w:val="231F20"/>
          <w:spacing w:val="-5"/>
        </w:rPr>
        <w:t xml:space="preserve"> </w:t>
      </w:r>
      <w:r>
        <w:rPr>
          <w:color w:val="231F20"/>
        </w:rPr>
        <w:t>poškození,</w:t>
      </w:r>
      <w:r>
        <w:rPr>
          <w:color w:val="231F20"/>
          <w:spacing w:val="-5"/>
        </w:rPr>
        <w:t xml:space="preserve"> </w:t>
      </w:r>
      <w:r>
        <w:rPr>
          <w:color w:val="231F20"/>
        </w:rPr>
        <w:t>následujícím</w:t>
      </w:r>
      <w:r>
        <w:rPr>
          <w:color w:val="231F20"/>
          <w:spacing w:val="-5"/>
        </w:rPr>
        <w:t xml:space="preserve"> </w:t>
      </w:r>
      <w:r>
        <w:rPr>
          <w:color w:val="231F20"/>
        </w:rPr>
        <w:t>způsobem</w:t>
      </w:r>
      <w:r>
        <w:rPr>
          <w:color w:val="231F20"/>
          <w:spacing w:val="-5"/>
        </w:rPr>
        <w:t xml:space="preserve"> </w:t>
      </w:r>
      <w:r>
        <w:rPr>
          <w:color w:val="231F20"/>
        </w:rPr>
        <w:t>tak,</w:t>
      </w:r>
      <w:r>
        <w:rPr>
          <w:color w:val="231F20"/>
          <w:spacing w:val="-5"/>
        </w:rPr>
        <w:t xml:space="preserve"> </w:t>
      </w:r>
      <w:r>
        <w:rPr>
          <w:color w:val="231F20"/>
        </w:rPr>
        <w:t>že:</w:t>
      </w:r>
    </w:p>
    <w:p w14:paraId="72072AE0" w14:textId="77777777" w:rsidR="00F65BCA" w:rsidRDefault="00216117">
      <w:pPr>
        <w:pStyle w:val="Zkladntext"/>
        <w:spacing w:line="278" w:lineRule="auto"/>
        <w:ind w:left="636" w:right="424" w:hanging="171"/>
        <w:jc w:val="both"/>
      </w:pPr>
      <w:r>
        <w:rPr>
          <w:color w:val="231F20"/>
        </w:rPr>
        <w:t>a vzniklo-li právo na pojistné plnění z pojistné události, kterou bylo vozidlo poškozeno</w:t>
      </w:r>
      <w:r>
        <w:rPr>
          <w:color w:val="231F20"/>
          <w:spacing w:val="-12"/>
        </w:rPr>
        <w:t xml:space="preserve"> </w:t>
      </w:r>
      <w:r>
        <w:rPr>
          <w:color w:val="231F20"/>
        </w:rPr>
        <w:t>tak,</w:t>
      </w:r>
      <w:r>
        <w:rPr>
          <w:color w:val="231F20"/>
          <w:spacing w:val="-11"/>
        </w:rPr>
        <w:t xml:space="preserve"> </w:t>
      </w:r>
      <w:r>
        <w:rPr>
          <w:color w:val="231F20"/>
        </w:rPr>
        <w:t>že</w:t>
      </w:r>
      <w:r>
        <w:rPr>
          <w:color w:val="231F20"/>
          <w:spacing w:val="-11"/>
        </w:rPr>
        <w:t xml:space="preserve"> </w:t>
      </w:r>
      <w:r>
        <w:rPr>
          <w:color w:val="231F20"/>
        </w:rPr>
        <w:t>přiměřené</w:t>
      </w:r>
      <w:r>
        <w:rPr>
          <w:color w:val="231F20"/>
          <w:spacing w:val="-11"/>
        </w:rPr>
        <w:t xml:space="preserve"> </w:t>
      </w:r>
      <w:r>
        <w:rPr>
          <w:color w:val="231F20"/>
        </w:rPr>
        <w:t>náklady</w:t>
      </w:r>
      <w:r>
        <w:rPr>
          <w:color w:val="231F20"/>
          <w:spacing w:val="-12"/>
        </w:rPr>
        <w:t xml:space="preserve"> </w:t>
      </w:r>
      <w:r>
        <w:rPr>
          <w:color w:val="231F20"/>
        </w:rPr>
        <w:t>na</w:t>
      </w:r>
      <w:r>
        <w:rPr>
          <w:color w:val="231F20"/>
          <w:spacing w:val="-11"/>
        </w:rPr>
        <w:t xml:space="preserve"> </w:t>
      </w:r>
      <w:r>
        <w:rPr>
          <w:color w:val="231F20"/>
        </w:rPr>
        <w:t>jeho</w:t>
      </w:r>
      <w:r>
        <w:rPr>
          <w:color w:val="231F20"/>
          <w:spacing w:val="-11"/>
        </w:rPr>
        <w:t xml:space="preserve"> </w:t>
      </w:r>
      <w:r>
        <w:rPr>
          <w:color w:val="231F20"/>
        </w:rPr>
        <w:t>opravu</w:t>
      </w:r>
      <w:r>
        <w:rPr>
          <w:color w:val="231F20"/>
          <w:spacing w:val="-11"/>
        </w:rPr>
        <w:t xml:space="preserve"> </w:t>
      </w:r>
      <w:r>
        <w:rPr>
          <w:color w:val="231F20"/>
        </w:rPr>
        <w:t>jsou</w:t>
      </w:r>
      <w:r>
        <w:rPr>
          <w:color w:val="231F20"/>
          <w:spacing w:val="-12"/>
        </w:rPr>
        <w:t xml:space="preserve"> </w:t>
      </w:r>
      <w:r>
        <w:rPr>
          <w:color w:val="231F20"/>
        </w:rPr>
        <w:t>menší</w:t>
      </w:r>
      <w:r>
        <w:rPr>
          <w:color w:val="231F20"/>
          <w:spacing w:val="-11"/>
        </w:rPr>
        <w:t xml:space="preserve"> </w:t>
      </w:r>
      <w:r>
        <w:rPr>
          <w:color w:val="231F20"/>
        </w:rPr>
        <w:t>než</w:t>
      </w:r>
      <w:r>
        <w:rPr>
          <w:color w:val="231F20"/>
          <w:spacing w:val="-11"/>
        </w:rPr>
        <w:t xml:space="preserve"> </w:t>
      </w:r>
      <w:r>
        <w:rPr>
          <w:color w:val="231F20"/>
        </w:rPr>
        <w:t>70</w:t>
      </w:r>
      <w:r>
        <w:rPr>
          <w:color w:val="231F20"/>
          <w:spacing w:val="-11"/>
        </w:rPr>
        <w:t xml:space="preserve"> % </w:t>
      </w:r>
      <w:r>
        <w:rPr>
          <w:color w:val="231F20"/>
        </w:rPr>
        <w:t>tržní hodnoty, kterou mělo vozidlo bezprostředně před pojistnou</w:t>
      </w:r>
      <w:r>
        <w:rPr>
          <w:color w:val="231F20"/>
          <w:spacing w:val="-23"/>
        </w:rPr>
        <w:t xml:space="preserve"> </w:t>
      </w:r>
      <w:r>
        <w:rPr>
          <w:color w:val="231F20"/>
        </w:rPr>
        <w:t>událostí, jedná se o pojistné plnění při částečné (parciální) škodě a pojistné</w:t>
      </w:r>
      <w:r>
        <w:rPr>
          <w:color w:val="231F20"/>
          <w:spacing w:val="-26"/>
        </w:rPr>
        <w:t xml:space="preserve"> </w:t>
      </w:r>
      <w:r>
        <w:rPr>
          <w:color w:val="231F20"/>
        </w:rPr>
        <w:t>plnění lze</w:t>
      </w:r>
      <w:r>
        <w:rPr>
          <w:color w:val="231F20"/>
          <w:spacing w:val="-1"/>
        </w:rPr>
        <w:t xml:space="preserve"> </w:t>
      </w:r>
      <w:r>
        <w:rPr>
          <w:color w:val="231F20"/>
        </w:rPr>
        <w:t>stanovit:</w:t>
      </w:r>
    </w:p>
    <w:p w14:paraId="1804CCE9" w14:textId="77777777" w:rsidR="00F65BCA" w:rsidRDefault="00F65BCA">
      <w:pPr>
        <w:spacing w:line="278" w:lineRule="auto"/>
        <w:jc w:val="both"/>
        <w:sectPr w:rsidR="00F65BCA">
          <w:pgSz w:w="11910" w:h="16840"/>
          <w:pgMar w:top="520" w:right="140" w:bottom="0" w:left="140" w:header="708" w:footer="708" w:gutter="0"/>
          <w:cols w:num="2" w:space="708" w:equalWidth="0">
            <w:col w:w="5704" w:space="40"/>
            <w:col w:w="5886"/>
          </w:cols>
        </w:sectPr>
      </w:pPr>
    </w:p>
    <w:p w14:paraId="0B35D21A" w14:textId="77777777" w:rsidR="00F65BCA" w:rsidRDefault="00000000">
      <w:pPr>
        <w:pStyle w:val="Odstavecseseznamem"/>
        <w:numPr>
          <w:ilvl w:val="0"/>
          <w:numId w:val="3"/>
        </w:numPr>
        <w:tabs>
          <w:tab w:val="left" w:pos="1051"/>
        </w:tabs>
        <w:spacing w:before="75"/>
        <w:jc w:val="both"/>
        <w:rPr>
          <w:sz w:val="15"/>
        </w:rPr>
      </w:pPr>
      <w:r>
        <w:lastRenderedPageBreak/>
        <w:pict w14:anchorId="328FF779">
          <v:group id="_x0000_s2265" style="position:absolute;left:0;text-align:left;margin-left:0;margin-top:807.85pt;width:595.3pt;height:34.05pt;z-index:251867136;mso-position-horizontal-relative:page;mso-position-vertical-relative:page" coordorigin=",16157" coordsize="11906,681">
            <v:rect id="_x0000_s2268" style="position:absolute;top:16157;width:11906;height:681" fillcolor="#dcddde" stroked="f"/>
            <v:shape id="_x0000_s2267" type="#_x0000_t202" style="position:absolute;left:1020;top:16477;width:1414;height:164" filled="f" stroked="f">
              <v:textbox inset="0,0,0,0">
                <w:txbxContent>
                  <w:p w14:paraId="00A653B7" w14:textId="77777777" w:rsidR="00F65BCA" w:rsidRDefault="00216117">
                    <w:pPr>
                      <w:spacing w:before="2"/>
                      <w:rPr>
                        <w:sz w:val="14"/>
                      </w:rPr>
                    </w:pPr>
                    <w:r>
                      <w:rPr>
                        <w:color w:val="231F20"/>
                        <w:sz w:val="14"/>
                      </w:rPr>
                      <w:t>6.20.012 05.2025 v04</w:t>
                    </w:r>
                  </w:p>
                </w:txbxContent>
              </v:textbox>
            </v:shape>
            <v:shape id="_x0000_s2266" type="#_x0000_t202" style="position:absolute;left:5679;top:16420;width:5453;height:234" filled="f" stroked="f">
              <v:textbox inset="0,0,0,0">
                <w:txbxContent>
                  <w:p w14:paraId="280C18E1" w14:textId="77777777" w:rsidR="00F65BCA" w:rsidRDefault="00216117">
                    <w:pPr>
                      <w:spacing w:before="3"/>
                      <w:rPr>
                        <w:sz w:val="16"/>
                      </w:rPr>
                    </w:pPr>
                    <w:r>
                      <w:rPr>
                        <w:color w:val="231F20"/>
                        <w:sz w:val="16"/>
                      </w:rPr>
                      <w:t xml:space="preserve">Všeobecné pojistné podmínky pro pojištění vozidel VPPPMV-F-5/2025 </w:t>
                    </w:r>
                    <w:r>
                      <w:rPr>
                        <w:color w:val="6D6E71"/>
                        <w:sz w:val="20"/>
                      </w:rPr>
                      <w:t xml:space="preserve">| </w:t>
                    </w:r>
                    <w:r>
                      <w:rPr>
                        <w:color w:val="231F20"/>
                        <w:sz w:val="16"/>
                      </w:rPr>
                      <w:t>23</w:t>
                    </w:r>
                  </w:p>
                </w:txbxContent>
              </v:textbox>
            </v:shape>
            <w10:wrap anchorx="page" anchory="page"/>
          </v:group>
        </w:pict>
      </w:r>
      <w:r w:rsidR="00216117">
        <w:rPr>
          <w:color w:val="231F20"/>
          <w:sz w:val="15"/>
        </w:rPr>
        <w:t>na základě účtu za opravu ve výši přiměřených nákladů</w:t>
      </w:r>
      <w:r w:rsidR="00216117">
        <w:rPr>
          <w:color w:val="231F20"/>
          <w:spacing w:val="-9"/>
          <w:sz w:val="15"/>
        </w:rPr>
        <w:t xml:space="preserve"> </w:t>
      </w:r>
      <w:r w:rsidR="00216117">
        <w:rPr>
          <w:color w:val="231F20"/>
          <w:sz w:val="15"/>
        </w:rPr>
        <w:t>nebo</w:t>
      </w:r>
    </w:p>
    <w:p w14:paraId="2AC9DF8D" w14:textId="77777777" w:rsidR="00F65BCA" w:rsidRDefault="00216117">
      <w:pPr>
        <w:pStyle w:val="Odstavecseseznamem"/>
        <w:numPr>
          <w:ilvl w:val="0"/>
          <w:numId w:val="3"/>
        </w:numPr>
        <w:tabs>
          <w:tab w:val="left" w:pos="1051"/>
        </w:tabs>
        <w:spacing w:before="28"/>
        <w:jc w:val="both"/>
        <w:rPr>
          <w:sz w:val="15"/>
        </w:rPr>
      </w:pPr>
      <w:r>
        <w:rPr>
          <w:color w:val="231F20"/>
          <w:spacing w:val="-3"/>
          <w:w w:val="105"/>
          <w:sz w:val="15"/>
        </w:rPr>
        <w:t xml:space="preserve">tzv. </w:t>
      </w:r>
      <w:r>
        <w:rPr>
          <w:color w:val="231F20"/>
          <w:w w:val="105"/>
          <w:sz w:val="15"/>
        </w:rPr>
        <w:t>rozpočtem nákladů na</w:t>
      </w:r>
      <w:r>
        <w:rPr>
          <w:color w:val="231F20"/>
          <w:spacing w:val="-8"/>
          <w:w w:val="105"/>
          <w:sz w:val="15"/>
        </w:rPr>
        <w:t xml:space="preserve"> </w:t>
      </w:r>
      <w:r>
        <w:rPr>
          <w:color w:val="231F20"/>
          <w:w w:val="105"/>
          <w:sz w:val="15"/>
        </w:rPr>
        <w:t>opravu;</w:t>
      </w:r>
    </w:p>
    <w:p w14:paraId="1D91EF3A" w14:textId="77777777" w:rsidR="00F65BCA" w:rsidRDefault="00216117">
      <w:pPr>
        <w:pStyle w:val="Odstavecseseznamem"/>
        <w:numPr>
          <w:ilvl w:val="0"/>
          <w:numId w:val="105"/>
        </w:numPr>
        <w:tabs>
          <w:tab w:val="left" w:pos="881"/>
        </w:tabs>
        <w:spacing w:before="27" w:line="278" w:lineRule="auto"/>
        <w:ind w:right="3"/>
        <w:jc w:val="both"/>
        <w:rPr>
          <w:sz w:val="15"/>
        </w:rPr>
      </w:pPr>
      <w:r>
        <w:rPr>
          <w:color w:val="231F20"/>
          <w:sz w:val="15"/>
        </w:rPr>
        <w:t>vzniklo-li</w:t>
      </w:r>
      <w:r>
        <w:rPr>
          <w:color w:val="231F20"/>
          <w:spacing w:val="-22"/>
          <w:sz w:val="15"/>
        </w:rPr>
        <w:t xml:space="preserve"> </w:t>
      </w:r>
      <w:r>
        <w:rPr>
          <w:color w:val="231F20"/>
          <w:sz w:val="15"/>
        </w:rPr>
        <w:t>právo</w:t>
      </w:r>
      <w:r>
        <w:rPr>
          <w:color w:val="231F20"/>
          <w:spacing w:val="-22"/>
          <w:sz w:val="15"/>
        </w:rPr>
        <w:t xml:space="preserve"> </w:t>
      </w:r>
      <w:r>
        <w:rPr>
          <w:color w:val="231F20"/>
          <w:sz w:val="15"/>
        </w:rPr>
        <w:t>na</w:t>
      </w:r>
      <w:r>
        <w:rPr>
          <w:color w:val="231F20"/>
          <w:spacing w:val="-22"/>
          <w:sz w:val="15"/>
        </w:rPr>
        <w:t xml:space="preserve"> </w:t>
      </w:r>
      <w:r>
        <w:rPr>
          <w:color w:val="231F20"/>
          <w:sz w:val="15"/>
        </w:rPr>
        <w:t>pojistné</w:t>
      </w:r>
      <w:r>
        <w:rPr>
          <w:color w:val="231F20"/>
          <w:spacing w:val="-22"/>
          <w:sz w:val="15"/>
        </w:rPr>
        <w:t xml:space="preserve"> </w:t>
      </w:r>
      <w:r>
        <w:rPr>
          <w:color w:val="231F20"/>
          <w:sz w:val="15"/>
        </w:rPr>
        <w:t>plnění</w:t>
      </w:r>
      <w:r>
        <w:rPr>
          <w:color w:val="231F20"/>
          <w:spacing w:val="-21"/>
          <w:sz w:val="15"/>
        </w:rPr>
        <w:t xml:space="preserve"> </w:t>
      </w:r>
      <w:r>
        <w:rPr>
          <w:color w:val="231F20"/>
          <w:sz w:val="15"/>
        </w:rPr>
        <w:t>z</w:t>
      </w:r>
      <w:r>
        <w:rPr>
          <w:color w:val="231F20"/>
          <w:spacing w:val="-22"/>
          <w:sz w:val="15"/>
        </w:rPr>
        <w:t xml:space="preserve"> </w:t>
      </w:r>
      <w:r>
        <w:rPr>
          <w:color w:val="231F20"/>
          <w:sz w:val="15"/>
        </w:rPr>
        <w:t>pojistné</w:t>
      </w:r>
      <w:r>
        <w:rPr>
          <w:color w:val="231F20"/>
          <w:spacing w:val="-22"/>
          <w:sz w:val="15"/>
        </w:rPr>
        <w:t xml:space="preserve"> </w:t>
      </w:r>
      <w:r>
        <w:rPr>
          <w:color w:val="231F20"/>
          <w:sz w:val="15"/>
        </w:rPr>
        <w:t>události,</w:t>
      </w:r>
      <w:r>
        <w:rPr>
          <w:color w:val="231F20"/>
          <w:spacing w:val="-22"/>
          <w:sz w:val="15"/>
        </w:rPr>
        <w:t xml:space="preserve"> </w:t>
      </w:r>
      <w:r>
        <w:rPr>
          <w:color w:val="231F20"/>
          <w:sz w:val="15"/>
        </w:rPr>
        <w:t>kterou</w:t>
      </w:r>
      <w:r>
        <w:rPr>
          <w:color w:val="231F20"/>
          <w:spacing w:val="-22"/>
          <w:sz w:val="15"/>
        </w:rPr>
        <w:t xml:space="preserve"> </w:t>
      </w:r>
      <w:r>
        <w:rPr>
          <w:color w:val="231F20"/>
          <w:sz w:val="15"/>
        </w:rPr>
        <w:t>bylo</w:t>
      </w:r>
      <w:r>
        <w:rPr>
          <w:color w:val="231F20"/>
          <w:spacing w:val="-21"/>
          <w:sz w:val="15"/>
        </w:rPr>
        <w:t xml:space="preserve"> </w:t>
      </w:r>
      <w:r>
        <w:rPr>
          <w:color w:val="231F20"/>
          <w:sz w:val="15"/>
        </w:rPr>
        <w:t>vozidlo</w:t>
      </w:r>
      <w:r>
        <w:rPr>
          <w:color w:val="231F20"/>
          <w:spacing w:val="-22"/>
          <w:sz w:val="15"/>
        </w:rPr>
        <w:t xml:space="preserve"> </w:t>
      </w:r>
      <w:r>
        <w:rPr>
          <w:color w:val="231F20"/>
          <w:sz w:val="15"/>
        </w:rPr>
        <w:t>zni- čeno</w:t>
      </w:r>
      <w:r>
        <w:rPr>
          <w:color w:val="231F20"/>
          <w:spacing w:val="-21"/>
          <w:sz w:val="15"/>
        </w:rPr>
        <w:t xml:space="preserve"> </w:t>
      </w:r>
      <w:r>
        <w:rPr>
          <w:color w:val="231F20"/>
          <w:sz w:val="15"/>
        </w:rPr>
        <w:t>nebo</w:t>
      </w:r>
      <w:r>
        <w:rPr>
          <w:color w:val="231F20"/>
          <w:spacing w:val="-20"/>
          <w:sz w:val="15"/>
        </w:rPr>
        <w:t xml:space="preserve"> </w:t>
      </w:r>
      <w:r>
        <w:rPr>
          <w:color w:val="231F20"/>
          <w:sz w:val="15"/>
        </w:rPr>
        <w:t>kterou</w:t>
      </w:r>
      <w:r>
        <w:rPr>
          <w:color w:val="231F20"/>
          <w:spacing w:val="-20"/>
          <w:sz w:val="15"/>
        </w:rPr>
        <w:t xml:space="preserve"> </w:t>
      </w:r>
      <w:r>
        <w:rPr>
          <w:color w:val="231F20"/>
          <w:sz w:val="15"/>
        </w:rPr>
        <w:t>bylo</w:t>
      </w:r>
      <w:r>
        <w:rPr>
          <w:color w:val="231F20"/>
          <w:spacing w:val="-21"/>
          <w:sz w:val="15"/>
        </w:rPr>
        <w:t xml:space="preserve"> </w:t>
      </w:r>
      <w:r>
        <w:rPr>
          <w:color w:val="231F20"/>
          <w:sz w:val="15"/>
        </w:rPr>
        <w:t>poškozeno</w:t>
      </w:r>
      <w:r>
        <w:rPr>
          <w:color w:val="231F20"/>
          <w:spacing w:val="-20"/>
          <w:sz w:val="15"/>
        </w:rPr>
        <w:t xml:space="preserve"> </w:t>
      </w:r>
      <w:r>
        <w:rPr>
          <w:color w:val="231F20"/>
          <w:sz w:val="15"/>
        </w:rPr>
        <w:t>tak,</w:t>
      </w:r>
      <w:r>
        <w:rPr>
          <w:color w:val="231F20"/>
          <w:spacing w:val="-20"/>
          <w:sz w:val="15"/>
        </w:rPr>
        <w:t xml:space="preserve"> </w:t>
      </w:r>
      <w:r>
        <w:rPr>
          <w:color w:val="231F20"/>
          <w:sz w:val="15"/>
        </w:rPr>
        <w:t>že</w:t>
      </w:r>
      <w:r>
        <w:rPr>
          <w:color w:val="231F20"/>
          <w:spacing w:val="-21"/>
          <w:sz w:val="15"/>
        </w:rPr>
        <w:t xml:space="preserve"> </w:t>
      </w:r>
      <w:r>
        <w:rPr>
          <w:color w:val="231F20"/>
          <w:sz w:val="15"/>
        </w:rPr>
        <w:t>přiměřené</w:t>
      </w:r>
      <w:r>
        <w:rPr>
          <w:color w:val="231F20"/>
          <w:spacing w:val="-20"/>
          <w:sz w:val="15"/>
        </w:rPr>
        <w:t xml:space="preserve"> </w:t>
      </w:r>
      <w:r>
        <w:rPr>
          <w:color w:val="231F20"/>
          <w:sz w:val="15"/>
        </w:rPr>
        <w:t>náklady</w:t>
      </w:r>
      <w:r>
        <w:rPr>
          <w:color w:val="231F20"/>
          <w:spacing w:val="-20"/>
          <w:sz w:val="15"/>
        </w:rPr>
        <w:t xml:space="preserve"> </w:t>
      </w:r>
      <w:r>
        <w:rPr>
          <w:color w:val="231F20"/>
          <w:sz w:val="15"/>
        </w:rPr>
        <w:t>na</w:t>
      </w:r>
      <w:r>
        <w:rPr>
          <w:color w:val="231F20"/>
          <w:spacing w:val="-20"/>
          <w:sz w:val="15"/>
        </w:rPr>
        <w:t xml:space="preserve"> </w:t>
      </w:r>
      <w:r>
        <w:rPr>
          <w:color w:val="231F20"/>
          <w:sz w:val="15"/>
        </w:rPr>
        <w:t>jeho</w:t>
      </w:r>
      <w:r>
        <w:rPr>
          <w:color w:val="231F20"/>
          <w:spacing w:val="-21"/>
          <w:sz w:val="15"/>
        </w:rPr>
        <w:t xml:space="preserve"> </w:t>
      </w:r>
      <w:r>
        <w:rPr>
          <w:color w:val="231F20"/>
          <w:sz w:val="15"/>
        </w:rPr>
        <w:t>opravu jsou</w:t>
      </w:r>
      <w:r>
        <w:rPr>
          <w:color w:val="231F20"/>
          <w:spacing w:val="-11"/>
          <w:sz w:val="15"/>
        </w:rPr>
        <w:t xml:space="preserve"> </w:t>
      </w:r>
      <w:r>
        <w:rPr>
          <w:color w:val="231F20"/>
          <w:sz w:val="15"/>
        </w:rPr>
        <w:t>rovny</w:t>
      </w:r>
      <w:r>
        <w:rPr>
          <w:color w:val="231F20"/>
          <w:spacing w:val="-12"/>
          <w:sz w:val="15"/>
        </w:rPr>
        <w:t xml:space="preserve"> </w:t>
      </w:r>
      <w:r>
        <w:rPr>
          <w:color w:val="231F20"/>
          <w:sz w:val="15"/>
        </w:rPr>
        <w:t>nebo</w:t>
      </w:r>
      <w:r>
        <w:rPr>
          <w:color w:val="231F20"/>
          <w:spacing w:val="-11"/>
          <w:sz w:val="15"/>
        </w:rPr>
        <w:t xml:space="preserve"> </w:t>
      </w:r>
      <w:r>
        <w:rPr>
          <w:color w:val="231F20"/>
          <w:sz w:val="15"/>
        </w:rPr>
        <w:t>převyšují</w:t>
      </w:r>
      <w:r>
        <w:rPr>
          <w:color w:val="231F20"/>
          <w:spacing w:val="-11"/>
          <w:sz w:val="15"/>
        </w:rPr>
        <w:t xml:space="preserve"> </w:t>
      </w:r>
      <w:r>
        <w:rPr>
          <w:color w:val="231F20"/>
          <w:sz w:val="15"/>
        </w:rPr>
        <w:t>70</w:t>
      </w:r>
      <w:r>
        <w:rPr>
          <w:color w:val="231F20"/>
          <w:spacing w:val="-11"/>
          <w:sz w:val="15"/>
        </w:rPr>
        <w:t xml:space="preserve"> </w:t>
      </w:r>
      <w:r>
        <w:rPr>
          <w:color w:val="231F20"/>
          <w:sz w:val="15"/>
        </w:rPr>
        <w:t>%</w:t>
      </w:r>
      <w:r>
        <w:rPr>
          <w:color w:val="231F20"/>
          <w:spacing w:val="-11"/>
          <w:sz w:val="15"/>
        </w:rPr>
        <w:t xml:space="preserve"> </w:t>
      </w:r>
      <w:r>
        <w:rPr>
          <w:color w:val="231F20"/>
          <w:sz w:val="15"/>
        </w:rPr>
        <w:t>tržní</w:t>
      </w:r>
      <w:r>
        <w:rPr>
          <w:color w:val="231F20"/>
          <w:spacing w:val="-11"/>
          <w:sz w:val="15"/>
        </w:rPr>
        <w:t xml:space="preserve"> </w:t>
      </w:r>
      <w:r>
        <w:rPr>
          <w:color w:val="231F20"/>
          <w:sz w:val="15"/>
        </w:rPr>
        <w:t>hodnoty,</w:t>
      </w:r>
      <w:r>
        <w:rPr>
          <w:color w:val="231F20"/>
          <w:spacing w:val="-11"/>
          <w:sz w:val="15"/>
        </w:rPr>
        <w:t xml:space="preserve"> </w:t>
      </w:r>
      <w:r>
        <w:rPr>
          <w:color w:val="231F20"/>
          <w:sz w:val="15"/>
        </w:rPr>
        <w:t>kterou</w:t>
      </w:r>
      <w:r>
        <w:rPr>
          <w:color w:val="231F20"/>
          <w:spacing w:val="-11"/>
          <w:sz w:val="15"/>
        </w:rPr>
        <w:t xml:space="preserve"> </w:t>
      </w:r>
      <w:r>
        <w:rPr>
          <w:color w:val="231F20"/>
          <w:sz w:val="15"/>
        </w:rPr>
        <w:t>mělo</w:t>
      </w:r>
      <w:r>
        <w:rPr>
          <w:color w:val="231F20"/>
          <w:spacing w:val="-11"/>
          <w:sz w:val="15"/>
        </w:rPr>
        <w:t xml:space="preserve"> </w:t>
      </w:r>
      <w:r>
        <w:rPr>
          <w:color w:val="231F20"/>
          <w:sz w:val="15"/>
        </w:rPr>
        <w:t>vozidlo</w:t>
      </w:r>
      <w:r>
        <w:rPr>
          <w:color w:val="231F20"/>
          <w:spacing w:val="-11"/>
          <w:sz w:val="15"/>
        </w:rPr>
        <w:t xml:space="preserve"> </w:t>
      </w:r>
      <w:r>
        <w:rPr>
          <w:color w:val="231F20"/>
          <w:sz w:val="15"/>
        </w:rPr>
        <w:t>bezpro- středně</w:t>
      </w:r>
      <w:r>
        <w:rPr>
          <w:color w:val="231F20"/>
          <w:spacing w:val="-18"/>
          <w:sz w:val="15"/>
        </w:rPr>
        <w:t xml:space="preserve"> </w:t>
      </w:r>
      <w:r>
        <w:rPr>
          <w:color w:val="231F20"/>
          <w:sz w:val="15"/>
        </w:rPr>
        <w:t>před</w:t>
      </w:r>
      <w:r>
        <w:rPr>
          <w:color w:val="231F20"/>
          <w:spacing w:val="-17"/>
          <w:sz w:val="15"/>
        </w:rPr>
        <w:t xml:space="preserve"> </w:t>
      </w:r>
      <w:r>
        <w:rPr>
          <w:color w:val="231F20"/>
          <w:sz w:val="15"/>
        </w:rPr>
        <w:t>pojistnou</w:t>
      </w:r>
      <w:r>
        <w:rPr>
          <w:color w:val="231F20"/>
          <w:spacing w:val="-18"/>
          <w:sz w:val="15"/>
        </w:rPr>
        <w:t xml:space="preserve"> </w:t>
      </w:r>
      <w:r>
        <w:rPr>
          <w:color w:val="231F20"/>
          <w:sz w:val="15"/>
        </w:rPr>
        <w:t>událostí,</w:t>
      </w:r>
      <w:r>
        <w:rPr>
          <w:color w:val="231F20"/>
          <w:spacing w:val="-17"/>
          <w:sz w:val="15"/>
        </w:rPr>
        <w:t xml:space="preserve"> </w:t>
      </w:r>
      <w:r>
        <w:rPr>
          <w:color w:val="231F20"/>
          <w:sz w:val="15"/>
        </w:rPr>
        <w:t>jedná</w:t>
      </w:r>
      <w:r>
        <w:rPr>
          <w:color w:val="231F20"/>
          <w:spacing w:val="-18"/>
          <w:sz w:val="15"/>
        </w:rPr>
        <w:t xml:space="preserve"> </w:t>
      </w:r>
      <w:r>
        <w:rPr>
          <w:color w:val="231F20"/>
          <w:sz w:val="15"/>
        </w:rPr>
        <w:t>se</w:t>
      </w:r>
      <w:r>
        <w:rPr>
          <w:color w:val="231F20"/>
          <w:spacing w:val="-17"/>
          <w:sz w:val="15"/>
        </w:rPr>
        <w:t xml:space="preserve"> </w:t>
      </w:r>
      <w:r>
        <w:rPr>
          <w:color w:val="231F20"/>
          <w:sz w:val="15"/>
        </w:rPr>
        <w:t>o</w:t>
      </w:r>
      <w:r>
        <w:rPr>
          <w:color w:val="231F20"/>
          <w:spacing w:val="-18"/>
          <w:sz w:val="15"/>
        </w:rPr>
        <w:t xml:space="preserve"> </w:t>
      </w:r>
      <w:r>
        <w:rPr>
          <w:color w:val="231F20"/>
          <w:sz w:val="15"/>
        </w:rPr>
        <w:t>pojistné</w:t>
      </w:r>
      <w:r>
        <w:rPr>
          <w:color w:val="231F20"/>
          <w:spacing w:val="-17"/>
          <w:sz w:val="15"/>
        </w:rPr>
        <w:t xml:space="preserve"> </w:t>
      </w:r>
      <w:r>
        <w:rPr>
          <w:color w:val="231F20"/>
          <w:sz w:val="15"/>
        </w:rPr>
        <w:t>plnění</w:t>
      </w:r>
      <w:r>
        <w:rPr>
          <w:color w:val="231F20"/>
          <w:spacing w:val="-18"/>
          <w:sz w:val="15"/>
        </w:rPr>
        <w:t xml:space="preserve"> </w:t>
      </w:r>
      <w:r>
        <w:rPr>
          <w:color w:val="231F20"/>
          <w:sz w:val="15"/>
        </w:rPr>
        <w:t>při</w:t>
      </w:r>
      <w:r>
        <w:rPr>
          <w:color w:val="231F20"/>
          <w:spacing w:val="-17"/>
          <w:sz w:val="15"/>
        </w:rPr>
        <w:t xml:space="preserve"> </w:t>
      </w:r>
      <w:r>
        <w:rPr>
          <w:color w:val="231F20"/>
          <w:sz w:val="15"/>
        </w:rPr>
        <w:t>totální</w:t>
      </w:r>
      <w:r>
        <w:rPr>
          <w:color w:val="231F20"/>
          <w:spacing w:val="-18"/>
          <w:sz w:val="15"/>
        </w:rPr>
        <w:t xml:space="preserve"> </w:t>
      </w:r>
      <w:r>
        <w:rPr>
          <w:color w:val="231F20"/>
          <w:sz w:val="15"/>
        </w:rPr>
        <w:t xml:space="preserve">škodě: výši pojistného plnění při totální škodě stanoví Pojišťovna tak, že od </w:t>
      </w:r>
      <w:r>
        <w:rPr>
          <w:color w:val="231F20"/>
          <w:spacing w:val="-4"/>
          <w:sz w:val="15"/>
        </w:rPr>
        <w:t xml:space="preserve">tržní </w:t>
      </w:r>
      <w:r>
        <w:rPr>
          <w:color w:val="231F20"/>
          <w:sz w:val="15"/>
        </w:rPr>
        <w:t>hodnoty</w:t>
      </w:r>
      <w:r>
        <w:rPr>
          <w:color w:val="231F20"/>
          <w:spacing w:val="-12"/>
          <w:sz w:val="15"/>
        </w:rPr>
        <w:t xml:space="preserve"> </w:t>
      </w:r>
      <w:r>
        <w:rPr>
          <w:color w:val="231F20"/>
          <w:sz w:val="15"/>
        </w:rPr>
        <w:t>vozidla</w:t>
      </w:r>
      <w:r>
        <w:rPr>
          <w:color w:val="231F20"/>
          <w:spacing w:val="-11"/>
          <w:sz w:val="15"/>
        </w:rPr>
        <w:t xml:space="preserve"> </w:t>
      </w:r>
      <w:r>
        <w:rPr>
          <w:color w:val="231F20"/>
          <w:sz w:val="15"/>
        </w:rPr>
        <w:t>ke</w:t>
      </w:r>
      <w:r>
        <w:rPr>
          <w:color w:val="231F20"/>
          <w:spacing w:val="-11"/>
          <w:sz w:val="15"/>
        </w:rPr>
        <w:t xml:space="preserve"> </w:t>
      </w:r>
      <w:r>
        <w:rPr>
          <w:color w:val="231F20"/>
          <w:sz w:val="15"/>
        </w:rPr>
        <w:t>dni</w:t>
      </w:r>
      <w:r>
        <w:rPr>
          <w:color w:val="231F20"/>
          <w:spacing w:val="-11"/>
          <w:sz w:val="15"/>
        </w:rPr>
        <w:t xml:space="preserve"> </w:t>
      </w:r>
      <w:r>
        <w:rPr>
          <w:color w:val="231F20"/>
          <w:sz w:val="15"/>
        </w:rPr>
        <w:t>pojistné</w:t>
      </w:r>
      <w:r>
        <w:rPr>
          <w:color w:val="231F20"/>
          <w:spacing w:val="-11"/>
          <w:sz w:val="15"/>
        </w:rPr>
        <w:t xml:space="preserve"> </w:t>
      </w:r>
      <w:r>
        <w:rPr>
          <w:color w:val="231F20"/>
          <w:sz w:val="15"/>
        </w:rPr>
        <w:t>události</w:t>
      </w:r>
      <w:r>
        <w:rPr>
          <w:color w:val="231F20"/>
          <w:spacing w:val="-11"/>
          <w:sz w:val="15"/>
        </w:rPr>
        <w:t xml:space="preserve"> </w:t>
      </w:r>
      <w:r>
        <w:rPr>
          <w:color w:val="231F20"/>
          <w:sz w:val="15"/>
        </w:rPr>
        <w:t>odečte</w:t>
      </w:r>
      <w:r>
        <w:rPr>
          <w:color w:val="231F20"/>
          <w:spacing w:val="-12"/>
          <w:sz w:val="15"/>
        </w:rPr>
        <w:t xml:space="preserve"> </w:t>
      </w:r>
      <w:r>
        <w:rPr>
          <w:color w:val="231F20"/>
          <w:sz w:val="15"/>
        </w:rPr>
        <w:t>tržní</w:t>
      </w:r>
      <w:r>
        <w:rPr>
          <w:color w:val="231F20"/>
          <w:spacing w:val="-11"/>
          <w:sz w:val="15"/>
        </w:rPr>
        <w:t xml:space="preserve"> </w:t>
      </w:r>
      <w:r>
        <w:rPr>
          <w:color w:val="231F20"/>
          <w:sz w:val="15"/>
        </w:rPr>
        <w:t>hodnotu</w:t>
      </w:r>
      <w:r>
        <w:rPr>
          <w:color w:val="231F20"/>
          <w:spacing w:val="-11"/>
          <w:sz w:val="15"/>
        </w:rPr>
        <w:t xml:space="preserve"> </w:t>
      </w:r>
      <w:r>
        <w:rPr>
          <w:color w:val="231F20"/>
          <w:sz w:val="15"/>
        </w:rPr>
        <w:t>zbytků,</w:t>
      </w:r>
      <w:r>
        <w:rPr>
          <w:color w:val="231F20"/>
          <w:spacing w:val="-11"/>
          <w:sz w:val="15"/>
        </w:rPr>
        <w:t xml:space="preserve"> </w:t>
      </w:r>
      <w:r>
        <w:rPr>
          <w:color w:val="231F20"/>
          <w:sz w:val="15"/>
        </w:rPr>
        <w:t>tj.</w:t>
      </w:r>
      <w:r>
        <w:rPr>
          <w:color w:val="231F20"/>
          <w:spacing w:val="-11"/>
          <w:sz w:val="15"/>
        </w:rPr>
        <w:t xml:space="preserve"> </w:t>
      </w:r>
      <w:r>
        <w:rPr>
          <w:color w:val="231F20"/>
          <w:spacing w:val="-5"/>
          <w:sz w:val="15"/>
        </w:rPr>
        <w:t xml:space="preserve">po- </w:t>
      </w:r>
      <w:r>
        <w:rPr>
          <w:color w:val="231F20"/>
          <w:sz w:val="15"/>
        </w:rPr>
        <w:t>užitelných</w:t>
      </w:r>
      <w:r>
        <w:rPr>
          <w:color w:val="231F20"/>
          <w:spacing w:val="-10"/>
          <w:sz w:val="15"/>
        </w:rPr>
        <w:t xml:space="preserve"> </w:t>
      </w:r>
      <w:r>
        <w:rPr>
          <w:color w:val="231F20"/>
          <w:sz w:val="15"/>
        </w:rPr>
        <w:t>dílů;</w:t>
      </w:r>
      <w:r>
        <w:rPr>
          <w:color w:val="231F20"/>
          <w:spacing w:val="-10"/>
          <w:sz w:val="15"/>
        </w:rPr>
        <w:t xml:space="preserve"> </w:t>
      </w:r>
      <w:r>
        <w:rPr>
          <w:color w:val="231F20"/>
          <w:sz w:val="15"/>
        </w:rPr>
        <w:t>zbytky</w:t>
      </w:r>
      <w:r>
        <w:rPr>
          <w:color w:val="231F20"/>
          <w:spacing w:val="-10"/>
          <w:sz w:val="15"/>
        </w:rPr>
        <w:t xml:space="preserve"> </w:t>
      </w:r>
      <w:r>
        <w:rPr>
          <w:color w:val="231F20"/>
          <w:sz w:val="15"/>
        </w:rPr>
        <w:t>zůstávají</w:t>
      </w:r>
      <w:r>
        <w:rPr>
          <w:color w:val="231F20"/>
          <w:spacing w:val="-10"/>
          <w:sz w:val="15"/>
        </w:rPr>
        <w:t xml:space="preserve"> </w:t>
      </w:r>
      <w:r>
        <w:rPr>
          <w:color w:val="231F20"/>
          <w:sz w:val="15"/>
        </w:rPr>
        <w:t>ve</w:t>
      </w:r>
      <w:r>
        <w:rPr>
          <w:color w:val="231F20"/>
          <w:spacing w:val="-9"/>
          <w:sz w:val="15"/>
        </w:rPr>
        <w:t xml:space="preserve"> </w:t>
      </w:r>
      <w:r>
        <w:rPr>
          <w:color w:val="231F20"/>
          <w:sz w:val="15"/>
        </w:rPr>
        <w:t>vlastnictví</w:t>
      </w:r>
      <w:r>
        <w:rPr>
          <w:color w:val="231F20"/>
          <w:spacing w:val="-10"/>
          <w:sz w:val="15"/>
        </w:rPr>
        <w:t xml:space="preserve"> </w:t>
      </w:r>
      <w:r>
        <w:rPr>
          <w:color w:val="231F20"/>
          <w:sz w:val="15"/>
        </w:rPr>
        <w:t>pojištěného</w:t>
      </w:r>
      <w:r>
        <w:rPr>
          <w:color w:val="231F20"/>
          <w:spacing w:val="-10"/>
          <w:sz w:val="15"/>
        </w:rPr>
        <w:t xml:space="preserve"> </w:t>
      </w:r>
      <w:r>
        <w:rPr>
          <w:color w:val="231F20"/>
          <w:sz w:val="15"/>
        </w:rPr>
        <w:t>(dále</w:t>
      </w:r>
      <w:r>
        <w:rPr>
          <w:color w:val="231F20"/>
          <w:spacing w:val="-10"/>
          <w:sz w:val="15"/>
        </w:rPr>
        <w:t xml:space="preserve"> </w:t>
      </w:r>
      <w:r>
        <w:rPr>
          <w:color w:val="231F20"/>
          <w:sz w:val="15"/>
        </w:rPr>
        <w:t>jen</w:t>
      </w:r>
      <w:r>
        <w:rPr>
          <w:color w:val="231F20"/>
          <w:spacing w:val="-9"/>
          <w:sz w:val="15"/>
        </w:rPr>
        <w:t xml:space="preserve"> </w:t>
      </w:r>
      <w:r>
        <w:rPr>
          <w:color w:val="231F20"/>
          <w:spacing w:val="-3"/>
          <w:sz w:val="15"/>
        </w:rPr>
        <w:t xml:space="preserve">„použi- </w:t>
      </w:r>
      <w:r>
        <w:rPr>
          <w:color w:val="231F20"/>
          <w:sz w:val="15"/>
        </w:rPr>
        <w:t>telné zbytky</w:t>
      </w:r>
      <w:r>
        <w:rPr>
          <w:color w:val="231F20"/>
          <w:spacing w:val="1"/>
          <w:sz w:val="15"/>
        </w:rPr>
        <w:t xml:space="preserve"> </w:t>
      </w:r>
      <w:r>
        <w:rPr>
          <w:color w:val="231F20"/>
          <w:sz w:val="15"/>
        </w:rPr>
        <w:t>vozidla“);</w:t>
      </w:r>
    </w:p>
    <w:p w14:paraId="02935718" w14:textId="77777777" w:rsidR="00F65BCA" w:rsidRDefault="00216117">
      <w:pPr>
        <w:pStyle w:val="Odstavecseseznamem"/>
        <w:numPr>
          <w:ilvl w:val="0"/>
          <w:numId w:val="105"/>
        </w:numPr>
        <w:tabs>
          <w:tab w:val="left" w:pos="881"/>
        </w:tabs>
        <w:spacing w:line="278" w:lineRule="auto"/>
        <w:ind w:right="3"/>
        <w:rPr>
          <w:sz w:val="15"/>
        </w:rPr>
      </w:pPr>
      <w:r>
        <w:rPr>
          <w:color w:val="231F20"/>
          <w:sz w:val="15"/>
        </w:rPr>
        <w:t>pojistné plnění při odcizení vozidla, jeho částí nebo výbavy vozidla: pokud</w:t>
      </w:r>
      <w:r>
        <w:rPr>
          <w:color w:val="231F20"/>
          <w:spacing w:val="-13"/>
          <w:sz w:val="15"/>
        </w:rPr>
        <w:t xml:space="preserve"> </w:t>
      </w:r>
      <w:r>
        <w:rPr>
          <w:color w:val="231F20"/>
          <w:sz w:val="15"/>
        </w:rPr>
        <w:t>nebylo</w:t>
      </w:r>
      <w:r>
        <w:rPr>
          <w:color w:val="231F20"/>
          <w:spacing w:val="-12"/>
          <w:sz w:val="15"/>
        </w:rPr>
        <w:t xml:space="preserve"> </w:t>
      </w:r>
      <w:r>
        <w:rPr>
          <w:color w:val="231F20"/>
          <w:sz w:val="15"/>
        </w:rPr>
        <w:t>vozidlo</w:t>
      </w:r>
      <w:r>
        <w:rPr>
          <w:color w:val="231F20"/>
          <w:spacing w:val="-12"/>
          <w:sz w:val="15"/>
        </w:rPr>
        <w:t xml:space="preserve"> </w:t>
      </w:r>
      <w:r>
        <w:rPr>
          <w:color w:val="231F20"/>
          <w:sz w:val="15"/>
        </w:rPr>
        <w:t>nalezeno</w:t>
      </w:r>
      <w:r>
        <w:rPr>
          <w:color w:val="231F20"/>
          <w:spacing w:val="-12"/>
          <w:sz w:val="15"/>
        </w:rPr>
        <w:t xml:space="preserve"> </w:t>
      </w:r>
      <w:r>
        <w:rPr>
          <w:color w:val="231F20"/>
          <w:sz w:val="15"/>
        </w:rPr>
        <w:t>po</w:t>
      </w:r>
      <w:r>
        <w:rPr>
          <w:color w:val="231F20"/>
          <w:spacing w:val="-12"/>
          <w:sz w:val="15"/>
        </w:rPr>
        <w:t xml:space="preserve"> </w:t>
      </w:r>
      <w:r>
        <w:rPr>
          <w:color w:val="231F20"/>
          <w:sz w:val="15"/>
        </w:rPr>
        <w:t>ohlášení</w:t>
      </w:r>
      <w:r>
        <w:rPr>
          <w:color w:val="231F20"/>
          <w:spacing w:val="-12"/>
          <w:sz w:val="15"/>
        </w:rPr>
        <w:t xml:space="preserve"> </w:t>
      </w:r>
      <w:r>
        <w:rPr>
          <w:color w:val="231F20"/>
          <w:sz w:val="15"/>
        </w:rPr>
        <w:t>jeho</w:t>
      </w:r>
      <w:r>
        <w:rPr>
          <w:color w:val="231F20"/>
          <w:spacing w:val="-12"/>
          <w:sz w:val="15"/>
        </w:rPr>
        <w:t xml:space="preserve"> </w:t>
      </w:r>
      <w:r>
        <w:rPr>
          <w:color w:val="231F20"/>
          <w:sz w:val="15"/>
        </w:rPr>
        <w:t>odcizení</w:t>
      </w:r>
      <w:r>
        <w:rPr>
          <w:color w:val="231F20"/>
          <w:spacing w:val="-12"/>
          <w:sz w:val="15"/>
        </w:rPr>
        <w:t xml:space="preserve"> </w:t>
      </w:r>
      <w:r>
        <w:rPr>
          <w:color w:val="231F20"/>
          <w:sz w:val="15"/>
        </w:rPr>
        <w:t>do</w:t>
      </w:r>
      <w:r>
        <w:rPr>
          <w:color w:val="231F20"/>
          <w:spacing w:val="-12"/>
          <w:sz w:val="15"/>
        </w:rPr>
        <w:t xml:space="preserve"> </w:t>
      </w:r>
      <w:r>
        <w:rPr>
          <w:color w:val="231F20"/>
          <w:spacing w:val="-3"/>
          <w:sz w:val="15"/>
        </w:rPr>
        <w:t>doby,</w:t>
      </w:r>
      <w:r>
        <w:rPr>
          <w:color w:val="231F20"/>
          <w:spacing w:val="-12"/>
          <w:sz w:val="15"/>
        </w:rPr>
        <w:t xml:space="preserve"> </w:t>
      </w:r>
      <w:r>
        <w:rPr>
          <w:color w:val="231F20"/>
          <w:sz w:val="15"/>
        </w:rPr>
        <w:t>kdy</w:t>
      </w:r>
      <w:r>
        <w:rPr>
          <w:color w:val="231F20"/>
          <w:spacing w:val="-12"/>
          <w:sz w:val="15"/>
        </w:rPr>
        <w:t xml:space="preserve"> </w:t>
      </w:r>
      <w:r>
        <w:rPr>
          <w:color w:val="231F20"/>
          <w:sz w:val="15"/>
        </w:rPr>
        <w:t>Po- jišťovna</w:t>
      </w:r>
      <w:r>
        <w:rPr>
          <w:color w:val="231F20"/>
          <w:spacing w:val="-24"/>
          <w:sz w:val="15"/>
        </w:rPr>
        <w:t xml:space="preserve"> </w:t>
      </w:r>
      <w:r>
        <w:rPr>
          <w:color w:val="231F20"/>
          <w:sz w:val="15"/>
        </w:rPr>
        <w:t>skončila</w:t>
      </w:r>
      <w:r>
        <w:rPr>
          <w:color w:val="231F20"/>
          <w:spacing w:val="-23"/>
          <w:sz w:val="15"/>
        </w:rPr>
        <w:t xml:space="preserve"> </w:t>
      </w:r>
      <w:r>
        <w:rPr>
          <w:color w:val="231F20"/>
          <w:sz w:val="15"/>
        </w:rPr>
        <w:t>šetření</w:t>
      </w:r>
      <w:r>
        <w:rPr>
          <w:color w:val="231F20"/>
          <w:spacing w:val="-23"/>
          <w:sz w:val="15"/>
        </w:rPr>
        <w:t xml:space="preserve"> </w:t>
      </w:r>
      <w:r>
        <w:rPr>
          <w:color w:val="231F20"/>
          <w:sz w:val="15"/>
        </w:rPr>
        <w:t>nutné</w:t>
      </w:r>
      <w:r>
        <w:rPr>
          <w:color w:val="231F20"/>
          <w:spacing w:val="-23"/>
          <w:sz w:val="15"/>
        </w:rPr>
        <w:t xml:space="preserve"> </w:t>
      </w:r>
      <w:r>
        <w:rPr>
          <w:color w:val="231F20"/>
          <w:sz w:val="15"/>
        </w:rPr>
        <w:t>k</w:t>
      </w:r>
      <w:r>
        <w:rPr>
          <w:color w:val="231F20"/>
          <w:spacing w:val="-23"/>
          <w:sz w:val="15"/>
        </w:rPr>
        <w:t xml:space="preserve"> </w:t>
      </w:r>
      <w:r>
        <w:rPr>
          <w:color w:val="231F20"/>
          <w:sz w:val="15"/>
        </w:rPr>
        <w:t>zjištění</w:t>
      </w:r>
      <w:r>
        <w:rPr>
          <w:color w:val="231F20"/>
          <w:spacing w:val="-23"/>
          <w:sz w:val="15"/>
        </w:rPr>
        <w:t xml:space="preserve"> </w:t>
      </w:r>
      <w:r>
        <w:rPr>
          <w:color w:val="231F20"/>
          <w:sz w:val="15"/>
        </w:rPr>
        <w:t>rozsahu</w:t>
      </w:r>
      <w:r>
        <w:rPr>
          <w:color w:val="231F20"/>
          <w:spacing w:val="-23"/>
          <w:sz w:val="15"/>
        </w:rPr>
        <w:t xml:space="preserve"> </w:t>
      </w:r>
      <w:r>
        <w:rPr>
          <w:color w:val="231F20"/>
          <w:sz w:val="15"/>
        </w:rPr>
        <w:t>povinnosti</w:t>
      </w:r>
      <w:r>
        <w:rPr>
          <w:color w:val="231F20"/>
          <w:spacing w:val="-24"/>
          <w:sz w:val="15"/>
        </w:rPr>
        <w:t xml:space="preserve"> </w:t>
      </w:r>
      <w:r>
        <w:rPr>
          <w:color w:val="231F20"/>
          <w:sz w:val="15"/>
        </w:rPr>
        <w:t>Pojišťovny</w:t>
      </w:r>
      <w:r>
        <w:rPr>
          <w:color w:val="231F20"/>
          <w:spacing w:val="-23"/>
          <w:sz w:val="15"/>
        </w:rPr>
        <w:t xml:space="preserve"> </w:t>
      </w:r>
      <w:r>
        <w:rPr>
          <w:color w:val="231F20"/>
          <w:spacing w:val="-3"/>
          <w:sz w:val="15"/>
        </w:rPr>
        <w:t xml:space="preserve">plnit, </w:t>
      </w:r>
      <w:r>
        <w:rPr>
          <w:color w:val="231F20"/>
          <w:sz w:val="15"/>
        </w:rPr>
        <w:t xml:space="preserve">poskytne Pojišťovna pojistné plnění ve výši tržní hodnoty vozidla v </w:t>
      </w:r>
      <w:r>
        <w:rPr>
          <w:color w:val="231F20"/>
          <w:spacing w:val="-4"/>
          <w:sz w:val="15"/>
        </w:rPr>
        <w:t xml:space="preserve">době </w:t>
      </w:r>
      <w:r>
        <w:rPr>
          <w:color w:val="231F20"/>
          <w:sz w:val="15"/>
        </w:rPr>
        <w:t>pojistné</w:t>
      </w:r>
      <w:r>
        <w:rPr>
          <w:color w:val="231F20"/>
          <w:spacing w:val="-17"/>
          <w:sz w:val="15"/>
        </w:rPr>
        <w:t xml:space="preserve"> </w:t>
      </w:r>
      <w:r>
        <w:rPr>
          <w:color w:val="231F20"/>
          <w:sz w:val="15"/>
        </w:rPr>
        <w:t>události.</w:t>
      </w:r>
      <w:r>
        <w:rPr>
          <w:color w:val="231F20"/>
          <w:spacing w:val="-16"/>
          <w:sz w:val="15"/>
        </w:rPr>
        <w:t xml:space="preserve"> </w:t>
      </w:r>
      <w:r>
        <w:rPr>
          <w:color w:val="231F20"/>
          <w:sz w:val="15"/>
        </w:rPr>
        <w:t>V</w:t>
      </w:r>
      <w:r>
        <w:rPr>
          <w:color w:val="231F20"/>
          <w:spacing w:val="-17"/>
          <w:sz w:val="15"/>
        </w:rPr>
        <w:t xml:space="preserve"> </w:t>
      </w:r>
      <w:r>
        <w:rPr>
          <w:color w:val="231F20"/>
          <w:sz w:val="15"/>
        </w:rPr>
        <w:t>případě</w:t>
      </w:r>
      <w:r>
        <w:rPr>
          <w:color w:val="231F20"/>
          <w:spacing w:val="-16"/>
          <w:sz w:val="15"/>
        </w:rPr>
        <w:t xml:space="preserve"> </w:t>
      </w:r>
      <w:r>
        <w:rPr>
          <w:color w:val="231F20"/>
          <w:sz w:val="15"/>
        </w:rPr>
        <w:t>odcizení</w:t>
      </w:r>
      <w:r>
        <w:rPr>
          <w:color w:val="231F20"/>
          <w:spacing w:val="-17"/>
          <w:sz w:val="15"/>
        </w:rPr>
        <w:t xml:space="preserve"> </w:t>
      </w:r>
      <w:r>
        <w:rPr>
          <w:color w:val="231F20"/>
          <w:sz w:val="15"/>
        </w:rPr>
        <w:t>částí</w:t>
      </w:r>
      <w:r>
        <w:rPr>
          <w:color w:val="231F20"/>
          <w:spacing w:val="-16"/>
          <w:sz w:val="15"/>
        </w:rPr>
        <w:t xml:space="preserve"> </w:t>
      </w:r>
      <w:r>
        <w:rPr>
          <w:color w:val="231F20"/>
          <w:sz w:val="15"/>
        </w:rPr>
        <w:t>vozidla</w:t>
      </w:r>
      <w:r>
        <w:rPr>
          <w:color w:val="231F20"/>
          <w:spacing w:val="-17"/>
          <w:sz w:val="15"/>
        </w:rPr>
        <w:t xml:space="preserve"> </w:t>
      </w:r>
      <w:r>
        <w:rPr>
          <w:color w:val="231F20"/>
          <w:sz w:val="15"/>
        </w:rPr>
        <w:t>nebo</w:t>
      </w:r>
      <w:r>
        <w:rPr>
          <w:color w:val="231F20"/>
          <w:spacing w:val="-16"/>
          <w:sz w:val="15"/>
        </w:rPr>
        <w:t xml:space="preserve"> </w:t>
      </w:r>
      <w:r>
        <w:rPr>
          <w:color w:val="231F20"/>
          <w:sz w:val="15"/>
        </w:rPr>
        <w:t>jeho</w:t>
      </w:r>
      <w:r>
        <w:rPr>
          <w:color w:val="231F20"/>
          <w:spacing w:val="-16"/>
          <w:sz w:val="15"/>
        </w:rPr>
        <w:t xml:space="preserve"> </w:t>
      </w:r>
      <w:r>
        <w:rPr>
          <w:color w:val="231F20"/>
          <w:sz w:val="15"/>
        </w:rPr>
        <w:t>pojištěné</w:t>
      </w:r>
      <w:r>
        <w:rPr>
          <w:color w:val="231F20"/>
          <w:spacing w:val="-17"/>
          <w:sz w:val="15"/>
        </w:rPr>
        <w:t xml:space="preserve"> </w:t>
      </w:r>
      <w:r>
        <w:rPr>
          <w:color w:val="231F20"/>
          <w:spacing w:val="-4"/>
          <w:sz w:val="15"/>
        </w:rPr>
        <w:t xml:space="preserve">stan- </w:t>
      </w:r>
      <w:r>
        <w:rPr>
          <w:color w:val="231F20"/>
          <w:sz w:val="15"/>
        </w:rPr>
        <w:t>dardní,</w:t>
      </w:r>
      <w:r>
        <w:rPr>
          <w:color w:val="231F20"/>
          <w:spacing w:val="-5"/>
          <w:sz w:val="15"/>
        </w:rPr>
        <w:t xml:space="preserve"> </w:t>
      </w:r>
      <w:r>
        <w:rPr>
          <w:color w:val="231F20"/>
          <w:sz w:val="15"/>
        </w:rPr>
        <w:t>doplňkové</w:t>
      </w:r>
      <w:r>
        <w:rPr>
          <w:color w:val="231F20"/>
          <w:spacing w:val="-5"/>
          <w:sz w:val="15"/>
        </w:rPr>
        <w:t xml:space="preserve"> </w:t>
      </w:r>
      <w:r>
        <w:rPr>
          <w:color w:val="231F20"/>
          <w:sz w:val="15"/>
        </w:rPr>
        <w:t>nebo</w:t>
      </w:r>
      <w:r>
        <w:rPr>
          <w:color w:val="231F20"/>
          <w:spacing w:val="-4"/>
          <w:sz w:val="15"/>
        </w:rPr>
        <w:t xml:space="preserve"> </w:t>
      </w:r>
      <w:r>
        <w:rPr>
          <w:color w:val="231F20"/>
          <w:sz w:val="15"/>
        </w:rPr>
        <w:t>ostatní</w:t>
      </w:r>
      <w:r>
        <w:rPr>
          <w:color w:val="231F20"/>
          <w:spacing w:val="-5"/>
          <w:sz w:val="15"/>
        </w:rPr>
        <w:t xml:space="preserve"> </w:t>
      </w:r>
      <w:r>
        <w:rPr>
          <w:color w:val="231F20"/>
          <w:sz w:val="15"/>
        </w:rPr>
        <w:t>výbavy</w:t>
      </w:r>
      <w:r>
        <w:rPr>
          <w:color w:val="231F20"/>
          <w:spacing w:val="-4"/>
          <w:sz w:val="15"/>
        </w:rPr>
        <w:t xml:space="preserve"> </w:t>
      </w:r>
      <w:r>
        <w:rPr>
          <w:color w:val="231F20"/>
          <w:sz w:val="15"/>
        </w:rPr>
        <w:t>vzniká</w:t>
      </w:r>
      <w:r>
        <w:rPr>
          <w:color w:val="231F20"/>
          <w:spacing w:val="-5"/>
          <w:sz w:val="15"/>
        </w:rPr>
        <w:t xml:space="preserve"> </w:t>
      </w:r>
      <w:r>
        <w:rPr>
          <w:color w:val="231F20"/>
          <w:sz w:val="15"/>
        </w:rPr>
        <w:t>oprávněné</w:t>
      </w:r>
      <w:r>
        <w:rPr>
          <w:color w:val="231F20"/>
          <w:spacing w:val="-4"/>
          <w:sz w:val="15"/>
        </w:rPr>
        <w:t xml:space="preserve"> </w:t>
      </w:r>
      <w:r>
        <w:rPr>
          <w:color w:val="231F20"/>
          <w:sz w:val="15"/>
        </w:rPr>
        <w:t>osobě</w:t>
      </w:r>
      <w:r>
        <w:rPr>
          <w:color w:val="231F20"/>
          <w:spacing w:val="-5"/>
          <w:sz w:val="15"/>
        </w:rPr>
        <w:t xml:space="preserve"> </w:t>
      </w:r>
      <w:r>
        <w:rPr>
          <w:color w:val="231F20"/>
          <w:sz w:val="15"/>
        </w:rPr>
        <w:t>právo</w:t>
      </w:r>
      <w:r>
        <w:rPr>
          <w:color w:val="231F20"/>
          <w:spacing w:val="-4"/>
          <w:sz w:val="15"/>
        </w:rPr>
        <w:t xml:space="preserve"> </w:t>
      </w:r>
      <w:r>
        <w:rPr>
          <w:color w:val="231F20"/>
          <w:spacing w:val="-6"/>
          <w:sz w:val="15"/>
        </w:rPr>
        <w:t xml:space="preserve">na </w:t>
      </w:r>
      <w:r>
        <w:rPr>
          <w:color w:val="231F20"/>
          <w:sz w:val="15"/>
        </w:rPr>
        <w:t>pojistné</w:t>
      </w:r>
      <w:r>
        <w:rPr>
          <w:color w:val="231F20"/>
          <w:spacing w:val="-16"/>
          <w:sz w:val="15"/>
        </w:rPr>
        <w:t xml:space="preserve"> </w:t>
      </w:r>
      <w:r>
        <w:rPr>
          <w:color w:val="231F20"/>
          <w:sz w:val="15"/>
        </w:rPr>
        <w:t>plnění</w:t>
      </w:r>
      <w:r>
        <w:rPr>
          <w:color w:val="231F20"/>
          <w:spacing w:val="-16"/>
          <w:sz w:val="15"/>
        </w:rPr>
        <w:t xml:space="preserve"> </w:t>
      </w:r>
      <w:r>
        <w:rPr>
          <w:color w:val="231F20"/>
          <w:sz w:val="15"/>
        </w:rPr>
        <w:t>jen</w:t>
      </w:r>
      <w:r>
        <w:rPr>
          <w:color w:val="231F20"/>
          <w:spacing w:val="-16"/>
          <w:sz w:val="15"/>
        </w:rPr>
        <w:t xml:space="preserve"> </w:t>
      </w:r>
      <w:r>
        <w:rPr>
          <w:color w:val="231F20"/>
          <w:sz w:val="15"/>
        </w:rPr>
        <w:t>za</w:t>
      </w:r>
      <w:r>
        <w:rPr>
          <w:color w:val="231F20"/>
          <w:spacing w:val="-16"/>
          <w:sz w:val="15"/>
        </w:rPr>
        <w:t xml:space="preserve"> </w:t>
      </w:r>
      <w:r>
        <w:rPr>
          <w:color w:val="231F20"/>
          <w:sz w:val="15"/>
        </w:rPr>
        <w:t>předpokladu,</w:t>
      </w:r>
      <w:r>
        <w:rPr>
          <w:color w:val="231F20"/>
          <w:spacing w:val="-16"/>
          <w:sz w:val="15"/>
        </w:rPr>
        <w:t xml:space="preserve"> </w:t>
      </w:r>
      <w:r>
        <w:rPr>
          <w:color w:val="231F20"/>
          <w:sz w:val="15"/>
        </w:rPr>
        <w:t>že</w:t>
      </w:r>
      <w:r>
        <w:rPr>
          <w:color w:val="231F20"/>
          <w:spacing w:val="-16"/>
          <w:sz w:val="15"/>
        </w:rPr>
        <w:t xml:space="preserve"> </w:t>
      </w:r>
      <w:r>
        <w:rPr>
          <w:color w:val="231F20"/>
          <w:sz w:val="15"/>
        </w:rPr>
        <w:t>k</w:t>
      </w:r>
      <w:r>
        <w:rPr>
          <w:color w:val="231F20"/>
          <w:spacing w:val="-15"/>
          <w:sz w:val="15"/>
        </w:rPr>
        <w:t xml:space="preserve"> </w:t>
      </w:r>
      <w:r>
        <w:rPr>
          <w:color w:val="231F20"/>
          <w:sz w:val="15"/>
        </w:rPr>
        <w:t>odcizení</w:t>
      </w:r>
      <w:r>
        <w:rPr>
          <w:color w:val="231F20"/>
          <w:spacing w:val="-16"/>
          <w:sz w:val="15"/>
        </w:rPr>
        <w:t xml:space="preserve"> </w:t>
      </w:r>
      <w:r>
        <w:rPr>
          <w:color w:val="231F20"/>
          <w:sz w:val="15"/>
        </w:rPr>
        <w:t>došlo</w:t>
      </w:r>
      <w:r>
        <w:rPr>
          <w:color w:val="231F20"/>
          <w:spacing w:val="-16"/>
          <w:sz w:val="15"/>
        </w:rPr>
        <w:t xml:space="preserve"> </w:t>
      </w:r>
      <w:r>
        <w:rPr>
          <w:color w:val="231F20"/>
          <w:sz w:val="15"/>
        </w:rPr>
        <w:t>demontáží</w:t>
      </w:r>
      <w:r>
        <w:rPr>
          <w:color w:val="231F20"/>
          <w:spacing w:val="-16"/>
          <w:sz w:val="15"/>
        </w:rPr>
        <w:t xml:space="preserve"> </w:t>
      </w:r>
      <w:r>
        <w:rPr>
          <w:color w:val="231F20"/>
          <w:sz w:val="15"/>
        </w:rPr>
        <w:t>vnějších částí vozidla nebo vloupáním do uzamčeného</w:t>
      </w:r>
      <w:r>
        <w:rPr>
          <w:color w:val="231F20"/>
          <w:spacing w:val="-21"/>
          <w:sz w:val="15"/>
        </w:rPr>
        <w:t xml:space="preserve"> </w:t>
      </w:r>
      <w:r>
        <w:rPr>
          <w:color w:val="231F20"/>
          <w:sz w:val="15"/>
        </w:rPr>
        <w:t>vozidla.</w:t>
      </w:r>
    </w:p>
    <w:p w14:paraId="6980F115" w14:textId="77777777" w:rsidR="00F65BCA" w:rsidRDefault="00216117">
      <w:pPr>
        <w:pStyle w:val="Zkladntext"/>
        <w:spacing w:line="278" w:lineRule="auto"/>
        <w:ind w:left="710" w:hanging="283"/>
      </w:pPr>
      <w:r>
        <w:rPr>
          <w:color w:val="231F20"/>
          <w:position w:val="1"/>
          <w:sz w:val="14"/>
          <w:shd w:val="clear" w:color="auto" w:fill="D1D3D4"/>
        </w:rPr>
        <w:t xml:space="preserve"> 10</w:t>
      </w:r>
      <w:r>
        <w:rPr>
          <w:color w:val="231F20"/>
          <w:position w:val="1"/>
          <w:sz w:val="14"/>
        </w:rPr>
        <w:t xml:space="preserve"> </w:t>
      </w:r>
      <w:r>
        <w:rPr>
          <w:color w:val="231F20"/>
        </w:rPr>
        <w:t>Výše pojistného plnění z pojištění vztahujícího se na jinou movitou věc než movité věci uvedené v předchozím odstavci se určí tak, že:</w:t>
      </w:r>
    </w:p>
    <w:p w14:paraId="12ADA9C5" w14:textId="77777777" w:rsidR="00F65BCA" w:rsidRDefault="00216117">
      <w:pPr>
        <w:pStyle w:val="Odstavecseseznamem"/>
        <w:numPr>
          <w:ilvl w:val="0"/>
          <w:numId w:val="104"/>
        </w:numPr>
        <w:tabs>
          <w:tab w:val="left" w:pos="881"/>
        </w:tabs>
        <w:spacing w:line="278" w:lineRule="auto"/>
        <w:ind w:right="3"/>
        <w:jc w:val="both"/>
        <w:rPr>
          <w:sz w:val="15"/>
        </w:rPr>
      </w:pPr>
      <w:r>
        <w:rPr>
          <w:color w:val="231F20"/>
          <w:sz w:val="15"/>
        </w:rPr>
        <w:t>vzniklo-li</w:t>
      </w:r>
      <w:r>
        <w:rPr>
          <w:color w:val="231F20"/>
          <w:spacing w:val="-13"/>
          <w:sz w:val="15"/>
        </w:rPr>
        <w:t xml:space="preserve"> </w:t>
      </w:r>
      <w:r>
        <w:rPr>
          <w:color w:val="231F20"/>
          <w:sz w:val="15"/>
        </w:rPr>
        <w:t>právo</w:t>
      </w:r>
      <w:r>
        <w:rPr>
          <w:color w:val="231F20"/>
          <w:spacing w:val="-13"/>
          <w:sz w:val="15"/>
        </w:rPr>
        <w:t xml:space="preserve"> </w:t>
      </w:r>
      <w:r>
        <w:rPr>
          <w:color w:val="231F20"/>
          <w:sz w:val="15"/>
        </w:rPr>
        <w:t>na</w:t>
      </w:r>
      <w:r>
        <w:rPr>
          <w:color w:val="231F20"/>
          <w:spacing w:val="-13"/>
          <w:sz w:val="15"/>
        </w:rPr>
        <w:t xml:space="preserve"> </w:t>
      </w:r>
      <w:r>
        <w:rPr>
          <w:color w:val="231F20"/>
          <w:sz w:val="15"/>
        </w:rPr>
        <w:t>pojistné</w:t>
      </w:r>
      <w:r>
        <w:rPr>
          <w:color w:val="231F20"/>
          <w:spacing w:val="-13"/>
          <w:sz w:val="15"/>
        </w:rPr>
        <w:t xml:space="preserve"> </w:t>
      </w:r>
      <w:r>
        <w:rPr>
          <w:color w:val="231F20"/>
          <w:sz w:val="15"/>
        </w:rPr>
        <w:t>plnění</w:t>
      </w:r>
      <w:r>
        <w:rPr>
          <w:color w:val="231F20"/>
          <w:spacing w:val="-13"/>
          <w:sz w:val="15"/>
        </w:rPr>
        <w:t xml:space="preserve"> </w:t>
      </w:r>
      <w:r>
        <w:rPr>
          <w:color w:val="231F20"/>
          <w:sz w:val="15"/>
        </w:rPr>
        <w:t>z</w:t>
      </w:r>
      <w:r>
        <w:rPr>
          <w:color w:val="231F20"/>
          <w:spacing w:val="-13"/>
          <w:sz w:val="15"/>
        </w:rPr>
        <w:t xml:space="preserve"> </w:t>
      </w:r>
      <w:r>
        <w:rPr>
          <w:color w:val="231F20"/>
          <w:sz w:val="15"/>
        </w:rPr>
        <w:t>pojistné</w:t>
      </w:r>
      <w:r>
        <w:rPr>
          <w:color w:val="231F20"/>
          <w:spacing w:val="-13"/>
          <w:sz w:val="15"/>
        </w:rPr>
        <w:t xml:space="preserve"> </w:t>
      </w:r>
      <w:r>
        <w:rPr>
          <w:color w:val="231F20"/>
          <w:sz w:val="15"/>
        </w:rPr>
        <w:t>události,</w:t>
      </w:r>
      <w:r>
        <w:rPr>
          <w:color w:val="231F20"/>
          <w:spacing w:val="-13"/>
          <w:sz w:val="15"/>
        </w:rPr>
        <w:t xml:space="preserve"> </w:t>
      </w:r>
      <w:r>
        <w:rPr>
          <w:color w:val="231F20"/>
          <w:sz w:val="15"/>
        </w:rPr>
        <w:t>kterou</w:t>
      </w:r>
      <w:r>
        <w:rPr>
          <w:color w:val="231F20"/>
          <w:spacing w:val="-12"/>
          <w:sz w:val="15"/>
        </w:rPr>
        <w:t xml:space="preserve"> </w:t>
      </w:r>
      <w:r>
        <w:rPr>
          <w:color w:val="231F20"/>
          <w:sz w:val="15"/>
        </w:rPr>
        <w:t>byla</w:t>
      </w:r>
      <w:r>
        <w:rPr>
          <w:color w:val="231F20"/>
          <w:spacing w:val="-13"/>
          <w:sz w:val="15"/>
        </w:rPr>
        <w:t xml:space="preserve"> </w:t>
      </w:r>
      <w:r>
        <w:rPr>
          <w:color w:val="231F20"/>
          <w:sz w:val="15"/>
        </w:rPr>
        <w:t>postižena movitá</w:t>
      </w:r>
      <w:r>
        <w:rPr>
          <w:color w:val="231F20"/>
          <w:spacing w:val="-9"/>
          <w:sz w:val="15"/>
        </w:rPr>
        <w:t xml:space="preserve"> </w:t>
      </w:r>
      <w:r>
        <w:rPr>
          <w:color w:val="231F20"/>
          <w:sz w:val="15"/>
        </w:rPr>
        <w:t>věc,</w:t>
      </w:r>
      <w:r>
        <w:rPr>
          <w:color w:val="231F20"/>
          <w:spacing w:val="-9"/>
          <w:sz w:val="15"/>
        </w:rPr>
        <w:t xml:space="preserve"> </w:t>
      </w:r>
      <w:r>
        <w:rPr>
          <w:color w:val="231F20"/>
          <w:sz w:val="15"/>
        </w:rPr>
        <w:t>je</w:t>
      </w:r>
      <w:r>
        <w:rPr>
          <w:color w:val="231F20"/>
          <w:spacing w:val="-9"/>
          <w:sz w:val="15"/>
        </w:rPr>
        <w:t xml:space="preserve"> </w:t>
      </w:r>
      <w:r>
        <w:rPr>
          <w:color w:val="231F20"/>
          <w:sz w:val="15"/>
        </w:rPr>
        <w:t>Pojišťovna</w:t>
      </w:r>
      <w:r>
        <w:rPr>
          <w:color w:val="231F20"/>
          <w:spacing w:val="-8"/>
          <w:sz w:val="15"/>
        </w:rPr>
        <w:t xml:space="preserve"> </w:t>
      </w:r>
      <w:r>
        <w:rPr>
          <w:color w:val="231F20"/>
          <w:sz w:val="15"/>
        </w:rPr>
        <w:t>povinna</w:t>
      </w:r>
      <w:r>
        <w:rPr>
          <w:color w:val="231F20"/>
          <w:spacing w:val="-9"/>
          <w:sz w:val="15"/>
        </w:rPr>
        <w:t xml:space="preserve"> </w:t>
      </w:r>
      <w:r>
        <w:rPr>
          <w:color w:val="231F20"/>
          <w:sz w:val="15"/>
        </w:rPr>
        <w:t>vyplatit</w:t>
      </w:r>
      <w:r>
        <w:rPr>
          <w:color w:val="231F20"/>
          <w:spacing w:val="-9"/>
          <w:sz w:val="15"/>
        </w:rPr>
        <w:t xml:space="preserve"> </w:t>
      </w:r>
      <w:r>
        <w:rPr>
          <w:color w:val="231F20"/>
          <w:sz w:val="15"/>
        </w:rPr>
        <w:t>částku</w:t>
      </w:r>
      <w:r>
        <w:rPr>
          <w:color w:val="231F20"/>
          <w:spacing w:val="-8"/>
          <w:sz w:val="15"/>
        </w:rPr>
        <w:t xml:space="preserve"> </w:t>
      </w:r>
      <w:r>
        <w:rPr>
          <w:color w:val="231F20"/>
          <w:sz w:val="15"/>
        </w:rPr>
        <w:t>potřebnou</w:t>
      </w:r>
      <w:r>
        <w:rPr>
          <w:color w:val="231F20"/>
          <w:spacing w:val="-9"/>
          <w:sz w:val="15"/>
        </w:rPr>
        <w:t xml:space="preserve"> </w:t>
      </w:r>
      <w:r>
        <w:rPr>
          <w:color w:val="231F20"/>
          <w:sz w:val="15"/>
        </w:rPr>
        <w:t>na</w:t>
      </w:r>
      <w:r>
        <w:rPr>
          <w:color w:val="231F20"/>
          <w:spacing w:val="-9"/>
          <w:sz w:val="15"/>
        </w:rPr>
        <w:t xml:space="preserve"> </w:t>
      </w:r>
      <w:r>
        <w:rPr>
          <w:color w:val="231F20"/>
          <w:sz w:val="15"/>
        </w:rPr>
        <w:t>její</w:t>
      </w:r>
      <w:r>
        <w:rPr>
          <w:color w:val="231F20"/>
          <w:spacing w:val="-9"/>
          <w:sz w:val="15"/>
        </w:rPr>
        <w:t xml:space="preserve"> </w:t>
      </w:r>
      <w:r>
        <w:rPr>
          <w:color w:val="231F20"/>
          <w:spacing w:val="-3"/>
          <w:sz w:val="15"/>
        </w:rPr>
        <w:t xml:space="preserve">opravu, </w:t>
      </w:r>
      <w:r>
        <w:rPr>
          <w:color w:val="231F20"/>
          <w:sz w:val="15"/>
        </w:rPr>
        <w:t>a</w:t>
      </w:r>
      <w:r>
        <w:rPr>
          <w:color w:val="231F20"/>
          <w:spacing w:val="-11"/>
          <w:sz w:val="15"/>
        </w:rPr>
        <w:t xml:space="preserve"> </w:t>
      </w:r>
      <w:r>
        <w:rPr>
          <w:color w:val="231F20"/>
          <w:sz w:val="15"/>
        </w:rPr>
        <w:t>to</w:t>
      </w:r>
      <w:r>
        <w:rPr>
          <w:color w:val="231F20"/>
          <w:spacing w:val="-10"/>
          <w:sz w:val="15"/>
        </w:rPr>
        <w:t xml:space="preserve"> </w:t>
      </w:r>
      <w:r>
        <w:rPr>
          <w:color w:val="231F20"/>
          <w:sz w:val="15"/>
        </w:rPr>
        <w:t>až</w:t>
      </w:r>
      <w:r>
        <w:rPr>
          <w:color w:val="231F20"/>
          <w:spacing w:val="-10"/>
          <w:sz w:val="15"/>
        </w:rPr>
        <w:t xml:space="preserve"> </w:t>
      </w:r>
      <w:r>
        <w:rPr>
          <w:color w:val="231F20"/>
          <w:sz w:val="15"/>
        </w:rPr>
        <w:t>do</w:t>
      </w:r>
      <w:r>
        <w:rPr>
          <w:color w:val="231F20"/>
          <w:spacing w:val="-10"/>
          <w:sz w:val="15"/>
        </w:rPr>
        <w:t xml:space="preserve"> </w:t>
      </w:r>
      <w:r>
        <w:rPr>
          <w:color w:val="231F20"/>
          <w:sz w:val="15"/>
        </w:rPr>
        <w:t>výše</w:t>
      </w:r>
      <w:r>
        <w:rPr>
          <w:color w:val="231F20"/>
          <w:spacing w:val="-10"/>
          <w:sz w:val="15"/>
        </w:rPr>
        <w:t xml:space="preserve"> </w:t>
      </w:r>
      <w:r>
        <w:rPr>
          <w:color w:val="231F20"/>
          <w:sz w:val="15"/>
        </w:rPr>
        <w:t>odpovídající</w:t>
      </w:r>
      <w:r>
        <w:rPr>
          <w:color w:val="231F20"/>
          <w:spacing w:val="-10"/>
          <w:sz w:val="15"/>
        </w:rPr>
        <w:t xml:space="preserve"> </w:t>
      </w:r>
      <w:r>
        <w:rPr>
          <w:color w:val="231F20"/>
          <w:sz w:val="15"/>
        </w:rPr>
        <w:t>tržní</w:t>
      </w:r>
      <w:r>
        <w:rPr>
          <w:color w:val="231F20"/>
          <w:spacing w:val="-10"/>
          <w:sz w:val="15"/>
        </w:rPr>
        <w:t xml:space="preserve"> </w:t>
      </w:r>
      <w:r>
        <w:rPr>
          <w:color w:val="231F20"/>
          <w:sz w:val="15"/>
        </w:rPr>
        <w:t>hodnotě,</w:t>
      </w:r>
      <w:r>
        <w:rPr>
          <w:color w:val="231F20"/>
          <w:spacing w:val="-10"/>
          <w:sz w:val="15"/>
        </w:rPr>
        <w:t xml:space="preserve"> </w:t>
      </w:r>
      <w:r>
        <w:rPr>
          <w:color w:val="231F20"/>
          <w:sz w:val="15"/>
        </w:rPr>
        <w:t>kterou</w:t>
      </w:r>
      <w:r>
        <w:rPr>
          <w:color w:val="231F20"/>
          <w:spacing w:val="-10"/>
          <w:sz w:val="15"/>
        </w:rPr>
        <w:t xml:space="preserve"> </w:t>
      </w:r>
      <w:r>
        <w:rPr>
          <w:color w:val="231F20"/>
          <w:sz w:val="15"/>
        </w:rPr>
        <w:t>měla</w:t>
      </w:r>
      <w:r>
        <w:rPr>
          <w:color w:val="231F20"/>
          <w:spacing w:val="-10"/>
          <w:sz w:val="15"/>
        </w:rPr>
        <w:t xml:space="preserve"> </w:t>
      </w:r>
      <w:r>
        <w:rPr>
          <w:color w:val="231F20"/>
          <w:sz w:val="15"/>
        </w:rPr>
        <w:t>věc</w:t>
      </w:r>
      <w:r>
        <w:rPr>
          <w:color w:val="231F20"/>
          <w:spacing w:val="-10"/>
          <w:sz w:val="15"/>
        </w:rPr>
        <w:t xml:space="preserve"> </w:t>
      </w:r>
      <w:r>
        <w:rPr>
          <w:color w:val="231F20"/>
          <w:sz w:val="15"/>
        </w:rPr>
        <w:t>bezprostředně před</w:t>
      </w:r>
      <w:r>
        <w:rPr>
          <w:color w:val="231F20"/>
          <w:spacing w:val="-17"/>
          <w:sz w:val="15"/>
        </w:rPr>
        <w:t xml:space="preserve"> </w:t>
      </w:r>
      <w:r>
        <w:rPr>
          <w:color w:val="231F20"/>
          <w:sz w:val="15"/>
        </w:rPr>
        <w:t>pojistnou</w:t>
      </w:r>
      <w:r>
        <w:rPr>
          <w:color w:val="231F20"/>
          <w:spacing w:val="-17"/>
          <w:sz w:val="15"/>
        </w:rPr>
        <w:t xml:space="preserve"> </w:t>
      </w:r>
      <w:r>
        <w:rPr>
          <w:color w:val="231F20"/>
          <w:sz w:val="15"/>
        </w:rPr>
        <w:t>událostí;</w:t>
      </w:r>
      <w:r>
        <w:rPr>
          <w:color w:val="231F20"/>
          <w:spacing w:val="-17"/>
          <w:sz w:val="15"/>
        </w:rPr>
        <w:t xml:space="preserve"> </w:t>
      </w:r>
      <w:r>
        <w:rPr>
          <w:color w:val="231F20"/>
          <w:sz w:val="15"/>
        </w:rPr>
        <w:t>tuto</w:t>
      </w:r>
      <w:r>
        <w:rPr>
          <w:color w:val="231F20"/>
          <w:spacing w:val="-17"/>
          <w:sz w:val="15"/>
        </w:rPr>
        <w:t xml:space="preserve"> </w:t>
      </w:r>
      <w:r>
        <w:rPr>
          <w:color w:val="231F20"/>
          <w:sz w:val="15"/>
        </w:rPr>
        <w:t>částku</w:t>
      </w:r>
      <w:r>
        <w:rPr>
          <w:color w:val="231F20"/>
          <w:spacing w:val="-17"/>
          <w:sz w:val="15"/>
        </w:rPr>
        <w:t xml:space="preserve"> </w:t>
      </w:r>
      <w:r>
        <w:rPr>
          <w:color w:val="231F20"/>
          <w:sz w:val="15"/>
        </w:rPr>
        <w:t>sníží</w:t>
      </w:r>
      <w:r>
        <w:rPr>
          <w:color w:val="231F20"/>
          <w:spacing w:val="-16"/>
          <w:sz w:val="15"/>
        </w:rPr>
        <w:t xml:space="preserve"> </w:t>
      </w:r>
      <w:r>
        <w:rPr>
          <w:color w:val="231F20"/>
          <w:sz w:val="15"/>
        </w:rPr>
        <w:t>o</w:t>
      </w:r>
      <w:r>
        <w:rPr>
          <w:color w:val="231F20"/>
          <w:spacing w:val="-17"/>
          <w:sz w:val="15"/>
        </w:rPr>
        <w:t xml:space="preserve"> </w:t>
      </w:r>
      <w:r>
        <w:rPr>
          <w:color w:val="231F20"/>
          <w:sz w:val="15"/>
        </w:rPr>
        <w:t>tržní</w:t>
      </w:r>
      <w:r>
        <w:rPr>
          <w:color w:val="231F20"/>
          <w:spacing w:val="-17"/>
          <w:sz w:val="15"/>
        </w:rPr>
        <w:t xml:space="preserve"> </w:t>
      </w:r>
      <w:r>
        <w:rPr>
          <w:color w:val="231F20"/>
          <w:sz w:val="15"/>
        </w:rPr>
        <w:t>hodnotu</w:t>
      </w:r>
      <w:r>
        <w:rPr>
          <w:color w:val="231F20"/>
          <w:spacing w:val="-17"/>
          <w:sz w:val="15"/>
        </w:rPr>
        <w:t xml:space="preserve"> </w:t>
      </w:r>
      <w:r>
        <w:rPr>
          <w:color w:val="231F20"/>
          <w:sz w:val="15"/>
        </w:rPr>
        <w:t>případných</w:t>
      </w:r>
      <w:r>
        <w:rPr>
          <w:color w:val="231F20"/>
          <w:spacing w:val="-17"/>
          <w:sz w:val="15"/>
        </w:rPr>
        <w:t xml:space="preserve"> </w:t>
      </w:r>
      <w:r>
        <w:rPr>
          <w:color w:val="231F20"/>
          <w:sz w:val="15"/>
        </w:rPr>
        <w:t>zbytků nahrazovaných částí</w:t>
      </w:r>
      <w:r>
        <w:rPr>
          <w:color w:val="231F20"/>
          <w:spacing w:val="-2"/>
          <w:sz w:val="15"/>
        </w:rPr>
        <w:t xml:space="preserve"> </w:t>
      </w:r>
      <w:r>
        <w:rPr>
          <w:color w:val="231F20"/>
          <w:sz w:val="15"/>
        </w:rPr>
        <w:t>věci;</w:t>
      </w:r>
    </w:p>
    <w:p w14:paraId="2B56ADB4" w14:textId="77777777" w:rsidR="00F65BCA" w:rsidRDefault="00216117">
      <w:pPr>
        <w:pStyle w:val="Odstavecseseznamem"/>
        <w:numPr>
          <w:ilvl w:val="0"/>
          <w:numId w:val="104"/>
        </w:numPr>
        <w:tabs>
          <w:tab w:val="left" w:pos="881"/>
        </w:tabs>
        <w:spacing w:line="278" w:lineRule="auto"/>
        <w:ind w:right="3"/>
        <w:jc w:val="both"/>
        <w:rPr>
          <w:sz w:val="15"/>
        </w:rPr>
      </w:pPr>
      <w:r>
        <w:rPr>
          <w:color w:val="231F20"/>
          <w:sz w:val="15"/>
        </w:rPr>
        <w:t xml:space="preserve">vzniklo-li právo na pojistné plnění z pojistné události, kdy byla movitá </w:t>
      </w:r>
      <w:r>
        <w:rPr>
          <w:color w:val="231F20"/>
          <w:spacing w:val="-5"/>
          <w:sz w:val="15"/>
        </w:rPr>
        <w:t xml:space="preserve">věc </w:t>
      </w:r>
      <w:r>
        <w:rPr>
          <w:color w:val="231F20"/>
          <w:sz w:val="15"/>
        </w:rPr>
        <w:t>poškozena</w:t>
      </w:r>
      <w:r>
        <w:rPr>
          <w:color w:val="231F20"/>
          <w:spacing w:val="-13"/>
          <w:sz w:val="15"/>
        </w:rPr>
        <w:t xml:space="preserve"> </w:t>
      </w:r>
      <w:r>
        <w:rPr>
          <w:color w:val="231F20"/>
          <w:sz w:val="15"/>
        </w:rPr>
        <w:t>tak,</w:t>
      </w:r>
      <w:r>
        <w:rPr>
          <w:color w:val="231F20"/>
          <w:spacing w:val="-12"/>
          <w:sz w:val="15"/>
        </w:rPr>
        <w:t xml:space="preserve"> </w:t>
      </w:r>
      <w:r>
        <w:rPr>
          <w:color w:val="231F20"/>
          <w:sz w:val="15"/>
        </w:rPr>
        <w:t>že</w:t>
      </w:r>
      <w:r>
        <w:rPr>
          <w:color w:val="231F20"/>
          <w:spacing w:val="-12"/>
          <w:sz w:val="15"/>
        </w:rPr>
        <w:t xml:space="preserve"> </w:t>
      </w:r>
      <w:r>
        <w:rPr>
          <w:color w:val="231F20"/>
          <w:sz w:val="15"/>
        </w:rPr>
        <w:t>ji</w:t>
      </w:r>
      <w:r>
        <w:rPr>
          <w:color w:val="231F20"/>
          <w:spacing w:val="-13"/>
          <w:sz w:val="15"/>
        </w:rPr>
        <w:t xml:space="preserve"> </w:t>
      </w:r>
      <w:r>
        <w:rPr>
          <w:color w:val="231F20"/>
          <w:sz w:val="15"/>
        </w:rPr>
        <w:t>nelze</w:t>
      </w:r>
      <w:r>
        <w:rPr>
          <w:color w:val="231F20"/>
          <w:spacing w:val="-12"/>
          <w:sz w:val="15"/>
        </w:rPr>
        <w:t xml:space="preserve"> </w:t>
      </w:r>
      <w:r>
        <w:rPr>
          <w:color w:val="231F20"/>
          <w:sz w:val="15"/>
        </w:rPr>
        <w:t>opravou</w:t>
      </w:r>
      <w:r>
        <w:rPr>
          <w:color w:val="231F20"/>
          <w:spacing w:val="-12"/>
          <w:sz w:val="15"/>
        </w:rPr>
        <w:t xml:space="preserve"> </w:t>
      </w:r>
      <w:r>
        <w:rPr>
          <w:color w:val="231F20"/>
          <w:sz w:val="15"/>
        </w:rPr>
        <w:t>uvést</w:t>
      </w:r>
      <w:r>
        <w:rPr>
          <w:color w:val="231F20"/>
          <w:spacing w:val="-13"/>
          <w:sz w:val="15"/>
        </w:rPr>
        <w:t xml:space="preserve"> </w:t>
      </w:r>
      <w:r>
        <w:rPr>
          <w:color w:val="231F20"/>
          <w:sz w:val="15"/>
        </w:rPr>
        <w:t>do</w:t>
      </w:r>
      <w:r>
        <w:rPr>
          <w:color w:val="231F20"/>
          <w:spacing w:val="-12"/>
          <w:sz w:val="15"/>
        </w:rPr>
        <w:t xml:space="preserve"> </w:t>
      </w:r>
      <w:r>
        <w:rPr>
          <w:color w:val="231F20"/>
          <w:sz w:val="15"/>
        </w:rPr>
        <w:t>předešlého</w:t>
      </w:r>
      <w:r>
        <w:rPr>
          <w:color w:val="231F20"/>
          <w:spacing w:val="-12"/>
          <w:sz w:val="15"/>
        </w:rPr>
        <w:t xml:space="preserve"> </w:t>
      </w:r>
      <w:r>
        <w:rPr>
          <w:color w:val="231F20"/>
          <w:sz w:val="15"/>
        </w:rPr>
        <w:t>stavu,</w:t>
      </w:r>
      <w:r>
        <w:rPr>
          <w:color w:val="231F20"/>
          <w:spacing w:val="-13"/>
          <w:sz w:val="15"/>
        </w:rPr>
        <w:t xml:space="preserve"> </w:t>
      </w:r>
      <w:r>
        <w:rPr>
          <w:color w:val="231F20"/>
          <w:sz w:val="15"/>
        </w:rPr>
        <w:t>nebo</w:t>
      </w:r>
      <w:r>
        <w:rPr>
          <w:color w:val="231F20"/>
          <w:spacing w:val="-12"/>
          <w:sz w:val="15"/>
        </w:rPr>
        <w:t xml:space="preserve"> </w:t>
      </w:r>
      <w:r>
        <w:rPr>
          <w:color w:val="231F20"/>
          <w:sz w:val="15"/>
        </w:rPr>
        <w:t>byla-li zničena</w:t>
      </w:r>
      <w:r>
        <w:rPr>
          <w:color w:val="231F20"/>
          <w:spacing w:val="-4"/>
          <w:sz w:val="15"/>
        </w:rPr>
        <w:t xml:space="preserve"> </w:t>
      </w:r>
      <w:r>
        <w:rPr>
          <w:color w:val="231F20"/>
          <w:sz w:val="15"/>
        </w:rPr>
        <w:t>nebo</w:t>
      </w:r>
      <w:r>
        <w:rPr>
          <w:color w:val="231F20"/>
          <w:spacing w:val="-4"/>
          <w:sz w:val="15"/>
        </w:rPr>
        <w:t xml:space="preserve"> </w:t>
      </w:r>
      <w:r>
        <w:rPr>
          <w:color w:val="231F20"/>
          <w:sz w:val="15"/>
        </w:rPr>
        <w:t>odcizena,</w:t>
      </w:r>
      <w:r>
        <w:rPr>
          <w:color w:val="231F20"/>
          <w:spacing w:val="-4"/>
          <w:sz w:val="15"/>
        </w:rPr>
        <w:t xml:space="preserve"> </w:t>
      </w:r>
      <w:r>
        <w:rPr>
          <w:color w:val="231F20"/>
          <w:sz w:val="15"/>
        </w:rPr>
        <w:t>je</w:t>
      </w:r>
      <w:r>
        <w:rPr>
          <w:color w:val="231F20"/>
          <w:spacing w:val="-4"/>
          <w:sz w:val="15"/>
        </w:rPr>
        <w:t xml:space="preserve"> </w:t>
      </w:r>
      <w:r>
        <w:rPr>
          <w:color w:val="231F20"/>
          <w:sz w:val="15"/>
        </w:rPr>
        <w:t>Pojišťovna</w:t>
      </w:r>
      <w:r>
        <w:rPr>
          <w:color w:val="231F20"/>
          <w:spacing w:val="-4"/>
          <w:sz w:val="15"/>
        </w:rPr>
        <w:t xml:space="preserve"> </w:t>
      </w:r>
      <w:r>
        <w:rPr>
          <w:color w:val="231F20"/>
          <w:sz w:val="15"/>
        </w:rPr>
        <w:t>povinna</w:t>
      </w:r>
      <w:r>
        <w:rPr>
          <w:color w:val="231F20"/>
          <w:spacing w:val="-3"/>
          <w:sz w:val="15"/>
        </w:rPr>
        <w:t xml:space="preserve"> </w:t>
      </w:r>
      <w:r>
        <w:rPr>
          <w:color w:val="231F20"/>
          <w:sz w:val="15"/>
        </w:rPr>
        <w:t>vyplatit</w:t>
      </w:r>
      <w:r>
        <w:rPr>
          <w:color w:val="231F20"/>
          <w:spacing w:val="-4"/>
          <w:sz w:val="15"/>
        </w:rPr>
        <w:t xml:space="preserve"> </w:t>
      </w:r>
      <w:r>
        <w:rPr>
          <w:color w:val="231F20"/>
          <w:sz w:val="15"/>
        </w:rPr>
        <w:t>částku</w:t>
      </w:r>
      <w:r>
        <w:rPr>
          <w:color w:val="231F20"/>
          <w:spacing w:val="-4"/>
          <w:sz w:val="15"/>
        </w:rPr>
        <w:t xml:space="preserve"> </w:t>
      </w:r>
      <w:r>
        <w:rPr>
          <w:color w:val="231F20"/>
          <w:sz w:val="15"/>
        </w:rPr>
        <w:t>ve</w:t>
      </w:r>
      <w:r>
        <w:rPr>
          <w:color w:val="231F20"/>
          <w:spacing w:val="-4"/>
          <w:sz w:val="15"/>
        </w:rPr>
        <w:t xml:space="preserve"> </w:t>
      </w:r>
      <w:r>
        <w:rPr>
          <w:color w:val="231F20"/>
          <w:sz w:val="15"/>
        </w:rPr>
        <w:t>výši</w:t>
      </w:r>
      <w:r>
        <w:rPr>
          <w:color w:val="231F20"/>
          <w:spacing w:val="-4"/>
          <w:sz w:val="15"/>
        </w:rPr>
        <w:t xml:space="preserve"> tržní </w:t>
      </w:r>
      <w:r>
        <w:rPr>
          <w:color w:val="231F20"/>
          <w:sz w:val="15"/>
        </w:rPr>
        <w:t>hodnoty,</w:t>
      </w:r>
      <w:r>
        <w:rPr>
          <w:color w:val="231F20"/>
          <w:spacing w:val="-13"/>
          <w:sz w:val="15"/>
        </w:rPr>
        <w:t xml:space="preserve"> </w:t>
      </w:r>
      <w:r>
        <w:rPr>
          <w:color w:val="231F20"/>
          <w:sz w:val="15"/>
        </w:rPr>
        <w:t>kterou</w:t>
      </w:r>
      <w:r>
        <w:rPr>
          <w:color w:val="231F20"/>
          <w:spacing w:val="-13"/>
          <w:sz w:val="15"/>
        </w:rPr>
        <w:t xml:space="preserve"> </w:t>
      </w:r>
      <w:r>
        <w:rPr>
          <w:color w:val="231F20"/>
          <w:sz w:val="15"/>
        </w:rPr>
        <w:t>měla</w:t>
      </w:r>
      <w:r>
        <w:rPr>
          <w:color w:val="231F20"/>
          <w:spacing w:val="-12"/>
          <w:sz w:val="15"/>
        </w:rPr>
        <w:t xml:space="preserve"> </w:t>
      </w:r>
      <w:r>
        <w:rPr>
          <w:color w:val="231F20"/>
          <w:sz w:val="15"/>
        </w:rPr>
        <w:t>věc</w:t>
      </w:r>
      <w:r>
        <w:rPr>
          <w:color w:val="231F20"/>
          <w:spacing w:val="-13"/>
          <w:sz w:val="15"/>
        </w:rPr>
        <w:t xml:space="preserve"> </w:t>
      </w:r>
      <w:r>
        <w:rPr>
          <w:color w:val="231F20"/>
          <w:sz w:val="15"/>
        </w:rPr>
        <w:t>bezprostředně</w:t>
      </w:r>
      <w:r>
        <w:rPr>
          <w:color w:val="231F20"/>
          <w:spacing w:val="-12"/>
          <w:sz w:val="15"/>
        </w:rPr>
        <w:t xml:space="preserve"> </w:t>
      </w:r>
      <w:r>
        <w:rPr>
          <w:color w:val="231F20"/>
          <w:sz w:val="15"/>
        </w:rPr>
        <w:t>před</w:t>
      </w:r>
      <w:r>
        <w:rPr>
          <w:color w:val="231F20"/>
          <w:spacing w:val="-13"/>
          <w:sz w:val="15"/>
        </w:rPr>
        <w:t xml:space="preserve"> </w:t>
      </w:r>
      <w:r>
        <w:rPr>
          <w:color w:val="231F20"/>
          <w:sz w:val="15"/>
        </w:rPr>
        <w:t>pojistnou</w:t>
      </w:r>
      <w:r>
        <w:rPr>
          <w:color w:val="231F20"/>
          <w:spacing w:val="-12"/>
          <w:sz w:val="15"/>
        </w:rPr>
        <w:t xml:space="preserve"> </w:t>
      </w:r>
      <w:r>
        <w:rPr>
          <w:color w:val="231F20"/>
          <w:sz w:val="15"/>
        </w:rPr>
        <w:t>událostí;</w:t>
      </w:r>
      <w:r>
        <w:rPr>
          <w:color w:val="231F20"/>
          <w:spacing w:val="-13"/>
          <w:sz w:val="15"/>
        </w:rPr>
        <w:t xml:space="preserve"> </w:t>
      </w:r>
      <w:r>
        <w:rPr>
          <w:color w:val="231F20"/>
          <w:sz w:val="15"/>
        </w:rPr>
        <w:t>tuto</w:t>
      </w:r>
      <w:r>
        <w:rPr>
          <w:color w:val="231F20"/>
          <w:spacing w:val="-12"/>
          <w:sz w:val="15"/>
        </w:rPr>
        <w:t xml:space="preserve"> </w:t>
      </w:r>
      <w:r>
        <w:rPr>
          <w:color w:val="231F20"/>
          <w:sz w:val="15"/>
        </w:rPr>
        <w:t>část- ku sníží o tržní hodnotu případných zbytků</w:t>
      </w:r>
      <w:r>
        <w:rPr>
          <w:color w:val="231F20"/>
          <w:spacing w:val="-16"/>
          <w:sz w:val="15"/>
        </w:rPr>
        <w:t xml:space="preserve"> </w:t>
      </w:r>
      <w:r>
        <w:rPr>
          <w:color w:val="231F20"/>
          <w:sz w:val="15"/>
        </w:rPr>
        <w:t>věci.</w:t>
      </w:r>
    </w:p>
    <w:p w14:paraId="3752A2A4" w14:textId="77777777" w:rsidR="00F65BCA" w:rsidRDefault="00216117">
      <w:pPr>
        <w:pStyle w:val="Zkladntext"/>
        <w:spacing w:line="278" w:lineRule="auto"/>
        <w:ind w:left="710" w:right="3" w:hanging="283"/>
        <w:jc w:val="both"/>
      </w:pPr>
      <w:r>
        <w:rPr>
          <w:color w:val="231F20"/>
          <w:spacing w:val="-22"/>
          <w:position w:val="1"/>
          <w:sz w:val="14"/>
          <w:shd w:val="clear" w:color="auto" w:fill="D1D3D4"/>
        </w:rPr>
        <w:t xml:space="preserve"> </w:t>
      </w:r>
      <w:r>
        <w:rPr>
          <w:color w:val="231F20"/>
          <w:position w:val="1"/>
          <w:sz w:val="14"/>
          <w:shd w:val="clear" w:color="auto" w:fill="D1D3D4"/>
        </w:rPr>
        <w:t>11</w:t>
      </w:r>
      <w:r>
        <w:rPr>
          <w:color w:val="231F20"/>
          <w:position w:val="1"/>
          <w:sz w:val="14"/>
        </w:rPr>
        <w:t xml:space="preserve"> </w:t>
      </w:r>
      <w:r>
        <w:rPr>
          <w:color w:val="231F20"/>
        </w:rPr>
        <w:t>Opravy v zahraničních opravnách a doklady prokazující provedení opravy pojištěného</w:t>
      </w:r>
      <w:r>
        <w:rPr>
          <w:color w:val="231F20"/>
          <w:spacing w:val="-26"/>
        </w:rPr>
        <w:t xml:space="preserve"> </w:t>
      </w:r>
      <w:r>
        <w:rPr>
          <w:color w:val="231F20"/>
        </w:rPr>
        <w:t>vozidla</w:t>
      </w:r>
      <w:r>
        <w:rPr>
          <w:color w:val="231F20"/>
          <w:spacing w:val="-25"/>
        </w:rPr>
        <w:t xml:space="preserve"> </w:t>
      </w:r>
      <w:r>
        <w:rPr>
          <w:color w:val="231F20"/>
        </w:rPr>
        <w:t>v</w:t>
      </w:r>
      <w:r>
        <w:rPr>
          <w:color w:val="231F20"/>
          <w:spacing w:val="-25"/>
        </w:rPr>
        <w:t xml:space="preserve"> </w:t>
      </w:r>
      <w:r>
        <w:rPr>
          <w:color w:val="231F20"/>
        </w:rPr>
        <w:t>těchto</w:t>
      </w:r>
      <w:r>
        <w:rPr>
          <w:color w:val="231F20"/>
          <w:spacing w:val="-25"/>
        </w:rPr>
        <w:t xml:space="preserve"> </w:t>
      </w:r>
      <w:r>
        <w:rPr>
          <w:color w:val="231F20"/>
        </w:rPr>
        <w:t>opravnách</w:t>
      </w:r>
      <w:r>
        <w:rPr>
          <w:color w:val="231F20"/>
          <w:spacing w:val="-25"/>
        </w:rPr>
        <w:t xml:space="preserve"> </w:t>
      </w:r>
      <w:r>
        <w:rPr>
          <w:color w:val="231F20"/>
        </w:rPr>
        <w:t>Pojišťovna</w:t>
      </w:r>
      <w:r>
        <w:rPr>
          <w:color w:val="231F20"/>
          <w:spacing w:val="-25"/>
        </w:rPr>
        <w:t xml:space="preserve"> </w:t>
      </w:r>
      <w:r>
        <w:rPr>
          <w:color w:val="231F20"/>
        </w:rPr>
        <w:t>akceptuje</w:t>
      </w:r>
      <w:r>
        <w:rPr>
          <w:color w:val="231F20"/>
          <w:spacing w:val="-25"/>
        </w:rPr>
        <w:t xml:space="preserve"> </w:t>
      </w:r>
      <w:r>
        <w:rPr>
          <w:color w:val="231F20"/>
        </w:rPr>
        <w:t>v</w:t>
      </w:r>
      <w:r>
        <w:rPr>
          <w:color w:val="231F20"/>
          <w:spacing w:val="-25"/>
        </w:rPr>
        <w:t xml:space="preserve"> </w:t>
      </w:r>
      <w:r>
        <w:rPr>
          <w:color w:val="231F20"/>
        </w:rPr>
        <w:t>plné</w:t>
      </w:r>
      <w:r>
        <w:rPr>
          <w:color w:val="231F20"/>
          <w:spacing w:val="-25"/>
        </w:rPr>
        <w:t xml:space="preserve"> </w:t>
      </w:r>
      <w:r>
        <w:rPr>
          <w:color w:val="231F20"/>
        </w:rPr>
        <w:t>výši,</w:t>
      </w:r>
      <w:r>
        <w:rPr>
          <w:color w:val="231F20"/>
          <w:spacing w:val="-25"/>
        </w:rPr>
        <w:t xml:space="preserve"> </w:t>
      </w:r>
      <w:r>
        <w:rPr>
          <w:color w:val="231F20"/>
        </w:rPr>
        <w:t>byla-li možnost</w:t>
      </w:r>
      <w:r>
        <w:rPr>
          <w:color w:val="231F20"/>
          <w:spacing w:val="-8"/>
        </w:rPr>
        <w:t xml:space="preserve"> </w:t>
      </w:r>
      <w:r>
        <w:rPr>
          <w:color w:val="231F20"/>
        </w:rPr>
        <w:t>oprav</w:t>
      </w:r>
      <w:r>
        <w:rPr>
          <w:color w:val="231F20"/>
          <w:spacing w:val="-8"/>
        </w:rPr>
        <w:t xml:space="preserve"> </w:t>
      </w:r>
      <w:r>
        <w:rPr>
          <w:color w:val="231F20"/>
        </w:rPr>
        <w:t>v</w:t>
      </w:r>
      <w:r>
        <w:rPr>
          <w:color w:val="231F20"/>
          <w:spacing w:val="-8"/>
        </w:rPr>
        <w:t xml:space="preserve"> </w:t>
      </w:r>
      <w:r>
        <w:rPr>
          <w:color w:val="231F20"/>
        </w:rPr>
        <w:t>zahraničí</w:t>
      </w:r>
      <w:r>
        <w:rPr>
          <w:color w:val="231F20"/>
          <w:spacing w:val="-8"/>
        </w:rPr>
        <w:t xml:space="preserve"> </w:t>
      </w:r>
      <w:r>
        <w:rPr>
          <w:color w:val="231F20"/>
        </w:rPr>
        <w:t>dohodnuta</w:t>
      </w:r>
      <w:r>
        <w:rPr>
          <w:color w:val="231F20"/>
          <w:spacing w:val="-8"/>
        </w:rPr>
        <w:t xml:space="preserve"> </w:t>
      </w:r>
      <w:r>
        <w:rPr>
          <w:color w:val="231F20"/>
        </w:rPr>
        <w:t>v</w:t>
      </w:r>
      <w:r>
        <w:rPr>
          <w:color w:val="231F20"/>
          <w:spacing w:val="-8"/>
        </w:rPr>
        <w:t xml:space="preserve"> </w:t>
      </w:r>
      <w:r>
        <w:rPr>
          <w:color w:val="231F20"/>
        </w:rPr>
        <w:t>seznamu</w:t>
      </w:r>
      <w:r>
        <w:rPr>
          <w:color w:val="231F20"/>
          <w:spacing w:val="-7"/>
        </w:rPr>
        <w:t xml:space="preserve"> </w:t>
      </w:r>
      <w:r>
        <w:rPr>
          <w:color w:val="231F20"/>
        </w:rPr>
        <w:t>vozidel,</w:t>
      </w:r>
      <w:r>
        <w:rPr>
          <w:color w:val="231F20"/>
          <w:spacing w:val="-8"/>
        </w:rPr>
        <w:t xml:space="preserve"> </w:t>
      </w:r>
      <w:r>
        <w:rPr>
          <w:color w:val="231F20"/>
        </w:rPr>
        <w:t>nebo</w:t>
      </w:r>
      <w:r>
        <w:rPr>
          <w:color w:val="231F20"/>
          <w:spacing w:val="-8"/>
        </w:rPr>
        <w:t xml:space="preserve"> </w:t>
      </w:r>
      <w:r>
        <w:rPr>
          <w:color w:val="231F20"/>
        </w:rPr>
        <w:t>s</w:t>
      </w:r>
      <w:r>
        <w:rPr>
          <w:color w:val="231F20"/>
          <w:spacing w:val="-8"/>
        </w:rPr>
        <w:t xml:space="preserve"> </w:t>
      </w:r>
      <w:r>
        <w:rPr>
          <w:color w:val="231F20"/>
        </w:rPr>
        <w:t>výslovným písemným</w:t>
      </w:r>
      <w:r>
        <w:rPr>
          <w:color w:val="231F20"/>
          <w:spacing w:val="-5"/>
        </w:rPr>
        <w:t xml:space="preserve"> </w:t>
      </w:r>
      <w:r>
        <w:rPr>
          <w:color w:val="231F20"/>
        </w:rPr>
        <w:t>souhlasem</w:t>
      </w:r>
      <w:r>
        <w:rPr>
          <w:color w:val="231F20"/>
          <w:spacing w:val="-4"/>
        </w:rPr>
        <w:t xml:space="preserve"> </w:t>
      </w:r>
      <w:r>
        <w:rPr>
          <w:color w:val="231F20"/>
        </w:rPr>
        <w:t>Pojišťovny.</w:t>
      </w:r>
      <w:r>
        <w:rPr>
          <w:color w:val="231F20"/>
          <w:spacing w:val="-5"/>
        </w:rPr>
        <w:t xml:space="preserve"> </w:t>
      </w:r>
      <w:r>
        <w:rPr>
          <w:color w:val="231F20"/>
        </w:rPr>
        <w:t>Možnost</w:t>
      </w:r>
      <w:r>
        <w:rPr>
          <w:color w:val="231F20"/>
          <w:spacing w:val="-4"/>
        </w:rPr>
        <w:t xml:space="preserve"> </w:t>
      </w:r>
      <w:r>
        <w:rPr>
          <w:color w:val="231F20"/>
        </w:rPr>
        <w:t>oprav</w:t>
      </w:r>
      <w:r>
        <w:rPr>
          <w:color w:val="231F20"/>
          <w:spacing w:val="-5"/>
        </w:rPr>
        <w:t xml:space="preserve"> </w:t>
      </w:r>
      <w:r>
        <w:rPr>
          <w:color w:val="231F20"/>
        </w:rPr>
        <w:t>v</w:t>
      </w:r>
      <w:r>
        <w:rPr>
          <w:color w:val="231F20"/>
          <w:spacing w:val="-5"/>
        </w:rPr>
        <w:t xml:space="preserve"> </w:t>
      </w:r>
      <w:r>
        <w:rPr>
          <w:color w:val="231F20"/>
        </w:rPr>
        <w:t>zahraničí</w:t>
      </w:r>
      <w:r>
        <w:rPr>
          <w:color w:val="231F20"/>
          <w:spacing w:val="-4"/>
        </w:rPr>
        <w:t xml:space="preserve"> </w:t>
      </w:r>
      <w:r>
        <w:rPr>
          <w:color w:val="231F20"/>
        </w:rPr>
        <w:t>lze</w:t>
      </w:r>
      <w:r>
        <w:rPr>
          <w:color w:val="231F20"/>
          <w:spacing w:val="-5"/>
        </w:rPr>
        <w:t xml:space="preserve"> </w:t>
      </w:r>
      <w:r>
        <w:rPr>
          <w:color w:val="231F20"/>
        </w:rPr>
        <w:t>dohodnout pouze v rámci havarijního</w:t>
      </w:r>
      <w:r>
        <w:rPr>
          <w:color w:val="231F20"/>
          <w:spacing w:val="-7"/>
        </w:rPr>
        <w:t xml:space="preserve"> </w:t>
      </w:r>
      <w:r>
        <w:rPr>
          <w:color w:val="231F20"/>
        </w:rPr>
        <w:t>pojištění.</w:t>
      </w:r>
    </w:p>
    <w:p w14:paraId="783635A8" w14:textId="77777777" w:rsidR="00F65BCA" w:rsidRDefault="00216117">
      <w:pPr>
        <w:pStyle w:val="Zkladntext"/>
        <w:spacing w:line="278" w:lineRule="auto"/>
        <w:ind w:left="710" w:right="3"/>
        <w:jc w:val="both"/>
      </w:pPr>
      <w:r>
        <w:rPr>
          <w:color w:val="231F20"/>
        </w:rPr>
        <w:t>V</w:t>
      </w:r>
      <w:r>
        <w:rPr>
          <w:color w:val="231F20"/>
          <w:spacing w:val="-28"/>
        </w:rPr>
        <w:t xml:space="preserve"> </w:t>
      </w:r>
      <w:r>
        <w:rPr>
          <w:color w:val="231F20"/>
        </w:rPr>
        <w:t>případě,</w:t>
      </w:r>
      <w:r>
        <w:rPr>
          <w:color w:val="231F20"/>
          <w:spacing w:val="-27"/>
        </w:rPr>
        <w:t xml:space="preserve"> </w:t>
      </w:r>
      <w:r>
        <w:rPr>
          <w:color w:val="231F20"/>
        </w:rPr>
        <w:t>že</w:t>
      </w:r>
      <w:r>
        <w:rPr>
          <w:color w:val="231F20"/>
          <w:spacing w:val="-27"/>
        </w:rPr>
        <w:t xml:space="preserve"> </w:t>
      </w:r>
      <w:r>
        <w:rPr>
          <w:color w:val="231F20"/>
        </w:rPr>
        <w:t>nejsou</w:t>
      </w:r>
      <w:r>
        <w:rPr>
          <w:color w:val="231F20"/>
          <w:spacing w:val="-27"/>
        </w:rPr>
        <w:t xml:space="preserve"> </w:t>
      </w:r>
      <w:r>
        <w:rPr>
          <w:color w:val="231F20"/>
        </w:rPr>
        <w:t>splněny</w:t>
      </w:r>
      <w:r>
        <w:rPr>
          <w:color w:val="231F20"/>
          <w:spacing w:val="-27"/>
        </w:rPr>
        <w:t xml:space="preserve"> </w:t>
      </w:r>
      <w:r>
        <w:rPr>
          <w:color w:val="231F20"/>
        </w:rPr>
        <w:t>podmínky</w:t>
      </w:r>
      <w:r>
        <w:rPr>
          <w:color w:val="231F20"/>
          <w:spacing w:val="-27"/>
        </w:rPr>
        <w:t xml:space="preserve"> </w:t>
      </w:r>
      <w:r>
        <w:rPr>
          <w:color w:val="231F20"/>
        </w:rPr>
        <w:t>dle</w:t>
      </w:r>
      <w:r>
        <w:rPr>
          <w:color w:val="231F20"/>
          <w:spacing w:val="-27"/>
        </w:rPr>
        <w:t xml:space="preserve"> </w:t>
      </w:r>
      <w:r>
        <w:rPr>
          <w:color w:val="231F20"/>
        </w:rPr>
        <w:t>předchozího</w:t>
      </w:r>
      <w:r>
        <w:rPr>
          <w:color w:val="231F20"/>
          <w:spacing w:val="-27"/>
        </w:rPr>
        <w:t xml:space="preserve"> </w:t>
      </w:r>
      <w:r>
        <w:rPr>
          <w:color w:val="231F20"/>
        </w:rPr>
        <w:t>odstavce,</w:t>
      </w:r>
      <w:r>
        <w:rPr>
          <w:color w:val="231F20"/>
          <w:spacing w:val="-27"/>
        </w:rPr>
        <w:t xml:space="preserve"> </w:t>
      </w:r>
      <w:r>
        <w:rPr>
          <w:color w:val="231F20"/>
        </w:rPr>
        <w:t>nepovažuje Pojišťovna</w:t>
      </w:r>
      <w:r>
        <w:rPr>
          <w:color w:val="231F20"/>
          <w:spacing w:val="-22"/>
        </w:rPr>
        <w:t xml:space="preserve"> </w:t>
      </w:r>
      <w:r>
        <w:rPr>
          <w:color w:val="231F20"/>
        </w:rPr>
        <w:t>náklady</w:t>
      </w:r>
      <w:r>
        <w:rPr>
          <w:color w:val="231F20"/>
          <w:spacing w:val="-21"/>
        </w:rPr>
        <w:t xml:space="preserve"> </w:t>
      </w:r>
      <w:r>
        <w:rPr>
          <w:color w:val="231F20"/>
        </w:rPr>
        <w:t>vynaložené</w:t>
      </w:r>
      <w:r>
        <w:rPr>
          <w:color w:val="231F20"/>
          <w:spacing w:val="-21"/>
        </w:rPr>
        <w:t xml:space="preserve"> </w:t>
      </w:r>
      <w:r>
        <w:rPr>
          <w:color w:val="231F20"/>
        </w:rPr>
        <w:t>na</w:t>
      </w:r>
      <w:r>
        <w:rPr>
          <w:color w:val="231F20"/>
          <w:spacing w:val="-22"/>
        </w:rPr>
        <w:t xml:space="preserve"> </w:t>
      </w:r>
      <w:r>
        <w:rPr>
          <w:color w:val="231F20"/>
        </w:rPr>
        <w:t>opravu</w:t>
      </w:r>
      <w:r>
        <w:rPr>
          <w:color w:val="231F20"/>
          <w:spacing w:val="-21"/>
        </w:rPr>
        <w:t xml:space="preserve"> </w:t>
      </w:r>
      <w:r>
        <w:rPr>
          <w:color w:val="231F20"/>
        </w:rPr>
        <w:t>v</w:t>
      </w:r>
      <w:r>
        <w:rPr>
          <w:color w:val="231F20"/>
          <w:spacing w:val="-21"/>
        </w:rPr>
        <w:t xml:space="preserve"> </w:t>
      </w:r>
      <w:r>
        <w:rPr>
          <w:color w:val="231F20"/>
        </w:rPr>
        <w:t>zahraničních</w:t>
      </w:r>
      <w:r>
        <w:rPr>
          <w:color w:val="231F20"/>
          <w:spacing w:val="-21"/>
        </w:rPr>
        <w:t xml:space="preserve"> </w:t>
      </w:r>
      <w:r>
        <w:rPr>
          <w:color w:val="231F20"/>
        </w:rPr>
        <w:t>opravnách</w:t>
      </w:r>
      <w:r>
        <w:rPr>
          <w:color w:val="231F20"/>
          <w:spacing w:val="-22"/>
        </w:rPr>
        <w:t xml:space="preserve"> </w:t>
      </w:r>
      <w:r>
        <w:rPr>
          <w:color w:val="231F20"/>
        </w:rPr>
        <w:t>za</w:t>
      </w:r>
      <w:r>
        <w:rPr>
          <w:color w:val="231F20"/>
          <w:spacing w:val="-21"/>
        </w:rPr>
        <w:t xml:space="preserve"> </w:t>
      </w:r>
      <w:r>
        <w:rPr>
          <w:color w:val="231F20"/>
          <w:spacing w:val="-3"/>
        </w:rPr>
        <w:t xml:space="preserve">přimě- </w:t>
      </w:r>
      <w:r>
        <w:rPr>
          <w:color w:val="231F20"/>
        </w:rPr>
        <w:t>řené</w:t>
      </w:r>
      <w:r>
        <w:rPr>
          <w:color w:val="231F20"/>
          <w:spacing w:val="-16"/>
        </w:rPr>
        <w:t xml:space="preserve"> </w:t>
      </w:r>
      <w:r>
        <w:rPr>
          <w:color w:val="231F20"/>
        </w:rPr>
        <w:t>v</w:t>
      </w:r>
      <w:r>
        <w:rPr>
          <w:color w:val="231F20"/>
          <w:spacing w:val="-16"/>
        </w:rPr>
        <w:t xml:space="preserve"> </w:t>
      </w:r>
      <w:r>
        <w:rPr>
          <w:color w:val="231F20"/>
        </w:rPr>
        <w:t>tom</w:t>
      </w:r>
      <w:r>
        <w:rPr>
          <w:color w:val="231F20"/>
          <w:spacing w:val="-16"/>
        </w:rPr>
        <w:t xml:space="preserve"> </w:t>
      </w:r>
      <w:r>
        <w:rPr>
          <w:color w:val="231F20"/>
        </w:rPr>
        <w:t>rozsahu,</w:t>
      </w:r>
      <w:r>
        <w:rPr>
          <w:color w:val="231F20"/>
          <w:spacing w:val="-16"/>
        </w:rPr>
        <w:t xml:space="preserve"> </w:t>
      </w:r>
      <w:r>
        <w:rPr>
          <w:color w:val="231F20"/>
        </w:rPr>
        <w:t>v</w:t>
      </w:r>
      <w:r>
        <w:rPr>
          <w:color w:val="231F20"/>
          <w:spacing w:val="-16"/>
        </w:rPr>
        <w:t xml:space="preserve"> </w:t>
      </w:r>
      <w:r>
        <w:rPr>
          <w:color w:val="231F20"/>
        </w:rPr>
        <w:t>němž</w:t>
      </w:r>
      <w:r>
        <w:rPr>
          <w:color w:val="231F20"/>
          <w:spacing w:val="-16"/>
        </w:rPr>
        <w:t xml:space="preserve"> </w:t>
      </w:r>
      <w:r>
        <w:rPr>
          <w:color w:val="231F20"/>
        </w:rPr>
        <w:t>neodpovídají</w:t>
      </w:r>
      <w:r>
        <w:rPr>
          <w:color w:val="231F20"/>
          <w:spacing w:val="-16"/>
        </w:rPr>
        <w:t xml:space="preserve"> </w:t>
      </w:r>
      <w:r>
        <w:rPr>
          <w:color w:val="231F20"/>
        </w:rPr>
        <w:t>svou</w:t>
      </w:r>
      <w:r>
        <w:rPr>
          <w:color w:val="231F20"/>
          <w:spacing w:val="-16"/>
        </w:rPr>
        <w:t xml:space="preserve"> </w:t>
      </w:r>
      <w:r>
        <w:rPr>
          <w:color w:val="231F20"/>
        </w:rPr>
        <w:t>výší</w:t>
      </w:r>
      <w:r>
        <w:rPr>
          <w:color w:val="231F20"/>
          <w:spacing w:val="-16"/>
        </w:rPr>
        <w:t xml:space="preserve"> </w:t>
      </w:r>
      <w:r>
        <w:rPr>
          <w:color w:val="231F20"/>
        </w:rPr>
        <w:t>cenové</w:t>
      </w:r>
      <w:r>
        <w:rPr>
          <w:color w:val="231F20"/>
          <w:spacing w:val="-16"/>
        </w:rPr>
        <w:t xml:space="preserve"> </w:t>
      </w:r>
      <w:r>
        <w:rPr>
          <w:color w:val="231F20"/>
        </w:rPr>
        <w:t>úrovni</w:t>
      </w:r>
      <w:r>
        <w:rPr>
          <w:color w:val="231F20"/>
          <w:spacing w:val="-16"/>
        </w:rPr>
        <w:t xml:space="preserve"> </w:t>
      </w:r>
      <w:r>
        <w:rPr>
          <w:color w:val="231F20"/>
        </w:rPr>
        <w:t>v</w:t>
      </w:r>
      <w:r>
        <w:rPr>
          <w:color w:val="231F20"/>
          <w:spacing w:val="-16"/>
        </w:rPr>
        <w:t xml:space="preserve"> </w:t>
      </w:r>
      <w:r>
        <w:rPr>
          <w:color w:val="231F20"/>
        </w:rPr>
        <w:t>České</w:t>
      </w:r>
      <w:r>
        <w:rPr>
          <w:color w:val="231F20"/>
          <w:spacing w:val="-16"/>
        </w:rPr>
        <w:t xml:space="preserve"> </w:t>
      </w:r>
      <w:r>
        <w:rPr>
          <w:color w:val="231F20"/>
          <w:spacing w:val="-5"/>
        </w:rPr>
        <w:t xml:space="preserve">re- </w:t>
      </w:r>
      <w:r>
        <w:rPr>
          <w:color w:val="231F20"/>
        </w:rPr>
        <w:t>publice.</w:t>
      </w:r>
      <w:r>
        <w:rPr>
          <w:color w:val="231F20"/>
          <w:spacing w:val="-23"/>
        </w:rPr>
        <w:t xml:space="preserve"> </w:t>
      </w:r>
      <w:r>
        <w:rPr>
          <w:color w:val="231F20"/>
        </w:rPr>
        <w:t>Pojišťovna</w:t>
      </w:r>
      <w:r>
        <w:rPr>
          <w:color w:val="231F20"/>
          <w:spacing w:val="-22"/>
        </w:rPr>
        <w:t xml:space="preserve"> </w:t>
      </w:r>
      <w:r>
        <w:rPr>
          <w:color w:val="231F20"/>
        </w:rPr>
        <w:t>tudíž</w:t>
      </w:r>
      <w:r>
        <w:rPr>
          <w:color w:val="231F20"/>
          <w:spacing w:val="-22"/>
        </w:rPr>
        <w:t xml:space="preserve"> </w:t>
      </w:r>
      <w:r>
        <w:rPr>
          <w:color w:val="231F20"/>
        </w:rPr>
        <w:t>zohlední</w:t>
      </w:r>
      <w:r>
        <w:rPr>
          <w:color w:val="231F20"/>
          <w:spacing w:val="-23"/>
        </w:rPr>
        <w:t xml:space="preserve"> </w:t>
      </w:r>
      <w:r>
        <w:rPr>
          <w:color w:val="231F20"/>
        </w:rPr>
        <w:t>v</w:t>
      </w:r>
      <w:r>
        <w:rPr>
          <w:color w:val="231F20"/>
          <w:spacing w:val="-22"/>
        </w:rPr>
        <w:t xml:space="preserve"> </w:t>
      </w:r>
      <w:r>
        <w:rPr>
          <w:color w:val="231F20"/>
        </w:rPr>
        <w:t>pojistném</w:t>
      </w:r>
      <w:r>
        <w:rPr>
          <w:color w:val="231F20"/>
          <w:spacing w:val="-22"/>
        </w:rPr>
        <w:t xml:space="preserve"> </w:t>
      </w:r>
      <w:r>
        <w:rPr>
          <w:color w:val="231F20"/>
        </w:rPr>
        <w:t>plnění</w:t>
      </w:r>
      <w:r>
        <w:rPr>
          <w:color w:val="231F20"/>
          <w:spacing w:val="-22"/>
        </w:rPr>
        <w:t xml:space="preserve"> </w:t>
      </w:r>
      <w:r>
        <w:rPr>
          <w:color w:val="231F20"/>
        </w:rPr>
        <w:t>náklady</w:t>
      </w:r>
      <w:r>
        <w:rPr>
          <w:color w:val="231F20"/>
          <w:spacing w:val="-23"/>
        </w:rPr>
        <w:t xml:space="preserve"> </w:t>
      </w:r>
      <w:r>
        <w:rPr>
          <w:color w:val="231F20"/>
        </w:rPr>
        <w:t>na</w:t>
      </w:r>
      <w:r>
        <w:rPr>
          <w:color w:val="231F20"/>
          <w:spacing w:val="-22"/>
        </w:rPr>
        <w:t xml:space="preserve"> </w:t>
      </w:r>
      <w:r>
        <w:rPr>
          <w:color w:val="231F20"/>
        </w:rPr>
        <w:t>opravu</w:t>
      </w:r>
      <w:r>
        <w:rPr>
          <w:color w:val="231F20"/>
          <w:spacing w:val="-22"/>
        </w:rPr>
        <w:t xml:space="preserve"> </w:t>
      </w:r>
      <w:r>
        <w:rPr>
          <w:color w:val="231F20"/>
        </w:rPr>
        <w:t>pouze ve výši v České republice</w:t>
      </w:r>
      <w:r>
        <w:rPr>
          <w:color w:val="231F20"/>
          <w:spacing w:val="-7"/>
        </w:rPr>
        <w:t xml:space="preserve"> </w:t>
      </w:r>
      <w:r>
        <w:rPr>
          <w:color w:val="231F20"/>
        </w:rPr>
        <w:t>obvyklé.</w:t>
      </w:r>
    </w:p>
    <w:p w14:paraId="52B56431" w14:textId="77777777" w:rsidR="00F65BCA" w:rsidRDefault="00216117">
      <w:pPr>
        <w:pStyle w:val="Zkladntext"/>
        <w:spacing w:line="172" w:lineRule="exact"/>
        <w:ind w:left="428"/>
        <w:jc w:val="both"/>
      </w:pPr>
      <w:r>
        <w:rPr>
          <w:color w:val="231F20"/>
          <w:position w:val="1"/>
          <w:sz w:val="14"/>
          <w:shd w:val="clear" w:color="auto" w:fill="D1D3D4"/>
        </w:rPr>
        <w:t xml:space="preserve"> 12</w:t>
      </w:r>
      <w:r>
        <w:rPr>
          <w:color w:val="231F20"/>
          <w:position w:val="1"/>
          <w:sz w:val="14"/>
        </w:rPr>
        <w:t xml:space="preserve"> </w:t>
      </w:r>
      <w:r>
        <w:rPr>
          <w:color w:val="231F20"/>
        </w:rPr>
        <w:t>Pojišťovna může pojistné plnění odmítnout, jestliže:</w:t>
      </w:r>
    </w:p>
    <w:p w14:paraId="13D196E0" w14:textId="77777777" w:rsidR="00F65BCA" w:rsidRDefault="00216117">
      <w:pPr>
        <w:pStyle w:val="Odstavecseseznamem"/>
        <w:numPr>
          <w:ilvl w:val="0"/>
          <w:numId w:val="103"/>
        </w:numPr>
        <w:tabs>
          <w:tab w:val="left" w:pos="881"/>
        </w:tabs>
        <w:spacing w:before="24" w:line="278" w:lineRule="auto"/>
        <w:ind w:right="3"/>
        <w:jc w:val="both"/>
        <w:rPr>
          <w:sz w:val="15"/>
        </w:rPr>
      </w:pPr>
      <w:r>
        <w:rPr>
          <w:color w:val="231F20"/>
          <w:sz w:val="15"/>
        </w:rPr>
        <w:t>příčinou</w:t>
      </w:r>
      <w:r>
        <w:rPr>
          <w:color w:val="231F20"/>
          <w:spacing w:val="-24"/>
          <w:sz w:val="15"/>
        </w:rPr>
        <w:t xml:space="preserve"> </w:t>
      </w:r>
      <w:r>
        <w:rPr>
          <w:color w:val="231F20"/>
          <w:sz w:val="15"/>
        </w:rPr>
        <w:t>pojistné</w:t>
      </w:r>
      <w:r>
        <w:rPr>
          <w:color w:val="231F20"/>
          <w:spacing w:val="-23"/>
          <w:sz w:val="15"/>
        </w:rPr>
        <w:t xml:space="preserve"> </w:t>
      </w:r>
      <w:r>
        <w:rPr>
          <w:color w:val="231F20"/>
          <w:sz w:val="15"/>
        </w:rPr>
        <w:t>události</w:t>
      </w:r>
      <w:r>
        <w:rPr>
          <w:color w:val="231F20"/>
          <w:spacing w:val="-23"/>
          <w:sz w:val="15"/>
        </w:rPr>
        <w:t xml:space="preserve"> </w:t>
      </w:r>
      <w:r>
        <w:rPr>
          <w:color w:val="231F20"/>
          <w:sz w:val="15"/>
        </w:rPr>
        <w:t>byla</w:t>
      </w:r>
      <w:r>
        <w:rPr>
          <w:color w:val="231F20"/>
          <w:spacing w:val="-23"/>
          <w:sz w:val="15"/>
        </w:rPr>
        <w:t xml:space="preserve"> </w:t>
      </w:r>
      <w:r>
        <w:rPr>
          <w:color w:val="231F20"/>
          <w:sz w:val="15"/>
        </w:rPr>
        <w:t>skutečnost,</w:t>
      </w:r>
      <w:r>
        <w:rPr>
          <w:color w:val="231F20"/>
          <w:spacing w:val="-23"/>
          <w:sz w:val="15"/>
        </w:rPr>
        <w:t xml:space="preserve"> </w:t>
      </w:r>
      <w:r>
        <w:rPr>
          <w:color w:val="231F20"/>
          <w:sz w:val="15"/>
        </w:rPr>
        <w:t>o</w:t>
      </w:r>
      <w:r>
        <w:rPr>
          <w:color w:val="231F20"/>
          <w:spacing w:val="-23"/>
          <w:sz w:val="15"/>
        </w:rPr>
        <w:t xml:space="preserve"> </w:t>
      </w:r>
      <w:r>
        <w:rPr>
          <w:color w:val="231F20"/>
          <w:sz w:val="15"/>
        </w:rPr>
        <w:t>které</w:t>
      </w:r>
      <w:r>
        <w:rPr>
          <w:color w:val="231F20"/>
          <w:spacing w:val="-23"/>
          <w:sz w:val="15"/>
        </w:rPr>
        <w:t xml:space="preserve"> </w:t>
      </w:r>
      <w:r>
        <w:rPr>
          <w:color w:val="231F20"/>
          <w:sz w:val="15"/>
        </w:rPr>
        <w:t>se</w:t>
      </w:r>
      <w:r>
        <w:rPr>
          <w:color w:val="231F20"/>
          <w:spacing w:val="-23"/>
          <w:sz w:val="15"/>
        </w:rPr>
        <w:t xml:space="preserve"> </w:t>
      </w:r>
      <w:r>
        <w:rPr>
          <w:color w:val="231F20"/>
          <w:sz w:val="15"/>
        </w:rPr>
        <w:t>dozvěděla</w:t>
      </w:r>
      <w:r>
        <w:rPr>
          <w:color w:val="231F20"/>
          <w:spacing w:val="-23"/>
          <w:sz w:val="15"/>
        </w:rPr>
        <w:t xml:space="preserve"> </w:t>
      </w:r>
      <w:r>
        <w:rPr>
          <w:color w:val="231F20"/>
          <w:sz w:val="15"/>
        </w:rPr>
        <w:t>až</w:t>
      </w:r>
      <w:r>
        <w:rPr>
          <w:color w:val="231F20"/>
          <w:spacing w:val="-24"/>
          <w:sz w:val="15"/>
        </w:rPr>
        <w:t xml:space="preserve"> </w:t>
      </w:r>
      <w:r>
        <w:rPr>
          <w:color w:val="231F20"/>
          <w:sz w:val="15"/>
        </w:rPr>
        <w:t>po</w:t>
      </w:r>
      <w:r>
        <w:rPr>
          <w:color w:val="231F20"/>
          <w:spacing w:val="-23"/>
          <w:sz w:val="15"/>
        </w:rPr>
        <w:t xml:space="preserve"> </w:t>
      </w:r>
      <w:r>
        <w:rPr>
          <w:color w:val="231F20"/>
          <w:sz w:val="15"/>
        </w:rPr>
        <w:t>vzniku pojistné</w:t>
      </w:r>
      <w:r>
        <w:rPr>
          <w:color w:val="231F20"/>
          <w:spacing w:val="-12"/>
          <w:sz w:val="15"/>
        </w:rPr>
        <w:t xml:space="preserve"> </w:t>
      </w:r>
      <w:r>
        <w:rPr>
          <w:color w:val="231F20"/>
          <w:sz w:val="15"/>
        </w:rPr>
        <w:t>události</w:t>
      </w:r>
      <w:r>
        <w:rPr>
          <w:color w:val="231F20"/>
          <w:spacing w:val="-11"/>
          <w:sz w:val="15"/>
        </w:rPr>
        <w:t xml:space="preserve"> </w:t>
      </w:r>
      <w:r>
        <w:rPr>
          <w:color w:val="231F20"/>
          <w:sz w:val="15"/>
        </w:rPr>
        <w:t>a</w:t>
      </w:r>
      <w:r>
        <w:rPr>
          <w:color w:val="231F20"/>
          <w:spacing w:val="-11"/>
          <w:sz w:val="15"/>
        </w:rPr>
        <w:t xml:space="preserve"> </w:t>
      </w:r>
      <w:r>
        <w:rPr>
          <w:color w:val="231F20"/>
          <w:sz w:val="15"/>
        </w:rPr>
        <w:t>kterou</w:t>
      </w:r>
      <w:r>
        <w:rPr>
          <w:color w:val="231F20"/>
          <w:spacing w:val="-12"/>
          <w:sz w:val="15"/>
        </w:rPr>
        <w:t xml:space="preserve"> </w:t>
      </w:r>
      <w:r>
        <w:rPr>
          <w:color w:val="231F20"/>
          <w:sz w:val="15"/>
        </w:rPr>
        <w:t>nemohla</w:t>
      </w:r>
      <w:r>
        <w:rPr>
          <w:color w:val="231F20"/>
          <w:spacing w:val="-11"/>
          <w:sz w:val="15"/>
        </w:rPr>
        <w:t xml:space="preserve"> </w:t>
      </w:r>
      <w:r>
        <w:rPr>
          <w:color w:val="231F20"/>
          <w:sz w:val="15"/>
        </w:rPr>
        <w:t>zjistit</w:t>
      </w:r>
      <w:r>
        <w:rPr>
          <w:color w:val="231F20"/>
          <w:spacing w:val="-11"/>
          <w:sz w:val="15"/>
        </w:rPr>
        <w:t xml:space="preserve"> </w:t>
      </w:r>
      <w:r>
        <w:rPr>
          <w:color w:val="231F20"/>
          <w:sz w:val="15"/>
        </w:rPr>
        <w:t>při</w:t>
      </w:r>
      <w:r>
        <w:rPr>
          <w:color w:val="231F20"/>
          <w:spacing w:val="-11"/>
          <w:sz w:val="15"/>
        </w:rPr>
        <w:t xml:space="preserve"> </w:t>
      </w:r>
      <w:r>
        <w:rPr>
          <w:color w:val="231F20"/>
          <w:sz w:val="15"/>
        </w:rPr>
        <w:t>sjednávání</w:t>
      </w:r>
      <w:r>
        <w:rPr>
          <w:color w:val="231F20"/>
          <w:spacing w:val="-12"/>
          <w:sz w:val="15"/>
        </w:rPr>
        <w:t xml:space="preserve"> </w:t>
      </w:r>
      <w:r>
        <w:rPr>
          <w:color w:val="231F20"/>
          <w:sz w:val="15"/>
        </w:rPr>
        <w:t>pojištění</w:t>
      </w:r>
      <w:r>
        <w:rPr>
          <w:color w:val="231F20"/>
          <w:spacing w:val="-11"/>
          <w:sz w:val="15"/>
        </w:rPr>
        <w:t xml:space="preserve"> </w:t>
      </w:r>
      <w:r>
        <w:rPr>
          <w:color w:val="231F20"/>
          <w:sz w:val="15"/>
        </w:rPr>
        <w:t>nebo</w:t>
      </w:r>
      <w:r>
        <w:rPr>
          <w:color w:val="231F20"/>
          <w:spacing w:val="-11"/>
          <w:sz w:val="15"/>
        </w:rPr>
        <w:t xml:space="preserve"> </w:t>
      </w:r>
      <w:r>
        <w:rPr>
          <w:color w:val="231F20"/>
          <w:sz w:val="15"/>
        </w:rPr>
        <w:t xml:space="preserve">jeho změně v důsledku úmyslně nebo z nedbalosti nepravdivě nebo </w:t>
      </w:r>
      <w:r>
        <w:rPr>
          <w:color w:val="231F20"/>
          <w:spacing w:val="-3"/>
          <w:sz w:val="15"/>
        </w:rPr>
        <w:t xml:space="preserve">neúplně </w:t>
      </w:r>
      <w:r>
        <w:rPr>
          <w:color w:val="231F20"/>
          <w:sz w:val="15"/>
        </w:rPr>
        <w:t>zodpovězených dotazů, a jestliže by při znalosti této skutečnosti v době uzavření</w:t>
      </w:r>
      <w:r>
        <w:rPr>
          <w:color w:val="231F20"/>
          <w:spacing w:val="-26"/>
          <w:sz w:val="15"/>
        </w:rPr>
        <w:t xml:space="preserve"> </w:t>
      </w:r>
      <w:r>
        <w:rPr>
          <w:color w:val="231F20"/>
          <w:sz w:val="15"/>
        </w:rPr>
        <w:t>pojistné</w:t>
      </w:r>
      <w:r>
        <w:rPr>
          <w:color w:val="231F20"/>
          <w:spacing w:val="-25"/>
          <w:sz w:val="15"/>
        </w:rPr>
        <w:t xml:space="preserve"> </w:t>
      </w:r>
      <w:r>
        <w:rPr>
          <w:color w:val="231F20"/>
          <w:sz w:val="15"/>
        </w:rPr>
        <w:t>smlouvy</w:t>
      </w:r>
      <w:r>
        <w:rPr>
          <w:color w:val="231F20"/>
          <w:spacing w:val="-25"/>
          <w:sz w:val="15"/>
        </w:rPr>
        <w:t xml:space="preserve"> </w:t>
      </w:r>
      <w:r>
        <w:rPr>
          <w:color w:val="231F20"/>
          <w:sz w:val="15"/>
        </w:rPr>
        <w:t>tuto</w:t>
      </w:r>
      <w:r>
        <w:rPr>
          <w:color w:val="231F20"/>
          <w:spacing w:val="-25"/>
          <w:sz w:val="15"/>
        </w:rPr>
        <w:t xml:space="preserve"> </w:t>
      </w:r>
      <w:r>
        <w:rPr>
          <w:color w:val="231F20"/>
          <w:sz w:val="15"/>
        </w:rPr>
        <w:t>pojistnou</w:t>
      </w:r>
      <w:r>
        <w:rPr>
          <w:color w:val="231F20"/>
          <w:spacing w:val="-25"/>
          <w:sz w:val="15"/>
        </w:rPr>
        <w:t xml:space="preserve"> </w:t>
      </w:r>
      <w:r>
        <w:rPr>
          <w:color w:val="231F20"/>
          <w:sz w:val="15"/>
        </w:rPr>
        <w:t>smlouvu</w:t>
      </w:r>
      <w:r>
        <w:rPr>
          <w:color w:val="231F20"/>
          <w:spacing w:val="-25"/>
          <w:sz w:val="15"/>
        </w:rPr>
        <w:t xml:space="preserve"> </w:t>
      </w:r>
      <w:r>
        <w:rPr>
          <w:color w:val="231F20"/>
          <w:sz w:val="15"/>
        </w:rPr>
        <w:t>neuzavřela</w:t>
      </w:r>
      <w:r>
        <w:rPr>
          <w:color w:val="231F20"/>
          <w:spacing w:val="-25"/>
          <w:sz w:val="15"/>
        </w:rPr>
        <w:t xml:space="preserve"> </w:t>
      </w:r>
      <w:r>
        <w:rPr>
          <w:color w:val="231F20"/>
          <w:sz w:val="15"/>
        </w:rPr>
        <w:t>nebo</w:t>
      </w:r>
      <w:r>
        <w:rPr>
          <w:color w:val="231F20"/>
          <w:spacing w:val="-26"/>
          <w:sz w:val="15"/>
        </w:rPr>
        <w:t xml:space="preserve"> </w:t>
      </w:r>
      <w:r>
        <w:rPr>
          <w:color w:val="231F20"/>
          <w:sz w:val="15"/>
        </w:rPr>
        <w:t>ji</w:t>
      </w:r>
      <w:r>
        <w:rPr>
          <w:color w:val="231F20"/>
          <w:spacing w:val="-25"/>
          <w:sz w:val="15"/>
        </w:rPr>
        <w:t xml:space="preserve"> </w:t>
      </w:r>
      <w:r>
        <w:rPr>
          <w:color w:val="231F20"/>
          <w:spacing w:val="-3"/>
          <w:sz w:val="15"/>
        </w:rPr>
        <w:t xml:space="preserve">uzavře- </w:t>
      </w:r>
      <w:r>
        <w:rPr>
          <w:color w:val="231F20"/>
          <w:sz w:val="15"/>
        </w:rPr>
        <w:t>la za jiných podmínek,</w:t>
      </w:r>
      <w:r>
        <w:rPr>
          <w:color w:val="231F20"/>
          <w:spacing w:val="-4"/>
          <w:sz w:val="15"/>
        </w:rPr>
        <w:t xml:space="preserve"> </w:t>
      </w:r>
      <w:r>
        <w:rPr>
          <w:color w:val="231F20"/>
          <w:sz w:val="15"/>
        </w:rPr>
        <w:t>nebo</w:t>
      </w:r>
    </w:p>
    <w:p w14:paraId="6A95D881" w14:textId="77777777" w:rsidR="00F65BCA" w:rsidRDefault="00216117">
      <w:pPr>
        <w:pStyle w:val="Odstavecseseznamem"/>
        <w:numPr>
          <w:ilvl w:val="0"/>
          <w:numId w:val="103"/>
        </w:numPr>
        <w:tabs>
          <w:tab w:val="left" w:pos="881"/>
        </w:tabs>
        <w:spacing w:line="278" w:lineRule="auto"/>
        <w:ind w:right="3"/>
        <w:jc w:val="both"/>
        <w:rPr>
          <w:sz w:val="15"/>
        </w:rPr>
      </w:pPr>
      <w:r>
        <w:rPr>
          <w:color w:val="231F20"/>
          <w:sz w:val="15"/>
        </w:rPr>
        <w:t>pojistník,</w:t>
      </w:r>
      <w:r>
        <w:rPr>
          <w:color w:val="231F20"/>
          <w:spacing w:val="-26"/>
          <w:sz w:val="15"/>
        </w:rPr>
        <w:t xml:space="preserve"> </w:t>
      </w:r>
      <w:r>
        <w:rPr>
          <w:color w:val="231F20"/>
          <w:sz w:val="15"/>
        </w:rPr>
        <w:t>pojištěný</w:t>
      </w:r>
      <w:r>
        <w:rPr>
          <w:color w:val="231F20"/>
          <w:spacing w:val="-25"/>
          <w:sz w:val="15"/>
        </w:rPr>
        <w:t xml:space="preserve"> </w:t>
      </w:r>
      <w:r>
        <w:rPr>
          <w:color w:val="231F20"/>
          <w:sz w:val="15"/>
        </w:rPr>
        <w:t>nebo</w:t>
      </w:r>
      <w:r>
        <w:rPr>
          <w:color w:val="231F20"/>
          <w:spacing w:val="-25"/>
          <w:sz w:val="15"/>
        </w:rPr>
        <w:t xml:space="preserve"> </w:t>
      </w:r>
      <w:r>
        <w:rPr>
          <w:color w:val="231F20"/>
          <w:sz w:val="15"/>
        </w:rPr>
        <w:t>oprávněná</w:t>
      </w:r>
      <w:r>
        <w:rPr>
          <w:color w:val="231F20"/>
          <w:spacing w:val="-26"/>
          <w:sz w:val="15"/>
        </w:rPr>
        <w:t xml:space="preserve"> </w:t>
      </w:r>
      <w:r>
        <w:rPr>
          <w:color w:val="231F20"/>
          <w:sz w:val="15"/>
        </w:rPr>
        <w:t>osoba</w:t>
      </w:r>
      <w:r>
        <w:rPr>
          <w:color w:val="231F20"/>
          <w:spacing w:val="-25"/>
          <w:sz w:val="15"/>
        </w:rPr>
        <w:t xml:space="preserve"> </w:t>
      </w:r>
      <w:r>
        <w:rPr>
          <w:color w:val="231F20"/>
          <w:sz w:val="15"/>
        </w:rPr>
        <w:t>nebo</w:t>
      </w:r>
      <w:r>
        <w:rPr>
          <w:color w:val="231F20"/>
          <w:spacing w:val="-25"/>
          <w:sz w:val="15"/>
        </w:rPr>
        <w:t xml:space="preserve"> </w:t>
      </w:r>
      <w:r>
        <w:rPr>
          <w:color w:val="231F20"/>
          <w:sz w:val="15"/>
        </w:rPr>
        <w:t>osoba</w:t>
      </w:r>
      <w:r>
        <w:rPr>
          <w:color w:val="231F20"/>
          <w:spacing w:val="-25"/>
          <w:sz w:val="15"/>
        </w:rPr>
        <w:t xml:space="preserve"> </w:t>
      </w:r>
      <w:r>
        <w:rPr>
          <w:color w:val="231F20"/>
          <w:sz w:val="15"/>
        </w:rPr>
        <w:t>jednající</w:t>
      </w:r>
      <w:r>
        <w:rPr>
          <w:color w:val="231F20"/>
          <w:spacing w:val="-26"/>
          <w:sz w:val="15"/>
        </w:rPr>
        <w:t xml:space="preserve"> </w:t>
      </w:r>
      <w:r>
        <w:rPr>
          <w:color w:val="231F20"/>
          <w:sz w:val="15"/>
        </w:rPr>
        <w:t>z</w:t>
      </w:r>
      <w:r>
        <w:rPr>
          <w:color w:val="231F20"/>
          <w:spacing w:val="-25"/>
          <w:sz w:val="15"/>
        </w:rPr>
        <w:t xml:space="preserve"> </w:t>
      </w:r>
      <w:r>
        <w:rPr>
          <w:color w:val="231F20"/>
          <w:sz w:val="15"/>
        </w:rPr>
        <w:t>jejich</w:t>
      </w:r>
      <w:r>
        <w:rPr>
          <w:color w:val="231F20"/>
          <w:spacing w:val="-25"/>
          <w:sz w:val="15"/>
        </w:rPr>
        <w:t xml:space="preserve"> </w:t>
      </w:r>
      <w:r>
        <w:rPr>
          <w:color w:val="231F20"/>
          <w:sz w:val="15"/>
        </w:rPr>
        <w:t>pod- nětu</w:t>
      </w:r>
      <w:r>
        <w:rPr>
          <w:color w:val="231F20"/>
          <w:spacing w:val="-26"/>
          <w:sz w:val="15"/>
        </w:rPr>
        <w:t xml:space="preserve"> </w:t>
      </w:r>
      <w:r>
        <w:rPr>
          <w:color w:val="231F20"/>
          <w:sz w:val="15"/>
        </w:rPr>
        <w:t>nebo</w:t>
      </w:r>
      <w:r>
        <w:rPr>
          <w:color w:val="231F20"/>
          <w:spacing w:val="-25"/>
          <w:sz w:val="15"/>
        </w:rPr>
        <w:t xml:space="preserve"> </w:t>
      </w:r>
      <w:r>
        <w:rPr>
          <w:color w:val="231F20"/>
          <w:sz w:val="15"/>
        </w:rPr>
        <w:t>v</w:t>
      </w:r>
      <w:r>
        <w:rPr>
          <w:color w:val="231F20"/>
          <w:spacing w:val="-25"/>
          <w:sz w:val="15"/>
        </w:rPr>
        <w:t xml:space="preserve"> </w:t>
      </w:r>
      <w:r>
        <w:rPr>
          <w:color w:val="231F20"/>
          <w:sz w:val="15"/>
        </w:rPr>
        <w:t>jejich</w:t>
      </w:r>
      <w:r>
        <w:rPr>
          <w:color w:val="231F20"/>
          <w:spacing w:val="-26"/>
          <w:sz w:val="15"/>
        </w:rPr>
        <w:t xml:space="preserve"> </w:t>
      </w:r>
      <w:r>
        <w:rPr>
          <w:color w:val="231F20"/>
          <w:sz w:val="15"/>
        </w:rPr>
        <w:t>zastoupení</w:t>
      </w:r>
      <w:r>
        <w:rPr>
          <w:color w:val="231F20"/>
          <w:spacing w:val="-25"/>
          <w:sz w:val="15"/>
        </w:rPr>
        <w:t xml:space="preserve"> </w:t>
      </w:r>
      <w:r>
        <w:rPr>
          <w:color w:val="231F20"/>
          <w:sz w:val="15"/>
        </w:rPr>
        <w:t>uvede</w:t>
      </w:r>
      <w:r>
        <w:rPr>
          <w:color w:val="231F20"/>
          <w:spacing w:val="-25"/>
          <w:sz w:val="15"/>
        </w:rPr>
        <w:t xml:space="preserve"> </w:t>
      </w:r>
      <w:r>
        <w:rPr>
          <w:color w:val="231F20"/>
          <w:sz w:val="15"/>
        </w:rPr>
        <w:t>při</w:t>
      </w:r>
      <w:r>
        <w:rPr>
          <w:color w:val="231F20"/>
          <w:spacing w:val="-25"/>
          <w:sz w:val="15"/>
        </w:rPr>
        <w:t xml:space="preserve"> </w:t>
      </w:r>
      <w:r>
        <w:rPr>
          <w:color w:val="231F20"/>
          <w:sz w:val="15"/>
        </w:rPr>
        <w:t>uplatňování</w:t>
      </w:r>
      <w:r>
        <w:rPr>
          <w:color w:val="231F20"/>
          <w:spacing w:val="-26"/>
          <w:sz w:val="15"/>
        </w:rPr>
        <w:t xml:space="preserve"> </w:t>
      </w:r>
      <w:r>
        <w:rPr>
          <w:color w:val="231F20"/>
          <w:sz w:val="15"/>
        </w:rPr>
        <w:t>práva</w:t>
      </w:r>
      <w:r>
        <w:rPr>
          <w:color w:val="231F20"/>
          <w:spacing w:val="-25"/>
          <w:sz w:val="15"/>
        </w:rPr>
        <w:t xml:space="preserve"> </w:t>
      </w:r>
      <w:r>
        <w:rPr>
          <w:color w:val="231F20"/>
          <w:sz w:val="15"/>
        </w:rPr>
        <w:t>na</w:t>
      </w:r>
      <w:r>
        <w:rPr>
          <w:color w:val="231F20"/>
          <w:spacing w:val="-25"/>
          <w:sz w:val="15"/>
        </w:rPr>
        <w:t xml:space="preserve"> </w:t>
      </w:r>
      <w:r>
        <w:rPr>
          <w:color w:val="231F20"/>
          <w:sz w:val="15"/>
        </w:rPr>
        <w:t>pojistné</w:t>
      </w:r>
      <w:r>
        <w:rPr>
          <w:color w:val="231F20"/>
          <w:spacing w:val="-25"/>
          <w:sz w:val="15"/>
        </w:rPr>
        <w:t xml:space="preserve"> </w:t>
      </w:r>
      <w:r>
        <w:rPr>
          <w:color w:val="231F20"/>
          <w:sz w:val="15"/>
        </w:rPr>
        <w:t>plnění, byť</w:t>
      </w:r>
      <w:r>
        <w:rPr>
          <w:color w:val="231F20"/>
          <w:spacing w:val="-24"/>
          <w:sz w:val="15"/>
        </w:rPr>
        <w:t xml:space="preserve"> </w:t>
      </w:r>
      <w:r>
        <w:rPr>
          <w:color w:val="231F20"/>
          <w:sz w:val="15"/>
        </w:rPr>
        <w:t>z</w:t>
      </w:r>
      <w:r>
        <w:rPr>
          <w:color w:val="231F20"/>
          <w:spacing w:val="-23"/>
          <w:sz w:val="15"/>
        </w:rPr>
        <w:t xml:space="preserve"> </w:t>
      </w:r>
      <w:r>
        <w:rPr>
          <w:color w:val="231F20"/>
          <w:sz w:val="15"/>
        </w:rPr>
        <w:t>nedbalosti,</w:t>
      </w:r>
      <w:r>
        <w:rPr>
          <w:color w:val="231F20"/>
          <w:spacing w:val="-23"/>
          <w:sz w:val="15"/>
        </w:rPr>
        <w:t xml:space="preserve"> </w:t>
      </w:r>
      <w:r>
        <w:rPr>
          <w:color w:val="231F20"/>
          <w:sz w:val="15"/>
        </w:rPr>
        <w:t>nepravdivé</w:t>
      </w:r>
      <w:r>
        <w:rPr>
          <w:color w:val="231F20"/>
          <w:spacing w:val="-24"/>
          <w:sz w:val="15"/>
        </w:rPr>
        <w:t xml:space="preserve"> </w:t>
      </w:r>
      <w:r>
        <w:rPr>
          <w:color w:val="231F20"/>
          <w:sz w:val="15"/>
        </w:rPr>
        <w:t>nebo</w:t>
      </w:r>
      <w:r>
        <w:rPr>
          <w:color w:val="231F20"/>
          <w:spacing w:val="-23"/>
          <w:sz w:val="15"/>
        </w:rPr>
        <w:t xml:space="preserve"> </w:t>
      </w:r>
      <w:r>
        <w:rPr>
          <w:color w:val="231F20"/>
          <w:sz w:val="15"/>
        </w:rPr>
        <w:t>hrubě</w:t>
      </w:r>
      <w:r>
        <w:rPr>
          <w:color w:val="231F20"/>
          <w:spacing w:val="-23"/>
          <w:sz w:val="15"/>
        </w:rPr>
        <w:t xml:space="preserve"> </w:t>
      </w:r>
      <w:r>
        <w:rPr>
          <w:color w:val="231F20"/>
          <w:sz w:val="15"/>
        </w:rPr>
        <w:t>zkreslené</w:t>
      </w:r>
      <w:r>
        <w:rPr>
          <w:color w:val="231F20"/>
          <w:spacing w:val="-23"/>
          <w:sz w:val="15"/>
        </w:rPr>
        <w:t xml:space="preserve"> </w:t>
      </w:r>
      <w:r>
        <w:rPr>
          <w:color w:val="231F20"/>
          <w:sz w:val="15"/>
        </w:rPr>
        <w:t>údaje</w:t>
      </w:r>
      <w:r>
        <w:rPr>
          <w:color w:val="231F20"/>
          <w:spacing w:val="-24"/>
          <w:sz w:val="15"/>
        </w:rPr>
        <w:t xml:space="preserve"> </w:t>
      </w:r>
      <w:r>
        <w:rPr>
          <w:color w:val="231F20"/>
          <w:sz w:val="15"/>
        </w:rPr>
        <w:t>týkající</w:t>
      </w:r>
      <w:r>
        <w:rPr>
          <w:color w:val="231F20"/>
          <w:spacing w:val="-23"/>
          <w:sz w:val="15"/>
        </w:rPr>
        <w:t xml:space="preserve"> </w:t>
      </w:r>
      <w:r>
        <w:rPr>
          <w:color w:val="231F20"/>
          <w:sz w:val="15"/>
        </w:rPr>
        <w:t>se</w:t>
      </w:r>
      <w:r>
        <w:rPr>
          <w:color w:val="231F20"/>
          <w:spacing w:val="-23"/>
          <w:sz w:val="15"/>
        </w:rPr>
        <w:t xml:space="preserve"> </w:t>
      </w:r>
      <w:r>
        <w:rPr>
          <w:color w:val="231F20"/>
          <w:sz w:val="15"/>
        </w:rPr>
        <w:t>rozsahu pojistné</w:t>
      </w:r>
      <w:r>
        <w:rPr>
          <w:color w:val="231F20"/>
          <w:spacing w:val="-19"/>
          <w:sz w:val="15"/>
        </w:rPr>
        <w:t xml:space="preserve"> </w:t>
      </w:r>
      <w:r>
        <w:rPr>
          <w:color w:val="231F20"/>
          <w:sz w:val="15"/>
        </w:rPr>
        <w:t>události</w:t>
      </w:r>
      <w:r>
        <w:rPr>
          <w:color w:val="231F20"/>
          <w:spacing w:val="-19"/>
          <w:sz w:val="15"/>
        </w:rPr>
        <w:t xml:space="preserve"> </w:t>
      </w:r>
      <w:r>
        <w:rPr>
          <w:color w:val="231F20"/>
          <w:sz w:val="15"/>
        </w:rPr>
        <w:t>nebo</w:t>
      </w:r>
      <w:r>
        <w:rPr>
          <w:color w:val="231F20"/>
          <w:spacing w:val="-18"/>
          <w:sz w:val="15"/>
        </w:rPr>
        <w:t xml:space="preserve"> </w:t>
      </w:r>
      <w:r>
        <w:rPr>
          <w:color w:val="231F20"/>
          <w:sz w:val="15"/>
        </w:rPr>
        <w:t>podstatné</w:t>
      </w:r>
      <w:r>
        <w:rPr>
          <w:color w:val="231F20"/>
          <w:spacing w:val="-19"/>
          <w:sz w:val="15"/>
        </w:rPr>
        <w:t xml:space="preserve"> </w:t>
      </w:r>
      <w:r>
        <w:rPr>
          <w:color w:val="231F20"/>
          <w:sz w:val="15"/>
        </w:rPr>
        <w:t>údaje</w:t>
      </w:r>
      <w:r>
        <w:rPr>
          <w:color w:val="231F20"/>
          <w:spacing w:val="-18"/>
          <w:sz w:val="15"/>
        </w:rPr>
        <w:t xml:space="preserve"> </w:t>
      </w:r>
      <w:r>
        <w:rPr>
          <w:color w:val="231F20"/>
          <w:sz w:val="15"/>
        </w:rPr>
        <w:t>týkající</w:t>
      </w:r>
      <w:r>
        <w:rPr>
          <w:color w:val="231F20"/>
          <w:spacing w:val="-19"/>
          <w:sz w:val="15"/>
        </w:rPr>
        <w:t xml:space="preserve"> </w:t>
      </w:r>
      <w:r>
        <w:rPr>
          <w:color w:val="231F20"/>
          <w:sz w:val="15"/>
        </w:rPr>
        <w:t>se</w:t>
      </w:r>
      <w:r>
        <w:rPr>
          <w:color w:val="231F20"/>
          <w:spacing w:val="-18"/>
          <w:sz w:val="15"/>
        </w:rPr>
        <w:t xml:space="preserve"> </w:t>
      </w:r>
      <w:r>
        <w:rPr>
          <w:color w:val="231F20"/>
          <w:sz w:val="15"/>
        </w:rPr>
        <w:t>této</w:t>
      </w:r>
      <w:r>
        <w:rPr>
          <w:color w:val="231F20"/>
          <w:spacing w:val="-19"/>
          <w:sz w:val="15"/>
        </w:rPr>
        <w:t xml:space="preserve"> </w:t>
      </w:r>
      <w:r>
        <w:rPr>
          <w:color w:val="231F20"/>
          <w:sz w:val="15"/>
        </w:rPr>
        <w:t>události</w:t>
      </w:r>
      <w:r>
        <w:rPr>
          <w:color w:val="231F20"/>
          <w:spacing w:val="-19"/>
          <w:sz w:val="15"/>
        </w:rPr>
        <w:t xml:space="preserve"> </w:t>
      </w:r>
      <w:r>
        <w:rPr>
          <w:color w:val="231F20"/>
          <w:sz w:val="15"/>
        </w:rPr>
        <w:t>zamlčí</w:t>
      </w:r>
      <w:r>
        <w:rPr>
          <w:color w:val="231F20"/>
          <w:spacing w:val="-18"/>
          <w:sz w:val="15"/>
        </w:rPr>
        <w:t xml:space="preserve"> </w:t>
      </w:r>
      <w:r>
        <w:rPr>
          <w:color w:val="231F20"/>
          <w:sz w:val="15"/>
        </w:rPr>
        <w:t>nebo</w:t>
      </w:r>
    </w:p>
    <w:p w14:paraId="119FB17F" w14:textId="77777777" w:rsidR="00F65BCA" w:rsidRDefault="00216117">
      <w:pPr>
        <w:pStyle w:val="Odstavecseseznamem"/>
        <w:numPr>
          <w:ilvl w:val="0"/>
          <w:numId w:val="103"/>
        </w:numPr>
        <w:tabs>
          <w:tab w:val="left" w:pos="881"/>
        </w:tabs>
        <w:spacing w:line="172" w:lineRule="exact"/>
        <w:jc w:val="both"/>
        <w:rPr>
          <w:sz w:val="15"/>
        </w:rPr>
      </w:pPr>
      <w:r>
        <w:rPr>
          <w:color w:val="231F20"/>
          <w:sz w:val="15"/>
        </w:rPr>
        <w:t>pokud</w:t>
      </w:r>
      <w:r>
        <w:rPr>
          <w:color w:val="231F20"/>
          <w:spacing w:val="-8"/>
          <w:sz w:val="15"/>
        </w:rPr>
        <w:t xml:space="preserve"> </w:t>
      </w:r>
      <w:r>
        <w:rPr>
          <w:color w:val="231F20"/>
          <w:sz w:val="15"/>
        </w:rPr>
        <w:t>dojde</w:t>
      </w:r>
      <w:r>
        <w:rPr>
          <w:color w:val="231F20"/>
          <w:spacing w:val="-7"/>
          <w:sz w:val="15"/>
        </w:rPr>
        <w:t xml:space="preserve"> </w:t>
      </w:r>
      <w:r>
        <w:rPr>
          <w:color w:val="231F20"/>
          <w:sz w:val="15"/>
        </w:rPr>
        <w:t>k</w:t>
      </w:r>
      <w:r>
        <w:rPr>
          <w:color w:val="231F20"/>
          <w:spacing w:val="-7"/>
          <w:sz w:val="15"/>
        </w:rPr>
        <w:t xml:space="preserve"> </w:t>
      </w:r>
      <w:r>
        <w:rPr>
          <w:color w:val="231F20"/>
          <w:sz w:val="15"/>
        </w:rPr>
        <w:t>porušení</w:t>
      </w:r>
      <w:r>
        <w:rPr>
          <w:color w:val="231F20"/>
          <w:spacing w:val="-7"/>
          <w:sz w:val="15"/>
        </w:rPr>
        <w:t xml:space="preserve"> </w:t>
      </w:r>
      <w:r>
        <w:rPr>
          <w:color w:val="231F20"/>
          <w:sz w:val="15"/>
        </w:rPr>
        <w:t>povinností</w:t>
      </w:r>
      <w:r>
        <w:rPr>
          <w:color w:val="231F20"/>
          <w:spacing w:val="-7"/>
          <w:sz w:val="15"/>
        </w:rPr>
        <w:t xml:space="preserve"> </w:t>
      </w:r>
      <w:r>
        <w:rPr>
          <w:color w:val="231F20"/>
          <w:sz w:val="15"/>
        </w:rPr>
        <w:t>uvedených</w:t>
      </w:r>
      <w:r>
        <w:rPr>
          <w:color w:val="231F20"/>
          <w:spacing w:val="-8"/>
          <w:sz w:val="15"/>
        </w:rPr>
        <w:t xml:space="preserve"> </w:t>
      </w:r>
      <w:r>
        <w:rPr>
          <w:color w:val="231F20"/>
          <w:sz w:val="15"/>
        </w:rPr>
        <w:t>v</w:t>
      </w:r>
      <w:r>
        <w:rPr>
          <w:color w:val="231F20"/>
          <w:spacing w:val="-7"/>
          <w:sz w:val="15"/>
        </w:rPr>
        <w:t xml:space="preserve"> </w:t>
      </w:r>
      <w:r>
        <w:rPr>
          <w:color w:val="231F20"/>
          <w:sz w:val="15"/>
        </w:rPr>
        <w:t>čl.</w:t>
      </w:r>
      <w:r>
        <w:rPr>
          <w:color w:val="231F20"/>
          <w:spacing w:val="-8"/>
          <w:sz w:val="15"/>
        </w:rPr>
        <w:t xml:space="preserve"> </w:t>
      </w:r>
      <w:r>
        <w:rPr>
          <w:color w:val="231F20"/>
          <w:sz w:val="15"/>
        </w:rPr>
        <w:t>6</w:t>
      </w:r>
      <w:r>
        <w:rPr>
          <w:color w:val="231F20"/>
          <w:spacing w:val="-7"/>
          <w:sz w:val="15"/>
        </w:rPr>
        <w:t xml:space="preserve"> </w:t>
      </w:r>
      <w:r>
        <w:rPr>
          <w:color w:val="231F20"/>
          <w:sz w:val="15"/>
        </w:rPr>
        <w:t>odst.</w:t>
      </w:r>
      <w:r>
        <w:rPr>
          <w:color w:val="231F20"/>
          <w:spacing w:val="-7"/>
          <w:sz w:val="15"/>
        </w:rPr>
        <w:t xml:space="preserve"> </w:t>
      </w:r>
      <w:r>
        <w:rPr>
          <w:color w:val="231F20"/>
          <w:sz w:val="15"/>
        </w:rPr>
        <w:t>3</w:t>
      </w:r>
      <w:r>
        <w:rPr>
          <w:color w:val="231F20"/>
          <w:spacing w:val="-7"/>
          <w:sz w:val="15"/>
        </w:rPr>
        <w:t xml:space="preserve"> </w:t>
      </w:r>
      <w:r>
        <w:rPr>
          <w:color w:val="231F20"/>
          <w:sz w:val="15"/>
        </w:rPr>
        <w:t>těchto</w:t>
      </w:r>
      <w:r>
        <w:rPr>
          <w:color w:val="231F20"/>
          <w:spacing w:val="-8"/>
          <w:sz w:val="15"/>
        </w:rPr>
        <w:t xml:space="preserve"> </w:t>
      </w:r>
      <w:r>
        <w:rPr>
          <w:color w:val="231F20"/>
          <w:spacing w:val="-6"/>
          <w:sz w:val="15"/>
        </w:rPr>
        <w:t>VPP.</w:t>
      </w:r>
    </w:p>
    <w:p w14:paraId="36690671" w14:textId="77777777" w:rsidR="00F65BCA" w:rsidRDefault="00216117">
      <w:pPr>
        <w:pStyle w:val="Zkladntext"/>
        <w:spacing w:before="27" w:line="278" w:lineRule="auto"/>
        <w:ind w:left="710" w:right="3" w:hanging="283"/>
        <w:jc w:val="both"/>
      </w:pPr>
      <w:r>
        <w:rPr>
          <w:color w:val="231F20"/>
          <w:spacing w:val="-22"/>
          <w:position w:val="1"/>
          <w:sz w:val="14"/>
          <w:shd w:val="clear" w:color="auto" w:fill="D1D3D4"/>
        </w:rPr>
        <w:t xml:space="preserve"> </w:t>
      </w:r>
      <w:r>
        <w:rPr>
          <w:color w:val="231F20"/>
          <w:position w:val="1"/>
          <w:sz w:val="14"/>
          <w:shd w:val="clear" w:color="auto" w:fill="D1D3D4"/>
        </w:rPr>
        <w:t>13</w:t>
      </w:r>
      <w:r>
        <w:rPr>
          <w:color w:val="231F20"/>
          <w:spacing w:val="4"/>
          <w:position w:val="1"/>
          <w:sz w:val="14"/>
        </w:rPr>
        <w:t xml:space="preserve"> </w:t>
      </w:r>
      <w:r>
        <w:rPr>
          <w:color w:val="231F20"/>
        </w:rPr>
        <w:t>Dnem</w:t>
      </w:r>
      <w:r>
        <w:rPr>
          <w:color w:val="231F20"/>
          <w:spacing w:val="-15"/>
        </w:rPr>
        <w:t xml:space="preserve"> </w:t>
      </w:r>
      <w:r>
        <w:rPr>
          <w:color w:val="231F20"/>
        </w:rPr>
        <w:t>odmítnutí</w:t>
      </w:r>
      <w:r>
        <w:rPr>
          <w:color w:val="231F20"/>
          <w:spacing w:val="-15"/>
        </w:rPr>
        <w:t xml:space="preserve"> </w:t>
      </w:r>
      <w:r>
        <w:rPr>
          <w:color w:val="231F20"/>
        </w:rPr>
        <w:t>pojistného</w:t>
      </w:r>
      <w:r>
        <w:rPr>
          <w:color w:val="231F20"/>
          <w:spacing w:val="-16"/>
        </w:rPr>
        <w:t xml:space="preserve"> </w:t>
      </w:r>
      <w:r>
        <w:rPr>
          <w:color w:val="231F20"/>
        </w:rPr>
        <w:t>plnění</w:t>
      </w:r>
      <w:r>
        <w:rPr>
          <w:color w:val="231F20"/>
          <w:spacing w:val="-15"/>
        </w:rPr>
        <w:t xml:space="preserve"> </w:t>
      </w:r>
      <w:r>
        <w:rPr>
          <w:color w:val="231F20"/>
        </w:rPr>
        <w:t>z</w:t>
      </w:r>
      <w:r>
        <w:rPr>
          <w:color w:val="231F20"/>
          <w:spacing w:val="-15"/>
        </w:rPr>
        <w:t xml:space="preserve"> </w:t>
      </w:r>
      <w:r>
        <w:rPr>
          <w:color w:val="231F20"/>
        </w:rPr>
        <w:t>důvodů</w:t>
      </w:r>
      <w:r>
        <w:rPr>
          <w:color w:val="231F20"/>
          <w:spacing w:val="-15"/>
        </w:rPr>
        <w:t xml:space="preserve"> </w:t>
      </w:r>
      <w:r>
        <w:rPr>
          <w:color w:val="231F20"/>
        </w:rPr>
        <w:t>uvedených</w:t>
      </w:r>
      <w:r>
        <w:rPr>
          <w:color w:val="231F20"/>
          <w:spacing w:val="-15"/>
        </w:rPr>
        <w:t xml:space="preserve"> </w:t>
      </w:r>
      <w:r>
        <w:rPr>
          <w:color w:val="231F20"/>
        </w:rPr>
        <w:t>v</w:t>
      </w:r>
      <w:r>
        <w:rPr>
          <w:color w:val="231F20"/>
          <w:spacing w:val="-15"/>
        </w:rPr>
        <w:t xml:space="preserve"> </w:t>
      </w:r>
      <w:r>
        <w:rPr>
          <w:color w:val="231F20"/>
        </w:rPr>
        <w:t>odst.</w:t>
      </w:r>
      <w:r>
        <w:rPr>
          <w:color w:val="231F20"/>
          <w:spacing w:val="-15"/>
        </w:rPr>
        <w:t xml:space="preserve"> </w:t>
      </w:r>
      <w:r>
        <w:rPr>
          <w:color w:val="231F20"/>
        </w:rPr>
        <w:t>12</w:t>
      </w:r>
      <w:r>
        <w:rPr>
          <w:color w:val="231F20"/>
          <w:spacing w:val="-15"/>
        </w:rPr>
        <w:t xml:space="preserve"> </w:t>
      </w:r>
      <w:r>
        <w:rPr>
          <w:color w:val="231F20"/>
        </w:rPr>
        <w:t>tohoto</w:t>
      </w:r>
      <w:r>
        <w:rPr>
          <w:color w:val="231F20"/>
          <w:spacing w:val="-15"/>
        </w:rPr>
        <w:t xml:space="preserve"> </w:t>
      </w:r>
      <w:r>
        <w:rPr>
          <w:color w:val="231F20"/>
        </w:rPr>
        <w:t>člán- ku pojištění jednotlivého vozidla</w:t>
      </w:r>
      <w:r>
        <w:rPr>
          <w:color w:val="231F20"/>
          <w:spacing w:val="-8"/>
        </w:rPr>
        <w:t xml:space="preserve"> </w:t>
      </w:r>
      <w:r>
        <w:rPr>
          <w:color w:val="231F20"/>
        </w:rPr>
        <w:t>zanikne.</w:t>
      </w:r>
    </w:p>
    <w:p w14:paraId="7628E474" w14:textId="77777777" w:rsidR="00F65BCA" w:rsidRDefault="00216117">
      <w:pPr>
        <w:pStyle w:val="Zkladntext"/>
        <w:spacing w:line="278" w:lineRule="auto"/>
        <w:ind w:left="710" w:right="3" w:hanging="283"/>
        <w:jc w:val="both"/>
      </w:pPr>
      <w:r>
        <w:rPr>
          <w:color w:val="231F20"/>
          <w:spacing w:val="-22"/>
          <w:position w:val="1"/>
          <w:sz w:val="14"/>
          <w:shd w:val="clear" w:color="auto" w:fill="D1D3D4"/>
        </w:rPr>
        <w:t xml:space="preserve"> </w:t>
      </w:r>
      <w:r>
        <w:rPr>
          <w:color w:val="231F20"/>
          <w:position w:val="1"/>
          <w:sz w:val="14"/>
          <w:shd w:val="clear" w:color="auto" w:fill="D1D3D4"/>
        </w:rPr>
        <w:t>14</w:t>
      </w:r>
      <w:r>
        <w:rPr>
          <w:color w:val="231F20"/>
          <w:position w:val="1"/>
          <w:sz w:val="14"/>
        </w:rPr>
        <w:t xml:space="preserve"> </w:t>
      </w:r>
      <w:r>
        <w:rPr>
          <w:color w:val="231F20"/>
        </w:rPr>
        <w:t>V případě, že se Pojišťovna o skutečnostech uvedených v odst. 12 tohoto článku</w:t>
      </w:r>
      <w:r>
        <w:rPr>
          <w:color w:val="231F20"/>
          <w:spacing w:val="-12"/>
        </w:rPr>
        <w:t xml:space="preserve"> </w:t>
      </w:r>
      <w:r>
        <w:rPr>
          <w:color w:val="231F20"/>
        </w:rPr>
        <w:t>dozví</w:t>
      </w:r>
      <w:r>
        <w:rPr>
          <w:color w:val="231F20"/>
          <w:spacing w:val="-11"/>
        </w:rPr>
        <w:t xml:space="preserve"> </w:t>
      </w:r>
      <w:r>
        <w:rPr>
          <w:color w:val="231F20"/>
        </w:rPr>
        <w:t>až</w:t>
      </w:r>
      <w:r>
        <w:rPr>
          <w:color w:val="231F20"/>
          <w:spacing w:val="-11"/>
        </w:rPr>
        <w:t xml:space="preserve"> </w:t>
      </w:r>
      <w:r>
        <w:rPr>
          <w:color w:val="231F20"/>
        </w:rPr>
        <w:t>po</w:t>
      </w:r>
      <w:r>
        <w:rPr>
          <w:color w:val="231F20"/>
          <w:spacing w:val="-11"/>
        </w:rPr>
        <w:t xml:space="preserve"> </w:t>
      </w:r>
      <w:r>
        <w:rPr>
          <w:color w:val="231F20"/>
        </w:rPr>
        <w:t>výplatě</w:t>
      </w:r>
      <w:r>
        <w:rPr>
          <w:color w:val="231F20"/>
          <w:spacing w:val="-11"/>
        </w:rPr>
        <w:t xml:space="preserve"> </w:t>
      </w:r>
      <w:r>
        <w:rPr>
          <w:color w:val="231F20"/>
        </w:rPr>
        <w:t>pojistného</w:t>
      </w:r>
      <w:r>
        <w:rPr>
          <w:color w:val="231F20"/>
          <w:spacing w:val="-11"/>
        </w:rPr>
        <w:t xml:space="preserve"> </w:t>
      </w:r>
      <w:r>
        <w:rPr>
          <w:color w:val="231F20"/>
        </w:rPr>
        <w:t>plnění,</w:t>
      </w:r>
      <w:r>
        <w:rPr>
          <w:color w:val="231F20"/>
          <w:spacing w:val="-11"/>
        </w:rPr>
        <w:t xml:space="preserve"> </w:t>
      </w:r>
      <w:r>
        <w:rPr>
          <w:color w:val="231F20"/>
        </w:rPr>
        <w:t>vzniká</w:t>
      </w:r>
      <w:r>
        <w:rPr>
          <w:color w:val="231F20"/>
          <w:spacing w:val="-11"/>
        </w:rPr>
        <w:t xml:space="preserve"> </w:t>
      </w:r>
      <w:r>
        <w:rPr>
          <w:color w:val="231F20"/>
        </w:rPr>
        <w:t>Pojišťovně</w:t>
      </w:r>
      <w:r>
        <w:rPr>
          <w:color w:val="231F20"/>
          <w:spacing w:val="-11"/>
        </w:rPr>
        <w:t xml:space="preserve"> </w:t>
      </w:r>
      <w:r>
        <w:rPr>
          <w:color w:val="231F20"/>
        </w:rPr>
        <w:t>právo</w:t>
      </w:r>
      <w:r>
        <w:rPr>
          <w:color w:val="231F20"/>
          <w:spacing w:val="-11"/>
        </w:rPr>
        <w:t xml:space="preserve"> </w:t>
      </w:r>
      <w:r>
        <w:rPr>
          <w:color w:val="231F20"/>
        </w:rPr>
        <w:t>na</w:t>
      </w:r>
      <w:r>
        <w:rPr>
          <w:color w:val="231F20"/>
          <w:spacing w:val="-11"/>
        </w:rPr>
        <w:t xml:space="preserve"> </w:t>
      </w:r>
      <w:r>
        <w:rPr>
          <w:color w:val="231F20"/>
          <w:spacing w:val="-4"/>
        </w:rPr>
        <w:t xml:space="preserve">vrá- </w:t>
      </w:r>
      <w:r>
        <w:rPr>
          <w:color w:val="231F20"/>
        </w:rPr>
        <w:t>cení pojistného</w:t>
      </w:r>
      <w:r>
        <w:rPr>
          <w:color w:val="231F20"/>
          <w:spacing w:val="-2"/>
        </w:rPr>
        <w:t xml:space="preserve"> </w:t>
      </w:r>
      <w:r>
        <w:rPr>
          <w:color w:val="231F20"/>
        </w:rPr>
        <w:t>plnění.</w:t>
      </w:r>
    </w:p>
    <w:p w14:paraId="19D13A51" w14:textId="77777777" w:rsidR="00F65BCA" w:rsidRDefault="00216117">
      <w:pPr>
        <w:pStyle w:val="Zkladntext"/>
        <w:spacing w:line="278" w:lineRule="auto"/>
        <w:ind w:left="710" w:right="3" w:hanging="283"/>
        <w:jc w:val="both"/>
      </w:pPr>
      <w:r>
        <w:rPr>
          <w:color w:val="231F20"/>
          <w:spacing w:val="-22"/>
          <w:position w:val="1"/>
          <w:sz w:val="14"/>
          <w:shd w:val="clear" w:color="auto" w:fill="D1D3D4"/>
        </w:rPr>
        <w:t xml:space="preserve"> </w:t>
      </w:r>
      <w:r>
        <w:rPr>
          <w:color w:val="231F20"/>
          <w:position w:val="1"/>
          <w:sz w:val="14"/>
          <w:shd w:val="clear" w:color="auto" w:fill="D1D3D4"/>
        </w:rPr>
        <w:t>15</w:t>
      </w:r>
      <w:r>
        <w:rPr>
          <w:color w:val="231F20"/>
          <w:spacing w:val="28"/>
          <w:position w:val="1"/>
          <w:sz w:val="14"/>
        </w:rPr>
        <w:t xml:space="preserve"> </w:t>
      </w:r>
      <w:r>
        <w:rPr>
          <w:color w:val="231F20"/>
        </w:rPr>
        <w:t>U</w:t>
      </w:r>
      <w:r>
        <w:rPr>
          <w:color w:val="231F20"/>
          <w:spacing w:val="-11"/>
        </w:rPr>
        <w:t xml:space="preserve"> </w:t>
      </w:r>
      <w:r>
        <w:rPr>
          <w:color w:val="231F20"/>
        </w:rPr>
        <w:t>varianty</w:t>
      </w:r>
      <w:r>
        <w:rPr>
          <w:color w:val="231F20"/>
          <w:spacing w:val="-11"/>
        </w:rPr>
        <w:t xml:space="preserve"> </w:t>
      </w:r>
      <w:r>
        <w:rPr>
          <w:color w:val="231F20"/>
        </w:rPr>
        <w:t>havarijního</w:t>
      </w:r>
      <w:r>
        <w:rPr>
          <w:color w:val="231F20"/>
          <w:spacing w:val="-11"/>
        </w:rPr>
        <w:t xml:space="preserve"> </w:t>
      </w:r>
      <w:r>
        <w:rPr>
          <w:color w:val="231F20"/>
        </w:rPr>
        <w:t>pojištění</w:t>
      </w:r>
      <w:r>
        <w:rPr>
          <w:color w:val="231F20"/>
          <w:spacing w:val="-11"/>
        </w:rPr>
        <w:t xml:space="preserve"> </w:t>
      </w:r>
      <w:r>
        <w:rPr>
          <w:color w:val="231F20"/>
        </w:rPr>
        <w:t>„Expres“</w:t>
      </w:r>
      <w:r>
        <w:rPr>
          <w:color w:val="231F20"/>
          <w:spacing w:val="-11"/>
        </w:rPr>
        <w:t xml:space="preserve"> </w:t>
      </w:r>
      <w:r>
        <w:rPr>
          <w:color w:val="231F20"/>
        </w:rPr>
        <w:t>stanovuje</w:t>
      </w:r>
      <w:r>
        <w:rPr>
          <w:color w:val="231F20"/>
          <w:spacing w:val="-11"/>
        </w:rPr>
        <w:t xml:space="preserve"> </w:t>
      </w:r>
      <w:r>
        <w:rPr>
          <w:color w:val="231F20"/>
        </w:rPr>
        <w:t>Pojišťovna</w:t>
      </w:r>
      <w:r>
        <w:rPr>
          <w:color w:val="231F20"/>
          <w:spacing w:val="-11"/>
        </w:rPr>
        <w:t xml:space="preserve"> </w:t>
      </w:r>
      <w:r>
        <w:rPr>
          <w:color w:val="231F20"/>
        </w:rPr>
        <w:t>výši</w:t>
      </w:r>
      <w:r>
        <w:rPr>
          <w:color w:val="231F20"/>
          <w:spacing w:val="-11"/>
        </w:rPr>
        <w:t xml:space="preserve"> </w:t>
      </w:r>
      <w:r>
        <w:rPr>
          <w:color w:val="231F20"/>
        </w:rPr>
        <w:t>pojistného plnění vždy jen na základě rozpočtu nákladů na</w:t>
      </w:r>
      <w:r>
        <w:rPr>
          <w:color w:val="231F20"/>
          <w:spacing w:val="-27"/>
        </w:rPr>
        <w:t xml:space="preserve"> </w:t>
      </w:r>
      <w:r>
        <w:rPr>
          <w:color w:val="231F20"/>
        </w:rPr>
        <w:t>opravu.</w:t>
      </w:r>
    </w:p>
    <w:p w14:paraId="0AB6F8CA" w14:textId="77777777" w:rsidR="00F65BCA" w:rsidRDefault="00216117">
      <w:pPr>
        <w:pStyle w:val="Zkladntext"/>
        <w:spacing w:line="278" w:lineRule="auto"/>
        <w:ind w:left="710" w:hanging="283"/>
        <w:jc w:val="both"/>
      </w:pPr>
      <w:r>
        <w:rPr>
          <w:color w:val="231F20"/>
          <w:position w:val="1"/>
          <w:sz w:val="14"/>
          <w:shd w:val="clear" w:color="auto" w:fill="D1D3D4"/>
        </w:rPr>
        <w:t xml:space="preserve"> 16</w:t>
      </w:r>
      <w:r>
        <w:rPr>
          <w:color w:val="231F20"/>
          <w:position w:val="1"/>
          <w:sz w:val="14"/>
        </w:rPr>
        <w:t xml:space="preserve"> </w:t>
      </w:r>
      <w:r>
        <w:rPr>
          <w:color w:val="231F20"/>
        </w:rPr>
        <w:t>Pojišťovna hradí v plné výši náklady vynaložené na její písemný pokyn. Za tyto náklady se nepovažují náklady související s oznámením pojistné události.</w:t>
      </w:r>
    </w:p>
    <w:p w14:paraId="28731C2D" w14:textId="77777777" w:rsidR="00F65BCA" w:rsidRDefault="00216117">
      <w:pPr>
        <w:pStyle w:val="Zkladntext"/>
        <w:spacing w:line="278" w:lineRule="auto"/>
        <w:ind w:left="710" w:right="4" w:hanging="283"/>
        <w:jc w:val="both"/>
      </w:pPr>
      <w:r>
        <w:rPr>
          <w:color w:val="231F20"/>
          <w:spacing w:val="-22"/>
          <w:position w:val="1"/>
          <w:sz w:val="14"/>
          <w:shd w:val="clear" w:color="auto" w:fill="D1D3D4"/>
        </w:rPr>
        <w:t xml:space="preserve"> </w:t>
      </w:r>
      <w:r>
        <w:rPr>
          <w:color w:val="231F20"/>
          <w:position w:val="1"/>
          <w:sz w:val="14"/>
          <w:shd w:val="clear" w:color="auto" w:fill="D1D3D4"/>
        </w:rPr>
        <w:t>17</w:t>
      </w:r>
      <w:r>
        <w:rPr>
          <w:color w:val="231F20"/>
          <w:position w:val="1"/>
          <w:sz w:val="14"/>
        </w:rPr>
        <w:t xml:space="preserve">  </w:t>
      </w:r>
      <w:r>
        <w:rPr>
          <w:color w:val="231F20"/>
        </w:rPr>
        <w:t>Pojišťovna má právo na úhradu nákladů šetření za podmínek určených      v</w:t>
      </w:r>
      <w:r>
        <w:rPr>
          <w:color w:val="231F20"/>
          <w:spacing w:val="-1"/>
        </w:rPr>
        <w:t xml:space="preserve"> </w:t>
      </w:r>
      <w:r>
        <w:rPr>
          <w:color w:val="231F20"/>
        </w:rPr>
        <w:t>zákoníku.</w:t>
      </w:r>
    </w:p>
    <w:p w14:paraId="630CA610" w14:textId="77777777" w:rsidR="00F65BCA" w:rsidRDefault="00216117">
      <w:pPr>
        <w:pStyle w:val="Zkladntext"/>
        <w:spacing w:line="278" w:lineRule="auto"/>
        <w:ind w:left="710" w:right="3" w:hanging="283"/>
        <w:jc w:val="both"/>
      </w:pPr>
      <w:r>
        <w:rPr>
          <w:color w:val="231F20"/>
          <w:position w:val="1"/>
          <w:sz w:val="14"/>
          <w:shd w:val="clear" w:color="auto" w:fill="D1D3D4"/>
        </w:rPr>
        <w:t xml:space="preserve"> 18</w:t>
      </w:r>
      <w:r>
        <w:rPr>
          <w:color w:val="231F20"/>
          <w:position w:val="1"/>
          <w:sz w:val="14"/>
        </w:rPr>
        <w:t xml:space="preserve"> </w:t>
      </w:r>
      <w:r>
        <w:rPr>
          <w:color w:val="231F20"/>
        </w:rPr>
        <w:t>Pojistník, pojištěný či jiná oprávněná osoba mohou postoupit pohledávku za Pojišťovnou na pojistné plnění pouze s písemným souhlasem Pojišťovny.</w:t>
      </w:r>
    </w:p>
    <w:p w14:paraId="774BAB18" w14:textId="77777777" w:rsidR="00F65BCA" w:rsidRDefault="00216117">
      <w:pPr>
        <w:pStyle w:val="Zkladntext"/>
        <w:spacing w:line="172" w:lineRule="exact"/>
        <w:ind w:left="428"/>
        <w:jc w:val="both"/>
      </w:pPr>
      <w:r>
        <w:rPr>
          <w:color w:val="231F20"/>
          <w:position w:val="1"/>
          <w:sz w:val="14"/>
          <w:shd w:val="clear" w:color="auto" w:fill="D1D3D4"/>
        </w:rPr>
        <w:t xml:space="preserve"> 19</w:t>
      </w:r>
      <w:r>
        <w:rPr>
          <w:color w:val="231F20"/>
          <w:position w:val="1"/>
          <w:sz w:val="14"/>
        </w:rPr>
        <w:t xml:space="preserve"> </w:t>
      </w:r>
      <w:r>
        <w:rPr>
          <w:color w:val="231F20"/>
        </w:rPr>
        <w:t>Pojišťovna nehradí škody vzniklé znehodnocením vozidla opravou.</w:t>
      </w:r>
    </w:p>
    <w:p w14:paraId="2CEFBE84" w14:textId="77777777" w:rsidR="00F65BCA" w:rsidRDefault="00F65BCA">
      <w:pPr>
        <w:pStyle w:val="Zkladntext"/>
        <w:spacing w:before="11"/>
        <w:rPr>
          <w:sz w:val="22"/>
        </w:rPr>
      </w:pPr>
    </w:p>
    <w:p w14:paraId="046C9F1B" w14:textId="77777777" w:rsidR="00F65BCA" w:rsidRDefault="00216117">
      <w:pPr>
        <w:ind w:left="428"/>
        <w:jc w:val="both"/>
        <w:rPr>
          <w:sz w:val="15"/>
        </w:rPr>
      </w:pPr>
      <w:r>
        <w:rPr>
          <w:color w:val="FFFFFF"/>
          <w:position w:val="3"/>
          <w:sz w:val="16"/>
          <w:shd w:val="clear" w:color="auto" w:fill="808285"/>
        </w:rPr>
        <w:t xml:space="preserve">  </w:t>
      </w:r>
      <w:r>
        <w:rPr>
          <w:color w:val="FFFFFF"/>
          <w:w w:val="105"/>
          <w:position w:val="3"/>
          <w:sz w:val="16"/>
          <w:shd w:val="clear" w:color="auto" w:fill="808285"/>
        </w:rPr>
        <w:t>Článek 28</w:t>
      </w:r>
      <w:r>
        <w:rPr>
          <w:color w:val="FFFFFF"/>
          <w:w w:val="105"/>
          <w:position w:val="3"/>
          <w:sz w:val="16"/>
        </w:rPr>
        <w:t xml:space="preserve"> </w:t>
      </w:r>
      <w:r>
        <w:rPr>
          <w:color w:val="231F20"/>
          <w:w w:val="105"/>
          <w:sz w:val="15"/>
        </w:rPr>
        <w:t>Hranice pojistného plnění</w:t>
      </w:r>
    </w:p>
    <w:p w14:paraId="5620776B" w14:textId="77777777" w:rsidR="00F65BCA" w:rsidRDefault="00216117">
      <w:pPr>
        <w:pStyle w:val="Zkladntext"/>
        <w:spacing w:before="147" w:line="278" w:lineRule="auto"/>
        <w:ind w:left="710" w:right="3"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14"/>
          <w:position w:val="1"/>
          <w:sz w:val="14"/>
        </w:rPr>
        <w:t xml:space="preserve"> </w:t>
      </w:r>
      <w:r>
        <w:rPr>
          <w:color w:val="231F20"/>
        </w:rPr>
        <w:t>Horní</w:t>
      </w:r>
      <w:r>
        <w:rPr>
          <w:color w:val="231F20"/>
          <w:spacing w:val="-15"/>
        </w:rPr>
        <w:t xml:space="preserve"> </w:t>
      </w:r>
      <w:r>
        <w:rPr>
          <w:color w:val="231F20"/>
        </w:rPr>
        <w:t>hranicí</w:t>
      </w:r>
      <w:r>
        <w:rPr>
          <w:color w:val="231F20"/>
          <w:spacing w:val="-15"/>
        </w:rPr>
        <w:t xml:space="preserve"> </w:t>
      </w:r>
      <w:r>
        <w:rPr>
          <w:color w:val="231F20"/>
        </w:rPr>
        <w:t>pojistného</w:t>
      </w:r>
      <w:r>
        <w:rPr>
          <w:color w:val="231F20"/>
          <w:spacing w:val="-15"/>
        </w:rPr>
        <w:t xml:space="preserve"> </w:t>
      </w:r>
      <w:r>
        <w:rPr>
          <w:color w:val="231F20"/>
        </w:rPr>
        <w:t>plnění</w:t>
      </w:r>
      <w:r>
        <w:rPr>
          <w:color w:val="231F20"/>
          <w:spacing w:val="-15"/>
        </w:rPr>
        <w:t xml:space="preserve"> </w:t>
      </w:r>
      <w:r>
        <w:rPr>
          <w:color w:val="231F20"/>
        </w:rPr>
        <w:t>Pojišťovny</w:t>
      </w:r>
      <w:r>
        <w:rPr>
          <w:color w:val="231F20"/>
          <w:spacing w:val="-15"/>
        </w:rPr>
        <w:t xml:space="preserve"> </w:t>
      </w:r>
      <w:r>
        <w:rPr>
          <w:color w:val="231F20"/>
        </w:rPr>
        <w:t>se</w:t>
      </w:r>
      <w:r>
        <w:rPr>
          <w:color w:val="231F20"/>
          <w:spacing w:val="-15"/>
        </w:rPr>
        <w:t xml:space="preserve"> </w:t>
      </w:r>
      <w:r>
        <w:rPr>
          <w:color w:val="231F20"/>
        </w:rPr>
        <w:t>rozumí</w:t>
      </w:r>
      <w:r>
        <w:rPr>
          <w:color w:val="231F20"/>
          <w:spacing w:val="-15"/>
        </w:rPr>
        <w:t xml:space="preserve"> </w:t>
      </w:r>
      <w:r>
        <w:rPr>
          <w:color w:val="231F20"/>
        </w:rPr>
        <w:t>pojistná</w:t>
      </w:r>
      <w:r>
        <w:rPr>
          <w:color w:val="231F20"/>
          <w:spacing w:val="-15"/>
        </w:rPr>
        <w:t xml:space="preserve"> </w:t>
      </w:r>
      <w:r>
        <w:rPr>
          <w:color w:val="231F20"/>
        </w:rPr>
        <w:t>částka</w:t>
      </w:r>
      <w:r>
        <w:rPr>
          <w:color w:val="231F20"/>
          <w:spacing w:val="-15"/>
        </w:rPr>
        <w:t xml:space="preserve"> </w:t>
      </w:r>
      <w:r>
        <w:rPr>
          <w:color w:val="231F20"/>
        </w:rPr>
        <w:t>nebo</w:t>
      </w:r>
      <w:r>
        <w:rPr>
          <w:color w:val="231F20"/>
          <w:spacing w:val="-16"/>
        </w:rPr>
        <w:t xml:space="preserve"> </w:t>
      </w:r>
      <w:r>
        <w:rPr>
          <w:color w:val="231F20"/>
        </w:rPr>
        <w:t>limit pojistného</w:t>
      </w:r>
      <w:r>
        <w:rPr>
          <w:color w:val="231F20"/>
          <w:spacing w:val="-24"/>
        </w:rPr>
        <w:t xml:space="preserve"> </w:t>
      </w:r>
      <w:r>
        <w:rPr>
          <w:color w:val="231F20"/>
        </w:rPr>
        <w:t>plnění</w:t>
      </w:r>
      <w:r>
        <w:rPr>
          <w:color w:val="231F20"/>
          <w:spacing w:val="-23"/>
        </w:rPr>
        <w:t xml:space="preserve"> </w:t>
      </w:r>
      <w:r>
        <w:rPr>
          <w:color w:val="231F20"/>
        </w:rPr>
        <w:t>uvedený</w:t>
      </w:r>
      <w:r>
        <w:rPr>
          <w:color w:val="231F20"/>
          <w:spacing w:val="-23"/>
        </w:rPr>
        <w:t xml:space="preserve"> </w:t>
      </w:r>
      <w:r>
        <w:rPr>
          <w:color w:val="231F20"/>
        </w:rPr>
        <w:t>v</w:t>
      </w:r>
      <w:r>
        <w:rPr>
          <w:color w:val="231F20"/>
          <w:spacing w:val="-23"/>
        </w:rPr>
        <w:t xml:space="preserve"> </w:t>
      </w:r>
      <w:r>
        <w:rPr>
          <w:color w:val="231F20"/>
        </w:rPr>
        <w:t>seznamu</w:t>
      </w:r>
      <w:r>
        <w:rPr>
          <w:color w:val="231F20"/>
          <w:spacing w:val="-23"/>
        </w:rPr>
        <w:t xml:space="preserve"> </w:t>
      </w:r>
      <w:r>
        <w:rPr>
          <w:color w:val="231F20"/>
        </w:rPr>
        <w:t>vozidel,</w:t>
      </w:r>
      <w:r>
        <w:rPr>
          <w:color w:val="231F20"/>
          <w:spacing w:val="-24"/>
        </w:rPr>
        <w:t xml:space="preserve"> </w:t>
      </w:r>
      <w:r>
        <w:rPr>
          <w:color w:val="231F20"/>
        </w:rPr>
        <w:t>které</w:t>
      </w:r>
      <w:r>
        <w:rPr>
          <w:color w:val="231F20"/>
          <w:spacing w:val="-23"/>
        </w:rPr>
        <w:t xml:space="preserve"> </w:t>
      </w:r>
      <w:r>
        <w:rPr>
          <w:color w:val="231F20"/>
        </w:rPr>
        <w:t>stanoví</w:t>
      </w:r>
      <w:r>
        <w:rPr>
          <w:color w:val="231F20"/>
          <w:spacing w:val="-23"/>
        </w:rPr>
        <w:t xml:space="preserve"> </w:t>
      </w:r>
      <w:r>
        <w:rPr>
          <w:color w:val="231F20"/>
        </w:rPr>
        <w:t>pojistník</w:t>
      </w:r>
      <w:r>
        <w:rPr>
          <w:color w:val="231F20"/>
          <w:spacing w:val="-23"/>
        </w:rPr>
        <w:t xml:space="preserve"> </w:t>
      </w:r>
      <w:r>
        <w:rPr>
          <w:color w:val="231F20"/>
        </w:rPr>
        <w:t>na</w:t>
      </w:r>
      <w:r>
        <w:rPr>
          <w:color w:val="231F20"/>
          <w:spacing w:val="-23"/>
        </w:rPr>
        <w:t xml:space="preserve"> </w:t>
      </w:r>
      <w:r>
        <w:rPr>
          <w:color w:val="231F20"/>
          <w:spacing w:val="-3"/>
        </w:rPr>
        <w:t xml:space="preserve">vlastní </w:t>
      </w:r>
      <w:r>
        <w:rPr>
          <w:color w:val="231F20"/>
        </w:rPr>
        <w:t>odpovědnost, nejvýše však tržní hodnota vozidla nebo věci v době pojistné události.</w:t>
      </w:r>
    </w:p>
    <w:p w14:paraId="36922EF2" w14:textId="77777777" w:rsidR="00F65BCA" w:rsidRDefault="00216117">
      <w:pPr>
        <w:pStyle w:val="Zkladntext"/>
        <w:spacing w:line="278" w:lineRule="auto"/>
        <w:ind w:left="710" w:right="1" w:hanging="283"/>
        <w:jc w:val="both"/>
      </w:pPr>
      <w:r>
        <w:rPr>
          <w:color w:val="231F20"/>
          <w:position w:val="1"/>
          <w:sz w:val="14"/>
          <w:shd w:val="clear" w:color="auto" w:fill="D1D3D4"/>
        </w:rPr>
        <w:t xml:space="preserve">  2</w:t>
      </w:r>
      <w:r>
        <w:rPr>
          <w:color w:val="231F20"/>
          <w:position w:val="1"/>
          <w:sz w:val="14"/>
        </w:rPr>
        <w:t xml:space="preserve"> </w:t>
      </w:r>
      <w:r>
        <w:rPr>
          <w:color w:val="231F20"/>
        </w:rPr>
        <w:t>Je-li ujednáno pojištění na první riziko, je v pojistné smlouvě nebo seznamu vozidel dohodnutý limit pojistného plnění horní hranicí pojistného plnění ze všech pojistných událostí vzniklých v průběhu jednoho pojistného období.</w:t>
      </w:r>
    </w:p>
    <w:p w14:paraId="211FC30C" w14:textId="77777777" w:rsidR="00F65BCA" w:rsidRDefault="00216117">
      <w:pPr>
        <w:spacing w:before="116"/>
        <w:ind w:left="182"/>
        <w:rPr>
          <w:sz w:val="15"/>
        </w:rPr>
      </w:pPr>
      <w:r>
        <w:br w:type="column"/>
      </w:r>
      <w:r>
        <w:rPr>
          <w:color w:val="FFFFFF"/>
          <w:position w:val="3"/>
          <w:sz w:val="16"/>
          <w:shd w:val="clear" w:color="auto" w:fill="808285"/>
        </w:rPr>
        <w:t xml:space="preserve">  </w:t>
      </w:r>
      <w:r>
        <w:rPr>
          <w:color w:val="FFFFFF"/>
          <w:w w:val="105"/>
          <w:position w:val="3"/>
          <w:sz w:val="16"/>
          <w:shd w:val="clear" w:color="auto" w:fill="808285"/>
        </w:rPr>
        <w:t>Článek 29</w:t>
      </w:r>
      <w:r>
        <w:rPr>
          <w:color w:val="FFFFFF"/>
          <w:w w:val="105"/>
          <w:position w:val="3"/>
          <w:sz w:val="16"/>
        </w:rPr>
        <w:t xml:space="preserve"> </w:t>
      </w:r>
      <w:r>
        <w:rPr>
          <w:color w:val="231F20"/>
          <w:w w:val="105"/>
          <w:sz w:val="15"/>
        </w:rPr>
        <w:t>Spoluúčast</w:t>
      </w:r>
    </w:p>
    <w:p w14:paraId="5A8A61A0" w14:textId="77777777" w:rsidR="00F65BCA" w:rsidRDefault="00000000">
      <w:pPr>
        <w:pStyle w:val="Zkladntext"/>
        <w:spacing w:before="147"/>
        <w:ind w:left="464"/>
        <w:jc w:val="both"/>
      </w:pPr>
      <w:r>
        <w:pict w14:anchorId="5815A736">
          <v:shape id="_x0000_s2264" type="#_x0000_t202" style="position:absolute;left:0;text-align:left;margin-left:303.4pt;margin-top:7.4pt;width:9.65pt;height:18.55pt;z-index:251868160;mso-position-horizontal-relative:page" fillcolor="#d1d3d4" stroked="f">
            <v:textbox inset="0,0,0,0">
              <w:txbxContent>
                <w:p w14:paraId="26B2EF17" w14:textId="77777777" w:rsidR="00F65BCA" w:rsidRDefault="00216117">
                  <w:pPr>
                    <w:spacing w:before="2"/>
                    <w:ind w:left="56"/>
                    <w:rPr>
                      <w:sz w:val="14"/>
                    </w:rPr>
                  </w:pPr>
                  <w:r>
                    <w:rPr>
                      <w:color w:val="231F20"/>
                      <w:w w:val="99"/>
                      <w:sz w:val="14"/>
                    </w:rPr>
                    <w:t>1</w:t>
                  </w:r>
                </w:p>
                <w:p w14:paraId="398B00C6" w14:textId="77777777" w:rsidR="00F65BCA" w:rsidRDefault="00216117">
                  <w:pPr>
                    <w:spacing w:before="39"/>
                    <w:ind w:left="56"/>
                    <w:rPr>
                      <w:sz w:val="14"/>
                    </w:rPr>
                  </w:pPr>
                  <w:r>
                    <w:rPr>
                      <w:color w:val="231F20"/>
                      <w:w w:val="99"/>
                      <w:sz w:val="14"/>
                    </w:rPr>
                    <w:t>2</w:t>
                  </w:r>
                </w:p>
              </w:txbxContent>
            </v:textbox>
            <w10:wrap anchorx="page"/>
          </v:shape>
        </w:pict>
      </w:r>
      <w:r w:rsidR="00216117">
        <w:rPr>
          <w:color w:val="231F20"/>
        </w:rPr>
        <w:t>Pojištění</w:t>
      </w:r>
      <w:r w:rsidR="00216117">
        <w:rPr>
          <w:color w:val="231F20"/>
          <w:spacing w:val="-21"/>
        </w:rPr>
        <w:t xml:space="preserve"> </w:t>
      </w:r>
      <w:r w:rsidR="00216117">
        <w:rPr>
          <w:color w:val="231F20"/>
        </w:rPr>
        <w:t>se</w:t>
      </w:r>
      <w:r w:rsidR="00216117">
        <w:rPr>
          <w:color w:val="231F20"/>
          <w:spacing w:val="-21"/>
        </w:rPr>
        <w:t xml:space="preserve"> </w:t>
      </w:r>
      <w:r w:rsidR="00216117">
        <w:rPr>
          <w:color w:val="231F20"/>
        </w:rPr>
        <w:t>může</w:t>
      </w:r>
      <w:r w:rsidR="00216117">
        <w:rPr>
          <w:color w:val="231F20"/>
          <w:spacing w:val="-21"/>
        </w:rPr>
        <w:t xml:space="preserve"> </w:t>
      </w:r>
      <w:r w:rsidR="00216117">
        <w:rPr>
          <w:color w:val="231F20"/>
        </w:rPr>
        <w:t>sjednat</w:t>
      </w:r>
      <w:r w:rsidR="00216117">
        <w:rPr>
          <w:color w:val="231F20"/>
          <w:spacing w:val="-20"/>
        </w:rPr>
        <w:t xml:space="preserve"> </w:t>
      </w:r>
      <w:r w:rsidR="00216117">
        <w:rPr>
          <w:color w:val="231F20"/>
        </w:rPr>
        <w:t>se</w:t>
      </w:r>
      <w:r w:rsidR="00216117">
        <w:rPr>
          <w:color w:val="231F20"/>
          <w:spacing w:val="-21"/>
        </w:rPr>
        <w:t xml:space="preserve"> </w:t>
      </w:r>
      <w:r w:rsidR="00216117">
        <w:rPr>
          <w:color w:val="231F20"/>
        </w:rPr>
        <w:t>spoluúčastí</w:t>
      </w:r>
      <w:r w:rsidR="00216117">
        <w:rPr>
          <w:color w:val="231F20"/>
          <w:spacing w:val="-21"/>
        </w:rPr>
        <w:t xml:space="preserve"> </w:t>
      </w:r>
      <w:r w:rsidR="00216117">
        <w:rPr>
          <w:color w:val="231F20"/>
        </w:rPr>
        <w:t>oprávněné</w:t>
      </w:r>
      <w:r w:rsidR="00216117">
        <w:rPr>
          <w:color w:val="231F20"/>
          <w:spacing w:val="-21"/>
        </w:rPr>
        <w:t xml:space="preserve"> </w:t>
      </w:r>
      <w:r w:rsidR="00216117">
        <w:rPr>
          <w:color w:val="231F20"/>
          <w:spacing w:val="-3"/>
        </w:rPr>
        <w:t>osoby.</w:t>
      </w:r>
    </w:p>
    <w:p w14:paraId="09D00ECB" w14:textId="77777777" w:rsidR="00F65BCA" w:rsidRDefault="00216117">
      <w:pPr>
        <w:pStyle w:val="Zkladntext"/>
        <w:spacing w:before="28" w:line="278" w:lineRule="auto"/>
        <w:ind w:left="464" w:right="424" w:hanging="1"/>
        <w:jc w:val="both"/>
      </w:pPr>
      <w:r>
        <w:rPr>
          <w:color w:val="231F20"/>
        </w:rPr>
        <w:t>Spoluúčastí</w:t>
      </w:r>
      <w:r>
        <w:rPr>
          <w:color w:val="231F20"/>
          <w:spacing w:val="-9"/>
        </w:rPr>
        <w:t xml:space="preserve"> </w:t>
      </w:r>
      <w:r>
        <w:rPr>
          <w:color w:val="231F20"/>
        </w:rPr>
        <w:t>se</w:t>
      </w:r>
      <w:r>
        <w:rPr>
          <w:color w:val="231F20"/>
          <w:spacing w:val="-9"/>
        </w:rPr>
        <w:t xml:space="preserve"> </w:t>
      </w:r>
      <w:r>
        <w:rPr>
          <w:color w:val="231F20"/>
        </w:rPr>
        <w:t>rozumí</w:t>
      </w:r>
      <w:r>
        <w:rPr>
          <w:color w:val="231F20"/>
          <w:spacing w:val="-9"/>
        </w:rPr>
        <w:t xml:space="preserve"> </w:t>
      </w:r>
      <w:r>
        <w:rPr>
          <w:color w:val="231F20"/>
        </w:rPr>
        <w:t>v</w:t>
      </w:r>
      <w:r>
        <w:rPr>
          <w:color w:val="231F20"/>
          <w:spacing w:val="-9"/>
        </w:rPr>
        <w:t xml:space="preserve"> </w:t>
      </w:r>
      <w:r>
        <w:rPr>
          <w:color w:val="231F20"/>
        </w:rPr>
        <w:t>seznamu</w:t>
      </w:r>
      <w:r>
        <w:rPr>
          <w:color w:val="231F20"/>
          <w:spacing w:val="-9"/>
        </w:rPr>
        <w:t xml:space="preserve"> </w:t>
      </w:r>
      <w:r>
        <w:rPr>
          <w:color w:val="231F20"/>
        </w:rPr>
        <w:t>vozidel</w:t>
      </w:r>
      <w:r>
        <w:rPr>
          <w:color w:val="231F20"/>
          <w:spacing w:val="-9"/>
        </w:rPr>
        <w:t xml:space="preserve"> </w:t>
      </w:r>
      <w:r>
        <w:rPr>
          <w:color w:val="231F20"/>
        </w:rPr>
        <w:t>dohodnutá</w:t>
      </w:r>
      <w:r>
        <w:rPr>
          <w:color w:val="231F20"/>
          <w:spacing w:val="-9"/>
        </w:rPr>
        <w:t xml:space="preserve"> </w:t>
      </w:r>
      <w:r>
        <w:rPr>
          <w:color w:val="231F20"/>
        </w:rPr>
        <w:t>částka,</w:t>
      </w:r>
      <w:r>
        <w:rPr>
          <w:color w:val="231F20"/>
          <w:spacing w:val="-9"/>
        </w:rPr>
        <w:t xml:space="preserve"> </w:t>
      </w:r>
      <w:r>
        <w:rPr>
          <w:color w:val="231F20"/>
        </w:rPr>
        <w:t>o</w:t>
      </w:r>
      <w:r>
        <w:rPr>
          <w:color w:val="231F20"/>
          <w:spacing w:val="-9"/>
        </w:rPr>
        <w:t xml:space="preserve"> </w:t>
      </w:r>
      <w:r>
        <w:rPr>
          <w:color w:val="231F20"/>
        </w:rPr>
        <w:t>kterou</w:t>
      </w:r>
      <w:r>
        <w:rPr>
          <w:color w:val="231F20"/>
          <w:spacing w:val="-9"/>
        </w:rPr>
        <w:t xml:space="preserve"> </w:t>
      </w:r>
      <w:r>
        <w:rPr>
          <w:color w:val="231F20"/>
        </w:rPr>
        <w:t>se</w:t>
      </w:r>
      <w:r>
        <w:rPr>
          <w:color w:val="231F20"/>
          <w:spacing w:val="-8"/>
        </w:rPr>
        <w:t xml:space="preserve"> </w:t>
      </w:r>
      <w:r>
        <w:rPr>
          <w:color w:val="231F20"/>
          <w:spacing w:val="-4"/>
        </w:rPr>
        <w:t xml:space="preserve">sni- </w:t>
      </w:r>
      <w:r>
        <w:rPr>
          <w:color w:val="231F20"/>
        </w:rPr>
        <w:t>žuje</w:t>
      </w:r>
      <w:r>
        <w:rPr>
          <w:color w:val="231F20"/>
          <w:spacing w:val="-26"/>
        </w:rPr>
        <w:t xml:space="preserve"> </w:t>
      </w:r>
      <w:r>
        <w:rPr>
          <w:color w:val="231F20"/>
        </w:rPr>
        <w:t>pojistné</w:t>
      </w:r>
      <w:r>
        <w:rPr>
          <w:color w:val="231F20"/>
          <w:spacing w:val="-26"/>
        </w:rPr>
        <w:t xml:space="preserve"> </w:t>
      </w:r>
      <w:r>
        <w:rPr>
          <w:color w:val="231F20"/>
        </w:rPr>
        <w:t>plnění.</w:t>
      </w:r>
      <w:r>
        <w:rPr>
          <w:color w:val="231F20"/>
          <w:spacing w:val="-26"/>
        </w:rPr>
        <w:t xml:space="preserve"> </w:t>
      </w:r>
      <w:r>
        <w:rPr>
          <w:color w:val="231F20"/>
        </w:rPr>
        <w:t>Pokud</w:t>
      </w:r>
      <w:r>
        <w:rPr>
          <w:color w:val="231F20"/>
          <w:spacing w:val="-25"/>
        </w:rPr>
        <w:t xml:space="preserve"> </w:t>
      </w:r>
      <w:r>
        <w:rPr>
          <w:color w:val="231F20"/>
        </w:rPr>
        <w:t>výše</w:t>
      </w:r>
      <w:r>
        <w:rPr>
          <w:color w:val="231F20"/>
          <w:spacing w:val="-26"/>
        </w:rPr>
        <w:t xml:space="preserve"> </w:t>
      </w:r>
      <w:r>
        <w:rPr>
          <w:color w:val="231F20"/>
        </w:rPr>
        <w:t>pojistného</w:t>
      </w:r>
      <w:r>
        <w:rPr>
          <w:color w:val="231F20"/>
          <w:spacing w:val="-26"/>
        </w:rPr>
        <w:t xml:space="preserve"> </w:t>
      </w:r>
      <w:r>
        <w:rPr>
          <w:color w:val="231F20"/>
        </w:rPr>
        <w:t>plnění</w:t>
      </w:r>
      <w:r>
        <w:rPr>
          <w:color w:val="231F20"/>
          <w:spacing w:val="-25"/>
        </w:rPr>
        <w:t xml:space="preserve"> </w:t>
      </w:r>
      <w:r>
        <w:rPr>
          <w:color w:val="231F20"/>
        </w:rPr>
        <w:t>nedosáhne</w:t>
      </w:r>
      <w:r>
        <w:rPr>
          <w:color w:val="231F20"/>
          <w:spacing w:val="-26"/>
        </w:rPr>
        <w:t xml:space="preserve"> </w:t>
      </w:r>
      <w:r>
        <w:rPr>
          <w:color w:val="231F20"/>
        </w:rPr>
        <w:t>výše</w:t>
      </w:r>
      <w:r>
        <w:rPr>
          <w:color w:val="231F20"/>
          <w:spacing w:val="-26"/>
        </w:rPr>
        <w:t xml:space="preserve"> </w:t>
      </w:r>
      <w:r>
        <w:rPr>
          <w:color w:val="231F20"/>
        </w:rPr>
        <w:t>spoluúčas- ti, Pojišťovna oprávněné osobě pojistné plnění</w:t>
      </w:r>
      <w:r>
        <w:rPr>
          <w:color w:val="231F20"/>
          <w:spacing w:val="-25"/>
        </w:rPr>
        <w:t xml:space="preserve"> </w:t>
      </w:r>
      <w:r>
        <w:rPr>
          <w:color w:val="231F20"/>
        </w:rPr>
        <w:t>neposkytne.</w:t>
      </w:r>
    </w:p>
    <w:p w14:paraId="0DD44928" w14:textId="77777777" w:rsidR="00F65BCA" w:rsidRDefault="00216117">
      <w:pPr>
        <w:pStyle w:val="Zkladntext"/>
        <w:spacing w:line="278" w:lineRule="auto"/>
        <w:ind w:left="464" w:right="424" w:hanging="283"/>
        <w:jc w:val="both"/>
      </w:pPr>
      <w:r>
        <w:rPr>
          <w:color w:val="231F20"/>
          <w:position w:val="1"/>
          <w:sz w:val="14"/>
          <w:shd w:val="clear" w:color="auto" w:fill="D1D3D4"/>
        </w:rPr>
        <w:t xml:space="preserve">  3</w:t>
      </w:r>
      <w:r>
        <w:rPr>
          <w:color w:val="231F20"/>
          <w:position w:val="1"/>
          <w:sz w:val="14"/>
        </w:rPr>
        <w:t xml:space="preserve"> </w:t>
      </w:r>
      <w:r>
        <w:rPr>
          <w:color w:val="231F20"/>
        </w:rPr>
        <w:t>Spoluúčast se určuje absolutní částkou nebo procentním vyjádřením nebo je určena kombinací obou těchto parametrů.</w:t>
      </w:r>
    </w:p>
    <w:p w14:paraId="24073AFB" w14:textId="77777777" w:rsidR="00F65BCA" w:rsidRDefault="00216117">
      <w:pPr>
        <w:pStyle w:val="Zkladntext"/>
        <w:spacing w:line="278" w:lineRule="auto"/>
        <w:ind w:left="464"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21"/>
          <w:position w:val="1"/>
          <w:sz w:val="14"/>
        </w:rPr>
        <w:t xml:space="preserve"> </w:t>
      </w:r>
      <w:r>
        <w:rPr>
          <w:color w:val="231F20"/>
        </w:rPr>
        <w:t>Výše</w:t>
      </w:r>
      <w:r>
        <w:rPr>
          <w:color w:val="231F20"/>
          <w:spacing w:val="-14"/>
        </w:rPr>
        <w:t xml:space="preserve"> </w:t>
      </w:r>
      <w:r>
        <w:rPr>
          <w:color w:val="231F20"/>
        </w:rPr>
        <w:t>spoluúčasti,</w:t>
      </w:r>
      <w:r>
        <w:rPr>
          <w:color w:val="231F20"/>
          <w:spacing w:val="-14"/>
        </w:rPr>
        <w:t xml:space="preserve"> </w:t>
      </w:r>
      <w:r>
        <w:rPr>
          <w:color w:val="231F20"/>
        </w:rPr>
        <w:t>případně</w:t>
      </w:r>
      <w:r>
        <w:rPr>
          <w:color w:val="231F20"/>
          <w:spacing w:val="-15"/>
        </w:rPr>
        <w:t xml:space="preserve"> </w:t>
      </w:r>
      <w:r>
        <w:rPr>
          <w:color w:val="231F20"/>
        </w:rPr>
        <w:t>způsob</w:t>
      </w:r>
      <w:r>
        <w:rPr>
          <w:color w:val="231F20"/>
          <w:spacing w:val="-14"/>
        </w:rPr>
        <w:t xml:space="preserve"> </w:t>
      </w:r>
      <w:r>
        <w:rPr>
          <w:color w:val="231F20"/>
        </w:rPr>
        <w:t>jejího</w:t>
      </w:r>
      <w:r>
        <w:rPr>
          <w:color w:val="231F20"/>
          <w:spacing w:val="-14"/>
        </w:rPr>
        <w:t xml:space="preserve"> </w:t>
      </w:r>
      <w:r>
        <w:rPr>
          <w:color w:val="231F20"/>
        </w:rPr>
        <w:t>výpočtu,</w:t>
      </w:r>
      <w:r>
        <w:rPr>
          <w:color w:val="231F20"/>
          <w:spacing w:val="-15"/>
        </w:rPr>
        <w:t xml:space="preserve"> </w:t>
      </w:r>
      <w:r>
        <w:rPr>
          <w:color w:val="231F20"/>
        </w:rPr>
        <w:t>je</w:t>
      </w:r>
      <w:r>
        <w:rPr>
          <w:color w:val="231F20"/>
          <w:spacing w:val="-14"/>
        </w:rPr>
        <w:t xml:space="preserve"> </w:t>
      </w:r>
      <w:r>
        <w:rPr>
          <w:color w:val="231F20"/>
        </w:rPr>
        <w:t>určen</w:t>
      </w:r>
      <w:r>
        <w:rPr>
          <w:color w:val="231F20"/>
          <w:spacing w:val="-14"/>
        </w:rPr>
        <w:t xml:space="preserve"> </w:t>
      </w:r>
      <w:r>
        <w:rPr>
          <w:color w:val="231F20"/>
        </w:rPr>
        <w:t>v</w:t>
      </w:r>
      <w:r>
        <w:rPr>
          <w:color w:val="231F20"/>
          <w:spacing w:val="-14"/>
        </w:rPr>
        <w:t xml:space="preserve"> </w:t>
      </w:r>
      <w:r>
        <w:rPr>
          <w:color w:val="231F20"/>
        </w:rPr>
        <w:t>pojistné</w:t>
      </w:r>
      <w:r>
        <w:rPr>
          <w:color w:val="231F20"/>
          <w:spacing w:val="-15"/>
        </w:rPr>
        <w:t xml:space="preserve"> </w:t>
      </w:r>
      <w:r>
        <w:rPr>
          <w:color w:val="231F20"/>
        </w:rPr>
        <w:t>smlouvě nebo v seznamu vozidel nebo v těchto</w:t>
      </w:r>
      <w:r>
        <w:rPr>
          <w:color w:val="231F20"/>
          <w:spacing w:val="-12"/>
        </w:rPr>
        <w:t xml:space="preserve"> </w:t>
      </w:r>
      <w:r>
        <w:rPr>
          <w:color w:val="231F20"/>
          <w:spacing w:val="-6"/>
        </w:rPr>
        <w:t>VPP.</w:t>
      </w:r>
    </w:p>
    <w:p w14:paraId="446E728B" w14:textId="77777777" w:rsidR="00F65BCA" w:rsidRDefault="00F65BCA">
      <w:pPr>
        <w:pStyle w:val="Zkladntext"/>
        <w:spacing w:before="9"/>
        <w:rPr>
          <w:sz w:val="20"/>
        </w:rPr>
      </w:pPr>
    </w:p>
    <w:p w14:paraId="5C2D23A6" w14:textId="77777777" w:rsidR="00F65BCA" w:rsidRDefault="00216117">
      <w:pPr>
        <w:pStyle w:val="Zkladntext"/>
        <w:ind w:left="182"/>
      </w:pPr>
      <w:r>
        <w:rPr>
          <w:color w:val="FFFFFF"/>
          <w:position w:val="3"/>
          <w:sz w:val="16"/>
          <w:shd w:val="clear" w:color="auto" w:fill="808285"/>
        </w:rPr>
        <w:t xml:space="preserve">  </w:t>
      </w:r>
      <w:r>
        <w:rPr>
          <w:color w:val="FFFFFF"/>
          <w:w w:val="105"/>
          <w:position w:val="3"/>
          <w:sz w:val="16"/>
          <w:shd w:val="clear" w:color="auto" w:fill="808285"/>
        </w:rPr>
        <w:t>Článek 30</w:t>
      </w:r>
      <w:r>
        <w:rPr>
          <w:color w:val="FFFFFF"/>
          <w:w w:val="105"/>
          <w:position w:val="3"/>
          <w:sz w:val="16"/>
        </w:rPr>
        <w:t xml:space="preserve"> </w:t>
      </w:r>
      <w:r>
        <w:rPr>
          <w:color w:val="231F20"/>
          <w:w w:val="105"/>
        </w:rPr>
        <w:t>Povinnosti pojistníka, pojištěného a oprávněné osoby</w:t>
      </w:r>
    </w:p>
    <w:p w14:paraId="4ABD7963" w14:textId="77777777" w:rsidR="00F65BCA" w:rsidRDefault="00216117">
      <w:pPr>
        <w:pStyle w:val="Zkladntext"/>
        <w:spacing w:before="147" w:line="278" w:lineRule="auto"/>
        <w:ind w:left="464"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position w:val="1"/>
          <w:sz w:val="14"/>
        </w:rPr>
        <w:t xml:space="preserve"> </w:t>
      </w:r>
      <w:r>
        <w:rPr>
          <w:color w:val="231F20"/>
        </w:rPr>
        <w:t xml:space="preserve">V případě vzniku pojistné události jsou pojistník a pojištěný povinni zdržet </w:t>
      </w:r>
      <w:r>
        <w:rPr>
          <w:color w:val="231F20"/>
          <w:spacing w:val="-6"/>
        </w:rPr>
        <w:t xml:space="preserve">se </w:t>
      </w:r>
      <w:r>
        <w:rPr>
          <w:color w:val="231F20"/>
        </w:rPr>
        <w:t>oprav poškozeného vozidla nebo věci nebo odstraňování zbytků zničeného vozidla nebo věci, dokud s tím Pojišťovna neprojeví souhlas; je-li ujednána doba, dokdy se má Pojišťovna vyjádřit, zaniká tato povinnost uplynutím</w:t>
      </w:r>
      <w:r>
        <w:rPr>
          <w:color w:val="231F20"/>
          <w:spacing w:val="-24"/>
        </w:rPr>
        <w:t xml:space="preserve"> </w:t>
      </w:r>
      <w:r>
        <w:rPr>
          <w:color w:val="231F20"/>
        </w:rPr>
        <w:t>této doby;</w:t>
      </w:r>
      <w:r>
        <w:rPr>
          <w:color w:val="231F20"/>
          <w:spacing w:val="-23"/>
        </w:rPr>
        <w:t xml:space="preserve"> </w:t>
      </w:r>
      <w:r>
        <w:rPr>
          <w:color w:val="231F20"/>
        </w:rPr>
        <w:t>nebyla-li</w:t>
      </w:r>
      <w:r>
        <w:rPr>
          <w:color w:val="231F20"/>
          <w:spacing w:val="-22"/>
        </w:rPr>
        <w:t xml:space="preserve"> </w:t>
      </w:r>
      <w:r>
        <w:rPr>
          <w:color w:val="231F20"/>
        </w:rPr>
        <w:t>tato</w:t>
      </w:r>
      <w:r>
        <w:rPr>
          <w:color w:val="231F20"/>
          <w:spacing w:val="-22"/>
        </w:rPr>
        <w:t xml:space="preserve"> </w:t>
      </w:r>
      <w:r>
        <w:rPr>
          <w:color w:val="231F20"/>
        </w:rPr>
        <w:t>doba</w:t>
      </w:r>
      <w:r>
        <w:rPr>
          <w:color w:val="231F20"/>
          <w:spacing w:val="-23"/>
        </w:rPr>
        <w:t xml:space="preserve"> </w:t>
      </w:r>
      <w:r>
        <w:rPr>
          <w:color w:val="231F20"/>
        </w:rPr>
        <w:t>ujednána,</w:t>
      </w:r>
      <w:r>
        <w:rPr>
          <w:color w:val="231F20"/>
          <w:spacing w:val="-22"/>
        </w:rPr>
        <w:t xml:space="preserve"> </w:t>
      </w:r>
      <w:r>
        <w:rPr>
          <w:color w:val="231F20"/>
        </w:rPr>
        <w:t>zaniká</w:t>
      </w:r>
      <w:r>
        <w:rPr>
          <w:color w:val="231F20"/>
          <w:spacing w:val="-22"/>
        </w:rPr>
        <w:t xml:space="preserve"> </w:t>
      </w:r>
      <w:r>
        <w:rPr>
          <w:color w:val="231F20"/>
        </w:rPr>
        <w:t>tato</w:t>
      </w:r>
      <w:r>
        <w:rPr>
          <w:color w:val="231F20"/>
          <w:spacing w:val="-23"/>
        </w:rPr>
        <w:t xml:space="preserve"> </w:t>
      </w:r>
      <w:r>
        <w:rPr>
          <w:color w:val="231F20"/>
        </w:rPr>
        <w:t>povinnost,</w:t>
      </w:r>
      <w:r>
        <w:rPr>
          <w:color w:val="231F20"/>
          <w:spacing w:val="-22"/>
        </w:rPr>
        <w:t xml:space="preserve"> </w:t>
      </w:r>
      <w:r>
        <w:rPr>
          <w:color w:val="231F20"/>
        </w:rPr>
        <w:t>nevyjádří-li</w:t>
      </w:r>
      <w:r>
        <w:rPr>
          <w:color w:val="231F20"/>
          <w:spacing w:val="-22"/>
        </w:rPr>
        <w:t xml:space="preserve"> </w:t>
      </w:r>
      <w:r>
        <w:rPr>
          <w:color w:val="231F20"/>
        </w:rPr>
        <w:t>se</w:t>
      </w:r>
      <w:r>
        <w:rPr>
          <w:color w:val="231F20"/>
          <w:spacing w:val="-22"/>
        </w:rPr>
        <w:t xml:space="preserve"> </w:t>
      </w:r>
      <w:r>
        <w:rPr>
          <w:color w:val="231F20"/>
        </w:rPr>
        <w:t>Pojiš- ťovna</w:t>
      </w:r>
      <w:r>
        <w:rPr>
          <w:color w:val="231F20"/>
          <w:spacing w:val="-13"/>
        </w:rPr>
        <w:t xml:space="preserve"> </w:t>
      </w:r>
      <w:r>
        <w:rPr>
          <w:color w:val="231F20"/>
        </w:rPr>
        <w:t>v</w:t>
      </w:r>
      <w:r>
        <w:rPr>
          <w:color w:val="231F20"/>
          <w:spacing w:val="-12"/>
        </w:rPr>
        <w:t xml:space="preserve"> </w:t>
      </w:r>
      <w:r>
        <w:rPr>
          <w:color w:val="231F20"/>
        </w:rPr>
        <w:t>době</w:t>
      </w:r>
      <w:r>
        <w:rPr>
          <w:color w:val="231F20"/>
          <w:spacing w:val="-12"/>
        </w:rPr>
        <w:t xml:space="preserve"> </w:t>
      </w:r>
      <w:r>
        <w:rPr>
          <w:color w:val="231F20"/>
        </w:rPr>
        <w:t>přiměřené</w:t>
      </w:r>
      <w:r>
        <w:rPr>
          <w:color w:val="231F20"/>
          <w:spacing w:val="-12"/>
        </w:rPr>
        <w:t xml:space="preserve"> </w:t>
      </w:r>
      <w:r>
        <w:rPr>
          <w:color w:val="231F20"/>
        </w:rPr>
        <w:t>okolnostem,</w:t>
      </w:r>
      <w:r>
        <w:rPr>
          <w:color w:val="231F20"/>
          <w:spacing w:val="-12"/>
        </w:rPr>
        <w:t xml:space="preserve"> </w:t>
      </w:r>
      <w:r>
        <w:rPr>
          <w:color w:val="231F20"/>
        </w:rPr>
        <w:t>uplynutím</w:t>
      </w:r>
      <w:r>
        <w:rPr>
          <w:color w:val="231F20"/>
          <w:spacing w:val="-12"/>
        </w:rPr>
        <w:t xml:space="preserve"> </w:t>
      </w:r>
      <w:r>
        <w:rPr>
          <w:color w:val="231F20"/>
        </w:rPr>
        <w:t>15</w:t>
      </w:r>
      <w:r>
        <w:rPr>
          <w:color w:val="231F20"/>
          <w:spacing w:val="-12"/>
        </w:rPr>
        <w:t xml:space="preserve"> </w:t>
      </w:r>
      <w:r>
        <w:rPr>
          <w:color w:val="231F20"/>
        </w:rPr>
        <w:t>dnů</w:t>
      </w:r>
      <w:r>
        <w:rPr>
          <w:color w:val="231F20"/>
          <w:spacing w:val="-12"/>
        </w:rPr>
        <w:t xml:space="preserve"> </w:t>
      </w:r>
      <w:r>
        <w:rPr>
          <w:color w:val="231F20"/>
        </w:rPr>
        <w:t>od</w:t>
      </w:r>
      <w:r>
        <w:rPr>
          <w:color w:val="231F20"/>
          <w:spacing w:val="-12"/>
        </w:rPr>
        <w:t xml:space="preserve"> </w:t>
      </w:r>
      <w:r>
        <w:rPr>
          <w:color w:val="231F20"/>
        </w:rPr>
        <w:t>oznámení</w:t>
      </w:r>
      <w:r>
        <w:rPr>
          <w:color w:val="231F20"/>
          <w:spacing w:val="-12"/>
        </w:rPr>
        <w:t xml:space="preserve"> </w:t>
      </w:r>
      <w:r>
        <w:rPr>
          <w:color w:val="231F20"/>
        </w:rPr>
        <w:t>pojistné události Pojišťovně, pokud bylo potřeba z bezpečnostních, hygienických, ekologických</w:t>
      </w:r>
      <w:r>
        <w:rPr>
          <w:color w:val="231F20"/>
          <w:spacing w:val="-23"/>
        </w:rPr>
        <w:t xml:space="preserve"> </w:t>
      </w:r>
      <w:r>
        <w:rPr>
          <w:color w:val="231F20"/>
        </w:rPr>
        <w:t>nebo</w:t>
      </w:r>
      <w:r>
        <w:rPr>
          <w:color w:val="231F20"/>
          <w:spacing w:val="-22"/>
        </w:rPr>
        <w:t xml:space="preserve"> </w:t>
      </w:r>
      <w:r>
        <w:rPr>
          <w:color w:val="231F20"/>
        </w:rPr>
        <w:t>jiných</w:t>
      </w:r>
      <w:r>
        <w:rPr>
          <w:color w:val="231F20"/>
          <w:spacing w:val="-23"/>
        </w:rPr>
        <w:t xml:space="preserve"> </w:t>
      </w:r>
      <w:r>
        <w:rPr>
          <w:color w:val="231F20"/>
        </w:rPr>
        <w:t>závažných</w:t>
      </w:r>
      <w:r>
        <w:rPr>
          <w:color w:val="231F20"/>
          <w:spacing w:val="-22"/>
        </w:rPr>
        <w:t xml:space="preserve"> </w:t>
      </w:r>
      <w:r>
        <w:rPr>
          <w:color w:val="231F20"/>
        </w:rPr>
        <w:t>důvodů</w:t>
      </w:r>
      <w:r>
        <w:rPr>
          <w:color w:val="231F20"/>
          <w:spacing w:val="-23"/>
        </w:rPr>
        <w:t xml:space="preserve"> </w:t>
      </w:r>
      <w:r>
        <w:rPr>
          <w:color w:val="231F20"/>
        </w:rPr>
        <w:t>s</w:t>
      </w:r>
      <w:r>
        <w:rPr>
          <w:color w:val="231F20"/>
          <w:spacing w:val="-22"/>
        </w:rPr>
        <w:t xml:space="preserve"> </w:t>
      </w:r>
      <w:r>
        <w:rPr>
          <w:color w:val="231F20"/>
        </w:rPr>
        <w:t>opravou</w:t>
      </w:r>
      <w:r>
        <w:rPr>
          <w:color w:val="231F20"/>
          <w:spacing w:val="-22"/>
        </w:rPr>
        <w:t xml:space="preserve"> </w:t>
      </w:r>
      <w:r>
        <w:rPr>
          <w:color w:val="231F20"/>
        </w:rPr>
        <w:t>vozidla</w:t>
      </w:r>
      <w:r>
        <w:rPr>
          <w:color w:val="231F20"/>
          <w:spacing w:val="-23"/>
        </w:rPr>
        <w:t xml:space="preserve"> </w:t>
      </w:r>
      <w:r>
        <w:rPr>
          <w:color w:val="231F20"/>
        </w:rPr>
        <w:t>nebo</w:t>
      </w:r>
      <w:r>
        <w:rPr>
          <w:color w:val="231F20"/>
          <w:spacing w:val="-22"/>
        </w:rPr>
        <w:t xml:space="preserve"> </w:t>
      </w:r>
      <w:r>
        <w:rPr>
          <w:color w:val="231F20"/>
        </w:rPr>
        <w:t>věci</w:t>
      </w:r>
      <w:r>
        <w:rPr>
          <w:color w:val="231F20"/>
          <w:spacing w:val="-23"/>
        </w:rPr>
        <w:t xml:space="preserve"> </w:t>
      </w:r>
      <w:r>
        <w:rPr>
          <w:color w:val="231F20"/>
        </w:rPr>
        <w:t>nebo s</w:t>
      </w:r>
      <w:r>
        <w:rPr>
          <w:color w:val="231F20"/>
          <w:spacing w:val="-19"/>
        </w:rPr>
        <w:t xml:space="preserve"> </w:t>
      </w:r>
      <w:r>
        <w:rPr>
          <w:color w:val="231F20"/>
        </w:rPr>
        <w:t>odstraněním</w:t>
      </w:r>
      <w:r>
        <w:rPr>
          <w:color w:val="231F20"/>
          <w:spacing w:val="-18"/>
        </w:rPr>
        <w:t xml:space="preserve"> </w:t>
      </w:r>
      <w:r>
        <w:rPr>
          <w:color w:val="231F20"/>
        </w:rPr>
        <w:t>jeho</w:t>
      </w:r>
      <w:r>
        <w:rPr>
          <w:color w:val="231F20"/>
          <w:spacing w:val="-18"/>
        </w:rPr>
        <w:t xml:space="preserve"> </w:t>
      </w:r>
      <w:r>
        <w:rPr>
          <w:color w:val="231F20"/>
        </w:rPr>
        <w:t>zbytků</w:t>
      </w:r>
      <w:r>
        <w:rPr>
          <w:color w:val="231F20"/>
          <w:spacing w:val="-19"/>
        </w:rPr>
        <w:t xml:space="preserve"> </w:t>
      </w:r>
      <w:r>
        <w:rPr>
          <w:color w:val="231F20"/>
        </w:rPr>
        <w:t>začít</w:t>
      </w:r>
      <w:r>
        <w:rPr>
          <w:color w:val="231F20"/>
          <w:spacing w:val="-18"/>
        </w:rPr>
        <w:t xml:space="preserve"> </w:t>
      </w:r>
      <w:r>
        <w:rPr>
          <w:color w:val="231F20"/>
        </w:rPr>
        <w:t>dříve;</w:t>
      </w:r>
      <w:r>
        <w:rPr>
          <w:color w:val="231F20"/>
          <w:spacing w:val="-18"/>
        </w:rPr>
        <w:t xml:space="preserve"> </w:t>
      </w:r>
      <w:r>
        <w:rPr>
          <w:color w:val="231F20"/>
        </w:rPr>
        <w:t>v</w:t>
      </w:r>
      <w:r>
        <w:rPr>
          <w:color w:val="231F20"/>
          <w:spacing w:val="-19"/>
        </w:rPr>
        <w:t xml:space="preserve"> </w:t>
      </w:r>
      <w:r>
        <w:rPr>
          <w:color w:val="231F20"/>
        </w:rPr>
        <w:t>těchto</w:t>
      </w:r>
      <w:r>
        <w:rPr>
          <w:color w:val="231F20"/>
          <w:spacing w:val="-18"/>
        </w:rPr>
        <w:t xml:space="preserve"> </w:t>
      </w:r>
      <w:r>
        <w:rPr>
          <w:color w:val="231F20"/>
        </w:rPr>
        <w:t>případech</w:t>
      </w:r>
      <w:r>
        <w:rPr>
          <w:color w:val="231F20"/>
          <w:spacing w:val="-18"/>
        </w:rPr>
        <w:t xml:space="preserve"> </w:t>
      </w:r>
      <w:r>
        <w:rPr>
          <w:color w:val="231F20"/>
        </w:rPr>
        <w:t>je</w:t>
      </w:r>
      <w:r>
        <w:rPr>
          <w:color w:val="231F20"/>
          <w:spacing w:val="-18"/>
        </w:rPr>
        <w:t xml:space="preserve"> </w:t>
      </w:r>
      <w:r>
        <w:rPr>
          <w:color w:val="231F20"/>
        </w:rPr>
        <w:t>povinen</w:t>
      </w:r>
      <w:r>
        <w:rPr>
          <w:color w:val="231F20"/>
          <w:spacing w:val="-19"/>
        </w:rPr>
        <w:t xml:space="preserve"> </w:t>
      </w:r>
      <w:r>
        <w:rPr>
          <w:color w:val="231F20"/>
        </w:rPr>
        <w:t>zabezpe- čit</w:t>
      </w:r>
      <w:r>
        <w:rPr>
          <w:color w:val="231F20"/>
          <w:spacing w:val="-24"/>
        </w:rPr>
        <w:t xml:space="preserve"> </w:t>
      </w:r>
      <w:r>
        <w:rPr>
          <w:color w:val="231F20"/>
        </w:rPr>
        <w:t>dostatečné</w:t>
      </w:r>
      <w:r>
        <w:rPr>
          <w:color w:val="231F20"/>
          <w:spacing w:val="-23"/>
        </w:rPr>
        <w:t xml:space="preserve"> </w:t>
      </w:r>
      <w:r>
        <w:rPr>
          <w:color w:val="231F20"/>
        </w:rPr>
        <w:t>důkazy</w:t>
      </w:r>
      <w:r>
        <w:rPr>
          <w:color w:val="231F20"/>
          <w:spacing w:val="-24"/>
        </w:rPr>
        <w:t xml:space="preserve"> </w:t>
      </w:r>
      <w:r>
        <w:rPr>
          <w:color w:val="231F20"/>
        </w:rPr>
        <w:t>o</w:t>
      </w:r>
      <w:r>
        <w:rPr>
          <w:color w:val="231F20"/>
          <w:spacing w:val="-24"/>
        </w:rPr>
        <w:t xml:space="preserve"> </w:t>
      </w:r>
      <w:r>
        <w:rPr>
          <w:color w:val="231F20"/>
        </w:rPr>
        <w:t>rozsahu</w:t>
      </w:r>
      <w:r>
        <w:rPr>
          <w:color w:val="231F20"/>
          <w:spacing w:val="-23"/>
        </w:rPr>
        <w:t xml:space="preserve"> </w:t>
      </w:r>
      <w:r>
        <w:rPr>
          <w:color w:val="231F20"/>
        </w:rPr>
        <w:t>poškození,</w:t>
      </w:r>
      <w:r>
        <w:rPr>
          <w:color w:val="231F20"/>
          <w:spacing w:val="-24"/>
        </w:rPr>
        <w:t xml:space="preserve"> </w:t>
      </w:r>
      <w:r>
        <w:rPr>
          <w:color w:val="231F20"/>
          <w:spacing w:val="-3"/>
        </w:rPr>
        <w:t>např.</w:t>
      </w:r>
      <w:r>
        <w:rPr>
          <w:color w:val="231F20"/>
          <w:spacing w:val="-23"/>
        </w:rPr>
        <w:t xml:space="preserve"> </w:t>
      </w:r>
      <w:r>
        <w:rPr>
          <w:color w:val="231F20"/>
        </w:rPr>
        <w:t>šetřením</w:t>
      </w:r>
      <w:r>
        <w:rPr>
          <w:color w:val="231F20"/>
          <w:spacing w:val="-24"/>
        </w:rPr>
        <w:t xml:space="preserve"> </w:t>
      </w:r>
      <w:r>
        <w:rPr>
          <w:color w:val="231F20"/>
        </w:rPr>
        <w:t>provedeným</w:t>
      </w:r>
      <w:r>
        <w:rPr>
          <w:color w:val="231F20"/>
          <w:spacing w:val="-23"/>
        </w:rPr>
        <w:t xml:space="preserve"> </w:t>
      </w:r>
      <w:r>
        <w:rPr>
          <w:color w:val="231F20"/>
        </w:rPr>
        <w:t>policií nebo</w:t>
      </w:r>
      <w:r>
        <w:rPr>
          <w:color w:val="231F20"/>
          <w:spacing w:val="-12"/>
        </w:rPr>
        <w:t xml:space="preserve"> </w:t>
      </w:r>
      <w:r>
        <w:rPr>
          <w:color w:val="231F20"/>
        </w:rPr>
        <w:t>jinými</w:t>
      </w:r>
      <w:r>
        <w:rPr>
          <w:color w:val="231F20"/>
          <w:spacing w:val="-12"/>
        </w:rPr>
        <w:t xml:space="preserve"> </w:t>
      </w:r>
      <w:r>
        <w:rPr>
          <w:color w:val="231F20"/>
        </w:rPr>
        <w:t>vyšetřovacími</w:t>
      </w:r>
      <w:r>
        <w:rPr>
          <w:color w:val="231F20"/>
          <w:spacing w:val="-11"/>
        </w:rPr>
        <w:t xml:space="preserve"> </w:t>
      </w:r>
      <w:r>
        <w:rPr>
          <w:color w:val="231F20"/>
        </w:rPr>
        <w:t>orgány,</w:t>
      </w:r>
      <w:r>
        <w:rPr>
          <w:color w:val="231F20"/>
          <w:spacing w:val="-12"/>
        </w:rPr>
        <w:t xml:space="preserve"> </w:t>
      </w:r>
      <w:r>
        <w:rPr>
          <w:color w:val="231F20"/>
        </w:rPr>
        <w:t>fotografickým</w:t>
      </w:r>
      <w:r>
        <w:rPr>
          <w:color w:val="231F20"/>
          <w:spacing w:val="-11"/>
        </w:rPr>
        <w:t xml:space="preserve"> </w:t>
      </w:r>
      <w:r>
        <w:rPr>
          <w:color w:val="231F20"/>
        </w:rPr>
        <w:t>či</w:t>
      </w:r>
      <w:r>
        <w:rPr>
          <w:color w:val="231F20"/>
          <w:spacing w:val="-12"/>
        </w:rPr>
        <w:t xml:space="preserve"> </w:t>
      </w:r>
      <w:r>
        <w:rPr>
          <w:color w:val="231F20"/>
        </w:rPr>
        <w:t>filmovým</w:t>
      </w:r>
      <w:r>
        <w:rPr>
          <w:color w:val="231F20"/>
          <w:spacing w:val="-11"/>
        </w:rPr>
        <w:t xml:space="preserve"> </w:t>
      </w:r>
      <w:r>
        <w:rPr>
          <w:color w:val="231F20"/>
        </w:rPr>
        <w:t>záznamem.</w:t>
      </w:r>
    </w:p>
    <w:p w14:paraId="61E69BE3" w14:textId="77777777" w:rsidR="00F65BCA" w:rsidRDefault="00216117">
      <w:pPr>
        <w:pStyle w:val="Zkladntext"/>
        <w:spacing w:line="172" w:lineRule="exact"/>
        <w:ind w:left="182"/>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 xml:space="preserve">2 </w:t>
      </w:r>
      <w:r>
        <w:rPr>
          <w:color w:val="231F20"/>
          <w:spacing w:val="15"/>
          <w:position w:val="1"/>
          <w:sz w:val="14"/>
        </w:rPr>
        <w:t xml:space="preserve"> </w:t>
      </w:r>
      <w:r>
        <w:rPr>
          <w:color w:val="231F20"/>
        </w:rPr>
        <w:t>Pojistník</w:t>
      </w:r>
      <w:r>
        <w:rPr>
          <w:color w:val="231F20"/>
          <w:spacing w:val="-15"/>
        </w:rPr>
        <w:t xml:space="preserve"> </w:t>
      </w:r>
      <w:r>
        <w:rPr>
          <w:color w:val="231F20"/>
        </w:rPr>
        <w:t>a</w:t>
      </w:r>
      <w:r>
        <w:rPr>
          <w:color w:val="231F20"/>
          <w:spacing w:val="-16"/>
        </w:rPr>
        <w:t xml:space="preserve"> </w:t>
      </w:r>
      <w:r>
        <w:rPr>
          <w:color w:val="231F20"/>
        </w:rPr>
        <w:t>pojištěný</w:t>
      </w:r>
      <w:r>
        <w:rPr>
          <w:color w:val="231F20"/>
          <w:spacing w:val="-15"/>
        </w:rPr>
        <w:t xml:space="preserve"> </w:t>
      </w:r>
      <w:r>
        <w:rPr>
          <w:color w:val="231F20"/>
        </w:rPr>
        <w:t>jsou</w:t>
      </w:r>
      <w:r>
        <w:rPr>
          <w:color w:val="231F20"/>
          <w:spacing w:val="-15"/>
        </w:rPr>
        <w:t xml:space="preserve"> </w:t>
      </w:r>
      <w:r>
        <w:rPr>
          <w:color w:val="231F20"/>
        </w:rPr>
        <w:t>povinni</w:t>
      </w:r>
      <w:r>
        <w:rPr>
          <w:color w:val="231F20"/>
          <w:spacing w:val="-16"/>
        </w:rPr>
        <w:t xml:space="preserve"> </w:t>
      </w:r>
      <w:r>
        <w:rPr>
          <w:color w:val="231F20"/>
        </w:rPr>
        <w:t>Pojišťovně</w:t>
      </w:r>
      <w:r>
        <w:rPr>
          <w:color w:val="231F20"/>
          <w:spacing w:val="-15"/>
        </w:rPr>
        <w:t xml:space="preserve"> </w:t>
      </w:r>
      <w:r>
        <w:rPr>
          <w:color w:val="231F20"/>
        </w:rPr>
        <w:t>nebo</w:t>
      </w:r>
      <w:r>
        <w:rPr>
          <w:color w:val="231F20"/>
          <w:spacing w:val="-15"/>
        </w:rPr>
        <w:t xml:space="preserve"> </w:t>
      </w:r>
      <w:r>
        <w:rPr>
          <w:color w:val="231F20"/>
        </w:rPr>
        <w:t>jí</w:t>
      </w:r>
      <w:r>
        <w:rPr>
          <w:color w:val="231F20"/>
          <w:spacing w:val="-16"/>
        </w:rPr>
        <w:t xml:space="preserve"> </w:t>
      </w:r>
      <w:r>
        <w:rPr>
          <w:color w:val="231F20"/>
        </w:rPr>
        <w:t>pověřeným</w:t>
      </w:r>
      <w:r>
        <w:rPr>
          <w:color w:val="231F20"/>
          <w:spacing w:val="-15"/>
        </w:rPr>
        <w:t xml:space="preserve"> </w:t>
      </w:r>
      <w:r>
        <w:rPr>
          <w:color w:val="231F20"/>
        </w:rPr>
        <w:t>osobám:</w:t>
      </w:r>
    </w:p>
    <w:p w14:paraId="66F733E5" w14:textId="77777777" w:rsidR="00F65BCA" w:rsidRDefault="00216117">
      <w:pPr>
        <w:pStyle w:val="Odstavecseseznamem"/>
        <w:numPr>
          <w:ilvl w:val="0"/>
          <w:numId w:val="102"/>
        </w:numPr>
        <w:tabs>
          <w:tab w:val="left" w:pos="635"/>
        </w:tabs>
        <w:spacing w:before="27"/>
        <w:jc w:val="both"/>
        <w:rPr>
          <w:sz w:val="15"/>
        </w:rPr>
      </w:pPr>
      <w:r>
        <w:rPr>
          <w:color w:val="231F20"/>
          <w:sz w:val="15"/>
        </w:rPr>
        <w:t>umožnit</w:t>
      </w:r>
      <w:r>
        <w:rPr>
          <w:color w:val="231F20"/>
          <w:spacing w:val="-24"/>
          <w:sz w:val="15"/>
        </w:rPr>
        <w:t xml:space="preserve"> </w:t>
      </w:r>
      <w:r>
        <w:rPr>
          <w:color w:val="231F20"/>
          <w:sz w:val="15"/>
        </w:rPr>
        <w:t>prohlídku</w:t>
      </w:r>
      <w:r>
        <w:rPr>
          <w:color w:val="231F20"/>
          <w:spacing w:val="-23"/>
          <w:sz w:val="15"/>
        </w:rPr>
        <w:t xml:space="preserve"> </w:t>
      </w:r>
      <w:r>
        <w:rPr>
          <w:color w:val="231F20"/>
          <w:sz w:val="15"/>
        </w:rPr>
        <w:t>vozidla</w:t>
      </w:r>
      <w:r>
        <w:rPr>
          <w:color w:val="231F20"/>
          <w:spacing w:val="-24"/>
          <w:sz w:val="15"/>
        </w:rPr>
        <w:t xml:space="preserve"> </w:t>
      </w:r>
      <w:r>
        <w:rPr>
          <w:color w:val="231F20"/>
          <w:sz w:val="15"/>
        </w:rPr>
        <w:t>a</w:t>
      </w:r>
      <w:r>
        <w:rPr>
          <w:color w:val="231F20"/>
          <w:spacing w:val="-23"/>
          <w:sz w:val="15"/>
        </w:rPr>
        <w:t xml:space="preserve"> </w:t>
      </w:r>
      <w:r>
        <w:rPr>
          <w:color w:val="231F20"/>
          <w:sz w:val="15"/>
        </w:rPr>
        <w:t>pořízení</w:t>
      </w:r>
      <w:r>
        <w:rPr>
          <w:color w:val="231F20"/>
          <w:spacing w:val="-24"/>
          <w:sz w:val="15"/>
        </w:rPr>
        <w:t xml:space="preserve"> </w:t>
      </w:r>
      <w:r>
        <w:rPr>
          <w:color w:val="231F20"/>
          <w:sz w:val="15"/>
        </w:rPr>
        <w:t>jeho</w:t>
      </w:r>
      <w:r>
        <w:rPr>
          <w:color w:val="231F20"/>
          <w:spacing w:val="-23"/>
          <w:sz w:val="15"/>
        </w:rPr>
        <w:t xml:space="preserve"> </w:t>
      </w:r>
      <w:r>
        <w:rPr>
          <w:color w:val="231F20"/>
          <w:sz w:val="15"/>
        </w:rPr>
        <w:t>fotodokumentace;</w:t>
      </w:r>
    </w:p>
    <w:p w14:paraId="348ECFA1" w14:textId="77777777" w:rsidR="00F65BCA" w:rsidRDefault="00216117">
      <w:pPr>
        <w:pStyle w:val="Odstavecseseznamem"/>
        <w:numPr>
          <w:ilvl w:val="0"/>
          <w:numId w:val="102"/>
        </w:numPr>
        <w:tabs>
          <w:tab w:val="left" w:pos="635"/>
        </w:tabs>
        <w:spacing w:before="28" w:line="278" w:lineRule="auto"/>
        <w:ind w:right="424"/>
        <w:jc w:val="both"/>
        <w:rPr>
          <w:sz w:val="15"/>
        </w:rPr>
      </w:pPr>
      <w:r>
        <w:rPr>
          <w:color w:val="231F20"/>
          <w:sz w:val="15"/>
        </w:rPr>
        <w:t>předložit na vyžádání k nahlédnutí a případnému pořízení kopií</w:t>
      </w:r>
      <w:r>
        <w:rPr>
          <w:color w:val="231F20"/>
          <w:spacing w:val="-17"/>
          <w:sz w:val="15"/>
        </w:rPr>
        <w:t xml:space="preserve"> </w:t>
      </w:r>
      <w:r>
        <w:rPr>
          <w:color w:val="231F20"/>
          <w:sz w:val="15"/>
        </w:rPr>
        <w:t>podklady rozhodné</w:t>
      </w:r>
      <w:r>
        <w:rPr>
          <w:color w:val="231F20"/>
          <w:spacing w:val="-15"/>
          <w:sz w:val="15"/>
        </w:rPr>
        <w:t xml:space="preserve"> </w:t>
      </w:r>
      <w:r>
        <w:rPr>
          <w:color w:val="231F20"/>
          <w:sz w:val="15"/>
        </w:rPr>
        <w:t>pro</w:t>
      </w:r>
      <w:r>
        <w:rPr>
          <w:color w:val="231F20"/>
          <w:spacing w:val="-14"/>
          <w:sz w:val="15"/>
        </w:rPr>
        <w:t xml:space="preserve"> </w:t>
      </w:r>
      <w:r>
        <w:rPr>
          <w:color w:val="231F20"/>
          <w:sz w:val="15"/>
        </w:rPr>
        <w:t>výpočet</w:t>
      </w:r>
      <w:r>
        <w:rPr>
          <w:color w:val="231F20"/>
          <w:spacing w:val="-14"/>
          <w:sz w:val="15"/>
        </w:rPr>
        <w:t xml:space="preserve"> </w:t>
      </w:r>
      <w:r>
        <w:rPr>
          <w:color w:val="231F20"/>
          <w:sz w:val="15"/>
        </w:rPr>
        <w:t>pojistného</w:t>
      </w:r>
      <w:r>
        <w:rPr>
          <w:color w:val="231F20"/>
          <w:spacing w:val="-15"/>
          <w:sz w:val="15"/>
        </w:rPr>
        <w:t xml:space="preserve"> </w:t>
      </w:r>
      <w:r>
        <w:rPr>
          <w:color w:val="231F20"/>
          <w:sz w:val="15"/>
        </w:rPr>
        <w:t>a</w:t>
      </w:r>
      <w:r>
        <w:rPr>
          <w:color w:val="231F20"/>
          <w:spacing w:val="-14"/>
          <w:sz w:val="15"/>
        </w:rPr>
        <w:t xml:space="preserve"> </w:t>
      </w:r>
      <w:r>
        <w:rPr>
          <w:color w:val="231F20"/>
          <w:sz w:val="15"/>
        </w:rPr>
        <w:t>další</w:t>
      </w:r>
      <w:r>
        <w:rPr>
          <w:color w:val="231F20"/>
          <w:spacing w:val="-14"/>
          <w:sz w:val="15"/>
        </w:rPr>
        <w:t xml:space="preserve"> </w:t>
      </w:r>
      <w:r>
        <w:rPr>
          <w:color w:val="231F20"/>
          <w:sz w:val="15"/>
        </w:rPr>
        <w:t>relevantní</w:t>
      </w:r>
      <w:r>
        <w:rPr>
          <w:color w:val="231F20"/>
          <w:spacing w:val="-14"/>
          <w:sz w:val="15"/>
        </w:rPr>
        <w:t xml:space="preserve"> </w:t>
      </w:r>
      <w:r>
        <w:rPr>
          <w:color w:val="231F20"/>
          <w:sz w:val="15"/>
        </w:rPr>
        <w:t>dokumentaci</w:t>
      </w:r>
      <w:r>
        <w:rPr>
          <w:color w:val="231F20"/>
          <w:spacing w:val="-15"/>
          <w:sz w:val="15"/>
        </w:rPr>
        <w:t xml:space="preserve"> </w:t>
      </w:r>
      <w:r>
        <w:rPr>
          <w:color w:val="231F20"/>
          <w:sz w:val="15"/>
        </w:rPr>
        <w:t>týkající</w:t>
      </w:r>
      <w:r>
        <w:rPr>
          <w:color w:val="231F20"/>
          <w:spacing w:val="-14"/>
          <w:sz w:val="15"/>
        </w:rPr>
        <w:t xml:space="preserve"> </w:t>
      </w:r>
      <w:r>
        <w:rPr>
          <w:color w:val="231F20"/>
          <w:spacing w:val="-6"/>
          <w:sz w:val="15"/>
        </w:rPr>
        <w:t xml:space="preserve">se </w:t>
      </w:r>
      <w:r>
        <w:rPr>
          <w:color w:val="231F20"/>
          <w:sz w:val="15"/>
        </w:rPr>
        <w:t>pojištěného</w:t>
      </w:r>
      <w:r>
        <w:rPr>
          <w:color w:val="231F20"/>
          <w:spacing w:val="-1"/>
          <w:sz w:val="15"/>
        </w:rPr>
        <w:t xml:space="preserve"> </w:t>
      </w:r>
      <w:r>
        <w:rPr>
          <w:color w:val="231F20"/>
          <w:sz w:val="15"/>
        </w:rPr>
        <w:t>vozidla;</w:t>
      </w:r>
    </w:p>
    <w:p w14:paraId="65C01B7E" w14:textId="77777777" w:rsidR="00F65BCA" w:rsidRDefault="00216117">
      <w:pPr>
        <w:pStyle w:val="Odstavecseseznamem"/>
        <w:numPr>
          <w:ilvl w:val="0"/>
          <w:numId w:val="102"/>
        </w:numPr>
        <w:tabs>
          <w:tab w:val="left" w:pos="635"/>
        </w:tabs>
        <w:spacing w:line="278" w:lineRule="auto"/>
        <w:ind w:right="424"/>
        <w:jc w:val="both"/>
        <w:rPr>
          <w:sz w:val="15"/>
        </w:rPr>
      </w:pPr>
      <w:r>
        <w:rPr>
          <w:color w:val="231F20"/>
          <w:spacing w:val="-3"/>
          <w:sz w:val="15"/>
        </w:rPr>
        <w:t>předložit</w:t>
      </w:r>
      <w:r>
        <w:rPr>
          <w:color w:val="231F20"/>
          <w:spacing w:val="-20"/>
          <w:sz w:val="15"/>
        </w:rPr>
        <w:t xml:space="preserve"> </w:t>
      </w:r>
      <w:r>
        <w:rPr>
          <w:color w:val="231F20"/>
          <w:sz w:val="15"/>
        </w:rPr>
        <w:t>Pojišťovně</w:t>
      </w:r>
      <w:r>
        <w:rPr>
          <w:color w:val="231F20"/>
          <w:spacing w:val="-20"/>
          <w:sz w:val="15"/>
        </w:rPr>
        <w:t xml:space="preserve"> </w:t>
      </w:r>
      <w:r>
        <w:rPr>
          <w:color w:val="231F20"/>
          <w:sz w:val="15"/>
        </w:rPr>
        <w:t>doklad</w:t>
      </w:r>
      <w:r>
        <w:rPr>
          <w:color w:val="231F20"/>
          <w:spacing w:val="-20"/>
          <w:sz w:val="15"/>
        </w:rPr>
        <w:t xml:space="preserve"> </w:t>
      </w:r>
      <w:r>
        <w:rPr>
          <w:color w:val="231F20"/>
          <w:sz w:val="15"/>
        </w:rPr>
        <w:t>o</w:t>
      </w:r>
      <w:r>
        <w:rPr>
          <w:color w:val="231F20"/>
          <w:spacing w:val="-19"/>
          <w:sz w:val="15"/>
        </w:rPr>
        <w:t xml:space="preserve"> </w:t>
      </w:r>
      <w:r>
        <w:rPr>
          <w:color w:val="231F20"/>
          <w:sz w:val="15"/>
        </w:rPr>
        <w:t>skutečné</w:t>
      </w:r>
      <w:r>
        <w:rPr>
          <w:color w:val="231F20"/>
          <w:spacing w:val="-20"/>
          <w:sz w:val="15"/>
        </w:rPr>
        <w:t xml:space="preserve"> </w:t>
      </w:r>
      <w:r>
        <w:rPr>
          <w:color w:val="231F20"/>
          <w:sz w:val="15"/>
        </w:rPr>
        <w:t>výši</w:t>
      </w:r>
      <w:r>
        <w:rPr>
          <w:color w:val="231F20"/>
          <w:spacing w:val="-20"/>
          <w:sz w:val="15"/>
        </w:rPr>
        <w:t xml:space="preserve"> </w:t>
      </w:r>
      <w:r>
        <w:rPr>
          <w:color w:val="231F20"/>
          <w:spacing w:val="-3"/>
          <w:sz w:val="15"/>
        </w:rPr>
        <w:t>rozhodných</w:t>
      </w:r>
      <w:r>
        <w:rPr>
          <w:color w:val="231F20"/>
          <w:spacing w:val="-20"/>
          <w:sz w:val="15"/>
        </w:rPr>
        <w:t xml:space="preserve"> </w:t>
      </w:r>
      <w:r>
        <w:rPr>
          <w:color w:val="231F20"/>
          <w:sz w:val="15"/>
        </w:rPr>
        <w:t>údajů,</w:t>
      </w:r>
      <w:r>
        <w:rPr>
          <w:color w:val="231F20"/>
          <w:spacing w:val="-19"/>
          <w:sz w:val="15"/>
        </w:rPr>
        <w:t xml:space="preserve"> </w:t>
      </w:r>
      <w:r>
        <w:rPr>
          <w:color w:val="231F20"/>
          <w:sz w:val="15"/>
        </w:rPr>
        <w:t>a</w:t>
      </w:r>
      <w:r>
        <w:rPr>
          <w:color w:val="231F20"/>
          <w:spacing w:val="-20"/>
          <w:sz w:val="15"/>
        </w:rPr>
        <w:t xml:space="preserve"> </w:t>
      </w:r>
      <w:r>
        <w:rPr>
          <w:color w:val="231F20"/>
          <w:sz w:val="15"/>
        </w:rPr>
        <w:t>to</w:t>
      </w:r>
      <w:r>
        <w:rPr>
          <w:color w:val="231F20"/>
          <w:spacing w:val="-20"/>
          <w:sz w:val="15"/>
        </w:rPr>
        <w:t xml:space="preserve"> </w:t>
      </w:r>
      <w:r>
        <w:rPr>
          <w:color w:val="231F20"/>
          <w:sz w:val="15"/>
        </w:rPr>
        <w:t>i</w:t>
      </w:r>
      <w:r>
        <w:rPr>
          <w:color w:val="231F20"/>
          <w:spacing w:val="-19"/>
          <w:sz w:val="15"/>
        </w:rPr>
        <w:t xml:space="preserve"> </w:t>
      </w:r>
      <w:r>
        <w:rPr>
          <w:color w:val="231F20"/>
          <w:sz w:val="15"/>
        </w:rPr>
        <w:t>v</w:t>
      </w:r>
      <w:r>
        <w:rPr>
          <w:color w:val="231F20"/>
          <w:spacing w:val="-20"/>
          <w:sz w:val="15"/>
        </w:rPr>
        <w:t xml:space="preserve"> </w:t>
      </w:r>
      <w:r>
        <w:rPr>
          <w:color w:val="231F20"/>
          <w:sz w:val="15"/>
        </w:rPr>
        <w:t>průbě- hu</w:t>
      </w:r>
      <w:r>
        <w:rPr>
          <w:color w:val="231F20"/>
          <w:spacing w:val="-16"/>
          <w:sz w:val="15"/>
        </w:rPr>
        <w:t xml:space="preserve"> </w:t>
      </w:r>
      <w:r>
        <w:rPr>
          <w:color w:val="231F20"/>
          <w:sz w:val="15"/>
        </w:rPr>
        <w:t>trvání</w:t>
      </w:r>
      <w:r>
        <w:rPr>
          <w:color w:val="231F20"/>
          <w:spacing w:val="-16"/>
          <w:sz w:val="15"/>
        </w:rPr>
        <w:t xml:space="preserve"> </w:t>
      </w:r>
      <w:r>
        <w:rPr>
          <w:color w:val="231F20"/>
          <w:sz w:val="15"/>
        </w:rPr>
        <w:t>pojištění,</w:t>
      </w:r>
      <w:r>
        <w:rPr>
          <w:color w:val="231F20"/>
          <w:spacing w:val="-15"/>
          <w:sz w:val="15"/>
        </w:rPr>
        <w:t xml:space="preserve"> </w:t>
      </w:r>
      <w:r>
        <w:rPr>
          <w:color w:val="231F20"/>
          <w:sz w:val="15"/>
        </w:rPr>
        <w:t>ve</w:t>
      </w:r>
      <w:r>
        <w:rPr>
          <w:color w:val="231F20"/>
          <w:spacing w:val="-16"/>
          <w:sz w:val="15"/>
        </w:rPr>
        <w:t xml:space="preserve"> </w:t>
      </w:r>
      <w:r>
        <w:rPr>
          <w:color w:val="231F20"/>
          <w:sz w:val="15"/>
        </w:rPr>
        <w:t>lhůtě</w:t>
      </w:r>
      <w:r>
        <w:rPr>
          <w:color w:val="231F20"/>
          <w:spacing w:val="-16"/>
          <w:sz w:val="15"/>
        </w:rPr>
        <w:t xml:space="preserve"> </w:t>
      </w:r>
      <w:r>
        <w:rPr>
          <w:color w:val="231F20"/>
          <w:sz w:val="15"/>
        </w:rPr>
        <w:t>1</w:t>
      </w:r>
      <w:r>
        <w:rPr>
          <w:color w:val="231F20"/>
          <w:spacing w:val="-15"/>
          <w:sz w:val="15"/>
        </w:rPr>
        <w:t xml:space="preserve"> </w:t>
      </w:r>
      <w:r>
        <w:rPr>
          <w:color w:val="231F20"/>
          <w:sz w:val="15"/>
        </w:rPr>
        <w:t>měsíce</w:t>
      </w:r>
      <w:r>
        <w:rPr>
          <w:color w:val="231F20"/>
          <w:spacing w:val="-16"/>
          <w:sz w:val="15"/>
        </w:rPr>
        <w:t xml:space="preserve"> </w:t>
      </w:r>
      <w:r>
        <w:rPr>
          <w:color w:val="231F20"/>
          <w:sz w:val="15"/>
        </w:rPr>
        <w:t>ode</w:t>
      </w:r>
      <w:r>
        <w:rPr>
          <w:color w:val="231F20"/>
          <w:spacing w:val="-16"/>
          <w:sz w:val="15"/>
        </w:rPr>
        <w:t xml:space="preserve"> </w:t>
      </w:r>
      <w:r>
        <w:rPr>
          <w:color w:val="231F20"/>
          <w:sz w:val="15"/>
        </w:rPr>
        <w:t>dne</w:t>
      </w:r>
      <w:r>
        <w:rPr>
          <w:color w:val="231F20"/>
          <w:spacing w:val="-15"/>
          <w:sz w:val="15"/>
        </w:rPr>
        <w:t xml:space="preserve"> </w:t>
      </w:r>
      <w:r>
        <w:rPr>
          <w:color w:val="231F20"/>
          <w:sz w:val="15"/>
        </w:rPr>
        <w:t>doručení</w:t>
      </w:r>
      <w:r>
        <w:rPr>
          <w:color w:val="231F20"/>
          <w:spacing w:val="-16"/>
          <w:sz w:val="15"/>
        </w:rPr>
        <w:t xml:space="preserve"> </w:t>
      </w:r>
      <w:r>
        <w:rPr>
          <w:color w:val="231F20"/>
          <w:sz w:val="15"/>
        </w:rPr>
        <w:t>žádosti</w:t>
      </w:r>
      <w:r>
        <w:rPr>
          <w:color w:val="231F20"/>
          <w:spacing w:val="-15"/>
          <w:sz w:val="15"/>
        </w:rPr>
        <w:t xml:space="preserve"> </w:t>
      </w:r>
      <w:r>
        <w:rPr>
          <w:color w:val="231F20"/>
          <w:sz w:val="15"/>
        </w:rPr>
        <w:t>Pojišťovny;</w:t>
      </w:r>
    </w:p>
    <w:p w14:paraId="15EB9FF8" w14:textId="77777777" w:rsidR="00F65BCA" w:rsidRDefault="00216117">
      <w:pPr>
        <w:pStyle w:val="Odstavecseseznamem"/>
        <w:numPr>
          <w:ilvl w:val="0"/>
          <w:numId w:val="102"/>
        </w:numPr>
        <w:tabs>
          <w:tab w:val="left" w:pos="635"/>
        </w:tabs>
        <w:spacing w:line="278" w:lineRule="auto"/>
        <w:ind w:right="424"/>
        <w:jc w:val="both"/>
        <w:rPr>
          <w:sz w:val="15"/>
        </w:rPr>
      </w:pPr>
      <w:r>
        <w:rPr>
          <w:color w:val="231F20"/>
          <w:sz w:val="15"/>
        </w:rPr>
        <w:t>v případě odcizení vozidla předat Pojišťovně příslušné usnesení policie; došlo-li</w:t>
      </w:r>
      <w:r>
        <w:rPr>
          <w:color w:val="231F20"/>
          <w:spacing w:val="-10"/>
          <w:sz w:val="15"/>
        </w:rPr>
        <w:t xml:space="preserve"> </w:t>
      </w:r>
      <w:r>
        <w:rPr>
          <w:color w:val="231F20"/>
          <w:sz w:val="15"/>
        </w:rPr>
        <w:t>k</w:t>
      </w:r>
      <w:r>
        <w:rPr>
          <w:color w:val="231F20"/>
          <w:spacing w:val="-10"/>
          <w:sz w:val="15"/>
        </w:rPr>
        <w:t xml:space="preserve"> </w:t>
      </w:r>
      <w:r>
        <w:rPr>
          <w:color w:val="231F20"/>
          <w:sz w:val="15"/>
        </w:rPr>
        <w:t>odcizení</w:t>
      </w:r>
      <w:r>
        <w:rPr>
          <w:color w:val="231F20"/>
          <w:spacing w:val="-10"/>
          <w:sz w:val="15"/>
        </w:rPr>
        <w:t xml:space="preserve"> </w:t>
      </w:r>
      <w:r>
        <w:rPr>
          <w:color w:val="231F20"/>
          <w:sz w:val="15"/>
        </w:rPr>
        <w:t>vozidla</w:t>
      </w:r>
      <w:r>
        <w:rPr>
          <w:color w:val="231F20"/>
          <w:spacing w:val="-10"/>
          <w:sz w:val="15"/>
        </w:rPr>
        <w:t xml:space="preserve"> </w:t>
      </w:r>
      <w:r>
        <w:rPr>
          <w:color w:val="231F20"/>
          <w:sz w:val="15"/>
        </w:rPr>
        <w:t>v</w:t>
      </w:r>
      <w:r>
        <w:rPr>
          <w:color w:val="231F20"/>
          <w:spacing w:val="-9"/>
          <w:sz w:val="15"/>
        </w:rPr>
        <w:t xml:space="preserve"> </w:t>
      </w:r>
      <w:r>
        <w:rPr>
          <w:color w:val="231F20"/>
          <w:sz w:val="15"/>
        </w:rPr>
        <w:t>zahraničí,</w:t>
      </w:r>
      <w:r>
        <w:rPr>
          <w:color w:val="231F20"/>
          <w:spacing w:val="-10"/>
          <w:sz w:val="15"/>
        </w:rPr>
        <w:t xml:space="preserve"> </w:t>
      </w:r>
      <w:r>
        <w:rPr>
          <w:color w:val="231F20"/>
          <w:sz w:val="15"/>
        </w:rPr>
        <w:t>předat</w:t>
      </w:r>
      <w:r>
        <w:rPr>
          <w:color w:val="231F20"/>
          <w:spacing w:val="-10"/>
          <w:sz w:val="15"/>
        </w:rPr>
        <w:t xml:space="preserve"> </w:t>
      </w:r>
      <w:r>
        <w:rPr>
          <w:color w:val="231F20"/>
          <w:sz w:val="15"/>
        </w:rPr>
        <w:t>Pojišťovně</w:t>
      </w:r>
      <w:r>
        <w:rPr>
          <w:color w:val="231F20"/>
          <w:spacing w:val="-10"/>
          <w:sz w:val="15"/>
        </w:rPr>
        <w:t xml:space="preserve"> </w:t>
      </w:r>
      <w:r>
        <w:rPr>
          <w:color w:val="231F20"/>
          <w:sz w:val="15"/>
        </w:rPr>
        <w:t>doklad</w:t>
      </w:r>
      <w:r>
        <w:rPr>
          <w:color w:val="231F20"/>
          <w:spacing w:val="-9"/>
          <w:sz w:val="15"/>
        </w:rPr>
        <w:t xml:space="preserve"> </w:t>
      </w:r>
      <w:r>
        <w:rPr>
          <w:color w:val="231F20"/>
          <w:sz w:val="15"/>
        </w:rPr>
        <w:t>o</w:t>
      </w:r>
      <w:r>
        <w:rPr>
          <w:color w:val="231F20"/>
          <w:spacing w:val="-10"/>
          <w:sz w:val="15"/>
        </w:rPr>
        <w:t xml:space="preserve"> </w:t>
      </w:r>
      <w:r>
        <w:rPr>
          <w:color w:val="231F20"/>
          <w:sz w:val="15"/>
        </w:rPr>
        <w:t>přijatém oznámení</w:t>
      </w:r>
      <w:r>
        <w:rPr>
          <w:color w:val="231F20"/>
          <w:spacing w:val="-16"/>
          <w:sz w:val="15"/>
        </w:rPr>
        <w:t xml:space="preserve"> </w:t>
      </w:r>
      <w:r>
        <w:rPr>
          <w:color w:val="231F20"/>
          <w:sz w:val="15"/>
        </w:rPr>
        <w:t>o</w:t>
      </w:r>
      <w:r>
        <w:rPr>
          <w:color w:val="231F20"/>
          <w:spacing w:val="-16"/>
          <w:sz w:val="15"/>
        </w:rPr>
        <w:t xml:space="preserve"> </w:t>
      </w:r>
      <w:r>
        <w:rPr>
          <w:color w:val="231F20"/>
          <w:sz w:val="15"/>
        </w:rPr>
        <w:t>odcizení</w:t>
      </w:r>
      <w:r>
        <w:rPr>
          <w:color w:val="231F20"/>
          <w:spacing w:val="-16"/>
          <w:sz w:val="15"/>
        </w:rPr>
        <w:t xml:space="preserve"> </w:t>
      </w:r>
      <w:r>
        <w:rPr>
          <w:color w:val="231F20"/>
          <w:sz w:val="15"/>
        </w:rPr>
        <w:t>vozidla</w:t>
      </w:r>
      <w:r>
        <w:rPr>
          <w:color w:val="231F20"/>
          <w:spacing w:val="-16"/>
          <w:sz w:val="15"/>
        </w:rPr>
        <w:t xml:space="preserve"> </w:t>
      </w:r>
      <w:r>
        <w:rPr>
          <w:color w:val="231F20"/>
          <w:sz w:val="15"/>
        </w:rPr>
        <w:t>policií</w:t>
      </w:r>
      <w:r>
        <w:rPr>
          <w:color w:val="231F20"/>
          <w:spacing w:val="-15"/>
          <w:sz w:val="15"/>
        </w:rPr>
        <w:t xml:space="preserve"> </w:t>
      </w:r>
      <w:r>
        <w:rPr>
          <w:color w:val="231F20"/>
          <w:sz w:val="15"/>
        </w:rPr>
        <w:t>země,</w:t>
      </w:r>
      <w:r>
        <w:rPr>
          <w:color w:val="231F20"/>
          <w:spacing w:val="-16"/>
          <w:sz w:val="15"/>
        </w:rPr>
        <w:t xml:space="preserve"> </w:t>
      </w:r>
      <w:r>
        <w:rPr>
          <w:color w:val="231F20"/>
          <w:sz w:val="15"/>
        </w:rPr>
        <w:t>ve</w:t>
      </w:r>
      <w:r>
        <w:rPr>
          <w:color w:val="231F20"/>
          <w:spacing w:val="-16"/>
          <w:sz w:val="15"/>
        </w:rPr>
        <w:t xml:space="preserve"> </w:t>
      </w:r>
      <w:r>
        <w:rPr>
          <w:color w:val="231F20"/>
          <w:sz w:val="15"/>
        </w:rPr>
        <w:t>které</w:t>
      </w:r>
      <w:r>
        <w:rPr>
          <w:color w:val="231F20"/>
          <w:spacing w:val="-16"/>
          <w:sz w:val="15"/>
        </w:rPr>
        <w:t xml:space="preserve"> </w:t>
      </w:r>
      <w:r>
        <w:rPr>
          <w:color w:val="231F20"/>
          <w:sz w:val="15"/>
        </w:rPr>
        <w:t>k</w:t>
      </w:r>
      <w:r>
        <w:rPr>
          <w:color w:val="231F20"/>
          <w:spacing w:val="-16"/>
          <w:sz w:val="15"/>
        </w:rPr>
        <w:t xml:space="preserve"> </w:t>
      </w:r>
      <w:r>
        <w:rPr>
          <w:color w:val="231F20"/>
          <w:sz w:val="15"/>
        </w:rPr>
        <w:t>odcizení</w:t>
      </w:r>
      <w:r>
        <w:rPr>
          <w:color w:val="231F20"/>
          <w:spacing w:val="-15"/>
          <w:sz w:val="15"/>
        </w:rPr>
        <w:t xml:space="preserve"> </w:t>
      </w:r>
      <w:r>
        <w:rPr>
          <w:color w:val="231F20"/>
          <w:sz w:val="15"/>
        </w:rPr>
        <w:t>došlo</w:t>
      </w:r>
      <w:r>
        <w:rPr>
          <w:color w:val="231F20"/>
          <w:spacing w:val="-16"/>
          <w:sz w:val="15"/>
        </w:rPr>
        <w:t xml:space="preserve"> </w:t>
      </w:r>
      <w:r>
        <w:rPr>
          <w:color w:val="231F20"/>
          <w:sz w:val="15"/>
        </w:rPr>
        <w:t>a</w:t>
      </w:r>
      <w:r>
        <w:rPr>
          <w:color w:val="231F20"/>
          <w:spacing w:val="-16"/>
          <w:sz w:val="15"/>
        </w:rPr>
        <w:t xml:space="preserve"> </w:t>
      </w:r>
      <w:r>
        <w:rPr>
          <w:color w:val="231F20"/>
          <w:spacing w:val="-3"/>
          <w:sz w:val="15"/>
        </w:rPr>
        <w:t xml:space="preserve">výsle- </w:t>
      </w:r>
      <w:r>
        <w:rPr>
          <w:color w:val="231F20"/>
          <w:sz w:val="15"/>
        </w:rPr>
        <w:t>dek jejího</w:t>
      </w:r>
      <w:r>
        <w:rPr>
          <w:color w:val="231F20"/>
          <w:spacing w:val="-2"/>
          <w:sz w:val="15"/>
        </w:rPr>
        <w:t xml:space="preserve"> </w:t>
      </w:r>
      <w:r>
        <w:rPr>
          <w:color w:val="231F20"/>
          <w:sz w:val="15"/>
        </w:rPr>
        <w:t>šetření.</w:t>
      </w:r>
    </w:p>
    <w:p w14:paraId="0B64B5DA" w14:textId="77777777" w:rsidR="00F65BCA" w:rsidRDefault="00216117">
      <w:pPr>
        <w:pStyle w:val="Zkladntext"/>
        <w:spacing w:line="278" w:lineRule="auto"/>
        <w:ind w:left="464"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position w:val="1"/>
          <w:sz w:val="14"/>
        </w:rPr>
        <w:t xml:space="preserve"> </w:t>
      </w:r>
      <w:r>
        <w:rPr>
          <w:color w:val="231F20"/>
        </w:rPr>
        <w:t>Pojistník, pojištěný nebo oprávněná osoba jsou povinni bez zbytečného od- kladu</w:t>
      </w:r>
      <w:r>
        <w:rPr>
          <w:color w:val="231F20"/>
          <w:spacing w:val="-15"/>
        </w:rPr>
        <w:t xml:space="preserve"> </w:t>
      </w:r>
      <w:r>
        <w:rPr>
          <w:color w:val="231F20"/>
        </w:rPr>
        <w:t>oznámit</w:t>
      </w:r>
      <w:r>
        <w:rPr>
          <w:color w:val="231F20"/>
          <w:spacing w:val="-14"/>
        </w:rPr>
        <w:t xml:space="preserve"> </w:t>
      </w:r>
      <w:r>
        <w:rPr>
          <w:color w:val="231F20"/>
        </w:rPr>
        <w:t>Pojišťovně,</w:t>
      </w:r>
      <w:r>
        <w:rPr>
          <w:color w:val="231F20"/>
          <w:spacing w:val="-14"/>
        </w:rPr>
        <w:t xml:space="preserve"> </w:t>
      </w:r>
      <w:r>
        <w:rPr>
          <w:color w:val="231F20"/>
        </w:rPr>
        <w:t>že</w:t>
      </w:r>
      <w:r>
        <w:rPr>
          <w:color w:val="231F20"/>
          <w:spacing w:val="-15"/>
        </w:rPr>
        <w:t xml:space="preserve"> </w:t>
      </w:r>
      <w:r>
        <w:rPr>
          <w:color w:val="231F20"/>
        </w:rPr>
        <w:t>se</w:t>
      </w:r>
      <w:r>
        <w:rPr>
          <w:color w:val="231F20"/>
          <w:spacing w:val="-14"/>
        </w:rPr>
        <w:t xml:space="preserve"> </w:t>
      </w:r>
      <w:r>
        <w:rPr>
          <w:color w:val="231F20"/>
        </w:rPr>
        <w:t>našla</w:t>
      </w:r>
      <w:r>
        <w:rPr>
          <w:color w:val="231F20"/>
          <w:spacing w:val="-14"/>
        </w:rPr>
        <w:t xml:space="preserve"> </w:t>
      </w:r>
      <w:r>
        <w:rPr>
          <w:color w:val="231F20"/>
        </w:rPr>
        <w:t>odcizená</w:t>
      </w:r>
      <w:r>
        <w:rPr>
          <w:color w:val="231F20"/>
          <w:spacing w:val="-14"/>
        </w:rPr>
        <w:t xml:space="preserve"> </w:t>
      </w:r>
      <w:r>
        <w:rPr>
          <w:color w:val="231F20"/>
        </w:rPr>
        <w:t>nebo</w:t>
      </w:r>
      <w:r>
        <w:rPr>
          <w:color w:val="231F20"/>
          <w:spacing w:val="-15"/>
        </w:rPr>
        <w:t xml:space="preserve"> </w:t>
      </w:r>
      <w:r>
        <w:rPr>
          <w:color w:val="231F20"/>
        </w:rPr>
        <w:t>pohřešovaná</w:t>
      </w:r>
      <w:r>
        <w:rPr>
          <w:color w:val="231F20"/>
          <w:spacing w:val="-14"/>
        </w:rPr>
        <w:t xml:space="preserve"> </w:t>
      </w:r>
      <w:r>
        <w:rPr>
          <w:color w:val="231F20"/>
        </w:rPr>
        <w:t>věc,</w:t>
      </w:r>
      <w:r>
        <w:rPr>
          <w:color w:val="231F20"/>
          <w:spacing w:val="-14"/>
        </w:rPr>
        <w:t xml:space="preserve"> </w:t>
      </w:r>
      <w:r>
        <w:rPr>
          <w:color w:val="231F20"/>
        </w:rPr>
        <w:t>jíž</w:t>
      </w:r>
      <w:r>
        <w:rPr>
          <w:color w:val="231F20"/>
          <w:spacing w:val="-15"/>
        </w:rPr>
        <w:t xml:space="preserve"> </w:t>
      </w:r>
      <w:r>
        <w:rPr>
          <w:color w:val="231F20"/>
          <w:spacing w:val="-6"/>
        </w:rPr>
        <w:t xml:space="preserve">se </w:t>
      </w:r>
      <w:r>
        <w:rPr>
          <w:color w:val="231F20"/>
          <w:spacing w:val="2"/>
        </w:rPr>
        <w:t xml:space="preserve">týká </w:t>
      </w:r>
      <w:r>
        <w:rPr>
          <w:color w:val="231F20"/>
        </w:rPr>
        <w:t xml:space="preserve">pojistná událost. V případě již </w:t>
      </w:r>
      <w:r>
        <w:rPr>
          <w:color w:val="231F20"/>
          <w:spacing w:val="2"/>
        </w:rPr>
        <w:t xml:space="preserve">vyplaceného </w:t>
      </w:r>
      <w:r>
        <w:rPr>
          <w:color w:val="231F20"/>
        </w:rPr>
        <w:t>pojistného plnění za tuto věc, má oprávněná osoba povinnost ho Pojišťovně vrátit, není-li dohodnuto s Pojišťovnou</w:t>
      </w:r>
      <w:r>
        <w:rPr>
          <w:color w:val="231F20"/>
          <w:spacing w:val="-1"/>
        </w:rPr>
        <w:t xml:space="preserve"> </w:t>
      </w:r>
      <w:r>
        <w:rPr>
          <w:color w:val="231F20"/>
        </w:rPr>
        <w:t>jinak.</w:t>
      </w:r>
    </w:p>
    <w:p w14:paraId="31A12DFC" w14:textId="77777777" w:rsidR="00F65BCA" w:rsidRDefault="00216117">
      <w:pPr>
        <w:pStyle w:val="Zkladntext"/>
        <w:spacing w:line="278" w:lineRule="auto"/>
        <w:ind w:left="464"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21"/>
          <w:position w:val="1"/>
          <w:sz w:val="14"/>
        </w:rPr>
        <w:t xml:space="preserve"> </w:t>
      </w:r>
      <w:r>
        <w:rPr>
          <w:color w:val="231F20"/>
        </w:rPr>
        <w:t>Bylo-li</w:t>
      </w:r>
      <w:r>
        <w:rPr>
          <w:color w:val="231F20"/>
          <w:spacing w:val="-9"/>
        </w:rPr>
        <w:t xml:space="preserve"> </w:t>
      </w:r>
      <w:r>
        <w:rPr>
          <w:color w:val="231F20"/>
        </w:rPr>
        <w:t>v</w:t>
      </w:r>
      <w:r>
        <w:rPr>
          <w:color w:val="231F20"/>
          <w:spacing w:val="-9"/>
        </w:rPr>
        <w:t xml:space="preserve"> </w:t>
      </w:r>
      <w:r>
        <w:rPr>
          <w:color w:val="231F20"/>
        </w:rPr>
        <w:t>důsledku</w:t>
      </w:r>
      <w:r>
        <w:rPr>
          <w:color w:val="231F20"/>
          <w:spacing w:val="-9"/>
        </w:rPr>
        <w:t xml:space="preserve"> </w:t>
      </w:r>
      <w:r>
        <w:rPr>
          <w:color w:val="231F20"/>
        </w:rPr>
        <w:t>porušení</w:t>
      </w:r>
      <w:r>
        <w:rPr>
          <w:color w:val="231F20"/>
          <w:spacing w:val="-9"/>
        </w:rPr>
        <w:t xml:space="preserve"> </w:t>
      </w:r>
      <w:r>
        <w:rPr>
          <w:color w:val="231F20"/>
        </w:rPr>
        <w:t>povinnosti</w:t>
      </w:r>
      <w:r>
        <w:rPr>
          <w:color w:val="231F20"/>
          <w:spacing w:val="-9"/>
        </w:rPr>
        <w:t xml:space="preserve"> </w:t>
      </w:r>
      <w:r>
        <w:rPr>
          <w:color w:val="231F20"/>
        </w:rPr>
        <w:t>pojistníka</w:t>
      </w:r>
      <w:r>
        <w:rPr>
          <w:color w:val="231F20"/>
          <w:spacing w:val="-9"/>
        </w:rPr>
        <w:t xml:space="preserve"> </w:t>
      </w:r>
      <w:r>
        <w:rPr>
          <w:color w:val="231F20"/>
        </w:rPr>
        <w:t>nebo</w:t>
      </w:r>
      <w:r>
        <w:rPr>
          <w:color w:val="231F20"/>
          <w:spacing w:val="-9"/>
        </w:rPr>
        <w:t xml:space="preserve"> </w:t>
      </w:r>
      <w:r>
        <w:rPr>
          <w:color w:val="231F20"/>
        </w:rPr>
        <w:t>pojištěného</w:t>
      </w:r>
      <w:r>
        <w:rPr>
          <w:color w:val="231F20"/>
          <w:spacing w:val="-9"/>
        </w:rPr>
        <w:t xml:space="preserve"> </w:t>
      </w:r>
      <w:r>
        <w:rPr>
          <w:color w:val="231F20"/>
        </w:rPr>
        <w:t>při</w:t>
      </w:r>
      <w:r>
        <w:rPr>
          <w:color w:val="231F20"/>
          <w:spacing w:val="-9"/>
        </w:rPr>
        <w:t xml:space="preserve"> </w:t>
      </w:r>
      <w:r>
        <w:rPr>
          <w:color w:val="231F20"/>
        </w:rPr>
        <w:t>jednání o</w:t>
      </w:r>
      <w:r>
        <w:rPr>
          <w:color w:val="231F20"/>
          <w:spacing w:val="-19"/>
        </w:rPr>
        <w:t xml:space="preserve"> </w:t>
      </w:r>
      <w:r>
        <w:rPr>
          <w:color w:val="231F20"/>
        </w:rPr>
        <w:t>uzavření</w:t>
      </w:r>
      <w:r>
        <w:rPr>
          <w:color w:val="231F20"/>
          <w:spacing w:val="-19"/>
        </w:rPr>
        <w:t xml:space="preserve"> </w:t>
      </w:r>
      <w:r>
        <w:rPr>
          <w:color w:val="231F20"/>
        </w:rPr>
        <w:t>pojistné</w:t>
      </w:r>
      <w:r>
        <w:rPr>
          <w:color w:val="231F20"/>
          <w:spacing w:val="-19"/>
        </w:rPr>
        <w:t xml:space="preserve"> </w:t>
      </w:r>
      <w:r>
        <w:rPr>
          <w:color w:val="231F20"/>
        </w:rPr>
        <w:t>smlouvy</w:t>
      </w:r>
      <w:r>
        <w:rPr>
          <w:color w:val="231F20"/>
          <w:spacing w:val="-18"/>
        </w:rPr>
        <w:t xml:space="preserve"> </w:t>
      </w:r>
      <w:r>
        <w:rPr>
          <w:color w:val="231F20"/>
        </w:rPr>
        <w:t>nebo</w:t>
      </w:r>
      <w:r>
        <w:rPr>
          <w:color w:val="231F20"/>
          <w:spacing w:val="-19"/>
        </w:rPr>
        <w:t xml:space="preserve"> </w:t>
      </w:r>
      <w:r>
        <w:rPr>
          <w:color w:val="231F20"/>
        </w:rPr>
        <w:t>o</w:t>
      </w:r>
      <w:r>
        <w:rPr>
          <w:color w:val="231F20"/>
          <w:spacing w:val="-19"/>
        </w:rPr>
        <w:t xml:space="preserve"> </w:t>
      </w:r>
      <w:r>
        <w:rPr>
          <w:color w:val="231F20"/>
        </w:rPr>
        <w:t>její</w:t>
      </w:r>
      <w:r>
        <w:rPr>
          <w:color w:val="231F20"/>
          <w:spacing w:val="-19"/>
        </w:rPr>
        <w:t xml:space="preserve"> </w:t>
      </w:r>
      <w:r>
        <w:rPr>
          <w:color w:val="231F20"/>
        </w:rPr>
        <w:t>změně</w:t>
      </w:r>
      <w:r>
        <w:rPr>
          <w:color w:val="231F20"/>
          <w:spacing w:val="-18"/>
        </w:rPr>
        <w:t xml:space="preserve"> </w:t>
      </w:r>
      <w:r>
        <w:rPr>
          <w:color w:val="231F20"/>
        </w:rPr>
        <w:t>ujednáno</w:t>
      </w:r>
      <w:r>
        <w:rPr>
          <w:color w:val="231F20"/>
          <w:spacing w:val="-19"/>
        </w:rPr>
        <w:t xml:space="preserve"> </w:t>
      </w:r>
      <w:r>
        <w:rPr>
          <w:color w:val="231F20"/>
        </w:rPr>
        <w:t>nižší</w:t>
      </w:r>
      <w:r>
        <w:rPr>
          <w:color w:val="231F20"/>
          <w:spacing w:val="-19"/>
        </w:rPr>
        <w:t xml:space="preserve"> </w:t>
      </w:r>
      <w:r>
        <w:rPr>
          <w:color w:val="231F20"/>
        </w:rPr>
        <w:t>pojistné,</w:t>
      </w:r>
      <w:r>
        <w:rPr>
          <w:color w:val="231F20"/>
          <w:spacing w:val="-19"/>
        </w:rPr>
        <w:t xml:space="preserve"> </w:t>
      </w:r>
      <w:r>
        <w:rPr>
          <w:color w:val="231F20"/>
        </w:rPr>
        <w:t>má</w:t>
      </w:r>
      <w:r>
        <w:rPr>
          <w:color w:val="231F20"/>
          <w:spacing w:val="-18"/>
        </w:rPr>
        <w:t xml:space="preserve"> </w:t>
      </w:r>
      <w:r>
        <w:rPr>
          <w:color w:val="231F20"/>
        </w:rPr>
        <w:t>Po- jišťovna</w:t>
      </w:r>
      <w:r>
        <w:rPr>
          <w:color w:val="231F20"/>
          <w:spacing w:val="-11"/>
        </w:rPr>
        <w:t xml:space="preserve"> </w:t>
      </w:r>
      <w:r>
        <w:rPr>
          <w:color w:val="231F20"/>
        </w:rPr>
        <w:t>právo</w:t>
      </w:r>
      <w:r>
        <w:rPr>
          <w:color w:val="231F20"/>
          <w:spacing w:val="-10"/>
        </w:rPr>
        <w:t xml:space="preserve"> </w:t>
      </w:r>
      <w:r>
        <w:rPr>
          <w:color w:val="231F20"/>
        </w:rPr>
        <w:t>pojistné</w:t>
      </w:r>
      <w:r>
        <w:rPr>
          <w:color w:val="231F20"/>
          <w:spacing w:val="-10"/>
        </w:rPr>
        <w:t xml:space="preserve"> </w:t>
      </w:r>
      <w:r>
        <w:rPr>
          <w:color w:val="231F20"/>
        </w:rPr>
        <w:t>plnění</w:t>
      </w:r>
      <w:r>
        <w:rPr>
          <w:color w:val="231F20"/>
          <w:spacing w:val="-11"/>
        </w:rPr>
        <w:t xml:space="preserve"> </w:t>
      </w:r>
      <w:r>
        <w:rPr>
          <w:color w:val="231F20"/>
        </w:rPr>
        <w:t>snížit</w:t>
      </w:r>
      <w:r>
        <w:rPr>
          <w:color w:val="231F20"/>
          <w:spacing w:val="-10"/>
        </w:rPr>
        <w:t xml:space="preserve"> </w:t>
      </w:r>
      <w:r>
        <w:rPr>
          <w:color w:val="231F20"/>
        </w:rPr>
        <w:t>o</w:t>
      </w:r>
      <w:r>
        <w:rPr>
          <w:color w:val="231F20"/>
          <w:spacing w:val="-10"/>
        </w:rPr>
        <w:t xml:space="preserve"> </w:t>
      </w:r>
      <w:r>
        <w:rPr>
          <w:color w:val="231F20"/>
        </w:rPr>
        <w:t>takovou</w:t>
      </w:r>
      <w:r>
        <w:rPr>
          <w:color w:val="231F20"/>
          <w:spacing w:val="-10"/>
        </w:rPr>
        <w:t xml:space="preserve"> </w:t>
      </w:r>
      <w:r>
        <w:rPr>
          <w:color w:val="231F20"/>
        </w:rPr>
        <w:t>část,</w:t>
      </w:r>
      <w:r>
        <w:rPr>
          <w:color w:val="231F20"/>
          <w:spacing w:val="-10"/>
        </w:rPr>
        <w:t xml:space="preserve"> </w:t>
      </w:r>
      <w:r>
        <w:rPr>
          <w:color w:val="231F20"/>
        </w:rPr>
        <w:t>jaký</w:t>
      </w:r>
      <w:r>
        <w:rPr>
          <w:color w:val="231F20"/>
          <w:spacing w:val="-11"/>
        </w:rPr>
        <w:t xml:space="preserve"> </w:t>
      </w:r>
      <w:r>
        <w:rPr>
          <w:color w:val="231F20"/>
        </w:rPr>
        <w:t>je</w:t>
      </w:r>
      <w:r>
        <w:rPr>
          <w:color w:val="231F20"/>
          <w:spacing w:val="-10"/>
        </w:rPr>
        <w:t xml:space="preserve"> </w:t>
      </w:r>
      <w:r>
        <w:rPr>
          <w:color w:val="231F20"/>
        </w:rPr>
        <w:t>poměr</w:t>
      </w:r>
      <w:r>
        <w:rPr>
          <w:color w:val="231F20"/>
          <w:spacing w:val="-10"/>
        </w:rPr>
        <w:t xml:space="preserve"> </w:t>
      </w:r>
      <w:r>
        <w:rPr>
          <w:color w:val="231F20"/>
        </w:rPr>
        <w:t>pojistného, které obdržel, k pojistnému, které měl</w:t>
      </w:r>
      <w:r>
        <w:rPr>
          <w:color w:val="231F20"/>
          <w:spacing w:val="-9"/>
        </w:rPr>
        <w:t xml:space="preserve"> </w:t>
      </w:r>
      <w:r>
        <w:rPr>
          <w:color w:val="231F20"/>
        </w:rPr>
        <w:t>obdržet.</w:t>
      </w:r>
    </w:p>
    <w:p w14:paraId="0F6DE275" w14:textId="77777777" w:rsidR="00F65BCA" w:rsidRDefault="00216117">
      <w:pPr>
        <w:pStyle w:val="Zkladntext"/>
        <w:spacing w:line="278" w:lineRule="auto"/>
        <w:ind w:left="464"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spacing w:val="3"/>
          <w:position w:val="1"/>
          <w:sz w:val="14"/>
        </w:rPr>
        <w:t xml:space="preserve"> </w:t>
      </w:r>
      <w:r>
        <w:rPr>
          <w:color w:val="231F20"/>
        </w:rPr>
        <w:t>V</w:t>
      </w:r>
      <w:r>
        <w:rPr>
          <w:color w:val="231F20"/>
          <w:spacing w:val="-20"/>
        </w:rPr>
        <w:t xml:space="preserve"> </w:t>
      </w:r>
      <w:r>
        <w:rPr>
          <w:color w:val="231F20"/>
        </w:rPr>
        <w:t>případě</w:t>
      </w:r>
      <w:r>
        <w:rPr>
          <w:color w:val="231F20"/>
          <w:spacing w:val="-19"/>
        </w:rPr>
        <w:t xml:space="preserve"> </w:t>
      </w:r>
      <w:r>
        <w:rPr>
          <w:color w:val="231F20"/>
        </w:rPr>
        <w:t>porušení</w:t>
      </w:r>
      <w:r>
        <w:rPr>
          <w:color w:val="231F20"/>
          <w:spacing w:val="-19"/>
        </w:rPr>
        <w:t xml:space="preserve"> </w:t>
      </w:r>
      <w:r>
        <w:rPr>
          <w:color w:val="231F20"/>
        </w:rPr>
        <w:t>povinnosti</w:t>
      </w:r>
      <w:r>
        <w:rPr>
          <w:color w:val="231F20"/>
          <w:spacing w:val="-20"/>
        </w:rPr>
        <w:t xml:space="preserve"> </w:t>
      </w:r>
      <w:r>
        <w:rPr>
          <w:color w:val="231F20"/>
        </w:rPr>
        <w:t>oznámit</w:t>
      </w:r>
      <w:r>
        <w:rPr>
          <w:color w:val="231F20"/>
          <w:spacing w:val="-19"/>
        </w:rPr>
        <w:t xml:space="preserve"> </w:t>
      </w:r>
      <w:r>
        <w:rPr>
          <w:color w:val="231F20"/>
        </w:rPr>
        <w:t>zvýšení</w:t>
      </w:r>
      <w:r>
        <w:rPr>
          <w:color w:val="231F20"/>
          <w:spacing w:val="-20"/>
        </w:rPr>
        <w:t xml:space="preserve"> </w:t>
      </w:r>
      <w:r>
        <w:rPr>
          <w:color w:val="231F20"/>
        </w:rPr>
        <w:t>pojistného</w:t>
      </w:r>
      <w:r>
        <w:rPr>
          <w:color w:val="231F20"/>
          <w:spacing w:val="-19"/>
        </w:rPr>
        <w:t xml:space="preserve"> </w:t>
      </w:r>
      <w:r>
        <w:rPr>
          <w:color w:val="231F20"/>
        </w:rPr>
        <w:t>rizika</w:t>
      </w:r>
      <w:r>
        <w:rPr>
          <w:color w:val="231F20"/>
          <w:spacing w:val="-19"/>
        </w:rPr>
        <w:t xml:space="preserve"> </w:t>
      </w:r>
      <w:r>
        <w:rPr>
          <w:color w:val="231F20"/>
        </w:rPr>
        <w:t>má</w:t>
      </w:r>
      <w:r>
        <w:rPr>
          <w:color w:val="231F20"/>
          <w:spacing w:val="-20"/>
        </w:rPr>
        <w:t xml:space="preserve"> </w:t>
      </w:r>
      <w:r>
        <w:rPr>
          <w:color w:val="231F20"/>
        </w:rPr>
        <w:t>Pojišťovna právo:</w:t>
      </w:r>
    </w:p>
    <w:p w14:paraId="0595680B" w14:textId="77777777" w:rsidR="00F65BCA" w:rsidRDefault="00216117">
      <w:pPr>
        <w:pStyle w:val="Odstavecseseznamem"/>
        <w:numPr>
          <w:ilvl w:val="0"/>
          <w:numId w:val="101"/>
        </w:numPr>
        <w:tabs>
          <w:tab w:val="left" w:pos="635"/>
        </w:tabs>
        <w:spacing w:line="278" w:lineRule="auto"/>
        <w:ind w:right="425"/>
        <w:jc w:val="both"/>
        <w:rPr>
          <w:sz w:val="15"/>
        </w:rPr>
      </w:pPr>
      <w:r>
        <w:rPr>
          <w:color w:val="231F20"/>
          <w:sz w:val="15"/>
        </w:rPr>
        <w:t>vypovědět pojištění jednotlivého vozidla bez výpovědní doby; vypoví-li Pojišťovna</w:t>
      </w:r>
      <w:r>
        <w:rPr>
          <w:color w:val="231F20"/>
          <w:spacing w:val="-28"/>
          <w:sz w:val="15"/>
        </w:rPr>
        <w:t xml:space="preserve"> </w:t>
      </w:r>
      <w:r>
        <w:rPr>
          <w:color w:val="231F20"/>
          <w:sz w:val="15"/>
        </w:rPr>
        <w:t>pojištění,</w:t>
      </w:r>
      <w:r>
        <w:rPr>
          <w:color w:val="231F20"/>
          <w:spacing w:val="-27"/>
          <w:sz w:val="15"/>
        </w:rPr>
        <w:t xml:space="preserve"> </w:t>
      </w:r>
      <w:r>
        <w:rPr>
          <w:color w:val="231F20"/>
          <w:sz w:val="15"/>
        </w:rPr>
        <w:t>náleží</w:t>
      </w:r>
      <w:r>
        <w:rPr>
          <w:color w:val="231F20"/>
          <w:spacing w:val="-27"/>
          <w:sz w:val="15"/>
        </w:rPr>
        <w:t xml:space="preserve"> </w:t>
      </w:r>
      <w:r>
        <w:rPr>
          <w:color w:val="231F20"/>
          <w:sz w:val="15"/>
        </w:rPr>
        <w:t>jí</w:t>
      </w:r>
      <w:r>
        <w:rPr>
          <w:color w:val="231F20"/>
          <w:spacing w:val="-28"/>
          <w:sz w:val="15"/>
        </w:rPr>
        <w:t xml:space="preserve"> </w:t>
      </w:r>
      <w:r>
        <w:rPr>
          <w:color w:val="231F20"/>
          <w:sz w:val="15"/>
        </w:rPr>
        <w:t>pojistné</w:t>
      </w:r>
      <w:r>
        <w:rPr>
          <w:color w:val="231F20"/>
          <w:spacing w:val="-27"/>
          <w:sz w:val="15"/>
        </w:rPr>
        <w:t xml:space="preserve"> </w:t>
      </w:r>
      <w:r>
        <w:rPr>
          <w:color w:val="231F20"/>
          <w:sz w:val="15"/>
        </w:rPr>
        <w:t>až</w:t>
      </w:r>
      <w:r>
        <w:rPr>
          <w:color w:val="231F20"/>
          <w:spacing w:val="-27"/>
          <w:sz w:val="15"/>
        </w:rPr>
        <w:t xml:space="preserve"> </w:t>
      </w:r>
      <w:r>
        <w:rPr>
          <w:color w:val="231F20"/>
          <w:sz w:val="15"/>
        </w:rPr>
        <w:t>do</w:t>
      </w:r>
      <w:r>
        <w:rPr>
          <w:color w:val="231F20"/>
          <w:spacing w:val="-28"/>
          <w:sz w:val="15"/>
        </w:rPr>
        <w:t xml:space="preserve"> </w:t>
      </w:r>
      <w:r>
        <w:rPr>
          <w:color w:val="231F20"/>
          <w:sz w:val="15"/>
        </w:rPr>
        <w:t>konce</w:t>
      </w:r>
      <w:r>
        <w:rPr>
          <w:color w:val="231F20"/>
          <w:spacing w:val="-27"/>
          <w:sz w:val="15"/>
        </w:rPr>
        <w:t xml:space="preserve"> </w:t>
      </w:r>
      <w:r>
        <w:rPr>
          <w:color w:val="231F20"/>
          <w:sz w:val="15"/>
        </w:rPr>
        <w:t>pojistného</w:t>
      </w:r>
      <w:r>
        <w:rPr>
          <w:color w:val="231F20"/>
          <w:spacing w:val="-27"/>
          <w:sz w:val="15"/>
        </w:rPr>
        <w:t xml:space="preserve"> </w:t>
      </w:r>
      <w:r>
        <w:rPr>
          <w:color w:val="231F20"/>
          <w:sz w:val="15"/>
        </w:rPr>
        <w:t>období,</w:t>
      </w:r>
      <w:r>
        <w:rPr>
          <w:color w:val="231F20"/>
          <w:spacing w:val="-27"/>
          <w:sz w:val="15"/>
        </w:rPr>
        <w:t xml:space="preserve"> </w:t>
      </w:r>
      <w:r>
        <w:rPr>
          <w:color w:val="231F20"/>
          <w:sz w:val="15"/>
        </w:rPr>
        <w:t>v</w:t>
      </w:r>
      <w:r>
        <w:rPr>
          <w:color w:val="231F20"/>
          <w:spacing w:val="-28"/>
          <w:sz w:val="15"/>
        </w:rPr>
        <w:t xml:space="preserve"> </w:t>
      </w:r>
      <w:r>
        <w:rPr>
          <w:color w:val="231F20"/>
          <w:sz w:val="15"/>
        </w:rPr>
        <w:t xml:space="preserve">němž </w:t>
      </w:r>
      <w:r>
        <w:rPr>
          <w:color w:val="231F20"/>
          <w:w w:val="95"/>
          <w:sz w:val="15"/>
        </w:rPr>
        <w:t>pojištění</w:t>
      </w:r>
      <w:r>
        <w:rPr>
          <w:color w:val="231F20"/>
          <w:spacing w:val="-13"/>
          <w:w w:val="95"/>
          <w:sz w:val="15"/>
        </w:rPr>
        <w:t xml:space="preserve"> </w:t>
      </w:r>
      <w:r>
        <w:rPr>
          <w:color w:val="231F20"/>
          <w:w w:val="95"/>
          <w:sz w:val="15"/>
        </w:rPr>
        <w:t>zaniklo;</w:t>
      </w:r>
      <w:r>
        <w:rPr>
          <w:color w:val="231F20"/>
          <w:spacing w:val="-12"/>
          <w:w w:val="95"/>
          <w:sz w:val="15"/>
        </w:rPr>
        <w:t xml:space="preserve"> </w:t>
      </w:r>
      <w:r>
        <w:rPr>
          <w:color w:val="231F20"/>
          <w:w w:val="95"/>
          <w:sz w:val="15"/>
        </w:rPr>
        <w:t>jednorázové</w:t>
      </w:r>
      <w:r>
        <w:rPr>
          <w:color w:val="231F20"/>
          <w:spacing w:val="-12"/>
          <w:w w:val="95"/>
          <w:sz w:val="15"/>
        </w:rPr>
        <w:t xml:space="preserve"> </w:t>
      </w:r>
      <w:r>
        <w:rPr>
          <w:color w:val="231F20"/>
          <w:w w:val="95"/>
          <w:sz w:val="15"/>
        </w:rPr>
        <w:t>pojistné</w:t>
      </w:r>
      <w:r>
        <w:rPr>
          <w:color w:val="231F20"/>
          <w:spacing w:val="-12"/>
          <w:w w:val="95"/>
          <w:sz w:val="15"/>
        </w:rPr>
        <w:t xml:space="preserve"> </w:t>
      </w:r>
      <w:r>
        <w:rPr>
          <w:color w:val="231F20"/>
          <w:w w:val="95"/>
          <w:sz w:val="15"/>
        </w:rPr>
        <w:t>náleží</w:t>
      </w:r>
      <w:r>
        <w:rPr>
          <w:color w:val="231F20"/>
          <w:spacing w:val="-13"/>
          <w:w w:val="95"/>
          <w:sz w:val="15"/>
        </w:rPr>
        <w:t xml:space="preserve"> </w:t>
      </w:r>
      <w:r>
        <w:rPr>
          <w:color w:val="231F20"/>
          <w:w w:val="95"/>
          <w:sz w:val="15"/>
        </w:rPr>
        <w:t>Pojišťovně</w:t>
      </w:r>
      <w:r>
        <w:rPr>
          <w:color w:val="231F20"/>
          <w:spacing w:val="-12"/>
          <w:w w:val="95"/>
          <w:sz w:val="15"/>
        </w:rPr>
        <w:t xml:space="preserve"> </w:t>
      </w:r>
      <w:r>
        <w:rPr>
          <w:color w:val="231F20"/>
          <w:w w:val="95"/>
          <w:sz w:val="15"/>
        </w:rPr>
        <w:t>v</w:t>
      </w:r>
      <w:r>
        <w:rPr>
          <w:color w:val="231F20"/>
          <w:spacing w:val="-12"/>
          <w:w w:val="95"/>
          <w:sz w:val="15"/>
        </w:rPr>
        <w:t xml:space="preserve"> </w:t>
      </w:r>
      <w:r>
        <w:rPr>
          <w:color w:val="231F20"/>
          <w:w w:val="95"/>
          <w:sz w:val="15"/>
        </w:rPr>
        <w:t>tomto</w:t>
      </w:r>
      <w:r>
        <w:rPr>
          <w:color w:val="231F20"/>
          <w:spacing w:val="-12"/>
          <w:w w:val="95"/>
          <w:sz w:val="15"/>
        </w:rPr>
        <w:t xml:space="preserve"> </w:t>
      </w:r>
      <w:r>
        <w:rPr>
          <w:color w:val="231F20"/>
          <w:w w:val="95"/>
          <w:sz w:val="15"/>
        </w:rPr>
        <w:t>případě</w:t>
      </w:r>
      <w:r>
        <w:rPr>
          <w:color w:val="231F20"/>
          <w:spacing w:val="-12"/>
          <w:w w:val="95"/>
          <w:sz w:val="15"/>
        </w:rPr>
        <w:t xml:space="preserve"> </w:t>
      </w:r>
      <w:r>
        <w:rPr>
          <w:color w:val="231F20"/>
          <w:w w:val="95"/>
          <w:sz w:val="15"/>
        </w:rPr>
        <w:t>celé;</w:t>
      </w:r>
    </w:p>
    <w:p w14:paraId="4FC510B0" w14:textId="77777777" w:rsidR="00F65BCA" w:rsidRDefault="00216117">
      <w:pPr>
        <w:pStyle w:val="Odstavecseseznamem"/>
        <w:numPr>
          <w:ilvl w:val="0"/>
          <w:numId w:val="101"/>
        </w:numPr>
        <w:tabs>
          <w:tab w:val="left" w:pos="635"/>
        </w:tabs>
        <w:spacing w:line="278" w:lineRule="auto"/>
        <w:ind w:right="425"/>
        <w:jc w:val="both"/>
        <w:rPr>
          <w:sz w:val="15"/>
        </w:rPr>
      </w:pPr>
      <w:r>
        <w:rPr>
          <w:color w:val="231F20"/>
          <w:sz w:val="15"/>
        </w:rPr>
        <w:t>nastala-li po zvýšení rizika pojistná událost, snížit pojistné plnění</w:t>
      </w:r>
      <w:r>
        <w:rPr>
          <w:color w:val="231F20"/>
          <w:spacing w:val="-25"/>
          <w:sz w:val="15"/>
        </w:rPr>
        <w:t xml:space="preserve"> </w:t>
      </w:r>
      <w:r>
        <w:rPr>
          <w:color w:val="231F20"/>
          <w:sz w:val="15"/>
        </w:rPr>
        <w:t>úměrně tomu,</w:t>
      </w:r>
      <w:r>
        <w:rPr>
          <w:color w:val="231F20"/>
          <w:spacing w:val="-14"/>
          <w:sz w:val="15"/>
        </w:rPr>
        <w:t xml:space="preserve"> </w:t>
      </w:r>
      <w:r>
        <w:rPr>
          <w:color w:val="231F20"/>
          <w:sz w:val="15"/>
        </w:rPr>
        <w:t>jaký</w:t>
      </w:r>
      <w:r>
        <w:rPr>
          <w:color w:val="231F20"/>
          <w:spacing w:val="-13"/>
          <w:sz w:val="15"/>
        </w:rPr>
        <w:t xml:space="preserve"> </w:t>
      </w:r>
      <w:r>
        <w:rPr>
          <w:color w:val="231F20"/>
          <w:sz w:val="15"/>
        </w:rPr>
        <w:t>je</w:t>
      </w:r>
      <w:r>
        <w:rPr>
          <w:color w:val="231F20"/>
          <w:spacing w:val="-13"/>
          <w:sz w:val="15"/>
        </w:rPr>
        <w:t xml:space="preserve"> </w:t>
      </w:r>
      <w:r>
        <w:rPr>
          <w:color w:val="231F20"/>
          <w:sz w:val="15"/>
        </w:rPr>
        <w:t>poměr</w:t>
      </w:r>
      <w:r>
        <w:rPr>
          <w:color w:val="231F20"/>
          <w:spacing w:val="-14"/>
          <w:sz w:val="15"/>
        </w:rPr>
        <w:t xml:space="preserve"> </w:t>
      </w:r>
      <w:r>
        <w:rPr>
          <w:color w:val="231F20"/>
          <w:sz w:val="15"/>
        </w:rPr>
        <w:t>pojistného,</w:t>
      </w:r>
      <w:r>
        <w:rPr>
          <w:color w:val="231F20"/>
          <w:spacing w:val="-13"/>
          <w:sz w:val="15"/>
        </w:rPr>
        <w:t xml:space="preserve"> </w:t>
      </w:r>
      <w:r>
        <w:rPr>
          <w:color w:val="231F20"/>
          <w:spacing w:val="-3"/>
          <w:sz w:val="15"/>
        </w:rPr>
        <w:t>které</w:t>
      </w:r>
      <w:r>
        <w:rPr>
          <w:color w:val="231F20"/>
          <w:spacing w:val="-13"/>
          <w:sz w:val="15"/>
        </w:rPr>
        <w:t xml:space="preserve"> </w:t>
      </w:r>
      <w:r>
        <w:rPr>
          <w:color w:val="231F20"/>
          <w:sz w:val="15"/>
        </w:rPr>
        <w:t>obdržela,</w:t>
      </w:r>
      <w:r>
        <w:rPr>
          <w:color w:val="231F20"/>
          <w:spacing w:val="-14"/>
          <w:sz w:val="15"/>
        </w:rPr>
        <w:t xml:space="preserve"> </w:t>
      </w:r>
      <w:r>
        <w:rPr>
          <w:color w:val="231F20"/>
          <w:sz w:val="15"/>
        </w:rPr>
        <w:t>k</w:t>
      </w:r>
      <w:r>
        <w:rPr>
          <w:color w:val="231F20"/>
          <w:spacing w:val="-13"/>
          <w:sz w:val="15"/>
        </w:rPr>
        <w:t xml:space="preserve"> </w:t>
      </w:r>
      <w:r>
        <w:rPr>
          <w:color w:val="231F20"/>
          <w:sz w:val="15"/>
        </w:rPr>
        <w:t>pojistnému,</w:t>
      </w:r>
      <w:r>
        <w:rPr>
          <w:color w:val="231F20"/>
          <w:spacing w:val="-13"/>
          <w:sz w:val="15"/>
        </w:rPr>
        <w:t xml:space="preserve"> </w:t>
      </w:r>
      <w:r>
        <w:rPr>
          <w:color w:val="231F20"/>
          <w:spacing w:val="-3"/>
          <w:sz w:val="15"/>
        </w:rPr>
        <w:t>které</w:t>
      </w:r>
      <w:r>
        <w:rPr>
          <w:color w:val="231F20"/>
          <w:spacing w:val="-14"/>
          <w:sz w:val="15"/>
        </w:rPr>
        <w:t xml:space="preserve"> </w:t>
      </w:r>
      <w:r>
        <w:rPr>
          <w:color w:val="231F20"/>
          <w:sz w:val="15"/>
        </w:rPr>
        <w:t>by</w:t>
      </w:r>
      <w:r>
        <w:rPr>
          <w:color w:val="231F20"/>
          <w:spacing w:val="-13"/>
          <w:sz w:val="15"/>
        </w:rPr>
        <w:t xml:space="preserve"> </w:t>
      </w:r>
      <w:r>
        <w:rPr>
          <w:color w:val="231F20"/>
          <w:sz w:val="15"/>
        </w:rPr>
        <w:t xml:space="preserve">měla </w:t>
      </w:r>
      <w:r>
        <w:rPr>
          <w:color w:val="231F20"/>
          <w:w w:val="95"/>
          <w:sz w:val="15"/>
        </w:rPr>
        <w:t>obdržet,</w:t>
      </w:r>
      <w:r>
        <w:rPr>
          <w:color w:val="231F20"/>
          <w:spacing w:val="-15"/>
          <w:w w:val="95"/>
          <w:sz w:val="15"/>
        </w:rPr>
        <w:t xml:space="preserve"> </w:t>
      </w:r>
      <w:r>
        <w:rPr>
          <w:color w:val="231F20"/>
          <w:w w:val="95"/>
          <w:sz w:val="15"/>
        </w:rPr>
        <w:t>kdyby</w:t>
      </w:r>
      <w:r>
        <w:rPr>
          <w:color w:val="231F20"/>
          <w:spacing w:val="-15"/>
          <w:w w:val="95"/>
          <w:sz w:val="15"/>
        </w:rPr>
        <w:t xml:space="preserve"> </w:t>
      </w:r>
      <w:r>
        <w:rPr>
          <w:color w:val="231F20"/>
          <w:w w:val="95"/>
          <w:sz w:val="15"/>
        </w:rPr>
        <w:t>se</w:t>
      </w:r>
      <w:r>
        <w:rPr>
          <w:color w:val="231F20"/>
          <w:spacing w:val="-15"/>
          <w:w w:val="95"/>
          <w:sz w:val="15"/>
        </w:rPr>
        <w:t xml:space="preserve"> </w:t>
      </w:r>
      <w:r>
        <w:rPr>
          <w:color w:val="231F20"/>
          <w:w w:val="95"/>
          <w:sz w:val="15"/>
        </w:rPr>
        <w:t>byla</w:t>
      </w:r>
      <w:r>
        <w:rPr>
          <w:color w:val="231F20"/>
          <w:spacing w:val="-15"/>
          <w:w w:val="95"/>
          <w:sz w:val="15"/>
        </w:rPr>
        <w:t xml:space="preserve"> </w:t>
      </w:r>
      <w:r>
        <w:rPr>
          <w:color w:val="231F20"/>
          <w:w w:val="95"/>
          <w:sz w:val="15"/>
        </w:rPr>
        <w:t>o</w:t>
      </w:r>
      <w:r>
        <w:rPr>
          <w:color w:val="231F20"/>
          <w:spacing w:val="-15"/>
          <w:w w:val="95"/>
          <w:sz w:val="15"/>
        </w:rPr>
        <w:t xml:space="preserve"> </w:t>
      </w:r>
      <w:r>
        <w:rPr>
          <w:color w:val="231F20"/>
          <w:w w:val="95"/>
          <w:sz w:val="15"/>
        </w:rPr>
        <w:t>zvýšení</w:t>
      </w:r>
      <w:r>
        <w:rPr>
          <w:color w:val="231F20"/>
          <w:spacing w:val="-15"/>
          <w:w w:val="95"/>
          <w:sz w:val="15"/>
        </w:rPr>
        <w:t xml:space="preserve"> </w:t>
      </w:r>
      <w:r>
        <w:rPr>
          <w:color w:val="231F20"/>
          <w:w w:val="95"/>
          <w:sz w:val="15"/>
        </w:rPr>
        <w:t>pojistného</w:t>
      </w:r>
      <w:r>
        <w:rPr>
          <w:color w:val="231F20"/>
          <w:spacing w:val="-15"/>
          <w:w w:val="95"/>
          <w:sz w:val="15"/>
        </w:rPr>
        <w:t xml:space="preserve"> </w:t>
      </w:r>
      <w:r>
        <w:rPr>
          <w:color w:val="231F20"/>
          <w:w w:val="95"/>
          <w:sz w:val="15"/>
        </w:rPr>
        <w:t>rizika</w:t>
      </w:r>
      <w:r>
        <w:rPr>
          <w:color w:val="231F20"/>
          <w:spacing w:val="-15"/>
          <w:w w:val="95"/>
          <w:sz w:val="15"/>
        </w:rPr>
        <w:t xml:space="preserve"> </w:t>
      </w:r>
      <w:r>
        <w:rPr>
          <w:color w:val="231F20"/>
          <w:w w:val="95"/>
          <w:sz w:val="15"/>
        </w:rPr>
        <w:t>z</w:t>
      </w:r>
      <w:r>
        <w:rPr>
          <w:color w:val="231F20"/>
          <w:spacing w:val="-15"/>
          <w:w w:val="95"/>
          <w:sz w:val="15"/>
        </w:rPr>
        <w:t xml:space="preserve"> </w:t>
      </w:r>
      <w:r>
        <w:rPr>
          <w:color w:val="231F20"/>
          <w:w w:val="95"/>
          <w:sz w:val="15"/>
        </w:rPr>
        <w:t>oznámení</w:t>
      </w:r>
      <w:r>
        <w:rPr>
          <w:color w:val="231F20"/>
          <w:spacing w:val="-15"/>
          <w:w w:val="95"/>
          <w:sz w:val="15"/>
        </w:rPr>
        <w:t xml:space="preserve"> </w:t>
      </w:r>
      <w:r>
        <w:rPr>
          <w:color w:val="231F20"/>
          <w:w w:val="95"/>
          <w:sz w:val="15"/>
        </w:rPr>
        <w:t>včas</w:t>
      </w:r>
      <w:r>
        <w:rPr>
          <w:color w:val="231F20"/>
          <w:spacing w:val="-15"/>
          <w:w w:val="95"/>
          <w:sz w:val="15"/>
        </w:rPr>
        <w:t xml:space="preserve"> </w:t>
      </w:r>
      <w:r>
        <w:rPr>
          <w:color w:val="231F20"/>
          <w:w w:val="95"/>
          <w:sz w:val="15"/>
        </w:rPr>
        <w:t>dozvěděla.</w:t>
      </w:r>
    </w:p>
    <w:p w14:paraId="561E0D99" w14:textId="77777777" w:rsidR="00F65BCA" w:rsidRDefault="00216117">
      <w:pPr>
        <w:pStyle w:val="Zkladntext"/>
        <w:spacing w:line="278" w:lineRule="auto"/>
        <w:ind w:left="464"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6</w:t>
      </w:r>
      <w:r>
        <w:rPr>
          <w:color w:val="231F20"/>
          <w:spacing w:val="11"/>
          <w:position w:val="1"/>
          <w:sz w:val="14"/>
        </w:rPr>
        <w:t xml:space="preserve"> </w:t>
      </w:r>
      <w:r>
        <w:rPr>
          <w:color w:val="231F20"/>
        </w:rPr>
        <w:t>V</w:t>
      </w:r>
      <w:r>
        <w:rPr>
          <w:color w:val="231F20"/>
          <w:spacing w:val="-21"/>
        </w:rPr>
        <w:t xml:space="preserve"> </w:t>
      </w:r>
      <w:r>
        <w:rPr>
          <w:color w:val="231F20"/>
        </w:rPr>
        <w:t>případě</w:t>
      </w:r>
      <w:r>
        <w:rPr>
          <w:color w:val="231F20"/>
          <w:spacing w:val="-20"/>
        </w:rPr>
        <w:t xml:space="preserve"> </w:t>
      </w:r>
      <w:r>
        <w:rPr>
          <w:color w:val="231F20"/>
        </w:rPr>
        <w:t>porušení</w:t>
      </w:r>
      <w:r>
        <w:rPr>
          <w:color w:val="231F20"/>
          <w:spacing w:val="-21"/>
        </w:rPr>
        <w:t xml:space="preserve"> </w:t>
      </w:r>
      <w:r>
        <w:rPr>
          <w:color w:val="231F20"/>
        </w:rPr>
        <w:t>prevenčních</w:t>
      </w:r>
      <w:r>
        <w:rPr>
          <w:color w:val="231F20"/>
          <w:spacing w:val="-21"/>
        </w:rPr>
        <w:t xml:space="preserve"> </w:t>
      </w:r>
      <w:r>
        <w:rPr>
          <w:color w:val="231F20"/>
        </w:rPr>
        <w:t>povinností</w:t>
      </w:r>
      <w:r>
        <w:rPr>
          <w:color w:val="231F20"/>
          <w:spacing w:val="-20"/>
        </w:rPr>
        <w:t xml:space="preserve"> </w:t>
      </w:r>
      <w:r>
        <w:rPr>
          <w:color w:val="231F20"/>
        </w:rPr>
        <w:t>a</w:t>
      </w:r>
      <w:r>
        <w:rPr>
          <w:color w:val="231F20"/>
          <w:spacing w:val="-21"/>
        </w:rPr>
        <w:t xml:space="preserve"> </w:t>
      </w:r>
      <w:r>
        <w:rPr>
          <w:color w:val="231F20"/>
        </w:rPr>
        <w:t>povinností</w:t>
      </w:r>
      <w:r>
        <w:rPr>
          <w:color w:val="231F20"/>
          <w:spacing w:val="-21"/>
        </w:rPr>
        <w:t xml:space="preserve"> </w:t>
      </w:r>
      <w:r>
        <w:rPr>
          <w:color w:val="231F20"/>
        </w:rPr>
        <w:t>v</w:t>
      </w:r>
      <w:r>
        <w:rPr>
          <w:color w:val="231F20"/>
          <w:spacing w:val="-20"/>
        </w:rPr>
        <w:t xml:space="preserve"> </w:t>
      </w:r>
      <w:r>
        <w:rPr>
          <w:color w:val="231F20"/>
        </w:rPr>
        <w:t>případě</w:t>
      </w:r>
      <w:r>
        <w:rPr>
          <w:color w:val="231F20"/>
          <w:spacing w:val="-21"/>
        </w:rPr>
        <w:t xml:space="preserve"> </w:t>
      </w:r>
      <w:r>
        <w:rPr>
          <w:color w:val="231F20"/>
        </w:rPr>
        <w:t>vzniku</w:t>
      </w:r>
      <w:r>
        <w:rPr>
          <w:color w:val="231F20"/>
          <w:spacing w:val="-21"/>
        </w:rPr>
        <w:t xml:space="preserve"> </w:t>
      </w:r>
      <w:r>
        <w:rPr>
          <w:color w:val="231F20"/>
        </w:rPr>
        <w:t>škod- ní události má Pojišťovna</w:t>
      </w:r>
      <w:r>
        <w:rPr>
          <w:color w:val="231F20"/>
          <w:spacing w:val="-5"/>
        </w:rPr>
        <w:t xml:space="preserve"> </w:t>
      </w:r>
      <w:r>
        <w:rPr>
          <w:color w:val="231F20"/>
        </w:rPr>
        <w:t>právo:</w:t>
      </w:r>
    </w:p>
    <w:p w14:paraId="59FC825E" w14:textId="77777777" w:rsidR="00F65BCA" w:rsidRDefault="00216117">
      <w:pPr>
        <w:pStyle w:val="Odstavecseseznamem"/>
        <w:numPr>
          <w:ilvl w:val="0"/>
          <w:numId w:val="100"/>
        </w:numPr>
        <w:tabs>
          <w:tab w:val="left" w:pos="635"/>
        </w:tabs>
        <w:spacing w:line="278" w:lineRule="auto"/>
        <w:ind w:right="424"/>
        <w:jc w:val="both"/>
        <w:rPr>
          <w:sz w:val="15"/>
        </w:rPr>
      </w:pPr>
      <w:r>
        <w:rPr>
          <w:color w:val="231F20"/>
          <w:sz w:val="15"/>
        </w:rPr>
        <w:t>snížit</w:t>
      </w:r>
      <w:r>
        <w:rPr>
          <w:color w:val="231F20"/>
          <w:spacing w:val="-15"/>
          <w:sz w:val="15"/>
        </w:rPr>
        <w:t xml:space="preserve"> </w:t>
      </w:r>
      <w:r>
        <w:rPr>
          <w:color w:val="231F20"/>
          <w:sz w:val="15"/>
        </w:rPr>
        <w:t>pojistné</w:t>
      </w:r>
      <w:r>
        <w:rPr>
          <w:color w:val="231F20"/>
          <w:spacing w:val="-14"/>
          <w:sz w:val="15"/>
        </w:rPr>
        <w:t xml:space="preserve"> </w:t>
      </w:r>
      <w:r>
        <w:rPr>
          <w:color w:val="231F20"/>
          <w:sz w:val="15"/>
        </w:rPr>
        <w:t>plnění,</w:t>
      </w:r>
      <w:r>
        <w:rPr>
          <w:color w:val="231F20"/>
          <w:spacing w:val="-14"/>
          <w:sz w:val="15"/>
        </w:rPr>
        <w:t xml:space="preserve"> </w:t>
      </w:r>
      <w:r>
        <w:rPr>
          <w:color w:val="231F20"/>
          <w:sz w:val="15"/>
        </w:rPr>
        <w:t>pokud</w:t>
      </w:r>
      <w:r>
        <w:rPr>
          <w:color w:val="231F20"/>
          <w:spacing w:val="-14"/>
          <w:sz w:val="15"/>
        </w:rPr>
        <w:t xml:space="preserve"> </w:t>
      </w:r>
      <w:r>
        <w:rPr>
          <w:color w:val="231F20"/>
          <w:sz w:val="15"/>
        </w:rPr>
        <w:t>pojistník,</w:t>
      </w:r>
      <w:r>
        <w:rPr>
          <w:color w:val="231F20"/>
          <w:spacing w:val="-15"/>
          <w:sz w:val="15"/>
        </w:rPr>
        <w:t xml:space="preserve"> </w:t>
      </w:r>
      <w:r>
        <w:rPr>
          <w:color w:val="231F20"/>
          <w:sz w:val="15"/>
        </w:rPr>
        <w:t>pojištěný</w:t>
      </w:r>
      <w:r>
        <w:rPr>
          <w:color w:val="231F20"/>
          <w:spacing w:val="-14"/>
          <w:sz w:val="15"/>
        </w:rPr>
        <w:t xml:space="preserve"> </w:t>
      </w:r>
      <w:r>
        <w:rPr>
          <w:color w:val="231F20"/>
          <w:sz w:val="15"/>
        </w:rPr>
        <w:t>nebo</w:t>
      </w:r>
      <w:r>
        <w:rPr>
          <w:color w:val="231F20"/>
          <w:spacing w:val="-14"/>
          <w:sz w:val="15"/>
        </w:rPr>
        <w:t xml:space="preserve"> </w:t>
      </w:r>
      <w:r>
        <w:rPr>
          <w:color w:val="231F20"/>
          <w:sz w:val="15"/>
        </w:rPr>
        <w:t>oprávněná</w:t>
      </w:r>
      <w:r>
        <w:rPr>
          <w:color w:val="231F20"/>
          <w:spacing w:val="-14"/>
          <w:sz w:val="15"/>
        </w:rPr>
        <w:t xml:space="preserve"> </w:t>
      </w:r>
      <w:r>
        <w:rPr>
          <w:color w:val="231F20"/>
          <w:sz w:val="15"/>
        </w:rPr>
        <w:t>osoba</w:t>
      </w:r>
      <w:r>
        <w:rPr>
          <w:color w:val="231F20"/>
          <w:spacing w:val="-15"/>
          <w:sz w:val="15"/>
        </w:rPr>
        <w:t xml:space="preserve"> </w:t>
      </w:r>
      <w:r>
        <w:rPr>
          <w:color w:val="231F20"/>
          <w:spacing w:val="-5"/>
          <w:sz w:val="15"/>
        </w:rPr>
        <w:t xml:space="preserve">po- </w:t>
      </w:r>
      <w:r>
        <w:rPr>
          <w:color w:val="231F20"/>
          <w:sz w:val="15"/>
        </w:rPr>
        <w:t>ruší</w:t>
      </w:r>
      <w:r>
        <w:rPr>
          <w:color w:val="231F20"/>
          <w:spacing w:val="-23"/>
          <w:sz w:val="15"/>
        </w:rPr>
        <w:t xml:space="preserve"> </w:t>
      </w:r>
      <w:r>
        <w:rPr>
          <w:color w:val="231F20"/>
          <w:sz w:val="15"/>
        </w:rPr>
        <w:t>povinnosti</w:t>
      </w:r>
      <w:r>
        <w:rPr>
          <w:color w:val="231F20"/>
          <w:spacing w:val="-23"/>
          <w:sz w:val="15"/>
        </w:rPr>
        <w:t xml:space="preserve"> </w:t>
      </w:r>
      <w:r>
        <w:rPr>
          <w:color w:val="231F20"/>
          <w:sz w:val="15"/>
        </w:rPr>
        <w:t>stanovené</w:t>
      </w:r>
      <w:r>
        <w:rPr>
          <w:color w:val="231F20"/>
          <w:spacing w:val="-23"/>
          <w:sz w:val="15"/>
        </w:rPr>
        <w:t xml:space="preserve"> </w:t>
      </w:r>
      <w:r>
        <w:rPr>
          <w:color w:val="231F20"/>
          <w:sz w:val="15"/>
        </w:rPr>
        <w:t>právními</w:t>
      </w:r>
      <w:r>
        <w:rPr>
          <w:color w:val="231F20"/>
          <w:spacing w:val="-23"/>
          <w:sz w:val="15"/>
        </w:rPr>
        <w:t xml:space="preserve"> </w:t>
      </w:r>
      <w:r>
        <w:rPr>
          <w:color w:val="231F20"/>
          <w:sz w:val="15"/>
        </w:rPr>
        <w:t>předpisy</w:t>
      </w:r>
      <w:r>
        <w:rPr>
          <w:color w:val="231F20"/>
          <w:spacing w:val="-23"/>
          <w:sz w:val="15"/>
        </w:rPr>
        <w:t xml:space="preserve"> </w:t>
      </w:r>
      <w:r>
        <w:rPr>
          <w:color w:val="231F20"/>
          <w:sz w:val="15"/>
        </w:rPr>
        <w:t>nebo</w:t>
      </w:r>
      <w:r>
        <w:rPr>
          <w:color w:val="231F20"/>
          <w:spacing w:val="-23"/>
          <w:sz w:val="15"/>
        </w:rPr>
        <w:t xml:space="preserve"> </w:t>
      </w:r>
      <w:r>
        <w:rPr>
          <w:color w:val="231F20"/>
          <w:sz w:val="15"/>
        </w:rPr>
        <w:t>uložené</w:t>
      </w:r>
      <w:r>
        <w:rPr>
          <w:color w:val="231F20"/>
          <w:spacing w:val="-23"/>
          <w:sz w:val="15"/>
        </w:rPr>
        <w:t xml:space="preserve"> </w:t>
      </w:r>
      <w:r>
        <w:rPr>
          <w:color w:val="231F20"/>
          <w:sz w:val="15"/>
        </w:rPr>
        <w:t>pojistnou</w:t>
      </w:r>
      <w:r>
        <w:rPr>
          <w:color w:val="231F20"/>
          <w:spacing w:val="-23"/>
          <w:sz w:val="15"/>
        </w:rPr>
        <w:t xml:space="preserve"> </w:t>
      </w:r>
      <w:r>
        <w:rPr>
          <w:color w:val="231F20"/>
          <w:sz w:val="15"/>
        </w:rPr>
        <w:t>smlou- vou, nebo nesplní pokyny Pojišťovny, a takové porušení nebo nesplnění mělo</w:t>
      </w:r>
      <w:r>
        <w:rPr>
          <w:color w:val="231F20"/>
          <w:spacing w:val="-13"/>
          <w:sz w:val="15"/>
        </w:rPr>
        <w:t xml:space="preserve"> </w:t>
      </w:r>
      <w:r>
        <w:rPr>
          <w:color w:val="231F20"/>
          <w:sz w:val="15"/>
        </w:rPr>
        <w:t>podstatný</w:t>
      </w:r>
      <w:r>
        <w:rPr>
          <w:color w:val="231F20"/>
          <w:spacing w:val="-13"/>
          <w:sz w:val="15"/>
        </w:rPr>
        <w:t xml:space="preserve"> </w:t>
      </w:r>
      <w:r>
        <w:rPr>
          <w:color w:val="231F20"/>
          <w:sz w:val="15"/>
        </w:rPr>
        <w:t>vliv</w:t>
      </w:r>
      <w:r>
        <w:rPr>
          <w:color w:val="231F20"/>
          <w:spacing w:val="-13"/>
          <w:sz w:val="15"/>
        </w:rPr>
        <w:t xml:space="preserve"> </w:t>
      </w:r>
      <w:r>
        <w:rPr>
          <w:color w:val="231F20"/>
          <w:sz w:val="15"/>
        </w:rPr>
        <w:t>na</w:t>
      </w:r>
      <w:r>
        <w:rPr>
          <w:color w:val="231F20"/>
          <w:spacing w:val="-13"/>
          <w:sz w:val="15"/>
        </w:rPr>
        <w:t xml:space="preserve"> </w:t>
      </w:r>
      <w:r>
        <w:rPr>
          <w:color w:val="231F20"/>
          <w:sz w:val="15"/>
        </w:rPr>
        <w:t>vznik</w:t>
      </w:r>
      <w:r>
        <w:rPr>
          <w:color w:val="231F20"/>
          <w:spacing w:val="-13"/>
          <w:sz w:val="15"/>
        </w:rPr>
        <w:t xml:space="preserve"> </w:t>
      </w:r>
      <w:r>
        <w:rPr>
          <w:color w:val="231F20"/>
          <w:sz w:val="15"/>
        </w:rPr>
        <w:t>pojistné</w:t>
      </w:r>
      <w:r>
        <w:rPr>
          <w:color w:val="231F20"/>
          <w:spacing w:val="-13"/>
          <w:sz w:val="15"/>
        </w:rPr>
        <w:t xml:space="preserve"> </w:t>
      </w:r>
      <w:r>
        <w:rPr>
          <w:color w:val="231F20"/>
          <w:sz w:val="15"/>
        </w:rPr>
        <w:t>události,</w:t>
      </w:r>
      <w:r>
        <w:rPr>
          <w:color w:val="231F20"/>
          <w:spacing w:val="-13"/>
          <w:sz w:val="15"/>
        </w:rPr>
        <w:t xml:space="preserve"> </w:t>
      </w:r>
      <w:r>
        <w:rPr>
          <w:color w:val="231F20"/>
          <w:sz w:val="15"/>
        </w:rPr>
        <w:t>její</w:t>
      </w:r>
      <w:r>
        <w:rPr>
          <w:color w:val="231F20"/>
          <w:spacing w:val="-12"/>
          <w:sz w:val="15"/>
        </w:rPr>
        <w:t xml:space="preserve"> </w:t>
      </w:r>
      <w:r>
        <w:rPr>
          <w:color w:val="231F20"/>
          <w:sz w:val="15"/>
        </w:rPr>
        <w:t>průběh</w:t>
      </w:r>
      <w:r>
        <w:rPr>
          <w:color w:val="231F20"/>
          <w:spacing w:val="-13"/>
          <w:sz w:val="15"/>
        </w:rPr>
        <w:t xml:space="preserve"> </w:t>
      </w:r>
      <w:r>
        <w:rPr>
          <w:color w:val="231F20"/>
          <w:sz w:val="15"/>
        </w:rPr>
        <w:t>nebo</w:t>
      </w:r>
      <w:r>
        <w:rPr>
          <w:color w:val="231F20"/>
          <w:spacing w:val="-13"/>
          <w:sz w:val="15"/>
        </w:rPr>
        <w:t xml:space="preserve"> </w:t>
      </w:r>
      <w:r>
        <w:rPr>
          <w:color w:val="231F20"/>
          <w:sz w:val="15"/>
        </w:rPr>
        <w:t>na</w:t>
      </w:r>
      <w:r>
        <w:rPr>
          <w:color w:val="231F20"/>
          <w:spacing w:val="-13"/>
          <w:sz w:val="15"/>
        </w:rPr>
        <w:t xml:space="preserve"> </w:t>
      </w:r>
      <w:r>
        <w:rPr>
          <w:color w:val="231F20"/>
          <w:sz w:val="15"/>
        </w:rPr>
        <w:t>zvětšení rozsahu</w:t>
      </w:r>
      <w:r>
        <w:rPr>
          <w:color w:val="231F20"/>
          <w:spacing w:val="-19"/>
          <w:sz w:val="15"/>
        </w:rPr>
        <w:t xml:space="preserve"> </w:t>
      </w:r>
      <w:r>
        <w:rPr>
          <w:color w:val="231F20"/>
          <w:sz w:val="15"/>
        </w:rPr>
        <w:t>jejích</w:t>
      </w:r>
      <w:r>
        <w:rPr>
          <w:color w:val="231F20"/>
          <w:spacing w:val="-19"/>
          <w:sz w:val="15"/>
        </w:rPr>
        <w:t xml:space="preserve"> </w:t>
      </w:r>
      <w:r>
        <w:rPr>
          <w:color w:val="231F20"/>
          <w:sz w:val="15"/>
        </w:rPr>
        <w:t>následků</w:t>
      </w:r>
      <w:r>
        <w:rPr>
          <w:color w:val="231F20"/>
          <w:spacing w:val="-19"/>
          <w:sz w:val="15"/>
        </w:rPr>
        <w:t xml:space="preserve"> </w:t>
      </w:r>
      <w:r>
        <w:rPr>
          <w:color w:val="231F20"/>
          <w:sz w:val="15"/>
        </w:rPr>
        <w:t>nebo</w:t>
      </w:r>
      <w:r>
        <w:rPr>
          <w:color w:val="231F20"/>
          <w:spacing w:val="-19"/>
          <w:sz w:val="15"/>
        </w:rPr>
        <w:t xml:space="preserve"> </w:t>
      </w:r>
      <w:r>
        <w:rPr>
          <w:color w:val="231F20"/>
          <w:sz w:val="15"/>
        </w:rPr>
        <w:t>na</w:t>
      </w:r>
      <w:r>
        <w:rPr>
          <w:color w:val="231F20"/>
          <w:spacing w:val="-19"/>
          <w:sz w:val="15"/>
        </w:rPr>
        <w:t xml:space="preserve"> </w:t>
      </w:r>
      <w:r>
        <w:rPr>
          <w:color w:val="231F20"/>
          <w:sz w:val="15"/>
        </w:rPr>
        <w:t>zjištění</w:t>
      </w:r>
      <w:r>
        <w:rPr>
          <w:color w:val="231F20"/>
          <w:spacing w:val="-18"/>
          <w:sz w:val="15"/>
        </w:rPr>
        <w:t xml:space="preserve"> </w:t>
      </w:r>
      <w:r>
        <w:rPr>
          <w:color w:val="231F20"/>
          <w:sz w:val="15"/>
        </w:rPr>
        <w:t>nebo</w:t>
      </w:r>
      <w:r>
        <w:rPr>
          <w:color w:val="231F20"/>
          <w:spacing w:val="-19"/>
          <w:sz w:val="15"/>
        </w:rPr>
        <w:t xml:space="preserve"> </w:t>
      </w:r>
      <w:r>
        <w:rPr>
          <w:color w:val="231F20"/>
          <w:sz w:val="15"/>
        </w:rPr>
        <w:t>určení</w:t>
      </w:r>
      <w:r>
        <w:rPr>
          <w:color w:val="231F20"/>
          <w:spacing w:val="-19"/>
          <w:sz w:val="15"/>
        </w:rPr>
        <w:t xml:space="preserve"> </w:t>
      </w:r>
      <w:r>
        <w:rPr>
          <w:color w:val="231F20"/>
          <w:sz w:val="15"/>
        </w:rPr>
        <w:t>výše</w:t>
      </w:r>
      <w:r>
        <w:rPr>
          <w:color w:val="231F20"/>
          <w:spacing w:val="-19"/>
          <w:sz w:val="15"/>
        </w:rPr>
        <w:t xml:space="preserve"> </w:t>
      </w:r>
      <w:r>
        <w:rPr>
          <w:color w:val="231F20"/>
          <w:sz w:val="15"/>
        </w:rPr>
        <w:t>pojistného</w:t>
      </w:r>
      <w:r>
        <w:rPr>
          <w:color w:val="231F20"/>
          <w:spacing w:val="-19"/>
          <w:sz w:val="15"/>
        </w:rPr>
        <w:t xml:space="preserve"> </w:t>
      </w:r>
      <w:r>
        <w:rPr>
          <w:color w:val="231F20"/>
          <w:spacing w:val="-3"/>
          <w:sz w:val="15"/>
        </w:rPr>
        <w:t xml:space="preserve">plnění </w:t>
      </w:r>
      <w:r>
        <w:rPr>
          <w:color w:val="231F20"/>
          <w:w w:val="95"/>
          <w:sz w:val="15"/>
        </w:rPr>
        <w:t>nebo</w:t>
      </w:r>
      <w:r>
        <w:rPr>
          <w:color w:val="231F20"/>
          <w:spacing w:val="-6"/>
          <w:w w:val="95"/>
          <w:sz w:val="15"/>
        </w:rPr>
        <w:t xml:space="preserve"> </w:t>
      </w:r>
      <w:r>
        <w:rPr>
          <w:color w:val="231F20"/>
          <w:w w:val="95"/>
          <w:sz w:val="15"/>
        </w:rPr>
        <w:t>na</w:t>
      </w:r>
      <w:r>
        <w:rPr>
          <w:color w:val="231F20"/>
          <w:spacing w:val="-6"/>
          <w:w w:val="95"/>
          <w:sz w:val="15"/>
        </w:rPr>
        <w:t xml:space="preserve"> </w:t>
      </w:r>
      <w:r>
        <w:rPr>
          <w:color w:val="231F20"/>
          <w:w w:val="95"/>
          <w:sz w:val="15"/>
        </w:rPr>
        <w:t>ztížení</w:t>
      </w:r>
      <w:r>
        <w:rPr>
          <w:color w:val="231F20"/>
          <w:spacing w:val="-5"/>
          <w:w w:val="95"/>
          <w:sz w:val="15"/>
        </w:rPr>
        <w:t xml:space="preserve"> </w:t>
      </w:r>
      <w:r>
        <w:rPr>
          <w:color w:val="231F20"/>
          <w:w w:val="95"/>
          <w:sz w:val="15"/>
        </w:rPr>
        <w:t>nebo</w:t>
      </w:r>
      <w:r>
        <w:rPr>
          <w:color w:val="231F20"/>
          <w:spacing w:val="-6"/>
          <w:w w:val="95"/>
          <w:sz w:val="15"/>
        </w:rPr>
        <w:t xml:space="preserve"> </w:t>
      </w:r>
      <w:r>
        <w:rPr>
          <w:color w:val="231F20"/>
          <w:w w:val="95"/>
          <w:sz w:val="15"/>
        </w:rPr>
        <w:t>znemožnění</w:t>
      </w:r>
      <w:r>
        <w:rPr>
          <w:color w:val="231F20"/>
          <w:spacing w:val="-5"/>
          <w:w w:val="95"/>
          <w:sz w:val="15"/>
        </w:rPr>
        <w:t xml:space="preserve"> </w:t>
      </w:r>
      <w:r>
        <w:rPr>
          <w:color w:val="231F20"/>
          <w:w w:val="95"/>
          <w:sz w:val="15"/>
        </w:rPr>
        <w:t>provést</w:t>
      </w:r>
      <w:r>
        <w:rPr>
          <w:color w:val="231F20"/>
          <w:spacing w:val="-6"/>
          <w:w w:val="95"/>
          <w:sz w:val="15"/>
        </w:rPr>
        <w:t xml:space="preserve"> </w:t>
      </w:r>
      <w:r>
        <w:rPr>
          <w:color w:val="231F20"/>
          <w:w w:val="95"/>
          <w:sz w:val="15"/>
        </w:rPr>
        <w:t>vlastní</w:t>
      </w:r>
      <w:r>
        <w:rPr>
          <w:color w:val="231F20"/>
          <w:spacing w:val="-5"/>
          <w:w w:val="95"/>
          <w:sz w:val="15"/>
        </w:rPr>
        <w:t xml:space="preserve"> </w:t>
      </w:r>
      <w:r>
        <w:rPr>
          <w:color w:val="231F20"/>
          <w:w w:val="95"/>
          <w:sz w:val="15"/>
        </w:rPr>
        <w:t>šetření</w:t>
      </w:r>
      <w:r>
        <w:rPr>
          <w:color w:val="231F20"/>
          <w:spacing w:val="-6"/>
          <w:w w:val="95"/>
          <w:sz w:val="15"/>
        </w:rPr>
        <w:t xml:space="preserve"> </w:t>
      </w:r>
      <w:r>
        <w:rPr>
          <w:color w:val="231F20"/>
          <w:w w:val="95"/>
          <w:sz w:val="15"/>
        </w:rPr>
        <w:t>Pojišťovny</w:t>
      </w:r>
      <w:r>
        <w:rPr>
          <w:color w:val="231F20"/>
          <w:spacing w:val="-5"/>
          <w:w w:val="95"/>
          <w:sz w:val="15"/>
        </w:rPr>
        <w:t xml:space="preserve"> </w:t>
      </w:r>
      <w:r>
        <w:rPr>
          <w:color w:val="231F20"/>
          <w:w w:val="95"/>
          <w:sz w:val="15"/>
        </w:rPr>
        <w:t xml:space="preserve">zejména </w:t>
      </w:r>
      <w:r>
        <w:rPr>
          <w:color w:val="231F20"/>
          <w:sz w:val="15"/>
        </w:rPr>
        <w:t>ke</w:t>
      </w:r>
      <w:r>
        <w:rPr>
          <w:color w:val="231F20"/>
          <w:spacing w:val="-15"/>
          <w:sz w:val="15"/>
        </w:rPr>
        <w:t xml:space="preserve"> </w:t>
      </w:r>
      <w:r>
        <w:rPr>
          <w:color w:val="231F20"/>
          <w:sz w:val="15"/>
        </w:rPr>
        <w:t>zjištění</w:t>
      </w:r>
      <w:r>
        <w:rPr>
          <w:color w:val="231F20"/>
          <w:spacing w:val="-14"/>
          <w:sz w:val="15"/>
        </w:rPr>
        <w:t xml:space="preserve"> </w:t>
      </w:r>
      <w:r>
        <w:rPr>
          <w:color w:val="231F20"/>
          <w:sz w:val="15"/>
        </w:rPr>
        <w:t>oprávněnosti</w:t>
      </w:r>
      <w:r>
        <w:rPr>
          <w:color w:val="231F20"/>
          <w:spacing w:val="-15"/>
          <w:sz w:val="15"/>
        </w:rPr>
        <w:t xml:space="preserve"> </w:t>
      </w:r>
      <w:r>
        <w:rPr>
          <w:color w:val="231F20"/>
          <w:sz w:val="15"/>
        </w:rPr>
        <w:t>nároku</w:t>
      </w:r>
      <w:r>
        <w:rPr>
          <w:color w:val="231F20"/>
          <w:spacing w:val="-14"/>
          <w:sz w:val="15"/>
        </w:rPr>
        <w:t xml:space="preserve"> </w:t>
      </w:r>
      <w:r>
        <w:rPr>
          <w:color w:val="231F20"/>
          <w:sz w:val="15"/>
        </w:rPr>
        <w:t>na</w:t>
      </w:r>
      <w:r>
        <w:rPr>
          <w:color w:val="231F20"/>
          <w:spacing w:val="-14"/>
          <w:sz w:val="15"/>
        </w:rPr>
        <w:t xml:space="preserve"> </w:t>
      </w:r>
      <w:r>
        <w:rPr>
          <w:color w:val="231F20"/>
          <w:sz w:val="15"/>
        </w:rPr>
        <w:t>pojistné</w:t>
      </w:r>
      <w:r>
        <w:rPr>
          <w:color w:val="231F20"/>
          <w:spacing w:val="-15"/>
          <w:sz w:val="15"/>
        </w:rPr>
        <w:t xml:space="preserve"> </w:t>
      </w:r>
      <w:r>
        <w:rPr>
          <w:color w:val="231F20"/>
          <w:sz w:val="15"/>
        </w:rPr>
        <w:t>plnění</w:t>
      </w:r>
      <w:r>
        <w:rPr>
          <w:color w:val="231F20"/>
          <w:spacing w:val="-14"/>
          <w:sz w:val="15"/>
        </w:rPr>
        <w:t xml:space="preserve"> </w:t>
      </w:r>
      <w:r>
        <w:rPr>
          <w:color w:val="231F20"/>
          <w:sz w:val="15"/>
        </w:rPr>
        <w:t>nebo</w:t>
      </w:r>
      <w:r>
        <w:rPr>
          <w:color w:val="231F20"/>
          <w:spacing w:val="-15"/>
          <w:sz w:val="15"/>
        </w:rPr>
        <w:t xml:space="preserve"> </w:t>
      </w:r>
      <w:r>
        <w:rPr>
          <w:color w:val="231F20"/>
          <w:sz w:val="15"/>
        </w:rPr>
        <w:t>rozsahu</w:t>
      </w:r>
      <w:r>
        <w:rPr>
          <w:color w:val="231F20"/>
          <w:spacing w:val="-14"/>
          <w:sz w:val="15"/>
        </w:rPr>
        <w:t xml:space="preserve"> </w:t>
      </w:r>
      <w:r>
        <w:rPr>
          <w:color w:val="231F20"/>
          <w:spacing w:val="-3"/>
          <w:sz w:val="15"/>
        </w:rPr>
        <w:t>škody,</w:t>
      </w:r>
      <w:r>
        <w:rPr>
          <w:color w:val="231F20"/>
          <w:spacing w:val="-14"/>
          <w:sz w:val="15"/>
        </w:rPr>
        <w:t xml:space="preserve"> </w:t>
      </w:r>
      <w:r>
        <w:rPr>
          <w:color w:val="231F20"/>
          <w:sz w:val="15"/>
        </w:rPr>
        <w:t>a</w:t>
      </w:r>
      <w:r>
        <w:rPr>
          <w:color w:val="231F20"/>
          <w:spacing w:val="-15"/>
          <w:sz w:val="15"/>
        </w:rPr>
        <w:t xml:space="preserve"> </w:t>
      </w:r>
      <w:r>
        <w:rPr>
          <w:color w:val="231F20"/>
          <w:spacing w:val="-8"/>
          <w:sz w:val="15"/>
        </w:rPr>
        <w:t xml:space="preserve">to </w:t>
      </w:r>
      <w:r>
        <w:rPr>
          <w:color w:val="231F20"/>
          <w:sz w:val="15"/>
        </w:rPr>
        <w:t>úměrně</w:t>
      </w:r>
      <w:r>
        <w:rPr>
          <w:color w:val="231F20"/>
          <w:spacing w:val="-12"/>
          <w:sz w:val="15"/>
        </w:rPr>
        <w:t xml:space="preserve"> </w:t>
      </w:r>
      <w:r>
        <w:rPr>
          <w:color w:val="231F20"/>
          <w:sz w:val="15"/>
        </w:rPr>
        <w:t>tomu,</w:t>
      </w:r>
      <w:r>
        <w:rPr>
          <w:color w:val="231F20"/>
          <w:spacing w:val="-13"/>
          <w:sz w:val="15"/>
        </w:rPr>
        <w:t xml:space="preserve"> </w:t>
      </w:r>
      <w:r>
        <w:rPr>
          <w:color w:val="231F20"/>
          <w:sz w:val="15"/>
        </w:rPr>
        <w:t>jaký</w:t>
      </w:r>
      <w:r>
        <w:rPr>
          <w:color w:val="231F20"/>
          <w:spacing w:val="-12"/>
          <w:sz w:val="15"/>
        </w:rPr>
        <w:t xml:space="preserve"> </w:t>
      </w:r>
      <w:r>
        <w:rPr>
          <w:color w:val="231F20"/>
          <w:sz w:val="15"/>
        </w:rPr>
        <w:t>vliv</w:t>
      </w:r>
      <w:r>
        <w:rPr>
          <w:color w:val="231F20"/>
          <w:spacing w:val="-12"/>
          <w:sz w:val="15"/>
        </w:rPr>
        <w:t xml:space="preserve"> </w:t>
      </w:r>
      <w:r>
        <w:rPr>
          <w:color w:val="231F20"/>
          <w:sz w:val="15"/>
        </w:rPr>
        <w:t>mělo</w:t>
      </w:r>
      <w:r>
        <w:rPr>
          <w:color w:val="231F20"/>
          <w:spacing w:val="-12"/>
          <w:sz w:val="15"/>
        </w:rPr>
        <w:t xml:space="preserve"> </w:t>
      </w:r>
      <w:r>
        <w:rPr>
          <w:color w:val="231F20"/>
          <w:sz w:val="15"/>
        </w:rPr>
        <w:t>uvedené</w:t>
      </w:r>
      <w:r>
        <w:rPr>
          <w:color w:val="231F20"/>
          <w:spacing w:val="-12"/>
          <w:sz w:val="15"/>
        </w:rPr>
        <w:t xml:space="preserve"> </w:t>
      </w:r>
      <w:r>
        <w:rPr>
          <w:color w:val="231F20"/>
          <w:sz w:val="15"/>
        </w:rPr>
        <w:t>porušení</w:t>
      </w:r>
      <w:r>
        <w:rPr>
          <w:color w:val="231F20"/>
          <w:spacing w:val="-12"/>
          <w:sz w:val="15"/>
        </w:rPr>
        <w:t xml:space="preserve"> </w:t>
      </w:r>
      <w:r>
        <w:rPr>
          <w:color w:val="231F20"/>
          <w:sz w:val="15"/>
        </w:rPr>
        <w:t>na</w:t>
      </w:r>
      <w:r>
        <w:rPr>
          <w:color w:val="231F20"/>
          <w:spacing w:val="-12"/>
          <w:sz w:val="15"/>
        </w:rPr>
        <w:t xml:space="preserve"> </w:t>
      </w:r>
      <w:r>
        <w:rPr>
          <w:color w:val="231F20"/>
          <w:sz w:val="15"/>
        </w:rPr>
        <w:t>rozsah</w:t>
      </w:r>
      <w:r>
        <w:rPr>
          <w:color w:val="231F20"/>
          <w:spacing w:val="-12"/>
          <w:sz w:val="15"/>
        </w:rPr>
        <w:t xml:space="preserve"> </w:t>
      </w:r>
      <w:r>
        <w:rPr>
          <w:color w:val="231F20"/>
          <w:sz w:val="15"/>
        </w:rPr>
        <w:t>povinnosti</w:t>
      </w:r>
      <w:r>
        <w:rPr>
          <w:color w:val="231F20"/>
          <w:spacing w:val="-12"/>
          <w:sz w:val="15"/>
        </w:rPr>
        <w:t xml:space="preserve"> </w:t>
      </w:r>
      <w:r>
        <w:rPr>
          <w:color w:val="231F20"/>
          <w:sz w:val="15"/>
        </w:rPr>
        <w:t>Pojiš- ťovny poskytnout pojistné</w:t>
      </w:r>
      <w:r>
        <w:rPr>
          <w:color w:val="231F20"/>
          <w:spacing w:val="-4"/>
          <w:sz w:val="15"/>
        </w:rPr>
        <w:t xml:space="preserve"> </w:t>
      </w:r>
      <w:r>
        <w:rPr>
          <w:color w:val="231F20"/>
          <w:sz w:val="15"/>
        </w:rPr>
        <w:t>plnění;</w:t>
      </w:r>
    </w:p>
    <w:p w14:paraId="47223D8B" w14:textId="77777777" w:rsidR="00F65BCA" w:rsidRDefault="00216117">
      <w:pPr>
        <w:pStyle w:val="Odstavecseseznamem"/>
        <w:numPr>
          <w:ilvl w:val="0"/>
          <w:numId w:val="100"/>
        </w:numPr>
        <w:tabs>
          <w:tab w:val="left" w:pos="635"/>
        </w:tabs>
        <w:spacing w:line="278" w:lineRule="auto"/>
        <w:ind w:right="424"/>
        <w:jc w:val="both"/>
        <w:rPr>
          <w:sz w:val="15"/>
        </w:rPr>
      </w:pPr>
      <w:r>
        <w:rPr>
          <w:color w:val="231F20"/>
          <w:sz w:val="15"/>
        </w:rPr>
        <w:t>odmítnout</w:t>
      </w:r>
      <w:r>
        <w:rPr>
          <w:color w:val="231F20"/>
          <w:spacing w:val="-11"/>
          <w:sz w:val="15"/>
        </w:rPr>
        <w:t xml:space="preserve"> </w:t>
      </w:r>
      <w:r>
        <w:rPr>
          <w:color w:val="231F20"/>
          <w:sz w:val="15"/>
        </w:rPr>
        <w:t>pojistné</w:t>
      </w:r>
      <w:r>
        <w:rPr>
          <w:color w:val="231F20"/>
          <w:spacing w:val="-10"/>
          <w:sz w:val="15"/>
        </w:rPr>
        <w:t xml:space="preserve"> </w:t>
      </w:r>
      <w:r>
        <w:rPr>
          <w:color w:val="231F20"/>
          <w:sz w:val="15"/>
        </w:rPr>
        <w:t>plnění,</w:t>
      </w:r>
      <w:r>
        <w:rPr>
          <w:color w:val="231F20"/>
          <w:spacing w:val="-11"/>
          <w:sz w:val="15"/>
        </w:rPr>
        <w:t xml:space="preserve"> </w:t>
      </w:r>
      <w:r>
        <w:rPr>
          <w:color w:val="231F20"/>
          <w:sz w:val="15"/>
        </w:rPr>
        <w:t>jestliže</w:t>
      </w:r>
      <w:r>
        <w:rPr>
          <w:color w:val="231F20"/>
          <w:spacing w:val="-10"/>
          <w:sz w:val="15"/>
        </w:rPr>
        <w:t xml:space="preserve"> </w:t>
      </w:r>
      <w:r>
        <w:rPr>
          <w:color w:val="231F20"/>
          <w:sz w:val="15"/>
        </w:rPr>
        <w:t>oprávněná</w:t>
      </w:r>
      <w:r>
        <w:rPr>
          <w:color w:val="231F20"/>
          <w:spacing w:val="-11"/>
          <w:sz w:val="15"/>
        </w:rPr>
        <w:t xml:space="preserve"> </w:t>
      </w:r>
      <w:r>
        <w:rPr>
          <w:color w:val="231F20"/>
          <w:sz w:val="15"/>
        </w:rPr>
        <w:t>osoba</w:t>
      </w:r>
      <w:r>
        <w:rPr>
          <w:color w:val="231F20"/>
          <w:spacing w:val="-10"/>
          <w:sz w:val="15"/>
        </w:rPr>
        <w:t xml:space="preserve"> </w:t>
      </w:r>
      <w:r>
        <w:rPr>
          <w:color w:val="231F20"/>
          <w:sz w:val="15"/>
        </w:rPr>
        <w:t>uvede</w:t>
      </w:r>
      <w:r>
        <w:rPr>
          <w:color w:val="231F20"/>
          <w:spacing w:val="-11"/>
          <w:sz w:val="15"/>
        </w:rPr>
        <w:t xml:space="preserve"> </w:t>
      </w:r>
      <w:r>
        <w:rPr>
          <w:color w:val="231F20"/>
          <w:sz w:val="15"/>
        </w:rPr>
        <w:t>při</w:t>
      </w:r>
      <w:r>
        <w:rPr>
          <w:color w:val="231F20"/>
          <w:spacing w:val="-10"/>
          <w:sz w:val="15"/>
        </w:rPr>
        <w:t xml:space="preserve"> </w:t>
      </w:r>
      <w:r>
        <w:rPr>
          <w:color w:val="231F20"/>
          <w:sz w:val="15"/>
        </w:rPr>
        <w:t>uplatňování práva</w:t>
      </w:r>
      <w:r>
        <w:rPr>
          <w:color w:val="231F20"/>
          <w:spacing w:val="-17"/>
          <w:sz w:val="15"/>
        </w:rPr>
        <w:t xml:space="preserve"> </w:t>
      </w:r>
      <w:r>
        <w:rPr>
          <w:color w:val="231F20"/>
          <w:sz w:val="15"/>
        </w:rPr>
        <w:t>na</w:t>
      </w:r>
      <w:r>
        <w:rPr>
          <w:color w:val="231F20"/>
          <w:spacing w:val="-17"/>
          <w:sz w:val="15"/>
        </w:rPr>
        <w:t xml:space="preserve"> </w:t>
      </w:r>
      <w:r>
        <w:rPr>
          <w:color w:val="231F20"/>
          <w:sz w:val="15"/>
        </w:rPr>
        <w:t>plnění</w:t>
      </w:r>
      <w:r>
        <w:rPr>
          <w:color w:val="231F20"/>
          <w:spacing w:val="-17"/>
          <w:sz w:val="15"/>
        </w:rPr>
        <w:t xml:space="preserve"> </w:t>
      </w:r>
      <w:r>
        <w:rPr>
          <w:color w:val="231F20"/>
          <w:sz w:val="15"/>
        </w:rPr>
        <w:t>z</w:t>
      </w:r>
      <w:r>
        <w:rPr>
          <w:color w:val="231F20"/>
          <w:spacing w:val="-16"/>
          <w:sz w:val="15"/>
        </w:rPr>
        <w:t xml:space="preserve"> </w:t>
      </w:r>
      <w:r>
        <w:rPr>
          <w:color w:val="231F20"/>
          <w:sz w:val="15"/>
        </w:rPr>
        <w:t>pojištění</w:t>
      </w:r>
      <w:r>
        <w:rPr>
          <w:color w:val="231F20"/>
          <w:spacing w:val="-17"/>
          <w:sz w:val="15"/>
        </w:rPr>
        <w:t xml:space="preserve"> </w:t>
      </w:r>
      <w:r>
        <w:rPr>
          <w:color w:val="231F20"/>
          <w:sz w:val="15"/>
        </w:rPr>
        <w:t>vědomě</w:t>
      </w:r>
      <w:r>
        <w:rPr>
          <w:color w:val="231F20"/>
          <w:spacing w:val="-17"/>
          <w:sz w:val="15"/>
        </w:rPr>
        <w:t xml:space="preserve"> </w:t>
      </w:r>
      <w:r>
        <w:rPr>
          <w:color w:val="231F20"/>
          <w:sz w:val="15"/>
        </w:rPr>
        <w:t>nepravdivé</w:t>
      </w:r>
      <w:r>
        <w:rPr>
          <w:color w:val="231F20"/>
          <w:spacing w:val="-17"/>
          <w:sz w:val="15"/>
        </w:rPr>
        <w:t xml:space="preserve"> </w:t>
      </w:r>
      <w:r>
        <w:rPr>
          <w:color w:val="231F20"/>
          <w:sz w:val="15"/>
        </w:rPr>
        <w:t>nebo</w:t>
      </w:r>
      <w:r>
        <w:rPr>
          <w:color w:val="231F20"/>
          <w:spacing w:val="-16"/>
          <w:sz w:val="15"/>
        </w:rPr>
        <w:t xml:space="preserve"> </w:t>
      </w:r>
      <w:r>
        <w:rPr>
          <w:color w:val="231F20"/>
          <w:sz w:val="15"/>
        </w:rPr>
        <w:t>hrubě</w:t>
      </w:r>
      <w:r>
        <w:rPr>
          <w:color w:val="231F20"/>
          <w:spacing w:val="-17"/>
          <w:sz w:val="15"/>
        </w:rPr>
        <w:t xml:space="preserve"> </w:t>
      </w:r>
      <w:r>
        <w:rPr>
          <w:color w:val="231F20"/>
          <w:sz w:val="15"/>
        </w:rPr>
        <w:t>zkreslené</w:t>
      </w:r>
      <w:r>
        <w:rPr>
          <w:color w:val="231F20"/>
          <w:spacing w:val="-17"/>
          <w:sz w:val="15"/>
        </w:rPr>
        <w:t xml:space="preserve"> </w:t>
      </w:r>
      <w:r>
        <w:rPr>
          <w:color w:val="231F20"/>
          <w:spacing w:val="-3"/>
          <w:sz w:val="15"/>
        </w:rPr>
        <w:t xml:space="preserve">údaje </w:t>
      </w:r>
      <w:r>
        <w:rPr>
          <w:color w:val="231F20"/>
          <w:sz w:val="15"/>
        </w:rPr>
        <w:t>týkající</w:t>
      </w:r>
      <w:r>
        <w:rPr>
          <w:color w:val="231F20"/>
          <w:spacing w:val="-15"/>
          <w:sz w:val="15"/>
        </w:rPr>
        <w:t xml:space="preserve"> </w:t>
      </w:r>
      <w:r>
        <w:rPr>
          <w:color w:val="231F20"/>
          <w:sz w:val="15"/>
        </w:rPr>
        <w:t>se</w:t>
      </w:r>
      <w:r>
        <w:rPr>
          <w:color w:val="231F20"/>
          <w:spacing w:val="-15"/>
          <w:sz w:val="15"/>
        </w:rPr>
        <w:t xml:space="preserve"> </w:t>
      </w:r>
      <w:r>
        <w:rPr>
          <w:color w:val="231F20"/>
          <w:sz w:val="15"/>
        </w:rPr>
        <w:t>rozsahu</w:t>
      </w:r>
      <w:r>
        <w:rPr>
          <w:color w:val="231F20"/>
          <w:spacing w:val="-15"/>
          <w:sz w:val="15"/>
        </w:rPr>
        <w:t xml:space="preserve"> </w:t>
      </w:r>
      <w:r>
        <w:rPr>
          <w:color w:val="231F20"/>
          <w:sz w:val="15"/>
        </w:rPr>
        <w:t>a</w:t>
      </w:r>
      <w:r>
        <w:rPr>
          <w:color w:val="231F20"/>
          <w:spacing w:val="-15"/>
          <w:sz w:val="15"/>
        </w:rPr>
        <w:t xml:space="preserve"> </w:t>
      </w:r>
      <w:r>
        <w:rPr>
          <w:color w:val="231F20"/>
          <w:sz w:val="15"/>
        </w:rPr>
        <w:t>příčiny</w:t>
      </w:r>
      <w:r>
        <w:rPr>
          <w:color w:val="231F20"/>
          <w:spacing w:val="-15"/>
          <w:sz w:val="15"/>
        </w:rPr>
        <w:t xml:space="preserve"> </w:t>
      </w:r>
      <w:r>
        <w:rPr>
          <w:color w:val="231F20"/>
          <w:sz w:val="15"/>
        </w:rPr>
        <w:t>pojistné</w:t>
      </w:r>
      <w:r>
        <w:rPr>
          <w:color w:val="231F20"/>
          <w:spacing w:val="-15"/>
          <w:sz w:val="15"/>
        </w:rPr>
        <w:t xml:space="preserve"> </w:t>
      </w:r>
      <w:r>
        <w:rPr>
          <w:color w:val="231F20"/>
          <w:sz w:val="15"/>
        </w:rPr>
        <w:t>události</w:t>
      </w:r>
      <w:r>
        <w:rPr>
          <w:color w:val="231F20"/>
          <w:spacing w:val="-14"/>
          <w:sz w:val="15"/>
        </w:rPr>
        <w:t xml:space="preserve"> </w:t>
      </w:r>
      <w:r>
        <w:rPr>
          <w:color w:val="231F20"/>
          <w:sz w:val="15"/>
        </w:rPr>
        <w:t>nebo</w:t>
      </w:r>
      <w:r>
        <w:rPr>
          <w:color w:val="231F20"/>
          <w:spacing w:val="-15"/>
          <w:sz w:val="15"/>
        </w:rPr>
        <w:t xml:space="preserve"> </w:t>
      </w:r>
      <w:r>
        <w:rPr>
          <w:color w:val="231F20"/>
          <w:sz w:val="15"/>
        </w:rPr>
        <w:t>podstatné</w:t>
      </w:r>
      <w:r>
        <w:rPr>
          <w:color w:val="231F20"/>
          <w:spacing w:val="-15"/>
          <w:sz w:val="15"/>
        </w:rPr>
        <w:t xml:space="preserve"> </w:t>
      </w:r>
      <w:r>
        <w:rPr>
          <w:color w:val="231F20"/>
          <w:sz w:val="15"/>
        </w:rPr>
        <w:t>údaje</w:t>
      </w:r>
      <w:r>
        <w:rPr>
          <w:color w:val="231F20"/>
          <w:spacing w:val="-15"/>
          <w:sz w:val="15"/>
        </w:rPr>
        <w:t xml:space="preserve"> </w:t>
      </w:r>
      <w:r>
        <w:rPr>
          <w:color w:val="231F20"/>
          <w:sz w:val="15"/>
        </w:rPr>
        <w:t>týkající se</w:t>
      </w:r>
      <w:r>
        <w:rPr>
          <w:color w:val="231F20"/>
          <w:spacing w:val="-19"/>
          <w:sz w:val="15"/>
        </w:rPr>
        <w:t xml:space="preserve"> </w:t>
      </w:r>
      <w:r>
        <w:rPr>
          <w:color w:val="231F20"/>
          <w:sz w:val="15"/>
        </w:rPr>
        <w:t>této</w:t>
      </w:r>
      <w:r>
        <w:rPr>
          <w:color w:val="231F20"/>
          <w:spacing w:val="-18"/>
          <w:sz w:val="15"/>
        </w:rPr>
        <w:t xml:space="preserve"> </w:t>
      </w:r>
      <w:r>
        <w:rPr>
          <w:color w:val="231F20"/>
          <w:sz w:val="15"/>
        </w:rPr>
        <w:t>události</w:t>
      </w:r>
      <w:r>
        <w:rPr>
          <w:color w:val="231F20"/>
          <w:spacing w:val="-18"/>
          <w:sz w:val="15"/>
        </w:rPr>
        <w:t xml:space="preserve"> </w:t>
      </w:r>
      <w:r>
        <w:rPr>
          <w:color w:val="231F20"/>
          <w:sz w:val="15"/>
        </w:rPr>
        <w:t>zamlčí.</w:t>
      </w:r>
      <w:r>
        <w:rPr>
          <w:color w:val="231F20"/>
          <w:spacing w:val="-18"/>
          <w:sz w:val="15"/>
        </w:rPr>
        <w:t xml:space="preserve"> </w:t>
      </w:r>
      <w:r>
        <w:rPr>
          <w:color w:val="231F20"/>
          <w:sz w:val="15"/>
        </w:rPr>
        <w:t>Dnem</w:t>
      </w:r>
      <w:r>
        <w:rPr>
          <w:color w:val="231F20"/>
          <w:spacing w:val="-19"/>
          <w:sz w:val="15"/>
        </w:rPr>
        <w:t xml:space="preserve"> </w:t>
      </w:r>
      <w:r>
        <w:rPr>
          <w:color w:val="231F20"/>
          <w:sz w:val="15"/>
        </w:rPr>
        <w:t>odmítnutí</w:t>
      </w:r>
      <w:r>
        <w:rPr>
          <w:color w:val="231F20"/>
          <w:spacing w:val="-18"/>
          <w:sz w:val="15"/>
        </w:rPr>
        <w:t xml:space="preserve"> </w:t>
      </w:r>
      <w:r>
        <w:rPr>
          <w:color w:val="231F20"/>
          <w:sz w:val="15"/>
        </w:rPr>
        <w:t>pojistného</w:t>
      </w:r>
      <w:r>
        <w:rPr>
          <w:color w:val="231F20"/>
          <w:spacing w:val="-18"/>
          <w:sz w:val="15"/>
        </w:rPr>
        <w:t xml:space="preserve"> </w:t>
      </w:r>
      <w:r>
        <w:rPr>
          <w:color w:val="231F20"/>
          <w:sz w:val="15"/>
        </w:rPr>
        <w:t>plnění</w:t>
      </w:r>
      <w:r>
        <w:rPr>
          <w:color w:val="231F20"/>
          <w:spacing w:val="-18"/>
          <w:sz w:val="15"/>
        </w:rPr>
        <w:t xml:space="preserve"> </w:t>
      </w:r>
      <w:r>
        <w:rPr>
          <w:color w:val="231F20"/>
          <w:sz w:val="15"/>
        </w:rPr>
        <w:t>pojištění</w:t>
      </w:r>
      <w:r>
        <w:rPr>
          <w:color w:val="231F20"/>
          <w:spacing w:val="-19"/>
          <w:sz w:val="15"/>
        </w:rPr>
        <w:t xml:space="preserve"> </w:t>
      </w:r>
      <w:r>
        <w:rPr>
          <w:color w:val="231F20"/>
          <w:sz w:val="15"/>
        </w:rPr>
        <w:t>jednotli- vého vozidla</w:t>
      </w:r>
      <w:r>
        <w:rPr>
          <w:color w:val="231F20"/>
          <w:spacing w:val="-2"/>
          <w:sz w:val="15"/>
        </w:rPr>
        <w:t xml:space="preserve"> </w:t>
      </w:r>
      <w:r>
        <w:rPr>
          <w:color w:val="231F20"/>
          <w:sz w:val="15"/>
        </w:rPr>
        <w:t>zanikne.</w:t>
      </w:r>
    </w:p>
    <w:p w14:paraId="079FDED5" w14:textId="77777777" w:rsidR="00F65BCA" w:rsidRDefault="00F65BCA">
      <w:pPr>
        <w:pStyle w:val="Zkladntext"/>
        <w:spacing w:before="5"/>
        <w:rPr>
          <w:sz w:val="20"/>
        </w:rPr>
      </w:pPr>
    </w:p>
    <w:p w14:paraId="1B3442FC" w14:textId="77777777" w:rsidR="00F65BCA" w:rsidRDefault="00216117">
      <w:pPr>
        <w:ind w:left="182"/>
        <w:rPr>
          <w:sz w:val="15"/>
        </w:rPr>
      </w:pPr>
      <w:r>
        <w:rPr>
          <w:color w:val="FFFFFF"/>
          <w:position w:val="3"/>
          <w:sz w:val="16"/>
          <w:shd w:val="clear" w:color="auto" w:fill="808285"/>
        </w:rPr>
        <w:t xml:space="preserve">  </w:t>
      </w:r>
      <w:r>
        <w:rPr>
          <w:color w:val="FFFFFF"/>
          <w:w w:val="105"/>
          <w:position w:val="3"/>
          <w:sz w:val="16"/>
          <w:shd w:val="clear" w:color="auto" w:fill="808285"/>
        </w:rPr>
        <w:t>Článek 31</w:t>
      </w:r>
      <w:r>
        <w:rPr>
          <w:color w:val="FFFFFF"/>
          <w:w w:val="105"/>
          <w:position w:val="3"/>
          <w:sz w:val="16"/>
        </w:rPr>
        <w:t xml:space="preserve"> </w:t>
      </w:r>
      <w:r>
        <w:rPr>
          <w:color w:val="231F20"/>
          <w:w w:val="105"/>
          <w:sz w:val="15"/>
        </w:rPr>
        <w:t>Vinkulace pojistného plnění</w:t>
      </w:r>
    </w:p>
    <w:p w14:paraId="3EFA7A77" w14:textId="77777777" w:rsidR="00F65BCA" w:rsidRDefault="00216117">
      <w:pPr>
        <w:pStyle w:val="Zkladntext"/>
        <w:spacing w:before="147" w:line="278" w:lineRule="auto"/>
        <w:ind w:left="464"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18"/>
          <w:position w:val="1"/>
          <w:sz w:val="14"/>
        </w:rPr>
        <w:t xml:space="preserve"> </w:t>
      </w:r>
      <w:r>
        <w:rPr>
          <w:color w:val="231F20"/>
        </w:rPr>
        <w:t>Pojistné</w:t>
      </w:r>
      <w:r>
        <w:rPr>
          <w:color w:val="231F20"/>
          <w:spacing w:val="-10"/>
        </w:rPr>
        <w:t xml:space="preserve"> </w:t>
      </w:r>
      <w:r>
        <w:rPr>
          <w:color w:val="231F20"/>
        </w:rPr>
        <w:t>plnění</w:t>
      </w:r>
      <w:r>
        <w:rPr>
          <w:color w:val="231F20"/>
          <w:spacing w:val="-10"/>
        </w:rPr>
        <w:t xml:space="preserve"> </w:t>
      </w:r>
      <w:r>
        <w:rPr>
          <w:color w:val="231F20"/>
        </w:rPr>
        <w:t>z</w:t>
      </w:r>
      <w:r>
        <w:rPr>
          <w:color w:val="231F20"/>
          <w:spacing w:val="-10"/>
        </w:rPr>
        <w:t xml:space="preserve"> </w:t>
      </w:r>
      <w:r>
        <w:rPr>
          <w:color w:val="231F20"/>
        </w:rPr>
        <w:t>pojištění</w:t>
      </w:r>
      <w:r>
        <w:rPr>
          <w:color w:val="231F20"/>
          <w:spacing w:val="-10"/>
        </w:rPr>
        <w:t xml:space="preserve"> </w:t>
      </w:r>
      <w:r>
        <w:rPr>
          <w:color w:val="231F20"/>
        </w:rPr>
        <w:t>jednotlivého</w:t>
      </w:r>
      <w:r>
        <w:rPr>
          <w:color w:val="231F20"/>
          <w:spacing w:val="-10"/>
        </w:rPr>
        <w:t xml:space="preserve"> </w:t>
      </w:r>
      <w:r>
        <w:rPr>
          <w:color w:val="231F20"/>
        </w:rPr>
        <w:t>vozidla</w:t>
      </w:r>
      <w:r>
        <w:rPr>
          <w:color w:val="231F20"/>
          <w:spacing w:val="-10"/>
        </w:rPr>
        <w:t xml:space="preserve"> </w:t>
      </w:r>
      <w:r>
        <w:rPr>
          <w:color w:val="231F20"/>
        </w:rPr>
        <w:t>lze</w:t>
      </w:r>
      <w:r>
        <w:rPr>
          <w:color w:val="231F20"/>
          <w:spacing w:val="-10"/>
        </w:rPr>
        <w:t xml:space="preserve"> </w:t>
      </w:r>
      <w:r>
        <w:rPr>
          <w:color w:val="231F20"/>
        </w:rPr>
        <w:t>vinkulovat</w:t>
      </w:r>
      <w:r>
        <w:rPr>
          <w:color w:val="231F20"/>
          <w:spacing w:val="-9"/>
        </w:rPr>
        <w:t xml:space="preserve"> </w:t>
      </w:r>
      <w:r>
        <w:rPr>
          <w:color w:val="231F20"/>
        </w:rPr>
        <w:t>ve</w:t>
      </w:r>
      <w:r>
        <w:rPr>
          <w:color w:val="231F20"/>
          <w:spacing w:val="-10"/>
        </w:rPr>
        <w:t xml:space="preserve"> </w:t>
      </w:r>
      <w:r>
        <w:rPr>
          <w:color w:val="231F20"/>
        </w:rPr>
        <w:t>prospěch</w:t>
      </w:r>
      <w:r>
        <w:rPr>
          <w:color w:val="231F20"/>
          <w:spacing w:val="-10"/>
        </w:rPr>
        <w:t xml:space="preserve"> </w:t>
      </w:r>
      <w:r>
        <w:rPr>
          <w:color w:val="231F20"/>
          <w:spacing w:val="-4"/>
        </w:rPr>
        <w:t xml:space="preserve">třetí </w:t>
      </w:r>
      <w:r>
        <w:rPr>
          <w:color w:val="231F20"/>
        </w:rPr>
        <w:t>osoby na základě dohody smluvních</w:t>
      </w:r>
      <w:r>
        <w:rPr>
          <w:color w:val="231F20"/>
          <w:spacing w:val="-8"/>
        </w:rPr>
        <w:t xml:space="preserve"> </w:t>
      </w:r>
      <w:r>
        <w:rPr>
          <w:color w:val="231F20"/>
        </w:rPr>
        <w:t>stran.</w:t>
      </w:r>
    </w:p>
    <w:p w14:paraId="2A38F48F" w14:textId="77777777" w:rsidR="00F65BCA" w:rsidRDefault="00216117">
      <w:pPr>
        <w:pStyle w:val="Zkladntext"/>
        <w:spacing w:line="278" w:lineRule="auto"/>
        <w:ind w:left="464" w:right="426"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position w:val="1"/>
          <w:sz w:val="14"/>
        </w:rPr>
        <w:t xml:space="preserve"> </w:t>
      </w:r>
      <w:r>
        <w:rPr>
          <w:color w:val="231F20"/>
        </w:rPr>
        <w:t xml:space="preserve">Vinkulace pojistného plnění může být </w:t>
      </w:r>
      <w:r>
        <w:rPr>
          <w:color w:val="231F20"/>
          <w:spacing w:val="-3"/>
        </w:rPr>
        <w:t xml:space="preserve">provedena </w:t>
      </w:r>
      <w:r>
        <w:rPr>
          <w:color w:val="231F20"/>
        </w:rPr>
        <w:t xml:space="preserve">pouze na žádost pojistníka. </w:t>
      </w:r>
      <w:r>
        <w:rPr>
          <w:color w:val="231F20"/>
          <w:w w:val="95"/>
        </w:rPr>
        <w:t>Je-li</w:t>
      </w:r>
      <w:r>
        <w:rPr>
          <w:color w:val="231F20"/>
          <w:spacing w:val="-18"/>
          <w:w w:val="95"/>
        </w:rPr>
        <w:t xml:space="preserve"> </w:t>
      </w:r>
      <w:r>
        <w:rPr>
          <w:color w:val="231F20"/>
          <w:w w:val="95"/>
        </w:rPr>
        <w:t>pojistník</w:t>
      </w:r>
      <w:r>
        <w:rPr>
          <w:color w:val="231F20"/>
          <w:spacing w:val="-18"/>
          <w:w w:val="95"/>
        </w:rPr>
        <w:t xml:space="preserve"> </w:t>
      </w:r>
      <w:r>
        <w:rPr>
          <w:color w:val="231F20"/>
          <w:w w:val="95"/>
        </w:rPr>
        <w:t>odlišný</w:t>
      </w:r>
      <w:r>
        <w:rPr>
          <w:color w:val="231F20"/>
          <w:spacing w:val="-18"/>
          <w:w w:val="95"/>
        </w:rPr>
        <w:t xml:space="preserve"> </w:t>
      </w:r>
      <w:r>
        <w:rPr>
          <w:color w:val="231F20"/>
          <w:w w:val="95"/>
        </w:rPr>
        <w:t>od</w:t>
      </w:r>
      <w:r>
        <w:rPr>
          <w:color w:val="231F20"/>
          <w:spacing w:val="-18"/>
          <w:w w:val="95"/>
        </w:rPr>
        <w:t xml:space="preserve"> </w:t>
      </w:r>
      <w:r>
        <w:rPr>
          <w:color w:val="231F20"/>
          <w:w w:val="95"/>
        </w:rPr>
        <w:t>pojištěného,</w:t>
      </w:r>
      <w:r>
        <w:rPr>
          <w:color w:val="231F20"/>
          <w:spacing w:val="-18"/>
          <w:w w:val="95"/>
        </w:rPr>
        <w:t xml:space="preserve"> </w:t>
      </w:r>
      <w:r>
        <w:rPr>
          <w:color w:val="231F20"/>
          <w:w w:val="95"/>
        </w:rPr>
        <w:t>lze</w:t>
      </w:r>
      <w:r>
        <w:rPr>
          <w:color w:val="231F20"/>
          <w:spacing w:val="-18"/>
          <w:w w:val="95"/>
        </w:rPr>
        <w:t xml:space="preserve"> </w:t>
      </w:r>
      <w:r>
        <w:rPr>
          <w:color w:val="231F20"/>
          <w:w w:val="95"/>
        </w:rPr>
        <w:t>vinkulovat</w:t>
      </w:r>
      <w:r>
        <w:rPr>
          <w:color w:val="231F20"/>
          <w:spacing w:val="-18"/>
          <w:w w:val="95"/>
        </w:rPr>
        <w:t xml:space="preserve"> </w:t>
      </w:r>
      <w:r>
        <w:rPr>
          <w:color w:val="231F20"/>
          <w:w w:val="95"/>
        </w:rPr>
        <w:t>jen</w:t>
      </w:r>
      <w:r>
        <w:rPr>
          <w:color w:val="231F20"/>
          <w:spacing w:val="-18"/>
          <w:w w:val="95"/>
        </w:rPr>
        <w:t xml:space="preserve"> </w:t>
      </w:r>
      <w:r>
        <w:rPr>
          <w:color w:val="231F20"/>
          <w:w w:val="95"/>
        </w:rPr>
        <w:t>se</w:t>
      </w:r>
      <w:r>
        <w:rPr>
          <w:color w:val="231F20"/>
          <w:spacing w:val="-18"/>
          <w:w w:val="95"/>
        </w:rPr>
        <w:t xml:space="preserve"> </w:t>
      </w:r>
      <w:r>
        <w:rPr>
          <w:color w:val="231F20"/>
          <w:w w:val="95"/>
        </w:rPr>
        <w:t>souhlasem</w:t>
      </w:r>
      <w:r>
        <w:rPr>
          <w:color w:val="231F20"/>
          <w:spacing w:val="-18"/>
          <w:w w:val="95"/>
        </w:rPr>
        <w:t xml:space="preserve"> </w:t>
      </w:r>
      <w:r>
        <w:rPr>
          <w:color w:val="231F20"/>
          <w:spacing w:val="-2"/>
          <w:w w:val="95"/>
        </w:rPr>
        <w:t>pojištěného.</w:t>
      </w:r>
    </w:p>
    <w:p w14:paraId="660AD6CE" w14:textId="77777777" w:rsidR="00F65BCA" w:rsidRDefault="00F65BCA">
      <w:pPr>
        <w:spacing w:line="278" w:lineRule="auto"/>
        <w:jc w:val="both"/>
        <w:sectPr w:rsidR="00F65BCA">
          <w:pgSz w:w="11910" w:h="16840"/>
          <w:pgMar w:top="520" w:right="140" w:bottom="0" w:left="140" w:header="708" w:footer="708" w:gutter="0"/>
          <w:cols w:num="2" w:space="708" w:equalWidth="0">
            <w:col w:w="5706" w:space="40"/>
            <w:col w:w="5884"/>
          </w:cols>
        </w:sectPr>
      </w:pPr>
    </w:p>
    <w:p w14:paraId="48DF9A44" w14:textId="77777777" w:rsidR="00F65BCA" w:rsidRDefault="00000000">
      <w:pPr>
        <w:pStyle w:val="Zkladntext"/>
        <w:ind w:left="426" w:right="-72"/>
        <w:rPr>
          <w:sz w:val="20"/>
        </w:rPr>
      </w:pPr>
      <w:r>
        <w:lastRenderedPageBreak/>
        <w:pict w14:anchorId="51BC9CAE">
          <v:group id="_x0000_s2260" style="position:absolute;left:0;text-align:left;margin-left:0;margin-top:807.85pt;width:595.3pt;height:34.05pt;z-index:251873280;mso-position-horizontal-relative:page;mso-position-vertical-relative:page" coordorigin=",16157" coordsize="11906,681">
            <v:rect id="_x0000_s2263" style="position:absolute;top:16157;width:11906;height:681" fillcolor="#dcddde" stroked="f"/>
            <v:shape id="_x0000_s2262" type="#_x0000_t202" style="position:absolute;left:793;top:16420;width:5475;height:234" filled="f" stroked="f">
              <v:textbox inset="0,0,0,0">
                <w:txbxContent>
                  <w:p w14:paraId="16BA0586" w14:textId="77777777" w:rsidR="00F65BCA" w:rsidRDefault="00216117">
                    <w:pPr>
                      <w:spacing w:before="3"/>
                      <w:rPr>
                        <w:sz w:val="16"/>
                      </w:rPr>
                    </w:pPr>
                    <w:r>
                      <w:rPr>
                        <w:color w:val="231F20"/>
                        <w:sz w:val="16"/>
                      </w:rPr>
                      <w:t xml:space="preserve">24 </w:t>
                    </w:r>
                    <w:r>
                      <w:rPr>
                        <w:color w:val="6D6E71"/>
                        <w:sz w:val="20"/>
                      </w:rPr>
                      <w:t xml:space="preserve">| </w:t>
                    </w:r>
                    <w:r>
                      <w:rPr>
                        <w:color w:val="231F20"/>
                        <w:sz w:val="16"/>
                      </w:rPr>
                      <w:t>Všeobecné pojistné podmínky pro pojištění vozidel VPPPMV-F-5/2025</w:t>
                    </w:r>
                  </w:p>
                </w:txbxContent>
              </v:textbox>
            </v:shape>
            <v:shape id="_x0000_s2261" type="#_x0000_t202" style="position:absolute;left:9491;top:16477;width:1414;height:164" filled="f" stroked="f">
              <v:textbox inset="0,0,0,0">
                <w:txbxContent>
                  <w:p w14:paraId="40A054B5" w14:textId="77777777" w:rsidR="00F65BCA" w:rsidRDefault="00216117">
                    <w:pPr>
                      <w:spacing w:before="2"/>
                      <w:rPr>
                        <w:sz w:val="14"/>
                      </w:rPr>
                    </w:pPr>
                    <w:r>
                      <w:rPr>
                        <w:color w:val="231F20"/>
                        <w:sz w:val="14"/>
                      </w:rPr>
                      <w:t>6.20.012 05.2025 v04</w:t>
                    </w:r>
                  </w:p>
                </w:txbxContent>
              </v:textbox>
            </v:shape>
            <w10:wrap anchorx="page" anchory="page"/>
          </v:group>
        </w:pict>
      </w:r>
      <w:r>
        <w:rPr>
          <w:position w:val="-1"/>
          <w:sz w:val="20"/>
        </w:rPr>
      </w:r>
      <w:r>
        <w:rPr>
          <w:position w:val="-1"/>
          <w:sz w:val="20"/>
        </w:rPr>
        <w:pict w14:anchorId="118C036A">
          <v:shape id="_x0000_s2578" type="#_x0000_t202" style="width:262.15pt;height:18.35pt;mso-left-percent:-10001;mso-top-percent:-10001;mso-position-horizontal:absolute;mso-position-horizontal-relative:char;mso-position-vertical:absolute;mso-position-vertical-relative:line;mso-left-percent:-10001;mso-top-percent:-10001" filled="f" strokecolor="#231f20" strokeweight="1.5pt">
            <v:textbox inset="0,0,0,0">
              <w:txbxContent>
                <w:p w14:paraId="2DD5D54A" w14:textId="77777777" w:rsidR="00F65BCA" w:rsidRDefault="00216117">
                  <w:pPr>
                    <w:spacing w:before="29"/>
                    <w:ind w:left="778"/>
                    <w:rPr>
                      <w:sz w:val="24"/>
                    </w:rPr>
                  </w:pPr>
                  <w:r>
                    <w:rPr>
                      <w:color w:val="231F20"/>
                      <w:sz w:val="24"/>
                    </w:rPr>
                    <w:t>ODDÍL III. HAVARIJNÍ POJIŠTĚNÍ</w:t>
                  </w:r>
                </w:p>
              </w:txbxContent>
            </v:textbox>
            <w10:anchorlock/>
          </v:shape>
        </w:pict>
      </w:r>
    </w:p>
    <w:p w14:paraId="452DFF17" w14:textId="77777777" w:rsidR="00F65BCA" w:rsidRDefault="00F65BCA">
      <w:pPr>
        <w:pStyle w:val="Zkladntext"/>
        <w:spacing w:before="8"/>
        <w:rPr>
          <w:sz w:val="25"/>
        </w:rPr>
      </w:pPr>
    </w:p>
    <w:p w14:paraId="109FEDC6" w14:textId="77777777" w:rsidR="00F65BCA" w:rsidRDefault="00216117">
      <w:pPr>
        <w:ind w:left="428"/>
        <w:rPr>
          <w:sz w:val="15"/>
        </w:rPr>
      </w:pPr>
      <w:r>
        <w:rPr>
          <w:color w:val="FFFFFF"/>
          <w:position w:val="3"/>
          <w:sz w:val="16"/>
          <w:shd w:val="clear" w:color="auto" w:fill="808285"/>
        </w:rPr>
        <w:t xml:space="preserve">  Článek 32</w:t>
      </w:r>
      <w:r>
        <w:rPr>
          <w:color w:val="FFFFFF"/>
          <w:position w:val="3"/>
          <w:sz w:val="16"/>
        </w:rPr>
        <w:t xml:space="preserve"> </w:t>
      </w:r>
      <w:r>
        <w:rPr>
          <w:color w:val="231F20"/>
          <w:sz w:val="15"/>
        </w:rPr>
        <w:t>Úvodní ustanovení</w:t>
      </w:r>
    </w:p>
    <w:p w14:paraId="6271854B" w14:textId="77777777" w:rsidR="00F65BCA" w:rsidRDefault="00216117">
      <w:pPr>
        <w:pStyle w:val="Zkladntext"/>
        <w:spacing w:before="148"/>
        <w:ind w:left="426"/>
        <w:jc w:val="both"/>
      </w:pPr>
      <w:r>
        <w:rPr>
          <w:color w:val="231F20"/>
        </w:rPr>
        <w:t>Havarijní pojištění je pojištění soukromé a sjednává se jako pojištění škodové.</w:t>
      </w:r>
    </w:p>
    <w:p w14:paraId="38136936" w14:textId="77777777" w:rsidR="00F65BCA" w:rsidRDefault="00F65BCA">
      <w:pPr>
        <w:pStyle w:val="Zkladntext"/>
        <w:spacing w:before="3"/>
        <w:rPr>
          <w:sz w:val="23"/>
        </w:rPr>
      </w:pPr>
    </w:p>
    <w:p w14:paraId="5BB803B9" w14:textId="77777777" w:rsidR="00F65BCA" w:rsidRDefault="00216117">
      <w:pPr>
        <w:spacing w:before="1"/>
        <w:ind w:left="428"/>
        <w:rPr>
          <w:sz w:val="15"/>
        </w:rPr>
      </w:pPr>
      <w:r>
        <w:rPr>
          <w:color w:val="FFFFFF"/>
          <w:position w:val="3"/>
          <w:sz w:val="16"/>
          <w:shd w:val="clear" w:color="auto" w:fill="808285"/>
        </w:rPr>
        <w:t xml:space="preserve">  </w:t>
      </w:r>
      <w:r>
        <w:rPr>
          <w:color w:val="FFFFFF"/>
          <w:w w:val="105"/>
          <w:position w:val="3"/>
          <w:sz w:val="16"/>
          <w:shd w:val="clear" w:color="auto" w:fill="808285"/>
        </w:rPr>
        <w:t>Článek 33</w:t>
      </w:r>
      <w:r>
        <w:rPr>
          <w:color w:val="FFFFFF"/>
          <w:w w:val="105"/>
          <w:position w:val="3"/>
          <w:sz w:val="16"/>
        </w:rPr>
        <w:t xml:space="preserve"> </w:t>
      </w:r>
      <w:r>
        <w:rPr>
          <w:color w:val="231F20"/>
          <w:w w:val="105"/>
          <w:sz w:val="15"/>
        </w:rPr>
        <w:t>Pojištěné věci a rozsah pojištění</w:t>
      </w:r>
    </w:p>
    <w:p w14:paraId="3D73B882" w14:textId="77777777" w:rsidR="00F65BCA" w:rsidRDefault="00216117">
      <w:pPr>
        <w:pStyle w:val="Zkladntext"/>
        <w:spacing w:before="147" w:line="278" w:lineRule="auto"/>
        <w:ind w:left="426"/>
        <w:jc w:val="both"/>
      </w:pPr>
      <w:r>
        <w:rPr>
          <w:color w:val="231F20"/>
        </w:rPr>
        <w:t>Havarijní</w:t>
      </w:r>
      <w:r>
        <w:rPr>
          <w:color w:val="231F20"/>
          <w:spacing w:val="-15"/>
        </w:rPr>
        <w:t xml:space="preserve"> </w:t>
      </w:r>
      <w:r>
        <w:rPr>
          <w:color w:val="231F20"/>
        </w:rPr>
        <w:t>pojištění</w:t>
      </w:r>
      <w:r>
        <w:rPr>
          <w:color w:val="231F20"/>
          <w:spacing w:val="-14"/>
        </w:rPr>
        <w:t xml:space="preserve"> </w:t>
      </w:r>
      <w:r>
        <w:rPr>
          <w:color w:val="231F20"/>
        </w:rPr>
        <w:t>je</w:t>
      </w:r>
      <w:r>
        <w:rPr>
          <w:color w:val="231F20"/>
          <w:spacing w:val="-14"/>
        </w:rPr>
        <w:t xml:space="preserve"> </w:t>
      </w:r>
      <w:r>
        <w:rPr>
          <w:color w:val="231F20"/>
        </w:rPr>
        <w:t>nabízeno</w:t>
      </w:r>
      <w:r>
        <w:rPr>
          <w:color w:val="231F20"/>
          <w:spacing w:val="-15"/>
        </w:rPr>
        <w:t xml:space="preserve"> </w:t>
      </w:r>
      <w:r>
        <w:rPr>
          <w:color w:val="231F20"/>
        </w:rPr>
        <w:t>v</w:t>
      </w:r>
      <w:r>
        <w:rPr>
          <w:color w:val="231F20"/>
          <w:spacing w:val="-14"/>
        </w:rPr>
        <w:t xml:space="preserve"> </w:t>
      </w:r>
      <w:r>
        <w:rPr>
          <w:color w:val="231F20"/>
        </w:rPr>
        <w:t>několika</w:t>
      </w:r>
      <w:r>
        <w:rPr>
          <w:color w:val="231F20"/>
          <w:spacing w:val="-14"/>
        </w:rPr>
        <w:t xml:space="preserve"> </w:t>
      </w:r>
      <w:r>
        <w:rPr>
          <w:color w:val="231F20"/>
        </w:rPr>
        <w:t>variantách,</w:t>
      </w:r>
      <w:r>
        <w:rPr>
          <w:color w:val="231F20"/>
          <w:spacing w:val="-14"/>
        </w:rPr>
        <w:t xml:space="preserve"> </w:t>
      </w:r>
      <w:r>
        <w:rPr>
          <w:color w:val="231F20"/>
        </w:rPr>
        <w:t>přičemž</w:t>
      </w:r>
      <w:r>
        <w:rPr>
          <w:color w:val="231F20"/>
          <w:spacing w:val="-15"/>
        </w:rPr>
        <w:t xml:space="preserve"> </w:t>
      </w:r>
      <w:r>
        <w:rPr>
          <w:color w:val="231F20"/>
        </w:rPr>
        <w:t>rozsah</w:t>
      </w:r>
      <w:r>
        <w:rPr>
          <w:color w:val="231F20"/>
          <w:spacing w:val="-14"/>
        </w:rPr>
        <w:t xml:space="preserve"> </w:t>
      </w:r>
      <w:r>
        <w:rPr>
          <w:color w:val="231F20"/>
        </w:rPr>
        <w:t>pojištění</w:t>
      </w:r>
      <w:r>
        <w:rPr>
          <w:color w:val="231F20"/>
          <w:spacing w:val="-14"/>
        </w:rPr>
        <w:t xml:space="preserve"> </w:t>
      </w:r>
      <w:r>
        <w:rPr>
          <w:color w:val="231F20"/>
        </w:rPr>
        <w:t>pro tyto jednotlivé varianty shrnuje níže uvedená</w:t>
      </w:r>
      <w:r>
        <w:rPr>
          <w:color w:val="231F20"/>
          <w:spacing w:val="-18"/>
        </w:rPr>
        <w:t xml:space="preserve"> </w:t>
      </w:r>
      <w:r>
        <w:rPr>
          <w:color w:val="231F20"/>
        </w:rPr>
        <w:t>tabulka:</w:t>
      </w:r>
    </w:p>
    <w:p w14:paraId="1B7A2713" w14:textId="77777777" w:rsidR="00F65BCA" w:rsidRDefault="00F65BCA">
      <w:pPr>
        <w:pStyle w:val="Zkladntext"/>
        <w:spacing w:before="6"/>
        <w:rPr>
          <w:sz w:val="9"/>
        </w:rPr>
      </w:pPr>
    </w:p>
    <w:tbl>
      <w:tblPr>
        <w:tblStyle w:val="TableNormal"/>
        <w:tblW w:w="0" w:type="auto"/>
        <w:tblInd w:w="42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644"/>
        <w:gridCol w:w="850"/>
        <w:gridCol w:w="1077"/>
        <w:gridCol w:w="850"/>
        <w:gridCol w:w="850"/>
      </w:tblGrid>
      <w:tr w:rsidR="00F65BCA" w14:paraId="6791A30E" w14:textId="77777777">
        <w:trPr>
          <w:trHeight w:val="252"/>
        </w:trPr>
        <w:tc>
          <w:tcPr>
            <w:tcW w:w="1644" w:type="dxa"/>
            <w:vMerge w:val="restart"/>
            <w:tcBorders>
              <w:left w:val="nil"/>
              <w:bottom w:val="single" w:sz="4" w:space="0" w:color="231F20"/>
              <w:right w:val="single" w:sz="4" w:space="0" w:color="231F20"/>
            </w:tcBorders>
          </w:tcPr>
          <w:p w14:paraId="3839C132" w14:textId="77777777" w:rsidR="00F65BCA" w:rsidRDefault="00F65BCA">
            <w:pPr>
              <w:pStyle w:val="TableParagraph"/>
              <w:spacing w:before="6"/>
            </w:pPr>
          </w:p>
          <w:p w14:paraId="1AB564F9" w14:textId="77777777" w:rsidR="00F65BCA" w:rsidRDefault="00216117">
            <w:pPr>
              <w:pStyle w:val="TableParagraph"/>
              <w:spacing w:before="1"/>
              <w:ind w:left="90"/>
              <w:rPr>
                <w:sz w:val="15"/>
              </w:rPr>
            </w:pPr>
            <w:r>
              <w:rPr>
                <w:color w:val="231F20"/>
                <w:sz w:val="15"/>
              </w:rPr>
              <w:t>Varianta</w:t>
            </w:r>
          </w:p>
        </w:tc>
        <w:tc>
          <w:tcPr>
            <w:tcW w:w="3627" w:type="dxa"/>
            <w:gridSpan w:val="4"/>
            <w:tcBorders>
              <w:left w:val="single" w:sz="4" w:space="0" w:color="231F20"/>
              <w:bottom w:val="single" w:sz="4" w:space="0" w:color="231F20"/>
              <w:right w:val="nil"/>
            </w:tcBorders>
          </w:tcPr>
          <w:p w14:paraId="3BEF54B6" w14:textId="77777777" w:rsidR="00F65BCA" w:rsidRDefault="00216117">
            <w:pPr>
              <w:pStyle w:val="TableParagraph"/>
              <w:spacing w:before="36"/>
              <w:ind w:left="730"/>
              <w:rPr>
                <w:sz w:val="15"/>
              </w:rPr>
            </w:pPr>
            <w:r>
              <w:rPr>
                <w:color w:val="231F20"/>
                <w:w w:val="105"/>
                <w:sz w:val="15"/>
              </w:rPr>
              <w:t>Pojistná nebezpečí</w:t>
            </w:r>
          </w:p>
        </w:tc>
      </w:tr>
      <w:tr w:rsidR="00F65BCA" w14:paraId="43931951" w14:textId="77777777">
        <w:trPr>
          <w:trHeight w:val="437"/>
        </w:trPr>
        <w:tc>
          <w:tcPr>
            <w:tcW w:w="1644" w:type="dxa"/>
            <w:vMerge/>
            <w:tcBorders>
              <w:top w:val="nil"/>
              <w:left w:val="nil"/>
              <w:bottom w:val="single" w:sz="4" w:space="0" w:color="231F20"/>
              <w:right w:val="single" w:sz="4" w:space="0" w:color="231F20"/>
            </w:tcBorders>
          </w:tcPr>
          <w:p w14:paraId="5929413A" w14:textId="77777777" w:rsidR="00F65BCA" w:rsidRDefault="00F65BCA">
            <w:pPr>
              <w:rPr>
                <w:sz w:val="2"/>
                <w:szCs w:val="2"/>
              </w:rPr>
            </w:pPr>
          </w:p>
        </w:tc>
        <w:tc>
          <w:tcPr>
            <w:tcW w:w="850" w:type="dxa"/>
            <w:tcBorders>
              <w:top w:val="single" w:sz="4" w:space="0" w:color="231F20"/>
              <w:left w:val="single" w:sz="4" w:space="0" w:color="231F20"/>
              <w:bottom w:val="single" w:sz="4" w:space="0" w:color="231F20"/>
              <w:right w:val="single" w:sz="4" w:space="0" w:color="231F20"/>
            </w:tcBorders>
          </w:tcPr>
          <w:p w14:paraId="1EB8328D" w14:textId="77777777" w:rsidR="00F65BCA" w:rsidRDefault="00216117">
            <w:pPr>
              <w:pStyle w:val="TableParagraph"/>
              <w:spacing w:before="41"/>
              <w:ind w:left="114" w:right="93"/>
              <w:jc w:val="center"/>
              <w:rPr>
                <w:sz w:val="15"/>
              </w:rPr>
            </w:pPr>
            <w:r>
              <w:rPr>
                <w:color w:val="231F20"/>
                <w:sz w:val="15"/>
              </w:rPr>
              <w:t>Havárie</w:t>
            </w:r>
          </w:p>
        </w:tc>
        <w:tc>
          <w:tcPr>
            <w:tcW w:w="1077" w:type="dxa"/>
            <w:tcBorders>
              <w:top w:val="single" w:sz="4" w:space="0" w:color="231F20"/>
              <w:left w:val="single" w:sz="4" w:space="0" w:color="231F20"/>
              <w:bottom w:val="single" w:sz="4" w:space="0" w:color="231F20"/>
              <w:right w:val="single" w:sz="4" w:space="0" w:color="231F20"/>
            </w:tcBorders>
          </w:tcPr>
          <w:p w14:paraId="1B7814F4" w14:textId="77777777" w:rsidR="00F65BCA" w:rsidRDefault="00216117">
            <w:pPr>
              <w:pStyle w:val="TableParagraph"/>
              <w:spacing w:before="41"/>
              <w:ind w:left="73" w:right="51"/>
              <w:jc w:val="center"/>
              <w:rPr>
                <w:sz w:val="15"/>
              </w:rPr>
            </w:pPr>
            <w:r>
              <w:rPr>
                <w:color w:val="231F20"/>
                <w:w w:val="105"/>
                <w:sz w:val="15"/>
              </w:rPr>
              <w:t>Vandalismus</w:t>
            </w:r>
          </w:p>
        </w:tc>
        <w:tc>
          <w:tcPr>
            <w:tcW w:w="850" w:type="dxa"/>
            <w:tcBorders>
              <w:top w:val="single" w:sz="4" w:space="0" w:color="231F20"/>
              <w:left w:val="single" w:sz="4" w:space="0" w:color="231F20"/>
              <w:bottom w:val="single" w:sz="4" w:space="0" w:color="231F20"/>
              <w:right w:val="single" w:sz="4" w:space="0" w:color="231F20"/>
            </w:tcBorders>
          </w:tcPr>
          <w:p w14:paraId="68C8A44A" w14:textId="77777777" w:rsidR="00F65BCA" w:rsidRDefault="00216117">
            <w:pPr>
              <w:pStyle w:val="TableParagraph"/>
              <w:spacing w:before="41"/>
              <w:ind w:left="115" w:right="93"/>
              <w:jc w:val="center"/>
              <w:rPr>
                <w:sz w:val="15"/>
              </w:rPr>
            </w:pPr>
            <w:r>
              <w:rPr>
                <w:color w:val="231F20"/>
                <w:sz w:val="15"/>
              </w:rPr>
              <w:t>Odcizení</w:t>
            </w:r>
          </w:p>
        </w:tc>
        <w:tc>
          <w:tcPr>
            <w:tcW w:w="850" w:type="dxa"/>
            <w:tcBorders>
              <w:top w:val="single" w:sz="4" w:space="0" w:color="231F20"/>
              <w:left w:val="single" w:sz="4" w:space="0" w:color="231F20"/>
              <w:bottom w:val="single" w:sz="4" w:space="0" w:color="231F20"/>
              <w:right w:val="nil"/>
            </w:tcBorders>
          </w:tcPr>
          <w:p w14:paraId="745387F1" w14:textId="77777777" w:rsidR="00F65BCA" w:rsidRDefault="00216117">
            <w:pPr>
              <w:pStyle w:val="TableParagraph"/>
              <w:spacing w:before="41" w:line="249" w:lineRule="auto"/>
              <w:ind w:left="171" w:right="146" w:firstLine="31"/>
              <w:rPr>
                <w:sz w:val="15"/>
              </w:rPr>
            </w:pPr>
            <w:r>
              <w:rPr>
                <w:color w:val="231F20"/>
                <w:w w:val="105"/>
                <w:sz w:val="15"/>
              </w:rPr>
              <w:t>Živelní událost</w:t>
            </w:r>
          </w:p>
        </w:tc>
      </w:tr>
      <w:tr w:rsidR="00F65BCA" w14:paraId="7A8DE012" w14:textId="77777777">
        <w:trPr>
          <w:trHeight w:val="264"/>
        </w:trPr>
        <w:tc>
          <w:tcPr>
            <w:tcW w:w="1644" w:type="dxa"/>
            <w:tcBorders>
              <w:top w:val="single" w:sz="4" w:space="0" w:color="231F20"/>
              <w:left w:val="nil"/>
              <w:bottom w:val="single" w:sz="4" w:space="0" w:color="231F20"/>
              <w:right w:val="single" w:sz="4" w:space="0" w:color="231F20"/>
            </w:tcBorders>
          </w:tcPr>
          <w:p w14:paraId="7D3F207F" w14:textId="77777777" w:rsidR="00F65BCA" w:rsidRDefault="00216117">
            <w:pPr>
              <w:pStyle w:val="TableParagraph"/>
              <w:spacing w:before="41"/>
              <w:ind w:left="90"/>
              <w:rPr>
                <w:sz w:val="15"/>
              </w:rPr>
            </w:pPr>
            <w:r>
              <w:rPr>
                <w:color w:val="231F20"/>
                <w:sz w:val="15"/>
              </w:rPr>
              <w:t>All Risk</w:t>
            </w:r>
          </w:p>
        </w:tc>
        <w:tc>
          <w:tcPr>
            <w:tcW w:w="850" w:type="dxa"/>
            <w:tcBorders>
              <w:top w:val="single" w:sz="4" w:space="0" w:color="231F20"/>
              <w:left w:val="single" w:sz="4" w:space="0" w:color="231F20"/>
              <w:bottom w:val="single" w:sz="4" w:space="0" w:color="231F20"/>
              <w:right w:val="single" w:sz="4" w:space="0" w:color="231F20"/>
            </w:tcBorders>
          </w:tcPr>
          <w:p w14:paraId="79CEB3CD" w14:textId="77777777" w:rsidR="00F65BCA" w:rsidRDefault="00216117">
            <w:pPr>
              <w:pStyle w:val="TableParagraph"/>
              <w:spacing w:before="39"/>
              <w:ind w:left="111" w:right="93"/>
              <w:jc w:val="center"/>
              <w:rPr>
                <w:sz w:val="16"/>
              </w:rPr>
            </w:pPr>
            <w:r>
              <w:rPr>
                <w:color w:val="231F20"/>
                <w:sz w:val="16"/>
              </w:rPr>
              <w:t>Ano</w:t>
            </w:r>
          </w:p>
        </w:tc>
        <w:tc>
          <w:tcPr>
            <w:tcW w:w="1077" w:type="dxa"/>
            <w:tcBorders>
              <w:top w:val="single" w:sz="4" w:space="0" w:color="231F20"/>
              <w:left w:val="single" w:sz="4" w:space="0" w:color="231F20"/>
              <w:bottom w:val="single" w:sz="4" w:space="0" w:color="231F20"/>
              <w:right w:val="single" w:sz="4" w:space="0" w:color="231F20"/>
            </w:tcBorders>
          </w:tcPr>
          <w:p w14:paraId="09D4AF7E" w14:textId="77777777" w:rsidR="00F65BCA" w:rsidRDefault="00216117">
            <w:pPr>
              <w:pStyle w:val="TableParagraph"/>
              <w:spacing w:before="39"/>
              <w:ind w:left="70" w:right="51"/>
              <w:jc w:val="center"/>
              <w:rPr>
                <w:sz w:val="16"/>
              </w:rPr>
            </w:pPr>
            <w:r>
              <w:rPr>
                <w:color w:val="231F20"/>
                <w:sz w:val="16"/>
              </w:rPr>
              <w:t>Ano</w:t>
            </w:r>
          </w:p>
        </w:tc>
        <w:tc>
          <w:tcPr>
            <w:tcW w:w="850" w:type="dxa"/>
            <w:tcBorders>
              <w:top w:val="single" w:sz="4" w:space="0" w:color="231F20"/>
              <w:left w:val="single" w:sz="4" w:space="0" w:color="231F20"/>
              <w:bottom w:val="single" w:sz="4" w:space="0" w:color="231F20"/>
              <w:right w:val="single" w:sz="4" w:space="0" w:color="231F20"/>
            </w:tcBorders>
          </w:tcPr>
          <w:p w14:paraId="3F5D3D87" w14:textId="77777777" w:rsidR="00F65BCA" w:rsidRDefault="00216117">
            <w:pPr>
              <w:pStyle w:val="TableParagraph"/>
              <w:spacing w:before="39"/>
              <w:ind w:left="113" w:right="93"/>
              <w:jc w:val="center"/>
              <w:rPr>
                <w:sz w:val="16"/>
              </w:rPr>
            </w:pPr>
            <w:r>
              <w:rPr>
                <w:color w:val="231F20"/>
                <w:sz w:val="16"/>
              </w:rPr>
              <w:t>Ano</w:t>
            </w:r>
          </w:p>
        </w:tc>
        <w:tc>
          <w:tcPr>
            <w:tcW w:w="850" w:type="dxa"/>
            <w:tcBorders>
              <w:top w:val="single" w:sz="4" w:space="0" w:color="231F20"/>
              <w:left w:val="single" w:sz="4" w:space="0" w:color="231F20"/>
              <w:bottom w:val="single" w:sz="4" w:space="0" w:color="231F20"/>
              <w:right w:val="nil"/>
            </w:tcBorders>
          </w:tcPr>
          <w:p w14:paraId="770E4C31" w14:textId="77777777" w:rsidR="00F65BCA" w:rsidRDefault="00216117">
            <w:pPr>
              <w:pStyle w:val="TableParagraph"/>
              <w:spacing w:before="39"/>
              <w:ind w:left="267" w:right="252"/>
              <w:jc w:val="center"/>
              <w:rPr>
                <w:sz w:val="16"/>
              </w:rPr>
            </w:pPr>
            <w:r>
              <w:rPr>
                <w:color w:val="231F20"/>
                <w:sz w:val="16"/>
              </w:rPr>
              <w:t>Ano</w:t>
            </w:r>
          </w:p>
        </w:tc>
      </w:tr>
      <w:tr w:rsidR="00F65BCA" w14:paraId="75ED1DAE" w14:textId="77777777">
        <w:trPr>
          <w:trHeight w:val="264"/>
        </w:trPr>
        <w:tc>
          <w:tcPr>
            <w:tcW w:w="1644" w:type="dxa"/>
            <w:tcBorders>
              <w:top w:val="single" w:sz="4" w:space="0" w:color="231F20"/>
              <w:left w:val="nil"/>
              <w:bottom w:val="single" w:sz="4" w:space="0" w:color="231F20"/>
              <w:right w:val="single" w:sz="4" w:space="0" w:color="231F20"/>
            </w:tcBorders>
          </w:tcPr>
          <w:p w14:paraId="2FD9FE83" w14:textId="77777777" w:rsidR="00F65BCA" w:rsidRDefault="00216117">
            <w:pPr>
              <w:pStyle w:val="TableParagraph"/>
              <w:spacing w:before="41"/>
              <w:ind w:left="90"/>
              <w:rPr>
                <w:sz w:val="15"/>
              </w:rPr>
            </w:pPr>
            <w:r>
              <w:rPr>
                <w:color w:val="231F20"/>
                <w:sz w:val="15"/>
              </w:rPr>
              <w:t>Expres</w:t>
            </w:r>
          </w:p>
        </w:tc>
        <w:tc>
          <w:tcPr>
            <w:tcW w:w="850" w:type="dxa"/>
            <w:tcBorders>
              <w:top w:val="single" w:sz="4" w:space="0" w:color="231F20"/>
              <w:left w:val="single" w:sz="4" w:space="0" w:color="231F20"/>
              <w:bottom w:val="single" w:sz="4" w:space="0" w:color="231F20"/>
              <w:right w:val="single" w:sz="4" w:space="0" w:color="231F20"/>
            </w:tcBorders>
          </w:tcPr>
          <w:p w14:paraId="5905B7B0" w14:textId="77777777" w:rsidR="00F65BCA" w:rsidRDefault="00216117">
            <w:pPr>
              <w:pStyle w:val="TableParagraph"/>
              <w:spacing w:before="39"/>
              <w:ind w:left="111" w:right="93"/>
              <w:jc w:val="center"/>
              <w:rPr>
                <w:sz w:val="16"/>
              </w:rPr>
            </w:pPr>
            <w:r>
              <w:rPr>
                <w:color w:val="231F20"/>
                <w:sz w:val="16"/>
              </w:rPr>
              <w:t>Ano</w:t>
            </w:r>
          </w:p>
        </w:tc>
        <w:tc>
          <w:tcPr>
            <w:tcW w:w="1077" w:type="dxa"/>
            <w:tcBorders>
              <w:top w:val="single" w:sz="4" w:space="0" w:color="231F20"/>
              <w:left w:val="single" w:sz="4" w:space="0" w:color="231F20"/>
              <w:bottom w:val="single" w:sz="4" w:space="0" w:color="231F20"/>
              <w:right w:val="single" w:sz="4" w:space="0" w:color="231F20"/>
            </w:tcBorders>
          </w:tcPr>
          <w:p w14:paraId="4B64BB72" w14:textId="77777777" w:rsidR="00F65BCA" w:rsidRDefault="00216117">
            <w:pPr>
              <w:pStyle w:val="TableParagraph"/>
              <w:spacing w:before="39"/>
              <w:ind w:left="70" w:right="51"/>
              <w:jc w:val="center"/>
              <w:rPr>
                <w:sz w:val="16"/>
              </w:rPr>
            </w:pPr>
            <w:r>
              <w:rPr>
                <w:color w:val="231F20"/>
                <w:sz w:val="16"/>
              </w:rPr>
              <w:t>Ano</w:t>
            </w:r>
          </w:p>
        </w:tc>
        <w:tc>
          <w:tcPr>
            <w:tcW w:w="850" w:type="dxa"/>
            <w:tcBorders>
              <w:top w:val="single" w:sz="4" w:space="0" w:color="231F20"/>
              <w:left w:val="single" w:sz="4" w:space="0" w:color="231F20"/>
              <w:bottom w:val="single" w:sz="4" w:space="0" w:color="231F20"/>
              <w:right w:val="single" w:sz="4" w:space="0" w:color="231F20"/>
            </w:tcBorders>
          </w:tcPr>
          <w:p w14:paraId="7277DC74" w14:textId="77777777" w:rsidR="00F65BCA" w:rsidRDefault="00216117">
            <w:pPr>
              <w:pStyle w:val="TableParagraph"/>
              <w:spacing w:before="39"/>
              <w:ind w:left="113" w:right="93"/>
              <w:jc w:val="center"/>
              <w:rPr>
                <w:sz w:val="16"/>
              </w:rPr>
            </w:pPr>
            <w:r>
              <w:rPr>
                <w:color w:val="231F20"/>
                <w:sz w:val="16"/>
              </w:rPr>
              <w:t>Ano</w:t>
            </w:r>
          </w:p>
        </w:tc>
        <w:tc>
          <w:tcPr>
            <w:tcW w:w="850" w:type="dxa"/>
            <w:tcBorders>
              <w:top w:val="single" w:sz="4" w:space="0" w:color="231F20"/>
              <w:left w:val="single" w:sz="4" w:space="0" w:color="231F20"/>
              <w:bottom w:val="single" w:sz="4" w:space="0" w:color="231F20"/>
              <w:right w:val="nil"/>
            </w:tcBorders>
          </w:tcPr>
          <w:p w14:paraId="7B513863" w14:textId="77777777" w:rsidR="00F65BCA" w:rsidRDefault="00216117">
            <w:pPr>
              <w:pStyle w:val="TableParagraph"/>
              <w:spacing w:before="39"/>
              <w:ind w:left="267" w:right="252"/>
              <w:jc w:val="center"/>
              <w:rPr>
                <w:sz w:val="16"/>
              </w:rPr>
            </w:pPr>
            <w:r>
              <w:rPr>
                <w:color w:val="231F20"/>
                <w:sz w:val="16"/>
              </w:rPr>
              <w:t>Ano</w:t>
            </w:r>
          </w:p>
        </w:tc>
      </w:tr>
      <w:tr w:rsidR="00F65BCA" w14:paraId="2F0872BE" w14:textId="77777777">
        <w:trPr>
          <w:trHeight w:val="264"/>
        </w:trPr>
        <w:tc>
          <w:tcPr>
            <w:tcW w:w="1644" w:type="dxa"/>
            <w:tcBorders>
              <w:top w:val="single" w:sz="4" w:space="0" w:color="231F20"/>
              <w:left w:val="nil"/>
              <w:bottom w:val="single" w:sz="4" w:space="0" w:color="231F20"/>
              <w:right w:val="single" w:sz="4" w:space="0" w:color="231F20"/>
            </w:tcBorders>
          </w:tcPr>
          <w:p w14:paraId="249895D2" w14:textId="77777777" w:rsidR="00F65BCA" w:rsidRDefault="00216117">
            <w:pPr>
              <w:pStyle w:val="TableParagraph"/>
              <w:spacing w:before="41"/>
              <w:ind w:left="90"/>
              <w:rPr>
                <w:sz w:val="15"/>
              </w:rPr>
            </w:pPr>
            <w:r>
              <w:rPr>
                <w:color w:val="231F20"/>
                <w:sz w:val="15"/>
              </w:rPr>
              <w:t>Havárie a živel</w:t>
            </w:r>
          </w:p>
        </w:tc>
        <w:tc>
          <w:tcPr>
            <w:tcW w:w="850" w:type="dxa"/>
            <w:tcBorders>
              <w:top w:val="single" w:sz="4" w:space="0" w:color="231F20"/>
              <w:left w:val="single" w:sz="4" w:space="0" w:color="231F20"/>
              <w:bottom w:val="single" w:sz="4" w:space="0" w:color="231F20"/>
              <w:right w:val="single" w:sz="4" w:space="0" w:color="231F20"/>
            </w:tcBorders>
          </w:tcPr>
          <w:p w14:paraId="0CB86BA4" w14:textId="77777777" w:rsidR="00F65BCA" w:rsidRDefault="00216117">
            <w:pPr>
              <w:pStyle w:val="TableParagraph"/>
              <w:spacing w:before="39"/>
              <w:ind w:left="111" w:right="93"/>
              <w:jc w:val="center"/>
              <w:rPr>
                <w:sz w:val="16"/>
              </w:rPr>
            </w:pPr>
            <w:r>
              <w:rPr>
                <w:color w:val="231F20"/>
                <w:sz w:val="16"/>
              </w:rPr>
              <w:t>Ano</w:t>
            </w:r>
          </w:p>
        </w:tc>
        <w:tc>
          <w:tcPr>
            <w:tcW w:w="1077" w:type="dxa"/>
            <w:tcBorders>
              <w:top w:val="single" w:sz="4" w:space="0" w:color="231F20"/>
              <w:left w:val="single" w:sz="4" w:space="0" w:color="231F20"/>
              <w:bottom w:val="single" w:sz="4" w:space="0" w:color="231F20"/>
              <w:right w:val="single" w:sz="4" w:space="0" w:color="231F20"/>
            </w:tcBorders>
          </w:tcPr>
          <w:p w14:paraId="1A061798" w14:textId="77777777" w:rsidR="00F65BCA" w:rsidRDefault="00216117">
            <w:pPr>
              <w:pStyle w:val="TableParagraph"/>
              <w:spacing w:before="39"/>
              <w:ind w:left="70" w:right="51"/>
              <w:jc w:val="center"/>
              <w:rPr>
                <w:sz w:val="16"/>
              </w:rPr>
            </w:pPr>
            <w:r>
              <w:rPr>
                <w:color w:val="231F20"/>
                <w:sz w:val="16"/>
              </w:rPr>
              <w:t>Ano</w:t>
            </w:r>
          </w:p>
        </w:tc>
        <w:tc>
          <w:tcPr>
            <w:tcW w:w="850" w:type="dxa"/>
            <w:tcBorders>
              <w:top w:val="single" w:sz="4" w:space="0" w:color="231F20"/>
              <w:left w:val="single" w:sz="4" w:space="0" w:color="231F20"/>
              <w:bottom w:val="single" w:sz="4" w:space="0" w:color="231F20"/>
              <w:right w:val="single" w:sz="4" w:space="0" w:color="231F20"/>
            </w:tcBorders>
          </w:tcPr>
          <w:p w14:paraId="76C3F1B7" w14:textId="77777777" w:rsidR="00F65BCA" w:rsidRDefault="00F65BCA">
            <w:pPr>
              <w:pStyle w:val="TableParagraph"/>
              <w:rPr>
                <w:rFonts w:ascii="Times New Roman"/>
                <w:sz w:val="14"/>
              </w:rPr>
            </w:pPr>
          </w:p>
        </w:tc>
        <w:tc>
          <w:tcPr>
            <w:tcW w:w="850" w:type="dxa"/>
            <w:tcBorders>
              <w:top w:val="single" w:sz="4" w:space="0" w:color="231F20"/>
              <w:left w:val="single" w:sz="4" w:space="0" w:color="231F20"/>
              <w:bottom w:val="single" w:sz="4" w:space="0" w:color="231F20"/>
              <w:right w:val="nil"/>
            </w:tcBorders>
          </w:tcPr>
          <w:p w14:paraId="561CEEF8" w14:textId="77777777" w:rsidR="00F65BCA" w:rsidRDefault="00216117">
            <w:pPr>
              <w:pStyle w:val="TableParagraph"/>
              <w:spacing w:before="39"/>
              <w:ind w:left="267" w:right="252"/>
              <w:jc w:val="center"/>
              <w:rPr>
                <w:sz w:val="16"/>
              </w:rPr>
            </w:pPr>
            <w:r>
              <w:rPr>
                <w:color w:val="231F20"/>
                <w:sz w:val="16"/>
              </w:rPr>
              <w:t>Ano</w:t>
            </w:r>
          </w:p>
        </w:tc>
      </w:tr>
      <w:tr w:rsidR="00F65BCA" w14:paraId="4F6861F6" w14:textId="77777777">
        <w:trPr>
          <w:trHeight w:val="259"/>
        </w:trPr>
        <w:tc>
          <w:tcPr>
            <w:tcW w:w="1644" w:type="dxa"/>
            <w:tcBorders>
              <w:top w:val="single" w:sz="4" w:space="0" w:color="231F20"/>
              <w:left w:val="nil"/>
              <w:right w:val="single" w:sz="4" w:space="0" w:color="231F20"/>
            </w:tcBorders>
          </w:tcPr>
          <w:p w14:paraId="7226A3E9" w14:textId="77777777" w:rsidR="00F65BCA" w:rsidRDefault="00216117">
            <w:pPr>
              <w:pStyle w:val="TableParagraph"/>
              <w:spacing w:before="41"/>
              <w:ind w:left="90"/>
              <w:rPr>
                <w:sz w:val="15"/>
              </w:rPr>
            </w:pPr>
            <w:r>
              <w:rPr>
                <w:color w:val="231F20"/>
                <w:sz w:val="15"/>
              </w:rPr>
              <w:t>Odcizení a živel</w:t>
            </w:r>
          </w:p>
        </w:tc>
        <w:tc>
          <w:tcPr>
            <w:tcW w:w="850" w:type="dxa"/>
            <w:tcBorders>
              <w:top w:val="single" w:sz="4" w:space="0" w:color="231F20"/>
              <w:left w:val="single" w:sz="4" w:space="0" w:color="231F20"/>
              <w:right w:val="single" w:sz="4" w:space="0" w:color="231F20"/>
            </w:tcBorders>
          </w:tcPr>
          <w:p w14:paraId="4F6B0706" w14:textId="77777777" w:rsidR="00F65BCA" w:rsidRDefault="00F65BCA">
            <w:pPr>
              <w:pStyle w:val="TableParagraph"/>
              <w:rPr>
                <w:rFonts w:ascii="Times New Roman"/>
                <w:sz w:val="14"/>
              </w:rPr>
            </w:pPr>
          </w:p>
        </w:tc>
        <w:tc>
          <w:tcPr>
            <w:tcW w:w="1077" w:type="dxa"/>
            <w:tcBorders>
              <w:top w:val="single" w:sz="4" w:space="0" w:color="231F20"/>
              <w:left w:val="single" w:sz="4" w:space="0" w:color="231F20"/>
              <w:right w:val="single" w:sz="4" w:space="0" w:color="231F20"/>
            </w:tcBorders>
          </w:tcPr>
          <w:p w14:paraId="57F941E0" w14:textId="77777777" w:rsidR="00F65BCA" w:rsidRDefault="00F65BCA">
            <w:pPr>
              <w:pStyle w:val="TableParagraph"/>
              <w:rPr>
                <w:rFonts w:ascii="Times New Roman"/>
                <w:sz w:val="14"/>
              </w:rPr>
            </w:pPr>
          </w:p>
        </w:tc>
        <w:tc>
          <w:tcPr>
            <w:tcW w:w="850" w:type="dxa"/>
            <w:tcBorders>
              <w:top w:val="single" w:sz="4" w:space="0" w:color="231F20"/>
              <w:left w:val="single" w:sz="4" w:space="0" w:color="231F20"/>
              <w:right w:val="single" w:sz="4" w:space="0" w:color="231F20"/>
            </w:tcBorders>
          </w:tcPr>
          <w:p w14:paraId="10612045" w14:textId="77777777" w:rsidR="00F65BCA" w:rsidRDefault="00216117">
            <w:pPr>
              <w:pStyle w:val="TableParagraph"/>
              <w:spacing w:before="39"/>
              <w:ind w:left="113" w:right="93"/>
              <w:jc w:val="center"/>
              <w:rPr>
                <w:sz w:val="16"/>
              </w:rPr>
            </w:pPr>
            <w:r>
              <w:rPr>
                <w:color w:val="231F20"/>
                <w:sz w:val="16"/>
              </w:rPr>
              <w:t>Ano</w:t>
            </w:r>
          </w:p>
        </w:tc>
        <w:tc>
          <w:tcPr>
            <w:tcW w:w="850" w:type="dxa"/>
            <w:tcBorders>
              <w:top w:val="single" w:sz="4" w:space="0" w:color="231F20"/>
              <w:left w:val="single" w:sz="4" w:space="0" w:color="231F20"/>
              <w:right w:val="nil"/>
            </w:tcBorders>
          </w:tcPr>
          <w:p w14:paraId="791FAE23" w14:textId="77777777" w:rsidR="00F65BCA" w:rsidRDefault="00216117">
            <w:pPr>
              <w:pStyle w:val="TableParagraph"/>
              <w:spacing w:before="39"/>
              <w:ind w:left="267" w:right="252"/>
              <w:jc w:val="center"/>
              <w:rPr>
                <w:sz w:val="16"/>
              </w:rPr>
            </w:pPr>
            <w:r>
              <w:rPr>
                <w:color w:val="231F20"/>
                <w:sz w:val="16"/>
              </w:rPr>
              <w:t>Ano</w:t>
            </w:r>
          </w:p>
        </w:tc>
      </w:tr>
    </w:tbl>
    <w:p w14:paraId="7282EDE9" w14:textId="77777777" w:rsidR="00F65BCA" w:rsidRDefault="00F65BCA">
      <w:pPr>
        <w:pStyle w:val="Zkladntext"/>
        <w:rPr>
          <w:sz w:val="26"/>
        </w:rPr>
      </w:pPr>
    </w:p>
    <w:p w14:paraId="23EDF1CB" w14:textId="77777777" w:rsidR="00F65BCA" w:rsidRDefault="00216117">
      <w:pPr>
        <w:spacing w:before="1"/>
        <w:ind w:left="428"/>
        <w:rPr>
          <w:sz w:val="15"/>
        </w:rPr>
      </w:pPr>
      <w:r>
        <w:rPr>
          <w:color w:val="FFFFFF"/>
          <w:position w:val="3"/>
          <w:sz w:val="16"/>
          <w:shd w:val="clear" w:color="auto" w:fill="808285"/>
        </w:rPr>
        <w:t xml:space="preserve">  </w:t>
      </w:r>
      <w:r>
        <w:rPr>
          <w:color w:val="FFFFFF"/>
          <w:w w:val="105"/>
          <w:position w:val="3"/>
          <w:sz w:val="16"/>
          <w:shd w:val="clear" w:color="auto" w:fill="808285"/>
        </w:rPr>
        <w:t>Článek 34</w:t>
      </w:r>
      <w:r>
        <w:rPr>
          <w:color w:val="FFFFFF"/>
          <w:w w:val="105"/>
          <w:position w:val="3"/>
          <w:sz w:val="16"/>
        </w:rPr>
        <w:t xml:space="preserve"> </w:t>
      </w:r>
      <w:r>
        <w:rPr>
          <w:color w:val="231F20"/>
          <w:w w:val="105"/>
          <w:sz w:val="15"/>
        </w:rPr>
        <w:t>Akceptace doporučené opravny</w:t>
      </w:r>
    </w:p>
    <w:p w14:paraId="7A61ACD1"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27"/>
          <w:position w:val="1"/>
          <w:sz w:val="14"/>
        </w:rPr>
        <w:t xml:space="preserve"> </w:t>
      </w:r>
      <w:r>
        <w:rPr>
          <w:color w:val="231F20"/>
        </w:rPr>
        <w:t>Při</w:t>
      </w:r>
      <w:r>
        <w:rPr>
          <w:color w:val="231F20"/>
          <w:spacing w:val="-9"/>
        </w:rPr>
        <w:t xml:space="preserve"> </w:t>
      </w:r>
      <w:r>
        <w:rPr>
          <w:color w:val="231F20"/>
        </w:rPr>
        <w:t>sjednání</w:t>
      </w:r>
      <w:r>
        <w:rPr>
          <w:color w:val="231F20"/>
          <w:spacing w:val="-8"/>
        </w:rPr>
        <w:t xml:space="preserve"> </w:t>
      </w:r>
      <w:r>
        <w:rPr>
          <w:color w:val="231F20"/>
        </w:rPr>
        <w:t>pojištění</w:t>
      </w:r>
      <w:r>
        <w:rPr>
          <w:color w:val="231F20"/>
          <w:spacing w:val="-9"/>
        </w:rPr>
        <w:t xml:space="preserve"> </w:t>
      </w:r>
      <w:r>
        <w:rPr>
          <w:color w:val="231F20"/>
        </w:rPr>
        <w:t>jednotlivého</w:t>
      </w:r>
      <w:r>
        <w:rPr>
          <w:color w:val="231F20"/>
          <w:spacing w:val="-8"/>
        </w:rPr>
        <w:t xml:space="preserve"> </w:t>
      </w:r>
      <w:r>
        <w:rPr>
          <w:color w:val="231F20"/>
        </w:rPr>
        <w:t>vozidla</w:t>
      </w:r>
      <w:r>
        <w:rPr>
          <w:color w:val="231F20"/>
          <w:spacing w:val="-9"/>
        </w:rPr>
        <w:t xml:space="preserve"> </w:t>
      </w:r>
      <w:r>
        <w:rPr>
          <w:color w:val="231F20"/>
        </w:rPr>
        <w:t>lze</w:t>
      </w:r>
      <w:r>
        <w:rPr>
          <w:color w:val="231F20"/>
          <w:spacing w:val="-8"/>
        </w:rPr>
        <w:t xml:space="preserve"> </w:t>
      </w:r>
      <w:r>
        <w:rPr>
          <w:color w:val="231F20"/>
        </w:rPr>
        <w:t>dohodnout,</w:t>
      </w:r>
      <w:r>
        <w:rPr>
          <w:color w:val="231F20"/>
          <w:spacing w:val="-9"/>
        </w:rPr>
        <w:t xml:space="preserve"> </w:t>
      </w:r>
      <w:r>
        <w:rPr>
          <w:color w:val="231F20"/>
        </w:rPr>
        <w:t>že</w:t>
      </w:r>
      <w:r>
        <w:rPr>
          <w:color w:val="231F20"/>
          <w:spacing w:val="-8"/>
        </w:rPr>
        <w:t xml:space="preserve"> </w:t>
      </w:r>
      <w:r>
        <w:rPr>
          <w:color w:val="231F20"/>
        </w:rPr>
        <w:t>pojištěný</w:t>
      </w:r>
      <w:r>
        <w:rPr>
          <w:color w:val="231F20"/>
          <w:spacing w:val="-9"/>
        </w:rPr>
        <w:t xml:space="preserve"> </w:t>
      </w:r>
      <w:r>
        <w:rPr>
          <w:color w:val="231F20"/>
        </w:rPr>
        <w:t>pro</w:t>
      </w:r>
      <w:r>
        <w:rPr>
          <w:color w:val="231F20"/>
          <w:spacing w:val="-8"/>
        </w:rPr>
        <w:t xml:space="preserve"> </w:t>
      </w:r>
      <w:r>
        <w:rPr>
          <w:color w:val="231F20"/>
          <w:spacing w:val="-5"/>
        </w:rPr>
        <w:t xml:space="preserve">od- </w:t>
      </w:r>
      <w:r>
        <w:rPr>
          <w:color w:val="231F20"/>
        </w:rPr>
        <w:t>stranění</w:t>
      </w:r>
      <w:r>
        <w:rPr>
          <w:color w:val="231F20"/>
          <w:spacing w:val="-18"/>
        </w:rPr>
        <w:t xml:space="preserve"> </w:t>
      </w:r>
      <w:r>
        <w:rPr>
          <w:color w:val="231F20"/>
        </w:rPr>
        <w:t>následků</w:t>
      </w:r>
      <w:r>
        <w:rPr>
          <w:color w:val="231F20"/>
          <w:spacing w:val="-17"/>
        </w:rPr>
        <w:t xml:space="preserve"> </w:t>
      </w:r>
      <w:r>
        <w:rPr>
          <w:color w:val="231F20"/>
        </w:rPr>
        <w:t>pojistné</w:t>
      </w:r>
      <w:r>
        <w:rPr>
          <w:color w:val="231F20"/>
          <w:spacing w:val="-17"/>
        </w:rPr>
        <w:t xml:space="preserve"> </w:t>
      </w:r>
      <w:r>
        <w:rPr>
          <w:color w:val="231F20"/>
        </w:rPr>
        <w:t>události</w:t>
      </w:r>
      <w:r>
        <w:rPr>
          <w:color w:val="231F20"/>
          <w:spacing w:val="-17"/>
        </w:rPr>
        <w:t xml:space="preserve"> </w:t>
      </w:r>
      <w:r>
        <w:rPr>
          <w:color w:val="231F20"/>
        </w:rPr>
        <w:t>na</w:t>
      </w:r>
      <w:r>
        <w:rPr>
          <w:color w:val="231F20"/>
          <w:spacing w:val="-17"/>
        </w:rPr>
        <w:t xml:space="preserve"> </w:t>
      </w:r>
      <w:r>
        <w:rPr>
          <w:color w:val="231F20"/>
        </w:rPr>
        <w:t>pojištěném</w:t>
      </w:r>
      <w:r>
        <w:rPr>
          <w:color w:val="231F20"/>
          <w:spacing w:val="-17"/>
        </w:rPr>
        <w:t xml:space="preserve"> </w:t>
      </w:r>
      <w:r>
        <w:rPr>
          <w:color w:val="231F20"/>
        </w:rPr>
        <w:t>vozidle</w:t>
      </w:r>
      <w:r>
        <w:rPr>
          <w:color w:val="231F20"/>
          <w:spacing w:val="-17"/>
        </w:rPr>
        <w:t xml:space="preserve"> </w:t>
      </w:r>
      <w:r>
        <w:rPr>
          <w:color w:val="231F20"/>
        </w:rPr>
        <w:t>využije</w:t>
      </w:r>
      <w:r>
        <w:rPr>
          <w:color w:val="231F20"/>
          <w:spacing w:val="-17"/>
        </w:rPr>
        <w:t xml:space="preserve"> </w:t>
      </w:r>
      <w:r>
        <w:rPr>
          <w:color w:val="231F20"/>
        </w:rPr>
        <w:t>Pojišťovnou doporučenou</w:t>
      </w:r>
      <w:r>
        <w:rPr>
          <w:color w:val="231F20"/>
          <w:spacing w:val="-10"/>
        </w:rPr>
        <w:t xml:space="preserve"> </w:t>
      </w:r>
      <w:r>
        <w:rPr>
          <w:color w:val="231F20"/>
        </w:rPr>
        <w:t>autoopravnu,</w:t>
      </w:r>
      <w:r>
        <w:rPr>
          <w:color w:val="231F20"/>
          <w:spacing w:val="-10"/>
        </w:rPr>
        <w:t xml:space="preserve"> </w:t>
      </w:r>
      <w:r>
        <w:rPr>
          <w:color w:val="231F20"/>
        </w:rPr>
        <w:t>resp.</w:t>
      </w:r>
      <w:r>
        <w:rPr>
          <w:color w:val="231F20"/>
          <w:spacing w:val="-10"/>
        </w:rPr>
        <w:t xml:space="preserve"> </w:t>
      </w:r>
      <w:r>
        <w:rPr>
          <w:color w:val="231F20"/>
        </w:rPr>
        <w:t>smluvní</w:t>
      </w:r>
      <w:r>
        <w:rPr>
          <w:color w:val="231F20"/>
          <w:spacing w:val="-10"/>
        </w:rPr>
        <w:t xml:space="preserve"> </w:t>
      </w:r>
      <w:r>
        <w:rPr>
          <w:color w:val="231F20"/>
        </w:rPr>
        <w:t>servis</w:t>
      </w:r>
      <w:r>
        <w:rPr>
          <w:color w:val="231F20"/>
          <w:spacing w:val="-9"/>
        </w:rPr>
        <w:t xml:space="preserve"> </w:t>
      </w:r>
      <w:r>
        <w:rPr>
          <w:color w:val="231F20"/>
        </w:rPr>
        <w:t>Pojišťovny,</w:t>
      </w:r>
      <w:r>
        <w:rPr>
          <w:color w:val="231F20"/>
          <w:spacing w:val="-10"/>
        </w:rPr>
        <w:t xml:space="preserve"> </w:t>
      </w:r>
      <w:r>
        <w:rPr>
          <w:color w:val="231F20"/>
        </w:rPr>
        <w:t>za</w:t>
      </w:r>
      <w:r>
        <w:rPr>
          <w:color w:val="231F20"/>
          <w:spacing w:val="-10"/>
        </w:rPr>
        <w:t xml:space="preserve"> </w:t>
      </w:r>
      <w:r>
        <w:rPr>
          <w:color w:val="231F20"/>
        </w:rPr>
        <w:t>což</w:t>
      </w:r>
      <w:r>
        <w:rPr>
          <w:color w:val="231F20"/>
          <w:spacing w:val="-10"/>
        </w:rPr>
        <w:t xml:space="preserve"> </w:t>
      </w:r>
      <w:r>
        <w:rPr>
          <w:color w:val="231F20"/>
        </w:rPr>
        <w:t>mu</w:t>
      </w:r>
      <w:r>
        <w:rPr>
          <w:color w:val="231F20"/>
          <w:spacing w:val="-10"/>
        </w:rPr>
        <w:t xml:space="preserve"> </w:t>
      </w:r>
      <w:r>
        <w:rPr>
          <w:color w:val="231F20"/>
          <w:spacing w:val="-3"/>
        </w:rPr>
        <w:t xml:space="preserve">Pojiš- </w:t>
      </w:r>
      <w:r>
        <w:rPr>
          <w:color w:val="231F20"/>
        </w:rPr>
        <w:t>ťovna</w:t>
      </w:r>
      <w:r>
        <w:rPr>
          <w:color w:val="231F20"/>
          <w:spacing w:val="-6"/>
        </w:rPr>
        <w:t xml:space="preserve"> </w:t>
      </w:r>
      <w:r>
        <w:rPr>
          <w:color w:val="231F20"/>
        </w:rPr>
        <w:t>poskytne</w:t>
      </w:r>
      <w:r>
        <w:rPr>
          <w:color w:val="231F20"/>
          <w:spacing w:val="-5"/>
        </w:rPr>
        <w:t xml:space="preserve"> </w:t>
      </w:r>
      <w:r>
        <w:rPr>
          <w:color w:val="231F20"/>
        </w:rPr>
        <w:t>slevu</w:t>
      </w:r>
      <w:r>
        <w:rPr>
          <w:color w:val="231F20"/>
          <w:spacing w:val="-5"/>
        </w:rPr>
        <w:t xml:space="preserve"> </w:t>
      </w:r>
      <w:r>
        <w:rPr>
          <w:color w:val="231F20"/>
        </w:rPr>
        <w:t>z</w:t>
      </w:r>
      <w:r>
        <w:rPr>
          <w:color w:val="231F20"/>
          <w:spacing w:val="-5"/>
        </w:rPr>
        <w:t xml:space="preserve"> </w:t>
      </w:r>
      <w:r>
        <w:rPr>
          <w:color w:val="231F20"/>
        </w:rPr>
        <w:t>pojistného</w:t>
      </w:r>
      <w:r>
        <w:rPr>
          <w:color w:val="231F20"/>
          <w:spacing w:val="-5"/>
        </w:rPr>
        <w:t xml:space="preserve"> </w:t>
      </w:r>
      <w:r>
        <w:rPr>
          <w:color w:val="231F20"/>
        </w:rPr>
        <w:t>uvedenou</w:t>
      </w:r>
      <w:r>
        <w:rPr>
          <w:color w:val="231F20"/>
          <w:spacing w:val="-5"/>
        </w:rPr>
        <w:t xml:space="preserve"> </w:t>
      </w:r>
      <w:r>
        <w:rPr>
          <w:color w:val="231F20"/>
        </w:rPr>
        <w:t>v</w:t>
      </w:r>
      <w:r>
        <w:rPr>
          <w:color w:val="231F20"/>
          <w:spacing w:val="-6"/>
        </w:rPr>
        <w:t xml:space="preserve"> </w:t>
      </w:r>
      <w:r>
        <w:rPr>
          <w:color w:val="231F20"/>
        </w:rPr>
        <w:t>pojistné</w:t>
      </w:r>
      <w:r>
        <w:rPr>
          <w:color w:val="231F20"/>
          <w:spacing w:val="-5"/>
        </w:rPr>
        <w:t xml:space="preserve"> </w:t>
      </w:r>
      <w:r>
        <w:rPr>
          <w:color w:val="231F20"/>
        </w:rPr>
        <w:t>smlouvě.</w:t>
      </w:r>
    </w:p>
    <w:p w14:paraId="102FD759"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7"/>
          <w:position w:val="1"/>
          <w:sz w:val="14"/>
        </w:rPr>
        <w:t xml:space="preserve"> </w:t>
      </w:r>
      <w:r>
        <w:rPr>
          <w:color w:val="231F20"/>
        </w:rPr>
        <w:t xml:space="preserve">V případě odstraňování následků pojistné události je pojištěný povinen </w:t>
      </w:r>
      <w:r>
        <w:rPr>
          <w:color w:val="231F20"/>
          <w:spacing w:val="-3"/>
        </w:rPr>
        <w:t xml:space="preserve">využít </w:t>
      </w:r>
      <w:r>
        <w:rPr>
          <w:color w:val="231F20"/>
        </w:rPr>
        <w:t>Pojišťovnou</w:t>
      </w:r>
      <w:r>
        <w:rPr>
          <w:color w:val="231F20"/>
          <w:spacing w:val="-29"/>
        </w:rPr>
        <w:t xml:space="preserve"> </w:t>
      </w:r>
      <w:r>
        <w:rPr>
          <w:color w:val="231F20"/>
        </w:rPr>
        <w:t>doporučenou</w:t>
      </w:r>
      <w:r>
        <w:rPr>
          <w:color w:val="231F20"/>
          <w:spacing w:val="-27"/>
        </w:rPr>
        <w:t xml:space="preserve"> </w:t>
      </w:r>
      <w:r>
        <w:rPr>
          <w:color w:val="231F20"/>
        </w:rPr>
        <w:t>autoopravnu,</w:t>
      </w:r>
      <w:r>
        <w:rPr>
          <w:color w:val="231F20"/>
          <w:spacing w:val="-28"/>
        </w:rPr>
        <w:t xml:space="preserve"> </w:t>
      </w:r>
      <w:r>
        <w:rPr>
          <w:color w:val="231F20"/>
        </w:rPr>
        <w:t>resp.</w:t>
      </w:r>
      <w:r>
        <w:rPr>
          <w:color w:val="231F20"/>
          <w:spacing w:val="-28"/>
        </w:rPr>
        <w:t xml:space="preserve"> </w:t>
      </w:r>
      <w:r>
        <w:rPr>
          <w:color w:val="231F20"/>
        </w:rPr>
        <w:t>smluvní</w:t>
      </w:r>
      <w:r>
        <w:rPr>
          <w:color w:val="231F20"/>
          <w:spacing w:val="-29"/>
        </w:rPr>
        <w:t xml:space="preserve"> </w:t>
      </w:r>
      <w:r>
        <w:rPr>
          <w:color w:val="231F20"/>
        </w:rPr>
        <w:t>servis</w:t>
      </w:r>
      <w:r>
        <w:rPr>
          <w:color w:val="231F20"/>
          <w:spacing w:val="-27"/>
        </w:rPr>
        <w:t xml:space="preserve"> </w:t>
      </w:r>
      <w:r>
        <w:rPr>
          <w:color w:val="231F20"/>
        </w:rPr>
        <w:t>Pojišťovny.</w:t>
      </w:r>
      <w:r>
        <w:rPr>
          <w:color w:val="231F20"/>
          <w:spacing w:val="-28"/>
        </w:rPr>
        <w:t xml:space="preserve"> </w:t>
      </w:r>
      <w:r>
        <w:rPr>
          <w:color w:val="231F20"/>
          <w:spacing w:val="-4"/>
        </w:rPr>
        <w:t xml:space="preserve">Jestli- </w:t>
      </w:r>
      <w:r>
        <w:rPr>
          <w:color w:val="231F20"/>
        </w:rPr>
        <w:t>že</w:t>
      </w:r>
      <w:r>
        <w:rPr>
          <w:color w:val="231F20"/>
          <w:spacing w:val="-24"/>
        </w:rPr>
        <w:t xml:space="preserve"> </w:t>
      </w:r>
      <w:r>
        <w:rPr>
          <w:color w:val="231F20"/>
        </w:rPr>
        <w:t>tak</w:t>
      </w:r>
      <w:r>
        <w:rPr>
          <w:color w:val="231F20"/>
          <w:spacing w:val="-23"/>
        </w:rPr>
        <w:t xml:space="preserve"> </w:t>
      </w:r>
      <w:r>
        <w:rPr>
          <w:color w:val="231F20"/>
        </w:rPr>
        <w:t>pojištěný</w:t>
      </w:r>
      <w:r>
        <w:rPr>
          <w:color w:val="231F20"/>
          <w:spacing w:val="-23"/>
        </w:rPr>
        <w:t xml:space="preserve"> </w:t>
      </w:r>
      <w:r>
        <w:rPr>
          <w:color w:val="231F20"/>
        </w:rPr>
        <w:t>neučiní,</w:t>
      </w:r>
      <w:r>
        <w:rPr>
          <w:color w:val="231F20"/>
          <w:spacing w:val="-24"/>
        </w:rPr>
        <w:t xml:space="preserve"> </w:t>
      </w:r>
      <w:r>
        <w:rPr>
          <w:color w:val="231F20"/>
        </w:rPr>
        <w:t>sníží</w:t>
      </w:r>
      <w:r>
        <w:rPr>
          <w:color w:val="231F20"/>
          <w:spacing w:val="-23"/>
        </w:rPr>
        <w:t xml:space="preserve"> </w:t>
      </w:r>
      <w:r>
        <w:rPr>
          <w:color w:val="231F20"/>
        </w:rPr>
        <w:t>Pojišťovna</w:t>
      </w:r>
      <w:r>
        <w:rPr>
          <w:color w:val="231F20"/>
          <w:spacing w:val="-23"/>
        </w:rPr>
        <w:t xml:space="preserve"> </w:t>
      </w:r>
      <w:r>
        <w:rPr>
          <w:color w:val="231F20"/>
        </w:rPr>
        <w:t>pojistné</w:t>
      </w:r>
      <w:r>
        <w:rPr>
          <w:color w:val="231F20"/>
          <w:spacing w:val="-23"/>
        </w:rPr>
        <w:t xml:space="preserve"> </w:t>
      </w:r>
      <w:r>
        <w:rPr>
          <w:color w:val="231F20"/>
        </w:rPr>
        <w:t>plnění,</w:t>
      </w:r>
      <w:r>
        <w:rPr>
          <w:color w:val="231F20"/>
          <w:spacing w:val="-24"/>
        </w:rPr>
        <w:t xml:space="preserve"> </w:t>
      </w:r>
      <w:r>
        <w:rPr>
          <w:color w:val="231F20"/>
        </w:rPr>
        <w:t>a</w:t>
      </w:r>
      <w:r>
        <w:rPr>
          <w:color w:val="231F20"/>
          <w:spacing w:val="-23"/>
        </w:rPr>
        <w:t xml:space="preserve"> </w:t>
      </w:r>
      <w:r>
        <w:rPr>
          <w:color w:val="231F20"/>
        </w:rPr>
        <w:t>to</w:t>
      </w:r>
      <w:r>
        <w:rPr>
          <w:color w:val="231F20"/>
          <w:spacing w:val="-23"/>
        </w:rPr>
        <w:t xml:space="preserve"> </w:t>
      </w:r>
      <w:r>
        <w:rPr>
          <w:color w:val="231F20"/>
        </w:rPr>
        <w:t>ve</w:t>
      </w:r>
      <w:r>
        <w:rPr>
          <w:color w:val="231F20"/>
          <w:spacing w:val="-24"/>
        </w:rPr>
        <w:t xml:space="preserve"> </w:t>
      </w:r>
      <w:r>
        <w:rPr>
          <w:color w:val="231F20"/>
        </w:rPr>
        <w:t>stejném</w:t>
      </w:r>
      <w:r>
        <w:rPr>
          <w:color w:val="231F20"/>
          <w:spacing w:val="-23"/>
        </w:rPr>
        <w:t xml:space="preserve"> </w:t>
      </w:r>
      <w:r>
        <w:rPr>
          <w:color w:val="231F20"/>
          <w:spacing w:val="-5"/>
        </w:rPr>
        <w:t xml:space="preserve">pomě- </w:t>
      </w:r>
      <w:r>
        <w:rPr>
          <w:color w:val="231F20"/>
        </w:rPr>
        <w:t>ru,</w:t>
      </w:r>
      <w:r>
        <w:rPr>
          <w:color w:val="231F20"/>
          <w:spacing w:val="-17"/>
        </w:rPr>
        <w:t xml:space="preserve"> </w:t>
      </w:r>
      <w:r>
        <w:rPr>
          <w:color w:val="231F20"/>
        </w:rPr>
        <w:t>v</w:t>
      </w:r>
      <w:r>
        <w:rPr>
          <w:color w:val="231F20"/>
          <w:spacing w:val="-17"/>
        </w:rPr>
        <w:t xml:space="preserve"> </w:t>
      </w:r>
      <w:r>
        <w:rPr>
          <w:color w:val="231F20"/>
        </w:rPr>
        <w:t>jakém</w:t>
      </w:r>
      <w:r>
        <w:rPr>
          <w:color w:val="231F20"/>
          <w:spacing w:val="-17"/>
        </w:rPr>
        <w:t xml:space="preserve"> </w:t>
      </w:r>
      <w:r>
        <w:rPr>
          <w:color w:val="231F20"/>
        </w:rPr>
        <w:t>poskytla</w:t>
      </w:r>
      <w:r>
        <w:rPr>
          <w:color w:val="231F20"/>
          <w:spacing w:val="-16"/>
        </w:rPr>
        <w:t xml:space="preserve"> </w:t>
      </w:r>
      <w:r>
        <w:rPr>
          <w:color w:val="231F20"/>
        </w:rPr>
        <w:t>slevu</w:t>
      </w:r>
      <w:r>
        <w:rPr>
          <w:color w:val="231F20"/>
          <w:spacing w:val="-17"/>
        </w:rPr>
        <w:t xml:space="preserve"> </w:t>
      </w:r>
      <w:r>
        <w:rPr>
          <w:color w:val="231F20"/>
        </w:rPr>
        <w:t>na</w:t>
      </w:r>
      <w:r>
        <w:rPr>
          <w:color w:val="231F20"/>
          <w:spacing w:val="-17"/>
        </w:rPr>
        <w:t xml:space="preserve"> </w:t>
      </w:r>
      <w:r>
        <w:rPr>
          <w:color w:val="231F20"/>
        </w:rPr>
        <w:t>pojistném</w:t>
      </w:r>
      <w:r>
        <w:rPr>
          <w:color w:val="231F20"/>
          <w:spacing w:val="-16"/>
        </w:rPr>
        <w:t xml:space="preserve"> </w:t>
      </w:r>
      <w:r>
        <w:rPr>
          <w:color w:val="231F20"/>
        </w:rPr>
        <w:t>za</w:t>
      </w:r>
      <w:r>
        <w:rPr>
          <w:color w:val="231F20"/>
          <w:spacing w:val="-17"/>
        </w:rPr>
        <w:t xml:space="preserve"> </w:t>
      </w:r>
      <w:r>
        <w:rPr>
          <w:color w:val="231F20"/>
        </w:rPr>
        <w:t>akceptaci</w:t>
      </w:r>
      <w:r>
        <w:rPr>
          <w:color w:val="231F20"/>
          <w:spacing w:val="-17"/>
        </w:rPr>
        <w:t xml:space="preserve"> </w:t>
      </w:r>
      <w:r>
        <w:rPr>
          <w:color w:val="231F20"/>
        </w:rPr>
        <w:t>Pojišťovnou</w:t>
      </w:r>
      <w:r>
        <w:rPr>
          <w:color w:val="231F20"/>
          <w:spacing w:val="-17"/>
        </w:rPr>
        <w:t xml:space="preserve"> </w:t>
      </w:r>
      <w:r>
        <w:rPr>
          <w:color w:val="231F20"/>
        </w:rPr>
        <w:t>doporučené autoopravny.</w:t>
      </w:r>
      <w:r>
        <w:rPr>
          <w:color w:val="231F20"/>
          <w:spacing w:val="-5"/>
        </w:rPr>
        <w:t xml:space="preserve"> </w:t>
      </w:r>
      <w:r>
        <w:rPr>
          <w:color w:val="231F20"/>
        </w:rPr>
        <w:t>Pojišťovna</w:t>
      </w:r>
      <w:r>
        <w:rPr>
          <w:color w:val="231F20"/>
          <w:spacing w:val="-5"/>
        </w:rPr>
        <w:t xml:space="preserve"> </w:t>
      </w:r>
      <w:r>
        <w:rPr>
          <w:color w:val="231F20"/>
        </w:rPr>
        <w:t>dále</w:t>
      </w:r>
      <w:r>
        <w:rPr>
          <w:color w:val="231F20"/>
          <w:spacing w:val="-4"/>
        </w:rPr>
        <w:t xml:space="preserve"> </w:t>
      </w:r>
      <w:r>
        <w:rPr>
          <w:color w:val="231F20"/>
        </w:rPr>
        <w:t>může</w:t>
      </w:r>
      <w:r>
        <w:rPr>
          <w:color w:val="231F20"/>
          <w:spacing w:val="-5"/>
        </w:rPr>
        <w:t xml:space="preserve"> </w:t>
      </w:r>
      <w:r>
        <w:rPr>
          <w:color w:val="231F20"/>
        </w:rPr>
        <w:t>omezit</w:t>
      </w:r>
      <w:r>
        <w:rPr>
          <w:color w:val="231F20"/>
          <w:spacing w:val="-5"/>
        </w:rPr>
        <w:t xml:space="preserve"> </w:t>
      </w:r>
      <w:r>
        <w:rPr>
          <w:color w:val="231F20"/>
        </w:rPr>
        <w:t>maximální</w:t>
      </w:r>
      <w:r>
        <w:rPr>
          <w:color w:val="231F20"/>
          <w:spacing w:val="-5"/>
        </w:rPr>
        <w:t xml:space="preserve"> </w:t>
      </w:r>
      <w:r>
        <w:rPr>
          <w:color w:val="231F20"/>
        </w:rPr>
        <w:t>výši</w:t>
      </w:r>
      <w:r>
        <w:rPr>
          <w:color w:val="231F20"/>
          <w:spacing w:val="-4"/>
        </w:rPr>
        <w:t xml:space="preserve"> </w:t>
      </w:r>
      <w:r>
        <w:rPr>
          <w:color w:val="231F20"/>
        </w:rPr>
        <w:t>pojistného</w:t>
      </w:r>
      <w:r>
        <w:rPr>
          <w:color w:val="231F20"/>
          <w:spacing w:val="-5"/>
        </w:rPr>
        <w:t xml:space="preserve"> </w:t>
      </w:r>
      <w:r>
        <w:rPr>
          <w:color w:val="231F20"/>
          <w:spacing w:val="-3"/>
        </w:rPr>
        <w:t xml:space="preserve">plnění </w:t>
      </w:r>
      <w:r>
        <w:rPr>
          <w:color w:val="231F20"/>
        </w:rPr>
        <w:t>cenou</w:t>
      </w:r>
      <w:r>
        <w:rPr>
          <w:color w:val="231F20"/>
          <w:spacing w:val="-10"/>
        </w:rPr>
        <w:t xml:space="preserve"> </w:t>
      </w:r>
      <w:r>
        <w:rPr>
          <w:color w:val="231F20"/>
        </w:rPr>
        <w:t>opravy,</w:t>
      </w:r>
      <w:r>
        <w:rPr>
          <w:color w:val="231F20"/>
          <w:spacing w:val="-9"/>
        </w:rPr>
        <w:t xml:space="preserve"> </w:t>
      </w:r>
      <w:r>
        <w:rPr>
          <w:color w:val="231F20"/>
        </w:rPr>
        <w:t>která</w:t>
      </w:r>
      <w:r>
        <w:rPr>
          <w:color w:val="231F20"/>
          <w:spacing w:val="-10"/>
        </w:rPr>
        <w:t xml:space="preserve"> </w:t>
      </w:r>
      <w:r>
        <w:rPr>
          <w:color w:val="231F20"/>
        </w:rPr>
        <w:t>by</w:t>
      </w:r>
      <w:r>
        <w:rPr>
          <w:color w:val="231F20"/>
          <w:spacing w:val="-9"/>
        </w:rPr>
        <w:t xml:space="preserve"> </w:t>
      </w:r>
      <w:r>
        <w:rPr>
          <w:color w:val="231F20"/>
        </w:rPr>
        <w:t>byla</w:t>
      </w:r>
      <w:r>
        <w:rPr>
          <w:color w:val="231F20"/>
          <w:spacing w:val="-10"/>
        </w:rPr>
        <w:t xml:space="preserve"> </w:t>
      </w:r>
      <w:r>
        <w:rPr>
          <w:color w:val="231F20"/>
        </w:rPr>
        <w:t>dosažena</w:t>
      </w:r>
      <w:r>
        <w:rPr>
          <w:color w:val="231F20"/>
          <w:spacing w:val="-9"/>
        </w:rPr>
        <w:t xml:space="preserve"> </w:t>
      </w:r>
      <w:r>
        <w:rPr>
          <w:color w:val="231F20"/>
        </w:rPr>
        <w:t>ve</w:t>
      </w:r>
      <w:r>
        <w:rPr>
          <w:color w:val="231F20"/>
          <w:spacing w:val="-10"/>
        </w:rPr>
        <w:t xml:space="preserve"> </w:t>
      </w:r>
      <w:r>
        <w:rPr>
          <w:color w:val="231F20"/>
        </w:rPr>
        <w:t>smluvní</w:t>
      </w:r>
      <w:r>
        <w:rPr>
          <w:color w:val="231F20"/>
          <w:spacing w:val="-9"/>
        </w:rPr>
        <w:t xml:space="preserve"> </w:t>
      </w:r>
      <w:r>
        <w:rPr>
          <w:color w:val="231F20"/>
        </w:rPr>
        <w:t>opravně</w:t>
      </w:r>
      <w:r>
        <w:rPr>
          <w:color w:val="231F20"/>
          <w:spacing w:val="-10"/>
        </w:rPr>
        <w:t xml:space="preserve"> </w:t>
      </w:r>
      <w:r>
        <w:rPr>
          <w:color w:val="231F20"/>
        </w:rPr>
        <w:t>Pojišťovny.</w:t>
      </w:r>
    </w:p>
    <w:p w14:paraId="166529E8"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position w:val="1"/>
          <w:sz w:val="14"/>
        </w:rPr>
        <w:t xml:space="preserve"> </w:t>
      </w:r>
      <w:r>
        <w:rPr>
          <w:color w:val="231F20"/>
        </w:rPr>
        <w:t>Seznam doporučených autoopraven, resp. smluvních servisů, vede Pojiš- ťovna</w:t>
      </w:r>
      <w:r>
        <w:rPr>
          <w:color w:val="231F20"/>
          <w:spacing w:val="-14"/>
        </w:rPr>
        <w:t xml:space="preserve"> </w:t>
      </w:r>
      <w:r>
        <w:rPr>
          <w:color w:val="231F20"/>
        </w:rPr>
        <w:t>a</w:t>
      </w:r>
      <w:r>
        <w:rPr>
          <w:color w:val="231F20"/>
          <w:spacing w:val="-14"/>
        </w:rPr>
        <w:t xml:space="preserve"> </w:t>
      </w:r>
      <w:r>
        <w:rPr>
          <w:color w:val="231F20"/>
        </w:rPr>
        <w:t>pravidelně</w:t>
      </w:r>
      <w:r>
        <w:rPr>
          <w:color w:val="231F20"/>
          <w:spacing w:val="-14"/>
        </w:rPr>
        <w:t xml:space="preserve"> </w:t>
      </w:r>
      <w:r>
        <w:rPr>
          <w:color w:val="231F20"/>
        </w:rPr>
        <w:t>jej</w:t>
      </w:r>
      <w:r>
        <w:rPr>
          <w:color w:val="231F20"/>
          <w:spacing w:val="-14"/>
        </w:rPr>
        <w:t xml:space="preserve"> </w:t>
      </w:r>
      <w:r>
        <w:rPr>
          <w:color w:val="231F20"/>
        </w:rPr>
        <w:t>aktualizuje.</w:t>
      </w:r>
      <w:r>
        <w:rPr>
          <w:color w:val="231F20"/>
          <w:spacing w:val="-14"/>
        </w:rPr>
        <w:t xml:space="preserve"> </w:t>
      </w:r>
      <w:r>
        <w:rPr>
          <w:color w:val="231F20"/>
        </w:rPr>
        <w:t>Aktuální</w:t>
      </w:r>
      <w:r>
        <w:rPr>
          <w:color w:val="231F20"/>
          <w:spacing w:val="-14"/>
        </w:rPr>
        <w:t xml:space="preserve"> </w:t>
      </w:r>
      <w:r>
        <w:rPr>
          <w:color w:val="231F20"/>
        </w:rPr>
        <w:t>seznam</w:t>
      </w:r>
      <w:r>
        <w:rPr>
          <w:color w:val="231F20"/>
          <w:spacing w:val="-14"/>
        </w:rPr>
        <w:t xml:space="preserve"> </w:t>
      </w:r>
      <w:r>
        <w:rPr>
          <w:color w:val="231F20"/>
        </w:rPr>
        <w:t>je</w:t>
      </w:r>
      <w:r>
        <w:rPr>
          <w:color w:val="231F20"/>
          <w:spacing w:val="-14"/>
        </w:rPr>
        <w:t xml:space="preserve"> </w:t>
      </w:r>
      <w:r>
        <w:rPr>
          <w:color w:val="231F20"/>
        </w:rPr>
        <w:t>k</w:t>
      </w:r>
      <w:r>
        <w:rPr>
          <w:color w:val="231F20"/>
          <w:spacing w:val="-14"/>
        </w:rPr>
        <w:t xml:space="preserve"> </w:t>
      </w:r>
      <w:r>
        <w:rPr>
          <w:color w:val="231F20"/>
        </w:rPr>
        <w:t>dispozici</w:t>
      </w:r>
      <w:r>
        <w:rPr>
          <w:color w:val="231F20"/>
          <w:spacing w:val="-13"/>
        </w:rPr>
        <w:t xml:space="preserve"> </w:t>
      </w:r>
      <w:r>
        <w:rPr>
          <w:color w:val="231F20"/>
        </w:rPr>
        <w:t>u</w:t>
      </w:r>
      <w:r>
        <w:rPr>
          <w:color w:val="231F20"/>
          <w:spacing w:val="-14"/>
        </w:rPr>
        <w:t xml:space="preserve"> </w:t>
      </w:r>
      <w:r>
        <w:rPr>
          <w:color w:val="231F20"/>
        </w:rPr>
        <w:t>Pojišťovny na internetových stránkách</w:t>
      </w:r>
      <w:r>
        <w:rPr>
          <w:color w:val="231F20"/>
          <w:spacing w:val="-7"/>
        </w:rPr>
        <w:t xml:space="preserve"> </w:t>
      </w:r>
      <w:hyperlink r:id="rId45">
        <w:r>
          <w:rPr>
            <w:color w:val="231F20"/>
          </w:rPr>
          <w:t>www.generaliceska.cz.</w:t>
        </w:r>
      </w:hyperlink>
    </w:p>
    <w:p w14:paraId="42056214" w14:textId="77777777" w:rsidR="00F65BCA" w:rsidRDefault="00F65BCA">
      <w:pPr>
        <w:pStyle w:val="Zkladntext"/>
        <w:spacing w:before="8"/>
        <w:rPr>
          <w:sz w:val="20"/>
        </w:rPr>
      </w:pPr>
    </w:p>
    <w:p w14:paraId="639066F7" w14:textId="77777777" w:rsidR="00F65BCA" w:rsidRDefault="00216117">
      <w:pPr>
        <w:ind w:left="428"/>
        <w:rPr>
          <w:sz w:val="15"/>
        </w:rPr>
      </w:pPr>
      <w:r>
        <w:rPr>
          <w:color w:val="FFFFFF"/>
          <w:position w:val="3"/>
          <w:sz w:val="16"/>
          <w:shd w:val="clear" w:color="auto" w:fill="808285"/>
        </w:rPr>
        <w:t xml:space="preserve">  Článek 35</w:t>
      </w:r>
      <w:r>
        <w:rPr>
          <w:color w:val="FFFFFF"/>
          <w:position w:val="3"/>
          <w:sz w:val="16"/>
        </w:rPr>
        <w:t xml:space="preserve"> </w:t>
      </w:r>
      <w:r>
        <w:rPr>
          <w:color w:val="231F20"/>
          <w:sz w:val="15"/>
        </w:rPr>
        <w:t>Zabezpečení vozidla</w:t>
      </w:r>
    </w:p>
    <w:p w14:paraId="35CAF96F" w14:textId="77777777" w:rsidR="00F65BCA" w:rsidRDefault="00216117">
      <w:pPr>
        <w:pStyle w:val="Zkladntext"/>
        <w:spacing w:before="147"/>
        <w:ind w:left="428"/>
        <w:jc w:val="both"/>
      </w:pPr>
      <w:r>
        <w:rPr>
          <w:color w:val="231F20"/>
          <w:position w:val="1"/>
          <w:sz w:val="14"/>
          <w:shd w:val="clear" w:color="auto" w:fill="D1D3D4"/>
        </w:rPr>
        <w:t xml:space="preserve">  1</w:t>
      </w:r>
      <w:r>
        <w:rPr>
          <w:color w:val="231F20"/>
          <w:position w:val="1"/>
          <w:sz w:val="14"/>
        </w:rPr>
        <w:t xml:space="preserve"> </w:t>
      </w:r>
      <w:r>
        <w:rPr>
          <w:color w:val="231F20"/>
        </w:rPr>
        <w:t>Pro účely pojištění se za zabezpečovací zařízení považují:</w:t>
      </w:r>
    </w:p>
    <w:p w14:paraId="46CFD9C9" w14:textId="77777777" w:rsidR="00F65BCA" w:rsidRDefault="00216117">
      <w:pPr>
        <w:pStyle w:val="Odstavecseseznamem"/>
        <w:numPr>
          <w:ilvl w:val="1"/>
          <w:numId w:val="100"/>
        </w:numPr>
        <w:tabs>
          <w:tab w:val="left" w:pos="881"/>
        </w:tabs>
        <w:spacing w:before="28" w:line="278" w:lineRule="auto"/>
        <w:jc w:val="both"/>
        <w:rPr>
          <w:sz w:val="15"/>
        </w:rPr>
      </w:pPr>
      <w:r>
        <w:rPr>
          <w:color w:val="231F20"/>
          <w:sz w:val="15"/>
        </w:rPr>
        <w:t>mechanický</w:t>
      </w:r>
      <w:r>
        <w:rPr>
          <w:color w:val="231F20"/>
          <w:spacing w:val="-20"/>
          <w:sz w:val="15"/>
        </w:rPr>
        <w:t xml:space="preserve"> </w:t>
      </w:r>
      <w:r>
        <w:rPr>
          <w:color w:val="231F20"/>
          <w:sz w:val="15"/>
        </w:rPr>
        <w:t>zabezpečovací</w:t>
      </w:r>
      <w:r>
        <w:rPr>
          <w:color w:val="231F20"/>
          <w:spacing w:val="-19"/>
          <w:sz w:val="15"/>
        </w:rPr>
        <w:t xml:space="preserve"> </w:t>
      </w:r>
      <w:r>
        <w:rPr>
          <w:color w:val="231F20"/>
          <w:sz w:val="15"/>
        </w:rPr>
        <w:t>systém</w:t>
      </w:r>
      <w:r>
        <w:rPr>
          <w:color w:val="231F20"/>
          <w:spacing w:val="-20"/>
          <w:sz w:val="15"/>
        </w:rPr>
        <w:t xml:space="preserve"> </w:t>
      </w:r>
      <w:r>
        <w:rPr>
          <w:color w:val="231F20"/>
          <w:sz w:val="15"/>
        </w:rPr>
        <w:t>pevně</w:t>
      </w:r>
      <w:r>
        <w:rPr>
          <w:color w:val="231F20"/>
          <w:spacing w:val="-19"/>
          <w:sz w:val="15"/>
        </w:rPr>
        <w:t xml:space="preserve"> </w:t>
      </w:r>
      <w:r>
        <w:rPr>
          <w:color w:val="231F20"/>
          <w:sz w:val="15"/>
        </w:rPr>
        <w:t>spojený</w:t>
      </w:r>
      <w:r>
        <w:rPr>
          <w:color w:val="231F20"/>
          <w:spacing w:val="-19"/>
          <w:sz w:val="15"/>
        </w:rPr>
        <w:t xml:space="preserve"> </w:t>
      </w:r>
      <w:r>
        <w:rPr>
          <w:color w:val="231F20"/>
          <w:sz w:val="15"/>
        </w:rPr>
        <w:t>s</w:t>
      </w:r>
      <w:r>
        <w:rPr>
          <w:color w:val="231F20"/>
          <w:spacing w:val="-20"/>
          <w:sz w:val="15"/>
        </w:rPr>
        <w:t xml:space="preserve"> </w:t>
      </w:r>
      <w:r>
        <w:rPr>
          <w:color w:val="231F20"/>
          <w:sz w:val="15"/>
        </w:rPr>
        <w:t>karoserií</w:t>
      </w:r>
      <w:r>
        <w:rPr>
          <w:color w:val="231F20"/>
          <w:spacing w:val="-19"/>
          <w:sz w:val="15"/>
        </w:rPr>
        <w:t xml:space="preserve"> </w:t>
      </w:r>
      <w:r>
        <w:rPr>
          <w:color w:val="231F20"/>
          <w:sz w:val="15"/>
        </w:rPr>
        <w:t>či</w:t>
      </w:r>
      <w:r>
        <w:rPr>
          <w:color w:val="231F20"/>
          <w:spacing w:val="-19"/>
          <w:sz w:val="15"/>
        </w:rPr>
        <w:t xml:space="preserve"> </w:t>
      </w:r>
      <w:r>
        <w:rPr>
          <w:color w:val="231F20"/>
          <w:sz w:val="15"/>
        </w:rPr>
        <w:t>rámem</w:t>
      </w:r>
      <w:r>
        <w:rPr>
          <w:color w:val="231F20"/>
          <w:spacing w:val="-20"/>
          <w:sz w:val="15"/>
        </w:rPr>
        <w:t xml:space="preserve"> </w:t>
      </w:r>
      <w:r>
        <w:rPr>
          <w:color w:val="231F20"/>
          <w:spacing w:val="-6"/>
          <w:sz w:val="15"/>
        </w:rPr>
        <w:t xml:space="preserve">vo- </w:t>
      </w:r>
      <w:r>
        <w:rPr>
          <w:color w:val="231F20"/>
          <w:sz w:val="15"/>
        </w:rPr>
        <w:t>zidla,</w:t>
      </w:r>
      <w:r>
        <w:rPr>
          <w:color w:val="231F20"/>
          <w:spacing w:val="-22"/>
          <w:sz w:val="15"/>
        </w:rPr>
        <w:t xml:space="preserve"> </w:t>
      </w:r>
      <w:r>
        <w:rPr>
          <w:color w:val="231F20"/>
          <w:sz w:val="15"/>
        </w:rPr>
        <w:t>který</w:t>
      </w:r>
      <w:r>
        <w:rPr>
          <w:color w:val="231F20"/>
          <w:spacing w:val="-21"/>
          <w:sz w:val="15"/>
        </w:rPr>
        <w:t xml:space="preserve"> </w:t>
      </w:r>
      <w:r>
        <w:rPr>
          <w:color w:val="231F20"/>
          <w:sz w:val="15"/>
        </w:rPr>
        <w:t>při</w:t>
      </w:r>
      <w:r>
        <w:rPr>
          <w:color w:val="231F20"/>
          <w:spacing w:val="-22"/>
          <w:sz w:val="15"/>
        </w:rPr>
        <w:t xml:space="preserve"> </w:t>
      </w:r>
      <w:r>
        <w:rPr>
          <w:color w:val="231F20"/>
          <w:sz w:val="15"/>
        </w:rPr>
        <w:t>uzamčení</w:t>
      </w:r>
      <w:r>
        <w:rPr>
          <w:color w:val="231F20"/>
          <w:spacing w:val="-21"/>
          <w:sz w:val="15"/>
        </w:rPr>
        <w:t xml:space="preserve"> </w:t>
      </w:r>
      <w:r>
        <w:rPr>
          <w:color w:val="231F20"/>
          <w:sz w:val="15"/>
        </w:rPr>
        <w:t>blokuje</w:t>
      </w:r>
      <w:r>
        <w:rPr>
          <w:color w:val="231F20"/>
          <w:spacing w:val="-21"/>
          <w:sz w:val="15"/>
        </w:rPr>
        <w:t xml:space="preserve"> </w:t>
      </w:r>
      <w:r>
        <w:rPr>
          <w:color w:val="231F20"/>
          <w:sz w:val="15"/>
        </w:rPr>
        <w:t>systém</w:t>
      </w:r>
      <w:r>
        <w:rPr>
          <w:color w:val="231F20"/>
          <w:spacing w:val="-22"/>
          <w:sz w:val="15"/>
        </w:rPr>
        <w:t xml:space="preserve"> </w:t>
      </w:r>
      <w:r>
        <w:rPr>
          <w:color w:val="231F20"/>
          <w:sz w:val="15"/>
        </w:rPr>
        <w:t>řazení</w:t>
      </w:r>
      <w:r>
        <w:rPr>
          <w:color w:val="231F20"/>
          <w:spacing w:val="-21"/>
          <w:sz w:val="15"/>
        </w:rPr>
        <w:t xml:space="preserve"> </w:t>
      </w:r>
      <w:r>
        <w:rPr>
          <w:color w:val="231F20"/>
          <w:sz w:val="15"/>
        </w:rPr>
        <w:t>převodových</w:t>
      </w:r>
      <w:r>
        <w:rPr>
          <w:color w:val="231F20"/>
          <w:spacing w:val="-21"/>
          <w:sz w:val="15"/>
        </w:rPr>
        <w:t xml:space="preserve"> </w:t>
      </w:r>
      <w:r>
        <w:rPr>
          <w:color w:val="231F20"/>
          <w:sz w:val="15"/>
        </w:rPr>
        <w:t>stupňů</w:t>
      </w:r>
      <w:r>
        <w:rPr>
          <w:color w:val="231F20"/>
          <w:spacing w:val="-22"/>
          <w:sz w:val="15"/>
        </w:rPr>
        <w:t xml:space="preserve"> </w:t>
      </w:r>
      <w:r>
        <w:rPr>
          <w:color w:val="231F20"/>
          <w:sz w:val="15"/>
        </w:rPr>
        <w:t>vozidla (v</w:t>
      </w:r>
      <w:r>
        <w:rPr>
          <w:color w:val="231F20"/>
          <w:spacing w:val="-14"/>
          <w:sz w:val="15"/>
        </w:rPr>
        <w:t xml:space="preserve"> </w:t>
      </w:r>
      <w:r>
        <w:rPr>
          <w:color w:val="231F20"/>
          <w:sz w:val="15"/>
        </w:rPr>
        <w:t>pojistné</w:t>
      </w:r>
      <w:r>
        <w:rPr>
          <w:color w:val="231F20"/>
          <w:spacing w:val="-14"/>
          <w:sz w:val="15"/>
        </w:rPr>
        <w:t xml:space="preserve"> </w:t>
      </w:r>
      <w:r>
        <w:rPr>
          <w:color w:val="231F20"/>
          <w:sz w:val="15"/>
        </w:rPr>
        <w:t>smlouvě</w:t>
      </w:r>
      <w:r>
        <w:rPr>
          <w:color w:val="231F20"/>
          <w:spacing w:val="-14"/>
          <w:sz w:val="15"/>
        </w:rPr>
        <w:t xml:space="preserve"> </w:t>
      </w:r>
      <w:r>
        <w:rPr>
          <w:color w:val="231F20"/>
          <w:sz w:val="15"/>
        </w:rPr>
        <w:t>je</w:t>
      </w:r>
      <w:r>
        <w:rPr>
          <w:color w:val="231F20"/>
          <w:spacing w:val="-14"/>
          <w:sz w:val="15"/>
        </w:rPr>
        <w:t xml:space="preserve"> </w:t>
      </w:r>
      <w:r>
        <w:rPr>
          <w:color w:val="231F20"/>
          <w:sz w:val="15"/>
        </w:rPr>
        <w:t>toto</w:t>
      </w:r>
      <w:r>
        <w:rPr>
          <w:color w:val="231F20"/>
          <w:spacing w:val="-13"/>
          <w:sz w:val="15"/>
        </w:rPr>
        <w:t xml:space="preserve"> </w:t>
      </w:r>
      <w:r>
        <w:rPr>
          <w:color w:val="231F20"/>
          <w:sz w:val="15"/>
        </w:rPr>
        <w:t>zabezpečovací</w:t>
      </w:r>
      <w:r>
        <w:rPr>
          <w:color w:val="231F20"/>
          <w:spacing w:val="-14"/>
          <w:sz w:val="15"/>
        </w:rPr>
        <w:t xml:space="preserve"> </w:t>
      </w:r>
      <w:r>
        <w:rPr>
          <w:color w:val="231F20"/>
          <w:sz w:val="15"/>
        </w:rPr>
        <w:t>zařízení</w:t>
      </w:r>
      <w:r>
        <w:rPr>
          <w:color w:val="231F20"/>
          <w:spacing w:val="-14"/>
          <w:sz w:val="15"/>
        </w:rPr>
        <w:t xml:space="preserve"> </w:t>
      </w:r>
      <w:r>
        <w:rPr>
          <w:color w:val="231F20"/>
          <w:sz w:val="15"/>
        </w:rPr>
        <w:t>označeno</w:t>
      </w:r>
      <w:r>
        <w:rPr>
          <w:color w:val="231F20"/>
          <w:spacing w:val="-14"/>
          <w:sz w:val="15"/>
        </w:rPr>
        <w:t xml:space="preserve"> </w:t>
      </w:r>
      <w:r>
        <w:rPr>
          <w:color w:val="231F20"/>
          <w:sz w:val="15"/>
        </w:rPr>
        <w:t>jako</w:t>
      </w:r>
      <w:r>
        <w:rPr>
          <w:color w:val="231F20"/>
          <w:spacing w:val="-14"/>
          <w:sz w:val="15"/>
        </w:rPr>
        <w:t xml:space="preserve"> </w:t>
      </w:r>
      <w:r>
        <w:rPr>
          <w:color w:val="231F20"/>
          <w:spacing w:val="-3"/>
          <w:sz w:val="15"/>
        </w:rPr>
        <w:t xml:space="preserve">„mecha- </w:t>
      </w:r>
      <w:r>
        <w:rPr>
          <w:color w:val="231F20"/>
          <w:sz w:val="15"/>
        </w:rPr>
        <w:t>nické zabezpečení“). Za mechanické zabezpečení nelze považovat</w:t>
      </w:r>
      <w:r>
        <w:rPr>
          <w:color w:val="231F20"/>
          <w:spacing w:val="-20"/>
          <w:sz w:val="15"/>
        </w:rPr>
        <w:t xml:space="preserve"> </w:t>
      </w:r>
      <w:r>
        <w:rPr>
          <w:color w:val="231F20"/>
          <w:spacing w:val="-4"/>
          <w:sz w:val="15"/>
        </w:rPr>
        <w:t xml:space="preserve">auto- </w:t>
      </w:r>
      <w:r>
        <w:rPr>
          <w:color w:val="231F20"/>
          <w:sz w:val="15"/>
        </w:rPr>
        <w:t>matickou</w:t>
      </w:r>
      <w:r>
        <w:rPr>
          <w:color w:val="231F20"/>
          <w:spacing w:val="-1"/>
          <w:sz w:val="15"/>
        </w:rPr>
        <w:t xml:space="preserve"> </w:t>
      </w:r>
      <w:r>
        <w:rPr>
          <w:color w:val="231F20"/>
          <w:sz w:val="15"/>
        </w:rPr>
        <w:t>převodovku;</w:t>
      </w:r>
    </w:p>
    <w:p w14:paraId="2EE2D248" w14:textId="77777777" w:rsidR="00F65BCA" w:rsidRDefault="00216117">
      <w:pPr>
        <w:pStyle w:val="Odstavecseseznamem"/>
        <w:numPr>
          <w:ilvl w:val="1"/>
          <w:numId w:val="100"/>
        </w:numPr>
        <w:tabs>
          <w:tab w:val="left" w:pos="881"/>
        </w:tabs>
        <w:spacing w:line="278" w:lineRule="auto"/>
        <w:jc w:val="both"/>
        <w:rPr>
          <w:sz w:val="15"/>
        </w:rPr>
      </w:pPr>
      <w:r>
        <w:rPr>
          <w:color w:val="231F20"/>
          <w:sz w:val="15"/>
        </w:rPr>
        <w:t>skrytý</w:t>
      </w:r>
      <w:r>
        <w:rPr>
          <w:color w:val="231F20"/>
          <w:spacing w:val="-22"/>
          <w:sz w:val="15"/>
        </w:rPr>
        <w:t xml:space="preserve"> </w:t>
      </w:r>
      <w:r>
        <w:rPr>
          <w:color w:val="231F20"/>
          <w:sz w:val="15"/>
        </w:rPr>
        <w:t>elektronický</w:t>
      </w:r>
      <w:r>
        <w:rPr>
          <w:color w:val="231F20"/>
          <w:spacing w:val="-22"/>
          <w:sz w:val="15"/>
        </w:rPr>
        <w:t xml:space="preserve"> </w:t>
      </w:r>
      <w:r>
        <w:rPr>
          <w:color w:val="231F20"/>
          <w:sz w:val="15"/>
        </w:rPr>
        <w:t>zabezpečovací</w:t>
      </w:r>
      <w:r>
        <w:rPr>
          <w:color w:val="231F20"/>
          <w:spacing w:val="-22"/>
          <w:sz w:val="15"/>
        </w:rPr>
        <w:t xml:space="preserve"> </w:t>
      </w:r>
      <w:r>
        <w:rPr>
          <w:color w:val="231F20"/>
          <w:sz w:val="15"/>
        </w:rPr>
        <w:t>systém,</w:t>
      </w:r>
      <w:r>
        <w:rPr>
          <w:color w:val="231F20"/>
          <w:spacing w:val="-22"/>
          <w:sz w:val="15"/>
        </w:rPr>
        <w:t xml:space="preserve"> </w:t>
      </w:r>
      <w:r>
        <w:rPr>
          <w:color w:val="231F20"/>
          <w:sz w:val="15"/>
        </w:rPr>
        <w:t>který</w:t>
      </w:r>
      <w:r>
        <w:rPr>
          <w:color w:val="231F20"/>
          <w:spacing w:val="-22"/>
          <w:sz w:val="15"/>
        </w:rPr>
        <w:t xml:space="preserve"> </w:t>
      </w:r>
      <w:r>
        <w:rPr>
          <w:color w:val="231F20"/>
          <w:sz w:val="15"/>
        </w:rPr>
        <w:t>musí</w:t>
      </w:r>
      <w:r>
        <w:rPr>
          <w:color w:val="231F20"/>
          <w:spacing w:val="-22"/>
          <w:sz w:val="15"/>
        </w:rPr>
        <w:t xml:space="preserve"> </w:t>
      </w:r>
      <w:r>
        <w:rPr>
          <w:color w:val="231F20"/>
          <w:sz w:val="15"/>
        </w:rPr>
        <w:t>být</w:t>
      </w:r>
      <w:r>
        <w:rPr>
          <w:color w:val="231F20"/>
          <w:spacing w:val="-22"/>
          <w:sz w:val="15"/>
        </w:rPr>
        <w:t xml:space="preserve"> </w:t>
      </w:r>
      <w:r>
        <w:rPr>
          <w:color w:val="231F20"/>
          <w:sz w:val="15"/>
        </w:rPr>
        <w:t>schopen</w:t>
      </w:r>
      <w:r>
        <w:rPr>
          <w:color w:val="231F20"/>
          <w:spacing w:val="-22"/>
          <w:sz w:val="15"/>
        </w:rPr>
        <w:t xml:space="preserve"> </w:t>
      </w:r>
      <w:r>
        <w:rPr>
          <w:color w:val="231F20"/>
          <w:spacing w:val="-3"/>
          <w:sz w:val="15"/>
        </w:rPr>
        <w:t xml:space="preserve">nezávis- </w:t>
      </w:r>
      <w:r>
        <w:rPr>
          <w:color w:val="231F20"/>
          <w:sz w:val="15"/>
        </w:rPr>
        <w:t>le</w:t>
      </w:r>
      <w:r>
        <w:rPr>
          <w:color w:val="231F20"/>
          <w:spacing w:val="-16"/>
          <w:sz w:val="15"/>
        </w:rPr>
        <w:t xml:space="preserve"> </w:t>
      </w:r>
      <w:r>
        <w:rPr>
          <w:color w:val="231F20"/>
          <w:sz w:val="15"/>
        </w:rPr>
        <w:t>na</w:t>
      </w:r>
      <w:r>
        <w:rPr>
          <w:color w:val="231F20"/>
          <w:spacing w:val="-15"/>
          <w:sz w:val="15"/>
        </w:rPr>
        <w:t xml:space="preserve"> </w:t>
      </w:r>
      <w:r>
        <w:rPr>
          <w:color w:val="231F20"/>
          <w:sz w:val="15"/>
        </w:rPr>
        <w:t>oprávněné</w:t>
      </w:r>
      <w:r>
        <w:rPr>
          <w:color w:val="231F20"/>
          <w:spacing w:val="-15"/>
          <w:sz w:val="15"/>
        </w:rPr>
        <w:t xml:space="preserve"> </w:t>
      </w:r>
      <w:r>
        <w:rPr>
          <w:color w:val="231F20"/>
          <w:sz w:val="15"/>
        </w:rPr>
        <w:t>osobě</w:t>
      </w:r>
      <w:r>
        <w:rPr>
          <w:color w:val="231F20"/>
          <w:spacing w:val="-16"/>
          <w:sz w:val="15"/>
        </w:rPr>
        <w:t xml:space="preserve"> </w:t>
      </w:r>
      <w:r>
        <w:rPr>
          <w:color w:val="231F20"/>
          <w:sz w:val="15"/>
        </w:rPr>
        <w:t>umožnit</w:t>
      </w:r>
      <w:r>
        <w:rPr>
          <w:color w:val="231F20"/>
          <w:spacing w:val="-15"/>
          <w:sz w:val="15"/>
        </w:rPr>
        <w:t xml:space="preserve"> </w:t>
      </w:r>
      <w:r>
        <w:rPr>
          <w:color w:val="231F20"/>
          <w:sz w:val="15"/>
        </w:rPr>
        <w:t>lokalizaci</w:t>
      </w:r>
      <w:r>
        <w:rPr>
          <w:color w:val="231F20"/>
          <w:spacing w:val="-15"/>
          <w:sz w:val="15"/>
        </w:rPr>
        <w:t xml:space="preserve"> </w:t>
      </w:r>
      <w:r>
        <w:rPr>
          <w:color w:val="231F20"/>
          <w:sz w:val="15"/>
        </w:rPr>
        <w:t>vozidla</w:t>
      </w:r>
      <w:r>
        <w:rPr>
          <w:color w:val="231F20"/>
          <w:spacing w:val="-15"/>
          <w:sz w:val="15"/>
        </w:rPr>
        <w:t xml:space="preserve"> </w:t>
      </w:r>
      <w:r>
        <w:rPr>
          <w:color w:val="231F20"/>
          <w:sz w:val="15"/>
        </w:rPr>
        <w:t>a</w:t>
      </w:r>
      <w:r>
        <w:rPr>
          <w:color w:val="231F20"/>
          <w:spacing w:val="-16"/>
          <w:sz w:val="15"/>
        </w:rPr>
        <w:t xml:space="preserve"> </w:t>
      </w:r>
      <w:r>
        <w:rPr>
          <w:color w:val="231F20"/>
          <w:sz w:val="15"/>
        </w:rPr>
        <w:t>jeho</w:t>
      </w:r>
      <w:r>
        <w:rPr>
          <w:color w:val="231F20"/>
          <w:spacing w:val="-15"/>
          <w:sz w:val="15"/>
        </w:rPr>
        <w:t xml:space="preserve"> </w:t>
      </w:r>
      <w:r>
        <w:rPr>
          <w:color w:val="231F20"/>
          <w:sz w:val="15"/>
        </w:rPr>
        <w:t>aktivní</w:t>
      </w:r>
      <w:r>
        <w:rPr>
          <w:color w:val="231F20"/>
          <w:spacing w:val="-15"/>
          <w:sz w:val="15"/>
        </w:rPr>
        <w:t xml:space="preserve"> </w:t>
      </w:r>
      <w:r>
        <w:rPr>
          <w:color w:val="231F20"/>
          <w:sz w:val="15"/>
        </w:rPr>
        <w:t>monitoring. V</w:t>
      </w:r>
      <w:r>
        <w:rPr>
          <w:color w:val="231F20"/>
          <w:spacing w:val="-12"/>
          <w:sz w:val="15"/>
        </w:rPr>
        <w:t xml:space="preserve"> </w:t>
      </w:r>
      <w:r>
        <w:rPr>
          <w:color w:val="231F20"/>
          <w:sz w:val="15"/>
        </w:rPr>
        <w:t>případě</w:t>
      </w:r>
      <w:r>
        <w:rPr>
          <w:color w:val="231F20"/>
          <w:spacing w:val="-11"/>
          <w:sz w:val="15"/>
        </w:rPr>
        <w:t xml:space="preserve"> </w:t>
      </w:r>
      <w:r>
        <w:rPr>
          <w:color w:val="231F20"/>
          <w:sz w:val="15"/>
        </w:rPr>
        <w:t>neoprávněného</w:t>
      </w:r>
      <w:r>
        <w:rPr>
          <w:color w:val="231F20"/>
          <w:spacing w:val="-11"/>
          <w:sz w:val="15"/>
        </w:rPr>
        <w:t xml:space="preserve"> </w:t>
      </w:r>
      <w:r>
        <w:rPr>
          <w:color w:val="231F20"/>
          <w:sz w:val="15"/>
        </w:rPr>
        <w:t>vniknutí</w:t>
      </w:r>
      <w:r>
        <w:rPr>
          <w:color w:val="231F20"/>
          <w:spacing w:val="-12"/>
          <w:sz w:val="15"/>
        </w:rPr>
        <w:t xml:space="preserve"> </w:t>
      </w:r>
      <w:r>
        <w:rPr>
          <w:color w:val="231F20"/>
          <w:sz w:val="15"/>
        </w:rPr>
        <w:t>do</w:t>
      </w:r>
      <w:r>
        <w:rPr>
          <w:color w:val="231F20"/>
          <w:spacing w:val="-11"/>
          <w:sz w:val="15"/>
        </w:rPr>
        <w:t xml:space="preserve"> </w:t>
      </w:r>
      <w:r>
        <w:rPr>
          <w:color w:val="231F20"/>
          <w:sz w:val="15"/>
        </w:rPr>
        <w:t>vozidla</w:t>
      </w:r>
      <w:r>
        <w:rPr>
          <w:color w:val="231F20"/>
          <w:spacing w:val="-11"/>
          <w:sz w:val="15"/>
        </w:rPr>
        <w:t xml:space="preserve"> </w:t>
      </w:r>
      <w:r>
        <w:rPr>
          <w:color w:val="231F20"/>
          <w:sz w:val="15"/>
        </w:rPr>
        <w:t>či</w:t>
      </w:r>
      <w:r>
        <w:rPr>
          <w:color w:val="231F20"/>
          <w:spacing w:val="-12"/>
          <w:sz w:val="15"/>
        </w:rPr>
        <w:t xml:space="preserve"> </w:t>
      </w:r>
      <w:r>
        <w:rPr>
          <w:color w:val="231F20"/>
          <w:sz w:val="15"/>
        </w:rPr>
        <w:t>jeho</w:t>
      </w:r>
      <w:r>
        <w:rPr>
          <w:color w:val="231F20"/>
          <w:spacing w:val="-11"/>
          <w:sz w:val="15"/>
        </w:rPr>
        <w:t xml:space="preserve"> </w:t>
      </w:r>
      <w:r>
        <w:rPr>
          <w:color w:val="231F20"/>
          <w:sz w:val="15"/>
        </w:rPr>
        <w:t>odcizení</w:t>
      </w:r>
      <w:r>
        <w:rPr>
          <w:color w:val="231F20"/>
          <w:spacing w:val="-11"/>
          <w:sz w:val="15"/>
        </w:rPr>
        <w:t xml:space="preserve"> </w:t>
      </w:r>
      <w:r>
        <w:rPr>
          <w:color w:val="231F20"/>
          <w:sz w:val="15"/>
        </w:rPr>
        <w:t>systém</w:t>
      </w:r>
      <w:r>
        <w:rPr>
          <w:color w:val="231F20"/>
          <w:spacing w:val="-12"/>
          <w:sz w:val="15"/>
        </w:rPr>
        <w:t xml:space="preserve"> </w:t>
      </w:r>
      <w:r>
        <w:rPr>
          <w:color w:val="231F20"/>
          <w:spacing w:val="-4"/>
          <w:sz w:val="15"/>
        </w:rPr>
        <w:t xml:space="preserve">oka- </w:t>
      </w:r>
      <w:r>
        <w:rPr>
          <w:color w:val="231F20"/>
          <w:sz w:val="15"/>
        </w:rPr>
        <w:t>mžitě</w:t>
      </w:r>
      <w:r>
        <w:rPr>
          <w:color w:val="231F20"/>
          <w:spacing w:val="-21"/>
          <w:sz w:val="15"/>
        </w:rPr>
        <w:t xml:space="preserve"> </w:t>
      </w:r>
      <w:r>
        <w:rPr>
          <w:color w:val="231F20"/>
          <w:sz w:val="15"/>
        </w:rPr>
        <w:t>o</w:t>
      </w:r>
      <w:r>
        <w:rPr>
          <w:color w:val="231F20"/>
          <w:spacing w:val="-20"/>
          <w:sz w:val="15"/>
        </w:rPr>
        <w:t xml:space="preserve"> </w:t>
      </w:r>
      <w:r>
        <w:rPr>
          <w:color w:val="231F20"/>
          <w:sz w:val="15"/>
        </w:rPr>
        <w:t>této</w:t>
      </w:r>
      <w:r>
        <w:rPr>
          <w:color w:val="231F20"/>
          <w:spacing w:val="-21"/>
          <w:sz w:val="15"/>
        </w:rPr>
        <w:t xml:space="preserve"> </w:t>
      </w:r>
      <w:r>
        <w:rPr>
          <w:color w:val="231F20"/>
          <w:sz w:val="15"/>
        </w:rPr>
        <w:t>skutečnosti</w:t>
      </w:r>
      <w:r>
        <w:rPr>
          <w:color w:val="231F20"/>
          <w:spacing w:val="-20"/>
          <w:sz w:val="15"/>
        </w:rPr>
        <w:t xml:space="preserve"> </w:t>
      </w:r>
      <w:r>
        <w:rPr>
          <w:color w:val="231F20"/>
          <w:sz w:val="15"/>
        </w:rPr>
        <w:t>informuje</w:t>
      </w:r>
      <w:r>
        <w:rPr>
          <w:color w:val="231F20"/>
          <w:spacing w:val="-21"/>
          <w:sz w:val="15"/>
        </w:rPr>
        <w:t xml:space="preserve"> </w:t>
      </w:r>
      <w:r>
        <w:rPr>
          <w:color w:val="231F20"/>
          <w:sz w:val="15"/>
        </w:rPr>
        <w:t>oprávněné</w:t>
      </w:r>
      <w:r>
        <w:rPr>
          <w:color w:val="231F20"/>
          <w:spacing w:val="-20"/>
          <w:sz w:val="15"/>
        </w:rPr>
        <w:t xml:space="preserve"> </w:t>
      </w:r>
      <w:r>
        <w:rPr>
          <w:color w:val="231F20"/>
          <w:spacing w:val="-3"/>
          <w:sz w:val="15"/>
        </w:rPr>
        <w:t>osoby,</w:t>
      </w:r>
      <w:r>
        <w:rPr>
          <w:color w:val="231F20"/>
          <w:spacing w:val="-21"/>
          <w:sz w:val="15"/>
        </w:rPr>
        <w:t xml:space="preserve"> </w:t>
      </w:r>
      <w:r>
        <w:rPr>
          <w:color w:val="231F20"/>
          <w:sz w:val="15"/>
        </w:rPr>
        <w:t>tzn.</w:t>
      </w:r>
      <w:r>
        <w:rPr>
          <w:color w:val="231F20"/>
          <w:spacing w:val="-20"/>
          <w:sz w:val="15"/>
        </w:rPr>
        <w:t xml:space="preserve"> </w:t>
      </w:r>
      <w:r>
        <w:rPr>
          <w:color w:val="231F20"/>
          <w:sz w:val="15"/>
        </w:rPr>
        <w:t>vlastníka</w:t>
      </w:r>
      <w:r>
        <w:rPr>
          <w:color w:val="231F20"/>
          <w:spacing w:val="-20"/>
          <w:sz w:val="15"/>
        </w:rPr>
        <w:t xml:space="preserve"> </w:t>
      </w:r>
      <w:r>
        <w:rPr>
          <w:color w:val="231F20"/>
          <w:sz w:val="15"/>
        </w:rPr>
        <w:t>vozidla</w:t>
      </w:r>
      <w:r>
        <w:rPr>
          <w:color w:val="231F20"/>
          <w:spacing w:val="-21"/>
          <w:sz w:val="15"/>
        </w:rPr>
        <w:t xml:space="preserve"> </w:t>
      </w:r>
      <w:r>
        <w:rPr>
          <w:color w:val="231F20"/>
          <w:sz w:val="15"/>
        </w:rPr>
        <w:t>či jeho</w:t>
      </w:r>
      <w:r>
        <w:rPr>
          <w:color w:val="231F20"/>
          <w:spacing w:val="-9"/>
          <w:sz w:val="15"/>
        </w:rPr>
        <w:t xml:space="preserve"> </w:t>
      </w:r>
      <w:r>
        <w:rPr>
          <w:color w:val="231F20"/>
          <w:sz w:val="15"/>
        </w:rPr>
        <w:t>provozovatele,</w:t>
      </w:r>
      <w:r>
        <w:rPr>
          <w:color w:val="231F20"/>
          <w:spacing w:val="-9"/>
          <w:sz w:val="15"/>
        </w:rPr>
        <w:t xml:space="preserve"> </w:t>
      </w:r>
      <w:r>
        <w:rPr>
          <w:color w:val="231F20"/>
          <w:sz w:val="15"/>
        </w:rPr>
        <w:t>a</w:t>
      </w:r>
      <w:r>
        <w:rPr>
          <w:color w:val="231F20"/>
          <w:spacing w:val="-9"/>
          <w:sz w:val="15"/>
        </w:rPr>
        <w:t xml:space="preserve"> </w:t>
      </w:r>
      <w:r>
        <w:rPr>
          <w:color w:val="231F20"/>
          <w:sz w:val="15"/>
        </w:rPr>
        <w:t>současně</w:t>
      </w:r>
      <w:r>
        <w:rPr>
          <w:color w:val="231F20"/>
          <w:spacing w:val="-9"/>
          <w:sz w:val="15"/>
        </w:rPr>
        <w:t xml:space="preserve"> </w:t>
      </w:r>
      <w:r>
        <w:rPr>
          <w:color w:val="231F20"/>
          <w:sz w:val="15"/>
        </w:rPr>
        <w:t>i</w:t>
      </w:r>
      <w:r>
        <w:rPr>
          <w:color w:val="231F20"/>
          <w:spacing w:val="-9"/>
          <w:sz w:val="15"/>
        </w:rPr>
        <w:t xml:space="preserve"> </w:t>
      </w:r>
      <w:r>
        <w:rPr>
          <w:color w:val="231F20"/>
          <w:sz w:val="15"/>
        </w:rPr>
        <w:t>další</w:t>
      </w:r>
      <w:r>
        <w:rPr>
          <w:color w:val="231F20"/>
          <w:spacing w:val="-9"/>
          <w:sz w:val="15"/>
        </w:rPr>
        <w:t xml:space="preserve"> </w:t>
      </w:r>
      <w:r>
        <w:rPr>
          <w:color w:val="231F20"/>
          <w:spacing w:val="-3"/>
          <w:sz w:val="15"/>
        </w:rPr>
        <w:t>osoby.</w:t>
      </w:r>
      <w:r>
        <w:rPr>
          <w:color w:val="231F20"/>
          <w:spacing w:val="-9"/>
          <w:sz w:val="15"/>
        </w:rPr>
        <w:t xml:space="preserve"> </w:t>
      </w:r>
      <w:r>
        <w:rPr>
          <w:color w:val="231F20"/>
          <w:sz w:val="15"/>
        </w:rPr>
        <w:t>Systém</w:t>
      </w:r>
      <w:r>
        <w:rPr>
          <w:color w:val="231F20"/>
          <w:spacing w:val="-8"/>
          <w:sz w:val="15"/>
        </w:rPr>
        <w:t xml:space="preserve"> </w:t>
      </w:r>
      <w:r>
        <w:rPr>
          <w:color w:val="231F20"/>
          <w:sz w:val="15"/>
        </w:rPr>
        <w:t>musí</w:t>
      </w:r>
      <w:r>
        <w:rPr>
          <w:color w:val="231F20"/>
          <w:spacing w:val="-9"/>
          <w:sz w:val="15"/>
        </w:rPr>
        <w:t xml:space="preserve"> </w:t>
      </w:r>
      <w:r>
        <w:rPr>
          <w:color w:val="231F20"/>
          <w:sz w:val="15"/>
        </w:rPr>
        <w:t>mít</w:t>
      </w:r>
      <w:r>
        <w:rPr>
          <w:color w:val="231F20"/>
          <w:spacing w:val="-9"/>
          <w:sz w:val="15"/>
        </w:rPr>
        <w:t xml:space="preserve"> </w:t>
      </w:r>
      <w:r>
        <w:rPr>
          <w:color w:val="231F20"/>
          <w:sz w:val="15"/>
        </w:rPr>
        <w:t>působnost nejméně</w:t>
      </w:r>
      <w:r>
        <w:rPr>
          <w:color w:val="231F20"/>
          <w:spacing w:val="-13"/>
          <w:sz w:val="15"/>
        </w:rPr>
        <w:t xml:space="preserve"> </w:t>
      </w:r>
      <w:r>
        <w:rPr>
          <w:color w:val="231F20"/>
          <w:sz w:val="15"/>
        </w:rPr>
        <w:t>na</w:t>
      </w:r>
      <w:r>
        <w:rPr>
          <w:color w:val="231F20"/>
          <w:spacing w:val="-13"/>
          <w:sz w:val="15"/>
        </w:rPr>
        <w:t xml:space="preserve"> </w:t>
      </w:r>
      <w:r>
        <w:rPr>
          <w:color w:val="231F20"/>
          <w:sz w:val="15"/>
        </w:rPr>
        <w:t>území</w:t>
      </w:r>
      <w:r>
        <w:rPr>
          <w:color w:val="231F20"/>
          <w:spacing w:val="-13"/>
          <w:sz w:val="15"/>
        </w:rPr>
        <w:t xml:space="preserve"> </w:t>
      </w:r>
      <w:r>
        <w:rPr>
          <w:color w:val="231F20"/>
          <w:sz w:val="15"/>
        </w:rPr>
        <w:t>České</w:t>
      </w:r>
      <w:r>
        <w:rPr>
          <w:color w:val="231F20"/>
          <w:spacing w:val="-13"/>
          <w:sz w:val="15"/>
        </w:rPr>
        <w:t xml:space="preserve"> </w:t>
      </w:r>
      <w:r>
        <w:rPr>
          <w:color w:val="231F20"/>
          <w:sz w:val="15"/>
        </w:rPr>
        <w:t>republiky</w:t>
      </w:r>
      <w:r>
        <w:rPr>
          <w:color w:val="231F20"/>
          <w:spacing w:val="-12"/>
          <w:sz w:val="15"/>
        </w:rPr>
        <w:t xml:space="preserve"> </w:t>
      </w:r>
      <w:r>
        <w:rPr>
          <w:color w:val="231F20"/>
          <w:sz w:val="15"/>
        </w:rPr>
        <w:t>(v</w:t>
      </w:r>
      <w:r>
        <w:rPr>
          <w:color w:val="231F20"/>
          <w:spacing w:val="-13"/>
          <w:sz w:val="15"/>
        </w:rPr>
        <w:t xml:space="preserve"> </w:t>
      </w:r>
      <w:r>
        <w:rPr>
          <w:color w:val="231F20"/>
          <w:sz w:val="15"/>
        </w:rPr>
        <w:t>pojistné</w:t>
      </w:r>
      <w:r>
        <w:rPr>
          <w:color w:val="231F20"/>
          <w:spacing w:val="-13"/>
          <w:sz w:val="15"/>
        </w:rPr>
        <w:t xml:space="preserve"> </w:t>
      </w:r>
      <w:r>
        <w:rPr>
          <w:color w:val="231F20"/>
          <w:sz w:val="15"/>
        </w:rPr>
        <w:t>smlouvě</w:t>
      </w:r>
      <w:r>
        <w:rPr>
          <w:color w:val="231F20"/>
          <w:spacing w:val="-13"/>
          <w:sz w:val="15"/>
        </w:rPr>
        <w:t xml:space="preserve"> </w:t>
      </w:r>
      <w:r>
        <w:rPr>
          <w:color w:val="231F20"/>
          <w:sz w:val="15"/>
        </w:rPr>
        <w:t>je</w:t>
      </w:r>
      <w:r>
        <w:rPr>
          <w:color w:val="231F20"/>
          <w:spacing w:val="-13"/>
          <w:sz w:val="15"/>
        </w:rPr>
        <w:t xml:space="preserve"> </w:t>
      </w:r>
      <w:r>
        <w:rPr>
          <w:color w:val="231F20"/>
          <w:sz w:val="15"/>
        </w:rPr>
        <w:t>toto</w:t>
      </w:r>
      <w:r>
        <w:rPr>
          <w:color w:val="231F20"/>
          <w:spacing w:val="-12"/>
          <w:sz w:val="15"/>
        </w:rPr>
        <w:t xml:space="preserve"> </w:t>
      </w:r>
      <w:r>
        <w:rPr>
          <w:color w:val="231F20"/>
          <w:sz w:val="15"/>
        </w:rPr>
        <w:t>zabezpečo- vací zařízení označeno jako „pasivní vyhledávací</w:t>
      </w:r>
      <w:r>
        <w:rPr>
          <w:color w:val="231F20"/>
          <w:spacing w:val="-11"/>
          <w:sz w:val="15"/>
        </w:rPr>
        <w:t xml:space="preserve"> </w:t>
      </w:r>
      <w:r>
        <w:rPr>
          <w:color w:val="231F20"/>
          <w:sz w:val="15"/>
        </w:rPr>
        <w:t>systém”);</w:t>
      </w:r>
    </w:p>
    <w:p w14:paraId="4EA9DAF7" w14:textId="77777777" w:rsidR="00F65BCA" w:rsidRDefault="00216117">
      <w:pPr>
        <w:pStyle w:val="Odstavecseseznamem"/>
        <w:numPr>
          <w:ilvl w:val="1"/>
          <w:numId w:val="100"/>
        </w:numPr>
        <w:tabs>
          <w:tab w:val="left" w:pos="881"/>
        </w:tabs>
        <w:spacing w:line="278" w:lineRule="auto"/>
        <w:jc w:val="both"/>
        <w:rPr>
          <w:sz w:val="15"/>
        </w:rPr>
      </w:pPr>
      <w:r>
        <w:rPr>
          <w:color w:val="231F20"/>
          <w:sz w:val="15"/>
        </w:rPr>
        <w:t>skrytý</w:t>
      </w:r>
      <w:r>
        <w:rPr>
          <w:color w:val="231F20"/>
          <w:spacing w:val="-22"/>
          <w:sz w:val="15"/>
        </w:rPr>
        <w:t xml:space="preserve"> </w:t>
      </w:r>
      <w:r>
        <w:rPr>
          <w:color w:val="231F20"/>
          <w:sz w:val="15"/>
        </w:rPr>
        <w:t>elektronický</w:t>
      </w:r>
      <w:r>
        <w:rPr>
          <w:color w:val="231F20"/>
          <w:spacing w:val="-22"/>
          <w:sz w:val="15"/>
        </w:rPr>
        <w:t xml:space="preserve"> </w:t>
      </w:r>
      <w:r>
        <w:rPr>
          <w:color w:val="231F20"/>
          <w:sz w:val="15"/>
        </w:rPr>
        <w:t>zabezpečovací</w:t>
      </w:r>
      <w:r>
        <w:rPr>
          <w:color w:val="231F20"/>
          <w:spacing w:val="-22"/>
          <w:sz w:val="15"/>
        </w:rPr>
        <w:t xml:space="preserve"> </w:t>
      </w:r>
      <w:r>
        <w:rPr>
          <w:color w:val="231F20"/>
          <w:sz w:val="15"/>
        </w:rPr>
        <w:t>systém,</w:t>
      </w:r>
      <w:r>
        <w:rPr>
          <w:color w:val="231F20"/>
          <w:spacing w:val="-22"/>
          <w:sz w:val="15"/>
        </w:rPr>
        <w:t xml:space="preserve"> </w:t>
      </w:r>
      <w:r>
        <w:rPr>
          <w:color w:val="231F20"/>
          <w:sz w:val="15"/>
        </w:rPr>
        <w:t>který</w:t>
      </w:r>
      <w:r>
        <w:rPr>
          <w:color w:val="231F20"/>
          <w:spacing w:val="-22"/>
          <w:sz w:val="15"/>
        </w:rPr>
        <w:t xml:space="preserve"> </w:t>
      </w:r>
      <w:r>
        <w:rPr>
          <w:color w:val="231F20"/>
          <w:sz w:val="15"/>
        </w:rPr>
        <w:t>musí</w:t>
      </w:r>
      <w:r>
        <w:rPr>
          <w:color w:val="231F20"/>
          <w:spacing w:val="-22"/>
          <w:sz w:val="15"/>
        </w:rPr>
        <w:t xml:space="preserve"> </w:t>
      </w:r>
      <w:r>
        <w:rPr>
          <w:color w:val="231F20"/>
          <w:sz w:val="15"/>
        </w:rPr>
        <w:t>být</w:t>
      </w:r>
      <w:r>
        <w:rPr>
          <w:color w:val="231F20"/>
          <w:spacing w:val="-22"/>
          <w:sz w:val="15"/>
        </w:rPr>
        <w:t xml:space="preserve"> </w:t>
      </w:r>
      <w:r>
        <w:rPr>
          <w:color w:val="231F20"/>
          <w:sz w:val="15"/>
        </w:rPr>
        <w:t>schopen</w:t>
      </w:r>
      <w:r>
        <w:rPr>
          <w:color w:val="231F20"/>
          <w:spacing w:val="-22"/>
          <w:sz w:val="15"/>
        </w:rPr>
        <w:t xml:space="preserve"> </w:t>
      </w:r>
      <w:r>
        <w:rPr>
          <w:color w:val="231F20"/>
          <w:spacing w:val="-3"/>
          <w:sz w:val="15"/>
        </w:rPr>
        <w:t xml:space="preserve">nezávis- </w:t>
      </w:r>
      <w:r>
        <w:rPr>
          <w:color w:val="231F20"/>
          <w:sz w:val="15"/>
        </w:rPr>
        <w:t>le</w:t>
      </w:r>
      <w:r>
        <w:rPr>
          <w:color w:val="231F20"/>
          <w:spacing w:val="-16"/>
          <w:sz w:val="15"/>
        </w:rPr>
        <w:t xml:space="preserve"> </w:t>
      </w:r>
      <w:r>
        <w:rPr>
          <w:color w:val="231F20"/>
          <w:sz w:val="15"/>
        </w:rPr>
        <w:t>na</w:t>
      </w:r>
      <w:r>
        <w:rPr>
          <w:color w:val="231F20"/>
          <w:spacing w:val="-15"/>
          <w:sz w:val="15"/>
        </w:rPr>
        <w:t xml:space="preserve"> </w:t>
      </w:r>
      <w:r>
        <w:rPr>
          <w:color w:val="231F20"/>
          <w:sz w:val="15"/>
        </w:rPr>
        <w:t>oprávněné</w:t>
      </w:r>
      <w:r>
        <w:rPr>
          <w:color w:val="231F20"/>
          <w:spacing w:val="-15"/>
          <w:sz w:val="15"/>
        </w:rPr>
        <w:t xml:space="preserve"> </w:t>
      </w:r>
      <w:r>
        <w:rPr>
          <w:color w:val="231F20"/>
          <w:sz w:val="15"/>
        </w:rPr>
        <w:t>osobě</w:t>
      </w:r>
      <w:r>
        <w:rPr>
          <w:color w:val="231F20"/>
          <w:spacing w:val="-16"/>
          <w:sz w:val="15"/>
        </w:rPr>
        <w:t xml:space="preserve"> </w:t>
      </w:r>
      <w:r>
        <w:rPr>
          <w:color w:val="231F20"/>
          <w:sz w:val="15"/>
        </w:rPr>
        <w:t>umožnit</w:t>
      </w:r>
      <w:r>
        <w:rPr>
          <w:color w:val="231F20"/>
          <w:spacing w:val="-15"/>
          <w:sz w:val="15"/>
        </w:rPr>
        <w:t xml:space="preserve"> </w:t>
      </w:r>
      <w:r>
        <w:rPr>
          <w:color w:val="231F20"/>
          <w:sz w:val="15"/>
        </w:rPr>
        <w:t>lokalizaci</w:t>
      </w:r>
      <w:r>
        <w:rPr>
          <w:color w:val="231F20"/>
          <w:spacing w:val="-15"/>
          <w:sz w:val="15"/>
        </w:rPr>
        <w:t xml:space="preserve"> </w:t>
      </w:r>
      <w:r>
        <w:rPr>
          <w:color w:val="231F20"/>
          <w:sz w:val="15"/>
        </w:rPr>
        <w:t>vozidla</w:t>
      </w:r>
      <w:r>
        <w:rPr>
          <w:color w:val="231F20"/>
          <w:spacing w:val="-15"/>
          <w:sz w:val="15"/>
        </w:rPr>
        <w:t xml:space="preserve"> </w:t>
      </w:r>
      <w:r>
        <w:rPr>
          <w:color w:val="231F20"/>
          <w:sz w:val="15"/>
        </w:rPr>
        <w:t>a</w:t>
      </w:r>
      <w:r>
        <w:rPr>
          <w:color w:val="231F20"/>
          <w:spacing w:val="-16"/>
          <w:sz w:val="15"/>
        </w:rPr>
        <w:t xml:space="preserve"> </w:t>
      </w:r>
      <w:r>
        <w:rPr>
          <w:color w:val="231F20"/>
          <w:sz w:val="15"/>
        </w:rPr>
        <w:t>jeho</w:t>
      </w:r>
      <w:r>
        <w:rPr>
          <w:color w:val="231F20"/>
          <w:spacing w:val="-15"/>
          <w:sz w:val="15"/>
        </w:rPr>
        <w:t xml:space="preserve"> </w:t>
      </w:r>
      <w:r>
        <w:rPr>
          <w:color w:val="231F20"/>
          <w:sz w:val="15"/>
        </w:rPr>
        <w:t>aktivní</w:t>
      </w:r>
      <w:r>
        <w:rPr>
          <w:color w:val="231F20"/>
          <w:spacing w:val="-15"/>
          <w:sz w:val="15"/>
        </w:rPr>
        <w:t xml:space="preserve"> </w:t>
      </w:r>
      <w:r>
        <w:rPr>
          <w:color w:val="231F20"/>
          <w:sz w:val="15"/>
        </w:rPr>
        <w:t>monitoring. V</w:t>
      </w:r>
      <w:r>
        <w:rPr>
          <w:color w:val="231F20"/>
          <w:spacing w:val="-12"/>
          <w:sz w:val="15"/>
        </w:rPr>
        <w:t xml:space="preserve"> </w:t>
      </w:r>
      <w:r>
        <w:rPr>
          <w:color w:val="231F20"/>
          <w:sz w:val="15"/>
        </w:rPr>
        <w:t>případě</w:t>
      </w:r>
      <w:r>
        <w:rPr>
          <w:color w:val="231F20"/>
          <w:spacing w:val="-11"/>
          <w:sz w:val="15"/>
        </w:rPr>
        <w:t xml:space="preserve"> </w:t>
      </w:r>
      <w:r>
        <w:rPr>
          <w:color w:val="231F20"/>
          <w:sz w:val="15"/>
        </w:rPr>
        <w:t>neoprávněného</w:t>
      </w:r>
      <w:r>
        <w:rPr>
          <w:color w:val="231F20"/>
          <w:spacing w:val="-11"/>
          <w:sz w:val="15"/>
        </w:rPr>
        <w:t xml:space="preserve"> </w:t>
      </w:r>
      <w:r>
        <w:rPr>
          <w:color w:val="231F20"/>
          <w:sz w:val="15"/>
        </w:rPr>
        <w:t>vniknutí</w:t>
      </w:r>
      <w:r>
        <w:rPr>
          <w:color w:val="231F20"/>
          <w:spacing w:val="-12"/>
          <w:sz w:val="15"/>
        </w:rPr>
        <w:t xml:space="preserve"> </w:t>
      </w:r>
      <w:r>
        <w:rPr>
          <w:color w:val="231F20"/>
          <w:sz w:val="15"/>
        </w:rPr>
        <w:t>do</w:t>
      </w:r>
      <w:r>
        <w:rPr>
          <w:color w:val="231F20"/>
          <w:spacing w:val="-11"/>
          <w:sz w:val="15"/>
        </w:rPr>
        <w:t xml:space="preserve"> </w:t>
      </w:r>
      <w:r>
        <w:rPr>
          <w:color w:val="231F20"/>
          <w:sz w:val="15"/>
        </w:rPr>
        <w:t>vozidla</w:t>
      </w:r>
      <w:r>
        <w:rPr>
          <w:color w:val="231F20"/>
          <w:spacing w:val="-11"/>
          <w:sz w:val="15"/>
        </w:rPr>
        <w:t xml:space="preserve"> </w:t>
      </w:r>
      <w:r>
        <w:rPr>
          <w:color w:val="231F20"/>
          <w:sz w:val="15"/>
        </w:rPr>
        <w:t>či</w:t>
      </w:r>
      <w:r>
        <w:rPr>
          <w:color w:val="231F20"/>
          <w:spacing w:val="-12"/>
          <w:sz w:val="15"/>
        </w:rPr>
        <w:t xml:space="preserve"> </w:t>
      </w:r>
      <w:r>
        <w:rPr>
          <w:color w:val="231F20"/>
          <w:sz w:val="15"/>
        </w:rPr>
        <w:t>jeho</w:t>
      </w:r>
      <w:r>
        <w:rPr>
          <w:color w:val="231F20"/>
          <w:spacing w:val="-11"/>
          <w:sz w:val="15"/>
        </w:rPr>
        <w:t xml:space="preserve"> </w:t>
      </w:r>
      <w:r>
        <w:rPr>
          <w:color w:val="231F20"/>
          <w:sz w:val="15"/>
        </w:rPr>
        <w:t>odcizení</w:t>
      </w:r>
      <w:r>
        <w:rPr>
          <w:color w:val="231F20"/>
          <w:spacing w:val="-11"/>
          <w:sz w:val="15"/>
        </w:rPr>
        <w:t xml:space="preserve"> </w:t>
      </w:r>
      <w:r>
        <w:rPr>
          <w:color w:val="231F20"/>
          <w:sz w:val="15"/>
        </w:rPr>
        <w:t>systém</w:t>
      </w:r>
      <w:r>
        <w:rPr>
          <w:color w:val="231F20"/>
          <w:spacing w:val="-12"/>
          <w:sz w:val="15"/>
        </w:rPr>
        <w:t xml:space="preserve"> </w:t>
      </w:r>
      <w:r>
        <w:rPr>
          <w:color w:val="231F20"/>
          <w:spacing w:val="-4"/>
          <w:sz w:val="15"/>
        </w:rPr>
        <w:t xml:space="preserve">oka- </w:t>
      </w:r>
      <w:r>
        <w:rPr>
          <w:color w:val="231F20"/>
          <w:sz w:val="15"/>
        </w:rPr>
        <w:t>mžitě</w:t>
      </w:r>
      <w:r>
        <w:rPr>
          <w:color w:val="231F20"/>
          <w:spacing w:val="-13"/>
          <w:sz w:val="15"/>
        </w:rPr>
        <w:t xml:space="preserve"> </w:t>
      </w:r>
      <w:r>
        <w:rPr>
          <w:color w:val="231F20"/>
          <w:sz w:val="15"/>
        </w:rPr>
        <w:t>o</w:t>
      </w:r>
      <w:r>
        <w:rPr>
          <w:color w:val="231F20"/>
          <w:spacing w:val="-13"/>
          <w:sz w:val="15"/>
        </w:rPr>
        <w:t xml:space="preserve"> </w:t>
      </w:r>
      <w:r>
        <w:rPr>
          <w:color w:val="231F20"/>
          <w:sz w:val="15"/>
        </w:rPr>
        <w:t>této</w:t>
      </w:r>
      <w:r>
        <w:rPr>
          <w:color w:val="231F20"/>
          <w:spacing w:val="-12"/>
          <w:sz w:val="15"/>
        </w:rPr>
        <w:t xml:space="preserve"> </w:t>
      </w:r>
      <w:r>
        <w:rPr>
          <w:color w:val="231F20"/>
          <w:sz w:val="15"/>
        </w:rPr>
        <w:t>skutečnosti</w:t>
      </w:r>
      <w:r>
        <w:rPr>
          <w:color w:val="231F20"/>
          <w:spacing w:val="-13"/>
          <w:sz w:val="15"/>
        </w:rPr>
        <w:t xml:space="preserve"> </w:t>
      </w:r>
      <w:r>
        <w:rPr>
          <w:color w:val="231F20"/>
          <w:sz w:val="15"/>
        </w:rPr>
        <w:t>informuje</w:t>
      </w:r>
      <w:r>
        <w:rPr>
          <w:color w:val="231F20"/>
          <w:spacing w:val="-13"/>
          <w:sz w:val="15"/>
        </w:rPr>
        <w:t xml:space="preserve"> </w:t>
      </w:r>
      <w:r>
        <w:rPr>
          <w:color w:val="231F20"/>
          <w:sz w:val="15"/>
        </w:rPr>
        <w:t>prioritně</w:t>
      </w:r>
      <w:r>
        <w:rPr>
          <w:color w:val="231F20"/>
          <w:spacing w:val="-12"/>
          <w:sz w:val="15"/>
        </w:rPr>
        <w:t xml:space="preserve"> </w:t>
      </w:r>
      <w:r>
        <w:rPr>
          <w:color w:val="231F20"/>
          <w:sz w:val="15"/>
        </w:rPr>
        <w:t>operátora</w:t>
      </w:r>
      <w:r>
        <w:rPr>
          <w:color w:val="231F20"/>
          <w:spacing w:val="-13"/>
          <w:sz w:val="15"/>
        </w:rPr>
        <w:t xml:space="preserve"> </w:t>
      </w:r>
      <w:r>
        <w:rPr>
          <w:color w:val="231F20"/>
          <w:sz w:val="15"/>
        </w:rPr>
        <w:t>pultu</w:t>
      </w:r>
      <w:r>
        <w:rPr>
          <w:color w:val="231F20"/>
          <w:spacing w:val="-13"/>
          <w:sz w:val="15"/>
        </w:rPr>
        <w:t xml:space="preserve"> </w:t>
      </w:r>
      <w:r>
        <w:rPr>
          <w:color w:val="231F20"/>
          <w:sz w:val="15"/>
        </w:rPr>
        <w:t>centrální</w:t>
      </w:r>
      <w:r>
        <w:rPr>
          <w:color w:val="231F20"/>
          <w:spacing w:val="-12"/>
          <w:sz w:val="15"/>
        </w:rPr>
        <w:t xml:space="preserve"> </w:t>
      </w:r>
      <w:r>
        <w:rPr>
          <w:color w:val="231F20"/>
          <w:spacing w:val="-4"/>
          <w:sz w:val="15"/>
        </w:rPr>
        <w:t xml:space="preserve">ochra- </w:t>
      </w:r>
      <w:r>
        <w:rPr>
          <w:color w:val="231F20"/>
          <w:sz w:val="15"/>
        </w:rPr>
        <w:t>ny</w:t>
      </w:r>
      <w:r>
        <w:rPr>
          <w:color w:val="231F20"/>
          <w:spacing w:val="-6"/>
          <w:sz w:val="15"/>
        </w:rPr>
        <w:t xml:space="preserve"> </w:t>
      </w:r>
      <w:r>
        <w:rPr>
          <w:color w:val="231F20"/>
          <w:sz w:val="15"/>
        </w:rPr>
        <w:t>provozovatele</w:t>
      </w:r>
      <w:r>
        <w:rPr>
          <w:color w:val="231F20"/>
          <w:spacing w:val="-6"/>
          <w:sz w:val="15"/>
        </w:rPr>
        <w:t xml:space="preserve"> </w:t>
      </w:r>
      <w:r>
        <w:rPr>
          <w:color w:val="231F20"/>
          <w:sz w:val="15"/>
        </w:rPr>
        <w:t>zabezpečovacího</w:t>
      </w:r>
      <w:r>
        <w:rPr>
          <w:color w:val="231F20"/>
          <w:spacing w:val="-6"/>
          <w:sz w:val="15"/>
        </w:rPr>
        <w:t xml:space="preserve"> </w:t>
      </w:r>
      <w:r>
        <w:rPr>
          <w:color w:val="231F20"/>
          <w:sz w:val="15"/>
        </w:rPr>
        <w:t>systému</w:t>
      </w:r>
      <w:r>
        <w:rPr>
          <w:color w:val="231F20"/>
          <w:spacing w:val="-6"/>
          <w:sz w:val="15"/>
        </w:rPr>
        <w:t xml:space="preserve"> </w:t>
      </w:r>
      <w:r>
        <w:rPr>
          <w:color w:val="231F20"/>
          <w:sz w:val="15"/>
        </w:rPr>
        <w:t>a</w:t>
      </w:r>
      <w:r>
        <w:rPr>
          <w:color w:val="231F20"/>
          <w:spacing w:val="-6"/>
          <w:sz w:val="15"/>
        </w:rPr>
        <w:t xml:space="preserve"> </w:t>
      </w:r>
      <w:r>
        <w:rPr>
          <w:color w:val="231F20"/>
          <w:sz w:val="15"/>
        </w:rPr>
        <w:t>příp.</w:t>
      </w:r>
      <w:r>
        <w:rPr>
          <w:color w:val="231F20"/>
          <w:spacing w:val="-5"/>
          <w:sz w:val="15"/>
        </w:rPr>
        <w:t xml:space="preserve"> </w:t>
      </w:r>
      <w:r>
        <w:rPr>
          <w:color w:val="231F20"/>
          <w:sz w:val="15"/>
        </w:rPr>
        <w:t>i</w:t>
      </w:r>
      <w:r>
        <w:rPr>
          <w:color w:val="231F20"/>
          <w:spacing w:val="-6"/>
          <w:sz w:val="15"/>
        </w:rPr>
        <w:t xml:space="preserve"> </w:t>
      </w:r>
      <w:r>
        <w:rPr>
          <w:color w:val="231F20"/>
          <w:sz w:val="15"/>
        </w:rPr>
        <w:t>další</w:t>
      </w:r>
      <w:r>
        <w:rPr>
          <w:color w:val="231F20"/>
          <w:spacing w:val="-6"/>
          <w:sz w:val="15"/>
        </w:rPr>
        <w:t xml:space="preserve"> </w:t>
      </w:r>
      <w:r>
        <w:rPr>
          <w:color w:val="231F20"/>
          <w:spacing w:val="-3"/>
          <w:sz w:val="15"/>
        </w:rPr>
        <w:t>osoby,</w:t>
      </w:r>
      <w:r>
        <w:rPr>
          <w:color w:val="231F20"/>
          <w:spacing w:val="-6"/>
          <w:sz w:val="15"/>
        </w:rPr>
        <w:t xml:space="preserve"> </w:t>
      </w:r>
      <w:r>
        <w:rPr>
          <w:color w:val="231F20"/>
          <w:sz w:val="15"/>
        </w:rPr>
        <w:t>na</w:t>
      </w:r>
      <w:r>
        <w:rPr>
          <w:color w:val="231F20"/>
          <w:spacing w:val="-6"/>
          <w:sz w:val="15"/>
        </w:rPr>
        <w:t xml:space="preserve"> </w:t>
      </w:r>
      <w:r>
        <w:rPr>
          <w:color w:val="231F20"/>
          <w:spacing w:val="-4"/>
          <w:sz w:val="15"/>
        </w:rPr>
        <w:t xml:space="preserve">který </w:t>
      </w:r>
      <w:r>
        <w:rPr>
          <w:color w:val="231F20"/>
          <w:sz w:val="15"/>
        </w:rPr>
        <w:t>je</w:t>
      </w:r>
      <w:r>
        <w:rPr>
          <w:color w:val="231F20"/>
          <w:spacing w:val="-5"/>
          <w:sz w:val="15"/>
        </w:rPr>
        <w:t xml:space="preserve"> </w:t>
      </w:r>
      <w:r>
        <w:rPr>
          <w:color w:val="231F20"/>
          <w:sz w:val="15"/>
        </w:rPr>
        <w:t>nonstop</w:t>
      </w:r>
      <w:r>
        <w:rPr>
          <w:color w:val="231F20"/>
          <w:spacing w:val="-4"/>
          <w:sz w:val="15"/>
        </w:rPr>
        <w:t xml:space="preserve"> </w:t>
      </w:r>
      <w:r>
        <w:rPr>
          <w:color w:val="231F20"/>
          <w:sz w:val="15"/>
        </w:rPr>
        <w:t>napojen;</w:t>
      </w:r>
      <w:r>
        <w:rPr>
          <w:color w:val="231F20"/>
          <w:spacing w:val="-4"/>
          <w:sz w:val="15"/>
        </w:rPr>
        <w:t xml:space="preserve"> </w:t>
      </w:r>
      <w:r>
        <w:rPr>
          <w:color w:val="231F20"/>
          <w:sz w:val="15"/>
        </w:rPr>
        <w:t>zároveň</w:t>
      </w:r>
      <w:r>
        <w:rPr>
          <w:color w:val="231F20"/>
          <w:spacing w:val="-5"/>
          <w:sz w:val="15"/>
        </w:rPr>
        <w:t xml:space="preserve"> </w:t>
      </w:r>
      <w:r>
        <w:rPr>
          <w:color w:val="231F20"/>
          <w:sz w:val="15"/>
        </w:rPr>
        <w:t>je</w:t>
      </w:r>
      <w:r>
        <w:rPr>
          <w:color w:val="231F20"/>
          <w:spacing w:val="-4"/>
          <w:sz w:val="15"/>
        </w:rPr>
        <w:t xml:space="preserve"> </w:t>
      </w:r>
      <w:r>
        <w:rPr>
          <w:color w:val="231F20"/>
          <w:sz w:val="15"/>
        </w:rPr>
        <w:t>systém</w:t>
      </w:r>
      <w:r>
        <w:rPr>
          <w:color w:val="231F20"/>
          <w:spacing w:val="-4"/>
          <w:sz w:val="15"/>
        </w:rPr>
        <w:t xml:space="preserve"> </w:t>
      </w:r>
      <w:r>
        <w:rPr>
          <w:color w:val="231F20"/>
          <w:sz w:val="15"/>
        </w:rPr>
        <w:t>schopen</w:t>
      </w:r>
      <w:r>
        <w:rPr>
          <w:color w:val="231F20"/>
          <w:spacing w:val="-5"/>
          <w:sz w:val="15"/>
        </w:rPr>
        <w:t xml:space="preserve"> </w:t>
      </w:r>
      <w:r>
        <w:rPr>
          <w:color w:val="231F20"/>
          <w:sz w:val="15"/>
        </w:rPr>
        <w:t>vysílat</w:t>
      </w:r>
      <w:r>
        <w:rPr>
          <w:color w:val="231F20"/>
          <w:spacing w:val="-4"/>
          <w:sz w:val="15"/>
        </w:rPr>
        <w:t xml:space="preserve"> </w:t>
      </w:r>
      <w:r>
        <w:rPr>
          <w:color w:val="231F20"/>
          <w:sz w:val="15"/>
        </w:rPr>
        <w:t>signál</w:t>
      </w:r>
      <w:r>
        <w:rPr>
          <w:color w:val="231F20"/>
          <w:spacing w:val="-4"/>
          <w:sz w:val="15"/>
        </w:rPr>
        <w:t xml:space="preserve"> </w:t>
      </w:r>
      <w:r>
        <w:rPr>
          <w:color w:val="231F20"/>
          <w:sz w:val="15"/>
        </w:rPr>
        <w:t>na</w:t>
      </w:r>
      <w:r>
        <w:rPr>
          <w:color w:val="231F20"/>
          <w:spacing w:val="-4"/>
          <w:sz w:val="15"/>
        </w:rPr>
        <w:t xml:space="preserve"> </w:t>
      </w:r>
      <w:r>
        <w:rPr>
          <w:color w:val="231F20"/>
          <w:sz w:val="15"/>
        </w:rPr>
        <w:t>jiné</w:t>
      </w:r>
      <w:r>
        <w:rPr>
          <w:color w:val="231F20"/>
          <w:spacing w:val="-5"/>
          <w:sz w:val="15"/>
        </w:rPr>
        <w:t xml:space="preserve"> </w:t>
      </w:r>
      <w:r>
        <w:rPr>
          <w:color w:val="231F20"/>
          <w:spacing w:val="-4"/>
          <w:sz w:val="15"/>
        </w:rPr>
        <w:t xml:space="preserve">bázi </w:t>
      </w:r>
      <w:r>
        <w:rPr>
          <w:color w:val="231F20"/>
          <w:sz w:val="15"/>
        </w:rPr>
        <w:t xml:space="preserve">než GSM. Systém musí mít působnost nejméně po celém území </w:t>
      </w:r>
      <w:r>
        <w:rPr>
          <w:color w:val="231F20"/>
          <w:spacing w:val="-3"/>
          <w:sz w:val="15"/>
        </w:rPr>
        <w:t xml:space="preserve">České </w:t>
      </w:r>
      <w:r>
        <w:rPr>
          <w:color w:val="231F20"/>
          <w:sz w:val="15"/>
        </w:rPr>
        <w:t>republiky</w:t>
      </w:r>
      <w:r>
        <w:rPr>
          <w:color w:val="231F20"/>
          <w:spacing w:val="-21"/>
          <w:sz w:val="15"/>
        </w:rPr>
        <w:t xml:space="preserve"> </w:t>
      </w:r>
      <w:r>
        <w:rPr>
          <w:color w:val="231F20"/>
          <w:sz w:val="15"/>
        </w:rPr>
        <w:t>(v</w:t>
      </w:r>
      <w:r>
        <w:rPr>
          <w:color w:val="231F20"/>
          <w:spacing w:val="-20"/>
          <w:sz w:val="15"/>
        </w:rPr>
        <w:t xml:space="preserve"> </w:t>
      </w:r>
      <w:r>
        <w:rPr>
          <w:color w:val="231F20"/>
          <w:sz w:val="15"/>
        </w:rPr>
        <w:t>pojistné</w:t>
      </w:r>
      <w:r>
        <w:rPr>
          <w:color w:val="231F20"/>
          <w:spacing w:val="-20"/>
          <w:sz w:val="15"/>
        </w:rPr>
        <w:t xml:space="preserve"> </w:t>
      </w:r>
      <w:r>
        <w:rPr>
          <w:color w:val="231F20"/>
          <w:sz w:val="15"/>
        </w:rPr>
        <w:t>smlouvě</w:t>
      </w:r>
      <w:r>
        <w:rPr>
          <w:color w:val="231F20"/>
          <w:spacing w:val="-20"/>
          <w:sz w:val="15"/>
        </w:rPr>
        <w:t xml:space="preserve"> </w:t>
      </w:r>
      <w:r>
        <w:rPr>
          <w:color w:val="231F20"/>
          <w:sz w:val="15"/>
        </w:rPr>
        <w:t>je</w:t>
      </w:r>
      <w:r>
        <w:rPr>
          <w:color w:val="231F20"/>
          <w:spacing w:val="-20"/>
          <w:sz w:val="15"/>
        </w:rPr>
        <w:t xml:space="preserve"> </w:t>
      </w:r>
      <w:r>
        <w:rPr>
          <w:color w:val="231F20"/>
          <w:sz w:val="15"/>
        </w:rPr>
        <w:t>toto</w:t>
      </w:r>
      <w:r>
        <w:rPr>
          <w:color w:val="231F20"/>
          <w:spacing w:val="-20"/>
          <w:sz w:val="15"/>
        </w:rPr>
        <w:t xml:space="preserve"> </w:t>
      </w:r>
      <w:r>
        <w:rPr>
          <w:color w:val="231F20"/>
          <w:sz w:val="15"/>
        </w:rPr>
        <w:t>zabezpečovací</w:t>
      </w:r>
      <w:r>
        <w:rPr>
          <w:color w:val="231F20"/>
          <w:spacing w:val="-20"/>
          <w:sz w:val="15"/>
        </w:rPr>
        <w:t xml:space="preserve"> </w:t>
      </w:r>
      <w:r>
        <w:rPr>
          <w:color w:val="231F20"/>
          <w:sz w:val="15"/>
        </w:rPr>
        <w:t>zařízení</w:t>
      </w:r>
      <w:r>
        <w:rPr>
          <w:color w:val="231F20"/>
          <w:spacing w:val="-20"/>
          <w:sz w:val="15"/>
        </w:rPr>
        <w:t xml:space="preserve"> </w:t>
      </w:r>
      <w:r>
        <w:rPr>
          <w:color w:val="231F20"/>
          <w:sz w:val="15"/>
        </w:rPr>
        <w:t>označeno</w:t>
      </w:r>
      <w:r>
        <w:rPr>
          <w:color w:val="231F20"/>
          <w:spacing w:val="-20"/>
          <w:sz w:val="15"/>
        </w:rPr>
        <w:t xml:space="preserve"> </w:t>
      </w:r>
      <w:r>
        <w:rPr>
          <w:color w:val="231F20"/>
          <w:spacing w:val="-3"/>
          <w:sz w:val="15"/>
        </w:rPr>
        <w:t>jako</w:t>
      </w:r>
    </w:p>
    <w:p w14:paraId="65420228" w14:textId="77777777" w:rsidR="00F65BCA" w:rsidRDefault="00216117">
      <w:pPr>
        <w:pStyle w:val="Zkladntext"/>
        <w:spacing w:line="172" w:lineRule="exact"/>
        <w:ind w:left="880"/>
        <w:jc w:val="both"/>
      </w:pPr>
      <w:r>
        <w:rPr>
          <w:color w:val="231F20"/>
          <w:w w:val="105"/>
        </w:rPr>
        <w:t>„aktivní vyhledávací systém“).</w:t>
      </w:r>
    </w:p>
    <w:p w14:paraId="30599CDD" w14:textId="77777777" w:rsidR="00F65BCA" w:rsidRDefault="00216117">
      <w:pPr>
        <w:pStyle w:val="Zkladntext"/>
        <w:spacing w:before="26"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4"/>
          <w:position w:val="1"/>
          <w:sz w:val="14"/>
        </w:rPr>
        <w:t xml:space="preserve"> </w:t>
      </w:r>
      <w:r>
        <w:rPr>
          <w:color w:val="231F20"/>
        </w:rPr>
        <w:t>Veškerá</w:t>
      </w:r>
      <w:r>
        <w:rPr>
          <w:color w:val="231F20"/>
          <w:spacing w:val="-15"/>
        </w:rPr>
        <w:t xml:space="preserve"> </w:t>
      </w:r>
      <w:r>
        <w:rPr>
          <w:color w:val="231F20"/>
        </w:rPr>
        <w:t>zařízení</w:t>
      </w:r>
      <w:r>
        <w:rPr>
          <w:color w:val="231F20"/>
          <w:spacing w:val="-15"/>
        </w:rPr>
        <w:t xml:space="preserve"> </w:t>
      </w:r>
      <w:r>
        <w:rPr>
          <w:color w:val="231F20"/>
        </w:rPr>
        <w:t>uvedená</w:t>
      </w:r>
      <w:r>
        <w:rPr>
          <w:color w:val="231F20"/>
          <w:spacing w:val="-15"/>
        </w:rPr>
        <w:t xml:space="preserve"> </w:t>
      </w:r>
      <w:r>
        <w:rPr>
          <w:color w:val="231F20"/>
        </w:rPr>
        <w:t>v</w:t>
      </w:r>
      <w:r>
        <w:rPr>
          <w:color w:val="231F20"/>
          <w:spacing w:val="-15"/>
        </w:rPr>
        <w:t xml:space="preserve"> </w:t>
      </w:r>
      <w:r>
        <w:rPr>
          <w:color w:val="231F20"/>
        </w:rPr>
        <w:t>předchozím</w:t>
      </w:r>
      <w:r>
        <w:rPr>
          <w:color w:val="231F20"/>
          <w:spacing w:val="-15"/>
        </w:rPr>
        <w:t xml:space="preserve"> </w:t>
      </w:r>
      <w:r>
        <w:rPr>
          <w:color w:val="231F20"/>
        </w:rPr>
        <w:t>odstavci</w:t>
      </w:r>
      <w:r>
        <w:rPr>
          <w:color w:val="231F20"/>
          <w:spacing w:val="-15"/>
        </w:rPr>
        <w:t xml:space="preserve"> </w:t>
      </w:r>
      <w:r>
        <w:rPr>
          <w:color w:val="231F20"/>
        </w:rPr>
        <w:t>musí</w:t>
      </w:r>
      <w:r>
        <w:rPr>
          <w:color w:val="231F20"/>
          <w:spacing w:val="-15"/>
        </w:rPr>
        <w:t xml:space="preserve"> </w:t>
      </w:r>
      <w:r>
        <w:rPr>
          <w:color w:val="231F20"/>
        </w:rPr>
        <w:t>mít</w:t>
      </w:r>
      <w:r>
        <w:rPr>
          <w:color w:val="231F20"/>
          <w:spacing w:val="-15"/>
        </w:rPr>
        <w:t xml:space="preserve"> </w:t>
      </w:r>
      <w:r>
        <w:rPr>
          <w:color w:val="231F20"/>
        </w:rPr>
        <w:t>odpovídající</w:t>
      </w:r>
      <w:r>
        <w:rPr>
          <w:color w:val="231F20"/>
          <w:spacing w:val="-14"/>
        </w:rPr>
        <w:t xml:space="preserve"> </w:t>
      </w:r>
      <w:r>
        <w:rPr>
          <w:color w:val="231F20"/>
        </w:rPr>
        <w:t>atesty a</w:t>
      </w:r>
      <w:r>
        <w:rPr>
          <w:color w:val="231F20"/>
          <w:spacing w:val="-18"/>
        </w:rPr>
        <w:t xml:space="preserve"> </w:t>
      </w:r>
      <w:r>
        <w:rPr>
          <w:color w:val="231F20"/>
        </w:rPr>
        <w:t>povolení</w:t>
      </w:r>
      <w:r>
        <w:rPr>
          <w:color w:val="231F20"/>
          <w:spacing w:val="-18"/>
        </w:rPr>
        <w:t xml:space="preserve"> </w:t>
      </w:r>
      <w:r>
        <w:rPr>
          <w:color w:val="231F20"/>
        </w:rPr>
        <w:t>pro</w:t>
      </w:r>
      <w:r>
        <w:rPr>
          <w:color w:val="231F20"/>
          <w:spacing w:val="-18"/>
        </w:rPr>
        <w:t xml:space="preserve"> </w:t>
      </w:r>
      <w:r>
        <w:rPr>
          <w:color w:val="231F20"/>
        </w:rPr>
        <w:t>montáž</w:t>
      </w:r>
      <w:r>
        <w:rPr>
          <w:color w:val="231F20"/>
          <w:spacing w:val="-18"/>
        </w:rPr>
        <w:t xml:space="preserve"> </w:t>
      </w:r>
      <w:r>
        <w:rPr>
          <w:color w:val="231F20"/>
        </w:rPr>
        <w:t>do</w:t>
      </w:r>
      <w:r>
        <w:rPr>
          <w:color w:val="231F20"/>
          <w:spacing w:val="-18"/>
        </w:rPr>
        <w:t xml:space="preserve"> </w:t>
      </w:r>
      <w:r>
        <w:rPr>
          <w:color w:val="231F20"/>
        </w:rPr>
        <w:t>příslušného</w:t>
      </w:r>
      <w:r>
        <w:rPr>
          <w:color w:val="231F20"/>
          <w:spacing w:val="-17"/>
        </w:rPr>
        <w:t xml:space="preserve"> </w:t>
      </w:r>
      <w:r>
        <w:rPr>
          <w:color w:val="231F20"/>
        </w:rPr>
        <w:t>typu</w:t>
      </w:r>
      <w:r>
        <w:rPr>
          <w:color w:val="231F20"/>
          <w:spacing w:val="-18"/>
        </w:rPr>
        <w:t xml:space="preserve"> </w:t>
      </w:r>
      <w:r>
        <w:rPr>
          <w:color w:val="231F20"/>
        </w:rPr>
        <w:t>vozidla</w:t>
      </w:r>
      <w:r>
        <w:rPr>
          <w:color w:val="231F20"/>
          <w:spacing w:val="-18"/>
        </w:rPr>
        <w:t xml:space="preserve"> </w:t>
      </w:r>
      <w:r>
        <w:rPr>
          <w:color w:val="231F20"/>
        </w:rPr>
        <w:t>a</w:t>
      </w:r>
      <w:r>
        <w:rPr>
          <w:color w:val="231F20"/>
          <w:spacing w:val="-18"/>
        </w:rPr>
        <w:t xml:space="preserve"> </w:t>
      </w:r>
      <w:r>
        <w:rPr>
          <w:color w:val="231F20"/>
        </w:rPr>
        <w:t>musí</w:t>
      </w:r>
      <w:r>
        <w:rPr>
          <w:color w:val="231F20"/>
          <w:spacing w:val="-18"/>
        </w:rPr>
        <w:t xml:space="preserve"> </w:t>
      </w:r>
      <w:r>
        <w:rPr>
          <w:color w:val="231F20"/>
        </w:rPr>
        <w:t>být</w:t>
      </w:r>
      <w:r>
        <w:rPr>
          <w:color w:val="231F20"/>
          <w:spacing w:val="-18"/>
        </w:rPr>
        <w:t xml:space="preserve"> </w:t>
      </w:r>
      <w:r>
        <w:rPr>
          <w:color w:val="231F20"/>
        </w:rPr>
        <w:t>instalována</w:t>
      </w:r>
      <w:r>
        <w:rPr>
          <w:color w:val="231F20"/>
          <w:spacing w:val="-17"/>
        </w:rPr>
        <w:t xml:space="preserve"> </w:t>
      </w:r>
      <w:r>
        <w:rPr>
          <w:color w:val="231F20"/>
          <w:spacing w:val="-5"/>
        </w:rPr>
        <w:t xml:space="preserve">sub- </w:t>
      </w:r>
      <w:r>
        <w:rPr>
          <w:color w:val="231F20"/>
        </w:rPr>
        <w:t>jektem majícím k jejich instalaci potřebnou</w:t>
      </w:r>
      <w:r>
        <w:rPr>
          <w:color w:val="231F20"/>
          <w:spacing w:val="-19"/>
        </w:rPr>
        <w:t xml:space="preserve"> </w:t>
      </w:r>
      <w:r>
        <w:rPr>
          <w:color w:val="231F20"/>
        </w:rPr>
        <w:t>autorizaci.</w:t>
      </w:r>
    </w:p>
    <w:p w14:paraId="78E38613"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11"/>
          <w:position w:val="1"/>
          <w:sz w:val="14"/>
        </w:rPr>
        <w:t xml:space="preserve"> </w:t>
      </w:r>
      <w:r>
        <w:rPr>
          <w:color w:val="231F20"/>
        </w:rPr>
        <w:t>Pojišťovna</w:t>
      </w:r>
      <w:r>
        <w:rPr>
          <w:color w:val="231F20"/>
          <w:spacing w:val="-16"/>
        </w:rPr>
        <w:t xml:space="preserve"> </w:t>
      </w:r>
      <w:r>
        <w:rPr>
          <w:color w:val="231F20"/>
        </w:rPr>
        <w:t>může</w:t>
      </w:r>
      <w:r>
        <w:rPr>
          <w:color w:val="231F20"/>
          <w:spacing w:val="-16"/>
        </w:rPr>
        <w:t xml:space="preserve"> </w:t>
      </w:r>
      <w:r>
        <w:rPr>
          <w:color w:val="231F20"/>
        </w:rPr>
        <w:t>podmínit</w:t>
      </w:r>
      <w:r>
        <w:rPr>
          <w:color w:val="231F20"/>
          <w:spacing w:val="-17"/>
        </w:rPr>
        <w:t xml:space="preserve"> </w:t>
      </w:r>
      <w:r>
        <w:rPr>
          <w:color w:val="231F20"/>
        </w:rPr>
        <w:t>přijetí</w:t>
      </w:r>
      <w:r>
        <w:rPr>
          <w:color w:val="231F20"/>
          <w:spacing w:val="-16"/>
        </w:rPr>
        <w:t xml:space="preserve"> </w:t>
      </w:r>
      <w:r>
        <w:rPr>
          <w:color w:val="231F20"/>
        </w:rPr>
        <w:t>vozidla</w:t>
      </w:r>
      <w:r>
        <w:rPr>
          <w:color w:val="231F20"/>
          <w:spacing w:val="-17"/>
        </w:rPr>
        <w:t xml:space="preserve"> </w:t>
      </w:r>
      <w:r>
        <w:rPr>
          <w:color w:val="231F20"/>
        </w:rPr>
        <w:t>do</w:t>
      </w:r>
      <w:r>
        <w:rPr>
          <w:color w:val="231F20"/>
          <w:spacing w:val="-16"/>
        </w:rPr>
        <w:t xml:space="preserve"> </w:t>
      </w:r>
      <w:r>
        <w:rPr>
          <w:color w:val="231F20"/>
        </w:rPr>
        <w:t>pojištění</w:t>
      </w:r>
      <w:r>
        <w:rPr>
          <w:color w:val="231F20"/>
          <w:spacing w:val="-16"/>
        </w:rPr>
        <w:t xml:space="preserve"> </w:t>
      </w:r>
      <w:r>
        <w:rPr>
          <w:color w:val="231F20"/>
        </w:rPr>
        <w:t>jeho</w:t>
      </w:r>
      <w:r>
        <w:rPr>
          <w:color w:val="231F20"/>
          <w:spacing w:val="-17"/>
        </w:rPr>
        <w:t xml:space="preserve"> </w:t>
      </w:r>
      <w:r>
        <w:rPr>
          <w:color w:val="231F20"/>
        </w:rPr>
        <w:t>vybavením</w:t>
      </w:r>
      <w:r>
        <w:rPr>
          <w:color w:val="231F20"/>
          <w:spacing w:val="-16"/>
        </w:rPr>
        <w:t xml:space="preserve"> </w:t>
      </w:r>
      <w:r>
        <w:rPr>
          <w:color w:val="231F20"/>
          <w:spacing w:val="-3"/>
        </w:rPr>
        <w:t xml:space="preserve">zabezpe- </w:t>
      </w:r>
      <w:r>
        <w:rPr>
          <w:color w:val="231F20"/>
        </w:rPr>
        <w:t>čovacím</w:t>
      </w:r>
      <w:r>
        <w:rPr>
          <w:color w:val="231F20"/>
          <w:spacing w:val="-9"/>
        </w:rPr>
        <w:t xml:space="preserve"> </w:t>
      </w:r>
      <w:r>
        <w:rPr>
          <w:color w:val="231F20"/>
        </w:rPr>
        <w:t>zařízením,</w:t>
      </w:r>
      <w:r>
        <w:rPr>
          <w:color w:val="231F20"/>
          <w:spacing w:val="-9"/>
        </w:rPr>
        <w:t xml:space="preserve"> </w:t>
      </w:r>
      <w:r>
        <w:rPr>
          <w:color w:val="231F20"/>
        </w:rPr>
        <w:t>které</w:t>
      </w:r>
      <w:r>
        <w:rPr>
          <w:color w:val="231F20"/>
          <w:spacing w:val="-9"/>
        </w:rPr>
        <w:t xml:space="preserve"> </w:t>
      </w:r>
      <w:r>
        <w:rPr>
          <w:color w:val="231F20"/>
        </w:rPr>
        <w:t>splňuje</w:t>
      </w:r>
      <w:r>
        <w:rPr>
          <w:color w:val="231F20"/>
          <w:spacing w:val="-9"/>
        </w:rPr>
        <w:t xml:space="preserve"> </w:t>
      </w:r>
      <w:r>
        <w:rPr>
          <w:color w:val="231F20"/>
        </w:rPr>
        <w:t>podmínky</w:t>
      </w:r>
      <w:r>
        <w:rPr>
          <w:color w:val="231F20"/>
          <w:spacing w:val="-9"/>
        </w:rPr>
        <w:t xml:space="preserve"> </w:t>
      </w:r>
      <w:r>
        <w:rPr>
          <w:color w:val="231F20"/>
        </w:rPr>
        <w:t>uvedené</w:t>
      </w:r>
      <w:r>
        <w:rPr>
          <w:color w:val="231F20"/>
          <w:spacing w:val="-9"/>
        </w:rPr>
        <w:t xml:space="preserve"> </w:t>
      </w:r>
      <w:r>
        <w:rPr>
          <w:color w:val="231F20"/>
        </w:rPr>
        <w:t>v</w:t>
      </w:r>
      <w:r>
        <w:rPr>
          <w:color w:val="231F20"/>
          <w:spacing w:val="-8"/>
        </w:rPr>
        <w:t xml:space="preserve"> </w:t>
      </w:r>
      <w:r>
        <w:rPr>
          <w:color w:val="231F20"/>
        </w:rPr>
        <w:t>odst.</w:t>
      </w:r>
      <w:r>
        <w:rPr>
          <w:color w:val="231F20"/>
          <w:spacing w:val="-9"/>
        </w:rPr>
        <w:t xml:space="preserve"> </w:t>
      </w:r>
      <w:r>
        <w:rPr>
          <w:color w:val="231F20"/>
        </w:rPr>
        <w:t>1</w:t>
      </w:r>
      <w:r>
        <w:rPr>
          <w:color w:val="231F20"/>
          <w:spacing w:val="-9"/>
        </w:rPr>
        <w:t xml:space="preserve"> </w:t>
      </w:r>
      <w:r>
        <w:rPr>
          <w:color w:val="231F20"/>
        </w:rPr>
        <w:t>tohoto</w:t>
      </w:r>
      <w:r>
        <w:rPr>
          <w:color w:val="231F20"/>
          <w:spacing w:val="-9"/>
        </w:rPr>
        <w:t xml:space="preserve"> </w:t>
      </w:r>
      <w:r>
        <w:rPr>
          <w:color w:val="231F20"/>
          <w:spacing w:val="-3"/>
        </w:rPr>
        <w:t xml:space="preserve">článku, </w:t>
      </w:r>
      <w:r>
        <w:rPr>
          <w:color w:val="231F20"/>
          <w:w w:val="95"/>
        </w:rPr>
        <w:t xml:space="preserve">případně jiným zabezpečovacím zařízením či systémem, které splňuje </w:t>
      </w:r>
      <w:r>
        <w:rPr>
          <w:color w:val="231F20"/>
          <w:spacing w:val="-3"/>
          <w:w w:val="95"/>
        </w:rPr>
        <w:t xml:space="preserve">podmín- </w:t>
      </w:r>
      <w:r>
        <w:rPr>
          <w:color w:val="231F20"/>
        </w:rPr>
        <w:t>ky uvedené v odst. 2 tohoto</w:t>
      </w:r>
      <w:r>
        <w:rPr>
          <w:color w:val="231F20"/>
          <w:spacing w:val="-4"/>
        </w:rPr>
        <w:t xml:space="preserve"> </w:t>
      </w:r>
      <w:r>
        <w:rPr>
          <w:color w:val="231F20"/>
        </w:rPr>
        <w:t>článku.</w:t>
      </w:r>
    </w:p>
    <w:p w14:paraId="4B9B8528"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5"/>
          <w:position w:val="1"/>
          <w:sz w:val="14"/>
        </w:rPr>
        <w:t xml:space="preserve"> </w:t>
      </w:r>
      <w:r>
        <w:rPr>
          <w:color w:val="231F20"/>
        </w:rPr>
        <w:t>Pokud</w:t>
      </w:r>
      <w:r>
        <w:rPr>
          <w:color w:val="231F20"/>
          <w:spacing w:val="-17"/>
        </w:rPr>
        <w:t xml:space="preserve"> </w:t>
      </w:r>
      <w:r>
        <w:rPr>
          <w:color w:val="231F20"/>
        </w:rPr>
        <w:t>je</w:t>
      </w:r>
      <w:r>
        <w:rPr>
          <w:color w:val="231F20"/>
          <w:spacing w:val="-17"/>
        </w:rPr>
        <w:t xml:space="preserve"> </w:t>
      </w:r>
      <w:r>
        <w:rPr>
          <w:color w:val="231F20"/>
        </w:rPr>
        <w:t>vozidlo</w:t>
      </w:r>
      <w:r>
        <w:rPr>
          <w:color w:val="231F20"/>
          <w:spacing w:val="-16"/>
        </w:rPr>
        <w:t xml:space="preserve"> </w:t>
      </w:r>
      <w:r>
        <w:rPr>
          <w:color w:val="231F20"/>
        </w:rPr>
        <w:t>vybaveno</w:t>
      </w:r>
      <w:r>
        <w:rPr>
          <w:color w:val="231F20"/>
          <w:spacing w:val="-17"/>
        </w:rPr>
        <w:t xml:space="preserve"> </w:t>
      </w:r>
      <w:r>
        <w:rPr>
          <w:color w:val="231F20"/>
        </w:rPr>
        <w:t>některým</w:t>
      </w:r>
      <w:r>
        <w:rPr>
          <w:color w:val="231F20"/>
          <w:spacing w:val="-16"/>
        </w:rPr>
        <w:t xml:space="preserve"> </w:t>
      </w:r>
      <w:r>
        <w:rPr>
          <w:color w:val="231F20"/>
        </w:rPr>
        <w:t>ze</w:t>
      </w:r>
      <w:r>
        <w:rPr>
          <w:color w:val="231F20"/>
          <w:spacing w:val="-17"/>
        </w:rPr>
        <w:t xml:space="preserve"> </w:t>
      </w:r>
      <w:r>
        <w:rPr>
          <w:color w:val="231F20"/>
        </w:rPr>
        <w:t>zabezpečovacích</w:t>
      </w:r>
      <w:r>
        <w:rPr>
          <w:color w:val="231F20"/>
          <w:spacing w:val="-17"/>
        </w:rPr>
        <w:t xml:space="preserve"> </w:t>
      </w:r>
      <w:r>
        <w:rPr>
          <w:color w:val="231F20"/>
        </w:rPr>
        <w:t>zařízení</w:t>
      </w:r>
      <w:r>
        <w:rPr>
          <w:color w:val="231F20"/>
          <w:spacing w:val="-16"/>
        </w:rPr>
        <w:t xml:space="preserve"> </w:t>
      </w:r>
      <w:r>
        <w:rPr>
          <w:color w:val="231F20"/>
        </w:rPr>
        <w:t>uvedených v odst. 1 tohoto článku, je tato skutečnost zohledněna slevou na pojistném podle aktuálně platných</w:t>
      </w:r>
      <w:r>
        <w:rPr>
          <w:color w:val="231F20"/>
          <w:spacing w:val="-3"/>
        </w:rPr>
        <w:t xml:space="preserve"> </w:t>
      </w:r>
      <w:r>
        <w:rPr>
          <w:color w:val="231F20"/>
        </w:rPr>
        <w:t>pravidel.</w:t>
      </w:r>
    </w:p>
    <w:p w14:paraId="28502BEB"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spacing w:val="14"/>
          <w:position w:val="1"/>
          <w:sz w:val="14"/>
        </w:rPr>
        <w:t xml:space="preserve"> </w:t>
      </w:r>
      <w:r>
        <w:rPr>
          <w:color w:val="231F20"/>
        </w:rPr>
        <w:t>Byla-li</w:t>
      </w:r>
      <w:r>
        <w:rPr>
          <w:color w:val="231F20"/>
          <w:spacing w:val="-8"/>
        </w:rPr>
        <w:t xml:space="preserve"> </w:t>
      </w:r>
      <w:r>
        <w:rPr>
          <w:color w:val="231F20"/>
        </w:rPr>
        <w:t>v</w:t>
      </w:r>
      <w:r>
        <w:rPr>
          <w:color w:val="231F20"/>
          <w:spacing w:val="-8"/>
        </w:rPr>
        <w:t xml:space="preserve"> </w:t>
      </w:r>
      <w:r>
        <w:rPr>
          <w:color w:val="231F20"/>
        </w:rPr>
        <w:t>souvislosti</w:t>
      </w:r>
      <w:r>
        <w:rPr>
          <w:color w:val="231F20"/>
          <w:spacing w:val="-8"/>
        </w:rPr>
        <w:t xml:space="preserve"> </w:t>
      </w:r>
      <w:r>
        <w:rPr>
          <w:color w:val="231F20"/>
        </w:rPr>
        <w:t>s</w:t>
      </w:r>
      <w:r>
        <w:rPr>
          <w:color w:val="231F20"/>
          <w:spacing w:val="-8"/>
        </w:rPr>
        <w:t xml:space="preserve"> </w:t>
      </w:r>
      <w:r>
        <w:rPr>
          <w:color w:val="231F20"/>
        </w:rPr>
        <w:t>instalací</w:t>
      </w:r>
      <w:r>
        <w:rPr>
          <w:color w:val="231F20"/>
          <w:spacing w:val="-8"/>
        </w:rPr>
        <w:t xml:space="preserve"> </w:t>
      </w:r>
      <w:r>
        <w:rPr>
          <w:color w:val="231F20"/>
        </w:rPr>
        <w:t>zabezpečovacího</w:t>
      </w:r>
      <w:r>
        <w:rPr>
          <w:color w:val="231F20"/>
          <w:spacing w:val="-8"/>
        </w:rPr>
        <w:t xml:space="preserve"> </w:t>
      </w:r>
      <w:r>
        <w:rPr>
          <w:color w:val="231F20"/>
        </w:rPr>
        <w:t>zařízení</w:t>
      </w:r>
      <w:r>
        <w:rPr>
          <w:color w:val="231F20"/>
          <w:spacing w:val="-9"/>
        </w:rPr>
        <w:t xml:space="preserve"> </w:t>
      </w:r>
      <w:r>
        <w:rPr>
          <w:color w:val="231F20"/>
        </w:rPr>
        <w:t>poskytnuta</w:t>
      </w:r>
      <w:r>
        <w:rPr>
          <w:color w:val="231F20"/>
          <w:spacing w:val="-8"/>
        </w:rPr>
        <w:t xml:space="preserve"> </w:t>
      </w:r>
      <w:r>
        <w:rPr>
          <w:color w:val="231F20"/>
        </w:rPr>
        <w:t>sleva</w:t>
      </w:r>
      <w:r>
        <w:rPr>
          <w:color w:val="231F20"/>
          <w:spacing w:val="-8"/>
        </w:rPr>
        <w:t xml:space="preserve"> </w:t>
      </w:r>
      <w:r>
        <w:rPr>
          <w:color w:val="231F20"/>
          <w:spacing w:val="-6"/>
        </w:rPr>
        <w:t xml:space="preserve">na </w:t>
      </w:r>
      <w:r>
        <w:rPr>
          <w:color w:val="231F20"/>
        </w:rPr>
        <w:t>pojistném,</w:t>
      </w:r>
      <w:r>
        <w:rPr>
          <w:color w:val="231F20"/>
          <w:spacing w:val="-17"/>
        </w:rPr>
        <w:t xml:space="preserve"> </w:t>
      </w:r>
      <w:r>
        <w:rPr>
          <w:color w:val="231F20"/>
        </w:rPr>
        <w:t>zavazuje</w:t>
      </w:r>
      <w:r>
        <w:rPr>
          <w:color w:val="231F20"/>
          <w:spacing w:val="-17"/>
        </w:rPr>
        <w:t xml:space="preserve"> </w:t>
      </w:r>
      <w:r>
        <w:rPr>
          <w:color w:val="231F20"/>
        </w:rPr>
        <w:t>se</w:t>
      </w:r>
      <w:r>
        <w:rPr>
          <w:color w:val="231F20"/>
          <w:spacing w:val="-16"/>
        </w:rPr>
        <w:t xml:space="preserve"> </w:t>
      </w:r>
      <w:r>
        <w:rPr>
          <w:color w:val="231F20"/>
        </w:rPr>
        <w:t>pojistník</w:t>
      </w:r>
      <w:r>
        <w:rPr>
          <w:color w:val="231F20"/>
          <w:spacing w:val="-17"/>
        </w:rPr>
        <w:t xml:space="preserve"> </w:t>
      </w:r>
      <w:r>
        <w:rPr>
          <w:color w:val="231F20"/>
        </w:rPr>
        <w:t>provádět</w:t>
      </w:r>
      <w:r>
        <w:rPr>
          <w:color w:val="231F20"/>
          <w:spacing w:val="-16"/>
        </w:rPr>
        <w:t xml:space="preserve"> </w:t>
      </w:r>
      <w:r>
        <w:rPr>
          <w:color w:val="231F20"/>
        </w:rPr>
        <w:t>potřebnou</w:t>
      </w:r>
      <w:r>
        <w:rPr>
          <w:color w:val="231F20"/>
          <w:spacing w:val="-17"/>
        </w:rPr>
        <w:t xml:space="preserve"> </w:t>
      </w:r>
      <w:r>
        <w:rPr>
          <w:color w:val="231F20"/>
        </w:rPr>
        <w:t>údržbu</w:t>
      </w:r>
      <w:r>
        <w:rPr>
          <w:color w:val="231F20"/>
          <w:spacing w:val="-16"/>
        </w:rPr>
        <w:t xml:space="preserve"> </w:t>
      </w:r>
      <w:r>
        <w:rPr>
          <w:color w:val="231F20"/>
        </w:rPr>
        <w:t>a</w:t>
      </w:r>
      <w:r>
        <w:rPr>
          <w:color w:val="231F20"/>
          <w:spacing w:val="-17"/>
        </w:rPr>
        <w:t xml:space="preserve"> </w:t>
      </w:r>
      <w:r>
        <w:rPr>
          <w:color w:val="231F20"/>
        </w:rPr>
        <w:t>kontrolu</w:t>
      </w:r>
      <w:r>
        <w:rPr>
          <w:color w:val="231F20"/>
          <w:spacing w:val="-16"/>
        </w:rPr>
        <w:t xml:space="preserve"> </w:t>
      </w:r>
      <w:r>
        <w:rPr>
          <w:color w:val="231F20"/>
          <w:spacing w:val="-3"/>
        </w:rPr>
        <w:t xml:space="preserve">zabez- </w:t>
      </w:r>
      <w:r>
        <w:rPr>
          <w:color w:val="231F20"/>
        </w:rPr>
        <w:t>pečovacího</w:t>
      </w:r>
      <w:r>
        <w:rPr>
          <w:color w:val="231F20"/>
          <w:spacing w:val="-10"/>
        </w:rPr>
        <w:t xml:space="preserve"> </w:t>
      </w:r>
      <w:r>
        <w:rPr>
          <w:color w:val="231F20"/>
        </w:rPr>
        <w:t>zařízení</w:t>
      </w:r>
      <w:r>
        <w:rPr>
          <w:color w:val="231F20"/>
          <w:spacing w:val="-10"/>
        </w:rPr>
        <w:t xml:space="preserve"> </w:t>
      </w:r>
      <w:r>
        <w:rPr>
          <w:color w:val="231F20"/>
        </w:rPr>
        <w:t>podle</w:t>
      </w:r>
      <w:r>
        <w:rPr>
          <w:color w:val="231F20"/>
          <w:spacing w:val="-10"/>
        </w:rPr>
        <w:t xml:space="preserve"> </w:t>
      </w:r>
      <w:r>
        <w:rPr>
          <w:color w:val="231F20"/>
        </w:rPr>
        <w:t>instrukcí</w:t>
      </w:r>
      <w:r>
        <w:rPr>
          <w:color w:val="231F20"/>
          <w:spacing w:val="-9"/>
        </w:rPr>
        <w:t xml:space="preserve"> </w:t>
      </w:r>
      <w:r>
        <w:rPr>
          <w:color w:val="231F20"/>
        </w:rPr>
        <w:t>daných</w:t>
      </w:r>
      <w:r>
        <w:rPr>
          <w:color w:val="231F20"/>
          <w:spacing w:val="-10"/>
        </w:rPr>
        <w:t xml:space="preserve"> </w:t>
      </w:r>
      <w:r>
        <w:rPr>
          <w:color w:val="231F20"/>
        </w:rPr>
        <w:t>výrobcem</w:t>
      </w:r>
      <w:r>
        <w:rPr>
          <w:color w:val="231F20"/>
          <w:spacing w:val="-10"/>
        </w:rPr>
        <w:t xml:space="preserve"> </w:t>
      </w:r>
      <w:r>
        <w:rPr>
          <w:color w:val="231F20"/>
        </w:rPr>
        <w:t>tohoto</w:t>
      </w:r>
      <w:r>
        <w:rPr>
          <w:color w:val="231F20"/>
          <w:spacing w:val="-9"/>
        </w:rPr>
        <w:t xml:space="preserve"> </w:t>
      </w:r>
      <w:r>
        <w:rPr>
          <w:color w:val="231F20"/>
        </w:rPr>
        <w:t>zařízení.</w:t>
      </w:r>
    </w:p>
    <w:p w14:paraId="26B1AECA"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6</w:t>
      </w:r>
      <w:r>
        <w:rPr>
          <w:color w:val="231F20"/>
          <w:spacing w:val="22"/>
          <w:position w:val="1"/>
          <w:sz w:val="14"/>
        </w:rPr>
        <w:t xml:space="preserve"> </w:t>
      </w:r>
      <w:r>
        <w:rPr>
          <w:color w:val="231F20"/>
        </w:rPr>
        <w:t>Byla-li</w:t>
      </w:r>
      <w:r>
        <w:rPr>
          <w:color w:val="231F20"/>
          <w:spacing w:val="-28"/>
        </w:rPr>
        <w:t xml:space="preserve"> </w:t>
      </w:r>
      <w:r>
        <w:rPr>
          <w:color w:val="231F20"/>
        </w:rPr>
        <w:t>Pojišťovnou</w:t>
      </w:r>
      <w:r>
        <w:rPr>
          <w:color w:val="231F20"/>
          <w:spacing w:val="-28"/>
        </w:rPr>
        <w:t xml:space="preserve"> </w:t>
      </w:r>
      <w:r>
        <w:rPr>
          <w:color w:val="231F20"/>
        </w:rPr>
        <w:t>poskytnuta</w:t>
      </w:r>
      <w:r>
        <w:rPr>
          <w:color w:val="231F20"/>
          <w:spacing w:val="-28"/>
        </w:rPr>
        <w:t xml:space="preserve"> </w:t>
      </w:r>
      <w:r>
        <w:rPr>
          <w:color w:val="231F20"/>
        </w:rPr>
        <w:t>sleva</w:t>
      </w:r>
      <w:r>
        <w:rPr>
          <w:color w:val="231F20"/>
          <w:spacing w:val="-28"/>
        </w:rPr>
        <w:t xml:space="preserve"> </w:t>
      </w:r>
      <w:r>
        <w:rPr>
          <w:color w:val="231F20"/>
        </w:rPr>
        <w:t>za</w:t>
      </w:r>
      <w:r>
        <w:rPr>
          <w:color w:val="231F20"/>
          <w:spacing w:val="-28"/>
        </w:rPr>
        <w:t xml:space="preserve"> </w:t>
      </w:r>
      <w:r>
        <w:rPr>
          <w:color w:val="231F20"/>
        </w:rPr>
        <w:t>zabezpečovací</w:t>
      </w:r>
      <w:r>
        <w:rPr>
          <w:color w:val="231F20"/>
          <w:spacing w:val="-29"/>
        </w:rPr>
        <w:t xml:space="preserve"> </w:t>
      </w:r>
      <w:r>
        <w:rPr>
          <w:color w:val="231F20"/>
        </w:rPr>
        <w:t>zařízení,</w:t>
      </w:r>
      <w:r>
        <w:rPr>
          <w:color w:val="231F20"/>
          <w:spacing w:val="-28"/>
        </w:rPr>
        <w:t xml:space="preserve"> </w:t>
      </w:r>
      <w:r>
        <w:rPr>
          <w:color w:val="231F20"/>
        </w:rPr>
        <w:t>může</w:t>
      </w:r>
      <w:r>
        <w:rPr>
          <w:color w:val="231F20"/>
          <w:spacing w:val="-28"/>
        </w:rPr>
        <w:t xml:space="preserve"> </w:t>
      </w:r>
      <w:r>
        <w:rPr>
          <w:color w:val="231F20"/>
        </w:rPr>
        <w:t>Pojišťov- na</w:t>
      </w:r>
      <w:r>
        <w:rPr>
          <w:color w:val="231F20"/>
          <w:spacing w:val="-23"/>
        </w:rPr>
        <w:t xml:space="preserve"> </w:t>
      </w:r>
      <w:r>
        <w:rPr>
          <w:color w:val="231F20"/>
        </w:rPr>
        <w:t>požadovat</w:t>
      </w:r>
      <w:r>
        <w:rPr>
          <w:color w:val="231F20"/>
          <w:spacing w:val="-23"/>
        </w:rPr>
        <w:t xml:space="preserve"> </w:t>
      </w:r>
      <w:r>
        <w:rPr>
          <w:color w:val="231F20"/>
        </w:rPr>
        <w:t>po</w:t>
      </w:r>
      <w:r>
        <w:rPr>
          <w:color w:val="231F20"/>
          <w:spacing w:val="-23"/>
        </w:rPr>
        <w:t xml:space="preserve"> </w:t>
      </w:r>
      <w:r>
        <w:rPr>
          <w:color w:val="231F20"/>
        </w:rPr>
        <w:t>oprávněné</w:t>
      </w:r>
      <w:r>
        <w:rPr>
          <w:color w:val="231F20"/>
          <w:spacing w:val="-23"/>
        </w:rPr>
        <w:t xml:space="preserve"> </w:t>
      </w:r>
      <w:r>
        <w:rPr>
          <w:color w:val="231F20"/>
        </w:rPr>
        <w:t>osobě,</w:t>
      </w:r>
      <w:r>
        <w:rPr>
          <w:color w:val="231F20"/>
          <w:spacing w:val="-23"/>
        </w:rPr>
        <w:t xml:space="preserve"> </w:t>
      </w:r>
      <w:r>
        <w:rPr>
          <w:color w:val="231F20"/>
        </w:rPr>
        <w:t>aby</w:t>
      </w:r>
      <w:r>
        <w:rPr>
          <w:color w:val="231F20"/>
          <w:spacing w:val="-23"/>
        </w:rPr>
        <w:t xml:space="preserve"> </w:t>
      </w:r>
      <w:r>
        <w:rPr>
          <w:color w:val="231F20"/>
        </w:rPr>
        <w:t>prokázala,</w:t>
      </w:r>
      <w:r>
        <w:rPr>
          <w:color w:val="231F20"/>
          <w:spacing w:val="-23"/>
        </w:rPr>
        <w:t xml:space="preserve"> </w:t>
      </w:r>
      <w:r>
        <w:rPr>
          <w:color w:val="231F20"/>
        </w:rPr>
        <w:t>že</w:t>
      </w:r>
      <w:r>
        <w:rPr>
          <w:color w:val="231F20"/>
          <w:spacing w:val="-22"/>
        </w:rPr>
        <w:t xml:space="preserve"> </w:t>
      </w:r>
      <w:r>
        <w:rPr>
          <w:color w:val="231F20"/>
        </w:rPr>
        <w:t>zabezpečovací</w:t>
      </w:r>
      <w:r>
        <w:rPr>
          <w:color w:val="231F20"/>
          <w:spacing w:val="-23"/>
        </w:rPr>
        <w:t xml:space="preserve"> </w:t>
      </w:r>
      <w:r>
        <w:rPr>
          <w:color w:val="231F20"/>
        </w:rPr>
        <w:t>zařízení</w:t>
      </w:r>
    </w:p>
    <w:p w14:paraId="098B3BC0" w14:textId="77777777" w:rsidR="00F65BCA" w:rsidRDefault="00216117">
      <w:pPr>
        <w:pStyle w:val="Zkladntext"/>
        <w:spacing w:before="75" w:line="278" w:lineRule="auto"/>
        <w:ind w:left="469" w:right="424"/>
        <w:jc w:val="both"/>
      </w:pPr>
      <w:r>
        <w:br w:type="column"/>
      </w:r>
      <w:r>
        <w:rPr>
          <w:color w:val="231F20"/>
        </w:rPr>
        <w:t>byla</w:t>
      </w:r>
      <w:r>
        <w:rPr>
          <w:color w:val="231F20"/>
          <w:spacing w:val="-9"/>
        </w:rPr>
        <w:t xml:space="preserve"> </w:t>
      </w:r>
      <w:r>
        <w:rPr>
          <w:color w:val="231F20"/>
        </w:rPr>
        <w:t>v</w:t>
      </w:r>
      <w:r>
        <w:rPr>
          <w:color w:val="231F20"/>
          <w:spacing w:val="-9"/>
        </w:rPr>
        <w:t xml:space="preserve"> </w:t>
      </w:r>
      <w:r>
        <w:rPr>
          <w:color w:val="231F20"/>
        </w:rPr>
        <w:t>době</w:t>
      </w:r>
      <w:r>
        <w:rPr>
          <w:color w:val="231F20"/>
          <w:spacing w:val="-9"/>
        </w:rPr>
        <w:t xml:space="preserve"> </w:t>
      </w:r>
      <w:r>
        <w:rPr>
          <w:color w:val="231F20"/>
        </w:rPr>
        <w:t>pojistné</w:t>
      </w:r>
      <w:r>
        <w:rPr>
          <w:color w:val="231F20"/>
          <w:spacing w:val="-10"/>
        </w:rPr>
        <w:t xml:space="preserve"> </w:t>
      </w:r>
      <w:r>
        <w:rPr>
          <w:color w:val="231F20"/>
        </w:rPr>
        <w:t>události</w:t>
      </w:r>
      <w:r>
        <w:rPr>
          <w:color w:val="231F20"/>
          <w:spacing w:val="-9"/>
        </w:rPr>
        <w:t xml:space="preserve"> </w:t>
      </w:r>
      <w:r>
        <w:rPr>
          <w:color w:val="231F20"/>
        </w:rPr>
        <w:t>funkční</w:t>
      </w:r>
      <w:r>
        <w:rPr>
          <w:color w:val="231F20"/>
          <w:spacing w:val="-9"/>
        </w:rPr>
        <w:t xml:space="preserve"> </w:t>
      </w:r>
      <w:r>
        <w:rPr>
          <w:color w:val="231F20"/>
        </w:rPr>
        <w:t>a</w:t>
      </w:r>
      <w:r>
        <w:rPr>
          <w:color w:val="231F20"/>
          <w:spacing w:val="-9"/>
        </w:rPr>
        <w:t xml:space="preserve"> </w:t>
      </w:r>
      <w:r>
        <w:rPr>
          <w:color w:val="231F20"/>
        </w:rPr>
        <w:t>aktivována.</w:t>
      </w:r>
      <w:r>
        <w:rPr>
          <w:color w:val="231F20"/>
          <w:spacing w:val="-9"/>
        </w:rPr>
        <w:t xml:space="preserve"> </w:t>
      </w:r>
      <w:r>
        <w:rPr>
          <w:color w:val="231F20"/>
        </w:rPr>
        <w:t>Stejně</w:t>
      </w:r>
      <w:r>
        <w:rPr>
          <w:color w:val="231F20"/>
          <w:spacing w:val="-9"/>
        </w:rPr>
        <w:t xml:space="preserve"> </w:t>
      </w:r>
      <w:r>
        <w:rPr>
          <w:color w:val="231F20"/>
        </w:rPr>
        <w:t>tak</w:t>
      </w:r>
      <w:r>
        <w:rPr>
          <w:color w:val="231F20"/>
          <w:spacing w:val="-9"/>
        </w:rPr>
        <w:t xml:space="preserve"> </w:t>
      </w:r>
      <w:r>
        <w:rPr>
          <w:color w:val="231F20"/>
        </w:rPr>
        <w:t>může</w:t>
      </w:r>
      <w:r>
        <w:rPr>
          <w:color w:val="231F20"/>
          <w:spacing w:val="-9"/>
        </w:rPr>
        <w:t xml:space="preserve"> </w:t>
      </w:r>
      <w:r>
        <w:rPr>
          <w:color w:val="231F20"/>
        </w:rPr>
        <w:t xml:space="preserve">Pojišťov- na požadovat, aby oprávněná osoba prokázala, že byla prováděna </w:t>
      </w:r>
      <w:r>
        <w:rPr>
          <w:color w:val="231F20"/>
          <w:spacing w:val="-3"/>
        </w:rPr>
        <w:t xml:space="preserve">kontro- </w:t>
      </w:r>
      <w:r>
        <w:rPr>
          <w:color w:val="231F20"/>
        </w:rPr>
        <w:t>la funkčnosti těchto zabezpečovacích zařízení v souladu s pokyny výrobce. V</w:t>
      </w:r>
      <w:r>
        <w:rPr>
          <w:color w:val="231F20"/>
          <w:spacing w:val="-20"/>
        </w:rPr>
        <w:t xml:space="preserve"> </w:t>
      </w:r>
      <w:r>
        <w:rPr>
          <w:color w:val="231F20"/>
        </w:rPr>
        <w:t>opačném</w:t>
      </w:r>
      <w:r>
        <w:rPr>
          <w:color w:val="231F20"/>
          <w:spacing w:val="-20"/>
        </w:rPr>
        <w:t xml:space="preserve"> </w:t>
      </w:r>
      <w:r>
        <w:rPr>
          <w:color w:val="231F20"/>
        </w:rPr>
        <w:t>případě</w:t>
      </w:r>
      <w:r>
        <w:rPr>
          <w:color w:val="231F20"/>
          <w:spacing w:val="-20"/>
        </w:rPr>
        <w:t xml:space="preserve"> </w:t>
      </w:r>
      <w:r>
        <w:rPr>
          <w:color w:val="231F20"/>
        </w:rPr>
        <w:t>je</w:t>
      </w:r>
      <w:r>
        <w:rPr>
          <w:color w:val="231F20"/>
          <w:spacing w:val="-20"/>
        </w:rPr>
        <w:t xml:space="preserve"> </w:t>
      </w:r>
      <w:r>
        <w:rPr>
          <w:color w:val="231F20"/>
        </w:rPr>
        <w:t>Pojišťovna</w:t>
      </w:r>
      <w:r>
        <w:rPr>
          <w:color w:val="231F20"/>
          <w:spacing w:val="-20"/>
        </w:rPr>
        <w:t xml:space="preserve"> </w:t>
      </w:r>
      <w:r>
        <w:rPr>
          <w:color w:val="231F20"/>
        </w:rPr>
        <w:t>oprávněna</w:t>
      </w:r>
      <w:r>
        <w:rPr>
          <w:color w:val="231F20"/>
          <w:spacing w:val="-20"/>
        </w:rPr>
        <w:t xml:space="preserve"> </w:t>
      </w:r>
      <w:r>
        <w:rPr>
          <w:color w:val="231F20"/>
        </w:rPr>
        <w:t>snížit</w:t>
      </w:r>
      <w:r>
        <w:rPr>
          <w:color w:val="231F20"/>
          <w:spacing w:val="-20"/>
        </w:rPr>
        <w:t xml:space="preserve"> </w:t>
      </w:r>
      <w:r>
        <w:rPr>
          <w:color w:val="231F20"/>
        </w:rPr>
        <w:t>pojistné</w:t>
      </w:r>
      <w:r>
        <w:rPr>
          <w:color w:val="231F20"/>
          <w:spacing w:val="-20"/>
        </w:rPr>
        <w:t xml:space="preserve"> </w:t>
      </w:r>
      <w:r>
        <w:rPr>
          <w:color w:val="231F20"/>
        </w:rPr>
        <w:t>plnění,</w:t>
      </w:r>
      <w:r>
        <w:rPr>
          <w:color w:val="231F20"/>
          <w:spacing w:val="-20"/>
        </w:rPr>
        <w:t xml:space="preserve"> </w:t>
      </w:r>
      <w:r>
        <w:rPr>
          <w:color w:val="231F20"/>
        </w:rPr>
        <w:t>a</w:t>
      </w:r>
      <w:r>
        <w:rPr>
          <w:color w:val="231F20"/>
          <w:spacing w:val="-20"/>
        </w:rPr>
        <w:t xml:space="preserve"> </w:t>
      </w:r>
      <w:r>
        <w:rPr>
          <w:color w:val="231F20"/>
        </w:rPr>
        <w:t>to</w:t>
      </w:r>
      <w:r>
        <w:rPr>
          <w:color w:val="231F20"/>
          <w:spacing w:val="-20"/>
        </w:rPr>
        <w:t xml:space="preserve"> </w:t>
      </w:r>
      <w:r>
        <w:rPr>
          <w:color w:val="231F20"/>
        </w:rPr>
        <w:t>ve</w:t>
      </w:r>
      <w:r>
        <w:rPr>
          <w:color w:val="231F20"/>
          <w:spacing w:val="-20"/>
        </w:rPr>
        <w:t xml:space="preserve"> </w:t>
      </w:r>
      <w:r>
        <w:rPr>
          <w:color w:val="231F20"/>
        </w:rPr>
        <w:t>stej- ném</w:t>
      </w:r>
      <w:r>
        <w:rPr>
          <w:color w:val="231F20"/>
          <w:spacing w:val="-7"/>
        </w:rPr>
        <w:t xml:space="preserve"> </w:t>
      </w:r>
      <w:r>
        <w:rPr>
          <w:color w:val="231F20"/>
        </w:rPr>
        <w:t>poměru,</w:t>
      </w:r>
      <w:r>
        <w:rPr>
          <w:color w:val="231F20"/>
          <w:spacing w:val="-6"/>
        </w:rPr>
        <w:t xml:space="preserve"> </w:t>
      </w:r>
      <w:r>
        <w:rPr>
          <w:color w:val="231F20"/>
        </w:rPr>
        <w:t>v</w:t>
      </w:r>
      <w:r>
        <w:rPr>
          <w:color w:val="231F20"/>
          <w:spacing w:val="-6"/>
        </w:rPr>
        <w:t xml:space="preserve"> </w:t>
      </w:r>
      <w:r>
        <w:rPr>
          <w:color w:val="231F20"/>
        </w:rPr>
        <w:t>jakém</w:t>
      </w:r>
      <w:r>
        <w:rPr>
          <w:color w:val="231F20"/>
          <w:spacing w:val="-6"/>
        </w:rPr>
        <w:t xml:space="preserve"> </w:t>
      </w:r>
      <w:r>
        <w:rPr>
          <w:color w:val="231F20"/>
        </w:rPr>
        <w:t>poskytla</w:t>
      </w:r>
      <w:r>
        <w:rPr>
          <w:color w:val="231F20"/>
          <w:spacing w:val="-7"/>
        </w:rPr>
        <w:t xml:space="preserve"> </w:t>
      </w:r>
      <w:r>
        <w:rPr>
          <w:color w:val="231F20"/>
        </w:rPr>
        <w:t>slevu</w:t>
      </w:r>
      <w:r>
        <w:rPr>
          <w:color w:val="231F20"/>
          <w:spacing w:val="-6"/>
        </w:rPr>
        <w:t xml:space="preserve"> </w:t>
      </w:r>
      <w:r>
        <w:rPr>
          <w:color w:val="231F20"/>
        </w:rPr>
        <w:t>za</w:t>
      </w:r>
      <w:r>
        <w:rPr>
          <w:color w:val="231F20"/>
          <w:spacing w:val="-6"/>
        </w:rPr>
        <w:t xml:space="preserve"> </w:t>
      </w:r>
      <w:r>
        <w:rPr>
          <w:color w:val="231F20"/>
        </w:rPr>
        <w:t>zabezpečovací</w:t>
      </w:r>
      <w:r>
        <w:rPr>
          <w:color w:val="231F20"/>
          <w:spacing w:val="-6"/>
        </w:rPr>
        <w:t xml:space="preserve"> </w:t>
      </w:r>
      <w:r>
        <w:rPr>
          <w:color w:val="231F20"/>
        </w:rPr>
        <w:t>zařízení.</w:t>
      </w:r>
    </w:p>
    <w:p w14:paraId="3D7FE95A" w14:textId="77777777" w:rsidR="00F65BCA" w:rsidRDefault="00000000">
      <w:pPr>
        <w:pStyle w:val="Zkladntext"/>
        <w:spacing w:before="6"/>
        <w:rPr>
          <w:sz w:val="26"/>
        </w:rPr>
      </w:pPr>
      <w:r>
        <w:pict w14:anchorId="436BA27E">
          <v:shape id="_x0000_s2258" type="#_x0000_t202" style="position:absolute;margin-left:304.05pt;margin-top:17.95pt;width:262.15pt;height:18.35pt;z-index:-251446272;mso-wrap-distance-left:0;mso-wrap-distance-right:0;mso-position-horizontal-relative:page" filled="f" strokecolor="#231f20" strokeweight="1.5pt">
            <v:textbox inset="0,0,0,0">
              <w:txbxContent>
                <w:p w14:paraId="47357127" w14:textId="77777777" w:rsidR="00F65BCA" w:rsidRDefault="00216117">
                  <w:pPr>
                    <w:spacing w:before="29"/>
                    <w:ind w:left="647"/>
                    <w:rPr>
                      <w:sz w:val="24"/>
                    </w:rPr>
                  </w:pPr>
                  <w:r>
                    <w:rPr>
                      <w:color w:val="231F20"/>
                      <w:sz w:val="24"/>
                    </w:rPr>
                    <w:t>ODDÍL IV. DOPLŇKOVÁ POJIŠTĚNÍ</w:t>
                  </w:r>
                </w:p>
              </w:txbxContent>
            </v:textbox>
            <w10:wrap type="topAndBottom" anchorx="page"/>
          </v:shape>
        </w:pict>
      </w:r>
    </w:p>
    <w:p w14:paraId="6F27E8CD" w14:textId="77777777" w:rsidR="00F65BCA" w:rsidRDefault="00216117">
      <w:pPr>
        <w:spacing w:before="146"/>
        <w:ind w:left="186"/>
        <w:rPr>
          <w:sz w:val="24"/>
        </w:rPr>
      </w:pPr>
      <w:r>
        <w:rPr>
          <w:color w:val="231F20"/>
          <w:sz w:val="24"/>
        </w:rPr>
        <w:t>Pododdíl 1 – Pojištění „Poškození všech skel“</w:t>
      </w:r>
    </w:p>
    <w:p w14:paraId="691AE8C5" w14:textId="77777777" w:rsidR="00F65BCA" w:rsidRDefault="00216117">
      <w:pPr>
        <w:spacing w:before="249"/>
        <w:ind w:left="187"/>
        <w:rPr>
          <w:sz w:val="15"/>
        </w:rPr>
      </w:pPr>
      <w:r>
        <w:rPr>
          <w:color w:val="FFFFFF"/>
          <w:position w:val="3"/>
          <w:sz w:val="16"/>
          <w:shd w:val="clear" w:color="auto" w:fill="808285"/>
        </w:rPr>
        <w:t xml:space="preserve">  Článek 36</w:t>
      </w:r>
      <w:r>
        <w:rPr>
          <w:color w:val="FFFFFF"/>
          <w:position w:val="3"/>
          <w:sz w:val="16"/>
        </w:rPr>
        <w:t xml:space="preserve"> </w:t>
      </w:r>
      <w:r>
        <w:rPr>
          <w:color w:val="231F20"/>
          <w:sz w:val="15"/>
        </w:rPr>
        <w:t>Úvodní ustanovení</w:t>
      </w:r>
    </w:p>
    <w:p w14:paraId="4860C7C6" w14:textId="77777777" w:rsidR="00F65BCA" w:rsidRDefault="00216117">
      <w:pPr>
        <w:pStyle w:val="Zkladntext"/>
        <w:spacing w:before="147"/>
        <w:ind w:left="187"/>
        <w:jc w:val="both"/>
      </w:pPr>
      <w:r>
        <w:rPr>
          <w:color w:val="231F20"/>
          <w:position w:val="1"/>
          <w:sz w:val="14"/>
          <w:shd w:val="clear" w:color="auto" w:fill="D1D3D4"/>
        </w:rPr>
        <w:t xml:space="preserve">  1</w:t>
      </w:r>
      <w:r>
        <w:rPr>
          <w:color w:val="231F20"/>
          <w:position w:val="1"/>
          <w:sz w:val="14"/>
        </w:rPr>
        <w:t xml:space="preserve"> </w:t>
      </w:r>
      <w:r>
        <w:rPr>
          <w:color w:val="231F20"/>
        </w:rPr>
        <w:t>Pojištění lze sjednat pro jednotlivá vozidla jako doplňkové škodové pojištění.</w:t>
      </w:r>
    </w:p>
    <w:p w14:paraId="43DCDA96" w14:textId="77777777" w:rsidR="00F65BCA" w:rsidRDefault="00216117">
      <w:pPr>
        <w:pStyle w:val="Zkladntext"/>
        <w:spacing w:before="27"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position w:val="1"/>
          <w:sz w:val="14"/>
        </w:rPr>
        <w:t xml:space="preserve"> </w:t>
      </w:r>
      <w:r>
        <w:rPr>
          <w:color w:val="231F20"/>
        </w:rPr>
        <w:t xml:space="preserve">Pokud je sjednáno toto pojištění k havarijnímu pojištění, vztahuje se toto </w:t>
      </w:r>
      <w:r>
        <w:rPr>
          <w:color w:val="231F20"/>
          <w:spacing w:val="-5"/>
        </w:rPr>
        <w:t xml:space="preserve">po- </w:t>
      </w:r>
      <w:r>
        <w:rPr>
          <w:color w:val="231F20"/>
        </w:rPr>
        <w:t>jištění</w:t>
      </w:r>
      <w:r>
        <w:rPr>
          <w:color w:val="231F20"/>
          <w:spacing w:val="-8"/>
        </w:rPr>
        <w:t xml:space="preserve"> </w:t>
      </w:r>
      <w:r>
        <w:rPr>
          <w:color w:val="231F20"/>
        </w:rPr>
        <w:t>jen</w:t>
      </w:r>
      <w:r>
        <w:rPr>
          <w:color w:val="231F20"/>
          <w:spacing w:val="-7"/>
        </w:rPr>
        <w:t xml:space="preserve"> </w:t>
      </w:r>
      <w:r>
        <w:rPr>
          <w:color w:val="231F20"/>
        </w:rPr>
        <w:t>na</w:t>
      </w:r>
      <w:r>
        <w:rPr>
          <w:color w:val="231F20"/>
          <w:spacing w:val="-7"/>
        </w:rPr>
        <w:t xml:space="preserve"> </w:t>
      </w:r>
      <w:r>
        <w:rPr>
          <w:color w:val="231F20"/>
        </w:rPr>
        <w:t>takové</w:t>
      </w:r>
      <w:r>
        <w:rPr>
          <w:color w:val="231F20"/>
          <w:spacing w:val="-8"/>
        </w:rPr>
        <w:t xml:space="preserve"> </w:t>
      </w:r>
      <w:r>
        <w:rPr>
          <w:color w:val="231F20"/>
        </w:rPr>
        <w:t>škody</w:t>
      </w:r>
      <w:r>
        <w:rPr>
          <w:color w:val="231F20"/>
          <w:spacing w:val="-7"/>
        </w:rPr>
        <w:t xml:space="preserve"> </w:t>
      </w:r>
      <w:r>
        <w:rPr>
          <w:color w:val="231F20"/>
        </w:rPr>
        <w:t>na</w:t>
      </w:r>
      <w:r>
        <w:rPr>
          <w:color w:val="231F20"/>
          <w:spacing w:val="-7"/>
        </w:rPr>
        <w:t xml:space="preserve"> </w:t>
      </w:r>
      <w:r>
        <w:rPr>
          <w:color w:val="231F20"/>
        </w:rPr>
        <w:t>sklech,</w:t>
      </w:r>
      <w:r>
        <w:rPr>
          <w:color w:val="231F20"/>
          <w:spacing w:val="-8"/>
        </w:rPr>
        <w:t xml:space="preserve"> </w:t>
      </w:r>
      <w:r>
        <w:rPr>
          <w:color w:val="231F20"/>
        </w:rPr>
        <w:t>které</w:t>
      </w:r>
      <w:r>
        <w:rPr>
          <w:color w:val="231F20"/>
          <w:spacing w:val="-7"/>
        </w:rPr>
        <w:t xml:space="preserve"> </w:t>
      </w:r>
      <w:r>
        <w:rPr>
          <w:color w:val="231F20"/>
        </w:rPr>
        <w:t>nebudou</w:t>
      </w:r>
      <w:r>
        <w:rPr>
          <w:color w:val="231F20"/>
          <w:spacing w:val="-7"/>
        </w:rPr>
        <w:t xml:space="preserve"> </w:t>
      </w:r>
      <w:r>
        <w:rPr>
          <w:color w:val="231F20"/>
        </w:rPr>
        <w:t>uplatněny</w:t>
      </w:r>
      <w:r>
        <w:rPr>
          <w:color w:val="231F20"/>
          <w:spacing w:val="-7"/>
        </w:rPr>
        <w:t xml:space="preserve"> </w:t>
      </w:r>
      <w:r>
        <w:rPr>
          <w:color w:val="231F20"/>
        </w:rPr>
        <w:t>z</w:t>
      </w:r>
      <w:r>
        <w:rPr>
          <w:color w:val="231F20"/>
          <w:spacing w:val="-8"/>
        </w:rPr>
        <w:t xml:space="preserve"> </w:t>
      </w:r>
      <w:r>
        <w:rPr>
          <w:color w:val="231F20"/>
        </w:rPr>
        <w:t>havarijního pojištění.</w:t>
      </w:r>
    </w:p>
    <w:p w14:paraId="0ABA764D" w14:textId="77777777" w:rsidR="00F65BCA" w:rsidRDefault="00F65BCA">
      <w:pPr>
        <w:pStyle w:val="Zkladntext"/>
        <w:spacing w:before="10"/>
        <w:rPr>
          <w:sz w:val="20"/>
        </w:rPr>
      </w:pPr>
    </w:p>
    <w:p w14:paraId="2E59183A" w14:textId="77777777" w:rsidR="00F65BCA" w:rsidRDefault="00216117">
      <w:pPr>
        <w:pStyle w:val="Zkladntext"/>
        <w:ind w:left="187"/>
      </w:pPr>
      <w:r>
        <w:rPr>
          <w:color w:val="FFFFFF"/>
          <w:position w:val="3"/>
          <w:sz w:val="16"/>
          <w:shd w:val="clear" w:color="auto" w:fill="808285"/>
        </w:rPr>
        <w:t xml:space="preserve">  </w:t>
      </w:r>
      <w:r>
        <w:rPr>
          <w:color w:val="FFFFFF"/>
          <w:w w:val="105"/>
          <w:position w:val="3"/>
          <w:sz w:val="16"/>
          <w:shd w:val="clear" w:color="auto" w:fill="808285"/>
        </w:rPr>
        <w:t>Článek 37</w:t>
      </w:r>
      <w:r>
        <w:rPr>
          <w:color w:val="FFFFFF"/>
          <w:w w:val="105"/>
          <w:position w:val="3"/>
          <w:sz w:val="16"/>
        </w:rPr>
        <w:t xml:space="preserve"> </w:t>
      </w:r>
      <w:r>
        <w:rPr>
          <w:color w:val="231F20"/>
          <w:w w:val="105"/>
        </w:rPr>
        <w:t>Pojistná nebezpečí, rozsah pojištění, limit pojistného plnění</w:t>
      </w:r>
    </w:p>
    <w:p w14:paraId="2B034203" w14:textId="77777777" w:rsidR="00F65BCA" w:rsidRDefault="00216117">
      <w:pPr>
        <w:pStyle w:val="Zkladntext"/>
        <w:spacing w:before="147"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position w:val="1"/>
          <w:sz w:val="14"/>
        </w:rPr>
        <w:t xml:space="preserve"> </w:t>
      </w:r>
      <w:r>
        <w:rPr>
          <w:color w:val="231F20"/>
        </w:rPr>
        <w:t xml:space="preserve">Pojištění se </w:t>
      </w:r>
      <w:r>
        <w:rPr>
          <w:color w:val="231F20"/>
          <w:spacing w:val="2"/>
        </w:rPr>
        <w:t xml:space="preserve">vztahuje </w:t>
      </w:r>
      <w:r>
        <w:rPr>
          <w:color w:val="231F20"/>
        </w:rPr>
        <w:t xml:space="preserve">na čelní, zadní a boční skla oken sloužících k </w:t>
      </w:r>
      <w:r>
        <w:rPr>
          <w:color w:val="231F20"/>
          <w:spacing w:val="2"/>
        </w:rPr>
        <w:t xml:space="preserve">výhledu </w:t>
      </w:r>
      <w:r>
        <w:rPr>
          <w:color w:val="231F20"/>
        </w:rPr>
        <w:t>z</w:t>
      </w:r>
      <w:r>
        <w:rPr>
          <w:color w:val="231F20"/>
          <w:spacing w:val="-20"/>
        </w:rPr>
        <w:t xml:space="preserve"> </w:t>
      </w:r>
      <w:r>
        <w:rPr>
          <w:color w:val="231F20"/>
        </w:rPr>
        <w:t>pojištěného</w:t>
      </w:r>
      <w:r>
        <w:rPr>
          <w:color w:val="231F20"/>
          <w:spacing w:val="-20"/>
        </w:rPr>
        <w:t xml:space="preserve"> </w:t>
      </w:r>
      <w:r>
        <w:rPr>
          <w:color w:val="231F20"/>
        </w:rPr>
        <w:t>vozidla,</w:t>
      </w:r>
      <w:r>
        <w:rPr>
          <w:color w:val="231F20"/>
          <w:spacing w:val="-19"/>
        </w:rPr>
        <w:t xml:space="preserve"> </w:t>
      </w:r>
      <w:r>
        <w:rPr>
          <w:color w:val="231F20"/>
        </w:rPr>
        <w:t>uvedeného</w:t>
      </w:r>
      <w:r>
        <w:rPr>
          <w:color w:val="231F20"/>
          <w:spacing w:val="-20"/>
        </w:rPr>
        <w:t xml:space="preserve"> </w:t>
      </w:r>
      <w:r>
        <w:rPr>
          <w:color w:val="231F20"/>
        </w:rPr>
        <w:t>v</w:t>
      </w:r>
      <w:r>
        <w:rPr>
          <w:color w:val="231F20"/>
          <w:spacing w:val="-19"/>
        </w:rPr>
        <w:t xml:space="preserve"> </w:t>
      </w:r>
      <w:r>
        <w:rPr>
          <w:color w:val="231F20"/>
        </w:rPr>
        <w:t>seznamu</w:t>
      </w:r>
      <w:r>
        <w:rPr>
          <w:color w:val="231F20"/>
          <w:spacing w:val="-20"/>
        </w:rPr>
        <w:t xml:space="preserve"> </w:t>
      </w:r>
      <w:r>
        <w:rPr>
          <w:color w:val="231F20"/>
        </w:rPr>
        <w:t>vozidel,</w:t>
      </w:r>
      <w:r>
        <w:rPr>
          <w:color w:val="231F20"/>
          <w:spacing w:val="-19"/>
        </w:rPr>
        <w:t xml:space="preserve"> </w:t>
      </w:r>
      <w:r>
        <w:rPr>
          <w:color w:val="231F20"/>
        </w:rPr>
        <w:t>která</w:t>
      </w:r>
      <w:r>
        <w:rPr>
          <w:color w:val="231F20"/>
          <w:spacing w:val="-20"/>
        </w:rPr>
        <w:t xml:space="preserve"> </w:t>
      </w:r>
      <w:r>
        <w:rPr>
          <w:color w:val="231F20"/>
        </w:rPr>
        <w:t>jsou</w:t>
      </w:r>
      <w:r>
        <w:rPr>
          <w:color w:val="231F20"/>
          <w:spacing w:val="-20"/>
        </w:rPr>
        <w:t xml:space="preserve"> </w:t>
      </w:r>
      <w:r>
        <w:rPr>
          <w:color w:val="231F20"/>
        </w:rPr>
        <w:t>k</w:t>
      </w:r>
      <w:r>
        <w:rPr>
          <w:color w:val="231F20"/>
          <w:spacing w:val="-19"/>
        </w:rPr>
        <w:t xml:space="preserve"> </w:t>
      </w:r>
      <w:r>
        <w:rPr>
          <w:color w:val="231F20"/>
        </w:rPr>
        <w:t>tomuto</w:t>
      </w:r>
      <w:r>
        <w:rPr>
          <w:color w:val="231F20"/>
          <w:spacing w:val="-20"/>
        </w:rPr>
        <w:t xml:space="preserve"> </w:t>
      </w:r>
      <w:r>
        <w:rPr>
          <w:color w:val="231F20"/>
        </w:rPr>
        <w:t>vozi- dlu</w:t>
      </w:r>
      <w:r>
        <w:rPr>
          <w:color w:val="231F20"/>
          <w:spacing w:val="-23"/>
        </w:rPr>
        <w:t xml:space="preserve"> </w:t>
      </w:r>
      <w:r>
        <w:rPr>
          <w:color w:val="231F20"/>
        </w:rPr>
        <w:t>originálním</w:t>
      </w:r>
      <w:r>
        <w:rPr>
          <w:color w:val="231F20"/>
          <w:spacing w:val="-22"/>
        </w:rPr>
        <w:t xml:space="preserve"> </w:t>
      </w:r>
      <w:r>
        <w:rPr>
          <w:color w:val="231F20"/>
        </w:rPr>
        <w:t>způsobem</w:t>
      </w:r>
      <w:r>
        <w:rPr>
          <w:color w:val="231F20"/>
          <w:spacing w:val="-22"/>
        </w:rPr>
        <w:t xml:space="preserve"> </w:t>
      </w:r>
      <w:r>
        <w:rPr>
          <w:color w:val="231F20"/>
        </w:rPr>
        <w:t>připevněna.</w:t>
      </w:r>
      <w:r>
        <w:rPr>
          <w:color w:val="231F20"/>
          <w:spacing w:val="-22"/>
        </w:rPr>
        <w:t xml:space="preserve"> </w:t>
      </w:r>
      <w:r>
        <w:rPr>
          <w:color w:val="231F20"/>
        </w:rPr>
        <w:t>Pojištění</w:t>
      </w:r>
      <w:r>
        <w:rPr>
          <w:color w:val="231F20"/>
          <w:spacing w:val="-23"/>
        </w:rPr>
        <w:t xml:space="preserve"> </w:t>
      </w:r>
      <w:r>
        <w:rPr>
          <w:color w:val="231F20"/>
        </w:rPr>
        <w:t>se</w:t>
      </w:r>
      <w:r>
        <w:rPr>
          <w:color w:val="231F20"/>
          <w:spacing w:val="-22"/>
        </w:rPr>
        <w:t xml:space="preserve"> </w:t>
      </w:r>
      <w:r>
        <w:rPr>
          <w:color w:val="231F20"/>
        </w:rPr>
        <w:t>také</w:t>
      </w:r>
      <w:r>
        <w:rPr>
          <w:color w:val="231F20"/>
          <w:spacing w:val="-22"/>
        </w:rPr>
        <w:t xml:space="preserve"> </w:t>
      </w:r>
      <w:r>
        <w:rPr>
          <w:color w:val="231F20"/>
        </w:rPr>
        <w:t>vztahuje</w:t>
      </w:r>
      <w:r>
        <w:rPr>
          <w:color w:val="231F20"/>
          <w:spacing w:val="-22"/>
        </w:rPr>
        <w:t xml:space="preserve"> </w:t>
      </w:r>
      <w:r>
        <w:rPr>
          <w:color w:val="231F20"/>
        </w:rPr>
        <w:t>na</w:t>
      </w:r>
      <w:r>
        <w:rPr>
          <w:color w:val="231F20"/>
          <w:spacing w:val="-23"/>
        </w:rPr>
        <w:t xml:space="preserve"> </w:t>
      </w:r>
      <w:r>
        <w:rPr>
          <w:color w:val="231F20"/>
        </w:rPr>
        <w:t>skla</w:t>
      </w:r>
      <w:r>
        <w:rPr>
          <w:color w:val="231F20"/>
          <w:spacing w:val="-22"/>
        </w:rPr>
        <w:t xml:space="preserve"> </w:t>
      </w:r>
      <w:r>
        <w:rPr>
          <w:color w:val="231F20"/>
        </w:rPr>
        <w:t>střeš- ního</w:t>
      </w:r>
      <w:r>
        <w:rPr>
          <w:color w:val="231F20"/>
          <w:spacing w:val="-16"/>
        </w:rPr>
        <w:t xml:space="preserve"> </w:t>
      </w:r>
      <w:r>
        <w:rPr>
          <w:color w:val="231F20"/>
        </w:rPr>
        <w:t>okna,</w:t>
      </w:r>
      <w:r>
        <w:rPr>
          <w:color w:val="231F20"/>
          <w:spacing w:val="-15"/>
        </w:rPr>
        <w:t xml:space="preserve"> </w:t>
      </w:r>
      <w:r>
        <w:rPr>
          <w:color w:val="231F20"/>
        </w:rPr>
        <w:t>panoramatické</w:t>
      </w:r>
      <w:r>
        <w:rPr>
          <w:color w:val="231F20"/>
          <w:spacing w:val="-15"/>
        </w:rPr>
        <w:t xml:space="preserve"> </w:t>
      </w:r>
      <w:r>
        <w:rPr>
          <w:color w:val="231F20"/>
          <w:spacing w:val="-3"/>
        </w:rPr>
        <w:t>střechy,</w:t>
      </w:r>
      <w:r>
        <w:rPr>
          <w:color w:val="231F20"/>
          <w:spacing w:val="-15"/>
        </w:rPr>
        <w:t xml:space="preserve"> </w:t>
      </w:r>
      <w:r>
        <w:rPr>
          <w:color w:val="231F20"/>
        </w:rPr>
        <w:t>celoskleněných</w:t>
      </w:r>
      <w:r>
        <w:rPr>
          <w:color w:val="231F20"/>
          <w:spacing w:val="-15"/>
        </w:rPr>
        <w:t xml:space="preserve"> </w:t>
      </w:r>
      <w:r>
        <w:rPr>
          <w:color w:val="231F20"/>
        </w:rPr>
        <w:t>dveří</w:t>
      </w:r>
      <w:r>
        <w:rPr>
          <w:color w:val="231F20"/>
          <w:spacing w:val="-15"/>
        </w:rPr>
        <w:t xml:space="preserve"> </w:t>
      </w:r>
      <w:r>
        <w:rPr>
          <w:color w:val="231F20"/>
        </w:rPr>
        <w:t>a</w:t>
      </w:r>
      <w:r>
        <w:rPr>
          <w:color w:val="231F20"/>
          <w:spacing w:val="-15"/>
        </w:rPr>
        <w:t xml:space="preserve"> </w:t>
      </w:r>
      <w:r>
        <w:rPr>
          <w:color w:val="231F20"/>
        </w:rPr>
        <w:t>zpětných</w:t>
      </w:r>
      <w:r>
        <w:rPr>
          <w:color w:val="231F20"/>
          <w:spacing w:val="-15"/>
        </w:rPr>
        <w:t xml:space="preserve"> </w:t>
      </w:r>
      <w:r>
        <w:rPr>
          <w:color w:val="231F20"/>
        </w:rPr>
        <w:t>zrcátek.</w:t>
      </w:r>
    </w:p>
    <w:p w14:paraId="370837DF"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1"/>
          <w:position w:val="1"/>
          <w:sz w:val="14"/>
        </w:rPr>
        <w:t xml:space="preserve"> </w:t>
      </w:r>
      <w:r>
        <w:rPr>
          <w:color w:val="231F20"/>
        </w:rPr>
        <w:t>Za skla uvedená v předchozím odstavci se považují pouze taková skla, která jsou</w:t>
      </w:r>
      <w:r>
        <w:rPr>
          <w:color w:val="231F20"/>
          <w:spacing w:val="-10"/>
        </w:rPr>
        <w:t xml:space="preserve"> </w:t>
      </w:r>
      <w:r>
        <w:rPr>
          <w:color w:val="231F20"/>
        </w:rPr>
        <w:t>pro</w:t>
      </w:r>
      <w:r>
        <w:rPr>
          <w:color w:val="231F20"/>
          <w:spacing w:val="-9"/>
        </w:rPr>
        <w:t xml:space="preserve"> </w:t>
      </w:r>
      <w:r>
        <w:rPr>
          <w:color w:val="231F20"/>
        </w:rPr>
        <w:t>daný</w:t>
      </w:r>
      <w:r>
        <w:rPr>
          <w:color w:val="231F20"/>
          <w:spacing w:val="-9"/>
        </w:rPr>
        <w:t xml:space="preserve"> </w:t>
      </w:r>
      <w:r>
        <w:rPr>
          <w:color w:val="231F20"/>
        </w:rPr>
        <w:t>typ</w:t>
      </w:r>
      <w:r>
        <w:rPr>
          <w:color w:val="231F20"/>
          <w:spacing w:val="-9"/>
        </w:rPr>
        <w:t xml:space="preserve"> </w:t>
      </w:r>
      <w:r>
        <w:rPr>
          <w:color w:val="231F20"/>
        </w:rPr>
        <w:t>vozidla</w:t>
      </w:r>
      <w:r>
        <w:rPr>
          <w:color w:val="231F20"/>
          <w:spacing w:val="-10"/>
        </w:rPr>
        <w:t xml:space="preserve"> </w:t>
      </w:r>
      <w:r>
        <w:rPr>
          <w:color w:val="231F20"/>
        </w:rPr>
        <w:t>schválena</w:t>
      </w:r>
      <w:r>
        <w:rPr>
          <w:color w:val="231F20"/>
          <w:spacing w:val="-9"/>
        </w:rPr>
        <w:t xml:space="preserve"> </w:t>
      </w:r>
      <w:r>
        <w:rPr>
          <w:color w:val="231F20"/>
        </w:rPr>
        <w:t>příslušnými</w:t>
      </w:r>
      <w:r>
        <w:rPr>
          <w:color w:val="231F20"/>
          <w:spacing w:val="-9"/>
        </w:rPr>
        <w:t xml:space="preserve"> </w:t>
      </w:r>
      <w:r>
        <w:rPr>
          <w:color w:val="231F20"/>
        </w:rPr>
        <w:t>předpisy</w:t>
      </w:r>
      <w:r>
        <w:rPr>
          <w:color w:val="231F20"/>
          <w:spacing w:val="-9"/>
        </w:rPr>
        <w:t xml:space="preserve"> </w:t>
      </w:r>
      <w:r>
        <w:rPr>
          <w:color w:val="231F20"/>
        </w:rPr>
        <w:t>a</w:t>
      </w:r>
      <w:r>
        <w:rPr>
          <w:color w:val="231F20"/>
          <w:spacing w:val="-10"/>
        </w:rPr>
        <w:t xml:space="preserve"> </w:t>
      </w:r>
      <w:r>
        <w:rPr>
          <w:color w:val="231F20"/>
        </w:rPr>
        <w:t>mají</w:t>
      </w:r>
      <w:r>
        <w:rPr>
          <w:color w:val="231F20"/>
          <w:spacing w:val="-9"/>
        </w:rPr>
        <w:t xml:space="preserve"> </w:t>
      </w:r>
      <w:r>
        <w:rPr>
          <w:color w:val="231F20"/>
        </w:rPr>
        <w:t>pro</w:t>
      </w:r>
      <w:r>
        <w:rPr>
          <w:color w:val="231F20"/>
          <w:spacing w:val="-9"/>
        </w:rPr>
        <w:t xml:space="preserve"> </w:t>
      </w:r>
      <w:r>
        <w:rPr>
          <w:color w:val="231F20"/>
        </w:rPr>
        <w:t>daný</w:t>
      </w:r>
      <w:r>
        <w:rPr>
          <w:color w:val="231F20"/>
          <w:spacing w:val="-9"/>
        </w:rPr>
        <w:t xml:space="preserve"> </w:t>
      </w:r>
      <w:r>
        <w:rPr>
          <w:color w:val="231F20"/>
        </w:rPr>
        <w:t>typ vozidla</w:t>
      </w:r>
      <w:r>
        <w:rPr>
          <w:color w:val="231F20"/>
          <w:spacing w:val="-17"/>
        </w:rPr>
        <w:t xml:space="preserve"> </w:t>
      </w:r>
      <w:r>
        <w:rPr>
          <w:color w:val="231F20"/>
        </w:rPr>
        <w:t>příslušné</w:t>
      </w:r>
      <w:r>
        <w:rPr>
          <w:color w:val="231F20"/>
          <w:spacing w:val="-16"/>
        </w:rPr>
        <w:t xml:space="preserve"> </w:t>
      </w:r>
      <w:r>
        <w:rPr>
          <w:color w:val="231F20"/>
        </w:rPr>
        <w:t>atesty.</w:t>
      </w:r>
      <w:r>
        <w:rPr>
          <w:color w:val="231F20"/>
          <w:spacing w:val="-17"/>
        </w:rPr>
        <w:t xml:space="preserve"> </w:t>
      </w:r>
      <w:r>
        <w:rPr>
          <w:color w:val="231F20"/>
        </w:rPr>
        <w:t>Za</w:t>
      </w:r>
      <w:r>
        <w:rPr>
          <w:color w:val="231F20"/>
          <w:spacing w:val="-16"/>
        </w:rPr>
        <w:t xml:space="preserve"> </w:t>
      </w:r>
      <w:r>
        <w:rPr>
          <w:color w:val="231F20"/>
        </w:rPr>
        <w:t>skla</w:t>
      </w:r>
      <w:r>
        <w:rPr>
          <w:color w:val="231F20"/>
          <w:spacing w:val="-16"/>
        </w:rPr>
        <w:t xml:space="preserve"> </w:t>
      </w:r>
      <w:r>
        <w:rPr>
          <w:color w:val="231F20"/>
        </w:rPr>
        <w:t>se</w:t>
      </w:r>
      <w:r>
        <w:rPr>
          <w:color w:val="231F20"/>
          <w:spacing w:val="-17"/>
        </w:rPr>
        <w:t xml:space="preserve"> </w:t>
      </w:r>
      <w:r>
        <w:rPr>
          <w:color w:val="231F20"/>
        </w:rPr>
        <w:t>považují</w:t>
      </w:r>
      <w:r>
        <w:rPr>
          <w:color w:val="231F20"/>
          <w:spacing w:val="-16"/>
        </w:rPr>
        <w:t xml:space="preserve"> </w:t>
      </w:r>
      <w:r>
        <w:rPr>
          <w:color w:val="231F20"/>
        </w:rPr>
        <w:t>i</w:t>
      </w:r>
      <w:r>
        <w:rPr>
          <w:color w:val="231F20"/>
          <w:spacing w:val="-16"/>
        </w:rPr>
        <w:t xml:space="preserve"> </w:t>
      </w:r>
      <w:r>
        <w:rPr>
          <w:color w:val="231F20"/>
        </w:rPr>
        <w:t>jiné</w:t>
      </w:r>
      <w:r>
        <w:rPr>
          <w:color w:val="231F20"/>
          <w:spacing w:val="-17"/>
        </w:rPr>
        <w:t xml:space="preserve"> </w:t>
      </w:r>
      <w:r>
        <w:rPr>
          <w:color w:val="231F20"/>
        </w:rPr>
        <w:t>originální</w:t>
      </w:r>
      <w:r>
        <w:rPr>
          <w:color w:val="231F20"/>
          <w:spacing w:val="-16"/>
        </w:rPr>
        <w:t xml:space="preserve"> </w:t>
      </w:r>
      <w:r>
        <w:rPr>
          <w:color w:val="231F20"/>
        </w:rPr>
        <w:t>výplně</w:t>
      </w:r>
      <w:r>
        <w:rPr>
          <w:color w:val="231F20"/>
          <w:spacing w:val="-16"/>
        </w:rPr>
        <w:t xml:space="preserve"> </w:t>
      </w:r>
      <w:r>
        <w:rPr>
          <w:color w:val="231F20"/>
        </w:rPr>
        <w:t>oken</w:t>
      </w:r>
      <w:r>
        <w:rPr>
          <w:color w:val="231F20"/>
          <w:spacing w:val="-17"/>
        </w:rPr>
        <w:t xml:space="preserve"> </w:t>
      </w:r>
      <w:r>
        <w:rPr>
          <w:color w:val="231F20"/>
          <w:spacing w:val="-3"/>
        </w:rPr>
        <w:t xml:space="preserve">dodá- </w:t>
      </w:r>
      <w:r>
        <w:rPr>
          <w:color w:val="231F20"/>
        </w:rPr>
        <w:t>vané výrobcem</w:t>
      </w:r>
      <w:r>
        <w:rPr>
          <w:color w:val="231F20"/>
          <w:spacing w:val="-2"/>
        </w:rPr>
        <w:t xml:space="preserve"> </w:t>
      </w:r>
      <w:r>
        <w:rPr>
          <w:color w:val="231F20"/>
        </w:rPr>
        <w:t>vozidla.</w:t>
      </w:r>
    </w:p>
    <w:p w14:paraId="51542420"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position w:val="1"/>
          <w:sz w:val="14"/>
        </w:rPr>
        <w:t xml:space="preserve"> </w:t>
      </w:r>
      <w:r>
        <w:rPr>
          <w:color w:val="231F20"/>
        </w:rPr>
        <w:t>Není-li v pojistné smlouvě nebo seznamu vozidel ujednáno jinak, pojištění se sjednává pro tato pojistná</w:t>
      </w:r>
      <w:r>
        <w:rPr>
          <w:color w:val="231F20"/>
          <w:spacing w:val="-5"/>
        </w:rPr>
        <w:t xml:space="preserve"> </w:t>
      </w:r>
      <w:r>
        <w:rPr>
          <w:color w:val="231F20"/>
        </w:rPr>
        <w:t>nebezpečí:</w:t>
      </w:r>
    </w:p>
    <w:p w14:paraId="23FACFB8" w14:textId="77777777" w:rsidR="00F65BCA" w:rsidRDefault="00216117">
      <w:pPr>
        <w:pStyle w:val="Odstavecseseznamem"/>
        <w:numPr>
          <w:ilvl w:val="0"/>
          <w:numId w:val="99"/>
        </w:numPr>
        <w:tabs>
          <w:tab w:val="left" w:pos="640"/>
        </w:tabs>
        <w:rPr>
          <w:sz w:val="15"/>
        </w:rPr>
      </w:pPr>
      <w:r>
        <w:rPr>
          <w:color w:val="231F20"/>
          <w:sz w:val="15"/>
        </w:rPr>
        <w:t>havárie,</w:t>
      </w:r>
    </w:p>
    <w:p w14:paraId="67FF957E" w14:textId="77777777" w:rsidR="00F65BCA" w:rsidRDefault="00216117">
      <w:pPr>
        <w:pStyle w:val="Odstavecseseznamem"/>
        <w:numPr>
          <w:ilvl w:val="0"/>
          <w:numId w:val="99"/>
        </w:numPr>
        <w:tabs>
          <w:tab w:val="left" w:pos="640"/>
        </w:tabs>
        <w:spacing w:before="25"/>
        <w:rPr>
          <w:sz w:val="15"/>
        </w:rPr>
      </w:pPr>
      <w:r>
        <w:rPr>
          <w:color w:val="231F20"/>
          <w:sz w:val="15"/>
        </w:rPr>
        <w:t>vandalismus,</w:t>
      </w:r>
    </w:p>
    <w:p w14:paraId="5316DFD5" w14:textId="77777777" w:rsidR="00F65BCA" w:rsidRDefault="00216117">
      <w:pPr>
        <w:pStyle w:val="Odstavecseseznamem"/>
        <w:numPr>
          <w:ilvl w:val="0"/>
          <w:numId w:val="99"/>
        </w:numPr>
        <w:tabs>
          <w:tab w:val="left" w:pos="640"/>
        </w:tabs>
        <w:spacing w:before="28"/>
        <w:rPr>
          <w:sz w:val="15"/>
        </w:rPr>
      </w:pPr>
      <w:r>
        <w:rPr>
          <w:color w:val="231F20"/>
          <w:sz w:val="15"/>
        </w:rPr>
        <w:t>odcizení,</w:t>
      </w:r>
    </w:p>
    <w:p w14:paraId="2F95DF26" w14:textId="77777777" w:rsidR="00F65BCA" w:rsidRDefault="00216117">
      <w:pPr>
        <w:pStyle w:val="Odstavecseseznamem"/>
        <w:numPr>
          <w:ilvl w:val="0"/>
          <w:numId w:val="99"/>
        </w:numPr>
        <w:tabs>
          <w:tab w:val="left" w:pos="640"/>
        </w:tabs>
        <w:spacing w:before="28"/>
        <w:rPr>
          <w:sz w:val="15"/>
        </w:rPr>
      </w:pPr>
      <w:r>
        <w:rPr>
          <w:color w:val="231F20"/>
          <w:sz w:val="15"/>
        </w:rPr>
        <w:t>živelní</w:t>
      </w:r>
      <w:r>
        <w:rPr>
          <w:color w:val="231F20"/>
          <w:spacing w:val="-1"/>
          <w:sz w:val="15"/>
        </w:rPr>
        <w:t xml:space="preserve"> </w:t>
      </w:r>
      <w:r>
        <w:rPr>
          <w:color w:val="231F20"/>
          <w:sz w:val="15"/>
        </w:rPr>
        <w:t>událost.</w:t>
      </w:r>
    </w:p>
    <w:p w14:paraId="239E7672" w14:textId="77777777" w:rsidR="00F65BCA" w:rsidRDefault="00216117">
      <w:pPr>
        <w:pStyle w:val="Zkladntext"/>
        <w:spacing w:before="26"/>
        <w:ind w:left="187"/>
      </w:pPr>
      <w:r>
        <w:rPr>
          <w:color w:val="231F20"/>
          <w:position w:val="1"/>
          <w:sz w:val="14"/>
          <w:shd w:val="clear" w:color="auto" w:fill="D1D3D4"/>
        </w:rPr>
        <w:t xml:space="preserve">  4</w:t>
      </w:r>
      <w:r>
        <w:rPr>
          <w:color w:val="231F20"/>
          <w:position w:val="1"/>
          <w:sz w:val="14"/>
        </w:rPr>
        <w:t xml:space="preserve"> </w:t>
      </w:r>
      <w:r>
        <w:rPr>
          <w:color w:val="231F20"/>
        </w:rPr>
        <w:t>Pojišťovna poskytne pojistné plnění:</w:t>
      </w:r>
    </w:p>
    <w:p w14:paraId="1132AB64" w14:textId="77777777" w:rsidR="00F65BCA" w:rsidRDefault="00216117">
      <w:pPr>
        <w:pStyle w:val="Odstavecseseznamem"/>
        <w:numPr>
          <w:ilvl w:val="0"/>
          <w:numId w:val="98"/>
        </w:numPr>
        <w:tabs>
          <w:tab w:val="left" w:pos="640"/>
        </w:tabs>
        <w:spacing w:before="28" w:line="278" w:lineRule="auto"/>
        <w:ind w:right="424"/>
        <w:jc w:val="both"/>
        <w:rPr>
          <w:sz w:val="15"/>
        </w:rPr>
      </w:pPr>
      <w:r>
        <w:rPr>
          <w:color w:val="231F20"/>
          <w:sz w:val="15"/>
        </w:rPr>
        <w:t>formou</w:t>
      </w:r>
      <w:r>
        <w:rPr>
          <w:color w:val="231F20"/>
          <w:spacing w:val="-19"/>
          <w:sz w:val="15"/>
        </w:rPr>
        <w:t xml:space="preserve"> </w:t>
      </w:r>
      <w:r>
        <w:rPr>
          <w:color w:val="231F20"/>
          <w:sz w:val="15"/>
        </w:rPr>
        <w:t>opravy</w:t>
      </w:r>
      <w:r>
        <w:rPr>
          <w:color w:val="231F20"/>
          <w:spacing w:val="-19"/>
          <w:sz w:val="15"/>
        </w:rPr>
        <w:t xml:space="preserve"> </w:t>
      </w:r>
      <w:r>
        <w:rPr>
          <w:color w:val="231F20"/>
          <w:sz w:val="15"/>
        </w:rPr>
        <w:t>skla</w:t>
      </w:r>
      <w:r>
        <w:rPr>
          <w:color w:val="231F20"/>
          <w:spacing w:val="-18"/>
          <w:sz w:val="15"/>
        </w:rPr>
        <w:t xml:space="preserve"> </w:t>
      </w:r>
      <w:r>
        <w:rPr>
          <w:color w:val="231F20"/>
          <w:sz w:val="15"/>
        </w:rPr>
        <w:t>scelením.</w:t>
      </w:r>
      <w:r>
        <w:rPr>
          <w:color w:val="231F20"/>
          <w:spacing w:val="-19"/>
          <w:sz w:val="15"/>
        </w:rPr>
        <w:t xml:space="preserve"> </w:t>
      </w:r>
      <w:r>
        <w:rPr>
          <w:color w:val="231F20"/>
          <w:sz w:val="15"/>
        </w:rPr>
        <w:t>V</w:t>
      </w:r>
      <w:r>
        <w:rPr>
          <w:color w:val="231F20"/>
          <w:spacing w:val="-19"/>
          <w:sz w:val="15"/>
        </w:rPr>
        <w:t xml:space="preserve"> </w:t>
      </w:r>
      <w:r>
        <w:rPr>
          <w:color w:val="231F20"/>
          <w:sz w:val="15"/>
        </w:rPr>
        <w:t>takovém</w:t>
      </w:r>
      <w:r>
        <w:rPr>
          <w:color w:val="231F20"/>
          <w:spacing w:val="-18"/>
          <w:sz w:val="15"/>
        </w:rPr>
        <w:t xml:space="preserve"> </w:t>
      </w:r>
      <w:r>
        <w:rPr>
          <w:color w:val="231F20"/>
          <w:sz w:val="15"/>
        </w:rPr>
        <w:t>případě</w:t>
      </w:r>
      <w:r>
        <w:rPr>
          <w:color w:val="231F20"/>
          <w:spacing w:val="-19"/>
          <w:sz w:val="15"/>
        </w:rPr>
        <w:t xml:space="preserve"> </w:t>
      </w:r>
      <w:r>
        <w:rPr>
          <w:color w:val="231F20"/>
          <w:sz w:val="15"/>
        </w:rPr>
        <w:t>nebude</w:t>
      </w:r>
      <w:r>
        <w:rPr>
          <w:color w:val="231F20"/>
          <w:spacing w:val="-19"/>
          <w:sz w:val="15"/>
        </w:rPr>
        <w:t xml:space="preserve"> </w:t>
      </w:r>
      <w:r>
        <w:rPr>
          <w:color w:val="231F20"/>
          <w:sz w:val="15"/>
        </w:rPr>
        <w:t>uplatňována</w:t>
      </w:r>
      <w:r>
        <w:rPr>
          <w:color w:val="231F20"/>
          <w:spacing w:val="-18"/>
          <w:sz w:val="15"/>
        </w:rPr>
        <w:t xml:space="preserve"> </w:t>
      </w:r>
      <w:r>
        <w:rPr>
          <w:color w:val="231F20"/>
          <w:sz w:val="15"/>
        </w:rPr>
        <w:t>spo- luúčast;</w:t>
      </w:r>
    </w:p>
    <w:p w14:paraId="5FE5C2BD" w14:textId="77777777" w:rsidR="00F65BCA" w:rsidRDefault="00216117">
      <w:pPr>
        <w:pStyle w:val="Odstavecseseznamem"/>
        <w:numPr>
          <w:ilvl w:val="0"/>
          <w:numId w:val="98"/>
        </w:numPr>
        <w:tabs>
          <w:tab w:val="left" w:pos="640"/>
        </w:tabs>
        <w:spacing w:line="278" w:lineRule="auto"/>
        <w:ind w:right="424"/>
        <w:jc w:val="both"/>
        <w:rPr>
          <w:sz w:val="15"/>
        </w:rPr>
      </w:pPr>
      <w:r>
        <w:rPr>
          <w:color w:val="231F20"/>
          <w:sz w:val="15"/>
        </w:rPr>
        <w:t>pokud</w:t>
      </w:r>
      <w:r>
        <w:rPr>
          <w:color w:val="231F20"/>
          <w:spacing w:val="-16"/>
          <w:sz w:val="15"/>
        </w:rPr>
        <w:t xml:space="preserve"> </w:t>
      </w:r>
      <w:r>
        <w:rPr>
          <w:color w:val="231F20"/>
          <w:sz w:val="15"/>
        </w:rPr>
        <w:t>scelení</w:t>
      </w:r>
      <w:r>
        <w:rPr>
          <w:color w:val="231F20"/>
          <w:spacing w:val="-15"/>
          <w:sz w:val="15"/>
        </w:rPr>
        <w:t xml:space="preserve"> </w:t>
      </w:r>
      <w:r>
        <w:rPr>
          <w:color w:val="231F20"/>
          <w:sz w:val="15"/>
        </w:rPr>
        <w:t>skla</w:t>
      </w:r>
      <w:r>
        <w:rPr>
          <w:color w:val="231F20"/>
          <w:spacing w:val="-16"/>
          <w:sz w:val="15"/>
        </w:rPr>
        <w:t xml:space="preserve"> </w:t>
      </w:r>
      <w:r>
        <w:rPr>
          <w:color w:val="231F20"/>
          <w:sz w:val="15"/>
        </w:rPr>
        <w:t>není</w:t>
      </w:r>
      <w:r>
        <w:rPr>
          <w:color w:val="231F20"/>
          <w:spacing w:val="-15"/>
          <w:sz w:val="15"/>
        </w:rPr>
        <w:t xml:space="preserve"> </w:t>
      </w:r>
      <w:r>
        <w:rPr>
          <w:color w:val="231F20"/>
          <w:sz w:val="15"/>
        </w:rPr>
        <w:t>možné,</w:t>
      </w:r>
      <w:r>
        <w:rPr>
          <w:color w:val="231F20"/>
          <w:spacing w:val="-16"/>
          <w:sz w:val="15"/>
        </w:rPr>
        <w:t xml:space="preserve"> </w:t>
      </w:r>
      <w:r>
        <w:rPr>
          <w:color w:val="231F20"/>
          <w:sz w:val="15"/>
        </w:rPr>
        <w:t>pak</w:t>
      </w:r>
      <w:r>
        <w:rPr>
          <w:color w:val="231F20"/>
          <w:spacing w:val="-15"/>
          <w:sz w:val="15"/>
        </w:rPr>
        <w:t xml:space="preserve"> </w:t>
      </w:r>
      <w:r>
        <w:rPr>
          <w:color w:val="231F20"/>
          <w:sz w:val="15"/>
        </w:rPr>
        <w:t>Pojišťovna</w:t>
      </w:r>
      <w:r>
        <w:rPr>
          <w:color w:val="231F20"/>
          <w:spacing w:val="-16"/>
          <w:sz w:val="15"/>
        </w:rPr>
        <w:t xml:space="preserve"> </w:t>
      </w:r>
      <w:r>
        <w:rPr>
          <w:color w:val="231F20"/>
          <w:sz w:val="15"/>
        </w:rPr>
        <w:t>poskytne</w:t>
      </w:r>
      <w:r>
        <w:rPr>
          <w:color w:val="231F20"/>
          <w:spacing w:val="-15"/>
          <w:sz w:val="15"/>
        </w:rPr>
        <w:t xml:space="preserve"> </w:t>
      </w:r>
      <w:r>
        <w:rPr>
          <w:color w:val="231F20"/>
          <w:sz w:val="15"/>
        </w:rPr>
        <w:t>pojistné</w:t>
      </w:r>
      <w:r>
        <w:rPr>
          <w:color w:val="231F20"/>
          <w:spacing w:val="-16"/>
          <w:sz w:val="15"/>
        </w:rPr>
        <w:t xml:space="preserve"> </w:t>
      </w:r>
      <w:r>
        <w:rPr>
          <w:color w:val="231F20"/>
          <w:sz w:val="15"/>
        </w:rPr>
        <w:t>plnění</w:t>
      </w:r>
      <w:r>
        <w:rPr>
          <w:color w:val="231F20"/>
          <w:spacing w:val="-15"/>
          <w:sz w:val="15"/>
        </w:rPr>
        <w:t xml:space="preserve"> </w:t>
      </w:r>
      <w:r>
        <w:rPr>
          <w:color w:val="231F20"/>
          <w:spacing w:val="-8"/>
          <w:sz w:val="15"/>
        </w:rPr>
        <w:t xml:space="preserve">ve </w:t>
      </w:r>
      <w:r>
        <w:rPr>
          <w:color w:val="231F20"/>
          <w:sz w:val="15"/>
        </w:rPr>
        <w:t>výši</w:t>
      </w:r>
      <w:r>
        <w:rPr>
          <w:color w:val="231F20"/>
          <w:spacing w:val="-11"/>
          <w:sz w:val="15"/>
        </w:rPr>
        <w:t xml:space="preserve"> </w:t>
      </w:r>
      <w:r>
        <w:rPr>
          <w:color w:val="231F20"/>
          <w:sz w:val="15"/>
        </w:rPr>
        <w:t>přiměřených</w:t>
      </w:r>
      <w:r>
        <w:rPr>
          <w:color w:val="231F20"/>
          <w:spacing w:val="-11"/>
          <w:sz w:val="15"/>
        </w:rPr>
        <w:t xml:space="preserve"> </w:t>
      </w:r>
      <w:r>
        <w:rPr>
          <w:color w:val="231F20"/>
          <w:sz w:val="15"/>
        </w:rPr>
        <w:t>nákladů</w:t>
      </w:r>
      <w:r>
        <w:rPr>
          <w:color w:val="231F20"/>
          <w:spacing w:val="-11"/>
          <w:sz w:val="15"/>
        </w:rPr>
        <w:t xml:space="preserve"> </w:t>
      </w:r>
      <w:r>
        <w:rPr>
          <w:color w:val="231F20"/>
          <w:sz w:val="15"/>
        </w:rPr>
        <w:t>na</w:t>
      </w:r>
      <w:r>
        <w:rPr>
          <w:color w:val="231F20"/>
          <w:spacing w:val="-10"/>
          <w:sz w:val="15"/>
        </w:rPr>
        <w:t xml:space="preserve"> </w:t>
      </w:r>
      <w:r>
        <w:rPr>
          <w:color w:val="231F20"/>
          <w:sz w:val="15"/>
        </w:rPr>
        <w:t>výměnu</w:t>
      </w:r>
      <w:r>
        <w:rPr>
          <w:color w:val="231F20"/>
          <w:spacing w:val="-11"/>
          <w:sz w:val="15"/>
        </w:rPr>
        <w:t xml:space="preserve"> </w:t>
      </w:r>
      <w:r>
        <w:rPr>
          <w:color w:val="231F20"/>
          <w:sz w:val="15"/>
        </w:rPr>
        <w:t>skla</w:t>
      </w:r>
      <w:r>
        <w:rPr>
          <w:color w:val="231F20"/>
          <w:spacing w:val="-11"/>
          <w:sz w:val="15"/>
        </w:rPr>
        <w:t xml:space="preserve"> </w:t>
      </w:r>
      <w:r>
        <w:rPr>
          <w:color w:val="231F20"/>
          <w:sz w:val="15"/>
        </w:rPr>
        <w:t>nebo</w:t>
      </w:r>
      <w:r>
        <w:rPr>
          <w:color w:val="231F20"/>
          <w:spacing w:val="-11"/>
          <w:sz w:val="15"/>
        </w:rPr>
        <w:t xml:space="preserve"> </w:t>
      </w:r>
      <w:r>
        <w:rPr>
          <w:color w:val="231F20"/>
          <w:spacing w:val="-3"/>
          <w:sz w:val="15"/>
        </w:rPr>
        <w:t>tzv.</w:t>
      </w:r>
      <w:r>
        <w:rPr>
          <w:color w:val="231F20"/>
          <w:spacing w:val="-10"/>
          <w:sz w:val="15"/>
        </w:rPr>
        <w:t xml:space="preserve"> </w:t>
      </w:r>
      <w:r>
        <w:rPr>
          <w:color w:val="231F20"/>
          <w:sz w:val="15"/>
        </w:rPr>
        <w:t>rozpočtem</w:t>
      </w:r>
      <w:r>
        <w:rPr>
          <w:color w:val="231F20"/>
          <w:spacing w:val="-11"/>
          <w:sz w:val="15"/>
        </w:rPr>
        <w:t xml:space="preserve"> </w:t>
      </w:r>
      <w:r>
        <w:rPr>
          <w:color w:val="231F20"/>
          <w:sz w:val="15"/>
        </w:rPr>
        <w:t>nákladů</w:t>
      </w:r>
      <w:r>
        <w:rPr>
          <w:color w:val="231F20"/>
          <w:spacing w:val="-11"/>
          <w:sz w:val="15"/>
        </w:rPr>
        <w:t xml:space="preserve"> </w:t>
      </w:r>
      <w:r>
        <w:rPr>
          <w:color w:val="231F20"/>
          <w:spacing w:val="-7"/>
          <w:sz w:val="15"/>
        </w:rPr>
        <w:t xml:space="preserve">na </w:t>
      </w:r>
      <w:r>
        <w:rPr>
          <w:color w:val="231F20"/>
          <w:sz w:val="15"/>
        </w:rPr>
        <w:t>opravu.</w:t>
      </w:r>
    </w:p>
    <w:p w14:paraId="0C6CBB55"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position w:val="1"/>
          <w:sz w:val="14"/>
        </w:rPr>
        <w:t xml:space="preserve"> </w:t>
      </w:r>
      <w:r>
        <w:rPr>
          <w:color w:val="231F20"/>
        </w:rPr>
        <w:t xml:space="preserve">Pojišťovna neposkytne pojistné plnění za škody na věcech spojených se </w:t>
      </w:r>
      <w:r>
        <w:rPr>
          <w:color w:val="231F20"/>
          <w:spacing w:val="-3"/>
        </w:rPr>
        <w:t xml:space="preserve">skly </w:t>
      </w:r>
      <w:r>
        <w:rPr>
          <w:color w:val="231F20"/>
        </w:rPr>
        <w:t>vozidla (dálniční známky, ochranné fólie a clony aj.), dodatečné úpravy</w:t>
      </w:r>
      <w:r>
        <w:rPr>
          <w:color w:val="231F20"/>
          <w:spacing w:val="-18"/>
        </w:rPr>
        <w:t xml:space="preserve"> </w:t>
      </w:r>
      <w:r>
        <w:rPr>
          <w:color w:val="231F20"/>
          <w:spacing w:val="-3"/>
        </w:rPr>
        <w:t>skel např.</w:t>
      </w:r>
      <w:r>
        <w:rPr>
          <w:color w:val="231F20"/>
          <w:spacing w:val="-9"/>
        </w:rPr>
        <w:t xml:space="preserve"> </w:t>
      </w:r>
      <w:r>
        <w:rPr>
          <w:color w:val="231F20"/>
        </w:rPr>
        <w:t>tónováním,</w:t>
      </w:r>
      <w:r>
        <w:rPr>
          <w:color w:val="231F20"/>
          <w:spacing w:val="-9"/>
        </w:rPr>
        <w:t xml:space="preserve"> </w:t>
      </w:r>
      <w:r>
        <w:rPr>
          <w:color w:val="231F20"/>
        </w:rPr>
        <w:t>leptáním,</w:t>
      </w:r>
      <w:r>
        <w:rPr>
          <w:color w:val="231F20"/>
          <w:spacing w:val="-8"/>
        </w:rPr>
        <w:t xml:space="preserve"> </w:t>
      </w:r>
      <w:r>
        <w:rPr>
          <w:color w:val="231F20"/>
        </w:rPr>
        <w:t>pískováním</w:t>
      </w:r>
      <w:r>
        <w:rPr>
          <w:color w:val="231F20"/>
          <w:spacing w:val="-9"/>
        </w:rPr>
        <w:t xml:space="preserve"> </w:t>
      </w:r>
      <w:r>
        <w:rPr>
          <w:color w:val="231F20"/>
        </w:rPr>
        <w:t>apod.</w:t>
      </w:r>
      <w:r>
        <w:rPr>
          <w:color w:val="231F20"/>
          <w:spacing w:val="-9"/>
        </w:rPr>
        <w:t xml:space="preserve"> </w:t>
      </w:r>
      <w:r>
        <w:rPr>
          <w:color w:val="231F20"/>
        </w:rPr>
        <w:t>Pojišťovna</w:t>
      </w:r>
      <w:r>
        <w:rPr>
          <w:color w:val="231F20"/>
          <w:spacing w:val="-8"/>
        </w:rPr>
        <w:t xml:space="preserve"> </w:t>
      </w:r>
      <w:r>
        <w:rPr>
          <w:color w:val="231F20"/>
        </w:rPr>
        <w:t>rovněž</w:t>
      </w:r>
      <w:r>
        <w:rPr>
          <w:color w:val="231F20"/>
          <w:spacing w:val="-9"/>
        </w:rPr>
        <w:t xml:space="preserve"> </w:t>
      </w:r>
      <w:r>
        <w:rPr>
          <w:color w:val="231F20"/>
        </w:rPr>
        <w:t>neposkytne pojistné</w:t>
      </w:r>
      <w:r>
        <w:rPr>
          <w:color w:val="231F20"/>
          <w:spacing w:val="-5"/>
        </w:rPr>
        <w:t xml:space="preserve"> </w:t>
      </w:r>
      <w:r>
        <w:rPr>
          <w:color w:val="231F20"/>
        </w:rPr>
        <w:t>plnění</w:t>
      </w:r>
      <w:r>
        <w:rPr>
          <w:color w:val="231F20"/>
          <w:spacing w:val="-5"/>
        </w:rPr>
        <w:t xml:space="preserve"> </w:t>
      </w:r>
      <w:r>
        <w:rPr>
          <w:color w:val="231F20"/>
        </w:rPr>
        <w:t>za</w:t>
      </w:r>
      <w:r>
        <w:rPr>
          <w:color w:val="231F20"/>
          <w:spacing w:val="-4"/>
        </w:rPr>
        <w:t xml:space="preserve"> </w:t>
      </w:r>
      <w:r>
        <w:rPr>
          <w:color w:val="231F20"/>
        </w:rPr>
        <w:t>následné</w:t>
      </w:r>
      <w:r>
        <w:rPr>
          <w:color w:val="231F20"/>
          <w:spacing w:val="-5"/>
        </w:rPr>
        <w:t xml:space="preserve"> </w:t>
      </w:r>
      <w:r>
        <w:rPr>
          <w:color w:val="231F20"/>
        </w:rPr>
        <w:t>škody</w:t>
      </w:r>
      <w:r>
        <w:rPr>
          <w:color w:val="231F20"/>
          <w:spacing w:val="-5"/>
        </w:rPr>
        <w:t xml:space="preserve"> </w:t>
      </w:r>
      <w:r>
        <w:rPr>
          <w:color w:val="231F20"/>
        </w:rPr>
        <w:t>způsobené</w:t>
      </w:r>
      <w:r>
        <w:rPr>
          <w:color w:val="231F20"/>
          <w:spacing w:val="-4"/>
        </w:rPr>
        <w:t xml:space="preserve"> </w:t>
      </w:r>
      <w:r>
        <w:rPr>
          <w:color w:val="231F20"/>
        </w:rPr>
        <w:t>poškozenými</w:t>
      </w:r>
      <w:r>
        <w:rPr>
          <w:color w:val="231F20"/>
          <w:spacing w:val="-5"/>
        </w:rPr>
        <w:t xml:space="preserve"> </w:t>
      </w:r>
      <w:r>
        <w:rPr>
          <w:color w:val="231F20"/>
        </w:rPr>
        <w:t>skly</w:t>
      </w:r>
      <w:r>
        <w:rPr>
          <w:color w:val="231F20"/>
          <w:spacing w:val="-5"/>
        </w:rPr>
        <w:t xml:space="preserve"> </w:t>
      </w:r>
      <w:r>
        <w:rPr>
          <w:color w:val="231F20"/>
        </w:rPr>
        <w:t>(poškození laku, čalounění</w:t>
      </w:r>
      <w:r>
        <w:rPr>
          <w:color w:val="231F20"/>
          <w:spacing w:val="-2"/>
        </w:rPr>
        <w:t xml:space="preserve"> </w:t>
      </w:r>
      <w:r>
        <w:rPr>
          <w:color w:val="231F20"/>
        </w:rPr>
        <w:t>apod.).</w:t>
      </w:r>
    </w:p>
    <w:p w14:paraId="425B6A38" w14:textId="77777777" w:rsidR="00F65BCA" w:rsidRDefault="00216117">
      <w:pPr>
        <w:pStyle w:val="Zkladntext"/>
        <w:spacing w:line="278" w:lineRule="auto"/>
        <w:ind w:left="469" w:right="422"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6</w:t>
      </w:r>
      <w:r>
        <w:rPr>
          <w:color w:val="231F20"/>
          <w:spacing w:val="14"/>
          <w:position w:val="1"/>
          <w:sz w:val="14"/>
        </w:rPr>
        <w:t xml:space="preserve"> </w:t>
      </w:r>
      <w:r>
        <w:rPr>
          <w:color w:val="231F20"/>
        </w:rPr>
        <w:t>Limit</w:t>
      </w:r>
      <w:r>
        <w:rPr>
          <w:color w:val="231F20"/>
          <w:spacing w:val="-10"/>
        </w:rPr>
        <w:t xml:space="preserve"> </w:t>
      </w:r>
      <w:r>
        <w:rPr>
          <w:color w:val="231F20"/>
        </w:rPr>
        <w:t>pojistného</w:t>
      </w:r>
      <w:r>
        <w:rPr>
          <w:color w:val="231F20"/>
          <w:spacing w:val="-10"/>
        </w:rPr>
        <w:t xml:space="preserve"> </w:t>
      </w:r>
      <w:r>
        <w:rPr>
          <w:color w:val="231F20"/>
        </w:rPr>
        <w:t>plnění</w:t>
      </w:r>
      <w:r>
        <w:rPr>
          <w:color w:val="231F20"/>
          <w:spacing w:val="-10"/>
        </w:rPr>
        <w:t xml:space="preserve"> </w:t>
      </w:r>
      <w:r>
        <w:rPr>
          <w:color w:val="231F20"/>
        </w:rPr>
        <w:t>a</w:t>
      </w:r>
      <w:r>
        <w:rPr>
          <w:color w:val="231F20"/>
          <w:spacing w:val="-10"/>
        </w:rPr>
        <w:t xml:space="preserve"> </w:t>
      </w:r>
      <w:r>
        <w:rPr>
          <w:color w:val="231F20"/>
        </w:rPr>
        <w:t>spoluúčast</w:t>
      </w:r>
      <w:r>
        <w:rPr>
          <w:color w:val="231F20"/>
          <w:spacing w:val="-10"/>
        </w:rPr>
        <w:t xml:space="preserve"> </w:t>
      </w:r>
      <w:r>
        <w:rPr>
          <w:color w:val="231F20"/>
        </w:rPr>
        <w:t>jsou</w:t>
      </w:r>
      <w:r>
        <w:rPr>
          <w:color w:val="231F20"/>
          <w:spacing w:val="-10"/>
        </w:rPr>
        <w:t xml:space="preserve"> </w:t>
      </w:r>
      <w:r>
        <w:rPr>
          <w:color w:val="231F20"/>
        </w:rPr>
        <w:t>dojednány</w:t>
      </w:r>
      <w:r>
        <w:rPr>
          <w:color w:val="231F20"/>
          <w:spacing w:val="-10"/>
        </w:rPr>
        <w:t xml:space="preserve"> </w:t>
      </w:r>
      <w:r>
        <w:rPr>
          <w:color w:val="231F20"/>
        </w:rPr>
        <w:t>v</w:t>
      </w:r>
      <w:r>
        <w:rPr>
          <w:color w:val="231F20"/>
          <w:spacing w:val="-10"/>
        </w:rPr>
        <w:t xml:space="preserve"> </w:t>
      </w:r>
      <w:r>
        <w:rPr>
          <w:color w:val="231F20"/>
        </w:rPr>
        <w:t>pojistné</w:t>
      </w:r>
      <w:r>
        <w:rPr>
          <w:color w:val="231F20"/>
          <w:spacing w:val="-10"/>
        </w:rPr>
        <w:t xml:space="preserve"> </w:t>
      </w:r>
      <w:r>
        <w:rPr>
          <w:color w:val="231F20"/>
        </w:rPr>
        <w:t>smlouvě</w:t>
      </w:r>
      <w:r>
        <w:rPr>
          <w:color w:val="231F20"/>
          <w:spacing w:val="-10"/>
        </w:rPr>
        <w:t xml:space="preserve"> </w:t>
      </w:r>
      <w:r>
        <w:rPr>
          <w:color w:val="231F20"/>
          <w:spacing w:val="2"/>
        </w:rPr>
        <w:t xml:space="preserve">nebo </w:t>
      </w:r>
      <w:r>
        <w:rPr>
          <w:color w:val="231F20"/>
        </w:rPr>
        <w:t>v seznamu</w:t>
      </w:r>
      <w:r>
        <w:rPr>
          <w:color w:val="231F20"/>
          <w:spacing w:val="-1"/>
        </w:rPr>
        <w:t xml:space="preserve"> </w:t>
      </w:r>
      <w:r>
        <w:rPr>
          <w:color w:val="231F20"/>
        </w:rPr>
        <w:t>vozidel.</w:t>
      </w:r>
    </w:p>
    <w:p w14:paraId="4806C4FA" w14:textId="77777777" w:rsidR="00F65BCA" w:rsidRDefault="00F65BCA">
      <w:pPr>
        <w:pStyle w:val="Zkladntext"/>
        <w:rPr>
          <w:sz w:val="18"/>
        </w:rPr>
      </w:pPr>
    </w:p>
    <w:p w14:paraId="46BF9478" w14:textId="77777777" w:rsidR="00F65BCA" w:rsidRDefault="00F65BCA">
      <w:pPr>
        <w:pStyle w:val="Zkladntext"/>
        <w:spacing w:before="2"/>
        <w:rPr>
          <w:sz w:val="16"/>
        </w:rPr>
      </w:pPr>
    </w:p>
    <w:p w14:paraId="3EAF9DC7" w14:textId="77777777" w:rsidR="00F65BCA" w:rsidRDefault="00216117">
      <w:pPr>
        <w:ind w:left="186"/>
        <w:jc w:val="both"/>
        <w:rPr>
          <w:sz w:val="24"/>
        </w:rPr>
      </w:pPr>
      <w:r>
        <w:rPr>
          <w:color w:val="231F20"/>
          <w:sz w:val="24"/>
        </w:rPr>
        <w:t>Pododdíl 2 – Pojištění „Půjčovné</w:t>
      </w:r>
    </w:p>
    <w:p w14:paraId="7244C17E" w14:textId="77777777" w:rsidR="00F65BCA" w:rsidRDefault="00216117">
      <w:pPr>
        <w:spacing w:before="5"/>
        <w:ind w:left="1806"/>
        <w:rPr>
          <w:sz w:val="24"/>
        </w:rPr>
      </w:pPr>
      <w:r>
        <w:rPr>
          <w:color w:val="231F20"/>
          <w:sz w:val="24"/>
        </w:rPr>
        <w:t>(náhradní vozidlo)“</w:t>
      </w:r>
    </w:p>
    <w:p w14:paraId="52BFF5AF" w14:textId="77777777" w:rsidR="00F65BCA" w:rsidRDefault="00216117">
      <w:pPr>
        <w:spacing w:before="89"/>
        <w:ind w:left="187"/>
        <w:rPr>
          <w:sz w:val="15"/>
        </w:rPr>
      </w:pPr>
      <w:r>
        <w:rPr>
          <w:color w:val="FFFFFF"/>
          <w:position w:val="3"/>
          <w:sz w:val="16"/>
          <w:shd w:val="clear" w:color="auto" w:fill="808285"/>
        </w:rPr>
        <w:t xml:space="preserve">  Článek 38</w:t>
      </w:r>
      <w:r>
        <w:rPr>
          <w:color w:val="FFFFFF"/>
          <w:position w:val="3"/>
          <w:sz w:val="16"/>
        </w:rPr>
        <w:t xml:space="preserve"> </w:t>
      </w:r>
      <w:r>
        <w:rPr>
          <w:color w:val="231F20"/>
          <w:sz w:val="15"/>
        </w:rPr>
        <w:t>Úvodní ustanovení</w:t>
      </w:r>
    </w:p>
    <w:p w14:paraId="29411E9B" w14:textId="77777777" w:rsidR="00F65BCA" w:rsidRDefault="00216117">
      <w:pPr>
        <w:pStyle w:val="Zkladntext"/>
        <w:spacing w:before="147"/>
        <w:ind w:left="186"/>
      </w:pPr>
      <w:r>
        <w:rPr>
          <w:color w:val="231F20"/>
        </w:rPr>
        <w:t>Pojištění lze sjednat pro jednotlivá vozidla jako doplňkové škodové pojištění.</w:t>
      </w:r>
    </w:p>
    <w:p w14:paraId="423FE697" w14:textId="77777777" w:rsidR="00F65BCA" w:rsidRDefault="00F65BCA">
      <w:pPr>
        <w:pStyle w:val="Zkladntext"/>
        <w:spacing w:before="4"/>
        <w:rPr>
          <w:sz w:val="23"/>
        </w:rPr>
      </w:pPr>
    </w:p>
    <w:p w14:paraId="287E173B" w14:textId="77777777" w:rsidR="00F65BCA" w:rsidRDefault="00216117">
      <w:pPr>
        <w:pStyle w:val="Zkladntext"/>
        <w:ind w:left="187"/>
      </w:pPr>
      <w:r>
        <w:rPr>
          <w:color w:val="FFFFFF"/>
          <w:position w:val="3"/>
          <w:sz w:val="16"/>
          <w:shd w:val="clear" w:color="auto" w:fill="808285"/>
        </w:rPr>
        <w:t xml:space="preserve">  </w:t>
      </w:r>
      <w:r>
        <w:rPr>
          <w:color w:val="FFFFFF"/>
          <w:w w:val="105"/>
          <w:position w:val="3"/>
          <w:sz w:val="16"/>
          <w:shd w:val="clear" w:color="auto" w:fill="808285"/>
        </w:rPr>
        <w:t>Článek 39</w:t>
      </w:r>
      <w:r>
        <w:rPr>
          <w:color w:val="FFFFFF"/>
          <w:w w:val="105"/>
          <w:position w:val="3"/>
          <w:sz w:val="16"/>
        </w:rPr>
        <w:t xml:space="preserve"> </w:t>
      </w:r>
      <w:r>
        <w:rPr>
          <w:color w:val="231F20"/>
          <w:w w:val="105"/>
        </w:rPr>
        <w:t>Pojistná nebezpečí, rozsah pojištění, limit pojistného plnění</w:t>
      </w:r>
    </w:p>
    <w:p w14:paraId="084E0D40" w14:textId="77777777" w:rsidR="00F65BCA" w:rsidRDefault="00216117">
      <w:pPr>
        <w:pStyle w:val="Zkladntext"/>
        <w:spacing w:before="147"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35"/>
          <w:position w:val="1"/>
          <w:sz w:val="14"/>
        </w:rPr>
        <w:t xml:space="preserve"> </w:t>
      </w:r>
      <w:r>
        <w:rPr>
          <w:color w:val="231F20"/>
        </w:rPr>
        <w:t>Pojištění</w:t>
      </w:r>
      <w:r>
        <w:rPr>
          <w:color w:val="231F20"/>
          <w:spacing w:val="-25"/>
        </w:rPr>
        <w:t xml:space="preserve"> </w:t>
      </w:r>
      <w:r>
        <w:rPr>
          <w:color w:val="231F20"/>
        </w:rPr>
        <w:t>se</w:t>
      </w:r>
      <w:r>
        <w:rPr>
          <w:color w:val="231F20"/>
          <w:spacing w:val="-24"/>
        </w:rPr>
        <w:t xml:space="preserve"> </w:t>
      </w:r>
      <w:r>
        <w:rPr>
          <w:color w:val="231F20"/>
        </w:rPr>
        <w:t>vztahuje</w:t>
      </w:r>
      <w:r>
        <w:rPr>
          <w:color w:val="231F20"/>
          <w:spacing w:val="-24"/>
        </w:rPr>
        <w:t xml:space="preserve"> </w:t>
      </w:r>
      <w:r>
        <w:rPr>
          <w:color w:val="231F20"/>
        </w:rPr>
        <w:t>na</w:t>
      </w:r>
      <w:r>
        <w:rPr>
          <w:color w:val="231F20"/>
          <w:spacing w:val="-24"/>
        </w:rPr>
        <w:t xml:space="preserve"> </w:t>
      </w:r>
      <w:r>
        <w:rPr>
          <w:color w:val="231F20"/>
        </w:rPr>
        <w:t>náhradu</w:t>
      </w:r>
      <w:r>
        <w:rPr>
          <w:color w:val="231F20"/>
          <w:spacing w:val="-25"/>
        </w:rPr>
        <w:t xml:space="preserve"> </w:t>
      </w:r>
      <w:r>
        <w:rPr>
          <w:color w:val="231F20"/>
        </w:rPr>
        <w:t>nákladů</w:t>
      </w:r>
      <w:r>
        <w:rPr>
          <w:color w:val="231F20"/>
          <w:spacing w:val="-24"/>
        </w:rPr>
        <w:t xml:space="preserve"> </w:t>
      </w:r>
      <w:r>
        <w:rPr>
          <w:color w:val="231F20"/>
        </w:rPr>
        <w:t>vynaložených</w:t>
      </w:r>
      <w:r>
        <w:rPr>
          <w:color w:val="231F20"/>
          <w:spacing w:val="-24"/>
        </w:rPr>
        <w:t xml:space="preserve"> </w:t>
      </w:r>
      <w:r>
        <w:rPr>
          <w:color w:val="231F20"/>
        </w:rPr>
        <w:t>pojištěným</w:t>
      </w:r>
      <w:r>
        <w:rPr>
          <w:color w:val="231F20"/>
          <w:spacing w:val="-24"/>
        </w:rPr>
        <w:t xml:space="preserve"> </w:t>
      </w:r>
      <w:r>
        <w:rPr>
          <w:color w:val="231F20"/>
        </w:rPr>
        <w:t>na</w:t>
      </w:r>
      <w:r>
        <w:rPr>
          <w:color w:val="231F20"/>
          <w:spacing w:val="-25"/>
        </w:rPr>
        <w:t xml:space="preserve"> </w:t>
      </w:r>
      <w:r>
        <w:rPr>
          <w:color w:val="231F20"/>
        </w:rPr>
        <w:t>nájemné za</w:t>
      </w:r>
      <w:r>
        <w:rPr>
          <w:color w:val="231F20"/>
          <w:spacing w:val="-17"/>
        </w:rPr>
        <w:t xml:space="preserve"> </w:t>
      </w:r>
      <w:r>
        <w:rPr>
          <w:color w:val="231F20"/>
        </w:rPr>
        <w:t>náhradní</w:t>
      </w:r>
      <w:r>
        <w:rPr>
          <w:color w:val="231F20"/>
          <w:spacing w:val="-16"/>
        </w:rPr>
        <w:t xml:space="preserve"> </w:t>
      </w:r>
      <w:r>
        <w:rPr>
          <w:color w:val="231F20"/>
        </w:rPr>
        <w:t>vozidlo</w:t>
      </w:r>
      <w:r>
        <w:rPr>
          <w:color w:val="231F20"/>
          <w:spacing w:val="-17"/>
        </w:rPr>
        <w:t xml:space="preserve"> </w:t>
      </w:r>
      <w:r>
        <w:rPr>
          <w:color w:val="231F20"/>
        </w:rPr>
        <w:t>pronajaté</w:t>
      </w:r>
      <w:r>
        <w:rPr>
          <w:color w:val="231F20"/>
          <w:spacing w:val="-16"/>
        </w:rPr>
        <w:t xml:space="preserve"> </w:t>
      </w:r>
      <w:r>
        <w:rPr>
          <w:color w:val="231F20"/>
        </w:rPr>
        <w:t>po</w:t>
      </w:r>
      <w:r>
        <w:rPr>
          <w:color w:val="231F20"/>
          <w:spacing w:val="-16"/>
        </w:rPr>
        <w:t xml:space="preserve"> </w:t>
      </w:r>
      <w:r>
        <w:rPr>
          <w:color w:val="231F20"/>
        </w:rPr>
        <w:t>dobu</w:t>
      </w:r>
      <w:r>
        <w:rPr>
          <w:color w:val="231F20"/>
          <w:spacing w:val="-17"/>
        </w:rPr>
        <w:t xml:space="preserve"> </w:t>
      </w:r>
      <w:r>
        <w:rPr>
          <w:color w:val="231F20"/>
        </w:rPr>
        <w:t>opravy</w:t>
      </w:r>
      <w:r>
        <w:rPr>
          <w:color w:val="231F20"/>
          <w:spacing w:val="-16"/>
        </w:rPr>
        <w:t xml:space="preserve"> </w:t>
      </w:r>
      <w:r>
        <w:rPr>
          <w:color w:val="231F20"/>
        </w:rPr>
        <w:t>poškozeného</w:t>
      </w:r>
      <w:r>
        <w:rPr>
          <w:color w:val="231F20"/>
          <w:spacing w:val="-17"/>
        </w:rPr>
        <w:t xml:space="preserve"> </w:t>
      </w:r>
      <w:r>
        <w:rPr>
          <w:color w:val="231F20"/>
        </w:rPr>
        <w:t>vozidla</w:t>
      </w:r>
      <w:r>
        <w:rPr>
          <w:color w:val="231F20"/>
          <w:spacing w:val="-16"/>
        </w:rPr>
        <w:t xml:space="preserve"> </w:t>
      </w:r>
      <w:r>
        <w:rPr>
          <w:color w:val="231F20"/>
          <w:spacing w:val="-3"/>
        </w:rPr>
        <w:t xml:space="preserve">uvedené- </w:t>
      </w:r>
      <w:r>
        <w:rPr>
          <w:color w:val="231F20"/>
        </w:rPr>
        <w:t>ho v seznamu vozidel,</w:t>
      </w:r>
      <w:r>
        <w:rPr>
          <w:color w:val="231F20"/>
          <w:spacing w:val="-4"/>
        </w:rPr>
        <w:t xml:space="preserve"> </w:t>
      </w:r>
      <w:r>
        <w:rPr>
          <w:color w:val="231F20"/>
        </w:rPr>
        <w:t>přičemž:</w:t>
      </w:r>
    </w:p>
    <w:p w14:paraId="355F096C" w14:textId="77777777" w:rsidR="00F65BCA" w:rsidRDefault="00216117">
      <w:pPr>
        <w:pStyle w:val="Odstavecseseznamem"/>
        <w:numPr>
          <w:ilvl w:val="0"/>
          <w:numId w:val="135"/>
        </w:numPr>
        <w:tabs>
          <w:tab w:val="left" w:pos="640"/>
        </w:tabs>
        <w:spacing w:line="278" w:lineRule="auto"/>
        <w:ind w:left="639" w:right="424"/>
        <w:jc w:val="both"/>
        <w:rPr>
          <w:sz w:val="15"/>
        </w:rPr>
      </w:pPr>
      <w:r>
        <w:rPr>
          <w:color w:val="231F20"/>
          <w:sz w:val="15"/>
        </w:rPr>
        <w:t>toto</w:t>
      </w:r>
      <w:r>
        <w:rPr>
          <w:color w:val="231F20"/>
          <w:spacing w:val="-20"/>
          <w:sz w:val="15"/>
        </w:rPr>
        <w:t xml:space="preserve"> </w:t>
      </w:r>
      <w:r>
        <w:rPr>
          <w:color w:val="231F20"/>
          <w:sz w:val="15"/>
        </w:rPr>
        <w:t>poškození</w:t>
      </w:r>
      <w:r>
        <w:rPr>
          <w:color w:val="231F20"/>
          <w:spacing w:val="-19"/>
          <w:sz w:val="15"/>
        </w:rPr>
        <w:t xml:space="preserve"> </w:t>
      </w:r>
      <w:r>
        <w:rPr>
          <w:color w:val="231F20"/>
          <w:sz w:val="15"/>
        </w:rPr>
        <w:t>vzniklo</w:t>
      </w:r>
      <w:r>
        <w:rPr>
          <w:color w:val="231F20"/>
          <w:spacing w:val="-19"/>
          <w:sz w:val="15"/>
        </w:rPr>
        <w:t xml:space="preserve"> </w:t>
      </w:r>
      <w:r>
        <w:rPr>
          <w:color w:val="231F20"/>
          <w:sz w:val="15"/>
        </w:rPr>
        <w:t>v</w:t>
      </w:r>
      <w:r>
        <w:rPr>
          <w:color w:val="231F20"/>
          <w:spacing w:val="-19"/>
          <w:sz w:val="15"/>
        </w:rPr>
        <w:t xml:space="preserve"> </w:t>
      </w:r>
      <w:r>
        <w:rPr>
          <w:color w:val="231F20"/>
          <w:sz w:val="15"/>
        </w:rPr>
        <w:t>důsledku</w:t>
      </w:r>
      <w:r>
        <w:rPr>
          <w:color w:val="231F20"/>
          <w:spacing w:val="-19"/>
          <w:sz w:val="15"/>
        </w:rPr>
        <w:t xml:space="preserve"> </w:t>
      </w:r>
      <w:r>
        <w:rPr>
          <w:color w:val="231F20"/>
          <w:sz w:val="15"/>
        </w:rPr>
        <w:t>pojistné</w:t>
      </w:r>
      <w:r>
        <w:rPr>
          <w:color w:val="231F20"/>
          <w:spacing w:val="-19"/>
          <w:sz w:val="15"/>
        </w:rPr>
        <w:t xml:space="preserve"> </w:t>
      </w:r>
      <w:r>
        <w:rPr>
          <w:color w:val="231F20"/>
          <w:sz w:val="15"/>
        </w:rPr>
        <w:t>události,</w:t>
      </w:r>
      <w:r>
        <w:rPr>
          <w:color w:val="231F20"/>
          <w:spacing w:val="-19"/>
          <w:sz w:val="15"/>
        </w:rPr>
        <w:t xml:space="preserve"> </w:t>
      </w:r>
      <w:r>
        <w:rPr>
          <w:color w:val="231F20"/>
          <w:sz w:val="15"/>
        </w:rPr>
        <w:t>uplatněné</w:t>
      </w:r>
      <w:r>
        <w:rPr>
          <w:color w:val="231F20"/>
          <w:spacing w:val="-19"/>
          <w:sz w:val="15"/>
        </w:rPr>
        <w:t xml:space="preserve"> </w:t>
      </w:r>
      <w:r>
        <w:rPr>
          <w:color w:val="231F20"/>
          <w:sz w:val="15"/>
        </w:rPr>
        <w:t>z</w:t>
      </w:r>
      <w:r>
        <w:rPr>
          <w:color w:val="231F20"/>
          <w:spacing w:val="-19"/>
          <w:sz w:val="15"/>
        </w:rPr>
        <w:t xml:space="preserve"> </w:t>
      </w:r>
      <w:r>
        <w:rPr>
          <w:color w:val="231F20"/>
          <w:sz w:val="15"/>
        </w:rPr>
        <w:t>havarijního pojištění;</w:t>
      </w:r>
    </w:p>
    <w:p w14:paraId="19F93E6B" w14:textId="77777777" w:rsidR="00F65BCA" w:rsidRDefault="00216117">
      <w:pPr>
        <w:pStyle w:val="Odstavecseseznamem"/>
        <w:numPr>
          <w:ilvl w:val="0"/>
          <w:numId w:val="135"/>
        </w:numPr>
        <w:tabs>
          <w:tab w:val="left" w:pos="640"/>
        </w:tabs>
        <w:spacing w:line="278" w:lineRule="auto"/>
        <w:ind w:left="639" w:right="424"/>
        <w:jc w:val="both"/>
        <w:rPr>
          <w:sz w:val="15"/>
        </w:rPr>
      </w:pPr>
      <w:r>
        <w:rPr>
          <w:color w:val="231F20"/>
          <w:sz w:val="15"/>
        </w:rPr>
        <w:t>následky</w:t>
      </w:r>
      <w:r>
        <w:rPr>
          <w:color w:val="231F20"/>
          <w:spacing w:val="-28"/>
          <w:sz w:val="15"/>
        </w:rPr>
        <w:t xml:space="preserve"> </w:t>
      </w:r>
      <w:r>
        <w:rPr>
          <w:color w:val="231F20"/>
          <w:sz w:val="15"/>
        </w:rPr>
        <w:t>pojistné</w:t>
      </w:r>
      <w:r>
        <w:rPr>
          <w:color w:val="231F20"/>
          <w:spacing w:val="-28"/>
          <w:sz w:val="15"/>
        </w:rPr>
        <w:t xml:space="preserve"> </w:t>
      </w:r>
      <w:r>
        <w:rPr>
          <w:color w:val="231F20"/>
          <w:sz w:val="15"/>
        </w:rPr>
        <w:t>události</w:t>
      </w:r>
      <w:r>
        <w:rPr>
          <w:color w:val="231F20"/>
          <w:spacing w:val="-28"/>
          <w:sz w:val="15"/>
        </w:rPr>
        <w:t xml:space="preserve"> </w:t>
      </w:r>
      <w:r>
        <w:rPr>
          <w:color w:val="231F20"/>
          <w:sz w:val="15"/>
        </w:rPr>
        <w:t>jsou</w:t>
      </w:r>
      <w:r>
        <w:rPr>
          <w:color w:val="231F20"/>
          <w:spacing w:val="-28"/>
          <w:sz w:val="15"/>
        </w:rPr>
        <w:t xml:space="preserve"> </w:t>
      </w:r>
      <w:r>
        <w:rPr>
          <w:color w:val="231F20"/>
          <w:sz w:val="15"/>
        </w:rPr>
        <w:t>odstraňovány</w:t>
      </w:r>
      <w:r>
        <w:rPr>
          <w:color w:val="231F20"/>
          <w:spacing w:val="-28"/>
          <w:sz w:val="15"/>
        </w:rPr>
        <w:t xml:space="preserve"> </w:t>
      </w:r>
      <w:r>
        <w:rPr>
          <w:color w:val="231F20"/>
          <w:sz w:val="15"/>
        </w:rPr>
        <w:t>s</w:t>
      </w:r>
      <w:r>
        <w:rPr>
          <w:color w:val="231F20"/>
          <w:spacing w:val="-27"/>
          <w:sz w:val="15"/>
        </w:rPr>
        <w:t xml:space="preserve"> </w:t>
      </w:r>
      <w:r>
        <w:rPr>
          <w:color w:val="231F20"/>
          <w:sz w:val="15"/>
        </w:rPr>
        <w:t>využitím</w:t>
      </w:r>
      <w:r>
        <w:rPr>
          <w:color w:val="231F20"/>
          <w:spacing w:val="-28"/>
          <w:sz w:val="15"/>
        </w:rPr>
        <w:t xml:space="preserve"> </w:t>
      </w:r>
      <w:r>
        <w:rPr>
          <w:color w:val="231F20"/>
          <w:sz w:val="15"/>
        </w:rPr>
        <w:t>autorizované</w:t>
      </w:r>
      <w:r>
        <w:rPr>
          <w:color w:val="231F20"/>
          <w:spacing w:val="-28"/>
          <w:sz w:val="15"/>
        </w:rPr>
        <w:t xml:space="preserve"> </w:t>
      </w:r>
      <w:r>
        <w:rPr>
          <w:color w:val="231F20"/>
          <w:sz w:val="15"/>
        </w:rPr>
        <w:t>oprav- ny či smluvního servisu</w:t>
      </w:r>
      <w:r>
        <w:rPr>
          <w:color w:val="231F20"/>
          <w:spacing w:val="-7"/>
          <w:sz w:val="15"/>
        </w:rPr>
        <w:t xml:space="preserve"> </w:t>
      </w:r>
      <w:r>
        <w:rPr>
          <w:color w:val="231F20"/>
          <w:sz w:val="15"/>
        </w:rPr>
        <w:t>Pojišťovny;</w:t>
      </w:r>
    </w:p>
    <w:p w14:paraId="09DC3B9B" w14:textId="77777777" w:rsidR="00F65BCA" w:rsidRDefault="00216117">
      <w:pPr>
        <w:pStyle w:val="Odstavecseseznamem"/>
        <w:numPr>
          <w:ilvl w:val="0"/>
          <w:numId w:val="135"/>
        </w:numPr>
        <w:tabs>
          <w:tab w:val="left" w:pos="640"/>
        </w:tabs>
        <w:spacing w:line="278" w:lineRule="auto"/>
        <w:ind w:left="639" w:right="424"/>
        <w:jc w:val="both"/>
        <w:rPr>
          <w:sz w:val="15"/>
        </w:rPr>
      </w:pPr>
      <w:r>
        <w:rPr>
          <w:color w:val="231F20"/>
          <w:sz w:val="15"/>
        </w:rPr>
        <w:t>doba</w:t>
      </w:r>
      <w:r>
        <w:rPr>
          <w:color w:val="231F20"/>
          <w:spacing w:val="-15"/>
          <w:sz w:val="15"/>
        </w:rPr>
        <w:t xml:space="preserve"> </w:t>
      </w:r>
      <w:r>
        <w:rPr>
          <w:color w:val="231F20"/>
          <w:sz w:val="15"/>
        </w:rPr>
        <w:t>opravy</w:t>
      </w:r>
      <w:r>
        <w:rPr>
          <w:color w:val="231F20"/>
          <w:spacing w:val="-15"/>
          <w:sz w:val="15"/>
        </w:rPr>
        <w:t xml:space="preserve"> </w:t>
      </w:r>
      <w:r>
        <w:rPr>
          <w:color w:val="231F20"/>
          <w:sz w:val="15"/>
        </w:rPr>
        <w:t>poškození</w:t>
      </w:r>
      <w:r>
        <w:rPr>
          <w:color w:val="231F20"/>
          <w:spacing w:val="-14"/>
          <w:sz w:val="15"/>
        </w:rPr>
        <w:t xml:space="preserve"> </w:t>
      </w:r>
      <w:r>
        <w:rPr>
          <w:color w:val="231F20"/>
          <w:sz w:val="15"/>
        </w:rPr>
        <w:t>pojištěného</w:t>
      </w:r>
      <w:r>
        <w:rPr>
          <w:color w:val="231F20"/>
          <w:spacing w:val="-15"/>
          <w:sz w:val="15"/>
        </w:rPr>
        <w:t xml:space="preserve"> </w:t>
      </w:r>
      <w:r>
        <w:rPr>
          <w:color w:val="231F20"/>
          <w:sz w:val="15"/>
        </w:rPr>
        <w:t>vozidla</w:t>
      </w:r>
      <w:r>
        <w:rPr>
          <w:color w:val="231F20"/>
          <w:spacing w:val="-14"/>
          <w:sz w:val="15"/>
        </w:rPr>
        <w:t xml:space="preserve"> </w:t>
      </w:r>
      <w:r>
        <w:rPr>
          <w:color w:val="231F20"/>
          <w:sz w:val="15"/>
        </w:rPr>
        <w:t>související</w:t>
      </w:r>
      <w:r>
        <w:rPr>
          <w:color w:val="231F20"/>
          <w:spacing w:val="-15"/>
          <w:sz w:val="15"/>
        </w:rPr>
        <w:t xml:space="preserve"> </w:t>
      </w:r>
      <w:r>
        <w:rPr>
          <w:color w:val="231F20"/>
          <w:sz w:val="15"/>
        </w:rPr>
        <w:t>s</w:t>
      </w:r>
      <w:r>
        <w:rPr>
          <w:color w:val="231F20"/>
          <w:spacing w:val="-14"/>
          <w:sz w:val="15"/>
        </w:rPr>
        <w:t xml:space="preserve"> </w:t>
      </w:r>
      <w:r>
        <w:rPr>
          <w:color w:val="231F20"/>
          <w:sz w:val="15"/>
        </w:rPr>
        <w:t>pojistnou</w:t>
      </w:r>
      <w:r>
        <w:rPr>
          <w:color w:val="231F20"/>
          <w:spacing w:val="-15"/>
          <w:sz w:val="15"/>
        </w:rPr>
        <w:t xml:space="preserve"> </w:t>
      </w:r>
      <w:r>
        <w:rPr>
          <w:color w:val="231F20"/>
          <w:sz w:val="15"/>
        </w:rPr>
        <w:t>událostí překročí 2 dny, tj. 16 Nh (normohodin), dle časových norem</w:t>
      </w:r>
      <w:r>
        <w:rPr>
          <w:color w:val="231F20"/>
          <w:spacing w:val="-21"/>
          <w:sz w:val="15"/>
        </w:rPr>
        <w:t xml:space="preserve"> </w:t>
      </w:r>
      <w:r>
        <w:rPr>
          <w:color w:val="231F20"/>
          <w:sz w:val="15"/>
        </w:rPr>
        <w:t>stanovených výrobcem</w:t>
      </w:r>
      <w:r>
        <w:rPr>
          <w:color w:val="231F20"/>
          <w:spacing w:val="-1"/>
          <w:sz w:val="15"/>
        </w:rPr>
        <w:t xml:space="preserve"> </w:t>
      </w:r>
      <w:r>
        <w:rPr>
          <w:color w:val="231F20"/>
          <w:sz w:val="15"/>
        </w:rPr>
        <w:t>vozidel;</w:t>
      </w:r>
    </w:p>
    <w:p w14:paraId="60E76DA4" w14:textId="77777777" w:rsidR="00F65BCA" w:rsidRDefault="00216117">
      <w:pPr>
        <w:pStyle w:val="Odstavecseseznamem"/>
        <w:numPr>
          <w:ilvl w:val="0"/>
          <w:numId w:val="135"/>
        </w:numPr>
        <w:tabs>
          <w:tab w:val="left" w:pos="640"/>
        </w:tabs>
        <w:spacing w:line="278" w:lineRule="auto"/>
        <w:ind w:left="639" w:right="425"/>
        <w:jc w:val="both"/>
        <w:rPr>
          <w:sz w:val="15"/>
        </w:rPr>
      </w:pPr>
      <w:r>
        <w:rPr>
          <w:color w:val="231F20"/>
          <w:sz w:val="15"/>
        </w:rPr>
        <w:t>pojištěný</w:t>
      </w:r>
      <w:r>
        <w:rPr>
          <w:color w:val="231F20"/>
          <w:spacing w:val="-12"/>
          <w:sz w:val="15"/>
        </w:rPr>
        <w:t xml:space="preserve"> </w:t>
      </w:r>
      <w:r>
        <w:rPr>
          <w:color w:val="231F20"/>
          <w:sz w:val="15"/>
        </w:rPr>
        <w:t>prokáže</w:t>
      </w:r>
      <w:r>
        <w:rPr>
          <w:color w:val="231F20"/>
          <w:spacing w:val="-11"/>
          <w:sz w:val="15"/>
        </w:rPr>
        <w:t xml:space="preserve"> </w:t>
      </w:r>
      <w:r>
        <w:rPr>
          <w:color w:val="231F20"/>
          <w:sz w:val="15"/>
        </w:rPr>
        <w:t>dobu</w:t>
      </w:r>
      <w:r>
        <w:rPr>
          <w:color w:val="231F20"/>
          <w:spacing w:val="-12"/>
          <w:sz w:val="15"/>
        </w:rPr>
        <w:t xml:space="preserve"> </w:t>
      </w:r>
      <w:r>
        <w:rPr>
          <w:color w:val="231F20"/>
          <w:sz w:val="15"/>
        </w:rPr>
        <w:t>opravy</w:t>
      </w:r>
      <w:r>
        <w:rPr>
          <w:color w:val="231F20"/>
          <w:spacing w:val="-11"/>
          <w:sz w:val="15"/>
        </w:rPr>
        <w:t xml:space="preserve"> </w:t>
      </w:r>
      <w:r>
        <w:rPr>
          <w:color w:val="231F20"/>
          <w:sz w:val="15"/>
        </w:rPr>
        <w:t>fakturou</w:t>
      </w:r>
      <w:r>
        <w:rPr>
          <w:color w:val="231F20"/>
          <w:spacing w:val="-12"/>
          <w:sz w:val="15"/>
        </w:rPr>
        <w:t xml:space="preserve"> </w:t>
      </w:r>
      <w:r>
        <w:rPr>
          <w:color w:val="231F20"/>
          <w:sz w:val="15"/>
        </w:rPr>
        <w:t>nebo</w:t>
      </w:r>
      <w:r>
        <w:rPr>
          <w:color w:val="231F20"/>
          <w:spacing w:val="-11"/>
          <w:sz w:val="15"/>
        </w:rPr>
        <w:t xml:space="preserve"> </w:t>
      </w:r>
      <w:r>
        <w:rPr>
          <w:color w:val="231F20"/>
          <w:sz w:val="15"/>
        </w:rPr>
        <w:t>jiným</w:t>
      </w:r>
      <w:r>
        <w:rPr>
          <w:color w:val="231F20"/>
          <w:spacing w:val="-12"/>
          <w:sz w:val="15"/>
        </w:rPr>
        <w:t xml:space="preserve"> </w:t>
      </w:r>
      <w:r>
        <w:rPr>
          <w:color w:val="231F20"/>
          <w:sz w:val="15"/>
        </w:rPr>
        <w:t>daňovým</w:t>
      </w:r>
      <w:r>
        <w:rPr>
          <w:color w:val="231F20"/>
          <w:spacing w:val="-11"/>
          <w:sz w:val="15"/>
        </w:rPr>
        <w:t xml:space="preserve"> </w:t>
      </w:r>
      <w:r>
        <w:rPr>
          <w:color w:val="231F20"/>
          <w:sz w:val="15"/>
        </w:rPr>
        <w:t>dokladem</w:t>
      </w:r>
      <w:r>
        <w:rPr>
          <w:color w:val="231F20"/>
          <w:spacing w:val="-12"/>
          <w:sz w:val="15"/>
        </w:rPr>
        <w:t xml:space="preserve"> </w:t>
      </w:r>
      <w:r>
        <w:rPr>
          <w:color w:val="231F20"/>
          <w:spacing w:val="-7"/>
          <w:sz w:val="15"/>
        </w:rPr>
        <w:t xml:space="preserve">za </w:t>
      </w:r>
      <w:r>
        <w:rPr>
          <w:color w:val="231F20"/>
          <w:sz w:val="15"/>
        </w:rPr>
        <w:t>opravu pojištěného</w:t>
      </w:r>
      <w:r>
        <w:rPr>
          <w:color w:val="231F20"/>
          <w:spacing w:val="-2"/>
          <w:sz w:val="15"/>
        </w:rPr>
        <w:t xml:space="preserve"> </w:t>
      </w:r>
      <w:r>
        <w:rPr>
          <w:color w:val="231F20"/>
          <w:sz w:val="15"/>
        </w:rPr>
        <w:t>vozidla;</w:t>
      </w:r>
    </w:p>
    <w:p w14:paraId="29661F98" w14:textId="77777777" w:rsidR="00F65BCA" w:rsidRDefault="00216117">
      <w:pPr>
        <w:pStyle w:val="Odstavecseseznamem"/>
        <w:numPr>
          <w:ilvl w:val="0"/>
          <w:numId w:val="135"/>
        </w:numPr>
        <w:tabs>
          <w:tab w:val="left" w:pos="640"/>
        </w:tabs>
        <w:spacing w:line="278" w:lineRule="auto"/>
        <w:ind w:left="639" w:right="423"/>
        <w:jc w:val="both"/>
        <w:rPr>
          <w:sz w:val="15"/>
        </w:rPr>
      </w:pPr>
      <w:r>
        <w:rPr>
          <w:color w:val="231F20"/>
          <w:sz w:val="15"/>
        </w:rPr>
        <w:t>pojištěný předloží smlouvu o pronájmu náhradního vozidla, fakturu nebo jiný daňový doklad za pronájem náhradního vozidla a doklad o úhradě pronájmu.</w:t>
      </w:r>
    </w:p>
    <w:p w14:paraId="4DD6DD17"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position w:val="1"/>
          <w:sz w:val="14"/>
        </w:rPr>
        <w:t xml:space="preserve"> </w:t>
      </w:r>
      <w:r>
        <w:rPr>
          <w:color w:val="231F20"/>
        </w:rPr>
        <w:t xml:space="preserve">Pojištění půjčovného se vztahuje pouze na půjčení automobilu stejné </w:t>
      </w:r>
      <w:r>
        <w:rPr>
          <w:color w:val="231F20"/>
          <w:spacing w:val="-3"/>
        </w:rPr>
        <w:t xml:space="preserve">třídy, </w:t>
      </w:r>
      <w:r>
        <w:rPr>
          <w:color w:val="231F20"/>
        </w:rPr>
        <w:t xml:space="preserve">jako je třída pojištěného vozidla. V případě, že si oprávněná osoba půjčí vozidlo vyšší </w:t>
      </w:r>
      <w:r>
        <w:rPr>
          <w:color w:val="231F20"/>
          <w:spacing w:val="-3"/>
        </w:rPr>
        <w:t xml:space="preserve">třídy, </w:t>
      </w:r>
      <w:r>
        <w:rPr>
          <w:color w:val="231F20"/>
        </w:rPr>
        <w:t>plní Pojišťovna pouze v takové výši, v jaké by plnila,</w:t>
      </w:r>
      <w:r>
        <w:rPr>
          <w:color w:val="231F20"/>
          <w:spacing w:val="-22"/>
        </w:rPr>
        <w:t xml:space="preserve"> </w:t>
      </w:r>
      <w:r>
        <w:rPr>
          <w:color w:val="231F20"/>
          <w:spacing w:val="-5"/>
        </w:rPr>
        <w:t>kdy-</w:t>
      </w:r>
    </w:p>
    <w:p w14:paraId="46EC9126" w14:textId="77777777" w:rsidR="00F65BCA" w:rsidRDefault="00F65BCA">
      <w:pPr>
        <w:spacing w:line="278" w:lineRule="auto"/>
        <w:jc w:val="both"/>
        <w:sectPr w:rsidR="00F65BCA">
          <w:pgSz w:w="11910" w:h="16840"/>
          <w:pgMar w:top="520" w:right="140" w:bottom="0" w:left="140" w:header="708" w:footer="708" w:gutter="0"/>
          <w:cols w:num="2" w:space="708" w:equalWidth="0">
            <w:col w:w="5700" w:space="40"/>
            <w:col w:w="5890"/>
          </w:cols>
        </w:sectPr>
      </w:pPr>
    </w:p>
    <w:p w14:paraId="7C8937D1" w14:textId="77777777" w:rsidR="00F65BCA" w:rsidRDefault="00000000">
      <w:pPr>
        <w:pStyle w:val="Zkladntext"/>
        <w:spacing w:before="75" w:line="278" w:lineRule="auto"/>
        <w:ind w:left="710" w:right="1"/>
        <w:jc w:val="both"/>
      </w:pPr>
      <w:r>
        <w:lastRenderedPageBreak/>
        <w:pict w14:anchorId="1345A354">
          <v:group id="_x0000_s2254" style="position:absolute;left:0;text-align:left;margin-left:0;margin-top:807.85pt;width:595.3pt;height:34.05pt;z-index:251876352;mso-position-horizontal-relative:page;mso-position-vertical-relative:page" coordorigin=",16157" coordsize="11906,681">
            <v:rect id="_x0000_s2257" style="position:absolute;top:16157;width:11906;height:681" fillcolor="#dcddde" stroked="f"/>
            <v:shape id="_x0000_s2256" type="#_x0000_t202" style="position:absolute;left:1020;top:16477;width:1414;height:164" filled="f" stroked="f">
              <v:textbox inset="0,0,0,0">
                <w:txbxContent>
                  <w:p w14:paraId="65FC667F" w14:textId="77777777" w:rsidR="00F65BCA" w:rsidRDefault="00216117">
                    <w:pPr>
                      <w:spacing w:before="2"/>
                      <w:rPr>
                        <w:sz w:val="14"/>
                      </w:rPr>
                    </w:pPr>
                    <w:r>
                      <w:rPr>
                        <w:color w:val="231F20"/>
                        <w:sz w:val="14"/>
                      </w:rPr>
                      <w:t>6.20.012 05.2025 v04</w:t>
                    </w:r>
                  </w:p>
                </w:txbxContent>
              </v:textbox>
            </v:shape>
            <v:shape id="_x0000_s2255" type="#_x0000_t202" style="position:absolute;left:5679;top:16420;width:5453;height:234" filled="f" stroked="f">
              <v:textbox inset="0,0,0,0">
                <w:txbxContent>
                  <w:p w14:paraId="395BB0D1" w14:textId="77777777" w:rsidR="00F65BCA" w:rsidRDefault="00216117">
                    <w:pPr>
                      <w:spacing w:before="3"/>
                      <w:rPr>
                        <w:sz w:val="16"/>
                      </w:rPr>
                    </w:pPr>
                    <w:r>
                      <w:rPr>
                        <w:color w:val="231F20"/>
                        <w:sz w:val="16"/>
                      </w:rPr>
                      <w:t xml:space="preserve">Všeobecné pojistné podmínky pro pojištění vozidel VPPPMV-F-5/2025 </w:t>
                    </w:r>
                    <w:r>
                      <w:rPr>
                        <w:color w:val="6D6E71"/>
                        <w:sz w:val="20"/>
                      </w:rPr>
                      <w:t xml:space="preserve">| </w:t>
                    </w:r>
                    <w:r>
                      <w:rPr>
                        <w:color w:val="231F20"/>
                        <w:sz w:val="16"/>
                      </w:rPr>
                      <w:t>25</w:t>
                    </w:r>
                  </w:p>
                </w:txbxContent>
              </v:textbox>
            </v:shape>
            <w10:wrap anchorx="page" anchory="page"/>
          </v:group>
        </w:pict>
      </w:r>
      <w:r w:rsidR="00216117">
        <w:rPr>
          <w:color w:val="231F20"/>
        </w:rPr>
        <w:t xml:space="preserve">by si oprávněná osoba půjčila vozidlo stejné </w:t>
      </w:r>
      <w:r w:rsidR="00216117">
        <w:rPr>
          <w:color w:val="231F20"/>
          <w:spacing w:val="-3"/>
        </w:rPr>
        <w:t xml:space="preserve">třídy, </w:t>
      </w:r>
      <w:r w:rsidR="00216117">
        <w:rPr>
          <w:color w:val="231F20"/>
        </w:rPr>
        <w:t>jako je třída pojištěného vozidla.</w:t>
      </w:r>
      <w:r w:rsidR="00216117">
        <w:rPr>
          <w:color w:val="231F20"/>
          <w:spacing w:val="-7"/>
        </w:rPr>
        <w:t xml:space="preserve"> </w:t>
      </w:r>
      <w:r w:rsidR="00216117">
        <w:rPr>
          <w:color w:val="231F20"/>
        </w:rPr>
        <w:t>V</w:t>
      </w:r>
      <w:r w:rsidR="00216117">
        <w:rPr>
          <w:color w:val="231F20"/>
          <w:spacing w:val="-7"/>
        </w:rPr>
        <w:t xml:space="preserve"> </w:t>
      </w:r>
      <w:r w:rsidR="00216117">
        <w:rPr>
          <w:color w:val="231F20"/>
        </w:rPr>
        <w:t>případě,</w:t>
      </w:r>
      <w:r w:rsidR="00216117">
        <w:rPr>
          <w:color w:val="231F20"/>
          <w:spacing w:val="-7"/>
        </w:rPr>
        <w:t xml:space="preserve"> </w:t>
      </w:r>
      <w:r w:rsidR="00216117">
        <w:rPr>
          <w:color w:val="231F20"/>
        </w:rPr>
        <w:t>že</w:t>
      </w:r>
      <w:r w:rsidR="00216117">
        <w:rPr>
          <w:color w:val="231F20"/>
          <w:spacing w:val="-7"/>
        </w:rPr>
        <w:t xml:space="preserve"> </w:t>
      </w:r>
      <w:r w:rsidR="00216117">
        <w:rPr>
          <w:color w:val="231F20"/>
        </w:rPr>
        <w:t>si</w:t>
      </w:r>
      <w:r w:rsidR="00216117">
        <w:rPr>
          <w:color w:val="231F20"/>
          <w:spacing w:val="-8"/>
        </w:rPr>
        <w:t xml:space="preserve"> </w:t>
      </w:r>
      <w:r w:rsidR="00216117">
        <w:rPr>
          <w:color w:val="231F20"/>
        </w:rPr>
        <w:t>oprávněná</w:t>
      </w:r>
      <w:r w:rsidR="00216117">
        <w:rPr>
          <w:color w:val="231F20"/>
          <w:spacing w:val="-7"/>
        </w:rPr>
        <w:t xml:space="preserve"> </w:t>
      </w:r>
      <w:r w:rsidR="00216117">
        <w:rPr>
          <w:color w:val="231F20"/>
        </w:rPr>
        <w:t>osoba</w:t>
      </w:r>
      <w:r w:rsidR="00216117">
        <w:rPr>
          <w:color w:val="231F20"/>
          <w:spacing w:val="-7"/>
        </w:rPr>
        <w:t xml:space="preserve"> </w:t>
      </w:r>
      <w:r w:rsidR="00216117">
        <w:rPr>
          <w:color w:val="231F20"/>
        </w:rPr>
        <w:t>půjčí</w:t>
      </w:r>
      <w:r w:rsidR="00216117">
        <w:rPr>
          <w:color w:val="231F20"/>
          <w:spacing w:val="-7"/>
        </w:rPr>
        <w:t xml:space="preserve"> </w:t>
      </w:r>
      <w:r w:rsidR="00216117">
        <w:rPr>
          <w:color w:val="231F20"/>
        </w:rPr>
        <w:t>vozidlo</w:t>
      </w:r>
      <w:r w:rsidR="00216117">
        <w:rPr>
          <w:color w:val="231F20"/>
          <w:spacing w:val="-8"/>
        </w:rPr>
        <w:t xml:space="preserve"> </w:t>
      </w:r>
      <w:r w:rsidR="00216117">
        <w:rPr>
          <w:color w:val="231F20"/>
        </w:rPr>
        <w:t>nižší</w:t>
      </w:r>
      <w:r w:rsidR="00216117">
        <w:rPr>
          <w:color w:val="231F20"/>
          <w:spacing w:val="-8"/>
        </w:rPr>
        <w:t xml:space="preserve"> </w:t>
      </w:r>
      <w:r w:rsidR="00216117">
        <w:rPr>
          <w:color w:val="231F20"/>
          <w:spacing w:val="-3"/>
        </w:rPr>
        <w:t>třídy,</w:t>
      </w:r>
      <w:r w:rsidR="00216117">
        <w:rPr>
          <w:color w:val="231F20"/>
          <w:spacing w:val="-7"/>
        </w:rPr>
        <w:t xml:space="preserve"> </w:t>
      </w:r>
      <w:r w:rsidR="00216117">
        <w:rPr>
          <w:color w:val="231F20"/>
        </w:rPr>
        <w:t>nemá</w:t>
      </w:r>
      <w:r w:rsidR="00216117">
        <w:rPr>
          <w:color w:val="231F20"/>
          <w:spacing w:val="-7"/>
        </w:rPr>
        <w:t xml:space="preserve"> </w:t>
      </w:r>
      <w:r w:rsidR="00216117">
        <w:rPr>
          <w:color w:val="231F20"/>
          <w:spacing w:val="-3"/>
        </w:rPr>
        <w:t xml:space="preserve">tato </w:t>
      </w:r>
      <w:r w:rsidR="00216117">
        <w:rPr>
          <w:color w:val="231F20"/>
        </w:rPr>
        <w:t>skutečnost</w:t>
      </w:r>
      <w:r w:rsidR="00216117">
        <w:rPr>
          <w:color w:val="231F20"/>
          <w:spacing w:val="-7"/>
        </w:rPr>
        <w:t xml:space="preserve"> </w:t>
      </w:r>
      <w:r w:rsidR="00216117">
        <w:rPr>
          <w:color w:val="231F20"/>
        </w:rPr>
        <w:t>na</w:t>
      </w:r>
      <w:r w:rsidR="00216117">
        <w:rPr>
          <w:color w:val="231F20"/>
          <w:spacing w:val="-6"/>
        </w:rPr>
        <w:t xml:space="preserve"> </w:t>
      </w:r>
      <w:r w:rsidR="00216117">
        <w:rPr>
          <w:color w:val="231F20"/>
        </w:rPr>
        <w:t>Pojišťovnou</w:t>
      </w:r>
      <w:r w:rsidR="00216117">
        <w:rPr>
          <w:color w:val="231F20"/>
          <w:spacing w:val="-6"/>
        </w:rPr>
        <w:t xml:space="preserve"> </w:t>
      </w:r>
      <w:r w:rsidR="00216117">
        <w:rPr>
          <w:color w:val="231F20"/>
        </w:rPr>
        <w:t>poskytované</w:t>
      </w:r>
      <w:r w:rsidR="00216117">
        <w:rPr>
          <w:color w:val="231F20"/>
          <w:spacing w:val="-7"/>
        </w:rPr>
        <w:t xml:space="preserve"> </w:t>
      </w:r>
      <w:r w:rsidR="00216117">
        <w:rPr>
          <w:color w:val="231F20"/>
        </w:rPr>
        <w:t>pojistné</w:t>
      </w:r>
      <w:r w:rsidR="00216117">
        <w:rPr>
          <w:color w:val="231F20"/>
          <w:spacing w:val="-6"/>
        </w:rPr>
        <w:t xml:space="preserve"> </w:t>
      </w:r>
      <w:r w:rsidR="00216117">
        <w:rPr>
          <w:color w:val="231F20"/>
        </w:rPr>
        <w:t>plnění</w:t>
      </w:r>
      <w:r w:rsidR="00216117">
        <w:rPr>
          <w:color w:val="231F20"/>
          <w:spacing w:val="-6"/>
        </w:rPr>
        <w:t xml:space="preserve"> </w:t>
      </w:r>
      <w:r w:rsidR="00216117">
        <w:rPr>
          <w:color w:val="231F20"/>
        </w:rPr>
        <w:t>vliv;</w:t>
      </w:r>
      <w:r w:rsidR="00216117">
        <w:rPr>
          <w:color w:val="231F20"/>
          <w:spacing w:val="-6"/>
        </w:rPr>
        <w:t xml:space="preserve"> </w:t>
      </w:r>
      <w:r w:rsidR="00216117">
        <w:rPr>
          <w:color w:val="231F20"/>
        </w:rPr>
        <w:t>stejně</w:t>
      </w:r>
      <w:r w:rsidR="00216117">
        <w:rPr>
          <w:color w:val="231F20"/>
          <w:spacing w:val="-7"/>
        </w:rPr>
        <w:t xml:space="preserve"> </w:t>
      </w:r>
      <w:r w:rsidR="00216117">
        <w:rPr>
          <w:color w:val="231F20"/>
        </w:rPr>
        <w:t>tak</w:t>
      </w:r>
      <w:r w:rsidR="00216117">
        <w:rPr>
          <w:color w:val="231F20"/>
          <w:spacing w:val="-6"/>
        </w:rPr>
        <w:t xml:space="preserve"> </w:t>
      </w:r>
      <w:r w:rsidR="00216117">
        <w:rPr>
          <w:color w:val="231F20"/>
          <w:spacing w:val="-4"/>
        </w:rPr>
        <w:t xml:space="preserve">nemá </w:t>
      </w:r>
      <w:r w:rsidR="00216117">
        <w:rPr>
          <w:color w:val="231F20"/>
        </w:rPr>
        <w:t>tato skutečnost vliv na výši případné</w:t>
      </w:r>
      <w:r w:rsidR="00216117">
        <w:rPr>
          <w:color w:val="231F20"/>
          <w:spacing w:val="-13"/>
        </w:rPr>
        <w:t xml:space="preserve"> </w:t>
      </w:r>
      <w:r w:rsidR="00216117">
        <w:rPr>
          <w:color w:val="231F20"/>
        </w:rPr>
        <w:t>spoluúčasti.</w:t>
      </w:r>
    </w:p>
    <w:p w14:paraId="372F4509"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10"/>
          <w:position w:val="1"/>
          <w:sz w:val="14"/>
        </w:rPr>
        <w:t xml:space="preserve"> </w:t>
      </w:r>
      <w:r>
        <w:rPr>
          <w:color w:val="231F20"/>
        </w:rPr>
        <w:t>Pojištění</w:t>
      </w:r>
      <w:r>
        <w:rPr>
          <w:color w:val="231F20"/>
          <w:spacing w:val="-19"/>
        </w:rPr>
        <w:t xml:space="preserve"> </w:t>
      </w:r>
      <w:r>
        <w:rPr>
          <w:color w:val="231F20"/>
        </w:rPr>
        <w:t>se</w:t>
      </w:r>
      <w:r>
        <w:rPr>
          <w:color w:val="231F20"/>
          <w:spacing w:val="-20"/>
        </w:rPr>
        <w:t xml:space="preserve"> </w:t>
      </w:r>
      <w:r>
        <w:rPr>
          <w:color w:val="231F20"/>
        </w:rPr>
        <w:t>vztahuje</w:t>
      </w:r>
      <w:r>
        <w:rPr>
          <w:color w:val="231F20"/>
          <w:spacing w:val="-19"/>
        </w:rPr>
        <w:t xml:space="preserve"> </w:t>
      </w:r>
      <w:r>
        <w:rPr>
          <w:color w:val="231F20"/>
        </w:rPr>
        <w:t>pouze</w:t>
      </w:r>
      <w:r>
        <w:rPr>
          <w:color w:val="231F20"/>
          <w:spacing w:val="-20"/>
        </w:rPr>
        <w:t xml:space="preserve"> </w:t>
      </w:r>
      <w:r>
        <w:rPr>
          <w:color w:val="231F20"/>
        </w:rPr>
        <w:t>na</w:t>
      </w:r>
      <w:r>
        <w:rPr>
          <w:color w:val="231F20"/>
          <w:spacing w:val="-20"/>
        </w:rPr>
        <w:t xml:space="preserve"> </w:t>
      </w:r>
      <w:r>
        <w:rPr>
          <w:color w:val="231F20"/>
        </w:rPr>
        <w:t>případy,</w:t>
      </w:r>
      <w:r>
        <w:rPr>
          <w:color w:val="231F20"/>
          <w:spacing w:val="-19"/>
        </w:rPr>
        <w:t xml:space="preserve"> </w:t>
      </w:r>
      <w:r>
        <w:rPr>
          <w:color w:val="231F20"/>
        </w:rPr>
        <w:t>kdy</w:t>
      </w:r>
      <w:r>
        <w:rPr>
          <w:color w:val="231F20"/>
          <w:spacing w:val="-20"/>
        </w:rPr>
        <w:t xml:space="preserve"> </w:t>
      </w:r>
      <w:r>
        <w:rPr>
          <w:color w:val="231F20"/>
        </w:rPr>
        <w:t>si</w:t>
      </w:r>
      <w:r>
        <w:rPr>
          <w:color w:val="231F20"/>
          <w:spacing w:val="-19"/>
        </w:rPr>
        <w:t xml:space="preserve"> </w:t>
      </w:r>
      <w:r>
        <w:rPr>
          <w:color w:val="231F20"/>
        </w:rPr>
        <w:t>oprávněná</w:t>
      </w:r>
      <w:r>
        <w:rPr>
          <w:color w:val="231F20"/>
          <w:spacing w:val="-20"/>
        </w:rPr>
        <w:t xml:space="preserve"> </w:t>
      </w:r>
      <w:r>
        <w:rPr>
          <w:color w:val="231F20"/>
        </w:rPr>
        <w:t>osoba</w:t>
      </w:r>
      <w:r>
        <w:rPr>
          <w:color w:val="231F20"/>
          <w:spacing w:val="-20"/>
        </w:rPr>
        <w:t xml:space="preserve"> </w:t>
      </w:r>
      <w:r>
        <w:rPr>
          <w:color w:val="231F20"/>
        </w:rPr>
        <w:t>vypůjčí</w:t>
      </w:r>
      <w:r>
        <w:rPr>
          <w:color w:val="231F20"/>
          <w:spacing w:val="-19"/>
        </w:rPr>
        <w:t xml:space="preserve"> </w:t>
      </w:r>
      <w:r>
        <w:rPr>
          <w:color w:val="231F20"/>
        </w:rPr>
        <w:t>vozidlo od</w:t>
      </w:r>
      <w:r>
        <w:rPr>
          <w:color w:val="231F20"/>
          <w:spacing w:val="-10"/>
        </w:rPr>
        <w:t xml:space="preserve"> </w:t>
      </w:r>
      <w:r>
        <w:rPr>
          <w:color w:val="231F20"/>
        </w:rPr>
        <w:t>osoby,</w:t>
      </w:r>
      <w:r>
        <w:rPr>
          <w:color w:val="231F20"/>
          <w:spacing w:val="-9"/>
        </w:rPr>
        <w:t xml:space="preserve"> </w:t>
      </w:r>
      <w:r>
        <w:rPr>
          <w:color w:val="231F20"/>
        </w:rPr>
        <w:t>u</w:t>
      </w:r>
      <w:r>
        <w:rPr>
          <w:color w:val="231F20"/>
          <w:spacing w:val="-9"/>
        </w:rPr>
        <w:t xml:space="preserve"> </w:t>
      </w:r>
      <w:r>
        <w:rPr>
          <w:color w:val="231F20"/>
          <w:spacing w:val="2"/>
        </w:rPr>
        <w:t>níž</w:t>
      </w:r>
      <w:r>
        <w:rPr>
          <w:color w:val="231F20"/>
          <w:spacing w:val="-9"/>
        </w:rPr>
        <w:t xml:space="preserve"> </w:t>
      </w:r>
      <w:r>
        <w:rPr>
          <w:color w:val="231F20"/>
        </w:rPr>
        <w:t>je</w:t>
      </w:r>
      <w:r>
        <w:rPr>
          <w:color w:val="231F20"/>
          <w:spacing w:val="-10"/>
        </w:rPr>
        <w:t xml:space="preserve"> </w:t>
      </w:r>
      <w:r>
        <w:rPr>
          <w:color w:val="231F20"/>
        </w:rPr>
        <w:t>půjčování</w:t>
      </w:r>
      <w:r>
        <w:rPr>
          <w:color w:val="231F20"/>
          <w:spacing w:val="-9"/>
        </w:rPr>
        <w:t xml:space="preserve"> </w:t>
      </w:r>
      <w:r>
        <w:rPr>
          <w:color w:val="231F20"/>
        </w:rPr>
        <w:t>vozidel</w:t>
      </w:r>
      <w:r>
        <w:rPr>
          <w:color w:val="231F20"/>
          <w:spacing w:val="-9"/>
        </w:rPr>
        <w:t xml:space="preserve"> </w:t>
      </w:r>
      <w:r>
        <w:rPr>
          <w:color w:val="231F20"/>
          <w:spacing w:val="2"/>
        </w:rPr>
        <w:t>zapsáno</w:t>
      </w:r>
      <w:r>
        <w:rPr>
          <w:color w:val="231F20"/>
          <w:spacing w:val="-9"/>
        </w:rPr>
        <w:t xml:space="preserve"> </w:t>
      </w:r>
      <w:r>
        <w:rPr>
          <w:color w:val="231F20"/>
        </w:rPr>
        <w:t>jako</w:t>
      </w:r>
      <w:r>
        <w:rPr>
          <w:color w:val="231F20"/>
          <w:spacing w:val="-10"/>
        </w:rPr>
        <w:t xml:space="preserve"> </w:t>
      </w:r>
      <w:r>
        <w:rPr>
          <w:color w:val="231F20"/>
        </w:rPr>
        <w:t>předmět</w:t>
      </w:r>
      <w:r>
        <w:rPr>
          <w:color w:val="231F20"/>
          <w:spacing w:val="-9"/>
        </w:rPr>
        <w:t xml:space="preserve"> </w:t>
      </w:r>
      <w:r>
        <w:rPr>
          <w:color w:val="231F20"/>
        </w:rPr>
        <w:t>podnikání</w:t>
      </w:r>
      <w:r>
        <w:rPr>
          <w:color w:val="231F20"/>
          <w:spacing w:val="-9"/>
        </w:rPr>
        <w:t xml:space="preserve"> </w:t>
      </w:r>
      <w:r>
        <w:rPr>
          <w:color w:val="231F20"/>
          <w:spacing w:val="3"/>
        </w:rPr>
        <w:t xml:space="preserve">(jeden </w:t>
      </w:r>
      <w:r>
        <w:rPr>
          <w:color w:val="231F20"/>
        </w:rPr>
        <w:t>z předmětů</w:t>
      </w:r>
      <w:r>
        <w:rPr>
          <w:color w:val="231F20"/>
          <w:spacing w:val="-1"/>
        </w:rPr>
        <w:t xml:space="preserve"> </w:t>
      </w:r>
      <w:r>
        <w:rPr>
          <w:color w:val="231F20"/>
          <w:spacing w:val="2"/>
        </w:rPr>
        <w:t>podnikání).</w:t>
      </w:r>
    </w:p>
    <w:p w14:paraId="2B784AB4"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position w:val="1"/>
          <w:sz w:val="14"/>
        </w:rPr>
        <w:t xml:space="preserve"> </w:t>
      </w:r>
      <w:r>
        <w:rPr>
          <w:color w:val="231F20"/>
        </w:rPr>
        <w:t xml:space="preserve">Pojistné plnění Pojišťovny se poskytuje do výše půjčovného v místě a </w:t>
      </w:r>
      <w:r>
        <w:rPr>
          <w:color w:val="231F20"/>
          <w:spacing w:val="-4"/>
        </w:rPr>
        <w:t xml:space="preserve">čase </w:t>
      </w:r>
      <w:r>
        <w:rPr>
          <w:color w:val="231F20"/>
        </w:rPr>
        <w:t>obvyklého,</w:t>
      </w:r>
      <w:r>
        <w:rPr>
          <w:color w:val="231F20"/>
          <w:spacing w:val="-14"/>
        </w:rPr>
        <w:t xml:space="preserve"> </w:t>
      </w:r>
      <w:r>
        <w:rPr>
          <w:color w:val="231F20"/>
        </w:rPr>
        <w:t>maximálně</w:t>
      </w:r>
      <w:r>
        <w:rPr>
          <w:color w:val="231F20"/>
          <w:spacing w:val="-14"/>
        </w:rPr>
        <w:t xml:space="preserve"> </w:t>
      </w:r>
      <w:r>
        <w:rPr>
          <w:color w:val="231F20"/>
        </w:rPr>
        <w:t>však</w:t>
      </w:r>
      <w:r>
        <w:rPr>
          <w:color w:val="231F20"/>
          <w:spacing w:val="-13"/>
        </w:rPr>
        <w:t xml:space="preserve"> </w:t>
      </w:r>
      <w:r>
        <w:rPr>
          <w:color w:val="231F20"/>
        </w:rPr>
        <w:t>do</w:t>
      </w:r>
      <w:r>
        <w:rPr>
          <w:color w:val="231F20"/>
          <w:spacing w:val="-14"/>
        </w:rPr>
        <w:t xml:space="preserve"> </w:t>
      </w:r>
      <w:r>
        <w:rPr>
          <w:color w:val="231F20"/>
        </w:rPr>
        <w:t>částky</w:t>
      </w:r>
      <w:r>
        <w:rPr>
          <w:color w:val="231F20"/>
          <w:spacing w:val="-14"/>
        </w:rPr>
        <w:t xml:space="preserve"> </w:t>
      </w:r>
      <w:r>
        <w:rPr>
          <w:color w:val="231F20"/>
        </w:rPr>
        <w:t>uvedené</w:t>
      </w:r>
      <w:r>
        <w:rPr>
          <w:color w:val="231F20"/>
          <w:spacing w:val="-13"/>
        </w:rPr>
        <w:t xml:space="preserve"> </w:t>
      </w:r>
      <w:r>
        <w:rPr>
          <w:color w:val="231F20"/>
        </w:rPr>
        <w:t>v</w:t>
      </w:r>
      <w:r>
        <w:rPr>
          <w:color w:val="231F20"/>
          <w:spacing w:val="-14"/>
        </w:rPr>
        <w:t xml:space="preserve"> </w:t>
      </w:r>
      <w:r>
        <w:rPr>
          <w:color w:val="231F20"/>
        </w:rPr>
        <w:t>pojistné</w:t>
      </w:r>
      <w:r>
        <w:rPr>
          <w:color w:val="231F20"/>
          <w:spacing w:val="-14"/>
        </w:rPr>
        <w:t xml:space="preserve"> </w:t>
      </w:r>
      <w:r>
        <w:rPr>
          <w:color w:val="231F20"/>
        </w:rPr>
        <w:t>smlouvě</w:t>
      </w:r>
      <w:r>
        <w:rPr>
          <w:color w:val="231F20"/>
          <w:spacing w:val="-13"/>
        </w:rPr>
        <w:t xml:space="preserve"> </w:t>
      </w:r>
      <w:r>
        <w:rPr>
          <w:color w:val="231F20"/>
        </w:rPr>
        <w:t>nebo</w:t>
      </w:r>
      <w:r>
        <w:rPr>
          <w:color w:val="231F20"/>
          <w:spacing w:val="-14"/>
        </w:rPr>
        <w:t xml:space="preserve"> </w:t>
      </w:r>
      <w:r>
        <w:rPr>
          <w:color w:val="231F20"/>
        </w:rPr>
        <w:t>v</w:t>
      </w:r>
      <w:r>
        <w:rPr>
          <w:color w:val="231F20"/>
          <w:spacing w:val="-14"/>
        </w:rPr>
        <w:t xml:space="preserve"> </w:t>
      </w:r>
      <w:r>
        <w:rPr>
          <w:color w:val="231F20"/>
          <w:spacing w:val="-5"/>
        </w:rPr>
        <w:t xml:space="preserve">se- </w:t>
      </w:r>
      <w:r>
        <w:rPr>
          <w:color w:val="231F20"/>
        </w:rPr>
        <w:t>znamu vozidel, bez</w:t>
      </w:r>
      <w:r>
        <w:rPr>
          <w:color w:val="231F20"/>
          <w:spacing w:val="-3"/>
        </w:rPr>
        <w:t xml:space="preserve"> </w:t>
      </w:r>
      <w:r>
        <w:rPr>
          <w:color w:val="231F20"/>
        </w:rPr>
        <w:t>DPH.</w:t>
      </w:r>
    </w:p>
    <w:p w14:paraId="40D6AC77"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spacing w:val="21"/>
          <w:position w:val="1"/>
          <w:sz w:val="14"/>
        </w:rPr>
        <w:t xml:space="preserve"> </w:t>
      </w:r>
      <w:r>
        <w:rPr>
          <w:color w:val="231F20"/>
        </w:rPr>
        <w:t>Maximální</w:t>
      </w:r>
      <w:r>
        <w:rPr>
          <w:color w:val="231F20"/>
          <w:spacing w:val="-8"/>
        </w:rPr>
        <w:t xml:space="preserve"> </w:t>
      </w:r>
      <w:r>
        <w:rPr>
          <w:color w:val="231F20"/>
        </w:rPr>
        <w:t>doba</w:t>
      </w:r>
      <w:r>
        <w:rPr>
          <w:color w:val="231F20"/>
          <w:spacing w:val="-8"/>
        </w:rPr>
        <w:t xml:space="preserve"> </w:t>
      </w:r>
      <w:r>
        <w:rPr>
          <w:color w:val="231F20"/>
        </w:rPr>
        <w:t>zapůjčení</w:t>
      </w:r>
      <w:r>
        <w:rPr>
          <w:color w:val="231F20"/>
          <w:spacing w:val="-9"/>
        </w:rPr>
        <w:t xml:space="preserve"> </w:t>
      </w:r>
      <w:r>
        <w:rPr>
          <w:color w:val="231F20"/>
        </w:rPr>
        <w:t>odpovídá</w:t>
      </w:r>
      <w:r>
        <w:rPr>
          <w:color w:val="231F20"/>
          <w:spacing w:val="-8"/>
        </w:rPr>
        <w:t xml:space="preserve"> </w:t>
      </w:r>
      <w:r>
        <w:rPr>
          <w:color w:val="231F20"/>
        </w:rPr>
        <w:t>obvyklé</w:t>
      </w:r>
      <w:r>
        <w:rPr>
          <w:color w:val="231F20"/>
          <w:spacing w:val="-8"/>
        </w:rPr>
        <w:t xml:space="preserve"> </w:t>
      </w:r>
      <w:r>
        <w:rPr>
          <w:color w:val="231F20"/>
        </w:rPr>
        <w:t>době</w:t>
      </w:r>
      <w:r>
        <w:rPr>
          <w:color w:val="231F20"/>
          <w:spacing w:val="-8"/>
        </w:rPr>
        <w:t xml:space="preserve"> </w:t>
      </w:r>
      <w:r>
        <w:rPr>
          <w:color w:val="231F20"/>
        </w:rPr>
        <w:t>opravy</w:t>
      </w:r>
      <w:r>
        <w:rPr>
          <w:color w:val="231F20"/>
          <w:spacing w:val="-8"/>
        </w:rPr>
        <w:t xml:space="preserve"> </w:t>
      </w:r>
      <w:r>
        <w:rPr>
          <w:color w:val="231F20"/>
        </w:rPr>
        <w:t>vozidla</w:t>
      </w:r>
      <w:r>
        <w:rPr>
          <w:color w:val="231F20"/>
          <w:spacing w:val="-9"/>
        </w:rPr>
        <w:t xml:space="preserve"> </w:t>
      </w:r>
      <w:r>
        <w:rPr>
          <w:color w:val="231F20"/>
        </w:rPr>
        <w:t>dle</w:t>
      </w:r>
      <w:r>
        <w:rPr>
          <w:color w:val="231F20"/>
          <w:spacing w:val="-8"/>
        </w:rPr>
        <w:t xml:space="preserve"> </w:t>
      </w:r>
      <w:r>
        <w:rPr>
          <w:color w:val="231F20"/>
        </w:rPr>
        <w:t>přísluš- ných</w:t>
      </w:r>
      <w:r>
        <w:rPr>
          <w:color w:val="231F20"/>
          <w:spacing w:val="-19"/>
        </w:rPr>
        <w:t xml:space="preserve"> </w:t>
      </w:r>
      <w:r>
        <w:rPr>
          <w:color w:val="231F20"/>
        </w:rPr>
        <w:t>časových</w:t>
      </w:r>
      <w:r>
        <w:rPr>
          <w:color w:val="231F20"/>
          <w:spacing w:val="-18"/>
        </w:rPr>
        <w:t xml:space="preserve"> </w:t>
      </w:r>
      <w:r>
        <w:rPr>
          <w:color w:val="231F20"/>
        </w:rPr>
        <w:t>norem</w:t>
      </w:r>
      <w:r>
        <w:rPr>
          <w:color w:val="231F20"/>
          <w:spacing w:val="-18"/>
        </w:rPr>
        <w:t xml:space="preserve"> </w:t>
      </w:r>
      <w:r>
        <w:rPr>
          <w:color w:val="231F20"/>
        </w:rPr>
        <w:t>výrobce</w:t>
      </w:r>
      <w:r>
        <w:rPr>
          <w:color w:val="231F20"/>
          <w:spacing w:val="-19"/>
        </w:rPr>
        <w:t xml:space="preserve"> </w:t>
      </w:r>
      <w:r>
        <w:rPr>
          <w:color w:val="231F20"/>
        </w:rPr>
        <w:t>a</w:t>
      </w:r>
      <w:r>
        <w:rPr>
          <w:color w:val="231F20"/>
          <w:spacing w:val="-18"/>
        </w:rPr>
        <w:t xml:space="preserve"> </w:t>
      </w:r>
      <w:r>
        <w:rPr>
          <w:color w:val="231F20"/>
        </w:rPr>
        <w:t>nezapočítávají</w:t>
      </w:r>
      <w:r>
        <w:rPr>
          <w:color w:val="231F20"/>
          <w:spacing w:val="-18"/>
        </w:rPr>
        <w:t xml:space="preserve"> </w:t>
      </w:r>
      <w:r>
        <w:rPr>
          <w:color w:val="231F20"/>
        </w:rPr>
        <w:t>se</w:t>
      </w:r>
      <w:r>
        <w:rPr>
          <w:color w:val="231F20"/>
          <w:spacing w:val="-19"/>
        </w:rPr>
        <w:t xml:space="preserve"> </w:t>
      </w:r>
      <w:r>
        <w:rPr>
          <w:color w:val="231F20"/>
        </w:rPr>
        <w:t>do</w:t>
      </w:r>
      <w:r>
        <w:rPr>
          <w:color w:val="231F20"/>
          <w:spacing w:val="-18"/>
        </w:rPr>
        <w:t xml:space="preserve"> </w:t>
      </w:r>
      <w:r>
        <w:rPr>
          <w:color w:val="231F20"/>
        </w:rPr>
        <w:t>ní</w:t>
      </w:r>
      <w:r>
        <w:rPr>
          <w:color w:val="231F20"/>
          <w:spacing w:val="-18"/>
        </w:rPr>
        <w:t xml:space="preserve"> </w:t>
      </w:r>
      <w:r>
        <w:rPr>
          <w:color w:val="231F20"/>
        </w:rPr>
        <w:t>časové</w:t>
      </w:r>
      <w:r>
        <w:rPr>
          <w:color w:val="231F20"/>
          <w:spacing w:val="-19"/>
        </w:rPr>
        <w:t xml:space="preserve"> </w:t>
      </w:r>
      <w:r>
        <w:rPr>
          <w:color w:val="231F20"/>
        </w:rPr>
        <w:t>prodlevy</w:t>
      </w:r>
      <w:r>
        <w:rPr>
          <w:color w:val="231F20"/>
          <w:spacing w:val="-18"/>
        </w:rPr>
        <w:t xml:space="preserve"> </w:t>
      </w:r>
      <w:r>
        <w:rPr>
          <w:color w:val="231F20"/>
        </w:rPr>
        <w:t>sou- visející</w:t>
      </w:r>
      <w:r>
        <w:rPr>
          <w:color w:val="231F20"/>
          <w:spacing w:val="-15"/>
        </w:rPr>
        <w:t xml:space="preserve"> </w:t>
      </w:r>
      <w:r>
        <w:rPr>
          <w:color w:val="231F20"/>
        </w:rPr>
        <w:t>s</w:t>
      </w:r>
      <w:r>
        <w:rPr>
          <w:color w:val="231F20"/>
          <w:spacing w:val="-14"/>
        </w:rPr>
        <w:t xml:space="preserve"> </w:t>
      </w:r>
      <w:r>
        <w:rPr>
          <w:color w:val="231F20"/>
        </w:rPr>
        <w:t>kapacitou</w:t>
      </w:r>
      <w:r>
        <w:rPr>
          <w:color w:val="231F20"/>
          <w:spacing w:val="-15"/>
        </w:rPr>
        <w:t xml:space="preserve"> </w:t>
      </w:r>
      <w:r>
        <w:rPr>
          <w:color w:val="231F20"/>
        </w:rPr>
        <w:t>servisu</w:t>
      </w:r>
      <w:r>
        <w:rPr>
          <w:color w:val="231F20"/>
          <w:spacing w:val="-14"/>
        </w:rPr>
        <w:t xml:space="preserve"> </w:t>
      </w:r>
      <w:r>
        <w:rPr>
          <w:color w:val="231F20"/>
        </w:rPr>
        <w:t>provádějícího</w:t>
      </w:r>
      <w:r>
        <w:rPr>
          <w:color w:val="231F20"/>
          <w:spacing w:val="-15"/>
        </w:rPr>
        <w:t xml:space="preserve"> </w:t>
      </w:r>
      <w:r>
        <w:rPr>
          <w:color w:val="231F20"/>
        </w:rPr>
        <w:t>opravu</w:t>
      </w:r>
      <w:r>
        <w:rPr>
          <w:color w:val="231F20"/>
          <w:spacing w:val="-14"/>
        </w:rPr>
        <w:t xml:space="preserve"> </w:t>
      </w:r>
      <w:r>
        <w:rPr>
          <w:color w:val="231F20"/>
        </w:rPr>
        <w:t>vozidla</w:t>
      </w:r>
      <w:r>
        <w:rPr>
          <w:color w:val="231F20"/>
          <w:spacing w:val="-15"/>
        </w:rPr>
        <w:t xml:space="preserve"> </w:t>
      </w:r>
      <w:r>
        <w:rPr>
          <w:color w:val="231F20"/>
        </w:rPr>
        <w:t>včetně</w:t>
      </w:r>
      <w:r>
        <w:rPr>
          <w:color w:val="231F20"/>
          <w:spacing w:val="-14"/>
        </w:rPr>
        <w:t xml:space="preserve"> </w:t>
      </w:r>
      <w:r>
        <w:rPr>
          <w:color w:val="231F20"/>
        </w:rPr>
        <w:t>kapacity</w:t>
      </w:r>
      <w:r>
        <w:rPr>
          <w:color w:val="231F20"/>
          <w:spacing w:val="-14"/>
        </w:rPr>
        <w:t xml:space="preserve"> </w:t>
      </w:r>
      <w:r>
        <w:rPr>
          <w:color w:val="231F20"/>
          <w:spacing w:val="-4"/>
        </w:rPr>
        <w:t xml:space="preserve">jeho </w:t>
      </w:r>
      <w:r>
        <w:rPr>
          <w:color w:val="231F20"/>
        </w:rPr>
        <w:t>subdodavatelů.</w:t>
      </w:r>
      <w:r>
        <w:rPr>
          <w:color w:val="231F20"/>
          <w:spacing w:val="-20"/>
        </w:rPr>
        <w:t xml:space="preserve"> </w:t>
      </w:r>
      <w:r>
        <w:rPr>
          <w:color w:val="231F20"/>
        </w:rPr>
        <w:t>V</w:t>
      </w:r>
      <w:r>
        <w:rPr>
          <w:color w:val="231F20"/>
          <w:spacing w:val="-20"/>
        </w:rPr>
        <w:t xml:space="preserve"> </w:t>
      </w:r>
      <w:r>
        <w:rPr>
          <w:color w:val="231F20"/>
        </w:rPr>
        <w:t>případě</w:t>
      </w:r>
      <w:r>
        <w:rPr>
          <w:color w:val="231F20"/>
          <w:spacing w:val="-19"/>
        </w:rPr>
        <w:t xml:space="preserve"> </w:t>
      </w:r>
      <w:r>
        <w:rPr>
          <w:color w:val="231F20"/>
        </w:rPr>
        <w:t>totální</w:t>
      </w:r>
      <w:r>
        <w:rPr>
          <w:color w:val="231F20"/>
          <w:spacing w:val="-20"/>
        </w:rPr>
        <w:t xml:space="preserve"> </w:t>
      </w:r>
      <w:r>
        <w:rPr>
          <w:color w:val="231F20"/>
        </w:rPr>
        <w:t>škody</w:t>
      </w:r>
      <w:r>
        <w:rPr>
          <w:color w:val="231F20"/>
          <w:spacing w:val="-19"/>
        </w:rPr>
        <w:t xml:space="preserve"> </w:t>
      </w:r>
      <w:r>
        <w:rPr>
          <w:color w:val="231F20"/>
        </w:rPr>
        <w:t>je</w:t>
      </w:r>
      <w:r>
        <w:rPr>
          <w:color w:val="231F20"/>
          <w:spacing w:val="-20"/>
        </w:rPr>
        <w:t xml:space="preserve"> </w:t>
      </w:r>
      <w:r>
        <w:rPr>
          <w:color w:val="231F20"/>
        </w:rPr>
        <w:t>maximální</w:t>
      </w:r>
      <w:r>
        <w:rPr>
          <w:color w:val="231F20"/>
          <w:spacing w:val="-19"/>
        </w:rPr>
        <w:t xml:space="preserve"> </w:t>
      </w:r>
      <w:r>
        <w:rPr>
          <w:color w:val="231F20"/>
        </w:rPr>
        <w:t>doba</w:t>
      </w:r>
      <w:r>
        <w:rPr>
          <w:color w:val="231F20"/>
          <w:spacing w:val="-20"/>
        </w:rPr>
        <w:t xml:space="preserve"> </w:t>
      </w:r>
      <w:r>
        <w:rPr>
          <w:color w:val="231F20"/>
        </w:rPr>
        <w:t>zapůjčení</w:t>
      </w:r>
      <w:r>
        <w:rPr>
          <w:color w:val="231F20"/>
          <w:spacing w:val="-19"/>
        </w:rPr>
        <w:t xml:space="preserve"> </w:t>
      </w:r>
      <w:r>
        <w:rPr>
          <w:color w:val="231F20"/>
        </w:rPr>
        <w:t>30</w:t>
      </w:r>
      <w:r>
        <w:rPr>
          <w:color w:val="231F20"/>
          <w:spacing w:val="-20"/>
        </w:rPr>
        <w:t xml:space="preserve"> </w:t>
      </w:r>
      <w:r>
        <w:rPr>
          <w:color w:val="231F20"/>
          <w:spacing w:val="-3"/>
        </w:rPr>
        <w:t xml:space="preserve">kalen- </w:t>
      </w:r>
      <w:r>
        <w:rPr>
          <w:color w:val="231F20"/>
        </w:rPr>
        <w:t>dářních dnů ode dne vzniku pojistné</w:t>
      </w:r>
      <w:r>
        <w:rPr>
          <w:color w:val="231F20"/>
          <w:spacing w:val="-10"/>
        </w:rPr>
        <w:t xml:space="preserve"> </w:t>
      </w:r>
      <w:r>
        <w:rPr>
          <w:color w:val="231F20"/>
        </w:rPr>
        <w:t>události.</w:t>
      </w:r>
    </w:p>
    <w:p w14:paraId="06A3193E" w14:textId="77777777" w:rsidR="00F65BCA" w:rsidRDefault="00216117">
      <w:pPr>
        <w:pStyle w:val="Zkladntext"/>
        <w:spacing w:line="278" w:lineRule="auto"/>
        <w:ind w:left="710" w:hanging="283"/>
        <w:jc w:val="both"/>
      </w:pPr>
      <w:r>
        <w:rPr>
          <w:color w:val="231F20"/>
          <w:position w:val="1"/>
          <w:sz w:val="14"/>
          <w:shd w:val="clear" w:color="auto" w:fill="D1D3D4"/>
        </w:rPr>
        <w:t xml:space="preserve">  6</w:t>
      </w:r>
      <w:r>
        <w:rPr>
          <w:color w:val="231F20"/>
          <w:position w:val="1"/>
          <w:sz w:val="14"/>
        </w:rPr>
        <w:t xml:space="preserve"> </w:t>
      </w:r>
      <w:r>
        <w:rPr>
          <w:color w:val="231F20"/>
        </w:rPr>
        <w:t>Pojištění se nevztahuje na náklady vynaložené na provoz (pohonné hmoty, mytí, čištění a obdobné služby), údržbu a opravy náhradního vozidla.</w:t>
      </w:r>
    </w:p>
    <w:p w14:paraId="3A0C01FE"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7</w:t>
      </w:r>
      <w:r>
        <w:rPr>
          <w:color w:val="231F20"/>
          <w:spacing w:val="14"/>
          <w:position w:val="1"/>
          <w:sz w:val="14"/>
        </w:rPr>
        <w:t xml:space="preserve"> </w:t>
      </w:r>
      <w:r>
        <w:rPr>
          <w:color w:val="231F20"/>
        </w:rPr>
        <w:t>Limit</w:t>
      </w:r>
      <w:r>
        <w:rPr>
          <w:color w:val="231F20"/>
          <w:spacing w:val="-10"/>
        </w:rPr>
        <w:t xml:space="preserve"> </w:t>
      </w:r>
      <w:r>
        <w:rPr>
          <w:color w:val="231F20"/>
        </w:rPr>
        <w:t>pojistného</w:t>
      </w:r>
      <w:r>
        <w:rPr>
          <w:color w:val="231F20"/>
          <w:spacing w:val="-10"/>
        </w:rPr>
        <w:t xml:space="preserve"> </w:t>
      </w:r>
      <w:r>
        <w:rPr>
          <w:color w:val="231F20"/>
        </w:rPr>
        <w:t>plnění</w:t>
      </w:r>
      <w:r>
        <w:rPr>
          <w:color w:val="231F20"/>
          <w:spacing w:val="-10"/>
        </w:rPr>
        <w:t xml:space="preserve"> </w:t>
      </w:r>
      <w:r>
        <w:rPr>
          <w:color w:val="231F20"/>
        </w:rPr>
        <w:t>a</w:t>
      </w:r>
      <w:r>
        <w:rPr>
          <w:color w:val="231F20"/>
          <w:spacing w:val="-10"/>
        </w:rPr>
        <w:t xml:space="preserve"> </w:t>
      </w:r>
      <w:r>
        <w:rPr>
          <w:color w:val="231F20"/>
        </w:rPr>
        <w:t>spoluúčast</w:t>
      </w:r>
      <w:r>
        <w:rPr>
          <w:color w:val="231F20"/>
          <w:spacing w:val="-10"/>
        </w:rPr>
        <w:t xml:space="preserve"> </w:t>
      </w:r>
      <w:r>
        <w:rPr>
          <w:color w:val="231F20"/>
        </w:rPr>
        <w:t>jsou</w:t>
      </w:r>
      <w:r>
        <w:rPr>
          <w:color w:val="231F20"/>
          <w:spacing w:val="-10"/>
        </w:rPr>
        <w:t xml:space="preserve"> </w:t>
      </w:r>
      <w:r>
        <w:rPr>
          <w:color w:val="231F20"/>
        </w:rPr>
        <w:t>dojednány</w:t>
      </w:r>
      <w:r>
        <w:rPr>
          <w:color w:val="231F20"/>
          <w:spacing w:val="-10"/>
        </w:rPr>
        <w:t xml:space="preserve"> </w:t>
      </w:r>
      <w:r>
        <w:rPr>
          <w:color w:val="231F20"/>
        </w:rPr>
        <w:t>v</w:t>
      </w:r>
      <w:r>
        <w:rPr>
          <w:color w:val="231F20"/>
          <w:spacing w:val="-11"/>
        </w:rPr>
        <w:t xml:space="preserve"> </w:t>
      </w:r>
      <w:r>
        <w:rPr>
          <w:color w:val="231F20"/>
        </w:rPr>
        <w:t>pojistné</w:t>
      </w:r>
      <w:r>
        <w:rPr>
          <w:color w:val="231F20"/>
          <w:spacing w:val="-10"/>
        </w:rPr>
        <w:t xml:space="preserve"> </w:t>
      </w:r>
      <w:r>
        <w:rPr>
          <w:color w:val="231F20"/>
        </w:rPr>
        <w:t>smlouvě</w:t>
      </w:r>
      <w:r>
        <w:rPr>
          <w:color w:val="231F20"/>
          <w:spacing w:val="-10"/>
        </w:rPr>
        <w:t xml:space="preserve"> </w:t>
      </w:r>
      <w:r>
        <w:rPr>
          <w:color w:val="231F20"/>
          <w:spacing w:val="2"/>
        </w:rPr>
        <w:t xml:space="preserve">nebo </w:t>
      </w:r>
      <w:r>
        <w:rPr>
          <w:color w:val="231F20"/>
        </w:rPr>
        <w:t>v seznamu</w:t>
      </w:r>
      <w:r>
        <w:rPr>
          <w:color w:val="231F20"/>
          <w:spacing w:val="-1"/>
        </w:rPr>
        <w:t xml:space="preserve"> </w:t>
      </w:r>
      <w:r>
        <w:rPr>
          <w:color w:val="231F20"/>
        </w:rPr>
        <w:t>vozidel.</w:t>
      </w:r>
    </w:p>
    <w:p w14:paraId="79B53607" w14:textId="77777777" w:rsidR="00F65BCA" w:rsidRDefault="00F65BCA">
      <w:pPr>
        <w:pStyle w:val="Zkladntext"/>
        <w:rPr>
          <w:sz w:val="18"/>
        </w:rPr>
      </w:pPr>
    </w:p>
    <w:p w14:paraId="37E692B2" w14:textId="77777777" w:rsidR="00F65BCA" w:rsidRDefault="00216117">
      <w:pPr>
        <w:spacing w:before="144"/>
        <w:ind w:left="426"/>
        <w:rPr>
          <w:sz w:val="24"/>
        </w:rPr>
      </w:pPr>
      <w:r>
        <w:rPr>
          <w:color w:val="231F20"/>
          <w:sz w:val="24"/>
        </w:rPr>
        <w:t>Pododdíl 3 – Pojištění „Střet se zvířetem“</w:t>
      </w:r>
    </w:p>
    <w:p w14:paraId="23967CB9" w14:textId="77777777" w:rsidR="00F65BCA" w:rsidRDefault="00216117">
      <w:pPr>
        <w:spacing w:before="209"/>
        <w:ind w:left="428"/>
        <w:rPr>
          <w:sz w:val="15"/>
        </w:rPr>
      </w:pPr>
      <w:r>
        <w:rPr>
          <w:color w:val="FFFFFF"/>
          <w:position w:val="3"/>
          <w:sz w:val="16"/>
          <w:shd w:val="clear" w:color="auto" w:fill="808285"/>
        </w:rPr>
        <w:t xml:space="preserve">  Článek 40</w:t>
      </w:r>
      <w:r>
        <w:rPr>
          <w:color w:val="FFFFFF"/>
          <w:position w:val="3"/>
          <w:sz w:val="16"/>
        </w:rPr>
        <w:t xml:space="preserve"> </w:t>
      </w:r>
      <w:r>
        <w:rPr>
          <w:color w:val="231F20"/>
          <w:sz w:val="15"/>
        </w:rPr>
        <w:t>Úvodní ustanovení</w:t>
      </w:r>
    </w:p>
    <w:p w14:paraId="5F3B98AD" w14:textId="77777777" w:rsidR="00F65BCA" w:rsidRDefault="00000000">
      <w:pPr>
        <w:pStyle w:val="Zkladntext"/>
        <w:spacing w:before="148" w:line="278" w:lineRule="auto"/>
        <w:ind w:left="710" w:right="-9"/>
      </w:pPr>
      <w:r>
        <w:pict w14:anchorId="7197820A">
          <v:shape id="_x0000_s2253" type="#_x0000_t202" style="position:absolute;left:0;text-align:left;margin-left:28.4pt;margin-top:17.45pt;width:9.65pt;height:8.55pt;z-index:251879424;mso-position-horizontal-relative:page" fillcolor="#d1d3d4" stroked="f">
            <v:textbox inset="0,0,0,0">
              <w:txbxContent>
                <w:p w14:paraId="0FDE9E66" w14:textId="77777777" w:rsidR="00F65BCA" w:rsidRDefault="00216117">
                  <w:pPr>
                    <w:spacing w:before="2"/>
                    <w:ind w:left="56"/>
                    <w:rPr>
                      <w:sz w:val="14"/>
                    </w:rPr>
                  </w:pPr>
                  <w:r>
                    <w:rPr>
                      <w:color w:val="231F20"/>
                      <w:w w:val="99"/>
                      <w:sz w:val="14"/>
                    </w:rPr>
                    <w:t>2</w:t>
                  </w:r>
                </w:p>
              </w:txbxContent>
            </v:textbox>
            <w10:wrap anchorx="page"/>
          </v:shape>
        </w:pict>
      </w:r>
      <w:r>
        <w:pict w14:anchorId="5C64A022">
          <v:shape id="_x0000_s2252" type="#_x0000_t202" style="position:absolute;left:0;text-align:left;margin-left:28.4pt;margin-top:7.45pt;width:9.65pt;height:8.55pt;z-index:251880448;mso-position-horizontal-relative:page" fillcolor="#d1d3d4" stroked="f">
            <v:textbox inset="0,0,0,0">
              <w:txbxContent>
                <w:p w14:paraId="5017F693" w14:textId="77777777" w:rsidR="00F65BCA" w:rsidRDefault="00216117">
                  <w:pPr>
                    <w:spacing w:before="2"/>
                    <w:ind w:left="56"/>
                    <w:rPr>
                      <w:sz w:val="14"/>
                    </w:rPr>
                  </w:pPr>
                  <w:r>
                    <w:rPr>
                      <w:color w:val="231F20"/>
                      <w:w w:val="99"/>
                      <w:sz w:val="14"/>
                    </w:rPr>
                    <w:t>1</w:t>
                  </w:r>
                </w:p>
              </w:txbxContent>
            </v:textbox>
            <w10:wrap anchorx="page"/>
          </v:shape>
        </w:pict>
      </w:r>
      <w:r w:rsidR="00216117">
        <w:rPr>
          <w:color w:val="231F20"/>
        </w:rPr>
        <w:t>Pojištění</w:t>
      </w:r>
      <w:r w:rsidR="00216117">
        <w:rPr>
          <w:color w:val="231F20"/>
          <w:spacing w:val="-17"/>
        </w:rPr>
        <w:t xml:space="preserve"> </w:t>
      </w:r>
      <w:r w:rsidR="00216117">
        <w:rPr>
          <w:color w:val="231F20"/>
        </w:rPr>
        <w:t>lze</w:t>
      </w:r>
      <w:r w:rsidR="00216117">
        <w:rPr>
          <w:color w:val="231F20"/>
          <w:spacing w:val="-16"/>
        </w:rPr>
        <w:t xml:space="preserve"> </w:t>
      </w:r>
      <w:r w:rsidR="00216117">
        <w:rPr>
          <w:color w:val="231F20"/>
        </w:rPr>
        <w:t>sjednat</w:t>
      </w:r>
      <w:r w:rsidR="00216117">
        <w:rPr>
          <w:color w:val="231F20"/>
          <w:spacing w:val="-17"/>
        </w:rPr>
        <w:t xml:space="preserve"> </w:t>
      </w:r>
      <w:r w:rsidR="00216117">
        <w:rPr>
          <w:color w:val="231F20"/>
        </w:rPr>
        <w:t>pro</w:t>
      </w:r>
      <w:r w:rsidR="00216117">
        <w:rPr>
          <w:color w:val="231F20"/>
          <w:spacing w:val="-16"/>
        </w:rPr>
        <w:t xml:space="preserve"> </w:t>
      </w:r>
      <w:r w:rsidR="00216117">
        <w:rPr>
          <w:color w:val="231F20"/>
        </w:rPr>
        <w:t>jednotlivá</w:t>
      </w:r>
      <w:r w:rsidR="00216117">
        <w:rPr>
          <w:color w:val="231F20"/>
          <w:spacing w:val="-17"/>
        </w:rPr>
        <w:t xml:space="preserve"> </w:t>
      </w:r>
      <w:r w:rsidR="00216117">
        <w:rPr>
          <w:color w:val="231F20"/>
        </w:rPr>
        <w:t>vozidla</w:t>
      </w:r>
      <w:r w:rsidR="00216117">
        <w:rPr>
          <w:color w:val="231F20"/>
          <w:spacing w:val="-16"/>
        </w:rPr>
        <w:t xml:space="preserve"> </w:t>
      </w:r>
      <w:r w:rsidR="00216117">
        <w:rPr>
          <w:color w:val="231F20"/>
        </w:rPr>
        <w:t>jako</w:t>
      </w:r>
      <w:r w:rsidR="00216117">
        <w:rPr>
          <w:color w:val="231F20"/>
          <w:spacing w:val="-17"/>
        </w:rPr>
        <w:t xml:space="preserve"> </w:t>
      </w:r>
      <w:r w:rsidR="00216117">
        <w:rPr>
          <w:color w:val="231F20"/>
        </w:rPr>
        <w:t>doplňkové</w:t>
      </w:r>
      <w:r w:rsidR="00216117">
        <w:rPr>
          <w:color w:val="231F20"/>
          <w:spacing w:val="-16"/>
        </w:rPr>
        <w:t xml:space="preserve"> </w:t>
      </w:r>
      <w:r w:rsidR="00216117">
        <w:rPr>
          <w:color w:val="231F20"/>
        </w:rPr>
        <w:t>škodové</w:t>
      </w:r>
      <w:r w:rsidR="00216117">
        <w:rPr>
          <w:color w:val="231F20"/>
          <w:spacing w:val="-16"/>
        </w:rPr>
        <w:t xml:space="preserve"> </w:t>
      </w:r>
      <w:r w:rsidR="00216117">
        <w:rPr>
          <w:color w:val="231F20"/>
        </w:rPr>
        <w:t>pojištění. Pokud</w:t>
      </w:r>
      <w:r w:rsidR="00216117">
        <w:rPr>
          <w:color w:val="231F20"/>
          <w:spacing w:val="-15"/>
        </w:rPr>
        <w:t xml:space="preserve"> </w:t>
      </w:r>
      <w:r w:rsidR="00216117">
        <w:rPr>
          <w:color w:val="231F20"/>
        </w:rPr>
        <w:t>je</w:t>
      </w:r>
      <w:r w:rsidR="00216117">
        <w:rPr>
          <w:color w:val="231F20"/>
          <w:spacing w:val="-15"/>
        </w:rPr>
        <w:t xml:space="preserve"> </w:t>
      </w:r>
      <w:r w:rsidR="00216117">
        <w:rPr>
          <w:color w:val="231F20"/>
        </w:rPr>
        <w:t>vedle</w:t>
      </w:r>
      <w:r w:rsidR="00216117">
        <w:rPr>
          <w:color w:val="231F20"/>
          <w:spacing w:val="-14"/>
        </w:rPr>
        <w:t xml:space="preserve"> </w:t>
      </w:r>
      <w:r w:rsidR="00216117">
        <w:rPr>
          <w:color w:val="231F20"/>
        </w:rPr>
        <w:t>tohoto</w:t>
      </w:r>
      <w:r w:rsidR="00216117">
        <w:rPr>
          <w:color w:val="231F20"/>
          <w:spacing w:val="-15"/>
        </w:rPr>
        <w:t xml:space="preserve"> </w:t>
      </w:r>
      <w:r w:rsidR="00216117">
        <w:rPr>
          <w:color w:val="231F20"/>
        </w:rPr>
        <w:t>pojištění</w:t>
      </w:r>
      <w:r w:rsidR="00216117">
        <w:rPr>
          <w:color w:val="231F20"/>
          <w:spacing w:val="-15"/>
        </w:rPr>
        <w:t xml:space="preserve"> </w:t>
      </w:r>
      <w:r w:rsidR="00216117">
        <w:rPr>
          <w:color w:val="231F20"/>
        </w:rPr>
        <w:t>sjednáno</w:t>
      </w:r>
      <w:r w:rsidR="00216117">
        <w:rPr>
          <w:color w:val="231F20"/>
          <w:spacing w:val="-14"/>
        </w:rPr>
        <w:t xml:space="preserve"> </w:t>
      </w:r>
      <w:r w:rsidR="00216117">
        <w:rPr>
          <w:color w:val="231F20"/>
        </w:rPr>
        <w:t>i</w:t>
      </w:r>
      <w:r w:rsidR="00216117">
        <w:rPr>
          <w:color w:val="231F20"/>
          <w:spacing w:val="-15"/>
        </w:rPr>
        <w:t xml:space="preserve"> </w:t>
      </w:r>
      <w:r w:rsidR="00216117">
        <w:rPr>
          <w:color w:val="231F20"/>
        </w:rPr>
        <w:t>havarijní</w:t>
      </w:r>
      <w:r w:rsidR="00216117">
        <w:rPr>
          <w:color w:val="231F20"/>
          <w:spacing w:val="-15"/>
        </w:rPr>
        <w:t xml:space="preserve"> </w:t>
      </w:r>
      <w:r w:rsidR="00216117">
        <w:rPr>
          <w:color w:val="231F20"/>
        </w:rPr>
        <w:t>pojištění</w:t>
      </w:r>
      <w:r w:rsidR="00216117">
        <w:rPr>
          <w:color w:val="231F20"/>
          <w:spacing w:val="-14"/>
        </w:rPr>
        <w:t xml:space="preserve"> </w:t>
      </w:r>
      <w:r w:rsidR="00216117">
        <w:rPr>
          <w:color w:val="231F20"/>
        </w:rPr>
        <w:t>vozidla,</w:t>
      </w:r>
      <w:r w:rsidR="00216117">
        <w:rPr>
          <w:color w:val="231F20"/>
          <w:spacing w:val="-15"/>
        </w:rPr>
        <w:t xml:space="preserve"> </w:t>
      </w:r>
      <w:r w:rsidR="00216117">
        <w:rPr>
          <w:color w:val="231F20"/>
        </w:rPr>
        <w:t xml:space="preserve">vztahuje se toto </w:t>
      </w:r>
      <w:r w:rsidR="00216117">
        <w:rPr>
          <w:color w:val="231F20"/>
          <w:spacing w:val="2"/>
        </w:rPr>
        <w:t xml:space="preserve">pojištění jen </w:t>
      </w:r>
      <w:r w:rsidR="00216117">
        <w:rPr>
          <w:color w:val="231F20"/>
        </w:rPr>
        <w:t xml:space="preserve">na takové </w:t>
      </w:r>
      <w:r w:rsidR="00216117">
        <w:rPr>
          <w:color w:val="231F20"/>
          <w:spacing w:val="2"/>
        </w:rPr>
        <w:t xml:space="preserve">škody </w:t>
      </w:r>
      <w:r w:rsidR="00216117">
        <w:rPr>
          <w:color w:val="231F20"/>
        </w:rPr>
        <w:t xml:space="preserve">na vozidle, </w:t>
      </w:r>
      <w:r w:rsidR="00216117">
        <w:rPr>
          <w:color w:val="231F20"/>
          <w:spacing w:val="2"/>
        </w:rPr>
        <w:t xml:space="preserve">které </w:t>
      </w:r>
      <w:r w:rsidR="00216117">
        <w:rPr>
          <w:color w:val="231F20"/>
          <w:spacing w:val="3"/>
        </w:rPr>
        <w:t xml:space="preserve">nebudou </w:t>
      </w:r>
      <w:r w:rsidR="00216117">
        <w:rPr>
          <w:color w:val="231F20"/>
          <w:spacing w:val="2"/>
        </w:rPr>
        <w:t xml:space="preserve">uplatněny </w:t>
      </w:r>
      <w:r w:rsidR="00216117">
        <w:rPr>
          <w:color w:val="231F20"/>
        </w:rPr>
        <w:t>z havarijního pojištění.</w:t>
      </w:r>
    </w:p>
    <w:p w14:paraId="0C5D0C07" w14:textId="77777777" w:rsidR="00F65BCA" w:rsidRDefault="00F65BCA">
      <w:pPr>
        <w:pStyle w:val="Zkladntext"/>
        <w:spacing w:before="10"/>
        <w:rPr>
          <w:sz w:val="20"/>
        </w:rPr>
      </w:pPr>
    </w:p>
    <w:p w14:paraId="68A32096" w14:textId="77777777" w:rsidR="00F65BCA" w:rsidRDefault="00216117">
      <w:pPr>
        <w:pStyle w:val="Zkladntext"/>
        <w:ind w:left="428"/>
      </w:pPr>
      <w:r>
        <w:rPr>
          <w:color w:val="FFFFFF"/>
          <w:position w:val="3"/>
          <w:sz w:val="16"/>
          <w:shd w:val="clear" w:color="auto" w:fill="808285"/>
        </w:rPr>
        <w:t xml:space="preserve">  </w:t>
      </w:r>
      <w:r>
        <w:rPr>
          <w:color w:val="FFFFFF"/>
          <w:w w:val="105"/>
          <w:position w:val="3"/>
          <w:sz w:val="16"/>
          <w:shd w:val="clear" w:color="auto" w:fill="808285"/>
        </w:rPr>
        <w:t>Článek 41</w:t>
      </w:r>
      <w:r>
        <w:rPr>
          <w:color w:val="FFFFFF"/>
          <w:w w:val="105"/>
          <w:position w:val="3"/>
          <w:sz w:val="16"/>
        </w:rPr>
        <w:t xml:space="preserve"> </w:t>
      </w:r>
      <w:r>
        <w:rPr>
          <w:color w:val="231F20"/>
          <w:w w:val="105"/>
        </w:rPr>
        <w:t>Pojistná nebezpečí, rozsah pojištění, limit pojistného plnění</w:t>
      </w:r>
    </w:p>
    <w:p w14:paraId="55261599"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20"/>
          <w:position w:val="1"/>
          <w:sz w:val="14"/>
        </w:rPr>
        <w:t xml:space="preserve"> </w:t>
      </w:r>
      <w:r>
        <w:rPr>
          <w:color w:val="231F20"/>
        </w:rPr>
        <w:t>Není-li</w:t>
      </w:r>
      <w:r>
        <w:rPr>
          <w:color w:val="231F20"/>
          <w:spacing w:val="-9"/>
        </w:rPr>
        <w:t xml:space="preserve"> </w:t>
      </w:r>
      <w:r>
        <w:rPr>
          <w:color w:val="231F20"/>
        </w:rPr>
        <w:t>v</w:t>
      </w:r>
      <w:r>
        <w:rPr>
          <w:color w:val="231F20"/>
          <w:spacing w:val="-10"/>
        </w:rPr>
        <w:t xml:space="preserve"> </w:t>
      </w:r>
      <w:r>
        <w:rPr>
          <w:color w:val="231F20"/>
        </w:rPr>
        <w:t>pojistné</w:t>
      </w:r>
      <w:r>
        <w:rPr>
          <w:color w:val="231F20"/>
          <w:spacing w:val="-10"/>
        </w:rPr>
        <w:t xml:space="preserve"> </w:t>
      </w:r>
      <w:r>
        <w:rPr>
          <w:color w:val="231F20"/>
        </w:rPr>
        <w:t>smlouvě</w:t>
      </w:r>
      <w:r>
        <w:rPr>
          <w:color w:val="231F20"/>
          <w:spacing w:val="-10"/>
        </w:rPr>
        <w:t xml:space="preserve"> </w:t>
      </w:r>
      <w:r>
        <w:rPr>
          <w:color w:val="231F20"/>
        </w:rPr>
        <w:t>nebo</w:t>
      </w:r>
      <w:r>
        <w:rPr>
          <w:color w:val="231F20"/>
          <w:spacing w:val="-10"/>
        </w:rPr>
        <w:t xml:space="preserve"> </w:t>
      </w:r>
      <w:r>
        <w:rPr>
          <w:color w:val="231F20"/>
        </w:rPr>
        <w:t>seznamu</w:t>
      </w:r>
      <w:r>
        <w:rPr>
          <w:color w:val="231F20"/>
          <w:spacing w:val="-9"/>
        </w:rPr>
        <w:t xml:space="preserve"> </w:t>
      </w:r>
      <w:r>
        <w:rPr>
          <w:color w:val="231F20"/>
        </w:rPr>
        <w:t>vozidel</w:t>
      </w:r>
      <w:r>
        <w:rPr>
          <w:color w:val="231F20"/>
          <w:spacing w:val="-10"/>
        </w:rPr>
        <w:t xml:space="preserve"> </w:t>
      </w:r>
      <w:r>
        <w:rPr>
          <w:color w:val="231F20"/>
        </w:rPr>
        <w:t>ujednáno</w:t>
      </w:r>
      <w:r>
        <w:rPr>
          <w:color w:val="231F20"/>
          <w:spacing w:val="-10"/>
        </w:rPr>
        <w:t xml:space="preserve"> </w:t>
      </w:r>
      <w:r>
        <w:rPr>
          <w:color w:val="231F20"/>
        </w:rPr>
        <w:t>jinak,</w:t>
      </w:r>
      <w:r>
        <w:rPr>
          <w:color w:val="231F20"/>
          <w:spacing w:val="-10"/>
        </w:rPr>
        <w:t xml:space="preserve"> </w:t>
      </w:r>
      <w:r>
        <w:rPr>
          <w:color w:val="231F20"/>
        </w:rPr>
        <w:t>je</w:t>
      </w:r>
      <w:r>
        <w:rPr>
          <w:color w:val="231F20"/>
          <w:spacing w:val="-10"/>
        </w:rPr>
        <w:t xml:space="preserve"> </w:t>
      </w:r>
      <w:r>
        <w:rPr>
          <w:color w:val="231F20"/>
        </w:rPr>
        <w:t>pojistným nebezpečím,</w:t>
      </w:r>
      <w:r>
        <w:rPr>
          <w:color w:val="231F20"/>
          <w:spacing w:val="-5"/>
        </w:rPr>
        <w:t xml:space="preserve"> </w:t>
      </w:r>
      <w:r>
        <w:rPr>
          <w:color w:val="231F20"/>
        </w:rPr>
        <w:t>na</w:t>
      </w:r>
      <w:r>
        <w:rPr>
          <w:color w:val="231F20"/>
          <w:spacing w:val="-5"/>
        </w:rPr>
        <w:t xml:space="preserve"> </w:t>
      </w:r>
      <w:r>
        <w:rPr>
          <w:color w:val="231F20"/>
        </w:rPr>
        <w:t>které</w:t>
      </w:r>
      <w:r>
        <w:rPr>
          <w:color w:val="231F20"/>
          <w:spacing w:val="-5"/>
        </w:rPr>
        <w:t xml:space="preserve"> </w:t>
      </w:r>
      <w:r>
        <w:rPr>
          <w:color w:val="231F20"/>
        </w:rPr>
        <w:t>se</w:t>
      </w:r>
      <w:r>
        <w:rPr>
          <w:color w:val="231F20"/>
          <w:spacing w:val="-5"/>
        </w:rPr>
        <w:t xml:space="preserve"> </w:t>
      </w:r>
      <w:r>
        <w:rPr>
          <w:color w:val="231F20"/>
        </w:rPr>
        <w:t>pojištění</w:t>
      </w:r>
      <w:r>
        <w:rPr>
          <w:color w:val="231F20"/>
          <w:spacing w:val="-4"/>
        </w:rPr>
        <w:t xml:space="preserve"> </w:t>
      </w:r>
      <w:r>
        <w:rPr>
          <w:color w:val="231F20"/>
        </w:rPr>
        <w:t>vztahuje,</w:t>
      </w:r>
      <w:r>
        <w:rPr>
          <w:color w:val="231F20"/>
          <w:spacing w:val="-5"/>
        </w:rPr>
        <w:t xml:space="preserve"> </w:t>
      </w:r>
      <w:r>
        <w:rPr>
          <w:color w:val="231F20"/>
        </w:rPr>
        <w:t>poškození</w:t>
      </w:r>
      <w:r>
        <w:rPr>
          <w:color w:val="231F20"/>
          <w:spacing w:val="-5"/>
        </w:rPr>
        <w:t xml:space="preserve"> </w:t>
      </w:r>
      <w:r>
        <w:rPr>
          <w:color w:val="231F20"/>
        </w:rPr>
        <w:t>nebo</w:t>
      </w:r>
      <w:r>
        <w:rPr>
          <w:color w:val="231F20"/>
          <w:spacing w:val="-5"/>
        </w:rPr>
        <w:t xml:space="preserve"> </w:t>
      </w:r>
      <w:r>
        <w:rPr>
          <w:color w:val="231F20"/>
        </w:rPr>
        <w:t>zničení</w:t>
      </w:r>
      <w:r>
        <w:rPr>
          <w:color w:val="231F20"/>
          <w:spacing w:val="-5"/>
        </w:rPr>
        <w:t xml:space="preserve"> </w:t>
      </w:r>
      <w:r>
        <w:rPr>
          <w:color w:val="231F20"/>
        </w:rPr>
        <w:t>pojiště- ného</w:t>
      </w:r>
      <w:r>
        <w:rPr>
          <w:color w:val="231F20"/>
          <w:spacing w:val="-19"/>
        </w:rPr>
        <w:t xml:space="preserve"> </w:t>
      </w:r>
      <w:r>
        <w:rPr>
          <w:color w:val="231F20"/>
        </w:rPr>
        <w:t>vozidla,</w:t>
      </w:r>
      <w:r>
        <w:rPr>
          <w:color w:val="231F20"/>
          <w:spacing w:val="-18"/>
        </w:rPr>
        <w:t xml:space="preserve"> </w:t>
      </w:r>
      <w:r>
        <w:rPr>
          <w:color w:val="231F20"/>
        </w:rPr>
        <w:t>včetně</w:t>
      </w:r>
      <w:r>
        <w:rPr>
          <w:color w:val="231F20"/>
          <w:spacing w:val="-19"/>
        </w:rPr>
        <w:t xml:space="preserve"> </w:t>
      </w:r>
      <w:r>
        <w:rPr>
          <w:color w:val="231F20"/>
        </w:rPr>
        <w:t>standardní</w:t>
      </w:r>
      <w:r>
        <w:rPr>
          <w:color w:val="231F20"/>
          <w:spacing w:val="-18"/>
        </w:rPr>
        <w:t xml:space="preserve"> </w:t>
      </w:r>
      <w:r>
        <w:rPr>
          <w:color w:val="231F20"/>
        </w:rPr>
        <w:t>výbavy,</w:t>
      </w:r>
      <w:r>
        <w:rPr>
          <w:color w:val="231F20"/>
          <w:spacing w:val="-19"/>
        </w:rPr>
        <w:t xml:space="preserve"> </w:t>
      </w:r>
      <w:r>
        <w:rPr>
          <w:color w:val="231F20"/>
        </w:rPr>
        <w:t>případně</w:t>
      </w:r>
      <w:r>
        <w:rPr>
          <w:color w:val="231F20"/>
          <w:spacing w:val="-18"/>
        </w:rPr>
        <w:t xml:space="preserve"> </w:t>
      </w:r>
      <w:r>
        <w:rPr>
          <w:color w:val="231F20"/>
        </w:rPr>
        <w:t>doplňkové</w:t>
      </w:r>
      <w:r>
        <w:rPr>
          <w:color w:val="231F20"/>
          <w:spacing w:val="-19"/>
        </w:rPr>
        <w:t xml:space="preserve"> </w:t>
      </w:r>
      <w:r>
        <w:rPr>
          <w:color w:val="231F20"/>
        </w:rPr>
        <w:t>a</w:t>
      </w:r>
      <w:r>
        <w:rPr>
          <w:color w:val="231F20"/>
          <w:spacing w:val="-18"/>
        </w:rPr>
        <w:t xml:space="preserve"> </w:t>
      </w:r>
      <w:r>
        <w:rPr>
          <w:color w:val="231F20"/>
        </w:rPr>
        <w:t>ostatní</w:t>
      </w:r>
      <w:r>
        <w:rPr>
          <w:color w:val="231F20"/>
          <w:spacing w:val="-19"/>
        </w:rPr>
        <w:t xml:space="preserve"> </w:t>
      </w:r>
      <w:r>
        <w:rPr>
          <w:color w:val="231F20"/>
        </w:rPr>
        <w:t xml:space="preserve">výbavy </w:t>
      </w:r>
      <w:r>
        <w:rPr>
          <w:color w:val="231F20"/>
          <w:w w:val="95"/>
        </w:rPr>
        <w:t xml:space="preserve">uvedené při sjednání pojištění jednotlivého vozidla, následkem střetu </w:t>
      </w:r>
      <w:r>
        <w:rPr>
          <w:color w:val="231F20"/>
          <w:spacing w:val="-3"/>
          <w:w w:val="95"/>
        </w:rPr>
        <w:t xml:space="preserve">pojištěné- </w:t>
      </w:r>
      <w:r>
        <w:rPr>
          <w:color w:val="231F20"/>
        </w:rPr>
        <w:t>ho vozidla se zvířetem na pozemní</w:t>
      </w:r>
      <w:r>
        <w:rPr>
          <w:color w:val="231F20"/>
          <w:spacing w:val="-15"/>
        </w:rPr>
        <w:t xml:space="preserve"> </w:t>
      </w:r>
      <w:r>
        <w:rPr>
          <w:color w:val="231F20"/>
        </w:rPr>
        <w:t>komunikaci.</w:t>
      </w:r>
    </w:p>
    <w:p w14:paraId="31177922"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14"/>
          <w:position w:val="1"/>
          <w:sz w:val="14"/>
        </w:rPr>
        <w:t xml:space="preserve"> </w:t>
      </w:r>
      <w:r>
        <w:rPr>
          <w:color w:val="231F20"/>
        </w:rPr>
        <w:t>Limit</w:t>
      </w:r>
      <w:r>
        <w:rPr>
          <w:color w:val="231F20"/>
          <w:spacing w:val="-10"/>
        </w:rPr>
        <w:t xml:space="preserve"> </w:t>
      </w:r>
      <w:r>
        <w:rPr>
          <w:color w:val="231F20"/>
        </w:rPr>
        <w:t>pojistného</w:t>
      </w:r>
      <w:r>
        <w:rPr>
          <w:color w:val="231F20"/>
          <w:spacing w:val="-10"/>
        </w:rPr>
        <w:t xml:space="preserve"> </w:t>
      </w:r>
      <w:r>
        <w:rPr>
          <w:color w:val="231F20"/>
        </w:rPr>
        <w:t>plnění</w:t>
      </w:r>
      <w:r>
        <w:rPr>
          <w:color w:val="231F20"/>
          <w:spacing w:val="-10"/>
        </w:rPr>
        <w:t xml:space="preserve"> </w:t>
      </w:r>
      <w:r>
        <w:rPr>
          <w:color w:val="231F20"/>
        </w:rPr>
        <w:t>a</w:t>
      </w:r>
      <w:r>
        <w:rPr>
          <w:color w:val="231F20"/>
          <w:spacing w:val="-10"/>
        </w:rPr>
        <w:t xml:space="preserve"> </w:t>
      </w:r>
      <w:r>
        <w:rPr>
          <w:color w:val="231F20"/>
        </w:rPr>
        <w:t>spoluúčast</w:t>
      </w:r>
      <w:r>
        <w:rPr>
          <w:color w:val="231F20"/>
          <w:spacing w:val="-10"/>
        </w:rPr>
        <w:t xml:space="preserve"> </w:t>
      </w:r>
      <w:r>
        <w:rPr>
          <w:color w:val="231F20"/>
        </w:rPr>
        <w:t>jsou</w:t>
      </w:r>
      <w:r>
        <w:rPr>
          <w:color w:val="231F20"/>
          <w:spacing w:val="-10"/>
        </w:rPr>
        <w:t xml:space="preserve"> </w:t>
      </w:r>
      <w:r>
        <w:rPr>
          <w:color w:val="231F20"/>
        </w:rPr>
        <w:t>dojednány</w:t>
      </w:r>
      <w:r>
        <w:rPr>
          <w:color w:val="231F20"/>
          <w:spacing w:val="-10"/>
        </w:rPr>
        <w:t xml:space="preserve"> </w:t>
      </w:r>
      <w:r>
        <w:rPr>
          <w:color w:val="231F20"/>
        </w:rPr>
        <w:t>v</w:t>
      </w:r>
      <w:r>
        <w:rPr>
          <w:color w:val="231F20"/>
          <w:spacing w:val="-11"/>
        </w:rPr>
        <w:t xml:space="preserve"> </w:t>
      </w:r>
      <w:r>
        <w:rPr>
          <w:color w:val="231F20"/>
        </w:rPr>
        <w:t>pojistné</w:t>
      </w:r>
      <w:r>
        <w:rPr>
          <w:color w:val="231F20"/>
          <w:spacing w:val="-10"/>
        </w:rPr>
        <w:t xml:space="preserve"> </w:t>
      </w:r>
      <w:r>
        <w:rPr>
          <w:color w:val="231F20"/>
        </w:rPr>
        <w:t>smlouvě</w:t>
      </w:r>
      <w:r>
        <w:rPr>
          <w:color w:val="231F20"/>
          <w:spacing w:val="-10"/>
        </w:rPr>
        <w:t xml:space="preserve"> </w:t>
      </w:r>
      <w:r>
        <w:rPr>
          <w:color w:val="231F20"/>
          <w:spacing w:val="2"/>
        </w:rPr>
        <w:t xml:space="preserve">nebo </w:t>
      </w:r>
      <w:r>
        <w:rPr>
          <w:color w:val="231F20"/>
        </w:rPr>
        <w:t>v seznamu</w:t>
      </w:r>
      <w:r>
        <w:rPr>
          <w:color w:val="231F20"/>
          <w:spacing w:val="-1"/>
        </w:rPr>
        <w:t xml:space="preserve"> </w:t>
      </w:r>
      <w:r>
        <w:rPr>
          <w:color w:val="231F20"/>
        </w:rPr>
        <w:t>vozidel.</w:t>
      </w:r>
    </w:p>
    <w:p w14:paraId="6C8ECC10" w14:textId="77777777" w:rsidR="00F65BCA" w:rsidRDefault="00F65BCA">
      <w:pPr>
        <w:pStyle w:val="Zkladntext"/>
        <w:spacing w:before="10"/>
        <w:rPr>
          <w:sz w:val="20"/>
        </w:rPr>
      </w:pPr>
    </w:p>
    <w:p w14:paraId="3D37834A" w14:textId="77777777" w:rsidR="00F65BCA" w:rsidRDefault="00216117">
      <w:pPr>
        <w:ind w:left="428"/>
        <w:rPr>
          <w:sz w:val="15"/>
        </w:rPr>
      </w:pPr>
      <w:r>
        <w:rPr>
          <w:color w:val="FFFFFF"/>
          <w:position w:val="3"/>
          <w:sz w:val="16"/>
          <w:shd w:val="clear" w:color="auto" w:fill="808285"/>
        </w:rPr>
        <w:t xml:space="preserve"> </w:t>
      </w:r>
      <w:r>
        <w:rPr>
          <w:color w:val="FFFFFF"/>
          <w:spacing w:val="-6"/>
          <w:position w:val="3"/>
          <w:sz w:val="16"/>
          <w:shd w:val="clear" w:color="auto" w:fill="808285"/>
        </w:rPr>
        <w:t xml:space="preserve"> </w:t>
      </w:r>
      <w:r>
        <w:rPr>
          <w:color w:val="FFFFFF"/>
          <w:spacing w:val="6"/>
          <w:position w:val="3"/>
          <w:sz w:val="16"/>
          <w:shd w:val="clear" w:color="auto" w:fill="808285"/>
        </w:rPr>
        <w:t xml:space="preserve">Článek </w:t>
      </w:r>
      <w:r>
        <w:rPr>
          <w:color w:val="FFFFFF"/>
          <w:spacing w:val="4"/>
          <w:position w:val="3"/>
          <w:sz w:val="16"/>
          <w:shd w:val="clear" w:color="auto" w:fill="808285"/>
        </w:rPr>
        <w:t xml:space="preserve">42   </w:t>
      </w:r>
      <w:r>
        <w:rPr>
          <w:color w:val="FFFFFF"/>
          <w:spacing w:val="4"/>
          <w:position w:val="3"/>
          <w:sz w:val="16"/>
        </w:rPr>
        <w:t xml:space="preserve">   </w:t>
      </w:r>
      <w:r>
        <w:rPr>
          <w:color w:val="231F20"/>
          <w:sz w:val="15"/>
        </w:rPr>
        <w:t>Speciální výluky z</w:t>
      </w:r>
      <w:r>
        <w:rPr>
          <w:color w:val="231F20"/>
          <w:spacing w:val="-2"/>
          <w:sz w:val="15"/>
        </w:rPr>
        <w:t xml:space="preserve"> </w:t>
      </w:r>
      <w:r>
        <w:rPr>
          <w:color w:val="231F20"/>
          <w:sz w:val="15"/>
        </w:rPr>
        <w:t>pojištění</w:t>
      </w:r>
    </w:p>
    <w:p w14:paraId="15B482EE" w14:textId="77777777" w:rsidR="00F65BCA" w:rsidRDefault="00216117">
      <w:pPr>
        <w:pStyle w:val="Zkladntext"/>
        <w:spacing w:before="147" w:line="278" w:lineRule="auto"/>
        <w:ind w:left="426" w:right="-8"/>
      </w:pPr>
      <w:r>
        <w:rPr>
          <w:color w:val="231F20"/>
        </w:rPr>
        <w:t>Pojišťovna</w:t>
      </w:r>
      <w:r>
        <w:rPr>
          <w:color w:val="231F20"/>
          <w:spacing w:val="-16"/>
        </w:rPr>
        <w:t xml:space="preserve"> </w:t>
      </w:r>
      <w:r>
        <w:rPr>
          <w:color w:val="231F20"/>
        </w:rPr>
        <w:t>neposkytne</w:t>
      </w:r>
      <w:r>
        <w:rPr>
          <w:color w:val="231F20"/>
          <w:spacing w:val="-16"/>
        </w:rPr>
        <w:t xml:space="preserve"> </w:t>
      </w:r>
      <w:r>
        <w:rPr>
          <w:color w:val="231F20"/>
        </w:rPr>
        <w:t>pojistné</w:t>
      </w:r>
      <w:r>
        <w:rPr>
          <w:color w:val="231F20"/>
          <w:spacing w:val="-16"/>
        </w:rPr>
        <w:t xml:space="preserve"> </w:t>
      </w:r>
      <w:r>
        <w:rPr>
          <w:color w:val="231F20"/>
        </w:rPr>
        <w:t>plnění</w:t>
      </w:r>
      <w:r>
        <w:rPr>
          <w:color w:val="231F20"/>
          <w:spacing w:val="-16"/>
        </w:rPr>
        <w:t xml:space="preserve"> </w:t>
      </w:r>
      <w:r>
        <w:rPr>
          <w:color w:val="231F20"/>
        </w:rPr>
        <w:t>v</w:t>
      </w:r>
      <w:r>
        <w:rPr>
          <w:color w:val="231F20"/>
          <w:spacing w:val="-16"/>
        </w:rPr>
        <w:t xml:space="preserve"> </w:t>
      </w:r>
      <w:r>
        <w:rPr>
          <w:color w:val="231F20"/>
        </w:rPr>
        <w:t>případech,</w:t>
      </w:r>
      <w:r>
        <w:rPr>
          <w:color w:val="231F20"/>
          <w:spacing w:val="-16"/>
        </w:rPr>
        <w:t xml:space="preserve"> </w:t>
      </w:r>
      <w:r>
        <w:rPr>
          <w:color w:val="231F20"/>
        </w:rPr>
        <w:t>kdy</w:t>
      </w:r>
      <w:r>
        <w:rPr>
          <w:color w:val="231F20"/>
          <w:spacing w:val="-16"/>
        </w:rPr>
        <w:t xml:space="preserve"> </w:t>
      </w:r>
      <w:r>
        <w:rPr>
          <w:color w:val="231F20"/>
        </w:rPr>
        <w:t>na</w:t>
      </w:r>
      <w:r>
        <w:rPr>
          <w:color w:val="231F20"/>
          <w:spacing w:val="-16"/>
        </w:rPr>
        <w:t xml:space="preserve"> </w:t>
      </w:r>
      <w:r>
        <w:rPr>
          <w:color w:val="231F20"/>
        </w:rPr>
        <w:t>místě</w:t>
      </w:r>
      <w:r>
        <w:rPr>
          <w:color w:val="231F20"/>
          <w:spacing w:val="-16"/>
        </w:rPr>
        <w:t xml:space="preserve"> </w:t>
      </w:r>
      <w:r>
        <w:rPr>
          <w:color w:val="231F20"/>
        </w:rPr>
        <w:t>dopravní</w:t>
      </w:r>
      <w:r>
        <w:rPr>
          <w:color w:val="231F20"/>
          <w:spacing w:val="-16"/>
        </w:rPr>
        <w:t xml:space="preserve"> </w:t>
      </w:r>
      <w:r>
        <w:rPr>
          <w:color w:val="231F20"/>
          <w:spacing w:val="-3"/>
        </w:rPr>
        <w:t xml:space="preserve">nehody </w:t>
      </w:r>
      <w:r>
        <w:rPr>
          <w:color w:val="231F20"/>
        </w:rPr>
        <w:t>nebyla provedena ani jedna z těchto</w:t>
      </w:r>
      <w:r>
        <w:rPr>
          <w:color w:val="231F20"/>
          <w:spacing w:val="-11"/>
        </w:rPr>
        <w:t xml:space="preserve"> </w:t>
      </w:r>
      <w:r>
        <w:rPr>
          <w:color w:val="231F20"/>
        </w:rPr>
        <w:t>činností:</w:t>
      </w:r>
    </w:p>
    <w:p w14:paraId="490F9E28" w14:textId="77777777" w:rsidR="00F65BCA" w:rsidRDefault="00216117">
      <w:pPr>
        <w:pStyle w:val="Odstavecseseznamem"/>
        <w:numPr>
          <w:ilvl w:val="0"/>
          <w:numId w:val="97"/>
        </w:numPr>
        <w:tabs>
          <w:tab w:val="left" w:pos="598"/>
        </w:tabs>
        <w:ind w:hanging="172"/>
        <w:rPr>
          <w:sz w:val="15"/>
        </w:rPr>
      </w:pPr>
      <w:r>
        <w:rPr>
          <w:color w:val="231F20"/>
          <w:sz w:val="15"/>
        </w:rPr>
        <w:t>šetření události policií</w:t>
      </w:r>
      <w:r>
        <w:rPr>
          <w:color w:val="231F20"/>
          <w:spacing w:val="-3"/>
          <w:sz w:val="15"/>
        </w:rPr>
        <w:t xml:space="preserve"> </w:t>
      </w:r>
      <w:r>
        <w:rPr>
          <w:color w:val="231F20"/>
          <w:sz w:val="15"/>
        </w:rPr>
        <w:t>nebo</w:t>
      </w:r>
    </w:p>
    <w:p w14:paraId="7733391F" w14:textId="77777777" w:rsidR="00F65BCA" w:rsidRDefault="00216117">
      <w:pPr>
        <w:pStyle w:val="Odstavecseseznamem"/>
        <w:numPr>
          <w:ilvl w:val="0"/>
          <w:numId w:val="97"/>
        </w:numPr>
        <w:tabs>
          <w:tab w:val="left" w:pos="598"/>
        </w:tabs>
        <w:spacing w:before="28"/>
        <w:ind w:hanging="172"/>
        <w:rPr>
          <w:sz w:val="15"/>
        </w:rPr>
      </w:pPr>
      <w:r>
        <w:rPr>
          <w:color w:val="231F20"/>
          <w:sz w:val="15"/>
        </w:rPr>
        <w:t>zdokumentování události poskytovatelem asistenční</w:t>
      </w:r>
      <w:r>
        <w:rPr>
          <w:color w:val="231F20"/>
          <w:spacing w:val="-16"/>
          <w:sz w:val="15"/>
        </w:rPr>
        <w:t xml:space="preserve"> </w:t>
      </w:r>
      <w:r>
        <w:rPr>
          <w:color w:val="231F20"/>
          <w:sz w:val="15"/>
        </w:rPr>
        <w:t>služby</w:t>
      </w:r>
    </w:p>
    <w:p w14:paraId="03235D3E" w14:textId="77777777" w:rsidR="00F65BCA" w:rsidRDefault="00216117">
      <w:pPr>
        <w:pStyle w:val="Odstavecseseznamem"/>
        <w:numPr>
          <w:ilvl w:val="0"/>
          <w:numId w:val="97"/>
        </w:numPr>
        <w:tabs>
          <w:tab w:val="left" w:pos="598"/>
        </w:tabs>
        <w:spacing w:before="27"/>
        <w:ind w:hanging="172"/>
        <w:rPr>
          <w:sz w:val="15"/>
        </w:rPr>
      </w:pPr>
      <w:r>
        <w:rPr>
          <w:color w:val="231F20"/>
          <w:sz w:val="15"/>
        </w:rPr>
        <w:t>zdokumentování události účastníky dopravní</w:t>
      </w:r>
      <w:r>
        <w:rPr>
          <w:color w:val="231F20"/>
          <w:spacing w:val="-13"/>
          <w:sz w:val="15"/>
        </w:rPr>
        <w:t xml:space="preserve"> </w:t>
      </w:r>
      <w:r>
        <w:rPr>
          <w:color w:val="231F20"/>
          <w:sz w:val="15"/>
        </w:rPr>
        <w:t>nehody.</w:t>
      </w:r>
    </w:p>
    <w:p w14:paraId="7EBCB41D" w14:textId="77777777" w:rsidR="00F65BCA" w:rsidRDefault="00216117">
      <w:pPr>
        <w:pStyle w:val="Zkladntext"/>
        <w:spacing w:before="28" w:line="278" w:lineRule="auto"/>
        <w:ind w:left="426"/>
      </w:pPr>
      <w:r>
        <w:rPr>
          <w:color w:val="231F20"/>
          <w:w w:val="95"/>
        </w:rPr>
        <w:t>Zdokumentováním</w:t>
      </w:r>
      <w:r>
        <w:rPr>
          <w:color w:val="231F20"/>
          <w:spacing w:val="-10"/>
          <w:w w:val="95"/>
        </w:rPr>
        <w:t xml:space="preserve"> </w:t>
      </w:r>
      <w:r>
        <w:rPr>
          <w:color w:val="231F20"/>
          <w:w w:val="95"/>
        </w:rPr>
        <w:t>se</w:t>
      </w:r>
      <w:r>
        <w:rPr>
          <w:color w:val="231F20"/>
          <w:spacing w:val="-9"/>
          <w:w w:val="95"/>
        </w:rPr>
        <w:t xml:space="preserve"> </w:t>
      </w:r>
      <w:r>
        <w:rPr>
          <w:color w:val="231F20"/>
          <w:spacing w:val="-3"/>
          <w:w w:val="95"/>
        </w:rPr>
        <w:t>rozumí</w:t>
      </w:r>
      <w:r>
        <w:rPr>
          <w:color w:val="231F20"/>
          <w:spacing w:val="-9"/>
          <w:w w:val="95"/>
        </w:rPr>
        <w:t xml:space="preserve"> </w:t>
      </w:r>
      <w:r>
        <w:rPr>
          <w:color w:val="231F20"/>
          <w:w w:val="95"/>
        </w:rPr>
        <w:t>zejména</w:t>
      </w:r>
      <w:r>
        <w:rPr>
          <w:color w:val="231F20"/>
          <w:spacing w:val="-9"/>
          <w:w w:val="95"/>
        </w:rPr>
        <w:t xml:space="preserve"> </w:t>
      </w:r>
      <w:r>
        <w:rPr>
          <w:color w:val="231F20"/>
          <w:w w:val="95"/>
        </w:rPr>
        <w:t>pořízení</w:t>
      </w:r>
      <w:r>
        <w:rPr>
          <w:color w:val="231F20"/>
          <w:spacing w:val="-9"/>
          <w:w w:val="95"/>
        </w:rPr>
        <w:t xml:space="preserve"> </w:t>
      </w:r>
      <w:r>
        <w:rPr>
          <w:color w:val="231F20"/>
          <w:w w:val="95"/>
        </w:rPr>
        <w:t>fotodokumentace</w:t>
      </w:r>
      <w:r>
        <w:rPr>
          <w:color w:val="231F20"/>
          <w:spacing w:val="-9"/>
          <w:w w:val="95"/>
        </w:rPr>
        <w:t xml:space="preserve"> </w:t>
      </w:r>
      <w:r>
        <w:rPr>
          <w:color w:val="231F20"/>
          <w:w w:val="95"/>
        </w:rPr>
        <w:t>poškození</w:t>
      </w:r>
      <w:r>
        <w:rPr>
          <w:color w:val="231F20"/>
          <w:spacing w:val="-9"/>
          <w:w w:val="95"/>
        </w:rPr>
        <w:t xml:space="preserve"> </w:t>
      </w:r>
      <w:r>
        <w:rPr>
          <w:color w:val="231F20"/>
          <w:w w:val="95"/>
        </w:rPr>
        <w:t>vozidla, případně</w:t>
      </w:r>
      <w:r>
        <w:rPr>
          <w:color w:val="231F20"/>
          <w:spacing w:val="-6"/>
          <w:w w:val="95"/>
        </w:rPr>
        <w:t xml:space="preserve"> </w:t>
      </w:r>
      <w:r>
        <w:rPr>
          <w:color w:val="231F20"/>
          <w:w w:val="95"/>
        </w:rPr>
        <w:t>zraněného</w:t>
      </w:r>
      <w:r>
        <w:rPr>
          <w:color w:val="231F20"/>
          <w:spacing w:val="-5"/>
          <w:w w:val="95"/>
        </w:rPr>
        <w:t xml:space="preserve"> </w:t>
      </w:r>
      <w:r>
        <w:rPr>
          <w:color w:val="231F20"/>
          <w:w w:val="95"/>
        </w:rPr>
        <w:t>či</w:t>
      </w:r>
      <w:r>
        <w:rPr>
          <w:color w:val="231F20"/>
          <w:spacing w:val="-6"/>
          <w:w w:val="95"/>
        </w:rPr>
        <w:t xml:space="preserve"> </w:t>
      </w:r>
      <w:r>
        <w:rPr>
          <w:color w:val="231F20"/>
          <w:spacing w:val="-3"/>
          <w:w w:val="95"/>
        </w:rPr>
        <w:t>usmrceného</w:t>
      </w:r>
      <w:r>
        <w:rPr>
          <w:color w:val="231F20"/>
          <w:spacing w:val="-5"/>
          <w:w w:val="95"/>
        </w:rPr>
        <w:t xml:space="preserve"> </w:t>
      </w:r>
      <w:r>
        <w:rPr>
          <w:color w:val="231F20"/>
          <w:spacing w:val="-3"/>
          <w:w w:val="95"/>
        </w:rPr>
        <w:t>zvířete</w:t>
      </w:r>
      <w:r>
        <w:rPr>
          <w:color w:val="231F20"/>
          <w:spacing w:val="-6"/>
          <w:w w:val="95"/>
        </w:rPr>
        <w:t xml:space="preserve"> </w:t>
      </w:r>
      <w:r>
        <w:rPr>
          <w:color w:val="231F20"/>
          <w:w w:val="95"/>
        </w:rPr>
        <w:t>a</w:t>
      </w:r>
      <w:r>
        <w:rPr>
          <w:color w:val="231F20"/>
          <w:spacing w:val="-6"/>
          <w:w w:val="95"/>
        </w:rPr>
        <w:t xml:space="preserve"> </w:t>
      </w:r>
      <w:r>
        <w:rPr>
          <w:color w:val="231F20"/>
          <w:w w:val="95"/>
        </w:rPr>
        <w:t>celkové</w:t>
      </w:r>
      <w:r>
        <w:rPr>
          <w:color w:val="231F20"/>
          <w:spacing w:val="-5"/>
          <w:w w:val="95"/>
        </w:rPr>
        <w:t xml:space="preserve"> </w:t>
      </w:r>
      <w:r>
        <w:rPr>
          <w:color w:val="231F20"/>
          <w:w w:val="95"/>
        </w:rPr>
        <w:t>situace</w:t>
      </w:r>
      <w:r>
        <w:rPr>
          <w:color w:val="231F20"/>
          <w:spacing w:val="-6"/>
          <w:w w:val="95"/>
        </w:rPr>
        <w:t xml:space="preserve"> </w:t>
      </w:r>
      <w:r>
        <w:rPr>
          <w:color w:val="231F20"/>
          <w:w w:val="95"/>
        </w:rPr>
        <w:t>místa</w:t>
      </w:r>
      <w:r>
        <w:rPr>
          <w:color w:val="231F20"/>
          <w:spacing w:val="-5"/>
          <w:w w:val="95"/>
        </w:rPr>
        <w:t xml:space="preserve"> </w:t>
      </w:r>
      <w:r>
        <w:rPr>
          <w:color w:val="231F20"/>
          <w:w w:val="95"/>
        </w:rPr>
        <w:t>dopravní</w:t>
      </w:r>
      <w:r>
        <w:rPr>
          <w:color w:val="231F20"/>
          <w:spacing w:val="-6"/>
          <w:w w:val="95"/>
        </w:rPr>
        <w:t xml:space="preserve"> </w:t>
      </w:r>
      <w:r>
        <w:rPr>
          <w:color w:val="231F20"/>
          <w:spacing w:val="-4"/>
          <w:w w:val="95"/>
        </w:rPr>
        <w:t>nehody.</w:t>
      </w:r>
    </w:p>
    <w:p w14:paraId="2856BD44" w14:textId="77777777" w:rsidR="00F65BCA" w:rsidRDefault="00F65BCA">
      <w:pPr>
        <w:pStyle w:val="Zkladntext"/>
        <w:rPr>
          <w:sz w:val="18"/>
        </w:rPr>
      </w:pPr>
    </w:p>
    <w:p w14:paraId="22A7A682" w14:textId="77777777" w:rsidR="00F65BCA" w:rsidRDefault="00F65BCA">
      <w:pPr>
        <w:pStyle w:val="Zkladntext"/>
        <w:spacing w:before="4"/>
        <w:rPr>
          <w:sz w:val="16"/>
        </w:rPr>
      </w:pPr>
    </w:p>
    <w:p w14:paraId="14AB83AC" w14:textId="77777777" w:rsidR="00F65BCA" w:rsidRDefault="00216117">
      <w:pPr>
        <w:spacing w:line="242" w:lineRule="auto"/>
        <w:ind w:left="2106" w:right="841" w:hanging="1680"/>
        <w:rPr>
          <w:sz w:val="24"/>
        </w:rPr>
      </w:pPr>
      <w:r>
        <w:rPr>
          <w:color w:val="231F20"/>
          <w:sz w:val="24"/>
        </w:rPr>
        <w:t>Pododdíl 4 – Pojištění „Poškození vozidla zvířetem“</w:t>
      </w:r>
    </w:p>
    <w:p w14:paraId="12E72B0A" w14:textId="77777777" w:rsidR="00F65BCA" w:rsidRDefault="00216117">
      <w:pPr>
        <w:spacing w:before="88"/>
        <w:ind w:left="428"/>
        <w:rPr>
          <w:sz w:val="15"/>
        </w:rPr>
      </w:pPr>
      <w:r>
        <w:rPr>
          <w:color w:val="FFFFFF"/>
          <w:position w:val="3"/>
          <w:sz w:val="16"/>
          <w:shd w:val="clear" w:color="auto" w:fill="808285"/>
        </w:rPr>
        <w:t xml:space="preserve">  Článek 43</w:t>
      </w:r>
      <w:r>
        <w:rPr>
          <w:color w:val="FFFFFF"/>
          <w:position w:val="3"/>
          <w:sz w:val="16"/>
        </w:rPr>
        <w:t xml:space="preserve"> </w:t>
      </w:r>
      <w:r>
        <w:rPr>
          <w:color w:val="231F20"/>
          <w:sz w:val="15"/>
        </w:rPr>
        <w:t>Úvodní ustanovení</w:t>
      </w:r>
    </w:p>
    <w:p w14:paraId="496AD209" w14:textId="77777777" w:rsidR="00F65BCA" w:rsidRDefault="00000000">
      <w:pPr>
        <w:pStyle w:val="Zkladntext"/>
        <w:spacing w:before="147" w:line="278" w:lineRule="auto"/>
        <w:ind w:left="710"/>
      </w:pPr>
      <w:r>
        <w:pict w14:anchorId="1B6024C6">
          <v:shape id="_x0000_s2251" type="#_x0000_t202" style="position:absolute;left:0;text-align:left;margin-left:28.4pt;margin-top:17.4pt;width:9.65pt;height:8.55pt;z-index:251877376;mso-position-horizontal-relative:page" fillcolor="#d1d3d4" stroked="f">
            <v:textbox inset="0,0,0,0">
              <w:txbxContent>
                <w:p w14:paraId="434AEB8A" w14:textId="77777777" w:rsidR="00F65BCA" w:rsidRDefault="00216117">
                  <w:pPr>
                    <w:spacing w:before="2"/>
                    <w:ind w:left="56"/>
                    <w:rPr>
                      <w:sz w:val="14"/>
                    </w:rPr>
                  </w:pPr>
                  <w:r>
                    <w:rPr>
                      <w:color w:val="231F20"/>
                      <w:w w:val="99"/>
                      <w:sz w:val="14"/>
                    </w:rPr>
                    <w:t>2</w:t>
                  </w:r>
                </w:p>
              </w:txbxContent>
            </v:textbox>
            <w10:wrap anchorx="page"/>
          </v:shape>
        </w:pict>
      </w:r>
      <w:r>
        <w:pict w14:anchorId="526F9366">
          <v:shape id="_x0000_s2250" type="#_x0000_t202" style="position:absolute;left:0;text-align:left;margin-left:28.4pt;margin-top:7.4pt;width:9.65pt;height:8.55pt;z-index:251878400;mso-position-horizontal-relative:page" fillcolor="#d1d3d4" stroked="f">
            <v:textbox inset="0,0,0,0">
              <w:txbxContent>
                <w:p w14:paraId="68C786A1" w14:textId="77777777" w:rsidR="00F65BCA" w:rsidRDefault="00216117">
                  <w:pPr>
                    <w:spacing w:before="2"/>
                    <w:ind w:left="56"/>
                    <w:rPr>
                      <w:sz w:val="14"/>
                    </w:rPr>
                  </w:pPr>
                  <w:r>
                    <w:rPr>
                      <w:color w:val="231F20"/>
                      <w:w w:val="99"/>
                      <w:sz w:val="14"/>
                    </w:rPr>
                    <w:t>1</w:t>
                  </w:r>
                </w:p>
              </w:txbxContent>
            </v:textbox>
            <w10:wrap anchorx="page"/>
          </v:shape>
        </w:pict>
      </w:r>
      <w:r w:rsidR="00216117">
        <w:rPr>
          <w:color w:val="231F20"/>
        </w:rPr>
        <w:t>Pojištění</w:t>
      </w:r>
      <w:r w:rsidR="00216117">
        <w:rPr>
          <w:color w:val="231F20"/>
          <w:spacing w:val="-17"/>
        </w:rPr>
        <w:t xml:space="preserve"> </w:t>
      </w:r>
      <w:r w:rsidR="00216117">
        <w:rPr>
          <w:color w:val="231F20"/>
        </w:rPr>
        <w:t>lze</w:t>
      </w:r>
      <w:r w:rsidR="00216117">
        <w:rPr>
          <w:color w:val="231F20"/>
          <w:spacing w:val="-16"/>
        </w:rPr>
        <w:t xml:space="preserve"> </w:t>
      </w:r>
      <w:r w:rsidR="00216117">
        <w:rPr>
          <w:color w:val="231F20"/>
        </w:rPr>
        <w:t>sjednat</w:t>
      </w:r>
      <w:r w:rsidR="00216117">
        <w:rPr>
          <w:color w:val="231F20"/>
          <w:spacing w:val="-17"/>
        </w:rPr>
        <w:t xml:space="preserve"> </w:t>
      </w:r>
      <w:r w:rsidR="00216117">
        <w:rPr>
          <w:color w:val="231F20"/>
        </w:rPr>
        <w:t>pro</w:t>
      </w:r>
      <w:r w:rsidR="00216117">
        <w:rPr>
          <w:color w:val="231F20"/>
          <w:spacing w:val="-16"/>
        </w:rPr>
        <w:t xml:space="preserve"> </w:t>
      </w:r>
      <w:r w:rsidR="00216117">
        <w:rPr>
          <w:color w:val="231F20"/>
        </w:rPr>
        <w:t>jednotlivá</w:t>
      </w:r>
      <w:r w:rsidR="00216117">
        <w:rPr>
          <w:color w:val="231F20"/>
          <w:spacing w:val="-17"/>
        </w:rPr>
        <w:t xml:space="preserve"> </w:t>
      </w:r>
      <w:r w:rsidR="00216117">
        <w:rPr>
          <w:color w:val="231F20"/>
        </w:rPr>
        <w:t>vozidla</w:t>
      </w:r>
      <w:r w:rsidR="00216117">
        <w:rPr>
          <w:color w:val="231F20"/>
          <w:spacing w:val="-16"/>
        </w:rPr>
        <w:t xml:space="preserve"> </w:t>
      </w:r>
      <w:r w:rsidR="00216117">
        <w:rPr>
          <w:color w:val="231F20"/>
        </w:rPr>
        <w:t>jako</w:t>
      </w:r>
      <w:r w:rsidR="00216117">
        <w:rPr>
          <w:color w:val="231F20"/>
          <w:spacing w:val="-17"/>
        </w:rPr>
        <w:t xml:space="preserve"> </w:t>
      </w:r>
      <w:r w:rsidR="00216117">
        <w:rPr>
          <w:color w:val="231F20"/>
        </w:rPr>
        <w:t>doplňkové</w:t>
      </w:r>
      <w:r w:rsidR="00216117">
        <w:rPr>
          <w:color w:val="231F20"/>
          <w:spacing w:val="-16"/>
        </w:rPr>
        <w:t xml:space="preserve"> </w:t>
      </w:r>
      <w:r w:rsidR="00216117">
        <w:rPr>
          <w:color w:val="231F20"/>
        </w:rPr>
        <w:t>škodové</w:t>
      </w:r>
      <w:r w:rsidR="00216117">
        <w:rPr>
          <w:color w:val="231F20"/>
          <w:spacing w:val="-16"/>
        </w:rPr>
        <w:t xml:space="preserve"> </w:t>
      </w:r>
      <w:r w:rsidR="00216117">
        <w:rPr>
          <w:color w:val="231F20"/>
        </w:rPr>
        <w:t xml:space="preserve">pojištění. </w:t>
      </w:r>
      <w:r w:rsidR="00216117">
        <w:rPr>
          <w:color w:val="231F20"/>
          <w:spacing w:val="2"/>
        </w:rPr>
        <w:t>Pokud</w:t>
      </w:r>
      <w:r w:rsidR="00216117">
        <w:rPr>
          <w:color w:val="231F20"/>
          <w:spacing w:val="-6"/>
        </w:rPr>
        <w:t xml:space="preserve"> </w:t>
      </w:r>
      <w:r w:rsidR="00216117">
        <w:rPr>
          <w:color w:val="231F20"/>
        </w:rPr>
        <w:t>je</w:t>
      </w:r>
      <w:r w:rsidR="00216117">
        <w:rPr>
          <w:color w:val="231F20"/>
          <w:spacing w:val="-6"/>
        </w:rPr>
        <w:t xml:space="preserve"> </w:t>
      </w:r>
      <w:r w:rsidR="00216117">
        <w:rPr>
          <w:color w:val="231F20"/>
          <w:spacing w:val="2"/>
        </w:rPr>
        <w:t>vedle</w:t>
      </w:r>
      <w:r w:rsidR="00216117">
        <w:rPr>
          <w:color w:val="231F20"/>
          <w:spacing w:val="-6"/>
        </w:rPr>
        <w:t xml:space="preserve"> </w:t>
      </w:r>
      <w:r w:rsidR="00216117">
        <w:rPr>
          <w:color w:val="231F20"/>
        </w:rPr>
        <w:t>tohoto</w:t>
      </w:r>
      <w:r w:rsidR="00216117">
        <w:rPr>
          <w:color w:val="231F20"/>
          <w:spacing w:val="-6"/>
        </w:rPr>
        <w:t xml:space="preserve"> </w:t>
      </w:r>
      <w:r w:rsidR="00216117">
        <w:rPr>
          <w:color w:val="231F20"/>
          <w:spacing w:val="2"/>
        </w:rPr>
        <w:t>pojištění</w:t>
      </w:r>
      <w:r w:rsidR="00216117">
        <w:rPr>
          <w:color w:val="231F20"/>
          <w:spacing w:val="-6"/>
        </w:rPr>
        <w:t xml:space="preserve"> </w:t>
      </w:r>
      <w:r w:rsidR="00216117">
        <w:rPr>
          <w:color w:val="231F20"/>
          <w:spacing w:val="3"/>
        </w:rPr>
        <w:t>sjednáno</w:t>
      </w:r>
      <w:r w:rsidR="00216117">
        <w:rPr>
          <w:color w:val="231F20"/>
          <w:spacing w:val="-6"/>
        </w:rPr>
        <w:t xml:space="preserve"> </w:t>
      </w:r>
      <w:r w:rsidR="00216117">
        <w:rPr>
          <w:color w:val="231F20"/>
        </w:rPr>
        <w:t>i</w:t>
      </w:r>
      <w:r w:rsidR="00216117">
        <w:rPr>
          <w:color w:val="231F20"/>
          <w:spacing w:val="-6"/>
        </w:rPr>
        <w:t xml:space="preserve"> </w:t>
      </w:r>
      <w:r w:rsidR="00216117">
        <w:rPr>
          <w:color w:val="231F20"/>
          <w:spacing w:val="2"/>
        </w:rPr>
        <w:t>havarijní</w:t>
      </w:r>
      <w:r w:rsidR="00216117">
        <w:rPr>
          <w:color w:val="231F20"/>
          <w:spacing w:val="-5"/>
        </w:rPr>
        <w:t xml:space="preserve"> </w:t>
      </w:r>
      <w:r w:rsidR="00216117">
        <w:rPr>
          <w:color w:val="231F20"/>
          <w:spacing w:val="2"/>
        </w:rPr>
        <w:t>pojištění</w:t>
      </w:r>
      <w:r w:rsidR="00216117">
        <w:rPr>
          <w:color w:val="231F20"/>
          <w:spacing w:val="-6"/>
        </w:rPr>
        <w:t xml:space="preserve"> </w:t>
      </w:r>
      <w:r w:rsidR="00216117">
        <w:rPr>
          <w:color w:val="231F20"/>
          <w:spacing w:val="2"/>
        </w:rPr>
        <w:t>vozidla,</w:t>
      </w:r>
      <w:r w:rsidR="00216117">
        <w:rPr>
          <w:color w:val="231F20"/>
          <w:spacing w:val="-6"/>
        </w:rPr>
        <w:t xml:space="preserve"> </w:t>
      </w:r>
      <w:r w:rsidR="00216117">
        <w:rPr>
          <w:color w:val="231F20"/>
          <w:spacing w:val="3"/>
        </w:rPr>
        <w:t xml:space="preserve">vzta- </w:t>
      </w:r>
      <w:r w:rsidR="00216117">
        <w:rPr>
          <w:color w:val="231F20"/>
          <w:spacing w:val="2"/>
        </w:rPr>
        <w:t>huje</w:t>
      </w:r>
      <w:r w:rsidR="00216117">
        <w:rPr>
          <w:color w:val="231F20"/>
          <w:spacing w:val="-4"/>
        </w:rPr>
        <w:t xml:space="preserve"> </w:t>
      </w:r>
      <w:r w:rsidR="00216117">
        <w:rPr>
          <w:color w:val="231F20"/>
        </w:rPr>
        <w:t>se</w:t>
      </w:r>
      <w:r w:rsidR="00216117">
        <w:rPr>
          <w:color w:val="231F20"/>
          <w:spacing w:val="-3"/>
        </w:rPr>
        <w:t xml:space="preserve"> </w:t>
      </w:r>
      <w:r w:rsidR="00216117">
        <w:rPr>
          <w:color w:val="231F20"/>
        </w:rPr>
        <w:t>toto</w:t>
      </w:r>
      <w:r w:rsidR="00216117">
        <w:rPr>
          <w:color w:val="231F20"/>
          <w:spacing w:val="-4"/>
        </w:rPr>
        <w:t xml:space="preserve"> </w:t>
      </w:r>
      <w:r w:rsidR="00216117">
        <w:rPr>
          <w:color w:val="231F20"/>
          <w:spacing w:val="2"/>
        </w:rPr>
        <w:t>pojištění</w:t>
      </w:r>
      <w:r w:rsidR="00216117">
        <w:rPr>
          <w:color w:val="231F20"/>
          <w:spacing w:val="-3"/>
        </w:rPr>
        <w:t xml:space="preserve"> </w:t>
      </w:r>
      <w:r w:rsidR="00216117">
        <w:rPr>
          <w:color w:val="231F20"/>
          <w:spacing w:val="2"/>
        </w:rPr>
        <w:t>jen</w:t>
      </w:r>
      <w:r w:rsidR="00216117">
        <w:rPr>
          <w:color w:val="231F20"/>
          <w:spacing w:val="-4"/>
        </w:rPr>
        <w:t xml:space="preserve"> </w:t>
      </w:r>
      <w:r w:rsidR="00216117">
        <w:rPr>
          <w:color w:val="231F20"/>
        </w:rPr>
        <w:t>na</w:t>
      </w:r>
      <w:r w:rsidR="00216117">
        <w:rPr>
          <w:color w:val="231F20"/>
          <w:spacing w:val="-3"/>
        </w:rPr>
        <w:t xml:space="preserve"> </w:t>
      </w:r>
      <w:r w:rsidR="00216117">
        <w:rPr>
          <w:color w:val="231F20"/>
        </w:rPr>
        <w:t>takové</w:t>
      </w:r>
      <w:r w:rsidR="00216117">
        <w:rPr>
          <w:color w:val="231F20"/>
          <w:spacing w:val="-3"/>
        </w:rPr>
        <w:t xml:space="preserve"> </w:t>
      </w:r>
      <w:r w:rsidR="00216117">
        <w:rPr>
          <w:color w:val="231F20"/>
          <w:spacing w:val="2"/>
        </w:rPr>
        <w:t>škody</w:t>
      </w:r>
      <w:r w:rsidR="00216117">
        <w:rPr>
          <w:color w:val="231F20"/>
          <w:spacing w:val="-4"/>
        </w:rPr>
        <w:t xml:space="preserve"> </w:t>
      </w:r>
      <w:r w:rsidR="00216117">
        <w:rPr>
          <w:color w:val="231F20"/>
        </w:rPr>
        <w:t>na</w:t>
      </w:r>
      <w:r w:rsidR="00216117">
        <w:rPr>
          <w:color w:val="231F20"/>
          <w:spacing w:val="-3"/>
        </w:rPr>
        <w:t xml:space="preserve"> </w:t>
      </w:r>
      <w:r w:rsidR="00216117">
        <w:rPr>
          <w:color w:val="231F20"/>
        </w:rPr>
        <w:t>vozidle,</w:t>
      </w:r>
      <w:r w:rsidR="00216117">
        <w:rPr>
          <w:color w:val="231F20"/>
          <w:spacing w:val="-4"/>
        </w:rPr>
        <w:t xml:space="preserve"> </w:t>
      </w:r>
      <w:r w:rsidR="00216117">
        <w:rPr>
          <w:color w:val="231F20"/>
          <w:spacing w:val="2"/>
        </w:rPr>
        <w:t>které</w:t>
      </w:r>
      <w:r w:rsidR="00216117">
        <w:rPr>
          <w:color w:val="231F20"/>
          <w:spacing w:val="-3"/>
        </w:rPr>
        <w:t xml:space="preserve"> </w:t>
      </w:r>
      <w:r w:rsidR="00216117">
        <w:rPr>
          <w:color w:val="231F20"/>
          <w:spacing w:val="3"/>
        </w:rPr>
        <w:t>nebudou</w:t>
      </w:r>
      <w:r w:rsidR="00216117">
        <w:rPr>
          <w:color w:val="231F20"/>
          <w:spacing w:val="-4"/>
        </w:rPr>
        <w:t xml:space="preserve"> </w:t>
      </w:r>
      <w:r w:rsidR="00216117">
        <w:rPr>
          <w:color w:val="231F20"/>
          <w:spacing w:val="2"/>
        </w:rPr>
        <w:t xml:space="preserve">uplat- něny </w:t>
      </w:r>
      <w:r w:rsidR="00216117">
        <w:rPr>
          <w:color w:val="231F20"/>
        </w:rPr>
        <w:t xml:space="preserve">z </w:t>
      </w:r>
      <w:r w:rsidR="00216117">
        <w:rPr>
          <w:color w:val="231F20"/>
          <w:spacing w:val="3"/>
        </w:rPr>
        <w:t>uvedeného havarijního</w:t>
      </w:r>
      <w:r w:rsidR="00216117">
        <w:rPr>
          <w:color w:val="231F20"/>
          <w:spacing w:val="-2"/>
        </w:rPr>
        <w:t xml:space="preserve"> </w:t>
      </w:r>
      <w:r w:rsidR="00216117">
        <w:rPr>
          <w:color w:val="231F20"/>
          <w:spacing w:val="2"/>
        </w:rPr>
        <w:t>pojištění.</w:t>
      </w:r>
    </w:p>
    <w:p w14:paraId="22086DFA" w14:textId="77777777" w:rsidR="00F65BCA" w:rsidRDefault="00F65BCA">
      <w:pPr>
        <w:pStyle w:val="Zkladntext"/>
        <w:spacing w:before="11"/>
        <w:rPr>
          <w:sz w:val="20"/>
        </w:rPr>
      </w:pPr>
    </w:p>
    <w:p w14:paraId="386FC6F8" w14:textId="77777777" w:rsidR="00F65BCA" w:rsidRDefault="00216117">
      <w:pPr>
        <w:pStyle w:val="Zkladntext"/>
        <w:ind w:left="428"/>
      </w:pPr>
      <w:r>
        <w:rPr>
          <w:color w:val="FFFFFF"/>
          <w:position w:val="3"/>
          <w:sz w:val="16"/>
          <w:shd w:val="clear" w:color="auto" w:fill="808285"/>
        </w:rPr>
        <w:t xml:space="preserve">  </w:t>
      </w:r>
      <w:r>
        <w:rPr>
          <w:color w:val="FFFFFF"/>
          <w:spacing w:val="6"/>
          <w:w w:val="105"/>
          <w:position w:val="3"/>
          <w:sz w:val="16"/>
          <w:shd w:val="clear" w:color="auto" w:fill="808285"/>
        </w:rPr>
        <w:t xml:space="preserve">Článek </w:t>
      </w:r>
      <w:r>
        <w:rPr>
          <w:color w:val="FFFFFF"/>
          <w:spacing w:val="4"/>
          <w:w w:val="105"/>
          <w:position w:val="3"/>
          <w:sz w:val="16"/>
          <w:shd w:val="clear" w:color="auto" w:fill="808285"/>
        </w:rPr>
        <w:t>44</w:t>
      </w:r>
      <w:r>
        <w:rPr>
          <w:color w:val="FFFFFF"/>
          <w:spacing w:val="4"/>
          <w:w w:val="105"/>
          <w:position w:val="3"/>
          <w:sz w:val="16"/>
        </w:rPr>
        <w:t xml:space="preserve"> </w:t>
      </w:r>
      <w:r>
        <w:rPr>
          <w:color w:val="231F20"/>
          <w:w w:val="105"/>
        </w:rPr>
        <w:t xml:space="preserve">Pojistná nebezpečí, </w:t>
      </w:r>
      <w:r>
        <w:rPr>
          <w:color w:val="231F20"/>
          <w:spacing w:val="-3"/>
          <w:w w:val="105"/>
        </w:rPr>
        <w:t xml:space="preserve">rozsah </w:t>
      </w:r>
      <w:r>
        <w:rPr>
          <w:color w:val="231F20"/>
          <w:w w:val="105"/>
        </w:rPr>
        <w:t xml:space="preserve">pojištění, limit pojistného </w:t>
      </w:r>
      <w:r>
        <w:rPr>
          <w:color w:val="231F20"/>
          <w:spacing w:val="-2"/>
          <w:w w:val="105"/>
        </w:rPr>
        <w:t>plnění</w:t>
      </w:r>
    </w:p>
    <w:p w14:paraId="3330E5F2"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20"/>
          <w:position w:val="1"/>
          <w:sz w:val="14"/>
        </w:rPr>
        <w:t xml:space="preserve"> </w:t>
      </w:r>
      <w:r>
        <w:rPr>
          <w:color w:val="231F20"/>
        </w:rPr>
        <w:t>Není-li</w:t>
      </w:r>
      <w:r>
        <w:rPr>
          <w:color w:val="231F20"/>
          <w:spacing w:val="-9"/>
        </w:rPr>
        <w:t xml:space="preserve"> </w:t>
      </w:r>
      <w:r>
        <w:rPr>
          <w:color w:val="231F20"/>
        </w:rPr>
        <w:t>v</w:t>
      </w:r>
      <w:r>
        <w:rPr>
          <w:color w:val="231F20"/>
          <w:spacing w:val="-10"/>
        </w:rPr>
        <w:t xml:space="preserve"> </w:t>
      </w:r>
      <w:r>
        <w:rPr>
          <w:color w:val="231F20"/>
        </w:rPr>
        <w:t>pojistné</w:t>
      </w:r>
      <w:r>
        <w:rPr>
          <w:color w:val="231F20"/>
          <w:spacing w:val="-10"/>
        </w:rPr>
        <w:t xml:space="preserve"> </w:t>
      </w:r>
      <w:r>
        <w:rPr>
          <w:color w:val="231F20"/>
        </w:rPr>
        <w:t>smlouvě</w:t>
      </w:r>
      <w:r>
        <w:rPr>
          <w:color w:val="231F20"/>
          <w:spacing w:val="-10"/>
        </w:rPr>
        <w:t xml:space="preserve"> </w:t>
      </w:r>
      <w:r>
        <w:rPr>
          <w:color w:val="231F20"/>
        </w:rPr>
        <w:t>nebo</w:t>
      </w:r>
      <w:r>
        <w:rPr>
          <w:color w:val="231F20"/>
          <w:spacing w:val="-10"/>
        </w:rPr>
        <w:t xml:space="preserve"> </w:t>
      </w:r>
      <w:r>
        <w:rPr>
          <w:color w:val="231F20"/>
        </w:rPr>
        <w:t>seznamu</w:t>
      </w:r>
      <w:r>
        <w:rPr>
          <w:color w:val="231F20"/>
          <w:spacing w:val="-9"/>
        </w:rPr>
        <w:t xml:space="preserve"> </w:t>
      </w:r>
      <w:r>
        <w:rPr>
          <w:color w:val="231F20"/>
        </w:rPr>
        <w:t>vozidel</w:t>
      </w:r>
      <w:r>
        <w:rPr>
          <w:color w:val="231F20"/>
          <w:spacing w:val="-10"/>
        </w:rPr>
        <w:t xml:space="preserve"> </w:t>
      </w:r>
      <w:r>
        <w:rPr>
          <w:color w:val="231F20"/>
        </w:rPr>
        <w:t>ujednáno</w:t>
      </w:r>
      <w:r>
        <w:rPr>
          <w:color w:val="231F20"/>
          <w:spacing w:val="-10"/>
        </w:rPr>
        <w:t xml:space="preserve"> </w:t>
      </w:r>
      <w:r>
        <w:rPr>
          <w:color w:val="231F20"/>
        </w:rPr>
        <w:t>jinak,</w:t>
      </w:r>
      <w:r>
        <w:rPr>
          <w:color w:val="231F20"/>
          <w:spacing w:val="-10"/>
        </w:rPr>
        <w:t xml:space="preserve"> </w:t>
      </w:r>
      <w:r>
        <w:rPr>
          <w:color w:val="231F20"/>
        </w:rPr>
        <w:t>je</w:t>
      </w:r>
      <w:r>
        <w:rPr>
          <w:color w:val="231F20"/>
          <w:spacing w:val="-10"/>
        </w:rPr>
        <w:t xml:space="preserve"> </w:t>
      </w:r>
      <w:r>
        <w:rPr>
          <w:color w:val="231F20"/>
        </w:rPr>
        <w:t>pojistným nebezpečím, na které se pojištění vztahuje, poškození následujících částí motorového</w:t>
      </w:r>
      <w:r>
        <w:rPr>
          <w:color w:val="231F20"/>
          <w:spacing w:val="-6"/>
        </w:rPr>
        <w:t xml:space="preserve"> </w:t>
      </w:r>
      <w:r>
        <w:rPr>
          <w:color w:val="231F20"/>
        </w:rPr>
        <w:t>prostoru</w:t>
      </w:r>
      <w:r>
        <w:rPr>
          <w:color w:val="231F20"/>
          <w:spacing w:val="-5"/>
        </w:rPr>
        <w:t xml:space="preserve"> </w:t>
      </w:r>
      <w:r>
        <w:rPr>
          <w:color w:val="231F20"/>
        </w:rPr>
        <w:t>stojícího</w:t>
      </w:r>
      <w:r>
        <w:rPr>
          <w:color w:val="231F20"/>
          <w:spacing w:val="-6"/>
        </w:rPr>
        <w:t xml:space="preserve"> </w:t>
      </w:r>
      <w:r>
        <w:rPr>
          <w:color w:val="231F20"/>
        </w:rPr>
        <w:t>vozidla</w:t>
      </w:r>
      <w:r>
        <w:rPr>
          <w:color w:val="231F20"/>
          <w:spacing w:val="-5"/>
        </w:rPr>
        <w:t xml:space="preserve"> </w:t>
      </w:r>
      <w:r>
        <w:rPr>
          <w:color w:val="231F20"/>
        </w:rPr>
        <w:t>zvířetem:</w:t>
      </w:r>
      <w:r>
        <w:rPr>
          <w:color w:val="231F20"/>
          <w:spacing w:val="-6"/>
        </w:rPr>
        <w:t xml:space="preserve"> </w:t>
      </w:r>
      <w:r>
        <w:rPr>
          <w:color w:val="231F20"/>
        </w:rPr>
        <w:t>kabelů,</w:t>
      </w:r>
      <w:r>
        <w:rPr>
          <w:color w:val="231F20"/>
          <w:spacing w:val="-5"/>
        </w:rPr>
        <w:t xml:space="preserve"> </w:t>
      </w:r>
      <w:r>
        <w:rPr>
          <w:color w:val="231F20"/>
        </w:rPr>
        <w:t>kabelových</w:t>
      </w:r>
      <w:r>
        <w:rPr>
          <w:color w:val="231F20"/>
          <w:spacing w:val="-6"/>
        </w:rPr>
        <w:t xml:space="preserve"> </w:t>
      </w:r>
      <w:r>
        <w:rPr>
          <w:color w:val="231F20"/>
        </w:rPr>
        <w:t>svazků, brzdové soustavy, chladicí soustavy nebo</w:t>
      </w:r>
      <w:r>
        <w:rPr>
          <w:color w:val="231F20"/>
          <w:spacing w:val="-17"/>
        </w:rPr>
        <w:t xml:space="preserve"> </w:t>
      </w:r>
      <w:r>
        <w:rPr>
          <w:color w:val="231F20"/>
        </w:rPr>
        <w:t>odhlučnění.</w:t>
      </w:r>
    </w:p>
    <w:p w14:paraId="75F2442F"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14"/>
          <w:position w:val="1"/>
          <w:sz w:val="14"/>
        </w:rPr>
        <w:t xml:space="preserve"> </w:t>
      </w:r>
      <w:r>
        <w:rPr>
          <w:color w:val="231F20"/>
        </w:rPr>
        <w:t>Limit</w:t>
      </w:r>
      <w:r>
        <w:rPr>
          <w:color w:val="231F20"/>
          <w:spacing w:val="-10"/>
        </w:rPr>
        <w:t xml:space="preserve"> </w:t>
      </w:r>
      <w:r>
        <w:rPr>
          <w:color w:val="231F20"/>
        </w:rPr>
        <w:t>pojistného</w:t>
      </w:r>
      <w:r>
        <w:rPr>
          <w:color w:val="231F20"/>
          <w:spacing w:val="-10"/>
        </w:rPr>
        <w:t xml:space="preserve"> </w:t>
      </w:r>
      <w:r>
        <w:rPr>
          <w:color w:val="231F20"/>
        </w:rPr>
        <w:t>plnění</w:t>
      </w:r>
      <w:r>
        <w:rPr>
          <w:color w:val="231F20"/>
          <w:spacing w:val="-10"/>
        </w:rPr>
        <w:t xml:space="preserve"> </w:t>
      </w:r>
      <w:r>
        <w:rPr>
          <w:color w:val="231F20"/>
        </w:rPr>
        <w:t>a</w:t>
      </w:r>
      <w:r>
        <w:rPr>
          <w:color w:val="231F20"/>
          <w:spacing w:val="-10"/>
        </w:rPr>
        <w:t xml:space="preserve"> </w:t>
      </w:r>
      <w:r>
        <w:rPr>
          <w:color w:val="231F20"/>
        </w:rPr>
        <w:t>spoluúčast</w:t>
      </w:r>
      <w:r>
        <w:rPr>
          <w:color w:val="231F20"/>
          <w:spacing w:val="-10"/>
        </w:rPr>
        <w:t xml:space="preserve"> </w:t>
      </w:r>
      <w:r>
        <w:rPr>
          <w:color w:val="231F20"/>
        </w:rPr>
        <w:t>jsou</w:t>
      </w:r>
      <w:r>
        <w:rPr>
          <w:color w:val="231F20"/>
          <w:spacing w:val="-10"/>
        </w:rPr>
        <w:t xml:space="preserve"> </w:t>
      </w:r>
      <w:r>
        <w:rPr>
          <w:color w:val="231F20"/>
        </w:rPr>
        <w:t>dojednány</w:t>
      </w:r>
      <w:r>
        <w:rPr>
          <w:color w:val="231F20"/>
          <w:spacing w:val="-10"/>
        </w:rPr>
        <w:t xml:space="preserve"> </w:t>
      </w:r>
      <w:r>
        <w:rPr>
          <w:color w:val="231F20"/>
        </w:rPr>
        <w:t>v</w:t>
      </w:r>
      <w:r>
        <w:rPr>
          <w:color w:val="231F20"/>
          <w:spacing w:val="-11"/>
        </w:rPr>
        <w:t xml:space="preserve"> </w:t>
      </w:r>
      <w:r>
        <w:rPr>
          <w:color w:val="231F20"/>
        </w:rPr>
        <w:t>pojistné</w:t>
      </w:r>
      <w:r>
        <w:rPr>
          <w:color w:val="231F20"/>
          <w:spacing w:val="-10"/>
        </w:rPr>
        <w:t xml:space="preserve"> </w:t>
      </w:r>
      <w:r>
        <w:rPr>
          <w:color w:val="231F20"/>
        </w:rPr>
        <w:t>smlouvě</w:t>
      </w:r>
      <w:r>
        <w:rPr>
          <w:color w:val="231F20"/>
          <w:spacing w:val="-10"/>
        </w:rPr>
        <w:t xml:space="preserve"> </w:t>
      </w:r>
      <w:r>
        <w:rPr>
          <w:color w:val="231F20"/>
          <w:spacing w:val="2"/>
        </w:rPr>
        <w:t xml:space="preserve">nebo </w:t>
      </w:r>
      <w:r>
        <w:rPr>
          <w:color w:val="231F20"/>
        </w:rPr>
        <w:t>v seznamu</w:t>
      </w:r>
      <w:r>
        <w:rPr>
          <w:color w:val="231F20"/>
          <w:spacing w:val="-1"/>
        </w:rPr>
        <w:t xml:space="preserve"> </w:t>
      </w:r>
      <w:r>
        <w:rPr>
          <w:color w:val="231F20"/>
        </w:rPr>
        <w:t>vozidel.</w:t>
      </w:r>
    </w:p>
    <w:p w14:paraId="6A2EC605" w14:textId="77777777" w:rsidR="00F65BCA" w:rsidRDefault="00F65BCA">
      <w:pPr>
        <w:pStyle w:val="Zkladntext"/>
        <w:rPr>
          <w:sz w:val="18"/>
        </w:rPr>
      </w:pPr>
    </w:p>
    <w:p w14:paraId="1F6F8CE7" w14:textId="77777777" w:rsidR="00F65BCA" w:rsidRDefault="00F65BCA">
      <w:pPr>
        <w:pStyle w:val="Zkladntext"/>
        <w:spacing w:before="3"/>
        <w:rPr>
          <w:sz w:val="16"/>
        </w:rPr>
      </w:pPr>
    </w:p>
    <w:p w14:paraId="157D40A7" w14:textId="77777777" w:rsidR="00F65BCA" w:rsidRDefault="00216117">
      <w:pPr>
        <w:ind w:left="426"/>
        <w:rPr>
          <w:sz w:val="24"/>
        </w:rPr>
      </w:pPr>
      <w:r>
        <w:rPr>
          <w:color w:val="231F20"/>
          <w:sz w:val="24"/>
        </w:rPr>
        <w:t xml:space="preserve">Pododdíl 5 – </w:t>
      </w:r>
      <w:r>
        <w:rPr>
          <w:color w:val="231F20"/>
          <w:spacing w:val="-3"/>
          <w:sz w:val="24"/>
        </w:rPr>
        <w:t>Pojištění „Činnost pracovního stroje“</w:t>
      </w:r>
    </w:p>
    <w:p w14:paraId="01260C21" w14:textId="77777777" w:rsidR="00F65BCA" w:rsidRDefault="00216117">
      <w:pPr>
        <w:spacing w:before="169"/>
        <w:ind w:left="428"/>
        <w:rPr>
          <w:sz w:val="15"/>
        </w:rPr>
      </w:pPr>
      <w:r>
        <w:rPr>
          <w:color w:val="FFFFFF"/>
          <w:position w:val="3"/>
          <w:sz w:val="16"/>
          <w:shd w:val="clear" w:color="auto" w:fill="808285"/>
        </w:rPr>
        <w:t xml:space="preserve">  Článek 45</w:t>
      </w:r>
      <w:r>
        <w:rPr>
          <w:color w:val="FFFFFF"/>
          <w:position w:val="3"/>
          <w:sz w:val="16"/>
        </w:rPr>
        <w:t xml:space="preserve"> </w:t>
      </w:r>
      <w:r>
        <w:rPr>
          <w:color w:val="231F20"/>
          <w:sz w:val="15"/>
        </w:rPr>
        <w:t>Úvodní ustanovení</w:t>
      </w:r>
    </w:p>
    <w:p w14:paraId="2BAC1014" w14:textId="77777777" w:rsidR="00F65BCA" w:rsidRDefault="00216117">
      <w:pPr>
        <w:pStyle w:val="Zkladntext"/>
        <w:spacing w:before="148"/>
        <w:ind w:left="426"/>
      </w:pPr>
      <w:r>
        <w:rPr>
          <w:color w:val="231F20"/>
        </w:rPr>
        <w:t>Pojištění lze sjednat pro jednotlivá vozidla jako doplňkové škodové pojištění.</w:t>
      </w:r>
    </w:p>
    <w:p w14:paraId="02F18AB0" w14:textId="77777777" w:rsidR="00F65BCA" w:rsidRDefault="00216117">
      <w:pPr>
        <w:pStyle w:val="Zkladntext"/>
        <w:spacing w:before="116"/>
        <w:ind w:left="185"/>
      </w:pPr>
      <w:r>
        <w:br w:type="column"/>
      </w:r>
      <w:r>
        <w:rPr>
          <w:color w:val="FFFFFF"/>
          <w:position w:val="3"/>
          <w:sz w:val="16"/>
          <w:shd w:val="clear" w:color="auto" w:fill="808285"/>
        </w:rPr>
        <w:t xml:space="preserve">  </w:t>
      </w:r>
      <w:r>
        <w:rPr>
          <w:color w:val="FFFFFF"/>
          <w:w w:val="105"/>
          <w:position w:val="3"/>
          <w:sz w:val="16"/>
          <w:shd w:val="clear" w:color="auto" w:fill="808285"/>
        </w:rPr>
        <w:t>Článek 46</w:t>
      </w:r>
      <w:r>
        <w:rPr>
          <w:color w:val="FFFFFF"/>
          <w:w w:val="105"/>
          <w:position w:val="3"/>
          <w:sz w:val="16"/>
        </w:rPr>
        <w:t xml:space="preserve"> </w:t>
      </w:r>
      <w:r>
        <w:rPr>
          <w:color w:val="231F20"/>
          <w:w w:val="105"/>
        </w:rPr>
        <w:t>Pojistná nebezpečí, rozsah pojištění, limit pojistného plnění</w:t>
      </w:r>
    </w:p>
    <w:p w14:paraId="0762427E" w14:textId="77777777" w:rsidR="00F65BCA" w:rsidRDefault="00216117">
      <w:pPr>
        <w:pStyle w:val="Zkladntext"/>
        <w:spacing w:before="147"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21"/>
          <w:position w:val="1"/>
          <w:sz w:val="14"/>
        </w:rPr>
        <w:t xml:space="preserve"> </w:t>
      </w:r>
      <w:r>
        <w:rPr>
          <w:color w:val="231F20"/>
        </w:rPr>
        <w:t>Není-li</w:t>
      </w:r>
      <w:r>
        <w:rPr>
          <w:color w:val="231F20"/>
          <w:spacing w:val="-10"/>
        </w:rPr>
        <w:t xml:space="preserve"> </w:t>
      </w:r>
      <w:r>
        <w:rPr>
          <w:color w:val="231F20"/>
        </w:rPr>
        <w:t>v</w:t>
      </w:r>
      <w:r>
        <w:rPr>
          <w:color w:val="231F20"/>
          <w:spacing w:val="-10"/>
        </w:rPr>
        <w:t xml:space="preserve"> </w:t>
      </w:r>
      <w:r>
        <w:rPr>
          <w:color w:val="231F20"/>
        </w:rPr>
        <w:t>pojistné</w:t>
      </w:r>
      <w:r>
        <w:rPr>
          <w:color w:val="231F20"/>
          <w:spacing w:val="-10"/>
        </w:rPr>
        <w:t xml:space="preserve"> </w:t>
      </w:r>
      <w:r>
        <w:rPr>
          <w:color w:val="231F20"/>
        </w:rPr>
        <w:t>smlouvě</w:t>
      </w:r>
      <w:r>
        <w:rPr>
          <w:color w:val="231F20"/>
          <w:spacing w:val="-9"/>
        </w:rPr>
        <w:t xml:space="preserve"> </w:t>
      </w:r>
      <w:r>
        <w:rPr>
          <w:color w:val="231F20"/>
        </w:rPr>
        <w:t>nebo</w:t>
      </w:r>
      <w:r>
        <w:rPr>
          <w:color w:val="231F20"/>
          <w:spacing w:val="-10"/>
        </w:rPr>
        <w:t xml:space="preserve"> </w:t>
      </w:r>
      <w:r>
        <w:rPr>
          <w:color w:val="231F20"/>
        </w:rPr>
        <w:t>seznamu</w:t>
      </w:r>
      <w:r>
        <w:rPr>
          <w:color w:val="231F20"/>
          <w:spacing w:val="-10"/>
        </w:rPr>
        <w:t xml:space="preserve"> </w:t>
      </w:r>
      <w:r>
        <w:rPr>
          <w:color w:val="231F20"/>
        </w:rPr>
        <w:t>vozidel</w:t>
      </w:r>
      <w:r>
        <w:rPr>
          <w:color w:val="231F20"/>
          <w:spacing w:val="-9"/>
        </w:rPr>
        <w:t xml:space="preserve"> </w:t>
      </w:r>
      <w:r>
        <w:rPr>
          <w:color w:val="231F20"/>
        </w:rPr>
        <w:t>ujednáno</w:t>
      </w:r>
      <w:r>
        <w:rPr>
          <w:color w:val="231F20"/>
          <w:spacing w:val="-10"/>
        </w:rPr>
        <w:t xml:space="preserve"> </w:t>
      </w:r>
      <w:r>
        <w:rPr>
          <w:color w:val="231F20"/>
        </w:rPr>
        <w:t>jinak,</w:t>
      </w:r>
      <w:r>
        <w:rPr>
          <w:color w:val="231F20"/>
          <w:spacing w:val="-10"/>
        </w:rPr>
        <w:t xml:space="preserve"> </w:t>
      </w:r>
      <w:r>
        <w:rPr>
          <w:color w:val="231F20"/>
        </w:rPr>
        <w:t>je</w:t>
      </w:r>
      <w:r>
        <w:rPr>
          <w:color w:val="231F20"/>
          <w:spacing w:val="-10"/>
        </w:rPr>
        <w:t xml:space="preserve"> </w:t>
      </w:r>
      <w:r>
        <w:rPr>
          <w:color w:val="231F20"/>
        </w:rPr>
        <w:t>pojistným nebezpečím,</w:t>
      </w:r>
      <w:r>
        <w:rPr>
          <w:color w:val="231F20"/>
          <w:spacing w:val="-28"/>
        </w:rPr>
        <w:t xml:space="preserve"> </w:t>
      </w:r>
      <w:r>
        <w:rPr>
          <w:color w:val="231F20"/>
        </w:rPr>
        <w:t>na</w:t>
      </w:r>
      <w:r>
        <w:rPr>
          <w:color w:val="231F20"/>
          <w:spacing w:val="-28"/>
        </w:rPr>
        <w:t xml:space="preserve"> </w:t>
      </w:r>
      <w:r>
        <w:rPr>
          <w:color w:val="231F20"/>
        </w:rPr>
        <w:t>které</w:t>
      </w:r>
      <w:r>
        <w:rPr>
          <w:color w:val="231F20"/>
          <w:spacing w:val="-28"/>
        </w:rPr>
        <w:t xml:space="preserve"> </w:t>
      </w:r>
      <w:r>
        <w:rPr>
          <w:color w:val="231F20"/>
        </w:rPr>
        <w:t>se</w:t>
      </w:r>
      <w:r>
        <w:rPr>
          <w:color w:val="231F20"/>
          <w:spacing w:val="-28"/>
        </w:rPr>
        <w:t xml:space="preserve"> </w:t>
      </w:r>
      <w:r>
        <w:rPr>
          <w:color w:val="231F20"/>
        </w:rPr>
        <w:t>pojištění</w:t>
      </w:r>
      <w:r>
        <w:rPr>
          <w:color w:val="231F20"/>
          <w:spacing w:val="-28"/>
        </w:rPr>
        <w:t xml:space="preserve"> </w:t>
      </w:r>
      <w:r>
        <w:rPr>
          <w:color w:val="231F20"/>
        </w:rPr>
        <w:t>vztahuje,</w:t>
      </w:r>
      <w:r>
        <w:rPr>
          <w:color w:val="231F20"/>
          <w:spacing w:val="-28"/>
        </w:rPr>
        <w:t xml:space="preserve"> </w:t>
      </w:r>
      <w:r>
        <w:rPr>
          <w:color w:val="231F20"/>
        </w:rPr>
        <w:t>neuplatnění</w:t>
      </w:r>
      <w:r>
        <w:rPr>
          <w:color w:val="231F20"/>
          <w:spacing w:val="-28"/>
        </w:rPr>
        <w:t xml:space="preserve"> </w:t>
      </w:r>
      <w:r>
        <w:rPr>
          <w:color w:val="231F20"/>
        </w:rPr>
        <w:t>výluky</w:t>
      </w:r>
      <w:r>
        <w:rPr>
          <w:color w:val="231F20"/>
          <w:spacing w:val="-28"/>
        </w:rPr>
        <w:t xml:space="preserve"> </w:t>
      </w:r>
      <w:r>
        <w:rPr>
          <w:color w:val="231F20"/>
        </w:rPr>
        <w:t>uvedené</w:t>
      </w:r>
      <w:r>
        <w:rPr>
          <w:color w:val="231F20"/>
          <w:spacing w:val="-28"/>
        </w:rPr>
        <w:t xml:space="preserve"> </w:t>
      </w:r>
      <w:r>
        <w:rPr>
          <w:color w:val="231F20"/>
        </w:rPr>
        <w:t>v</w:t>
      </w:r>
      <w:r>
        <w:rPr>
          <w:color w:val="231F20"/>
          <w:spacing w:val="-28"/>
        </w:rPr>
        <w:t xml:space="preserve"> </w:t>
      </w:r>
      <w:r>
        <w:rPr>
          <w:color w:val="231F20"/>
        </w:rPr>
        <w:t>člán- ku</w:t>
      </w:r>
      <w:r>
        <w:rPr>
          <w:color w:val="231F20"/>
          <w:spacing w:val="-19"/>
        </w:rPr>
        <w:t xml:space="preserve"> </w:t>
      </w:r>
      <w:r>
        <w:rPr>
          <w:color w:val="231F20"/>
        </w:rPr>
        <w:t>26,</w:t>
      </w:r>
      <w:r>
        <w:rPr>
          <w:color w:val="231F20"/>
          <w:spacing w:val="-18"/>
        </w:rPr>
        <w:t xml:space="preserve"> </w:t>
      </w:r>
      <w:r>
        <w:rPr>
          <w:color w:val="231F20"/>
        </w:rPr>
        <w:t>odst.</w:t>
      </w:r>
      <w:r>
        <w:rPr>
          <w:color w:val="231F20"/>
          <w:spacing w:val="-19"/>
        </w:rPr>
        <w:t xml:space="preserve"> </w:t>
      </w:r>
      <w:r>
        <w:rPr>
          <w:color w:val="231F20"/>
        </w:rPr>
        <w:t>1,</w:t>
      </w:r>
      <w:r>
        <w:rPr>
          <w:color w:val="231F20"/>
          <w:spacing w:val="-18"/>
        </w:rPr>
        <w:t xml:space="preserve"> </w:t>
      </w:r>
      <w:r>
        <w:rPr>
          <w:color w:val="231F20"/>
        </w:rPr>
        <w:t>písm.</w:t>
      </w:r>
      <w:r>
        <w:rPr>
          <w:color w:val="231F20"/>
          <w:spacing w:val="-19"/>
        </w:rPr>
        <w:t xml:space="preserve"> </w:t>
      </w:r>
      <w:r>
        <w:rPr>
          <w:color w:val="231F20"/>
        </w:rPr>
        <w:t>g</w:t>
      </w:r>
      <w:r>
        <w:rPr>
          <w:color w:val="231F20"/>
          <w:spacing w:val="-19"/>
        </w:rPr>
        <w:t xml:space="preserve"> </w:t>
      </w:r>
      <w:r>
        <w:rPr>
          <w:color w:val="231F20"/>
        </w:rPr>
        <w:t>těchto</w:t>
      </w:r>
      <w:r>
        <w:rPr>
          <w:color w:val="231F20"/>
          <w:spacing w:val="-18"/>
        </w:rPr>
        <w:t xml:space="preserve"> </w:t>
      </w:r>
      <w:r>
        <w:rPr>
          <w:color w:val="231F20"/>
        </w:rPr>
        <w:t>VPP</w:t>
      </w:r>
      <w:r>
        <w:rPr>
          <w:color w:val="231F20"/>
          <w:spacing w:val="-18"/>
        </w:rPr>
        <w:t xml:space="preserve"> </w:t>
      </w:r>
      <w:r>
        <w:rPr>
          <w:color w:val="231F20"/>
        </w:rPr>
        <w:t>na</w:t>
      </w:r>
      <w:r>
        <w:rPr>
          <w:color w:val="231F20"/>
          <w:spacing w:val="-18"/>
        </w:rPr>
        <w:t xml:space="preserve"> </w:t>
      </w:r>
      <w:r>
        <w:rPr>
          <w:color w:val="231F20"/>
        </w:rPr>
        <w:t>škody</w:t>
      </w:r>
      <w:r>
        <w:rPr>
          <w:color w:val="231F20"/>
          <w:spacing w:val="-19"/>
        </w:rPr>
        <w:t xml:space="preserve"> </w:t>
      </w:r>
      <w:r>
        <w:rPr>
          <w:color w:val="231F20"/>
        </w:rPr>
        <w:t>uplatněné</w:t>
      </w:r>
      <w:r>
        <w:rPr>
          <w:color w:val="231F20"/>
          <w:spacing w:val="-19"/>
        </w:rPr>
        <w:t xml:space="preserve"> </w:t>
      </w:r>
      <w:r>
        <w:rPr>
          <w:color w:val="231F20"/>
        </w:rPr>
        <w:t>ze</w:t>
      </w:r>
      <w:r>
        <w:rPr>
          <w:color w:val="231F20"/>
          <w:spacing w:val="-18"/>
        </w:rPr>
        <w:t xml:space="preserve"> </w:t>
      </w:r>
      <w:r>
        <w:rPr>
          <w:color w:val="231F20"/>
        </w:rPr>
        <w:t>základního</w:t>
      </w:r>
      <w:r>
        <w:rPr>
          <w:color w:val="231F20"/>
          <w:spacing w:val="-18"/>
        </w:rPr>
        <w:t xml:space="preserve"> </w:t>
      </w:r>
      <w:r>
        <w:rPr>
          <w:color w:val="231F20"/>
        </w:rPr>
        <w:t>pojištění, k němuž je toto doplňkové pojištění</w:t>
      </w:r>
      <w:r>
        <w:rPr>
          <w:color w:val="231F20"/>
          <w:spacing w:val="-10"/>
        </w:rPr>
        <w:t xml:space="preserve"> </w:t>
      </w:r>
      <w:r>
        <w:rPr>
          <w:color w:val="231F20"/>
        </w:rPr>
        <w:t>sjednáno.</w:t>
      </w:r>
    </w:p>
    <w:p w14:paraId="5F9D8E9D"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36"/>
          <w:position w:val="1"/>
          <w:sz w:val="14"/>
        </w:rPr>
        <w:t xml:space="preserve"> </w:t>
      </w:r>
      <w:r>
        <w:rPr>
          <w:color w:val="231F20"/>
        </w:rPr>
        <w:t>Za</w:t>
      </w:r>
      <w:r>
        <w:rPr>
          <w:color w:val="231F20"/>
          <w:spacing w:val="-14"/>
        </w:rPr>
        <w:t xml:space="preserve"> </w:t>
      </w:r>
      <w:r>
        <w:rPr>
          <w:color w:val="231F20"/>
        </w:rPr>
        <w:t>činnost</w:t>
      </w:r>
      <w:r>
        <w:rPr>
          <w:color w:val="231F20"/>
          <w:spacing w:val="-13"/>
        </w:rPr>
        <w:t xml:space="preserve"> </w:t>
      </w:r>
      <w:r>
        <w:rPr>
          <w:color w:val="231F20"/>
        </w:rPr>
        <w:t>pracovního</w:t>
      </w:r>
      <w:r>
        <w:rPr>
          <w:color w:val="231F20"/>
          <w:spacing w:val="-14"/>
        </w:rPr>
        <w:t xml:space="preserve"> </w:t>
      </w:r>
      <w:r>
        <w:rPr>
          <w:color w:val="231F20"/>
        </w:rPr>
        <w:t>stroje</w:t>
      </w:r>
      <w:r>
        <w:rPr>
          <w:color w:val="231F20"/>
          <w:spacing w:val="-14"/>
        </w:rPr>
        <w:t xml:space="preserve"> </w:t>
      </w:r>
      <w:r>
        <w:rPr>
          <w:color w:val="231F20"/>
        </w:rPr>
        <w:t>je</w:t>
      </w:r>
      <w:r>
        <w:rPr>
          <w:color w:val="231F20"/>
          <w:spacing w:val="-14"/>
        </w:rPr>
        <w:t xml:space="preserve"> </w:t>
      </w:r>
      <w:r>
        <w:rPr>
          <w:color w:val="231F20"/>
        </w:rPr>
        <w:t>považováno</w:t>
      </w:r>
      <w:r>
        <w:rPr>
          <w:color w:val="231F20"/>
          <w:spacing w:val="-14"/>
        </w:rPr>
        <w:t xml:space="preserve"> </w:t>
      </w:r>
      <w:r>
        <w:rPr>
          <w:color w:val="231F20"/>
        </w:rPr>
        <w:t>užívání</w:t>
      </w:r>
      <w:r>
        <w:rPr>
          <w:color w:val="231F20"/>
          <w:spacing w:val="-14"/>
        </w:rPr>
        <w:t xml:space="preserve"> </w:t>
      </w:r>
      <w:r>
        <w:rPr>
          <w:color w:val="231F20"/>
        </w:rPr>
        <w:t>vozidla</w:t>
      </w:r>
      <w:r>
        <w:rPr>
          <w:color w:val="231F20"/>
          <w:spacing w:val="-14"/>
        </w:rPr>
        <w:t xml:space="preserve"> </w:t>
      </w:r>
      <w:r>
        <w:rPr>
          <w:color w:val="231F20"/>
        </w:rPr>
        <w:t>k</w:t>
      </w:r>
      <w:r>
        <w:rPr>
          <w:color w:val="231F20"/>
          <w:spacing w:val="-14"/>
        </w:rPr>
        <w:t xml:space="preserve"> </w:t>
      </w:r>
      <w:r>
        <w:rPr>
          <w:color w:val="231F20"/>
        </w:rPr>
        <w:t>jiné</w:t>
      </w:r>
      <w:r>
        <w:rPr>
          <w:color w:val="231F20"/>
          <w:spacing w:val="-14"/>
        </w:rPr>
        <w:t xml:space="preserve"> </w:t>
      </w:r>
      <w:r>
        <w:rPr>
          <w:color w:val="231F20"/>
        </w:rPr>
        <w:t>činnosti</w:t>
      </w:r>
      <w:r>
        <w:rPr>
          <w:color w:val="231F20"/>
          <w:spacing w:val="-14"/>
        </w:rPr>
        <w:t xml:space="preserve"> </w:t>
      </w:r>
      <w:r>
        <w:rPr>
          <w:color w:val="231F20"/>
        </w:rPr>
        <w:t>než k</w:t>
      </w:r>
      <w:r>
        <w:rPr>
          <w:color w:val="231F20"/>
          <w:spacing w:val="-23"/>
        </w:rPr>
        <w:t xml:space="preserve"> </w:t>
      </w:r>
      <w:r>
        <w:rPr>
          <w:color w:val="231F20"/>
        </w:rPr>
        <w:t>samotné</w:t>
      </w:r>
      <w:r>
        <w:rPr>
          <w:color w:val="231F20"/>
          <w:spacing w:val="-23"/>
        </w:rPr>
        <w:t xml:space="preserve"> </w:t>
      </w:r>
      <w:r>
        <w:rPr>
          <w:color w:val="231F20"/>
        </w:rPr>
        <w:t>jízdě</w:t>
      </w:r>
      <w:r>
        <w:rPr>
          <w:color w:val="231F20"/>
          <w:spacing w:val="-2"/>
        </w:rPr>
        <w:t xml:space="preserve"> </w:t>
      </w:r>
      <w:r>
        <w:rPr>
          <w:color w:val="231F20"/>
        </w:rPr>
        <w:t>(např.</w:t>
      </w:r>
      <w:r>
        <w:rPr>
          <w:color w:val="231F20"/>
          <w:spacing w:val="-23"/>
        </w:rPr>
        <w:t xml:space="preserve"> </w:t>
      </w:r>
      <w:r>
        <w:rPr>
          <w:color w:val="231F20"/>
        </w:rPr>
        <w:t>použití</w:t>
      </w:r>
      <w:r>
        <w:rPr>
          <w:color w:val="231F20"/>
          <w:spacing w:val="-22"/>
        </w:rPr>
        <w:t xml:space="preserve"> </w:t>
      </w:r>
      <w:r>
        <w:rPr>
          <w:color w:val="231F20"/>
        </w:rPr>
        <w:t>hydraulické</w:t>
      </w:r>
      <w:r>
        <w:rPr>
          <w:color w:val="231F20"/>
          <w:spacing w:val="-23"/>
        </w:rPr>
        <w:t xml:space="preserve"> </w:t>
      </w:r>
      <w:r>
        <w:rPr>
          <w:color w:val="231F20"/>
        </w:rPr>
        <w:t>ruky,</w:t>
      </w:r>
      <w:r>
        <w:rPr>
          <w:color w:val="231F20"/>
          <w:spacing w:val="-22"/>
        </w:rPr>
        <w:t xml:space="preserve"> </w:t>
      </w:r>
      <w:r>
        <w:rPr>
          <w:color w:val="231F20"/>
          <w:spacing w:val="2"/>
        </w:rPr>
        <w:t>sklápění</w:t>
      </w:r>
      <w:r>
        <w:rPr>
          <w:color w:val="231F20"/>
          <w:spacing w:val="-23"/>
        </w:rPr>
        <w:t xml:space="preserve"> </w:t>
      </w:r>
      <w:r>
        <w:rPr>
          <w:color w:val="231F20"/>
        </w:rPr>
        <w:t>korby</w:t>
      </w:r>
      <w:r>
        <w:rPr>
          <w:color w:val="231F20"/>
          <w:spacing w:val="-22"/>
        </w:rPr>
        <w:t xml:space="preserve"> </w:t>
      </w:r>
      <w:r>
        <w:rPr>
          <w:color w:val="231F20"/>
        </w:rPr>
        <w:t>vozidla</w:t>
      </w:r>
      <w:r>
        <w:rPr>
          <w:color w:val="231F20"/>
          <w:spacing w:val="-23"/>
        </w:rPr>
        <w:t xml:space="preserve"> </w:t>
      </w:r>
      <w:r>
        <w:rPr>
          <w:color w:val="231F20"/>
        </w:rPr>
        <w:t>apod.).</w:t>
      </w:r>
    </w:p>
    <w:p w14:paraId="3A750404"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23"/>
          <w:position w:val="1"/>
          <w:sz w:val="14"/>
        </w:rPr>
        <w:t xml:space="preserve"> </w:t>
      </w:r>
      <w:r>
        <w:rPr>
          <w:color w:val="231F20"/>
        </w:rPr>
        <w:t>Limit</w:t>
      </w:r>
      <w:r>
        <w:rPr>
          <w:color w:val="231F20"/>
          <w:spacing w:val="-13"/>
        </w:rPr>
        <w:t xml:space="preserve"> </w:t>
      </w:r>
      <w:r>
        <w:rPr>
          <w:color w:val="231F20"/>
        </w:rPr>
        <w:t>pojistného</w:t>
      </w:r>
      <w:r>
        <w:rPr>
          <w:color w:val="231F20"/>
          <w:spacing w:val="-13"/>
        </w:rPr>
        <w:t xml:space="preserve"> </w:t>
      </w:r>
      <w:r>
        <w:rPr>
          <w:color w:val="231F20"/>
        </w:rPr>
        <w:t>plnění</w:t>
      </w:r>
      <w:r>
        <w:rPr>
          <w:color w:val="231F20"/>
          <w:spacing w:val="-13"/>
        </w:rPr>
        <w:t xml:space="preserve"> </w:t>
      </w:r>
      <w:r>
        <w:rPr>
          <w:color w:val="231F20"/>
        </w:rPr>
        <w:t>a</w:t>
      </w:r>
      <w:r>
        <w:rPr>
          <w:color w:val="231F20"/>
          <w:spacing w:val="-13"/>
        </w:rPr>
        <w:t xml:space="preserve"> </w:t>
      </w:r>
      <w:r>
        <w:rPr>
          <w:color w:val="231F20"/>
        </w:rPr>
        <w:t>spoluúčast,</w:t>
      </w:r>
      <w:r>
        <w:rPr>
          <w:color w:val="231F20"/>
          <w:spacing w:val="-13"/>
        </w:rPr>
        <w:t xml:space="preserve"> </w:t>
      </w:r>
      <w:r>
        <w:rPr>
          <w:color w:val="231F20"/>
        </w:rPr>
        <w:t>jakož</w:t>
      </w:r>
      <w:r>
        <w:rPr>
          <w:color w:val="231F20"/>
          <w:spacing w:val="-13"/>
        </w:rPr>
        <w:t xml:space="preserve"> </w:t>
      </w:r>
      <w:r>
        <w:rPr>
          <w:color w:val="231F20"/>
        </w:rPr>
        <w:t>i</w:t>
      </w:r>
      <w:r>
        <w:rPr>
          <w:color w:val="231F20"/>
          <w:spacing w:val="-13"/>
        </w:rPr>
        <w:t xml:space="preserve"> </w:t>
      </w:r>
      <w:r>
        <w:rPr>
          <w:color w:val="231F20"/>
        </w:rPr>
        <w:t>další</w:t>
      </w:r>
      <w:r>
        <w:rPr>
          <w:color w:val="231F20"/>
          <w:spacing w:val="-13"/>
        </w:rPr>
        <w:t xml:space="preserve"> </w:t>
      </w:r>
      <w:r>
        <w:rPr>
          <w:color w:val="231F20"/>
        </w:rPr>
        <w:t>ustanovení</w:t>
      </w:r>
      <w:r>
        <w:rPr>
          <w:color w:val="231F20"/>
          <w:spacing w:val="-13"/>
        </w:rPr>
        <w:t xml:space="preserve"> </w:t>
      </w:r>
      <w:r>
        <w:rPr>
          <w:color w:val="231F20"/>
        </w:rPr>
        <w:t>jsou</w:t>
      </w:r>
      <w:r>
        <w:rPr>
          <w:color w:val="231F20"/>
          <w:spacing w:val="-13"/>
        </w:rPr>
        <w:t xml:space="preserve"> </w:t>
      </w:r>
      <w:r>
        <w:rPr>
          <w:color w:val="231F20"/>
        </w:rPr>
        <w:t>totožné</w:t>
      </w:r>
      <w:r>
        <w:rPr>
          <w:color w:val="231F20"/>
          <w:spacing w:val="-13"/>
        </w:rPr>
        <w:t xml:space="preserve"> </w:t>
      </w:r>
      <w:r>
        <w:rPr>
          <w:color w:val="231F20"/>
          <w:spacing w:val="-4"/>
        </w:rPr>
        <w:t xml:space="preserve">jako </w:t>
      </w:r>
      <w:r>
        <w:rPr>
          <w:color w:val="231F20"/>
        </w:rPr>
        <w:t>u</w:t>
      </w:r>
      <w:r>
        <w:rPr>
          <w:color w:val="231F20"/>
          <w:spacing w:val="-8"/>
        </w:rPr>
        <w:t xml:space="preserve"> </w:t>
      </w:r>
      <w:r>
        <w:rPr>
          <w:color w:val="231F20"/>
        </w:rPr>
        <w:t>základního</w:t>
      </w:r>
      <w:r>
        <w:rPr>
          <w:color w:val="231F20"/>
          <w:spacing w:val="-7"/>
        </w:rPr>
        <w:t xml:space="preserve"> </w:t>
      </w:r>
      <w:r>
        <w:rPr>
          <w:color w:val="231F20"/>
        </w:rPr>
        <w:t>pojištění,</w:t>
      </w:r>
      <w:r>
        <w:rPr>
          <w:color w:val="231F20"/>
          <w:spacing w:val="-7"/>
        </w:rPr>
        <w:t xml:space="preserve"> </w:t>
      </w:r>
      <w:r>
        <w:rPr>
          <w:color w:val="231F20"/>
        </w:rPr>
        <w:t>k</w:t>
      </w:r>
      <w:r>
        <w:rPr>
          <w:color w:val="231F20"/>
          <w:spacing w:val="-7"/>
        </w:rPr>
        <w:t xml:space="preserve"> </w:t>
      </w:r>
      <w:r>
        <w:rPr>
          <w:color w:val="231F20"/>
        </w:rPr>
        <w:t>němuž</w:t>
      </w:r>
      <w:r>
        <w:rPr>
          <w:color w:val="231F20"/>
          <w:spacing w:val="-7"/>
        </w:rPr>
        <w:t xml:space="preserve"> </w:t>
      </w:r>
      <w:r>
        <w:rPr>
          <w:color w:val="231F20"/>
        </w:rPr>
        <w:t>je</w:t>
      </w:r>
      <w:r>
        <w:rPr>
          <w:color w:val="231F20"/>
          <w:spacing w:val="-7"/>
        </w:rPr>
        <w:t xml:space="preserve"> </w:t>
      </w:r>
      <w:r>
        <w:rPr>
          <w:color w:val="231F20"/>
        </w:rPr>
        <w:t>toto</w:t>
      </w:r>
      <w:r>
        <w:rPr>
          <w:color w:val="231F20"/>
          <w:spacing w:val="-7"/>
        </w:rPr>
        <w:t xml:space="preserve"> </w:t>
      </w:r>
      <w:r>
        <w:rPr>
          <w:color w:val="231F20"/>
        </w:rPr>
        <w:t>doplňkové</w:t>
      </w:r>
      <w:r>
        <w:rPr>
          <w:color w:val="231F20"/>
          <w:spacing w:val="-7"/>
        </w:rPr>
        <w:t xml:space="preserve"> </w:t>
      </w:r>
      <w:r>
        <w:rPr>
          <w:color w:val="231F20"/>
        </w:rPr>
        <w:t>pojištění</w:t>
      </w:r>
      <w:r>
        <w:rPr>
          <w:color w:val="231F20"/>
          <w:spacing w:val="-7"/>
        </w:rPr>
        <w:t xml:space="preserve"> </w:t>
      </w:r>
      <w:r>
        <w:rPr>
          <w:color w:val="231F20"/>
        </w:rPr>
        <w:t>sjednáno.</w:t>
      </w:r>
    </w:p>
    <w:p w14:paraId="3627DE60"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4"/>
          <w:position w:val="1"/>
          <w:sz w:val="14"/>
        </w:rPr>
        <w:t xml:space="preserve"> </w:t>
      </w:r>
      <w:r>
        <w:rPr>
          <w:color w:val="231F20"/>
        </w:rPr>
        <w:t>Zánikem</w:t>
      </w:r>
      <w:r>
        <w:rPr>
          <w:color w:val="231F20"/>
          <w:spacing w:val="-21"/>
        </w:rPr>
        <w:t xml:space="preserve"> </w:t>
      </w:r>
      <w:r>
        <w:rPr>
          <w:color w:val="231F20"/>
        </w:rPr>
        <w:t>základního</w:t>
      </w:r>
      <w:r>
        <w:rPr>
          <w:color w:val="231F20"/>
          <w:spacing w:val="-21"/>
        </w:rPr>
        <w:t xml:space="preserve"> </w:t>
      </w:r>
      <w:r>
        <w:rPr>
          <w:color w:val="231F20"/>
        </w:rPr>
        <w:t>pojištění,</w:t>
      </w:r>
      <w:r>
        <w:rPr>
          <w:color w:val="231F20"/>
          <w:spacing w:val="-21"/>
        </w:rPr>
        <w:t xml:space="preserve"> </w:t>
      </w:r>
      <w:r>
        <w:rPr>
          <w:color w:val="231F20"/>
        </w:rPr>
        <w:t>k</w:t>
      </w:r>
      <w:r>
        <w:rPr>
          <w:color w:val="231F20"/>
          <w:spacing w:val="-21"/>
        </w:rPr>
        <w:t xml:space="preserve"> </w:t>
      </w:r>
      <w:r>
        <w:rPr>
          <w:color w:val="231F20"/>
        </w:rPr>
        <w:t>němuž</w:t>
      </w:r>
      <w:r>
        <w:rPr>
          <w:color w:val="231F20"/>
          <w:spacing w:val="-21"/>
        </w:rPr>
        <w:t xml:space="preserve"> </w:t>
      </w:r>
      <w:r>
        <w:rPr>
          <w:color w:val="231F20"/>
        </w:rPr>
        <w:t>je</w:t>
      </w:r>
      <w:r>
        <w:rPr>
          <w:color w:val="231F20"/>
          <w:spacing w:val="-21"/>
        </w:rPr>
        <w:t xml:space="preserve"> </w:t>
      </w:r>
      <w:r>
        <w:rPr>
          <w:color w:val="231F20"/>
        </w:rPr>
        <w:t>doplňkové</w:t>
      </w:r>
      <w:r>
        <w:rPr>
          <w:color w:val="231F20"/>
          <w:spacing w:val="-22"/>
        </w:rPr>
        <w:t xml:space="preserve"> </w:t>
      </w:r>
      <w:r>
        <w:rPr>
          <w:color w:val="231F20"/>
        </w:rPr>
        <w:t>pojištění</w:t>
      </w:r>
      <w:r>
        <w:rPr>
          <w:color w:val="231F20"/>
          <w:spacing w:val="-21"/>
        </w:rPr>
        <w:t xml:space="preserve"> </w:t>
      </w:r>
      <w:r>
        <w:rPr>
          <w:color w:val="231F20"/>
        </w:rPr>
        <w:t>sjednáno,</w:t>
      </w:r>
      <w:r>
        <w:rPr>
          <w:color w:val="231F20"/>
          <w:spacing w:val="-21"/>
        </w:rPr>
        <w:t xml:space="preserve"> </w:t>
      </w:r>
      <w:r>
        <w:rPr>
          <w:color w:val="231F20"/>
        </w:rPr>
        <w:t>zaniká i toto doplňkové</w:t>
      </w:r>
      <w:r>
        <w:rPr>
          <w:color w:val="231F20"/>
          <w:spacing w:val="-2"/>
        </w:rPr>
        <w:t xml:space="preserve"> </w:t>
      </w:r>
      <w:r>
        <w:rPr>
          <w:color w:val="231F20"/>
        </w:rPr>
        <w:t>pojištění</w:t>
      </w:r>
    </w:p>
    <w:p w14:paraId="328AE94F" w14:textId="77777777" w:rsidR="00F65BCA" w:rsidRDefault="00F65BCA">
      <w:pPr>
        <w:pStyle w:val="Zkladntext"/>
        <w:rPr>
          <w:sz w:val="18"/>
        </w:rPr>
      </w:pPr>
    </w:p>
    <w:p w14:paraId="16254CC6" w14:textId="77777777" w:rsidR="00F65BCA" w:rsidRDefault="00F65BCA">
      <w:pPr>
        <w:pStyle w:val="Zkladntext"/>
        <w:spacing w:before="5"/>
        <w:rPr>
          <w:sz w:val="14"/>
        </w:rPr>
      </w:pPr>
    </w:p>
    <w:p w14:paraId="2FFF0FF0" w14:textId="77777777" w:rsidR="00F65BCA" w:rsidRDefault="00216117">
      <w:pPr>
        <w:spacing w:line="268" w:lineRule="exact"/>
        <w:ind w:left="201"/>
        <w:rPr>
          <w:sz w:val="24"/>
        </w:rPr>
      </w:pPr>
      <w:r>
        <w:rPr>
          <w:color w:val="231F20"/>
          <w:sz w:val="24"/>
        </w:rPr>
        <w:t>Pododdíl 6 – Pojištění „Poškození nebo</w:t>
      </w:r>
    </w:p>
    <w:p w14:paraId="67133304" w14:textId="77777777" w:rsidR="00F65BCA" w:rsidRDefault="00216117">
      <w:pPr>
        <w:spacing w:line="268" w:lineRule="exact"/>
        <w:ind w:left="1864"/>
        <w:rPr>
          <w:sz w:val="24"/>
        </w:rPr>
      </w:pPr>
      <w:r>
        <w:rPr>
          <w:color w:val="231F20"/>
          <w:sz w:val="24"/>
        </w:rPr>
        <w:t>odcizení zavazadel“</w:t>
      </w:r>
    </w:p>
    <w:p w14:paraId="66990F92" w14:textId="77777777" w:rsidR="00F65BCA" w:rsidRDefault="00216117">
      <w:pPr>
        <w:spacing w:before="129"/>
        <w:ind w:left="185"/>
        <w:rPr>
          <w:sz w:val="15"/>
        </w:rPr>
      </w:pPr>
      <w:r>
        <w:rPr>
          <w:color w:val="FFFFFF"/>
          <w:position w:val="3"/>
          <w:sz w:val="16"/>
          <w:shd w:val="clear" w:color="auto" w:fill="808285"/>
        </w:rPr>
        <w:t xml:space="preserve">  Článek 47</w:t>
      </w:r>
      <w:r>
        <w:rPr>
          <w:color w:val="FFFFFF"/>
          <w:position w:val="3"/>
          <w:sz w:val="16"/>
        </w:rPr>
        <w:t xml:space="preserve"> </w:t>
      </w:r>
      <w:r>
        <w:rPr>
          <w:color w:val="231F20"/>
          <w:sz w:val="15"/>
        </w:rPr>
        <w:t>Úvodní ustanovení</w:t>
      </w:r>
    </w:p>
    <w:p w14:paraId="18F73C31" w14:textId="77777777" w:rsidR="00F65BCA" w:rsidRDefault="00216117">
      <w:pPr>
        <w:pStyle w:val="Zkladntext"/>
        <w:spacing w:before="147"/>
        <w:ind w:left="184"/>
      </w:pPr>
      <w:r>
        <w:rPr>
          <w:color w:val="231F20"/>
        </w:rPr>
        <w:t>Pojištění lze sjednat pro jednotlivá vozidla jako doplňkové škodové pojištění.</w:t>
      </w:r>
    </w:p>
    <w:p w14:paraId="5FCCE9B5" w14:textId="77777777" w:rsidR="00F65BCA" w:rsidRDefault="00F65BCA">
      <w:pPr>
        <w:pStyle w:val="Zkladntext"/>
        <w:spacing w:before="4"/>
        <w:rPr>
          <w:sz w:val="23"/>
        </w:rPr>
      </w:pPr>
    </w:p>
    <w:p w14:paraId="532EB0A6" w14:textId="77777777" w:rsidR="00F65BCA" w:rsidRDefault="00216117">
      <w:pPr>
        <w:pStyle w:val="Zkladntext"/>
        <w:ind w:left="185"/>
      </w:pPr>
      <w:r>
        <w:rPr>
          <w:color w:val="FFFFFF"/>
          <w:position w:val="3"/>
          <w:sz w:val="16"/>
          <w:shd w:val="clear" w:color="auto" w:fill="808285"/>
        </w:rPr>
        <w:t xml:space="preserve">  </w:t>
      </w:r>
      <w:r>
        <w:rPr>
          <w:color w:val="FFFFFF"/>
          <w:w w:val="105"/>
          <w:position w:val="3"/>
          <w:sz w:val="16"/>
          <w:shd w:val="clear" w:color="auto" w:fill="808285"/>
        </w:rPr>
        <w:t>Článek 48</w:t>
      </w:r>
      <w:r>
        <w:rPr>
          <w:color w:val="FFFFFF"/>
          <w:w w:val="105"/>
          <w:position w:val="3"/>
          <w:sz w:val="16"/>
        </w:rPr>
        <w:t xml:space="preserve"> </w:t>
      </w:r>
      <w:r>
        <w:rPr>
          <w:color w:val="231F20"/>
          <w:w w:val="105"/>
        </w:rPr>
        <w:t>Pojistná nebezpečí, rozsah pojištění, limit pojistného plnění</w:t>
      </w:r>
    </w:p>
    <w:p w14:paraId="413BBFB9" w14:textId="77777777" w:rsidR="00F65BCA" w:rsidRDefault="00216117">
      <w:pPr>
        <w:pStyle w:val="Zkladntext"/>
        <w:spacing w:before="147"/>
        <w:ind w:left="185"/>
      </w:pPr>
      <w:r>
        <w:rPr>
          <w:color w:val="231F20"/>
          <w:position w:val="1"/>
          <w:sz w:val="14"/>
          <w:shd w:val="clear" w:color="auto" w:fill="D1D3D4"/>
        </w:rPr>
        <w:t xml:space="preserve">  1</w:t>
      </w:r>
      <w:r>
        <w:rPr>
          <w:color w:val="231F20"/>
          <w:position w:val="1"/>
          <w:sz w:val="14"/>
        </w:rPr>
        <w:t xml:space="preserve"> </w:t>
      </w:r>
      <w:r>
        <w:rPr>
          <w:color w:val="231F20"/>
        </w:rPr>
        <w:t>Pojištění se sjednává pro tato pojistná nebezpečí na pojištěných zavazadlech:</w:t>
      </w:r>
    </w:p>
    <w:p w14:paraId="2C36F9DE" w14:textId="77777777" w:rsidR="00F65BCA" w:rsidRDefault="00216117">
      <w:pPr>
        <w:pStyle w:val="Odstavecseseznamem"/>
        <w:numPr>
          <w:ilvl w:val="1"/>
          <w:numId w:val="97"/>
        </w:numPr>
        <w:tabs>
          <w:tab w:val="left" w:pos="751"/>
        </w:tabs>
        <w:spacing w:before="28"/>
        <w:rPr>
          <w:sz w:val="15"/>
        </w:rPr>
      </w:pPr>
      <w:r>
        <w:rPr>
          <w:color w:val="231F20"/>
          <w:sz w:val="15"/>
        </w:rPr>
        <w:t>odcizení,</w:t>
      </w:r>
    </w:p>
    <w:p w14:paraId="541C956F" w14:textId="77777777" w:rsidR="00F65BCA" w:rsidRDefault="00216117">
      <w:pPr>
        <w:pStyle w:val="Odstavecseseznamem"/>
        <w:numPr>
          <w:ilvl w:val="1"/>
          <w:numId w:val="97"/>
        </w:numPr>
        <w:tabs>
          <w:tab w:val="left" w:pos="751"/>
        </w:tabs>
        <w:spacing w:before="27"/>
        <w:rPr>
          <w:sz w:val="15"/>
        </w:rPr>
      </w:pPr>
      <w:r>
        <w:rPr>
          <w:color w:val="231F20"/>
          <w:sz w:val="15"/>
        </w:rPr>
        <w:t>živelní</w:t>
      </w:r>
      <w:r>
        <w:rPr>
          <w:color w:val="231F20"/>
          <w:spacing w:val="-1"/>
          <w:sz w:val="15"/>
        </w:rPr>
        <w:t xml:space="preserve"> </w:t>
      </w:r>
      <w:r>
        <w:rPr>
          <w:color w:val="231F20"/>
          <w:sz w:val="15"/>
        </w:rPr>
        <w:t>událost,</w:t>
      </w:r>
    </w:p>
    <w:p w14:paraId="679DB0B8" w14:textId="77777777" w:rsidR="00F65BCA" w:rsidRDefault="00216117">
      <w:pPr>
        <w:pStyle w:val="Odstavecseseznamem"/>
        <w:numPr>
          <w:ilvl w:val="1"/>
          <w:numId w:val="97"/>
        </w:numPr>
        <w:tabs>
          <w:tab w:val="left" w:pos="751"/>
        </w:tabs>
        <w:spacing w:before="28"/>
        <w:rPr>
          <w:sz w:val="15"/>
        </w:rPr>
      </w:pPr>
      <w:r>
        <w:rPr>
          <w:color w:val="231F20"/>
          <w:sz w:val="15"/>
        </w:rPr>
        <w:t>ztráta při dopravní</w:t>
      </w:r>
      <w:r>
        <w:rPr>
          <w:color w:val="231F20"/>
          <w:spacing w:val="-3"/>
          <w:sz w:val="15"/>
        </w:rPr>
        <w:t xml:space="preserve"> </w:t>
      </w:r>
      <w:r>
        <w:rPr>
          <w:color w:val="231F20"/>
          <w:sz w:val="15"/>
        </w:rPr>
        <w:t>nehodě,</w:t>
      </w:r>
    </w:p>
    <w:p w14:paraId="2791642D" w14:textId="77777777" w:rsidR="00F65BCA" w:rsidRDefault="00216117">
      <w:pPr>
        <w:pStyle w:val="Odstavecseseznamem"/>
        <w:numPr>
          <w:ilvl w:val="1"/>
          <w:numId w:val="97"/>
        </w:numPr>
        <w:tabs>
          <w:tab w:val="left" w:pos="751"/>
        </w:tabs>
        <w:spacing w:before="27"/>
        <w:rPr>
          <w:sz w:val="15"/>
        </w:rPr>
      </w:pPr>
      <w:r>
        <w:rPr>
          <w:color w:val="231F20"/>
          <w:sz w:val="15"/>
        </w:rPr>
        <w:t>zničení nebo poškození při dopravní</w:t>
      </w:r>
      <w:r>
        <w:rPr>
          <w:color w:val="231F20"/>
          <w:spacing w:val="-10"/>
          <w:sz w:val="15"/>
        </w:rPr>
        <w:t xml:space="preserve"> </w:t>
      </w:r>
      <w:r>
        <w:rPr>
          <w:color w:val="231F20"/>
          <w:sz w:val="15"/>
        </w:rPr>
        <w:t>nehodě.</w:t>
      </w:r>
    </w:p>
    <w:p w14:paraId="0FBCEA51" w14:textId="77777777" w:rsidR="00F65BCA" w:rsidRDefault="00216117">
      <w:pPr>
        <w:pStyle w:val="Zkladntext"/>
        <w:spacing w:before="27"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5"/>
          <w:position w:val="1"/>
          <w:sz w:val="14"/>
        </w:rPr>
        <w:t xml:space="preserve"> </w:t>
      </w:r>
      <w:r>
        <w:rPr>
          <w:color w:val="231F20"/>
        </w:rPr>
        <w:t>Pojištění</w:t>
      </w:r>
      <w:r>
        <w:rPr>
          <w:color w:val="231F20"/>
          <w:spacing w:val="-17"/>
        </w:rPr>
        <w:t xml:space="preserve"> </w:t>
      </w:r>
      <w:r>
        <w:rPr>
          <w:color w:val="231F20"/>
        </w:rPr>
        <w:t>se</w:t>
      </w:r>
      <w:r>
        <w:rPr>
          <w:color w:val="231F20"/>
          <w:spacing w:val="-17"/>
        </w:rPr>
        <w:t xml:space="preserve"> </w:t>
      </w:r>
      <w:r>
        <w:rPr>
          <w:color w:val="231F20"/>
        </w:rPr>
        <w:t>vztahuje</w:t>
      </w:r>
      <w:r>
        <w:rPr>
          <w:color w:val="231F20"/>
          <w:spacing w:val="-17"/>
        </w:rPr>
        <w:t xml:space="preserve"> </w:t>
      </w:r>
      <w:r>
        <w:rPr>
          <w:color w:val="231F20"/>
        </w:rPr>
        <w:t>na</w:t>
      </w:r>
      <w:r>
        <w:rPr>
          <w:color w:val="231F20"/>
          <w:spacing w:val="-17"/>
        </w:rPr>
        <w:t xml:space="preserve"> </w:t>
      </w:r>
      <w:r>
        <w:rPr>
          <w:color w:val="231F20"/>
        </w:rPr>
        <w:t>zavazadla</w:t>
      </w:r>
      <w:r>
        <w:rPr>
          <w:color w:val="231F20"/>
          <w:spacing w:val="-17"/>
        </w:rPr>
        <w:t xml:space="preserve"> </w:t>
      </w:r>
      <w:r>
        <w:rPr>
          <w:color w:val="231F20"/>
        </w:rPr>
        <w:t>všech</w:t>
      </w:r>
      <w:r>
        <w:rPr>
          <w:color w:val="231F20"/>
          <w:spacing w:val="-18"/>
        </w:rPr>
        <w:t xml:space="preserve"> </w:t>
      </w:r>
      <w:r>
        <w:rPr>
          <w:color w:val="231F20"/>
        </w:rPr>
        <w:t>osob</w:t>
      </w:r>
      <w:r>
        <w:rPr>
          <w:color w:val="231F20"/>
          <w:spacing w:val="-17"/>
        </w:rPr>
        <w:t xml:space="preserve"> </w:t>
      </w:r>
      <w:r>
        <w:rPr>
          <w:color w:val="231F20"/>
        </w:rPr>
        <w:t>cestujících</w:t>
      </w:r>
      <w:r>
        <w:rPr>
          <w:color w:val="231F20"/>
          <w:spacing w:val="-17"/>
        </w:rPr>
        <w:t xml:space="preserve"> </w:t>
      </w:r>
      <w:r>
        <w:rPr>
          <w:color w:val="231F20"/>
        </w:rPr>
        <w:t>ve</w:t>
      </w:r>
      <w:r>
        <w:rPr>
          <w:color w:val="231F20"/>
          <w:spacing w:val="-17"/>
        </w:rPr>
        <w:t xml:space="preserve"> </w:t>
      </w:r>
      <w:r>
        <w:rPr>
          <w:color w:val="231F20"/>
        </w:rPr>
        <w:t>vozidle.</w:t>
      </w:r>
      <w:r>
        <w:rPr>
          <w:color w:val="231F20"/>
          <w:spacing w:val="-17"/>
        </w:rPr>
        <w:t xml:space="preserve"> </w:t>
      </w:r>
      <w:r>
        <w:rPr>
          <w:color w:val="231F20"/>
        </w:rPr>
        <w:t>Pojištění se nevztahuje na doplňkovou a ostatní</w:t>
      </w:r>
      <w:r>
        <w:rPr>
          <w:color w:val="231F20"/>
          <w:spacing w:val="-13"/>
        </w:rPr>
        <w:t xml:space="preserve"> </w:t>
      </w:r>
      <w:r>
        <w:rPr>
          <w:color w:val="231F20"/>
        </w:rPr>
        <w:t>výbavu.</w:t>
      </w:r>
    </w:p>
    <w:p w14:paraId="5D75E257"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position w:val="1"/>
          <w:sz w:val="14"/>
        </w:rPr>
        <w:t xml:space="preserve"> </w:t>
      </w:r>
      <w:r>
        <w:rPr>
          <w:color w:val="231F20"/>
        </w:rPr>
        <w:t xml:space="preserve">Pojišťovna poskytne pojistné plnění ve výši přiměřených nákladů na </w:t>
      </w:r>
      <w:r>
        <w:rPr>
          <w:color w:val="231F20"/>
          <w:spacing w:val="-3"/>
        </w:rPr>
        <w:t xml:space="preserve">opravu </w:t>
      </w:r>
      <w:r>
        <w:rPr>
          <w:color w:val="231F20"/>
        </w:rPr>
        <w:t>zavazadla,</w:t>
      </w:r>
      <w:r>
        <w:rPr>
          <w:color w:val="231F20"/>
          <w:spacing w:val="-4"/>
        </w:rPr>
        <w:t xml:space="preserve"> </w:t>
      </w:r>
      <w:r>
        <w:rPr>
          <w:color w:val="231F20"/>
        </w:rPr>
        <w:t>maximálně</w:t>
      </w:r>
      <w:r>
        <w:rPr>
          <w:color w:val="231F20"/>
          <w:spacing w:val="-4"/>
        </w:rPr>
        <w:t xml:space="preserve"> </w:t>
      </w:r>
      <w:r>
        <w:rPr>
          <w:color w:val="231F20"/>
        </w:rPr>
        <w:t>však</w:t>
      </w:r>
      <w:r>
        <w:rPr>
          <w:color w:val="231F20"/>
          <w:spacing w:val="-4"/>
        </w:rPr>
        <w:t xml:space="preserve"> </w:t>
      </w:r>
      <w:r>
        <w:rPr>
          <w:color w:val="231F20"/>
        </w:rPr>
        <w:t>do</w:t>
      </w:r>
      <w:r>
        <w:rPr>
          <w:color w:val="231F20"/>
          <w:spacing w:val="-4"/>
        </w:rPr>
        <w:t xml:space="preserve"> </w:t>
      </w:r>
      <w:r>
        <w:rPr>
          <w:color w:val="231F20"/>
        </w:rPr>
        <w:t>výše</w:t>
      </w:r>
      <w:r>
        <w:rPr>
          <w:color w:val="231F20"/>
          <w:spacing w:val="-4"/>
        </w:rPr>
        <w:t xml:space="preserve"> </w:t>
      </w:r>
      <w:r>
        <w:rPr>
          <w:color w:val="231F20"/>
        </w:rPr>
        <w:t>tržní</w:t>
      </w:r>
      <w:r>
        <w:rPr>
          <w:color w:val="231F20"/>
          <w:spacing w:val="-4"/>
        </w:rPr>
        <w:t xml:space="preserve"> </w:t>
      </w:r>
      <w:r>
        <w:rPr>
          <w:color w:val="231F20"/>
        </w:rPr>
        <w:t>hodnoty</w:t>
      </w:r>
      <w:r>
        <w:rPr>
          <w:color w:val="231F20"/>
          <w:spacing w:val="-3"/>
        </w:rPr>
        <w:t xml:space="preserve"> </w:t>
      </w:r>
      <w:r>
        <w:rPr>
          <w:color w:val="231F20"/>
        </w:rPr>
        <w:t>zavazadla</w:t>
      </w:r>
      <w:r>
        <w:rPr>
          <w:color w:val="231F20"/>
          <w:spacing w:val="-4"/>
        </w:rPr>
        <w:t xml:space="preserve"> </w:t>
      </w:r>
      <w:r>
        <w:rPr>
          <w:color w:val="231F20"/>
        </w:rPr>
        <w:t>ke</w:t>
      </w:r>
      <w:r>
        <w:rPr>
          <w:color w:val="231F20"/>
          <w:spacing w:val="-4"/>
        </w:rPr>
        <w:t xml:space="preserve"> </w:t>
      </w:r>
      <w:r>
        <w:rPr>
          <w:color w:val="231F20"/>
        </w:rPr>
        <w:t>dni</w:t>
      </w:r>
      <w:r>
        <w:rPr>
          <w:color w:val="231F20"/>
          <w:spacing w:val="-4"/>
        </w:rPr>
        <w:t xml:space="preserve"> </w:t>
      </w:r>
      <w:r>
        <w:rPr>
          <w:color w:val="231F20"/>
        </w:rPr>
        <w:t>pojistné události.</w:t>
      </w:r>
      <w:r>
        <w:rPr>
          <w:color w:val="231F20"/>
          <w:spacing w:val="-12"/>
        </w:rPr>
        <w:t xml:space="preserve"> </w:t>
      </w:r>
      <w:r>
        <w:rPr>
          <w:color w:val="231F20"/>
        </w:rPr>
        <w:t>Přiměřeným</w:t>
      </w:r>
      <w:r>
        <w:rPr>
          <w:color w:val="231F20"/>
          <w:spacing w:val="-11"/>
        </w:rPr>
        <w:t xml:space="preserve"> </w:t>
      </w:r>
      <w:r>
        <w:rPr>
          <w:color w:val="231F20"/>
        </w:rPr>
        <w:t>nákladem</w:t>
      </w:r>
      <w:r>
        <w:rPr>
          <w:color w:val="231F20"/>
          <w:spacing w:val="-12"/>
        </w:rPr>
        <w:t xml:space="preserve"> </w:t>
      </w:r>
      <w:r>
        <w:rPr>
          <w:color w:val="231F20"/>
        </w:rPr>
        <w:t>na</w:t>
      </w:r>
      <w:r>
        <w:rPr>
          <w:color w:val="231F20"/>
          <w:spacing w:val="-11"/>
        </w:rPr>
        <w:t xml:space="preserve"> </w:t>
      </w:r>
      <w:r>
        <w:rPr>
          <w:color w:val="231F20"/>
        </w:rPr>
        <w:t>opravu</w:t>
      </w:r>
      <w:r>
        <w:rPr>
          <w:color w:val="231F20"/>
          <w:spacing w:val="-12"/>
        </w:rPr>
        <w:t xml:space="preserve"> </w:t>
      </w:r>
      <w:r>
        <w:rPr>
          <w:color w:val="231F20"/>
        </w:rPr>
        <w:t>se</w:t>
      </w:r>
      <w:r>
        <w:rPr>
          <w:color w:val="231F20"/>
          <w:spacing w:val="-11"/>
        </w:rPr>
        <w:t xml:space="preserve"> </w:t>
      </w:r>
      <w:r>
        <w:rPr>
          <w:color w:val="231F20"/>
        </w:rPr>
        <w:t>rozumí</w:t>
      </w:r>
      <w:r>
        <w:rPr>
          <w:color w:val="231F20"/>
          <w:spacing w:val="-12"/>
        </w:rPr>
        <w:t xml:space="preserve"> </w:t>
      </w:r>
      <w:r>
        <w:rPr>
          <w:color w:val="231F20"/>
        </w:rPr>
        <w:t>cena</w:t>
      </w:r>
      <w:r>
        <w:rPr>
          <w:color w:val="231F20"/>
          <w:spacing w:val="-11"/>
        </w:rPr>
        <w:t xml:space="preserve"> </w:t>
      </w:r>
      <w:r>
        <w:rPr>
          <w:color w:val="231F20"/>
        </w:rPr>
        <w:t>opravy</w:t>
      </w:r>
      <w:r>
        <w:rPr>
          <w:color w:val="231F20"/>
          <w:spacing w:val="-12"/>
        </w:rPr>
        <w:t xml:space="preserve"> </w:t>
      </w:r>
      <w:r>
        <w:rPr>
          <w:color w:val="231F20"/>
        </w:rPr>
        <w:t>zavazadla nebo</w:t>
      </w:r>
      <w:r>
        <w:rPr>
          <w:color w:val="231F20"/>
          <w:spacing w:val="-14"/>
        </w:rPr>
        <w:t xml:space="preserve"> </w:t>
      </w:r>
      <w:r>
        <w:rPr>
          <w:color w:val="231F20"/>
        </w:rPr>
        <w:t>jeho</w:t>
      </w:r>
      <w:r>
        <w:rPr>
          <w:color w:val="231F20"/>
          <w:spacing w:val="-13"/>
        </w:rPr>
        <w:t xml:space="preserve"> </w:t>
      </w:r>
      <w:r>
        <w:rPr>
          <w:color w:val="231F20"/>
        </w:rPr>
        <w:t>části,</w:t>
      </w:r>
      <w:r>
        <w:rPr>
          <w:color w:val="231F20"/>
          <w:spacing w:val="-14"/>
        </w:rPr>
        <w:t xml:space="preserve"> </w:t>
      </w:r>
      <w:r>
        <w:rPr>
          <w:color w:val="231F20"/>
        </w:rPr>
        <w:t>která</w:t>
      </w:r>
      <w:r>
        <w:rPr>
          <w:color w:val="231F20"/>
          <w:spacing w:val="-13"/>
        </w:rPr>
        <w:t xml:space="preserve"> </w:t>
      </w:r>
      <w:r>
        <w:rPr>
          <w:color w:val="231F20"/>
        </w:rPr>
        <w:t>je</w:t>
      </w:r>
      <w:r>
        <w:rPr>
          <w:color w:val="231F20"/>
          <w:spacing w:val="-13"/>
        </w:rPr>
        <w:t xml:space="preserve"> </w:t>
      </w:r>
      <w:r>
        <w:rPr>
          <w:color w:val="231F20"/>
        </w:rPr>
        <w:t>v</w:t>
      </w:r>
      <w:r>
        <w:rPr>
          <w:color w:val="231F20"/>
          <w:spacing w:val="-14"/>
        </w:rPr>
        <w:t xml:space="preserve"> </w:t>
      </w:r>
      <w:r>
        <w:rPr>
          <w:color w:val="231F20"/>
        </w:rPr>
        <w:t>době</w:t>
      </w:r>
      <w:r>
        <w:rPr>
          <w:color w:val="231F20"/>
          <w:spacing w:val="-13"/>
        </w:rPr>
        <w:t xml:space="preserve"> </w:t>
      </w:r>
      <w:r>
        <w:rPr>
          <w:color w:val="231F20"/>
        </w:rPr>
        <w:t>vzniku</w:t>
      </w:r>
      <w:r>
        <w:rPr>
          <w:color w:val="231F20"/>
          <w:spacing w:val="-13"/>
        </w:rPr>
        <w:t xml:space="preserve"> </w:t>
      </w:r>
      <w:r>
        <w:rPr>
          <w:color w:val="231F20"/>
        </w:rPr>
        <w:t>pojistné</w:t>
      </w:r>
      <w:r>
        <w:rPr>
          <w:color w:val="231F20"/>
          <w:spacing w:val="-14"/>
        </w:rPr>
        <w:t xml:space="preserve"> </w:t>
      </w:r>
      <w:r>
        <w:rPr>
          <w:color w:val="231F20"/>
        </w:rPr>
        <w:t>události</w:t>
      </w:r>
      <w:r>
        <w:rPr>
          <w:color w:val="231F20"/>
          <w:spacing w:val="-13"/>
        </w:rPr>
        <w:t xml:space="preserve"> </w:t>
      </w:r>
      <w:r>
        <w:rPr>
          <w:color w:val="231F20"/>
        </w:rPr>
        <w:t>v</w:t>
      </w:r>
      <w:r>
        <w:rPr>
          <w:color w:val="231F20"/>
          <w:spacing w:val="-13"/>
        </w:rPr>
        <w:t xml:space="preserve"> </w:t>
      </w:r>
      <w:r>
        <w:rPr>
          <w:color w:val="231F20"/>
        </w:rPr>
        <w:t>místě</w:t>
      </w:r>
      <w:r>
        <w:rPr>
          <w:color w:val="231F20"/>
          <w:spacing w:val="-14"/>
        </w:rPr>
        <w:t xml:space="preserve"> </w:t>
      </w:r>
      <w:r>
        <w:rPr>
          <w:color w:val="231F20"/>
        </w:rPr>
        <w:t>obvyklá.</w:t>
      </w:r>
      <w:r>
        <w:rPr>
          <w:color w:val="231F20"/>
          <w:spacing w:val="-13"/>
        </w:rPr>
        <w:t xml:space="preserve"> </w:t>
      </w:r>
      <w:r>
        <w:rPr>
          <w:color w:val="231F20"/>
          <w:spacing w:val="-3"/>
        </w:rPr>
        <w:t>Bylo-</w:t>
      </w:r>
    </w:p>
    <w:p w14:paraId="0E79174C" w14:textId="77777777" w:rsidR="00F65BCA" w:rsidRDefault="00216117">
      <w:pPr>
        <w:pStyle w:val="Zkladntext"/>
        <w:spacing w:line="278" w:lineRule="auto"/>
        <w:ind w:left="467" w:right="424"/>
        <w:jc w:val="both"/>
      </w:pPr>
      <w:r>
        <w:rPr>
          <w:color w:val="231F20"/>
        </w:rPr>
        <w:t>-li</w:t>
      </w:r>
      <w:r>
        <w:rPr>
          <w:color w:val="231F20"/>
          <w:spacing w:val="-8"/>
        </w:rPr>
        <w:t xml:space="preserve"> </w:t>
      </w:r>
      <w:r>
        <w:rPr>
          <w:color w:val="231F20"/>
        </w:rPr>
        <w:t>zavazadlo</w:t>
      </w:r>
      <w:r>
        <w:rPr>
          <w:color w:val="231F20"/>
          <w:spacing w:val="-7"/>
        </w:rPr>
        <w:t xml:space="preserve"> </w:t>
      </w:r>
      <w:r>
        <w:rPr>
          <w:color w:val="231F20"/>
        </w:rPr>
        <w:t>poškozeno</w:t>
      </w:r>
      <w:r>
        <w:rPr>
          <w:color w:val="231F20"/>
          <w:spacing w:val="-7"/>
        </w:rPr>
        <w:t xml:space="preserve"> </w:t>
      </w:r>
      <w:r>
        <w:rPr>
          <w:color w:val="231F20"/>
        </w:rPr>
        <w:t>tak,</w:t>
      </w:r>
      <w:r>
        <w:rPr>
          <w:color w:val="231F20"/>
          <w:spacing w:val="-7"/>
        </w:rPr>
        <w:t xml:space="preserve"> </w:t>
      </w:r>
      <w:r>
        <w:rPr>
          <w:color w:val="231F20"/>
        </w:rPr>
        <w:t>že</w:t>
      </w:r>
      <w:r>
        <w:rPr>
          <w:color w:val="231F20"/>
          <w:spacing w:val="-7"/>
        </w:rPr>
        <w:t xml:space="preserve"> </w:t>
      </w:r>
      <w:r>
        <w:rPr>
          <w:color w:val="231F20"/>
        </w:rPr>
        <w:t>jej</w:t>
      </w:r>
      <w:r>
        <w:rPr>
          <w:color w:val="231F20"/>
          <w:spacing w:val="-7"/>
        </w:rPr>
        <w:t xml:space="preserve"> </w:t>
      </w:r>
      <w:r>
        <w:rPr>
          <w:color w:val="231F20"/>
        </w:rPr>
        <w:t>nelze</w:t>
      </w:r>
      <w:r>
        <w:rPr>
          <w:color w:val="231F20"/>
          <w:spacing w:val="-7"/>
        </w:rPr>
        <w:t xml:space="preserve"> </w:t>
      </w:r>
      <w:r>
        <w:rPr>
          <w:color w:val="231F20"/>
        </w:rPr>
        <w:t>ani</w:t>
      </w:r>
      <w:r>
        <w:rPr>
          <w:color w:val="231F20"/>
          <w:spacing w:val="-7"/>
        </w:rPr>
        <w:t xml:space="preserve"> </w:t>
      </w:r>
      <w:r>
        <w:rPr>
          <w:color w:val="231F20"/>
        </w:rPr>
        <w:t>po</w:t>
      </w:r>
      <w:r>
        <w:rPr>
          <w:color w:val="231F20"/>
          <w:spacing w:val="-7"/>
        </w:rPr>
        <w:t xml:space="preserve"> </w:t>
      </w:r>
      <w:r>
        <w:rPr>
          <w:color w:val="231F20"/>
        </w:rPr>
        <w:t>opravě</w:t>
      </w:r>
      <w:r>
        <w:rPr>
          <w:color w:val="231F20"/>
          <w:spacing w:val="-7"/>
        </w:rPr>
        <w:t xml:space="preserve"> </w:t>
      </w:r>
      <w:r>
        <w:rPr>
          <w:color w:val="231F20"/>
        </w:rPr>
        <w:t>řádně</w:t>
      </w:r>
      <w:r>
        <w:rPr>
          <w:color w:val="231F20"/>
          <w:spacing w:val="-7"/>
        </w:rPr>
        <w:t xml:space="preserve"> </w:t>
      </w:r>
      <w:r>
        <w:rPr>
          <w:color w:val="231F20"/>
        </w:rPr>
        <w:t>užívat</w:t>
      </w:r>
      <w:r>
        <w:rPr>
          <w:color w:val="231F20"/>
          <w:spacing w:val="-7"/>
        </w:rPr>
        <w:t xml:space="preserve"> </w:t>
      </w:r>
      <w:r>
        <w:rPr>
          <w:color w:val="231F20"/>
        </w:rPr>
        <w:t>jako</w:t>
      </w:r>
      <w:r>
        <w:rPr>
          <w:color w:val="231F20"/>
          <w:spacing w:val="-7"/>
        </w:rPr>
        <w:t xml:space="preserve"> </w:t>
      </w:r>
      <w:r>
        <w:rPr>
          <w:color w:val="231F20"/>
          <w:spacing w:val="-5"/>
        </w:rPr>
        <w:t xml:space="preserve">věc </w:t>
      </w:r>
      <w:r>
        <w:rPr>
          <w:color w:val="231F20"/>
        </w:rPr>
        <w:t>bez</w:t>
      </w:r>
      <w:r>
        <w:rPr>
          <w:color w:val="231F20"/>
          <w:spacing w:val="-10"/>
        </w:rPr>
        <w:t xml:space="preserve"> </w:t>
      </w:r>
      <w:r>
        <w:rPr>
          <w:color w:val="231F20"/>
          <w:spacing w:val="-3"/>
        </w:rPr>
        <w:t>vady,</w:t>
      </w:r>
      <w:r>
        <w:rPr>
          <w:color w:val="231F20"/>
          <w:spacing w:val="-10"/>
        </w:rPr>
        <w:t xml:space="preserve"> </w:t>
      </w:r>
      <w:r>
        <w:rPr>
          <w:color w:val="231F20"/>
        </w:rPr>
        <w:t>nebo</w:t>
      </w:r>
      <w:r>
        <w:rPr>
          <w:color w:val="231F20"/>
          <w:spacing w:val="-9"/>
        </w:rPr>
        <w:t xml:space="preserve"> </w:t>
      </w:r>
      <w:r>
        <w:rPr>
          <w:color w:val="231F20"/>
        </w:rPr>
        <w:t>bylo-li</w:t>
      </w:r>
      <w:r>
        <w:rPr>
          <w:color w:val="231F20"/>
          <w:spacing w:val="-10"/>
        </w:rPr>
        <w:t xml:space="preserve"> </w:t>
      </w:r>
      <w:r>
        <w:rPr>
          <w:color w:val="231F20"/>
        </w:rPr>
        <w:t>zavazadlo</w:t>
      </w:r>
      <w:r>
        <w:rPr>
          <w:color w:val="231F20"/>
          <w:spacing w:val="-9"/>
        </w:rPr>
        <w:t xml:space="preserve"> </w:t>
      </w:r>
      <w:r>
        <w:rPr>
          <w:color w:val="231F20"/>
        </w:rPr>
        <w:t>zničeno,</w:t>
      </w:r>
      <w:r>
        <w:rPr>
          <w:color w:val="231F20"/>
          <w:spacing w:val="-10"/>
        </w:rPr>
        <w:t xml:space="preserve"> </w:t>
      </w:r>
      <w:r>
        <w:rPr>
          <w:color w:val="231F20"/>
        </w:rPr>
        <w:t>odcizeno</w:t>
      </w:r>
      <w:r>
        <w:rPr>
          <w:color w:val="231F20"/>
          <w:spacing w:val="-9"/>
        </w:rPr>
        <w:t xml:space="preserve"> </w:t>
      </w:r>
      <w:r>
        <w:rPr>
          <w:color w:val="231F20"/>
        </w:rPr>
        <w:t>nebo</w:t>
      </w:r>
      <w:r>
        <w:rPr>
          <w:color w:val="231F20"/>
          <w:spacing w:val="-10"/>
        </w:rPr>
        <w:t xml:space="preserve"> </w:t>
      </w:r>
      <w:r>
        <w:rPr>
          <w:color w:val="231F20"/>
        </w:rPr>
        <w:t>ztraceno,</w:t>
      </w:r>
      <w:r>
        <w:rPr>
          <w:color w:val="231F20"/>
          <w:spacing w:val="-10"/>
        </w:rPr>
        <w:t xml:space="preserve"> </w:t>
      </w:r>
      <w:r>
        <w:rPr>
          <w:color w:val="231F20"/>
        </w:rPr>
        <w:t>poskytne Pojišťovna</w:t>
      </w:r>
      <w:r>
        <w:rPr>
          <w:color w:val="231F20"/>
          <w:spacing w:val="-28"/>
        </w:rPr>
        <w:t xml:space="preserve"> </w:t>
      </w:r>
      <w:r>
        <w:rPr>
          <w:color w:val="231F20"/>
        </w:rPr>
        <w:t>pojistné</w:t>
      </w:r>
      <w:r>
        <w:rPr>
          <w:color w:val="231F20"/>
          <w:spacing w:val="-27"/>
        </w:rPr>
        <w:t xml:space="preserve"> </w:t>
      </w:r>
      <w:r>
        <w:rPr>
          <w:color w:val="231F20"/>
        </w:rPr>
        <w:t>plnění</w:t>
      </w:r>
      <w:r>
        <w:rPr>
          <w:color w:val="231F20"/>
          <w:spacing w:val="-27"/>
        </w:rPr>
        <w:t xml:space="preserve"> </w:t>
      </w:r>
      <w:r>
        <w:rPr>
          <w:color w:val="231F20"/>
        </w:rPr>
        <w:t>do</w:t>
      </w:r>
      <w:r>
        <w:rPr>
          <w:color w:val="231F20"/>
          <w:spacing w:val="-27"/>
        </w:rPr>
        <w:t xml:space="preserve"> </w:t>
      </w:r>
      <w:r>
        <w:rPr>
          <w:color w:val="231F20"/>
        </w:rPr>
        <w:t>výše</w:t>
      </w:r>
      <w:r>
        <w:rPr>
          <w:color w:val="231F20"/>
          <w:spacing w:val="-27"/>
        </w:rPr>
        <w:t xml:space="preserve"> </w:t>
      </w:r>
      <w:r>
        <w:rPr>
          <w:color w:val="231F20"/>
        </w:rPr>
        <w:t>tržní</w:t>
      </w:r>
      <w:r>
        <w:rPr>
          <w:color w:val="231F20"/>
          <w:spacing w:val="-27"/>
        </w:rPr>
        <w:t xml:space="preserve"> </w:t>
      </w:r>
      <w:r>
        <w:rPr>
          <w:color w:val="231F20"/>
        </w:rPr>
        <w:t>ceny</w:t>
      </w:r>
      <w:r>
        <w:rPr>
          <w:color w:val="231F20"/>
          <w:spacing w:val="-27"/>
        </w:rPr>
        <w:t xml:space="preserve"> </w:t>
      </w:r>
      <w:r>
        <w:rPr>
          <w:color w:val="231F20"/>
        </w:rPr>
        <w:t>zavazadla</w:t>
      </w:r>
      <w:r>
        <w:rPr>
          <w:color w:val="231F20"/>
          <w:spacing w:val="-27"/>
        </w:rPr>
        <w:t xml:space="preserve"> </w:t>
      </w:r>
      <w:r>
        <w:rPr>
          <w:color w:val="231F20"/>
        </w:rPr>
        <w:t>ke</w:t>
      </w:r>
      <w:r>
        <w:rPr>
          <w:color w:val="231F20"/>
          <w:spacing w:val="-28"/>
        </w:rPr>
        <w:t xml:space="preserve"> </w:t>
      </w:r>
      <w:r>
        <w:rPr>
          <w:color w:val="231F20"/>
        </w:rPr>
        <w:t>dni</w:t>
      </w:r>
      <w:r>
        <w:rPr>
          <w:color w:val="231F20"/>
          <w:spacing w:val="-27"/>
        </w:rPr>
        <w:t xml:space="preserve"> </w:t>
      </w:r>
      <w:r>
        <w:rPr>
          <w:color w:val="231F20"/>
        </w:rPr>
        <w:t>pojistné</w:t>
      </w:r>
      <w:r>
        <w:rPr>
          <w:color w:val="231F20"/>
          <w:spacing w:val="-27"/>
        </w:rPr>
        <w:t xml:space="preserve"> </w:t>
      </w:r>
      <w:r>
        <w:rPr>
          <w:color w:val="231F20"/>
        </w:rPr>
        <w:t>události. Použitelné</w:t>
      </w:r>
      <w:r>
        <w:rPr>
          <w:color w:val="231F20"/>
          <w:spacing w:val="-19"/>
        </w:rPr>
        <w:t xml:space="preserve"> </w:t>
      </w:r>
      <w:r>
        <w:rPr>
          <w:color w:val="231F20"/>
        </w:rPr>
        <w:t>zbytky</w:t>
      </w:r>
      <w:r>
        <w:rPr>
          <w:color w:val="231F20"/>
          <w:spacing w:val="-18"/>
        </w:rPr>
        <w:t xml:space="preserve"> </w:t>
      </w:r>
      <w:r>
        <w:rPr>
          <w:color w:val="231F20"/>
        </w:rPr>
        <w:t>poškozeného</w:t>
      </w:r>
      <w:r>
        <w:rPr>
          <w:color w:val="231F20"/>
          <w:spacing w:val="-18"/>
        </w:rPr>
        <w:t xml:space="preserve"> </w:t>
      </w:r>
      <w:r>
        <w:rPr>
          <w:color w:val="231F20"/>
        </w:rPr>
        <w:t>nebo</w:t>
      </w:r>
      <w:r>
        <w:rPr>
          <w:color w:val="231F20"/>
          <w:spacing w:val="-18"/>
        </w:rPr>
        <w:t xml:space="preserve"> </w:t>
      </w:r>
      <w:r>
        <w:rPr>
          <w:color w:val="231F20"/>
        </w:rPr>
        <w:t>zničeného</w:t>
      </w:r>
      <w:r>
        <w:rPr>
          <w:color w:val="231F20"/>
          <w:spacing w:val="-18"/>
        </w:rPr>
        <w:t xml:space="preserve"> </w:t>
      </w:r>
      <w:r>
        <w:rPr>
          <w:color w:val="231F20"/>
        </w:rPr>
        <w:t>zavazadla</w:t>
      </w:r>
      <w:r>
        <w:rPr>
          <w:color w:val="231F20"/>
          <w:spacing w:val="-18"/>
        </w:rPr>
        <w:t xml:space="preserve"> </w:t>
      </w:r>
      <w:r>
        <w:rPr>
          <w:color w:val="231F20"/>
        </w:rPr>
        <w:t>zůstávají</w:t>
      </w:r>
      <w:r>
        <w:rPr>
          <w:color w:val="231F20"/>
          <w:spacing w:val="-18"/>
        </w:rPr>
        <w:t xml:space="preserve"> </w:t>
      </w:r>
      <w:r>
        <w:rPr>
          <w:color w:val="231F20"/>
        </w:rPr>
        <w:t>ve</w:t>
      </w:r>
      <w:r>
        <w:rPr>
          <w:color w:val="231F20"/>
          <w:spacing w:val="-18"/>
        </w:rPr>
        <w:t xml:space="preserve"> </w:t>
      </w:r>
      <w:r>
        <w:rPr>
          <w:color w:val="231F20"/>
          <w:spacing w:val="-4"/>
        </w:rPr>
        <w:t xml:space="preserve">vlast- </w:t>
      </w:r>
      <w:r>
        <w:rPr>
          <w:color w:val="231F20"/>
        </w:rPr>
        <w:t>nictví</w:t>
      </w:r>
      <w:r>
        <w:rPr>
          <w:color w:val="231F20"/>
          <w:spacing w:val="-17"/>
        </w:rPr>
        <w:t xml:space="preserve"> </w:t>
      </w:r>
      <w:r>
        <w:rPr>
          <w:color w:val="231F20"/>
        </w:rPr>
        <w:t>pojištěného</w:t>
      </w:r>
      <w:r>
        <w:rPr>
          <w:color w:val="231F20"/>
          <w:spacing w:val="-17"/>
        </w:rPr>
        <w:t xml:space="preserve"> </w:t>
      </w:r>
      <w:r>
        <w:rPr>
          <w:color w:val="231F20"/>
        </w:rPr>
        <w:t>a</w:t>
      </w:r>
      <w:r>
        <w:rPr>
          <w:color w:val="231F20"/>
          <w:spacing w:val="-16"/>
        </w:rPr>
        <w:t xml:space="preserve"> </w:t>
      </w:r>
      <w:r>
        <w:rPr>
          <w:color w:val="231F20"/>
        </w:rPr>
        <w:t>o</w:t>
      </w:r>
      <w:r>
        <w:rPr>
          <w:color w:val="231F20"/>
          <w:spacing w:val="-17"/>
        </w:rPr>
        <w:t xml:space="preserve"> </w:t>
      </w:r>
      <w:r>
        <w:rPr>
          <w:color w:val="231F20"/>
        </w:rPr>
        <w:t>jejich</w:t>
      </w:r>
      <w:r>
        <w:rPr>
          <w:color w:val="231F20"/>
          <w:spacing w:val="-17"/>
        </w:rPr>
        <w:t xml:space="preserve"> </w:t>
      </w:r>
      <w:r>
        <w:rPr>
          <w:color w:val="231F20"/>
        </w:rPr>
        <w:t>tržní</w:t>
      </w:r>
      <w:r>
        <w:rPr>
          <w:color w:val="231F20"/>
          <w:spacing w:val="-16"/>
        </w:rPr>
        <w:t xml:space="preserve"> </w:t>
      </w:r>
      <w:r>
        <w:rPr>
          <w:color w:val="231F20"/>
        </w:rPr>
        <w:t>hodnotu</w:t>
      </w:r>
      <w:r>
        <w:rPr>
          <w:color w:val="231F20"/>
          <w:spacing w:val="-17"/>
        </w:rPr>
        <w:t xml:space="preserve"> </w:t>
      </w:r>
      <w:r>
        <w:rPr>
          <w:color w:val="231F20"/>
        </w:rPr>
        <w:t>se</w:t>
      </w:r>
      <w:r>
        <w:rPr>
          <w:color w:val="231F20"/>
          <w:spacing w:val="-17"/>
        </w:rPr>
        <w:t xml:space="preserve"> </w:t>
      </w:r>
      <w:r>
        <w:rPr>
          <w:color w:val="231F20"/>
        </w:rPr>
        <w:t>výše</w:t>
      </w:r>
      <w:r>
        <w:rPr>
          <w:color w:val="231F20"/>
          <w:spacing w:val="-16"/>
        </w:rPr>
        <w:t xml:space="preserve"> </w:t>
      </w:r>
      <w:r>
        <w:rPr>
          <w:color w:val="231F20"/>
        </w:rPr>
        <w:t>pojistného</w:t>
      </w:r>
      <w:r>
        <w:rPr>
          <w:color w:val="231F20"/>
          <w:spacing w:val="-17"/>
        </w:rPr>
        <w:t xml:space="preserve"> </w:t>
      </w:r>
      <w:r>
        <w:rPr>
          <w:color w:val="231F20"/>
        </w:rPr>
        <w:t>plnění</w:t>
      </w:r>
      <w:r>
        <w:rPr>
          <w:color w:val="231F20"/>
          <w:spacing w:val="-16"/>
        </w:rPr>
        <w:t xml:space="preserve"> </w:t>
      </w:r>
      <w:r>
        <w:rPr>
          <w:color w:val="231F20"/>
        </w:rPr>
        <w:t>vždy</w:t>
      </w:r>
      <w:r>
        <w:rPr>
          <w:color w:val="231F20"/>
          <w:spacing w:val="-17"/>
        </w:rPr>
        <w:t xml:space="preserve"> </w:t>
      </w:r>
      <w:r>
        <w:rPr>
          <w:color w:val="231F20"/>
        </w:rPr>
        <w:t>sníží. Bylo-li</w:t>
      </w:r>
      <w:r>
        <w:rPr>
          <w:color w:val="231F20"/>
          <w:spacing w:val="-17"/>
        </w:rPr>
        <w:t xml:space="preserve"> </w:t>
      </w:r>
      <w:r>
        <w:rPr>
          <w:color w:val="231F20"/>
        </w:rPr>
        <w:t>po</w:t>
      </w:r>
      <w:r>
        <w:rPr>
          <w:color w:val="231F20"/>
          <w:spacing w:val="-17"/>
        </w:rPr>
        <w:t xml:space="preserve"> </w:t>
      </w:r>
      <w:r>
        <w:rPr>
          <w:color w:val="231F20"/>
        </w:rPr>
        <w:t>poskytnutí</w:t>
      </w:r>
      <w:r>
        <w:rPr>
          <w:color w:val="231F20"/>
          <w:spacing w:val="-17"/>
        </w:rPr>
        <w:t xml:space="preserve"> </w:t>
      </w:r>
      <w:r>
        <w:rPr>
          <w:color w:val="231F20"/>
        </w:rPr>
        <w:t>pojistného</w:t>
      </w:r>
      <w:r>
        <w:rPr>
          <w:color w:val="231F20"/>
          <w:spacing w:val="-16"/>
        </w:rPr>
        <w:t xml:space="preserve"> </w:t>
      </w:r>
      <w:r>
        <w:rPr>
          <w:color w:val="231F20"/>
        </w:rPr>
        <w:t>plnění</w:t>
      </w:r>
      <w:r>
        <w:rPr>
          <w:color w:val="231F20"/>
          <w:spacing w:val="-17"/>
        </w:rPr>
        <w:t xml:space="preserve"> </w:t>
      </w:r>
      <w:r>
        <w:rPr>
          <w:color w:val="231F20"/>
        </w:rPr>
        <w:t>odcizené</w:t>
      </w:r>
      <w:r>
        <w:rPr>
          <w:color w:val="231F20"/>
          <w:spacing w:val="-17"/>
        </w:rPr>
        <w:t xml:space="preserve"> </w:t>
      </w:r>
      <w:r>
        <w:rPr>
          <w:color w:val="231F20"/>
        </w:rPr>
        <w:t>zavazadlo</w:t>
      </w:r>
      <w:r>
        <w:rPr>
          <w:color w:val="231F20"/>
          <w:spacing w:val="-17"/>
        </w:rPr>
        <w:t xml:space="preserve"> </w:t>
      </w:r>
      <w:r>
        <w:rPr>
          <w:color w:val="231F20"/>
        </w:rPr>
        <w:t>nebo</w:t>
      </w:r>
      <w:r>
        <w:rPr>
          <w:color w:val="231F20"/>
          <w:spacing w:val="-16"/>
        </w:rPr>
        <w:t xml:space="preserve"> </w:t>
      </w:r>
      <w:r>
        <w:rPr>
          <w:color w:val="231F20"/>
        </w:rPr>
        <w:t>jeho</w:t>
      </w:r>
      <w:r>
        <w:rPr>
          <w:color w:val="231F20"/>
          <w:spacing w:val="-17"/>
        </w:rPr>
        <w:t xml:space="preserve"> </w:t>
      </w:r>
      <w:r>
        <w:rPr>
          <w:color w:val="231F20"/>
        </w:rPr>
        <w:t>část</w:t>
      </w:r>
      <w:r>
        <w:rPr>
          <w:color w:val="231F20"/>
          <w:spacing w:val="-17"/>
        </w:rPr>
        <w:t xml:space="preserve"> </w:t>
      </w:r>
      <w:r>
        <w:rPr>
          <w:color w:val="231F20"/>
        </w:rPr>
        <w:t>na- lezeno,</w:t>
      </w:r>
      <w:r>
        <w:rPr>
          <w:color w:val="231F20"/>
          <w:spacing w:val="-13"/>
        </w:rPr>
        <w:t xml:space="preserve"> </w:t>
      </w:r>
      <w:r>
        <w:rPr>
          <w:color w:val="231F20"/>
        </w:rPr>
        <w:t>vrátí</w:t>
      </w:r>
      <w:r>
        <w:rPr>
          <w:color w:val="231F20"/>
          <w:spacing w:val="-12"/>
        </w:rPr>
        <w:t xml:space="preserve"> </w:t>
      </w:r>
      <w:r>
        <w:rPr>
          <w:color w:val="231F20"/>
        </w:rPr>
        <w:t>pojištěný</w:t>
      </w:r>
      <w:r>
        <w:rPr>
          <w:color w:val="231F20"/>
          <w:spacing w:val="-12"/>
        </w:rPr>
        <w:t xml:space="preserve"> </w:t>
      </w:r>
      <w:r>
        <w:rPr>
          <w:color w:val="231F20"/>
        </w:rPr>
        <w:t>Pojišťovně</w:t>
      </w:r>
      <w:r>
        <w:rPr>
          <w:color w:val="231F20"/>
          <w:spacing w:val="-12"/>
        </w:rPr>
        <w:t xml:space="preserve"> </w:t>
      </w:r>
      <w:r>
        <w:rPr>
          <w:color w:val="231F20"/>
        </w:rPr>
        <w:t>částku</w:t>
      </w:r>
      <w:r>
        <w:rPr>
          <w:color w:val="231F20"/>
          <w:spacing w:val="-13"/>
        </w:rPr>
        <w:t xml:space="preserve"> </w:t>
      </w:r>
      <w:r>
        <w:rPr>
          <w:color w:val="231F20"/>
        </w:rPr>
        <w:t>odpovídající</w:t>
      </w:r>
      <w:r>
        <w:rPr>
          <w:color w:val="231F20"/>
          <w:spacing w:val="-12"/>
        </w:rPr>
        <w:t xml:space="preserve"> </w:t>
      </w:r>
      <w:r>
        <w:rPr>
          <w:color w:val="231F20"/>
        </w:rPr>
        <w:t>poskytnuté</w:t>
      </w:r>
      <w:r>
        <w:rPr>
          <w:color w:val="231F20"/>
          <w:spacing w:val="-12"/>
        </w:rPr>
        <w:t xml:space="preserve"> </w:t>
      </w:r>
      <w:r>
        <w:rPr>
          <w:color w:val="231F20"/>
        </w:rPr>
        <w:t>náhradě</w:t>
      </w:r>
      <w:r>
        <w:rPr>
          <w:color w:val="231F20"/>
          <w:spacing w:val="-12"/>
        </w:rPr>
        <w:t xml:space="preserve"> </w:t>
      </w:r>
      <w:r>
        <w:rPr>
          <w:color w:val="231F20"/>
          <w:spacing w:val="-6"/>
        </w:rPr>
        <w:t xml:space="preserve">po </w:t>
      </w:r>
      <w:r>
        <w:rPr>
          <w:color w:val="231F20"/>
        </w:rPr>
        <w:t>odpočtu</w:t>
      </w:r>
      <w:r>
        <w:rPr>
          <w:color w:val="231F20"/>
          <w:spacing w:val="-9"/>
        </w:rPr>
        <w:t xml:space="preserve"> </w:t>
      </w:r>
      <w:r>
        <w:rPr>
          <w:color w:val="231F20"/>
        </w:rPr>
        <w:t>nákladu</w:t>
      </w:r>
      <w:r>
        <w:rPr>
          <w:color w:val="231F20"/>
          <w:spacing w:val="-8"/>
        </w:rPr>
        <w:t xml:space="preserve"> </w:t>
      </w:r>
      <w:r>
        <w:rPr>
          <w:color w:val="231F20"/>
        </w:rPr>
        <w:t>na</w:t>
      </w:r>
      <w:r>
        <w:rPr>
          <w:color w:val="231F20"/>
          <w:spacing w:val="-9"/>
        </w:rPr>
        <w:t xml:space="preserve"> </w:t>
      </w:r>
      <w:r>
        <w:rPr>
          <w:color w:val="231F20"/>
        </w:rPr>
        <w:t>znovunabytí</w:t>
      </w:r>
      <w:r>
        <w:rPr>
          <w:color w:val="231F20"/>
          <w:spacing w:val="-8"/>
        </w:rPr>
        <w:t xml:space="preserve"> </w:t>
      </w:r>
      <w:r>
        <w:rPr>
          <w:color w:val="231F20"/>
        </w:rPr>
        <w:t>zavazadla</w:t>
      </w:r>
      <w:r>
        <w:rPr>
          <w:color w:val="231F20"/>
          <w:spacing w:val="-9"/>
        </w:rPr>
        <w:t xml:space="preserve"> </w:t>
      </w:r>
      <w:r>
        <w:rPr>
          <w:color w:val="231F20"/>
        </w:rPr>
        <w:t>a</w:t>
      </w:r>
      <w:r>
        <w:rPr>
          <w:color w:val="231F20"/>
          <w:spacing w:val="-8"/>
        </w:rPr>
        <w:t xml:space="preserve"> </w:t>
      </w:r>
      <w:r>
        <w:rPr>
          <w:color w:val="231F20"/>
          <w:spacing w:val="-3"/>
        </w:rPr>
        <w:t>škody,</w:t>
      </w:r>
      <w:r>
        <w:rPr>
          <w:color w:val="231F20"/>
          <w:spacing w:val="-9"/>
        </w:rPr>
        <w:t xml:space="preserve"> </w:t>
      </w:r>
      <w:r>
        <w:rPr>
          <w:color w:val="231F20"/>
        </w:rPr>
        <w:t>která</w:t>
      </w:r>
      <w:r>
        <w:rPr>
          <w:color w:val="231F20"/>
          <w:spacing w:val="-8"/>
        </w:rPr>
        <w:t xml:space="preserve"> </w:t>
      </w:r>
      <w:r>
        <w:rPr>
          <w:color w:val="231F20"/>
        </w:rPr>
        <w:t>na</w:t>
      </w:r>
      <w:r>
        <w:rPr>
          <w:color w:val="231F20"/>
          <w:spacing w:val="-9"/>
        </w:rPr>
        <w:t xml:space="preserve"> </w:t>
      </w:r>
      <w:r>
        <w:rPr>
          <w:color w:val="231F20"/>
        </w:rPr>
        <w:t>zavazadle</w:t>
      </w:r>
      <w:r>
        <w:rPr>
          <w:color w:val="231F20"/>
          <w:spacing w:val="-8"/>
        </w:rPr>
        <w:t xml:space="preserve"> </w:t>
      </w:r>
      <w:r>
        <w:rPr>
          <w:color w:val="231F20"/>
          <w:spacing w:val="-3"/>
        </w:rPr>
        <w:t xml:space="preserve">byla </w:t>
      </w:r>
      <w:r>
        <w:rPr>
          <w:color w:val="231F20"/>
        </w:rPr>
        <w:t>způsobena.</w:t>
      </w:r>
      <w:r>
        <w:rPr>
          <w:color w:val="231F20"/>
          <w:spacing w:val="-7"/>
        </w:rPr>
        <w:t xml:space="preserve"> </w:t>
      </w:r>
      <w:r>
        <w:rPr>
          <w:color w:val="231F20"/>
        </w:rPr>
        <w:t>Pokud</w:t>
      </w:r>
      <w:r>
        <w:rPr>
          <w:color w:val="231F20"/>
          <w:spacing w:val="-7"/>
        </w:rPr>
        <w:t xml:space="preserve"> </w:t>
      </w:r>
      <w:r>
        <w:rPr>
          <w:color w:val="231F20"/>
        </w:rPr>
        <w:t>pojištěný</w:t>
      </w:r>
      <w:r>
        <w:rPr>
          <w:color w:val="231F20"/>
          <w:spacing w:val="-6"/>
        </w:rPr>
        <w:t xml:space="preserve"> </w:t>
      </w:r>
      <w:r>
        <w:rPr>
          <w:color w:val="231F20"/>
        </w:rPr>
        <w:t>neprokáže</w:t>
      </w:r>
      <w:r>
        <w:rPr>
          <w:color w:val="231F20"/>
          <w:spacing w:val="-7"/>
        </w:rPr>
        <w:t xml:space="preserve"> </w:t>
      </w:r>
      <w:r>
        <w:rPr>
          <w:color w:val="231F20"/>
        </w:rPr>
        <w:t>vlastnictví</w:t>
      </w:r>
      <w:r>
        <w:rPr>
          <w:color w:val="231F20"/>
          <w:spacing w:val="-7"/>
        </w:rPr>
        <w:t xml:space="preserve"> </w:t>
      </w:r>
      <w:r>
        <w:rPr>
          <w:color w:val="231F20"/>
        </w:rPr>
        <w:t>odcizeného</w:t>
      </w:r>
      <w:r>
        <w:rPr>
          <w:color w:val="231F20"/>
          <w:spacing w:val="-6"/>
        </w:rPr>
        <w:t xml:space="preserve"> </w:t>
      </w:r>
      <w:r>
        <w:rPr>
          <w:color w:val="231F20"/>
        </w:rPr>
        <w:t>zavazadla,</w:t>
      </w:r>
      <w:r>
        <w:rPr>
          <w:color w:val="231F20"/>
          <w:spacing w:val="-7"/>
        </w:rPr>
        <w:t xml:space="preserve"> </w:t>
      </w:r>
      <w:r>
        <w:rPr>
          <w:color w:val="231F20"/>
          <w:spacing w:val="-8"/>
        </w:rPr>
        <w:t xml:space="preserve">je </w:t>
      </w:r>
      <w:r>
        <w:rPr>
          <w:color w:val="231F20"/>
        </w:rPr>
        <w:t>Pojišťovna</w:t>
      </w:r>
      <w:r>
        <w:rPr>
          <w:color w:val="231F20"/>
          <w:spacing w:val="-28"/>
        </w:rPr>
        <w:t xml:space="preserve"> </w:t>
      </w:r>
      <w:r>
        <w:rPr>
          <w:color w:val="231F20"/>
        </w:rPr>
        <w:t>oprávněna</w:t>
      </w:r>
      <w:r>
        <w:rPr>
          <w:color w:val="231F20"/>
          <w:spacing w:val="-27"/>
        </w:rPr>
        <w:t xml:space="preserve"> </w:t>
      </w:r>
      <w:r>
        <w:rPr>
          <w:color w:val="231F20"/>
        </w:rPr>
        <w:t>snížit</w:t>
      </w:r>
      <w:r>
        <w:rPr>
          <w:color w:val="231F20"/>
          <w:spacing w:val="-28"/>
        </w:rPr>
        <w:t xml:space="preserve"> </w:t>
      </w:r>
      <w:r>
        <w:rPr>
          <w:color w:val="231F20"/>
        </w:rPr>
        <w:t>pojistné</w:t>
      </w:r>
      <w:r>
        <w:rPr>
          <w:color w:val="231F20"/>
          <w:spacing w:val="-27"/>
        </w:rPr>
        <w:t xml:space="preserve"> </w:t>
      </w:r>
      <w:r>
        <w:rPr>
          <w:color w:val="231F20"/>
        </w:rPr>
        <w:t>plnění</w:t>
      </w:r>
      <w:r>
        <w:rPr>
          <w:color w:val="231F20"/>
          <w:spacing w:val="-28"/>
        </w:rPr>
        <w:t xml:space="preserve"> </w:t>
      </w:r>
      <w:r>
        <w:rPr>
          <w:color w:val="231F20"/>
        </w:rPr>
        <w:t>nebo</w:t>
      </w:r>
      <w:r>
        <w:rPr>
          <w:color w:val="231F20"/>
          <w:spacing w:val="-27"/>
        </w:rPr>
        <w:t xml:space="preserve"> </w:t>
      </w:r>
      <w:r>
        <w:rPr>
          <w:color w:val="231F20"/>
        </w:rPr>
        <w:t>pojistné</w:t>
      </w:r>
      <w:r>
        <w:rPr>
          <w:color w:val="231F20"/>
          <w:spacing w:val="-28"/>
        </w:rPr>
        <w:t xml:space="preserve"> </w:t>
      </w:r>
      <w:r>
        <w:rPr>
          <w:color w:val="231F20"/>
        </w:rPr>
        <w:t>plnění</w:t>
      </w:r>
      <w:r>
        <w:rPr>
          <w:color w:val="231F20"/>
          <w:spacing w:val="-27"/>
        </w:rPr>
        <w:t xml:space="preserve"> </w:t>
      </w:r>
      <w:r>
        <w:rPr>
          <w:color w:val="231F20"/>
          <w:spacing w:val="-2"/>
        </w:rPr>
        <w:t>neposkytnout.</w:t>
      </w:r>
    </w:p>
    <w:p w14:paraId="567F8378" w14:textId="77777777" w:rsidR="00F65BCA" w:rsidRDefault="00216117">
      <w:pPr>
        <w:pStyle w:val="Zkladntext"/>
        <w:spacing w:line="278" w:lineRule="auto"/>
        <w:ind w:left="467" w:right="425" w:hanging="283"/>
        <w:jc w:val="both"/>
      </w:pPr>
      <w:r>
        <w:rPr>
          <w:color w:val="231F20"/>
          <w:position w:val="1"/>
          <w:sz w:val="14"/>
          <w:shd w:val="clear" w:color="auto" w:fill="D1D3D4"/>
        </w:rPr>
        <w:t xml:space="preserve">  4</w:t>
      </w:r>
      <w:r>
        <w:rPr>
          <w:color w:val="231F20"/>
          <w:position w:val="1"/>
          <w:sz w:val="14"/>
        </w:rPr>
        <w:t xml:space="preserve"> </w:t>
      </w:r>
      <w:r>
        <w:rPr>
          <w:color w:val="231F20"/>
        </w:rPr>
        <w:t>Při odcizení zavazadel z vozidla poskytne Pojišťovna pojistné plnění, pokud současně:</w:t>
      </w:r>
    </w:p>
    <w:p w14:paraId="74E369A8" w14:textId="77777777" w:rsidR="00F65BCA" w:rsidRDefault="00216117">
      <w:pPr>
        <w:pStyle w:val="Odstavecseseznamem"/>
        <w:numPr>
          <w:ilvl w:val="0"/>
          <w:numId w:val="96"/>
        </w:numPr>
        <w:tabs>
          <w:tab w:val="left" w:pos="638"/>
        </w:tabs>
        <w:jc w:val="both"/>
        <w:rPr>
          <w:sz w:val="15"/>
        </w:rPr>
      </w:pPr>
      <w:r>
        <w:rPr>
          <w:color w:val="231F20"/>
          <w:sz w:val="15"/>
        </w:rPr>
        <w:t>došlo k odcizení mezi 6:00 a 22:00</w:t>
      </w:r>
      <w:r>
        <w:rPr>
          <w:color w:val="231F20"/>
          <w:spacing w:val="-6"/>
          <w:sz w:val="15"/>
        </w:rPr>
        <w:t xml:space="preserve"> </w:t>
      </w:r>
      <w:r>
        <w:rPr>
          <w:color w:val="231F20"/>
          <w:sz w:val="15"/>
        </w:rPr>
        <w:t>hod.;</w:t>
      </w:r>
    </w:p>
    <w:p w14:paraId="535954C8" w14:textId="77777777" w:rsidR="00F65BCA" w:rsidRDefault="00216117">
      <w:pPr>
        <w:pStyle w:val="Odstavecseseznamem"/>
        <w:numPr>
          <w:ilvl w:val="0"/>
          <w:numId w:val="96"/>
        </w:numPr>
        <w:tabs>
          <w:tab w:val="left" w:pos="638"/>
        </w:tabs>
        <w:spacing w:before="25" w:line="278" w:lineRule="auto"/>
        <w:ind w:right="424"/>
        <w:jc w:val="both"/>
        <w:rPr>
          <w:sz w:val="15"/>
        </w:rPr>
      </w:pPr>
      <w:r>
        <w:rPr>
          <w:color w:val="231F20"/>
          <w:sz w:val="15"/>
        </w:rPr>
        <w:t xml:space="preserve">vozidlo bylo uzamčeno a zabezpečeno proti vniknutí nepovolané </w:t>
      </w:r>
      <w:r>
        <w:rPr>
          <w:color w:val="231F20"/>
          <w:spacing w:val="-5"/>
          <w:sz w:val="15"/>
        </w:rPr>
        <w:t xml:space="preserve">osoby, </w:t>
      </w:r>
      <w:r>
        <w:rPr>
          <w:color w:val="231F20"/>
          <w:sz w:val="15"/>
        </w:rPr>
        <w:t>všechna</w:t>
      </w:r>
      <w:r>
        <w:rPr>
          <w:color w:val="231F20"/>
          <w:spacing w:val="-23"/>
          <w:sz w:val="15"/>
        </w:rPr>
        <w:t xml:space="preserve"> </w:t>
      </w:r>
      <w:r>
        <w:rPr>
          <w:color w:val="231F20"/>
          <w:sz w:val="15"/>
        </w:rPr>
        <w:t>okna</w:t>
      </w:r>
      <w:r>
        <w:rPr>
          <w:color w:val="231F20"/>
          <w:spacing w:val="-22"/>
          <w:sz w:val="15"/>
        </w:rPr>
        <w:t xml:space="preserve"> </w:t>
      </w:r>
      <w:r>
        <w:rPr>
          <w:color w:val="231F20"/>
          <w:sz w:val="15"/>
        </w:rPr>
        <w:t>včetně</w:t>
      </w:r>
      <w:r>
        <w:rPr>
          <w:color w:val="231F20"/>
          <w:spacing w:val="-22"/>
          <w:sz w:val="15"/>
        </w:rPr>
        <w:t xml:space="preserve"> </w:t>
      </w:r>
      <w:r>
        <w:rPr>
          <w:color w:val="231F20"/>
          <w:sz w:val="15"/>
        </w:rPr>
        <w:t>střešního</w:t>
      </w:r>
      <w:r>
        <w:rPr>
          <w:color w:val="231F20"/>
          <w:spacing w:val="-23"/>
          <w:sz w:val="15"/>
        </w:rPr>
        <w:t xml:space="preserve"> </w:t>
      </w:r>
      <w:r>
        <w:rPr>
          <w:color w:val="231F20"/>
          <w:sz w:val="15"/>
        </w:rPr>
        <w:t>byla</w:t>
      </w:r>
      <w:r>
        <w:rPr>
          <w:color w:val="231F20"/>
          <w:spacing w:val="-22"/>
          <w:sz w:val="15"/>
        </w:rPr>
        <w:t xml:space="preserve"> </w:t>
      </w:r>
      <w:r>
        <w:rPr>
          <w:color w:val="231F20"/>
          <w:sz w:val="15"/>
        </w:rPr>
        <w:t>uzavřena</w:t>
      </w:r>
      <w:r>
        <w:rPr>
          <w:color w:val="231F20"/>
          <w:spacing w:val="-22"/>
          <w:sz w:val="15"/>
        </w:rPr>
        <w:t xml:space="preserve"> </w:t>
      </w:r>
      <w:r>
        <w:rPr>
          <w:color w:val="231F20"/>
          <w:sz w:val="15"/>
        </w:rPr>
        <w:t>a</w:t>
      </w:r>
      <w:r>
        <w:rPr>
          <w:color w:val="231F20"/>
          <w:spacing w:val="-22"/>
          <w:sz w:val="15"/>
        </w:rPr>
        <w:t xml:space="preserve"> </w:t>
      </w:r>
      <w:r>
        <w:rPr>
          <w:color w:val="231F20"/>
          <w:sz w:val="15"/>
        </w:rPr>
        <w:t>byly</w:t>
      </w:r>
      <w:r>
        <w:rPr>
          <w:color w:val="231F20"/>
          <w:spacing w:val="-23"/>
          <w:sz w:val="15"/>
        </w:rPr>
        <w:t xml:space="preserve"> </w:t>
      </w:r>
      <w:r>
        <w:rPr>
          <w:color w:val="231F20"/>
          <w:sz w:val="15"/>
        </w:rPr>
        <w:t>aktivovány</w:t>
      </w:r>
      <w:r>
        <w:rPr>
          <w:color w:val="231F20"/>
          <w:spacing w:val="-22"/>
          <w:sz w:val="15"/>
        </w:rPr>
        <w:t xml:space="preserve"> </w:t>
      </w:r>
      <w:r>
        <w:rPr>
          <w:color w:val="231F20"/>
          <w:spacing w:val="-3"/>
          <w:sz w:val="15"/>
        </w:rPr>
        <w:t xml:space="preserve">zabezpečo- </w:t>
      </w:r>
      <w:r>
        <w:rPr>
          <w:color w:val="231F20"/>
          <w:sz w:val="15"/>
        </w:rPr>
        <w:t>vací systémy, byly-li ve vozidle</w:t>
      </w:r>
      <w:r>
        <w:rPr>
          <w:color w:val="231F20"/>
          <w:spacing w:val="-16"/>
          <w:sz w:val="15"/>
        </w:rPr>
        <w:t xml:space="preserve"> </w:t>
      </w:r>
      <w:r>
        <w:rPr>
          <w:color w:val="231F20"/>
          <w:sz w:val="15"/>
        </w:rPr>
        <w:t>nainstalovány;</w:t>
      </w:r>
    </w:p>
    <w:p w14:paraId="25165526" w14:textId="77777777" w:rsidR="00F65BCA" w:rsidRDefault="00216117">
      <w:pPr>
        <w:pStyle w:val="Odstavecseseznamem"/>
        <w:numPr>
          <w:ilvl w:val="0"/>
          <w:numId w:val="96"/>
        </w:numPr>
        <w:tabs>
          <w:tab w:val="left" w:pos="638"/>
        </w:tabs>
        <w:spacing w:line="278" w:lineRule="auto"/>
        <w:ind w:right="424"/>
        <w:jc w:val="both"/>
        <w:rPr>
          <w:sz w:val="15"/>
        </w:rPr>
      </w:pPr>
      <w:r>
        <w:rPr>
          <w:color w:val="231F20"/>
          <w:sz w:val="15"/>
        </w:rPr>
        <w:t xml:space="preserve">zavazadla byla uložena v zabezpečeném zavazadlovém prostoru </w:t>
      </w:r>
      <w:r>
        <w:rPr>
          <w:color w:val="231F20"/>
          <w:spacing w:val="-3"/>
          <w:sz w:val="15"/>
        </w:rPr>
        <w:t xml:space="preserve">vozidla </w:t>
      </w:r>
      <w:r>
        <w:rPr>
          <w:color w:val="231F20"/>
          <w:sz w:val="15"/>
        </w:rPr>
        <w:t>tak, že nebyla z vnějšku viditelná či patrná</w:t>
      </w:r>
      <w:r>
        <w:rPr>
          <w:color w:val="231F20"/>
          <w:spacing w:val="-19"/>
          <w:sz w:val="15"/>
        </w:rPr>
        <w:t xml:space="preserve"> </w:t>
      </w:r>
      <w:r>
        <w:rPr>
          <w:color w:val="231F20"/>
          <w:sz w:val="15"/>
        </w:rPr>
        <w:t>nebo</w:t>
      </w:r>
    </w:p>
    <w:p w14:paraId="64CD5A22" w14:textId="77777777" w:rsidR="00F65BCA" w:rsidRDefault="00216117">
      <w:pPr>
        <w:pStyle w:val="Odstavecseseznamem"/>
        <w:numPr>
          <w:ilvl w:val="0"/>
          <w:numId w:val="96"/>
        </w:numPr>
        <w:tabs>
          <w:tab w:val="left" w:pos="638"/>
        </w:tabs>
        <w:spacing w:line="278" w:lineRule="auto"/>
        <w:ind w:right="424"/>
        <w:jc w:val="both"/>
        <w:rPr>
          <w:sz w:val="15"/>
        </w:rPr>
      </w:pPr>
      <w:r>
        <w:rPr>
          <w:color w:val="231F20"/>
          <w:sz w:val="15"/>
        </w:rPr>
        <w:t xml:space="preserve">zavazadla byla řádně upevněna a uzamčena na střešním či jiném nosiči </w:t>
      </w:r>
      <w:r>
        <w:rPr>
          <w:color w:val="231F20"/>
          <w:spacing w:val="-3"/>
          <w:sz w:val="15"/>
        </w:rPr>
        <w:t>(např.</w:t>
      </w:r>
      <w:r>
        <w:rPr>
          <w:color w:val="231F20"/>
          <w:spacing w:val="-5"/>
          <w:sz w:val="15"/>
        </w:rPr>
        <w:t xml:space="preserve"> </w:t>
      </w:r>
      <w:r>
        <w:rPr>
          <w:color w:val="231F20"/>
          <w:sz w:val="15"/>
        </w:rPr>
        <w:t>kol,</w:t>
      </w:r>
      <w:r>
        <w:rPr>
          <w:color w:val="231F20"/>
          <w:spacing w:val="-4"/>
          <w:sz w:val="15"/>
        </w:rPr>
        <w:t xml:space="preserve"> </w:t>
      </w:r>
      <w:r>
        <w:rPr>
          <w:color w:val="231F20"/>
          <w:sz w:val="15"/>
        </w:rPr>
        <w:t>lyží</w:t>
      </w:r>
      <w:r>
        <w:rPr>
          <w:color w:val="231F20"/>
          <w:spacing w:val="-4"/>
          <w:sz w:val="15"/>
        </w:rPr>
        <w:t xml:space="preserve"> </w:t>
      </w:r>
      <w:r>
        <w:rPr>
          <w:color w:val="231F20"/>
          <w:sz w:val="15"/>
        </w:rPr>
        <w:t>apod.),</w:t>
      </w:r>
      <w:r>
        <w:rPr>
          <w:color w:val="231F20"/>
          <w:spacing w:val="-5"/>
          <w:sz w:val="15"/>
        </w:rPr>
        <w:t xml:space="preserve"> </w:t>
      </w:r>
      <w:r>
        <w:rPr>
          <w:color w:val="231F20"/>
          <w:sz w:val="15"/>
        </w:rPr>
        <w:t>případně</w:t>
      </w:r>
      <w:r>
        <w:rPr>
          <w:color w:val="231F20"/>
          <w:spacing w:val="-4"/>
          <w:sz w:val="15"/>
        </w:rPr>
        <w:t xml:space="preserve"> </w:t>
      </w:r>
      <w:r>
        <w:rPr>
          <w:color w:val="231F20"/>
          <w:sz w:val="15"/>
        </w:rPr>
        <w:t>uložena</w:t>
      </w:r>
      <w:r>
        <w:rPr>
          <w:color w:val="231F20"/>
          <w:spacing w:val="-4"/>
          <w:sz w:val="15"/>
        </w:rPr>
        <w:t xml:space="preserve"> </w:t>
      </w:r>
      <w:r>
        <w:rPr>
          <w:color w:val="231F20"/>
          <w:sz w:val="15"/>
        </w:rPr>
        <w:t>v</w:t>
      </w:r>
      <w:r>
        <w:rPr>
          <w:color w:val="231F20"/>
          <w:spacing w:val="-5"/>
          <w:sz w:val="15"/>
        </w:rPr>
        <w:t xml:space="preserve"> </w:t>
      </w:r>
      <w:r>
        <w:rPr>
          <w:color w:val="231F20"/>
          <w:sz w:val="15"/>
        </w:rPr>
        <w:t>uzamčeném</w:t>
      </w:r>
      <w:r>
        <w:rPr>
          <w:color w:val="231F20"/>
          <w:spacing w:val="-4"/>
          <w:sz w:val="15"/>
        </w:rPr>
        <w:t xml:space="preserve"> </w:t>
      </w:r>
      <w:r>
        <w:rPr>
          <w:color w:val="231F20"/>
          <w:sz w:val="15"/>
        </w:rPr>
        <w:t>střešním</w:t>
      </w:r>
      <w:r>
        <w:rPr>
          <w:color w:val="231F20"/>
          <w:spacing w:val="-4"/>
          <w:sz w:val="15"/>
        </w:rPr>
        <w:t xml:space="preserve"> </w:t>
      </w:r>
      <w:r>
        <w:rPr>
          <w:color w:val="231F20"/>
          <w:sz w:val="15"/>
        </w:rPr>
        <w:t>či</w:t>
      </w:r>
      <w:r>
        <w:rPr>
          <w:color w:val="231F20"/>
          <w:spacing w:val="-4"/>
          <w:sz w:val="15"/>
        </w:rPr>
        <w:t xml:space="preserve"> obdob- </w:t>
      </w:r>
      <w:r>
        <w:rPr>
          <w:color w:val="231F20"/>
          <w:sz w:val="15"/>
        </w:rPr>
        <w:t>ném boxu na</w:t>
      </w:r>
      <w:r>
        <w:rPr>
          <w:color w:val="231F20"/>
          <w:spacing w:val="-2"/>
          <w:sz w:val="15"/>
        </w:rPr>
        <w:t xml:space="preserve"> </w:t>
      </w:r>
      <w:r>
        <w:rPr>
          <w:color w:val="231F20"/>
          <w:sz w:val="15"/>
        </w:rPr>
        <w:t>vozidle;</w:t>
      </w:r>
    </w:p>
    <w:p w14:paraId="3507C78F" w14:textId="77777777" w:rsidR="00F65BCA" w:rsidRDefault="00216117">
      <w:pPr>
        <w:pStyle w:val="Odstavecseseznamem"/>
        <w:numPr>
          <w:ilvl w:val="0"/>
          <w:numId w:val="96"/>
        </w:numPr>
        <w:tabs>
          <w:tab w:val="left" w:pos="638"/>
        </w:tabs>
        <w:spacing w:line="278" w:lineRule="auto"/>
        <w:ind w:right="424"/>
        <w:jc w:val="both"/>
        <w:rPr>
          <w:sz w:val="15"/>
        </w:rPr>
      </w:pPr>
      <w:r>
        <w:rPr>
          <w:color w:val="231F20"/>
          <w:spacing w:val="2"/>
          <w:sz w:val="15"/>
        </w:rPr>
        <w:t>škodní</w:t>
      </w:r>
      <w:r>
        <w:rPr>
          <w:color w:val="231F20"/>
          <w:spacing w:val="-16"/>
          <w:sz w:val="15"/>
        </w:rPr>
        <w:t xml:space="preserve"> </w:t>
      </w:r>
      <w:r>
        <w:rPr>
          <w:color w:val="231F20"/>
          <w:spacing w:val="3"/>
          <w:sz w:val="15"/>
        </w:rPr>
        <w:t>událost</w:t>
      </w:r>
      <w:r>
        <w:rPr>
          <w:color w:val="231F20"/>
          <w:spacing w:val="-16"/>
          <w:sz w:val="15"/>
        </w:rPr>
        <w:t xml:space="preserve"> </w:t>
      </w:r>
      <w:r>
        <w:rPr>
          <w:color w:val="231F20"/>
          <w:spacing w:val="2"/>
          <w:sz w:val="15"/>
        </w:rPr>
        <w:t>byla</w:t>
      </w:r>
      <w:r>
        <w:rPr>
          <w:color w:val="231F20"/>
          <w:spacing w:val="-16"/>
          <w:sz w:val="15"/>
        </w:rPr>
        <w:t xml:space="preserve"> </w:t>
      </w:r>
      <w:r>
        <w:rPr>
          <w:color w:val="231F20"/>
          <w:spacing w:val="2"/>
          <w:sz w:val="15"/>
        </w:rPr>
        <w:t>šetřena</w:t>
      </w:r>
      <w:r>
        <w:rPr>
          <w:color w:val="231F20"/>
          <w:spacing w:val="-16"/>
          <w:sz w:val="15"/>
        </w:rPr>
        <w:t xml:space="preserve"> </w:t>
      </w:r>
      <w:r>
        <w:rPr>
          <w:color w:val="231F20"/>
          <w:spacing w:val="3"/>
          <w:sz w:val="15"/>
        </w:rPr>
        <w:t>policií</w:t>
      </w:r>
      <w:r>
        <w:rPr>
          <w:color w:val="231F20"/>
          <w:spacing w:val="-15"/>
          <w:sz w:val="15"/>
        </w:rPr>
        <w:t xml:space="preserve"> </w:t>
      </w:r>
      <w:r>
        <w:rPr>
          <w:color w:val="231F20"/>
          <w:sz w:val="15"/>
        </w:rPr>
        <w:t>a</w:t>
      </w:r>
      <w:r>
        <w:rPr>
          <w:color w:val="231F20"/>
          <w:spacing w:val="-16"/>
          <w:sz w:val="15"/>
        </w:rPr>
        <w:t xml:space="preserve"> </w:t>
      </w:r>
      <w:r>
        <w:rPr>
          <w:color w:val="231F20"/>
          <w:spacing w:val="2"/>
          <w:sz w:val="15"/>
        </w:rPr>
        <w:t>pojištěný</w:t>
      </w:r>
      <w:r>
        <w:rPr>
          <w:color w:val="231F20"/>
          <w:spacing w:val="-16"/>
          <w:sz w:val="15"/>
        </w:rPr>
        <w:t xml:space="preserve"> </w:t>
      </w:r>
      <w:r>
        <w:rPr>
          <w:color w:val="231F20"/>
          <w:spacing w:val="2"/>
          <w:sz w:val="15"/>
        </w:rPr>
        <w:t>předloží</w:t>
      </w:r>
      <w:r>
        <w:rPr>
          <w:color w:val="231F20"/>
          <w:spacing w:val="-16"/>
          <w:sz w:val="15"/>
        </w:rPr>
        <w:t xml:space="preserve"> </w:t>
      </w:r>
      <w:r>
        <w:rPr>
          <w:color w:val="231F20"/>
          <w:sz w:val="15"/>
        </w:rPr>
        <w:t>Pojišťovně</w:t>
      </w:r>
      <w:r>
        <w:rPr>
          <w:color w:val="231F20"/>
          <w:spacing w:val="-16"/>
          <w:sz w:val="15"/>
        </w:rPr>
        <w:t xml:space="preserve"> </w:t>
      </w:r>
      <w:r>
        <w:rPr>
          <w:color w:val="231F20"/>
          <w:spacing w:val="3"/>
          <w:sz w:val="15"/>
        </w:rPr>
        <w:t xml:space="preserve">doklad </w:t>
      </w:r>
      <w:r>
        <w:rPr>
          <w:color w:val="231F20"/>
          <w:sz w:val="15"/>
        </w:rPr>
        <w:t xml:space="preserve">o </w:t>
      </w:r>
      <w:r>
        <w:rPr>
          <w:color w:val="231F20"/>
          <w:spacing w:val="2"/>
          <w:sz w:val="15"/>
        </w:rPr>
        <w:t xml:space="preserve">ukončení </w:t>
      </w:r>
      <w:r>
        <w:rPr>
          <w:color w:val="231F20"/>
          <w:sz w:val="15"/>
        </w:rPr>
        <w:t>tohoto</w:t>
      </w:r>
      <w:r>
        <w:rPr>
          <w:color w:val="231F20"/>
          <w:spacing w:val="6"/>
          <w:sz w:val="15"/>
        </w:rPr>
        <w:t xml:space="preserve"> </w:t>
      </w:r>
      <w:r>
        <w:rPr>
          <w:color w:val="231F20"/>
          <w:sz w:val="15"/>
        </w:rPr>
        <w:t>šetření.</w:t>
      </w:r>
    </w:p>
    <w:p w14:paraId="067F806F" w14:textId="77777777" w:rsidR="00F65BCA" w:rsidRDefault="00216117">
      <w:pPr>
        <w:pStyle w:val="Zkladntext"/>
        <w:spacing w:line="278" w:lineRule="auto"/>
        <w:ind w:left="467" w:right="422"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spacing w:val="14"/>
          <w:position w:val="1"/>
          <w:sz w:val="14"/>
        </w:rPr>
        <w:t xml:space="preserve"> </w:t>
      </w:r>
      <w:r>
        <w:rPr>
          <w:color w:val="231F20"/>
        </w:rPr>
        <w:t>Limit</w:t>
      </w:r>
      <w:r>
        <w:rPr>
          <w:color w:val="231F20"/>
          <w:spacing w:val="-10"/>
        </w:rPr>
        <w:t xml:space="preserve"> </w:t>
      </w:r>
      <w:r>
        <w:rPr>
          <w:color w:val="231F20"/>
        </w:rPr>
        <w:t>pojistného</w:t>
      </w:r>
      <w:r>
        <w:rPr>
          <w:color w:val="231F20"/>
          <w:spacing w:val="-10"/>
        </w:rPr>
        <w:t xml:space="preserve"> </w:t>
      </w:r>
      <w:r>
        <w:rPr>
          <w:color w:val="231F20"/>
        </w:rPr>
        <w:t>plnění</w:t>
      </w:r>
      <w:r>
        <w:rPr>
          <w:color w:val="231F20"/>
          <w:spacing w:val="-10"/>
        </w:rPr>
        <w:t xml:space="preserve"> </w:t>
      </w:r>
      <w:r>
        <w:rPr>
          <w:color w:val="231F20"/>
        </w:rPr>
        <w:t>a</w:t>
      </w:r>
      <w:r>
        <w:rPr>
          <w:color w:val="231F20"/>
          <w:spacing w:val="-10"/>
        </w:rPr>
        <w:t xml:space="preserve"> </w:t>
      </w:r>
      <w:r>
        <w:rPr>
          <w:color w:val="231F20"/>
        </w:rPr>
        <w:t>spoluúčast</w:t>
      </w:r>
      <w:r>
        <w:rPr>
          <w:color w:val="231F20"/>
          <w:spacing w:val="-10"/>
        </w:rPr>
        <w:t xml:space="preserve"> </w:t>
      </w:r>
      <w:r>
        <w:rPr>
          <w:color w:val="231F20"/>
        </w:rPr>
        <w:t>jsou</w:t>
      </w:r>
      <w:r>
        <w:rPr>
          <w:color w:val="231F20"/>
          <w:spacing w:val="-10"/>
        </w:rPr>
        <w:t xml:space="preserve"> </w:t>
      </w:r>
      <w:r>
        <w:rPr>
          <w:color w:val="231F20"/>
        </w:rPr>
        <w:t>dojednány</w:t>
      </w:r>
      <w:r>
        <w:rPr>
          <w:color w:val="231F20"/>
          <w:spacing w:val="-10"/>
        </w:rPr>
        <w:t xml:space="preserve"> </w:t>
      </w:r>
      <w:r>
        <w:rPr>
          <w:color w:val="231F20"/>
        </w:rPr>
        <w:t>v</w:t>
      </w:r>
      <w:r>
        <w:rPr>
          <w:color w:val="231F20"/>
          <w:spacing w:val="-10"/>
        </w:rPr>
        <w:t xml:space="preserve"> </w:t>
      </w:r>
      <w:r>
        <w:rPr>
          <w:color w:val="231F20"/>
        </w:rPr>
        <w:t>pojistné</w:t>
      </w:r>
      <w:r>
        <w:rPr>
          <w:color w:val="231F20"/>
          <w:spacing w:val="-10"/>
        </w:rPr>
        <w:t xml:space="preserve"> </w:t>
      </w:r>
      <w:r>
        <w:rPr>
          <w:color w:val="231F20"/>
        </w:rPr>
        <w:t>smlouvě</w:t>
      </w:r>
      <w:r>
        <w:rPr>
          <w:color w:val="231F20"/>
          <w:spacing w:val="-10"/>
        </w:rPr>
        <w:t xml:space="preserve"> </w:t>
      </w:r>
      <w:r>
        <w:rPr>
          <w:color w:val="231F20"/>
          <w:spacing w:val="2"/>
        </w:rPr>
        <w:t xml:space="preserve">nebo </w:t>
      </w:r>
      <w:r>
        <w:rPr>
          <w:color w:val="231F20"/>
        </w:rPr>
        <w:t>v seznamu</w:t>
      </w:r>
      <w:r>
        <w:rPr>
          <w:color w:val="231F20"/>
          <w:spacing w:val="-1"/>
        </w:rPr>
        <w:t xml:space="preserve"> </w:t>
      </w:r>
      <w:r>
        <w:rPr>
          <w:color w:val="231F20"/>
        </w:rPr>
        <w:t>vozidel.</w:t>
      </w:r>
    </w:p>
    <w:p w14:paraId="646EE0BD" w14:textId="77777777" w:rsidR="00F65BCA" w:rsidRDefault="00F65BCA">
      <w:pPr>
        <w:pStyle w:val="Zkladntext"/>
        <w:spacing w:before="9"/>
        <w:rPr>
          <w:sz w:val="20"/>
        </w:rPr>
      </w:pPr>
    </w:p>
    <w:p w14:paraId="0CB09844" w14:textId="77777777" w:rsidR="00F65BCA" w:rsidRDefault="00216117">
      <w:pPr>
        <w:ind w:left="185"/>
        <w:rPr>
          <w:sz w:val="15"/>
        </w:rPr>
      </w:pPr>
      <w:r>
        <w:rPr>
          <w:color w:val="FFFFFF"/>
          <w:position w:val="3"/>
          <w:sz w:val="16"/>
          <w:shd w:val="clear" w:color="auto" w:fill="808285"/>
        </w:rPr>
        <w:t xml:space="preserve">  Článek 49</w:t>
      </w:r>
      <w:r>
        <w:rPr>
          <w:color w:val="FFFFFF"/>
          <w:position w:val="3"/>
          <w:sz w:val="16"/>
        </w:rPr>
        <w:t xml:space="preserve"> </w:t>
      </w:r>
      <w:r>
        <w:rPr>
          <w:color w:val="231F20"/>
          <w:sz w:val="15"/>
        </w:rPr>
        <w:t>Speciální výluky z pojištění</w:t>
      </w:r>
    </w:p>
    <w:p w14:paraId="6DCE27DD" w14:textId="77777777" w:rsidR="00F65BCA" w:rsidRDefault="00216117">
      <w:pPr>
        <w:pStyle w:val="Zkladntext"/>
        <w:spacing w:before="148"/>
        <w:ind w:left="184"/>
        <w:jc w:val="both"/>
      </w:pPr>
      <w:r>
        <w:rPr>
          <w:color w:val="231F20"/>
        </w:rPr>
        <w:t>Pojišťovna dále neposkytne pojistné plnění za škodu způsobenou na:</w:t>
      </w:r>
    </w:p>
    <w:p w14:paraId="18DC4E36" w14:textId="77777777" w:rsidR="00F65BCA" w:rsidRDefault="00216117">
      <w:pPr>
        <w:pStyle w:val="Odstavecseseznamem"/>
        <w:numPr>
          <w:ilvl w:val="0"/>
          <w:numId w:val="95"/>
        </w:numPr>
        <w:tabs>
          <w:tab w:val="left" w:pos="468"/>
        </w:tabs>
        <w:spacing w:before="27" w:line="278" w:lineRule="auto"/>
        <w:ind w:right="424"/>
        <w:jc w:val="both"/>
        <w:rPr>
          <w:sz w:val="15"/>
        </w:rPr>
      </w:pPr>
      <w:r>
        <w:rPr>
          <w:color w:val="231F20"/>
          <w:sz w:val="15"/>
        </w:rPr>
        <w:t>platných</w:t>
      </w:r>
      <w:r>
        <w:rPr>
          <w:color w:val="231F20"/>
          <w:spacing w:val="-21"/>
          <w:sz w:val="15"/>
        </w:rPr>
        <w:t xml:space="preserve"> </w:t>
      </w:r>
      <w:r>
        <w:rPr>
          <w:color w:val="231F20"/>
          <w:sz w:val="15"/>
        </w:rPr>
        <w:t>tuzemských</w:t>
      </w:r>
      <w:r>
        <w:rPr>
          <w:color w:val="231F20"/>
          <w:spacing w:val="-21"/>
          <w:sz w:val="15"/>
        </w:rPr>
        <w:t xml:space="preserve"> </w:t>
      </w:r>
      <w:r>
        <w:rPr>
          <w:color w:val="231F20"/>
          <w:sz w:val="15"/>
        </w:rPr>
        <w:t>i</w:t>
      </w:r>
      <w:r>
        <w:rPr>
          <w:color w:val="231F20"/>
          <w:spacing w:val="-20"/>
          <w:sz w:val="15"/>
        </w:rPr>
        <w:t xml:space="preserve"> </w:t>
      </w:r>
      <w:r>
        <w:rPr>
          <w:color w:val="231F20"/>
          <w:sz w:val="15"/>
        </w:rPr>
        <w:t>zahraničních</w:t>
      </w:r>
      <w:r>
        <w:rPr>
          <w:color w:val="231F20"/>
          <w:spacing w:val="-21"/>
          <w:sz w:val="15"/>
        </w:rPr>
        <w:t xml:space="preserve"> </w:t>
      </w:r>
      <w:r>
        <w:rPr>
          <w:color w:val="231F20"/>
          <w:sz w:val="15"/>
        </w:rPr>
        <w:t>státovkách,</w:t>
      </w:r>
      <w:r>
        <w:rPr>
          <w:color w:val="231F20"/>
          <w:spacing w:val="-21"/>
          <w:sz w:val="15"/>
        </w:rPr>
        <w:t xml:space="preserve"> </w:t>
      </w:r>
      <w:r>
        <w:rPr>
          <w:color w:val="231F20"/>
          <w:sz w:val="15"/>
        </w:rPr>
        <w:t>bankovkách</w:t>
      </w:r>
      <w:r>
        <w:rPr>
          <w:color w:val="231F20"/>
          <w:spacing w:val="-20"/>
          <w:sz w:val="15"/>
        </w:rPr>
        <w:t xml:space="preserve"> </w:t>
      </w:r>
      <w:r>
        <w:rPr>
          <w:color w:val="231F20"/>
          <w:sz w:val="15"/>
        </w:rPr>
        <w:t>a</w:t>
      </w:r>
      <w:r>
        <w:rPr>
          <w:color w:val="231F20"/>
          <w:spacing w:val="-21"/>
          <w:sz w:val="15"/>
        </w:rPr>
        <w:t xml:space="preserve"> </w:t>
      </w:r>
      <w:r>
        <w:rPr>
          <w:color w:val="231F20"/>
          <w:sz w:val="15"/>
        </w:rPr>
        <w:t>oběžných</w:t>
      </w:r>
      <w:r>
        <w:rPr>
          <w:color w:val="231F20"/>
          <w:spacing w:val="-21"/>
          <w:sz w:val="15"/>
        </w:rPr>
        <w:t xml:space="preserve"> </w:t>
      </w:r>
      <w:r>
        <w:rPr>
          <w:color w:val="231F20"/>
          <w:sz w:val="15"/>
        </w:rPr>
        <w:t>min- cích,</w:t>
      </w:r>
      <w:r>
        <w:rPr>
          <w:color w:val="231F20"/>
          <w:spacing w:val="-25"/>
          <w:sz w:val="15"/>
        </w:rPr>
        <w:t xml:space="preserve"> </w:t>
      </w:r>
      <w:r>
        <w:rPr>
          <w:color w:val="231F20"/>
          <w:sz w:val="15"/>
        </w:rPr>
        <w:t>drahých</w:t>
      </w:r>
      <w:r>
        <w:rPr>
          <w:color w:val="231F20"/>
          <w:spacing w:val="-24"/>
          <w:sz w:val="15"/>
        </w:rPr>
        <w:t xml:space="preserve"> </w:t>
      </w:r>
      <w:r>
        <w:rPr>
          <w:color w:val="231F20"/>
          <w:sz w:val="15"/>
        </w:rPr>
        <w:t>kovech</w:t>
      </w:r>
      <w:r>
        <w:rPr>
          <w:color w:val="231F20"/>
          <w:spacing w:val="-25"/>
          <w:sz w:val="15"/>
        </w:rPr>
        <w:t xml:space="preserve"> </w:t>
      </w:r>
      <w:r>
        <w:rPr>
          <w:color w:val="231F20"/>
          <w:sz w:val="15"/>
        </w:rPr>
        <w:t>a</w:t>
      </w:r>
      <w:r>
        <w:rPr>
          <w:color w:val="231F20"/>
          <w:spacing w:val="-24"/>
          <w:sz w:val="15"/>
        </w:rPr>
        <w:t xml:space="preserve"> </w:t>
      </w:r>
      <w:r>
        <w:rPr>
          <w:color w:val="231F20"/>
          <w:spacing w:val="-3"/>
          <w:sz w:val="15"/>
        </w:rPr>
        <w:t>předmětech</w:t>
      </w:r>
      <w:r>
        <w:rPr>
          <w:color w:val="231F20"/>
          <w:spacing w:val="-24"/>
          <w:sz w:val="15"/>
        </w:rPr>
        <w:t xml:space="preserve"> </w:t>
      </w:r>
      <w:r>
        <w:rPr>
          <w:color w:val="231F20"/>
          <w:sz w:val="15"/>
        </w:rPr>
        <w:t>z</w:t>
      </w:r>
      <w:r>
        <w:rPr>
          <w:color w:val="231F20"/>
          <w:spacing w:val="-25"/>
          <w:sz w:val="15"/>
        </w:rPr>
        <w:t xml:space="preserve"> </w:t>
      </w:r>
      <w:r>
        <w:rPr>
          <w:color w:val="231F20"/>
          <w:sz w:val="15"/>
        </w:rPr>
        <w:t>nich</w:t>
      </w:r>
      <w:r>
        <w:rPr>
          <w:color w:val="231F20"/>
          <w:spacing w:val="-24"/>
          <w:sz w:val="15"/>
        </w:rPr>
        <w:t xml:space="preserve"> </w:t>
      </w:r>
      <w:r>
        <w:rPr>
          <w:color w:val="231F20"/>
          <w:spacing w:val="-3"/>
          <w:sz w:val="15"/>
        </w:rPr>
        <w:t>vyrobených,</w:t>
      </w:r>
      <w:r>
        <w:rPr>
          <w:color w:val="231F20"/>
          <w:spacing w:val="-24"/>
          <w:sz w:val="15"/>
        </w:rPr>
        <w:t xml:space="preserve"> </w:t>
      </w:r>
      <w:r>
        <w:rPr>
          <w:color w:val="231F20"/>
          <w:sz w:val="15"/>
        </w:rPr>
        <w:t>perlách</w:t>
      </w:r>
      <w:r>
        <w:rPr>
          <w:color w:val="231F20"/>
          <w:spacing w:val="-25"/>
          <w:sz w:val="15"/>
        </w:rPr>
        <w:t xml:space="preserve"> </w:t>
      </w:r>
      <w:r>
        <w:rPr>
          <w:color w:val="231F20"/>
          <w:sz w:val="15"/>
        </w:rPr>
        <w:t>a</w:t>
      </w:r>
      <w:r>
        <w:rPr>
          <w:color w:val="231F20"/>
          <w:spacing w:val="-24"/>
          <w:sz w:val="15"/>
        </w:rPr>
        <w:t xml:space="preserve"> </w:t>
      </w:r>
      <w:r>
        <w:rPr>
          <w:color w:val="231F20"/>
          <w:spacing w:val="-2"/>
          <w:sz w:val="15"/>
        </w:rPr>
        <w:t>drahokamech;</w:t>
      </w:r>
    </w:p>
    <w:p w14:paraId="56B12A15" w14:textId="77777777" w:rsidR="00F65BCA" w:rsidRDefault="00216117">
      <w:pPr>
        <w:pStyle w:val="Odstavecseseznamem"/>
        <w:numPr>
          <w:ilvl w:val="0"/>
          <w:numId w:val="95"/>
        </w:numPr>
        <w:tabs>
          <w:tab w:val="left" w:pos="468"/>
        </w:tabs>
        <w:spacing w:line="278" w:lineRule="auto"/>
        <w:ind w:right="424"/>
        <w:jc w:val="both"/>
        <w:rPr>
          <w:sz w:val="15"/>
        </w:rPr>
      </w:pPr>
      <w:r>
        <w:rPr>
          <w:color w:val="231F20"/>
          <w:sz w:val="15"/>
        </w:rPr>
        <w:t xml:space="preserve">cenných papírech, ceninách a jiných obdobných dokumentech, </w:t>
      </w:r>
      <w:r>
        <w:rPr>
          <w:color w:val="231F20"/>
          <w:spacing w:val="-3"/>
          <w:sz w:val="15"/>
        </w:rPr>
        <w:t xml:space="preserve">např. </w:t>
      </w:r>
      <w:r>
        <w:rPr>
          <w:color w:val="231F20"/>
          <w:spacing w:val="-4"/>
          <w:sz w:val="15"/>
        </w:rPr>
        <w:t xml:space="preserve">vklad- </w:t>
      </w:r>
      <w:r>
        <w:rPr>
          <w:color w:val="231F20"/>
          <w:sz w:val="15"/>
        </w:rPr>
        <w:t>ních a šekových knížkách, směnkách a platebních</w:t>
      </w:r>
      <w:r>
        <w:rPr>
          <w:color w:val="231F20"/>
          <w:spacing w:val="-25"/>
          <w:sz w:val="15"/>
        </w:rPr>
        <w:t xml:space="preserve"> </w:t>
      </w:r>
      <w:r>
        <w:rPr>
          <w:color w:val="231F20"/>
          <w:sz w:val="15"/>
        </w:rPr>
        <w:t>kartách;</w:t>
      </w:r>
    </w:p>
    <w:p w14:paraId="65A857DF" w14:textId="77777777" w:rsidR="00F65BCA" w:rsidRDefault="00216117">
      <w:pPr>
        <w:pStyle w:val="Odstavecseseznamem"/>
        <w:numPr>
          <w:ilvl w:val="0"/>
          <w:numId w:val="95"/>
        </w:numPr>
        <w:tabs>
          <w:tab w:val="left" w:pos="468"/>
        </w:tabs>
        <w:spacing w:line="278" w:lineRule="auto"/>
        <w:ind w:right="424"/>
        <w:jc w:val="both"/>
        <w:rPr>
          <w:sz w:val="15"/>
        </w:rPr>
      </w:pPr>
      <w:r>
        <w:rPr>
          <w:color w:val="231F20"/>
          <w:sz w:val="15"/>
        </w:rPr>
        <w:t>cestovních</w:t>
      </w:r>
      <w:r>
        <w:rPr>
          <w:color w:val="231F20"/>
          <w:spacing w:val="-9"/>
          <w:sz w:val="15"/>
        </w:rPr>
        <w:t xml:space="preserve"> </w:t>
      </w:r>
      <w:r>
        <w:rPr>
          <w:color w:val="231F20"/>
          <w:sz w:val="15"/>
        </w:rPr>
        <w:t>pasech,</w:t>
      </w:r>
      <w:r>
        <w:rPr>
          <w:color w:val="231F20"/>
          <w:spacing w:val="-8"/>
          <w:sz w:val="15"/>
        </w:rPr>
        <w:t xml:space="preserve"> </w:t>
      </w:r>
      <w:r>
        <w:rPr>
          <w:color w:val="231F20"/>
          <w:sz w:val="15"/>
        </w:rPr>
        <w:t>řidičských</w:t>
      </w:r>
      <w:r>
        <w:rPr>
          <w:color w:val="231F20"/>
          <w:spacing w:val="-8"/>
          <w:sz w:val="15"/>
        </w:rPr>
        <w:t xml:space="preserve"> </w:t>
      </w:r>
      <w:r>
        <w:rPr>
          <w:color w:val="231F20"/>
          <w:sz w:val="15"/>
        </w:rPr>
        <w:t>průkazech,</w:t>
      </w:r>
      <w:r>
        <w:rPr>
          <w:color w:val="231F20"/>
          <w:spacing w:val="-8"/>
          <w:sz w:val="15"/>
        </w:rPr>
        <w:t xml:space="preserve"> </w:t>
      </w:r>
      <w:r>
        <w:rPr>
          <w:color w:val="231F20"/>
          <w:sz w:val="15"/>
        </w:rPr>
        <w:t>jízdenkách,</w:t>
      </w:r>
      <w:r>
        <w:rPr>
          <w:color w:val="231F20"/>
          <w:spacing w:val="-8"/>
          <w:sz w:val="15"/>
        </w:rPr>
        <w:t xml:space="preserve"> </w:t>
      </w:r>
      <w:r>
        <w:rPr>
          <w:color w:val="231F20"/>
          <w:sz w:val="15"/>
        </w:rPr>
        <w:t>letenkách</w:t>
      </w:r>
      <w:r>
        <w:rPr>
          <w:color w:val="231F20"/>
          <w:spacing w:val="-8"/>
          <w:sz w:val="15"/>
        </w:rPr>
        <w:t xml:space="preserve"> </w:t>
      </w:r>
      <w:r>
        <w:rPr>
          <w:color w:val="231F20"/>
          <w:sz w:val="15"/>
        </w:rPr>
        <w:t>a</w:t>
      </w:r>
      <w:r>
        <w:rPr>
          <w:color w:val="231F20"/>
          <w:spacing w:val="-8"/>
          <w:sz w:val="15"/>
        </w:rPr>
        <w:t xml:space="preserve"> </w:t>
      </w:r>
      <w:r>
        <w:rPr>
          <w:color w:val="231F20"/>
          <w:sz w:val="15"/>
        </w:rPr>
        <w:t>jiných</w:t>
      </w:r>
      <w:r>
        <w:rPr>
          <w:color w:val="231F20"/>
          <w:spacing w:val="-9"/>
          <w:sz w:val="15"/>
        </w:rPr>
        <w:t xml:space="preserve"> </w:t>
      </w:r>
      <w:r>
        <w:rPr>
          <w:color w:val="231F20"/>
          <w:sz w:val="15"/>
        </w:rPr>
        <w:t>do- kladech</w:t>
      </w:r>
      <w:r>
        <w:rPr>
          <w:color w:val="231F20"/>
          <w:spacing w:val="-14"/>
          <w:sz w:val="15"/>
        </w:rPr>
        <w:t xml:space="preserve"> </w:t>
      </w:r>
      <w:r>
        <w:rPr>
          <w:color w:val="231F20"/>
          <w:sz w:val="15"/>
        </w:rPr>
        <w:t>a</w:t>
      </w:r>
      <w:r>
        <w:rPr>
          <w:color w:val="231F20"/>
          <w:spacing w:val="-13"/>
          <w:sz w:val="15"/>
        </w:rPr>
        <w:t xml:space="preserve"> </w:t>
      </w:r>
      <w:r>
        <w:rPr>
          <w:color w:val="231F20"/>
          <w:sz w:val="15"/>
        </w:rPr>
        <w:t>průkazech</w:t>
      </w:r>
      <w:r>
        <w:rPr>
          <w:color w:val="231F20"/>
          <w:spacing w:val="-14"/>
          <w:sz w:val="15"/>
        </w:rPr>
        <w:t xml:space="preserve"> </w:t>
      </w:r>
      <w:r>
        <w:rPr>
          <w:color w:val="231F20"/>
          <w:sz w:val="15"/>
        </w:rPr>
        <w:t>všeho</w:t>
      </w:r>
      <w:r>
        <w:rPr>
          <w:color w:val="231F20"/>
          <w:spacing w:val="-13"/>
          <w:sz w:val="15"/>
        </w:rPr>
        <w:t xml:space="preserve"> </w:t>
      </w:r>
      <w:r>
        <w:rPr>
          <w:color w:val="231F20"/>
          <w:sz w:val="15"/>
        </w:rPr>
        <w:t>druhu</w:t>
      </w:r>
      <w:r>
        <w:rPr>
          <w:color w:val="231F20"/>
          <w:spacing w:val="-14"/>
          <w:sz w:val="15"/>
        </w:rPr>
        <w:t xml:space="preserve"> </w:t>
      </w:r>
      <w:r>
        <w:rPr>
          <w:color w:val="231F20"/>
          <w:sz w:val="15"/>
        </w:rPr>
        <w:t>ani</w:t>
      </w:r>
      <w:r>
        <w:rPr>
          <w:color w:val="231F20"/>
          <w:spacing w:val="-13"/>
          <w:sz w:val="15"/>
        </w:rPr>
        <w:t xml:space="preserve"> </w:t>
      </w:r>
      <w:r>
        <w:rPr>
          <w:color w:val="231F20"/>
          <w:sz w:val="15"/>
        </w:rPr>
        <w:t>na</w:t>
      </w:r>
      <w:r>
        <w:rPr>
          <w:color w:val="231F20"/>
          <w:spacing w:val="-13"/>
          <w:sz w:val="15"/>
        </w:rPr>
        <w:t xml:space="preserve"> </w:t>
      </w:r>
      <w:r>
        <w:rPr>
          <w:color w:val="231F20"/>
          <w:sz w:val="15"/>
        </w:rPr>
        <w:t>nákladech</w:t>
      </w:r>
      <w:r>
        <w:rPr>
          <w:color w:val="231F20"/>
          <w:spacing w:val="-14"/>
          <w:sz w:val="15"/>
        </w:rPr>
        <w:t xml:space="preserve"> </w:t>
      </w:r>
      <w:r>
        <w:rPr>
          <w:color w:val="231F20"/>
          <w:sz w:val="15"/>
        </w:rPr>
        <w:t>spojených</w:t>
      </w:r>
      <w:r>
        <w:rPr>
          <w:color w:val="231F20"/>
          <w:spacing w:val="-13"/>
          <w:sz w:val="15"/>
        </w:rPr>
        <w:t xml:space="preserve"> </w:t>
      </w:r>
      <w:r>
        <w:rPr>
          <w:color w:val="231F20"/>
          <w:sz w:val="15"/>
        </w:rPr>
        <w:t>s</w:t>
      </w:r>
      <w:r>
        <w:rPr>
          <w:color w:val="231F20"/>
          <w:spacing w:val="-14"/>
          <w:sz w:val="15"/>
        </w:rPr>
        <w:t xml:space="preserve"> </w:t>
      </w:r>
      <w:r>
        <w:rPr>
          <w:color w:val="231F20"/>
          <w:sz w:val="15"/>
        </w:rPr>
        <w:t>jejich</w:t>
      </w:r>
      <w:r>
        <w:rPr>
          <w:color w:val="231F20"/>
          <w:spacing w:val="-13"/>
          <w:sz w:val="15"/>
        </w:rPr>
        <w:t xml:space="preserve"> </w:t>
      </w:r>
      <w:r>
        <w:rPr>
          <w:color w:val="231F20"/>
          <w:sz w:val="15"/>
        </w:rPr>
        <w:t>znovu- opatřením nebo zajištěním jejich</w:t>
      </w:r>
      <w:r>
        <w:rPr>
          <w:color w:val="231F20"/>
          <w:spacing w:val="-8"/>
          <w:sz w:val="15"/>
        </w:rPr>
        <w:t xml:space="preserve"> </w:t>
      </w:r>
      <w:r>
        <w:rPr>
          <w:color w:val="231F20"/>
          <w:sz w:val="15"/>
        </w:rPr>
        <w:t>duplikátu;</w:t>
      </w:r>
    </w:p>
    <w:p w14:paraId="063FE39A" w14:textId="77777777" w:rsidR="00F65BCA" w:rsidRDefault="00216117">
      <w:pPr>
        <w:pStyle w:val="Odstavecseseznamem"/>
        <w:numPr>
          <w:ilvl w:val="0"/>
          <w:numId w:val="95"/>
        </w:numPr>
        <w:tabs>
          <w:tab w:val="left" w:pos="468"/>
        </w:tabs>
        <w:spacing w:line="278" w:lineRule="auto"/>
        <w:ind w:right="424"/>
        <w:jc w:val="both"/>
        <w:rPr>
          <w:sz w:val="15"/>
        </w:rPr>
      </w:pPr>
      <w:r>
        <w:rPr>
          <w:color w:val="231F20"/>
          <w:sz w:val="15"/>
        </w:rPr>
        <w:t>písemnostech,</w:t>
      </w:r>
      <w:r>
        <w:rPr>
          <w:color w:val="231F20"/>
          <w:spacing w:val="-15"/>
          <w:sz w:val="15"/>
        </w:rPr>
        <w:t xml:space="preserve"> </w:t>
      </w:r>
      <w:r>
        <w:rPr>
          <w:color w:val="231F20"/>
          <w:sz w:val="15"/>
        </w:rPr>
        <w:t>plánech,</w:t>
      </w:r>
      <w:r>
        <w:rPr>
          <w:color w:val="231F20"/>
          <w:spacing w:val="-15"/>
          <w:sz w:val="15"/>
        </w:rPr>
        <w:t xml:space="preserve"> </w:t>
      </w:r>
      <w:r>
        <w:rPr>
          <w:color w:val="231F20"/>
          <w:sz w:val="15"/>
        </w:rPr>
        <w:t>projektech,</w:t>
      </w:r>
      <w:r>
        <w:rPr>
          <w:color w:val="231F20"/>
          <w:spacing w:val="-15"/>
          <w:sz w:val="15"/>
        </w:rPr>
        <w:t xml:space="preserve"> </w:t>
      </w:r>
      <w:r>
        <w:rPr>
          <w:color w:val="231F20"/>
          <w:sz w:val="15"/>
        </w:rPr>
        <w:t>výkresech,</w:t>
      </w:r>
      <w:r>
        <w:rPr>
          <w:color w:val="231F20"/>
          <w:spacing w:val="-14"/>
          <w:sz w:val="15"/>
        </w:rPr>
        <w:t xml:space="preserve"> </w:t>
      </w:r>
      <w:r>
        <w:rPr>
          <w:color w:val="231F20"/>
          <w:sz w:val="15"/>
        </w:rPr>
        <w:t>prototypech,</w:t>
      </w:r>
      <w:r>
        <w:rPr>
          <w:color w:val="231F20"/>
          <w:spacing w:val="-15"/>
          <w:sz w:val="15"/>
        </w:rPr>
        <w:t xml:space="preserve"> </w:t>
      </w:r>
      <w:r>
        <w:rPr>
          <w:color w:val="231F20"/>
          <w:sz w:val="15"/>
        </w:rPr>
        <w:t>obchodních</w:t>
      </w:r>
      <w:r>
        <w:rPr>
          <w:color w:val="231F20"/>
          <w:spacing w:val="-15"/>
          <w:sz w:val="15"/>
        </w:rPr>
        <w:t xml:space="preserve"> </w:t>
      </w:r>
      <w:r>
        <w:rPr>
          <w:color w:val="231F20"/>
          <w:spacing w:val="-4"/>
          <w:sz w:val="15"/>
        </w:rPr>
        <w:t xml:space="preserve">kni- </w:t>
      </w:r>
      <w:r>
        <w:rPr>
          <w:color w:val="231F20"/>
          <w:sz w:val="15"/>
        </w:rPr>
        <w:t>hách,</w:t>
      </w:r>
      <w:r>
        <w:rPr>
          <w:color w:val="231F20"/>
          <w:spacing w:val="-26"/>
          <w:sz w:val="15"/>
        </w:rPr>
        <w:t xml:space="preserve"> </w:t>
      </w:r>
      <w:r>
        <w:rPr>
          <w:color w:val="231F20"/>
          <w:sz w:val="15"/>
        </w:rPr>
        <w:t>kartotékách</w:t>
      </w:r>
      <w:r>
        <w:rPr>
          <w:color w:val="231F20"/>
          <w:spacing w:val="-26"/>
          <w:sz w:val="15"/>
        </w:rPr>
        <w:t xml:space="preserve"> </w:t>
      </w:r>
      <w:r>
        <w:rPr>
          <w:color w:val="231F20"/>
          <w:sz w:val="15"/>
        </w:rPr>
        <w:t>a</w:t>
      </w:r>
      <w:r>
        <w:rPr>
          <w:color w:val="231F20"/>
          <w:spacing w:val="-25"/>
          <w:sz w:val="15"/>
        </w:rPr>
        <w:t xml:space="preserve"> </w:t>
      </w:r>
      <w:r>
        <w:rPr>
          <w:color w:val="231F20"/>
          <w:sz w:val="15"/>
        </w:rPr>
        <w:t>záznamech</w:t>
      </w:r>
      <w:r>
        <w:rPr>
          <w:color w:val="231F20"/>
          <w:spacing w:val="-26"/>
          <w:sz w:val="15"/>
        </w:rPr>
        <w:t xml:space="preserve"> </w:t>
      </w:r>
      <w:r>
        <w:rPr>
          <w:color w:val="231F20"/>
          <w:sz w:val="15"/>
        </w:rPr>
        <w:t>na</w:t>
      </w:r>
      <w:r>
        <w:rPr>
          <w:color w:val="231F20"/>
          <w:spacing w:val="-26"/>
          <w:sz w:val="15"/>
        </w:rPr>
        <w:t xml:space="preserve"> </w:t>
      </w:r>
      <w:r>
        <w:rPr>
          <w:color w:val="231F20"/>
          <w:sz w:val="15"/>
        </w:rPr>
        <w:t>nosičích</w:t>
      </w:r>
      <w:r>
        <w:rPr>
          <w:color w:val="231F20"/>
          <w:spacing w:val="-25"/>
          <w:sz w:val="15"/>
        </w:rPr>
        <w:t xml:space="preserve"> </w:t>
      </w:r>
      <w:r>
        <w:rPr>
          <w:color w:val="231F20"/>
          <w:sz w:val="15"/>
        </w:rPr>
        <w:t>zvukových,</w:t>
      </w:r>
      <w:r>
        <w:rPr>
          <w:color w:val="231F20"/>
          <w:spacing w:val="-26"/>
          <w:sz w:val="15"/>
        </w:rPr>
        <w:t xml:space="preserve"> </w:t>
      </w:r>
      <w:r>
        <w:rPr>
          <w:color w:val="231F20"/>
          <w:sz w:val="15"/>
        </w:rPr>
        <w:t>obrazových,</w:t>
      </w:r>
      <w:r>
        <w:rPr>
          <w:color w:val="231F20"/>
          <w:spacing w:val="-26"/>
          <w:sz w:val="15"/>
        </w:rPr>
        <w:t xml:space="preserve"> </w:t>
      </w:r>
      <w:r>
        <w:rPr>
          <w:color w:val="231F20"/>
          <w:sz w:val="15"/>
        </w:rPr>
        <w:t>datových a</w:t>
      </w:r>
      <w:r>
        <w:rPr>
          <w:color w:val="231F20"/>
          <w:spacing w:val="-7"/>
          <w:sz w:val="15"/>
        </w:rPr>
        <w:t xml:space="preserve"> </w:t>
      </w:r>
      <w:r>
        <w:rPr>
          <w:color w:val="231F20"/>
          <w:sz w:val="15"/>
        </w:rPr>
        <w:t>obdobných,</w:t>
      </w:r>
      <w:r>
        <w:rPr>
          <w:color w:val="231F20"/>
          <w:spacing w:val="-6"/>
          <w:sz w:val="15"/>
        </w:rPr>
        <w:t xml:space="preserve"> </w:t>
      </w:r>
      <w:r>
        <w:rPr>
          <w:color w:val="231F20"/>
          <w:sz w:val="15"/>
        </w:rPr>
        <w:t>případně</w:t>
      </w:r>
      <w:r>
        <w:rPr>
          <w:color w:val="231F20"/>
          <w:spacing w:val="-7"/>
          <w:sz w:val="15"/>
        </w:rPr>
        <w:t xml:space="preserve"> </w:t>
      </w:r>
      <w:r>
        <w:rPr>
          <w:color w:val="231F20"/>
          <w:sz w:val="15"/>
        </w:rPr>
        <w:t>na</w:t>
      </w:r>
      <w:r>
        <w:rPr>
          <w:color w:val="231F20"/>
          <w:spacing w:val="-6"/>
          <w:sz w:val="15"/>
        </w:rPr>
        <w:t xml:space="preserve"> </w:t>
      </w:r>
      <w:r>
        <w:rPr>
          <w:color w:val="231F20"/>
          <w:sz w:val="15"/>
        </w:rPr>
        <w:t>jiných</w:t>
      </w:r>
      <w:r>
        <w:rPr>
          <w:color w:val="231F20"/>
          <w:spacing w:val="-6"/>
          <w:sz w:val="15"/>
        </w:rPr>
        <w:t xml:space="preserve"> </w:t>
      </w:r>
      <w:r>
        <w:rPr>
          <w:color w:val="231F20"/>
          <w:sz w:val="15"/>
        </w:rPr>
        <w:t>informačních</w:t>
      </w:r>
      <w:r>
        <w:rPr>
          <w:color w:val="231F20"/>
          <w:spacing w:val="-7"/>
          <w:sz w:val="15"/>
        </w:rPr>
        <w:t xml:space="preserve"> </w:t>
      </w:r>
      <w:r>
        <w:rPr>
          <w:color w:val="231F20"/>
          <w:sz w:val="15"/>
        </w:rPr>
        <w:t>a</w:t>
      </w:r>
      <w:r>
        <w:rPr>
          <w:color w:val="231F20"/>
          <w:spacing w:val="-6"/>
          <w:sz w:val="15"/>
        </w:rPr>
        <w:t xml:space="preserve"> </w:t>
      </w:r>
      <w:r>
        <w:rPr>
          <w:color w:val="231F20"/>
          <w:sz w:val="15"/>
        </w:rPr>
        <w:t>řídicích</w:t>
      </w:r>
      <w:r>
        <w:rPr>
          <w:color w:val="231F20"/>
          <w:spacing w:val="-6"/>
          <w:sz w:val="15"/>
        </w:rPr>
        <w:t xml:space="preserve"> </w:t>
      </w:r>
      <w:r>
        <w:rPr>
          <w:color w:val="231F20"/>
          <w:sz w:val="15"/>
        </w:rPr>
        <w:t>systémech;</w:t>
      </w:r>
    </w:p>
    <w:p w14:paraId="5C0B3966" w14:textId="77777777" w:rsidR="00F65BCA" w:rsidRDefault="00216117">
      <w:pPr>
        <w:pStyle w:val="Odstavecseseznamem"/>
        <w:numPr>
          <w:ilvl w:val="0"/>
          <w:numId w:val="95"/>
        </w:numPr>
        <w:tabs>
          <w:tab w:val="left" w:pos="468"/>
        </w:tabs>
        <w:spacing w:line="172" w:lineRule="exact"/>
        <w:jc w:val="both"/>
        <w:rPr>
          <w:sz w:val="15"/>
        </w:rPr>
      </w:pPr>
      <w:r>
        <w:rPr>
          <w:color w:val="231F20"/>
          <w:sz w:val="15"/>
        </w:rPr>
        <w:t>věcech sloužících k výkonu povolání nebo výdělečné</w:t>
      </w:r>
      <w:r>
        <w:rPr>
          <w:color w:val="231F20"/>
          <w:spacing w:val="-26"/>
          <w:sz w:val="15"/>
        </w:rPr>
        <w:t xml:space="preserve"> </w:t>
      </w:r>
      <w:r>
        <w:rPr>
          <w:color w:val="231F20"/>
          <w:sz w:val="15"/>
        </w:rPr>
        <w:t>činnosti;</w:t>
      </w:r>
    </w:p>
    <w:p w14:paraId="35A5EF92" w14:textId="77777777" w:rsidR="00F65BCA" w:rsidRDefault="00216117">
      <w:pPr>
        <w:pStyle w:val="Odstavecseseznamem"/>
        <w:numPr>
          <w:ilvl w:val="0"/>
          <w:numId w:val="95"/>
        </w:numPr>
        <w:tabs>
          <w:tab w:val="left" w:pos="468"/>
        </w:tabs>
        <w:spacing w:before="27" w:line="278" w:lineRule="auto"/>
        <w:ind w:right="424"/>
        <w:jc w:val="both"/>
        <w:rPr>
          <w:sz w:val="15"/>
        </w:rPr>
      </w:pPr>
      <w:r>
        <w:rPr>
          <w:color w:val="231F20"/>
          <w:sz w:val="15"/>
        </w:rPr>
        <w:t>dílech</w:t>
      </w:r>
      <w:r>
        <w:rPr>
          <w:color w:val="231F20"/>
          <w:spacing w:val="-25"/>
          <w:sz w:val="15"/>
        </w:rPr>
        <w:t xml:space="preserve"> </w:t>
      </w:r>
      <w:r>
        <w:rPr>
          <w:color w:val="231F20"/>
          <w:sz w:val="15"/>
        </w:rPr>
        <w:t>uměleckých,</w:t>
      </w:r>
      <w:r>
        <w:rPr>
          <w:color w:val="231F20"/>
          <w:spacing w:val="-25"/>
          <w:sz w:val="15"/>
        </w:rPr>
        <w:t xml:space="preserve"> </w:t>
      </w:r>
      <w:r>
        <w:rPr>
          <w:color w:val="231F20"/>
          <w:sz w:val="15"/>
        </w:rPr>
        <w:t>dílech</w:t>
      </w:r>
      <w:r>
        <w:rPr>
          <w:color w:val="231F20"/>
          <w:spacing w:val="-24"/>
          <w:sz w:val="15"/>
        </w:rPr>
        <w:t xml:space="preserve"> </w:t>
      </w:r>
      <w:r>
        <w:rPr>
          <w:color w:val="231F20"/>
          <w:sz w:val="15"/>
        </w:rPr>
        <w:t>zvláštní</w:t>
      </w:r>
      <w:r>
        <w:rPr>
          <w:color w:val="231F20"/>
          <w:spacing w:val="-25"/>
          <w:sz w:val="15"/>
        </w:rPr>
        <w:t xml:space="preserve"> </w:t>
      </w:r>
      <w:r>
        <w:rPr>
          <w:color w:val="231F20"/>
          <w:sz w:val="15"/>
        </w:rPr>
        <w:t>kulturní</w:t>
      </w:r>
      <w:r>
        <w:rPr>
          <w:color w:val="231F20"/>
          <w:spacing w:val="-25"/>
          <w:sz w:val="15"/>
        </w:rPr>
        <w:t xml:space="preserve"> </w:t>
      </w:r>
      <w:r>
        <w:rPr>
          <w:color w:val="231F20"/>
          <w:sz w:val="15"/>
        </w:rPr>
        <w:t>a</w:t>
      </w:r>
      <w:r>
        <w:rPr>
          <w:color w:val="231F20"/>
          <w:spacing w:val="-24"/>
          <w:sz w:val="15"/>
        </w:rPr>
        <w:t xml:space="preserve"> </w:t>
      </w:r>
      <w:r>
        <w:rPr>
          <w:color w:val="231F20"/>
          <w:sz w:val="15"/>
        </w:rPr>
        <w:t>umělecké</w:t>
      </w:r>
      <w:r>
        <w:rPr>
          <w:color w:val="231F20"/>
          <w:spacing w:val="-25"/>
          <w:sz w:val="15"/>
        </w:rPr>
        <w:t xml:space="preserve"> </w:t>
      </w:r>
      <w:r>
        <w:rPr>
          <w:color w:val="231F20"/>
          <w:sz w:val="15"/>
        </w:rPr>
        <w:t>hodnoty,</w:t>
      </w:r>
      <w:r>
        <w:rPr>
          <w:color w:val="231F20"/>
          <w:spacing w:val="-25"/>
          <w:sz w:val="15"/>
        </w:rPr>
        <w:t xml:space="preserve"> </w:t>
      </w:r>
      <w:r>
        <w:rPr>
          <w:color w:val="231F20"/>
          <w:sz w:val="15"/>
        </w:rPr>
        <w:t>věcech</w:t>
      </w:r>
      <w:r>
        <w:rPr>
          <w:color w:val="231F20"/>
          <w:spacing w:val="-24"/>
          <w:sz w:val="15"/>
        </w:rPr>
        <w:t xml:space="preserve"> </w:t>
      </w:r>
      <w:r>
        <w:rPr>
          <w:color w:val="231F20"/>
          <w:sz w:val="15"/>
        </w:rPr>
        <w:t>sběra- telského zájmu a</w:t>
      </w:r>
      <w:r>
        <w:rPr>
          <w:color w:val="231F20"/>
          <w:spacing w:val="-3"/>
          <w:sz w:val="15"/>
        </w:rPr>
        <w:t xml:space="preserve"> </w:t>
      </w:r>
      <w:r>
        <w:rPr>
          <w:color w:val="231F20"/>
          <w:sz w:val="15"/>
        </w:rPr>
        <w:t>sbírkách;</w:t>
      </w:r>
    </w:p>
    <w:p w14:paraId="39E494FF" w14:textId="77777777" w:rsidR="00F65BCA" w:rsidRDefault="00216117">
      <w:pPr>
        <w:pStyle w:val="Odstavecseseznamem"/>
        <w:numPr>
          <w:ilvl w:val="0"/>
          <w:numId w:val="95"/>
        </w:numPr>
        <w:tabs>
          <w:tab w:val="left" w:pos="468"/>
        </w:tabs>
        <w:jc w:val="both"/>
        <w:rPr>
          <w:sz w:val="15"/>
        </w:rPr>
      </w:pPr>
      <w:r>
        <w:rPr>
          <w:color w:val="231F20"/>
          <w:sz w:val="15"/>
        </w:rPr>
        <w:t>zbraních včetně jejich příslušenství a</w:t>
      </w:r>
      <w:r>
        <w:rPr>
          <w:color w:val="231F20"/>
          <w:spacing w:val="-12"/>
          <w:sz w:val="15"/>
        </w:rPr>
        <w:t xml:space="preserve"> </w:t>
      </w:r>
      <w:r>
        <w:rPr>
          <w:color w:val="231F20"/>
          <w:sz w:val="15"/>
        </w:rPr>
        <w:t>střelivu;</w:t>
      </w:r>
    </w:p>
    <w:p w14:paraId="1134D621" w14:textId="77777777" w:rsidR="00F65BCA" w:rsidRDefault="00F65BCA">
      <w:pPr>
        <w:jc w:val="both"/>
        <w:rPr>
          <w:sz w:val="15"/>
        </w:rPr>
        <w:sectPr w:rsidR="00F65BCA">
          <w:pgSz w:w="11910" w:h="16840"/>
          <w:pgMar w:top="520" w:right="140" w:bottom="0" w:left="140" w:header="708" w:footer="708" w:gutter="0"/>
          <w:cols w:num="2" w:space="708" w:equalWidth="0">
            <w:col w:w="5703" w:space="40"/>
            <w:col w:w="5887"/>
          </w:cols>
        </w:sectPr>
      </w:pPr>
    </w:p>
    <w:p w14:paraId="33075B26" w14:textId="77777777" w:rsidR="00F65BCA" w:rsidRDefault="00000000">
      <w:pPr>
        <w:pStyle w:val="Odstavecseseznamem"/>
        <w:numPr>
          <w:ilvl w:val="0"/>
          <w:numId w:val="95"/>
        </w:numPr>
        <w:tabs>
          <w:tab w:val="left" w:pos="711"/>
        </w:tabs>
        <w:spacing w:before="75" w:line="278" w:lineRule="auto"/>
        <w:ind w:left="710"/>
        <w:jc w:val="both"/>
        <w:rPr>
          <w:sz w:val="15"/>
        </w:rPr>
      </w:pPr>
      <w:r>
        <w:lastRenderedPageBreak/>
        <w:pict w14:anchorId="1D76973C">
          <v:group id="_x0000_s2246" style="position:absolute;left:0;text-align:left;margin-left:0;margin-top:807.85pt;width:595.3pt;height:34.05pt;z-index:251883520;mso-position-horizontal-relative:page;mso-position-vertical-relative:page" coordorigin=",16157" coordsize="11906,681">
            <v:rect id="_x0000_s2249" style="position:absolute;top:16157;width:11906;height:681" fillcolor="#dcddde" stroked="f"/>
            <v:shape id="_x0000_s2248" type="#_x0000_t202" style="position:absolute;left:793;top:16420;width:5475;height:234" filled="f" stroked="f">
              <v:textbox inset="0,0,0,0">
                <w:txbxContent>
                  <w:p w14:paraId="0522C330" w14:textId="77777777" w:rsidR="00F65BCA" w:rsidRDefault="00216117">
                    <w:pPr>
                      <w:spacing w:before="3"/>
                      <w:rPr>
                        <w:sz w:val="16"/>
                      </w:rPr>
                    </w:pPr>
                    <w:r>
                      <w:rPr>
                        <w:color w:val="231F20"/>
                        <w:sz w:val="16"/>
                      </w:rPr>
                      <w:t xml:space="preserve">26 </w:t>
                    </w:r>
                    <w:r>
                      <w:rPr>
                        <w:color w:val="6D6E71"/>
                        <w:sz w:val="20"/>
                      </w:rPr>
                      <w:t xml:space="preserve">| </w:t>
                    </w:r>
                    <w:r>
                      <w:rPr>
                        <w:color w:val="231F20"/>
                        <w:sz w:val="16"/>
                      </w:rPr>
                      <w:t>Všeobecné pojistné podmínky pro pojištění vozidel VPPPMV-F-5/2025</w:t>
                    </w:r>
                  </w:p>
                </w:txbxContent>
              </v:textbox>
            </v:shape>
            <v:shape id="_x0000_s2247" type="#_x0000_t202" style="position:absolute;left:9491;top:16477;width:1414;height:164" filled="f" stroked="f">
              <v:textbox inset="0,0,0,0">
                <w:txbxContent>
                  <w:p w14:paraId="123F2BCE" w14:textId="77777777" w:rsidR="00F65BCA" w:rsidRDefault="00216117">
                    <w:pPr>
                      <w:spacing w:before="2"/>
                      <w:rPr>
                        <w:sz w:val="14"/>
                      </w:rPr>
                    </w:pPr>
                    <w:r>
                      <w:rPr>
                        <w:color w:val="231F20"/>
                        <w:sz w:val="14"/>
                      </w:rPr>
                      <w:t>6.20.012 05.2025 v04</w:t>
                    </w:r>
                  </w:p>
                </w:txbxContent>
              </v:textbox>
            </v:shape>
            <w10:wrap anchorx="page" anchory="page"/>
          </v:group>
        </w:pict>
      </w:r>
      <w:r w:rsidR="00216117">
        <w:rPr>
          <w:color w:val="231F20"/>
          <w:sz w:val="15"/>
        </w:rPr>
        <w:t>věcech nesprávně uložených nebo škody vzniklé v důsledku nesprávného upevnění;</w:t>
      </w:r>
    </w:p>
    <w:p w14:paraId="3C408C42" w14:textId="77777777" w:rsidR="00F65BCA" w:rsidRDefault="00216117">
      <w:pPr>
        <w:pStyle w:val="Odstavecseseznamem"/>
        <w:numPr>
          <w:ilvl w:val="0"/>
          <w:numId w:val="95"/>
        </w:numPr>
        <w:tabs>
          <w:tab w:val="left" w:pos="711"/>
        </w:tabs>
        <w:spacing w:line="278" w:lineRule="auto"/>
        <w:ind w:left="710"/>
        <w:jc w:val="both"/>
        <w:rPr>
          <w:sz w:val="15"/>
        </w:rPr>
      </w:pPr>
      <w:r>
        <w:rPr>
          <w:color w:val="231F20"/>
          <w:sz w:val="15"/>
        </w:rPr>
        <w:t xml:space="preserve">audiovizuální technice včetně výpočetní techniky všeho druhu (fotografické </w:t>
      </w:r>
      <w:r>
        <w:rPr>
          <w:color w:val="231F20"/>
          <w:w w:val="95"/>
          <w:sz w:val="15"/>
        </w:rPr>
        <w:t xml:space="preserve">nebo filmovací přístroje, počítače, mobilní telefony, přístroje audiovizuální </w:t>
      </w:r>
      <w:r>
        <w:rPr>
          <w:color w:val="231F20"/>
          <w:spacing w:val="-3"/>
          <w:w w:val="95"/>
          <w:sz w:val="15"/>
        </w:rPr>
        <w:t xml:space="preserve">tech- </w:t>
      </w:r>
      <w:r>
        <w:rPr>
          <w:color w:val="231F20"/>
          <w:spacing w:val="-3"/>
          <w:sz w:val="15"/>
        </w:rPr>
        <w:t>niky,</w:t>
      </w:r>
      <w:r>
        <w:rPr>
          <w:color w:val="231F20"/>
          <w:spacing w:val="-7"/>
          <w:sz w:val="15"/>
        </w:rPr>
        <w:t xml:space="preserve"> </w:t>
      </w:r>
      <w:r>
        <w:rPr>
          <w:color w:val="231F20"/>
          <w:sz w:val="15"/>
        </w:rPr>
        <w:t>elektronické</w:t>
      </w:r>
      <w:r>
        <w:rPr>
          <w:color w:val="231F20"/>
          <w:spacing w:val="-6"/>
          <w:sz w:val="15"/>
        </w:rPr>
        <w:t xml:space="preserve"> </w:t>
      </w:r>
      <w:r>
        <w:rPr>
          <w:color w:val="231F20"/>
          <w:sz w:val="15"/>
        </w:rPr>
        <w:t>a</w:t>
      </w:r>
      <w:r>
        <w:rPr>
          <w:color w:val="231F20"/>
          <w:spacing w:val="-6"/>
          <w:sz w:val="15"/>
        </w:rPr>
        <w:t xml:space="preserve"> </w:t>
      </w:r>
      <w:r>
        <w:rPr>
          <w:color w:val="231F20"/>
          <w:sz w:val="15"/>
        </w:rPr>
        <w:t>optické</w:t>
      </w:r>
      <w:r>
        <w:rPr>
          <w:color w:val="231F20"/>
          <w:spacing w:val="-6"/>
          <w:sz w:val="15"/>
        </w:rPr>
        <w:t xml:space="preserve"> </w:t>
      </w:r>
      <w:r>
        <w:rPr>
          <w:color w:val="231F20"/>
          <w:sz w:val="15"/>
        </w:rPr>
        <w:t>přístroje</w:t>
      </w:r>
      <w:r>
        <w:rPr>
          <w:color w:val="231F20"/>
          <w:spacing w:val="-6"/>
          <w:sz w:val="15"/>
        </w:rPr>
        <w:t xml:space="preserve"> </w:t>
      </w:r>
      <w:r>
        <w:rPr>
          <w:color w:val="231F20"/>
          <w:sz w:val="15"/>
        </w:rPr>
        <w:t>a</w:t>
      </w:r>
      <w:r>
        <w:rPr>
          <w:color w:val="231F20"/>
          <w:spacing w:val="-6"/>
          <w:sz w:val="15"/>
        </w:rPr>
        <w:t xml:space="preserve"> </w:t>
      </w:r>
      <w:r>
        <w:rPr>
          <w:color w:val="231F20"/>
          <w:sz w:val="15"/>
        </w:rPr>
        <w:t>jejich</w:t>
      </w:r>
      <w:r>
        <w:rPr>
          <w:color w:val="231F20"/>
          <w:spacing w:val="-6"/>
          <w:sz w:val="15"/>
        </w:rPr>
        <w:t xml:space="preserve"> </w:t>
      </w:r>
      <w:r>
        <w:rPr>
          <w:color w:val="231F20"/>
          <w:sz w:val="15"/>
        </w:rPr>
        <w:t>příslušenství</w:t>
      </w:r>
      <w:r>
        <w:rPr>
          <w:color w:val="231F20"/>
          <w:spacing w:val="-6"/>
          <w:sz w:val="15"/>
        </w:rPr>
        <w:t xml:space="preserve"> </w:t>
      </w:r>
      <w:r>
        <w:rPr>
          <w:color w:val="231F20"/>
          <w:sz w:val="15"/>
        </w:rPr>
        <w:t>apod.);</w:t>
      </w:r>
    </w:p>
    <w:p w14:paraId="13519672" w14:textId="77777777" w:rsidR="00F65BCA" w:rsidRDefault="00216117">
      <w:pPr>
        <w:pStyle w:val="Odstavecseseznamem"/>
        <w:numPr>
          <w:ilvl w:val="0"/>
          <w:numId w:val="95"/>
        </w:numPr>
        <w:tabs>
          <w:tab w:val="left" w:pos="711"/>
        </w:tabs>
        <w:spacing w:line="172" w:lineRule="exact"/>
        <w:ind w:left="710" w:hanging="285"/>
        <w:jc w:val="both"/>
        <w:rPr>
          <w:sz w:val="15"/>
        </w:rPr>
      </w:pPr>
      <w:r>
        <w:rPr>
          <w:color w:val="231F20"/>
          <w:sz w:val="15"/>
        </w:rPr>
        <w:t>zvířatech;</w:t>
      </w:r>
    </w:p>
    <w:p w14:paraId="3C055E6B" w14:textId="77777777" w:rsidR="00F65BCA" w:rsidRDefault="00216117">
      <w:pPr>
        <w:pStyle w:val="Odstavecseseznamem"/>
        <w:numPr>
          <w:ilvl w:val="0"/>
          <w:numId w:val="95"/>
        </w:numPr>
        <w:tabs>
          <w:tab w:val="left" w:pos="711"/>
        </w:tabs>
        <w:spacing w:before="28" w:line="278" w:lineRule="auto"/>
        <w:ind w:left="710"/>
        <w:jc w:val="both"/>
        <w:rPr>
          <w:sz w:val="15"/>
        </w:rPr>
      </w:pPr>
      <w:r>
        <w:rPr>
          <w:color w:val="231F20"/>
          <w:sz w:val="15"/>
        </w:rPr>
        <w:t>nákladu,</w:t>
      </w:r>
      <w:r>
        <w:rPr>
          <w:color w:val="231F20"/>
          <w:spacing w:val="-23"/>
          <w:sz w:val="15"/>
        </w:rPr>
        <w:t xml:space="preserve"> </w:t>
      </w:r>
      <w:r>
        <w:rPr>
          <w:color w:val="231F20"/>
          <w:sz w:val="15"/>
        </w:rPr>
        <w:t>kterým</w:t>
      </w:r>
      <w:r>
        <w:rPr>
          <w:color w:val="231F20"/>
          <w:spacing w:val="-22"/>
          <w:sz w:val="15"/>
        </w:rPr>
        <w:t xml:space="preserve"> </w:t>
      </w:r>
      <w:r>
        <w:rPr>
          <w:color w:val="231F20"/>
          <w:sz w:val="15"/>
        </w:rPr>
        <w:t>se</w:t>
      </w:r>
      <w:r>
        <w:rPr>
          <w:color w:val="231F20"/>
          <w:spacing w:val="-22"/>
          <w:sz w:val="15"/>
        </w:rPr>
        <w:t xml:space="preserve"> </w:t>
      </w:r>
      <w:r>
        <w:rPr>
          <w:color w:val="231F20"/>
          <w:sz w:val="15"/>
        </w:rPr>
        <w:t>rozumí</w:t>
      </w:r>
      <w:r>
        <w:rPr>
          <w:color w:val="231F20"/>
          <w:spacing w:val="-22"/>
          <w:sz w:val="15"/>
        </w:rPr>
        <w:t xml:space="preserve"> </w:t>
      </w:r>
      <w:r>
        <w:rPr>
          <w:color w:val="231F20"/>
          <w:sz w:val="15"/>
        </w:rPr>
        <w:t>věc</w:t>
      </w:r>
      <w:r>
        <w:rPr>
          <w:color w:val="231F20"/>
          <w:spacing w:val="-22"/>
          <w:sz w:val="15"/>
        </w:rPr>
        <w:t xml:space="preserve"> </w:t>
      </w:r>
      <w:r>
        <w:rPr>
          <w:color w:val="231F20"/>
          <w:sz w:val="15"/>
        </w:rPr>
        <w:t>či</w:t>
      </w:r>
      <w:r>
        <w:rPr>
          <w:color w:val="231F20"/>
          <w:spacing w:val="-22"/>
          <w:sz w:val="15"/>
        </w:rPr>
        <w:t xml:space="preserve"> </w:t>
      </w:r>
      <w:r>
        <w:rPr>
          <w:color w:val="231F20"/>
          <w:sz w:val="15"/>
        </w:rPr>
        <w:t>soubor</w:t>
      </w:r>
      <w:r>
        <w:rPr>
          <w:color w:val="231F20"/>
          <w:spacing w:val="-23"/>
          <w:sz w:val="15"/>
        </w:rPr>
        <w:t xml:space="preserve"> </w:t>
      </w:r>
      <w:r>
        <w:rPr>
          <w:color w:val="231F20"/>
          <w:sz w:val="15"/>
        </w:rPr>
        <w:t>věcí,</w:t>
      </w:r>
      <w:r>
        <w:rPr>
          <w:color w:val="231F20"/>
          <w:spacing w:val="-22"/>
          <w:sz w:val="15"/>
        </w:rPr>
        <w:t xml:space="preserve"> </w:t>
      </w:r>
      <w:r>
        <w:rPr>
          <w:color w:val="231F20"/>
          <w:sz w:val="15"/>
        </w:rPr>
        <w:t>které</w:t>
      </w:r>
      <w:r>
        <w:rPr>
          <w:color w:val="231F20"/>
          <w:spacing w:val="-22"/>
          <w:sz w:val="15"/>
        </w:rPr>
        <w:t xml:space="preserve"> </w:t>
      </w:r>
      <w:r>
        <w:rPr>
          <w:color w:val="231F20"/>
          <w:sz w:val="15"/>
        </w:rPr>
        <w:t>jsou</w:t>
      </w:r>
      <w:r>
        <w:rPr>
          <w:color w:val="231F20"/>
          <w:spacing w:val="-22"/>
          <w:sz w:val="15"/>
        </w:rPr>
        <w:t xml:space="preserve"> </w:t>
      </w:r>
      <w:r>
        <w:rPr>
          <w:color w:val="231F20"/>
          <w:sz w:val="15"/>
        </w:rPr>
        <w:t>předmětem</w:t>
      </w:r>
      <w:r>
        <w:rPr>
          <w:color w:val="231F20"/>
          <w:spacing w:val="-22"/>
          <w:sz w:val="15"/>
        </w:rPr>
        <w:t xml:space="preserve"> </w:t>
      </w:r>
      <w:r>
        <w:rPr>
          <w:color w:val="231F20"/>
          <w:sz w:val="15"/>
        </w:rPr>
        <w:t>podnikání pojistníka, pojištěného či oprávněné</w:t>
      </w:r>
      <w:r>
        <w:rPr>
          <w:color w:val="231F20"/>
          <w:spacing w:val="-7"/>
          <w:sz w:val="15"/>
        </w:rPr>
        <w:t xml:space="preserve"> </w:t>
      </w:r>
      <w:r>
        <w:rPr>
          <w:color w:val="231F20"/>
          <w:sz w:val="15"/>
        </w:rPr>
        <w:t>osoby;</w:t>
      </w:r>
    </w:p>
    <w:p w14:paraId="350401E5" w14:textId="77777777" w:rsidR="00F65BCA" w:rsidRDefault="00216117">
      <w:pPr>
        <w:pStyle w:val="Odstavecseseznamem"/>
        <w:numPr>
          <w:ilvl w:val="0"/>
          <w:numId w:val="95"/>
        </w:numPr>
        <w:tabs>
          <w:tab w:val="left" w:pos="711"/>
        </w:tabs>
        <w:spacing w:line="278" w:lineRule="auto"/>
        <w:ind w:left="710"/>
        <w:jc w:val="both"/>
        <w:rPr>
          <w:sz w:val="15"/>
        </w:rPr>
      </w:pPr>
      <w:r>
        <w:rPr>
          <w:color w:val="231F20"/>
          <w:sz w:val="15"/>
        </w:rPr>
        <w:t>motorových vozidlech, přívěsech, motocyklech, motokolech a obdobných zařízeních</w:t>
      </w:r>
      <w:r>
        <w:rPr>
          <w:color w:val="231F20"/>
          <w:spacing w:val="-22"/>
          <w:sz w:val="15"/>
        </w:rPr>
        <w:t xml:space="preserve"> </w:t>
      </w:r>
      <w:r>
        <w:rPr>
          <w:color w:val="231F20"/>
          <w:sz w:val="15"/>
        </w:rPr>
        <w:t>s</w:t>
      </w:r>
      <w:r>
        <w:rPr>
          <w:color w:val="231F20"/>
          <w:spacing w:val="-21"/>
          <w:sz w:val="15"/>
        </w:rPr>
        <w:t xml:space="preserve"> </w:t>
      </w:r>
      <w:r>
        <w:rPr>
          <w:color w:val="231F20"/>
          <w:sz w:val="15"/>
        </w:rPr>
        <w:t>vlastním</w:t>
      </w:r>
      <w:r>
        <w:rPr>
          <w:color w:val="231F20"/>
          <w:spacing w:val="-21"/>
          <w:sz w:val="15"/>
        </w:rPr>
        <w:t xml:space="preserve"> </w:t>
      </w:r>
      <w:r>
        <w:rPr>
          <w:color w:val="231F20"/>
          <w:sz w:val="15"/>
        </w:rPr>
        <w:t>pojezdovým</w:t>
      </w:r>
      <w:r>
        <w:rPr>
          <w:color w:val="231F20"/>
          <w:spacing w:val="-21"/>
          <w:sz w:val="15"/>
        </w:rPr>
        <w:t xml:space="preserve"> </w:t>
      </w:r>
      <w:r>
        <w:rPr>
          <w:color w:val="231F20"/>
          <w:sz w:val="15"/>
        </w:rPr>
        <w:t>pohonem,</w:t>
      </w:r>
      <w:r>
        <w:rPr>
          <w:color w:val="231F20"/>
          <w:spacing w:val="-21"/>
          <w:sz w:val="15"/>
        </w:rPr>
        <w:t xml:space="preserve"> </w:t>
      </w:r>
      <w:r>
        <w:rPr>
          <w:color w:val="231F20"/>
          <w:sz w:val="15"/>
        </w:rPr>
        <w:t>letadlech,</w:t>
      </w:r>
      <w:r>
        <w:rPr>
          <w:color w:val="231F20"/>
          <w:spacing w:val="-21"/>
          <w:sz w:val="15"/>
        </w:rPr>
        <w:t xml:space="preserve"> </w:t>
      </w:r>
      <w:r>
        <w:rPr>
          <w:color w:val="231F20"/>
          <w:sz w:val="15"/>
        </w:rPr>
        <w:t>rogalech,</w:t>
      </w:r>
      <w:r>
        <w:rPr>
          <w:color w:val="231F20"/>
          <w:spacing w:val="-21"/>
          <w:sz w:val="15"/>
        </w:rPr>
        <w:t xml:space="preserve"> </w:t>
      </w:r>
      <w:r>
        <w:rPr>
          <w:color w:val="231F20"/>
          <w:spacing w:val="-3"/>
          <w:sz w:val="15"/>
        </w:rPr>
        <w:t xml:space="preserve">horkovzduš- </w:t>
      </w:r>
      <w:r>
        <w:rPr>
          <w:color w:val="231F20"/>
          <w:sz w:val="15"/>
        </w:rPr>
        <w:t>ných</w:t>
      </w:r>
      <w:r>
        <w:rPr>
          <w:color w:val="231F20"/>
          <w:spacing w:val="-30"/>
          <w:sz w:val="15"/>
        </w:rPr>
        <w:t xml:space="preserve"> </w:t>
      </w:r>
      <w:r>
        <w:rPr>
          <w:color w:val="231F20"/>
          <w:sz w:val="15"/>
        </w:rPr>
        <w:t>balónech,</w:t>
      </w:r>
      <w:r>
        <w:rPr>
          <w:color w:val="231F20"/>
          <w:spacing w:val="-29"/>
          <w:sz w:val="15"/>
        </w:rPr>
        <w:t xml:space="preserve"> </w:t>
      </w:r>
      <w:r>
        <w:rPr>
          <w:color w:val="231F20"/>
          <w:sz w:val="15"/>
        </w:rPr>
        <w:t>lodích,</w:t>
      </w:r>
      <w:r>
        <w:rPr>
          <w:color w:val="231F20"/>
          <w:spacing w:val="-29"/>
          <w:sz w:val="15"/>
        </w:rPr>
        <w:t xml:space="preserve"> </w:t>
      </w:r>
      <w:r>
        <w:rPr>
          <w:color w:val="231F20"/>
          <w:sz w:val="15"/>
        </w:rPr>
        <w:t>plavidlech</w:t>
      </w:r>
      <w:r>
        <w:rPr>
          <w:color w:val="231F20"/>
          <w:spacing w:val="-29"/>
          <w:sz w:val="15"/>
        </w:rPr>
        <w:t xml:space="preserve"> </w:t>
      </w:r>
      <w:r>
        <w:rPr>
          <w:color w:val="231F20"/>
          <w:sz w:val="15"/>
        </w:rPr>
        <w:t>apod.,</w:t>
      </w:r>
      <w:r>
        <w:rPr>
          <w:color w:val="231F20"/>
          <w:spacing w:val="-29"/>
          <w:sz w:val="15"/>
        </w:rPr>
        <w:t xml:space="preserve"> </w:t>
      </w:r>
      <w:r>
        <w:rPr>
          <w:color w:val="231F20"/>
          <w:sz w:val="15"/>
        </w:rPr>
        <w:t>včetně</w:t>
      </w:r>
      <w:r>
        <w:rPr>
          <w:color w:val="231F20"/>
          <w:spacing w:val="-30"/>
          <w:sz w:val="15"/>
        </w:rPr>
        <w:t xml:space="preserve"> </w:t>
      </w:r>
      <w:r>
        <w:rPr>
          <w:color w:val="231F20"/>
          <w:sz w:val="15"/>
        </w:rPr>
        <w:t>jejich</w:t>
      </w:r>
      <w:r>
        <w:rPr>
          <w:color w:val="231F20"/>
          <w:spacing w:val="-29"/>
          <w:sz w:val="15"/>
        </w:rPr>
        <w:t xml:space="preserve"> </w:t>
      </w:r>
      <w:r>
        <w:rPr>
          <w:color w:val="231F20"/>
          <w:sz w:val="15"/>
        </w:rPr>
        <w:t>náhradních</w:t>
      </w:r>
      <w:r>
        <w:rPr>
          <w:color w:val="231F20"/>
          <w:spacing w:val="-29"/>
          <w:sz w:val="15"/>
        </w:rPr>
        <w:t xml:space="preserve"> </w:t>
      </w:r>
      <w:r>
        <w:rPr>
          <w:color w:val="231F20"/>
          <w:sz w:val="15"/>
        </w:rPr>
        <w:t>dílů,</w:t>
      </w:r>
      <w:r>
        <w:rPr>
          <w:color w:val="231F20"/>
          <w:spacing w:val="-29"/>
          <w:sz w:val="15"/>
        </w:rPr>
        <w:t xml:space="preserve"> </w:t>
      </w:r>
      <w:r>
        <w:rPr>
          <w:color w:val="231F20"/>
          <w:sz w:val="15"/>
        </w:rPr>
        <w:t>součástí a</w:t>
      </w:r>
      <w:r>
        <w:rPr>
          <w:color w:val="231F20"/>
          <w:spacing w:val="-1"/>
          <w:sz w:val="15"/>
        </w:rPr>
        <w:t xml:space="preserve"> </w:t>
      </w:r>
      <w:r>
        <w:rPr>
          <w:color w:val="231F20"/>
          <w:sz w:val="15"/>
        </w:rPr>
        <w:t>příslušenství;</w:t>
      </w:r>
    </w:p>
    <w:p w14:paraId="75C96B8E" w14:textId="77777777" w:rsidR="00F65BCA" w:rsidRDefault="00216117">
      <w:pPr>
        <w:pStyle w:val="Odstavecseseznamem"/>
        <w:numPr>
          <w:ilvl w:val="0"/>
          <w:numId w:val="95"/>
        </w:numPr>
        <w:tabs>
          <w:tab w:val="left" w:pos="711"/>
        </w:tabs>
        <w:spacing w:line="278" w:lineRule="auto"/>
        <w:ind w:left="710"/>
        <w:jc w:val="both"/>
        <w:rPr>
          <w:sz w:val="15"/>
        </w:rPr>
      </w:pPr>
      <w:r>
        <w:rPr>
          <w:color w:val="231F20"/>
          <w:sz w:val="15"/>
        </w:rPr>
        <w:t>předmětech přepravovaných pro třetí osoby na základě přepravní smlouvy nebo v rámci přepravy</w:t>
      </w:r>
      <w:r>
        <w:rPr>
          <w:color w:val="231F20"/>
          <w:spacing w:val="-3"/>
          <w:sz w:val="15"/>
        </w:rPr>
        <w:t xml:space="preserve"> </w:t>
      </w:r>
      <w:r>
        <w:rPr>
          <w:color w:val="231F20"/>
          <w:sz w:val="15"/>
        </w:rPr>
        <w:t>osob;</w:t>
      </w:r>
    </w:p>
    <w:p w14:paraId="4B301DB9" w14:textId="77777777" w:rsidR="00F65BCA" w:rsidRDefault="00216117">
      <w:pPr>
        <w:pStyle w:val="Odstavecseseznamem"/>
        <w:numPr>
          <w:ilvl w:val="0"/>
          <w:numId w:val="95"/>
        </w:numPr>
        <w:tabs>
          <w:tab w:val="left" w:pos="711"/>
        </w:tabs>
        <w:ind w:left="710" w:hanging="285"/>
        <w:jc w:val="both"/>
        <w:rPr>
          <w:sz w:val="15"/>
        </w:rPr>
      </w:pPr>
      <w:r>
        <w:rPr>
          <w:color w:val="231F20"/>
          <w:sz w:val="15"/>
        </w:rPr>
        <w:t>cigaretách, alkoholu, ostatních návykových látkách,</w:t>
      </w:r>
      <w:r>
        <w:rPr>
          <w:color w:val="231F20"/>
          <w:spacing w:val="-19"/>
          <w:sz w:val="15"/>
        </w:rPr>
        <w:t xml:space="preserve"> </w:t>
      </w:r>
      <w:r>
        <w:rPr>
          <w:color w:val="231F20"/>
          <w:sz w:val="15"/>
        </w:rPr>
        <w:t>lécích.</w:t>
      </w:r>
    </w:p>
    <w:p w14:paraId="0FF114DB" w14:textId="77777777" w:rsidR="00F65BCA" w:rsidRDefault="00F65BCA">
      <w:pPr>
        <w:pStyle w:val="Zkladntext"/>
        <w:spacing w:before="3"/>
        <w:rPr>
          <w:sz w:val="23"/>
        </w:rPr>
      </w:pPr>
    </w:p>
    <w:p w14:paraId="2EB9D673" w14:textId="77777777" w:rsidR="00F65BCA" w:rsidRDefault="00216117">
      <w:pPr>
        <w:ind w:left="428"/>
        <w:rPr>
          <w:sz w:val="15"/>
        </w:rPr>
      </w:pPr>
      <w:r>
        <w:rPr>
          <w:color w:val="FFFFFF"/>
          <w:position w:val="3"/>
          <w:sz w:val="16"/>
          <w:shd w:val="clear" w:color="auto" w:fill="808285"/>
        </w:rPr>
        <w:t xml:space="preserve">  </w:t>
      </w:r>
      <w:r>
        <w:rPr>
          <w:color w:val="FFFFFF"/>
          <w:w w:val="105"/>
          <w:position w:val="3"/>
          <w:sz w:val="16"/>
          <w:shd w:val="clear" w:color="auto" w:fill="808285"/>
        </w:rPr>
        <w:t>Článek 50</w:t>
      </w:r>
      <w:r>
        <w:rPr>
          <w:color w:val="FFFFFF"/>
          <w:w w:val="105"/>
          <w:position w:val="3"/>
          <w:sz w:val="16"/>
        </w:rPr>
        <w:t xml:space="preserve"> </w:t>
      </w:r>
      <w:r>
        <w:rPr>
          <w:color w:val="231F20"/>
          <w:w w:val="105"/>
          <w:sz w:val="15"/>
        </w:rPr>
        <w:t>Speciální výkladová ustanovení</w:t>
      </w:r>
    </w:p>
    <w:p w14:paraId="2A64B8CB" w14:textId="77777777" w:rsidR="00F65BCA" w:rsidRDefault="00216117">
      <w:pPr>
        <w:pStyle w:val="Zkladntext"/>
        <w:spacing w:before="147" w:line="278" w:lineRule="auto"/>
        <w:ind w:left="426"/>
        <w:jc w:val="both"/>
      </w:pPr>
      <w:r>
        <w:rPr>
          <w:color w:val="231F20"/>
        </w:rPr>
        <w:t>Zavazadlem</w:t>
      </w:r>
      <w:r>
        <w:rPr>
          <w:color w:val="231F20"/>
          <w:spacing w:val="-10"/>
        </w:rPr>
        <w:t xml:space="preserve"> </w:t>
      </w:r>
      <w:r>
        <w:rPr>
          <w:color w:val="231F20"/>
        </w:rPr>
        <w:t>se</w:t>
      </w:r>
      <w:r>
        <w:rPr>
          <w:color w:val="231F20"/>
          <w:spacing w:val="-10"/>
        </w:rPr>
        <w:t xml:space="preserve"> </w:t>
      </w:r>
      <w:r>
        <w:rPr>
          <w:color w:val="231F20"/>
        </w:rPr>
        <w:t>rozumí</w:t>
      </w:r>
      <w:r>
        <w:rPr>
          <w:color w:val="231F20"/>
          <w:spacing w:val="-9"/>
        </w:rPr>
        <w:t xml:space="preserve"> </w:t>
      </w:r>
      <w:r>
        <w:rPr>
          <w:color w:val="231F20"/>
        </w:rPr>
        <w:t>věc</w:t>
      </w:r>
      <w:r>
        <w:rPr>
          <w:color w:val="231F20"/>
          <w:spacing w:val="-10"/>
        </w:rPr>
        <w:t xml:space="preserve"> </w:t>
      </w:r>
      <w:r>
        <w:rPr>
          <w:color w:val="231F20"/>
        </w:rPr>
        <w:t>či</w:t>
      </w:r>
      <w:r>
        <w:rPr>
          <w:color w:val="231F20"/>
          <w:spacing w:val="-9"/>
        </w:rPr>
        <w:t xml:space="preserve"> </w:t>
      </w:r>
      <w:r>
        <w:rPr>
          <w:color w:val="231F20"/>
        </w:rPr>
        <w:t>soubor</w:t>
      </w:r>
      <w:r>
        <w:rPr>
          <w:color w:val="231F20"/>
          <w:spacing w:val="-10"/>
        </w:rPr>
        <w:t xml:space="preserve"> </w:t>
      </w:r>
      <w:r>
        <w:rPr>
          <w:color w:val="231F20"/>
        </w:rPr>
        <w:t>věcí,</w:t>
      </w:r>
      <w:r>
        <w:rPr>
          <w:color w:val="231F20"/>
          <w:spacing w:val="-9"/>
        </w:rPr>
        <w:t xml:space="preserve"> </w:t>
      </w:r>
      <w:r>
        <w:rPr>
          <w:color w:val="231F20"/>
        </w:rPr>
        <w:t>které</w:t>
      </w:r>
      <w:r>
        <w:rPr>
          <w:color w:val="231F20"/>
          <w:spacing w:val="-10"/>
        </w:rPr>
        <w:t xml:space="preserve"> </w:t>
      </w:r>
      <w:r>
        <w:rPr>
          <w:color w:val="231F20"/>
        </w:rPr>
        <w:t>má</w:t>
      </w:r>
      <w:r>
        <w:rPr>
          <w:color w:val="231F20"/>
          <w:spacing w:val="-9"/>
        </w:rPr>
        <w:t xml:space="preserve"> </w:t>
      </w:r>
      <w:r>
        <w:rPr>
          <w:color w:val="231F20"/>
        </w:rPr>
        <w:t>fyzická</w:t>
      </w:r>
      <w:r>
        <w:rPr>
          <w:color w:val="231F20"/>
          <w:spacing w:val="-10"/>
        </w:rPr>
        <w:t xml:space="preserve"> </w:t>
      </w:r>
      <w:r>
        <w:rPr>
          <w:color w:val="231F20"/>
        </w:rPr>
        <w:t>osoba</w:t>
      </w:r>
      <w:r>
        <w:rPr>
          <w:color w:val="231F20"/>
          <w:spacing w:val="-9"/>
        </w:rPr>
        <w:t xml:space="preserve"> </w:t>
      </w:r>
      <w:r>
        <w:rPr>
          <w:color w:val="231F20"/>
        </w:rPr>
        <w:t>běžně</w:t>
      </w:r>
      <w:r>
        <w:rPr>
          <w:color w:val="231F20"/>
          <w:spacing w:val="-10"/>
        </w:rPr>
        <w:t xml:space="preserve"> </w:t>
      </w:r>
      <w:r>
        <w:rPr>
          <w:color w:val="231F20"/>
        </w:rPr>
        <w:t>na</w:t>
      </w:r>
      <w:r>
        <w:rPr>
          <w:color w:val="231F20"/>
          <w:spacing w:val="-10"/>
        </w:rPr>
        <w:t xml:space="preserve"> </w:t>
      </w:r>
      <w:r>
        <w:rPr>
          <w:color w:val="231F20"/>
          <w:spacing w:val="-5"/>
        </w:rPr>
        <w:t xml:space="preserve">sobě </w:t>
      </w:r>
      <w:r>
        <w:rPr>
          <w:color w:val="231F20"/>
        </w:rPr>
        <w:t xml:space="preserve">nebo při sobě (oblečení, věci osobní potřeby apod.) a dále věci, které jsou </w:t>
      </w:r>
      <w:r>
        <w:rPr>
          <w:color w:val="231F20"/>
          <w:spacing w:val="-4"/>
        </w:rPr>
        <w:t xml:space="preserve">pře- </w:t>
      </w:r>
      <w:r>
        <w:rPr>
          <w:color w:val="231F20"/>
        </w:rPr>
        <w:t>pravované</w:t>
      </w:r>
      <w:r>
        <w:rPr>
          <w:color w:val="231F20"/>
          <w:spacing w:val="-8"/>
        </w:rPr>
        <w:t xml:space="preserve"> </w:t>
      </w:r>
      <w:r>
        <w:rPr>
          <w:color w:val="231F20"/>
        </w:rPr>
        <w:t>v</w:t>
      </w:r>
      <w:r>
        <w:rPr>
          <w:color w:val="231F20"/>
          <w:spacing w:val="-7"/>
        </w:rPr>
        <w:t xml:space="preserve"> </w:t>
      </w:r>
      <w:r>
        <w:rPr>
          <w:color w:val="231F20"/>
        </w:rPr>
        <w:t>zavazadlovém</w:t>
      </w:r>
      <w:r>
        <w:rPr>
          <w:color w:val="231F20"/>
          <w:spacing w:val="-8"/>
        </w:rPr>
        <w:t xml:space="preserve"> </w:t>
      </w:r>
      <w:r>
        <w:rPr>
          <w:color w:val="231F20"/>
        </w:rPr>
        <w:t>prostoru</w:t>
      </w:r>
      <w:r>
        <w:rPr>
          <w:color w:val="231F20"/>
          <w:spacing w:val="-7"/>
        </w:rPr>
        <w:t xml:space="preserve"> </w:t>
      </w:r>
      <w:r>
        <w:rPr>
          <w:color w:val="231F20"/>
        </w:rPr>
        <w:t>vozidla,</w:t>
      </w:r>
      <w:r>
        <w:rPr>
          <w:color w:val="231F20"/>
          <w:spacing w:val="-7"/>
        </w:rPr>
        <w:t xml:space="preserve"> </w:t>
      </w:r>
      <w:r>
        <w:rPr>
          <w:color w:val="231F20"/>
        </w:rPr>
        <w:t>případně</w:t>
      </w:r>
      <w:r>
        <w:rPr>
          <w:color w:val="231F20"/>
          <w:spacing w:val="-8"/>
        </w:rPr>
        <w:t xml:space="preserve"> </w:t>
      </w:r>
      <w:r>
        <w:rPr>
          <w:color w:val="231F20"/>
        </w:rPr>
        <w:t>na</w:t>
      </w:r>
      <w:r>
        <w:rPr>
          <w:color w:val="231F20"/>
          <w:spacing w:val="-7"/>
        </w:rPr>
        <w:t xml:space="preserve"> </w:t>
      </w:r>
      <w:r>
        <w:rPr>
          <w:color w:val="231F20"/>
        </w:rPr>
        <w:t>jeho</w:t>
      </w:r>
      <w:r>
        <w:rPr>
          <w:color w:val="231F20"/>
          <w:spacing w:val="-7"/>
        </w:rPr>
        <w:t xml:space="preserve"> </w:t>
      </w:r>
      <w:r>
        <w:rPr>
          <w:color w:val="231F20"/>
        </w:rPr>
        <w:t>střešních</w:t>
      </w:r>
      <w:r>
        <w:rPr>
          <w:color w:val="231F20"/>
          <w:spacing w:val="-8"/>
        </w:rPr>
        <w:t xml:space="preserve"> </w:t>
      </w:r>
      <w:r>
        <w:rPr>
          <w:color w:val="231F20"/>
        </w:rPr>
        <w:t>či</w:t>
      </w:r>
      <w:r>
        <w:rPr>
          <w:color w:val="231F20"/>
          <w:spacing w:val="-7"/>
        </w:rPr>
        <w:t xml:space="preserve"> </w:t>
      </w:r>
      <w:r>
        <w:rPr>
          <w:color w:val="231F20"/>
          <w:spacing w:val="-3"/>
        </w:rPr>
        <w:t xml:space="preserve">jiných </w:t>
      </w:r>
      <w:r>
        <w:rPr>
          <w:color w:val="231F20"/>
        </w:rPr>
        <w:t>nosičích</w:t>
      </w:r>
      <w:r>
        <w:rPr>
          <w:color w:val="231F20"/>
          <w:spacing w:val="-23"/>
        </w:rPr>
        <w:t xml:space="preserve"> </w:t>
      </w:r>
      <w:r>
        <w:rPr>
          <w:color w:val="231F20"/>
          <w:spacing w:val="-3"/>
        </w:rPr>
        <w:t>(např.</w:t>
      </w:r>
      <w:r>
        <w:rPr>
          <w:color w:val="231F20"/>
          <w:spacing w:val="-23"/>
        </w:rPr>
        <w:t xml:space="preserve"> </w:t>
      </w:r>
      <w:r>
        <w:rPr>
          <w:color w:val="231F20"/>
        </w:rPr>
        <w:t>sportovní</w:t>
      </w:r>
      <w:r>
        <w:rPr>
          <w:color w:val="231F20"/>
          <w:spacing w:val="-23"/>
        </w:rPr>
        <w:t xml:space="preserve"> </w:t>
      </w:r>
      <w:r>
        <w:rPr>
          <w:color w:val="231F20"/>
        </w:rPr>
        <w:t>potřeby),</w:t>
      </w:r>
      <w:r>
        <w:rPr>
          <w:color w:val="231F20"/>
          <w:spacing w:val="-23"/>
        </w:rPr>
        <w:t xml:space="preserve"> </w:t>
      </w:r>
      <w:r>
        <w:rPr>
          <w:color w:val="231F20"/>
        </w:rPr>
        <w:t>nacházející</w:t>
      </w:r>
      <w:r>
        <w:rPr>
          <w:color w:val="231F20"/>
          <w:spacing w:val="-23"/>
        </w:rPr>
        <w:t xml:space="preserve"> </w:t>
      </w:r>
      <w:r>
        <w:rPr>
          <w:color w:val="231F20"/>
        </w:rPr>
        <w:t>se</w:t>
      </w:r>
      <w:r>
        <w:rPr>
          <w:color w:val="231F20"/>
          <w:spacing w:val="-23"/>
        </w:rPr>
        <w:t xml:space="preserve"> </w:t>
      </w:r>
      <w:r>
        <w:rPr>
          <w:color w:val="231F20"/>
        </w:rPr>
        <w:t>ve</w:t>
      </w:r>
      <w:r>
        <w:rPr>
          <w:color w:val="231F20"/>
          <w:spacing w:val="-23"/>
        </w:rPr>
        <w:t xml:space="preserve"> </w:t>
      </w:r>
      <w:r>
        <w:rPr>
          <w:color w:val="231F20"/>
        </w:rPr>
        <w:t>vozidle</w:t>
      </w:r>
      <w:r>
        <w:rPr>
          <w:color w:val="231F20"/>
          <w:spacing w:val="-23"/>
        </w:rPr>
        <w:t xml:space="preserve"> </w:t>
      </w:r>
      <w:r>
        <w:rPr>
          <w:color w:val="231F20"/>
        </w:rPr>
        <w:t>během</w:t>
      </w:r>
      <w:r>
        <w:rPr>
          <w:color w:val="231F20"/>
          <w:spacing w:val="-23"/>
        </w:rPr>
        <w:t xml:space="preserve"> </w:t>
      </w:r>
      <w:r>
        <w:rPr>
          <w:color w:val="231F20"/>
        </w:rPr>
        <w:t>cesty</w:t>
      </w:r>
      <w:r>
        <w:rPr>
          <w:color w:val="231F20"/>
          <w:spacing w:val="-23"/>
        </w:rPr>
        <w:t xml:space="preserve"> </w:t>
      </w:r>
      <w:r>
        <w:rPr>
          <w:color w:val="231F20"/>
        </w:rPr>
        <w:t>(tj.</w:t>
      </w:r>
      <w:r>
        <w:rPr>
          <w:color w:val="231F20"/>
          <w:spacing w:val="-23"/>
        </w:rPr>
        <w:t xml:space="preserve"> </w:t>
      </w:r>
      <w:r>
        <w:rPr>
          <w:color w:val="231F20"/>
        </w:rPr>
        <w:t>v</w:t>
      </w:r>
      <w:r>
        <w:rPr>
          <w:color w:val="231F20"/>
          <w:spacing w:val="-23"/>
        </w:rPr>
        <w:t xml:space="preserve"> </w:t>
      </w:r>
      <w:r>
        <w:rPr>
          <w:color w:val="231F20"/>
          <w:spacing w:val="-5"/>
        </w:rPr>
        <w:t xml:space="preserve">době </w:t>
      </w:r>
      <w:r>
        <w:rPr>
          <w:color w:val="231F20"/>
        </w:rPr>
        <w:t>od</w:t>
      </w:r>
      <w:r>
        <w:rPr>
          <w:color w:val="231F20"/>
          <w:spacing w:val="-9"/>
        </w:rPr>
        <w:t xml:space="preserve"> </w:t>
      </w:r>
      <w:r>
        <w:rPr>
          <w:color w:val="231F20"/>
        </w:rPr>
        <w:t>výjezdu</w:t>
      </w:r>
      <w:r>
        <w:rPr>
          <w:color w:val="231F20"/>
          <w:spacing w:val="-9"/>
        </w:rPr>
        <w:t xml:space="preserve"> </w:t>
      </w:r>
      <w:r>
        <w:rPr>
          <w:color w:val="231F20"/>
        </w:rPr>
        <w:t>vozidla</w:t>
      </w:r>
      <w:r>
        <w:rPr>
          <w:color w:val="231F20"/>
          <w:spacing w:val="-8"/>
        </w:rPr>
        <w:t xml:space="preserve"> </w:t>
      </w:r>
      <w:r>
        <w:rPr>
          <w:color w:val="231F20"/>
        </w:rPr>
        <w:t>do</w:t>
      </w:r>
      <w:r>
        <w:rPr>
          <w:color w:val="231F20"/>
          <w:spacing w:val="-9"/>
        </w:rPr>
        <w:t xml:space="preserve"> </w:t>
      </w:r>
      <w:r>
        <w:rPr>
          <w:color w:val="231F20"/>
        </w:rPr>
        <w:t>návratu</w:t>
      </w:r>
      <w:r>
        <w:rPr>
          <w:color w:val="231F20"/>
          <w:spacing w:val="-8"/>
        </w:rPr>
        <w:t xml:space="preserve"> </w:t>
      </w:r>
      <w:r>
        <w:rPr>
          <w:color w:val="231F20"/>
        </w:rPr>
        <w:t>na</w:t>
      </w:r>
      <w:r>
        <w:rPr>
          <w:color w:val="231F20"/>
          <w:spacing w:val="-9"/>
        </w:rPr>
        <w:t xml:space="preserve"> </w:t>
      </w:r>
      <w:r>
        <w:rPr>
          <w:color w:val="231F20"/>
        </w:rPr>
        <w:t>jeho</w:t>
      </w:r>
      <w:r>
        <w:rPr>
          <w:color w:val="231F20"/>
          <w:spacing w:val="-8"/>
        </w:rPr>
        <w:t xml:space="preserve"> </w:t>
      </w:r>
      <w:r>
        <w:rPr>
          <w:color w:val="231F20"/>
        </w:rPr>
        <w:t>obvykle</w:t>
      </w:r>
      <w:r>
        <w:rPr>
          <w:color w:val="231F20"/>
          <w:spacing w:val="-9"/>
        </w:rPr>
        <w:t xml:space="preserve"> </w:t>
      </w:r>
      <w:r>
        <w:rPr>
          <w:color w:val="231F20"/>
        </w:rPr>
        <w:t>stanoviště),</w:t>
      </w:r>
      <w:r>
        <w:rPr>
          <w:color w:val="231F20"/>
          <w:spacing w:val="-9"/>
        </w:rPr>
        <w:t xml:space="preserve"> </w:t>
      </w:r>
      <w:r>
        <w:rPr>
          <w:color w:val="231F20"/>
        </w:rPr>
        <w:t>s</w:t>
      </w:r>
      <w:r>
        <w:rPr>
          <w:color w:val="231F20"/>
          <w:spacing w:val="-8"/>
        </w:rPr>
        <w:t xml:space="preserve"> </w:t>
      </w:r>
      <w:r>
        <w:rPr>
          <w:color w:val="231F20"/>
        </w:rPr>
        <w:t>přihlédnutím</w:t>
      </w:r>
      <w:r>
        <w:rPr>
          <w:color w:val="231F20"/>
          <w:spacing w:val="-9"/>
        </w:rPr>
        <w:t xml:space="preserve"> </w:t>
      </w:r>
      <w:r>
        <w:rPr>
          <w:color w:val="231F20"/>
        </w:rPr>
        <w:t>k</w:t>
      </w:r>
      <w:r>
        <w:rPr>
          <w:color w:val="231F20"/>
          <w:spacing w:val="-8"/>
        </w:rPr>
        <w:t xml:space="preserve"> </w:t>
      </w:r>
      <w:r>
        <w:rPr>
          <w:color w:val="231F20"/>
        </w:rPr>
        <w:t>účelu cesty a klimatickým</w:t>
      </w:r>
      <w:r>
        <w:rPr>
          <w:color w:val="231F20"/>
          <w:spacing w:val="-3"/>
        </w:rPr>
        <w:t xml:space="preserve"> </w:t>
      </w:r>
      <w:r>
        <w:rPr>
          <w:color w:val="231F20"/>
        </w:rPr>
        <w:t>podmínkám.</w:t>
      </w:r>
    </w:p>
    <w:p w14:paraId="7512145E" w14:textId="77777777" w:rsidR="00F65BCA" w:rsidRDefault="00216117">
      <w:pPr>
        <w:pStyle w:val="Zkladntext"/>
        <w:spacing w:line="278" w:lineRule="auto"/>
        <w:ind w:left="426"/>
        <w:jc w:val="both"/>
      </w:pPr>
      <w:r>
        <w:rPr>
          <w:color w:val="231F20"/>
        </w:rPr>
        <w:t xml:space="preserve">Ztrátou se rozumí </w:t>
      </w:r>
      <w:r>
        <w:rPr>
          <w:color w:val="231F20"/>
          <w:spacing w:val="-3"/>
        </w:rPr>
        <w:t xml:space="preserve">stav, </w:t>
      </w:r>
      <w:r>
        <w:rPr>
          <w:color w:val="231F20"/>
        </w:rPr>
        <w:t>kdy pojistník, pojištěný nebo oprávněná osoba pozbyli nezávisle</w:t>
      </w:r>
      <w:r>
        <w:rPr>
          <w:color w:val="231F20"/>
          <w:spacing w:val="-27"/>
        </w:rPr>
        <w:t xml:space="preserve"> </w:t>
      </w:r>
      <w:r>
        <w:rPr>
          <w:color w:val="231F20"/>
        </w:rPr>
        <w:t>na</w:t>
      </w:r>
      <w:r>
        <w:rPr>
          <w:color w:val="231F20"/>
          <w:spacing w:val="-27"/>
        </w:rPr>
        <w:t xml:space="preserve"> </w:t>
      </w:r>
      <w:r>
        <w:rPr>
          <w:color w:val="231F20"/>
        </w:rPr>
        <w:t>své</w:t>
      </w:r>
      <w:r>
        <w:rPr>
          <w:color w:val="231F20"/>
          <w:spacing w:val="-27"/>
        </w:rPr>
        <w:t xml:space="preserve"> </w:t>
      </w:r>
      <w:r>
        <w:rPr>
          <w:color w:val="231F20"/>
        </w:rPr>
        <w:t>vůli</w:t>
      </w:r>
      <w:r>
        <w:rPr>
          <w:color w:val="231F20"/>
          <w:spacing w:val="-27"/>
        </w:rPr>
        <w:t xml:space="preserve"> </w:t>
      </w:r>
      <w:r>
        <w:rPr>
          <w:color w:val="231F20"/>
        </w:rPr>
        <w:t>v</w:t>
      </w:r>
      <w:r>
        <w:rPr>
          <w:color w:val="231F20"/>
          <w:spacing w:val="-26"/>
        </w:rPr>
        <w:t xml:space="preserve"> </w:t>
      </w:r>
      <w:r>
        <w:rPr>
          <w:color w:val="231F20"/>
        </w:rPr>
        <w:t>souvislosti</w:t>
      </w:r>
      <w:r>
        <w:rPr>
          <w:color w:val="231F20"/>
          <w:spacing w:val="-27"/>
        </w:rPr>
        <w:t xml:space="preserve"> </w:t>
      </w:r>
      <w:r>
        <w:rPr>
          <w:color w:val="231F20"/>
        </w:rPr>
        <w:t>s</w:t>
      </w:r>
      <w:r>
        <w:rPr>
          <w:color w:val="231F20"/>
          <w:spacing w:val="-27"/>
        </w:rPr>
        <w:t xml:space="preserve"> </w:t>
      </w:r>
      <w:r>
        <w:rPr>
          <w:color w:val="231F20"/>
        </w:rPr>
        <w:t>dopravní</w:t>
      </w:r>
      <w:r>
        <w:rPr>
          <w:color w:val="231F20"/>
          <w:spacing w:val="-27"/>
        </w:rPr>
        <w:t xml:space="preserve"> </w:t>
      </w:r>
      <w:r>
        <w:rPr>
          <w:color w:val="231F20"/>
        </w:rPr>
        <w:t>nehodou</w:t>
      </w:r>
      <w:r>
        <w:rPr>
          <w:color w:val="231F20"/>
          <w:spacing w:val="-26"/>
        </w:rPr>
        <w:t xml:space="preserve"> </w:t>
      </w:r>
      <w:r>
        <w:rPr>
          <w:color w:val="231F20"/>
        </w:rPr>
        <w:t>vozidla</w:t>
      </w:r>
      <w:r>
        <w:rPr>
          <w:color w:val="231F20"/>
          <w:spacing w:val="-27"/>
        </w:rPr>
        <w:t xml:space="preserve"> </w:t>
      </w:r>
      <w:r>
        <w:rPr>
          <w:color w:val="231F20"/>
        </w:rPr>
        <w:t>možnosti</w:t>
      </w:r>
      <w:r>
        <w:rPr>
          <w:color w:val="231F20"/>
          <w:spacing w:val="-27"/>
        </w:rPr>
        <w:t xml:space="preserve"> </w:t>
      </w:r>
      <w:r>
        <w:rPr>
          <w:color w:val="231F20"/>
        </w:rPr>
        <w:t>s</w:t>
      </w:r>
      <w:r>
        <w:rPr>
          <w:color w:val="231F20"/>
          <w:spacing w:val="-27"/>
        </w:rPr>
        <w:t xml:space="preserve"> </w:t>
      </w:r>
      <w:r>
        <w:rPr>
          <w:color w:val="231F20"/>
        </w:rPr>
        <w:t>pojištěnou věci</w:t>
      </w:r>
      <w:r>
        <w:rPr>
          <w:color w:val="231F20"/>
          <w:spacing w:val="-1"/>
        </w:rPr>
        <w:t xml:space="preserve"> </w:t>
      </w:r>
      <w:r>
        <w:rPr>
          <w:color w:val="231F20"/>
        </w:rPr>
        <w:t>disponovat.</w:t>
      </w:r>
    </w:p>
    <w:p w14:paraId="51A44512" w14:textId="77777777" w:rsidR="00F65BCA" w:rsidRDefault="00216117">
      <w:pPr>
        <w:pStyle w:val="Zkladntext"/>
        <w:spacing w:line="278" w:lineRule="auto"/>
        <w:ind w:left="426"/>
        <w:jc w:val="both"/>
      </w:pPr>
      <w:r>
        <w:rPr>
          <w:color w:val="231F20"/>
        </w:rPr>
        <w:t>Za překonání překážky se při vloupání do vozidla nepovažuje vniknutí do vo- zidla nezjištěným způsobem nebo vniknutí nepevnou stěnou či stropem (např. plachtovina).</w:t>
      </w:r>
    </w:p>
    <w:p w14:paraId="25FAA52C" w14:textId="77777777" w:rsidR="00F65BCA" w:rsidRDefault="00F65BCA">
      <w:pPr>
        <w:pStyle w:val="Zkladntext"/>
        <w:rPr>
          <w:sz w:val="18"/>
        </w:rPr>
      </w:pPr>
    </w:p>
    <w:p w14:paraId="1B9F5676" w14:textId="77777777" w:rsidR="00F65BCA" w:rsidRDefault="00216117">
      <w:pPr>
        <w:spacing w:before="148"/>
        <w:ind w:left="443"/>
        <w:jc w:val="both"/>
        <w:rPr>
          <w:sz w:val="24"/>
        </w:rPr>
      </w:pPr>
      <w:r>
        <w:rPr>
          <w:color w:val="231F20"/>
          <w:sz w:val="24"/>
        </w:rPr>
        <w:t>Pododdíl 7 – Pojištění „GAP Fleet“</w:t>
      </w:r>
    </w:p>
    <w:p w14:paraId="4AC4BFAA" w14:textId="77777777" w:rsidR="00F65BCA" w:rsidRDefault="00216117">
      <w:pPr>
        <w:spacing w:before="209"/>
        <w:ind w:left="428"/>
        <w:rPr>
          <w:sz w:val="15"/>
        </w:rPr>
      </w:pPr>
      <w:r>
        <w:rPr>
          <w:color w:val="FFFFFF"/>
          <w:position w:val="3"/>
          <w:sz w:val="16"/>
          <w:shd w:val="clear" w:color="auto" w:fill="808285"/>
        </w:rPr>
        <w:t xml:space="preserve">  Článek 51</w:t>
      </w:r>
      <w:r>
        <w:rPr>
          <w:color w:val="FFFFFF"/>
          <w:position w:val="3"/>
          <w:sz w:val="16"/>
        </w:rPr>
        <w:t xml:space="preserve"> </w:t>
      </w:r>
      <w:r>
        <w:rPr>
          <w:color w:val="231F20"/>
          <w:sz w:val="15"/>
        </w:rPr>
        <w:t>Úvodní ustanovení</w:t>
      </w:r>
    </w:p>
    <w:p w14:paraId="78F9AB94" w14:textId="77777777" w:rsidR="00F65BCA" w:rsidRDefault="00216117">
      <w:pPr>
        <w:pStyle w:val="Zkladntext"/>
        <w:spacing w:before="148"/>
        <w:ind w:left="426"/>
        <w:jc w:val="both"/>
      </w:pPr>
      <w:r>
        <w:rPr>
          <w:color w:val="231F20"/>
        </w:rPr>
        <w:t>Pojištění lze sjednat pro jednotlivá vozidla jako doplňkové škodové pojištění.</w:t>
      </w:r>
    </w:p>
    <w:p w14:paraId="1D385044" w14:textId="77777777" w:rsidR="00F65BCA" w:rsidRDefault="00F65BCA">
      <w:pPr>
        <w:pStyle w:val="Zkladntext"/>
        <w:spacing w:before="3"/>
        <w:rPr>
          <w:sz w:val="23"/>
        </w:rPr>
      </w:pPr>
    </w:p>
    <w:p w14:paraId="146C1227" w14:textId="77777777" w:rsidR="00F65BCA" w:rsidRDefault="00216117">
      <w:pPr>
        <w:ind w:left="428"/>
        <w:rPr>
          <w:sz w:val="15"/>
        </w:rPr>
      </w:pPr>
      <w:r>
        <w:rPr>
          <w:color w:val="FFFFFF"/>
          <w:position w:val="3"/>
          <w:sz w:val="16"/>
          <w:shd w:val="clear" w:color="auto" w:fill="808285"/>
        </w:rPr>
        <w:t xml:space="preserve">  </w:t>
      </w:r>
      <w:r>
        <w:rPr>
          <w:color w:val="FFFFFF"/>
          <w:w w:val="105"/>
          <w:position w:val="3"/>
          <w:sz w:val="16"/>
          <w:shd w:val="clear" w:color="auto" w:fill="808285"/>
        </w:rPr>
        <w:t>Článek 52</w:t>
      </w:r>
      <w:r>
        <w:rPr>
          <w:color w:val="FFFFFF"/>
          <w:w w:val="105"/>
          <w:position w:val="3"/>
          <w:sz w:val="16"/>
        </w:rPr>
        <w:t xml:space="preserve"> </w:t>
      </w:r>
      <w:r>
        <w:rPr>
          <w:color w:val="231F20"/>
          <w:w w:val="105"/>
          <w:sz w:val="15"/>
        </w:rPr>
        <w:t>Pojistná nebezpečí, rozsah pojištění</w:t>
      </w:r>
    </w:p>
    <w:p w14:paraId="110126A8"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position w:val="1"/>
          <w:sz w:val="14"/>
        </w:rPr>
        <w:t xml:space="preserve"> </w:t>
      </w:r>
      <w:r>
        <w:rPr>
          <w:color w:val="231F20"/>
        </w:rPr>
        <w:t xml:space="preserve">Není-li v pojistné smlouvě ujednáno jinak, je pojistným nebezpečím, na </w:t>
      </w:r>
      <w:r>
        <w:rPr>
          <w:color w:val="231F20"/>
          <w:spacing w:val="-5"/>
        </w:rPr>
        <w:t xml:space="preserve">které </w:t>
      </w:r>
      <w:r>
        <w:rPr>
          <w:color w:val="231F20"/>
        </w:rPr>
        <w:t>se</w:t>
      </w:r>
      <w:r>
        <w:rPr>
          <w:color w:val="231F20"/>
          <w:spacing w:val="-6"/>
        </w:rPr>
        <w:t xml:space="preserve"> </w:t>
      </w:r>
      <w:r>
        <w:rPr>
          <w:color w:val="231F20"/>
        </w:rPr>
        <w:t>pojištění</w:t>
      </w:r>
      <w:r>
        <w:rPr>
          <w:color w:val="231F20"/>
          <w:spacing w:val="-5"/>
        </w:rPr>
        <w:t xml:space="preserve"> </w:t>
      </w:r>
      <w:r>
        <w:rPr>
          <w:color w:val="231F20"/>
        </w:rPr>
        <w:t>vztahuje,</w:t>
      </w:r>
      <w:r>
        <w:rPr>
          <w:color w:val="231F20"/>
          <w:spacing w:val="-5"/>
        </w:rPr>
        <w:t xml:space="preserve"> </w:t>
      </w:r>
      <w:r>
        <w:rPr>
          <w:color w:val="231F20"/>
        </w:rPr>
        <w:t>finanční</w:t>
      </w:r>
      <w:r>
        <w:rPr>
          <w:color w:val="231F20"/>
          <w:spacing w:val="-5"/>
        </w:rPr>
        <w:t xml:space="preserve"> </w:t>
      </w:r>
      <w:r>
        <w:rPr>
          <w:color w:val="231F20"/>
        </w:rPr>
        <w:t>újma</w:t>
      </w:r>
      <w:r>
        <w:rPr>
          <w:color w:val="231F20"/>
          <w:spacing w:val="-5"/>
        </w:rPr>
        <w:t xml:space="preserve"> </w:t>
      </w:r>
      <w:r>
        <w:rPr>
          <w:color w:val="231F20"/>
        </w:rPr>
        <w:t>vzniklá</w:t>
      </w:r>
      <w:r>
        <w:rPr>
          <w:color w:val="231F20"/>
          <w:spacing w:val="-6"/>
        </w:rPr>
        <w:t xml:space="preserve"> </w:t>
      </w:r>
      <w:r>
        <w:rPr>
          <w:color w:val="231F20"/>
        </w:rPr>
        <w:t>v</w:t>
      </w:r>
      <w:r>
        <w:rPr>
          <w:color w:val="231F20"/>
          <w:spacing w:val="-5"/>
        </w:rPr>
        <w:t xml:space="preserve"> </w:t>
      </w:r>
      <w:r>
        <w:rPr>
          <w:color w:val="231F20"/>
        </w:rPr>
        <w:t>souvislosti</w:t>
      </w:r>
      <w:r>
        <w:rPr>
          <w:color w:val="231F20"/>
          <w:spacing w:val="-5"/>
        </w:rPr>
        <w:t xml:space="preserve"> </w:t>
      </w:r>
      <w:r>
        <w:rPr>
          <w:color w:val="231F20"/>
        </w:rPr>
        <w:t>se</w:t>
      </w:r>
      <w:r>
        <w:rPr>
          <w:color w:val="231F20"/>
          <w:spacing w:val="-5"/>
        </w:rPr>
        <w:t xml:space="preserve"> </w:t>
      </w:r>
      <w:r>
        <w:rPr>
          <w:color w:val="231F20"/>
        </w:rPr>
        <w:t>vznikem</w:t>
      </w:r>
      <w:r>
        <w:rPr>
          <w:color w:val="231F20"/>
          <w:spacing w:val="-5"/>
        </w:rPr>
        <w:t xml:space="preserve"> </w:t>
      </w:r>
      <w:r>
        <w:rPr>
          <w:color w:val="231F20"/>
        </w:rPr>
        <w:t>pojistné události</w:t>
      </w:r>
      <w:r>
        <w:rPr>
          <w:color w:val="231F20"/>
          <w:spacing w:val="-22"/>
        </w:rPr>
        <w:t xml:space="preserve"> </w:t>
      </w:r>
      <w:r>
        <w:rPr>
          <w:color w:val="231F20"/>
        </w:rPr>
        <w:t>hrazené</w:t>
      </w:r>
      <w:r>
        <w:rPr>
          <w:color w:val="231F20"/>
          <w:spacing w:val="-21"/>
        </w:rPr>
        <w:t xml:space="preserve"> </w:t>
      </w:r>
      <w:r>
        <w:rPr>
          <w:color w:val="231F20"/>
        </w:rPr>
        <w:t>ze</w:t>
      </w:r>
      <w:r>
        <w:rPr>
          <w:color w:val="231F20"/>
          <w:spacing w:val="-22"/>
        </w:rPr>
        <w:t xml:space="preserve"> </w:t>
      </w:r>
      <w:r>
        <w:rPr>
          <w:color w:val="231F20"/>
        </w:rPr>
        <w:t>základního</w:t>
      </w:r>
      <w:r>
        <w:rPr>
          <w:color w:val="231F20"/>
          <w:spacing w:val="-21"/>
        </w:rPr>
        <w:t xml:space="preserve"> </w:t>
      </w:r>
      <w:r>
        <w:rPr>
          <w:color w:val="231F20"/>
        </w:rPr>
        <w:t>pojištění</w:t>
      </w:r>
      <w:r>
        <w:rPr>
          <w:color w:val="231F20"/>
          <w:spacing w:val="-22"/>
        </w:rPr>
        <w:t xml:space="preserve"> </w:t>
      </w:r>
      <w:r>
        <w:rPr>
          <w:color w:val="231F20"/>
        </w:rPr>
        <w:t>při</w:t>
      </w:r>
      <w:r>
        <w:rPr>
          <w:color w:val="231F20"/>
          <w:spacing w:val="-21"/>
        </w:rPr>
        <w:t xml:space="preserve"> </w:t>
      </w:r>
      <w:r>
        <w:rPr>
          <w:color w:val="231F20"/>
        </w:rPr>
        <w:t>zničení</w:t>
      </w:r>
      <w:r>
        <w:rPr>
          <w:color w:val="231F20"/>
          <w:spacing w:val="-22"/>
        </w:rPr>
        <w:t xml:space="preserve"> </w:t>
      </w:r>
      <w:r>
        <w:rPr>
          <w:color w:val="231F20"/>
        </w:rPr>
        <w:t>nebo</w:t>
      </w:r>
      <w:r>
        <w:rPr>
          <w:color w:val="231F20"/>
          <w:spacing w:val="-21"/>
        </w:rPr>
        <w:t xml:space="preserve"> </w:t>
      </w:r>
      <w:r>
        <w:rPr>
          <w:color w:val="231F20"/>
        </w:rPr>
        <w:t>odcizení</w:t>
      </w:r>
      <w:r>
        <w:rPr>
          <w:color w:val="231F20"/>
          <w:spacing w:val="-22"/>
        </w:rPr>
        <w:t xml:space="preserve"> </w:t>
      </w:r>
      <w:r>
        <w:rPr>
          <w:color w:val="231F20"/>
        </w:rPr>
        <w:t>pojištěného vozidla, pokud nebylo vozidlo do 30 kalendářních dnů od nahlášení policii nalezeno nebo se jedná o takové poškození vozidla, kdy oprava vozidla je s</w:t>
      </w:r>
      <w:r>
        <w:rPr>
          <w:color w:val="231F20"/>
          <w:spacing w:val="-5"/>
        </w:rPr>
        <w:t xml:space="preserve"> </w:t>
      </w:r>
      <w:r>
        <w:rPr>
          <w:color w:val="231F20"/>
        </w:rPr>
        <w:t>ohledem</w:t>
      </w:r>
      <w:r>
        <w:rPr>
          <w:color w:val="231F20"/>
          <w:spacing w:val="-5"/>
        </w:rPr>
        <w:t xml:space="preserve"> </w:t>
      </w:r>
      <w:r>
        <w:rPr>
          <w:color w:val="231F20"/>
        </w:rPr>
        <w:t>na</w:t>
      </w:r>
      <w:r>
        <w:rPr>
          <w:color w:val="231F20"/>
          <w:spacing w:val="-4"/>
        </w:rPr>
        <w:t xml:space="preserve"> </w:t>
      </w:r>
      <w:r>
        <w:rPr>
          <w:color w:val="231F20"/>
        </w:rPr>
        <w:t>technologii</w:t>
      </w:r>
      <w:r>
        <w:rPr>
          <w:color w:val="231F20"/>
          <w:spacing w:val="-5"/>
        </w:rPr>
        <w:t xml:space="preserve"> </w:t>
      </w:r>
      <w:r>
        <w:rPr>
          <w:color w:val="231F20"/>
        </w:rPr>
        <w:t>opravy</w:t>
      </w:r>
      <w:r>
        <w:rPr>
          <w:color w:val="231F20"/>
          <w:spacing w:val="-4"/>
        </w:rPr>
        <w:t xml:space="preserve"> </w:t>
      </w:r>
      <w:r>
        <w:rPr>
          <w:color w:val="231F20"/>
          <w:spacing w:val="2"/>
        </w:rPr>
        <w:t>výrobce</w:t>
      </w:r>
      <w:r>
        <w:rPr>
          <w:color w:val="231F20"/>
          <w:spacing w:val="-5"/>
        </w:rPr>
        <w:t xml:space="preserve"> </w:t>
      </w:r>
      <w:r>
        <w:rPr>
          <w:color w:val="231F20"/>
        </w:rPr>
        <w:t>neproveditelná</w:t>
      </w:r>
      <w:r>
        <w:rPr>
          <w:color w:val="231F20"/>
          <w:spacing w:val="-4"/>
        </w:rPr>
        <w:t xml:space="preserve"> </w:t>
      </w:r>
      <w:r>
        <w:rPr>
          <w:color w:val="231F20"/>
        </w:rPr>
        <w:t>nebo</w:t>
      </w:r>
      <w:r>
        <w:rPr>
          <w:color w:val="231F20"/>
          <w:spacing w:val="-5"/>
        </w:rPr>
        <w:t xml:space="preserve"> </w:t>
      </w:r>
      <w:r>
        <w:rPr>
          <w:color w:val="231F20"/>
        </w:rPr>
        <w:t>kdy</w:t>
      </w:r>
      <w:r>
        <w:rPr>
          <w:color w:val="231F20"/>
          <w:spacing w:val="-4"/>
        </w:rPr>
        <w:t xml:space="preserve"> </w:t>
      </w:r>
      <w:r>
        <w:rPr>
          <w:color w:val="231F20"/>
        </w:rPr>
        <w:t>přiměře- né</w:t>
      </w:r>
      <w:r>
        <w:rPr>
          <w:color w:val="231F20"/>
          <w:spacing w:val="-15"/>
        </w:rPr>
        <w:t xml:space="preserve"> </w:t>
      </w:r>
      <w:r>
        <w:rPr>
          <w:color w:val="231F20"/>
        </w:rPr>
        <w:t>náklady</w:t>
      </w:r>
      <w:r>
        <w:rPr>
          <w:color w:val="231F20"/>
          <w:spacing w:val="-15"/>
        </w:rPr>
        <w:t xml:space="preserve"> </w:t>
      </w:r>
      <w:r>
        <w:rPr>
          <w:color w:val="231F20"/>
        </w:rPr>
        <w:t>na</w:t>
      </w:r>
      <w:r>
        <w:rPr>
          <w:color w:val="231F20"/>
          <w:spacing w:val="-14"/>
        </w:rPr>
        <w:t xml:space="preserve"> </w:t>
      </w:r>
      <w:r>
        <w:rPr>
          <w:color w:val="231F20"/>
        </w:rPr>
        <w:t>opravu</w:t>
      </w:r>
      <w:r>
        <w:rPr>
          <w:color w:val="231F20"/>
          <w:spacing w:val="-15"/>
        </w:rPr>
        <w:t xml:space="preserve"> </w:t>
      </w:r>
      <w:r>
        <w:rPr>
          <w:color w:val="231F20"/>
        </w:rPr>
        <w:t>vozidla</w:t>
      </w:r>
      <w:r>
        <w:rPr>
          <w:color w:val="231F20"/>
          <w:spacing w:val="-14"/>
        </w:rPr>
        <w:t xml:space="preserve"> </w:t>
      </w:r>
      <w:r>
        <w:rPr>
          <w:color w:val="231F20"/>
        </w:rPr>
        <w:t>v</w:t>
      </w:r>
      <w:r>
        <w:rPr>
          <w:color w:val="231F20"/>
          <w:spacing w:val="-15"/>
        </w:rPr>
        <w:t xml:space="preserve"> </w:t>
      </w:r>
      <w:r>
        <w:rPr>
          <w:color w:val="231F20"/>
        </w:rPr>
        <w:t>autorizovaném</w:t>
      </w:r>
      <w:r>
        <w:rPr>
          <w:color w:val="231F20"/>
          <w:spacing w:val="-14"/>
        </w:rPr>
        <w:t xml:space="preserve"> </w:t>
      </w:r>
      <w:r>
        <w:rPr>
          <w:color w:val="231F20"/>
        </w:rPr>
        <w:t>servisu</w:t>
      </w:r>
      <w:r>
        <w:rPr>
          <w:color w:val="231F20"/>
          <w:spacing w:val="-15"/>
        </w:rPr>
        <w:t xml:space="preserve"> </w:t>
      </w:r>
      <w:r>
        <w:rPr>
          <w:color w:val="231F20"/>
        </w:rPr>
        <w:t>jsou</w:t>
      </w:r>
      <w:r>
        <w:rPr>
          <w:color w:val="231F20"/>
          <w:spacing w:val="-14"/>
        </w:rPr>
        <w:t xml:space="preserve"> </w:t>
      </w:r>
      <w:r>
        <w:rPr>
          <w:color w:val="231F20"/>
        </w:rPr>
        <w:t>rovny</w:t>
      </w:r>
      <w:r>
        <w:rPr>
          <w:color w:val="231F20"/>
          <w:spacing w:val="-15"/>
        </w:rPr>
        <w:t xml:space="preserve"> </w:t>
      </w:r>
      <w:r>
        <w:rPr>
          <w:color w:val="231F20"/>
        </w:rPr>
        <w:t>nebo</w:t>
      </w:r>
      <w:r>
        <w:rPr>
          <w:color w:val="231F20"/>
          <w:spacing w:val="-14"/>
        </w:rPr>
        <w:t xml:space="preserve"> </w:t>
      </w:r>
      <w:r>
        <w:rPr>
          <w:color w:val="231F20"/>
          <w:spacing w:val="-4"/>
        </w:rPr>
        <w:t xml:space="preserve">převy- </w:t>
      </w:r>
      <w:r>
        <w:rPr>
          <w:color w:val="231F20"/>
        </w:rPr>
        <w:t>šují</w:t>
      </w:r>
      <w:r>
        <w:rPr>
          <w:color w:val="231F20"/>
          <w:spacing w:val="-12"/>
        </w:rPr>
        <w:t xml:space="preserve"> </w:t>
      </w:r>
      <w:r>
        <w:rPr>
          <w:color w:val="231F20"/>
        </w:rPr>
        <w:t>70</w:t>
      </w:r>
      <w:r>
        <w:rPr>
          <w:color w:val="231F20"/>
          <w:spacing w:val="-12"/>
        </w:rPr>
        <w:t xml:space="preserve"> </w:t>
      </w:r>
      <w:r>
        <w:rPr>
          <w:color w:val="231F20"/>
        </w:rPr>
        <w:t>%</w:t>
      </w:r>
      <w:r>
        <w:rPr>
          <w:color w:val="231F20"/>
          <w:spacing w:val="-12"/>
        </w:rPr>
        <w:t xml:space="preserve"> </w:t>
      </w:r>
      <w:r>
        <w:rPr>
          <w:color w:val="231F20"/>
        </w:rPr>
        <w:t>tržní</w:t>
      </w:r>
      <w:r>
        <w:rPr>
          <w:color w:val="231F20"/>
          <w:spacing w:val="-11"/>
        </w:rPr>
        <w:t xml:space="preserve"> </w:t>
      </w:r>
      <w:r>
        <w:rPr>
          <w:color w:val="231F20"/>
        </w:rPr>
        <w:t>hodnoty,</w:t>
      </w:r>
      <w:r>
        <w:rPr>
          <w:color w:val="231F20"/>
          <w:spacing w:val="-12"/>
        </w:rPr>
        <w:t xml:space="preserve"> </w:t>
      </w:r>
      <w:r>
        <w:rPr>
          <w:color w:val="231F20"/>
        </w:rPr>
        <w:t>kterou</w:t>
      </w:r>
      <w:r>
        <w:rPr>
          <w:color w:val="231F20"/>
          <w:spacing w:val="-12"/>
        </w:rPr>
        <w:t xml:space="preserve"> </w:t>
      </w:r>
      <w:r>
        <w:rPr>
          <w:color w:val="231F20"/>
        </w:rPr>
        <w:t>mělo</w:t>
      </w:r>
      <w:r>
        <w:rPr>
          <w:color w:val="231F20"/>
          <w:spacing w:val="-12"/>
        </w:rPr>
        <w:t xml:space="preserve"> </w:t>
      </w:r>
      <w:r>
        <w:rPr>
          <w:color w:val="231F20"/>
        </w:rPr>
        <w:t>bezprostředně</w:t>
      </w:r>
      <w:r>
        <w:rPr>
          <w:color w:val="231F20"/>
          <w:spacing w:val="-11"/>
        </w:rPr>
        <w:t xml:space="preserve"> </w:t>
      </w:r>
      <w:r>
        <w:rPr>
          <w:color w:val="231F20"/>
        </w:rPr>
        <w:t>před</w:t>
      </w:r>
      <w:r>
        <w:rPr>
          <w:color w:val="231F20"/>
          <w:spacing w:val="-12"/>
        </w:rPr>
        <w:t xml:space="preserve"> </w:t>
      </w:r>
      <w:r>
        <w:rPr>
          <w:color w:val="231F20"/>
        </w:rPr>
        <w:t>pojistnou</w:t>
      </w:r>
      <w:r>
        <w:rPr>
          <w:color w:val="231F20"/>
          <w:spacing w:val="-12"/>
        </w:rPr>
        <w:t xml:space="preserve"> </w:t>
      </w:r>
      <w:r>
        <w:rPr>
          <w:color w:val="231F20"/>
        </w:rPr>
        <w:t>událostí.</w:t>
      </w:r>
    </w:p>
    <w:p w14:paraId="7434AF41" w14:textId="77777777" w:rsidR="00F65BCA" w:rsidRDefault="00216117">
      <w:pPr>
        <w:pStyle w:val="Zkladntext"/>
        <w:spacing w:line="172" w:lineRule="exact"/>
        <w:ind w:left="428"/>
        <w:jc w:val="both"/>
      </w:pPr>
      <w:r>
        <w:rPr>
          <w:color w:val="231F20"/>
          <w:position w:val="1"/>
          <w:sz w:val="14"/>
          <w:shd w:val="clear" w:color="auto" w:fill="D1D3D4"/>
        </w:rPr>
        <w:t xml:space="preserve">  2</w:t>
      </w:r>
      <w:r>
        <w:rPr>
          <w:color w:val="231F20"/>
          <w:position w:val="1"/>
          <w:sz w:val="14"/>
        </w:rPr>
        <w:t xml:space="preserve"> </w:t>
      </w:r>
      <w:r>
        <w:rPr>
          <w:color w:val="231F20"/>
        </w:rPr>
        <w:t>Pojištění lze sjednat v následujících variantách:</w:t>
      </w:r>
    </w:p>
    <w:p w14:paraId="2434419B" w14:textId="77777777" w:rsidR="00F65BCA" w:rsidRDefault="00216117">
      <w:pPr>
        <w:pStyle w:val="Odstavecseseznamem"/>
        <w:numPr>
          <w:ilvl w:val="1"/>
          <w:numId w:val="95"/>
        </w:numPr>
        <w:tabs>
          <w:tab w:val="left" w:pos="881"/>
        </w:tabs>
        <w:spacing w:before="28"/>
        <w:jc w:val="both"/>
        <w:rPr>
          <w:sz w:val="15"/>
        </w:rPr>
      </w:pPr>
      <w:r>
        <w:rPr>
          <w:color w:val="231F20"/>
          <w:sz w:val="15"/>
        </w:rPr>
        <w:t>„GAP Fleet – Nová</w:t>
      </w:r>
      <w:r>
        <w:rPr>
          <w:color w:val="231F20"/>
          <w:spacing w:val="2"/>
          <w:sz w:val="15"/>
        </w:rPr>
        <w:t xml:space="preserve"> </w:t>
      </w:r>
      <w:r>
        <w:rPr>
          <w:color w:val="231F20"/>
          <w:sz w:val="15"/>
        </w:rPr>
        <w:t>cena“</w:t>
      </w:r>
    </w:p>
    <w:p w14:paraId="03C5ADDB" w14:textId="77777777" w:rsidR="00F65BCA" w:rsidRDefault="00216117">
      <w:pPr>
        <w:pStyle w:val="Odstavecseseznamem"/>
        <w:numPr>
          <w:ilvl w:val="1"/>
          <w:numId w:val="95"/>
        </w:numPr>
        <w:tabs>
          <w:tab w:val="left" w:pos="881"/>
        </w:tabs>
        <w:spacing w:before="27"/>
        <w:jc w:val="both"/>
        <w:rPr>
          <w:sz w:val="15"/>
        </w:rPr>
      </w:pPr>
      <w:r>
        <w:rPr>
          <w:color w:val="231F20"/>
          <w:sz w:val="15"/>
        </w:rPr>
        <w:t>„GAP Fleet – Účetní</w:t>
      </w:r>
      <w:r>
        <w:rPr>
          <w:color w:val="231F20"/>
          <w:spacing w:val="3"/>
          <w:sz w:val="15"/>
        </w:rPr>
        <w:t xml:space="preserve"> </w:t>
      </w:r>
      <w:r>
        <w:rPr>
          <w:color w:val="231F20"/>
          <w:sz w:val="15"/>
        </w:rPr>
        <w:t>hodnota“</w:t>
      </w:r>
    </w:p>
    <w:p w14:paraId="51AB562B" w14:textId="77777777" w:rsidR="00F65BCA" w:rsidRDefault="00216117">
      <w:pPr>
        <w:pStyle w:val="Zkladntext"/>
        <w:spacing w:before="27" w:line="278" w:lineRule="auto"/>
        <w:ind w:left="710" w:hanging="283"/>
        <w:jc w:val="both"/>
      </w:pPr>
      <w:r>
        <w:rPr>
          <w:color w:val="231F20"/>
          <w:position w:val="1"/>
          <w:sz w:val="14"/>
          <w:shd w:val="clear" w:color="auto" w:fill="D1D3D4"/>
        </w:rPr>
        <w:t xml:space="preserve">  3</w:t>
      </w:r>
      <w:r>
        <w:rPr>
          <w:color w:val="231F20"/>
          <w:position w:val="1"/>
          <w:sz w:val="14"/>
        </w:rPr>
        <w:t xml:space="preserve"> </w:t>
      </w:r>
      <w:r>
        <w:rPr>
          <w:color w:val="231F20"/>
        </w:rPr>
        <w:t>Varianta pojištění „GAP Fleet – Nová cena“ lze sjednat pouze pro nové vozidlo.</w:t>
      </w:r>
    </w:p>
    <w:p w14:paraId="35157E86" w14:textId="77777777" w:rsidR="00F65BCA" w:rsidRDefault="00F65BCA">
      <w:pPr>
        <w:pStyle w:val="Zkladntext"/>
        <w:spacing w:before="11"/>
        <w:rPr>
          <w:sz w:val="20"/>
        </w:rPr>
      </w:pPr>
    </w:p>
    <w:p w14:paraId="14A3986C" w14:textId="77777777" w:rsidR="00F65BCA" w:rsidRDefault="00216117">
      <w:pPr>
        <w:ind w:left="428"/>
        <w:rPr>
          <w:sz w:val="15"/>
        </w:rPr>
      </w:pPr>
      <w:r>
        <w:rPr>
          <w:color w:val="FFFFFF"/>
          <w:position w:val="3"/>
          <w:sz w:val="16"/>
          <w:shd w:val="clear" w:color="auto" w:fill="808285"/>
        </w:rPr>
        <w:t xml:space="preserve">  </w:t>
      </w:r>
      <w:r>
        <w:rPr>
          <w:color w:val="FFFFFF"/>
          <w:w w:val="105"/>
          <w:position w:val="3"/>
          <w:sz w:val="16"/>
          <w:shd w:val="clear" w:color="auto" w:fill="808285"/>
        </w:rPr>
        <w:t>Článek 53</w:t>
      </w:r>
      <w:r>
        <w:rPr>
          <w:color w:val="FFFFFF"/>
          <w:w w:val="105"/>
          <w:position w:val="3"/>
          <w:sz w:val="16"/>
        </w:rPr>
        <w:t xml:space="preserve"> </w:t>
      </w:r>
      <w:r>
        <w:rPr>
          <w:color w:val="231F20"/>
          <w:w w:val="105"/>
          <w:sz w:val="15"/>
        </w:rPr>
        <w:t>Pojistné období, počátek a konec pojištění</w:t>
      </w:r>
    </w:p>
    <w:p w14:paraId="631B347C"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16"/>
          <w:position w:val="1"/>
          <w:sz w:val="14"/>
        </w:rPr>
        <w:t xml:space="preserve"> </w:t>
      </w:r>
      <w:r>
        <w:rPr>
          <w:color w:val="231F20"/>
        </w:rPr>
        <w:t>Není-li</w:t>
      </w:r>
      <w:r>
        <w:rPr>
          <w:color w:val="231F20"/>
          <w:spacing w:val="-20"/>
        </w:rPr>
        <w:t xml:space="preserve"> </w:t>
      </w:r>
      <w:r>
        <w:rPr>
          <w:color w:val="231F20"/>
        </w:rPr>
        <w:t>v</w:t>
      </w:r>
      <w:r>
        <w:rPr>
          <w:color w:val="231F20"/>
          <w:spacing w:val="-20"/>
        </w:rPr>
        <w:t xml:space="preserve"> </w:t>
      </w:r>
      <w:r>
        <w:rPr>
          <w:color w:val="231F20"/>
        </w:rPr>
        <w:t>pojistné</w:t>
      </w:r>
      <w:r>
        <w:rPr>
          <w:color w:val="231F20"/>
          <w:spacing w:val="-21"/>
        </w:rPr>
        <w:t xml:space="preserve"> </w:t>
      </w:r>
      <w:r>
        <w:rPr>
          <w:color w:val="231F20"/>
        </w:rPr>
        <w:t>smlouvě</w:t>
      </w:r>
      <w:r>
        <w:rPr>
          <w:color w:val="231F20"/>
          <w:spacing w:val="-20"/>
        </w:rPr>
        <w:t xml:space="preserve"> </w:t>
      </w:r>
      <w:r>
        <w:rPr>
          <w:color w:val="231F20"/>
        </w:rPr>
        <w:t>uvedeno</w:t>
      </w:r>
      <w:r>
        <w:rPr>
          <w:color w:val="231F20"/>
          <w:spacing w:val="-20"/>
        </w:rPr>
        <w:t xml:space="preserve"> </w:t>
      </w:r>
      <w:r>
        <w:rPr>
          <w:color w:val="231F20"/>
        </w:rPr>
        <w:t>jinak,</w:t>
      </w:r>
      <w:r>
        <w:rPr>
          <w:color w:val="231F20"/>
          <w:spacing w:val="-20"/>
        </w:rPr>
        <w:t xml:space="preserve"> </w:t>
      </w:r>
      <w:r>
        <w:rPr>
          <w:color w:val="231F20"/>
        </w:rPr>
        <w:t>sjednává</w:t>
      </w:r>
      <w:r>
        <w:rPr>
          <w:color w:val="231F20"/>
          <w:spacing w:val="-20"/>
        </w:rPr>
        <w:t xml:space="preserve"> </w:t>
      </w:r>
      <w:r>
        <w:rPr>
          <w:color w:val="231F20"/>
        </w:rPr>
        <w:t>se</w:t>
      </w:r>
      <w:r>
        <w:rPr>
          <w:color w:val="231F20"/>
          <w:spacing w:val="-20"/>
        </w:rPr>
        <w:t xml:space="preserve"> </w:t>
      </w:r>
      <w:r>
        <w:rPr>
          <w:color w:val="231F20"/>
        </w:rPr>
        <w:t>pojištění</w:t>
      </w:r>
      <w:r>
        <w:rPr>
          <w:color w:val="231F20"/>
          <w:spacing w:val="-21"/>
        </w:rPr>
        <w:t xml:space="preserve"> </w:t>
      </w:r>
      <w:r>
        <w:rPr>
          <w:color w:val="231F20"/>
        </w:rPr>
        <w:t>na</w:t>
      </w:r>
      <w:r>
        <w:rPr>
          <w:color w:val="231F20"/>
          <w:spacing w:val="-20"/>
        </w:rPr>
        <w:t xml:space="preserve"> </w:t>
      </w:r>
      <w:r>
        <w:rPr>
          <w:color w:val="231F20"/>
        </w:rPr>
        <w:t>dobu</w:t>
      </w:r>
      <w:r>
        <w:rPr>
          <w:color w:val="231F20"/>
          <w:spacing w:val="-20"/>
        </w:rPr>
        <w:t xml:space="preserve"> </w:t>
      </w:r>
      <w:r>
        <w:rPr>
          <w:color w:val="231F20"/>
          <w:spacing w:val="-3"/>
        </w:rPr>
        <w:t xml:space="preserve">určitou, </w:t>
      </w:r>
      <w:r>
        <w:rPr>
          <w:color w:val="231F20"/>
        </w:rPr>
        <w:t>pro pojištění „GAP Fleet – Nová cena“ v maximální délce 48 kalendářních měsíců.</w:t>
      </w:r>
      <w:r>
        <w:rPr>
          <w:color w:val="231F20"/>
          <w:spacing w:val="-5"/>
        </w:rPr>
        <w:t xml:space="preserve"> </w:t>
      </w:r>
      <w:r>
        <w:rPr>
          <w:color w:val="231F20"/>
        </w:rPr>
        <w:t>Doba</w:t>
      </w:r>
      <w:r>
        <w:rPr>
          <w:color w:val="231F20"/>
          <w:spacing w:val="-4"/>
        </w:rPr>
        <w:t xml:space="preserve"> </w:t>
      </w:r>
      <w:r>
        <w:rPr>
          <w:color w:val="231F20"/>
        </w:rPr>
        <w:t>trvání</w:t>
      </w:r>
      <w:r>
        <w:rPr>
          <w:color w:val="231F20"/>
          <w:spacing w:val="-4"/>
        </w:rPr>
        <w:t xml:space="preserve"> </w:t>
      </w:r>
      <w:r>
        <w:rPr>
          <w:color w:val="231F20"/>
        </w:rPr>
        <w:t>pojištění</w:t>
      </w:r>
      <w:r>
        <w:rPr>
          <w:color w:val="231F20"/>
          <w:spacing w:val="-4"/>
        </w:rPr>
        <w:t xml:space="preserve"> </w:t>
      </w:r>
      <w:r>
        <w:rPr>
          <w:color w:val="231F20"/>
        </w:rPr>
        <w:t>je</w:t>
      </w:r>
      <w:r>
        <w:rPr>
          <w:color w:val="231F20"/>
          <w:spacing w:val="-5"/>
        </w:rPr>
        <w:t xml:space="preserve"> </w:t>
      </w:r>
      <w:r>
        <w:rPr>
          <w:color w:val="231F20"/>
        </w:rPr>
        <w:t>uvedena</w:t>
      </w:r>
      <w:r>
        <w:rPr>
          <w:color w:val="231F20"/>
          <w:spacing w:val="-4"/>
        </w:rPr>
        <w:t xml:space="preserve"> </w:t>
      </w:r>
      <w:r>
        <w:rPr>
          <w:color w:val="231F20"/>
        </w:rPr>
        <w:t>v</w:t>
      </w:r>
      <w:r>
        <w:rPr>
          <w:color w:val="231F20"/>
          <w:spacing w:val="-4"/>
        </w:rPr>
        <w:t xml:space="preserve"> </w:t>
      </w:r>
      <w:r>
        <w:rPr>
          <w:color w:val="231F20"/>
        </w:rPr>
        <w:t>seznamu</w:t>
      </w:r>
      <w:r>
        <w:rPr>
          <w:color w:val="231F20"/>
          <w:spacing w:val="-4"/>
        </w:rPr>
        <w:t xml:space="preserve"> </w:t>
      </w:r>
      <w:r>
        <w:rPr>
          <w:color w:val="231F20"/>
        </w:rPr>
        <w:t>vozidel.</w:t>
      </w:r>
    </w:p>
    <w:p w14:paraId="25B95D4E"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20"/>
          <w:position w:val="1"/>
          <w:sz w:val="14"/>
        </w:rPr>
        <w:t xml:space="preserve"> </w:t>
      </w:r>
      <w:r>
        <w:rPr>
          <w:color w:val="231F20"/>
        </w:rPr>
        <w:t>Pojištění</w:t>
      </w:r>
      <w:r>
        <w:rPr>
          <w:color w:val="231F20"/>
          <w:spacing w:val="-9"/>
        </w:rPr>
        <w:t xml:space="preserve"> </w:t>
      </w:r>
      <w:r>
        <w:rPr>
          <w:color w:val="231F20"/>
        </w:rPr>
        <w:t>zaniká</w:t>
      </w:r>
      <w:r>
        <w:rPr>
          <w:color w:val="231F20"/>
          <w:spacing w:val="-8"/>
        </w:rPr>
        <w:t xml:space="preserve"> </w:t>
      </w:r>
      <w:r>
        <w:rPr>
          <w:color w:val="231F20"/>
        </w:rPr>
        <w:t>dle</w:t>
      </w:r>
      <w:r>
        <w:rPr>
          <w:color w:val="231F20"/>
          <w:spacing w:val="-9"/>
        </w:rPr>
        <w:t xml:space="preserve"> </w:t>
      </w:r>
      <w:r>
        <w:rPr>
          <w:color w:val="231F20"/>
        </w:rPr>
        <w:t>příslušné</w:t>
      </w:r>
      <w:r>
        <w:rPr>
          <w:color w:val="231F20"/>
          <w:spacing w:val="-8"/>
        </w:rPr>
        <w:t xml:space="preserve"> </w:t>
      </w:r>
      <w:r>
        <w:rPr>
          <w:color w:val="231F20"/>
        </w:rPr>
        <w:t>obecné</w:t>
      </w:r>
      <w:r>
        <w:rPr>
          <w:color w:val="231F20"/>
          <w:spacing w:val="-9"/>
        </w:rPr>
        <w:t xml:space="preserve"> </w:t>
      </w:r>
      <w:r>
        <w:rPr>
          <w:color w:val="231F20"/>
        </w:rPr>
        <w:t>právní</w:t>
      </w:r>
      <w:r>
        <w:rPr>
          <w:color w:val="231F20"/>
          <w:spacing w:val="-9"/>
        </w:rPr>
        <w:t xml:space="preserve"> </w:t>
      </w:r>
      <w:r>
        <w:rPr>
          <w:color w:val="231F20"/>
        </w:rPr>
        <w:t>úpravy</w:t>
      </w:r>
      <w:r>
        <w:rPr>
          <w:color w:val="231F20"/>
          <w:spacing w:val="-8"/>
        </w:rPr>
        <w:t xml:space="preserve"> </w:t>
      </w:r>
      <w:r>
        <w:rPr>
          <w:color w:val="231F20"/>
        </w:rPr>
        <w:t>a</w:t>
      </w:r>
      <w:r>
        <w:rPr>
          <w:color w:val="231F20"/>
          <w:spacing w:val="-9"/>
        </w:rPr>
        <w:t xml:space="preserve"> </w:t>
      </w:r>
      <w:r>
        <w:rPr>
          <w:color w:val="231F20"/>
        </w:rPr>
        <w:t>též</w:t>
      </w:r>
      <w:r>
        <w:rPr>
          <w:color w:val="231F20"/>
          <w:spacing w:val="-8"/>
        </w:rPr>
        <w:t xml:space="preserve"> </w:t>
      </w:r>
      <w:r>
        <w:rPr>
          <w:color w:val="231F20"/>
        </w:rPr>
        <w:t>výplatou</w:t>
      </w:r>
      <w:r>
        <w:rPr>
          <w:color w:val="231F20"/>
          <w:spacing w:val="-9"/>
        </w:rPr>
        <w:t xml:space="preserve"> </w:t>
      </w:r>
      <w:r>
        <w:rPr>
          <w:color w:val="231F20"/>
        </w:rPr>
        <w:t>pojistného plnění z tohoto pojištění či zánikem základního</w:t>
      </w:r>
      <w:r>
        <w:rPr>
          <w:color w:val="231F20"/>
          <w:spacing w:val="-28"/>
        </w:rPr>
        <w:t xml:space="preserve"> </w:t>
      </w:r>
      <w:r>
        <w:rPr>
          <w:color w:val="231F20"/>
        </w:rPr>
        <w:t>pojištění.</w:t>
      </w:r>
    </w:p>
    <w:p w14:paraId="533D2E29" w14:textId="77777777" w:rsidR="00F65BCA" w:rsidRDefault="00F65BCA">
      <w:pPr>
        <w:pStyle w:val="Zkladntext"/>
        <w:spacing w:before="9"/>
        <w:rPr>
          <w:sz w:val="20"/>
        </w:rPr>
      </w:pPr>
    </w:p>
    <w:p w14:paraId="6D20B6E7" w14:textId="77777777" w:rsidR="00F65BCA" w:rsidRDefault="00216117">
      <w:pPr>
        <w:ind w:left="428"/>
        <w:rPr>
          <w:sz w:val="15"/>
        </w:rPr>
      </w:pPr>
      <w:r>
        <w:rPr>
          <w:color w:val="FFFFFF"/>
          <w:position w:val="3"/>
          <w:sz w:val="16"/>
          <w:shd w:val="clear" w:color="auto" w:fill="808285"/>
        </w:rPr>
        <w:t xml:space="preserve">  </w:t>
      </w:r>
      <w:r>
        <w:rPr>
          <w:color w:val="FFFFFF"/>
          <w:w w:val="105"/>
          <w:position w:val="3"/>
          <w:sz w:val="16"/>
          <w:shd w:val="clear" w:color="auto" w:fill="808285"/>
        </w:rPr>
        <w:t>Článek 54</w:t>
      </w:r>
      <w:r>
        <w:rPr>
          <w:color w:val="FFFFFF"/>
          <w:w w:val="105"/>
          <w:position w:val="3"/>
          <w:sz w:val="16"/>
        </w:rPr>
        <w:t xml:space="preserve"> </w:t>
      </w:r>
      <w:r>
        <w:rPr>
          <w:color w:val="231F20"/>
          <w:w w:val="105"/>
          <w:sz w:val="15"/>
        </w:rPr>
        <w:t>Předmět pojištění</w:t>
      </w:r>
    </w:p>
    <w:p w14:paraId="1B15BE39" w14:textId="77777777" w:rsidR="00F65BCA" w:rsidRDefault="00216117">
      <w:pPr>
        <w:pStyle w:val="Zkladntext"/>
        <w:spacing w:before="148" w:line="278" w:lineRule="auto"/>
        <w:ind w:left="426"/>
        <w:jc w:val="both"/>
      </w:pPr>
      <w:r>
        <w:rPr>
          <w:color w:val="231F20"/>
        </w:rPr>
        <w:t>Pojištění</w:t>
      </w:r>
      <w:r>
        <w:rPr>
          <w:color w:val="231F20"/>
          <w:spacing w:val="-24"/>
        </w:rPr>
        <w:t xml:space="preserve"> </w:t>
      </w:r>
      <w:r>
        <w:rPr>
          <w:color w:val="231F20"/>
        </w:rPr>
        <w:t>se</w:t>
      </w:r>
      <w:r>
        <w:rPr>
          <w:color w:val="231F20"/>
          <w:spacing w:val="-24"/>
        </w:rPr>
        <w:t xml:space="preserve"> </w:t>
      </w:r>
      <w:r>
        <w:rPr>
          <w:color w:val="231F20"/>
        </w:rPr>
        <w:t>vztahuje</w:t>
      </w:r>
      <w:r>
        <w:rPr>
          <w:color w:val="231F20"/>
          <w:spacing w:val="-23"/>
        </w:rPr>
        <w:t xml:space="preserve"> </w:t>
      </w:r>
      <w:r>
        <w:rPr>
          <w:color w:val="231F20"/>
        </w:rPr>
        <w:t>na</w:t>
      </w:r>
      <w:r>
        <w:rPr>
          <w:color w:val="231F20"/>
          <w:spacing w:val="-24"/>
        </w:rPr>
        <w:t xml:space="preserve"> </w:t>
      </w:r>
      <w:r>
        <w:rPr>
          <w:color w:val="231F20"/>
        </w:rPr>
        <w:t>vozidlo,</w:t>
      </w:r>
      <w:r>
        <w:rPr>
          <w:color w:val="231F20"/>
          <w:spacing w:val="-23"/>
        </w:rPr>
        <w:t xml:space="preserve"> </w:t>
      </w:r>
      <w:r>
        <w:rPr>
          <w:color w:val="231F20"/>
        </w:rPr>
        <w:t>jeho</w:t>
      </w:r>
      <w:r>
        <w:rPr>
          <w:color w:val="231F20"/>
          <w:spacing w:val="-24"/>
        </w:rPr>
        <w:t xml:space="preserve"> </w:t>
      </w:r>
      <w:r>
        <w:rPr>
          <w:color w:val="231F20"/>
        </w:rPr>
        <w:t>části</w:t>
      </w:r>
      <w:r>
        <w:rPr>
          <w:color w:val="231F20"/>
          <w:spacing w:val="-24"/>
        </w:rPr>
        <w:t xml:space="preserve"> </w:t>
      </w:r>
      <w:r>
        <w:rPr>
          <w:color w:val="231F20"/>
        </w:rPr>
        <w:t>a</w:t>
      </w:r>
      <w:r>
        <w:rPr>
          <w:color w:val="231F20"/>
          <w:spacing w:val="-23"/>
        </w:rPr>
        <w:t xml:space="preserve"> </w:t>
      </w:r>
      <w:r>
        <w:rPr>
          <w:color w:val="231F20"/>
        </w:rPr>
        <w:t>standardní,</w:t>
      </w:r>
      <w:r>
        <w:rPr>
          <w:color w:val="231F20"/>
          <w:spacing w:val="-24"/>
        </w:rPr>
        <w:t xml:space="preserve"> </w:t>
      </w:r>
      <w:r>
        <w:rPr>
          <w:color w:val="231F20"/>
        </w:rPr>
        <w:t>doplňkovou</w:t>
      </w:r>
      <w:r>
        <w:rPr>
          <w:color w:val="231F20"/>
          <w:spacing w:val="-23"/>
        </w:rPr>
        <w:t xml:space="preserve"> </w:t>
      </w:r>
      <w:r>
        <w:rPr>
          <w:color w:val="231F20"/>
        </w:rPr>
        <w:t>a</w:t>
      </w:r>
      <w:r>
        <w:rPr>
          <w:color w:val="231F20"/>
          <w:spacing w:val="-24"/>
        </w:rPr>
        <w:t xml:space="preserve"> </w:t>
      </w:r>
      <w:r>
        <w:rPr>
          <w:color w:val="231F20"/>
        </w:rPr>
        <w:t>ostatní</w:t>
      </w:r>
      <w:r>
        <w:rPr>
          <w:color w:val="231F20"/>
          <w:spacing w:val="-24"/>
        </w:rPr>
        <w:t xml:space="preserve"> </w:t>
      </w:r>
      <w:r>
        <w:rPr>
          <w:color w:val="231F20"/>
          <w:spacing w:val="-3"/>
        </w:rPr>
        <w:t xml:space="preserve">výba- </w:t>
      </w:r>
      <w:r>
        <w:rPr>
          <w:color w:val="231F20"/>
        </w:rPr>
        <w:t>vu, která je předmětem základního</w:t>
      </w:r>
      <w:r>
        <w:rPr>
          <w:color w:val="231F20"/>
          <w:spacing w:val="-10"/>
        </w:rPr>
        <w:t xml:space="preserve"> </w:t>
      </w:r>
      <w:r>
        <w:rPr>
          <w:color w:val="231F20"/>
        </w:rPr>
        <w:t>pojištění.</w:t>
      </w:r>
    </w:p>
    <w:p w14:paraId="2C2F3F64" w14:textId="77777777" w:rsidR="00F65BCA" w:rsidRDefault="00F65BCA">
      <w:pPr>
        <w:pStyle w:val="Zkladntext"/>
        <w:spacing w:before="10"/>
        <w:rPr>
          <w:sz w:val="20"/>
        </w:rPr>
      </w:pPr>
    </w:p>
    <w:p w14:paraId="2B9F9906" w14:textId="77777777" w:rsidR="00F65BCA" w:rsidRDefault="00216117">
      <w:pPr>
        <w:ind w:left="428"/>
        <w:rPr>
          <w:sz w:val="15"/>
        </w:rPr>
      </w:pPr>
      <w:r>
        <w:rPr>
          <w:color w:val="FFFFFF"/>
          <w:position w:val="3"/>
          <w:sz w:val="16"/>
          <w:shd w:val="clear" w:color="auto" w:fill="808285"/>
        </w:rPr>
        <w:t xml:space="preserve">  Článek 55</w:t>
      </w:r>
      <w:r>
        <w:rPr>
          <w:color w:val="FFFFFF"/>
          <w:position w:val="3"/>
          <w:sz w:val="16"/>
        </w:rPr>
        <w:t xml:space="preserve"> </w:t>
      </w:r>
      <w:r>
        <w:rPr>
          <w:color w:val="231F20"/>
          <w:sz w:val="15"/>
        </w:rPr>
        <w:t>Speciální výluky z pojištění</w:t>
      </w:r>
    </w:p>
    <w:p w14:paraId="24BE4FC7" w14:textId="77777777" w:rsidR="00F65BCA" w:rsidRDefault="00216117">
      <w:pPr>
        <w:pStyle w:val="Zkladntext"/>
        <w:spacing w:before="148"/>
        <w:ind w:left="426"/>
      </w:pPr>
      <w:r>
        <w:rPr>
          <w:color w:val="231F20"/>
        </w:rPr>
        <w:t>Pojišťovna neposkytne pojistné plnění za:</w:t>
      </w:r>
    </w:p>
    <w:p w14:paraId="34073B8B" w14:textId="77777777" w:rsidR="00F65BCA" w:rsidRDefault="00216117">
      <w:pPr>
        <w:pStyle w:val="Odstavecseseznamem"/>
        <w:numPr>
          <w:ilvl w:val="0"/>
          <w:numId w:val="94"/>
        </w:numPr>
        <w:tabs>
          <w:tab w:val="left" w:pos="710"/>
          <w:tab w:val="left" w:pos="711"/>
        </w:tabs>
        <w:spacing w:before="27" w:line="278" w:lineRule="auto"/>
        <w:jc w:val="left"/>
        <w:rPr>
          <w:sz w:val="15"/>
        </w:rPr>
      </w:pPr>
      <w:r>
        <w:rPr>
          <w:color w:val="231F20"/>
          <w:sz w:val="15"/>
        </w:rPr>
        <w:t>pojistnou událost, při které nevznikl nárok na pojistné plnění ze základního pojištění;</w:t>
      </w:r>
    </w:p>
    <w:p w14:paraId="14840A75" w14:textId="77777777" w:rsidR="00F65BCA" w:rsidRDefault="00216117">
      <w:pPr>
        <w:pStyle w:val="Odstavecseseznamem"/>
        <w:numPr>
          <w:ilvl w:val="0"/>
          <w:numId w:val="94"/>
        </w:numPr>
        <w:tabs>
          <w:tab w:val="left" w:pos="711"/>
        </w:tabs>
        <w:spacing w:line="278" w:lineRule="auto"/>
        <w:jc w:val="left"/>
        <w:rPr>
          <w:sz w:val="15"/>
        </w:rPr>
      </w:pPr>
      <w:r>
        <w:rPr>
          <w:color w:val="231F20"/>
          <w:sz w:val="15"/>
        </w:rPr>
        <w:t>částku,</w:t>
      </w:r>
      <w:r>
        <w:rPr>
          <w:color w:val="231F20"/>
          <w:spacing w:val="-23"/>
          <w:sz w:val="15"/>
        </w:rPr>
        <w:t xml:space="preserve"> </w:t>
      </w:r>
      <w:r>
        <w:rPr>
          <w:color w:val="231F20"/>
          <w:sz w:val="15"/>
        </w:rPr>
        <w:t>o</w:t>
      </w:r>
      <w:r>
        <w:rPr>
          <w:color w:val="231F20"/>
          <w:spacing w:val="-22"/>
          <w:sz w:val="15"/>
        </w:rPr>
        <w:t xml:space="preserve"> </w:t>
      </w:r>
      <w:r>
        <w:rPr>
          <w:color w:val="231F20"/>
          <w:sz w:val="15"/>
        </w:rPr>
        <w:t>kterou</w:t>
      </w:r>
      <w:r>
        <w:rPr>
          <w:color w:val="231F20"/>
          <w:spacing w:val="-22"/>
          <w:sz w:val="15"/>
        </w:rPr>
        <w:t xml:space="preserve"> </w:t>
      </w:r>
      <w:r>
        <w:rPr>
          <w:color w:val="231F20"/>
          <w:sz w:val="15"/>
        </w:rPr>
        <w:t>Pojišťovna</w:t>
      </w:r>
      <w:r>
        <w:rPr>
          <w:color w:val="231F20"/>
          <w:spacing w:val="-22"/>
          <w:sz w:val="15"/>
        </w:rPr>
        <w:t xml:space="preserve"> </w:t>
      </w:r>
      <w:r>
        <w:rPr>
          <w:color w:val="231F20"/>
          <w:sz w:val="15"/>
        </w:rPr>
        <w:t>snížila</w:t>
      </w:r>
      <w:r>
        <w:rPr>
          <w:color w:val="231F20"/>
          <w:spacing w:val="-22"/>
          <w:sz w:val="15"/>
        </w:rPr>
        <w:t xml:space="preserve"> </w:t>
      </w:r>
      <w:r>
        <w:rPr>
          <w:color w:val="231F20"/>
          <w:sz w:val="15"/>
        </w:rPr>
        <w:t>pojistné</w:t>
      </w:r>
      <w:r>
        <w:rPr>
          <w:color w:val="231F20"/>
          <w:spacing w:val="-22"/>
          <w:sz w:val="15"/>
        </w:rPr>
        <w:t xml:space="preserve"> </w:t>
      </w:r>
      <w:r>
        <w:rPr>
          <w:color w:val="231F20"/>
          <w:sz w:val="15"/>
        </w:rPr>
        <w:t>plnění</w:t>
      </w:r>
      <w:r>
        <w:rPr>
          <w:color w:val="231F20"/>
          <w:spacing w:val="-22"/>
          <w:sz w:val="15"/>
        </w:rPr>
        <w:t xml:space="preserve"> </w:t>
      </w:r>
      <w:r>
        <w:rPr>
          <w:color w:val="231F20"/>
          <w:sz w:val="15"/>
        </w:rPr>
        <w:t>ze</w:t>
      </w:r>
      <w:r>
        <w:rPr>
          <w:color w:val="231F20"/>
          <w:spacing w:val="-22"/>
          <w:sz w:val="15"/>
        </w:rPr>
        <w:t xml:space="preserve"> </w:t>
      </w:r>
      <w:r>
        <w:rPr>
          <w:color w:val="231F20"/>
          <w:sz w:val="15"/>
        </w:rPr>
        <w:t>základního</w:t>
      </w:r>
      <w:r>
        <w:rPr>
          <w:color w:val="231F20"/>
          <w:spacing w:val="-22"/>
          <w:sz w:val="15"/>
        </w:rPr>
        <w:t xml:space="preserve"> </w:t>
      </w:r>
      <w:r>
        <w:rPr>
          <w:color w:val="231F20"/>
          <w:sz w:val="15"/>
        </w:rPr>
        <w:t>pojištění</w:t>
      </w:r>
      <w:r>
        <w:rPr>
          <w:color w:val="231F20"/>
          <w:spacing w:val="-22"/>
          <w:sz w:val="15"/>
        </w:rPr>
        <w:t xml:space="preserve"> </w:t>
      </w:r>
      <w:r>
        <w:rPr>
          <w:color w:val="231F20"/>
          <w:sz w:val="15"/>
        </w:rPr>
        <w:t>z</w:t>
      </w:r>
      <w:r>
        <w:rPr>
          <w:color w:val="231F20"/>
          <w:spacing w:val="-22"/>
          <w:sz w:val="15"/>
        </w:rPr>
        <w:t xml:space="preserve"> </w:t>
      </w:r>
      <w:r>
        <w:rPr>
          <w:color w:val="231F20"/>
          <w:sz w:val="15"/>
        </w:rPr>
        <w:t>dů- vodu nesplnění smluvních povinností</w:t>
      </w:r>
      <w:r>
        <w:rPr>
          <w:color w:val="231F20"/>
          <w:spacing w:val="-21"/>
          <w:sz w:val="15"/>
        </w:rPr>
        <w:t xml:space="preserve"> </w:t>
      </w:r>
      <w:r>
        <w:rPr>
          <w:color w:val="231F20"/>
          <w:sz w:val="15"/>
        </w:rPr>
        <w:t>pojistníkem/pojištěným;</w:t>
      </w:r>
    </w:p>
    <w:p w14:paraId="2891DE82" w14:textId="77777777" w:rsidR="00F65BCA" w:rsidRDefault="00216117">
      <w:pPr>
        <w:pStyle w:val="Odstavecseseznamem"/>
        <w:numPr>
          <w:ilvl w:val="0"/>
          <w:numId w:val="94"/>
        </w:numPr>
        <w:tabs>
          <w:tab w:val="left" w:pos="710"/>
          <w:tab w:val="left" w:pos="711"/>
        </w:tabs>
        <w:spacing w:line="278" w:lineRule="auto"/>
        <w:jc w:val="left"/>
        <w:rPr>
          <w:sz w:val="15"/>
        </w:rPr>
      </w:pPr>
      <w:r>
        <w:rPr>
          <w:color w:val="231F20"/>
          <w:sz w:val="15"/>
        </w:rPr>
        <w:t xml:space="preserve">náklady, které </w:t>
      </w:r>
      <w:r>
        <w:rPr>
          <w:color w:val="231F20"/>
          <w:spacing w:val="3"/>
          <w:sz w:val="15"/>
        </w:rPr>
        <w:t xml:space="preserve">kryje </w:t>
      </w:r>
      <w:r>
        <w:rPr>
          <w:color w:val="231F20"/>
          <w:sz w:val="15"/>
        </w:rPr>
        <w:t>jiné pojištění, nebo jakékoli jiné finanční ztráty hrazené z jiného zdroje, včetně náhrad</w:t>
      </w:r>
      <w:r>
        <w:rPr>
          <w:color w:val="231F20"/>
          <w:spacing w:val="-7"/>
          <w:sz w:val="15"/>
        </w:rPr>
        <w:t xml:space="preserve"> </w:t>
      </w:r>
      <w:r>
        <w:rPr>
          <w:color w:val="231F20"/>
          <w:sz w:val="15"/>
        </w:rPr>
        <w:t>DPH;</w:t>
      </w:r>
    </w:p>
    <w:p w14:paraId="7F11D6F2" w14:textId="77777777" w:rsidR="00F65BCA" w:rsidRDefault="00216117">
      <w:pPr>
        <w:pStyle w:val="Odstavecseseznamem"/>
        <w:numPr>
          <w:ilvl w:val="0"/>
          <w:numId w:val="94"/>
        </w:numPr>
        <w:tabs>
          <w:tab w:val="left" w:pos="470"/>
        </w:tabs>
        <w:spacing w:before="75" w:line="278" w:lineRule="auto"/>
        <w:ind w:left="469" w:right="424"/>
        <w:jc w:val="both"/>
        <w:rPr>
          <w:sz w:val="15"/>
        </w:rPr>
      </w:pPr>
      <w:r>
        <w:rPr>
          <w:color w:val="231F20"/>
          <w:w w:val="98"/>
          <w:sz w:val="15"/>
        </w:rPr>
        <w:br w:type="column"/>
      </w:r>
      <w:r>
        <w:rPr>
          <w:color w:val="231F20"/>
          <w:sz w:val="15"/>
        </w:rPr>
        <w:t>doplňkovou</w:t>
      </w:r>
      <w:r>
        <w:rPr>
          <w:color w:val="231F20"/>
          <w:spacing w:val="-24"/>
          <w:sz w:val="15"/>
        </w:rPr>
        <w:t xml:space="preserve"> </w:t>
      </w:r>
      <w:r>
        <w:rPr>
          <w:color w:val="231F20"/>
          <w:sz w:val="15"/>
        </w:rPr>
        <w:t>a</w:t>
      </w:r>
      <w:r>
        <w:rPr>
          <w:color w:val="231F20"/>
          <w:spacing w:val="-23"/>
          <w:sz w:val="15"/>
        </w:rPr>
        <w:t xml:space="preserve"> </w:t>
      </w:r>
      <w:r>
        <w:rPr>
          <w:color w:val="231F20"/>
          <w:sz w:val="15"/>
        </w:rPr>
        <w:t>ostatní</w:t>
      </w:r>
      <w:r>
        <w:rPr>
          <w:color w:val="231F20"/>
          <w:spacing w:val="-23"/>
          <w:sz w:val="15"/>
        </w:rPr>
        <w:t xml:space="preserve"> </w:t>
      </w:r>
      <w:r>
        <w:rPr>
          <w:color w:val="231F20"/>
          <w:sz w:val="15"/>
        </w:rPr>
        <w:t>výbavu</w:t>
      </w:r>
      <w:r>
        <w:rPr>
          <w:color w:val="231F20"/>
          <w:spacing w:val="-23"/>
          <w:sz w:val="15"/>
        </w:rPr>
        <w:t xml:space="preserve"> </w:t>
      </w:r>
      <w:r>
        <w:rPr>
          <w:color w:val="231F20"/>
          <w:sz w:val="15"/>
        </w:rPr>
        <w:t>vozidla</w:t>
      </w:r>
      <w:r>
        <w:rPr>
          <w:color w:val="231F20"/>
          <w:spacing w:val="-23"/>
          <w:sz w:val="15"/>
        </w:rPr>
        <w:t xml:space="preserve"> </w:t>
      </w:r>
      <w:r>
        <w:rPr>
          <w:color w:val="231F20"/>
          <w:sz w:val="15"/>
        </w:rPr>
        <w:t>dodanou</w:t>
      </w:r>
      <w:r>
        <w:rPr>
          <w:color w:val="231F20"/>
          <w:spacing w:val="-23"/>
          <w:sz w:val="15"/>
        </w:rPr>
        <w:t xml:space="preserve"> </w:t>
      </w:r>
      <w:r>
        <w:rPr>
          <w:color w:val="231F20"/>
          <w:sz w:val="15"/>
        </w:rPr>
        <w:t>do</w:t>
      </w:r>
      <w:r>
        <w:rPr>
          <w:color w:val="231F20"/>
          <w:spacing w:val="-23"/>
          <w:sz w:val="15"/>
        </w:rPr>
        <w:t xml:space="preserve"> </w:t>
      </w:r>
      <w:r>
        <w:rPr>
          <w:color w:val="231F20"/>
          <w:sz w:val="15"/>
        </w:rPr>
        <w:t>vozidla</w:t>
      </w:r>
      <w:r>
        <w:rPr>
          <w:color w:val="231F20"/>
          <w:spacing w:val="-23"/>
          <w:sz w:val="15"/>
        </w:rPr>
        <w:t xml:space="preserve"> </w:t>
      </w:r>
      <w:r>
        <w:rPr>
          <w:color w:val="231F20"/>
          <w:sz w:val="15"/>
        </w:rPr>
        <w:t>po</w:t>
      </w:r>
      <w:r>
        <w:rPr>
          <w:color w:val="231F20"/>
          <w:spacing w:val="-23"/>
          <w:sz w:val="15"/>
        </w:rPr>
        <w:t xml:space="preserve"> </w:t>
      </w:r>
      <w:r>
        <w:rPr>
          <w:color w:val="231F20"/>
          <w:sz w:val="15"/>
        </w:rPr>
        <w:t>sjednání</w:t>
      </w:r>
      <w:r>
        <w:rPr>
          <w:color w:val="231F20"/>
          <w:spacing w:val="-23"/>
          <w:sz w:val="15"/>
        </w:rPr>
        <w:t xml:space="preserve"> </w:t>
      </w:r>
      <w:r>
        <w:rPr>
          <w:color w:val="231F20"/>
          <w:sz w:val="15"/>
        </w:rPr>
        <w:t>základní- ho</w:t>
      </w:r>
      <w:r>
        <w:rPr>
          <w:color w:val="231F20"/>
          <w:spacing w:val="-1"/>
          <w:sz w:val="15"/>
        </w:rPr>
        <w:t xml:space="preserve"> </w:t>
      </w:r>
      <w:r>
        <w:rPr>
          <w:color w:val="231F20"/>
          <w:sz w:val="15"/>
        </w:rPr>
        <w:t>pojištění.</w:t>
      </w:r>
    </w:p>
    <w:p w14:paraId="6A700B2E" w14:textId="77777777" w:rsidR="00F65BCA" w:rsidRDefault="00F65BCA">
      <w:pPr>
        <w:pStyle w:val="Zkladntext"/>
        <w:spacing w:before="11"/>
        <w:rPr>
          <w:sz w:val="20"/>
        </w:rPr>
      </w:pPr>
    </w:p>
    <w:p w14:paraId="6769DAEB" w14:textId="77777777" w:rsidR="00F65BCA" w:rsidRDefault="00216117">
      <w:pPr>
        <w:ind w:left="187"/>
        <w:rPr>
          <w:sz w:val="15"/>
        </w:rPr>
      </w:pPr>
      <w:r>
        <w:rPr>
          <w:color w:val="FFFFFF"/>
          <w:position w:val="3"/>
          <w:sz w:val="16"/>
          <w:shd w:val="clear" w:color="auto" w:fill="808285"/>
        </w:rPr>
        <w:t xml:space="preserve">  Článek 56</w:t>
      </w:r>
      <w:r>
        <w:rPr>
          <w:color w:val="FFFFFF"/>
          <w:position w:val="3"/>
          <w:sz w:val="16"/>
        </w:rPr>
        <w:t xml:space="preserve"> </w:t>
      </w:r>
      <w:r>
        <w:rPr>
          <w:color w:val="231F20"/>
          <w:sz w:val="15"/>
        </w:rPr>
        <w:t>Pojistné plnění</w:t>
      </w:r>
    </w:p>
    <w:p w14:paraId="63006932" w14:textId="77777777" w:rsidR="00F65BCA" w:rsidRDefault="00216117">
      <w:pPr>
        <w:pStyle w:val="Zkladntext"/>
        <w:spacing w:before="147"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position w:val="1"/>
          <w:sz w:val="14"/>
        </w:rPr>
        <w:t xml:space="preserve"> </w:t>
      </w:r>
      <w:r>
        <w:rPr>
          <w:color w:val="231F20"/>
        </w:rPr>
        <w:t>Pojistné plnění pro variantu „GAP Fleet – Nová cena“ odpovídá rozdílu</w:t>
      </w:r>
      <w:r>
        <w:rPr>
          <w:color w:val="231F20"/>
          <w:spacing w:val="-19"/>
        </w:rPr>
        <w:t xml:space="preserve"> </w:t>
      </w:r>
      <w:r>
        <w:rPr>
          <w:color w:val="231F20"/>
          <w:spacing w:val="-4"/>
        </w:rPr>
        <w:t xml:space="preserve">mezi </w:t>
      </w:r>
      <w:r>
        <w:rPr>
          <w:color w:val="231F20"/>
        </w:rPr>
        <w:t xml:space="preserve">pořizovací cenou a tržní hodnotou stanovenou Pojišťovnou jako základ </w:t>
      </w:r>
      <w:r>
        <w:rPr>
          <w:color w:val="231F20"/>
          <w:spacing w:val="-6"/>
        </w:rPr>
        <w:t xml:space="preserve">pro </w:t>
      </w:r>
      <w:r>
        <w:rPr>
          <w:color w:val="231F20"/>
        </w:rPr>
        <w:t>výpočet pojistného plnění ze základního</w:t>
      </w:r>
      <w:r>
        <w:rPr>
          <w:color w:val="231F20"/>
          <w:spacing w:val="-15"/>
        </w:rPr>
        <w:t xml:space="preserve"> </w:t>
      </w:r>
      <w:r>
        <w:rPr>
          <w:color w:val="231F20"/>
        </w:rPr>
        <w:t>pojištění.</w:t>
      </w:r>
    </w:p>
    <w:p w14:paraId="21D09EB9"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position w:val="1"/>
          <w:sz w:val="14"/>
        </w:rPr>
        <w:t xml:space="preserve"> </w:t>
      </w:r>
      <w:r>
        <w:rPr>
          <w:color w:val="231F20"/>
        </w:rPr>
        <w:t>Pojistné plnění pro variantu „GAP Fleet – Účetní hodnota“ odpovídá rozdílu mezi</w:t>
      </w:r>
      <w:r>
        <w:rPr>
          <w:color w:val="231F20"/>
          <w:spacing w:val="-6"/>
        </w:rPr>
        <w:t xml:space="preserve"> </w:t>
      </w:r>
      <w:r>
        <w:rPr>
          <w:color w:val="231F20"/>
        </w:rPr>
        <w:t>účetní</w:t>
      </w:r>
      <w:r>
        <w:rPr>
          <w:color w:val="231F20"/>
          <w:spacing w:val="-6"/>
        </w:rPr>
        <w:t xml:space="preserve"> </w:t>
      </w:r>
      <w:r>
        <w:rPr>
          <w:color w:val="231F20"/>
        </w:rPr>
        <w:t>cenou</w:t>
      </w:r>
      <w:r>
        <w:rPr>
          <w:color w:val="231F20"/>
          <w:spacing w:val="-6"/>
        </w:rPr>
        <w:t xml:space="preserve"> </w:t>
      </w:r>
      <w:r>
        <w:rPr>
          <w:color w:val="231F20"/>
        </w:rPr>
        <w:t>a</w:t>
      </w:r>
      <w:r>
        <w:rPr>
          <w:color w:val="231F20"/>
          <w:spacing w:val="-5"/>
        </w:rPr>
        <w:t xml:space="preserve"> </w:t>
      </w:r>
      <w:r>
        <w:rPr>
          <w:color w:val="231F20"/>
        </w:rPr>
        <w:t>tržní</w:t>
      </w:r>
      <w:r>
        <w:rPr>
          <w:color w:val="231F20"/>
          <w:spacing w:val="-6"/>
        </w:rPr>
        <w:t xml:space="preserve"> </w:t>
      </w:r>
      <w:r>
        <w:rPr>
          <w:color w:val="231F20"/>
        </w:rPr>
        <w:t>hodnotou</w:t>
      </w:r>
      <w:r>
        <w:rPr>
          <w:color w:val="231F20"/>
          <w:spacing w:val="-6"/>
        </w:rPr>
        <w:t xml:space="preserve"> </w:t>
      </w:r>
      <w:r>
        <w:rPr>
          <w:color w:val="231F20"/>
        </w:rPr>
        <w:t>stanovenou</w:t>
      </w:r>
      <w:r>
        <w:rPr>
          <w:color w:val="231F20"/>
          <w:spacing w:val="-6"/>
        </w:rPr>
        <w:t xml:space="preserve"> </w:t>
      </w:r>
      <w:r>
        <w:rPr>
          <w:color w:val="231F20"/>
        </w:rPr>
        <w:t>Pojišťovnou</w:t>
      </w:r>
      <w:r>
        <w:rPr>
          <w:color w:val="231F20"/>
          <w:spacing w:val="-5"/>
        </w:rPr>
        <w:t xml:space="preserve"> </w:t>
      </w:r>
      <w:r>
        <w:rPr>
          <w:color w:val="231F20"/>
        </w:rPr>
        <w:t>jako</w:t>
      </w:r>
      <w:r>
        <w:rPr>
          <w:color w:val="231F20"/>
          <w:spacing w:val="-6"/>
        </w:rPr>
        <w:t xml:space="preserve"> </w:t>
      </w:r>
      <w:r>
        <w:rPr>
          <w:color w:val="231F20"/>
        </w:rPr>
        <w:t>základ</w:t>
      </w:r>
      <w:r>
        <w:rPr>
          <w:color w:val="231F20"/>
          <w:spacing w:val="-6"/>
        </w:rPr>
        <w:t xml:space="preserve"> </w:t>
      </w:r>
      <w:r>
        <w:rPr>
          <w:color w:val="231F20"/>
        </w:rPr>
        <w:t>pro výpočet pojistného plnění ze základního</w:t>
      </w:r>
      <w:r>
        <w:rPr>
          <w:color w:val="231F20"/>
          <w:spacing w:val="-15"/>
        </w:rPr>
        <w:t xml:space="preserve"> </w:t>
      </w:r>
      <w:r>
        <w:rPr>
          <w:color w:val="231F20"/>
        </w:rPr>
        <w:t>pojištění.</w:t>
      </w:r>
    </w:p>
    <w:p w14:paraId="5B65E6D6"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1"/>
          <w:position w:val="1"/>
          <w:sz w:val="14"/>
        </w:rPr>
        <w:t xml:space="preserve"> </w:t>
      </w:r>
      <w:r>
        <w:rPr>
          <w:color w:val="231F20"/>
        </w:rPr>
        <w:t xml:space="preserve">Pojistným plněním u tohoto pojištění je i ta část finanční ztráty, která </w:t>
      </w:r>
      <w:r>
        <w:rPr>
          <w:color w:val="231F20"/>
          <w:spacing w:val="-3"/>
        </w:rPr>
        <w:t xml:space="preserve">předsta- </w:t>
      </w:r>
      <w:r>
        <w:rPr>
          <w:color w:val="231F20"/>
        </w:rPr>
        <w:t>vuje sjednanou spoluúčast ze základního</w:t>
      </w:r>
      <w:r>
        <w:rPr>
          <w:color w:val="231F20"/>
          <w:spacing w:val="-15"/>
        </w:rPr>
        <w:t xml:space="preserve"> </w:t>
      </w:r>
      <w:r>
        <w:rPr>
          <w:color w:val="231F20"/>
        </w:rPr>
        <w:t>pojištění.</w:t>
      </w:r>
    </w:p>
    <w:p w14:paraId="6F559274"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4"/>
          <w:position w:val="1"/>
          <w:sz w:val="14"/>
        </w:rPr>
        <w:t xml:space="preserve"> </w:t>
      </w:r>
      <w:r>
        <w:rPr>
          <w:color w:val="231F20"/>
        </w:rPr>
        <w:t>Součet pojistného plnění poskytnutého ze základního pojištění, tržní hodnoty použitelných</w:t>
      </w:r>
      <w:r>
        <w:rPr>
          <w:color w:val="231F20"/>
          <w:spacing w:val="-6"/>
        </w:rPr>
        <w:t xml:space="preserve"> </w:t>
      </w:r>
      <w:r>
        <w:rPr>
          <w:color w:val="231F20"/>
        </w:rPr>
        <w:t>zbytků</w:t>
      </w:r>
      <w:r>
        <w:rPr>
          <w:color w:val="231F20"/>
          <w:spacing w:val="-6"/>
        </w:rPr>
        <w:t xml:space="preserve"> </w:t>
      </w:r>
      <w:r>
        <w:rPr>
          <w:color w:val="231F20"/>
        </w:rPr>
        <w:t>vozidla</w:t>
      </w:r>
      <w:r>
        <w:rPr>
          <w:color w:val="231F20"/>
          <w:spacing w:val="-6"/>
        </w:rPr>
        <w:t xml:space="preserve"> </w:t>
      </w:r>
      <w:r>
        <w:rPr>
          <w:color w:val="231F20"/>
        </w:rPr>
        <w:t>a</w:t>
      </w:r>
      <w:r>
        <w:rPr>
          <w:color w:val="231F20"/>
          <w:spacing w:val="-5"/>
        </w:rPr>
        <w:t xml:space="preserve"> </w:t>
      </w:r>
      <w:r>
        <w:rPr>
          <w:color w:val="231F20"/>
        </w:rPr>
        <w:t>pojistného</w:t>
      </w:r>
      <w:r>
        <w:rPr>
          <w:color w:val="231F20"/>
          <w:spacing w:val="-6"/>
        </w:rPr>
        <w:t xml:space="preserve"> </w:t>
      </w:r>
      <w:r>
        <w:rPr>
          <w:color w:val="231F20"/>
        </w:rPr>
        <w:t>plnění</w:t>
      </w:r>
      <w:r>
        <w:rPr>
          <w:color w:val="231F20"/>
          <w:spacing w:val="-6"/>
        </w:rPr>
        <w:t xml:space="preserve"> </w:t>
      </w:r>
      <w:r>
        <w:rPr>
          <w:color w:val="231F20"/>
        </w:rPr>
        <w:t>z</w:t>
      </w:r>
      <w:r>
        <w:rPr>
          <w:color w:val="231F20"/>
          <w:spacing w:val="-5"/>
        </w:rPr>
        <w:t xml:space="preserve"> </w:t>
      </w:r>
      <w:r>
        <w:rPr>
          <w:color w:val="231F20"/>
        </w:rPr>
        <w:t>tohoto</w:t>
      </w:r>
      <w:r>
        <w:rPr>
          <w:color w:val="231F20"/>
          <w:spacing w:val="-6"/>
        </w:rPr>
        <w:t xml:space="preserve"> </w:t>
      </w:r>
      <w:r>
        <w:rPr>
          <w:color w:val="231F20"/>
        </w:rPr>
        <w:t>pojištění</w:t>
      </w:r>
      <w:r>
        <w:rPr>
          <w:color w:val="231F20"/>
          <w:spacing w:val="-6"/>
        </w:rPr>
        <w:t xml:space="preserve"> </w:t>
      </w:r>
      <w:r>
        <w:rPr>
          <w:color w:val="231F20"/>
        </w:rPr>
        <w:t>nesmí</w:t>
      </w:r>
      <w:r>
        <w:rPr>
          <w:color w:val="231F20"/>
          <w:spacing w:val="-5"/>
        </w:rPr>
        <w:t xml:space="preserve"> </w:t>
      </w:r>
      <w:r>
        <w:rPr>
          <w:color w:val="231F20"/>
          <w:spacing w:val="-4"/>
        </w:rPr>
        <w:t xml:space="preserve">pře- </w:t>
      </w:r>
      <w:r>
        <w:rPr>
          <w:color w:val="231F20"/>
        </w:rPr>
        <w:t>sáhnout</w:t>
      </w:r>
      <w:r>
        <w:rPr>
          <w:color w:val="231F20"/>
          <w:spacing w:val="-10"/>
        </w:rPr>
        <w:t xml:space="preserve"> </w:t>
      </w:r>
      <w:r>
        <w:rPr>
          <w:color w:val="231F20"/>
        </w:rPr>
        <w:t>pořizovací</w:t>
      </w:r>
      <w:r>
        <w:rPr>
          <w:color w:val="231F20"/>
          <w:spacing w:val="-10"/>
        </w:rPr>
        <w:t xml:space="preserve"> </w:t>
      </w:r>
      <w:r>
        <w:rPr>
          <w:color w:val="231F20"/>
        </w:rPr>
        <w:t>cenu</w:t>
      </w:r>
      <w:r>
        <w:rPr>
          <w:color w:val="231F20"/>
          <w:spacing w:val="-10"/>
        </w:rPr>
        <w:t xml:space="preserve"> </w:t>
      </w:r>
      <w:r>
        <w:rPr>
          <w:color w:val="231F20"/>
        </w:rPr>
        <w:t>vozidla.</w:t>
      </w:r>
      <w:r>
        <w:rPr>
          <w:color w:val="231F20"/>
          <w:spacing w:val="-10"/>
        </w:rPr>
        <w:t xml:space="preserve"> </w:t>
      </w:r>
      <w:r>
        <w:rPr>
          <w:color w:val="231F20"/>
        </w:rPr>
        <w:t>V</w:t>
      </w:r>
      <w:r>
        <w:rPr>
          <w:color w:val="231F20"/>
          <w:spacing w:val="-10"/>
        </w:rPr>
        <w:t xml:space="preserve"> </w:t>
      </w:r>
      <w:r>
        <w:rPr>
          <w:color w:val="231F20"/>
        </w:rPr>
        <w:t>případě,</w:t>
      </w:r>
      <w:r>
        <w:rPr>
          <w:color w:val="231F20"/>
          <w:spacing w:val="-9"/>
        </w:rPr>
        <w:t xml:space="preserve"> </w:t>
      </w:r>
      <w:r>
        <w:rPr>
          <w:color w:val="231F20"/>
        </w:rPr>
        <w:t>že</w:t>
      </w:r>
      <w:r>
        <w:rPr>
          <w:color w:val="231F20"/>
          <w:spacing w:val="-10"/>
        </w:rPr>
        <w:t xml:space="preserve"> </w:t>
      </w:r>
      <w:r>
        <w:rPr>
          <w:color w:val="231F20"/>
        </w:rPr>
        <w:t>Pojišťovna</w:t>
      </w:r>
      <w:r>
        <w:rPr>
          <w:color w:val="231F20"/>
          <w:spacing w:val="-10"/>
        </w:rPr>
        <w:t xml:space="preserve"> </w:t>
      </w:r>
      <w:r>
        <w:rPr>
          <w:color w:val="231F20"/>
        </w:rPr>
        <w:t>snížila</w:t>
      </w:r>
      <w:r>
        <w:rPr>
          <w:color w:val="231F20"/>
          <w:spacing w:val="-10"/>
        </w:rPr>
        <w:t xml:space="preserve"> </w:t>
      </w:r>
      <w:r>
        <w:rPr>
          <w:color w:val="231F20"/>
        </w:rPr>
        <w:t>pojistné</w:t>
      </w:r>
      <w:r>
        <w:rPr>
          <w:color w:val="231F20"/>
          <w:spacing w:val="-10"/>
        </w:rPr>
        <w:t xml:space="preserve"> </w:t>
      </w:r>
      <w:r>
        <w:rPr>
          <w:color w:val="231F20"/>
          <w:spacing w:val="-4"/>
        </w:rPr>
        <w:t xml:space="preserve">pl- </w:t>
      </w:r>
      <w:r>
        <w:rPr>
          <w:color w:val="231F20"/>
        </w:rPr>
        <w:t>nění</w:t>
      </w:r>
      <w:r>
        <w:rPr>
          <w:color w:val="231F20"/>
          <w:spacing w:val="-10"/>
        </w:rPr>
        <w:t xml:space="preserve"> </w:t>
      </w:r>
      <w:r>
        <w:rPr>
          <w:color w:val="231F20"/>
        </w:rPr>
        <w:t>v</w:t>
      </w:r>
      <w:r>
        <w:rPr>
          <w:color w:val="231F20"/>
          <w:spacing w:val="-9"/>
        </w:rPr>
        <w:t xml:space="preserve"> </w:t>
      </w:r>
      <w:r>
        <w:rPr>
          <w:color w:val="231F20"/>
        </w:rPr>
        <w:t>základním</w:t>
      </w:r>
      <w:r>
        <w:rPr>
          <w:color w:val="231F20"/>
          <w:spacing w:val="-9"/>
        </w:rPr>
        <w:t xml:space="preserve"> </w:t>
      </w:r>
      <w:r>
        <w:rPr>
          <w:color w:val="231F20"/>
        </w:rPr>
        <w:t>pojištění,</w:t>
      </w:r>
      <w:r>
        <w:rPr>
          <w:color w:val="231F20"/>
          <w:spacing w:val="-10"/>
        </w:rPr>
        <w:t xml:space="preserve"> </w:t>
      </w:r>
      <w:r>
        <w:rPr>
          <w:color w:val="231F20"/>
        </w:rPr>
        <w:t>sníží</w:t>
      </w:r>
      <w:r>
        <w:rPr>
          <w:color w:val="231F20"/>
          <w:spacing w:val="-9"/>
        </w:rPr>
        <w:t xml:space="preserve"> </w:t>
      </w:r>
      <w:r>
        <w:rPr>
          <w:color w:val="231F20"/>
        </w:rPr>
        <w:t>ve</w:t>
      </w:r>
      <w:r>
        <w:rPr>
          <w:color w:val="231F20"/>
          <w:spacing w:val="-9"/>
        </w:rPr>
        <w:t xml:space="preserve"> </w:t>
      </w:r>
      <w:r>
        <w:rPr>
          <w:color w:val="231F20"/>
        </w:rPr>
        <w:t>stejném</w:t>
      </w:r>
      <w:r>
        <w:rPr>
          <w:color w:val="231F20"/>
          <w:spacing w:val="-10"/>
        </w:rPr>
        <w:t xml:space="preserve"> </w:t>
      </w:r>
      <w:r>
        <w:rPr>
          <w:color w:val="231F20"/>
        </w:rPr>
        <w:t>poměru</w:t>
      </w:r>
      <w:r>
        <w:rPr>
          <w:color w:val="231F20"/>
          <w:spacing w:val="-9"/>
        </w:rPr>
        <w:t xml:space="preserve"> </w:t>
      </w:r>
      <w:r>
        <w:rPr>
          <w:color w:val="231F20"/>
        </w:rPr>
        <w:t>i</w:t>
      </w:r>
      <w:r>
        <w:rPr>
          <w:color w:val="231F20"/>
          <w:spacing w:val="-9"/>
        </w:rPr>
        <w:t xml:space="preserve"> </w:t>
      </w:r>
      <w:r>
        <w:rPr>
          <w:color w:val="231F20"/>
        </w:rPr>
        <w:t>pojistné</w:t>
      </w:r>
      <w:r>
        <w:rPr>
          <w:color w:val="231F20"/>
          <w:spacing w:val="-10"/>
        </w:rPr>
        <w:t xml:space="preserve"> </w:t>
      </w:r>
      <w:r>
        <w:rPr>
          <w:color w:val="231F20"/>
        </w:rPr>
        <w:t>plnění</w:t>
      </w:r>
      <w:r>
        <w:rPr>
          <w:color w:val="231F20"/>
          <w:spacing w:val="-9"/>
        </w:rPr>
        <w:t xml:space="preserve"> </w:t>
      </w:r>
      <w:r>
        <w:rPr>
          <w:color w:val="231F20"/>
        </w:rPr>
        <w:t>z</w:t>
      </w:r>
      <w:r>
        <w:rPr>
          <w:color w:val="231F20"/>
          <w:spacing w:val="-9"/>
        </w:rPr>
        <w:t xml:space="preserve"> </w:t>
      </w:r>
      <w:r>
        <w:rPr>
          <w:color w:val="231F20"/>
          <w:spacing w:val="-3"/>
        </w:rPr>
        <w:t xml:space="preserve">tohoto </w:t>
      </w:r>
      <w:r>
        <w:rPr>
          <w:color w:val="231F20"/>
        </w:rPr>
        <w:t>pojištění.</w:t>
      </w:r>
    </w:p>
    <w:p w14:paraId="40E06FDD" w14:textId="77777777" w:rsidR="00F65BCA" w:rsidRDefault="00216117">
      <w:pPr>
        <w:pStyle w:val="Zkladntext"/>
        <w:spacing w:line="278" w:lineRule="auto"/>
        <w:ind w:left="469" w:right="42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position w:val="1"/>
          <w:sz w:val="14"/>
        </w:rPr>
        <w:t xml:space="preserve"> </w:t>
      </w:r>
      <w:r>
        <w:rPr>
          <w:color w:val="231F20"/>
        </w:rPr>
        <w:t xml:space="preserve">Na </w:t>
      </w:r>
      <w:r>
        <w:rPr>
          <w:color w:val="231F20"/>
          <w:spacing w:val="3"/>
        </w:rPr>
        <w:t xml:space="preserve">základě </w:t>
      </w:r>
      <w:r>
        <w:rPr>
          <w:color w:val="231F20"/>
          <w:spacing w:val="2"/>
        </w:rPr>
        <w:t xml:space="preserve">žádosti </w:t>
      </w:r>
      <w:r>
        <w:rPr>
          <w:color w:val="231F20"/>
          <w:spacing w:val="3"/>
        </w:rPr>
        <w:t xml:space="preserve">oprávněné </w:t>
      </w:r>
      <w:r>
        <w:rPr>
          <w:color w:val="231F20"/>
          <w:spacing w:val="2"/>
        </w:rPr>
        <w:t xml:space="preserve">osoby </w:t>
      </w:r>
      <w:r>
        <w:rPr>
          <w:color w:val="231F20"/>
        </w:rPr>
        <w:t xml:space="preserve">Pojišťovna </w:t>
      </w:r>
      <w:r>
        <w:rPr>
          <w:color w:val="231F20"/>
          <w:spacing w:val="4"/>
        </w:rPr>
        <w:t xml:space="preserve">poskytne </w:t>
      </w:r>
      <w:r>
        <w:rPr>
          <w:color w:val="231F20"/>
          <w:spacing w:val="2"/>
        </w:rPr>
        <w:t xml:space="preserve">pojistné </w:t>
      </w:r>
      <w:r>
        <w:rPr>
          <w:color w:val="231F20"/>
          <w:spacing w:val="3"/>
        </w:rPr>
        <w:t xml:space="preserve">plnění </w:t>
      </w:r>
      <w:r>
        <w:rPr>
          <w:color w:val="231F20"/>
        </w:rPr>
        <w:t>z</w:t>
      </w:r>
      <w:r>
        <w:rPr>
          <w:color w:val="231F20"/>
          <w:spacing w:val="-8"/>
        </w:rPr>
        <w:t xml:space="preserve"> </w:t>
      </w:r>
      <w:r>
        <w:rPr>
          <w:color w:val="231F20"/>
        </w:rPr>
        <w:t>tohoto</w:t>
      </w:r>
      <w:r>
        <w:rPr>
          <w:color w:val="231F20"/>
          <w:spacing w:val="-7"/>
        </w:rPr>
        <w:t xml:space="preserve"> </w:t>
      </w:r>
      <w:r>
        <w:rPr>
          <w:color w:val="231F20"/>
          <w:spacing w:val="2"/>
        </w:rPr>
        <w:t>pojištění</w:t>
      </w:r>
      <w:r>
        <w:rPr>
          <w:color w:val="231F20"/>
          <w:spacing w:val="-7"/>
        </w:rPr>
        <w:t xml:space="preserve"> </w:t>
      </w:r>
      <w:r>
        <w:rPr>
          <w:color w:val="231F20"/>
        </w:rPr>
        <w:t>i</w:t>
      </w:r>
      <w:r>
        <w:rPr>
          <w:color w:val="231F20"/>
          <w:spacing w:val="-7"/>
        </w:rPr>
        <w:t xml:space="preserve"> </w:t>
      </w:r>
      <w:r>
        <w:rPr>
          <w:color w:val="231F20"/>
        </w:rPr>
        <w:t>v</w:t>
      </w:r>
      <w:r>
        <w:rPr>
          <w:color w:val="231F20"/>
          <w:spacing w:val="-8"/>
        </w:rPr>
        <w:t xml:space="preserve"> </w:t>
      </w:r>
      <w:r>
        <w:rPr>
          <w:color w:val="231F20"/>
          <w:spacing w:val="2"/>
        </w:rPr>
        <w:t>případě,</w:t>
      </w:r>
      <w:r>
        <w:rPr>
          <w:color w:val="231F20"/>
          <w:spacing w:val="-7"/>
        </w:rPr>
        <w:t xml:space="preserve"> </w:t>
      </w:r>
      <w:r>
        <w:rPr>
          <w:color w:val="231F20"/>
        </w:rPr>
        <w:t>kdy</w:t>
      </w:r>
      <w:r>
        <w:rPr>
          <w:color w:val="231F20"/>
          <w:spacing w:val="-7"/>
        </w:rPr>
        <w:t xml:space="preserve"> </w:t>
      </w:r>
      <w:r>
        <w:rPr>
          <w:color w:val="231F20"/>
        </w:rPr>
        <w:t>je</w:t>
      </w:r>
      <w:r>
        <w:rPr>
          <w:color w:val="231F20"/>
          <w:spacing w:val="-7"/>
        </w:rPr>
        <w:t xml:space="preserve"> </w:t>
      </w:r>
      <w:r>
        <w:rPr>
          <w:color w:val="231F20"/>
          <w:spacing w:val="2"/>
        </w:rPr>
        <w:t>pojištěnému</w:t>
      </w:r>
      <w:r>
        <w:rPr>
          <w:color w:val="231F20"/>
          <w:spacing w:val="-7"/>
        </w:rPr>
        <w:t xml:space="preserve"> </w:t>
      </w:r>
      <w:r>
        <w:rPr>
          <w:color w:val="231F20"/>
          <w:spacing w:val="3"/>
        </w:rPr>
        <w:t>poskytnuto</w:t>
      </w:r>
      <w:r>
        <w:rPr>
          <w:color w:val="231F20"/>
          <w:spacing w:val="-8"/>
        </w:rPr>
        <w:t xml:space="preserve"> </w:t>
      </w:r>
      <w:r>
        <w:rPr>
          <w:color w:val="231F20"/>
          <w:spacing w:val="3"/>
        </w:rPr>
        <w:t>plnění</w:t>
      </w:r>
      <w:r>
        <w:rPr>
          <w:color w:val="231F20"/>
          <w:spacing w:val="-7"/>
        </w:rPr>
        <w:t xml:space="preserve"> </w:t>
      </w:r>
      <w:r>
        <w:rPr>
          <w:color w:val="231F20"/>
        </w:rPr>
        <w:t>z</w:t>
      </w:r>
      <w:r>
        <w:rPr>
          <w:color w:val="231F20"/>
          <w:spacing w:val="-7"/>
        </w:rPr>
        <w:t xml:space="preserve"> </w:t>
      </w:r>
      <w:r>
        <w:rPr>
          <w:color w:val="231F20"/>
          <w:spacing w:val="2"/>
        </w:rPr>
        <w:t xml:space="preserve">pojiš- </w:t>
      </w:r>
      <w:r>
        <w:rPr>
          <w:color w:val="231F20"/>
        </w:rPr>
        <w:t>tění</w:t>
      </w:r>
      <w:r>
        <w:rPr>
          <w:color w:val="231F20"/>
          <w:spacing w:val="-12"/>
        </w:rPr>
        <w:t xml:space="preserve"> </w:t>
      </w:r>
      <w:r>
        <w:rPr>
          <w:color w:val="231F20"/>
          <w:spacing w:val="2"/>
        </w:rPr>
        <w:t>odpovědnosti</w:t>
      </w:r>
      <w:r>
        <w:rPr>
          <w:color w:val="231F20"/>
          <w:spacing w:val="-11"/>
        </w:rPr>
        <w:t xml:space="preserve"> </w:t>
      </w:r>
      <w:r>
        <w:rPr>
          <w:color w:val="231F20"/>
          <w:spacing w:val="2"/>
        </w:rPr>
        <w:t>jiného</w:t>
      </w:r>
      <w:r>
        <w:rPr>
          <w:color w:val="231F20"/>
          <w:spacing w:val="-12"/>
        </w:rPr>
        <w:t xml:space="preserve"> </w:t>
      </w:r>
      <w:r>
        <w:rPr>
          <w:color w:val="231F20"/>
          <w:spacing w:val="2"/>
        </w:rPr>
        <w:t>vozidla</w:t>
      </w:r>
      <w:r>
        <w:rPr>
          <w:color w:val="231F20"/>
          <w:spacing w:val="-11"/>
        </w:rPr>
        <w:t xml:space="preserve"> </w:t>
      </w:r>
      <w:r>
        <w:rPr>
          <w:color w:val="231F20"/>
        </w:rPr>
        <w:t>a</w:t>
      </w:r>
      <w:r>
        <w:rPr>
          <w:color w:val="231F20"/>
          <w:spacing w:val="-12"/>
        </w:rPr>
        <w:t xml:space="preserve"> </w:t>
      </w:r>
      <w:r>
        <w:rPr>
          <w:color w:val="231F20"/>
          <w:spacing w:val="2"/>
        </w:rPr>
        <w:t>pojištěný</w:t>
      </w:r>
      <w:r>
        <w:rPr>
          <w:color w:val="231F20"/>
          <w:spacing w:val="-11"/>
        </w:rPr>
        <w:t xml:space="preserve"> </w:t>
      </w:r>
      <w:r>
        <w:rPr>
          <w:color w:val="231F20"/>
          <w:spacing w:val="2"/>
        </w:rPr>
        <w:t>uplatní</w:t>
      </w:r>
      <w:r>
        <w:rPr>
          <w:color w:val="231F20"/>
          <w:spacing w:val="-12"/>
        </w:rPr>
        <w:t xml:space="preserve"> </w:t>
      </w:r>
      <w:r>
        <w:rPr>
          <w:color w:val="231F20"/>
        </w:rPr>
        <w:t>a</w:t>
      </w:r>
      <w:r>
        <w:rPr>
          <w:color w:val="231F20"/>
          <w:spacing w:val="-11"/>
        </w:rPr>
        <w:t xml:space="preserve"> </w:t>
      </w:r>
      <w:r>
        <w:rPr>
          <w:color w:val="231F20"/>
          <w:spacing w:val="3"/>
        </w:rPr>
        <w:t>prokáže</w:t>
      </w:r>
      <w:r>
        <w:rPr>
          <w:color w:val="231F20"/>
          <w:spacing w:val="-12"/>
        </w:rPr>
        <w:t xml:space="preserve"> </w:t>
      </w:r>
      <w:r>
        <w:rPr>
          <w:color w:val="231F20"/>
          <w:spacing w:val="2"/>
        </w:rPr>
        <w:t>právní</w:t>
      </w:r>
      <w:r>
        <w:rPr>
          <w:color w:val="231F20"/>
          <w:spacing w:val="-11"/>
        </w:rPr>
        <w:t xml:space="preserve"> </w:t>
      </w:r>
      <w:r>
        <w:rPr>
          <w:color w:val="231F20"/>
          <w:spacing w:val="3"/>
        </w:rPr>
        <w:t xml:space="preserve">nárok </w:t>
      </w:r>
      <w:r>
        <w:rPr>
          <w:color w:val="231F20"/>
        </w:rPr>
        <w:t xml:space="preserve">na náhradu vzniklé skutečné škody na pojištěném vozidle způsobené </w:t>
      </w:r>
      <w:r>
        <w:rPr>
          <w:color w:val="231F20"/>
          <w:spacing w:val="-3"/>
        </w:rPr>
        <w:t xml:space="preserve">jiným </w:t>
      </w:r>
      <w:r>
        <w:rPr>
          <w:color w:val="231F20"/>
        </w:rPr>
        <w:t>vozidlem.</w:t>
      </w:r>
      <w:r>
        <w:rPr>
          <w:color w:val="231F20"/>
          <w:spacing w:val="-7"/>
        </w:rPr>
        <w:t xml:space="preserve"> </w:t>
      </w:r>
      <w:r>
        <w:rPr>
          <w:color w:val="231F20"/>
        </w:rPr>
        <w:t>V</w:t>
      </w:r>
      <w:r>
        <w:rPr>
          <w:color w:val="231F20"/>
          <w:spacing w:val="-7"/>
        </w:rPr>
        <w:t xml:space="preserve"> </w:t>
      </w:r>
      <w:r>
        <w:rPr>
          <w:color w:val="231F20"/>
        </w:rPr>
        <w:t>takovém</w:t>
      </w:r>
      <w:r>
        <w:rPr>
          <w:color w:val="231F20"/>
          <w:spacing w:val="-7"/>
        </w:rPr>
        <w:t xml:space="preserve"> </w:t>
      </w:r>
      <w:r>
        <w:rPr>
          <w:color w:val="231F20"/>
        </w:rPr>
        <w:t>případě</w:t>
      </w:r>
      <w:r>
        <w:rPr>
          <w:color w:val="231F20"/>
          <w:spacing w:val="-7"/>
        </w:rPr>
        <w:t xml:space="preserve"> </w:t>
      </w:r>
      <w:r>
        <w:rPr>
          <w:color w:val="231F20"/>
        </w:rPr>
        <w:t>se</w:t>
      </w:r>
      <w:r>
        <w:rPr>
          <w:color w:val="231F20"/>
          <w:spacing w:val="-7"/>
        </w:rPr>
        <w:t xml:space="preserve"> </w:t>
      </w:r>
      <w:r>
        <w:rPr>
          <w:color w:val="231F20"/>
        </w:rPr>
        <w:t>pojistné</w:t>
      </w:r>
      <w:r>
        <w:rPr>
          <w:color w:val="231F20"/>
          <w:spacing w:val="-7"/>
        </w:rPr>
        <w:t xml:space="preserve"> </w:t>
      </w:r>
      <w:r>
        <w:rPr>
          <w:color w:val="231F20"/>
        </w:rPr>
        <w:t>plnění</w:t>
      </w:r>
      <w:r>
        <w:rPr>
          <w:color w:val="231F20"/>
          <w:spacing w:val="-7"/>
        </w:rPr>
        <w:t xml:space="preserve"> </w:t>
      </w:r>
      <w:r>
        <w:rPr>
          <w:color w:val="231F20"/>
        </w:rPr>
        <w:t>z</w:t>
      </w:r>
      <w:r>
        <w:rPr>
          <w:color w:val="231F20"/>
          <w:spacing w:val="-7"/>
        </w:rPr>
        <w:t xml:space="preserve"> </w:t>
      </w:r>
      <w:r>
        <w:rPr>
          <w:color w:val="231F20"/>
        </w:rPr>
        <w:t>pojištění</w:t>
      </w:r>
      <w:r>
        <w:rPr>
          <w:color w:val="231F20"/>
          <w:spacing w:val="-7"/>
        </w:rPr>
        <w:t xml:space="preserve"> </w:t>
      </w:r>
      <w:r>
        <w:rPr>
          <w:color w:val="231F20"/>
        </w:rPr>
        <w:t>stanoví:</w:t>
      </w:r>
    </w:p>
    <w:p w14:paraId="7D3057B5" w14:textId="77777777" w:rsidR="00F65BCA" w:rsidRDefault="00216117">
      <w:pPr>
        <w:pStyle w:val="Odstavecseseznamem"/>
        <w:numPr>
          <w:ilvl w:val="1"/>
          <w:numId w:val="94"/>
        </w:numPr>
        <w:tabs>
          <w:tab w:val="left" w:pos="640"/>
        </w:tabs>
        <w:spacing w:line="278" w:lineRule="auto"/>
        <w:ind w:right="424"/>
        <w:jc w:val="both"/>
        <w:rPr>
          <w:sz w:val="15"/>
        </w:rPr>
      </w:pPr>
      <w:r>
        <w:rPr>
          <w:color w:val="231F20"/>
          <w:sz w:val="15"/>
        </w:rPr>
        <w:t>pro variantu „GAP Fleet – Nová cena“ jako rozdíl mezi pořizovací cenou vozidla a tržní hodnotou vozidla stanovenou odpovědnostním</w:t>
      </w:r>
      <w:r>
        <w:rPr>
          <w:color w:val="231F20"/>
          <w:spacing w:val="-27"/>
          <w:sz w:val="15"/>
        </w:rPr>
        <w:t xml:space="preserve"> </w:t>
      </w:r>
      <w:r>
        <w:rPr>
          <w:color w:val="231F20"/>
          <w:spacing w:val="-2"/>
          <w:sz w:val="15"/>
        </w:rPr>
        <w:t xml:space="preserve">pojistitelem </w:t>
      </w:r>
      <w:r>
        <w:rPr>
          <w:color w:val="231F20"/>
          <w:sz w:val="15"/>
        </w:rPr>
        <w:t>toho jiného</w:t>
      </w:r>
      <w:r>
        <w:rPr>
          <w:color w:val="231F20"/>
          <w:spacing w:val="-2"/>
          <w:sz w:val="15"/>
        </w:rPr>
        <w:t xml:space="preserve"> </w:t>
      </w:r>
      <w:r>
        <w:rPr>
          <w:color w:val="231F20"/>
          <w:sz w:val="15"/>
        </w:rPr>
        <w:t>vozidla;</w:t>
      </w:r>
    </w:p>
    <w:p w14:paraId="42A1C692" w14:textId="77777777" w:rsidR="00F65BCA" w:rsidRDefault="00216117">
      <w:pPr>
        <w:pStyle w:val="Odstavecseseznamem"/>
        <w:numPr>
          <w:ilvl w:val="1"/>
          <w:numId w:val="94"/>
        </w:numPr>
        <w:tabs>
          <w:tab w:val="left" w:pos="640"/>
        </w:tabs>
        <w:spacing w:line="278" w:lineRule="auto"/>
        <w:ind w:right="424"/>
        <w:jc w:val="both"/>
        <w:rPr>
          <w:sz w:val="15"/>
        </w:rPr>
      </w:pPr>
      <w:r>
        <w:rPr>
          <w:color w:val="231F20"/>
          <w:sz w:val="15"/>
        </w:rPr>
        <w:t>pro variantu „GAP Fleet – Účetní hodnota“ jako rozdíl mezi účetní cenou vozidla a tržní hodnotou vozidla stanovenou odpovědnostním</w:t>
      </w:r>
      <w:r>
        <w:rPr>
          <w:color w:val="231F20"/>
          <w:spacing w:val="-27"/>
          <w:sz w:val="15"/>
        </w:rPr>
        <w:t xml:space="preserve"> </w:t>
      </w:r>
      <w:r>
        <w:rPr>
          <w:color w:val="231F20"/>
          <w:spacing w:val="-2"/>
          <w:sz w:val="15"/>
        </w:rPr>
        <w:t xml:space="preserve">pojistitelem </w:t>
      </w:r>
      <w:r>
        <w:rPr>
          <w:color w:val="231F20"/>
          <w:sz w:val="15"/>
        </w:rPr>
        <w:t>toho jiného</w:t>
      </w:r>
      <w:r>
        <w:rPr>
          <w:color w:val="231F20"/>
          <w:spacing w:val="-2"/>
          <w:sz w:val="15"/>
        </w:rPr>
        <w:t xml:space="preserve"> </w:t>
      </w:r>
      <w:r>
        <w:rPr>
          <w:color w:val="231F20"/>
          <w:sz w:val="15"/>
        </w:rPr>
        <w:t>vozidla.</w:t>
      </w:r>
    </w:p>
    <w:p w14:paraId="534BA6C7" w14:textId="77777777" w:rsidR="00F65BCA" w:rsidRDefault="00216117">
      <w:pPr>
        <w:pStyle w:val="Zkladntext"/>
        <w:spacing w:line="172" w:lineRule="exact"/>
        <w:ind w:left="187"/>
        <w:jc w:val="both"/>
      </w:pPr>
      <w:r>
        <w:rPr>
          <w:color w:val="231F20"/>
          <w:position w:val="1"/>
          <w:sz w:val="14"/>
          <w:shd w:val="clear" w:color="auto" w:fill="D1D3D4"/>
        </w:rPr>
        <w:t xml:space="preserve">  6</w:t>
      </w:r>
      <w:r>
        <w:rPr>
          <w:color w:val="231F20"/>
          <w:position w:val="1"/>
          <w:sz w:val="14"/>
        </w:rPr>
        <w:t xml:space="preserve"> </w:t>
      </w:r>
      <w:r>
        <w:rPr>
          <w:color w:val="231F20"/>
        </w:rPr>
        <w:t>Limit pojistného plnění a varianta pojištění jsou dojednány v seznamu vozidel.</w:t>
      </w:r>
    </w:p>
    <w:p w14:paraId="184A1509" w14:textId="77777777" w:rsidR="00F65BCA" w:rsidRDefault="00F65BCA">
      <w:pPr>
        <w:pStyle w:val="Zkladntext"/>
        <w:spacing w:before="11"/>
        <w:rPr>
          <w:sz w:val="22"/>
        </w:rPr>
      </w:pPr>
    </w:p>
    <w:p w14:paraId="6D15AD98" w14:textId="77777777" w:rsidR="00F65BCA" w:rsidRDefault="00216117">
      <w:pPr>
        <w:ind w:left="187"/>
        <w:rPr>
          <w:sz w:val="15"/>
        </w:rPr>
      </w:pPr>
      <w:r>
        <w:rPr>
          <w:color w:val="FFFFFF"/>
          <w:position w:val="3"/>
          <w:sz w:val="16"/>
          <w:shd w:val="clear" w:color="auto" w:fill="808285"/>
        </w:rPr>
        <w:t xml:space="preserve">  </w:t>
      </w:r>
      <w:r>
        <w:rPr>
          <w:color w:val="FFFFFF"/>
          <w:w w:val="105"/>
          <w:position w:val="3"/>
          <w:sz w:val="16"/>
          <w:shd w:val="clear" w:color="auto" w:fill="808285"/>
        </w:rPr>
        <w:t>Článek 57</w:t>
      </w:r>
      <w:r>
        <w:rPr>
          <w:color w:val="FFFFFF"/>
          <w:w w:val="105"/>
          <w:position w:val="3"/>
          <w:sz w:val="16"/>
        </w:rPr>
        <w:t xml:space="preserve"> </w:t>
      </w:r>
      <w:r>
        <w:rPr>
          <w:color w:val="231F20"/>
          <w:w w:val="105"/>
          <w:sz w:val="15"/>
        </w:rPr>
        <w:t>Speciální výkladová ustanovení</w:t>
      </w:r>
    </w:p>
    <w:p w14:paraId="73B18A50" w14:textId="77777777" w:rsidR="00F65BCA" w:rsidRDefault="00216117">
      <w:pPr>
        <w:pStyle w:val="Zkladntext"/>
        <w:spacing w:before="147" w:line="278" w:lineRule="auto"/>
        <w:ind w:left="186" w:right="424"/>
        <w:jc w:val="both"/>
      </w:pPr>
      <w:r>
        <w:rPr>
          <w:color w:val="231F20"/>
        </w:rPr>
        <w:t>Novým</w:t>
      </w:r>
      <w:r>
        <w:rPr>
          <w:color w:val="231F20"/>
          <w:spacing w:val="-14"/>
        </w:rPr>
        <w:t xml:space="preserve"> </w:t>
      </w:r>
      <w:r>
        <w:rPr>
          <w:color w:val="231F20"/>
        </w:rPr>
        <w:t>vozidlem</w:t>
      </w:r>
      <w:r>
        <w:rPr>
          <w:color w:val="231F20"/>
          <w:spacing w:val="-14"/>
        </w:rPr>
        <w:t xml:space="preserve"> </w:t>
      </w:r>
      <w:r>
        <w:rPr>
          <w:color w:val="231F20"/>
        </w:rPr>
        <w:t>se</w:t>
      </w:r>
      <w:r>
        <w:rPr>
          <w:color w:val="231F20"/>
          <w:spacing w:val="-13"/>
        </w:rPr>
        <w:t xml:space="preserve"> </w:t>
      </w:r>
      <w:r>
        <w:rPr>
          <w:color w:val="231F20"/>
        </w:rPr>
        <w:t>rozumí</w:t>
      </w:r>
      <w:r>
        <w:rPr>
          <w:color w:val="231F20"/>
          <w:spacing w:val="-14"/>
        </w:rPr>
        <w:t xml:space="preserve"> </w:t>
      </w:r>
      <w:r>
        <w:rPr>
          <w:color w:val="231F20"/>
        </w:rPr>
        <w:t>nové</w:t>
      </w:r>
      <w:r>
        <w:rPr>
          <w:color w:val="231F20"/>
          <w:spacing w:val="-13"/>
        </w:rPr>
        <w:t xml:space="preserve"> </w:t>
      </w:r>
      <w:r>
        <w:rPr>
          <w:color w:val="231F20"/>
        </w:rPr>
        <w:t>továrně</w:t>
      </w:r>
      <w:r>
        <w:rPr>
          <w:color w:val="231F20"/>
          <w:spacing w:val="-14"/>
        </w:rPr>
        <w:t xml:space="preserve"> </w:t>
      </w:r>
      <w:r>
        <w:rPr>
          <w:color w:val="231F20"/>
        </w:rPr>
        <w:t>vyrobené</w:t>
      </w:r>
      <w:r>
        <w:rPr>
          <w:color w:val="231F20"/>
          <w:spacing w:val="-13"/>
        </w:rPr>
        <w:t xml:space="preserve"> </w:t>
      </w:r>
      <w:r>
        <w:rPr>
          <w:color w:val="231F20"/>
        </w:rPr>
        <w:t>vozidlo,</w:t>
      </w:r>
      <w:r>
        <w:rPr>
          <w:color w:val="231F20"/>
          <w:spacing w:val="-14"/>
        </w:rPr>
        <w:t xml:space="preserve"> </w:t>
      </w:r>
      <w:r>
        <w:rPr>
          <w:color w:val="231F20"/>
        </w:rPr>
        <w:t>u</w:t>
      </w:r>
      <w:r>
        <w:rPr>
          <w:color w:val="231F20"/>
          <w:spacing w:val="-13"/>
        </w:rPr>
        <w:t xml:space="preserve"> </w:t>
      </w:r>
      <w:r>
        <w:rPr>
          <w:color w:val="231F20"/>
        </w:rPr>
        <w:t>kterého</w:t>
      </w:r>
      <w:r>
        <w:rPr>
          <w:color w:val="231F20"/>
          <w:spacing w:val="-14"/>
        </w:rPr>
        <w:t xml:space="preserve"> </w:t>
      </w:r>
      <w:r>
        <w:rPr>
          <w:color w:val="231F20"/>
        </w:rPr>
        <w:t>od</w:t>
      </w:r>
      <w:r>
        <w:rPr>
          <w:color w:val="231F20"/>
          <w:spacing w:val="-13"/>
        </w:rPr>
        <w:t xml:space="preserve"> </w:t>
      </w:r>
      <w:r>
        <w:rPr>
          <w:color w:val="231F20"/>
        </w:rPr>
        <w:t>data</w:t>
      </w:r>
      <w:r>
        <w:rPr>
          <w:color w:val="231F20"/>
          <w:spacing w:val="-14"/>
        </w:rPr>
        <w:t xml:space="preserve"> </w:t>
      </w:r>
      <w:r>
        <w:rPr>
          <w:color w:val="231F20"/>
        </w:rPr>
        <w:t>prv- ní</w:t>
      </w:r>
      <w:r>
        <w:rPr>
          <w:color w:val="231F20"/>
          <w:spacing w:val="-19"/>
        </w:rPr>
        <w:t xml:space="preserve"> </w:t>
      </w:r>
      <w:r>
        <w:rPr>
          <w:color w:val="231F20"/>
        </w:rPr>
        <w:t>registrace</w:t>
      </w:r>
      <w:r>
        <w:rPr>
          <w:color w:val="231F20"/>
          <w:spacing w:val="-18"/>
        </w:rPr>
        <w:t xml:space="preserve"> </w:t>
      </w:r>
      <w:r>
        <w:rPr>
          <w:color w:val="231F20"/>
        </w:rPr>
        <w:t>neuplynulo</w:t>
      </w:r>
      <w:r>
        <w:rPr>
          <w:color w:val="231F20"/>
          <w:spacing w:val="-19"/>
        </w:rPr>
        <w:t xml:space="preserve"> </w:t>
      </w:r>
      <w:r>
        <w:rPr>
          <w:color w:val="231F20"/>
        </w:rPr>
        <w:t>do</w:t>
      </w:r>
      <w:r>
        <w:rPr>
          <w:color w:val="231F20"/>
          <w:spacing w:val="-18"/>
        </w:rPr>
        <w:t xml:space="preserve"> </w:t>
      </w:r>
      <w:r>
        <w:rPr>
          <w:color w:val="231F20"/>
        </w:rPr>
        <w:t>doby</w:t>
      </w:r>
      <w:r>
        <w:rPr>
          <w:color w:val="231F20"/>
          <w:spacing w:val="-18"/>
        </w:rPr>
        <w:t xml:space="preserve"> </w:t>
      </w:r>
      <w:r>
        <w:rPr>
          <w:color w:val="231F20"/>
        </w:rPr>
        <w:t>uzavření</w:t>
      </w:r>
      <w:r>
        <w:rPr>
          <w:color w:val="231F20"/>
          <w:spacing w:val="-19"/>
        </w:rPr>
        <w:t xml:space="preserve"> </w:t>
      </w:r>
      <w:r>
        <w:rPr>
          <w:color w:val="231F20"/>
        </w:rPr>
        <w:t>tohoto</w:t>
      </w:r>
      <w:r>
        <w:rPr>
          <w:color w:val="231F20"/>
          <w:spacing w:val="-18"/>
        </w:rPr>
        <w:t xml:space="preserve"> </w:t>
      </w:r>
      <w:r>
        <w:rPr>
          <w:color w:val="231F20"/>
        </w:rPr>
        <w:t>pojištění</w:t>
      </w:r>
      <w:r>
        <w:rPr>
          <w:color w:val="231F20"/>
          <w:spacing w:val="-18"/>
        </w:rPr>
        <w:t xml:space="preserve"> </w:t>
      </w:r>
      <w:r>
        <w:rPr>
          <w:color w:val="231F20"/>
        </w:rPr>
        <w:t>více</w:t>
      </w:r>
      <w:r>
        <w:rPr>
          <w:color w:val="231F20"/>
          <w:spacing w:val="-19"/>
        </w:rPr>
        <w:t xml:space="preserve"> </w:t>
      </w:r>
      <w:r>
        <w:rPr>
          <w:color w:val="231F20"/>
        </w:rPr>
        <w:t>než</w:t>
      </w:r>
      <w:r>
        <w:rPr>
          <w:color w:val="231F20"/>
          <w:spacing w:val="-17"/>
        </w:rPr>
        <w:t xml:space="preserve"> </w:t>
      </w:r>
      <w:r>
        <w:rPr>
          <w:color w:val="231F20"/>
        </w:rPr>
        <w:t>6</w:t>
      </w:r>
      <w:r>
        <w:rPr>
          <w:color w:val="231F20"/>
          <w:spacing w:val="-19"/>
        </w:rPr>
        <w:t xml:space="preserve"> </w:t>
      </w:r>
      <w:r>
        <w:rPr>
          <w:color w:val="231F20"/>
        </w:rPr>
        <w:t>kalendářních měsíců</w:t>
      </w:r>
      <w:r>
        <w:rPr>
          <w:color w:val="231F20"/>
          <w:spacing w:val="-11"/>
        </w:rPr>
        <w:t xml:space="preserve"> </w:t>
      </w:r>
      <w:r>
        <w:rPr>
          <w:color w:val="231F20"/>
        </w:rPr>
        <w:t>a</w:t>
      </w:r>
      <w:r>
        <w:rPr>
          <w:color w:val="231F20"/>
          <w:spacing w:val="-11"/>
        </w:rPr>
        <w:t xml:space="preserve"> </w:t>
      </w:r>
      <w:r>
        <w:rPr>
          <w:color w:val="231F20"/>
        </w:rPr>
        <w:t>bylo</w:t>
      </w:r>
      <w:r>
        <w:rPr>
          <w:color w:val="231F20"/>
          <w:spacing w:val="-11"/>
        </w:rPr>
        <w:t xml:space="preserve"> </w:t>
      </w:r>
      <w:r>
        <w:rPr>
          <w:color w:val="231F20"/>
        </w:rPr>
        <w:t>zakoupeno</w:t>
      </w:r>
      <w:r>
        <w:rPr>
          <w:color w:val="231F20"/>
          <w:spacing w:val="-11"/>
        </w:rPr>
        <w:t xml:space="preserve"> </w:t>
      </w:r>
      <w:r>
        <w:rPr>
          <w:color w:val="231F20"/>
        </w:rPr>
        <w:t>v</w:t>
      </w:r>
      <w:r>
        <w:rPr>
          <w:color w:val="231F20"/>
          <w:spacing w:val="-11"/>
        </w:rPr>
        <w:t xml:space="preserve"> </w:t>
      </w:r>
      <w:r>
        <w:rPr>
          <w:color w:val="231F20"/>
        </w:rPr>
        <w:t>síti</w:t>
      </w:r>
      <w:r>
        <w:rPr>
          <w:color w:val="231F20"/>
          <w:spacing w:val="-11"/>
        </w:rPr>
        <w:t xml:space="preserve"> </w:t>
      </w:r>
      <w:r>
        <w:rPr>
          <w:color w:val="231F20"/>
        </w:rPr>
        <w:t>autorizovaných</w:t>
      </w:r>
      <w:r>
        <w:rPr>
          <w:color w:val="231F20"/>
          <w:spacing w:val="-11"/>
        </w:rPr>
        <w:t xml:space="preserve"> </w:t>
      </w:r>
      <w:r>
        <w:rPr>
          <w:color w:val="231F20"/>
        </w:rPr>
        <w:t>prodejců</w:t>
      </w:r>
      <w:r>
        <w:rPr>
          <w:color w:val="231F20"/>
          <w:spacing w:val="-11"/>
        </w:rPr>
        <w:t xml:space="preserve"> </w:t>
      </w:r>
      <w:r>
        <w:rPr>
          <w:color w:val="231F20"/>
        </w:rPr>
        <w:t>příslušné</w:t>
      </w:r>
      <w:r>
        <w:rPr>
          <w:color w:val="231F20"/>
          <w:spacing w:val="-10"/>
        </w:rPr>
        <w:t xml:space="preserve"> </w:t>
      </w:r>
      <w:r>
        <w:rPr>
          <w:color w:val="231F20"/>
        </w:rPr>
        <w:t>tovární</w:t>
      </w:r>
      <w:r>
        <w:rPr>
          <w:color w:val="231F20"/>
          <w:spacing w:val="-11"/>
        </w:rPr>
        <w:t xml:space="preserve"> </w:t>
      </w:r>
      <w:r>
        <w:rPr>
          <w:color w:val="231F20"/>
        </w:rPr>
        <w:t>značky v České</w:t>
      </w:r>
      <w:r>
        <w:rPr>
          <w:color w:val="231F20"/>
          <w:spacing w:val="-1"/>
        </w:rPr>
        <w:t xml:space="preserve"> </w:t>
      </w:r>
      <w:r>
        <w:rPr>
          <w:color w:val="231F20"/>
        </w:rPr>
        <w:t>republice.</w:t>
      </w:r>
    </w:p>
    <w:p w14:paraId="7D14270E" w14:textId="77777777" w:rsidR="00F65BCA" w:rsidRDefault="00216117">
      <w:pPr>
        <w:pStyle w:val="Zkladntext"/>
        <w:spacing w:line="278" w:lineRule="auto"/>
        <w:ind w:left="186" w:right="424"/>
        <w:jc w:val="both"/>
      </w:pPr>
      <w:r>
        <w:rPr>
          <w:color w:val="231F20"/>
        </w:rPr>
        <w:t>Pořizovací</w:t>
      </w:r>
      <w:r>
        <w:rPr>
          <w:color w:val="231F20"/>
          <w:spacing w:val="-8"/>
        </w:rPr>
        <w:t xml:space="preserve"> </w:t>
      </w:r>
      <w:r>
        <w:rPr>
          <w:color w:val="231F20"/>
        </w:rPr>
        <w:t>cenou</w:t>
      </w:r>
      <w:r>
        <w:rPr>
          <w:color w:val="231F20"/>
          <w:spacing w:val="-8"/>
        </w:rPr>
        <w:t xml:space="preserve"> </w:t>
      </w:r>
      <w:r>
        <w:rPr>
          <w:color w:val="231F20"/>
        </w:rPr>
        <w:t>se</w:t>
      </w:r>
      <w:r>
        <w:rPr>
          <w:color w:val="231F20"/>
          <w:spacing w:val="-8"/>
        </w:rPr>
        <w:t xml:space="preserve"> </w:t>
      </w:r>
      <w:r>
        <w:rPr>
          <w:color w:val="231F20"/>
        </w:rPr>
        <w:t>rozumí</w:t>
      </w:r>
      <w:r>
        <w:rPr>
          <w:color w:val="231F20"/>
          <w:spacing w:val="-8"/>
        </w:rPr>
        <w:t xml:space="preserve"> </w:t>
      </w:r>
      <w:r>
        <w:rPr>
          <w:color w:val="231F20"/>
        </w:rPr>
        <w:t>cena</w:t>
      </w:r>
      <w:r>
        <w:rPr>
          <w:color w:val="231F20"/>
          <w:spacing w:val="-7"/>
        </w:rPr>
        <w:t xml:space="preserve"> </w:t>
      </w:r>
      <w:r>
        <w:rPr>
          <w:color w:val="231F20"/>
        </w:rPr>
        <w:t>vozidla</w:t>
      </w:r>
      <w:r>
        <w:rPr>
          <w:color w:val="231F20"/>
          <w:spacing w:val="-8"/>
        </w:rPr>
        <w:t xml:space="preserve"> </w:t>
      </w:r>
      <w:r>
        <w:rPr>
          <w:color w:val="231F20"/>
        </w:rPr>
        <w:t>včetně</w:t>
      </w:r>
      <w:r>
        <w:rPr>
          <w:color w:val="231F20"/>
          <w:spacing w:val="-8"/>
        </w:rPr>
        <w:t xml:space="preserve"> </w:t>
      </w:r>
      <w:r>
        <w:rPr>
          <w:color w:val="231F20"/>
        </w:rPr>
        <w:t>DPH,</w:t>
      </w:r>
      <w:r>
        <w:rPr>
          <w:color w:val="231F20"/>
          <w:spacing w:val="-8"/>
        </w:rPr>
        <w:t xml:space="preserve"> </w:t>
      </w:r>
      <w:r>
        <w:rPr>
          <w:color w:val="231F20"/>
        </w:rPr>
        <w:t>pokud</w:t>
      </w:r>
      <w:r>
        <w:rPr>
          <w:color w:val="231F20"/>
          <w:spacing w:val="-8"/>
        </w:rPr>
        <w:t xml:space="preserve"> </w:t>
      </w:r>
      <w:r>
        <w:rPr>
          <w:color w:val="231F20"/>
        </w:rPr>
        <w:t>pojištěný</w:t>
      </w:r>
      <w:r>
        <w:rPr>
          <w:color w:val="231F20"/>
          <w:spacing w:val="-7"/>
        </w:rPr>
        <w:t xml:space="preserve"> </w:t>
      </w:r>
      <w:r>
        <w:rPr>
          <w:color w:val="231F20"/>
        </w:rPr>
        <w:t>není</w:t>
      </w:r>
      <w:r>
        <w:rPr>
          <w:color w:val="231F20"/>
          <w:spacing w:val="-8"/>
        </w:rPr>
        <w:t xml:space="preserve"> </w:t>
      </w:r>
      <w:r>
        <w:rPr>
          <w:color w:val="231F20"/>
          <w:spacing w:val="-3"/>
        </w:rPr>
        <w:t xml:space="preserve">plát- </w:t>
      </w:r>
      <w:r>
        <w:rPr>
          <w:color w:val="231F20"/>
        </w:rPr>
        <w:t xml:space="preserve">cem DPH, nebo bez DPH, pokud pojištěný je plátcem DPH, uvedená na faktu- ře/daňovém dokladu nebo kupní nebo leasingové či úvěrové smlouvě, které </w:t>
      </w:r>
      <w:r>
        <w:rPr>
          <w:color w:val="231F20"/>
          <w:spacing w:val="-9"/>
        </w:rPr>
        <w:t xml:space="preserve">se </w:t>
      </w:r>
      <w:r>
        <w:rPr>
          <w:color w:val="231F20"/>
        </w:rPr>
        <w:t>vztahují</w:t>
      </w:r>
      <w:r>
        <w:rPr>
          <w:color w:val="231F20"/>
          <w:spacing w:val="-19"/>
        </w:rPr>
        <w:t xml:space="preserve"> </w:t>
      </w:r>
      <w:r>
        <w:rPr>
          <w:color w:val="231F20"/>
        </w:rPr>
        <w:t>k</w:t>
      </w:r>
      <w:r>
        <w:rPr>
          <w:color w:val="231F20"/>
          <w:spacing w:val="-18"/>
        </w:rPr>
        <w:t xml:space="preserve"> </w:t>
      </w:r>
      <w:r>
        <w:rPr>
          <w:color w:val="231F20"/>
        </w:rPr>
        <w:t>vozidlu</w:t>
      </w:r>
      <w:r>
        <w:rPr>
          <w:color w:val="231F20"/>
          <w:spacing w:val="-18"/>
        </w:rPr>
        <w:t xml:space="preserve"> </w:t>
      </w:r>
      <w:r>
        <w:rPr>
          <w:color w:val="231F20"/>
        </w:rPr>
        <w:t>a</w:t>
      </w:r>
      <w:r>
        <w:rPr>
          <w:color w:val="231F20"/>
          <w:spacing w:val="-18"/>
        </w:rPr>
        <w:t xml:space="preserve"> </w:t>
      </w:r>
      <w:r>
        <w:rPr>
          <w:color w:val="231F20"/>
        </w:rPr>
        <w:t>jeho</w:t>
      </w:r>
      <w:r>
        <w:rPr>
          <w:color w:val="231F20"/>
          <w:spacing w:val="-18"/>
        </w:rPr>
        <w:t xml:space="preserve"> </w:t>
      </w:r>
      <w:r>
        <w:rPr>
          <w:color w:val="231F20"/>
        </w:rPr>
        <w:t>výrobcem</w:t>
      </w:r>
      <w:r>
        <w:rPr>
          <w:color w:val="231F20"/>
          <w:spacing w:val="-18"/>
        </w:rPr>
        <w:t xml:space="preserve"> </w:t>
      </w:r>
      <w:r>
        <w:rPr>
          <w:color w:val="231F20"/>
        </w:rPr>
        <w:t>schválené</w:t>
      </w:r>
      <w:r>
        <w:rPr>
          <w:color w:val="231F20"/>
          <w:spacing w:val="-18"/>
        </w:rPr>
        <w:t xml:space="preserve"> </w:t>
      </w:r>
      <w:r>
        <w:rPr>
          <w:color w:val="231F20"/>
        </w:rPr>
        <w:t>výbavě.</w:t>
      </w:r>
      <w:r>
        <w:rPr>
          <w:color w:val="231F20"/>
          <w:spacing w:val="-18"/>
        </w:rPr>
        <w:t xml:space="preserve"> </w:t>
      </w:r>
      <w:r>
        <w:rPr>
          <w:color w:val="231F20"/>
        </w:rPr>
        <w:t>Pořizovací</w:t>
      </w:r>
      <w:r>
        <w:rPr>
          <w:color w:val="231F20"/>
          <w:spacing w:val="-19"/>
        </w:rPr>
        <w:t xml:space="preserve"> </w:t>
      </w:r>
      <w:r>
        <w:rPr>
          <w:color w:val="231F20"/>
        </w:rPr>
        <w:t>cena</w:t>
      </w:r>
      <w:r>
        <w:rPr>
          <w:color w:val="231F20"/>
          <w:spacing w:val="-18"/>
        </w:rPr>
        <w:t xml:space="preserve"> </w:t>
      </w:r>
      <w:r>
        <w:rPr>
          <w:color w:val="231F20"/>
        </w:rPr>
        <w:t>nezahrnuje žádné</w:t>
      </w:r>
      <w:r>
        <w:rPr>
          <w:color w:val="231F20"/>
          <w:spacing w:val="-25"/>
        </w:rPr>
        <w:t xml:space="preserve"> </w:t>
      </w:r>
      <w:r>
        <w:rPr>
          <w:color w:val="231F20"/>
        </w:rPr>
        <w:t>další</w:t>
      </w:r>
      <w:r>
        <w:rPr>
          <w:color w:val="231F20"/>
          <w:spacing w:val="-24"/>
        </w:rPr>
        <w:t xml:space="preserve"> </w:t>
      </w:r>
      <w:r>
        <w:rPr>
          <w:color w:val="231F20"/>
        </w:rPr>
        <w:t>doplňky</w:t>
      </w:r>
      <w:r>
        <w:rPr>
          <w:color w:val="231F20"/>
          <w:spacing w:val="-24"/>
        </w:rPr>
        <w:t xml:space="preserve"> </w:t>
      </w:r>
      <w:r>
        <w:rPr>
          <w:color w:val="231F20"/>
        </w:rPr>
        <w:t>a</w:t>
      </w:r>
      <w:r>
        <w:rPr>
          <w:color w:val="231F20"/>
          <w:spacing w:val="-25"/>
        </w:rPr>
        <w:t xml:space="preserve"> </w:t>
      </w:r>
      <w:r>
        <w:rPr>
          <w:color w:val="231F20"/>
        </w:rPr>
        <w:t>příslušenství,</w:t>
      </w:r>
      <w:r>
        <w:rPr>
          <w:color w:val="231F20"/>
          <w:spacing w:val="-24"/>
        </w:rPr>
        <w:t xml:space="preserve"> </w:t>
      </w:r>
      <w:r>
        <w:rPr>
          <w:color w:val="231F20"/>
        </w:rPr>
        <w:t>služby</w:t>
      </w:r>
      <w:r>
        <w:rPr>
          <w:color w:val="231F20"/>
          <w:spacing w:val="-24"/>
        </w:rPr>
        <w:t xml:space="preserve"> </w:t>
      </w:r>
      <w:r>
        <w:rPr>
          <w:color w:val="231F20"/>
        </w:rPr>
        <w:t>či</w:t>
      </w:r>
      <w:r>
        <w:rPr>
          <w:color w:val="231F20"/>
          <w:spacing w:val="-25"/>
        </w:rPr>
        <w:t xml:space="preserve"> </w:t>
      </w:r>
      <w:r>
        <w:rPr>
          <w:color w:val="231F20"/>
        </w:rPr>
        <w:t>poplatky</w:t>
      </w:r>
      <w:r>
        <w:rPr>
          <w:color w:val="231F20"/>
          <w:spacing w:val="-24"/>
        </w:rPr>
        <w:t xml:space="preserve"> </w:t>
      </w:r>
      <w:r>
        <w:rPr>
          <w:color w:val="231F20"/>
        </w:rPr>
        <w:t>spojené</w:t>
      </w:r>
      <w:r>
        <w:rPr>
          <w:color w:val="231F20"/>
          <w:spacing w:val="-24"/>
        </w:rPr>
        <w:t xml:space="preserve"> </w:t>
      </w:r>
      <w:r>
        <w:rPr>
          <w:color w:val="231F20"/>
        </w:rPr>
        <w:t>s</w:t>
      </w:r>
      <w:r>
        <w:rPr>
          <w:color w:val="231F20"/>
          <w:spacing w:val="-24"/>
        </w:rPr>
        <w:t xml:space="preserve"> </w:t>
      </w:r>
      <w:r>
        <w:rPr>
          <w:color w:val="231F20"/>
        </w:rPr>
        <w:t>pořízením</w:t>
      </w:r>
      <w:r>
        <w:rPr>
          <w:color w:val="231F20"/>
          <w:spacing w:val="-25"/>
        </w:rPr>
        <w:t xml:space="preserve"> </w:t>
      </w:r>
      <w:r>
        <w:rPr>
          <w:color w:val="231F20"/>
        </w:rPr>
        <w:t>vozidla. Pojistná</w:t>
      </w:r>
      <w:r>
        <w:rPr>
          <w:color w:val="231F20"/>
          <w:spacing w:val="-23"/>
        </w:rPr>
        <w:t xml:space="preserve"> </w:t>
      </w:r>
      <w:r>
        <w:rPr>
          <w:color w:val="231F20"/>
        </w:rPr>
        <w:t>částka</w:t>
      </w:r>
      <w:r>
        <w:rPr>
          <w:color w:val="231F20"/>
          <w:spacing w:val="-23"/>
        </w:rPr>
        <w:t xml:space="preserve"> </w:t>
      </w:r>
      <w:r>
        <w:rPr>
          <w:color w:val="231F20"/>
        </w:rPr>
        <w:t>v</w:t>
      </w:r>
      <w:r>
        <w:rPr>
          <w:color w:val="231F20"/>
          <w:spacing w:val="-22"/>
        </w:rPr>
        <w:t xml:space="preserve"> </w:t>
      </w:r>
      <w:r>
        <w:rPr>
          <w:color w:val="231F20"/>
        </w:rPr>
        <w:t>základním</w:t>
      </w:r>
      <w:r>
        <w:rPr>
          <w:color w:val="231F20"/>
          <w:spacing w:val="-23"/>
        </w:rPr>
        <w:t xml:space="preserve"> </w:t>
      </w:r>
      <w:r>
        <w:rPr>
          <w:color w:val="231F20"/>
        </w:rPr>
        <w:t>pojištění</w:t>
      </w:r>
      <w:r>
        <w:rPr>
          <w:color w:val="231F20"/>
          <w:spacing w:val="-23"/>
        </w:rPr>
        <w:t xml:space="preserve"> </w:t>
      </w:r>
      <w:r>
        <w:rPr>
          <w:color w:val="231F20"/>
        </w:rPr>
        <w:t>odpovídá</w:t>
      </w:r>
      <w:r>
        <w:rPr>
          <w:color w:val="231F20"/>
          <w:spacing w:val="-22"/>
        </w:rPr>
        <w:t xml:space="preserve"> </w:t>
      </w:r>
      <w:r>
        <w:rPr>
          <w:color w:val="231F20"/>
        </w:rPr>
        <w:t>k</w:t>
      </w:r>
      <w:r>
        <w:rPr>
          <w:color w:val="231F20"/>
          <w:spacing w:val="-23"/>
        </w:rPr>
        <w:t xml:space="preserve"> </w:t>
      </w:r>
      <w:r>
        <w:rPr>
          <w:color w:val="231F20"/>
        </w:rPr>
        <w:t>datu</w:t>
      </w:r>
      <w:r>
        <w:rPr>
          <w:color w:val="231F20"/>
          <w:spacing w:val="-22"/>
        </w:rPr>
        <w:t xml:space="preserve"> </w:t>
      </w:r>
      <w:r>
        <w:rPr>
          <w:color w:val="231F20"/>
        </w:rPr>
        <w:t>sjednání</w:t>
      </w:r>
      <w:r>
        <w:rPr>
          <w:color w:val="231F20"/>
          <w:spacing w:val="-23"/>
        </w:rPr>
        <w:t xml:space="preserve"> </w:t>
      </w:r>
      <w:r>
        <w:rPr>
          <w:color w:val="231F20"/>
        </w:rPr>
        <w:t>pojištění</w:t>
      </w:r>
      <w:r>
        <w:rPr>
          <w:color w:val="231F20"/>
          <w:spacing w:val="-23"/>
        </w:rPr>
        <w:t xml:space="preserve"> </w:t>
      </w:r>
      <w:r>
        <w:rPr>
          <w:color w:val="231F20"/>
        </w:rPr>
        <w:t>pořizovací ceně</w:t>
      </w:r>
      <w:r>
        <w:rPr>
          <w:color w:val="231F20"/>
          <w:spacing w:val="-1"/>
        </w:rPr>
        <w:t xml:space="preserve"> </w:t>
      </w:r>
      <w:r>
        <w:rPr>
          <w:color w:val="231F20"/>
        </w:rPr>
        <w:t>vozidla.</w:t>
      </w:r>
    </w:p>
    <w:p w14:paraId="092B3801" w14:textId="77777777" w:rsidR="00F65BCA" w:rsidRDefault="00216117">
      <w:pPr>
        <w:pStyle w:val="Zkladntext"/>
        <w:spacing w:line="278" w:lineRule="auto"/>
        <w:ind w:left="186" w:right="424"/>
        <w:jc w:val="both"/>
      </w:pPr>
      <w:r>
        <w:rPr>
          <w:color w:val="231F20"/>
        </w:rPr>
        <w:t>Účetní</w:t>
      </w:r>
      <w:r>
        <w:rPr>
          <w:color w:val="231F20"/>
          <w:spacing w:val="-11"/>
        </w:rPr>
        <w:t xml:space="preserve"> </w:t>
      </w:r>
      <w:r>
        <w:rPr>
          <w:color w:val="231F20"/>
        </w:rPr>
        <w:t>cenou</w:t>
      </w:r>
      <w:r>
        <w:rPr>
          <w:color w:val="231F20"/>
          <w:spacing w:val="-11"/>
        </w:rPr>
        <w:t xml:space="preserve"> </w:t>
      </w:r>
      <w:r>
        <w:rPr>
          <w:color w:val="231F20"/>
        </w:rPr>
        <w:t>se</w:t>
      </w:r>
      <w:r>
        <w:rPr>
          <w:color w:val="231F20"/>
          <w:spacing w:val="-11"/>
        </w:rPr>
        <w:t xml:space="preserve"> </w:t>
      </w:r>
      <w:r>
        <w:rPr>
          <w:color w:val="231F20"/>
        </w:rPr>
        <w:t>rozumí</w:t>
      </w:r>
      <w:r>
        <w:rPr>
          <w:color w:val="231F20"/>
          <w:spacing w:val="-10"/>
        </w:rPr>
        <w:t xml:space="preserve"> </w:t>
      </w:r>
      <w:r>
        <w:rPr>
          <w:color w:val="231F20"/>
        </w:rPr>
        <w:t>finanční</w:t>
      </w:r>
      <w:r>
        <w:rPr>
          <w:color w:val="231F20"/>
          <w:spacing w:val="-11"/>
        </w:rPr>
        <w:t xml:space="preserve"> </w:t>
      </w:r>
      <w:r>
        <w:rPr>
          <w:color w:val="231F20"/>
        </w:rPr>
        <w:t>hodnota</w:t>
      </w:r>
      <w:r>
        <w:rPr>
          <w:color w:val="231F20"/>
          <w:spacing w:val="-11"/>
        </w:rPr>
        <w:t xml:space="preserve"> </w:t>
      </w:r>
      <w:r>
        <w:rPr>
          <w:color w:val="231F20"/>
        </w:rPr>
        <w:t>vozidla</w:t>
      </w:r>
      <w:r>
        <w:rPr>
          <w:color w:val="231F20"/>
          <w:spacing w:val="-10"/>
        </w:rPr>
        <w:t xml:space="preserve"> </w:t>
      </w:r>
      <w:r>
        <w:rPr>
          <w:color w:val="231F20"/>
        </w:rPr>
        <w:t>vedená</w:t>
      </w:r>
      <w:r>
        <w:rPr>
          <w:color w:val="231F20"/>
          <w:spacing w:val="-11"/>
        </w:rPr>
        <w:t xml:space="preserve"> </w:t>
      </w:r>
      <w:r>
        <w:rPr>
          <w:color w:val="231F20"/>
        </w:rPr>
        <w:t>vlastníkem</w:t>
      </w:r>
      <w:r>
        <w:rPr>
          <w:color w:val="231F20"/>
          <w:spacing w:val="-11"/>
        </w:rPr>
        <w:t xml:space="preserve"> </w:t>
      </w:r>
      <w:r>
        <w:rPr>
          <w:color w:val="231F20"/>
        </w:rPr>
        <w:t>v</w:t>
      </w:r>
      <w:r>
        <w:rPr>
          <w:color w:val="231F20"/>
          <w:spacing w:val="-11"/>
        </w:rPr>
        <w:t xml:space="preserve"> </w:t>
      </w:r>
      <w:r>
        <w:rPr>
          <w:color w:val="231F20"/>
        </w:rPr>
        <w:t>účetní</w:t>
      </w:r>
      <w:r>
        <w:rPr>
          <w:color w:val="231F20"/>
          <w:spacing w:val="-10"/>
        </w:rPr>
        <w:t xml:space="preserve"> </w:t>
      </w:r>
      <w:r>
        <w:rPr>
          <w:color w:val="231F20"/>
        </w:rPr>
        <w:t>evi- denci</w:t>
      </w:r>
      <w:r>
        <w:rPr>
          <w:color w:val="231F20"/>
          <w:spacing w:val="-4"/>
        </w:rPr>
        <w:t xml:space="preserve"> </w:t>
      </w:r>
      <w:r>
        <w:rPr>
          <w:color w:val="231F20"/>
        </w:rPr>
        <w:t>v</w:t>
      </w:r>
      <w:r>
        <w:rPr>
          <w:color w:val="231F20"/>
          <w:spacing w:val="-3"/>
        </w:rPr>
        <w:t xml:space="preserve"> </w:t>
      </w:r>
      <w:r>
        <w:rPr>
          <w:color w:val="231F20"/>
        </w:rPr>
        <w:t>okamžiku</w:t>
      </w:r>
      <w:r>
        <w:rPr>
          <w:color w:val="231F20"/>
          <w:spacing w:val="-4"/>
        </w:rPr>
        <w:t xml:space="preserve"> </w:t>
      </w:r>
      <w:r>
        <w:rPr>
          <w:color w:val="231F20"/>
        </w:rPr>
        <w:t>pojistné</w:t>
      </w:r>
      <w:r>
        <w:rPr>
          <w:color w:val="231F20"/>
          <w:spacing w:val="-3"/>
        </w:rPr>
        <w:t xml:space="preserve"> </w:t>
      </w:r>
      <w:r>
        <w:rPr>
          <w:color w:val="231F20"/>
        </w:rPr>
        <w:t>události.</w:t>
      </w:r>
      <w:r>
        <w:rPr>
          <w:color w:val="231F20"/>
          <w:spacing w:val="-4"/>
        </w:rPr>
        <w:t xml:space="preserve"> </w:t>
      </w:r>
      <w:r>
        <w:rPr>
          <w:color w:val="231F20"/>
        </w:rPr>
        <w:t>Účetní</w:t>
      </w:r>
      <w:r>
        <w:rPr>
          <w:color w:val="231F20"/>
          <w:spacing w:val="-3"/>
        </w:rPr>
        <w:t xml:space="preserve"> </w:t>
      </w:r>
      <w:r>
        <w:rPr>
          <w:color w:val="231F20"/>
        </w:rPr>
        <w:t>cenou</w:t>
      </w:r>
      <w:r>
        <w:rPr>
          <w:color w:val="231F20"/>
          <w:spacing w:val="-4"/>
        </w:rPr>
        <w:t xml:space="preserve"> </w:t>
      </w:r>
      <w:r>
        <w:rPr>
          <w:color w:val="231F20"/>
        </w:rPr>
        <w:t>nejsou</w:t>
      </w:r>
      <w:r>
        <w:rPr>
          <w:color w:val="231F20"/>
          <w:spacing w:val="-3"/>
        </w:rPr>
        <w:t xml:space="preserve"> </w:t>
      </w:r>
      <w:r>
        <w:rPr>
          <w:color w:val="231F20"/>
        </w:rPr>
        <w:t>jakékoliv</w:t>
      </w:r>
      <w:r>
        <w:rPr>
          <w:color w:val="231F20"/>
          <w:spacing w:val="-3"/>
        </w:rPr>
        <w:t xml:space="preserve"> </w:t>
      </w:r>
      <w:r>
        <w:rPr>
          <w:color w:val="231F20"/>
        </w:rPr>
        <w:t>další</w:t>
      </w:r>
      <w:r>
        <w:rPr>
          <w:color w:val="231F20"/>
          <w:spacing w:val="-4"/>
        </w:rPr>
        <w:t xml:space="preserve"> </w:t>
      </w:r>
      <w:r>
        <w:rPr>
          <w:color w:val="231F20"/>
        </w:rPr>
        <w:t>služby</w:t>
      </w:r>
      <w:r>
        <w:rPr>
          <w:color w:val="231F20"/>
          <w:spacing w:val="-3"/>
        </w:rPr>
        <w:t xml:space="preserve"> </w:t>
      </w:r>
      <w:r>
        <w:rPr>
          <w:color w:val="231F20"/>
          <w:spacing w:val="-5"/>
        </w:rPr>
        <w:t xml:space="preserve">či </w:t>
      </w:r>
      <w:r>
        <w:rPr>
          <w:color w:val="231F20"/>
        </w:rPr>
        <w:t>poplatky,</w:t>
      </w:r>
      <w:r>
        <w:rPr>
          <w:color w:val="231F20"/>
          <w:spacing w:val="-12"/>
        </w:rPr>
        <w:t xml:space="preserve"> </w:t>
      </w:r>
      <w:r>
        <w:rPr>
          <w:color w:val="231F20"/>
        </w:rPr>
        <w:t>které</w:t>
      </w:r>
      <w:r>
        <w:rPr>
          <w:color w:val="231F20"/>
          <w:spacing w:val="-11"/>
        </w:rPr>
        <w:t xml:space="preserve"> </w:t>
      </w:r>
      <w:r>
        <w:rPr>
          <w:color w:val="231F20"/>
        </w:rPr>
        <w:t>byly</w:t>
      </w:r>
      <w:r>
        <w:rPr>
          <w:color w:val="231F20"/>
          <w:spacing w:val="-11"/>
        </w:rPr>
        <w:t xml:space="preserve"> </w:t>
      </w:r>
      <w:r>
        <w:rPr>
          <w:color w:val="231F20"/>
        </w:rPr>
        <w:t>pořízeny</w:t>
      </w:r>
      <w:r>
        <w:rPr>
          <w:color w:val="231F20"/>
          <w:spacing w:val="-11"/>
        </w:rPr>
        <w:t xml:space="preserve"> </w:t>
      </w:r>
      <w:r>
        <w:rPr>
          <w:color w:val="231F20"/>
        </w:rPr>
        <w:t>k</w:t>
      </w:r>
      <w:r>
        <w:rPr>
          <w:color w:val="231F20"/>
          <w:spacing w:val="-11"/>
        </w:rPr>
        <w:t xml:space="preserve"> </w:t>
      </w:r>
      <w:r>
        <w:rPr>
          <w:color w:val="231F20"/>
        </w:rPr>
        <w:t>vozidlu.</w:t>
      </w:r>
      <w:r>
        <w:rPr>
          <w:color w:val="231F20"/>
          <w:spacing w:val="-11"/>
        </w:rPr>
        <w:t xml:space="preserve"> </w:t>
      </w:r>
      <w:r>
        <w:rPr>
          <w:color w:val="231F20"/>
        </w:rPr>
        <w:t>Účetní</w:t>
      </w:r>
      <w:r>
        <w:rPr>
          <w:color w:val="231F20"/>
          <w:spacing w:val="-11"/>
        </w:rPr>
        <w:t xml:space="preserve"> </w:t>
      </w:r>
      <w:r>
        <w:rPr>
          <w:color w:val="231F20"/>
        </w:rPr>
        <w:t>cenou</w:t>
      </w:r>
      <w:r>
        <w:rPr>
          <w:color w:val="231F20"/>
          <w:spacing w:val="-11"/>
        </w:rPr>
        <w:t xml:space="preserve"> </w:t>
      </w:r>
      <w:r>
        <w:rPr>
          <w:color w:val="231F20"/>
        </w:rPr>
        <w:t>se</w:t>
      </w:r>
      <w:r>
        <w:rPr>
          <w:color w:val="231F20"/>
          <w:spacing w:val="-11"/>
        </w:rPr>
        <w:t xml:space="preserve"> </w:t>
      </w:r>
      <w:r>
        <w:rPr>
          <w:color w:val="231F20"/>
        </w:rPr>
        <w:t>též</w:t>
      </w:r>
      <w:r>
        <w:rPr>
          <w:color w:val="231F20"/>
          <w:spacing w:val="-11"/>
        </w:rPr>
        <w:t xml:space="preserve"> </w:t>
      </w:r>
      <w:r>
        <w:rPr>
          <w:color w:val="231F20"/>
        </w:rPr>
        <w:t>rozumí</w:t>
      </w:r>
      <w:r>
        <w:rPr>
          <w:color w:val="231F20"/>
          <w:spacing w:val="-11"/>
        </w:rPr>
        <w:t xml:space="preserve"> </w:t>
      </w:r>
      <w:r>
        <w:rPr>
          <w:color w:val="231F20"/>
        </w:rPr>
        <w:t>součet</w:t>
      </w:r>
      <w:r>
        <w:rPr>
          <w:color w:val="231F20"/>
          <w:spacing w:val="-11"/>
        </w:rPr>
        <w:t xml:space="preserve"> </w:t>
      </w:r>
      <w:r>
        <w:rPr>
          <w:color w:val="231F20"/>
        </w:rPr>
        <w:t>leasin- gových/úvěrových</w:t>
      </w:r>
      <w:r>
        <w:rPr>
          <w:color w:val="231F20"/>
          <w:spacing w:val="-15"/>
        </w:rPr>
        <w:t xml:space="preserve"> </w:t>
      </w:r>
      <w:r>
        <w:rPr>
          <w:color w:val="231F20"/>
        </w:rPr>
        <w:t>splátek</w:t>
      </w:r>
      <w:r>
        <w:rPr>
          <w:color w:val="231F20"/>
          <w:spacing w:val="-14"/>
        </w:rPr>
        <w:t xml:space="preserve"> </w:t>
      </w:r>
      <w:r>
        <w:rPr>
          <w:color w:val="231F20"/>
        </w:rPr>
        <w:t>stanovených</w:t>
      </w:r>
      <w:r>
        <w:rPr>
          <w:color w:val="231F20"/>
          <w:spacing w:val="-14"/>
        </w:rPr>
        <w:t xml:space="preserve"> </w:t>
      </w:r>
      <w:r>
        <w:rPr>
          <w:color w:val="231F20"/>
        </w:rPr>
        <w:t>dle</w:t>
      </w:r>
      <w:r>
        <w:rPr>
          <w:color w:val="231F20"/>
          <w:spacing w:val="-15"/>
        </w:rPr>
        <w:t xml:space="preserve"> </w:t>
      </w:r>
      <w:r>
        <w:rPr>
          <w:color w:val="231F20"/>
        </w:rPr>
        <w:t>splátkového</w:t>
      </w:r>
      <w:r>
        <w:rPr>
          <w:color w:val="231F20"/>
          <w:spacing w:val="-14"/>
        </w:rPr>
        <w:t xml:space="preserve"> </w:t>
      </w:r>
      <w:r>
        <w:rPr>
          <w:color w:val="231F20"/>
        </w:rPr>
        <w:t>kalendáře,</w:t>
      </w:r>
      <w:r>
        <w:rPr>
          <w:color w:val="231F20"/>
          <w:spacing w:val="-14"/>
        </w:rPr>
        <w:t xml:space="preserve"> </w:t>
      </w:r>
      <w:r>
        <w:rPr>
          <w:color w:val="231F20"/>
        </w:rPr>
        <w:t>u</w:t>
      </w:r>
      <w:r>
        <w:rPr>
          <w:color w:val="231F20"/>
          <w:spacing w:val="-15"/>
        </w:rPr>
        <w:t xml:space="preserve"> </w:t>
      </w:r>
      <w:r>
        <w:rPr>
          <w:color w:val="231F20"/>
        </w:rPr>
        <w:t>nichž</w:t>
      </w:r>
      <w:r>
        <w:rPr>
          <w:color w:val="231F20"/>
          <w:spacing w:val="-14"/>
        </w:rPr>
        <w:t xml:space="preserve"> </w:t>
      </w:r>
      <w:r>
        <w:rPr>
          <w:color w:val="231F20"/>
          <w:spacing w:val="-3"/>
        </w:rPr>
        <w:t xml:space="preserve">dosud </w:t>
      </w:r>
      <w:r>
        <w:rPr>
          <w:color w:val="231F20"/>
        </w:rPr>
        <w:t>nenastala splatnost, a to od data vzniku pojistné události do předpokládaného konce leasingové/úvěrové smlouvy. Za součást leasingových/úvěrových</w:t>
      </w:r>
      <w:r>
        <w:rPr>
          <w:color w:val="231F20"/>
          <w:spacing w:val="-28"/>
        </w:rPr>
        <w:t xml:space="preserve"> </w:t>
      </w:r>
      <w:r>
        <w:rPr>
          <w:color w:val="231F20"/>
        </w:rPr>
        <w:t>splátek není považována platba za případné</w:t>
      </w:r>
      <w:r>
        <w:rPr>
          <w:color w:val="231F20"/>
          <w:spacing w:val="-11"/>
        </w:rPr>
        <w:t xml:space="preserve"> </w:t>
      </w:r>
      <w:r>
        <w:rPr>
          <w:color w:val="231F20"/>
        </w:rPr>
        <w:t>pojištění.</w:t>
      </w:r>
    </w:p>
    <w:p w14:paraId="5A1031D6" w14:textId="77777777" w:rsidR="00F65BCA" w:rsidRDefault="00F65BCA">
      <w:pPr>
        <w:pStyle w:val="Zkladntext"/>
        <w:rPr>
          <w:sz w:val="18"/>
        </w:rPr>
      </w:pPr>
    </w:p>
    <w:p w14:paraId="3A54D6C7" w14:textId="77777777" w:rsidR="00F65BCA" w:rsidRDefault="00216117">
      <w:pPr>
        <w:spacing w:before="148"/>
        <w:ind w:left="203"/>
        <w:jc w:val="both"/>
        <w:rPr>
          <w:sz w:val="24"/>
        </w:rPr>
      </w:pPr>
      <w:r>
        <w:rPr>
          <w:color w:val="231F20"/>
          <w:sz w:val="24"/>
        </w:rPr>
        <w:t>Pododdíl 8 – Pojištění „Živly“</w:t>
      </w:r>
    </w:p>
    <w:p w14:paraId="63C069AE" w14:textId="77777777" w:rsidR="00F65BCA" w:rsidRDefault="00216117">
      <w:pPr>
        <w:spacing w:before="209"/>
        <w:ind w:left="187"/>
        <w:rPr>
          <w:sz w:val="15"/>
        </w:rPr>
      </w:pPr>
      <w:r>
        <w:rPr>
          <w:color w:val="FFFFFF"/>
          <w:position w:val="3"/>
          <w:sz w:val="16"/>
          <w:shd w:val="clear" w:color="auto" w:fill="808285"/>
        </w:rPr>
        <w:t xml:space="preserve">  Článek 58</w:t>
      </w:r>
      <w:r>
        <w:rPr>
          <w:color w:val="FFFFFF"/>
          <w:position w:val="3"/>
          <w:sz w:val="16"/>
        </w:rPr>
        <w:t xml:space="preserve"> </w:t>
      </w:r>
      <w:r>
        <w:rPr>
          <w:color w:val="231F20"/>
          <w:sz w:val="15"/>
        </w:rPr>
        <w:t>Úvodní ustanovení</w:t>
      </w:r>
    </w:p>
    <w:p w14:paraId="67A32CCC" w14:textId="77777777" w:rsidR="00F65BCA" w:rsidRDefault="00000000">
      <w:pPr>
        <w:pStyle w:val="Zkladntext"/>
        <w:spacing w:before="147" w:line="278" w:lineRule="auto"/>
        <w:ind w:left="469" w:right="551"/>
        <w:jc w:val="both"/>
      </w:pPr>
      <w:r>
        <w:pict w14:anchorId="699490D7">
          <v:shape id="_x0000_s2245" type="#_x0000_t202" style="position:absolute;left:0;text-align:left;margin-left:303.4pt;margin-top:17.4pt;width:9.65pt;height:8.55pt;z-index:251887616;mso-position-horizontal-relative:page" fillcolor="#d1d3d4" stroked="f">
            <v:textbox inset="0,0,0,0">
              <w:txbxContent>
                <w:p w14:paraId="00E46E37" w14:textId="77777777" w:rsidR="00F65BCA" w:rsidRDefault="00216117">
                  <w:pPr>
                    <w:spacing w:before="2"/>
                    <w:ind w:left="56"/>
                    <w:rPr>
                      <w:sz w:val="14"/>
                    </w:rPr>
                  </w:pPr>
                  <w:r>
                    <w:rPr>
                      <w:color w:val="231F20"/>
                      <w:w w:val="99"/>
                      <w:sz w:val="14"/>
                    </w:rPr>
                    <w:t>2</w:t>
                  </w:r>
                </w:p>
              </w:txbxContent>
            </v:textbox>
            <w10:wrap anchorx="page"/>
          </v:shape>
        </w:pict>
      </w:r>
      <w:r>
        <w:pict w14:anchorId="03858337">
          <v:shape id="_x0000_s2244" type="#_x0000_t202" style="position:absolute;left:0;text-align:left;margin-left:303.4pt;margin-top:7.4pt;width:9.65pt;height:8.55pt;z-index:251888640;mso-position-horizontal-relative:page" fillcolor="#d1d3d4" stroked="f">
            <v:textbox inset="0,0,0,0">
              <w:txbxContent>
                <w:p w14:paraId="7912F989" w14:textId="77777777" w:rsidR="00F65BCA" w:rsidRDefault="00216117">
                  <w:pPr>
                    <w:spacing w:before="2"/>
                    <w:ind w:left="56"/>
                    <w:rPr>
                      <w:sz w:val="14"/>
                    </w:rPr>
                  </w:pPr>
                  <w:r>
                    <w:rPr>
                      <w:color w:val="231F20"/>
                      <w:w w:val="99"/>
                      <w:sz w:val="14"/>
                    </w:rPr>
                    <w:t>1</w:t>
                  </w:r>
                </w:p>
              </w:txbxContent>
            </v:textbox>
            <w10:wrap anchorx="page"/>
          </v:shape>
        </w:pict>
      </w:r>
      <w:r w:rsidR="00216117">
        <w:rPr>
          <w:color w:val="231F20"/>
        </w:rPr>
        <w:t>Pojištění</w:t>
      </w:r>
      <w:r w:rsidR="00216117">
        <w:rPr>
          <w:color w:val="231F20"/>
          <w:spacing w:val="-23"/>
        </w:rPr>
        <w:t xml:space="preserve"> </w:t>
      </w:r>
      <w:r w:rsidR="00216117">
        <w:rPr>
          <w:color w:val="231F20"/>
        </w:rPr>
        <w:t>lze</w:t>
      </w:r>
      <w:r w:rsidR="00216117">
        <w:rPr>
          <w:color w:val="231F20"/>
          <w:spacing w:val="-23"/>
        </w:rPr>
        <w:t xml:space="preserve"> </w:t>
      </w:r>
      <w:r w:rsidR="00216117">
        <w:rPr>
          <w:color w:val="231F20"/>
        </w:rPr>
        <w:t>sjednat</w:t>
      </w:r>
      <w:r w:rsidR="00216117">
        <w:rPr>
          <w:color w:val="231F20"/>
          <w:spacing w:val="-22"/>
        </w:rPr>
        <w:t xml:space="preserve"> </w:t>
      </w:r>
      <w:r w:rsidR="00216117">
        <w:rPr>
          <w:color w:val="231F20"/>
        </w:rPr>
        <w:t>pro</w:t>
      </w:r>
      <w:r w:rsidR="00216117">
        <w:rPr>
          <w:color w:val="231F20"/>
          <w:spacing w:val="-23"/>
        </w:rPr>
        <w:t xml:space="preserve"> </w:t>
      </w:r>
      <w:r w:rsidR="00216117">
        <w:rPr>
          <w:color w:val="231F20"/>
        </w:rPr>
        <w:t>jednotlivá</w:t>
      </w:r>
      <w:r w:rsidR="00216117">
        <w:rPr>
          <w:color w:val="231F20"/>
          <w:spacing w:val="-22"/>
        </w:rPr>
        <w:t xml:space="preserve"> </w:t>
      </w:r>
      <w:r w:rsidR="00216117">
        <w:rPr>
          <w:color w:val="231F20"/>
        </w:rPr>
        <w:t>vozidla</w:t>
      </w:r>
      <w:r w:rsidR="00216117">
        <w:rPr>
          <w:color w:val="231F20"/>
          <w:spacing w:val="-23"/>
        </w:rPr>
        <w:t xml:space="preserve"> </w:t>
      </w:r>
      <w:r w:rsidR="00216117">
        <w:rPr>
          <w:color w:val="231F20"/>
        </w:rPr>
        <w:t>jako</w:t>
      </w:r>
      <w:r w:rsidR="00216117">
        <w:rPr>
          <w:color w:val="231F20"/>
          <w:spacing w:val="-22"/>
        </w:rPr>
        <w:t xml:space="preserve"> </w:t>
      </w:r>
      <w:r w:rsidR="00216117">
        <w:rPr>
          <w:color w:val="231F20"/>
        </w:rPr>
        <w:t>doplňkové</w:t>
      </w:r>
      <w:r w:rsidR="00216117">
        <w:rPr>
          <w:color w:val="231F20"/>
          <w:spacing w:val="-23"/>
        </w:rPr>
        <w:t xml:space="preserve"> </w:t>
      </w:r>
      <w:r w:rsidR="00216117">
        <w:rPr>
          <w:color w:val="231F20"/>
        </w:rPr>
        <w:t>škodové</w:t>
      </w:r>
      <w:r w:rsidR="00216117">
        <w:rPr>
          <w:color w:val="231F20"/>
          <w:spacing w:val="-22"/>
        </w:rPr>
        <w:t xml:space="preserve"> </w:t>
      </w:r>
      <w:r w:rsidR="00216117">
        <w:rPr>
          <w:color w:val="231F20"/>
        </w:rPr>
        <w:t>pojištění. Základním</w:t>
      </w:r>
      <w:r w:rsidR="00216117">
        <w:rPr>
          <w:color w:val="231F20"/>
          <w:spacing w:val="-7"/>
        </w:rPr>
        <w:t xml:space="preserve"> </w:t>
      </w:r>
      <w:r w:rsidR="00216117">
        <w:rPr>
          <w:color w:val="231F20"/>
        </w:rPr>
        <w:t>pojištěním</w:t>
      </w:r>
      <w:r w:rsidR="00216117">
        <w:rPr>
          <w:color w:val="231F20"/>
          <w:spacing w:val="-6"/>
        </w:rPr>
        <w:t xml:space="preserve"> </w:t>
      </w:r>
      <w:r w:rsidR="00216117">
        <w:rPr>
          <w:color w:val="231F20"/>
        </w:rPr>
        <w:t>pro</w:t>
      </w:r>
      <w:r w:rsidR="00216117">
        <w:rPr>
          <w:color w:val="231F20"/>
          <w:spacing w:val="-6"/>
        </w:rPr>
        <w:t xml:space="preserve"> </w:t>
      </w:r>
      <w:r w:rsidR="00216117">
        <w:rPr>
          <w:color w:val="231F20"/>
        </w:rPr>
        <w:t>toto</w:t>
      </w:r>
      <w:r w:rsidR="00216117">
        <w:rPr>
          <w:color w:val="231F20"/>
          <w:spacing w:val="-6"/>
        </w:rPr>
        <w:t xml:space="preserve"> </w:t>
      </w:r>
      <w:r w:rsidR="00216117">
        <w:rPr>
          <w:color w:val="231F20"/>
        </w:rPr>
        <w:t>pojištění</w:t>
      </w:r>
      <w:r w:rsidR="00216117">
        <w:rPr>
          <w:color w:val="231F20"/>
          <w:spacing w:val="-7"/>
        </w:rPr>
        <w:t xml:space="preserve"> </w:t>
      </w:r>
      <w:r w:rsidR="00216117">
        <w:rPr>
          <w:color w:val="231F20"/>
        </w:rPr>
        <w:t>je</w:t>
      </w:r>
      <w:r w:rsidR="00216117">
        <w:rPr>
          <w:color w:val="231F20"/>
          <w:spacing w:val="-6"/>
        </w:rPr>
        <w:t xml:space="preserve"> </w:t>
      </w:r>
      <w:r w:rsidR="00216117">
        <w:rPr>
          <w:color w:val="231F20"/>
        </w:rPr>
        <w:t>pojištění</w:t>
      </w:r>
      <w:r w:rsidR="00216117">
        <w:rPr>
          <w:color w:val="231F20"/>
          <w:spacing w:val="-6"/>
        </w:rPr>
        <w:t xml:space="preserve"> </w:t>
      </w:r>
      <w:r w:rsidR="00216117">
        <w:rPr>
          <w:color w:val="231F20"/>
        </w:rPr>
        <w:t>odpovědnosti.</w:t>
      </w:r>
    </w:p>
    <w:p w14:paraId="79FA8039" w14:textId="77777777" w:rsidR="00F65BCA" w:rsidRDefault="00000000">
      <w:pPr>
        <w:pStyle w:val="Zkladntext"/>
        <w:spacing w:line="278" w:lineRule="auto"/>
        <w:ind w:left="469" w:right="424" w:hanging="1"/>
        <w:jc w:val="both"/>
      </w:pPr>
      <w:r>
        <w:pict w14:anchorId="3407992B">
          <v:shape id="_x0000_s2243" type="#_x0000_t202" style="position:absolute;left:0;text-align:left;margin-left:303.4pt;margin-top:.05pt;width:9.65pt;height:8.55pt;z-index:251886592;mso-position-horizontal-relative:page" fillcolor="#d1d3d4" stroked="f">
            <v:textbox inset="0,0,0,0">
              <w:txbxContent>
                <w:p w14:paraId="46F42759" w14:textId="77777777" w:rsidR="00F65BCA" w:rsidRDefault="00216117">
                  <w:pPr>
                    <w:spacing w:before="2"/>
                    <w:ind w:left="56"/>
                    <w:rPr>
                      <w:sz w:val="14"/>
                    </w:rPr>
                  </w:pPr>
                  <w:r>
                    <w:rPr>
                      <w:color w:val="231F20"/>
                      <w:w w:val="99"/>
                      <w:sz w:val="14"/>
                    </w:rPr>
                    <w:t>3</w:t>
                  </w:r>
                </w:p>
              </w:txbxContent>
            </v:textbox>
            <w10:wrap anchorx="page"/>
          </v:shape>
        </w:pict>
      </w:r>
      <w:r w:rsidR="00216117">
        <w:rPr>
          <w:color w:val="231F20"/>
          <w:spacing w:val="2"/>
        </w:rPr>
        <w:t>Pokud</w:t>
      </w:r>
      <w:r w:rsidR="00216117">
        <w:rPr>
          <w:color w:val="231F20"/>
          <w:spacing w:val="-6"/>
        </w:rPr>
        <w:t xml:space="preserve"> </w:t>
      </w:r>
      <w:r w:rsidR="00216117">
        <w:rPr>
          <w:color w:val="231F20"/>
        </w:rPr>
        <w:t>je</w:t>
      </w:r>
      <w:r w:rsidR="00216117">
        <w:rPr>
          <w:color w:val="231F20"/>
          <w:spacing w:val="-6"/>
        </w:rPr>
        <w:t xml:space="preserve"> </w:t>
      </w:r>
      <w:r w:rsidR="00216117">
        <w:rPr>
          <w:color w:val="231F20"/>
          <w:spacing w:val="2"/>
        </w:rPr>
        <w:t>vedle</w:t>
      </w:r>
      <w:r w:rsidR="00216117">
        <w:rPr>
          <w:color w:val="231F20"/>
          <w:spacing w:val="-6"/>
        </w:rPr>
        <w:t xml:space="preserve"> </w:t>
      </w:r>
      <w:r w:rsidR="00216117">
        <w:rPr>
          <w:color w:val="231F20"/>
        </w:rPr>
        <w:t>tohoto</w:t>
      </w:r>
      <w:r w:rsidR="00216117">
        <w:rPr>
          <w:color w:val="231F20"/>
          <w:spacing w:val="-5"/>
        </w:rPr>
        <w:t xml:space="preserve"> </w:t>
      </w:r>
      <w:r w:rsidR="00216117">
        <w:rPr>
          <w:color w:val="231F20"/>
          <w:spacing w:val="2"/>
        </w:rPr>
        <w:t>pojištění</w:t>
      </w:r>
      <w:r w:rsidR="00216117">
        <w:rPr>
          <w:color w:val="231F20"/>
          <w:spacing w:val="-6"/>
        </w:rPr>
        <w:t xml:space="preserve"> </w:t>
      </w:r>
      <w:r w:rsidR="00216117">
        <w:rPr>
          <w:color w:val="231F20"/>
          <w:spacing w:val="3"/>
        </w:rPr>
        <w:t>sjednáno</w:t>
      </w:r>
      <w:r w:rsidR="00216117">
        <w:rPr>
          <w:color w:val="231F20"/>
          <w:spacing w:val="-6"/>
        </w:rPr>
        <w:t xml:space="preserve"> </w:t>
      </w:r>
      <w:r w:rsidR="00216117">
        <w:rPr>
          <w:color w:val="231F20"/>
        </w:rPr>
        <w:t>i</w:t>
      </w:r>
      <w:r w:rsidR="00216117">
        <w:rPr>
          <w:color w:val="231F20"/>
          <w:spacing w:val="-6"/>
        </w:rPr>
        <w:t xml:space="preserve"> </w:t>
      </w:r>
      <w:r w:rsidR="00216117">
        <w:rPr>
          <w:color w:val="231F20"/>
          <w:spacing w:val="2"/>
        </w:rPr>
        <w:t>havarijní</w:t>
      </w:r>
      <w:r w:rsidR="00216117">
        <w:rPr>
          <w:color w:val="231F20"/>
          <w:spacing w:val="-5"/>
        </w:rPr>
        <w:t xml:space="preserve"> </w:t>
      </w:r>
      <w:r w:rsidR="00216117">
        <w:rPr>
          <w:color w:val="231F20"/>
          <w:spacing w:val="2"/>
        </w:rPr>
        <w:t>pojištění</w:t>
      </w:r>
      <w:r w:rsidR="00216117">
        <w:rPr>
          <w:color w:val="231F20"/>
          <w:spacing w:val="-6"/>
        </w:rPr>
        <w:t xml:space="preserve"> </w:t>
      </w:r>
      <w:r w:rsidR="00216117">
        <w:rPr>
          <w:color w:val="231F20"/>
          <w:spacing w:val="2"/>
        </w:rPr>
        <w:t>vozidla,</w:t>
      </w:r>
      <w:r w:rsidR="00216117">
        <w:rPr>
          <w:color w:val="231F20"/>
          <w:spacing w:val="-6"/>
        </w:rPr>
        <w:t xml:space="preserve"> </w:t>
      </w:r>
      <w:r w:rsidR="00216117">
        <w:rPr>
          <w:color w:val="231F20"/>
          <w:spacing w:val="3"/>
        </w:rPr>
        <w:t xml:space="preserve">vzta- </w:t>
      </w:r>
      <w:r w:rsidR="00216117">
        <w:rPr>
          <w:color w:val="231F20"/>
          <w:spacing w:val="2"/>
        </w:rPr>
        <w:t>huje</w:t>
      </w:r>
      <w:r w:rsidR="00216117">
        <w:rPr>
          <w:color w:val="231F20"/>
          <w:spacing w:val="-4"/>
        </w:rPr>
        <w:t xml:space="preserve"> </w:t>
      </w:r>
      <w:r w:rsidR="00216117">
        <w:rPr>
          <w:color w:val="231F20"/>
        </w:rPr>
        <w:t>se</w:t>
      </w:r>
      <w:r w:rsidR="00216117">
        <w:rPr>
          <w:color w:val="231F20"/>
          <w:spacing w:val="-3"/>
        </w:rPr>
        <w:t xml:space="preserve"> </w:t>
      </w:r>
      <w:r w:rsidR="00216117">
        <w:rPr>
          <w:color w:val="231F20"/>
        </w:rPr>
        <w:t>toto</w:t>
      </w:r>
      <w:r w:rsidR="00216117">
        <w:rPr>
          <w:color w:val="231F20"/>
          <w:spacing w:val="-4"/>
        </w:rPr>
        <w:t xml:space="preserve"> </w:t>
      </w:r>
      <w:r w:rsidR="00216117">
        <w:rPr>
          <w:color w:val="231F20"/>
          <w:spacing w:val="2"/>
        </w:rPr>
        <w:t>pojištění</w:t>
      </w:r>
      <w:r w:rsidR="00216117">
        <w:rPr>
          <w:color w:val="231F20"/>
          <w:spacing w:val="-3"/>
        </w:rPr>
        <w:t xml:space="preserve"> </w:t>
      </w:r>
      <w:r w:rsidR="00216117">
        <w:rPr>
          <w:color w:val="231F20"/>
          <w:spacing w:val="2"/>
        </w:rPr>
        <w:t>jen</w:t>
      </w:r>
      <w:r w:rsidR="00216117">
        <w:rPr>
          <w:color w:val="231F20"/>
          <w:spacing w:val="-3"/>
        </w:rPr>
        <w:t xml:space="preserve"> </w:t>
      </w:r>
      <w:r w:rsidR="00216117">
        <w:rPr>
          <w:color w:val="231F20"/>
        </w:rPr>
        <w:t>na</w:t>
      </w:r>
      <w:r w:rsidR="00216117">
        <w:rPr>
          <w:color w:val="231F20"/>
          <w:spacing w:val="-4"/>
        </w:rPr>
        <w:t xml:space="preserve"> </w:t>
      </w:r>
      <w:r w:rsidR="00216117">
        <w:rPr>
          <w:color w:val="231F20"/>
        </w:rPr>
        <w:t>takové</w:t>
      </w:r>
      <w:r w:rsidR="00216117">
        <w:rPr>
          <w:color w:val="231F20"/>
          <w:spacing w:val="-3"/>
        </w:rPr>
        <w:t xml:space="preserve"> </w:t>
      </w:r>
      <w:r w:rsidR="00216117">
        <w:rPr>
          <w:color w:val="231F20"/>
          <w:spacing w:val="2"/>
        </w:rPr>
        <w:t>škody</w:t>
      </w:r>
      <w:r w:rsidR="00216117">
        <w:rPr>
          <w:color w:val="231F20"/>
          <w:spacing w:val="-3"/>
        </w:rPr>
        <w:t xml:space="preserve"> </w:t>
      </w:r>
      <w:r w:rsidR="00216117">
        <w:rPr>
          <w:color w:val="231F20"/>
        </w:rPr>
        <w:t>na</w:t>
      </w:r>
      <w:r w:rsidR="00216117">
        <w:rPr>
          <w:color w:val="231F20"/>
          <w:spacing w:val="-4"/>
        </w:rPr>
        <w:t xml:space="preserve"> </w:t>
      </w:r>
      <w:r w:rsidR="00216117">
        <w:rPr>
          <w:color w:val="231F20"/>
        </w:rPr>
        <w:t>vozidle,</w:t>
      </w:r>
      <w:r w:rsidR="00216117">
        <w:rPr>
          <w:color w:val="231F20"/>
          <w:spacing w:val="-3"/>
        </w:rPr>
        <w:t xml:space="preserve"> </w:t>
      </w:r>
      <w:r w:rsidR="00216117">
        <w:rPr>
          <w:color w:val="231F20"/>
          <w:spacing w:val="2"/>
        </w:rPr>
        <w:t>které</w:t>
      </w:r>
      <w:r w:rsidR="00216117">
        <w:rPr>
          <w:color w:val="231F20"/>
          <w:spacing w:val="-4"/>
        </w:rPr>
        <w:t xml:space="preserve"> </w:t>
      </w:r>
      <w:r w:rsidR="00216117">
        <w:rPr>
          <w:color w:val="231F20"/>
          <w:spacing w:val="3"/>
        </w:rPr>
        <w:t>nebudou</w:t>
      </w:r>
      <w:r w:rsidR="00216117">
        <w:rPr>
          <w:color w:val="231F20"/>
          <w:spacing w:val="-3"/>
        </w:rPr>
        <w:t xml:space="preserve"> </w:t>
      </w:r>
      <w:r w:rsidR="00216117">
        <w:rPr>
          <w:color w:val="231F20"/>
          <w:spacing w:val="2"/>
        </w:rPr>
        <w:t xml:space="preserve">uplat- něny </w:t>
      </w:r>
      <w:r w:rsidR="00216117">
        <w:rPr>
          <w:color w:val="231F20"/>
        </w:rPr>
        <w:t xml:space="preserve">z </w:t>
      </w:r>
      <w:r w:rsidR="00216117">
        <w:rPr>
          <w:color w:val="231F20"/>
          <w:spacing w:val="3"/>
        </w:rPr>
        <w:t>havarijního</w:t>
      </w:r>
      <w:r w:rsidR="00216117">
        <w:rPr>
          <w:color w:val="231F20"/>
          <w:spacing w:val="2"/>
        </w:rPr>
        <w:t xml:space="preserve"> pojištění.</w:t>
      </w:r>
    </w:p>
    <w:p w14:paraId="1A15FD0D" w14:textId="77777777" w:rsidR="00F65BCA" w:rsidRDefault="00F65BCA">
      <w:pPr>
        <w:pStyle w:val="Zkladntext"/>
        <w:spacing w:before="6"/>
        <w:rPr>
          <w:sz w:val="24"/>
        </w:rPr>
      </w:pPr>
    </w:p>
    <w:p w14:paraId="58999664" w14:textId="77777777" w:rsidR="00F65BCA" w:rsidRDefault="00216117">
      <w:pPr>
        <w:pStyle w:val="Zkladntext"/>
        <w:spacing w:before="1" w:line="256" w:lineRule="auto"/>
        <w:ind w:left="1360" w:right="418" w:hanging="1173"/>
      </w:pPr>
      <w:r>
        <w:rPr>
          <w:color w:val="FFFFFF"/>
          <w:sz w:val="16"/>
          <w:shd w:val="clear" w:color="auto" w:fill="808285"/>
        </w:rPr>
        <w:t xml:space="preserve"> </w:t>
      </w:r>
      <w:r>
        <w:rPr>
          <w:color w:val="FFFFFF"/>
          <w:spacing w:val="-6"/>
          <w:sz w:val="16"/>
          <w:shd w:val="clear" w:color="auto" w:fill="808285"/>
        </w:rPr>
        <w:t xml:space="preserve"> </w:t>
      </w:r>
      <w:r>
        <w:rPr>
          <w:color w:val="FFFFFF"/>
          <w:spacing w:val="6"/>
          <w:w w:val="105"/>
          <w:sz w:val="16"/>
          <w:shd w:val="clear" w:color="auto" w:fill="808285"/>
        </w:rPr>
        <w:t xml:space="preserve">Článek </w:t>
      </w:r>
      <w:r>
        <w:rPr>
          <w:color w:val="FFFFFF"/>
          <w:spacing w:val="4"/>
          <w:w w:val="105"/>
          <w:sz w:val="16"/>
          <w:shd w:val="clear" w:color="auto" w:fill="808285"/>
        </w:rPr>
        <w:t>59</w:t>
      </w:r>
      <w:r>
        <w:rPr>
          <w:color w:val="FFFFFF"/>
          <w:spacing w:val="14"/>
          <w:w w:val="105"/>
          <w:sz w:val="16"/>
        </w:rPr>
        <w:t xml:space="preserve"> </w:t>
      </w:r>
      <w:r>
        <w:rPr>
          <w:color w:val="231F20"/>
          <w:w w:val="105"/>
          <w:position w:val="1"/>
        </w:rPr>
        <w:t xml:space="preserve">Pojistná nebezpečí, </w:t>
      </w:r>
      <w:r>
        <w:rPr>
          <w:color w:val="231F20"/>
          <w:spacing w:val="-3"/>
          <w:w w:val="105"/>
          <w:position w:val="1"/>
        </w:rPr>
        <w:t xml:space="preserve">rozsah </w:t>
      </w:r>
      <w:r>
        <w:rPr>
          <w:color w:val="231F20"/>
          <w:w w:val="105"/>
          <w:position w:val="1"/>
        </w:rPr>
        <w:t xml:space="preserve">pojištění, limity pojistného plnění, </w:t>
      </w:r>
      <w:r>
        <w:rPr>
          <w:color w:val="231F20"/>
          <w:w w:val="105"/>
        </w:rPr>
        <w:t>územní</w:t>
      </w:r>
      <w:r>
        <w:rPr>
          <w:color w:val="231F20"/>
          <w:spacing w:val="-6"/>
          <w:w w:val="105"/>
        </w:rPr>
        <w:t xml:space="preserve"> </w:t>
      </w:r>
      <w:r>
        <w:rPr>
          <w:color w:val="231F20"/>
          <w:spacing w:val="-3"/>
          <w:w w:val="105"/>
        </w:rPr>
        <w:t>rozsah</w:t>
      </w:r>
    </w:p>
    <w:p w14:paraId="172B5CC9" w14:textId="77777777" w:rsidR="00F65BCA" w:rsidRDefault="00216117">
      <w:pPr>
        <w:pStyle w:val="Zkladntext"/>
        <w:spacing w:before="134"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16"/>
          <w:position w:val="1"/>
          <w:sz w:val="14"/>
        </w:rPr>
        <w:t xml:space="preserve"> </w:t>
      </w:r>
      <w:r>
        <w:rPr>
          <w:color w:val="231F20"/>
        </w:rPr>
        <w:t>Pojištění</w:t>
      </w:r>
      <w:r>
        <w:rPr>
          <w:color w:val="231F20"/>
          <w:spacing w:val="-9"/>
        </w:rPr>
        <w:t xml:space="preserve"> </w:t>
      </w:r>
      <w:r>
        <w:rPr>
          <w:color w:val="231F20"/>
        </w:rPr>
        <w:t>se</w:t>
      </w:r>
      <w:r>
        <w:rPr>
          <w:color w:val="231F20"/>
          <w:spacing w:val="-10"/>
        </w:rPr>
        <w:t xml:space="preserve"> </w:t>
      </w:r>
      <w:r>
        <w:rPr>
          <w:color w:val="231F20"/>
        </w:rPr>
        <w:t>sjednává</w:t>
      </w:r>
      <w:r>
        <w:rPr>
          <w:color w:val="231F20"/>
          <w:spacing w:val="-9"/>
        </w:rPr>
        <w:t xml:space="preserve"> </w:t>
      </w:r>
      <w:r>
        <w:rPr>
          <w:color w:val="231F20"/>
        </w:rPr>
        <w:t>pro</w:t>
      </w:r>
      <w:r>
        <w:rPr>
          <w:color w:val="231F20"/>
          <w:spacing w:val="-9"/>
        </w:rPr>
        <w:t xml:space="preserve"> </w:t>
      </w:r>
      <w:r>
        <w:rPr>
          <w:color w:val="231F20"/>
        </w:rPr>
        <w:t>případ</w:t>
      </w:r>
      <w:r>
        <w:rPr>
          <w:color w:val="231F20"/>
          <w:spacing w:val="-9"/>
        </w:rPr>
        <w:t xml:space="preserve"> </w:t>
      </w:r>
      <w:r>
        <w:rPr>
          <w:color w:val="231F20"/>
        </w:rPr>
        <w:t>poškození</w:t>
      </w:r>
      <w:r>
        <w:rPr>
          <w:color w:val="231F20"/>
          <w:spacing w:val="-10"/>
        </w:rPr>
        <w:t xml:space="preserve"> </w:t>
      </w:r>
      <w:r>
        <w:rPr>
          <w:color w:val="231F20"/>
        </w:rPr>
        <w:t>nebo</w:t>
      </w:r>
      <w:r>
        <w:rPr>
          <w:color w:val="231F20"/>
          <w:spacing w:val="-9"/>
        </w:rPr>
        <w:t xml:space="preserve"> </w:t>
      </w:r>
      <w:r>
        <w:rPr>
          <w:color w:val="231F20"/>
        </w:rPr>
        <w:t>zničení</w:t>
      </w:r>
      <w:r>
        <w:rPr>
          <w:color w:val="231F20"/>
          <w:spacing w:val="-9"/>
        </w:rPr>
        <w:t xml:space="preserve"> </w:t>
      </w:r>
      <w:r>
        <w:rPr>
          <w:color w:val="231F20"/>
        </w:rPr>
        <w:t>pojištěného</w:t>
      </w:r>
      <w:r>
        <w:rPr>
          <w:color w:val="231F20"/>
          <w:spacing w:val="-10"/>
        </w:rPr>
        <w:t xml:space="preserve"> </w:t>
      </w:r>
      <w:r>
        <w:rPr>
          <w:color w:val="231F20"/>
        </w:rPr>
        <w:t>vozidla, s</w:t>
      </w:r>
      <w:r>
        <w:rPr>
          <w:color w:val="231F20"/>
          <w:spacing w:val="-23"/>
        </w:rPr>
        <w:t xml:space="preserve"> </w:t>
      </w:r>
      <w:r>
        <w:rPr>
          <w:color w:val="231F20"/>
        </w:rPr>
        <w:t>příslušenstvím</w:t>
      </w:r>
      <w:r>
        <w:rPr>
          <w:color w:val="231F20"/>
          <w:spacing w:val="-22"/>
        </w:rPr>
        <w:t xml:space="preserve"> </w:t>
      </w:r>
      <w:r>
        <w:rPr>
          <w:color w:val="231F20"/>
        </w:rPr>
        <w:t>tvořícím</w:t>
      </w:r>
      <w:r>
        <w:rPr>
          <w:color w:val="231F20"/>
          <w:spacing w:val="-23"/>
        </w:rPr>
        <w:t xml:space="preserve"> </w:t>
      </w:r>
      <w:r>
        <w:rPr>
          <w:color w:val="231F20"/>
        </w:rPr>
        <w:t>jeho</w:t>
      </w:r>
      <w:r>
        <w:rPr>
          <w:color w:val="231F20"/>
          <w:spacing w:val="-22"/>
        </w:rPr>
        <w:t xml:space="preserve"> </w:t>
      </w:r>
      <w:r>
        <w:rPr>
          <w:color w:val="231F20"/>
        </w:rPr>
        <w:t>standardní</w:t>
      </w:r>
      <w:r>
        <w:rPr>
          <w:color w:val="231F20"/>
          <w:spacing w:val="-23"/>
        </w:rPr>
        <w:t xml:space="preserve"> </w:t>
      </w:r>
      <w:r>
        <w:rPr>
          <w:color w:val="231F20"/>
        </w:rPr>
        <w:t>výbavu,</w:t>
      </w:r>
      <w:r>
        <w:rPr>
          <w:color w:val="231F20"/>
          <w:spacing w:val="-22"/>
        </w:rPr>
        <w:t xml:space="preserve"> </w:t>
      </w:r>
      <w:r>
        <w:rPr>
          <w:color w:val="231F20"/>
        </w:rPr>
        <w:t>živelní</w:t>
      </w:r>
      <w:r>
        <w:rPr>
          <w:color w:val="231F20"/>
          <w:spacing w:val="-23"/>
        </w:rPr>
        <w:t xml:space="preserve"> </w:t>
      </w:r>
      <w:r>
        <w:rPr>
          <w:color w:val="231F20"/>
        </w:rPr>
        <w:t>událostí.</w:t>
      </w:r>
      <w:r>
        <w:rPr>
          <w:color w:val="231F20"/>
          <w:spacing w:val="-22"/>
        </w:rPr>
        <w:t xml:space="preserve"> </w:t>
      </w:r>
      <w:r>
        <w:rPr>
          <w:color w:val="231F20"/>
        </w:rPr>
        <w:t>Na</w:t>
      </w:r>
      <w:r>
        <w:rPr>
          <w:color w:val="231F20"/>
          <w:spacing w:val="-23"/>
        </w:rPr>
        <w:t xml:space="preserve"> </w:t>
      </w:r>
      <w:r>
        <w:rPr>
          <w:color w:val="231F20"/>
        </w:rPr>
        <w:t>další</w:t>
      </w:r>
      <w:r>
        <w:rPr>
          <w:color w:val="231F20"/>
          <w:spacing w:val="-22"/>
        </w:rPr>
        <w:t xml:space="preserve"> </w:t>
      </w:r>
      <w:r>
        <w:rPr>
          <w:color w:val="231F20"/>
          <w:spacing w:val="-4"/>
        </w:rPr>
        <w:t xml:space="preserve">pří- </w:t>
      </w:r>
      <w:r>
        <w:rPr>
          <w:color w:val="231F20"/>
        </w:rPr>
        <w:t>slušenství</w:t>
      </w:r>
      <w:r>
        <w:rPr>
          <w:color w:val="231F20"/>
          <w:spacing w:val="-23"/>
        </w:rPr>
        <w:t xml:space="preserve"> </w:t>
      </w:r>
      <w:r>
        <w:rPr>
          <w:color w:val="231F20"/>
        </w:rPr>
        <w:t>tvořící</w:t>
      </w:r>
      <w:r>
        <w:rPr>
          <w:color w:val="231F20"/>
          <w:spacing w:val="-22"/>
        </w:rPr>
        <w:t xml:space="preserve"> </w:t>
      </w:r>
      <w:r>
        <w:rPr>
          <w:color w:val="231F20"/>
        </w:rPr>
        <w:t>doplňkovou</w:t>
      </w:r>
      <w:r>
        <w:rPr>
          <w:color w:val="231F20"/>
          <w:spacing w:val="-22"/>
        </w:rPr>
        <w:t xml:space="preserve"> </w:t>
      </w:r>
      <w:r>
        <w:rPr>
          <w:color w:val="231F20"/>
        </w:rPr>
        <w:t>a</w:t>
      </w:r>
      <w:r>
        <w:rPr>
          <w:color w:val="231F20"/>
          <w:spacing w:val="-22"/>
        </w:rPr>
        <w:t xml:space="preserve"> </w:t>
      </w:r>
      <w:r>
        <w:rPr>
          <w:color w:val="231F20"/>
        </w:rPr>
        <w:t>ostatní</w:t>
      </w:r>
      <w:r>
        <w:rPr>
          <w:color w:val="231F20"/>
          <w:spacing w:val="-23"/>
        </w:rPr>
        <w:t xml:space="preserve"> </w:t>
      </w:r>
      <w:r>
        <w:rPr>
          <w:color w:val="231F20"/>
        </w:rPr>
        <w:t>výbavu</w:t>
      </w:r>
      <w:r>
        <w:rPr>
          <w:color w:val="231F20"/>
          <w:spacing w:val="-22"/>
        </w:rPr>
        <w:t xml:space="preserve"> </w:t>
      </w:r>
      <w:r>
        <w:rPr>
          <w:color w:val="231F20"/>
        </w:rPr>
        <w:t>vozidla</w:t>
      </w:r>
      <w:r>
        <w:rPr>
          <w:color w:val="231F20"/>
          <w:spacing w:val="-22"/>
        </w:rPr>
        <w:t xml:space="preserve"> </w:t>
      </w:r>
      <w:r>
        <w:rPr>
          <w:color w:val="231F20"/>
        </w:rPr>
        <w:t>se</w:t>
      </w:r>
      <w:r>
        <w:rPr>
          <w:color w:val="231F20"/>
          <w:spacing w:val="-22"/>
        </w:rPr>
        <w:t xml:space="preserve"> </w:t>
      </w:r>
      <w:r>
        <w:rPr>
          <w:color w:val="231F20"/>
        </w:rPr>
        <w:t>pojištění</w:t>
      </w:r>
      <w:r>
        <w:rPr>
          <w:color w:val="231F20"/>
          <w:spacing w:val="-22"/>
        </w:rPr>
        <w:t xml:space="preserve"> </w:t>
      </w:r>
      <w:r>
        <w:rPr>
          <w:color w:val="231F20"/>
        </w:rPr>
        <w:t>vztahuje</w:t>
      </w:r>
      <w:r>
        <w:rPr>
          <w:color w:val="231F20"/>
          <w:spacing w:val="-23"/>
        </w:rPr>
        <w:t xml:space="preserve"> </w:t>
      </w:r>
      <w:r>
        <w:rPr>
          <w:color w:val="231F20"/>
        </w:rPr>
        <w:t xml:space="preserve">jen </w:t>
      </w:r>
      <w:r>
        <w:rPr>
          <w:color w:val="231F20"/>
          <w:spacing w:val="-3"/>
        </w:rPr>
        <w:t>tehdy,</w:t>
      </w:r>
      <w:r>
        <w:rPr>
          <w:color w:val="231F20"/>
          <w:spacing w:val="-25"/>
        </w:rPr>
        <w:t xml:space="preserve"> </w:t>
      </w:r>
      <w:r>
        <w:rPr>
          <w:color w:val="231F20"/>
        </w:rPr>
        <w:t>byla-li</w:t>
      </w:r>
      <w:r>
        <w:rPr>
          <w:color w:val="231F20"/>
          <w:spacing w:val="-25"/>
        </w:rPr>
        <w:t xml:space="preserve"> </w:t>
      </w:r>
      <w:r>
        <w:rPr>
          <w:color w:val="231F20"/>
        </w:rPr>
        <w:t>uvedena</w:t>
      </w:r>
      <w:r>
        <w:rPr>
          <w:color w:val="231F20"/>
          <w:spacing w:val="-24"/>
        </w:rPr>
        <w:t xml:space="preserve"> </w:t>
      </w:r>
      <w:r>
        <w:rPr>
          <w:color w:val="231F20"/>
        </w:rPr>
        <w:t>při</w:t>
      </w:r>
      <w:r>
        <w:rPr>
          <w:color w:val="231F20"/>
          <w:spacing w:val="-25"/>
        </w:rPr>
        <w:t xml:space="preserve"> </w:t>
      </w:r>
      <w:r>
        <w:rPr>
          <w:color w:val="231F20"/>
        </w:rPr>
        <w:t>sjednání</w:t>
      </w:r>
      <w:r>
        <w:rPr>
          <w:color w:val="231F20"/>
          <w:spacing w:val="-25"/>
        </w:rPr>
        <w:t xml:space="preserve"> </w:t>
      </w:r>
      <w:r>
        <w:rPr>
          <w:color w:val="231F20"/>
        </w:rPr>
        <w:t>pojištění</w:t>
      </w:r>
      <w:r>
        <w:rPr>
          <w:color w:val="231F20"/>
          <w:spacing w:val="-24"/>
        </w:rPr>
        <w:t xml:space="preserve"> </w:t>
      </w:r>
      <w:r>
        <w:rPr>
          <w:color w:val="231F20"/>
        </w:rPr>
        <w:t>jednotlivého</w:t>
      </w:r>
      <w:r>
        <w:rPr>
          <w:color w:val="231F20"/>
          <w:spacing w:val="-25"/>
        </w:rPr>
        <w:t xml:space="preserve"> </w:t>
      </w:r>
      <w:r>
        <w:rPr>
          <w:color w:val="231F20"/>
        </w:rPr>
        <w:t>vozidla</w:t>
      </w:r>
      <w:r>
        <w:rPr>
          <w:color w:val="231F20"/>
          <w:spacing w:val="-24"/>
        </w:rPr>
        <w:t xml:space="preserve"> </w:t>
      </w:r>
      <w:r>
        <w:rPr>
          <w:color w:val="231F20"/>
        </w:rPr>
        <w:t>a</w:t>
      </w:r>
      <w:r>
        <w:rPr>
          <w:color w:val="231F20"/>
          <w:spacing w:val="-25"/>
        </w:rPr>
        <w:t xml:space="preserve"> </w:t>
      </w:r>
      <w:r>
        <w:rPr>
          <w:color w:val="231F20"/>
        </w:rPr>
        <w:t>byla-li</w:t>
      </w:r>
      <w:r>
        <w:rPr>
          <w:color w:val="231F20"/>
          <w:spacing w:val="-25"/>
        </w:rPr>
        <w:t xml:space="preserve"> </w:t>
      </w:r>
      <w:r>
        <w:rPr>
          <w:color w:val="231F20"/>
        </w:rPr>
        <w:t>v</w:t>
      </w:r>
      <w:r>
        <w:rPr>
          <w:color w:val="231F20"/>
          <w:spacing w:val="-24"/>
        </w:rPr>
        <w:t xml:space="preserve"> </w:t>
      </w:r>
      <w:r>
        <w:rPr>
          <w:color w:val="231F20"/>
        </w:rPr>
        <w:t>době vzniku pojistné události pevně spojena s</w:t>
      </w:r>
      <w:r>
        <w:rPr>
          <w:color w:val="231F20"/>
          <w:spacing w:val="-16"/>
        </w:rPr>
        <w:t xml:space="preserve"> </w:t>
      </w:r>
      <w:r>
        <w:rPr>
          <w:color w:val="231F20"/>
        </w:rPr>
        <w:t>vozidlem.</w:t>
      </w:r>
    </w:p>
    <w:p w14:paraId="7593586B" w14:textId="77777777" w:rsidR="00F65BCA" w:rsidRDefault="00000000">
      <w:pPr>
        <w:pStyle w:val="Zkladntext"/>
        <w:spacing w:line="172" w:lineRule="exact"/>
        <w:ind w:left="469"/>
        <w:jc w:val="both"/>
      </w:pPr>
      <w:r>
        <w:pict w14:anchorId="228BC557">
          <v:shape id="_x0000_s2242" type="#_x0000_t202" style="position:absolute;left:0;text-align:left;margin-left:303.4pt;margin-top:0;width:9.65pt;height:8.55pt;z-index:251885568;mso-position-horizontal-relative:page" fillcolor="#d1d3d4" stroked="f">
            <v:textbox inset="0,0,0,0">
              <w:txbxContent>
                <w:p w14:paraId="65D59CEC" w14:textId="77777777" w:rsidR="00F65BCA" w:rsidRDefault="00216117">
                  <w:pPr>
                    <w:spacing w:before="2"/>
                    <w:ind w:left="56"/>
                    <w:rPr>
                      <w:sz w:val="14"/>
                    </w:rPr>
                  </w:pPr>
                  <w:r>
                    <w:rPr>
                      <w:color w:val="231F20"/>
                      <w:w w:val="99"/>
                      <w:sz w:val="14"/>
                    </w:rPr>
                    <w:t>2</w:t>
                  </w:r>
                </w:p>
              </w:txbxContent>
            </v:textbox>
            <w10:wrap anchorx="page"/>
          </v:shape>
        </w:pict>
      </w:r>
      <w:r w:rsidR="00216117">
        <w:rPr>
          <w:color w:val="231F20"/>
        </w:rPr>
        <w:t>Pojištění se sjednává na první riziko.</w:t>
      </w:r>
    </w:p>
    <w:p w14:paraId="30B3F310" w14:textId="77777777" w:rsidR="00F65BCA" w:rsidRDefault="00000000">
      <w:pPr>
        <w:pStyle w:val="Zkladntext"/>
        <w:spacing w:before="28" w:line="278" w:lineRule="auto"/>
        <w:ind w:left="469" w:right="424" w:hanging="1"/>
        <w:jc w:val="both"/>
      </w:pPr>
      <w:r>
        <w:pict w14:anchorId="671E4F5A">
          <v:shape id="_x0000_s2241" type="#_x0000_t202" style="position:absolute;left:0;text-align:left;margin-left:303.4pt;margin-top:1.45pt;width:9.65pt;height:8.55pt;z-index:251884544;mso-position-horizontal-relative:page" fillcolor="#d1d3d4" stroked="f">
            <v:textbox inset="0,0,0,0">
              <w:txbxContent>
                <w:p w14:paraId="33C50CC5" w14:textId="77777777" w:rsidR="00F65BCA" w:rsidRDefault="00216117">
                  <w:pPr>
                    <w:spacing w:before="2"/>
                    <w:ind w:left="56"/>
                    <w:rPr>
                      <w:sz w:val="14"/>
                    </w:rPr>
                  </w:pPr>
                  <w:r>
                    <w:rPr>
                      <w:color w:val="231F20"/>
                      <w:w w:val="99"/>
                      <w:sz w:val="14"/>
                    </w:rPr>
                    <w:t>3</w:t>
                  </w:r>
                </w:p>
              </w:txbxContent>
            </v:textbox>
            <w10:wrap anchorx="page"/>
          </v:shape>
        </w:pict>
      </w:r>
      <w:r w:rsidR="00216117">
        <w:rPr>
          <w:color w:val="231F20"/>
        </w:rPr>
        <w:t>Pojištění</w:t>
      </w:r>
      <w:r w:rsidR="00216117">
        <w:rPr>
          <w:color w:val="231F20"/>
          <w:spacing w:val="-13"/>
        </w:rPr>
        <w:t xml:space="preserve"> </w:t>
      </w:r>
      <w:r w:rsidR="00216117">
        <w:rPr>
          <w:color w:val="231F20"/>
        </w:rPr>
        <w:t>se</w:t>
      </w:r>
      <w:r w:rsidR="00216117">
        <w:rPr>
          <w:color w:val="231F20"/>
          <w:spacing w:val="-13"/>
        </w:rPr>
        <w:t xml:space="preserve"> </w:t>
      </w:r>
      <w:r w:rsidR="00216117">
        <w:rPr>
          <w:color w:val="231F20"/>
        </w:rPr>
        <w:t>vztahuje</w:t>
      </w:r>
      <w:r w:rsidR="00216117">
        <w:rPr>
          <w:color w:val="231F20"/>
          <w:spacing w:val="-13"/>
        </w:rPr>
        <w:t xml:space="preserve"> </w:t>
      </w:r>
      <w:r w:rsidR="00216117">
        <w:rPr>
          <w:color w:val="231F20"/>
        </w:rPr>
        <w:t>na</w:t>
      </w:r>
      <w:r w:rsidR="00216117">
        <w:rPr>
          <w:color w:val="231F20"/>
          <w:spacing w:val="-13"/>
        </w:rPr>
        <w:t xml:space="preserve"> </w:t>
      </w:r>
      <w:r w:rsidR="00216117">
        <w:rPr>
          <w:color w:val="231F20"/>
        </w:rPr>
        <w:t>pojistné</w:t>
      </w:r>
      <w:r w:rsidR="00216117">
        <w:rPr>
          <w:color w:val="231F20"/>
          <w:spacing w:val="-13"/>
        </w:rPr>
        <w:t xml:space="preserve"> </w:t>
      </w:r>
      <w:r w:rsidR="00216117">
        <w:rPr>
          <w:color w:val="231F20"/>
        </w:rPr>
        <w:t>události,</w:t>
      </w:r>
      <w:r w:rsidR="00216117">
        <w:rPr>
          <w:color w:val="231F20"/>
          <w:spacing w:val="-13"/>
        </w:rPr>
        <w:t xml:space="preserve"> </w:t>
      </w:r>
      <w:r w:rsidR="00216117">
        <w:rPr>
          <w:color w:val="231F20"/>
        </w:rPr>
        <w:t>které</w:t>
      </w:r>
      <w:r w:rsidR="00216117">
        <w:rPr>
          <w:color w:val="231F20"/>
          <w:spacing w:val="-12"/>
        </w:rPr>
        <w:t xml:space="preserve"> </w:t>
      </w:r>
      <w:r w:rsidR="00216117">
        <w:rPr>
          <w:color w:val="231F20"/>
        </w:rPr>
        <w:t>nastanou</w:t>
      </w:r>
      <w:r w:rsidR="00216117">
        <w:rPr>
          <w:color w:val="231F20"/>
          <w:spacing w:val="-13"/>
        </w:rPr>
        <w:t xml:space="preserve"> </w:t>
      </w:r>
      <w:r w:rsidR="00216117">
        <w:rPr>
          <w:color w:val="231F20"/>
        </w:rPr>
        <w:t>na</w:t>
      </w:r>
      <w:r w:rsidR="00216117">
        <w:rPr>
          <w:color w:val="231F20"/>
          <w:spacing w:val="-13"/>
        </w:rPr>
        <w:t xml:space="preserve"> </w:t>
      </w:r>
      <w:r w:rsidR="00216117">
        <w:rPr>
          <w:color w:val="231F20"/>
        </w:rPr>
        <w:t>území</w:t>
      </w:r>
      <w:r w:rsidR="00216117">
        <w:rPr>
          <w:color w:val="231F20"/>
          <w:spacing w:val="-13"/>
        </w:rPr>
        <w:t xml:space="preserve"> </w:t>
      </w:r>
      <w:r w:rsidR="00216117">
        <w:rPr>
          <w:color w:val="231F20"/>
        </w:rPr>
        <w:t>České</w:t>
      </w:r>
      <w:r w:rsidR="00216117">
        <w:rPr>
          <w:color w:val="231F20"/>
          <w:spacing w:val="-13"/>
        </w:rPr>
        <w:t xml:space="preserve"> </w:t>
      </w:r>
      <w:r w:rsidR="00216117">
        <w:rPr>
          <w:color w:val="231F20"/>
        </w:rPr>
        <w:t>re- publiky.</w:t>
      </w:r>
    </w:p>
    <w:p w14:paraId="02807FC3" w14:textId="77777777" w:rsidR="00F65BCA" w:rsidRDefault="00216117">
      <w:pPr>
        <w:pStyle w:val="Zkladntext"/>
        <w:spacing w:line="278" w:lineRule="auto"/>
        <w:ind w:left="469" w:right="422"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14"/>
          <w:position w:val="1"/>
          <w:sz w:val="14"/>
        </w:rPr>
        <w:t xml:space="preserve"> </w:t>
      </w:r>
      <w:r>
        <w:rPr>
          <w:color w:val="231F20"/>
        </w:rPr>
        <w:t>Limit</w:t>
      </w:r>
      <w:r>
        <w:rPr>
          <w:color w:val="231F20"/>
          <w:spacing w:val="-10"/>
        </w:rPr>
        <w:t xml:space="preserve"> </w:t>
      </w:r>
      <w:r>
        <w:rPr>
          <w:color w:val="231F20"/>
        </w:rPr>
        <w:t>pojistného</w:t>
      </w:r>
      <w:r>
        <w:rPr>
          <w:color w:val="231F20"/>
          <w:spacing w:val="-10"/>
        </w:rPr>
        <w:t xml:space="preserve"> </w:t>
      </w:r>
      <w:r>
        <w:rPr>
          <w:color w:val="231F20"/>
        </w:rPr>
        <w:t>plnění</w:t>
      </w:r>
      <w:r>
        <w:rPr>
          <w:color w:val="231F20"/>
          <w:spacing w:val="-10"/>
        </w:rPr>
        <w:t xml:space="preserve"> </w:t>
      </w:r>
      <w:r>
        <w:rPr>
          <w:color w:val="231F20"/>
        </w:rPr>
        <w:t>a</w:t>
      </w:r>
      <w:r>
        <w:rPr>
          <w:color w:val="231F20"/>
          <w:spacing w:val="-10"/>
        </w:rPr>
        <w:t xml:space="preserve"> </w:t>
      </w:r>
      <w:r>
        <w:rPr>
          <w:color w:val="231F20"/>
        </w:rPr>
        <w:t>spoluúčast</w:t>
      </w:r>
      <w:r>
        <w:rPr>
          <w:color w:val="231F20"/>
          <w:spacing w:val="-10"/>
        </w:rPr>
        <w:t xml:space="preserve"> </w:t>
      </w:r>
      <w:r>
        <w:rPr>
          <w:color w:val="231F20"/>
        </w:rPr>
        <w:t>jsou</w:t>
      </w:r>
      <w:r>
        <w:rPr>
          <w:color w:val="231F20"/>
          <w:spacing w:val="-10"/>
        </w:rPr>
        <w:t xml:space="preserve"> </w:t>
      </w:r>
      <w:r>
        <w:rPr>
          <w:color w:val="231F20"/>
        </w:rPr>
        <w:t>dojednány</w:t>
      </w:r>
      <w:r>
        <w:rPr>
          <w:color w:val="231F20"/>
          <w:spacing w:val="-10"/>
        </w:rPr>
        <w:t xml:space="preserve"> </w:t>
      </w:r>
      <w:r>
        <w:rPr>
          <w:color w:val="231F20"/>
        </w:rPr>
        <w:t>v</w:t>
      </w:r>
      <w:r>
        <w:rPr>
          <w:color w:val="231F20"/>
          <w:spacing w:val="-10"/>
        </w:rPr>
        <w:t xml:space="preserve"> </w:t>
      </w:r>
      <w:r>
        <w:rPr>
          <w:color w:val="231F20"/>
        </w:rPr>
        <w:t>pojistné</w:t>
      </w:r>
      <w:r>
        <w:rPr>
          <w:color w:val="231F20"/>
          <w:spacing w:val="-10"/>
        </w:rPr>
        <w:t xml:space="preserve"> </w:t>
      </w:r>
      <w:r>
        <w:rPr>
          <w:color w:val="231F20"/>
        </w:rPr>
        <w:t>smlouvě</w:t>
      </w:r>
      <w:r>
        <w:rPr>
          <w:color w:val="231F20"/>
          <w:spacing w:val="-10"/>
        </w:rPr>
        <w:t xml:space="preserve"> </w:t>
      </w:r>
      <w:r>
        <w:rPr>
          <w:color w:val="231F20"/>
          <w:spacing w:val="2"/>
        </w:rPr>
        <w:t xml:space="preserve">nebo </w:t>
      </w:r>
      <w:r>
        <w:rPr>
          <w:color w:val="231F20"/>
        </w:rPr>
        <w:t>v seznamu</w:t>
      </w:r>
      <w:r>
        <w:rPr>
          <w:color w:val="231F20"/>
          <w:spacing w:val="-1"/>
        </w:rPr>
        <w:t xml:space="preserve"> </w:t>
      </w:r>
      <w:r>
        <w:rPr>
          <w:color w:val="231F20"/>
        </w:rPr>
        <w:t>vozidel.</w:t>
      </w:r>
    </w:p>
    <w:p w14:paraId="16B2123E" w14:textId="77777777" w:rsidR="00F65BCA" w:rsidRDefault="00F65BCA">
      <w:pPr>
        <w:spacing w:line="278" w:lineRule="auto"/>
        <w:jc w:val="both"/>
        <w:sectPr w:rsidR="00F65BCA">
          <w:pgSz w:w="11910" w:h="16840"/>
          <w:pgMar w:top="520" w:right="140" w:bottom="0" w:left="140" w:header="708" w:footer="708" w:gutter="0"/>
          <w:cols w:num="2" w:space="708" w:equalWidth="0">
            <w:col w:w="5700" w:space="40"/>
            <w:col w:w="5890"/>
          </w:cols>
        </w:sectPr>
      </w:pPr>
    </w:p>
    <w:p w14:paraId="4872830E" w14:textId="77777777" w:rsidR="00F65BCA" w:rsidRDefault="00000000">
      <w:pPr>
        <w:spacing w:before="91"/>
        <w:ind w:left="443"/>
        <w:rPr>
          <w:sz w:val="24"/>
        </w:rPr>
      </w:pPr>
      <w:r>
        <w:lastRenderedPageBreak/>
        <w:pict w14:anchorId="10D72B1B">
          <v:group id="_x0000_s2237" style="position:absolute;left:0;text-align:left;margin-left:0;margin-top:807.85pt;width:595.3pt;height:34.05pt;z-index:251891712;mso-position-horizontal-relative:page;mso-position-vertical-relative:page" coordorigin=",16157" coordsize="11906,681">
            <v:rect id="_x0000_s2240" style="position:absolute;top:16157;width:11906;height:681" fillcolor="#dcddde" stroked="f"/>
            <v:shape id="_x0000_s2239" type="#_x0000_t202" style="position:absolute;left:1020;top:16477;width:1414;height:164" filled="f" stroked="f">
              <v:textbox inset="0,0,0,0">
                <w:txbxContent>
                  <w:p w14:paraId="553C0CD3" w14:textId="77777777" w:rsidR="00F65BCA" w:rsidRDefault="00216117">
                    <w:pPr>
                      <w:spacing w:before="2"/>
                      <w:rPr>
                        <w:sz w:val="14"/>
                      </w:rPr>
                    </w:pPr>
                    <w:r>
                      <w:rPr>
                        <w:color w:val="231F20"/>
                        <w:sz w:val="14"/>
                      </w:rPr>
                      <w:t>6.20.012 05.2025 v04</w:t>
                    </w:r>
                  </w:p>
                </w:txbxContent>
              </v:textbox>
            </v:shape>
            <v:shape id="_x0000_s2238" type="#_x0000_t202" style="position:absolute;left:5679;top:16420;width:5453;height:234" filled="f" stroked="f">
              <v:textbox inset="0,0,0,0">
                <w:txbxContent>
                  <w:p w14:paraId="4C62F18D" w14:textId="77777777" w:rsidR="00F65BCA" w:rsidRDefault="00216117">
                    <w:pPr>
                      <w:spacing w:before="3"/>
                      <w:rPr>
                        <w:sz w:val="16"/>
                      </w:rPr>
                    </w:pPr>
                    <w:r>
                      <w:rPr>
                        <w:color w:val="231F20"/>
                        <w:sz w:val="16"/>
                      </w:rPr>
                      <w:t xml:space="preserve">Všeobecné pojistné podmínky pro pojištění vozidel VPPPMV-F-5/2025 </w:t>
                    </w:r>
                    <w:r>
                      <w:rPr>
                        <w:color w:val="6D6E71"/>
                        <w:sz w:val="20"/>
                      </w:rPr>
                      <w:t xml:space="preserve">| </w:t>
                    </w:r>
                    <w:r>
                      <w:rPr>
                        <w:color w:val="231F20"/>
                        <w:sz w:val="16"/>
                      </w:rPr>
                      <w:t>27</w:t>
                    </w:r>
                  </w:p>
                </w:txbxContent>
              </v:textbox>
            </v:shape>
            <w10:wrap anchorx="page" anchory="page"/>
          </v:group>
        </w:pict>
      </w:r>
      <w:r w:rsidR="00216117">
        <w:rPr>
          <w:color w:val="231F20"/>
          <w:sz w:val="24"/>
        </w:rPr>
        <w:t>Pododdíl 9 – Pojištění „POV – limit TOP“</w:t>
      </w:r>
    </w:p>
    <w:p w14:paraId="6C1A9935" w14:textId="77777777" w:rsidR="00F65BCA" w:rsidRDefault="00216117">
      <w:pPr>
        <w:spacing w:before="249"/>
        <w:ind w:left="428"/>
        <w:rPr>
          <w:sz w:val="15"/>
        </w:rPr>
      </w:pPr>
      <w:r>
        <w:rPr>
          <w:color w:val="FFFFFF"/>
          <w:position w:val="3"/>
          <w:sz w:val="16"/>
          <w:shd w:val="clear" w:color="auto" w:fill="808285"/>
        </w:rPr>
        <w:t xml:space="preserve">  Článek 60</w:t>
      </w:r>
      <w:r>
        <w:rPr>
          <w:color w:val="FFFFFF"/>
          <w:position w:val="3"/>
          <w:sz w:val="16"/>
        </w:rPr>
        <w:t xml:space="preserve"> </w:t>
      </w:r>
      <w:r>
        <w:rPr>
          <w:color w:val="231F20"/>
          <w:sz w:val="15"/>
        </w:rPr>
        <w:t>Úvodní ustanovení</w:t>
      </w:r>
    </w:p>
    <w:p w14:paraId="53748063" w14:textId="77777777" w:rsidR="00F65BCA" w:rsidRDefault="00000000">
      <w:pPr>
        <w:pStyle w:val="Zkladntext"/>
        <w:spacing w:before="147" w:line="278" w:lineRule="auto"/>
        <w:ind w:left="710" w:right="116"/>
      </w:pPr>
      <w:r>
        <w:pict w14:anchorId="299D6481">
          <v:shape id="_x0000_s2236" type="#_x0000_t202" style="position:absolute;left:0;text-align:left;margin-left:28.4pt;margin-top:17.4pt;width:9.65pt;height:8.55pt;z-index:251897856;mso-position-horizontal-relative:page" fillcolor="#d1d3d4" stroked="f">
            <v:textbox inset="0,0,0,0">
              <w:txbxContent>
                <w:p w14:paraId="593C7D57" w14:textId="77777777" w:rsidR="00F65BCA" w:rsidRDefault="00216117">
                  <w:pPr>
                    <w:spacing w:before="2"/>
                    <w:ind w:left="56"/>
                    <w:rPr>
                      <w:sz w:val="14"/>
                    </w:rPr>
                  </w:pPr>
                  <w:r>
                    <w:rPr>
                      <w:color w:val="231F20"/>
                      <w:w w:val="99"/>
                      <w:sz w:val="14"/>
                    </w:rPr>
                    <w:t>2</w:t>
                  </w:r>
                </w:p>
              </w:txbxContent>
            </v:textbox>
            <w10:wrap anchorx="page"/>
          </v:shape>
        </w:pict>
      </w:r>
      <w:r>
        <w:pict w14:anchorId="16257D76">
          <v:shape id="_x0000_s2235" type="#_x0000_t202" style="position:absolute;left:0;text-align:left;margin-left:28.4pt;margin-top:7.4pt;width:9.65pt;height:8.55pt;z-index:251898880;mso-position-horizontal-relative:page" fillcolor="#d1d3d4" stroked="f">
            <v:textbox inset="0,0,0,0">
              <w:txbxContent>
                <w:p w14:paraId="4A9C1971" w14:textId="77777777" w:rsidR="00F65BCA" w:rsidRDefault="00216117">
                  <w:pPr>
                    <w:spacing w:before="2"/>
                    <w:ind w:left="56"/>
                    <w:rPr>
                      <w:sz w:val="14"/>
                    </w:rPr>
                  </w:pPr>
                  <w:r>
                    <w:rPr>
                      <w:color w:val="231F20"/>
                      <w:w w:val="99"/>
                      <w:sz w:val="14"/>
                    </w:rPr>
                    <w:t>1</w:t>
                  </w:r>
                </w:p>
              </w:txbxContent>
            </v:textbox>
            <w10:wrap anchorx="page"/>
          </v:shape>
        </w:pict>
      </w:r>
      <w:r w:rsidR="00216117">
        <w:rPr>
          <w:color w:val="231F20"/>
        </w:rPr>
        <w:t>Pojištění</w:t>
      </w:r>
      <w:r w:rsidR="00216117">
        <w:rPr>
          <w:color w:val="231F20"/>
          <w:spacing w:val="-23"/>
        </w:rPr>
        <w:t xml:space="preserve"> </w:t>
      </w:r>
      <w:r w:rsidR="00216117">
        <w:rPr>
          <w:color w:val="231F20"/>
        </w:rPr>
        <w:t>lze</w:t>
      </w:r>
      <w:r w:rsidR="00216117">
        <w:rPr>
          <w:color w:val="231F20"/>
          <w:spacing w:val="-23"/>
        </w:rPr>
        <w:t xml:space="preserve"> </w:t>
      </w:r>
      <w:r w:rsidR="00216117">
        <w:rPr>
          <w:color w:val="231F20"/>
        </w:rPr>
        <w:t>sjednat</w:t>
      </w:r>
      <w:r w:rsidR="00216117">
        <w:rPr>
          <w:color w:val="231F20"/>
          <w:spacing w:val="-23"/>
        </w:rPr>
        <w:t xml:space="preserve"> </w:t>
      </w:r>
      <w:r w:rsidR="00216117">
        <w:rPr>
          <w:color w:val="231F20"/>
        </w:rPr>
        <w:t>pro</w:t>
      </w:r>
      <w:r w:rsidR="00216117">
        <w:rPr>
          <w:color w:val="231F20"/>
          <w:spacing w:val="-23"/>
        </w:rPr>
        <w:t xml:space="preserve"> </w:t>
      </w:r>
      <w:r w:rsidR="00216117">
        <w:rPr>
          <w:color w:val="231F20"/>
        </w:rPr>
        <w:t>jednotlivá</w:t>
      </w:r>
      <w:r w:rsidR="00216117">
        <w:rPr>
          <w:color w:val="231F20"/>
          <w:spacing w:val="-23"/>
        </w:rPr>
        <w:t xml:space="preserve"> </w:t>
      </w:r>
      <w:r w:rsidR="00216117">
        <w:rPr>
          <w:color w:val="231F20"/>
        </w:rPr>
        <w:t>vozidla</w:t>
      </w:r>
      <w:r w:rsidR="00216117">
        <w:rPr>
          <w:color w:val="231F20"/>
          <w:spacing w:val="-22"/>
        </w:rPr>
        <w:t xml:space="preserve"> </w:t>
      </w:r>
      <w:r w:rsidR="00216117">
        <w:rPr>
          <w:color w:val="231F20"/>
        </w:rPr>
        <w:t>jako</w:t>
      </w:r>
      <w:r w:rsidR="00216117">
        <w:rPr>
          <w:color w:val="231F20"/>
          <w:spacing w:val="-23"/>
        </w:rPr>
        <w:t xml:space="preserve"> </w:t>
      </w:r>
      <w:r w:rsidR="00216117">
        <w:rPr>
          <w:color w:val="231F20"/>
        </w:rPr>
        <w:t>doplňkové</w:t>
      </w:r>
      <w:r w:rsidR="00216117">
        <w:rPr>
          <w:color w:val="231F20"/>
          <w:spacing w:val="-23"/>
        </w:rPr>
        <w:t xml:space="preserve"> </w:t>
      </w:r>
      <w:r w:rsidR="00216117">
        <w:rPr>
          <w:color w:val="231F20"/>
        </w:rPr>
        <w:t>škodové</w:t>
      </w:r>
      <w:r w:rsidR="00216117">
        <w:rPr>
          <w:color w:val="231F20"/>
          <w:spacing w:val="-23"/>
        </w:rPr>
        <w:t xml:space="preserve"> </w:t>
      </w:r>
      <w:r w:rsidR="00216117">
        <w:rPr>
          <w:color w:val="231F20"/>
        </w:rPr>
        <w:t>pojištění. Základním</w:t>
      </w:r>
      <w:r w:rsidR="00216117">
        <w:rPr>
          <w:color w:val="231F20"/>
          <w:spacing w:val="-7"/>
        </w:rPr>
        <w:t xml:space="preserve"> </w:t>
      </w:r>
      <w:r w:rsidR="00216117">
        <w:rPr>
          <w:color w:val="231F20"/>
        </w:rPr>
        <w:t>pojištěním</w:t>
      </w:r>
      <w:r w:rsidR="00216117">
        <w:rPr>
          <w:color w:val="231F20"/>
          <w:spacing w:val="-6"/>
        </w:rPr>
        <w:t xml:space="preserve"> </w:t>
      </w:r>
      <w:r w:rsidR="00216117">
        <w:rPr>
          <w:color w:val="231F20"/>
        </w:rPr>
        <w:t>pro</w:t>
      </w:r>
      <w:r w:rsidR="00216117">
        <w:rPr>
          <w:color w:val="231F20"/>
          <w:spacing w:val="-6"/>
        </w:rPr>
        <w:t xml:space="preserve"> </w:t>
      </w:r>
      <w:r w:rsidR="00216117">
        <w:rPr>
          <w:color w:val="231F20"/>
        </w:rPr>
        <w:t>toto</w:t>
      </w:r>
      <w:r w:rsidR="00216117">
        <w:rPr>
          <w:color w:val="231F20"/>
          <w:spacing w:val="-7"/>
        </w:rPr>
        <w:t xml:space="preserve"> </w:t>
      </w:r>
      <w:r w:rsidR="00216117">
        <w:rPr>
          <w:color w:val="231F20"/>
        </w:rPr>
        <w:t>pojištění</w:t>
      </w:r>
      <w:r w:rsidR="00216117">
        <w:rPr>
          <w:color w:val="231F20"/>
          <w:spacing w:val="-6"/>
        </w:rPr>
        <w:t xml:space="preserve"> </w:t>
      </w:r>
      <w:r w:rsidR="00216117">
        <w:rPr>
          <w:color w:val="231F20"/>
        </w:rPr>
        <w:t>je</w:t>
      </w:r>
      <w:r w:rsidR="00216117">
        <w:rPr>
          <w:color w:val="231F20"/>
          <w:spacing w:val="-6"/>
        </w:rPr>
        <w:t xml:space="preserve"> </w:t>
      </w:r>
      <w:r w:rsidR="00216117">
        <w:rPr>
          <w:color w:val="231F20"/>
        </w:rPr>
        <w:t>pojištění</w:t>
      </w:r>
      <w:r w:rsidR="00216117">
        <w:rPr>
          <w:color w:val="231F20"/>
          <w:spacing w:val="-6"/>
        </w:rPr>
        <w:t xml:space="preserve"> </w:t>
      </w:r>
      <w:r w:rsidR="00216117">
        <w:rPr>
          <w:color w:val="231F20"/>
        </w:rPr>
        <w:t>odpovědnosti.</w:t>
      </w:r>
    </w:p>
    <w:p w14:paraId="376E32CD" w14:textId="77777777" w:rsidR="00F65BCA" w:rsidRDefault="00000000">
      <w:pPr>
        <w:pStyle w:val="Zkladntext"/>
        <w:spacing w:line="278" w:lineRule="auto"/>
        <w:ind w:left="710" w:right="-10" w:hanging="1"/>
      </w:pPr>
      <w:r>
        <w:pict w14:anchorId="374ACE1E">
          <v:shape id="_x0000_s2234" type="#_x0000_t202" style="position:absolute;left:0;text-align:left;margin-left:28.4pt;margin-top:.05pt;width:9.65pt;height:8.55pt;z-index:251896832;mso-position-horizontal-relative:page" fillcolor="#d1d3d4" stroked="f">
            <v:textbox inset="0,0,0,0">
              <w:txbxContent>
                <w:p w14:paraId="5CFFB694" w14:textId="77777777" w:rsidR="00F65BCA" w:rsidRDefault="00216117">
                  <w:pPr>
                    <w:spacing w:before="2"/>
                    <w:ind w:left="56"/>
                    <w:rPr>
                      <w:sz w:val="14"/>
                    </w:rPr>
                  </w:pPr>
                  <w:r>
                    <w:rPr>
                      <w:color w:val="231F20"/>
                      <w:w w:val="99"/>
                      <w:sz w:val="14"/>
                    </w:rPr>
                    <w:t>3</w:t>
                  </w:r>
                </w:p>
              </w:txbxContent>
            </v:textbox>
            <w10:wrap anchorx="page"/>
          </v:shape>
        </w:pict>
      </w:r>
      <w:r w:rsidR="00216117">
        <w:rPr>
          <w:color w:val="231F20"/>
        </w:rPr>
        <w:t>Pojištění</w:t>
      </w:r>
      <w:r w:rsidR="00216117">
        <w:rPr>
          <w:color w:val="231F20"/>
          <w:spacing w:val="-23"/>
        </w:rPr>
        <w:t xml:space="preserve"> </w:t>
      </w:r>
      <w:r w:rsidR="00216117">
        <w:rPr>
          <w:color w:val="231F20"/>
        </w:rPr>
        <w:t>lze</w:t>
      </w:r>
      <w:r w:rsidR="00216117">
        <w:rPr>
          <w:color w:val="231F20"/>
          <w:spacing w:val="-22"/>
        </w:rPr>
        <w:t xml:space="preserve"> </w:t>
      </w:r>
      <w:r w:rsidR="00216117">
        <w:rPr>
          <w:color w:val="231F20"/>
        </w:rPr>
        <w:t>navíc</w:t>
      </w:r>
      <w:r w:rsidR="00216117">
        <w:rPr>
          <w:color w:val="231F20"/>
          <w:spacing w:val="-21"/>
        </w:rPr>
        <w:t xml:space="preserve"> </w:t>
      </w:r>
      <w:r w:rsidR="00216117">
        <w:rPr>
          <w:color w:val="231F20"/>
        </w:rPr>
        <w:t>sjednat</w:t>
      </w:r>
      <w:r w:rsidR="00216117">
        <w:rPr>
          <w:color w:val="231F20"/>
          <w:spacing w:val="-22"/>
        </w:rPr>
        <w:t xml:space="preserve"> </w:t>
      </w:r>
      <w:r w:rsidR="00216117">
        <w:rPr>
          <w:color w:val="231F20"/>
        </w:rPr>
        <w:t>i</w:t>
      </w:r>
      <w:r w:rsidR="00216117">
        <w:rPr>
          <w:color w:val="231F20"/>
          <w:spacing w:val="-22"/>
        </w:rPr>
        <w:t xml:space="preserve"> </w:t>
      </w:r>
      <w:r w:rsidR="00216117">
        <w:rPr>
          <w:color w:val="231F20"/>
        </w:rPr>
        <w:t>v</w:t>
      </w:r>
      <w:r w:rsidR="00216117">
        <w:rPr>
          <w:color w:val="231F20"/>
          <w:spacing w:val="-22"/>
        </w:rPr>
        <w:t xml:space="preserve"> </w:t>
      </w:r>
      <w:r w:rsidR="00216117">
        <w:rPr>
          <w:color w:val="231F20"/>
        </w:rPr>
        <w:t>rámci</w:t>
      </w:r>
      <w:r w:rsidR="00216117">
        <w:rPr>
          <w:color w:val="231F20"/>
          <w:spacing w:val="-21"/>
        </w:rPr>
        <w:t xml:space="preserve"> </w:t>
      </w:r>
      <w:r w:rsidR="00216117">
        <w:rPr>
          <w:color w:val="231F20"/>
        </w:rPr>
        <w:t>pojištění</w:t>
      </w:r>
      <w:r w:rsidR="00216117">
        <w:rPr>
          <w:color w:val="231F20"/>
          <w:spacing w:val="-22"/>
        </w:rPr>
        <w:t xml:space="preserve"> </w:t>
      </w:r>
      <w:r w:rsidR="00216117">
        <w:rPr>
          <w:color w:val="231F20"/>
        </w:rPr>
        <w:t>vozidel,</w:t>
      </w:r>
      <w:r w:rsidR="00216117">
        <w:rPr>
          <w:color w:val="231F20"/>
          <w:spacing w:val="-22"/>
        </w:rPr>
        <w:t xml:space="preserve"> </w:t>
      </w:r>
      <w:r w:rsidR="00216117">
        <w:rPr>
          <w:color w:val="231F20"/>
        </w:rPr>
        <w:t>která</w:t>
      </w:r>
      <w:r w:rsidR="00216117">
        <w:rPr>
          <w:color w:val="231F20"/>
          <w:spacing w:val="-22"/>
        </w:rPr>
        <w:t xml:space="preserve"> </w:t>
      </w:r>
      <w:r w:rsidR="00216117">
        <w:rPr>
          <w:color w:val="231F20"/>
        </w:rPr>
        <w:t>dle</w:t>
      </w:r>
      <w:r w:rsidR="00216117">
        <w:rPr>
          <w:color w:val="231F20"/>
          <w:spacing w:val="-22"/>
        </w:rPr>
        <w:t xml:space="preserve"> </w:t>
      </w:r>
      <w:r w:rsidR="00216117">
        <w:rPr>
          <w:color w:val="231F20"/>
        </w:rPr>
        <w:t>platné</w:t>
      </w:r>
      <w:r w:rsidR="00216117">
        <w:rPr>
          <w:color w:val="231F20"/>
          <w:spacing w:val="-21"/>
        </w:rPr>
        <w:t xml:space="preserve"> </w:t>
      </w:r>
      <w:r w:rsidR="00216117">
        <w:rPr>
          <w:color w:val="231F20"/>
        </w:rPr>
        <w:t>legislativy nemusí</w:t>
      </w:r>
      <w:r w:rsidR="00216117">
        <w:rPr>
          <w:color w:val="231F20"/>
          <w:spacing w:val="-11"/>
        </w:rPr>
        <w:t xml:space="preserve"> </w:t>
      </w:r>
      <w:r w:rsidR="00216117">
        <w:rPr>
          <w:color w:val="231F20"/>
        </w:rPr>
        <w:t>mít</w:t>
      </w:r>
      <w:r w:rsidR="00216117">
        <w:rPr>
          <w:color w:val="231F20"/>
          <w:spacing w:val="-11"/>
        </w:rPr>
        <w:t xml:space="preserve"> </w:t>
      </w:r>
      <w:r w:rsidR="00216117">
        <w:rPr>
          <w:color w:val="231F20"/>
        </w:rPr>
        <w:t>českými</w:t>
      </w:r>
      <w:r w:rsidR="00216117">
        <w:rPr>
          <w:color w:val="231F20"/>
          <w:spacing w:val="-11"/>
        </w:rPr>
        <w:t xml:space="preserve"> </w:t>
      </w:r>
      <w:r w:rsidR="00216117">
        <w:rPr>
          <w:color w:val="231F20"/>
        </w:rPr>
        <w:t>úřady</w:t>
      </w:r>
      <w:r w:rsidR="00216117">
        <w:rPr>
          <w:color w:val="231F20"/>
          <w:spacing w:val="-10"/>
        </w:rPr>
        <w:t xml:space="preserve"> </w:t>
      </w:r>
      <w:r w:rsidR="00216117">
        <w:rPr>
          <w:color w:val="231F20"/>
        </w:rPr>
        <w:t>přidělenou</w:t>
      </w:r>
      <w:r w:rsidR="00216117">
        <w:rPr>
          <w:color w:val="231F20"/>
          <w:spacing w:val="-11"/>
        </w:rPr>
        <w:t xml:space="preserve"> </w:t>
      </w:r>
      <w:r w:rsidR="00216117">
        <w:rPr>
          <w:color w:val="231F20"/>
        </w:rPr>
        <w:t>platnou</w:t>
      </w:r>
      <w:r w:rsidR="00216117">
        <w:rPr>
          <w:color w:val="231F20"/>
          <w:spacing w:val="-11"/>
        </w:rPr>
        <w:t xml:space="preserve"> </w:t>
      </w:r>
      <w:r w:rsidR="00216117">
        <w:rPr>
          <w:color w:val="231F20"/>
        </w:rPr>
        <w:t>českou</w:t>
      </w:r>
      <w:r w:rsidR="00216117">
        <w:rPr>
          <w:color w:val="231F20"/>
          <w:spacing w:val="-10"/>
        </w:rPr>
        <w:t xml:space="preserve"> </w:t>
      </w:r>
      <w:r w:rsidR="00216117">
        <w:rPr>
          <w:color w:val="231F20"/>
        </w:rPr>
        <w:t>registrační</w:t>
      </w:r>
      <w:r w:rsidR="00216117">
        <w:rPr>
          <w:color w:val="231F20"/>
          <w:spacing w:val="-11"/>
        </w:rPr>
        <w:t xml:space="preserve"> </w:t>
      </w:r>
      <w:r w:rsidR="00216117">
        <w:rPr>
          <w:color w:val="231F20"/>
        </w:rPr>
        <w:t>značku.</w:t>
      </w:r>
    </w:p>
    <w:p w14:paraId="199FBE56" w14:textId="77777777" w:rsidR="00F65BCA" w:rsidRDefault="00F65BCA">
      <w:pPr>
        <w:pStyle w:val="Zkladntext"/>
        <w:spacing w:before="11"/>
        <w:rPr>
          <w:sz w:val="20"/>
        </w:rPr>
      </w:pPr>
    </w:p>
    <w:p w14:paraId="2055B73F" w14:textId="77777777" w:rsidR="00F65BCA" w:rsidRDefault="00216117">
      <w:pPr>
        <w:pStyle w:val="Zkladntext"/>
        <w:ind w:left="428"/>
      </w:pPr>
      <w:r>
        <w:rPr>
          <w:color w:val="FFFFFF"/>
          <w:position w:val="3"/>
          <w:sz w:val="16"/>
          <w:shd w:val="clear" w:color="auto" w:fill="808285"/>
        </w:rPr>
        <w:t xml:space="preserve">  </w:t>
      </w:r>
      <w:r>
        <w:rPr>
          <w:color w:val="FFFFFF"/>
          <w:w w:val="105"/>
          <w:position w:val="3"/>
          <w:sz w:val="16"/>
          <w:shd w:val="clear" w:color="auto" w:fill="808285"/>
        </w:rPr>
        <w:t>Článek 61</w:t>
      </w:r>
      <w:r>
        <w:rPr>
          <w:color w:val="FFFFFF"/>
          <w:w w:val="105"/>
          <w:position w:val="3"/>
          <w:sz w:val="16"/>
        </w:rPr>
        <w:t xml:space="preserve"> </w:t>
      </w:r>
      <w:r>
        <w:rPr>
          <w:color w:val="231F20"/>
          <w:w w:val="105"/>
        </w:rPr>
        <w:t>Pojistná nebezpečí, rozsah pojištění, limity pojistného plnění</w:t>
      </w:r>
    </w:p>
    <w:p w14:paraId="1363A2BD"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 xml:space="preserve">1 </w:t>
      </w:r>
      <w:r>
        <w:rPr>
          <w:color w:val="231F20"/>
          <w:position w:val="1"/>
          <w:sz w:val="14"/>
        </w:rPr>
        <w:t xml:space="preserve"> </w:t>
      </w:r>
      <w:r>
        <w:rPr>
          <w:color w:val="231F20"/>
        </w:rPr>
        <w:t xml:space="preserve">Pojišťovna </w:t>
      </w:r>
      <w:r>
        <w:rPr>
          <w:color w:val="231F20"/>
          <w:spacing w:val="2"/>
        </w:rPr>
        <w:t xml:space="preserve">poskytne </w:t>
      </w:r>
      <w:r>
        <w:rPr>
          <w:color w:val="231F20"/>
        </w:rPr>
        <w:t>pojistné plnění z tohoto doplňkového pojištění pouze   v případě,</w:t>
      </w:r>
      <w:r>
        <w:rPr>
          <w:color w:val="231F20"/>
          <w:spacing w:val="-1"/>
        </w:rPr>
        <w:t xml:space="preserve"> </w:t>
      </w:r>
      <w:r>
        <w:rPr>
          <w:color w:val="231F20"/>
        </w:rPr>
        <w:t>kdy</w:t>
      </w:r>
    </w:p>
    <w:p w14:paraId="7066DEA2" w14:textId="77777777" w:rsidR="00F65BCA" w:rsidRDefault="00216117">
      <w:pPr>
        <w:pStyle w:val="Odstavecseseznamem"/>
        <w:numPr>
          <w:ilvl w:val="2"/>
          <w:numId w:val="94"/>
        </w:numPr>
        <w:tabs>
          <w:tab w:val="left" w:pos="881"/>
        </w:tabs>
        <w:spacing w:line="278" w:lineRule="auto"/>
        <w:jc w:val="both"/>
        <w:rPr>
          <w:sz w:val="15"/>
        </w:rPr>
      </w:pPr>
      <w:r>
        <w:rPr>
          <w:color w:val="231F20"/>
          <w:sz w:val="15"/>
        </w:rPr>
        <w:t>újma</w:t>
      </w:r>
      <w:r>
        <w:rPr>
          <w:color w:val="231F20"/>
          <w:spacing w:val="-18"/>
          <w:sz w:val="15"/>
        </w:rPr>
        <w:t xml:space="preserve"> </w:t>
      </w:r>
      <w:r>
        <w:rPr>
          <w:color w:val="231F20"/>
          <w:sz w:val="15"/>
        </w:rPr>
        <w:t>na</w:t>
      </w:r>
      <w:r>
        <w:rPr>
          <w:color w:val="231F20"/>
          <w:spacing w:val="-18"/>
          <w:sz w:val="15"/>
        </w:rPr>
        <w:t xml:space="preserve"> </w:t>
      </w:r>
      <w:r>
        <w:rPr>
          <w:color w:val="231F20"/>
          <w:sz w:val="15"/>
        </w:rPr>
        <w:t>zdraví</w:t>
      </w:r>
      <w:r>
        <w:rPr>
          <w:color w:val="231F20"/>
          <w:spacing w:val="-17"/>
          <w:sz w:val="15"/>
        </w:rPr>
        <w:t xml:space="preserve"> </w:t>
      </w:r>
      <w:r>
        <w:rPr>
          <w:color w:val="231F20"/>
          <w:sz w:val="15"/>
        </w:rPr>
        <w:t>nebo</w:t>
      </w:r>
      <w:r>
        <w:rPr>
          <w:color w:val="231F20"/>
          <w:spacing w:val="-18"/>
          <w:sz w:val="15"/>
        </w:rPr>
        <w:t xml:space="preserve"> </w:t>
      </w:r>
      <w:r>
        <w:rPr>
          <w:color w:val="231F20"/>
          <w:spacing w:val="2"/>
          <w:sz w:val="15"/>
        </w:rPr>
        <w:t>vzniklá</w:t>
      </w:r>
      <w:r>
        <w:rPr>
          <w:color w:val="231F20"/>
          <w:spacing w:val="-17"/>
          <w:sz w:val="15"/>
        </w:rPr>
        <w:t xml:space="preserve"> </w:t>
      </w:r>
      <w:r>
        <w:rPr>
          <w:color w:val="231F20"/>
          <w:sz w:val="15"/>
        </w:rPr>
        <w:t>usmrcením</w:t>
      </w:r>
      <w:r>
        <w:rPr>
          <w:color w:val="231F20"/>
          <w:spacing w:val="-18"/>
          <w:sz w:val="15"/>
        </w:rPr>
        <w:t xml:space="preserve"> </w:t>
      </w:r>
      <w:r>
        <w:rPr>
          <w:color w:val="231F20"/>
          <w:sz w:val="15"/>
        </w:rPr>
        <w:t>přesáhne</w:t>
      </w:r>
      <w:r>
        <w:rPr>
          <w:color w:val="231F20"/>
          <w:spacing w:val="-18"/>
          <w:sz w:val="15"/>
        </w:rPr>
        <w:t xml:space="preserve"> </w:t>
      </w:r>
      <w:r>
        <w:rPr>
          <w:color w:val="231F20"/>
          <w:sz w:val="15"/>
        </w:rPr>
        <w:t>u</w:t>
      </w:r>
      <w:r>
        <w:rPr>
          <w:color w:val="231F20"/>
          <w:spacing w:val="-17"/>
          <w:sz w:val="15"/>
        </w:rPr>
        <w:t xml:space="preserve"> </w:t>
      </w:r>
      <w:r>
        <w:rPr>
          <w:color w:val="231F20"/>
          <w:sz w:val="15"/>
        </w:rPr>
        <w:t>jednoho</w:t>
      </w:r>
      <w:r>
        <w:rPr>
          <w:color w:val="231F20"/>
          <w:spacing w:val="-18"/>
          <w:sz w:val="15"/>
        </w:rPr>
        <w:t xml:space="preserve"> </w:t>
      </w:r>
      <w:r>
        <w:rPr>
          <w:color w:val="231F20"/>
          <w:sz w:val="15"/>
        </w:rPr>
        <w:t xml:space="preserve">poškozeného z jedné škodní události limit </w:t>
      </w:r>
      <w:r>
        <w:rPr>
          <w:color w:val="231F20"/>
          <w:spacing w:val="2"/>
          <w:sz w:val="15"/>
        </w:rPr>
        <w:t xml:space="preserve">základního </w:t>
      </w:r>
      <w:r>
        <w:rPr>
          <w:color w:val="231F20"/>
          <w:sz w:val="15"/>
        </w:rPr>
        <w:t>pojištění dojednaný v seznamu vozidel;</w:t>
      </w:r>
    </w:p>
    <w:p w14:paraId="3577F2F9" w14:textId="77777777" w:rsidR="00F65BCA" w:rsidRDefault="00216117">
      <w:pPr>
        <w:pStyle w:val="Odstavecseseznamem"/>
        <w:numPr>
          <w:ilvl w:val="2"/>
          <w:numId w:val="94"/>
        </w:numPr>
        <w:tabs>
          <w:tab w:val="left" w:pos="881"/>
        </w:tabs>
        <w:spacing w:line="278" w:lineRule="auto"/>
        <w:jc w:val="both"/>
        <w:rPr>
          <w:sz w:val="15"/>
        </w:rPr>
      </w:pPr>
      <w:r>
        <w:rPr>
          <w:color w:val="231F20"/>
          <w:sz w:val="15"/>
        </w:rPr>
        <w:t>nebo celková škoda na majetku přesáhne u všech poškozených z jedné škodní</w:t>
      </w:r>
      <w:r>
        <w:rPr>
          <w:color w:val="231F20"/>
          <w:spacing w:val="-10"/>
          <w:sz w:val="15"/>
        </w:rPr>
        <w:t xml:space="preserve"> </w:t>
      </w:r>
      <w:r>
        <w:rPr>
          <w:color w:val="231F20"/>
          <w:sz w:val="15"/>
        </w:rPr>
        <w:t>události</w:t>
      </w:r>
      <w:r>
        <w:rPr>
          <w:color w:val="231F20"/>
          <w:spacing w:val="-9"/>
          <w:sz w:val="15"/>
        </w:rPr>
        <w:t xml:space="preserve"> </w:t>
      </w:r>
      <w:r>
        <w:rPr>
          <w:color w:val="231F20"/>
          <w:sz w:val="15"/>
        </w:rPr>
        <w:t>limit</w:t>
      </w:r>
      <w:r>
        <w:rPr>
          <w:color w:val="231F20"/>
          <w:spacing w:val="-10"/>
          <w:sz w:val="15"/>
        </w:rPr>
        <w:t xml:space="preserve"> </w:t>
      </w:r>
      <w:r>
        <w:rPr>
          <w:color w:val="231F20"/>
          <w:spacing w:val="2"/>
          <w:sz w:val="15"/>
        </w:rPr>
        <w:t>základního</w:t>
      </w:r>
      <w:r>
        <w:rPr>
          <w:color w:val="231F20"/>
          <w:spacing w:val="-9"/>
          <w:sz w:val="15"/>
        </w:rPr>
        <w:t xml:space="preserve"> </w:t>
      </w:r>
      <w:r>
        <w:rPr>
          <w:color w:val="231F20"/>
          <w:sz w:val="15"/>
        </w:rPr>
        <w:t>pojištění</w:t>
      </w:r>
      <w:r>
        <w:rPr>
          <w:color w:val="231F20"/>
          <w:spacing w:val="-10"/>
          <w:sz w:val="15"/>
        </w:rPr>
        <w:t xml:space="preserve"> </w:t>
      </w:r>
      <w:r>
        <w:rPr>
          <w:color w:val="231F20"/>
          <w:sz w:val="15"/>
        </w:rPr>
        <w:t>dojednaný</w:t>
      </w:r>
      <w:r>
        <w:rPr>
          <w:color w:val="231F20"/>
          <w:spacing w:val="-9"/>
          <w:sz w:val="15"/>
        </w:rPr>
        <w:t xml:space="preserve"> </w:t>
      </w:r>
      <w:r>
        <w:rPr>
          <w:color w:val="231F20"/>
          <w:sz w:val="15"/>
        </w:rPr>
        <w:t>v</w:t>
      </w:r>
      <w:r>
        <w:rPr>
          <w:color w:val="231F20"/>
          <w:spacing w:val="-9"/>
          <w:sz w:val="15"/>
        </w:rPr>
        <w:t xml:space="preserve"> </w:t>
      </w:r>
      <w:r>
        <w:rPr>
          <w:color w:val="231F20"/>
          <w:sz w:val="15"/>
        </w:rPr>
        <w:t>seznamu</w:t>
      </w:r>
      <w:r>
        <w:rPr>
          <w:color w:val="231F20"/>
          <w:spacing w:val="-10"/>
          <w:sz w:val="15"/>
        </w:rPr>
        <w:t xml:space="preserve"> </w:t>
      </w:r>
      <w:r>
        <w:rPr>
          <w:color w:val="231F20"/>
          <w:sz w:val="15"/>
        </w:rPr>
        <w:t>vozidel.</w:t>
      </w:r>
    </w:p>
    <w:p w14:paraId="55B119B1" w14:textId="77777777" w:rsidR="00F65BCA" w:rsidRDefault="00216117">
      <w:pPr>
        <w:pStyle w:val="Zkladntext"/>
        <w:spacing w:line="278" w:lineRule="auto"/>
        <w:ind w:left="710"/>
        <w:jc w:val="both"/>
      </w:pPr>
      <w:r>
        <w:rPr>
          <w:color w:val="231F20"/>
        </w:rPr>
        <w:t>V</w:t>
      </w:r>
      <w:r>
        <w:rPr>
          <w:color w:val="231F20"/>
          <w:spacing w:val="-14"/>
        </w:rPr>
        <w:t xml:space="preserve"> </w:t>
      </w:r>
      <w:r>
        <w:rPr>
          <w:color w:val="231F20"/>
        </w:rPr>
        <w:t>obou</w:t>
      </w:r>
      <w:r>
        <w:rPr>
          <w:color w:val="231F20"/>
          <w:spacing w:val="-14"/>
        </w:rPr>
        <w:t xml:space="preserve"> </w:t>
      </w:r>
      <w:r>
        <w:rPr>
          <w:color w:val="231F20"/>
        </w:rPr>
        <w:t>případech</w:t>
      </w:r>
      <w:r>
        <w:rPr>
          <w:color w:val="231F20"/>
          <w:spacing w:val="-14"/>
        </w:rPr>
        <w:t xml:space="preserve"> </w:t>
      </w:r>
      <w:r>
        <w:rPr>
          <w:color w:val="231F20"/>
          <w:spacing w:val="2"/>
        </w:rPr>
        <w:t>poskytne</w:t>
      </w:r>
      <w:r>
        <w:rPr>
          <w:color w:val="231F20"/>
          <w:spacing w:val="-14"/>
        </w:rPr>
        <w:t xml:space="preserve"> </w:t>
      </w:r>
      <w:r>
        <w:rPr>
          <w:color w:val="231F20"/>
        </w:rPr>
        <w:t>pojišťovna</w:t>
      </w:r>
      <w:r>
        <w:rPr>
          <w:color w:val="231F20"/>
          <w:spacing w:val="-14"/>
        </w:rPr>
        <w:t xml:space="preserve"> </w:t>
      </w:r>
      <w:r>
        <w:rPr>
          <w:color w:val="231F20"/>
        </w:rPr>
        <w:t>z</w:t>
      </w:r>
      <w:r>
        <w:rPr>
          <w:color w:val="231F20"/>
          <w:spacing w:val="-14"/>
        </w:rPr>
        <w:t xml:space="preserve"> </w:t>
      </w:r>
      <w:r>
        <w:rPr>
          <w:color w:val="231F20"/>
        </w:rPr>
        <w:t>tohoto</w:t>
      </w:r>
      <w:r>
        <w:rPr>
          <w:color w:val="231F20"/>
          <w:spacing w:val="-14"/>
        </w:rPr>
        <w:t xml:space="preserve"> </w:t>
      </w:r>
      <w:r>
        <w:rPr>
          <w:color w:val="231F20"/>
        </w:rPr>
        <w:t>doplňkového</w:t>
      </w:r>
      <w:r>
        <w:rPr>
          <w:color w:val="231F20"/>
          <w:spacing w:val="-13"/>
        </w:rPr>
        <w:t xml:space="preserve"> </w:t>
      </w:r>
      <w:r>
        <w:rPr>
          <w:color w:val="231F20"/>
        </w:rPr>
        <w:t>pojištění</w:t>
      </w:r>
      <w:r>
        <w:rPr>
          <w:color w:val="231F20"/>
          <w:spacing w:val="-14"/>
        </w:rPr>
        <w:t xml:space="preserve"> </w:t>
      </w:r>
      <w:r>
        <w:rPr>
          <w:color w:val="231F20"/>
        </w:rPr>
        <w:t>plnění pouze</w:t>
      </w:r>
      <w:r>
        <w:rPr>
          <w:color w:val="231F20"/>
          <w:spacing w:val="-11"/>
        </w:rPr>
        <w:t xml:space="preserve"> </w:t>
      </w:r>
      <w:r>
        <w:rPr>
          <w:color w:val="231F20"/>
        </w:rPr>
        <w:t>v</w:t>
      </w:r>
      <w:r>
        <w:rPr>
          <w:color w:val="231F20"/>
          <w:spacing w:val="-10"/>
        </w:rPr>
        <w:t xml:space="preserve"> </w:t>
      </w:r>
      <w:r>
        <w:rPr>
          <w:color w:val="231F20"/>
        </w:rPr>
        <w:t>částce,</w:t>
      </w:r>
      <w:r>
        <w:rPr>
          <w:color w:val="231F20"/>
          <w:spacing w:val="-10"/>
        </w:rPr>
        <w:t xml:space="preserve"> </w:t>
      </w:r>
      <w:r>
        <w:rPr>
          <w:color w:val="231F20"/>
        </w:rPr>
        <w:t>která</w:t>
      </w:r>
      <w:r>
        <w:rPr>
          <w:color w:val="231F20"/>
          <w:spacing w:val="-10"/>
        </w:rPr>
        <w:t xml:space="preserve"> </w:t>
      </w:r>
      <w:r>
        <w:rPr>
          <w:color w:val="231F20"/>
        </w:rPr>
        <w:t>přesáhne</w:t>
      </w:r>
      <w:r>
        <w:rPr>
          <w:color w:val="231F20"/>
          <w:spacing w:val="-11"/>
        </w:rPr>
        <w:t xml:space="preserve"> </w:t>
      </w:r>
      <w:r>
        <w:rPr>
          <w:color w:val="231F20"/>
        </w:rPr>
        <w:t>limit</w:t>
      </w:r>
      <w:r>
        <w:rPr>
          <w:color w:val="231F20"/>
          <w:spacing w:val="-10"/>
        </w:rPr>
        <w:t xml:space="preserve"> </w:t>
      </w:r>
      <w:r>
        <w:rPr>
          <w:color w:val="231F20"/>
          <w:spacing w:val="2"/>
        </w:rPr>
        <w:t>základního</w:t>
      </w:r>
      <w:r>
        <w:rPr>
          <w:color w:val="231F20"/>
          <w:spacing w:val="-10"/>
        </w:rPr>
        <w:t xml:space="preserve"> </w:t>
      </w:r>
      <w:r>
        <w:rPr>
          <w:color w:val="231F20"/>
        </w:rPr>
        <w:t>pojištění,</w:t>
      </w:r>
      <w:r>
        <w:rPr>
          <w:color w:val="231F20"/>
          <w:spacing w:val="-10"/>
        </w:rPr>
        <w:t xml:space="preserve"> </w:t>
      </w:r>
      <w:r>
        <w:rPr>
          <w:color w:val="231F20"/>
        </w:rPr>
        <w:t>a</w:t>
      </w:r>
      <w:r>
        <w:rPr>
          <w:color w:val="231F20"/>
          <w:spacing w:val="-11"/>
        </w:rPr>
        <w:t xml:space="preserve"> </w:t>
      </w:r>
      <w:r>
        <w:rPr>
          <w:color w:val="231F20"/>
        </w:rPr>
        <w:t>to</w:t>
      </w:r>
      <w:r>
        <w:rPr>
          <w:color w:val="231F20"/>
          <w:spacing w:val="-10"/>
        </w:rPr>
        <w:t xml:space="preserve"> </w:t>
      </w:r>
      <w:r>
        <w:rPr>
          <w:color w:val="231F20"/>
          <w:spacing w:val="2"/>
        </w:rPr>
        <w:t>až</w:t>
      </w:r>
      <w:r>
        <w:rPr>
          <w:color w:val="231F20"/>
          <w:spacing w:val="-10"/>
        </w:rPr>
        <w:t xml:space="preserve"> </w:t>
      </w:r>
      <w:r>
        <w:rPr>
          <w:color w:val="231F20"/>
        </w:rPr>
        <w:t>do</w:t>
      </w:r>
      <w:r>
        <w:rPr>
          <w:color w:val="231F20"/>
          <w:spacing w:val="-10"/>
        </w:rPr>
        <w:t xml:space="preserve"> </w:t>
      </w:r>
      <w:r>
        <w:rPr>
          <w:color w:val="231F20"/>
        </w:rPr>
        <w:t xml:space="preserve">úhrnné- ho limitu </w:t>
      </w:r>
      <w:r>
        <w:rPr>
          <w:color w:val="231F20"/>
          <w:spacing w:val="2"/>
        </w:rPr>
        <w:t xml:space="preserve">dojednaného </w:t>
      </w:r>
      <w:r>
        <w:rPr>
          <w:color w:val="231F20"/>
        </w:rPr>
        <w:t xml:space="preserve">v pojistné smlouvě nebo v seznamu vozidel z </w:t>
      </w:r>
      <w:r>
        <w:rPr>
          <w:color w:val="231F20"/>
          <w:spacing w:val="2"/>
        </w:rPr>
        <w:t xml:space="preserve">jedné </w:t>
      </w:r>
      <w:r>
        <w:rPr>
          <w:color w:val="231F20"/>
        </w:rPr>
        <w:t>škodní</w:t>
      </w:r>
      <w:r>
        <w:rPr>
          <w:color w:val="231F20"/>
          <w:spacing w:val="-1"/>
        </w:rPr>
        <w:t xml:space="preserve"> </w:t>
      </w:r>
      <w:r>
        <w:rPr>
          <w:color w:val="231F20"/>
        </w:rPr>
        <w:t>události.</w:t>
      </w:r>
    </w:p>
    <w:p w14:paraId="06336FF9"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position w:val="1"/>
          <w:sz w:val="14"/>
        </w:rPr>
        <w:t xml:space="preserve"> </w:t>
      </w:r>
      <w:r>
        <w:rPr>
          <w:color w:val="231F20"/>
          <w:spacing w:val="-5"/>
        </w:rPr>
        <w:t xml:space="preserve">Toto </w:t>
      </w:r>
      <w:r>
        <w:rPr>
          <w:color w:val="231F20"/>
        </w:rPr>
        <w:t xml:space="preserve">doplňkové pojištění lze sjednat a může trvat pouze za předpokladu, </w:t>
      </w:r>
      <w:r>
        <w:rPr>
          <w:color w:val="231F20"/>
          <w:spacing w:val="-8"/>
        </w:rPr>
        <w:t xml:space="preserve">že  </w:t>
      </w:r>
      <w:r>
        <w:rPr>
          <w:color w:val="231F20"/>
        </w:rPr>
        <w:t>u</w:t>
      </w:r>
      <w:r>
        <w:rPr>
          <w:color w:val="231F20"/>
          <w:spacing w:val="-14"/>
        </w:rPr>
        <w:t xml:space="preserve"> </w:t>
      </w:r>
      <w:r>
        <w:rPr>
          <w:color w:val="231F20"/>
        </w:rPr>
        <w:t>Pojišťovny</w:t>
      </w:r>
      <w:r>
        <w:rPr>
          <w:color w:val="231F20"/>
          <w:spacing w:val="-14"/>
        </w:rPr>
        <w:t xml:space="preserve"> </w:t>
      </w:r>
      <w:r>
        <w:rPr>
          <w:color w:val="231F20"/>
        </w:rPr>
        <w:t>existuje</w:t>
      </w:r>
      <w:r>
        <w:rPr>
          <w:color w:val="231F20"/>
          <w:spacing w:val="-13"/>
        </w:rPr>
        <w:t xml:space="preserve"> </w:t>
      </w:r>
      <w:r>
        <w:rPr>
          <w:color w:val="231F20"/>
        </w:rPr>
        <w:t>aktivní</w:t>
      </w:r>
      <w:r>
        <w:rPr>
          <w:color w:val="231F20"/>
          <w:spacing w:val="-14"/>
        </w:rPr>
        <w:t xml:space="preserve"> </w:t>
      </w:r>
      <w:r>
        <w:rPr>
          <w:color w:val="231F20"/>
        </w:rPr>
        <w:t>základní</w:t>
      </w:r>
      <w:r>
        <w:rPr>
          <w:color w:val="231F20"/>
          <w:spacing w:val="-13"/>
        </w:rPr>
        <w:t xml:space="preserve"> </w:t>
      </w:r>
      <w:r>
        <w:rPr>
          <w:color w:val="231F20"/>
        </w:rPr>
        <w:t>pojištění</w:t>
      </w:r>
      <w:r>
        <w:rPr>
          <w:color w:val="231F20"/>
          <w:spacing w:val="-14"/>
        </w:rPr>
        <w:t xml:space="preserve"> </w:t>
      </w:r>
      <w:r>
        <w:rPr>
          <w:color w:val="231F20"/>
        </w:rPr>
        <w:t>vozidla</w:t>
      </w:r>
      <w:r>
        <w:rPr>
          <w:color w:val="231F20"/>
          <w:spacing w:val="-14"/>
        </w:rPr>
        <w:t xml:space="preserve"> </w:t>
      </w:r>
      <w:r>
        <w:rPr>
          <w:color w:val="231F20"/>
        </w:rPr>
        <w:t>uvedeného</w:t>
      </w:r>
      <w:r>
        <w:rPr>
          <w:color w:val="231F20"/>
          <w:spacing w:val="-13"/>
        </w:rPr>
        <w:t xml:space="preserve"> </w:t>
      </w:r>
      <w:r>
        <w:rPr>
          <w:color w:val="231F20"/>
        </w:rPr>
        <w:t>v</w:t>
      </w:r>
      <w:r>
        <w:rPr>
          <w:color w:val="231F20"/>
          <w:spacing w:val="-14"/>
        </w:rPr>
        <w:t xml:space="preserve"> </w:t>
      </w:r>
      <w:r>
        <w:rPr>
          <w:color w:val="231F20"/>
        </w:rPr>
        <w:t>seznamu vozidel.</w:t>
      </w:r>
    </w:p>
    <w:p w14:paraId="7E5B60AC"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4"/>
          <w:position w:val="1"/>
          <w:sz w:val="14"/>
        </w:rPr>
        <w:t xml:space="preserve"> </w:t>
      </w:r>
      <w:r>
        <w:rPr>
          <w:color w:val="231F20"/>
        </w:rPr>
        <w:t>Zánikem</w:t>
      </w:r>
      <w:r>
        <w:rPr>
          <w:color w:val="231F20"/>
          <w:spacing w:val="-21"/>
        </w:rPr>
        <w:t xml:space="preserve"> </w:t>
      </w:r>
      <w:r>
        <w:rPr>
          <w:color w:val="231F20"/>
        </w:rPr>
        <w:t>základního</w:t>
      </w:r>
      <w:r>
        <w:rPr>
          <w:color w:val="231F20"/>
          <w:spacing w:val="-22"/>
        </w:rPr>
        <w:t xml:space="preserve"> </w:t>
      </w:r>
      <w:r>
        <w:rPr>
          <w:color w:val="231F20"/>
        </w:rPr>
        <w:t>pojištění,</w:t>
      </w:r>
      <w:r>
        <w:rPr>
          <w:color w:val="231F20"/>
          <w:spacing w:val="-21"/>
        </w:rPr>
        <w:t xml:space="preserve"> </w:t>
      </w:r>
      <w:r>
        <w:rPr>
          <w:color w:val="231F20"/>
        </w:rPr>
        <w:t>k</w:t>
      </w:r>
      <w:r>
        <w:rPr>
          <w:color w:val="231F20"/>
          <w:spacing w:val="-21"/>
        </w:rPr>
        <w:t xml:space="preserve"> </w:t>
      </w:r>
      <w:r>
        <w:rPr>
          <w:color w:val="231F20"/>
        </w:rPr>
        <w:t>němuž</w:t>
      </w:r>
      <w:r>
        <w:rPr>
          <w:color w:val="231F20"/>
          <w:spacing w:val="-21"/>
        </w:rPr>
        <w:t xml:space="preserve"> </w:t>
      </w:r>
      <w:r>
        <w:rPr>
          <w:color w:val="231F20"/>
        </w:rPr>
        <w:t>je</w:t>
      </w:r>
      <w:r>
        <w:rPr>
          <w:color w:val="231F20"/>
          <w:spacing w:val="-22"/>
        </w:rPr>
        <w:t xml:space="preserve"> </w:t>
      </w:r>
      <w:r>
        <w:rPr>
          <w:color w:val="231F20"/>
        </w:rPr>
        <w:t>doplňkové</w:t>
      </w:r>
      <w:r>
        <w:rPr>
          <w:color w:val="231F20"/>
          <w:spacing w:val="-21"/>
        </w:rPr>
        <w:t xml:space="preserve"> </w:t>
      </w:r>
      <w:r>
        <w:rPr>
          <w:color w:val="231F20"/>
        </w:rPr>
        <w:t>pojištění</w:t>
      </w:r>
      <w:r>
        <w:rPr>
          <w:color w:val="231F20"/>
          <w:spacing w:val="-21"/>
        </w:rPr>
        <w:t xml:space="preserve"> </w:t>
      </w:r>
      <w:r>
        <w:rPr>
          <w:color w:val="231F20"/>
        </w:rPr>
        <w:t>sjednáno,</w:t>
      </w:r>
      <w:r>
        <w:rPr>
          <w:color w:val="231F20"/>
          <w:spacing w:val="-22"/>
        </w:rPr>
        <w:t xml:space="preserve"> </w:t>
      </w:r>
      <w:r>
        <w:rPr>
          <w:color w:val="231F20"/>
        </w:rPr>
        <w:t>zaniká i toto doplňkové</w:t>
      </w:r>
      <w:r>
        <w:rPr>
          <w:color w:val="231F20"/>
          <w:spacing w:val="-2"/>
        </w:rPr>
        <w:t xml:space="preserve"> </w:t>
      </w:r>
      <w:r>
        <w:rPr>
          <w:color w:val="231F20"/>
        </w:rPr>
        <w:t>pojištění.</w:t>
      </w:r>
    </w:p>
    <w:p w14:paraId="12988FB0"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17"/>
          <w:position w:val="1"/>
          <w:sz w:val="14"/>
        </w:rPr>
        <w:t xml:space="preserve"> </w:t>
      </w:r>
      <w:r>
        <w:rPr>
          <w:color w:val="231F20"/>
        </w:rPr>
        <w:t>Převyšuje-li</w:t>
      </w:r>
      <w:r>
        <w:rPr>
          <w:color w:val="231F20"/>
          <w:spacing w:val="-12"/>
        </w:rPr>
        <w:t xml:space="preserve"> </w:t>
      </w:r>
      <w:r>
        <w:rPr>
          <w:color w:val="231F20"/>
        </w:rPr>
        <w:t>součet</w:t>
      </w:r>
      <w:r>
        <w:rPr>
          <w:color w:val="231F20"/>
          <w:spacing w:val="-13"/>
        </w:rPr>
        <w:t xml:space="preserve"> </w:t>
      </w:r>
      <w:r>
        <w:rPr>
          <w:color w:val="231F20"/>
        </w:rPr>
        <w:t>nároků</w:t>
      </w:r>
      <w:r>
        <w:rPr>
          <w:color w:val="231F20"/>
          <w:spacing w:val="-12"/>
        </w:rPr>
        <w:t xml:space="preserve"> </w:t>
      </w:r>
      <w:r>
        <w:rPr>
          <w:color w:val="231F20"/>
        </w:rPr>
        <w:t>všech</w:t>
      </w:r>
      <w:r>
        <w:rPr>
          <w:color w:val="231F20"/>
          <w:spacing w:val="-12"/>
        </w:rPr>
        <w:t xml:space="preserve"> </w:t>
      </w:r>
      <w:r>
        <w:rPr>
          <w:color w:val="231F20"/>
        </w:rPr>
        <w:t>poškozených</w:t>
      </w:r>
      <w:r>
        <w:rPr>
          <w:color w:val="231F20"/>
          <w:spacing w:val="-12"/>
        </w:rPr>
        <w:t xml:space="preserve"> </w:t>
      </w:r>
      <w:r>
        <w:rPr>
          <w:color w:val="231F20"/>
        </w:rPr>
        <w:t>úhrnný</w:t>
      </w:r>
      <w:r>
        <w:rPr>
          <w:color w:val="231F20"/>
          <w:spacing w:val="-13"/>
        </w:rPr>
        <w:t xml:space="preserve"> </w:t>
      </w:r>
      <w:r>
        <w:rPr>
          <w:color w:val="231F20"/>
        </w:rPr>
        <w:t>limit</w:t>
      </w:r>
      <w:r>
        <w:rPr>
          <w:color w:val="231F20"/>
          <w:spacing w:val="-12"/>
        </w:rPr>
        <w:t xml:space="preserve"> </w:t>
      </w:r>
      <w:r>
        <w:rPr>
          <w:color w:val="231F20"/>
        </w:rPr>
        <w:t>pojistného</w:t>
      </w:r>
      <w:r>
        <w:rPr>
          <w:color w:val="231F20"/>
          <w:spacing w:val="-12"/>
        </w:rPr>
        <w:t xml:space="preserve"> </w:t>
      </w:r>
      <w:r>
        <w:rPr>
          <w:color w:val="231F20"/>
        </w:rPr>
        <w:t>plnění, plnění</w:t>
      </w:r>
      <w:r>
        <w:rPr>
          <w:color w:val="231F20"/>
          <w:spacing w:val="-11"/>
        </w:rPr>
        <w:t xml:space="preserve"> </w:t>
      </w:r>
      <w:r>
        <w:rPr>
          <w:color w:val="231F20"/>
        </w:rPr>
        <w:t>Pojišťovny</w:t>
      </w:r>
      <w:r>
        <w:rPr>
          <w:color w:val="231F20"/>
          <w:spacing w:val="-11"/>
        </w:rPr>
        <w:t xml:space="preserve"> </w:t>
      </w:r>
      <w:r>
        <w:rPr>
          <w:color w:val="231F20"/>
        </w:rPr>
        <w:t>se</w:t>
      </w:r>
      <w:r>
        <w:rPr>
          <w:color w:val="231F20"/>
          <w:spacing w:val="-10"/>
        </w:rPr>
        <w:t xml:space="preserve"> </w:t>
      </w:r>
      <w:r>
        <w:rPr>
          <w:color w:val="231F20"/>
        </w:rPr>
        <w:t>každému</w:t>
      </w:r>
      <w:r>
        <w:rPr>
          <w:color w:val="231F20"/>
          <w:spacing w:val="-11"/>
        </w:rPr>
        <w:t xml:space="preserve"> </w:t>
      </w:r>
      <w:r>
        <w:rPr>
          <w:color w:val="231F20"/>
        </w:rPr>
        <w:t>poškozenému</w:t>
      </w:r>
      <w:r>
        <w:rPr>
          <w:color w:val="231F20"/>
          <w:spacing w:val="-10"/>
        </w:rPr>
        <w:t xml:space="preserve"> </w:t>
      </w:r>
      <w:r>
        <w:rPr>
          <w:color w:val="231F20"/>
        </w:rPr>
        <w:t>snižuje</w:t>
      </w:r>
      <w:r>
        <w:rPr>
          <w:color w:val="231F20"/>
          <w:spacing w:val="-11"/>
        </w:rPr>
        <w:t xml:space="preserve"> </w:t>
      </w:r>
      <w:r>
        <w:rPr>
          <w:color w:val="231F20"/>
        </w:rPr>
        <w:t>v</w:t>
      </w:r>
      <w:r>
        <w:rPr>
          <w:color w:val="231F20"/>
          <w:spacing w:val="-10"/>
        </w:rPr>
        <w:t xml:space="preserve"> </w:t>
      </w:r>
      <w:r>
        <w:rPr>
          <w:color w:val="231F20"/>
        </w:rPr>
        <w:t>poměru</w:t>
      </w:r>
      <w:r>
        <w:rPr>
          <w:color w:val="231F20"/>
          <w:spacing w:val="-11"/>
        </w:rPr>
        <w:t xml:space="preserve"> </w:t>
      </w:r>
      <w:r>
        <w:rPr>
          <w:color w:val="231F20"/>
        </w:rPr>
        <w:t>uvedeného</w:t>
      </w:r>
      <w:r>
        <w:rPr>
          <w:color w:val="231F20"/>
          <w:spacing w:val="-10"/>
        </w:rPr>
        <w:t xml:space="preserve"> </w:t>
      </w:r>
      <w:r>
        <w:rPr>
          <w:color w:val="231F20"/>
          <w:spacing w:val="-6"/>
        </w:rPr>
        <w:t xml:space="preserve">li- </w:t>
      </w:r>
      <w:r>
        <w:rPr>
          <w:color w:val="231F20"/>
        </w:rPr>
        <w:t>mitu pojistného plnění k součtu nároků všech</w:t>
      </w:r>
      <w:r>
        <w:rPr>
          <w:color w:val="231F20"/>
          <w:spacing w:val="-22"/>
        </w:rPr>
        <w:t xml:space="preserve"> </w:t>
      </w:r>
      <w:r>
        <w:rPr>
          <w:color w:val="231F20"/>
        </w:rPr>
        <w:t>poškozených.</w:t>
      </w:r>
    </w:p>
    <w:p w14:paraId="01CD0751" w14:textId="77777777" w:rsidR="00F65BCA" w:rsidRDefault="00216117">
      <w:pPr>
        <w:pStyle w:val="Zkladntext"/>
        <w:spacing w:line="278" w:lineRule="auto"/>
        <w:ind w:left="710" w:hanging="283"/>
        <w:jc w:val="both"/>
      </w:pPr>
      <w:r>
        <w:rPr>
          <w:color w:val="231F20"/>
          <w:position w:val="1"/>
          <w:sz w:val="14"/>
          <w:shd w:val="clear" w:color="auto" w:fill="D1D3D4"/>
        </w:rPr>
        <w:t xml:space="preserve">  5</w:t>
      </w:r>
      <w:r>
        <w:rPr>
          <w:color w:val="231F20"/>
          <w:position w:val="1"/>
          <w:sz w:val="14"/>
        </w:rPr>
        <w:t xml:space="preserve"> </w:t>
      </w:r>
      <w:r>
        <w:rPr>
          <w:color w:val="231F20"/>
        </w:rPr>
        <w:t>K jednomu trvajícímu pojištění odpovědnosti může být současně v platnosti vždy pouze jedno toto doplňkové pojištění.</w:t>
      </w:r>
    </w:p>
    <w:p w14:paraId="319E60A1" w14:textId="77777777" w:rsidR="00F65BCA" w:rsidRDefault="00000000">
      <w:pPr>
        <w:pStyle w:val="Zkladntext"/>
        <w:ind w:left="710"/>
        <w:jc w:val="both"/>
      </w:pPr>
      <w:r>
        <w:pict w14:anchorId="4BD21BDB">
          <v:shape id="_x0000_s2233" type="#_x0000_t202" style="position:absolute;left:0;text-align:left;margin-left:28.4pt;margin-top:.05pt;width:9.65pt;height:8.55pt;z-index:251895808;mso-position-horizontal-relative:page" fillcolor="#d1d3d4" stroked="f">
            <v:textbox inset="0,0,0,0">
              <w:txbxContent>
                <w:p w14:paraId="4704E3B0" w14:textId="77777777" w:rsidR="00F65BCA" w:rsidRDefault="00216117">
                  <w:pPr>
                    <w:spacing w:before="2"/>
                    <w:ind w:left="56"/>
                    <w:rPr>
                      <w:sz w:val="14"/>
                    </w:rPr>
                  </w:pPr>
                  <w:r>
                    <w:rPr>
                      <w:color w:val="231F20"/>
                      <w:w w:val="99"/>
                      <w:sz w:val="14"/>
                    </w:rPr>
                    <w:t>6</w:t>
                  </w:r>
                </w:p>
              </w:txbxContent>
            </v:textbox>
            <w10:wrap anchorx="page"/>
          </v:shape>
        </w:pict>
      </w:r>
      <w:r w:rsidR="00216117">
        <w:rPr>
          <w:color w:val="231F20"/>
        </w:rPr>
        <w:t>Pojištění se sjednává bez spoluúčasti.</w:t>
      </w:r>
    </w:p>
    <w:p w14:paraId="23EDCECB" w14:textId="77777777" w:rsidR="00F65BCA" w:rsidRDefault="00000000">
      <w:pPr>
        <w:pStyle w:val="Zkladntext"/>
        <w:spacing w:before="23"/>
        <w:ind w:left="710"/>
        <w:jc w:val="both"/>
      </w:pPr>
      <w:r>
        <w:pict w14:anchorId="56837AEC">
          <v:shape id="_x0000_s2232" type="#_x0000_t202" style="position:absolute;left:0;text-align:left;margin-left:28.4pt;margin-top:1.2pt;width:9.65pt;height:8.55pt;z-index:251894784;mso-position-horizontal-relative:page" fillcolor="#d1d3d4" stroked="f">
            <v:textbox inset="0,0,0,0">
              <w:txbxContent>
                <w:p w14:paraId="089AD975" w14:textId="77777777" w:rsidR="00F65BCA" w:rsidRDefault="00216117">
                  <w:pPr>
                    <w:spacing w:before="2"/>
                    <w:ind w:left="56"/>
                    <w:rPr>
                      <w:sz w:val="14"/>
                    </w:rPr>
                  </w:pPr>
                  <w:r>
                    <w:rPr>
                      <w:color w:val="231F20"/>
                      <w:w w:val="99"/>
                      <w:sz w:val="14"/>
                    </w:rPr>
                    <w:t>7</w:t>
                  </w:r>
                </w:p>
              </w:txbxContent>
            </v:textbox>
            <w10:wrap anchorx="page"/>
          </v:shape>
        </w:pict>
      </w:r>
      <w:r w:rsidR="00216117">
        <w:rPr>
          <w:color w:val="231F20"/>
        </w:rPr>
        <w:t>Limit</w:t>
      </w:r>
      <w:r w:rsidR="00216117">
        <w:rPr>
          <w:color w:val="231F20"/>
          <w:spacing w:val="-27"/>
        </w:rPr>
        <w:t xml:space="preserve"> </w:t>
      </w:r>
      <w:r w:rsidR="00216117">
        <w:rPr>
          <w:color w:val="231F20"/>
        </w:rPr>
        <w:t>pojistného</w:t>
      </w:r>
      <w:r w:rsidR="00216117">
        <w:rPr>
          <w:color w:val="231F20"/>
          <w:spacing w:val="-27"/>
        </w:rPr>
        <w:t xml:space="preserve"> </w:t>
      </w:r>
      <w:r w:rsidR="00216117">
        <w:rPr>
          <w:color w:val="231F20"/>
        </w:rPr>
        <w:t>plnění</w:t>
      </w:r>
      <w:r w:rsidR="00216117">
        <w:rPr>
          <w:color w:val="231F20"/>
          <w:spacing w:val="-27"/>
        </w:rPr>
        <w:t xml:space="preserve"> </w:t>
      </w:r>
      <w:r w:rsidR="00216117">
        <w:rPr>
          <w:color w:val="231F20"/>
        </w:rPr>
        <w:t>je</w:t>
      </w:r>
      <w:r w:rsidR="00216117">
        <w:rPr>
          <w:color w:val="231F20"/>
          <w:spacing w:val="-27"/>
        </w:rPr>
        <w:t xml:space="preserve"> </w:t>
      </w:r>
      <w:r w:rsidR="00216117">
        <w:rPr>
          <w:color w:val="231F20"/>
        </w:rPr>
        <w:t>dojednán</w:t>
      </w:r>
      <w:r w:rsidR="00216117">
        <w:rPr>
          <w:color w:val="231F20"/>
          <w:spacing w:val="-26"/>
        </w:rPr>
        <w:t xml:space="preserve"> </w:t>
      </w:r>
      <w:r w:rsidR="00216117">
        <w:rPr>
          <w:color w:val="231F20"/>
        </w:rPr>
        <w:t>v</w:t>
      </w:r>
      <w:r w:rsidR="00216117">
        <w:rPr>
          <w:color w:val="231F20"/>
          <w:spacing w:val="-27"/>
        </w:rPr>
        <w:t xml:space="preserve"> </w:t>
      </w:r>
      <w:r w:rsidR="00216117">
        <w:rPr>
          <w:color w:val="231F20"/>
        </w:rPr>
        <w:t>pojistné</w:t>
      </w:r>
      <w:r w:rsidR="00216117">
        <w:rPr>
          <w:color w:val="231F20"/>
          <w:spacing w:val="-27"/>
        </w:rPr>
        <w:t xml:space="preserve"> </w:t>
      </w:r>
      <w:r w:rsidR="00216117">
        <w:rPr>
          <w:color w:val="231F20"/>
        </w:rPr>
        <w:t>smlouvě</w:t>
      </w:r>
      <w:r w:rsidR="00216117">
        <w:rPr>
          <w:color w:val="231F20"/>
          <w:spacing w:val="-27"/>
        </w:rPr>
        <w:t xml:space="preserve"> </w:t>
      </w:r>
      <w:r w:rsidR="00216117">
        <w:rPr>
          <w:color w:val="231F20"/>
        </w:rPr>
        <w:t>nebo</w:t>
      </w:r>
      <w:r w:rsidR="00216117">
        <w:rPr>
          <w:color w:val="231F20"/>
          <w:spacing w:val="-26"/>
        </w:rPr>
        <w:t xml:space="preserve"> </w:t>
      </w:r>
      <w:r w:rsidR="00216117">
        <w:rPr>
          <w:color w:val="231F20"/>
        </w:rPr>
        <w:t>v</w:t>
      </w:r>
      <w:r w:rsidR="00216117">
        <w:rPr>
          <w:color w:val="231F20"/>
          <w:spacing w:val="-27"/>
        </w:rPr>
        <w:t xml:space="preserve"> </w:t>
      </w:r>
      <w:r w:rsidR="00216117">
        <w:rPr>
          <w:color w:val="231F20"/>
        </w:rPr>
        <w:t>seznamu</w:t>
      </w:r>
      <w:r w:rsidR="00216117">
        <w:rPr>
          <w:color w:val="231F20"/>
          <w:spacing w:val="-27"/>
        </w:rPr>
        <w:t xml:space="preserve"> </w:t>
      </w:r>
      <w:r w:rsidR="00216117">
        <w:rPr>
          <w:color w:val="231F20"/>
        </w:rPr>
        <w:t>vozidel.</w:t>
      </w:r>
    </w:p>
    <w:p w14:paraId="7523051B" w14:textId="77777777" w:rsidR="00F65BCA" w:rsidRDefault="00F65BCA">
      <w:pPr>
        <w:pStyle w:val="Zkladntext"/>
        <w:rPr>
          <w:sz w:val="18"/>
        </w:rPr>
      </w:pPr>
    </w:p>
    <w:p w14:paraId="5B87C1F6" w14:textId="77777777" w:rsidR="00F65BCA" w:rsidRDefault="00F65BCA">
      <w:pPr>
        <w:pStyle w:val="Zkladntext"/>
        <w:spacing w:before="4"/>
      </w:pPr>
    </w:p>
    <w:p w14:paraId="0228DC9A" w14:textId="77777777" w:rsidR="00F65BCA" w:rsidRDefault="00216117">
      <w:pPr>
        <w:ind w:left="443"/>
        <w:rPr>
          <w:sz w:val="24"/>
        </w:rPr>
      </w:pPr>
      <w:r>
        <w:rPr>
          <w:color w:val="231F20"/>
          <w:sz w:val="24"/>
        </w:rPr>
        <w:t>Pododdíl 10 – Pojištění Asistence</w:t>
      </w:r>
    </w:p>
    <w:p w14:paraId="74A3B870" w14:textId="77777777" w:rsidR="00F65BCA" w:rsidRDefault="00216117">
      <w:pPr>
        <w:spacing w:before="209"/>
        <w:ind w:left="428"/>
        <w:rPr>
          <w:sz w:val="15"/>
        </w:rPr>
      </w:pPr>
      <w:r>
        <w:rPr>
          <w:color w:val="FFFFFF"/>
          <w:position w:val="3"/>
          <w:sz w:val="16"/>
          <w:shd w:val="clear" w:color="auto" w:fill="808285"/>
        </w:rPr>
        <w:t xml:space="preserve">  Článek 62</w:t>
      </w:r>
      <w:r>
        <w:rPr>
          <w:color w:val="FFFFFF"/>
          <w:position w:val="3"/>
          <w:sz w:val="16"/>
        </w:rPr>
        <w:t xml:space="preserve"> </w:t>
      </w:r>
      <w:r>
        <w:rPr>
          <w:color w:val="231F20"/>
          <w:sz w:val="15"/>
        </w:rPr>
        <w:t>Úvodní ustanovení</w:t>
      </w:r>
    </w:p>
    <w:p w14:paraId="47E79F3E"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29"/>
          <w:position w:val="1"/>
          <w:sz w:val="14"/>
        </w:rPr>
        <w:t xml:space="preserve"> </w:t>
      </w:r>
      <w:r>
        <w:rPr>
          <w:color w:val="231F20"/>
        </w:rPr>
        <w:t>Pojištění</w:t>
      </w:r>
      <w:r>
        <w:rPr>
          <w:color w:val="231F20"/>
          <w:spacing w:val="-10"/>
        </w:rPr>
        <w:t xml:space="preserve"> </w:t>
      </w:r>
      <w:r>
        <w:rPr>
          <w:color w:val="231F20"/>
        </w:rPr>
        <w:t>se</w:t>
      </w:r>
      <w:r>
        <w:rPr>
          <w:color w:val="231F20"/>
          <w:spacing w:val="-11"/>
        </w:rPr>
        <w:t xml:space="preserve"> </w:t>
      </w:r>
      <w:r>
        <w:rPr>
          <w:color w:val="231F20"/>
        </w:rPr>
        <w:t>sjednává</w:t>
      </w:r>
      <w:r>
        <w:rPr>
          <w:color w:val="231F20"/>
          <w:spacing w:val="-10"/>
        </w:rPr>
        <w:t xml:space="preserve"> </w:t>
      </w:r>
      <w:r>
        <w:rPr>
          <w:color w:val="231F20"/>
        </w:rPr>
        <w:t>jako</w:t>
      </w:r>
      <w:r>
        <w:rPr>
          <w:color w:val="231F20"/>
          <w:spacing w:val="-11"/>
        </w:rPr>
        <w:t xml:space="preserve"> </w:t>
      </w:r>
      <w:r>
        <w:rPr>
          <w:color w:val="231F20"/>
        </w:rPr>
        <w:t>doplňkové</w:t>
      </w:r>
      <w:r>
        <w:rPr>
          <w:color w:val="231F20"/>
          <w:spacing w:val="-10"/>
        </w:rPr>
        <w:t xml:space="preserve"> </w:t>
      </w:r>
      <w:r>
        <w:rPr>
          <w:color w:val="231F20"/>
        </w:rPr>
        <w:t>škodové</w:t>
      </w:r>
      <w:r>
        <w:rPr>
          <w:color w:val="231F20"/>
          <w:spacing w:val="-11"/>
        </w:rPr>
        <w:t xml:space="preserve"> </w:t>
      </w:r>
      <w:r>
        <w:rPr>
          <w:color w:val="231F20"/>
        </w:rPr>
        <w:t>pojištění,</w:t>
      </w:r>
      <w:r>
        <w:rPr>
          <w:color w:val="231F20"/>
          <w:spacing w:val="-10"/>
        </w:rPr>
        <w:t xml:space="preserve"> </w:t>
      </w:r>
      <w:r>
        <w:rPr>
          <w:color w:val="231F20"/>
        </w:rPr>
        <w:t>a</w:t>
      </w:r>
      <w:r>
        <w:rPr>
          <w:color w:val="231F20"/>
          <w:spacing w:val="-11"/>
        </w:rPr>
        <w:t xml:space="preserve"> </w:t>
      </w:r>
      <w:r>
        <w:rPr>
          <w:color w:val="231F20"/>
        </w:rPr>
        <w:t>to</w:t>
      </w:r>
      <w:r>
        <w:rPr>
          <w:color w:val="231F20"/>
          <w:spacing w:val="-10"/>
        </w:rPr>
        <w:t xml:space="preserve"> </w:t>
      </w:r>
      <w:r>
        <w:rPr>
          <w:color w:val="231F20"/>
        </w:rPr>
        <w:t>ve</w:t>
      </w:r>
      <w:r>
        <w:rPr>
          <w:color w:val="231F20"/>
          <w:spacing w:val="-11"/>
        </w:rPr>
        <w:t xml:space="preserve"> </w:t>
      </w:r>
      <w:r>
        <w:rPr>
          <w:color w:val="231F20"/>
        </w:rPr>
        <w:t>variantě</w:t>
      </w:r>
      <w:r>
        <w:rPr>
          <w:color w:val="231F20"/>
          <w:spacing w:val="-10"/>
        </w:rPr>
        <w:t xml:space="preserve"> </w:t>
      </w:r>
      <w:r>
        <w:rPr>
          <w:color w:val="231F20"/>
        </w:rPr>
        <w:t>S,</w:t>
      </w:r>
      <w:r>
        <w:rPr>
          <w:color w:val="231F20"/>
          <w:spacing w:val="-11"/>
        </w:rPr>
        <w:t xml:space="preserve"> </w:t>
      </w:r>
      <w:r>
        <w:rPr>
          <w:color w:val="231F20"/>
          <w:spacing w:val="-8"/>
        </w:rPr>
        <w:t xml:space="preserve">M, </w:t>
      </w:r>
      <w:r>
        <w:rPr>
          <w:color w:val="231F20"/>
        </w:rPr>
        <w:t>L,</w:t>
      </w:r>
      <w:r>
        <w:rPr>
          <w:color w:val="231F20"/>
          <w:spacing w:val="-9"/>
        </w:rPr>
        <w:t xml:space="preserve"> </w:t>
      </w:r>
      <w:r>
        <w:rPr>
          <w:color w:val="231F20"/>
        </w:rPr>
        <w:t>XL</w:t>
      </w:r>
      <w:r>
        <w:rPr>
          <w:color w:val="231F20"/>
          <w:spacing w:val="-8"/>
        </w:rPr>
        <w:t xml:space="preserve"> </w:t>
      </w:r>
      <w:r>
        <w:rPr>
          <w:color w:val="231F20"/>
        </w:rPr>
        <w:t>a</w:t>
      </w:r>
      <w:r>
        <w:rPr>
          <w:color w:val="231F20"/>
          <w:spacing w:val="-8"/>
        </w:rPr>
        <w:t xml:space="preserve"> </w:t>
      </w:r>
      <w:r>
        <w:rPr>
          <w:color w:val="231F20"/>
        </w:rPr>
        <w:t>Souprava.</w:t>
      </w:r>
      <w:r>
        <w:rPr>
          <w:color w:val="231F20"/>
          <w:spacing w:val="-8"/>
        </w:rPr>
        <w:t xml:space="preserve"> </w:t>
      </w:r>
      <w:r>
        <w:rPr>
          <w:color w:val="231F20"/>
        </w:rPr>
        <w:t>Pojištění</w:t>
      </w:r>
      <w:r>
        <w:rPr>
          <w:color w:val="231F20"/>
          <w:spacing w:val="-8"/>
        </w:rPr>
        <w:t xml:space="preserve"> </w:t>
      </w:r>
      <w:r>
        <w:rPr>
          <w:color w:val="231F20"/>
        </w:rPr>
        <w:t>lze</w:t>
      </w:r>
      <w:r>
        <w:rPr>
          <w:color w:val="231F20"/>
          <w:spacing w:val="-8"/>
        </w:rPr>
        <w:t xml:space="preserve"> </w:t>
      </w:r>
      <w:r>
        <w:rPr>
          <w:color w:val="231F20"/>
        </w:rPr>
        <w:t>navíc</w:t>
      </w:r>
      <w:r>
        <w:rPr>
          <w:color w:val="231F20"/>
          <w:spacing w:val="-8"/>
        </w:rPr>
        <w:t xml:space="preserve"> </w:t>
      </w:r>
      <w:r>
        <w:rPr>
          <w:color w:val="231F20"/>
        </w:rPr>
        <w:t>sjednat</w:t>
      </w:r>
      <w:r>
        <w:rPr>
          <w:color w:val="231F20"/>
          <w:spacing w:val="-8"/>
        </w:rPr>
        <w:t xml:space="preserve"> </w:t>
      </w:r>
      <w:r>
        <w:rPr>
          <w:color w:val="231F20"/>
        </w:rPr>
        <w:t>i</w:t>
      </w:r>
      <w:r>
        <w:rPr>
          <w:color w:val="231F20"/>
          <w:spacing w:val="-8"/>
        </w:rPr>
        <w:t xml:space="preserve"> </w:t>
      </w:r>
      <w:r>
        <w:rPr>
          <w:color w:val="231F20"/>
        </w:rPr>
        <w:t>v</w:t>
      </w:r>
      <w:r>
        <w:rPr>
          <w:color w:val="231F20"/>
          <w:spacing w:val="-9"/>
        </w:rPr>
        <w:t xml:space="preserve"> </w:t>
      </w:r>
      <w:r>
        <w:rPr>
          <w:color w:val="231F20"/>
        </w:rPr>
        <w:t>rámci</w:t>
      </w:r>
      <w:r>
        <w:rPr>
          <w:color w:val="231F20"/>
          <w:spacing w:val="-8"/>
        </w:rPr>
        <w:t xml:space="preserve"> </w:t>
      </w:r>
      <w:r>
        <w:rPr>
          <w:color w:val="231F20"/>
        </w:rPr>
        <w:t>pojištění</w:t>
      </w:r>
      <w:r>
        <w:rPr>
          <w:color w:val="231F20"/>
          <w:spacing w:val="-8"/>
        </w:rPr>
        <w:t xml:space="preserve"> </w:t>
      </w:r>
      <w:r>
        <w:rPr>
          <w:color w:val="231F20"/>
        </w:rPr>
        <w:t>vozidel,</w:t>
      </w:r>
      <w:r>
        <w:rPr>
          <w:color w:val="231F20"/>
          <w:spacing w:val="-8"/>
        </w:rPr>
        <w:t xml:space="preserve"> </w:t>
      </w:r>
      <w:r>
        <w:rPr>
          <w:color w:val="231F20"/>
          <w:spacing w:val="-4"/>
        </w:rPr>
        <w:t xml:space="preserve">která </w:t>
      </w:r>
      <w:r>
        <w:rPr>
          <w:color w:val="231F20"/>
        </w:rPr>
        <w:t>dle</w:t>
      </w:r>
      <w:r>
        <w:rPr>
          <w:color w:val="231F20"/>
          <w:spacing w:val="-15"/>
        </w:rPr>
        <w:t xml:space="preserve"> </w:t>
      </w:r>
      <w:r>
        <w:rPr>
          <w:color w:val="231F20"/>
        </w:rPr>
        <w:t>platné</w:t>
      </w:r>
      <w:r>
        <w:rPr>
          <w:color w:val="231F20"/>
          <w:spacing w:val="-14"/>
        </w:rPr>
        <w:t xml:space="preserve"> </w:t>
      </w:r>
      <w:r>
        <w:rPr>
          <w:color w:val="231F20"/>
        </w:rPr>
        <w:t>legislativy</w:t>
      </w:r>
      <w:r>
        <w:rPr>
          <w:color w:val="231F20"/>
          <w:spacing w:val="-15"/>
        </w:rPr>
        <w:t xml:space="preserve"> </w:t>
      </w:r>
      <w:r>
        <w:rPr>
          <w:color w:val="231F20"/>
        </w:rPr>
        <w:t>nemusí</w:t>
      </w:r>
      <w:r>
        <w:rPr>
          <w:color w:val="231F20"/>
          <w:spacing w:val="-14"/>
        </w:rPr>
        <w:t xml:space="preserve"> </w:t>
      </w:r>
      <w:r>
        <w:rPr>
          <w:color w:val="231F20"/>
        </w:rPr>
        <w:t>mít</w:t>
      </w:r>
      <w:r>
        <w:rPr>
          <w:color w:val="231F20"/>
          <w:spacing w:val="-14"/>
        </w:rPr>
        <w:t xml:space="preserve"> </w:t>
      </w:r>
      <w:r>
        <w:rPr>
          <w:color w:val="231F20"/>
        </w:rPr>
        <w:t>českými</w:t>
      </w:r>
      <w:r>
        <w:rPr>
          <w:color w:val="231F20"/>
          <w:spacing w:val="-15"/>
        </w:rPr>
        <w:t xml:space="preserve"> </w:t>
      </w:r>
      <w:r>
        <w:rPr>
          <w:color w:val="231F20"/>
        </w:rPr>
        <w:t>úřady</w:t>
      </w:r>
      <w:r>
        <w:rPr>
          <w:color w:val="231F20"/>
          <w:spacing w:val="-14"/>
        </w:rPr>
        <w:t xml:space="preserve"> </w:t>
      </w:r>
      <w:r>
        <w:rPr>
          <w:color w:val="231F20"/>
        </w:rPr>
        <w:t>přidělenou</w:t>
      </w:r>
      <w:r>
        <w:rPr>
          <w:color w:val="231F20"/>
          <w:spacing w:val="-14"/>
        </w:rPr>
        <w:t xml:space="preserve"> </w:t>
      </w:r>
      <w:r>
        <w:rPr>
          <w:color w:val="231F20"/>
        </w:rPr>
        <w:t>platnou</w:t>
      </w:r>
      <w:r>
        <w:rPr>
          <w:color w:val="231F20"/>
          <w:spacing w:val="-15"/>
        </w:rPr>
        <w:t xml:space="preserve"> </w:t>
      </w:r>
      <w:r>
        <w:rPr>
          <w:color w:val="231F20"/>
        </w:rPr>
        <w:t>českou</w:t>
      </w:r>
      <w:r>
        <w:rPr>
          <w:color w:val="231F20"/>
          <w:spacing w:val="-14"/>
        </w:rPr>
        <w:t xml:space="preserve"> </w:t>
      </w:r>
      <w:r>
        <w:rPr>
          <w:color w:val="231F20"/>
          <w:spacing w:val="-7"/>
        </w:rPr>
        <w:t xml:space="preserve">re- </w:t>
      </w:r>
      <w:r>
        <w:rPr>
          <w:color w:val="231F20"/>
        </w:rPr>
        <w:t>gistrační</w:t>
      </w:r>
      <w:r>
        <w:rPr>
          <w:color w:val="231F20"/>
          <w:spacing w:val="-1"/>
        </w:rPr>
        <w:t xml:space="preserve"> </w:t>
      </w:r>
      <w:r>
        <w:rPr>
          <w:color w:val="231F20"/>
        </w:rPr>
        <w:t>značku.</w:t>
      </w:r>
    </w:p>
    <w:p w14:paraId="1BD4F65A"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28"/>
          <w:position w:val="1"/>
          <w:sz w:val="14"/>
        </w:rPr>
        <w:t xml:space="preserve"> </w:t>
      </w:r>
      <w:r>
        <w:rPr>
          <w:color w:val="231F20"/>
        </w:rPr>
        <w:t>Do</w:t>
      </w:r>
      <w:r>
        <w:rPr>
          <w:color w:val="231F20"/>
          <w:spacing w:val="-11"/>
        </w:rPr>
        <w:t xml:space="preserve"> </w:t>
      </w:r>
      <w:r>
        <w:rPr>
          <w:color w:val="231F20"/>
        </w:rPr>
        <w:t>asistence</w:t>
      </w:r>
      <w:r>
        <w:rPr>
          <w:color w:val="231F20"/>
          <w:spacing w:val="-11"/>
        </w:rPr>
        <w:t xml:space="preserve"> </w:t>
      </w:r>
      <w:r>
        <w:rPr>
          <w:color w:val="231F20"/>
        </w:rPr>
        <w:t>ve</w:t>
      </w:r>
      <w:r>
        <w:rPr>
          <w:color w:val="231F20"/>
          <w:spacing w:val="-11"/>
        </w:rPr>
        <w:t xml:space="preserve"> </w:t>
      </w:r>
      <w:r>
        <w:rPr>
          <w:color w:val="231F20"/>
        </w:rPr>
        <w:t>variantě</w:t>
      </w:r>
      <w:r>
        <w:rPr>
          <w:color w:val="231F20"/>
          <w:spacing w:val="-11"/>
        </w:rPr>
        <w:t xml:space="preserve"> </w:t>
      </w:r>
      <w:r>
        <w:rPr>
          <w:color w:val="231F20"/>
        </w:rPr>
        <w:t>M</w:t>
      </w:r>
      <w:r>
        <w:rPr>
          <w:color w:val="231F20"/>
          <w:spacing w:val="-11"/>
        </w:rPr>
        <w:t xml:space="preserve"> </w:t>
      </w:r>
      <w:r>
        <w:rPr>
          <w:color w:val="231F20"/>
        </w:rPr>
        <w:t>je</w:t>
      </w:r>
      <w:r>
        <w:rPr>
          <w:color w:val="231F20"/>
          <w:spacing w:val="-11"/>
        </w:rPr>
        <w:t xml:space="preserve"> </w:t>
      </w:r>
      <w:r>
        <w:rPr>
          <w:color w:val="231F20"/>
        </w:rPr>
        <w:t>zařazeno</w:t>
      </w:r>
      <w:r>
        <w:rPr>
          <w:color w:val="231F20"/>
          <w:spacing w:val="-11"/>
        </w:rPr>
        <w:t xml:space="preserve"> </w:t>
      </w:r>
      <w:r>
        <w:rPr>
          <w:color w:val="231F20"/>
        </w:rPr>
        <w:t>každé</w:t>
      </w:r>
      <w:r>
        <w:rPr>
          <w:color w:val="231F20"/>
          <w:spacing w:val="-11"/>
        </w:rPr>
        <w:t xml:space="preserve"> </w:t>
      </w:r>
      <w:r>
        <w:rPr>
          <w:color w:val="231F20"/>
        </w:rPr>
        <w:t>vozidlo,</w:t>
      </w:r>
      <w:r>
        <w:rPr>
          <w:color w:val="231F20"/>
          <w:spacing w:val="-11"/>
        </w:rPr>
        <w:t xml:space="preserve"> </w:t>
      </w:r>
      <w:r>
        <w:rPr>
          <w:color w:val="231F20"/>
        </w:rPr>
        <w:t>pro</w:t>
      </w:r>
      <w:r>
        <w:rPr>
          <w:color w:val="231F20"/>
          <w:spacing w:val="-11"/>
        </w:rPr>
        <w:t xml:space="preserve"> </w:t>
      </w:r>
      <w:r>
        <w:rPr>
          <w:color w:val="231F20"/>
        </w:rPr>
        <w:t>které</w:t>
      </w:r>
      <w:r>
        <w:rPr>
          <w:color w:val="231F20"/>
          <w:spacing w:val="-10"/>
        </w:rPr>
        <w:t xml:space="preserve"> </w:t>
      </w:r>
      <w:r>
        <w:rPr>
          <w:color w:val="231F20"/>
        </w:rPr>
        <w:t>je</w:t>
      </w:r>
      <w:r>
        <w:rPr>
          <w:color w:val="231F20"/>
          <w:spacing w:val="-11"/>
        </w:rPr>
        <w:t xml:space="preserve"> </w:t>
      </w:r>
      <w:r>
        <w:rPr>
          <w:color w:val="231F20"/>
        </w:rPr>
        <w:t>u</w:t>
      </w:r>
      <w:r>
        <w:rPr>
          <w:color w:val="231F20"/>
          <w:spacing w:val="-11"/>
        </w:rPr>
        <w:t xml:space="preserve"> </w:t>
      </w:r>
      <w:r>
        <w:rPr>
          <w:color w:val="231F20"/>
        </w:rPr>
        <w:t>Pojišťov- ny</w:t>
      </w:r>
      <w:r>
        <w:rPr>
          <w:color w:val="231F20"/>
          <w:spacing w:val="-14"/>
        </w:rPr>
        <w:t xml:space="preserve"> </w:t>
      </w:r>
      <w:r>
        <w:rPr>
          <w:color w:val="231F20"/>
        </w:rPr>
        <w:t>sjednáno</w:t>
      </w:r>
      <w:r>
        <w:rPr>
          <w:color w:val="231F20"/>
          <w:spacing w:val="-14"/>
        </w:rPr>
        <w:t xml:space="preserve"> </w:t>
      </w:r>
      <w:r>
        <w:rPr>
          <w:color w:val="231F20"/>
        </w:rPr>
        <w:t>pojištění</w:t>
      </w:r>
      <w:r>
        <w:rPr>
          <w:color w:val="231F20"/>
          <w:spacing w:val="-13"/>
        </w:rPr>
        <w:t xml:space="preserve"> </w:t>
      </w:r>
      <w:r>
        <w:rPr>
          <w:color w:val="231F20"/>
        </w:rPr>
        <w:t>odpovědnosti</w:t>
      </w:r>
      <w:r>
        <w:rPr>
          <w:color w:val="231F20"/>
          <w:spacing w:val="-14"/>
        </w:rPr>
        <w:t xml:space="preserve"> </w:t>
      </w:r>
      <w:r>
        <w:rPr>
          <w:color w:val="231F20"/>
        </w:rPr>
        <w:t>a</w:t>
      </w:r>
      <w:r>
        <w:rPr>
          <w:color w:val="231F20"/>
          <w:spacing w:val="-14"/>
        </w:rPr>
        <w:t xml:space="preserve"> </w:t>
      </w:r>
      <w:r>
        <w:rPr>
          <w:color w:val="231F20"/>
        </w:rPr>
        <w:t>zároveň</w:t>
      </w:r>
      <w:r>
        <w:rPr>
          <w:color w:val="231F20"/>
          <w:spacing w:val="-14"/>
        </w:rPr>
        <w:t xml:space="preserve"> </w:t>
      </w:r>
      <w:r>
        <w:rPr>
          <w:color w:val="231F20"/>
        </w:rPr>
        <w:t>je</w:t>
      </w:r>
      <w:r>
        <w:rPr>
          <w:color w:val="231F20"/>
          <w:spacing w:val="-13"/>
        </w:rPr>
        <w:t xml:space="preserve"> </w:t>
      </w:r>
      <w:r>
        <w:rPr>
          <w:color w:val="231F20"/>
        </w:rPr>
        <w:t>sjednáno</w:t>
      </w:r>
      <w:r>
        <w:rPr>
          <w:color w:val="231F20"/>
          <w:spacing w:val="-14"/>
        </w:rPr>
        <w:t xml:space="preserve"> </w:t>
      </w:r>
      <w:r>
        <w:rPr>
          <w:color w:val="231F20"/>
        </w:rPr>
        <w:t>havarijní</w:t>
      </w:r>
      <w:r>
        <w:rPr>
          <w:color w:val="231F20"/>
          <w:spacing w:val="-14"/>
        </w:rPr>
        <w:t xml:space="preserve"> </w:t>
      </w:r>
      <w:r>
        <w:rPr>
          <w:color w:val="231F20"/>
        </w:rPr>
        <w:t>pojištění, není-li v pojistné smlouvě ujednáno</w:t>
      </w:r>
      <w:r>
        <w:rPr>
          <w:color w:val="231F20"/>
          <w:spacing w:val="-10"/>
        </w:rPr>
        <w:t xml:space="preserve"> </w:t>
      </w:r>
      <w:r>
        <w:rPr>
          <w:color w:val="231F20"/>
        </w:rPr>
        <w:t>jinak.</w:t>
      </w:r>
    </w:p>
    <w:p w14:paraId="53FB9297" w14:textId="77777777" w:rsidR="00F65BCA" w:rsidRDefault="00216117">
      <w:pPr>
        <w:pStyle w:val="Zkladntext"/>
        <w:spacing w:line="278" w:lineRule="auto"/>
        <w:ind w:left="710" w:hanging="283"/>
        <w:jc w:val="both"/>
      </w:pPr>
      <w:r>
        <w:rPr>
          <w:color w:val="231F20"/>
          <w:position w:val="1"/>
          <w:sz w:val="14"/>
          <w:shd w:val="clear" w:color="auto" w:fill="D1D3D4"/>
        </w:rPr>
        <w:t xml:space="preserve">  3</w:t>
      </w:r>
      <w:r>
        <w:rPr>
          <w:color w:val="231F20"/>
          <w:position w:val="1"/>
          <w:sz w:val="14"/>
        </w:rPr>
        <w:t xml:space="preserve"> </w:t>
      </w:r>
      <w:r>
        <w:rPr>
          <w:color w:val="231F20"/>
        </w:rPr>
        <w:t>Do asistence ve variantě Souprava je zařazeno každé vozidlo (i nepojištěné u Pojišťovny), které je v okamžiku pojistné události připojeno k vozidlu, pro které je u Pojišťovny sjednána asistence ve variantě Souprava.</w:t>
      </w:r>
    </w:p>
    <w:p w14:paraId="75339806"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position w:val="1"/>
          <w:sz w:val="14"/>
        </w:rPr>
        <w:t xml:space="preserve"> </w:t>
      </w:r>
      <w:r>
        <w:rPr>
          <w:color w:val="231F20"/>
        </w:rPr>
        <w:t xml:space="preserve">Asistenční služby ve variantě asistence Souprava jsou poskytovány </w:t>
      </w:r>
      <w:r>
        <w:rPr>
          <w:color w:val="231F20"/>
          <w:spacing w:val="-3"/>
        </w:rPr>
        <w:t xml:space="preserve">pouze </w:t>
      </w:r>
      <w:r>
        <w:rPr>
          <w:color w:val="231F20"/>
        </w:rPr>
        <w:t>jednomu</w:t>
      </w:r>
      <w:r>
        <w:rPr>
          <w:color w:val="231F20"/>
          <w:spacing w:val="-9"/>
        </w:rPr>
        <w:t xml:space="preserve"> </w:t>
      </w:r>
      <w:r>
        <w:rPr>
          <w:color w:val="231F20"/>
        </w:rPr>
        <w:t>tažnému</w:t>
      </w:r>
      <w:r>
        <w:rPr>
          <w:color w:val="231F20"/>
          <w:spacing w:val="-8"/>
        </w:rPr>
        <w:t xml:space="preserve"> </w:t>
      </w:r>
      <w:r>
        <w:rPr>
          <w:color w:val="231F20"/>
        </w:rPr>
        <w:t>a</w:t>
      </w:r>
      <w:r>
        <w:rPr>
          <w:color w:val="231F20"/>
          <w:spacing w:val="-8"/>
        </w:rPr>
        <w:t xml:space="preserve"> </w:t>
      </w:r>
      <w:r>
        <w:rPr>
          <w:color w:val="231F20"/>
        </w:rPr>
        <w:t>jednomu</w:t>
      </w:r>
      <w:r>
        <w:rPr>
          <w:color w:val="231F20"/>
          <w:spacing w:val="-8"/>
        </w:rPr>
        <w:t xml:space="preserve"> </w:t>
      </w:r>
      <w:r>
        <w:rPr>
          <w:color w:val="231F20"/>
        </w:rPr>
        <w:t>přípojnému</w:t>
      </w:r>
      <w:r>
        <w:rPr>
          <w:color w:val="231F20"/>
          <w:spacing w:val="-9"/>
        </w:rPr>
        <w:t xml:space="preserve"> </w:t>
      </w:r>
      <w:r>
        <w:rPr>
          <w:color w:val="231F20"/>
        </w:rPr>
        <w:t>vozidlu.</w:t>
      </w:r>
      <w:r>
        <w:rPr>
          <w:color w:val="231F20"/>
          <w:spacing w:val="-8"/>
        </w:rPr>
        <w:t xml:space="preserve"> </w:t>
      </w:r>
      <w:r>
        <w:rPr>
          <w:color w:val="231F20"/>
        </w:rPr>
        <w:t>Pojištění</w:t>
      </w:r>
      <w:r>
        <w:rPr>
          <w:color w:val="231F20"/>
          <w:spacing w:val="-8"/>
        </w:rPr>
        <w:t xml:space="preserve"> </w:t>
      </w:r>
      <w:r>
        <w:rPr>
          <w:color w:val="231F20"/>
        </w:rPr>
        <w:t>se</w:t>
      </w:r>
      <w:r>
        <w:rPr>
          <w:color w:val="231F20"/>
          <w:spacing w:val="-8"/>
        </w:rPr>
        <w:t xml:space="preserve"> </w:t>
      </w:r>
      <w:r>
        <w:rPr>
          <w:color w:val="231F20"/>
        </w:rPr>
        <w:t>nevztahuje</w:t>
      </w:r>
      <w:r>
        <w:rPr>
          <w:color w:val="231F20"/>
          <w:spacing w:val="-9"/>
        </w:rPr>
        <w:t xml:space="preserve"> </w:t>
      </w:r>
      <w:r>
        <w:rPr>
          <w:color w:val="231F20"/>
          <w:spacing w:val="-8"/>
        </w:rPr>
        <w:t xml:space="preserve">na </w:t>
      </w:r>
      <w:r>
        <w:rPr>
          <w:color w:val="231F20"/>
        </w:rPr>
        <w:t xml:space="preserve">případy vlečení motorových vozidel, a proto pro účely tohoto pojištění </w:t>
      </w:r>
      <w:r>
        <w:rPr>
          <w:color w:val="231F20"/>
          <w:spacing w:val="-5"/>
        </w:rPr>
        <w:t xml:space="preserve">není </w:t>
      </w:r>
      <w:r>
        <w:rPr>
          <w:color w:val="231F20"/>
        </w:rPr>
        <w:t>za</w:t>
      </w:r>
      <w:r>
        <w:rPr>
          <w:color w:val="231F20"/>
          <w:spacing w:val="-5"/>
        </w:rPr>
        <w:t xml:space="preserve"> </w:t>
      </w:r>
      <w:r>
        <w:rPr>
          <w:color w:val="231F20"/>
        </w:rPr>
        <w:t>přípojné</w:t>
      </w:r>
      <w:r>
        <w:rPr>
          <w:color w:val="231F20"/>
          <w:spacing w:val="-5"/>
        </w:rPr>
        <w:t xml:space="preserve"> </w:t>
      </w:r>
      <w:r>
        <w:rPr>
          <w:color w:val="231F20"/>
        </w:rPr>
        <w:t>vozidlo</w:t>
      </w:r>
      <w:r>
        <w:rPr>
          <w:color w:val="231F20"/>
          <w:spacing w:val="-5"/>
        </w:rPr>
        <w:t xml:space="preserve"> </w:t>
      </w:r>
      <w:r>
        <w:rPr>
          <w:color w:val="231F20"/>
        </w:rPr>
        <w:t>považováno</w:t>
      </w:r>
      <w:r>
        <w:rPr>
          <w:color w:val="231F20"/>
          <w:spacing w:val="-5"/>
        </w:rPr>
        <w:t xml:space="preserve"> </w:t>
      </w:r>
      <w:r>
        <w:rPr>
          <w:color w:val="231F20"/>
        </w:rPr>
        <w:t>vozidlo</w:t>
      </w:r>
      <w:r>
        <w:rPr>
          <w:color w:val="231F20"/>
          <w:spacing w:val="-5"/>
        </w:rPr>
        <w:t xml:space="preserve"> </w:t>
      </w:r>
      <w:r>
        <w:rPr>
          <w:color w:val="231F20"/>
        </w:rPr>
        <w:t>spojené</w:t>
      </w:r>
      <w:r>
        <w:rPr>
          <w:color w:val="231F20"/>
          <w:spacing w:val="-5"/>
        </w:rPr>
        <w:t xml:space="preserve"> </w:t>
      </w:r>
      <w:r>
        <w:rPr>
          <w:color w:val="231F20"/>
        </w:rPr>
        <w:t>s</w:t>
      </w:r>
      <w:r>
        <w:rPr>
          <w:color w:val="231F20"/>
          <w:spacing w:val="-5"/>
        </w:rPr>
        <w:t xml:space="preserve"> </w:t>
      </w:r>
      <w:r>
        <w:rPr>
          <w:color w:val="231F20"/>
        </w:rPr>
        <w:t>tažným</w:t>
      </w:r>
      <w:r>
        <w:rPr>
          <w:color w:val="231F20"/>
          <w:spacing w:val="-5"/>
        </w:rPr>
        <w:t xml:space="preserve"> </w:t>
      </w:r>
      <w:r>
        <w:rPr>
          <w:color w:val="231F20"/>
        </w:rPr>
        <w:t>vozidlem</w:t>
      </w:r>
      <w:r>
        <w:rPr>
          <w:color w:val="231F20"/>
          <w:spacing w:val="-5"/>
        </w:rPr>
        <w:t xml:space="preserve"> </w:t>
      </w:r>
      <w:r>
        <w:rPr>
          <w:color w:val="231F20"/>
          <w:spacing w:val="-3"/>
        </w:rPr>
        <w:t xml:space="preserve">vlečným </w:t>
      </w:r>
      <w:r>
        <w:rPr>
          <w:color w:val="231F20"/>
        </w:rPr>
        <w:t>lanem, vlečnou tyčí nebo pomocí zvláštního</w:t>
      </w:r>
      <w:r>
        <w:rPr>
          <w:color w:val="231F20"/>
          <w:spacing w:val="-22"/>
        </w:rPr>
        <w:t xml:space="preserve"> </w:t>
      </w:r>
      <w:r>
        <w:rPr>
          <w:color w:val="231F20"/>
        </w:rPr>
        <w:t>zařízení.</w:t>
      </w:r>
    </w:p>
    <w:p w14:paraId="575C10F8" w14:textId="77777777" w:rsidR="00F65BCA" w:rsidRDefault="00216117">
      <w:pPr>
        <w:pStyle w:val="Zkladntext"/>
        <w:spacing w:before="4"/>
        <w:rPr>
          <w:sz w:val="18"/>
        </w:rPr>
      </w:pPr>
      <w:r>
        <w:br w:type="column"/>
      </w:r>
    </w:p>
    <w:p w14:paraId="0203DE6D" w14:textId="77777777" w:rsidR="00F65BCA" w:rsidRDefault="00216117">
      <w:pPr>
        <w:spacing w:before="1"/>
        <w:ind w:left="185"/>
        <w:rPr>
          <w:sz w:val="15"/>
        </w:rPr>
      </w:pPr>
      <w:r>
        <w:rPr>
          <w:color w:val="FFFFFF"/>
          <w:position w:val="3"/>
          <w:sz w:val="16"/>
          <w:shd w:val="clear" w:color="auto" w:fill="808285"/>
        </w:rPr>
        <w:t xml:space="preserve">  Článek 63</w:t>
      </w:r>
      <w:r>
        <w:rPr>
          <w:color w:val="FFFFFF"/>
          <w:position w:val="3"/>
          <w:sz w:val="16"/>
        </w:rPr>
        <w:t xml:space="preserve"> </w:t>
      </w:r>
      <w:r>
        <w:rPr>
          <w:color w:val="231F20"/>
          <w:sz w:val="15"/>
        </w:rPr>
        <w:t>Územní rozsah pojištění</w:t>
      </w:r>
    </w:p>
    <w:p w14:paraId="6978B763" w14:textId="77777777" w:rsidR="00F65BCA" w:rsidRDefault="00216117">
      <w:pPr>
        <w:pStyle w:val="Zkladntext"/>
        <w:spacing w:before="142" w:line="278" w:lineRule="auto"/>
        <w:ind w:left="184" w:right="424"/>
        <w:jc w:val="both"/>
      </w:pPr>
      <w:r>
        <w:rPr>
          <w:color w:val="231F20"/>
        </w:rPr>
        <w:t>Asistenční</w:t>
      </w:r>
      <w:r>
        <w:rPr>
          <w:color w:val="231F20"/>
          <w:spacing w:val="-17"/>
        </w:rPr>
        <w:t xml:space="preserve"> </w:t>
      </w:r>
      <w:r>
        <w:rPr>
          <w:color w:val="231F20"/>
        </w:rPr>
        <w:t>služby</w:t>
      </w:r>
      <w:r>
        <w:rPr>
          <w:color w:val="231F20"/>
          <w:spacing w:val="-17"/>
        </w:rPr>
        <w:t xml:space="preserve"> </w:t>
      </w:r>
      <w:r>
        <w:rPr>
          <w:color w:val="231F20"/>
        </w:rPr>
        <w:t>poskytuje</w:t>
      </w:r>
      <w:r>
        <w:rPr>
          <w:color w:val="231F20"/>
          <w:spacing w:val="-17"/>
        </w:rPr>
        <w:t xml:space="preserve"> </w:t>
      </w:r>
      <w:r>
        <w:rPr>
          <w:color w:val="231F20"/>
        </w:rPr>
        <w:t>Pojišťovna</w:t>
      </w:r>
      <w:r>
        <w:rPr>
          <w:color w:val="231F20"/>
          <w:spacing w:val="-17"/>
        </w:rPr>
        <w:t xml:space="preserve"> </w:t>
      </w:r>
      <w:r>
        <w:rPr>
          <w:color w:val="231F20"/>
        </w:rPr>
        <w:t>prostřednictvím</w:t>
      </w:r>
      <w:r>
        <w:rPr>
          <w:color w:val="231F20"/>
          <w:spacing w:val="-17"/>
        </w:rPr>
        <w:t xml:space="preserve"> </w:t>
      </w:r>
      <w:r>
        <w:rPr>
          <w:color w:val="231F20"/>
        </w:rPr>
        <w:t>smluvního</w:t>
      </w:r>
      <w:r>
        <w:rPr>
          <w:color w:val="231F20"/>
          <w:spacing w:val="-17"/>
        </w:rPr>
        <w:t xml:space="preserve"> </w:t>
      </w:r>
      <w:r>
        <w:rPr>
          <w:color w:val="231F20"/>
        </w:rPr>
        <w:t>partnera</w:t>
      </w:r>
      <w:r>
        <w:rPr>
          <w:color w:val="231F20"/>
          <w:spacing w:val="-17"/>
        </w:rPr>
        <w:t xml:space="preserve"> </w:t>
      </w:r>
      <w:r>
        <w:rPr>
          <w:color w:val="231F20"/>
        </w:rPr>
        <w:t>Pojiš- ťovny pro asistenční služby (dále jen „poskytovatel asistence“), na území</w:t>
      </w:r>
      <w:r>
        <w:rPr>
          <w:color w:val="231F20"/>
          <w:spacing w:val="-27"/>
        </w:rPr>
        <w:t xml:space="preserve"> </w:t>
      </w:r>
      <w:r>
        <w:rPr>
          <w:color w:val="231F20"/>
          <w:spacing w:val="-3"/>
        </w:rPr>
        <w:t xml:space="preserve">České </w:t>
      </w:r>
      <w:r>
        <w:rPr>
          <w:color w:val="231F20"/>
        </w:rPr>
        <w:t>republiky</w:t>
      </w:r>
      <w:r>
        <w:rPr>
          <w:color w:val="231F20"/>
          <w:spacing w:val="-5"/>
        </w:rPr>
        <w:t xml:space="preserve"> </w:t>
      </w:r>
      <w:r>
        <w:rPr>
          <w:color w:val="231F20"/>
        </w:rPr>
        <w:t>a</w:t>
      </w:r>
      <w:r>
        <w:rPr>
          <w:color w:val="231F20"/>
          <w:spacing w:val="-5"/>
        </w:rPr>
        <w:t xml:space="preserve"> </w:t>
      </w:r>
      <w:r>
        <w:rPr>
          <w:color w:val="231F20"/>
        </w:rPr>
        <w:t>na</w:t>
      </w:r>
      <w:r>
        <w:rPr>
          <w:color w:val="231F20"/>
          <w:spacing w:val="-5"/>
        </w:rPr>
        <w:t xml:space="preserve"> </w:t>
      </w:r>
      <w:r>
        <w:rPr>
          <w:color w:val="231F20"/>
        </w:rPr>
        <w:t>geografickém</w:t>
      </w:r>
      <w:r>
        <w:rPr>
          <w:color w:val="231F20"/>
          <w:spacing w:val="-5"/>
        </w:rPr>
        <w:t xml:space="preserve"> </w:t>
      </w:r>
      <w:r>
        <w:rPr>
          <w:color w:val="231F20"/>
        </w:rPr>
        <w:t>území</w:t>
      </w:r>
      <w:r>
        <w:rPr>
          <w:color w:val="231F20"/>
          <w:spacing w:val="-4"/>
        </w:rPr>
        <w:t xml:space="preserve"> </w:t>
      </w:r>
      <w:r>
        <w:rPr>
          <w:color w:val="231F20"/>
        </w:rPr>
        <w:t>ostatních</w:t>
      </w:r>
      <w:r>
        <w:rPr>
          <w:color w:val="231F20"/>
          <w:spacing w:val="-5"/>
        </w:rPr>
        <w:t xml:space="preserve"> </w:t>
      </w:r>
      <w:r>
        <w:rPr>
          <w:color w:val="231F20"/>
        </w:rPr>
        <w:t>států</w:t>
      </w:r>
      <w:r>
        <w:rPr>
          <w:color w:val="231F20"/>
          <w:spacing w:val="-5"/>
        </w:rPr>
        <w:t xml:space="preserve"> </w:t>
      </w:r>
      <w:r>
        <w:rPr>
          <w:color w:val="231F20"/>
        </w:rPr>
        <w:t>Evropy</w:t>
      </w:r>
      <w:r>
        <w:rPr>
          <w:color w:val="231F20"/>
          <w:spacing w:val="-5"/>
        </w:rPr>
        <w:t xml:space="preserve"> </w:t>
      </w:r>
      <w:r>
        <w:rPr>
          <w:color w:val="231F20"/>
        </w:rPr>
        <w:t>a</w:t>
      </w:r>
      <w:r>
        <w:rPr>
          <w:color w:val="231F20"/>
          <w:spacing w:val="-4"/>
        </w:rPr>
        <w:t xml:space="preserve"> </w:t>
      </w:r>
      <w:r>
        <w:rPr>
          <w:color w:val="231F20"/>
          <w:spacing w:val="-3"/>
        </w:rPr>
        <w:t>Turecka,</w:t>
      </w:r>
      <w:r>
        <w:rPr>
          <w:color w:val="231F20"/>
          <w:spacing w:val="-5"/>
        </w:rPr>
        <w:t xml:space="preserve"> </w:t>
      </w:r>
      <w:r>
        <w:rPr>
          <w:color w:val="231F20"/>
        </w:rPr>
        <w:t>s</w:t>
      </w:r>
      <w:r>
        <w:rPr>
          <w:color w:val="231F20"/>
          <w:spacing w:val="-5"/>
        </w:rPr>
        <w:t xml:space="preserve"> </w:t>
      </w:r>
      <w:r>
        <w:rPr>
          <w:color w:val="231F20"/>
        </w:rPr>
        <w:t>výjimkou Arménie,</w:t>
      </w:r>
      <w:r>
        <w:rPr>
          <w:color w:val="231F20"/>
          <w:spacing w:val="-21"/>
        </w:rPr>
        <w:t xml:space="preserve"> </w:t>
      </w:r>
      <w:r>
        <w:rPr>
          <w:color w:val="231F20"/>
        </w:rPr>
        <w:t>Ázerbájdžánu,</w:t>
      </w:r>
      <w:r>
        <w:rPr>
          <w:color w:val="231F20"/>
          <w:spacing w:val="-21"/>
        </w:rPr>
        <w:t xml:space="preserve"> </w:t>
      </w:r>
      <w:r>
        <w:rPr>
          <w:color w:val="231F20"/>
        </w:rPr>
        <w:t>Běloruska,</w:t>
      </w:r>
      <w:r>
        <w:rPr>
          <w:color w:val="231F20"/>
          <w:spacing w:val="-20"/>
        </w:rPr>
        <w:t xml:space="preserve"> </w:t>
      </w:r>
      <w:r>
        <w:rPr>
          <w:color w:val="231F20"/>
        </w:rPr>
        <w:t>Gruzie,</w:t>
      </w:r>
      <w:r>
        <w:rPr>
          <w:color w:val="231F20"/>
          <w:spacing w:val="-21"/>
        </w:rPr>
        <w:t xml:space="preserve"> </w:t>
      </w:r>
      <w:r>
        <w:rPr>
          <w:color w:val="231F20"/>
        </w:rPr>
        <w:t>Moldavska,</w:t>
      </w:r>
      <w:r>
        <w:rPr>
          <w:color w:val="231F20"/>
          <w:spacing w:val="-20"/>
        </w:rPr>
        <w:t xml:space="preserve"> </w:t>
      </w:r>
      <w:r>
        <w:rPr>
          <w:color w:val="231F20"/>
        </w:rPr>
        <w:t>Ruska</w:t>
      </w:r>
      <w:r>
        <w:rPr>
          <w:color w:val="231F20"/>
          <w:spacing w:val="-21"/>
        </w:rPr>
        <w:t xml:space="preserve"> </w:t>
      </w:r>
      <w:r>
        <w:rPr>
          <w:color w:val="231F20"/>
        </w:rPr>
        <w:t>a</w:t>
      </w:r>
      <w:r>
        <w:rPr>
          <w:color w:val="231F20"/>
          <w:spacing w:val="-21"/>
        </w:rPr>
        <w:t xml:space="preserve"> </w:t>
      </w:r>
      <w:r>
        <w:rPr>
          <w:color w:val="231F20"/>
        </w:rPr>
        <w:t>Ukrajiny</w:t>
      </w:r>
      <w:r>
        <w:rPr>
          <w:color w:val="231F20"/>
          <w:spacing w:val="-20"/>
        </w:rPr>
        <w:t xml:space="preserve"> </w:t>
      </w:r>
      <w:r>
        <w:rPr>
          <w:color w:val="231F20"/>
        </w:rPr>
        <w:t>(dále</w:t>
      </w:r>
      <w:r>
        <w:rPr>
          <w:color w:val="231F20"/>
          <w:spacing w:val="-21"/>
        </w:rPr>
        <w:t xml:space="preserve"> </w:t>
      </w:r>
      <w:r>
        <w:rPr>
          <w:color w:val="231F20"/>
          <w:spacing w:val="-5"/>
        </w:rPr>
        <w:t>jen</w:t>
      </w:r>
    </w:p>
    <w:p w14:paraId="57204F38" w14:textId="77777777" w:rsidR="00F65BCA" w:rsidRDefault="00216117">
      <w:pPr>
        <w:pStyle w:val="Zkladntext"/>
        <w:spacing w:line="172" w:lineRule="exact"/>
        <w:ind w:left="184"/>
      </w:pPr>
      <w:r>
        <w:rPr>
          <w:color w:val="231F20"/>
        </w:rPr>
        <w:t>„zahraničí“).</w:t>
      </w:r>
    </w:p>
    <w:p w14:paraId="0D8C0AA9" w14:textId="77777777" w:rsidR="00F65BCA" w:rsidRDefault="00F65BCA">
      <w:pPr>
        <w:pStyle w:val="Zkladntext"/>
        <w:spacing w:before="5"/>
        <w:rPr>
          <w:sz w:val="22"/>
        </w:rPr>
      </w:pPr>
    </w:p>
    <w:p w14:paraId="5081BDC6" w14:textId="77777777" w:rsidR="00F65BCA" w:rsidRDefault="00216117">
      <w:pPr>
        <w:ind w:left="185"/>
        <w:rPr>
          <w:sz w:val="15"/>
        </w:rPr>
      </w:pPr>
      <w:r>
        <w:rPr>
          <w:color w:val="FFFFFF"/>
          <w:position w:val="3"/>
          <w:sz w:val="16"/>
          <w:shd w:val="clear" w:color="auto" w:fill="808285"/>
        </w:rPr>
        <w:t xml:space="preserve">  Článek 64</w:t>
      </w:r>
      <w:r>
        <w:rPr>
          <w:color w:val="FFFFFF"/>
          <w:position w:val="3"/>
          <w:sz w:val="16"/>
        </w:rPr>
        <w:t xml:space="preserve"> </w:t>
      </w:r>
      <w:r>
        <w:rPr>
          <w:color w:val="231F20"/>
          <w:sz w:val="15"/>
        </w:rPr>
        <w:t>Oprávněná osoba</w:t>
      </w:r>
    </w:p>
    <w:p w14:paraId="1C5A409B" w14:textId="77777777" w:rsidR="00F65BCA" w:rsidRDefault="00216117">
      <w:pPr>
        <w:pStyle w:val="Zkladntext"/>
        <w:spacing w:before="143" w:line="278" w:lineRule="auto"/>
        <w:ind w:left="184" w:right="424"/>
        <w:jc w:val="both"/>
      </w:pPr>
      <w:r>
        <w:rPr>
          <w:color w:val="231F20"/>
        </w:rPr>
        <w:t>Oprávněnou</w:t>
      </w:r>
      <w:r>
        <w:rPr>
          <w:color w:val="231F20"/>
          <w:spacing w:val="-12"/>
        </w:rPr>
        <w:t xml:space="preserve"> </w:t>
      </w:r>
      <w:r>
        <w:rPr>
          <w:color w:val="231F20"/>
        </w:rPr>
        <w:t>osobou</w:t>
      </w:r>
      <w:r>
        <w:rPr>
          <w:color w:val="231F20"/>
          <w:spacing w:val="-11"/>
        </w:rPr>
        <w:t xml:space="preserve"> </w:t>
      </w:r>
      <w:r>
        <w:rPr>
          <w:color w:val="231F20"/>
        </w:rPr>
        <w:t>se</w:t>
      </w:r>
      <w:r>
        <w:rPr>
          <w:color w:val="231F20"/>
          <w:spacing w:val="-12"/>
        </w:rPr>
        <w:t xml:space="preserve"> </w:t>
      </w:r>
      <w:r>
        <w:rPr>
          <w:color w:val="231F20"/>
        </w:rPr>
        <w:t>pro</w:t>
      </w:r>
      <w:r>
        <w:rPr>
          <w:color w:val="231F20"/>
          <w:spacing w:val="-11"/>
        </w:rPr>
        <w:t xml:space="preserve"> </w:t>
      </w:r>
      <w:r>
        <w:rPr>
          <w:color w:val="231F20"/>
        </w:rPr>
        <w:t>čerpání</w:t>
      </w:r>
      <w:r>
        <w:rPr>
          <w:color w:val="231F20"/>
          <w:spacing w:val="-12"/>
        </w:rPr>
        <w:t xml:space="preserve"> </w:t>
      </w:r>
      <w:r>
        <w:rPr>
          <w:color w:val="231F20"/>
        </w:rPr>
        <w:t>asistenčních</w:t>
      </w:r>
      <w:r>
        <w:rPr>
          <w:color w:val="231F20"/>
          <w:spacing w:val="-11"/>
        </w:rPr>
        <w:t xml:space="preserve"> </w:t>
      </w:r>
      <w:r>
        <w:rPr>
          <w:color w:val="231F20"/>
        </w:rPr>
        <w:t>služeb</w:t>
      </w:r>
      <w:r>
        <w:rPr>
          <w:color w:val="231F20"/>
          <w:spacing w:val="-11"/>
        </w:rPr>
        <w:t xml:space="preserve"> </w:t>
      </w:r>
      <w:r>
        <w:rPr>
          <w:color w:val="231F20"/>
        </w:rPr>
        <w:t>rozumí</w:t>
      </w:r>
      <w:r>
        <w:rPr>
          <w:color w:val="231F20"/>
          <w:spacing w:val="-12"/>
        </w:rPr>
        <w:t xml:space="preserve"> </w:t>
      </w:r>
      <w:r>
        <w:rPr>
          <w:color w:val="231F20"/>
        </w:rPr>
        <w:t>kterákoliv</w:t>
      </w:r>
      <w:r>
        <w:rPr>
          <w:color w:val="231F20"/>
          <w:spacing w:val="-11"/>
        </w:rPr>
        <w:t xml:space="preserve"> </w:t>
      </w:r>
      <w:r>
        <w:rPr>
          <w:color w:val="231F20"/>
          <w:spacing w:val="-3"/>
        </w:rPr>
        <w:t xml:space="preserve">fyzická </w:t>
      </w:r>
      <w:r>
        <w:rPr>
          <w:color w:val="231F20"/>
        </w:rPr>
        <w:t>osoba</w:t>
      </w:r>
      <w:r>
        <w:rPr>
          <w:color w:val="231F20"/>
          <w:spacing w:val="-27"/>
        </w:rPr>
        <w:t xml:space="preserve"> </w:t>
      </w:r>
      <w:r>
        <w:rPr>
          <w:color w:val="231F20"/>
        </w:rPr>
        <w:t>cestující</w:t>
      </w:r>
      <w:r>
        <w:rPr>
          <w:color w:val="231F20"/>
          <w:spacing w:val="-27"/>
        </w:rPr>
        <w:t xml:space="preserve"> </w:t>
      </w:r>
      <w:r>
        <w:rPr>
          <w:color w:val="231F20"/>
        </w:rPr>
        <w:t>v</w:t>
      </w:r>
      <w:r>
        <w:rPr>
          <w:color w:val="231F20"/>
          <w:spacing w:val="-26"/>
        </w:rPr>
        <w:t xml:space="preserve"> </w:t>
      </w:r>
      <w:r>
        <w:rPr>
          <w:color w:val="231F20"/>
        </w:rPr>
        <w:t>pojištěném</w:t>
      </w:r>
      <w:r>
        <w:rPr>
          <w:color w:val="231F20"/>
          <w:spacing w:val="-27"/>
        </w:rPr>
        <w:t xml:space="preserve"> </w:t>
      </w:r>
      <w:r>
        <w:rPr>
          <w:color w:val="231F20"/>
        </w:rPr>
        <w:t>vozidle</w:t>
      </w:r>
      <w:r>
        <w:rPr>
          <w:color w:val="231F20"/>
          <w:spacing w:val="-26"/>
        </w:rPr>
        <w:t xml:space="preserve"> </w:t>
      </w:r>
      <w:r>
        <w:rPr>
          <w:color w:val="231F20"/>
        </w:rPr>
        <w:t>v</w:t>
      </w:r>
      <w:r>
        <w:rPr>
          <w:color w:val="231F20"/>
          <w:spacing w:val="-27"/>
        </w:rPr>
        <w:t xml:space="preserve"> </w:t>
      </w:r>
      <w:r>
        <w:rPr>
          <w:color w:val="231F20"/>
        </w:rPr>
        <w:t>okamžiku</w:t>
      </w:r>
      <w:r>
        <w:rPr>
          <w:color w:val="231F20"/>
          <w:spacing w:val="-27"/>
        </w:rPr>
        <w:t xml:space="preserve"> </w:t>
      </w:r>
      <w:r>
        <w:rPr>
          <w:color w:val="231F20"/>
        </w:rPr>
        <w:t>vzniku</w:t>
      </w:r>
      <w:r>
        <w:rPr>
          <w:color w:val="231F20"/>
          <w:spacing w:val="-26"/>
        </w:rPr>
        <w:t xml:space="preserve"> </w:t>
      </w:r>
      <w:r>
        <w:rPr>
          <w:color w:val="231F20"/>
        </w:rPr>
        <w:t>pojistné</w:t>
      </w:r>
      <w:r>
        <w:rPr>
          <w:color w:val="231F20"/>
          <w:spacing w:val="-27"/>
        </w:rPr>
        <w:t xml:space="preserve"> </w:t>
      </w:r>
      <w:r>
        <w:rPr>
          <w:color w:val="231F20"/>
        </w:rPr>
        <w:t>události;</w:t>
      </w:r>
      <w:r>
        <w:rPr>
          <w:color w:val="231F20"/>
          <w:spacing w:val="-26"/>
        </w:rPr>
        <w:t xml:space="preserve"> </w:t>
      </w:r>
      <w:r>
        <w:rPr>
          <w:color w:val="231F20"/>
        </w:rPr>
        <w:t xml:space="preserve">maximální počet oprávněných osob se rovná celkovému počtu přepravovaných osob </w:t>
      </w:r>
      <w:r>
        <w:rPr>
          <w:color w:val="231F20"/>
          <w:spacing w:val="-4"/>
        </w:rPr>
        <w:t xml:space="preserve">uve- </w:t>
      </w:r>
      <w:r>
        <w:rPr>
          <w:color w:val="231F20"/>
        </w:rPr>
        <w:t>denému v technickém průkazu nebo osvědčení o registraci pojištěného vozidla, maximálně však 9</w:t>
      </w:r>
      <w:r>
        <w:rPr>
          <w:color w:val="231F20"/>
          <w:spacing w:val="-2"/>
        </w:rPr>
        <w:t xml:space="preserve"> </w:t>
      </w:r>
      <w:r>
        <w:rPr>
          <w:color w:val="231F20"/>
        </w:rPr>
        <w:t>osob.</w:t>
      </w:r>
    </w:p>
    <w:p w14:paraId="4D6D2E75" w14:textId="77777777" w:rsidR="00F65BCA" w:rsidRDefault="00F65BCA">
      <w:pPr>
        <w:pStyle w:val="Zkladntext"/>
        <w:spacing w:before="5"/>
        <w:rPr>
          <w:sz w:val="20"/>
        </w:rPr>
      </w:pPr>
    </w:p>
    <w:p w14:paraId="709C2886" w14:textId="77777777" w:rsidR="00F65BCA" w:rsidRDefault="00216117">
      <w:pPr>
        <w:ind w:left="185"/>
        <w:rPr>
          <w:sz w:val="15"/>
        </w:rPr>
      </w:pPr>
      <w:r>
        <w:rPr>
          <w:color w:val="FFFFFF"/>
          <w:position w:val="3"/>
          <w:sz w:val="16"/>
          <w:shd w:val="clear" w:color="auto" w:fill="808285"/>
        </w:rPr>
        <w:t xml:space="preserve">  Článek 65</w:t>
      </w:r>
      <w:r>
        <w:rPr>
          <w:color w:val="FFFFFF"/>
          <w:position w:val="3"/>
          <w:sz w:val="16"/>
        </w:rPr>
        <w:t xml:space="preserve"> </w:t>
      </w:r>
      <w:r>
        <w:rPr>
          <w:color w:val="231F20"/>
          <w:sz w:val="15"/>
        </w:rPr>
        <w:t>Čerpání asistenčních služeb</w:t>
      </w:r>
    </w:p>
    <w:p w14:paraId="31CB9DB5" w14:textId="77777777" w:rsidR="00F65BCA" w:rsidRDefault="00216117">
      <w:pPr>
        <w:pStyle w:val="Zkladntext"/>
        <w:spacing w:before="142"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14"/>
          <w:position w:val="1"/>
          <w:sz w:val="14"/>
        </w:rPr>
        <w:t xml:space="preserve"> </w:t>
      </w:r>
      <w:r>
        <w:rPr>
          <w:color w:val="231F20"/>
        </w:rPr>
        <w:t>Dojde-li</w:t>
      </w:r>
      <w:r>
        <w:rPr>
          <w:color w:val="231F20"/>
          <w:spacing w:val="-19"/>
        </w:rPr>
        <w:t xml:space="preserve"> </w:t>
      </w:r>
      <w:r>
        <w:rPr>
          <w:color w:val="231F20"/>
        </w:rPr>
        <w:t>na</w:t>
      </w:r>
      <w:r>
        <w:rPr>
          <w:color w:val="231F20"/>
          <w:spacing w:val="-18"/>
        </w:rPr>
        <w:t xml:space="preserve"> </w:t>
      </w:r>
      <w:r>
        <w:rPr>
          <w:color w:val="231F20"/>
        </w:rPr>
        <w:t>smluvně</w:t>
      </w:r>
      <w:r>
        <w:rPr>
          <w:color w:val="231F20"/>
          <w:spacing w:val="-18"/>
        </w:rPr>
        <w:t xml:space="preserve"> </w:t>
      </w:r>
      <w:r>
        <w:rPr>
          <w:color w:val="231F20"/>
        </w:rPr>
        <w:t>vymezeném</w:t>
      </w:r>
      <w:r>
        <w:rPr>
          <w:color w:val="231F20"/>
          <w:spacing w:val="-18"/>
        </w:rPr>
        <w:t xml:space="preserve"> </w:t>
      </w:r>
      <w:r>
        <w:rPr>
          <w:color w:val="231F20"/>
        </w:rPr>
        <w:t>území</w:t>
      </w:r>
      <w:r>
        <w:rPr>
          <w:color w:val="231F20"/>
          <w:spacing w:val="-18"/>
        </w:rPr>
        <w:t xml:space="preserve"> </w:t>
      </w:r>
      <w:r>
        <w:rPr>
          <w:color w:val="231F20"/>
        </w:rPr>
        <w:t>k</w:t>
      </w:r>
      <w:r>
        <w:rPr>
          <w:color w:val="231F20"/>
          <w:spacing w:val="-19"/>
        </w:rPr>
        <w:t xml:space="preserve"> </w:t>
      </w:r>
      <w:r>
        <w:rPr>
          <w:color w:val="231F20"/>
        </w:rPr>
        <w:t>pojistné</w:t>
      </w:r>
      <w:r>
        <w:rPr>
          <w:color w:val="231F20"/>
          <w:spacing w:val="-18"/>
        </w:rPr>
        <w:t xml:space="preserve"> </w:t>
      </w:r>
      <w:r>
        <w:rPr>
          <w:color w:val="231F20"/>
        </w:rPr>
        <w:t>události</w:t>
      </w:r>
      <w:r>
        <w:rPr>
          <w:color w:val="231F20"/>
          <w:spacing w:val="-18"/>
        </w:rPr>
        <w:t xml:space="preserve"> </w:t>
      </w:r>
      <w:r>
        <w:rPr>
          <w:color w:val="231F20"/>
        </w:rPr>
        <w:t>kryté</w:t>
      </w:r>
      <w:r>
        <w:rPr>
          <w:color w:val="231F20"/>
          <w:spacing w:val="-18"/>
        </w:rPr>
        <w:t xml:space="preserve"> </w:t>
      </w:r>
      <w:r>
        <w:rPr>
          <w:color w:val="231F20"/>
        </w:rPr>
        <w:t>pojištěním</w:t>
      </w:r>
      <w:r>
        <w:rPr>
          <w:color w:val="231F20"/>
          <w:spacing w:val="-18"/>
        </w:rPr>
        <w:t xml:space="preserve"> </w:t>
      </w:r>
      <w:r>
        <w:rPr>
          <w:color w:val="231F20"/>
        </w:rPr>
        <w:t>asi- stence,</w:t>
      </w:r>
      <w:r>
        <w:rPr>
          <w:color w:val="231F20"/>
          <w:spacing w:val="-14"/>
        </w:rPr>
        <w:t xml:space="preserve"> </w:t>
      </w:r>
      <w:r>
        <w:rPr>
          <w:color w:val="231F20"/>
        </w:rPr>
        <w:t>má</w:t>
      </w:r>
      <w:r>
        <w:rPr>
          <w:color w:val="231F20"/>
          <w:spacing w:val="-14"/>
        </w:rPr>
        <w:t xml:space="preserve"> </w:t>
      </w:r>
      <w:r>
        <w:rPr>
          <w:color w:val="231F20"/>
        </w:rPr>
        <w:t>oprávněná</w:t>
      </w:r>
      <w:r>
        <w:rPr>
          <w:color w:val="231F20"/>
          <w:spacing w:val="-14"/>
        </w:rPr>
        <w:t xml:space="preserve"> </w:t>
      </w:r>
      <w:r>
        <w:rPr>
          <w:color w:val="231F20"/>
        </w:rPr>
        <w:t>osoba</w:t>
      </w:r>
      <w:r>
        <w:rPr>
          <w:color w:val="231F20"/>
          <w:spacing w:val="-13"/>
        </w:rPr>
        <w:t xml:space="preserve"> </w:t>
      </w:r>
      <w:r>
        <w:rPr>
          <w:color w:val="231F20"/>
        </w:rPr>
        <w:t>nárok</w:t>
      </w:r>
      <w:r>
        <w:rPr>
          <w:color w:val="231F20"/>
          <w:spacing w:val="-14"/>
        </w:rPr>
        <w:t xml:space="preserve"> </w:t>
      </w:r>
      <w:r>
        <w:rPr>
          <w:color w:val="231F20"/>
        </w:rPr>
        <w:t>na</w:t>
      </w:r>
      <w:r>
        <w:rPr>
          <w:color w:val="231F20"/>
          <w:spacing w:val="-14"/>
        </w:rPr>
        <w:t xml:space="preserve"> </w:t>
      </w:r>
      <w:r>
        <w:rPr>
          <w:color w:val="231F20"/>
        </w:rPr>
        <w:t>poskytnutí</w:t>
      </w:r>
      <w:r>
        <w:rPr>
          <w:color w:val="231F20"/>
          <w:spacing w:val="-13"/>
        </w:rPr>
        <w:t xml:space="preserve"> </w:t>
      </w:r>
      <w:r>
        <w:rPr>
          <w:color w:val="231F20"/>
        </w:rPr>
        <w:t>asistenční</w:t>
      </w:r>
      <w:r>
        <w:rPr>
          <w:color w:val="231F20"/>
          <w:spacing w:val="-14"/>
        </w:rPr>
        <w:t xml:space="preserve"> </w:t>
      </w:r>
      <w:r>
        <w:rPr>
          <w:color w:val="231F20"/>
        </w:rPr>
        <w:t>služby</w:t>
      </w:r>
      <w:r>
        <w:rPr>
          <w:color w:val="231F20"/>
          <w:spacing w:val="-14"/>
        </w:rPr>
        <w:t xml:space="preserve"> </w:t>
      </w:r>
      <w:r>
        <w:rPr>
          <w:color w:val="231F20"/>
        </w:rPr>
        <w:t>prostřed- nictvím poskytovatele</w:t>
      </w:r>
      <w:r>
        <w:rPr>
          <w:color w:val="231F20"/>
          <w:spacing w:val="-3"/>
        </w:rPr>
        <w:t xml:space="preserve"> </w:t>
      </w:r>
      <w:r>
        <w:rPr>
          <w:color w:val="231F20"/>
        </w:rPr>
        <w:t>asistence.</w:t>
      </w:r>
    </w:p>
    <w:p w14:paraId="6B6DFA80"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position w:val="1"/>
          <w:sz w:val="14"/>
        </w:rPr>
        <w:t xml:space="preserve"> </w:t>
      </w:r>
      <w:r>
        <w:rPr>
          <w:color w:val="231F20"/>
        </w:rPr>
        <w:t xml:space="preserve">Asistenční služby jsou poskytovány na základě telefonické žádosti opráv- něné osoby na telefonním čísle určeném za tímto účelem Pojišťovnou, a to </w:t>
      </w:r>
      <w:r>
        <w:rPr>
          <w:color w:val="231F20"/>
          <w:spacing w:val="-3"/>
        </w:rPr>
        <w:t>24</w:t>
      </w:r>
      <w:r>
        <w:rPr>
          <w:color w:val="231F20"/>
          <w:spacing w:val="-9"/>
        </w:rPr>
        <w:t xml:space="preserve"> </w:t>
      </w:r>
      <w:r>
        <w:rPr>
          <w:color w:val="231F20"/>
        </w:rPr>
        <w:t>hodin</w:t>
      </w:r>
      <w:r>
        <w:rPr>
          <w:color w:val="231F20"/>
          <w:spacing w:val="-8"/>
        </w:rPr>
        <w:t xml:space="preserve"> </w:t>
      </w:r>
      <w:r>
        <w:rPr>
          <w:color w:val="231F20"/>
        </w:rPr>
        <w:t>denně.</w:t>
      </w:r>
      <w:r>
        <w:rPr>
          <w:color w:val="231F20"/>
          <w:spacing w:val="-9"/>
        </w:rPr>
        <w:t xml:space="preserve"> </w:t>
      </w:r>
      <w:r>
        <w:rPr>
          <w:color w:val="231F20"/>
        </w:rPr>
        <w:t>Při</w:t>
      </w:r>
      <w:r>
        <w:rPr>
          <w:color w:val="231F20"/>
          <w:spacing w:val="-8"/>
        </w:rPr>
        <w:t xml:space="preserve"> </w:t>
      </w:r>
      <w:r>
        <w:rPr>
          <w:color w:val="231F20"/>
        </w:rPr>
        <w:t>uzavření</w:t>
      </w:r>
      <w:r>
        <w:rPr>
          <w:color w:val="231F20"/>
          <w:spacing w:val="-9"/>
        </w:rPr>
        <w:t xml:space="preserve"> </w:t>
      </w:r>
      <w:r>
        <w:rPr>
          <w:color w:val="231F20"/>
        </w:rPr>
        <w:t>pojistné</w:t>
      </w:r>
      <w:r>
        <w:rPr>
          <w:color w:val="231F20"/>
          <w:spacing w:val="-8"/>
        </w:rPr>
        <w:t xml:space="preserve"> </w:t>
      </w:r>
      <w:r>
        <w:rPr>
          <w:color w:val="231F20"/>
          <w:spacing w:val="2"/>
        </w:rPr>
        <w:t>smlouvy</w:t>
      </w:r>
      <w:r>
        <w:rPr>
          <w:color w:val="231F20"/>
          <w:spacing w:val="-8"/>
        </w:rPr>
        <w:t xml:space="preserve"> </w:t>
      </w:r>
      <w:r>
        <w:rPr>
          <w:color w:val="231F20"/>
        </w:rPr>
        <w:t>je</w:t>
      </w:r>
      <w:r>
        <w:rPr>
          <w:color w:val="231F20"/>
          <w:spacing w:val="-9"/>
        </w:rPr>
        <w:t xml:space="preserve"> </w:t>
      </w:r>
      <w:r>
        <w:rPr>
          <w:color w:val="231F20"/>
        </w:rPr>
        <w:t>toto</w:t>
      </w:r>
      <w:r>
        <w:rPr>
          <w:color w:val="231F20"/>
          <w:spacing w:val="-8"/>
        </w:rPr>
        <w:t xml:space="preserve"> </w:t>
      </w:r>
      <w:r>
        <w:rPr>
          <w:color w:val="231F20"/>
        </w:rPr>
        <w:t>telefonní</w:t>
      </w:r>
      <w:r>
        <w:rPr>
          <w:color w:val="231F20"/>
          <w:spacing w:val="-9"/>
        </w:rPr>
        <w:t xml:space="preserve"> </w:t>
      </w:r>
      <w:r>
        <w:rPr>
          <w:color w:val="231F20"/>
        </w:rPr>
        <w:t>číslo</w:t>
      </w:r>
      <w:r>
        <w:rPr>
          <w:color w:val="231F20"/>
          <w:spacing w:val="-8"/>
        </w:rPr>
        <w:t xml:space="preserve"> </w:t>
      </w:r>
      <w:r>
        <w:rPr>
          <w:color w:val="231F20"/>
        </w:rPr>
        <w:t>pojistní- kovi</w:t>
      </w:r>
      <w:r>
        <w:rPr>
          <w:color w:val="231F20"/>
          <w:spacing w:val="-15"/>
        </w:rPr>
        <w:t xml:space="preserve"> </w:t>
      </w:r>
      <w:r>
        <w:rPr>
          <w:color w:val="231F20"/>
        </w:rPr>
        <w:t>sděleno</w:t>
      </w:r>
      <w:r>
        <w:rPr>
          <w:color w:val="231F20"/>
          <w:spacing w:val="-15"/>
        </w:rPr>
        <w:t xml:space="preserve"> </w:t>
      </w:r>
      <w:r>
        <w:rPr>
          <w:color w:val="231F20"/>
        </w:rPr>
        <w:t>vhodnou</w:t>
      </w:r>
      <w:r>
        <w:rPr>
          <w:color w:val="231F20"/>
          <w:spacing w:val="-15"/>
        </w:rPr>
        <w:t xml:space="preserve"> </w:t>
      </w:r>
      <w:r>
        <w:rPr>
          <w:color w:val="231F20"/>
        </w:rPr>
        <w:t>formou,</w:t>
      </w:r>
      <w:r>
        <w:rPr>
          <w:color w:val="231F20"/>
          <w:spacing w:val="-15"/>
        </w:rPr>
        <w:t xml:space="preserve"> </w:t>
      </w:r>
      <w:r>
        <w:rPr>
          <w:color w:val="231F20"/>
        </w:rPr>
        <w:t>přičemž</w:t>
      </w:r>
      <w:r>
        <w:rPr>
          <w:color w:val="231F20"/>
          <w:spacing w:val="-15"/>
        </w:rPr>
        <w:t xml:space="preserve"> </w:t>
      </w:r>
      <w:r>
        <w:rPr>
          <w:color w:val="231F20"/>
        </w:rPr>
        <w:t>Pojišťovna</w:t>
      </w:r>
      <w:r>
        <w:rPr>
          <w:color w:val="231F20"/>
          <w:spacing w:val="-15"/>
        </w:rPr>
        <w:t xml:space="preserve"> </w:t>
      </w:r>
      <w:r>
        <w:rPr>
          <w:color w:val="231F20"/>
        </w:rPr>
        <w:t>má</w:t>
      </w:r>
      <w:r>
        <w:rPr>
          <w:color w:val="231F20"/>
          <w:spacing w:val="-14"/>
        </w:rPr>
        <w:t xml:space="preserve"> </w:t>
      </w:r>
      <w:r>
        <w:rPr>
          <w:color w:val="231F20"/>
        </w:rPr>
        <w:t>právo</w:t>
      </w:r>
      <w:r>
        <w:rPr>
          <w:color w:val="231F20"/>
          <w:spacing w:val="-15"/>
        </w:rPr>
        <w:t xml:space="preserve"> </w:t>
      </w:r>
      <w:r>
        <w:rPr>
          <w:color w:val="231F20"/>
        </w:rPr>
        <w:t>toto</w:t>
      </w:r>
      <w:r>
        <w:rPr>
          <w:color w:val="231F20"/>
          <w:spacing w:val="-15"/>
        </w:rPr>
        <w:t xml:space="preserve"> </w:t>
      </w:r>
      <w:r>
        <w:rPr>
          <w:color w:val="231F20"/>
        </w:rPr>
        <w:t>číslo</w:t>
      </w:r>
      <w:r>
        <w:rPr>
          <w:color w:val="231F20"/>
          <w:spacing w:val="-15"/>
        </w:rPr>
        <w:t xml:space="preserve"> </w:t>
      </w:r>
      <w:r>
        <w:rPr>
          <w:color w:val="231F20"/>
          <w:spacing w:val="-3"/>
        </w:rPr>
        <w:t xml:space="preserve">změnit. </w:t>
      </w:r>
      <w:r>
        <w:rPr>
          <w:color w:val="231F20"/>
        </w:rPr>
        <w:t>O změně telefonního čísla je Pojišťovna povinna pojistníka v dostatečném předstihu</w:t>
      </w:r>
      <w:r>
        <w:rPr>
          <w:color w:val="231F20"/>
          <w:spacing w:val="-1"/>
        </w:rPr>
        <w:t xml:space="preserve"> </w:t>
      </w:r>
      <w:r>
        <w:rPr>
          <w:color w:val="231F20"/>
        </w:rPr>
        <w:t>informovat.</w:t>
      </w:r>
    </w:p>
    <w:p w14:paraId="752FE0DB"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position w:val="1"/>
          <w:sz w:val="14"/>
        </w:rPr>
        <w:t xml:space="preserve"> </w:t>
      </w:r>
      <w:r>
        <w:rPr>
          <w:color w:val="231F20"/>
        </w:rPr>
        <w:t>Oprávněná osoba poskytne poskytovateli asistence potřebnou součinnost, zejména</w:t>
      </w:r>
      <w:r>
        <w:rPr>
          <w:color w:val="231F20"/>
          <w:spacing w:val="-25"/>
        </w:rPr>
        <w:t xml:space="preserve"> </w:t>
      </w:r>
      <w:r>
        <w:rPr>
          <w:color w:val="231F20"/>
        </w:rPr>
        <w:t>sdělí</w:t>
      </w:r>
      <w:r>
        <w:rPr>
          <w:color w:val="231F20"/>
          <w:spacing w:val="-25"/>
        </w:rPr>
        <w:t xml:space="preserve"> </w:t>
      </w:r>
      <w:r>
        <w:rPr>
          <w:color w:val="231F20"/>
        </w:rPr>
        <w:t>své</w:t>
      </w:r>
      <w:r>
        <w:rPr>
          <w:color w:val="231F20"/>
          <w:spacing w:val="-24"/>
        </w:rPr>
        <w:t xml:space="preserve"> </w:t>
      </w:r>
      <w:r>
        <w:rPr>
          <w:color w:val="231F20"/>
        </w:rPr>
        <w:t>jméno</w:t>
      </w:r>
      <w:r>
        <w:rPr>
          <w:color w:val="231F20"/>
          <w:spacing w:val="-25"/>
        </w:rPr>
        <w:t xml:space="preserve"> </w:t>
      </w:r>
      <w:r>
        <w:rPr>
          <w:color w:val="231F20"/>
        </w:rPr>
        <w:t>a</w:t>
      </w:r>
      <w:r>
        <w:rPr>
          <w:color w:val="231F20"/>
          <w:spacing w:val="-24"/>
        </w:rPr>
        <w:t xml:space="preserve"> </w:t>
      </w:r>
      <w:r>
        <w:rPr>
          <w:color w:val="231F20"/>
        </w:rPr>
        <w:t>příjmení;</w:t>
      </w:r>
      <w:r>
        <w:rPr>
          <w:color w:val="231F20"/>
          <w:spacing w:val="-25"/>
        </w:rPr>
        <w:t xml:space="preserve"> </w:t>
      </w:r>
      <w:r>
        <w:rPr>
          <w:color w:val="231F20"/>
        </w:rPr>
        <w:t>kontaktní</w:t>
      </w:r>
      <w:r>
        <w:rPr>
          <w:color w:val="231F20"/>
          <w:spacing w:val="-25"/>
        </w:rPr>
        <w:t xml:space="preserve"> </w:t>
      </w:r>
      <w:r>
        <w:rPr>
          <w:color w:val="231F20"/>
        </w:rPr>
        <w:t>telefonní</w:t>
      </w:r>
      <w:r>
        <w:rPr>
          <w:color w:val="231F20"/>
          <w:spacing w:val="-24"/>
        </w:rPr>
        <w:t xml:space="preserve"> </w:t>
      </w:r>
      <w:r>
        <w:rPr>
          <w:color w:val="231F20"/>
        </w:rPr>
        <w:t>číslo;</w:t>
      </w:r>
      <w:r>
        <w:rPr>
          <w:color w:val="231F20"/>
          <w:spacing w:val="-25"/>
        </w:rPr>
        <w:t xml:space="preserve"> </w:t>
      </w:r>
      <w:r>
        <w:rPr>
          <w:color w:val="231F20"/>
        </w:rPr>
        <w:t>jméno</w:t>
      </w:r>
      <w:r>
        <w:rPr>
          <w:color w:val="231F20"/>
          <w:spacing w:val="-24"/>
        </w:rPr>
        <w:t xml:space="preserve"> </w:t>
      </w:r>
      <w:r>
        <w:rPr>
          <w:color w:val="231F20"/>
        </w:rPr>
        <w:t>a</w:t>
      </w:r>
      <w:r>
        <w:rPr>
          <w:color w:val="231F20"/>
          <w:spacing w:val="-25"/>
        </w:rPr>
        <w:t xml:space="preserve"> </w:t>
      </w:r>
      <w:r>
        <w:rPr>
          <w:color w:val="231F20"/>
        </w:rPr>
        <w:t>příjmení, nebo</w:t>
      </w:r>
      <w:r>
        <w:rPr>
          <w:color w:val="231F20"/>
          <w:spacing w:val="-5"/>
        </w:rPr>
        <w:t xml:space="preserve"> </w:t>
      </w:r>
      <w:r>
        <w:rPr>
          <w:color w:val="231F20"/>
        </w:rPr>
        <w:t>název</w:t>
      </w:r>
      <w:r>
        <w:rPr>
          <w:color w:val="231F20"/>
          <w:spacing w:val="-5"/>
        </w:rPr>
        <w:t xml:space="preserve"> </w:t>
      </w:r>
      <w:r>
        <w:rPr>
          <w:color w:val="231F20"/>
        </w:rPr>
        <w:t>pojištěného</w:t>
      </w:r>
      <w:r>
        <w:rPr>
          <w:color w:val="231F20"/>
          <w:spacing w:val="-4"/>
        </w:rPr>
        <w:t xml:space="preserve"> </w:t>
      </w:r>
      <w:r>
        <w:rPr>
          <w:color w:val="231F20"/>
        </w:rPr>
        <w:t>a</w:t>
      </w:r>
      <w:r>
        <w:rPr>
          <w:color w:val="231F20"/>
          <w:spacing w:val="-5"/>
        </w:rPr>
        <w:t xml:space="preserve"> </w:t>
      </w:r>
      <w:r>
        <w:rPr>
          <w:color w:val="231F20"/>
        </w:rPr>
        <w:t>pojistníka;</w:t>
      </w:r>
      <w:r>
        <w:rPr>
          <w:color w:val="231F20"/>
          <w:spacing w:val="-5"/>
        </w:rPr>
        <w:t xml:space="preserve"> </w:t>
      </w:r>
      <w:r>
        <w:rPr>
          <w:color w:val="231F20"/>
        </w:rPr>
        <w:t>číslo</w:t>
      </w:r>
      <w:r>
        <w:rPr>
          <w:color w:val="231F20"/>
          <w:spacing w:val="-4"/>
        </w:rPr>
        <w:t xml:space="preserve"> </w:t>
      </w:r>
      <w:r>
        <w:rPr>
          <w:color w:val="231F20"/>
        </w:rPr>
        <w:t>pojistné</w:t>
      </w:r>
      <w:r>
        <w:rPr>
          <w:color w:val="231F20"/>
          <w:spacing w:val="-5"/>
        </w:rPr>
        <w:t xml:space="preserve"> </w:t>
      </w:r>
      <w:r>
        <w:rPr>
          <w:color w:val="231F20"/>
        </w:rPr>
        <w:t>smlouvy;</w:t>
      </w:r>
      <w:r>
        <w:rPr>
          <w:color w:val="231F20"/>
          <w:spacing w:val="-5"/>
        </w:rPr>
        <w:t xml:space="preserve"> </w:t>
      </w:r>
      <w:r>
        <w:rPr>
          <w:color w:val="231F20"/>
        </w:rPr>
        <w:t>tovární</w:t>
      </w:r>
      <w:r>
        <w:rPr>
          <w:color w:val="231F20"/>
          <w:spacing w:val="-4"/>
        </w:rPr>
        <w:t xml:space="preserve"> </w:t>
      </w:r>
      <w:r>
        <w:rPr>
          <w:color w:val="231F20"/>
        </w:rPr>
        <w:t>značku, typ</w:t>
      </w:r>
      <w:r>
        <w:rPr>
          <w:color w:val="231F20"/>
          <w:spacing w:val="-11"/>
        </w:rPr>
        <w:t xml:space="preserve"> </w:t>
      </w:r>
      <w:r>
        <w:rPr>
          <w:color w:val="231F20"/>
        </w:rPr>
        <w:t>(model)</w:t>
      </w:r>
      <w:r>
        <w:rPr>
          <w:color w:val="231F20"/>
          <w:spacing w:val="-11"/>
        </w:rPr>
        <w:t xml:space="preserve"> </w:t>
      </w:r>
      <w:r>
        <w:rPr>
          <w:color w:val="231F20"/>
        </w:rPr>
        <w:t>a</w:t>
      </w:r>
      <w:r>
        <w:rPr>
          <w:color w:val="231F20"/>
          <w:spacing w:val="-11"/>
        </w:rPr>
        <w:t xml:space="preserve"> </w:t>
      </w:r>
      <w:r>
        <w:rPr>
          <w:color w:val="231F20"/>
        </w:rPr>
        <w:t>registrační</w:t>
      </w:r>
      <w:r>
        <w:rPr>
          <w:color w:val="231F20"/>
          <w:spacing w:val="-10"/>
        </w:rPr>
        <w:t xml:space="preserve"> </w:t>
      </w:r>
      <w:r>
        <w:rPr>
          <w:color w:val="231F20"/>
        </w:rPr>
        <w:t>značku</w:t>
      </w:r>
      <w:r>
        <w:rPr>
          <w:color w:val="231F20"/>
          <w:spacing w:val="-11"/>
        </w:rPr>
        <w:t xml:space="preserve"> </w:t>
      </w:r>
      <w:r>
        <w:rPr>
          <w:color w:val="231F20"/>
        </w:rPr>
        <w:t>pojištěného</w:t>
      </w:r>
      <w:r>
        <w:rPr>
          <w:color w:val="231F20"/>
          <w:spacing w:val="-11"/>
        </w:rPr>
        <w:t xml:space="preserve"> </w:t>
      </w:r>
      <w:r>
        <w:rPr>
          <w:color w:val="231F20"/>
        </w:rPr>
        <w:t>vozidla;</w:t>
      </w:r>
      <w:r>
        <w:rPr>
          <w:color w:val="231F20"/>
          <w:spacing w:val="-10"/>
        </w:rPr>
        <w:t xml:space="preserve"> </w:t>
      </w:r>
      <w:r>
        <w:rPr>
          <w:color w:val="231F20"/>
        </w:rPr>
        <w:t>místo</w:t>
      </w:r>
      <w:r>
        <w:rPr>
          <w:color w:val="231F20"/>
          <w:spacing w:val="-11"/>
        </w:rPr>
        <w:t xml:space="preserve"> </w:t>
      </w:r>
      <w:r>
        <w:rPr>
          <w:color w:val="231F20"/>
        </w:rPr>
        <w:t>a</w:t>
      </w:r>
      <w:r>
        <w:rPr>
          <w:color w:val="231F20"/>
          <w:spacing w:val="-11"/>
        </w:rPr>
        <w:t xml:space="preserve"> </w:t>
      </w:r>
      <w:r>
        <w:rPr>
          <w:color w:val="231F20"/>
        </w:rPr>
        <w:t>čas</w:t>
      </w:r>
      <w:r>
        <w:rPr>
          <w:color w:val="231F20"/>
          <w:spacing w:val="-10"/>
        </w:rPr>
        <w:t xml:space="preserve"> </w:t>
      </w:r>
      <w:r>
        <w:rPr>
          <w:color w:val="231F20"/>
        </w:rPr>
        <w:t>vzniku</w:t>
      </w:r>
      <w:r>
        <w:rPr>
          <w:color w:val="231F20"/>
          <w:spacing w:val="-11"/>
        </w:rPr>
        <w:t xml:space="preserve"> </w:t>
      </w:r>
      <w:r>
        <w:rPr>
          <w:color w:val="231F20"/>
          <w:spacing w:val="-3"/>
        </w:rPr>
        <w:t xml:space="preserve">udá- </w:t>
      </w:r>
      <w:r>
        <w:rPr>
          <w:color w:val="231F20"/>
        </w:rPr>
        <w:t>losti</w:t>
      </w:r>
      <w:r>
        <w:rPr>
          <w:color w:val="231F20"/>
          <w:spacing w:val="-15"/>
        </w:rPr>
        <w:t xml:space="preserve"> </w:t>
      </w:r>
      <w:r>
        <w:rPr>
          <w:color w:val="231F20"/>
        </w:rPr>
        <w:t>a</w:t>
      </w:r>
      <w:r>
        <w:rPr>
          <w:color w:val="231F20"/>
          <w:spacing w:val="-14"/>
        </w:rPr>
        <w:t xml:space="preserve"> </w:t>
      </w:r>
      <w:r>
        <w:rPr>
          <w:color w:val="231F20"/>
        </w:rPr>
        <w:t>důvod</w:t>
      </w:r>
      <w:r>
        <w:rPr>
          <w:color w:val="231F20"/>
          <w:spacing w:val="-14"/>
        </w:rPr>
        <w:t xml:space="preserve"> </w:t>
      </w:r>
      <w:r>
        <w:rPr>
          <w:color w:val="231F20"/>
        </w:rPr>
        <w:t>nepojízdnosti</w:t>
      </w:r>
      <w:r>
        <w:rPr>
          <w:color w:val="231F20"/>
          <w:spacing w:val="-14"/>
        </w:rPr>
        <w:t xml:space="preserve"> </w:t>
      </w:r>
      <w:r>
        <w:rPr>
          <w:color w:val="231F20"/>
        </w:rPr>
        <w:t>vozidla;</w:t>
      </w:r>
      <w:r>
        <w:rPr>
          <w:color w:val="231F20"/>
          <w:spacing w:val="-14"/>
        </w:rPr>
        <w:t xml:space="preserve"> </w:t>
      </w:r>
      <w:r>
        <w:rPr>
          <w:color w:val="231F20"/>
        </w:rPr>
        <w:t>případně</w:t>
      </w:r>
      <w:r>
        <w:rPr>
          <w:color w:val="231F20"/>
          <w:spacing w:val="-15"/>
        </w:rPr>
        <w:t xml:space="preserve"> </w:t>
      </w:r>
      <w:r>
        <w:rPr>
          <w:color w:val="231F20"/>
        </w:rPr>
        <w:t>další</w:t>
      </w:r>
      <w:r>
        <w:rPr>
          <w:color w:val="231F20"/>
          <w:spacing w:val="-14"/>
        </w:rPr>
        <w:t xml:space="preserve"> </w:t>
      </w:r>
      <w:r>
        <w:rPr>
          <w:color w:val="231F20"/>
        </w:rPr>
        <w:t>skutečnosti</w:t>
      </w:r>
      <w:r>
        <w:rPr>
          <w:color w:val="231F20"/>
          <w:spacing w:val="-14"/>
        </w:rPr>
        <w:t xml:space="preserve"> </w:t>
      </w:r>
      <w:r>
        <w:rPr>
          <w:color w:val="231F20"/>
        </w:rPr>
        <w:t>důležité</w:t>
      </w:r>
      <w:r>
        <w:rPr>
          <w:color w:val="231F20"/>
          <w:spacing w:val="-14"/>
        </w:rPr>
        <w:t xml:space="preserve"> </w:t>
      </w:r>
      <w:r>
        <w:rPr>
          <w:color w:val="231F20"/>
        </w:rPr>
        <w:t>pro</w:t>
      </w:r>
      <w:r>
        <w:rPr>
          <w:color w:val="231F20"/>
          <w:spacing w:val="-15"/>
        </w:rPr>
        <w:t xml:space="preserve"> </w:t>
      </w:r>
      <w:r>
        <w:rPr>
          <w:color w:val="231F20"/>
          <w:spacing w:val="-7"/>
        </w:rPr>
        <w:t xml:space="preserve">ur- </w:t>
      </w:r>
      <w:r>
        <w:rPr>
          <w:color w:val="231F20"/>
        </w:rPr>
        <w:t>čení</w:t>
      </w:r>
      <w:r>
        <w:rPr>
          <w:color w:val="231F20"/>
          <w:spacing w:val="-6"/>
        </w:rPr>
        <w:t xml:space="preserve"> </w:t>
      </w:r>
      <w:r>
        <w:rPr>
          <w:color w:val="231F20"/>
        </w:rPr>
        <w:t>nejvhodnějšího</w:t>
      </w:r>
      <w:r>
        <w:rPr>
          <w:color w:val="231F20"/>
          <w:spacing w:val="-6"/>
        </w:rPr>
        <w:t xml:space="preserve"> </w:t>
      </w:r>
      <w:r>
        <w:rPr>
          <w:color w:val="231F20"/>
        </w:rPr>
        <w:t>postupu</w:t>
      </w:r>
      <w:r>
        <w:rPr>
          <w:color w:val="231F20"/>
          <w:spacing w:val="-5"/>
        </w:rPr>
        <w:t xml:space="preserve"> </w:t>
      </w:r>
      <w:r>
        <w:rPr>
          <w:color w:val="231F20"/>
        </w:rPr>
        <w:t>při</w:t>
      </w:r>
      <w:r>
        <w:rPr>
          <w:color w:val="231F20"/>
          <w:spacing w:val="-6"/>
        </w:rPr>
        <w:t xml:space="preserve"> </w:t>
      </w:r>
      <w:r>
        <w:rPr>
          <w:color w:val="231F20"/>
        </w:rPr>
        <w:t>poskytnutí</w:t>
      </w:r>
      <w:r>
        <w:rPr>
          <w:color w:val="231F20"/>
          <w:spacing w:val="-5"/>
        </w:rPr>
        <w:t xml:space="preserve"> </w:t>
      </w:r>
      <w:r>
        <w:rPr>
          <w:color w:val="231F20"/>
        </w:rPr>
        <w:t>asistenčních</w:t>
      </w:r>
      <w:r>
        <w:rPr>
          <w:color w:val="231F20"/>
          <w:spacing w:val="-6"/>
        </w:rPr>
        <w:t xml:space="preserve"> </w:t>
      </w:r>
      <w:r>
        <w:rPr>
          <w:color w:val="231F20"/>
        </w:rPr>
        <w:t>služeb.</w:t>
      </w:r>
    </w:p>
    <w:p w14:paraId="48D2222D"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11"/>
          <w:position w:val="1"/>
          <w:sz w:val="14"/>
        </w:rPr>
        <w:t xml:space="preserve"> </w:t>
      </w:r>
      <w:r>
        <w:rPr>
          <w:color w:val="231F20"/>
        </w:rPr>
        <w:t>Oprávněná</w:t>
      </w:r>
      <w:r>
        <w:rPr>
          <w:color w:val="231F20"/>
          <w:spacing w:val="-19"/>
        </w:rPr>
        <w:t xml:space="preserve"> </w:t>
      </w:r>
      <w:r>
        <w:rPr>
          <w:color w:val="231F20"/>
        </w:rPr>
        <w:t>osoba</w:t>
      </w:r>
      <w:r>
        <w:rPr>
          <w:color w:val="231F20"/>
          <w:spacing w:val="-19"/>
        </w:rPr>
        <w:t xml:space="preserve"> </w:t>
      </w:r>
      <w:r>
        <w:rPr>
          <w:color w:val="231F20"/>
        </w:rPr>
        <w:t>na</w:t>
      </w:r>
      <w:r>
        <w:rPr>
          <w:color w:val="231F20"/>
          <w:spacing w:val="-19"/>
        </w:rPr>
        <w:t xml:space="preserve"> </w:t>
      </w:r>
      <w:r>
        <w:rPr>
          <w:color w:val="231F20"/>
        </w:rPr>
        <w:t>místě</w:t>
      </w:r>
      <w:r>
        <w:rPr>
          <w:color w:val="231F20"/>
          <w:spacing w:val="-19"/>
        </w:rPr>
        <w:t xml:space="preserve"> </w:t>
      </w:r>
      <w:r>
        <w:rPr>
          <w:color w:val="231F20"/>
        </w:rPr>
        <w:t>asistenčního</w:t>
      </w:r>
      <w:r>
        <w:rPr>
          <w:color w:val="231F20"/>
          <w:spacing w:val="-19"/>
        </w:rPr>
        <w:t xml:space="preserve"> </w:t>
      </w:r>
      <w:r>
        <w:rPr>
          <w:color w:val="231F20"/>
        </w:rPr>
        <w:t>zásahu</w:t>
      </w:r>
      <w:r>
        <w:rPr>
          <w:color w:val="231F20"/>
          <w:spacing w:val="-19"/>
        </w:rPr>
        <w:t xml:space="preserve"> </w:t>
      </w:r>
      <w:r>
        <w:rPr>
          <w:color w:val="231F20"/>
        </w:rPr>
        <w:t>při</w:t>
      </w:r>
      <w:r>
        <w:rPr>
          <w:color w:val="231F20"/>
          <w:spacing w:val="-19"/>
        </w:rPr>
        <w:t xml:space="preserve"> </w:t>
      </w:r>
      <w:r>
        <w:rPr>
          <w:color w:val="231F20"/>
        </w:rPr>
        <w:t>poskytnutí</w:t>
      </w:r>
      <w:r>
        <w:rPr>
          <w:color w:val="231F20"/>
          <w:spacing w:val="-19"/>
        </w:rPr>
        <w:t xml:space="preserve"> </w:t>
      </w:r>
      <w:r>
        <w:rPr>
          <w:color w:val="231F20"/>
        </w:rPr>
        <w:t>asistenční</w:t>
      </w:r>
      <w:r>
        <w:rPr>
          <w:color w:val="231F20"/>
          <w:spacing w:val="-19"/>
        </w:rPr>
        <w:t xml:space="preserve"> </w:t>
      </w:r>
      <w:r>
        <w:rPr>
          <w:color w:val="231F20"/>
          <w:spacing w:val="-3"/>
        </w:rPr>
        <w:t xml:space="preserve">služ- </w:t>
      </w:r>
      <w:r>
        <w:rPr>
          <w:color w:val="231F20"/>
        </w:rPr>
        <w:t>by potvrdí na zakázkovém listě, případně na vystaveném daňovém</w:t>
      </w:r>
      <w:r>
        <w:rPr>
          <w:color w:val="231F20"/>
          <w:spacing w:val="-23"/>
        </w:rPr>
        <w:t xml:space="preserve"> </w:t>
      </w:r>
      <w:r>
        <w:rPr>
          <w:color w:val="231F20"/>
        </w:rPr>
        <w:t>dokladu rozsah a cenu poskytnuté</w:t>
      </w:r>
      <w:r>
        <w:rPr>
          <w:color w:val="231F20"/>
          <w:spacing w:val="-5"/>
        </w:rPr>
        <w:t xml:space="preserve"> </w:t>
      </w:r>
      <w:r>
        <w:rPr>
          <w:color w:val="231F20"/>
        </w:rPr>
        <w:t>služby.</w:t>
      </w:r>
    </w:p>
    <w:p w14:paraId="4075F27D"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spacing w:val="24"/>
          <w:position w:val="1"/>
          <w:sz w:val="14"/>
        </w:rPr>
        <w:t xml:space="preserve"> </w:t>
      </w:r>
      <w:r>
        <w:rPr>
          <w:color w:val="231F20"/>
        </w:rPr>
        <w:t xml:space="preserve">Asistenční služby a pojistné plnění jsou poskytovány </w:t>
      </w:r>
      <w:r>
        <w:rPr>
          <w:color w:val="231F20"/>
          <w:spacing w:val="2"/>
        </w:rPr>
        <w:t xml:space="preserve">maximálně </w:t>
      </w:r>
      <w:r>
        <w:rPr>
          <w:color w:val="231F20"/>
        </w:rPr>
        <w:t>do rozsahu a</w:t>
      </w:r>
      <w:r>
        <w:rPr>
          <w:color w:val="231F20"/>
          <w:spacing w:val="-12"/>
        </w:rPr>
        <w:t xml:space="preserve"> </w:t>
      </w:r>
      <w:r>
        <w:rPr>
          <w:color w:val="231F20"/>
        </w:rPr>
        <w:t>limitů</w:t>
      </w:r>
      <w:r>
        <w:rPr>
          <w:color w:val="231F20"/>
          <w:spacing w:val="-11"/>
        </w:rPr>
        <w:t xml:space="preserve"> </w:t>
      </w:r>
      <w:r>
        <w:rPr>
          <w:color w:val="231F20"/>
        </w:rPr>
        <w:t>uvedených</w:t>
      </w:r>
      <w:r>
        <w:rPr>
          <w:color w:val="231F20"/>
          <w:spacing w:val="-12"/>
        </w:rPr>
        <w:t xml:space="preserve"> </w:t>
      </w:r>
      <w:r>
        <w:rPr>
          <w:color w:val="231F20"/>
        </w:rPr>
        <w:t>v</w:t>
      </w:r>
      <w:r>
        <w:rPr>
          <w:color w:val="231F20"/>
          <w:spacing w:val="-11"/>
        </w:rPr>
        <w:t xml:space="preserve"> </w:t>
      </w:r>
      <w:r>
        <w:rPr>
          <w:color w:val="231F20"/>
        </w:rPr>
        <w:t>tabulkách</w:t>
      </w:r>
      <w:r>
        <w:rPr>
          <w:color w:val="231F20"/>
          <w:spacing w:val="-12"/>
        </w:rPr>
        <w:t xml:space="preserve"> </w:t>
      </w:r>
      <w:r>
        <w:rPr>
          <w:color w:val="231F20"/>
        </w:rPr>
        <w:t>Rozsah</w:t>
      </w:r>
      <w:r>
        <w:rPr>
          <w:color w:val="231F20"/>
          <w:spacing w:val="-11"/>
        </w:rPr>
        <w:t xml:space="preserve"> </w:t>
      </w:r>
      <w:r>
        <w:rPr>
          <w:color w:val="231F20"/>
        </w:rPr>
        <w:t>a</w:t>
      </w:r>
      <w:r>
        <w:rPr>
          <w:color w:val="231F20"/>
          <w:spacing w:val="-11"/>
        </w:rPr>
        <w:t xml:space="preserve"> </w:t>
      </w:r>
      <w:r>
        <w:rPr>
          <w:color w:val="231F20"/>
          <w:spacing w:val="2"/>
        </w:rPr>
        <w:t>limity</w:t>
      </w:r>
      <w:r>
        <w:rPr>
          <w:color w:val="231F20"/>
          <w:spacing w:val="-12"/>
        </w:rPr>
        <w:t xml:space="preserve"> </w:t>
      </w:r>
      <w:r>
        <w:rPr>
          <w:color w:val="231F20"/>
        </w:rPr>
        <w:t>asistenčních</w:t>
      </w:r>
      <w:r>
        <w:rPr>
          <w:color w:val="231F20"/>
          <w:spacing w:val="-11"/>
        </w:rPr>
        <w:t xml:space="preserve"> </w:t>
      </w:r>
      <w:r>
        <w:rPr>
          <w:color w:val="231F20"/>
        </w:rPr>
        <w:t>služeb</w:t>
      </w:r>
      <w:r>
        <w:rPr>
          <w:color w:val="231F20"/>
          <w:spacing w:val="-12"/>
        </w:rPr>
        <w:t xml:space="preserve"> </w:t>
      </w:r>
      <w:r>
        <w:rPr>
          <w:color w:val="231F20"/>
        </w:rPr>
        <w:t>(hodnoty včetně DPH) určených pro sjednanou variantu</w:t>
      </w:r>
      <w:r>
        <w:rPr>
          <w:color w:val="231F20"/>
          <w:spacing w:val="8"/>
        </w:rPr>
        <w:t xml:space="preserve"> </w:t>
      </w:r>
      <w:r>
        <w:rPr>
          <w:color w:val="231F20"/>
        </w:rPr>
        <w:t>asistence.</w:t>
      </w:r>
    </w:p>
    <w:p w14:paraId="07E46C99" w14:textId="77777777" w:rsidR="00F65BCA" w:rsidRDefault="00000000">
      <w:pPr>
        <w:pStyle w:val="Zkladntext"/>
        <w:spacing w:line="278" w:lineRule="auto"/>
        <w:ind w:left="467" w:right="421" w:hanging="1"/>
        <w:jc w:val="both"/>
      </w:pPr>
      <w:r>
        <w:pict w14:anchorId="0D0F8BD3">
          <v:group id="_x0000_s2229" style="position:absolute;left:0;text-align:left;margin-left:303.4pt;margin-top:.05pt;width:9.65pt;height:8.55pt;z-index:251893760;mso-position-horizontal-relative:page" coordorigin="6068,1" coordsize="193,171">
            <v:rect id="_x0000_s2231" style="position:absolute;left:6067;width:193;height:171" fillcolor="#d1d3d4" stroked="f"/>
            <v:shape id="_x0000_s2230" type="#_x0000_t202" style="position:absolute;left:6067;width:193;height:171" filled="f" stroked="f">
              <v:textbox inset="0,0,0,0">
                <w:txbxContent>
                  <w:p w14:paraId="6C88610D" w14:textId="77777777" w:rsidR="00F65BCA" w:rsidRDefault="00216117">
                    <w:pPr>
                      <w:spacing w:before="2"/>
                      <w:ind w:left="56"/>
                      <w:rPr>
                        <w:sz w:val="14"/>
                      </w:rPr>
                    </w:pPr>
                    <w:r>
                      <w:rPr>
                        <w:color w:val="231F20"/>
                        <w:w w:val="99"/>
                        <w:sz w:val="14"/>
                      </w:rPr>
                      <w:t>6</w:t>
                    </w:r>
                  </w:p>
                </w:txbxContent>
              </v:textbox>
            </v:shape>
            <w10:wrap anchorx="page"/>
          </v:group>
        </w:pict>
      </w:r>
      <w:r w:rsidR="00216117">
        <w:rPr>
          <w:color w:val="231F20"/>
        </w:rPr>
        <w:t>Pokud</w:t>
      </w:r>
      <w:r w:rsidR="00216117">
        <w:rPr>
          <w:color w:val="231F20"/>
          <w:spacing w:val="-13"/>
        </w:rPr>
        <w:t xml:space="preserve"> </w:t>
      </w:r>
      <w:r w:rsidR="00216117">
        <w:rPr>
          <w:color w:val="231F20"/>
        </w:rPr>
        <w:t>nebylo</w:t>
      </w:r>
      <w:r w:rsidR="00216117">
        <w:rPr>
          <w:color w:val="231F20"/>
          <w:spacing w:val="-12"/>
        </w:rPr>
        <w:t xml:space="preserve"> </w:t>
      </w:r>
      <w:r w:rsidR="00216117">
        <w:rPr>
          <w:color w:val="231F20"/>
        </w:rPr>
        <w:t>pojistné</w:t>
      </w:r>
      <w:r w:rsidR="00216117">
        <w:rPr>
          <w:color w:val="231F20"/>
          <w:spacing w:val="-12"/>
        </w:rPr>
        <w:t xml:space="preserve"> </w:t>
      </w:r>
      <w:r w:rsidR="00216117">
        <w:rPr>
          <w:color w:val="231F20"/>
        </w:rPr>
        <w:t>plnění</w:t>
      </w:r>
      <w:r w:rsidR="00216117">
        <w:rPr>
          <w:color w:val="231F20"/>
          <w:spacing w:val="-12"/>
        </w:rPr>
        <w:t xml:space="preserve"> </w:t>
      </w:r>
      <w:r w:rsidR="00216117">
        <w:rPr>
          <w:color w:val="231F20"/>
          <w:spacing w:val="2"/>
        </w:rPr>
        <w:t>poskytnuto</w:t>
      </w:r>
      <w:r w:rsidR="00216117">
        <w:rPr>
          <w:color w:val="231F20"/>
          <w:spacing w:val="-13"/>
        </w:rPr>
        <w:t xml:space="preserve"> </w:t>
      </w:r>
      <w:r w:rsidR="00216117">
        <w:rPr>
          <w:color w:val="231F20"/>
        </w:rPr>
        <w:t>formou</w:t>
      </w:r>
      <w:r w:rsidR="00216117">
        <w:rPr>
          <w:color w:val="231F20"/>
          <w:spacing w:val="-12"/>
        </w:rPr>
        <w:t xml:space="preserve"> </w:t>
      </w:r>
      <w:r w:rsidR="00216117">
        <w:rPr>
          <w:color w:val="231F20"/>
        </w:rPr>
        <w:t>asistenčních</w:t>
      </w:r>
      <w:r w:rsidR="00216117">
        <w:rPr>
          <w:color w:val="231F20"/>
          <w:spacing w:val="-12"/>
        </w:rPr>
        <w:t xml:space="preserve"> </w:t>
      </w:r>
      <w:r w:rsidR="00216117">
        <w:rPr>
          <w:color w:val="231F20"/>
        </w:rPr>
        <w:t>služeb</w:t>
      </w:r>
      <w:r w:rsidR="00216117">
        <w:rPr>
          <w:color w:val="231F20"/>
          <w:spacing w:val="-12"/>
        </w:rPr>
        <w:t xml:space="preserve"> </w:t>
      </w:r>
      <w:r w:rsidR="00216117">
        <w:rPr>
          <w:color w:val="231F20"/>
        </w:rPr>
        <w:t>v</w:t>
      </w:r>
      <w:r w:rsidR="00216117">
        <w:rPr>
          <w:color w:val="231F20"/>
          <w:spacing w:val="-13"/>
        </w:rPr>
        <w:t xml:space="preserve"> </w:t>
      </w:r>
      <w:r w:rsidR="00216117">
        <w:rPr>
          <w:color w:val="231F20"/>
        </w:rPr>
        <w:t xml:space="preserve">čase, </w:t>
      </w:r>
      <w:r w:rsidR="00216117">
        <w:rPr>
          <w:color w:val="231F20"/>
          <w:spacing w:val="3"/>
        </w:rPr>
        <w:t xml:space="preserve">který </w:t>
      </w:r>
      <w:r w:rsidR="00216117">
        <w:rPr>
          <w:color w:val="231F20"/>
        </w:rPr>
        <w:t>pojištěnému sdělil poskytovatel asistence, může si pojištěný po před- chozí</w:t>
      </w:r>
      <w:r w:rsidR="00216117">
        <w:rPr>
          <w:color w:val="231F20"/>
          <w:spacing w:val="-12"/>
        </w:rPr>
        <w:t xml:space="preserve"> </w:t>
      </w:r>
      <w:r w:rsidR="00216117">
        <w:rPr>
          <w:color w:val="231F20"/>
        </w:rPr>
        <w:t>dohodě</w:t>
      </w:r>
      <w:r w:rsidR="00216117">
        <w:rPr>
          <w:color w:val="231F20"/>
          <w:spacing w:val="-11"/>
        </w:rPr>
        <w:t xml:space="preserve"> </w:t>
      </w:r>
      <w:r w:rsidR="00216117">
        <w:rPr>
          <w:color w:val="231F20"/>
        </w:rPr>
        <w:t>s</w:t>
      </w:r>
      <w:r w:rsidR="00216117">
        <w:rPr>
          <w:color w:val="231F20"/>
          <w:spacing w:val="-11"/>
        </w:rPr>
        <w:t xml:space="preserve"> </w:t>
      </w:r>
      <w:r w:rsidR="00216117">
        <w:rPr>
          <w:color w:val="231F20"/>
        </w:rPr>
        <w:t>poskytovatelem</w:t>
      </w:r>
      <w:r w:rsidR="00216117">
        <w:rPr>
          <w:color w:val="231F20"/>
          <w:spacing w:val="-12"/>
        </w:rPr>
        <w:t xml:space="preserve"> </w:t>
      </w:r>
      <w:r w:rsidR="00216117">
        <w:rPr>
          <w:color w:val="231F20"/>
        </w:rPr>
        <w:t>asistence</w:t>
      </w:r>
      <w:r w:rsidR="00216117">
        <w:rPr>
          <w:color w:val="231F20"/>
          <w:spacing w:val="-11"/>
        </w:rPr>
        <w:t xml:space="preserve"> </w:t>
      </w:r>
      <w:r w:rsidR="00216117">
        <w:rPr>
          <w:color w:val="231F20"/>
        </w:rPr>
        <w:t>zajistit</w:t>
      </w:r>
      <w:r w:rsidR="00216117">
        <w:rPr>
          <w:color w:val="231F20"/>
          <w:spacing w:val="-11"/>
        </w:rPr>
        <w:t xml:space="preserve"> </w:t>
      </w:r>
      <w:r w:rsidR="00216117">
        <w:rPr>
          <w:color w:val="231F20"/>
          <w:spacing w:val="2"/>
        </w:rPr>
        <w:t>vlastního</w:t>
      </w:r>
      <w:r w:rsidR="00216117">
        <w:rPr>
          <w:color w:val="231F20"/>
          <w:spacing w:val="-12"/>
        </w:rPr>
        <w:t xml:space="preserve"> </w:t>
      </w:r>
      <w:r w:rsidR="00216117">
        <w:rPr>
          <w:color w:val="231F20"/>
        </w:rPr>
        <w:t>dodavatele.</w:t>
      </w:r>
      <w:r w:rsidR="00216117">
        <w:rPr>
          <w:color w:val="231F20"/>
          <w:spacing w:val="-11"/>
        </w:rPr>
        <w:t xml:space="preserve"> </w:t>
      </w:r>
      <w:r w:rsidR="00216117">
        <w:rPr>
          <w:color w:val="231F20"/>
        </w:rPr>
        <w:t>V</w:t>
      </w:r>
      <w:r w:rsidR="00216117">
        <w:rPr>
          <w:color w:val="231F20"/>
          <w:spacing w:val="-11"/>
        </w:rPr>
        <w:t xml:space="preserve"> </w:t>
      </w:r>
      <w:r w:rsidR="00216117">
        <w:rPr>
          <w:color w:val="231F20"/>
        </w:rPr>
        <w:t>ta- kovém</w:t>
      </w:r>
      <w:r w:rsidR="00216117">
        <w:rPr>
          <w:color w:val="231F20"/>
          <w:spacing w:val="-23"/>
        </w:rPr>
        <w:t xml:space="preserve"> </w:t>
      </w:r>
      <w:r w:rsidR="00216117">
        <w:rPr>
          <w:color w:val="231F20"/>
        </w:rPr>
        <w:t>případě</w:t>
      </w:r>
      <w:r w:rsidR="00216117">
        <w:rPr>
          <w:color w:val="231F20"/>
          <w:spacing w:val="-23"/>
        </w:rPr>
        <w:t xml:space="preserve"> </w:t>
      </w:r>
      <w:r w:rsidR="00216117">
        <w:rPr>
          <w:color w:val="231F20"/>
        </w:rPr>
        <w:t>Pojišťovna</w:t>
      </w:r>
      <w:r w:rsidR="00216117">
        <w:rPr>
          <w:color w:val="231F20"/>
          <w:spacing w:val="-23"/>
        </w:rPr>
        <w:t xml:space="preserve"> </w:t>
      </w:r>
      <w:r w:rsidR="00216117">
        <w:rPr>
          <w:color w:val="231F20"/>
        </w:rPr>
        <w:t>zaplatí</w:t>
      </w:r>
      <w:r w:rsidR="00216117">
        <w:rPr>
          <w:color w:val="231F20"/>
          <w:spacing w:val="-22"/>
        </w:rPr>
        <w:t xml:space="preserve"> </w:t>
      </w:r>
      <w:r w:rsidR="00216117">
        <w:rPr>
          <w:color w:val="231F20"/>
        </w:rPr>
        <w:t>oprávněné</w:t>
      </w:r>
      <w:r w:rsidR="00216117">
        <w:rPr>
          <w:color w:val="231F20"/>
          <w:spacing w:val="-23"/>
        </w:rPr>
        <w:t xml:space="preserve"> </w:t>
      </w:r>
      <w:r w:rsidR="00216117">
        <w:rPr>
          <w:color w:val="231F20"/>
        </w:rPr>
        <w:t>osobě</w:t>
      </w:r>
      <w:r w:rsidR="00216117">
        <w:rPr>
          <w:color w:val="231F20"/>
          <w:spacing w:val="-23"/>
        </w:rPr>
        <w:t xml:space="preserve"> </w:t>
      </w:r>
      <w:r w:rsidR="00216117">
        <w:rPr>
          <w:color w:val="231F20"/>
        </w:rPr>
        <w:t>peněžité</w:t>
      </w:r>
      <w:r w:rsidR="00216117">
        <w:rPr>
          <w:color w:val="231F20"/>
          <w:spacing w:val="-22"/>
        </w:rPr>
        <w:t xml:space="preserve"> </w:t>
      </w:r>
      <w:r w:rsidR="00216117">
        <w:rPr>
          <w:color w:val="231F20"/>
        </w:rPr>
        <w:t>plnění</w:t>
      </w:r>
      <w:r w:rsidR="00216117">
        <w:rPr>
          <w:color w:val="231F20"/>
          <w:spacing w:val="-23"/>
        </w:rPr>
        <w:t xml:space="preserve"> </w:t>
      </w:r>
      <w:r w:rsidR="00216117">
        <w:rPr>
          <w:color w:val="231F20"/>
        </w:rPr>
        <w:t>za</w:t>
      </w:r>
      <w:r w:rsidR="00216117">
        <w:rPr>
          <w:color w:val="231F20"/>
          <w:spacing w:val="-23"/>
        </w:rPr>
        <w:t xml:space="preserve"> </w:t>
      </w:r>
      <w:r w:rsidR="00216117">
        <w:rPr>
          <w:color w:val="231F20"/>
          <w:spacing w:val="2"/>
        </w:rPr>
        <w:t xml:space="preserve">účelně poskytnuté </w:t>
      </w:r>
      <w:r w:rsidR="00216117">
        <w:rPr>
          <w:color w:val="231F20"/>
        </w:rPr>
        <w:t xml:space="preserve">služby v rozsahu </w:t>
      </w:r>
      <w:r w:rsidR="00216117">
        <w:rPr>
          <w:color w:val="231F20"/>
          <w:spacing w:val="2"/>
        </w:rPr>
        <w:t xml:space="preserve">sjednaného </w:t>
      </w:r>
      <w:r w:rsidR="00216117">
        <w:rPr>
          <w:color w:val="231F20"/>
        </w:rPr>
        <w:t xml:space="preserve">pojištění asistence, </w:t>
      </w:r>
      <w:r w:rsidR="00216117">
        <w:rPr>
          <w:color w:val="231F20"/>
          <w:spacing w:val="2"/>
        </w:rPr>
        <w:t xml:space="preserve">nejvýše </w:t>
      </w:r>
      <w:r w:rsidR="00216117">
        <w:rPr>
          <w:color w:val="231F20"/>
        </w:rPr>
        <w:t>však do</w:t>
      </w:r>
      <w:r w:rsidR="00216117">
        <w:rPr>
          <w:color w:val="231F20"/>
          <w:spacing w:val="-14"/>
        </w:rPr>
        <w:t xml:space="preserve"> </w:t>
      </w:r>
      <w:r w:rsidR="00216117">
        <w:rPr>
          <w:color w:val="231F20"/>
          <w:spacing w:val="2"/>
        </w:rPr>
        <w:t>výše</w:t>
      </w:r>
      <w:r w:rsidR="00216117">
        <w:rPr>
          <w:color w:val="231F20"/>
          <w:spacing w:val="-13"/>
        </w:rPr>
        <w:t xml:space="preserve"> </w:t>
      </w:r>
      <w:r w:rsidR="00216117">
        <w:rPr>
          <w:color w:val="231F20"/>
        </w:rPr>
        <w:t>limitů</w:t>
      </w:r>
      <w:r w:rsidR="00216117">
        <w:rPr>
          <w:color w:val="231F20"/>
          <w:spacing w:val="-14"/>
        </w:rPr>
        <w:t xml:space="preserve"> </w:t>
      </w:r>
      <w:r w:rsidR="00216117">
        <w:rPr>
          <w:color w:val="231F20"/>
        </w:rPr>
        <w:t>pojistného</w:t>
      </w:r>
      <w:r w:rsidR="00216117">
        <w:rPr>
          <w:color w:val="231F20"/>
          <w:spacing w:val="-13"/>
        </w:rPr>
        <w:t xml:space="preserve"> </w:t>
      </w:r>
      <w:r w:rsidR="00216117">
        <w:rPr>
          <w:color w:val="231F20"/>
        </w:rPr>
        <w:t>plnění.</w:t>
      </w:r>
      <w:r w:rsidR="00216117">
        <w:rPr>
          <w:color w:val="231F20"/>
          <w:spacing w:val="-14"/>
        </w:rPr>
        <w:t xml:space="preserve"> </w:t>
      </w:r>
      <w:r w:rsidR="00216117">
        <w:rPr>
          <w:color w:val="231F20"/>
        </w:rPr>
        <w:t>Celkové</w:t>
      </w:r>
      <w:r w:rsidR="00216117">
        <w:rPr>
          <w:color w:val="231F20"/>
          <w:spacing w:val="-13"/>
        </w:rPr>
        <w:t xml:space="preserve"> </w:t>
      </w:r>
      <w:r w:rsidR="00216117">
        <w:rPr>
          <w:color w:val="231F20"/>
          <w:spacing w:val="2"/>
        </w:rPr>
        <w:t>limity</w:t>
      </w:r>
      <w:r w:rsidR="00216117">
        <w:rPr>
          <w:color w:val="231F20"/>
          <w:spacing w:val="-14"/>
        </w:rPr>
        <w:t xml:space="preserve"> </w:t>
      </w:r>
      <w:r w:rsidR="00216117">
        <w:rPr>
          <w:color w:val="231F20"/>
        </w:rPr>
        <w:t>pojistného</w:t>
      </w:r>
      <w:r w:rsidR="00216117">
        <w:rPr>
          <w:color w:val="231F20"/>
          <w:spacing w:val="-13"/>
        </w:rPr>
        <w:t xml:space="preserve"> </w:t>
      </w:r>
      <w:r w:rsidR="00216117">
        <w:rPr>
          <w:color w:val="231F20"/>
        </w:rPr>
        <w:t>plnění</w:t>
      </w:r>
      <w:r w:rsidR="00216117">
        <w:rPr>
          <w:color w:val="231F20"/>
          <w:spacing w:val="-14"/>
        </w:rPr>
        <w:t xml:space="preserve"> </w:t>
      </w:r>
      <w:r w:rsidR="00216117">
        <w:rPr>
          <w:color w:val="231F20"/>
        </w:rPr>
        <w:t>jsou</w:t>
      </w:r>
      <w:r w:rsidR="00216117">
        <w:rPr>
          <w:color w:val="231F20"/>
          <w:spacing w:val="-13"/>
        </w:rPr>
        <w:t xml:space="preserve"> </w:t>
      </w:r>
      <w:r w:rsidR="00216117">
        <w:rPr>
          <w:color w:val="231F20"/>
        </w:rPr>
        <w:t xml:space="preserve">uvede- ny v tabulkách Rozsah a </w:t>
      </w:r>
      <w:r w:rsidR="00216117">
        <w:rPr>
          <w:color w:val="231F20"/>
          <w:spacing w:val="2"/>
        </w:rPr>
        <w:t xml:space="preserve">limity </w:t>
      </w:r>
      <w:r w:rsidR="00216117">
        <w:rPr>
          <w:color w:val="231F20"/>
        </w:rPr>
        <w:t>asistenčních</w:t>
      </w:r>
      <w:r w:rsidR="00216117">
        <w:rPr>
          <w:color w:val="231F20"/>
          <w:spacing w:val="-15"/>
        </w:rPr>
        <w:t xml:space="preserve"> </w:t>
      </w:r>
      <w:r w:rsidR="00216117">
        <w:rPr>
          <w:color w:val="231F20"/>
        </w:rPr>
        <w:t>služeb.</w:t>
      </w:r>
    </w:p>
    <w:p w14:paraId="6126CC1F" w14:textId="77777777" w:rsidR="00F65BCA" w:rsidRDefault="00216117">
      <w:pPr>
        <w:pStyle w:val="Zkladntext"/>
        <w:spacing w:line="278" w:lineRule="auto"/>
        <w:ind w:left="467" w:right="425"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7</w:t>
      </w:r>
      <w:r>
        <w:rPr>
          <w:color w:val="231F20"/>
          <w:spacing w:val="16"/>
          <w:position w:val="1"/>
          <w:sz w:val="14"/>
        </w:rPr>
        <w:t xml:space="preserve"> </w:t>
      </w:r>
      <w:r>
        <w:rPr>
          <w:color w:val="231F20"/>
        </w:rPr>
        <w:t>O</w:t>
      </w:r>
      <w:r>
        <w:rPr>
          <w:color w:val="231F20"/>
          <w:spacing w:val="-18"/>
        </w:rPr>
        <w:t xml:space="preserve"> </w:t>
      </w:r>
      <w:r>
        <w:rPr>
          <w:color w:val="231F20"/>
        </w:rPr>
        <w:t>účelnosti,</w:t>
      </w:r>
      <w:r>
        <w:rPr>
          <w:color w:val="231F20"/>
          <w:spacing w:val="-18"/>
        </w:rPr>
        <w:t xml:space="preserve"> </w:t>
      </w:r>
      <w:r>
        <w:rPr>
          <w:color w:val="231F20"/>
        </w:rPr>
        <w:t>možnosti,</w:t>
      </w:r>
      <w:r>
        <w:rPr>
          <w:color w:val="231F20"/>
          <w:spacing w:val="-18"/>
        </w:rPr>
        <w:t xml:space="preserve"> </w:t>
      </w:r>
      <w:r>
        <w:rPr>
          <w:color w:val="231F20"/>
        </w:rPr>
        <w:t>způsobu,</w:t>
      </w:r>
      <w:r>
        <w:rPr>
          <w:color w:val="231F20"/>
          <w:spacing w:val="-17"/>
        </w:rPr>
        <w:t xml:space="preserve"> </w:t>
      </w:r>
      <w:r>
        <w:rPr>
          <w:color w:val="231F20"/>
        </w:rPr>
        <w:t>přiměřenosti</w:t>
      </w:r>
      <w:r>
        <w:rPr>
          <w:color w:val="231F20"/>
          <w:spacing w:val="-18"/>
        </w:rPr>
        <w:t xml:space="preserve"> </w:t>
      </w:r>
      <w:r>
        <w:rPr>
          <w:color w:val="231F20"/>
        </w:rPr>
        <w:t>a</w:t>
      </w:r>
      <w:r>
        <w:rPr>
          <w:color w:val="231F20"/>
          <w:spacing w:val="-18"/>
        </w:rPr>
        <w:t xml:space="preserve"> </w:t>
      </w:r>
      <w:r>
        <w:rPr>
          <w:color w:val="231F20"/>
        </w:rPr>
        <w:t>rozsahu</w:t>
      </w:r>
      <w:r>
        <w:rPr>
          <w:color w:val="231F20"/>
          <w:spacing w:val="-17"/>
        </w:rPr>
        <w:t xml:space="preserve"> </w:t>
      </w:r>
      <w:r>
        <w:rPr>
          <w:color w:val="231F20"/>
        </w:rPr>
        <w:t>poskytnuté</w:t>
      </w:r>
      <w:r>
        <w:rPr>
          <w:color w:val="231F20"/>
          <w:spacing w:val="-18"/>
        </w:rPr>
        <w:t xml:space="preserve"> </w:t>
      </w:r>
      <w:r>
        <w:rPr>
          <w:color w:val="231F20"/>
        </w:rPr>
        <w:t>asistenční služby rozhoduje Pojišťovna nebo poskytovatel</w:t>
      </w:r>
      <w:r>
        <w:rPr>
          <w:color w:val="231F20"/>
          <w:spacing w:val="-20"/>
        </w:rPr>
        <w:t xml:space="preserve"> </w:t>
      </w:r>
      <w:r>
        <w:rPr>
          <w:color w:val="231F20"/>
        </w:rPr>
        <w:t>asistence.</w:t>
      </w:r>
    </w:p>
    <w:p w14:paraId="2871B75A" w14:textId="77777777" w:rsidR="00F65BCA" w:rsidRDefault="00F65BCA">
      <w:pPr>
        <w:pStyle w:val="Zkladntext"/>
        <w:spacing w:before="6"/>
        <w:rPr>
          <w:sz w:val="19"/>
        </w:rPr>
      </w:pPr>
    </w:p>
    <w:p w14:paraId="2D93B55D" w14:textId="77777777" w:rsidR="00F65BCA" w:rsidRDefault="00216117">
      <w:pPr>
        <w:ind w:left="185"/>
        <w:rPr>
          <w:sz w:val="15"/>
        </w:rPr>
      </w:pPr>
      <w:r>
        <w:rPr>
          <w:color w:val="FFFFFF"/>
          <w:position w:val="3"/>
          <w:sz w:val="16"/>
          <w:shd w:val="clear" w:color="auto" w:fill="808285"/>
        </w:rPr>
        <w:t xml:space="preserve">  </w:t>
      </w:r>
      <w:r>
        <w:rPr>
          <w:color w:val="FFFFFF"/>
          <w:w w:val="105"/>
          <w:position w:val="3"/>
          <w:sz w:val="16"/>
          <w:shd w:val="clear" w:color="auto" w:fill="808285"/>
        </w:rPr>
        <w:t>Článek 66</w:t>
      </w:r>
      <w:r>
        <w:rPr>
          <w:color w:val="FFFFFF"/>
          <w:w w:val="105"/>
          <w:position w:val="3"/>
          <w:sz w:val="16"/>
        </w:rPr>
        <w:t xml:space="preserve"> </w:t>
      </w:r>
      <w:r>
        <w:rPr>
          <w:color w:val="231F20"/>
          <w:w w:val="105"/>
          <w:sz w:val="15"/>
        </w:rPr>
        <w:t>Pojistná událost a pojistná nebezpečí</w:t>
      </w:r>
    </w:p>
    <w:p w14:paraId="16A17712" w14:textId="77777777" w:rsidR="00F65BCA" w:rsidRDefault="00216117">
      <w:pPr>
        <w:pStyle w:val="Zkladntext"/>
        <w:spacing w:before="160"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16"/>
          <w:position w:val="1"/>
          <w:sz w:val="14"/>
        </w:rPr>
        <w:t xml:space="preserve"> </w:t>
      </w:r>
      <w:r>
        <w:rPr>
          <w:color w:val="231F20"/>
        </w:rPr>
        <w:t>Pojistnou</w:t>
      </w:r>
      <w:r>
        <w:rPr>
          <w:color w:val="231F20"/>
          <w:spacing w:val="-9"/>
        </w:rPr>
        <w:t xml:space="preserve"> </w:t>
      </w:r>
      <w:r>
        <w:rPr>
          <w:color w:val="231F20"/>
        </w:rPr>
        <w:t>událostí</w:t>
      </w:r>
      <w:r>
        <w:rPr>
          <w:color w:val="231F20"/>
          <w:spacing w:val="-8"/>
        </w:rPr>
        <w:t xml:space="preserve"> </w:t>
      </w:r>
      <w:r>
        <w:rPr>
          <w:color w:val="231F20"/>
        </w:rPr>
        <w:t>z</w:t>
      </w:r>
      <w:r>
        <w:rPr>
          <w:color w:val="231F20"/>
          <w:spacing w:val="-9"/>
        </w:rPr>
        <w:t xml:space="preserve"> </w:t>
      </w:r>
      <w:r>
        <w:rPr>
          <w:color w:val="231F20"/>
        </w:rPr>
        <w:t>pojištění</w:t>
      </w:r>
      <w:r>
        <w:rPr>
          <w:color w:val="231F20"/>
          <w:spacing w:val="-9"/>
        </w:rPr>
        <w:t xml:space="preserve"> </w:t>
      </w:r>
      <w:r>
        <w:rPr>
          <w:color w:val="231F20"/>
        </w:rPr>
        <w:t>asistenčních</w:t>
      </w:r>
      <w:r>
        <w:rPr>
          <w:color w:val="231F20"/>
          <w:spacing w:val="-9"/>
        </w:rPr>
        <w:t xml:space="preserve"> </w:t>
      </w:r>
      <w:r>
        <w:rPr>
          <w:color w:val="231F20"/>
        </w:rPr>
        <w:t>služeb</w:t>
      </w:r>
      <w:r>
        <w:rPr>
          <w:color w:val="231F20"/>
          <w:spacing w:val="-8"/>
        </w:rPr>
        <w:t xml:space="preserve"> </w:t>
      </w:r>
      <w:r>
        <w:rPr>
          <w:color w:val="231F20"/>
        </w:rPr>
        <w:t>je</w:t>
      </w:r>
      <w:r>
        <w:rPr>
          <w:color w:val="231F20"/>
          <w:spacing w:val="-9"/>
        </w:rPr>
        <w:t xml:space="preserve"> </w:t>
      </w:r>
      <w:r>
        <w:rPr>
          <w:color w:val="231F20"/>
        </w:rPr>
        <w:t>nepojízdnost</w:t>
      </w:r>
      <w:r>
        <w:rPr>
          <w:color w:val="231F20"/>
          <w:spacing w:val="-9"/>
        </w:rPr>
        <w:t xml:space="preserve"> </w:t>
      </w:r>
      <w:r>
        <w:rPr>
          <w:color w:val="231F20"/>
        </w:rPr>
        <w:t>pojištěného vozidla</w:t>
      </w:r>
      <w:r>
        <w:rPr>
          <w:color w:val="231F20"/>
          <w:spacing w:val="-6"/>
        </w:rPr>
        <w:t xml:space="preserve"> </w:t>
      </w:r>
      <w:r>
        <w:rPr>
          <w:color w:val="231F20"/>
        </w:rPr>
        <w:t>nebo</w:t>
      </w:r>
      <w:r>
        <w:rPr>
          <w:color w:val="231F20"/>
          <w:spacing w:val="-6"/>
        </w:rPr>
        <w:t xml:space="preserve"> </w:t>
      </w:r>
      <w:r>
        <w:rPr>
          <w:color w:val="231F20"/>
        </w:rPr>
        <w:t>jeho</w:t>
      </w:r>
      <w:r>
        <w:rPr>
          <w:color w:val="231F20"/>
          <w:spacing w:val="-6"/>
        </w:rPr>
        <w:t xml:space="preserve"> </w:t>
      </w:r>
      <w:r>
        <w:rPr>
          <w:color w:val="231F20"/>
        </w:rPr>
        <w:t>technická</w:t>
      </w:r>
      <w:r>
        <w:rPr>
          <w:color w:val="231F20"/>
          <w:spacing w:val="-6"/>
        </w:rPr>
        <w:t xml:space="preserve"> </w:t>
      </w:r>
      <w:r>
        <w:rPr>
          <w:color w:val="231F20"/>
        </w:rPr>
        <w:t>nezpůsobilost</w:t>
      </w:r>
      <w:r>
        <w:rPr>
          <w:color w:val="231F20"/>
          <w:spacing w:val="-6"/>
        </w:rPr>
        <w:t xml:space="preserve"> </w:t>
      </w:r>
      <w:r>
        <w:rPr>
          <w:color w:val="231F20"/>
        </w:rPr>
        <w:t>k</w:t>
      </w:r>
      <w:r>
        <w:rPr>
          <w:color w:val="231F20"/>
          <w:spacing w:val="-6"/>
        </w:rPr>
        <w:t xml:space="preserve"> </w:t>
      </w:r>
      <w:r>
        <w:rPr>
          <w:color w:val="231F20"/>
        </w:rPr>
        <w:t>provozu</w:t>
      </w:r>
      <w:r>
        <w:rPr>
          <w:color w:val="231F20"/>
          <w:spacing w:val="-5"/>
        </w:rPr>
        <w:t xml:space="preserve"> </w:t>
      </w:r>
      <w:r>
        <w:rPr>
          <w:color w:val="231F20"/>
        </w:rPr>
        <w:t>na</w:t>
      </w:r>
      <w:r>
        <w:rPr>
          <w:color w:val="231F20"/>
          <w:spacing w:val="-6"/>
        </w:rPr>
        <w:t xml:space="preserve"> </w:t>
      </w:r>
      <w:r>
        <w:rPr>
          <w:color w:val="231F20"/>
        </w:rPr>
        <w:t>pozemních</w:t>
      </w:r>
      <w:r>
        <w:rPr>
          <w:color w:val="231F20"/>
          <w:spacing w:val="-6"/>
        </w:rPr>
        <w:t xml:space="preserve"> </w:t>
      </w:r>
      <w:r>
        <w:rPr>
          <w:color w:val="231F20"/>
          <w:spacing w:val="-3"/>
        </w:rPr>
        <w:t xml:space="preserve">komuni- </w:t>
      </w:r>
      <w:r>
        <w:rPr>
          <w:color w:val="231F20"/>
        </w:rPr>
        <w:t>kacích podle obecně závazných právních předpisů, jejíž příčinou je</w:t>
      </w:r>
      <w:r>
        <w:rPr>
          <w:color w:val="231F20"/>
          <w:spacing w:val="-22"/>
        </w:rPr>
        <w:t xml:space="preserve"> </w:t>
      </w:r>
      <w:r>
        <w:rPr>
          <w:color w:val="231F20"/>
        </w:rPr>
        <w:t>pojistné nebezpečí</w:t>
      </w:r>
      <w:r>
        <w:rPr>
          <w:color w:val="231F20"/>
          <w:spacing w:val="-4"/>
        </w:rPr>
        <w:t xml:space="preserve"> </w:t>
      </w:r>
      <w:r>
        <w:rPr>
          <w:color w:val="231F20"/>
        </w:rPr>
        <w:t>uvedené</w:t>
      </w:r>
      <w:r>
        <w:rPr>
          <w:color w:val="231F20"/>
          <w:spacing w:val="-4"/>
        </w:rPr>
        <w:t xml:space="preserve"> </w:t>
      </w:r>
      <w:r>
        <w:rPr>
          <w:color w:val="231F20"/>
        </w:rPr>
        <w:t>v</w:t>
      </w:r>
      <w:r>
        <w:rPr>
          <w:color w:val="231F20"/>
          <w:spacing w:val="-3"/>
        </w:rPr>
        <w:t xml:space="preserve"> </w:t>
      </w:r>
      <w:r>
        <w:rPr>
          <w:color w:val="231F20"/>
        </w:rPr>
        <w:t>tabulce</w:t>
      </w:r>
      <w:r>
        <w:rPr>
          <w:color w:val="231F20"/>
          <w:spacing w:val="-4"/>
        </w:rPr>
        <w:t xml:space="preserve"> </w:t>
      </w:r>
      <w:r>
        <w:rPr>
          <w:color w:val="231F20"/>
        </w:rPr>
        <w:t>Přehled</w:t>
      </w:r>
      <w:r>
        <w:rPr>
          <w:color w:val="231F20"/>
          <w:spacing w:val="-3"/>
        </w:rPr>
        <w:t xml:space="preserve"> </w:t>
      </w:r>
      <w:r>
        <w:rPr>
          <w:color w:val="231F20"/>
        </w:rPr>
        <w:t>pojistných</w:t>
      </w:r>
      <w:r>
        <w:rPr>
          <w:color w:val="231F20"/>
          <w:spacing w:val="-4"/>
        </w:rPr>
        <w:t xml:space="preserve"> </w:t>
      </w:r>
      <w:r>
        <w:rPr>
          <w:color w:val="231F20"/>
        </w:rPr>
        <w:t>nebezpečí</w:t>
      </w:r>
      <w:r>
        <w:rPr>
          <w:color w:val="231F20"/>
          <w:spacing w:val="-3"/>
        </w:rPr>
        <w:t xml:space="preserve"> </w:t>
      </w:r>
      <w:r>
        <w:rPr>
          <w:color w:val="231F20"/>
        </w:rPr>
        <w:t>v</w:t>
      </w:r>
      <w:r>
        <w:rPr>
          <w:color w:val="231F20"/>
          <w:spacing w:val="-4"/>
        </w:rPr>
        <w:t xml:space="preserve"> </w:t>
      </w:r>
      <w:r>
        <w:rPr>
          <w:color w:val="231F20"/>
        </w:rPr>
        <w:t>odst.</w:t>
      </w:r>
      <w:r>
        <w:rPr>
          <w:color w:val="231F20"/>
          <w:spacing w:val="-3"/>
        </w:rPr>
        <w:t xml:space="preserve"> </w:t>
      </w:r>
      <w:r>
        <w:rPr>
          <w:color w:val="231F20"/>
        </w:rPr>
        <w:t>2</w:t>
      </w:r>
      <w:r>
        <w:rPr>
          <w:color w:val="231F20"/>
          <w:spacing w:val="-4"/>
        </w:rPr>
        <w:t xml:space="preserve"> </w:t>
      </w:r>
      <w:r>
        <w:rPr>
          <w:color w:val="231F20"/>
        </w:rPr>
        <w:t>tohoto článku.</w:t>
      </w:r>
      <w:r>
        <w:rPr>
          <w:color w:val="231F20"/>
          <w:spacing w:val="-18"/>
        </w:rPr>
        <w:t xml:space="preserve"> </w:t>
      </w:r>
      <w:r>
        <w:rPr>
          <w:color w:val="231F20"/>
        </w:rPr>
        <w:t>Pojistnou</w:t>
      </w:r>
      <w:r>
        <w:rPr>
          <w:color w:val="231F20"/>
          <w:spacing w:val="-18"/>
        </w:rPr>
        <w:t xml:space="preserve"> </w:t>
      </w:r>
      <w:r>
        <w:rPr>
          <w:color w:val="231F20"/>
        </w:rPr>
        <w:t>událostí</w:t>
      </w:r>
      <w:r>
        <w:rPr>
          <w:color w:val="231F20"/>
          <w:spacing w:val="-18"/>
        </w:rPr>
        <w:t xml:space="preserve"> </w:t>
      </w:r>
      <w:r>
        <w:rPr>
          <w:color w:val="231F20"/>
        </w:rPr>
        <w:t>je</w:t>
      </w:r>
      <w:r>
        <w:rPr>
          <w:color w:val="231F20"/>
          <w:spacing w:val="-18"/>
        </w:rPr>
        <w:t xml:space="preserve"> </w:t>
      </w:r>
      <w:r>
        <w:rPr>
          <w:color w:val="231F20"/>
        </w:rPr>
        <w:t>také</w:t>
      </w:r>
      <w:r>
        <w:rPr>
          <w:color w:val="231F20"/>
          <w:spacing w:val="-18"/>
        </w:rPr>
        <w:t xml:space="preserve"> </w:t>
      </w:r>
      <w:r>
        <w:rPr>
          <w:color w:val="231F20"/>
        </w:rPr>
        <w:t>nemožnost</w:t>
      </w:r>
      <w:r>
        <w:rPr>
          <w:color w:val="231F20"/>
          <w:spacing w:val="-18"/>
        </w:rPr>
        <w:t xml:space="preserve"> </w:t>
      </w:r>
      <w:r>
        <w:rPr>
          <w:color w:val="231F20"/>
        </w:rPr>
        <w:t>pokračování</w:t>
      </w:r>
      <w:r>
        <w:rPr>
          <w:color w:val="231F20"/>
          <w:spacing w:val="-18"/>
        </w:rPr>
        <w:t xml:space="preserve"> </w:t>
      </w:r>
      <w:r>
        <w:rPr>
          <w:color w:val="231F20"/>
        </w:rPr>
        <w:t>v</w:t>
      </w:r>
      <w:r>
        <w:rPr>
          <w:color w:val="231F20"/>
          <w:spacing w:val="-18"/>
        </w:rPr>
        <w:t xml:space="preserve"> </w:t>
      </w:r>
      <w:r>
        <w:rPr>
          <w:color w:val="231F20"/>
        </w:rPr>
        <w:t>cestě</w:t>
      </w:r>
      <w:r>
        <w:rPr>
          <w:color w:val="231F20"/>
          <w:spacing w:val="-18"/>
        </w:rPr>
        <w:t xml:space="preserve"> </w:t>
      </w:r>
      <w:r>
        <w:rPr>
          <w:color w:val="231F20"/>
        </w:rPr>
        <w:t>pojištěného přípojného vozidla z důvodu nepojízdnosti tažného</w:t>
      </w:r>
      <w:r>
        <w:rPr>
          <w:color w:val="231F20"/>
          <w:spacing w:val="-25"/>
        </w:rPr>
        <w:t xml:space="preserve"> </w:t>
      </w:r>
      <w:r>
        <w:rPr>
          <w:color w:val="231F20"/>
        </w:rPr>
        <w:t>vozidla.</w:t>
      </w:r>
    </w:p>
    <w:p w14:paraId="4B61AF8D"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13"/>
          <w:position w:val="1"/>
          <w:sz w:val="14"/>
        </w:rPr>
        <w:t xml:space="preserve"> </w:t>
      </w:r>
      <w:r>
        <w:rPr>
          <w:color w:val="231F20"/>
        </w:rPr>
        <w:t>Pojistná</w:t>
      </w:r>
      <w:r>
        <w:rPr>
          <w:color w:val="231F20"/>
          <w:spacing w:val="-11"/>
        </w:rPr>
        <w:t xml:space="preserve"> </w:t>
      </w:r>
      <w:r>
        <w:rPr>
          <w:color w:val="231F20"/>
        </w:rPr>
        <w:t>nebezpečí</w:t>
      </w:r>
      <w:r>
        <w:rPr>
          <w:color w:val="231F20"/>
          <w:spacing w:val="-11"/>
        </w:rPr>
        <w:t xml:space="preserve"> </w:t>
      </w:r>
      <w:r>
        <w:rPr>
          <w:color w:val="231F20"/>
        </w:rPr>
        <w:t>pro</w:t>
      </w:r>
      <w:r>
        <w:rPr>
          <w:color w:val="231F20"/>
          <w:spacing w:val="-11"/>
        </w:rPr>
        <w:t xml:space="preserve"> </w:t>
      </w:r>
      <w:r>
        <w:rPr>
          <w:color w:val="231F20"/>
        </w:rPr>
        <w:t>jednotlivé</w:t>
      </w:r>
      <w:r>
        <w:rPr>
          <w:color w:val="231F20"/>
          <w:spacing w:val="-11"/>
        </w:rPr>
        <w:t xml:space="preserve"> </w:t>
      </w:r>
      <w:r>
        <w:rPr>
          <w:color w:val="231F20"/>
        </w:rPr>
        <w:t>varianty</w:t>
      </w:r>
      <w:r>
        <w:rPr>
          <w:color w:val="231F20"/>
          <w:spacing w:val="-11"/>
        </w:rPr>
        <w:t xml:space="preserve"> </w:t>
      </w:r>
      <w:r>
        <w:rPr>
          <w:color w:val="231F20"/>
        </w:rPr>
        <w:t>asistencí</w:t>
      </w:r>
      <w:r>
        <w:rPr>
          <w:color w:val="231F20"/>
          <w:spacing w:val="-11"/>
        </w:rPr>
        <w:t xml:space="preserve"> </w:t>
      </w:r>
      <w:r>
        <w:rPr>
          <w:color w:val="231F20"/>
        </w:rPr>
        <w:t>jsou</w:t>
      </w:r>
      <w:r>
        <w:rPr>
          <w:color w:val="231F20"/>
          <w:spacing w:val="-11"/>
        </w:rPr>
        <w:t xml:space="preserve"> </w:t>
      </w:r>
      <w:r>
        <w:rPr>
          <w:color w:val="231F20"/>
        </w:rPr>
        <w:t>uvedena</w:t>
      </w:r>
      <w:r>
        <w:rPr>
          <w:color w:val="231F20"/>
          <w:spacing w:val="-11"/>
        </w:rPr>
        <w:t xml:space="preserve"> </w:t>
      </w:r>
      <w:r>
        <w:rPr>
          <w:color w:val="231F20"/>
        </w:rPr>
        <w:t>v</w:t>
      </w:r>
      <w:r>
        <w:rPr>
          <w:color w:val="231F20"/>
          <w:spacing w:val="-11"/>
        </w:rPr>
        <w:t xml:space="preserve"> </w:t>
      </w:r>
      <w:r>
        <w:rPr>
          <w:color w:val="231F20"/>
        </w:rPr>
        <w:t>následují- cích</w:t>
      </w:r>
      <w:r>
        <w:rPr>
          <w:color w:val="231F20"/>
          <w:spacing w:val="-1"/>
        </w:rPr>
        <w:t xml:space="preserve"> </w:t>
      </w:r>
      <w:r>
        <w:rPr>
          <w:color w:val="231F20"/>
        </w:rPr>
        <w:t>tabulkách:</w:t>
      </w:r>
    </w:p>
    <w:p w14:paraId="7D988F08" w14:textId="77777777" w:rsidR="00F65BCA" w:rsidRDefault="00F65BCA">
      <w:pPr>
        <w:spacing w:line="278" w:lineRule="auto"/>
        <w:jc w:val="both"/>
        <w:sectPr w:rsidR="00F65BCA">
          <w:pgSz w:w="11910" w:h="16840"/>
          <w:pgMar w:top="420" w:right="140" w:bottom="0" w:left="140" w:header="708" w:footer="708" w:gutter="0"/>
          <w:cols w:num="2" w:space="708" w:equalWidth="0">
            <w:col w:w="5702" w:space="40"/>
            <w:col w:w="5888"/>
          </w:cols>
        </w:sectPr>
      </w:pPr>
    </w:p>
    <w:p w14:paraId="60B42BCD" w14:textId="77777777" w:rsidR="00F65BCA" w:rsidRDefault="00000000">
      <w:pPr>
        <w:pStyle w:val="Nadpis6"/>
        <w:tabs>
          <w:tab w:val="left" w:pos="5926"/>
        </w:tabs>
        <w:ind w:left="426"/>
      </w:pPr>
      <w:r>
        <w:pict w14:anchorId="7F868102">
          <v:shape id="_x0000_s2577" type="#_x0000_t202" style="width:263.65pt;height:42.55pt;mso-left-percent:-10001;mso-top-percent:-10001;mso-position-horizontal:absolute;mso-position-horizontal-relative:char;mso-position-vertical:absolute;mso-position-vertical-relative:line;mso-left-percent:-10001;mso-top-percent:-10001" fillcolor="#808285" stroked="f">
            <v:textbox inset="0,0,0,0">
              <w:txbxContent>
                <w:p w14:paraId="6C2A550E" w14:textId="77777777" w:rsidR="00F65BCA" w:rsidRDefault="00216117">
                  <w:pPr>
                    <w:spacing w:before="141" w:line="249" w:lineRule="auto"/>
                    <w:ind w:left="1329" w:right="530" w:hanging="794"/>
                    <w:rPr>
                      <w:b/>
                      <w:sz w:val="24"/>
                    </w:rPr>
                  </w:pPr>
                  <w:r>
                    <w:rPr>
                      <w:b/>
                      <w:color w:val="FFFFFF"/>
                      <w:sz w:val="24"/>
                    </w:rPr>
                    <w:t>PŘEHLED POJISTNÝCH NEBEZPEČÍ PRO VOZIDLA DO 3,5T</w:t>
                  </w:r>
                </w:p>
              </w:txbxContent>
            </v:textbox>
            <w10:anchorlock/>
          </v:shape>
        </w:pict>
      </w:r>
      <w:r w:rsidR="00216117">
        <w:tab/>
      </w:r>
      <w:r>
        <w:pict w14:anchorId="151701EF">
          <v:shape id="_x0000_s2576" type="#_x0000_t202" style="width:263.65pt;height:42.55pt;mso-left-percent:-10001;mso-top-percent:-10001;mso-position-horizontal:absolute;mso-position-horizontal-relative:char;mso-position-vertical:absolute;mso-position-vertical-relative:line;mso-left-percent:-10001;mso-top-percent:-10001" fillcolor="#808285" stroked="f">
            <v:textbox inset="0,0,0,0">
              <w:txbxContent>
                <w:p w14:paraId="41A4901E" w14:textId="77777777" w:rsidR="00F65BCA" w:rsidRDefault="00216117">
                  <w:pPr>
                    <w:spacing w:before="141" w:line="249" w:lineRule="auto"/>
                    <w:ind w:left="1251" w:right="530" w:hanging="716"/>
                    <w:rPr>
                      <w:b/>
                      <w:sz w:val="24"/>
                    </w:rPr>
                  </w:pPr>
                  <w:r>
                    <w:rPr>
                      <w:b/>
                      <w:color w:val="FFFFFF"/>
                      <w:sz w:val="24"/>
                    </w:rPr>
                    <w:t>PŘEHLED POJISTNÝCH NEBEZPEČÍ PRO VOZIDLA NAD 3,5T</w:t>
                  </w:r>
                </w:p>
              </w:txbxContent>
            </v:textbox>
            <w10:anchorlock/>
          </v:shape>
        </w:pict>
      </w:r>
    </w:p>
    <w:p w14:paraId="7B014816" w14:textId="77777777" w:rsidR="00F65BCA" w:rsidRDefault="00F65BCA">
      <w:pPr>
        <w:pStyle w:val="Zkladntext"/>
        <w:spacing w:before="10"/>
        <w:rPr>
          <w:sz w:val="8"/>
        </w:rPr>
      </w:pPr>
    </w:p>
    <w:p w14:paraId="7B37746A" w14:textId="77777777" w:rsidR="00F65BCA" w:rsidRDefault="00000000">
      <w:pPr>
        <w:pStyle w:val="Nadpis6"/>
        <w:ind w:left="416"/>
      </w:pPr>
      <w:r>
        <w:pict w14:anchorId="78794003">
          <v:shape id="_x0000_s2575" type="#_x0000_t202" style="width:265.15pt;height:301.8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474"/>
                    <w:gridCol w:w="2494"/>
                    <w:gridCol w:w="1303"/>
                  </w:tblGrid>
                  <w:tr w:rsidR="00F65BCA" w14:paraId="20511F7F" w14:textId="77777777">
                    <w:trPr>
                      <w:trHeight w:val="432"/>
                    </w:trPr>
                    <w:tc>
                      <w:tcPr>
                        <w:tcW w:w="3968" w:type="dxa"/>
                        <w:gridSpan w:val="2"/>
                        <w:vMerge w:val="restart"/>
                        <w:tcBorders>
                          <w:left w:val="nil"/>
                          <w:bottom w:val="single" w:sz="4" w:space="0" w:color="231F20"/>
                          <w:right w:val="single" w:sz="4" w:space="0" w:color="231F20"/>
                        </w:tcBorders>
                      </w:tcPr>
                      <w:p w14:paraId="7A6A5F15" w14:textId="77777777" w:rsidR="00F65BCA" w:rsidRDefault="00F65BCA">
                        <w:pPr>
                          <w:pStyle w:val="TableParagraph"/>
                          <w:spacing w:before="8"/>
                          <w:rPr>
                            <w:sz w:val="14"/>
                          </w:rPr>
                        </w:pPr>
                      </w:p>
                      <w:p w14:paraId="5DCE981F" w14:textId="77777777" w:rsidR="00F65BCA" w:rsidRDefault="00216117">
                        <w:pPr>
                          <w:pStyle w:val="TableParagraph"/>
                          <w:spacing w:before="1" w:line="249" w:lineRule="auto"/>
                          <w:ind w:left="645" w:right="617" w:hanging="1"/>
                          <w:jc w:val="center"/>
                          <w:rPr>
                            <w:sz w:val="15"/>
                          </w:rPr>
                        </w:pPr>
                        <w:r>
                          <w:rPr>
                            <w:color w:val="231F20"/>
                            <w:w w:val="105"/>
                            <w:sz w:val="15"/>
                          </w:rPr>
                          <w:t>Pojistná nebezpečí (nepojízdnost/technická nezpůsobilost vozidla v případě)</w:t>
                        </w:r>
                      </w:p>
                    </w:tc>
                    <w:tc>
                      <w:tcPr>
                        <w:tcW w:w="1303" w:type="dxa"/>
                        <w:tcBorders>
                          <w:left w:val="single" w:sz="4" w:space="0" w:color="231F20"/>
                          <w:bottom w:val="single" w:sz="4" w:space="0" w:color="231F20"/>
                          <w:right w:val="nil"/>
                        </w:tcBorders>
                      </w:tcPr>
                      <w:p w14:paraId="59AEC1E4" w14:textId="77777777" w:rsidR="00F65BCA" w:rsidRDefault="00216117">
                        <w:pPr>
                          <w:pStyle w:val="TableParagraph"/>
                          <w:spacing w:before="36" w:line="249" w:lineRule="auto"/>
                          <w:ind w:left="323" w:right="289" w:firstLine="51"/>
                          <w:rPr>
                            <w:sz w:val="15"/>
                          </w:rPr>
                        </w:pPr>
                        <w:r>
                          <w:rPr>
                            <w:color w:val="231F20"/>
                            <w:w w:val="105"/>
                            <w:sz w:val="15"/>
                          </w:rPr>
                          <w:t>Varianta asistence</w:t>
                        </w:r>
                      </w:p>
                    </w:tc>
                  </w:tr>
                  <w:tr w:rsidR="00F65BCA" w14:paraId="3E5C660F" w14:textId="77777777">
                    <w:trPr>
                      <w:trHeight w:val="437"/>
                    </w:trPr>
                    <w:tc>
                      <w:tcPr>
                        <w:tcW w:w="3968" w:type="dxa"/>
                        <w:gridSpan w:val="2"/>
                        <w:vMerge/>
                        <w:tcBorders>
                          <w:top w:val="nil"/>
                          <w:left w:val="nil"/>
                          <w:bottom w:val="single" w:sz="4" w:space="0" w:color="231F20"/>
                          <w:right w:val="single" w:sz="4" w:space="0" w:color="231F20"/>
                        </w:tcBorders>
                      </w:tcPr>
                      <w:p w14:paraId="6332128B" w14:textId="77777777" w:rsidR="00F65BCA" w:rsidRDefault="00F65BCA">
                        <w:pPr>
                          <w:rPr>
                            <w:sz w:val="2"/>
                            <w:szCs w:val="2"/>
                          </w:rPr>
                        </w:pPr>
                      </w:p>
                    </w:tc>
                    <w:tc>
                      <w:tcPr>
                        <w:tcW w:w="1303" w:type="dxa"/>
                        <w:tcBorders>
                          <w:top w:val="single" w:sz="4" w:space="0" w:color="231F20"/>
                          <w:left w:val="single" w:sz="4" w:space="0" w:color="231F20"/>
                          <w:bottom w:val="single" w:sz="4" w:space="0" w:color="231F20"/>
                          <w:right w:val="nil"/>
                        </w:tcBorders>
                      </w:tcPr>
                      <w:p w14:paraId="12FE3C4F" w14:textId="77777777" w:rsidR="00F65BCA" w:rsidRDefault="00216117">
                        <w:pPr>
                          <w:pStyle w:val="TableParagraph"/>
                          <w:spacing w:before="41" w:line="249" w:lineRule="auto"/>
                          <w:ind w:left="324" w:hanging="174"/>
                          <w:rPr>
                            <w:sz w:val="15"/>
                          </w:rPr>
                        </w:pPr>
                        <w:r>
                          <w:rPr>
                            <w:color w:val="231F20"/>
                            <w:w w:val="110"/>
                            <w:sz w:val="15"/>
                          </w:rPr>
                          <w:t>S / M / L / XL / Souprava</w:t>
                        </w:r>
                      </w:p>
                    </w:tc>
                  </w:tr>
                  <w:tr w:rsidR="00F65BCA" w14:paraId="736D5623" w14:textId="77777777">
                    <w:trPr>
                      <w:trHeight w:val="279"/>
                    </w:trPr>
                    <w:tc>
                      <w:tcPr>
                        <w:tcW w:w="1474" w:type="dxa"/>
                        <w:vMerge w:val="restart"/>
                        <w:tcBorders>
                          <w:top w:val="single" w:sz="4" w:space="0" w:color="231F20"/>
                          <w:left w:val="nil"/>
                          <w:bottom w:val="single" w:sz="4" w:space="0" w:color="231F20"/>
                          <w:right w:val="single" w:sz="4" w:space="0" w:color="231F20"/>
                        </w:tcBorders>
                      </w:tcPr>
                      <w:p w14:paraId="79C43299" w14:textId="77777777" w:rsidR="00F65BCA" w:rsidRDefault="00F65BCA">
                        <w:pPr>
                          <w:pStyle w:val="TableParagraph"/>
                          <w:rPr>
                            <w:sz w:val="18"/>
                          </w:rPr>
                        </w:pPr>
                      </w:p>
                      <w:p w14:paraId="76D62006" w14:textId="77777777" w:rsidR="00F65BCA" w:rsidRDefault="00F65BCA">
                        <w:pPr>
                          <w:pStyle w:val="TableParagraph"/>
                          <w:rPr>
                            <w:sz w:val="18"/>
                          </w:rPr>
                        </w:pPr>
                      </w:p>
                      <w:p w14:paraId="0F977D8B" w14:textId="77777777" w:rsidR="00F65BCA" w:rsidRDefault="00F65BCA">
                        <w:pPr>
                          <w:pStyle w:val="TableParagraph"/>
                          <w:spacing w:before="10"/>
                          <w:rPr>
                            <w:sz w:val="18"/>
                          </w:rPr>
                        </w:pPr>
                      </w:p>
                      <w:p w14:paraId="41B7FE9C" w14:textId="77777777" w:rsidR="00F65BCA" w:rsidRDefault="00216117">
                        <w:pPr>
                          <w:pStyle w:val="TableParagraph"/>
                          <w:ind w:left="299"/>
                          <w:rPr>
                            <w:sz w:val="15"/>
                          </w:rPr>
                        </w:pPr>
                        <w:r>
                          <w:rPr>
                            <w:color w:val="231F20"/>
                            <w:sz w:val="15"/>
                          </w:rPr>
                          <w:t>havarijní rizika</w:t>
                        </w:r>
                      </w:p>
                    </w:tc>
                    <w:tc>
                      <w:tcPr>
                        <w:tcW w:w="2494" w:type="dxa"/>
                        <w:tcBorders>
                          <w:top w:val="single" w:sz="4" w:space="0" w:color="231F20"/>
                          <w:left w:val="single" w:sz="4" w:space="0" w:color="231F20"/>
                          <w:bottom w:val="single" w:sz="4" w:space="0" w:color="231F20"/>
                          <w:right w:val="single" w:sz="4" w:space="0" w:color="231F20"/>
                        </w:tcBorders>
                      </w:tcPr>
                      <w:p w14:paraId="4AAF7A97" w14:textId="77777777" w:rsidR="00F65BCA" w:rsidRDefault="00216117">
                        <w:pPr>
                          <w:pStyle w:val="TableParagraph"/>
                          <w:spacing w:before="41"/>
                          <w:ind w:left="85"/>
                          <w:rPr>
                            <w:sz w:val="15"/>
                          </w:rPr>
                        </w:pPr>
                        <w:r>
                          <w:rPr>
                            <w:color w:val="231F20"/>
                            <w:sz w:val="15"/>
                          </w:rPr>
                          <w:t>havárie</w:t>
                        </w:r>
                      </w:p>
                    </w:tc>
                    <w:tc>
                      <w:tcPr>
                        <w:tcW w:w="1303" w:type="dxa"/>
                        <w:tcBorders>
                          <w:top w:val="single" w:sz="4" w:space="0" w:color="231F20"/>
                          <w:left w:val="single" w:sz="4" w:space="0" w:color="231F20"/>
                          <w:bottom w:val="single" w:sz="4" w:space="0" w:color="231F20"/>
                          <w:right w:val="nil"/>
                        </w:tcBorders>
                      </w:tcPr>
                      <w:p w14:paraId="48FEDD7A" w14:textId="77777777" w:rsidR="00F65BCA" w:rsidRDefault="00F65BCA">
                        <w:pPr>
                          <w:pStyle w:val="TableParagraph"/>
                          <w:spacing w:before="6"/>
                          <w:rPr>
                            <w:sz w:val="6"/>
                          </w:rPr>
                        </w:pPr>
                      </w:p>
                      <w:p w14:paraId="74837D5D" w14:textId="77777777" w:rsidR="00F65BCA" w:rsidRDefault="00216117">
                        <w:pPr>
                          <w:pStyle w:val="TableParagraph"/>
                          <w:spacing w:line="129" w:lineRule="exact"/>
                          <w:ind w:left="599"/>
                          <w:rPr>
                            <w:sz w:val="12"/>
                          </w:rPr>
                        </w:pPr>
                        <w:r>
                          <w:rPr>
                            <w:noProof/>
                            <w:position w:val="-2"/>
                            <w:sz w:val="12"/>
                          </w:rPr>
                          <w:drawing>
                            <wp:inline distT="0" distB="0" distL="0" distR="0" wp14:anchorId="083F4139" wp14:editId="7DB5DE54">
                              <wp:extent cx="74219" cy="82296"/>
                              <wp:effectExtent l="0" t="0" r="0" b="0"/>
                              <wp:docPr id="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png"/>
                                      <pic:cNvPicPr/>
                                    </pic:nvPicPr>
                                    <pic:blipFill>
                                      <a:blip r:embed="rId46" cstate="print"/>
                                      <a:stretch>
                                        <a:fillRect/>
                                      </a:stretch>
                                    </pic:blipFill>
                                    <pic:spPr>
                                      <a:xfrm>
                                        <a:off x="0" y="0"/>
                                        <a:ext cx="74219" cy="82296"/>
                                      </a:xfrm>
                                      <a:prstGeom prst="rect">
                                        <a:avLst/>
                                      </a:prstGeom>
                                    </pic:spPr>
                                  </pic:pic>
                                </a:graphicData>
                              </a:graphic>
                            </wp:inline>
                          </w:drawing>
                        </w:r>
                      </w:p>
                    </w:tc>
                  </w:tr>
                  <w:tr w:rsidR="00F65BCA" w14:paraId="0AA65C5C" w14:textId="77777777">
                    <w:trPr>
                      <w:trHeight w:val="279"/>
                    </w:trPr>
                    <w:tc>
                      <w:tcPr>
                        <w:tcW w:w="1474" w:type="dxa"/>
                        <w:vMerge/>
                        <w:tcBorders>
                          <w:top w:val="nil"/>
                          <w:left w:val="nil"/>
                          <w:bottom w:val="single" w:sz="4" w:space="0" w:color="231F20"/>
                          <w:right w:val="single" w:sz="4" w:space="0" w:color="231F20"/>
                        </w:tcBorders>
                      </w:tcPr>
                      <w:p w14:paraId="448E7892" w14:textId="77777777" w:rsidR="00F65BCA" w:rsidRDefault="00F65BCA">
                        <w:pPr>
                          <w:rPr>
                            <w:sz w:val="2"/>
                            <w:szCs w:val="2"/>
                          </w:rPr>
                        </w:pPr>
                      </w:p>
                    </w:tc>
                    <w:tc>
                      <w:tcPr>
                        <w:tcW w:w="2494" w:type="dxa"/>
                        <w:tcBorders>
                          <w:top w:val="single" w:sz="4" w:space="0" w:color="231F20"/>
                          <w:left w:val="single" w:sz="4" w:space="0" w:color="231F20"/>
                          <w:bottom w:val="single" w:sz="4" w:space="0" w:color="231F20"/>
                          <w:right w:val="single" w:sz="4" w:space="0" w:color="231F20"/>
                        </w:tcBorders>
                      </w:tcPr>
                      <w:p w14:paraId="28B45C9F" w14:textId="77777777" w:rsidR="00F65BCA" w:rsidRDefault="00216117">
                        <w:pPr>
                          <w:pStyle w:val="TableParagraph"/>
                          <w:spacing w:before="41"/>
                          <w:ind w:left="85"/>
                          <w:rPr>
                            <w:sz w:val="15"/>
                          </w:rPr>
                        </w:pPr>
                        <w:r>
                          <w:rPr>
                            <w:color w:val="231F20"/>
                            <w:sz w:val="15"/>
                          </w:rPr>
                          <w:t>živelní událost</w:t>
                        </w:r>
                      </w:p>
                    </w:tc>
                    <w:tc>
                      <w:tcPr>
                        <w:tcW w:w="1303" w:type="dxa"/>
                        <w:tcBorders>
                          <w:top w:val="single" w:sz="4" w:space="0" w:color="231F20"/>
                          <w:left w:val="single" w:sz="4" w:space="0" w:color="231F20"/>
                          <w:bottom w:val="single" w:sz="4" w:space="0" w:color="231F20"/>
                          <w:right w:val="nil"/>
                        </w:tcBorders>
                      </w:tcPr>
                      <w:p w14:paraId="2A520299" w14:textId="77777777" w:rsidR="00F65BCA" w:rsidRDefault="00F65BCA">
                        <w:pPr>
                          <w:pStyle w:val="TableParagraph"/>
                          <w:spacing w:before="6"/>
                          <w:rPr>
                            <w:sz w:val="6"/>
                          </w:rPr>
                        </w:pPr>
                      </w:p>
                      <w:p w14:paraId="273A8252" w14:textId="77777777" w:rsidR="00F65BCA" w:rsidRDefault="00216117">
                        <w:pPr>
                          <w:pStyle w:val="TableParagraph"/>
                          <w:spacing w:line="130" w:lineRule="exact"/>
                          <w:ind w:left="599"/>
                          <w:rPr>
                            <w:sz w:val="13"/>
                          </w:rPr>
                        </w:pPr>
                        <w:r>
                          <w:rPr>
                            <w:noProof/>
                            <w:position w:val="-2"/>
                            <w:sz w:val="13"/>
                          </w:rPr>
                          <w:drawing>
                            <wp:inline distT="0" distB="0" distL="0" distR="0" wp14:anchorId="451F2650" wp14:editId="570DB72F">
                              <wp:extent cx="74476" cy="82581"/>
                              <wp:effectExtent l="0" t="0" r="0" b="0"/>
                              <wp:docPr id="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47" cstate="print"/>
                                      <a:stretch>
                                        <a:fillRect/>
                                      </a:stretch>
                                    </pic:blipFill>
                                    <pic:spPr>
                                      <a:xfrm>
                                        <a:off x="0" y="0"/>
                                        <a:ext cx="74476" cy="82581"/>
                                      </a:xfrm>
                                      <a:prstGeom prst="rect">
                                        <a:avLst/>
                                      </a:prstGeom>
                                    </pic:spPr>
                                  </pic:pic>
                                </a:graphicData>
                              </a:graphic>
                            </wp:inline>
                          </w:drawing>
                        </w:r>
                      </w:p>
                    </w:tc>
                  </w:tr>
                  <w:tr w:rsidR="00F65BCA" w14:paraId="1BC66DA6" w14:textId="77777777">
                    <w:trPr>
                      <w:trHeight w:val="279"/>
                    </w:trPr>
                    <w:tc>
                      <w:tcPr>
                        <w:tcW w:w="1474" w:type="dxa"/>
                        <w:vMerge/>
                        <w:tcBorders>
                          <w:top w:val="nil"/>
                          <w:left w:val="nil"/>
                          <w:bottom w:val="single" w:sz="4" w:space="0" w:color="231F20"/>
                          <w:right w:val="single" w:sz="4" w:space="0" w:color="231F20"/>
                        </w:tcBorders>
                      </w:tcPr>
                      <w:p w14:paraId="2B31DD5C" w14:textId="77777777" w:rsidR="00F65BCA" w:rsidRDefault="00F65BCA">
                        <w:pPr>
                          <w:rPr>
                            <w:sz w:val="2"/>
                            <w:szCs w:val="2"/>
                          </w:rPr>
                        </w:pPr>
                      </w:p>
                    </w:tc>
                    <w:tc>
                      <w:tcPr>
                        <w:tcW w:w="2494" w:type="dxa"/>
                        <w:tcBorders>
                          <w:top w:val="single" w:sz="4" w:space="0" w:color="231F20"/>
                          <w:left w:val="single" w:sz="4" w:space="0" w:color="231F20"/>
                          <w:bottom w:val="single" w:sz="4" w:space="0" w:color="231F20"/>
                          <w:right w:val="single" w:sz="4" w:space="0" w:color="231F20"/>
                        </w:tcBorders>
                      </w:tcPr>
                      <w:p w14:paraId="3305E525" w14:textId="77777777" w:rsidR="00F65BCA" w:rsidRDefault="00216117">
                        <w:pPr>
                          <w:pStyle w:val="TableParagraph"/>
                          <w:spacing w:before="41"/>
                          <w:ind w:left="85"/>
                          <w:rPr>
                            <w:sz w:val="15"/>
                          </w:rPr>
                        </w:pPr>
                        <w:r>
                          <w:rPr>
                            <w:color w:val="231F20"/>
                            <w:sz w:val="15"/>
                          </w:rPr>
                          <w:t>poškození vozidla zvířetem</w:t>
                        </w:r>
                      </w:p>
                    </w:tc>
                    <w:tc>
                      <w:tcPr>
                        <w:tcW w:w="1303" w:type="dxa"/>
                        <w:tcBorders>
                          <w:top w:val="single" w:sz="4" w:space="0" w:color="231F20"/>
                          <w:left w:val="single" w:sz="4" w:space="0" w:color="231F20"/>
                          <w:bottom w:val="single" w:sz="4" w:space="0" w:color="231F20"/>
                          <w:right w:val="nil"/>
                        </w:tcBorders>
                      </w:tcPr>
                      <w:p w14:paraId="0434844D" w14:textId="77777777" w:rsidR="00F65BCA" w:rsidRDefault="00F65BCA">
                        <w:pPr>
                          <w:pStyle w:val="TableParagraph"/>
                          <w:spacing w:before="6"/>
                          <w:rPr>
                            <w:sz w:val="6"/>
                          </w:rPr>
                        </w:pPr>
                      </w:p>
                      <w:p w14:paraId="6DC438DD" w14:textId="77777777" w:rsidR="00F65BCA" w:rsidRDefault="00216117">
                        <w:pPr>
                          <w:pStyle w:val="TableParagraph"/>
                          <w:spacing w:line="129" w:lineRule="exact"/>
                          <w:ind w:left="599"/>
                          <w:rPr>
                            <w:sz w:val="12"/>
                          </w:rPr>
                        </w:pPr>
                        <w:r>
                          <w:rPr>
                            <w:noProof/>
                            <w:position w:val="-2"/>
                            <w:sz w:val="12"/>
                          </w:rPr>
                          <w:drawing>
                            <wp:inline distT="0" distB="0" distL="0" distR="0" wp14:anchorId="44396409" wp14:editId="68BF7E91">
                              <wp:extent cx="74219" cy="82296"/>
                              <wp:effectExtent l="0" t="0" r="0" b="0"/>
                              <wp:docPr id="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png"/>
                                      <pic:cNvPicPr/>
                                    </pic:nvPicPr>
                                    <pic:blipFill>
                                      <a:blip r:embed="rId46" cstate="print"/>
                                      <a:stretch>
                                        <a:fillRect/>
                                      </a:stretch>
                                    </pic:blipFill>
                                    <pic:spPr>
                                      <a:xfrm>
                                        <a:off x="0" y="0"/>
                                        <a:ext cx="74219" cy="82296"/>
                                      </a:xfrm>
                                      <a:prstGeom prst="rect">
                                        <a:avLst/>
                                      </a:prstGeom>
                                    </pic:spPr>
                                  </pic:pic>
                                </a:graphicData>
                              </a:graphic>
                            </wp:inline>
                          </w:drawing>
                        </w:r>
                      </w:p>
                    </w:tc>
                  </w:tr>
                  <w:tr w:rsidR="00F65BCA" w14:paraId="408F7323" w14:textId="77777777">
                    <w:trPr>
                      <w:trHeight w:val="279"/>
                    </w:trPr>
                    <w:tc>
                      <w:tcPr>
                        <w:tcW w:w="1474" w:type="dxa"/>
                        <w:vMerge/>
                        <w:tcBorders>
                          <w:top w:val="nil"/>
                          <w:left w:val="nil"/>
                          <w:bottom w:val="single" w:sz="4" w:space="0" w:color="231F20"/>
                          <w:right w:val="single" w:sz="4" w:space="0" w:color="231F20"/>
                        </w:tcBorders>
                      </w:tcPr>
                      <w:p w14:paraId="26693A6B" w14:textId="77777777" w:rsidR="00F65BCA" w:rsidRDefault="00F65BCA">
                        <w:pPr>
                          <w:rPr>
                            <w:sz w:val="2"/>
                            <w:szCs w:val="2"/>
                          </w:rPr>
                        </w:pPr>
                      </w:p>
                    </w:tc>
                    <w:tc>
                      <w:tcPr>
                        <w:tcW w:w="2494" w:type="dxa"/>
                        <w:tcBorders>
                          <w:top w:val="single" w:sz="4" w:space="0" w:color="231F20"/>
                          <w:left w:val="single" w:sz="4" w:space="0" w:color="231F20"/>
                          <w:bottom w:val="single" w:sz="4" w:space="0" w:color="231F20"/>
                          <w:right w:val="single" w:sz="4" w:space="0" w:color="231F20"/>
                        </w:tcBorders>
                      </w:tcPr>
                      <w:p w14:paraId="2DF2EECB" w14:textId="77777777" w:rsidR="00F65BCA" w:rsidRDefault="00216117">
                        <w:pPr>
                          <w:pStyle w:val="TableParagraph"/>
                          <w:spacing w:before="41"/>
                          <w:ind w:left="85"/>
                          <w:rPr>
                            <w:sz w:val="15"/>
                          </w:rPr>
                        </w:pPr>
                        <w:r>
                          <w:rPr>
                            <w:color w:val="231F20"/>
                            <w:sz w:val="15"/>
                          </w:rPr>
                          <w:t>vandalismus</w:t>
                        </w:r>
                      </w:p>
                    </w:tc>
                    <w:tc>
                      <w:tcPr>
                        <w:tcW w:w="1303" w:type="dxa"/>
                        <w:tcBorders>
                          <w:top w:val="single" w:sz="4" w:space="0" w:color="231F20"/>
                          <w:left w:val="single" w:sz="4" w:space="0" w:color="231F20"/>
                          <w:bottom w:val="single" w:sz="4" w:space="0" w:color="231F20"/>
                          <w:right w:val="nil"/>
                        </w:tcBorders>
                      </w:tcPr>
                      <w:p w14:paraId="5BBFA601" w14:textId="77777777" w:rsidR="00F65BCA" w:rsidRDefault="00F65BCA">
                        <w:pPr>
                          <w:pStyle w:val="TableParagraph"/>
                          <w:spacing w:before="6"/>
                          <w:rPr>
                            <w:sz w:val="6"/>
                          </w:rPr>
                        </w:pPr>
                      </w:p>
                      <w:p w14:paraId="62506068" w14:textId="77777777" w:rsidR="00F65BCA" w:rsidRDefault="00216117">
                        <w:pPr>
                          <w:pStyle w:val="TableParagraph"/>
                          <w:spacing w:line="130" w:lineRule="exact"/>
                          <w:ind w:left="599"/>
                          <w:rPr>
                            <w:sz w:val="13"/>
                          </w:rPr>
                        </w:pPr>
                        <w:r>
                          <w:rPr>
                            <w:noProof/>
                            <w:position w:val="-2"/>
                            <w:sz w:val="13"/>
                          </w:rPr>
                          <w:drawing>
                            <wp:inline distT="0" distB="0" distL="0" distR="0" wp14:anchorId="15675D97" wp14:editId="397E2653">
                              <wp:extent cx="74476" cy="82581"/>
                              <wp:effectExtent l="0" t="0" r="0" b="0"/>
                              <wp:docPr id="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png"/>
                                      <pic:cNvPicPr/>
                                    </pic:nvPicPr>
                                    <pic:blipFill>
                                      <a:blip r:embed="rId47" cstate="print"/>
                                      <a:stretch>
                                        <a:fillRect/>
                                      </a:stretch>
                                    </pic:blipFill>
                                    <pic:spPr>
                                      <a:xfrm>
                                        <a:off x="0" y="0"/>
                                        <a:ext cx="74476" cy="82581"/>
                                      </a:xfrm>
                                      <a:prstGeom prst="rect">
                                        <a:avLst/>
                                      </a:prstGeom>
                                    </pic:spPr>
                                  </pic:pic>
                                </a:graphicData>
                              </a:graphic>
                            </wp:inline>
                          </w:drawing>
                        </w:r>
                      </w:p>
                    </w:tc>
                  </w:tr>
                  <w:tr w:rsidR="00F65BCA" w14:paraId="6AEB50DB" w14:textId="77777777">
                    <w:trPr>
                      <w:trHeight w:val="279"/>
                    </w:trPr>
                    <w:tc>
                      <w:tcPr>
                        <w:tcW w:w="1474" w:type="dxa"/>
                        <w:vMerge/>
                        <w:tcBorders>
                          <w:top w:val="nil"/>
                          <w:left w:val="nil"/>
                          <w:bottom w:val="single" w:sz="4" w:space="0" w:color="231F20"/>
                          <w:right w:val="single" w:sz="4" w:space="0" w:color="231F20"/>
                        </w:tcBorders>
                      </w:tcPr>
                      <w:p w14:paraId="5A40DB22" w14:textId="77777777" w:rsidR="00F65BCA" w:rsidRDefault="00F65BCA">
                        <w:pPr>
                          <w:rPr>
                            <w:sz w:val="2"/>
                            <w:szCs w:val="2"/>
                          </w:rPr>
                        </w:pPr>
                      </w:p>
                    </w:tc>
                    <w:tc>
                      <w:tcPr>
                        <w:tcW w:w="2494" w:type="dxa"/>
                        <w:tcBorders>
                          <w:top w:val="single" w:sz="4" w:space="0" w:color="231F20"/>
                          <w:left w:val="single" w:sz="4" w:space="0" w:color="231F20"/>
                          <w:bottom w:val="single" w:sz="4" w:space="0" w:color="231F20"/>
                          <w:right w:val="single" w:sz="4" w:space="0" w:color="231F20"/>
                        </w:tcBorders>
                      </w:tcPr>
                      <w:p w14:paraId="052383E4" w14:textId="77777777" w:rsidR="00F65BCA" w:rsidRDefault="00216117">
                        <w:pPr>
                          <w:pStyle w:val="TableParagraph"/>
                          <w:spacing w:before="41"/>
                          <w:ind w:left="85"/>
                          <w:rPr>
                            <w:sz w:val="15"/>
                          </w:rPr>
                        </w:pPr>
                        <w:r>
                          <w:rPr>
                            <w:color w:val="231F20"/>
                            <w:sz w:val="15"/>
                          </w:rPr>
                          <w:t>odcizení částí vozidla</w:t>
                        </w:r>
                      </w:p>
                    </w:tc>
                    <w:tc>
                      <w:tcPr>
                        <w:tcW w:w="1303" w:type="dxa"/>
                        <w:tcBorders>
                          <w:top w:val="single" w:sz="4" w:space="0" w:color="231F20"/>
                          <w:left w:val="single" w:sz="4" w:space="0" w:color="231F20"/>
                          <w:bottom w:val="single" w:sz="4" w:space="0" w:color="231F20"/>
                          <w:right w:val="nil"/>
                        </w:tcBorders>
                      </w:tcPr>
                      <w:p w14:paraId="3E8781D1" w14:textId="77777777" w:rsidR="00F65BCA" w:rsidRDefault="00F65BCA">
                        <w:pPr>
                          <w:pStyle w:val="TableParagraph"/>
                          <w:spacing w:before="6"/>
                          <w:rPr>
                            <w:sz w:val="6"/>
                          </w:rPr>
                        </w:pPr>
                      </w:p>
                      <w:p w14:paraId="6F8C0D68" w14:textId="77777777" w:rsidR="00F65BCA" w:rsidRDefault="00216117">
                        <w:pPr>
                          <w:pStyle w:val="TableParagraph"/>
                          <w:spacing w:line="130" w:lineRule="exact"/>
                          <w:ind w:left="599"/>
                          <w:rPr>
                            <w:sz w:val="13"/>
                          </w:rPr>
                        </w:pPr>
                        <w:r>
                          <w:rPr>
                            <w:noProof/>
                            <w:position w:val="-2"/>
                            <w:sz w:val="13"/>
                          </w:rPr>
                          <w:drawing>
                            <wp:inline distT="0" distB="0" distL="0" distR="0" wp14:anchorId="37910808" wp14:editId="51EDF87E">
                              <wp:extent cx="74476" cy="82581"/>
                              <wp:effectExtent l="0" t="0" r="0" b="0"/>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47" cstate="print"/>
                                      <a:stretch>
                                        <a:fillRect/>
                                      </a:stretch>
                                    </pic:blipFill>
                                    <pic:spPr>
                                      <a:xfrm>
                                        <a:off x="0" y="0"/>
                                        <a:ext cx="74476" cy="82581"/>
                                      </a:xfrm>
                                      <a:prstGeom prst="rect">
                                        <a:avLst/>
                                      </a:prstGeom>
                                    </pic:spPr>
                                  </pic:pic>
                                </a:graphicData>
                              </a:graphic>
                            </wp:inline>
                          </w:drawing>
                        </w:r>
                      </w:p>
                    </w:tc>
                  </w:tr>
                  <w:tr w:rsidR="00F65BCA" w14:paraId="509A05F3" w14:textId="77777777">
                    <w:trPr>
                      <w:trHeight w:val="279"/>
                    </w:trPr>
                    <w:tc>
                      <w:tcPr>
                        <w:tcW w:w="1474" w:type="dxa"/>
                        <w:vMerge w:val="restart"/>
                        <w:tcBorders>
                          <w:top w:val="single" w:sz="4" w:space="0" w:color="231F20"/>
                          <w:left w:val="nil"/>
                          <w:bottom w:val="single" w:sz="4" w:space="0" w:color="231F20"/>
                          <w:right w:val="single" w:sz="4" w:space="0" w:color="231F20"/>
                        </w:tcBorders>
                      </w:tcPr>
                      <w:p w14:paraId="6089C7FC" w14:textId="77777777" w:rsidR="00F65BCA" w:rsidRDefault="00F65BCA">
                        <w:pPr>
                          <w:pStyle w:val="TableParagraph"/>
                          <w:rPr>
                            <w:sz w:val="18"/>
                          </w:rPr>
                        </w:pPr>
                      </w:p>
                      <w:p w14:paraId="20C9F414" w14:textId="77777777" w:rsidR="00F65BCA" w:rsidRDefault="00F65BCA">
                        <w:pPr>
                          <w:pStyle w:val="TableParagraph"/>
                          <w:rPr>
                            <w:sz w:val="18"/>
                          </w:rPr>
                        </w:pPr>
                      </w:p>
                      <w:p w14:paraId="7EA55B75" w14:textId="77777777" w:rsidR="00F65BCA" w:rsidRDefault="00F65BCA">
                        <w:pPr>
                          <w:pStyle w:val="TableParagraph"/>
                          <w:rPr>
                            <w:sz w:val="18"/>
                          </w:rPr>
                        </w:pPr>
                      </w:p>
                      <w:p w14:paraId="28B2A08D" w14:textId="77777777" w:rsidR="00F65BCA" w:rsidRDefault="00F65BCA">
                        <w:pPr>
                          <w:pStyle w:val="TableParagraph"/>
                          <w:rPr>
                            <w:sz w:val="18"/>
                          </w:rPr>
                        </w:pPr>
                      </w:p>
                      <w:p w14:paraId="67C5FD3D" w14:textId="77777777" w:rsidR="00F65BCA" w:rsidRDefault="00F65BCA">
                        <w:pPr>
                          <w:pStyle w:val="TableParagraph"/>
                          <w:rPr>
                            <w:sz w:val="18"/>
                          </w:rPr>
                        </w:pPr>
                      </w:p>
                      <w:p w14:paraId="3190F9F5" w14:textId="77777777" w:rsidR="00F65BCA" w:rsidRDefault="00F65BCA">
                        <w:pPr>
                          <w:pStyle w:val="TableParagraph"/>
                          <w:rPr>
                            <w:sz w:val="18"/>
                          </w:rPr>
                        </w:pPr>
                      </w:p>
                      <w:p w14:paraId="21D1FBF4" w14:textId="77777777" w:rsidR="00F65BCA" w:rsidRDefault="00F65BCA">
                        <w:pPr>
                          <w:pStyle w:val="TableParagraph"/>
                          <w:spacing w:before="4"/>
                          <w:rPr>
                            <w:sz w:val="23"/>
                          </w:rPr>
                        </w:pPr>
                      </w:p>
                      <w:p w14:paraId="0FBB9237" w14:textId="77777777" w:rsidR="00F65BCA" w:rsidRDefault="00216117">
                        <w:pPr>
                          <w:pStyle w:val="TableParagraph"/>
                          <w:ind w:left="318" w:right="293"/>
                          <w:jc w:val="center"/>
                          <w:rPr>
                            <w:sz w:val="15"/>
                          </w:rPr>
                        </w:pPr>
                        <w:r>
                          <w:rPr>
                            <w:color w:val="231F20"/>
                            <w:sz w:val="15"/>
                          </w:rPr>
                          <w:t>porucha</w:t>
                        </w:r>
                      </w:p>
                      <w:p w14:paraId="29E501E7" w14:textId="77777777" w:rsidR="00F65BCA" w:rsidRDefault="00216117">
                        <w:pPr>
                          <w:pStyle w:val="TableParagraph"/>
                          <w:spacing w:before="8"/>
                          <w:ind w:left="318" w:right="293"/>
                          <w:jc w:val="center"/>
                          <w:rPr>
                            <w:sz w:val="15"/>
                          </w:rPr>
                        </w:pPr>
                        <w:r>
                          <w:rPr>
                            <w:color w:val="231F20"/>
                            <w:sz w:val="15"/>
                          </w:rPr>
                          <w:t>a pochybení</w:t>
                        </w:r>
                      </w:p>
                    </w:tc>
                    <w:tc>
                      <w:tcPr>
                        <w:tcW w:w="2494" w:type="dxa"/>
                        <w:tcBorders>
                          <w:top w:val="single" w:sz="4" w:space="0" w:color="231F20"/>
                          <w:left w:val="single" w:sz="4" w:space="0" w:color="231F20"/>
                          <w:bottom w:val="single" w:sz="4" w:space="0" w:color="231F20"/>
                          <w:right w:val="single" w:sz="4" w:space="0" w:color="231F20"/>
                        </w:tcBorders>
                      </w:tcPr>
                      <w:p w14:paraId="5186BE0E" w14:textId="77777777" w:rsidR="00F65BCA" w:rsidRDefault="00216117">
                        <w:pPr>
                          <w:pStyle w:val="TableParagraph"/>
                          <w:spacing w:before="41"/>
                          <w:ind w:left="85"/>
                          <w:rPr>
                            <w:sz w:val="15"/>
                          </w:rPr>
                        </w:pPr>
                        <w:r>
                          <w:rPr>
                            <w:color w:val="231F20"/>
                            <w:sz w:val="15"/>
                          </w:rPr>
                          <w:t>porucha</w:t>
                        </w:r>
                      </w:p>
                    </w:tc>
                    <w:tc>
                      <w:tcPr>
                        <w:tcW w:w="1303" w:type="dxa"/>
                        <w:tcBorders>
                          <w:top w:val="single" w:sz="4" w:space="0" w:color="231F20"/>
                          <w:left w:val="single" w:sz="4" w:space="0" w:color="231F20"/>
                          <w:bottom w:val="single" w:sz="4" w:space="0" w:color="231F20"/>
                          <w:right w:val="nil"/>
                        </w:tcBorders>
                      </w:tcPr>
                      <w:p w14:paraId="3935EF56" w14:textId="77777777" w:rsidR="00F65BCA" w:rsidRDefault="00F65BCA">
                        <w:pPr>
                          <w:pStyle w:val="TableParagraph"/>
                          <w:spacing w:before="6"/>
                          <w:rPr>
                            <w:sz w:val="6"/>
                          </w:rPr>
                        </w:pPr>
                      </w:p>
                      <w:p w14:paraId="652B7E52" w14:textId="77777777" w:rsidR="00F65BCA" w:rsidRDefault="00216117">
                        <w:pPr>
                          <w:pStyle w:val="TableParagraph"/>
                          <w:spacing w:line="130" w:lineRule="exact"/>
                          <w:ind w:left="599"/>
                          <w:rPr>
                            <w:sz w:val="13"/>
                          </w:rPr>
                        </w:pPr>
                        <w:r>
                          <w:rPr>
                            <w:noProof/>
                            <w:position w:val="-2"/>
                            <w:sz w:val="13"/>
                          </w:rPr>
                          <w:drawing>
                            <wp:inline distT="0" distB="0" distL="0" distR="0" wp14:anchorId="3162CE98" wp14:editId="369C685F">
                              <wp:extent cx="74476" cy="82581"/>
                              <wp:effectExtent l="0" t="0" r="0" b="0"/>
                              <wp:docPr id="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png"/>
                                      <pic:cNvPicPr/>
                                    </pic:nvPicPr>
                                    <pic:blipFill>
                                      <a:blip r:embed="rId47" cstate="print"/>
                                      <a:stretch>
                                        <a:fillRect/>
                                      </a:stretch>
                                    </pic:blipFill>
                                    <pic:spPr>
                                      <a:xfrm>
                                        <a:off x="0" y="0"/>
                                        <a:ext cx="74476" cy="82581"/>
                                      </a:xfrm>
                                      <a:prstGeom prst="rect">
                                        <a:avLst/>
                                      </a:prstGeom>
                                    </pic:spPr>
                                  </pic:pic>
                                </a:graphicData>
                              </a:graphic>
                            </wp:inline>
                          </w:drawing>
                        </w:r>
                      </w:p>
                    </w:tc>
                  </w:tr>
                  <w:tr w:rsidR="00F65BCA" w14:paraId="16D845B1" w14:textId="77777777">
                    <w:trPr>
                      <w:trHeight w:val="279"/>
                    </w:trPr>
                    <w:tc>
                      <w:tcPr>
                        <w:tcW w:w="1474" w:type="dxa"/>
                        <w:vMerge/>
                        <w:tcBorders>
                          <w:top w:val="nil"/>
                          <w:left w:val="nil"/>
                          <w:bottom w:val="single" w:sz="4" w:space="0" w:color="231F20"/>
                          <w:right w:val="single" w:sz="4" w:space="0" w:color="231F20"/>
                        </w:tcBorders>
                      </w:tcPr>
                      <w:p w14:paraId="3FE32646" w14:textId="77777777" w:rsidR="00F65BCA" w:rsidRDefault="00F65BCA">
                        <w:pPr>
                          <w:rPr>
                            <w:sz w:val="2"/>
                            <w:szCs w:val="2"/>
                          </w:rPr>
                        </w:pPr>
                      </w:p>
                    </w:tc>
                    <w:tc>
                      <w:tcPr>
                        <w:tcW w:w="2494" w:type="dxa"/>
                        <w:tcBorders>
                          <w:top w:val="single" w:sz="4" w:space="0" w:color="231F20"/>
                          <w:left w:val="single" w:sz="4" w:space="0" w:color="231F20"/>
                          <w:bottom w:val="single" w:sz="4" w:space="0" w:color="231F20"/>
                          <w:right w:val="single" w:sz="4" w:space="0" w:color="231F20"/>
                        </w:tcBorders>
                      </w:tcPr>
                      <w:p w14:paraId="084033F5" w14:textId="77777777" w:rsidR="00F65BCA" w:rsidRDefault="00216117">
                        <w:pPr>
                          <w:pStyle w:val="TableParagraph"/>
                          <w:spacing w:before="41"/>
                          <w:ind w:left="85"/>
                          <w:rPr>
                            <w:sz w:val="15"/>
                          </w:rPr>
                        </w:pPr>
                        <w:r>
                          <w:rPr>
                            <w:color w:val="231F20"/>
                            <w:sz w:val="15"/>
                          </w:rPr>
                          <w:t>defekt pneumatiky</w:t>
                        </w:r>
                      </w:p>
                    </w:tc>
                    <w:tc>
                      <w:tcPr>
                        <w:tcW w:w="1303" w:type="dxa"/>
                        <w:tcBorders>
                          <w:top w:val="single" w:sz="4" w:space="0" w:color="231F20"/>
                          <w:left w:val="single" w:sz="4" w:space="0" w:color="231F20"/>
                          <w:bottom w:val="single" w:sz="4" w:space="0" w:color="231F20"/>
                          <w:right w:val="nil"/>
                        </w:tcBorders>
                      </w:tcPr>
                      <w:p w14:paraId="22160064" w14:textId="77777777" w:rsidR="00F65BCA" w:rsidRDefault="00F65BCA">
                        <w:pPr>
                          <w:pStyle w:val="TableParagraph"/>
                          <w:spacing w:before="6"/>
                          <w:rPr>
                            <w:sz w:val="6"/>
                          </w:rPr>
                        </w:pPr>
                      </w:p>
                      <w:p w14:paraId="4119D39F" w14:textId="77777777" w:rsidR="00F65BCA" w:rsidRDefault="00216117">
                        <w:pPr>
                          <w:pStyle w:val="TableParagraph"/>
                          <w:spacing w:line="130" w:lineRule="exact"/>
                          <w:ind w:left="599"/>
                          <w:rPr>
                            <w:sz w:val="13"/>
                          </w:rPr>
                        </w:pPr>
                        <w:r>
                          <w:rPr>
                            <w:noProof/>
                            <w:position w:val="-2"/>
                            <w:sz w:val="13"/>
                          </w:rPr>
                          <w:drawing>
                            <wp:inline distT="0" distB="0" distL="0" distR="0" wp14:anchorId="295CE578" wp14:editId="6BDC0814">
                              <wp:extent cx="74476" cy="82581"/>
                              <wp:effectExtent l="0" t="0" r="0" b="0"/>
                              <wp:docPr id="7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png"/>
                                      <pic:cNvPicPr/>
                                    </pic:nvPicPr>
                                    <pic:blipFill>
                                      <a:blip r:embed="rId47" cstate="print"/>
                                      <a:stretch>
                                        <a:fillRect/>
                                      </a:stretch>
                                    </pic:blipFill>
                                    <pic:spPr>
                                      <a:xfrm>
                                        <a:off x="0" y="0"/>
                                        <a:ext cx="74476" cy="82581"/>
                                      </a:xfrm>
                                      <a:prstGeom prst="rect">
                                        <a:avLst/>
                                      </a:prstGeom>
                                    </pic:spPr>
                                  </pic:pic>
                                </a:graphicData>
                              </a:graphic>
                            </wp:inline>
                          </w:drawing>
                        </w:r>
                      </w:p>
                    </w:tc>
                  </w:tr>
                  <w:tr w:rsidR="00F65BCA" w14:paraId="3863D57E" w14:textId="77777777">
                    <w:trPr>
                      <w:trHeight w:val="279"/>
                    </w:trPr>
                    <w:tc>
                      <w:tcPr>
                        <w:tcW w:w="1474" w:type="dxa"/>
                        <w:vMerge/>
                        <w:tcBorders>
                          <w:top w:val="nil"/>
                          <w:left w:val="nil"/>
                          <w:bottom w:val="single" w:sz="4" w:space="0" w:color="231F20"/>
                          <w:right w:val="single" w:sz="4" w:space="0" w:color="231F20"/>
                        </w:tcBorders>
                      </w:tcPr>
                      <w:p w14:paraId="01F6635B" w14:textId="77777777" w:rsidR="00F65BCA" w:rsidRDefault="00F65BCA">
                        <w:pPr>
                          <w:rPr>
                            <w:sz w:val="2"/>
                            <w:szCs w:val="2"/>
                          </w:rPr>
                        </w:pPr>
                      </w:p>
                    </w:tc>
                    <w:tc>
                      <w:tcPr>
                        <w:tcW w:w="2494" w:type="dxa"/>
                        <w:tcBorders>
                          <w:top w:val="single" w:sz="4" w:space="0" w:color="231F20"/>
                          <w:left w:val="single" w:sz="4" w:space="0" w:color="231F20"/>
                          <w:bottom w:val="single" w:sz="4" w:space="0" w:color="231F20"/>
                          <w:right w:val="single" w:sz="4" w:space="0" w:color="231F20"/>
                        </w:tcBorders>
                      </w:tcPr>
                      <w:p w14:paraId="644E5B8B" w14:textId="77777777" w:rsidR="00F65BCA" w:rsidRDefault="00216117">
                        <w:pPr>
                          <w:pStyle w:val="TableParagraph"/>
                          <w:spacing w:before="41"/>
                          <w:ind w:left="85"/>
                          <w:rPr>
                            <w:sz w:val="15"/>
                          </w:rPr>
                        </w:pPr>
                        <w:r>
                          <w:rPr>
                            <w:color w:val="231F20"/>
                            <w:sz w:val="15"/>
                          </w:rPr>
                          <w:t>zamrznutí pohonných hmot</w:t>
                        </w:r>
                      </w:p>
                    </w:tc>
                    <w:tc>
                      <w:tcPr>
                        <w:tcW w:w="1303" w:type="dxa"/>
                        <w:tcBorders>
                          <w:top w:val="single" w:sz="4" w:space="0" w:color="231F20"/>
                          <w:left w:val="single" w:sz="4" w:space="0" w:color="231F20"/>
                          <w:bottom w:val="single" w:sz="4" w:space="0" w:color="231F20"/>
                          <w:right w:val="nil"/>
                        </w:tcBorders>
                      </w:tcPr>
                      <w:p w14:paraId="2D1ADA43" w14:textId="77777777" w:rsidR="00F65BCA" w:rsidRDefault="00F65BCA">
                        <w:pPr>
                          <w:pStyle w:val="TableParagraph"/>
                          <w:spacing w:before="6"/>
                          <w:rPr>
                            <w:sz w:val="6"/>
                          </w:rPr>
                        </w:pPr>
                      </w:p>
                      <w:p w14:paraId="7A3402FE" w14:textId="77777777" w:rsidR="00F65BCA" w:rsidRDefault="00216117">
                        <w:pPr>
                          <w:pStyle w:val="TableParagraph"/>
                          <w:spacing w:line="129" w:lineRule="exact"/>
                          <w:ind w:left="599"/>
                          <w:rPr>
                            <w:sz w:val="12"/>
                          </w:rPr>
                        </w:pPr>
                        <w:r>
                          <w:rPr>
                            <w:noProof/>
                            <w:position w:val="-2"/>
                            <w:sz w:val="12"/>
                          </w:rPr>
                          <w:drawing>
                            <wp:inline distT="0" distB="0" distL="0" distR="0" wp14:anchorId="732EDF26" wp14:editId="6833A69E">
                              <wp:extent cx="74219" cy="82296"/>
                              <wp:effectExtent l="0" t="0" r="0" b="0"/>
                              <wp:docPr id="7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8.png"/>
                                      <pic:cNvPicPr/>
                                    </pic:nvPicPr>
                                    <pic:blipFill>
                                      <a:blip r:embed="rId46" cstate="print"/>
                                      <a:stretch>
                                        <a:fillRect/>
                                      </a:stretch>
                                    </pic:blipFill>
                                    <pic:spPr>
                                      <a:xfrm>
                                        <a:off x="0" y="0"/>
                                        <a:ext cx="74219" cy="82296"/>
                                      </a:xfrm>
                                      <a:prstGeom prst="rect">
                                        <a:avLst/>
                                      </a:prstGeom>
                                    </pic:spPr>
                                  </pic:pic>
                                </a:graphicData>
                              </a:graphic>
                            </wp:inline>
                          </w:drawing>
                        </w:r>
                      </w:p>
                    </w:tc>
                  </w:tr>
                  <w:tr w:rsidR="00F65BCA" w14:paraId="135619F0" w14:textId="77777777">
                    <w:trPr>
                      <w:trHeight w:val="279"/>
                    </w:trPr>
                    <w:tc>
                      <w:tcPr>
                        <w:tcW w:w="1474" w:type="dxa"/>
                        <w:vMerge/>
                        <w:tcBorders>
                          <w:top w:val="nil"/>
                          <w:left w:val="nil"/>
                          <w:bottom w:val="single" w:sz="4" w:space="0" w:color="231F20"/>
                          <w:right w:val="single" w:sz="4" w:space="0" w:color="231F20"/>
                        </w:tcBorders>
                      </w:tcPr>
                      <w:p w14:paraId="69020921" w14:textId="77777777" w:rsidR="00F65BCA" w:rsidRDefault="00F65BCA">
                        <w:pPr>
                          <w:rPr>
                            <w:sz w:val="2"/>
                            <w:szCs w:val="2"/>
                          </w:rPr>
                        </w:pPr>
                      </w:p>
                    </w:tc>
                    <w:tc>
                      <w:tcPr>
                        <w:tcW w:w="2494" w:type="dxa"/>
                        <w:tcBorders>
                          <w:top w:val="single" w:sz="4" w:space="0" w:color="231F20"/>
                          <w:left w:val="single" w:sz="4" w:space="0" w:color="231F20"/>
                          <w:bottom w:val="single" w:sz="4" w:space="0" w:color="231F20"/>
                          <w:right w:val="single" w:sz="4" w:space="0" w:color="231F20"/>
                        </w:tcBorders>
                      </w:tcPr>
                      <w:p w14:paraId="0E252656" w14:textId="77777777" w:rsidR="00F65BCA" w:rsidRDefault="00216117">
                        <w:pPr>
                          <w:pStyle w:val="TableParagraph"/>
                          <w:spacing w:before="41"/>
                          <w:ind w:left="85"/>
                          <w:rPr>
                            <w:sz w:val="15"/>
                          </w:rPr>
                        </w:pPr>
                        <w:r>
                          <w:rPr>
                            <w:color w:val="231F20"/>
                            <w:sz w:val="15"/>
                          </w:rPr>
                          <w:t>vybití akumulátoru</w:t>
                        </w:r>
                      </w:p>
                    </w:tc>
                    <w:tc>
                      <w:tcPr>
                        <w:tcW w:w="1303" w:type="dxa"/>
                        <w:tcBorders>
                          <w:top w:val="single" w:sz="4" w:space="0" w:color="231F20"/>
                          <w:left w:val="single" w:sz="4" w:space="0" w:color="231F20"/>
                          <w:bottom w:val="single" w:sz="4" w:space="0" w:color="231F20"/>
                          <w:right w:val="nil"/>
                        </w:tcBorders>
                      </w:tcPr>
                      <w:p w14:paraId="423C6192" w14:textId="77777777" w:rsidR="00F65BCA" w:rsidRDefault="00F65BCA">
                        <w:pPr>
                          <w:pStyle w:val="TableParagraph"/>
                          <w:spacing w:before="6"/>
                          <w:rPr>
                            <w:sz w:val="6"/>
                          </w:rPr>
                        </w:pPr>
                      </w:p>
                      <w:p w14:paraId="2177FDF3" w14:textId="77777777" w:rsidR="00F65BCA" w:rsidRDefault="00216117">
                        <w:pPr>
                          <w:pStyle w:val="TableParagraph"/>
                          <w:spacing w:line="130" w:lineRule="exact"/>
                          <w:ind w:left="599"/>
                          <w:rPr>
                            <w:sz w:val="13"/>
                          </w:rPr>
                        </w:pPr>
                        <w:r>
                          <w:rPr>
                            <w:noProof/>
                            <w:position w:val="-2"/>
                            <w:sz w:val="13"/>
                          </w:rPr>
                          <w:drawing>
                            <wp:inline distT="0" distB="0" distL="0" distR="0" wp14:anchorId="208BF84E" wp14:editId="34C19A4F">
                              <wp:extent cx="74476" cy="82581"/>
                              <wp:effectExtent l="0" t="0" r="0" b="0"/>
                              <wp:docPr id="7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9.png"/>
                                      <pic:cNvPicPr/>
                                    </pic:nvPicPr>
                                    <pic:blipFill>
                                      <a:blip r:embed="rId47" cstate="print"/>
                                      <a:stretch>
                                        <a:fillRect/>
                                      </a:stretch>
                                    </pic:blipFill>
                                    <pic:spPr>
                                      <a:xfrm>
                                        <a:off x="0" y="0"/>
                                        <a:ext cx="74476" cy="82581"/>
                                      </a:xfrm>
                                      <a:prstGeom prst="rect">
                                        <a:avLst/>
                                      </a:prstGeom>
                                    </pic:spPr>
                                  </pic:pic>
                                </a:graphicData>
                              </a:graphic>
                            </wp:inline>
                          </w:drawing>
                        </w:r>
                      </w:p>
                    </w:tc>
                  </w:tr>
                  <w:tr w:rsidR="00F65BCA" w14:paraId="6F66D9BA" w14:textId="77777777">
                    <w:trPr>
                      <w:trHeight w:val="443"/>
                    </w:trPr>
                    <w:tc>
                      <w:tcPr>
                        <w:tcW w:w="1474" w:type="dxa"/>
                        <w:vMerge/>
                        <w:tcBorders>
                          <w:top w:val="nil"/>
                          <w:left w:val="nil"/>
                          <w:bottom w:val="single" w:sz="4" w:space="0" w:color="231F20"/>
                          <w:right w:val="single" w:sz="4" w:space="0" w:color="231F20"/>
                        </w:tcBorders>
                      </w:tcPr>
                      <w:p w14:paraId="692DCAAD" w14:textId="77777777" w:rsidR="00F65BCA" w:rsidRDefault="00F65BCA">
                        <w:pPr>
                          <w:rPr>
                            <w:sz w:val="2"/>
                            <w:szCs w:val="2"/>
                          </w:rPr>
                        </w:pPr>
                      </w:p>
                    </w:tc>
                    <w:tc>
                      <w:tcPr>
                        <w:tcW w:w="2494" w:type="dxa"/>
                        <w:tcBorders>
                          <w:top w:val="single" w:sz="4" w:space="0" w:color="231F20"/>
                          <w:left w:val="single" w:sz="4" w:space="0" w:color="231F20"/>
                          <w:bottom w:val="single" w:sz="4" w:space="0" w:color="231F20"/>
                          <w:right w:val="single" w:sz="4" w:space="0" w:color="231F20"/>
                        </w:tcBorders>
                      </w:tcPr>
                      <w:p w14:paraId="1CC53B6C" w14:textId="77777777" w:rsidR="00F65BCA" w:rsidRDefault="00216117">
                        <w:pPr>
                          <w:pStyle w:val="TableParagraph"/>
                          <w:spacing w:before="41" w:line="249" w:lineRule="auto"/>
                          <w:ind w:left="85"/>
                          <w:rPr>
                            <w:sz w:val="15"/>
                          </w:rPr>
                        </w:pPr>
                        <w:r>
                          <w:rPr>
                            <w:color w:val="231F20"/>
                            <w:sz w:val="15"/>
                          </w:rPr>
                          <w:t>zamrznutí zámků, ruční brzdy, rozvodů vzduchu</w:t>
                        </w:r>
                      </w:p>
                    </w:tc>
                    <w:tc>
                      <w:tcPr>
                        <w:tcW w:w="1303" w:type="dxa"/>
                        <w:tcBorders>
                          <w:top w:val="single" w:sz="4" w:space="0" w:color="231F20"/>
                          <w:left w:val="single" w:sz="4" w:space="0" w:color="231F20"/>
                          <w:bottom w:val="single" w:sz="4" w:space="0" w:color="231F20"/>
                          <w:right w:val="nil"/>
                        </w:tcBorders>
                      </w:tcPr>
                      <w:p w14:paraId="55855947" w14:textId="77777777" w:rsidR="00F65BCA" w:rsidRDefault="00F65BCA">
                        <w:pPr>
                          <w:pStyle w:val="TableParagraph"/>
                          <w:spacing w:before="10"/>
                          <w:rPr>
                            <w:sz w:val="16"/>
                          </w:rPr>
                        </w:pPr>
                      </w:p>
                      <w:p w14:paraId="77BED7B9" w14:textId="77777777" w:rsidR="00F65BCA" w:rsidRDefault="00216117">
                        <w:pPr>
                          <w:pStyle w:val="TableParagraph"/>
                          <w:spacing w:line="129" w:lineRule="exact"/>
                          <w:ind w:left="599"/>
                          <w:rPr>
                            <w:sz w:val="12"/>
                          </w:rPr>
                        </w:pPr>
                        <w:r>
                          <w:rPr>
                            <w:noProof/>
                            <w:position w:val="-2"/>
                            <w:sz w:val="12"/>
                          </w:rPr>
                          <w:drawing>
                            <wp:inline distT="0" distB="0" distL="0" distR="0" wp14:anchorId="0249979A" wp14:editId="5C49ACAF">
                              <wp:extent cx="74219" cy="82296"/>
                              <wp:effectExtent l="0" t="0" r="0" b="0"/>
                              <wp:docPr id="7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8.png"/>
                                      <pic:cNvPicPr/>
                                    </pic:nvPicPr>
                                    <pic:blipFill>
                                      <a:blip r:embed="rId46" cstate="print"/>
                                      <a:stretch>
                                        <a:fillRect/>
                                      </a:stretch>
                                    </pic:blipFill>
                                    <pic:spPr>
                                      <a:xfrm>
                                        <a:off x="0" y="0"/>
                                        <a:ext cx="74219" cy="82296"/>
                                      </a:xfrm>
                                      <a:prstGeom prst="rect">
                                        <a:avLst/>
                                      </a:prstGeom>
                                    </pic:spPr>
                                  </pic:pic>
                                </a:graphicData>
                              </a:graphic>
                            </wp:inline>
                          </w:drawing>
                        </w:r>
                      </w:p>
                    </w:tc>
                  </w:tr>
                  <w:tr w:rsidR="00F65BCA" w14:paraId="30D44383" w14:textId="77777777">
                    <w:trPr>
                      <w:trHeight w:val="279"/>
                    </w:trPr>
                    <w:tc>
                      <w:tcPr>
                        <w:tcW w:w="1474" w:type="dxa"/>
                        <w:vMerge/>
                        <w:tcBorders>
                          <w:top w:val="nil"/>
                          <w:left w:val="nil"/>
                          <w:bottom w:val="single" w:sz="4" w:space="0" w:color="231F20"/>
                          <w:right w:val="single" w:sz="4" w:space="0" w:color="231F20"/>
                        </w:tcBorders>
                      </w:tcPr>
                      <w:p w14:paraId="57BBA8C8" w14:textId="77777777" w:rsidR="00F65BCA" w:rsidRDefault="00F65BCA">
                        <w:pPr>
                          <w:rPr>
                            <w:sz w:val="2"/>
                            <w:szCs w:val="2"/>
                          </w:rPr>
                        </w:pPr>
                      </w:p>
                    </w:tc>
                    <w:tc>
                      <w:tcPr>
                        <w:tcW w:w="2494" w:type="dxa"/>
                        <w:tcBorders>
                          <w:top w:val="single" w:sz="4" w:space="0" w:color="231F20"/>
                          <w:left w:val="single" w:sz="4" w:space="0" w:color="231F20"/>
                          <w:bottom w:val="single" w:sz="4" w:space="0" w:color="231F20"/>
                          <w:right w:val="single" w:sz="4" w:space="0" w:color="231F20"/>
                        </w:tcBorders>
                      </w:tcPr>
                      <w:p w14:paraId="5546F65E" w14:textId="77777777" w:rsidR="00F65BCA" w:rsidRDefault="00216117">
                        <w:pPr>
                          <w:pStyle w:val="TableParagraph"/>
                          <w:spacing w:before="41"/>
                          <w:ind w:left="85"/>
                          <w:rPr>
                            <w:sz w:val="15"/>
                          </w:rPr>
                        </w:pPr>
                        <w:r>
                          <w:rPr>
                            <w:color w:val="231F20"/>
                            <w:sz w:val="15"/>
                          </w:rPr>
                          <w:t>ztráta, zabouchnutí, zalomení klíčů</w:t>
                        </w:r>
                      </w:p>
                    </w:tc>
                    <w:tc>
                      <w:tcPr>
                        <w:tcW w:w="1303" w:type="dxa"/>
                        <w:tcBorders>
                          <w:top w:val="single" w:sz="4" w:space="0" w:color="231F20"/>
                          <w:left w:val="single" w:sz="4" w:space="0" w:color="231F20"/>
                          <w:bottom w:val="single" w:sz="4" w:space="0" w:color="231F20"/>
                          <w:right w:val="nil"/>
                        </w:tcBorders>
                      </w:tcPr>
                      <w:p w14:paraId="1E665BB4" w14:textId="77777777" w:rsidR="00F65BCA" w:rsidRDefault="00F65BCA">
                        <w:pPr>
                          <w:pStyle w:val="TableParagraph"/>
                          <w:spacing w:before="6"/>
                          <w:rPr>
                            <w:sz w:val="6"/>
                          </w:rPr>
                        </w:pPr>
                      </w:p>
                      <w:p w14:paraId="57D8BCEA" w14:textId="77777777" w:rsidR="00F65BCA" w:rsidRDefault="00216117">
                        <w:pPr>
                          <w:pStyle w:val="TableParagraph"/>
                          <w:spacing w:line="130" w:lineRule="exact"/>
                          <w:ind w:left="599"/>
                          <w:rPr>
                            <w:sz w:val="13"/>
                          </w:rPr>
                        </w:pPr>
                        <w:r>
                          <w:rPr>
                            <w:noProof/>
                            <w:position w:val="-2"/>
                            <w:sz w:val="13"/>
                          </w:rPr>
                          <w:drawing>
                            <wp:inline distT="0" distB="0" distL="0" distR="0" wp14:anchorId="1172A932" wp14:editId="76D191B1">
                              <wp:extent cx="74476" cy="82581"/>
                              <wp:effectExtent l="0" t="0" r="0" b="0"/>
                              <wp:docPr id="8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9.png"/>
                                      <pic:cNvPicPr/>
                                    </pic:nvPicPr>
                                    <pic:blipFill>
                                      <a:blip r:embed="rId47" cstate="print"/>
                                      <a:stretch>
                                        <a:fillRect/>
                                      </a:stretch>
                                    </pic:blipFill>
                                    <pic:spPr>
                                      <a:xfrm>
                                        <a:off x="0" y="0"/>
                                        <a:ext cx="74476" cy="82581"/>
                                      </a:xfrm>
                                      <a:prstGeom prst="rect">
                                        <a:avLst/>
                                      </a:prstGeom>
                                    </pic:spPr>
                                  </pic:pic>
                                </a:graphicData>
                              </a:graphic>
                            </wp:inline>
                          </w:drawing>
                        </w:r>
                      </w:p>
                    </w:tc>
                  </w:tr>
                  <w:tr w:rsidR="00F65BCA" w14:paraId="161A4317" w14:textId="77777777">
                    <w:trPr>
                      <w:trHeight w:val="279"/>
                    </w:trPr>
                    <w:tc>
                      <w:tcPr>
                        <w:tcW w:w="1474" w:type="dxa"/>
                        <w:vMerge/>
                        <w:tcBorders>
                          <w:top w:val="nil"/>
                          <w:left w:val="nil"/>
                          <w:bottom w:val="single" w:sz="4" w:space="0" w:color="231F20"/>
                          <w:right w:val="single" w:sz="4" w:space="0" w:color="231F20"/>
                        </w:tcBorders>
                      </w:tcPr>
                      <w:p w14:paraId="5A2EBEA6" w14:textId="77777777" w:rsidR="00F65BCA" w:rsidRDefault="00F65BCA">
                        <w:pPr>
                          <w:rPr>
                            <w:sz w:val="2"/>
                            <w:szCs w:val="2"/>
                          </w:rPr>
                        </w:pPr>
                      </w:p>
                    </w:tc>
                    <w:tc>
                      <w:tcPr>
                        <w:tcW w:w="2494" w:type="dxa"/>
                        <w:tcBorders>
                          <w:top w:val="single" w:sz="4" w:space="0" w:color="231F20"/>
                          <w:left w:val="single" w:sz="4" w:space="0" w:color="231F20"/>
                          <w:bottom w:val="single" w:sz="4" w:space="0" w:color="231F20"/>
                          <w:right w:val="single" w:sz="4" w:space="0" w:color="231F20"/>
                        </w:tcBorders>
                      </w:tcPr>
                      <w:p w14:paraId="4E54B9C6" w14:textId="77777777" w:rsidR="00F65BCA" w:rsidRDefault="00216117">
                        <w:pPr>
                          <w:pStyle w:val="TableParagraph"/>
                          <w:spacing w:before="41"/>
                          <w:ind w:left="85"/>
                          <w:rPr>
                            <w:sz w:val="15"/>
                          </w:rPr>
                        </w:pPr>
                        <w:r>
                          <w:rPr>
                            <w:color w:val="231F20"/>
                            <w:sz w:val="15"/>
                          </w:rPr>
                          <w:t>rozlomení spínací skříňky</w:t>
                        </w:r>
                      </w:p>
                    </w:tc>
                    <w:tc>
                      <w:tcPr>
                        <w:tcW w:w="1303" w:type="dxa"/>
                        <w:tcBorders>
                          <w:top w:val="single" w:sz="4" w:space="0" w:color="231F20"/>
                          <w:left w:val="single" w:sz="4" w:space="0" w:color="231F20"/>
                          <w:bottom w:val="single" w:sz="4" w:space="0" w:color="231F20"/>
                          <w:right w:val="nil"/>
                        </w:tcBorders>
                      </w:tcPr>
                      <w:p w14:paraId="2367C81C" w14:textId="77777777" w:rsidR="00F65BCA" w:rsidRDefault="00F65BCA">
                        <w:pPr>
                          <w:pStyle w:val="TableParagraph"/>
                          <w:spacing w:before="6"/>
                          <w:rPr>
                            <w:sz w:val="6"/>
                          </w:rPr>
                        </w:pPr>
                      </w:p>
                      <w:p w14:paraId="5F749237" w14:textId="77777777" w:rsidR="00F65BCA" w:rsidRDefault="00216117">
                        <w:pPr>
                          <w:pStyle w:val="TableParagraph"/>
                          <w:spacing w:line="130" w:lineRule="exact"/>
                          <w:ind w:left="599"/>
                          <w:rPr>
                            <w:sz w:val="13"/>
                          </w:rPr>
                        </w:pPr>
                        <w:r>
                          <w:rPr>
                            <w:noProof/>
                            <w:position w:val="-2"/>
                            <w:sz w:val="13"/>
                          </w:rPr>
                          <w:drawing>
                            <wp:inline distT="0" distB="0" distL="0" distR="0" wp14:anchorId="60CF2BC9" wp14:editId="06CF9ADC">
                              <wp:extent cx="74476" cy="82581"/>
                              <wp:effectExtent l="0" t="0" r="0" b="0"/>
                              <wp:docPr id="8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9.png"/>
                                      <pic:cNvPicPr/>
                                    </pic:nvPicPr>
                                    <pic:blipFill>
                                      <a:blip r:embed="rId47" cstate="print"/>
                                      <a:stretch>
                                        <a:fillRect/>
                                      </a:stretch>
                                    </pic:blipFill>
                                    <pic:spPr>
                                      <a:xfrm>
                                        <a:off x="0" y="0"/>
                                        <a:ext cx="74476" cy="82581"/>
                                      </a:xfrm>
                                      <a:prstGeom prst="rect">
                                        <a:avLst/>
                                      </a:prstGeom>
                                    </pic:spPr>
                                  </pic:pic>
                                </a:graphicData>
                              </a:graphic>
                            </wp:inline>
                          </w:drawing>
                        </w:r>
                      </w:p>
                    </w:tc>
                  </w:tr>
                  <w:tr w:rsidR="00F65BCA" w14:paraId="647B86E0" w14:textId="77777777">
                    <w:trPr>
                      <w:trHeight w:val="279"/>
                    </w:trPr>
                    <w:tc>
                      <w:tcPr>
                        <w:tcW w:w="1474" w:type="dxa"/>
                        <w:vMerge/>
                        <w:tcBorders>
                          <w:top w:val="nil"/>
                          <w:left w:val="nil"/>
                          <w:bottom w:val="single" w:sz="4" w:space="0" w:color="231F20"/>
                          <w:right w:val="single" w:sz="4" w:space="0" w:color="231F20"/>
                        </w:tcBorders>
                      </w:tcPr>
                      <w:p w14:paraId="088C8D8B" w14:textId="77777777" w:rsidR="00F65BCA" w:rsidRDefault="00F65BCA">
                        <w:pPr>
                          <w:rPr>
                            <w:sz w:val="2"/>
                            <w:szCs w:val="2"/>
                          </w:rPr>
                        </w:pPr>
                      </w:p>
                    </w:tc>
                    <w:tc>
                      <w:tcPr>
                        <w:tcW w:w="2494" w:type="dxa"/>
                        <w:tcBorders>
                          <w:top w:val="single" w:sz="4" w:space="0" w:color="231F20"/>
                          <w:left w:val="single" w:sz="4" w:space="0" w:color="231F20"/>
                          <w:bottom w:val="single" w:sz="4" w:space="0" w:color="231F20"/>
                          <w:right w:val="single" w:sz="4" w:space="0" w:color="231F20"/>
                        </w:tcBorders>
                      </w:tcPr>
                      <w:p w14:paraId="131ECC37" w14:textId="77777777" w:rsidR="00F65BCA" w:rsidRDefault="00216117">
                        <w:pPr>
                          <w:pStyle w:val="TableParagraph"/>
                          <w:spacing w:before="41"/>
                          <w:ind w:left="85"/>
                          <w:rPr>
                            <w:sz w:val="15"/>
                          </w:rPr>
                        </w:pPr>
                        <w:r>
                          <w:rPr>
                            <w:color w:val="231F20"/>
                            <w:sz w:val="15"/>
                          </w:rPr>
                          <w:t>záměna pohonných hmot</w:t>
                        </w:r>
                      </w:p>
                    </w:tc>
                    <w:tc>
                      <w:tcPr>
                        <w:tcW w:w="1303" w:type="dxa"/>
                        <w:tcBorders>
                          <w:top w:val="single" w:sz="4" w:space="0" w:color="231F20"/>
                          <w:left w:val="single" w:sz="4" w:space="0" w:color="231F20"/>
                          <w:bottom w:val="single" w:sz="4" w:space="0" w:color="231F20"/>
                          <w:right w:val="nil"/>
                        </w:tcBorders>
                      </w:tcPr>
                      <w:p w14:paraId="1F8D0EBB" w14:textId="77777777" w:rsidR="00F65BCA" w:rsidRDefault="00F65BCA">
                        <w:pPr>
                          <w:pStyle w:val="TableParagraph"/>
                          <w:spacing w:before="6"/>
                          <w:rPr>
                            <w:sz w:val="6"/>
                          </w:rPr>
                        </w:pPr>
                      </w:p>
                      <w:p w14:paraId="017AF0FB" w14:textId="77777777" w:rsidR="00F65BCA" w:rsidRDefault="00216117">
                        <w:pPr>
                          <w:pStyle w:val="TableParagraph"/>
                          <w:spacing w:line="130" w:lineRule="exact"/>
                          <w:ind w:left="599"/>
                          <w:rPr>
                            <w:sz w:val="13"/>
                          </w:rPr>
                        </w:pPr>
                        <w:r>
                          <w:rPr>
                            <w:noProof/>
                            <w:position w:val="-2"/>
                            <w:sz w:val="13"/>
                          </w:rPr>
                          <w:drawing>
                            <wp:inline distT="0" distB="0" distL="0" distR="0" wp14:anchorId="65749F6B" wp14:editId="4614C03C">
                              <wp:extent cx="74476" cy="82581"/>
                              <wp:effectExtent l="0" t="0" r="0" b="0"/>
                              <wp:docPr id="8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9.png"/>
                                      <pic:cNvPicPr/>
                                    </pic:nvPicPr>
                                    <pic:blipFill>
                                      <a:blip r:embed="rId47" cstate="print"/>
                                      <a:stretch>
                                        <a:fillRect/>
                                      </a:stretch>
                                    </pic:blipFill>
                                    <pic:spPr>
                                      <a:xfrm>
                                        <a:off x="0" y="0"/>
                                        <a:ext cx="74476" cy="82581"/>
                                      </a:xfrm>
                                      <a:prstGeom prst="rect">
                                        <a:avLst/>
                                      </a:prstGeom>
                                    </pic:spPr>
                                  </pic:pic>
                                </a:graphicData>
                              </a:graphic>
                            </wp:inline>
                          </w:drawing>
                        </w:r>
                      </w:p>
                    </w:tc>
                  </w:tr>
                  <w:tr w:rsidR="00F65BCA" w14:paraId="5219177B" w14:textId="77777777">
                    <w:trPr>
                      <w:trHeight w:val="443"/>
                    </w:trPr>
                    <w:tc>
                      <w:tcPr>
                        <w:tcW w:w="1474" w:type="dxa"/>
                        <w:vMerge/>
                        <w:tcBorders>
                          <w:top w:val="nil"/>
                          <w:left w:val="nil"/>
                          <w:bottom w:val="single" w:sz="4" w:space="0" w:color="231F20"/>
                          <w:right w:val="single" w:sz="4" w:space="0" w:color="231F20"/>
                        </w:tcBorders>
                      </w:tcPr>
                      <w:p w14:paraId="71F23A55" w14:textId="77777777" w:rsidR="00F65BCA" w:rsidRDefault="00F65BCA">
                        <w:pPr>
                          <w:rPr>
                            <w:sz w:val="2"/>
                            <w:szCs w:val="2"/>
                          </w:rPr>
                        </w:pPr>
                      </w:p>
                    </w:tc>
                    <w:tc>
                      <w:tcPr>
                        <w:tcW w:w="2494" w:type="dxa"/>
                        <w:tcBorders>
                          <w:top w:val="single" w:sz="4" w:space="0" w:color="231F20"/>
                          <w:left w:val="single" w:sz="4" w:space="0" w:color="231F20"/>
                          <w:bottom w:val="single" w:sz="4" w:space="0" w:color="231F20"/>
                          <w:right w:val="single" w:sz="4" w:space="0" w:color="231F20"/>
                        </w:tcBorders>
                      </w:tcPr>
                      <w:p w14:paraId="74B4B6F4" w14:textId="77777777" w:rsidR="00F65BCA" w:rsidRDefault="00216117">
                        <w:pPr>
                          <w:pStyle w:val="TableParagraph"/>
                          <w:spacing w:before="41" w:line="249" w:lineRule="auto"/>
                          <w:ind w:left="85" w:right="450"/>
                          <w:rPr>
                            <w:sz w:val="15"/>
                          </w:rPr>
                        </w:pPr>
                        <w:r>
                          <w:rPr>
                            <w:color w:val="231F20"/>
                            <w:sz w:val="15"/>
                          </w:rPr>
                          <w:t>nedostatek pohonných hmot a energií</w:t>
                        </w:r>
                      </w:p>
                    </w:tc>
                    <w:tc>
                      <w:tcPr>
                        <w:tcW w:w="1303" w:type="dxa"/>
                        <w:tcBorders>
                          <w:top w:val="single" w:sz="4" w:space="0" w:color="231F20"/>
                          <w:left w:val="single" w:sz="4" w:space="0" w:color="231F20"/>
                          <w:bottom w:val="single" w:sz="4" w:space="0" w:color="231F20"/>
                          <w:right w:val="nil"/>
                        </w:tcBorders>
                      </w:tcPr>
                      <w:p w14:paraId="53DB9405" w14:textId="77777777" w:rsidR="00F65BCA" w:rsidRDefault="00F65BCA">
                        <w:pPr>
                          <w:pStyle w:val="TableParagraph"/>
                          <w:spacing w:before="6"/>
                          <w:rPr>
                            <w:sz w:val="6"/>
                          </w:rPr>
                        </w:pPr>
                      </w:p>
                      <w:p w14:paraId="29CA5484" w14:textId="77777777" w:rsidR="00F65BCA" w:rsidRDefault="00216117">
                        <w:pPr>
                          <w:pStyle w:val="TableParagraph"/>
                          <w:spacing w:line="130" w:lineRule="exact"/>
                          <w:ind w:left="599"/>
                          <w:rPr>
                            <w:sz w:val="13"/>
                          </w:rPr>
                        </w:pPr>
                        <w:r>
                          <w:rPr>
                            <w:noProof/>
                            <w:position w:val="-2"/>
                            <w:sz w:val="13"/>
                          </w:rPr>
                          <w:drawing>
                            <wp:inline distT="0" distB="0" distL="0" distR="0" wp14:anchorId="251F9B02" wp14:editId="488A7411">
                              <wp:extent cx="74476" cy="82581"/>
                              <wp:effectExtent l="0" t="0" r="0" b="0"/>
                              <wp:docPr id="8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9.png"/>
                                      <pic:cNvPicPr/>
                                    </pic:nvPicPr>
                                    <pic:blipFill>
                                      <a:blip r:embed="rId47" cstate="print"/>
                                      <a:stretch>
                                        <a:fillRect/>
                                      </a:stretch>
                                    </pic:blipFill>
                                    <pic:spPr>
                                      <a:xfrm>
                                        <a:off x="0" y="0"/>
                                        <a:ext cx="74476" cy="82581"/>
                                      </a:xfrm>
                                      <a:prstGeom prst="rect">
                                        <a:avLst/>
                                      </a:prstGeom>
                                    </pic:spPr>
                                  </pic:pic>
                                </a:graphicData>
                              </a:graphic>
                            </wp:inline>
                          </w:drawing>
                        </w:r>
                      </w:p>
                    </w:tc>
                  </w:tr>
                  <w:tr w:rsidR="00F65BCA" w14:paraId="0D131AD0" w14:textId="77777777">
                    <w:trPr>
                      <w:trHeight w:val="443"/>
                    </w:trPr>
                    <w:tc>
                      <w:tcPr>
                        <w:tcW w:w="1474" w:type="dxa"/>
                        <w:vMerge/>
                        <w:tcBorders>
                          <w:top w:val="nil"/>
                          <w:left w:val="nil"/>
                          <w:bottom w:val="single" w:sz="4" w:space="0" w:color="231F20"/>
                          <w:right w:val="single" w:sz="4" w:space="0" w:color="231F20"/>
                        </w:tcBorders>
                      </w:tcPr>
                      <w:p w14:paraId="27A6A71F" w14:textId="77777777" w:rsidR="00F65BCA" w:rsidRDefault="00F65BCA">
                        <w:pPr>
                          <w:rPr>
                            <w:sz w:val="2"/>
                            <w:szCs w:val="2"/>
                          </w:rPr>
                        </w:pPr>
                      </w:p>
                    </w:tc>
                    <w:tc>
                      <w:tcPr>
                        <w:tcW w:w="2494" w:type="dxa"/>
                        <w:tcBorders>
                          <w:top w:val="single" w:sz="4" w:space="0" w:color="231F20"/>
                          <w:left w:val="single" w:sz="4" w:space="0" w:color="231F20"/>
                          <w:bottom w:val="single" w:sz="4" w:space="0" w:color="231F20"/>
                          <w:right w:val="single" w:sz="4" w:space="0" w:color="231F20"/>
                        </w:tcBorders>
                      </w:tcPr>
                      <w:p w14:paraId="3F661725" w14:textId="77777777" w:rsidR="00F65BCA" w:rsidRDefault="00216117">
                        <w:pPr>
                          <w:pStyle w:val="TableParagraph"/>
                          <w:spacing w:before="41" w:line="249" w:lineRule="auto"/>
                          <w:ind w:left="85"/>
                          <w:rPr>
                            <w:sz w:val="15"/>
                          </w:rPr>
                        </w:pPr>
                        <w:r>
                          <w:rPr>
                            <w:color w:val="231F20"/>
                            <w:w w:val="95"/>
                            <w:sz w:val="15"/>
                          </w:rPr>
                          <w:t xml:space="preserve">porucha nástěnné nabíječky </w:t>
                        </w:r>
                        <w:r>
                          <w:rPr>
                            <w:color w:val="231F20"/>
                            <w:sz w:val="15"/>
                          </w:rPr>
                          <w:t>(</w:t>
                        </w:r>
                        <w:r>
                          <w:rPr>
                            <w:color w:val="231F20"/>
                            <w:sz w:val="15"/>
                          </w:rPr>
                          <w:t>wallboxu)</w:t>
                        </w:r>
                      </w:p>
                    </w:tc>
                    <w:tc>
                      <w:tcPr>
                        <w:tcW w:w="1303" w:type="dxa"/>
                        <w:tcBorders>
                          <w:top w:val="single" w:sz="4" w:space="0" w:color="231F20"/>
                          <w:left w:val="single" w:sz="4" w:space="0" w:color="231F20"/>
                          <w:bottom w:val="single" w:sz="4" w:space="0" w:color="231F20"/>
                          <w:right w:val="nil"/>
                        </w:tcBorders>
                      </w:tcPr>
                      <w:p w14:paraId="4A92B9D6" w14:textId="77777777" w:rsidR="00F65BCA" w:rsidRDefault="00F65BCA">
                        <w:pPr>
                          <w:pStyle w:val="TableParagraph"/>
                          <w:spacing w:before="6"/>
                          <w:rPr>
                            <w:sz w:val="6"/>
                          </w:rPr>
                        </w:pPr>
                      </w:p>
                      <w:p w14:paraId="79F026F2" w14:textId="77777777" w:rsidR="00F65BCA" w:rsidRDefault="00216117">
                        <w:pPr>
                          <w:pStyle w:val="TableParagraph"/>
                          <w:spacing w:line="130" w:lineRule="exact"/>
                          <w:ind w:left="599"/>
                          <w:rPr>
                            <w:sz w:val="13"/>
                          </w:rPr>
                        </w:pPr>
                        <w:r>
                          <w:rPr>
                            <w:noProof/>
                            <w:position w:val="-2"/>
                            <w:sz w:val="13"/>
                          </w:rPr>
                          <w:drawing>
                            <wp:inline distT="0" distB="0" distL="0" distR="0" wp14:anchorId="02938FF0" wp14:editId="7205A2E8">
                              <wp:extent cx="74476" cy="82581"/>
                              <wp:effectExtent l="0" t="0" r="0" b="0"/>
                              <wp:docPr id="8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9.png"/>
                                      <pic:cNvPicPr/>
                                    </pic:nvPicPr>
                                    <pic:blipFill>
                                      <a:blip r:embed="rId47" cstate="print"/>
                                      <a:stretch>
                                        <a:fillRect/>
                                      </a:stretch>
                                    </pic:blipFill>
                                    <pic:spPr>
                                      <a:xfrm>
                                        <a:off x="0" y="0"/>
                                        <a:ext cx="74476" cy="82581"/>
                                      </a:xfrm>
                                      <a:prstGeom prst="rect">
                                        <a:avLst/>
                                      </a:prstGeom>
                                    </pic:spPr>
                                  </pic:pic>
                                </a:graphicData>
                              </a:graphic>
                            </wp:inline>
                          </w:drawing>
                        </w:r>
                      </w:p>
                    </w:tc>
                  </w:tr>
                  <w:tr w:rsidR="00F65BCA" w14:paraId="3CACEB4B" w14:textId="77777777">
                    <w:trPr>
                      <w:trHeight w:val="274"/>
                    </w:trPr>
                    <w:tc>
                      <w:tcPr>
                        <w:tcW w:w="1474" w:type="dxa"/>
                        <w:tcBorders>
                          <w:top w:val="single" w:sz="4" w:space="0" w:color="231F20"/>
                          <w:left w:val="nil"/>
                          <w:right w:val="single" w:sz="4" w:space="0" w:color="231F20"/>
                        </w:tcBorders>
                      </w:tcPr>
                      <w:p w14:paraId="30F84BA5" w14:textId="77777777" w:rsidR="00F65BCA" w:rsidRDefault="00216117">
                        <w:pPr>
                          <w:pStyle w:val="TableParagraph"/>
                          <w:spacing w:before="41"/>
                          <w:ind w:left="318" w:right="293"/>
                          <w:jc w:val="center"/>
                          <w:rPr>
                            <w:sz w:val="15"/>
                          </w:rPr>
                        </w:pPr>
                        <w:r>
                          <w:rPr>
                            <w:color w:val="231F20"/>
                            <w:sz w:val="15"/>
                          </w:rPr>
                          <w:t>ostatní</w:t>
                        </w:r>
                      </w:p>
                    </w:tc>
                    <w:tc>
                      <w:tcPr>
                        <w:tcW w:w="2494" w:type="dxa"/>
                        <w:tcBorders>
                          <w:top w:val="single" w:sz="4" w:space="0" w:color="231F20"/>
                          <w:left w:val="single" w:sz="4" w:space="0" w:color="231F20"/>
                          <w:right w:val="single" w:sz="4" w:space="0" w:color="231F20"/>
                        </w:tcBorders>
                      </w:tcPr>
                      <w:p w14:paraId="407AC79E" w14:textId="77777777" w:rsidR="00F65BCA" w:rsidRDefault="00216117">
                        <w:pPr>
                          <w:pStyle w:val="TableParagraph"/>
                          <w:spacing w:before="41"/>
                          <w:ind w:left="85"/>
                          <w:rPr>
                            <w:sz w:val="15"/>
                          </w:rPr>
                        </w:pPr>
                        <w:r>
                          <w:rPr>
                            <w:color w:val="231F20"/>
                            <w:sz w:val="15"/>
                          </w:rPr>
                          <w:t>odcizení vozidla</w:t>
                        </w:r>
                      </w:p>
                    </w:tc>
                    <w:tc>
                      <w:tcPr>
                        <w:tcW w:w="1303" w:type="dxa"/>
                        <w:tcBorders>
                          <w:top w:val="single" w:sz="4" w:space="0" w:color="231F20"/>
                          <w:left w:val="single" w:sz="4" w:space="0" w:color="231F20"/>
                          <w:right w:val="nil"/>
                        </w:tcBorders>
                      </w:tcPr>
                      <w:p w14:paraId="4148C799" w14:textId="77777777" w:rsidR="00F65BCA" w:rsidRDefault="00F65BCA">
                        <w:pPr>
                          <w:pStyle w:val="TableParagraph"/>
                          <w:spacing w:before="6"/>
                          <w:rPr>
                            <w:sz w:val="6"/>
                          </w:rPr>
                        </w:pPr>
                      </w:p>
                      <w:p w14:paraId="201E1233" w14:textId="77777777" w:rsidR="00F65BCA" w:rsidRDefault="00216117">
                        <w:pPr>
                          <w:pStyle w:val="TableParagraph"/>
                          <w:spacing w:line="130" w:lineRule="exact"/>
                          <w:ind w:left="599"/>
                          <w:rPr>
                            <w:sz w:val="13"/>
                          </w:rPr>
                        </w:pPr>
                        <w:r>
                          <w:rPr>
                            <w:noProof/>
                            <w:position w:val="-2"/>
                            <w:sz w:val="13"/>
                          </w:rPr>
                          <w:drawing>
                            <wp:inline distT="0" distB="0" distL="0" distR="0" wp14:anchorId="5D478B61" wp14:editId="1CBAE4C7">
                              <wp:extent cx="74476" cy="82581"/>
                              <wp:effectExtent l="0" t="0" r="0" b="0"/>
                              <wp:docPr id="9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9.png"/>
                                      <pic:cNvPicPr/>
                                    </pic:nvPicPr>
                                    <pic:blipFill>
                                      <a:blip r:embed="rId47" cstate="print"/>
                                      <a:stretch>
                                        <a:fillRect/>
                                      </a:stretch>
                                    </pic:blipFill>
                                    <pic:spPr>
                                      <a:xfrm>
                                        <a:off x="0" y="0"/>
                                        <a:ext cx="74476" cy="82581"/>
                                      </a:xfrm>
                                      <a:prstGeom prst="rect">
                                        <a:avLst/>
                                      </a:prstGeom>
                                    </pic:spPr>
                                  </pic:pic>
                                </a:graphicData>
                              </a:graphic>
                            </wp:inline>
                          </w:drawing>
                        </w:r>
                      </w:p>
                    </w:tc>
                  </w:tr>
                </w:tbl>
                <w:p w14:paraId="50CB81FF" w14:textId="77777777" w:rsidR="00F65BCA" w:rsidRDefault="00F65BCA">
                  <w:pPr>
                    <w:pStyle w:val="Zkladntext"/>
                  </w:pPr>
                </w:p>
              </w:txbxContent>
            </v:textbox>
            <w10:anchorlock/>
          </v:shape>
        </w:pict>
      </w:r>
      <w:r w:rsidR="00216117">
        <w:rPr>
          <w:rFonts w:ascii="Times New Roman"/>
          <w:spacing w:val="146"/>
        </w:rPr>
        <w:t xml:space="preserve"> </w:t>
      </w:r>
      <w:r>
        <w:rPr>
          <w:spacing w:val="146"/>
        </w:rPr>
      </w:r>
      <w:r>
        <w:rPr>
          <w:spacing w:val="146"/>
        </w:rPr>
        <w:pict w14:anchorId="4A23EE8C">
          <v:shape id="_x0000_s2574" type="#_x0000_t202" style="width:265.15pt;height:301.8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191"/>
                    <w:gridCol w:w="2382"/>
                    <w:gridCol w:w="851"/>
                    <w:gridCol w:w="851"/>
                  </w:tblGrid>
                  <w:tr w:rsidR="00F65BCA" w14:paraId="64E8147F" w14:textId="77777777">
                    <w:trPr>
                      <w:trHeight w:val="432"/>
                    </w:trPr>
                    <w:tc>
                      <w:tcPr>
                        <w:tcW w:w="3573" w:type="dxa"/>
                        <w:gridSpan w:val="2"/>
                        <w:vMerge w:val="restart"/>
                        <w:tcBorders>
                          <w:left w:val="nil"/>
                          <w:bottom w:val="single" w:sz="4" w:space="0" w:color="231F20"/>
                          <w:right w:val="single" w:sz="4" w:space="0" w:color="231F20"/>
                        </w:tcBorders>
                      </w:tcPr>
                      <w:p w14:paraId="01E846C4" w14:textId="77777777" w:rsidR="00F65BCA" w:rsidRDefault="00F65BCA">
                        <w:pPr>
                          <w:pStyle w:val="TableParagraph"/>
                          <w:spacing w:before="8"/>
                          <w:rPr>
                            <w:rFonts w:ascii="Times New Roman"/>
                            <w:sz w:val="14"/>
                          </w:rPr>
                        </w:pPr>
                      </w:p>
                      <w:p w14:paraId="46EF8A45" w14:textId="77777777" w:rsidR="00F65BCA" w:rsidRDefault="00216117">
                        <w:pPr>
                          <w:pStyle w:val="TableParagraph"/>
                          <w:spacing w:before="1" w:line="249" w:lineRule="auto"/>
                          <w:ind w:left="447" w:right="420" w:hanging="1"/>
                          <w:jc w:val="center"/>
                          <w:rPr>
                            <w:sz w:val="15"/>
                          </w:rPr>
                        </w:pPr>
                        <w:r>
                          <w:rPr>
                            <w:color w:val="231F20"/>
                            <w:w w:val="105"/>
                            <w:sz w:val="15"/>
                          </w:rPr>
                          <w:t>Pojistná nebezpečí (nepojízdnost/technická nezpůsobilost vozidla v případě)</w:t>
                        </w:r>
                      </w:p>
                    </w:tc>
                    <w:tc>
                      <w:tcPr>
                        <w:tcW w:w="1702" w:type="dxa"/>
                        <w:gridSpan w:val="2"/>
                        <w:tcBorders>
                          <w:left w:val="single" w:sz="4" w:space="0" w:color="231F20"/>
                          <w:bottom w:val="single" w:sz="4" w:space="0" w:color="231F20"/>
                          <w:right w:val="nil"/>
                        </w:tcBorders>
                      </w:tcPr>
                      <w:p w14:paraId="6E985454" w14:textId="77777777" w:rsidR="00F65BCA" w:rsidRDefault="00216117">
                        <w:pPr>
                          <w:pStyle w:val="TableParagraph"/>
                          <w:spacing w:before="36" w:line="249" w:lineRule="auto"/>
                          <w:ind w:left="520" w:right="491" w:firstLine="51"/>
                          <w:rPr>
                            <w:sz w:val="15"/>
                          </w:rPr>
                        </w:pPr>
                        <w:r>
                          <w:rPr>
                            <w:color w:val="231F20"/>
                            <w:w w:val="105"/>
                            <w:sz w:val="15"/>
                          </w:rPr>
                          <w:t>Varianta asistence</w:t>
                        </w:r>
                      </w:p>
                    </w:tc>
                  </w:tr>
                  <w:tr w:rsidR="00F65BCA" w14:paraId="316C534B" w14:textId="77777777">
                    <w:trPr>
                      <w:trHeight w:val="437"/>
                    </w:trPr>
                    <w:tc>
                      <w:tcPr>
                        <w:tcW w:w="3573" w:type="dxa"/>
                        <w:gridSpan w:val="2"/>
                        <w:vMerge/>
                        <w:tcBorders>
                          <w:top w:val="nil"/>
                          <w:left w:val="nil"/>
                          <w:bottom w:val="single" w:sz="4" w:space="0" w:color="231F20"/>
                          <w:right w:val="single" w:sz="4" w:space="0" w:color="231F20"/>
                        </w:tcBorders>
                      </w:tcPr>
                      <w:p w14:paraId="36674140" w14:textId="77777777" w:rsidR="00F65BCA" w:rsidRDefault="00F65BCA">
                        <w:pPr>
                          <w:rPr>
                            <w:sz w:val="2"/>
                            <w:szCs w:val="2"/>
                          </w:rPr>
                        </w:pPr>
                      </w:p>
                    </w:tc>
                    <w:tc>
                      <w:tcPr>
                        <w:tcW w:w="851" w:type="dxa"/>
                        <w:tcBorders>
                          <w:top w:val="single" w:sz="4" w:space="0" w:color="231F20"/>
                          <w:left w:val="single" w:sz="4" w:space="0" w:color="231F20"/>
                          <w:bottom w:val="single" w:sz="4" w:space="0" w:color="231F20"/>
                          <w:right w:val="single" w:sz="4" w:space="0" w:color="231F20"/>
                        </w:tcBorders>
                      </w:tcPr>
                      <w:p w14:paraId="323F0A6B" w14:textId="77777777" w:rsidR="00F65BCA" w:rsidRDefault="00216117">
                        <w:pPr>
                          <w:pStyle w:val="TableParagraph"/>
                          <w:spacing w:before="131"/>
                          <w:ind w:left="243"/>
                          <w:rPr>
                            <w:sz w:val="15"/>
                          </w:rPr>
                        </w:pPr>
                        <w:r>
                          <w:rPr>
                            <w:color w:val="231F20"/>
                            <w:w w:val="110"/>
                            <w:sz w:val="15"/>
                          </w:rPr>
                          <w:t>S / M</w:t>
                        </w:r>
                      </w:p>
                    </w:tc>
                    <w:tc>
                      <w:tcPr>
                        <w:tcW w:w="851" w:type="dxa"/>
                        <w:tcBorders>
                          <w:top w:val="single" w:sz="4" w:space="0" w:color="231F20"/>
                          <w:left w:val="single" w:sz="4" w:space="0" w:color="231F20"/>
                          <w:bottom w:val="single" w:sz="4" w:space="0" w:color="231F20"/>
                          <w:right w:val="nil"/>
                        </w:tcBorders>
                      </w:tcPr>
                      <w:p w14:paraId="377F805D" w14:textId="77777777" w:rsidR="00F65BCA" w:rsidRDefault="00216117">
                        <w:pPr>
                          <w:pStyle w:val="TableParagraph"/>
                          <w:spacing w:before="41" w:line="249" w:lineRule="auto"/>
                          <w:ind w:left="94" w:firstLine="80"/>
                          <w:rPr>
                            <w:sz w:val="15"/>
                          </w:rPr>
                        </w:pPr>
                        <w:r>
                          <w:rPr>
                            <w:color w:val="231F20"/>
                            <w:w w:val="105"/>
                            <w:sz w:val="15"/>
                          </w:rPr>
                          <w:t xml:space="preserve">L / XL / </w:t>
                        </w:r>
                        <w:r>
                          <w:rPr>
                            <w:color w:val="231F20"/>
                            <w:sz w:val="15"/>
                          </w:rPr>
                          <w:t>Souprava</w:t>
                        </w:r>
                      </w:p>
                    </w:tc>
                  </w:tr>
                  <w:tr w:rsidR="00F65BCA" w14:paraId="43D03741" w14:textId="77777777">
                    <w:trPr>
                      <w:trHeight w:val="279"/>
                    </w:trPr>
                    <w:tc>
                      <w:tcPr>
                        <w:tcW w:w="1191" w:type="dxa"/>
                        <w:vMerge w:val="restart"/>
                        <w:tcBorders>
                          <w:top w:val="single" w:sz="4" w:space="0" w:color="231F20"/>
                          <w:left w:val="nil"/>
                          <w:bottom w:val="single" w:sz="4" w:space="0" w:color="231F20"/>
                          <w:right w:val="single" w:sz="4" w:space="0" w:color="231F20"/>
                        </w:tcBorders>
                      </w:tcPr>
                      <w:p w14:paraId="23C4201E" w14:textId="77777777" w:rsidR="00F65BCA" w:rsidRDefault="00F65BCA">
                        <w:pPr>
                          <w:pStyle w:val="TableParagraph"/>
                          <w:rPr>
                            <w:rFonts w:ascii="Times New Roman"/>
                            <w:sz w:val="18"/>
                          </w:rPr>
                        </w:pPr>
                      </w:p>
                      <w:p w14:paraId="3610D765" w14:textId="77777777" w:rsidR="00F65BCA" w:rsidRDefault="00F65BCA">
                        <w:pPr>
                          <w:pStyle w:val="TableParagraph"/>
                          <w:rPr>
                            <w:rFonts w:ascii="Times New Roman"/>
                            <w:sz w:val="18"/>
                          </w:rPr>
                        </w:pPr>
                      </w:p>
                      <w:p w14:paraId="3F2415E2" w14:textId="77777777" w:rsidR="00F65BCA" w:rsidRDefault="00F65BCA">
                        <w:pPr>
                          <w:pStyle w:val="TableParagraph"/>
                          <w:spacing w:before="10"/>
                          <w:rPr>
                            <w:rFonts w:ascii="Times New Roman"/>
                            <w:sz w:val="18"/>
                          </w:rPr>
                        </w:pPr>
                      </w:p>
                      <w:p w14:paraId="666850EC" w14:textId="77777777" w:rsidR="00F65BCA" w:rsidRDefault="00216117">
                        <w:pPr>
                          <w:pStyle w:val="TableParagraph"/>
                          <w:ind w:left="157"/>
                          <w:rPr>
                            <w:sz w:val="15"/>
                          </w:rPr>
                        </w:pPr>
                        <w:r>
                          <w:rPr>
                            <w:color w:val="231F20"/>
                            <w:sz w:val="15"/>
                          </w:rPr>
                          <w:t>havarijní rizika</w:t>
                        </w:r>
                      </w:p>
                    </w:tc>
                    <w:tc>
                      <w:tcPr>
                        <w:tcW w:w="2382" w:type="dxa"/>
                        <w:tcBorders>
                          <w:top w:val="single" w:sz="4" w:space="0" w:color="231F20"/>
                          <w:left w:val="single" w:sz="4" w:space="0" w:color="231F20"/>
                          <w:bottom w:val="single" w:sz="4" w:space="0" w:color="231F20"/>
                          <w:right w:val="single" w:sz="4" w:space="0" w:color="231F20"/>
                        </w:tcBorders>
                      </w:tcPr>
                      <w:p w14:paraId="4AF5550F" w14:textId="77777777" w:rsidR="00F65BCA" w:rsidRDefault="00216117">
                        <w:pPr>
                          <w:pStyle w:val="TableParagraph"/>
                          <w:spacing w:before="41"/>
                          <w:ind w:left="84"/>
                          <w:rPr>
                            <w:sz w:val="15"/>
                          </w:rPr>
                        </w:pPr>
                        <w:r>
                          <w:rPr>
                            <w:color w:val="231F20"/>
                            <w:sz w:val="15"/>
                          </w:rPr>
                          <w:t>havárie</w:t>
                        </w:r>
                      </w:p>
                    </w:tc>
                    <w:tc>
                      <w:tcPr>
                        <w:tcW w:w="851" w:type="dxa"/>
                        <w:tcBorders>
                          <w:top w:val="single" w:sz="4" w:space="0" w:color="231F20"/>
                          <w:left w:val="single" w:sz="4" w:space="0" w:color="231F20"/>
                          <w:bottom w:val="single" w:sz="4" w:space="0" w:color="231F20"/>
                          <w:right w:val="single" w:sz="4" w:space="0" w:color="231F20"/>
                        </w:tcBorders>
                      </w:tcPr>
                      <w:p w14:paraId="40CD0CCC" w14:textId="77777777" w:rsidR="00F65BCA" w:rsidRDefault="00F65BCA">
                        <w:pPr>
                          <w:pStyle w:val="TableParagraph"/>
                          <w:spacing w:before="4"/>
                          <w:rPr>
                            <w:rFonts w:ascii="Times New Roman"/>
                            <w:sz w:val="7"/>
                          </w:rPr>
                        </w:pPr>
                      </w:p>
                      <w:p w14:paraId="1570BA9D" w14:textId="77777777" w:rsidR="00F65BCA" w:rsidRDefault="00216117">
                        <w:pPr>
                          <w:pStyle w:val="TableParagraph"/>
                          <w:spacing w:line="130" w:lineRule="exact"/>
                          <w:ind w:left="370"/>
                          <w:rPr>
                            <w:rFonts w:ascii="Times New Roman"/>
                            <w:sz w:val="13"/>
                          </w:rPr>
                        </w:pPr>
                        <w:r>
                          <w:rPr>
                            <w:rFonts w:ascii="Times New Roman"/>
                            <w:noProof/>
                            <w:position w:val="-2"/>
                            <w:sz w:val="13"/>
                          </w:rPr>
                          <w:drawing>
                            <wp:inline distT="0" distB="0" distL="0" distR="0" wp14:anchorId="48E76648" wp14:editId="704BB6A3">
                              <wp:extent cx="74476" cy="82581"/>
                              <wp:effectExtent l="0" t="0" r="0" b="0"/>
                              <wp:docPr id="9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851" w:type="dxa"/>
                        <w:tcBorders>
                          <w:top w:val="single" w:sz="4" w:space="0" w:color="231F20"/>
                          <w:left w:val="single" w:sz="4" w:space="0" w:color="231F20"/>
                          <w:bottom w:val="single" w:sz="4" w:space="0" w:color="231F20"/>
                          <w:right w:val="nil"/>
                        </w:tcBorders>
                      </w:tcPr>
                      <w:p w14:paraId="20B3DDF9" w14:textId="77777777" w:rsidR="00F65BCA" w:rsidRDefault="00F65BCA">
                        <w:pPr>
                          <w:pStyle w:val="TableParagraph"/>
                          <w:spacing w:before="4"/>
                          <w:rPr>
                            <w:rFonts w:ascii="Times New Roman"/>
                            <w:sz w:val="7"/>
                          </w:rPr>
                        </w:pPr>
                      </w:p>
                      <w:p w14:paraId="2F575121" w14:textId="77777777" w:rsidR="00F65BCA" w:rsidRDefault="00216117">
                        <w:pPr>
                          <w:pStyle w:val="TableParagraph"/>
                          <w:spacing w:line="130" w:lineRule="exact"/>
                          <w:ind w:left="369"/>
                          <w:rPr>
                            <w:rFonts w:ascii="Times New Roman"/>
                            <w:sz w:val="13"/>
                          </w:rPr>
                        </w:pPr>
                        <w:r>
                          <w:rPr>
                            <w:rFonts w:ascii="Times New Roman"/>
                            <w:noProof/>
                            <w:position w:val="-2"/>
                            <w:sz w:val="13"/>
                          </w:rPr>
                          <w:drawing>
                            <wp:inline distT="0" distB="0" distL="0" distR="0" wp14:anchorId="23AA8D4B" wp14:editId="60FB364F">
                              <wp:extent cx="74489" cy="82581"/>
                              <wp:effectExtent l="0" t="0" r="0" b="0"/>
                              <wp:docPr id="9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61451369" w14:textId="77777777">
                    <w:trPr>
                      <w:trHeight w:val="279"/>
                    </w:trPr>
                    <w:tc>
                      <w:tcPr>
                        <w:tcW w:w="1191" w:type="dxa"/>
                        <w:vMerge/>
                        <w:tcBorders>
                          <w:top w:val="nil"/>
                          <w:left w:val="nil"/>
                          <w:bottom w:val="single" w:sz="4" w:space="0" w:color="231F20"/>
                          <w:right w:val="single" w:sz="4" w:space="0" w:color="231F20"/>
                        </w:tcBorders>
                      </w:tcPr>
                      <w:p w14:paraId="25E49168" w14:textId="77777777" w:rsidR="00F65BCA" w:rsidRDefault="00F65BCA">
                        <w:pPr>
                          <w:rPr>
                            <w:sz w:val="2"/>
                            <w:szCs w:val="2"/>
                          </w:rPr>
                        </w:pPr>
                      </w:p>
                    </w:tc>
                    <w:tc>
                      <w:tcPr>
                        <w:tcW w:w="2382" w:type="dxa"/>
                        <w:tcBorders>
                          <w:top w:val="single" w:sz="4" w:space="0" w:color="231F20"/>
                          <w:left w:val="single" w:sz="4" w:space="0" w:color="231F20"/>
                          <w:bottom w:val="single" w:sz="4" w:space="0" w:color="231F20"/>
                          <w:right w:val="single" w:sz="4" w:space="0" w:color="231F20"/>
                        </w:tcBorders>
                      </w:tcPr>
                      <w:p w14:paraId="4CAAFF9F" w14:textId="77777777" w:rsidR="00F65BCA" w:rsidRDefault="00216117">
                        <w:pPr>
                          <w:pStyle w:val="TableParagraph"/>
                          <w:spacing w:before="41"/>
                          <w:ind w:left="84"/>
                          <w:rPr>
                            <w:sz w:val="15"/>
                          </w:rPr>
                        </w:pPr>
                        <w:r>
                          <w:rPr>
                            <w:color w:val="231F20"/>
                            <w:sz w:val="15"/>
                          </w:rPr>
                          <w:t>živelní událost</w:t>
                        </w:r>
                      </w:p>
                    </w:tc>
                    <w:tc>
                      <w:tcPr>
                        <w:tcW w:w="851" w:type="dxa"/>
                        <w:tcBorders>
                          <w:top w:val="single" w:sz="4" w:space="0" w:color="231F20"/>
                          <w:left w:val="single" w:sz="4" w:space="0" w:color="231F20"/>
                          <w:bottom w:val="single" w:sz="4" w:space="0" w:color="231F20"/>
                          <w:right w:val="single" w:sz="4" w:space="0" w:color="231F20"/>
                        </w:tcBorders>
                      </w:tcPr>
                      <w:p w14:paraId="571D637B" w14:textId="77777777" w:rsidR="00F65BCA" w:rsidRDefault="00F65BCA">
                        <w:pPr>
                          <w:pStyle w:val="TableParagraph"/>
                          <w:spacing w:before="4"/>
                          <w:rPr>
                            <w:rFonts w:ascii="Times New Roman"/>
                            <w:sz w:val="7"/>
                          </w:rPr>
                        </w:pPr>
                      </w:p>
                      <w:p w14:paraId="1D7E5508" w14:textId="77777777" w:rsidR="00F65BCA" w:rsidRDefault="00216117">
                        <w:pPr>
                          <w:pStyle w:val="TableParagraph"/>
                          <w:spacing w:line="130" w:lineRule="exact"/>
                          <w:ind w:left="370"/>
                          <w:rPr>
                            <w:rFonts w:ascii="Times New Roman"/>
                            <w:sz w:val="13"/>
                          </w:rPr>
                        </w:pPr>
                        <w:r>
                          <w:rPr>
                            <w:rFonts w:ascii="Times New Roman"/>
                            <w:noProof/>
                            <w:position w:val="-2"/>
                            <w:sz w:val="13"/>
                          </w:rPr>
                          <w:drawing>
                            <wp:inline distT="0" distB="0" distL="0" distR="0" wp14:anchorId="205F5A28" wp14:editId="051261C3">
                              <wp:extent cx="74476" cy="82581"/>
                              <wp:effectExtent l="0" t="0" r="0" b="0"/>
                              <wp:docPr id="9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851" w:type="dxa"/>
                        <w:tcBorders>
                          <w:top w:val="single" w:sz="4" w:space="0" w:color="231F20"/>
                          <w:left w:val="single" w:sz="4" w:space="0" w:color="231F20"/>
                          <w:bottom w:val="single" w:sz="4" w:space="0" w:color="231F20"/>
                          <w:right w:val="nil"/>
                        </w:tcBorders>
                      </w:tcPr>
                      <w:p w14:paraId="1290C43D" w14:textId="77777777" w:rsidR="00F65BCA" w:rsidRDefault="00F65BCA">
                        <w:pPr>
                          <w:pStyle w:val="TableParagraph"/>
                          <w:spacing w:before="4"/>
                          <w:rPr>
                            <w:rFonts w:ascii="Times New Roman"/>
                            <w:sz w:val="7"/>
                          </w:rPr>
                        </w:pPr>
                      </w:p>
                      <w:p w14:paraId="56C511B4" w14:textId="77777777" w:rsidR="00F65BCA" w:rsidRDefault="00216117">
                        <w:pPr>
                          <w:pStyle w:val="TableParagraph"/>
                          <w:spacing w:line="130" w:lineRule="exact"/>
                          <w:ind w:left="369"/>
                          <w:rPr>
                            <w:rFonts w:ascii="Times New Roman"/>
                            <w:sz w:val="13"/>
                          </w:rPr>
                        </w:pPr>
                        <w:r>
                          <w:rPr>
                            <w:rFonts w:ascii="Times New Roman"/>
                            <w:noProof/>
                            <w:position w:val="-2"/>
                            <w:sz w:val="13"/>
                          </w:rPr>
                          <w:drawing>
                            <wp:inline distT="0" distB="0" distL="0" distR="0" wp14:anchorId="2D3D3648" wp14:editId="205823BA">
                              <wp:extent cx="74489" cy="82581"/>
                              <wp:effectExtent l="0" t="0" r="0" b="0"/>
                              <wp:docPr id="9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3FD8538F" w14:textId="77777777">
                    <w:trPr>
                      <w:trHeight w:val="279"/>
                    </w:trPr>
                    <w:tc>
                      <w:tcPr>
                        <w:tcW w:w="1191" w:type="dxa"/>
                        <w:vMerge/>
                        <w:tcBorders>
                          <w:top w:val="nil"/>
                          <w:left w:val="nil"/>
                          <w:bottom w:val="single" w:sz="4" w:space="0" w:color="231F20"/>
                          <w:right w:val="single" w:sz="4" w:space="0" w:color="231F20"/>
                        </w:tcBorders>
                      </w:tcPr>
                      <w:p w14:paraId="32068800" w14:textId="77777777" w:rsidR="00F65BCA" w:rsidRDefault="00F65BCA">
                        <w:pPr>
                          <w:rPr>
                            <w:sz w:val="2"/>
                            <w:szCs w:val="2"/>
                          </w:rPr>
                        </w:pPr>
                      </w:p>
                    </w:tc>
                    <w:tc>
                      <w:tcPr>
                        <w:tcW w:w="2382" w:type="dxa"/>
                        <w:tcBorders>
                          <w:top w:val="single" w:sz="4" w:space="0" w:color="231F20"/>
                          <w:left w:val="single" w:sz="4" w:space="0" w:color="231F20"/>
                          <w:bottom w:val="single" w:sz="4" w:space="0" w:color="231F20"/>
                          <w:right w:val="single" w:sz="4" w:space="0" w:color="231F20"/>
                        </w:tcBorders>
                      </w:tcPr>
                      <w:p w14:paraId="3F9C2E35" w14:textId="77777777" w:rsidR="00F65BCA" w:rsidRDefault="00216117">
                        <w:pPr>
                          <w:pStyle w:val="TableParagraph"/>
                          <w:spacing w:before="41"/>
                          <w:ind w:left="84"/>
                          <w:rPr>
                            <w:sz w:val="15"/>
                          </w:rPr>
                        </w:pPr>
                        <w:r>
                          <w:rPr>
                            <w:color w:val="231F20"/>
                            <w:sz w:val="15"/>
                          </w:rPr>
                          <w:t>poškození vozidla zvířetem</w:t>
                        </w:r>
                      </w:p>
                    </w:tc>
                    <w:tc>
                      <w:tcPr>
                        <w:tcW w:w="851" w:type="dxa"/>
                        <w:tcBorders>
                          <w:top w:val="single" w:sz="4" w:space="0" w:color="231F20"/>
                          <w:left w:val="single" w:sz="4" w:space="0" w:color="231F20"/>
                          <w:bottom w:val="single" w:sz="4" w:space="0" w:color="231F20"/>
                          <w:right w:val="single" w:sz="4" w:space="0" w:color="231F20"/>
                        </w:tcBorders>
                      </w:tcPr>
                      <w:p w14:paraId="65A588A9" w14:textId="77777777" w:rsidR="00F65BCA" w:rsidRDefault="00F65BCA">
                        <w:pPr>
                          <w:pStyle w:val="TableParagraph"/>
                          <w:spacing w:before="4"/>
                          <w:rPr>
                            <w:rFonts w:ascii="Times New Roman"/>
                            <w:sz w:val="7"/>
                          </w:rPr>
                        </w:pPr>
                      </w:p>
                      <w:p w14:paraId="1A789A55" w14:textId="77777777" w:rsidR="00F65BCA" w:rsidRDefault="00216117">
                        <w:pPr>
                          <w:pStyle w:val="TableParagraph"/>
                          <w:spacing w:line="130" w:lineRule="exact"/>
                          <w:ind w:left="370"/>
                          <w:rPr>
                            <w:rFonts w:ascii="Times New Roman"/>
                            <w:sz w:val="13"/>
                          </w:rPr>
                        </w:pPr>
                        <w:r>
                          <w:rPr>
                            <w:rFonts w:ascii="Times New Roman"/>
                            <w:noProof/>
                            <w:position w:val="-2"/>
                            <w:sz w:val="13"/>
                          </w:rPr>
                          <w:drawing>
                            <wp:inline distT="0" distB="0" distL="0" distR="0" wp14:anchorId="705F598E" wp14:editId="14FB8544">
                              <wp:extent cx="74476" cy="82581"/>
                              <wp:effectExtent l="0" t="0" r="0" b="0"/>
                              <wp:docPr id="10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851" w:type="dxa"/>
                        <w:tcBorders>
                          <w:top w:val="single" w:sz="4" w:space="0" w:color="231F20"/>
                          <w:left w:val="single" w:sz="4" w:space="0" w:color="231F20"/>
                          <w:bottom w:val="single" w:sz="4" w:space="0" w:color="231F20"/>
                          <w:right w:val="nil"/>
                        </w:tcBorders>
                      </w:tcPr>
                      <w:p w14:paraId="1FC567AD" w14:textId="77777777" w:rsidR="00F65BCA" w:rsidRDefault="00F65BCA">
                        <w:pPr>
                          <w:pStyle w:val="TableParagraph"/>
                          <w:spacing w:before="4"/>
                          <w:rPr>
                            <w:rFonts w:ascii="Times New Roman"/>
                            <w:sz w:val="7"/>
                          </w:rPr>
                        </w:pPr>
                      </w:p>
                      <w:p w14:paraId="7327258C" w14:textId="77777777" w:rsidR="00F65BCA" w:rsidRDefault="00216117">
                        <w:pPr>
                          <w:pStyle w:val="TableParagraph"/>
                          <w:spacing w:line="130" w:lineRule="exact"/>
                          <w:ind w:left="369"/>
                          <w:rPr>
                            <w:rFonts w:ascii="Times New Roman"/>
                            <w:sz w:val="13"/>
                          </w:rPr>
                        </w:pPr>
                        <w:r>
                          <w:rPr>
                            <w:rFonts w:ascii="Times New Roman"/>
                            <w:noProof/>
                            <w:position w:val="-2"/>
                            <w:sz w:val="13"/>
                          </w:rPr>
                          <w:drawing>
                            <wp:inline distT="0" distB="0" distL="0" distR="0" wp14:anchorId="10342BBE" wp14:editId="3C7EC7AE">
                              <wp:extent cx="74489" cy="82581"/>
                              <wp:effectExtent l="0" t="0" r="0" b="0"/>
                              <wp:docPr id="10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17041904" w14:textId="77777777">
                    <w:trPr>
                      <w:trHeight w:val="279"/>
                    </w:trPr>
                    <w:tc>
                      <w:tcPr>
                        <w:tcW w:w="1191" w:type="dxa"/>
                        <w:vMerge/>
                        <w:tcBorders>
                          <w:top w:val="nil"/>
                          <w:left w:val="nil"/>
                          <w:bottom w:val="single" w:sz="4" w:space="0" w:color="231F20"/>
                          <w:right w:val="single" w:sz="4" w:space="0" w:color="231F20"/>
                        </w:tcBorders>
                      </w:tcPr>
                      <w:p w14:paraId="690A7DC6" w14:textId="77777777" w:rsidR="00F65BCA" w:rsidRDefault="00F65BCA">
                        <w:pPr>
                          <w:rPr>
                            <w:sz w:val="2"/>
                            <w:szCs w:val="2"/>
                          </w:rPr>
                        </w:pPr>
                      </w:p>
                    </w:tc>
                    <w:tc>
                      <w:tcPr>
                        <w:tcW w:w="2382" w:type="dxa"/>
                        <w:tcBorders>
                          <w:top w:val="single" w:sz="4" w:space="0" w:color="231F20"/>
                          <w:left w:val="single" w:sz="4" w:space="0" w:color="231F20"/>
                          <w:bottom w:val="single" w:sz="4" w:space="0" w:color="231F20"/>
                          <w:right w:val="single" w:sz="4" w:space="0" w:color="231F20"/>
                        </w:tcBorders>
                      </w:tcPr>
                      <w:p w14:paraId="5287F330" w14:textId="77777777" w:rsidR="00F65BCA" w:rsidRDefault="00216117">
                        <w:pPr>
                          <w:pStyle w:val="TableParagraph"/>
                          <w:spacing w:before="41"/>
                          <w:ind w:left="84"/>
                          <w:rPr>
                            <w:sz w:val="15"/>
                          </w:rPr>
                        </w:pPr>
                        <w:r>
                          <w:rPr>
                            <w:color w:val="231F20"/>
                            <w:sz w:val="15"/>
                          </w:rPr>
                          <w:t>vandalismus</w:t>
                        </w:r>
                      </w:p>
                    </w:tc>
                    <w:tc>
                      <w:tcPr>
                        <w:tcW w:w="851" w:type="dxa"/>
                        <w:tcBorders>
                          <w:top w:val="single" w:sz="4" w:space="0" w:color="231F20"/>
                          <w:left w:val="single" w:sz="4" w:space="0" w:color="231F20"/>
                          <w:bottom w:val="single" w:sz="4" w:space="0" w:color="231F20"/>
                          <w:right w:val="single" w:sz="4" w:space="0" w:color="231F20"/>
                        </w:tcBorders>
                      </w:tcPr>
                      <w:p w14:paraId="4489659C" w14:textId="77777777" w:rsidR="00F65BCA" w:rsidRDefault="00F65BCA">
                        <w:pPr>
                          <w:pStyle w:val="TableParagraph"/>
                          <w:spacing w:before="4"/>
                          <w:rPr>
                            <w:rFonts w:ascii="Times New Roman"/>
                            <w:sz w:val="7"/>
                          </w:rPr>
                        </w:pPr>
                      </w:p>
                      <w:p w14:paraId="660BDE19" w14:textId="77777777" w:rsidR="00F65BCA" w:rsidRDefault="00216117">
                        <w:pPr>
                          <w:pStyle w:val="TableParagraph"/>
                          <w:spacing w:line="129" w:lineRule="exact"/>
                          <w:ind w:left="370"/>
                          <w:rPr>
                            <w:rFonts w:ascii="Times New Roman"/>
                            <w:sz w:val="12"/>
                          </w:rPr>
                        </w:pPr>
                        <w:r>
                          <w:rPr>
                            <w:rFonts w:ascii="Times New Roman"/>
                            <w:noProof/>
                            <w:position w:val="-2"/>
                            <w:sz w:val="12"/>
                          </w:rPr>
                          <w:drawing>
                            <wp:inline distT="0" distB="0" distL="0" distR="0" wp14:anchorId="66BF25C4" wp14:editId="4E18BBF3">
                              <wp:extent cx="74219" cy="82296"/>
                              <wp:effectExtent l="0" t="0" r="0" b="0"/>
                              <wp:docPr id="10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2.png"/>
                                      <pic:cNvPicPr/>
                                    </pic:nvPicPr>
                                    <pic:blipFill>
                                      <a:blip r:embed="rId50" cstate="print"/>
                                      <a:stretch>
                                        <a:fillRect/>
                                      </a:stretch>
                                    </pic:blipFill>
                                    <pic:spPr>
                                      <a:xfrm>
                                        <a:off x="0" y="0"/>
                                        <a:ext cx="74219" cy="82296"/>
                                      </a:xfrm>
                                      <a:prstGeom prst="rect">
                                        <a:avLst/>
                                      </a:prstGeom>
                                    </pic:spPr>
                                  </pic:pic>
                                </a:graphicData>
                              </a:graphic>
                            </wp:inline>
                          </w:drawing>
                        </w:r>
                      </w:p>
                    </w:tc>
                    <w:tc>
                      <w:tcPr>
                        <w:tcW w:w="851" w:type="dxa"/>
                        <w:tcBorders>
                          <w:top w:val="single" w:sz="4" w:space="0" w:color="231F20"/>
                          <w:left w:val="single" w:sz="4" w:space="0" w:color="231F20"/>
                          <w:bottom w:val="single" w:sz="4" w:space="0" w:color="231F20"/>
                          <w:right w:val="nil"/>
                        </w:tcBorders>
                      </w:tcPr>
                      <w:p w14:paraId="70544969" w14:textId="77777777" w:rsidR="00F65BCA" w:rsidRDefault="00F65BCA">
                        <w:pPr>
                          <w:pStyle w:val="TableParagraph"/>
                          <w:spacing w:before="4"/>
                          <w:rPr>
                            <w:rFonts w:ascii="Times New Roman"/>
                            <w:sz w:val="7"/>
                          </w:rPr>
                        </w:pPr>
                      </w:p>
                      <w:p w14:paraId="6C91234C" w14:textId="77777777" w:rsidR="00F65BCA" w:rsidRDefault="00216117">
                        <w:pPr>
                          <w:pStyle w:val="TableParagraph"/>
                          <w:spacing w:line="129" w:lineRule="exact"/>
                          <w:ind w:left="369"/>
                          <w:rPr>
                            <w:rFonts w:ascii="Times New Roman"/>
                            <w:sz w:val="12"/>
                          </w:rPr>
                        </w:pPr>
                        <w:r>
                          <w:rPr>
                            <w:rFonts w:ascii="Times New Roman"/>
                            <w:noProof/>
                            <w:position w:val="-2"/>
                            <w:sz w:val="12"/>
                          </w:rPr>
                          <w:drawing>
                            <wp:inline distT="0" distB="0" distL="0" distR="0" wp14:anchorId="25EF3AC3" wp14:editId="65AE0A61">
                              <wp:extent cx="74231" cy="82296"/>
                              <wp:effectExtent l="0" t="0" r="0" b="0"/>
                              <wp:docPr id="10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3.png"/>
                                      <pic:cNvPicPr/>
                                    </pic:nvPicPr>
                                    <pic:blipFill>
                                      <a:blip r:embed="rId51" cstate="print"/>
                                      <a:stretch>
                                        <a:fillRect/>
                                      </a:stretch>
                                    </pic:blipFill>
                                    <pic:spPr>
                                      <a:xfrm>
                                        <a:off x="0" y="0"/>
                                        <a:ext cx="74231" cy="82296"/>
                                      </a:xfrm>
                                      <a:prstGeom prst="rect">
                                        <a:avLst/>
                                      </a:prstGeom>
                                    </pic:spPr>
                                  </pic:pic>
                                </a:graphicData>
                              </a:graphic>
                            </wp:inline>
                          </w:drawing>
                        </w:r>
                      </w:p>
                    </w:tc>
                  </w:tr>
                  <w:tr w:rsidR="00F65BCA" w14:paraId="2B291A9F" w14:textId="77777777">
                    <w:trPr>
                      <w:trHeight w:val="279"/>
                    </w:trPr>
                    <w:tc>
                      <w:tcPr>
                        <w:tcW w:w="1191" w:type="dxa"/>
                        <w:vMerge/>
                        <w:tcBorders>
                          <w:top w:val="nil"/>
                          <w:left w:val="nil"/>
                          <w:bottom w:val="single" w:sz="4" w:space="0" w:color="231F20"/>
                          <w:right w:val="single" w:sz="4" w:space="0" w:color="231F20"/>
                        </w:tcBorders>
                      </w:tcPr>
                      <w:p w14:paraId="1340726B" w14:textId="77777777" w:rsidR="00F65BCA" w:rsidRDefault="00F65BCA">
                        <w:pPr>
                          <w:rPr>
                            <w:sz w:val="2"/>
                            <w:szCs w:val="2"/>
                          </w:rPr>
                        </w:pPr>
                      </w:p>
                    </w:tc>
                    <w:tc>
                      <w:tcPr>
                        <w:tcW w:w="2382" w:type="dxa"/>
                        <w:tcBorders>
                          <w:top w:val="single" w:sz="4" w:space="0" w:color="231F20"/>
                          <w:left w:val="single" w:sz="4" w:space="0" w:color="231F20"/>
                          <w:bottom w:val="single" w:sz="4" w:space="0" w:color="231F20"/>
                          <w:right w:val="single" w:sz="4" w:space="0" w:color="231F20"/>
                        </w:tcBorders>
                      </w:tcPr>
                      <w:p w14:paraId="2A721CAF" w14:textId="77777777" w:rsidR="00F65BCA" w:rsidRDefault="00216117">
                        <w:pPr>
                          <w:pStyle w:val="TableParagraph"/>
                          <w:spacing w:before="41"/>
                          <w:ind w:left="84"/>
                          <w:rPr>
                            <w:sz w:val="15"/>
                          </w:rPr>
                        </w:pPr>
                        <w:r>
                          <w:rPr>
                            <w:color w:val="231F20"/>
                            <w:sz w:val="15"/>
                          </w:rPr>
                          <w:t>odcizení částí vozidla</w:t>
                        </w:r>
                      </w:p>
                    </w:tc>
                    <w:tc>
                      <w:tcPr>
                        <w:tcW w:w="851" w:type="dxa"/>
                        <w:tcBorders>
                          <w:top w:val="single" w:sz="4" w:space="0" w:color="231F20"/>
                          <w:left w:val="single" w:sz="4" w:space="0" w:color="231F20"/>
                          <w:bottom w:val="single" w:sz="4" w:space="0" w:color="231F20"/>
                          <w:right w:val="single" w:sz="4" w:space="0" w:color="231F20"/>
                        </w:tcBorders>
                      </w:tcPr>
                      <w:p w14:paraId="76C326AF" w14:textId="77777777" w:rsidR="00F65BCA" w:rsidRDefault="00F65BCA">
                        <w:pPr>
                          <w:pStyle w:val="TableParagraph"/>
                          <w:spacing w:before="4"/>
                          <w:rPr>
                            <w:rFonts w:ascii="Times New Roman"/>
                            <w:sz w:val="7"/>
                          </w:rPr>
                        </w:pPr>
                      </w:p>
                      <w:p w14:paraId="37B001DC" w14:textId="77777777" w:rsidR="00F65BCA" w:rsidRDefault="00216117">
                        <w:pPr>
                          <w:pStyle w:val="TableParagraph"/>
                          <w:spacing w:line="130" w:lineRule="exact"/>
                          <w:ind w:left="370"/>
                          <w:rPr>
                            <w:rFonts w:ascii="Times New Roman"/>
                            <w:sz w:val="13"/>
                          </w:rPr>
                        </w:pPr>
                        <w:r>
                          <w:rPr>
                            <w:rFonts w:ascii="Times New Roman"/>
                            <w:noProof/>
                            <w:position w:val="-2"/>
                            <w:sz w:val="13"/>
                          </w:rPr>
                          <w:drawing>
                            <wp:inline distT="0" distB="0" distL="0" distR="0" wp14:anchorId="60D10646" wp14:editId="4DEA9FDE">
                              <wp:extent cx="74476" cy="82581"/>
                              <wp:effectExtent l="0" t="0" r="0" b="0"/>
                              <wp:docPr id="10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851" w:type="dxa"/>
                        <w:tcBorders>
                          <w:top w:val="single" w:sz="4" w:space="0" w:color="231F20"/>
                          <w:left w:val="single" w:sz="4" w:space="0" w:color="231F20"/>
                          <w:bottom w:val="single" w:sz="4" w:space="0" w:color="231F20"/>
                          <w:right w:val="nil"/>
                        </w:tcBorders>
                      </w:tcPr>
                      <w:p w14:paraId="7644192E" w14:textId="77777777" w:rsidR="00F65BCA" w:rsidRDefault="00F65BCA">
                        <w:pPr>
                          <w:pStyle w:val="TableParagraph"/>
                          <w:spacing w:before="4"/>
                          <w:rPr>
                            <w:rFonts w:ascii="Times New Roman"/>
                            <w:sz w:val="7"/>
                          </w:rPr>
                        </w:pPr>
                      </w:p>
                      <w:p w14:paraId="2D86E5C2" w14:textId="77777777" w:rsidR="00F65BCA" w:rsidRDefault="00216117">
                        <w:pPr>
                          <w:pStyle w:val="TableParagraph"/>
                          <w:spacing w:line="130" w:lineRule="exact"/>
                          <w:ind w:left="369"/>
                          <w:rPr>
                            <w:rFonts w:ascii="Times New Roman"/>
                            <w:sz w:val="13"/>
                          </w:rPr>
                        </w:pPr>
                        <w:r>
                          <w:rPr>
                            <w:rFonts w:ascii="Times New Roman"/>
                            <w:noProof/>
                            <w:position w:val="-2"/>
                            <w:sz w:val="13"/>
                          </w:rPr>
                          <w:drawing>
                            <wp:inline distT="0" distB="0" distL="0" distR="0" wp14:anchorId="3D03EBD4" wp14:editId="5A7AF83C">
                              <wp:extent cx="74489" cy="82581"/>
                              <wp:effectExtent l="0" t="0" r="0" b="0"/>
                              <wp:docPr id="11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4B186B8A" w14:textId="77777777">
                    <w:trPr>
                      <w:trHeight w:val="279"/>
                    </w:trPr>
                    <w:tc>
                      <w:tcPr>
                        <w:tcW w:w="1191" w:type="dxa"/>
                        <w:vMerge w:val="restart"/>
                        <w:tcBorders>
                          <w:top w:val="single" w:sz="4" w:space="0" w:color="231F20"/>
                          <w:left w:val="nil"/>
                          <w:bottom w:val="single" w:sz="4" w:space="0" w:color="231F20"/>
                          <w:right w:val="single" w:sz="4" w:space="0" w:color="231F20"/>
                        </w:tcBorders>
                      </w:tcPr>
                      <w:p w14:paraId="62EF02C0" w14:textId="77777777" w:rsidR="00F65BCA" w:rsidRDefault="00F65BCA">
                        <w:pPr>
                          <w:pStyle w:val="TableParagraph"/>
                          <w:rPr>
                            <w:rFonts w:ascii="Times New Roman"/>
                            <w:sz w:val="18"/>
                          </w:rPr>
                        </w:pPr>
                      </w:p>
                      <w:p w14:paraId="06497A69" w14:textId="77777777" w:rsidR="00F65BCA" w:rsidRDefault="00F65BCA">
                        <w:pPr>
                          <w:pStyle w:val="TableParagraph"/>
                          <w:rPr>
                            <w:rFonts w:ascii="Times New Roman"/>
                            <w:sz w:val="18"/>
                          </w:rPr>
                        </w:pPr>
                      </w:p>
                      <w:p w14:paraId="4BE9CEE2" w14:textId="77777777" w:rsidR="00F65BCA" w:rsidRDefault="00F65BCA">
                        <w:pPr>
                          <w:pStyle w:val="TableParagraph"/>
                          <w:rPr>
                            <w:rFonts w:ascii="Times New Roman"/>
                            <w:sz w:val="18"/>
                          </w:rPr>
                        </w:pPr>
                      </w:p>
                      <w:p w14:paraId="63B28B8B" w14:textId="77777777" w:rsidR="00F65BCA" w:rsidRDefault="00F65BCA">
                        <w:pPr>
                          <w:pStyle w:val="TableParagraph"/>
                          <w:rPr>
                            <w:rFonts w:ascii="Times New Roman"/>
                            <w:sz w:val="18"/>
                          </w:rPr>
                        </w:pPr>
                      </w:p>
                      <w:p w14:paraId="53A02C5C" w14:textId="77777777" w:rsidR="00F65BCA" w:rsidRDefault="00F65BCA">
                        <w:pPr>
                          <w:pStyle w:val="TableParagraph"/>
                          <w:rPr>
                            <w:rFonts w:ascii="Times New Roman"/>
                            <w:sz w:val="18"/>
                          </w:rPr>
                        </w:pPr>
                      </w:p>
                      <w:p w14:paraId="42D2AF98" w14:textId="77777777" w:rsidR="00F65BCA" w:rsidRDefault="00F65BCA">
                        <w:pPr>
                          <w:pStyle w:val="TableParagraph"/>
                          <w:rPr>
                            <w:rFonts w:ascii="Times New Roman"/>
                            <w:sz w:val="18"/>
                          </w:rPr>
                        </w:pPr>
                      </w:p>
                      <w:p w14:paraId="27A742D2" w14:textId="77777777" w:rsidR="00F65BCA" w:rsidRDefault="00F65BCA">
                        <w:pPr>
                          <w:pStyle w:val="TableParagraph"/>
                          <w:spacing w:before="4"/>
                          <w:rPr>
                            <w:rFonts w:ascii="Times New Roman"/>
                            <w:sz w:val="23"/>
                          </w:rPr>
                        </w:pPr>
                      </w:p>
                      <w:p w14:paraId="56BB3BA5" w14:textId="77777777" w:rsidR="00F65BCA" w:rsidRDefault="00216117">
                        <w:pPr>
                          <w:pStyle w:val="TableParagraph"/>
                          <w:ind w:left="176" w:right="151"/>
                          <w:jc w:val="center"/>
                          <w:rPr>
                            <w:sz w:val="15"/>
                          </w:rPr>
                        </w:pPr>
                        <w:r>
                          <w:rPr>
                            <w:color w:val="231F20"/>
                            <w:sz w:val="15"/>
                          </w:rPr>
                          <w:t>porucha</w:t>
                        </w:r>
                      </w:p>
                      <w:p w14:paraId="67EBFC1C" w14:textId="77777777" w:rsidR="00F65BCA" w:rsidRDefault="00216117">
                        <w:pPr>
                          <w:pStyle w:val="TableParagraph"/>
                          <w:spacing w:before="8"/>
                          <w:ind w:left="176" w:right="151"/>
                          <w:jc w:val="center"/>
                          <w:rPr>
                            <w:sz w:val="15"/>
                          </w:rPr>
                        </w:pPr>
                        <w:r>
                          <w:rPr>
                            <w:color w:val="231F20"/>
                            <w:sz w:val="15"/>
                          </w:rPr>
                          <w:t>a pochybení</w:t>
                        </w:r>
                      </w:p>
                    </w:tc>
                    <w:tc>
                      <w:tcPr>
                        <w:tcW w:w="2382" w:type="dxa"/>
                        <w:tcBorders>
                          <w:top w:val="single" w:sz="4" w:space="0" w:color="231F20"/>
                          <w:left w:val="single" w:sz="4" w:space="0" w:color="231F20"/>
                          <w:bottom w:val="single" w:sz="4" w:space="0" w:color="231F20"/>
                          <w:right w:val="single" w:sz="4" w:space="0" w:color="231F20"/>
                        </w:tcBorders>
                      </w:tcPr>
                      <w:p w14:paraId="6333AFD6" w14:textId="77777777" w:rsidR="00F65BCA" w:rsidRDefault="00216117">
                        <w:pPr>
                          <w:pStyle w:val="TableParagraph"/>
                          <w:spacing w:before="41"/>
                          <w:ind w:left="84"/>
                          <w:rPr>
                            <w:sz w:val="15"/>
                          </w:rPr>
                        </w:pPr>
                        <w:r>
                          <w:rPr>
                            <w:color w:val="231F20"/>
                            <w:sz w:val="15"/>
                          </w:rPr>
                          <w:t>porucha</w:t>
                        </w:r>
                      </w:p>
                    </w:tc>
                    <w:tc>
                      <w:tcPr>
                        <w:tcW w:w="851" w:type="dxa"/>
                        <w:vMerge w:val="restart"/>
                        <w:tcBorders>
                          <w:top w:val="single" w:sz="4" w:space="0" w:color="231F20"/>
                          <w:left w:val="single" w:sz="4" w:space="0" w:color="231F20"/>
                          <w:bottom w:val="single" w:sz="4" w:space="0" w:color="231F20"/>
                          <w:right w:val="single" w:sz="4" w:space="0" w:color="231F20"/>
                        </w:tcBorders>
                      </w:tcPr>
                      <w:p w14:paraId="50ED93A3" w14:textId="77777777" w:rsidR="00F65BCA" w:rsidRDefault="00F65BCA">
                        <w:pPr>
                          <w:pStyle w:val="TableParagraph"/>
                          <w:rPr>
                            <w:rFonts w:ascii="Times New Roman"/>
                            <w:sz w:val="20"/>
                          </w:rPr>
                        </w:pPr>
                      </w:p>
                      <w:p w14:paraId="4545A776" w14:textId="77777777" w:rsidR="00F65BCA" w:rsidRDefault="00F65BCA">
                        <w:pPr>
                          <w:pStyle w:val="TableParagraph"/>
                          <w:rPr>
                            <w:rFonts w:ascii="Times New Roman"/>
                            <w:sz w:val="20"/>
                          </w:rPr>
                        </w:pPr>
                      </w:p>
                      <w:p w14:paraId="1C362C24" w14:textId="77777777" w:rsidR="00F65BCA" w:rsidRDefault="00F65BCA">
                        <w:pPr>
                          <w:pStyle w:val="TableParagraph"/>
                          <w:rPr>
                            <w:rFonts w:ascii="Times New Roman"/>
                            <w:sz w:val="20"/>
                          </w:rPr>
                        </w:pPr>
                      </w:p>
                      <w:p w14:paraId="6548257C" w14:textId="77777777" w:rsidR="00F65BCA" w:rsidRDefault="00F65BCA">
                        <w:pPr>
                          <w:pStyle w:val="TableParagraph"/>
                          <w:rPr>
                            <w:rFonts w:ascii="Times New Roman"/>
                            <w:sz w:val="20"/>
                          </w:rPr>
                        </w:pPr>
                      </w:p>
                      <w:p w14:paraId="1BD30008" w14:textId="77777777" w:rsidR="00F65BCA" w:rsidRDefault="00F65BCA">
                        <w:pPr>
                          <w:pStyle w:val="TableParagraph"/>
                          <w:rPr>
                            <w:rFonts w:ascii="Times New Roman"/>
                            <w:sz w:val="20"/>
                          </w:rPr>
                        </w:pPr>
                      </w:p>
                      <w:p w14:paraId="08B501A9" w14:textId="77777777" w:rsidR="00F65BCA" w:rsidRDefault="00F65BCA">
                        <w:pPr>
                          <w:pStyle w:val="TableParagraph"/>
                          <w:rPr>
                            <w:rFonts w:ascii="Times New Roman"/>
                            <w:sz w:val="20"/>
                          </w:rPr>
                        </w:pPr>
                      </w:p>
                      <w:p w14:paraId="230D6033" w14:textId="77777777" w:rsidR="00F65BCA" w:rsidRDefault="00F65BCA">
                        <w:pPr>
                          <w:pStyle w:val="TableParagraph"/>
                          <w:rPr>
                            <w:rFonts w:ascii="Times New Roman"/>
                            <w:sz w:val="13"/>
                          </w:rPr>
                        </w:pPr>
                      </w:p>
                      <w:p w14:paraId="53305A05" w14:textId="77777777" w:rsidR="00F65BCA" w:rsidRDefault="00216117">
                        <w:pPr>
                          <w:pStyle w:val="TableParagraph"/>
                          <w:spacing w:line="130" w:lineRule="exact"/>
                          <w:ind w:left="370"/>
                          <w:rPr>
                            <w:rFonts w:ascii="Times New Roman"/>
                            <w:sz w:val="13"/>
                          </w:rPr>
                        </w:pPr>
                        <w:r>
                          <w:rPr>
                            <w:rFonts w:ascii="Times New Roman"/>
                            <w:noProof/>
                            <w:position w:val="-2"/>
                            <w:sz w:val="13"/>
                          </w:rPr>
                          <w:drawing>
                            <wp:inline distT="0" distB="0" distL="0" distR="0" wp14:anchorId="3A91F5EE" wp14:editId="0C948707">
                              <wp:extent cx="74476" cy="82581"/>
                              <wp:effectExtent l="0" t="0" r="0" b="0"/>
                              <wp:docPr id="1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0.png"/>
                                      <pic:cNvPicPr/>
                                    </pic:nvPicPr>
                                    <pic:blipFill>
                                      <a:blip r:embed="rId48" cstate="print"/>
                                      <a:stretch>
                                        <a:fillRect/>
                                      </a:stretch>
                                    </pic:blipFill>
                                    <pic:spPr>
                                      <a:xfrm>
                                        <a:off x="0" y="0"/>
                                        <a:ext cx="74476" cy="82581"/>
                                      </a:xfrm>
                                      <a:prstGeom prst="rect">
                                        <a:avLst/>
                                      </a:prstGeom>
                                    </pic:spPr>
                                  </pic:pic>
                                </a:graphicData>
                              </a:graphic>
                            </wp:inline>
                          </w:drawing>
                        </w:r>
                      </w:p>
                      <w:p w14:paraId="00FA5553" w14:textId="77777777" w:rsidR="00F65BCA" w:rsidRDefault="00216117">
                        <w:pPr>
                          <w:pStyle w:val="TableParagraph"/>
                          <w:spacing w:before="45"/>
                          <w:ind w:left="106"/>
                          <w:rPr>
                            <w:sz w:val="15"/>
                          </w:rPr>
                        </w:pPr>
                        <w:r>
                          <w:rPr>
                            <w:color w:val="231F20"/>
                            <w:sz w:val="15"/>
                          </w:rPr>
                          <w:t>pouze ČR</w:t>
                        </w:r>
                      </w:p>
                    </w:tc>
                    <w:tc>
                      <w:tcPr>
                        <w:tcW w:w="851" w:type="dxa"/>
                        <w:tcBorders>
                          <w:top w:val="single" w:sz="4" w:space="0" w:color="231F20"/>
                          <w:left w:val="single" w:sz="4" w:space="0" w:color="231F20"/>
                          <w:bottom w:val="single" w:sz="4" w:space="0" w:color="231F20"/>
                          <w:right w:val="nil"/>
                        </w:tcBorders>
                      </w:tcPr>
                      <w:p w14:paraId="1EA80D06" w14:textId="77777777" w:rsidR="00F65BCA" w:rsidRDefault="00F65BCA">
                        <w:pPr>
                          <w:pStyle w:val="TableParagraph"/>
                          <w:spacing w:before="4"/>
                          <w:rPr>
                            <w:rFonts w:ascii="Times New Roman"/>
                            <w:sz w:val="7"/>
                          </w:rPr>
                        </w:pPr>
                      </w:p>
                      <w:p w14:paraId="300857AE" w14:textId="77777777" w:rsidR="00F65BCA" w:rsidRDefault="00216117">
                        <w:pPr>
                          <w:pStyle w:val="TableParagraph"/>
                          <w:spacing w:line="130" w:lineRule="exact"/>
                          <w:ind w:left="369"/>
                          <w:rPr>
                            <w:rFonts w:ascii="Times New Roman"/>
                            <w:sz w:val="13"/>
                          </w:rPr>
                        </w:pPr>
                        <w:r>
                          <w:rPr>
                            <w:rFonts w:ascii="Times New Roman"/>
                            <w:noProof/>
                            <w:position w:val="-2"/>
                            <w:sz w:val="13"/>
                          </w:rPr>
                          <w:drawing>
                            <wp:inline distT="0" distB="0" distL="0" distR="0" wp14:anchorId="390CC9AC" wp14:editId="3AA192D1">
                              <wp:extent cx="74489" cy="82581"/>
                              <wp:effectExtent l="0" t="0" r="0" b="0"/>
                              <wp:docPr id="1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454CD77E" w14:textId="77777777">
                    <w:trPr>
                      <w:trHeight w:val="279"/>
                    </w:trPr>
                    <w:tc>
                      <w:tcPr>
                        <w:tcW w:w="1191" w:type="dxa"/>
                        <w:vMerge/>
                        <w:tcBorders>
                          <w:top w:val="nil"/>
                          <w:left w:val="nil"/>
                          <w:bottom w:val="single" w:sz="4" w:space="0" w:color="231F20"/>
                          <w:right w:val="single" w:sz="4" w:space="0" w:color="231F20"/>
                        </w:tcBorders>
                      </w:tcPr>
                      <w:p w14:paraId="02E26D9B" w14:textId="77777777" w:rsidR="00F65BCA" w:rsidRDefault="00F65BCA">
                        <w:pPr>
                          <w:rPr>
                            <w:sz w:val="2"/>
                            <w:szCs w:val="2"/>
                          </w:rPr>
                        </w:pPr>
                      </w:p>
                    </w:tc>
                    <w:tc>
                      <w:tcPr>
                        <w:tcW w:w="2382" w:type="dxa"/>
                        <w:tcBorders>
                          <w:top w:val="single" w:sz="4" w:space="0" w:color="231F20"/>
                          <w:left w:val="single" w:sz="4" w:space="0" w:color="231F20"/>
                          <w:bottom w:val="single" w:sz="4" w:space="0" w:color="231F20"/>
                          <w:right w:val="single" w:sz="4" w:space="0" w:color="231F20"/>
                        </w:tcBorders>
                      </w:tcPr>
                      <w:p w14:paraId="439394A5" w14:textId="77777777" w:rsidR="00F65BCA" w:rsidRDefault="00216117">
                        <w:pPr>
                          <w:pStyle w:val="TableParagraph"/>
                          <w:spacing w:before="41"/>
                          <w:ind w:left="84"/>
                          <w:rPr>
                            <w:sz w:val="15"/>
                          </w:rPr>
                        </w:pPr>
                        <w:r>
                          <w:rPr>
                            <w:color w:val="231F20"/>
                            <w:sz w:val="15"/>
                          </w:rPr>
                          <w:t>defekt pneumatiky</w:t>
                        </w:r>
                      </w:p>
                    </w:tc>
                    <w:tc>
                      <w:tcPr>
                        <w:tcW w:w="851" w:type="dxa"/>
                        <w:vMerge/>
                        <w:tcBorders>
                          <w:top w:val="nil"/>
                          <w:left w:val="single" w:sz="4" w:space="0" w:color="231F20"/>
                          <w:bottom w:val="single" w:sz="4" w:space="0" w:color="231F20"/>
                          <w:right w:val="single" w:sz="4" w:space="0" w:color="231F20"/>
                        </w:tcBorders>
                      </w:tcPr>
                      <w:p w14:paraId="0FBA66C6" w14:textId="77777777" w:rsidR="00F65BCA" w:rsidRDefault="00F65BCA">
                        <w:pPr>
                          <w:rPr>
                            <w:sz w:val="2"/>
                            <w:szCs w:val="2"/>
                          </w:rPr>
                        </w:pPr>
                      </w:p>
                    </w:tc>
                    <w:tc>
                      <w:tcPr>
                        <w:tcW w:w="851" w:type="dxa"/>
                        <w:tcBorders>
                          <w:top w:val="single" w:sz="4" w:space="0" w:color="231F20"/>
                          <w:left w:val="single" w:sz="4" w:space="0" w:color="231F20"/>
                          <w:bottom w:val="single" w:sz="4" w:space="0" w:color="231F20"/>
                          <w:right w:val="nil"/>
                        </w:tcBorders>
                      </w:tcPr>
                      <w:p w14:paraId="7D056276" w14:textId="77777777" w:rsidR="00F65BCA" w:rsidRDefault="00F65BCA">
                        <w:pPr>
                          <w:pStyle w:val="TableParagraph"/>
                          <w:spacing w:before="4"/>
                          <w:rPr>
                            <w:rFonts w:ascii="Times New Roman"/>
                            <w:sz w:val="7"/>
                          </w:rPr>
                        </w:pPr>
                      </w:p>
                      <w:p w14:paraId="529F5355" w14:textId="77777777" w:rsidR="00F65BCA" w:rsidRDefault="00216117">
                        <w:pPr>
                          <w:pStyle w:val="TableParagraph"/>
                          <w:spacing w:line="130" w:lineRule="exact"/>
                          <w:ind w:left="369"/>
                          <w:rPr>
                            <w:rFonts w:ascii="Times New Roman"/>
                            <w:sz w:val="13"/>
                          </w:rPr>
                        </w:pPr>
                        <w:r>
                          <w:rPr>
                            <w:rFonts w:ascii="Times New Roman"/>
                            <w:noProof/>
                            <w:position w:val="-2"/>
                            <w:sz w:val="13"/>
                          </w:rPr>
                          <w:drawing>
                            <wp:inline distT="0" distB="0" distL="0" distR="0" wp14:anchorId="638A32C4" wp14:editId="47CA770C">
                              <wp:extent cx="74489" cy="82581"/>
                              <wp:effectExtent l="0" t="0" r="0" b="0"/>
                              <wp:docPr id="11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5EF14459" w14:textId="77777777">
                    <w:trPr>
                      <w:trHeight w:val="279"/>
                    </w:trPr>
                    <w:tc>
                      <w:tcPr>
                        <w:tcW w:w="1191" w:type="dxa"/>
                        <w:vMerge/>
                        <w:tcBorders>
                          <w:top w:val="nil"/>
                          <w:left w:val="nil"/>
                          <w:bottom w:val="single" w:sz="4" w:space="0" w:color="231F20"/>
                          <w:right w:val="single" w:sz="4" w:space="0" w:color="231F20"/>
                        </w:tcBorders>
                      </w:tcPr>
                      <w:p w14:paraId="2FF3E107" w14:textId="77777777" w:rsidR="00F65BCA" w:rsidRDefault="00F65BCA">
                        <w:pPr>
                          <w:rPr>
                            <w:sz w:val="2"/>
                            <w:szCs w:val="2"/>
                          </w:rPr>
                        </w:pPr>
                      </w:p>
                    </w:tc>
                    <w:tc>
                      <w:tcPr>
                        <w:tcW w:w="2382" w:type="dxa"/>
                        <w:tcBorders>
                          <w:top w:val="single" w:sz="4" w:space="0" w:color="231F20"/>
                          <w:left w:val="single" w:sz="4" w:space="0" w:color="231F20"/>
                          <w:bottom w:val="single" w:sz="4" w:space="0" w:color="231F20"/>
                          <w:right w:val="single" w:sz="4" w:space="0" w:color="231F20"/>
                        </w:tcBorders>
                      </w:tcPr>
                      <w:p w14:paraId="3A0CA4BB" w14:textId="77777777" w:rsidR="00F65BCA" w:rsidRDefault="00216117">
                        <w:pPr>
                          <w:pStyle w:val="TableParagraph"/>
                          <w:spacing w:before="41"/>
                          <w:ind w:left="84"/>
                          <w:rPr>
                            <w:sz w:val="15"/>
                          </w:rPr>
                        </w:pPr>
                        <w:r>
                          <w:rPr>
                            <w:color w:val="231F20"/>
                            <w:sz w:val="15"/>
                          </w:rPr>
                          <w:t>zamrznutí pohonných hmot</w:t>
                        </w:r>
                      </w:p>
                    </w:tc>
                    <w:tc>
                      <w:tcPr>
                        <w:tcW w:w="851" w:type="dxa"/>
                        <w:vMerge/>
                        <w:tcBorders>
                          <w:top w:val="nil"/>
                          <w:left w:val="single" w:sz="4" w:space="0" w:color="231F20"/>
                          <w:bottom w:val="single" w:sz="4" w:space="0" w:color="231F20"/>
                          <w:right w:val="single" w:sz="4" w:space="0" w:color="231F20"/>
                        </w:tcBorders>
                      </w:tcPr>
                      <w:p w14:paraId="121875F3" w14:textId="77777777" w:rsidR="00F65BCA" w:rsidRDefault="00F65BCA">
                        <w:pPr>
                          <w:rPr>
                            <w:sz w:val="2"/>
                            <w:szCs w:val="2"/>
                          </w:rPr>
                        </w:pPr>
                      </w:p>
                    </w:tc>
                    <w:tc>
                      <w:tcPr>
                        <w:tcW w:w="851" w:type="dxa"/>
                        <w:tcBorders>
                          <w:top w:val="single" w:sz="4" w:space="0" w:color="231F20"/>
                          <w:left w:val="single" w:sz="4" w:space="0" w:color="231F20"/>
                          <w:bottom w:val="single" w:sz="4" w:space="0" w:color="231F20"/>
                          <w:right w:val="nil"/>
                        </w:tcBorders>
                      </w:tcPr>
                      <w:p w14:paraId="4F71A0DA" w14:textId="77777777" w:rsidR="00F65BCA" w:rsidRDefault="00F65BCA">
                        <w:pPr>
                          <w:pStyle w:val="TableParagraph"/>
                          <w:spacing w:before="4"/>
                          <w:rPr>
                            <w:rFonts w:ascii="Times New Roman"/>
                            <w:sz w:val="7"/>
                          </w:rPr>
                        </w:pPr>
                      </w:p>
                      <w:p w14:paraId="5534A02A" w14:textId="77777777" w:rsidR="00F65BCA" w:rsidRDefault="00216117">
                        <w:pPr>
                          <w:pStyle w:val="TableParagraph"/>
                          <w:spacing w:line="130" w:lineRule="exact"/>
                          <w:ind w:left="369"/>
                          <w:rPr>
                            <w:rFonts w:ascii="Times New Roman"/>
                            <w:sz w:val="13"/>
                          </w:rPr>
                        </w:pPr>
                        <w:r>
                          <w:rPr>
                            <w:rFonts w:ascii="Times New Roman"/>
                            <w:noProof/>
                            <w:position w:val="-2"/>
                            <w:sz w:val="13"/>
                          </w:rPr>
                          <w:drawing>
                            <wp:inline distT="0" distB="0" distL="0" distR="0" wp14:anchorId="3D45EC23" wp14:editId="3E80E051">
                              <wp:extent cx="74489" cy="82581"/>
                              <wp:effectExtent l="0" t="0" r="0" b="0"/>
                              <wp:docPr id="1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7CB49624" w14:textId="77777777">
                    <w:trPr>
                      <w:trHeight w:val="279"/>
                    </w:trPr>
                    <w:tc>
                      <w:tcPr>
                        <w:tcW w:w="1191" w:type="dxa"/>
                        <w:vMerge/>
                        <w:tcBorders>
                          <w:top w:val="nil"/>
                          <w:left w:val="nil"/>
                          <w:bottom w:val="single" w:sz="4" w:space="0" w:color="231F20"/>
                          <w:right w:val="single" w:sz="4" w:space="0" w:color="231F20"/>
                        </w:tcBorders>
                      </w:tcPr>
                      <w:p w14:paraId="68D7E30C" w14:textId="77777777" w:rsidR="00F65BCA" w:rsidRDefault="00F65BCA">
                        <w:pPr>
                          <w:rPr>
                            <w:sz w:val="2"/>
                            <w:szCs w:val="2"/>
                          </w:rPr>
                        </w:pPr>
                      </w:p>
                    </w:tc>
                    <w:tc>
                      <w:tcPr>
                        <w:tcW w:w="2382" w:type="dxa"/>
                        <w:tcBorders>
                          <w:top w:val="single" w:sz="4" w:space="0" w:color="231F20"/>
                          <w:left w:val="single" w:sz="4" w:space="0" w:color="231F20"/>
                          <w:bottom w:val="single" w:sz="4" w:space="0" w:color="231F20"/>
                          <w:right w:val="single" w:sz="4" w:space="0" w:color="231F20"/>
                        </w:tcBorders>
                      </w:tcPr>
                      <w:p w14:paraId="3D2E1F99" w14:textId="77777777" w:rsidR="00F65BCA" w:rsidRDefault="00216117">
                        <w:pPr>
                          <w:pStyle w:val="TableParagraph"/>
                          <w:spacing w:before="41"/>
                          <w:ind w:left="84"/>
                          <w:rPr>
                            <w:sz w:val="15"/>
                          </w:rPr>
                        </w:pPr>
                        <w:r>
                          <w:rPr>
                            <w:color w:val="231F20"/>
                            <w:sz w:val="15"/>
                          </w:rPr>
                          <w:t>vybití akumulátoru</w:t>
                        </w:r>
                      </w:p>
                    </w:tc>
                    <w:tc>
                      <w:tcPr>
                        <w:tcW w:w="851" w:type="dxa"/>
                        <w:vMerge/>
                        <w:tcBorders>
                          <w:top w:val="nil"/>
                          <w:left w:val="single" w:sz="4" w:space="0" w:color="231F20"/>
                          <w:bottom w:val="single" w:sz="4" w:space="0" w:color="231F20"/>
                          <w:right w:val="single" w:sz="4" w:space="0" w:color="231F20"/>
                        </w:tcBorders>
                      </w:tcPr>
                      <w:p w14:paraId="2D7EFB10" w14:textId="77777777" w:rsidR="00F65BCA" w:rsidRDefault="00F65BCA">
                        <w:pPr>
                          <w:rPr>
                            <w:sz w:val="2"/>
                            <w:szCs w:val="2"/>
                          </w:rPr>
                        </w:pPr>
                      </w:p>
                    </w:tc>
                    <w:tc>
                      <w:tcPr>
                        <w:tcW w:w="851" w:type="dxa"/>
                        <w:tcBorders>
                          <w:top w:val="single" w:sz="4" w:space="0" w:color="231F20"/>
                          <w:left w:val="single" w:sz="4" w:space="0" w:color="231F20"/>
                          <w:bottom w:val="single" w:sz="4" w:space="0" w:color="231F20"/>
                          <w:right w:val="nil"/>
                        </w:tcBorders>
                      </w:tcPr>
                      <w:p w14:paraId="7B725D6A" w14:textId="77777777" w:rsidR="00F65BCA" w:rsidRDefault="00F65BCA">
                        <w:pPr>
                          <w:pStyle w:val="TableParagraph"/>
                          <w:spacing w:before="4"/>
                          <w:rPr>
                            <w:rFonts w:ascii="Times New Roman"/>
                            <w:sz w:val="7"/>
                          </w:rPr>
                        </w:pPr>
                      </w:p>
                      <w:p w14:paraId="6D76AC15" w14:textId="77777777" w:rsidR="00F65BCA" w:rsidRDefault="00216117">
                        <w:pPr>
                          <w:pStyle w:val="TableParagraph"/>
                          <w:spacing w:line="129" w:lineRule="exact"/>
                          <w:ind w:left="369"/>
                          <w:rPr>
                            <w:rFonts w:ascii="Times New Roman"/>
                            <w:sz w:val="12"/>
                          </w:rPr>
                        </w:pPr>
                        <w:r>
                          <w:rPr>
                            <w:rFonts w:ascii="Times New Roman"/>
                            <w:noProof/>
                            <w:position w:val="-2"/>
                            <w:sz w:val="12"/>
                          </w:rPr>
                          <w:drawing>
                            <wp:inline distT="0" distB="0" distL="0" distR="0" wp14:anchorId="712A68F3" wp14:editId="03093734">
                              <wp:extent cx="74231" cy="82296"/>
                              <wp:effectExtent l="0" t="0" r="0" b="0"/>
                              <wp:docPr id="1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3.png"/>
                                      <pic:cNvPicPr/>
                                    </pic:nvPicPr>
                                    <pic:blipFill>
                                      <a:blip r:embed="rId51" cstate="print"/>
                                      <a:stretch>
                                        <a:fillRect/>
                                      </a:stretch>
                                    </pic:blipFill>
                                    <pic:spPr>
                                      <a:xfrm>
                                        <a:off x="0" y="0"/>
                                        <a:ext cx="74231" cy="82296"/>
                                      </a:xfrm>
                                      <a:prstGeom prst="rect">
                                        <a:avLst/>
                                      </a:prstGeom>
                                    </pic:spPr>
                                  </pic:pic>
                                </a:graphicData>
                              </a:graphic>
                            </wp:inline>
                          </w:drawing>
                        </w:r>
                      </w:p>
                    </w:tc>
                  </w:tr>
                  <w:tr w:rsidR="00F65BCA" w14:paraId="3AFEE83A" w14:textId="77777777">
                    <w:trPr>
                      <w:trHeight w:val="443"/>
                    </w:trPr>
                    <w:tc>
                      <w:tcPr>
                        <w:tcW w:w="1191" w:type="dxa"/>
                        <w:vMerge/>
                        <w:tcBorders>
                          <w:top w:val="nil"/>
                          <w:left w:val="nil"/>
                          <w:bottom w:val="single" w:sz="4" w:space="0" w:color="231F20"/>
                          <w:right w:val="single" w:sz="4" w:space="0" w:color="231F20"/>
                        </w:tcBorders>
                      </w:tcPr>
                      <w:p w14:paraId="36F0CE4D" w14:textId="77777777" w:rsidR="00F65BCA" w:rsidRDefault="00F65BCA">
                        <w:pPr>
                          <w:rPr>
                            <w:sz w:val="2"/>
                            <w:szCs w:val="2"/>
                          </w:rPr>
                        </w:pPr>
                      </w:p>
                    </w:tc>
                    <w:tc>
                      <w:tcPr>
                        <w:tcW w:w="2382" w:type="dxa"/>
                        <w:tcBorders>
                          <w:top w:val="single" w:sz="4" w:space="0" w:color="231F20"/>
                          <w:left w:val="single" w:sz="4" w:space="0" w:color="231F20"/>
                          <w:bottom w:val="single" w:sz="4" w:space="0" w:color="231F20"/>
                          <w:right w:val="single" w:sz="4" w:space="0" w:color="231F20"/>
                        </w:tcBorders>
                      </w:tcPr>
                      <w:p w14:paraId="4F27371D" w14:textId="77777777" w:rsidR="00F65BCA" w:rsidRDefault="00216117">
                        <w:pPr>
                          <w:pStyle w:val="TableParagraph"/>
                          <w:spacing w:before="41" w:line="249" w:lineRule="auto"/>
                          <w:ind w:left="84"/>
                          <w:rPr>
                            <w:sz w:val="15"/>
                          </w:rPr>
                        </w:pPr>
                        <w:r>
                          <w:rPr>
                            <w:color w:val="231F20"/>
                            <w:sz w:val="15"/>
                          </w:rPr>
                          <w:t>zamrznutí zámků, ruční brzdy, rozvodů vzduchu</w:t>
                        </w:r>
                      </w:p>
                    </w:tc>
                    <w:tc>
                      <w:tcPr>
                        <w:tcW w:w="851" w:type="dxa"/>
                        <w:vMerge/>
                        <w:tcBorders>
                          <w:top w:val="nil"/>
                          <w:left w:val="single" w:sz="4" w:space="0" w:color="231F20"/>
                          <w:bottom w:val="single" w:sz="4" w:space="0" w:color="231F20"/>
                          <w:right w:val="single" w:sz="4" w:space="0" w:color="231F20"/>
                        </w:tcBorders>
                      </w:tcPr>
                      <w:p w14:paraId="2E7A36E4" w14:textId="77777777" w:rsidR="00F65BCA" w:rsidRDefault="00F65BCA">
                        <w:pPr>
                          <w:rPr>
                            <w:sz w:val="2"/>
                            <w:szCs w:val="2"/>
                          </w:rPr>
                        </w:pPr>
                      </w:p>
                    </w:tc>
                    <w:tc>
                      <w:tcPr>
                        <w:tcW w:w="851" w:type="dxa"/>
                        <w:tcBorders>
                          <w:top w:val="single" w:sz="4" w:space="0" w:color="231F20"/>
                          <w:left w:val="single" w:sz="4" w:space="0" w:color="231F20"/>
                          <w:bottom w:val="single" w:sz="4" w:space="0" w:color="231F20"/>
                          <w:right w:val="nil"/>
                        </w:tcBorders>
                      </w:tcPr>
                      <w:p w14:paraId="21989D20" w14:textId="77777777" w:rsidR="00F65BCA" w:rsidRDefault="00F65BCA">
                        <w:pPr>
                          <w:pStyle w:val="TableParagraph"/>
                          <w:spacing w:before="6"/>
                          <w:rPr>
                            <w:rFonts w:ascii="Times New Roman"/>
                            <w:sz w:val="14"/>
                          </w:rPr>
                        </w:pPr>
                      </w:p>
                      <w:p w14:paraId="76D0955C" w14:textId="77777777" w:rsidR="00F65BCA" w:rsidRDefault="00216117">
                        <w:pPr>
                          <w:pStyle w:val="TableParagraph"/>
                          <w:spacing w:line="130" w:lineRule="exact"/>
                          <w:ind w:left="369"/>
                          <w:rPr>
                            <w:rFonts w:ascii="Times New Roman"/>
                            <w:sz w:val="13"/>
                          </w:rPr>
                        </w:pPr>
                        <w:r>
                          <w:rPr>
                            <w:rFonts w:ascii="Times New Roman"/>
                            <w:noProof/>
                            <w:position w:val="-2"/>
                            <w:sz w:val="13"/>
                          </w:rPr>
                          <w:drawing>
                            <wp:inline distT="0" distB="0" distL="0" distR="0" wp14:anchorId="1397825C" wp14:editId="3670CD4E">
                              <wp:extent cx="74489" cy="82581"/>
                              <wp:effectExtent l="0" t="0" r="0" b="0"/>
                              <wp:docPr id="12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58482FD5" w14:textId="77777777">
                    <w:trPr>
                      <w:trHeight w:val="279"/>
                    </w:trPr>
                    <w:tc>
                      <w:tcPr>
                        <w:tcW w:w="1191" w:type="dxa"/>
                        <w:vMerge/>
                        <w:tcBorders>
                          <w:top w:val="nil"/>
                          <w:left w:val="nil"/>
                          <w:bottom w:val="single" w:sz="4" w:space="0" w:color="231F20"/>
                          <w:right w:val="single" w:sz="4" w:space="0" w:color="231F20"/>
                        </w:tcBorders>
                      </w:tcPr>
                      <w:p w14:paraId="601FD202" w14:textId="77777777" w:rsidR="00F65BCA" w:rsidRDefault="00F65BCA">
                        <w:pPr>
                          <w:rPr>
                            <w:sz w:val="2"/>
                            <w:szCs w:val="2"/>
                          </w:rPr>
                        </w:pPr>
                      </w:p>
                    </w:tc>
                    <w:tc>
                      <w:tcPr>
                        <w:tcW w:w="2382" w:type="dxa"/>
                        <w:tcBorders>
                          <w:top w:val="single" w:sz="4" w:space="0" w:color="231F20"/>
                          <w:left w:val="single" w:sz="4" w:space="0" w:color="231F20"/>
                          <w:bottom w:val="single" w:sz="4" w:space="0" w:color="231F20"/>
                          <w:right w:val="single" w:sz="4" w:space="0" w:color="231F20"/>
                        </w:tcBorders>
                      </w:tcPr>
                      <w:p w14:paraId="3FC887DE" w14:textId="77777777" w:rsidR="00F65BCA" w:rsidRDefault="00216117">
                        <w:pPr>
                          <w:pStyle w:val="TableParagraph"/>
                          <w:spacing w:before="41"/>
                          <w:ind w:left="84"/>
                          <w:rPr>
                            <w:sz w:val="15"/>
                          </w:rPr>
                        </w:pPr>
                        <w:r>
                          <w:rPr>
                            <w:color w:val="231F20"/>
                            <w:sz w:val="15"/>
                          </w:rPr>
                          <w:t>ztráta,</w:t>
                        </w:r>
                        <w:r>
                          <w:rPr>
                            <w:color w:val="231F20"/>
                            <w:spacing w:val="-22"/>
                            <w:sz w:val="15"/>
                          </w:rPr>
                          <w:t xml:space="preserve"> </w:t>
                        </w:r>
                        <w:r>
                          <w:rPr>
                            <w:color w:val="231F20"/>
                            <w:sz w:val="15"/>
                          </w:rPr>
                          <w:t>zabouchnutí,</w:t>
                        </w:r>
                        <w:r>
                          <w:rPr>
                            <w:color w:val="231F20"/>
                            <w:spacing w:val="-21"/>
                            <w:sz w:val="15"/>
                          </w:rPr>
                          <w:t xml:space="preserve"> </w:t>
                        </w:r>
                        <w:r>
                          <w:rPr>
                            <w:color w:val="231F20"/>
                            <w:sz w:val="15"/>
                          </w:rPr>
                          <w:t>zalomení</w:t>
                        </w:r>
                        <w:r>
                          <w:rPr>
                            <w:color w:val="231F20"/>
                            <w:spacing w:val="-22"/>
                            <w:sz w:val="15"/>
                          </w:rPr>
                          <w:t xml:space="preserve"> </w:t>
                        </w:r>
                        <w:r>
                          <w:rPr>
                            <w:color w:val="231F20"/>
                            <w:sz w:val="15"/>
                          </w:rPr>
                          <w:t>klíčů</w:t>
                        </w:r>
                      </w:p>
                    </w:tc>
                    <w:tc>
                      <w:tcPr>
                        <w:tcW w:w="851" w:type="dxa"/>
                        <w:vMerge/>
                        <w:tcBorders>
                          <w:top w:val="nil"/>
                          <w:left w:val="single" w:sz="4" w:space="0" w:color="231F20"/>
                          <w:bottom w:val="single" w:sz="4" w:space="0" w:color="231F20"/>
                          <w:right w:val="single" w:sz="4" w:space="0" w:color="231F20"/>
                        </w:tcBorders>
                      </w:tcPr>
                      <w:p w14:paraId="0B113421" w14:textId="77777777" w:rsidR="00F65BCA" w:rsidRDefault="00F65BCA">
                        <w:pPr>
                          <w:rPr>
                            <w:sz w:val="2"/>
                            <w:szCs w:val="2"/>
                          </w:rPr>
                        </w:pPr>
                      </w:p>
                    </w:tc>
                    <w:tc>
                      <w:tcPr>
                        <w:tcW w:w="851" w:type="dxa"/>
                        <w:tcBorders>
                          <w:top w:val="single" w:sz="4" w:space="0" w:color="231F20"/>
                          <w:left w:val="single" w:sz="4" w:space="0" w:color="231F20"/>
                          <w:bottom w:val="single" w:sz="4" w:space="0" w:color="231F20"/>
                          <w:right w:val="nil"/>
                        </w:tcBorders>
                      </w:tcPr>
                      <w:p w14:paraId="2E099FB8" w14:textId="77777777" w:rsidR="00F65BCA" w:rsidRDefault="00F65BCA">
                        <w:pPr>
                          <w:pStyle w:val="TableParagraph"/>
                          <w:spacing w:before="4"/>
                          <w:rPr>
                            <w:rFonts w:ascii="Times New Roman"/>
                            <w:sz w:val="7"/>
                          </w:rPr>
                        </w:pPr>
                      </w:p>
                      <w:p w14:paraId="4241257E" w14:textId="77777777" w:rsidR="00F65BCA" w:rsidRDefault="00216117">
                        <w:pPr>
                          <w:pStyle w:val="TableParagraph"/>
                          <w:spacing w:line="129" w:lineRule="exact"/>
                          <w:ind w:left="369"/>
                          <w:rPr>
                            <w:rFonts w:ascii="Times New Roman"/>
                            <w:sz w:val="12"/>
                          </w:rPr>
                        </w:pPr>
                        <w:r>
                          <w:rPr>
                            <w:rFonts w:ascii="Times New Roman"/>
                            <w:noProof/>
                            <w:position w:val="-2"/>
                            <w:sz w:val="12"/>
                          </w:rPr>
                          <w:drawing>
                            <wp:inline distT="0" distB="0" distL="0" distR="0" wp14:anchorId="2080F790" wp14:editId="0EA61B11">
                              <wp:extent cx="74231" cy="82296"/>
                              <wp:effectExtent l="0" t="0" r="0" b="0"/>
                              <wp:docPr id="1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3.png"/>
                                      <pic:cNvPicPr/>
                                    </pic:nvPicPr>
                                    <pic:blipFill>
                                      <a:blip r:embed="rId51" cstate="print"/>
                                      <a:stretch>
                                        <a:fillRect/>
                                      </a:stretch>
                                    </pic:blipFill>
                                    <pic:spPr>
                                      <a:xfrm>
                                        <a:off x="0" y="0"/>
                                        <a:ext cx="74231" cy="82296"/>
                                      </a:xfrm>
                                      <a:prstGeom prst="rect">
                                        <a:avLst/>
                                      </a:prstGeom>
                                    </pic:spPr>
                                  </pic:pic>
                                </a:graphicData>
                              </a:graphic>
                            </wp:inline>
                          </w:drawing>
                        </w:r>
                      </w:p>
                    </w:tc>
                  </w:tr>
                  <w:tr w:rsidR="00F65BCA" w14:paraId="652C3A4B" w14:textId="77777777">
                    <w:trPr>
                      <w:trHeight w:val="279"/>
                    </w:trPr>
                    <w:tc>
                      <w:tcPr>
                        <w:tcW w:w="1191" w:type="dxa"/>
                        <w:vMerge/>
                        <w:tcBorders>
                          <w:top w:val="nil"/>
                          <w:left w:val="nil"/>
                          <w:bottom w:val="single" w:sz="4" w:space="0" w:color="231F20"/>
                          <w:right w:val="single" w:sz="4" w:space="0" w:color="231F20"/>
                        </w:tcBorders>
                      </w:tcPr>
                      <w:p w14:paraId="645FEF25" w14:textId="77777777" w:rsidR="00F65BCA" w:rsidRDefault="00F65BCA">
                        <w:pPr>
                          <w:rPr>
                            <w:sz w:val="2"/>
                            <w:szCs w:val="2"/>
                          </w:rPr>
                        </w:pPr>
                      </w:p>
                    </w:tc>
                    <w:tc>
                      <w:tcPr>
                        <w:tcW w:w="2382" w:type="dxa"/>
                        <w:tcBorders>
                          <w:top w:val="single" w:sz="4" w:space="0" w:color="231F20"/>
                          <w:left w:val="single" w:sz="4" w:space="0" w:color="231F20"/>
                          <w:bottom w:val="single" w:sz="4" w:space="0" w:color="231F20"/>
                          <w:right w:val="single" w:sz="4" w:space="0" w:color="231F20"/>
                        </w:tcBorders>
                      </w:tcPr>
                      <w:p w14:paraId="4F664671" w14:textId="77777777" w:rsidR="00F65BCA" w:rsidRDefault="00216117">
                        <w:pPr>
                          <w:pStyle w:val="TableParagraph"/>
                          <w:spacing w:before="41"/>
                          <w:ind w:left="84"/>
                          <w:rPr>
                            <w:sz w:val="15"/>
                          </w:rPr>
                        </w:pPr>
                        <w:r>
                          <w:rPr>
                            <w:color w:val="231F20"/>
                            <w:sz w:val="15"/>
                          </w:rPr>
                          <w:t>rozlomení spínací skříňky</w:t>
                        </w:r>
                      </w:p>
                    </w:tc>
                    <w:tc>
                      <w:tcPr>
                        <w:tcW w:w="851" w:type="dxa"/>
                        <w:vMerge/>
                        <w:tcBorders>
                          <w:top w:val="nil"/>
                          <w:left w:val="single" w:sz="4" w:space="0" w:color="231F20"/>
                          <w:bottom w:val="single" w:sz="4" w:space="0" w:color="231F20"/>
                          <w:right w:val="single" w:sz="4" w:space="0" w:color="231F20"/>
                        </w:tcBorders>
                      </w:tcPr>
                      <w:p w14:paraId="21A93B63" w14:textId="77777777" w:rsidR="00F65BCA" w:rsidRDefault="00F65BCA">
                        <w:pPr>
                          <w:rPr>
                            <w:sz w:val="2"/>
                            <w:szCs w:val="2"/>
                          </w:rPr>
                        </w:pPr>
                      </w:p>
                    </w:tc>
                    <w:tc>
                      <w:tcPr>
                        <w:tcW w:w="851" w:type="dxa"/>
                        <w:tcBorders>
                          <w:top w:val="single" w:sz="4" w:space="0" w:color="231F20"/>
                          <w:left w:val="single" w:sz="4" w:space="0" w:color="231F20"/>
                          <w:bottom w:val="single" w:sz="4" w:space="0" w:color="231F20"/>
                          <w:right w:val="nil"/>
                        </w:tcBorders>
                      </w:tcPr>
                      <w:p w14:paraId="745812BD" w14:textId="77777777" w:rsidR="00F65BCA" w:rsidRDefault="00F65BCA">
                        <w:pPr>
                          <w:pStyle w:val="TableParagraph"/>
                          <w:spacing w:before="4"/>
                          <w:rPr>
                            <w:rFonts w:ascii="Times New Roman"/>
                            <w:sz w:val="7"/>
                          </w:rPr>
                        </w:pPr>
                      </w:p>
                      <w:p w14:paraId="71D3CB54" w14:textId="77777777" w:rsidR="00F65BCA" w:rsidRDefault="00216117">
                        <w:pPr>
                          <w:pStyle w:val="TableParagraph"/>
                          <w:spacing w:line="130" w:lineRule="exact"/>
                          <w:ind w:left="369"/>
                          <w:rPr>
                            <w:rFonts w:ascii="Times New Roman"/>
                            <w:sz w:val="13"/>
                          </w:rPr>
                        </w:pPr>
                        <w:r>
                          <w:rPr>
                            <w:rFonts w:ascii="Times New Roman"/>
                            <w:noProof/>
                            <w:position w:val="-2"/>
                            <w:sz w:val="13"/>
                          </w:rPr>
                          <w:drawing>
                            <wp:inline distT="0" distB="0" distL="0" distR="0" wp14:anchorId="15692728" wp14:editId="7E0FE40C">
                              <wp:extent cx="74489" cy="82581"/>
                              <wp:effectExtent l="0" t="0" r="0" b="0"/>
                              <wp:docPr id="1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0C263169" w14:textId="77777777">
                    <w:trPr>
                      <w:trHeight w:val="279"/>
                    </w:trPr>
                    <w:tc>
                      <w:tcPr>
                        <w:tcW w:w="1191" w:type="dxa"/>
                        <w:vMerge/>
                        <w:tcBorders>
                          <w:top w:val="nil"/>
                          <w:left w:val="nil"/>
                          <w:bottom w:val="single" w:sz="4" w:space="0" w:color="231F20"/>
                          <w:right w:val="single" w:sz="4" w:space="0" w:color="231F20"/>
                        </w:tcBorders>
                      </w:tcPr>
                      <w:p w14:paraId="6CC534EC" w14:textId="77777777" w:rsidR="00F65BCA" w:rsidRDefault="00F65BCA">
                        <w:pPr>
                          <w:rPr>
                            <w:sz w:val="2"/>
                            <w:szCs w:val="2"/>
                          </w:rPr>
                        </w:pPr>
                      </w:p>
                    </w:tc>
                    <w:tc>
                      <w:tcPr>
                        <w:tcW w:w="2382" w:type="dxa"/>
                        <w:tcBorders>
                          <w:top w:val="single" w:sz="4" w:space="0" w:color="231F20"/>
                          <w:left w:val="single" w:sz="4" w:space="0" w:color="231F20"/>
                          <w:bottom w:val="single" w:sz="4" w:space="0" w:color="231F20"/>
                          <w:right w:val="single" w:sz="4" w:space="0" w:color="231F20"/>
                        </w:tcBorders>
                      </w:tcPr>
                      <w:p w14:paraId="648C2E3B" w14:textId="77777777" w:rsidR="00F65BCA" w:rsidRDefault="00216117">
                        <w:pPr>
                          <w:pStyle w:val="TableParagraph"/>
                          <w:spacing w:before="41"/>
                          <w:ind w:left="84"/>
                          <w:rPr>
                            <w:sz w:val="15"/>
                          </w:rPr>
                        </w:pPr>
                        <w:r>
                          <w:rPr>
                            <w:color w:val="231F20"/>
                            <w:sz w:val="15"/>
                          </w:rPr>
                          <w:t>záměna pohonných hmot</w:t>
                        </w:r>
                      </w:p>
                    </w:tc>
                    <w:tc>
                      <w:tcPr>
                        <w:tcW w:w="851" w:type="dxa"/>
                        <w:vMerge/>
                        <w:tcBorders>
                          <w:top w:val="nil"/>
                          <w:left w:val="single" w:sz="4" w:space="0" w:color="231F20"/>
                          <w:bottom w:val="single" w:sz="4" w:space="0" w:color="231F20"/>
                          <w:right w:val="single" w:sz="4" w:space="0" w:color="231F20"/>
                        </w:tcBorders>
                      </w:tcPr>
                      <w:p w14:paraId="70D667DF" w14:textId="77777777" w:rsidR="00F65BCA" w:rsidRDefault="00F65BCA">
                        <w:pPr>
                          <w:rPr>
                            <w:sz w:val="2"/>
                            <w:szCs w:val="2"/>
                          </w:rPr>
                        </w:pPr>
                      </w:p>
                    </w:tc>
                    <w:tc>
                      <w:tcPr>
                        <w:tcW w:w="851" w:type="dxa"/>
                        <w:tcBorders>
                          <w:top w:val="single" w:sz="4" w:space="0" w:color="231F20"/>
                          <w:left w:val="single" w:sz="4" w:space="0" w:color="231F20"/>
                          <w:bottom w:val="single" w:sz="4" w:space="0" w:color="231F20"/>
                          <w:right w:val="nil"/>
                        </w:tcBorders>
                      </w:tcPr>
                      <w:p w14:paraId="6C5BB911" w14:textId="77777777" w:rsidR="00F65BCA" w:rsidRDefault="00F65BCA">
                        <w:pPr>
                          <w:pStyle w:val="TableParagraph"/>
                          <w:spacing w:before="4"/>
                          <w:rPr>
                            <w:rFonts w:ascii="Times New Roman"/>
                            <w:sz w:val="7"/>
                          </w:rPr>
                        </w:pPr>
                      </w:p>
                      <w:p w14:paraId="15D7A01D" w14:textId="77777777" w:rsidR="00F65BCA" w:rsidRDefault="00216117">
                        <w:pPr>
                          <w:pStyle w:val="TableParagraph"/>
                          <w:spacing w:line="129" w:lineRule="exact"/>
                          <w:ind w:left="369"/>
                          <w:rPr>
                            <w:rFonts w:ascii="Times New Roman"/>
                            <w:sz w:val="12"/>
                          </w:rPr>
                        </w:pPr>
                        <w:r>
                          <w:rPr>
                            <w:rFonts w:ascii="Times New Roman"/>
                            <w:noProof/>
                            <w:position w:val="-2"/>
                            <w:sz w:val="12"/>
                          </w:rPr>
                          <w:drawing>
                            <wp:inline distT="0" distB="0" distL="0" distR="0" wp14:anchorId="42AC9B3E" wp14:editId="72CC6F2A">
                              <wp:extent cx="74231" cy="82296"/>
                              <wp:effectExtent l="0" t="0" r="0" b="0"/>
                              <wp:docPr id="1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3.png"/>
                                      <pic:cNvPicPr/>
                                    </pic:nvPicPr>
                                    <pic:blipFill>
                                      <a:blip r:embed="rId51" cstate="print"/>
                                      <a:stretch>
                                        <a:fillRect/>
                                      </a:stretch>
                                    </pic:blipFill>
                                    <pic:spPr>
                                      <a:xfrm>
                                        <a:off x="0" y="0"/>
                                        <a:ext cx="74231" cy="82296"/>
                                      </a:xfrm>
                                      <a:prstGeom prst="rect">
                                        <a:avLst/>
                                      </a:prstGeom>
                                    </pic:spPr>
                                  </pic:pic>
                                </a:graphicData>
                              </a:graphic>
                            </wp:inline>
                          </w:drawing>
                        </w:r>
                      </w:p>
                    </w:tc>
                  </w:tr>
                  <w:tr w:rsidR="00F65BCA" w14:paraId="3EB4CFA9" w14:textId="77777777">
                    <w:trPr>
                      <w:trHeight w:val="443"/>
                    </w:trPr>
                    <w:tc>
                      <w:tcPr>
                        <w:tcW w:w="1191" w:type="dxa"/>
                        <w:vMerge/>
                        <w:tcBorders>
                          <w:top w:val="nil"/>
                          <w:left w:val="nil"/>
                          <w:bottom w:val="single" w:sz="4" w:space="0" w:color="231F20"/>
                          <w:right w:val="single" w:sz="4" w:space="0" w:color="231F20"/>
                        </w:tcBorders>
                      </w:tcPr>
                      <w:p w14:paraId="30423774" w14:textId="77777777" w:rsidR="00F65BCA" w:rsidRDefault="00F65BCA">
                        <w:pPr>
                          <w:rPr>
                            <w:sz w:val="2"/>
                            <w:szCs w:val="2"/>
                          </w:rPr>
                        </w:pPr>
                      </w:p>
                    </w:tc>
                    <w:tc>
                      <w:tcPr>
                        <w:tcW w:w="2382" w:type="dxa"/>
                        <w:tcBorders>
                          <w:top w:val="single" w:sz="4" w:space="0" w:color="231F20"/>
                          <w:left w:val="single" w:sz="4" w:space="0" w:color="231F20"/>
                          <w:bottom w:val="single" w:sz="4" w:space="0" w:color="231F20"/>
                          <w:right w:val="single" w:sz="4" w:space="0" w:color="231F20"/>
                        </w:tcBorders>
                      </w:tcPr>
                      <w:p w14:paraId="77561A5B" w14:textId="77777777" w:rsidR="00F65BCA" w:rsidRDefault="00216117">
                        <w:pPr>
                          <w:pStyle w:val="TableParagraph"/>
                          <w:spacing w:before="41" w:line="249" w:lineRule="auto"/>
                          <w:ind w:left="84" w:right="339"/>
                          <w:rPr>
                            <w:sz w:val="15"/>
                          </w:rPr>
                        </w:pPr>
                        <w:r>
                          <w:rPr>
                            <w:color w:val="231F20"/>
                            <w:sz w:val="15"/>
                          </w:rPr>
                          <w:t>nedostatek pohonných hmot a energií</w:t>
                        </w:r>
                      </w:p>
                    </w:tc>
                    <w:tc>
                      <w:tcPr>
                        <w:tcW w:w="851" w:type="dxa"/>
                        <w:vMerge/>
                        <w:tcBorders>
                          <w:top w:val="nil"/>
                          <w:left w:val="single" w:sz="4" w:space="0" w:color="231F20"/>
                          <w:bottom w:val="single" w:sz="4" w:space="0" w:color="231F20"/>
                          <w:right w:val="single" w:sz="4" w:space="0" w:color="231F20"/>
                        </w:tcBorders>
                      </w:tcPr>
                      <w:p w14:paraId="3D3DFE42" w14:textId="77777777" w:rsidR="00F65BCA" w:rsidRDefault="00F65BCA">
                        <w:pPr>
                          <w:rPr>
                            <w:sz w:val="2"/>
                            <w:szCs w:val="2"/>
                          </w:rPr>
                        </w:pPr>
                      </w:p>
                    </w:tc>
                    <w:tc>
                      <w:tcPr>
                        <w:tcW w:w="851" w:type="dxa"/>
                        <w:tcBorders>
                          <w:top w:val="single" w:sz="4" w:space="0" w:color="231F20"/>
                          <w:left w:val="single" w:sz="4" w:space="0" w:color="231F20"/>
                          <w:bottom w:val="single" w:sz="4" w:space="0" w:color="231F20"/>
                          <w:right w:val="nil"/>
                        </w:tcBorders>
                      </w:tcPr>
                      <w:p w14:paraId="0E5004B8" w14:textId="77777777" w:rsidR="00F65BCA" w:rsidRDefault="00F65BCA">
                        <w:pPr>
                          <w:pStyle w:val="TableParagraph"/>
                          <w:spacing w:before="6"/>
                          <w:rPr>
                            <w:rFonts w:ascii="Times New Roman"/>
                            <w:sz w:val="14"/>
                          </w:rPr>
                        </w:pPr>
                      </w:p>
                      <w:p w14:paraId="2ED1B90C" w14:textId="77777777" w:rsidR="00F65BCA" w:rsidRDefault="00216117">
                        <w:pPr>
                          <w:pStyle w:val="TableParagraph"/>
                          <w:spacing w:line="130" w:lineRule="exact"/>
                          <w:ind w:left="369"/>
                          <w:rPr>
                            <w:rFonts w:ascii="Times New Roman"/>
                            <w:sz w:val="13"/>
                          </w:rPr>
                        </w:pPr>
                        <w:r>
                          <w:rPr>
                            <w:rFonts w:ascii="Times New Roman"/>
                            <w:noProof/>
                            <w:position w:val="-2"/>
                            <w:sz w:val="13"/>
                          </w:rPr>
                          <w:drawing>
                            <wp:inline distT="0" distB="0" distL="0" distR="0" wp14:anchorId="27D18FB3" wp14:editId="2D82A02B">
                              <wp:extent cx="74489" cy="82581"/>
                              <wp:effectExtent l="0" t="0" r="0" b="0"/>
                              <wp:docPr id="1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389C2850" w14:textId="77777777">
                    <w:trPr>
                      <w:trHeight w:val="443"/>
                    </w:trPr>
                    <w:tc>
                      <w:tcPr>
                        <w:tcW w:w="1191" w:type="dxa"/>
                        <w:vMerge/>
                        <w:tcBorders>
                          <w:top w:val="nil"/>
                          <w:left w:val="nil"/>
                          <w:bottom w:val="single" w:sz="4" w:space="0" w:color="231F20"/>
                          <w:right w:val="single" w:sz="4" w:space="0" w:color="231F20"/>
                        </w:tcBorders>
                      </w:tcPr>
                      <w:p w14:paraId="398F591E" w14:textId="77777777" w:rsidR="00F65BCA" w:rsidRDefault="00F65BCA">
                        <w:pPr>
                          <w:rPr>
                            <w:sz w:val="2"/>
                            <w:szCs w:val="2"/>
                          </w:rPr>
                        </w:pPr>
                      </w:p>
                    </w:tc>
                    <w:tc>
                      <w:tcPr>
                        <w:tcW w:w="2382" w:type="dxa"/>
                        <w:tcBorders>
                          <w:top w:val="single" w:sz="4" w:space="0" w:color="231F20"/>
                          <w:left w:val="single" w:sz="4" w:space="0" w:color="231F20"/>
                          <w:bottom w:val="single" w:sz="4" w:space="0" w:color="231F20"/>
                          <w:right w:val="single" w:sz="4" w:space="0" w:color="231F20"/>
                        </w:tcBorders>
                      </w:tcPr>
                      <w:p w14:paraId="4B5A9BC1" w14:textId="77777777" w:rsidR="00F65BCA" w:rsidRDefault="00216117">
                        <w:pPr>
                          <w:pStyle w:val="TableParagraph"/>
                          <w:spacing w:before="41" w:line="249" w:lineRule="auto"/>
                          <w:ind w:left="84"/>
                          <w:rPr>
                            <w:sz w:val="15"/>
                          </w:rPr>
                        </w:pPr>
                        <w:r>
                          <w:rPr>
                            <w:color w:val="231F20"/>
                            <w:w w:val="95"/>
                            <w:sz w:val="15"/>
                          </w:rPr>
                          <w:t xml:space="preserve">porucha nástěnné nabíječky </w:t>
                        </w:r>
                        <w:r>
                          <w:rPr>
                            <w:color w:val="231F20"/>
                            <w:sz w:val="15"/>
                          </w:rPr>
                          <w:t>(</w:t>
                        </w:r>
                        <w:r>
                          <w:rPr>
                            <w:color w:val="231F20"/>
                            <w:sz w:val="15"/>
                          </w:rPr>
                          <w:t>wallboxu)</w:t>
                        </w:r>
                      </w:p>
                    </w:tc>
                    <w:tc>
                      <w:tcPr>
                        <w:tcW w:w="851" w:type="dxa"/>
                        <w:vMerge/>
                        <w:tcBorders>
                          <w:top w:val="nil"/>
                          <w:left w:val="single" w:sz="4" w:space="0" w:color="231F20"/>
                          <w:bottom w:val="single" w:sz="4" w:space="0" w:color="231F20"/>
                          <w:right w:val="single" w:sz="4" w:space="0" w:color="231F20"/>
                        </w:tcBorders>
                      </w:tcPr>
                      <w:p w14:paraId="6E161C5E" w14:textId="77777777" w:rsidR="00F65BCA" w:rsidRDefault="00F65BCA">
                        <w:pPr>
                          <w:rPr>
                            <w:sz w:val="2"/>
                            <w:szCs w:val="2"/>
                          </w:rPr>
                        </w:pPr>
                      </w:p>
                    </w:tc>
                    <w:tc>
                      <w:tcPr>
                        <w:tcW w:w="851" w:type="dxa"/>
                        <w:tcBorders>
                          <w:top w:val="single" w:sz="4" w:space="0" w:color="231F20"/>
                          <w:left w:val="single" w:sz="4" w:space="0" w:color="231F20"/>
                          <w:bottom w:val="single" w:sz="4" w:space="0" w:color="231F20"/>
                          <w:right w:val="nil"/>
                        </w:tcBorders>
                      </w:tcPr>
                      <w:p w14:paraId="614B3982" w14:textId="77777777" w:rsidR="00F65BCA" w:rsidRDefault="00F65BCA">
                        <w:pPr>
                          <w:pStyle w:val="TableParagraph"/>
                          <w:spacing w:before="6"/>
                          <w:rPr>
                            <w:rFonts w:ascii="Times New Roman"/>
                            <w:sz w:val="14"/>
                          </w:rPr>
                        </w:pPr>
                      </w:p>
                      <w:p w14:paraId="1DEA17B4" w14:textId="77777777" w:rsidR="00F65BCA" w:rsidRDefault="00216117">
                        <w:pPr>
                          <w:pStyle w:val="TableParagraph"/>
                          <w:spacing w:line="129" w:lineRule="exact"/>
                          <w:ind w:left="369"/>
                          <w:rPr>
                            <w:rFonts w:ascii="Times New Roman"/>
                            <w:sz w:val="12"/>
                          </w:rPr>
                        </w:pPr>
                        <w:r>
                          <w:rPr>
                            <w:rFonts w:ascii="Times New Roman"/>
                            <w:noProof/>
                            <w:position w:val="-2"/>
                            <w:sz w:val="12"/>
                          </w:rPr>
                          <w:drawing>
                            <wp:inline distT="0" distB="0" distL="0" distR="0" wp14:anchorId="074758CF" wp14:editId="57269FBD">
                              <wp:extent cx="74231" cy="82296"/>
                              <wp:effectExtent l="0" t="0" r="0" b="0"/>
                              <wp:docPr id="1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4.png"/>
                                      <pic:cNvPicPr/>
                                    </pic:nvPicPr>
                                    <pic:blipFill>
                                      <a:blip r:embed="rId52" cstate="print"/>
                                      <a:stretch>
                                        <a:fillRect/>
                                      </a:stretch>
                                    </pic:blipFill>
                                    <pic:spPr>
                                      <a:xfrm>
                                        <a:off x="0" y="0"/>
                                        <a:ext cx="74231" cy="82296"/>
                                      </a:xfrm>
                                      <a:prstGeom prst="rect">
                                        <a:avLst/>
                                      </a:prstGeom>
                                    </pic:spPr>
                                  </pic:pic>
                                </a:graphicData>
                              </a:graphic>
                            </wp:inline>
                          </w:drawing>
                        </w:r>
                      </w:p>
                    </w:tc>
                  </w:tr>
                  <w:tr w:rsidR="00F65BCA" w14:paraId="17ADD053" w14:textId="77777777">
                    <w:trPr>
                      <w:trHeight w:val="274"/>
                    </w:trPr>
                    <w:tc>
                      <w:tcPr>
                        <w:tcW w:w="1191" w:type="dxa"/>
                        <w:tcBorders>
                          <w:top w:val="single" w:sz="4" w:space="0" w:color="231F20"/>
                          <w:left w:val="nil"/>
                          <w:right w:val="single" w:sz="4" w:space="0" w:color="231F20"/>
                        </w:tcBorders>
                      </w:tcPr>
                      <w:p w14:paraId="59C34952" w14:textId="77777777" w:rsidR="00F65BCA" w:rsidRDefault="00216117">
                        <w:pPr>
                          <w:pStyle w:val="TableParagraph"/>
                          <w:spacing w:before="41"/>
                          <w:ind w:left="387"/>
                          <w:rPr>
                            <w:sz w:val="15"/>
                          </w:rPr>
                        </w:pPr>
                        <w:r>
                          <w:rPr>
                            <w:color w:val="231F20"/>
                            <w:sz w:val="15"/>
                          </w:rPr>
                          <w:t>ostatní</w:t>
                        </w:r>
                      </w:p>
                    </w:tc>
                    <w:tc>
                      <w:tcPr>
                        <w:tcW w:w="2382" w:type="dxa"/>
                        <w:tcBorders>
                          <w:top w:val="single" w:sz="4" w:space="0" w:color="231F20"/>
                          <w:left w:val="single" w:sz="4" w:space="0" w:color="231F20"/>
                          <w:right w:val="single" w:sz="4" w:space="0" w:color="231F20"/>
                        </w:tcBorders>
                      </w:tcPr>
                      <w:p w14:paraId="33E0BAD6" w14:textId="77777777" w:rsidR="00F65BCA" w:rsidRDefault="00216117">
                        <w:pPr>
                          <w:pStyle w:val="TableParagraph"/>
                          <w:spacing w:before="41"/>
                          <w:ind w:left="84"/>
                          <w:rPr>
                            <w:sz w:val="15"/>
                          </w:rPr>
                        </w:pPr>
                        <w:r>
                          <w:rPr>
                            <w:color w:val="231F20"/>
                            <w:sz w:val="15"/>
                          </w:rPr>
                          <w:t>odcizení vozidla</w:t>
                        </w:r>
                      </w:p>
                    </w:tc>
                    <w:tc>
                      <w:tcPr>
                        <w:tcW w:w="851" w:type="dxa"/>
                        <w:tcBorders>
                          <w:top w:val="single" w:sz="4" w:space="0" w:color="231F20"/>
                          <w:left w:val="single" w:sz="4" w:space="0" w:color="231F20"/>
                          <w:right w:val="single" w:sz="4" w:space="0" w:color="231F20"/>
                        </w:tcBorders>
                      </w:tcPr>
                      <w:p w14:paraId="4F6C7ABC" w14:textId="77777777" w:rsidR="00F65BCA" w:rsidRDefault="00F65BCA">
                        <w:pPr>
                          <w:pStyle w:val="TableParagraph"/>
                          <w:spacing w:before="5"/>
                          <w:rPr>
                            <w:rFonts w:ascii="Times New Roman"/>
                            <w:sz w:val="6"/>
                          </w:rPr>
                        </w:pPr>
                      </w:p>
                      <w:p w14:paraId="0FAD53B8" w14:textId="77777777" w:rsidR="00F65BCA" w:rsidRDefault="00216117">
                        <w:pPr>
                          <w:pStyle w:val="TableParagraph"/>
                          <w:spacing w:line="130" w:lineRule="exact"/>
                          <w:ind w:left="370"/>
                          <w:rPr>
                            <w:rFonts w:ascii="Times New Roman"/>
                            <w:sz w:val="13"/>
                          </w:rPr>
                        </w:pPr>
                        <w:r>
                          <w:rPr>
                            <w:rFonts w:ascii="Times New Roman"/>
                            <w:noProof/>
                            <w:position w:val="-2"/>
                            <w:sz w:val="13"/>
                          </w:rPr>
                          <w:drawing>
                            <wp:inline distT="0" distB="0" distL="0" distR="0" wp14:anchorId="7FCB0BBE" wp14:editId="2B8E826B">
                              <wp:extent cx="74476" cy="82581"/>
                              <wp:effectExtent l="0" t="0" r="0" b="0"/>
                              <wp:docPr id="1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851" w:type="dxa"/>
                        <w:tcBorders>
                          <w:top w:val="single" w:sz="4" w:space="0" w:color="231F20"/>
                          <w:left w:val="single" w:sz="4" w:space="0" w:color="231F20"/>
                          <w:right w:val="nil"/>
                        </w:tcBorders>
                      </w:tcPr>
                      <w:p w14:paraId="07717005" w14:textId="77777777" w:rsidR="00F65BCA" w:rsidRDefault="00F65BCA">
                        <w:pPr>
                          <w:pStyle w:val="TableParagraph"/>
                          <w:spacing w:before="5"/>
                          <w:rPr>
                            <w:rFonts w:ascii="Times New Roman"/>
                            <w:sz w:val="6"/>
                          </w:rPr>
                        </w:pPr>
                      </w:p>
                      <w:p w14:paraId="25E32FCF" w14:textId="77777777" w:rsidR="00F65BCA" w:rsidRDefault="00216117">
                        <w:pPr>
                          <w:pStyle w:val="TableParagraph"/>
                          <w:spacing w:line="130" w:lineRule="exact"/>
                          <w:ind w:left="369"/>
                          <w:rPr>
                            <w:rFonts w:ascii="Times New Roman"/>
                            <w:sz w:val="13"/>
                          </w:rPr>
                        </w:pPr>
                        <w:r>
                          <w:rPr>
                            <w:rFonts w:ascii="Times New Roman"/>
                            <w:noProof/>
                            <w:position w:val="-2"/>
                            <w:sz w:val="13"/>
                          </w:rPr>
                          <w:drawing>
                            <wp:inline distT="0" distB="0" distL="0" distR="0" wp14:anchorId="152E093B" wp14:editId="2224E56A">
                              <wp:extent cx="74489" cy="82581"/>
                              <wp:effectExtent l="0" t="0" r="0" b="0"/>
                              <wp:docPr id="1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bl>
                <w:p w14:paraId="021DB581" w14:textId="77777777" w:rsidR="00F65BCA" w:rsidRDefault="00F65BCA">
                  <w:pPr>
                    <w:pStyle w:val="Zkladntext"/>
                  </w:pPr>
                </w:p>
              </w:txbxContent>
            </v:textbox>
            <w10:anchorlock/>
          </v:shape>
        </w:pict>
      </w:r>
    </w:p>
    <w:p w14:paraId="197A139A" w14:textId="77777777" w:rsidR="00F65BCA" w:rsidRDefault="00F65BCA">
      <w:pPr>
        <w:pStyle w:val="Zkladntext"/>
        <w:spacing w:before="9"/>
        <w:rPr>
          <w:sz w:val="29"/>
        </w:rPr>
      </w:pPr>
    </w:p>
    <w:p w14:paraId="7B4EAF9E" w14:textId="77777777" w:rsidR="00F65BCA" w:rsidRDefault="00F65BCA">
      <w:pPr>
        <w:rPr>
          <w:sz w:val="29"/>
        </w:rPr>
        <w:sectPr w:rsidR="00F65BCA">
          <w:pgSz w:w="11910" w:h="16840"/>
          <w:pgMar w:top="540" w:right="140" w:bottom="0" w:left="140" w:header="708" w:footer="708" w:gutter="0"/>
          <w:cols w:space="708"/>
        </w:sectPr>
      </w:pPr>
    </w:p>
    <w:p w14:paraId="14B434D7" w14:textId="77777777" w:rsidR="00F65BCA" w:rsidRDefault="00000000">
      <w:pPr>
        <w:pStyle w:val="Zkladntext"/>
        <w:spacing w:before="102" w:line="276" w:lineRule="auto"/>
        <w:ind w:left="710" w:right="-8" w:hanging="283"/>
      </w:pPr>
      <w:r>
        <w:pict w14:anchorId="5F834587">
          <v:group id="_x0000_s2221" style="position:absolute;left:0;text-align:left;margin-left:0;margin-top:807.85pt;width:595.3pt;height:34.05pt;z-index:251904000;mso-position-horizontal-relative:page;mso-position-vertical-relative:page" coordorigin=",16157" coordsize="11906,681">
            <v:rect id="_x0000_s2224" style="position:absolute;top:16157;width:11906;height:681" fillcolor="#dcddde" stroked="f"/>
            <v:shape id="_x0000_s2223" type="#_x0000_t202" style="position:absolute;left:793;top:16420;width:5475;height:234" filled="f" stroked="f">
              <v:textbox inset="0,0,0,0">
                <w:txbxContent>
                  <w:p w14:paraId="5BC3CA8D" w14:textId="77777777" w:rsidR="00F65BCA" w:rsidRDefault="00216117">
                    <w:pPr>
                      <w:spacing w:before="3"/>
                      <w:rPr>
                        <w:sz w:val="16"/>
                      </w:rPr>
                    </w:pPr>
                    <w:r>
                      <w:rPr>
                        <w:color w:val="231F20"/>
                        <w:sz w:val="16"/>
                      </w:rPr>
                      <w:t xml:space="preserve">28 </w:t>
                    </w:r>
                    <w:r>
                      <w:rPr>
                        <w:color w:val="6D6E71"/>
                        <w:sz w:val="20"/>
                      </w:rPr>
                      <w:t xml:space="preserve">| </w:t>
                    </w:r>
                    <w:r>
                      <w:rPr>
                        <w:color w:val="231F20"/>
                        <w:sz w:val="16"/>
                      </w:rPr>
                      <w:t>Všeobecné pojistné podmínky pro pojištění vozidel VPPPMV-F-5/2025</w:t>
                    </w:r>
                  </w:p>
                </w:txbxContent>
              </v:textbox>
            </v:shape>
            <v:shape id="_x0000_s2222" type="#_x0000_t202" style="position:absolute;left:9491;top:16477;width:1414;height:164" filled="f" stroked="f">
              <v:textbox inset="0,0,0,0">
                <w:txbxContent>
                  <w:p w14:paraId="53A13CA9" w14:textId="77777777" w:rsidR="00F65BCA" w:rsidRDefault="00216117">
                    <w:pPr>
                      <w:spacing w:before="2"/>
                      <w:rPr>
                        <w:sz w:val="14"/>
                      </w:rPr>
                    </w:pPr>
                    <w:r>
                      <w:rPr>
                        <w:color w:val="231F20"/>
                        <w:sz w:val="14"/>
                      </w:rPr>
                      <w:t>6.20.012 05.2025 v04</w:t>
                    </w:r>
                  </w:p>
                </w:txbxContent>
              </v:textbox>
            </v:shape>
            <w10:wrap anchorx="page" anchory="page"/>
          </v:group>
        </w:pict>
      </w:r>
      <w:r w:rsidR="00216117">
        <w:rPr>
          <w:color w:val="231F20"/>
          <w:sz w:val="14"/>
          <w:shd w:val="clear" w:color="auto" w:fill="D1D3D4"/>
        </w:rPr>
        <w:t xml:space="preserve"> </w:t>
      </w:r>
      <w:r w:rsidR="00216117">
        <w:rPr>
          <w:color w:val="231F20"/>
          <w:spacing w:val="-22"/>
          <w:sz w:val="14"/>
          <w:shd w:val="clear" w:color="auto" w:fill="D1D3D4"/>
        </w:rPr>
        <w:t xml:space="preserve"> </w:t>
      </w:r>
      <w:r w:rsidR="00216117">
        <w:rPr>
          <w:color w:val="231F20"/>
          <w:sz w:val="14"/>
          <w:shd w:val="clear" w:color="auto" w:fill="D1D3D4"/>
        </w:rPr>
        <w:t>3</w:t>
      </w:r>
      <w:r w:rsidR="00216117">
        <w:rPr>
          <w:color w:val="231F20"/>
          <w:sz w:val="14"/>
        </w:rPr>
        <w:t xml:space="preserve"> </w:t>
      </w:r>
      <w:r w:rsidR="00216117">
        <w:rPr>
          <w:color w:val="231F20"/>
          <w:position w:val="1"/>
        </w:rPr>
        <w:t xml:space="preserve">Pro účely asistenčních služeb se, kromě obecného výkladu pojmů, rozumí: </w:t>
      </w:r>
      <w:r w:rsidR="00216117">
        <w:rPr>
          <w:color w:val="231F20"/>
        </w:rPr>
        <w:t>Defektem</w:t>
      </w:r>
      <w:r w:rsidR="00216117">
        <w:rPr>
          <w:color w:val="231F20"/>
          <w:spacing w:val="-16"/>
        </w:rPr>
        <w:t xml:space="preserve"> </w:t>
      </w:r>
      <w:r w:rsidR="00216117">
        <w:rPr>
          <w:color w:val="231F20"/>
        </w:rPr>
        <w:t>pneumatiky</w:t>
      </w:r>
      <w:r w:rsidR="00216117">
        <w:rPr>
          <w:color w:val="231F20"/>
          <w:spacing w:val="-15"/>
        </w:rPr>
        <w:t xml:space="preserve"> </w:t>
      </w:r>
      <w:r w:rsidR="00216117">
        <w:rPr>
          <w:color w:val="231F20"/>
        </w:rPr>
        <w:t>mechanické</w:t>
      </w:r>
      <w:r w:rsidR="00216117">
        <w:rPr>
          <w:color w:val="231F20"/>
          <w:spacing w:val="-15"/>
        </w:rPr>
        <w:t xml:space="preserve"> </w:t>
      </w:r>
      <w:r w:rsidR="00216117">
        <w:rPr>
          <w:color w:val="231F20"/>
        </w:rPr>
        <w:t>poškození</w:t>
      </w:r>
      <w:r w:rsidR="00216117">
        <w:rPr>
          <w:color w:val="231F20"/>
          <w:spacing w:val="-16"/>
        </w:rPr>
        <w:t xml:space="preserve"> </w:t>
      </w:r>
      <w:r w:rsidR="00216117">
        <w:rPr>
          <w:color w:val="231F20"/>
        </w:rPr>
        <w:t>pneumatiky</w:t>
      </w:r>
      <w:r w:rsidR="00216117">
        <w:rPr>
          <w:color w:val="231F20"/>
          <w:spacing w:val="-15"/>
        </w:rPr>
        <w:t xml:space="preserve"> </w:t>
      </w:r>
      <w:r w:rsidR="00216117">
        <w:rPr>
          <w:color w:val="231F20"/>
        </w:rPr>
        <w:t>vozidla,</w:t>
      </w:r>
      <w:r w:rsidR="00216117">
        <w:rPr>
          <w:color w:val="231F20"/>
          <w:spacing w:val="-15"/>
        </w:rPr>
        <w:t xml:space="preserve"> </w:t>
      </w:r>
      <w:r w:rsidR="00216117">
        <w:rPr>
          <w:color w:val="231F20"/>
        </w:rPr>
        <w:t>kdy</w:t>
      </w:r>
      <w:r w:rsidR="00216117">
        <w:rPr>
          <w:color w:val="231F20"/>
          <w:spacing w:val="-16"/>
        </w:rPr>
        <w:t xml:space="preserve"> </w:t>
      </w:r>
      <w:r w:rsidR="00216117">
        <w:rPr>
          <w:color w:val="231F20"/>
          <w:spacing w:val="-3"/>
        </w:rPr>
        <w:t xml:space="preserve">trhlina </w:t>
      </w:r>
      <w:r w:rsidR="00216117">
        <w:rPr>
          <w:color w:val="231F20"/>
        </w:rPr>
        <w:t>nebo</w:t>
      </w:r>
      <w:r w:rsidR="00216117">
        <w:rPr>
          <w:color w:val="231F20"/>
          <w:spacing w:val="-8"/>
        </w:rPr>
        <w:t xml:space="preserve"> </w:t>
      </w:r>
      <w:r w:rsidR="00216117">
        <w:rPr>
          <w:color w:val="231F20"/>
        </w:rPr>
        <w:t>poškození</w:t>
      </w:r>
      <w:r w:rsidR="00216117">
        <w:rPr>
          <w:color w:val="231F20"/>
          <w:spacing w:val="-8"/>
        </w:rPr>
        <w:t xml:space="preserve"> </w:t>
      </w:r>
      <w:r w:rsidR="00216117">
        <w:rPr>
          <w:color w:val="231F20"/>
        </w:rPr>
        <w:t>pláště</w:t>
      </w:r>
      <w:r w:rsidR="00216117">
        <w:rPr>
          <w:color w:val="231F20"/>
          <w:spacing w:val="-7"/>
        </w:rPr>
        <w:t xml:space="preserve"> </w:t>
      </w:r>
      <w:r w:rsidR="00216117">
        <w:rPr>
          <w:color w:val="231F20"/>
        </w:rPr>
        <w:t>pneumatiky</w:t>
      </w:r>
      <w:r w:rsidR="00216117">
        <w:rPr>
          <w:color w:val="231F20"/>
          <w:spacing w:val="-8"/>
        </w:rPr>
        <w:t xml:space="preserve"> </w:t>
      </w:r>
      <w:r w:rsidR="00216117">
        <w:rPr>
          <w:color w:val="231F20"/>
        </w:rPr>
        <w:t>na</w:t>
      </w:r>
      <w:r w:rsidR="00216117">
        <w:rPr>
          <w:color w:val="231F20"/>
          <w:spacing w:val="-8"/>
        </w:rPr>
        <w:t xml:space="preserve"> </w:t>
      </w:r>
      <w:r w:rsidR="00216117">
        <w:rPr>
          <w:color w:val="231F20"/>
        </w:rPr>
        <w:t>jejím</w:t>
      </w:r>
      <w:r w:rsidR="00216117">
        <w:rPr>
          <w:color w:val="231F20"/>
          <w:spacing w:val="-7"/>
        </w:rPr>
        <w:t xml:space="preserve"> </w:t>
      </w:r>
      <w:r w:rsidR="00216117">
        <w:rPr>
          <w:color w:val="231F20"/>
        </w:rPr>
        <w:t>vnějším</w:t>
      </w:r>
      <w:r w:rsidR="00216117">
        <w:rPr>
          <w:color w:val="231F20"/>
          <w:spacing w:val="-8"/>
        </w:rPr>
        <w:t xml:space="preserve"> </w:t>
      </w:r>
      <w:r w:rsidR="00216117">
        <w:rPr>
          <w:color w:val="231F20"/>
        </w:rPr>
        <w:t>obvodu</w:t>
      </w:r>
      <w:r w:rsidR="00216117">
        <w:rPr>
          <w:color w:val="231F20"/>
          <w:spacing w:val="-8"/>
        </w:rPr>
        <w:t xml:space="preserve"> </w:t>
      </w:r>
      <w:r w:rsidR="00216117">
        <w:rPr>
          <w:color w:val="231F20"/>
        </w:rPr>
        <w:t>obnažuje</w:t>
      </w:r>
      <w:r w:rsidR="00216117">
        <w:rPr>
          <w:color w:val="231F20"/>
          <w:spacing w:val="-7"/>
        </w:rPr>
        <w:t xml:space="preserve"> </w:t>
      </w:r>
      <w:r w:rsidR="00216117">
        <w:rPr>
          <w:color w:val="231F20"/>
          <w:spacing w:val="-4"/>
        </w:rPr>
        <w:t xml:space="preserve">kostru </w:t>
      </w:r>
      <w:r w:rsidR="00216117">
        <w:rPr>
          <w:color w:val="231F20"/>
        </w:rPr>
        <w:t>pneumatiky</w:t>
      </w:r>
      <w:r w:rsidR="00216117">
        <w:rPr>
          <w:color w:val="231F20"/>
          <w:spacing w:val="-6"/>
        </w:rPr>
        <w:t xml:space="preserve"> </w:t>
      </w:r>
      <w:r w:rsidR="00216117">
        <w:rPr>
          <w:color w:val="231F20"/>
        </w:rPr>
        <w:t>nebo</w:t>
      </w:r>
      <w:r w:rsidR="00216117">
        <w:rPr>
          <w:color w:val="231F20"/>
          <w:spacing w:val="-6"/>
        </w:rPr>
        <w:t xml:space="preserve"> </w:t>
      </w:r>
      <w:r w:rsidR="00216117">
        <w:rPr>
          <w:color w:val="231F20"/>
        </w:rPr>
        <w:t>ji</w:t>
      </w:r>
      <w:r w:rsidR="00216117">
        <w:rPr>
          <w:color w:val="231F20"/>
          <w:spacing w:val="-5"/>
        </w:rPr>
        <w:t xml:space="preserve"> </w:t>
      </w:r>
      <w:r w:rsidR="00216117">
        <w:rPr>
          <w:color w:val="231F20"/>
        </w:rPr>
        <w:t>narušuje;</w:t>
      </w:r>
      <w:r w:rsidR="00216117">
        <w:rPr>
          <w:color w:val="231F20"/>
          <w:spacing w:val="-6"/>
        </w:rPr>
        <w:t xml:space="preserve"> </w:t>
      </w:r>
      <w:r w:rsidR="00216117">
        <w:rPr>
          <w:color w:val="231F20"/>
        </w:rPr>
        <w:t>za</w:t>
      </w:r>
      <w:r w:rsidR="00216117">
        <w:rPr>
          <w:color w:val="231F20"/>
          <w:spacing w:val="-6"/>
        </w:rPr>
        <w:t xml:space="preserve"> </w:t>
      </w:r>
      <w:r w:rsidR="00216117">
        <w:rPr>
          <w:color w:val="231F20"/>
        </w:rPr>
        <w:t>defekt</w:t>
      </w:r>
      <w:r w:rsidR="00216117">
        <w:rPr>
          <w:color w:val="231F20"/>
          <w:spacing w:val="-5"/>
        </w:rPr>
        <w:t xml:space="preserve"> </w:t>
      </w:r>
      <w:r w:rsidR="00216117">
        <w:rPr>
          <w:color w:val="231F20"/>
        </w:rPr>
        <w:t>pneumatiky</w:t>
      </w:r>
      <w:r w:rsidR="00216117">
        <w:rPr>
          <w:color w:val="231F20"/>
          <w:spacing w:val="-6"/>
        </w:rPr>
        <w:t xml:space="preserve"> </w:t>
      </w:r>
      <w:r w:rsidR="00216117">
        <w:rPr>
          <w:color w:val="231F20"/>
        </w:rPr>
        <w:t>se</w:t>
      </w:r>
      <w:r w:rsidR="00216117">
        <w:rPr>
          <w:color w:val="231F20"/>
          <w:spacing w:val="-6"/>
        </w:rPr>
        <w:t xml:space="preserve"> </w:t>
      </w:r>
      <w:r w:rsidR="00216117">
        <w:rPr>
          <w:color w:val="231F20"/>
        </w:rPr>
        <w:t>nepovažuje</w:t>
      </w:r>
      <w:r w:rsidR="00216117">
        <w:rPr>
          <w:color w:val="231F20"/>
          <w:spacing w:val="-5"/>
        </w:rPr>
        <w:t xml:space="preserve"> </w:t>
      </w:r>
      <w:r w:rsidR="00216117">
        <w:rPr>
          <w:color w:val="231F20"/>
        </w:rPr>
        <w:t>samovol- ná</w:t>
      </w:r>
      <w:r w:rsidR="00216117">
        <w:rPr>
          <w:color w:val="231F20"/>
          <w:spacing w:val="-16"/>
        </w:rPr>
        <w:t xml:space="preserve"> </w:t>
      </w:r>
      <w:r w:rsidR="00216117">
        <w:rPr>
          <w:color w:val="231F20"/>
        </w:rPr>
        <w:t>ztráta</w:t>
      </w:r>
      <w:r w:rsidR="00216117">
        <w:rPr>
          <w:color w:val="231F20"/>
          <w:spacing w:val="-16"/>
        </w:rPr>
        <w:t xml:space="preserve"> </w:t>
      </w:r>
      <w:r w:rsidR="00216117">
        <w:rPr>
          <w:color w:val="231F20"/>
        </w:rPr>
        <w:t>tlaku</w:t>
      </w:r>
      <w:r w:rsidR="00216117">
        <w:rPr>
          <w:color w:val="231F20"/>
          <w:spacing w:val="-16"/>
        </w:rPr>
        <w:t xml:space="preserve"> </w:t>
      </w:r>
      <w:r w:rsidR="00216117">
        <w:rPr>
          <w:color w:val="231F20"/>
        </w:rPr>
        <w:t>pneumatiky</w:t>
      </w:r>
      <w:r w:rsidR="00216117">
        <w:rPr>
          <w:color w:val="231F20"/>
          <w:spacing w:val="-16"/>
        </w:rPr>
        <w:t xml:space="preserve"> </w:t>
      </w:r>
      <w:r w:rsidR="00216117">
        <w:rPr>
          <w:color w:val="231F20"/>
        </w:rPr>
        <w:t>u</w:t>
      </w:r>
      <w:r w:rsidR="00216117">
        <w:rPr>
          <w:color w:val="231F20"/>
          <w:spacing w:val="-16"/>
        </w:rPr>
        <w:t xml:space="preserve"> </w:t>
      </w:r>
      <w:r w:rsidR="00216117">
        <w:rPr>
          <w:color w:val="231F20"/>
        </w:rPr>
        <w:t>zaparkovaného</w:t>
      </w:r>
      <w:r w:rsidR="00216117">
        <w:rPr>
          <w:color w:val="231F20"/>
          <w:spacing w:val="-15"/>
        </w:rPr>
        <w:t xml:space="preserve"> </w:t>
      </w:r>
      <w:r w:rsidR="00216117">
        <w:rPr>
          <w:color w:val="231F20"/>
        </w:rPr>
        <w:t>vozidla,</w:t>
      </w:r>
      <w:r w:rsidR="00216117">
        <w:rPr>
          <w:color w:val="231F20"/>
          <w:spacing w:val="-16"/>
        </w:rPr>
        <w:t xml:space="preserve"> </w:t>
      </w:r>
      <w:r w:rsidR="00216117">
        <w:rPr>
          <w:color w:val="231F20"/>
        </w:rPr>
        <w:t>nebo</w:t>
      </w:r>
      <w:r w:rsidR="00216117">
        <w:rPr>
          <w:color w:val="231F20"/>
          <w:spacing w:val="-16"/>
        </w:rPr>
        <w:t xml:space="preserve"> </w:t>
      </w:r>
      <w:r w:rsidR="00216117">
        <w:rPr>
          <w:color w:val="231F20"/>
        </w:rPr>
        <w:t>poškození</w:t>
      </w:r>
      <w:r w:rsidR="00216117">
        <w:rPr>
          <w:color w:val="231F20"/>
          <w:spacing w:val="-16"/>
        </w:rPr>
        <w:t xml:space="preserve"> </w:t>
      </w:r>
      <w:r w:rsidR="00216117">
        <w:rPr>
          <w:color w:val="231F20"/>
          <w:spacing w:val="-3"/>
        </w:rPr>
        <w:t xml:space="preserve">ventilku </w:t>
      </w:r>
      <w:r w:rsidR="00216117">
        <w:rPr>
          <w:color w:val="231F20"/>
        </w:rPr>
        <w:t>kola;</w:t>
      </w:r>
    </w:p>
    <w:p w14:paraId="605BDA12" w14:textId="77777777" w:rsidR="00F65BCA" w:rsidRDefault="00216117">
      <w:pPr>
        <w:pStyle w:val="Zkladntext"/>
        <w:spacing w:before="4" w:line="278" w:lineRule="auto"/>
        <w:ind w:left="710"/>
        <w:jc w:val="both"/>
      </w:pPr>
      <w:r>
        <w:rPr>
          <w:color w:val="231F20"/>
        </w:rPr>
        <w:t>Nedostatkem pohonných hmot a energií nedostatek pohonných látek či energií sloužících k pohonu vozidla;</w:t>
      </w:r>
    </w:p>
    <w:p w14:paraId="3EC9C6B2" w14:textId="77777777" w:rsidR="00F65BCA" w:rsidRDefault="00216117">
      <w:pPr>
        <w:pStyle w:val="Zkladntext"/>
        <w:spacing w:line="278" w:lineRule="auto"/>
        <w:ind w:left="710"/>
        <w:jc w:val="both"/>
      </w:pPr>
      <w:r>
        <w:rPr>
          <w:color w:val="231F20"/>
        </w:rPr>
        <w:t xml:space="preserve">Nepojízdností je nepojízdnost pojištěného vozidla nebo jeho technická </w:t>
      </w:r>
      <w:r>
        <w:rPr>
          <w:color w:val="231F20"/>
          <w:spacing w:val="-6"/>
        </w:rPr>
        <w:t xml:space="preserve">ne- </w:t>
      </w:r>
      <w:r>
        <w:rPr>
          <w:color w:val="231F20"/>
        </w:rPr>
        <w:t>způsobilost</w:t>
      </w:r>
      <w:r>
        <w:rPr>
          <w:color w:val="231F20"/>
          <w:spacing w:val="-13"/>
        </w:rPr>
        <w:t xml:space="preserve"> </w:t>
      </w:r>
      <w:r>
        <w:rPr>
          <w:color w:val="231F20"/>
        </w:rPr>
        <w:t>k</w:t>
      </w:r>
      <w:r>
        <w:rPr>
          <w:color w:val="231F20"/>
          <w:spacing w:val="-12"/>
        </w:rPr>
        <w:t xml:space="preserve"> </w:t>
      </w:r>
      <w:r>
        <w:rPr>
          <w:color w:val="231F20"/>
        </w:rPr>
        <w:t>provozu</w:t>
      </w:r>
      <w:r>
        <w:rPr>
          <w:color w:val="231F20"/>
          <w:spacing w:val="-13"/>
        </w:rPr>
        <w:t xml:space="preserve"> </w:t>
      </w:r>
      <w:r>
        <w:rPr>
          <w:color w:val="231F20"/>
        </w:rPr>
        <w:t>na</w:t>
      </w:r>
      <w:r>
        <w:rPr>
          <w:color w:val="231F20"/>
          <w:spacing w:val="-12"/>
        </w:rPr>
        <w:t xml:space="preserve"> </w:t>
      </w:r>
      <w:r>
        <w:rPr>
          <w:color w:val="231F20"/>
        </w:rPr>
        <w:t>pozemních</w:t>
      </w:r>
      <w:r>
        <w:rPr>
          <w:color w:val="231F20"/>
          <w:spacing w:val="-13"/>
        </w:rPr>
        <w:t xml:space="preserve"> </w:t>
      </w:r>
      <w:r>
        <w:rPr>
          <w:color w:val="231F20"/>
        </w:rPr>
        <w:t>komunikacích</w:t>
      </w:r>
      <w:r>
        <w:rPr>
          <w:color w:val="231F20"/>
          <w:spacing w:val="-12"/>
        </w:rPr>
        <w:t xml:space="preserve"> </w:t>
      </w:r>
      <w:r>
        <w:rPr>
          <w:color w:val="231F20"/>
        </w:rPr>
        <w:t>podle</w:t>
      </w:r>
      <w:r>
        <w:rPr>
          <w:color w:val="231F20"/>
          <w:spacing w:val="-13"/>
        </w:rPr>
        <w:t xml:space="preserve"> </w:t>
      </w:r>
      <w:r>
        <w:rPr>
          <w:color w:val="231F20"/>
        </w:rPr>
        <w:t>obecně</w:t>
      </w:r>
      <w:r>
        <w:rPr>
          <w:color w:val="231F20"/>
          <w:spacing w:val="-12"/>
        </w:rPr>
        <w:t xml:space="preserve"> </w:t>
      </w:r>
      <w:r>
        <w:rPr>
          <w:color w:val="231F20"/>
        </w:rPr>
        <w:t>závazných právních</w:t>
      </w:r>
      <w:r>
        <w:rPr>
          <w:color w:val="231F20"/>
          <w:spacing w:val="-1"/>
        </w:rPr>
        <w:t xml:space="preserve"> </w:t>
      </w:r>
      <w:r>
        <w:rPr>
          <w:color w:val="231F20"/>
        </w:rPr>
        <w:t>předpisů;</w:t>
      </w:r>
    </w:p>
    <w:p w14:paraId="5DD8728E" w14:textId="77777777" w:rsidR="00F65BCA" w:rsidRDefault="00216117">
      <w:pPr>
        <w:pStyle w:val="Zkladntext"/>
        <w:spacing w:line="278" w:lineRule="auto"/>
        <w:ind w:left="710"/>
        <w:jc w:val="both"/>
      </w:pPr>
      <w:r>
        <w:rPr>
          <w:color w:val="231F20"/>
        </w:rPr>
        <w:t xml:space="preserve">Odcizením části vozidla </w:t>
      </w:r>
      <w:r>
        <w:rPr>
          <w:color w:val="231F20"/>
          <w:spacing w:val="-3"/>
        </w:rPr>
        <w:t xml:space="preserve">stav, </w:t>
      </w:r>
      <w:r>
        <w:rPr>
          <w:color w:val="231F20"/>
        </w:rPr>
        <w:t xml:space="preserve">kdy odcizené části způsobily nepojízdnost </w:t>
      </w:r>
      <w:r>
        <w:rPr>
          <w:color w:val="231F20"/>
          <w:spacing w:val="-6"/>
        </w:rPr>
        <w:t xml:space="preserve">vo- </w:t>
      </w:r>
      <w:r>
        <w:rPr>
          <w:color w:val="231F20"/>
        </w:rPr>
        <w:t>zidla, a tato událost byla šetřena policií;</w:t>
      </w:r>
    </w:p>
    <w:p w14:paraId="53AF8DE6" w14:textId="77777777" w:rsidR="00F65BCA" w:rsidRDefault="00216117">
      <w:pPr>
        <w:pStyle w:val="Zkladntext"/>
        <w:spacing w:line="278" w:lineRule="auto"/>
        <w:ind w:left="710"/>
        <w:jc w:val="both"/>
      </w:pPr>
      <w:r>
        <w:rPr>
          <w:color w:val="231F20"/>
        </w:rPr>
        <w:t>Poruchou mechanická, elektrická, nebo elektromechanická závada pojiště- ného vozidla vzniklá funkčním namáháním, přirozeným opotřebením, nebo únavou materiálu jednotlivých částí vozidla při běžném provozu, nebo jeho konstrukční nebo výrobní vadou;</w:t>
      </w:r>
    </w:p>
    <w:p w14:paraId="10E38201" w14:textId="77777777" w:rsidR="00F65BCA" w:rsidRDefault="00216117">
      <w:pPr>
        <w:pStyle w:val="Zkladntext"/>
        <w:spacing w:line="278" w:lineRule="auto"/>
        <w:ind w:left="710"/>
        <w:jc w:val="both"/>
      </w:pPr>
      <w:r>
        <w:rPr>
          <w:color w:val="231F20"/>
        </w:rPr>
        <w:t>Porucha nástěnné nabíječky (wallboxu) – jedná se o technickou havárii nebo poruchu nabíjecího zařízení;</w:t>
      </w:r>
    </w:p>
    <w:p w14:paraId="02FF24DA" w14:textId="77777777" w:rsidR="00F65BCA" w:rsidRDefault="00216117">
      <w:pPr>
        <w:pStyle w:val="Zkladntext"/>
        <w:spacing w:line="278" w:lineRule="auto"/>
        <w:ind w:left="710"/>
        <w:jc w:val="both"/>
      </w:pPr>
      <w:r>
        <w:rPr>
          <w:color w:val="231F20"/>
        </w:rPr>
        <w:t>Poškozením</w:t>
      </w:r>
      <w:r>
        <w:rPr>
          <w:color w:val="231F20"/>
          <w:spacing w:val="-14"/>
        </w:rPr>
        <w:t xml:space="preserve"> </w:t>
      </w:r>
      <w:r>
        <w:rPr>
          <w:color w:val="231F20"/>
        </w:rPr>
        <w:t>vozidla</w:t>
      </w:r>
      <w:r>
        <w:rPr>
          <w:color w:val="231F20"/>
          <w:spacing w:val="-13"/>
        </w:rPr>
        <w:t xml:space="preserve"> </w:t>
      </w:r>
      <w:r>
        <w:rPr>
          <w:color w:val="231F20"/>
        </w:rPr>
        <w:t>zvířetem</w:t>
      </w:r>
      <w:r>
        <w:rPr>
          <w:color w:val="231F20"/>
          <w:spacing w:val="-13"/>
        </w:rPr>
        <w:t xml:space="preserve"> </w:t>
      </w:r>
      <w:r>
        <w:rPr>
          <w:color w:val="231F20"/>
          <w:spacing w:val="-3"/>
        </w:rPr>
        <w:t>stav,</w:t>
      </w:r>
      <w:r>
        <w:rPr>
          <w:color w:val="231F20"/>
          <w:spacing w:val="-13"/>
        </w:rPr>
        <w:t xml:space="preserve"> </w:t>
      </w:r>
      <w:r>
        <w:rPr>
          <w:color w:val="231F20"/>
        </w:rPr>
        <w:t>kdy</w:t>
      </w:r>
      <w:r>
        <w:rPr>
          <w:color w:val="231F20"/>
          <w:spacing w:val="-13"/>
        </w:rPr>
        <w:t xml:space="preserve"> </w:t>
      </w:r>
      <w:r>
        <w:rPr>
          <w:color w:val="231F20"/>
        </w:rPr>
        <w:t>na</w:t>
      </w:r>
      <w:r>
        <w:rPr>
          <w:color w:val="231F20"/>
          <w:spacing w:val="-13"/>
        </w:rPr>
        <w:t xml:space="preserve"> </w:t>
      </w:r>
      <w:r>
        <w:rPr>
          <w:color w:val="231F20"/>
        </w:rPr>
        <w:t>zaparkovaném</w:t>
      </w:r>
      <w:r>
        <w:rPr>
          <w:color w:val="231F20"/>
          <w:spacing w:val="-13"/>
        </w:rPr>
        <w:t xml:space="preserve"> </w:t>
      </w:r>
      <w:r>
        <w:rPr>
          <w:color w:val="231F20"/>
        </w:rPr>
        <w:t>pojištěném</w:t>
      </w:r>
      <w:r>
        <w:rPr>
          <w:color w:val="231F20"/>
          <w:spacing w:val="-14"/>
        </w:rPr>
        <w:t xml:space="preserve"> </w:t>
      </w:r>
      <w:r>
        <w:rPr>
          <w:color w:val="231F20"/>
        </w:rPr>
        <w:t>vozidle poškodí</w:t>
      </w:r>
      <w:r>
        <w:rPr>
          <w:color w:val="231F20"/>
          <w:spacing w:val="-9"/>
        </w:rPr>
        <w:t xml:space="preserve"> </w:t>
      </w:r>
      <w:r>
        <w:rPr>
          <w:color w:val="231F20"/>
        </w:rPr>
        <w:t>zvíře</w:t>
      </w:r>
      <w:r>
        <w:rPr>
          <w:color w:val="231F20"/>
          <w:spacing w:val="-8"/>
        </w:rPr>
        <w:t xml:space="preserve"> </w:t>
      </w:r>
      <w:r>
        <w:rPr>
          <w:color w:val="231F20"/>
        </w:rPr>
        <w:t>tyto</w:t>
      </w:r>
      <w:r>
        <w:rPr>
          <w:color w:val="231F20"/>
          <w:spacing w:val="-8"/>
        </w:rPr>
        <w:t xml:space="preserve"> </w:t>
      </w:r>
      <w:r>
        <w:rPr>
          <w:color w:val="231F20"/>
        </w:rPr>
        <w:t>části</w:t>
      </w:r>
      <w:r>
        <w:rPr>
          <w:color w:val="231F20"/>
          <w:spacing w:val="-8"/>
        </w:rPr>
        <w:t xml:space="preserve"> </w:t>
      </w:r>
      <w:r>
        <w:rPr>
          <w:color w:val="231F20"/>
        </w:rPr>
        <w:t>motorového</w:t>
      </w:r>
      <w:r>
        <w:rPr>
          <w:color w:val="231F20"/>
          <w:spacing w:val="-8"/>
        </w:rPr>
        <w:t xml:space="preserve"> </w:t>
      </w:r>
      <w:r>
        <w:rPr>
          <w:color w:val="231F20"/>
        </w:rPr>
        <w:t>prostoru:</w:t>
      </w:r>
      <w:r>
        <w:rPr>
          <w:color w:val="231F20"/>
          <w:spacing w:val="-8"/>
        </w:rPr>
        <w:t xml:space="preserve"> </w:t>
      </w:r>
      <w:r>
        <w:rPr>
          <w:color w:val="231F20"/>
        </w:rPr>
        <w:t>kabely</w:t>
      </w:r>
      <w:r>
        <w:rPr>
          <w:color w:val="231F20"/>
          <w:spacing w:val="-8"/>
        </w:rPr>
        <w:t xml:space="preserve"> </w:t>
      </w:r>
      <w:r>
        <w:rPr>
          <w:color w:val="231F20"/>
        </w:rPr>
        <w:t>a</w:t>
      </w:r>
      <w:r>
        <w:rPr>
          <w:color w:val="231F20"/>
          <w:spacing w:val="-8"/>
        </w:rPr>
        <w:t xml:space="preserve"> </w:t>
      </w:r>
      <w:r>
        <w:rPr>
          <w:color w:val="231F20"/>
        </w:rPr>
        <w:t>kabelové</w:t>
      </w:r>
      <w:r>
        <w:rPr>
          <w:color w:val="231F20"/>
          <w:spacing w:val="-8"/>
        </w:rPr>
        <w:t xml:space="preserve"> </w:t>
      </w:r>
      <w:r>
        <w:rPr>
          <w:color w:val="231F20"/>
        </w:rPr>
        <w:t>svazky,</w:t>
      </w:r>
      <w:r>
        <w:rPr>
          <w:color w:val="231F20"/>
          <w:spacing w:val="-8"/>
        </w:rPr>
        <w:t xml:space="preserve"> </w:t>
      </w:r>
      <w:r>
        <w:rPr>
          <w:color w:val="231F20"/>
          <w:spacing w:val="-5"/>
        </w:rPr>
        <w:t xml:space="preserve">brz- </w:t>
      </w:r>
      <w:r>
        <w:rPr>
          <w:color w:val="231F20"/>
        </w:rPr>
        <w:t>dovou soustavu, chladicí soustavu nebo</w:t>
      </w:r>
      <w:r>
        <w:rPr>
          <w:color w:val="231F20"/>
          <w:spacing w:val="-13"/>
        </w:rPr>
        <w:t xml:space="preserve"> </w:t>
      </w:r>
      <w:r>
        <w:rPr>
          <w:color w:val="231F20"/>
        </w:rPr>
        <w:t>odhlučnění;</w:t>
      </w:r>
    </w:p>
    <w:p w14:paraId="1135736C" w14:textId="77777777" w:rsidR="00F65BCA" w:rsidRDefault="00216117">
      <w:pPr>
        <w:pStyle w:val="Zkladntext"/>
        <w:spacing w:line="278" w:lineRule="auto"/>
        <w:ind w:left="710"/>
        <w:jc w:val="both"/>
      </w:pPr>
      <w:r>
        <w:rPr>
          <w:color w:val="231F20"/>
        </w:rPr>
        <w:t>Rozlomením</w:t>
      </w:r>
      <w:r>
        <w:rPr>
          <w:color w:val="231F20"/>
          <w:spacing w:val="-14"/>
        </w:rPr>
        <w:t xml:space="preserve"> </w:t>
      </w:r>
      <w:r>
        <w:rPr>
          <w:color w:val="231F20"/>
        </w:rPr>
        <w:t>spínací</w:t>
      </w:r>
      <w:r>
        <w:rPr>
          <w:color w:val="231F20"/>
          <w:spacing w:val="-14"/>
        </w:rPr>
        <w:t xml:space="preserve"> </w:t>
      </w:r>
      <w:r>
        <w:rPr>
          <w:color w:val="231F20"/>
        </w:rPr>
        <w:t>skříňky</w:t>
      </w:r>
      <w:r>
        <w:rPr>
          <w:color w:val="231F20"/>
          <w:spacing w:val="-14"/>
        </w:rPr>
        <w:t xml:space="preserve"> </w:t>
      </w:r>
      <w:r>
        <w:rPr>
          <w:color w:val="231F20"/>
        </w:rPr>
        <w:t>nefunkčnost</w:t>
      </w:r>
      <w:r>
        <w:rPr>
          <w:color w:val="231F20"/>
          <w:spacing w:val="-14"/>
        </w:rPr>
        <w:t xml:space="preserve"> </w:t>
      </w:r>
      <w:r>
        <w:rPr>
          <w:color w:val="231F20"/>
        </w:rPr>
        <w:t>spínací</w:t>
      </w:r>
      <w:r>
        <w:rPr>
          <w:color w:val="231F20"/>
          <w:spacing w:val="-14"/>
        </w:rPr>
        <w:t xml:space="preserve"> </w:t>
      </w:r>
      <w:r>
        <w:rPr>
          <w:color w:val="231F20"/>
        </w:rPr>
        <w:t>skříňky</w:t>
      </w:r>
      <w:r>
        <w:rPr>
          <w:color w:val="231F20"/>
          <w:spacing w:val="-14"/>
        </w:rPr>
        <w:t xml:space="preserve"> </w:t>
      </w:r>
      <w:r>
        <w:rPr>
          <w:color w:val="231F20"/>
        </w:rPr>
        <w:t>pojištěného</w:t>
      </w:r>
      <w:r>
        <w:rPr>
          <w:color w:val="231F20"/>
          <w:spacing w:val="-14"/>
        </w:rPr>
        <w:t xml:space="preserve"> </w:t>
      </w:r>
      <w:r>
        <w:rPr>
          <w:color w:val="231F20"/>
          <w:spacing w:val="-3"/>
        </w:rPr>
        <w:t xml:space="preserve">vozidla </w:t>
      </w:r>
      <w:r>
        <w:rPr>
          <w:color w:val="231F20"/>
        </w:rPr>
        <w:t>způsobená</w:t>
      </w:r>
      <w:r>
        <w:rPr>
          <w:color w:val="231F20"/>
          <w:spacing w:val="-16"/>
        </w:rPr>
        <w:t xml:space="preserve"> </w:t>
      </w:r>
      <w:r>
        <w:rPr>
          <w:color w:val="231F20"/>
        </w:rPr>
        <w:t>jejím</w:t>
      </w:r>
      <w:r>
        <w:rPr>
          <w:color w:val="231F20"/>
          <w:spacing w:val="-16"/>
        </w:rPr>
        <w:t xml:space="preserve"> </w:t>
      </w:r>
      <w:r>
        <w:rPr>
          <w:color w:val="231F20"/>
        </w:rPr>
        <w:t>opotřebením,</w:t>
      </w:r>
      <w:r>
        <w:rPr>
          <w:color w:val="231F20"/>
          <w:spacing w:val="-15"/>
        </w:rPr>
        <w:t xml:space="preserve"> </w:t>
      </w:r>
      <w:r>
        <w:rPr>
          <w:color w:val="231F20"/>
        </w:rPr>
        <w:t>nebo</w:t>
      </w:r>
      <w:r>
        <w:rPr>
          <w:color w:val="231F20"/>
          <w:spacing w:val="-16"/>
        </w:rPr>
        <w:t xml:space="preserve"> </w:t>
      </w:r>
      <w:r>
        <w:rPr>
          <w:color w:val="231F20"/>
        </w:rPr>
        <w:t>zapadnutím</w:t>
      </w:r>
      <w:r>
        <w:rPr>
          <w:color w:val="231F20"/>
          <w:spacing w:val="-16"/>
        </w:rPr>
        <w:t xml:space="preserve"> </w:t>
      </w:r>
      <w:r>
        <w:rPr>
          <w:color w:val="231F20"/>
        </w:rPr>
        <w:t>předmětu;</w:t>
      </w:r>
      <w:r>
        <w:rPr>
          <w:color w:val="231F20"/>
          <w:spacing w:val="-15"/>
        </w:rPr>
        <w:t xml:space="preserve"> </w:t>
      </w:r>
      <w:r>
        <w:rPr>
          <w:color w:val="231F20"/>
        </w:rPr>
        <w:t>za</w:t>
      </w:r>
      <w:r>
        <w:rPr>
          <w:color w:val="231F20"/>
          <w:spacing w:val="-16"/>
        </w:rPr>
        <w:t xml:space="preserve"> </w:t>
      </w:r>
      <w:r>
        <w:rPr>
          <w:color w:val="231F20"/>
        </w:rPr>
        <w:t>rozlomení</w:t>
      </w:r>
      <w:r>
        <w:rPr>
          <w:color w:val="231F20"/>
          <w:spacing w:val="-16"/>
        </w:rPr>
        <w:t xml:space="preserve"> </w:t>
      </w:r>
      <w:r>
        <w:rPr>
          <w:color w:val="231F20"/>
          <w:spacing w:val="-6"/>
        </w:rPr>
        <w:t xml:space="preserve">spí- </w:t>
      </w:r>
      <w:r>
        <w:rPr>
          <w:color w:val="231F20"/>
        </w:rPr>
        <w:t>nací</w:t>
      </w:r>
      <w:r>
        <w:rPr>
          <w:color w:val="231F20"/>
          <w:spacing w:val="-27"/>
        </w:rPr>
        <w:t xml:space="preserve"> </w:t>
      </w:r>
      <w:r>
        <w:rPr>
          <w:color w:val="231F20"/>
        </w:rPr>
        <w:t>skříňky</w:t>
      </w:r>
      <w:r>
        <w:rPr>
          <w:color w:val="231F20"/>
          <w:spacing w:val="-26"/>
        </w:rPr>
        <w:t xml:space="preserve"> </w:t>
      </w:r>
      <w:r>
        <w:rPr>
          <w:color w:val="231F20"/>
        </w:rPr>
        <w:t>se</w:t>
      </w:r>
      <w:r>
        <w:rPr>
          <w:color w:val="231F20"/>
          <w:spacing w:val="-27"/>
        </w:rPr>
        <w:t xml:space="preserve"> </w:t>
      </w:r>
      <w:r>
        <w:rPr>
          <w:color w:val="231F20"/>
        </w:rPr>
        <w:t>nepovažuje</w:t>
      </w:r>
      <w:r>
        <w:rPr>
          <w:color w:val="231F20"/>
          <w:spacing w:val="-26"/>
        </w:rPr>
        <w:t xml:space="preserve"> </w:t>
      </w:r>
      <w:r>
        <w:rPr>
          <w:color w:val="231F20"/>
        </w:rPr>
        <w:t>poškození</w:t>
      </w:r>
      <w:r>
        <w:rPr>
          <w:color w:val="231F20"/>
          <w:spacing w:val="-26"/>
        </w:rPr>
        <w:t xml:space="preserve"> </w:t>
      </w:r>
      <w:r>
        <w:rPr>
          <w:color w:val="231F20"/>
        </w:rPr>
        <w:t>spínací</w:t>
      </w:r>
      <w:r>
        <w:rPr>
          <w:color w:val="231F20"/>
          <w:spacing w:val="-27"/>
        </w:rPr>
        <w:t xml:space="preserve"> </w:t>
      </w:r>
      <w:r>
        <w:rPr>
          <w:color w:val="231F20"/>
        </w:rPr>
        <w:t>skříňky</w:t>
      </w:r>
      <w:r>
        <w:rPr>
          <w:color w:val="231F20"/>
          <w:spacing w:val="-26"/>
        </w:rPr>
        <w:t xml:space="preserve"> </w:t>
      </w:r>
      <w:r>
        <w:rPr>
          <w:color w:val="231F20"/>
        </w:rPr>
        <w:t>prokazatelně</w:t>
      </w:r>
      <w:r>
        <w:rPr>
          <w:color w:val="231F20"/>
          <w:spacing w:val="-26"/>
        </w:rPr>
        <w:t xml:space="preserve"> </w:t>
      </w:r>
      <w:r>
        <w:rPr>
          <w:color w:val="231F20"/>
        </w:rPr>
        <w:t>úmyslným jednáním třetí</w:t>
      </w:r>
      <w:r>
        <w:rPr>
          <w:color w:val="231F20"/>
          <w:spacing w:val="-2"/>
        </w:rPr>
        <w:t xml:space="preserve"> </w:t>
      </w:r>
      <w:r>
        <w:rPr>
          <w:color w:val="231F20"/>
        </w:rPr>
        <w:t>osoby;</w:t>
      </w:r>
    </w:p>
    <w:p w14:paraId="4A99C0DD" w14:textId="77777777" w:rsidR="00F65BCA" w:rsidRDefault="00216117">
      <w:pPr>
        <w:pStyle w:val="Zkladntext"/>
        <w:spacing w:before="104" w:line="278" w:lineRule="auto"/>
        <w:ind w:left="469" w:right="424"/>
        <w:jc w:val="both"/>
      </w:pPr>
      <w:r>
        <w:br w:type="column"/>
      </w:r>
      <w:r>
        <w:rPr>
          <w:color w:val="231F20"/>
        </w:rPr>
        <w:t xml:space="preserve">Vybitím akumulátoru nefunkčnost startovacího akumulátoru pojištěného </w:t>
      </w:r>
      <w:r>
        <w:rPr>
          <w:color w:val="231F20"/>
          <w:spacing w:val="-4"/>
        </w:rPr>
        <w:t xml:space="preserve">vo- </w:t>
      </w:r>
      <w:r>
        <w:rPr>
          <w:color w:val="231F20"/>
        </w:rPr>
        <w:t>zidla</w:t>
      </w:r>
      <w:r>
        <w:rPr>
          <w:color w:val="231F20"/>
          <w:spacing w:val="-24"/>
        </w:rPr>
        <w:t xml:space="preserve"> </w:t>
      </w:r>
      <w:r>
        <w:rPr>
          <w:color w:val="231F20"/>
        </w:rPr>
        <w:t>z</w:t>
      </w:r>
      <w:r>
        <w:rPr>
          <w:color w:val="231F20"/>
          <w:spacing w:val="-23"/>
        </w:rPr>
        <w:t xml:space="preserve"> </w:t>
      </w:r>
      <w:r>
        <w:rPr>
          <w:color w:val="231F20"/>
        </w:rPr>
        <w:t>důvodu</w:t>
      </w:r>
      <w:r>
        <w:rPr>
          <w:color w:val="231F20"/>
          <w:spacing w:val="-24"/>
        </w:rPr>
        <w:t xml:space="preserve"> </w:t>
      </w:r>
      <w:r>
        <w:rPr>
          <w:color w:val="231F20"/>
        </w:rPr>
        <w:t>samovolného</w:t>
      </w:r>
      <w:r>
        <w:rPr>
          <w:color w:val="231F20"/>
          <w:spacing w:val="-23"/>
        </w:rPr>
        <w:t xml:space="preserve"> </w:t>
      </w:r>
      <w:r>
        <w:rPr>
          <w:color w:val="231F20"/>
        </w:rPr>
        <w:t>vybití,</w:t>
      </w:r>
      <w:r>
        <w:rPr>
          <w:color w:val="231F20"/>
          <w:spacing w:val="-24"/>
        </w:rPr>
        <w:t xml:space="preserve"> </w:t>
      </w:r>
      <w:r>
        <w:rPr>
          <w:color w:val="231F20"/>
        </w:rPr>
        <w:t>nepříznivých</w:t>
      </w:r>
      <w:r>
        <w:rPr>
          <w:color w:val="231F20"/>
          <w:spacing w:val="-23"/>
        </w:rPr>
        <w:t xml:space="preserve"> </w:t>
      </w:r>
      <w:r>
        <w:rPr>
          <w:color w:val="231F20"/>
        </w:rPr>
        <w:t>klimatických</w:t>
      </w:r>
      <w:r>
        <w:rPr>
          <w:color w:val="231F20"/>
          <w:spacing w:val="-24"/>
        </w:rPr>
        <w:t xml:space="preserve"> </w:t>
      </w:r>
      <w:r>
        <w:rPr>
          <w:color w:val="231F20"/>
        </w:rPr>
        <w:t>podmínek,</w:t>
      </w:r>
      <w:r>
        <w:rPr>
          <w:color w:val="231F20"/>
          <w:spacing w:val="-23"/>
        </w:rPr>
        <w:t xml:space="preserve"> </w:t>
      </w:r>
      <w:r>
        <w:rPr>
          <w:color w:val="231F20"/>
        </w:rPr>
        <w:t>nebo nesprávné obsluhy</w:t>
      </w:r>
      <w:r>
        <w:rPr>
          <w:color w:val="231F20"/>
          <w:spacing w:val="-2"/>
        </w:rPr>
        <w:t xml:space="preserve"> </w:t>
      </w:r>
      <w:r>
        <w:rPr>
          <w:color w:val="231F20"/>
        </w:rPr>
        <w:t>vozidla;</w:t>
      </w:r>
    </w:p>
    <w:p w14:paraId="0788CBD6" w14:textId="77777777" w:rsidR="00F65BCA" w:rsidRDefault="00216117">
      <w:pPr>
        <w:pStyle w:val="Zkladntext"/>
        <w:spacing w:line="278" w:lineRule="auto"/>
        <w:ind w:left="469" w:right="424"/>
        <w:jc w:val="both"/>
      </w:pPr>
      <w:r>
        <w:rPr>
          <w:color w:val="231F20"/>
        </w:rPr>
        <w:t>Záměnou pohonných hmot natankování pohonných hmot jiného druhu, než určeného výrobcem pojištěného vozidla uvedeného v technickém průkazu nebo osvědčení o registraci vozidla;</w:t>
      </w:r>
    </w:p>
    <w:p w14:paraId="26007349" w14:textId="77777777" w:rsidR="00F65BCA" w:rsidRDefault="00216117">
      <w:pPr>
        <w:pStyle w:val="Zkladntext"/>
        <w:spacing w:line="278" w:lineRule="auto"/>
        <w:ind w:left="469" w:right="424"/>
        <w:jc w:val="both"/>
      </w:pPr>
      <w:r>
        <w:rPr>
          <w:color w:val="231F20"/>
        </w:rPr>
        <w:t>Zamrznutím</w:t>
      </w:r>
      <w:r>
        <w:rPr>
          <w:color w:val="231F20"/>
          <w:spacing w:val="-7"/>
        </w:rPr>
        <w:t xml:space="preserve"> </w:t>
      </w:r>
      <w:r>
        <w:rPr>
          <w:color w:val="231F20"/>
        </w:rPr>
        <w:t>pohonných</w:t>
      </w:r>
      <w:r>
        <w:rPr>
          <w:color w:val="231F20"/>
          <w:spacing w:val="-6"/>
        </w:rPr>
        <w:t xml:space="preserve"> </w:t>
      </w:r>
      <w:r>
        <w:rPr>
          <w:color w:val="231F20"/>
        </w:rPr>
        <w:t>hmot</w:t>
      </w:r>
      <w:r>
        <w:rPr>
          <w:color w:val="231F20"/>
          <w:spacing w:val="-6"/>
        </w:rPr>
        <w:t xml:space="preserve"> </w:t>
      </w:r>
      <w:r>
        <w:rPr>
          <w:color w:val="231F20"/>
        </w:rPr>
        <w:t>změna</w:t>
      </w:r>
      <w:r>
        <w:rPr>
          <w:color w:val="231F20"/>
          <w:spacing w:val="-7"/>
        </w:rPr>
        <w:t xml:space="preserve"> </w:t>
      </w:r>
      <w:r>
        <w:rPr>
          <w:color w:val="231F20"/>
        </w:rPr>
        <w:t>vlastností</w:t>
      </w:r>
      <w:r>
        <w:rPr>
          <w:color w:val="231F20"/>
          <w:spacing w:val="-6"/>
        </w:rPr>
        <w:t xml:space="preserve"> </w:t>
      </w:r>
      <w:r>
        <w:rPr>
          <w:color w:val="231F20"/>
        </w:rPr>
        <w:t>pohonných</w:t>
      </w:r>
      <w:r>
        <w:rPr>
          <w:color w:val="231F20"/>
          <w:spacing w:val="-6"/>
        </w:rPr>
        <w:t xml:space="preserve"> </w:t>
      </w:r>
      <w:r>
        <w:rPr>
          <w:color w:val="231F20"/>
        </w:rPr>
        <w:t>hmot</w:t>
      </w:r>
      <w:r>
        <w:rPr>
          <w:color w:val="231F20"/>
          <w:spacing w:val="-6"/>
        </w:rPr>
        <w:t xml:space="preserve"> </w:t>
      </w:r>
      <w:r>
        <w:rPr>
          <w:color w:val="231F20"/>
        </w:rPr>
        <w:t>splňujících jakostní</w:t>
      </w:r>
      <w:r>
        <w:rPr>
          <w:color w:val="231F20"/>
          <w:spacing w:val="-9"/>
        </w:rPr>
        <w:t xml:space="preserve"> </w:t>
      </w:r>
      <w:r>
        <w:rPr>
          <w:color w:val="231F20"/>
        </w:rPr>
        <w:t>požadavky</w:t>
      </w:r>
      <w:r>
        <w:rPr>
          <w:color w:val="231F20"/>
          <w:spacing w:val="-8"/>
        </w:rPr>
        <w:t xml:space="preserve"> </w:t>
      </w:r>
      <w:r>
        <w:rPr>
          <w:color w:val="231F20"/>
        </w:rPr>
        <w:t>podle</w:t>
      </w:r>
      <w:r>
        <w:rPr>
          <w:color w:val="231F20"/>
          <w:spacing w:val="-9"/>
        </w:rPr>
        <w:t xml:space="preserve"> </w:t>
      </w:r>
      <w:r>
        <w:rPr>
          <w:color w:val="231F20"/>
        </w:rPr>
        <w:t>obecně</w:t>
      </w:r>
      <w:r>
        <w:rPr>
          <w:color w:val="231F20"/>
          <w:spacing w:val="-8"/>
        </w:rPr>
        <w:t xml:space="preserve"> </w:t>
      </w:r>
      <w:r>
        <w:rPr>
          <w:color w:val="231F20"/>
        </w:rPr>
        <w:t>závazných</w:t>
      </w:r>
      <w:r>
        <w:rPr>
          <w:color w:val="231F20"/>
          <w:spacing w:val="-9"/>
        </w:rPr>
        <w:t xml:space="preserve"> </w:t>
      </w:r>
      <w:r>
        <w:rPr>
          <w:color w:val="231F20"/>
        </w:rPr>
        <w:t>právních</w:t>
      </w:r>
      <w:r>
        <w:rPr>
          <w:color w:val="231F20"/>
          <w:spacing w:val="-8"/>
        </w:rPr>
        <w:t xml:space="preserve"> </w:t>
      </w:r>
      <w:r>
        <w:rPr>
          <w:color w:val="231F20"/>
        </w:rPr>
        <w:t>předpisů</w:t>
      </w:r>
      <w:r>
        <w:rPr>
          <w:color w:val="231F20"/>
          <w:spacing w:val="-8"/>
        </w:rPr>
        <w:t xml:space="preserve"> </w:t>
      </w:r>
      <w:r>
        <w:rPr>
          <w:color w:val="231F20"/>
        </w:rPr>
        <w:t>vyvolaná</w:t>
      </w:r>
      <w:r>
        <w:rPr>
          <w:color w:val="231F20"/>
          <w:spacing w:val="-9"/>
        </w:rPr>
        <w:t xml:space="preserve"> </w:t>
      </w:r>
      <w:r>
        <w:rPr>
          <w:color w:val="231F20"/>
          <w:spacing w:val="-5"/>
        </w:rPr>
        <w:t xml:space="preserve">kli- </w:t>
      </w:r>
      <w:r>
        <w:rPr>
          <w:color w:val="231F20"/>
        </w:rPr>
        <w:t>matickými</w:t>
      </w:r>
      <w:r>
        <w:rPr>
          <w:color w:val="231F20"/>
          <w:spacing w:val="-15"/>
        </w:rPr>
        <w:t xml:space="preserve"> </w:t>
      </w:r>
      <w:r>
        <w:rPr>
          <w:color w:val="231F20"/>
        </w:rPr>
        <w:t>podmínkami,</w:t>
      </w:r>
      <w:r>
        <w:rPr>
          <w:color w:val="231F20"/>
          <w:spacing w:val="-15"/>
        </w:rPr>
        <w:t xml:space="preserve"> </w:t>
      </w:r>
      <w:r>
        <w:rPr>
          <w:color w:val="231F20"/>
        </w:rPr>
        <w:t>která</w:t>
      </w:r>
      <w:r>
        <w:rPr>
          <w:color w:val="231F20"/>
          <w:spacing w:val="-14"/>
        </w:rPr>
        <w:t xml:space="preserve"> </w:t>
      </w:r>
      <w:r>
        <w:rPr>
          <w:color w:val="231F20"/>
        </w:rPr>
        <w:t>má</w:t>
      </w:r>
      <w:r>
        <w:rPr>
          <w:color w:val="231F20"/>
          <w:spacing w:val="-15"/>
        </w:rPr>
        <w:t xml:space="preserve"> </w:t>
      </w:r>
      <w:r>
        <w:rPr>
          <w:color w:val="231F20"/>
        </w:rPr>
        <w:t>za</w:t>
      </w:r>
      <w:r>
        <w:rPr>
          <w:color w:val="231F20"/>
          <w:spacing w:val="-14"/>
        </w:rPr>
        <w:t xml:space="preserve"> </w:t>
      </w:r>
      <w:r>
        <w:rPr>
          <w:color w:val="231F20"/>
        </w:rPr>
        <w:t>následek</w:t>
      </w:r>
      <w:r>
        <w:rPr>
          <w:color w:val="231F20"/>
          <w:spacing w:val="-15"/>
        </w:rPr>
        <w:t xml:space="preserve"> </w:t>
      </w:r>
      <w:r>
        <w:rPr>
          <w:color w:val="231F20"/>
        </w:rPr>
        <w:t>nefunkčnost</w:t>
      </w:r>
      <w:r>
        <w:rPr>
          <w:color w:val="231F20"/>
          <w:spacing w:val="-15"/>
        </w:rPr>
        <w:t xml:space="preserve"> </w:t>
      </w:r>
      <w:r>
        <w:rPr>
          <w:color w:val="231F20"/>
        </w:rPr>
        <w:t>spalovacího</w:t>
      </w:r>
      <w:r>
        <w:rPr>
          <w:color w:val="231F20"/>
          <w:spacing w:val="-14"/>
        </w:rPr>
        <w:t xml:space="preserve"> </w:t>
      </w:r>
      <w:r>
        <w:rPr>
          <w:color w:val="231F20"/>
          <w:spacing w:val="-4"/>
        </w:rPr>
        <w:t xml:space="preserve">agre- </w:t>
      </w:r>
      <w:r>
        <w:rPr>
          <w:color w:val="231F20"/>
        </w:rPr>
        <w:t>gátu (motoru)</w:t>
      </w:r>
      <w:r>
        <w:rPr>
          <w:color w:val="231F20"/>
          <w:spacing w:val="-2"/>
        </w:rPr>
        <w:t xml:space="preserve"> </w:t>
      </w:r>
      <w:r>
        <w:rPr>
          <w:color w:val="231F20"/>
        </w:rPr>
        <w:t>vozidla;</w:t>
      </w:r>
    </w:p>
    <w:p w14:paraId="7A53873D" w14:textId="77777777" w:rsidR="00F65BCA" w:rsidRDefault="00216117">
      <w:pPr>
        <w:pStyle w:val="Zkladntext"/>
        <w:spacing w:line="278" w:lineRule="auto"/>
        <w:ind w:left="469" w:right="424"/>
        <w:jc w:val="both"/>
      </w:pPr>
      <w:r>
        <w:rPr>
          <w:color w:val="231F20"/>
        </w:rPr>
        <w:t xml:space="preserve">Ztrátou, zabouchnutím nebo zalomením klíčů </w:t>
      </w:r>
      <w:r>
        <w:rPr>
          <w:color w:val="231F20"/>
          <w:spacing w:val="-3"/>
        </w:rPr>
        <w:t xml:space="preserve">stav, </w:t>
      </w:r>
      <w:r>
        <w:rPr>
          <w:color w:val="231F20"/>
        </w:rPr>
        <w:t xml:space="preserve">kdy pojištěné </w:t>
      </w:r>
      <w:r>
        <w:rPr>
          <w:color w:val="231F20"/>
          <w:spacing w:val="-3"/>
        </w:rPr>
        <w:t xml:space="preserve">vozidlo </w:t>
      </w:r>
      <w:r>
        <w:rPr>
          <w:color w:val="231F20"/>
        </w:rPr>
        <w:t>není</w:t>
      </w:r>
      <w:r>
        <w:rPr>
          <w:color w:val="231F20"/>
          <w:spacing w:val="-6"/>
        </w:rPr>
        <w:t xml:space="preserve"> </w:t>
      </w:r>
      <w:r>
        <w:rPr>
          <w:color w:val="231F20"/>
        </w:rPr>
        <w:t>možné</w:t>
      </w:r>
      <w:r>
        <w:rPr>
          <w:color w:val="231F20"/>
          <w:spacing w:val="-5"/>
        </w:rPr>
        <w:t xml:space="preserve"> </w:t>
      </w:r>
      <w:r>
        <w:rPr>
          <w:color w:val="231F20"/>
        </w:rPr>
        <w:t>odemknout</w:t>
      </w:r>
      <w:r>
        <w:rPr>
          <w:color w:val="231F20"/>
          <w:spacing w:val="-5"/>
        </w:rPr>
        <w:t xml:space="preserve"> </w:t>
      </w:r>
      <w:r>
        <w:rPr>
          <w:color w:val="231F20"/>
        </w:rPr>
        <w:t>nebo</w:t>
      </w:r>
      <w:r>
        <w:rPr>
          <w:color w:val="231F20"/>
          <w:spacing w:val="-5"/>
        </w:rPr>
        <w:t xml:space="preserve"> </w:t>
      </w:r>
      <w:r>
        <w:rPr>
          <w:color w:val="231F20"/>
        </w:rPr>
        <w:t>nastartovat</w:t>
      </w:r>
      <w:r>
        <w:rPr>
          <w:color w:val="231F20"/>
          <w:spacing w:val="-5"/>
        </w:rPr>
        <w:t xml:space="preserve"> </w:t>
      </w:r>
      <w:r>
        <w:rPr>
          <w:color w:val="231F20"/>
        </w:rPr>
        <w:t>příslušným</w:t>
      </w:r>
      <w:r>
        <w:rPr>
          <w:color w:val="231F20"/>
          <w:spacing w:val="-5"/>
        </w:rPr>
        <w:t xml:space="preserve"> </w:t>
      </w:r>
      <w:r>
        <w:rPr>
          <w:color w:val="231F20"/>
        </w:rPr>
        <w:t>klíčem,</w:t>
      </w:r>
      <w:r>
        <w:rPr>
          <w:color w:val="231F20"/>
          <w:spacing w:val="-5"/>
        </w:rPr>
        <w:t xml:space="preserve"> </w:t>
      </w:r>
      <w:r>
        <w:rPr>
          <w:color w:val="231F20"/>
        </w:rPr>
        <w:t>startovacím</w:t>
      </w:r>
      <w:r>
        <w:rPr>
          <w:color w:val="231F20"/>
          <w:spacing w:val="-5"/>
        </w:rPr>
        <w:t xml:space="preserve"> </w:t>
      </w:r>
      <w:r>
        <w:rPr>
          <w:color w:val="231F20"/>
        </w:rPr>
        <w:t>či- pem, nebo kartou z důvodu jejich ztráty, zanechání v uzamčeném vozidle, odcizení,</w:t>
      </w:r>
      <w:r>
        <w:rPr>
          <w:color w:val="231F20"/>
          <w:spacing w:val="-21"/>
        </w:rPr>
        <w:t xml:space="preserve"> </w:t>
      </w:r>
      <w:r>
        <w:rPr>
          <w:color w:val="231F20"/>
        </w:rPr>
        <w:t>mechanického</w:t>
      </w:r>
      <w:r>
        <w:rPr>
          <w:color w:val="231F20"/>
          <w:spacing w:val="-20"/>
        </w:rPr>
        <w:t xml:space="preserve"> </w:t>
      </w:r>
      <w:r>
        <w:rPr>
          <w:color w:val="231F20"/>
        </w:rPr>
        <w:t>poškození,</w:t>
      </w:r>
      <w:r>
        <w:rPr>
          <w:color w:val="231F20"/>
          <w:spacing w:val="-21"/>
        </w:rPr>
        <w:t xml:space="preserve"> </w:t>
      </w:r>
      <w:r>
        <w:rPr>
          <w:color w:val="231F20"/>
        </w:rPr>
        <w:t>nebo</w:t>
      </w:r>
      <w:r>
        <w:rPr>
          <w:color w:val="231F20"/>
          <w:spacing w:val="-20"/>
        </w:rPr>
        <w:t xml:space="preserve"> </w:t>
      </w:r>
      <w:r>
        <w:rPr>
          <w:color w:val="231F20"/>
        </w:rPr>
        <w:t>z</w:t>
      </w:r>
      <w:r>
        <w:rPr>
          <w:color w:val="231F20"/>
          <w:spacing w:val="-21"/>
        </w:rPr>
        <w:t xml:space="preserve"> </w:t>
      </w:r>
      <w:r>
        <w:rPr>
          <w:color w:val="231F20"/>
        </w:rPr>
        <w:t>důvodu</w:t>
      </w:r>
      <w:r>
        <w:rPr>
          <w:color w:val="231F20"/>
          <w:spacing w:val="-20"/>
        </w:rPr>
        <w:t xml:space="preserve"> </w:t>
      </w:r>
      <w:r>
        <w:rPr>
          <w:color w:val="231F20"/>
        </w:rPr>
        <w:t>nefunkčního</w:t>
      </w:r>
      <w:r>
        <w:rPr>
          <w:color w:val="231F20"/>
          <w:spacing w:val="-21"/>
        </w:rPr>
        <w:t xml:space="preserve"> </w:t>
      </w:r>
      <w:r>
        <w:rPr>
          <w:color w:val="231F20"/>
        </w:rPr>
        <w:t>akumulátoru (baterie) v klíči, čipu, nebo</w:t>
      </w:r>
      <w:r>
        <w:rPr>
          <w:color w:val="231F20"/>
          <w:spacing w:val="-7"/>
        </w:rPr>
        <w:t xml:space="preserve"> </w:t>
      </w:r>
      <w:r>
        <w:rPr>
          <w:color w:val="231F20"/>
        </w:rPr>
        <w:t>kartě.</w:t>
      </w:r>
    </w:p>
    <w:p w14:paraId="7178398D" w14:textId="77777777" w:rsidR="00F65BCA" w:rsidRDefault="00F65BCA">
      <w:pPr>
        <w:pStyle w:val="Zkladntext"/>
        <w:spacing w:before="10"/>
        <w:rPr>
          <w:sz w:val="20"/>
        </w:rPr>
      </w:pPr>
    </w:p>
    <w:p w14:paraId="2C44C2F2" w14:textId="77777777" w:rsidR="00F65BCA" w:rsidRDefault="00216117">
      <w:pPr>
        <w:ind w:left="187"/>
        <w:rPr>
          <w:sz w:val="15"/>
        </w:rPr>
      </w:pPr>
      <w:r>
        <w:rPr>
          <w:color w:val="FFFFFF"/>
          <w:position w:val="3"/>
          <w:sz w:val="16"/>
          <w:shd w:val="clear" w:color="auto" w:fill="808285"/>
        </w:rPr>
        <w:t xml:space="preserve">  </w:t>
      </w:r>
      <w:r>
        <w:rPr>
          <w:color w:val="FFFFFF"/>
          <w:w w:val="105"/>
          <w:position w:val="3"/>
          <w:sz w:val="16"/>
          <w:shd w:val="clear" w:color="auto" w:fill="808285"/>
        </w:rPr>
        <w:t>Článek 67</w:t>
      </w:r>
      <w:r>
        <w:rPr>
          <w:color w:val="FFFFFF"/>
          <w:w w:val="105"/>
          <w:position w:val="3"/>
          <w:sz w:val="16"/>
        </w:rPr>
        <w:t xml:space="preserve"> </w:t>
      </w:r>
      <w:r>
        <w:rPr>
          <w:color w:val="231F20"/>
          <w:w w:val="105"/>
          <w:sz w:val="15"/>
        </w:rPr>
        <w:t>Rozsah a limity pojistného plnění</w:t>
      </w:r>
    </w:p>
    <w:p w14:paraId="64F786F8" w14:textId="77777777" w:rsidR="00F65BCA" w:rsidRDefault="00216117">
      <w:pPr>
        <w:pStyle w:val="Zkladntext"/>
        <w:spacing w:before="147"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6"/>
          <w:position w:val="1"/>
          <w:sz w:val="14"/>
        </w:rPr>
        <w:t xml:space="preserve"> </w:t>
      </w:r>
      <w:r>
        <w:rPr>
          <w:color w:val="231F20"/>
        </w:rPr>
        <w:t>Oprávněná osoba má v případě pojistné události z pojištění právo na zajiště- ní</w:t>
      </w:r>
      <w:r>
        <w:rPr>
          <w:color w:val="231F20"/>
          <w:spacing w:val="-5"/>
        </w:rPr>
        <w:t xml:space="preserve"> </w:t>
      </w:r>
      <w:r>
        <w:rPr>
          <w:color w:val="231F20"/>
        </w:rPr>
        <w:t>a</w:t>
      </w:r>
      <w:r>
        <w:rPr>
          <w:color w:val="231F20"/>
          <w:spacing w:val="-5"/>
        </w:rPr>
        <w:t xml:space="preserve"> </w:t>
      </w:r>
      <w:r>
        <w:rPr>
          <w:color w:val="231F20"/>
        </w:rPr>
        <w:t>úhradu</w:t>
      </w:r>
      <w:r>
        <w:rPr>
          <w:color w:val="231F20"/>
          <w:spacing w:val="-4"/>
        </w:rPr>
        <w:t xml:space="preserve"> </w:t>
      </w:r>
      <w:r>
        <w:rPr>
          <w:color w:val="231F20"/>
        </w:rPr>
        <w:t>asistenčních</w:t>
      </w:r>
      <w:r>
        <w:rPr>
          <w:color w:val="231F20"/>
          <w:spacing w:val="-5"/>
        </w:rPr>
        <w:t xml:space="preserve"> </w:t>
      </w:r>
      <w:r>
        <w:rPr>
          <w:color w:val="231F20"/>
        </w:rPr>
        <w:t>služeb</w:t>
      </w:r>
      <w:r>
        <w:rPr>
          <w:color w:val="231F20"/>
          <w:spacing w:val="-4"/>
        </w:rPr>
        <w:t xml:space="preserve"> </w:t>
      </w:r>
      <w:r>
        <w:rPr>
          <w:color w:val="231F20"/>
        </w:rPr>
        <w:t>v</w:t>
      </w:r>
      <w:r>
        <w:rPr>
          <w:color w:val="231F20"/>
          <w:spacing w:val="-5"/>
        </w:rPr>
        <w:t xml:space="preserve"> </w:t>
      </w:r>
      <w:r>
        <w:rPr>
          <w:color w:val="231F20"/>
        </w:rPr>
        <w:t>rozsahu</w:t>
      </w:r>
      <w:r>
        <w:rPr>
          <w:color w:val="231F20"/>
          <w:spacing w:val="-4"/>
        </w:rPr>
        <w:t xml:space="preserve"> </w:t>
      </w:r>
      <w:r>
        <w:rPr>
          <w:color w:val="231F20"/>
        </w:rPr>
        <w:t>a</w:t>
      </w:r>
      <w:r>
        <w:rPr>
          <w:color w:val="231F20"/>
          <w:spacing w:val="-5"/>
        </w:rPr>
        <w:t xml:space="preserve"> </w:t>
      </w:r>
      <w:r>
        <w:rPr>
          <w:color w:val="231F20"/>
        </w:rPr>
        <w:t>do</w:t>
      </w:r>
      <w:r>
        <w:rPr>
          <w:color w:val="231F20"/>
          <w:spacing w:val="-5"/>
        </w:rPr>
        <w:t xml:space="preserve"> </w:t>
      </w:r>
      <w:r>
        <w:rPr>
          <w:color w:val="231F20"/>
        </w:rPr>
        <w:t>výše</w:t>
      </w:r>
      <w:r>
        <w:rPr>
          <w:color w:val="231F20"/>
          <w:spacing w:val="-4"/>
        </w:rPr>
        <w:t xml:space="preserve"> </w:t>
      </w:r>
      <w:r>
        <w:rPr>
          <w:color w:val="231F20"/>
        </w:rPr>
        <w:t>limitu</w:t>
      </w:r>
      <w:r>
        <w:rPr>
          <w:color w:val="231F20"/>
          <w:spacing w:val="-5"/>
        </w:rPr>
        <w:t xml:space="preserve"> </w:t>
      </w:r>
      <w:r>
        <w:rPr>
          <w:color w:val="231F20"/>
        </w:rPr>
        <w:t>pojistného</w:t>
      </w:r>
      <w:r>
        <w:rPr>
          <w:color w:val="231F20"/>
          <w:spacing w:val="-4"/>
        </w:rPr>
        <w:t xml:space="preserve"> </w:t>
      </w:r>
      <w:r>
        <w:rPr>
          <w:color w:val="231F20"/>
          <w:spacing w:val="-3"/>
        </w:rPr>
        <w:t xml:space="preserve">plnění </w:t>
      </w:r>
      <w:r>
        <w:rPr>
          <w:color w:val="231F20"/>
        </w:rPr>
        <w:t>uvedeného</w:t>
      </w:r>
      <w:r>
        <w:rPr>
          <w:color w:val="231F20"/>
          <w:spacing w:val="-22"/>
        </w:rPr>
        <w:t xml:space="preserve"> </w:t>
      </w:r>
      <w:r>
        <w:rPr>
          <w:color w:val="231F20"/>
        </w:rPr>
        <w:t>pro</w:t>
      </w:r>
      <w:r>
        <w:rPr>
          <w:color w:val="231F20"/>
          <w:spacing w:val="-22"/>
        </w:rPr>
        <w:t xml:space="preserve"> </w:t>
      </w:r>
      <w:r>
        <w:rPr>
          <w:color w:val="231F20"/>
        </w:rPr>
        <w:t>jednotlivé</w:t>
      </w:r>
      <w:r>
        <w:rPr>
          <w:color w:val="231F20"/>
          <w:spacing w:val="-21"/>
        </w:rPr>
        <w:t xml:space="preserve"> </w:t>
      </w:r>
      <w:r>
        <w:rPr>
          <w:color w:val="231F20"/>
        </w:rPr>
        <w:t>varianty</w:t>
      </w:r>
      <w:r>
        <w:rPr>
          <w:color w:val="231F20"/>
          <w:spacing w:val="-22"/>
        </w:rPr>
        <w:t xml:space="preserve"> </w:t>
      </w:r>
      <w:r>
        <w:rPr>
          <w:color w:val="231F20"/>
        </w:rPr>
        <w:t>asistence</w:t>
      </w:r>
      <w:r>
        <w:rPr>
          <w:color w:val="231F20"/>
          <w:spacing w:val="-21"/>
        </w:rPr>
        <w:t xml:space="preserve"> </w:t>
      </w:r>
      <w:r>
        <w:rPr>
          <w:color w:val="231F20"/>
        </w:rPr>
        <w:t>v</w:t>
      </w:r>
      <w:r>
        <w:rPr>
          <w:color w:val="231F20"/>
          <w:spacing w:val="-22"/>
        </w:rPr>
        <w:t xml:space="preserve"> </w:t>
      </w:r>
      <w:r>
        <w:rPr>
          <w:color w:val="231F20"/>
        </w:rPr>
        <w:t>tabulkách</w:t>
      </w:r>
      <w:r>
        <w:rPr>
          <w:color w:val="231F20"/>
          <w:spacing w:val="-21"/>
        </w:rPr>
        <w:t xml:space="preserve"> </w:t>
      </w:r>
      <w:r>
        <w:rPr>
          <w:color w:val="231F20"/>
        </w:rPr>
        <w:t>v</w:t>
      </w:r>
      <w:r>
        <w:rPr>
          <w:color w:val="231F20"/>
          <w:spacing w:val="-22"/>
        </w:rPr>
        <w:t xml:space="preserve"> </w:t>
      </w:r>
      <w:r>
        <w:rPr>
          <w:color w:val="231F20"/>
        </w:rPr>
        <w:t>tomto</w:t>
      </w:r>
      <w:r>
        <w:rPr>
          <w:color w:val="231F20"/>
          <w:spacing w:val="-21"/>
        </w:rPr>
        <w:t xml:space="preserve"> </w:t>
      </w:r>
      <w:r>
        <w:rPr>
          <w:color w:val="231F20"/>
        </w:rPr>
        <w:t>článku,</w:t>
      </w:r>
      <w:r>
        <w:rPr>
          <w:color w:val="231F20"/>
          <w:spacing w:val="-22"/>
        </w:rPr>
        <w:t xml:space="preserve"> </w:t>
      </w:r>
      <w:r>
        <w:rPr>
          <w:color w:val="231F20"/>
          <w:spacing w:val="-3"/>
        </w:rPr>
        <w:t xml:space="preserve">není-li </w:t>
      </w:r>
      <w:r>
        <w:rPr>
          <w:color w:val="231F20"/>
        </w:rPr>
        <w:t>v pojistné smlouvě ujednáno</w:t>
      </w:r>
      <w:r>
        <w:rPr>
          <w:color w:val="231F20"/>
          <w:spacing w:val="-5"/>
        </w:rPr>
        <w:t xml:space="preserve"> </w:t>
      </w:r>
      <w:r>
        <w:rPr>
          <w:color w:val="231F20"/>
        </w:rPr>
        <w:t>jinak.</w:t>
      </w:r>
    </w:p>
    <w:p w14:paraId="0701B5C2"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2</w:t>
      </w:r>
      <w:r>
        <w:rPr>
          <w:color w:val="231F20"/>
          <w:position w:val="1"/>
          <w:sz w:val="14"/>
        </w:rPr>
        <w:t xml:space="preserve"> </w:t>
      </w:r>
      <w:r>
        <w:rPr>
          <w:color w:val="231F20"/>
        </w:rPr>
        <w:t>Limity pojistného plnění uvedené v tabulkách v tomto článku se vztahují na jednu pojistnou událost.</w:t>
      </w:r>
    </w:p>
    <w:p w14:paraId="67A688E6" w14:textId="77777777" w:rsidR="00F65BCA" w:rsidRDefault="00216117">
      <w:pPr>
        <w:pStyle w:val="Zkladntext"/>
        <w:spacing w:line="278" w:lineRule="auto"/>
        <w:ind w:left="469" w:right="425" w:hanging="283"/>
        <w:jc w:val="both"/>
      </w:pPr>
      <w:r>
        <w:rPr>
          <w:color w:val="231F20"/>
          <w:position w:val="1"/>
          <w:sz w:val="14"/>
          <w:shd w:val="clear" w:color="auto" w:fill="D1D3D4"/>
        </w:rPr>
        <w:t xml:space="preserve">  3</w:t>
      </w:r>
      <w:r>
        <w:rPr>
          <w:color w:val="231F20"/>
          <w:position w:val="1"/>
          <w:sz w:val="14"/>
        </w:rPr>
        <w:t xml:space="preserve"> </w:t>
      </w:r>
      <w:r>
        <w:rPr>
          <w:color w:val="231F20"/>
        </w:rPr>
        <w:t>O účelnosti, možnosti, způsobu a přiměřenosti poskytnuté asistenční služby rozhoduje poskytovatel asistenční služby.</w:t>
      </w:r>
    </w:p>
    <w:p w14:paraId="7ADECCF2" w14:textId="77777777" w:rsidR="00F65BCA" w:rsidRDefault="00F65BCA">
      <w:pPr>
        <w:spacing w:line="278" w:lineRule="auto"/>
        <w:jc w:val="both"/>
        <w:sectPr w:rsidR="00F65BCA">
          <w:type w:val="continuous"/>
          <w:pgSz w:w="11910" w:h="16840"/>
          <w:pgMar w:top="840" w:right="140" w:bottom="280" w:left="140" w:header="708" w:footer="708" w:gutter="0"/>
          <w:cols w:num="2" w:space="708" w:equalWidth="0">
            <w:col w:w="5700" w:space="40"/>
            <w:col w:w="5890"/>
          </w:cols>
        </w:sectPr>
      </w:pPr>
    </w:p>
    <w:p w14:paraId="5069679C" w14:textId="77777777" w:rsidR="00F65BCA" w:rsidRDefault="00000000">
      <w:pPr>
        <w:tabs>
          <w:tab w:val="left" w:pos="830"/>
          <w:tab w:val="left" w:pos="11198"/>
        </w:tabs>
        <w:spacing w:before="89"/>
        <w:ind w:left="426"/>
        <w:rPr>
          <w:b/>
          <w:sz w:val="24"/>
        </w:rPr>
      </w:pPr>
      <w:r>
        <w:lastRenderedPageBreak/>
        <w:pict w14:anchorId="4A0F2F9F">
          <v:group id="_x0000_s2217" style="position:absolute;left:0;text-align:left;margin-left:0;margin-top:807.85pt;width:595.3pt;height:34.05pt;z-index:251907072;mso-position-horizontal-relative:page;mso-position-vertical-relative:page" coordorigin=",16157" coordsize="11906,681">
            <v:rect id="_x0000_s2220" style="position:absolute;top:16157;width:11906;height:681" fillcolor="#dcddde" stroked="f"/>
            <v:shape id="_x0000_s2219" type="#_x0000_t202" style="position:absolute;left:1020;top:16477;width:1414;height:164" filled="f" stroked="f">
              <v:textbox inset="0,0,0,0">
                <w:txbxContent>
                  <w:p w14:paraId="1ADC608C" w14:textId="77777777" w:rsidR="00F65BCA" w:rsidRDefault="00216117">
                    <w:pPr>
                      <w:spacing w:before="2"/>
                      <w:rPr>
                        <w:sz w:val="14"/>
                      </w:rPr>
                    </w:pPr>
                    <w:r>
                      <w:rPr>
                        <w:color w:val="231F20"/>
                        <w:sz w:val="14"/>
                      </w:rPr>
                      <w:t>6.20.012 05.2025 v04</w:t>
                    </w:r>
                  </w:p>
                </w:txbxContent>
              </v:textbox>
            </v:shape>
            <v:shape id="_x0000_s2218" type="#_x0000_t202" style="position:absolute;left:5679;top:16420;width:5453;height:234" filled="f" stroked="f">
              <v:textbox inset="0,0,0,0">
                <w:txbxContent>
                  <w:p w14:paraId="60114AEA" w14:textId="77777777" w:rsidR="00F65BCA" w:rsidRDefault="00216117">
                    <w:pPr>
                      <w:spacing w:before="3"/>
                      <w:rPr>
                        <w:sz w:val="16"/>
                      </w:rPr>
                    </w:pPr>
                    <w:r>
                      <w:rPr>
                        <w:color w:val="231F20"/>
                        <w:sz w:val="16"/>
                      </w:rPr>
                      <w:t xml:space="preserve">Všeobecné pojistné podmínky pro pojištění vozidel VPPPMV-F-5/2025 </w:t>
                    </w:r>
                    <w:r>
                      <w:rPr>
                        <w:color w:val="6D6E71"/>
                        <w:sz w:val="20"/>
                      </w:rPr>
                      <w:t xml:space="preserve">| </w:t>
                    </w:r>
                    <w:r>
                      <w:rPr>
                        <w:color w:val="231F20"/>
                        <w:sz w:val="16"/>
                      </w:rPr>
                      <w:t>29</w:t>
                    </w:r>
                  </w:p>
                </w:txbxContent>
              </v:textbox>
            </v:shape>
            <w10:wrap anchorx="page" anchory="page"/>
          </v:group>
        </w:pict>
      </w:r>
      <w:r w:rsidR="00216117">
        <w:rPr>
          <w:b/>
          <w:color w:val="FFFFFF"/>
          <w:sz w:val="24"/>
          <w:shd w:val="clear" w:color="auto" w:fill="808285"/>
        </w:rPr>
        <w:t xml:space="preserve"> </w:t>
      </w:r>
      <w:r w:rsidR="00216117">
        <w:rPr>
          <w:b/>
          <w:color w:val="FFFFFF"/>
          <w:sz w:val="24"/>
          <w:shd w:val="clear" w:color="auto" w:fill="808285"/>
        </w:rPr>
        <w:tab/>
        <w:t>ROZSAH A LIMITY ASISTENČNÍCH SLUŽEB PRO VOZIDLA DO 3,5T V ČR A</w:t>
      </w:r>
      <w:r w:rsidR="00216117">
        <w:rPr>
          <w:b/>
          <w:color w:val="FFFFFF"/>
          <w:spacing w:val="17"/>
          <w:sz w:val="24"/>
          <w:shd w:val="clear" w:color="auto" w:fill="808285"/>
        </w:rPr>
        <w:t xml:space="preserve"> </w:t>
      </w:r>
      <w:r w:rsidR="00216117">
        <w:rPr>
          <w:b/>
          <w:color w:val="FFFFFF"/>
          <w:sz w:val="24"/>
          <w:shd w:val="clear" w:color="auto" w:fill="808285"/>
        </w:rPr>
        <w:t>ZAHRANIČÍ</w:t>
      </w:r>
      <w:r w:rsidR="00216117">
        <w:rPr>
          <w:b/>
          <w:color w:val="FFFFFF"/>
          <w:sz w:val="24"/>
          <w:shd w:val="clear" w:color="auto" w:fill="808285"/>
        </w:rPr>
        <w:tab/>
      </w:r>
    </w:p>
    <w:p w14:paraId="76B8A3B6" w14:textId="77777777" w:rsidR="00F65BCA" w:rsidRDefault="00F65BCA">
      <w:pPr>
        <w:pStyle w:val="Zkladntext"/>
        <w:spacing w:before="6"/>
        <w:rPr>
          <w:b/>
          <w:sz w:val="13"/>
        </w:rPr>
      </w:pPr>
    </w:p>
    <w:tbl>
      <w:tblPr>
        <w:tblStyle w:val="TableNormal"/>
        <w:tblW w:w="0" w:type="auto"/>
        <w:tblInd w:w="42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308"/>
        <w:gridCol w:w="923"/>
        <w:gridCol w:w="1304"/>
        <w:gridCol w:w="1304"/>
        <w:gridCol w:w="1644"/>
        <w:gridCol w:w="1644"/>
        <w:gridCol w:w="1644"/>
      </w:tblGrid>
      <w:tr w:rsidR="00F65BCA" w14:paraId="4F03C692" w14:textId="77777777">
        <w:trPr>
          <w:trHeight w:val="268"/>
        </w:trPr>
        <w:tc>
          <w:tcPr>
            <w:tcW w:w="3231" w:type="dxa"/>
            <w:gridSpan w:val="2"/>
            <w:vMerge w:val="restart"/>
            <w:tcBorders>
              <w:left w:val="nil"/>
              <w:bottom w:val="single" w:sz="4" w:space="0" w:color="231F20"/>
              <w:right w:val="dashed" w:sz="4" w:space="0" w:color="231F20"/>
            </w:tcBorders>
          </w:tcPr>
          <w:p w14:paraId="246D675E" w14:textId="77777777" w:rsidR="00F65BCA" w:rsidRDefault="00F65BCA">
            <w:pPr>
              <w:pStyle w:val="TableParagraph"/>
              <w:spacing w:before="2"/>
              <w:rPr>
                <w:b/>
                <w:sz w:val="15"/>
              </w:rPr>
            </w:pPr>
          </w:p>
          <w:p w14:paraId="14234A82" w14:textId="77777777" w:rsidR="00F65BCA" w:rsidRDefault="00216117">
            <w:pPr>
              <w:pStyle w:val="TableParagraph"/>
              <w:ind w:left="1018"/>
              <w:rPr>
                <w:sz w:val="15"/>
              </w:rPr>
            </w:pPr>
            <w:r>
              <w:rPr>
                <w:color w:val="231F20"/>
                <w:w w:val="105"/>
                <w:sz w:val="15"/>
              </w:rPr>
              <w:t>Asistenční služby</w:t>
            </w:r>
          </w:p>
        </w:tc>
        <w:tc>
          <w:tcPr>
            <w:tcW w:w="7540" w:type="dxa"/>
            <w:gridSpan w:val="5"/>
            <w:tcBorders>
              <w:left w:val="dashed" w:sz="4" w:space="0" w:color="231F20"/>
              <w:bottom w:val="single" w:sz="4" w:space="0" w:color="231F20"/>
              <w:right w:val="nil"/>
            </w:tcBorders>
          </w:tcPr>
          <w:p w14:paraId="28EE0A09" w14:textId="77777777" w:rsidR="00F65BCA" w:rsidRDefault="00216117">
            <w:pPr>
              <w:pStyle w:val="TableParagraph"/>
              <w:spacing w:before="47"/>
              <w:ind w:left="3107" w:right="3091"/>
              <w:jc w:val="center"/>
              <w:rPr>
                <w:sz w:val="15"/>
              </w:rPr>
            </w:pPr>
            <w:r>
              <w:rPr>
                <w:color w:val="231F20"/>
                <w:w w:val="105"/>
                <w:sz w:val="15"/>
              </w:rPr>
              <w:t>Varianta asistence</w:t>
            </w:r>
          </w:p>
        </w:tc>
      </w:tr>
      <w:tr w:rsidR="00F65BCA" w14:paraId="2C2341B2" w14:textId="77777777">
        <w:trPr>
          <w:trHeight w:val="245"/>
        </w:trPr>
        <w:tc>
          <w:tcPr>
            <w:tcW w:w="3231" w:type="dxa"/>
            <w:gridSpan w:val="2"/>
            <w:vMerge/>
            <w:tcBorders>
              <w:top w:val="nil"/>
              <w:left w:val="nil"/>
              <w:bottom w:val="single" w:sz="4" w:space="0" w:color="231F20"/>
              <w:right w:val="dashed" w:sz="4" w:space="0" w:color="231F20"/>
            </w:tcBorders>
          </w:tcPr>
          <w:p w14:paraId="5EE5BDEE" w14:textId="77777777" w:rsidR="00F65BCA" w:rsidRDefault="00F65BCA">
            <w:pPr>
              <w:rPr>
                <w:sz w:val="2"/>
                <w:szCs w:val="2"/>
              </w:rPr>
            </w:pPr>
          </w:p>
        </w:tc>
        <w:tc>
          <w:tcPr>
            <w:tcW w:w="1304" w:type="dxa"/>
            <w:tcBorders>
              <w:top w:val="single" w:sz="4" w:space="0" w:color="231F20"/>
              <w:left w:val="dashed" w:sz="4" w:space="0" w:color="231F20"/>
              <w:bottom w:val="single" w:sz="4" w:space="0" w:color="231F20"/>
              <w:right w:val="dashed" w:sz="4" w:space="0" w:color="231F20"/>
            </w:tcBorders>
          </w:tcPr>
          <w:p w14:paraId="2EB44D12" w14:textId="77777777" w:rsidR="00F65BCA" w:rsidRDefault="00216117">
            <w:pPr>
              <w:pStyle w:val="TableParagraph"/>
              <w:spacing w:before="41"/>
              <w:ind w:left="20"/>
              <w:jc w:val="center"/>
              <w:rPr>
                <w:sz w:val="14"/>
              </w:rPr>
            </w:pPr>
            <w:r>
              <w:rPr>
                <w:color w:val="231F20"/>
                <w:w w:val="97"/>
                <w:sz w:val="14"/>
              </w:rPr>
              <w:t>S</w:t>
            </w:r>
          </w:p>
        </w:tc>
        <w:tc>
          <w:tcPr>
            <w:tcW w:w="1304" w:type="dxa"/>
            <w:tcBorders>
              <w:top w:val="single" w:sz="4" w:space="0" w:color="231F20"/>
              <w:left w:val="dashed" w:sz="4" w:space="0" w:color="231F20"/>
              <w:bottom w:val="single" w:sz="4" w:space="0" w:color="231F20"/>
              <w:right w:val="single" w:sz="4" w:space="0" w:color="231F20"/>
            </w:tcBorders>
          </w:tcPr>
          <w:p w14:paraId="55FD7DCF" w14:textId="77777777" w:rsidR="00F65BCA" w:rsidRDefault="00216117">
            <w:pPr>
              <w:pStyle w:val="TableParagraph"/>
              <w:spacing w:before="41"/>
              <w:ind w:left="20"/>
              <w:jc w:val="center"/>
              <w:rPr>
                <w:sz w:val="14"/>
              </w:rPr>
            </w:pPr>
            <w:r>
              <w:rPr>
                <w:color w:val="231F20"/>
                <w:w w:val="106"/>
                <w:sz w:val="14"/>
              </w:rPr>
              <w:t>M</w:t>
            </w:r>
          </w:p>
        </w:tc>
        <w:tc>
          <w:tcPr>
            <w:tcW w:w="1644" w:type="dxa"/>
            <w:tcBorders>
              <w:top w:val="single" w:sz="4" w:space="0" w:color="231F20"/>
              <w:left w:val="single" w:sz="4" w:space="0" w:color="231F20"/>
              <w:bottom w:val="single" w:sz="4" w:space="0" w:color="231F20"/>
              <w:right w:val="dashed" w:sz="4" w:space="0" w:color="231F20"/>
            </w:tcBorders>
          </w:tcPr>
          <w:p w14:paraId="78D058F8" w14:textId="77777777" w:rsidR="00F65BCA" w:rsidRDefault="00216117">
            <w:pPr>
              <w:pStyle w:val="TableParagraph"/>
              <w:spacing w:before="41"/>
              <w:ind w:left="20"/>
              <w:jc w:val="center"/>
              <w:rPr>
                <w:sz w:val="14"/>
              </w:rPr>
            </w:pPr>
            <w:r>
              <w:rPr>
                <w:color w:val="231F20"/>
                <w:w w:val="103"/>
                <w:sz w:val="14"/>
              </w:rPr>
              <w:t>L</w:t>
            </w:r>
          </w:p>
        </w:tc>
        <w:tc>
          <w:tcPr>
            <w:tcW w:w="1644" w:type="dxa"/>
            <w:tcBorders>
              <w:top w:val="single" w:sz="4" w:space="0" w:color="231F20"/>
              <w:left w:val="dashed" w:sz="4" w:space="0" w:color="231F20"/>
              <w:bottom w:val="single" w:sz="4" w:space="0" w:color="231F20"/>
              <w:right w:val="dashed" w:sz="4" w:space="0" w:color="231F20"/>
            </w:tcBorders>
          </w:tcPr>
          <w:p w14:paraId="6BF21C13" w14:textId="77777777" w:rsidR="00F65BCA" w:rsidRDefault="00216117">
            <w:pPr>
              <w:pStyle w:val="TableParagraph"/>
              <w:spacing w:before="41"/>
              <w:ind w:left="80" w:right="59"/>
              <w:jc w:val="center"/>
              <w:rPr>
                <w:sz w:val="14"/>
              </w:rPr>
            </w:pPr>
            <w:r>
              <w:rPr>
                <w:color w:val="231F20"/>
                <w:sz w:val="14"/>
              </w:rPr>
              <w:t>XL</w:t>
            </w:r>
          </w:p>
        </w:tc>
        <w:tc>
          <w:tcPr>
            <w:tcW w:w="1644" w:type="dxa"/>
            <w:tcBorders>
              <w:top w:val="single" w:sz="4" w:space="0" w:color="231F20"/>
              <w:left w:val="dashed" w:sz="4" w:space="0" w:color="231F20"/>
              <w:bottom w:val="single" w:sz="4" w:space="0" w:color="231F20"/>
              <w:right w:val="nil"/>
            </w:tcBorders>
          </w:tcPr>
          <w:p w14:paraId="422BFA04" w14:textId="77777777" w:rsidR="00F65BCA" w:rsidRDefault="00216117">
            <w:pPr>
              <w:pStyle w:val="TableParagraph"/>
              <w:spacing w:before="41"/>
              <w:ind w:left="108" w:right="92"/>
              <w:jc w:val="center"/>
              <w:rPr>
                <w:sz w:val="14"/>
              </w:rPr>
            </w:pPr>
            <w:r>
              <w:rPr>
                <w:color w:val="231F20"/>
                <w:w w:val="105"/>
                <w:sz w:val="14"/>
              </w:rPr>
              <w:t>Souprava</w:t>
            </w:r>
          </w:p>
        </w:tc>
      </w:tr>
      <w:tr w:rsidR="00F65BCA" w14:paraId="1F56FBF6" w14:textId="77777777">
        <w:trPr>
          <w:trHeight w:val="240"/>
        </w:trPr>
        <w:tc>
          <w:tcPr>
            <w:tcW w:w="2308" w:type="dxa"/>
            <w:vMerge w:val="restart"/>
            <w:tcBorders>
              <w:top w:val="single" w:sz="4" w:space="0" w:color="231F20"/>
              <w:left w:val="nil"/>
              <w:right w:val="single" w:sz="4" w:space="0" w:color="231F20"/>
            </w:tcBorders>
          </w:tcPr>
          <w:p w14:paraId="5F9C2620" w14:textId="77777777" w:rsidR="00F65BCA" w:rsidRDefault="00F65BCA">
            <w:pPr>
              <w:pStyle w:val="TableParagraph"/>
              <w:spacing w:before="5"/>
              <w:rPr>
                <w:b/>
                <w:sz w:val="14"/>
              </w:rPr>
            </w:pPr>
          </w:p>
          <w:p w14:paraId="046F7903" w14:textId="77777777" w:rsidR="00F65BCA" w:rsidRDefault="00216117">
            <w:pPr>
              <w:pStyle w:val="TableParagraph"/>
              <w:ind w:left="168"/>
              <w:rPr>
                <w:sz w:val="14"/>
              </w:rPr>
            </w:pPr>
            <w:r>
              <w:rPr>
                <w:color w:val="231F20"/>
                <w:w w:val="105"/>
                <w:sz w:val="14"/>
              </w:rPr>
              <w:t>Celkový limit pojistného plnění</w:t>
            </w:r>
          </w:p>
        </w:tc>
        <w:tc>
          <w:tcPr>
            <w:tcW w:w="923" w:type="dxa"/>
            <w:tcBorders>
              <w:top w:val="single" w:sz="4" w:space="0" w:color="231F20"/>
              <w:left w:val="single" w:sz="4" w:space="0" w:color="231F20"/>
              <w:bottom w:val="single" w:sz="4" w:space="0" w:color="231F20"/>
              <w:right w:val="dashed" w:sz="4" w:space="0" w:color="231F20"/>
            </w:tcBorders>
          </w:tcPr>
          <w:p w14:paraId="43822455" w14:textId="77777777" w:rsidR="00F65BCA" w:rsidRDefault="00216117">
            <w:pPr>
              <w:pStyle w:val="TableParagraph"/>
              <w:spacing w:before="41"/>
              <w:ind w:left="139" w:right="119"/>
              <w:jc w:val="center"/>
              <w:rPr>
                <w:sz w:val="14"/>
              </w:rPr>
            </w:pPr>
            <w:r>
              <w:rPr>
                <w:color w:val="231F20"/>
                <w:sz w:val="14"/>
              </w:rPr>
              <w:t>ČR</w:t>
            </w:r>
          </w:p>
        </w:tc>
        <w:tc>
          <w:tcPr>
            <w:tcW w:w="1304" w:type="dxa"/>
            <w:tcBorders>
              <w:top w:val="single" w:sz="4" w:space="0" w:color="231F20"/>
              <w:left w:val="dashed" w:sz="4" w:space="0" w:color="231F20"/>
              <w:bottom w:val="single" w:sz="4" w:space="0" w:color="231F20"/>
              <w:right w:val="dashed" w:sz="4" w:space="0" w:color="231F20"/>
            </w:tcBorders>
          </w:tcPr>
          <w:p w14:paraId="72B8AC37" w14:textId="77777777" w:rsidR="00F65BCA" w:rsidRDefault="00216117">
            <w:pPr>
              <w:pStyle w:val="TableParagraph"/>
              <w:spacing w:before="35"/>
              <w:ind w:left="289" w:right="268"/>
              <w:jc w:val="center"/>
              <w:rPr>
                <w:sz w:val="15"/>
              </w:rPr>
            </w:pPr>
            <w:r>
              <w:rPr>
                <w:color w:val="231F20"/>
                <w:sz w:val="15"/>
              </w:rPr>
              <w:t>2 000 Kč</w:t>
            </w:r>
          </w:p>
        </w:tc>
        <w:tc>
          <w:tcPr>
            <w:tcW w:w="1304" w:type="dxa"/>
            <w:tcBorders>
              <w:top w:val="single" w:sz="4" w:space="0" w:color="231F20"/>
              <w:left w:val="dashed" w:sz="4" w:space="0" w:color="231F20"/>
              <w:bottom w:val="single" w:sz="4" w:space="0" w:color="231F20"/>
              <w:right w:val="single" w:sz="4" w:space="0" w:color="231F20"/>
            </w:tcBorders>
          </w:tcPr>
          <w:p w14:paraId="31B3A3EE" w14:textId="77777777" w:rsidR="00F65BCA" w:rsidRDefault="00216117">
            <w:pPr>
              <w:pStyle w:val="TableParagraph"/>
              <w:spacing w:before="35"/>
              <w:ind w:right="331"/>
              <w:jc w:val="right"/>
              <w:rPr>
                <w:sz w:val="15"/>
              </w:rPr>
            </w:pPr>
            <w:r>
              <w:rPr>
                <w:color w:val="231F20"/>
                <w:sz w:val="15"/>
              </w:rPr>
              <w:t>4 000 Kč</w:t>
            </w:r>
          </w:p>
        </w:tc>
        <w:tc>
          <w:tcPr>
            <w:tcW w:w="1644" w:type="dxa"/>
            <w:tcBorders>
              <w:top w:val="single" w:sz="4" w:space="0" w:color="231F20"/>
              <w:left w:val="single" w:sz="4" w:space="0" w:color="231F20"/>
              <w:bottom w:val="single" w:sz="4" w:space="0" w:color="231F20"/>
              <w:right w:val="dashed" w:sz="4" w:space="0" w:color="231F20"/>
            </w:tcBorders>
          </w:tcPr>
          <w:p w14:paraId="53A4B54E" w14:textId="77777777" w:rsidR="00F65BCA" w:rsidRDefault="00216117">
            <w:pPr>
              <w:pStyle w:val="TableParagraph"/>
              <w:spacing w:before="35"/>
              <w:ind w:left="80" w:right="59"/>
              <w:jc w:val="center"/>
              <w:rPr>
                <w:sz w:val="15"/>
              </w:rPr>
            </w:pPr>
            <w:r>
              <w:rPr>
                <w:color w:val="231F20"/>
                <w:sz w:val="15"/>
              </w:rPr>
              <w:t>25 000 Kč</w:t>
            </w:r>
          </w:p>
        </w:tc>
        <w:tc>
          <w:tcPr>
            <w:tcW w:w="1644" w:type="dxa"/>
            <w:tcBorders>
              <w:top w:val="single" w:sz="4" w:space="0" w:color="231F20"/>
              <w:left w:val="dashed" w:sz="4" w:space="0" w:color="231F20"/>
              <w:bottom w:val="single" w:sz="4" w:space="0" w:color="231F20"/>
              <w:right w:val="dashed" w:sz="4" w:space="0" w:color="231F20"/>
            </w:tcBorders>
          </w:tcPr>
          <w:p w14:paraId="70CC54FD" w14:textId="77777777" w:rsidR="00F65BCA" w:rsidRDefault="00216117">
            <w:pPr>
              <w:pStyle w:val="TableParagraph"/>
              <w:spacing w:before="35"/>
              <w:ind w:left="80" w:right="59"/>
              <w:jc w:val="center"/>
              <w:rPr>
                <w:sz w:val="15"/>
              </w:rPr>
            </w:pPr>
            <w:r>
              <w:rPr>
                <w:color w:val="231F20"/>
                <w:w w:val="105"/>
                <w:sz w:val="15"/>
              </w:rPr>
              <w:t>bez limitu</w:t>
            </w:r>
          </w:p>
        </w:tc>
        <w:tc>
          <w:tcPr>
            <w:tcW w:w="1644" w:type="dxa"/>
            <w:tcBorders>
              <w:top w:val="single" w:sz="4" w:space="0" w:color="231F20"/>
              <w:left w:val="dashed" w:sz="4" w:space="0" w:color="231F20"/>
              <w:bottom w:val="single" w:sz="4" w:space="0" w:color="231F20"/>
              <w:right w:val="nil"/>
            </w:tcBorders>
          </w:tcPr>
          <w:p w14:paraId="69E55E13" w14:textId="77777777" w:rsidR="00F65BCA" w:rsidRDefault="00216117">
            <w:pPr>
              <w:pStyle w:val="TableParagraph"/>
              <w:spacing w:before="35"/>
              <w:ind w:left="108" w:right="92"/>
              <w:jc w:val="center"/>
              <w:rPr>
                <w:sz w:val="14"/>
              </w:rPr>
            </w:pPr>
            <w:r>
              <w:rPr>
                <w:color w:val="231F20"/>
                <w:w w:val="105"/>
                <w:sz w:val="15"/>
              </w:rPr>
              <w:t xml:space="preserve">25 000 Kč </w:t>
            </w:r>
            <w:r>
              <w:rPr>
                <w:color w:val="231F20"/>
                <w:w w:val="105"/>
                <w:sz w:val="14"/>
              </w:rPr>
              <w:t>/ vozidlo</w:t>
            </w:r>
          </w:p>
        </w:tc>
      </w:tr>
      <w:tr w:rsidR="00F65BCA" w14:paraId="0E66F7A3" w14:textId="77777777">
        <w:trPr>
          <w:trHeight w:val="235"/>
        </w:trPr>
        <w:tc>
          <w:tcPr>
            <w:tcW w:w="2308" w:type="dxa"/>
            <w:vMerge/>
            <w:tcBorders>
              <w:top w:val="nil"/>
              <w:left w:val="nil"/>
              <w:right w:val="single" w:sz="4" w:space="0" w:color="231F20"/>
            </w:tcBorders>
          </w:tcPr>
          <w:p w14:paraId="670CC5E9" w14:textId="77777777" w:rsidR="00F65BCA" w:rsidRDefault="00F65BCA">
            <w:pPr>
              <w:rPr>
                <w:sz w:val="2"/>
                <w:szCs w:val="2"/>
              </w:rPr>
            </w:pPr>
          </w:p>
        </w:tc>
        <w:tc>
          <w:tcPr>
            <w:tcW w:w="923" w:type="dxa"/>
            <w:tcBorders>
              <w:top w:val="single" w:sz="4" w:space="0" w:color="231F20"/>
              <w:left w:val="single" w:sz="4" w:space="0" w:color="231F20"/>
              <w:right w:val="dashed" w:sz="4" w:space="0" w:color="231F20"/>
            </w:tcBorders>
          </w:tcPr>
          <w:p w14:paraId="701168AA" w14:textId="77777777" w:rsidR="00F65BCA" w:rsidRDefault="00216117">
            <w:pPr>
              <w:pStyle w:val="TableParagraph"/>
              <w:spacing w:before="33"/>
              <w:ind w:left="140" w:right="119"/>
              <w:jc w:val="center"/>
              <w:rPr>
                <w:sz w:val="14"/>
              </w:rPr>
            </w:pPr>
            <w:r>
              <w:rPr>
                <w:color w:val="231F20"/>
                <w:w w:val="105"/>
                <w:sz w:val="14"/>
              </w:rPr>
              <w:t>Zahraničí</w:t>
            </w:r>
          </w:p>
        </w:tc>
        <w:tc>
          <w:tcPr>
            <w:tcW w:w="1304" w:type="dxa"/>
            <w:tcBorders>
              <w:top w:val="single" w:sz="4" w:space="0" w:color="231F20"/>
              <w:left w:val="dashed" w:sz="4" w:space="0" w:color="231F20"/>
              <w:right w:val="dashed" w:sz="4" w:space="0" w:color="231F20"/>
            </w:tcBorders>
          </w:tcPr>
          <w:p w14:paraId="66E9269C" w14:textId="77777777" w:rsidR="00F65BCA" w:rsidRDefault="00216117">
            <w:pPr>
              <w:pStyle w:val="TableParagraph"/>
              <w:spacing w:before="28"/>
              <w:ind w:left="289" w:right="268"/>
              <w:jc w:val="center"/>
              <w:rPr>
                <w:sz w:val="15"/>
              </w:rPr>
            </w:pPr>
            <w:r>
              <w:rPr>
                <w:color w:val="231F20"/>
                <w:sz w:val="15"/>
              </w:rPr>
              <w:t>4 000 Kč</w:t>
            </w:r>
          </w:p>
        </w:tc>
        <w:tc>
          <w:tcPr>
            <w:tcW w:w="1304" w:type="dxa"/>
            <w:tcBorders>
              <w:top w:val="single" w:sz="4" w:space="0" w:color="231F20"/>
              <w:left w:val="dashed" w:sz="4" w:space="0" w:color="231F20"/>
              <w:right w:val="single" w:sz="4" w:space="0" w:color="231F20"/>
            </w:tcBorders>
          </w:tcPr>
          <w:p w14:paraId="197B1B65" w14:textId="77777777" w:rsidR="00F65BCA" w:rsidRDefault="00216117">
            <w:pPr>
              <w:pStyle w:val="TableParagraph"/>
              <w:spacing w:before="28"/>
              <w:ind w:right="329"/>
              <w:jc w:val="right"/>
              <w:rPr>
                <w:sz w:val="15"/>
              </w:rPr>
            </w:pPr>
            <w:r>
              <w:rPr>
                <w:color w:val="231F20"/>
                <w:sz w:val="15"/>
              </w:rPr>
              <w:t>8 000 Kč</w:t>
            </w:r>
          </w:p>
        </w:tc>
        <w:tc>
          <w:tcPr>
            <w:tcW w:w="1644" w:type="dxa"/>
            <w:tcBorders>
              <w:top w:val="single" w:sz="4" w:space="0" w:color="231F20"/>
              <w:left w:val="single" w:sz="4" w:space="0" w:color="231F20"/>
              <w:right w:val="dashed" w:sz="4" w:space="0" w:color="231F20"/>
            </w:tcBorders>
          </w:tcPr>
          <w:p w14:paraId="22D6BAAC" w14:textId="77777777" w:rsidR="00F65BCA" w:rsidRDefault="00216117">
            <w:pPr>
              <w:pStyle w:val="TableParagraph"/>
              <w:spacing w:before="28"/>
              <w:ind w:left="80" w:right="59"/>
              <w:jc w:val="center"/>
              <w:rPr>
                <w:sz w:val="15"/>
              </w:rPr>
            </w:pPr>
            <w:r>
              <w:rPr>
                <w:color w:val="231F20"/>
                <w:sz w:val="15"/>
              </w:rPr>
              <w:t>50 000 Kč</w:t>
            </w:r>
          </w:p>
        </w:tc>
        <w:tc>
          <w:tcPr>
            <w:tcW w:w="1644" w:type="dxa"/>
            <w:tcBorders>
              <w:top w:val="single" w:sz="4" w:space="0" w:color="231F20"/>
              <w:left w:val="dashed" w:sz="4" w:space="0" w:color="231F20"/>
              <w:right w:val="dashed" w:sz="4" w:space="0" w:color="231F20"/>
            </w:tcBorders>
          </w:tcPr>
          <w:p w14:paraId="22C42F2E" w14:textId="77777777" w:rsidR="00F65BCA" w:rsidRDefault="00216117">
            <w:pPr>
              <w:pStyle w:val="TableParagraph"/>
              <w:spacing w:before="28"/>
              <w:ind w:left="80" w:right="59"/>
              <w:jc w:val="center"/>
              <w:rPr>
                <w:sz w:val="15"/>
              </w:rPr>
            </w:pPr>
            <w:r>
              <w:rPr>
                <w:color w:val="231F20"/>
                <w:w w:val="105"/>
                <w:sz w:val="15"/>
              </w:rPr>
              <w:t>bez limitu</w:t>
            </w:r>
          </w:p>
        </w:tc>
        <w:tc>
          <w:tcPr>
            <w:tcW w:w="1644" w:type="dxa"/>
            <w:tcBorders>
              <w:top w:val="single" w:sz="4" w:space="0" w:color="231F20"/>
              <w:left w:val="dashed" w:sz="4" w:space="0" w:color="231F20"/>
              <w:right w:val="nil"/>
            </w:tcBorders>
          </w:tcPr>
          <w:p w14:paraId="5B52B141" w14:textId="77777777" w:rsidR="00F65BCA" w:rsidRDefault="00216117">
            <w:pPr>
              <w:pStyle w:val="TableParagraph"/>
              <w:spacing w:before="28"/>
              <w:ind w:left="108" w:right="92"/>
              <w:jc w:val="center"/>
              <w:rPr>
                <w:sz w:val="14"/>
              </w:rPr>
            </w:pPr>
            <w:r>
              <w:rPr>
                <w:color w:val="231F20"/>
                <w:w w:val="105"/>
                <w:sz w:val="15"/>
              </w:rPr>
              <w:t xml:space="preserve">50 000 Kč </w:t>
            </w:r>
            <w:r>
              <w:rPr>
                <w:color w:val="231F20"/>
                <w:w w:val="105"/>
                <w:sz w:val="14"/>
              </w:rPr>
              <w:t>/ vozidlo</w:t>
            </w:r>
          </w:p>
        </w:tc>
      </w:tr>
      <w:tr w:rsidR="00F65BCA" w14:paraId="268DA33D" w14:textId="77777777">
        <w:trPr>
          <w:trHeight w:val="228"/>
        </w:trPr>
        <w:tc>
          <w:tcPr>
            <w:tcW w:w="3231" w:type="dxa"/>
            <w:gridSpan w:val="2"/>
            <w:tcBorders>
              <w:left w:val="nil"/>
              <w:bottom w:val="single" w:sz="4" w:space="0" w:color="231F20"/>
              <w:right w:val="dashed" w:sz="4" w:space="0" w:color="231F20"/>
            </w:tcBorders>
          </w:tcPr>
          <w:p w14:paraId="1F36E6B5" w14:textId="77777777" w:rsidR="00F65BCA" w:rsidRDefault="00216117">
            <w:pPr>
              <w:pStyle w:val="TableParagraph"/>
              <w:spacing w:before="33"/>
              <w:ind w:left="89"/>
              <w:rPr>
                <w:sz w:val="14"/>
              </w:rPr>
            </w:pPr>
            <w:r>
              <w:rPr>
                <w:color w:val="231F20"/>
                <w:sz w:val="14"/>
              </w:rPr>
              <w:t>příjezd a práce mechanika</w:t>
            </w:r>
          </w:p>
        </w:tc>
        <w:tc>
          <w:tcPr>
            <w:tcW w:w="1304" w:type="dxa"/>
            <w:tcBorders>
              <w:left w:val="dashed" w:sz="4" w:space="0" w:color="231F20"/>
              <w:bottom w:val="single" w:sz="4" w:space="0" w:color="231F20"/>
              <w:right w:val="dashed" w:sz="4" w:space="0" w:color="231F20"/>
            </w:tcBorders>
          </w:tcPr>
          <w:p w14:paraId="183D73F7" w14:textId="77777777" w:rsidR="00F65BCA" w:rsidRDefault="00216117">
            <w:pPr>
              <w:pStyle w:val="TableParagraph"/>
              <w:spacing w:before="33"/>
              <w:ind w:left="289" w:right="268"/>
              <w:jc w:val="center"/>
              <w:rPr>
                <w:sz w:val="14"/>
              </w:rPr>
            </w:pPr>
            <w:r>
              <w:rPr>
                <w:color w:val="231F20"/>
                <w:sz w:val="14"/>
              </w:rPr>
              <w:t>60 min</w:t>
            </w:r>
          </w:p>
        </w:tc>
        <w:tc>
          <w:tcPr>
            <w:tcW w:w="1304" w:type="dxa"/>
            <w:tcBorders>
              <w:left w:val="dashed" w:sz="4" w:space="0" w:color="231F20"/>
              <w:bottom w:val="single" w:sz="4" w:space="0" w:color="231F20"/>
              <w:right w:val="single" w:sz="4" w:space="0" w:color="231F20"/>
            </w:tcBorders>
          </w:tcPr>
          <w:p w14:paraId="089685C7" w14:textId="77777777" w:rsidR="00F65BCA" w:rsidRDefault="00216117">
            <w:pPr>
              <w:pStyle w:val="TableParagraph"/>
              <w:spacing w:before="33"/>
              <w:ind w:right="386"/>
              <w:jc w:val="right"/>
              <w:rPr>
                <w:sz w:val="14"/>
              </w:rPr>
            </w:pPr>
            <w:r>
              <w:rPr>
                <w:color w:val="231F20"/>
                <w:sz w:val="14"/>
              </w:rPr>
              <w:t>120 min</w:t>
            </w:r>
          </w:p>
        </w:tc>
        <w:tc>
          <w:tcPr>
            <w:tcW w:w="1644" w:type="dxa"/>
            <w:tcBorders>
              <w:left w:val="single" w:sz="4" w:space="0" w:color="231F20"/>
              <w:bottom w:val="single" w:sz="4" w:space="0" w:color="231F20"/>
              <w:right w:val="dashed" w:sz="4" w:space="0" w:color="231F20"/>
            </w:tcBorders>
          </w:tcPr>
          <w:p w14:paraId="1196DBDE" w14:textId="77777777" w:rsidR="00F65BCA" w:rsidRDefault="00216117">
            <w:pPr>
              <w:pStyle w:val="TableParagraph"/>
              <w:spacing w:before="33"/>
              <w:ind w:left="80" w:right="59"/>
              <w:jc w:val="center"/>
              <w:rPr>
                <w:sz w:val="14"/>
              </w:rPr>
            </w:pPr>
            <w:r>
              <w:rPr>
                <w:color w:val="231F20"/>
                <w:sz w:val="14"/>
              </w:rPr>
              <w:t>180 min</w:t>
            </w:r>
          </w:p>
        </w:tc>
        <w:tc>
          <w:tcPr>
            <w:tcW w:w="1644" w:type="dxa"/>
            <w:tcBorders>
              <w:left w:val="dashed" w:sz="4" w:space="0" w:color="231F20"/>
              <w:bottom w:val="single" w:sz="4" w:space="0" w:color="231F20"/>
              <w:right w:val="dashed" w:sz="4" w:space="0" w:color="231F20"/>
            </w:tcBorders>
          </w:tcPr>
          <w:p w14:paraId="637D8C71" w14:textId="77777777" w:rsidR="00F65BCA" w:rsidRDefault="00216117">
            <w:pPr>
              <w:pStyle w:val="TableParagraph"/>
              <w:spacing w:before="33"/>
              <w:ind w:left="80" w:right="59"/>
              <w:jc w:val="center"/>
              <w:rPr>
                <w:sz w:val="14"/>
              </w:rPr>
            </w:pPr>
            <w:r>
              <w:rPr>
                <w:color w:val="231F20"/>
                <w:sz w:val="14"/>
              </w:rPr>
              <w:t>360 min</w:t>
            </w:r>
          </w:p>
        </w:tc>
        <w:tc>
          <w:tcPr>
            <w:tcW w:w="1644" w:type="dxa"/>
            <w:tcBorders>
              <w:left w:val="dashed" w:sz="4" w:space="0" w:color="231F20"/>
              <w:bottom w:val="single" w:sz="4" w:space="0" w:color="231F20"/>
              <w:right w:val="nil"/>
            </w:tcBorders>
          </w:tcPr>
          <w:p w14:paraId="6281BF1D" w14:textId="77777777" w:rsidR="00F65BCA" w:rsidRDefault="00216117">
            <w:pPr>
              <w:pStyle w:val="TableParagraph"/>
              <w:spacing w:before="33"/>
              <w:ind w:left="108" w:right="92"/>
              <w:jc w:val="center"/>
              <w:rPr>
                <w:sz w:val="14"/>
              </w:rPr>
            </w:pPr>
            <w:r>
              <w:rPr>
                <w:color w:val="231F20"/>
                <w:w w:val="105"/>
                <w:sz w:val="14"/>
              </w:rPr>
              <w:t>180 min / souprava</w:t>
            </w:r>
          </w:p>
        </w:tc>
      </w:tr>
      <w:tr w:rsidR="00F65BCA" w14:paraId="369B185A" w14:textId="77777777">
        <w:trPr>
          <w:trHeight w:val="386"/>
        </w:trPr>
        <w:tc>
          <w:tcPr>
            <w:tcW w:w="3231" w:type="dxa"/>
            <w:gridSpan w:val="2"/>
            <w:tcBorders>
              <w:top w:val="single" w:sz="4" w:space="0" w:color="231F20"/>
              <w:left w:val="nil"/>
              <w:bottom w:val="single" w:sz="4" w:space="0" w:color="231F20"/>
              <w:right w:val="dashed" w:sz="4" w:space="0" w:color="231F20"/>
            </w:tcBorders>
          </w:tcPr>
          <w:p w14:paraId="22BC1DA0" w14:textId="77777777" w:rsidR="00F65BCA" w:rsidRDefault="00216117">
            <w:pPr>
              <w:pStyle w:val="TableParagraph"/>
              <w:spacing w:before="32"/>
              <w:ind w:left="89" w:right="361"/>
              <w:rPr>
                <w:sz w:val="14"/>
              </w:rPr>
            </w:pPr>
            <w:r>
              <w:rPr>
                <w:color w:val="231F20"/>
                <w:sz w:val="14"/>
              </w:rPr>
              <w:t>odtah vozidla do nejbližšího autorizovaného/ smluvního servisu</w:t>
            </w:r>
          </w:p>
        </w:tc>
        <w:tc>
          <w:tcPr>
            <w:tcW w:w="1304" w:type="dxa"/>
            <w:tcBorders>
              <w:top w:val="single" w:sz="4" w:space="0" w:color="231F20"/>
              <w:left w:val="dashed" w:sz="4" w:space="0" w:color="231F20"/>
              <w:bottom w:val="single" w:sz="4" w:space="0" w:color="231F20"/>
              <w:right w:val="dashed" w:sz="4" w:space="0" w:color="231F20"/>
            </w:tcBorders>
          </w:tcPr>
          <w:p w14:paraId="25C93B06" w14:textId="77777777" w:rsidR="00F65BCA" w:rsidRDefault="00216117">
            <w:pPr>
              <w:pStyle w:val="TableParagraph"/>
              <w:spacing w:before="112"/>
              <w:ind w:left="289" w:right="269"/>
              <w:jc w:val="center"/>
              <w:rPr>
                <w:sz w:val="14"/>
              </w:rPr>
            </w:pPr>
            <w:r>
              <w:rPr>
                <w:color w:val="231F20"/>
                <w:sz w:val="14"/>
              </w:rPr>
              <w:t>50 km *</w:t>
            </w:r>
          </w:p>
        </w:tc>
        <w:tc>
          <w:tcPr>
            <w:tcW w:w="1304" w:type="dxa"/>
            <w:tcBorders>
              <w:top w:val="single" w:sz="4" w:space="0" w:color="231F20"/>
              <w:left w:val="dashed" w:sz="4" w:space="0" w:color="231F20"/>
              <w:bottom w:val="single" w:sz="4" w:space="0" w:color="231F20"/>
              <w:right w:val="single" w:sz="4" w:space="0" w:color="231F20"/>
            </w:tcBorders>
          </w:tcPr>
          <w:p w14:paraId="33EA1BFD" w14:textId="77777777" w:rsidR="00F65BCA" w:rsidRDefault="00216117">
            <w:pPr>
              <w:pStyle w:val="TableParagraph"/>
              <w:spacing w:before="112"/>
              <w:ind w:right="358"/>
              <w:jc w:val="right"/>
              <w:rPr>
                <w:sz w:val="14"/>
              </w:rPr>
            </w:pPr>
            <w:r>
              <w:rPr>
                <w:color w:val="231F20"/>
                <w:sz w:val="14"/>
              </w:rPr>
              <w:t>100 km *</w:t>
            </w:r>
          </w:p>
        </w:tc>
        <w:tc>
          <w:tcPr>
            <w:tcW w:w="1644" w:type="dxa"/>
            <w:tcBorders>
              <w:top w:val="single" w:sz="4" w:space="0" w:color="231F20"/>
              <w:left w:val="single" w:sz="4" w:space="0" w:color="231F20"/>
              <w:bottom w:val="single" w:sz="4" w:space="0" w:color="231F20"/>
              <w:right w:val="dashed" w:sz="4" w:space="0" w:color="231F20"/>
            </w:tcBorders>
          </w:tcPr>
          <w:p w14:paraId="37408556" w14:textId="77777777" w:rsidR="00F65BCA" w:rsidRDefault="00F65BCA">
            <w:pPr>
              <w:pStyle w:val="TableParagraph"/>
              <w:spacing w:before="2"/>
              <w:rPr>
                <w:b/>
                <w:sz w:val="11"/>
              </w:rPr>
            </w:pPr>
          </w:p>
          <w:p w14:paraId="41481892" w14:textId="77777777" w:rsidR="00F65BCA" w:rsidRDefault="00216117">
            <w:pPr>
              <w:pStyle w:val="TableParagraph"/>
              <w:spacing w:line="130" w:lineRule="exact"/>
              <w:ind w:left="769"/>
              <w:rPr>
                <w:sz w:val="13"/>
              </w:rPr>
            </w:pPr>
            <w:r>
              <w:rPr>
                <w:noProof/>
                <w:position w:val="-2"/>
                <w:sz w:val="13"/>
              </w:rPr>
              <w:drawing>
                <wp:inline distT="0" distB="0" distL="0" distR="0" wp14:anchorId="43A2CFF6" wp14:editId="5810EB1B">
                  <wp:extent cx="74476" cy="82581"/>
                  <wp:effectExtent l="0" t="0" r="0" b="0"/>
                  <wp:docPr id="13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05E37B33" w14:textId="77777777" w:rsidR="00F65BCA" w:rsidRDefault="00F65BCA">
            <w:pPr>
              <w:pStyle w:val="TableParagraph"/>
              <w:spacing w:before="2"/>
              <w:rPr>
                <w:b/>
                <w:sz w:val="11"/>
              </w:rPr>
            </w:pPr>
          </w:p>
          <w:p w14:paraId="02FA050F" w14:textId="77777777" w:rsidR="00F65BCA" w:rsidRDefault="00216117">
            <w:pPr>
              <w:pStyle w:val="TableParagraph"/>
              <w:spacing w:line="130" w:lineRule="exact"/>
              <w:ind w:left="769"/>
              <w:rPr>
                <w:sz w:val="13"/>
              </w:rPr>
            </w:pPr>
            <w:r>
              <w:rPr>
                <w:noProof/>
                <w:position w:val="-2"/>
                <w:sz w:val="13"/>
              </w:rPr>
              <w:drawing>
                <wp:inline distT="0" distB="0" distL="0" distR="0" wp14:anchorId="1C184360" wp14:editId="69DD882C">
                  <wp:extent cx="74476" cy="82581"/>
                  <wp:effectExtent l="0" t="0" r="0" b="0"/>
                  <wp:docPr id="1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4CA0C666" w14:textId="77777777" w:rsidR="00F65BCA" w:rsidRDefault="00F65BCA">
            <w:pPr>
              <w:pStyle w:val="TableParagraph"/>
              <w:spacing w:before="2"/>
              <w:rPr>
                <w:b/>
                <w:sz w:val="11"/>
              </w:rPr>
            </w:pPr>
          </w:p>
          <w:p w14:paraId="4EE80881" w14:textId="77777777" w:rsidR="00F65BCA" w:rsidRDefault="00216117">
            <w:pPr>
              <w:pStyle w:val="TableParagraph"/>
              <w:spacing w:line="130" w:lineRule="exact"/>
              <w:ind w:left="769"/>
              <w:rPr>
                <w:sz w:val="13"/>
              </w:rPr>
            </w:pPr>
            <w:r>
              <w:rPr>
                <w:noProof/>
                <w:position w:val="-2"/>
                <w:sz w:val="13"/>
              </w:rPr>
              <w:drawing>
                <wp:inline distT="0" distB="0" distL="0" distR="0" wp14:anchorId="72BDF911" wp14:editId="7D08EF64">
                  <wp:extent cx="74489" cy="82581"/>
                  <wp:effectExtent l="0" t="0" r="0" b="0"/>
                  <wp:docPr id="14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59F24F89" w14:textId="77777777">
        <w:trPr>
          <w:trHeight w:val="233"/>
        </w:trPr>
        <w:tc>
          <w:tcPr>
            <w:tcW w:w="3231" w:type="dxa"/>
            <w:gridSpan w:val="2"/>
            <w:tcBorders>
              <w:top w:val="single" w:sz="4" w:space="0" w:color="231F20"/>
              <w:left w:val="nil"/>
              <w:bottom w:val="single" w:sz="4" w:space="0" w:color="231F20"/>
              <w:right w:val="dashed" w:sz="4" w:space="0" w:color="231F20"/>
            </w:tcBorders>
          </w:tcPr>
          <w:p w14:paraId="77020637" w14:textId="77777777" w:rsidR="00F65BCA" w:rsidRDefault="00216117">
            <w:pPr>
              <w:pStyle w:val="TableParagraph"/>
              <w:spacing w:before="35"/>
              <w:ind w:left="89"/>
              <w:rPr>
                <w:sz w:val="14"/>
              </w:rPr>
            </w:pPr>
            <w:r>
              <w:rPr>
                <w:color w:val="231F20"/>
                <w:sz w:val="14"/>
              </w:rPr>
              <w:t>odtah vozidla k nejbližší nabíjecí stanici</w:t>
            </w:r>
          </w:p>
        </w:tc>
        <w:tc>
          <w:tcPr>
            <w:tcW w:w="1304" w:type="dxa"/>
            <w:tcBorders>
              <w:top w:val="single" w:sz="4" w:space="0" w:color="231F20"/>
              <w:left w:val="dashed" w:sz="4" w:space="0" w:color="231F20"/>
              <w:bottom w:val="single" w:sz="4" w:space="0" w:color="231F20"/>
              <w:right w:val="dashed" w:sz="4" w:space="0" w:color="231F20"/>
            </w:tcBorders>
          </w:tcPr>
          <w:p w14:paraId="23B55DCC" w14:textId="77777777" w:rsidR="00F65BCA" w:rsidRDefault="00216117">
            <w:pPr>
              <w:pStyle w:val="TableParagraph"/>
              <w:spacing w:before="35"/>
              <w:ind w:left="289" w:right="268"/>
              <w:jc w:val="center"/>
              <w:rPr>
                <w:sz w:val="14"/>
              </w:rPr>
            </w:pPr>
            <w:r>
              <w:rPr>
                <w:color w:val="231F20"/>
                <w:sz w:val="14"/>
              </w:rPr>
              <w:t>50 km</w:t>
            </w:r>
          </w:p>
        </w:tc>
        <w:tc>
          <w:tcPr>
            <w:tcW w:w="1304" w:type="dxa"/>
            <w:tcBorders>
              <w:top w:val="single" w:sz="4" w:space="0" w:color="231F20"/>
              <w:left w:val="dashed" w:sz="4" w:space="0" w:color="231F20"/>
              <w:bottom w:val="single" w:sz="4" w:space="0" w:color="231F20"/>
              <w:right w:val="single" w:sz="4" w:space="0" w:color="231F20"/>
            </w:tcBorders>
          </w:tcPr>
          <w:p w14:paraId="7FDC31A6" w14:textId="77777777" w:rsidR="00F65BCA" w:rsidRDefault="00216117">
            <w:pPr>
              <w:pStyle w:val="TableParagraph"/>
              <w:spacing w:before="35"/>
              <w:ind w:right="402"/>
              <w:jc w:val="right"/>
              <w:rPr>
                <w:sz w:val="14"/>
              </w:rPr>
            </w:pPr>
            <w:r>
              <w:rPr>
                <w:color w:val="231F20"/>
                <w:sz w:val="14"/>
              </w:rPr>
              <w:t>100 km</w:t>
            </w:r>
          </w:p>
        </w:tc>
        <w:tc>
          <w:tcPr>
            <w:tcW w:w="1644" w:type="dxa"/>
            <w:tcBorders>
              <w:top w:val="single" w:sz="4" w:space="0" w:color="231F20"/>
              <w:left w:val="single" w:sz="4" w:space="0" w:color="231F20"/>
              <w:bottom w:val="single" w:sz="4" w:space="0" w:color="231F20"/>
              <w:right w:val="dashed" w:sz="4" w:space="0" w:color="231F20"/>
            </w:tcBorders>
          </w:tcPr>
          <w:p w14:paraId="3D69A5A4" w14:textId="77777777" w:rsidR="00F65BCA" w:rsidRDefault="00F65BCA">
            <w:pPr>
              <w:pStyle w:val="TableParagraph"/>
              <w:spacing w:before="6"/>
              <w:rPr>
                <w:b/>
                <w:sz w:val="4"/>
              </w:rPr>
            </w:pPr>
          </w:p>
          <w:p w14:paraId="190453A1" w14:textId="77777777" w:rsidR="00F65BCA" w:rsidRDefault="00216117">
            <w:pPr>
              <w:pStyle w:val="TableParagraph"/>
              <w:spacing w:line="130" w:lineRule="exact"/>
              <w:ind w:left="769"/>
              <w:rPr>
                <w:sz w:val="13"/>
              </w:rPr>
            </w:pPr>
            <w:r>
              <w:rPr>
                <w:noProof/>
                <w:position w:val="-2"/>
                <w:sz w:val="13"/>
              </w:rPr>
              <w:drawing>
                <wp:inline distT="0" distB="0" distL="0" distR="0" wp14:anchorId="5AD4D706" wp14:editId="3249D939">
                  <wp:extent cx="74476" cy="82581"/>
                  <wp:effectExtent l="0" t="0" r="0" b="0"/>
                  <wp:docPr id="1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5609132A" w14:textId="77777777" w:rsidR="00F65BCA" w:rsidRDefault="00F65BCA">
            <w:pPr>
              <w:pStyle w:val="TableParagraph"/>
              <w:spacing w:before="6"/>
              <w:rPr>
                <w:b/>
                <w:sz w:val="4"/>
              </w:rPr>
            </w:pPr>
          </w:p>
          <w:p w14:paraId="35311DA2" w14:textId="77777777" w:rsidR="00F65BCA" w:rsidRDefault="00216117">
            <w:pPr>
              <w:pStyle w:val="TableParagraph"/>
              <w:spacing w:line="130" w:lineRule="exact"/>
              <w:ind w:left="769"/>
              <w:rPr>
                <w:sz w:val="13"/>
              </w:rPr>
            </w:pPr>
            <w:r>
              <w:rPr>
                <w:noProof/>
                <w:position w:val="-2"/>
                <w:sz w:val="13"/>
              </w:rPr>
              <w:drawing>
                <wp:inline distT="0" distB="0" distL="0" distR="0" wp14:anchorId="561F2397" wp14:editId="03A5476D">
                  <wp:extent cx="74476" cy="82581"/>
                  <wp:effectExtent l="0" t="0" r="0" b="0"/>
                  <wp:docPr id="1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384A8E7E" w14:textId="77777777" w:rsidR="00F65BCA" w:rsidRDefault="00F65BCA">
            <w:pPr>
              <w:pStyle w:val="TableParagraph"/>
              <w:spacing w:before="6"/>
              <w:rPr>
                <w:b/>
                <w:sz w:val="4"/>
              </w:rPr>
            </w:pPr>
          </w:p>
          <w:p w14:paraId="1F494BEC" w14:textId="77777777" w:rsidR="00F65BCA" w:rsidRDefault="00216117">
            <w:pPr>
              <w:pStyle w:val="TableParagraph"/>
              <w:spacing w:line="130" w:lineRule="exact"/>
              <w:ind w:left="769"/>
              <w:rPr>
                <w:sz w:val="13"/>
              </w:rPr>
            </w:pPr>
            <w:r>
              <w:rPr>
                <w:noProof/>
                <w:position w:val="-2"/>
                <w:sz w:val="13"/>
              </w:rPr>
              <w:drawing>
                <wp:inline distT="0" distB="0" distL="0" distR="0" wp14:anchorId="76B1E5D4" wp14:editId="21CAEFED">
                  <wp:extent cx="74489" cy="82581"/>
                  <wp:effectExtent l="0" t="0" r="0" b="0"/>
                  <wp:docPr id="14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7B912B4E" w14:textId="77777777">
        <w:trPr>
          <w:trHeight w:val="233"/>
        </w:trPr>
        <w:tc>
          <w:tcPr>
            <w:tcW w:w="3231" w:type="dxa"/>
            <w:gridSpan w:val="2"/>
            <w:tcBorders>
              <w:top w:val="single" w:sz="4" w:space="0" w:color="231F20"/>
              <w:left w:val="nil"/>
              <w:bottom w:val="single" w:sz="4" w:space="0" w:color="231F20"/>
              <w:right w:val="dashed" w:sz="4" w:space="0" w:color="231F20"/>
            </w:tcBorders>
          </w:tcPr>
          <w:p w14:paraId="3FE21A74" w14:textId="77777777" w:rsidR="00F65BCA" w:rsidRDefault="00216117">
            <w:pPr>
              <w:pStyle w:val="TableParagraph"/>
              <w:spacing w:before="35"/>
              <w:ind w:left="89"/>
              <w:rPr>
                <w:sz w:val="14"/>
              </w:rPr>
            </w:pPr>
            <w:r>
              <w:rPr>
                <w:color w:val="231F20"/>
                <w:sz w:val="14"/>
              </w:rPr>
              <w:t>příjezd</w:t>
            </w:r>
            <w:r>
              <w:rPr>
                <w:color w:val="231F20"/>
                <w:spacing w:val="-16"/>
                <w:sz w:val="14"/>
              </w:rPr>
              <w:t xml:space="preserve"> </w:t>
            </w:r>
            <w:r>
              <w:rPr>
                <w:color w:val="231F20"/>
                <w:sz w:val="14"/>
              </w:rPr>
              <w:t>a</w:t>
            </w:r>
            <w:r>
              <w:rPr>
                <w:color w:val="231F20"/>
                <w:spacing w:val="-15"/>
                <w:sz w:val="14"/>
              </w:rPr>
              <w:t xml:space="preserve"> </w:t>
            </w:r>
            <w:r>
              <w:rPr>
                <w:color w:val="231F20"/>
                <w:sz w:val="14"/>
              </w:rPr>
              <w:t>práce</w:t>
            </w:r>
            <w:r>
              <w:rPr>
                <w:color w:val="231F20"/>
                <w:spacing w:val="-15"/>
                <w:sz w:val="14"/>
              </w:rPr>
              <w:t xml:space="preserve"> </w:t>
            </w:r>
            <w:r>
              <w:rPr>
                <w:color w:val="231F20"/>
                <w:sz w:val="14"/>
              </w:rPr>
              <w:t>technika</w:t>
            </w:r>
            <w:r>
              <w:rPr>
                <w:color w:val="231F20"/>
                <w:spacing w:val="-16"/>
                <w:sz w:val="14"/>
              </w:rPr>
              <w:t xml:space="preserve"> </w:t>
            </w:r>
            <w:r>
              <w:rPr>
                <w:color w:val="231F20"/>
                <w:sz w:val="14"/>
              </w:rPr>
              <w:t>za</w:t>
            </w:r>
            <w:r>
              <w:rPr>
                <w:color w:val="231F20"/>
                <w:spacing w:val="-15"/>
                <w:sz w:val="14"/>
              </w:rPr>
              <w:t xml:space="preserve"> </w:t>
            </w:r>
            <w:r>
              <w:rPr>
                <w:color w:val="231F20"/>
                <w:sz w:val="14"/>
              </w:rPr>
              <w:t>účelem</w:t>
            </w:r>
            <w:r>
              <w:rPr>
                <w:color w:val="231F20"/>
                <w:spacing w:val="-15"/>
                <w:sz w:val="14"/>
              </w:rPr>
              <w:t xml:space="preserve"> </w:t>
            </w:r>
            <w:r>
              <w:rPr>
                <w:color w:val="231F20"/>
                <w:sz w:val="14"/>
              </w:rPr>
              <w:t>opravy</w:t>
            </w:r>
            <w:r>
              <w:rPr>
                <w:color w:val="231F20"/>
                <w:spacing w:val="-16"/>
                <w:sz w:val="14"/>
              </w:rPr>
              <w:t xml:space="preserve"> </w:t>
            </w:r>
            <w:r>
              <w:rPr>
                <w:color w:val="231F20"/>
                <w:sz w:val="14"/>
              </w:rPr>
              <w:t>wallboxu</w:t>
            </w:r>
          </w:p>
        </w:tc>
        <w:tc>
          <w:tcPr>
            <w:tcW w:w="1304" w:type="dxa"/>
            <w:tcBorders>
              <w:top w:val="single" w:sz="4" w:space="0" w:color="231F20"/>
              <w:left w:val="dashed" w:sz="4" w:space="0" w:color="231F20"/>
              <w:bottom w:val="single" w:sz="4" w:space="0" w:color="231F20"/>
              <w:right w:val="dashed" w:sz="4" w:space="0" w:color="231F20"/>
            </w:tcBorders>
          </w:tcPr>
          <w:p w14:paraId="601DAC41" w14:textId="77777777" w:rsidR="00F65BCA" w:rsidRDefault="00216117">
            <w:pPr>
              <w:pStyle w:val="TableParagraph"/>
              <w:spacing w:before="35"/>
              <w:ind w:left="289" w:right="268"/>
              <w:jc w:val="center"/>
              <w:rPr>
                <w:sz w:val="14"/>
              </w:rPr>
            </w:pPr>
            <w:r>
              <w:rPr>
                <w:color w:val="231F20"/>
                <w:sz w:val="14"/>
              </w:rPr>
              <w:t>60 min</w:t>
            </w:r>
          </w:p>
        </w:tc>
        <w:tc>
          <w:tcPr>
            <w:tcW w:w="1304" w:type="dxa"/>
            <w:tcBorders>
              <w:top w:val="single" w:sz="4" w:space="0" w:color="231F20"/>
              <w:left w:val="dashed" w:sz="4" w:space="0" w:color="231F20"/>
              <w:bottom w:val="single" w:sz="4" w:space="0" w:color="231F20"/>
              <w:right w:val="single" w:sz="4" w:space="0" w:color="231F20"/>
            </w:tcBorders>
          </w:tcPr>
          <w:p w14:paraId="6D662AD4" w14:textId="77777777" w:rsidR="00F65BCA" w:rsidRDefault="00216117">
            <w:pPr>
              <w:pStyle w:val="TableParagraph"/>
              <w:spacing w:before="35"/>
              <w:ind w:right="386"/>
              <w:jc w:val="right"/>
              <w:rPr>
                <w:sz w:val="14"/>
              </w:rPr>
            </w:pPr>
            <w:r>
              <w:rPr>
                <w:color w:val="231F20"/>
                <w:sz w:val="14"/>
              </w:rPr>
              <w:t>120 min</w:t>
            </w:r>
          </w:p>
        </w:tc>
        <w:tc>
          <w:tcPr>
            <w:tcW w:w="1644" w:type="dxa"/>
            <w:tcBorders>
              <w:top w:val="single" w:sz="4" w:space="0" w:color="231F20"/>
              <w:left w:val="single" w:sz="4" w:space="0" w:color="231F20"/>
              <w:bottom w:val="single" w:sz="4" w:space="0" w:color="231F20"/>
              <w:right w:val="dashed" w:sz="4" w:space="0" w:color="231F20"/>
            </w:tcBorders>
          </w:tcPr>
          <w:p w14:paraId="0385F278" w14:textId="77777777" w:rsidR="00F65BCA" w:rsidRDefault="00216117">
            <w:pPr>
              <w:pStyle w:val="TableParagraph"/>
              <w:spacing w:before="35"/>
              <w:ind w:left="80" w:right="59"/>
              <w:jc w:val="center"/>
              <w:rPr>
                <w:sz w:val="14"/>
              </w:rPr>
            </w:pPr>
            <w:r>
              <w:rPr>
                <w:color w:val="231F20"/>
                <w:sz w:val="14"/>
              </w:rPr>
              <w:t>180 min</w:t>
            </w:r>
          </w:p>
        </w:tc>
        <w:tc>
          <w:tcPr>
            <w:tcW w:w="1644" w:type="dxa"/>
            <w:tcBorders>
              <w:top w:val="single" w:sz="4" w:space="0" w:color="231F20"/>
              <w:left w:val="dashed" w:sz="4" w:space="0" w:color="231F20"/>
              <w:bottom w:val="single" w:sz="4" w:space="0" w:color="231F20"/>
              <w:right w:val="dashed" w:sz="4" w:space="0" w:color="231F20"/>
            </w:tcBorders>
          </w:tcPr>
          <w:p w14:paraId="44B384FD" w14:textId="77777777" w:rsidR="00F65BCA" w:rsidRDefault="00216117">
            <w:pPr>
              <w:pStyle w:val="TableParagraph"/>
              <w:spacing w:before="35"/>
              <w:ind w:left="80" w:right="59"/>
              <w:jc w:val="center"/>
              <w:rPr>
                <w:sz w:val="14"/>
              </w:rPr>
            </w:pPr>
            <w:r>
              <w:rPr>
                <w:color w:val="231F20"/>
                <w:sz w:val="14"/>
              </w:rPr>
              <w:t>360 min</w:t>
            </w:r>
          </w:p>
        </w:tc>
        <w:tc>
          <w:tcPr>
            <w:tcW w:w="1644" w:type="dxa"/>
            <w:tcBorders>
              <w:top w:val="single" w:sz="4" w:space="0" w:color="231F20"/>
              <w:left w:val="dashed" w:sz="4" w:space="0" w:color="231F20"/>
              <w:bottom w:val="single" w:sz="4" w:space="0" w:color="231F20"/>
              <w:right w:val="nil"/>
            </w:tcBorders>
          </w:tcPr>
          <w:p w14:paraId="3601BBDF" w14:textId="77777777" w:rsidR="00F65BCA" w:rsidRDefault="00216117">
            <w:pPr>
              <w:pStyle w:val="TableParagraph"/>
              <w:spacing w:before="35"/>
              <w:ind w:left="108" w:right="92"/>
              <w:jc w:val="center"/>
              <w:rPr>
                <w:sz w:val="14"/>
              </w:rPr>
            </w:pPr>
            <w:r>
              <w:rPr>
                <w:color w:val="231F20"/>
                <w:w w:val="105"/>
                <w:sz w:val="14"/>
              </w:rPr>
              <w:t>180 min / souprava</w:t>
            </w:r>
          </w:p>
        </w:tc>
      </w:tr>
      <w:tr w:rsidR="00F65BCA" w14:paraId="09FBDA8E" w14:textId="77777777">
        <w:trPr>
          <w:trHeight w:val="386"/>
        </w:trPr>
        <w:tc>
          <w:tcPr>
            <w:tcW w:w="3231" w:type="dxa"/>
            <w:gridSpan w:val="2"/>
            <w:tcBorders>
              <w:top w:val="single" w:sz="4" w:space="0" w:color="231F20"/>
              <w:left w:val="nil"/>
              <w:bottom w:val="single" w:sz="4" w:space="0" w:color="231F20"/>
              <w:right w:val="dashed" w:sz="4" w:space="0" w:color="231F20"/>
            </w:tcBorders>
          </w:tcPr>
          <w:p w14:paraId="0B37529D" w14:textId="77777777" w:rsidR="00F65BCA" w:rsidRDefault="00216117">
            <w:pPr>
              <w:pStyle w:val="TableParagraph"/>
              <w:spacing w:before="32"/>
              <w:ind w:left="89" w:right="183"/>
              <w:rPr>
                <w:sz w:val="14"/>
              </w:rPr>
            </w:pPr>
            <w:r>
              <w:rPr>
                <w:color w:val="231F20"/>
                <w:sz w:val="14"/>
              </w:rPr>
              <w:t>odtah vozidla v ČR do místa určeného klientem (nelze opravit do 12 hodin)</w:t>
            </w:r>
          </w:p>
        </w:tc>
        <w:tc>
          <w:tcPr>
            <w:tcW w:w="1304" w:type="dxa"/>
            <w:tcBorders>
              <w:top w:val="single" w:sz="4" w:space="0" w:color="231F20"/>
              <w:left w:val="dashed" w:sz="4" w:space="0" w:color="231F20"/>
              <w:bottom w:val="single" w:sz="4" w:space="0" w:color="231F20"/>
              <w:right w:val="dashed" w:sz="4" w:space="0" w:color="231F20"/>
            </w:tcBorders>
          </w:tcPr>
          <w:p w14:paraId="64690D80" w14:textId="77777777" w:rsidR="00F65BCA" w:rsidRDefault="00F65BCA">
            <w:pPr>
              <w:pStyle w:val="TableParagraph"/>
              <w:rPr>
                <w:rFonts w:ascii="Times New Roman"/>
                <w:sz w:val="14"/>
              </w:rPr>
            </w:pPr>
          </w:p>
        </w:tc>
        <w:tc>
          <w:tcPr>
            <w:tcW w:w="1304" w:type="dxa"/>
            <w:tcBorders>
              <w:top w:val="single" w:sz="4" w:space="0" w:color="231F20"/>
              <w:left w:val="dashed" w:sz="4" w:space="0" w:color="231F20"/>
              <w:bottom w:val="single" w:sz="4" w:space="0" w:color="231F20"/>
              <w:right w:val="single" w:sz="4" w:space="0" w:color="231F20"/>
            </w:tcBorders>
          </w:tcPr>
          <w:p w14:paraId="2D37D7BE"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525C719C" w14:textId="77777777" w:rsidR="00F65BCA" w:rsidRDefault="00F65BCA">
            <w:pPr>
              <w:pStyle w:val="TableParagraph"/>
              <w:spacing w:before="2"/>
              <w:rPr>
                <w:b/>
                <w:sz w:val="11"/>
              </w:rPr>
            </w:pPr>
          </w:p>
          <w:p w14:paraId="3F7F427E" w14:textId="77777777" w:rsidR="00F65BCA" w:rsidRDefault="00216117">
            <w:pPr>
              <w:pStyle w:val="TableParagraph"/>
              <w:spacing w:line="130" w:lineRule="exact"/>
              <w:ind w:left="769"/>
              <w:rPr>
                <w:sz w:val="13"/>
              </w:rPr>
            </w:pPr>
            <w:r>
              <w:rPr>
                <w:noProof/>
                <w:position w:val="-2"/>
                <w:sz w:val="13"/>
              </w:rPr>
              <w:drawing>
                <wp:inline distT="0" distB="0" distL="0" distR="0" wp14:anchorId="01631EF5" wp14:editId="52A757E6">
                  <wp:extent cx="74476" cy="82581"/>
                  <wp:effectExtent l="0" t="0" r="0" b="0"/>
                  <wp:docPr id="1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1026A6EE" w14:textId="77777777" w:rsidR="00F65BCA" w:rsidRDefault="00F65BCA">
            <w:pPr>
              <w:pStyle w:val="TableParagraph"/>
              <w:spacing w:before="2"/>
              <w:rPr>
                <w:b/>
                <w:sz w:val="11"/>
              </w:rPr>
            </w:pPr>
          </w:p>
          <w:p w14:paraId="35DEB30E" w14:textId="77777777" w:rsidR="00F65BCA" w:rsidRDefault="00216117">
            <w:pPr>
              <w:pStyle w:val="TableParagraph"/>
              <w:spacing w:line="130" w:lineRule="exact"/>
              <w:ind w:left="769"/>
              <w:rPr>
                <w:sz w:val="13"/>
              </w:rPr>
            </w:pPr>
            <w:r>
              <w:rPr>
                <w:noProof/>
                <w:position w:val="-2"/>
                <w:sz w:val="13"/>
              </w:rPr>
              <w:drawing>
                <wp:inline distT="0" distB="0" distL="0" distR="0" wp14:anchorId="78E3E38D" wp14:editId="599D8B16">
                  <wp:extent cx="74476" cy="82581"/>
                  <wp:effectExtent l="0" t="0" r="0" b="0"/>
                  <wp:docPr id="1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3B87FB93" w14:textId="77777777" w:rsidR="00F65BCA" w:rsidRDefault="00F65BCA">
            <w:pPr>
              <w:pStyle w:val="TableParagraph"/>
              <w:spacing w:before="2"/>
              <w:rPr>
                <w:b/>
                <w:sz w:val="11"/>
              </w:rPr>
            </w:pPr>
          </w:p>
          <w:p w14:paraId="6ACB07EC" w14:textId="77777777" w:rsidR="00F65BCA" w:rsidRDefault="00216117">
            <w:pPr>
              <w:pStyle w:val="TableParagraph"/>
              <w:spacing w:line="130" w:lineRule="exact"/>
              <w:ind w:left="769"/>
              <w:rPr>
                <w:sz w:val="13"/>
              </w:rPr>
            </w:pPr>
            <w:r>
              <w:rPr>
                <w:noProof/>
                <w:position w:val="-2"/>
                <w:sz w:val="13"/>
              </w:rPr>
              <w:drawing>
                <wp:inline distT="0" distB="0" distL="0" distR="0" wp14:anchorId="0BEDB65E" wp14:editId="3979F2CA">
                  <wp:extent cx="74489" cy="82581"/>
                  <wp:effectExtent l="0" t="0" r="0" b="0"/>
                  <wp:docPr id="1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068C5B83" w14:textId="77777777">
        <w:trPr>
          <w:trHeight w:val="233"/>
        </w:trPr>
        <w:tc>
          <w:tcPr>
            <w:tcW w:w="3231" w:type="dxa"/>
            <w:gridSpan w:val="2"/>
            <w:tcBorders>
              <w:top w:val="single" w:sz="4" w:space="0" w:color="231F20"/>
              <w:left w:val="nil"/>
              <w:bottom w:val="single" w:sz="4" w:space="0" w:color="231F20"/>
              <w:right w:val="dashed" w:sz="4" w:space="0" w:color="231F20"/>
            </w:tcBorders>
          </w:tcPr>
          <w:p w14:paraId="1DFC29C4" w14:textId="77777777" w:rsidR="00F65BCA" w:rsidRDefault="00216117">
            <w:pPr>
              <w:pStyle w:val="TableParagraph"/>
              <w:spacing w:before="35"/>
              <w:ind w:left="89"/>
              <w:rPr>
                <w:sz w:val="14"/>
              </w:rPr>
            </w:pPr>
            <w:r>
              <w:rPr>
                <w:color w:val="231F20"/>
                <w:sz w:val="14"/>
              </w:rPr>
              <w:t>repatriace vozidla ze zahraničí</w:t>
            </w:r>
          </w:p>
        </w:tc>
        <w:tc>
          <w:tcPr>
            <w:tcW w:w="1304" w:type="dxa"/>
            <w:tcBorders>
              <w:top w:val="single" w:sz="4" w:space="0" w:color="231F20"/>
              <w:left w:val="dashed" w:sz="4" w:space="0" w:color="231F20"/>
              <w:bottom w:val="single" w:sz="4" w:space="0" w:color="231F20"/>
              <w:right w:val="dashed" w:sz="4" w:space="0" w:color="231F20"/>
            </w:tcBorders>
          </w:tcPr>
          <w:p w14:paraId="6DDB162C" w14:textId="77777777" w:rsidR="00F65BCA" w:rsidRDefault="00F65BCA">
            <w:pPr>
              <w:pStyle w:val="TableParagraph"/>
              <w:rPr>
                <w:rFonts w:ascii="Times New Roman"/>
                <w:sz w:val="14"/>
              </w:rPr>
            </w:pPr>
          </w:p>
        </w:tc>
        <w:tc>
          <w:tcPr>
            <w:tcW w:w="1304" w:type="dxa"/>
            <w:tcBorders>
              <w:top w:val="single" w:sz="4" w:space="0" w:color="231F20"/>
              <w:left w:val="dashed" w:sz="4" w:space="0" w:color="231F20"/>
              <w:bottom w:val="single" w:sz="4" w:space="0" w:color="231F20"/>
              <w:right w:val="single" w:sz="4" w:space="0" w:color="231F20"/>
            </w:tcBorders>
          </w:tcPr>
          <w:p w14:paraId="08EE8B40"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4260D411" w14:textId="77777777" w:rsidR="00F65BCA" w:rsidRDefault="00F65BCA">
            <w:pPr>
              <w:pStyle w:val="TableParagraph"/>
              <w:spacing w:before="6"/>
              <w:rPr>
                <w:b/>
                <w:sz w:val="4"/>
              </w:rPr>
            </w:pPr>
          </w:p>
          <w:p w14:paraId="17B46466" w14:textId="77777777" w:rsidR="00F65BCA" w:rsidRDefault="00216117">
            <w:pPr>
              <w:pStyle w:val="TableParagraph"/>
              <w:spacing w:line="130" w:lineRule="exact"/>
              <w:ind w:left="769"/>
              <w:rPr>
                <w:sz w:val="13"/>
              </w:rPr>
            </w:pPr>
            <w:r>
              <w:rPr>
                <w:noProof/>
                <w:position w:val="-2"/>
                <w:sz w:val="13"/>
              </w:rPr>
              <w:drawing>
                <wp:inline distT="0" distB="0" distL="0" distR="0" wp14:anchorId="16640388" wp14:editId="15E82B36">
                  <wp:extent cx="74476" cy="82581"/>
                  <wp:effectExtent l="0" t="0" r="0" b="0"/>
                  <wp:docPr id="15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7E7C56D2" w14:textId="77777777" w:rsidR="00F65BCA" w:rsidRDefault="00F65BCA">
            <w:pPr>
              <w:pStyle w:val="TableParagraph"/>
              <w:spacing w:before="6"/>
              <w:rPr>
                <w:b/>
                <w:sz w:val="4"/>
              </w:rPr>
            </w:pPr>
          </w:p>
          <w:p w14:paraId="031BB838" w14:textId="77777777" w:rsidR="00F65BCA" w:rsidRDefault="00216117">
            <w:pPr>
              <w:pStyle w:val="TableParagraph"/>
              <w:spacing w:line="130" w:lineRule="exact"/>
              <w:ind w:left="769"/>
              <w:rPr>
                <w:sz w:val="13"/>
              </w:rPr>
            </w:pPr>
            <w:r>
              <w:rPr>
                <w:noProof/>
                <w:position w:val="-2"/>
                <w:sz w:val="13"/>
              </w:rPr>
              <w:drawing>
                <wp:inline distT="0" distB="0" distL="0" distR="0" wp14:anchorId="06CE6FF1" wp14:editId="38A9224E">
                  <wp:extent cx="74476" cy="82581"/>
                  <wp:effectExtent l="0" t="0" r="0" b="0"/>
                  <wp:docPr id="1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5976EE9F" w14:textId="77777777" w:rsidR="00F65BCA" w:rsidRDefault="00F65BCA">
            <w:pPr>
              <w:pStyle w:val="TableParagraph"/>
              <w:spacing w:before="6"/>
              <w:rPr>
                <w:b/>
                <w:sz w:val="4"/>
              </w:rPr>
            </w:pPr>
          </w:p>
          <w:p w14:paraId="42AD1F08" w14:textId="77777777" w:rsidR="00F65BCA" w:rsidRDefault="00216117">
            <w:pPr>
              <w:pStyle w:val="TableParagraph"/>
              <w:spacing w:line="130" w:lineRule="exact"/>
              <w:ind w:left="769"/>
              <w:rPr>
                <w:sz w:val="13"/>
              </w:rPr>
            </w:pPr>
            <w:r>
              <w:rPr>
                <w:noProof/>
                <w:position w:val="-2"/>
                <w:sz w:val="13"/>
              </w:rPr>
              <w:drawing>
                <wp:inline distT="0" distB="0" distL="0" distR="0" wp14:anchorId="4B95D530" wp14:editId="4E207DE2">
                  <wp:extent cx="74489" cy="82581"/>
                  <wp:effectExtent l="0" t="0" r="0" b="0"/>
                  <wp:docPr id="1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39A2567C" w14:textId="77777777">
        <w:trPr>
          <w:trHeight w:val="233"/>
        </w:trPr>
        <w:tc>
          <w:tcPr>
            <w:tcW w:w="3231" w:type="dxa"/>
            <w:gridSpan w:val="2"/>
            <w:tcBorders>
              <w:top w:val="single" w:sz="4" w:space="0" w:color="231F20"/>
              <w:left w:val="nil"/>
              <w:bottom w:val="single" w:sz="4" w:space="0" w:color="231F20"/>
              <w:right w:val="dashed" w:sz="4" w:space="0" w:color="231F20"/>
            </w:tcBorders>
          </w:tcPr>
          <w:p w14:paraId="519F6FC1" w14:textId="77777777" w:rsidR="00F65BCA" w:rsidRDefault="00216117">
            <w:pPr>
              <w:pStyle w:val="TableParagraph"/>
              <w:spacing w:before="35"/>
              <w:ind w:left="89"/>
              <w:rPr>
                <w:sz w:val="14"/>
              </w:rPr>
            </w:pPr>
            <w:r>
              <w:rPr>
                <w:color w:val="231F20"/>
                <w:sz w:val="14"/>
              </w:rPr>
              <w:t>vyproštění vozidla speciální technikou</w:t>
            </w:r>
          </w:p>
        </w:tc>
        <w:tc>
          <w:tcPr>
            <w:tcW w:w="1304" w:type="dxa"/>
            <w:tcBorders>
              <w:top w:val="single" w:sz="4" w:space="0" w:color="231F20"/>
              <w:left w:val="dashed" w:sz="4" w:space="0" w:color="231F20"/>
              <w:bottom w:val="single" w:sz="4" w:space="0" w:color="231F20"/>
              <w:right w:val="dashed" w:sz="4" w:space="0" w:color="231F20"/>
            </w:tcBorders>
          </w:tcPr>
          <w:p w14:paraId="6C8F1DAC" w14:textId="77777777" w:rsidR="00F65BCA" w:rsidRDefault="00F65BCA">
            <w:pPr>
              <w:pStyle w:val="TableParagraph"/>
              <w:rPr>
                <w:rFonts w:ascii="Times New Roman"/>
                <w:sz w:val="14"/>
              </w:rPr>
            </w:pPr>
          </w:p>
        </w:tc>
        <w:tc>
          <w:tcPr>
            <w:tcW w:w="1304" w:type="dxa"/>
            <w:tcBorders>
              <w:top w:val="single" w:sz="4" w:space="0" w:color="231F20"/>
              <w:left w:val="dashed" w:sz="4" w:space="0" w:color="231F20"/>
              <w:bottom w:val="single" w:sz="4" w:space="0" w:color="231F20"/>
              <w:right w:val="single" w:sz="4" w:space="0" w:color="231F20"/>
            </w:tcBorders>
          </w:tcPr>
          <w:p w14:paraId="4972322A"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3CFB57A4" w14:textId="77777777" w:rsidR="00F65BCA" w:rsidRDefault="00F65BCA">
            <w:pPr>
              <w:pStyle w:val="TableParagraph"/>
              <w:spacing w:before="6"/>
              <w:rPr>
                <w:b/>
                <w:sz w:val="4"/>
              </w:rPr>
            </w:pPr>
          </w:p>
          <w:p w14:paraId="115DF504" w14:textId="77777777" w:rsidR="00F65BCA" w:rsidRDefault="00216117">
            <w:pPr>
              <w:pStyle w:val="TableParagraph"/>
              <w:spacing w:line="130" w:lineRule="exact"/>
              <w:ind w:left="769"/>
              <w:rPr>
                <w:sz w:val="13"/>
              </w:rPr>
            </w:pPr>
            <w:r>
              <w:rPr>
                <w:noProof/>
                <w:position w:val="-2"/>
                <w:sz w:val="13"/>
              </w:rPr>
              <w:drawing>
                <wp:inline distT="0" distB="0" distL="0" distR="0" wp14:anchorId="4F8A3313" wp14:editId="03D62FEE">
                  <wp:extent cx="74476" cy="82581"/>
                  <wp:effectExtent l="0" t="0" r="0" b="0"/>
                  <wp:docPr id="1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5C8D4409" w14:textId="77777777" w:rsidR="00F65BCA" w:rsidRDefault="00216117">
            <w:pPr>
              <w:pStyle w:val="TableParagraph"/>
              <w:spacing w:before="35"/>
              <w:ind w:left="80" w:right="59"/>
              <w:jc w:val="center"/>
              <w:rPr>
                <w:sz w:val="14"/>
              </w:rPr>
            </w:pPr>
            <w:r>
              <w:rPr>
                <w:color w:val="231F20"/>
                <w:sz w:val="14"/>
              </w:rPr>
              <w:t>250 000 Kč</w:t>
            </w:r>
          </w:p>
        </w:tc>
        <w:tc>
          <w:tcPr>
            <w:tcW w:w="1644" w:type="dxa"/>
            <w:tcBorders>
              <w:top w:val="single" w:sz="4" w:space="0" w:color="231F20"/>
              <w:left w:val="dashed" w:sz="4" w:space="0" w:color="231F20"/>
              <w:bottom w:val="single" w:sz="4" w:space="0" w:color="231F20"/>
              <w:right w:val="nil"/>
            </w:tcBorders>
          </w:tcPr>
          <w:p w14:paraId="32780634" w14:textId="77777777" w:rsidR="00F65BCA" w:rsidRDefault="00F65BCA">
            <w:pPr>
              <w:pStyle w:val="TableParagraph"/>
              <w:spacing w:before="6"/>
              <w:rPr>
                <w:b/>
                <w:sz w:val="4"/>
              </w:rPr>
            </w:pPr>
          </w:p>
          <w:p w14:paraId="4192D92C" w14:textId="77777777" w:rsidR="00F65BCA" w:rsidRDefault="00216117">
            <w:pPr>
              <w:pStyle w:val="TableParagraph"/>
              <w:spacing w:line="130" w:lineRule="exact"/>
              <w:ind w:left="769"/>
              <w:rPr>
                <w:sz w:val="13"/>
              </w:rPr>
            </w:pPr>
            <w:r>
              <w:rPr>
                <w:noProof/>
                <w:position w:val="-2"/>
                <w:sz w:val="13"/>
              </w:rPr>
              <w:drawing>
                <wp:inline distT="0" distB="0" distL="0" distR="0" wp14:anchorId="4AF970A3" wp14:editId="5E62F960">
                  <wp:extent cx="74489" cy="82581"/>
                  <wp:effectExtent l="0" t="0" r="0" b="0"/>
                  <wp:docPr id="1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73412208" w14:textId="77777777">
        <w:trPr>
          <w:trHeight w:val="233"/>
        </w:trPr>
        <w:tc>
          <w:tcPr>
            <w:tcW w:w="3231" w:type="dxa"/>
            <w:gridSpan w:val="2"/>
            <w:tcBorders>
              <w:top w:val="single" w:sz="4" w:space="0" w:color="231F20"/>
              <w:left w:val="nil"/>
              <w:bottom w:val="single" w:sz="4" w:space="0" w:color="231F20"/>
              <w:right w:val="dashed" w:sz="4" w:space="0" w:color="231F20"/>
            </w:tcBorders>
          </w:tcPr>
          <w:p w14:paraId="23DCA34C" w14:textId="77777777" w:rsidR="00F65BCA" w:rsidRDefault="00216117">
            <w:pPr>
              <w:pStyle w:val="TableParagraph"/>
              <w:spacing w:before="35"/>
              <w:ind w:left="89"/>
              <w:rPr>
                <w:sz w:val="14"/>
              </w:rPr>
            </w:pPr>
            <w:r>
              <w:rPr>
                <w:color w:val="231F20"/>
                <w:sz w:val="14"/>
              </w:rPr>
              <w:t>nařízený odtah</w:t>
            </w:r>
          </w:p>
        </w:tc>
        <w:tc>
          <w:tcPr>
            <w:tcW w:w="1304" w:type="dxa"/>
            <w:tcBorders>
              <w:top w:val="single" w:sz="4" w:space="0" w:color="231F20"/>
              <w:left w:val="dashed" w:sz="4" w:space="0" w:color="231F20"/>
              <w:bottom w:val="single" w:sz="4" w:space="0" w:color="231F20"/>
              <w:right w:val="dashed" w:sz="4" w:space="0" w:color="231F20"/>
            </w:tcBorders>
          </w:tcPr>
          <w:p w14:paraId="627162B0" w14:textId="77777777" w:rsidR="00F65BCA" w:rsidRDefault="00216117">
            <w:pPr>
              <w:pStyle w:val="TableParagraph"/>
              <w:spacing w:before="50"/>
              <w:ind w:left="20"/>
              <w:jc w:val="center"/>
              <w:rPr>
                <w:sz w:val="14"/>
              </w:rPr>
            </w:pPr>
            <w:r>
              <w:rPr>
                <w:noProof/>
              </w:rPr>
              <w:drawing>
                <wp:inline distT="0" distB="0" distL="0" distR="0" wp14:anchorId="1605C1C0" wp14:editId="75E6AF79">
                  <wp:extent cx="74104" cy="82169"/>
                  <wp:effectExtent l="0" t="0" r="0" b="0"/>
                  <wp:docPr id="16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0.png"/>
                          <pic:cNvPicPr/>
                        </pic:nvPicPr>
                        <pic:blipFill>
                          <a:blip r:embed="rId48" cstate="print"/>
                          <a:stretch>
                            <a:fillRect/>
                          </a:stretch>
                        </pic:blipFill>
                        <pic:spPr>
                          <a:xfrm>
                            <a:off x="0" y="0"/>
                            <a:ext cx="74104" cy="82169"/>
                          </a:xfrm>
                          <a:prstGeom prst="rect">
                            <a:avLst/>
                          </a:prstGeom>
                        </pic:spPr>
                      </pic:pic>
                    </a:graphicData>
                  </a:graphic>
                </wp:inline>
              </w:drawing>
            </w:r>
            <w:r>
              <w:rPr>
                <w:color w:val="231F20"/>
                <w:w w:val="90"/>
                <w:sz w:val="14"/>
              </w:rPr>
              <w:t>*</w:t>
            </w:r>
          </w:p>
        </w:tc>
        <w:tc>
          <w:tcPr>
            <w:tcW w:w="1304" w:type="dxa"/>
            <w:tcBorders>
              <w:top w:val="single" w:sz="4" w:space="0" w:color="231F20"/>
              <w:left w:val="dashed" w:sz="4" w:space="0" w:color="231F20"/>
              <w:bottom w:val="single" w:sz="4" w:space="0" w:color="231F20"/>
              <w:right w:val="single" w:sz="4" w:space="0" w:color="231F20"/>
            </w:tcBorders>
          </w:tcPr>
          <w:p w14:paraId="32E3F01A" w14:textId="77777777" w:rsidR="00F65BCA" w:rsidRDefault="00216117">
            <w:pPr>
              <w:pStyle w:val="TableParagraph"/>
              <w:spacing w:before="50"/>
              <w:ind w:left="20"/>
              <w:jc w:val="center"/>
              <w:rPr>
                <w:sz w:val="14"/>
              </w:rPr>
            </w:pPr>
            <w:r>
              <w:rPr>
                <w:noProof/>
              </w:rPr>
              <w:drawing>
                <wp:inline distT="0" distB="0" distL="0" distR="0" wp14:anchorId="2DE6B529" wp14:editId="06C0B7A5">
                  <wp:extent cx="74104" cy="82169"/>
                  <wp:effectExtent l="0" t="0" r="0" b="0"/>
                  <wp:docPr id="16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0.png"/>
                          <pic:cNvPicPr/>
                        </pic:nvPicPr>
                        <pic:blipFill>
                          <a:blip r:embed="rId48" cstate="print"/>
                          <a:stretch>
                            <a:fillRect/>
                          </a:stretch>
                        </pic:blipFill>
                        <pic:spPr>
                          <a:xfrm>
                            <a:off x="0" y="0"/>
                            <a:ext cx="74104" cy="82169"/>
                          </a:xfrm>
                          <a:prstGeom prst="rect">
                            <a:avLst/>
                          </a:prstGeom>
                        </pic:spPr>
                      </pic:pic>
                    </a:graphicData>
                  </a:graphic>
                </wp:inline>
              </w:drawing>
            </w:r>
            <w:r>
              <w:rPr>
                <w:color w:val="231F20"/>
                <w:w w:val="90"/>
                <w:sz w:val="14"/>
              </w:rPr>
              <w:t>*</w:t>
            </w:r>
          </w:p>
        </w:tc>
        <w:tc>
          <w:tcPr>
            <w:tcW w:w="1644" w:type="dxa"/>
            <w:tcBorders>
              <w:top w:val="single" w:sz="4" w:space="0" w:color="231F20"/>
              <w:left w:val="single" w:sz="4" w:space="0" w:color="231F20"/>
              <w:bottom w:val="single" w:sz="4" w:space="0" w:color="231F20"/>
              <w:right w:val="dashed" w:sz="4" w:space="0" w:color="231F20"/>
            </w:tcBorders>
          </w:tcPr>
          <w:p w14:paraId="6D7EDA14" w14:textId="77777777" w:rsidR="00F65BCA" w:rsidRDefault="00F65BCA">
            <w:pPr>
              <w:pStyle w:val="TableParagraph"/>
              <w:spacing w:before="6"/>
              <w:rPr>
                <w:b/>
                <w:sz w:val="4"/>
              </w:rPr>
            </w:pPr>
          </w:p>
          <w:p w14:paraId="368119CB" w14:textId="77777777" w:rsidR="00F65BCA" w:rsidRDefault="00216117">
            <w:pPr>
              <w:pStyle w:val="TableParagraph"/>
              <w:spacing w:line="130" w:lineRule="exact"/>
              <w:ind w:left="769"/>
              <w:rPr>
                <w:sz w:val="13"/>
              </w:rPr>
            </w:pPr>
            <w:r>
              <w:rPr>
                <w:noProof/>
                <w:position w:val="-2"/>
                <w:sz w:val="13"/>
              </w:rPr>
              <w:drawing>
                <wp:inline distT="0" distB="0" distL="0" distR="0" wp14:anchorId="2A51EEF0" wp14:editId="2448374B">
                  <wp:extent cx="74476" cy="82581"/>
                  <wp:effectExtent l="0" t="0" r="0" b="0"/>
                  <wp:docPr id="1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11C74336" w14:textId="77777777" w:rsidR="00F65BCA" w:rsidRDefault="00F65BCA">
            <w:pPr>
              <w:pStyle w:val="TableParagraph"/>
              <w:spacing w:before="6"/>
              <w:rPr>
                <w:b/>
                <w:sz w:val="4"/>
              </w:rPr>
            </w:pPr>
          </w:p>
          <w:p w14:paraId="246A2684" w14:textId="77777777" w:rsidR="00F65BCA" w:rsidRDefault="00216117">
            <w:pPr>
              <w:pStyle w:val="TableParagraph"/>
              <w:spacing w:line="130" w:lineRule="exact"/>
              <w:ind w:left="769"/>
              <w:rPr>
                <w:sz w:val="13"/>
              </w:rPr>
            </w:pPr>
            <w:r>
              <w:rPr>
                <w:noProof/>
                <w:position w:val="-2"/>
                <w:sz w:val="13"/>
              </w:rPr>
              <w:drawing>
                <wp:inline distT="0" distB="0" distL="0" distR="0" wp14:anchorId="017E0461" wp14:editId="5A7A9F54">
                  <wp:extent cx="74476" cy="82581"/>
                  <wp:effectExtent l="0" t="0" r="0" b="0"/>
                  <wp:docPr id="17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17545CC3" w14:textId="77777777" w:rsidR="00F65BCA" w:rsidRDefault="00F65BCA">
            <w:pPr>
              <w:pStyle w:val="TableParagraph"/>
              <w:spacing w:before="6"/>
              <w:rPr>
                <w:b/>
                <w:sz w:val="4"/>
              </w:rPr>
            </w:pPr>
          </w:p>
          <w:p w14:paraId="1A777145" w14:textId="77777777" w:rsidR="00F65BCA" w:rsidRDefault="00216117">
            <w:pPr>
              <w:pStyle w:val="TableParagraph"/>
              <w:spacing w:line="130" w:lineRule="exact"/>
              <w:ind w:left="769"/>
              <w:rPr>
                <w:sz w:val="13"/>
              </w:rPr>
            </w:pPr>
            <w:r>
              <w:rPr>
                <w:noProof/>
                <w:position w:val="-2"/>
                <w:sz w:val="13"/>
              </w:rPr>
              <w:drawing>
                <wp:inline distT="0" distB="0" distL="0" distR="0" wp14:anchorId="2D3F4C29" wp14:editId="70597C63">
                  <wp:extent cx="74489" cy="82581"/>
                  <wp:effectExtent l="0" t="0" r="0" b="0"/>
                  <wp:docPr id="17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1102B844" w14:textId="77777777">
        <w:trPr>
          <w:trHeight w:val="233"/>
        </w:trPr>
        <w:tc>
          <w:tcPr>
            <w:tcW w:w="3231" w:type="dxa"/>
            <w:gridSpan w:val="2"/>
            <w:tcBorders>
              <w:top w:val="single" w:sz="4" w:space="0" w:color="231F20"/>
              <w:left w:val="nil"/>
              <w:bottom w:val="single" w:sz="4" w:space="0" w:color="231F20"/>
              <w:right w:val="dashed" w:sz="4" w:space="0" w:color="231F20"/>
            </w:tcBorders>
          </w:tcPr>
          <w:p w14:paraId="24C36F10" w14:textId="77777777" w:rsidR="00F65BCA" w:rsidRDefault="00216117">
            <w:pPr>
              <w:pStyle w:val="TableParagraph"/>
              <w:spacing w:before="35"/>
              <w:ind w:left="89"/>
              <w:rPr>
                <w:sz w:val="14"/>
              </w:rPr>
            </w:pPr>
            <w:r>
              <w:rPr>
                <w:color w:val="231F20"/>
                <w:sz w:val="14"/>
              </w:rPr>
              <w:t>úschova nepojízdného vozidla</w:t>
            </w:r>
          </w:p>
        </w:tc>
        <w:tc>
          <w:tcPr>
            <w:tcW w:w="1304" w:type="dxa"/>
            <w:tcBorders>
              <w:top w:val="single" w:sz="4" w:space="0" w:color="231F20"/>
              <w:left w:val="dashed" w:sz="4" w:space="0" w:color="231F20"/>
              <w:bottom w:val="single" w:sz="4" w:space="0" w:color="231F20"/>
              <w:right w:val="dashed" w:sz="4" w:space="0" w:color="231F20"/>
            </w:tcBorders>
          </w:tcPr>
          <w:p w14:paraId="788890DA" w14:textId="77777777" w:rsidR="00F65BCA" w:rsidRDefault="00216117">
            <w:pPr>
              <w:pStyle w:val="TableParagraph"/>
              <w:spacing w:before="35"/>
              <w:ind w:left="289" w:right="268"/>
              <w:jc w:val="center"/>
              <w:rPr>
                <w:sz w:val="14"/>
              </w:rPr>
            </w:pPr>
            <w:r>
              <w:rPr>
                <w:color w:val="231F20"/>
                <w:sz w:val="14"/>
              </w:rPr>
              <w:t>3 dny</w:t>
            </w:r>
          </w:p>
        </w:tc>
        <w:tc>
          <w:tcPr>
            <w:tcW w:w="1304" w:type="dxa"/>
            <w:tcBorders>
              <w:top w:val="single" w:sz="4" w:space="0" w:color="231F20"/>
              <w:left w:val="dashed" w:sz="4" w:space="0" w:color="231F20"/>
              <w:bottom w:val="single" w:sz="4" w:space="0" w:color="231F20"/>
              <w:right w:val="single" w:sz="4" w:space="0" w:color="231F20"/>
            </w:tcBorders>
          </w:tcPr>
          <w:p w14:paraId="2A29E572" w14:textId="77777777" w:rsidR="00F65BCA" w:rsidRDefault="00216117">
            <w:pPr>
              <w:pStyle w:val="TableParagraph"/>
              <w:spacing w:before="35"/>
              <w:ind w:left="289" w:right="268"/>
              <w:jc w:val="center"/>
              <w:rPr>
                <w:sz w:val="14"/>
              </w:rPr>
            </w:pPr>
            <w:r>
              <w:rPr>
                <w:color w:val="231F20"/>
                <w:sz w:val="14"/>
              </w:rPr>
              <w:t>5 dnů</w:t>
            </w:r>
          </w:p>
        </w:tc>
        <w:tc>
          <w:tcPr>
            <w:tcW w:w="1644" w:type="dxa"/>
            <w:tcBorders>
              <w:top w:val="single" w:sz="4" w:space="0" w:color="231F20"/>
              <w:left w:val="single" w:sz="4" w:space="0" w:color="231F20"/>
              <w:bottom w:val="single" w:sz="4" w:space="0" w:color="231F20"/>
              <w:right w:val="dashed" w:sz="4" w:space="0" w:color="231F20"/>
            </w:tcBorders>
          </w:tcPr>
          <w:p w14:paraId="24540FC5" w14:textId="77777777" w:rsidR="00F65BCA" w:rsidRDefault="00216117">
            <w:pPr>
              <w:pStyle w:val="TableParagraph"/>
              <w:spacing w:before="35"/>
              <w:ind w:left="80" w:right="59"/>
              <w:jc w:val="center"/>
              <w:rPr>
                <w:sz w:val="14"/>
              </w:rPr>
            </w:pPr>
            <w:r>
              <w:rPr>
                <w:color w:val="231F20"/>
                <w:sz w:val="14"/>
              </w:rPr>
              <w:t>10 dnů</w:t>
            </w:r>
          </w:p>
        </w:tc>
        <w:tc>
          <w:tcPr>
            <w:tcW w:w="1644" w:type="dxa"/>
            <w:tcBorders>
              <w:top w:val="single" w:sz="4" w:space="0" w:color="231F20"/>
              <w:left w:val="dashed" w:sz="4" w:space="0" w:color="231F20"/>
              <w:bottom w:val="single" w:sz="4" w:space="0" w:color="231F20"/>
              <w:right w:val="dashed" w:sz="4" w:space="0" w:color="231F20"/>
            </w:tcBorders>
          </w:tcPr>
          <w:p w14:paraId="47EDCBBD" w14:textId="77777777" w:rsidR="00F65BCA" w:rsidRDefault="00216117">
            <w:pPr>
              <w:pStyle w:val="TableParagraph"/>
              <w:spacing w:before="35"/>
              <w:ind w:left="80" w:right="59"/>
              <w:jc w:val="center"/>
              <w:rPr>
                <w:sz w:val="14"/>
              </w:rPr>
            </w:pPr>
            <w:r>
              <w:rPr>
                <w:color w:val="231F20"/>
                <w:sz w:val="14"/>
              </w:rPr>
              <w:t>20 dnů</w:t>
            </w:r>
          </w:p>
        </w:tc>
        <w:tc>
          <w:tcPr>
            <w:tcW w:w="1644" w:type="dxa"/>
            <w:tcBorders>
              <w:top w:val="single" w:sz="4" w:space="0" w:color="231F20"/>
              <w:left w:val="dashed" w:sz="4" w:space="0" w:color="231F20"/>
              <w:bottom w:val="single" w:sz="4" w:space="0" w:color="231F20"/>
              <w:right w:val="nil"/>
            </w:tcBorders>
          </w:tcPr>
          <w:p w14:paraId="08ADDCF7" w14:textId="77777777" w:rsidR="00F65BCA" w:rsidRDefault="00216117">
            <w:pPr>
              <w:pStyle w:val="TableParagraph"/>
              <w:spacing w:before="35"/>
              <w:ind w:left="108" w:right="92"/>
              <w:jc w:val="center"/>
              <w:rPr>
                <w:sz w:val="14"/>
              </w:rPr>
            </w:pPr>
            <w:r>
              <w:rPr>
                <w:color w:val="231F20"/>
                <w:sz w:val="14"/>
              </w:rPr>
              <w:t>10 dnů / vozidlo</w:t>
            </w:r>
          </w:p>
        </w:tc>
      </w:tr>
      <w:tr w:rsidR="00F65BCA" w14:paraId="248CFD75" w14:textId="77777777">
        <w:trPr>
          <w:trHeight w:val="386"/>
        </w:trPr>
        <w:tc>
          <w:tcPr>
            <w:tcW w:w="3231" w:type="dxa"/>
            <w:gridSpan w:val="2"/>
            <w:tcBorders>
              <w:top w:val="single" w:sz="4" w:space="0" w:color="231F20"/>
              <w:left w:val="nil"/>
              <w:bottom w:val="single" w:sz="4" w:space="0" w:color="231F20"/>
              <w:right w:val="dashed" w:sz="4" w:space="0" w:color="231F20"/>
            </w:tcBorders>
          </w:tcPr>
          <w:p w14:paraId="3063B596" w14:textId="77777777" w:rsidR="00F65BCA" w:rsidRDefault="00216117">
            <w:pPr>
              <w:pStyle w:val="TableParagraph"/>
              <w:spacing w:before="32"/>
              <w:ind w:left="89" w:right="213"/>
              <w:rPr>
                <w:sz w:val="14"/>
              </w:rPr>
            </w:pPr>
            <w:r>
              <w:rPr>
                <w:color w:val="231F20"/>
                <w:sz w:val="14"/>
              </w:rPr>
              <w:t>odtah pojízdného přípojného vozidla do 750 kg v ČR spolu s tažným vozidlem</w:t>
            </w:r>
          </w:p>
        </w:tc>
        <w:tc>
          <w:tcPr>
            <w:tcW w:w="1304" w:type="dxa"/>
            <w:tcBorders>
              <w:top w:val="single" w:sz="4" w:space="0" w:color="231F20"/>
              <w:left w:val="dashed" w:sz="4" w:space="0" w:color="231F20"/>
              <w:bottom w:val="single" w:sz="4" w:space="0" w:color="231F20"/>
              <w:right w:val="dashed" w:sz="4" w:space="0" w:color="231F20"/>
            </w:tcBorders>
          </w:tcPr>
          <w:p w14:paraId="7C3A0DC3" w14:textId="77777777" w:rsidR="00F65BCA" w:rsidRDefault="00F65BCA">
            <w:pPr>
              <w:pStyle w:val="TableParagraph"/>
              <w:rPr>
                <w:rFonts w:ascii="Times New Roman"/>
                <w:sz w:val="14"/>
              </w:rPr>
            </w:pPr>
          </w:p>
        </w:tc>
        <w:tc>
          <w:tcPr>
            <w:tcW w:w="1304" w:type="dxa"/>
            <w:tcBorders>
              <w:top w:val="single" w:sz="4" w:space="0" w:color="231F20"/>
              <w:left w:val="dashed" w:sz="4" w:space="0" w:color="231F20"/>
              <w:bottom w:val="single" w:sz="4" w:space="0" w:color="231F20"/>
              <w:right w:val="single" w:sz="4" w:space="0" w:color="231F20"/>
            </w:tcBorders>
          </w:tcPr>
          <w:p w14:paraId="5A2EDC9D"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52D246BB" w14:textId="77777777" w:rsidR="00F65BCA" w:rsidRDefault="00F65BCA">
            <w:pPr>
              <w:pStyle w:val="TableParagraph"/>
              <w:spacing w:before="2"/>
              <w:rPr>
                <w:b/>
                <w:sz w:val="11"/>
              </w:rPr>
            </w:pPr>
          </w:p>
          <w:p w14:paraId="67F049A6" w14:textId="77777777" w:rsidR="00F65BCA" w:rsidRDefault="00216117">
            <w:pPr>
              <w:pStyle w:val="TableParagraph"/>
              <w:spacing w:line="130" w:lineRule="exact"/>
              <w:ind w:left="769"/>
              <w:rPr>
                <w:sz w:val="13"/>
              </w:rPr>
            </w:pPr>
            <w:r>
              <w:rPr>
                <w:noProof/>
                <w:position w:val="-2"/>
                <w:sz w:val="13"/>
              </w:rPr>
              <w:drawing>
                <wp:inline distT="0" distB="0" distL="0" distR="0" wp14:anchorId="3405C459" wp14:editId="5C4A50D7">
                  <wp:extent cx="74476" cy="82581"/>
                  <wp:effectExtent l="0" t="0" r="0" b="0"/>
                  <wp:docPr id="1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08465DB8" w14:textId="77777777" w:rsidR="00F65BCA" w:rsidRDefault="00F65BCA">
            <w:pPr>
              <w:pStyle w:val="TableParagraph"/>
              <w:spacing w:before="2"/>
              <w:rPr>
                <w:b/>
                <w:sz w:val="11"/>
              </w:rPr>
            </w:pPr>
          </w:p>
          <w:p w14:paraId="0E860B5A" w14:textId="77777777" w:rsidR="00F65BCA" w:rsidRDefault="00216117">
            <w:pPr>
              <w:pStyle w:val="TableParagraph"/>
              <w:spacing w:line="130" w:lineRule="exact"/>
              <w:ind w:left="769"/>
              <w:rPr>
                <w:sz w:val="13"/>
              </w:rPr>
            </w:pPr>
            <w:r>
              <w:rPr>
                <w:noProof/>
                <w:position w:val="-2"/>
                <w:sz w:val="13"/>
              </w:rPr>
              <w:drawing>
                <wp:inline distT="0" distB="0" distL="0" distR="0" wp14:anchorId="2A0C1F06" wp14:editId="2E0EF7A2">
                  <wp:extent cx="74476" cy="82581"/>
                  <wp:effectExtent l="0" t="0" r="0" b="0"/>
                  <wp:docPr id="17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476E3551" w14:textId="77777777" w:rsidR="00F65BCA" w:rsidRDefault="00F65BCA">
            <w:pPr>
              <w:pStyle w:val="TableParagraph"/>
              <w:spacing w:before="2"/>
              <w:rPr>
                <w:b/>
                <w:sz w:val="11"/>
              </w:rPr>
            </w:pPr>
          </w:p>
          <w:p w14:paraId="6A00320D" w14:textId="77777777" w:rsidR="00F65BCA" w:rsidRDefault="00216117">
            <w:pPr>
              <w:pStyle w:val="TableParagraph"/>
              <w:spacing w:line="130" w:lineRule="exact"/>
              <w:ind w:left="769"/>
              <w:rPr>
                <w:sz w:val="13"/>
              </w:rPr>
            </w:pPr>
            <w:r>
              <w:rPr>
                <w:noProof/>
                <w:position w:val="-2"/>
                <w:sz w:val="13"/>
              </w:rPr>
              <w:drawing>
                <wp:inline distT="0" distB="0" distL="0" distR="0" wp14:anchorId="0F3EBC26" wp14:editId="74C4BD6A">
                  <wp:extent cx="74489" cy="82581"/>
                  <wp:effectExtent l="0" t="0" r="0" b="0"/>
                  <wp:docPr id="18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26A66C2F" w14:textId="77777777">
        <w:trPr>
          <w:trHeight w:val="233"/>
        </w:trPr>
        <w:tc>
          <w:tcPr>
            <w:tcW w:w="3231" w:type="dxa"/>
            <w:gridSpan w:val="2"/>
            <w:tcBorders>
              <w:top w:val="single" w:sz="4" w:space="0" w:color="231F20"/>
              <w:left w:val="nil"/>
              <w:bottom w:val="single" w:sz="4" w:space="0" w:color="231F20"/>
              <w:right w:val="dashed" w:sz="4" w:space="0" w:color="231F20"/>
            </w:tcBorders>
          </w:tcPr>
          <w:p w14:paraId="4FE43816" w14:textId="77777777" w:rsidR="00F65BCA" w:rsidRDefault="00216117">
            <w:pPr>
              <w:pStyle w:val="TableParagraph"/>
              <w:spacing w:before="35"/>
              <w:ind w:left="89"/>
              <w:rPr>
                <w:sz w:val="14"/>
              </w:rPr>
            </w:pPr>
            <w:r>
              <w:rPr>
                <w:color w:val="231F20"/>
                <w:sz w:val="14"/>
              </w:rPr>
              <w:t>odtah</w:t>
            </w:r>
            <w:r>
              <w:rPr>
                <w:color w:val="231F20"/>
                <w:spacing w:val="-18"/>
                <w:sz w:val="14"/>
              </w:rPr>
              <w:t xml:space="preserve"> </w:t>
            </w:r>
            <w:r>
              <w:rPr>
                <w:color w:val="231F20"/>
                <w:sz w:val="14"/>
              </w:rPr>
              <w:t>pojízdného</w:t>
            </w:r>
            <w:r>
              <w:rPr>
                <w:color w:val="231F20"/>
                <w:spacing w:val="-17"/>
                <w:sz w:val="14"/>
              </w:rPr>
              <w:t xml:space="preserve"> </w:t>
            </w:r>
            <w:r>
              <w:rPr>
                <w:color w:val="231F20"/>
                <w:sz w:val="14"/>
              </w:rPr>
              <w:t>nepojištěného</w:t>
            </w:r>
            <w:r>
              <w:rPr>
                <w:color w:val="231F20"/>
                <w:spacing w:val="-18"/>
                <w:sz w:val="14"/>
              </w:rPr>
              <w:t xml:space="preserve"> </w:t>
            </w:r>
            <w:r>
              <w:rPr>
                <w:color w:val="231F20"/>
                <w:sz w:val="14"/>
              </w:rPr>
              <w:t>přípojného</w:t>
            </w:r>
            <w:r>
              <w:rPr>
                <w:color w:val="231F20"/>
                <w:spacing w:val="-17"/>
                <w:sz w:val="14"/>
              </w:rPr>
              <w:t xml:space="preserve"> </w:t>
            </w:r>
            <w:r>
              <w:rPr>
                <w:color w:val="231F20"/>
                <w:sz w:val="14"/>
              </w:rPr>
              <w:t>vozidla</w:t>
            </w:r>
          </w:p>
        </w:tc>
        <w:tc>
          <w:tcPr>
            <w:tcW w:w="1304" w:type="dxa"/>
            <w:tcBorders>
              <w:top w:val="single" w:sz="4" w:space="0" w:color="231F20"/>
              <w:left w:val="dashed" w:sz="4" w:space="0" w:color="231F20"/>
              <w:bottom w:val="single" w:sz="4" w:space="0" w:color="231F20"/>
              <w:right w:val="dashed" w:sz="4" w:space="0" w:color="231F20"/>
            </w:tcBorders>
          </w:tcPr>
          <w:p w14:paraId="014881E2" w14:textId="77777777" w:rsidR="00F65BCA" w:rsidRDefault="00F65BCA">
            <w:pPr>
              <w:pStyle w:val="TableParagraph"/>
              <w:rPr>
                <w:rFonts w:ascii="Times New Roman"/>
                <w:sz w:val="14"/>
              </w:rPr>
            </w:pPr>
          </w:p>
        </w:tc>
        <w:tc>
          <w:tcPr>
            <w:tcW w:w="1304" w:type="dxa"/>
            <w:tcBorders>
              <w:top w:val="single" w:sz="4" w:space="0" w:color="231F20"/>
              <w:left w:val="dashed" w:sz="4" w:space="0" w:color="231F20"/>
              <w:bottom w:val="single" w:sz="4" w:space="0" w:color="231F20"/>
              <w:right w:val="single" w:sz="4" w:space="0" w:color="231F20"/>
            </w:tcBorders>
          </w:tcPr>
          <w:p w14:paraId="55AB5F11"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2A6AF036" w14:textId="77777777" w:rsidR="00F65BCA" w:rsidRDefault="00F65BCA">
            <w:pPr>
              <w:pStyle w:val="TableParagraph"/>
              <w:spacing w:before="6"/>
              <w:rPr>
                <w:b/>
                <w:sz w:val="4"/>
              </w:rPr>
            </w:pPr>
          </w:p>
          <w:p w14:paraId="638E0F2C" w14:textId="77777777" w:rsidR="00F65BCA" w:rsidRDefault="00216117">
            <w:pPr>
              <w:pStyle w:val="TableParagraph"/>
              <w:spacing w:line="130" w:lineRule="exact"/>
              <w:ind w:left="769"/>
              <w:rPr>
                <w:sz w:val="13"/>
              </w:rPr>
            </w:pPr>
            <w:r>
              <w:rPr>
                <w:noProof/>
                <w:position w:val="-2"/>
                <w:sz w:val="13"/>
              </w:rPr>
              <w:drawing>
                <wp:inline distT="0" distB="0" distL="0" distR="0" wp14:anchorId="3AA393E1" wp14:editId="306CE8B2">
                  <wp:extent cx="74476" cy="82581"/>
                  <wp:effectExtent l="0" t="0" r="0" b="0"/>
                  <wp:docPr id="18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5BE8F6BB" w14:textId="77777777" w:rsidR="00F65BCA" w:rsidRDefault="00F65BCA">
            <w:pPr>
              <w:pStyle w:val="TableParagraph"/>
              <w:spacing w:before="6"/>
              <w:rPr>
                <w:b/>
                <w:sz w:val="4"/>
              </w:rPr>
            </w:pPr>
          </w:p>
          <w:p w14:paraId="134E456B" w14:textId="77777777" w:rsidR="00F65BCA" w:rsidRDefault="00216117">
            <w:pPr>
              <w:pStyle w:val="TableParagraph"/>
              <w:spacing w:line="130" w:lineRule="exact"/>
              <w:ind w:left="769"/>
              <w:rPr>
                <w:sz w:val="13"/>
              </w:rPr>
            </w:pPr>
            <w:r>
              <w:rPr>
                <w:noProof/>
                <w:position w:val="-2"/>
                <w:sz w:val="13"/>
              </w:rPr>
              <w:drawing>
                <wp:inline distT="0" distB="0" distL="0" distR="0" wp14:anchorId="5D27B2DA" wp14:editId="57054C41">
                  <wp:extent cx="74476" cy="82581"/>
                  <wp:effectExtent l="0" t="0" r="0" b="0"/>
                  <wp:docPr id="18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3CC9D969" w14:textId="77777777" w:rsidR="00F65BCA" w:rsidRDefault="00F65BCA">
            <w:pPr>
              <w:pStyle w:val="TableParagraph"/>
              <w:rPr>
                <w:rFonts w:ascii="Times New Roman"/>
                <w:sz w:val="14"/>
              </w:rPr>
            </w:pPr>
          </w:p>
        </w:tc>
      </w:tr>
      <w:tr w:rsidR="00F65BCA" w14:paraId="6B9586D8" w14:textId="77777777">
        <w:trPr>
          <w:trHeight w:val="233"/>
        </w:trPr>
        <w:tc>
          <w:tcPr>
            <w:tcW w:w="3231" w:type="dxa"/>
            <w:gridSpan w:val="2"/>
            <w:tcBorders>
              <w:top w:val="single" w:sz="4" w:space="0" w:color="231F20"/>
              <w:left w:val="nil"/>
              <w:bottom w:val="single" w:sz="4" w:space="0" w:color="231F20"/>
              <w:right w:val="dashed" w:sz="4" w:space="0" w:color="231F20"/>
            </w:tcBorders>
          </w:tcPr>
          <w:p w14:paraId="59911526" w14:textId="77777777" w:rsidR="00F65BCA" w:rsidRDefault="00216117">
            <w:pPr>
              <w:pStyle w:val="TableParagraph"/>
              <w:spacing w:before="35"/>
              <w:ind w:left="89"/>
              <w:rPr>
                <w:sz w:val="14"/>
              </w:rPr>
            </w:pPr>
            <w:r>
              <w:rPr>
                <w:color w:val="231F20"/>
                <w:sz w:val="14"/>
              </w:rPr>
              <w:t>náhradní vozidlo</w:t>
            </w:r>
          </w:p>
        </w:tc>
        <w:tc>
          <w:tcPr>
            <w:tcW w:w="1304" w:type="dxa"/>
            <w:tcBorders>
              <w:top w:val="single" w:sz="4" w:space="0" w:color="231F20"/>
              <w:left w:val="dashed" w:sz="4" w:space="0" w:color="231F20"/>
              <w:bottom w:val="single" w:sz="4" w:space="0" w:color="231F20"/>
              <w:right w:val="dashed" w:sz="4" w:space="0" w:color="231F20"/>
            </w:tcBorders>
          </w:tcPr>
          <w:p w14:paraId="2DE536FC" w14:textId="77777777" w:rsidR="00F65BCA" w:rsidRDefault="00F65BCA">
            <w:pPr>
              <w:pStyle w:val="TableParagraph"/>
              <w:rPr>
                <w:rFonts w:ascii="Times New Roman"/>
                <w:sz w:val="14"/>
              </w:rPr>
            </w:pPr>
          </w:p>
        </w:tc>
        <w:tc>
          <w:tcPr>
            <w:tcW w:w="1304" w:type="dxa"/>
            <w:tcBorders>
              <w:top w:val="single" w:sz="4" w:space="0" w:color="231F20"/>
              <w:left w:val="dashed" w:sz="4" w:space="0" w:color="231F20"/>
              <w:bottom w:val="single" w:sz="4" w:space="0" w:color="231F20"/>
              <w:right w:val="single" w:sz="4" w:space="0" w:color="231F20"/>
            </w:tcBorders>
          </w:tcPr>
          <w:p w14:paraId="4D7B35C4"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0ACA8057" w14:textId="77777777" w:rsidR="00F65BCA" w:rsidRDefault="00216117">
            <w:pPr>
              <w:pStyle w:val="TableParagraph"/>
              <w:spacing w:before="35"/>
              <w:ind w:left="80" w:right="59"/>
              <w:jc w:val="center"/>
              <w:rPr>
                <w:sz w:val="14"/>
              </w:rPr>
            </w:pPr>
            <w:r>
              <w:rPr>
                <w:color w:val="231F20"/>
                <w:sz w:val="14"/>
              </w:rPr>
              <w:t>5 dnů</w:t>
            </w:r>
          </w:p>
        </w:tc>
        <w:tc>
          <w:tcPr>
            <w:tcW w:w="1644" w:type="dxa"/>
            <w:tcBorders>
              <w:top w:val="single" w:sz="4" w:space="0" w:color="231F20"/>
              <w:left w:val="dashed" w:sz="4" w:space="0" w:color="231F20"/>
              <w:bottom w:val="single" w:sz="4" w:space="0" w:color="231F20"/>
              <w:right w:val="dashed" w:sz="4" w:space="0" w:color="231F20"/>
            </w:tcBorders>
          </w:tcPr>
          <w:p w14:paraId="15AA3ECF" w14:textId="77777777" w:rsidR="00F65BCA" w:rsidRDefault="00216117">
            <w:pPr>
              <w:pStyle w:val="TableParagraph"/>
              <w:spacing w:before="35"/>
              <w:ind w:left="80" w:right="59"/>
              <w:jc w:val="center"/>
              <w:rPr>
                <w:sz w:val="14"/>
              </w:rPr>
            </w:pPr>
            <w:r>
              <w:rPr>
                <w:color w:val="231F20"/>
                <w:sz w:val="14"/>
              </w:rPr>
              <w:t>10 dnů</w:t>
            </w:r>
          </w:p>
        </w:tc>
        <w:tc>
          <w:tcPr>
            <w:tcW w:w="1644" w:type="dxa"/>
            <w:tcBorders>
              <w:top w:val="single" w:sz="4" w:space="0" w:color="231F20"/>
              <w:left w:val="dashed" w:sz="4" w:space="0" w:color="231F20"/>
              <w:bottom w:val="single" w:sz="4" w:space="0" w:color="231F20"/>
              <w:right w:val="nil"/>
            </w:tcBorders>
          </w:tcPr>
          <w:p w14:paraId="3F383D54" w14:textId="77777777" w:rsidR="00F65BCA" w:rsidRDefault="00216117">
            <w:pPr>
              <w:pStyle w:val="TableParagraph"/>
              <w:spacing w:before="35"/>
              <w:ind w:left="108" w:right="92"/>
              <w:jc w:val="center"/>
              <w:rPr>
                <w:sz w:val="14"/>
              </w:rPr>
            </w:pPr>
            <w:r>
              <w:rPr>
                <w:color w:val="231F20"/>
                <w:sz w:val="14"/>
              </w:rPr>
              <w:t>5 dnů / vozidlo</w:t>
            </w:r>
          </w:p>
        </w:tc>
      </w:tr>
      <w:tr w:rsidR="00F65BCA" w14:paraId="5E6D7750" w14:textId="77777777">
        <w:trPr>
          <w:trHeight w:val="233"/>
        </w:trPr>
        <w:tc>
          <w:tcPr>
            <w:tcW w:w="3231" w:type="dxa"/>
            <w:gridSpan w:val="2"/>
            <w:tcBorders>
              <w:top w:val="single" w:sz="4" w:space="0" w:color="231F20"/>
              <w:left w:val="nil"/>
              <w:bottom w:val="single" w:sz="4" w:space="0" w:color="231F20"/>
              <w:right w:val="dashed" w:sz="4" w:space="0" w:color="231F20"/>
            </w:tcBorders>
          </w:tcPr>
          <w:p w14:paraId="626309AC" w14:textId="77777777" w:rsidR="00F65BCA" w:rsidRDefault="00216117">
            <w:pPr>
              <w:pStyle w:val="TableParagraph"/>
              <w:spacing w:before="35"/>
              <w:ind w:left="89"/>
              <w:rPr>
                <w:sz w:val="14"/>
              </w:rPr>
            </w:pPr>
            <w:r>
              <w:rPr>
                <w:color w:val="231F20"/>
                <w:sz w:val="14"/>
              </w:rPr>
              <w:t>náhradní přeprava osob</w:t>
            </w:r>
          </w:p>
        </w:tc>
        <w:tc>
          <w:tcPr>
            <w:tcW w:w="1304" w:type="dxa"/>
            <w:tcBorders>
              <w:top w:val="single" w:sz="4" w:space="0" w:color="231F20"/>
              <w:left w:val="dashed" w:sz="4" w:space="0" w:color="231F20"/>
              <w:bottom w:val="single" w:sz="4" w:space="0" w:color="231F20"/>
              <w:right w:val="dashed" w:sz="4" w:space="0" w:color="231F20"/>
            </w:tcBorders>
          </w:tcPr>
          <w:p w14:paraId="0C76F968" w14:textId="77777777" w:rsidR="00F65BCA" w:rsidRDefault="00F65BCA">
            <w:pPr>
              <w:pStyle w:val="TableParagraph"/>
              <w:rPr>
                <w:rFonts w:ascii="Times New Roman"/>
                <w:sz w:val="14"/>
              </w:rPr>
            </w:pPr>
          </w:p>
        </w:tc>
        <w:tc>
          <w:tcPr>
            <w:tcW w:w="1304" w:type="dxa"/>
            <w:tcBorders>
              <w:top w:val="single" w:sz="4" w:space="0" w:color="231F20"/>
              <w:left w:val="dashed" w:sz="4" w:space="0" w:color="231F20"/>
              <w:bottom w:val="single" w:sz="4" w:space="0" w:color="231F20"/>
              <w:right w:val="single" w:sz="4" w:space="0" w:color="231F20"/>
            </w:tcBorders>
          </w:tcPr>
          <w:p w14:paraId="4B4AD02A"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1020BCBE" w14:textId="77777777" w:rsidR="00F65BCA" w:rsidRDefault="00F65BCA">
            <w:pPr>
              <w:pStyle w:val="TableParagraph"/>
              <w:spacing w:before="6"/>
              <w:rPr>
                <w:b/>
                <w:sz w:val="4"/>
              </w:rPr>
            </w:pPr>
          </w:p>
          <w:p w14:paraId="52F58490" w14:textId="77777777" w:rsidR="00F65BCA" w:rsidRDefault="00216117">
            <w:pPr>
              <w:pStyle w:val="TableParagraph"/>
              <w:spacing w:line="130" w:lineRule="exact"/>
              <w:ind w:left="769"/>
              <w:rPr>
                <w:sz w:val="13"/>
              </w:rPr>
            </w:pPr>
            <w:r>
              <w:rPr>
                <w:noProof/>
                <w:position w:val="-2"/>
                <w:sz w:val="13"/>
              </w:rPr>
              <w:drawing>
                <wp:inline distT="0" distB="0" distL="0" distR="0" wp14:anchorId="014B4B82" wp14:editId="409C714D">
                  <wp:extent cx="74476" cy="82581"/>
                  <wp:effectExtent l="0" t="0" r="0" b="0"/>
                  <wp:docPr id="18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2FEB635A" w14:textId="77777777" w:rsidR="00F65BCA" w:rsidRDefault="00F65BCA">
            <w:pPr>
              <w:pStyle w:val="TableParagraph"/>
              <w:spacing w:before="6"/>
              <w:rPr>
                <w:b/>
                <w:sz w:val="4"/>
              </w:rPr>
            </w:pPr>
          </w:p>
          <w:p w14:paraId="744F41C5" w14:textId="77777777" w:rsidR="00F65BCA" w:rsidRDefault="00216117">
            <w:pPr>
              <w:pStyle w:val="TableParagraph"/>
              <w:spacing w:line="130" w:lineRule="exact"/>
              <w:ind w:left="769"/>
              <w:rPr>
                <w:sz w:val="13"/>
              </w:rPr>
            </w:pPr>
            <w:r>
              <w:rPr>
                <w:noProof/>
                <w:position w:val="-2"/>
                <w:sz w:val="13"/>
              </w:rPr>
              <w:drawing>
                <wp:inline distT="0" distB="0" distL="0" distR="0" wp14:anchorId="4CB35DDB" wp14:editId="1824796C">
                  <wp:extent cx="74476" cy="82581"/>
                  <wp:effectExtent l="0" t="0" r="0" b="0"/>
                  <wp:docPr id="18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1F9B06BF" w14:textId="77777777" w:rsidR="00F65BCA" w:rsidRDefault="00F65BCA">
            <w:pPr>
              <w:pStyle w:val="TableParagraph"/>
              <w:spacing w:before="6"/>
              <w:rPr>
                <w:b/>
                <w:sz w:val="4"/>
              </w:rPr>
            </w:pPr>
          </w:p>
          <w:p w14:paraId="195EA1AF" w14:textId="77777777" w:rsidR="00F65BCA" w:rsidRDefault="00216117">
            <w:pPr>
              <w:pStyle w:val="TableParagraph"/>
              <w:spacing w:line="130" w:lineRule="exact"/>
              <w:ind w:left="769"/>
              <w:rPr>
                <w:sz w:val="13"/>
              </w:rPr>
            </w:pPr>
            <w:r>
              <w:rPr>
                <w:noProof/>
                <w:position w:val="-2"/>
                <w:sz w:val="13"/>
              </w:rPr>
              <w:drawing>
                <wp:inline distT="0" distB="0" distL="0" distR="0" wp14:anchorId="4A52D610" wp14:editId="66EAF5A2">
                  <wp:extent cx="74489" cy="82581"/>
                  <wp:effectExtent l="0" t="0" r="0" b="0"/>
                  <wp:docPr id="19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08CA352D" w14:textId="77777777">
        <w:trPr>
          <w:trHeight w:val="386"/>
        </w:trPr>
        <w:tc>
          <w:tcPr>
            <w:tcW w:w="3231" w:type="dxa"/>
            <w:gridSpan w:val="2"/>
            <w:tcBorders>
              <w:top w:val="single" w:sz="4" w:space="0" w:color="231F20"/>
              <w:left w:val="nil"/>
              <w:bottom w:val="single" w:sz="4" w:space="0" w:color="231F20"/>
              <w:right w:val="dashed" w:sz="4" w:space="0" w:color="231F20"/>
            </w:tcBorders>
          </w:tcPr>
          <w:p w14:paraId="28870F81" w14:textId="77777777" w:rsidR="00F65BCA" w:rsidRDefault="00216117">
            <w:pPr>
              <w:pStyle w:val="TableParagraph"/>
              <w:spacing w:before="112"/>
              <w:ind w:left="89"/>
              <w:rPr>
                <w:sz w:val="14"/>
              </w:rPr>
            </w:pPr>
            <w:r>
              <w:rPr>
                <w:color w:val="231F20"/>
                <w:sz w:val="14"/>
              </w:rPr>
              <w:t>náhradní ubytování</w:t>
            </w:r>
          </w:p>
        </w:tc>
        <w:tc>
          <w:tcPr>
            <w:tcW w:w="1304" w:type="dxa"/>
            <w:tcBorders>
              <w:top w:val="single" w:sz="4" w:space="0" w:color="231F20"/>
              <w:left w:val="dashed" w:sz="4" w:space="0" w:color="231F20"/>
              <w:bottom w:val="single" w:sz="4" w:space="0" w:color="231F20"/>
              <w:right w:val="dashed" w:sz="4" w:space="0" w:color="231F20"/>
            </w:tcBorders>
          </w:tcPr>
          <w:p w14:paraId="606AA0BA" w14:textId="77777777" w:rsidR="00F65BCA" w:rsidRDefault="00F65BCA">
            <w:pPr>
              <w:pStyle w:val="TableParagraph"/>
              <w:rPr>
                <w:rFonts w:ascii="Times New Roman"/>
                <w:sz w:val="14"/>
              </w:rPr>
            </w:pPr>
          </w:p>
        </w:tc>
        <w:tc>
          <w:tcPr>
            <w:tcW w:w="1304" w:type="dxa"/>
            <w:tcBorders>
              <w:top w:val="single" w:sz="4" w:space="0" w:color="231F20"/>
              <w:left w:val="dashed" w:sz="4" w:space="0" w:color="231F20"/>
              <w:bottom w:val="single" w:sz="4" w:space="0" w:color="231F20"/>
              <w:right w:val="single" w:sz="4" w:space="0" w:color="231F20"/>
            </w:tcBorders>
          </w:tcPr>
          <w:p w14:paraId="75A4E9BE"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52A8069F" w14:textId="77777777" w:rsidR="00F65BCA" w:rsidRDefault="00216117">
            <w:pPr>
              <w:pStyle w:val="TableParagraph"/>
              <w:spacing w:before="32" w:line="160" w:lineRule="exact"/>
              <w:ind w:left="80" w:right="59"/>
              <w:jc w:val="center"/>
              <w:rPr>
                <w:sz w:val="14"/>
              </w:rPr>
            </w:pPr>
            <w:r>
              <w:rPr>
                <w:color w:val="231F20"/>
                <w:sz w:val="14"/>
              </w:rPr>
              <w:t>5 nocí, 5 000 Kč / noc</w:t>
            </w:r>
          </w:p>
          <w:p w14:paraId="1312F17C" w14:textId="77777777" w:rsidR="00F65BCA" w:rsidRDefault="00216117">
            <w:pPr>
              <w:pStyle w:val="TableParagraph"/>
              <w:spacing w:line="160" w:lineRule="exact"/>
              <w:ind w:left="80" w:right="59"/>
              <w:jc w:val="center"/>
              <w:rPr>
                <w:sz w:val="14"/>
              </w:rPr>
            </w:pPr>
            <w:r>
              <w:rPr>
                <w:color w:val="231F20"/>
                <w:w w:val="105"/>
                <w:sz w:val="14"/>
              </w:rPr>
              <w:t>/ vozidlo</w:t>
            </w:r>
          </w:p>
        </w:tc>
        <w:tc>
          <w:tcPr>
            <w:tcW w:w="1644" w:type="dxa"/>
            <w:tcBorders>
              <w:top w:val="single" w:sz="4" w:space="0" w:color="231F20"/>
              <w:left w:val="dashed" w:sz="4" w:space="0" w:color="231F20"/>
              <w:bottom w:val="single" w:sz="4" w:space="0" w:color="231F20"/>
              <w:right w:val="dashed" w:sz="4" w:space="0" w:color="231F20"/>
            </w:tcBorders>
          </w:tcPr>
          <w:p w14:paraId="58C6CEDA" w14:textId="77777777" w:rsidR="00F65BCA" w:rsidRDefault="00216117">
            <w:pPr>
              <w:pStyle w:val="TableParagraph"/>
              <w:spacing w:before="32" w:line="160" w:lineRule="exact"/>
              <w:ind w:left="80" w:right="59"/>
              <w:jc w:val="center"/>
              <w:rPr>
                <w:sz w:val="14"/>
              </w:rPr>
            </w:pPr>
            <w:r>
              <w:rPr>
                <w:color w:val="231F20"/>
                <w:sz w:val="14"/>
              </w:rPr>
              <w:t>5 nocí, 10 000 Kč / noc</w:t>
            </w:r>
          </w:p>
          <w:p w14:paraId="5DFA72DC" w14:textId="77777777" w:rsidR="00F65BCA" w:rsidRDefault="00216117">
            <w:pPr>
              <w:pStyle w:val="TableParagraph"/>
              <w:spacing w:line="160" w:lineRule="exact"/>
              <w:ind w:left="80" w:right="59"/>
              <w:jc w:val="center"/>
              <w:rPr>
                <w:sz w:val="14"/>
              </w:rPr>
            </w:pPr>
            <w:r>
              <w:rPr>
                <w:color w:val="231F20"/>
                <w:w w:val="105"/>
                <w:sz w:val="14"/>
              </w:rPr>
              <w:t>/ vozidlo</w:t>
            </w:r>
          </w:p>
        </w:tc>
        <w:tc>
          <w:tcPr>
            <w:tcW w:w="1644" w:type="dxa"/>
            <w:tcBorders>
              <w:top w:val="single" w:sz="4" w:space="0" w:color="231F20"/>
              <w:left w:val="dashed" w:sz="4" w:space="0" w:color="231F20"/>
              <w:bottom w:val="single" w:sz="4" w:space="0" w:color="231F20"/>
              <w:right w:val="nil"/>
            </w:tcBorders>
          </w:tcPr>
          <w:p w14:paraId="6C1550D0" w14:textId="77777777" w:rsidR="00F65BCA" w:rsidRDefault="00216117">
            <w:pPr>
              <w:pStyle w:val="TableParagraph"/>
              <w:spacing w:before="32"/>
              <w:ind w:left="547" w:hanging="446"/>
              <w:rPr>
                <w:sz w:val="14"/>
              </w:rPr>
            </w:pPr>
            <w:r>
              <w:rPr>
                <w:color w:val="231F20"/>
                <w:sz w:val="14"/>
              </w:rPr>
              <w:t>5 nocí, 5 000 Kč / noc / souprava</w:t>
            </w:r>
          </w:p>
        </w:tc>
      </w:tr>
      <w:tr w:rsidR="00F65BCA" w14:paraId="30E60E2A" w14:textId="77777777">
        <w:trPr>
          <w:trHeight w:val="233"/>
        </w:trPr>
        <w:tc>
          <w:tcPr>
            <w:tcW w:w="3231" w:type="dxa"/>
            <w:gridSpan w:val="2"/>
            <w:tcBorders>
              <w:top w:val="single" w:sz="4" w:space="0" w:color="231F20"/>
              <w:left w:val="nil"/>
              <w:bottom w:val="single" w:sz="4" w:space="0" w:color="231F20"/>
              <w:right w:val="dashed" w:sz="4" w:space="0" w:color="231F20"/>
            </w:tcBorders>
          </w:tcPr>
          <w:p w14:paraId="5066AB54" w14:textId="77777777" w:rsidR="00F65BCA" w:rsidRDefault="00216117">
            <w:pPr>
              <w:pStyle w:val="TableParagraph"/>
              <w:spacing w:before="35"/>
              <w:ind w:left="89"/>
              <w:rPr>
                <w:sz w:val="14"/>
              </w:rPr>
            </w:pPr>
            <w:r>
              <w:rPr>
                <w:color w:val="231F20"/>
                <w:sz w:val="14"/>
              </w:rPr>
              <w:t>přeprava řidiče pro opravené vozidlo</w:t>
            </w:r>
          </w:p>
        </w:tc>
        <w:tc>
          <w:tcPr>
            <w:tcW w:w="1304" w:type="dxa"/>
            <w:tcBorders>
              <w:top w:val="single" w:sz="4" w:space="0" w:color="231F20"/>
              <w:left w:val="dashed" w:sz="4" w:space="0" w:color="231F20"/>
              <w:bottom w:val="single" w:sz="4" w:space="0" w:color="231F20"/>
              <w:right w:val="dashed" w:sz="4" w:space="0" w:color="231F20"/>
            </w:tcBorders>
          </w:tcPr>
          <w:p w14:paraId="0DC7A743" w14:textId="77777777" w:rsidR="00F65BCA" w:rsidRDefault="00F65BCA">
            <w:pPr>
              <w:pStyle w:val="TableParagraph"/>
              <w:rPr>
                <w:rFonts w:ascii="Times New Roman"/>
                <w:sz w:val="14"/>
              </w:rPr>
            </w:pPr>
          </w:p>
        </w:tc>
        <w:tc>
          <w:tcPr>
            <w:tcW w:w="1304" w:type="dxa"/>
            <w:tcBorders>
              <w:top w:val="single" w:sz="4" w:space="0" w:color="231F20"/>
              <w:left w:val="dashed" w:sz="4" w:space="0" w:color="231F20"/>
              <w:bottom w:val="single" w:sz="4" w:space="0" w:color="231F20"/>
              <w:right w:val="single" w:sz="4" w:space="0" w:color="231F20"/>
            </w:tcBorders>
          </w:tcPr>
          <w:p w14:paraId="3F685E7A"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21FD3D72" w14:textId="77777777" w:rsidR="00F65BCA" w:rsidRDefault="00F65BCA">
            <w:pPr>
              <w:pStyle w:val="TableParagraph"/>
              <w:spacing w:before="6"/>
              <w:rPr>
                <w:b/>
                <w:sz w:val="4"/>
              </w:rPr>
            </w:pPr>
          </w:p>
          <w:p w14:paraId="0B2B1110" w14:textId="77777777" w:rsidR="00F65BCA" w:rsidRDefault="00216117">
            <w:pPr>
              <w:pStyle w:val="TableParagraph"/>
              <w:spacing w:line="130" w:lineRule="exact"/>
              <w:ind w:left="769"/>
              <w:rPr>
                <w:sz w:val="13"/>
              </w:rPr>
            </w:pPr>
            <w:r>
              <w:rPr>
                <w:noProof/>
                <w:position w:val="-2"/>
                <w:sz w:val="13"/>
              </w:rPr>
              <w:drawing>
                <wp:inline distT="0" distB="0" distL="0" distR="0" wp14:anchorId="5EDE2F2D" wp14:editId="0CC4BDB3">
                  <wp:extent cx="74476" cy="82581"/>
                  <wp:effectExtent l="0" t="0" r="0" b="0"/>
                  <wp:docPr id="19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0E3A53B4" w14:textId="77777777" w:rsidR="00F65BCA" w:rsidRDefault="00F65BCA">
            <w:pPr>
              <w:pStyle w:val="TableParagraph"/>
              <w:spacing w:before="6"/>
              <w:rPr>
                <w:b/>
                <w:sz w:val="4"/>
              </w:rPr>
            </w:pPr>
          </w:p>
          <w:p w14:paraId="6EA9DF67" w14:textId="77777777" w:rsidR="00F65BCA" w:rsidRDefault="00216117">
            <w:pPr>
              <w:pStyle w:val="TableParagraph"/>
              <w:spacing w:line="130" w:lineRule="exact"/>
              <w:ind w:left="769"/>
              <w:rPr>
                <w:sz w:val="13"/>
              </w:rPr>
            </w:pPr>
            <w:r>
              <w:rPr>
                <w:noProof/>
                <w:position w:val="-2"/>
                <w:sz w:val="13"/>
              </w:rPr>
              <w:drawing>
                <wp:inline distT="0" distB="0" distL="0" distR="0" wp14:anchorId="72AE222A" wp14:editId="1D61908F">
                  <wp:extent cx="74476" cy="82581"/>
                  <wp:effectExtent l="0" t="0" r="0" b="0"/>
                  <wp:docPr id="19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05EC6968" w14:textId="77777777" w:rsidR="00F65BCA" w:rsidRDefault="00F65BCA">
            <w:pPr>
              <w:pStyle w:val="TableParagraph"/>
              <w:spacing w:before="6"/>
              <w:rPr>
                <w:b/>
                <w:sz w:val="4"/>
              </w:rPr>
            </w:pPr>
          </w:p>
          <w:p w14:paraId="59947F57" w14:textId="77777777" w:rsidR="00F65BCA" w:rsidRDefault="00216117">
            <w:pPr>
              <w:pStyle w:val="TableParagraph"/>
              <w:spacing w:line="130" w:lineRule="exact"/>
              <w:ind w:left="769"/>
              <w:rPr>
                <w:sz w:val="13"/>
              </w:rPr>
            </w:pPr>
            <w:r>
              <w:rPr>
                <w:noProof/>
                <w:position w:val="-2"/>
                <w:sz w:val="13"/>
              </w:rPr>
              <w:drawing>
                <wp:inline distT="0" distB="0" distL="0" distR="0" wp14:anchorId="42F3759F" wp14:editId="10F42D08">
                  <wp:extent cx="74489" cy="82581"/>
                  <wp:effectExtent l="0" t="0" r="0" b="0"/>
                  <wp:docPr id="19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1.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011E8350" w14:textId="77777777">
        <w:trPr>
          <w:trHeight w:val="233"/>
        </w:trPr>
        <w:tc>
          <w:tcPr>
            <w:tcW w:w="3231" w:type="dxa"/>
            <w:gridSpan w:val="2"/>
            <w:tcBorders>
              <w:top w:val="single" w:sz="4" w:space="0" w:color="231F20"/>
              <w:left w:val="nil"/>
              <w:bottom w:val="single" w:sz="4" w:space="0" w:color="231F20"/>
              <w:right w:val="dashed" w:sz="4" w:space="0" w:color="231F20"/>
            </w:tcBorders>
          </w:tcPr>
          <w:p w14:paraId="04BA27C5" w14:textId="77777777" w:rsidR="00F65BCA" w:rsidRDefault="00216117">
            <w:pPr>
              <w:pStyle w:val="TableParagraph"/>
              <w:spacing w:before="35"/>
              <w:ind w:left="89"/>
              <w:rPr>
                <w:sz w:val="14"/>
              </w:rPr>
            </w:pPr>
            <w:r>
              <w:rPr>
                <w:color w:val="231F20"/>
                <w:sz w:val="14"/>
              </w:rPr>
              <w:t>přeložení nákladu</w:t>
            </w:r>
          </w:p>
        </w:tc>
        <w:tc>
          <w:tcPr>
            <w:tcW w:w="1304" w:type="dxa"/>
            <w:tcBorders>
              <w:top w:val="single" w:sz="4" w:space="0" w:color="231F20"/>
              <w:left w:val="dashed" w:sz="4" w:space="0" w:color="231F20"/>
              <w:bottom w:val="single" w:sz="4" w:space="0" w:color="231F20"/>
              <w:right w:val="dashed" w:sz="4" w:space="0" w:color="231F20"/>
            </w:tcBorders>
          </w:tcPr>
          <w:p w14:paraId="7494611E" w14:textId="77777777" w:rsidR="00F65BCA" w:rsidRDefault="00F65BCA">
            <w:pPr>
              <w:pStyle w:val="TableParagraph"/>
              <w:rPr>
                <w:rFonts w:ascii="Times New Roman"/>
                <w:sz w:val="14"/>
              </w:rPr>
            </w:pPr>
          </w:p>
        </w:tc>
        <w:tc>
          <w:tcPr>
            <w:tcW w:w="1304" w:type="dxa"/>
            <w:tcBorders>
              <w:top w:val="single" w:sz="4" w:space="0" w:color="231F20"/>
              <w:left w:val="dashed" w:sz="4" w:space="0" w:color="231F20"/>
              <w:bottom w:val="single" w:sz="4" w:space="0" w:color="231F20"/>
              <w:right w:val="single" w:sz="4" w:space="0" w:color="231F20"/>
            </w:tcBorders>
          </w:tcPr>
          <w:p w14:paraId="7B5EB0B5"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7AAE16D9" w14:textId="77777777" w:rsidR="00F65BCA" w:rsidRDefault="00F65BCA">
            <w:pPr>
              <w:pStyle w:val="TableParagraph"/>
              <w:spacing w:before="6"/>
              <w:rPr>
                <w:b/>
                <w:sz w:val="4"/>
              </w:rPr>
            </w:pPr>
          </w:p>
          <w:p w14:paraId="03AF6FDB" w14:textId="77777777" w:rsidR="00F65BCA" w:rsidRDefault="00216117">
            <w:pPr>
              <w:pStyle w:val="TableParagraph"/>
              <w:spacing w:line="129" w:lineRule="exact"/>
              <w:ind w:left="769"/>
              <w:rPr>
                <w:sz w:val="12"/>
              </w:rPr>
            </w:pPr>
            <w:r>
              <w:rPr>
                <w:noProof/>
                <w:position w:val="-2"/>
                <w:sz w:val="12"/>
              </w:rPr>
              <w:drawing>
                <wp:inline distT="0" distB="0" distL="0" distR="0" wp14:anchorId="02703E56" wp14:editId="27142616">
                  <wp:extent cx="74219" cy="82296"/>
                  <wp:effectExtent l="0" t="0" r="0" b="0"/>
                  <wp:docPr id="19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2.png"/>
                          <pic:cNvPicPr/>
                        </pic:nvPicPr>
                        <pic:blipFill>
                          <a:blip r:embed="rId50" cstate="print"/>
                          <a:stretch>
                            <a:fillRect/>
                          </a:stretch>
                        </pic:blipFill>
                        <pic:spPr>
                          <a:xfrm>
                            <a:off x="0" y="0"/>
                            <a:ext cx="74219" cy="82296"/>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7C62E31F" w14:textId="77777777" w:rsidR="00F65BCA" w:rsidRDefault="00F65BCA">
            <w:pPr>
              <w:pStyle w:val="TableParagraph"/>
              <w:spacing w:before="6"/>
              <w:rPr>
                <w:b/>
                <w:sz w:val="4"/>
              </w:rPr>
            </w:pPr>
          </w:p>
          <w:p w14:paraId="78B00FCC" w14:textId="77777777" w:rsidR="00F65BCA" w:rsidRDefault="00216117">
            <w:pPr>
              <w:pStyle w:val="TableParagraph"/>
              <w:spacing w:line="129" w:lineRule="exact"/>
              <w:ind w:left="769"/>
              <w:rPr>
                <w:sz w:val="12"/>
              </w:rPr>
            </w:pPr>
            <w:r>
              <w:rPr>
                <w:noProof/>
                <w:position w:val="-2"/>
                <w:sz w:val="12"/>
              </w:rPr>
              <w:drawing>
                <wp:inline distT="0" distB="0" distL="0" distR="0" wp14:anchorId="4B05E05A" wp14:editId="3B7CBCAE">
                  <wp:extent cx="74219" cy="82296"/>
                  <wp:effectExtent l="0" t="0" r="0" b="0"/>
                  <wp:docPr id="20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2.png"/>
                          <pic:cNvPicPr/>
                        </pic:nvPicPr>
                        <pic:blipFill>
                          <a:blip r:embed="rId50" cstate="print"/>
                          <a:stretch>
                            <a:fillRect/>
                          </a:stretch>
                        </pic:blipFill>
                        <pic:spPr>
                          <a:xfrm>
                            <a:off x="0" y="0"/>
                            <a:ext cx="74219" cy="82296"/>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155B08E9" w14:textId="77777777" w:rsidR="00F65BCA" w:rsidRDefault="00F65BCA">
            <w:pPr>
              <w:pStyle w:val="TableParagraph"/>
              <w:spacing w:before="6"/>
              <w:rPr>
                <w:b/>
                <w:sz w:val="4"/>
              </w:rPr>
            </w:pPr>
          </w:p>
          <w:p w14:paraId="6071999A" w14:textId="77777777" w:rsidR="00F65BCA" w:rsidRDefault="00216117">
            <w:pPr>
              <w:pStyle w:val="TableParagraph"/>
              <w:spacing w:line="129" w:lineRule="exact"/>
              <w:ind w:left="769"/>
              <w:rPr>
                <w:sz w:val="12"/>
              </w:rPr>
            </w:pPr>
            <w:r>
              <w:rPr>
                <w:noProof/>
                <w:position w:val="-2"/>
                <w:sz w:val="12"/>
              </w:rPr>
              <w:drawing>
                <wp:inline distT="0" distB="0" distL="0" distR="0" wp14:anchorId="3B5F2CD6" wp14:editId="4D47EE79">
                  <wp:extent cx="74231" cy="82296"/>
                  <wp:effectExtent l="0" t="0" r="0" b="0"/>
                  <wp:docPr id="20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5.png"/>
                          <pic:cNvPicPr/>
                        </pic:nvPicPr>
                        <pic:blipFill>
                          <a:blip r:embed="rId51" cstate="print"/>
                          <a:stretch>
                            <a:fillRect/>
                          </a:stretch>
                        </pic:blipFill>
                        <pic:spPr>
                          <a:xfrm>
                            <a:off x="0" y="0"/>
                            <a:ext cx="74231" cy="82296"/>
                          </a:xfrm>
                          <a:prstGeom prst="rect">
                            <a:avLst/>
                          </a:prstGeom>
                        </pic:spPr>
                      </pic:pic>
                    </a:graphicData>
                  </a:graphic>
                </wp:inline>
              </w:drawing>
            </w:r>
          </w:p>
        </w:tc>
      </w:tr>
      <w:tr w:rsidR="00F65BCA" w14:paraId="3B8B30B6" w14:textId="77777777">
        <w:trPr>
          <w:trHeight w:val="233"/>
        </w:trPr>
        <w:tc>
          <w:tcPr>
            <w:tcW w:w="3231" w:type="dxa"/>
            <w:gridSpan w:val="2"/>
            <w:tcBorders>
              <w:top w:val="single" w:sz="4" w:space="0" w:color="231F20"/>
              <w:left w:val="nil"/>
              <w:bottom w:val="single" w:sz="4" w:space="0" w:color="231F20"/>
              <w:right w:val="dashed" w:sz="4" w:space="0" w:color="231F20"/>
            </w:tcBorders>
          </w:tcPr>
          <w:p w14:paraId="0AA049CA" w14:textId="77777777" w:rsidR="00F65BCA" w:rsidRDefault="00216117">
            <w:pPr>
              <w:pStyle w:val="TableParagraph"/>
              <w:spacing w:before="35"/>
              <w:ind w:left="89"/>
              <w:rPr>
                <w:sz w:val="14"/>
              </w:rPr>
            </w:pPr>
            <w:r>
              <w:rPr>
                <w:color w:val="231F20"/>
                <w:sz w:val="14"/>
              </w:rPr>
              <w:t>náhradní vozidlo pro přeložení nákladu</w:t>
            </w:r>
          </w:p>
        </w:tc>
        <w:tc>
          <w:tcPr>
            <w:tcW w:w="1304" w:type="dxa"/>
            <w:tcBorders>
              <w:top w:val="single" w:sz="4" w:space="0" w:color="231F20"/>
              <w:left w:val="dashed" w:sz="4" w:space="0" w:color="231F20"/>
              <w:bottom w:val="single" w:sz="4" w:space="0" w:color="231F20"/>
              <w:right w:val="dashed" w:sz="4" w:space="0" w:color="231F20"/>
            </w:tcBorders>
          </w:tcPr>
          <w:p w14:paraId="423B86ED" w14:textId="77777777" w:rsidR="00F65BCA" w:rsidRDefault="00F65BCA">
            <w:pPr>
              <w:pStyle w:val="TableParagraph"/>
              <w:rPr>
                <w:rFonts w:ascii="Times New Roman"/>
                <w:sz w:val="14"/>
              </w:rPr>
            </w:pPr>
          </w:p>
        </w:tc>
        <w:tc>
          <w:tcPr>
            <w:tcW w:w="1304" w:type="dxa"/>
            <w:tcBorders>
              <w:top w:val="single" w:sz="4" w:space="0" w:color="231F20"/>
              <w:left w:val="dashed" w:sz="4" w:space="0" w:color="231F20"/>
              <w:bottom w:val="single" w:sz="4" w:space="0" w:color="231F20"/>
              <w:right w:val="single" w:sz="4" w:space="0" w:color="231F20"/>
            </w:tcBorders>
          </w:tcPr>
          <w:p w14:paraId="00B40E73"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169B1391" w14:textId="77777777" w:rsidR="00F65BCA" w:rsidRDefault="00216117">
            <w:pPr>
              <w:pStyle w:val="TableParagraph"/>
              <w:spacing w:before="35"/>
              <w:ind w:left="80" w:right="59"/>
              <w:jc w:val="center"/>
              <w:rPr>
                <w:sz w:val="14"/>
              </w:rPr>
            </w:pPr>
            <w:r>
              <w:rPr>
                <w:color w:val="231F20"/>
                <w:sz w:val="14"/>
              </w:rPr>
              <w:t>2 dny</w:t>
            </w:r>
          </w:p>
        </w:tc>
        <w:tc>
          <w:tcPr>
            <w:tcW w:w="1644" w:type="dxa"/>
            <w:tcBorders>
              <w:top w:val="single" w:sz="4" w:space="0" w:color="231F20"/>
              <w:left w:val="dashed" w:sz="4" w:space="0" w:color="231F20"/>
              <w:bottom w:val="single" w:sz="4" w:space="0" w:color="231F20"/>
              <w:right w:val="dashed" w:sz="4" w:space="0" w:color="231F20"/>
            </w:tcBorders>
          </w:tcPr>
          <w:p w14:paraId="564A6796" w14:textId="77777777" w:rsidR="00F65BCA" w:rsidRDefault="00216117">
            <w:pPr>
              <w:pStyle w:val="TableParagraph"/>
              <w:spacing w:before="35"/>
              <w:ind w:left="80" w:right="59"/>
              <w:jc w:val="center"/>
              <w:rPr>
                <w:sz w:val="14"/>
              </w:rPr>
            </w:pPr>
            <w:r>
              <w:rPr>
                <w:color w:val="231F20"/>
                <w:sz w:val="14"/>
              </w:rPr>
              <w:t>4 dny</w:t>
            </w:r>
          </w:p>
        </w:tc>
        <w:tc>
          <w:tcPr>
            <w:tcW w:w="1644" w:type="dxa"/>
            <w:tcBorders>
              <w:top w:val="single" w:sz="4" w:space="0" w:color="231F20"/>
              <w:left w:val="dashed" w:sz="4" w:space="0" w:color="231F20"/>
              <w:bottom w:val="single" w:sz="4" w:space="0" w:color="231F20"/>
              <w:right w:val="nil"/>
            </w:tcBorders>
          </w:tcPr>
          <w:p w14:paraId="7F74B686" w14:textId="77777777" w:rsidR="00F65BCA" w:rsidRDefault="00216117">
            <w:pPr>
              <w:pStyle w:val="TableParagraph"/>
              <w:spacing w:before="35"/>
              <w:ind w:left="108" w:right="92"/>
              <w:jc w:val="center"/>
              <w:rPr>
                <w:sz w:val="14"/>
              </w:rPr>
            </w:pPr>
            <w:r>
              <w:rPr>
                <w:color w:val="231F20"/>
                <w:sz w:val="14"/>
              </w:rPr>
              <w:t>2 dny / vozidlo</w:t>
            </w:r>
          </w:p>
        </w:tc>
      </w:tr>
      <w:tr w:rsidR="00F65BCA" w14:paraId="4972187A" w14:textId="77777777">
        <w:trPr>
          <w:trHeight w:val="233"/>
        </w:trPr>
        <w:tc>
          <w:tcPr>
            <w:tcW w:w="3231" w:type="dxa"/>
            <w:gridSpan w:val="2"/>
            <w:tcBorders>
              <w:top w:val="single" w:sz="4" w:space="0" w:color="231F20"/>
              <w:left w:val="nil"/>
              <w:bottom w:val="single" w:sz="4" w:space="0" w:color="231F20"/>
              <w:right w:val="dashed" w:sz="4" w:space="0" w:color="231F20"/>
            </w:tcBorders>
          </w:tcPr>
          <w:p w14:paraId="65D87DAC" w14:textId="77777777" w:rsidR="00F65BCA" w:rsidRDefault="00216117">
            <w:pPr>
              <w:pStyle w:val="TableParagraph"/>
              <w:spacing w:before="35"/>
              <w:ind w:left="89"/>
              <w:rPr>
                <w:sz w:val="14"/>
              </w:rPr>
            </w:pPr>
            <w:r>
              <w:rPr>
                <w:color w:val="231F20"/>
                <w:sz w:val="14"/>
              </w:rPr>
              <w:t>právní pomoc</w:t>
            </w:r>
          </w:p>
        </w:tc>
        <w:tc>
          <w:tcPr>
            <w:tcW w:w="1304" w:type="dxa"/>
            <w:tcBorders>
              <w:top w:val="single" w:sz="4" w:space="0" w:color="231F20"/>
              <w:left w:val="dashed" w:sz="4" w:space="0" w:color="231F20"/>
              <w:bottom w:val="single" w:sz="4" w:space="0" w:color="231F20"/>
              <w:right w:val="dashed" w:sz="4" w:space="0" w:color="231F20"/>
            </w:tcBorders>
          </w:tcPr>
          <w:p w14:paraId="3D5A1B3B" w14:textId="77777777" w:rsidR="00F65BCA" w:rsidRDefault="00F65BCA">
            <w:pPr>
              <w:pStyle w:val="TableParagraph"/>
              <w:rPr>
                <w:rFonts w:ascii="Times New Roman"/>
                <w:sz w:val="14"/>
              </w:rPr>
            </w:pPr>
          </w:p>
        </w:tc>
        <w:tc>
          <w:tcPr>
            <w:tcW w:w="1304" w:type="dxa"/>
            <w:tcBorders>
              <w:top w:val="single" w:sz="4" w:space="0" w:color="231F20"/>
              <w:left w:val="dashed" w:sz="4" w:space="0" w:color="231F20"/>
              <w:bottom w:val="single" w:sz="4" w:space="0" w:color="231F20"/>
              <w:right w:val="single" w:sz="4" w:space="0" w:color="231F20"/>
            </w:tcBorders>
          </w:tcPr>
          <w:p w14:paraId="44D387EA"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021201EA" w14:textId="77777777" w:rsidR="00F65BCA" w:rsidRDefault="00216117">
            <w:pPr>
              <w:pStyle w:val="TableParagraph"/>
              <w:spacing w:before="35"/>
              <w:ind w:left="80" w:right="59"/>
              <w:jc w:val="center"/>
              <w:rPr>
                <w:sz w:val="14"/>
              </w:rPr>
            </w:pPr>
            <w:r>
              <w:rPr>
                <w:color w:val="231F20"/>
                <w:sz w:val="14"/>
              </w:rPr>
              <w:t>25 000 Kč</w:t>
            </w:r>
          </w:p>
        </w:tc>
        <w:tc>
          <w:tcPr>
            <w:tcW w:w="1644" w:type="dxa"/>
            <w:tcBorders>
              <w:top w:val="single" w:sz="4" w:space="0" w:color="231F20"/>
              <w:left w:val="dashed" w:sz="4" w:space="0" w:color="231F20"/>
              <w:bottom w:val="single" w:sz="4" w:space="0" w:color="231F20"/>
              <w:right w:val="dashed" w:sz="4" w:space="0" w:color="231F20"/>
            </w:tcBorders>
          </w:tcPr>
          <w:p w14:paraId="07E022B0" w14:textId="77777777" w:rsidR="00F65BCA" w:rsidRDefault="00216117">
            <w:pPr>
              <w:pStyle w:val="TableParagraph"/>
              <w:spacing w:before="35"/>
              <w:ind w:left="80" w:right="59"/>
              <w:jc w:val="center"/>
              <w:rPr>
                <w:sz w:val="14"/>
              </w:rPr>
            </w:pPr>
            <w:r>
              <w:rPr>
                <w:color w:val="231F20"/>
                <w:sz w:val="14"/>
              </w:rPr>
              <w:t>50 000 Kč</w:t>
            </w:r>
          </w:p>
        </w:tc>
        <w:tc>
          <w:tcPr>
            <w:tcW w:w="1644" w:type="dxa"/>
            <w:tcBorders>
              <w:top w:val="single" w:sz="4" w:space="0" w:color="231F20"/>
              <w:left w:val="dashed" w:sz="4" w:space="0" w:color="231F20"/>
              <w:bottom w:val="single" w:sz="4" w:space="0" w:color="231F20"/>
              <w:right w:val="nil"/>
            </w:tcBorders>
          </w:tcPr>
          <w:p w14:paraId="3C9F61A7" w14:textId="77777777" w:rsidR="00F65BCA" w:rsidRDefault="00216117">
            <w:pPr>
              <w:pStyle w:val="TableParagraph"/>
              <w:spacing w:before="35"/>
              <w:ind w:left="108" w:right="92"/>
              <w:jc w:val="center"/>
              <w:rPr>
                <w:sz w:val="14"/>
              </w:rPr>
            </w:pPr>
            <w:r>
              <w:rPr>
                <w:color w:val="231F20"/>
                <w:sz w:val="14"/>
              </w:rPr>
              <w:t>25 000 Kč</w:t>
            </w:r>
          </w:p>
        </w:tc>
      </w:tr>
      <w:tr w:rsidR="00F65BCA" w14:paraId="42599AEC" w14:textId="77777777">
        <w:trPr>
          <w:trHeight w:val="381"/>
        </w:trPr>
        <w:tc>
          <w:tcPr>
            <w:tcW w:w="3231" w:type="dxa"/>
            <w:gridSpan w:val="2"/>
            <w:tcBorders>
              <w:top w:val="single" w:sz="4" w:space="0" w:color="231F20"/>
              <w:left w:val="nil"/>
              <w:right w:val="single" w:sz="4" w:space="0" w:color="231F20"/>
            </w:tcBorders>
          </w:tcPr>
          <w:p w14:paraId="3921E28D" w14:textId="77777777" w:rsidR="00F65BCA" w:rsidRDefault="00216117">
            <w:pPr>
              <w:pStyle w:val="TableParagraph"/>
              <w:spacing w:before="29"/>
              <w:ind w:left="89" w:right="268"/>
              <w:rPr>
                <w:sz w:val="14"/>
              </w:rPr>
            </w:pPr>
            <w:r>
              <w:rPr>
                <w:color w:val="231F20"/>
                <w:sz w:val="14"/>
              </w:rPr>
              <w:t>poradenské</w:t>
            </w:r>
            <w:r>
              <w:rPr>
                <w:color w:val="231F20"/>
                <w:spacing w:val="-26"/>
                <w:sz w:val="14"/>
              </w:rPr>
              <w:t xml:space="preserve"> </w:t>
            </w:r>
            <w:r>
              <w:rPr>
                <w:color w:val="231F20"/>
                <w:sz w:val="14"/>
              </w:rPr>
              <w:t>služby</w:t>
            </w:r>
            <w:r>
              <w:rPr>
                <w:color w:val="231F20"/>
                <w:spacing w:val="-25"/>
                <w:sz w:val="14"/>
              </w:rPr>
              <w:t xml:space="preserve"> </w:t>
            </w:r>
            <w:r>
              <w:rPr>
                <w:color w:val="231F20"/>
                <w:sz w:val="14"/>
              </w:rPr>
              <w:t>(předání</w:t>
            </w:r>
            <w:r>
              <w:rPr>
                <w:color w:val="231F20"/>
                <w:spacing w:val="-25"/>
                <w:sz w:val="14"/>
              </w:rPr>
              <w:t xml:space="preserve"> </w:t>
            </w:r>
            <w:r>
              <w:rPr>
                <w:color w:val="231F20"/>
                <w:sz w:val="14"/>
              </w:rPr>
              <w:t>vzkazu,</w:t>
            </w:r>
            <w:r>
              <w:rPr>
                <w:color w:val="231F20"/>
                <w:spacing w:val="-25"/>
                <w:sz w:val="14"/>
              </w:rPr>
              <w:t xml:space="preserve"> </w:t>
            </w:r>
            <w:r>
              <w:rPr>
                <w:color w:val="231F20"/>
                <w:sz w:val="14"/>
              </w:rPr>
              <w:t>telefonické tlumočení)</w:t>
            </w:r>
          </w:p>
        </w:tc>
        <w:tc>
          <w:tcPr>
            <w:tcW w:w="1304" w:type="dxa"/>
            <w:tcBorders>
              <w:top w:val="single" w:sz="4" w:space="0" w:color="231F20"/>
              <w:left w:val="single" w:sz="4" w:space="0" w:color="231F20"/>
              <w:right w:val="single" w:sz="4" w:space="0" w:color="231F20"/>
            </w:tcBorders>
          </w:tcPr>
          <w:p w14:paraId="63FD1A14" w14:textId="77777777" w:rsidR="00F65BCA" w:rsidRDefault="00F65BCA">
            <w:pPr>
              <w:pStyle w:val="TableParagraph"/>
              <w:spacing w:before="11"/>
              <w:rPr>
                <w:b/>
                <w:sz w:val="10"/>
              </w:rPr>
            </w:pPr>
          </w:p>
          <w:p w14:paraId="7FDE6FD1" w14:textId="77777777" w:rsidR="00F65BCA" w:rsidRDefault="00216117">
            <w:pPr>
              <w:pStyle w:val="TableParagraph"/>
              <w:spacing w:line="130" w:lineRule="exact"/>
              <w:ind w:left="599"/>
              <w:rPr>
                <w:sz w:val="13"/>
              </w:rPr>
            </w:pPr>
            <w:r>
              <w:rPr>
                <w:noProof/>
                <w:position w:val="-2"/>
                <w:sz w:val="13"/>
              </w:rPr>
              <w:drawing>
                <wp:inline distT="0" distB="0" distL="0" distR="0" wp14:anchorId="5B9484E7" wp14:editId="6BBB6FCD">
                  <wp:extent cx="74476" cy="82581"/>
                  <wp:effectExtent l="0" t="0" r="0" b="0"/>
                  <wp:docPr id="20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9.png"/>
                          <pic:cNvPicPr/>
                        </pic:nvPicPr>
                        <pic:blipFill>
                          <a:blip r:embed="rId47" cstate="print"/>
                          <a:stretch>
                            <a:fillRect/>
                          </a:stretch>
                        </pic:blipFill>
                        <pic:spPr>
                          <a:xfrm>
                            <a:off x="0" y="0"/>
                            <a:ext cx="74476" cy="82581"/>
                          </a:xfrm>
                          <a:prstGeom prst="rect">
                            <a:avLst/>
                          </a:prstGeom>
                        </pic:spPr>
                      </pic:pic>
                    </a:graphicData>
                  </a:graphic>
                </wp:inline>
              </w:drawing>
            </w:r>
          </w:p>
        </w:tc>
        <w:tc>
          <w:tcPr>
            <w:tcW w:w="1304" w:type="dxa"/>
            <w:tcBorders>
              <w:top w:val="single" w:sz="4" w:space="0" w:color="231F20"/>
              <w:left w:val="single" w:sz="4" w:space="0" w:color="231F20"/>
              <w:right w:val="single" w:sz="4" w:space="0" w:color="231F20"/>
            </w:tcBorders>
          </w:tcPr>
          <w:p w14:paraId="13749D1D" w14:textId="77777777" w:rsidR="00F65BCA" w:rsidRDefault="00F65BCA">
            <w:pPr>
              <w:pStyle w:val="TableParagraph"/>
              <w:spacing w:before="11"/>
              <w:rPr>
                <w:b/>
                <w:sz w:val="10"/>
              </w:rPr>
            </w:pPr>
          </w:p>
          <w:p w14:paraId="7BBC227F" w14:textId="77777777" w:rsidR="00F65BCA" w:rsidRDefault="00216117">
            <w:pPr>
              <w:pStyle w:val="TableParagraph"/>
              <w:spacing w:line="130" w:lineRule="exact"/>
              <w:ind w:left="599"/>
              <w:rPr>
                <w:sz w:val="13"/>
              </w:rPr>
            </w:pPr>
            <w:r>
              <w:rPr>
                <w:noProof/>
                <w:position w:val="-2"/>
                <w:sz w:val="13"/>
              </w:rPr>
              <w:drawing>
                <wp:inline distT="0" distB="0" distL="0" distR="0" wp14:anchorId="10BCFC2B" wp14:editId="3D22B84A">
                  <wp:extent cx="74476" cy="82581"/>
                  <wp:effectExtent l="0" t="0" r="0" b="0"/>
                  <wp:docPr id="2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single" w:sz="4" w:space="0" w:color="231F20"/>
              <w:right w:val="dashed" w:sz="4" w:space="0" w:color="231F20"/>
            </w:tcBorders>
          </w:tcPr>
          <w:p w14:paraId="7B844E7B" w14:textId="77777777" w:rsidR="00F65BCA" w:rsidRDefault="00F65BCA">
            <w:pPr>
              <w:pStyle w:val="TableParagraph"/>
              <w:spacing w:before="11"/>
              <w:rPr>
                <w:b/>
                <w:sz w:val="10"/>
              </w:rPr>
            </w:pPr>
          </w:p>
          <w:p w14:paraId="1DC3B7B3" w14:textId="77777777" w:rsidR="00F65BCA" w:rsidRDefault="00216117">
            <w:pPr>
              <w:pStyle w:val="TableParagraph"/>
              <w:spacing w:line="130" w:lineRule="exact"/>
              <w:ind w:left="769"/>
              <w:rPr>
                <w:sz w:val="13"/>
              </w:rPr>
            </w:pPr>
            <w:r>
              <w:rPr>
                <w:noProof/>
                <w:position w:val="-2"/>
                <w:sz w:val="13"/>
              </w:rPr>
              <w:drawing>
                <wp:inline distT="0" distB="0" distL="0" distR="0" wp14:anchorId="7804D156" wp14:editId="6BDFC401">
                  <wp:extent cx="74476" cy="82581"/>
                  <wp:effectExtent l="0" t="0" r="0" b="0"/>
                  <wp:docPr id="20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right w:val="dashed" w:sz="4" w:space="0" w:color="231F20"/>
            </w:tcBorders>
          </w:tcPr>
          <w:p w14:paraId="786B20F8" w14:textId="77777777" w:rsidR="00F65BCA" w:rsidRDefault="00F65BCA">
            <w:pPr>
              <w:pStyle w:val="TableParagraph"/>
              <w:spacing w:before="11"/>
              <w:rPr>
                <w:b/>
                <w:sz w:val="10"/>
              </w:rPr>
            </w:pPr>
          </w:p>
          <w:p w14:paraId="40DCCD38" w14:textId="77777777" w:rsidR="00F65BCA" w:rsidRDefault="00216117">
            <w:pPr>
              <w:pStyle w:val="TableParagraph"/>
              <w:spacing w:line="130" w:lineRule="exact"/>
              <w:ind w:left="769"/>
              <w:rPr>
                <w:sz w:val="13"/>
              </w:rPr>
            </w:pPr>
            <w:r>
              <w:rPr>
                <w:noProof/>
                <w:position w:val="-2"/>
                <w:sz w:val="13"/>
              </w:rPr>
              <w:drawing>
                <wp:inline distT="0" distB="0" distL="0" distR="0" wp14:anchorId="026F4CA2" wp14:editId="02DB967B">
                  <wp:extent cx="74476" cy="82581"/>
                  <wp:effectExtent l="0" t="0" r="0" b="0"/>
                  <wp:docPr id="2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right w:val="nil"/>
            </w:tcBorders>
          </w:tcPr>
          <w:p w14:paraId="71B9B262" w14:textId="77777777" w:rsidR="00F65BCA" w:rsidRDefault="00F65BCA">
            <w:pPr>
              <w:pStyle w:val="TableParagraph"/>
              <w:spacing w:before="11"/>
              <w:rPr>
                <w:b/>
                <w:sz w:val="10"/>
              </w:rPr>
            </w:pPr>
          </w:p>
          <w:p w14:paraId="7BFD6005" w14:textId="77777777" w:rsidR="00F65BCA" w:rsidRDefault="00216117">
            <w:pPr>
              <w:pStyle w:val="TableParagraph"/>
              <w:spacing w:line="130" w:lineRule="exact"/>
              <w:ind w:left="769"/>
              <w:rPr>
                <w:sz w:val="13"/>
              </w:rPr>
            </w:pPr>
            <w:r>
              <w:rPr>
                <w:noProof/>
                <w:position w:val="-2"/>
                <w:sz w:val="13"/>
              </w:rPr>
              <w:drawing>
                <wp:inline distT="0" distB="0" distL="0" distR="0" wp14:anchorId="3D28A5EF" wp14:editId="5B72839B">
                  <wp:extent cx="74489" cy="82581"/>
                  <wp:effectExtent l="0" t="0" r="0" b="0"/>
                  <wp:docPr id="21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6.png"/>
                          <pic:cNvPicPr/>
                        </pic:nvPicPr>
                        <pic:blipFill>
                          <a:blip r:embed="rId53" cstate="print"/>
                          <a:stretch>
                            <a:fillRect/>
                          </a:stretch>
                        </pic:blipFill>
                        <pic:spPr>
                          <a:xfrm>
                            <a:off x="0" y="0"/>
                            <a:ext cx="74489" cy="82581"/>
                          </a:xfrm>
                          <a:prstGeom prst="rect">
                            <a:avLst/>
                          </a:prstGeom>
                        </pic:spPr>
                      </pic:pic>
                    </a:graphicData>
                  </a:graphic>
                </wp:inline>
              </w:drawing>
            </w:r>
          </w:p>
        </w:tc>
      </w:tr>
    </w:tbl>
    <w:p w14:paraId="02993A5D" w14:textId="77777777" w:rsidR="00F65BCA" w:rsidRDefault="00216117">
      <w:pPr>
        <w:pStyle w:val="Zkladntext"/>
        <w:spacing w:before="99" w:line="278" w:lineRule="auto"/>
        <w:ind w:left="426"/>
      </w:pPr>
      <w:r>
        <w:rPr>
          <w:color w:val="231F20"/>
        </w:rPr>
        <w:t>* Při odtahu vozidla do nejbližšího autorizovaného/smluvního servisu Pojišťovny, maximálně však do uvedeného limitu km, nebo při nařízeném odtahu, nebude požadován doplatek v případě přečerpání celkového limitu pojistného plnění. Platí pouze v případě, nebudou-li čerpány jiné asistenční služby.</w:t>
      </w:r>
    </w:p>
    <w:p w14:paraId="4B60A11B" w14:textId="77777777" w:rsidR="00F65BCA" w:rsidRDefault="00F65BCA">
      <w:pPr>
        <w:pStyle w:val="Zkladntext"/>
        <w:spacing w:before="5"/>
        <w:rPr>
          <w:sz w:val="16"/>
        </w:rPr>
      </w:pPr>
    </w:p>
    <w:p w14:paraId="55115FCD" w14:textId="77777777" w:rsidR="00F65BCA" w:rsidRDefault="00216117">
      <w:pPr>
        <w:tabs>
          <w:tab w:val="left" w:pos="752"/>
          <w:tab w:val="left" w:pos="11198"/>
        </w:tabs>
        <w:spacing w:before="110"/>
        <w:ind w:left="426"/>
        <w:rPr>
          <w:b/>
          <w:sz w:val="24"/>
        </w:rPr>
      </w:pPr>
      <w:r>
        <w:rPr>
          <w:b/>
          <w:color w:val="FFFFFF"/>
          <w:sz w:val="24"/>
          <w:shd w:val="clear" w:color="auto" w:fill="808285"/>
        </w:rPr>
        <w:t xml:space="preserve"> </w:t>
      </w:r>
      <w:r>
        <w:rPr>
          <w:b/>
          <w:color w:val="FFFFFF"/>
          <w:sz w:val="24"/>
          <w:shd w:val="clear" w:color="auto" w:fill="808285"/>
        </w:rPr>
        <w:tab/>
        <w:t>ROZSAH A LIMITY ASISTENČNÍCH SLUŽEB PRO VOZIDLA NAD 3,5T V ČR A</w:t>
      </w:r>
      <w:r>
        <w:rPr>
          <w:b/>
          <w:color w:val="FFFFFF"/>
          <w:spacing w:val="12"/>
          <w:sz w:val="24"/>
          <w:shd w:val="clear" w:color="auto" w:fill="808285"/>
        </w:rPr>
        <w:t xml:space="preserve"> </w:t>
      </w:r>
      <w:r>
        <w:rPr>
          <w:b/>
          <w:color w:val="FFFFFF"/>
          <w:sz w:val="24"/>
          <w:shd w:val="clear" w:color="auto" w:fill="808285"/>
        </w:rPr>
        <w:t>ZAHRANIČÍ</w:t>
      </w:r>
      <w:r>
        <w:rPr>
          <w:b/>
          <w:color w:val="FFFFFF"/>
          <w:sz w:val="24"/>
          <w:shd w:val="clear" w:color="auto" w:fill="808285"/>
        </w:rPr>
        <w:tab/>
      </w:r>
    </w:p>
    <w:p w14:paraId="169527E6" w14:textId="77777777" w:rsidR="00F65BCA" w:rsidRDefault="00F65BCA">
      <w:pPr>
        <w:pStyle w:val="Zkladntext"/>
        <w:spacing w:before="6"/>
        <w:rPr>
          <w:b/>
          <w:sz w:val="13"/>
        </w:rPr>
      </w:pPr>
    </w:p>
    <w:tbl>
      <w:tblPr>
        <w:tblStyle w:val="TableNormal"/>
        <w:tblW w:w="0" w:type="auto"/>
        <w:tblInd w:w="43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308"/>
        <w:gridCol w:w="921"/>
        <w:gridCol w:w="1307"/>
        <w:gridCol w:w="1304"/>
        <w:gridCol w:w="1644"/>
        <w:gridCol w:w="1644"/>
        <w:gridCol w:w="1644"/>
      </w:tblGrid>
      <w:tr w:rsidR="00F65BCA" w14:paraId="49716877" w14:textId="77777777">
        <w:trPr>
          <w:trHeight w:val="268"/>
        </w:trPr>
        <w:tc>
          <w:tcPr>
            <w:tcW w:w="3229" w:type="dxa"/>
            <w:gridSpan w:val="2"/>
            <w:vMerge w:val="restart"/>
            <w:tcBorders>
              <w:left w:val="nil"/>
              <w:bottom w:val="single" w:sz="4" w:space="0" w:color="231F20"/>
              <w:right w:val="single" w:sz="4" w:space="0" w:color="231F20"/>
            </w:tcBorders>
          </w:tcPr>
          <w:p w14:paraId="73284FA9" w14:textId="77777777" w:rsidR="00F65BCA" w:rsidRDefault="00F65BCA">
            <w:pPr>
              <w:pStyle w:val="TableParagraph"/>
              <w:spacing w:before="2"/>
              <w:rPr>
                <w:b/>
                <w:sz w:val="15"/>
              </w:rPr>
            </w:pPr>
          </w:p>
          <w:p w14:paraId="6C84ED92" w14:textId="77777777" w:rsidR="00F65BCA" w:rsidRDefault="00216117">
            <w:pPr>
              <w:pStyle w:val="TableParagraph"/>
              <w:ind w:left="1008"/>
              <w:rPr>
                <w:sz w:val="15"/>
              </w:rPr>
            </w:pPr>
            <w:r>
              <w:rPr>
                <w:color w:val="231F20"/>
                <w:w w:val="105"/>
                <w:sz w:val="15"/>
              </w:rPr>
              <w:t>Asistenční služby</w:t>
            </w:r>
          </w:p>
        </w:tc>
        <w:tc>
          <w:tcPr>
            <w:tcW w:w="7543" w:type="dxa"/>
            <w:gridSpan w:val="5"/>
            <w:tcBorders>
              <w:left w:val="single" w:sz="4" w:space="0" w:color="231F20"/>
              <w:bottom w:val="single" w:sz="4" w:space="0" w:color="231F20"/>
              <w:right w:val="nil"/>
            </w:tcBorders>
          </w:tcPr>
          <w:p w14:paraId="429AD886" w14:textId="77777777" w:rsidR="00F65BCA" w:rsidRDefault="00216117">
            <w:pPr>
              <w:pStyle w:val="TableParagraph"/>
              <w:spacing w:before="47"/>
              <w:ind w:left="3101" w:right="3101"/>
              <w:jc w:val="center"/>
              <w:rPr>
                <w:sz w:val="15"/>
              </w:rPr>
            </w:pPr>
            <w:r>
              <w:rPr>
                <w:color w:val="231F20"/>
                <w:w w:val="105"/>
                <w:sz w:val="15"/>
              </w:rPr>
              <w:t>Varianta asistence</w:t>
            </w:r>
          </w:p>
        </w:tc>
      </w:tr>
      <w:tr w:rsidR="00F65BCA" w14:paraId="4C6C0DB2" w14:textId="77777777">
        <w:trPr>
          <w:trHeight w:val="245"/>
        </w:trPr>
        <w:tc>
          <w:tcPr>
            <w:tcW w:w="3229" w:type="dxa"/>
            <w:gridSpan w:val="2"/>
            <w:vMerge/>
            <w:tcBorders>
              <w:top w:val="nil"/>
              <w:left w:val="nil"/>
              <w:bottom w:val="single" w:sz="4" w:space="0" w:color="231F20"/>
              <w:right w:val="single" w:sz="4" w:space="0" w:color="231F20"/>
            </w:tcBorders>
          </w:tcPr>
          <w:p w14:paraId="1EC18AA1" w14:textId="77777777" w:rsidR="00F65BCA" w:rsidRDefault="00F65BCA">
            <w:pPr>
              <w:rPr>
                <w:sz w:val="2"/>
                <w:szCs w:val="2"/>
              </w:rPr>
            </w:pPr>
          </w:p>
        </w:tc>
        <w:tc>
          <w:tcPr>
            <w:tcW w:w="1307" w:type="dxa"/>
            <w:tcBorders>
              <w:top w:val="single" w:sz="4" w:space="0" w:color="231F20"/>
              <w:left w:val="single" w:sz="4" w:space="0" w:color="231F20"/>
              <w:bottom w:val="single" w:sz="4" w:space="0" w:color="231F20"/>
              <w:right w:val="single" w:sz="4" w:space="0" w:color="231F20"/>
            </w:tcBorders>
          </w:tcPr>
          <w:p w14:paraId="01EFFD76" w14:textId="77777777" w:rsidR="00F65BCA" w:rsidRDefault="00216117">
            <w:pPr>
              <w:pStyle w:val="TableParagraph"/>
              <w:spacing w:before="41"/>
              <w:ind w:left="1"/>
              <w:jc w:val="center"/>
              <w:rPr>
                <w:sz w:val="14"/>
              </w:rPr>
            </w:pPr>
            <w:r>
              <w:rPr>
                <w:color w:val="231F20"/>
                <w:w w:val="97"/>
                <w:sz w:val="14"/>
              </w:rPr>
              <w:t>S</w:t>
            </w:r>
          </w:p>
        </w:tc>
        <w:tc>
          <w:tcPr>
            <w:tcW w:w="1304" w:type="dxa"/>
            <w:tcBorders>
              <w:top w:val="single" w:sz="4" w:space="0" w:color="231F20"/>
              <w:left w:val="single" w:sz="4" w:space="0" w:color="231F20"/>
              <w:bottom w:val="single" w:sz="4" w:space="0" w:color="231F20"/>
              <w:right w:val="single" w:sz="4" w:space="0" w:color="231F20"/>
            </w:tcBorders>
          </w:tcPr>
          <w:p w14:paraId="6EDB4978" w14:textId="77777777" w:rsidR="00F65BCA" w:rsidRDefault="00216117">
            <w:pPr>
              <w:pStyle w:val="TableParagraph"/>
              <w:spacing w:before="41"/>
              <w:ind w:right="1"/>
              <w:jc w:val="center"/>
              <w:rPr>
                <w:sz w:val="14"/>
              </w:rPr>
            </w:pPr>
            <w:r>
              <w:rPr>
                <w:color w:val="231F20"/>
                <w:w w:val="106"/>
                <w:sz w:val="14"/>
              </w:rPr>
              <w:t>M</w:t>
            </w:r>
          </w:p>
        </w:tc>
        <w:tc>
          <w:tcPr>
            <w:tcW w:w="1644" w:type="dxa"/>
            <w:tcBorders>
              <w:top w:val="single" w:sz="4" w:space="0" w:color="231F20"/>
              <w:left w:val="single" w:sz="4" w:space="0" w:color="231F20"/>
              <w:bottom w:val="single" w:sz="4" w:space="0" w:color="231F20"/>
              <w:right w:val="dashed" w:sz="4" w:space="0" w:color="231F20"/>
            </w:tcBorders>
          </w:tcPr>
          <w:p w14:paraId="6D9E63E0" w14:textId="77777777" w:rsidR="00F65BCA" w:rsidRDefault="00216117">
            <w:pPr>
              <w:pStyle w:val="TableParagraph"/>
              <w:spacing w:before="41"/>
              <w:ind w:right="1"/>
              <w:jc w:val="center"/>
              <w:rPr>
                <w:sz w:val="14"/>
              </w:rPr>
            </w:pPr>
            <w:r>
              <w:rPr>
                <w:color w:val="231F20"/>
                <w:w w:val="103"/>
                <w:sz w:val="14"/>
              </w:rPr>
              <w:t>L</w:t>
            </w:r>
          </w:p>
        </w:tc>
        <w:tc>
          <w:tcPr>
            <w:tcW w:w="1644" w:type="dxa"/>
            <w:tcBorders>
              <w:top w:val="single" w:sz="4" w:space="0" w:color="231F20"/>
              <w:left w:val="dashed" w:sz="4" w:space="0" w:color="231F20"/>
              <w:bottom w:val="single" w:sz="4" w:space="0" w:color="231F20"/>
              <w:right w:val="dashed" w:sz="4" w:space="0" w:color="231F20"/>
            </w:tcBorders>
          </w:tcPr>
          <w:p w14:paraId="706A6CB4" w14:textId="77777777" w:rsidR="00F65BCA" w:rsidRDefault="00216117">
            <w:pPr>
              <w:pStyle w:val="TableParagraph"/>
              <w:spacing w:before="41"/>
              <w:ind w:left="70" w:right="70"/>
              <w:jc w:val="center"/>
              <w:rPr>
                <w:sz w:val="14"/>
              </w:rPr>
            </w:pPr>
            <w:r>
              <w:rPr>
                <w:color w:val="231F20"/>
                <w:sz w:val="14"/>
              </w:rPr>
              <w:t>XL</w:t>
            </w:r>
          </w:p>
        </w:tc>
        <w:tc>
          <w:tcPr>
            <w:tcW w:w="1644" w:type="dxa"/>
            <w:tcBorders>
              <w:top w:val="single" w:sz="4" w:space="0" w:color="231F20"/>
              <w:left w:val="dashed" w:sz="4" w:space="0" w:color="231F20"/>
              <w:bottom w:val="single" w:sz="4" w:space="0" w:color="231F20"/>
              <w:right w:val="nil"/>
            </w:tcBorders>
          </w:tcPr>
          <w:p w14:paraId="3DD9179F" w14:textId="77777777" w:rsidR="00F65BCA" w:rsidRDefault="00216117">
            <w:pPr>
              <w:pStyle w:val="TableParagraph"/>
              <w:spacing w:before="41"/>
              <w:ind w:left="108" w:right="111"/>
              <w:jc w:val="center"/>
              <w:rPr>
                <w:sz w:val="14"/>
              </w:rPr>
            </w:pPr>
            <w:r>
              <w:rPr>
                <w:color w:val="231F20"/>
                <w:w w:val="105"/>
                <w:sz w:val="14"/>
              </w:rPr>
              <w:t>Souprava</w:t>
            </w:r>
          </w:p>
        </w:tc>
      </w:tr>
      <w:tr w:rsidR="00F65BCA" w14:paraId="467A4833" w14:textId="77777777">
        <w:trPr>
          <w:trHeight w:val="240"/>
        </w:trPr>
        <w:tc>
          <w:tcPr>
            <w:tcW w:w="2308" w:type="dxa"/>
            <w:vMerge w:val="restart"/>
            <w:tcBorders>
              <w:top w:val="single" w:sz="4" w:space="0" w:color="231F20"/>
              <w:left w:val="nil"/>
              <w:right w:val="single" w:sz="4" w:space="0" w:color="231F20"/>
            </w:tcBorders>
          </w:tcPr>
          <w:p w14:paraId="685644D2" w14:textId="77777777" w:rsidR="00F65BCA" w:rsidRDefault="00F65BCA">
            <w:pPr>
              <w:pStyle w:val="TableParagraph"/>
              <w:spacing w:before="5"/>
              <w:rPr>
                <w:b/>
                <w:sz w:val="14"/>
              </w:rPr>
            </w:pPr>
          </w:p>
          <w:p w14:paraId="509B205A" w14:textId="77777777" w:rsidR="00F65BCA" w:rsidRDefault="00216117">
            <w:pPr>
              <w:pStyle w:val="TableParagraph"/>
              <w:ind w:left="158"/>
              <w:rPr>
                <w:sz w:val="14"/>
              </w:rPr>
            </w:pPr>
            <w:r>
              <w:rPr>
                <w:color w:val="231F20"/>
                <w:w w:val="105"/>
                <w:sz w:val="14"/>
              </w:rPr>
              <w:t>Celkový limit pojistného plnění</w:t>
            </w:r>
          </w:p>
        </w:tc>
        <w:tc>
          <w:tcPr>
            <w:tcW w:w="921" w:type="dxa"/>
            <w:tcBorders>
              <w:top w:val="single" w:sz="4" w:space="0" w:color="231F20"/>
              <w:left w:val="single" w:sz="4" w:space="0" w:color="231F20"/>
              <w:bottom w:val="single" w:sz="4" w:space="0" w:color="231F20"/>
              <w:right w:val="single" w:sz="4" w:space="0" w:color="231F20"/>
            </w:tcBorders>
          </w:tcPr>
          <w:p w14:paraId="6A350465" w14:textId="77777777" w:rsidR="00F65BCA" w:rsidRDefault="00216117">
            <w:pPr>
              <w:pStyle w:val="TableParagraph"/>
              <w:spacing w:before="41"/>
              <w:ind w:left="130" w:right="127"/>
              <w:jc w:val="center"/>
              <w:rPr>
                <w:sz w:val="14"/>
              </w:rPr>
            </w:pPr>
            <w:r>
              <w:rPr>
                <w:color w:val="231F20"/>
                <w:sz w:val="14"/>
              </w:rPr>
              <w:t>ČR</w:t>
            </w:r>
          </w:p>
        </w:tc>
        <w:tc>
          <w:tcPr>
            <w:tcW w:w="1307" w:type="dxa"/>
            <w:tcBorders>
              <w:top w:val="single" w:sz="4" w:space="0" w:color="231F20"/>
              <w:left w:val="single" w:sz="4" w:space="0" w:color="231F20"/>
              <w:bottom w:val="single" w:sz="4" w:space="0" w:color="231F20"/>
              <w:right w:val="single" w:sz="4" w:space="0" w:color="231F20"/>
            </w:tcBorders>
          </w:tcPr>
          <w:p w14:paraId="0EF67F85" w14:textId="77777777" w:rsidR="00F65BCA" w:rsidRDefault="00216117">
            <w:pPr>
              <w:pStyle w:val="TableParagraph"/>
              <w:spacing w:before="35"/>
              <w:ind w:left="291" w:right="289"/>
              <w:jc w:val="center"/>
              <w:rPr>
                <w:sz w:val="15"/>
              </w:rPr>
            </w:pPr>
            <w:r>
              <w:rPr>
                <w:color w:val="231F20"/>
                <w:sz w:val="15"/>
              </w:rPr>
              <w:t>5 000 Kč</w:t>
            </w:r>
          </w:p>
        </w:tc>
        <w:tc>
          <w:tcPr>
            <w:tcW w:w="1304" w:type="dxa"/>
            <w:tcBorders>
              <w:top w:val="single" w:sz="4" w:space="0" w:color="231F20"/>
              <w:left w:val="single" w:sz="4" w:space="0" w:color="231F20"/>
              <w:bottom w:val="single" w:sz="4" w:space="0" w:color="231F20"/>
              <w:right w:val="single" w:sz="4" w:space="0" w:color="231F20"/>
            </w:tcBorders>
          </w:tcPr>
          <w:p w14:paraId="2186C937" w14:textId="77777777" w:rsidR="00F65BCA" w:rsidRDefault="00216117">
            <w:pPr>
              <w:pStyle w:val="TableParagraph"/>
              <w:spacing w:before="35"/>
              <w:ind w:left="289" w:right="289"/>
              <w:jc w:val="center"/>
              <w:rPr>
                <w:sz w:val="15"/>
              </w:rPr>
            </w:pPr>
            <w:r>
              <w:rPr>
                <w:color w:val="231F20"/>
                <w:sz w:val="15"/>
              </w:rPr>
              <w:t>10 000 Kč</w:t>
            </w:r>
          </w:p>
        </w:tc>
        <w:tc>
          <w:tcPr>
            <w:tcW w:w="1644" w:type="dxa"/>
            <w:tcBorders>
              <w:top w:val="single" w:sz="4" w:space="0" w:color="231F20"/>
              <w:left w:val="single" w:sz="4" w:space="0" w:color="231F20"/>
              <w:bottom w:val="single" w:sz="4" w:space="0" w:color="231F20"/>
              <w:right w:val="dashed" w:sz="4" w:space="0" w:color="231F20"/>
            </w:tcBorders>
          </w:tcPr>
          <w:p w14:paraId="4AE209CA" w14:textId="77777777" w:rsidR="00F65BCA" w:rsidRDefault="00216117">
            <w:pPr>
              <w:pStyle w:val="TableParagraph"/>
              <w:spacing w:before="35"/>
              <w:ind w:left="70" w:right="70"/>
              <w:jc w:val="center"/>
              <w:rPr>
                <w:sz w:val="15"/>
              </w:rPr>
            </w:pPr>
            <w:r>
              <w:rPr>
                <w:color w:val="231F20"/>
                <w:sz w:val="15"/>
              </w:rPr>
              <w:t>50 000 Kč</w:t>
            </w:r>
          </w:p>
        </w:tc>
        <w:tc>
          <w:tcPr>
            <w:tcW w:w="1644" w:type="dxa"/>
            <w:tcBorders>
              <w:top w:val="single" w:sz="4" w:space="0" w:color="231F20"/>
              <w:left w:val="dashed" w:sz="4" w:space="0" w:color="231F20"/>
              <w:bottom w:val="single" w:sz="4" w:space="0" w:color="231F20"/>
              <w:right w:val="dashed" w:sz="4" w:space="0" w:color="231F20"/>
            </w:tcBorders>
          </w:tcPr>
          <w:p w14:paraId="5C9E56CF" w14:textId="77777777" w:rsidR="00F65BCA" w:rsidRDefault="00216117">
            <w:pPr>
              <w:pStyle w:val="TableParagraph"/>
              <w:spacing w:before="35"/>
              <w:ind w:left="70" w:right="70"/>
              <w:jc w:val="center"/>
              <w:rPr>
                <w:sz w:val="15"/>
              </w:rPr>
            </w:pPr>
            <w:r>
              <w:rPr>
                <w:color w:val="231F20"/>
                <w:w w:val="105"/>
                <w:sz w:val="15"/>
              </w:rPr>
              <w:t>bez limitu</w:t>
            </w:r>
          </w:p>
        </w:tc>
        <w:tc>
          <w:tcPr>
            <w:tcW w:w="1644" w:type="dxa"/>
            <w:tcBorders>
              <w:top w:val="single" w:sz="4" w:space="0" w:color="231F20"/>
              <w:left w:val="dashed" w:sz="4" w:space="0" w:color="231F20"/>
              <w:bottom w:val="single" w:sz="4" w:space="0" w:color="231F20"/>
              <w:right w:val="nil"/>
            </w:tcBorders>
          </w:tcPr>
          <w:p w14:paraId="41752787" w14:textId="77777777" w:rsidR="00F65BCA" w:rsidRDefault="00216117">
            <w:pPr>
              <w:pStyle w:val="TableParagraph"/>
              <w:spacing w:before="35"/>
              <w:ind w:left="108" w:right="111"/>
              <w:jc w:val="center"/>
              <w:rPr>
                <w:sz w:val="14"/>
              </w:rPr>
            </w:pPr>
            <w:r>
              <w:rPr>
                <w:color w:val="231F20"/>
                <w:w w:val="105"/>
                <w:sz w:val="15"/>
              </w:rPr>
              <w:t xml:space="preserve">150 000 Kč </w:t>
            </w:r>
            <w:r>
              <w:rPr>
                <w:color w:val="231F20"/>
                <w:w w:val="105"/>
                <w:sz w:val="14"/>
              </w:rPr>
              <w:t>/ vozidlo</w:t>
            </w:r>
          </w:p>
        </w:tc>
      </w:tr>
      <w:tr w:rsidR="00F65BCA" w14:paraId="0AAD451F" w14:textId="77777777">
        <w:trPr>
          <w:trHeight w:val="235"/>
        </w:trPr>
        <w:tc>
          <w:tcPr>
            <w:tcW w:w="2308" w:type="dxa"/>
            <w:vMerge/>
            <w:tcBorders>
              <w:top w:val="nil"/>
              <w:left w:val="nil"/>
              <w:right w:val="single" w:sz="4" w:space="0" w:color="231F20"/>
            </w:tcBorders>
          </w:tcPr>
          <w:p w14:paraId="5C30A46B" w14:textId="77777777" w:rsidR="00F65BCA" w:rsidRDefault="00F65BCA">
            <w:pPr>
              <w:rPr>
                <w:sz w:val="2"/>
                <w:szCs w:val="2"/>
              </w:rPr>
            </w:pPr>
          </w:p>
        </w:tc>
        <w:tc>
          <w:tcPr>
            <w:tcW w:w="921" w:type="dxa"/>
            <w:tcBorders>
              <w:top w:val="single" w:sz="4" w:space="0" w:color="231F20"/>
              <w:left w:val="single" w:sz="4" w:space="0" w:color="231F20"/>
              <w:right w:val="single" w:sz="4" w:space="0" w:color="231F20"/>
            </w:tcBorders>
          </w:tcPr>
          <w:p w14:paraId="5120792F" w14:textId="77777777" w:rsidR="00F65BCA" w:rsidRDefault="00216117">
            <w:pPr>
              <w:pStyle w:val="TableParagraph"/>
              <w:spacing w:before="33"/>
              <w:ind w:left="130" w:right="127"/>
              <w:jc w:val="center"/>
              <w:rPr>
                <w:sz w:val="14"/>
              </w:rPr>
            </w:pPr>
            <w:r>
              <w:rPr>
                <w:color w:val="231F20"/>
                <w:w w:val="105"/>
                <w:sz w:val="14"/>
              </w:rPr>
              <w:t>Zahraničí</w:t>
            </w:r>
          </w:p>
        </w:tc>
        <w:tc>
          <w:tcPr>
            <w:tcW w:w="1307" w:type="dxa"/>
            <w:tcBorders>
              <w:top w:val="single" w:sz="4" w:space="0" w:color="231F20"/>
              <w:left w:val="single" w:sz="4" w:space="0" w:color="231F20"/>
              <w:right w:val="single" w:sz="4" w:space="0" w:color="231F20"/>
            </w:tcBorders>
          </w:tcPr>
          <w:p w14:paraId="65D5D185" w14:textId="77777777" w:rsidR="00F65BCA" w:rsidRDefault="00216117">
            <w:pPr>
              <w:pStyle w:val="TableParagraph"/>
              <w:spacing w:before="28"/>
              <w:ind w:left="291" w:right="289"/>
              <w:jc w:val="center"/>
              <w:rPr>
                <w:sz w:val="15"/>
              </w:rPr>
            </w:pPr>
            <w:r>
              <w:rPr>
                <w:color w:val="231F20"/>
                <w:sz w:val="15"/>
              </w:rPr>
              <w:t>10 000 Kč</w:t>
            </w:r>
          </w:p>
        </w:tc>
        <w:tc>
          <w:tcPr>
            <w:tcW w:w="1304" w:type="dxa"/>
            <w:tcBorders>
              <w:top w:val="single" w:sz="4" w:space="0" w:color="231F20"/>
              <w:left w:val="single" w:sz="4" w:space="0" w:color="231F20"/>
              <w:right w:val="single" w:sz="4" w:space="0" w:color="231F20"/>
            </w:tcBorders>
          </w:tcPr>
          <w:p w14:paraId="56D3C62A" w14:textId="77777777" w:rsidR="00F65BCA" w:rsidRDefault="00216117">
            <w:pPr>
              <w:pStyle w:val="TableParagraph"/>
              <w:spacing w:before="28"/>
              <w:ind w:left="289" w:right="289"/>
              <w:jc w:val="center"/>
              <w:rPr>
                <w:sz w:val="15"/>
              </w:rPr>
            </w:pPr>
            <w:r>
              <w:rPr>
                <w:color w:val="231F20"/>
                <w:sz w:val="15"/>
              </w:rPr>
              <w:t>20 000 Kč</w:t>
            </w:r>
          </w:p>
        </w:tc>
        <w:tc>
          <w:tcPr>
            <w:tcW w:w="1644" w:type="dxa"/>
            <w:tcBorders>
              <w:top w:val="single" w:sz="4" w:space="0" w:color="231F20"/>
              <w:left w:val="single" w:sz="4" w:space="0" w:color="231F20"/>
              <w:right w:val="dashed" w:sz="4" w:space="0" w:color="231F20"/>
            </w:tcBorders>
          </w:tcPr>
          <w:p w14:paraId="156613D9" w14:textId="77777777" w:rsidR="00F65BCA" w:rsidRDefault="00216117">
            <w:pPr>
              <w:pStyle w:val="TableParagraph"/>
              <w:spacing w:before="28"/>
              <w:ind w:left="70" w:right="70"/>
              <w:jc w:val="center"/>
              <w:rPr>
                <w:sz w:val="15"/>
              </w:rPr>
            </w:pPr>
            <w:r>
              <w:rPr>
                <w:color w:val="231F20"/>
                <w:sz w:val="15"/>
              </w:rPr>
              <w:t>100 000 Kč</w:t>
            </w:r>
          </w:p>
        </w:tc>
        <w:tc>
          <w:tcPr>
            <w:tcW w:w="1644" w:type="dxa"/>
            <w:tcBorders>
              <w:top w:val="single" w:sz="4" w:space="0" w:color="231F20"/>
              <w:left w:val="dashed" w:sz="4" w:space="0" w:color="231F20"/>
              <w:right w:val="dashed" w:sz="4" w:space="0" w:color="231F20"/>
            </w:tcBorders>
          </w:tcPr>
          <w:p w14:paraId="08143677" w14:textId="77777777" w:rsidR="00F65BCA" w:rsidRDefault="00216117">
            <w:pPr>
              <w:pStyle w:val="TableParagraph"/>
              <w:spacing w:before="28"/>
              <w:ind w:left="70" w:right="70"/>
              <w:jc w:val="center"/>
              <w:rPr>
                <w:sz w:val="15"/>
              </w:rPr>
            </w:pPr>
            <w:r>
              <w:rPr>
                <w:color w:val="231F20"/>
                <w:w w:val="105"/>
                <w:sz w:val="15"/>
              </w:rPr>
              <w:t>bez limitu</w:t>
            </w:r>
          </w:p>
        </w:tc>
        <w:tc>
          <w:tcPr>
            <w:tcW w:w="1644" w:type="dxa"/>
            <w:tcBorders>
              <w:top w:val="single" w:sz="4" w:space="0" w:color="231F20"/>
              <w:left w:val="dashed" w:sz="4" w:space="0" w:color="231F20"/>
              <w:right w:val="nil"/>
            </w:tcBorders>
          </w:tcPr>
          <w:p w14:paraId="0A7A236A" w14:textId="77777777" w:rsidR="00F65BCA" w:rsidRDefault="00216117">
            <w:pPr>
              <w:pStyle w:val="TableParagraph"/>
              <w:spacing w:before="28"/>
              <w:ind w:left="108" w:right="111"/>
              <w:jc w:val="center"/>
              <w:rPr>
                <w:sz w:val="14"/>
              </w:rPr>
            </w:pPr>
            <w:r>
              <w:rPr>
                <w:color w:val="231F20"/>
                <w:w w:val="105"/>
                <w:sz w:val="15"/>
              </w:rPr>
              <w:t xml:space="preserve">300 000 Kč </w:t>
            </w:r>
            <w:r>
              <w:rPr>
                <w:color w:val="231F20"/>
                <w:w w:val="105"/>
                <w:sz w:val="14"/>
              </w:rPr>
              <w:t>/ vozidlo</w:t>
            </w:r>
          </w:p>
        </w:tc>
      </w:tr>
      <w:tr w:rsidR="00F65BCA" w14:paraId="457B5527" w14:textId="77777777">
        <w:trPr>
          <w:trHeight w:val="228"/>
        </w:trPr>
        <w:tc>
          <w:tcPr>
            <w:tcW w:w="3229" w:type="dxa"/>
            <w:gridSpan w:val="2"/>
            <w:tcBorders>
              <w:left w:val="nil"/>
              <w:bottom w:val="single" w:sz="4" w:space="0" w:color="231F20"/>
              <w:right w:val="single" w:sz="4" w:space="0" w:color="231F20"/>
            </w:tcBorders>
          </w:tcPr>
          <w:p w14:paraId="34415ECD" w14:textId="77777777" w:rsidR="00F65BCA" w:rsidRDefault="00216117">
            <w:pPr>
              <w:pStyle w:val="TableParagraph"/>
              <w:spacing w:before="33"/>
              <w:ind w:left="80"/>
              <w:rPr>
                <w:sz w:val="14"/>
              </w:rPr>
            </w:pPr>
            <w:r>
              <w:rPr>
                <w:color w:val="231F20"/>
                <w:sz w:val="14"/>
              </w:rPr>
              <w:t>příjezd a práce mechanika</w:t>
            </w:r>
          </w:p>
        </w:tc>
        <w:tc>
          <w:tcPr>
            <w:tcW w:w="1307" w:type="dxa"/>
            <w:tcBorders>
              <w:left w:val="single" w:sz="4" w:space="0" w:color="231F20"/>
              <w:bottom w:val="single" w:sz="4" w:space="0" w:color="231F20"/>
              <w:right w:val="single" w:sz="4" w:space="0" w:color="231F20"/>
            </w:tcBorders>
          </w:tcPr>
          <w:p w14:paraId="4ADE9C37" w14:textId="77777777" w:rsidR="00F65BCA" w:rsidRDefault="00216117">
            <w:pPr>
              <w:pStyle w:val="TableParagraph"/>
              <w:spacing w:before="33"/>
              <w:ind w:left="291" w:right="289"/>
              <w:jc w:val="center"/>
              <w:rPr>
                <w:sz w:val="14"/>
              </w:rPr>
            </w:pPr>
            <w:r>
              <w:rPr>
                <w:color w:val="231F20"/>
                <w:sz w:val="14"/>
              </w:rPr>
              <w:t>60 min</w:t>
            </w:r>
          </w:p>
        </w:tc>
        <w:tc>
          <w:tcPr>
            <w:tcW w:w="1304" w:type="dxa"/>
            <w:tcBorders>
              <w:left w:val="single" w:sz="4" w:space="0" w:color="231F20"/>
              <w:bottom w:val="single" w:sz="4" w:space="0" w:color="231F20"/>
              <w:right w:val="single" w:sz="4" w:space="0" w:color="231F20"/>
            </w:tcBorders>
          </w:tcPr>
          <w:p w14:paraId="591BB73B" w14:textId="77777777" w:rsidR="00F65BCA" w:rsidRDefault="00216117">
            <w:pPr>
              <w:pStyle w:val="TableParagraph"/>
              <w:spacing w:before="33"/>
              <w:ind w:left="289" w:right="289"/>
              <w:jc w:val="center"/>
              <w:rPr>
                <w:sz w:val="14"/>
              </w:rPr>
            </w:pPr>
            <w:r>
              <w:rPr>
                <w:color w:val="231F20"/>
                <w:sz w:val="14"/>
              </w:rPr>
              <w:t>120 min</w:t>
            </w:r>
          </w:p>
        </w:tc>
        <w:tc>
          <w:tcPr>
            <w:tcW w:w="1644" w:type="dxa"/>
            <w:tcBorders>
              <w:left w:val="single" w:sz="4" w:space="0" w:color="231F20"/>
              <w:bottom w:val="single" w:sz="4" w:space="0" w:color="231F20"/>
              <w:right w:val="dashed" w:sz="4" w:space="0" w:color="231F20"/>
            </w:tcBorders>
          </w:tcPr>
          <w:p w14:paraId="175136B1" w14:textId="77777777" w:rsidR="00F65BCA" w:rsidRDefault="00216117">
            <w:pPr>
              <w:pStyle w:val="TableParagraph"/>
              <w:spacing w:before="33"/>
              <w:ind w:left="70" w:right="70"/>
              <w:jc w:val="center"/>
              <w:rPr>
                <w:sz w:val="14"/>
              </w:rPr>
            </w:pPr>
            <w:r>
              <w:rPr>
                <w:color w:val="231F20"/>
                <w:sz w:val="14"/>
              </w:rPr>
              <w:t>180 min</w:t>
            </w:r>
          </w:p>
        </w:tc>
        <w:tc>
          <w:tcPr>
            <w:tcW w:w="1644" w:type="dxa"/>
            <w:tcBorders>
              <w:left w:val="dashed" w:sz="4" w:space="0" w:color="231F20"/>
              <w:bottom w:val="single" w:sz="4" w:space="0" w:color="231F20"/>
              <w:right w:val="dashed" w:sz="4" w:space="0" w:color="231F20"/>
            </w:tcBorders>
          </w:tcPr>
          <w:p w14:paraId="21ABD921" w14:textId="77777777" w:rsidR="00F65BCA" w:rsidRDefault="00216117">
            <w:pPr>
              <w:pStyle w:val="TableParagraph"/>
              <w:spacing w:before="33"/>
              <w:ind w:left="70" w:right="70"/>
              <w:jc w:val="center"/>
              <w:rPr>
                <w:sz w:val="14"/>
              </w:rPr>
            </w:pPr>
            <w:r>
              <w:rPr>
                <w:color w:val="231F20"/>
                <w:sz w:val="14"/>
              </w:rPr>
              <w:t>360 min</w:t>
            </w:r>
          </w:p>
        </w:tc>
        <w:tc>
          <w:tcPr>
            <w:tcW w:w="1644" w:type="dxa"/>
            <w:tcBorders>
              <w:left w:val="dashed" w:sz="4" w:space="0" w:color="231F20"/>
              <w:bottom w:val="single" w:sz="4" w:space="0" w:color="231F20"/>
              <w:right w:val="nil"/>
            </w:tcBorders>
          </w:tcPr>
          <w:p w14:paraId="58B57CA3" w14:textId="77777777" w:rsidR="00F65BCA" w:rsidRDefault="00216117">
            <w:pPr>
              <w:pStyle w:val="TableParagraph"/>
              <w:spacing w:before="33"/>
              <w:ind w:left="108" w:right="111"/>
              <w:jc w:val="center"/>
              <w:rPr>
                <w:sz w:val="14"/>
              </w:rPr>
            </w:pPr>
            <w:r>
              <w:rPr>
                <w:color w:val="231F20"/>
                <w:w w:val="105"/>
                <w:sz w:val="14"/>
              </w:rPr>
              <w:t>240 min / souprava</w:t>
            </w:r>
          </w:p>
        </w:tc>
      </w:tr>
      <w:tr w:rsidR="00F65BCA" w14:paraId="71CAE444" w14:textId="77777777">
        <w:trPr>
          <w:trHeight w:val="386"/>
        </w:trPr>
        <w:tc>
          <w:tcPr>
            <w:tcW w:w="3229" w:type="dxa"/>
            <w:gridSpan w:val="2"/>
            <w:tcBorders>
              <w:top w:val="single" w:sz="4" w:space="0" w:color="231F20"/>
              <w:left w:val="nil"/>
              <w:bottom w:val="single" w:sz="4" w:space="0" w:color="231F20"/>
              <w:right w:val="single" w:sz="4" w:space="0" w:color="231F20"/>
            </w:tcBorders>
          </w:tcPr>
          <w:p w14:paraId="277E8E23" w14:textId="77777777" w:rsidR="00F65BCA" w:rsidRDefault="00216117">
            <w:pPr>
              <w:pStyle w:val="TableParagraph"/>
              <w:spacing w:before="32"/>
              <w:ind w:left="80" w:right="368"/>
              <w:rPr>
                <w:sz w:val="14"/>
              </w:rPr>
            </w:pPr>
            <w:r>
              <w:rPr>
                <w:color w:val="231F20"/>
                <w:sz w:val="14"/>
              </w:rPr>
              <w:t>odtah vozidla do nejbližšího autorizovaného/ smluvního servisu</w:t>
            </w:r>
          </w:p>
        </w:tc>
        <w:tc>
          <w:tcPr>
            <w:tcW w:w="1307" w:type="dxa"/>
            <w:tcBorders>
              <w:top w:val="single" w:sz="4" w:space="0" w:color="231F20"/>
              <w:left w:val="single" w:sz="4" w:space="0" w:color="231F20"/>
              <w:bottom w:val="single" w:sz="4" w:space="0" w:color="231F20"/>
              <w:right w:val="single" w:sz="4" w:space="0" w:color="231F20"/>
            </w:tcBorders>
          </w:tcPr>
          <w:p w14:paraId="3D1FADCE" w14:textId="77777777" w:rsidR="00F65BCA" w:rsidRDefault="00216117">
            <w:pPr>
              <w:pStyle w:val="TableParagraph"/>
              <w:spacing w:before="112"/>
              <w:ind w:left="290" w:right="289"/>
              <w:jc w:val="center"/>
              <w:rPr>
                <w:sz w:val="14"/>
              </w:rPr>
            </w:pPr>
            <w:r>
              <w:rPr>
                <w:color w:val="231F20"/>
                <w:sz w:val="14"/>
              </w:rPr>
              <w:t>50 km *</w:t>
            </w:r>
          </w:p>
        </w:tc>
        <w:tc>
          <w:tcPr>
            <w:tcW w:w="1304" w:type="dxa"/>
            <w:tcBorders>
              <w:top w:val="single" w:sz="4" w:space="0" w:color="231F20"/>
              <w:left w:val="single" w:sz="4" w:space="0" w:color="231F20"/>
              <w:bottom w:val="single" w:sz="4" w:space="0" w:color="231F20"/>
              <w:right w:val="single" w:sz="4" w:space="0" w:color="231F20"/>
            </w:tcBorders>
          </w:tcPr>
          <w:p w14:paraId="035B908E" w14:textId="77777777" w:rsidR="00F65BCA" w:rsidRDefault="00216117">
            <w:pPr>
              <w:pStyle w:val="TableParagraph"/>
              <w:spacing w:before="112"/>
              <w:ind w:left="288" w:right="289"/>
              <w:jc w:val="center"/>
              <w:rPr>
                <w:sz w:val="14"/>
              </w:rPr>
            </w:pPr>
            <w:r>
              <w:rPr>
                <w:color w:val="231F20"/>
                <w:sz w:val="14"/>
              </w:rPr>
              <w:t>100 km *</w:t>
            </w:r>
          </w:p>
        </w:tc>
        <w:tc>
          <w:tcPr>
            <w:tcW w:w="1644" w:type="dxa"/>
            <w:tcBorders>
              <w:top w:val="single" w:sz="4" w:space="0" w:color="231F20"/>
              <w:left w:val="single" w:sz="4" w:space="0" w:color="231F20"/>
              <w:bottom w:val="single" w:sz="4" w:space="0" w:color="231F20"/>
              <w:right w:val="dashed" w:sz="4" w:space="0" w:color="231F20"/>
            </w:tcBorders>
          </w:tcPr>
          <w:p w14:paraId="6AC54D75" w14:textId="77777777" w:rsidR="00F65BCA" w:rsidRDefault="00F65BCA">
            <w:pPr>
              <w:pStyle w:val="TableParagraph"/>
              <w:spacing w:before="2"/>
              <w:rPr>
                <w:b/>
                <w:sz w:val="11"/>
              </w:rPr>
            </w:pPr>
          </w:p>
          <w:p w14:paraId="2E397259" w14:textId="77777777" w:rsidR="00F65BCA" w:rsidRDefault="00216117">
            <w:pPr>
              <w:pStyle w:val="TableParagraph"/>
              <w:spacing w:line="130" w:lineRule="exact"/>
              <w:ind w:left="758"/>
              <w:rPr>
                <w:sz w:val="13"/>
              </w:rPr>
            </w:pPr>
            <w:r>
              <w:rPr>
                <w:noProof/>
                <w:position w:val="-2"/>
                <w:sz w:val="13"/>
              </w:rPr>
              <w:drawing>
                <wp:inline distT="0" distB="0" distL="0" distR="0" wp14:anchorId="532FB5F0" wp14:editId="68638FDA">
                  <wp:extent cx="74476" cy="82581"/>
                  <wp:effectExtent l="0" t="0" r="0" b="0"/>
                  <wp:docPr id="21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6CE48916" w14:textId="77777777" w:rsidR="00F65BCA" w:rsidRDefault="00F65BCA">
            <w:pPr>
              <w:pStyle w:val="TableParagraph"/>
              <w:spacing w:before="2"/>
              <w:rPr>
                <w:b/>
                <w:sz w:val="11"/>
              </w:rPr>
            </w:pPr>
          </w:p>
          <w:p w14:paraId="166BF925" w14:textId="77777777" w:rsidR="00F65BCA" w:rsidRDefault="00216117">
            <w:pPr>
              <w:pStyle w:val="TableParagraph"/>
              <w:spacing w:line="130" w:lineRule="exact"/>
              <w:ind w:left="758"/>
              <w:rPr>
                <w:sz w:val="13"/>
              </w:rPr>
            </w:pPr>
            <w:r>
              <w:rPr>
                <w:noProof/>
                <w:position w:val="-2"/>
                <w:sz w:val="13"/>
              </w:rPr>
              <w:drawing>
                <wp:inline distT="0" distB="0" distL="0" distR="0" wp14:anchorId="4E928BF7" wp14:editId="6710608A">
                  <wp:extent cx="74476" cy="82581"/>
                  <wp:effectExtent l="0" t="0" r="0" b="0"/>
                  <wp:docPr id="2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4741C680" w14:textId="77777777" w:rsidR="00F65BCA" w:rsidRDefault="00F65BCA">
            <w:pPr>
              <w:pStyle w:val="TableParagraph"/>
              <w:spacing w:before="2"/>
              <w:rPr>
                <w:b/>
                <w:sz w:val="11"/>
              </w:rPr>
            </w:pPr>
          </w:p>
          <w:p w14:paraId="4168EFF8" w14:textId="77777777" w:rsidR="00F65BCA" w:rsidRDefault="00216117">
            <w:pPr>
              <w:pStyle w:val="TableParagraph"/>
              <w:spacing w:line="130" w:lineRule="exact"/>
              <w:ind w:left="758"/>
              <w:rPr>
                <w:sz w:val="13"/>
              </w:rPr>
            </w:pPr>
            <w:r>
              <w:rPr>
                <w:noProof/>
                <w:position w:val="-2"/>
                <w:sz w:val="13"/>
              </w:rPr>
              <w:drawing>
                <wp:inline distT="0" distB="0" distL="0" distR="0" wp14:anchorId="7A5477DA" wp14:editId="1586F1B7">
                  <wp:extent cx="74489" cy="82581"/>
                  <wp:effectExtent l="0" t="0" r="0" b="0"/>
                  <wp:docPr id="2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7.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4B7632F5" w14:textId="77777777">
        <w:trPr>
          <w:trHeight w:val="233"/>
        </w:trPr>
        <w:tc>
          <w:tcPr>
            <w:tcW w:w="3229" w:type="dxa"/>
            <w:gridSpan w:val="2"/>
            <w:tcBorders>
              <w:top w:val="single" w:sz="4" w:space="0" w:color="231F20"/>
              <w:left w:val="nil"/>
              <w:bottom w:val="single" w:sz="4" w:space="0" w:color="231F20"/>
              <w:right w:val="single" w:sz="4" w:space="0" w:color="231F20"/>
            </w:tcBorders>
          </w:tcPr>
          <w:p w14:paraId="0FA4097B" w14:textId="77777777" w:rsidR="00F65BCA" w:rsidRDefault="00216117">
            <w:pPr>
              <w:pStyle w:val="TableParagraph"/>
              <w:spacing w:before="35"/>
              <w:ind w:left="79"/>
              <w:rPr>
                <w:sz w:val="14"/>
              </w:rPr>
            </w:pPr>
            <w:r>
              <w:rPr>
                <w:color w:val="231F20"/>
                <w:sz w:val="14"/>
              </w:rPr>
              <w:t>odtah vozidla k nejbližší nabíjecí stanici</w:t>
            </w:r>
          </w:p>
        </w:tc>
        <w:tc>
          <w:tcPr>
            <w:tcW w:w="1307" w:type="dxa"/>
            <w:tcBorders>
              <w:top w:val="single" w:sz="4" w:space="0" w:color="231F20"/>
              <w:left w:val="single" w:sz="4" w:space="0" w:color="231F20"/>
              <w:bottom w:val="single" w:sz="4" w:space="0" w:color="231F20"/>
              <w:right w:val="single" w:sz="4" w:space="0" w:color="231F20"/>
            </w:tcBorders>
          </w:tcPr>
          <w:p w14:paraId="230C6211" w14:textId="77777777" w:rsidR="00F65BCA" w:rsidRDefault="00216117">
            <w:pPr>
              <w:pStyle w:val="TableParagraph"/>
              <w:spacing w:before="35"/>
              <w:ind w:left="291" w:right="289"/>
              <w:jc w:val="center"/>
              <w:rPr>
                <w:sz w:val="14"/>
              </w:rPr>
            </w:pPr>
            <w:r>
              <w:rPr>
                <w:color w:val="231F20"/>
                <w:sz w:val="14"/>
              </w:rPr>
              <w:t>50 km</w:t>
            </w:r>
          </w:p>
        </w:tc>
        <w:tc>
          <w:tcPr>
            <w:tcW w:w="1304" w:type="dxa"/>
            <w:tcBorders>
              <w:top w:val="single" w:sz="4" w:space="0" w:color="231F20"/>
              <w:left w:val="single" w:sz="4" w:space="0" w:color="231F20"/>
              <w:bottom w:val="single" w:sz="4" w:space="0" w:color="231F20"/>
              <w:right w:val="single" w:sz="4" w:space="0" w:color="231F20"/>
            </w:tcBorders>
          </w:tcPr>
          <w:p w14:paraId="2D1AEA5D" w14:textId="77777777" w:rsidR="00F65BCA" w:rsidRDefault="00216117">
            <w:pPr>
              <w:pStyle w:val="TableParagraph"/>
              <w:spacing w:before="35"/>
              <w:ind w:left="289" w:right="289"/>
              <w:jc w:val="center"/>
              <w:rPr>
                <w:sz w:val="14"/>
              </w:rPr>
            </w:pPr>
            <w:r>
              <w:rPr>
                <w:color w:val="231F20"/>
                <w:sz w:val="14"/>
              </w:rPr>
              <w:t>100 km</w:t>
            </w:r>
          </w:p>
        </w:tc>
        <w:tc>
          <w:tcPr>
            <w:tcW w:w="1644" w:type="dxa"/>
            <w:tcBorders>
              <w:top w:val="single" w:sz="4" w:space="0" w:color="231F20"/>
              <w:left w:val="single" w:sz="4" w:space="0" w:color="231F20"/>
              <w:bottom w:val="single" w:sz="4" w:space="0" w:color="231F20"/>
              <w:right w:val="dashed" w:sz="4" w:space="0" w:color="231F20"/>
            </w:tcBorders>
          </w:tcPr>
          <w:p w14:paraId="7C9DB07F" w14:textId="77777777" w:rsidR="00F65BCA" w:rsidRDefault="00F65BCA">
            <w:pPr>
              <w:pStyle w:val="TableParagraph"/>
              <w:spacing w:before="6"/>
              <w:rPr>
                <w:b/>
                <w:sz w:val="4"/>
              </w:rPr>
            </w:pPr>
          </w:p>
          <w:p w14:paraId="4888F99D" w14:textId="77777777" w:rsidR="00F65BCA" w:rsidRDefault="00216117">
            <w:pPr>
              <w:pStyle w:val="TableParagraph"/>
              <w:spacing w:line="130" w:lineRule="exact"/>
              <w:ind w:left="758"/>
              <w:rPr>
                <w:sz w:val="13"/>
              </w:rPr>
            </w:pPr>
            <w:r>
              <w:rPr>
                <w:noProof/>
                <w:position w:val="-2"/>
                <w:sz w:val="13"/>
              </w:rPr>
              <w:drawing>
                <wp:inline distT="0" distB="0" distL="0" distR="0" wp14:anchorId="74F3B558" wp14:editId="4480F631">
                  <wp:extent cx="74476" cy="82581"/>
                  <wp:effectExtent l="0" t="0" r="0" b="0"/>
                  <wp:docPr id="2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49DCD114" w14:textId="77777777" w:rsidR="00F65BCA" w:rsidRDefault="00F65BCA">
            <w:pPr>
              <w:pStyle w:val="TableParagraph"/>
              <w:spacing w:before="6"/>
              <w:rPr>
                <w:b/>
                <w:sz w:val="4"/>
              </w:rPr>
            </w:pPr>
          </w:p>
          <w:p w14:paraId="374DCC53" w14:textId="77777777" w:rsidR="00F65BCA" w:rsidRDefault="00216117">
            <w:pPr>
              <w:pStyle w:val="TableParagraph"/>
              <w:spacing w:line="130" w:lineRule="exact"/>
              <w:ind w:left="758"/>
              <w:rPr>
                <w:sz w:val="13"/>
              </w:rPr>
            </w:pPr>
            <w:r>
              <w:rPr>
                <w:noProof/>
                <w:position w:val="-2"/>
                <w:sz w:val="13"/>
              </w:rPr>
              <w:drawing>
                <wp:inline distT="0" distB="0" distL="0" distR="0" wp14:anchorId="22718E25" wp14:editId="7966DAD5">
                  <wp:extent cx="74476" cy="82581"/>
                  <wp:effectExtent l="0" t="0" r="0" b="0"/>
                  <wp:docPr id="2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3EA460BF" w14:textId="77777777" w:rsidR="00F65BCA" w:rsidRDefault="00F65BCA">
            <w:pPr>
              <w:pStyle w:val="TableParagraph"/>
              <w:spacing w:before="6"/>
              <w:rPr>
                <w:b/>
                <w:sz w:val="4"/>
              </w:rPr>
            </w:pPr>
          </w:p>
          <w:p w14:paraId="43205C00" w14:textId="77777777" w:rsidR="00F65BCA" w:rsidRDefault="00216117">
            <w:pPr>
              <w:pStyle w:val="TableParagraph"/>
              <w:spacing w:line="130" w:lineRule="exact"/>
              <w:ind w:left="758"/>
              <w:rPr>
                <w:sz w:val="13"/>
              </w:rPr>
            </w:pPr>
            <w:r>
              <w:rPr>
                <w:noProof/>
                <w:position w:val="-2"/>
                <w:sz w:val="13"/>
              </w:rPr>
              <w:drawing>
                <wp:inline distT="0" distB="0" distL="0" distR="0" wp14:anchorId="79E622D3" wp14:editId="0CD2E5D4">
                  <wp:extent cx="74489" cy="82581"/>
                  <wp:effectExtent l="0" t="0" r="0" b="0"/>
                  <wp:docPr id="2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7.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0143086D" w14:textId="77777777">
        <w:trPr>
          <w:trHeight w:val="233"/>
        </w:trPr>
        <w:tc>
          <w:tcPr>
            <w:tcW w:w="3229" w:type="dxa"/>
            <w:gridSpan w:val="2"/>
            <w:tcBorders>
              <w:top w:val="single" w:sz="4" w:space="0" w:color="231F20"/>
              <w:left w:val="nil"/>
              <w:bottom w:val="single" w:sz="4" w:space="0" w:color="231F20"/>
              <w:right w:val="single" w:sz="4" w:space="0" w:color="231F20"/>
            </w:tcBorders>
          </w:tcPr>
          <w:p w14:paraId="108DBB5F" w14:textId="77777777" w:rsidR="00F65BCA" w:rsidRDefault="00216117">
            <w:pPr>
              <w:pStyle w:val="TableParagraph"/>
              <w:spacing w:before="35"/>
              <w:ind w:left="79"/>
              <w:rPr>
                <w:sz w:val="14"/>
              </w:rPr>
            </w:pPr>
            <w:r>
              <w:rPr>
                <w:color w:val="231F20"/>
                <w:sz w:val="14"/>
              </w:rPr>
              <w:t>příjezd</w:t>
            </w:r>
            <w:r>
              <w:rPr>
                <w:color w:val="231F20"/>
                <w:spacing w:val="-15"/>
                <w:sz w:val="14"/>
              </w:rPr>
              <w:t xml:space="preserve"> </w:t>
            </w:r>
            <w:r>
              <w:rPr>
                <w:color w:val="231F20"/>
                <w:sz w:val="14"/>
              </w:rPr>
              <w:t>a</w:t>
            </w:r>
            <w:r>
              <w:rPr>
                <w:color w:val="231F20"/>
                <w:spacing w:val="-15"/>
                <w:sz w:val="14"/>
              </w:rPr>
              <w:t xml:space="preserve"> </w:t>
            </w:r>
            <w:r>
              <w:rPr>
                <w:color w:val="231F20"/>
                <w:sz w:val="14"/>
              </w:rPr>
              <w:t>práce</w:t>
            </w:r>
            <w:r>
              <w:rPr>
                <w:color w:val="231F20"/>
                <w:spacing w:val="-15"/>
                <w:sz w:val="14"/>
              </w:rPr>
              <w:t xml:space="preserve"> </w:t>
            </w:r>
            <w:r>
              <w:rPr>
                <w:color w:val="231F20"/>
                <w:sz w:val="14"/>
              </w:rPr>
              <w:t>technika</w:t>
            </w:r>
            <w:r>
              <w:rPr>
                <w:color w:val="231F20"/>
                <w:spacing w:val="-15"/>
                <w:sz w:val="14"/>
              </w:rPr>
              <w:t xml:space="preserve"> </w:t>
            </w:r>
            <w:r>
              <w:rPr>
                <w:color w:val="231F20"/>
                <w:sz w:val="14"/>
              </w:rPr>
              <w:t>za</w:t>
            </w:r>
            <w:r>
              <w:rPr>
                <w:color w:val="231F20"/>
                <w:spacing w:val="-15"/>
                <w:sz w:val="14"/>
              </w:rPr>
              <w:t xml:space="preserve"> </w:t>
            </w:r>
            <w:r>
              <w:rPr>
                <w:color w:val="231F20"/>
                <w:sz w:val="14"/>
              </w:rPr>
              <w:t>účelem</w:t>
            </w:r>
            <w:r>
              <w:rPr>
                <w:color w:val="231F20"/>
                <w:spacing w:val="-15"/>
                <w:sz w:val="14"/>
              </w:rPr>
              <w:t xml:space="preserve"> </w:t>
            </w:r>
            <w:r>
              <w:rPr>
                <w:color w:val="231F20"/>
                <w:sz w:val="14"/>
              </w:rPr>
              <w:t>opravy</w:t>
            </w:r>
            <w:r>
              <w:rPr>
                <w:color w:val="231F20"/>
                <w:spacing w:val="-15"/>
                <w:sz w:val="14"/>
              </w:rPr>
              <w:t xml:space="preserve"> </w:t>
            </w:r>
            <w:r>
              <w:rPr>
                <w:color w:val="231F20"/>
                <w:sz w:val="14"/>
              </w:rPr>
              <w:t>wallboxu</w:t>
            </w:r>
          </w:p>
        </w:tc>
        <w:tc>
          <w:tcPr>
            <w:tcW w:w="1307" w:type="dxa"/>
            <w:tcBorders>
              <w:top w:val="single" w:sz="4" w:space="0" w:color="231F20"/>
              <w:left w:val="single" w:sz="4" w:space="0" w:color="231F20"/>
              <w:bottom w:val="single" w:sz="4" w:space="0" w:color="231F20"/>
              <w:right w:val="single" w:sz="4" w:space="0" w:color="231F20"/>
            </w:tcBorders>
          </w:tcPr>
          <w:p w14:paraId="2859E13D" w14:textId="77777777" w:rsidR="00F65BCA" w:rsidRDefault="00216117">
            <w:pPr>
              <w:pStyle w:val="TableParagraph"/>
              <w:spacing w:before="35"/>
              <w:ind w:left="291" w:right="289"/>
              <w:jc w:val="center"/>
              <w:rPr>
                <w:sz w:val="14"/>
              </w:rPr>
            </w:pPr>
            <w:r>
              <w:rPr>
                <w:color w:val="231F20"/>
                <w:sz w:val="14"/>
              </w:rPr>
              <w:t>60 min</w:t>
            </w:r>
          </w:p>
        </w:tc>
        <w:tc>
          <w:tcPr>
            <w:tcW w:w="1304" w:type="dxa"/>
            <w:tcBorders>
              <w:top w:val="single" w:sz="4" w:space="0" w:color="231F20"/>
              <w:left w:val="single" w:sz="4" w:space="0" w:color="231F20"/>
              <w:bottom w:val="single" w:sz="4" w:space="0" w:color="231F20"/>
              <w:right w:val="single" w:sz="4" w:space="0" w:color="231F20"/>
            </w:tcBorders>
          </w:tcPr>
          <w:p w14:paraId="1B229DB4" w14:textId="77777777" w:rsidR="00F65BCA" w:rsidRDefault="00216117">
            <w:pPr>
              <w:pStyle w:val="TableParagraph"/>
              <w:spacing w:before="35"/>
              <w:ind w:left="289" w:right="289"/>
              <w:jc w:val="center"/>
              <w:rPr>
                <w:sz w:val="14"/>
              </w:rPr>
            </w:pPr>
            <w:r>
              <w:rPr>
                <w:color w:val="231F20"/>
                <w:sz w:val="14"/>
              </w:rPr>
              <w:t>120 min</w:t>
            </w:r>
          </w:p>
        </w:tc>
        <w:tc>
          <w:tcPr>
            <w:tcW w:w="1644" w:type="dxa"/>
            <w:tcBorders>
              <w:top w:val="single" w:sz="4" w:space="0" w:color="231F20"/>
              <w:left w:val="single" w:sz="4" w:space="0" w:color="231F20"/>
              <w:bottom w:val="single" w:sz="4" w:space="0" w:color="231F20"/>
              <w:right w:val="dashed" w:sz="4" w:space="0" w:color="231F20"/>
            </w:tcBorders>
          </w:tcPr>
          <w:p w14:paraId="1A08D33E" w14:textId="77777777" w:rsidR="00F65BCA" w:rsidRDefault="00216117">
            <w:pPr>
              <w:pStyle w:val="TableParagraph"/>
              <w:spacing w:before="35"/>
              <w:ind w:left="70" w:right="70"/>
              <w:jc w:val="center"/>
              <w:rPr>
                <w:sz w:val="14"/>
              </w:rPr>
            </w:pPr>
            <w:r>
              <w:rPr>
                <w:color w:val="231F20"/>
                <w:sz w:val="14"/>
              </w:rPr>
              <w:t>180 min</w:t>
            </w:r>
          </w:p>
        </w:tc>
        <w:tc>
          <w:tcPr>
            <w:tcW w:w="1644" w:type="dxa"/>
            <w:tcBorders>
              <w:top w:val="single" w:sz="4" w:space="0" w:color="231F20"/>
              <w:left w:val="dashed" w:sz="4" w:space="0" w:color="231F20"/>
              <w:bottom w:val="single" w:sz="4" w:space="0" w:color="231F20"/>
              <w:right w:val="dashed" w:sz="4" w:space="0" w:color="231F20"/>
            </w:tcBorders>
          </w:tcPr>
          <w:p w14:paraId="5F9CA49F" w14:textId="77777777" w:rsidR="00F65BCA" w:rsidRDefault="00216117">
            <w:pPr>
              <w:pStyle w:val="TableParagraph"/>
              <w:spacing w:before="35"/>
              <w:ind w:left="70" w:right="70"/>
              <w:jc w:val="center"/>
              <w:rPr>
                <w:sz w:val="14"/>
              </w:rPr>
            </w:pPr>
            <w:r>
              <w:rPr>
                <w:color w:val="231F20"/>
                <w:sz w:val="14"/>
              </w:rPr>
              <w:t>360 min</w:t>
            </w:r>
          </w:p>
        </w:tc>
        <w:tc>
          <w:tcPr>
            <w:tcW w:w="1644" w:type="dxa"/>
            <w:tcBorders>
              <w:top w:val="single" w:sz="4" w:space="0" w:color="231F20"/>
              <w:left w:val="dashed" w:sz="4" w:space="0" w:color="231F20"/>
              <w:bottom w:val="single" w:sz="4" w:space="0" w:color="231F20"/>
              <w:right w:val="nil"/>
            </w:tcBorders>
          </w:tcPr>
          <w:p w14:paraId="17646352" w14:textId="77777777" w:rsidR="00F65BCA" w:rsidRDefault="00216117">
            <w:pPr>
              <w:pStyle w:val="TableParagraph"/>
              <w:spacing w:before="35"/>
              <w:ind w:left="108" w:right="111"/>
              <w:jc w:val="center"/>
              <w:rPr>
                <w:sz w:val="14"/>
              </w:rPr>
            </w:pPr>
            <w:r>
              <w:rPr>
                <w:color w:val="231F20"/>
                <w:w w:val="105"/>
                <w:sz w:val="14"/>
              </w:rPr>
              <w:t>240 min / souprava</w:t>
            </w:r>
          </w:p>
        </w:tc>
      </w:tr>
      <w:tr w:rsidR="00F65BCA" w14:paraId="098F1343" w14:textId="77777777">
        <w:trPr>
          <w:trHeight w:val="386"/>
        </w:trPr>
        <w:tc>
          <w:tcPr>
            <w:tcW w:w="3229" w:type="dxa"/>
            <w:gridSpan w:val="2"/>
            <w:tcBorders>
              <w:top w:val="single" w:sz="4" w:space="0" w:color="231F20"/>
              <w:left w:val="nil"/>
              <w:bottom w:val="single" w:sz="4" w:space="0" w:color="231F20"/>
              <w:right w:val="single" w:sz="4" w:space="0" w:color="231F20"/>
            </w:tcBorders>
          </w:tcPr>
          <w:p w14:paraId="03A6E397" w14:textId="77777777" w:rsidR="00F65BCA" w:rsidRDefault="00216117">
            <w:pPr>
              <w:pStyle w:val="TableParagraph"/>
              <w:spacing w:before="32"/>
              <w:ind w:left="79" w:right="191"/>
              <w:rPr>
                <w:sz w:val="14"/>
              </w:rPr>
            </w:pPr>
            <w:r>
              <w:rPr>
                <w:color w:val="231F20"/>
                <w:sz w:val="14"/>
              </w:rPr>
              <w:t>odtah vozidla v ČR do místa určeného klientem (nelze opravit do 12 hodin)</w:t>
            </w:r>
          </w:p>
        </w:tc>
        <w:tc>
          <w:tcPr>
            <w:tcW w:w="1307" w:type="dxa"/>
            <w:tcBorders>
              <w:top w:val="single" w:sz="4" w:space="0" w:color="231F20"/>
              <w:left w:val="single" w:sz="4" w:space="0" w:color="231F20"/>
              <w:bottom w:val="single" w:sz="4" w:space="0" w:color="231F20"/>
              <w:right w:val="single" w:sz="4" w:space="0" w:color="231F20"/>
            </w:tcBorders>
          </w:tcPr>
          <w:p w14:paraId="3475CEDB" w14:textId="77777777" w:rsidR="00F65BCA" w:rsidRDefault="00F65BCA">
            <w:pPr>
              <w:pStyle w:val="TableParagraph"/>
              <w:rPr>
                <w:rFonts w:ascii="Times New Roman"/>
                <w:sz w:val="14"/>
              </w:rPr>
            </w:pPr>
          </w:p>
        </w:tc>
        <w:tc>
          <w:tcPr>
            <w:tcW w:w="1304" w:type="dxa"/>
            <w:tcBorders>
              <w:top w:val="single" w:sz="4" w:space="0" w:color="231F20"/>
              <w:left w:val="single" w:sz="4" w:space="0" w:color="231F20"/>
              <w:bottom w:val="single" w:sz="4" w:space="0" w:color="231F20"/>
              <w:right w:val="single" w:sz="4" w:space="0" w:color="231F20"/>
            </w:tcBorders>
          </w:tcPr>
          <w:p w14:paraId="268D72F9"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1B80729E" w14:textId="77777777" w:rsidR="00F65BCA" w:rsidRDefault="00F65BCA">
            <w:pPr>
              <w:pStyle w:val="TableParagraph"/>
              <w:spacing w:before="2"/>
              <w:rPr>
                <w:b/>
                <w:sz w:val="11"/>
              </w:rPr>
            </w:pPr>
          </w:p>
          <w:p w14:paraId="29B9E36A" w14:textId="77777777" w:rsidR="00F65BCA" w:rsidRDefault="00216117">
            <w:pPr>
              <w:pStyle w:val="TableParagraph"/>
              <w:spacing w:line="130" w:lineRule="exact"/>
              <w:ind w:left="758"/>
              <w:rPr>
                <w:sz w:val="13"/>
              </w:rPr>
            </w:pPr>
            <w:r>
              <w:rPr>
                <w:noProof/>
                <w:position w:val="-2"/>
                <w:sz w:val="13"/>
              </w:rPr>
              <w:drawing>
                <wp:inline distT="0" distB="0" distL="0" distR="0" wp14:anchorId="11C79C28" wp14:editId="31BE6F77">
                  <wp:extent cx="74476" cy="82581"/>
                  <wp:effectExtent l="0" t="0" r="0" b="0"/>
                  <wp:docPr id="2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5B562AB1" w14:textId="77777777" w:rsidR="00F65BCA" w:rsidRDefault="00F65BCA">
            <w:pPr>
              <w:pStyle w:val="TableParagraph"/>
              <w:spacing w:before="2"/>
              <w:rPr>
                <w:b/>
                <w:sz w:val="11"/>
              </w:rPr>
            </w:pPr>
          </w:p>
          <w:p w14:paraId="13B0ADF2" w14:textId="77777777" w:rsidR="00F65BCA" w:rsidRDefault="00216117">
            <w:pPr>
              <w:pStyle w:val="TableParagraph"/>
              <w:spacing w:line="130" w:lineRule="exact"/>
              <w:ind w:left="758"/>
              <w:rPr>
                <w:sz w:val="13"/>
              </w:rPr>
            </w:pPr>
            <w:r>
              <w:rPr>
                <w:noProof/>
                <w:position w:val="-2"/>
                <w:sz w:val="13"/>
              </w:rPr>
              <w:drawing>
                <wp:inline distT="0" distB="0" distL="0" distR="0" wp14:anchorId="71C70643" wp14:editId="7B4836F7">
                  <wp:extent cx="74476" cy="82581"/>
                  <wp:effectExtent l="0" t="0" r="0" b="0"/>
                  <wp:docPr id="2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7C0DCC6A" w14:textId="77777777" w:rsidR="00F65BCA" w:rsidRDefault="00F65BCA">
            <w:pPr>
              <w:pStyle w:val="TableParagraph"/>
              <w:spacing w:before="2"/>
              <w:rPr>
                <w:b/>
                <w:sz w:val="11"/>
              </w:rPr>
            </w:pPr>
          </w:p>
          <w:p w14:paraId="386804DB" w14:textId="77777777" w:rsidR="00F65BCA" w:rsidRDefault="00216117">
            <w:pPr>
              <w:pStyle w:val="TableParagraph"/>
              <w:spacing w:line="130" w:lineRule="exact"/>
              <w:ind w:left="758"/>
              <w:rPr>
                <w:sz w:val="13"/>
              </w:rPr>
            </w:pPr>
            <w:r>
              <w:rPr>
                <w:noProof/>
                <w:position w:val="-2"/>
                <w:sz w:val="13"/>
              </w:rPr>
              <w:drawing>
                <wp:inline distT="0" distB="0" distL="0" distR="0" wp14:anchorId="1C71A109" wp14:editId="4E3BA11F">
                  <wp:extent cx="74489" cy="82581"/>
                  <wp:effectExtent l="0" t="0" r="0" b="0"/>
                  <wp:docPr id="2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7.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57BAD8ED" w14:textId="77777777">
        <w:trPr>
          <w:trHeight w:val="386"/>
        </w:trPr>
        <w:tc>
          <w:tcPr>
            <w:tcW w:w="3229" w:type="dxa"/>
            <w:gridSpan w:val="2"/>
            <w:tcBorders>
              <w:top w:val="single" w:sz="4" w:space="0" w:color="231F20"/>
              <w:left w:val="nil"/>
              <w:bottom w:val="single" w:sz="4" w:space="0" w:color="231F20"/>
              <w:right w:val="single" w:sz="4" w:space="0" w:color="231F20"/>
            </w:tcBorders>
          </w:tcPr>
          <w:p w14:paraId="50E2B2AD" w14:textId="77777777" w:rsidR="00F65BCA" w:rsidRDefault="00216117">
            <w:pPr>
              <w:pStyle w:val="TableParagraph"/>
              <w:spacing w:before="32"/>
              <w:ind w:left="79" w:right="987"/>
              <w:rPr>
                <w:sz w:val="14"/>
              </w:rPr>
            </w:pPr>
            <w:r>
              <w:rPr>
                <w:color w:val="231F20"/>
                <w:w w:val="95"/>
                <w:sz w:val="14"/>
              </w:rPr>
              <w:t xml:space="preserve">repatriace vozidla ze zahraničí </w:t>
            </w:r>
            <w:r>
              <w:rPr>
                <w:color w:val="231F20"/>
                <w:sz w:val="14"/>
              </w:rPr>
              <w:t>(nelze opravit do 72 hodin)</w:t>
            </w:r>
          </w:p>
        </w:tc>
        <w:tc>
          <w:tcPr>
            <w:tcW w:w="1307" w:type="dxa"/>
            <w:tcBorders>
              <w:top w:val="single" w:sz="4" w:space="0" w:color="231F20"/>
              <w:left w:val="single" w:sz="4" w:space="0" w:color="231F20"/>
              <w:bottom w:val="single" w:sz="4" w:space="0" w:color="231F20"/>
              <w:right w:val="single" w:sz="4" w:space="0" w:color="231F20"/>
            </w:tcBorders>
          </w:tcPr>
          <w:p w14:paraId="23ED7FAD" w14:textId="77777777" w:rsidR="00F65BCA" w:rsidRDefault="00F65BCA">
            <w:pPr>
              <w:pStyle w:val="TableParagraph"/>
              <w:rPr>
                <w:rFonts w:ascii="Times New Roman"/>
                <w:sz w:val="14"/>
              </w:rPr>
            </w:pPr>
          </w:p>
        </w:tc>
        <w:tc>
          <w:tcPr>
            <w:tcW w:w="1304" w:type="dxa"/>
            <w:tcBorders>
              <w:top w:val="single" w:sz="4" w:space="0" w:color="231F20"/>
              <w:left w:val="single" w:sz="4" w:space="0" w:color="231F20"/>
              <w:bottom w:val="single" w:sz="4" w:space="0" w:color="231F20"/>
              <w:right w:val="single" w:sz="4" w:space="0" w:color="231F20"/>
            </w:tcBorders>
          </w:tcPr>
          <w:p w14:paraId="6947C7BE"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01C6B133" w14:textId="77777777" w:rsidR="00F65BCA" w:rsidRDefault="00F65BCA">
            <w:pPr>
              <w:pStyle w:val="TableParagraph"/>
              <w:spacing w:before="2"/>
              <w:rPr>
                <w:b/>
                <w:sz w:val="11"/>
              </w:rPr>
            </w:pPr>
          </w:p>
          <w:p w14:paraId="3E889797" w14:textId="77777777" w:rsidR="00F65BCA" w:rsidRDefault="00216117">
            <w:pPr>
              <w:pStyle w:val="TableParagraph"/>
              <w:spacing w:line="130" w:lineRule="exact"/>
              <w:ind w:left="758"/>
              <w:rPr>
                <w:sz w:val="13"/>
              </w:rPr>
            </w:pPr>
            <w:r>
              <w:rPr>
                <w:noProof/>
                <w:position w:val="-2"/>
                <w:sz w:val="13"/>
              </w:rPr>
              <w:drawing>
                <wp:inline distT="0" distB="0" distL="0" distR="0" wp14:anchorId="60A10DB5" wp14:editId="1D97C4BA">
                  <wp:extent cx="74476" cy="82581"/>
                  <wp:effectExtent l="0" t="0" r="0" b="0"/>
                  <wp:docPr id="2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192C6031" w14:textId="77777777" w:rsidR="00F65BCA" w:rsidRDefault="00F65BCA">
            <w:pPr>
              <w:pStyle w:val="TableParagraph"/>
              <w:spacing w:before="2"/>
              <w:rPr>
                <w:b/>
                <w:sz w:val="11"/>
              </w:rPr>
            </w:pPr>
          </w:p>
          <w:p w14:paraId="5672E43B" w14:textId="77777777" w:rsidR="00F65BCA" w:rsidRDefault="00216117">
            <w:pPr>
              <w:pStyle w:val="TableParagraph"/>
              <w:spacing w:line="130" w:lineRule="exact"/>
              <w:ind w:left="758"/>
              <w:rPr>
                <w:sz w:val="13"/>
              </w:rPr>
            </w:pPr>
            <w:r>
              <w:rPr>
                <w:noProof/>
                <w:position w:val="-2"/>
                <w:sz w:val="13"/>
              </w:rPr>
              <w:drawing>
                <wp:inline distT="0" distB="0" distL="0" distR="0" wp14:anchorId="6262E398" wp14:editId="06C217C3">
                  <wp:extent cx="74476" cy="82581"/>
                  <wp:effectExtent l="0" t="0" r="0" b="0"/>
                  <wp:docPr id="2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10AAA0A0" w14:textId="77777777" w:rsidR="00F65BCA" w:rsidRDefault="00F65BCA">
            <w:pPr>
              <w:pStyle w:val="TableParagraph"/>
              <w:spacing w:before="2"/>
              <w:rPr>
                <w:b/>
                <w:sz w:val="11"/>
              </w:rPr>
            </w:pPr>
          </w:p>
          <w:p w14:paraId="7CE0D0E5" w14:textId="77777777" w:rsidR="00F65BCA" w:rsidRDefault="00216117">
            <w:pPr>
              <w:pStyle w:val="TableParagraph"/>
              <w:spacing w:line="130" w:lineRule="exact"/>
              <w:ind w:left="758"/>
              <w:rPr>
                <w:sz w:val="13"/>
              </w:rPr>
            </w:pPr>
            <w:r>
              <w:rPr>
                <w:noProof/>
                <w:position w:val="-2"/>
                <w:sz w:val="13"/>
              </w:rPr>
              <w:drawing>
                <wp:inline distT="0" distB="0" distL="0" distR="0" wp14:anchorId="5F1649A3" wp14:editId="7513DC16">
                  <wp:extent cx="74489" cy="82581"/>
                  <wp:effectExtent l="0" t="0" r="0" b="0"/>
                  <wp:docPr id="23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7.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0EFDE4DF" w14:textId="77777777">
        <w:trPr>
          <w:trHeight w:val="233"/>
        </w:trPr>
        <w:tc>
          <w:tcPr>
            <w:tcW w:w="3229" w:type="dxa"/>
            <w:gridSpan w:val="2"/>
            <w:tcBorders>
              <w:top w:val="single" w:sz="4" w:space="0" w:color="231F20"/>
              <w:left w:val="nil"/>
              <w:bottom w:val="single" w:sz="4" w:space="0" w:color="231F20"/>
              <w:right w:val="single" w:sz="4" w:space="0" w:color="231F20"/>
            </w:tcBorders>
          </w:tcPr>
          <w:p w14:paraId="3620E021" w14:textId="77777777" w:rsidR="00F65BCA" w:rsidRDefault="00216117">
            <w:pPr>
              <w:pStyle w:val="TableParagraph"/>
              <w:spacing w:before="35"/>
              <w:ind w:left="79"/>
              <w:rPr>
                <w:sz w:val="14"/>
              </w:rPr>
            </w:pPr>
            <w:r>
              <w:rPr>
                <w:color w:val="231F20"/>
                <w:sz w:val="14"/>
              </w:rPr>
              <w:t>vyproštění vozidla speciální technikou</w:t>
            </w:r>
          </w:p>
        </w:tc>
        <w:tc>
          <w:tcPr>
            <w:tcW w:w="1307" w:type="dxa"/>
            <w:tcBorders>
              <w:top w:val="single" w:sz="4" w:space="0" w:color="231F20"/>
              <w:left w:val="single" w:sz="4" w:space="0" w:color="231F20"/>
              <w:bottom w:val="single" w:sz="4" w:space="0" w:color="231F20"/>
              <w:right w:val="single" w:sz="4" w:space="0" w:color="231F20"/>
            </w:tcBorders>
          </w:tcPr>
          <w:p w14:paraId="26431846" w14:textId="77777777" w:rsidR="00F65BCA" w:rsidRDefault="00F65BCA">
            <w:pPr>
              <w:pStyle w:val="TableParagraph"/>
              <w:rPr>
                <w:rFonts w:ascii="Times New Roman"/>
                <w:sz w:val="14"/>
              </w:rPr>
            </w:pPr>
          </w:p>
        </w:tc>
        <w:tc>
          <w:tcPr>
            <w:tcW w:w="1304" w:type="dxa"/>
            <w:tcBorders>
              <w:top w:val="single" w:sz="4" w:space="0" w:color="231F20"/>
              <w:left w:val="single" w:sz="4" w:space="0" w:color="231F20"/>
              <w:bottom w:val="single" w:sz="4" w:space="0" w:color="231F20"/>
              <w:right w:val="single" w:sz="4" w:space="0" w:color="231F20"/>
            </w:tcBorders>
          </w:tcPr>
          <w:p w14:paraId="7706F770"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614F84DD" w14:textId="77777777" w:rsidR="00F65BCA" w:rsidRDefault="00F65BCA">
            <w:pPr>
              <w:pStyle w:val="TableParagraph"/>
              <w:spacing w:before="7"/>
              <w:rPr>
                <w:b/>
                <w:sz w:val="7"/>
              </w:rPr>
            </w:pPr>
          </w:p>
          <w:p w14:paraId="42A8F1D2" w14:textId="77777777" w:rsidR="00F65BCA" w:rsidRDefault="00216117">
            <w:pPr>
              <w:pStyle w:val="TableParagraph"/>
              <w:spacing w:line="129" w:lineRule="exact"/>
              <w:ind w:left="758"/>
              <w:rPr>
                <w:sz w:val="12"/>
              </w:rPr>
            </w:pPr>
            <w:r>
              <w:rPr>
                <w:noProof/>
                <w:position w:val="-2"/>
                <w:sz w:val="12"/>
              </w:rPr>
              <w:drawing>
                <wp:inline distT="0" distB="0" distL="0" distR="0" wp14:anchorId="15EF2B16" wp14:editId="13549E79">
                  <wp:extent cx="74219" cy="82295"/>
                  <wp:effectExtent l="0" t="0" r="0" b="0"/>
                  <wp:docPr id="2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8.png"/>
                          <pic:cNvPicPr/>
                        </pic:nvPicPr>
                        <pic:blipFill>
                          <a:blip r:embed="rId54" cstate="print"/>
                          <a:stretch>
                            <a:fillRect/>
                          </a:stretch>
                        </pic:blipFill>
                        <pic:spPr>
                          <a:xfrm>
                            <a:off x="0" y="0"/>
                            <a:ext cx="74219" cy="82295"/>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6651CF77" w14:textId="77777777" w:rsidR="00F65BCA" w:rsidRDefault="00216117">
            <w:pPr>
              <w:pStyle w:val="TableParagraph"/>
              <w:spacing w:before="35"/>
              <w:ind w:left="70" w:right="70"/>
              <w:jc w:val="center"/>
              <w:rPr>
                <w:sz w:val="14"/>
              </w:rPr>
            </w:pPr>
            <w:r>
              <w:rPr>
                <w:color w:val="231F20"/>
                <w:sz w:val="14"/>
              </w:rPr>
              <w:t>500 000 Kč</w:t>
            </w:r>
          </w:p>
        </w:tc>
        <w:tc>
          <w:tcPr>
            <w:tcW w:w="1644" w:type="dxa"/>
            <w:tcBorders>
              <w:top w:val="single" w:sz="4" w:space="0" w:color="231F20"/>
              <w:left w:val="dashed" w:sz="4" w:space="0" w:color="231F20"/>
              <w:bottom w:val="single" w:sz="4" w:space="0" w:color="231F20"/>
              <w:right w:val="nil"/>
            </w:tcBorders>
          </w:tcPr>
          <w:p w14:paraId="6B9101B0" w14:textId="77777777" w:rsidR="00F65BCA" w:rsidRDefault="00F65BCA">
            <w:pPr>
              <w:pStyle w:val="TableParagraph"/>
              <w:spacing w:before="7"/>
              <w:rPr>
                <w:b/>
                <w:sz w:val="7"/>
              </w:rPr>
            </w:pPr>
          </w:p>
          <w:p w14:paraId="34FAA7A3" w14:textId="77777777" w:rsidR="00F65BCA" w:rsidRDefault="00216117">
            <w:pPr>
              <w:pStyle w:val="TableParagraph"/>
              <w:spacing w:line="129" w:lineRule="exact"/>
              <w:ind w:left="758"/>
              <w:rPr>
                <w:sz w:val="12"/>
              </w:rPr>
            </w:pPr>
            <w:r>
              <w:rPr>
                <w:noProof/>
                <w:position w:val="-2"/>
                <w:sz w:val="12"/>
              </w:rPr>
              <w:drawing>
                <wp:inline distT="0" distB="0" distL="0" distR="0" wp14:anchorId="30503344" wp14:editId="0FCB9119">
                  <wp:extent cx="74231" cy="82295"/>
                  <wp:effectExtent l="0" t="0" r="0" b="0"/>
                  <wp:docPr id="2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9.png"/>
                          <pic:cNvPicPr/>
                        </pic:nvPicPr>
                        <pic:blipFill>
                          <a:blip r:embed="rId52" cstate="print"/>
                          <a:stretch>
                            <a:fillRect/>
                          </a:stretch>
                        </pic:blipFill>
                        <pic:spPr>
                          <a:xfrm>
                            <a:off x="0" y="0"/>
                            <a:ext cx="74231" cy="82295"/>
                          </a:xfrm>
                          <a:prstGeom prst="rect">
                            <a:avLst/>
                          </a:prstGeom>
                        </pic:spPr>
                      </pic:pic>
                    </a:graphicData>
                  </a:graphic>
                </wp:inline>
              </w:drawing>
            </w:r>
          </w:p>
        </w:tc>
      </w:tr>
      <w:tr w:rsidR="00F65BCA" w14:paraId="175638D6" w14:textId="77777777">
        <w:trPr>
          <w:trHeight w:val="233"/>
        </w:trPr>
        <w:tc>
          <w:tcPr>
            <w:tcW w:w="3229" w:type="dxa"/>
            <w:gridSpan w:val="2"/>
            <w:tcBorders>
              <w:top w:val="single" w:sz="4" w:space="0" w:color="231F20"/>
              <w:left w:val="nil"/>
              <w:bottom w:val="single" w:sz="4" w:space="0" w:color="231F20"/>
              <w:right w:val="single" w:sz="4" w:space="0" w:color="231F20"/>
            </w:tcBorders>
          </w:tcPr>
          <w:p w14:paraId="3D41EB85" w14:textId="77777777" w:rsidR="00F65BCA" w:rsidRDefault="00216117">
            <w:pPr>
              <w:pStyle w:val="TableParagraph"/>
              <w:spacing w:before="35"/>
              <w:ind w:left="79"/>
              <w:rPr>
                <w:sz w:val="14"/>
              </w:rPr>
            </w:pPr>
            <w:r>
              <w:rPr>
                <w:color w:val="231F20"/>
                <w:sz w:val="14"/>
              </w:rPr>
              <w:t>nařízený odtah</w:t>
            </w:r>
          </w:p>
        </w:tc>
        <w:tc>
          <w:tcPr>
            <w:tcW w:w="1307" w:type="dxa"/>
            <w:tcBorders>
              <w:top w:val="single" w:sz="4" w:space="0" w:color="231F20"/>
              <w:left w:val="single" w:sz="4" w:space="0" w:color="231F20"/>
              <w:bottom w:val="single" w:sz="4" w:space="0" w:color="231F20"/>
              <w:right w:val="single" w:sz="4" w:space="0" w:color="231F20"/>
            </w:tcBorders>
          </w:tcPr>
          <w:p w14:paraId="24F5231C" w14:textId="77777777" w:rsidR="00F65BCA" w:rsidRDefault="00F65BCA">
            <w:pPr>
              <w:pStyle w:val="TableParagraph"/>
              <w:spacing w:before="7"/>
              <w:rPr>
                <w:b/>
                <w:sz w:val="7"/>
              </w:rPr>
            </w:pPr>
          </w:p>
          <w:p w14:paraId="6B50C22F" w14:textId="77777777" w:rsidR="00F65BCA" w:rsidRDefault="00216117">
            <w:pPr>
              <w:pStyle w:val="TableParagraph"/>
              <w:spacing w:line="130" w:lineRule="exact"/>
              <w:ind w:left="591"/>
              <w:rPr>
                <w:sz w:val="13"/>
              </w:rPr>
            </w:pPr>
            <w:r>
              <w:rPr>
                <w:noProof/>
                <w:position w:val="-2"/>
                <w:sz w:val="13"/>
              </w:rPr>
              <w:drawing>
                <wp:inline distT="0" distB="0" distL="0" distR="0" wp14:anchorId="0F8A13F2" wp14:editId="3F2BF6AB">
                  <wp:extent cx="74476" cy="82581"/>
                  <wp:effectExtent l="0" t="0" r="0" b="0"/>
                  <wp:docPr id="2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9.png"/>
                          <pic:cNvPicPr/>
                        </pic:nvPicPr>
                        <pic:blipFill>
                          <a:blip r:embed="rId47" cstate="print"/>
                          <a:stretch>
                            <a:fillRect/>
                          </a:stretch>
                        </pic:blipFill>
                        <pic:spPr>
                          <a:xfrm>
                            <a:off x="0" y="0"/>
                            <a:ext cx="74476" cy="82581"/>
                          </a:xfrm>
                          <a:prstGeom prst="rect">
                            <a:avLst/>
                          </a:prstGeom>
                        </pic:spPr>
                      </pic:pic>
                    </a:graphicData>
                  </a:graphic>
                </wp:inline>
              </w:drawing>
            </w:r>
          </w:p>
        </w:tc>
        <w:tc>
          <w:tcPr>
            <w:tcW w:w="1304" w:type="dxa"/>
            <w:tcBorders>
              <w:top w:val="single" w:sz="4" w:space="0" w:color="231F20"/>
              <w:left w:val="single" w:sz="4" w:space="0" w:color="231F20"/>
              <w:bottom w:val="single" w:sz="4" w:space="0" w:color="231F20"/>
              <w:right w:val="single" w:sz="4" w:space="0" w:color="231F20"/>
            </w:tcBorders>
          </w:tcPr>
          <w:p w14:paraId="14367D30" w14:textId="77777777" w:rsidR="00F65BCA" w:rsidRDefault="00F65BCA">
            <w:pPr>
              <w:pStyle w:val="TableParagraph"/>
              <w:spacing w:before="7"/>
              <w:rPr>
                <w:b/>
                <w:sz w:val="7"/>
              </w:rPr>
            </w:pPr>
          </w:p>
          <w:p w14:paraId="096D5483" w14:textId="77777777" w:rsidR="00F65BCA" w:rsidRDefault="00216117">
            <w:pPr>
              <w:pStyle w:val="TableParagraph"/>
              <w:spacing w:line="130" w:lineRule="exact"/>
              <w:ind w:left="588"/>
              <w:rPr>
                <w:sz w:val="13"/>
              </w:rPr>
            </w:pPr>
            <w:r>
              <w:rPr>
                <w:noProof/>
                <w:position w:val="-2"/>
                <w:sz w:val="13"/>
              </w:rPr>
              <w:drawing>
                <wp:inline distT="0" distB="0" distL="0" distR="0" wp14:anchorId="14A2CA1A" wp14:editId="443001F7">
                  <wp:extent cx="74476" cy="82581"/>
                  <wp:effectExtent l="0" t="0" r="0" b="0"/>
                  <wp:docPr id="2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single" w:sz="4" w:space="0" w:color="231F20"/>
              <w:bottom w:val="single" w:sz="4" w:space="0" w:color="231F20"/>
              <w:right w:val="dashed" w:sz="4" w:space="0" w:color="231F20"/>
            </w:tcBorders>
          </w:tcPr>
          <w:p w14:paraId="424FD04D" w14:textId="77777777" w:rsidR="00F65BCA" w:rsidRDefault="00F65BCA">
            <w:pPr>
              <w:pStyle w:val="TableParagraph"/>
              <w:spacing w:before="6"/>
              <w:rPr>
                <w:b/>
                <w:sz w:val="4"/>
              </w:rPr>
            </w:pPr>
          </w:p>
          <w:p w14:paraId="0AF6E1FB" w14:textId="77777777" w:rsidR="00F65BCA" w:rsidRDefault="00216117">
            <w:pPr>
              <w:pStyle w:val="TableParagraph"/>
              <w:spacing w:line="130" w:lineRule="exact"/>
              <w:ind w:left="758"/>
              <w:rPr>
                <w:sz w:val="13"/>
              </w:rPr>
            </w:pPr>
            <w:r>
              <w:rPr>
                <w:noProof/>
                <w:position w:val="-2"/>
                <w:sz w:val="13"/>
              </w:rPr>
              <w:drawing>
                <wp:inline distT="0" distB="0" distL="0" distR="0" wp14:anchorId="00C83541" wp14:editId="1BAFADE5">
                  <wp:extent cx="74476" cy="82581"/>
                  <wp:effectExtent l="0" t="0" r="0" b="0"/>
                  <wp:docPr id="2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3C482304" w14:textId="77777777" w:rsidR="00F65BCA" w:rsidRDefault="00F65BCA">
            <w:pPr>
              <w:pStyle w:val="TableParagraph"/>
              <w:spacing w:before="6"/>
              <w:rPr>
                <w:b/>
                <w:sz w:val="4"/>
              </w:rPr>
            </w:pPr>
          </w:p>
          <w:p w14:paraId="36741936" w14:textId="77777777" w:rsidR="00F65BCA" w:rsidRDefault="00216117">
            <w:pPr>
              <w:pStyle w:val="TableParagraph"/>
              <w:spacing w:line="130" w:lineRule="exact"/>
              <w:ind w:left="758"/>
              <w:rPr>
                <w:sz w:val="13"/>
              </w:rPr>
            </w:pPr>
            <w:r>
              <w:rPr>
                <w:noProof/>
                <w:position w:val="-2"/>
                <w:sz w:val="13"/>
              </w:rPr>
              <w:drawing>
                <wp:inline distT="0" distB="0" distL="0" distR="0" wp14:anchorId="3DAEF545" wp14:editId="7C043D8E">
                  <wp:extent cx="74476" cy="82581"/>
                  <wp:effectExtent l="0" t="0" r="0" b="0"/>
                  <wp:docPr id="2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1EF7EE68" w14:textId="77777777" w:rsidR="00F65BCA" w:rsidRDefault="00F65BCA">
            <w:pPr>
              <w:pStyle w:val="TableParagraph"/>
              <w:spacing w:before="6"/>
              <w:rPr>
                <w:b/>
                <w:sz w:val="4"/>
              </w:rPr>
            </w:pPr>
          </w:p>
          <w:p w14:paraId="2881D1B1" w14:textId="77777777" w:rsidR="00F65BCA" w:rsidRDefault="00216117">
            <w:pPr>
              <w:pStyle w:val="TableParagraph"/>
              <w:spacing w:line="130" w:lineRule="exact"/>
              <w:ind w:left="758"/>
              <w:rPr>
                <w:sz w:val="13"/>
              </w:rPr>
            </w:pPr>
            <w:r>
              <w:rPr>
                <w:noProof/>
                <w:position w:val="-2"/>
                <w:sz w:val="13"/>
              </w:rPr>
              <w:drawing>
                <wp:inline distT="0" distB="0" distL="0" distR="0" wp14:anchorId="49BA5EE1" wp14:editId="0DD6C5F8">
                  <wp:extent cx="74489" cy="82581"/>
                  <wp:effectExtent l="0" t="0" r="0" b="0"/>
                  <wp:docPr id="2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7.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463D6F12" w14:textId="77777777">
        <w:trPr>
          <w:trHeight w:val="233"/>
        </w:trPr>
        <w:tc>
          <w:tcPr>
            <w:tcW w:w="3229" w:type="dxa"/>
            <w:gridSpan w:val="2"/>
            <w:tcBorders>
              <w:top w:val="single" w:sz="4" w:space="0" w:color="231F20"/>
              <w:left w:val="nil"/>
              <w:bottom w:val="single" w:sz="4" w:space="0" w:color="231F20"/>
              <w:right w:val="single" w:sz="4" w:space="0" w:color="231F20"/>
            </w:tcBorders>
          </w:tcPr>
          <w:p w14:paraId="61CF32CC" w14:textId="77777777" w:rsidR="00F65BCA" w:rsidRDefault="00216117">
            <w:pPr>
              <w:pStyle w:val="TableParagraph"/>
              <w:spacing w:before="35"/>
              <w:ind w:left="79"/>
              <w:rPr>
                <w:sz w:val="14"/>
              </w:rPr>
            </w:pPr>
            <w:r>
              <w:rPr>
                <w:color w:val="231F20"/>
                <w:sz w:val="14"/>
              </w:rPr>
              <w:t>úschova nepojízdného vozidla</w:t>
            </w:r>
          </w:p>
        </w:tc>
        <w:tc>
          <w:tcPr>
            <w:tcW w:w="1307" w:type="dxa"/>
            <w:tcBorders>
              <w:top w:val="single" w:sz="4" w:space="0" w:color="231F20"/>
              <w:left w:val="single" w:sz="4" w:space="0" w:color="231F20"/>
              <w:bottom w:val="single" w:sz="4" w:space="0" w:color="231F20"/>
              <w:right w:val="single" w:sz="4" w:space="0" w:color="231F20"/>
            </w:tcBorders>
          </w:tcPr>
          <w:p w14:paraId="64DC99C5" w14:textId="77777777" w:rsidR="00F65BCA" w:rsidRDefault="00216117">
            <w:pPr>
              <w:pStyle w:val="TableParagraph"/>
              <w:spacing w:before="35"/>
              <w:ind w:left="291" w:right="289"/>
              <w:jc w:val="center"/>
              <w:rPr>
                <w:sz w:val="14"/>
              </w:rPr>
            </w:pPr>
            <w:r>
              <w:rPr>
                <w:color w:val="231F20"/>
                <w:sz w:val="14"/>
              </w:rPr>
              <w:t>3 dny</w:t>
            </w:r>
          </w:p>
        </w:tc>
        <w:tc>
          <w:tcPr>
            <w:tcW w:w="1304" w:type="dxa"/>
            <w:tcBorders>
              <w:top w:val="single" w:sz="4" w:space="0" w:color="231F20"/>
              <w:left w:val="single" w:sz="4" w:space="0" w:color="231F20"/>
              <w:bottom w:val="single" w:sz="4" w:space="0" w:color="231F20"/>
              <w:right w:val="single" w:sz="4" w:space="0" w:color="231F20"/>
            </w:tcBorders>
          </w:tcPr>
          <w:p w14:paraId="7E03F65A" w14:textId="77777777" w:rsidR="00F65BCA" w:rsidRDefault="00216117">
            <w:pPr>
              <w:pStyle w:val="TableParagraph"/>
              <w:spacing w:before="35"/>
              <w:ind w:left="289" w:right="289"/>
              <w:jc w:val="center"/>
              <w:rPr>
                <w:sz w:val="14"/>
              </w:rPr>
            </w:pPr>
            <w:r>
              <w:rPr>
                <w:color w:val="231F20"/>
                <w:sz w:val="14"/>
              </w:rPr>
              <w:t>5 dnů</w:t>
            </w:r>
          </w:p>
        </w:tc>
        <w:tc>
          <w:tcPr>
            <w:tcW w:w="1644" w:type="dxa"/>
            <w:tcBorders>
              <w:top w:val="single" w:sz="4" w:space="0" w:color="231F20"/>
              <w:left w:val="single" w:sz="4" w:space="0" w:color="231F20"/>
              <w:bottom w:val="single" w:sz="4" w:space="0" w:color="231F20"/>
              <w:right w:val="dashed" w:sz="4" w:space="0" w:color="231F20"/>
            </w:tcBorders>
          </w:tcPr>
          <w:p w14:paraId="790EC816" w14:textId="77777777" w:rsidR="00F65BCA" w:rsidRDefault="00216117">
            <w:pPr>
              <w:pStyle w:val="TableParagraph"/>
              <w:spacing w:before="35"/>
              <w:ind w:left="70" w:right="70"/>
              <w:jc w:val="center"/>
              <w:rPr>
                <w:sz w:val="14"/>
              </w:rPr>
            </w:pPr>
            <w:r>
              <w:rPr>
                <w:color w:val="231F20"/>
                <w:sz w:val="14"/>
              </w:rPr>
              <w:t>10 dnů</w:t>
            </w:r>
          </w:p>
        </w:tc>
        <w:tc>
          <w:tcPr>
            <w:tcW w:w="1644" w:type="dxa"/>
            <w:tcBorders>
              <w:top w:val="single" w:sz="4" w:space="0" w:color="231F20"/>
              <w:left w:val="dashed" w:sz="4" w:space="0" w:color="231F20"/>
              <w:bottom w:val="single" w:sz="4" w:space="0" w:color="231F20"/>
              <w:right w:val="dashed" w:sz="4" w:space="0" w:color="231F20"/>
            </w:tcBorders>
          </w:tcPr>
          <w:p w14:paraId="471EFBB0" w14:textId="77777777" w:rsidR="00F65BCA" w:rsidRDefault="00216117">
            <w:pPr>
              <w:pStyle w:val="TableParagraph"/>
              <w:spacing w:before="35"/>
              <w:ind w:left="70" w:right="70"/>
              <w:jc w:val="center"/>
              <w:rPr>
                <w:sz w:val="14"/>
              </w:rPr>
            </w:pPr>
            <w:r>
              <w:rPr>
                <w:color w:val="231F20"/>
                <w:sz w:val="14"/>
              </w:rPr>
              <w:t>20 dnů</w:t>
            </w:r>
          </w:p>
        </w:tc>
        <w:tc>
          <w:tcPr>
            <w:tcW w:w="1644" w:type="dxa"/>
            <w:tcBorders>
              <w:top w:val="single" w:sz="4" w:space="0" w:color="231F20"/>
              <w:left w:val="dashed" w:sz="4" w:space="0" w:color="231F20"/>
              <w:bottom w:val="single" w:sz="4" w:space="0" w:color="231F20"/>
              <w:right w:val="nil"/>
            </w:tcBorders>
          </w:tcPr>
          <w:p w14:paraId="0AAA66FB" w14:textId="77777777" w:rsidR="00F65BCA" w:rsidRDefault="00216117">
            <w:pPr>
              <w:pStyle w:val="TableParagraph"/>
              <w:spacing w:before="35"/>
              <w:ind w:left="108" w:right="111"/>
              <w:jc w:val="center"/>
              <w:rPr>
                <w:sz w:val="14"/>
              </w:rPr>
            </w:pPr>
            <w:r>
              <w:rPr>
                <w:color w:val="231F20"/>
                <w:sz w:val="14"/>
              </w:rPr>
              <w:t>15 dnů / vozidla</w:t>
            </w:r>
          </w:p>
        </w:tc>
      </w:tr>
      <w:tr w:rsidR="00F65BCA" w14:paraId="09BB3351" w14:textId="77777777">
        <w:trPr>
          <w:trHeight w:val="386"/>
        </w:trPr>
        <w:tc>
          <w:tcPr>
            <w:tcW w:w="3229" w:type="dxa"/>
            <w:gridSpan w:val="2"/>
            <w:tcBorders>
              <w:top w:val="single" w:sz="4" w:space="0" w:color="231F20"/>
              <w:left w:val="nil"/>
              <w:bottom w:val="single" w:sz="4" w:space="0" w:color="231F20"/>
              <w:right w:val="single" w:sz="4" w:space="0" w:color="231F20"/>
            </w:tcBorders>
          </w:tcPr>
          <w:p w14:paraId="3DDACEBF" w14:textId="77777777" w:rsidR="00F65BCA" w:rsidRDefault="00216117">
            <w:pPr>
              <w:pStyle w:val="TableParagraph"/>
              <w:spacing w:before="32"/>
              <w:ind w:left="79" w:right="221"/>
              <w:rPr>
                <w:sz w:val="14"/>
              </w:rPr>
            </w:pPr>
            <w:r>
              <w:rPr>
                <w:color w:val="231F20"/>
                <w:sz w:val="14"/>
              </w:rPr>
              <w:t>odtah pojízdného přípojného vozidla do 750 kg v ČR spolu s tažným vozidlem</w:t>
            </w:r>
          </w:p>
        </w:tc>
        <w:tc>
          <w:tcPr>
            <w:tcW w:w="1307" w:type="dxa"/>
            <w:tcBorders>
              <w:top w:val="single" w:sz="4" w:space="0" w:color="231F20"/>
              <w:left w:val="single" w:sz="4" w:space="0" w:color="231F20"/>
              <w:bottom w:val="single" w:sz="4" w:space="0" w:color="231F20"/>
              <w:right w:val="single" w:sz="4" w:space="0" w:color="231F20"/>
            </w:tcBorders>
          </w:tcPr>
          <w:p w14:paraId="0E3A3AA0" w14:textId="77777777" w:rsidR="00F65BCA" w:rsidRDefault="00F65BCA">
            <w:pPr>
              <w:pStyle w:val="TableParagraph"/>
              <w:rPr>
                <w:rFonts w:ascii="Times New Roman"/>
                <w:sz w:val="14"/>
              </w:rPr>
            </w:pPr>
          </w:p>
        </w:tc>
        <w:tc>
          <w:tcPr>
            <w:tcW w:w="1304" w:type="dxa"/>
            <w:tcBorders>
              <w:top w:val="single" w:sz="4" w:space="0" w:color="231F20"/>
              <w:left w:val="single" w:sz="4" w:space="0" w:color="231F20"/>
              <w:bottom w:val="single" w:sz="4" w:space="0" w:color="231F20"/>
              <w:right w:val="single" w:sz="4" w:space="0" w:color="231F20"/>
            </w:tcBorders>
          </w:tcPr>
          <w:p w14:paraId="6AE7B94E"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56BCD37B" w14:textId="77777777" w:rsidR="00F65BCA" w:rsidRDefault="00F65BCA">
            <w:pPr>
              <w:pStyle w:val="TableParagraph"/>
              <w:spacing w:before="2"/>
              <w:rPr>
                <w:b/>
                <w:sz w:val="11"/>
              </w:rPr>
            </w:pPr>
          </w:p>
          <w:p w14:paraId="2509F020" w14:textId="77777777" w:rsidR="00F65BCA" w:rsidRDefault="00216117">
            <w:pPr>
              <w:pStyle w:val="TableParagraph"/>
              <w:spacing w:line="129" w:lineRule="exact"/>
              <w:ind w:left="758"/>
              <w:rPr>
                <w:sz w:val="12"/>
              </w:rPr>
            </w:pPr>
            <w:r>
              <w:rPr>
                <w:noProof/>
                <w:position w:val="-2"/>
                <w:sz w:val="12"/>
              </w:rPr>
              <w:drawing>
                <wp:inline distT="0" distB="0" distL="0" distR="0" wp14:anchorId="0375619C" wp14:editId="492E5F16">
                  <wp:extent cx="74219" cy="82295"/>
                  <wp:effectExtent l="0" t="0" r="0" b="0"/>
                  <wp:docPr id="2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8.png"/>
                          <pic:cNvPicPr/>
                        </pic:nvPicPr>
                        <pic:blipFill>
                          <a:blip r:embed="rId54" cstate="print"/>
                          <a:stretch>
                            <a:fillRect/>
                          </a:stretch>
                        </pic:blipFill>
                        <pic:spPr>
                          <a:xfrm>
                            <a:off x="0" y="0"/>
                            <a:ext cx="74219" cy="82295"/>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094DB852" w14:textId="77777777" w:rsidR="00F65BCA" w:rsidRDefault="00F65BCA">
            <w:pPr>
              <w:pStyle w:val="TableParagraph"/>
              <w:spacing w:before="2"/>
              <w:rPr>
                <w:b/>
                <w:sz w:val="11"/>
              </w:rPr>
            </w:pPr>
          </w:p>
          <w:p w14:paraId="05A4DA37" w14:textId="77777777" w:rsidR="00F65BCA" w:rsidRDefault="00216117">
            <w:pPr>
              <w:pStyle w:val="TableParagraph"/>
              <w:spacing w:line="129" w:lineRule="exact"/>
              <w:ind w:left="758"/>
              <w:rPr>
                <w:sz w:val="12"/>
              </w:rPr>
            </w:pPr>
            <w:r>
              <w:rPr>
                <w:noProof/>
                <w:position w:val="-2"/>
                <w:sz w:val="12"/>
              </w:rPr>
              <w:drawing>
                <wp:inline distT="0" distB="0" distL="0" distR="0" wp14:anchorId="1302986D" wp14:editId="659E415F">
                  <wp:extent cx="74219" cy="82295"/>
                  <wp:effectExtent l="0" t="0" r="0" b="0"/>
                  <wp:docPr id="2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8.png"/>
                          <pic:cNvPicPr/>
                        </pic:nvPicPr>
                        <pic:blipFill>
                          <a:blip r:embed="rId54" cstate="print"/>
                          <a:stretch>
                            <a:fillRect/>
                          </a:stretch>
                        </pic:blipFill>
                        <pic:spPr>
                          <a:xfrm>
                            <a:off x="0" y="0"/>
                            <a:ext cx="74219" cy="82295"/>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20541AD7" w14:textId="77777777" w:rsidR="00F65BCA" w:rsidRDefault="00F65BCA">
            <w:pPr>
              <w:pStyle w:val="TableParagraph"/>
              <w:spacing w:before="2"/>
              <w:rPr>
                <w:b/>
                <w:sz w:val="11"/>
              </w:rPr>
            </w:pPr>
          </w:p>
          <w:p w14:paraId="5596800C" w14:textId="77777777" w:rsidR="00F65BCA" w:rsidRDefault="00216117">
            <w:pPr>
              <w:pStyle w:val="TableParagraph"/>
              <w:spacing w:line="129" w:lineRule="exact"/>
              <w:ind w:left="758"/>
              <w:rPr>
                <w:sz w:val="12"/>
              </w:rPr>
            </w:pPr>
            <w:r>
              <w:rPr>
                <w:noProof/>
                <w:position w:val="-2"/>
                <w:sz w:val="12"/>
              </w:rPr>
              <w:drawing>
                <wp:inline distT="0" distB="0" distL="0" distR="0" wp14:anchorId="033EC710" wp14:editId="1A67535B">
                  <wp:extent cx="74231" cy="82295"/>
                  <wp:effectExtent l="0" t="0" r="0" b="0"/>
                  <wp:docPr id="25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0.png"/>
                          <pic:cNvPicPr/>
                        </pic:nvPicPr>
                        <pic:blipFill>
                          <a:blip r:embed="rId55" cstate="print"/>
                          <a:stretch>
                            <a:fillRect/>
                          </a:stretch>
                        </pic:blipFill>
                        <pic:spPr>
                          <a:xfrm>
                            <a:off x="0" y="0"/>
                            <a:ext cx="74231" cy="82295"/>
                          </a:xfrm>
                          <a:prstGeom prst="rect">
                            <a:avLst/>
                          </a:prstGeom>
                        </pic:spPr>
                      </pic:pic>
                    </a:graphicData>
                  </a:graphic>
                </wp:inline>
              </w:drawing>
            </w:r>
          </w:p>
        </w:tc>
      </w:tr>
      <w:tr w:rsidR="00F65BCA" w14:paraId="35E00AED" w14:textId="77777777">
        <w:trPr>
          <w:trHeight w:val="233"/>
        </w:trPr>
        <w:tc>
          <w:tcPr>
            <w:tcW w:w="3229" w:type="dxa"/>
            <w:gridSpan w:val="2"/>
            <w:tcBorders>
              <w:top w:val="single" w:sz="4" w:space="0" w:color="231F20"/>
              <w:left w:val="nil"/>
              <w:bottom w:val="single" w:sz="4" w:space="0" w:color="231F20"/>
              <w:right w:val="single" w:sz="4" w:space="0" w:color="231F20"/>
            </w:tcBorders>
          </w:tcPr>
          <w:p w14:paraId="6DAC4D91" w14:textId="77777777" w:rsidR="00F65BCA" w:rsidRDefault="00216117">
            <w:pPr>
              <w:pStyle w:val="TableParagraph"/>
              <w:spacing w:before="35"/>
              <w:ind w:left="79"/>
              <w:rPr>
                <w:sz w:val="14"/>
              </w:rPr>
            </w:pPr>
            <w:r>
              <w:rPr>
                <w:color w:val="231F20"/>
                <w:sz w:val="14"/>
              </w:rPr>
              <w:t>odtah</w:t>
            </w:r>
            <w:r>
              <w:rPr>
                <w:color w:val="231F20"/>
                <w:spacing w:val="-17"/>
                <w:sz w:val="14"/>
              </w:rPr>
              <w:t xml:space="preserve"> </w:t>
            </w:r>
            <w:r>
              <w:rPr>
                <w:color w:val="231F20"/>
                <w:sz w:val="14"/>
              </w:rPr>
              <w:t>pojízdného</w:t>
            </w:r>
            <w:r>
              <w:rPr>
                <w:color w:val="231F20"/>
                <w:spacing w:val="-17"/>
                <w:sz w:val="14"/>
              </w:rPr>
              <w:t xml:space="preserve"> </w:t>
            </w:r>
            <w:r>
              <w:rPr>
                <w:color w:val="231F20"/>
                <w:sz w:val="14"/>
              </w:rPr>
              <w:t>nepojištěného</w:t>
            </w:r>
            <w:r>
              <w:rPr>
                <w:color w:val="231F20"/>
                <w:spacing w:val="-17"/>
                <w:sz w:val="14"/>
              </w:rPr>
              <w:t xml:space="preserve"> </w:t>
            </w:r>
            <w:r>
              <w:rPr>
                <w:color w:val="231F20"/>
                <w:sz w:val="14"/>
              </w:rPr>
              <w:t>přípojného</w:t>
            </w:r>
            <w:r>
              <w:rPr>
                <w:color w:val="231F20"/>
                <w:spacing w:val="-17"/>
                <w:sz w:val="14"/>
              </w:rPr>
              <w:t xml:space="preserve"> </w:t>
            </w:r>
            <w:r>
              <w:rPr>
                <w:color w:val="231F20"/>
                <w:sz w:val="14"/>
              </w:rPr>
              <w:t>vozidla</w:t>
            </w:r>
          </w:p>
        </w:tc>
        <w:tc>
          <w:tcPr>
            <w:tcW w:w="1307" w:type="dxa"/>
            <w:tcBorders>
              <w:top w:val="single" w:sz="4" w:space="0" w:color="231F20"/>
              <w:left w:val="single" w:sz="4" w:space="0" w:color="231F20"/>
              <w:bottom w:val="single" w:sz="4" w:space="0" w:color="231F20"/>
              <w:right w:val="single" w:sz="4" w:space="0" w:color="231F20"/>
            </w:tcBorders>
          </w:tcPr>
          <w:p w14:paraId="062894C9" w14:textId="77777777" w:rsidR="00F65BCA" w:rsidRDefault="00F65BCA">
            <w:pPr>
              <w:pStyle w:val="TableParagraph"/>
              <w:rPr>
                <w:rFonts w:ascii="Times New Roman"/>
                <w:sz w:val="14"/>
              </w:rPr>
            </w:pPr>
          </w:p>
        </w:tc>
        <w:tc>
          <w:tcPr>
            <w:tcW w:w="1304" w:type="dxa"/>
            <w:tcBorders>
              <w:top w:val="single" w:sz="4" w:space="0" w:color="231F20"/>
              <w:left w:val="single" w:sz="4" w:space="0" w:color="231F20"/>
              <w:bottom w:val="single" w:sz="4" w:space="0" w:color="231F20"/>
              <w:right w:val="single" w:sz="4" w:space="0" w:color="231F20"/>
            </w:tcBorders>
          </w:tcPr>
          <w:p w14:paraId="5DE0A614"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0E503CEA" w14:textId="77777777" w:rsidR="00F65BCA" w:rsidRDefault="00F65BCA">
            <w:pPr>
              <w:pStyle w:val="TableParagraph"/>
              <w:spacing w:before="6"/>
              <w:rPr>
                <w:b/>
                <w:sz w:val="4"/>
              </w:rPr>
            </w:pPr>
          </w:p>
          <w:p w14:paraId="373D82D9" w14:textId="77777777" w:rsidR="00F65BCA" w:rsidRDefault="00216117">
            <w:pPr>
              <w:pStyle w:val="TableParagraph"/>
              <w:spacing w:line="130" w:lineRule="exact"/>
              <w:ind w:left="758"/>
              <w:rPr>
                <w:sz w:val="13"/>
              </w:rPr>
            </w:pPr>
            <w:r>
              <w:rPr>
                <w:noProof/>
                <w:position w:val="-2"/>
                <w:sz w:val="13"/>
              </w:rPr>
              <w:drawing>
                <wp:inline distT="0" distB="0" distL="0" distR="0" wp14:anchorId="08F599CA" wp14:editId="511988B0">
                  <wp:extent cx="74476" cy="82581"/>
                  <wp:effectExtent l="0" t="0" r="0" b="0"/>
                  <wp:docPr id="2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4DD18E41" w14:textId="77777777" w:rsidR="00F65BCA" w:rsidRDefault="00F65BCA">
            <w:pPr>
              <w:pStyle w:val="TableParagraph"/>
              <w:spacing w:before="6"/>
              <w:rPr>
                <w:b/>
                <w:sz w:val="4"/>
              </w:rPr>
            </w:pPr>
          </w:p>
          <w:p w14:paraId="7B4B4221" w14:textId="77777777" w:rsidR="00F65BCA" w:rsidRDefault="00216117">
            <w:pPr>
              <w:pStyle w:val="TableParagraph"/>
              <w:spacing w:line="130" w:lineRule="exact"/>
              <w:ind w:left="758"/>
              <w:rPr>
                <w:sz w:val="13"/>
              </w:rPr>
            </w:pPr>
            <w:r>
              <w:rPr>
                <w:noProof/>
                <w:position w:val="-2"/>
                <w:sz w:val="13"/>
              </w:rPr>
              <w:drawing>
                <wp:inline distT="0" distB="0" distL="0" distR="0" wp14:anchorId="5B9DAB84" wp14:editId="4AC9D027">
                  <wp:extent cx="74476" cy="82581"/>
                  <wp:effectExtent l="0" t="0" r="0" b="0"/>
                  <wp:docPr id="2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1134E91F" w14:textId="77777777" w:rsidR="00F65BCA" w:rsidRDefault="00F65BCA">
            <w:pPr>
              <w:pStyle w:val="TableParagraph"/>
              <w:rPr>
                <w:rFonts w:ascii="Times New Roman"/>
                <w:sz w:val="14"/>
              </w:rPr>
            </w:pPr>
          </w:p>
        </w:tc>
      </w:tr>
      <w:tr w:rsidR="00F65BCA" w14:paraId="29850ABF" w14:textId="77777777">
        <w:trPr>
          <w:trHeight w:val="233"/>
        </w:trPr>
        <w:tc>
          <w:tcPr>
            <w:tcW w:w="3229" w:type="dxa"/>
            <w:gridSpan w:val="2"/>
            <w:tcBorders>
              <w:top w:val="single" w:sz="4" w:space="0" w:color="231F20"/>
              <w:left w:val="nil"/>
              <w:bottom w:val="single" w:sz="4" w:space="0" w:color="231F20"/>
              <w:right w:val="single" w:sz="4" w:space="0" w:color="231F20"/>
            </w:tcBorders>
          </w:tcPr>
          <w:p w14:paraId="6F0FF691" w14:textId="77777777" w:rsidR="00F65BCA" w:rsidRDefault="00216117">
            <w:pPr>
              <w:pStyle w:val="TableParagraph"/>
              <w:spacing w:before="35"/>
              <w:ind w:left="79"/>
              <w:rPr>
                <w:sz w:val="14"/>
              </w:rPr>
            </w:pPr>
            <w:r>
              <w:rPr>
                <w:color w:val="231F20"/>
                <w:sz w:val="14"/>
              </w:rPr>
              <w:t>náhradní vozidlo</w:t>
            </w:r>
          </w:p>
        </w:tc>
        <w:tc>
          <w:tcPr>
            <w:tcW w:w="1307" w:type="dxa"/>
            <w:tcBorders>
              <w:top w:val="single" w:sz="4" w:space="0" w:color="231F20"/>
              <w:left w:val="single" w:sz="4" w:space="0" w:color="231F20"/>
              <w:bottom w:val="single" w:sz="4" w:space="0" w:color="231F20"/>
              <w:right w:val="single" w:sz="4" w:space="0" w:color="231F20"/>
            </w:tcBorders>
          </w:tcPr>
          <w:p w14:paraId="52731C06" w14:textId="77777777" w:rsidR="00F65BCA" w:rsidRDefault="00F65BCA">
            <w:pPr>
              <w:pStyle w:val="TableParagraph"/>
              <w:rPr>
                <w:rFonts w:ascii="Times New Roman"/>
                <w:sz w:val="14"/>
              </w:rPr>
            </w:pPr>
          </w:p>
        </w:tc>
        <w:tc>
          <w:tcPr>
            <w:tcW w:w="1304" w:type="dxa"/>
            <w:tcBorders>
              <w:top w:val="single" w:sz="4" w:space="0" w:color="231F20"/>
              <w:left w:val="single" w:sz="4" w:space="0" w:color="231F20"/>
              <w:bottom w:val="single" w:sz="4" w:space="0" w:color="231F20"/>
              <w:right w:val="single" w:sz="4" w:space="0" w:color="231F20"/>
            </w:tcBorders>
          </w:tcPr>
          <w:p w14:paraId="2506FC0E"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180071D1" w14:textId="77777777" w:rsidR="00F65BCA" w:rsidRDefault="00216117">
            <w:pPr>
              <w:pStyle w:val="TableParagraph"/>
              <w:spacing w:before="35"/>
              <w:ind w:left="70" w:right="70"/>
              <w:jc w:val="center"/>
              <w:rPr>
                <w:sz w:val="14"/>
              </w:rPr>
            </w:pPr>
            <w:r>
              <w:rPr>
                <w:color w:val="231F20"/>
                <w:sz w:val="14"/>
              </w:rPr>
              <w:t>5 dnů</w:t>
            </w:r>
          </w:p>
        </w:tc>
        <w:tc>
          <w:tcPr>
            <w:tcW w:w="1644" w:type="dxa"/>
            <w:tcBorders>
              <w:top w:val="single" w:sz="4" w:space="0" w:color="231F20"/>
              <w:left w:val="dashed" w:sz="4" w:space="0" w:color="231F20"/>
              <w:bottom w:val="single" w:sz="4" w:space="0" w:color="231F20"/>
              <w:right w:val="dashed" w:sz="4" w:space="0" w:color="231F20"/>
            </w:tcBorders>
          </w:tcPr>
          <w:p w14:paraId="641B1266" w14:textId="77777777" w:rsidR="00F65BCA" w:rsidRDefault="00216117">
            <w:pPr>
              <w:pStyle w:val="TableParagraph"/>
              <w:spacing w:before="35"/>
              <w:ind w:left="70" w:right="70"/>
              <w:jc w:val="center"/>
              <w:rPr>
                <w:sz w:val="14"/>
              </w:rPr>
            </w:pPr>
            <w:r>
              <w:rPr>
                <w:color w:val="231F20"/>
                <w:sz w:val="14"/>
              </w:rPr>
              <w:t>10 dnů</w:t>
            </w:r>
          </w:p>
        </w:tc>
        <w:tc>
          <w:tcPr>
            <w:tcW w:w="1644" w:type="dxa"/>
            <w:tcBorders>
              <w:top w:val="single" w:sz="4" w:space="0" w:color="231F20"/>
              <w:left w:val="dashed" w:sz="4" w:space="0" w:color="231F20"/>
              <w:bottom w:val="single" w:sz="4" w:space="0" w:color="231F20"/>
              <w:right w:val="nil"/>
            </w:tcBorders>
          </w:tcPr>
          <w:p w14:paraId="7D9DCB16" w14:textId="77777777" w:rsidR="00F65BCA" w:rsidRDefault="00216117">
            <w:pPr>
              <w:pStyle w:val="TableParagraph"/>
              <w:spacing w:before="35"/>
              <w:ind w:left="108" w:right="111"/>
              <w:jc w:val="center"/>
              <w:rPr>
                <w:sz w:val="14"/>
              </w:rPr>
            </w:pPr>
            <w:r>
              <w:rPr>
                <w:color w:val="231F20"/>
                <w:sz w:val="14"/>
              </w:rPr>
              <w:t>5 dnů / vozidla</w:t>
            </w:r>
          </w:p>
        </w:tc>
      </w:tr>
      <w:tr w:rsidR="00F65BCA" w14:paraId="3D0F5511" w14:textId="77777777">
        <w:trPr>
          <w:trHeight w:val="233"/>
        </w:trPr>
        <w:tc>
          <w:tcPr>
            <w:tcW w:w="3229" w:type="dxa"/>
            <w:gridSpan w:val="2"/>
            <w:tcBorders>
              <w:top w:val="single" w:sz="4" w:space="0" w:color="231F20"/>
              <w:left w:val="nil"/>
              <w:bottom w:val="single" w:sz="4" w:space="0" w:color="231F20"/>
              <w:right w:val="single" w:sz="4" w:space="0" w:color="231F20"/>
            </w:tcBorders>
          </w:tcPr>
          <w:p w14:paraId="6FFA0FAF" w14:textId="77777777" w:rsidR="00F65BCA" w:rsidRDefault="00216117">
            <w:pPr>
              <w:pStyle w:val="TableParagraph"/>
              <w:spacing w:before="35"/>
              <w:ind w:left="79"/>
              <w:rPr>
                <w:sz w:val="14"/>
              </w:rPr>
            </w:pPr>
            <w:r>
              <w:rPr>
                <w:color w:val="231F20"/>
                <w:sz w:val="14"/>
              </w:rPr>
              <w:t>náhradní přeprava osob</w:t>
            </w:r>
          </w:p>
        </w:tc>
        <w:tc>
          <w:tcPr>
            <w:tcW w:w="1307" w:type="dxa"/>
            <w:tcBorders>
              <w:top w:val="single" w:sz="4" w:space="0" w:color="231F20"/>
              <w:left w:val="single" w:sz="4" w:space="0" w:color="231F20"/>
              <w:bottom w:val="single" w:sz="4" w:space="0" w:color="231F20"/>
              <w:right w:val="single" w:sz="4" w:space="0" w:color="231F20"/>
            </w:tcBorders>
          </w:tcPr>
          <w:p w14:paraId="6738A5A8" w14:textId="77777777" w:rsidR="00F65BCA" w:rsidRDefault="00F65BCA">
            <w:pPr>
              <w:pStyle w:val="TableParagraph"/>
              <w:rPr>
                <w:rFonts w:ascii="Times New Roman"/>
                <w:sz w:val="14"/>
              </w:rPr>
            </w:pPr>
          </w:p>
        </w:tc>
        <w:tc>
          <w:tcPr>
            <w:tcW w:w="1304" w:type="dxa"/>
            <w:tcBorders>
              <w:top w:val="single" w:sz="4" w:space="0" w:color="231F20"/>
              <w:left w:val="single" w:sz="4" w:space="0" w:color="231F20"/>
              <w:bottom w:val="single" w:sz="4" w:space="0" w:color="231F20"/>
              <w:right w:val="single" w:sz="4" w:space="0" w:color="231F20"/>
            </w:tcBorders>
          </w:tcPr>
          <w:p w14:paraId="03380C41"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183AD482" w14:textId="77777777" w:rsidR="00F65BCA" w:rsidRDefault="00F65BCA">
            <w:pPr>
              <w:pStyle w:val="TableParagraph"/>
              <w:spacing w:before="6"/>
              <w:rPr>
                <w:b/>
                <w:sz w:val="4"/>
              </w:rPr>
            </w:pPr>
          </w:p>
          <w:p w14:paraId="23F7503A" w14:textId="77777777" w:rsidR="00F65BCA" w:rsidRDefault="00216117">
            <w:pPr>
              <w:pStyle w:val="TableParagraph"/>
              <w:spacing w:line="130" w:lineRule="exact"/>
              <w:ind w:left="758"/>
              <w:rPr>
                <w:sz w:val="13"/>
              </w:rPr>
            </w:pPr>
            <w:r>
              <w:rPr>
                <w:noProof/>
                <w:position w:val="-2"/>
                <w:sz w:val="13"/>
              </w:rPr>
              <w:drawing>
                <wp:inline distT="0" distB="0" distL="0" distR="0" wp14:anchorId="3B4342E8" wp14:editId="1E6A96D9">
                  <wp:extent cx="74476" cy="82581"/>
                  <wp:effectExtent l="0" t="0" r="0" b="0"/>
                  <wp:docPr id="2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61CD991C" w14:textId="77777777" w:rsidR="00F65BCA" w:rsidRDefault="00F65BCA">
            <w:pPr>
              <w:pStyle w:val="TableParagraph"/>
              <w:spacing w:before="6"/>
              <w:rPr>
                <w:b/>
                <w:sz w:val="4"/>
              </w:rPr>
            </w:pPr>
          </w:p>
          <w:p w14:paraId="2777B16C" w14:textId="77777777" w:rsidR="00F65BCA" w:rsidRDefault="00216117">
            <w:pPr>
              <w:pStyle w:val="TableParagraph"/>
              <w:spacing w:line="130" w:lineRule="exact"/>
              <w:ind w:left="758"/>
              <w:rPr>
                <w:sz w:val="13"/>
              </w:rPr>
            </w:pPr>
            <w:r>
              <w:rPr>
                <w:noProof/>
                <w:position w:val="-2"/>
                <w:sz w:val="13"/>
              </w:rPr>
              <w:drawing>
                <wp:inline distT="0" distB="0" distL="0" distR="0" wp14:anchorId="7A29D121" wp14:editId="3148D813">
                  <wp:extent cx="74476" cy="82581"/>
                  <wp:effectExtent l="0" t="0" r="0" b="0"/>
                  <wp:docPr id="26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35DE4571" w14:textId="77777777" w:rsidR="00F65BCA" w:rsidRDefault="00F65BCA">
            <w:pPr>
              <w:pStyle w:val="TableParagraph"/>
              <w:spacing w:before="6"/>
              <w:rPr>
                <w:b/>
                <w:sz w:val="4"/>
              </w:rPr>
            </w:pPr>
          </w:p>
          <w:p w14:paraId="2B1AC549" w14:textId="77777777" w:rsidR="00F65BCA" w:rsidRDefault="00216117">
            <w:pPr>
              <w:pStyle w:val="TableParagraph"/>
              <w:spacing w:line="130" w:lineRule="exact"/>
              <w:ind w:left="758"/>
              <w:rPr>
                <w:sz w:val="13"/>
              </w:rPr>
            </w:pPr>
            <w:r>
              <w:rPr>
                <w:noProof/>
                <w:position w:val="-2"/>
                <w:sz w:val="13"/>
              </w:rPr>
              <w:drawing>
                <wp:inline distT="0" distB="0" distL="0" distR="0" wp14:anchorId="529618C2" wp14:editId="6340ABBB">
                  <wp:extent cx="74489" cy="82581"/>
                  <wp:effectExtent l="0" t="0" r="0" b="0"/>
                  <wp:docPr id="2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7.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46B18421" w14:textId="77777777">
        <w:trPr>
          <w:trHeight w:val="386"/>
        </w:trPr>
        <w:tc>
          <w:tcPr>
            <w:tcW w:w="3229" w:type="dxa"/>
            <w:gridSpan w:val="2"/>
            <w:tcBorders>
              <w:top w:val="single" w:sz="4" w:space="0" w:color="231F20"/>
              <w:left w:val="nil"/>
              <w:bottom w:val="single" w:sz="4" w:space="0" w:color="231F20"/>
              <w:right w:val="single" w:sz="4" w:space="0" w:color="231F20"/>
            </w:tcBorders>
          </w:tcPr>
          <w:p w14:paraId="103F34F6" w14:textId="77777777" w:rsidR="00F65BCA" w:rsidRDefault="00216117">
            <w:pPr>
              <w:pStyle w:val="TableParagraph"/>
              <w:spacing w:before="112"/>
              <w:ind w:left="79"/>
              <w:rPr>
                <w:sz w:val="14"/>
              </w:rPr>
            </w:pPr>
            <w:r>
              <w:rPr>
                <w:color w:val="231F20"/>
                <w:sz w:val="14"/>
              </w:rPr>
              <w:t>náhradní ubytování</w:t>
            </w:r>
          </w:p>
        </w:tc>
        <w:tc>
          <w:tcPr>
            <w:tcW w:w="1307" w:type="dxa"/>
            <w:tcBorders>
              <w:top w:val="single" w:sz="4" w:space="0" w:color="231F20"/>
              <w:left w:val="single" w:sz="4" w:space="0" w:color="231F20"/>
              <w:bottom w:val="single" w:sz="4" w:space="0" w:color="231F20"/>
              <w:right w:val="single" w:sz="4" w:space="0" w:color="231F20"/>
            </w:tcBorders>
          </w:tcPr>
          <w:p w14:paraId="63DF754A" w14:textId="77777777" w:rsidR="00F65BCA" w:rsidRDefault="00F65BCA">
            <w:pPr>
              <w:pStyle w:val="TableParagraph"/>
              <w:rPr>
                <w:rFonts w:ascii="Times New Roman"/>
                <w:sz w:val="14"/>
              </w:rPr>
            </w:pPr>
          </w:p>
        </w:tc>
        <w:tc>
          <w:tcPr>
            <w:tcW w:w="1304" w:type="dxa"/>
            <w:tcBorders>
              <w:top w:val="single" w:sz="4" w:space="0" w:color="231F20"/>
              <w:left w:val="single" w:sz="4" w:space="0" w:color="231F20"/>
              <w:bottom w:val="single" w:sz="4" w:space="0" w:color="231F20"/>
              <w:right w:val="single" w:sz="4" w:space="0" w:color="231F20"/>
            </w:tcBorders>
          </w:tcPr>
          <w:p w14:paraId="0EA3935E"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34593DD0" w14:textId="77777777" w:rsidR="00F65BCA" w:rsidRDefault="00216117">
            <w:pPr>
              <w:pStyle w:val="TableParagraph"/>
              <w:spacing w:before="32" w:line="160" w:lineRule="exact"/>
              <w:ind w:left="70" w:right="70"/>
              <w:jc w:val="center"/>
              <w:rPr>
                <w:sz w:val="14"/>
              </w:rPr>
            </w:pPr>
            <w:r>
              <w:rPr>
                <w:color w:val="231F20"/>
                <w:sz w:val="14"/>
              </w:rPr>
              <w:t>5 nocí, 5 000 Kč / noc</w:t>
            </w:r>
          </w:p>
          <w:p w14:paraId="5EA52509" w14:textId="77777777" w:rsidR="00F65BCA" w:rsidRDefault="00216117">
            <w:pPr>
              <w:pStyle w:val="TableParagraph"/>
              <w:spacing w:line="160" w:lineRule="exact"/>
              <w:ind w:left="70" w:right="70"/>
              <w:jc w:val="center"/>
              <w:rPr>
                <w:sz w:val="14"/>
              </w:rPr>
            </w:pPr>
            <w:r>
              <w:rPr>
                <w:color w:val="231F20"/>
                <w:w w:val="105"/>
                <w:sz w:val="14"/>
              </w:rPr>
              <w:t>/ vozidlo</w:t>
            </w:r>
          </w:p>
        </w:tc>
        <w:tc>
          <w:tcPr>
            <w:tcW w:w="1644" w:type="dxa"/>
            <w:tcBorders>
              <w:top w:val="single" w:sz="4" w:space="0" w:color="231F20"/>
              <w:left w:val="dashed" w:sz="4" w:space="0" w:color="231F20"/>
              <w:bottom w:val="single" w:sz="4" w:space="0" w:color="231F20"/>
              <w:right w:val="dashed" w:sz="4" w:space="0" w:color="231F20"/>
            </w:tcBorders>
          </w:tcPr>
          <w:p w14:paraId="008AA742" w14:textId="77777777" w:rsidR="00F65BCA" w:rsidRDefault="00216117">
            <w:pPr>
              <w:pStyle w:val="TableParagraph"/>
              <w:spacing w:before="32" w:line="160" w:lineRule="exact"/>
              <w:ind w:left="70" w:right="70"/>
              <w:jc w:val="center"/>
              <w:rPr>
                <w:sz w:val="14"/>
              </w:rPr>
            </w:pPr>
            <w:r>
              <w:rPr>
                <w:color w:val="231F20"/>
                <w:sz w:val="14"/>
              </w:rPr>
              <w:t>5 nocí, 10 000 Kč / noc</w:t>
            </w:r>
          </w:p>
          <w:p w14:paraId="623F5269" w14:textId="77777777" w:rsidR="00F65BCA" w:rsidRDefault="00216117">
            <w:pPr>
              <w:pStyle w:val="TableParagraph"/>
              <w:spacing w:line="160" w:lineRule="exact"/>
              <w:ind w:left="70" w:right="70"/>
              <w:jc w:val="center"/>
              <w:rPr>
                <w:sz w:val="14"/>
              </w:rPr>
            </w:pPr>
            <w:r>
              <w:rPr>
                <w:color w:val="231F20"/>
                <w:w w:val="105"/>
                <w:sz w:val="14"/>
              </w:rPr>
              <w:t>/ vozidlo</w:t>
            </w:r>
          </w:p>
        </w:tc>
        <w:tc>
          <w:tcPr>
            <w:tcW w:w="1644" w:type="dxa"/>
            <w:tcBorders>
              <w:top w:val="single" w:sz="4" w:space="0" w:color="231F20"/>
              <w:left w:val="dashed" w:sz="4" w:space="0" w:color="231F20"/>
              <w:bottom w:val="single" w:sz="4" w:space="0" w:color="231F20"/>
              <w:right w:val="nil"/>
            </w:tcBorders>
          </w:tcPr>
          <w:p w14:paraId="32497245" w14:textId="77777777" w:rsidR="00F65BCA" w:rsidRDefault="00216117">
            <w:pPr>
              <w:pStyle w:val="TableParagraph"/>
              <w:spacing w:before="32"/>
              <w:ind w:left="536" w:hanging="446"/>
              <w:rPr>
                <w:sz w:val="14"/>
              </w:rPr>
            </w:pPr>
            <w:r>
              <w:rPr>
                <w:color w:val="231F20"/>
                <w:sz w:val="14"/>
              </w:rPr>
              <w:t>5 nocí, 5 000 Kč / noc / souprava</w:t>
            </w:r>
          </w:p>
        </w:tc>
      </w:tr>
      <w:tr w:rsidR="00F65BCA" w14:paraId="46E018CF" w14:textId="77777777">
        <w:trPr>
          <w:trHeight w:val="233"/>
        </w:trPr>
        <w:tc>
          <w:tcPr>
            <w:tcW w:w="3229" w:type="dxa"/>
            <w:gridSpan w:val="2"/>
            <w:tcBorders>
              <w:top w:val="single" w:sz="4" w:space="0" w:color="231F20"/>
              <w:left w:val="nil"/>
              <w:bottom w:val="single" w:sz="4" w:space="0" w:color="231F20"/>
              <w:right w:val="single" w:sz="4" w:space="0" w:color="231F20"/>
            </w:tcBorders>
          </w:tcPr>
          <w:p w14:paraId="2326AF45" w14:textId="77777777" w:rsidR="00F65BCA" w:rsidRDefault="00216117">
            <w:pPr>
              <w:pStyle w:val="TableParagraph"/>
              <w:spacing w:before="35"/>
              <w:ind w:left="79"/>
              <w:rPr>
                <w:sz w:val="14"/>
              </w:rPr>
            </w:pPr>
            <w:r>
              <w:rPr>
                <w:color w:val="231F20"/>
                <w:sz w:val="14"/>
              </w:rPr>
              <w:t>přeprava řidiče pro opravené vozidlo</w:t>
            </w:r>
          </w:p>
        </w:tc>
        <w:tc>
          <w:tcPr>
            <w:tcW w:w="1307" w:type="dxa"/>
            <w:tcBorders>
              <w:top w:val="single" w:sz="4" w:space="0" w:color="231F20"/>
              <w:left w:val="single" w:sz="4" w:space="0" w:color="231F20"/>
              <w:bottom w:val="single" w:sz="4" w:space="0" w:color="231F20"/>
              <w:right w:val="single" w:sz="4" w:space="0" w:color="231F20"/>
            </w:tcBorders>
          </w:tcPr>
          <w:p w14:paraId="1E1EB645" w14:textId="77777777" w:rsidR="00F65BCA" w:rsidRDefault="00F65BCA">
            <w:pPr>
              <w:pStyle w:val="TableParagraph"/>
              <w:rPr>
                <w:rFonts w:ascii="Times New Roman"/>
                <w:sz w:val="14"/>
              </w:rPr>
            </w:pPr>
          </w:p>
        </w:tc>
        <w:tc>
          <w:tcPr>
            <w:tcW w:w="1304" w:type="dxa"/>
            <w:tcBorders>
              <w:top w:val="single" w:sz="4" w:space="0" w:color="231F20"/>
              <w:left w:val="single" w:sz="4" w:space="0" w:color="231F20"/>
              <w:bottom w:val="single" w:sz="4" w:space="0" w:color="231F20"/>
              <w:right w:val="single" w:sz="4" w:space="0" w:color="231F20"/>
            </w:tcBorders>
          </w:tcPr>
          <w:p w14:paraId="1B43447E"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7EA75DED" w14:textId="77777777" w:rsidR="00F65BCA" w:rsidRDefault="00F65BCA">
            <w:pPr>
              <w:pStyle w:val="TableParagraph"/>
              <w:spacing w:before="6"/>
              <w:rPr>
                <w:b/>
                <w:sz w:val="4"/>
              </w:rPr>
            </w:pPr>
          </w:p>
          <w:p w14:paraId="75CB4A3A" w14:textId="77777777" w:rsidR="00F65BCA" w:rsidRDefault="00216117">
            <w:pPr>
              <w:pStyle w:val="TableParagraph"/>
              <w:spacing w:line="130" w:lineRule="exact"/>
              <w:ind w:left="758"/>
              <w:rPr>
                <w:sz w:val="13"/>
              </w:rPr>
            </w:pPr>
            <w:r>
              <w:rPr>
                <w:noProof/>
                <w:position w:val="-2"/>
                <w:sz w:val="13"/>
              </w:rPr>
              <w:drawing>
                <wp:inline distT="0" distB="0" distL="0" distR="0" wp14:anchorId="43091C4B" wp14:editId="4F8F50A6">
                  <wp:extent cx="74476" cy="82581"/>
                  <wp:effectExtent l="0" t="0" r="0" b="0"/>
                  <wp:docPr id="26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12EB7A1A" w14:textId="77777777" w:rsidR="00F65BCA" w:rsidRDefault="00F65BCA">
            <w:pPr>
              <w:pStyle w:val="TableParagraph"/>
              <w:spacing w:before="6"/>
              <w:rPr>
                <w:b/>
                <w:sz w:val="4"/>
              </w:rPr>
            </w:pPr>
          </w:p>
          <w:p w14:paraId="6EB7E1A1" w14:textId="77777777" w:rsidR="00F65BCA" w:rsidRDefault="00216117">
            <w:pPr>
              <w:pStyle w:val="TableParagraph"/>
              <w:spacing w:line="130" w:lineRule="exact"/>
              <w:ind w:left="758"/>
              <w:rPr>
                <w:sz w:val="13"/>
              </w:rPr>
            </w:pPr>
            <w:r>
              <w:rPr>
                <w:noProof/>
                <w:position w:val="-2"/>
                <w:sz w:val="13"/>
              </w:rPr>
              <w:drawing>
                <wp:inline distT="0" distB="0" distL="0" distR="0" wp14:anchorId="4815BD42" wp14:editId="050A555C">
                  <wp:extent cx="74476" cy="82581"/>
                  <wp:effectExtent l="0" t="0" r="0" b="0"/>
                  <wp:docPr id="2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1F57C172" w14:textId="77777777" w:rsidR="00F65BCA" w:rsidRDefault="00F65BCA">
            <w:pPr>
              <w:pStyle w:val="TableParagraph"/>
              <w:spacing w:before="6"/>
              <w:rPr>
                <w:b/>
                <w:sz w:val="4"/>
              </w:rPr>
            </w:pPr>
          </w:p>
          <w:p w14:paraId="04A4F1E2" w14:textId="77777777" w:rsidR="00F65BCA" w:rsidRDefault="00216117">
            <w:pPr>
              <w:pStyle w:val="TableParagraph"/>
              <w:spacing w:line="130" w:lineRule="exact"/>
              <w:ind w:left="758"/>
              <w:rPr>
                <w:sz w:val="13"/>
              </w:rPr>
            </w:pPr>
            <w:r>
              <w:rPr>
                <w:noProof/>
                <w:position w:val="-2"/>
                <w:sz w:val="13"/>
              </w:rPr>
              <w:drawing>
                <wp:inline distT="0" distB="0" distL="0" distR="0" wp14:anchorId="78796FBA" wp14:editId="65C03372">
                  <wp:extent cx="74489" cy="82581"/>
                  <wp:effectExtent l="0" t="0" r="0" b="0"/>
                  <wp:docPr id="2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7.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06C5F906" w14:textId="77777777">
        <w:trPr>
          <w:trHeight w:val="233"/>
        </w:trPr>
        <w:tc>
          <w:tcPr>
            <w:tcW w:w="3229" w:type="dxa"/>
            <w:gridSpan w:val="2"/>
            <w:tcBorders>
              <w:top w:val="single" w:sz="4" w:space="0" w:color="231F20"/>
              <w:left w:val="nil"/>
              <w:bottom w:val="single" w:sz="4" w:space="0" w:color="231F20"/>
              <w:right w:val="single" w:sz="4" w:space="0" w:color="231F20"/>
            </w:tcBorders>
          </w:tcPr>
          <w:p w14:paraId="1E248F66" w14:textId="77777777" w:rsidR="00F65BCA" w:rsidRDefault="00216117">
            <w:pPr>
              <w:pStyle w:val="TableParagraph"/>
              <w:spacing w:before="35"/>
              <w:ind w:left="79"/>
              <w:rPr>
                <w:sz w:val="14"/>
              </w:rPr>
            </w:pPr>
            <w:r>
              <w:rPr>
                <w:color w:val="231F20"/>
                <w:sz w:val="14"/>
              </w:rPr>
              <w:t>přeložení nákladu</w:t>
            </w:r>
          </w:p>
        </w:tc>
        <w:tc>
          <w:tcPr>
            <w:tcW w:w="1307" w:type="dxa"/>
            <w:tcBorders>
              <w:top w:val="single" w:sz="4" w:space="0" w:color="231F20"/>
              <w:left w:val="single" w:sz="4" w:space="0" w:color="231F20"/>
              <w:bottom w:val="single" w:sz="4" w:space="0" w:color="231F20"/>
              <w:right w:val="single" w:sz="4" w:space="0" w:color="231F20"/>
            </w:tcBorders>
          </w:tcPr>
          <w:p w14:paraId="7B9DF97E" w14:textId="77777777" w:rsidR="00F65BCA" w:rsidRDefault="00F65BCA">
            <w:pPr>
              <w:pStyle w:val="TableParagraph"/>
              <w:rPr>
                <w:rFonts w:ascii="Times New Roman"/>
                <w:sz w:val="14"/>
              </w:rPr>
            </w:pPr>
          </w:p>
        </w:tc>
        <w:tc>
          <w:tcPr>
            <w:tcW w:w="1304" w:type="dxa"/>
            <w:tcBorders>
              <w:top w:val="single" w:sz="4" w:space="0" w:color="231F20"/>
              <w:left w:val="single" w:sz="4" w:space="0" w:color="231F20"/>
              <w:bottom w:val="single" w:sz="4" w:space="0" w:color="231F20"/>
              <w:right w:val="single" w:sz="4" w:space="0" w:color="231F20"/>
            </w:tcBorders>
          </w:tcPr>
          <w:p w14:paraId="767954E0"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27BA0A31" w14:textId="77777777" w:rsidR="00F65BCA" w:rsidRDefault="00F65BCA">
            <w:pPr>
              <w:pStyle w:val="TableParagraph"/>
              <w:spacing w:before="6"/>
              <w:rPr>
                <w:b/>
                <w:sz w:val="4"/>
              </w:rPr>
            </w:pPr>
          </w:p>
          <w:p w14:paraId="2725B42C" w14:textId="77777777" w:rsidR="00F65BCA" w:rsidRDefault="00216117">
            <w:pPr>
              <w:pStyle w:val="TableParagraph"/>
              <w:spacing w:line="130" w:lineRule="exact"/>
              <w:ind w:left="758"/>
              <w:rPr>
                <w:sz w:val="13"/>
              </w:rPr>
            </w:pPr>
            <w:r>
              <w:rPr>
                <w:noProof/>
                <w:position w:val="-2"/>
                <w:sz w:val="13"/>
              </w:rPr>
              <w:drawing>
                <wp:inline distT="0" distB="0" distL="0" distR="0" wp14:anchorId="19828671" wp14:editId="3F6C515A">
                  <wp:extent cx="74476" cy="82581"/>
                  <wp:effectExtent l="0" t="0" r="0" b="0"/>
                  <wp:docPr id="27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dashed" w:sz="4" w:space="0" w:color="231F20"/>
            </w:tcBorders>
          </w:tcPr>
          <w:p w14:paraId="6C7DC290" w14:textId="77777777" w:rsidR="00F65BCA" w:rsidRDefault="00F65BCA">
            <w:pPr>
              <w:pStyle w:val="TableParagraph"/>
              <w:spacing w:before="6"/>
              <w:rPr>
                <w:b/>
                <w:sz w:val="4"/>
              </w:rPr>
            </w:pPr>
          </w:p>
          <w:p w14:paraId="2F9E1290" w14:textId="77777777" w:rsidR="00F65BCA" w:rsidRDefault="00216117">
            <w:pPr>
              <w:pStyle w:val="TableParagraph"/>
              <w:spacing w:line="130" w:lineRule="exact"/>
              <w:ind w:left="758"/>
              <w:rPr>
                <w:sz w:val="13"/>
              </w:rPr>
            </w:pPr>
            <w:r>
              <w:rPr>
                <w:noProof/>
                <w:position w:val="-2"/>
                <w:sz w:val="13"/>
              </w:rPr>
              <w:drawing>
                <wp:inline distT="0" distB="0" distL="0" distR="0" wp14:anchorId="3979BB4B" wp14:editId="0E12FEAC">
                  <wp:extent cx="74476" cy="82581"/>
                  <wp:effectExtent l="0" t="0" r="0" b="0"/>
                  <wp:docPr id="2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bottom w:val="single" w:sz="4" w:space="0" w:color="231F20"/>
              <w:right w:val="nil"/>
            </w:tcBorders>
          </w:tcPr>
          <w:p w14:paraId="5E3AE8B7" w14:textId="77777777" w:rsidR="00F65BCA" w:rsidRDefault="00F65BCA">
            <w:pPr>
              <w:pStyle w:val="TableParagraph"/>
              <w:spacing w:before="6"/>
              <w:rPr>
                <w:b/>
                <w:sz w:val="4"/>
              </w:rPr>
            </w:pPr>
          </w:p>
          <w:p w14:paraId="14FE9C7C" w14:textId="77777777" w:rsidR="00F65BCA" w:rsidRDefault="00216117">
            <w:pPr>
              <w:pStyle w:val="TableParagraph"/>
              <w:spacing w:line="130" w:lineRule="exact"/>
              <w:ind w:left="758"/>
              <w:rPr>
                <w:sz w:val="13"/>
              </w:rPr>
            </w:pPr>
            <w:r>
              <w:rPr>
                <w:noProof/>
                <w:position w:val="-2"/>
                <w:sz w:val="13"/>
              </w:rPr>
              <w:drawing>
                <wp:inline distT="0" distB="0" distL="0" distR="0" wp14:anchorId="09C0B879" wp14:editId="41719EF9">
                  <wp:extent cx="74489" cy="82581"/>
                  <wp:effectExtent l="0" t="0" r="0" b="0"/>
                  <wp:docPr id="27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7.png"/>
                          <pic:cNvPicPr/>
                        </pic:nvPicPr>
                        <pic:blipFill>
                          <a:blip r:embed="rId49" cstate="print"/>
                          <a:stretch>
                            <a:fillRect/>
                          </a:stretch>
                        </pic:blipFill>
                        <pic:spPr>
                          <a:xfrm>
                            <a:off x="0" y="0"/>
                            <a:ext cx="74489" cy="82581"/>
                          </a:xfrm>
                          <a:prstGeom prst="rect">
                            <a:avLst/>
                          </a:prstGeom>
                        </pic:spPr>
                      </pic:pic>
                    </a:graphicData>
                  </a:graphic>
                </wp:inline>
              </w:drawing>
            </w:r>
          </w:p>
        </w:tc>
      </w:tr>
      <w:tr w:rsidR="00F65BCA" w14:paraId="55EFF527" w14:textId="77777777">
        <w:trPr>
          <w:trHeight w:val="386"/>
        </w:trPr>
        <w:tc>
          <w:tcPr>
            <w:tcW w:w="3229" w:type="dxa"/>
            <w:gridSpan w:val="2"/>
            <w:tcBorders>
              <w:top w:val="single" w:sz="4" w:space="0" w:color="231F20"/>
              <w:left w:val="nil"/>
              <w:bottom w:val="single" w:sz="4" w:space="0" w:color="231F20"/>
              <w:right w:val="single" w:sz="4" w:space="0" w:color="231F20"/>
            </w:tcBorders>
          </w:tcPr>
          <w:p w14:paraId="73EF0297" w14:textId="77777777" w:rsidR="00F65BCA" w:rsidRDefault="00216117">
            <w:pPr>
              <w:pStyle w:val="TableParagraph"/>
              <w:spacing w:before="112"/>
              <w:ind w:left="79"/>
              <w:rPr>
                <w:sz w:val="14"/>
              </w:rPr>
            </w:pPr>
            <w:r>
              <w:rPr>
                <w:color w:val="231F20"/>
                <w:sz w:val="14"/>
              </w:rPr>
              <w:t>náhradní vozidlo pro přeložení nákladu</w:t>
            </w:r>
          </w:p>
        </w:tc>
        <w:tc>
          <w:tcPr>
            <w:tcW w:w="1307" w:type="dxa"/>
            <w:tcBorders>
              <w:top w:val="single" w:sz="4" w:space="0" w:color="231F20"/>
              <w:left w:val="single" w:sz="4" w:space="0" w:color="231F20"/>
              <w:bottom w:val="single" w:sz="4" w:space="0" w:color="231F20"/>
              <w:right w:val="single" w:sz="4" w:space="0" w:color="231F20"/>
            </w:tcBorders>
          </w:tcPr>
          <w:p w14:paraId="33434987" w14:textId="77777777" w:rsidR="00F65BCA" w:rsidRDefault="00F65BCA">
            <w:pPr>
              <w:pStyle w:val="TableParagraph"/>
              <w:rPr>
                <w:rFonts w:ascii="Times New Roman"/>
                <w:sz w:val="14"/>
              </w:rPr>
            </w:pPr>
          </w:p>
        </w:tc>
        <w:tc>
          <w:tcPr>
            <w:tcW w:w="1304" w:type="dxa"/>
            <w:tcBorders>
              <w:top w:val="single" w:sz="4" w:space="0" w:color="231F20"/>
              <w:left w:val="single" w:sz="4" w:space="0" w:color="231F20"/>
              <w:bottom w:val="single" w:sz="4" w:space="0" w:color="231F20"/>
              <w:right w:val="single" w:sz="4" w:space="0" w:color="231F20"/>
            </w:tcBorders>
          </w:tcPr>
          <w:p w14:paraId="37687E76"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3EC8341B" w14:textId="77777777" w:rsidR="00F65BCA" w:rsidRDefault="00216117">
            <w:pPr>
              <w:pStyle w:val="TableParagraph"/>
              <w:spacing w:before="112"/>
              <w:ind w:left="70" w:right="70"/>
              <w:jc w:val="center"/>
              <w:rPr>
                <w:sz w:val="14"/>
              </w:rPr>
            </w:pPr>
            <w:r>
              <w:rPr>
                <w:color w:val="231F20"/>
                <w:sz w:val="14"/>
              </w:rPr>
              <w:t>2 dny, 5 000 Kč / den</w:t>
            </w:r>
          </w:p>
        </w:tc>
        <w:tc>
          <w:tcPr>
            <w:tcW w:w="1644" w:type="dxa"/>
            <w:tcBorders>
              <w:top w:val="single" w:sz="4" w:space="0" w:color="231F20"/>
              <w:left w:val="dashed" w:sz="4" w:space="0" w:color="231F20"/>
              <w:bottom w:val="single" w:sz="4" w:space="0" w:color="231F20"/>
              <w:right w:val="dashed" w:sz="4" w:space="0" w:color="231F20"/>
            </w:tcBorders>
          </w:tcPr>
          <w:p w14:paraId="2183D557" w14:textId="77777777" w:rsidR="00F65BCA" w:rsidRDefault="00216117">
            <w:pPr>
              <w:pStyle w:val="TableParagraph"/>
              <w:spacing w:before="112"/>
              <w:ind w:left="70" w:right="70"/>
              <w:jc w:val="center"/>
              <w:rPr>
                <w:sz w:val="14"/>
              </w:rPr>
            </w:pPr>
            <w:r>
              <w:rPr>
                <w:color w:val="231F20"/>
                <w:sz w:val="14"/>
              </w:rPr>
              <w:t>4 dny, 5 000 Kč / den</w:t>
            </w:r>
          </w:p>
        </w:tc>
        <w:tc>
          <w:tcPr>
            <w:tcW w:w="1644" w:type="dxa"/>
            <w:tcBorders>
              <w:top w:val="single" w:sz="4" w:space="0" w:color="231F20"/>
              <w:left w:val="dashed" w:sz="4" w:space="0" w:color="231F20"/>
              <w:bottom w:val="single" w:sz="4" w:space="0" w:color="231F20"/>
              <w:right w:val="nil"/>
            </w:tcBorders>
          </w:tcPr>
          <w:p w14:paraId="599C22CD" w14:textId="77777777" w:rsidR="00F65BCA" w:rsidRDefault="00216117">
            <w:pPr>
              <w:pStyle w:val="TableParagraph"/>
              <w:spacing w:before="32"/>
              <w:ind w:left="605" w:right="107" w:hanging="494"/>
              <w:rPr>
                <w:sz w:val="14"/>
              </w:rPr>
            </w:pPr>
            <w:r>
              <w:rPr>
                <w:color w:val="231F20"/>
                <w:sz w:val="14"/>
              </w:rPr>
              <w:t>2 dny, 5 000 Kč / den / vozidlo</w:t>
            </w:r>
          </w:p>
        </w:tc>
      </w:tr>
      <w:tr w:rsidR="00F65BCA" w14:paraId="64F2A00B" w14:textId="77777777">
        <w:trPr>
          <w:trHeight w:val="233"/>
        </w:trPr>
        <w:tc>
          <w:tcPr>
            <w:tcW w:w="3229" w:type="dxa"/>
            <w:gridSpan w:val="2"/>
            <w:tcBorders>
              <w:top w:val="single" w:sz="4" w:space="0" w:color="231F20"/>
              <w:left w:val="nil"/>
              <w:bottom w:val="single" w:sz="4" w:space="0" w:color="231F20"/>
              <w:right w:val="single" w:sz="4" w:space="0" w:color="231F20"/>
            </w:tcBorders>
          </w:tcPr>
          <w:p w14:paraId="719CBB79" w14:textId="77777777" w:rsidR="00F65BCA" w:rsidRDefault="00216117">
            <w:pPr>
              <w:pStyle w:val="TableParagraph"/>
              <w:spacing w:before="35"/>
              <w:ind w:left="79"/>
              <w:rPr>
                <w:sz w:val="14"/>
              </w:rPr>
            </w:pPr>
            <w:r>
              <w:rPr>
                <w:color w:val="231F20"/>
                <w:sz w:val="14"/>
              </w:rPr>
              <w:t>právní pomoc</w:t>
            </w:r>
          </w:p>
        </w:tc>
        <w:tc>
          <w:tcPr>
            <w:tcW w:w="1307" w:type="dxa"/>
            <w:tcBorders>
              <w:top w:val="single" w:sz="4" w:space="0" w:color="231F20"/>
              <w:left w:val="single" w:sz="4" w:space="0" w:color="231F20"/>
              <w:bottom w:val="single" w:sz="4" w:space="0" w:color="231F20"/>
              <w:right w:val="single" w:sz="4" w:space="0" w:color="231F20"/>
            </w:tcBorders>
          </w:tcPr>
          <w:p w14:paraId="24D0F6C9" w14:textId="77777777" w:rsidR="00F65BCA" w:rsidRDefault="00F65BCA">
            <w:pPr>
              <w:pStyle w:val="TableParagraph"/>
              <w:rPr>
                <w:rFonts w:ascii="Times New Roman"/>
                <w:sz w:val="14"/>
              </w:rPr>
            </w:pPr>
          </w:p>
        </w:tc>
        <w:tc>
          <w:tcPr>
            <w:tcW w:w="1304" w:type="dxa"/>
            <w:tcBorders>
              <w:top w:val="single" w:sz="4" w:space="0" w:color="231F20"/>
              <w:left w:val="single" w:sz="4" w:space="0" w:color="231F20"/>
              <w:bottom w:val="single" w:sz="4" w:space="0" w:color="231F20"/>
              <w:right w:val="single" w:sz="4" w:space="0" w:color="231F20"/>
            </w:tcBorders>
          </w:tcPr>
          <w:p w14:paraId="7F985129" w14:textId="77777777" w:rsidR="00F65BCA" w:rsidRDefault="00F65BCA">
            <w:pPr>
              <w:pStyle w:val="TableParagraph"/>
              <w:rPr>
                <w:rFonts w:ascii="Times New Roman"/>
                <w:sz w:val="14"/>
              </w:rPr>
            </w:pPr>
          </w:p>
        </w:tc>
        <w:tc>
          <w:tcPr>
            <w:tcW w:w="1644" w:type="dxa"/>
            <w:tcBorders>
              <w:top w:val="single" w:sz="4" w:space="0" w:color="231F20"/>
              <w:left w:val="single" w:sz="4" w:space="0" w:color="231F20"/>
              <w:bottom w:val="single" w:sz="4" w:space="0" w:color="231F20"/>
              <w:right w:val="dashed" w:sz="4" w:space="0" w:color="231F20"/>
            </w:tcBorders>
          </w:tcPr>
          <w:p w14:paraId="116E916D" w14:textId="77777777" w:rsidR="00F65BCA" w:rsidRDefault="00216117">
            <w:pPr>
              <w:pStyle w:val="TableParagraph"/>
              <w:spacing w:before="35"/>
              <w:ind w:left="70" w:right="70"/>
              <w:jc w:val="center"/>
              <w:rPr>
                <w:sz w:val="14"/>
              </w:rPr>
            </w:pPr>
            <w:r>
              <w:rPr>
                <w:color w:val="231F20"/>
                <w:sz w:val="14"/>
              </w:rPr>
              <w:t>25 000 Kč</w:t>
            </w:r>
          </w:p>
        </w:tc>
        <w:tc>
          <w:tcPr>
            <w:tcW w:w="1644" w:type="dxa"/>
            <w:tcBorders>
              <w:top w:val="single" w:sz="4" w:space="0" w:color="231F20"/>
              <w:left w:val="dashed" w:sz="4" w:space="0" w:color="231F20"/>
              <w:bottom w:val="single" w:sz="4" w:space="0" w:color="231F20"/>
              <w:right w:val="dashed" w:sz="4" w:space="0" w:color="231F20"/>
            </w:tcBorders>
          </w:tcPr>
          <w:p w14:paraId="59CDBC11" w14:textId="77777777" w:rsidR="00F65BCA" w:rsidRDefault="00216117">
            <w:pPr>
              <w:pStyle w:val="TableParagraph"/>
              <w:spacing w:before="35"/>
              <w:ind w:left="70" w:right="70"/>
              <w:jc w:val="center"/>
              <w:rPr>
                <w:sz w:val="14"/>
              </w:rPr>
            </w:pPr>
            <w:r>
              <w:rPr>
                <w:color w:val="231F20"/>
                <w:sz w:val="14"/>
              </w:rPr>
              <w:t>50 000 Kč</w:t>
            </w:r>
          </w:p>
        </w:tc>
        <w:tc>
          <w:tcPr>
            <w:tcW w:w="1644" w:type="dxa"/>
            <w:tcBorders>
              <w:top w:val="single" w:sz="4" w:space="0" w:color="231F20"/>
              <w:left w:val="dashed" w:sz="4" w:space="0" w:color="231F20"/>
              <w:bottom w:val="single" w:sz="4" w:space="0" w:color="231F20"/>
              <w:right w:val="nil"/>
            </w:tcBorders>
          </w:tcPr>
          <w:p w14:paraId="44B4BE3A" w14:textId="77777777" w:rsidR="00F65BCA" w:rsidRDefault="00216117">
            <w:pPr>
              <w:pStyle w:val="TableParagraph"/>
              <w:spacing w:before="35"/>
              <w:ind w:left="108" w:right="111"/>
              <w:jc w:val="center"/>
              <w:rPr>
                <w:sz w:val="14"/>
              </w:rPr>
            </w:pPr>
            <w:r>
              <w:rPr>
                <w:color w:val="231F20"/>
                <w:sz w:val="14"/>
              </w:rPr>
              <w:t>50 000 Kč</w:t>
            </w:r>
          </w:p>
        </w:tc>
      </w:tr>
      <w:tr w:rsidR="00F65BCA" w14:paraId="768FD236" w14:textId="77777777">
        <w:trPr>
          <w:trHeight w:val="381"/>
        </w:trPr>
        <w:tc>
          <w:tcPr>
            <w:tcW w:w="3229" w:type="dxa"/>
            <w:gridSpan w:val="2"/>
            <w:tcBorders>
              <w:top w:val="single" w:sz="4" w:space="0" w:color="231F20"/>
              <w:left w:val="nil"/>
              <w:right w:val="single" w:sz="4" w:space="0" w:color="231F20"/>
            </w:tcBorders>
          </w:tcPr>
          <w:p w14:paraId="4AF2B231" w14:textId="77777777" w:rsidR="00F65BCA" w:rsidRDefault="00216117">
            <w:pPr>
              <w:pStyle w:val="TableParagraph"/>
              <w:spacing w:before="29"/>
              <w:ind w:left="79" w:right="276"/>
              <w:rPr>
                <w:sz w:val="14"/>
              </w:rPr>
            </w:pPr>
            <w:r>
              <w:rPr>
                <w:color w:val="231F20"/>
                <w:sz w:val="14"/>
              </w:rPr>
              <w:t>poradenské</w:t>
            </w:r>
            <w:r>
              <w:rPr>
                <w:color w:val="231F20"/>
                <w:spacing w:val="-26"/>
                <w:sz w:val="14"/>
              </w:rPr>
              <w:t xml:space="preserve"> </w:t>
            </w:r>
            <w:r>
              <w:rPr>
                <w:color w:val="231F20"/>
                <w:sz w:val="14"/>
              </w:rPr>
              <w:t>služby</w:t>
            </w:r>
            <w:r>
              <w:rPr>
                <w:color w:val="231F20"/>
                <w:spacing w:val="-25"/>
                <w:sz w:val="14"/>
              </w:rPr>
              <w:t xml:space="preserve"> </w:t>
            </w:r>
            <w:r>
              <w:rPr>
                <w:color w:val="231F20"/>
                <w:sz w:val="14"/>
              </w:rPr>
              <w:t>(předání</w:t>
            </w:r>
            <w:r>
              <w:rPr>
                <w:color w:val="231F20"/>
                <w:spacing w:val="-25"/>
                <w:sz w:val="14"/>
              </w:rPr>
              <w:t xml:space="preserve"> </w:t>
            </w:r>
            <w:r>
              <w:rPr>
                <w:color w:val="231F20"/>
                <w:sz w:val="14"/>
              </w:rPr>
              <w:t>vzkazu,</w:t>
            </w:r>
            <w:r>
              <w:rPr>
                <w:color w:val="231F20"/>
                <w:spacing w:val="-25"/>
                <w:sz w:val="14"/>
              </w:rPr>
              <w:t xml:space="preserve"> </w:t>
            </w:r>
            <w:r>
              <w:rPr>
                <w:color w:val="231F20"/>
                <w:sz w:val="14"/>
              </w:rPr>
              <w:t>telefonické tlumočení)</w:t>
            </w:r>
          </w:p>
        </w:tc>
        <w:tc>
          <w:tcPr>
            <w:tcW w:w="1307" w:type="dxa"/>
            <w:tcBorders>
              <w:top w:val="single" w:sz="4" w:space="0" w:color="231F20"/>
              <w:left w:val="single" w:sz="4" w:space="0" w:color="231F20"/>
              <w:right w:val="single" w:sz="4" w:space="0" w:color="231F20"/>
            </w:tcBorders>
          </w:tcPr>
          <w:p w14:paraId="5BAAE6BA" w14:textId="77777777" w:rsidR="00F65BCA" w:rsidRDefault="00F65BCA">
            <w:pPr>
              <w:pStyle w:val="TableParagraph"/>
              <w:spacing w:before="11"/>
              <w:rPr>
                <w:b/>
                <w:sz w:val="10"/>
              </w:rPr>
            </w:pPr>
          </w:p>
          <w:p w14:paraId="4662611C" w14:textId="77777777" w:rsidR="00F65BCA" w:rsidRDefault="00216117">
            <w:pPr>
              <w:pStyle w:val="TableParagraph"/>
              <w:spacing w:line="130" w:lineRule="exact"/>
              <w:ind w:left="591"/>
              <w:rPr>
                <w:sz w:val="13"/>
              </w:rPr>
            </w:pPr>
            <w:r>
              <w:rPr>
                <w:noProof/>
                <w:position w:val="-2"/>
                <w:sz w:val="13"/>
              </w:rPr>
              <w:drawing>
                <wp:inline distT="0" distB="0" distL="0" distR="0" wp14:anchorId="3EEC85F5" wp14:editId="12DBD722">
                  <wp:extent cx="74476" cy="82581"/>
                  <wp:effectExtent l="0" t="0" r="0" b="0"/>
                  <wp:docPr id="28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9.png"/>
                          <pic:cNvPicPr/>
                        </pic:nvPicPr>
                        <pic:blipFill>
                          <a:blip r:embed="rId47" cstate="print"/>
                          <a:stretch>
                            <a:fillRect/>
                          </a:stretch>
                        </pic:blipFill>
                        <pic:spPr>
                          <a:xfrm>
                            <a:off x="0" y="0"/>
                            <a:ext cx="74476" cy="82581"/>
                          </a:xfrm>
                          <a:prstGeom prst="rect">
                            <a:avLst/>
                          </a:prstGeom>
                        </pic:spPr>
                      </pic:pic>
                    </a:graphicData>
                  </a:graphic>
                </wp:inline>
              </w:drawing>
            </w:r>
          </w:p>
        </w:tc>
        <w:tc>
          <w:tcPr>
            <w:tcW w:w="1304" w:type="dxa"/>
            <w:tcBorders>
              <w:top w:val="single" w:sz="4" w:space="0" w:color="231F20"/>
              <w:left w:val="single" w:sz="4" w:space="0" w:color="231F20"/>
              <w:right w:val="single" w:sz="4" w:space="0" w:color="231F20"/>
            </w:tcBorders>
          </w:tcPr>
          <w:p w14:paraId="47344C75" w14:textId="77777777" w:rsidR="00F65BCA" w:rsidRDefault="00F65BCA">
            <w:pPr>
              <w:pStyle w:val="TableParagraph"/>
              <w:spacing w:before="11"/>
              <w:rPr>
                <w:b/>
                <w:sz w:val="10"/>
              </w:rPr>
            </w:pPr>
          </w:p>
          <w:p w14:paraId="3C6603D0" w14:textId="77777777" w:rsidR="00F65BCA" w:rsidRDefault="00216117">
            <w:pPr>
              <w:pStyle w:val="TableParagraph"/>
              <w:spacing w:line="130" w:lineRule="exact"/>
              <w:ind w:left="588"/>
              <w:rPr>
                <w:sz w:val="13"/>
              </w:rPr>
            </w:pPr>
            <w:r>
              <w:rPr>
                <w:noProof/>
                <w:position w:val="-2"/>
                <w:sz w:val="13"/>
              </w:rPr>
              <w:drawing>
                <wp:inline distT="0" distB="0" distL="0" distR="0" wp14:anchorId="16D8DFA3" wp14:editId="1908311B">
                  <wp:extent cx="74476" cy="82581"/>
                  <wp:effectExtent l="0" t="0" r="0" b="0"/>
                  <wp:docPr id="28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single" w:sz="4" w:space="0" w:color="231F20"/>
              <w:right w:val="dashed" w:sz="4" w:space="0" w:color="231F20"/>
            </w:tcBorders>
          </w:tcPr>
          <w:p w14:paraId="30AD1E33" w14:textId="77777777" w:rsidR="00F65BCA" w:rsidRDefault="00F65BCA">
            <w:pPr>
              <w:pStyle w:val="TableParagraph"/>
              <w:spacing w:before="11"/>
              <w:rPr>
                <w:b/>
                <w:sz w:val="10"/>
              </w:rPr>
            </w:pPr>
          </w:p>
          <w:p w14:paraId="7C6C69FC" w14:textId="77777777" w:rsidR="00F65BCA" w:rsidRDefault="00216117">
            <w:pPr>
              <w:pStyle w:val="TableParagraph"/>
              <w:spacing w:line="130" w:lineRule="exact"/>
              <w:ind w:left="758"/>
              <w:rPr>
                <w:sz w:val="13"/>
              </w:rPr>
            </w:pPr>
            <w:r>
              <w:rPr>
                <w:noProof/>
                <w:position w:val="-2"/>
                <w:sz w:val="13"/>
              </w:rPr>
              <w:drawing>
                <wp:inline distT="0" distB="0" distL="0" distR="0" wp14:anchorId="6A5097D2" wp14:editId="30DD4A47">
                  <wp:extent cx="74476" cy="82581"/>
                  <wp:effectExtent l="0" t="0" r="0" b="0"/>
                  <wp:docPr id="28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right w:val="dashed" w:sz="4" w:space="0" w:color="231F20"/>
            </w:tcBorders>
          </w:tcPr>
          <w:p w14:paraId="662AD21E" w14:textId="77777777" w:rsidR="00F65BCA" w:rsidRDefault="00F65BCA">
            <w:pPr>
              <w:pStyle w:val="TableParagraph"/>
              <w:spacing w:before="11"/>
              <w:rPr>
                <w:b/>
                <w:sz w:val="10"/>
              </w:rPr>
            </w:pPr>
          </w:p>
          <w:p w14:paraId="13CBC68E" w14:textId="77777777" w:rsidR="00F65BCA" w:rsidRDefault="00216117">
            <w:pPr>
              <w:pStyle w:val="TableParagraph"/>
              <w:spacing w:line="130" w:lineRule="exact"/>
              <w:ind w:left="758"/>
              <w:rPr>
                <w:sz w:val="13"/>
              </w:rPr>
            </w:pPr>
            <w:r>
              <w:rPr>
                <w:noProof/>
                <w:position w:val="-2"/>
                <w:sz w:val="13"/>
              </w:rPr>
              <w:drawing>
                <wp:inline distT="0" distB="0" distL="0" distR="0" wp14:anchorId="34774A5A" wp14:editId="5F6C4040">
                  <wp:extent cx="74476" cy="82581"/>
                  <wp:effectExtent l="0" t="0" r="0" b="0"/>
                  <wp:docPr id="28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0.png"/>
                          <pic:cNvPicPr/>
                        </pic:nvPicPr>
                        <pic:blipFill>
                          <a:blip r:embed="rId48" cstate="print"/>
                          <a:stretch>
                            <a:fillRect/>
                          </a:stretch>
                        </pic:blipFill>
                        <pic:spPr>
                          <a:xfrm>
                            <a:off x="0" y="0"/>
                            <a:ext cx="74476" cy="82581"/>
                          </a:xfrm>
                          <a:prstGeom prst="rect">
                            <a:avLst/>
                          </a:prstGeom>
                        </pic:spPr>
                      </pic:pic>
                    </a:graphicData>
                  </a:graphic>
                </wp:inline>
              </w:drawing>
            </w:r>
          </w:p>
        </w:tc>
        <w:tc>
          <w:tcPr>
            <w:tcW w:w="1644" w:type="dxa"/>
            <w:tcBorders>
              <w:top w:val="single" w:sz="4" w:space="0" w:color="231F20"/>
              <w:left w:val="dashed" w:sz="4" w:space="0" w:color="231F20"/>
              <w:right w:val="nil"/>
            </w:tcBorders>
          </w:tcPr>
          <w:p w14:paraId="0B8D0085" w14:textId="77777777" w:rsidR="00F65BCA" w:rsidRDefault="00F65BCA">
            <w:pPr>
              <w:pStyle w:val="TableParagraph"/>
              <w:spacing w:before="11"/>
              <w:rPr>
                <w:b/>
                <w:sz w:val="10"/>
              </w:rPr>
            </w:pPr>
          </w:p>
          <w:p w14:paraId="3B599402" w14:textId="77777777" w:rsidR="00F65BCA" w:rsidRDefault="00216117">
            <w:pPr>
              <w:pStyle w:val="TableParagraph"/>
              <w:spacing w:line="130" w:lineRule="exact"/>
              <w:ind w:left="758"/>
              <w:rPr>
                <w:sz w:val="13"/>
              </w:rPr>
            </w:pPr>
            <w:r>
              <w:rPr>
                <w:noProof/>
                <w:position w:val="-2"/>
                <w:sz w:val="13"/>
              </w:rPr>
              <w:drawing>
                <wp:inline distT="0" distB="0" distL="0" distR="0" wp14:anchorId="56E9C41F" wp14:editId="6115B02D">
                  <wp:extent cx="74489" cy="82581"/>
                  <wp:effectExtent l="0" t="0" r="0" b="0"/>
                  <wp:docPr id="28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7.png"/>
                          <pic:cNvPicPr/>
                        </pic:nvPicPr>
                        <pic:blipFill>
                          <a:blip r:embed="rId49" cstate="print"/>
                          <a:stretch>
                            <a:fillRect/>
                          </a:stretch>
                        </pic:blipFill>
                        <pic:spPr>
                          <a:xfrm>
                            <a:off x="0" y="0"/>
                            <a:ext cx="74489" cy="82581"/>
                          </a:xfrm>
                          <a:prstGeom prst="rect">
                            <a:avLst/>
                          </a:prstGeom>
                        </pic:spPr>
                      </pic:pic>
                    </a:graphicData>
                  </a:graphic>
                </wp:inline>
              </w:drawing>
            </w:r>
          </w:p>
        </w:tc>
      </w:tr>
    </w:tbl>
    <w:p w14:paraId="06805862" w14:textId="77777777" w:rsidR="00F65BCA" w:rsidRDefault="00216117">
      <w:pPr>
        <w:pStyle w:val="Zkladntext"/>
        <w:spacing w:before="76" w:line="278" w:lineRule="auto"/>
        <w:ind w:left="506"/>
      </w:pPr>
      <w:r>
        <w:rPr>
          <w:color w:val="231F20"/>
        </w:rPr>
        <w:t>*</w:t>
      </w:r>
      <w:r>
        <w:rPr>
          <w:color w:val="231F20"/>
          <w:spacing w:val="-12"/>
        </w:rPr>
        <w:t xml:space="preserve"> </w:t>
      </w:r>
      <w:r>
        <w:rPr>
          <w:color w:val="231F20"/>
        </w:rPr>
        <w:t>Při</w:t>
      </w:r>
      <w:r>
        <w:rPr>
          <w:color w:val="231F20"/>
          <w:spacing w:val="-11"/>
        </w:rPr>
        <w:t xml:space="preserve"> </w:t>
      </w:r>
      <w:r>
        <w:rPr>
          <w:color w:val="231F20"/>
        </w:rPr>
        <w:t>odtahu</w:t>
      </w:r>
      <w:r>
        <w:rPr>
          <w:color w:val="231F20"/>
          <w:spacing w:val="-11"/>
        </w:rPr>
        <w:t xml:space="preserve"> </w:t>
      </w:r>
      <w:r>
        <w:rPr>
          <w:color w:val="231F20"/>
        </w:rPr>
        <w:t>vozidla</w:t>
      </w:r>
      <w:r>
        <w:rPr>
          <w:color w:val="231F20"/>
          <w:spacing w:val="-11"/>
        </w:rPr>
        <w:t xml:space="preserve"> </w:t>
      </w:r>
      <w:r>
        <w:rPr>
          <w:color w:val="231F20"/>
        </w:rPr>
        <w:t>do</w:t>
      </w:r>
      <w:r>
        <w:rPr>
          <w:color w:val="231F20"/>
          <w:spacing w:val="-11"/>
        </w:rPr>
        <w:t xml:space="preserve"> </w:t>
      </w:r>
      <w:r>
        <w:rPr>
          <w:color w:val="231F20"/>
          <w:spacing w:val="2"/>
        </w:rPr>
        <w:t>nejbližšího</w:t>
      </w:r>
      <w:r>
        <w:rPr>
          <w:color w:val="231F20"/>
          <w:spacing w:val="-11"/>
        </w:rPr>
        <w:t xml:space="preserve"> </w:t>
      </w:r>
      <w:r>
        <w:rPr>
          <w:color w:val="231F20"/>
        </w:rPr>
        <w:t>autorizovaného/smluvního</w:t>
      </w:r>
      <w:r>
        <w:rPr>
          <w:color w:val="231F20"/>
          <w:spacing w:val="-11"/>
        </w:rPr>
        <w:t xml:space="preserve"> </w:t>
      </w:r>
      <w:r>
        <w:rPr>
          <w:color w:val="231F20"/>
          <w:spacing w:val="2"/>
        </w:rPr>
        <w:t>servisu</w:t>
      </w:r>
      <w:r>
        <w:rPr>
          <w:color w:val="231F20"/>
          <w:spacing w:val="-11"/>
        </w:rPr>
        <w:t xml:space="preserve"> </w:t>
      </w:r>
      <w:r>
        <w:rPr>
          <w:color w:val="231F20"/>
        </w:rPr>
        <w:t>Pojišťovny,</w:t>
      </w:r>
      <w:r>
        <w:rPr>
          <w:color w:val="231F20"/>
          <w:spacing w:val="-11"/>
        </w:rPr>
        <w:t xml:space="preserve"> </w:t>
      </w:r>
      <w:r>
        <w:rPr>
          <w:color w:val="231F20"/>
          <w:spacing w:val="2"/>
        </w:rPr>
        <w:t>maximálně</w:t>
      </w:r>
      <w:r>
        <w:rPr>
          <w:color w:val="231F20"/>
          <w:spacing w:val="-11"/>
        </w:rPr>
        <w:t xml:space="preserve"> </w:t>
      </w:r>
      <w:r>
        <w:rPr>
          <w:color w:val="231F20"/>
        </w:rPr>
        <w:t>však</w:t>
      </w:r>
      <w:r>
        <w:rPr>
          <w:color w:val="231F20"/>
          <w:spacing w:val="-11"/>
        </w:rPr>
        <w:t xml:space="preserve"> </w:t>
      </w:r>
      <w:r>
        <w:rPr>
          <w:color w:val="231F20"/>
        </w:rPr>
        <w:t>do</w:t>
      </w:r>
      <w:r>
        <w:rPr>
          <w:color w:val="231F20"/>
          <w:spacing w:val="-11"/>
        </w:rPr>
        <w:t xml:space="preserve"> </w:t>
      </w:r>
      <w:r>
        <w:rPr>
          <w:color w:val="231F20"/>
        </w:rPr>
        <w:t>uvedeného</w:t>
      </w:r>
      <w:r>
        <w:rPr>
          <w:color w:val="231F20"/>
          <w:spacing w:val="-11"/>
        </w:rPr>
        <w:t xml:space="preserve"> </w:t>
      </w:r>
      <w:r>
        <w:rPr>
          <w:color w:val="231F20"/>
        </w:rPr>
        <w:t>limitu</w:t>
      </w:r>
      <w:r>
        <w:rPr>
          <w:color w:val="231F20"/>
          <w:spacing w:val="-11"/>
        </w:rPr>
        <w:t xml:space="preserve"> </w:t>
      </w:r>
      <w:r>
        <w:rPr>
          <w:color w:val="231F20"/>
        </w:rPr>
        <w:t>km,</w:t>
      </w:r>
      <w:r>
        <w:rPr>
          <w:color w:val="231F20"/>
          <w:spacing w:val="-11"/>
        </w:rPr>
        <w:t xml:space="preserve"> </w:t>
      </w:r>
      <w:r>
        <w:rPr>
          <w:color w:val="231F20"/>
        </w:rPr>
        <w:t>nebude</w:t>
      </w:r>
      <w:r>
        <w:rPr>
          <w:color w:val="231F20"/>
          <w:spacing w:val="-11"/>
        </w:rPr>
        <w:t xml:space="preserve"> </w:t>
      </w:r>
      <w:r>
        <w:rPr>
          <w:color w:val="231F20"/>
        </w:rPr>
        <w:t>požadován</w:t>
      </w:r>
      <w:r>
        <w:rPr>
          <w:color w:val="231F20"/>
          <w:spacing w:val="-11"/>
        </w:rPr>
        <w:t xml:space="preserve"> </w:t>
      </w:r>
      <w:r>
        <w:rPr>
          <w:color w:val="231F20"/>
        </w:rPr>
        <w:t>doplatek</w:t>
      </w:r>
      <w:r>
        <w:rPr>
          <w:color w:val="231F20"/>
          <w:spacing w:val="-11"/>
        </w:rPr>
        <w:t xml:space="preserve"> </w:t>
      </w:r>
      <w:r>
        <w:rPr>
          <w:color w:val="231F20"/>
        </w:rPr>
        <w:t>v</w:t>
      </w:r>
      <w:r>
        <w:rPr>
          <w:color w:val="231F20"/>
          <w:spacing w:val="-11"/>
        </w:rPr>
        <w:t xml:space="preserve"> </w:t>
      </w:r>
      <w:r>
        <w:rPr>
          <w:color w:val="231F20"/>
        </w:rPr>
        <w:t>případě přečerpání</w:t>
      </w:r>
      <w:r>
        <w:rPr>
          <w:color w:val="231F20"/>
          <w:spacing w:val="-4"/>
        </w:rPr>
        <w:t xml:space="preserve"> </w:t>
      </w:r>
      <w:r>
        <w:rPr>
          <w:color w:val="231F20"/>
        </w:rPr>
        <w:t>celkového</w:t>
      </w:r>
      <w:r>
        <w:rPr>
          <w:color w:val="231F20"/>
          <w:spacing w:val="-3"/>
        </w:rPr>
        <w:t xml:space="preserve"> </w:t>
      </w:r>
      <w:r>
        <w:rPr>
          <w:color w:val="231F20"/>
        </w:rPr>
        <w:t>limitu</w:t>
      </w:r>
      <w:r>
        <w:rPr>
          <w:color w:val="231F20"/>
          <w:spacing w:val="-3"/>
        </w:rPr>
        <w:t xml:space="preserve"> </w:t>
      </w:r>
      <w:r>
        <w:rPr>
          <w:color w:val="231F20"/>
        </w:rPr>
        <w:t>pojistného</w:t>
      </w:r>
      <w:r>
        <w:rPr>
          <w:color w:val="231F20"/>
          <w:spacing w:val="-3"/>
        </w:rPr>
        <w:t xml:space="preserve"> </w:t>
      </w:r>
      <w:r>
        <w:rPr>
          <w:color w:val="231F20"/>
        </w:rPr>
        <w:t>plnění.</w:t>
      </w:r>
      <w:r>
        <w:rPr>
          <w:color w:val="231F20"/>
          <w:spacing w:val="-3"/>
        </w:rPr>
        <w:t xml:space="preserve"> </w:t>
      </w:r>
      <w:r>
        <w:rPr>
          <w:color w:val="231F20"/>
        </w:rPr>
        <w:t>Platí</w:t>
      </w:r>
      <w:r>
        <w:rPr>
          <w:color w:val="231F20"/>
          <w:spacing w:val="-3"/>
        </w:rPr>
        <w:t xml:space="preserve"> </w:t>
      </w:r>
      <w:r>
        <w:rPr>
          <w:color w:val="231F20"/>
        </w:rPr>
        <w:t>pouze</w:t>
      </w:r>
      <w:r>
        <w:rPr>
          <w:color w:val="231F20"/>
          <w:spacing w:val="-3"/>
        </w:rPr>
        <w:t xml:space="preserve"> </w:t>
      </w:r>
      <w:r>
        <w:rPr>
          <w:color w:val="231F20"/>
        </w:rPr>
        <w:t>v</w:t>
      </w:r>
      <w:r>
        <w:rPr>
          <w:color w:val="231F20"/>
          <w:spacing w:val="-3"/>
        </w:rPr>
        <w:t xml:space="preserve"> </w:t>
      </w:r>
      <w:r>
        <w:rPr>
          <w:color w:val="231F20"/>
        </w:rPr>
        <w:t>případě,</w:t>
      </w:r>
      <w:r>
        <w:rPr>
          <w:color w:val="231F20"/>
          <w:spacing w:val="-3"/>
        </w:rPr>
        <w:t xml:space="preserve"> </w:t>
      </w:r>
      <w:r>
        <w:rPr>
          <w:color w:val="231F20"/>
        </w:rPr>
        <w:t>nebudou-li</w:t>
      </w:r>
      <w:r>
        <w:rPr>
          <w:color w:val="231F20"/>
          <w:spacing w:val="-3"/>
        </w:rPr>
        <w:t xml:space="preserve"> </w:t>
      </w:r>
      <w:r>
        <w:rPr>
          <w:color w:val="231F20"/>
        </w:rPr>
        <w:t>čerpány</w:t>
      </w:r>
      <w:r>
        <w:rPr>
          <w:color w:val="231F20"/>
          <w:spacing w:val="-3"/>
        </w:rPr>
        <w:t xml:space="preserve"> </w:t>
      </w:r>
      <w:r>
        <w:rPr>
          <w:color w:val="231F20"/>
        </w:rPr>
        <w:t>jiné</w:t>
      </w:r>
      <w:r>
        <w:rPr>
          <w:color w:val="231F20"/>
          <w:spacing w:val="-3"/>
        </w:rPr>
        <w:t xml:space="preserve"> </w:t>
      </w:r>
      <w:r>
        <w:rPr>
          <w:color w:val="231F20"/>
        </w:rPr>
        <w:t>asistenční</w:t>
      </w:r>
      <w:r>
        <w:rPr>
          <w:color w:val="231F20"/>
          <w:spacing w:val="-3"/>
        </w:rPr>
        <w:t xml:space="preserve"> </w:t>
      </w:r>
      <w:r>
        <w:rPr>
          <w:color w:val="231F20"/>
        </w:rPr>
        <w:t>služby.</w:t>
      </w:r>
    </w:p>
    <w:p w14:paraId="04CB5756" w14:textId="77777777" w:rsidR="00F65BCA" w:rsidRDefault="00F65BCA">
      <w:pPr>
        <w:spacing w:line="278" w:lineRule="auto"/>
        <w:sectPr w:rsidR="00F65BCA">
          <w:pgSz w:w="11910" w:h="16840"/>
          <w:pgMar w:top="500" w:right="140" w:bottom="0" w:left="140" w:header="708" w:footer="708" w:gutter="0"/>
          <w:cols w:space="708"/>
        </w:sectPr>
      </w:pPr>
    </w:p>
    <w:p w14:paraId="07E22668" w14:textId="77777777" w:rsidR="00F65BCA" w:rsidRDefault="00000000">
      <w:pPr>
        <w:spacing w:before="116"/>
        <w:ind w:left="428"/>
        <w:jc w:val="both"/>
        <w:rPr>
          <w:sz w:val="15"/>
        </w:rPr>
      </w:pPr>
      <w:r>
        <w:lastRenderedPageBreak/>
        <w:pict w14:anchorId="1814A32A">
          <v:group id="_x0000_s2213" style="position:absolute;left:0;text-align:left;margin-left:0;margin-top:807.85pt;width:595.3pt;height:34.05pt;z-index:251910144;mso-position-horizontal-relative:page;mso-position-vertical-relative:page" coordorigin=",16157" coordsize="11906,681">
            <v:rect id="_x0000_s2216" style="position:absolute;top:16157;width:11906;height:681" fillcolor="#dcddde" stroked="f"/>
            <v:shape id="_x0000_s2215" type="#_x0000_t202" style="position:absolute;left:793;top:16420;width:5475;height:234" filled="f" stroked="f">
              <v:textbox inset="0,0,0,0">
                <w:txbxContent>
                  <w:p w14:paraId="7F753347" w14:textId="77777777" w:rsidR="00F65BCA" w:rsidRDefault="00216117">
                    <w:pPr>
                      <w:spacing w:before="3"/>
                      <w:rPr>
                        <w:sz w:val="16"/>
                      </w:rPr>
                    </w:pPr>
                    <w:r>
                      <w:rPr>
                        <w:color w:val="231F20"/>
                        <w:sz w:val="16"/>
                      </w:rPr>
                      <w:t xml:space="preserve">30 </w:t>
                    </w:r>
                    <w:r>
                      <w:rPr>
                        <w:color w:val="6D6E71"/>
                        <w:sz w:val="20"/>
                      </w:rPr>
                      <w:t xml:space="preserve">| </w:t>
                    </w:r>
                    <w:r>
                      <w:rPr>
                        <w:color w:val="231F20"/>
                        <w:sz w:val="16"/>
                      </w:rPr>
                      <w:t>Všeobecné pojistné podmínky pro pojištění vozidel VPPPMV-F-5/2025</w:t>
                    </w:r>
                  </w:p>
                </w:txbxContent>
              </v:textbox>
            </v:shape>
            <v:shape id="_x0000_s2214" type="#_x0000_t202" style="position:absolute;left:9491;top:16477;width:1414;height:164" filled="f" stroked="f">
              <v:textbox inset="0,0,0,0">
                <w:txbxContent>
                  <w:p w14:paraId="198AE2B3" w14:textId="77777777" w:rsidR="00F65BCA" w:rsidRDefault="00216117">
                    <w:pPr>
                      <w:spacing w:before="2"/>
                      <w:rPr>
                        <w:sz w:val="14"/>
                      </w:rPr>
                    </w:pPr>
                    <w:r>
                      <w:rPr>
                        <w:color w:val="231F20"/>
                        <w:sz w:val="14"/>
                      </w:rPr>
                      <w:t>6.20.012 05.2025 v04</w:t>
                    </w:r>
                  </w:p>
                </w:txbxContent>
              </v:textbox>
            </v:shape>
            <w10:wrap anchorx="page" anchory="page"/>
          </v:group>
        </w:pict>
      </w:r>
      <w:r w:rsidR="00216117">
        <w:rPr>
          <w:color w:val="FFFFFF"/>
          <w:position w:val="3"/>
          <w:sz w:val="16"/>
          <w:shd w:val="clear" w:color="auto" w:fill="808285"/>
        </w:rPr>
        <w:t xml:space="preserve">  </w:t>
      </w:r>
      <w:r w:rsidR="00216117">
        <w:rPr>
          <w:color w:val="FFFFFF"/>
          <w:w w:val="105"/>
          <w:position w:val="3"/>
          <w:sz w:val="16"/>
          <w:shd w:val="clear" w:color="auto" w:fill="808285"/>
        </w:rPr>
        <w:t>Článek 68</w:t>
      </w:r>
      <w:r w:rsidR="00216117">
        <w:rPr>
          <w:color w:val="FFFFFF"/>
          <w:w w:val="105"/>
          <w:position w:val="3"/>
          <w:sz w:val="16"/>
        </w:rPr>
        <w:t xml:space="preserve"> </w:t>
      </w:r>
      <w:r w:rsidR="00216117">
        <w:rPr>
          <w:color w:val="231F20"/>
          <w:w w:val="105"/>
          <w:sz w:val="15"/>
        </w:rPr>
        <w:t>Rozsah poskytovaných asistenčních služeb</w:t>
      </w:r>
    </w:p>
    <w:p w14:paraId="09E8250C"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position w:val="1"/>
          <w:sz w:val="14"/>
        </w:rPr>
        <w:t xml:space="preserve"> </w:t>
      </w:r>
      <w:r>
        <w:rPr>
          <w:color w:val="231F20"/>
        </w:rPr>
        <w:t xml:space="preserve">Náhradní přeprava osob je služba, která obsahuje úhradu nákladů za </w:t>
      </w:r>
      <w:r>
        <w:rPr>
          <w:color w:val="231F20"/>
          <w:spacing w:val="-4"/>
        </w:rPr>
        <w:t xml:space="preserve">pře- </w:t>
      </w:r>
      <w:r>
        <w:rPr>
          <w:color w:val="231F20"/>
        </w:rPr>
        <w:t>pravu</w:t>
      </w:r>
      <w:r>
        <w:rPr>
          <w:color w:val="231F20"/>
          <w:spacing w:val="-8"/>
        </w:rPr>
        <w:t xml:space="preserve"> </w:t>
      </w:r>
      <w:r>
        <w:rPr>
          <w:color w:val="231F20"/>
        </w:rPr>
        <w:t>oprávněných</w:t>
      </w:r>
      <w:r>
        <w:rPr>
          <w:color w:val="231F20"/>
          <w:spacing w:val="-8"/>
        </w:rPr>
        <w:t xml:space="preserve"> </w:t>
      </w:r>
      <w:r>
        <w:rPr>
          <w:color w:val="231F20"/>
        </w:rPr>
        <w:t>osob</w:t>
      </w:r>
      <w:r>
        <w:rPr>
          <w:color w:val="231F20"/>
          <w:spacing w:val="-7"/>
        </w:rPr>
        <w:t xml:space="preserve"> </w:t>
      </w:r>
      <w:r>
        <w:rPr>
          <w:color w:val="231F20"/>
        </w:rPr>
        <w:t>prostředkem</w:t>
      </w:r>
      <w:r>
        <w:rPr>
          <w:color w:val="231F20"/>
          <w:spacing w:val="-8"/>
        </w:rPr>
        <w:t xml:space="preserve"> </w:t>
      </w:r>
      <w:r>
        <w:rPr>
          <w:color w:val="231F20"/>
        </w:rPr>
        <w:t>veřejné</w:t>
      </w:r>
      <w:r>
        <w:rPr>
          <w:color w:val="231F20"/>
          <w:spacing w:val="-7"/>
        </w:rPr>
        <w:t xml:space="preserve"> </w:t>
      </w:r>
      <w:r>
        <w:rPr>
          <w:color w:val="231F20"/>
        </w:rPr>
        <w:t>dopravy</w:t>
      </w:r>
      <w:r>
        <w:rPr>
          <w:color w:val="231F20"/>
          <w:spacing w:val="-8"/>
        </w:rPr>
        <w:t xml:space="preserve"> </w:t>
      </w:r>
      <w:r>
        <w:rPr>
          <w:color w:val="231F20"/>
        </w:rPr>
        <w:t>z</w:t>
      </w:r>
      <w:r>
        <w:rPr>
          <w:color w:val="231F20"/>
          <w:spacing w:val="-8"/>
        </w:rPr>
        <w:t xml:space="preserve"> </w:t>
      </w:r>
      <w:r>
        <w:rPr>
          <w:color w:val="231F20"/>
        </w:rPr>
        <w:t>místa</w:t>
      </w:r>
      <w:r>
        <w:rPr>
          <w:color w:val="231F20"/>
          <w:spacing w:val="-7"/>
        </w:rPr>
        <w:t xml:space="preserve"> </w:t>
      </w:r>
      <w:r>
        <w:rPr>
          <w:color w:val="231F20"/>
        </w:rPr>
        <w:t>pojistné</w:t>
      </w:r>
      <w:r>
        <w:rPr>
          <w:color w:val="231F20"/>
          <w:spacing w:val="-8"/>
        </w:rPr>
        <w:t xml:space="preserve"> </w:t>
      </w:r>
      <w:r>
        <w:rPr>
          <w:color w:val="231F20"/>
        </w:rPr>
        <w:t>udá- losti</w:t>
      </w:r>
      <w:r>
        <w:rPr>
          <w:color w:val="231F20"/>
          <w:spacing w:val="-10"/>
        </w:rPr>
        <w:t xml:space="preserve"> </w:t>
      </w:r>
      <w:r>
        <w:rPr>
          <w:color w:val="231F20"/>
        </w:rPr>
        <w:t>do</w:t>
      </w:r>
      <w:r>
        <w:rPr>
          <w:color w:val="231F20"/>
          <w:spacing w:val="-10"/>
        </w:rPr>
        <w:t xml:space="preserve"> </w:t>
      </w:r>
      <w:r>
        <w:rPr>
          <w:color w:val="231F20"/>
        </w:rPr>
        <w:t>cíle,</w:t>
      </w:r>
      <w:r>
        <w:rPr>
          <w:color w:val="231F20"/>
          <w:spacing w:val="-9"/>
        </w:rPr>
        <w:t xml:space="preserve"> </w:t>
      </w:r>
      <w:r>
        <w:rPr>
          <w:color w:val="231F20"/>
        </w:rPr>
        <w:t>nebo</w:t>
      </w:r>
      <w:r>
        <w:rPr>
          <w:color w:val="231F20"/>
          <w:spacing w:val="-10"/>
        </w:rPr>
        <w:t xml:space="preserve"> </w:t>
      </w:r>
      <w:r>
        <w:rPr>
          <w:color w:val="231F20"/>
        </w:rPr>
        <w:t>do</w:t>
      </w:r>
      <w:r>
        <w:rPr>
          <w:color w:val="231F20"/>
          <w:spacing w:val="-10"/>
        </w:rPr>
        <w:t xml:space="preserve"> </w:t>
      </w:r>
      <w:r>
        <w:rPr>
          <w:color w:val="231F20"/>
        </w:rPr>
        <w:t>výchozího</w:t>
      </w:r>
      <w:r>
        <w:rPr>
          <w:color w:val="231F20"/>
          <w:spacing w:val="-9"/>
        </w:rPr>
        <w:t xml:space="preserve"> </w:t>
      </w:r>
      <w:r>
        <w:rPr>
          <w:color w:val="231F20"/>
        </w:rPr>
        <w:t>místa</w:t>
      </w:r>
      <w:r>
        <w:rPr>
          <w:color w:val="231F20"/>
          <w:spacing w:val="-10"/>
        </w:rPr>
        <w:t xml:space="preserve"> </w:t>
      </w:r>
      <w:r>
        <w:rPr>
          <w:color w:val="231F20"/>
        </w:rPr>
        <w:t>cesty</w:t>
      </w:r>
      <w:r>
        <w:rPr>
          <w:color w:val="231F20"/>
          <w:spacing w:val="-10"/>
        </w:rPr>
        <w:t xml:space="preserve"> </w:t>
      </w:r>
      <w:r>
        <w:rPr>
          <w:color w:val="231F20"/>
        </w:rPr>
        <w:t>(podle</w:t>
      </w:r>
      <w:r>
        <w:rPr>
          <w:color w:val="231F20"/>
          <w:spacing w:val="-9"/>
        </w:rPr>
        <w:t xml:space="preserve"> </w:t>
      </w:r>
      <w:r>
        <w:rPr>
          <w:color w:val="231F20"/>
        </w:rPr>
        <w:t>volby</w:t>
      </w:r>
      <w:r>
        <w:rPr>
          <w:color w:val="231F20"/>
          <w:spacing w:val="-10"/>
        </w:rPr>
        <w:t xml:space="preserve"> </w:t>
      </w:r>
      <w:r>
        <w:rPr>
          <w:color w:val="231F20"/>
        </w:rPr>
        <w:t>oprávněných</w:t>
      </w:r>
      <w:r>
        <w:rPr>
          <w:color w:val="231F20"/>
          <w:spacing w:val="-10"/>
        </w:rPr>
        <w:t xml:space="preserve"> </w:t>
      </w:r>
      <w:r>
        <w:rPr>
          <w:color w:val="231F20"/>
          <w:spacing w:val="-3"/>
        </w:rPr>
        <w:t xml:space="preserve">osob), </w:t>
      </w:r>
      <w:r>
        <w:rPr>
          <w:color w:val="231F20"/>
        </w:rPr>
        <w:t xml:space="preserve">včetně nezbytného ubytování oprávněných osob do doby odjezdu </w:t>
      </w:r>
      <w:r>
        <w:rPr>
          <w:color w:val="231F20"/>
          <w:spacing w:val="-3"/>
        </w:rPr>
        <w:t xml:space="preserve">nejbližší- </w:t>
      </w:r>
      <w:r>
        <w:rPr>
          <w:color w:val="231F20"/>
        </w:rPr>
        <w:t>ho vhodného spoje. Poskytována je přeprava vlakem, autobusem,</w:t>
      </w:r>
      <w:r>
        <w:rPr>
          <w:color w:val="231F20"/>
          <w:spacing w:val="-10"/>
        </w:rPr>
        <w:t xml:space="preserve"> </w:t>
      </w:r>
      <w:r>
        <w:rPr>
          <w:color w:val="231F20"/>
        </w:rPr>
        <w:t>letadlem a</w:t>
      </w:r>
      <w:r>
        <w:rPr>
          <w:color w:val="231F20"/>
          <w:spacing w:val="-14"/>
        </w:rPr>
        <w:t xml:space="preserve"> </w:t>
      </w:r>
      <w:r>
        <w:rPr>
          <w:color w:val="231F20"/>
        </w:rPr>
        <w:t>vozem</w:t>
      </w:r>
      <w:r>
        <w:rPr>
          <w:color w:val="231F20"/>
          <w:spacing w:val="-14"/>
        </w:rPr>
        <w:t xml:space="preserve"> </w:t>
      </w:r>
      <w:r>
        <w:rPr>
          <w:color w:val="231F20"/>
        </w:rPr>
        <w:t>taxi.</w:t>
      </w:r>
      <w:r>
        <w:rPr>
          <w:color w:val="231F20"/>
          <w:spacing w:val="-14"/>
        </w:rPr>
        <w:t xml:space="preserve"> </w:t>
      </w:r>
      <w:r>
        <w:rPr>
          <w:color w:val="231F20"/>
        </w:rPr>
        <w:t>Doprava</w:t>
      </w:r>
      <w:r>
        <w:rPr>
          <w:color w:val="231F20"/>
          <w:spacing w:val="-14"/>
        </w:rPr>
        <w:t xml:space="preserve"> </w:t>
      </w:r>
      <w:r>
        <w:rPr>
          <w:color w:val="231F20"/>
        </w:rPr>
        <w:t>letadlem</w:t>
      </w:r>
      <w:r>
        <w:rPr>
          <w:color w:val="231F20"/>
          <w:spacing w:val="-14"/>
        </w:rPr>
        <w:t xml:space="preserve"> </w:t>
      </w:r>
      <w:r>
        <w:rPr>
          <w:color w:val="231F20"/>
        </w:rPr>
        <w:t>je</w:t>
      </w:r>
      <w:r>
        <w:rPr>
          <w:color w:val="231F20"/>
          <w:spacing w:val="-14"/>
        </w:rPr>
        <w:t xml:space="preserve"> </w:t>
      </w:r>
      <w:r>
        <w:rPr>
          <w:color w:val="231F20"/>
        </w:rPr>
        <w:t>poskytována</w:t>
      </w:r>
      <w:r>
        <w:rPr>
          <w:color w:val="231F20"/>
          <w:spacing w:val="-14"/>
        </w:rPr>
        <w:t xml:space="preserve"> </w:t>
      </w:r>
      <w:r>
        <w:rPr>
          <w:color w:val="231F20"/>
        </w:rPr>
        <w:t>jen</w:t>
      </w:r>
      <w:r>
        <w:rPr>
          <w:color w:val="231F20"/>
          <w:spacing w:val="-14"/>
        </w:rPr>
        <w:t xml:space="preserve"> </w:t>
      </w:r>
      <w:r>
        <w:rPr>
          <w:color w:val="231F20"/>
          <w:spacing w:val="-3"/>
        </w:rPr>
        <w:t>tehdy,</w:t>
      </w:r>
      <w:r>
        <w:rPr>
          <w:color w:val="231F20"/>
          <w:spacing w:val="-14"/>
        </w:rPr>
        <w:t xml:space="preserve"> </w:t>
      </w:r>
      <w:r>
        <w:rPr>
          <w:color w:val="231F20"/>
        </w:rPr>
        <w:t>pokud</w:t>
      </w:r>
      <w:r>
        <w:rPr>
          <w:color w:val="231F20"/>
          <w:spacing w:val="-14"/>
        </w:rPr>
        <w:t xml:space="preserve"> </w:t>
      </w:r>
      <w:r>
        <w:rPr>
          <w:color w:val="231F20"/>
        </w:rPr>
        <w:t>by</w:t>
      </w:r>
      <w:r>
        <w:rPr>
          <w:color w:val="231F20"/>
          <w:spacing w:val="-14"/>
        </w:rPr>
        <w:t xml:space="preserve"> </w:t>
      </w:r>
      <w:r>
        <w:rPr>
          <w:color w:val="231F20"/>
        </w:rPr>
        <w:t>doba</w:t>
      </w:r>
      <w:r>
        <w:rPr>
          <w:color w:val="231F20"/>
          <w:spacing w:val="-14"/>
        </w:rPr>
        <w:t xml:space="preserve"> </w:t>
      </w:r>
      <w:r>
        <w:rPr>
          <w:color w:val="231F20"/>
        </w:rPr>
        <w:t>pře- pravy</w:t>
      </w:r>
      <w:r>
        <w:rPr>
          <w:color w:val="231F20"/>
          <w:spacing w:val="-8"/>
        </w:rPr>
        <w:t xml:space="preserve"> </w:t>
      </w:r>
      <w:r>
        <w:rPr>
          <w:color w:val="231F20"/>
        </w:rPr>
        <w:t>jiným</w:t>
      </w:r>
      <w:r>
        <w:rPr>
          <w:color w:val="231F20"/>
          <w:spacing w:val="-8"/>
        </w:rPr>
        <w:t xml:space="preserve"> </w:t>
      </w:r>
      <w:r>
        <w:rPr>
          <w:color w:val="231F20"/>
        </w:rPr>
        <w:t>dopravním</w:t>
      </w:r>
      <w:r>
        <w:rPr>
          <w:color w:val="231F20"/>
          <w:spacing w:val="-7"/>
        </w:rPr>
        <w:t xml:space="preserve"> </w:t>
      </w:r>
      <w:r>
        <w:rPr>
          <w:color w:val="231F20"/>
        </w:rPr>
        <w:t>prostředkem</w:t>
      </w:r>
      <w:r>
        <w:rPr>
          <w:color w:val="231F20"/>
          <w:spacing w:val="-8"/>
        </w:rPr>
        <w:t xml:space="preserve"> </w:t>
      </w:r>
      <w:r>
        <w:rPr>
          <w:color w:val="231F20"/>
        </w:rPr>
        <w:t>překročila</w:t>
      </w:r>
      <w:r>
        <w:rPr>
          <w:color w:val="231F20"/>
          <w:spacing w:val="-8"/>
        </w:rPr>
        <w:t xml:space="preserve"> </w:t>
      </w:r>
      <w:r>
        <w:rPr>
          <w:color w:val="231F20"/>
        </w:rPr>
        <w:t>8</w:t>
      </w:r>
      <w:r>
        <w:rPr>
          <w:color w:val="231F20"/>
          <w:spacing w:val="-7"/>
        </w:rPr>
        <w:t xml:space="preserve"> </w:t>
      </w:r>
      <w:r>
        <w:rPr>
          <w:color w:val="231F20"/>
        </w:rPr>
        <w:t>hodin.</w:t>
      </w:r>
      <w:r>
        <w:rPr>
          <w:color w:val="231F20"/>
          <w:spacing w:val="-8"/>
        </w:rPr>
        <w:t xml:space="preserve"> </w:t>
      </w:r>
      <w:r>
        <w:rPr>
          <w:color w:val="231F20"/>
        </w:rPr>
        <w:t>Přeprava</w:t>
      </w:r>
      <w:r>
        <w:rPr>
          <w:color w:val="231F20"/>
          <w:spacing w:val="-8"/>
        </w:rPr>
        <w:t xml:space="preserve"> </w:t>
      </w:r>
      <w:r>
        <w:rPr>
          <w:color w:val="231F20"/>
        </w:rPr>
        <w:t>vozem</w:t>
      </w:r>
      <w:r>
        <w:rPr>
          <w:color w:val="231F20"/>
          <w:spacing w:val="-7"/>
        </w:rPr>
        <w:t xml:space="preserve"> </w:t>
      </w:r>
      <w:r>
        <w:rPr>
          <w:color w:val="231F20"/>
          <w:spacing w:val="-3"/>
        </w:rPr>
        <w:t xml:space="preserve">taxi </w:t>
      </w:r>
      <w:r>
        <w:rPr>
          <w:color w:val="231F20"/>
        </w:rPr>
        <w:t>je</w:t>
      </w:r>
      <w:r>
        <w:rPr>
          <w:color w:val="231F20"/>
          <w:spacing w:val="-13"/>
        </w:rPr>
        <w:t xml:space="preserve"> </w:t>
      </w:r>
      <w:r>
        <w:rPr>
          <w:color w:val="231F20"/>
        </w:rPr>
        <w:t>poskytována</w:t>
      </w:r>
      <w:r>
        <w:rPr>
          <w:color w:val="231F20"/>
          <w:spacing w:val="-12"/>
        </w:rPr>
        <w:t xml:space="preserve"> </w:t>
      </w:r>
      <w:r>
        <w:rPr>
          <w:color w:val="231F20"/>
        </w:rPr>
        <w:t>do</w:t>
      </w:r>
      <w:r>
        <w:rPr>
          <w:color w:val="231F20"/>
          <w:spacing w:val="-12"/>
        </w:rPr>
        <w:t xml:space="preserve"> </w:t>
      </w:r>
      <w:r>
        <w:rPr>
          <w:color w:val="231F20"/>
        </w:rPr>
        <w:t>vzdálenosti</w:t>
      </w:r>
      <w:r>
        <w:rPr>
          <w:color w:val="231F20"/>
          <w:spacing w:val="-13"/>
        </w:rPr>
        <w:t xml:space="preserve"> </w:t>
      </w:r>
      <w:r>
        <w:rPr>
          <w:color w:val="231F20"/>
        </w:rPr>
        <w:t>nejvýše</w:t>
      </w:r>
      <w:r>
        <w:rPr>
          <w:color w:val="231F20"/>
          <w:spacing w:val="-12"/>
        </w:rPr>
        <w:t xml:space="preserve"> </w:t>
      </w:r>
      <w:r>
        <w:rPr>
          <w:color w:val="231F20"/>
        </w:rPr>
        <w:t>50</w:t>
      </w:r>
      <w:r>
        <w:rPr>
          <w:color w:val="231F20"/>
          <w:spacing w:val="-12"/>
        </w:rPr>
        <w:t xml:space="preserve"> </w:t>
      </w:r>
      <w:r>
        <w:rPr>
          <w:color w:val="231F20"/>
        </w:rPr>
        <w:t>km.</w:t>
      </w:r>
      <w:r>
        <w:rPr>
          <w:color w:val="231F20"/>
          <w:spacing w:val="-13"/>
        </w:rPr>
        <w:t xml:space="preserve"> </w:t>
      </w:r>
      <w:r>
        <w:rPr>
          <w:color w:val="231F20"/>
        </w:rPr>
        <w:t>Náhradní</w:t>
      </w:r>
      <w:r>
        <w:rPr>
          <w:color w:val="231F20"/>
          <w:spacing w:val="-12"/>
        </w:rPr>
        <w:t xml:space="preserve"> </w:t>
      </w:r>
      <w:r>
        <w:rPr>
          <w:color w:val="231F20"/>
        </w:rPr>
        <w:t>přeprava</w:t>
      </w:r>
      <w:r>
        <w:rPr>
          <w:color w:val="231F20"/>
          <w:spacing w:val="-12"/>
        </w:rPr>
        <w:t xml:space="preserve"> </w:t>
      </w:r>
      <w:r>
        <w:rPr>
          <w:color w:val="231F20"/>
        </w:rPr>
        <w:t>osob</w:t>
      </w:r>
      <w:r>
        <w:rPr>
          <w:color w:val="231F20"/>
          <w:spacing w:val="-12"/>
        </w:rPr>
        <w:t xml:space="preserve"> </w:t>
      </w:r>
      <w:r>
        <w:rPr>
          <w:color w:val="231F20"/>
        </w:rPr>
        <w:t>je</w:t>
      </w:r>
      <w:r>
        <w:rPr>
          <w:color w:val="231F20"/>
          <w:spacing w:val="-13"/>
        </w:rPr>
        <w:t xml:space="preserve"> </w:t>
      </w:r>
      <w:r>
        <w:rPr>
          <w:color w:val="231F20"/>
        </w:rPr>
        <w:t>po- skytována</w:t>
      </w:r>
      <w:r>
        <w:rPr>
          <w:color w:val="231F20"/>
          <w:spacing w:val="-13"/>
        </w:rPr>
        <w:t xml:space="preserve"> </w:t>
      </w:r>
      <w:r>
        <w:rPr>
          <w:color w:val="231F20"/>
        </w:rPr>
        <w:t>jen</w:t>
      </w:r>
      <w:r>
        <w:rPr>
          <w:color w:val="231F20"/>
          <w:spacing w:val="-12"/>
        </w:rPr>
        <w:t xml:space="preserve"> </w:t>
      </w:r>
      <w:r>
        <w:rPr>
          <w:color w:val="231F20"/>
          <w:spacing w:val="-3"/>
        </w:rPr>
        <w:t>tehdy,</w:t>
      </w:r>
      <w:r>
        <w:rPr>
          <w:color w:val="231F20"/>
          <w:spacing w:val="-13"/>
        </w:rPr>
        <w:t xml:space="preserve"> </w:t>
      </w:r>
      <w:r>
        <w:rPr>
          <w:color w:val="231F20"/>
        </w:rPr>
        <w:t>pokud</w:t>
      </w:r>
      <w:r>
        <w:rPr>
          <w:color w:val="231F20"/>
          <w:spacing w:val="-12"/>
        </w:rPr>
        <w:t xml:space="preserve"> </w:t>
      </w:r>
      <w:r>
        <w:rPr>
          <w:color w:val="231F20"/>
        </w:rPr>
        <w:t>není</w:t>
      </w:r>
      <w:r>
        <w:rPr>
          <w:color w:val="231F20"/>
          <w:spacing w:val="-12"/>
        </w:rPr>
        <w:t xml:space="preserve"> </w:t>
      </w:r>
      <w:r>
        <w:rPr>
          <w:color w:val="231F20"/>
        </w:rPr>
        <w:t>možné</w:t>
      </w:r>
      <w:r>
        <w:rPr>
          <w:color w:val="231F20"/>
          <w:spacing w:val="-13"/>
        </w:rPr>
        <w:t xml:space="preserve"> </w:t>
      </w:r>
      <w:r>
        <w:rPr>
          <w:color w:val="231F20"/>
        </w:rPr>
        <w:t>uvést</w:t>
      </w:r>
      <w:r>
        <w:rPr>
          <w:color w:val="231F20"/>
          <w:spacing w:val="-12"/>
        </w:rPr>
        <w:t xml:space="preserve"> </w:t>
      </w:r>
      <w:r>
        <w:rPr>
          <w:color w:val="231F20"/>
        </w:rPr>
        <w:t>vozidlo</w:t>
      </w:r>
      <w:r>
        <w:rPr>
          <w:color w:val="231F20"/>
          <w:spacing w:val="-13"/>
        </w:rPr>
        <w:t xml:space="preserve"> </w:t>
      </w:r>
      <w:r>
        <w:rPr>
          <w:color w:val="231F20"/>
        </w:rPr>
        <w:t>do</w:t>
      </w:r>
      <w:r>
        <w:rPr>
          <w:color w:val="231F20"/>
          <w:spacing w:val="-12"/>
        </w:rPr>
        <w:t xml:space="preserve"> </w:t>
      </w:r>
      <w:r>
        <w:rPr>
          <w:color w:val="231F20"/>
        </w:rPr>
        <w:t>pojízdného</w:t>
      </w:r>
      <w:r>
        <w:rPr>
          <w:color w:val="231F20"/>
          <w:spacing w:val="-12"/>
        </w:rPr>
        <w:t xml:space="preserve"> </w:t>
      </w:r>
      <w:r>
        <w:rPr>
          <w:color w:val="231F20"/>
        </w:rPr>
        <w:t>stavu</w:t>
      </w:r>
      <w:r>
        <w:rPr>
          <w:color w:val="231F20"/>
          <w:spacing w:val="-13"/>
        </w:rPr>
        <w:t xml:space="preserve"> </w:t>
      </w:r>
      <w:r>
        <w:rPr>
          <w:color w:val="231F20"/>
          <w:spacing w:val="-6"/>
        </w:rPr>
        <w:t xml:space="preserve">do </w:t>
      </w:r>
      <w:r>
        <w:rPr>
          <w:color w:val="231F20"/>
        </w:rPr>
        <w:t>12</w:t>
      </w:r>
      <w:r>
        <w:rPr>
          <w:color w:val="231F20"/>
          <w:spacing w:val="-7"/>
        </w:rPr>
        <w:t xml:space="preserve"> </w:t>
      </w:r>
      <w:r>
        <w:rPr>
          <w:color w:val="231F20"/>
        </w:rPr>
        <w:t>hodin</w:t>
      </w:r>
      <w:r>
        <w:rPr>
          <w:color w:val="231F20"/>
          <w:spacing w:val="-7"/>
        </w:rPr>
        <w:t xml:space="preserve"> </w:t>
      </w:r>
      <w:r>
        <w:rPr>
          <w:color w:val="231F20"/>
        </w:rPr>
        <w:t>od</w:t>
      </w:r>
      <w:r>
        <w:rPr>
          <w:color w:val="231F20"/>
          <w:spacing w:val="-7"/>
        </w:rPr>
        <w:t xml:space="preserve"> </w:t>
      </w:r>
      <w:r>
        <w:rPr>
          <w:color w:val="231F20"/>
        </w:rPr>
        <w:t>nahlášení</w:t>
      </w:r>
      <w:r>
        <w:rPr>
          <w:color w:val="231F20"/>
          <w:spacing w:val="-6"/>
        </w:rPr>
        <w:t xml:space="preserve"> </w:t>
      </w:r>
      <w:r>
        <w:rPr>
          <w:color w:val="231F20"/>
        </w:rPr>
        <w:t>pojistné</w:t>
      </w:r>
      <w:r>
        <w:rPr>
          <w:color w:val="231F20"/>
          <w:spacing w:val="-7"/>
        </w:rPr>
        <w:t xml:space="preserve"> </w:t>
      </w:r>
      <w:r>
        <w:rPr>
          <w:color w:val="231F20"/>
        </w:rPr>
        <w:t>události</w:t>
      </w:r>
      <w:r>
        <w:rPr>
          <w:color w:val="231F20"/>
          <w:spacing w:val="-7"/>
        </w:rPr>
        <w:t xml:space="preserve"> </w:t>
      </w:r>
      <w:r>
        <w:rPr>
          <w:color w:val="231F20"/>
        </w:rPr>
        <w:t>poskytovateli</w:t>
      </w:r>
      <w:r>
        <w:rPr>
          <w:color w:val="231F20"/>
          <w:spacing w:val="-6"/>
        </w:rPr>
        <w:t xml:space="preserve"> </w:t>
      </w:r>
      <w:r>
        <w:rPr>
          <w:color w:val="231F20"/>
        </w:rPr>
        <w:t>asistence,</w:t>
      </w:r>
      <w:r>
        <w:rPr>
          <w:color w:val="231F20"/>
          <w:spacing w:val="-7"/>
        </w:rPr>
        <w:t xml:space="preserve"> </w:t>
      </w:r>
      <w:r>
        <w:rPr>
          <w:color w:val="231F20"/>
        </w:rPr>
        <w:t>nebo</w:t>
      </w:r>
      <w:r>
        <w:rPr>
          <w:color w:val="231F20"/>
          <w:spacing w:val="-7"/>
        </w:rPr>
        <w:t xml:space="preserve"> </w:t>
      </w:r>
      <w:r>
        <w:rPr>
          <w:color w:val="231F20"/>
        </w:rPr>
        <w:t>pokud bylo</w:t>
      </w:r>
      <w:r>
        <w:rPr>
          <w:color w:val="231F20"/>
          <w:spacing w:val="-20"/>
        </w:rPr>
        <w:t xml:space="preserve"> </w:t>
      </w:r>
      <w:r>
        <w:rPr>
          <w:color w:val="231F20"/>
        </w:rPr>
        <w:t>vozidlo</w:t>
      </w:r>
      <w:r>
        <w:rPr>
          <w:color w:val="231F20"/>
          <w:spacing w:val="-19"/>
        </w:rPr>
        <w:t xml:space="preserve"> </w:t>
      </w:r>
      <w:r>
        <w:rPr>
          <w:color w:val="231F20"/>
        </w:rPr>
        <w:t>odcizeno.</w:t>
      </w:r>
      <w:r>
        <w:rPr>
          <w:color w:val="231F20"/>
          <w:spacing w:val="-20"/>
        </w:rPr>
        <w:t xml:space="preserve"> </w:t>
      </w:r>
      <w:r>
        <w:rPr>
          <w:color w:val="231F20"/>
        </w:rPr>
        <w:t>O</w:t>
      </w:r>
      <w:r>
        <w:rPr>
          <w:color w:val="231F20"/>
          <w:spacing w:val="-19"/>
        </w:rPr>
        <w:t xml:space="preserve"> </w:t>
      </w:r>
      <w:r>
        <w:rPr>
          <w:color w:val="231F20"/>
        </w:rPr>
        <w:t>volbě</w:t>
      </w:r>
      <w:r>
        <w:rPr>
          <w:color w:val="231F20"/>
          <w:spacing w:val="-19"/>
        </w:rPr>
        <w:t xml:space="preserve"> </w:t>
      </w:r>
      <w:r>
        <w:rPr>
          <w:color w:val="231F20"/>
        </w:rPr>
        <w:t>druhu</w:t>
      </w:r>
      <w:r>
        <w:rPr>
          <w:color w:val="231F20"/>
          <w:spacing w:val="-20"/>
        </w:rPr>
        <w:t xml:space="preserve"> </w:t>
      </w:r>
      <w:r>
        <w:rPr>
          <w:color w:val="231F20"/>
        </w:rPr>
        <w:t>dopravního</w:t>
      </w:r>
      <w:r>
        <w:rPr>
          <w:color w:val="231F20"/>
          <w:spacing w:val="-19"/>
        </w:rPr>
        <w:t xml:space="preserve"> </w:t>
      </w:r>
      <w:r>
        <w:rPr>
          <w:color w:val="231F20"/>
        </w:rPr>
        <w:t>prostředku</w:t>
      </w:r>
      <w:r>
        <w:rPr>
          <w:color w:val="231F20"/>
          <w:spacing w:val="-19"/>
        </w:rPr>
        <w:t xml:space="preserve"> </w:t>
      </w:r>
      <w:r>
        <w:rPr>
          <w:color w:val="231F20"/>
        </w:rPr>
        <w:t>rozhoduje</w:t>
      </w:r>
      <w:r>
        <w:rPr>
          <w:color w:val="231F20"/>
          <w:spacing w:val="-20"/>
        </w:rPr>
        <w:t xml:space="preserve"> </w:t>
      </w:r>
      <w:r>
        <w:rPr>
          <w:color w:val="231F20"/>
          <w:spacing w:val="-4"/>
        </w:rPr>
        <w:t xml:space="preserve">posky- </w:t>
      </w:r>
      <w:r>
        <w:rPr>
          <w:color w:val="231F20"/>
        </w:rPr>
        <w:t>tovatel</w:t>
      </w:r>
      <w:r>
        <w:rPr>
          <w:color w:val="231F20"/>
          <w:spacing w:val="-7"/>
        </w:rPr>
        <w:t xml:space="preserve"> </w:t>
      </w:r>
      <w:r>
        <w:rPr>
          <w:color w:val="231F20"/>
        </w:rPr>
        <w:t>asistence.</w:t>
      </w:r>
      <w:r>
        <w:rPr>
          <w:color w:val="231F20"/>
          <w:spacing w:val="-6"/>
        </w:rPr>
        <w:t xml:space="preserve"> </w:t>
      </w:r>
      <w:r>
        <w:rPr>
          <w:color w:val="231F20"/>
        </w:rPr>
        <w:t>Náhradní</w:t>
      </w:r>
      <w:r>
        <w:rPr>
          <w:color w:val="231F20"/>
          <w:spacing w:val="-6"/>
        </w:rPr>
        <w:t xml:space="preserve"> </w:t>
      </w:r>
      <w:r>
        <w:rPr>
          <w:color w:val="231F20"/>
        </w:rPr>
        <w:t>přepravu</w:t>
      </w:r>
      <w:r>
        <w:rPr>
          <w:color w:val="231F20"/>
          <w:spacing w:val="-7"/>
        </w:rPr>
        <w:t xml:space="preserve"> </w:t>
      </w:r>
      <w:r>
        <w:rPr>
          <w:color w:val="231F20"/>
        </w:rPr>
        <w:t>osob</w:t>
      </w:r>
      <w:r>
        <w:rPr>
          <w:color w:val="231F20"/>
          <w:spacing w:val="-6"/>
        </w:rPr>
        <w:t xml:space="preserve"> </w:t>
      </w:r>
      <w:r>
        <w:rPr>
          <w:color w:val="231F20"/>
        </w:rPr>
        <w:t>nelze</w:t>
      </w:r>
      <w:r>
        <w:rPr>
          <w:color w:val="231F20"/>
          <w:spacing w:val="-6"/>
        </w:rPr>
        <w:t xml:space="preserve"> </w:t>
      </w:r>
      <w:r>
        <w:rPr>
          <w:color w:val="231F20"/>
        </w:rPr>
        <w:t>kombinovat</w:t>
      </w:r>
      <w:r>
        <w:rPr>
          <w:color w:val="231F20"/>
          <w:spacing w:val="-6"/>
        </w:rPr>
        <w:t xml:space="preserve"> </w:t>
      </w:r>
      <w:r>
        <w:rPr>
          <w:color w:val="231F20"/>
        </w:rPr>
        <w:t>se</w:t>
      </w:r>
      <w:r>
        <w:rPr>
          <w:color w:val="231F20"/>
          <w:spacing w:val="-7"/>
        </w:rPr>
        <w:t xml:space="preserve"> </w:t>
      </w:r>
      <w:r>
        <w:rPr>
          <w:color w:val="231F20"/>
        </w:rPr>
        <w:t>zapůjčením náhradního vozidla, nerozhodne-li poskytovatel asistence</w:t>
      </w:r>
      <w:r>
        <w:rPr>
          <w:color w:val="231F20"/>
          <w:spacing w:val="-30"/>
        </w:rPr>
        <w:t xml:space="preserve"> </w:t>
      </w:r>
      <w:r>
        <w:rPr>
          <w:color w:val="231F20"/>
        </w:rPr>
        <w:t>jinak.</w:t>
      </w:r>
    </w:p>
    <w:p w14:paraId="29E1F8DB"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position w:val="1"/>
          <w:sz w:val="14"/>
        </w:rPr>
        <w:t xml:space="preserve"> </w:t>
      </w:r>
      <w:r>
        <w:rPr>
          <w:color w:val="231F20"/>
        </w:rPr>
        <w:t>Náhradní ubytování je služba, která obsahuje úhradu nákladů za ubytování oprávněných</w:t>
      </w:r>
      <w:r>
        <w:rPr>
          <w:color w:val="231F20"/>
          <w:spacing w:val="-21"/>
        </w:rPr>
        <w:t xml:space="preserve"> </w:t>
      </w:r>
      <w:r>
        <w:rPr>
          <w:color w:val="231F20"/>
        </w:rPr>
        <w:t>osob</w:t>
      </w:r>
      <w:r>
        <w:rPr>
          <w:color w:val="231F20"/>
          <w:spacing w:val="-21"/>
        </w:rPr>
        <w:t xml:space="preserve"> </w:t>
      </w:r>
      <w:r>
        <w:rPr>
          <w:color w:val="231F20"/>
        </w:rPr>
        <w:t>v</w:t>
      </w:r>
      <w:r>
        <w:rPr>
          <w:color w:val="231F20"/>
          <w:spacing w:val="-21"/>
        </w:rPr>
        <w:t xml:space="preserve"> </w:t>
      </w:r>
      <w:r>
        <w:rPr>
          <w:color w:val="231F20"/>
        </w:rPr>
        <w:t>ubytovacím</w:t>
      </w:r>
      <w:r>
        <w:rPr>
          <w:color w:val="231F20"/>
          <w:spacing w:val="-20"/>
        </w:rPr>
        <w:t xml:space="preserve"> </w:t>
      </w:r>
      <w:r>
        <w:rPr>
          <w:color w:val="231F20"/>
        </w:rPr>
        <w:t>zařízení</w:t>
      </w:r>
      <w:r>
        <w:rPr>
          <w:color w:val="231F20"/>
          <w:spacing w:val="-21"/>
        </w:rPr>
        <w:t xml:space="preserve"> </w:t>
      </w:r>
      <w:r>
        <w:rPr>
          <w:color w:val="231F20"/>
        </w:rPr>
        <w:t>(nejvýše</w:t>
      </w:r>
      <w:r>
        <w:rPr>
          <w:color w:val="231F20"/>
          <w:spacing w:val="-21"/>
        </w:rPr>
        <w:t xml:space="preserve"> </w:t>
      </w:r>
      <w:r>
        <w:rPr>
          <w:color w:val="231F20"/>
        </w:rPr>
        <w:t>však</w:t>
      </w:r>
      <w:r>
        <w:rPr>
          <w:color w:val="231F20"/>
          <w:spacing w:val="-21"/>
        </w:rPr>
        <w:t xml:space="preserve"> </w:t>
      </w:r>
      <w:r>
        <w:rPr>
          <w:color w:val="231F20"/>
        </w:rPr>
        <w:t>do</w:t>
      </w:r>
      <w:r>
        <w:rPr>
          <w:color w:val="231F20"/>
          <w:spacing w:val="-20"/>
        </w:rPr>
        <w:t xml:space="preserve"> </w:t>
      </w:r>
      <w:r>
        <w:rPr>
          <w:color w:val="231F20"/>
        </w:rPr>
        <w:t>kategorie</w:t>
      </w:r>
      <w:r>
        <w:rPr>
          <w:color w:val="231F20"/>
          <w:spacing w:val="-21"/>
        </w:rPr>
        <w:t xml:space="preserve"> </w:t>
      </w:r>
      <w:r>
        <w:rPr>
          <w:color w:val="231F20"/>
        </w:rPr>
        <w:t>3</w:t>
      </w:r>
      <w:r>
        <w:rPr>
          <w:color w:val="231F20"/>
          <w:spacing w:val="-21"/>
        </w:rPr>
        <w:t xml:space="preserve"> </w:t>
      </w:r>
      <w:r>
        <w:rPr>
          <w:color w:val="231F20"/>
        </w:rPr>
        <w:t>hvězdi- ček</w:t>
      </w:r>
      <w:r>
        <w:rPr>
          <w:color w:val="231F20"/>
          <w:spacing w:val="-17"/>
        </w:rPr>
        <w:t xml:space="preserve"> </w:t>
      </w:r>
      <w:r>
        <w:rPr>
          <w:color w:val="231F20"/>
        </w:rPr>
        <w:t>klasifikace</w:t>
      </w:r>
      <w:r>
        <w:rPr>
          <w:color w:val="231F20"/>
          <w:spacing w:val="-16"/>
        </w:rPr>
        <w:t xml:space="preserve"> </w:t>
      </w:r>
      <w:r>
        <w:rPr>
          <w:color w:val="231F20"/>
        </w:rPr>
        <w:t>ubytovacího</w:t>
      </w:r>
      <w:r>
        <w:rPr>
          <w:color w:val="231F20"/>
          <w:spacing w:val="-16"/>
        </w:rPr>
        <w:t xml:space="preserve"> </w:t>
      </w:r>
      <w:r>
        <w:rPr>
          <w:color w:val="231F20"/>
        </w:rPr>
        <w:t>zařízení),</w:t>
      </w:r>
      <w:r>
        <w:rPr>
          <w:color w:val="231F20"/>
          <w:spacing w:val="-16"/>
        </w:rPr>
        <w:t xml:space="preserve"> </w:t>
      </w:r>
      <w:r>
        <w:rPr>
          <w:color w:val="231F20"/>
        </w:rPr>
        <w:t>v</w:t>
      </w:r>
      <w:r>
        <w:rPr>
          <w:color w:val="231F20"/>
          <w:spacing w:val="-16"/>
        </w:rPr>
        <w:t xml:space="preserve"> </w:t>
      </w:r>
      <w:r>
        <w:rPr>
          <w:color w:val="231F20"/>
        </w:rPr>
        <w:t>blízkosti</w:t>
      </w:r>
      <w:r>
        <w:rPr>
          <w:color w:val="231F20"/>
          <w:spacing w:val="-16"/>
        </w:rPr>
        <w:t xml:space="preserve"> </w:t>
      </w:r>
      <w:r>
        <w:rPr>
          <w:color w:val="231F20"/>
        </w:rPr>
        <w:t>místa</w:t>
      </w:r>
      <w:r>
        <w:rPr>
          <w:color w:val="231F20"/>
          <w:spacing w:val="-16"/>
        </w:rPr>
        <w:t xml:space="preserve"> </w:t>
      </w:r>
      <w:r>
        <w:rPr>
          <w:color w:val="231F20"/>
        </w:rPr>
        <w:t>události,</w:t>
      </w:r>
      <w:r>
        <w:rPr>
          <w:color w:val="231F20"/>
          <w:spacing w:val="-16"/>
        </w:rPr>
        <w:t xml:space="preserve"> </w:t>
      </w:r>
      <w:r>
        <w:rPr>
          <w:color w:val="231F20"/>
        </w:rPr>
        <w:t>nebo</w:t>
      </w:r>
      <w:r>
        <w:rPr>
          <w:color w:val="231F20"/>
          <w:spacing w:val="-16"/>
        </w:rPr>
        <w:t xml:space="preserve"> </w:t>
      </w:r>
      <w:r>
        <w:rPr>
          <w:color w:val="231F20"/>
        </w:rPr>
        <w:t>servisu, ve</w:t>
      </w:r>
      <w:r>
        <w:rPr>
          <w:color w:val="231F20"/>
          <w:spacing w:val="-16"/>
        </w:rPr>
        <w:t xml:space="preserve"> </w:t>
      </w:r>
      <w:r>
        <w:rPr>
          <w:color w:val="231F20"/>
        </w:rPr>
        <w:t>kterém</w:t>
      </w:r>
      <w:r>
        <w:rPr>
          <w:color w:val="231F20"/>
          <w:spacing w:val="-16"/>
        </w:rPr>
        <w:t xml:space="preserve"> </w:t>
      </w:r>
      <w:r>
        <w:rPr>
          <w:color w:val="231F20"/>
        </w:rPr>
        <w:t>je</w:t>
      </w:r>
      <w:r>
        <w:rPr>
          <w:color w:val="231F20"/>
          <w:spacing w:val="-16"/>
        </w:rPr>
        <w:t xml:space="preserve"> </w:t>
      </w:r>
      <w:r>
        <w:rPr>
          <w:color w:val="231F20"/>
        </w:rPr>
        <w:t>pojištěné</w:t>
      </w:r>
      <w:r>
        <w:rPr>
          <w:color w:val="231F20"/>
          <w:spacing w:val="-16"/>
        </w:rPr>
        <w:t xml:space="preserve"> </w:t>
      </w:r>
      <w:r>
        <w:rPr>
          <w:color w:val="231F20"/>
        </w:rPr>
        <w:t>vozidlo</w:t>
      </w:r>
      <w:r>
        <w:rPr>
          <w:color w:val="231F20"/>
          <w:spacing w:val="-16"/>
        </w:rPr>
        <w:t xml:space="preserve"> </w:t>
      </w:r>
      <w:r>
        <w:rPr>
          <w:color w:val="231F20"/>
        </w:rPr>
        <w:t>opravováno</w:t>
      </w:r>
      <w:r>
        <w:rPr>
          <w:color w:val="231F20"/>
          <w:spacing w:val="-16"/>
        </w:rPr>
        <w:t xml:space="preserve"> </w:t>
      </w:r>
      <w:r>
        <w:rPr>
          <w:color w:val="231F20"/>
        </w:rPr>
        <w:t>(podle</w:t>
      </w:r>
      <w:r>
        <w:rPr>
          <w:color w:val="231F20"/>
          <w:spacing w:val="-16"/>
        </w:rPr>
        <w:t xml:space="preserve"> </w:t>
      </w:r>
      <w:r>
        <w:rPr>
          <w:color w:val="231F20"/>
        </w:rPr>
        <w:t>jejich</w:t>
      </w:r>
      <w:r>
        <w:rPr>
          <w:color w:val="231F20"/>
          <w:spacing w:val="-16"/>
        </w:rPr>
        <w:t xml:space="preserve"> </w:t>
      </w:r>
      <w:r>
        <w:rPr>
          <w:color w:val="231F20"/>
        </w:rPr>
        <w:t>volby)</w:t>
      </w:r>
      <w:r>
        <w:rPr>
          <w:color w:val="231F20"/>
          <w:spacing w:val="-16"/>
        </w:rPr>
        <w:t xml:space="preserve"> </w:t>
      </w:r>
      <w:r>
        <w:rPr>
          <w:color w:val="231F20"/>
        </w:rPr>
        <w:t>po</w:t>
      </w:r>
      <w:r>
        <w:rPr>
          <w:color w:val="231F20"/>
          <w:spacing w:val="-16"/>
        </w:rPr>
        <w:t xml:space="preserve"> </w:t>
      </w:r>
      <w:r>
        <w:rPr>
          <w:color w:val="231F20"/>
        </w:rPr>
        <w:t>dobu</w:t>
      </w:r>
      <w:r>
        <w:rPr>
          <w:color w:val="231F20"/>
          <w:spacing w:val="-16"/>
        </w:rPr>
        <w:t xml:space="preserve"> </w:t>
      </w:r>
      <w:r>
        <w:rPr>
          <w:color w:val="231F20"/>
        </w:rPr>
        <w:t>uvede- nou</w:t>
      </w:r>
      <w:r>
        <w:rPr>
          <w:color w:val="231F20"/>
          <w:spacing w:val="-25"/>
        </w:rPr>
        <w:t xml:space="preserve"> </w:t>
      </w:r>
      <w:r>
        <w:rPr>
          <w:color w:val="231F20"/>
        </w:rPr>
        <w:t>pro</w:t>
      </w:r>
      <w:r>
        <w:rPr>
          <w:color w:val="231F20"/>
          <w:spacing w:val="-25"/>
        </w:rPr>
        <w:t xml:space="preserve"> </w:t>
      </w:r>
      <w:r>
        <w:rPr>
          <w:color w:val="231F20"/>
        </w:rPr>
        <w:t>jednotlivé</w:t>
      </w:r>
      <w:r>
        <w:rPr>
          <w:color w:val="231F20"/>
          <w:spacing w:val="-24"/>
        </w:rPr>
        <w:t xml:space="preserve"> </w:t>
      </w:r>
      <w:r>
        <w:rPr>
          <w:color w:val="231F20"/>
        </w:rPr>
        <w:t>varianty</w:t>
      </w:r>
      <w:r>
        <w:rPr>
          <w:color w:val="231F20"/>
          <w:spacing w:val="-25"/>
        </w:rPr>
        <w:t xml:space="preserve"> </w:t>
      </w:r>
      <w:r>
        <w:rPr>
          <w:color w:val="231F20"/>
        </w:rPr>
        <w:t>asistence,</w:t>
      </w:r>
      <w:r>
        <w:rPr>
          <w:color w:val="231F20"/>
          <w:spacing w:val="-24"/>
        </w:rPr>
        <w:t xml:space="preserve"> </w:t>
      </w:r>
      <w:r>
        <w:rPr>
          <w:color w:val="231F20"/>
        </w:rPr>
        <w:t>nejdéle</w:t>
      </w:r>
      <w:r>
        <w:rPr>
          <w:color w:val="231F20"/>
          <w:spacing w:val="-25"/>
        </w:rPr>
        <w:t xml:space="preserve"> </w:t>
      </w:r>
      <w:r>
        <w:rPr>
          <w:color w:val="231F20"/>
        </w:rPr>
        <w:t>však</w:t>
      </w:r>
      <w:r>
        <w:rPr>
          <w:color w:val="231F20"/>
          <w:spacing w:val="-24"/>
        </w:rPr>
        <w:t xml:space="preserve"> </w:t>
      </w:r>
      <w:r>
        <w:rPr>
          <w:color w:val="231F20"/>
        </w:rPr>
        <w:t>po</w:t>
      </w:r>
      <w:r>
        <w:rPr>
          <w:color w:val="231F20"/>
          <w:spacing w:val="-25"/>
        </w:rPr>
        <w:t xml:space="preserve"> </w:t>
      </w:r>
      <w:r>
        <w:rPr>
          <w:color w:val="231F20"/>
        </w:rPr>
        <w:t>dobu</w:t>
      </w:r>
      <w:r>
        <w:rPr>
          <w:color w:val="231F20"/>
          <w:spacing w:val="-25"/>
        </w:rPr>
        <w:t xml:space="preserve"> </w:t>
      </w:r>
      <w:r>
        <w:rPr>
          <w:color w:val="231F20"/>
        </w:rPr>
        <w:t>opravy</w:t>
      </w:r>
      <w:r>
        <w:rPr>
          <w:color w:val="231F20"/>
          <w:spacing w:val="-24"/>
        </w:rPr>
        <w:t xml:space="preserve"> </w:t>
      </w:r>
      <w:r>
        <w:rPr>
          <w:color w:val="231F20"/>
        </w:rPr>
        <w:t>pojištěného vozidla,</w:t>
      </w:r>
      <w:r>
        <w:rPr>
          <w:color w:val="231F20"/>
          <w:spacing w:val="-14"/>
        </w:rPr>
        <w:t xml:space="preserve"> </w:t>
      </w:r>
      <w:r>
        <w:rPr>
          <w:color w:val="231F20"/>
        </w:rPr>
        <w:t>a</w:t>
      </w:r>
      <w:r>
        <w:rPr>
          <w:color w:val="231F20"/>
          <w:spacing w:val="-14"/>
        </w:rPr>
        <w:t xml:space="preserve"> </w:t>
      </w:r>
      <w:r>
        <w:rPr>
          <w:color w:val="231F20"/>
        </w:rPr>
        <w:t>to</w:t>
      </w:r>
      <w:r>
        <w:rPr>
          <w:color w:val="231F20"/>
          <w:spacing w:val="-14"/>
        </w:rPr>
        <w:t xml:space="preserve"> </w:t>
      </w:r>
      <w:r>
        <w:rPr>
          <w:color w:val="231F20"/>
        </w:rPr>
        <w:t>včetně</w:t>
      </w:r>
      <w:r>
        <w:rPr>
          <w:color w:val="231F20"/>
          <w:spacing w:val="-14"/>
        </w:rPr>
        <w:t xml:space="preserve"> </w:t>
      </w:r>
      <w:r>
        <w:rPr>
          <w:color w:val="231F20"/>
        </w:rPr>
        <w:t>nezbytné</w:t>
      </w:r>
      <w:r>
        <w:rPr>
          <w:color w:val="231F20"/>
          <w:spacing w:val="-14"/>
        </w:rPr>
        <w:t xml:space="preserve"> </w:t>
      </w:r>
      <w:r>
        <w:rPr>
          <w:color w:val="231F20"/>
        </w:rPr>
        <w:t>přepravy</w:t>
      </w:r>
      <w:r>
        <w:rPr>
          <w:color w:val="231F20"/>
          <w:spacing w:val="-14"/>
        </w:rPr>
        <w:t xml:space="preserve"> </w:t>
      </w:r>
      <w:r>
        <w:rPr>
          <w:color w:val="231F20"/>
        </w:rPr>
        <w:t>oprávněných</w:t>
      </w:r>
      <w:r>
        <w:rPr>
          <w:color w:val="231F20"/>
          <w:spacing w:val="-14"/>
        </w:rPr>
        <w:t xml:space="preserve"> </w:t>
      </w:r>
      <w:r>
        <w:rPr>
          <w:color w:val="231F20"/>
        </w:rPr>
        <w:t>osob</w:t>
      </w:r>
      <w:r>
        <w:rPr>
          <w:color w:val="231F20"/>
          <w:spacing w:val="-14"/>
        </w:rPr>
        <w:t xml:space="preserve"> </w:t>
      </w:r>
      <w:r>
        <w:rPr>
          <w:color w:val="231F20"/>
        </w:rPr>
        <w:t>do</w:t>
      </w:r>
      <w:r>
        <w:rPr>
          <w:color w:val="231F20"/>
          <w:spacing w:val="-14"/>
        </w:rPr>
        <w:t xml:space="preserve"> </w:t>
      </w:r>
      <w:r>
        <w:rPr>
          <w:color w:val="231F20"/>
        </w:rPr>
        <w:t>ubytovacího</w:t>
      </w:r>
      <w:r>
        <w:rPr>
          <w:color w:val="231F20"/>
          <w:spacing w:val="-14"/>
        </w:rPr>
        <w:t xml:space="preserve"> </w:t>
      </w:r>
      <w:r>
        <w:rPr>
          <w:color w:val="231F20"/>
          <w:spacing w:val="-6"/>
        </w:rPr>
        <w:t xml:space="preserve">za- </w:t>
      </w:r>
      <w:r>
        <w:rPr>
          <w:color w:val="231F20"/>
        </w:rPr>
        <w:t>řízení.</w:t>
      </w:r>
      <w:r>
        <w:rPr>
          <w:color w:val="231F20"/>
          <w:spacing w:val="-17"/>
        </w:rPr>
        <w:t xml:space="preserve"> </w:t>
      </w:r>
      <w:r>
        <w:rPr>
          <w:color w:val="231F20"/>
        </w:rPr>
        <w:t>Náhradní</w:t>
      </w:r>
      <w:r>
        <w:rPr>
          <w:color w:val="231F20"/>
          <w:spacing w:val="-16"/>
        </w:rPr>
        <w:t xml:space="preserve"> </w:t>
      </w:r>
      <w:r>
        <w:rPr>
          <w:color w:val="231F20"/>
        </w:rPr>
        <w:t>ubytování</w:t>
      </w:r>
      <w:r>
        <w:rPr>
          <w:color w:val="231F20"/>
          <w:spacing w:val="-17"/>
        </w:rPr>
        <w:t xml:space="preserve"> </w:t>
      </w:r>
      <w:r>
        <w:rPr>
          <w:color w:val="231F20"/>
        </w:rPr>
        <w:t>je</w:t>
      </w:r>
      <w:r>
        <w:rPr>
          <w:color w:val="231F20"/>
          <w:spacing w:val="-16"/>
        </w:rPr>
        <w:t xml:space="preserve"> </w:t>
      </w:r>
      <w:r>
        <w:rPr>
          <w:color w:val="231F20"/>
        </w:rPr>
        <w:t>poskytováno</w:t>
      </w:r>
      <w:r>
        <w:rPr>
          <w:color w:val="231F20"/>
          <w:spacing w:val="-17"/>
        </w:rPr>
        <w:t xml:space="preserve"> </w:t>
      </w:r>
      <w:r>
        <w:rPr>
          <w:color w:val="231F20"/>
        </w:rPr>
        <w:t>jen</w:t>
      </w:r>
      <w:r>
        <w:rPr>
          <w:color w:val="231F20"/>
          <w:spacing w:val="-16"/>
        </w:rPr>
        <w:t xml:space="preserve"> </w:t>
      </w:r>
      <w:r>
        <w:rPr>
          <w:color w:val="231F20"/>
          <w:spacing w:val="-3"/>
        </w:rPr>
        <w:t>tehdy,</w:t>
      </w:r>
      <w:r>
        <w:rPr>
          <w:color w:val="231F20"/>
          <w:spacing w:val="-16"/>
        </w:rPr>
        <w:t xml:space="preserve"> </w:t>
      </w:r>
      <w:r>
        <w:rPr>
          <w:color w:val="231F20"/>
        </w:rPr>
        <w:t>pokud</w:t>
      </w:r>
      <w:r>
        <w:rPr>
          <w:color w:val="231F20"/>
          <w:spacing w:val="-17"/>
        </w:rPr>
        <w:t xml:space="preserve"> </w:t>
      </w:r>
      <w:r>
        <w:rPr>
          <w:color w:val="231F20"/>
        </w:rPr>
        <w:t>není</w:t>
      </w:r>
      <w:r>
        <w:rPr>
          <w:color w:val="231F20"/>
          <w:spacing w:val="-16"/>
        </w:rPr>
        <w:t xml:space="preserve"> </w:t>
      </w:r>
      <w:r>
        <w:rPr>
          <w:color w:val="231F20"/>
        </w:rPr>
        <w:t>možné</w:t>
      </w:r>
      <w:r>
        <w:rPr>
          <w:color w:val="231F20"/>
          <w:spacing w:val="-17"/>
        </w:rPr>
        <w:t xml:space="preserve"> </w:t>
      </w:r>
      <w:r>
        <w:rPr>
          <w:color w:val="231F20"/>
          <w:spacing w:val="-3"/>
        </w:rPr>
        <w:t xml:space="preserve">uvést </w:t>
      </w:r>
      <w:r>
        <w:rPr>
          <w:color w:val="231F20"/>
        </w:rPr>
        <w:t>vozidlo do pojízdného stavu do 12 hodin od nahlášení pojistné události po- skytovateli</w:t>
      </w:r>
      <w:r>
        <w:rPr>
          <w:color w:val="231F20"/>
          <w:spacing w:val="-21"/>
        </w:rPr>
        <w:t xml:space="preserve"> </w:t>
      </w:r>
      <w:r>
        <w:rPr>
          <w:color w:val="231F20"/>
        </w:rPr>
        <w:t>asistence,</w:t>
      </w:r>
      <w:r>
        <w:rPr>
          <w:color w:val="231F20"/>
          <w:spacing w:val="-20"/>
        </w:rPr>
        <w:t xml:space="preserve"> </w:t>
      </w:r>
      <w:r>
        <w:rPr>
          <w:color w:val="231F20"/>
        </w:rPr>
        <w:t>nebo</w:t>
      </w:r>
      <w:r>
        <w:rPr>
          <w:color w:val="231F20"/>
          <w:spacing w:val="-20"/>
        </w:rPr>
        <w:t xml:space="preserve"> </w:t>
      </w:r>
      <w:r>
        <w:rPr>
          <w:color w:val="231F20"/>
        </w:rPr>
        <w:t>pokud</w:t>
      </w:r>
      <w:r>
        <w:rPr>
          <w:color w:val="231F20"/>
          <w:spacing w:val="-20"/>
        </w:rPr>
        <w:t xml:space="preserve"> </w:t>
      </w:r>
      <w:r>
        <w:rPr>
          <w:color w:val="231F20"/>
        </w:rPr>
        <w:t>bylo</w:t>
      </w:r>
      <w:r>
        <w:rPr>
          <w:color w:val="231F20"/>
          <w:spacing w:val="-20"/>
        </w:rPr>
        <w:t xml:space="preserve"> </w:t>
      </w:r>
      <w:r>
        <w:rPr>
          <w:color w:val="231F20"/>
        </w:rPr>
        <w:t>vozidlo</w:t>
      </w:r>
      <w:r>
        <w:rPr>
          <w:color w:val="231F20"/>
          <w:spacing w:val="-20"/>
        </w:rPr>
        <w:t xml:space="preserve"> </w:t>
      </w:r>
      <w:r>
        <w:rPr>
          <w:color w:val="231F20"/>
        </w:rPr>
        <w:t>odcizeno.</w:t>
      </w:r>
      <w:r>
        <w:rPr>
          <w:color w:val="231F20"/>
          <w:spacing w:val="-20"/>
        </w:rPr>
        <w:t xml:space="preserve"> </w:t>
      </w:r>
      <w:r>
        <w:rPr>
          <w:color w:val="231F20"/>
        </w:rPr>
        <w:t>O</w:t>
      </w:r>
      <w:r>
        <w:rPr>
          <w:color w:val="231F20"/>
          <w:spacing w:val="-20"/>
        </w:rPr>
        <w:t xml:space="preserve"> </w:t>
      </w:r>
      <w:r>
        <w:rPr>
          <w:color w:val="231F20"/>
        </w:rPr>
        <w:t>volbě</w:t>
      </w:r>
      <w:r>
        <w:rPr>
          <w:color w:val="231F20"/>
          <w:spacing w:val="-20"/>
        </w:rPr>
        <w:t xml:space="preserve"> </w:t>
      </w:r>
      <w:r>
        <w:rPr>
          <w:color w:val="231F20"/>
        </w:rPr>
        <w:t>ubytovacího zařízení</w:t>
      </w:r>
      <w:r>
        <w:rPr>
          <w:color w:val="231F20"/>
          <w:spacing w:val="-22"/>
        </w:rPr>
        <w:t xml:space="preserve"> </w:t>
      </w:r>
      <w:r>
        <w:rPr>
          <w:color w:val="231F20"/>
        </w:rPr>
        <w:t>rozhoduje</w:t>
      </w:r>
      <w:r>
        <w:rPr>
          <w:color w:val="231F20"/>
          <w:spacing w:val="-22"/>
        </w:rPr>
        <w:t xml:space="preserve"> </w:t>
      </w:r>
      <w:r>
        <w:rPr>
          <w:color w:val="231F20"/>
        </w:rPr>
        <w:t>poskytovatel</w:t>
      </w:r>
      <w:r>
        <w:rPr>
          <w:color w:val="231F20"/>
          <w:spacing w:val="-21"/>
        </w:rPr>
        <w:t xml:space="preserve"> </w:t>
      </w:r>
      <w:r>
        <w:rPr>
          <w:color w:val="231F20"/>
        </w:rPr>
        <w:t>asistence.</w:t>
      </w:r>
      <w:r>
        <w:rPr>
          <w:color w:val="231F20"/>
          <w:spacing w:val="-22"/>
        </w:rPr>
        <w:t xml:space="preserve"> </w:t>
      </w:r>
      <w:r>
        <w:rPr>
          <w:color w:val="231F20"/>
        </w:rPr>
        <w:t>Služba</w:t>
      </w:r>
      <w:r>
        <w:rPr>
          <w:color w:val="231F20"/>
          <w:spacing w:val="-21"/>
        </w:rPr>
        <w:t xml:space="preserve"> </w:t>
      </w:r>
      <w:r>
        <w:rPr>
          <w:color w:val="231F20"/>
        </w:rPr>
        <w:t>je</w:t>
      </w:r>
      <w:r>
        <w:rPr>
          <w:color w:val="231F20"/>
          <w:spacing w:val="-22"/>
        </w:rPr>
        <w:t xml:space="preserve"> </w:t>
      </w:r>
      <w:r>
        <w:rPr>
          <w:color w:val="231F20"/>
        </w:rPr>
        <w:t>poskytována</w:t>
      </w:r>
      <w:r>
        <w:rPr>
          <w:color w:val="231F20"/>
          <w:spacing w:val="-22"/>
        </w:rPr>
        <w:t xml:space="preserve"> </w:t>
      </w:r>
      <w:r>
        <w:rPr>
          <w:color w:val="231F20"/>
        </w:rPr>
        <w:t>maximálně do</w:t>
      </w:r>
      <w:r>
        <w:rPr>
          <w:color w:val="231F20"/>
          <w:spacing w:val="-8"/>
        </w:rPr>
        <w:t xml:space="preserve"> </w:t>
      </w:r>
      <w:r>
        <w:rPr>
          <w:color w:val="231F20"/>
        </w:rPr>
        <w:t>limitu</w:t>
      </w:r>
      <w:r>
        <w:rPr>
          <w:color w:val="231F20"/>
          <w:spacing w:val="-7"/>
        </w:rPr>
        <w:t xml:space="preserve"> </w:t>
      </w:r>
      <w:r>
        <w:rPr>
          <w:color w:val="231F20"/>
        </w:rPr>
        <w:t>uvedeného</w:t>
      </w:r>
      <w:r>
        <w:rPr>
          <w:color w:val="231F20"/>
          <w:spacing w:val="-8"/>
        </w:rPr>
        <w:t xml:space="preserve"> </w:t>
      </w:r>
      <w:r>
        <w:rPr>
          <w:color w:val="231F20"/>
        </w:rPr>
        <w:t>v</w:t>
      </w:r>
      <w:r>
        <w:rPr>
          <w:color w:val="231F20"/>
          <w:spacing w:val="-7"/>
        </w:rPr>
        <w:t xml:space="preserve"> </w:t>
      </w:r>
      <w:r>
        <w:rPr>
          <w:color w:val="231F20"/>
        </w:rPr>
        <w:t>tabulkách</w:t>
      </w:r>
      <w:r>
        <w:rPr>
          <w:color w:val="231F20"/>
          <w:spacing w:val="-8"/>
        </w:rPr>
        <w:t xml:space="preserve"> </w:t>
      </w:r>
      <w:r>
        <w:rPr>
          <w:color w:val="231F20"/>
        </w:rPr>
        <w:t>Rozsah</w:t>
      </w:r>
      <w:r>
        <w:rPr>
          <w:color w:val="231F20"/>
          <w:spacing w:val="-7"/>
        </w:rPr>
        <w:t xml:space="preserve"> </w:t>
      </w:r>
      <w:r>
        <w:rPr>
          <w:color w:val="231F20"/>
        </w:rPr>
        <w:t>a</w:t>
      </w:r>
      <w:r>
        <w:rPr>
          <w:color w:val="231F20"/>
          <w:spacing w:val="-8"/>
        </w:rPr>
        <w:t xml:space="preserve"> </w:t>
      </w:r>
      <w:r>
        <w:rPr>
          <w:color w:val="231F20"/>
        </w:rPr>
        <w:t>limity</w:t>
      </w:r>
      <w:r>
        <w:rPr>
          <w:color w:val="231F20"/>
          <w:spacing w:val="-7"/>
        </w:rPr>
        <w:t xml:space="preserve"> </w:t>
      </w:r>
      <w:r>
        <w:rPr>
          <w:color w:val="231F20"/>
        </w:rPr>
        <w:t>asistenčních</w:t>
      </w:r>
      <w:r>
        <w:rPr>
          <w:color w:val="231F20"/>
          <w:spacing w:val="-8"/>
        </w:rPr>
        <w:t xml:space="preserve"> </w:t>
      </w:r>
      <w:r>
        <w:rPr>
          <w:color w:val="231F20"/>
        </w:rPr>
        <w:t>služeb.</w:t>
      </w:r>
    </w:p>
    <w:p w14:paraId="5D14A593" w14:textId="77777777" w:rsidR="00F65BCA" w:rsidRDefault="00216117">
      <w:pPr>
        <w:pStyle w:val="Zkladntext"/>
        <w:spacing w:line="172" w:lineRule="exact"/>
        <w:ind w:left="428"/>
        <w:jc w:val="both"/>
      </w:pPr>
      <w:r>
        <w:rPr>
          <w:color w:val="231F20"/>
          <w:position w:val="1"/>
          <w:sz w:val="14"/>
          <w:shd w:val="clear" w:color="auto" w:fill="D1D3D4"/>
        </w:rPr>
        <w:t xml:space="preserve">  3</w:t>
      </w:r>
      <w:r>
        <w:rPr>
          <w:color w:val="231F20"/>
          <w:position w:val="1"/>
          <w:sz w:val="14"/>
        </w:rPr>
        <w:t xml:space="preserve"> </w:t>
      </w:r>
      <w:r>
        <w:rPr>
          <w:color w:val="231F20"/>
        </w:rPr>
        <w:t>Náhradní vozidlo je služba, která obsahuje:</w:t>
      </w:r>
    </w:p>
    <w:p w14:paraId="7C20E532" w14:textId="77777777" w:rsidR="00F65BCA" w:rsidRDefault="00216117">
      <w:pPr>
        <w:pStyle w:val="Odstavecseseznamem"/>
        <w:numPr>
          <w:ilvl w:val="0"/>
          <w:numId w:val="93"/>
        </w:numPr>
        <w:tabs>
          <w:tab w:val="left" w:pos="881"/>
        </w:tabs>
        <w:spacing w:before="26" w:line="278" w:lineRule="auto"/>
        <w:jc w:val="both"/>
        <w:rPr>
          <w:sz w:val="15"/>
        </w:rPr>
      </w:pPr>
      <w:r>
        <w:rPr>
          <w:color w:val="231F20"/>
          <w:sz w:val="15"/>
        </w:rPr>
        <w:t>u vozidel do 3,5t zapůjčení náhradního vozidla po dobu uvedenou v ta- bulkách</w:t>
      </w:r>
      <w:r>
        <w:rPr>
          <w:color w:val="231F20"/>
          <w:spacing w:val="-10"/>
          <w:sz w:val="15"/>
        </w:rPr>
        <w:t xml:space="preserve"> </w:t>
      </w:r>
      <w:r>
        <w:rPr>
          <w:color w:val="231F20"/>
          <w:sz w:val="15"/>
        </w:rPr>
        <w:t>Rozsah</w:t>
      </w:r>
      <w:r>
        <w:rPr>
          <w:color w:val="231F20"/>
          <w:spacing w:val="-9"/>
          <w:sz w:val="15"/>
        </w:rPr>
        <w:t xml:space="preserve"> </w:t>
      </w:r>
      <w:r>
        <w:rPr>
          <w:color w:val="231F20"/>
          <w:sz w:val="15"/>
        </w:rPr>
        <w:t>a</w:t>
      </w:r>
      <w:r>
        <w:rPr>
          <w:color w:val="231F20"/>
          <w:spacing w:val="-9"/>
          <w:sz w:val="15"/>
        </w:rPr>
        <w:t xml:space="preserve"> </w:t>
      </w:r>
      <w:r>
        <w:rPr>
          <w:color w:val="231F20"/>
          <w:sz w:val="15"/>
        </w:rPr>
        <w:t>limity</w:t>
      </w:r>
      <w:r>
        <w:rPr>
          <w:color w:val="231F20"/>
          <w:spacing w:val="-9"/>
          <w:sz w:val="15"/>
        </w:rPr>
        <w:t xml:space="preserve"> </w:t>
      </w:r>
      <w:r>
        <w:rPr>
          <w:color w:val="231F20"/>
          <w:sz w:val="15"/>
        </w:rPr>
        <w:t>asistenčních</w:t>
      </w:r>
      <w:r>
        <w:rPr>
          <w:color w:val="231F20"/>
          <w:spacing w:val="-10"/>
          <w:sz w:val="15"/>
        </w:rPr>
        <w:t xml:space="preserve"> </w:t>
      </w:r>
      <w:r>
        <w:rPr>
          <w:color w:val="231F20"/>
          <w:sz w:val="15"/>
        </w:rPr>
        <w:t>služeb,</w:t>
      </w:r>
      <w:r>
        <w:rPr>
          <w:color w:val="231F20"/>
          <w:spacing w:val="-9"/>
          <w:sz w:val="15"/>
        </w:rPr>
        <w:t xml:space="preserve"> </w:t>
      </w:r>
      <w:r>
        <w:rPr>
          <w:color w:val="231F20"/>
          <w:sz w:val="15"/>
        </w:rPr>
        <w:t>nejdéle</w:t>
      </w:r>
      <w:r>
        <w:rPr>
          <w:color w:val="231F20"/>
          <w:spacing w:val="-9"/>
          <w:sz w:val="15"/>
        </w:rPr>
        <w:t xml:space="preserve"> </w:t>
      </w:r>
      <w:r>
        <w:rPr>
          <w:color w:val="231F20"/>
          <w:sz w:val="15"/>
        </w:rPr>
        <w:t>však</w:t>
      </w:r>
      <w:r>
        <w:rPr>
          <w:color w:val="231F20"/>
          <w:spacing w:val="-9"/>
          <w:sz w:val="15"/>
        </w:rPr>
        <w:t xml:space="preserve"> </w:t>
      </w:r>
      <w:r>
        <w:rPr>
          <w:color w:val="231F20"/>
          <w:sz w:val="15"/>
        </w:rPr>
        <w:t>po</w:t>
      </w:r>
      <w:r>
        <w:rPr>
          <w:color w:val="231F20"/>
          <w:spacing w:val="-10"/>
          <w:sz w:val="15"/>
        </w:rPr>
        <w:t xml:space="preserve"> </w:t>
      </w:r>
      <w:r>
        <w:rPr>
          <w:color w:val="231F20"/>
          <w:sz w:val="15"/>
        </w:rPr>
        <w:t>dobu</w:t>
      </w:r>
      <w:r>
        <w:rPr>
          <w:color w:val="231F20"/>
          <w:spacing w:val="-9"/>
          <w:sz w:val="15"/>
        </w:rPr>
        <w:t xml:space="preserve"> </w:t>
      </w:r>
      <w:r>
        <w:rPr>
          <w:color w:val="231F20"/>
          <w:spacing w:val="-3"/>
          <w:sz w:val="15"/>
        </w:rPr>
        <w:t xml:space="preserve">opravy </w:t>
      </w:r>
      <w:r>
        <w:rPr>
          <w:color w:val="231F20"/>
          <w:sz w:val="15"/>
        </w:rPr>
        <w:t>vozidla.</w:t>
      </w:r>
      <w:r>
        <w:rPr>
          <w:color w:val="231F20"/>
          <w:spacing w:val="-9"/>
          <w:sz w:val="15"/>
        </w:rPr>
        <w:t xml:space="preserve"> </w:t>
      </w:r>
      <w:r>
        <w:rPr>
          <w:color w:val="231F20"/>
          <w:sz w:val="15"/>
        </w:rPr>
        <w:t>V</w:t>
      </w:r>
      <w:r>
        <w:rPr>
          <w:color w:val="231F20"/>
          <w:spacing w:val="-9"/>
          <w:sz w:val="15"/>
        </w:rPr>
        <w:t xml:space="preserve"> </w:t>
      </w:r>
      <w:r>
        <w:rPr>
          <w:color w:val="231F20"/>
          <w:sz w:val="15"/>
        </w:rPr>
        <w:t>případě</w:t>
      </w:r>
      <w:r>
        <w:rPr>
          <w:color w:val="231F20"/>
          <w:spacing w:val="-8"/>
          <w:sz w:val="15"/>
        </w:rPr>
        <w:t xml:space="preserve"> </w:t>
      </w:r>
      <w:r>
        <w:rPr>
          <w:color w:val="231F20"/>
          <w:sz w:val="15"/>
        </w:rPr>
        <w:t>odcizení</w:t>
      </w:r>
      <w:r>
        <w:rPr>
          <w:color w:val="231F20"/>
          <w:spacing w:val="-9"/>
          <w:sz w:val="15"/>
        </w:rPr>
        <w:t xml:space="preserve"> </w:t>
      </w:r>
      <w:r>
        <w:rPr>
          <w:color w:val="231F20"/>
          <w:sz w:val="15"/>
        </w:rPr>
        <w:t>běží</w:t>
      </w:r>
      <w:r>
        <w:rPr>
          <w:color w:val="231F20"/>
          <w:spacing w:val="-8"/>
          <w:sz w:val="15"/>
        </w:rPr>
        <w:t xml:space="preserve"> </w:t>
      </w:r>
      <w:r>
        <w:rPr>
          <w:color w:val="231F20"/>
          <w:sz w:val="15"/>
        </w:rPr>
        <w:t>doba</w:t>
      </w:r>
      <w:r>
        <w:rPr>
          <w:color w:val="231F20"/>
          <w:spacing w:val="-9"/>
          <w:sz w:val="15"/>
        </w:rPr>
        <w:t xml:space="preserve"> </w:t>
      </w:r>
      <w:r>
        <w:rPr>
          <w:color w:val="231F20"/>
          <w:sz w:val="15"/>
        </w:rPr>
        <w:t>ode</w:t>
      </w:r>
      <w:r>
        <w:rPr>
          <w:color w:val="231F20"/>
          <w:spacing w:val="-8"/>
          <w:sz w:val="15"/>
        </w:rPr>
        <w:t xml:space="preserve"> </w:t>
      </w:r>
      <w:r>
        <w:rPr>
          <w:color w:val="231F20"/>
          <w:sz w:val="15"/>
        </w:rPr>
        <w:t>dne</w:t>
      </w:r>
      <w:r>
        <w:rPr>
          <w:color w:val="231F20"/>
          <w:spacing w:val="-9"/>
          <w:sz w:val="15"/>
        </w:rPr>
        <w:t xml:space="preserve"> </w:t>
      </w:r>
      <w:r>
        <w:rPr>
          <w:color w:val="231F20"/>
          <w:sz w:val="15"/>
        </w:rPr>
        <w:t>nahlášení</w:t>
      </w:r>
      <w:r>
        <w:rPr>
          <w:color w:val="231F20"/>
          <w:spacing w:val="-8"/>
          <w:sz w:val="15"/>
        </w:rPr>
        <w:t xml:space="preserve"> </w:t>
      </w:r>
      <w:r>
        <w:rPr>
          <w:color w:val="231F20"/>
          <w:sz w:val="15"/>
        </w:rPr>
        <w:t>pojistné</w:t>
      </w:r>
      <w:r>
        <w:rPr>
          <w:color w:val="231F20"/>
          <w:spacing w:val="-9"/>
          <w:sz w:val="15"/>
        </w:rPr>
        <w:t xml:space="preserve"> </w:t>
      </w:r>
      <w:r>
        <w:rPr>
          <w:color w:val="231F20"/>
          <w:sz w:val="15"/>
        </w:rPr>
        <w:t>události poskytovateli</w:t>
      </w:r>
      <w:r>
        <w:rPr>
          <w:color w:val="231F20"/>
          <w:spacing w:val="-10"/>
          <w:sz w:val="15"/>
        </w:rPr>
        <w:t xml:space="preserve"> </w:t>
      </w:r>
      <w:r>
        <w:rPr>
          <w:color w:val="231F20"/>
          <w:sz w:val="15"/>
        </w:rPr>
        <w:t>asistence.</w:t>
      </w:r>
      <w:r>
        <w:rPr>
          <w:color w:val="231F20"/>
          <w:spacing w:val="-10"/>
          <w:sz w:val="15"/>
        </w:rPr>
        <w:t xml:space="preserve"> </w:t>
      </w:r>
      <w:r>
        <w:rPr>
          <w:color w:val="231F20"/>
          <w:sz w:val="15"/>
        </w:rPr>
        <w:t>V</w:t>
      </w:r>
      <w:r>
        <w:rPr>
          <w:color w:val="231F20"/>
          <w:spacing w:val="-10"/>
          <w:sz w:val="15"/>
        </w:rPr>
        <w:t xml:space="preserve"> </w:t>
      </w:r>
      <w:r>
        <w:rPr>
          <w:color w:val="231F20"/>
          <w:sz w:val="15"/>
        </w:rPr>
        <w:t>případě</w:t>
      </w:r>
      <w:r>
        <w:rPr>
          <w:color w:val="231F20"/>
          <w:spacing w:val="-10"/>
          <w:sz w:val="15"/>
        </w:rPr>
        <w:t xml:space="preserve"> </w:t>
      </w:r>
      <w:r>
        <w:rPr>
          <w:color w:val="231F20"/>
          <w:sz w:val="15"/>
        </w:rPr>
        <w:t>pojištěného</w:t>
      </w:r>
      <w:r>
        <w:rPr>
          <w:color w:val="231F20"/>
          <w:spacing w:val="-10"/>
          <w:sz w:val="15"/>
        </w:rPr>
        <w:t xml:space="preserve"> </w:t>
      </w:r>
      <w:r>
        <w:rPr>
          <w:color w:val="231F20"/>
          <w:sz w:val="15"/>
        </w:rPr>
        <w:t>osobního</w:t>
      </w:r>
      <w:r>
        <w:rPr>
          <w:color w:val="231F20"/>
          <w:spacing w:val="-10"/>
          <w:sz w:val="15"/>
        </w:rPr>
        <w:t xml:space="preserve"> </w:t>
      </w:r>
      <w:r>
        <w:rPr>
          <w:color w:val="231F20"/>
          <w:sz w:val="15"/>
        </w:rPr>
        <w:t>automobilu</w:t>
      </w:r>
      <w:r>
        <w:rPr>
          <w:color w:val="231F20"/>
          <w:spacing w:val="-9"/>
          <w:sz w:val="15"/>
        </w:rPr>
        <w:t xml:space="preserve"> </w:t>
      </w:r>
      <w:r>
        <w:rPr>
          <w:color w:val="231F20"/>
          <w:spacing w:val="-4"/>
          <w:sz w:val="15"/>
        </w:rPr>
        <w:t xml:space="preserve">bude </w:t>
      </w:r>
      <w:r>
        <w:rPr>
          <w:color w:val="231F20"/>
          <w:sz w:val="15"/>
        </w:rPr>
        <w:t>zapůjčeno</w:t>
      </w:r>
      <w:r>
        <w:rPr>
          <w:color w:val="231F20"/>
          <w:spacing w:val="-18"/>
          <w:sz w:val="15"/>
        </w:rPr>
        <w:t xml:space="preserve"> </w:t>
      </w:r>
      <w:r>
        <w:rPr>
          <w:color w:val="231F20"/>
          <w:sz w:val="15"/>
        </w:rPr>
        <w:t>náhradní</w:t>
      </w:r>
      <w:r>
        <w:rPr>
          <w:color w:val="231F20"/>
          <w:spacing w:val="-17"/>
          <w:sz w:val="15"/>
        </w:rPr>
        <w:t xml:space="preserve"> </w:t>
      </w:r>
      <w:r>
        <w:rPr>
          <w:color w:val="231F20"/>
          <w:sz w:val="15"/>
        </w:rPr>
        <w:t>vozidlo</w:t>
      </w:r>
      <w:r>
        <w:rPr>
          <w:color w:val="231F20"/>
          <w:spacing w:val="-17"/>
          <w:sz w:val="15"/>
        </w:rPr>
        <w:t xml:space="preserve"> </w:t>
      </w:r>
      <w:r>
        <w:rPr>
          <w:color w:val="231F20"/>
          <w:sz w:val="15"/>
        </w:rPr>
        <w:t>stejné</w:t>
      </w:r>
      <w:r>
        <w:rPr>
          <w:color w:val="231F20"/>
          <w:spacing w:val="-18"/>
          <w:sz w:val="15"/>
        </w:rPr>
        <w:t xml:space="preserve"> </w:t>
      </w:r>
      <w:r>
        <w:rPr>
          <w:color w:val="231F20"/>
          <w:sz w:val="15"/>
        </w:rPr>
        <w:t>nebo</w:t>
      </w:r>
      <w:r>
        <w:rPr>
          <w:color w:val="231F20"/>
          <w:spacing w:val="-17"/>
          <w:sz w:val="15"/>
        </w:rPr>
        <w:t xml:space="preserve"> </w:t>
      </w:r>
      <w:r>
        <w:rPr>
          <w:color w:val="231F20"/>
          <w:sz w:val="15"/>
        </w:rPr>
        <w:t>nižší</w:t>
      </w:r>
      <w:r>
        <w:rPr>
          <w:color w:val="231F20"/>
          <w:spacing w:val="-17"/>
          <w:sz w:val="15"/>
        </w:rPr>
        <w:t xml:space="preserve"> </w:t>
      </w:r>
      <w:r>
        <w:rPr>
          <w:color w:val="231F20"/>
          <w:spacing w:val="-3"/>
          <w:sz w:val="15"/>
        </w:rPr>
        <w:t>třídy,</w:t>
      </w:r>
      <w:r>
        <w:rPr>
          <w:color w:val="231F20"/>
          <w:spacing w:val="-18"/>
          <w:sz w:val="15"/>
        </w:rPr>
        <w:t xml:space="preserve"> </w:t>
      </w:r>
      <w:r>
        <w:rPr>
          <w:color w:val="231F20"/>
          <w:sz w:val="15"/>
        </w:rPr>
        <w:t>než</w:t>
      </w:r>
      <w:r>
        <w:rPr>
          <w:color w:val="231F20"/>
          <w:spacing w:val="-17"/>
          <w:sz w:val="15"/>
        </w:rPr>
        <w:t xml:space="preserve"> </w:t>
      </w:r>
      <w:r>
        <w:rPr>
          <w:color w:val="231F20"/>
          <w:sz w:val="15"/>
        </w:rPr>
        <w:t>je</w:t>
      </w:r>
      <w:r>
        <w:rPr>
          <w:color w:val="231F20"/>
          <w:spacing w:val="-17"/>
          <w:sz w:val="15"/>
        </w:rPr>
        <w:t xml:space="preserve"> </w:t>
      </w:r>
      <w:r>
        <w:rPr>
          <w:color w:val="231F20"/>
          <w:sz w:val="15"/>
        </w:rPr>
        <w:t>pojištěné</w:t>
      </w:r>
      <w:r>
        <w:rPr>
          <w:color w:val="231F20"/>
          <w:spacing w:val="-18"/>
          <w:sz w:val="15"/>
        </w:rPr>
        <w:t xml:space="preserve"> </w:t>
      </w:r>
      <w:r>
        <w:rPr>
          <w:color w:val="231F20"/>
          <w:sz w:val="15"/>
        </w:rPr>
        <w:t>vozidlo, nejvýše</w:t>
      </w:r>
      <w:r>
        <w:rPr>
          <w:color w:val="231F20"/>
          <w:spacing w:val="-20"/>
          <w:sz w:val="15"/>
        </w:rPr>
        <w:t xml:space="preserve"> </w:t>
      </w:r>
      <w:r>
        <w:rPr>
          <w:color w:val="231F20"/>
          <w:sz w:val="15"/>
        </w:rPr>
        <w:t>však</w:t>
      </w:r>
      <w:r>
        <w:rPr>
          <w:color w:val="231F20"/>
          <w:spacing w:val="-20"/>
          <w:sz w:val="15"/>
        </w:rPr>
        <w:t xml:space="preserve"> </w:t>
      </w:r>
      <w:r>
        <w:rPr>
          <w:color w:val="231F20"/>
          <w:sz w:val="15"/>
        </w:rPr>
        <w:t>vozidlo</w:t>
      </w:r>
      <w:r>
        <w:rPr>
          <w:color w:val="231F20"/>
          <w:spacing w:val="-19"/>
          <w:sz w:val="15"/>
        </w:rPr>
        <w:t xml:space="preserve"> </w:t>
      </w:r>
      <w:r>
        <w:rPr>
          <w:color w:val="231F20"/>
          <w:sz w:val="15"/>
        </w:rPr>
        <w:t>nižší</w:t>
      </w:r>
      <w:r>
        <w:rPr>
          <w:color w:val="231F20"/>
          <w:spacing w:val="-20"/>
          <w:sz w:val="15"/>
        </w:rPr>
        <w:t xml:space="preserve"> </w:t>
      </w:r>
      <w:r>
        <w:rPr>
          <w:color w:val="231F20"/>
          <w:sz w:val="15"/>
        </w:rPr>
        <w:t>střední</w:t>
      </w:r>
      <w:r>
        <w:rPr>
          <w:color w:val="231F20"/>
          <w:spacing w:val="-19"/>
          <w:sz w:val="15"/>
        </w:rPr>
        <w:t xml:space="preserve"> </w:t>
      </w:r>
      <w:r>
        <w:rPr>
          <w:color w:val="231F20"/>
          <w:spacing w:val="-3"/>
          <w:sz w:val="15"/>
        </w:rPr>
        <w:t>třídy.</w:t>
      </w:r>
      <w:r>
        <w:rPr>
          <w:color w:val="231F20"/>
          <w:spacing w:val="-20"/>
          <w:sz w:val="15"/>
        </w:rPr>
        <w:t xml:space="preserve"> </w:t>
      </w:r>
      <w:r>
        <w:rPr>
          <w:color w:val="231F20"/>
          <w:sz w:val="15"/>
        </w:rPr>
        <w:t>V</w:t>
      </w:r>
      <w:r>
        <w:rPr>
          <w:color w:val="231F20"/>
          <w:spacing w:val="-20"/>
          <w:sz w:val="15"/>
        </w:rPr>
        <w:t xml:space="preserve"> </w:t>
      </w:r>
      <w:r>
        <w:rPr>
          <w:color w:val="231F20"/>
          <w:sz w:val="15"/>
        </w:rPr>
        <w:t>případě</w:t>
      </w:r>
      <w:r>
        <w:rPr>
          <w:color w:val="231F20"/>
          <w:spacing w:val="-19"/>
          <w:sz w:val="15"/>
        </w:rPr>
        <w:t xml:space="preserve"> </w:t>
      </w:r>
      <w:r>
        <w:rPr>
          <w:color w:val="231F20"/>
          <w:sz w:val="15"/>
        </w:rPr>
        <w:t>pojištěného</w:t>
      </w:r>
      <w:r>
        <w:rPr>
          <w:color w:val="231F20"/>
          <w:spacing w:val="-20"/>
          <w:sz w:val="15"/>
        </w:rPr>
        <w:t xml:space="preserve"> </w:t>
      </w:r>
      <w:r>
        <w:rPr>
          <w:color w:val="231F20"/>
          <w:sz w:val="15"/>
        </w:rPr>
        <w:t>vozidla</w:t>
      </w:r>
      <w:r>
        <w:rPr>
          <w:color w:val="231F20"/>
          <w:spacing w:val="-19"/>
          <w:sz w:val="15"/>
        </w:rPr>
        <w:t xml:space="preserve"> </w:t>
      </w:r>
      <w:r>
        <w:rPr>
          <w:color w:val="231F20"/>
          <w:spacing w:val="-3"/>
          <w:sz w:val="15"/>
        </w:rPr>
        <w:t xml:space="preserve">jiného </w:t>
      </w:r>
      <w:r>
        <w:rPr>
          <w:color w:val="231F20"/>
          <w:sz w:val="15"/>
        </w:rPr>
        <w:t>než</w:t>
      </w:r>
      <w:r>
        <w:rPr>
          <w:color w:val="231F20"/>
          <w:spacing w:val="-23"/>
          <w:sz w:val="15"/>
        </w:rPr>
        <w:t xml:space="preserve"> </w:t>
      </w:r>
      <w:r>
        <w:rPr>
          <w:color w:val="231F20"/>
          <w:sz w:val="15"/>
        </w:rPr>
        <w:t>osobní</w:t>
      </w:r>
      <w:r>
        <w:rPr>
          <w:color w:val="231F20"/>
          <w:spacing w:val="-22"/>
          <w:sz w:val="15"/>
        </w:rPr>
        <w:t xml:space="preserve"> </w:t>
      </w:r>
      <w:r>
        <w:rPr>
          <w:color w:val="231F20"/>
          <w:sz w:val="15"/>
        </w:rPr>
        <w:t>automobil,</w:t>
      </w:r>
      <w:r>
        <w:rPr>
          <w:color w:val="231F20"/>
          <w:spacing w:val="-22"/>
          <w:sz w:val="15"/>
        </w:rPr>
        <w:t xml:space="preserve"> </w:t>
      </w:r>
      <w:r>
        <w:rPr>
          <w:color w:val="231F20"/>
          <w:sz w:val="15"/>
        </w:rPr>
        <w:t>bude</w:t>
      </w:r>
      <w:r>
        <w:rPr>
          <w:color w:val="231F20"/>
          <w:spacing w:val="-22"/>
          <w:sz w:val="15"/>
        </w:rPr>
        <w:t xml:space="preserve"> </w:t>
      </w:r>
      <w:r>
        <w:rPr>
          <w:color w:val="231F20"/>
          <w:sz w:val="15"/>
        </w:rPr>
        <w:t>zapůjčeno</w:t>
      </w:r>
      <w:r>
        <w:rPr>
          <w:color w:val="231F20"/>
          <w:spacing w:val="-22"/>
          <w:sz w:val="15"/>
        </w:rPr>
        <w:t xml:space="preserve"> </w:t>
      </w:r>
      <w:r>
        <w:rPr>
          <w:color w:val="231F20"/>
          <w:sz w:val="15"/>
        </w:rPr>
        <w:t>vozidlo</w:t>
      </w:r>
      <w:r>
        <w:rPr>
          <w:color w:val="231F20"/>
          <w:spacing w:val="-22"/>
          <w:sz w:val="15"/>
        </w:rPr>
        <w:t xml:space="preserve"> </w:t>
      </w:r>
      <w:r>
        <w:rPr>
          <w:color w:val="231F20"/>
          <w:sz w:val="15"/>
        </w:rPr>
        <w:t>téhož</w:t>
      </w:r>
      <w:r>
        <w:rPr>
          <w:color w:val="231F20"/>
          <w:spacing w:val="-22"/>
          <w:sz w:val="15"/>
        </w:rPr>
        <w:t xml:space="preserve"> </w:t>
      </w:r>
      <w:r>
        <w:rPr>
          <w:color w:val="231F20"/>
          <w:sz w:val="15"/>
        </w:rPr>
        <w:t>druhu,</w:t>
      </w:r>
      <w:r>
        <w:rPr>
          <w:color w:val="231F20"/>
          <w:spacing w:val="-22"/>
          <w:sz w:val="15"/>
        </w:rPr>
        <w:t xml:space="preserve"> </w:t>
      </w:r>
      <w:r>
        <w:rPr>
          <w:color w:val="231F20"/>
          <w:sz w:val="15"/>
        </w:rPr>
        <w:t>případně</w:t>
      </w:r>
      <w:r>
        <w:rPr>
          <w:color w:val="231F20"/>
          <w:spacing w:val="-23"/>
          <w:sz w:val="15"/>
        </w:rPr>
        <w:t xml:space="preserve"> </w:t>
      </w:r>
      <w:r>
        <w:rPr>
          <w:color w:val="231F20"/>
          <w:spacing w:val="-3"/>
          <w:sz w:val="15"/>
        </w:rPr>
        <w:t xml:space="preserve">jiného </w:t>
      </w:r>
      <w:r>
        <w:rPr>
          <w:color w:val="231F20"/>
          <w:sz w:val="15"/>
        </w:rPr>
        <w:t>druhu,</w:t>
      </w:r>
      <w:r>
        <w:rPr>
          <w:color w:val="231F20"/>
          <w:spacing w:val="-9"/>
          <w:sz w:val="15"/>
        </w:rPr>
        <w:t xml:space="preserve"> </w:t>
      </w:r>
      <w:r>
        <w:rPr>
          <w:color w:val="231F20"/>
          <w:sz w:val="15"/>
        </w:rPr>
        <w:t>nebude-li</w:t>
      </w:r>
      <w:r>
        <w:rPr>
          <w:color w:val="231F20"/>
          <w:spacing w:val="-9"/>
          <w:sz w:val="15"/>
        </w:rPr>
        <w:t xml:space="preserve"> </w:t>
      </w:r>
      <w:r>
        <w:rPr>
          <w:color w:val="231F20"/>
          <w:sz w:val="15"/>
        </w:rPr>
        <w:t>stejný</w:t>
      </w:r>
      <w:r>
        <w:rPr>
          <w:color w:val="231F20"/>
          <w:spacing w:val="-8"/>
          <w:sz w:val="15"/>
        </w:rPr>
        <w:t xml:space="preserve"> </w:t>
      </w:r>
      <w:r>
        <w:rPr>
          <w:color w:val="231F20"/>
          <w:sz w:val="15"/>
        </w:rPr>
        <w:t>druh</w:t>
      </w:r>
      <w:r>
        <w:rPr>
          <w:color w:val="231F20"/>
          <w:spacing w:val="-9"/>
          <w:sz w:val="15"/>
        </w:rPr>
        <w:t xml:space="preserve"> </w:t>
      </w:r>
      <w:r>
        <w:rPr>
          <w:color w:val="231F20"/>
          <w:sz w:val="15"/>
        </w:rPr>
        <w:t>náhradního</w:t>
      </w:r>
      <w:r>
        <w:rPr>
          <w:color w:val="231F20"/>
          <w:spacing w:val="-8"/>
          <w:sz w:val="15"/>
        </w:rPr>
        <w:t xml:space="preserve"> </w:t>
      </w:r>
      <w:r>
        <w:rPr>
          <w:color w:val="231F20"/>
          <w:sz w:val="15"/>
        </w:rPr>
        <w:t>vozidla</w:t>
      </w:r>
      <w:r>
        <w:rPr>
          <w:color w:val="231F20"/>
          <w:spacing w:val="-9"/>
          <w:sz w:val="15"/>
        </w:rPr>
        <w:t xml:space="preserve"> </w:t>
      </w:r>
      <w:r>
        <w:rPr>
          <w:color w:val="231F20"/>
          <w:sz w:val="15"/>
        </w:rPr>
        <w:t>k</w:t>
      </w:r>
      <w:r>
        <w:rPr>
          <w:color w:val="231F20"/>
          <w:spacing w:val="-9"/>
          <w:sz w:val="15"/>
        </w:rPr>
        <w:t xml:space="preserve"> </w:t>
      </w:r>
      <w:r>
        <w:rPr>
          <w:color w:val="231F20"/>
          <w:sz w:val="15"/>
        </w:rPr>
        <w:t>dispozici.</w:t>
      </w:r>
      <w:r>
        <w:rPr>
          <w:color w:val="231F20"/>
          <w:spacing w:val="-8"/>
          <w:sz w:val="15"/>
        </w:rPr>
        <w:t xml:space="preserve"> </w:t>
      </w:r>
      <w:r>
        <w:rPr>
          <w:color w:val="231F20"/>
          <w:sz w:val="15"/>
        </w:rPr>
        <w:t>V</w:t>
      </w:r>
      <w:r>
        <w:rPr>
          <w:color w:val="231F20"/>
          <w:spacing w:val="-9"/>
          <w:sz w:val="15"/>
        </w:rPr>
        <w:t xml:space="preserve"> </w:t>
      </w:r>
      <w:r>
        <w:rPr>
          <w:color w:val="231F20"/>
          <w:sz w:val="15"/>
        </w:rPr>
        <w:t>obou</w:t>
      </w:r>
      <w:r>
        <w:rPr>
          <w:color w:val="231F20"/>
          <w:spacing w:val="-8"/>
          <w:sz w:val="15"/>
        </w:rPr>
        <w:t xml:space="preserve"> </w:t>
      </w:r>
      <w:r>
        <w:rPr>
          <w:color w:val="231F20"/>
          <w:sz w:val="15"/>
        </w:rPr>
        <w:t>přípa- dech</w:t>
      </w:r>
      <w:r>
        <w:rPr>
          <w:color w:val="231F20"/>
          <w:spacing w:val="-14"/>
          <w:sz w:val="15"/>
        </w:rPr>
        <w:t xml:space="preserve"> </w:t>
      </w:r>
      <w:r>
        <w:rPr>
          <w:color w:val="231F20"/>
          <w:sz w:val="15"/>
        </w:rPr>
        <w:t>Pojišťovna</w:t>
      </w:r>
      <w:r>
        <w:rPr>
          <w:color w:val="231F20"/>
          <w:spacing w:val="-14"/>
          <w:sz w:val="15"/>
        </w:rPr>
        <w:t xml:space="preserve"> </w:t>
      </w:r>
      <w:r>
        <w:rPr>
          <w:color w:val="231F20"/>
          <w:sz w:val="15"/>
        </w:rPr>
        <w:t>uhradí</w:t>
      </w:r>
      <w:r>
        <w:rPr>
          <w:color w:val="231F20"/>
          <w:spacing w:val="-13"/>
          <w:sz w:val="15"/>
        </w:rPr>
        <w:t xml:space="preserve"> </w:t>
      </w:r>
      <w:r>
        <w:rPr>
          <w:color w:val="231F20"/>
          <w:sz w:val="15"/>
        </w:rPr>
        <w:t>maximálně</w:t>
      </w:r>
      <w:r>
        <w:rPr>
          <w:color w:val="231F20"/>
          <w:spacing w:val="-14"/>
          <w:sz w:val="15"/>
        </w:rPr>
        <w:t xml:space="preserve"> </w:t>
      </w:r>
      <w:r>
        <w:rPr>
          <w:color w:val="231F20"/>
          <w:sz w:val="15"/>
        </w:rPr>
        <w:t>náklady</w:t>
      </w:r>
      <w:r>
        <w:rPr>
          <w:color w:val="231F20"/>
          <w:spacing w:val="-14"/>
          <w:sz w:val="15"/>
        </w:rPr>
        <w:t xml:space="preserve"> </w:t>
      </w:r>
      <w:r>
        <w:rPr>
          <w:color w:val="231F20"/>
          <w:sz w:val="15"/>
        </w:rPr>
        <w:t>odpovídající</w:t>
      </w:r>
      <w:r>
        <w:rPr>
          <w:color w:val="231F20"/>
          <w:spacing w:val="-13"/>
          <w:sz w:val="15"/>
        </w:rPr>
        <w:t xml:space="preserve"> </w:t>
      </w:r>
      <w:r>
        <w:rPr>
          <w:color w:val="231F20"/>
          <w:sz w:val="15"/>
        </w:rPr>
        <w:t>zapůjčení</w:t>
      </w:r>
      <w:r>
        <w:rPr>
          <w:color w:val="231F20"/>
          <w:spacing w:val="-14"/>
          <w:sz w:val="15"/>
        </w:rPr>
        <w:t xml:space="preserve"> </w:t>
      </w:r>
      <w:r>
        <w:rPr>
          <w:color w:val="231F20"/>
          <w:sz w:val="15"/>
        </w:rPr>
        <w:t>vozidla nižší střední</w:t>
      </w:r>
      <w:r>
        <w:rPr>
          <w:color w:val="231F20"/>
          <w:spacing w:val="-2"/>
          <w:sz w:val="15"/>
        </w:rPr>
        <w:t xml:space="preserve"> </w:t>
      </w:r>
      <w:r>
        <w:rPr>
          <w:color w:val="231F20"/>
          <w:sz w:val="15"/>
        </w:rPr>
        <w:t>třídy;</w:t>
      </w:r>
    </w:p>
    <w:p w14:paraId="1505A57B" w14:textId="77777777" w:rsidR="00F65BCA" w:rsidRDefault="00216117">
      <w:pPr>
        <w:pStyle w:val="Zkladntext"/>
        <w:spacing w:line="278" w:lineRule="auto"/>
        <w:ind w:left="880" w:right="1"/>
        <w:jc w:val="both"/>
      </w:pPr>
      <w:r>
        <w:rPr>
          <w:color w:val="231F20"/>
        </w:rPr>
        <w:t>U</w:t>
      </w:r>
      <w:r>
        <w:rPr>
          <w:color w:val="231F20"/>
          <w:spacing w:val="-11"/>
        </w:rPr>
        <w:t xml:space="preserve"> </w:t>
      </w:r>
      <w:r>
        <w:rPr>
          <w:color w:val="231F20"/>
        </w:rPr>
        <w:t>asistencí</w:t>
      </w:r>
      <w:r>
        <w:rPr>
          <w:color w:val="231F20"/>
          <w:spacing w:val="-10"/>
        </w:rPr>
        <w:t xml:space="preserve"> </w:t>
      </w:r>
      <w:r>
        <w:rPr>
          <w:color w:val="231F20"/>
        </w:rPr>
        <w:t>ve</w:t>
      </w:r>
      <w:r>
        <w:rPr>
          <w:color w:val="231F20"/>
          <w:spacing w:val="-10"/>
        </w:rPr>
        <w:t xml:space="preserve"> </w:t>
      </w:r>
      <w:r>
        <w:rPr>
          <w:color w:val="231F20"/>
        </w:rPr>
        <w:t>variantách</w:t>
      </w:r>
      <w:r>
        <w:rPr>
          <w:color w:val="231F20"/>
          <w:spacing w:val="-11"/>
        </w:rPr>
        <w:t xml:space="preserve"> </w:t>
      </w:r>
      <w:r>
        <w:rPr>
          <w:color w:val="231F20"/>
        </w:rPr>
        <w:t>L</w:t>
      </w:r>
      <w:r>
        <w:rPr>
          <w:color w:val="231F20"/>
          <w:spacing w:val="-10"/>
        </w:rPr>
        <w:t xml:space="preserve"> </w:t>
      </w:r>
      <w:r>
        <w:rPr>
          <w:color w:val="231F20"/>
        </w:rPr>
        <w:t>a</w:t>
      </w:r>
      <w:r>
        <w:rPr>
          <w:color w:val="231F20"/>
          <w:spacing w:val="-10"/>
        </w:rPr>
        <w:t xml:space="preserve"> </w:t>
      </w:r>
      <w:r>
        <w:rPr>
          <w:color w:val="231F20"/>
        </w:rPr>
        <w:t>XL</w:t>
      </w:r>
      <w:r>
        <w:rPr>
          <w:color w:val="231F20"/>
          <w:spacing w:val="-11"/>
        </w:rPr>
        <w:t xml:space="preserve"> </w:t>
      </w:r>
      <w:r>
        <w:rPr>
          <w:color w:val="231F20"/>
        </w:rPr>
        <w:t>a</w:t>
      </w:r>
      <w:r>
        <w:rPr>
          <w:color w:val="231F20"/>
          <w:spacing w:val="-10"/>
        </w:rPr>
        <w:t xml:space="preserve"> </w:t>
      </w:r>
      <w:r>
        <w:rPr>
          <w:color w:val="231F20"/>
        </w:rPr>
        <w:t>Souprava</w:t>
      </w:r>
      <w:r>
        <w:rPr>
          <w:color w:val="231F20"/>
          <w:spacing w:val="-10"/>
        </w:rPr>
        <w:t xml:space="preserve"> </w:t>
      </w:r>
      <w:r>
        <w:rPr>
          <w:color w:val="231F20"/>
        </w:rPr>
        <w:t>zahrnuje</w:t>
      </w:r>
      <w:r>
        <w:rPr>
          <w:color w:val="231F20"/>
          <w:spacing w:val="-11"/>
        </w:rPr>
        <w:t xml:space="preserve"> </w:t>
      </w:r>
      <w:r>
        <w:rPr>
          <w:color w:val="231F20"/>
        </w:rPr>
        <w:t>tato</w:t>
      </w:r>
      <w:r>
        <w:rPr>
          <w:color w:val="231F20"/>
          <w:spacing w:val="-10"/>
        </w:rPr>
        <w:t xml:space="preserve"> </w:t>
      </w:r>
      <w:r>
        <w:rPr>
          <w:color w:val="231F20"/>
        </w:rPr>
        <w:t>služba</w:t>
      </w:r>
      <w:r>
        <w:rPr>
          <w:color w:val="231F20"/>
          <w:spacing w:val="-10"/>
        </w:rPr>
        <w:t xml:space="preserve"> </w:t>
      </w:r>
      <w:r>
        <w:rPr>
          <w:color w:val="231F20"/>
          <w:spacing w:val="-3"/>
        </w:rPr>
        <w:t xml:space="preserve">možnost </w:t>
      </w:r>
      <w:r>
        <w:rPr>
          <w:color w:val="231F20"/>
        </w:rPr>
        <w:t>poskytnutí</w:t>
      </w:r>
      <w:r>
        <w:rPr>
          <w:color w:val="231F20"/>
          <w:spacing w:val="-19"/>
        </w:rPr>
        <w:t xml:space="preserve"> </w:t>
      </w:r>
      <w:r>
        <w:rPr>
          <w:color w:val="231F20"/>
        </w:rPr>
        <w:t>náhradního</w:t>
      </w:r>
      <w:r>
        <w:rPr>
          <w:color w:val="231F20"/>
          <w:spacing w:val="-18"/>
        </w:rPr>
        <w:t xml:space="preserve"> </w:t>
      </w:r>
      <w:r>
        <w:rPr>
          <w:color w:val="231F20"/>
        </w:rPr>
        <w:t>vozidla</w:t>
      </w:r>
      <w:r>
        <w:rPr>
          <w:color w:val="231F20"/>
          <w:spacing w:val="-18"/>
        </w:rPr>
        <w:t xml:space="preserve"> </w:t>
      </w:r>
      <w:r>
        <w:rPr>
          <w:color w:val="231F20"/>
        </w:rPr>
        <w:t>stejné</w:t>
      </w:r>
      <w:r>
        <w:rPr>
          <w:color w:val="231F20"/>
          <w:spacing w:val="-19"/>
        </w:rPr>
        <w:t xml:space="preserve"> </w:t>
      </w:r>
      <w:r>
        <w:rPr>
          <w:color w:val="231F20"/>
        </w:rPr>
        <w:t>nebo</w:t>
      </w:r>
      <w:r>
        <w:rPr>
          <w:color w:val="231F20"/>
          <w:spacing w:val="-18"/>
        </w:rPr>
        <w:t xml:space="preserve"> </w:t>
      </w:r>
      <w:r>
        <w:rPr>
          <w:color w:val="231F20"/>
        </w:rPr>
        <w:t>nižší</w:t>
      </w:r>
      <w:r>
        <w:rPr>
          <w:color w:val="231F20"/>
          <w:spacing w:val="-18"/>
        </w:rPr>
        <w:t xml:space="preserve"> </w:t>
      </w:r>
      <w:r>
        <w:rPr>
          <w:color w:val="231F20"/>
          <w:spacing w:val="-3"/>
        </w:rPr>
        <w:t>třídy,</w:t>
      </w:r>
      <w:r>
        <w:rPr>
          <w:color w:val="231F20"/>
          <w:spacing w:val="-19"/>
        </w:rPr>
        <w:t xml:space="preserve"> </w:t>
      </w:r>
      <w:r>
        <w:rPr>
          <w:color w:val="231F20"/>
        </w:rPr>
        <w:t>které</w:t>
      </w:r>
      <w:r>
        <w:rPr>
          <w:color w:val="231F20"/>
          <w:spacing w:val="-18"/>
        </w:rPr>
        <w:t xml:space="preserve"> </w:t>
      </w:r>
      <w:r>
        <w:rPr>
          <w:color w:val="231F20"/>
        </w:rPr>
        <w:t>odpovídá</w:t>
      </w:r>
      <w:r>
        <w:rPr>
          <w:color w:val="231F20"/>
          <w:spacing w:val="-18"/>
        </w:rPr>
        <w:t xml:space="preserve"> </w:t>
      </w:r>
      <w:r>
        <w:rPr>
          <w:color w:val="231F20"/>
          <w:spacing w:val="-3"/>
        </w:rPr>
        <w:t xml:space="preserve">celko- </w:t>
      </w:r>
      <w:r>
        <w:rPr>
          <w:color w:val="231F20"/>
        </w:rPr>
        <w:t>vým</w:t>
      </w:r>
      <w:r>
        <w:rPr>
          <w:color w:val="231F20"/>
          <w:spacing w:val="-28"/>
        </w:rPr>
        <w:t xml:space="preserve"> </w:t>
      </w:r>
      <w:r>
        <w:rPr>
          <w:color w:val="231F20"/>
        </w:rPr>
        <w:t>počtem</w:t>
      </w:r>
      <w:r>
        <w:rPr>
          <w:color w:val="231F20"/>
          <w:spacing w:val="-27"/>
        </w:rPr>
        <w:t xml:space="preserve"> </w:t>
      </w:r>
      <w:r>
        <w:rPr>
          <w:color w:val="231F20"/>
        </w:rPr>
        <w:t>přepravovaných</w:t>
      </w:r>
      <w:r>
        <w:rPr>
          <w:color w:val="231F20"/>
          <w:spacing w:val="-28"/>
        </w:rPr>
        <w:t xml:space="preserve"> </w:t>
      </w:r>
      <w:r>
        <w:rPr>
          <w:color w:val="231F20"/>
        </w:rPr>
        <w:t>osob</w:t>
      </w:r>
      <w:r>
        <w:rPr>
          <w:color w:val="231F20"/>
          <w:spacing w:val="-27"/>
        </w:rPr>
        <w:t xml:space="preserve"> </w:t>
      </w:r>
      <w:r>
        <w:rPr>
          <w:color w:val="231F20"/>
        </w:rPr>
        <w:t>(uvedeným</w:t>
      </w:r>
      <w:r>
        <w:rPr>
          <w:color w:val="231F20"/>
          <w:spacing w:val="-28"/>
        </w:rPr>
        <w:t xml:space="preserve"> </w:t>
      </w:r>
      <w:r>
        <w:rPr>
          <w:color w:val="231F20"/>
        </w:rPr>
        <w:t>v</w:t>
      </w:r>
      <w:r>
        <w:rPr>
          <w:color w:val="231F20"/>
          <w:spacing w:val="-27"/>
        </w:rPr>
        <w:t xml:space="preserve"> </w:t>
      </w:r>
      <w:r>
        <w:rPr>
          <w:color w:val="231F20"/>
        </w:rPr>
        <w:t>TP</w:t>
      </w:r>
      <w:r>
        <w:rPr>
          <w:color w:val="231F20"/>
          <w:spacing w:val="-28"/>
        </w:rPr>
        <w:t xml:space="preserve"> </w:t>
      </w:r>
      <w:r>
        <w:rPr>
          <w:color w:val="231F20"/>
        </w:rPr>
        <w:t>nebo</w:t>
      </w:r>
      <w:r>
        <w:rPr>
          <w:color w:val="231F20"/>
          <w:spacing w:val="-27"/>
        </w:rPr>
        <w:t xml:space="preserve"> </w:t>
      </w:r>
      <w:r>
        <w:rPr>
          <w:color w:val="231F20"/>
        </w:rPr>
        <w:t>ORV)</w:t>
      </w:r>
      <w:r>
        <w:rPr>
          <w:color w:val="231F20"/>
          <w:spacing w:val="-28"/>
        </w:rPr>
        <w:t xml:space="preserve"> </w:t>
      </w:r>
      <w:r>
        <w:rPr>
          <w:color w:val="231F20"/>
        </w:rPr>
        <w:t>pojištěnému vozidlu.</w:t>
      </w:r>
      <w:r>
        <w:rPr>
          <w:color w:val="231F20"/>
          <w:spacing w:val="-7"/>
        </w:rPr>
        <w:t xml:space="preserve"> </w:t>
      </w:r>
      <w:r>
        <w:rPr>
          <w:color w:val="231F20"/>
        </w:rPr>
        <w:t>Pojišťovna</w:t>
      </w:r>
      <w:r>
        <w:rPr>
          <w:color w:val="231F20"/>
          <w:spacing w:val="-6"/>
        </w:rPr>
        <w:t xml:space="preserve"> </w:t>
      </w:r>
      <w:r>
        <w:rPr>
          <w:color w:val="231F20"/>
        </w:rPr>
        <w:t>uhradí</w:t>
      </w:r>
      <w:r>
        <w:rPr>
          <w:color w:val="231F20"/>
          <w:spacing w:val="-6"/>
        </w:rPr>
        <w:t xml:space="preserve"> </w:t>
      </w:r>
      <w:r>
        <w:rPr>
          <w:color w:val="231F20"/>
        </w:rPr>
        <w:t>maximálně</w:t>
      </w:r>
      <w:r>
        <w:rPr>
          <w:color w:val="231F20"/>
          <w:spacing w:val="-6"/>
        </w:rPr>
        <w:t xml:space="preserve"> </w:t>
      </w:r>
      <w:r>
        <w:rPr>
          <w:color w:val="231F20"/>
        </w:rPr>
        <w:t>2000</w:t>
      </w:r>
      <w:r>
        <w:rPr>
          <w:color w:val="231F20"/>
          <w:spacing w:val="-6"/>
        </w:rPr>
        <w:t xml:space="preserve"> </w:t>
      </w:r>
      <w:r>
        <w:rPr>
          <w:color w:val="231F20"/>
        </w:rPr>
        <w:t>Kč</w:t>
      </w:r>
      <w:r>
        <w:rPr>
          <w:color w:val="231F20"/>
          <w:spacing w:val="-6"/>
        </w:rPr>
        <w:t xml:space="preserve"> </w:t>
      </w:r>
      <w:r>
        <w:rPr>
          <w:color w:val="231F20"/>
        </w:rPr>
        <w:t>bez</w:t>
      </w:r>
      <w:r>
        <w:rPr>
          <w:color w:val="231F20"/>
          <w:spacing w:val="-6"/>
        </w:rPr>
        <w:t xml:space="preserve"> </w:t>
      </w:r>
      <w:r>
        <w:rPr>
          <w:color w:val="231F20"/>
        </w:rPr>
        <w:t>DPH</w:t>
      </w:r>
      <w:r>
        <w:rPr>
          <w:color w:val="231F20"/>
          <w:spacing w:val="-6"/>
        </w:rPr>
        <w:t xml:space="preserve"> </w:t>
      </w:r>
      <w:r>
        <w:rPr>
          <w:color w:val="231F20"/>
        </w:rPr>
        <w:t>na</w:t>
      </w:r>
      <w:r>
        <w:rPr>
          <w:color w:val="231F20"/>
          <w:spacing w:val="-6"/>
        </w:rPr>
        <w:t xml:space="preserve"> </w:t>
      </w:r>
      <w:r>
        <w:rPr>
          <w:color w:val="231F20"/>
        </w:rPr>
        <w:t>den;</w:t>
      </w:r>
    </w:p>
    <w:p w14:paraId="14AA0BF8" w14:textId="77777777" w:rsidR="00F65BCA" w:rsidRDefault="00216117">
      <w:pPr>
        <w:pStyle w:val="Odstavecseseznamem"/>
        <w:numPr>
          <w:ilvl w:val="0"/>
          <w:numId w:val="93"/>
        </w:numPr>
        <w:tabs>
          <w:tab w:val="left" w:pos="881"/>
        </w:tabs>
        <w:spacing w:line="278" w:lineRule="auto"/>
        <w:jc w:val="both"/>
        <w:rPr>
          <w:sz w:val="15"/>
        </w:rPr>
      </w:pPr>
      <w:r>
        <w:rPr>
          <w:color w:val="231F20"/>
          <w:sz w:val="15"/>
        </w:rPr>
        <w:t>u vozidel nad 3,5t zapůjčení náhradního vozidla, po dobu uvedenou v</w:t>
      </w:r>
      <w:r>
        <w:rPr>
          <w:color w:val="231F20"/>
          <w:spacing w:val="-18"/>
          <w:sz w:val="15"/>
        </w:rPr>
        <w:t xml:space="preserve"> </w:t>
      </w:r>
      <w:r>
        <w:rPr>
          <w:color w:val="231F20"/>
          <w:sz w:val="15"/>
        </w:rPr>
        <w:t>ta- bulkách</w:t>
      </w:r>
      <w:r>
        <w:rPr>
          <w:color w:val="231F20"/>
          <w:spacing w:val="-10"/>
          <w:sz w:val="15"/>
        </w:rPr>
        <w:t xml:space="preserve"> </w:t>
      </w:r>
      <w:r>
        <w:rPr>
          <w:color w:val="231F20"/>
          <w:sz w:val="15"/>
        </w:rPr>
        <w:t>Rozsah</w:t>
      </w:r>
      <w:r>
        <w:rPr>
          <w:color w:val="231F20"/>
          <w:spacing w:val="-9"/>
          <w:sz w:val="15"/>
        </w:rPr>
        <w:t xml:space="preserve"> </w:t>
      </w:r>
      <w:r>
        <w:rPr>
          <w:color w:val="231F20"/>
          <w:sz w:val="15"/>
        </w:rPr>
        <w:t>a</w:t>
      </w:r>
      <w:r>
        <w:rPr>
          <w:color w:val="231F20"/>
          <w:spacing w:val="-9"/>
          <w:sz w:val="15"/>
        </w:rPr>
        <w:t xml:space="preserve"> </w:t>
      </w:r>
      <w:r>
        <w:rPr>
          <w:color w:val="231F20"/>
          <w:sz w:val="15"/>
        </w:rPr>
        <w:t>limity</w:t>
      </w:r>
      <w:r>
        <w:rPr>
          <w:color w:val="231F20"/>
          <w:spacing w:val="-9"/>
          <w:sz w:val="15"/>
        </w:rPr>
        <w:t xml:space="preserve"> </w:t>
      </w:r>
      <w:r>
        <w:rPr>
          <w:color w:val="231F20"/>
          <w:sz w:val="15"/>
        </w:rPr>
        <w:t>asistenčních</w:t>
      </w:r>
      <w:r>
        <w:rPr>
          <w:color w:val="231F20"/>
          <w:spacing w:val="-10"/>
          <w:sz w:val="15"/>
        </w:rPr>
        <w:t xml:space="preserve"> </w:t>
      </w:r>
      <w:r>
        <w:rPr>
          <w:color w:val="231F20"/>
          <w:sz w:val="15"/>
        </w:rPr>
        <w:t>služeb,</w:t>
      </w:r>
      <w:r>
        <w:rPr>
          <w:color w:val="231F20"/>
          <w:spacing w:val="-9"/>
          <w:sz w:val="15"/>
        </w:rPr>
        <w:t xml:space="preserve"> </w:t>
      </w:r>
      <w:r>
        <w:rPr>
          <w:color w:val="231F20"/>
          <w:sz w:val="15"/>
        </w:rPr>
        <w:t>nejdéle</w:t>
      </w:r>
      <w:r>
        <w:rPr>
          <w:color w:val="231F20"/>
          <w:spacing w:val="-9"/>
          <w:sz w:val="15"/>
        </w:rPr>
        <w:t xml:space="preserve"> </w:t>
      </w:r>
      <w:r>
        <w:rPr>
          <w:color w:val="231F20"/>
          <w:sz w:val="15"/>
        </w:rPr>
        <w:t>však</w:t>
      </w:r>
      <w:r>
        <w:rPr>
          <w:color w:val="231F20"/>
          <w:spacing w:val="-9"/>
          <w:sz w:val="15"/>
        </w:rPr>
        <w:t xml:space="preserve"> </w:t>
      </w:r>
      <w:r>
        <w:rPr>
          <w:color w:val="231F20"/>
          <w:sz w:val="15"/>
        </w:rPr>
        <w:t>po</w:t>
      </w:r>
      <w:r>
        <w:rPr>
          <w:color w:val="231F20"/>
          <w:spacing w:val="-10"/>
          <w:sz w:val="15"/>
        </w:rPr>
        <w:t xml:space="preserve"> </w:t>
      </w:r>
      <w:r>
        <w:rPr>
          <w:color w:val="231F20"/>
          <w:sz w:val="15"/>
        </w:rPr>
        <w:t>dobu</w:t>
      </w:r>
      <w:r>
        <w:rPr>
          <w:color w:val="231F20"/>
          <w:spacing w:val="-9"/>
          <w:sz w:val="15"/>
        </w:rPr>
        <w:t xml:space="preserve"> </w:t>
      </w:r>
      <w:r>
        <w:rPr>
          <w:color w:val="231F20"/>
          <w:spacing w:val="-3"/>
          <w:sz w:val="15"/>
        </w:rPr>
        <w:t xml:space="preserve">opravy </w:t>
      </w:r>
      <w:r>
        <w:rPr>
          <w:color w:val="231F20"/>
          <w:sz w:val="15"/>
        </w:rPr>
        <w:t>vozidla.</w:t>
      </w:r>
      <w:r>
        <w:rPr>
          <w:color w:val="231F20"/>
          <w:spacing w:val="-9"/>
          <w:sz w:val="15"/>
        </w:rPr>
        <w:t xml:space="preserve"> </w:t>
      </w:r>
      <w:r>
        <w:rPr>
          <w:color w:val="231F20"/>
          <w:sz w:val="15"/>
        </w:rPr>
        <w:t>V</w:t>
      </w:r>
      <w:r>
        <w:rPr>
          <w:color w:val="231F20"/>
          <w:spacing w:val="-9"/>
          <w:sz w:val="15"/>
        </w:rPr>
        <w:t xml:space="preserve"> </w:t>
      </w:r>
      <w:r>
        <w:rPr>
          <w:color w:val="231F20"/>
          <w:sz w:val="15"/>
        </w:rPr>
        <w:t>případě</w:t>
      </w:r>
      <w:r>
        <w:rPr>
          <w:color w:val="231F20"/>
          <w:spacing w:val="-8"/>
          <w:sz w:val="15"/>
        </w:rPr>
        <w:t xml:space="preserve"> </w:t>
      </w:r>
      <w:r>
        <w:rPr>
          <w:color w:val="231F20"/>
          <w:sz w:val="15"/>
        </w:rPr>
        <w:t>odcizení</w:t>
      </w:r>
      <w:r>
        <w:rPr>
          <w:color w:val="231F20"/>
          <w:spacing w:val="-9"/>
          <w:sz w:val="15"/>
        </w:rPr>
        <w:t xml:space="preserve"> </w:t>
      </w:r>
      <w:r>
        <w:rPr>
          <w:color w:val="231F20"/>
          <w:sz w:val="15"/>
        </w:rPr>
        <w:t>běží</w:t>
      </w:r>
      <w:r>
        <w:rPr>
          <w:color w:val="231F20"/>
          <w:spacing w:val="-8"/>
          <w:sz w:val="15"/>
        </w:rPr>
        <w:t xml:space="preserve"> </w:t>
      </w:r>
      <w:r>
        <w:rPr>
          <w:color w:val="231F20"/>
          <w:sz w:val="15"/>
        </w:rPr>
        <w:t>doba</w:t>
      </w:r>
      <w:r>
        <w:rPr>
          <w:color w:val="231F20"/>
          <w:spacing w:val="-9"/>
          <w:sz w:val="15"/>
        </w:rPr>
        <w:t xml:space="preserve"> </w:t>
      </w:r>
      <w:r>
        <w:rPr>
          <w:color w:val="231F20"/>
          <w:sz w:val="15"/>
        </w:rPr>
        <w:t>ode</w:t>
      </w:r>
      <w:r>
        <w:rPr>
          <w:color w:val="231F20"/>
          <w:spacing w:val="-8"/>
          <w:sz w:val="15"/>
        </w:rPr>
        <w:t xml:space="preserve"> </w:t>
      </w:r>
      <w:r>
        <w:rPr>
          <w:color w:val="231F20"/>
          <w:sz w:val="15"/>
        </w:rPr>
        <w:t>dne</w:t>
      </w:r>
      <w:r>
        <w:rPr>
          <w:color w:val="231F20"/>
          <w:spacing w:val="-9"/>
          <w:sz w:val="15"/>
        </w:rPr>
        <w:t xml:space="preserve"> </w:t>
      </w:r>
      <w:r>
        <w:rPr>
          <w:color w:val="231F20"/>
          <w:sz w:val="15"/>
        </w:rPr>
        <w:t>nahlášení</w:t>
      </w:r>
      <w:r>
        <w:rPr>
          <w:color w:val="231F20"/>
          <w:spacing w:val="-8"/>
          <w:sz w:val="15"/>
        </w:rPr>
        <w:t xml:space="preserve"> </w:t>
      </w:r>
      <w:r>
        <w:rPr>
          <w:color w:val="231F20"/>
          <w:sz w:val="15"/>
        </w:rPr>
        <w:t>pojistné</w:t>
      </w:r>
      <w:r>
        <w:rPr>
          <w:color w:val="231F20"/>
          <w:spacing w:val="-9"/>
          <w:sz w:val="15"/>
        </w:rPr>
        <w:t xml:space="preserve"> </w:t>
      </w:r>
      <w:r>
        <w:rPr>
          <w:color w:val="231F20"/>
          <w:sz w:val="15"/>
        </w:rPr>
        <w:t>události poskytovateli</w:t>
      </w:r>
      <w:r>
        <w:rPr>
          <w:color w:val="231F20"/>
          <w:spacing w:val="-20"/>
          <w:sz w:val="15"/>
        </w:rPr>
        <w:t xml:space="preserve"> </w:t>
      </w:r>
      <w:r>
        <w:rPr>
          <w:color w:val="231F20"/>
          <w:sz w:val="15"/>
        </w:rPr>
        <w:t>asistence.</w:t>
      </w:r>
      <w:r>
        <w:rPr>
          <w:color w:val="231F20"/>
          <w:spacing w:val="-20"/>
          <w:sz w:val="15"/>
        </w:rPr>
        <w:t xml:space="preserve"> </w:t>
      </w:r>
      <w:r>
        <w:rPr>
          <w:color w:val="231F20"/>
          <w:sz w:val="15"/>
        </w:rPr>
        <w:t>Zapůjčeno</w:t>
      </w:r>
      <w:r>
        <w:rPr>
          <w:color w:val="231F20"/>
          <w:spacing w:val="-20"/>
          <w:sz w:val="15"/>
        </w:rPr>
        <w:t xml:space="preserve"> </w:t>
      </w:r>
      <w:r>
        <w:rPr>
          <w:color w:val="231F20"/>
          <w:sz w:val="15"/>
        </w:rPr>
        <w:t>bude</w:t>
      </w:r>
      <w:r>
        <w:rPr>
          <w:color w:val="231F20"/>
          <w:spacing w:val="-20"/>
          <w:sz w:val="15"/>
        </w:rPr>
        <w:t xml:space="preserve"> </w:t>
      </w:r>
      <w:r>
        <w:rPr>
          <w:color w:val="231F20"/>
          <w:sz w:val="15"/>
        </w:rPr>
        <w:t>náhradní</w:t>
      </w:r>
      <w:r>
        <w:rPr>
          <w:color w:val="231F20"/>
          <w:spacing w:val="-20"/>
          <w:sz w:val="15"/>
        </w:rPr>
        <w:t xml:space="preserve"> </w:t>
      </w:r>
      <w:r>
        <w:rPr>
          <w:color w:val="231F20"/>
          <w:sz w:val="15"/>
        </w:rPr>
        <w:t>vozidlo</w:t>
      </w:r>
      <w:r>
        <w:rPr>
          <w:color w:val="231F20"/>
          <w:spacing w:val="-19"/>
          <w:sz w:val="15"/>
        </w:rPr>
        <w:t xml:space="preserve"> </w:t>
      </w:r>
      <w:r>
        <w:rPr>
          <w:color w:val="231F20"/>
          <w:sz w:val="15"/>
        </w:rPr>
        <w:t>téhož</w:t>
      </w:r>
      <w:r>
        <w:rPr>
          <w:color w:val="231F20"/>
          <w:spacing w:val="-20"/>
          <w:sz w:val="15"/>
        </w:rPr>
        <w:t xml:space="preserve"> </w:t>
      </w:r>
      <w:r>
        <w:rPr>
          <w:color w:val="231F20"/>
          <w:sz w:val="15"/>
        </w:rPr>
        <w:t>druhu,</w:t>
      </w:r>
      <w:r>
        <w:rPr>
          <w:color w:val="231F20"/>
          <w:spacing w:val="-20"/>
          <w:sz w:val="15"/>
        </w:rPr>
        <w:t xml:space="preserve"> </w:t>
      </w:r>
      <w:r>
        <w:rPr>
          <w:color w:val="231F20"/>
          <w:spacing w:val="-4"/>
          <w:sz w:val="15"/>
        </w:rPr>
        <w:t xml:space="preserve">pří- </w:t>
      </w:r>
      <w:r>
        <w:rPr>
          <w:color w:val="231F20"/>
          <w:sz w:val="15"/>
        </w:rPr>
        <w:t>padně</w:t>
      </w:r>
      <w:r>
        <w:rPr>
          <w:color w:val="231F20"/>
          <w:spacing w:val="-4"/>
          <w:sz w:val="15"/>
        </w:rPr>
        <w:t xml:space="preserve"> </w:t>
      </w:r>
      <w:r>
        <w:rPr>
          <w:color w:val="231F20"/>
          <w:sz w:val="15"/>
        </w:rPr>
        <w:t>jiného</w:t>
      </w:r>
      <w:r>
        <w:rPr>
          <w:color w:val="231F20"/>
          <w:spacing w:val="-4"/>
          <w:sz w:val="15"/>
        </w:rPr>
        <w:t xml:space="preserve"> </w:t>
      </w:r>
      <w:r>
        <w:rPr>
          <w:color w:val="231F20"/>
          <w:sz w:val="15"/>
        </w:rPr>
        <w:t>druhu,</w:t>
      </w:r>
      <w:r>
        <w:rPr>
          <w:color w:val="231F20"/>
          <w:spacing w:val="-4"/>
          <w:sz w:val="15"/>
        </w:rPr>
        <w:t xml:space="preserve"> </w:t>
      </w:r>
      <w:r>
        <w:rPr>
          <w:color w:val="231F20"/>
          <w:sz w:val="15"/>
        </w:rPr>
        <w:t>nebude-li</w:t>
      </w:r>
      <w:r>
        <w:rPr>
          <w:color w:val="231F20"/>
          <w:spacing w:val="-4"/>
          <w:sz w:val="15"/>
        </w:rPr>
        <w:t xml:space="preserve"> </w:t>
      </w:r>
      <w:r>
        <w:rPr>
          <w:color w:val="231F20"/>
          <w:sz w:val="15"/>
        </w:rPr>
        <w:t>stejný</w:t>
      </w:r>
      <w:r>
        <w:rPr>
          <w:color w:val="231F20"/>
          <w:spacing w:val="-4"/>
          <w:sz w:val="15"/>
        </w:rPr>
        <w:t xml:space="preserve"> </w:t>
      </w:r>
      <w:r>
        <w:rPr>
          <w:color w:val="231F20"/>
          <w:sz w:val="15"/>
        </w:rPr>
        <w:t>druh</w:t>
      </w:r>
      <w:r>
        <w:rPr>
          <w:color w:val="231F20"/>
          <w:spacing w:val="-4"/>
          <w:sz w:val="15"/>
        </w:rPr>
        <w:t xml:space="preserve"> </w:t>
      </w:r>
      <w:r>
        <w:rPr>
          <w:color w:val="231F20"/>
          <w:sz w:val="15"/>
        </w:rPr>
        <w:t>náhradního</w:t>
      </w:r>
      <w:r>
        <w:rPr>
          <w:color w:val="231F20"/>
          <w:spacing w:val="-4"/>
          <w:sz w:val="15"/>
        </w:rPr>
        <w:t xml:space="preserve"> </w:t>
      </w:r>
      <w:r>
        <w:rPr>
          <w:color w:val="231F20"/>
          <w:sz w:val="15"/>
        </w:rPr>
        <w:t>vozidla</w:t>
      </w:r>
      <w:r>
        <w:rPr>
          <w:color w:val="231F20"/>
          <w:spacing w:val="-4"/>
          <w:sz w:val="15"/>
        </w:rPr>
        <w:t xml:space="preserve"> </w:t>
      </w:r>
      <w:r>
        <w:rPr>
          <w:color w:val="231F20"/>
          <w:sz w:val="15"/>
        </w:rPr>
        <w:t>k</w:t>
      </w:r>
      <w:r>
        <w:rPr>
          <w:color w:val="231F20"/>
          <w:spacing w:val="-4"/>
          <w:sz w:val="15"/>
        </w:rPr>
        <w:t xml:space="preserve"> </w:t>
      </w:r>
      <w:r>
        <w:rPr>
          <w:color w:val="231F20"/>
          <w:sz w:val="15"/>
        </w:rPr>
        <w:t>dispozici. Pojišťovna uhradí maximálně 2000 Kč bez DPH na</w:t>
      </w:r>
      <w:r>
        <w:rPr>
          <w:color w:val="231F20"/>
          <w:spacing w:val="-29"/>
          <w:sz w:val="15"/>
        </w:rPr>
        <w:t xml:space="preserve"> </w:t>
      </w:r>
      <w:r>
        <w:rPr>
          <w:color w:val="231F20"/>
          <w:sz w:val="15"/>
        </w:rPr>
        <w:t>den.</w:t>
      </w:r>
    </w:p>
    <w:p w14:paraId="5A99E9FB"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 xml:space="preserve">4 </w:t>
      </w:r>
      <w:r>
        <w:rPr>
          <w:color w:val="231F20"/>
          <w:position w:val="1"/>
          <w:sz w:val="14"/>
        </w:rPr>
        <w:t xml:space="preserve"> </w:t>
      </w:r>
      <w:r>
        <w:rPr>
          <w:color w:val="231F20"/>
        </w:rPr>
        <w:t>Náklady na zapůjčení náhradního vozidla uhradí Pojišťovna u vozidla do  3,5</w:t>
      </w:r>
      <w:r>
        <w:rPr>
          <w:color w:val="231F20"/>
          <w:spacing w:val="-14"/>
        </w:rPr>
        <w:t xml:space="preserve"> </w:t>
      </w:r>
      <w:r>
        <w:rPr>
          <w:color w:val="231F20"/>
        </w:rPr>
        <w:t>t</w:t>
      </w:r>
      <w:r>
        <w:rPr>
          <w:color w:val="231F20"/>
          <w:spacing w:val="-13"/>
        </w:rPr>
        <w:t xml:space="preserve"> </w:t>
      </w:r>
      <w:r>
        <w:rPr>
          <w:color w:val="231F20"/>
        </w:rPr>
        <w:t>i</w:t>
      </w:r>
      <w:r>
        <w:rPr>
          <w:color w:val="231F20"/>
          <w:spacing w:val="-14"/>
        </w:rPr>
        <w:t xml:space="preserve"> </w:t>
      </w:r>
      <w:r>
        <w:rPr>
          <w:color w:val="231F20"/>
        </w:rPr>
        <w:t>u</w:t>
      </w:r>
      <w:r>
        <w:rPr>
          <w:color w:val="231F20"/>
          <w:spacing w:val="-13"/>
        </w:rPr>
        <w:t xml:space="preserve"> </w:t>
      </w:r>
      <w:r>
        <w:rPr>
          <w:color w:val="231F20"/>
        </w:rPr>
        <w:t>vozidla</w:t>
      </w:r>
      <w:r>
        <w:rPr>
          <w:color w:val="231F20"/>
          <w:spacing w:val="-14"/>
        </w:rPr>
        <w:t xml:space="preserve"> </w:t>
      </w:r>
      <w:r>
        <w:rPr>
          <w:color w:val="231F20"/>
        </w:rPr>
        <w:t>nad</w:t>
      </w:r>
      <w:r>
        <w:rPr>
          <w:color w:val="231F20"/>
          <w:spacing w:val="-13"/>
        </w:rPr>
        <w:t xml:space="preserve"> </w:t>
      </w:r>
      <w:r>
        <w:rPr>
          <w:color w:val="231F20"/>
        </w:rPr>
        <w:t>3,5</w:t>
      </w:r>
      <w:r>
        <w:rPr>
          <w:color w:val="231F20"/>
          <w:spacing w:val="-14"/>
        </w:rPr>
        <w:t xml:space="preserve"> </w:t>
      </w:r>
      <w:r>
        <w:rPr>
          <w:color w:val="231F20"/>
        </w:rPr>
        <w:t>t</w:t>
      </w:r>
      <w:r>
        <w:rPr>
          <w:color w:val="231F20"/>
          <w:spacing w:val="-13"/>
        </w:rPr>
        <w:t xml:space="preserve"> </w:t>
      </w:r>
      <w:r>
        <w:rPr>
          <w:color w:val="231F20"/>
        </w:rPr>
        <w:t>včetně</w:t>
      </w:r>
      <w:r>
        <w:rPr>
          <w:color w:val="231F20"/>
          <w:spacing w:val="-14"/>
        </w:rPr>
        <w:t xml:space="preserve"> </w:t>
      </w:r>
      <w:r>
        <w:rPr>
          <w:color w:val="231F20"/>
        </w:rPr>
        <w:t>jeho</w:t>
      </w:r>
      <w:r>
        <w:rPr>
          <w:color w:val="231F20"/>
          <w:spacing w:val="-13"/>
        </w:rPr>
        <w:t xml:space="preserve"> </w:t>
      </w:r>
      <w:r>
        <w:rPr>
          <w:color w:val="231F20"/>
        </w:rPr>
        <w:t>přistavení</w:t>
      </w:r>
      <w:r>
        <w:rPr>
          <w:color w:val="231F20"/>
          <w:spacing w:val="-14"/>
        </w:rPr>
        <w:t xml:space="preserve"> </w:t>
      </w:r>
      <w:r>
        <w:rPr>
          <w:color w:val="231F20"/>
        </w:rPr>
        <w:t>na</w:t>
      </w:r>
      <w:r>
        <w:rPr>
          <w:color w:val="231F20"/>
          <w:spacing w:val="-13"/>
        </w:rPr>
        <w:t xml:space="preserve"> </w:t>
      </w:r>
      <w:r>
        <w:rPr>
          <w:color w:val="231F20"/>
        </w:rPr>
        <w:t>místo</w:t>
      </w:r>
      <w:r>
        <w:rPr>
          <w:color w:val="231F20"/>
          <w:spacing w:val="-14"/>
        </w:rPr>
        <w:t xml:space="preserve"> </w:t>
      </w:r>
      <w:r>
        <w:rPr>
          <w:color w:val="231F20"/>
        </w:rPr>
        <w:t>události,</w:t>
      </w:r>
      <w:r>
        <w:rPr>
          <w:color w:val="231F20"/>
          <w:spacing w:val="-13"/>
        </w:rPr>
        <w:t xml:space="preserve"> </w:t>
      </w:r>
      <w:r>
        <w:rPr>
          <w:color w:val="231F20"/>
        </w:rPr>
        <w:t>případně</w:t>
      </w:r>
      <w:r>
        <w:rPr>
          <w:color w:val="231F20"/>
          <w:spacing w:val="-14"/>
        </w:rPr>
        <w:t xml:space="preserve"> </w:t>
      </w:r>
      <w:r>
        <w:rPr>
          <w:color w:val="231F20"/>
        </w:rPr>
        <w:t>do servisu,</w:t>
      </w:r>
      <w:r>
        <w:rPr>
          <w:color w:val="231F20"/>
          <w:spacing w:val="-27"/>
        </w:rPr>
        <w:t xml:space="preserve"> </w:t>
      </w:r>
      <w:r>
        <w:rPr>
          <w:color w:val="231F20"/>
        </w:rPr>
        <w:t>kde</w:t>
      </w:r>
      <w:r>
        <w:rPr>
          <w:color w:val="231F20"/>
          <w:spacing w:val="-26"/>
        </w:rPr>
        <w:t xml:space="preserve"> </w:t>
      </w:r>
      <w:r>
        <w:rPr>
          <w:color w:val="231F20"/>
        </w:rPr>
        <w:t>je</w:t>
      </w:r>
      <w:r>
        <w:rPr>
          <w:color w:val="231F20"/>
          <w:spacing w:val="-26"/>
        </w:rPr>
        <w:t xml:space="preserve"> </w:t>
      </w:r>
      <w:r>
        <w:rPr>
          <w:color w:val="231F20"/>
        </w:rPr>
        <w:t>vozidlo</w:t>
      </w:r>
      <w:r>
        <w:rPr>
          <w:color w:val="231F20"/>
          <w:spacing w:val="-26"/>
        </w:rPr>
        <w:t xml:space="preserve"> </w:t>
      </w:r>
      <w:r>
        <w:rPr>
          <w:color w:val="231F20"/>
        </w:rPr>
        <w:t>opravováno.</w:t>
      </w:r>
      <w:r>
        <w:rPr>
          <w:color w:val="231F20"/>
          <w:spacing w:val="-26"/>
        </w:rPr>
        <w:t xml:space="preserve"> </w:t>
      </w:r>
      <w:r>
        <w:rPr>
          <w:color w:val="231F20"/>
        </w:rPr>
        <w:t>Náklady</w:t>
      </w:r>
      <w:r>
        <w:rPr>
          <w:color w:val="231F20"/>
          <w:spacing w:val="-26"/>
        </w:rPr>
        <w:t xml:space="preserve"> </w:t>
      </w:r>
      <w:r>
        <w:rPr>
          <w:color w:val="231F20"/>
        </w:rPr>
        <w:t>spojené</w:t>
      </w:r>
      <w:r>
        <w:rPr>
          <w:color w:val="231F20"/>
          <w:spacing w:val="-26"/>
        </w:rPr>
        <w:t xml:space="preserve"> </w:t>
      </w:r>
      <w:r>
        <w:rPr>
          <w:color w:val="231F20"/>
        </w:rPr>
        <w:t>s</w:t>
      </w:r>
      <w:r>
        <w:rPr>
          <w:color w:val="231F20"/>
          <w:spacing w:val="-27"/>
        </w:rPr>
        <w:t xml:space="preserve"> </w:t>
      </w:r>
      <w:r>
        <w:rPr>
          <w:color w:val="231F20"/>
        </w:rPr>
        <w:t>vrácením</w:t>
      </w:r>
      <w:r>
        <w:rPr>
          <w:color w:val="231F20"/>
          <w:spacing w:val="-26"/>
        </w:rPr>
        <w:t xml:space="preserve"> </w:t>
      </w:r>
      <w:r>
        <w:rPr>
          <w:color w:val="231F20"/>
        </w:rPr>
        <w:t>vozidla</w:t>
      </w:r>
      <w:r>
        <w:rPr>
          <w:color w:val="231F20"/>
          <w:spacing w:val="-26"/>
        </w:rPr>
        <w:t xml:space="preserve"> </w:t>
      </w:r>
      <w:r>
        <w:rPr>
          <w:color w:val="231F20"/>
        </w:rPr>
        <w:t>v</w:t>
      </w:r>
      <w:r>
        <w:rPr>
          <w:color w:val="231F20"/>
          <w:spacing w:val="-26"/>
        </w:rPr>
        <w:t xml:space="preserve"> </w:t>
      </w:r>
      <w:r>
        <w:rPr>
          <w:color w:val="231F20"/>
          <w:spacing w:val="-3"/>
        </w:rPr>
        <w:t xml:space="preserve">jiném </w:t>
      </w:r>
      <w:r>
        <w:rPr>
          <w:color w:val="231F20"/>
        </w:rPr>
        <w:t xml:space="preserve">místě a dále náklady spojené s provozem (pohonné </w:t>
      </w:r>
      <w:r>
        <w:rPr>
          <w:color w:val="231F20"/>
          <w:spacing w:val="-3"/>
        </w:rPr>
        <w:t xml:space="preserve">hmoty, </w:t>
      </w:r>
      <w:r>
        <w:rPr>
          <w:color w:val="231F20"/>
        </w:rPr>
        <w:t xml:space="preserve">dálniční </w:t>
      </w:r>
      <w:r>
        <w:rPr>
          <w:color w:val="231F20"/>
          <w:spacing w:val="-4"/>
        </w:rPr>
        <w:t xml:space="preserve">poplat- </w:t>
      </w:r>
      <w:r>
        <w:rPr>
          <w:color w:val="231F20"/>
        </w:rPr>
        <w:t>ky</w:t>
      </w:r>
      <w:r>
        <w:rPr>
          <w:color w:val="231F20"/>
          <w:spacing w:val="-13"/>
        </w:rPr>
        <w:t xml:space="preserve"> </w:t>
      </w:r>
      <w:r>
        <w:rPr>
          <w:color w:val="231F20"/>
        </w:rPr>
        <w:t>apod.),</w:t>
      </w:r>
      <w:r>
        <w:rPr>
          <w:color w:val="231F20"/>
          <w:spacing w:val="-12"/>
        </w:rPr>
        <w:t xml:space="preserve"> </w:t>
      </w:r>
      <w:r>
        <w:rPr>
          <w:color w:val="231F20"/>
        </w:rPr>
        <w:t>údržbou</w:t>
      </w:r>
      <w:r>
        <w:rPr>
          <w:color w:val="231F20"/>
          <w:spacing w:val="-12"/>
        </w:rPr>
        <w:t xml:space="preserve"> </w:t>
      </w:r>
      <w:r>
        <w:rPr>
          <w:color w:val="231F20"/>
        </w:rPr>
        <w:t>(mytí,</w:t>
      </w:r>
      <w:r>
        <w:rPr>
          <w:color w:val="231F20"/>
          <w:spacing w:val="-12"/>
        </w:rPr>
        <w:t xml:space="preserve"> </w:t>
      </w:r>
      <w:r>
        <w:rPr>
          <w:color w:val="231F20"/>
        </w:rPr>
        <w:t>čištění</w:t>
      </w:r>
      <w:r>
        <w:rPr>
          <w:color w:val="231F20"/>
          <w:spacing w:val="-13"/>
        </w:rPr>
        <w:t xml:space="preserve"> </w:t>
      </w:r>
      <w:r>
        <w:rPr>
          <w:color w:val="231F20"/>
        </w:rPr>
        <w:t>apod.)</w:t>
      </w:r>
      <w:r>
        <w:rPr>
          <w:color w:val="231F20"/>
          <w:spacing w:val="-12"/>
        </w:rPr>
        <w:t xml:space="preserve"> </w:t>
      </w:r>
      <w:r>
        <w:rPr>
          <w:color w:val="231F20"/>
        </w:rPr>
        <w:t>a</w:t>
      </w:r>
      <w:r>
        <w:rPr>
          <w:color w:val="231F20"/>
          <w:spacing w:val="-12"/>
        </w:rPr>
        <w:t xml:space="preserve"> </w:t>
      </w:r>
      <w:r>
        <w:rPr>
          <w:color w:val="231F20"/>
        </w:rPr>
        <w:t>opravou</w:t>
      </w:r>
      <w:r>
        <w:rPr>
          <w:color w:val="231F20"/>
          <w:spacing w:val="-12"/>
        </w:rPr>
        <w:t xml:space="preserve"> </w:t>
      </w:r>
      <w:r>
        <w:rPr>
          <w:color w:val="231F20"/>
        </w:rPr>
        <w:t>náhradního</w:t>
      </w:r>
      <w:r>
        <w:rPr>
          <w:color w:val="231F20"/>
          <w:spacing w:val="-13"/>
        </w:rPr>
        <w:t xml:space="preserve"> </w:t>
      </w:r>
      <w:r>
        <w:rPr>
          <w:color w:val="231F20"/>
        </w:rPr>
        <w:t>vozidla</w:t>
      </w:r>
      <w:r>
        <w:rPr>
          <w:color w:val="231F20"/>
          <w:spacing w:val="-12"/>
        </w:rPr>
        <w:t xml:space="preserve"> </w:t>
      </w:r>
      <w:r>
        <w:rPr>
          <w:color w:val="231F20"/>
        </w:rPr>
        <w:t>nejsou součástí</w:t>
      </w:r>
      <w:r>
        <w:rPr>
          <w:color w:val="231F20"/>
          <w:spacing w:val="-14"/>
        </w:rPr>
        <w:t xml:space="preserve"> </w:t>
      </w:r>
      <w:r>
        <w:rPr>
          <w:color w:val="231F20"/>
        </w:rPr>
        <w:t>plnění</w:t>
      </w:r>
      <w:r>
        <w:rPr>
          <w:color w:val="231F20"/>
          <w:spacing w:val="-14"/>
        </w:rPr>
        <w:t xml:space="preserve"> </w:t>
      </w:r>
      <w:r>
        <w:rPr>
          <w:color w:val="231F20"/>
        </w:rPr>
        <w:t>z</w:t>
      </w:r>
      <w:r>
        <w:rPr>
          <w:color w:val="231F20"/>
          <w:spacing w:val="-14"/>
        </w:rPr>
        <w:t xml:space="preserve"> </w:t>
      </w:r>
      <w:r>
        <w:rPr>
          <w:color w:val="231F20"/>
        </w:rPr>
        <w:t>pojištění.</w:t>
      </w:r>
      <w:r>
        <w:rPr>
          <w:color w:val="231F20"/>
          <w:spacing w:val="-14"/>
        </w:rPr>
        <w:t xml:space="preserve"> </w:t>
      </w:r>
      <w:r>
        <w:rPr>
          <w:color w:val="231F20"/>
        </w:rPr>
        <w:t>Součástí</w:t>
      </w:r>
      <w:r>
        <w:rPr>
          <w:color w:val="231F20"/>
          <w:spacing w:val="-13"/>
        </w:rPr>
        <w:t xml:space="preserve"> </w:t>
      </w:r>
      <w:r>
        <w:rPr>
          <w:color w:val="231F20"/>
        </w:rPr>
        <w:t>plnění</w:t>
      </w:r>
      <w:r>
        <w:rPr>
          <w:color w:val="231F20"/>
          <w:spacing w:val="-14"/>
        </w:rPr>
        <w:t xml:space="preserve"> </w:t>
      </w:r>
      <w:r>
        <w:rPr>
          <w:color w:val="231F20"/>
        </w:rPr>
        <w:t>nejsou</w:t>
      </w:r>
      <w:r>
        <w:rPr>
          <w:color w:val="231F20"/>
          <w:spacing w:val="-14"/>
        </w:rPr>
        <w:t xml:space="preserve"> </w:t>
      </w:r>
      <w:r>
        <w:rPr>
          <w:color w:val="231F20"/>
        </w:rPr>
        <w:t>dále</w:t>
      </w:r>
      <w:r>
        <w:rPr>
          <w:color w:val="231F20"/>
          <w:spacing w:val="-14"/>
        </w:rPr>
        <w:t xml:space="preserve"> </w:t>
      </w:r>
      <w:r>
        <w:rPr>
          <w:color w:val="231F20"/>
        </w:rPr>
        <w:t>náklady,</w:t>
      </w:r>
      <w:r>
        <w:rPr>
          <w:color w:val="231F20"/>
          <w:spacing w:val="-13"/>
        </w:rPr>
        <w:t xml:space="preserve"> </w:t>
      </w:r>
      <w:r>
        <w:rPr>
          <w:color w:val="231F20"/>
        </w:rPr>
        <w:t>které</w:t>
      </w:r>
      <w:r>
        <w:rPr>
          <w:color w:val="231F20"/>
          <w:spacing w:val="-14"/>
        </w:rPr>
        <w:t xml:space="preserve"> </w:t>
      </w:r>
      <w:r>
        <w:rPr>
          <w:color w:val="231F20"/>
        </w:rPr>
        <w:t>vznikly tím,</w:t>
      </w:r>
      <w:r>
        <w:rPr>
          <w:color w:val="231F20"/>
          <w:spacing w:val="-19"/>
        </w:rPr>
        <w:t xml:space="preserve"> </w:t>
      </w:r>
      <w:r>
        <w:rPr>
          <w:color w:val="231F20"/>
        </w:rPr>
        <w:t>že</w:t>
      </w:r>
      <w:r>
        <w:rPr>
          <w:color w:val="231F20"/>
          <w:spacing w:val="-18"/>
        </w:rPr>
        <w:t xml:space="preserve"> </w:t>
      </w:r>
      <w:r>
        <w:rPr>
          <w:color w:val="231F20"/>
        </w:rPr>
        <w:t>oprávněná</w:t>
      </w:r>
      <w:r>
        <w:rPr>
          <w:color w:val="231F20"/>
          <w:spacing w:val="-18"/>
        </w:rPr>
        <w:t xml:space="preserve"> </w:t>
      </w:r>
      <w:r>
        <w:rPr>
          <w:color w:val="231F20"/>
        </w:rPr>
        <w:t>osoba</w:t>
      </w:r>
      <w:r>
        <w:rPr>
          <w:color w:val="231F20"/>
          <w:spacing w:val="-18"/>
        </w:rPr>
        <w:t xml:space="preserve"> </w:t>
      </w:r>
      <w:r>
        <w:rPr>
          <w:color w:val="231F20"/>
        </w:rPr>
        <w:t>nevrátila</w:t>
      </w:r>
      <w:r>
        <w:rPr>
          <w:color w:val="231F20"/>
          <w:spacing w:val="-18"/>
        </w:rPr>
        <w:t xml:space="preserve"> </w:t>
      </w:r>
      <w:r>
        <w:rPr>
          <w:color w:val="231F20"/>
        </w:rPr>
        <w:t>náhradní</w:t>
      </w:r>
      <w:r>
        <w:rPr>
          <w:color w:val="231F20"/>
          <w:spacing w:val="-19"/>
        </w:rPr>
        <w:t xml:space="preserve"> </w:t>
      </w:r>
      <w:r>
        <w:rPr>
          <w:color w:val="231F20"/>
        </w:rPr>
        <w:t>vozidlo</w:t>
      </w:r>
      <w:r>
        <w:rPr>
          <w:color w:val="231F20"/>
          <w:spacing w:val="-18"/>
        </w:rPr>
        <w:t xml:space="preserve"> </w:t>
      </w:r>
      <w:r>
        <w:rPr>
          <w:color w:val="231F20"/>
        </w:rPr>
        <w:t>zpět</w:t>
      </w:r>
      <w:r>
        <w:rPr>
          <w:color w:val="231F20"/>
          <w:spacing w:val="-18"/>
        </w:rPr>
        <w:t xml:space="preserve"> </w:t>
      </w:r>
      <w:r>
        <w:rPr>
          <w:color w:val="231F20"/>
        </w:rPr>
        <w:t>do</w:t>
      </w:r>
      <w:r>
        <w:rPr>
          <w:color w:val="231F20"/>
          <w:spacing w:val="-18"/>
        </w:rPr>
        <w:t xml:space="preserve"> </w:t>
      </w:r>
      <w:r>
        <w:rPr>
          <w:color w:val="231F20"/>
        </w:rPr>
        <w:t>půjčovny,</w:t>
      </w:r>
      <w:r>
        <w:rPr>
          <w:color w:val="231F20"/>
          <w:spacing w:val="-18"/>
        </w:rPr>
        <w:t xml:space="preserve"> </w:t>
      </w:r>
      <w:r>
        <w:rPr>
          <w:color w:val="231F20"/>
        </w:rPr>
        <w:t>ze</w:t>
      </w:r>
      <w:r>
        <w:rPr>
          <w:color w:val="231F20"/>
          <w:spacing w:val="-18"/>
        </w:rPr>
        <w:t xml:space="preserve"> </w:t>
      </w:r>
      <w:r>
        <w:rPr>
          <w:color w:val="231F20"/>
        </w:rPr>
        <w:t>které bylo</w:t>
      </w:r>
      <w:r>
        <w:rPr>
          <w:color w:val="231F20"/>
          <w:spacing w:val="-17"/>
        </w:rPr>
        <w:t xml:space="preserve"> </w:t>
      </w:r>
      <w:r>
        <w:rPr>
          <w:color w:val="231F20"/>
        </w:rPr>
        <w:t>půjčeno</w:t>
      </w:r>
      <w:r>
        <w:rPr>
          <w:color w:val="231F20"/>
          <w:spacing w:val="-16"/>
        </w:rPr>
        <w:t xml:space="preserve"> </w:t>
      </w:r>
      <w:r>
        <w:rPr>
          <w:color w:val="231F20"/>
        </w:rPr>
        <w:t>nebo</w:t>
      </w:r>
      <w:r>
        <w:rPr>
          <w:color w:val="231F20"/>
          <w:spacing w:val="-16"/>
        </w:rPr>
        <w:t xml:space="preserve"> </w:t>
      </w:r>
      <w:r>
        <w:rPr>
          <w:color w:val="231F20"/>
        </w:rPr>
        <w:t>zpět</w:t>
      </w:r>
      <w:r>
        <w:rPr>
          <w:color w:val="231F20"/>
          <w:spacing w:val="-16"/>
        </w:rPr>
        <w:t xml:space="preserve"> </w:t>
      </w:r>
      <w:r>
        <w:rPr>
          <w:color w:val="231F20"/>
        </w:rPr>
        <w:t>na</w:t>
      </w:r>
      <w:r>
        <w:rPr>
          <w:color w:val="231F20"/>
          <w:spacing w:val="-16"/>
        </w:rPr>
        <w:t xml:space="preserve"> </w:t>
      </w:r>
      <w:r>
        <w:rPr>
          <w:color w:val="231F20"/>
        </w:rPr>
        <w:t>místo,</w:t>
      </w:r>
      <w:r>
        <w:rPr>
          <w:color w:val="231F20"/>
          <w:spacing w:val="-16"/>
        </w:rPr>
        <w:t xml:space="preserve"> </w:t>
      </w:r>
      <w:r>
        <w:rPr>
          <w:color w:val="231F20"/>
        </w:rPr>
        <w:t>kde</w:t>
      </w:r>
      <w:r>
        <w:rPr>
          <w:color w:val="231F20"/>
          <w:spacing w:val="-16"/>
        </w:rPr>
        <w:t xml:space="preserve"> </w:t>
      </w:r>
      <w:r>
        <w:rPr>
          <w:color w:val="231F20"/>
        </w:rPr>
        <w:t>bylo</w:t>
      </w:r>
      <w:r>
        <w:rPr>
          <w:color w:val="231F20"/>
          <w:spacing w:val="-16"/>
        </w:rPr>
        <w:t xml:space="preserve"> </w:t>
      </w:r>
      <w:r>
        <w:rPr>
          <w:color w:val="231F20"/>
        </w:rPr>
        <w:t>převzato,</w:t>
      </w:r>
      <w:r>
        <w:rPr>
          <w:color w:val="231F20"/>
          <w:spacing w:val="-16"/>
        </w:rPr>
        <w:t xml:space="preserve"> </w:t>
      </w:r>
      <w:r>
        <w:rPr>
          <w:color w:val="231F20"/>
        </w:rPr>
        <w:t>bylo-li</w:t>
      </w:r>
      <w:r>
        <w:rPr>
          <w:color w:val="231F20"/>
          <w:spacing w:val="-16"/>
        </w:rPr>
        <w:t xml:space="preserve"> </w:t>
      </w:r>
      <w:r>
        <w:rPr>
          <w:color w:val="231F20"/>
        </w:rPr>
        <w:t>přivezeno.</w:t>
      </w:r>
      <w:r>
        <w:rPr>
          <w:color w:val="231F20"/>
          <w:spacing w:val="-16"/>
        </w:rPr>
        <w:t xml:space="preserve"> </w:t>
      </w:r>
      <w:r>
        <w:rPr>
          <w:color w:val="231F20"/>
        </w:rPr>
        <w:t>O</w:t>
      </w:r>
      <w:r>
        <w:rPr>
          <w:color w:val="231F20"/>
          <w:spacing w:val="-16"/>
        </w:rPr>
        <w:t xml:space="preserve"> </w:t>
      </w:r>
      <w:r>
        <w:rPr>
          <w:color w:val="231F20"/>
          <w:spacing w:val="-3"/>
        </w:rPr>
        <w:t xml:space="preserve">volbě </w:t>
      </w:r>
      <w:r>
        <w:rPr>
          <w:color w:val="231F20"/>
          <w:w w:val="95"/>
        </w:rPr>
        <w:t xml:space="preserve">tovární značky a modelu náhradního vozidla rozhoduje poskytovatel asistence. </w:t>
      </w:r>
      <w:r>
        <w:rPr>
          <w:color w:val="231F20"/>
        </w:rPr>
        <w:t>Zapůjčení</w:t>
      </w:r>
      <w:r>
        <w:rPr>
          <w:color w:val="231F20"/>
          <w:spacing w:val="-22"/>
        </w:rPr>
        <w:t xml:space="preserve"> </w:t>
      </w:r>
      <w:r>
        <w:rPr>
          <w:color w:val="231F20"/>
        </w:rPr>
        <w:t>náhradního</w:t>
      </w:r>
      <w:r>
        <w:rPr>
          <w:color w:val="231F20"/>
          <w:spacing w:val="-21"/>
        </w:rPr>
        <w:t xml:space="preserve"> </w:t>
      </w:r>
      <w:r>
        <w:rPr>
          <w:color w:val="231F20"/>
        </w:rPr>
        <w:t>vozidla</w:t>
      </w:r>
      <w:r>
        <w:rPr>
          <w:color w:val="231F20"/>
          <w:spacing w:val="-21"/>
        </w:rPr>
        <w:t xml:space="preserve"> </w:t>
      </w:r>
      <w:r>
        <w:rPr>
          <w:color w:val="231F20"/>
        </w:rPr>
        <w:t>je</w:t>
      </w:r>
      <w:r>
        <w:rPr>
          <w:color w:val="231F20"/>
          <w:spacing w:val="-21"/>
        </w:rPr>
        <w:t xml:space="preserve"> </w:t>
      </w:r>
      <w:r>
        <w:rPr>
          <w:color w:val="231F20"/>
        </w:rPr>
        <w:t>spojeno</w:t>
      </w:r>
      <w:r>
        <w:rPr>
          <w:color w:val="231F20"/>
          <w:spacing w:val="-22"/>
        </w:rPr>
        <w:t xml:space="preserve"> </w:t>
      </w:r>
      <w:r>
        <w:rPr>
          <w:color w:val="231F20"/>
        </w:rPr>
        <w:t>s</w:t>
      </w:r>
      <w:r>
        <w:rPr>
          <w:color w:val="231F20"/>
          <w:spacing w:val="-21"/>
        </w:rPr>
        <w:t xml:space="preserve"> </w:t>
      </w:r>
      <w:r>
        <w:rPr>
          <w:color w:val="231F20"/>
        </w:rPr>
        <w:t>přistoupením</w:t>
      </w:r>
      <w:r>
        <w:rPr>
          <w:color w:val="231F20"/>
          <w:spacing w:val="-21"/>
        </w:rPr>
        <w:t xml:space="preserve"> </w:t>
      </w:r>
      <w:r>
        <w:rPr>
          <w:color w:val="231F20"/>
        </w:rPr>
        <w:t>ke</w:t>
      </w:r>
      <w:r>
        <w:rPr>
          <w:color w:val="231F20"/>
          <w:spacing w:val="-21"/>
        </w:rPr>
        <w:t xml:space="preserve"> </w:t>
      </w:r>
      <w:r>
        <w:rPr>
          <w:color w:val="231F20"/>
        </w:rPr>
        <w:t>smluvním</w:t>
      </w:r>
      <w:r>
        <w:rPr>
          <w:color w:val="231F20"/>
          <w:spacing w:val="-22"/>
        </w:rPr>
        <w:t xml:space="preserve"> </w:t>
      </w:r>
      <w:r>
        <w:rPr>
          <w:color w:val="231F20"/>
          <w:spacing w:val="-3"/>
        </w:rPr>
        <w:t xml:space="preserve">podmín- </w:t>
      </w:r>
      <w:r>
        <w:rPr>
          <w:color w:val="231F20"/>
        </w:rPr>
        <w:t>kám pronajímatele vozidla. Zapůjčení náhradního vozidla nelze</w:t>
      </w:r>
      <w:r>
        <w:rPr>
          <w:color w:val="231F20"/>
          <w:spacing w:val="-22"/>
        </w:rPr>
        <w:t xml:space="preserve"> </w:t>
      </w:r>
      <w:r>
        <w:rPr>
          <w:color w:val="231F20"/>
        </w:rPr>
        <w:t>kombinovat s</w:t>
      </w:r>
      <w:r>
        <w:rPr>
          <w:color w:val="231F20"/>
          <w:spacing w:val="-10"/>
        </w:rPr>
        <w:t xml:space="preserve"> </w:t>
      </w:r>
      <w:r>
        <w:rPr>
          <w:color w:val="231F20"/>
        </w:rPr>
        <w:t>náhradní</w:t>
      </w:r>
      <w:r>
        <w:rPr>
          <w:color w:val="231F20"/>
          <w:spacing w:val="-9"/>
        </w:rPr>
        <w:t xml:space="preserve"> </w:t>
      </w:r>
      <w:r>
        <w:rPr>
          <w:color w:val="231F20"/>
        </w:rPr>
        <w:t>přepravou</w:t>
      </w:r>
      <w:r>
        <w:rPr>
          <w:color w:val="231F20"/>
          <w:spacing w:val="-10"/>
        </w:rPr>
        <w:t xml:space="preserve"> </w:t>
      </w:r>
      <w:r>
        <w:rPr>
          <w:color w:val="231F20"/>
        </w:rPr>
        <w:t>osob,</w:t>
      </w:r>
      <w:r>
        <w:rPr>
          <w:color w:val="231F20"/>
          <w:spacing w:val="-9"/>
        </w:rPr>
        <w:t xml:space="preserve"> </w:t>
      </w:r>
      <w:r>
        <w:rPr>
          <w:color w:val="231F20"/>
        </w:rPr>
        <w:t>nerozhodne-li</w:t>
      </w:r>
      <w:r>
        <w:rPr>
          <w:color w:val="231F20"/>
          <w:spacing w:val="-9"/>
        </w:rPr>
        <w:t xml:space="preserve"> </w:t>
      </w:r>
      <w:r>
        <w:rPr>
          <w:color w:val="231F20"/>
        </w:rPr>
        <w:t>poskytovatel</w:t>
      </w:r>
      <w:r>
        <w:rPr>
          <w:color w:val="231F20"/>
          <w:spacing w:val="-10"/>
        </w:rPr>
        <w:t xml:space="preserve"> </w:t>
      </w:r>
      <w:r>
        <w:rPr>
          <w:color w:val="231F20"/>
        </w:rPr>
        <w:t>asistence</w:t>
      </w:r>
      <w:r>
        <w:rPr>
          <w:color w:val="231F20"/>
          <w:spacing w:val="-9"/>
        </w:rPr>
        <w:t xml:space="preserve"> </w:t>
      </w:r>
      <w:r>
        <w:rPr>
          <w:color w:val="231F20"/>
        </w:rPr>
        <w:t>jinak.</w:t>
      </w:r>
    </w:p>
    <w:p w14:paraId="5DB2278F" w14:textId="77777777" w:rsidR="00F65BCA" w:rsidRDefault="00216117">
      <w:pPr>
        <w:pStyle w:val="Zkladntext"/>
        <w:spacing w:line="278" w:lineRule="auto"/>
        <w:ind w:left="710" w:right="1"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position w:val="1"/>
          <w:sz w:val="14"/>
        </w:rPr>
        <w:t xml:space="preserve"> </w:t>
      </w:r>
      <w:r>
        <w:rPr>
          <w:color w:val="231F20"/>
        </w:rPr>
        <w:t>Náhradní vozidlo pro přeložení nákladu je služba, která obsahuje úhradu nájemného za nákladní vozidlo, případně též za přípojné vozidlo, nebo za soupravu</w:t>
      </w:r>
      <w:r>
        <w:rPr>
          <w:color w:val="231F20"/>
          <w:spacing w:val="-12"/>
        </w:rPr>
        <w:t xml:space="preserve"> </w:t>
      </w:r>
      <w:r>
        <w:rPr>
          <w:color w:val="231F20"/>
        </w:rPr>
        <w:t>složenou</w:t>
      </w:r>
      <w:r>
        <w:rPr>
          <w:color w:val="231F20"/>
          <w:spacing w:val="-12"/>
        </w:rPr>
        <w:t xml:space="preserve"> </w:t>
      </w:r>
      <w:r>
        <w:rPr>
          <w:color w:val="231F20"/>
        </w:rPr>
        <w:t>z</w:t>
      </w:r>
      <w:r>
        <w:rPr>
          <w:color w:val="231F20"/>
          <w:spacing w:val="-12"/>
        </w:rPr>
        <w:t xml:space="preserve"> </w:t>
      </w:r>
      <w:r>
        <w:rPr>
          <w:color w:val="231F20"/>
        </w:rPr>
        <w:t>tažného</w:t>
      </w:r>
      <w:r>
        <w:rPr>
          <w:color w:val="231F20"/>
          <w:spacing w:val="-12"/>
        </w:rPr>
        <w:t xml:space="preserve"> </w:t>
      </w:r>
      <w:r>
        <w:rPr>
          <w:color w:val="231F20"/>
        </w:rPr>
        <w:t>vozidla</w:t>
      </w:r>
      <w:r>
        <w:rPr>
          <w:color w:val="231F20"/>
          <w:spacing w:val="-12"/>
        </w:rPr>
        <w:t xml:space="preserve"> </w:t>
      </w:r>
      <w:r>
        <w:rPr>
          <w:color w:val="231F20"/>
        </w:rPr>
        <w:t>a</w:t>
      </w:r>
      <w:r>
        <w:rPr>
          <w:color w:val="231F20"/>
          <w:spacing w:val="-11"/>
        </w:rPr>
        <w:t xml:space="preserve"> </w:t>
      </w:r>
      <w:r>
        <w:rPr>
          <w:color w:val="231F20"/>
        </w:rPr>
        <w:t>přípojného</w:t>
      </w:r>
      <w:r>
        <w:rPr>
          <w:color w:val="231F20"/>
          <w:spacing w:val="-12"/>
        </w:rPr>
        <w:t xml:space="preserve"> </w:t>
      </w:r>
      <w:r>
        <w:rPr>
          <w:color w:val="231F20"/>
        </w:rPr>
        <w:t>vozidla,</w:t>
      </w:r>
      <w:r>
        <w:rPr>
          <w:color w:val="231F20"/>
          <w:spacing w:val="-12"/>
        </w:rPr>
        <w:t xml:space="preserve"> </w:t>
      </w:r>
      <w:r>
        <w:rPr>
          <w:color w:val="231F20"/>
        </w:rPr>
        <w:t>které</w:t>
      </w:r>
      <w:r>
        <w:rPr>
          <w:color w:val="231F20"/>
          <w:spacing w:val="-12"/>
        </w:rPr>
        <w:t xml:space="preserve"> </w:t>
      </w:r>
      <w:r>
        <w:rPr>
          <w:color w:val="231F20"/>
        </w:rPr>
        <w:t>byly</w:t>
      </w:r>
      <w:r>
        <w:rPr>
          <w:color w:val="231F20"/>
          <w:spacing w:val="-12"/>
        </w:rPr>
        <w:t xml:space="preserve"> </w:t>
      </w:r>
      <w:r>
        <w:rPr>
          <w:color w:val="231F20"/>
        </w:rPr>
        <w:t>zajiště- ny za účelem přeložení nákladu z pojištěného vozidla. Náklady na zapůjče- ní</w:t>
      </w:r>
      <w:r>
        <w:rPr>
          <w:color w:val="231F20"/>
          <w:spacing w:val="-4"/>
        </w:rPr>
        <w:t xml:space="preserve"> </w:t>
      </w:r>
      <w:r>
        <w:rPr>
          <w:color w:val="231F20"/>
        </w:rPr>
        <w:t>náhradního</w:t>
      </w:r>
      <w:r>
        <w:rPr>
          <w:color w:val="231F20"/>
          <w:spacing w:val="-3"/>
        </w:rPr>
        <w:t xml:space="preserve"> </w:t>
      </w:r>
      <w:r>
        <w:rPr>
          <w:color w:val="231F20"/>
        </w:rPr>
        <w:t>vozidla</w:t>
      </w:r>
      <w:r>
        <w:rPr>
          <w:color w:val="231F20"/>
          <w:spacing w:val="-3"/>
        </w:rPr>
        <w:t xml:space="preserve"> </w:t>
      </w:r>
      <w:r>
        <w:rPr>
          <w:color w:val="231F20"/>
        </w:rPr>
        <w:t>jsou</w:t>
      </w:r>
      <w:r>
        <w:rPr>
          <w:color w:val="231F20"/>
          <w:spacing w:val="-4"/>
        </w:rPr>
        <w:t xml:space="preserve"> </w:t>
      </w:r>
      <w:r>
        <w:rPr>
          <w:color w:val="231F20"/>
        </w:rPr>
        <w:t>hrazeny</w:t>
      </w:r>
      <w:r>
        <w:rPr>
          <w:color w:val="231F20"/>
          <w:spacing w:val="-3"/>
        </w:rPr>
        <w:t xml:space="preserve"> </w:t>
      </w:r>
      <w:r>
        <w:rPr>
          <w:color w:val="231F20"/>
        </w:rPr>
        <w:t>včetně</w:t>
      </w:r>
      <w:r>
        <w:rPr>
          <w:color w:val="231F20"/>
          <w:spacing w:val="-3"/>
        </w:rPr>
        <w:t xml:space="preserve"> </w:t>
      </w:r>
      <w:r>
        <w:rPr>
          <w:color w:val="231F20"/>
        </w:rPr>
        <w:t>jeho</w:t>
      </w:r>
      <w:r>
        <w:rPr>
          <w:color w:val="231F20"/>
          <w:spacing w:val="-4"/>
        </w:rPr>
        <w:t xml:space="preserve"> </w:t>
      </w:r>
      <w:r>
        <w:rPr>
          <w:color w:val="231F20"/>
        </w:rPr>
        <w:t>přistavení</w:t>
      </w:r>
      <w:r>
        <w:rPr>
          <w:color w:val="231F20"/>
          <w:spacing w:val="-3"/>
        </w:rPr>
        <w:t xml:space="preserve"> </w:t>
      </w:r>
      <w:r>
        <w:rPr>
          <w:color w:val="231F20"/>
        </w:rPr>
        <w:t>na</w:t>
      </w:r>
      <w:r>
        <w:rPr>
          <w:color w:val="231F20"/>
          <w:spacing w:val="-3"/>
        </w:rPr>
        <w:t xml:space="preserve"> </w:t>
      </w:r>
      <w:r>
        <w:rPr>
          <w:color w:val="231F20"/>
        </w:rPr>
        <w:t>místo</w:t>
      </w:r>
      <w:r>
        <w:rPr>
          <w:color w:val="231F20"/>
          <w:spacing w:val="-4"/>
        </w:rPr>
        <w:t xml:space="preserve"> </w:t>
      </w:r>
      <w:r>
        <w:rPr>
          <w:color w:val="231F20"/>
        </w:rPr>
        <w:t>pojistné události.</w:t>
      </w:r>
      <w:r>
        <w:rPr>
          <w:color w:val="231F20"/>
          <w:spacing w:val="-18"/>
        </w:rPr>
        <w:t xml:space="preserve"> </w:t>
      </w:r>
      <w:r>
        <w:rPr>
          <w:color w:val="231F20"/>
        </w:rPr>
        <w:t>Zapůjčení</w:t>
      </w:r>
      <w:r>
        <w:rPr>
          <w:color w:val="231F20"/>
          <w:spacing w:val="-18"/>
        </w:rPr>
        <w:t xml:space="preserve"> </w:t>
      </w:r>
      <w:r>
        <w:rPr>
          <w:color w:val="231F20"/>
        </w:rPr>
        <w:t>náhradního</w:t>
      </w:r>
      <w:r>
        <w:rPr>
          <w:color w:val="231F20"/>
          <w:spacing w:val="-17"/>
        </w:rPr>
        <w:t xml:space="preserve"> </w:t>
      </w:r>
      <w:r>
        <w:rPr>
          <w:color w:val="231F20"/>
        </w:rPr>
        <w:t>vozidla</w:t>
      </w:r>
      <w:r>
        <w:rPr>
          <w:color w:val="231F20"/>
          <w:spacing w:val="-18"/>
        </w:rPr>
        <w:t xml:space="preserve"> </w:t>
      </w:r>
      <w:r>
        <w:rPr>
          <w:color w:val="231F20"/>
        </w:rPr>
        <w:t>pro</w:t>
      </w:r>
      <w:r>
        <w:rPr>
          <w:color w:val="231F20"/>
          <w:spacing w:val="-18"/>
        </w:rPr>
        <w:t xml:space="preserve"> </w:t>
      </w:r>
      <w:r>
        <w:rPr>
          <w:color w:val="231F20"/>
        </w:rPr>
        <w:t>přeložení</w:t>
      </w:r>
      <w:r>
        <w:rPr>
          <w:color w:val="231F20"/>
          <w:spacing w:val="-17"/>
        </w:rPr>
        <w:t xml:space="preserve"> </w:t>
      </w:r>
      <w:r>
        <w:rPr>
          <w:color w:val="231F20"/>
        </w:rPr>
        <w:t>nakladu</w:t>
      </w:r>
      <w:r>
        <w:rPr>
          <w:color w:val="231F20"/>
          <w:spacing w:val="-18"/>
        </w:rPr>
        <w:t xml:space="preserve"> </w:t>
      </w:r>
      <w:r>
        <w:rPr>
          <w:color w:val="231F20"/>
        </w:rPr>
        <w:t>nelze</w:t>
      </w:r>
      <w:r>
        <w:rPr>
          <w:color w:val="231F20"/>
          <w:spacing w:val="-17"/>
        </w:rPr>
        <w:t xml:space="preserve"> </w:t>
      </w:r>
      <w:r>
        <w:rPr>
          <w:color w:val="231F20"/>
        </w:rPr>
        <w:t>kombino- vat</w:t>
      </w:r>
      <w:r>
        <w:rPr>
          <w:color w:val="231F20"/>
          <w:spacing w:val="-13"/>
        </w:rPr>
        <w:t xml:space="preserve"> </w:t>
      </w:r>
      <w:r>
        <w:rPr>
          <w:color w:val="231F20"/>
        </w:rPr>
        <w:t>se</w:t>
      </w:r>
      <w:r>
        <w:rPr>
          <w:color w:val="231F20"/>
          <w:spacing w:val="-13"/>
        </w:rPr>
        <w:t xml:space="preserve"> </w:t>
      </w:r>
      <w:r>
        <w:rPr>
          <w:color w:val="231F20"/>
        </w:rPr>
        <w:t>zapůjčením</w:t>
      </w:r>
      <w:r>
        <w:rPr>
          <w:color w:val="231F20"/>
          <w:spacing w:val="-13"/>
        </w:rPr>
        <w:t xml:space="preserve"> </w:t>
      </w:r>
      <w:r>
        <w:rPr>
          <w:color w:val="231F20"/>
        </w:rPr>
        <w:t>náhradního</w:t>
      </w:r>
      <w:r>
        <w:rPr>
          <w:color w:val="231F20"/>
          <w:spacing w:val="-13"/>
        </w:rPr>
        <w:t xml:space="preserve"> </w:t>
      </w:r>
      <w:r>
        <w:rPr>
          <w:color w:val="231F20"/>
        </w:rPr>
        <w:t>vozidla,</w:t>
      </w:r>
      <w:r>
        <w:rPr>
          <w:color w:val="231F20"/>
          <w:spacing w:val="-12"/>
        </w:rPr>
        <w:t xml:space="preserve"> </w:t>
      </w:r>
      <w:r>
        <w:rPr>
          <w:color w:val="231F20"/>
        </w:rPr>
        <w:t>nerozhodne-li</w:t>
      </w:r>
      <w:r>
        <w:rPr>
          <w:color w:val="231F20"/>
          <w:spacing w:val="-13"/>
        </w:rPr>
        <w:t xml:space="preserve"> </w:t>
      </w:r>
      <w:r>
        <w:rPr>
          <w:color w:val="231F20"/>
        </w:rPr>
        <w:t>poskytovatel</w:t>
      </w:r>
      <w:r>
        <w:rPr>
          <w:color w:val="231F20"/>
          <w:spacing w:val="-13"/>
        </w:rPr>
        <w:t xml:space="preserve"> </w:t>
      </w:r>
      <w:r>
        <w:rPr>
          <w:color w:val="231F20"/>
        </w:rPr>
        <w:t>asistence jinak.</w:t>
      </w:r>
    </w:p>
    <w:p w14:paraId="16A48FF0"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6</w:t>
      </w:r>
      <w:r>
        <w:rPr>
          <w:color w:val="231F20"/>
          <w:position w:val="1"/>
          <w:sz w:val="14"/>
        </w:rPr>
        <w:t xml:space="preserve"> </w:t>
      </w:r>
      <w:r>
        <w:rPr>
          <w:color w:val="231F20"/>
        </w:rPr>
        <w:t xml:space="preserve">Nařízený odtah je odtah, vyproštění či pomoc řidiči, nařízená na místě </w:t>
      </w:r>
      <w:r>
        <w:rPr>
          <w:color w:val="231F20"/>
          <w:spacing w:val="-7"/>
        </w:rPr>
        <w:t xml:space="preserve">po </w:t>
      </w:r>
      <w:r>
        <w:rPr>
          <w:color w:val="231F20"/>
        </w:rPr>
        <w:t>nehodě</w:t>
      </w:r>
      <w:r>
        <w:rPr>
          <w:color w:val="231F20"/>
          <w:spacing w:val="-21"/>
        </w:rPr>
        <w:t xml:space="preserve"> </w:t>
      </w:r>
      <w:r>
        <w:rPr>
          <w:color w:val="231F20"/>
        </w:rPr>
        <w:t>nebo</w:t>
      </w:r>
      <w:r>
        <w:rPr>
          <w:color w:val="231F20"/>
          <w:spacing w:val="-20"/>
        </w:rPr>
        <w:t xml:space="preserve"> </w:t>
      </w:r>
      <w:r>
        <w:rPr>
          <w:color w:val="231F20"/>
        </w:rPr>
        <w:t>poruše</w:t>
      </w:r>
      <w:r>
        <w:rPr>
          <w:color w:val="231F20"/>
          <w:spacing w:val="-21"/>
        </w:rPr>
        <w:t xml:space="preserve"> </w:t>
      </w:r>
      <w:r>
        <w:rPr>
          <w:color w:val="231F20"/>
        </w:rPr>
        <w:t>pojištěného</w:t>
      </w:r>
      <w:r>
        <w:rPr>
          <w:color w:val="231F20"/>
          <w:spacing w:val="-20"/>
        </w:rPr>
        <w:t xml:space="preserve"> </w:t>
      </w:r>
      <w:r>
        <w:rPr>
          <w:color w:val="231F20"/>
        </w:rPr>
        <w:t>nepojízdného</w:t>
      </w:r>
      <w:r>
        <w:rPr>
          <w:color w:val="231F20"/>
          <w:spacing w:val="-21"/>
        </w:rPr>
        <w:t xml:space="preserve"> </w:t>
      </w:r>
      <w:r>
        <w:rPr>
          <w:color w:val="231F20"/>
        </w:rPr>
        <w:t>vozidla</w:t>
      </w:r>
      <w:r>
        <w:rPr>
          <w:color w:val="231F20"/>
          <w:spacing w:val="-20"/>
        </w:rPr>
        <w:t xml:space="preserve"> </w:t>
      </w:r>
      <w:r>
        <w:rPr>
          <w:color w:val="231F20"/>
        </w:rPr>
        <w:t>orgánem</w:t>
      </w:r>
      <w:r>
        <w:rPr>
          <w:color w:val="231F20"/>
          <w:spacing w:val="-21"/>
        </w:rPr>
        <w:t xml:space="preserve"> </w:t>
      </w:r>
      <w:r>
        <w:rPr>
          <w:color w:val="231F20"/>
        </w:rPr>
        <w:t>veřejné</w:t>
      </w:r>
      <w:r>
        <w:rPr>
          <w:color w:val="231F20"/>
          <w:spacing w:val="-20"/>
        </w:rPr>
        <w:t xml:space="preserve"> </w:t>
      </w:r>
      <w:r>
        <w:rPr>
          <w:color w:val="231F20"/>
          <w:spacing w:val="-4"/>
        </w:rPr>
        <w:t xml:space="preserve">moci </w:t>
      </w:r>
      <w:r>
        <w:rPr>
          <w:color w:val="231F20"/>
        </w:rPr>
        <w:t>státu,</w:t>
      </w:r>
      <w:r>
        <w:rPr>
          <w:color w:val="231F20"/>
          <w:spacing w:val="-9"/>
        </w:rPr>
        <w:t xml:space="preserve"> </w:t>
      </w:r>
      <w:r>
        <w:rPr>
          <w:color w:val="231F20"/>
        </w:rPr>
        <w:t>na</w:t>
      </w:r>
      <w:r>
        <w:rPr>
          <w:color w:val="231F20"/>
          <w:spacing w:val="-8"/>
        </w:rPr>
        <w:t xml:space="preserve"> </w:t>
      </w:r>
      <w:r>
        <w:rPr>
          <w:color w:val="231F20"/>
        </w:rPr>
        <w:t>jehož</w:t>
      </w:r>
      <w:r>
        <w:rPr>
          <w:color w:val="231F20"/>
          <w:spacing w:val="-8"/>
        </w:rPr>
        <w:t xml:space="preserve"> </w:t>
      </w:r>
      <w:r>
        <w:rPr>
          <w:color w:val="231F20"/>
        </w:rPr>
        <w:t>území</w:t>
      </w:r>
      <w:r>
        <w:rPr>
          <w:color w:val="231F20"/>
          <w:spacing w:val="-8"/>
        </w:rPr>
        <w:t xml:space="preserve"> </w:t>
      </w:r>
      <w:r>
        <w:rPr>
          <w:color w:val="231F20"/>
        </w:rPr>
        <w:t>jsou</w:t>
      </w:r>
      <w:r>
        <w:rPr>
          <w:color w:val="231F20"/>
          <w:spacing w:val="-8"/>
        </w:rPr>
        <w:t xml:space="preserve"> </w:t>
      </w:r>
      <w:r>
        <w:rPr>
          <w:color w:val="231F20"/>
        </w:rPr>
        <w:t>poskytovány</w:t>
      </w:r>
      <w:r>
        <w:rPr>
          <w:color w:val="231F20"/>
          <w:spacing w:val="-8"/>
        </w:rPr>
        <w:t xml:space="preserve"> </w:t>
      </w:r>
      <w:r>
        <w:rPr>
          <w:color w:val="231F20"/>
        </w:rPr>
        <w:t>asistenční</w:t>
      </w:r>
      <w:r>
        <w:rPr>
          <w:color w:val="231F20"/>
          <w:spacing w:val="-8"/>
        </w:rPr>
        <w:t xml:space="preserve"> </w:t>
      </w:r>
      <w:r>
        <w:rPr>
          <w:color w:val="231F20"/>
        </w:rPr>
        <w:t>služby.</w:t>
      </w:r>
      <w:r>
        <w:rPr>
          <w:color w:val="231F20"/>
          <w:spacing w:val="-8"/>
        </w:rPr>
        <w:t xml:space="preserve"> </w:t>
      </w:r>
      <w:r>
        <w:rPr>
          <w:color w:val="231F20"/>
        </w:rPr>
        <w:t>Pojišťovna</w:t>
      </w:r>
      <w:r>
        <w:rPr>
          <w:color w:val="231F20"/>
          <w:spacing w:val="-8"/>
        </w:rPr>
        <w:t xml:space="preserve"> </w:t>
      </w:r>
      <w:r>
        <w:rPr>
          <w:color w:val="231F20"/>
        </w:rPr>
        <w:t>uhradí náklady související s nařízeným odtahem jen</w:t>
      </w:r>
      <w:r>
        <w:rPr>
          <w:color w:val="231F20"/>
          <w:spacing w:val="-20"/>
        </w:rPr>
        <w:t xml:space="preserve"> </w:t>
      </w:r>
      <w:r>
        <w:rPr>
          <w:color w:val="231F20"/>
        </w:rPr>
        <w:t>tehdy:</w:t>
      </w:r>
    </w:p>
    <w:p w14:paraId="4232AEBF" w14:textId="77777777" w:rsidR="00F65BCA" w:rsidRDefault="00216117">
      <w:pPr>
        <w:pStyle w:val="Odstavecseseznamem"/>
        <w:numPr>
          <w:ilvl w:val="0"/>
          <w:numId w:val="92"/>
        </w:numPr>
        <w:tabs>
          <w:tab w:val="left" w:pos="881"/>
        </w:tabs>
        <w:spacing w:line="278" w:lineRule="auto"/>
        <w:jc w:val="both"/>
        <w:rPr>
          <w:sz w:val="15"/>
        </w:rPr>
      </w:pPr>
      <w:r>
        <w:rPr>
          <w:color w:val="231F20"/>
          <w:sz w:val="15"/>
        </w:rPr>
        <w:t>byl-li</w:t>
      </w:r>
      <w:r>
        <w:rPr>
          <w:color w:val="231F20"/>
          <w:spacing w:val="-14"/>
          <w:sz w:val="15"/>
        </w:rPr>
        <w:t xml:space="preserve"> </w:t>
      </w:r>
      <w:r>
        <w:rPr>
          <w:color w:val="231F20"/>
          <w:sz w:val="15"/>
        </w:rPr>
        <w:t>pojištěným</w:t>
      </w:r>
      <w:r>
        <w:rPr>
          <w:color w:val="231F20"/>
          <w:spacing w:val="-14"/>
          <w:sz w:val="15"/>
        </w:rPr>
        <w:t xml:space="preserve"> </w:t>
      </w:r>
      <w:r>
        <w:rPr>
          <w:color w:val="231F20"/>
          <w:sz w:val="15"/>
        </w:rPr>
        <w:t>nebo</w:t>
      </w:r>
      <w:r>
        <w:rPr>
          <w:color w:val="231F20"/>
          <w:spacing w:val="-14"/>
          <w:sz w:val="15"/>
        </w:rPr>
        <w:t xml:space="preserve"> </w:t>
      </w:r>
      <w:r>
        <w:rPr>
          <w:color w:val="231F20"/>
          <w:sz w:val="15"/>
        </w:rPr>
        <w:t>oprávněnou</w:t>
      </w:r>
      <w:r>
        <w:rPr>
          <w:color w:val="231F20"/>
          <w:spacing w:val="-14"/>
          <w:sz w:val="15"/>
        </w:rPr>
        <w:t xml:space="preserve"> </w:t>
      </w:r>
      <w:r>
        <w:rPr>
          <w:color w:val="231F20"/>
          <w:sz w:val="15"/>
        </w:rPr>
        <w:t>osobou</w:t>
      </w:r>
      <w:r>
        <w:rPr>
          <w:color w:val="231F20"/>
          <w:spacing w:val="-14"/>
          <w:sz w:val="15"/>
        </w:rPr>
        <w:t xml:space="preserve"> </w:t>
      </w:r>
      <w:r>
        <w:rPr>
          <w:color w:val="231F20"/>
          <w:sz w:val="15"/>
        </w:rPr>
        <w:t>bezprostředně</w:t>
      </w:r>
      <w:r>
        <w:rPr>
          <w:color w:val="231F20"/>
          <w:spacing w:val="-14"/>
          <w:sz w:val="15"/>
        </w:rPr>
        <w:t xml:space="preserve"> </w:t>
      </w:r>
      <w:r>
        <w:rPr>
          <w:color w:val="231F20"/>
          <w:sz w:val="15"/>
        </w:rPr>
        <w:t>po</w:t>
      </w:r>
      <w:r>
        <w:rPr>
          <w:color w:val="231F20"/>
          <w:spacing w:val="-14"/>
          <w:sz w:val="15"/>
        </w:rPr>
        <w:t xml:space="preserve"> </w:t>
      </w:r>
      <w:r>
        <w:rPr>
          <w:color w:val="231F20"/>
          <w:sz w:val="15"/>
        </w:rPr>
        <w:t>vzniku</w:t>
      </w:r>
      <w:r>
        <w:rPr>
          <w:color w:val="231F20"/>
          <w:spacing w:val="-14"/>
          <w:sz w:val="15"/>
        </w:rPr>
        <w:t xml:space="preserve"> </w:t>
      </w:r>
      <w:r>
        <w:rPr>
          <w:color w:val="231F20"/>
          <w:sz w:val="15"/>
        </w:rPr>
        <w:t>pojist- né</w:t>
      </w:r>
      <w:r>
        <w:rPr>
          <w:color w:val="231F20"/>
          <w:spacing w:val="-8"/>
          <w:sz w:val="15"/>
        </w:rPr>
        <w:t xml:space="preserve"> </w:t>
      </w:r>
      <w:r>
        <w:rPr>
          <w:color w:val="231F20"/>
          <w:sz w:val="15"/>
        </w:rPr>
        <w:t>události</w:t>
      </w:r>
      <w:r>
        <w:rPr>
          <w:color w:val="231F20"/>
          <w:spacing w:val="-7"/>
          <w:sz w:val="15"/>
        </w:rPr>
        <w:t xml:space="preserve"> </w:t>
      </w:r>
      <w:r>
        <w:rPr>
          <w:color w:val="231F20"/>
          <w:sz w:val="15"/>
        </w:rPr>
        <w:t>nahlášen</w:t>
      </w:r>
      <w:r>
        <w:rPr>
          <w:color w:val="231F20"/>
          <w:spacing w:val="-7"/>
          <w:sz w:val="15"/>
        </w:rPr>
        <w:t xml:space="preserve"> </w:t>
      </w:r>
      <w:r>
        <w:rPr>
          <w:color w:val="231F20"/>
          <w:sz w:val="15"/>
        </w:rPr>
        <w:t>požadavek</w:t>
      </w:r>
      <w:r>
        <w:rPr>
          <w:color w:val="231F20"/>
          <w:spacing w:val="-7"/>
          <w:sz w:val="15"/>
        </w:rPr>
        <w:t xml:space="preserve"> </w:t>
      </w:r>
      <w:r>
        <w:rPr>
          <w:color w:val="231F20"/>
          <w:sz w:val="15"/>
        </w:rPr>
        <w:t>na</w:t>
      </w:r>
      <w:r>
        <w:rPr>
          <w:color w:val="231F20"/>
          <w:spacing w:val="-8"/>
          <w:sz w:val="15"/>
        </w:rPr>
        <w:t xml:space="preserve"> </w:t>
      </w:r>
      <w:r>
        <w:rPr>
          <w:color w:val="231F20"/>
          <w:spacing w:val="2"/>
          <w:sz w:val="15"/>
        </w:rPr>
        <w:t>poskytnutí</w:t>
      </w:r>
      <w:r>
        <w:rPr>
          <w:color w:val="231F20"/>
          <w:spacing w:val="-7"/>
          <w:sz w:val="15"/>
        </w:rPr>
        <w:t xml:space="preserve"> </w:t>
      </w:r>
      <w:r>
        <w:rPr>
          <w:color w:val="231F20"/>
          <w:sz w:val="15"/>
        </w:rPr>
        <w:t>asistenčních</w:t>
      </w:r>
      <w:r>
        <w:rPr>
          <w:color w:val="231F20"/>
          <w:spacing w:val="-7"/>
          <w:sz w:val="15"/>
        </w:rPr>
        <w:t xml:space="preserve"> </w:t>
      </w:r>
      <w:r>
        <w:rPr>
          <w:color w:val="231F20"/>
          <w:sz w:val="15"/>
        </w:rPr>
        <w:t>služeb</w:t>
      </w:r>
      <w:r>
        <w:rPr>
          <w:color w:val="231F20"/>
          <w:spacing w:val="-8"/>
          <w:sz w:val="15"/>
        </w:rPr>
        <w:t xml:space="preserve"> </w:t>
      </w:r>
      <w:r>
        <w:rPr>
          <w:color w:val="231F20"/>
          <w:sz w:val="15"/>
        </w:rPr>
        <w:t>podle čl.</w:t>
      </w:r>
      <w:r>
        <w:rPr>
          <w:color w:val="231F20"/>
          <w:spacing w:val="-8"/>
          <w:sz w:val="15"/>
        </w:rPr>
        <w:t xml:space="preserve"> </w:t>
      </w:r>
      <w:r>
        <w:rPr>
          <w:color w:val="231F20"/>
          <w:sz w:val="15"/>
        </w:rPr>
        <w:t>65</w:t>
      </w:r>
      <w:r>
        <w:rPr>
          <w:color w:val="231F20"/>
          <w:spacing w:val="-8"/>
          <w:sz w:val="15"/>
        </w:rPr>
        <w:t xml:space="preserve"> </w:t>
      </w:r>
      <w:r>
        <w:rPr>
          <w:color w:val="231F20"/>
          <w:sz w:val="15"/>
        </w:rPr>
        <w:t>těchto</w:t>
      </w:r>
      <w:r>
        <w:rPr>
          <w:color w:val="231F20"/>
          <w:spacing w:val="-7"/>
          <w:sz w:val="15"/>
        </w:rPr>
        <w:t xml:space="preserve"> </w:t>
      </w:r>
      <w:r>
        <w:rPr>
          <w:color w:val="231F20"/>
          <w:spacing w:val="-6"/>
          <w:sz w:val="15"/>
        </w:rPr>
        <w:t>VPP,</w:t>
      </w:r>
      <w:r>
        <w:rPr>
          <w:color w:val="231F20"/>
          <w:spacing w:val="-8"/>
          <w:sz w:val="15"/>
        </w:rPr>
        <w:t xml:space="preserve"> </w:t>
      </w:r>
      <w:r>
        <w:rPr>
          <w:color w:val="231F20"/>
          <w:sz w:val="15"/>
        </w:rPr>
        <w:t>ale</w:t>
      </w:r>
      <w:r>
        <w:rPr>
          <w:color w:val="231F20"/>
          <w:spacing w:val="-7"/>
          <w:sz w:val="15"/>
        </w:rPr>
        <w:t xml:space="preserve"> </w:t>
      </w:r>
      <w:r>
        <w:rPr>
          <w:color w:val="231F20"/>
          <w:sz w:val="15"/>
        </w:rPr>
        <w:t>tyto</w:t>
      </w:r>
      <w:r>
        <w:rPr>
          <w:color w:val="231F20"/>
          <w:spacing w:val="-8"/>
          <w:sz w:val="15"/>
        </w:rPr>
        <w:t xml:space="preserve"> </w:t>
      </w:r>
      <w:r>
        <w:rPr>
          <w:color w:val="231F20"/>
          <w:sz w:val="15"/>
        </w:rPr>
        <w:t>vzhledem</w:t>
      </w:r>
      <w:r>
        <w:rPr>
          <w:color w:val="231F20"/>
          <w:spacing w:val="-7"/>
          <w:sz w:val="15"/>
        </w:rPr>
        <w:t xml:space="preserve"> </w:t>
      </w:r>
      <w:r>
        <w:rPr>
          <w:color w:val="231F20"/>
          <w:sz w:val="15"/>
        </w:rPr>
        <w:t>k</w:t>
      </w:r>
      <w:r>
        <w:rPr>
          <w:color w:val="231F20"/>
          <w:spacing w:val="-8"/>
          <w:sz w:val="15"/>
        </w:rPr>
        <w:t xml:space="preserve"> </w:t>
      </w:r>
      <w:r>
        <w:rPr>
          <w:color w:val="231F20"/>
          <w:sz w:val="15"/>
        </w:rPr>
        <w:t>rozhodnutí</w:t>
      </w:r>
      <w:r>
        <w:rPr>
          <w:color w:val="231F20"/>
          <w:spacing w:val="-7"/>
          <w:sz w:val="15"/>
        </w:rPr>
        <w:t xml:space="preserve"> </w:t>
      </w:r>
      <w:r>
        <w:rPr>
          <w:color w:val="231F20"/>
          <w:sz w:val="15"/>
        </w:rPr>
        <w:t>orgánu</w:t>
      </w:r>
      <w:r>
        <w:rPr>
          <w:color w:val="231F20"/>
          <w:spacing w:val="-8"/>
          <w:sz w:val="15"/>
        </w:rPr>
        <w:t xml:space="preserve"> </w:t>
      </w:r>
      <w:r>
        <w:rPr>
          <w:color w:val="231F20"/>
          <w:sz w:val="15"/>
        </w:rPr>
        <w:t>veřejné</w:t>
      </w:r>
      <w:r>
        <w:rPr>
          <w:color w:val="231F20"/>
          <w:spacing w:val="-7"/>
          <w:sz w:val="15"/>
        </w:rPr>
        <w:t xml:space="preserve"> </w:t>
      </w:r>
      <w:r>
        <w:rPr>
          <w:color w:val="231F20"/>
          <w:sz w:val="15"/>
        </w:rPr>
        <w:t>moci</w:t>
      </w:r>
      <w:r>
        <w:rPr>
          <w:color w:val="231F20"/>
          <w:spacing w:val="-8"/>
          <w:sz w:val="15"/>
        </w:rPr>
        <w:t xml:space="preserve"> </w:t>
      </w:r>
      <w:r>
        <w:rPr>
          <w:color w:val="231F20"/>
          <w:sz w:val="15"/>
        </w:rPr>
        <w:t>ne- mohly být poskytnuty a</w:t>
      </w:r>
      <w:r>
        <w:rPr>
          <w:color w:val="231F20"/>
          <w:spacing w:val="-3"/>
          <w:sz w:val="15"/>
        </w:rPr>
        <w:t xml:space="preserve"> </w:t>
      </w:r>
      <w:r>
        <w:rPr>
          <w:color w:val="231F20"/>
          <w:sz w:val="15"/>
        </w:rPr>
        <w:t>současně</w:t>
      </w:r>
    </w:p>
    <w:p w14:paraId="2D66B6F2" w14:textId="77777777" w:rsidR="00F65BCA" w:rsidRDefault="00216117">
      <w:pPr>
        <w:pStyle w:val="Odstavecseseznamem"/>
        <w:numPr>
          <w:ilvl w:val="0"/>
          <w:numId w:val="92"/>
        </w:numPr>
        <w:tabs>
          <w:tab w:val="left" w:pos="881"/>
        </w:tabs>
        <w:spacing w:line="278" w:lineRule="auto"/>
        <w:ind w:right="1"/>
        <w:jc w:val="both"/>
        <w:rPr>
          <w:sz w:val="15"/>
        </w:rPr>
      </w:pPr>
      <w:r>
        <w:rPr>
          <w:color w:val="231F20"/>
          <w:sz w:val="15"/>
        </w:rPr>
        <w:t>předloží-li</w:t>
      </w:r>
      <w:r>
        <w:rPr>
          <w:color w:val="231F20"/>
          <w:spacing w:val="-9"/>
          <w:sz w:val="15"/>
        </w:rPr>
        <w:t xml:space="preserve"> </w:t>
      </w:r>
      <w:r>
        <w:rPr>
          <w:color w:val="231F20"/>
          <w:sz w:val="15"/>
        </w:rPr>
        <w:t>pojištěný</w:t>
      </w:r>
      <w:r>
        <w:rPr>
          <w:color w:val="231F20"/>
          <w:spacing w:val="-8"/>
          <w:sz w:val="15"/>
        </w:rPr>
        <w:t xml:space="preserve"> </w:t>
      </w:r>
      <w:r>
        <w:rPr>
          <w:color w:val="231F20"/>
          <w:sz w:val="15"/>
        </w:rPr>
        <w:t>nebo</w:t>
      </w:r>
      <w:r>
        <w:rPr>
          <w:color w:val="231F20"/>
          <w:spacing w:val="-8"/>
          <w:sz w:val="15"/>
        </w:rPr>
        <w:t xml:space="preserve"> </w:t>
      </w:r>
      <w:r>
        <w:rPr>
          <w:color w:val="231F20"/>
          <w:sz w:val="15"/>
        </w:rPr>
        <w:t>oprávněná</w:t>
      </w:r>
      <w:r>
        <w:rPr>
          <w:color w:val="231F20"/>
          <w:spacing w:val="-8"/>
          <w:sz w:val="15"/>
        </w:rPr>
        <w:t xml:space="preserve"> </w:t>
      </w:r>
      <w:r>
        <w:rPr>
          <w:color w:val="231F20"/>
          <w:sz w:val="15"/>
        </w:rPr>
        <w:t>osoba</w:t>
      </w:r>
      <w:r>
        <w:rPr>
          <w:color w:val="231F20"/>
          <w:spacing w:val="-8"/>
          <w:sz w:val="15"/>
        </w:rPr>
        <w:t xml:space="preserve"> </w:t>
      </w:r>
      <w:r>
        <w:rPr>
          <w:color w:val="231F20"/>
          <w:sz w:val="15"/>
        </w:rPr>
        <w:t>Pojišťovně</w:t>
      </w:r>
      <w:r>
        <w:rPr>
          <w:color w:val="231F20"/>
          <w:spacing w:val="-8"/>
          <w:sz w:val="15"/>
        </w:rPr>
        <w:t xml:space="preserve"> </w:t>
      </w:r>
      <w:r>
        <w:rPr>
          <w:color w:val="231F20"/>
          <w:sz w:val="15"/>
        </w:rPr>
        <w:t>rozhodnutí</w:t>
      </w:r>
      <w:r>
        <w:rPr>
          <w:color w:val="231F20"/>
          <w:spacing w:val="-8"/>
          <w:sz w:val="15"/>
        </w:rPr>
        <w:t xml:space="preserve"> </w:t>
      </w:r>
      <w:r>
        <w:rPr>
          <w:color w:val="231F20"/>
          <w:sz w:val="15"/>
        </w:rPr>
        <w:t>orgánu veřejné</w:t>
      </w:r>
      <w:r>
        <w:rPr>
          <w:color w:val="231F20"/>
          <w:spacing w:val="-8"/>
          <w:sz w:val="15"/>
        </w:rPr>
        <w:t xml:space="preserve"> </w:t>
      </w:r>
      <w:r>
        <w:rPr>
          <w:color w:val="231F20"/>
          <w:sz w:val="15"/>
        </w:rPr>
        <w:t>moci,</w:t>
      </w:r>
      <w:r>
        <w:rPr>
          <w:color w:val="231F20"/>
          <w:spacing w:val="-7"/>
          <w:sz w:val="15"/>
        </w:rPr>
        <w:t xml:space="preserve"> </w:t>
      </w:r>
      <w:r>
        <w:rPr>
          <w:color w:val="231F20"/>
          <w:sz w:val="15"/>
        </w:rPr>
        <w:t>jímž</w:t>
      </w:r>
      <w:r>
        <w:rPr>
          <w:color w:val="231F20"/>
          <w:spacing w:val="-8"/>
          <w:sz w:val="15"/>
        </w:rPr>
        <w:t xml:space="preserve"> </w:t>
      </w:r>
      <w:r>
        <w:rPr>
          <w:color w:val="231F20"/>
          <w:sz w:val="15"/>
        </w:rPr>
        <w:t>bylo</w:t>
      </w:r>
      <w:r>
        <w:rPr>
          <w:color w:val="231F20"/>
          <w:spacing w:val="-7"/>
          <w:sz w:val="15"/>
        </w:rPr>
        <w:t xml:space="preserve"> </w:t>
      </w:r>
      <w:r>
        <w:rPr>
          <w:color w:val="231F20"/>
          <w:sz w:val="15"/>
        </w:rPr>
        <w:t>provedení</w:t>
      </w:r>
      <w:r>
        <w:rPr>
          <w:color w:val="231F20"/>
          <w:spacing w:val="-8"/>
          <w:sz w:val="15"/>
        </w:rPr>
        <w:t xml:space="preserve"> </w:t>
      </w:r>
      <w:r>
        <w:rPr>
          <w:color w:val="231F20"/>
          <w:sz w:val="15"/>
        </w:rPr>
        <w:t>nařízeného</w:t>
      </w:r>
      <w:r>
        <w:rPr>
          <w:color w:val="231F20"/>
          <w:spacing w:val="-7"/>
          <w:sz w:val="15"/>
        </w:rPr>
        <w:t xml:space="preserve"> </w:t>
      </w:r>
      <w:r>
        <w:rPr>
          <w:color w:val="231F20"/>
          <w:sz w:val="15"/>
        </w:rPr>
        <w:t>odtahu</w:t>
      </w:r>
      <w:r>
        <w:rPr>
          <w:color w:val="231F20"/>
          <w:spacing w:val="-8"/>
          <w:sz w:val="15"/>
        </w:rPr>
        <w:t xml:space="preserve"> </w:t>
      </w:r>
      <w:r>
        <w:rPr>
          <w:color w:val="231F20"/>
          <w:sz w:val="15"/>
        </w:rPr>
        <w:t>přikázáno.</w:t>
      </w:r>
    </w:p>
    <w:p w14:paraId="5885286C" w14:textId="77777777" w:rsidR="00F65BCA" w:rsidRDefault="00216117">
      <w:pPr>
        <w:pStyle w:val="Zkladntext"/>
        <w:spacing w:before="75" w:line="278" w:lineRule="auto"/>
        <w:ind w:left="467" w:right="424"/>
        <w:jc w:val="both"/>
      </w:pPr>
      <w:r>
        <w:br w:type="column"/>
      </w:r>
      <w:r>
        <w:rPr>
          <w:color w:val="231F20"/>
        </w:rPr>
        <w:t>Není-li</w:t>
      </w:r>
      <w:r>
        <w:rPr>
          <w:color w:val="231F20"/>
          <w:spacing w:val="-21"/>
        </w:rPr>
        <w:t xml:space="preserve"> </w:t>
      </w:r>
      <w:r>
        <w:rPr>
          <w:color w:val="231F20"/>
        </w:rPr>
        <w:t>v</w:t>
      </w:r>
      <w:r>
        <w:rPr>
          <w:color w:val="231F20"/>
          <w:spacing w:val="-20"/>
        </w:rPr>
        <w:t xml:space="preserve"> </w:t>
      </w:r>
      <w:r>
        <w:rPr>
          <w:color w:val="231F20"/>
        </w:rPr>
        <w:t>tabulkách</w:t>
      </w:r>
      <w:r>
        <w:rPr>
          <w:color w:val="231F20"/>
          <w:spacing w:val="-20"/>
        </w:rPr>
        <w:t xml:space="preserve"> </w:t>
      </w:r>
      <w:r>
        <w:rPr>
          <w:color w:val="231F20"/>
        </w:rPr>
        <w:t>Rozsahu</w:t>
      </w:r>
      <w:r>
        <w:rPr>
          <w:color w:val="231F20"/>
          <w:spacing w:val="-20"/>
        </w:rPr>
        <w:t xml:space="preserve"> </w:t>
      </w:r>
      <w:r>
        <w:rPr>
          <w:color w:val="231F20"/>
        </w:rPr>
        <w:t>a</w:t>
      </w:r>
      <w:r>
        <w:rPr>
          <w:color w:val="231F20"/>
          <w:spacing w:val="-20"/>
        </w:rPr>
        <w:t xml:space="preserve"> </w:t>
      </w:r>
      <w:r>
        <w:rPr>
          <w:color w:val="231F20"/>
        </w:rPr>
        <w:t>limity</w:t>
      </w:r>
      <w:r>
        <w:rPr>
          <w:color w:val="231F20"/>
          <w:spacing w:val="-20"/>
        </w:rPr>
        <w:t xml:space="preserve"> </w:t>
      </w:r>
      <w:r>
        <w:rPr>
          <w:color w:val="231F20"/>
        </w:rPr>
        <w:t>asistenčních</w:t>
      </w:r>
      <w:r>
        <w:rPr>
          <w:color w:val="231F20"/>
          <w:spacing w:val="-20"/>
        </w:rPr>
        <w:t xml:space="preserve"> </w:t>
      </w:r>
      <w:r>
        <w:rPr>
          <w:color w:val="231F20"/>
        </w:rPr>
        <w:t>služeb</w:t>
      </w:r>
      <w:r>
        <w:rPr>
          <w:color w:val="231F20"/>
          <w:spacing w:val="-20"/>
        </w:rPr>
        <w:t xml:space="preserve"> </w:t>
      </w:r>
      <w:r>
        <w:rPr>
          <w:color w:val="231F20"/>
        </w:rPr>
        <w:t>uvedeno</w:t>
      </w:r>
      <w:r>
        <w:rPr>
          <w:color w:val="231F20"/>
          <w:spacing w:val="-20"/>
        </w:rPr>
        <w:t xml:space="preserve"> </w:t>
      </w:r>
      <w:r>
        <w:rPr>
          <w:color w:val="231F20"/>
        </w:rPr>
        <w:t>jinak,</w:t>
      </w:r>
      <w:r>
        <w:rPr>
          <w:color w:val="231F20"/>
          <w:spacing w:val="-20"/>
        </w:rPr>
        <w:t xml:space="preserve"> </w:t>
      </w:r>
      <w:r>
        <w:rPr>
          <w:color w:val="231F20"/>
          <w:spacing w:val="-3"/>
        </w:rPr>
        <w:t xml:space="preserve">uhradí </w:t>
      </w:r>
      <w:r>
        <w:rPr>
          <w:color w:val="231F20"/>
          <w:w w:val="95"/>
        </w:rPr>
        <w:t xml:space="preserve">Pojišťovna náklady za nařízený odtah (nezahrnuje vyproštění vozidla speciální </w:t>
      </w:r>
      <w:r>
        <w:rPr>
          <w:color w:val="231F20"/>
        </w:rPr>
        <w:t>technikou)</w:t>
      </w:r>
      <w:r>
        <w:rPr>
          <w:color w:val="231F20"/>
          <w:spacing w:val="-8"/>
        </w:rPr>
        <w:t xml:space="preserve"> </w:t>
      </w:r>
      <w:r>
        <w:rPr>
          <w:color w:val="231F20"/>
        </w:rPr>
        <w:t>do</w:t>
      </w:r>
      <w:r>
        <w:rPr>
          <w:color w:val="231F20"/>
          <w:spacing w:val="-7"/>
        </w:rPr>
        <w:t xml:space="preserve"> </w:t>
      </w:r>
      <w:r>
        <w:rPr>
          <w:color w:val="231F20"/>
        </w:rPr>
        <w:t>ekvivalentu</w:t>
      </w:r>
      <w:r>
        <w:rPr>
          <w:color w:val="231F20"/>
          <w:spacing w:val="-7"/>
        </w:rPr>
        <w:t xml:space="preserve"> </w:t>
      </w:r>
      <w:r>
        <w:rPr>
          <w:color w:val="231F20"/>
        </w:rPr>
        <w:t>obvyklých</w:t>
      </w:r>
      <w:r>
        <w:rPr>
          <w:color w:val="231F20"/>
          <w:spacing w:val="-7"/>
        </w:rPr>
        <w:t xml:space="preserve"> </w:t>
      </w:r>
      <w:r>
        <w:rPr>
          <w:color w:val="231F20"/>
        </w:rPr>
        <w:t>nákladů</w:t>
      </w:r>
      <w:r>
        <w:rPr>
          <w:color w:val="231F20"/>
          <w:spacing w:val="-7"/>
        </w:rPr>
        <w:t xml:space="preserve"> </w:t>
      </w:r>
      <w:r>
        <w:rPr>
          <w:color w:val="231F20"/>
        </w:rPr>
        <w:t>za</w:t>
      </w:r>
      <w:r>
        <w:rPr>
          <w:color w:val="231F20"/>
          <w:spacing w:val="-7"/>
        </w:rPr>
        <w:t xml:space="preserve"> </w:t>
      </w:r>
      <w:r>
        <w:rPr>
          <w:color w:val="231F20"/>
        </w:rPr>
        <w:t>odtah</w:t>
      </w:r>
      <w:r>
        <w:rPr>
          <w:color w:val="231F20"/>
          <w:spacing w:val="-7"/>
        </w:rPr>
        <w:t xml:space="preserve"> </w:t>
      </w:r>
      <w:r>
        <w:rPr>
          <w:color w:val="231F20"/>
        </w:rPr>
        <w:t>vozidla</w:t>
      </w:r>
      <w:r>
        <w:rPr>
          <w:color w:val="231F20"/>
          <w:spacing w:val="-7"/>
        </w:rPr>
        <w:t xml:space="preserve"> </w:t>
      </w:r>
      <w:r>
        <w:rPr>
          <w:color w:val="231F20"/>
        </w:rPr>
        <w:t>do</w:t>
      </w:r>
      <w:r>
        <w:rPr>
          <w:color w:val="231F20"/>
          <w:spacing w:val="-7"/>
        </w:rPr>
        <w:t xml:space="preserve"> </w:t>
      </w:r>
      <w:r>
        <w:rPr>
          <w:color w:val="231F20"/>
        </w:rPr>
        <w:t>nejbližšího smluvního</w:t>
      </w:r>
      <w:r>
        <w:rPr>
          <w:color w:val="231F20"/>
          <w:spacing w:val="-6"/>
        </w:rPr>
        <w:t xml:space="preserve"> </w:t>
      </w:r>
      <w:r>
        <w:rPr>
          <w:color w:val="231F20"/>
        </w:rPr>
        <w:t>servisu</w:t>
      </w:r>
      <w:r>
        <w:rPr>
          <w:color w:val="231F20"/>
          <w:spacing w:val="-6"/>
        </w:rPr>
        <w:t xml:space="preserve"> </w:t>
      </w:r>
      <w:r>
        <w:rPr>
          <w:color w:val="231F20"/>
        </w:rPr>
        <w:t>Pojišťovny</w:t>
      </w:r>
      <w:r>
        <w:rPr>
          <w:color w:val="231F20"/>
          <w:spacing w:val="-6"/>
        </w:rPr>
        <w:t xml:space="preserve"> </w:t>
      </w:r>
      <w:r>
        <w:rPr>
          <w:color w:val="231F20"/>
        </w:rPr>
        <w:t>či</w:t>
      </w:r>
      <w:r>
        <w:rPr>
          <w:color w:val="231F20"/>
          <w:spacing w:val="-5"/>
        </w:rPr>
        <w:t xml:space="preserve"> </w:t>
      </w:r>
      <w:r>
        <w:rPr>
          <w:color w:val="231F20"/>
        </w:rPr>
        <w:t>autorizovaného</w:t>
      </w:r>
      <w:r>
        <w:rPr>
          <w:color w:val="231F20"/>
          <w:spacing w:val="-6"/>
        </w:rPr>
        <w:t xml:space="preserve"> </w:t>
      </w:r>
      <w:r>
        <w:rPr>
          <w:color w:val="231F20"/>
        </w:rPr>
        <w:t>servisu,</w:t>
      </w:r>
      <w:r>
        <w:rPr>
          <w:color w:val="231F20"/>
          <w:spacing w:val="-6"/>
        </w:rPr>
        <w:t xml:space="preserve"> </w:t>
      </w:r>
      <w:r>
        <w:rPr>
          <w:color w:val="231F20"/>
        </w:rPr>
        <w:t>maximálně</w:t>
      </w:r>
      <w:r>
        <w:rPr>
          <w:color w:val="231F20"/>
          <w:spacing w:val="-5"/>
        </w:rPr>
        <w:t xml:space="preserve"> </w:t>
      </w:r>
      <w:r>
        <w:rPr>
          <w:color w:val="231F20"/>
        </w:rPr>
        <w:t>však</w:t>
      </w:r>
      <w:r>
        <w:rPr>
          <w:color w:val="231F20"/>
          <w:spacing w:val="-6"/>
        </w:rPr>
        <w:t xml:space="preserve"> </w:t>
      </w:r>
      <w:r>
        <w:rPr>
          <w:color w:val="231F20"/>
          <w:spacing w:val="-7"/>
        </w:rPr>
        <w:t xml:space="preserve">do </w:t>
      </w:r>
      <w:r>
        <w:rPr>
          <w:color w:val="231F20"/>
        </w:rPr>
        <w:t>výše sjednaného celkového limitu pojistného</w:t>
      </w:r>
      <w:r>
        <w:rPr>
          <w:color w:val="231F20"/>
          <w:spacing w:val="-16"/>
        </w:rPr>
        <w:t xml:space="preserve"> </w:t>
      </w:r>
      <w:r>
        <w:rPr>
          <w:color w:val="231F20"/>
        </w:rPr>
        <w:t>plnění.</w:t>
      </w:r>
    </w:p>
    <w:p w14:paraId="076C8E28"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7</w:t>
      </w:r>
      <w:r>
        <w:rPr>
          <w:color w:val="231F20"/>
          <w:position w:val="1"/>
          <w:sz w:val="14"/>
        </w:rPr>
        <w:t xml:space="preserve"> </w:t>
      </w:r>
      <w:r>
        <w:rPr>
          <w:color w:val="231F20"/>
        </w:rPr>
        <w:t xml:space="preserve">Odtah pojízdného nepojištěného přípojného vozidla je služba, která obsa- </w:t>
      </w:r>
      <w:r>
        <w:rPr>
          <w:color w:val="231F20"/>
          <w:w w:val="95"/>
        </w:rPr>
        <w:t xml:space="preserve">huje odtah pojízdného nepojištěného přípojného vozidla na nejbližší odstavnou </w:t>
      </w:r>
      <w:r>
        <w:rPr>
          <w:color w:val="231F20"/>
        </w:rPr>
        <w:t>plochu</w:t>
      </w:r>
      <w:r>
        <w:rPr>
          <w:color w:val="231F20"/>
          <w:spacing w:val="-22"/>
        </w:rPr>
        <w:t xml:space="preserve"> </w:t>
      </w:r>
      <w:r>
        <w:rPr>
          <w:color w:val="231F20"/>
        </w:rPr>
        <w:t>(nejbližší</w:t>
      </w:r>
      <w:r>
        <w:rPr>
          <w:color w:val="231F20"/>
          <w:spacing w:val="-21"/>
        </w:rPr>
        <w:t xml:space="preserve"> </w:t>
      </w:r>
      <w:r>
        <w:rPr>
          <w:color w:val="231F20"/>
        </w:rPr>
        <w:t>odstavnou</w:t>
      </w:r>
      <w:r>
        <w:rPr>
          <w:color w:val="231F20"/>
          <w:spacing w:val="-21"/>
        </w:rPr>
        <w:t xml:space="preserve"> </w:t>
      </w:r>
      <w:r>
        <w:rPr>
          <w:color w:val="231F20"/>
        </w:rPr>
        <w:t>plochou</w:t>
      </w:r>
      <w:r>
        <w:rPr>
          <w:color w:val="231F20"/>
          <w:spacing w:val="-21"/>
        </w:rPr>
        <w:t xml:space="preserve"> </w:t>
      </w:r>
      <w:r>
        <w:rPr>
          <w:color w:val="231F20"/>
        </w:rPr>
        <w:t>je</w:t>
      </w:r>
      <w:r>
        <w:rPr>
          <w:color w:val="231F20"/>
          <w:spacing w:val="-21"/>
        </w:rPr>
        <w:t xml:space="preserve"> </w:t>
      </w:r>
      <w:r>
        <w:rPr>
          <w:color w:val="231F20"/>
        </w:rPr>
        <w:t>myšlena</w:t>
      </w:r>
      <w:r>
        <w:rPr>
          <w:color w:val="231F20"/>
          <w:spacing w:val="-21"/>
        </w:rPr>
        <w:t xml:space="preserve"> </w:t>
      </w:r>
      <w:r>
        <w:rPr>
          <w:color w:val="231F20"/>
        </w:rPr>
        <w:t>stavebně</w:t>
      </w:r>
      <w:r>
        <w:rPr>
          <w:color w:val="231F20"/>
          <w:spacing w:val="-21"/>
        </w:rPr>
        <w:t xml:space="preserve"> </w:t>
      </w:r>
      <w:r>
        <w:rPr>
          <w:color w:val="231F20"/>
        </w:rPr>
        <w:t>a</w:t>
      </w:r>
      <w:r>
        <w:rPr>
          <w:color w:val="231F20"/>
          <w:spacing w:val="-21"/>
        </w:rPr>
        <w:t xml:space="preserve"> </w:t>
      </w:r>
      <w:r>
        <w:rPr>
          <w:color w:val="231F20"/>
        </w:rPr>
        <w:t>provozně</w:t>
      </w:r>
      <w:r>
        <w:rPr>
          <w:color w:val="231F20"/>
          <w:spacing w:val="-21"/>
        </w:rPr>
        <w:t xml:space="preserve"> </w:t>
      </w:r>
      <w:r>
        <w:rPr>
          <w:color w:val="231F20"/>
        </w:rPr>
        <w:t>vymeze- ná</w:t>
      </w:r>
      <w:r>
        <w:rPr>
          <w:color w:val="231F20"/>
          <w:spacing w:val="-6"/>
        </w:rPr>
        <w:t xml:space="preserve"> </w:t>
      </w:r>
      <w:r>
        <w:rPr>
          <w:color w:val="231F20"/>
        </w:rPr>
        <w:t>plocha</w:t>
      </w:r>
      <w:r>
        <w:rPr>
          <w:color w:val="231F20"/>
          <w:spacing w:val="-6"/>
        </w:rPr>
        <w:t xml:space="preserve"> </w:t>
      </w:r>
      <w:r>
        <w:rPr>
          <w:color w:val="231F20"/>
        </w:rPr>
        <w:t>na</w:t>
      </w:r>
      <w:r>
        <w:rPr>
          <w:color w:val="231F20"/>
          <w:spacing w:val="-6"/>
        </w:rPr>
        <w:t xml:space="preserve"> </w:t>
      </w:r>
      <w:r>
        <w:rPr>
          <w:color w:val="231F20"/>
        </w:rPr>
        <w:t>pozemní</w:t>
      </w:r>
      <w:r>
        <w:rPr>
          <w:color w:val="231F20"/>
          <w:spacing w:val="-6"/>
        </w:rPr>
        <w:t xml:space="preserve"> </w:t>
      </w:r>
      <w:r>
        <w:rPr>
          <w:color w:val="231F20"/>
        </w:rPr>
        <w:t>komunikaci,</w:t>
      </w:r>
      <w:r>
        <w:rPr>
          <w:color w:val="231F20"/>
          <w:spacing w:val="-5"/>
        </w:rPr>
        <w:t xml:space="preserve"> </w:t>
      </w:r>
      <w:r>
        <w:rPr>
          <w:color w:val="231F20"/>
        </w:rPr>
        <w:t>která</w:t>
      </w:r>
      <w:r>
        <w:rPr>
          <w:color w:val="231F20"/>
          <w:spacing w:val="-6"/>
        </w:rPr>
        <w:t xml:space="preserve"> </w:t>
      </w:r>
      <w:r>
        <w:rPr>
          <w:color w:val="231F20"/>
        </w:rPr>
        <w:t>slouží</w:t>
      </w:r>
      <w:r>
        <w:rPr>
          <w:color w:val="231F20"/>
          <w:spacing w:val="-6"/>
        </w:rPr>
        <w:t xml:space="preserve"> </w:t>
      </w:r>
      <w:r>
        <w:rPr>
          <w:color w:val="231F20"/>
        </w:rPr>
        <w:t>ke</w:t>
      </w:r>
      <w:r>
        <w:rPr>
          <w:color w:val="231F20"/>
          <w:spacing w:val="-6"/>
        </w:rPr>
        <w:t xml:space="preserve"> </w:t>
      </w:r>
      <w:r>
        <w:rPr>
          <w:color w:val="231F20"/>
        </w:rPr>
        <w:t>stání</w:t>
      </w:r>
      <w:r>
        <w:rPr>
          <w:color w:val="231F20"/>
          <w:spacing w:val="-6"/>
        </w:rPr>
        <w:t xml:space="preserve"> </w:t>
      </w:r>
      <w:r>
        <w:rPr>
          <w:color w:val="231F20"/>
        </w:rPr>
        <w:t>vozidel),</w:t>
      </w:r>
      <w:r>
        <w:rPr>
          <w:color w:val="231F20"/>
          <w:spacing w:val="-5"/>
        </w:rPr>
        <w:t xml:space="preserve"> </w:t>
      </w:r>
      <w:r>
        <w:rPr>
          <w:color w:val="231F20"/>
        </w:rPr>
        <w:t>v</w:t>
      </w:r>
      <w:r>
        <w:rPr>
          <w:color w:val="231F20"/>
          <w:spacing w:val="-6"/>
        </w:rPr>
        <w:t xml:space="preserve"> </w:t>
      </w:r>
      <w:r>
        <w:rPr>
          <w:color w:val="231F20"/>
        </w:rPr>
        <w:t>důsledku pojistné události pojištěného tažného vozidla, která znemožňuje</w:t>
      </w:r>
      <w:r>
        <w:rPr>
          <w:color w:val="231F20"/>
          <w:spacing w:val="-30"/>
        </w:rPr>
        <w:t xml:space="preserve"> </w:t>
      </w:r>
      <w:r>
        <w:rPr>
          <w:color w:val="231F20"/>
        </w:rPr>
        <w:t>pokračovat v cestě připojenému přípojnému</w:t>
      </w:r>
      <w:r>
        <w:rPr>
          <w:color w:val="231F20"/>
          <w:spacing w:val="-6"/>
        </w:rPr>
        <w:t xml:space="preserve"> </w:t>
      </w:r>
      <w:r>
        <w:rPr>
          <w:color w:val="231F20"/>
        </w:rPr>
        <w:t>vozidlu.</w:t>
      </w:r>
    </w:p>
    <w:p w14:paraId="6A963C9E"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 xml:space="preserve">8  </w:t>
      </w:r>
      <w:r>
        <w:rPr>
          <w:color w:val="231F20"/>
          <w:position w:val="1"/>
          <w:sz w:val="14"/>
        </w:rPr>
        <w:t xml:space="preserve">  </w:t>
      </w:r>
      <w:r>
        <w:rPr>
          <w:color w:val="231F20"/>
        </w:rPr>
        <w:t>Odtah pojízdného přípojného vozidla do 750 kg v České republice spolu    s tažným vozidlem je služba, která se vztahuje na přípojné vozidlo</w:t>
      </w:r>
      <w:r>
        <w:rPr>
          <w:color w:val="231F20"/>
          <w:spacing w:val="-13"/>
        </w:rPr>
        <w:t xml:space="preserve"> </w:t>
      </w:r>
      <w:r>
        <w:rPr>
          <w:color w:val="231F20"/>
        </w:rPr>
        <w:t>schopné odtahu</w:t>
      </w:r>
      <w:r>
        <w:rPr>
          <w:color w:val="231F20"/>
          <w:spacing w:val="-21"/>
        </w:rPr>
        <w:t xml:space="preserve"> </w:t>
      </w:r>
      <w:r>
        <w:rPr>
          <w:color w:val="231F20"/>
        </w:rPr>
        <w:t>po</w:t>
      </w:r>
      <w:r>
        <w:rPr>
          <w:color w:val="231F20"/>
          <w:spacing w:val="-21"/>
        </w:rPr>
        <w:t xml:space="preserve"> </w:t>
      </w:r>
      <w:r>
        <w:rPr>
          <w:color w:val="231F20"/>
        </w:rPr>
        <w:t>vlastní</w:t>
      </w:r>
      <w:r>
        <w:rPr>
          <w:color w:val="231F20"/>
          <w:spacing w:val="-20"/>
        </w:rPr>
        <w:t xml:space="preserve"> </w:t>
      </w:r>
      <w:r>
        <w:rPr>
          <w:color w:val="231F20"/>
        </w:rPr>
        <w:t>ose</w:t>
      </w:r>
      <w:r>
        <w:rPr>
          <w:color w:val="231F20"/>
          <w:spacing w:val="-21"/>
        </w:rPr>
        <w:t xml:space="preserve"> </w:t>
      </w:r>
      <w:r>
        <w:rPr>
          <w:color w:val="231F20"/>
        </w:rPr>
        <w:t>(i</w:t>
      </w:r>
      <w:r>
        <w:rPr>
          <w:color w:val="231F20"/>
          <w:spacing w:val="-21"/>
        </w:rPr>
        <w:t xml:space="preserve"> </w:t>
      </w:r>
      <w:r>
        <w:rPr>
          <w:color w:val="231F20"/>
        </w:rPr>
        <w:t>nepojištěné</w:t>
      </w:r>
      <w:r>
        <w:rPr>
          <w:color w:val="231F20"/>
          <w:spacing w:val="-20"/>
        </w:rPr>
        <w:t xml:space="preserve"> </w:t>
      </w:r>
      <w:r>
        <w:rPr>
          <w:color w:val="231F20"/>
        </w:rPr>
        <w:t>u</w:t>
      </w:r>
      <w:r>
        <w:rPr>
          <w:color w:val="231F20"/>
          <w:spacing w:val="-21"/>
        </w:rPr>
        <w:t xml:space="preserve"> </w:t>
      </w:r>
      <w:r>
        <w:rPr>
          <w:color w:val="231F20"/>
        </w:rPr>
        <w:t>Pojišťovny),</w:t>
      </w:r>
      <w:r>
        <w:rPr>
          <w:color w:val="231F20"/>
          <w:spacing w:val="-20"/>
        </w:rPr>
        <w:t xml:space="preserve"> </w:t>
      </w:r>
      <w:r>
        <w:rPr>
          <w:color w:val="231F20"/>
        </w:rPr>
        <w:t>zapojené</w:t>
      </w:r>
      <w:r>
        <w:rPr>
          <w:color w:val="231F20"/>
          <w:spacing w:val="-21"/>
        </w:rPr>
        <w:t xml:space="preserve"> </w:t>
      </w:r>
      <w:r>
        <w:rPr>
          <w:color w:val="231F20"/>
        </w:rPr>
        <w:t>k</w:t>
      </w:r>
      <w:r>
        <w:rPr>
          <w:color w:val="231F20"/>
          <w:spacing w:val="-21"/>
        </w:rPr>
        <w:t xml:space="preserve"> </w:t>
      </w:r>
      <w:r>
        <w:rPr>
          <w:color w:val="231F20"/>
        </w:rPr>
        <w:t>pojištěnému</w:t>
      </w:r>
      <w:r>
        <w:rPr>
          <w:color w:val="231F20"/>
          <w:spacing w:val="-20"/>
        </w:rPr>
        <w:t xml:space="preserve"> </w:t>
      </w:r>
      <w:r>
        <w:rPr>
          <w:color w:val="231F20"/>
          <w:spacing w:val="-4"/>
        </w:rPr>
        <w:t xml:space="preserve">taž- </w:t>
      </w:r>
      <w:r>
        <w:rPr>
          <w:color w:val="231F20"/>
        </w:rPr>
        <w:t>nému</w:t>
      </w:r>
      <w:r>
        <w:rPr>
          <w:color w:val="231F20"/>
          <w:spacing w:val="-18"/>
        </w:rPr>
        <w:t xml:space="preserve"> </w:t>
      </w:r>
      <w:r>
        <w:rPr>
          <w:color w:val="231F20"/>
        </w:rPr>
        <w:t>vozidlu</w:t>
      </w:r>
      <w:r>
        <w:rPr>
          <w:color w:val="231F20"/>
          <w:spacing w:val="-17"/>
        </w:rPr>
        <w:t xml:space="preserve"> </w:t>
      </w:r>
      <w:r>
        <w:rPr>
          <w:color w:val="231F20"/>
        </w:rPr>
        <w:t>v</w:t>
      </w:r>
      <w:r>
        <w:rPr>
          <w:color w:val="231F20"/>
          <w:spacing w:val="-18"/>
        </w:rPr>
        <w:t xml:space="preserve"> </w:t>
      </w:r>
      <w:r>
        <w:rPr>
          <w:color w:val="231F20"/>
        </w:rPr>
        <w:t>době</w:t>
      </w:r>
      <w:r>
        <w:rPr>
          <w:color w:val="231F20"/>
          <w:spacing w:val="-17"/>
        </w:rPr>
        <w:t xml:space="preserve"> </w:t>
      </w:r>
      <w:r>
        <w:rPr>
          <w:color w:val="231F20"/>
        </w:rPr>
        <w:t>pojistné</w:t>
      </w:r>
      <w:r>
        <w:rPr>
          <w:color w:val="231F20"/>
          <w:spacing w:val="-17"/>
        </w:rPr>
        <w:t xml:space="preserve"> </w:t>
      </w:r>
      <w:r>
        <w:rPr>
          <w:color w:val="231F20"/>
        </w:rPr>
        <w:t>události</w:t>
      </w:r>
      <w:r>
        <w:rPr>
          <w:color w:val="231F20"/>
          <w:spacing w:val="-18"/>
        </w:rPr>
        <w:t xml:space="preserve"> </w:t>
      </w:r>
      <w:r>
        <w:rPr>
          <w:color w:val="231F20"/>
        </w:rPr>
        <w:t>tažného</w:t>
      </w:r>
      <w:r>
        <w:rPr>
          <w:color w:val="231F20"/>
          <w:spacing w:val="-17"/>
        </w:rPr>
        <w:t xml:space="preserve"> </w:t>
      </w:r>
      <w:r>
        <w:rPr>
          <w:color w:val="231F20"/>
        </w:rPr>
        <w:t>vozidla</w:t>
      </w:r>
      <w:r>
        <w:rPr>
          <w:color w:val="231F20"/>
          <w:spacing w:val="-18"/>
        </w:rPr>
        <w:t xml:space="preserve"> </w:t>
      </w:r>
      <w:r>
        <w:rPr>
          <w:color w:val="231F20"/>
        </w:rPr>
        <w:t>na</w:t>
      </w:r>
      <w:r>
        <w:rPr>
          <w:color w:val="231F20"/>
          <w:spacing w:val="-17"/>
        </w:rPr>
        <w:t xml:space="preserve"> </w:t>
      </w:r>
      <w:r>
        <w:rPr>
          <w:color w:val="231F20"/>
        </w:rPr>
        <w:t>území</w:t>
      </w:r>
      <w:r>
        <w:rPr>
          <w:color w:val="231F20"/>
          <w:spacing w:val="-17"/>
        </w:rPr>
        <w:t xml:space="preserve"> </w:t>
      </w:r>
      <w:r>
        <w:rPr>
          <w:color w:val="231F20"/>
        </w:rPr>
        <w:t>České</w:t>
      </w:r>
      <w:r>
        <w:rPr>
          <w:color w:val="231F20"/>
          <w:spacing w:val="-18"/>
        </w:rPr>
        <w:t xml:space="preserve"> </w:t>
      </w:r>
      <w:r>
        <w:rPr>
          <w:color w:val="231F20"/>
        </w:rPr>
        <w:t xml:space="preserve">repub- </w:t>
      </w:r>
      <w:r>
        <w:rPr>
          <w:color w:val="231F20"/>
          <w:spacing w:val="-3"/>
        </w:rPr>
        <w:t>liky,</w:t>
      </w:r>
      <w:r>
        <w:rPr>
          <w:color w:val="231F20"/>
          <w:spacing w:val="-18"/>
        </w:rPr>
        <w:t xml:space="preserve"> </w:t>
      </w:r>
      <w:r>
        <w:rPr>
          <w:color w:val="231F20"/>
        </w:rPr>
        <w:t>kdy</w:t>
      </w:r>
      <w:r>
        <w:rPr>
          <w:color w:val="231F20"/>
          <w:spacing w:val="-17"/>
        </w:rPr>
        <w:t xml:space="preserve"> </w:t>
      </w:r>
      <w:r>
        <w:rPr>
          <w:color w:val="231F20"/>
        </w:rPr>
        <w:t>je</w:t>
      </w:r>
      <w:r>
        <w:rPr>
          <w:color w:val="231F20"/>
          <w:spacing w:val="-18"/>
        </w:rPr>
        <w:t xml:space="preserve"> </w:t>
      </w:r>
      <w:r>
        <w:rPr>
          <w:color w:val="231F20"/>
        </w:rPr>
        <w:t>možný</w:t>
      </w:r>
      <w:r>
        <w:rPr>
          <w:color w:val="231F20"/>
          <w:spacing w:val="-17"/>
        </w:rPr>
        <w:t xml:space="preserve"> </w:t>
      </w:r>
      <w:r>
        <w:rPr>
          <w:color w:val="231F20"/>
        </w:rPr>
        <w:t>společný</w:t>
      </w:r>
      <w:r>
        <w:rPr>
          <w:color w:val="231F20"/>
          <w:spacing w:val="-17"/>
        </w:rPr>
        <w:t xml:space="preserve"> </w:t>
      </w:r>
      <w:r>
        <w:rPr>
          <w:color w:val="231F20"/>
        </w:rPr>
        <w:t>odtah</w:t>
      </w:r>
      <w:r>
        <w:rPr>
          <w:color w:val="231F20"/>
          <w:spacing w:val="-18"/>
        </w:rPr>
        <w:t xml:space="preserve"> </w:t>
      </w:r>
      <w:r>
        <w:rPr>
          <w:color w:val="231F20"/>
        </w:rPr>
        <w:t>tažného</w:t>
      </w:r>
      <w:r>
        <w:rPr>
          <w:color w:val="231F20"/>
          <w:spacing w:val="-17"/>
        </w:rPr>
        <w:t xml:space="preserve"> </w:t>
      </w:r>
      <w:r>
        <w:rPr>
          <w:color w:val="231F20"/>
        </w:rPr>
        <w:t>vozidla</w:t>
      </w:r>
      <w:r>
        <w:rPr>
          <w:color w:val="231F20"/>
          <w:spacing w:val="-17"/>
        </w:rPr>
        <w:t xml:space="preserve"> </w:t>
      </w:r>
      <w:r>
        <w:rPr>
          <w:color w:val="231F20"/>
        </w:rPr>
        <w:t>a</w:t>
      </w:r>
      <w:r>
        <w:rPr>
          <w:color w:val="231F20"/>
          <w:spacing w:val="-18"/>
        </w:rPr>
        <w:t xml:space="preserve"> </w:t>
      </w:r>
      <w:r>
        <w:rPr>
          <w:color w:val="231F20"/>
        </w:rPr>
        <w:t>přípojného</w:t>
      </w:r>
      <w:r>
        <w:rPr>
          <w:color w:val="231F20"/>
          <w:spacing w:val="-17"/>
        </w:rPr>
        <w:t xml:space="preserve"> </w:t>
      </w:r>
      <w:r>
        <w:rPr>
          <w:color w:val="231F20"/>
        </w:rPr>
        <w:t>vozidla</w:t>
      </w:r>
      <w:r>
        <w:rPr>
          <w:color w:val="231F20"/>
          <w:spacing w:val="-17"/>
        </w:rPr>
        <w:t xml:space="preserve"> </w:t>
      </w:r>
      <w:r>
        <w:rPr>
          <w:color w:val="231F20"/>
        </w:rPr>
        <w:t>v</w:t>
      </w:r>
      <w:r>
        <w:rPr>
          <w:color w:val="231F20"/>
          <w:spacing w:val="-18"/>
        </w:rPr>
        <w:t xml:space="preserve"> </w:t>
      </w:r>
      <w:r>
        <w:rPr>
          <w:color w:val="231F20"/>
          <w:spacing w:val="-3"/>
        </w:rPr>
        <w:t xml:space="preserve">rámci </w:t>
      </w:r>
      <w:r>
        <w:rPr>
          <w:color w:val="231F20"/>
        </w:rPr>
        <w:t>jednoho odtahu do stejného cílového</w:t>
      </w:r>
      <w:r>
        <w:rPr>
          <w:color w:val="231F20"/>
          <w:spacing w:val="-8"/>
        </w:rPr>
        <w:t xml:space="preserve"> </w:t>
      </w:r>
      <w:r>
        <w:rPr>
          <w:color w:val="231F20"/>
        </w:rPr>
        <w:t>místa.</w:t>
      </w:r>
    </w:p>
    <w:p w14:paraId="20A05A0F" w14:textId="77777777" w:rsidR="00F65BCA" w:rsidRDefault="00216117">
      <w:pPr>
        <w:pStyle w:val="Zkladntext"/>
        <w:spacing w:line="278" w:lineRule="auto"/>
        <w:ind w:left="467"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 xml:space="preserve">9 </w:t>
      </w:r>
      <w:r>
        <w:rPr>
          <w:color w:val="231F20"/>
          <w:position w:val="1"/>
          <w:sz w:val="14"/>
        </w:rPr>
        <w:t xml:space="preserve">  </w:t>
      </w:r>
      <w:r>
        <w:rPr>
          <w:color w:val="231F20"/>
        </w:rPr>
        <w:t>Odtah vozidla do nejbližšího autorizovaného/smluvního servisu Pojišťov-  ny</w:t>
      </w:r>
      <w:r>
        <w:rPr>
          <w:color w:val="231F20"/>
          <w:spacing w:val="-10"/>
        </w:rPr>
        <w:t xml:space="preserve"> </w:t>
      </w:r>
      <w:r>
        <w:rPr>
          <w:color w:val="231F20"/>
        </w:rPr>
        <w:t>je</w:t>
      </w:r>
      <w:r>
        <w:rPr>
          <w:color w:val="231F20"/>
          <w:spacing w:val="-10"/>
        </w:rPr>
        <w:t xml:space="preserve"> </w:t>
      </w:r>
      <w:r>
        <w:rPr>
          <w:color w:val="231F20"/>
        </w:rPr>
        <w:t>služba,</w:t>
      </w:r>
      <w:r>
        <w:rPr>
          <w:color w:val="231F20"/>
          <w:spacing w:val="-10"/>
        </w:rPr>
        <w:t xml:space="preserve"> </w:t>
      </w:r>
      <w:r>
        <w:rPr>
          <w:color w:val="231F20"/>
        </w:rPr>
        <w:t>která</w:t>
      </w:r>
      <w:r>
        <w:rPr>
          <w:color w:val="231F20"/>
          <w:spacing w:val="-10"/>
        </w:rPr>
        <w:t xml:space="preserve"> </w:t>
      </w:r>
      <w:r>
        <w:rPr>
          <w:color w:val="231F20"/>
        </w:rPr>
        <w:t>obsahuje</w:t>
      </w:r>
      <w:r>
        <w:rPr>
          <w:color w:val="231F20"/>
          <w:spacing w:val="-10"/>
        </w:rPr>
        <w:t xml:space="preserve"> </w:t>
      </w:r>
      <w:r>
        <w:rPr>
          <w:color w:val="231F20"/>
        </w:rPr>
        <w:t>naložení,</w:t>
      </w:r>
      <w:r>
        <w:rPr>
          <w:color w:val="231F20"/>
          <w:spacing w:val="-10"/>
        </w:rPr>
        <w:t xml:space="preserve"> </w:t>
      </w:r>
      <w:r>
        <w:rPr>
          <w:color w:val="231F20"/>
        </w:rPr>
        <w:t>převoz</w:t>
      </w:r>
      <w:r>
        <w:rPr>
          <w:color w:val="231F20"/>
          <w:spacing w:val="-10"/>
        </w:rPr>
        <w:t xml:space="preserve"> </w:t>
      </w:r>
      <w:r>
        <w:rPr>
          <w:color w:val="231F20"/>
        </w:rPr>
        <w:t>a</w:t>
      </w:r>
      <w:r>
        <w:rPr>
          <w:color w:val="231F20"/>
          <w:spacing w:val="-10"/>
        </w:rPr>
        <w:t xml:space="preserve"> </w:t>
      </w:r>
      <w:r>
        <w:rPr>
          <w:color w:val="231F20"/>
        </w:rPr>
        <w:t>složení</w:t>
      </w:r>
      <w:r>
        <w:rPr>
          <w:color w:val="231F20"/>
          <w:spacing w:val="-10"/>
        </w:rPr>
        <w:t xml:space="preserve"> </w:t>
      </w:r>
      <w:r>
        <w:rPr>
          <w:color w:val="231F20"/>
        </w:rPr>
        <w:t>pojištěného</w:t>
      </w:r>
      <w:r>
        <w:rPr>
          <w:color w:val="231F20"/>
          <w:spacing w:val="-10"/>
        </w:rPr>
        <w:t xml:space="preserve"> </w:t>
      </w:r>
      <w:r>
        <w:rPr>
          <w:color w:val="231F20"/>
        </w:rPr>
        <w:t>vozidla</w:t>
      </w:r>
      <w:r>
        <w:rPr>
          <w:color w:val="231F20"/>
          <w:spacing w:val="-10"/>
        </w:rPr>
        <w:t xml:space="preserve"> </w:t>
      </w:r>
      <w:r>
        <w:rPr>
          <w:color w:val="231F20"/>
        </w:rPr>
        <w:t>z místa</w:t>
      </w:r>
      <w:r>
        <w:rPr>
          <w:color w:val="231F20"/>
          <w:spacing w:val="-29"/>
        </w:rPr>
        <w:t xml:space="preserve"> </w:t>
      </w:r>
      <w:r>
        <w:rPr>
          <w:color w:val="231F20"/>
        </w:rPr>
        <w:t>pojistné</w:t>
      </w:r>
      <w:r>
        <w:rPr>
          <w:color w:val="231F20"/>
          <w:spacing w:val="-28"/>
        </w:rPr>
        <w:t xml:space="preserve"> </w:t>
      </w:r>
      <w:r>
        <w:rPr>
          <w:color w:val="231F20"/>
        </w:rPr>
        <w:t>události</w:t>
      </w:r>
      <w:r>
        <w:rPr>
          <w:color w:val="231F20"/>
          <w:spacing w:val="-28"/>
        </w:rPr>
        <w:t xml:space="preserve"> </w:t>
      </w:r>
      <w:r>
        <w:rPr>
          <w:color w:val="231F20"/>
        </w:rPr>
        <w:t>do</w:t>
      </w:r>
      <w:r>
        <w:rPr>
          <w:color w:val="231F20"/>
          <w:spacing w:val="-29"/>
        </w:rPr>
        <w:t xml:space="preserve"> </w:t>
      </w:r>
      <w:r>
        <w:rPr>
          <w:color w:val="231F20"/>
        </w:rPr>
        <w:t>nejbližšího</w:t>
      </w:r>
      <w:r>
        <w:rPr>
          <w:color w:val="231F20"/>
          <w:spacing w:val="-28"/>
        </w:rPr>
        <w:t xml:space="preserve"> </w:t>
      </w:r>
      <w:r>
        <w:rPr>
          <w:color w:val="231F20"/>
        </w:rPr>
        <w:t>smluvního</w:t>
      </w:r>
      <w:r>
        <w:rPr>
          <w:color w:val="231F20"/>
          <w:spacing w:val="-28"/>
        </w:rPr>
        <w:t xml:space="preserve"> </w:t>
      </w:r>
      <w:r>
        <w:rPr>
          <w:color w:val="231F20"/>
        </w:rPr>
        <w:t>servisu</w:t>
      </w:r>
      <w:r>
        <w:rPr>
          <w:color w:val="231F20"/>
          <w:spacing w:val="-29"/>
        </w:rPr>
        <w:t xml:space="preserve"> </w:t>
      </w:r>
      <w:r>
        <w:rPr>
          <w:color w:val="231F20"/>
        </w:rPr>
        <w:t>Pojišťovny</w:t>
      </w:r>
      <w:r>
        <w:rPr>
          <w:color w:val="231F20"/>
          <w:spacing w:val="-28"/>
        </w:rPr>
        <w:t xml:space="preserve"> </w:t>
      </w:r>
      <w:r>
        <w:rPr>
          <w:color w:val="231F20"/>
        </w:rPr>
        <w:t>nebo</w:t>
      </w:r>
      <w:r>
        <w:rPr>
          <w:color w:val="231F20"/>
          <w:spacing w:val="-28"/>
        </w:rPr>
        <w:t xml:space="preserve"> </w:t>
      </w:r>
      <w:r>
        <w:rPr>
          <w:color w:val="231F20"/>
        </w:rPr>
        <w:t xml:space="preserve">jiného vhodného servisu, včetně nezbytné běžné manipulace s vozidlem </w:t>
      </w:r>
      <w:r>
        <w:rPr>
          <w:color w:val="231F20"/>
          <w:spacing w:val="-4"/>
        </w:rPr>
        <w:t xml:space="preserve">bezpro- </w:t>
      </w:r>
      <w:r>
        <w:rPr>
          <w:color w:val="231F20"/>
        </w:rPr>
        <w:t>středně před a po uskutečnění odtahu vozidla. Služba zahrnuje vyproštění vozidla</w:t>
      </w:r>
      <w:r>
        <w:rPr>
          <w:color w:val="231F20"/>
          <w:spacing w:val="-25"/>
        </w:rPr>
        <w:t xml:space="preserve"> </w:t>
      </w:r>
      <w:r>
        <w:rPr>
          <w:color w:val="231F20"/>
        </w:rPr>
        <w:t>(navrácení</w:t>
      </w:r>
      <w:r>
        <w:rPr>
          <w:color w:val="231F20"/>
          <w:spacing w:val="-24"/>
        </w:rPr>
        <w:t xml:space="preserve"> </w:t>
      </w:r>
      <w:r>
        <w:rPr>
          <w:color w:val="231F20"/>
        </w:rPr>
        <w:t>na</w:t>
      </w:r>
      <w:r>
        <w:rPr>
          <w:color w:val="231F20"/>
          <w:spacing w:val="-24"/>
        </w:rPr>
        <w:t xml:space="preserve"> </w:t>
      </w:r>
      <w:r>
        <w:rPr>
          <w:color w:val="231F20"/>
        </w:rPr>
        <w:t>vozovku),</w:t>
      </w:r>
      <w:r>
        <w:rPr>
          <w:color w:val="231F20"/>
          <w:spacing w:val="-24"/>
        </w:rPr>
        <w:t xml:space="preserve"> </w:t>
      </w:r>
      <w:r>
        <w:rPr>
          <w:color w:val="231F20"/>
        </w:rPr>
        <w:t>které</w:t>
      </w:r>
      <w:r>
        <w:rPr>
          <w:color w:val="231F20"/>
          <w:spacing w:val="-24"/>
        </w:rPr>
        <w:t xml:space="preserve"> </w:t>
      </w:r>
      <w:r>
        <w:rPr>
          <w:color w:val="231F20"/>
        </w:rPr>
        <w:t>zvládne</w:t>
      </w:r>
      <w:r>
        <w:rPr>
          <w:color w:val="231F20"/>
          <w:spacing w:val="-24"/>
        </w:rPr>
        <w:t xml:space="preserve"> </w:t>
      </w:r>
      <w:r>
        <w:rPr>
          <w:color w:val="231F20"/>
        </w:rPr>
        <w:t>běžné</w:t>
      </w:r>
      <w:r>
        <w:rPr>
          <w:color w:val="231F20"/>
          <w:spacing w:val="-24"/>
        </w:rPr>
        <w:t xml:space="preserve"> </w:t>
      </w:r>
      <w:r>
        <w:rPr>
          <w:color w:val="231F20"/>
        </w:rPr>
        <w:t>odtahové</w:t>
      </w:r>
      <w:r>
        <w:rPr>
          <w:color w:val="231F20"/>
          <w:spacing w:val="-24"/>
        </w:rPr>
        <w:t xml:space="preserve"> </w:t>
      </w:r>
      <w:r>
        <w:rPr>
          <w:color w:val="231F20"/>
        </w:rPr>
        <w:t>vozidlo.</w:t>
      </w:r>
      <w:r>
        <w:rPr>
          <w:color w:val="231F20"/>
          <w:spacing w:val="-24"/>
        </w:rPr>
        <w:t xml:space="preserve"> </w:t>
      </w:r>
      <w:r>
        <w:rPr>
          <w:color w:val="231F20"/>
        </w:rPr>
        <w:t>Služba je</w:t>
      </w:r>
      <w:r>
        <w:rPr>
          <w:color w:val="231F20"/>
          <w:spacing w:val="-12"/>
        </w:rPr>
        <w:t xml:space="preserve"> </w:t>
      </w:r>
      <w:r>
        <w:rPr>
          <w:color w:val="231F20"/>
        </w:rPr>
        <w:t>poskytována</w:t>
      </w:r>
      <w:r>
        <w:rPr>
          <w:color w:val="231F20"/>
          <w:spacing w:val="-12"/>
        </w:rPr>
        <w:t xml:space="preserve"> </w:t>
      </w:r>
      <w:r>
        <w:rPr>
          <w:color w:val="231F20"/>
        </w:rPr>
        <w:t>maximálně</w:t>
      </w:r>
      <w:r>
        <w:rPr>
          <w:color w:val="231F20"/>
          <w:spacing w:val="-12"/>
        </w:rPr>
        <w:t xml:space="preserve"> </w:t>
      </w:r>
      <w:r>
        <w:rPr>
          <w:color w:val="231F20"/>
        </w:rPr>
        <w:t>do</w:t>
      </w:r>
      <w:r>
        <w:rPr>
          <w:color w:val="231F20"/>
          <w:spacing w:val="-11"/>
        </w:rPr>
        <w:t xml:space="preserve"> </w:t>
      </w:r>
      <w:r>
        <w:rPr>
          <w:color w:val="231F20"/>
        </w:rPr>
        <w:t>limitu</w:t>
      </w:r>
      <w:r>
        <w:rPr>
          <w:color w:val="231F20"/>
          <w:spacing w:val="-12"/>
        </w:rPr>
        <w:t xml:space="preserve"> </w:t>
      </w:r>
      <w:r>
        <w:rPr>
          <w:color w:val="231F20"/>
        </w:rPr>
        <w:t>vzdálenosti</w:t>
      </w:r>
      <w:r>
        <w:rPr>
          <w:color w:val="231F20"/>
          <w:spacing w:val="-12"/>
        </w:rPr>
        <w:t xml:space="preserve"> </w:t>
      </w:r>
      <w:r>
        <w:rPr>
          <w:color w:val="231F20"/>
        </w:rPr>
        <w:t>uvedeného</w:t>
      </w:r>
      <w:r>
        <w:rPr>
          <w:color w:val="231F20"/>
          <w:spacing w:val="-12"/>
        </w:rPr>
        <w:t xml:space="preserve"> </w:t>
      </w:r>
      <w:r>
        <w:rPr>
          <w:color w:val="231F20"/>
        </w:rPr>
        <w:t>v</w:t>
      </w:r>
      <w:r>
        <w:rPr>
          <w:color w:val="231F20"/>
          <w:spacing w:val="-11"/>
        </w:rPr>
        <w:t xml:space="preserve"> </w:t>
      </w:r>
      <w:r>
        <w:rPr>
          <w:color w:val="231F20"/>
        </w:rPr>
        <w:t>tabulkách</w:t>
      </w:r>
      <w:r>
        <w:rPr>
          <w:color w:val="231F20"/>
          <w:spacing w:val="-12"/>
        </w:rPr>
        <w:t xml:space="preserve"> </w:t>
      </w:r>
      <w:r>
        <w:rPr>
          <w:color w:val="231F20"/>
          <w:spacing w:val="-4"/>
        </w:rPr>
        <w:t xml:space="preserve">Roz- </w:t>
      </w:r>
      <w:r>
        <w:rPr>
          <w:color w:val="231F20"/>
        </w:rPr>
        <w:t>sah a limity asistenčních</w:t>
      </w:r>
      <w:r>
        <w:rPr>
          <w:color w:val="231F20"/>
          <w:spacing w:val="-5"/>
        </w:rPr>
        <w:t xml:space="preserve"> </w:t>
      </w:r>
      <w:r>
        <w:rPr>
          <w:color w:val="231F20"/>
        </w:rPr>
        <w:t>služeb.</w:t>
      </w:r>
    </w:p>
    <w:p w14:paraId="42ABB110" w14:textId="77777777" w:rsidR="00F65BCA" w:rsidRDefault="00216117">
      <w:pPr>
        <w:pStyle w:val="Zkladntext"/>
        <w:spacing w:line="278" w:lineRule="auto"/>
        <w:ind w:left="467" w:right="424" w:hanging="283"/>
        <w:jc w:val="both"/>
      </w:pPr>
      <w:r>
        <w:rPr>
          <w:color w:val="231F20"/>
          <w:spacing w:val="-22"/>
          <w:position w:val="1"/>
          <w:sz w:val="14"/>
          <w:shd w:val="clear" w:color="auto" w:fill="D1D3D4"/>
        </w:rPr>
        <w:t xml:space="preserve"> </w:t>
      </w:r>
      <w:r>
        <w:rPr>
          <w:color w:val="231F20"/>
          <w:position w:val="1"/>
          <w:sz w:val="14"/>
          <w:shd w:val="clear" w:color="auto" w:fill="D1D3D4"/>
        </w:rPr>
        <w:t>10</w:t>
      </w:r>
      <w:r>
        <w:rPr>
          <w:color w:val="231F20"/>
          <w:position w:val="1"/>
          <w:sz w:val="14"/>
        </w:rPr>
        <w:t xml:space="preserve"> </w:t>
      </w:r>
      <w:r>
        <w:rPr>
          <w:color w:val="231F20"/>
        </w:rPr>
        <w:t xml:space="preserve">Odtah vozidla k nejbližší nabíjecí stanici – Pojišťovna uhradí náklady za </w:t>
      </w:r>
      <w:r>
        <w:rPr>
          <w:color w:val="231F20"/>
          <w:spacing w:val="-6"/>
        </w:rPr>
        <w:t xml:space="preserve">na- </w:t>
      </w:r>
      <w:r>
        <w:rPr>
          <w:color w:val="231F20"/>
        </w:rPr>
        <w:t>ložení,</w:t>
      </w:r>
      <w:r>
        <w:rPr>
          <w:color w:val="231F20"/>
          <w:spacing w:val="-23"/>
        </w:rPr>
        <w:t xml:space="preserve"> </w:t>
      </w:r>
      <w:r>
        <w:rPr>
          <w:color w:val="231F20"/>
        </w:rPr>
        <w:t>převoz</w:t>
      </w:r>
      <w:r>
        <w:rPr>
          <w:color w:val="231F20"/>
          <w:spacing w:val="-23"/>
        </w:rPr>
        <w:t xml:space="preserve"> </w:t>
      </w:r>
      <w:r>
        <w:rPr>
          <w:color w:val="231F20"/>
        </w:rPr>
        <w:t>a</w:t>
      </w:r>
      <w:r>
        <w:rPr>
          <w:color w:val="231F20"/>
          <w:spacing w:val="-23"/>
        </w:rPr>
        <w:t xml:space="preserve"> </w:t>
      </w:r>
      <w:r>
        <w:rPr>
          <w:color w:val="231F20"/>
        </w:rPr>
        <w:t>složení</w:t>
      </w:r>
      <w:r>
        <w:rPr>
          <w:color w:val="231F20"/>
          <w:spacing w:val="-23"/>
        </w:rPr>
        <w:t xml:space="preserve"> </w:t>
      </w:r>
      <w:r>
        <w:rPr>
          <w:color w:val="231F20"/>
        </w:rPr>
        <w:t>pojištěného</w:t>
      </w:r>
      <w:r>
        <w:rPr>
          <w:color w:val="231F20"/>
          <w:spacing w:val="-22"/>
        </w:rPr>
        <w:t xml:space="preserve"> </w:t>
      </w:r>
      <w:r>
        <w:rPr>
          <w:color w:val="231F20"/>
        </w:rPr>
        <w:t>vozidla</w:t>
      </w:r>
      <w:r>
        <w:rPr>
          <w:color w:val="231F20"/>
          <w:spacing w:val="-23"/>
        </w:rPr>
        <w:t xml:space="preserve"> </w:t>
      </w:r>
      <w:r>
        <w:rPr>
          <w:color w:val="231F20"/>
        </w:rPr>
        <w:t>z</w:t>
      </w:r>
      <w:r>
        <w:rPr>
          <w:color w:val="231F20"/>
          <w:spacing w:val="-23"/>
        </w:rPr>
        <w:t xml:space="preserve"> </w:t>
      </w:r>
      <w:r>
        <w:rPr>
          <w:color w:val="231F20"/>
        </w:rPr>
        <w:t>místa</w:t>
      </w:r>
      <w:r>
        <w:rPr>
          <w:color w:val="231F20"/>
          <w:spacing w:val="-23"/>
        </w:rPr>
        <w:t xml:space="preserve"> </w:t>
      </w:r>
      <w:r>
        <w:rPr>
          <w:color w:val="231F20"/>
        </w:rPr>
        <w:t>pojistné</w:t>
      </w:r>
      <w:r>
        <w:rPr>
          <w:color w:val="231F20"/>
          <w:spacing w:val="-23"/>
        </w:rPr>
        <w:t xml:space="preserve"> </w:t>
      </w:r>
      <w:r>
        <w:rPr>
          <w:color w:val="231F20"/>
        </w:rPr>
        <w:t>události</w:t>
      </w:r>
      <w:r>
        <w:rPr>
          <w:color w:val="231F20"/>
          <w:spacing w:val="-22"/>
        </w:rPr>
        <w:t xml:space="preserve"> </w:t>
      </w:r>
      <w:r>
        <w:rPr>
          <w:color w:val="231F20"/>
        </w:rPr>
        <w:t>k</w:t>
      </w:r>
      <w:r>
        <w:rPr>
          <w:color w:val="231F20"/>
          <w:spacing w:val="-23"/>
        </w:rPr>
        <w:t xml:space="preserve"> </w:t>
      </w:r>
      <w:r>
        <w:rPr>
          <w:color w:val="231F20"/>
        </w:rPr>
        <w:t xml:space="preserve">nejbližší dobíjecí stanici. Služba zahrnuje také nezbytnou běžnou manipulaci s </w:t>
      </w:r>
      <w:r>
        <w:rPr>
          <w:color w:val="231F20"/>
          <w:spacing w:val="-4"/>
        </w:rPr>
        <w:t xml:space="preserve">vozi- </w:t>
      </w:r>
      <w:r>
        <w:rPr>
          <w:color w:val="231F20"/>
        </w:rPr>
        <w:t>dlem.</w:t>
      </w:r>
      <w:r>
        <w:rPr>
          <w:color w:val="231F20"/>
          <w:spacing w:val="-13"/>
        </w:rPr>
        <w:t xml:space="preserve"> </w:t>
      </w:r>
      <w:r>
        <w:rPr>
          <w:color w:val="231F20"/>
        </w:rPr>
        <w:t>Službu</w:t>
      </w:r>
      <w:r>
        <w:rPr>
          <w:color w:val="231F20"/>
          <w:spacing w:val="-13"/>
        </w:rPr>
        <w:t xml:space="preserve"> </w:t>
      </w:r>
      <w:r>
        <w:rPr>
          <w:color w:val="231F20"/>
        </w:rPr>
        <w:t>je</w:t>
      </w:r>
      <w:r>
        <w:rPr>
          <w:color w:val="231F20"/>
          <w:spacing w:val="-12"/>
        </w:rPr>
        <w:t xml:space="preserve"> </w:t>
      </w:r>
      <w:r>
        <w:rPr>
          <w:color w:val="231F20"/>
        </w:rPr>
        <w:t>poskytována</w:t>
      </w:r>
      <w:r>
        <w:rPr>
          <w:color w:val="231F20"/>
          <w:spacing w:val="-13"/>
        </w:rPr>
        <w:t xml:space="preserve"> </w:t>
      </w:r>
      <w:r>
        <w:rPr>
          <w:color w:val="231F20"/>
        </w:rPr>
        <w:t>maximálně</w:t>
      </w:r>
      <w:r>
        <w:rPr>
          <w:color w:val="231F20"/>
          <w:spacing w:val="-12"/>
        </w:rPr>
        <w:t xml:space="preserve"> </w:t>
      </w:r>
      <w:r>
        <w:rPr>
          <w:color w:val="231F20"/>
        </w:rPr>
        <w:t>do</w:t>
      </w:r>
      <w:r>
        <w:rPr>
          <w:color w:val="231F20"/>
          <w:spacing w:val="-13"/>
        </w:rPr>
        <w:t xml:space="preserve"> </w:t>
      </w:r>
      <w:r>
        <w:rPr>
          <w:color w:val="231F20"/>
        </w:rPr>
        <w:t>vzdálenosti</w:t>
      </w:r>
      <w:r>
        <w:rPr>
          <w:color w:val="231F20"/>
          <w:spacing w:val="-12"/>
        </w:rPr>
        <w:t xml:space="preserve"> </w:t>
      </w:r>
      <w:r>
        <w:rPr>
          <w:color w:val="231F20"/>
        </w:rPr>
        <w:t>uvedené</w:t>
      </w:r>
      <w:r>
        <w:rPr>
          <w:color w:val="231F20"/>
          <w:spacing w:val="-13"/>
        </w:rPr>
        <w:t xml:space="preserve"> </w:t>
      </w:r>
      <w:r>
        <w:rPr>
          <w:color w:val="231F20"/>
        </w:rPr>
        <w:t>v</w:t>
      </w:r>
      <w:r>
        <w:rPr>
          <w:color w:val="231F20"/>
          <w:spacing w:val="-12"/>
        </w:rPr>
        <w:t xml:space="preserve"> </w:t>
      </w:r>
      <w:r>
        <w:rPr>
          <w:color w:val="231F20"/>
        </w:rPr>
        <w:t>tabulkách Rozsah a limity asistenčních</w:t>
      </w:r>
      <w:r>
        <w:rPr>
          <w:color w:val="231F20"/>
          <w:spacing w:val="-7"/>
        </w:rPr>
        <w:t xml:space="preserve"> </w:t>
      </w:r>
      <w:r>
        <w:rPr>
          <w:color w:val="231F20"/>
        </w:rPr>
        <w:t>služeb.</w:t>
      </w:r>
    </w:p>
    <w:p w14:paraId="4FB494D1" w14:textId="77777777" w:rsidR="00F65BCA" w:rsidRDefault="00216117">
      <w:pPr>
        <w:pStyle w:val="Zkladntext"/>
        <w:spacing w:line="278" w:lineRule="auto"/>
        <w:ind w:left="467" w:right="424" w:hanging="283"/>
        <w:jc w:val="both"/>
      </w:pPr>
      <w:r>
        <w:rPr>
          <w:color w:val="231F20"/>
          <w:spacing w:val="-22"/>
          <w:position w:val="1"/>
          <w:sz w:val="14"/>
          <w:shd w:val="clear" w:color="auto" w:fill="D1D3D4"/>
        </w:rPr>
        <w:t xml:space="preserve"> </w:t>
      </w:r>
      <w:r>
        <w:rPr>
          <w:color w:val="231F20"/>
          <w:position w:val="1"/>
          <w:sz w:val="14"/>
          <w:shd w:val="clear" w:color="auto" w:fill="D1D3D4"/>
        </w:rPr>
        <w:t>11</w:t>
      </w:r>
      <w:r>
        <w:rPr>
          <w:color w:val="231F20"/>
          <w:position w:val="1"/>
          <w:sz w:val="14"/>
        </w:rPr>
        <w:t xml:space="preserve"> </w:t>
      </w:r>
      <w:r>
        <w:rPr>
          <w:color w:val="231F20"/>
        </w:rPr>
        <w:t>Odtah vozidla v České republice do místa určeného klientem je služba, která</w:t>
      </w:r>
      <w:r>
        <w:rPr>
          <w:color w:val="231F20"/>
          <w:spacing w:val="-8"/>
        </w:rPr>
        <w:t xml:space="preserve"> </w:t>
      </w:r>
      <w:r>
        <w:rPr>
          <w:color w:val="231F20"/>
        </w:rPr>
        <w:t>obsahuje</w:t>
      </w:r>
      <w:r>
        <w:rPr>
          <w:color w:val="231F20"/>
          <w:spacing w:val="-7"/>
        </w:rPr>
        <w:t xml:space="preserve"> </w:t>
      </w:r>
      <w:r>
        <w:rPr>
          <w:color w:val="231F20"/>
        </w:rPr>
        <w:t>naložení,</w:t>
      </w:r>
      <w:r>
        <w:rPr>
          <w:color w:val="231F20"/>
          <w:spacing w:val="-7"/>
        </w:rPr>
        <w:t xml:space="preserve"> </w:t>
      </w:r>
      <w:r>
        <w:rPr>
          <w:color w:val="231F20"/>
        </w:rPr>
        <w:t>převoz</w:t>
      </w:r>
      <w:r>
        <w:rPr>
          <w:color w:val="231F20"/>
          <w:spacing w:val="-7"/>
        </w:rPr>
        <w:t xml:space="preserve"> </w:t>
      </w:r>
      <w:r>
        <w:rPr>
          <w:color w:val="231F20"/>
        </w:rPr>
        <w:t>a</w:t>
      </w:r>
      <w:r>
        <w:rPr>
          <w:color w:val="231F20"/>
          <w:spacing w:val="-7"/>
        </w:rPr>
        <w:t xml:space="preserve"> </w:t>
      </w:r>
      <w:r>
        <w:rPr>
          <w:color w:val="231F20"/>
        </w:rPr>
        <w:t>složení</w:t>
      </w:r>
      <w:r>
        <w:rPr>
          <w:color w:val="231F20"/>
          <w:spacing w:val="-7"/>
        </w:rPr>
        <w:t xml:space="preserve"> </w:t>
      </w:r>
      <w:r>
        <w:rPr>
          <w:color w:val="231F20"/>
        </w:rPr>
        <w:t>pojištěného</w:t>
      </w:r>
      <w:r>
        <w:rPr>
          <w:color w:val="231F20"/>
          <w:spacing w:val="-7"/>
        </w:rPr>
        <w:t xml:space="preserve"> </w:t>
      </w:r>
      <w:r>
        <w:rPr>
          <w:color w:val="231F20"/>
        </w:rPr>
        <w:t>vozidla</w:t>
      </w:r>
      <w:r>
        <w:rPr>
          <w:color w:val="231F20"/>
          <w:spacing w:val="-7"/>
        </w:rPr>
        <w:t xml:space="preserve"> </w:t>
      </w:r>
      <w:r>
        <w:rPr>
          <w:color w:val="231F20"/>
        </w:rPr>
        <w:t>z</w:t>
      </w:r>
      <w:r>
        <w:rPr>
          <w:color w:val="231F20"/>
          <w:spacing w:val="-8"/>
        </w:rPr>
        <w:t xml:space="preserve"> </w:t>
      </w:r>
      <w:r>
        <w:rPr>
          <w:color w:val="231F20"/>
        </w:rPr>
        <w:t>místa</w:t>
      </w:r>
      <w:r>
        <w:rPr>
          <w:color w:val="231F20"/>
          <w:spacing w:val="-7"/>
        </w:rPr>
        <w:t xml:space="preserve"> </w:t>
      </w:r>
      <w:r>
        <w:rPr>
          <w:color w:val="231F20"/>
        </w:rPr>
        <w:t xml:space="preserve">pojist- né události do </w:t>
      </w:r>
      <w:r>
        <w:rPr>
          <w:color w:val="231F20"/>
          <w:spacing w:val="2"/>
        </w:rPr>
        <w:t xml:space="preserve">smluvního servisu </w:t>
      </w:r>
      <w:r>
        <w:rPr>
          <w:color w:val="231F20"/>
        </w:rPr>
        <w:t>Pojišťovny nebo jiného vhodného</w:t>
      </w:r>
      <w:r>
        <w:rPr>
          <w:color w:val="231F20"/>
          <w:spacing w:val="-25"/>
        </w:rPr>
        <w:t xml:space="preserve"> </w:t>
      </w:r>
      <w:r>
        <w:rPr>
          <w:color w:val="231F20"/>
          <w:spacing w:val="2"/>
        </w:rPr>
        <w:t xml:space="preserve">servisu nejbližšího </w:t>
      </w:r>
      <w:r>
        <w:rPr>
          <w:color w:val="231F20"/>
        </w:rPr>
        <w:t>k místu bydliště, sídlu, nebo místu podnikání pojištěného, nebo do</w:t>
      </w:r>
      <w:r>
        <w:rPr>
          <w:color w:val="231F20"/>
          <w:spacing w:val="-7"/>
        </w:rPr>
        <w:t xml:space="preserve"> </w:t>
      </w:r>
      <w:r>
        <w:rPr>
          <w:color w:val="231F20"/>
        </w:rPr>
        <w:t>jiného</w:t>
      </w:r>
      <w:r>
        <w:rPr>
          <w:color w:val="231F20"/>
          <w:spacing w:val="-7"/>
        </w:rPr>
        <w:t xml:space="preserve"> </w:t>
      </w:r>
      <w:r>
        <w:rPr>
          <w:color w:val="231F20"/>
        </w:rPr>
        <w:t>místa</w:t>
      </w:r>
      <w:r>
        <w:rPr>
          <w:color w:val="231F20"/>
          <w:spacing w:val="-7"/>
        </w:rPr>
        <w:t xml:space="preserve"> </w:t>
      </w:r>
      <w:r>
        <w:rPr>
          <w:color w:val="231F20"/>
        </w:rPr>
        <w:t>určeného</w:t>
      </w:r>
      <w:r>
        <w:rPr>
          <w:color w:val="231F20"/>
          <w:spacing w:val="-7"/>
        </w:rPr>
        <w:t xml:space="preserve"> </w:t>
      </w:r>
      <w:r>
        <w:rPr>
          <w:color w:val="231F20"/>
        </w:rPr>
        <w:t>oprávněnou</w:t>
      </w:r>
      <w:r>
        <w:rPr>
          <w:color w:val="231F20"/>
          <w:spacing w:val="-7"/>
        </w:rPr>
        <w:t xml:space="preserve"> </w:t>
      </w:r>
      <w:r>
        <w:rPr>
          <w:color w:val="231F20"/>
        </w:rPr>
        <w:t>osobou,</w:t>
      </w:r>
      <w:r>
        <w:rPr>
          <w:color w:val="231F20"/>
          <w:spacing w:val="-7"/>
        </w:rPr>
        <w:t xml:space="preserve"> </w:t>
      </w:r>
      <w:r>
        <w:rPr>
          <w:color w:val="231F20"/>
        </w:rPr>
        <w:t>včetně</w:t>
      </w:r>
      <w:r>
        <w:rPr>
          <w:color w:val="231F20"/>
          <w:spacing w:val="-7"/>
        </w:rPr>
        <w:t xml:space="preserve"> </w:t>
      </w:r>
      <w:r>
        <w:rPr>
          <w:color w:val="231F20"/>
        </w:rPr>
        <w:t>nezbytné</w:t>
      </w:r>
      <w:r>
        <w:rPr>
          <w:color w:val="231F20"/>
          <w:spacing w:val="-7"/>
        </w:rPr>
        <w:t xml:space="preserve"> </w:t>
      </w:r>
      <w:r>
        <w:rPr>
          <w:color w:val="231F20"/>
        </w:rPr>
        <w:t xml:space="preserve">manipulace s vozidlem bezprostředně před a po uskutečnění odtahu vozidla. Služba je poskytována pouze v případě, pokud nelze vozidlo opravit do 12 hodin </w:t>
      </w:r>
      <w:r>
        <w:rPr>
          <w:color w:val="231F20"/>
          <w:spacing w:val="-8"/>
        </w:rPr>
        <w:t xml:space="preserve">od </w:t>
      </w:r>
      <w:r>
        <w:rPr>
          <w:color w:val="231F20"/>
          <w:w w:val="95"/>
        </w:rPr>
        <w:t xml:space="preserve">nahlášení pojistné události poskytovateli asistence. Služba zahrnuje </w:t>
      </w:r>
      <w:r>
        <w:rPr>
          <w:color w:val="231F20"/>
          <w:spacing w:val="-3"/>
          <w:w w:val="95"/>
        </w:rPr>
        <w:t xml:space="preserve">vyproštění </w:t>
      </w:r>
      <w:r>
        <w:rPr>
          <w:color w:val="231F20"/>
        </w:rPr>
        <w:t>vozidla</w:t>
      </w:r>
      <w:r>
        <w:rPr>
          <w:color w:val="231F20"/>
          <w:spacing w:val="-18"/>
        </w:rPr>
        <w:t xml:space="preserve"> </w:t>
      </w:r>
      <w:r>
        <w:rPr>
          <w:color w:val="231F20"/>
        </w:rPr>
        <w:t>(navrácení</w:t>
      </w:r>
      <w:r>
        <w:rPr>
          <w:color w:val="231F20"/>
          <w:spacing w:val="-17"/>
        </w:rPr>
        <w:t xml:space="preserve"> </w:t>
      </w:r>
      <w:r>
        <w:rPr>
          <w:color w:val="231F20"/>
        </w:rPr>
        <w:t>na</w:t>
      </w:r>
      <w:r>
        <w:rPr>
          <w:color w:val="231F20"/>
          <w:spacing w:val="-17"/>
        </w:rPr>
        <w:t xml:space="preserve"> </w:t>
      </w:r>
      <w:r>
        <w:rPr>
          <w:color w:val="231F20"/>
        </w:rPr>
        <w:t>vozovku),</w:t>
      </w:r>
      <w:r>
        <w:rPr>
          <w:color w:val="231F20"/>
          <w:spacing w:val="-17"/>
        </w:rPr>
        <w:t xml:space="preserve"> </w:t>
      </w:r>
      <w:r>
        <w:rPr>
          <w:color w:val="231F20"/>
        </w:rPr>
        <w:t>které</w:t>
      </w:r>
      <w:r>
        <w:rPr>
          <w:color w:val="231F20"/>
          <w:spacing w:val="-17"/>
        </w:rPr>
        <w:t xml:space="preserve"> </w:t>
      </w:r>
      <w:r>
        <w:rPr>
          <w:color w:val="231F20"/>
        </w:rPr>
        <w:t>zvládne</w:t>
      </w:r>
      <w:r>
        <w:rPr>
          <w:color w:val="231F20"/>
          <w:spacing w:val="-17"/>
        </w:rPr>
        <w:t xml:space="preserve"> </w:t>
      </w:r>
      <w:r>
        <w:rPr>
          <w:color w:val="231F20"/>
        </w:rPr>
        <w:t>běžné</w:t>
      </w:r>
      <w:r>
        <w:rPr>
          <w:color w:val="231F20"/>
          <w:spacing w:val="-17"/>
        </w:rPr>
        <w:t xml:space="preserve"> </w:t>
      </w:r>
      <w:r>
        <w:rPr>
          <w:color w:val="231F20"/>
        </w:rPr>
        <w:t>odtahové</w:t>
      </w:r>
      <w:r>
        <w:rPr>
          <w:color w:val="231F20"/>
          <w:spacing w:val="-18"/>
        </w:rPr>
        <w:t xml:space="preserve"> </w:t>
      </w:r>
      <w:r>
        <w:rPr>
          <w:color w:val="231F20"/>
        </w:rPr>
        <w:t>vozidlo.</w:t>
      </w:r>
      <w:r>
        <w:rPr>
          <w:color w:val="231F20"/>
          <w:spacing w:val="-17"/>
        </w:rPr>
        <w:t xml:space="preserve"> </w:t>
      </w:r>
      <w:r>
        <w:rPr>
          <w:color w:val="231F20"/>
          <w:spacing w:val="-3"/>
        </w:rPr>
        <w:t xml:space="preserve">Odtah </w:t>
      </w:r>
      <w:r>
        <w:rPr>
          <w:color w:val="231F20"/>
        </w:rPr>
        <w:t>vozidla</w:t>
      </w:r>
      <w:r>
        <w:rPr>
          <w:color w:val="231F20"/>
          <w:spacing w:val="-13"/>
        </w:rPr>
        <w:t xml:space="preserve"> </w:t>
      </w:r>
      <w:r>
        <w:rPr>
          <w:color w:val="231F20"/>
        </w:rPr>
        <w:t>nelze</w:t>
      </w:r>
      <w:r>
        <w:rPr>
          <w:color w:val="231F20"/>
          <w:spacing w:val="-13"/>
        </w:rPr>
        <w:t xml:space="preserve"> </w:t>
      </w:r>
      <w:r>
        <w:rPr>
          <w:color w:val="231F20"/>
        </w:rPr>
        <w:t>kombinovat</w:t>
      </w:r>
      <w:r>
        <w:rPr>
          <w:color w:val="231F20"/>
          <w:spacing w:val="-13"/>
        </w:rPr>
        <w:t xml:space="preserve"> </w:t>
      </w:r>
      <w:r>
        <w:rPr>
          <w:color w:val="231F20"/>
        </w:rPr>
        <w:t>s</w:t>
      </w:r>
      <w:r>
        <w:rPr>
          <w:color w:val="231F20"/>
          <w:spacing w:val="-13"/>
        </w:rPr>
        <w:t xml:space="preserve"> </w:t>
      </w:r>
      <w:r>
        <w:rPr>
          <w:color w:val="231F20"/>
        </w:rPr>
        <w:t>přepravou</w:t>
      </w:r>
      <w:r>
        <w:rPr>
          <w:color w:val="231F20"/>
          <w:spacing w:val="-13"/>
        </w:rPr>
        <w:t xml:space="preserve"> </w:t>
      </w:r>
      <w:r>
        <w:rPr>
          <w:color w:val="231F20"/>
        </w:rPr>
        <w:t>řidiče</w:t>
      </w:r>
      <w:r>
        <w:rPr>
          <w:color w:val="231F20"/>
          <w:spacing w:val="-13"/>
        </w:rPr>
        <w:t xml:space="preserve"> </w:t>
      </w:r>
      <w:r>
        <w:rPr>
          <w:color w:val="231F20"/>
        </w:rPr>
        <w:t>pro</w:t>
      </w:r>
      <w:r>
        <w:rPr>
          <w:color w:val="231F20"/>
          <w:spacing w:val="-13"/>
        </w:rPr>
        <w:t xml:space="preserve"> </w:t>
      </w:r>
      <w:r>
        <w:rPr>
          <w:color w:val="231F20"/>
        </w:rPr>
        <w:t>opravené</w:t>
      </w:r>
      <w:r>
        <w:rPr>
          <w:color w:val="231F20"/>
          <w:spacing w:val="-13"/>
        </w:rPr>
        <w:t xml:space="preserve"> </w:t>
      </w:r>
      <w:r>
        <w:rPr>
          <w:color w:val="231F20"/>
        </w:rPr>
        <w:t>vozidlo,</w:t>
      </w:r>
      <w:r>
        <w:rPr>
          <w:color w:val="231F20"/>
          <w:spacing w:val="-13"/>
        </w:rPr>
        <w:t xml:space="preserve"> </w:t>
      </w:r>
      <w:r>
        <w:rPr>
          <w:color w:val="231F20"/>
        </w:rPr>
        <w:t>nerozhod- ne-li poskytovatel asistence</w:t>
      </w:r>
      <w:r>
        <w:rPr>
          <w:color w:val="231F20"/>
          <w:spacing w:val="-4"/>
        </w:rPr>
        <w:t xml:space="preserve"> </w:t>
      </w:r>
      <w:r>
        <w:rPr>
          <w:color w:val="231F20"/>
        </w:rPr>
        <w:t>jinak.</w:t>
      </w:r>
    </w:p>
    <w:p w14:paraId="5DBE063E" w14:textId="77777777" w:rsidR="00F65BCA" w:rsidRDefault="00216117">
      <w:pPr>
        <w:pStyle w:val="Zkladntext"/>
        <w:spacing w:line="278" w:lineRule="auto"/>
        <w:ind w:left="467" w:right="424" w:hanging="283"/>
        <w:jc w:val="both"/>
      </w:pPr>
      <w:r>
        <w:rPr>
          <w:color w:val="231F20"/>
          <w:spacing w:val="-22"/>
          <w:position w:val="1"/>
          <w:sz w:val="14"/>
          <w:shd w:val="clear" w:color="auto" w:fill="D1D3D4"/>
        </w:rPr>
        <w:t xml:space="preserve"> </w:t>
      </w:r>
      <w:r>
        <w:rPr>
          <w:color w:val="231F20"/>
          <w:position w:val="1"/>
          <w:sz w:val="14"/>
          <w:shd w:val="clear" w:color="auto" w:fill="D1D3D4"/>
        </w:rPr>
        <w:t>12</w:t>
      </w:r>
      <w:r>
        <w:rPr>
          <w:color w:val="231F20"/>
          <w:position w:val="1"/>
          <w:sz w:val="14"/>
        </w:rPr>
        <w:t xml:space="preserve">  </w:t>
      </w:r>
      <w:r>
        <w:rPr>
          <w:color w:val="231F20"/>
        </w:rPr>
        <w:t>Právní pomoc je služba, kdy v případě způsobení újmy provozem vozidla   v</w:t>
      </w:r>
      <w:r>
        <w:rPr>
          <w:color w:val="231F20"/>
          <w:spacing w:val="-17"/>
        </w:rPr>
        <w:t xml:space="preserve"> </w:t>
      </w:r>
      <w:r>
        <w:rPr>
          <w:color w:val="231F20"/>
        </w:rPr>
        <w:t>zahraničí</w:t>
      </w:r>
      <w:r>
        <w:rPr>
          <w:color w:val="231F20"/>
          <w:spacing w:val="-17"/>
        </w:rPr>
        <w:t xml:space="preserve"> </w:t>
      </w:r>
      <w:r>
        <w:rPr>
          <w:color w:val="231F20"/>
        </w:rPr>
        <w:t>má</w:t>
      </w:r>
      <w:r>
        <w:rPr>
          <w:color w:val="231F20"/>
          <w:spacing w:val="-17"/>
        </w:rPr>
        <w:t xml:space="preserve"> </w:t>
      </w:r>
      <w:r>
        <w:rPr>
          <w:color w:val="231F20"/>
        </w:rPr>
        <w:t>oprávněná</w:t>
      </w:r>
      <w:r>
        <w:rPr>
          <w:color w:val="231F20"/>
          <w:spacing w:val="-16"/>
        </w:rPr>
        <w:t xml:space="preserve"> </w:t>
      </w:r>
      <w:r>
        <w:rPr>
          <w:color w:val="231F20"/>
        </w:rPr>
        <w:t>osoba</w:t>
      </w:r>
      <w:r>
        <w:rPr>
          <w:color w:val="231F20"/>
          <w:spacing w:val="-17"/>
        </w:rPr>
        <w:t xml:space="preserve"> </w:t>
      </w:r>
      <w:r>
        <w:rPr>
          <w:color w:val="231F20"/>
        </w:rPr>
        <w:t>nárok,</w:t>
      </w:r>
      <w:r>
        <w:rPr>
          <w:color w:val="231F20"/>
          <w:spacing w:val="-17"/>
        </w:rPr>
        <w:t xml:space="preserve"> </w:t>
      </w:r>
      <w:r>
        <w:rPr>
          <w:color w:val="231F20"/>
        </w:rPr>
        <w:t>aby</w:t>
      </w:r>
      <w:r>
        <w:rPr>
          <w:color w:val="231F20"/>
          <w:spacing w:val="-17"/>
        </w:rPr>
        <w:t xml:space="preserve"> </w:t>
      </w:r>
      <w:r>
        <w:rPr>
          <w:color w:val="231F20"/>
        </w:rPr>
        <w:t>jí</w:t>
      </w:r>
      <w:r>
        <w:rPr>
          <w:color w:val="231F20"/>
          <w:spacing w:val="-16"/>
        </w:rPr>
        <w:t xml:space="preserve"> </w:t>
      </w:r>
      <w:r>
        <w:rPr>
          <w:color w:val="231F20"/>
        </w:rPr>
        <w:t>byla</w:t>
      </w:r>
      <w:r>
        <w:rPr>
          <w:color w:val="231F20"/>
          <w:spacing w:val="-17"/>
        </w:rPr>
        <w:t xml:space="preserve"> </w:t>
      </w:r>
      <w:r>
        <w:rPr>
          <w:color w:val="231F20"/>
        </w:rPr>
        <w:t>zajištěna</w:t>
      </w:r>
      <w:r>
        <w:rPr>
          <w:color w:val="231F20"/>
          <w:spacing w:val="-17"/>
        </w:rPr>
        <w:t xml:space="preserve"> </w:t>
      </w:r>
      <w:r>
        <w:rPr>
          <w:color w:val="231F20"/>
        </w:rPr>
        <w:t>právní</w:t>
      </w:r>
      <w:r>
        <w:rPr>
          <w:color w:val="231F20"/>
          <w:spacing w:val="-17"/>
        </w:rPr>
        <w:t xml:space="preserve"> </w:t>
      </w:r>
      <w:r>
        <w:rPr>
          <w:color w:val="231F20"/>
        </w:rPr>
        <w:t>pomoc</w:t>
      </w:r>
      <w:r>
        <w:rPr>
          <w:color w:val="231F20"/>
          <w:spacing w:val="-16"/>
        </w:rPr>
        <w:t xml:space="preserve"> </w:t>
      </w:r>
      <w:r>
        <w:rPr>
          <w:color w:val="231F20"/>
          <w:spacing w:val="-4"/>
        </w:rPr>
        <w:t xml:space="preserve">ad- </w:t>
      </w:r>
      <w:r>
        <w:rPr>
          <w:color w:val="231F20"/>
        </w:rPr>
        <w:t>vokáta</w:t>
      </w:r>
      <w:r>
        <w:rPr>
          <w:color w:val="231F20"/>
          <w:spacing w:val="-15"/>
        </w:rPr>
        <w:t xml:space="preserve"> </w:t>
      </w:r>
      <w:r>
        <w:rPr>
          <w:color w:val="231F20"/>
        </w:rPr>
        <w:t>a/nebo</w:t>
      </w:r>
      <w:r>
        <w:rPr>
          <w:color w:val="231F20"/>
          <w:spacing w:val="-15"/>
        </w:rPr>
        <w:t xml:space="preserve"> </w:t>
      </w:r>
      <w:r>
        <w:rPr>
          <w:color w:val="231F20"/>
        </w:rPr>
        <w:t>tlumočníka</w:t>
      </w:r>
      <w:r>
        <w:rPr>
          <w:color w:val="231F20"/>
          <w:spacing w:val="-15"/>
        </w:rPr>
        <w:t xml:space="preserve"> </w:t>
      </w:r>
      <w:r>
        <w:rPr>
          <w:color w:val="231F20"/>
        </w:rPr>
        <w:t>v</w:t>
      </w:r>
      <w:r>
        <w:rPr>
          <w:color w:val="231F20"/>
          <w:spacing w:val="-14"/>
        </w:rPr>
        <w:t xml:space="preserve"> </w:t>
      </w:r>
      <w:r>
        <w:rPr>
          <w:color w:val="231F20"/>
        </w:rPr>
        <w:t>případě,</w:t>
      </w:r>
      <w:r>
        <w:rPr>
          <w:color w:val="231F20"/>
          <w:spacing w:val="-15"/>
        </w:rPr>
        <w:t xml:space="preserve"> </w:t>
      </w:r>
      <w:r>
        <w:rPr>
          <w:color w:val="231F20"/>
        </w:rPr>
        <w:t>že</w:t>
      </w:r>
      <w:r>
        <w:rPr>
          <w:color w:val="231F20"/>
          <w:spacing w:val="-15"/>
        </w:rPr>
        <w:t xml:space="preserve"> </w:t>
      </w:r>
      <w:r>
        <w:rPr>
          <w:color w:val="231F20"/>
        </w:rPr>
        <w:t>je</w:t>
      </w:r>
      <w:r>
        <w:rPr>
          <w:color w:val="231F20"/>
          <w:spacing w:val="-14"/>
        </w:rPr>
        <w:t xml:space="preserve"> </w:t>
      </w:r>
      <w:r>
        <w:rPr>
          <w:color w:val="231F20"/>
        </w:rPr>
        <w:t>proti</w:t>
      </w:r>
      <w:r>
        <w:rPr>
          <w:color w:val="231F20"/>
          <w:spacing w:val="-15"/>
        </w:rPr>
        <w:t xml:space="preserve"> </w:t>
      </w:r>
      <w:r>
        <w:rPr>
          <w:color w:val="231F20"/>
        </w:rPr>
        <w:t>ní</w:t>
      </w:r>
      <w:r>
        <w:rPr>
          <w:color w:val="231F20"/>
          <w:spacing w:val="-15"/>
        </w:rPr>
        <w:t xml:space="preserve"> </w:t>
      </w:r>
      <w:r>
        <w:rPr>
          <w:color w:val="231F20"/>
        </w:rPr>
        <w:t>vedeno</w:t>
      </w:r>
      <w:r>
        <w:rPr>
          <w:color w:val="231F20"/>
          <w:spacing w:val="-14"/>
        </w:rPr>
        <w:t xml:space="preserve"> </w:t>
      </w:r>
      <w:r>
        <w:rPr>
          <w:color w:val="231F20"/>
        </w:rPr>
        <w:t>trestní</w:t>
      </w:r>
      <w:r>
        <w:rPr>
          <w:color w:val="231F20"/>
          <w:spacing w:val="-15"/>
        </w:rPr>
        <w:t xml:space="preserve"> </w:t>
      </w:r>
      <w:r>
        <w:rPr>
          <w:color w:val="231F20"/>
        </w:rPr>
        <w:t>nebo</w:t>
      </w:r>
      <w:r>
        <w:rPr>
          <w:color w:val="231F20"/>
          <w:spacing w:val="-15"/>
        </w:rPr>
        <w:t xml:space="preserve"> </w:t>
      </w:r>
      <w:r>
        <w:rPr>
          <w:color w:val="231F20"/>
          <w:spacing w:val="-3"/>
        </w:rPr>
        <w:t xml:space="preserve">správní </w:t>
      </w:r>
      <w:r>
        <w:rPr>
          <w:color w:val="231F20"/>
        </w:rPr>
        <w:t>řízení v souvislosti s touto způsobenou újmou. Pojišťovna hradí náklady na právní</w:t>
      </w:r>
      <w:r>
        <w:rPr>
          <w:color w:val="231F20"/>
          <w:spacing w:val="-22"/>
        </w:rPr>
        <w:t xml:space="preserve"> </w:t>
      </w:r>
      <w:r>
        <w:rPr>
          <w:color w:val="231F20"/>
        </w:rPr>
        <w:t>pomoc</w:t>
      </w:r>
      <w:r>
        <w:rPr>
          <w:color w:val="231F20"/>
          <w:spacing w:val="-22"/>
        </w:rPr>
        <w:t xml:space="preserve"> </w:t>
      </w:r>
      <w:r>
        <w:rPr>
          <w:color w:val="231F20"/>
        </w:rPr>
        <w:t>a</w:t>
      </w:r>
      <w:r>
        <w:rPr>
          <w:color w:val="231F20"/>
          <w:spacing w:val="-22"/>
        </w:rPr>
        <w:t xml:space="preserve"> </w:t>
      </w:r>
      <w:r>
        <w:rPr>
          <w:color w:val="231F20"/>
        </w:rPr>
        <w:t>tlumočnické</w:t>
      </w:r>
      <w:r>
        <w:rPr>
          <w:color w:val="231F20"/>
          <w:spacing w:val="-22"/>
        </w:rPr>
        <w:t xml:space="preserve"> </w:t>
      </w:r>
      <w:r>
        <w:rPr>
          <w:color w:val="231F20"/>
        </w:rPr>
        <w:t>služby</w:t>
      </w:r>
      <w:r>
        <w:rPr>
          <w:color w:val="231F20"/>
          <w:spacing w:val="-22"/>
        </w:rPr>
        <w:t xml:space="preserve"> </w:t>
      </w:r>
      <w:r>
        <w:rPr>
          <w:color w:val="231F20"/>
        </w:rPr>
        <w:t>maximálně</w:t>
      </w:r>
      <w:r>
        <w:rPr>
          <w:color w:val="231F20"/>
          <w:spacing w:val="-22"/>
        </w:rPr>
        <w:t xml:space="preserve"> </w:t>
      </w:r>
      <w:r>
        <w:rPr>
          <w:color w:val="231F20"/>
        </w:rPr>
        <w:t>do</w:t>
      </w:r>
      <w:r>
        <w:rPr>
          <w:color w:val="231F20"/>
          <w:spacing w:val="-22"/>
        </w:rPr>
        <w:t xml:space="preserve"> </w:t>
      </w:r>
      <w:r>
        <w:rPr>
          <w:color w:val="231F20"/>
        </w:rPr>
        <w:t>částky</w:t>
      </w:r>
      <w:r>
        <w:rPr>
          <w:color w:val="231F20"/>
          <w:spacing w:val="-22"/>
        </w:rPr>
        <w:t xml:space="preserve"> </w:t>
      </w:r>
      <w:r>
        <w:rPr>
          <w:color w:val="231F20"/>
        </w:rPr>
        <w:t>ekvivalentu</w:t>
      </w:r>
      <w:r>
        <w:rPr>
          <w:color w:val="231F20"/>
          <w:spacing w:val="-22"/>
        </w:rPr>
        <w:t xml:space="preserve"> </w:t>
      </w:r>
      <w:r>
        <w:rPr>
          <w:color w:val="231F20"/>
        </w:rPr>
        <w:t>stanove- né</w:t>
      </w:r>
      <w:r>
        <w:rPr>
          <w:color w:val="231F20"/>
          <w:spacing w:val="-11"/>
        </w:rPr>
        <w:t xml:space="preserve"> </w:t>
      </w:r>
      <w:r>
        <w:rPr>
          <w:color w:val="231F20"/>
        </w:rPr>
        <w:t>pro</w:t>
      </w:r>
      <w:r>
        <w:rPr>
          <w:color w:val="231F20"/>
          <w:spacing w:val="-10"/>
        </w:rPr>
        <w:t xml:space="preserve"> </w:t>
      </w:r>
      <w:r>
        <w:rPr>
          <w:color w:val="231F20"/>
        </w:rPr>
        <w:t>danou</w:t>
      </w:r>
      <w:r>
        <w:rPr>
          <w:color w:val="231F20"/>
          <w:spacing w:val="-10"/>
        </w:rPr>
        <w:t xml:space="preserve"> </w:t>
      </w:r>
      <w:r>
        <w:rPr>
          <w:color w:val="231F20"/>
        </w:rPr>
        <w:t>variantu</w:t>
      </w:r>
      <w:r>
        <w:rPr>
          <w:color w:val="231F20"/>
          <w:spacing w:val="-10"/>
        </w:rPr>
        <w:t xml:space="preserve"> </w:t>
      </w:r>
      <w:r>
        <w:rPr>
          <w:color w:val="231F20"/>
        </w:rPr>
        <w:t>asistence.</w:t>
      </w:r>
      <w:r>
        <w:rPr>
          <w:color w:val="231F20"/>
          <w:spacing w:val="-10"/>
        </w:rPr>
        <w:t xml:space="preserve"> </w:t>
      </w:r>
      <w:r>
        <w:rPr>
          <w:color w:val="231F20"/>
        </w:rPr>
        <w:t>Služba</w:t>
      </w:r>
      <w:r>
        <w:rPr>
          <w:color w:val="231F20"/>
          <w:spacing w:val="-10"/>
        </w:rPr>
        <w:t xml:space="preserve"> </w:t>
      </w:r>
      <w:r>
        <w:rPr>
          <w:color w:val="231F20"/>
        </w:rPr>
        <w:t>je</w:t>
      </w:r>
      <w:r>
        <w:rPr>
          <w:color w:val="231F20"/>
          <w:spacing w:val="-10"/>
        </w:rPr>
        <w:t xml:space="preserve"> </w:t>
      </w:r>
      <w:r>
        <w:rPr>
          <w:color w:val="231F20"/>
        </w:rPr>
        <w:t>poskytována</w:t>
      </w:r>
      <w:r>
        <w:rPr>
          <w:color w:val="231F20"/>
          <w:spacing w:val="-11"/>
        </w:rPr>
        <w:t xml:space="preserve"> </w:t>
      </w:r>
      <w:r>
        <w:rPr>
          <w:color w:val="231F20"/>
        </w:rPr>
        <w:t>maximálně</w:t>
      </w:r>
      <w:r>
        <w:rPr>
          <w:color w:val="231F20"/>
          <w:spacing w:val="-10"/>
        </w:rPr>
        <w:t xml:space="preserve"> </w:t>
      </w:r>
      <w:r>
        <w:rPr>
          <w:color w:val="231F20"/>
        </w:rPr>
        <w:t>do</w:t>
      </w:r>
      <w:r>
        <w:rPr>
          <w:color w:val="231F20"/>
          <w:spacing w:val="-10"/>
        </w:rPr>
        <w:t xml:space="preserve"> </w:t>
      </w:r>
      <w:r>
        <w:rPr>
          <w:color w:val="231F20"/>
        </w:rPr>
        <w:t>limitu uvedeného</w:t>
      </w:r>
      <w:r>
        <w:rPr>
          <w:color w:val="231F20"/>
          <w:spacing w:val="-5"/>
        </w:rPr>
        <w:t xml:space="preserve"> </w:t>
      </w:r>
      <w:r>
        <w:rPr>
          <w:color w:val="231F20"/>
        </w:rPr>
        <w:t>v</w:t>
      </w:r>
      <w:r>
        <w:rPr>
          <w:color w:val="231F20"/>
          <w:spacing w:val="-4"/>
        </w:rPr>
        <w:t xml:space="preserve"> </w:t>
      </w:r>
      <w:r>
        <w:rPr>
          <w:color w:val="231F20"/>
        </w:rPr>
        <w:t>tabulkách</w:t>
      </w:r>
      <w:r>
        <w:rPr>
          <w:color w:val="231F20"/>
          <w:spacing w:val="-5"/>
        </w:rPr>
        <w:t xml:space="preserve"> </w:t>
      </w:r>
      <w:r>
        <w:rPr>
          <w:color w:val="231F20"/>
        </w:rPr>
        <w:t>Rozsah</w:t>
      </w:r>
      <w:r>
        <w:rPr>
          <w:color w:val="231F20"/>
          <w:spacing w:val="-4"/>
        </w:rPr>
        <w:t xml:space="preserve"> </w:t>
      </w:r>
      <w:r>
        <w:rPr>
          <w:color w:val="231F20"/>
        </w:rPr>
        <w:t>a</w:t>
      </w:r>
      <w:r>
        <w:rPr>
          <w:color w:val="231F20"/>
          <w:spacing w:val="-5"/>
        </w:rPr>
        <w:t xml:space="preserve"> </w:t>
      </w:r>
      <w:r>
        <w:rPr>
          <w:color w:val="231F20"/>
        </w:rPr>
        <w:t>limity</w:t>
      </w:r>
      <w:r>
        <w:rPr>
          <w:color w:val="231F20"/>
          <w:spacing w:val="-4"/>
        </w:rPr>
        <w:t xml:space="preserve"> </w:t>
      </w:r>
      <w:r>
        <w:rPr>
          <w:color w:val="231F20"/>
        </w:rPr>
        <w:t>asistenčních</w:t>
      </w:r>
      <w:r>
        <w:rPr>
          <w:color w:val="231F20"/>
          <w:spacing w:val="-5"/>
        </w:rPr>
        <w:t xml:space="preserve"> </w:t>
      </w:r>
      <w:r>
        <w:rPr>
          <w:color w:val="231F20"/>
        </w:rPr>
        <w:t>služeb.</w:t>
      </w:r>
    </w:p>
    <w:p w14:paraId="5E025D13" w14:textId="77777777" w:rsidR="00F65BCA" w:rsidRDefault="00216117">
      <w:pPr>
        <w:pStyle w:val="Zkladntext"/>
        <w:spacing w:line="278" w:lineRule="auto"/>
        <w:ind w:left="467" w:right="424" w:hanging="283"/>
        <w:jc w:val="both"/>
      </w:pPr>
      <w:r>
        <w:rPr>
          <w:color w:val="231F20"/>
          <w:spacing w:val="-22"/>
          <w:position w:val="1"/>
          <w:sz w:val="14"/>
          <w:shd w:val="clear" w:color="auto" w:fill="D1D3D4"/>
        </w:rPr>
        <w:t xml:space="preserve"> </w:t>
      </w:r>
      <w:r>
        <w:rPr>
          <w:color w:val="231F20"/>
          <w:position w:val="1"/>
          <w:sz w:val="14"/>
          <w:shd w:val="clear" w:color="auto" w:fill="D1D3D4"/>
        </w:rPr>
        <w:t>13</w:t>
      </w:r>
      <w:r>
        <w:rPr>
          <w:color w:val="231F20"/>
          <w:spacing w:val="4"/>
          <w:position w:val="1"/>
          <w:sz w:val="14"/>
        </w:rPr>
        <w:t xml:space="preserve"> </w:t>
      </w:r>
      <w:r>
        <w:rPr>
          <w:color w:val="231F20"/>
        </w:rPr>
        <w:t>Předání</w:t>
      </w:r>
      <w:r>
        <w:rPr>
          <w:color w:val="231F20"/>
          <w:spacing w:val="-11"/>
        </w:rPr>
        <w:t xml:space="preserve"> </w:t>
      </w:r>
      <w:r>
        <w:rPr>
          <w:color w:val="231F20"/>
        </w:rPr>
        <w:t>vzkazu</w:t>
      </w:r>
      <w:r>
        <w:rPr>
          <w:color w:val="231F20"/>
          <w:spacing w:val="-10"/>
        </w:rPr>
        <w:t xml:space="preserve"> </w:t>
      </w:r>
      <w:r>
        <w:rPr>
          <w:color w:val="231F20"/>
        </w:rPr>
        <w:t>je</w:t>
      </w:r>
      <w:r>
        <w:rPr>
          <w:color w:val="231F20"/>
          <w:spacing w:val="-11"/>
        </w:rPr>
        <w:t xml:space="preserve"> </w:t>
      </w:r>
      <w:r>
        <w:rPr>
          <w:color w:val="231F20"/>
        </w:rPr>
        <w:t>služba,</w:t>
      </w:r>
      <w:r>
        <w:rPr>
          <w:color w:val="231F20"/>
          <w:spacing w:val="-10"/>
        </w:rPr>
        <w:t xml:space="preserve"> </w:t>
      </w:r>
      <w:r>
        <w:rPr>
          <w:color w:val="231F20"/>
        </w:rPr>
        <w:t>která</w:t>
      </w:r>
      <w:r>
        <w:rPr>
          <w:color w:val="231F20"/>
          <w:spacing w:val="-11"/>
        </w:rPr>
        <w:t xml:space="preserve"> </w:t>
      </w:r>
      <w:r>
        <w:rPr>
          <w:color w:val="231F20"/>
        </w:rPr>
        <w:t>obsahuje</w:t>
      </w:r>
      <w:r>
        <w:rPr>
          <w:color w:val="231F20"/>
          <w:spacing w:val="-11"/>
        </w:rPr>
        <w:t xml:space="preserve"> </w:t>
      </w:r>
      <w:r>
        <w:rPr>
          <w:color w:val="231F20"/>
        </w:rPr>
        <w:t>předání</w:t>
      </w:r>
      <w:r>
        <w:rPr>
          <w:color w:val="231F20"/>
          <w:spacing w:val="-10"/>
        </w:rPr>
        <w:t xml:space="preserve"> </w:t>
      </w:r>
      <w:r>
        <w:rPr>
          <w:color w:val="231F20"/>
        </w:rPr>
        <w:t>vzkazu</w:t>
      </w:r>
      <w:r>
        <w:rPr>
          <w:color w:val="231F20"/>
          <w:spacing w:val="-11"/>
        </w:rPr>
        <w:t xml:space="preserve"> </w:t>
      </w:r>
      <w:r>
        <w:rPr>
          <w:color w:val="231F20"/>
        </w:rPr>
        <w:t>nebo</w:t>
      </w:r>
      <w:r>
        <w:rPr>
          <w:color w:val="231F20"/>
          <w:spacing w:val="-11"/>
        </w:rPr>
        <w:t xml:space="preserve"> </w:t>
      </w:r>
      <w:r>
        <w:rPr>
          <w:color w:val="231F20"/>
        </w:rPr>
        <w:t>zprávy</w:t>
      </w:r>
      <w:r>
        <w:rPr>
          <w:color w:val="231F20"/>
          <w:spacing w:val="-10"/>
        </w:rPr>
        <w:t xml:space="preserve"> </w:t>
      </w:r>
      <w:r>
        <w:rPr>
          <w:color w:val="231F20"/>
        </w:rPr>
        <w:t>opráv- něnou osobou určené třetí osobě prostřednictvím poskytovatele asistence (oprávněné</w:t>
      </w:r>
      <w:r>
        <w:rPr>
          <w:color w:val="231F20"/>
          <w:spacing w:val="-23"/>
        </w:rPr>
        <w:t xml:space="preserve"> </w:t>
      </w:r>
      <w:r>
        <w:rPr>
          <w:color w:val="231F20"/>
        </w:rPr>
        <w:t>osoby</w:t>
      </w:r>
      <w:r>
        <w:rPr>
          <w:color w:val="231F20"/>
          <w:spacing w:val="-22"/>
        </w:rPr>
        <w:t xml:space="preserve"> </w:t>
      </w:r>
      <w:r>
        <w:rPr>
          <w:color w:val="231F20"/>
        </w:rPr>
        <w:t>mohou</w:t>
      </w:r>
      <w:r>
        <w:rPr>
          <w:color w:val="231F20"/>
          <w:spacing w:val="-23"/>
        </w:rPr>
        <w:t xml:space="preserve"> </w:t>
      </w:r>
      <w:r>
        <w:rPr>
          <w:color w:val="231F20"/>
        </w:rPr>
        <w:t>zavolat</w:t>
      </w:r>
      <w:r>
        <w:rPr>
          <w:color w:val="231F20"/>
          <w:spacing w:val="-22"/>
        </w:rPr>
        <w:t xml:space="preserve"> </w:t>
      </w:r>
      <w:r>
        <w:rPr>
          <w:color w:val="231F20"/>
        </w:rPr>
        <w:t>na</w:t>
      </w:r>
      <w:r>
        <w:rPr>
          <w:color w:val="231F20"/>
          <w:spacing w:val="-23"/>
        </w:rPr>
        <w:t xml:space="preserve"> </w:t>
      </w:r>
      <w:r>
        <w:rPr>
          <w:color w:val="231F20"/>
        </w:rPr>
        <w:t>linku</w:t>
      </w:r>
      <w:r>
        <w:rPr>
          <w:color w:val="231F20"/>
          <w:spacing w:val="-22"/>
        </w:rPr>
        <w:t xml:space="preserve"> </w:t>
      </w:r>
      <w:r>
        <w:rPr>
          <w:color w:val="231F20"/>
        </w:rPr>
        <w:t>poskytovatele</w:t>
      </w:r>
      <w:r>
        <w:rPr>
          <w:color w:val="231F20"/>
          <w:spacing w:val="-23"/>
        </w:rPr>
        <w:t xml:space="preserve"> </w:t>
      </w:r>
      <w:r>
        <w:rPr>
          <w:color w:val="231F20"/>
        </w:rPr>
        <w:t>asistence</w:t>
      </w:r>
      <w:r>
        <w:rPr>
          <w:color w:val="231F20"/>
          <w:spacing w:val="-22"/>
        </w:rPr>
        <w:t xml:space="preserve"> </w:t>
      </w:r>
      <w:r>
        <w:rPr>
          <w:color w:val="231F20"/>
        </w:rPr>
        <w:t>a</w:t>
      </w:r>
      <w:r>
        <w:rPr>
          <w:color w:val="231F20"/>
          <w:spacing w:val="-22"/>
        </w:rPr>
        <w:t xml:space="preserve"> </w:t>
      </w:r>
      <w:r>
        <w:rPr>
          <w:color w:val="231F20"/>
        </w:rPr>
        <w:t>zanechat vzkaz</w:t>
      </w:r>
      <w:r>
        <w:rPr>
          <w:color w:val="231F20"/>
          <w:spacing w:val="-7"/>
        </w:rPr>
        <w:t xml:space="preserve"> </w:t>
      </w:r>
      <w:r>
        <w:rPr>
          <w:color w:val="231F20"/>
        </w:rPr>
        <w:t>týkající</w:t>
      </w:r>
      <w:r>
        <w:rPr>
          <w:color w:val="231F20"/>
          <w:spacing w:val="-6"/>
        </w:rPr>
        <w:t xml:space="preserve"> </w:t>
      </w:r>
      <w:r>
        <w:rPr>
          <w:color w:val="231F20"/>
        </w:rPr>
        <w:t>se</w:t>
      </w:r>
      <w:r>
        <w:rPr>
          <w:color w:val="231F20"/>
          <w:spacing w:val="-6"/>
        </w:rPr>
        <w:t xml:space="preserve"> </w:t>
      </w:r>
      <w:r>
        <w:rPr>
          <w:color w:val="231F20"/>
        </w:rPr>
        <w:t>vzniklých</w:t>
      </w:r>
      <w:r>
        <w:rPr>
          <w:color w:val="231F20"/>
          <w:spacing w:val="-7"/>
        </w:rPr>
        <w:t xml:space="preserve"> </w:t>
      </w:r>
      <w:r>
        <w:rPr>
          <w:color w:val="231F20"/>
        </w:rPr>
        <w:t>potíží</w:t>
      </w:r>
      <w:r>
        <w:rPr>
          <w:color w:val="231F20"/>
          <w:spacing w:val="-6"/>
        </w:rPr>
        <w:t xml:space="preserve"> </w:t>
      </w:r>
      <w:r>
        <w:rPr>
          <w:color w:val="231F20"/>
        </w:rPr>
        <w:t>pro</w:t>
      </w:r>
      <w:r>
        <w:rPr>
          <w:color w:val="231F20"/>
          <w:spacing w:val="-6"/>
        </w:rPr>
        <w:t xml:space="preserve"> </w:t>
      </w:r>
      <w:r>
        <w:rPr>
          <w:color w:val="231F20"/>
        </w:rPr>
        <w:t>jimi</w:t>
      </w:r>
      <w:r>
        <w:rPr>
          <w:color w:val="231F20"/>
          <w:spacing w:val="-6"/>
        </w:rPr>
        <w:t xml:space="preserve"> </w:t>
      </w:r>
      <w:r>
        <w:rPr>
          <w:color w:val="231F20"/>
        </w:rPr>
        <w:t>určenou</w:t>
      </w:r>
      <w:r>
        <w:rPr>
          <w:color w:val="231F20"/>
          <w:spacing w:val="-7"/>
        </w:rPr>
        <w:t xml:space="preserve"> </w:t>
      </w:r>
      <w:r>
        <w:rPr>
          <w:color w:val="231F20"/>
        </w:rPr>
        <w:t>osobu).</w:t>
      </w:r>
      <w:r>
        <w:rPr>
          <w:color w:val="231F20"/>
          <w:spacing w:val="-6"/>
        </w:rPr>
        <w:t xml:space="preserve"> </w:t>
      </w:r>
      <w:r>
        <w:rPr>
          <w:color w:val="231F20"/>
        </w:rPr>
        <w:t>Pojišťovna,</w:t>
      </w:r>
      <w:r>
        <w:rPr>
          <w:color w:val="231F20"/>
          <w:spacing w:val="-6"/>
        </w:rPr>
        <w:t xml:space="preserve"> </w:t>
      </w:r>
      <w:r>
        <w:rPr>
          <w:color w:val="231F20"/>
        </w:rPr>
        <w:t>ani</w:t>
      </w:r>
      <w:r>
        <w:rPr>
          <w:color w:val="231F20"/>
          <w:spacing w:val="-6"/>
        </w:rPr>
        <w:t xml:space="preserve"> </w:t>
      </w:r>
      <w:r>
        <w:rPr>
          <w:color w:val="231F20"/>
          <w:spacing w:val="-4"/>
        </w:rPr>
        <w:t xml:space="preserve">její </w:t>
      </w:r>
      <w:r>
        <w:rPr>
          <w:color w:val="231F20"/>
        </w:rPr>
        <w:t>smluvní</w:t>
      </w:r>
      <w:r>
        <w:rPr>
          <w:color w:val="231F20"/>
          <w:spacing w:val="-31"/>
        </w:rPr>
        <w:t xml:space="preserve"> </w:t>
      </w:r>
      <w:r>
        <w:rPr>
          <w:color w:val="231F20"/>
        </w:rPr>
        <w:t>partner</w:t>
      </w:r>
      <w:r>
        <w:rPr>
          <w:color w:val="231F20"/>
          <w:spacing w:val="-30"/>
        </w:rPr>
        <w:t xml:space="preserve"> </w:t>
      </w:r>
      <w:r>
        <w:rPr>
          <w:color w:val="231F20"/>
        </w:rPr>
        <w:t>neodpovídají</w:t>
      </w:r>
      <w:r>
        <w:rPr>
          <w:color w:val="231F20"/>
          <w:spacing w:val="-31"/>
        </w:rPr>
        <w:t xml:space="preserve"> </w:t>
      </w:r>
      <w:r>
        <w:rPr>
          <w:color w:val="231F20"/>
        </w:rPr>
        <w:t>za</w:t>
      </w:r>
      <w:r>
        <w:rPr>
          <w:color w:val="231F20"/>
          <w:spacing w:val="-30"/>
        </w:rPr>
        <w:t xml:space="preserve"> </w:t>
      </w:r>
      <w:r>
        <w:rPr>
          <w:color w:val="231F20"/>
        </w:rPr>
        <w:t>škody</w:t>
      </w:r>
      <w:r>
        <w:rPr>
          <w:color w:val="231F20"/>
          <w:spacing w:val="-30"/>
        </w:rPr>
        <w:t xml:space="preserve"> </w:t>
      </w:r>
      <w:r>
        <w:rPr>
          <w:color w:val="231F20"/>
        </w:rPr>
        <w:t>vzniklé</w:t>
      </w:r>
      <w:r>
        <w:rPr>
          <w:color w:val="231F20"/>
          <w:spacing w:val="-31"/>
        </w:rPr>
        <w:t xml:space="preserve"> </w:t>
      </w:r>
      <w:r>
        <w:rPr>
          <w:color w:val="231F20"/>
        </w:rPr>
        <w:t>v</w:t>
      </w:r>
      <w:r>
        <w:rPr>
          <w:color w:val="231F20"/>
          <w:spacing w:val="-30"/>
        </w:rPr>
        <w:t xml:space="preserve"> </w:t>
      </w:r>
      <w:r>
        <w:rPr>
          <w:color w:val="231F20"/>
        </w:rPr>
        <w:t>důsledku</w:t>
      </w:r>
      <w:r>
        <w:rPr>
          <w:color w:val="231F20"/>
          <w:spacing w:val="-30"/>
        </w:rPr>
        <w:t xml:space="preserve"> </w:t>
      </w:r>
      <w:r>
        <w:rPr>
          <w:color w:val="231F20"/>
        </w:rPr>
        <w:t>nemožnosti</w:t>
      </w:r>
      <w:r>
        <w:rPr>
          <w:color w:val="231F20"/>
          <w:spacing w:val="-31"/>
        </w:rPr>
        <w:t xml:space="preserve"> </w:t>
      </w:r>
      <w:r>
        <w:rPr>
          <w:color w:val="231F20"/>
        </w:rPr>
        <w:t>doručení vzkazu;</w:t>
      </w:r>
      <w:r>
        <w:rPr>
          <w:color w:val="231F20"/>
          <w:spacing w:val="-8"/>
        </w:rPr>
        <w:t xml:space="preserve"> </w:t>
      </w:r>
      <w:r>
        <w:rPr>
          <w:color w:val="231F20"/>
        </w:rPr>
        <w:t>v</w:t>
      </w:r>
      <w:r>
        <w:rPr>
          <w:color w:val="231F20"/>
          <w:spacing w:val="-8"/>
        </w:rPr>
        <w:t xml:space="preserve"> </w:t>
      </w:r>
      <w:r>
        <w:rPr>
          <w:color w:val="231F20"/>
        </w:rPr>
        <w:t>takovém</w:t>
      </w:r>
      <w:r>
        <w:rPr>
          <w:color w:val="231F20"/>
          <w:spacing w:val="-7"/>
        </w:rPr>
        <w:t xml:space="preserve"> </w:t>
      </w:r>
      <w:r>
        <w:rPr>
          <w:color w:val="231F20"/>
        </w:rPr>
        <w:t>případě</w:t>
      </w:r>
      <w:r>
        <w:rPr>
          <w:color w:val="231F20"/>
          <w:spacing w:val="-8"/>
        </w:rPr>
        <w:t xml:space="preserve"> </w:t>
      </w:r>
      <w:r>
        <w:rPr>
          <w:color w:val="231F20"/>
        </w:rPr>
        <w:t>je</w:t>
      </w:r>
      <w:r>
        <w:rPr>
          <w:color w:val="231F20"/>
          <w:spacing w:val="-8"/>
        </w:rPr>
        <w:t xml:space="preserve"> </w:t>
      </w:r>
      <w:r>
        <w:rPr>
          <w:color w:val="231F20"/>
        </w:rPr>
        <w:t>však</w:t>
      </w:r>
      <w:r>
        <w:rPr>
          <w:color w:val="231F20"/>
          <w:spacing w:val="-7"/>
        </w:rPr>
        <w:t xml:space="preserve"> </w:t>
      </w:r>
      <w:r>
        <w:rPr>
          <w:color w:val="231F20"/>
        </w:rPr>
        <w:t>Pojišťovna,</w:t>
      </w:r>
      <w:r>
        <w:rPr>
          <w:color w:val="231F20"/>
          <w:spacing w:val="-8"/>
        </w:rPr>
        <w:t xml:space="preserve"> </w:t>
      </w:r>
      <w:r>
        <w:rPr>
          <w:color w:val="231F20"/>
        </w:rPr>
        <w:t>resp.</w:t>
      </w:r>
      <w:r>
        <w:rPr>
          <w:color w:val="231F20"/>
          <w:spacing w:val="-8"/>
        </w:rPr>
        <w:t xml:space="preserve"> </w:t>
      </w:r>
      <w:r>
        <w:rPr>
          <w:color w:val="231F20"/>
        </w:rPr>
        <w:t>poskytovatel</w:t>
      </w:r>
      <w:r>
        <w:rPr>
          <w:color w:val="231F20"/>
          <w:spacing w:val="-7"/>
        </w:rPr>
        <w:t xml:space="preserve"> </w:t>
      </w:r>
      <w:r>
        <w:rPr>
          <w:color w:val="231F20"/>
        </w:rPr>
        <w:t>asistence, povinna</w:t>
      </w:r>
      <w:r>
        <w:rPr>
          <w:color w:val="231F20"/>
          <w:spacing w:val="-5"/>
        </w:rPr>
        <w:t xml:space="preserve"> </w:t>
      </w:r>
      <w:r>
        <w:rPr>
          <w:color w:val="231F20"/>
        </w:rPr>
        <w:t>oprávněnou</w:t>
      </w:r>
      <w:r>
        <w:rPr>
          <w:color w:val="231F20"/>
          <w:spacing w:val="-5"/>
        </w:rPr>
        <w:t xml:space="preserve"> </w:t>
      </w:r>
      <w:r>
        <w:rPr>
          <w:color w:val="231F20"/>
        </w:rPr>
        <w:t>osobu</w:t>
      </w:r>
      <w:r>
        <w:rPr>
          <w:color w:val="231F20"/>
          <w:spacing w:val="-5"/>
        </w:rPr>
        <w:t xml:space="preserve"> </w:t>
      </w:r>
      <w:r>
        <w:rPr>
          <w:color w:val="231F20"/>
        </w:rPr>
        <w:t>upozornit</w:t>
      </w:r>
      <w:r>
        <w:rPr>
          <w:color w:val="231F20"/>
          <w:spacing w:val="-5"/>
        </w:rPr>
        <w:t xml:space="preserve"> </w:t>
      </w:r>
      <w:r>
        <w:rPr>
          <w:color w:val="231F20"/>
        </w:rPr>
        <w:t>na</w:t>
      </w:r>
      <w:r>
        <w:rPr>
          <w:color w:val="231F20"/>
          <w:spacing w:val="-4"/>
        </w:rPr>
        <w:t xml:space="preserve"> </w:t>
      </w:r>
      <w:r>
        <w:rPr>
          <w:color w:val="231F20"/>
        </w:rPr>
        <w:t>nemožnost</w:t>
      </w:r>
      <w:r>
        <w:rPr>
          <w:color w:val="231F20"/>
          <w:spacing w:val="-5"/>
        </w:rPr>
        <w:t xml:space="preserve"> </w:t>
      </w:r>
      <w:r>
        <w:rPr>
          <w:color w:val="231F20"/>
        </w:rPr>
        <w:t>vzkaz</w:t>
      </w:r>
      <w:r>
        <w:rPr>
          <w:color w:val="231F20"/>
          <w:spacing w:val="-5"/>
        </w:rPr>
        <w:t xml:space="preserve"> </w:t>
      </w:r>
      <w:r>
        <w:rPr>
          <w:color w:val="231F20"/>
        </w:rPr>
        <w:t>předat.</w:t>
      </w:r>
    </w:p>
    <w:p w14:paraId="1BB998F7" w14:textId="77777777" w:rsidR="00F65BCA" w:rsidRDefault="00216117">
      <w:pPr>
        <w:pStyle w:val="Zkladntext"/>
        <w:spacing w:line="278" w:lineRule="auto"/>
        <w:ind w:left="467" w:right="424" w:hanging="283"/>
        <w:jc w:val="both"/>
      </w:pPr>
      <w:r>
        <w:rPr>
          <w:color w:val="231F20"/>
          <w:spacing w:val="-22"/>
          <w:position w:val="1"/>
          <w:sz w:val="14"/>
          <w:shd w:val="clear" w:color="auto" w:fill="D1D3D4"/>
        </w:rPr>
        <w:t xml:space="preserve"> </w:t>
      </w:r>
      <w:r>
        <w:rPr>
          <w:color w:val="231F20"/>
          <w:position w:val="1"/>
          <w:sz w:val="14"/>
          <w:shd w:val="clear" w:color="auto" w:fill="D1D3D4"/>
        </w:rPr>
        <w:t>14</w:t>
      </w:r>
      <w:r>
        <w:rPr>
          <w:color w:val="231F20"/>
          <w:position w:val="1"/>
          <w:sz w:val="14"/>
        </w:rPr>
        <w:t xml:space="preserve"> </w:t>
      </w:r>
      <w:r>
        <w:rPr>
          <w:color w:val="231F20"/>
        </w:rPr>
        <w:t>Přeložení nákladu je služba, která obsahuje vyložení nákladu z pojištěného vozidla a naložení nákladu na jiné vozidlo. Jakékoli další náklady spojené  s</w:t>
      </w:r>
      <w:r>
        <w:rPr>
          <w:color w:val="231F20"/>
          <w:spacing w:val="-23"/>
        </w:rPr>
        <w:t xml:space="preserve"> </w:t>
      </w:r>
      <w:r>
        <w:rPr>
          <w:color w:val="231F20"/>
        </w:rPr>
        <w:t>přeložením</w:t>
      </w:r>
      <w:r>
        <w:rPr>
          <w:color w:val="231F20"/>
          <w:spacing w:val="-22"/>
        </w:rPr>
        <w:t xml:space="preserve"> </w:t>
      </w:r>
      <w:r>
        <w:rPr>
          <w:color w:val="231F20"/>
        </w:rPr>
        <w:t>nákladu</w:t>
      </w:r>
      <w:r>
        <w:rPr>
          <w:color w:val="231F20"/>
          <w:spacing w:val="-22"/>
        </w:rPr>
        <w:t xml:space="preserve"> </w:t>
      </w:r>
      <w:r>
        <w:rPr>
          <w:color w:val="231F20"/>
        </w:rPr>
        <w:t>(vyložení</w:t>
      </w:r>
      <w:r>
        <w:rPr>
          <w:color w:val="231F20"/>
          <w:spacing w:val="-22"/>
        </w:rPr>
        <w:t xml:space="preserve"> </w:t>
      </w:r>
      <w:r>
        <w:rPr>
          <w:color w:val="231F20"/>
        </w:rPr>
        <w:t>nákladu</w:t>
      </w:r>
      <w:r>
        <w:rPr>
          <w:color w:val="231F20"/>
          <w:spacing w:val="-22"/>
        </w:rPr>
        <w:t xml:space="preserve"> </w:t>
      </w:r>
      <w:r>
        <w:rPr>
          <w:color w:val="231F20"/>
        </w:rPr>
        <w:t>v</w:t>
      </w:r>
      <w:r>
        <w:rPr>
          <w:color w:val="231F20"/>
          <w:spacing w:val="-22"/>
        </w:rPr>
        <w:t xml:space="preserve"> </w:t>
      </w:r>
      <w:r>
        <w:rPr>
          <w:color w:val="231F20"/>
        </w:rPr>
        <w:t>místě</w:t>
      </w:r>
      <w:r>
        <w:rPr>
          <w:color w:val="231F20"/>
          <w:spacing w:val="-23"/>
        </w:rPr>
        <w:t xml:space="preserve"> </w:t>
      </w:r>
      <w:r>
        <w:rPr>
          <w:color w:val="231F20"/>
        </w:rPr>
        <w:t>určení,</w:t>
      </w:r>
      <w:r>
        <w:rPr>
          <w:color w:val="231F20"/>
          <w:spacing w:val="-22"/>
        </w:rPr>
        <w:t xml:space="preserve"> </w:t>
      </w:r>
      <w:r>
        <w:rPr>
          <w:color w:val="231F20"/>
        </w:rPr>
        <w:t>skladné</w:t>
      </w:r>
      <w:r>
        <w:rPr>
          <w:color w:val="231F20"/>
          <w:spacing w:val="-22"/>
        </w:rPr>
        <w:t xml:space="preserve"> </w:t>
      </w:r>
      <w:r>
        <w:rPr>
          <w:color w:val="231F20"/>
        </w:rPr>
        <w:t>apod.),</w:t>
      </w:r>
      <w:r>
        <w:rPr>
          <w:color w:val="231F20"/>
          <w:spacing w:val="-22"/>
        </w:rPr>
        <w:t xml:space="preserve"> </w:t>
      </w:r>
      <w:r>
        <w:rPr>
          <w:color w:val="231F20"/>
        </w:rPr>
        <w:t>nejsou předmětem pojistného</w:t>
      </w:r>
      <w:r>
        <w:rPr>
          <w:color w:val="231F20"/>
          <w:spacing w:val="-2"/>
        </w:rPr>
        <w:t xml:space="preserve"> </w:t>
      </w:r>
      <w:r>
        <w:rPr>
          <w:color w:val="231F20"/>
        </w:rPr>
        <w:t>plnění.</w:t>
      </w:r>
    </w:p>
    <w:p w14:paraId="3A2E0742" w14:textId="77777777" w:rsidR="00F65BCA" w:rsidRDefault="00216117">
      <w:pPr>
        <w:pStyle w:val="Zkladntext"/>
        <w:spacing w:line="278" w:lineRule="auto"/>
        <w:ind w:left="467" w:right="424" w:hanging="283"/>
        <w:jc w:val="both"/>
      </w:pPr>
      <w:r>
        <w:rPr>
          <w:color w:val="231F20"/>
          <w:spacing w:val="-22"/>
          <w:position w:val="1"/>
          <w:sz w:val="14"/>
          <w:shd w:val="clear" w:color="auto" w:fill="D1D3D4"/>
        </w:rPr>
        <w:t xml:space="preserve"> </w:t>
      </w:r>
      <w:r>
        <w:rPr>
          <w:color w:val="231F20"/>
          <w:position w:val="1"/>
          <w:sz w:val="14"/>
          <w:shd w:val="clear" w:color="auto" w:fill="D1D3D4"/>
        </w:rPr>
        <w:t>15</w:t>
      </w:r>
      <w:r>
        <w:rPr>
          <w:color w:val="231F20"/>
          <w:position w:val="1"/>
          <w:sz w:val="14"/>
        </w:rPr>
        <w:t xml:space="preserve"> </w:t>
      </w:r>
      <w:r>
        <w:rPr>
          <w:color w:val="231F20"/>
        </w:rPr>
        <w:t>Přeprava řidiče pro opravené vozidlo je služba, která obsahuje úhradu ná- kladů za přepravu jedné osoby způsobilé řídit pojištěné vozidlo</w:t>
      </w:r>
      <w:r>
        <w:rPr>
          <w:color w:val="231F20"/>
          <w:spacing w:val="-24"/>
        </w:rPr>
        <w:t xml:space="preserve"> </w:t>
      </w:r>
      <w:r>
        <w:rPr>
          <w:color w:val="231F20"/>
          <w:spacing w:val="-3"/>
        </w:rPr>
        <w:t xml:space="preserve">prostředkem </w:t>
      </w:r>
      <w:r>
        <w:rPr>
          <w:color w:val="231F20"/>
        </w:rPr>
        <w:t xml:space="preserve">veřejné dopravy z místa bydliště, nebo místa pobytu do servisu, ve </w:t>
      </w:r>
      <w:r>
        <w:rPr>
          <w:color w:val="231F20"/>
          <w:spacing w:val="-4"/>
        </w:rPr>
        <w:t xml:space="preserve">kterém </w:t>
      </w:r>
      <w:r>
        <w:rPr>
          <w:color w:val="231F20"/>
        </w:rPr>
        <w:t>je</w:t>
      </w:r>
      <w:r>
        <w:rPr>
          <w:color w:val="231F20"/>
          <w:spacing w:val="-11"/>
        </w:rPr>
        <w:t xml:space="preserve"> </w:t>
      </w:r>
      <w:r>
        <w:rPr>
          <w:color w:val="231F20"/>
        </w:rPr>
        <w:t>pojištěné</w:t>
      </w:r>
      <w:r>
        <w:rPr>
          <w:color w:val="231F20"/>
          <w:spacing w:val="-11"/>
        </w:rPr>
        <w:t xml:space="preserve"> </w:t>
      </w:r>
      <w:r>
        <w:rPr>
          <w:color w:val="231F20"/>
        </w:rPr>
        <w:t>vozidlo</w:t>
      </w:r>
      <w:r>
        <w:rPr>
          <w:color w:val="231F20"/>
          <w:spacing w:val="-10"/>
        </w:rPr>
        <w:t xml:space="preserve"> </w:t>
      </w:r>
      <w:r>
        <w:rPr>
          <w:color w:val="231F20"/>
        </w:rPr>
        <w:t>opravováno,</w:t>
      </w:r>
      <w:r>
        <w:rPr>
          <w:color w:val="231F20"/>
          <w:spacing w:val="-11"/>
        </w:rPr>
        <w:t xml:space="preserve"> </w:t>
      </w:r>
      <w:r>
        <w:rPr>
          <w:color w:val="231F20"/>
        </w:rPr>
        <w:t>za</w:t>
      </w:r>
      <w:r>
        <w:rPr>
          <w:color w:val="231F20"/>
          <w:spacing w:val="-10"/>
        </w:rPr>
        <w:t xml:space="preserve"> </w:t>
      </w:r>
      <w:r>
        <w:rPr>
          <w:color w:val="231F20"/>
        </w:rPr>
        <w:t>účelem</w:t>
      </w:r>
      <w:r>
        <w:rPr>
          <w:color w:val="231F20"/>
          <w:spacing w:val="-11"/>
        </w:rPr>
        <w:t xml:space="preserve"> </w:t>
      </w:r>
      <w:r>
        <w:rPr>
          <w:color w:val="231F20"/>
        </w:rPr>
        <w:t>převzetí</w:t>
      </w:r>
      <w:r>
        <w:rPr>
          <w:color w:val="231F20"/>
          <w:spacing w:val="-10"/>
        </w:rPr>
        <w:t xml:space="preserve"> </w:t>
      </w:r>
      <w:r>
        <w:rPr>
          <w:color w:val="231F20"/>
        </w:rPr>
        <w:t>opraveného</w:t>
      </w:r>
      <w:r>
        <w:rPr>
          <w:color w:val="231F20"/>
          <w:spacing w:val="-11"/>
        </w:rPr>
        <w:t xml:space="preserve"> </w:t>
      </w:r>
      <w:r>
        <w:rPr>
          <w:color w:val="231F20"/>
        </w:rPr>
        <w:t>vozidla.</w:t>
      </w:r>
      <w:r>
        <w:rPr>
          <w:color w:val="231F20"/>
          <w:spacing w:val="-10"/>
        </w:rPr>
        <w:t xml:space="preserve"> </w:t>
      </w:r>
      <w:r>
        <w:rPr>
          <w:color w:val="231F20"/>
          <w:spacing w:val="-6"/>
        </w:rPr>
        <w:t xml:space="preserve">Po- </w:t>
      </w:r>
      <w:r>
        <w:rPr>
          <w:color w:val="231F20"/>
        </w:rPr>
        <w:t xml:space="preserve">skytována je přeprava vlakem, autobusem, letadlem a vozem taxi. </w:t>
      </w:r>
      <w:r>
        <w:rPr>
          <w:color w:val="231F20"/>
          <w:spacing w:val="-3"/>
        </w:rPr>
        <w:t xml:space="preserve">Doprava </w:t>
      </w:r>
      <w:r>
        <w:rPr>
          <w:color w:val="231F20"/>
        </w:rPr>
        <w:t>letadlem</w:t>
      </w:r>
      <w:r>
        <w:rPr>
          <w:color w:val="231F20"/>
          <w:spacing w:val="-10"/>
        </w:rPr>
        <w:t xml:space="preserve"> </w:t>
      </w:r>
      <w:r>
        <w:rPr>
          <w:color w:val="231F20"/>
        </w:rPr>
        <w:t>je</w:t>
      </w:r>
      <w:r>
        <w:rPr>
          <w:color w:val="231F20"/>
          <w:spacing w:val="-9"/>
        </w:rPr>
        <w:t xml:space="preserve"> </w:t>
      </w:r>
      <w:r>
        <w:rPr>
          <w:color w:val="231F20"/>
        </w:rPr>
        <w:t>poskytována</w:t>
      </w:r>
      <w:r>
        <w:rPr>
          <w:color w:val="231F20"/>
          <w:spacing w:val="-9"/>
        </w:rPr>
        <w:t xml:space="preserve"> </w:t>
      </w:r>
      <w:r>
        <w:rPr>
          <w:color w:val="231F20"/>
        </w:rPr>
        <w:t>jen</w:t>
      </w:r>
      <w:r>
        <w:rPr>
          <w:color w:val="231F20"/>
          <w:spacing w:val="-9"/>
        </w:rPr>
        <w:t xml:space="preserve"> </w:t>
      </w:r>
      <w:r>
        <w:rPr>
          <w:color w:val="231F20"/>
          <w:spacing w:val="-3"/>
        </w:rPr>
        <w:t>tehdy,</w:t>
      </w:r>
      <w:r>
        <w:rPr>
          <w:color w:val="231F20"/>
          <w:spacing w:val="-9"/>
        </w:rPr>
        <w:t xml:space="preserve"> </w:t>
      </w:r>
      <w:r>
        <w:rPr>
          <w:color w:val="231F20"/>
        </w:rPr>
        <w:t>pokud</w:t>
      </w:r>
      <w:r>
        <w:rPr>
          <w:color w:val="231F20"/>
          <w:spacing w:val="-9"/>
        </w:rPr>
        <w:t xml:space="preserve"> </w:t>
      </w:r>
      <w:r>
        <w:rPr>
          <w:color w:val="231F20"/>
        </w:rPr>
        <w:t>by</w:t>
      </w:r>
      <w:r>
        <w:rPr>
          <w:color w:val="231F20"/>
          <w:spacing w:val="-9"/>
        </w:rPr>
        <w:t xml:space="preserve"> </w:t>
      </w:r>
      <w:r>
        <w:rPr>
          <w:color w:val="231F20"/>
        </w:rPr>
        <w:t>doba</w:t>
      </w:r>
      <w:r>
        <w:rPr>
          <w:color w:val="231F20"/>
          <w:spacing w:val="-9"/>
        </w:rPr>
        <w:t xml:space="preserve"> </w:t>
      </w:r>
      <w:r>
        <w:rPr>
          <w:color w:val="231F20"/>
        </w:rPr>
        <w:t>přepravy</w:t>
      </w:r>
      <w:r>
        <w:rPr>
          <w:color w:val="231F20"/>
          <w:spacing w:val="-9"/>
        </w:rPr>
        <w:t xml:space="preserve"> </w:t>
      </w:r>
      <w:r>
        <w:rPr>
          <w:color w:val="231F20"/>
        </w:rPr>
        <w:t>jiným</w:t>
      </w:r>
      <w:r>
        <w:rPr>
          <w:color w:val="231F20"/>
          <w:spacing w:val="-10"/>
        </w:rPr>
        <w:t xml:space="preserve"> </w:t>
      </w:r>
      <w:r>
        <w:rPr>
          <w:color w:val="231F20"/>
        </w:rPr>
        <w:t>dopravním prostředkem překročila 8 hodin. Přeprava vozem taxi je poskytována jen</w:t>
      </w:r>
      <w:r>
        <w:rPr>
          <w:color w:val="231F20"/>
          <w:spacing w:val="-17"/>
        </w:rPr>
        <w:t xml:space="preserve"> </w:t>
      </w:r>
      <w:r>
        <w:rPr>
          <w:color w:val="231F20"/>
        </w:rPr>
        <w:t>do vzdálenosti</w:t>
      </w:r>
      <w:r>
        <w:rPr>
          <w:color w:val="231F20"/>
          <w:spacing w:val="-22"/>
        </w:rPr>
        <w:t xml:space="preserve"> </w:t>
      </w:r>
      <w:r>
        <w:rPr>
          <w:color w:val="231F20"/>
        </w:rPr>
        <w:t>nejvýše</w:t>
      </w:r>
      <w:r>
        <w:rPr>
          <w:color w:val="231F20"/>
          <w:spacing w:val="-22"/>
        </w:rPr>
        <w:t xml:space="preserve"> </w:t>
      </w:r>
      <w:r>
        <w:rPr>
          <w:color w:val="231F20"/>
        </w:rPr>
        <w:t>50</w:t>
      </w:r>
      <w:r>
        <w:rPr>
          <w:color w:val="231F20"/>
          <w:spacing w:val="-21"/>
        </w:rPr>
        <w:t xml:space="preserve"> </w:t>
      </w:r>
      <w:r>
        <w:rPr>
          <w:color w:val="231F20"/>
        </w:rPr>
        <w:t>km.</w:t>
      </w:r>
      <w:r>
        <w:rPr>
          <w:color w:val="231F20"/>
          <w:spacing w:val="-22"/>
        </w:rPr>
        <w:t xml:space="preserve"> </w:t>
      </w:r>
      <w:r>
        <w:rPr>
          <w:color w:val="231F20"/>
        </w:rPr>
        <w:t>Přeprava</w:t>
      </w:r>
      <w:r>
        <w:rPr>
          <w:color w:val="231F20"/>
          <w:spacing w:val="-21"/>
        </w:rPr>
        <w:t xml:space="preserve"> </w:t>
      </w:r>
      <w:r>
        <w:rPr>
          <w:color w:val="231F20"/>
        </w:rPr>
        <w:t>řidiče</w:t>
      </w:r>
      <w:r>
        <w:rPr>
          <w:color w:val="231F20"/>
          <w:spacing w:val="-22"/>
        </w:rPr>
        <w:t xml:space="preserve"> </w:t>
      </w:r>
      <w:r>
        <w:rPr>
          <w:color w:val="231F20"/>
        </w:rPr>
        <w:t>pro</w:t>
      </w:r>
      <w:r>
        <w:rPr>
          <w:color w:val="231F20"/>
          <w:spacing w:val="-21"/>
        </w:rPr>
        <w:t xml:space="preserve"> </w:t>
      </w:r>
      <w:r>
        <w:rPr>
          <w:color w:val="231F20"/>
        </w:rPr>
        <w:t>opravené</w:t>
      </w:r>
      <w:r>
        <w:rPr>
          <w:color w:val="231F20"/>
          <w:spacing w:val="-22"/>
        </w:rPr>
        <w:t xml:space="preserve"> </w:t>
      </w:r>
      <w:r>
        <w:rPr>
          <w:color w:val="231F20"/>
        </w:rPr>
        <w:t>vozidlo</w:t>
      </w:r>
      <w:r>
        <w:rPr>
          <w:color w:val="231F20"/>
          <w:spacing w:val="-22"/>
        </w:rPr>
        <w:t xml:space="preserve"> </w:t>
      </w:r>
      <w:r>
        <w:rPr>
          <w:color w:val="231F20"/>
        </w:rPr>
        <w:t>je</w:t>
      </w:r>
      <w:r>
        <w:rPr>
          <w:color w:val="231F20"/>
          <w:spacing w:val="-21"/>
        </w:rPr>
        <w:t xml:space="preserve"> </w:t>
      </w:r>
      <w:r>
        <w:rPr>
          <w:color w:val="231F20"/>
        </w:rPr>
        <w:t>poskytová- na</w:t>
      </w:r>
      <w:r>
        <w:rPr>
          <w:color w:val="231F20"/>
          <w:spacing w:val="-5"/>
        </w:rPr>
        <w:t xml:space="preserve"> </w:t>
      </w:r>
      <w:r>
        <w:rPr>
          <w:color w:val="231F20"/>
        </w:rPr>
        <w:t>jen</w:t>
      </w:r>
      <w:r>
        <w:rPr>
          <w:color w:val="231F20"/>
          <w:spacing w:val="-5"/>
        </w:rPr>
        <w:t xml:space="preserve"> </w:t>
      </w:r>
      <w:r>
        <w:rPr>
          <w:color w:val="231F20"/>
          <w:spacing w:val="-3"/>
        </w:rPr>
        <w:t>tehdy,</w:t>
      </w:r>
      <w:r>
        <w:rPr>
          <w:color w:val="231F20"/>
          <w:spacing w:val="-5"/>
        </w:rPr>
        <w:t xml:space="preserve"> </w:t>
      </w:r>
      <w:r>
        <w:rPr>
          <w:color w:val="231F20"/>
        </w:rPr>
        <w:t>pokud</w:t>
      </w:r>
      <w:r>
        <w:rPr>
          <w:color w:val="231F20"/>
          <w:spacing w:val="-5"/>
        </w:rPr>
        <w:t xml:space="preserve"> </w:t>
      </w:r>
      <w:r>
        <w:rPr>
          <w:color w:val="231F20"/>
        </w:rPr>
        <w:t>pojištěné</w:t>
      </w:r>
      <w:r>
        <w:rPr>
          <w:color w:val="231F20"/>
          <w:spacing w:val="-5"/>
        </w:rPr>
        <w:t xml:space="preserve"> </w:t>
      </w:r>
      <w:r>
        <w:rPr>
          <w:color w:val="231F20"/>
        </w:rPr>
        <w:t>vozidlo</w:t>
      </w:r>
      <w:r>
        <w:rPr>
          <w:color w:val="231F20"/>
          <w:spacing w:val="-5"/>
        </w:rPr>
        <w:t xml:space="preserve"> </w:t>
      </w:r>
      <w:r>
        <w:rPr>
          <w:color w:val="231F20"/>
        </w:rPr>
        <w:t>není</w:t>
      </w:r>
      <w:r>
        <w:rPr>
          <w:color w:val="231F20"/>
          <w:spacing w:val="-4"/>
        </w:rPr>
        <w:t xml:space="preserve"> </w:t>
      </w:r>
      <w:r>
        <w:rPr>
          <w:color w:val="231F20"/>
        </w:rPr>
        <w:t>možné</w:t>
      </w:r>
      <w:r>
        <w:rPr>
          <w:color w:val="231F20"/>
          <w:spacing w:val="-5"/>
        </w:rPr>
        <w:t xml:space="preserve"> </w:t>
      </w:r>
      <w:r>
        <w:rPr>
          <w:color w:val="231F20"/>
        </w:rPr>
        <w:t>uvést</w:t>
      </w:r>
      <w:r>
        <w:rPr>
          <w:color w:val="231F20"/>
          <w:spacing w:val="-5"/>
        </w:rPr>
        <w:t xml:space="preserve"> </w:t>
      </w:r>
      <w:r>
        <w:rPr>
          <w:color w:val="231F20"/>
        </w:rPr>
        <w:t>do</w:t>
      </w:r>
      <w:r>
        <w:rPr>
          <w:color w:val="231F20"/>
          <w:spacing w:val="-5"/>
        </w:rPr>
        <w:t xml:space="preserve"> </w:t>
      </w:r>
      <w:r>
        <w:rPr>
          <w:color w:val="231F20"/>
        </w:rPr>
        <w:t>pojízdného</w:t>
      </w:r>
      <w:r>
        <w:rPr>
          <w:color w:val="231F20"/>
          <w:spacing w:val="-5"/>
        </w:rPr>
        <w:t xml:space="preserve"> </w:t>
      </w:r>
      <w:r>
        <w:rPr>
          <w:color w:val="231F20"/>
          <w:spacing w:val="-4"/>
        </w:rPr>
        <w:t xml:space="preserve">stavu </w:t>
      </w:r>
      <w:r>
        <w:rPr>
          <w:color w:val="231F20"/>
        </w:rPr>
        <w:t xml:space="preserve">do 12 hodin od nahlášení pojistné události poskytovateli asistence. O </w:t>
      </w:r>
      <w:r>
        <w:rPr>
          <w:color w:val="231F20"/>
          <w:spacing w:val="-4"/>
        </w:rPr>
        <w:t xml:space="preserve">volbě </w:t>
      </w:r>
      <w:r>
        <w:rPr>
          <w:color w:val="231F20"/>
        </w:rPr>
        <w:t>druhu dopravního prostředku rozhoduje poskytovatel asistence. Přepravu řidiče nelze kombinovat s odtahem vozidla v České republice do místa ur- čeného</w:t>
      </w:r>
      <w:r>
        <w:rPr>
          <w:color w:val="231F20"/>
          <w:spacing w:val="-16"/>
        </w:rPr>
        <w:t xml:space="preserve"> </w:t>
      </w:r>
      <w:r>
        <w:rPr>
          <w:color w:val="231F20"/>
        </w:rPr>
        <w:t>klientem</w:t>
      </w:r>
      <w:r>
        <w:rPr>
          <w:color w:val="231F20"/>
          <w:spacing w:val="-16"/>
        </w:rPr>
        <w:t xml:space="preserve"> </w:t>
      </w:r>
      <w:r>
        <w:rPr>
          <w:color w:val="231F20"/>
        </w:rPr>
        <w:t>a</w:t>
      </w:r>
      <w:r>
        <w:rPr>
          <w:color w:val="231F20"/>
          <w:spacing w:val="-15"/>
        </w:rPr>
        <w:t xml:space="preserve"> </w:t>
      </w:r>
      <w:r>
        <w:rPr>
          <w:color w:val="231F20"/>
        </w:rPr>
        <w:t>repatriací</w:t>
      </w:r>
      <w:r>
        <w:rPr>
          <w:color w:val="231F20"/>
          <w:spacing w:val="-16"/>
        </w:rPr>
        <w:t xml:space="preserve"> </w:t>
      </w:r>
      <w:r>
        <w:rPr>
          <w:color w:val="231F20"/>
        </w:rPr>
        <w:t>vozidla</w:t>
      </w:r>
      <w:r>
        <w:rPr>
          <w:color w:val="231F20"/>
          <w:spacing w:val="-15"/>
        </w:rPr>
        <w:t xml:space="preserve"> </w:t>
      </w:r>
      <w:r>
        <w:rPr>
          <w:color w:val="231F20"/>
        </w:rPr>
        <w:t>ze</w:t>
      </w:r>
      <w:r>
        <w:rPr>
          <w:color w:val="231F20"/>
          <w:spacing w:val="-16"/>
        </w:rPr>
        <w:t xml:space="preserve"> </w:t>
      </w:r>
      <w:r>
        <w:rPr>
          <w:color w:val="231F20"/>
        </w:rPr>
        <w:t>zahraničí,</w:t>
      </w:r>
      <w:r>
        <w:rPr>
          <w:color w:val="231F20"/>
          <w:spacing w:val="-15"/>
        </w:rPr>
        <w:t xml:space="preserve"> </w:t>
      </w:r>
      <w:r>
        <w:rPr>
          <w:color w:val="231F20"/>
        </w:rPr>
        <w:t>nerozhodne-li</w:t>
      </w:r>
      <w:r>
        <w:rPr>
          <w:color w:val="231F20"/>
          <w:spacing w:val="-16"/>
        </w:rPr>
        <w:t xml:space="preserve"> </w:t>
      </w:r>
      <w:r>
        <w:rPr>
          <w:color w:val="231F20"/>
        </w:rPr>
        <w:t>poskytovatel asistence</w:t>
      </w:r>
      <w:r>
        <w:rPr>
          <w:color w:val="231F20"/>
          <w:spacing w:val="-1"/>
        </w:rPr>
        <w:t xml:space="preserve"> </w:t>
      </w:r>
      <w:r>
        <w:rPr>
          <w:color w:val="231F20"/>
        </w:rPr>
        <w:t>jinak.</w:t>
      </w:r>
    </w:p>
    <w:p w14:paraId="12D94C6A" w14:textId="77777777" w:rsidR="00F65BCA" w:rsidRDefault="00216117">
      <w:pPr>
        <w:pStyle w:val="Zkladntext"/>
        <w:spacing w:line="278" w:lineRule="auto"/>
        <w:ind w:left="467" w:right="424" w:hanging="283"/>
        <w:jc w:val="both"/>
      </w:pPr>
      <w:r>
        <w:rPr>
          <w:color w:val="231F20"/>
          <w:spacing w:val="-22"/>
          <w:position w:val="1"/>
          <w:sz w:val="14"/>
          <w:shd w:val="clear" w:color="auto" w:fill="D1D3D4"/>
        </w:rPr>
        <w:t xml:space="preserve"> </w:t>
      </w:r>
      <w:r>
        <w:rPr>
          <w:color w:val="231F20"/>
          <w:position w:val="1"/>
          <w:sz w:val="14"/>
          <w:shd w:val="clear" w:color="auto" w:fill="D1D3D4"/>
        </w:rPr>
        <w:t>16</w:t>
      </w:r>
      <w:r>
        <w:rPr>
          <w:color w:val="231F20"/>
          <w:position w:val="1"/>
          <w:sz w:val="14"/>
        </w:rPr>
        <w:t xml:space="preserve"> </w:t>
      </w:r>
      <w:r>
        <w:rPr>
          <w:color w:val="231F20"/>
        </w:rPr>
        <w:t xml:space="preserve">Příjezd a práce mechanika je služba, která obsahuje příjezd asistenčního vozidla na místo pojistné události a jeho odjezd, práci mechanika nutnou   k odstranění závady na pojištěném vozidle na místě pojistné události po dobu uvedenou pro jednotlivé </w:t>
      </w:r>
      <w:r>
        <w:rPr>
          <w:color w:val="231F20"/>
          <w:spacing w:val="2"/>
        </w:rPr>
        <w:t xml:space="preserve">varianty </w:t>
      </w:r>
      <w:r>
        <w:rPr>
          <w:color w:val="231F20"/>
        </w:rPr>
        <w:t>asistence; náklady na náhradní</w:t>
      </w:r>
      <w:r>
        <w:rPr>
          <w:color w:val="231F20"/>
          <w:spacing w:val="-19"/>
        </w:rPr>
        <w:t xml:space="preserve"> </w:t>
      </w:r>
      <w:r>
        <w:rPr>
          <w:color w:val="231F20"/>
        </w:rPr>
        <w:t>díly,</w:t>
      </w:r>
    </w:p>
    <w:p w14:paraId="35554564" w14:textId="77777777" w:rsidR="00F65BCA" w:rsidRDefault="00F65BCA">
      <w:pPr>
        <w:spacing w:line="278" w:lineRule="auto"/>
        <w:jc w:val="both"/>
        <w:sectPr w:rsidR="00F65BCA">
          <w:pgSz w:w="11910" w:h="16840"/>
          <w:pgMar w:top="520" w:right="140" w:bottom="0" w:left="140" w:header="708" w:footer="708" w:gutter="0"/>
          <w:cols w:num="2" w:space="708" w:equalWidth="0">
            <w:col w:w="5703" w:space="40"/>
            <w:col w:w="5887"/>
          </w:cols>
        </w:sectPr>
      </w:pPr>
    </w:p>
    <w:p w14:paraId="2353E0BA" w14:textId="77777777" w:rsidR="00F65BCA" w:rsidRDefault="00000000">
      <w:pPr>
        <w:pStyle w:val="Zkladntext"/>
        <w:spacing w:before="75" w:line="278" w:lineRule="auto"/>
        <w:ind w:left="710"/>
        <w:jc w:val="both"/>
      </w:pPr>
      <w:r>
        <w:lastRenderedPageBreak/>
        <w:pict w14:anchorId="6AC43C8D">
          <v:group id="_x0000_s2209" style="position:absolute;left:0;text-align:left;margin-left:0;margin-top:807.85pt;width:595.3pt;height:34.05pt;z-index:251913216;mso-position-horizontal-relative:page;mso-position-vertical-relative:page" coordorigin=",16157" coordsize="11906,681">
            <v:rect id="_x0000_s2212" style="position:absolute;top:16157;width:11906;height:681" fillcolor="#dcddde" stroked="f"/>
            <v:shape id="_x0000_s2211" type="#_x0000_t202" style="position:absolute;left:1020;top:16477;width:1414;height:164" filled="f" stroked="f">
              <v:textbox inset="0,0,0,0">
                <w:txbxContent>
                  <w:p w14:paraId="0D5ECE5B" w14:textId="77777777" w:rsidR="00F65BCA" w:rsidRDefault="00216117">
                    <w:pPr>
                      <w:spacing w:before="2"/>
                      <w:rPr>
                        <w:sz w:val="14"/>
                      </w:rPr>
                    </w:pPr>
                    <w:r>
                      <w:rPr>
                        <w:color w:val="231F20"/>
                        <w:sz w:val="14"/>
                      </w:rPr>
                      <w:t>6.20.012 05.2025 v04</w:t>
                    </w:r>
                  </w:p>
                </w:txbxContent>
              </v:textbox>
            </v:shape>
            <v:shape id="_x0000_s2210" type="#_x0000_t202" style="position:absolute;left:5679;top:16420;width:5453;height:234" filled="f" stroked="f">
              <v:textbox inset="0,0,0,0">
                <w:txbxContent>
                  <w:p w14:paraId="0B69CA68" w14:textId="77777777" w:rsidR="00F65BCA" w:rsidRDefault="00216117">
                    <w:pPr>
                      <w:spacing w:before="3"/>
                      <w:rPr>
                        <w:sz w:val="16"/>
                      </w:rPr>
                    </w:pPr>
                    <w:r>
                      <w:rPr>
                        <w:color w:val="231F20"/>
                        <w:sz w:val="16"/>
                      </w:rPr>
                      <w:t xml:space="preserve">Všeobecné pojistné podmínky pro pojištění vozidel VPPPMV-F-5/2025 </w:t>
                    </w:r>
                    <w:r>
                      <w:rPr>
                        <w:color w:val="6D6E71"/>
                        <w:sz w:val="20"/>
                      </w:rPr>
                      <w:t xml:space="preserve">| </w:t>
                    </w:r>
                    <w:r>
                      <w:rPr>
                        <w:color w:val="231F20"/>
                        <w:sz w:val="16"/>
                      </w:rPr>
                      <w:t>31</w:t>
                    </w:r>
                  </w:p>
                </w:txbxContent>
              </v:textbox>
            </v:shape>
            <w10:wrap anchorx="page" anchory="page"/>
          </v:group>
        </w:pict>
      </w:r>
      <w:r w:rsidR="00216117">
        <w:rPr>
          <w:color w:val="231F20"/>
        </w:rPr>
        <w:t>spotřební materiál, provozní kapaliny a pohonné hmoty nejsou předmětem pojištění.</w:t>
      </w:r>
      <w:r w:rsidR="00216117">
        <w:rPr>
          <w:color w:val="231F20"/>
          <w:spacing w:val="-17"/>
        </w:rPr>
        <w:t xml:space="preserve"> </w:t>
      </w:r>
      <w:r w:rsidR="00216117">
        <w:rPr>
          <w:color w:val="231F20"/>
        </w:rPr>
        <w:t>O</w:t>
      </w:r>
      <w:r w:rsidR="00216117">
        <w:rPr>
          <w:color w:val="231F20"/>
          <w:spacing w:val="-17"/>
        </w:rPr>
        <w:t xml:space="preserve"> </w:t>
      </w:r>
      <w:r w:rsidR="00216117">
        <w:rPr>
          <w:color w:val="231F20"/>
        </w:rPr>
        <w:t>účelnosti</w:t>
      </w:r>
      <w:r w:rsidR="00216117">
        <w:rPr>
          <w:color w:val="231F20"/>
          <w:spacing w:val="-17"/>
        </w:rPr>
        <w:t xml:space="preserve"> </w:t>
      </w:r>
      <w:r w:rsidR="00216117">
        <w:rPr>
          <w:color w:val="231F20"/>
        </w:rPr>
        <w:t>opravy</w:t>
      </w:r>
      <w:r w:rsidR="00216117">
        <w:rPr>
          <w:color w:val="231F20"/>
          <w:spacing w:val="-16"/>
        </w:rPr>
        <w:t xml:space="preserve"> </w:t>
      </w:r>
      <w:r w:rsidR="00216117">
        <w:rPr>
          <w:color w:val="231F20"/>
        </w:rPr>
        <w:t>závady</w:t>
      </w:r>
      <w:r w:rsidR="00216117">
        <w:rPr>
          <w:color w:val="231F20"/>
          <w:spacing w:val="-17"/>
        </w:rPr>
        <w:t xml:space="preserve"> </w:t>
      </w:r>
      <w:r w:rsidR="00216117">
        <w:rPr>
          <w:color w:val="231F20"/>
        </w:rPr>
        <w:t>na</w:t>
      </w:r>
      <w:r w:rsidR="00216117">
        <w:rPr>
          <w:color w:val="231F20"/>
          <w:spacing w:val="-17"/>
        </w:rPr>
        <w:t xml:space="preserve"> </w:t>
      </w:r>
      <w:r w:rsidR="00216117">
        <w:rPr>
          <w:color w:val="231F20"/>
        </w:rPr>
        <w:t>místě</w:t>
      </w:r>
      <w:r w:rsidR="00216117">
        <w:rPr>
          <w:color w:val="231F20"/>
          <w:spacing w:val="-17"/>
        </w:rPr>
        <w:t xml:space="preserve"> </w:t>
      </w:r>
      <w:r w:rsidR="00216117">
        <w:rPr>
          <w:color w:val="231F20"/>
        </w:rPr>
        <w:t>události</w:t>
      </w:r>
      <w:r w:rsidR="00216117">
        <w:rPr>
          <w:color w:val="231F20"/>
          <w:spacing w:val="-16"/>
        </w:rPr>
        <w:t xml:space="preserve"> </w:t>
      </w:r>
      <w:r w:rsidR="00216117">
        <w:rPr>
          <w:color w:val="231F20"/>
        </w:rPr>
        <w:t>rozhoduje</w:t>
      </w:r>
      <w:r w:rsidR="00216117">
        <w:rPr>
          <w:color w:val="231F20"/>
          <w:spacing w:val="-17"/>
        </w:rPr>
        <w:t xml:space="preserve"> </w:t>
      </w:r>
      <w:r w:rsidR="00216117">
        <w:rPr>
          <w:color w:val="231F20"/>
          <w:spacing w:val="-2"/>
        </w:rPr>
        <w:t xml:space="preserve">poskytovatel </w:t>
      </w:r>
      <w:r w:rsidR="00216117">
        <w:rPr>
          <w:color w:val="231F20"/>
        </w:rPr>
        <w:t>asistence.</w:t>
      </w:r>
      <w:r w:rsidR="00216117">
        <w:rPr>
          <w:color w:val="231F20"/>
          <w:spacing w:val="-22"/>
        </w:rPr>
        <w:t xml:space="preserve"> </w:t>
      </w:r>
      <w:r w:rsidR="00216117">
        <w:rPr>
          <w:color w:val="231F20"/>
        </w:rPr>
        <w:t>Služba</w:t>
      </w:r>
      <w:r w:rsidR="00216117">
        <w:rPr>
          <w:color w:val="231F20"/>
          <w:spacing w:val="-21"/>
        </w:rPr>
        <w:t xml:space="preserve"> </w:t>
      </w:r>
      <w:r w:rsidR="00216117">
        <w:rPr>
          <w:color w:val="231F20"/>
        </w:rPr>
        <w:t>je</w:t>
      </w:r>
      <w:r w:rsidR="00216117">
        <w:rPr>
          <w:color w:val="231F20"/>
          <w:spacing w:val="-21"/>
        </w:rPr>
        <w:t xml:space="preserve"> </w:t>
      </w:r>
      <w:r w:rsidR="00216117">
        <w:rPr>
          <w:color w:val="231F20"/>
        </w:rPr>
        <w:t>poskytována</w:t>
      </w:r>
      <w:r w:rsidR="00216117">
        <w:rPr>
          <w:color w:val="231F20"/>
          <w:spacing w:val="-21"/>
        </w:rPr>
        <w:t xml:space="preserve"> </w:t>
      </w:r>
      <w:r w:rsidR="00216117">
        <w:rPr>
          <w:color w:val="231F20"/>
        </w:rPr>
        <w:t>maximálně</w:t>
      </w:r>
      <w:r w:rsidR="00216117">
        <w:rPr>
          <w:color w:val="231F20"/>
          <w:spacing w:val="-21"/>
        </w:rPr>
        <w:t xml:space="preserve"> </w:t>
      </w:r>
      <w:r w:rsidR="00216117">
        <w:rPr>
          <w:color w:val="231F20"/>
        </w:rPr>
        <w:t>do</w:t>
      </w:r>
      <w:r w:rsidR="00216117">
        <w:rPr>
          <w:color w:val="231F20"/>
          <w:spacing w:val="-21"/>
        </w:rPr>
        <w:t xml:space="preserve"> </w:t>
      </w:r>
      <w:r w:rsidR="00216117">
        <w:rPr>
          <w:color w:val="231F20"/>
        </w:rPr>
        <w:t>limitu</w:t>
      </w:r>
      <w:r w:rsidR="00216117">
        <w:rPr>
          <w:color w:val="231F20"/>
          <w:spacing w:val="-21"/>
        </w:rPr>
        <w:t xml:space="preserve"> </w:t>
      </w:r>
      <w:r w:rsidR="00216117">
        <w:rPr>
          <w:color w:val="231F20"/>
        </w:rPr>
        <w:t>uvedeného</w:t>
      </w:r>
      <w:r w:rsidR="00216117">
        <w:rPr>
          <w:color w:val="231F20"/>
          <w:spacing w:val="-21"/>
        </w:rPr>
        <w:t xml:space="preserve"> </w:t>
      </w:r>
      <w:r w:rsidR="00216117">
        <w:rPr>
          <w:color w:val="231F20"/>
        </w:rPr>
        <w:t>v</w:t>
      </w:r>
      <w:r w:rsidR="00216117">
        <w:rPr>
          <w:color w:val="231F20"/>
          <w:spacing w:val="-21"/>
        </w:rPr>
        <w:t xml:space="preserve"> </w:t>
      </w:r>
      <w:r w:rsidR="00216117">
        <w:rPr>
          <w:color w:val="231F20"/>
        </w:rPr>
        <w:t>tabulkách Rozsah a limity asistenčních</w:t>
      </w:r>
      <w:r w:rsidR="00216117">
        <w:rPr>
          <w:color w:val="231F20"/>
          <w:spacing w:val="-7"/>
        </w:rPr>
        <w:t xml:space="preserve"> </w:t>
      </w:r>
      <w:r w:rsidR="00216117">
        <w:rPr>
          <w:color w:val="231F20"/>
        </w:rPr>
        <w:t>služeb.</w:t>
      </w:r>
    </w:p>
    <w:p w14:paraId="63E0F96A" w14:textId="77777777" w:rsidR="00F65BCA" w:rsidRDefault="00216117">
      <w:pPr>
        <w:pStyle w:val="Zkladntext"/>
        <w:spacing w:line="278" w:lineRule="auto"/>
        <w:ind w:left="710" w:hanging="283"/>
        <w:jc w:val="both"/>
      </w:pPr>
      <w:r>
        <w:rPr>
          <w:color w:val="231F20"/>
          <w:spacing w:val="-22"/>
          <w:position w:val="1"/>
          <w:sz w:val="14"/>
          <w:shd w:val="clear" w:color="auto" w:fill="D1D3D4"/>
        </w:rPr>
        <w:t xml:space="preserve"> </w:t>
      </w:r>
      <w:r>
        <w:rPr>
          <w:color w:val="231F20"/>
          <w:position w:val="1"/>
          <w:sz w:val="14"/>
          <w:shd w:val="clear" w:color="auto" w:fill="D1D3D4"/>
        </w:rPr>
        <w:t>17</w:t>
      </w:r>
      <w:r>
        <w:rPr>
          <w:color w:val="231F20"/>
          <w:position w:val="1"/>
          <w:sz w:val="14"/>
        </w:rPr>
        <w:t xml:space="preserve">   </w:t>
      </w:r>
      <w:r>
        <w:rPr>
          <w:color w:val="231F20"/>
        </w:rPr>
        <w:t>Příjezd a práce technika za účelem opravy wallboxu – zaplatíme příjezd    a</w:t>
      </w:r>
      <w:r>
        <w:rPr>
          <w:color w:val="231F20"/>
          <w:spacing w:val="-8"/>
        </w:rPr>
        <w:t xml:space="preserve"> </w:t>
      </w:r>
      <w:r>
        <w:rPr>
          <w:color w:val="231F20"/>
        </w:rPr>
        <w:t>odjezd</w:t>
      </w:r>
      <w:r>
        <w:rPr>
          <w:color w:val="231F20"/>
          <w:spacing w:val="-7"/>
        </w:rPr>
        <w:t xml:space="preserve"> </w:t>
      </w:r>
      <w:r>
        <w:rPr>
          <w:color w:val="231F20"/>
        </w:rPr>
        <w:t>technika</w:t>
      </w:r>
      <w:r>
        <w:rPr>
          <w:color w:val="231F20"/>
          <w:spacing w:val="-8"/>
        </w:rPr>
        <w:t xml:space="preserve"> </w:t>
      </w:r>
      <w:r>
        <w:rPr>
          <w:color w:val="231F20"/>
        </w:rPr>
        <w:t>do</w:t>
      </w:r>
      <w:r>
        <w:rPr>
          <w:color w:val="231F20"/>
          <w:spacing w:val="-7"/>
        </w:rPr>
        <w:t xml:space="preserve"> </w:t>
      </w:r>
      <w:r>
        <w:rPr>
          <w:color w:val="231F20"/>
        </w:rPr>
        <w:t>domácnosti</w:t>
      </w:r>
      <w:r>
        <w:rPr>
          <w:color w:val="231F20"/>
          <w:spacing w:val="-8"/>
        </w:rPr>
        <w:t xml:space="preserve"> </w:t>
      </w:r>
      <w:r>
        <w:rPr>
          <w:color w:val="231F20"/>
        </w:rPr>
        <w:t>pojistníka</w:t>
      </w:r>
      <w:r>
        <w:rPr>
          <w:color w:val="231F20"/>
          <w:spacing w:val="-7"/>
        </w:rPr>
        <w:t xml:space="preserve"> </w:t>
      </w:r>
      <w:r>
        <w:rPr>
          <w:color w:val="231F20"/>
        </w:rPr>
        <w:t>a</w:t>
      </w:r>
      <w:r>
        <w:rPr>
          <w:color w:val="231F20"/>
          <w:spacing w:val="-8"/>
        </w:rPr>
        <w:t xml:space="preserve"> </w:t>
      </w:r>
      <w:r>
        <w:rPr>
          <w:color w:val="231F20"/>
        </w:rPr>
        <w:t>samotnou</w:t>
      </w:r>
      <w:r>
        <w:rPr>
          <w:color w:val="231F20"/>
          <w:spacing w:val="-7"/>
        </w:rPr>
        <w:t xml:space="preserve"> </w:t>
      </w:r>
      <w:r>
        <w:rPr>
          <w:color w:val="231F20"/>
        </w:rPr>
        <w:t>práci</w:t>
      </w:r>
      <w:r>
        <w:rPr>
          <w:color w:val="231F20"/>
          <w:spacing w:val="-8"/>
        </w:rPr>
        <w:t xml:space="preserve"> </w:t>
      </w:r>
      <w:r>
        <w:rPr>
          <w:color w:val="231F20"/>
        </w:rPr>
        <w:t>technika,</w:t>
      </w:r>
      <w:r>
        <w:rPr>
          <w:color w:val="231F20"/>
          <w:spacing w:val="-7"/>
        </w:rPr>
        <w:t xml:space="preserve"> </w:t>
      </w:r>
      <w:r>
        <w:rPr>
          <w:color w:val="231F20"/>
          <w:spacing w:val="-4"/>
        </w:rPr>
        <w:t xml:space="preserve">která </w:t>
      </w:r>
      <w:r>
        <w:rPr>
          <w:color w:val="231F20"/>
        </w:rPr>
        <w:t>je</w:t>
      </w:r>
      <w:r>
        <w:rPr>
          <w:color w:val="231F20"/>
          <w:spacing w:val="-16"/>
        </w:rPr>
        <w:t xml:space="preserve"> </w:t>
      </w:r>
      <w:r>
        <w:rPr>
          <w:color w:val="231F20"/>
        </w:rPr>
        <w:t>nutná</w:t>
      </w:r>
      <w:r>
        <w:rPr>
          <w:color w:val="231F20"/>
          <w:spacing w:val="-16"/>
        </w:rPr>
        <w:t xml:space="preserve"> </w:t>
      </w:r>
      <w:r>
        <w:rPr>
          <w:color w:val="231F20"/>
        </w:rPr>
        <w:t>k</w:t>
      </w:r>
      <w:r>
        <w:rPr>
          <w:color w:val="231F20"/>
          <w:spacing w:val="-16"/>
        </w:rPr>
        <w:t xml:space="preserve"> </w:t>
      </w:r>
      <w:r>
        <w:rPr>
          <w:color w:val="231F20"/>
        </w:rPr>
        <w:t>odstranění</w:t>
      </w:r>
      <w:r>
        <w:rPr>
          <w:color w:val="231F20"/>
          <w:spacing w:val="-16"/>
        </w:rPr>
        <w:t xml:space="preserve"> </w:t>
      </w:r>
      <w:r>
        <w:rPr>
          <w:color w:val="231F20"/>
        </w:rPr>
        <w:t>závady</w:t>
      </w:r>
      <w:r>
        <w:rPr>
          <w:color w:val="231F20"/>
          <w:spacing w:val="-16"/>
        </w:rPr>
        <w:t xml:space="preserve"> </w:t>
      </w:r>
      <w:r>
        <w:rPr>
          <w:color w:val="231F20"/>
        </w:rPr>
        <w:t>na</w:t>
      </w:r>
      <w:r>
        <w:rPr>
          <w:color w:val="231F20"/>
          <w:spacing w:val="-16"/>
        </w:rPr>
        <w:t xml:space="preserve"> </w:t>
      </w:r>
      <w:r>
        <w:rPr>
          <w:color w:val="231F20"/>
        </w:rPr>
        <w:t>wallboxu.</w:t>
      </w:r>
      <w:r>
        <w:rPr>
          <w:color w:val="231F20"/>
          <w:spacing w:val="-16"/>
        </w:rPr>
        <w:t xml:space="preserve"> </w:t>
      </w:r>
      <w:r>
        <w:rPr>
          <w:color w:val="231F20"/>
        </w:rPr>
        <w:t>Službu</w:t>
      </w:r>
      <w:r>
        <w:rPr>
          <w:color w:val="231F20"/>
          <w:spacing w:val="-16"/>
        </w:rPr>
        <w:t xml:space="preserve"> </w:t>
      </w:r>
      <w:r>
        <w:rPr>
          <w:color w:val="231F20"/>
        </w:rPr>
        <w:t>poskytujeme</w:t>
      </w:r>
      <w:r>
        <w:rPr>
          <w:color w:val="231F20"/>
          <w:spacing w:val="-16"/>
        </w:rPr>
        <w:t xml:space="preserve"> </w:t>
      </w:r>
      <w:r>
        <w:rPr>
          <w:color w:val="231F20"/>
        </w:rPr>
        <w:t>maximálně</w:t>
      </w:r>
      <w:r>
        <w:rPr>
          <w:color w:val="231F20"/>
          <w:spacing w:val="-16"/>
        </w:rPr>
        <w:t xml:space="preserve"> </w:t>
      </w:r>
      <w:r>
        <w:rPr>
          <w:color w:val="231F20"/>
          <w:spacing w:val="-8"/>
        </w:rPr>
        <w:t xml:space="preserve">do </w:t>
      </w:r>
      <w:r>
        <w:rPr>
          <w:color w:val="231F20"/>
        </w:rPr>
        <w:t>limitu,</w:t>
      </w:r>
      <w:r>
        <w:rPr>
          <w:color w:val="231F20"/>
          <w:spacing w:val="-17"/>
        </w:rPr>
        <w:t xml:space="preserve"> </w:t>
      </w:r>
      <w:r>
        <w:rPr>
          <w:color w:val="231F20"/>
        </w:rPr>
        <w:t>který</w:t>
      </w:r>
      <w:r>
        <w:rPr>
          <w:color w:val="231F20"/>
          <w:spacing w:val="-17"/>
        </w:rPr>
        <w:t xml:space="preserve"> </w:t>
      </w:r>
      <w:r>
        <w:rPr>
          <w:color w:val="231F20"/>
        </w:rPr>
        <w:t>je</w:t>
      </w:r>
      <w:r>
        <w:rPr>
          <w:color w:val="231F20"/>
          <w:spacing w:val="-16"/>
        </w:rPr>
        <w:t xml:space="preserve"> </w:t>
      </w:r>
      <w:r>
        <w:rPr>
          <w:color w:val="231F20"/>
        </w:rPr>
        <w:t>uvedený</w:t>
      </w:r>
      <w:r>
        <w:rPr>
          <w:color w:val="231F20"/>
          <w:spacing w:val="-17"/>
        </w:rPr>
        <w:t xml:space="preserve"> </w:t>
      </w:r>
      <w:r>
        <w:rPr>
          <w:color w:val="231F20"/>
        </w:rPr>
        <w:t>v</w:t>
      </w:r>
      <w:r>
        <w:rPr>
          <w:color w:val="231F20"/>
          <w:spacing w:val="-17"/>
        </w:rPr>
        <w:t xml:space="preserve"> </w:t>
      </w:r>
      <w:r>
        <w:rPr>
          <w:color w:val="231F20"/>
        </w:rPr>
        <w:t>tabulkách</w:t>
      </w:r>
      <w:r>
        <w:rPr>
          <w:color w:val="231F20"/>
          <w:spacing w:val="-16"/>
        </w:rPr>
        <w:t xml:space="preserve"> </w:t>
      </w:r>
      <w:r>
        <w:rPr>
          <w:color w:val="231F20"/>
        </w:rPr>
        <w:t>Rozsah</w:t>
      </w:r>
      <w:r>
        <w:rPr>
          <w:color w:val="231F20"/>
          <w:spacing w:val="-17"/>
        </w:rPr>
        <w:t xml:space="preserve"> </w:t>
      </w:r>
      <w:r>
        <w:rPr>
          <w:color w:val="231F20"/>
        </w:rPr>
        <w:t>a</w:t>
      </w:r>
      <w:r>
        <w:rPr>
          <w:color w:val="231F20"/>
          <w:spacing w:val="-16"/>
        </w:rPr>
        <w:t xml:space="preserve"> </w:t>
      </w:r>
      <w:r>
        <w:rPr>
          <w:color w:val="231F20"/>
        </w:rPr>
        <w:t>limity</w:t>
      </w:r>
      <w:r>
        <w:rPr>
          <w:color w:val="231F20"/>
          <w:spacing w:val="-17"/>
        </w:rPr>
        <w:t xml:space="preserve"> </w:t>
      </w:r>
      <w:r>
        <w:rPr>
          <w:color w:val="231F20"/>
        </w:rPr>
        <w:t>asistenčních</w:t>
      </w:r>
      <w:r>
        <w:rPr>
          <w:color w:val="231F20"/>
          <w:spacing w:val="-17"/>
        </w:rPr>
        <w:t xml:space="preserve"> </w:t>
      </w:r>
      <w:r>
        <w:rPr>
          <w:color w:val="231F20"/>
        </w:rPr>
        <w:t>služeb.</w:t>
      </w:r>
      <w:r>
        <w:rPr>
          <w:color w:val="231F20"/>
          <w:spacing w:val="-16"/>
        </w:rPr>
        <w:t xml:space="preserve"> </w:t>
      </w:r>
      <w:r>
        <w:rPr>
          <w:color w:val="231F20"/>
          <w:spacing w:val="-5"/>
        </w:rPr>
        <w:t xml:space="preserve">Adre- </w:t>
      </w:r>
      <w:r>
        <w:rPr>
          <w:color w:val="231F20"/>
        </w:rPr>
        <w:t>sa</w:t>
      </w:r>
      <w:r>
        <w:rPr>
          <w:color w:val="231F20"/>
          <w:spacing w:val="-10"/>
        </w:rPr>
        <w:t xml:space="preserve"> </w:t>
      </w:r>
      <w:r>
        <w:rPr>
          <w:color w:val="231F20"/>
        </w:rPr>
        <w:t>domácnosti</w:t>
      </w:r>
      <w:r>
        <w:rPr>
          <w:color w:val="231F20"/>
          <w:spacing w:val="-9"/>
        </w:rPr>
        <w:t xml:space="preserve"> </w:t>
      </w:r>
      <w:r>
        <w:rPr>
          <w:color w:val="231F20"/>
        </w:rPr>
        <w:t>pojistníka</w:t>
      </w:r>
      <w:r>
        <w:rPr>
          <w:color w:val="231F20"/>
          <w:spacing w:val="-10"/>
        </w:rPr>
        <w:t xml:space="preserve"> </w:t>
      </w:r>
      <w:r>
        <w:rPr>
          <w:color w:val="231F20"/>
        </w:rPr>
        <w:t>je</w:t>
      </w:r>
      <w:r>
        <w:rPr>
          <w:color w:val="231F20"/>
          <w:spacing w:val="-9"/>
        </w:rPr>
        <w:t xml:space="preserve"> </w:t>
      </w:r>
      <w:r>
        <w:rPr>
          <w:color w:val="231F20"/>
        </w:rPr>
        <w:t>shodná</w:t>
      </w:r>
      <w:r>
        <w:rPr>
          <w:color w:val="231F20"/>
          <w:spacing w:val="-9"/>
        </w:rPr>
        <w:t xml:space="preserve"> </w:t>
      </w:r>
      <w:r>
        <w:rPr>
          <w:color w:val="231F20"/>
        </w:rPr>
        <w:t>s</w:t>
      </w:r>
      <w:r>
        <w:rPr>
          <w:color w:val="231F20"/>
          <w:spacing w:val="-10"/>
        </w:rPr>
        <w:t xml:space="preserve"> </w:t>
      </w:r>
      <w:r>
        <w:rPr>
          <w:color w:val="231F20"/>
        </w:rPr>
        <w:t>adresou</w:t>
      </w:r>
      <w:r>
        <w:rPr>
          <w:color w:val="231F20"/>
          <w:spacing w:val="-9"/>
        </w:rPr>
        <w:t xml:space="preserve"> </w:t>
      </w:r>
      <w:r>
        <w:rPr>
          <w:color w:val="231F20"/>
        </w:rPr>
        <w:t>pojistníka</w:t>
      </w:r>
      <w:r>
        <w:rPr>
          <w:color w:val="231F20"/>
          <w:spacing w:val="-9"/>
        </w:rPr>
        <w:t xml:space="preserve"> </w:t>
      </w:r>
      <w:r>
        <w:rPr>
          <w:color w:val="231F20"/>
        </w:rPr>
        <w:t>nebo</w:t>
      </w:r>
      <w:r>
        <w:rPr>
          <w:color w:val="231F20"/>
          <w:spacing w:val="-10"/>
        </w:rPr>
        <w:t xml:space="preserve"> </w:t>
      </w:r>
      <w:r>
        <w:rPr>
          <w:color w:val="231F20"/>
        </w:rPr>
        <w:t>provozovatele pojištěného vozidla, která je uvedená v pojistné</w:t>
      </w:r>
      <w:r>
        <w:rPr>
          <w:color w:val="231F20"/>
          <w:spacing w:val="-26"/>
        </w:rPr>
        <w:t xml:space="preserve"> </w:t>
      </w:r>
      <w:r>
        <w:rPr>
          <w:color w:val="231F20"/>
        </w:rPr>
        <w:t>smlouvě.</w:t>
      </w:r>
    </w:p>
    <w:p w14:paraId="48CD3A0A" w14:textId="77777777" w:rsidR="00F65BCA" w:rsidRDefault="00216117">
      <w:pPr>
        <w:pStyle w:val="Zkladntext"/>
        <w:spacing w:line="278" w:lineRule="auto"/>
        <w:ind w:left="710" w:hanging="283"/>
        <w:jc w:val="both"/>
      </w:pPr>
      <w:r>
        <w:rPr>
          <w:color w:val="231F20"/>
          <w:spacing w:val="-22"/>
          <w:position w:val="1"/>
          <w:sz w:val="14"/>
          <w:shd w:val="clear" w:color="auto" w:fill="D1D3D4"/>
        </w:rPr>
        <w:t xml:space="preserve"> </w:t>
      </w:r>
      <w:r>
        <w:rPr>
          <w:color w:val="231F20"/>
          <w:position w:val="1"/>
          <w:sz w:val="14"/>
          <w:shd w:val="clear" w:color="auto" w:fill="D1D3D4"/>
        </w:rPr>
        <w:t>18</w:t>
      </w:r>
      <w:r>
        <w:rPr>
          <w:color w:val="231F20"/>
          <w:position w:val="1"/>
          <w:sz w:val="14"/>
        </w:rPr>
        <w:t xml:space="preserve"> </w:t>
      </w:r>
      <w:r>
        <w:rPr>
          <w:color w:val="231F20"/>
        </w:rPr>
        <w:t xml:space="preserve">Repatriace vozidla ze </w:t>
      </w:r>
      <w:r>
        <w:rPr>
          <w:color w:val="231F20"/>
          <w:spacing w:val="2"/>
        </w:rPr>
        <w:t xml:space="preserve">zahraničí </w:t>
      </w:r>
      <w:r>
        <w:rPr>
          <w:color w:val="231F20"/>
        </w:rPr>
        <w:t>je služba, která obsahuje naložení, převoz a</w:t>
      </w:r>
      <w:r>
        <w:rPr>
          <w:color w:val="231F20"/>
          <w:spacing w:val="-13"/>
        </w:rPr>
        <w:t xml:space="preserve"> </w:t>
      </w:r>
      <w:r>
        <w:rPr>
          <w:color w:val="231F20"/>
        </w:rPr>
        <w:t>složení</w:t>
      </w:r>
      <w:r>
        <w:rPr>
          <w:color w:val="231F20"/>
          <w:spacing w:val="-12"/>
        </w:rPr>
        <w:t xml:space="preserve"> </w:t>
      </w:r>
      <w:r>
        <w:rPr>
          <w:color w:val="231F20"/>
        </w:rPr>
        <w:t>pojištěného</w:t>
      </w:r>
      <w:r>
        <w:rPr>
          <w:color w:val="231F20"/>
          <w:spacing w:val="-12"/>
        </w:rPr>
        <w:t xml:space="preserve"> </w:t>
      </w:r>
      <w:r>
        <w:rPr>
          <w:color w:val="231F20"/>
        </w:rPr>
        <w:t>vozidla</w:t>
      </w:r>
      <w:r>
        <w:rPr>
          <w:color w:val="231F20"/>
          <w:spacing w:val="-12"/>
        </w:rPr>
        <w:t xml:space="preserve"> </w:t>
      </w:r>
      <w:r>
        <w:rPr>
          <w:color w:val="231F20"/>
        </w:rPr>
        <w:t>z</w:t>
      </w:r>
      <w:r>
        <w:rPr>
          <w:color w:val="231F20"/>
          <w:spacing w:val="-13"/>
        </w:rPr>
        <w:t xml:space="preserve"> </w:t>
      </w:r>
      <w:r>
        <w:rPr>
          <w:color w:val="231F20"/>
        </w:rPr>
        <w:t>místa</w:t>
      </w:r>
      <w:r>
        <w:rPr>
          <w:color w:val="231F20"/>
          <w:spacing w:val="-12"/>
        </w:rPr>
        <w:t xml:space="preserve"> </w:t>
      </w:r>
      <w:r>
        <w:rPr>
          <w:color w:val="231F20"/>
        </w:rPr>
        <w:t>pojistné</w:t>
      </w:r>
      <w:r>
        <w:rPr>
          <w:color w:val="231F20"/>
          <w:spacing w:val="-12"/>
        </w:rPr>
        <w:t xml:space="preserve"> </w:t>
      </w:r>
      <w:r>
        <w:rPr>
          <w:color w:val="231F20"/>
        </w:rPr>
        <w:t>události</w:t>
      </w:r>
      <w:r>
        <w:rPr>
          <w:color w:val="231F20"/>
          <w:spacing w:val="-12"/>
        </w:rPr>
        <w:t xml:space="preserve"> </w:t>
      </w:r>
      <w:r>
        <w:rPr>
          <w:color w:val="231F20"/>
        </w:rPr>
        <w:t>do</w:t>
      </w:r>
      <w:r>
        <w:rPr>
          <w:color w:val="231F20"/>
          <w:spacing w:val="-13"/>
        </w:rPr>
        <w:t xml:space="preserve"> </w:t>
      </w:r>
      <w:r>
        <w:rPr>
          <w:color w:val="231F20"/>
        </w:rPr>
        <w:t>České</w:t>
      </w:r>
      <w:r>
        <w:rPr>
          <w:color w:val="231F20"/>
          <w:spacing w:val="-12"/>
        </w:rPr>
        <w:t xml:space="preserve"> </w:t>
      </w:r>
      <w:r>
        <w:rPr>
          <w:color w:val="231F20"/>
          <w:spacing w:val="2"/>
        </w:rPr>
        <w:t>republiky</w:t>
      </w:r>
      <w:r>
        <w:rPr>
          <w:color w:val="231F20"/>
          <w:spacing w:val="-12"/>
        </w:rPr>
        <w:t xml:space="preserve"> </w:t>
      </w:r>
      <w:r>
        <w:rPr>
          <w:color w:val="231F20"/>
        </w:rPr>
        <w:t xml:space="preserve">do </w:t>
      </w:r>
      <w:r>
        <w:rPr>
          <w:color w:val="231F20"/>
          <w:spacing w:val="2"/>
        </w:rPr>
        <w:t>smluvního</w:t>
      </w:r>
      <w:r>
        <w:rPr>
          <w:color w:val="231F20"/>
          <w:spacing w:val="-11"/>
        </w:rPr>
        <w:t xml:space="preserve"> </w:t>
      </w:r>
      <w:r>
        <w:rPr>
          <w:color w:val="231F20"/>
        </w:rPr>
        <w:t>nebo</w:t>
      </w:r>
      <w:r>
        <w:rPr>
          <w:color w:val="231F20"/>
          <w:spacing w:val="-10"/>
        </w:rPr>
        <w:t xml:space="preserve"> </w:t>
      </w:r>
      <w:r>
        <w:rPr>
          <w:color w:val="231F20"/>
        </w:rPr>
        <w:t>jiného</w:t>
      </w:r>
      <w:r>
        <w:rPr>
          <w:color w:val="231F20"/>
          <w:spacing w:val="-11"/>
        </w:rPr>
        <w:t xml:space="preserve"> </w:t>
      </w:r>
      <w:r>
        <w:rPr>
          <w:color w:val="231F20"/>
        </w:rPr>
        <w:t>vhodného</w:t>
      </w:r>
      <w:r>
        <w:rPr>
          <w:color w:val="231F20"/>
          <w:spacing w:val="-10"/>
        </w:rPr>
        <w:t xml:space="preserve"> </w:t>
      </w:r>
      <w:r>
        <w:rPr>
          <w:color w:val="231F20"/>
          <w:spacing w:val="2"/>
        </w:rPr>
        <w:t>servisu</w:t>
      </w:r>
      <w:r>
        <w:rPr>
          <w:color w:val="231F20"/>
          <w:spacing w:val="-11"/>
        </w:rPr>
        <w:t xml:space="preserve"> </w:t>
      </w:r>
      <w:r>
        <w:rPr>
          <w:color w:val="231F20"/>
        </w:rPr>
        <w:t>(nejbližšího</w:t>
      </w:r>
      <w:r>
        <w:rPr>
          <w:color w:val="231F20"/>
          <w:spacing w:val="-10"/>
        </w:rPr>
        <w:t xml:space="preserve"> </w:t>
      </w:r>
      <w:r>
        <w:rPr>
          <w:color w:val="231F20"/>
        </w:rPr>
        <w:t>k</w:t>
      </w:r>
      <w:r>
        <w:rPr>
          <w:color w:val="231F20"/>
          <w:spacing w:val="-11"/>
        </w:rPr>
        <w:t xml:space="preserve"> </w:t>
      </w:r>
      <w:r>
        <w:rPr>
          <w:color w:val="231F20"/>
        </w:rPr>
        <w:t>místu</w:t>
      </w:r>
      <w:r>
        <w:rPr>
          <w:color w:val="231F20"/>
          <w:spacing w:val="-10"/>
        </w:rPr>
        <w:t xml:space="preserve"> </w:t>
      </w:r>
      <w:r>
        <w:rPr>
          <w:color w:val="231F20"/>
        </w:rPr>
        <w:t>bydliště,</w:t>
      </w:r>
      <w:r>
        <w:rPr>
          <w:color w:val="231F20"/>
          <w:spacing w:val="-10"/>
        </w:rPr>
        <w:t xml:space="preserve"> </w:t>
      </w:r>
      <w:r>
        <w:rPr>
          <w:color w:val="231F20"/>
        </w:rPr>
        <w:t>sídlu, nebo</w:t>
      </w:r>
      <w:r>
        <w:rPr>
          <w:color w:val="231F20"/>
          <w:spacing w:val="-8"/>
        </w:rPr>
        <w:t xml:space="preserve"> </w:t>
      </w:r>
      <w:r>
        <w:rPr>
          <w:color w:val="231F20"/>
        </w:rPr>
        <w:t>místu</w:t>
      </w:r>
      <w:r>
        <w:rPr>
          <w:color w:val="231F20"/>
          <w:spacing w:val="-7"/>
        </w:rPr>
        <w:t xml:space="preserve"> </w:t>
      </w:r>
      <w:r>
        <w:rPr>
          <w:color w:val="231F20"/>
        </w:rPr>
        <w:t>podnikání</w:t>
      </w:r>
      <w:r>
        <w:rPr>
          <w:color w:val="231F20"/>
          <w:spacing w:val="-7"/>
        </w:rPr>
        <w:t xml:space="preserve"> </w:t>
      </w:r>
      <w:r>
        <w:rPr>
          <w:color w:val="231F20"/>
        </w:rPr>
        <w:t>pojištěného),</w:t>
      </w:r>
      <w:r>
        <w:rPr>
          <w:color w:val="231F20"/>
          <w:spacing w:val="-8"/>
        </w:rPr>
        <w:t xml:space="preserve"> </w:t>
      </w:r>
      <w:r>
        <w:rPr>
          <w:color w:val="231F20"/>
        </w:rPr>
        <w:t>včetně</w:t>
      </w:r>
      <w:r>
        <w:rPr>
          <w:color w:val="231F20"/>
          <w:spacing w:val="-7"/>
        </w:rPr>
        <w:t xml:space="preserve"> </w:t>
      </w:r>
      <w:r>
        <w:rPr>
          <w:color w:val="231F20"/>
        </w:rPr>
        <w:t>nezbytné</w:t>
      </w:r>
      <w:r>
        <w:rPr>
          <w:color w:val="231F20"/>
          <w:spacing w:val="-7"/>
        </w:rPr>
        <w:t xml:space="preserve"> </w:t>
      </w:r>
      <w:r>
        <w:rPr>
          <w:color w:val="231F20"/>
        </w:rPr>
        <w:t>manipulace</w:t>
      </w:r>
      <w:r>
        <w:rPr>
          <w:color w:val="231F20"/>
          <w:spacing w:val="-7"/>
        </w:rPr>
        <w:t xml:space="preserve"> </w:t>
      </w:r>
      <w:r>
        <w:rPr>
          <w:color w:val="231F20"/>
        </w:rPr>
        <w:t>s</w:t>
      </w:r>
      <w:r>
        <w:rPr>
          <w:color w:val="231F20"/>
          <w:spacing w:val="-8"/>
        </w:rPr>
        <w:t xml:space="preserve"> </w:t>
      </w:r>
      <w:r>
        <w:rPr>
          <w:color w:val="231F20"/>
        </w:rPr>
        <w:t xml:space="preserve">vozidlem bezprostředně před a po uskutečnění odtahu vozidla. Přepravu vozidla lze </w:t>
      </w:r>
      <w:r>
        <w:rPr>
          <w:color w:val="231F20"/>
          <w:spacing w:val="2"/>
        </w:rPr>
        <w:t xml:space="preserve">poskytnouti </w:t>
      </w:r>
      <w:r>
        <w:rPr>
          <w:color w:val="231F20"/>
        </w:rPr>
        <w:t xml:space="preserve">i do jiného místa na území České </w:t>
      </w:r>
      <w:r>
        <w:rPr>
          <w:color w:val="231F20"/>
          <w:spacing w:val="2"/>
        </w:rPr>
        <w:t xml:space="preserve">republiky </w:t>
      </w:r>
      <w:r>
        <w:rPr>
          <w:color w:val="231F20"/>
        </w:rPr>
        <w:t xml:space="preserve">určeného opráv- něnou osobou, </w:t>
      </w:r>
      <w:r>
        <w:rPr>
          <w:color w:val="231F20"/>
          <w:spacing w:val="2"/>
        </w:rPr>
        <w:t xml:space="preserve">maximálně </w:t>
      </w:r>
      <w:r>
        <w:rPr>
          <w:color w:val="231F20"/>
        </w:rPr>
        <w:t xml:space="preserve">však do </w:t>
      </w:r>
      <w:r>
        <w:rPr>
          <w:color w:val="231F20"/>
          <w:spacing w:val="2"/>
        </w:rPr>
        <w:t xml:space="preserve">výše </w:t>
      </w:r>
      <w:r>
        <w:rPr>
          <w:color w:val="231F20"/>
        </w:rPr>
        <w:t xml:space="preserve">nákladů, které by byly vynaloženy poskytovatelem asistence za přepravu vozidla dle předchozí </w:t>
      </w:r>
      <w:r>
        <w:rPr>
          <w:color w:val="231F20"/>
          <w:spacing w:val="-3"/>
        </w:rPr>
        <w:t xml:space="preserve">věty. </w:t>
      </w:r>
      <w:r>
        <w:rPr>
          <w:color w:val="231F20"/>
        </w:rPr>
        <w:t>U</w:t>
      </w:r>
      <w:r>
        <w:rPr>
          <w:color w:val="231F20"/>
          <w:spacing w:val="-25"/>
        </w:rPr>
        <w:t xml:space="preserve"> </w:t>
      </w:r>
      <w:r>
        <w:rPr>
          <w:color w:val="231F20"/>
        </w:rPr>
        <w:t>vozidel nad</w:t>
      </w:r>
      <w:r>
        <w:rPr>
          <w:color w:val="231F20"/>
          <w:spacing w:val="-14"/>
        </w:rPr>
        <w:t xml:space="preserve"> </w:t>
      </w:r>
      <w:r>
        <w:rPr>
          <w:color w:val="231F20"/>
        </w:rPr>
        <w:t>3,5t</w:t>
      </w:r>
      <w:r>
        <w:rPr>
          <w:color w:val="231F20"/>
          <w:spacing w:val="-14"/>
        </w:rPr>
        <w:t xml:space="preserve"> </w:t>
      </w:r>
      <w:r>
        <w:rPr>
          <w:color w:val="231F20"/>
        </w:rPr>
        <w:t>je</w:t>
      </w:r>
      <w:r>
        <w:rPr>
          <w:color w:val="231F20"/>
          <w:spacing w:val="-13"/>
        </w:rPr>
        <w:t xml:space="preserve"> </w:t>
      </w:r>
      <w:r>
        <w:rPr>
          <w:color w:val="231F20"/>
        </w:rPr>
        <w:t>repatriace</w:t>
      </w:r>
      <w:r>
        <w:rPr>
          <w:color w:val="231F20"/>
          <w:spacing w:val="-14"/>
        </w:rPr>
        <w:t xml:space="preserve"> </w:t>
      </w:r>
      <w:r>
        <w:rPr>
          <w:color w:val="231F20"/>
        </w:rPr>
        <w:t>poskytována</w:t>
      </w:r>
      <w:r>
        <w:rPr>
          <w:color w:val="231F20"/>
          <w:spacing w:val="-13"/>
        </w:rPr>
        <w:t xml:space="preserve"> </w:t>
      </w:r>
      <w:r>
        <w:rPr>
          <w:color w:val="231F20"/>
        </w:rPr>
        <w:t>pouze</w:t>
      </w:r>
      <w:r>
        <w:rPr>
          <w:color w:val="231F20"/>
          <w:spacing w:val="-14"/>
        </w:rPr>
        <w:t xml:space="preserve"> </w:t>
      </w:r>
      <w:r>
        <w:rPr>
          <w:color w:val="231F20"/>
        </w:rPr>
        <w:t>pokud</w:t>
      </w:r>
      <w:r>
        <w:rPr>
          <w:color w:val="231F20"/>
          <w:spacing w:val="-13"/>
        </w:rPr>
        <w:t xml:space="preserve"> </w:t>
      </w:r>
      <w:r>
        <w:rPr>
          <w:color w:val="231F20"/>
        </w:rPr>
        <w:t>není</w:t>
      </w:r>
      <w:r>
        <w:rPr>
          <w:color w:val="231F20"/>
          <w:spacing w:val="-14"/>
        </w:rPr>
        <w:t xml:space="preserve"> </w:t>
      </w:r>
      <w:r>
        <w:rPr>
          <w:color w:val="231F20"/>
        </w:rPr>
        <w:t>možné</w:t>
      </w:r>
      <w:r>
        <w:rPr>
          <w:color w:val="231F20"/>
          <w:spacing w:val="-13"/>
        </w:rPr>
        <w:t xml:space="preserve"> </w:t>
      </w:r>
      <w:r>
        <w:rPr>
          <w:color w:val="231F20"/>
        </w:rPr>
        <w:t>uvést</w:t>
      </w:r>
      <w:r>
        <w:rPr>
          <w:color w:val="231F20"/>
          <w:spacing w:val="-14"/>
        </w:rPr>
        <w:t xml:space="preserve"> </w:t>
      </w:r>
      <w:r>
        <w:rPr>
          <w:color w:val="231F20"/>
        </w:rPr>
        <w:t>vozidlo</w:t>
      </w:r>
      <w:r>
        <w:rPr>
          <w:color w:val="231F20"/>
          <w:spacing w:val="-13"/>
        </w:rPr>
        <w:t xml:space="preserve"> </w:t>
      </w:r>
      <w:r>
        <w:rPr>
          <w:color w:val="231F20"/>
          <w:spacing w:val="-6"/>
        </w:rPr>
        <w:t xml:space="preserve">do </w:t>
      </w:r>
      <w:r>
        <w:rPr>
          <w:color w:val="231F20"/>
        </w:rPr>
        <w:t>pojízdného</w:t>
      </w:r>
      <w:r>
        <w:rPr>
          <w:color w:val="231F20"/>
          <w:spacing w:val="-20"/>
        </w:rPr>
        <w:t xml:space="preserve"> </w:t>
      </w:r>
      <w:r>
        <w:rPr>
          <w:color w:val="231F20"/>
        </w:rPr>
        <w:t>stavu</w:t>
      </w:r>
      <w:r>
        <w:rPr>
          <w:color w:val="231F20"/>
          <w:spacing w:val="-19"/>
        </w:rPr>
        <w:t xml:space="preserve"> </w:t>
      </w:r>
      <w:r>
        <w:rPr>
          <w:color w:val="231F20"/>
        </w:rPr>
        <w:t>do</w:t>
      </w:r>
      <w:r>
        <w:rPr>
          <w:color w:val="231F20"/>
          <w:spacing w:val="-19"/>
        </w:rPr>
        <w:t xml:space="preserve"> </w:t>
      </w:r>
      <w:r>
        <w:rPr>
          <w:color w:val="231F20"/>
        </w:rPr>
        <w:t>72</w:t>
      </w:r>
      <w:r>
        <w:rPr>
          <w:color w:val="231F20"/>
          <w:spacing w:val="-19"/>
        </w:rPr>
        <w:t xml:space="preserve"> </w:t>
      </w:r>
      <w:r>
        <w:rPr>
          <w:color w:val="231F20"/>
        </w:rPr>
        <w:t>h</w:t>
      </w:r>
      <w:r>
        <w:rPr>
          <w:color w:val="231F20"/>
          <w:spacing w:val="-19"/>
        </w:rPr>
        <w:t xml:space="preserve"> </w:t>
      </w:r>
      <w:r>
        <w:rPr>
          <w:color w:val="231F20"/>
        </w:rPr>
        <w:t>od</w:t>
      </w:r>
      <w:r>
        <w:rPr>
          <w:color w:val="231F20"/>
          <w:spacing w:val="-19"/>
        </w:rPr>
        <w:t xml:space="preserve"> </w:t>
      </w:r>
      <w:r>
        <w:rPr>
          <w:color w:val="231F20"/>
        </w:rPr>
        <w:t>nahlášení</w:t>
      </w:r>
      <w:r>
        <w:rPr>
          <w:color w:val="231F20"/>
          <w:spacing w:val="-19"/>
        </w:rPr>
        <w:t xml:space="preserve"> </w:t>
      </w:r>
      <w:r>
        <w:rPr>
          <w:color w:val="231F20"/>
        </w:rPr>
        <w:t>pojistné</w:t>
      </w:r>
      <w:r>
        <w:rPr>
          <w:color w:val="231F20"/>
          <w:spacing w:val="-20"/>
        </w:rPr>
        <w:t xml:space="preserve"> </w:t>
      </w:r>
      <w:r>
        <w:rPr>
          <w:color w:val="231F20"/>
        </w:rPr>
        <w:t>události</w:t>
      </w:r>
      <w:r>
        <w:rPr>
          <w:color w:val="231F20"/>
          <w:spacing w:val="-19"/>
        </w:rPr>
        <w:t xml:space="preserve"> </w:t>
      </w:r>
      <w:r>
        <w:rPr>
          <w:color w:val="231F20"/>
        </w:rPr>
        <w:t>poskytovateli</w:t>
      </w:r>
      <w:r>
        <w:rPr>
          <w:color w:val="231F20"/>
          <w:spacing w:val="-19"/>
        </w:rPr>
        <w:t xml:space="preserve"> </w:t>
      </w:r>
      <w:r>
        <w:rPr>
          <w:color w:val="231F20"/>
        </w:rPr>
        <w:t>asisten- ce.</w:t>
      </w:r>
      <w:r>
        <w:rPr>
          <w:color w:val="231F20"/>
          <w:spacing w:val="-15"/>
        </w:rPr>
        <w:t xml:space="preserve"> </w:t>
      </w:r>
      <w:r>
        <w:rPr>
          <w:color w:val="231F20"/>
        </w:rPr>
        <w:t>Služba</w:t>
      </w:r>
      <w:r>
        <w:rPr>
          <w:color w:val="231F20"/>
          <w:spacing w:val="-15"/>
        </w:rPr>
        <w:t xml:space="preserve"> </w:t>
      </w:r>
      <w:r>
        <w:rPr>
          <w:color w:val="231F20"/>
        </w:rPr>
        <w:t>zahrnuje</w:t>
      </w:r>
      <w:r>
        <w:rPr>
          <w:color w:val="231F20"/>
          <w:spacing w:val="-15"/>
        </w:rPr>
        <w:t xml:space="preserve"> </w:t>
      </w:r>
      <w:r>
        <w:rPr>
          <w:color w:val="231F20"/>
        </w:rPr>
        <w:t>vyproštění</w:t>
      </w:r>
      <w:r>
        <w:rPr>
          <w:color w:val="231F20"/>
          <w:spacing w:val="-15"/>
        </w:rPr>
        <w:t xml:space="preserve"> </w:t>
      </w:r>
      <w:r>
        <w:rPr>
          <w:color w:val="231F20"/>
        </w:rPr>
        <w:t>vozidla</w:t>
      </w:r>
      <w:r>
        <w:rPr>
          <w:color w:val="231F20"/>
          <w:spacing w:val="-15"/>
        </w:rPr>
        <w:t xml:space="preserve"> </w:t>
      </w:r>
      <w:r>
        <w:rPr>
          <w:color w:val="231F20"/>
        </w:rPr>
        <w:t>(navrácení</w:t>
      </w:r>
      <w:r>
        <w:rPr>
          <w:color w:val="231F20"/>
          <w:spacing w:val="-15"/>
        </w:rPr>
        <w:t xml:space="preserve"> </w:t>
      </w:r>
      <w:r>
        <w:rPr>
          <w:color w:val="231F20"/>
        </w:rPr>
        <w:t>na</w:t>
      </w:r>
      <w:r>
        <w:rPr>
          <w:color w:val="231F20"/>
          <w:spacing w:val="-15"/>
        </w:rPr>
        <w:t xml:space="preserve"> </w:t>
      </w:r>
      <w:r>
        <w:rPr>
          <w:color w:val="231F20"/>
        </w:rPr>
        <w:t>vozovku),</w:t>
      </w:r>
      <w:r>
        <w:rPr>
          <w:color w:val="231F20"/>
          <w:spacing w:val="-15"/>
        </w:rPr>
        <w:t xml:space="preserve"> </w:t>
      </w:r>
      <w:r>
        <w:rPr>
          <w:color w:val="231F20"/>
        </w:rPr>
        <w:t>které</w:t>
      </w:r>
      <w:r>
        <w:rPr>
          <w:color w:val="231F20"/>
          <w:spacing w:val="-15"/>
        </w:rPr>
        <w:t xml:space="preserve"> </w:t>
      </w:r>
      <w:r>
        <w:rPr>
          <w:color w:val="231F20"/>
          <w:spacing w:val="-3"/>
        </w:rPr>
        <w:t xml:space="preserve">zvládne </w:t>
      </w:r>
      <w:r>
        <w:rPr>
          <w:color w:val="231F20"/>
        </w:rPr>
        <w:t>běžné</w:t>
      </w:r>
      <w:r>
        <w:rPr>
          <w:color w:val="231F20"/>
          <w:spacing w:val="-10"/>
        </w:rPr>
        <w:t xml:space="preserve"> </w:t>
      </w:r>
      <w:r>
        <w:rPr>
          <w:color w:val="231F20"/>
        </w:rPr>
        <w:t>odtahové</w:t>
      </w:r>
      <w:r>
        <w:rPr>
          <w:color w:val="231F20"/>
          <w:spacing w:val="-9"/>
        </w:rPr>
        <w:t xml:space="preserve"> </w:t>
      </w:r>
      <w:r>
        <w:rPr>
          <w:color w:val="231F20"/>
        </w:rPr>
        <w:t>vozidlo.</w:t>
      </w:r>
      <w:r>
        <w:rPr>
          <w:color w:val="231F20"/>
          <w:spacing w:val="-9"/>
        </w:rPr>
        <w:t xml:space="preserve"> </w:t>
      </w:r>
      <w:r>
        <w:rPr>
          <w:color w:val="231F20"/>
        </w:rPr>
        <w:t>V</w:t>
      </w:r>
      <w:r>
        <w:rPr>
          <w:color w:val="231F20"/>
          <w:spacing w:val="-9"/>
        </w:rPr>
        <w:t xml:space="preserve"> </w:t>
      </w:r>
      <w:r>
        <w:rPr>
          <w:color w:val="231F20"/>
        </w:rPr>
        <w:t>rámci</w:t>
      </w:r>
      <w:r>
        <w:rPr>
          <w:color w:val="231F20"/>
          <w:spacing w:val="-9"/>
        </w:rPr>
        <w:t xml:space="preserve"> </w:t>
      </w:r>
      <w:r>
        <w:rPr>
          <w:color w:val="231F20"/>
        </w:rPr>
        <w:t>repatriace</w:t>
      </w:r>
      <w:r>
        <w:rPr>
          <w:color w:val="231F20"/>
          <w:spacing w:val="-10"/>
        </w:rPr>
        <w:t xml:space="preserve"> </w:t>
      </w:r>
      <w:r>
        <w:rPr>
          <w:color w:val="231F20"/>
        </w:rPr>
        <w:t>vozidla</w:t>
      </w:r>
      <w:r>
        <w:rPr>
          <w:color w:val="231F20"/>
          <w:spacing w:val="-9"/>
        </w:rPr>
        <w:t xml:space="preserve"> </w:t>
      </w:r>
      <w:r>
        <w:rPr>
          <w:color w:val="231F20"/>
        </w:rPr>
        <w:t>má</w:t>
      </w:r>
      <w:r>
        <w:rPr>
          <w:color w:val="231F20"/>
          <w:spacing w:val="-9"/>
        </w:rPr>
        <w:t xml:space="preserve"> </w:t>
      </w:r>
      <w:r>
        <w:rPr>
          <w:color w:val="231F20"/>
        </w:rPr>
        <w:t>klient</w:t>
      </w:r>
      <w:r>
        <w:rPr>
          <w:color w:val="231F20"/>
          <w:spacing w:val="-9"/>
        </w:rPr>
        <w:t xml:space="preserve"> </w:t>
      </w:r>
      <w:r>
        <w:rPr>
          <w:color w:val="231F20"/>
        </w:rPr>
        <w:t>možnost</w:t>
      </w:r>
      <w:r>
        <w:rPr>
          <w:color w:val="231F20"/>
          <w:spacing w:val="-9"/>
        </w:rPr>
        <w:t xml:space="preserve"> </w:t>
      </w:r>
      <w:r>
        <w:rPr>
          <w:color w:val="231F20"/>
        </w:rPr>
        <w:t>využít zapůjčení náhradního vozidla pouze za účelem dopravy do České</w:t>
      </w:r>
      <w:r>
        <w:rPr>
          <w:color w:val="231F20"/>
          <w:spacing w:val="-17"/>
        </w:rPr>
        <w:t xml:space="preserve"> </w:t>
      </w:r>
      <w:r>
        <w:rPr>
          <w:color w:val="231F20"/>
          <w:spacing w:val="-3"/>
        </w:rPr>
        <w:t xml:space="preserve">republiky </w:t>
      </w:r>
      <w:r>
        <w:rPr>
          <w:color w:val="231F20"/>
        </w:rPr>
        <w:t>po</w:t>
      </w:r>
      <w:r>
        <w:rPr>
          <w:color w:val="231F20"/>
          <w:spacing w:val="-10"/>
        </w:rPr>
        <w:t xml:space="preserve"> </w:t>
      </w:r>
      <w:r>
        <w:rPr>
          <w:color w:val="231F20"/>
        </w:rPr>
        <w:t>nezbytně</w:t>
      </w:r>
      <w:r>
        <w:rPr>
          <w:color w:val="231F20"/>
          <w:spacing w:val="-9"/>
        </w:rPr>
        <w:t xml:space="preserve"> </w:t>
      </w:r>
      <w:r>
        <w:rPr>
          <w:color w:val="231F20"/>
        </w:rPr>
        <w:t>nutnou</w:t>
      </w:r>
      <w:r>
        <w:rPr>
          <w:color w:val="231F20"/>
          <w:spacing w:val="-9"/>
        </w:rPr>
        <w:t xml:space="preserve"> </w:t>
      </w:r>
      <w:r>
        <w:rPr>
          <w:color w:val="231F20"/>
        </w:rPr>
        <w:t>dobu</w:t>
      </w:r>
      <w:r>
        <w:rPr>
          <w:color w:val="231F20"/>
          <w:spacing w:val="-10"/>
        </w:rPr>
        <w:t xml:space="preserve"> </w:t>
      </w:r>
      <w:r>
        <w:rPr>
          <w:color w:val="231F20"/>
        </w:rPr>
        <w:t>nebo</w:t>
      </w:r>
      <w:r>
        <w:rPr>
          <w:color w:val="231F20"/>
          <w:spacing w:val="-9"/>
        </w:rPr>
        <w:t xml:space="preserve"> </w:t>
      </w:r>
      <w:r>
        <w:rPr>
          <w:color w:val="231F20"/>
        </w:rPr>
        <w:t>náhradní</w:t>
      </w:r>
      <w:r>
        <w:rPr>
          <w:color w:val="231F20"/>
          <w:spacing w:val="-9"/>
        </w:rPr>
        <w:t xml:space="preserve"> </w:t>
      </w:r>
      <w:r>
        <w:rPr>
          <w:color w:val="231F20"/>
        </w:rPr>
        <w:t>přepravu</w:t>
      </w:r>
      <w:r>
        <w:rPr>
          <w:color w:val="231F20"/>
          <w:spacing w:val="-9"/>
        </w:rPr>
        <w:t xml:space="preserve"> </w:t>
      </w:r>
      <w:r>
        <w:rPr>
          <w:color w:val="231F20"/>
        </w:rPr>
        <w:t>osob.</w:t>
      </w:r>
      <w:r>
        <w:rPr>
          <w:color w:val="231F20"/>
          <w:spacing w:val="-10"/>
        </w:rPr>
        <w:t xml:space="preserve"> </w:t>
      </w:r>
      <w:r>
        <w:rPr>
          <w:color w:val="231F20"/>
        </w:rPr>
        <w:t>O</w:t>
      </w:r>
      <w:r>
        <w:rPr>
          <w:color w:val="231F20"/>
          <w:spacing w:val="-9"/>
        </w:rPr>
        <w:t xml:space="preserve"> </w:t>
      </w:r>
      <w:r>
        <w:rPr>
          <w:color w:val="231F20"/>
        </w:rPr>
        <w:t>volbě</w:t>
      </w:r>
      <w:r>
        <w:rPr>
          <w:color w:val="231F20"/>
          <w:spacing w:val="-9"/>
        </w:rPr>
        <w:t xml:space="preserve"> </w:t>
      </w:r>
      <w:r>
        <w:rPr>
          <w:color w:val="231F20"/>
        </w:rPr>
        <w:t>typu</w:t>
      </w:r>
      <w:r>
        <w:rPr>
          <w:color w:val="231F20"/>
          <w:spacing w:val="-10"/>
        </w:rPr>
        <w:t xml:space="preserve"> </w:t>
      </w:r>
      <w:r>
        <w:rPr>
          <w:color w:val="231F20"/>
          <w:spacing w:val="-3"/>
        </w:rPr>
        <w:t xml:space="preserve">služby </w:t>
      </w:r>
      <w:r>
        <w:rPr>
          <w:color w:val="231F20"/>
        </w:rPr>
        <w:t>rozhoduje poskytovatel</w:t>
      </w:r>
      <w:r>
        <w:rPr>
          <w:color w:val="231F20"/>
          <w:spacing w:val="-3"/>
        </w:rPr>
        <w:t xml:space="preserve"> </w:t>
      </w:r>
      <w:r>
        <w:rPr>
          <w:color w:val="231F20"/>
        </w:rPr>
        <w:t>asistence.</w:t>
      </w:r>
    </w:p>
    <w:p w14:paraId="04386602" w14:textId="77777777" w:rsidR="00F65BCA" w:rsidRDefault="00216117">
      <w:pPr>
        <w:pStyle w:val="Zkladntext"/>
        <w:spacing w:line="278" w:lineRule="auto"/>
        <w:ind w:left="710" w:hanging="283"/>
        <w:jc w:val="both"/>
      </w:pPr>
      <w:r>
        <w:rPr>
          <w:color w:val="231F20"/>
          <w:spacing w:val="-22"/>
          <w:position w:val="1"/>
          <w:sz w:val="14"/>
          <w:shd w:val="clear" w:color="auto" w:fill="D1D3D4"/>
        </w:rPr>
        <w:t xml:space="preserve"> </w:t>
      </w:r>
      <w:r>
        <w:rPr>
          <w:color w:val="231F20"/>
          <w:position w:val="1"/>
          <w:sz w:val="14"/>
          <w:shd w:val="clear" w:color="auto" w:fill="D1D3D4"/>
        </w:rPr>
        <w:t>19</w:t>
      </w:r>
      <w:r>
        <w:rPr>
          <w:color w:val="231F20"/>
          <w:position w:val="1"/>
          <w:sz w:val="14"/>
        </w:rPr>
        <w:t xml:space="preserve"> </w:t>
      </w:r>
      <w:r>
        <w:rPr>
          <w:color w:val="231F20"/>
        </w:rPr>
        <w:t xml:space="preserve">Telefonické tlumočení je služba, která obsahuje telefonické tlumočení </w:t>
      </w:r>
      <w:r>
        <w:rPr>
          <w:color w:val="231F20"/>
          <w:spacing w:val="-4"/>
        </w:rPr>
        <w:t xml:space="preserve">Pojiš- </w:t>
      </w:r>
      <w:r>
        <w:rPr>
          <w:color w:val="231F20"/>
        </w:rPr>
        <w:t xml:space="preserve">ťovny mezi oprávněnou osobou a orgánem veřejné moci z českého do </w:t>
      </w:r>
      <w:r>
        <w:rPr>
          <w:color w:val="231F20"/>
          <w:spacing w:val="-4"/>
        </w:rPr>
        <w:t xml:space="preserve">cizí- </w:t>
      </w:r>
      <w:r>
        <w:rPr>
          <w:color w:val="231F20"/>
        </w:rPr>
        <w:t>ho</w:t>
      </w:r>
      <w:r>
        <w:rPr>
          <w:color w:val="231F20"/>
          <w:spacing w:val="-7"/>
        </w:rPr>
        <w:t xml:space="preserve"> </w:t>
      </w:r>
      <w:r>
        <w:rPr>
          <w:color w:val="231F20"/>
        </w:rPr>
        <w:t>jazyka</w:t>
      </w:r>
      <w:r>
        <w:rPr>
          <w:color w:val="231F20"/>
          <w:spacing w:val="-6"/>
        </w:rPr>
        <w:t xml:space="preserve"> </w:t>
      </w:r>
      <w:r>
        <w:rPr>
          <w:color w:val="231F20"/>
        </w:rPr>
        <w:t>a</w:t>
      </w:r>
      <w:r>
        <w:rPr>
          <w:color w:val="231F20"/>
          <w:spacing w:val="-6"/>
        </w:rPr>
        <w:t xml:space="preserve"> </w:t>
      </w:r>
      <w:r>
        <w:rPr>
          <w:color w:val="231F20"/>
        </w:rPr>
        <w:t>naopak,</w:t>
      </w:r>
      <w:r>
        <w:rPr>
          <w:color w:val="231F20"/>
          <w:spacing w:val="-6"/>
        </w:rPr>
        <w:t xml:space="preserve"> </w:t>
      </w:r>
      <w:r>
        <w:rPr>
          <w:color w:val="231F20"/>
        </w:rPr>
        <w:t>pokud</w:t>
      </w:r>
      <w:r>
        <w:rPr>
          <w:color w:val="231F20"/>
          <w:spacing w:val="-6"/>
        </w:rPr>
        <w:t xml:space="preserve"> </w:t>
      </w:r>
      <w:r>
        <w:rPr>
          <w:color w:val="231F20"/>
        </w:rPr>
        <w:t>je</w:t>
      </w:r>
      <w:r>
        <w:rPr>
          <w:color w:val="231F20"/>
          <w:spacing w:val="-6"/>
        </w:rPr>
        <w:t xml:space="preserve"> </w:t>
      </w:r>
      <w:r>
        <w:rPr>
          <w:color w:val="231F20"/>
        </w:rPr>
        <w:t>v</w:t>
      </w:r>
      <w:r>
        <w:rPr>
          <w:color w:val="231F20"/>
          <w:spacing w:val="-6"/>
        </w:rPr>
        <w:t xml:space="preserve"> </w:t>
      </w:r>
      <w:r>
        <w:rPr>
          <w:color w:val="231F20"/>
        </w:rPr>
        <w:t>souvislosti</w:t>
      </w:r>
      <w:r>
        <w:rPr>
          <w:color w:val="231F20"/>
          <w:spacing w:val="-6"/>
        </w:rPr>
        <w:t xml:space="preserve"> </w:t>
      </w:r>
      <w:r>
        <w:rPr>
          <w:color w:val="231F20"/>
        </w:rPr>
        <w:t>s</w:t>
      </w:r>
      <w:r>
        <w:rPr>
          <w:color w:val="231F20"/>
          <w:spacing w:val="-6"/>
        </w:rPr>
        <w:t xml:space="preserve"> </w:t>
      </w:r>
      <w:r>
        <w:rPr>
          <w:color w:val="231F20"/>
        </w:rPr>
        <w:t>pojistnou</w:t>
      </w:r>
      <w:r>
        <w:rPr>
          <w:color w:val="231F20"/>
          <w:spacing w:val="-7"/>
        </w:rPr>
        <w:t xml:space="preserve"> </w:t>
      </w:r>
      <w:r>
        <w:rPr>
          <w:color w:val="231F20"/>
        </w:rPr>
        <w:t>událostí</w:t>
      </w:r>
      <w:r>
        <w:rPr>
          <w:color w:val="231F20"/>
          <w:spacing w:val="-6"/>
        </w:rPr>
        <w:t xml:space="preserve"> </w:t>
      </w:r>
      <w:r>
        <w:rPr>
          <w:color w:val="231F20"/>
        </w:rPr>
        <w:t>nutné</w:t>
      </w:r>
      <w:r>
        <w:rPr>
          <w:color w:val="231F20"/>
          <w:spacing w:val="-6"/>
        </w:rPr>
        <w:t xml:space="preserve"> </w:t>
      </w:r>
      <w:r>
        <w:rPr>
          <w:color w:val="231F20"/>
          <w:spacing w:val="-3"/>
        </w:rPr>
        <w:t xml:space="preserve">jednání </w:t>
      </w:r>
      <w:r>
        <w:rPr>
          <w:color w:val="231F20"/>
        </w:rPr>
        <w:t>oprávněné</w:t>
      </w:r>
      <w:r>
        <w:rPr>
          <w:color w:val="231F20"/>
          <w:spacing w:val="-13"/>
        </w:rPr>
        <w:t xml:space="preserve"> </w:t>
      </w:r>
      <w:r>
        <w:rPr>
          <w:color w:val="231F20"/>
        </w:rPr>
        <w:t>osoby</w:t>
      </w:r>
      <w:r>
        <w:rPr>
          <w:color w:val="231F20"/>
          <w:spacing w:val="-13"/>
        </w:rPr>
        <w:t xml:space="preserve"> </w:t>
      </w:r>
      <w:r>
        <w:rPr>
          <w:color w:val="231F20"/>
        </w:rPr>
        <w:t>s</w:t>
      </w:r>
      <w:r>
        <w:rPr>
          <w:color w:val="231F20"/>
          <w:spacing w:val="-13"/>
        </w:rPr>
        <w:t xml:space="preserve"> </w:t>
      </w:r>
      <w:r>
        <w:rPr>
          <w:color w:val="231F20"/>
        </w:rPr>
        <w:t>takovým</w:t>
      </w:r>
      <w:r>
        <w:rPr>
          <w:color w:val="231F20"/>
          <w:spacing w:val="-13"/>
        </w:rPr>
        <w:t xml:space="preserve"> </w:t>
      </w:r>
      <w:r>
        <w:rPr>
          <w:color w:val="231F20"/>
        </w:rPr>
        <w:t>orgánem</w:t>
      </w:r>
      <w:r>
        <w:rPr>
          <w:color w:val="231F20"/>
          <w:spacing w:val="-13"/>
        </w:rPr>
        <w:t xml:space="preserve"> </w:t>
      </w:r>
      <w:r>
        <w:rPr>
          <w:color w:val="231F20"/>
        </w:rPr>
        <w:t>(oprávněné</w:t>
      </w:r>
      <w:r>
        <w:rPr>
          <w:color w:val="231F20"/>
          <w:spacing w:val="-13"/>
        </w:rPr>
        <w:t xml:space="preserve"> </w:t>
      </w:r>
      <w:r>
        <w:rPr>
          <w:color w:val="231F20"/>
        </w:rPr>
        <w:t>osoby</w:t>
      </w:r>
      <w:r>
        <w:rPr>
          <w:color w:val="231F20"/>
          <w:spacing w:val="-13"/>
        </w:rPr>
        <w:t xml:space="preserve"> </w:t>
      </w:r>
      <w:r>
        <w:rPr>
          <w:color w:val="231F20"/>
        </w:rPr>
        <w:t>mohou</w:t>
      </w:r>
      <w:r>
        <w:rPr>
          <w:color w:val="231F20"/>
          <w:spacing w:val="-13"/>
        </w:rPr>
        <w:t xml:space="preserve"> </w:t>
      </w:r>
      <w:r>
        <w:rPr>
          <w:color w:val="231F20"/>
        </w:rPr>
        <w:t>například</w:t>
      </w:r>
      <w:r>
        <w:rPr>
          <w:color w:val="231F20"/>
          <w:spacing w:val="-13"/>
        </w:rPr>
        <w:t xml:space="preserve"> </w:t>
      </w:r>
      <w:r>
        <w:rPr>
          <w:color w:val="231F20"/>
          <w:spacing w:val="-9"/>
        </w:rPr>
        <w:t xml:space="preserve">po </w:t>
      </w:r>
      <w:r>
        <w:rPr>
          <w:color w:val="231F20"/>
        </w:rPr>
        <w:t>dopravní</w:t>
      </w:r>
      <w:r>
        <w:rPr>
          <w:color w:val="231F20"/>
          <w:spacing w:val="-15"/>
        </w:rPr>
        <w:t xml:space="preserve"> </w:t>
      </w:r>
      <w:r>
        <w:rPr>
          <w:color w:val="231F20"/>
        </w:rPr>
        <w:t>nehodě</w:t>
      </w:r>
      <w:r>
        <w:rPr>
          <w:color w:val="231F20"/>
          <w:spacing w:val="-14"/>
        </w:rPr>
        <w:t xml:space="preserve"> </w:t>
      </w:r>
      <w:r>
        <w:rPr>
          <w:color w:val="231F20"/>
        </w:rPr>
        <w:t>zavolat</w:t>
      </w:r>
      <w:r>
        <w:rPr>
          <w:color w:val="231F20"/>
          <w:spacing w:val="-14"/>
        </w:rPr>
        <w:t xml:space="preserve"> </w:t>
      </w:r>
      <w:r>
        <w:rPr>
          <w:color w:val="231F20"/>
        </w:rPr>
        <w:t>na</w:t>
      </w:r>
      <w:r>
        <w:rPr>
          <w:color w:val="231F20"/>
          <w:spacing w:val="-14"/>
        </w:rPr>
        <w:t xml:space="preserve"> </w:t>
      </w:r>
      <w:r>
        <w:rPr>
          <w:color w:val="231F20"/>
        </w:rPr>
        <w:t>linku</w:t>
      </w:r>
      <w:r>
        <w:rPr>
          <w:color w:val="231F20"/>
          <w:spacing w:val="-15"/>
        </w:rPr>
        <w:t xml:space="preserve"> </w:t>
      </w:r>
      <w:r>
        <w:rPr>
          <w:color w:val="231F20"/>
        </w:rPr>
        <w:t>poskytovatele</w:t>
      </w:r>
      <w:r>
        <w:rPr>
          <w:color w:val="231F20"/>
          <w:spacing w:val="-14"/>
        </w:rPr>
        <w:t xml:space="preserve"> </w:t>
      </w:r>
      <w:r>
        <w:rPr>
          <w:color w:val="231F20"/>
        </w:rPr>
        <w:t>asistence</w:t>
      </w:r>
      <w:r>
        <w:rPr>
          <w:color w:val="231F20"/>
          <w:spacing w:val="-14"/>
        </w:rPr>
        <w:t xml:space="preserve"> </w:t>
      </w:r>
      <w:r>
        <w:rPr>
          <w:color w:val="231F20"/>
        </w:rPr>
        <w:t>a</w:t>
      </w:r>
      <w:r>
        <w:rPr>
          <w:color w:val="231F20"/>
          <w:spacing w:val="-14"/>
        </w:rPr>
        <w:t xml:space="preserve"> </w:t>
      </w:r>
      <w:r>
        <w:rPr>
          <w:color w:val="231F20"/>
        </w:rPr>
        <w:t>požádat</w:t>
      </w:r>
      <w:r>
        <w:rPr>
          <w:color w:val="231F20"/>
          <w:spacing w:val="-15"/>
        </w:rPr>
        <w:t xml:space="preserve"> </w:t>
      </w:r>
      <w:r>
        <w:rPr>
          <w:color w:val="231F20"/>
        </w:rPr>
        <w:t>o</w:t>
      </w:r>
      <w:r>
        <w:rPr>
          <w:color w:val="231F20"/>
          <w:spacing w:val="-14"/>
        </w:rPr>
        <w:t xml:space="preserve"> </w:t>
      </w:r>
      <w:r>
        <w:rPr>
          <w:color w:val="231F20"/>
        </w:rPr>
        <w:t>telefo- nické</w:t>
      </w:r>
      <w:r>
        <w:rPr>
          <w:color w:val="231F20"/>
          <w:spacing w:val="-17"/>
        </w:rPr>
        <w:t xml:space="preserve"> </w:t>
      </w:r>
      <w:r>
        <w:rPr>
          <w:color w:val="231F20"/>
        </w:rPr>
        <w:t>tlumočení</w:t>
      </w:r>
      <w:r>
        <w:rPr>
          <w:color w:val="231F20"/>
          <w:spacing w:val="-17"/>
        </w:rPr>
        <w:t xml:space="preserve"> </w:t>
      </w:r>
      <w:r>
        <w:rPr>
          <w:color w:val="231F20"/>
        </w:rPr>
        <w:t>jednání</w:t>
      </w:r>
      <w:r>
        <w:rPr>
          <w:color w:val="231F20"/>
          <w:spacing w:val="-17"/>
        </w:rPr>
        <w:t xml:space="preserve"> </w:t>
      </w:r>
      <w:r>
        <w:rPr>
          <w:color w:val="231F20"/>
        </w:rPr>
        <w:t>mezi</w:t>
      </w:r>
      <w:r>
        <w:rPr>
          <w:color w:val="231F20"/>
          <w:spacing w:val="-17"/>
        </w:rPr>
        <w:t xml:space="preserve"> </w:t>
      </w:r>
      <w:r>
        <w:rPr>
          <w:color w:val="231F20"/>
        </w:rPr>
        <w:t>nimi</w:t>
      </w:r>
      <w:r>
        <w:rPr>
          <w:color w:val="231F20"/>
          <w:spacing w:val="-16"/>
        </w:rPr>
        <w:t xml:space="preserve"> </w:t>
      </w:r>
      <w:r>
        <w:rPr>
          <w:color w:val="231F20"/>
        </w:rPr>
        <w:t>a</w:t>
      </w:r>
      <w:r>
        <w:rPr>
          <w:color w:val="231F20"/>
          <w:spacing w:val="-17"/>
        </w:rPr>
        <w:t xml:space="preserve"> </w:t>
      </w:r>
      <w:r>
        <w:rPr>
          <w:color w:val="231F20"/>
        </w:rPr>
        <w:t>policií).</w:t>
      </w:r>
      <w:r>
        <w:rPr>
          <w:color w:val="231F20"/>
          <w:spacing w:val="-17"/>
        </w:rPr>
        <w:t xml:space="preserve"> </w:t>
      </w:r>
      <w:r>
        <w:rPr>
          <w:color w:val="231F20"/>
        </w:rPr>
        <w:t>Telefonické</w:t>
      </w:r>
      <w:r>
        <w:rPr>
          <w:color w:val="231F20"/>
          <w:spacing w:val="-17"/>
        </w:rPr>
        <w:t xml:space="preserve"> </w:t>
      </w:r>
      <w:r>
        <w:rPr>
          <w:color w:val="231F20"/>
        </w:rPr>
        <w:t>tlumočení</w:t>
      </w:r>
      <w:r>
        <w:rPr>
          <w:color w:val="231F20"/>
          <w:spacing w:val="-16"/>
        </w:rPr>
        <w:t xml:space="preserve"> </w:t>
      </w:r>
      <w:r>
        <w:rPr>
          <w:color w:val="231F20"/>
          <w:spacing w:val="-3"/>
        </w:rPr>
        <w:t xml:space="preserve">poskytova- </w:t>
      </w:r>
      <w:r>
        <w:rPr>
          <w:color w:val="231F20"/>
        </w:rPr>
        <w:t>tel</w:t>
      </w:r>
      <w:r>
        <w:rPr>
          <w:color w:val="231F20"/>
          <w:spacing w:val="-13"/>
        </w:rPr>
        <w:t xml:space="preserve"> </w:t>
      </w:r>
      <w:r>
        <w:rPr>
          <w:color w:val="231F20"/>
        </w:rPr>
        <w:t>asistence</w:t>
      </w:r>
      <w:r>
        <w:rPr>
          <w:color w:val="231F20"/>
          <w:spacing w:val="-13"/>
        </w:rPr>
        <w:t xml:space="preserve"> </w:t>
      </w:r>
      <w:r>
        <w:rPr>
          <w:color w:val="231F20"/>
        </w:rPr>
        <w:t>zajišťuje</w:t>
      </w:r>
      <w:r>
        <w:rPr>
          <w:color w:val="231F20"/>
          <w:spacing w:val="-13"/>
        </w:rPr>
        <w:t xml:space="preserve"> </w:t>
      </w:r>
      <w:r>
        <w:rPr>
          <w:color w:val="231F20"/>
        </w:rPr>
        <w:t>z</w:t>
      </w:r>
      <w:r>
        <w:rPr>
          <w:color w:val="231F20"/>
          <w:spacing w:val="-12"/>
        </w:rPr>
        <w:t xml:space="preserve"> </w:t>
      </w:r>
      <w:r>
        <w:rPr>
          <w:color w:val="231F20"/>
        </w:rPr>
        <w:t>českého</w:t>
      </w:r>
      <w:r>
        <w:rPr>
          <w:color w:val="231F20"/>
          <w:spacing w:val="-13"/>
        </w:rPr>
        <w:t xml:space="preserve"> </w:t>
      </w:r>
      <w:r>
        <w:rPr>
          <w:color w:val="231F20"/>
        </w:rPr>
        <w:t>do</w:t>
      </w:r>
      <w:r>
        <w:rPr>
          <w:color w:val="231F20"/>
          <w:spacing w:val="-13"/>
        </w:rPr>
        <w:t xml:space="preserve"> </w:t>
      </w:r>
      <w:r>
        <w:rPr>
          <w:color w:val="231F20"/>
        </w:rPr>
        <w:t>anglického,</w:t>
      </w:r>
      <w:r>
        <w:rPr>
          <w:color w:val="231F20"/>
          <w:spacing w:val="-12"/>
        </w:rPr>
        <w:t xml:space="preserve"> </w:t>
      </w:r>
      <w:r>
        <w:rPr>
          <w:color w:val="231F20"/>
        </w:rPr>
        <w:t>německého</w:t>
      </w:r>
      <w:r>
        <w:rPr>
          <w:color w:val="231F20"/>
          <w:spacing w:val="-13"/>
        </w:rPr>
        <w:t xml:space="preserve"> </w:t>
      </w:r>
      <w:r>
        <w:rPr>
          <w:color w:val="231F20"/>
        </w:rPr>
        <w:t>a</w:t>
      </w:r>
      <w:r>
        <w:rPr>
          <w:color w:val="231F20"/>
          <w:spacing w:val="-13"/>
        </w:rPr>
        <w:t xml:space="preserve"> </w:t>
      </w:r>
      <w:r>
        <w:rPr>
          <w:color w:val="231F20"/>
          <w:spacing w:val="-2"/>
        </w:rPr>
        <w:t xml:space="preserve">francouzského </w:t>
      </w:r>
      <w:r>
        <w:rPr>
          <w:color w:val="231F20"/>
        </w:rPr>
        <w:t>jazyka a naopak; poskytovatel asistence může podle svých možností</w:t>
      </w:r>
      <w:r>
        <w:rPr>
          <w:color w:val="231F20"/>
          <w:spacing w:val="-28"/>
        </w:rPr>
        <w:t xml:space="preserve"> </w:t>
      </w:r>
      <w:r>
        <w:rPr>
          <w:color w:val="231F20"/>
          <w:spacing w:val="-3"/>
        </w:rPr>
        <w:t xml:space="preserve">zajistit </w:t>
      </w:r>
      <w:r>
        <w:rPr>
          <w:color w:val="231F20"/>
        </w:rPr>
        <w:t>telefonické tlumočení i jiných</w:t>
      </w:r>
      <w:r>
        <w:rPr>
          <w:color w:val="231F20"/>
          <w:spacing w:val="-7"/>
        </w:rPr>
        <w:t xml:space="preserve"> </w:t>
      </w:r>
      <w:r>
        <w:rPr>
          <w:color w:val="231F20"/>
        </w:rPr>
        <w:t>jazyků.</w:t>
      </w:r>
    </w:p>
    <w:p w14:paraId="02ADFC13" w14:textId="77777777" w:rsidR="00F65BCA" w:rsidRDefault="00216117">
      <w:pPr>
        <w:pStyle w:val="Zkladntext"/>
        <w:spacing w:line="278" w:lineRule="auto"/>
        <w:ind w:left="710" w:hanging="283"/>
        <w:jc w:val="both"/>
      </w:pPr>
      <w:r>
        <w:rPr>
          <w:color w:val="231F20"/>
          <w:spacing w:val="-22"/>
          <w:position w:val="1"/>
          <w:sz w:val="14"/>
          <w:shd w:val="clear" w:color="auto" w:fill="D1D3D4"/>
        </w:rPr>
        <w:t xml:space="preserve"> </w:t>
      </w:r>
      <w:r>
        <w:rPr>
          <w:color w:val="231F20"/>
          <w:position w:val="1"/>
          <w:sz w:val="14"/>
          <w:shd w:val="clear" w:color="auto" w:fill="D1D3D4"/>
        </w:rPr>
        <w:t>20</w:t>
      </w:r>
      <w:r>
        <w:rPr>
          <w:color w:val="231F20"/>
          <w:position w:val="1"/>
          <w:sz w:val="14"/>
        </w:rPr>
        <w:t xml:space="preserve"> </w:t>
      </w:r>
      <w:r>
        <w:rPr>
          <w:color w:val="231F20"/>
        </w:rPr>
        <w:t xml:space="preserve">Úschova nepojízdného vozidla je služba, která obsahuje úhradu nákladů </w:t>
      </w:r>
      <w:r>
        <w:rPr>
          <w:color w:val="231F20"/>
          <w:spacing w:val="-9"/>
        </w:rPr>
        <w:t xml:space="preserve">za </w:t>
      </w:r>
      <w:r>
        <w:rPr>
          <w:color w:val="231F20"/>
        </w:rPr>
        <w:t xml:space="preserve">uschování vozidla po dobu uvedenou pro jednotlivé varianty asistence, </w:t>
      </w:r>
      <w:r>
        <w:rPr>
          <w:color w:val="231F20"/>
          <w:spacing w:val="-4"/>
        </w:rPr>
        <w:t xml:space="preserve">nej- </w:t>
      </w:r>
      <w:r>
        <w:rPr>
          <w:color w:val="231F20"/>
        </w:rPr>
        <w:t>déle</w:t>
      </w:r>
      <w:r>
        <w:rPr>
          <w:color w:val="231F20"/>
          <w:spacing w:val="-6"/>
        </w:rPr>
        <w:t xml:space="preserve"> </w:t>
      </w:r>
      <w:r>
        <w:rPr>
          <w:color w:val="231F20"/>
        </w:rPr>
        <w:t>však</w:t>
      </w:r>
      <w:r>
        <w:rPr>
          <w:color w:val="231F20"/>
          <w:spacing w:val="-5"/>
        </w:rPr>
        <w:t xml:space="preserve"> </w:t>
      </w:r>
      <w:r>
        <w:rPr>
          <w:color w:val="231F20"/>
        </w:rPr>
        <w:t>do</w:t>
      </w:r>
      <w:r>
        <w:rPr>
          <w:color w:val="231F20"/>
          <w:spacing w:val="-5"/>
        </w:rPr>
        <w:t xml:space="preserve"> </w:t>
      </w:r>
      <w:r>
        <w:rPr>
          <w:color w:val="231F20"/>
          <w:spacing w:val="-3"/>
        </w:rPr>
        <w:t>doby,</w:t>
      </w:r>
      <w:r>
        <w:rPr>
          <w:color w:val="231F20"/>
          <w:spacing w:val="-6"/>
        </w:rPr>
        <w:t xml:space="preserve"> </w:t>
      </w:r>
      <w:r>
        <w:rPr>
          <w:color w:val="231F20"/>
        </w:rPr>
        <w:t>kdy</w:t>
      </w:r>
      <w:r>
        <w:rPr>
          <w:color w:val="231F20"/>
          <w:spacing w:val="-5"/>
        </w:rPr>
        <w:t xml:space="preserve"> </w:t>
      </w:r>
      <w:r>
        <w:rPr>
          <w:color w:val="231F20"/>
        </w:rPr>
        <w:t>je</w:t>
      </w:r>
      <w:r>
        <w:rPr>
          <w:color w:val="231F20"/>
          <w:spacing w:val="-5"/>
        </w:rPr>
        <w:t xml:space="preserve"> </w:t>
      </w:r>
      <w:r>
        <w:rPr>
          <w:color w:val="231F20"/>
        </w:rPr>
        <w:t>vozidlo</w:t>
      </w:r>
      <w:r>
        <w:rPr>
          <w:color w:val="231F20"/>
          <w:spacing w:val="-6"/>
        </w:rPr>
        <w:t xml:space="preserve"> </w:t>
      </w:r>
      <w:r>
        <w:rPr>
          <w:color w:val="231F20"/>
        </w:rPr>
        <w:t>předáno</w:t>
      </w:r>
      <w:r>
        <w:rPr>
          <w:color w:val="231F20"/>
          <w:spacing w:val="-5"/>
        </w:rPr>
        <w:t xml:space="preserve"> </w:t>
      </w:r>
      <w:r>
        <w:rPr>
          <w:color w:val="231F20"/>
        </w:rPr>
        <w:t>v</w:t>
      </w:r>
      <w:r>
        <w:rPr>
          <w:color w:val="231F20"/>
          <w:spacing w:val="-5"/>
        </w:rPr>
        <w:t xml:space="preserve"> </w:t>
      </w:r>
      <w:r>
        <w:rPr>
          <w:color w:val="231F20"/>
        </w:rPr>
        <w:t>nejbližším</w:t>
      </w:r>
      <w:r>
        <w:rPr>
          <w:color w:val="231F20"/>
          <w:spacing w:val="-6"/>
        </w:rPr>
        <w:t xml:space="preserve"> </w:t>
      </w:r>
      <w:r>
        <w:rPr>
          <w:color w:val="231F20"/>
        </w:rPr>
        <w:t>smluvním</w:t>
      </w:r>
      <w:r>
        <w:rPr>
          <w:color w:val="231F20"/>
          <w:spacing w:val="-5"/>
        </w:rPr>
        <w:t xml:space="preserve"> </w:t>
      </w:r>
      <w:r>
        <w:rPr>
          <w:color w:val="231F20"/>
        </w:rPr>
        <w:t>nebo</w:t>
      </w:r>
      <w:r>
        <w:rPr>
          <w:color w:val="231F20"/>
          <w:spacing w:val="-5"/>
        </w:rPr>
        <w:t xml:space="preserve"> </w:t>
      </w:r>
      <w:r>
        <w:rPr>
          <w:color w:val="231F20"/>
          <w:spacing w:val="-3"/>
        </w:rPr>
        <w:t xml:space="preserve">jiném </w:t>
      </w:r>
      <w:r>
        <w:rPr>
          <w:color w:val="231F20"/>
        </w:rPr>
        <w:t>vhodném servisu k opravě, nebo do doby jeho repatriace nebo ekologické likvidace.</w:t>
      </w:r>
      <w:r>
        <w:rPr>
          <w:color w:val="231F20"/>
          <w:spacing w:val="-15"/>
        </w:rPr>
        <w:t xml:space="preserve"> </w:t>
      </w:r>
      <w:r>
        <w:rPr>
          <w:color w:val="231F20"/>
        </w:rPr>
        <w:t>Služba</w:t>
      </w:r>
      <w:r>
        <w:rPr>
          <w:color w:val="231F20"/>
          <w:spacing w:val="-15"/>
        </w:rPr>
        <w:t xml:space="preserve"> </w:t>
      </w:r>
      <w:r>
        <w:rPr>
          <w:color w:val="231F20"/>
        </w:rPr>
        <w:t>je</w:t>
      </w:r>
      <w:r>
        <w:rPr>
          <w:color w:val="231F20"/>
          <w:spacing w:val="-15"/>
        </w:rPr>
        <w:t xml:space="preserve"> </w:t>
      </w:r>
      <w:r>
        <w:rPr>
          <w:color w:val="231F20"/>
        </w:rPr>
        <w:t>poskytována</w:t>
      </w:r>
      <w:r>
        <w:rPr>
          <w:color w:val="231F20"/>
          <w:spacing w:val="-14"/>
        </w:rPr>
        <w:t xml:space="preserve"> </w:t>
      </w:r>
      <w:r>
        <w:rPr>
          <w:color w:val="231F20"/>
        </w:rPr>
        <w:t>maximálně</w:t>
      </w:r>
      <w:r>
        <w:rPr>
          <w:color w:val="231F20"/>
          <w:spacing w:val="-15"/>
        </w:rPr>
        <w:t xml:space="preserve"> </w:t>
      </w:r>
      <w:r>
        <w:rPr>
          <w:color w:val="231F20"/>
        </w:rPr>
        <w:t>do</w:t>
      </w:r>
      <w:r>
        <w:rPr>
          <w:color w:val="231F20"/>
          <w:spacing w:val="-15"/>
        </w:rPr>
        <w:t xml:space="preserve"> </w:t>
      </w:r>
      <w:r>
        <w:rPr>
          <w:color w:val="231F20"/>
        </w:rPr>
        <w:t>limitu</w:t>
      </w:r>
      <w:r>
        <w:rPr>
          <w:color w:val="231F20"/>
          <w:spacing w:val="-15"/>
        </w:rPr>
        <w:t xml:space="preserve"> </w:t>
      </w:r>
      <w:r>
        <w:rPr>
          <w:color w:val="231F20"/>
        </w:rPr>
        <w:t>uvedeného</w:t>
      </w:r>
      <w:r>
        <w:rPr>
          <w:color w:val="231F20"/>
          <w:spacing w:val="-14"/>
        </w:rPr>
        <w:t xml:space="preserve"> </w:t>
      </w:r>
      <w:r>
        <w:rPr>
          <w:color w:val="231F20"/>
        </w:rPr>
        <w:t>v</w:t>
      </w:r>
      <w:r>
        <w:rPr>
          <w:color w:val="231F20"/>
          <w:spacing w:val="-15"/>
        </w:rPr>
        <w:t xml:space="preserve"> </w:t>
      </w:r>
      <w:r>
        <w:rPr>
          <w:color w:val="231F20"/>
        </w:rPr>
        <w:t>tabulkách Rozsah a limity asistenčních</w:t>
      </w:r>
      <w:r>
        <w:rPr>
          <w:color w:val="231F20"/>
          <w:spacing w:val="-7"/>
        </w:rPr>
        <w:t xml:space="preserve"> </w:t>
      </w:r>
      <w:r>
        <w:rPr>
          <w:color w:val="231F20"/>
        </w:rPr>
        <w:t>služeb.</w:t>
      </w:r>
    </w:p>
    <w:p w14:paraId="67AC11DB" w14:textId="77777777" w:rsidR="00F65BCA" w:rsidRDefault="00216117">
      <w:pPr>
        <w:pStyle w:val="Zkladntext"/>
        <w:spacing w:line="278" w:lineRule="auto"/>
        <w:ind w:left="710" w:hanging="283"/>
        <w:jc w:val="both"/>
      </w:pPr>
      <w:r>
        <w:rPr>
          <w:color w:val="231F20"/>
          <w:spacing w:val="-22"/>
          <w:position w:val="1"/>
          <w:sz w:val="14"/>
          <w:shd w:val="clear" w:color="auto" w:fill="D1D3D4"/>
        </w:rPr>
        <w:t xml:space="preserve"> </w:t>
      </w:r>
      <w:r>
        <w:rPr>
          <w:color w:val="231F20"/>
          <w:position w:val="1"/>
          <w:sz w:val="14"/>
          <w:shd w:val="clear" w:color="auto" w:fill="D1D3D4"/>
        </w:rPr>
        <w:t>21</w:t>
      </w:r>
      <w:r>
        <w:rPr>
          <w:color w:val="231F20"/>
          <w:position w:val="1"/>
          <w:sz w:val="14"/>
        </w:rPr>
        <w:t xml:space="preserve"> </w:t>
      </w:r>
      <w:r>
        <w:rPr>
          <w:color w:val="231F20"/>
        </w:rPr>
        <w:t>Vyproštění vozidla speciální technikou je služba, spočívající v navrácení</w:t>
      </w:r>
      <w:r>
        <w:rPr>
          <w:color w:val="231F20"/>
          <w:spacing w:val="-17"/>
        </w:rPr>
        <w:t xml:space="preserve"> </w:t>
      </w:r>
      <w:r>
        <w:rPr>
          <w:color w:val="231F20"/>
          <w:spacing w:val="-5"/>
        </w:rPr>
        <w:t xml:space="preserve">vo- </w:t>
      </w:r>
      <w:r>
        <w:rPr>
          <w:color w:val="231F20"/>
        </w:rPr>
        <w:t>zidla</w:t>
      </w:r>
      <w:r>
        <w:rPr>
          <w:color w:val="231F20"/>
          <w:spacing w:val="-15"/>
        </w:rPr>
        <w:t xml:space="preserve"> </w:t>
      </w:r>
      <w:r>
        <w:rPr>
          <w:color w:val="231F20"/>
        </w:rPr>
        <w:t>zpět</w:t>
      </w:r>
      <w:r>
        <w:rPr>
          <w:color w:val="231F20"/>
          <w:spacing w:val="-15"/>
        </w:rPr>
        <w:t xml:space="preserve"> </w:t>
      </w:r>
      <w:r>
        <w:rPr>
          <w:color w:val="231F20"/>
        </w:rPr>
        <w:t>na</w:t>
      </w:r>
      <w:r>
        <w:rPr>
          <w:color w:val="231F20"/>
          <w:spacing w:val="-14"/>
        </w:rPr>
        <w:t xml:space="preserve"> </w:t>
      </w:r>
      <w:r>
        <w:rPr>
          <w:color w:val="231F20"/>
        </w:rPr>
        <w:t>komunikaci</w:t>
      </w:r>
      <w:r>
        <w:rPr>
          <w:color w:val="231F20"/>
          <w:spacing w:val="-15"/>
        </w:rPr>
        <w:t xml:space="preserve"> </w:t>
      </w:r>
      <w:r>
        <w:rPr>
          <w:color w:val="231F20"/>
        </w:rPr>
        <w:t>či</w:t>
      </w:r>
      <w:r>
        <w:rPr>
          <w:color w:val="231F20"/>
          <w:spacing w:val="-14"/>
        </w:rPr>
        <w:t xml:space="preserve"> </w:t>
      </w:r>
      <w:r>
        <w:rPr>
          <w:color w:val="231F20"/>
        </w:rPr>
        <w:t>navrácení</w:t>
      </w:r>
      <w:r>
        <w:rPr>
          <w:color w:val="231F20"/>
          <w:spacing w:val="-15"/>
        </w:rPr>
        <w:t xml:space="preserve"> </w:t>
      </w:r>
      <w:r>
        <w:rPr>
          <w:color w:val="231F20"/>
        </w:rPr>
        <w:t>převrženého</w:t>
      </w:r>
      <w:r>
        <w:rPr>
          <w:color w:val="231F20"/>
          <w:spacing w:val="-14"/>
        </w:rPr>
        <w:t xml:space="preserve"> </w:t>
      </w:r>
      <w:r>
        <w:rPr>
          <w:color w:val="231F20"/>
        </w:rPr>
        <w:t>vozidla</w:t>
      </w:r>
      <w:r>
        <w:rPr>
          <w:color w:val="231F20"/>
          <w:spacing w:val="-15"/>
        </w:rPr>
        <w:t xml:space="preserve"> </w:t>
      </w:r>
      <w:r>
        <w:rPr>
          <w:color w:val="231F20"/>
        </w:rPr>
        <w:t>zpět</w:t>
      </w:r>
      <w:r>
        <w:rPr>
          <w:color w:val="231F20"/>
          <w:spacing w:val="-14"/>
        </w:rPr>
        <w:t xml:space="preserve"> </w:t>
      </w:r>
      <w:r>
        <w:rPr>
          <w:color w:val="231F20"/>
        </w:rPr>
        <w:t>do</w:t>
      </w:r>
      <w:r>
        <w:rPr>
          <w:color w:val="231F20"/>
          <w:spacing w:val="-15"/>
        </w:rPr>
        <w:t xml:space="preserve"> </w:t>
      </w:r>
      <w:r>
        <w:rPr>
          <w:color w:val="231F20"/>
          <w:spacing w:val="-3"/>
        </w:rPr>
        <w:t xml:space="preserve">standardní </w:t>
      </w:r>
      <w:r>
        <w:rPr>
          <w:color w:val="231F20"/>
        </w:rPr>
        <w:t>provozní</w:t>
      </w:r>
      <w:r>
        <w:rPr>
          <w:color w:val="231F20"/>
          <w:spacing w:val="-5"/>
        </w:rPr>
        <w:t xml:space="preserve"> </w:t>
      </w:r>
      <w:r>
        <w:rPr>
          <w:color w:val="231F20"/>
        </w:rPr>
        <w:t>polohy,</w:t>
      </w:r>
      <w:r>
        <w:rPr>
          <w:color w:val="231F20"/>
          <w:spacing w:val="-5"/>
        </w:rPr>
        <w:t xml:space="preserve"> </w:t>
      </w:r>
      <w:r>
        <w:rPr>
          <w:color w:val="231F20"/>
        </w:rPr>
        <w:t>které</w:t>
      </w:r>
      <w:r>
        <w:rPr>
          <w:color w:val="231F20"/>
          <w:spacing w:val="-5"/>
        </w:rPr>
        <w:t xml:space="preserve"> </w:t>
      </w:r>
      <w:r>
        <w:rPr>
          <w:color w:val="231F20"/>
        </w:rPr>
        <w:t>nezvládne</w:t>
      </w:r>
      <w:r>
        <w:rPr>
          <w:color w:val="231F20"/>
          <w:spacing w:val="-5"/>
        </w:rPr>
        <w:t xml:space="preserve"> </w:t>
      </w:r>
      <w:r>
        <w:rPr>
          <w:color w:val="231F20"/>
        </w:rPr>
        <w:t>běžné</w:t>
      </w:r>
      <w:r>
        <w:rPr>
          <w:color w:val="231F20"/>
          <w:spacing w:val="-4"/>
        </w:rPr>
        <w:t xml:space="preserve"> </w:t>
      </w:r>
      <w:r>
        <w:rPr>
          <w:color w:val="231F20"/>
        </w:rPr>
        <w:t>odtahové</w:t>
      </w:r>
      <w:r>
        <w:rPr>
          <w:color w:val="231F20"/>
          <w:spacing w:val="-5"/>
        </w:rPr>
        <w:t xml:space="preserve"> </w:t>
      </w:r>
      <w:r>
        <w:rPr>
          <w:color w:val="231F20"/>
        </w:rPr>
        <w:t>vozidlo</w:t>
      </w:r>
      <w:r>
        <w:rPr>
          <w:color w:val="231F20"/>
          <w:spacing w:val="-5"/>
        </w:rPr>
        <w:t xml:space="preserve"> </w:t>
      </w:r>
      <w:r>
        <w:rPr>
          <w:color w:val="231F20"/>
        </w:rPr>
        <w:t>a</w:t>
      </w:r>
      <w:r>
        <w:rPr>
          <w:color w:val="231F20"/>
          <w:spacing w:val="-5"/>
        </w:rPr>
        <w:t xml:space="preserve"> </w:t>
      </w:r>
      <w:r>
        <w:rPr>
          <w:color w:val="231F20"/>
        </w:rPr>
        <w:t>je</w:t>
      </w:r>
      <w:r>
        <w:rPr>
          <w:color w:val="231F20"/>
          <w:spacing w:val="-4"/>
        </w:rPr>
        <w:t xml:space="preserve"> </w:t>
      </w:r>
      <w:r>
        <w:rPr>
          <w:color w:val="231F20"/>
        </w:rPr>
        <w:t>nutná</w:t>
      </w:r>
      <w:r>
        <w:rPr>
          <w:color w:val="231F20"/>
          <w:spacing w:val="-5"/>
        </w:rPr>
        <w:t xml:space="preserve"> </w:t>
      </w:r>
      <w:r>
        <w:rPr>
          <w:color w:val="231F20"/>
          <w:spacing w:val="-3"/>
        </w:rPr>
        <w:t xml:space="preserve">součin- </w:t>
      </w:r>
      <w:r>
        <w:rPr>
          <w:color w:val="231F20"/>
        </w:rPr>
        <w:t>nost</w:t>
      </w:r>
      <w:r>
        <w:rPr>
          <w:color w:val="231F20"/>
          <w:spacing w:val="-18"/>
        </w:rPr>
        <w:t xml:space="preserve"> </w:t>
      </w:r>
      <w:r>
        <w:rPr>
          <w:color w:val="231F20"/>
        </w:rPr>
        <w:t>více</w:t>
      </w:r>
      <w:r>
        <w:rPr>
          <w:color w:val="231F20"/>
          <w:spacing w:val="-17"/>
        </w:rPr>
        <w:t xml:space="preserve"> </w:t>
      </w:r>
      <w:r>
        <w:rPr>
          <w:color w:val="231F20"/>
        </w:rPr>
        <w:t>vozidel</w:t>
      </w:r>
      <w:r>
        <w:rPr>
          <w:color w:val="231F20"/>
          <w:spacing w:val="-17"/>
        </w:rPr>
        <w:t xml:space="preserve"> </w:t>
      </w:r>
      <w:r>
        <w:rPr>
          <w:color w:val="231F20"/>
        </w:rPr>
        <w:t>či</w:t>
      </w:r>
      <w:r>
        <w:rPr>
          <w:color w:val="231F20"/>
          <w:spacing w:val="-17"/>
        </w:rPr>
        <w:t xml:space="preserve"> </w:t>
      </w:r>
      <w:r>
        <w:rPr>
          <w:color w:val="231F20"/>
        </w:rPr>
        <w:t>použití</w:t>
      </w:r>
      <w:r>
        <w:rPr>
          <w:color w:val="231F20"/>
          <w:spacing w:val="-18"/>
        </w:rPr>
        <w:t xml:space="preserve"> </w:t>
      </w:r>
      <w:r>
        <w:rPr>
          <w:color w:val="231F20"/>
        </w:rPr>
        <w:t>speciální</w:t>
      </w:r>
      <w:r>
        <w:rPr>
          <w:color w:val="231F20"/>
          <w:spacing w:val="-17"/>
        </w:rPr>
        <w:t xml:space="preserve"> </w:t>
      </w:r>
      <w:r>
        <w:rPr>
          <w:color w:val="231F20"/>
        </w:rPr>
        <w:t>vyprošťovací</w:t>
      </w:r>
      <w:r>
        <w:rPr>
          <w:color w:val="231F20"/>
          <w:spacing w:val="-17"/>
        </w:rPr>
        <w:t xml:space="preserve"> </w:t>
      </w:r>
      <w:r>
        <w:rPr>
          <w:color w:val="231F20"/>
        </w:rPr>
        <w:t>techniky.</w:t>
      </w:r>
      <w:r>
        <w:rPr>
          <w:color w:val="231F20"/>
          <w:spacing w:val="-17"/>
        </w:rPr>
        <w:t xml:space="preserve"> </w:t>
      </w:r>
      <w:r>
        <w:rPr>
          <w:color w:val="231F20"/>
        </w:rPr>
        <w:t>Služba</w:t>
      </w:r>
      <w:r>
        <w:rPr>
          <w:color w:val="231F20"/>
          <w:spacing w:val="-18"/>
        </w:rPr>
        <w:t xml:space="preserve"> </w:t>
      </w:r>
      <w:r>
        <w:rPr>
          <w:color w:val="231F20"/>
        </w:rPr>
        <w:t>je</w:t>
      </w:r>
      <w:r>
        <w:rPr>
          <w:color w:val="231F20"/>
          <w:spacing w:val="-17"/>
        </w:rPr>
        <w:t xml:space="preserve"> </w:t>
      </w:r>
      <w:r>
        <w:rPr>
          <w:color w:val="231F20"/>
          <w:spacing w:val="-3"/>
        </w:rPr>
        <w:t xml:space="preserve">poskyto- </w:t>
      </w:r>
      <w:r>
        <w:rPr>
          <w:color w:val="231F20"/>
        </w:rPr>
        <w:t>vána</w:t>
      </w:r>
      <w:r>
        <w:rPr>
          <w:color w:val="231F20"/>
          <w:spacing w:val="-21"/>
        </w:rPr>
        <w:t xml:space="preserve"> </w:t>
      </w:r>
      <w:r>
        <w:rPr>
          <w:color w:val="231F20"/>
        </w:rPr>
        <w:t>maximálně</w:t>
      </w:r>
      <w:r>
        <w:rPr>
          <w:color w:val="231F20"/>
          <w:spacing w:val="-21"/>
        </w:rPr>
        <w:t xml:space="preserve"> </w:t>
      </w:r>
      <w:r>
        <w:rPr>
          <w:color w:val="231F20"/>
        </w:rPr>
        <w:t>do</w:t>
      </w:r>
      <w:r>
        <w:rPr>
          <w:color w:val="231F20"/>
          <w:spacing w:val="-21"/>
        </w:rPr>
        <w:t xml:space="preserve"> </w:t>
      </w:r>
      <w:r>
        <w:rPr>
          <w:color w:val="231F20"/>
        </w:rPr>
        <w:t>limitu</w:t>
      </w:r>
      <w:r>
        <w:rPr>
          <w:color w:val="231F20"/>
          <w:spacing w:val="-21"/>
        </w:rPr>
        <w:t xml:space="preserve"> </w:t>
      </w:r>
      <w:r>
        <w:rPr>
          <w:color w:val="231F20"/>
        </w:rPr>
        <w:t>uvedeného</w:t>
      </w:r>
      <w:r>
        <w:rPr>
          <w:color w:val="231F20"/>
          <w:spacing w:val="-20"/>
        </w:rPr>
        <w:t xml:space="preserve"> </w:t>
      </w:r>
      <w:r>
        <w:rPr>
          <w:color w:val="231F20"/>
        </w:rPr>
        <w:t>v</w:t>
      </w:r>
      <w:r>
        <w:rPr>
          <w:color w:val="231F20"/>
          <w:spacing w:val="-21"/>
        </w:rPr>
        <w:t xml:space="preserve"> </w:t>
      </w:r>
      <w:r>
        <w:rPr>
          <w:color w:val="231F20"/>
        </w:rPr>
        <w:t>tabulkách</w:t>
      </w:r>
      <w:r>
        <w:rPr>
          <w:color w:val="231F20"/>
          <w:spacing w:val="-21"/>
        </w:rPr>
        <w:t xml:space="preserve"> </w:t>
      </w:r>
      <w:r>
        <w:rPr>
          <w:color w:val="231F20"/>
        </w:rPr>
        <w:t>Rozsah</w:t>
      </w:r>
      <w:r>
        <w:rPr>
          <w:color w:val="231F20"/>
          <w:spacing w:val="-21"/>
        </w:rPr>
        <w:t xml:space="preserve"> </w:t>
      </w:r>
      <w:r>
        <w:rPr>
          <w:color w:val="231F20"/>
        </w:rPr>
        <w:t>a</w:t>
      </w:r>
      <w:r>
        <w:rPr>
          <w:color w:val="231F20"/>
          <w:spacing w:val="-20"/>
        </w:rPr>
        <w:t xml:space="preserve"> </w:t>
      </w:r>
      <w:r>
        <w:rPr>
          <w:color w:val="231F20"/>
        </w:rPr>
        <w:t>limity</w:t>
      </w:r>
      <w:r>
        <w:rPr>
          <w:color w:val="231F20"/>
          <w:spacing w:val="-21"/>
        </w:rPr>
        <w:t xml:space="preserve"> </w:t>
      </w:r>
      <w:r>
        <w:rPr>
          <w:color w:val="231F20"/>
          <w:spacing w:val="-2"/>
        </w:rPr>
        <w:t xml:space="preserve">asistenčních </w:t>
      </w:r>
      <w:r>
        <w:rPr>
          <w:color w:val="231F20"/>
        </w:rPr>
        <w:t>služeb.</w:t>
      </w:r>
    </w:p>
    <w:p w14:paraId="4F35FE2A" w14:textId="77777777" w:rsidR="00F65BCA" w:rsidRDefault="00216117">
      <w:pPr>
        <w:pStyle w:val="Zkladntext"/>
        <w:spacing w:line="278" w:lineRule="auto"/>
        <w:ind w:left="710" w:hanging="283"/>
        <w:jc w:val="both"/>
      </w:pPr>
      <w:r>
        <w:rPr>
          <w:color w:val="231F20"/>
          <w:spacing w:val="-22"/>
          <w:position w:val="1"/>
          <w:sz w:val="14"/>
          <w:shd w:val="clear" w:color="auto" w:fill="D1D3D4"/>
        </w:rPr>
        <w:t xml:space="preserve"> </w:t>
      </w:r>
      <w:r>
        <w:rPr>
          <w:color w:val="231F20"/>
          <w:position w:val="1"/>
          <w:sz w:val="14"/>
          <w:shd w:val="clear" w:color="auto" w:fill="D1D3D4"/>
        </w:rPr>
        <w:t>22</w:t>
      </w:r>
      <w:r>
        <w:rPr>
          <w:color w:val="231F20"/>
          <w:position w:val="1"/>
          <w:sz w:val="14"/>
        </w:rPr>
        <w:t xml:space="preserve"> </w:t>
      </w:r>
      <w:r>
        <w:rPr>
          <w:color w:val="231F20"/>
        </w:rPr>
        <w:t>V případě pojistné události způsobené odcizením vozidla jsou poskytovány pouze</w:t>
      </w:r>
      <w:r>
        <w:rPr>
          <w:color w:val="231F20"/>
          <w:spacing w:val="-23"/>
        </w:rPr>
        <w:t xml:space="preserve"> </w:t>
      </w:r>
      <w:r>
        <w:rPr>
          <w:color w:val="231F20"/>
        </w:rPr>
        <w:t>asistenční</w:t>
      </w:r>
      <w:r>
        <w:rPr>
          <w:color w:val="231F20"/>
          <w:spacing w:val="-22"/>
        </w:rPr>
        <w:t xml:space="preserve"> </w:t>
      </w:r>
      <w:r>
        <w:rPr>
          <w:color w:val="231F20"/>
        </w:rPr>
        <w:t>služby</w:t>
      </w:r>
      <w:r>
        <w:rPr>
          <w:color w:val="231F20"/>
          <w:spacing w:val="-22"/>
        </w:rPr>
        <w:t xml:space="preserve"> </w:t>
      </w:r>
      <w:r>
        <w:rPr>
          <w:color w:val="231F20"/>
        </w:rPr>
        <w:t>telefonické</w:t>
      </w:r>
      <w:r>
        <w:rPr>
          <w:color w:val="231F20"/>
          <w:spacing w:val="-22"/>
        </w:rPr>
        <w:t xml:space="preserve"> </w:t>
      </w:r>
      <w:r>
        <w:rPr>
          <w:color w:val="231F20"/>
        </w:rPr>
        <w:t>tlumočení,</w:t>
      </w:r>
      <w:r>
        <w:rPr>
          <w:color w:val="231F20"/>
          <w:spacing w:val="-22"/>
        </w:rPr>
        <w:t xml:space="preserve"> </w:t>
      </w:r>
      <w:r>
        <w:rPr>
          <w:color w:val="231F20"/>
        </w:rPr>
        <w:t>předání</w:t>
      </w:r>
      <w:r>
        <w:rPr>
          <w:color w:val="231F20"/>
          <w:spacing w:val="-22"/>
        </w:rPr>
        <w:t xml:space="preserve"> </w:t>
      </w:r>
      <w:r>
        <w:rPr>
          <w:color w:val="231F20"/>
        </w:rPr>
        <w:t>vzkazu,</w:t>
      </w:r>
      <w:r>
        <w:rPr>
          <w:color w:val="231F20"/>
          <w:spacing w:val="-22"/>
        </w:rPr>
        <w:t xml:space="preserve"> </w:t>
      </w:r>
      <w:r>
        <w:rPr>
          <w:color w:val="231F20"/>
        </w:rPr>
        <w:t>náhradní</w:t>
      </w:r>
      <w:r>
        <w:rPr>
          <w:color w:val="231F20"/>
          <w:spacing w:val="-22"/>
        </w:rPr>
        <w:t xml:space="preserve"> </w:t>
      </w:r>
      <w:r>
        <w:rPr>
          <w:color w:val="231F20"/>
          <w:spacing w:val="-4"/>
        </w:rPr>
        <w:t xml:space="preserve">vozi- </w:t>
      </w:r>
      <w:r>
        <w:rPr>
          <w:color w:val="231F20"/>
        </w:rPr>
        <w:t>dlo, náhradní přeprava osob a náhradní</w:t>
      </w:r>
      <w:r>
        <w:rPr>
          <w:color w:val="231F20"/>
          <w:spacing w:val="-17"/>
        </w:rPr>
        <w:t xml:space="preserve"> </w:t>
      </w:r>
      <w:r>
        <w:rPr>
          <w:color w:val="231F20"/>
        </w:rPr>
        <w:t>ubytování.</w:t>
      </w:r>
    </w:p>
    <w:p w14:paraId="6564688C" w14:textId="77777777" w:rsidR="00F65BCA" w:rsidRDefault="00216117">
      <w:pPr>
        <w:pStyle w:val="Zkladntext"/>
        <w:spacing w:line="278" w:lineRule="auto"/>
        <w:ind w:left="710" w:hanging="283"/>
        <w:jc w:val="both"/>
      </w:pPr>
      <w:r>
        <w:rPr>
          <w:color w:val="231F20"/>
          <w:spacing w:val="-22"/>
          <w:position w:val="1"/>
          <w:sz w:val="14"/>
          <w:shd w:val="clear" w:color="auto" w:fill="D1D3D4"/>
        </w:rPr>
        <w:t xml:space="preserve"> </w:t>
      </w:r>
      <w:r>
        <w:rPr>
          <w:color w:val="231F20"/>
          <w:position w:val="1"/>
          <w:sz w:val="14"/>
          <w:shd w:val="clear" w:color="auto" w:fill="D1D3D4"/>
        </w:rPr>
        <w:t>23</w:t>
      </w:r>
      <w:r>
        <w:rPr>
          <w:color w:val="231F20"/>
          <w:position w:val="1"/>
          <w:sz w:val="14"/>
        </w:rPr>
        <w:t xml:space="preserve"> </w:t>
      </w:r>
      <w:r>
        <w:rPr>
          <w:color w:val="231F20"/>
        </w:rPr>
        <w:t xml:space="preserve">Při vybití akumulátoru, ztrátě, zabouchnutí, nebo zalomení klíčů, defektu pneumatiky, nebo nedostatku pohonných hmot jsou poskytovány jen </w:t>
      </w:r>
      <w:r>
        <w:rPr>
          <w:color w:val="231F20"/>
          <w:spacing w:val="-3"/>
        </w:rPr>
        <w:t xml:space="preserve">asis- </w:t>
      </w:r>
      <w:r>
        <w:rPr>
          <w:color w:val="231F20"/>
        </w:rPr>
        <w:t>tenční</w:t>
      </w:r>
      <w:r>
        <w:rPr>
          <w:color w:val="231F20"/>
          <w:spacing w:val="-30"/>
        </w:rPr>
        <w:t xml:space="preserve"> </w:t>
      </w:r>
      <w:r>
        <w:rPr>
          <w:color w:val="231F20"/>
        </w:rPr>
        <w:t>služby</w:t>
      </w:r>
      <w:r>
        <w:rPr>
          <w:color w:val="231F20"/>
          <w:spacing w:val="-29"/>
        </w:rPr>
        <w:t xml:space="preserve"> </w:t>
      </w:r>
      <w:r>
        <w:rPr>
          <w:color w:val="231F20"/>
        </w:rPr>
        <w:t>Příjezd</w:t>
      </w:r>
      <w:r>
        <w:rPr>
          <w:color w:val="231F20"/>
          <w:spacing w:val="-29"/>
        </w:rPr>
        <w:t xml:space="preserve"> </w:t>
      </w:r>
      <w:r>
        <w:rPr>
          <w:color w:val="231F20"/>
        </w:rPr>
        <w:t>a</w:t>
      </w:r>
      <w:r>
        <w:rPr>
          <w:color w:val="231F20"/>
          <w:spacing w:val="-29"/>
        </w:rPr>
        <w:t xml:space="preserve"> </w:t>
      </w:r>
      <w:r>
        <w:rPr>
          <w:color w:val="231F20"/>
        </w:rPr>
        <w:t>práce</w:t>
      </w:r>
      <w:r>
        <w:rPr>
          <w:color w:val="231F20"/>
          <w:spacing w:val="-29"/>
        </w:rPr>
        <w:t xml:space="preserve"> </w:t>
      </w:r>
      <w:r>
        <w:rPr>
          <w:color w:val="231F20"/>
        </w:rPr>
        <w:t>mechanika,</w:t>
      </w:r>
      <w:r>
        <w:rPr>
          <w:color w:val="231F20"/>
          <w:spacing w:val="-30"/>
        </w:rPr>
        <w:t xml:space="preserve"> </w:t>
      </w:r>
      <w:r>
        <w:rPr>
          <w:color w:val="231F20"/>
        </w:rPr>
        <w:t>Odtah</w:t>
      </w:r>
      <w:r>
        <w:rPr>
          <w:color w:val="231F20"/>
          <w:spacing w:val="-29"/>
        </w:rPr>
        <w:t xml:space="preserve"> </w:t>
      </w:r>
      <w:r>
        <w:rPr>
          <w:color w:val="231F20"/>
        </w:rPr>
        <w:t>vozidla</w:t>
      </w:r>
      <w:r>
        <w:rPr>
          <w:color w:val="231F20"/>
          <w:spacing w:val="-29"/>
        </w:rPr>
        <w:t xml:space="preserve"> </w:t>
      </w:r>
      <w:r>
        <w:rPr>
          <w:color w:val="231F20"/>
        </w:rPr>
        <w:t>do</w:t>
      </w:r>
      <w:r>
        <w:rPr>
          <w:color w:val="231F20"/>
          <w:spacing w:val="-29"/>
        </w:rPr>
        <w:t xml:space="preserve"> </w:t>
      </w:r>
      <w:r>
        <w:rPr>
          <w:color w:val="231F20"/>
        </w:rPr>
        <w:t>nejbližšího</w:t>
      </w:r>
      <w:r>
        <w:rPr>
          <w:color w:val="231F20"/>
          <w:spacing w:val="-29"/>
        </w:rPr>
        <w:t xml:space="preserve"> </w:t>
      </w:r>
      <w:r>
        <w:rPr>
          <w:color w:val="231F20"/>
        </w:rPr>
        <w:t>autorizo- vaného/smluvního</w:t>
      </w:r>
      <w:r>
        <w:rPr>
          <w:color w:val="231F20"/>
          <w:spacing w:val="-25"/>
        </w:rPr>
        <w:t xml:space="preserve"> </w:t>
      </w:r>
      <w:r>
        <w:rPr>
          <w:color w:val="231F20"/>
        </w:rPr>
        <w:t>servisu,</w:t>
      </w:r>
      <w:r>
        <w:rPr>
          <w:color w:val="231F20"/>
          <w:spacing w:val="-24"/>
        </w:rPr>
        <w:t xml:space="preserve"> </w:t>
      </w:r>
      <w:r>
        <w:rPr>
          <w:color w:val="231F20"/>
        </w:rPr>
        <w:t>Odtah</w:t>
      </w:r>
      <w:r>
        <w:rPr>
          <w:color w:val="231F20"/>
          <w:spacing w:val="-24"/>
        </w:rPr>
        <w:t xml:space="preserve"> </w:t>
      </w:r>
      <w:r>
        <w:rPr>
          <w:color w:val="231F20"/>
        </w:rPr>
        <w:t>vozidla</w:t>
      </w:r>
      <w:r>
        <w:rPr>
          <w:color w:val="231F20"/>
          <w:spacing w:val="-24"/>
        </w:rPr>
        <w:t xml:space="preserve"> </w:t>
      </w:r>
      <w:r>
        <w:rPr>
          <w:color w:val="231F20"/>
        </w:rPr>
        <w:t>k</w:t>
      </w:r>
      <w:r>
        <w:rPr>
          <w:color w:val="231F20"/>
          <w:spacing w:val="-24"/>
        </w:rPr>
        <w:t xml:space="preserve"> </w:t>
      </w:r>
      <w:r>
        <w:rPr>
          <w:color w:val="231F20"/>
        </w:rPr>
        <w:t>nejbližší</w:t>
      </w:r>
      <w:r>
        <w:rPr>
          <w:color w:val="231F20"/>
          <w:spacing w:val="-24"/>
        </w:rPr>
        <w:t xml:space="preserve"> </w:t>
      </w:r>
      <w:r>
        <w:rPr>
          <w:color w:val="231F20"/>
        </w:rPr>
        <w:t>nabíjecí</w:t>
      </w:r>
      <w:r>
        <w:rPr>
          <w:color w:val="231F20"/>
          <w:spacing w:val="-24"/>
        </w:rPr>
        <w:t xml:space="preserve"> </w:t>
      </w:r>
      <w:r>
        <w:rPr>
          <w:color w:val="231F20"/>
        </w:rPr>
        <w:t>stanici</w:t>
      </w:r>
      <w:r>
        <w:rPr>
          <w:color w:val="231F20"/>
          <w:spacing w:val="-24"/>
        </w:rPr>
        <w:t xml:space="preserve"> </w:t>
      </w:r>
      <w:r>
        <w:rPr>
          <w:color w:val="231F20"/>
        </w:rPr>
        <w:t>a</w:t>
      </w:r>
      <w:r>
        <w:rPr>
          <w:color w:val="231F20"/>
          <w:spacing w:val="-24"/>
        </w:rPr>
        <w:t xml:space="preserve"> </w:t>
      </w:r>
      <w:r>
        <w:rPr>
          <w:color w:val="231F20"/>
          <w:spacing w:val="-3"/>
        </w:rPr>
        <w:t xml:space="preserve">Úschova </w:t>
      </w:r>
      <w:r>
        <w:rPr>
          <w:color w:val="231F20"/>
        </w:rPr>
        <w:t>vozidla. U asistence ve variantě XL pro vozidlo do 3,5 t při defektu</w:t>
      </w:r>
      <w:r>
        <w:rPr>
          <w:color w:val="231F20"/>
          <w:spacing w:val="-28"/>
        </w:rPr>
        <w:t xml:space="preserve"> </w:t>
      </w:r>
      <w:r>
        <w:rPr>
          <w:color w:val="231F20"/>
          <w:spacing w:val="-3"/>
        </w:rPr>
        <w:t xml:space="preserve">pneuma- </w:t>
      </w:r>
      <w:r>
        <w:rPr>
          <w:color w:val="231F20"/>
        </w:rPr>
        <w:t>tiky v ČR jsou nad to poskytovány ještě asistenční služby Náhradní</w:t>
      </w:r>
      <w:r>
        <w:rPr>
          <w:color w:val="231F20"/>
          <w:spacing w:val="-20"/>
        </w:rPr>
        <w:t xml:space="preserve"> </w:t>
      </w:r>
      <w:r>
        <w:rPr>
          <w:color w:val="231F20"/>
        </w:rPr>
        <w:t>vozidlo, Odtah</w:t>
      </w:r>
      <w:r>
        <w:rPr>
          <w:color w:val="231F20"/>
          <w:spacing w:val="-21"/>
        </w:rPr>
        <w:t xml:space="preserve"> </w:t>
      </w:r>
      <w:r>
        <w:rPr>
          <w:color w:val="231F20"/>
        </w:rPr>
        <w:t>vozidla</w:t>
      </w:r>
      <w:r>
        <w:rPr>
          <w:color w:val="231F20"/>
          <w:spacing w:val="-20"/>
        </w:rPr>
        <w:t xml:space="preserve"> </w:t>
      </w:r>
      <w:r>
        <w:rPr>
          <w:color w:val="231F20"/>
        </w:rPr>
        <w:t>v</w:t>
      </w:r>
      <w:r>
        <w:rPr>
          <w:color w:val="231F20"/>
          <w:spacing w:val="-20"/>
        </w:rPr>
        <w:t xml:space="preserve"> </w:t>
      </w:r>
      <w:r>
        <w:rPr>
          <w:color w:val="231F20"/>
        </w:rPr>
        <w:t>ČR</w:t>
      </w:r>
      <w:r>
        <w:rPr>
          <w:color w:val="231F20"/>
          <w:spacing w:val="-20"/>
        </w:rPr>
        <w:t xml:space="preserve"> </w:t>
      </w:r>
      <w:r>
        <w:rPr>
          <w:color w:val="231F20"/>
        </w:rPr>
        <w:t>do</w:t>
      </w:r>
      <w:r>
        <w:rPr>
          <w:color w:val="231F20"/>
          <w:spacing w:val="-21"/>
        </w:rPr>
        <w:t xml:space="preserve"> </w:t>
      </w:r>
      <w:r>
        <w:rPr>
          <w:color w:val="231F20"/>
        </w:rPr>
        <w:t>místa</w:t>
      </w:r>
      <w:r>
        <w:rPr>
          <w:color w:val="231F20"/>
          <w:spacing w:val="-20"/>
        </w:rPr>
        <w:t xml:space="preserve"> </w:t>
      </w:r>
      <w:r>
        <w:rPr>
          <w:color w:val="231F20"/>
        </w:rPr>
        <w:t>určeného</w:t>
      </w:r>
      <w:r>
        <w:rPr>
          <w:color w:val="231F20"/>
          <w:spacing w:val="-20"/>
        </w:rPr>
        <w:t xml:space="preserve"> </w:t>
      </w:r>
      <w:r>
        <w:rPr>
          <w:color w:val="231F20"/>
        </w:rPr>
        <w:t>klientem</w:t>
      </w:r>
      <w:r>
        <w:rPr>
          <w:color w:val="231F20"/>
          <w:spacing w:val="-20"/>
        </w:rPr>
        <w:t xml:space="preserve"> </w:t>
      </w:r>
      <w:r>
        <w:rPr>
          <w:color w:val="231F20"/>
        </w:rPr>
        <w:t>nebo</w:t>
      </w:r>
      <w:r>
        <w:rPr>
          <w:color w:val="231F20"/>
          <w:spacing w:val="-21"/>
        </w:rPr>
        <w:t xml:space="preserve"> </w:t>
      </w:r>
      <w:r>
        <w:rPr>
          <w:color w:val="231F20"/>
        </w:rPr>
        <w:t>Náhradní</w:t>
      </w:r>
      <w:r>
        <w:rPr>
          <w:color w:val="231F20"/>
          <w:spacing w:val="-20"/>
        </w:rPr>
        <w:t xml:space="preserve"> </w:t>
      </w:r>
      <w:r>
        <w:rPr>
          <w:color w:val="231F20"/>
        </w:rPr>
        <w:t>ubytování</w:t>
      </w:r>
      <w:r>
        <w:rPr>
          <w:color w:val="231F20"/>
          <w:spacing w:val="-20"/>
        </w:rPr>
        <w:t xml:space="preserve"> </w:t>
      </w:r>
      <w:r>
        <w:rPr>
          <w:color w:val="231F20"/>
        </w:rPr>
        <w:t>a</w:t>
      </w:r>
      <w:r>
        <w:rPr>
          <w:color w:val="231F20"/>
          <w:spacing w:val="-20"/>
        </w:rPr>
        <w:t xml:space="preserve"> </w:t>
      </w:r>
      <w:r>
        <w:rPr>
          <w:color w:val="231F20"/>
          <w:spacing w:val="-5"/>
        </w:rPr>
        <w:t xml:space="preserve">při </w:t>
      </w:r>
      <w:r>
        <w:rPr>
          <w:color w:val="231F20"/>
        </w:rPr>
        <w:t>defektu</w:t>
      </w:r>
      <w:r>
        <w:rPr>
          <w:color w:val="231F20"/>
          <w:spacing w:val="-11"/>
        </w:rPr>
        <w:t xml:space="preserve"> </w:t>
      </w:r>
      <w:r>
        <w:rPr>
          <w:color w:val="231F20"/>
        </w:rPr>
        <w:t>pneumatiky</w:t>
      </w:r>
      <w:r>
        <w:rPr>
          <w:color w:val="231F20"/>
          <w:spacing w:val="-10"/>
        </w:rPr>
        <w:t xml:space="preserve"> </w:t>
      </w:r>
      <w:r>
        <w:rPr>
          <w:color w:val="231F20"/>
        </w:rPr>
        <w:t>v</w:t>
      </w:r>
      <w:r>
        <w:rPr>
          <w:color w:val="231F20"/>
          <w:spacing w:val="-10"/>
        </w:rPr>
        <w:t xml:space="preserve"> </w:t>
      </w:r>
      <w:r>
        <w:rPr>
          <w:color w:val="231F20"/>
        </w:rPr>
        <w:t>zahraničí</w:t>
      </w:r>
      <w:r>
        <w:rPr>
          <w:color w:val="231F20"/>
          <w:spacing w:val="-10"/>
        </w:rPr>
        <w:t xml:space="preserve"> </w:t>
      </w:r>
      <w:r>
        <w:rPr>
          <w:color w:val="231F20"/>
        </w:rPr>
        <w:t>asistenční</w:t>
      </w:r>
      <w:r>
        <w:rPr>
          <w:color w:val="231F20"/>
          <w:spacing w:val="-10"/>
        </w:rPr>
        <w:t xml:space="preserve"> </w:t>
      </w:r>
      <w:r>
        <w:rPr>
          <w:color w:val="231F20"/>
        </w:rPr>
        <w:t>službu</w:t>
      </w:r>
      <w:r>
        <w:rPr>
          <w:color w:val="231F20"/>
          <w:spacing w:val="-10"/>
        </w:rPr>
        <w:t xml:space="preserve"> </w:t>
      </w:r>
      <w:r>
        <w:rPr>
          <w:color w:val="231F20"/>
        </w:rPr>
        <w:t>Náhradní</w:t>
      </w:r>
      <w:r>
        <w:rPr>
          <w:color w:val="231F20"/>
          <w:spacing w:val="-10"/>
        </w:rPr>
        <w:t xml:space="preserve"> </w:t>
      </w:r>
      <w:r>
        <w:rPr>
          <w:color w:val="231F20"/>
        </w:rPr>
        <w:t>ubytování.</w:t>
      </w:r>
    </w:p>
    <w:p w14:paraId="580BB426" w14:textId="77777777" w:rsidR="00F65BCA" w:rsidRDefault="00216117">
      <w:pPr>
        <w:pStyle w:val="Zkladntext"/>
        <w:spacing w:line="278" w:lineRule="auto"/>
        <w:ind w:left="710" w:hanging="283"/>
        <w:jc w:val="both"/>
      </w:pPr>
      <w:r>
        <w:rPr>
          <w:color w:val="231F20"/>
          <w:spacing w:val="-22"/>
          <w:position w:val="1"/>
          <w:sz w:val="14"/>
          <w:shd w:val="clear" w:color="auto" w:fill="D1D3D4"/>
        </w:rPr>
        <w:t xml:space="preserve"> </w:t>
      </w:r>
      <w:r>
        <w:rPr>
          <w:color w:val="231F20"/>
          <w:position w:val="1"/>
          <w:sz w:val="14"/>
          <w:shd w:val="clear" w:color="auto" w:fill="D1D3D4"/>
        </w:rPr>
        <w:t>24</w:t>
      </w:r>
      <w:r>
        <w:rPr>
          <w:color w:val="231F20"/>
          <w:position w:val="1"/>
          <w:sz w:val="14"/>
        </w:rPr>
        <w:t xml:space="preserve"> </w:t>
      </w:r>
      <w:r>
        <w:rPr>
          <w:color w:val="231F20"/>
        </w:rPr>
        <w:t xml:space="preserve">V případě pojistné události zamrznutím pohonných hmot, zamrznutím </w:t>
      </w:r>
      <w:r>
        <w:rPr>
          <w:color w:val="231F20"/>
          <w:spacing w:val="-5"/>
        </w:rPr>
        <w:t xml:space="preserve">zám- </w:t>
      </w:r>
      <w:r>
        <w:rPr>
          <w:color w:val="231F20"/>
        </w:rPr>
        <w:t xml:space="preserve">ků, ruční brzdy a rozvodů vzduchu, rozlomením spínací skříňky, nebo </w:t>
      </w:r>
      <w:r>
        <w:rPr>
          <w:color w:val="231F20"/>
          <w:spacing w:val="-6"/>
        </w:rPr>
        <w:t xml:space="preserve">zá- </w:t>
      </w:r>
      <w:r>
        <w:rPr>
          <w:color w:val="231F20"/>
        </w:rPr>
        <w:t xml:space="preserve">měnou pohonných hmot jsou poskytovány pouze asistenční služby </w:t>
      </w:r>
      <w:r>
        <w:rPr>
          <w:color w:val="231F20"/>
          <w:spacing w:val="-4"/>
        </w:rPr>
        <w:t xml:space="preserve">odtah </w:t>
      </w:r>
      <w:r>
        <w:rPr>
          <w:color w:val="231F20"/>
        </w:rPr>
        <w:t>vozidla</w:t>
      </w:r>
      <w:r>
        <w:rPr>
          <w:color w:val="231F20"/>
          <w:spacing w:val="-14"/>
        </w:rPr>
        <w:t xml:space="preserve"> </w:t>
      </w:r>
      <w:r>
        <w:rPr>
          <w:color w:val="231F20"/>
        </w:rPr>
        <w:t>do</w:t>
      </w:r>
      <w:r>
        <w:rPr>
          <w:color w:val="231F20"/>
          <w:spacing w:val="-14"/>
        </w:rPr>
        <w:t xml:space="preserve"> </w:t>
      </w:r>
      <w:r>
        <w:rPr>
          <w:color w:val="231F20"/>
        </w:rPr>
        <w:t>nejbližšího</w:t>
      </w:r>
      <w:r>
        <w:rPr>
          <w:color w:val="231F20"/>
          <w:spacing w:val="-14"/>
        </w:rPr>
        <w:t xml:space="preserve"> </w:t>
      </w:r>
      <w:r>
        <w:rPr>
          <w:color w:val="231F20"/>
        </w:rPr>
        <w:t>autorizovaného/smluvního</w:t>
      </w:r>
      <w:r>
        <w:rPr>
          <w:color w:val="231F20"/>
          <w:spacing w:val="-14"/>
        </w:rPr>
        <w:t xml:space="preserve"> </w:t>
      </w:r>
      <w:r>
        <w:rPr>
          <w:color w:val="231F20"/>
        </w:rPr>
        <w:t>servisu,</w:t>
      </w:r>
      <w:r>
        <w:rPr>
          <w:color w:val="231F20"/>
          <w:spacing w:val="-14"/>
        </w:rPr>
        <w:t xml:space="preserve"> </w:t>
      </w:r>
      <w:r>
        <w:rPr>
          <w:color w:val="231F20"/>
        </w:rPr>
        <w:t>odtah</w:t>
      </w:r>
      <w:r>
        <w:rPr>
          <w:color w:val="231F20"/>
          <w:spacing w:val="-14"/>
        </w:rPr>
        <w:t xml:space="preserve"> </w:t>
      </w:r>
      <w:r>
        <w:rPr>
          <w:color w:val="231F20"/>
        </w:rPr>
        <w:t>vozidla</w:t>
      </w:r>
      <w:r>
        <w:rPr>
          <w:color w:val="231F20"/>
          <w:spacing w:val="-14"/>
        </w:rPr>
        <w:t xml:space="preserve"> </w:t>
      </w:r>
      <w:r>
        <w:rPr>
          <w:color w:val="231F20"/>
        </w:rPr>
        <w:t>k</w:t>
      </w:r>
      <w:r>
        <w:rPr>
          <w:color w:val="231F20"/>
          <w:spacing w:val="-14"/>
        </w:rPr>
        <w:t xml:space="preserve"> </w:t>
      </w:r>
      <w:r>
        <w:rPr>
          <w:color w:val="231F20"/>
          <w:spacing w:val="-5"/>
        </w:rPr>
        <w:t xml:space="preserve">nej- </w:t>
      </w:r>
      <w:r>
        <w:rPr>
          <w:color w:val="231F20"/>
        </w:rPr>
        <w:t>bližší nabíjecí stanici a úschova</w:t>
      </w:r>
      <w:r>
        <w:rPr>
          <w:color w:val="231F20"/>
          <w:spacing w:val="-11"/>
        </w:rPr>
        <w:t xml:space="preserve"> </w:t>
      </w:r>
      <w:r>
        <w:rPr>
          <w:color w:val="231F20"/>
        </w:rPr>
        <w:t>vozidla.</w:t>
      </w:r>
    </w:p>
    <w:p w14:paraId="540B0838" w14:textId="77777777" w:rsidR="00F65BCA" w:rsidRDefault="00F65BCA">
      <w:pPr>
        <w:pStyle w:val="Zkladntext"/>
        <w:spacing w:before="1"/>
        <w:rPr>
          <w:sz w:val="20"/>
        </w:rPr>
      </w:pPr>
    </w:p>
    <w:p w14:paraId="46473432" w14:textId="77777777" w:rsidR="00F65BCA" w:rsidRDefault="00216117">
      <w:pPr>
        <w:spacing w:before="1"/>
        <w:ind w:left="428"/>
        <w:rPr>
          <w:sz w:val="15"/>
        </w:rPr>
      </w:pPr>
      <w:r>
        <w:rPr>
          <w:color w:val="FFFFFF"/>
          <w:position w:val="3"/>
          <w:sz w:val="16"/>
          <w:shd w:val="clear" w:color="auto" w:fill="808285"/>
        </w:rPr>
        <w:t xml:space="preserve">  Článek 69</w:t>
      </w:r>
      <w:r>
        <w:rPr>
          <w:color w:val="FFFFFF"/>
          <w:position w:val="3"/>
          <w:sz w:val="16"/>
        </w:rPr>
        <w:t xml:space="preserve"> </w:t>
      </w:r>
      <w:r>
        <w:rPr>
          <w:color w:val="231F20"/>
          <w:sz w:val="15"/>
        </w:rPr>
        <w:t>Speciální výluky z pojištění</w:t>
      </w:r>
    </w:p>
    <w:p w14:paraId="34AA3290" w14:textId="77777777" w:rsidR="00F65BCA" w:rsidRDefault="00216117">
      <w:pPr>
        <w:pStyle w:val="Zkladntext"/>
        <w:spacing w:before="146"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25"/>
          <w:position w:val="1"/>
          <w:sz w:val="14"/>
        </w:rPr>
        <w:t xml:space="preserve"> </w:t>
      </w:r>
      <w:r>
        <w:rPr>
          <w:color w:val="231F20"/>
        </w:rPr>
        <w:t>Kromě</w:t>
      </w:r>
      <w:r>
        <w:rPr>
          <w:color w:val="231F20"/>
          <w:spacing w:val="-12"/>
        </w:rPr>
        <w:t xml:space="preserve"> </w:t>
      </w:r>
      <w:r>
        <w:rPr>
          <w:color w:val="231F20"/>
        </w:rPr>
        <w:t>obecných</w:t>
      </w:r>
      <w:r>
        <w:rPr>
          <w:color w:val="231F20"/>
          <w:spacing w:val="-12"/>
        </w:rPr>
        <w:t xml:space="preserve"> </w:t>
      </w:r>
      <w:r>
        <w:rPr>
          <w:color w:val="231F20"/>
        </w:rPr>
        <w:t>výluk</w:t>
      </w:r>
      <w:r>
        <w:rPr>
          <w:color w:val="231F20"/>
          <w:spacing w:val="-12"/>
        </w:rPr>
        <w:t xml:space="preserve"> </w:t>
      </w:r>
      <w:r>
        <w:rPr>
          <w:color w:val="231F20"/>
        </w:rPr>
        <w:t>uvedených</w:t>
      </w:r>
      <w:r>
        <w:rPr>
          <w:color w:val="231F20"/>
          <w:spacing w:val="-12"/>
        </w:rPr>
        <w:t xml:space="preserve"> </w:t>
      </w:r>
      <w:r>
        <w:rPr>
          <w:color w:val="231F20"/>
        </w:rPr>
        <w:t>v</w:t>
      </w:r>
      <w:r>
        <w:rPr>
          <w:color w:val="231F20"/>
          <w:spacing w:val="-12"/>
        </w:rPr>
        <w:t xml:space="preserve"> </w:t>
      </w:r>
      <w:r>
        <w:rPr>
          <w:color w:val="231F20"/>
        </w:rPr>
        <w:t>čl.</w:t>
      </w:r>
      <w:r>
        <w:rPr>
          <w:color w:val="231F20"/>
          <w:spacing w:val="-11"/>
        </w:rPr>
        <w:t xml:space="preserve"> </w:t>
      </w:r>
      <w:r>
        <w:rPr>
          <w:color w:val="231F20"/>
        </w:rPr>
        <w:t>26</w:t>
      </w:r>
      <w:r>
        <w:rPr>
          <w:color w:val="231F20"/>
          <w:spacing w:val="-12"/>
        </w:rPr>
        <w:t xml:space="preserve"> </w:t>
      </w:r>
      <w:r>
        <w:rPr>
          <w:color w:val="231F20"/>
        </w:rPr>
        <w:t>těchto</w:t>
      </w:r>
      <w:r>
        <w:rPr>
          <w:color w:val="231F20"/>
          <w:spacing w:val="-12"/>
        </w:rPr>
        <w:t xml:space="preserve"> </w:t>
      </w:r>
      <w:r>
        <w:rPr>
          <w:color w:val="231F20"/>
        </w:rPr>
        <w:t>VPP</w:t>
      </w:r>
      <w:r>
        <w:rPr>
          <w:color w:val="231F20"/>
          <w:spacing w:val="-12"/>
        </w:rPr>
        <w:t xml:space="preserve"> </w:t>
      </w:r>
      <w:r>
        <w:rPr>
          <w:color w:val="231F20"/>
        </w:rPr>
        <w:t>se</w:t>
      </w:r>
      <w:r>
        <w:rPr>
          <w:color w:val="231F20"/>
          <w:spacing w:val="-12"/>
        </w:rPr>
        <w:t xml:space="preserve"> </w:t>
      </w:r>
      <w:r>
        <w:rPr>
          <w:color w:val="231F20"/>
        </w:rPr>
        <w:t>pojištění</w:t>
      </w:r>
      <w:r>
        <w:rPr>
          <w:color w:val="231F20"/>
          <w:spacing w:val="-12"/>
        </w:rPr>
        <w:t xml:space="preserve"> </w:t>
      </w:r>
      <w:r>
        <w:rPr>
          <w:color w:val="231F20"/>
        </w:rPr>
        <w:t>nevztahuje na škodní událost</w:t>
      </w:r>
      <w:r>
        <w:rPr>
          <w:color w:val="231F20"/>
          <w:spacing w:val="-3"/>
        </w:rPr>
        <w:t xml:space="preserve"> </w:t>
      </w:r>
      <w:r>
        <w:rPr>
          <w:color w:val="231F20"/>
        </w:rPr>
        <w:t>vzniklou:</w:t>
      </w:r>
    </w:p>
    <w:p w14:paraId="00629456" w14:textId="77777777" w:rsidR="00F65BCA" w:rsidRDefault="00216117">
      <w:pPr>
        <w:pStyle w:val="Odstavecseseznamem"/>
        <w:numPr>
          <w:ilvl w:val="0"/>
          <w:numId w:val="91"/>
        </w:numPr>
        <w:tabs>
          <w:tab w:val="left" w:pos="881"/>
        </w:tabs>
        <w:spacing w:line="278" w:lineRule="auto"/>
        <w:jc w:val="both"/>
        <w:rPr>
          <w:sz w:val="15"/>
        </w:rPr>
      </w:pPr>
      <w:r>
        <w:rPr>
          <w:color w:val="231F20"/>
          <w:sz w:val="15"/>
        </w:rPr>
        <w:t>v</w:t>
      </w:r>
      <w:r>
        <w:rPr>
          <w:color w:val="231F20"/>
          <w:spacing w:val="-13"/>
          <w:sz w:val="15"/>
        </w:rPr>
        <w:t xml:space="preserve"> </w:t>
      </w:r>
      <w:r>
        <w:rPr>
          <w:color w:val="231F20"/>
          <w:sz w:val="15"/>
        </w:rPr>
        <w:t>příčinné</w:t>
      </w:r>
      <w:r>
        <w:rPr>
          <w:color w:val="231F20"/>
          <w:spacing w:val="-12"/>
          <w:sz w:val="15"/>
        </w:rPr>
        <w:t xml:space="preserve"> </w:t>
      </w:r>
      <w:r>
        <w:rPr>
          <w:color w:val="231F20"/>
          <w:sz w:val="15"/>
        </w:rPr>
        <w:t>souvislosti</w:t>
      </w:r>
      <w:r>
        <w:rPr>
          <w:color w:val="231F20"/>
          <w:spacing w:val="-13"/>
          <w:sz w:val="15"/>
        </w:rPr>
        <w:t xml:space="preserve"> </w:t>
      </w:r>
      <w:r>
        <w:rPr>
          <w:color w:val="231F20"/>
          <w:sz w:val="15"/>
        </w:rPr>
        <w:t>s</w:t>
      </w:r>
      <w:r>
        <w:rPr>
          <w:color w:val="231F20"/>
          <w:spacing w:val="-12"/>
          <w:sz w:val="15"/>
        </w:rPr>
        <w:t xml:space="preserve"> </w:t>
      </w:r>
      <w:r>
        <w:rPr>
          <w:color w:val="231F20"/>
          <w:sz w:val="15"/>
        </w:rPr>
        <w:t>provozem</w:t>
      </w:r>
      <w:r>
        <w:rPr>
          <w:color w:val="231F20"/>
          <w:spacing w:val="-13"/>
          <w:sz w:val="15"/>
        </w:rPr>
        <w:t xml:space="preserve"> </w:t>
      </w:r>
      <w:r>
        <w:rPr>
          <w:color w:val="231F20"/>
          <w:sz w:val="15"/>
        </w:rPr>
        <w:t>vozidla,</w:t>
      </w:r>
      <w:r>
        <w:rPr>
          <w:color w:val="231F20"/>
          <w:spacing w:val="-12"/>
          <w:sz w:val="15"/>
        </w:rPr>
        <w:t xml:space="preserve"> </w:t>
      </w:r>
      <w:r>
        <w:rPr>
          <w:color w:val="231F20"/>
          <w:sz w:val="15"/>
        </w:rPr>
        <w:t>které</w:t>
      </w:r>
      <w:r>
        <w:rPr>
          <w:color w:val="231F20"/>
          <w:spacing w:val="-12"/>
          <w:sz w:val="15"/>
        </w:rPr>
        <w:t xml:space="preserve"> </w:t>
      </w:r>
      <w:r>
        <w:rPr>
          <w:color w:val="231F20"/>
          <w:sz w:val="15"/>
        </w:rPr>
        <w:t>svojí</w:t>
      </w:r>
      <w:r>
        <w:rPr>
          <w:color w:val="231F20"/>
          <w:spacing w:val="-13"/>
          <w:sz w:val="15"/>
        </w:rPr>
        <w:t xml:space="preserve"> </w:t>
      </w:r>
      <w:r>
        <w:rPr>
          <w:color w:val="231F20"/>
          <w:sz w:val="15"/>
        </w:rPr>
        <w:t>konstrukcí</w:t>
      </w:r>
      <w:r>
        <w:rPr>
          <w:color w:val="231F20"/>
          <w:spacing w:val="-12"/>
          <w:sz w:val="15"/>
        </w:rPr>
        <w:t xml:space="preserve"> </w:t>
      </w:r>
      <w:r>
        <w:rPr>
          <w:color w:val="231F20"/>
          <w:sz w:val="15"/>
        </w:rPr>
        <w:t>nebo</w:t>
      </w:r>
      <w:r>
        <w:rPr>
          <w:color w:val="231F20"/>
          <w:spacing w:val="-13"/>
          <w:sz w:val="15"/>
        </w:rPr>
        <w:t xml:space="preserve"> </w:t>
      </w:r>
      <w:r>
        <w:rPr>
          <w:color w:val="231F20"/>
          <w:spacing w:val="-4"/>
          <w:sz w:val="15"/>
        </w:rPr>
        <w:t xml:space="preserve">tech- </w:t>
      </w:r>
      <w:r>
        <w:rPr>
          <w:color w:val="231F20"/>
          <w:sz w:val="15"/>
        </w:rPr>
        <w:t>nickým</w:t>
      </w:r>
      <w:r>
        <w:rPr>
          <w:color w:val="231F20"/>
          <w:spacing w:val="-7"/>
          <w:sz w:val="15"/>
        </w:rPr>
        <w:t xml:space="preserve"> </w:t>
      </w:r>
      <w:r>
        <w:rPr>
          <w:color w:val="231F20"/>
          <w:sz w:val="15"/>
        </w:rPr>
        <w:t>stavem</w:t>
      </w:r>
      <w:r>
        <w:rPr>
          <w:color w:val="231F20"/>
          <w:spacing w:val="-7"/>
          <w:sz w:val="15"/>
        </w:rPr>
        <w:t xml:space="preserve"> </w:t>
      </w:r>
      <w:r>
        <w:rPr>
          <w:color w:val="231F20"/>
          <w:sz w:val="15"/>
        </w:rPr>
        <w:t>neodpovídá</w:t>
      </w:r>
      <w:r>
        <w:rPr>
          <w:color w:val="231F20"/>
          <w:spacing w:val="-7"/>
          <w:sz w:val="15"/>
        </w:rPr>
        <w:t xml:space="preserve"> </w:t>
      </w:r>
      <w:r>
        <w:rPr>
          <w:color w:val="231F20"/>
          <w:sz w:val="15"/>
        </w:rPr>
        <w:t>požadavkům</w:t>
      </w:r>
      <w:r>
        <w:rPr>
          <w:color w:val="231F20"/>
          <w:spacing w:val="-7"/>
          <w:sz w:val="15"/>
        </w:rPr>
        <w:t xml:space="preserve"> </w:t>
      </w:r>
      <w:r>
        <w:rPr>
          <w:color w:val="231F20"/>
          <w:sz w:val="15"/>
        </w:rPr>
        <w:t>bezpečnosti</w:t>
      </w:r>
      <w:r>
        <w:rPr>
          <w:color w:val="231F20"/>
          <w:spacing w:val="-7"/>
          <w:sz w:val="15"/>
        </w:rPr>
        <w:t xml:space="preserve"> </w:t>
      </w:r>
      <w:r>
        <w:rPr>
          <w:color w:val="231F20"/>
          <w:sz w:val="15"/>
        </w:rPr>
        <w:t>provozu</w:t>
      </w:r>
      <w:r>
        <w:rPr>
          <w:color w:val="231F20"/>
          <w:spacing w:val="-6"/>
          <w:sz w:val="15"/>
        </w:rPr>
        <w:t xml:space="preserve"> </w:t>
      </w:r>
      <w:r>
        <w:rPr>
          <w:color w:val="231F20"/>
          <w:sz w:val="15"/>
        </w:rPr>
        <w:t>na</w:t>
      </w:r>
      <w:r>
        <w:rPr>
          <w:color w:val="231F20"/>
          <w:spacing w:val="-7"/>
          <w:sz w:val="15"/>
        </w:rPr>
        <w:t xml:space="preserve"> </w:t>
      </w:r>
      <w:r>
        <w:rPr>
          <w:color w:val="231F20"/>
          <w:spacing w:val="-4"/>
          <w:sz w:val="15"/>
        </w:rPr>
        <w:t xml:space="preserve">pozem- </w:t>
      </w:r>
      <w:r>
        <w:rPr>
          <w:color w:val="231F20"/>
          <w:sz w:val="15"/>
        </w:rPr>
        <w:t>ních</w:t>
      </w:r>
      <w:r>
        <w:rPr>
          <w:color w:val="231F20"/>
          <w:spacing w:val="-16"/>
          <w:sz w:val="15"/>
        </w:rPr>
        <w:t xml:space="preserve"> </w:t>
      </w:r>
      <w:r>
        <w:rPr>
          <w:color w:val="231F20"/>
          <w:sz w:val="15"/>
        </w:rPr>
        <w:t>komunikacích,</w:t>
      </w:r>
      <w:r>
        <w:rPr>
          <w:color w:val="231F20"/>
          <w:spacing w:val="-15"/>
          <w:sz w:val="15"/>
        </w:rPr>
        <w:t xml:space="preserve"> </w:t>
      </w:r>
      <w:r>
        <w:rPr>
          <w:color w:val="231F20"/>
          <w:sz w:val="15"/>
        </w:rPr>
        <w:t>obsluhujících</w:t>
      </w:r>
      <w:r>
        <w:rPr>
          <w:color w:val="231F20"/>
          <w:spacing w:val="-15"/>
          <w:sz w:val="15"/>
        </w:rPr>
        <w:t xml:space="preserve"> </w:t>
      </w:r>
      <w:r>
        <w:rPr>
          <w:color w:val="231F20"/>
          <w:sz w:val="15"/>
        </w:rPr>
        <w:t>osob,</w:t>
      </w:r>
      <w:r>
        <w:rPr>
          <w:color w:val="231F20"/>
          <w:spacing w:val="-15"/>
          <w:sz w:val="15"/>
        </w:rPr>
        <w:t xml:space="preserve"> </w:t>
      </w:r>
      <w:r>
        <w:rPr>
          <w:color w:val="231F20"/>
          <w:sz w:val="15"/>
        </w:rPr>
        <w:t>přepravovaných</w:t>
      </w:r>
      <w:r>
        <w:rPr>
          <w:color w:val="231F20"/>
          <w:spacing w:val="-15"/>
          <w:sz w:val="15"/>
        </w:rPr>
        <w:t xml:space="preserve"> </w:t>
      </w:r>
      <w:r>
        <w:rPr>
          <w:color w:val="231F20"/>
          <w:sz w:val="15"/>
        </w:rPr>
        <w:t>osob</w:t>
      </w:r>
      <w:r>
        <w:rPr>
          <w:color w:val="231F20"/>
          <w:spacing w:val="-15"/>
          <w:sz w:val="15"/>
        </w:rPr>
        <w:t xml:space="preserve"> </w:t>
      </w:r>
      <w:r>
        <w:rPr>
          <w:color w:val="231F20"/>
          <w:sz w:val="15"/>
        </w:rPr>
        <w:t>a</w:t>
      </w:r>
      <w:r>
        <w:rPr>
          <w:color w:val="231F20"/>
          <w:spacing w:val="-15"/>
          <w:sz w:val="15"/>
        </w:rPr>
        <w:t xml:space="preserve"> </w:t>
      </w:r>
      <w:r>
        <w:rPr>
          <w:color w:val="231F20"/>
          <w:sz w:val="15"/>
        </w:rPr>
        <w:t>věcí,</w:t>
      </w:r>
      <w:r>
        <w:rPr>
          <w:color w:val="231F20"/>
          <w:spacing w:val="-15"/>
          <w:sz w:val="15"/>
        </w:rPr>
        <w:t xml:space="preserve"> </w:t>
      </w:r>
      <w:r>
        <w:rPr>
          <w:color w:val="231F20"/>
          <w:spacing w:val="-4"/>
          <w:sz w:val="15"/>
        </w:rPr>
        <w:t xml:space="preserve">nebo </w:t>
      </w:r>
      <w:r>
        <w:rPr>
          <w:color w:val="231F20"/>
          <w:sz w:val="15"/>
        </w:rPr>
        <w:t>jehož</w:t>
      </w:r>
      <w:r>
        <w:rPr>
          <w:color w:val="231F20"/>
          <w:spacing w:val="-21"/>
          <w:sz w:val="15"/>
        </w:rPr>
        <w:t xml:space="preserve"> </w:t>
      </w:r>
      <w:r>
        <w:rPr>
          <w:color w:val="231F20"/>
          <w:sz w:val="15"/>
        </w:rPr>
        <w:t>technická</w:t>
      </w:r>
      <w:r>
        <w:rPr>
          <w:color w:val="231F20"/>
          <w:spacing w:val="-21"/>
          <w:sz w:val="15"/>
        </w:rPr>
        <w:t xml:space="preserve"> </w:t>
      </w:r>
      <w:r>
        <w:rPr>
          <w:color w:val="231F20"/>
          <w:sz w:val="15"/>
        </w:rPr>
        <w:t>způsobilost</w:t>
      </w:r>
      <w:r>
        <w:rPr>
          <w:color w:val="231F20"/>
          <w:spacing w:val="-21"/>
          <w:sz w:val="15"/>
        </w:rPr>
        <w:t xml:space="preserve"> </w:t>
      </w:r>
      <w:r>
        <w:rPr>
          <w:color w:val="231F20"/>
          <w:sz w:val="15"/>
        </w:rPr>
        <w:t>k</w:t>
      </w:r>
      <w:r>
        <w:rPr>
          <w:color w:val="231F20"/>
          <w:spacing w:val="-21"/>
          <w:sz w:val="15"/>
        </w:rPr>
        <w:t xml:space="preserve"> </w:t>
      </w:r>
      <w:r>
        <w:rPr>
          <w:color w:val="231F20"/>
          <w:sz w:val="15"/>
        </w:rPr>
        <w:t>provozu</w:t>
      </w:r>
      <w:r>
        <w:rPr>
          <w:color w:val="231F20"/>
          <w:spacing w:val="-21"/>
          <w:sz w:val="15"/>
        </w:rPr>
        <w:t xml:space="preserve"> </w:t>
      </w:r>
      <w:r>
        <w:rPr>
          <w:color w:val="231F20"/>
          <w:sz w:val="15"/>
        </w:rPr>
        <w:t>vozidla</w:t>
      </w:r>
      <w:r>
        <w:rPr>
          <w:color w:val="231F20"/>
          <w:spacing w:val="-21"/>
          <w:sz w:val="15"/>
        </w:rPr>
        <w:t xml:space="preserve"> </w:t>
      </w:r>
      <w:r>
        <w:rPr>
          <w:color w:val="231F20"/>
          <w:sz w:val="15"/>
        </w:rPr>
        <w:t>nebyla</w:t>
      </w:r>
      <w:r>
        <w:rPr>
          <w:color w:val="231F20"/>
          <w:spacing w:val="-21"/>
          <w:sz w:val="15"/>
        </w:rPr>
        <w:t xml:space="preserve"> </w:t>
      </w:r>
      <w:r>
        <w:rPr>
          <w:color w:val="231F20"/>
          <w:sz w:val="15"/>
        </w:rPr>
        <w:t>schválena,</w:t>
      </w:r>
      <w:r>
        <w:rPr>
          <w:color w:val="231F20"/>
          <w:spacing w:val="-21"/>
          <w:sz w:val="15"/>
        </w:rPr>
        <w:t xml:space="preserve"> </w:t>
      </w:r>
      <w:r>
        <w:rPr>
          <w:color w:val="231F20"/>
          <w:sz w:val="15"/>
        </w:rPr>
        <w:t>nebo</w:t>
      </w:r>
      <w:r>
        <w:rPr>
          <w:color w:val="231F20"/>
          <w:spacing w:val="-21"/>
          <w:sz w:val="15"/>
        </w:rPr>
        <w:t xml:space="preserve"> </w:t>
      </w:r>
      <w:r>
        <w:rPr>
          <w:color w:val="231F20"/>
          <w:sz w:val="15"/>
        </w:rPr>
        <w:t>vozi- dla,</w:t>
      </w:r>
      <w:r>
        <w:rPr>
          <w:color w:val="231F20"/>
          <w:spacing w:val="-14"/>
          <w:sz w:val="15"/>
        </w:rPr>
        <w:t xml:space="preserve"> </w:t>
      </w:r>
      <w:r>
        <w:rPr>
          <w:color w:val="231F20"/>
          <w:sz w:val="15"/>
        </w:rPr>
        <w:t>které</w:t>
      </w:r>
      <w:r>
        <w:rPr>
          <w:color w:val="231F20"/>
          <w:spacing w:val="-14"/>
          <w:sz w:val="15"/>
        </w:rPr>
        <w:t xml:space="preserve"> </w:t>
      </w:r>
      <w:r>
        <w:rPr>
          <w:color w:val="231F20"/>
          <w:sz w:val="15"/>
        </w:rPr>
        <w:t>bylo</w:t>
      </w:r>
      <w:r>
        <w:rPr>
          <w:color w:val="231F20"/>
          <w:spacing w:val="-14"/>
          <w:sz w:val="15"/>
        </w:rPr>
        <w:t xml:space="preserve"> </w:t>
      </w:r>
      <w:r>
        <w:rPr>
          <w:color w:val="231F20"/>
          <w:sz w:val="15"/>
        </w:rPr>
        <w:t>vyřazeno</w:t>
      </w:r>
      <w:r>
        <w:rPr>
          <w:color w:val="231F20"/>
          <w:spacing w:val="-14"/>
          <w:sz w:val="15"/>
        </w:rPr>
        <w:t xml:space="preserve"> </w:t>
      </w:r>
      <w:r>
        <w:rPr>
          <w:color w:val="231F20"/>
          <w:sz w:val="15"/>
        </w:rPr>
        <w:t>z</w:t>
      </w:r>
      <w:r>
        <w:rPr>
          <w:color w:val="231F20"/>
          <w:spacing w:val="-14"/>
          <w:sz w:val="15"/>
        </w:rPr>
        <w:t xml:space="preserve"> </w:t>
      </w:r>
      <w:r>
        <w:rPr>
          <w:color w:val="231F20"/>
          <w:sz w:val="15"/>
        </w:rPr>
        <w:t>provozu</w:t>
      </w:r>
      <w:r>
        <w:rPr>
          <w:color w:val="231F20"/>
          <w:spacing w:val="-14"/>
          <w:sz w:val="15"/>
        </w:rPr>
        <w:t xml:space="preserve"> </w:t>
      </w:r>
      <w:r>
        <w:rPr>
          <w:color w:val="231F20"/>
          <w:sz w:val="15"/>
        </w:rPr>
        <w:t>podle</w:t>
      </w:r>
      <w:r>
        <w:rPr>
          <w:color w:val="231F20"/>
          <w:spacing w:val="-14"/>
          <w:sz w:val="15"/>
        </w:rPr>
        <w:t xml:space="preserve"> </w:t>
      </w:r>
      <w:r>
        <w:rPr>
          <w:color w:val="231F20"/>
          <w:sz w:val="15"/>
        </w:rPr>
        <w:t>zákona</w:t>
      </w:r>
      <w:r>
        <w:rPr>
          <w:color w:val="231F20"/>
          <w:spacing w:val="-14"/>
          <w:sz w:val="15"/>
        </w:rPr>
        <w:t xml:space="preserve"> </w:t>
      </w:r>
      <w:r>
        <w:rPr>
          <w:color w:val="231F20"/>
          <w:sz w:val="15"/>
        </w:rPr>
        <w:t>č.</w:t>
      </w:r>
      <w:r>
        <w:rPr>
          <w:color w:val="231F20"/>
          <w:spacing w:val="-14"/>
          <w:sz w:val="15"/>
        </w:rPr>
        <w:t xml:space="preserve"> </w:t>
      </w:r>
      <w:r>
        <w:rPr>
          <w:color w:val="231F20"/>
          <w:sz w:val="15"/>
        </w:rPr>
        <w:t>56/2001</w:t>
      </w:r>
      <w:r>
        <w:rPr>
          <w:color w:val="231F20"/>
          <w:spacing w:val="-14"/>
          <w:sz w:val="15"/>
        </w:rPr>
        <w:t xml:space="preserve"> </w:t>
      </w:r>
      <w:r>
        <w:rPr>
          <w:color w:val="231F20"/>
          <w:sz w:val="15"/>
        </w:rPr>
        <w:t>Sb.,</w:t>
      </w:r>
      <w:r>
        <w:rPr>
          <w:color w:val="231F20"/>
          <w:spacing w:val="-14"/>
          <w:sz w:val="15"/>
        </w:rPr>
        <w:t xml:space="preserve"> </w:t>
      </w:r>
      <w:r>
        <w:rPr>
          <w:color w:val="231F20"/>
          <w:sz w:val="15"/>
        </w:rPr>
        <w:t>o</w:t>
      </w:r>
      <w:r>
        <w:rPr>
          <w:color w:val="231F20"/>
          <w:spacing w:val="-14"/>
          <w:sz w:val="15"/>
        </w:rPr>
        <w:t xml:space="preserve"> </w:t>
      </w:r>
      <w:r>
        <w:rPr>
          <w:color w:val="231F20"/>
          <w:sz w:val="15"/>
        </w:rPr>
        <w:t>podmín- kách provozu vozidel na pozemních</w:t>
      </w:r>
      <w:r>
        <w:rPr>
          <w:color w:val="231F20"/>
          <w:spacing w:val="-14"/>
          <w:sz w:val="15"/>
        </w:rPr>
        <w:t xml:space="preserve"> </w:t>
      </w:r>
      <w:r>
        <w:rPr>
          <w:color w:val="231F20"/>
          <w:sz w:val="15"/>
        </w:rPr>
        <w:t>komunikacích;</w:t>
      </w:r>
    </w:p>
    <w:p w14:paraId="60E1486F" w14:textId="77777777" w:rsidR="00F65BCA" w:rsidRDefault="00216117">
      <w:pPr>
        <w:pStyle w:val="Odstavecseseznamem"/>
        <w:numPr>
          <w:ilvl w:val="0"/>
          <w:numId w:val="91"/>
        </w:numPr>
        <w:tabs>
          <w:tab w:val="left" w:pos="881"/>
        </w:tabs>
        <w:spacing w:line="172" w:lineRule="exact"/>
        <w:jc w:val="both"/>
        <w:rPr>
          <w:sz w:val="15"/>
        </w:rPr>
      </w:pPr>
      <w:r>
        <w:rPr>
          <w:color w:val="231F20"/>
          <w:sz w:val="15"/>
        </w:rPr>
        <w:t>úmyslným jednáním oprávněné</w:t>
      </w:r>
      <w:r>
        <w:rPr>
          <w:color w:val="231F20"/>
          <w:spacing w:val="-5"/>
          <w:sz w:val="15"/>
        </w:rPr>
        <w:t xml:space="preserve"> </w:t>
      </w:r>
      <w:r>
        <w:rPr>
          <w:color w:val="231F20"/>
          <w:sz w:val="15"/>
        </w:rPr>
        <w:t>osoby;</w:t>
      </w:r>
    </w:p>
    <w:p w14:paraId="3DA4B613" w14:textId="77777777" w:rsidR="00F65BCA" w:rsidRDefault="00216117">
      <w:pPr>
        <w:pStyle w:val="Odstavecseseznamem"/>
        <w:numPr>
          <w:ilvl w:val="0"/>
          <w:numId w:val="91"/>
        </w:numPr>
        <w:tabs>
          <w:tab w:val="left" w:pos="881"/>
        </w:tabs>
        <w:spacing w:before="28" w:line="278" w:lineRule="auto"/>
        <w:jc w:val="both"/>
        <w:rPr>
          <w:sz w:val="15"/>
        </w:rPr>
      </w:pPr>
      <w:r>
        <w:rPr>
          <w:color w:val="231F20"/>
          <w:sz w:val="15"/>
        </w:rPr>
        <w:t>nedostatkem</w:t>
      </w:r>
      <w:r>
        <w:rPr>
          <w:color w:val="231F20"/>
          <w:spacing w:val="-21"/>
          <w:sz w:val="15"/>
        </w:rPr>
        <w:t xml:space="preserve"> </w:t>
      </w:r>
      <w:r>
        <w:rPr>
          <w:color w:val="231F20"/>
          <w:sz w:val="15"/>
        </w:rPr>
        <w:t>mazacích</w:t>
      </w:r>
      <w:r>
        <w:rPr>
          <w:color w:val="231F20"/>
          <w:spacing w:val="-20"/>
          <w:sz w:val="15"/>
        </w:rPr>
        <w:t xml:space="preserve"> </w:t>
      </w:r>
      <w:r>
        <w:rPr>
          <w:color w:val="231F20"/>
          <w:sz w:val="15"/>
        </w:rPr>
        <w:t>hmot,</w:t>
      </w:r>
      <w:r>
        <w:rPr>
          <w:color w:val="231F20"/>
          <w:spacing w:val="-21"/>
          <w:sz w:val="15"/>
        </w:rPr>
        <w:t xml:space="preserve"> </w:t>
      </w:r>
      <w:r>
        <w:rPr>
          <w:color w:val="231F20"/>
          <w:sz w:val="15"/>
        </w:rPr>
        <w:t>nebo</w:t>
      </w:r>
      <w:r>
        <w:rPr>
          <w:color w:val="231F20"/>
          <w:spacing w:val="-20"/>
          <w:sz w:val="15"/>
        </w:rPr>
        <w:t xml:space="preserve"> </w:t>
      </w:r>
      <w:r>
        <w:rPr>
          <w:color w:val="231F20"/>
          <w:sz w:val="15"/>
        </w:rPr>
        <w:t>provozních</w:t>
      </w:r>
      <w:r>
        <w:rPr>
          <w:color w:val="231F20"/>
          <w:spacing w:val="-21"/>
          <w:sz w:val="15"/>
        </w:rPr>
        <w:t xml:space="preserve"> </w:t>
      </w:r>
      <w:r>
        <w:rPr>
          <w:color w:val="231F20"/>
          <w:sz w:val="15"/>
        </w:rPr>
        <w:t>kapalin</w:t>
      </w:r>
      <w:r>
        <w:rPr>
          <w:color w:val="231F20"/>
          <w:spacing w:val="-20"/>
          <w:sz w:val="15"/>
        </w:rPr>
        <w:t xml:space="preserve"> </w:t>
      </w:r>
      <w:r>
        <w:rPr>
          <w:color w:val="231F20"/>
          <w:sz w:val="15"/>
        </w:rPr>
        <w:t>(včetně</w:t>
      </w:r>
      <w:r>
        <w:rPr>
          <w:color w:val="231F20"/>
          <w:spacing w:val="-21"/>
          <w:sz w:val="15"/>
        </w:rPr>
        <w:t xml:space="preserve"> </w:t>
      </w:r>
      <w:r>
        <w:rPr>
          <w:color w:val="231F20"/>
          <w:sz w:val="15"/>
        </w:rPr>
        <w:t>AdBlue)</w:t>
      </w:r>
      <w:r>
        <w:rPr>
          <w:color w:val="231F20"/>
          <w:spacing w:val="-20"/>
          <w:sz w:val="15"/>
        </w:rPr>
        <w:t xml:space="preserve"> </w:t>
      </w:r>
      <w:r>
        <w:rPr>
          <w:color w:val="231F20"/>
          <w:spacing w:val="-7"/>
          <w:sz w:val="15"/>
        </w:rPr>
        <w:t xml:space="preserve">po- </w:t>
      </w:r>
      <w:r>
        <w:rPr>
          <w:color w:val="231F20"/>
          <w:sz w:val="15"/>
        </w:rPr>
        <w:t>jištěného vozidla (s výjimkou pohonných</w:t>
      </w:r>
      <w:r>
        <w:rPr>
          <w:color w:val="231F20"/>
          <w:spacing w:val="-13"/>
          <w:sz w:val="15"/>
        </w:rPr>
        <w:t xml:space="preserve"> </w:t>
      </w:r>
      <w:r>
        <w:rPr>
          <w:color w:val="231F20"/>
          <w:sz w:val="15"/>
        </w:rPr>
        <w:t>hmot).</w:t>
      </w:r>
    </w:p>
    <w:p w14:paraId="72E9C067" w14:textId="77777777" w:rsidR="00F65BCA" w:rsidRDefault="00216117">
      <w:pPr>
        <w:pStyle w:val="Zkladntext"/>
        <w:spacing w:before="75"/>
        <w:ind w:left="187"/>
        <w:jc w:val="both"/>
      </w:pPr>
      <w:r>
        <w:br w:type="column"/>
      </w:r>
      <w:r>
        <w:rPr>
          <w:color w:val="231F20"/>
          <w:position w:val="1"/>
          <w:sz w:val="14"/>
          <w:shd w:val="clear" w:color="auto" w:fill="D1D3D4"/>
        </w:rPr>
        <w:t xml:space="preserve">  2</w:t>
      </w:r>
      <w:r>
        <w:rPr>
          <w:color w:val="231F20"/>
          <w:position w:val="1"/>
          <w:sz w:val="14"/>
        </w:rPr>
        <w:t xml:space="preserve"> </w:t>
      </w:r>
      <w:r>
        <w:rPr>
          <w:color w:val="231F20"/>
        </w:rPr>
        <w:t>Pojištění se dále nevztahuje na úhradu nákladů:</w:t>
      </w:r>
    </w:p>
    <w:p w14:paraId="0C8736E4" w14:textId="77777777" w:rsidR="00F65BCA" w:rsidRDefault="00216117">
      <w:pPr>
        <w:pStyle w:val="Odstavecseseznamem"/>
        <w:numPr>
          <w:ilvl w:val="0"/>
          <w:numId w:val="90"/>
        </w:numPr>
        <w:tabs>
          <w:tab w:val="left" w:pos="640"/>
        </w:tabs>
        <w:spacing w:before="27" w:line="278" w:lineRule="auto"/>
        <w:ind w:right="424"/>
        <w:jc w:val="both"/>
        <w:rPr>
          <w:sz w:val="15"/>
        </w:rPr>
      </w:pPr>
      <w:r>
        <w:rPr>
          <w:color w:val="231F20"/>
          <w:sz w:val="15"/>
        </w:rPr>
        <w:t>služeb,</w:t>
      </w:r>
      <w:r>
        <w:rPr>
          <w:color w:val="231F20"/>
          <w:spacing w:val="-5"/>
          <w:sz w:val="15"/>
        </w:rPr>
        <w:t xml:space="preserve"> </w:t>
      </w:r>
      <w:r>
        <w:rPr>
          <w:color w:val="231F20"/>
          <w:sz w:val="15"/>
        </w:rPr>
        <w:t>které</w:t>
      </w:r>
      <w:r>
        <w:rPr>
          <w:color w:val="231F20"/>
          <w:spacing w:val="-5"/>
          <w:sz w:val="15"/>
        </w:rPr>
        <w:t xml:space="preserve"> </w:t>
      </w:r>
      <w:r>
        <w:rPr>
          <w:color w:val="231F20"/>
          <w:sz w:val="15"/>
        </w:rPr>
        <w:t>byly</w:t>
      </w:r>
      <w:r>
        <w:rPr>
          <w:color w:val="231F20"/>
          <w:spacing w:val="-5"/>
          <w:sz w:val="15"/>
        </w:rPr>
        <w:t xml:space="preserve"> </w:t>
      </w:r>
      <w:r>
        <w:rPr>
          <w:color w:val="231F20"/>
          <w:sz w:val="15"/>
        </w:rPr>
        <w:t>poskytnuty</w:t>
      </w:r>
      <w:r>
        <w:rPr>
          <w:color w:val="231F20"/>
          <w:spacing w:val="-4"/>
          <w:sz w:val="15"/>
        </w:rPr>
        <w:t xml:space="preserve"> </w:t>
      </w:r>
      <w:r>
        <w:rPr>
          <w:color w:val="231F20"/>
          <w:sz w:val="15"/>
        </w:rPr>
        <w:t>nad</w:t>
      </w:r>
      <w:r>
        <w:rPr>
          <w:color w:val="231F20"/>
          <w:spacing w:val="-5"/>
          <w:sz w:val="15"/>
        </w:rPr>
        <w:t xml:space="preserve"> </w:t>
      </w:r>
      <w:r>
        <w:rPr>
          <w:color w:val="231F20"/>
          <w:sz w:val="15"/>
        </w:rPr>
        <w:t>rámec</w:t>
      </w:r>
      <w:r>
        <w:rPr>
          <w:color w:val="231F20"/>
          <w:spacing w:val="-5"/>
          <w:sz w:val="15"/>
        </w:rPr>
        <w:t xml:space="preserve"> </w:t>
      </w:r>
      <w:r>
        <w:rPr>
          <w:color w:val="231F20"/>
          <w:sz w:val="15"/>
        </w:rPr>
        <w:t>poskytovaných</w:t>
      </w:r>
      <w:r>
        <w:rPr>
          <w:color w:val="231F20"/>
          <w:spacing w:val="-4"/>
          <w:sz w:val="15"/>
        </w:rPr>
        <w:t xml:space="preserve"> </w:t>
      </w:r>
      <w:r>
        <w:rPr>
          <w:color w:val="231F20"/>
          <w:sz w:val="15"/>
        </w:rPr>
        <w:t>asistenčních</w:t>
      </w:r>
      <w:r>
        <w:rPr>
          <w:color w:val="231F20"/>
          <w:spacing w:val="-5"/>
          <w:sz w:val="15"/>
        </w:rPr>
        <w:t xml:space="preserve"> </w:t>
      </w:r>
      <w:r>
        <w:rPr>
          <w:color w:val="231F20"/>
          <w:spacing w:val="-3"/>
          <w:sz w:val="15"/>
        </w:rPr>
        <w:t xml:space="preserve">slu- </w:t>
      </w:r>
      <w:r>
        <w:rPr>
          <w:color w:val="231F20"/>
          <w:sz w:val="15"/>
        </w:rPr>
        <w:t>žeb;</w:t>
      </w:r>
    </w:p>
    <w:p w14:paraId="3A518BE4" w14:textId="77777777" w:rsidR="00F65BCA" w:rsidRDefault="00216117">
      <w:pPr>
        <w:pStyle w:val="Odstavecseseznamem"/>
        <w:numPr>
          <w:ilvl w:val="0"/>
          <w:numId w:val="90"/>
        </w:numPr>
        <w:tabs>
          <w:tab w:val="left" w:pos="640"/>
        </w:tabs>
        <w:spacing w:line="278" w:lineRule="auto"/>
        <w:ind w:right="424"/>
        <w:jc w:val="both"/>
        <w:rPr>
          <w:sz w:val="15"/>
        </w:rPr>
      </w:pPr>
      <w:r>
        <w:rPr>
          <w:color w:val="231F20"/>
          <w:sz w:val="15"/>
        </w:rPr>
        <w:t>služeb objednaných nebo zaplacených bez předchozího souhlasu</w:t>
      </w:r>
      <w:r>
        <w:rPr>
          <w:color w:val="231F20"/>
          <w:spacing w:val="-19"/>
          <w:sz w:val="15"/>
        </w:rPr>
        <w:t xml:space="preserve"> </w:t>
      </w:r>
      <w:r>
        <w:rPr>
          <w:color w:val="231F20"/>
          <w:spacing w:val="-4"/>
          <w:sz w:val="15"/>
        </w:rPr>
        <w:t xml:space="preserve">posky- </w:t>
      </w:r>
      <w:r>
        <w:rPr>
          <w:color w:val="231F20"/>
          <w:sz w:val="15"/>
        </w:rPr>
        <w:t>tovatele</w:t>
      </w:r>
      <w:r>
        <w:rPr>
          <w:color w:val="231F20"/>
          <w:spacing w:val="-16"/>
          <w:sz w:val="15"/>
        </w:rPr>
        <w:t xml:space="preserve"> </w:t>
      </w:r>
      <w:r>
        <w:rPr>
          <w:color w:val="231F20"/>
          <w:sz w:val="15"/>
        </w:rPr>
        <w:t>asistence,</w:t>
      </w:r>
      <w:r>
        <w:rPr>
          <w:color w:val="231F20"/>
          <w:spacing w:val="-16"/>
          <w:sz w:val="15"/>
        </w:rPr>
        <w:t xml:space="preserve"> </w:t>
      </w:r>
      <w:r>
        <w:rPr>
          <w:color w:val="231F20"/>
          <w:sz w:val="15"/>
        </w:rPr>
        <w:t>nebylo-li</w:t>
      </w:r>
      <w:r>
        <w:rPr>
          <w:color w:val="231F20"/>
          <w:spacing w:val="-16"/>
          <w:sz w:val="15"/>
        </w:rPr>
        <w:t xml:space="preserve"> </w:t>
      </w:r>
      <w:r>
        <w:rPr>
          <w:color w:val="231F20"/>
          <w:sz w:val="15"/>
        </w:rPr>
        <w:t>s</w:t>
      </w:r>
      <w:r>
        <w:rPr>
          <w:color w:val="231F20"/>
          <w:spacing w:val="-16"/>
          <w:sz w:val="15"/>
        </w:rPr>
        <w:t xml:space="preserve"> </w:t>
      </w:r>
      <w:r>
        <w:rPr>
          <w:color w:val="231F20"/>
          <w:sz w:val="15"/>
        </w:rPr>
        <w:t>Pojišťovnou</w:t>
      </w:r>
      <w:r>
        <w:rPr>
          <w:color w:val="231F20"/>
          <w:spacing w:val="-16"/>
          <w:sz w:val="15"/>
        </w:rPr>
        <w:t xml:space="preserve"> </w:t>
      </w:r>
      <w:r>
        <w:rPr>
          <w:color w:val="231F20"/>
          <w:sz w:val="15"/>
        </w:rPr>
        <w:t>nebo</w:t>
      </w:r>
      <w:r>
        <w:rPr>
          <w:color w:val="231F20"/>
          <w:spacing w:val="-16"/>
          <w:sz w:val="15"/>
        </w:rPr>
        <w:t xml:space="preserve"> </w:t>
      </w:r>
      <w:r>
        <w:rPr>
          <w:color w:val="231F20"/>
          <w:sz w:val="15"/>
        </w:rPr>
        <w:t>poskytovatelem</w:t>
      </w:r>
      <w:r>
        <w:rPr>
          <w:color w:val="231F20"/>
          <w:spacing w:val="-16"/>
          <w:sz w:val="15"/>
        </w:rPr>
        <w:t xml:space="preserve"> </w:t>
      </w:r>
      <w:r>
        <w:rPr>
          <w:color w:val="231F20"/>
          <w:sz w:val="15"/>
        </w:rPr>
        <w:t>asistence dohodnuto</w:t>
      </w:r>
      <w:r>
        <w:rPr>
          <w:color w:val="231F20"/>
          <w:spacing w:val="-1"/>
          <w:sz w:val="15"/>
        </w:rPr>
        <w:t xml:space="preserve"> </w:t>
      </w:r>
      <w:r>
        <w:rPr>
          <w:color w:val="231F20"/>
          <w:sz w:val="15"/>
        </w:rPr>
        <w:t>jinak;</w:t>
      </w:r>
    </w:p>
    <w:p w14:paraId="6570731B" w14:textId="77777777" w:rsidR="00F65BCA" w:rsidRDefault="00216117">
      <w:pPr>
        <w:pStyle w:val="Odstavecseseznamem"/>
        <w:numPr>
          <w:ilvl w:val="0"/>
          <w:numId w:val="90"/>
        </w:numPr>
        <w:tabs>
          <w:tab w:val="left" w:pos="640"/>
        </w:tabs>
        <w:spacing w:line="278" w:lineRule="auto"/>
        <w:ind w:right="424"/>
        <w:jc w:val="both"/>
        <w:rPr>
          <w:sz w:val="15"/>
        </w:rPr>
      </w:pPr>
      <w:r>
        <w:rPr>
          <w:color w:val="231F20"/>
          <w:sz w:val="15"/>
        </w:rPr>
        <w:t>spojených</w:t>
      </w:r>
      <w:r>
        <w:rPr>
          <w:color w:val="231F20"/>
          <w:spacing w:val="-20"/>
          <w:sz w:val="15"/>
        </w:rPr>
        <w:t xml:space="preserve"> </w:t>
      </w:r>
      <w:r>
        <w:rPr>
          <w:color w:val="231F20"/>
          <w:sz w:val="15"/>
        </w:rPr>
        <w:t>s</w:t>
      </w:r>
      <w:r>
        <w:rPr>
          <w:color w:val="231F20"/>
          <w:spacing w:val="-20"/>
          <w:sz w:val="15"/>
        </w:rPr>
        <w:t xml:space="preserve"> </w:t>
      </w:r>
      <w:r>
        <w:rPr>
          <w:color w:val="231F20"/>
          <w:sz w:val="15"/>
        </w:rPr>
        <w:t>překládkou</w:t>
      </w:r>
      <w:r>
        <w:rPr>
          <w:color w:val="231F20"/>
          <w:spacing w:val="-20"/>
          <w:sz w:val="15"/>
        </w:rPr>
        <w:t xml:space="preserve"> </w:t>
      </w:r>
      <w:r>
        <w:rPr>
          <w:color w:val="231F20"/>
          <w:sz w:val="15"/>
        </w:rPr>
        <w:t>nebo</w:t>
      </w:r>
      <w:r>
        <w:rPr>
          <w:color w:val="231F20"/>
          <w:spacing w:val="-19"/>
          <w:sz w:val="15"/>
        </w:rPr>
        <w:t xml:space="preserve"> </w:t>
      </w:r>
      <w:r>
        <w:rPr>
          <w:color w:val="231F20"/>
          <w:sz w:val="15"/>
        </w:rPr>
        <w:t>přepravou</w:t>
      </w:r>
      <w:r>
        <w:rPr>
          <w:color w:val="231F20"/>
          <w:spacing w:val="-20"/>
          <w:sz w:val="15"/>
        </w:rPr>
        <w:t xml:space="preserve"> </w:t>
      </w:r>
      <w:r>
        <w:rPr>
          <w:color w:val="231F20"/>
          <w:sz w:val="15"/>
        </w:rPr>
        <w:t>nákladu,</w:t>
      </w:r>
      <w:r>
        <w:rPr>
          <w:color w:val="231F20"/>
          <w:spacing w:val="-20"/>
          <w:sz w:val="15"/>
        </w:rPr>
        <w:t xml:space="preserve"> </w:t>
      </w:r>
      <w:r>
        <w:rPr>
          <w:color w:val="231F20"/>
          <w:sz w:val="15"/>
        </w:rPr>
        <w:t>není-li</w:t>
      </w:r>
      <w:r>
        <w:rPr>
          <w:color w:val="231F20"/>
          <w:spacing w:val="-19"/>
          <w:sz w:val="15"/>
        </w:rPr>
        <w:t xml:space="preserve"> </w:t>
      </w:r>
      <w:r>
        <w:rPr>
          <w:color w:val="231F20"/>
          <w:sz w:val="15"/>
        </w:rPr>
        <w:t>v</w:t>
      </w:r>
      <w:r>
        <w:rPr>
          <w:color w:val="231F20"/>
          <w:spacing w:val="-20"/>
          <w:sz w:val="15"/>
        </w:rPr>
        <w:t xml:space="preserve"> </w:t>
      </w:r>
      <w:r>
        <w:rPr>
          <w:color w:val="231F20"/>
          <w:sz w:val="15"/>
        </w:rPr>
        <w:t>pojistné</w:t>
      </w:r>
      <w:r>
        <w:rPr>
          <w:color w:val="231F20"/>
          <w:spacing w:val="-20"/>
          <w:sz w:val="15"/>
        </w:rPr>
        <w:t xml:space="preserve"> </w:t>
      </w:r>
      <w:r>
        <w:rPr>
          <w:color w:val="231F20"/>
          <w:sz w:val="15"/>
        </w:rPr>
        <w:t>smlouvě nebo těchto VPP ujednáno</w:t>
      </w:r>
      <w:r>
        <w:rPr>
          <w:color w:val="231F20"/>
          <w:spacing w:val="-5"/>
          <w:sz w:val="15"/>
        </w:rPr>
        <w:t xml:space="preserve"> </w:t>
      </w:r>
      <w:r>
        <w:rPr>
          <w:color w:val="231F20"/>
          <w:sz w:val="15"/>
        </w:rPr>
        <w:t>jinak;</w:t>
      </w:r>
    </w:p>
    <w:p w14:paraId="25FCC560" w14:textId="77777777" w:rsidR="00F65BCA" w:rsidRDefault="00216117">
      <w:pPr>
        <w:pStyle w:val="Odstavecseseznamem"/>
        <w:numPr>
          <w:ilvl w:val="0"/>
          <w:numId w:val="90"/>
        </w:numPr>
        <w:tabs>
          <w:tab w:val="left" w:pos="640"/>
        </w:tabs>
        <w:spacing w:line="278" w:lineRule="auto"/>
        <w:ind w:right="424"/>
        <w:jc w:val="both"/>
        <w:rPr>
          <w:sz w:val="15"/>
        </w:rPr>
      </w:pPr>
      <w:r>
        <w:rPr>
          <w:color w:val="231F20"/>
          <w:sz w:val="15"/>
        </w:rPr>
        <w:t>spojených</w:t>
      </w:r>
      <w:r>
        <w:rPr>
          <w:color w:val="231F20"/>
          <w:spacing w:val="-19"/>
          <w:sz w:val="15"/>
        </w:rPr>
        <w:t xml:space="preserve"> </w:t>
      </w:r>
      <w:r>
        <w:rPr>
          <w:color w:val="231F20"/>
          <w:sz w:val="15"/>
        </w:rPr>
        <w:t>s</w:t>
      </w:r>
      <w:r>
        <w:rPr>
          <w:color w:val="231F20"/>
          <w:spacing w:val="-19"/>
          <w:sz w:val="15"/>
        </w:rPr>
        <w:t xml:space="preserve"> </w:t>
      </w:r>
      <w:r>
        <w:rPr>
          <w:color w:val="231F20"/>
          <w:sz w:val="15"/>
        </w:rPr>
        <w:t>manipulací</w:t>
      </w:r>
      <w:r>
        <w:rPr>
          <w:color w:val="231F20"/>
          <w:spacing w:val="-19"/>
          <w:sz w:val="15"/>
        </w:rPr>
        <w:t xml:space="preserve"> </w:t>
      </w:r>
      <w:r>
        <w:rPr>
          <w:color w:val="231F20"/>
          <w:sz w:val="15"/>
        </w:rPr>
        <w:t>a</w:t>
      </w:r>
      <w:r>
        <w:rPr>
          <w:color w:val="231F20"/>
          <w:spacing w:val="-18"/>
          <w:sz w:val="15"/>
        </w:rPr>
        <w:t xml:space="preserve"> </w:t>
      </w:r>
      <w:r>
        <w:rPr>
          <w:color w:val="231F20"/>
          <w:sz w:val="15"/>
        </w:rPr>
        <w:t>odtahem</w:t>
      </w:r>
      <w:r>
        <w:rPr>
          <w:color w:val="231F20"/>
          <w:spacing w:val="-19"/>
          <w:sz w:val="15"/>
        </w:rPr>
        <w:t xml:space="preserve"> </w:t>
      </w:r>
      <w:r>
        <w:rPr>
          <w:color w:val="231F20"/>
          <w:sz w:val="15"/>
        </w:rPr>
        <w:t>přípojného</w:t>
      </w:r>
      <w:r>
        <w:rPr>
          <w:color w:val="231F20"/>
          <w:spacing w:val="-19"/>
          <w:sz w:val="15"/>
        </w:rPr>
        <w:t xml:space="preserve"> </w:t>
      </w:r>
      <w:r>
        <w:rPr>
          <w:color w:val="231F20"/>
          <w:sz w:val="15"/>
        </w:rPr>
        <w:t>vozidla</w:t>
      </w:r>
      <w:r>
        <w:rPr>
          <w:color w:val="231F20"/>
          <w:spacing w:val="-18"/>
          <w:sz w:val="15"/>
        </w:rPr>
        <w:t xml:space="preserve"> </w:t>
      </w:r>
      <w:r>
        <w:rPr>
          <w:color w:val="231F20"/>
          <w:sz w:val="15"/>
        </w:rPr>
        <w:t>zapojeného</w:t>
      </w:r>
      <w:r>
        <w:rPr>
          <w:color w:val="231F20"/>
          <w:spacing w:val="-19"/>
          <w:sz w:val="15"/>
        </w:rPr>
        <w:t xml:space="preserve"> </w:t>
      </w:r>
      <w:r>
        <w:rPr>
          <w:color w:val="231F20"/>
          <w:sz w:val="15"/>
        </w:rPr>
        <w:t>za</w:t>
      </w:r>
      <w:r>
        <w:rPr>
          <w:color w:val="231F20"/>
          <w:spacing w:val="-19"/>
          <w:sz w:val="15"/>
        </w:rPr>
        <w:t xml:space="preserve"> </w:t>
      </w:r>
      <w:r>
        <w:rPr>
          <w:color w:val="231F20"/>
          <w:sz w:val="15"/>
        </w:rPr>
        <w:t>pojiš- těné</w:t>
      </w:r>
      <w:r>
        <w:rPr>
          <w:color w:val="231F20"/>
          <w:spacing w:val="-12"/>
          <w:sz w:val="15"/>
        </w:rPr>
        <w:t xml:space="preserve"> </w:t>
      </w:r>
      <w:r>
        <w:rPr>
          <w:color w:val="231F20"/>
          <w:sz w:val="15"/>
        </w:rPr>
        <w:t>vozidlo,</w:t>
      </w:r>
      <w:r>
        <w:rPr>
          <w:color w:val="231F20"/>
          <w:spacing w:val="-12"/>
          <w:sz w:val="15"/>
        </w:rPr>
        <w:t xml:space="preserve"> </w:t>
      </w:r>
      <w:r>
        <w:rPr>
          <w:color w:val="231F20"/>
          <w:sz w:val="15"/>
        </w:rPr>
        <w:t>není-li</w:t>
      </w:r>
      <w:r>
        <w:rPr>
          <w:color w:val="231F20"/>
          <w:spacing w:val="-11"/>
          <w:sz w:val="15"/>
        </w:rPr>
        <w:t xml:space="preserve"> </w:t>
      </w:r>
      <w:r>
        <w:rPr>
          <w:color w:val="231F20"/>
          <w:sz w:val="15"/>
        </w:rPr>
        <w:t>v</w:t>
      </w:r>
      <w:r>
        <w:rPr>
          <w:color w:val="231F20"/>
          <w:spacing w:val="-12"/>
          <w:sz w:val="15"/>
        </w:rPr>
        <w:t xml:space="preserve"> </w:t>
      </w:r>
      <w:r>
        <w:rPr>
          <w:color w:val="231F20"/>
          <w:sz w:val="15"/>
        </w:rPr>
        <w:t>pojistné</w:t>
      </w:r>
      <w:r>
        <w:rPr>
          <w:color w:val="231F20"/>
          <w:spacing w:val="-12"/>
          <w:sz w:val="15"/>
        </w:rPr>
        <w:t xml:space="preserve"> </w:t>
      </w:r>
      <w:r>
        <w:rPr>
          <w:color w:val="231F20"/>
          <w:sz w:val="15"/>
        </w:rPr>
        <w:t>smlouvě</w:t>
      </w:r>
      <w:r>
        <w:rPr>
          <w:color w:val="231F20"/>
          <w:spacing w:val="-11"/>
          <w:sz w:val="15"/>
        </w:rPr>
        <w:t xml:space="preserve"> </w:t>
      </w:r>
      <w:r>
        <w:rPr>
          <w:color w:val="231F20"/>
          <w:sz w:val="15"/>
        </w:rPr>
        <w:t>nebo</w:t>
      </w:r>
      <w:r>
        <w:rPr>
          <w:color w:val="231F20"/>
          <w:spacing w:val="-12"/>
          <w:sz w:val="15"/>
        </w:rPr>
        <w:t xml:space="preserve"> </w:t>
      </w:r>
      <w:r>
        <w:rPr>
          <w:color w:val="231F20"/>
          <w:sz w:val="15"/>
        </w:rPr>
        <w:t>těchto</w:t>
      </w:r>
      <w:r>
        <w:rPr>
          <w:color w:val="231F20"/>
          <w:spacing w:val="-12"/>
          <w:sz w:val="15"/>
        </w:rPr>
        <w:t xml:space="preserve"> </w:t>
      </w:r>
      <w:r>
        <w:rPr>
          <w:color w:val="231F20"/>
          <w:sz w:val="15"/>
        </w:rPr>
        <w:t>VPP</w:t>
      </w:r>
      <w:r>
        <w:rPr>
          <w:color w:val="231F20"/>
          <w:spacing w:val="-11"/>
          <w:sz w:val="15"/>
        </w:rPr>
        <w:t xml:space="preserve"> </w:t>
      </w:r>
      <w:r>
        <w:rPr>
          <w:color w:val="231F20"/>
          <w:sz w:val="15"/>
        </w:rPr>
        <w:t>ujednáno</w:t>
      </w:r>
      <w:r>
        <w:rPr>
          <w:color w:val="231F20"/>
          <w:spacing w:val="-12"/>
          <w:sz w:val="15"/>
        </w:rPr>
        <w:t xml:space="preserve"> </w:t>
      </w:r>
      <w:r>
        <w:rPr>
          <w:color w:val="231F20"/>
          <w:sz w:val="15"/>
        </w:rPr>
        <w:t>jinak;</w:t>
      </w:r>
    </w:p>
    <w:p w14:paraId="6D2CC34C" w14:textId="77777777" w:rsidR="00F65BCA" w:rsidRDefault="00216117">
      <w:pPr>
        <w:pStyle w:val="Odstavecseseznamem"/>
        <w:numPr>
          <w:ilvl w:val="0"/>
          <w:numId w:val="90"/>
        </w:numPr>
        <w:tabs>
          <w:tab w:val="left" w:pos="640"/>
        </w:tabs>
        <w:spacing w:line="278" w:lineRule="auto"/>
        <w:ind w:right="424"/>
        <w:jc w:val="both"/>
        <w:rPr>
          <w:sz w:val="15"/>
        </w:rPr>
      </w:pPr>
      <w:r>
        <w:rPr>
          <w:color w:val="231F20"/>
          <w:sz w:val="15"/>
        </w:rPr>
        <w:t>vynaložených</w:t>
      </w:r>
      <w:r>
        <w:rPr>
          <w:color w:val="231F20"/>
          <w:spacing w:val="-9"/>
          <w:sz w:val="15"/>
        </w:rPr>
        <w:t xml:space="preserve"> </w:t>
      </w:r>
      <w:r>
        <w:rPr>
          <w:color w:val="231F20"/>
          <w:sz w:val="15"/>
        </w:rPr>
        <w:t>orgány</w:t>
      </w:r>
      <w:r>
        <w:rPr>
          <w:color w:val="231F20"/>
          <w:spacing w:val="-8"/>
          <w:sz w:val="15"/>
        </w:rPr>
        <w:t xml:space="preserve"> </w:t>
      </w:r>
      <w:r>
        <w:rPr>
          <w:color w:val="231F20"/>
          <w:sz w:val="15"/>
        </w:rPr>
        <w:t>veřejné</w:t>
      </w:r>
      <w:r>
        <w:rPr>
          <w:color w:val="231F20"/>
          <w:spacing w:val="-9"/>
          <w:sz w:val="15"/>
        </w:rPr>
        <w:t xml:space="preserve"> </w:t>
      </w:r>
      <w:r>
        <w:rPr>
          <w:color w:val="231F20"/>
          <w:sz w:val="15"/>
        </w:rPr>
        <w:t>moci</w:t>
      </w:r>
      <w:r>
        <w:rPr>
          <w:color w:val="231F20"/>
          <w:spacing w:val="-8"/>
          <w:sz w:val="15"/>
        </w:rPr>
        <w:t xml:space="preserve"> </w:t>
      </w:r>
      <w:r>
        <w:rPr>
          <w:color w:val="231F20"/>
          <w:sz w:val="15"/>
        </w:rPr>
        <w:t>v</w:t>
      </w:r>
      <w:r>
        <w:rPr>
          <w:color w:val="231F20"/>
          <w:spacing w:val="-9"/>
          <w:sz w:val="15"/>
        </w:rPr>
        <w:t xml:space="preserve"> </w:t>
      </w:r>
      <w:r>
        <w:rPr>
          <w:color w:val="231F20"/>
          <w:sz w:val="15"/>
        </w:rPr>
        <w:t>rámci</w:t>
      </w:r>
      <w:r>
        <w:rPr>
          <w:color w:val="231F20"/>
          <w:spacing w:val="-8"/>
          <w:sz w:val="15"/>
        </w:rPr>
        <w:t xml:space="preserve"> </w:t>
      </w:r>
      <w:r>
        <w:rPr>
          <w:color w:val="231F20"/>
          <w:sz w:val="15"/>
        </w:rPr>
        <w:t>plnění</w:t>
      </w:r>
      <w:r>
        <w:rPr>
          <w:color w:val="231F20"/>
          <w:spacing w:val="-9"/>
          <w:sz w:val="15"/>
        </w:rPr>
        <w:t xml:space="preserve"> </w:t>
      </w:r>
      <w:r>
        <w:rPr>
          <w:color w:val="231F20"/>
          <w:sz w:val="15"/>
        </w:rPr>
        <w:t>povinností</w:t>
      </w:r>
      <w:r>
        <w:rPr>
          <w:color w:val="231F20"/>
          <w:spacing w:val="-8"/>
          <w:sz w:val="15"/>
        </w:rPr>
        <w:t xml:space="preserve"> </w:t>
      </w:r>
      <w:r>
        <w:rPr>
          <w:color w:val="231F20"/>
          <w:sz w:val="15"/>
        </w:rPr>
        <w:t>stanovených obecně závaznými</w:t>
      </w:r>
      <w:r>
        <w:rPr>
          <w:color w:val="231F20"/>
          <w:spacing w:val="-3"/>
          <w:sz w:val="15"/>
        </w:rPr>
        <w:t xml:space="preserve"> </w:t>
      </w:r>
      <w:r>
        <w:rPr>
          <w:color w:val="231F20"/>
          <w:sz w:val="15"/>
        </w:rPr>
        <w:t>předpisy.</w:t>
      </w:r>
    </w:p>
    <w:p w14:paraId="694D2920" w14:textId="77777777" w:rsidR="00F65BCA" w:rsidRDefault="00F65BCA">
      <w:pPr>
        <w:pStyle w:val="Zkladntext"/>
        <w:spacing w:before="10"/>
        <w:rPr>
          <w:sz w:val="20"/>
        </w:rPr>
      </w:pPr>
    </w:p>
    <w:p w14:paraId="502FADD4" w14:textId="77777777" w:rsidR="00F65BCA" w:rsidRDefault="00216117">
      <w:pPr>
        <w:ind w:left="187"/>
        <w:rPr>
          <w:sz w:val="15"/>
        </w:rPr>
      </w:pPr>
      <w:r>
        <w:rPr>
          <w:color w:val="FFFFFF"/>
          <w:position w:val="3"/>
          <w:sz w:val="16"/>
          <w:shd w:val="clear" w:color="auto" w:fill="808285"/>
        </w:rPr>
        <w:t xml:space="preserve">  Článek 70</w:t>
      </w:r>
      <w:r>
        <w:rPr>
          <w:color w:val="FFFFFF"/>
          <w:position w:val="3"/>
          <w:sz w:val="16"/>
        </w:rPr>
        <w:t xml:space="preserve"> </w:t>
      </w:r>
      <w:r>
        <w:rPr>
          <w:color w:val="231F20"/>
          <w:sz w:val="15"/>
        </w:rPr>
        <w:t>Ostatní ujednání</w:t>
      </w:r>
    </w:p>
    <w:p w14:paraId="502C8BDC" w14:textId="77777777" w:rsidR="00F65BCA" w:rsidRDefault="00216117">
      <w:pPr>
        <w:pStyle w:val="Zkladntext"/>
        <w:spacing w:before="147" w:line="278" w:lineRule="auto"/>
        <w:ind w:left="469" w:right="422"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6"/>
          <w:position w:val="1"/>
          <w:sz w:val="14"/>
        </w:rPr>
        <w:t xml:space="preserve"> </w:t>
      </w:r>
      <w:r>
        <w:rPr>
          <w:color w:val="231F20"/>
        </w:rPr>
        <w:t>Jestliže</w:t>
      </w:r>
      <w:r>
        <w:rPr>
          <w:color w:val="231F20"/>
          <w:spacing w:val="-22"/>
        </w:rPr>
        <w:t xml:space="preserve"> </w:t>
      </w:r>
      <w:r>
        <w:rPr>
          <w:color w:val="231F20"/>
        </w:rPr>
        <w:t>Pojišťovna</w:t>
      </w:r>
      <w:r>
        <w:rPr>
          <w:color w:val="231F20"/>
          <w:spacing w:val="-21"/>
        </w:rPr>
        <w:t xml:space="preserve"> </w:t>
      </w:r>
      <w:r>
        <w:rPr>
          <w:color w:val="231F20"/>
        </w:rPr>
        <w:t>nebo</w:t>
      </w:r>
      <w:r>
        <w:rPr>
          <w:color w:val="231F20"/>
          <w:spacing w:val="-21"/>
        </w:rPr>
        <w:t xml:space="preserve"> </w:t>
      </w:r>
      <w:r>
        <w:rPr>
          <w:color w:val="231F20"/>
        </w:rPr>
        <w:t>poskytovatel</w:t>
      </w:r>
      <w:r>
        <w:rPr>
          <w:color w:val="231F20"/>
          <w:spacing w:val="-22"/>
        </w:rPr>
        <w:t xml:space="preserve"> </w:t>
      </w:r>
      <w:r>
        <w:rPr>
          <w:color w:val="231F20"/>
        </w:rPr>
        <w:t>asistence</w:t>
      </w:r>
      <w:r>
        <w:rPr>
          <w:color w:val="231F20"/>
          <w:spacing w:val="-21"/>
        </w:rPr>
        <w:t xml:space="preserve"> </w:t>
      </w:r>
      <w:r>
        <w:rPr>
          <w:color w:val="231F20"/>
        </w:rPr>
        <w:t>poskytli</w:t>
      </w:r>
      <w:r>
        <w:rPr>
          <w:color w:val="231F20"/>
          <w:spacing w:val="-21"/>
        </w:rPr>
        <w:t xml:space="preserve"> </w:t>
      </w:r>
      <w:r>
        <w:rPr>
          <w:color w:val="231F20"/>
        </w:rPr>
        <w:t>pojistné</w:t>
      </w:r>
      <w:r>
        <w:rPr>
          <w:color w:val="231F20"/>
          <w:spacing w:val="-22"/>
        </w:rPr>
        <w:t xml:space="preserve"> </w:t>
      </w:r>
      <w:r>
        <w:rPr>
          <w:color w:val="231F20"/>
        </w:rPr>
        <w:t>plnění</w:t>
      </w:r>
      <w:r>
        <w:rPr>
          <w:color w:val="231F20"/>
          <w:spacing w:val="-21"/>
        </w:rPr>
        <w:t xml:space="preserve"> </w:t>
      </w:r>
      <w:r>
        <w:rPr>
          <w:color w:val="231F20"/>
        </w:rPr>
        <w:t>uvede- né</w:t>
      </w:r>
      <w:r>
        <w:rPr>
          <w:color w:val="231F20"/>
          <w:spacing w:val="-6"/>
        </w:rPr>
        <w:t xml:space="preserve"> </w:t>
      </w:r>
      <w:r>
        <w:rPr>
          <w:color w:val="231F20"/>
        </w:rPr>
        <w:t>v</w:t>
      </w:r>
      <w:r>
        <w:rPr>
          <w:color w:val="231F20"/>
          <w:spacing w:val="-6"/>
        </w:rPr>
        <w:t xml:space="preserve"> </w:t>
      </w:r>
      <w:r>
        <w:rPr>
          <w:color w:val="231F20"/>
        </w:rPr>
        <w:t>tomto</w:t>
      </w:r>
      <w:r>
        <w:rPr>
          <w:color w:val="231F20"/>
          <w:spacing w:val="-5"/>
        </w:rPr>
        <w:t xml:space="preserve"> </w:t>
      </w:r>
      <w:r>
        <w:rPr>
          <w:color w:val="231F20"/>
        </w:rPr>
        <w:t>pododdíle</w:t>
      </w:r>
      <w:r>
        <w:rPr>
          <w:color w:val="231F20"/>
          <w:spacing w:val="-6"/>
        </w:rPr>
        <w:t xml:space="preserve"> </w:t>
      </w:r>
      <w:r>
        <w:rPr>
          <w:color w:val="231F20"/>
        </w:rPr>
        <w:t>10</w:t>
      </w:r>
      <w:r>
        <w:rPr>
          <w:color w:val="231F20"/>
          <w:spacing w:val="-5"/>
        </w:rPr>
        <w:t xml:space="preserve"> </w:t>
      </w:r>
      <w:r>
        <w:rPr>
          <w:color w:val="231F20"/>
        </w:rPr>
        <w:t>bez</w:t>
      </w:r>
      <w:r>
        <w:rPr>
          <w:color w:val="231F20"/>
          <w:spacing w:val="-6"/>
        </w:rPr>
        <w:t xml:space="preserve"> </w:t>
      </w:r>
      <w:r>
        <w:rPr>
          <w:color w:val="231F20"/>
        </w:rPr>
        <w:t>právního</w:t>
      </w:r>
      <w:r>
        <w:rPr>
          <w:color w:val="231F20"/>
          <w:spacing w:val="-5"/>
        </w:rPr>
        <w:t xml:space="preserve"> </w:t>
      </w:r>
      <w:r>
        <w:rPr>
          <w:color w:val="231F20"/>
        </w:rPr>
        <w:t>důvodu,</w:t>
      </w:r>
      <w:r>
        <w:rPr>
          <w:color w:val="231F20"/>
          <w:spacing w:val="-6"/>
        </w:rPr>
        <w:t xml:space="preserve"> </w:t>
      </w:r>
      <w:r>
        <w:rPr>
          <w:color w:val="231F20"/>
        </w:rPr>
        <w:t>jsou</w:t>
      </w:r>
      <w:r>
        <w:rPr>
          <w:color w:val="231F20"/>
          <w:spacing w:val="-5"/>
        </w:rPr>
        <w:t xml:space="preserve"> </w:t>
      </w:r>
      <w:r>
        <w:rPr>
          <w:color w:val="231F20"/>
        </w:rPr>
        <w:t>pojistník,</w:t>
      </w:r>
      <w:r>
        <w:rPr>
          <w:color w:val="231F20"/>
          <w:spacing w:val="-6"/>
        </w:rPr>
        <w:t xml:space="preserve"> </w:t>
      </w:r>
      <w:r>
        <w:rPr>
          <w:color w:val="231F20"/>
        </w:rPr>
        <w:t>pojištěný</w:t>
      </w:r>
      <w:r>
        <w:rPr>
          <w:color w:val="231F20"/>
          <w:spacing w:val="-5"/>
        </w:rPr>
        <w:t xml:space="preserve"> </w:t>
      </w:r>
      <w:r>
        <w:rPr>
          <w:color w:val="231F20"/>
          <w:spacing w:val="-3"/>
        </w:rPr>
        <w:t xml:space="preserve">nebo </w:t>
      </w:r>
      <w:r>
        <w:rPr>
          <w:color w:val="231F20"/>
        </w:rPr>
        <w:t xml:space="preserve">oprávněná osoba, je-li osobou odlišnou od pojištěného, povinni </w:t>
      </w:r>
      <w:r>
        <w:rPr>
          <w:color w:val="231F20"/>
          <w:spacing w:val="2"/>
        </w:rPr>
        <w:t xml:space="preserve">společně  </w:t>
      </w:r>
      <w:r>
        <w:rPr>
          <w:color w:val="231F20"/>
        </w:rPr>
        <w:t>a</w:t>
      </w:r>
      <w:r>
        <w:rPr>
          <w:color w:val="231F20"/>
          <w:spacing w:val="-16"/>
        </w:rPr>
        <w:t xml:space="preserve"> </w:t>
      </w:r>
      <w:r>
        <w:rPr>
          <w:color w:val="231F20"/>
        </w:rPr>
        <w:t>nerozdílně</w:t>
      </w:r>
      <w:r>
        <w:rPr>
          <w:color w:val="231F20"/>
          <w:spacing w:val="-15"/>
        </w:rPr>
        <w:t xml:space="preserve"> </w:t>
      </w:r>
      <w:r>
        <w:rPr>
          <w:color w:val="231F20"/>
        </w:rPr>
        <w:t>Pojišťovně</w:t>
      </w:r>
      <w:r>
        <w:rPr>
          <w:color w:val="231F20"/>
          <w:spacing w:val="-15"/>
        </w:rPr>
        <w:t xml:space="preserve"> </w:t>
      </w:r>
      <w:r>
        <w:rPr>
          <w:color w:val="231F20"/>
        </w:rPr>
        <w:t>vrátit</w:t>
      </w:r>
      <w:r>
        <w:rPr>
          <w:color w:val="231F20"/>
          <w:spacing w:val="-15"/>
        </w:rPr>
        <w:t xml:space="preserve"> </w:t>
      </w:r>
      <w:r>
        <w:rPr>
          <w:color w:val="231F20"/>
        </w:rPr>
        <w:t>částku,</w:t>
      </w:r>
      <w:r>
        <w:rPr>
          <w:color w:val="231F20"/>
          <w:spacing w:val="-15"/>
        </w:rPr>
        <w:t xml:space="preserve"> </w:t>
      </w:r>
      <w:r>
        <w:rPr>
          <w:color w:val="231F20"/>
        </w:rPr>
        <w:t>která</w:t>
      </w:r>
      <w:r>
        <w:rPr>
          <w:color w:val="231F20"/>
          <w:spacing w:val="-15"/>
        </w:rPr>
        <w:t xml:space="preserve"> </w:t>
      </w:r>
      <w:r>
        <w:rPr>
          <w:color w:val="231F20"/>
        </w:rPr>
        <w:t>byla</w:t>
      </w:r>
      <w:r>
        <w:rPr>
          <w:color w:val="231F20"/>
          <w:spacing w:val="-15"/>
        </w:rPr>
        <w:t xml:space="preserve"> </w:t>
      </w:r>
      <w:r>
        <w:rPr>
          <w:color w:val="231F20"/>
        </w:rPr>
        <w:t>Pojišťovnou</w:t>
      </w:r>
      <w:r>
        <w:rPr>
          <w:color w:val="231F20"/>
          <w:spacing w:val="-15"/>
        </w:rPr>
        <w:t xml:space="preserve"> </w:t>
      </w:r>
      <w:r>
        <w:rPr>
          <w:color w:val="231F20"/>
        </w:rPr>
        <w:t>nebo</w:t>
      </w:r>
      <w:r>
        <w:rPr>
          <w:color w:val="231F20"/>
          <w:spacing w:val="-15"/>
        </w:rPr>
        <w:t xml:space="preserve"> </w:t>
      </w:r>
      <w:r>
        <w:rPr>
          <w:color w:val="231F20"/>
        </w:rPr>
        <w:t>poskytova- telem asistence za poskytnutou asistenční službu</w:t>
      </w:r>
      <w:r>
        <w:rPr>
          <w:color w:val="231F20"/>
          <w:spacing w:val="-27"/>
        </w:rPr>
        <w:t xml:space="preserve"> </w:t>
      </w:r>
      <w:r>
        <w:rPr>
          <w:color w:val="231F20"/>
        </w:rPr>
        <w:t>vyplacena.</w:t>
      </w:r>
    </w:p>
    <w:p w14:paraId="57FE5BB3"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position w:val="1"/>
          <w:sz w:val="14"/>
        </w:rPr>
        <w:t xml:space="preserve"> </w:t>
      </w:r>
      <w:r>
        <w:rPr>
          <w:color w:val="231F20"/>
        </w:rPr>
        <w:t>Poskytovatel asistence si vyhrazuje právo odmítnout provedení asistenční služby</w:t>
      </w:r>
      <w:r>
        <w:rPr>
          <w:color w:val="231F20"/>
          <w:spacing w:val="-23"/>
        </w:rPr>
        <w:t xml:space="preserve"> </w:t>
      </w:r>
      <w:r>
        <w:rPr>
          <w:color w:val="231F20"/>
        </w:rPr>
        <w:t>v</w:t>
      </w:r>
      <w:r>
        <w:rPr>
          <w:color w:val="231F20"/>
          <w:spacing w:val="-22"/>
        </w:rPr>
        <w:t xml:space="preserve"> </w:t>
      </w:r>
      <w:r>
        <w:rPr>
          <w:color w:val="231F20"/>
        </w:rPr>
        <w:t>případě,</w:t>
      </w:r>
      <w:r>
        <w:rPr>
          <w:color w:val="231F20"/>
          <w:spacing w:val="-23"/>
        </w:rPr>
        <w:t xml:space="preserve"> </w:t>
      </w:r>
      <w:r>
        <w:rPr>
          <w:color w:val="231F20"/>
        </w:rPr>
        <w:t>že</w:t>
      </w:r>
      <w:r>
        <w:rPr>
          <w:color w:val="231F20"/>
          <w:spacing w:val="-22"/>
        </w:rPr>
        <w:t xml:space="preserve"> </w:t>
      </w:r>
      <w:r>
        <w:rPr>
          <w:color w:val="231F20"/>
        </w:rPr>
        <w:t>službu</w:t>
      </w:r>
      <w:r>
        <w:rPr>
          <w:color w:val="231F20"/>
          <w:spacing w:val="-22"/>
        </w:rPr>
        <w:t xml:space="preserve"> </w:t>
      </w:r>
      <w:r>
        <w:rPr>
          <w:color w:val="231F20"/>
        </w:rPr>
        <w:t>nebude</w:t>
      </w:r>
      <w:r>
        <w:rPr>
          <w:color w:val="231F20"/>
          <w:spacing w:val="-23"/>
        </w:rPr>
        <w:t xml:space="preserve"> </w:t>
      </w:r>
      <w:r>
        <w:rPr>
          <w:color w:val="231F20"/>
        </w:rPr>
        <w:t>možné</w:t>
      </w:r>
      <w:r>
        <w:rPr>
          <w:color w:val="231F20"/>
          <w:spacing w:val="-22"/>
        </w:rPr>
        <w:t xml:space="preserve"> </w:t>
      </w:r>
      <w:r>
        <w:rPr>
          <w:color w:val="231F20"/>
        </w:rPr>
        <w:t>provést</w:t>
      </w:r>
      <w:r>
        <w:rPr>
          <w:color w:val="231F20"/>
          <w:spacing w:val="-22"/>
        </w:rPr>
        <w:t xml:space="preserve"> </w:t>
      </w:r>
      <w:r>
        <w:rPr>
          <w:color w:val="231F20"/>
        </w:rPr>
        <w:t>bez</w:t>
      </w:r>
      <w:r>
        <w:rPr>
          <w:color w:val="231F20"/>
          <w:spacing w:val="-23"/>
        </w:rPr>
        <w:t xml:space="preserve"> </w:t>
      </w:r>
      <w:r>
        <w:rPr>
          <w:color w:val="231F20"/>
        </w:rPr>
        <w:t>vzniku</w:t>
      </w:r>
      <w:r>
        <w:rPr>
          <w:color w:val="231F20"/>
          <w:spacing w:val="-22"/>
        </w:rPr>
        <w:t xml:space="preserve"> </w:t>
      </w:r>
      <w:r>
        <w:rPr>
          <w:color w:val="231F20"/>
        </w:rPr>
        <w:t>poškození</w:t>
      </w:r>
      <w:r>
        <w:rPr>
          <w:color w:val="231F20"/>
          <w:spacing w:val="-22"/>
        </w:rPr>
        <w:t xml:space="preserve"> </w:t>
      </w:r>
      <w:r>
        <w:rPr>
          <w:color w:val="231F20"/>
          <w:spacing w:val="-4"/>
        </w:rPr>
        <w:t xml:space="preserve">pojiš- </w:t>
      </w:r>
      <w:r>
        <w:rPr>
          <w:color w:val="231F20"/>
        </w:rPr>
        <w:t>těného</w:t>
      </w:r>
      <w:r>
        <w:rPr>
          <w:color w:val="231F20"/>
          <w:spacing w:val="-15"/>
        </w:rPr>
        <w:t xml:space="preserve"> </w:t>
      </w:r>
      <w:r>
        <w:rPr>
          <w:color w:val="231F20"/>
        </w:rPr>
        <w:t>vozidla</w:t>
      </w:r>
      <w:r>
        <w:rPr>
          <w:color w:val="231F20"/>
          <w:spacing w:val="-14"/>
        </w:rPr>
        <w:t xml:space="preserve"> </w:t>
      </w:r>
      <w:r>
        <w:rPr>
          <w:color w:val="231F20"/>
        </w:rPr>
        <w:t>nebo</w:t>
      </w:r>
      <w:r>
        <w:rPr>
          <w:color w:val="231F20"/>
          <w:spacing w:val="-14"/>
        </w:rPr>
        <w:t xml:space="preserve"> </w:t>
      </w:r>
      <w:r>
        <w:rPr>
          <w:color w:val="231F20"/>
        </w:rPr>
        <w:t>jeho</w:t>
      </w:r>
      <w:r>
        <w:rPr>
          <w:color w:val="231F20"/>
          <w:spacing w:val="-14"/>
        </w:rPr>
        <w:t xml:space="preserve"> </w:t>
      </w:r>
      <w:r>
        <w:rPr>
          <w:color w:val="231F20"/>
        </w:rPr>
        <w:t>nákladu.</w:t>
      </w:r>
      <w:r>
        <w:rPr>
          <w:color w:val="231F20"/>
          <w:spacing w:val="-14"/>
        </w:rPr>
        <w:t xml:space="preserve"> </w:t>
      </w:r>
      <w:r>
        <w:rPr>
          <w:color w:val="231F20"/>
        </w:rPr>
        <w:t>Na</w:t>
      </w:r>
      <w:r>
        <w:rPr>
          <w:color w:val="231F20"/>
          <w:spacing w:val="-15"/>
        </w:rPr>
        <w:t xml:space="preserve"> </w:t>
      </w:r>
      <w:r>
        <w:rPr>
          <w:color w:val="231F20"/>
        </w:rPr>
        <w:t>možnost</w:t>
      </w:r>
      <w:r>
        <w:rPr>
          <w:color w:val="231F20"/>
          <w:spacing w:val="-14"/>
        </w:rPr>
        <w:t xml:space="preserve"> </w:t>
      </w:r>
      <w:r>
        <w:rPr>
          <w:color w:val="231F20"/>
        </w:rPr>
        <w:t>vzniku</w:t>
      </w:r>
      <w:r>
        <w:rPr>
          <w:color w:val="231F20"/>
          <w:spacing w:val="-14"/>
        </w:rPr>
        <w:t xml:space="preserve"> </w:t>
      </w:r>
      <w:r>
        <w:rPr>
          <w:color w:val="231F20"/>
        </w:rPr>
        <w:t>škody</w:t>
      </w:r>
      <w:r>
        <w:rPr>
          <w:color w:val="231F20"/>
          <w:spacing w:val="-14"/>
        </w:rPr>
        <w:t xml:space="preserve"> </w:t>
      </w:r>
      <w:r>
        <w:rPr>
          <w:color w:val="231F20"/>
        </w:rPr>
        <w:t>upozorní</w:t>
      </w:r>
      <w:r>
        <w:rPr>
          <w:color w:val="231F20"/>
          <w:spacing w:val="-14"/>
        </w:rPr>
        <w:t xml:space="preserve"> </w:t>
      </w:r>
      <w:r>
        <w:rPr>
          <w:color w:val="231F20"/>
        </w:rPr>
        <w:t>posky- tovatel</w:t>
      </w:r>
      <w:r>
        <w:rPr>
          <w:color w:val="231F20"/>
          <w:spacing w:val="-25"/>
        </w:rPr>
        <w:t xml:space="preserve"> </w:t>
      </w:r>
      <w:r>
        <w:rPr>
          <w:color w:val="231F20"/>
        </w:rPr>
        <w:t>asistence</w:t>
      </w:r>
      <w:r>
        <w:rPr>
          <w:color w:val="231F20"/>
          <w:spacing w:val="-24"/>
        </w:rPr>
        <w:t xml:space="preserve"> </w:t>
      </w:r>
      <w:r>
        <w:rPr>
          <w:color w:val="231F20"/>
        </w:rPr>
        <w:t>oprávněnou</w:t>
      </w:r>
      <w:r>
        <w:rPr>
          <w:color w:val="231F20"/>
          <w:spacing w:val="-24"/>
        </w:rPr>
        <w:t xml:space="preserve"> </w:t>
      </w:r>
      <w:r>
        <w:rPr>
          <w:color w:val="231F20"/>
        </w:rPr>
        <w:t>osobu.</w:t>
      </w:r>
      <w:r>
        <w:rPr>
          <w:color w:val="231F20"/>
          <w:spacing w:val="-24"/>
        </w:rPr>
        <w:t xml:space="preserve"> </w:t>
      </w:r>
      <w:r>
        <w:rPr>
          <w:color w:val="231F20"/>
        </w:rPr>
        <w:t>Oprávněná</w:t>
      </w:r>
      <w:r>
        <w:rPr>
          <w:color w:val="231F20"/>
          <w:spacing w:val="-24"/>
        </w:rPr>
        <w:t xml:space="preserve"> </w:t>
      </w:r>
      <w:r>
        <w:rPr>
          <w:color w:val="231F20"/>
        </w:rPr>
        <w:t>osoba</w:t>
      </w:r>
      <w:r>
        <w:rPr>
          <w:color w:val="231F20"/>
          <w:spacing w:val="-24"/>
        </w:rPr>
        <w:t xml:space="preserve"> </w:t>
      </w:r>
      <w:r>
        <w:rPr>
          <w:color w:val="231F20"/>
        </w:rPr>
        <w:t>může</w:t>
      </w:r>
      <w:r>
        <w:rPr>
          <w:color w:val="231F20"/>
          <w:spacing w:val="-24"/>
        </w:rPr>
        <w:t xml:space="preserve"> </w:t>
      </w:r>
      <w:r>
        <w:rPr>
          <w:color w:val="231F20"/>
        </w:rPr>
        <w:t>službu</w:t>
      </w:r>
      <w:r>
        <w:rPr>
          <w:color w:val="231F20"/>
          <w:spacing w:val="-24"/>
        </w:rPr>
        <w:t xml:space="preserve"> </w:t>
      </w:r>
      <w:r>
        <w:rPr>
          <w:color w:val="231F20"/>
        </w:rPr>
        <w:t>přijmout. V</w:t>
      </w:r>
      <w:r>
        <w:rPr>
          <w:color w:val="231F20"/>
          <w:spacing w:val="-23"/>
        </w:rPr>
        <w:t xml:space="preserve"> </w:t>
      </w:r>
      <w:r>
        <w:rPr>
          <w:color w:val="231F20"/>
        </w:rPr>
        <w:t>takovém</w:t>
      </w:r>
      <w:r>
        <w:rPr>
          <w:color w:val="231F20"/>
          <w:spacing w:val="-22"/>
        </w:rPr>
        <w:t xml:space="preserve"> </w:t>
      </w:r>
      <w:r>
        <w:rPr>
          <w:color w:val="231F20"/>
        </w:rPr>
        <w:t>případě</w:t>
      </w:r>
      <w:r>
        <w:rPr>
          <w:color w:val="231F20"/>
          <w:spacing w:val="-22"/>
        </w:rPr>
        <w:t xml:space="preserve"> </w:t>
      </w:r>
      <w:r>
        <w:rPr>
          <w:color w:val="231F20"/>
        </w:rPr>
        <w:t>jde</w:t>
      </w:r>
      <w:r>
        <w:rPr>
          <w:color w:val="231F20"/>
          <w:spacing w:val="-23"/>
        </w:rPr>
        <w:t xml:space="preserve"> </w:t>
      </w:r>
      <w:r>
        <w:rPr>
          <w:color w:val="231F20"/>
        </w:rPr>
        <w:t>případná</w:t>
      </w:r>
      <w:r>
        <w:rPr>
          <w:color w:val="231F20"/>
          <w:spacing w:val="-22"/>
        </w:rPr>
        <w:t xml:space="preserve"> </w:t>
      </w:r>
      <w:r>
        <w:rPr>
          <w:color w:val="231F20"/>
        </w:rPr>
        <w:t>škoda</w:t>
      </w:r>
      <w:r>
        <w:rPr>
          <w:color w:val="231F20"/>
          <w:spacing w:val="-22"/>
        </w:rPr>
        <w:t xml:space="preserve"> </w:t>
      </w:r>
      <w:r>
        <w:rPr>
          <w:color w:val="231F20"/>
        </w:rPr>
        <w:t>plně</w:t>
      </w:r>
      <w:r>
        <w:rPr>
          <w:color w:val="231F20"/>
          <w:spacing w:val="-22"/>
        </w:rPr>
        <w:t xml:space="preserve"> </w:t>
      </w:r>
      <w:r>
        <w:rPr>
          <w:color w:val="231F20"/>
        </w:rPr>
        <w:t>k</w:t>
      </w:r>
      <w:r>
        <w:rPr>
          <w:color w:val="231F20"/>
          <w:spacing w:val="-23"/>
        </w:rPr>
        <w:t xml:space="preserve"> </w:t>
      </w:r>
      <w:r>
        <w:rPr>
          <w:color w:val="231F20"/>
        </w:rPr>
        <w:t>tíži</w:t>
      </w:r>
      <w:r>
        <w:rPr>
          <w:color w:val="231F20"/>
          <w:spacing w:val="-22"/>
        </w:rPr>
        <w:t xml:space="preserve"> </w:t>
      </w:r>
      <w:r>
        <w:rPr>
          <w:color w:val="231F20"/>
        </w:rPr>
        <w:t>pojištěného,</w:t>
      </w:r>
      <w:r>
        <w:rPr>
          <w:color w:val="231F20"/>
          <w:spacing w:val="-22"/>
        </w:rPr>
        <w:t xml:space="preserve"> </w:t>
      </w:r>
      <w:r>
        <w:rPr>
          <w:color w:val="231F20"/>
        </w:rPr>
        <w:t>nebo</w:t>
      </w:r>
      <w:r>
        <w:rPr>
          <w:color w:val="231F20"/>
          <w:spacing w:val="-22"/>
        </w:rPr>
        <w:t xml:space="preserve"> </w:t>
      </w:r>
      <w:r>
        <w:rPr>
          <w:color w:val="231F20"/>
        </w:rPr>
        <w:t xml:space="preserve">oprávněné </w:t>
      </w:r>
      <w:r>
        <w:rPr>
          <w:color w:val="231F20"/>
          <w:spacing w:val="-3"/>
        </w:rPr>
        <w:t xml:space="preserve">osoby, </w:t>
      </w:r>
      <w:r>
        <w:rPr>
          <w:color w:val="231F20"/>
        </w:rPr>
        <w:t>která provedení asistenční služby</w:t>
      </w:r>
      <w:r>
        <w:rPr>
          <w:color w:val="231F20"/>
          <w:spacing w:val="-13"/>
        </w:rPr>
        <w:t xml:space="preserve"> </w:t>
      </w:r>
      <w:r>
        <w:rPr>
          <w:color w:val="231F20"/>
        </w:rPr>
        <w:t>požadovala.</w:t>
      </w:r>
    </w:p>
    <w:p w14:paraId="5410C7A1"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37"/>
          <w:position w:val="1"/>
          <w:sz w:val="14"/>
        </w:rPr>
        <w:t xml:space="preserve"> </w:t>
      </w:r>
      <w:r>
        <w:rPr>
          <w:color w:val="231F20"/>
        </w:rPr>
        <w:t>Pojišťovna</w:t>
      </w:r>
      <w:r>
        <w:rPr>
          <w:color w:val="231F20"/>
          <w:spacing w:val="-24"/>
        </w:rPr>
        <w:t xml:space="preserve"> </w:t>
      </w:r>
      <w:r>
        <w:rPr>
          <w:color w:val="231F20"/>
        </w:rPr>
        <w:t>si</w:t>
      </w:r>
      <w:r>
        <w:rPr>
          <w:color w:val="231F20"/>
          <w:spacing w:val="-23"/>
        </w:rPr>
        <w:t xml:space="preserve"> </w:t>
      </w:r>
      <w:r>
        <w:rPr>
          <w:color w:val="231F20"/>
        </w:rPr>
        <w:t>vyhrazuje</w:t>
      </w:r>
      <w:r>
        <w:rPr>
          <w:color w:val="231F20"/>
          <w:spacing w:val="-23"/>
        </w:rPr>
        <w:t xml:space="preserve"> </w:t>
      </w:r>
      <w:r>
        <w:rPr>
          <w:color w:val="231F20"/>
        </w:rPr>
        <w:t>právo</w:t>
      </w:r>
      <w:r>
        <w:rPr>
          <w:color w:val="231F20"/>
          <w:spacing w:val="-24"/>
        </w:rPr>
        <w:t xml:space="preserve"> </w:t>
      </w:r>
      <w:r>
        <w:rPr>
          <w:color w:val="231F20"/>
        </w:rPr>
        <w:t>odmítnout</w:t>
      </w:r>
      <w:r>
        <w:rPr>
          <w:color w:val="231F20"/>
          <w:spacing w:val="-23"/>
        </w:rPr>
        <w:t xml:space="preserve"> </w:t>
      </w:r>
      <w:r>
        <w:rPr>
          <w:color w:val="231F20"/>
        </w:rPr>
        <w:t>provedení</w:t>
      </w:r>
      <w:r>
        <w:rPr>
          <w:color w:val="231F20"/>
          <w:spacing w:val="-23"/>
        </w:rPr>
        <w:t xml:space="preserve"> </w:t>
      </w:r>
      <w:r>
        <w:rPr>
          <w:color w:val="231F20"/>
        </w:rPr>
        <w:t>asistenční</w:t>
      </w:r>
      <w:r>
        <w:rPr>
          <w:color w:val="231F20"/>
          <w:spacing w:val="-23"/>
        </w:rPr>
        <w:t xml:space="preserve"> </w:t>
      </w:r>
      <w:r>
        <w:rPr>
          <w:color w:val="231F20"/>
        </w:rPr>
        <w:t>služby</w:t>
      </w:r>
      <w:r>
        <w:rPr>
          <w:color w:val="231F20"/>
          <w:spacing w:val="-24"/>
        </w:rPr>
        <w:t xml:space="preserve"> </w:t>
      </w:r>
      <w:r>
        <w:rPr>
          <w:color w:val="231F20"/>
        </w:rPr>
        <w:t>v</w:t>
      </w:r>
      <w:r>
        <w:rPr>
          <w:color w:val="231F20"/>
          <w:spacing w:val="-23"/>
        </w:rPr>
        <w:t xml:space="preserve"> </w:t>
      </w:r>
      <w:r>
        <w:rPr>
          <w:color w:val="231F20"/>
        </w:rPr>
        <w:t>případě, kdy službu nebude možné provést na místě, které nebude bez omezení</w:t>
      </w:r>
      <w:r>
        <w:rPr>
          <w:color w:val="231F20"/>
          <w:spacing w:val="-25"/>
        </w:rPr>
        <w:t xml:space="preserve"> </w:t>
      </w:r>
      <w:r>
        <w:rPr>
          <w:color w:val="231F20"/>
          <w:spacing w:val="-4"/>
        </w:rPr>
        <w:t xml:space="preserve">pří- </w:t>
      </w:r>
      <w:r>
        <w:rPr>
          <w:color w:val="231F20"/>
        </w:rPr>
        <w:t>stupné pro vjezd asistenčního</w:t>
      </w:r>
      <w:r>
        <w:rPr>
          <w:color w:val="231F20"/>
          <w:spacing w:val="-6"/>
        </w:rPr>
        <w:t xml:space="preserve"> </w:t>
      </w:r>
      <w:r>
        <w:rPr>
          <w:color w:val="231F20"/>
        </w:rPr>
        <w:t>vozidla.</w:t>
      </w:r>
    </w:p>
    <w:p w14:paraId="22C75105"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27"/>
          <w:position w:val="1"/>
          <w:sz w:val="14"/>
        </w:rPr>
        <w:t xml:space="preserve"> </w:t>
      </w:r>
      <w:r>
        <w:rPr>
          <w:color w:val="231F20"/>
        </w:rPr>
        <w:t>Pojištěný,</w:t>
      </w:r>
      <w:r>
        <w:rPr>
          <w:color w:val="231F20"/>
          <w:spacing w:val="-15"/>
        </w:rPr>
        <w:t xml:space="preserve"> </w:t>
      </w:r>
      <w:r>
        <w:rPr>
          <w:color w:val="231F20"/>
        </w:rPr>
        <w:t>který</w:t>
      </w:r>
      <w:r>
        <w:rPr>
          <w:color w:val="231F20"/>
          <w:spacing w:val="-15"/>
        </w:rPr>
        <w:t xml:space="preserve"> </w:t>
      </w:r>
      <w:r>
        <w:rPr>
          <w:color w:val="231F20"/>
        </w:rPr>
        <w:t>je</w:t>
      </w:r>
      <w:r>
        <w:rPr>
          <w:color w:val="231F20"/>
          <w:spacing w:val="-16"/>
        </w:rPr>
        <w:t xml:space="preserve"> </w:t>
      </w:r>
      <w:r>
        <w:rPr>
          <w:color w:val="231F20"/>
        </w:rPr>
        <w:t>plátcem</w:t>
      </w:r>
      <w:r>
        <w:rPr>
          <w:color w:val="231F20"/>
          <w:spacing w:val="-15"/>
        </w:rPr>
        <w:t xml:space="preserve"> </w:t>
      </w:r>
      <w:r>
        <w:rPr>
          <w:color w:val="231F20"/>
        </w:rPr>
        <w:t>DPH,</w:t>
      </w:r>
      <w:r>
        <w:rPr>
          <w:color w:val="231F20"/>
          <w:spacing w:val="-15"/>
        </w:rPr>
        <w:t xml:space="preserve"> </w:t>
      </w:r>
      <w:r>
        <w:rPr>
          <w:color w:val="231F20"/>
        </w:rPr>
        <w:t>je</w:t>
      </w:r>
      <w:r>
        <w:rPr>
          <w:color w:val="231F20"/>
          <w:spacing w:val="-16"/>
        </w:rPr>
        <w:t xml:space="preserve"> </w:t>
      </w:r>
      <w:r>
        <w:rPr>
          <w:color w:val="231F20"/>
        </w:rPr>
        <w:t>povinen</w:t>
      </w:r>
      <w:r>
        <w:rPr>
          <w:color w:val="231F20"/>
          <w:spacing w:val="12"/>
        </w:rPr>
        <w:t xml:space="preserve"> </w:t>
      </w:r>
      <w:r>
        <w:rPr>
          <w:color w:val="231F20"/>
        </w:rPr>
        <w:t>bez</w:t>
      </w:r>
      <w:r>
        <w:rPr>
          <w:color w:val="231F20"/>
          <w:spacing w:val="-16"/>
        </w:rPr>
        <w:t xml:space="preserve"> </w:t>
      </w:r>
      <w:r>
        <w:rPr>
          <w:color w:val="231F20"/>
        </w:rPr>
        <w:t>zbytečného</w:t>
      </w:r>
      <w:r>
        <w:rPr>
          <w:color w:val="231F20"/>
          <w:spacing w:val="-15"/>
        </w:rPr>
        <w:t xml:space="preserve"> </w:t>
      </w:r>
      <w:r>
        <w:rPr>
          <w:color w:val="231F20"/>
        </w:rPr>
        <w:t>odkladu</w:t>
      </w:r>
      <w:r>
        <w:rPr>
          <w:color w:val="231F20"/>
          <w:spacing w:val="-15"/>
        </w:rPr>
        <w:t xml:space="preserve"> </w:t>
      </w:r>
      <w:r>
        <w:rPr>
          <w:color w:val="231F20"/>
        </w:rPr>
        <w:t>vrátit</w:t>
      </w:r>
      <w:r>
        <w:rPr>
          <w:color w:val="231F20"/>
          <w:spacing w:val="-16"/>
        </w:rPr>
        <w:t xml:space="preserve"> </w:t>
      </w:r>
      <w:r>
        <w:rPr>
          <w:color w:val="231F20"/>
        </w:rPr>
        <w:t>Po- jišťovně</w:t>
      </w:r>
      <w:r>
        <w:rPr>
          <w:color w:val="231F20"/>
          <w:spacing w:val="-24"/>
        </w:rPr>
        <w:t xml:space="preserve"> </w:t>
      </w:r>
      <w:r>
        <w:rPr>
          <w:color w:val="231F20"/>
        </w:rPr>
        <w:t>k</w:t>
      </w:r>
      <w:r>
        <w:rPr>
          <w:color w:val="231F20"/>
          <w:spacing w:val="-24"/>
        </w:rPr>
        <w:t xml:space="preserve"> </w:t>
      </w:r>
      <w:r>
        <w:rPr>
          <w:color w:val="231F20"/>
        </w:rPr>
        <w:t>její</w:t>
      </w:r>
      <w:r>
        <w:rPr>
          <w:color w:val="231F20"/>
          <w:spacing w:val="-24"/>
        </w:rPr>
        <w:t xml:space="preserve"> </w:t>
      </w:r>
      <w:r>
        <w:rPr>
          <w:color w:val="231F20"/>
        </w:rPr>
        <w:t>výzvě</w:t>
      </w:r>
      <w:r>
        <w:rPr>
          <w:color w:val="231F20"/>
          <w:spacing w:val="-24"/>
        </w:rPr>
        <w:t xml:space="preserve"> </w:t>
      </w:r>
      <w:r>
        <w:rPr>
          <w:color w:val="231F20"/>
        </w:rPr>
        <w:t>částku</w:t>
      </w:r>
      <w:r>
        <w:rPr>
          <w:color w:val="231F20"/>
          <w:spacing w:val="-24"/>
        </w:rPr>
        <w:t xml:space="preserve"> </w:t>
      </w:r>
      <w:r>
        <w:rPr>
          <w:color w:val="231F20"/>
        </w:rPr>
        <w:t>odpovídající</w:t>
      </w:r>
      <w:r>
        <w:rPr>
          <w:color w:val="231F20"/>
          <w:spacing w:val="-23"/>
        </w:rPr>
        <w:t xml:space="preserve"> </w:t>
      </w:r>
      <w:r>
        <w:rPr>
          <w:color w:val="231F20"/>
        </w:rPr>
        <w:t>DPH,</w:t>
      </w:r>
      <w:r>
        <w:rPr>
          <w:color w:val="231F20"/>
          <w:spacing w:val="-24"/>
        </w:rPr>
        <w:t xml:space="preserve"> </w:t>
      </w:r>
      <w:r>
        <w:rPr>
          <w:color w:val="231F20"/>
        </w:rPr>
        <w:t>kterou</w:t>
      </w:r>
      <w:r>
        <w:rPr>
          <w:color w:val="231F20"/>
          <w:spacing w:val="-24"/>
        </w:rPr>
        <w:t xml:space="preserve"> </w:t>
      </w:r>
      <w:r>
        <w:rPr>
          <w:color w:val="231F20"/>
        </w:rPr>
        <w:t>za</w:t>
      </w:r>
      <w:r>
        <w:rPr>
          <w:color w:val="231F20"/>
          <w:spacing w:val="-24"/>
        </w:rPr>
        <w:t xml:space="preserve"> </w:t>
      </w:r>
      <w:r>
        <w:rPr>
          <w:color w:val="231F20"/>
        </w:rPr>
        <w:t>něj</w:t>
      </w:r>
      <w:r>
        <w:rPr>
          <w:color w:val="231F20"/>
          <w:spacing w:val="-24"/>
        </w:rPr>
        <w:t xml:space="preserve"> </w:t>
      </w:r>
      <w:r>
        <w:rPr>
          <w:color w:val="231F20"/>
        </w:rPr>
        <w:t>Pojišťovna</w:t>
      </w:r>
      <w:r>
        <w:rPr>
          <w:color w:val="231F20"/>
          <w:spacing w:val="-23"/>
        </w:rPr>
        <w:t xml:space="preserve"> </w:t>
      </w:r>
      <w:r>
        <w:rPr>
          <w:color w:val="231F20"/>
        </w:rPr>
        <w:t>uhradila poskytovateli</w:t>
      </w:r>
      <w:r>
        <w:rPr>
          <w:color w:val="231F20"/>
          <w:spacing w:val="-14"/>
        </w:rPr>
        <w:t xml:space="preserve"> </w:t>
      </w:r>
      <w:r>
        <w:rPr>
          <w:color w:val="231F20"/>
        </w:rPr>
        <w:t>nebo</w:t>
      </w:r>
      <w:r>
        <w:rPr>
          <w:color w:val="231F20"/>
          <w:spacing w:val="-13"/>
        </w:rPr>
        <w:t xml:space="preserve"> </w:t>
      </w:r>
      <w:r>
        <w:rPr>
          <w:color w:val="231F20"/>
        </w:rPr>
        <w:t>zprostředkovateli</w:t>
      </w:r>
      <w:r>
        <w:rPr>
          <w:color w:val="231F20"/>
          <w:spacing w:val="-13"/>
        </w:rPr>
        <w:t xml:space="preserve"> </w:t>
      </w:r>
      <w:r>
        <w:rPr>
          <w:color w:val="231F20"/>
        </w:rPr>
        <w:t>asistenčních</w:t>
      </w:r>
      <w:r>
        <w:rPr>
          <w:color w:val="231F20"/>
          <w:spacing w:val="-13"/>
        </w:rPr>
        <w:t xml:space="preserve"> </w:t>
      </w:r>
      <w:r>
        <w:rPr>
          <w:color w:val="231F20"/>
        </w:rPr>
        <w:t>služeb</w:t>
      </w:r>
      <w:r>
        <w:rPr>
          <w:color w:val="231F20"/>
          <w:spacing w:val="-14"/>
        </w:rPr>
        <w:t xml:space="preserve"> </w:t>
      </w:r>
      <w:r>
        <w:rPr>
          <w:color w:val="231F20"/>
        </w:rPr>
        <w:t>v</w:t>
      </w:r>
      <w:r>
        <w:rPr>
          <w:color w:val="231F20"/>
          <w:spacing w:val="-13"/>
        </w:rPr>
        <w:t xml:space="preserve"> </w:t>
      </w:r>
      <w:r>
        <w:rPr>
          <w:color w:val="231F20"/>
        </w:rPr>
        <w:t>souvislosti</w:t>
      </w:r>
      <w:r>
        <w:rPr>
          <w:color w:val="231F20"/>
          <w:spacing w:val="-13"/>
        </w:rPr>
        <w:t xml:space="preserve"> </w:t>
      </w:r>
      <w:r>
        <w:rPr>
          <w:color w:val="231F20"/>
        </w:rPr>
        <w:t>s</w:t>
      </w:r>
      <w:r>
        <w:rPr>
          <w:color w:val="231F20"/>
          <w:spacing w:val="-13"/>
        </w:rPr>
        <w:t xml:space="preserve"> </w:t>
      </w:r>
      <w:r>
        <w:rPr>
          <w:color w:val="231F20"/>
        </w:rPr>
        <w:t>asis- tenčním</w:t>
      </w:r>
      <w:r>
        <w:rPr>
          <w:color w:val="231F20"/>
          <w:spacing w:val="-5"/>
        </w:rPr>
        <w:t xml:space="preserve"> </w:t>
      </w:r>
      <w:r>
        <w:rPr>
          <w:color w:val="231F20"/>
        </w:rPr>
        <w:t>zásahem</w:t>
      </w:r>
      <w:r>
        <w:rPr>
          <w:color w:val="231F20"/>
          <w:spacing w:val="-4"/>
        </w:rPr>
        <w:t xml:space="preserve"> </w:t>
      </w:r>
      <w:r>
        <w:rPr>
          <w:color w:val="231F20"/>
        </w:rPr>
        <w:t>u</w:t>
      </w:r>
      <w:r>
        <w:rPr>
          <w:color w:val="231F20"/>
          <w:spacing w:val="-4"/>
        </w:rPr>
        <w:t xml:space="preserve"> </w:t>
      </w:r>
      <w:r>
        <w:rPr>
          <w:color w:val="231F20"/>
        </w:rPr>
        <w:t>pojištěného</w:t>
      </w:r>
      <w:r>
        <w:rPr>
          <w:color w:val="231F20"/>
          <w:spacing w:val="-4"/>
        </w:rPr>
        <w:t xml:space="preserve"> </w:t>
      </w:r>
      <w:r>
        <w:rPr>
          <w:color w:val="231F20"/>
        </w:rPr>
        <w:t>vozidla.</w:t>
      </w:r>
      <w:r>
        <w:rPr>
          <w:color w:val="231F20"/>
          <w:spacing w:val="-4"/>
        </w:rPr>
        <w:t xml:space="preserve"> </w:t>
      </w:r>
      <w:r>
        <w:rPr>
          <w:color w:val="231F20"/>
        </w:rPr>
        <w:t>Spolu</w:t>
      </w:r>
      <w:r>
        <w:rPr>
          <w:color w:val="231F20"/>
          <w:spacing w:val="-4"/>
        </w:rPr>
        <w:t xml:space="preserve"> </w:t>
      </w:r>
      <w:r>
        <w:rPr>
          <w:color w:val="231F20"/>
        </w:rPr>
        <w:t>s</w:t>
      </w:r>
      <w:r>
        <w:rPr>
          <w:color w:val="231F20"/>
          <w:spacing w:val="-4"/>
        </w:rPr>
        <w:t xml:space="preserve"> </w:t>
      </w:r>
      <w:r>
        <w:rPr>
          <w:color w:val="231F20"/>
        </w:rPr>
        <w:t>výzvou</w:t>
      </w:r>
      <w:r>
        <w:rPr>
          <w:color w:val="231F20"/>
          <w:spacing w:val="-4"/>
        </w:rPr>
        <w:t xml:space="preserve"> </w:t>
      </w:r>
      <w:r>
        <w:rPr>
          <w:color w:val="231F20"/>
        </w:rPr>
        <w:t>Pojišťovna</w:t>
      </w:r>
      <w:r>
        <w:rPr>
          <w:color w:val="231F20"/>
          <w:spacing w:val="-5"/>
        </w:rPr>
        <w:t xml:space="preserve"> </w:t>
      </w:r>
      <w:r>
        <w:rPr>
          <w:color w:val="231F20"/>
          <w:spacing w:val="-3"/>
        </w:rPr>
        <w:t xml:space="preserve">předloží </w:t>
      </w:r>
      <w:r>
        <w:rPr>
          <w:color w:val="231F20"/>
        </w:rPr>
        <w:t>pojištěnému</w:t>
      </w:r>
      <w:r>
        <w:rPr>
          <w:color w:val="231F20"/>
          <w:spacing w:val="-6"/>
        </w:rPr>
        <w:t xml:space="preserve"> </w:t>
      </w:r>
      <w:r>
        <w:rPr>
          <w:color w:val="231F20"/>
        </w:rPr>
        <w:t>fakturu,</w:t>
      </w:r>
      <w:r>
        <w:rPr>
          <w:color w:val="231F20"/>
          <w:spacing w:val="-5"/>
        </w:rPr>
        <w:t xml:space="preserve"> </w:t>
      </w:r>
      <w:r>
        <w:rPr>
          <w:color w:val="231F20"/>
        </w:rPr>
        <w:t>prokazující</w:t>
      </w:r>
      <w:r>
        <w:rPr>
          <w:color w:val="231F20"/>
          <w:spacing w:val="-5"/>
        </w:rPr>
        <w:t xml:space="preserve"> </w:t>
      </w:r>
      <w:r>
        <w:rPr>
          <w:color w:val="231F20"/>
        </w:rPr>
        <w:t>výši</w:t>
      </w:r>
      <w:r>
        <w:rPr>
          <w:color w:val="231F20"/>
          <w:spacing w:val="-5"/>
        </w:rPr>
        <w:t xml:space="preserve"> </w:t>
      </w:r>
      <w:r>
        <w:rPr>
          <w:color w:val="231F20"/>
        </w:rPr>
        <w:t>požadované</w:t>
      </w:r>
      <w:r>
        <w:rPr>
          <w:color w:val="231F20"/>
          <w:spacing w:val="-6"/>
        </w:rPr>
        <w:t xml:space="preserve"> </w:t>
      </w:r>
      <w:r>
        <w:rPr>
          <w:color w:val="231F20"/>
        </w:rPr>
        <w:t>vratky</w:t>
      </w:r>
      <w:r>
        <w:rPr>
          <w:color w:val="231F20"/>
          <w:spacing w:val="-5"/>
        </w:rPr>
        <w:t xml:space="preserve"> </w:t>
      </w:r>
      <w:r>
        <w:rPr>
          <w:color w:val="231F20"/>
        </w:rPr>
        <w:t>DPH.</w:t>
      </w:r>
    </w:p>
    <w:p w14:paraId="537BE503"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position w:val="1"/>
          <w:sz w:val="14"/>
        </w:rPr>
        <w:t xml:space="preserve"> </w:t>
      </w:r>
      <w:r>
        <w:rPr>
          <w:color w:val="231F20"/>
        </w:rPr>
        <w:t>V případě poskytnutí pojistného plnění nad rámec a výši sjednaných limitů,  o kterých byla oprávněná osoba informována, je oprávněna osoba povinná vrátit</w:t>
      </w:r>
      <w:r>
        <w:rPr>
          <w:color w:val="231F20"/>
          <w:spacing w:val="-8"/>
        </w:rPr>
        <w:t xml:space="preserve"> </w:t>
      </w:r>
      <w:r>
        <w:rPr>
          <w:color w:val="231F20"/>
        </w:rPr>
        <w:t>Pojišťovně</w:t>
      </w:r>
      <w:r>
        <w:rPr>
          <w:color w:val="231F20"/>
          <w:spacing w:val="-7"/>
        </w:rPr>
        <w:t xml:space="preserve"> </w:t>
      </w:r>
      <w:r>
        <w:rPr>
          <w:color w:val="231F20"/>
        </w:rPr>
        <w:t>částku,</w:t>
      </w:r>
      <w:r>
        <w:rPr>
          <w:color w:val="231F20"/>
          <w:spacing w:val="-7"/>
        </w:rPr>
        <w:t xml:space="preserve"> </w:t>
      </w:r>
      <w:r>
        <w:rPr>
          <w:color w:val="231F20"/>
        </w:rPr>
        <w:t>kterou</w:t>
      </w:r>
      <w:r>
        <w:rPr>
          <w:color w:val="231F20"/>
          <w:spacing w:val="-7"/>
        </w:rPr>
        <w:t xml:space="preserve"> </w:t>
      </w:r>
      <w:r>
        <w:rPr>
          <w:color w:val="231F20"/>
        </w:rPr>
        <w:t>Pojišťovna</w:t>
      </w:r>
      <w:r>
        <w:rPr>
          <w:color w:val="231F20"/>
          <w:spacing w:val="-8"/>
        </w:rPr>
        <w:t xml:space="preserve"> </w:t>
      </w:r>
      <w:r>
        <w:rPr>
          <w:color w:val="231F20"/>
        </w:rPr>
        <w:t>za</w:t>
      </w:r>
      <w:r>
        <w:rPr>
          <w:color w:val="231F20"/>
          <w:spacing w:val="-7"/>
        </w:rPr>
        <w:t xml:space="preserve"> </w:t>
      </w:r>
      <w:r>
        <w:rPr>
          <w:color w:val="231F20"/>
        </w:rPr>
        <w:t>poskytnutou</w:t>
      </w:r>
      <w:r>
        <w:rPr>
          <w:color w:val="231F20"/>
          <w:spacing w:val="-7"/>
        </w:rPr>
        <w:t xml:space="preserve"> </w:t>
      </w:r>
      <w:r>
        <w:rPr>
          <w:color w:val="231F20"/>
        </w:rPr>
        <w:t>asistenční</w:t>
      </w:r>
      <w:r>
        <w:rPr>
          <w:color w:val="231F20"/>
          <w:spacing w:val="-7"/>
        </w:rPr>
        <w:t xml:space="preserve"> </w:t>
      </w:r>
      <w:r>
        <w:rPr>
          <w:color w:val="231F20"/>
        </w:rPr>
        <w:t>službu nad rámec a výši sjednaných limitů</w:t>
      </w:r>
      <w:r>
        <w:rPr>
          <w:color w:val="231F20"/>
          <w:spacing w:val="-13"/>
        </w:rPr>
        <w:t xml:space="preserve"> </w:t>
      </w:r>
      <w:r>
        <w:rPr>
          <w:color w:val="231F20"/>
        </w:rPr>
        <w:t>zaplatila.</w:t>
      </w:r>
    </w:p>
    <w:p w14:paraId="530D86C5" w14:textId="77777777" w:rsidR="00F65BCA" w:rsidRDefault="00F65BCA">
      <w:pPr>
        <w:pStyle w:val="Zkladntext"/>
        <w:rPr>
          <w:sz w:val="18"/>
        </w:rPr>
      </w:pPr>
    </w:p>
    <w:p w14:paraId="48F815DF" w14:textId="77777777" w:rsidR="00F65BCA" w:rsidRDefault="00F65BCA">
      <w:pPr>
        <w:pStyle w:val="Zkladntext"/>
        <w:spacing w:before="3"/>
        <w:rPr>
          <w:sz w:val="14"/>
        </w:rPr>
      </w:pPr>
    </w:p>
    <w:p w14:paraId="706BF1D6" w14:textId="77777777" w:rsidR="00F65BCA" w:rsidRDefault="00216117">
      <w:pPr>
        <w:spacing w:line="268" w:lineRule="exact"/>
        <w:ind w:left="203"/>
        <w:rPr>
          <w:sz w:val="24"/>
        </w:rPr>
      </w:pPr>
      <w:r>
        <w:rPr>
          <w:color w:val="231F20"/>
          <w:sz w:val="24"/>
        </w:rPr>
        <w:t>Pododdíl 11 – Úrazové pojištění</w:t>
      </w:r>
    </w:p>
    <w:p w14:paraId="7829992C" w14:textId="77777777" w:rsidR="00F65BCA" w:rsidRDefault="00216117">
      <w:pPr>
        <w:spacing w:line="268" w:lineRule="exact"/>
        <w:ind w:left="2030" w:right="1605"/>
        <w:jc w:val="center"/>
        <w:rPr>
          <w:sz w:val="24"/>
        </w:rPr>
      </w:pPr>
      <w:r>
        <w:rPr>
          <w:color w:val="231F20"/>
          <w:sz w:val="24"/>
        </w:rPr>
        <w:t>dopravovaných osob</w:t>
      </w:r>
    </w:p>
    <w:p w14:paraId="6EE625B1" w14:textId="77777777" w:rsidR="00F65BCA" w:rsidRDefault="00216117">
      <w:pPr>
        <w:spacing w:before="130"/>
        <w:ind w:left="187"/>
        <w:rPr>
          <w:sz w:val="15"/>
        </w:rPr>
      </w:pPr>
      <w:r>
        <w:rPr>
          <w:color w:val="FFFFFF"/>
          <w:position w:val="3"/>
          <w:sz w:val="16"/>
          <w:shd w:val="clear" w:color="auto" w:fill="808285"/>
        </w:rPr>
        <w:t xml:space="preserve">  Článek 71</w:t>
      </w:r>
      <w:r>
        <w:rPr>
          <w:color w:val="FFFFFF"/>
          <w:position w:val="3"/>
          <w:sz w:val="16"/>
        </w:rPr>
        <w:t xml:space="preserve"> </w:t>
      </w:r>
      <w:r>
        <w:rPr>
          <w:color w:val="231F20"/>
          <w:sz w:val="15"/>
        </w:rPr>
        <w:t>Úvodní ustanovení</w:t>
      </w:r>
    </w:p>
    <w:p w14:paraId="0E40E91F" w14:textId="77777777" w:rsidR="00F65BCA" w:rsidRDefault="00216117">
      <w:pPr>
        <w:pStyle w:val="Zkladntext"/>
        <w:spacing w:before="146"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position w:val="1"/>
          <w:sz w:val="14"/>
        </w:rPr>
        <w:t xml:space="preserve"> </w:t>
      </w:r>
      <w:r>
        <w:rPr>
          <w:color w:val="231F20"/>
        </w:rPr>
        <w:t xml:space="preserve">Úrazové pojištění dopravovaných osob lze v pojistné smlouvě sjednat jako doplňkové obnosové pojištění ve variantě „Úrazové pojištění“, „Úrazové pojištění řidiče“, „Úrazové pojištění – základní rozsah“ a „Úrazové </w:t>
      </w:r>
      <w:r>
        <w:rPr>
          <w:color w:val="231F20"/>
          <w:spacing w:val="-3"/>
        </w:rPr>
        <w:t xml:space="preserve">pojiš- </w:t>
      </w:r>
      <w:r>
        <w:rPr>
          <w:color w:val="231F20"/>
        </w:rPr>
        <w:t>tění řidiče – základní</w:t>
      </w:r>
      <w:r>
        <w:rPr>
          <w:color w:val="231F20"/>
          <w:spacing w:val="2"/>
        </w:rPr>
        <w:t xml:space="preserve"> </w:t>
      </w:r>
      <w:r>
        <w:rPr>
          <w:color w:val="231F20"/>
        </w:rPr>
        <w:t>rozsah“.</w:t>
      </w:r>
    </w:p>
    <w:p w14:paraId="6B3BFA70"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18"/>
          <w:position w:val="1"/>
          <w:sz w:val="14"/>
        </w:rPr>
        <w:t xml:space="preserve"> </w:t>
      </w:r>
      <w:r>
        <w:rPr>
          <w:color w:val="231F20"/>
        </w:rPr>
        <w:t>Pro</w:t>
      </w:r>
      <w:r>
        <w:rPr>
          <w:color w:val="231F20"/>
          <w:spacing w:val="-14"/>
        </w:rPr>
        <w:t xml:space="preserve"> </w:t>
      </w:r>
      <w:r>
        <w:rPr>
          <w:color w:val="231F20"/>
        </w:rPr>
        <w:t>úrazové</w:t>
      </w:r>
      <w:r>
        <w:rPr>
          <w:color w:val="231F20"/>
          <w:spacing w:val="-14"/>
        </w:rPr>
        <w:t xml:space="preserve"> </w:t>
      </w:r>
      <w:r>
        <w:rPr>
          <w:color w:val="231F20"/>
        </w:rPr>
        <w:t>pojištění</w:t>
      </w:r>
      <w:r>
        <w:rPr>
          <w:color w:val="231F20"/>
          <w:spacing w:val="-15"/>
        </w:rPr>
        <w:t xml:space="preserve"> </w:t>
      </w:r>
      <w:r>
        <w:rPr>
          <w:color w:val="231F20"/>
        </w:rPr>
        <w:t>dopravovaných</w:t>
      </w:r>
      <w:r>
        <w:rPr>
          <w:color w:val="231F20"/>
          <w:spacing w:val="-14"/>
        </w:rPr>
        <w:t xml:space="preserve"> </w:t>
      </w:r>
      <w:r>
        <w:rPr>
          <w:color w:val="231F20"/>
        </w:rPr>
        <w:t>osob</w:t>
      </w:r>
      <w:r>
        <w:rPr>
          <w:color w:val="231F20"/>
          <w:spacing w:val="-15"/>
        </w:rPr>
        <w:t xml:space="preserve"> </w:t>
      </w:r>
      <w:r>
        <w:rPr>
          <w:color w:val="231F20"/>
        </w:rPr>
        <w:t>se</w:t>
      </w:r>
      <w:r>
        <w:rPr>
          <w:color w:val="231F20"/>
          <w:spacing w:val="-14"/>
        </w:rPr>
        <w:t xml:space="preserve"> </w:t>
      </w:r>
      <w:r>
        <w:rPr>
          <w:color w:val="231F20"/>
        </w:rPr>
        <w:t>použijí</w:t>
      </w:r>
      <w:r>
        <w:rPr>
          <w:color w:val="231F20"/>
          <w:spacing w:val="-14"/>
        </w:rPr>
        <w:t xml:space="preserve"> </w:t>
      </w:r>
      <w:r>
        <w:rPr>
          <w:color w:val="231F20"/>
        </w:rPr>
        <w:t>přiměřeně</w:t>
      </w:r>
      <w:r>
        <w:rPr>
          <w:color w:val="231F20"/>
          <w:spacing w:val="-15"/>
        </w:rPr>
        <w:t xml:space="preserve"> </w:t>
      </w:r>
      <w:r>
        <w:rPr>
          <w:color w:val="231F20"/>
        </w:rPr>
        <w:t>Obecná</w:t>
      </w:r>
      <w:r>
        <w:rPr>
          <w:color w:val="231F20"/>
          <w:spacing w:val="-14"/>
        </w:rPr>
        <w:t xml:space="preserve"> </w:t>
      </w:r>
      <w:r>
        <w:rPr>
          <w:color w:val="231F20"/>
        </w:rPr>
        <w:t>usta- novení</w:t>
      </w:r>
      <w:r>
        <w:rPr>
          <w:color w:val="231F20"/>
          <w:spacing w:val="-4"/>
        </w:rPr>
        <w:t xml:space="preserve"> </w:t>
      </w:r>
      <w:r>
        <w:rPr>
          <w:color w:val="231F20"/>
        </w:rPr>
        <w:t>uvedená</w:t>
      </w:r>
      <w:r>
        <w:rPr>
          <w:color w:val="231F20"/>
          <w:spacing w:val="-3"/>
        </w:rPr>
        <w:t xml:space="preserve"> </w:t>
      </w:r>
      <w:r>
        <w:rPr>
          <w:color w:val="231F20"/>
        </w:rPr>
        <w:t>v</w:t>
      </w:r>
      <w:r>
        <w:rPr>
          <w:color w:val="231F20"/>
          <w:spacing w:val="-3"/>
        </w:rPr>
        <w:t xml:space="preserve"> </w:t>
      </w:r>
      <w:r>
        <w:rPr>
          <w:color w:val="231F20"/>
        </w:rPr>
        <w:t>části</w:t>
      </w:r>
      <w:r>
        <w:rPr>
          <w:color w:val="231F20"/>
          <w:spacing w:val="-3"/>
        </w:rPr>
        <w:t xml:space="preserve"> </w:t>
      </w:r>
      <w:r>
        <w:rPr>
          <w:color w:val="231F20"/>
        </w:rPr>
        <w:t>A.</w:t>
      </w:r>
      <w:r>
        <w:rPr>
          <w:color w:val="231F20"/>
          <w:spacing w:val="-3"/>
        </w:rPr>
        <w:t xml:space="preserve"> </w:t>
      </w:r>
      <w:r>
        <w:rPr>
          <w:color w:val="231F20"/>
        </w:rPr>
        <w:t>těchto</w:t>
      </w:r>
      <w:r>
        <w:rPr>
          <w:color w:val="231F20"/>
          <w:spacing w:val="-3"/>
        </w:rPr>
        <w:t xml:space="preserve"> </w:t>
      </w:r>
      <w:r>
        <w:rPr>
          <w:color w:val="231F20"/>
        </w:rPr>
        <w:t>VPP</w:t>
      </w:r>
      <w:r>
        <w:rPr>
          <w:color w:val="231F20"/>
          <w:spacing w:val="-3"/>
        </w:rPr>
        <w:t xml:space="preserve"> </w:t>
      </w:r>
      <w:r>
        <w:rPr>
          <w:color w:val="231F20"/>
        </w:rPr>
        <w:t>s</w:t>
      </w:r>
      <w:r>
        <w:rPr>
          <w:color w:val="231F20"/>
          <w:spacing w:val="-3"/>
        </w:rPr>
        <w:t xml:space="preserve"> </w:t>
      </w:r>
      <w:r>
        <w:rPr>
          <w:color w:val="231F20"/>
        </w:rPr>
        <w:t>výjimkou</w:t>
      </w:r>
      <w:r>
        <w:rPr>
          <w:color w:val="231F20"/>
          <w:spacing w:val="-3"/>
        </w:rPr>
        <w:t xml:space="preserve"> </w:t>
      </w:r>
      <w:r>
        <w:rPr>
          <w:color w:val="231F20"/>
        </w:rPr>
        <w:t>článku</w:t>
      </w:r>
      <w:r>
        <w:rPr>
          <w:color w:val="231F20"/>
          <w:spacing w:val="-3"/>
        </w:rPr>
        <w:t xml:space="preserve"> </w:t>
      </w:r>
      <w:r>
        <w:rPr>
          <w:color w:val="231F20"/>
        </w:rPr>
        <w:t>7</w:t>
      </w:r>
      <w:r>
        <w:rPr>
          <w:color w:val="231F20"/>
          <w:spacing w:val="-3"/>
        </w:rPr>
        <w:t xml:space="preserve"> </w:t>
      </w:r>
      <w:r>
        <w:rPr>
          <w:color w:val="231F20"/>
        </w:rPr>
        <w:t>Zohlednění</w:t>
      </w:r>
      <w:r>
        <w:rPr>
          <w:color w:val="231F20"/>
          <w:spacing w:val="-4"/>
        </w:rPr>
        <w:t xml:space="preserve"> před- </w:t>
      </w:r>
      <w:r>
        <w:rPr>
          <w:color w:val="231F20"/>
        </w:rPr>
        <w:t>chozího škodního</w:t>
      </w:r>
      <w:r>
        <w:rPr>
          <w:color w:val="231F20"/>
          <w:spacing w:val="-2"/>
        </w:rPr>
        <w:t xml:space="preserve"> </w:t>
      </w:r>
      <w:r>
        <w:rPr>
          <w:color w:val="231F20"/>
        </w:rPr>
        <w:t>průběhu.</w:t>
      </w:r>
    </w:p>
    <w:p w14:paraId="77039305"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3</w:t>
      </w:r>
      <w:r>
        <w:rPr>
          <w:color w:val="231F20"/>
          <w:spacing w:val="-8"/>
          <w:position w:val="1"/>
          <w:sz w:val="14"/>
        </w:rPr>
        <w:t xml:space="preserve"> </w:t>
      </w:r>
      <w:r>
        <w:rPr>
          <w:color w:val="231F20"/>
        </w:rPr>
        <w:t>Úrazové pojištění dopravovaných osob se sjednává jako skupinové pojištění. Skupinou</w:t>
      </w:r>
      <w:r>
        <w:rPr>
          <w:color w:val="231F20"/>
          <w:spacing w:val="-14"/>
        </w:rPr>
        <w:t xml:space="preserve"> </w:t>
      </w:r>
      <w:r>
        <w:rPr>
          <w:color w:val="231F20"/>
        </w:rPr>
        <w:t>se</w:t>
      </w:r>
      <w:r>
        <w:rPr>
          <w:color w:val="231F20"/>
          <w:spacing w:val="-14"/>
        </w:rPr>
        <w:t xml:space="preserve"> </w:t>
      </w:r>
      <w:r>
        <w:rPr>
          <w:color w:val="231F20"/>
        </w:rPr>
        <w:t>pro</w:t>
      </w:r>
      <w:r>
        <w:rPr>
          <w:color w:val="231F20"/>
          <w:spacing w:val="-14"/>
        </w:rPr>
        <w:t xml:space="preserve"> </w:t>
      </w:r>
      <w:r>
        <w:rPr>
          <w:color w:val="231F20"/>
        </w:rPr>
        <w:t>účely</w:t>
      </w:r>
      <w:r>
        <w:rPr>
          <w:color w:val="231F20"/>
          <w:spacing w:val="-14"/>
        </w:rPr>
        <w:t xml:space="preserve"> </w:t>
      </w:r>
      <w:r>
        <w:rPr>
          <w:color w:val="231F20"/>
        </w:rPr>
        <w:t>tohoto</w:t>
      </w:r>
      <w:r>
        <w:rPr>
          <w:color w:val="231F20"/>
          <w:spacing w:val="-14"/>
        </w:rPr>
        <w:t xml:space="preserve"> </w:t>
      </w:r>
      <w:r>
        <w:rPr>
          <w:color w:val="231F20"/>
        </w:rPr>
        <w:t>pojištění</w:t>
      </w:r>
      <w:r>
        <w:rPr>
          <w:color w:val="231F20"/>
          <w:spacing w:val="-14"/>
        </w:rPr>
        <w:t xml:space="preserve"> </w:t>
      </w:r>
      <w:r>
        <w:rPr>
          <w:color w:val="231F20"/>
        </w:rPr>
        <w:t>rozumí</w:t>
      </w:r>
      <w:r>
        <w:rPr>
          <w:color w:val="231F20"/>
          <w:spacing w:val="-14"/>
        </w:rPr>
        <w:t xml:space="preserve"> </w:t>
      </w:r>
      <w:r>
        <w:rPr>
          <w:color w:val="231F20"/>
        </w:rPr>
        <w:t>skupina</w:t>
      </w:r>
      <w:r>
        <w:rPr>
          <w:color w:val="231F20"/>
          <w:spacing w:val="-14"/>
        </w:rPr>
        <w:t xml:space="preserve"> </w:t>
      </w:r>
      <w:r>
        <w:rPr>
          <w:color w:val="231F20"/>
        </w:rPr>
        <w:t>osob</w:t>
      </w:r>
      <w:r>
        <w:rPr>
          <w:color w:val="231F20"/>
          <w:spacing w:val="-13"/>
        </w:rPr>
        <w:t xml:space="preserve"> </w:t>
      </w:r>
      <w:r>
        <w:rPr>
          <w:color w:val="231F20"/>
        </w:rPr>
        <w:t>včetně</w:t>
      </w:r>
      <w:r>
        <w:rPr>
          <w:color w:val="231F20"/>
          <w:spacing w:val="-14"/>
        </w:rPr>
        <w:t xml:space="preserve"> </w:t>
      </w:r>
      <w:r>
        <w:rPr>
          <w:color w:val="231F20"/>
        </w:rPr>
        <w:t>řidiče,</w:t>
      </w:r>
      <w:r>
        <w:rPr>
          <w:color w:val="231F20"/>
          <w:spacing w:val="-14"/>
        </w:rPr>
        <w:t xml:space="preserve"> </w:t>
      </w:r>
      <w:r>
        <w:rPr>
          <w:color w:val="231F20"/>
          <w:spacing w:val="-4"/>
        </w:rPr>
        <w:t xml:space="preserve">do- </w:t>
      </w:r>
      <w:r>
        <w:rPr>
          <w:color w:val="231F20"/>
        </w:rPr>
        <w:t>pravovaných</w:t>
      </w:r>
      <w:r>
        <w:rPr>
          <w:color w:val="231F20"/>
          <w:spacing w:val="-15"/>
        </w:rPr>
        <w:t xml:space="preserve"> </w:t>
      </w:r>
      <w:r>
        <w:rPr>
          <w:color w:val="231F20"/>
        </w:rPr>
        <w:t>v</w:t>
      </w:r>
      <w:r>
        <w:rPr>
          <w:color w:val="231F20"/>
          <w:spacing w:val="-14"/>
        </w:rPr>
        <w:t xml:space="preserve"> </w:t>
      </w:r>
      <w:r>
        <w:rPr>
          <w:color w:val="231F20"/>
        </w:rPr>
        <w:t>okamžiku</w:t>
      </w:r>
      <w:r>
        <w:rPr>
          <w:color w:val="231F20"/>
          <w:spacing w:val="-15"/>
        </w:rPr>
        <w:t xml:space="preserve"> </w:t>
      </w:r>
      <w:r>
        <w:rPr>
          <w:color w:val="231F20"/>
        </w:rPr>
        <w:t>vzniku</w:t>
      </w:r>
      <w:r>
        <w:rPr>
          <w:color w:val="231F20"/>
          <w:spacing w:val="-14"/>
        </w:rPr>
        <w:t xml:space="preserve"> </w:t>
      </w:r>
      <w:r>
        <w:rPr>
          <w:color w:val="231F20"/>
        </w:rPr>
        <w:t>pojistné</w:t>
      </w:r>
      <w:r>
        <w:rPr>
          <w:color w:val="231F20"/>
          <w:spacing w:val="-15"/>
        </w:rPr>
        <w:t xml:space="preserve"> </w:t>
      </w:r>
      <w:r>
        <w:rPr>
          <w:color w:val="231F20"/>
        </w:rPr>
        <w:t>události</w:t>
      </w:r>
      <w:r>
        <w:rPr>
          <w:color w:val="231F20"/>
          <w:spacing w:val="-14"/>
        </w:rPr>
        <w:t xml:space="preserve"> </w:t>
      </w:r>
      <w:r>
        <w:rPr>
          <w:color w:val="231F20"/>
        </w:rPr>
        <w:t>ve</w:t>
      </w:r>
      <w:r>
        <w:rPr>
          <w:color w:val="231F20"/>
          <w:spacing w:val="-15"/>
        </w:rPr>
        <w:t xml:space="preserve"> </w:t>
      </w:r>
      <w:r>
        <w:rPr>
          <w:color w:val="231F20"/>
        </w:rPr>
        <w:t>vozidle,</w:t>
      </w:r>
      <w:r>
        <w:rPr>
          <w:color w:val="231F20"/>
          <w:spacing w:val="-14"/>
        </w:rPr>
        <w:t xml:space="preserve"> </w:t>
      </w:r>
      <w:r>
        <w:rPr>
          <w:color w:val="231F20"/>
        </w:rPr>
        <w:t>které</w:t>
      </w:r>
      <w:r>
        <w:rPr>
          <w:color w:val="231F20"/>
          <w:spacing w:val="-15"/>
        </w:rPr>
        <w:t xml:space="preserve"> </w:t>
      </w:r>
      <w:r>
        <w:rPr>
          <w:color w:val="231F20"/>
        </w:rPr>
        <w:t>je</w:t>
      </w:r>
      <w:r>
        <w:rPr>
          <w:color w:val="231F20"/>
          <w:spacing w:val="-15"/>
        </w:rPr>
        <w:t xml:space="preserve"> </w:t>
      </w:r>
      <w:r>
        <w:rPr>
          <w:color w:val="231F20"/>
        </w:rPr>
        <w:t>uvedeno v seznamu</w:t>
      </w:r>
      <w:r>
        <w:rPr>
          <w:color w:val="231F20"/>
          <w:spacing w:val="-2"/>
        </w:rPr>
        <w:t xml:space="preserve"> </w:t>
      </w:r>
      <w:r>
        <w:rPr>
          <w:color w:val="231F20"/>
        </w:rPr>
        <w:t>vozidel.</w:t>
      </w:r>
    </w:p>
    <w:p w14:paraId="5F2C1C3A"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spacing w:val="10"/>
          <w:position w:val="1"/>
          <w:sz w:val="14"/>
        </w:rPr>
        <w:t xml:space="preserve"> </w:t>
      </w:r>
      <w:r>
        <w:rPr>
          <w:color w:val="231F20"/>
        </w:rPr>
        <w:t>Pojištění</w:t>
      </w:r>
      <w:r>
        <w:rPr>
          <w:color w:val="231F20"/>
          <w:spacing w:val="-17"/>
        </w:rPr>
        <w:t xml:space="preserve"> </w:t>
      </w:r>
      <w:r>
        <w:rPr>
          <w:color w:val="231F20"/>
        </w:rPr>
        <w:t>lze</w:t>
      </w:r>
      <w:r>
        <w:rPr>
          <w:color w:val="231F20"/>
          <w:spacing w:val="-17"/>
        </w:rPr>
        <w:t xml:space="preserve"> </w:t>
      </w:r>
      <w:r>
        <w:rPr>
          <w:color w:val="231F20"/>
        </w:rPr>
        <w:t>navíc</w:t>
      </w:r>
      <w:r>
        <w:rPr>
          <w:color w:val="231F20"/>
          <w:spacing w:val="-17"/>
        </w:rPr>
        <w:t xml:space="preserve"> </w:t>
      </w:r>
      <w:r>
        <w:rPr>
          <w:color w:val="231F20"/>
        </w:rPr>
        <w:t>sjednat</w:t>
      </w:r>
      <w:r>
        <w:rPr>
          <w:color w:val="231F20"/>
          <w:spacing w:val="-16"/>
        </w:rPr>
        <w:t xml:space="preserve"> </w:t>
      </w:r>
      <w:r>
        <w:rPr>
          <w:color w:val="231F20"/>
        </w:rPr>
        <w:t>i</w:t>
      </w:r>
      <w:r>
        <w:rPr>
          <w:color w:val="231F20"/>
          <w:spacing w:val="-17"/>
        </w:rPr>
        <w:t xml:space="preserve"> </w:t>
      </w:r>
      <w:r>
        <w:rPr>
          <w:color w:val="231F20"/>
        </w:rPr>
        <w:t>v</w:t>
      </w:r>
      <w:r>
        <w:rPr>
          <w:color w:val="231F20"/>
          <w:spacing w:val="-17"/>
        </w:rPr>
        <w:t xml:space="preserve"> </w:t>
      </w:r>
      <w:r>
        <w:rPr>
          <w:color w:val="231F20"/>
        </w:rPr>
        <w:t>rámci</w:t>
      </w:r>
      <w:r>
        <w:rPr>
          <w:color w:val="231F20"/>
          <w:spacing w:val="-16"/>
        </w:rPr>
        <w:t xml:space="preserve"> </w:t>
      </w:r>
      <w:r>
        <w:rPr>
          <w:color w:val="231F20"/>
        </w:rPr>
        <w:t>pojištění</w:t>
      </w:r>
      <w:r>
        <w:rPr>
          <w:color w:val="231F20"/>
          <w:spacing w:val="-17"/>
        </w:rPr>
        <w:t xml:space="preserve"> </w:t>
      </w:r>
      <w:r>
        <w:rPr>
          <w:color w:val="231F20"/>
        </w:rPr>
        <w:t>vozidel,</w:t>
      </w:r>
      <w:r>
        <w:rPr>
          <w:color w:val="231F20"/>
          <w:spacing w:val="-17"/>
        </w:rPr>
        <w:t xml:space="preserve"> </w:t>
      </w:r>
      <w:r>
        <w:rPr>
          <w:color w:val="231F20"/>
        </w:rPr>
        <w:t>která</w:t>
      </w:r>
      <w:r>
        <w:rPr>
          <w:color w:val="231F20"/>
          <w:spacing w:val="-16"/>
        </w:rPr>
        <w:t xml:space="preserve"> </w:t>
      </w:r>
      <w:r>
        <w:rPr>
          <w:color w:val="231F20"/>
        </w:rPr>
        <w:t>dle</w:t>
      </w:r>
      <w:r>
        <w:rPr>
          <w:color w:val="231F20"/>
          <w:spacing w:val="-17"/>
        </w:rPr>
        <w:t xml:space="preserve"> </w:t>
      </w:r>
      <w:r>
        <w:rPr>
          <w:color w:val="231F20"/>
        </w:rPr>
        <w:t>platné</w:t>
      </w:r>
      <w:r>
        <w:rPr>
          <w:color w:val="231F20"/>
          <w:spacing w:val="-17"/>
        </w:rPr>
        <w:t xml:space="preserve"> </w:t>
      </w:r>
      <w:r>
        <w:rPr>
          <w:color w:val="231F20"/>
        </w:rPr>
        <w:t>legislativy nemusí</w:t>
      </w:r>
      <w:r>
        <w:rPr>
          <w:color w:val="231F20"/>
          <w:spacing w:val="-11"/>
        </w:rPr>
        <w:t xml:space="preserve"> </w:t>
      </w:r>
      <w:r>
        <w:rPr>
          <w:color w:val="231F20"/>
        </w:rPr>
        <w:t>mít</w:t>
      </w:r>
      <w:r>
        <w:rPr>
          <w:color w:val="231F20"/>
          <w:spacing w:val="-11"/>
        </w:rPr>
        <w:t xml:space="preserve"> </w:t>
      </w:r>
      <w:r>
        <w:rPr>
          <w:color w:val="231F20"/>
        </w:rPr>
        <w:t>českými</w:t>
      </w:r>
      <w:r>
        <w:rPr>
          <w:color w:val="231F20"/>
          <w:spacing w:val="-10"/>
        </w:rPr>
        <w:t xml:space="preserve"> </w:t>
      </w:r>
      <w:r>
        <w:rPr>
          <w:color w:val="231F20"/>
        </w:rPr>
        <w:t>úřady</w:t>
      </w:r>
      <w:r>
        <w:rPr>
          <w:color w:val="231F20"/>
          <w:spacing w:val="-11"/>
        </w:rPr>
        <w:t xml:space="preserve"> </w:t>
      </w:r>
      <w:r>
        <w:rPr>
          <w:color w:val="231F20"/>
        </w:rPr>
        <w:t>přidělenou</w:t>
      </w:r>
      <w:r>
        <w:rPr>
          <w:color w:val="231F20"/>
          <w:spacing w:val="-10"/>
        </w:rPr>
        <w:t xml:space="preserve"> </w:t>
      </w:r>
      <w:r>
        <w:rPr>
          <w:color w:val="231F20"/>
        </w:rPr>
        <w:t>platnou</w:t>
      </w:r>
      <w:r>
        <w:rPr>
          <w:color w:val="231F20"/>
          <w:spacing w:val="-11"/>
        </w:rPr>
        <w:t xml:space="preserve"> </w:t>
      </w:r>
      <w:r>
        <w:rPr>
          <w:color w:val="231F20"/>
        </w:rPr>
        <w:t>českou</w:t>
      </w:r>
      <w:r>
        <w:rPr>
          <w:color w:val="231F20"/>
          <w:spacing w:val="-11"/>
        </w:rPr>
        <w:t xml:space="preserve"> </w:t>
      </w:r>
      <w:r>
        <w:rPr>
          <w:color w:val="231F20"/>
        </w:rPr>
        <w:t>registrační</w:t>
      </w:r>
      <w:r>
        <w:rPr>
          <w:color w:val="231F20"/>
          <w:spacing w:val="-10"/>
        </w:rPr>
        <w:t xml:space="preserve"> </w:t>
      </w:r>
      <w:r>
        <w:rPr>
          <w:color w:val="231F20"/>
        </w:rPr>
        <w:t>značku.</w:t>
      </w:r>
    </w:p>
    <w:p w14:paraId="3A43CF30" w14:textId="77777777" w:rsidR="00F65BCA" w:rsidRDefault="00F65BCA">
      <w:pPr>
        <w:pStyle w:val="Zkladntext"/>
        <w:spacing w:before="8"/>
        <w:rPr>
          <w:sz w:val="20"/>
        </w:rPr>
      </w:pPr>
    </w:p>
    <w:p w14:paraId="5670306A" w14:textId="77777777" w:rsidR="00F65BCA" w:rsidRDefault="00216117">
      <w:pPr>
        <w:ind w:left="187"/>
        <w:rPr>
          <w:sz w:val="15"/>
        </w:rPr>
      </w:pPr>
      <w:r>
        <w:rPr>
          <w:color w:val="FFFFFF"/>
          <w:position w:val="3"/>
          <w:sz w:val="16"/>
          <w:shd w:val="clear" w:color="auto" w:fill="808285"/>
        </w:rPr>
        <w:t xml:space="preserve">  </w:t>
      </w:r>
      <w:r>
        <w:rPr>
          <w:color w:val="FFFFFF"/>
          <w:w w:val="105"/>
          <w:position w:val="3"/>
          <w:sz w:val="16"/>
          <w:shd w:val="clear" w:color="auto" w:fill="808285"/>
        </w:rPr>
        <w:t>Článek 72</w:t>
      </w:r>
      <w:r>
        <w:rPr>
          <w:color w:val="FFFFFF"/>
          <w:w w:val="105"/>
          <w:position w:val="3"/>
          <w:sz w:val="16"/>
        </w:rPr>
        <w:t xml:space="preserve"> </w:t>
      </w:r>
      <w:r>
        <w:rPr>
          <w:color w:val="231F20"/>
          <w:w w:val="105"/>
          <w:sz w:val="15"/>
        </w:rPr>
        <w:t>Výklad pojmů</w:t>
      </w:r>
    </w:p>
    <w:p w14:paraId="28FE3364" w14:textId="77777777" w:rsidR="00F65BCA" w:rsidRDefault="00216117">
      <w:pPr>
        <w:pStyle w:val="Zkladntext"/>
        <w:spacing w:before="148" w:line="278" w:lineRule="auto"/>
        <w:ind w:left="186" w:right="425"/>
        <w:jc w:val="both"/>
      </w:pPr>
      <w:r>
        <w:rPr>
          <w:color w:val="231F20"/>
        </w:rPr>
        <w:t>Vozidlo</w:t>
      </w:r>
      <w:r>
        <w:rPr>
          <w:color w:val="231F20"/>
          <w:spacing w:val="-23"/>
        </w:rPr>
        <w:t xml:space="preserve"> </w:t>
      </w:r>
      <w:r>
        <w:rPr>
          <w:color w:val="231F20"/>
        </w:rPr>
        <w:t>–</w:t>
      </w:r>
      <w:r>
        <w:rPr>
          <w:color w:val="231F20"/>
          <w:spacing w:val="-23"/>
        </w:rPr>
        <w:t xml:space="preserve"> </w:t>
      </w:r>
      <w:r>
        <w:rPr>
          <w:color w:val="231F20"/>
        </w:rPr>
        <w:t>pro</w:t>
      </w:r>
      <w:r>
        <w:rPr>
          <w:color w:val="231F20"/>
          <w:spacing w:val="-23"/>
        </w:rPr>
        <w:t xml:space="preserve"> </w:t>
      </w:r>
      <w:r>
        <w:rPr>
          <w:color w:val="231F20"/>
        </w:rPr>
        <w:t>účely</w:t>
      </w:r>
      <w:r>
        <w:rPr>
          <w:color w:val="231F20"/>
          <w:spacing w:val="-23"/>
        </w:rPr>
        <w:t xml:space="preserve"> </w:t>
      </w:r>
      <w:r>
        <w:rPr>
          <w:color w:val="231F20"/>
        </w:rPr>
        <w:t>úrazového</w:t>
      </w:r>
      <w:r>
        <w:rPr>
          <w:color w:val="231F20"/>
          <w:spacing w:val="-22"/>
        </w:rPr>
        <w:t xml:space="preserve"> </w:t>
      </w:r>
      <w:r>
        <w:rPr>
          <w:color w:val="231F20"/>
        </w:rPr>
        <w:t>pojištění</w:t>
      </w:r>
      <w:r>
        <w:rPr>
          <w:color w:val="231F20"/>
          <w:spacing w:val="-23"/>
        </w:rPr>
        <w:t xml:space="preserve"> </w:t>
      </w:r>
      <w:r>
        <w:rPr>
          <w:color w:val="231F20"/>
        </w:rPr>
        <w:t>se</w:t>
      </w:r>
      <w:r>
        <w:rPr>
          <w:color w:val="231F20"/>
          <w:spacing w:val="-23"/>
        </w:rPr>
        <w:t xml:space="preserve"> </w:t>
      </w:r>
      <w:r>
        <w:rPr>
          <w:color w:val="231F20"/>
        </w:rPr>
        <w:t>vozidlem</w:t>
      </w:r>
      <w:r>
        <w:rPr>
          <w:color w:val="231F20"/>
          <w:spacing w:val="-23"/>
        </w:rPr>
        <w:t xml:space="preserve"> </w:t>
      </w:r>
      <w:r>
        <w:rPr>
          <w:color w:val="231F20"/>
        </w:rPr>
        <w:t>rozumí</w:t>
      </w:r>
      <w:r>
        <w:rPr>
          <w:color w:val="231F20"/>
          <w:spacing w:val="-22"/>
        </w:rPr>
        <w:t xml:space="preserve"> </w:t>
      </w:r>
      <w:r>
        <w:rPr>
          <w:color w:val="231F20"/>
        </w:rPr>
        <w:t>motorové</w:t>
      </w:r>
      <w:r>
        <w:rPr>
          <w:color w:val="231F20"/>
          <w:spacing w:val="-23"/>
        </w:rPr>
        <w:t xml:space="preserve"> </w:t>
      </w:r>
      <w:r>
        <w:rPr>
          <w:color w:val="231F20"/>
        </w:rPr>
        <w:t>vozidlo,</w:t>
      </w:r>
      <w:r>
        <w:rPr>
          <w:color w:val="231F20"/>
          <w:spacing w:val="-23"/>
        </w:rPr>
        <w:t xml:space="preserve"> </w:t>
      </w:r>
      <w:r>
        <w:rPr>
          <w:color w:val="231F20"/>
          <w:spacing w:val="-4"/>
        </w:rPr>
        <w:t xml:space="preserve">které </w:t>
      </w:r>
      <w:r>
        <w:rPr>
          <w:color w:val="231F20"/>
        </w:rPr>
        <w:t>je u Pojišťovny pojištěno příslušným</w:t>
      </w:r>
      <w:r>
        <w:rPr>
          <w:color w:val="231F20"/>
          <w:spacing w:val="-12"/>
        </w:rPr>
        <w:t xml:space="preserve"> </w:t>
      </w:r>
      <w:r>
        <w:rPr>
          <w:color w:val="231F20"/>
        </w:rPr>
        <w:t>pojištěním.</w:t>
      </w:r>
    </w:p>
    <w:p w14:paraId="3B0657D9" w14:textId="77777777" w:rsidR="00F65BCA" w:rsidRDefault="00216117">
      <w:pPr>
        <w:pStyle w:val="Zkladntext"/>
        <w:spacing w:line="278" w:lineRule="auto"/>
        <w:ind w:left="186" w:right="424"/>
        <w:jc w:val="both"/>
      </w:pPr>
      <w:r>
        <w:rPr>
          <w:color w:val="231F20"/>
        </w:rPr>
        <w:t>Pojištěný</w:t>
      </w:r>
      <w:r>
        <w:rPr>
          <w:color w:val="231F20"/>
          <w:spacing w:val="-10"/>
        </w:rPr>
        <w:t xml:space="preserve"> </w:t>
      </w:r>
      <w:r>
        <w:rPr>
          <w:color w:val="231F20"/>
        </w:rPr>
        <w:t>–</w:t>
      </w:r>
      <w:r>
        <w:rPr>
          <w:color w:val="231F20"/>
          <w:spacing w:val="-10"/>
        </w:rPr>
        <w:t xml:space="preserve"> </w:t>
      </w:r>
      <w:r>
        <w:rPr>
          <w:color w:val="231F20"/>
        </w:rPr>
        <w:t>pro</w:t>
      </w:r>
      <w:r>
        <w:rPr>
          <w:color w:val="231F20"/>
          <w:spacing w:val="-10"/>
        </w:rPr>
        <w:t xml:space="preserve"> </w:t>
      </w:r>
      <w:r>
        <w:rPr>
          <w:color w:val="231F20"/>
        </w:rPr>
        <w:t>účely</w:t>
      </w:r>
      <w:r>
        <w:rPr>
          <w:color w:val="231F20"/>
          <w:spacing w:val="-10"/>
        </w:rPr>
        <w:t xml:space="preserve"> </w:t>
      </w:r>
      <w:r>
        <w:rPr>
          <w:color w:val="231F20"/>
        </w:rPr>
        <w:t>úrazového</w:t>
      </w:r>
      <w:r>
        <w:rPr>
          <w:color w:val="231F20"/>
          <w:spacing w:val="-10"/>
        </w:rPr>
        <w:t xml:space="preserve"> </w:t>
      </w:r>
      <w:r>
        <w:rPr>
          <w:color w:val="231F20"/>
        </w:rPr>
        <w:t>pojištění</w:t>
      </w:r>
      <w:r>
        <w:rPr>
          <w:color w:val="231F20"/>
          <w:spacing w:val="-10"/>
        </w:rPr>
        <w:t xml:space="preserve"> </w:t>
      </w:r>
      <w:r>
        <w:rPr>
          <w:color w:val="231F20"/>
        </w:rPr>
        <w:t>se</w:t>
      </w:r>
      <w:r>
        <w:rPr>
          <w:color w:val="231F20"/>
          <w:spacing w:val="-10"/>
        </w:rPr>
        <w:t xml:space="preserve"> </w:t>
      </w:r>
      <w:r>
        <w:rPr>
          <w:color w:val="231F20"/>
        </w:rPr>
        <w:t>pojištěnou</w:t>
      </w:r>
      <w:r>
        <w:rPr>
          <w:color w:val="231F20"/>
          <w:spacing w:val="-10"/>
        </w:rPr>
        <w:t xml:space="preserve"> </w:t>
      </w:r>
      <w:r>
        <w:rPr>
          <w:color w:val="231F20"/>
        </w:rPr>
        <w:t>osobou</w:t>
      </w:r>
      <w:r>
        <w:rPr>
          <w:color w:val="231F20"/>
          <w:spacing w:val="-10"/>
        </w:rPr>
        <w:t xml:space="preserve"> </w:t>
      </w:r>
      <w:r>
        <w:rPr>
          <w:color w:val="231F20"/>
        </w:rPr>
        <w:t>rozumí</w:t>
      </w:r>
      <w:r>
        <w:rPr>
          <w:color w:val="231F20"/>
          <w:spacing w:val="-10"/>
        </w:rPr>
        <w:t xml:space="preserve"> </w:t>
      </w:r>
      <w:r>
        <w:rPr>
          <w:color w:val="231F20"/>
        </w:rPr>
        <w:t>řidič</w:t>
      </w:r>
      <w:r>
        <w:rPr>
          <w:color w:val="231F20"/>
          <w:spacing w:val="-10"/>
        </w:rPr>
        <w:t xml:space="preserve"> </w:t>
      </w:r>
      <w:r>
        <w:rPr>
          <w:color w:val="231F20"/>
        </w:rPr>
        <w:t>nebo osoby dopravované pojištěným</w:t>
      </w:r>
      <w:r>
        <w:rPr>
          <w:color w:val="231F20"/>
          <w:spacing w:val="-4"/>
        </w:rPr>
        <w:t xml:space="preserve"> </w:t>
      </w:r>
      <w:r>
        <w:rPr>
          <w:color w:val="231F20"/>
        </w:rPr>
        <w:t>vozidlem.</w:t>
      </w:r>
    </w:p>
    <w:p w14:paraId="7D64F579" w14:textId="77777777" w:rsidR="00F65BCA" w:rsidRDefault="00216117">
      <w:pPr>
        <w:pStyle w:val="Zkladntext"/>
        <w:spacing w:line="278" w:lineRule="auto"/>
        <w:ind w:left="186" w:right="424"/>
        <w:jc w:val="both"/>
      </w:pPr>
      <w:r>
        <w:rPr>
          <w:color w:val="231F20"/>
        </w:rPr>
        <w:t>Úraz</w:t>
      </w:r>
      <w:r>
        <w:rPr>
          <w:color w:val="231F20"/>
          <w:spacing w:val="-30"/>
        </w:rPr>
        <w:t xml:space="preserve"> </w:t>
      </w:r>
      <w:r>
        <w:rPr>
          <w:color w:val="231F20"/>
        </w:rPr>
        <w:t>–</w:t>
      </w:r>
      <w:r>
        <w:rPr>
          <w:color w:val="231F20"/>
          <w:spacing w:val="-29"/>
        </w:rPr>
        <w:t xml:space="preserve"> </w:t>
      </w:r>
      <w:r>
        <w:rPr>
          <w:color w:val="231F20"/>
        </w:rPr>
        <w:t>neočekávané</w:t>
      </w:r>
      <w:r>
        <w:rPr>
          <w:color w:val="231F20"/>
          <w:spacing w:val="-29"/>
        </w:rPr>
        <w:t xml:space="preserve"> </w:t>
      </w:r>
      <w:r>
        <w:rPr>
          <w:color w:val="231F20"/>
        </w:rPr>
        <w:t>a</w:t>
      </w:r>
      <w:r>
        <w:rPr>
          <w:color w:val="231F20"/>
          <w:spacing w:val="-29"/>
        </w:rPr>
        <w:t xml:space="preserve"> </w:t>
      </w:r>
      <w:r>
        <w:rPr>
          <w:color w:val="231F20"/>
        </w:rPr>
        <w:t>náhlé</w:t>
      </w:r>
      <w:r>
        <w:rPr>
          <w:color w:val="231F20"/>
          <w:spacing w:val="-29"/>
        </w:rPr>
        <w:t xml:space="preserve"> </w:t>
      </w:r>
      <w:r>
        <w:rPr>
          <w:color w:val="231F20"/>
        </w:rPr>
        <w:t>působení</w:t>
      </w:r>
      <w:r>
        <w:rPr>
          <w:color w:val="231F20"/>
          <w:spacing w:val="-29"/>
        </w:rPr>
        <w:t xml:space="preserve"> </w:t>
      </w:r>
      <w:r>
        <w:rPr>
          <w:color w:val="231F20"/>
        </w:rPr>
        <w:t>zevních</w:t>
      </w:r>
      <w:r>
        <w:rPr>
          <w:color w:val="231F20"/>
          <w:spacing w:val="-29"/>
        </w:rPr>
        <w:t xml:space="preserve"> </w:t>
      </w:r>
      <w:r>
        <w:rPr>
          <w:color w:val="231F20"/>
        </w:rPr>
        <w:t>sil</w:t>
      </w:r>
      <w:r>
        <w:rPr>
          <w:color w:val="231F20"/>
          <w:spacing w:val="-29"/>
        </w:rPr>
        <w:t xml:space="preserve"> </w:t>
      </w:r>
      <w:r>
        <w:rPr>
          <w:color w:val="231F20"/>
        </w:rPr>
        <w:t>nebo</w:t>
      </w:r>
      <w:r>
        <w:rPr>
          <w:color w:val="231F20"/>
          <w:spacing w:val="-29"/>
        </w:rPr>
        <w:t xml:space="preserve"> </w:t>
      </w:r>
      <w:r>
        <w:rPr>
          <w:color w:val="231F20"/>
        </w:rPr>
        <w:t>vlastní</w:t>
      </w:r>
      <w:r>
        <w:rPr>
          <w:color w:val="231F20"/>
          <w:spacing w:val="-29"/>
        </w:rPr>
        <w:t xml:space="preserve"> </w:t>
      </w:r>
      <w:r>
        <w:rPr>
          <w:color w:val="231F20"/>
        </w:rPr>
        <w:t>tělesné</w:t>
      </w:r>
      <w:r>
        <w:rPr>
          <w:color w:val="231F20"/>
          <w:spacing w:val="-29"/>
        </w:rPr>
        <w:t xml:space="preserve"> </w:t>
      </w:r>
      <w:r>
        <w:rPr>
          <w:color w:val="231F20"/>
        </w:rPr>
        <w:t>síly</w:t>
      </w:r>
      <w:r>
        <w:rPr>
          <w:color w:val="231F20"/>
          <w:spacing w:val="-29"/>
        </w:rPr>
        <w:t xml:space="preserve"> </w:t>
      </w:r>
      <w:r>
        <w:rPr>
          <w:color w:val="231F20"/>
        </w:rPr>
        <w:t>nezávisle na</w:t>
      </w:r>
      <w:r>
        <w:rPr>
          <w:color w:val="231F20"/>
          <w:spacing w:val="-24"/>
        </w:rPr>
        <w:t xml:space="preserve"> </w:t>
      </w:r>
      <w:r>
        <w:rPr>
          <w:color w:val="231F20"/>
        </w:rPr>
        <w:t>vůli</w:t>
      </w:r>
      <w:r>
        <w:rPr>
          <w:color w:val="231F20"/>
          <w:spacing w:val="-23"/>
        </w:rPr>
        <w:t xml:space="preserve"> </w:t>
      </w:r>
      <w:r>
        <w:rPr>
          <w:color w:val="231F20"/>
        </w:rPr>
        <w:t>pojištěného</w:t>
      </w:r>
      <w:r>
        <w:rPr>
          <w:color w:val="231F20"/>
          <w:spacing w:val="-24"/>
        </w:rPr>
        <w:t xml:space="preserve"> </w:t>
      </w:r>
      <w:r>
        <w:rPr>
          <w:color w:val="231F20"/>
        </w:rPr>
        <w:t>anebo</w:t>
      </w:r>
      <w:r>
        <w:rPr>
          <w:color w:val="231F20"/>
          <w:spacing w:val="-23"/>
        </w:rPr>
        <w:t xml:space="preserve"> </w:t>
      </w:r>
      <w:r>
        <w:rPr>
          <w:color w:val="231F20"/>
        </w:rPr>
        <w:t>neočekávané</w:t>
      </w:r>
      <w:r>
        <w:rPr>
          <w:color w:val="231F20"/>
          <w:spacing w:val="-24"/>
        </w:rPr>
        <w:t xml:space="preserve"> </w:t>
      </w:r>
      <w:r>
        <w:rPr>
          <w:color w:val="231F20"/>
        </w:rPr>
        <w:t>a</w:t>
      </w:r>
      <w:r>
        <w:rPr>
          <w:color w:val="231F20"/>
          <w:spacing w:val="-23"/>
        </w:rPr>
        <w:t xml:space="preserve"> </w:t>
      </w:r>
      <w:r>
        <w:rPr>
          <w:color w:val="231F20"/>
        </w:rPr>
        <w:t>nepřerušované</w:t>
      </w:r>
      <w:r>
        <w:rPr>
          <w:color w:val="231F20"/>
          <w:spacing w:val="-24"/>
        </w:rPr>
        <w:t xml:space="preserve"> </w:t>
      </w:r>
      <w:r>
        <w:rPr>
          <w:color w:val="231F20"/>
        </w:rPr>
        <w:t>působení</w:t>
      </w:r>
      <w:r>
        <w:rPr>
          <w:color w:val="231F20"/>
          <w:spacing w:val="-23"/>
        </w:rPr>
        <w:t xml:space="preserve"> </w:t>
      </w:r>
      <w:r>
        <w:rPr>
          <w:color w:val="231F20"/>
        </w:rPr>
        <w:t>vysokých</w:t>
      </w:r>
      <w:r>
        <w:rPr>
          <w:color w:val="231F20"/>
          <w:spacing w:val="-24"/>
        </w:rPr>
        <w:t xml:space="preserve"> </w:t>
      </w:r>
      <w:r>
        <w:rPr>
          <w:color w:val="231F20"/>
          <w:spacing w:val="-4"/>
        </w:rPr>
        <w:t xml:space="preserve">nebo </w:t>
      </w:r>
      <w:r>
        <w:rPr>
          <w:color w:val="231F20"/>
        </w:rPr>
        <w:t xml:space="preserve">nízkých vnějších teplot, plynů, par, záření a jedů (s </w:t>
      </w:r>
      <w:r>
        <w:rPr>
          <w:color w:val="231F20"/>
          <w:spacing w:val="2"/>
        </w:rPr>
        <w:t xml:space="preserve">výjimkou </w:t>
      </w:r>
      <w:r>
        <w:rPr>
          <w:color w:val="231F20"/>
        </w:rPr>
        <w:t>jedů mikrobiálních a</w:t>
      </w:r>
      <w:r>
        <w:rPr>
          <w:color w:val="231F20"/>
          <w:spacing w:val="-17"/>
        </w:rPr>
        <w:t xml:space="preserve"> </w:t>
      </w:r>
      <w:r>
        <w:rPr>
          <w:color w:val="231F20"/>
        </w:rPr>
        <w:t>látek</w:t>
      </w:r>
      <w:r>
        <w:rPr>
          <w:color w:val="231F20"/>
          <w:spacing w:val="-16"/>
        </w:rPr>
        <w:t xml:space="preserve"> </w:t>
      </w:r>
      <w:r>
        <w:rPr>
          <w:color w:val="231F20"/>
        </w:rPr>
        <w:t>imunotoxických),</w:t>
      </w:r>
      <w:r>
        <w:rPr>
          <w:color w:val="231F20"/>
          <w:spacing w:val="-16"/>
        </w:rPr>
        <w:t xml:space="preserve"> </w:t>
      </w:r>
      <w:r>
        <w:rPr>
          <w:color w:val="231F20"/>
        </w:rPr>
        <w:t>kterým</w:t>
      </w:r>
      <w:r>
        <w:rPr>
          <w:color w:val="231F20"/>
          <w:spacing w:val="-17"/>
        </w:rPr>
        <w:t xml:space="preserve"> </w:t>
      </w:r>
      <w:r>
        <w:rPr>
          <w:color w:val="231F20"/>
        </w:rPr>
        <w:t>bylo</w:t>
      </w:r>
      <w:r>
        <w:rPr>
          <w:color w:val="231F20"/>
          <w:spacing w:val="-16"/>
        </w:rPr>
        <w:t xml:space="preserve"> </w:t>
      </w:r>
      <w:r>
        <w:rPr>
          <w:color w:val="231F20"/>
        </w:rPr>
        <w:t>pojištěnému</w:t>
      </w:r>
      <w:r>
        <w:rPr>
          <w:color w:val="231F20"/>
          <w:spacing w:val="-16"/>
        </w:rPr>
        <w:t xml:space="preserve"> </w:t>
      </w:r>
      <w:r>
        <w:rPr>
          <w:color w:val="231F20"/>
        </w:rPr>
        <w:t>během</w:t>
      </w:r>
      <w:r>
        <w:rPr>
          <w:color w:val="231F20"/>
          <w:spacing w:val="-16"/>
        </w:rPr>
        <w:t xml:space="preserve"> </w:t>
      </w:r>
      <w:r>
        <w:rPr>
          <w:color w:val="231F20"/>
        </w:rPr>
        <w:t>trvání</w:t>
      </w:r>
      <w:r>
        <w:rPr>
          <w:color w:val="231F20"/>
          <w:spacing w:val="-17"/>
        </w:rPr>
        <w:t xml:space="preserve"> </w:t>
      </w:r>
      <w:r>
        <w:rPr>
          <w:color w:val="231F20"/>
        </w:rPr>
        <w:t>pojištění</w:t>
      </w:r>
      <w:r>
        <w:rPr>
          <w:color w:val="231F20"/>
          <w:spacing w:val="-16"/>
        </w:rPr>
        <w:t xml:space="preserve"> </w:t>
      </w:r>
      <w:r>
        <w:rPr>
          <w:color w:val="231F20"/>
          <w:spacing w:val="-3"/>
        </w:rPr>
        <w:t xml:space="preserve">způsobe- </w:t>
      </w:r>
      <w:r>
        <w:rPr>
          <w:color w:val="231F20"/>
        </w:rPr>
        <w:t>no tělesné poškození zdraví anebo</w:t>
      </w:r>
      <w:r>
        <w:rPr>
          <w:color w:val="231F20"/>
          <w:spacing w:val="-8"/>
        </w:rPr>
        <w:t xml:space="preserve"> </w:t>
      </w:r>
      <w:r>
        <w:rPr>
          <w:color w:val="231F20"/>
        </w:rPr>
        <w:t>smrt.</w:t>
      </w:r>
    </w:p>
    <w:p w14:paraId="252A1467" w14:textId="77777777" w:rsidR="00F65BCA" w:rsidRDefault="00216117">
      <w:pPr>
        <w:pStyle w:val="Zkladntext"/>
        <w:spacing w:line="278" w:lineRule="auto"/>
        <w:ind w:left="186" w:right="424"/>
        <w:jc w:val="both"/>
      </w:pPr>
      <w:r>
        <w:rPr>
          <w:color w:val="231F20"/>
        </w:rPr>
        <w:t xml:space="preserve">Poškození zdraví – pro účely úrazového pojištění se poškozením zdraví </w:t>
      </w:r>
      <w:r>
        <w:rPr>
          <w:color w:val="231F20"/>
          <w:spacing w:val="-4"/>
        </w:rPr>
        <w:t xml:space="preserve">rozumí </w:t>
      </w:r>
      <w:r>
        <w:rPr>
          <w:color w:val="231F20"/>
        </w:rPr>
        <w:t>tělesné</w:t>
      </w:r>
      <w:r>
        <w:rPr>
          <w:color w:val="231F20"/>
          <w:spacing w:val="-22"/>
        </w:rPr>
        <w:t xml:space="preserve"> </w:t>
      </w:r>
      <w:r>
        <w:rPr>
          <w:color w:val="231F20"/>
        </w:rPr>
        <w:t>poškození</w:t>
      </w:r>
      <w:r>
        <w:rPr>
          <w:color w:val="231F20"/>
          <w:spacing w:val="-21"/>
        </w:rPr>
        <w:t xml:space="preserve"> </w:t>
      </w:r>
      <w:r>
        <w:rPr>
          <w:color w:val="231F20"/>
        </w:rPr>
        <w:t>pojištěného</w:t>
      </w:r>
      <w:r>
        <w:rPr>
          <w:color w:val="231F20"/>
          <w:spacing w:val="-21"/>
        </w:rPr>
        <w:t xml:space="preserve"> </w:t>
      </w:r>
      <w:r>
        <w:rPr>
          <w:color w:val="231F20"/>
        </w:rPr>
        <w:t>následkem</w:t>
      </w:r>
      <w:r>
        <w:rPr>
          <w:color w:val="231F20"/>
          <w:spacing w:val="-21"/>
        </w:rPr>
        <w:t xml:space="preserve"> </w:t>
      </w:r>
      <w:r>
        <w:rPr>
          <w:color w:val="231F20"/>
        </w:rPr>
        <w:t>úrazu.</w:t>
      </w:r>
      <w:r>
        <w:rPr>
          <w:color w:val="231F20"/>
          <w:spacing w:val="-21"/>
        </w:rPr>
        <w:t xml:space="preserve"> </w:t>
      </w:r>
      <w:r>
        <w:rPr>
          <w:color w:val="231F20"/>
          <w:spacing w:val="-3"/>
        </w:rPr>
        <w:t>Tělesným</w:t>
      </w:r>
      <w:r>
        <w:rPr>
          <w:color w:val="231F20"/>
          <w:spacing w:val="-22"/>
        </w:rPr>
        <w:t xml:space="preserve"> </w:t>
      </w:r>
      <w:r>
        <w:rPr>
          <w:color w:val="231F20"/>
        </w:rPr>
        <w:t>poškozením</w:t>
      </w:r>
      <w:r>
        <w:rPr>
          <w:color w:val="231F20"/>
          <w:spacing w:val="-21"/>
        </w:rPr>
        <w:t xml:space="preserve"> </w:t>
      </w:r>
      <w:r>
        <w:rPr>
          <w:color w:val="231F20"/>
        </w:rPr>
        <w:t>se</w:t>
      </w:r>
      <w:r>
        <w:rPr>
          <w:color w:val="231F20"/>
          <w:spacing w:val="-21"/>
        </w:rPr>
        <w:t xml:space="preserve"> </w:t>
      </w:r>
      <w:r>
        <w:rPr>
          <w:color w:val="231F20"/>
          <w:spacing w:val="-4"/>
        </w:rPr>
        <w:t xml:space="preserve">rozumí </w:t>
      </w:r>
      <w:r>
        <w:rPr>
          <w:color w:val="231F20"/>
        </w:rPr>
        <w:t xml:space="preserve">poškození nebo anatomická či funkční ztráta části těla, končetiny, orgánu </w:t>
      </w:r>
      <w:r>
        <w:rPr>
          <w:color w:val="231F20"/>
          <w:spacing w:val="-4"/>
        </w:rPr>
        <w:t xml:space="preserve">nebo </w:t>
      </w:r>
      <w:r>
        <w:rPr>
          <w:color w:val="231F20"/>
        </w:rPr>
        <w:t>jejich</w:t>
      </w:r>
      <w:r>
        <w:rPr>
          <w:color w:val="231F20"/>
          <w:spacing w:val="-8"/>
        </w:rPr>
        <w:t xml:space="preserve"> </w:t>
      </w:r>
      <w:r>
        <w:rPr>
          <w:color w:val="231F20"/>
        </w:rPr>
        <w:t>částí</w:t>
      </w:r>
      <w:r>
        <w:rPr>
          <w:color w:val="231F20"/>
          <w:spacing w:val="-8"/>
        </w:rPr>
        <w:t xml:space="preserve"> </w:t>
      </w:r>
      <w:r>
        <w:rPr>
          <w:color w:val="231F20"/>
        </w:rPr>
        <w:t>následkem</w:t>
      </w:r>
      <w:r>
        <w:rPr>
          <w:color w:val="231F20"/>
          <w:spacing w:val="-7"/>
        </w:rPr>
        <w:t xml:space="preserve"> </w:t>
      </w:r>
      <w:r>
        <w:rPr>
          <w:color w:val="231F20"/>
        </w:rPr>
        <w:t>úrazu,</w:t>
      </w:r>
      <w:r>
        <w:rPr>
          <w:color w:val="231F20"/>
          <w:spacing w:val="-8"/>
        </w:rPr>
        <w:t xml:space="preserve"> </w:t>
      </w:r>
      <w:r>
        <w:rPr>
          <w:color w:val="231F20"/>
        </w:rPr>
        <w:t>které</w:t>
      </w:r>
      <w:r>
        <w:rPr>
          <w:color w:val="231F20"/>
          <w:spacing w:val="-7"/>
        </w:rPr>
        <w:t xml:space="preserve"> </w:t>
      </w:r>
      <w:r>
        <w:rPr>
          <w:color w:val="231F20"/>
        </w:rPr>
        <w:t>je</w:t>
      </w:r>
      <w:r>
        <w:rPr>
          <w:color w:val="231F20"/>
          <w:spacing w:val="-8"/>
        </w:rPr>
        <w:t xml:space="preserve"> </w:t>
      </w:r>
      <w:r>
        <w:rPr>
          <w:color w:val="231F20"/>
        </w:rPr>
        <w:t>uvedeno</w:t>
      </w:r>
      <w:r>
        <w:rPr>
          <w:color w:val="231F20"/>
          <w:spacing w:val="-8"/>
        </w:rPr>
        <w:t xml:space="preserve"> </w:t>
      </w:r>
      <w:r>
        <w:rPr>
          <w:color w:val="231F20"/>
        </w:rPr>
        <w:t>v</w:t>
      </w:r>
      <w:r>
        <w:rPr>
          <w:color w:val="231F20"/>
          <w:spacing w:val="-7"/>
        </w:rPr>
        <w:t xml:space="preserve"> </w:t>
      </w:r>
      <w:r>
        <w:rPr>
          <w:color w:val="231F20"/>
        </w:rPr>
        <w:t>Oceňovacích</w:t>
      </w:r>
      <w:r>
        <w:rPr>
          <w:color w:val="231F20"/>
          <w:spacing w:val="-8"/>
        </w:rPr>
        <w:t xml:space="preserve"> </w:t>
      </w:r>
      <w:r>
        <w:rPr>
          <w:color w:val="231F20"/>
        </w:rPr>
        <w:t>tabulkách.</w:t>
      </w:r>
    </w:p>
    <w:p w14:paraId="5A5D6731" w14:textId="77777777" w:rsidR="00F65BCA" w:rsidRDefault="00216117">
      <w:pPr>
        <w:pStyle w:val="Zkladntext"/>
        <w:spacing w:line="278" w:lineRule="auto"/>
        <w:ind w:left="186" w:right="424"/>
        <w:jc w:val="both"/>
      </w:pPr>
      <w:r>
        <w:rPr>
          <w:color w:val="231F20"/>
          <w:spacing w:val="-3"/>
        </w:rPr>
        <w:t>Trvalé</w:t>
      </w:r>
      <w:r>
        <w:rPr>
          <w:color w:val="231F20"/>
          <w:spacing w:val="-4"/>
        </w:rPr>
        <w:t xml:space="preserve"> </w:t>
      </w:r>
      <w:r>
        <w:rPr>
          <w:color w:val="231F20"/>
        </w:rPr>
        <w:t>následky</w:t>
      </w:r>
      <w:r>
        <w:rPr>
          <w:color w:val="231F20"/>
          <w:spacing w:val="-3"/>
        </w:rPr>
        <w:t xml:space="preserve"> </w:t>
      </w:r>
      <w:r>
        <w:rPr>
          <w:color w:val="231F20"/>
        </w:rPr>
        <w:t>–</w:t>
      </w:r>
      <w:r>
        <w:rPr>
          <w:color w:val="231F20"/>
          <w:spacing w:val="-4"/>
        </w:rPr>
        <w:t xml:space="preserve"> </w:t>
      </w:r>
      <w:r>
        <w:rPr>
          <w:color w:val="231F20"/>
        </w:rPr>
        <w:t>trvalé</w:t>
      </w:r>
      <w:r>
        <w:rPr>
          <w:color w:val="231F20"/>
          <w:spacing w:val="-3"/>
        </w:rPr>
        <w:t xml:space="preserve"> </w:t>
      </w:r>
      <w:r>
        <w:rPr>
          <w:color w:val="231F20"/>
        </w:rPr>
        <w:t>omezení</w:t>
      </w:r>
      <w:r>
        <w:rPr>
          <w:color w:val="231F20"/>
          <w:spacing w:val="-4"/>
        </w:rPr>
        <w:t xml:space="preserve"> </w:t>
      </w:r>
      <w:r>
        <w:rPr>
          <w:color w:val="231F20"/>
        </w:rPr>
        <w:t>funkce</w:t>
      </w:r>
      <w:r>
        <w:rPr>
          <w:color w:val="231F20"/>
          <w:spacing w:val="-3"/>
        </w:rPr>
        <w:t xml:space="preserve"> </w:t>
      </w:r>
      <w:r>
        <w:rPr>
          <w:color w:val="231F20"/>
        </w:rPr>
        <w:t>nebo</w:t>
      </w:r>
      <w:r>
        <w:rPr>
          <w:color w:val="231F20"/>
          <w:spacing w:val="-4"/>
        </w:rPr>
        <w:t xml:space="preserve"> </w:t>
      </w:r>
      <w:r>
        <w:rPr>
          <w:color w:val="231F20"/>
        </w:rPr>
        <w:t>poškození</w:t>
      </w:r>
      <w:r>
        <w:rPr>
          <w:color w:val="231F20"/>
          <w:spacing w:val="-3"/>
        </w:rPr>
        <w:t xml:space="preserve"> </w:t>
      </w:r>
      <w:r>
        <w:rPr>
          <w:color w:val="231F20"/>
        </w:rPr>
        <w:t>končetin,</w:t>
      </w:r>
      <w:r>
        <w:rPr>
          <w:color w:val="231F20"/>
          <w:spacing w:val="-4"/>
        </w:rPr>
        <w:t xml:space="preserve"> </w:t>
      </w:r>
      <w:r>
        <w:rPr>
          <w:color w:val="231F20"/>
        </w:rPr>
        <w:t>tělesných</w:t>
      </w:r>
      <w:r>
        <w:rPr>
          <w:color w:val="231F20"/>
          <w:spacing w:val="-3"/>
        </w:rPr>
        <w:t xml:space="preserve"> or- </w:t>
      </w:r>
      <w:r>
        <w:rPr>
          <w:color w:val="231F20"/>
        </w:rPr>
        <w:t>gánů, nebo jejich</w:t>
      </w:r>
      <w:r>
        <w:rPr>
          <w:color w:val="231F20"/>
          <w:spacing w:val="-2"/>
        </w:rPr>
        <w:t xml:space="preserve"> </w:t>
      </w:r>
      <w:r>
        <w:rPr>
          <w:color w:val="231F20"/>
        </w:rPr>
        <w:t>ztráta.</w:t>
      </w:r>
    </w:p>
    <w:p w14:paraId="4C4CB058" w14:textId="77777777" w:rsidR="00F65BCA" w:rsidRDefault="00F65BCA">
      <w:pPr>
        <w:spacing w:line="278" w:lineRule="auto"/>
        <w:jc w:val="both"/>
        <w:sectPr w:rsidR="00F65BCA">
          <w:pgSz w:w="11910" w:h="16840"/>
          <w:pgMar w:top="520" w:right="140" w:bottom="0" w:left="140" w:header="708" w:footer="708" w:gutter="0"/>
          <w:cols w:num="2" w:space="708" w:equalWidth="0">
            <w:col w:w="5700" w:space="40"/>
            <w:col w:w="5890"/>
          </w:cols>
        </w:sectPr>
      </w:pPr>
    </w:p>
    <w:p w14:paraId="35160F3D" w14:textId="77777777" w:rsidR="00F65BCA" w:rsidRDefault="00000000">
      <w:pPr>
        <w:pStyle w:val="Zkladntext"/>
        <w:spacing w:before="75" w:line="278" w:lineRule="auto"/>
        <w:ind w:left="426"/>
        <w:jc w:val="both"/>
      </w:pPr>
      <w:r>
        <w:lastRenderedPageBreak/>
        <w:pict w14:anchorId="0553D334">
          <v:group id="_x0000_s2205" style="position:absolute;left:0;text-align:left;margin-left:0;margin-top:807.85pt;width:595.3pt;height:34.05pt;z-index:251916288;mso-position-horizontal-relative:page;mso-position-vertical-relative:page" coordorigin=",16157" coordsize="11906,681">
            <v:rect id="_x0000_s2208" style="position:absolute;top:16157;width:11906;height:681" fillcolor="#dcddde" stroked="f"/>
            <v:shape id="_x0000_s2207" type="#_x0000_t202" style="position:absolute;left:793;top:16420;width:5475;height:234" filled="f" stroked="f">
              <v:textbox inset="0,0,0,0">
                <w:txbxContent>
                  <w:p w14:paraId="7088F878" w14:textId="77777777" w:rsidR="00F65BCA" w:rsidRDefault="00216117">
                    <w:pPr>
                      <w:spacing w:before="3"/>
                      <w:rPr>
                        <w:sz w:val="16"/>
                      </w:rPr>
                    </w:pPr>
                    <w:r>
                      <w:rPr>
                        <w:color w:val="231F20"/>
                        <w:sz w:val="16"/>
                      </w:rPr>
                      <w:t xml:space="preserve">32 </w:t>
                    </w:r>
                    <w:r>
                      <w:rPr>
                        <w:color w:val="6D6E71"/>
                        <w:sz w:val="20"/>
                      </w:rPr>
                      <w:t xml:space="preserve">| </w:t>
                    </w:r>
                    <w:r>
                      <w:rPr>
                        <w:color w:val="231F20"/>
                        <w:sz w:val="16"/>
                      </w:rPr>
                      <w:t>Všeobecné pojistné podmínky pro pojištění vozidel VPPPMV-F-5/2025</w:t>
                    </w:r>
                  </w:p>
                </w:txbxContent>
              </v:textbox>
            </v:shape>
            <v:shape id="_x0000_s2206" type="#_x0000_t202" style="position:absolute;left:9491;top:16477;width:1414;height:164" filled="f" stroked="f">
              <v:textbox inset="0,0,0,0">
                <w:txbxContent>
                  <w:p w14:paraId="0CA580A9" w14:textId="77777777" w:rsidR="00F65BCA" w:rsidRDefault="00216117">
                    <w:pPr>
                      <w:spacing w:before="2"/>
                      <w:rPr>
                        <w:sz w:val="14"/>
                      </w:rPr>
                    </w:pPr>
                    <w:r>
                      <w:rPr>
                        <w:color w:val="231F20"/>
                        <w:sz w:val="14"/>
                      </w:rPr>
                      <w:t>6.20.012 05.2025 v04</w:t>
                    </w:r>
                  </w:p>
                </w:txbxContent>
              </v:textbox>
            </v:shape>
            <w10:wrap anchorx="page" anchory="page"/>
          </v:group>
        </w:pict>
      </w:r>
      <w:r w:rsidR="00216117">
        <w:rPr>
          <w:color w:val="231F20"/>
        </w:rPr>
        <w:t>Oceňovací</w:t>
      </w:r>
      <w:r w:rsidR="00216117">
        <w:rPr>
          <w:color w:val="231F20"/>
          <w:spacing w:val="-14"/>
        </w:rPr>
        <w:t xml:space="preserve"> </w:t>
      </w:r>
      <w:r w:rsidR="00216117">
        <w:rPr>
          <w:color w:val="231F20"/>
        </w:rPr>
        <w:t>tabulky</w:t>
      </w:r>
      <w:r w:rsidR="00216117">
        <w:rPr>
          <w:color w:val="231F20"/>
          <w:spacing w:val="-13"/>
        </w:rPr>
        <w:t xml:space="preserve"> </w:t>
      </w:r>
      <w:r w:rsidR="00216117">
        <w:rPr>
          <w:color w:val="231F20"/>
        </w:rPr>
        <w:t>–</w:t>
      </w:r>
      <w:r w:rsidR="00216117">
        <w:rPr>
          <w:color w:val="231F20"/>
          <w:spacing w:val="-13"/>
        </w:rPr>
        <w:t xml:space="preserve"> </w:t>
      </w:r>
      <w:r w:rsidR="00216117">
        <w:rPr>
          <w:color w:val="231F20"/>
        </w:rPr>
        <w:t>tabulky,</w:t>
      </w:r>
      <w:r w:rsidR="00216117">
        <w:rPr>
          <w:color w:val="231F20"/>
          <w:spacing w:val="-13"/>
        </w:rPr>
        <w:t xml:space="preserve"> </w:t>
      </w:r>
      <w:r w:rsidR="00216117">
        <w:rPr>
          <w:color w:val="231F20"/>
        </w:rPr>
        <w:t>platné</w:t>
      </w:r>
      <w:r w:rsidR="00216117">
        <w:rPr>
          <w:color w:val="231F20"/>
          <w:spacing w:val="-14"/>
        </w:rPr>
        <w:t xml:space="preserve"> </w:t>
      </w:r>
      <w:r w:rsidR="00216117">
        <w:rPr>
          <w:color w:val="231F20"/>
        </w:rPr>
        <w:t>v</w:t>
      </w:r>
      <w:r w:rsidR="00216117">
        <w:rPr>
          <w:color w:val="231F20"/>
          <w:spacing w:val="-13"/>
        </w:rPr>
        <w:t xml:space="preserve"> </w:t>
      </w:r>
      <w:r w:rsidR="00216117">
        <w:rPr>
          <w:color w:val="231F20"/>
        </w:rPr>
        <w:t>době</w:t>
      </w:r>
      <w:r w:rsidR="00216117">
        <w:rPr>
          <w:color w:val="231F20"/>
          <w:spacing w:val="-13"/>
        </w:rPr>
        <w:t xml:space="preserve"> </w:t>
      </w:r>
      <w:r w:rsidR="00216117">
        <w:rPr>
          <w:color w:val="231F20"/>
        </w:rPr>
        <w:t>vzniku</w:t>
      </w:r>
      <w:r w:rsidR="00216117">
        <w:rPr>
          <w:color w:val="231F20"/>
          <w:spacing w:val="-13"/>
        </w:rPr>
        <w:t xml:space="preserve"> </w:t>
      </w:r>
      <w:r w:rsidR="00216117">
        <w:rPr>
          <w:color w:val="231F20"/>
        </w:rPr>
        <w:t>pojistné</w:t>
      </w:r>
      <w:r w:rsidR="00216117">
        <w:rPr>
          <w:color w:val="231F20"/>
          <w:spacing w:val="-14"/>
        </w:rPr>
        <w:t xml:space="preserve"> </w:t>
      </w:r>
      <w:r w:rsidR="00216117">
        <w:rPr>
          <w:color w:val="231F20"/>
        </w:rPr>
        <w:t>události</w:t>
      </w:r>
      <w:r w:rsidR="00216117">
        <w:rPr>
          <w:color w:val="231F20"/>
          <w:spacing w:val="-13"/>
        </w:rPr>
        <w:t xml:space="preserve"> </w:t>
      </w:r>
      <w:r w:rsidR="00216117">
        <w:rPr>
          <w:color w:val="231F20"/>
        </w:rPr>
        <w:t>(úrazu),</w:t>
      </w:r>
      <w:r w:rsidR="00216117">
        <w:rPr>
          <w:color w:val="231F20"/>
          <w:spacing w:val="-13"/>
        </w:rPr>
        <w:t xml:space="preserve"> </w:t>
      </w:r>
      <w:r w:rsidR="00216117">
        <w:rPr>
          <w:color w:val="231F20"/>
        </w:rPr>
        <w:t>podle kterých</w:t>
      </w:r>
      <w:r w:rsidR="00216117">
        <w:rPr>
          <w:color w:val="231F20"/>
          <w:spacing w:val="-10"/>
        </w:rPr>
        <w:t xml:space="preserve"> </w:t>
      </w:r>
      <w:r w:rsidR="00216117">
        <w:rPr>
          <w:color w:val="231F20"/>
        </w:rPr>
        <w:t>se</w:t>
      </w:r>
      <w:r w:rsidR="00216117">
        <w:rPr>
          <w:color w:val="231F20"/>
          <w:spacing w:val="-10"/>
        </w:rPr>
        <w:t xml:space="preserve"> </w:t>
      </w:r>
      <w:r w:rsidR="00216117">
        <w:rPr>
          <w:color w:val="231F20"/>
        </w:rPr>
        <w:t>určuje</w:t>
      </w:r>
      <w:r w:rsidR="00216117">
        <w:rPr>
          <w:color w:val="231F20"/>
          <w:spacing w:val="-10"/>
        </w:rPr>
        <w:t xml:space="preserve"> </w:t>
      </w:r>
      <w:r w:rsidR="00216117">
        <w:rPr>
          <w:color w:val="231F20"/>
        </w:rPr>
        <w:t>nárok</w:t>
      </w:r>
      <w:r w:rsidR="00216117">
        <w:rPr>
          <w:color w:val="231F20"/>
          <w:spacing w:val="-10"/>
        </w:rPr>
        <w:t xml:space="preserve"> </w:t>
      </w:r>
      <w:r w:rsidR="00216117">
        <w:rPr>
          <w:color w:val="231F20"/>
        </w:rPr>
        <w:t>na</w:t>
      </w:r>
      <w:r w:rsidR="00216117">
        <w:rPr>
          <w:color w:val="231F20"/>
          <w:spacing w:val="-10"/>
        </w:rPr>
        <w:t xml:space="preserve"> </w:t>
      </w:r>
      <w:r w:rsidR="00216117">
        <w:rPr>
          <w:color w:val="231F20"/>
        </w:rPr>
        <w:t>pojistné</w:t>
      </w:r>
      <w:r w:rsidR="00216117">
        <w:rPr>
          <w:color w:val="231F20"/>
          <w:spacing w:val="-10"/>
        </w:rPr>
        <w:t xml:space="preserve"> </w:t>
      </w:r>
      <w:r w:rsidR="00216117">
        <w:rPr>
          <w:color w:val="231F20"/>
        </w:rPr>
        <w:t>plnění</w:t>
      </w:r>
      <w:r w:rsidR="00216117">
        <w:rPr>
          <w:color w:val="231F20"/>
          <w:spacing w:val="-10"/>
        </w:rPr>
        <w:t xml:space="preserve"> </w:t>
      </w:r>
      <w:r w:rsidR="00216117">
        <w:rPr>
          <w:color w:val="231F20"/>
        </w:rPr>
        <w:t>a</w:t>
      </w:r>
      <w:r w:rsidR="00216117">
        <w:rPr>
          <w:color w:val="231F20"/>
          <w:spacing w:val="-10"/>
        </w:rPr>
        <w:t xml:space="preserve"> </w:t>
      </w:r>
      <w:r w:rsidR="00216117">
        <w:rPr>
          <w:color w:val="231F20"/>
        </w:rPr>
        <w:t>jeho</w:t>
      </w:r>
      <w:r w:rsidR="00216117">
        <w:rPr>
          <w:color w:val="231F20"/>
          <w:spacing w:val="-10"/>
        </w:rPr>
        <w:t xml:space="preserve"> </w:t>
      </w:r>
      <w:r w:rsidR="00216117">
        <w:rPr>
          <w:color w:val="231F20"/>
        </w:rPr>
        <w:t>výše</w:t>
      </w:r>
      <w:r w:rsidR="00216117">
        <w:rPr>
          <w:color w:val="231F20"/>
          <w:spacing w:val="-10"/>
        </w:rPr>
        <w:t xml:space="preserve"> </w:t>
      </w:r>
      <w:r w:rsidR="00216117">
        <w:rPr>
          <w:color w:val="231F20"/>
        </w:rPr>
        <w:t>v</w:t>
      </w:r>
      <w:r w:rsidR="00216117">
        <w:rPr>
          <w:color w:val="231F20"/>
          <w:spacing w:val="-10"/>
        </w:rPr>
        <w:t xml:space="preserve"> </w:t>
      </w:r>
      <w:r w:rsidR="00216117">
        <w:rPr>
          <w:color w:val="231F20"/>
        </w:rPr>
        <w:t>úrazovém</w:t>
      </w:r>
      <w:r w:rsidR="00216117">
        <w:rPr>
          <w:color w:val="231F20"/>
          <w:spacing w:val="-10"/>
        </w:rPr>
        <w:t xml:space="preserve"> </w:t>
      </w:r>
      <w:r w:rsidR="00216117">
        <w:rPr>
          <w:color w:val="231F20"/>
        </w:rPr>
        <w:t>pojištění.</w:t>
      </w:r>
      <w:r w:rsidR="00216117">
        <w:rPr>
          <w:color w:val="231F20"/>
          <w:spacing w:val="-10"/>
        </w:rPr>
        <w:t xml:space="preserve"> </w:t>
      </w:r>
      <w:r w:rsidR="00216117">
        <w:rPr>
          <w:color w:val="231F20"/>
        </w:rPr>
        <w:t>Oce- ňovací</w:t>
      </w:r>
      <w:r w:rsidR="00216117">
        <w:rPr>
          <w:color w:val="231F20"/>
          <w:spacing w:val="-18"/>
        </w:rPr>
        <w:t xml:space="preserve"> </w:t>
      </w:r>
      <w:r w:rsidR="00216117">
        <w:rPr>
          <w:color w:val="231F20"/>
        </w:rPr>
        <w:t>tabulky</w:t>
      </w:r>
      <w:r w:rsidR="00216117">
        <w:rPr>
          <w:color w:val="231F20"/>
          <w:spacing w:val="-17"/>
        </w:rPr>
        <w:t xml:space="preserve"> </w:t>
      </w:r>
      <w:r w:rsidR="00216117">
        <w:rPr>
          <w:color w:val="231F20"/>
        </w:rPr>
        <w:t>jsou</w:t>
      </w:r>
      <w:r w:rsidR="00216117">
        <w:rPr>
          <w:color w:val="231F20"/>
          <w:spacing w:val="-17"/>
        </w:rPr>
        <w:t xml:space="preserve"> </w:t>
      </w:r>
      <w:r w:rsidR="00216117">
        <w:rPr>
          <w:color w:val="231F20"/>
        </w:rPr>
        <w:t>pojistníkovi</w:t>
      </w:r>
      <w:r w:rsidR="00216117">
        <w:rPr>
          <w:color w:val="231F20"/>
          <w:spacing w:val="-17"/>
        </w:rPr>
        <w:t xml:space="preserve"> </w:t>
      </w:r>
      <w:r w:rsidR="00216117">
        <w:rPr>
          <w:color w:val="231F20"/>
        </w:rPr>
        <w:t>předány</w:t>
      </w:r>
      <w:r w:rsidR="00216117">
        <w:rPr>
          <w:color w:val="231F20"/>
          <w:spacing w:val="-17"/>
        </w:rPr>
        <w:t xml:space="preserve"> </w:t>
      </w:r>
      <w:r w:rsidR="00216117">
        <w:rPr>
          <w:color w:val="231F20"/>
        </w:rPr>
        <w:t>při</w:t>
      </w:r>
      <w:r w:rsidR="00216117">
        <w:rPr>
          <w:color w:val="231F20"/>
          <w:spacing w:val="-18"/>
        </w:rPr>
        <w:t xml:space="preserve"> </w:t>
      </w:r>
      <w:r w:rsidR="00216117">
        <w:rPr>
          <w:color w:val="231F20"/>
        </w:rPr>
        <w:t>uzavření</w:t>
      </w:r>
      <w:r w:rsidR="00216117">
        <w:rPr>
          <w:color w:val="231F20"/>
          <w:spacing w:val="-17"/>
        </w:rPr>
        <w:t xml:space="preserve"> </w:t>
      </w:r>
      <w:r w:rsidR="00216117">
        <w:rPr>
          <w:color w:val="231F20"/>
        </w:rPr>
        <w:t>pojistné</w:t>
      </w:r>
      <w:r w:rsidR="00216117">
        <w:rPr>
          <w:color w:val="231F20"/>
          <w:spacing w:val="-17"/>
        </w:rPr>
        <w:t xml:space="preserve"> </w:t>
      </w:r>
      <w:r w:rsidR="00216117">
        <w:rPr>
          <w:color w:val="231F20"/>
        </w:rPr>
        <w:t>smlouvy</w:t>
      </w:r>
      <w:r w:rsidR="00216117">
        <w:rPr>
          <w:color w:val="231F20"/>
          <w:spacing w:val="-17"/>
        </w:rPr>
        <w:t xml:space="preserve"> </w:t>
      </w:r>
      <w:r w:rsidR="00216117">
        <w:rPr>
          <w:color w:val="231F20"/>
        </w:rPr>
        <w:t>jako</w:t>
      </w:r>
      <w:r w:rsidR="00216117">
        <w:rPr>
          <w:color w:val="231F20"/>
          <w:spacing w:val="-17"/>
        </w:rPr>
        <w:t xml:space="preserve"> </w:t>
      </w:r>
      <w:r w:rsidR="00216117">
        <w:rPr>
          <w:color w:val="231F20"/>
        </w:rPr>
        <w:t>příloha těchto</w:t>
      </w:r>
      <w:r w:rsidR="00216117">
        <w:rPr>
          <w:color w:val="231F20"/>
          <w:spacing w:val="-14"/>
        </w:rPr>
        <w:t xml:space="preserve"> </w:t>
      </w:r>
      <w:r w:rsidR="00216117">
        <w:rPr>
          <w:color w:val="231F20"/>
        </w:rPr>
        <w:t>pojistných</w:t>
      </w:r>
      <w:r w:rsidR="00216117">
        <w:rPr>
          <w:color w:val="231F20"/>
          <w:spacing w:val="-14"/>
        </w:rPr>
        <w:t xml:space="preserve"> </w:t>
      </w:r>
      <w:r w:rsidR="00216117">
        <w:rPr>
          <w:color w:val="231F20"/>
        </w:rPr>
        <w:t>podmínek</w:t>
      </w:r>
      <w:r w:rsidR="00216117">
        <w:rPr>
          <w:color w:val="231F20"/>
          <w:spacing w:val="-13"/>
        </w:rPr>
        <w:t xml:space="preserve"> </w:t>
      </w:r>
      <w:r w:rsidR="00216117">
        <w:rPr>
          <w:color w:val="231F20"/>
        </w:rPr>
        <w:t>a</w:t>
      </w:r>
      <w:r w:rsidR="00216117">
        <w:rPr>
          <w:color w:val="231F20"/>
          <w:spacing w:val="-14"/>
        </w:rPr>
        <w:t xml:space="preserve"> </w:t>
      </w:r>
      <w:r w:rsidR="00216117">
        <w:rPr>
          <w:color w:val="231F20"/>
        </w:rPr>
        <w:t>dále</w:t>
      </w:r>
      <w:r w:rsidR="00216117">
        <w:rPr>
          <w:color w:val="231F20"/>
          <w:spacing w:val="-14"/>
        </w:rPr>
        <w:t xml:space="preserve"> </w:t>
      </w:r>
      <w:r w:rsidR="00216117">
        <w:rPr>
          <w:color w:val="231F20"/>
        </w:rPr>
        <w:t>jsou</w:t>
      </w:r>
      <w:r w:rsidR="00216117">
        <w:rPr>
          <w:color w:val="231F20"/>
          <w:spacing w:val="-13"/>
        </w:rPr>
        <w:t xml:space="preserve"> </w:t>
      </w:r>
      <w:r w:rsidR="00216117">
        <w:rPr>
          <w:color w:val="231F20"/>
        </w:rPr>
        <w:t>k</w:t>
      </w:r>
      <w:r w:rsidR="00216117">
        <w:rPr>
          <w:color w:val="231F20"/>
          <w:spacing w:val="-14"/>
        </w:rPr>
        <w:t xml:space="preserve"> </w:t>
      </w:r>
      <w:r w:rsidR="00216117">
        <w:rPr>
          <w:color w:val="231F20"/>
        </w:rPr>
        <w:t>dispozici</w:t>
      </w:r>
      <w:r w:rsidR="00216117">
        <w:rPr>
          <w:color w:val="231F20"/>
          <w:spacing w:val="-13"/>
        </w:rPr>
        <w:t xml:space="preserve"> </w:t>
      </w:r>
      <w:r w:rsidR="00216117">
        <w:rPr>
          <w:color w:val="231F20"/>
        </w:rPr>
        <w:t>na</w:t>
      </w:r>
      <w:r w:rsidR="00216117">
        <w:rPr>
          <w:color w:val="231F20"/>
          <w:spacing w:val="-14"/>
        </w:rPr>
        <w:t xml:space="preserve"> </w:t>
      </w:r>
      <w:r w:rsidR="00216117">
        <w:rPr>
          <w:color w:val="231F20"/>
        </w:rPr>
        <w:t>internetových</w:t>
      </w:r>
      <w:r w:rsidR="00216117">
        <w:rPr>
          <w:color w:val="231F20"/>
          <w:spacing w:val="-14"/>
        </w:rPr>
        <w:t xml:space="preserve"> </w:t>
      </w:r>
      <w:r w:rsidR="00216117">
        <w:rPr>
          <w:color w:val="231F20"/>
        </w:rPr>
        <w:t>stránkách</w:t>
      </w:r>
      <w:r w:rsidR="00216117">
        <w:rPr>
          <w:color w:val="231F20"/>
          <w:spacing w:val="-13"/>
        </w:rPr>
        <w:t xml:space="preserve"> </w:t>
      </w:r>
      <w:r w:rsidR="00216117">
        <w:rPr>
          <w:color w:val="231F20"/>
          <w:spacing w:val="-6"/>
        </w:rPr>
        <w:t xml:space="preserve">Po- </w:t>
      </w:r>
      <w:r w:rsidR="00216117">
        <w:rPr>
          <w:color w:val="231F20"/>
        </w:rPr>
        <w:t>jišťovny.</w:t>
      </w:r>
      <w:r w:rsidR="00216117">
        <w:rPr>
          <w:color w:val="231F20"/>
          <w:spacing w:val="-6"/>
        </w:rPr>
        <w:t xml:space="preserve"> </w:t>
      </w:r>
      <w:r w:rsidR="00216117">
        <w:rPr>
          <w:color w:val="231F20"/>
        </w:rPr>
        <w:t>Oceňovací</w:t>
      </w:r>
      <w:r w:rsidR="00216117">
        <w:rPr>
          <w:color w:val="231F20"/>
          <w:spacing w:val="-6"/>
        </w:rPr>
        <w:t xml:space="preserve"> </w:t>
      </w:r>
      <w:r w:rsidR="00216117">
        <w:rPr>
          <w:color w:val="231F20"/>
        </w:rPr>
        <w:t>tabulky</w:t>
      </w:r>
      <w:r w:rsidR="00216117">
        <w:rPr>
          <w:color w:val="231F20"/>
          <w:spacing w:val="-6"/>
        </w:rPr>
        <w:t xml:space="preserve"> </w:t>
      </w:r>
      <w:r w:rsidR="00216117">
        <w:rPr>
          <w:color w:val="231F20"/>
        </w:rPr>
        <w:t>má</w:t>
      </w:r>
      <w:r w:rsidR="00216117">
        <w:rPr>
          <w:color w:val="231F20"/>
          <w:spacing w:val="-6"/>
        </w:rPr>
        <w:t xml:space="preserve"> </w:t>
      </w:r>
      <w:r w:rsidR="00216117">
        <w:rPr>
          <w:color w:val="231F20"/>
        </w:rPr>
        <w:t>Pojišťovna</w:t>
      </w:r>
      <w:r w:rsidR="00216117">
        <w:rPr>
          <w:color w:val="231F20"/>
          <w:spacing w:val="-6"/>
        </w:rPr>
        <w:t xml:space="preserve"> </w:t>
      </w:r>
      <w:r w:rsidR="00216117">
        <w:rPr>
          <w:color w:val="231F20"/>
        </w:rPr>
        <w:t>právo</w:t>
      </w:r>
      <w:r w:rsidR="00216117">
        <w:rPr>
          <w:color w:val="231F20"/>
          <w:spacing w:val="-6"/>
        </w:rPr>
        <w:t xml:space="preserve"> </w:t>
      </w:r>
      <w:r w:rsidR="00216117">
        <w:rPr>
          <w:color w:val="231F20"/>
        </w:rPr>
        <w:t>doplňovat</w:t>
      </w:r>
      <w:r w:rsidR="00216117">
        <w:rPr>
          <w:color w:val="231F20"/>
          <w:spacing w:val="-6"/>
        </w:rPr>
        <w:t xml:space="preserve"> </w:t>
      </w:r>
      <w:r w:rsidR="00216117">
        <w:rPr>
          <w:color w:val="231F20"/>
        </w:rPr>
        <w:t>a</w:t>
      </w:r>
      <w:r w:rsidR="00216117">
        <w:rPr>
          <w:color w:val="231F20"/>
          <w:spacing w:val="-6"/>
        </w:rPr>
        <w:t xml:space="preserve"> </w:t>
      </w:r>
      <w:r w:rsidR="00216117">
        <w:rPr>
          <w:color w:val="231F20"/>
        </w:rPr>
        <w:t>měnit.</w:t>
      </w:r>
    </w:p>
    <w:p w14:paraId="2A5366E3" w14:textId="77777777" w:rsidR="00F65BCA" w:rsidRDefault="00F65BCA">
      <w:pPr>
        <w:pStyle w:val="Zkladntext"/>
        <w:spacing w:before="10"/>
        <w:rPr>
          <w:sz w:val="20"/>
        </w:rPr>
      </w:pPr>
    </w:p>
    <w:p w14:paraId="5C9ED021" w14:textId="77777777" w:rsidR="00F65BCA" w:rsidRDefault="00216117">
      <w:pPr>
        <w:spacing w:before="1"/>
        <w:ind w:left="428"/>
        <w:rPr>
          <w:sz w:val="15"/>
        </w:rPr>
      </w:pPr>
      <w:r>
        <w:rPr>
          <w:color w:val="FFFFFF"/>
          <w:position w:val="3"/>
          <w:sz w:val="16"/>
          <w:shd w:val="clear" w:color="auto" w:fill="808285"/>
        </w:rPr>
        <w:t xml:space="preserve">  Článek 73</w:t>
      </w:r>
      <w:r>
        <w:rPr>
          <w:color w:val="FFFFFF"/>
          <w:position w:val="3"/>
          <w:sz w:val="16"/>
        </w:rPr>
        <w:t xml:space="preserve"> </w:t>
      </w:r>
      <w:r>
        <w:rPr>
          <w:color w:val="231F20"/>
          <w:sz w:val="15"/>
        </w:rPr>
        <w:t>Rozsah pojištění</w:t>
      </w:r>
    </w:p>
    <w:p w14:paraId="53A36EA2" w14:textId="77777777" w:rsidR="00F65BCA" w:rsidRDefault="00216117">
      <w:pPr>
        <w:pStyle w:val="Zkladntext"/>
        <w:spacing w:before="146" w:line="278" w:lineRule="auto"/>
        <w:ind w:left="710" w:hanging="283"/>
        <w:jc w:val="both"/>
      </w:pPr>
      <w:r>
        <w:rPr>
          <w:color w:val="231F20"/>
          <w:position w:val="1"/>
          <w:sz w:val="14"/>
          <w:shd w:val="clear" w:color="auto" w:fill="D1D3D4"/>
        </w:rPr>
        <w:t xml:space="preserve">  1</w:t>
      </w:r>
      <w:r>
        <w:rPr>
          <w:color w:val="231F20"/>
          <w:position w:val="1"/>
          <w:sz w:val="14"/>
        </w:rPr>
        <w:t xml:space="preserve"> </w:t>
      </w:r>
      <w:r>
        <w:rPr>
          <w:color w:val="231F20"/>
        </w:rPr>
        <w:t>Úrazové pojištění dopravovaných osob se sjednává pro pojistná nebezpečí uvedená v těchto VPP.</w:t>
      </w:r>
    </w:p>
    <w:p w14:paraId="3FD8253A" w14:textId="77777777" w:rsidR="00F65BCA" w:rsidRDefault="00216117">
      <w:pPr>
        <w:pStyle w:val="Zkladntext"/>
        <w:spacing w:line="278" w:lineRule="auto"/>
        <w:ind w:left="710" w:hanging="283"/>
        <w:jc w:val="both"/>
      </w:pPr>
      <w:r>
        <w:rPr>
          <w:color w:val="231F20"/>
          <w:position w:val="1"/>
          <w:sz w:val="14"/>
          <w:shd w:val="clear" w:color="auto" w:fill="D1D3D4"/>
        </w:rPr>
        <w:t xml:space="preserve">  2</w:t>
      </w:r>
      <w:r>
        <w:rPr>
          <w:color w:val="231F20"/>
          <w:position w:val="1"/>
          <w:sz w:val="14"/>
        </w:rPr>
        <w:t xml:space="preserve"> </w:t>
      </w:r>
      <w:r>
        <w:rPr>
          <w:color w:val="231F20"/>
        </w:rPr>
        <w:t>Pojištěnou osobou je ve variantě pojištění „Úrazové pojištění řidiče“ a „Úra- zové pojištění řidiče – základní rozsah“ řidič pojištěného vozidla.</w:t>
      </w:r>
    </w:p>
    <w:p w14:paraId="6218FCE2"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 xml:space="preserve">3 </w:t>
      </w:r>
      <w:r>
        <w:rPr>
          <w:color w:val="231F20"/>
          <w:position w:val="1"/>
          <w:sz w:val="14"/>
        </w:rPr>
        <w:t xml:space="preserve">  </w:t>
      </w:r>
      <w:r>
        <w:rPr>
          <w:color w:val="231F20"/>
        </w:rPr>
        <w:t>Pojištěnými  osobami  jsou  ve  variantách  pojištění  „Úrazové  pojištění“    a „Úrazové pojištění – základní rozsah“ řidič a osoby dopravované pojiště- ným</w:t>
      </w:r>
      <w:r>
        <w:rPr>
          <w:color w:val="231F20"/>
          <w:spacing w:val="-5"/>
        </w:rPr>
        <w:t xml:space="preserve"> </w:t>
      </w:r>
      <w:r>
        <w:rPr>
          <w:color w:val="231F20"/>
        </w:rPr>
        <w:t>vozidlem.</w:t>
      </w:r>
      <w:r>
        <w:rPr>
          <w:color w:val="231F20"/>
          <w:spacing w:val="-4"/>
        </w:rPr>
        <w:t xml:space="preserve"> </w:t>
      </w:r>
      <w:r>
        <w:rPr>
          <w:color w:val="231F20"/>
        </w:rPr>
        <w:t>Maximální</w:t>
      </w:r>
      <w:r>
        <w:rPr>
          <w:color w:val="231F20"/>
          <w:spacing w:val="-4"/>
        </w:rPr>
        <w:t xml:space="preserve"> </w:t>
      </w:r>
      <w:r>
        <w:rPr>
          <w:color w:val="231F20"/>
        </w:rPr>
        <w:t>počet</w:t>
      </w:r>
      <w:r>
        <w:rPr>
          <w:color w:val="231F20"/>
          <w:spacing w:val="-5"/>
        </w:rPr>
        <w:t xml:space="preserve"> </w:t>
      </w:r>
      <w:r>
        <w:rPr>
          <w:color w:val="231F20"/>
        </w:rPr>
        <w:t>pojištěných</w:t>
      </w:r>
      <w:r>
        <w:rPr>
          <w:color w:val="231F20"/>
          <w:spacing w:val="-4"/>
        </w:rPr>
        <w:t xml:space="preserve"> </w:t>
      </w:r>
      <w:r>
        <w:rPr>
          <w:color w:val="231F20"/>
        </w:rPr>
        <w:t>osob,</w:t>
      </w:r>
      <w:r>
        <w:rPr>
          <w:color w:val="231F20"/>
          <w:spacing w:val="-4"/>
        </w:rPr>
        <w:t xml:space="preserve"> </w:t>
      </w:r>
      <w:r>
        <w:rPr>
          <w:color w:val="231F20"/>
        </w:rPr>
        <w:t>na</w:t>
      </w:r>
      <w:r>
        <w:rPr>
          <w:color w:val="231F20"/>
          <w:spacing w:val="-4"/>
        </w:rPr>
        <w:t xml:space="preserve"> </w:t>
      </w:r>
      <w:r>
        <w:rPr>
          <w:color w:val="231F20"/>
        </w:rPr>
        <w:t>které</w:t>
      </w:r>
      <w:r>
        <w:rPr>
          <w:color w:val="231F20"/>
          <w:spacing w:val="-5"/>
        </w:rPr>
        <w:t xml:space="preserve"> </w:t>
      </w:r>
      <w:r>
        <w:rPr>
          <w:color w:val="231F20"/>
        </w:rPr>
        <w:t>se</w:t>
      </w:r>
      <w:r>
        <w:rPr>
          <w:color w:val="231F20"/>
          <w:spacing w:val="-4"/>
        </w:rPr>
        <w:t xml:space="preserve"> </w:t>
      </w:r>
      <w:r>
        <w:rPr>
          <w:color w:val="231F20"/>
        </w:rPr>
        <w:t>pojištění</w:t>
      </w:r>
      <w:r>
        <w:rPr>
          <w:color w:val="231F20"/>
          <w:spacing w:val="-4"/>
        </w:rPr>
        <w:t xml:space="preserve"> </w:t>
      </w:r>
      <w:r>
        <w:rPr>
          <w:color w:val="231F20"/>
          <w:spacing w:val="-5"/>
        </w:rPr>
        <w:t xml:space="preserve">vzta- </w:t>
      </w:r>
      <w:r>
        <w:rPr>
          <w:color w:val="231F20"/>
        </w:rPr>
        <w:t>huje, je celkový počet míst uvedený v technickém průkazu nebo osvědčení o registraci pojištěného</w:t>
      </w:r>
      <w:r>
        <w:rPr>
          <w:color w:val="231F20"/>
          <w:spacing w:val="-4"/>
        </w:rPr>
        <w:t xml:space="preserve"> </w:t>
      </w:r>
      <w:r>
        <w:rPr>
          <w:color w:val="231F20"/>
        </w:rPr>
        <w:t>vozidla.</w:t>
      </w:r>
    </w:p>
    <w:p w14:paraId="73AA49A2" w14:textId="77777777" w:rsidR="00F65BCA" w:rsidRDefault="00F65BCA">
      <w:pPr>
        <w:pStyle w:val="Zkladntext"/>
        <w:spacing w:before="9"/>
        <w:rPr>
          <w:sz w:val="20"/>
        </w:rPr>
      </w:pPr>
    </w:p>
    <w:p w14:paraId="66D7BC64" w14:textId="77777777" w:rsidR="00F65BCA" w:rsidRDefault="00216117">
      <w:pPr>
        <w:ind w:left="428"/>
        <w:rPr>
          <w:sz w:val="15"/>
        </w:rPr>
      </w:pPr>
      <w:r>
        <w:rPr>
          <w:color w:val="FFFFFF"/>
          <w:sz w:val="16"/>
          <w:shd w:val="clear" w:color="auto" w:fill="808285"/>
        </w:rPr>
        <w:t xml:space="preserve">  Článek 74</w:t>
      </w:r>
      <w:r>
        <w:rPr>
          <w:color w:val="FFFFFF"/>
          <w:sz w:val="16"/>
        </w:rPr>
        <w:t xml:space="preserve"> </w:t>
      </w:r>
      <w:r>
        <w:rPr>
          <w:color w:val="231F20"/>
          <w:position w:val="-2"/>
          <w:sz w:val="15"/>
        </w:rPr>
        <w:t>Odkupné</w:t>
      </w:r>
    </w:p>
    <w:p w14:paraId="7D6341EF" w14:textId="77777777" w:rsidR="00F65BCA" w:rsidRDefault="00216117">
      <w:pPr>
        <w:pStyle w:val="Zkladntext"/>
        <w:spacing w:before="148" w:line="278" w:lineRule="auto"/>
        <w:ind w:left="426"/>
        <w:jc w:val="both"/>
      </w:pPr>
      <w:r>
        <w:rPr>
          <w:color w:val="231F20"/>
        </w:rPr>
        <w:t>U</w:t>
      </w:r>
      <w:r>
        <w:rPr>
          <w:color w:val="231F20"/>
          <w:spacing w:val="-7"/>
        </w:rPr>
        <w:t xml:space="preserve"> </w:t>
      </w:r>
      <w:r>
        <w:rPr>
          <w:color w:val="231F20"/>
        </w:rPr>
        <w:t>úrazového</w:t>
      </w:r>
      <w:r>
        <w:rPr>
          <w:color w:val="231F20"/>
          <w:spacing w:val="-7"/>
        </w:rPr>
        <w:t xml:space="preserve"> </w:t>
      </w:r>
      <w:r>
        <w:rPr>
          <w:color w:val="231F20"/>
        </w:rPr>
        <w:t>pojištění</w:t>
      </w:r>
      <w:r>
        <w:rPr>
          <w:color w:val="231F20"/>
          <w:spacing w:val="-6"/>
        </w:rPr>
        <w:t xml:space="preserve"> </w:t>
      </w:r>
      <w:r>
        <w:rPr>
          <w:color w:val="231F20"/>
        </w:rPr>
        <w:t>dopravovaných</w:t>
      </w:r>
      <w:r>
        <w:rPr>
          <w:color w:val="231F20"/>
          <w:spacing w:val="-7"/>
        </w:rPr>
        <w:t xml:space="preserve"> </w:t>
      </w:r>
      <w:r>
        <w:rPr>
          <w:color w:val="231F20"/>
        </w:rPr>
        <w:t>osob</w:t>
      </w:r>
      <w:r>
        <w:rPr>
          <w:color w:val="231F20"/>
          <w:spacing w:val="-6"/>
        </w:rPr>
        <w:t xml:space="preserve"> </w:t>
      </w:r>
      <w:r>
        <w:rPr>
          <w:color w:val="231F20"/>
        </w:rPr>
        <w:t>za</w:t>
      </w:r>
      <w:r>
        <w:rPr>
          <w:color w:val="231F20"/>
          <w:spacing w:val="-7"/>
        </w:rPr>
        <w:t xml:space="preserve"> </w:t>
      </w:r>
      <w:r>
        <w:rPr>
          <w:color w:val="231F20"/>
        </w:rPr>
        <w:t>běžné</w:t>
      </w:r>
      <w:r>
        <w:rPr>
          <w:color w:val="231F20"/>
          <w:spacing w:val="-6"/>
        </w:rPr>
        <w:t xml:space="preserve"> </w:t>
      </w:r>
      <w:r>
        <w:rPr>
          <w:color w:val="231F20"/>
        </w:rPr>
        <w:t>pojistné</w:t>
      </w:r>
      <w:r>
        <w:rPr>
          <w:color w:val="231F20"/>
          <w:spacing w:val="-7"/>
        </w:rPr>
        <w:t xml:space="preserve"> </w:t>
      </w:r>
      <w:r>
        <w:rPr>
          <w:color w:val="231F20"/>
        </w:rPr>
        <w:t>nevzniká</w:t>
      </w:r>
      <w:r>
        <w:rPr>
          <w:color w:val="231F20"/>
          <w:spacing w:val="-7"/>
        </w:rPr>
        <w:t xml:space="preserve"> </w:t>
      </w:r>
      <w:r>
        <w:rPr>
          <w:color w:val="231F20"/>
        </w:rPr>
        <w:t>právo</w:t>
      </w:r>
      <w:r>
        <w:rPr>
          <w:color w:val="231F20"/>
          <w:spacing w:val="-6"/>
        </w:rPr>
        <w:t xml:space="preserve"> </w:t>
      </w:r>
      <w:r>
        <w:rPr>
          <w:color w:val="231F20"/>
          <w:spacing w:val="-9"/>
        </w:rPr>
        <w:t xml:space="preserve">na </w:t>
      </w:r>
      <w:r>
        <w:rPr>
          <w:color w:val="231F20"/>
        </w:rPr>
        <w:t>zrušení pojištění s výplatou</w:t>
      </w:r>
      <w:r>
        <w:rPr>
          <w:color w:val="231F20"/>
          <w:spacing w:val="-6"/>
        </w:rPr>
        <w:t xml:space="preserve"> </w:t>
      </w:r>
      <w:r>
        <w:rPr>
          <w:color w:val="231F20"/>
        </w:rPr>
        <w:t>odkupného.</w:t>
      </w:r>
    </w:p>
    <w:p w14:paraId="63E56675" w14:textId="77777777" w:rsidR="00F65BCA" w:rsidRDefault="00F65BCA">
      <w:pPr>
        <w:pStyle w:val="Zkladntext"/>
        <w:spacing w:before="10"/>
        <w:rPr>
          <w:sz w:val="20"/>
        </w:rPr>
      </w:pPr>
    </w:p>
    <w:p w14:paraId="7298816C" w14:textId="77777777" w:rsidR="00F65BCA" w:rsidRDefault="00216117">
      <w:pPr>
        <w:pStyle w:val="Zkladntext"/>
        <w:ind w:left="428"/>
      </w:pPr>
      <w:r>
        <w:rPr>
          <w:color w:val="FFFFFF"/>
          <w:position w:val="3"/>
          <w:sz w:val="16"/>
          <w:shd w:val="clear" w:color="auto" w:fill="808285"/>
        </w:rPr>
        <w:t xml:space="preserve">  </w:t>
      </w:r>
      <w:r>
        <w:rPr>
          <w:color w:val="FFFFFF"/>
          <w:w w:val="105"/>
          <w:position w:val="3"/>
          <w:sz w:val="16"/>
          <w:shd w:val="clear" w:color="auto" w:fill="808285"/>
        </w:rPr>
        <w:t>Článek 75</w:t>
      </w:r>
      <w:r>
        <w:rPr>
          <w:color w:val="FFFFFF"/>
          <w:w w:val="105"/>
          <w:position w:val="3"/>
          <w:sz w:val="16"/>
        </w:rPr>
        <w:t xml:space="preserve"> </w:t>
      </w:r>
      <w:r>
        <w:rPr>
          <w:color w:val="231F20"/>
          <w:w w:val="105"/>
        </w:rPr>
        <w:t>Pojistná událost v úrazovém pojištění dopravovaných osob</w:t>
      </w:r>
    </w:p>
    <w:p w14:paraId="5FAA1427"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13"/>
          <w:position w:val="1"/>
          <w:sz w:val="14"/>
        </w:rPr>
        <w:t xml:space="preserve"> </w:t>
      </w:r>
      <w:r>
        <w:rPr>
          <w:color w:val="231F20"/>
        </w:rPr>
        <w:t>Pojistnou</w:t>
      </w:r>
      <w:r>
        <w:rPr>
          <w:color w:val="231F20"/>
          <w:spacing w:val="-19"/>
        </w:rPr>
        <w:t xml:space="preserve"> </w:t>
      </w:r>
      <w:r>
        <w:rPr>
          <w:color w:val="231F20"/>
        </w:rPr>
        <w:t>událostí</w:t>
      </w:r>
      <w:r>
        <w:rPr>
          <w:color w:val="231F20"/>
          <w:spacing w:val="-19"/>
        </w:rPr>
        <w:t xml:space="preserve"> </w:t>
      </w:r>
      <w:r>
        <w:rPr>
          <w:color w:val="231F20"/>
        </w:rPr>
        <w:t>v</w:t>
      </w:r>
      <w:r>
        <w:rPr>
          <w:color w:val="231F20"/>
          <w:spacing w:val="-19"/>
        </w:rPr>
        <w:t xml:space="preserve"> </w:t>
      </w:r>
      <w:r>
        <w:rPr>
          <w:color w:val="231F20"/>
        </w:rPr>
        <w:t>úrazovém</w:t>
      </w:r>
      <w:r>
        <w:rPr>
          <w:color w:val="231F20"/>
          <w:spacing w:val="-19"/>
        </w:rPr>
        <w:t xml:space="preserve"> </w:t>
      </w:r>
      <w:r>
        <w:rPr>
          <w:color w:val="231F20"/>
        </w:rPr>
        <w:t>pojištění</w:t>
      </w:r>
      <w:r>
        <w:rPr>
          <w:color w:val="231F20"/>
          <w:spacing w:val="-19"/>
        </w:rPr>
        <w:t xml:space="preserve"> </w:t>
      </w:r>
      <w:r>
        <w:rPr>
          <w:color w:val="231F20"/>
        </w:rPr>
        <w:t>dopravovaných</w:t>
      </w:r>
      <w:r>
        <w:rPr>
          <w:color w:val="231F20"/>
          <w:spacing w:val="-19"/>
        </w:rPr>
        <w:t xml:space="preserve"> </w:t>
      </w:r>
      <w:r>
        <w:rPr>
          <w:color w:val="231F20"/>
        </w:rPr>
        <w:t>osob</w:t>
      </w:r>
      <w:r>
        <w:rPr>
          <w:color w:val="231F20"/>
          <w:spacing w:val="-18"/>
        </w:rPr>
        <w:t xml:space="preserve"> </w:t>
      </w:r>
      <w:r>
        <w:rPr>
          <w:color w:val="231F20"/>
        </w:rPr>
        <w:t>je</w:t>
      </w:r>
      <w:r>
        <w:rPr>
          <w:color w:val="231F20"/>
          <w:spacing w:val="-19"/>
        </w:rPr>
        <w:t xml:space="preserve"> </w:t>
      </w:r>
      <w:r>
        <w:rPr>
          <w:color w:val="231F20"/>
        </w:rPr>
        <w:t>úraz</w:t>
      </w:r>
      <w:r>
        <w:rPr>
          <w:color w:val="231F20"/>
          <w:spacing w:val="-19"/>
        </w:rPr>
        <w:t xml:space="preserve"> </w:t>
      </w:r>
      <w:r>
        <w:rPr>
          <w:color w:val="231F20"/>
        </w:rPr>
        <w:t>pojištěné- ho,</w:t>
      </w:r>
      <w:r>
        <w:rPr>
          <w:color w:val="231F20"/>
          <w:spacing w:val="-9"/>
        </w:rPr>
        <w:t xml:space="preserve"> </w:t>
      </w:r>
      <w:r>
        <w:rPr>
          <w:color w:val="231F20"/>
        </w:rPr>
        <w:t>k</w:t>
      </w:r>
      <w:r>
        <w:rPr>
          <w:color w:val="231F20"/>
          <w:spacing w:val="-8"/>
        </w:rPr>
        <w:t xml:space="preserve"> </w:t>
      </w:r>
      <w:r>
        <w:rPr>
          <w:color w:val="231F20"/>
        </w:rPr>
        <w:t>němuž</w:t>
      </w:r>
      <w:r>
        <w:rPr>
          <w:color w:val="231F20"/>
          <w:spacing w:val="-9"/>
        </w:rPr>
        <w:t xml:space="preserve"> </w:t>
      </w:r>
      <w:r>
        <w:rPr>
          <w:color w:val="231F20"/>
        </w:rPr>
        <w:t>došlo</w:t>
      </w:r>
      <w:r>
        <w:rPr>
          <w:color w:val="231F20"/>
          <w:spacing w:val="-8"/>
        </w:rPr>
        <w:t xml:space="preserve"> </w:t>
      </w:r>
      <w:r>
        <w:rPr>
          <w:color w:val="231F20"/>
        </w:rPr>
        <w:t>při</w:t>
      </w:r>
      <w:r>
        <w:rPr>
          <w:color w:val="231F20"/>
          <w:spacing w:val="-9"/>
        </w:rPr>
        <w:t xml:space="preserve"> </w:t>
      </w:r>
      <w:r>
        <w:rPr>
          <w:color w:val="231F20"/>
        </w:rPr>
        <w:t>provozu</w:t>
      </w:r>
      <w:r>
        <w:rPr>
          <w:color w:val="231F20"/>
          <w:spacing w:val="-8"/>
        </w:rPr>
        <w:t xml:space="preserve"> </w:t>
      </w:r>
      <w:r>
        <w:rPr>
          <w:color w:val="231F20"/>
        </w:rPr>
        <w:t>vozidla,</w:t>
      </w:r>
      <w:r>
        <w:rPr>
          <w:color w:val="231F20"/>
          <w:spacing w:val="-9"/>
        </w:rPr>
        <w:t xml:space="preserve"> </w:t>
      </w:r>
      <w:r>
        <w:rPr>
          <w:color w:val="231F20"/>
        </w:rPr>
        <w:t>ke</w:t>
      </w:r>
      <w:r>
        <w:rPr>
          <w:color w:val="231F20"/>
          <w:spacing w:val="-8"/>
        </w:rPr>
        <w:t xml:space="preserve"> </w:t>
      </w:r>
      <w:r>
        <w:rPr>
          <w:color w:val="231F20"/>
        </w:rPr>
        <w:t>kterému</w:t>
      </w:r>
      <w:r>
        <w:rPr>
          <w:color w:val="231F20"/>
          <w:spacing w:val="-9"/>
        </w:rPr>
        <w:t xml:space="preserve"> </w:t>
      </w:r>
      <w:r>
        <w:rPr>
          <w:color w:val="231F20"/>
        </w:rPr>
        <w:t>došlo</w:t>
      </w:r>
      <w:r>
        <w:rPr>
          <w:color w:val="231F20"/>
          <w:spacing w:val="-8"/>
        </w:rPr>
        <w:t xml:space="preserve"> </w:t>
      </w:r>
      <w:r>
        <w:rPr>
          <w:color w:val="231F20"/>
        </w:rPr>
        <w:t>v</w:t>
      </w:r>
      <w:r>
        <w:rPr>
          <w:color w:val="231F20"/>
          <w:spacing w:val="-9"/>
        </w:rPr>
        <w:t xml:space="preserve"> </w:t>
      </w:r>
      <w:r>
        <w:rPr>
          <w:color w:val="231F20"/>
        </w:rPr>
        <w:t>době</w:t>
      </w:r>
      <w:r>
        <w:rPr>
          <w:color w:val="231F20"/>
          <w:spacing w:val="-8"/>
        </w:rPr>
        <w:t xml:space="preserve"> </w:t>
      </w:r>
      <w:r>
        <w:rPr>
          <w:color w:val="231F20"/>
        </w:rPr>
        <w:t>trvání</w:t>
      </w:r>
      <w:r>
        <w:rPr>
          <w:color w:val="231F20"/>
          <w:spacing w:val="-8"/>
        </w:rPr>
        <w:t xml:space="preserve"> </w:t>
      </w:r>
      <w:r>
        <w:rPr>
          <w:color w:val="231F20"/>
          <w:spacing w:val="-3"/>
        </w:rPr>
        <w:t xml:space="preserve">tohoto </w:t>
      </w:r>
      <w:r>
        <w:rPr>
          <w:color w:val="231F20"/>
        </w:rPr>
        <w:t>pojištění,</w:t>
      </w:r>
    </w:p>
    <w:p w14:paraId="1AD40931" w14:textId="77777777" w:rsidR="00F65BCA" w:rsidRDefault="00216117">
      <w:pPr>
        <w:pStyle w:val="Odstavecseseznamem"/>
        <w:numPr>
          <w:ilvl w:val="0"/>
          <w:numId w:val="89"/>
        </w:numPr>
        <w:tabs>
          <w:tab w:val="left" w:pos="881"/>
        </w:tabs>
        <w:spacing w:line="278" w:lineRule="auto"/>
        <w:jc w:val="both"/>
        <w:rPr>
          <w:sz w:val="15"/>
        </w:rPr>
      </w:pPr>
      <w:r>
        <w:rPr>
          <w:color w:val="231F20"/>
          <w:sz w:val="15"/>
        </w:rPr>
        <w:t>který</w:t>
      </w:r>
      <w:r>
        <w:rPr>
          <w:color w:val="231F20"/>
          <w:spacing w:val="-9"/>
          <w:sz w:val="15"/>
        </w:rPr>
        <w:t xml:space="preserve"> </w:t>
      </w:r>
      <w:r>
        <w:rPr>
          <w:color w:val="231F20"/>
          <w:sz w:val="15"/>
        </w:rPr>
        <w:t>způsobil</w:t>
      </w:r>
      <w:r>
        <w:rPr>
          <w:color w:val="231F20"/>
          <w:spacing w:val="-8"/>
          <w:sz w:val="15"/>
        </w:rPr>
        <w:t xml:space="preserve"> </w:t>
      </w:r>
      <w:r>
        <w:rPr>
          <w:color w:val="231F20"/>
          <w:sz w:val="15"/>
        </w:rPr>
        <w:t>pojištěnému</w:t>
      </w:r>
      <w:r>
        <w:rPr>
          <w:color w:val="231F20"/>
          <w:spacing w:val="-8"/>
          <w:sz w:val="15"/>
        </w:rPr>
        <w:t xml:space="preserve"> </w:t>
      </w:r>
      <w:r>
        <w:rPr>
          <w:color w:val="231F20"/>
          <w:sz w:val="15"/>
        </w:rPr>
        <w:t>tělesné</w:t>
      </w:r>
      <w:r>
        <w:rPr>
          <w:color w:val="231F20"/>
          <w:spacing w:val="-8"/>
          <w:sz w:val="15"/>
        </w:rPr>
        <w:t xml:space="preserve"> </w:t>
      </w:r>
      <w:r>
        <w:rPr>
          <w:color w:val="231F20"/>
          <w:sz w:val="15"/>
        </w:rPr>
        <w:t>poškození</w:t>
      </w:r>
      <w:r>
        <w:rPr>
          <w:color w:val="231F20"/>
          <w:spacing w:val="-8"/>
          <w:sz w:val="15"/>
        </w:rPr>
        <w:t xml:space="preserve"> </w:t>
      </w:r>
      <w:r>
        <w:rPr>
          <w:color w:val="231F20"/>
          <w:sz w:val="15"/>
        </w:rPr>
        <w:t>uvedené</w:t>
      </w:r>
      <w:r>
        <w:rPr>
          <w:color w:val="231F20"/>
          <w:spacing w:val="-8"/>
          <w:sz w:val="15"/>
        </w:rPr>
        <w:t xml:space="preserve"> </w:t>
      </w:r>
      <w:r>
        <w:rPr>
          <w:color w:val="231F20"/>
          <w:sz w:val="15"/>
        </w:rPr>
        <w:t>v</w:t>
      </w:r>
      <w:r>
        <w:rPr>
          <w:color w:val="231F20"/>
          <w:spacing w:val="-8"/>
          <w:sz w:val="15"/>
        </w:rPr>
        <w:t xml:space="preserve"> </w:t>
      </w:r>
      <w:r>
        <w:rPr>
          <w:color w:val="231F20"/>
          <w:sz w:val="15"/>
        </w:rPr>
        <w:t>Oceňovacích</w:t>
      </w:r>
      <w:r>
        <w:rPr>
          <w:color w:val="231F20"/>
          <w:spacing w:val="-9"/>
          <w:sz w:val="15"/>
        </w:rPr>
        <w:t xml:space="preserve"> </w:t>
      </w:r>
      <w:r>
        <w:rPr>
          <w:color w:val="231F20"/>
          <w:spacing w:val="-4"/>
          <w:sz w:val="15"/>
        </w:rPr>
        <w:t xml:space="preserve">ta- </w:t>
      </w:r>
      <w:r>
        <w:rPr>
          <w:color w:val="231F20"/>
          <w:sz w:val="15"/>
        </w:rPr>
        <w:t>bulkách</w:t>
      </w:r>
      <w:r>
        <w:rPr>
          <w:color w:val="231F20"/>
          <w:spacing w:val="-18"/>
          <w:sz w:val="15"/>
        </w:rPr>
        <w:t xml:space="preserve"> </w:t>
      </w:r>
      <w:r>
        <w:rPr>
          <w:color w:val="231F20"/>
          <w:sz w:val="15"/>
        </w:rPr>
        <w:t>A,</w:t>
      </w:r>
      <w:r>
        <w:rPr>
          <w:color w:val="231F20"/>
          <w:spacing w:val="-18"/>
          <w:sz w:val="15"/>
        </w:rPr>
        <w:t xml:space="preserve"> </w:t>
      </w:r>
      <w:r>
        <w:rPr>
          <w:color w:val="231F20"/>
          <w:sz w:val="15"/>
        </w:rPr>
        <w:t>a</w:t>
      </w:r>
      <w:r>
        <w:rPr>
          <w:color w:val="231F20"/>
          <w:spacing w:val="-18"/>
          <w:sz w:val="15"/>
        </w:rPr>
        <w:t xml:space="preserve"> </w:t>
      </w:r>
      <w:r>
        <w:rPr>
          <w:color w:val="231F20"/>
          <w:sz w:val="15"/>
        </w:rPr>
        <w:t>zároveň</w:t>
      </w:r>
      <w:r>
        <w:rPr>
          <w:color w:val="231F20"/>
          <w:spacing w:val="-18"/>
          <w:sz w:val="15"/>
        </w:rPr>
        <w:t xml:space="preserve"> </w:t>
      </w:r>
      <w:r>
        <w:rPr>
          <w:color w:val="231F20"/>
          <w:sz w:val="15"/>
        </w:rPr>
        <w:t>je</w:t>
      </w:r>
      <w:r>
        <w:rPr>
          <w:color w:val="231F20"/>
          <w:spacing w:val="-18"/>
          <w:sz w:val="15"/>
        </w:rPr>
        <w:t xml:space="preserve"> </w:t>
      </w:r>
      <w:r>
        <w:rPr>
          <w:color w:val="231F20"/>
          <w:sz w:val="15"/>
        </w:rPr>
        <w:t>skutečná</w:t>
      </w:r>
      <w:r>
        <w:rPr>
          <w:color w:val="231F20"/>
          <w:spacing w:val="-17"/>
          <w:sz w:val="15"/>
        </w:rPr>
        <w:t xml:space="preserve"> </w:t>
      </w:r>
      <w:r>
        <w:rPr>
          <w:color w:val="231F20"/>
          <w:sz w:val="15"/>
        </w:rPr>
        <w:t>doba</w:t>
      </w:r>
      <w:r>
        <w:rPr>
          <w:color w:val="231F20"/>
          <w:spacing w:val="-18"/>
          <w:sz w:val="15"/>
        </w:rPr>
        <w:t xml:space="preserve"> </w:t>
      </w:r>
      <w:r>
        <w:rPr>
          <w:color w:val="231F20"/>
          <w:sz w:val="15"/>
        </w:rPr>
        <w:t>nezbytného</w:t>
      </w:r>
      <w:r>
        <w:rPr>
          <w:color w:val="231F20"/>
          <w:spacing w:val="-18"/>
          <w:sz w:val="15"/>
        </w:rPr>
        <w:t xml:space="preserve"> </w:t>
      </w:r>
      <w:r>
        <w:rPr>
          <w:color w:val="231F20"/>
          <w:sz w:val="15"/>
        </w:rPr>
        <w:t>léčení</w:t>
      </w:r>
      <w:r>
        <w:rPr>
          <w:color w:val="231F20"/>
          <w:spacing w:val="-18"/>
          <w:sz w:val="15"/>
        </w:rPr>
        <w:t xml:space="preserve"> </w:t>
      </w:r>
      <w:r>
        <w:rPr>
          <w:color w:val="231F20"/>
          <w:sz w:val="15"/>
        </w:rPr>
        <w:t>tohoto</w:t>
      </w:r>
      <w:r>
        <w:rPr>
          <w:color w:val="231F20"/>
          <w:spacing w:val="-18"/>
          <w:sz w:val="15"/>
        </w:rPr>
        <w:t xml:space="preserve"> </w:t>
      </w:r>
      <w:r>
        <w:rPr>
          <w:color w:val="231F20"/>
          <w:sz w:val="15"/>
        </w:rPr>
        <w:t>tělesného poškození delší než 7 dnů</w:t>
      </w:r>
      <w:r>
        <w:rPr>
          <w:color w:val="231F20"/>
          <w:spacing w:val="-6"/>
          <w:sz w:val="15"/>
        </w:rPr>
        <w:t xml:space="preserve"> </w:t>
      </w:r>
      <w:r>
        <w:rPr>
          <w:color w:val="231F20"/>
          <w:sz w:val="15"/>
        </w:rPr>
        <w:t>a/nebo</w:t>
      </w:r>
    </w:p>
    <w:p w14:paraId="53715B4A" w14:textId="77777777" w:rsidR="00F65BCA" w:rsidRDefault="00216117">
      <w:pPr>
        <w:pStyle w:val="Odstavecseseznamem"/>
        <w:numPr>
          <w:ilvl w:val="0"/>
          <w:numId w:val="89"/>
        </w:numPr>
        <w:tabs>
          <w:tab w:val="left" w:pos="881"/>
        </w:tabs>
        <w:spacing w:line="172" w:lineRule="exact"/>
        <w:jc w:val="both"/>
        <w:rPr>
          <w:sz w:val="15"/>
        </w:rPr>
      </w:pPr>
      <w:r>
        <w:rPr>
          <w:color w:val="231F20"/>
          <w:sz w:val="15"/>
        </w:rPr>
        <w:t>který zanechal pojištěnému trvalé následky</w:t>
      </w:r>
      <w:r>
        <w:rPr>
          <w:color w:val="231F20"/>
          <w:spacing w:val="-14"/>
          <w:sz w:val="15"/>
        </w:rPr>
        <w:t xml:space="preserve"> </w:t>
      </w:r>
      <w:r>
        <w:rPr>
          <w:color w:val="231F20"/>
          <w:sz w:val="15"/>
        </w:rPr>
        <w:t>a/nebo</w:t>
      </w:r>
    </w:p>
    <w:p w14:paraId="3EC81274" w14:textId="77777777" w:rsidR="00F65BCA" w:rsidRDefault="00216117">
      <w:pPr>
        <w:pStyle w:val="Odstavecseseznamem"/>
        <w:numPr>
          <w:ilvl w:val="0"/>
          <w:numId w:val="89"/>
        </w:numPr>
        <w:tabs>
          <w:tab w:val="left" w:pos="881"/>
        </w:tabs>
        <w:spacing w:before="28"/>
        <w:jc w:val="both"/>
        <w:rPr>
          <w:sz w:val="15"/>
        </w:rPr>
      </w:pPr>
      <w:r>
        <w:rPr>
          <w:color w:val="231F20"/>
          <w:sz w:val="15"/>
        </w:rPr>
        <w:t>který</w:t>
      </w:r>
      <w:r>
        <w:rPr>
          <w:color w:val="231F20"/>
          <w:spacing w:val="-6"/>
          <w:sz w:val="15"/>
        </w:rPr>
        <w:t xml:space="preserve"> </w:t>
      </w:r>
      <w:r>
        <w:rPr>
          <w:color w:val="231F20"/>
          <w:sz w:val="15"/>
        </w:rPr>
        <w:t>způsobil</w:t>
      </w:r>
      <w:r>
        <w:rPr>
          <w:color w:val="231F20"/>
          <w:spacing w:val="-5"/>
          <w:sz w:val="15"/>
        </w:rPr>
        <w:t xml:space="preserve"> </w:t>
      </w:r>
      <w:r>
        <w:rPr>
          <w:color w:val="231F20"/>
          <w:sz w:val="15"/>
        </w:rPr>
        <w:t>pojištěnému</w:t>
      </w:r>
      <w:r>
        <w:rPr>
          <w:color w:val="231F20"/>
          <w:spacing w:val="-5"/>
          <w:sz w:val="15"/>
        </w:rPr>
        <w:t xml:space="preserve"> </w:t>
      </w:r>
      <w:r>
        <w:rPr>
          <w:color w:val="231F20"/>
          <w:sz w:val="15"/>
        </w:rPr>
        <w:t>smrt</w:t>
      </w:r>
      <w:r>
        <w:rPr>
          <w:color w:val="231F20"/>
          <w:spacing w:val="-5"/>
          <w:sz w:val="15"/>
        </w:rPr>
        <w:t xml:space="preserve"> </w:t>
      </w:r>
      <w:r>
        <w:rPr>
          <w:color w:val="231F20"/>
          <w:sz w:val="15"/>
        </w:rPr>
        <w:t>nejpozději</w:t>
      </w:r>
      <w:r>
        <w:rPr>
          <w:color w:val="231F20"/>
          <w:spacing w:val="-6"/>
          <w:sz w:val="15"/>
        </w:rPr>
        <w:t xml:space="preserve"> </w:t>
      </w:r>
      <w:r>
        <w:rPr>
          <w:color w:val="231F20"/>
          <w:sz w:val="15"/>
        </w:rPr>
        <w:t>do</w:t>
      </w:r>
      <w:r>
        <w:rPr>
          <w:color w:val="231F20"/>
          <w:spacing w:val="-5"/>
          <w:sz w:val="15"/>
        </w:rPr>
        <w:t xml:space="preserve"> </w:t>
      </w:r>
      <w:r>
        <w:rPr>
          <w:color w:val="231F20"/>
          <w:sz w:val="15"/>
        </w:rPr>
        <w:t>3</w:t>
      </w:r>
      <w:r>
        <w:rPr>
          <w:color w:val="231F20"/>
          <w:spacing w:val="-5"/>
          <w:sz w:val="15"/>
        </w:rPr>
        <w:t xml:space="preserve"> </w:t>
      </w:r>
      <w:r>
        <w:rPr>
          <w:color w:val="231F20"/>
          <w:sz w:val="15"/>
        </w:rPr>
        <w:t>let</w:t>
      </w:r>
      <w:r>
        <w:rPr>
          <w:color w:val="231F20"/>
          <w:spacing w:val="-5"/>
          <w:sz w:val="15"/>
        </w:rPr>
        <w:t xml:space="preserve"> </w:t>
      </w:r>
      <w:r>
        <w:rPr>
          <w:color w:val="231F20"/>
          <w:sz w:val="15"/>
        </w:rPr>
        <w:t>ode</w:t>
      </w:r>
      <w:r>
        <w:rPr>
          <w:color w:val="231F20"/>
          <w:spacing w:val="-6"/>
          <w:sz w:val="15"/>
        </w:rPr>
        <w:t xml:space="preserve"> </w:t>
      </w:r>
      <w:r>
        <w:rPr>
          <w:color w:val="231F20"/>
          <w:sz w:val="15"/>
        </w:rPr>
        <w:t>dne</w:t>
      </w:r>
      <w:r>
        <w:rPr>
          <w:color w:val="231F20"/>
          <w:spacing w:val="-5"/>
          <w:sz w:val="15"/>
        </w:rPr>
        <w:t xml:space="preserve"> </w:t>
      </w:r>
      <w:r>
        <w:rPr>
          <w:color w:val="231F20"/>
          <w:sz w:val="15"/>
        </w:rPr>
        <w:t>úrazu.</w:t>
      </w:r>
    </w:p>
    <w:p w14:paraId="1C78CD8D" w14:textId="77777777" w:rsidR="00F65BCA" w:rsidRDefault="00216117">
      <w:pPr>
        <w:pStyle w:val="Zkladntext"/>
        <w:spacing w:before="26"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21"/>
          <w:position w:val="1"/>
          <w:sz w:val="14"/>
        </w:rPr>
        <w:t xml:space="preserve"> </w:t>
      </w:r>
      <w:r>
        <w:rPr>
          <w:color w:val="231F20"/>
        </w:rPr>
        <w:t>Provozem</w:t>
      </w:r>
      <w:r>
        <w:rPr>
          <w:color w:val="231F20"/>
          <w:spacing w:val="-16"/>
        </w:rPr>
        <w:t xml:space="preserve"> </w:t>
      </w:r>
      <w:r>
        <w:rPr>
          <w:color w:val="231F20"/>
        </w:rPr>
        <w:t>vozidla</w:t>
      </w:r>
      <w:r>
        <w:rPr>
          <w:color w:val="231F20"/>
          <w:spacing w:val="-15"/>
        </w:rPr>
        <w:t xml:space="preserve"> </w:t>
      </w:r>
      <w:r>
        <w:rPr>
          <w:color w:val="231F20"/>
        </w:rPr>
        <w:t>se</w:t>
      </w:r>
      <w:r>
        <w:rPr>
          <w:color w:val="231F20"/>
          <w:spacing w:val="-15"/>
        </w:rPr>
        <w:t xml:space="preserve"> </w:t>
      </w:r>
      <w:r>
        <w:rPr>
          <w:color w:val="231F20"/>
        </w:rPr>
        <w:t>pro</w:t>
      </w:r>
      <w:r>
        <w:rPr>
          <w:color w:val="231F20"/>
          <w:spacing w:val="-15"/>
        </w:rPr>
        <w:t xml:space="preserve"> </w:t>
      </w:r>
      <w:r>
        <w:rPr>
          <w:color w:val="231F20"/>
        </w:rPr>
        <w:t>účely</w:t>
      </w:r>
      <w:r>
        <w:rPr>
          <w:color w:val="231F20"/>
          <w:spacing w:val="-16"/>
        </w:rPr>
        <w:t xml:space="preserve"> </w:t>
      </w:r>
      <w:r>
        <w:rPr>
          <w:color w:val="231F20"/>
        </w:rPr>
        <w:t>úrazového</w:t>
      </w:r>
      <w:r>
        <w:rPr>
          <w:color w:val="231F20"/>
          <w:spacing w:val="-16"/>
        </w:rPr>
        <w:t xml:space="preserve"> </w:t>
      </w:r>
      <w:r>
        <w:rPr>
          <w:color w:val="231F20"/>
        </w:rPr>
        <w:t>pojištění</w:t>
      </w:r>
      <w:r>
        <w:rPr>
          <w:color w:val="231F20"/>
          <w:spacing w:val="-15"/>
        </w:rPr>
        <w:t xml:space="preserve"> </w:t>
      </w:r>
      <w:r>
        <w:rPr>
          <w:color w:val="231F20"/>
        </w:rPr>
        <w:t>dopravovaných</w:t>
      </w:r>
      <w:r>
        <w:rPr>
          <w:color w:val="231F20"/>
          <w:spacing w:val="-16"/>
        </w:rPr>
        <w:t xml:space="preserve"> </w:t>
      </w:r>
      <w:r>
        <w:rPr>
          <w:color w:val="231F20"/>
        </w:rPr>
        <w:t>osob</w:t>
      </w:r>
      <w:r>
        <w:rPr>
          <w:color w:val="231F20"/>
          <w:spacing w:val="-15"/>
        </w:rPr>
        <w:t xml:space="preserve"> </w:t>
      </w:r>
      <w:r>
        <w:rPr>
          <w:color w:val="231F20"/>
          <w:spacing w:val="-4"/>
        </w:rPr>
        <w:t xml:space="preserve">rozu- </w:t>
      </w:r>
      <w:r>
        <w:rPr>
          <w:color w:val="231F20"/>
        </w:rPr>
        <w:t>mí také činnost spočívající</w:t>
      </w:r>
      <w:r>
        <w:rPr>
          <w:color w:val="231F20"/>
          <w:spacing w:val="-5"/>
        </w:rPr>
        <w:t xml:space="preserve"> </w:t>
      </w:r>
      <w:r>
        <w:rPr>
          <w:color w:val="231F20"/>
        </w:rPr>
        <w:t>v:</w:t>
      </w:r>
    </w:p>
    <w:p w14:paraId="617252CB" w14:textId="77777777" w:rsidR="00F65BCA" w:rsidRDefault="00216117">
      <w:pPr>
        <w:pStyle w:val="Odstavecseseznamem"/>
        <w:numPr>
          <w:ilvl w:val="1"/>
          <w:numId w:val="90"/>
        </w:numPr>
        <w:tabs>
          <w:tab w:val="left" w:pos="881"/>
        </w:tabs>
        <w:jc w:val="both"/>
        <w:rPr>
          <w:sz w:val="15"/>
        </w:rPr>
      </w:pPr>
      <w:r>
        <w:rPr>
          <w:color w:val="231F20"/>
          <w:sz w:val="15"/>
        </w:rPr>
        <w:t>uvádění</w:t>
      </w:r>
      <w:r>
        <w:rPr>
          <w:color w:val="231F20"/>
          <w:spacing w:val="-11"/>
          <w:sz w:val="15"/>
        </w:rPr>
        <w:t xml:space="preserve"> </w:t>
      </w:r>
      <w:r>
        <w:rPr>
          <w:color w:val="231F20"/>
          <w:sz w:val="15"/>
        </w:rPr>
        <w:t>motoru</w:t>
      </w:r>
      <w:r>
        <w:rPr>
          <w:color w:val="231F20"/>
          <w:spacing w:val="-11"/>
          <w:sz w:val="15"/>
        </w:rPr>
        <w:t xml:space="preserve"> </w:t>
      </w:r>
      <w:r>
        <w:rPr>
          <w:color w:val="231F20"/>
          <w:sz w:val="15"/>
        </w:rPr>
        <w:t>vozidla</w:t>
      </w:r>
      <w:r>
        <w:rPr>
          <w:color w:val="231F20"/>
          <w:spacing w:val="-11"/>
          <w:sz w:val="15"/>
        </w:rPr>
        <w:t xml:space="preserve"> </w:t>
      </w:r>
      <w:r>
        <w:rPr>
          <w:color w:val="231F20"/>
          <w:sz w:val="15"/>
        </w:rPr>
        <w:t>do</w:t>
      </w:r>
      <w:r>
        <w:rPr>
          <w:color w:val="231F20"/>
          <w:spacing w:val="-11"/>
          <w:sz w:val="15"/>
        </w:rPr>
        <w:t xml:space="preserve"> </w:t>
      </w:r>
      <w:r>
        <w:rPr>
          <w:color w:val="231F20"/>
          <w:sz w:val="15"/>
        </w:rPr>
        <w:t>chodu</w:t>
      </w:r>
      <w:r>
        <w:rPr>
          <w:color w:val="231F20"/>
          <w:spacing w:val="-11"/>
          <w:sz w:val="15"/>
        </w:rPr>
        <w:t xml:space="preserve"> </w:t>
      </w:r>
      <w:r>
        <w:rPr>
          <w:color w:val="231F20"/>
          <w:sz w:val="15"/>
        </w:rPr>
        <w:t>bezprostředně</w:t>
      </w:r>
      <w:r>
        <w:rPr>
          <w:color w:val="231F20"/>
          <w:spacing w:val="-11"/>
          <w:sz w:val="15"/>
        </w:rPr>
        <w:t xml:space="preserve"> </w:t>
      </w:r>
      <w:r>
        <w:rPr>
          <w:color w:val="231F20"/>
          <w:sz w:val="15"/>
        </w:rPr>
        <w:t>před</w:t>
      </w:r>
      <w:r>
        <w:rPr>
          <w:color w:val="231F20"/>
          <w:spacing w:val="-11"/>
          <w:sz w:val="15"/>
        </w:rPr>
        <w:t xml:space="preserve"> </w:t>
      </w:r>
      <w:r>
        <w:rPr>
          <w:color w:val="231F20"/>
          <w:sz w:val="15"/>
        </w:rPr>
        <w:t>zahájením</w:t>
      </w:r>
      <w:r>
        <w:rPr>
          <w:color w:val="231F20"/>
          <w:spacing w:val="-11"/>
          <w:sz w:val="15"/>
        </w:rPr>
        <w:t xml:space="preserve"> </w:t>
      </w:r>
      <w:r>
        <w:rPr>
          <w:color w:val="231F20"/>
          <w:sz w:val="15"/>
        </w:rPr>
        <w:t>jízdy;</w:t>
      </w:r>
    </w:p>
    <w:p w14:paraId="79DF14E7" w14:textId="77777777" w:rsidR="00F65BCA" w:rsidRDefault="00216117">
      <w:pPr>
        <w:pStyle w:val="Odstavecseseznamem"/>
        <w:numPr>
          <w:ilvl w:val="1"/>
          <w:numId w:val="90"/>
        </w:numPr>
        <w:tabs>
          <w:tab w:val="left" w:pos="881"/>
        </w:tabs>
        <w:spacing w:before="28"/>
        <w:jc w:val="both"/>
        <w:rPr>
          <w:sz w:val="15"/>
        </w:rPr>
      </w:pPr>
      <w:r>
        <w:rPr>
          <w:color w:val="231F20"/>
          <w:sz w:val="15"/>
        </w:rPr>
        <w:t>nastupování</w:t>
      </w:r>
      <w:r>
        <w:rPr>
          <w:color w:val="231F20"/>
          <w:spacing w:val="-8"/>
          <w:sz w:val="15"/>
        </w:rPr>
        <w:t xml:space="preserve"> </w:t>
      </w:r>
      <w:r>
        <w:rPr>
          <w:color w:val="231F20"/>
          <w:sz w:val="15"/>
        </w:rPr>
        <w:t>do</w:t>
      </w:r>
      <w:r>
        <w:rPr>
          <w:color w:val="231F20"/>
          <w:spacing w:val="-8"/>
          <w:sz w:val="15"/>
        </w:rPr>
        <w:t xml:space="preserve"> </w:t>
      </w:r>
      <w:r>
        <w:rPr>
          <w:color w:val="231F20"/>
          <w:sz w:val="15"/>
        </w:rPr>
        <w:t>vozidla</w:t>
      </w:r>
      <w:r>
        <w:rPr>
          <w:color w:val="231F20"/>
          <w:spacing w:val="-8"/>
          <w:sz w:val="15"/>
        </w:rPr>
        <w:t xml:space="preserve"> </w:t>
      </w:r>
      <w:r>
        <w:rPr>
          <w:color w:val="231F20"/>
          <w:sz w:val="15"/>
        </w:rPr>
        <w:t>nebo</w:t>
      </w:r>
      <w:r>
        <w:rPr>
          <w:color w:val="231F20"/>
          <w:spacing w:val="-7"/>
          <w:sz w:val="15"/>
        </w:rPr>
        <w:t xml:space="preserve"> </w:t>
      </w:r>
      <w:r>
        <w:rPr>
          <w:color w:val="231F20"/>
          <w:sz w:val="15"/>
        </w:rPr>
        <w:t>vystupování</w:t>
      </w:r>
      <w:r>
        <w:rPr>
          <w:color w:val="231F20"/>
          <w:spacing w:val="-8"/>
          <w:sz w:val="15"/>
        </w:rPr>
        <w:t xml:space="preserve"> </w:t>
      </w:r>
      <w:r>
        <w:rPr>
          <w:color w:val="231F20"/>
          <w:sz w:val="15"/>
        </w:rPr>
        <w:t>z</w:t>
      </w:r>
      <w:r>
        <w:rPr>
          <w:color w:val="231F20"/>
          <w:spacing w:val="-8"/>
          <w:sz w:val="15"/>
        </w:rPr>
        <w:t xml:space="preserve"> </w:t>
      </w:r>
      <w:r>
        <w:rPr>
          <w:color w:val="231F20"/>
          <w:sz w:val="15"/>
        </w:rPr>
        <w:t>vozidla,</w:t>
      </w:r>
      <w:r>
        <w:rPr>
          <w:color w:val="231F20"/>
          <w:spacing w:val="-8"/>
          <w:sz w:val="15"/>
        </w:rPr>
        <w:t xml:space="preserve"> </w:t>
      </w:r>
      <w:r>
        <w:rPr>
          <w:color w:val="231F20"/>
          <w:sz w:val="15"/>
        </w:rPr>
        <w:t>jízda</w:t>
      </w:r>
      <w:r>
        <w:rPr>
          <w:color w:val="231F20"/>
          <w:spacing w:val="-7"/>
          <w:sz w:val="15"/>
        </w:rPr>
        <w:t xml:space="preserve"> </w:t>
      </w:r>
      <w:r>
        <w:rPr>
          <w:color w:val="231F20"/>
          <w:sz w:val="15"/>
        </w:rPr>
        <w:t>vozidla;</w:t>
      </w:r>
    </w:p>
    <w:p w14:paraId="7E31D5FA" w14:textId="77777777" w:rsidR="00F65BCA" w:rsidRDefault="00216117">
      <w:pPr>
        <w:pStyle w:val="Odstavecseseznamem"/>
        <w:numPr>
          <w:ilvl w:val="1"/>
          <w:numId w:val="90"/>
        </w:numPr>
        <w:tabs>
          <w:tab w:val="left" w:pos="881"/>
        </w:tabs>
        <w:spacing w:before="27" w:line="278" w:lineRule="auto"/>
        <w:jc w:val="both"/>
        <w:rPr>
          <w:sz w:val="15"/>
        </w:rPr>
      </w:pPr>
      <w:r>
        <w:rPr>
          <w:color w:val="231F20"/>
          <w:sz w:val="15"/>
        </w:rPr>
        <w:t>krátkodobá</w:t>
      </w:r>
      <w:r>
        <w:rPr>
          <w:color w:val="231F20"/>
          <w:spacing w:val="-12"/>
          <w:sz w:val="15"/>
        </w:rPr>
        <w:t xml:space="preserve"> </w:t>
      </w:r>
      <w:r>
        <w:rPr>
          <w:color w:val="231F20"/>
          <w:sz w:val="15"/>
        </w:rPr>
        <w:t>zastávka</w:t>
      </w:r>
      <w:r>
        <w:rPr>
          <w:color w:val="231F20"/>
          <w:spacing w:val="-12"/>
          <w:sz w:val="15"/>
        </w:rPr>
        <w:t xml:space="preserve"> </w:t>
      </w:r>
      <w:r>
        <w:rPr>
          <w:color w:val="231F20"/>
          <w:sz w:val="15"/>
        </w:rPr>
        <w:t>vozidla,</w:t>
      </w:r>
      <w:r>
        <w:rPr>
          <w:color w:val="231F20"/>
          <w:spacing w:val="-11"/>
          <w:sz w:val="15"/>
        </w:rPr>
        <w:t xml:space="preserve"> </w:t>
      </w:r>
      <w:r>
        <w:rPr>
          <w:color w:val="231F20"/>
          <w:sz w:val="15"/>
        </w:rPr>
        <w:t>pojištění</w:t>
      </w:r>
      <w:r>
        <w:rPr>
          <w:color w:val="231F20"/>
          <w:spacing w:val="-12"/>
          <w:sz w:val="15"/>
        </w:rPr>
        <w:t xml:space="preserve"> </w:t>
      </w:r>
      <w:r>
        <w:rPr>
          <w:color w:val="231F20"/>
          <w:sz w:val="15"/>
        </w:rPr>
        <w:t>se</w:t>
      </w:r>
      <w:r>
        <w:rPr>
          <w:color w:val="231F20"/>
          <w:spacing w:val="-12"/>
          <w:sz w:val="15"/>
        </w:rPr>
        <w:t xml:space="preserve"> </w:t>
      </w:r>
      <w:r>
        <w:rPr>
          <w:color w:val="231F20"/>
          <w:sz w:val="15"/>
        </w:rPr>
        <w:t>vztahuje</w:t>
      </w:r>
      <w:r>
        <w:rPr>
          <w:color w:val="231F20"/>
          <w:spacing w:val="-11"/>
          <w:sz w:val="15"/>
        </w:rPr>
        <w:t xml:space="preserve"> </w:t>
      </w:r>
      <w:r>
        <w:rPr>
          <w:color w:val="231F20"/>
          <w:sz w:val="15"/>
        </w:rPr>
        <w:t>pouze</w:t>
      </w:r>
      <w:r>
        <w:rPr>
          <w:color w:val="231F20"/>
          <w:spacing w:val="-12"/>
          <w:sz w:val="15"/>
        </w:rPr>
        <w:t xml:space="preserve"> </w:t>
      </w:r>
      <w:r>
        <w:rPr>
          <w:color w:val="231F20"/>
          <w:sz w:val="15"/>
        </w:rPr>
        <w:t>na</w:t>
      </w:r>
      <w:r>
        <w:rPr>
          <w:color w:val="231F20"/>
          <w:spacing w:val="-12"/>
          <w:sz w:val="15"/>
        </w:rPr>
        <w:t xml:space="preserve"> </w:t>
      </w:r>
      <w:r>
        <w:rPr>
          <w:color w:val="231F20"/>
          <w:sz w:val="15"/>
        </w:rPr>
        <w:t>úrazy</w:t>
      </w:r>
      <w:r>
        <w:rPr>
          <w:color w:val="231F20"/>
          <w:spacing w:val="-11"/>
          <w:sz w:val="15"/>
        </w:rPr>
        <w:t xml:space="preserve"> </w:t>
      </w:r>
      <w:r>
        <w:rPr>
          <w:color w:val="231F20"/>
          <w:sz w:val="15"/>
        </w:rPr>
        <w:t>pojiště- ného,</w:t>
      </w:r>
      <w:r>
        <w:rPr>
          <w:color w:val="231F20"/>
          <w:spacing w:val="-7"/>
          <w:sz w:val="15"/>
        </w:rPr>
        <w:t xml:space="preserve"> </w:t>
      </w:r>
      <w:r>
        <w:rPr>
          <w:color w:val="231F20"/>
          <w:sz w:val="15"/>
        </w:rPr>
        <w:t>k</w:t>
      </w:r>
      <w:r>
        <w:rPr>
          <w:color w:val="231F20"/>
          <w:spacing w:val="-6"/>
          <w:sz w:val="15"/>
        </w:rPr>
        <w:t xml:space="preserve"> </w:t>
      </w:r>
      <w:r>
        <w:rPr>
          <w:color w:val="231F20"/>
          <w:sz w:val="15"/>
        </w:rPr>
        <w:t>nimž</w:t>
      </w:r>
      <w:r>
        <w:rPr>
          <w:color w:val="231F20"/>
          <w:spacing w:val="-6"/>
          <w:sz w:val="15"/>
        </w:rPr>
        <w:t xml:space="preserve"> </w:t>
      </w:r>
      <w:r>
        <w:rPr>
          <w:color w:val="231F20"/>
          <w:sz w:val="15"/>
        </w:rPr>
        <w:t>došlo</w:t>
      </w:r>
      <w:r>
        <w:rPr>
          <w:color w:val="231F20"/>
          <w:spacing w:val="-6"/>
          <w:sz w:val="15"/>
        </w:rPr>
        <w:t xml:space="preserve"> </w:t>
      </w:r>
      <w:r>
        <w:rPr>
          <w:color w:val="231F20"/>
          <w:sz w:val="15"/>
        </w:rPr>
        <w:t>ve</w:t>
      </w:r>
      <w:r>
        <w:rPr>
          <w:color w:val="231F20"/>
          <w:spacing w:val="-6"/>
          <w:sz w:val="15"/>
        </w:rPr>
        <w:t xml:space="preserve"> </w:t>
      </w:r>
      <w:r>
        <w:rPr>
          <w:color w:val="231F20"/>
          <w:sz w:val="15"/>
        </w:rPr>
        <w:t>vozidle</w:t>
      </w:r>
      <w:r>
        <w:rPr>
          <w:color w:val="231F20"/>
          <w:spacing w:val="-6"/>
          <w:sz w:val="15"/>
        </w:rPr>
        <w:t xml:space="preserve"> </w:t>
      </w:r>
      <w:r>
        <w:rPr>
          <w:color w:val="231F20"/>
          <w:sz w:val="15"/>
        </w:rPr>
        <w:t>nebo</w:t>
      </w:r>
      <w:r>
        <w:rPr>
          <w:color w:val="231F20"/>
          <w:spacing w:val="-6"/>
          <w:sz w:val="15"/>
        </w:rPr>
        <w:t xml:space="preserve"> </w:t>
      </w:r>
      <w:r>
        <w:rPr>
          <w:color w:val="231F20"/>
          <w:sz w:val="15"/>
        </w:rPr>
        <w:t>v</w:t>
      </w:r>
      <w:r>
        <w:rPr>
          <w:color w:val="231F20"/>
          <w:spacing w:val="-6"/>
          <w:sz w:val="15"/>
        </w:rPr>
        <w:t xml:space="preserve"> </w:t>
      </w:r>
      <w:r>
        <w:rPr>
          <w:color w:val="231F20"/>
          <w:sz w:val="15"/>
        </w:rPr>
        <w:t>jeho</w:t>
      </w:r>
      <w:r>
        <w:rPr>
          <w:color w:val="231F20"/>
          <w:spacing w:val="-6"/>
          <w:sz w:val="15"/>
        </w:rPr>
        <w:t xml:space="preserve"> </w:t>
      </w:r>
      <w:r>
        <w:rPr>
          <w:color w:val="231F20"/>
          <w:sz w:val="15"/>
        </w:rPr>
        <w:t>blízkosti</w:t>
      </w:r>
      <w:r>
        <w:rPr>
          <w:color w:val="231F20"/>
          <w:spacing w:val="-6"/>
          <w:sz w:val="15"/>
        </w:rPr>
        <w:t xml:space="preserve"> </w:t>
      </w:r>
      <w:r>
        <w:rPr>
          <w:color w:val="231F20"/>
          <w:sz w:val="15"/>
        </w:rPr>
        <w:t>na</w:t>
      </w:r>
      <w:r>
        <w:rPr>
          <w:color w:val="231F20"/>
          <w:spacing w:val="-6"/>
          <w:sz w:val="15"/>
        </w:rPr>
        <w:t xml:space="preserve"> </w:t>
      </w:r>
      <w:r>
        <w:rPr>
          <w:color w:val="231F20"/>
          <w:sz w:val="15"/>
        </w:rPr>
        <w:t>komunikaci;</w:t>
      </w:r>
    </w:p>
    <w:p w14:paraId="58EAE5F5" w14:textId="77777777" w:rsidR="00F65BCA" w:rsidRDefault="00216117">
      <w:pPr>
        <w:pStyle w:val="Odstavecseseznamem"/>
        <w:numPr>
          <w:ilvl w:val="1"/>
          <w:numId w:val="90"/>
        </w:numPr>
        <w:tabs>
          <w:tab w:val="left" w:pos="881"/>
        </w:tabs>
        <w:ind w:right="466" w:hanging="881"/>
        <w:jc w:val="right"/>
        <w:rPr>
          <w:sz w:val="15"/>
        </w:rPr>
      </w:pPr>
      <w:r>
        <w:rPr>
          <w:color w:val="231F20"/>
          <w:sz w:val="15"/>
        </w:rPr>
        <w:t>odstraňování</w:t>
      </w:r>
      <w:r>
        <w:rPr>
          <w:color w:val="231F20"/>
          <w:spacing w:val="-26"/>
          <w:sz w:val="15"/>
        </w:rPr>
        <w:t xml:space="preserve"> </w:t>
      </w:r>
      <w:r>
        <w:rPr>
          <w:color w:val="231F20"/>
          <w:sz w:val="15"/>
        </w:rPr>
        <w:t>běžných</w:t>
      </w:r>
      <w:r>
        <w:rPr>
          <w:color w:val="231F20"/>
          <w:spacing w:val="-25"/>
          <w:sz w:val="15"/>
        </w:rPr>
        <w:t xml:space="preserve"> </w:t>
      </w:r>
      <w:r>
        <w:rPr>
          <w:color w:val="231F20"/>
          <w:sz w:val="15"/>
        </w:rPr>
        <w:t>poruch</w:t>
      </w:r>
      <w:r>
        <w:rPr>
          <w:color w:val="231F20"/>
          <w:spacing w:val="-25"/>
          <w:sz w:val="15"/>
        </w:rPr>
        <w:t xml:space="preserve"> </w:t>
      </w:r>
      <w:r>
        <w:rPr>
          <w:color w:val="231F20"/>
          <w:sz w:val="15"/>
        </w:rPr>
        <w:t>vozidla</w:t>
      </w:r>
      <w:r>
        <w:rPr>
          <w:color w:val="231F20"/>
          <w:spacing w:val="-25"/>
          <w:sz w:val="15"/>
        </w:rPr>
        <w:t xml:space="preserve"> </w:t>
      </w:r>
      <w:r>
        <w:rPr>
          <w:color w:val="231F20"/>
          <w:sz w:val="15"/>
        </w:rPr>
        <w:t>vzniklých</w:t>
      </w:r>
      <w:r>
        <w:rPr>
          <w:color w:val="231F20"/>
          <w:spacing w:val="-26"/>
          <w:sz w:val="15"/>
        </w:rPr>
        <w:t xml:space="preserve"> </w:t>
      </w:r>
      <w:r>
        <w:rPr>
          <w:color w:val="231F20"/>
          <w:sz w:val="15"/>
        </w:rPr>
        <w:t>během</w:t>
      </w:r>
      <w:r>
        <w:rPr>
          <w:color w:val="231F20"/>
          <w:spacing w:val="-25"/>
          <w:sz w:val="15"/>
        </w:rPr>
        <w:t xml:space="preserve"> </w:t>
      </w:r>
      <w:r>
        <w:rPr>
          <w:color w:val="231F20"/>
          <w:sz w:val="15"/>
        </w:rPr>
        <w:t>jízdy</w:t>
      </w:r>
      <w:r>
        <w:rPr>
          <w:color w:val="231F20"/>
          <w:spacing w:val="-25"/>
          <w:sz w:val="15"/>
        </w:rPr>
        <w:t xml:space="preserve"> </w:t>
      </w:r>
      <w:r>
        <w:rPr>
          <w:color w:val="231F20"/>
          <w:sz w:val="15"/>
        </w:rPr>
        <w:t>vozidla.</w:t>
      </w:r>
    </w:p>
    <w:p w14:paraId="4684D7DF" w14:textId="77777777" w:rsidR="00F65BCA" w:rsidRDefault="00216117">
      <w:pPr>
        <w:pStyle w:val="Zkladntext"/>
        <w:spacing w:before="27"/>
        <w:ind w:right="523"/>
        <w:jc w:val="right"/>
      </w:pPr>
      <w:r>
        <w:rPr>
          <w:color w:val="231F20"/>
          <w:position w:val="1"/>
          <w:sz w:val="14"/>
          <w:shd w:val="clear" w:color="auto" w:fill="D1D3D4"/>
        </w:rPr>
        <w:t xml:space="preserve">  3</w:t>
      </w:r>
      <w:r>
        <w:rPr>
          <w:color w:val="231F20"/>
          <w:position w:val="1"/>
          <w:sz w:val="14"/>
        </w:rPr>
        <w:t xml:space="preserve"> </w:t>
      </w:r>
      <w:r>
        <w:rPr>
          <w:color w:val="231F20"/>
        </w:rPr>
        <w:t>Pojišťovna plní i za újmy na zdraví, které byly pojištěnému způsobeny:</w:t>
      </w:r>
    </w:p>
    <w:p w14:paraId="715A671E" w14:textId="77777777" w:rsidR="00F65BCA" w:rsidRDefault="00216117">
      <w:pPr>
        <w:pStyle w:val="Odstavecseseznamem"/>
        <w:numPr>
          <w:ilvl w:val="0"/>
          <w:numId w:val="88"/>
        </w:numPr>
        <w:tabs>
          <w:tab w:val="left" w:pos="881"/>
        </w:tabs>
        <w:spacing w:before="28"/>
        <w:rPr>
          <w:sz w:val="15"/>
        </w:rPr>
      </w:pPr>
      <w:r>
        <w:rPr>
          <w:color w:val="231F20"/>
          <w:sz w:val="15"/>
        </w:rPr>
        <w:t>nemocí,</w:t>
      </w:r>
      <w:r>
        <w:rPr>
          <w:color w:val="231F20"/>
          <w:spacing w:val="-8"/>
          <w:sz w:val="15"/>
        </w:rPr>
        <w:t xml:space="preserve"> </w:t>
      </w:r>
      <w:r>
        <w:rPr>
          <w:color w:val="231F20"/>
          <w:sz w:val="15"/>
        </w:rPr>
        <w:t>která</w:t>
      </w:r>
      <w:r>
        <w:rPr>
          <w:color w:val="231F20"/>
          <w:spacing w:val="-7"/>
          <w:sz w:val="15"/>
        </w:rPr>
        <w:t xml:space="preserve"> </w:t>
      </w:r>
      <w:r>
        <w:rPr>
          <w:color w:val="231F20"/>
          <w:sz w:val="15"/>
        </w:rPr>
        <w:t>není</w:t>
      </w:r>
      <w:r>
        <w:rPr>
          <w:color w:val="231F20"/>
          <w:spacing w:val="-7"/>
          <w:sz w:val="15"/>
        </w:rPr>
        <w:t xml:space="preserve"> </w:t>
      </w:r>
      <w:r>
        <w:rPr>
          <w:color w:val="231F20"/>
          <w:sz w:val="15"/>
        </w:rPr>
        <w:t>infekční,</w:t>
      </w:r>
      <w:r>
        <w:rPr>
          <w:color w:val="231F20"/>
          <w:spacing w:val="-7"/>
          <w:sz w:val="15"/>
        </w:rPr>
        <w:t xml:space="preserve"> </w:t>
      </w:r>
      <w:r>
        <w:rPr>
          <w:color w:val="231F20"/>
          <w:sz w:val="15"/>
        </w:rPr>
        <w:t>vzniklou</w:t>
      </w:r>
      <w:r>
        <w:rPr>
          <w:color w:val="231F20"/>
          <w:spacing w:val="-7"/>
          <w:sz w:val="15"/>
        </w:rPr>
        <w:t xml:space="preserve"> </w:t>
      </w:r>
      <w:r>
        <w:rPr>
          <w:color w:val="231F20"/>
          <w:sz w:val="15"/>
        </w:rPr>
        <w:t>výlučně</w:t>
      </w:r>
      <w:r>
        <w:rPr>
          <w:color w:val="231F20"/>
          <w:spacing w:val="-7"/>
          <w:sz w:val="15"/>
        </w:rPr>
        <w:t xml:space="preserve"> </w:t>
      </w:r>
      <w:r>
        <w:rPr>
          <w:color w:val="231F20"/>
          <w:sz w:val="15"/>
        </w:rPr>
        <w:t>následkem</w:t>
      </w:r>
      <w:r>
        <w:rPr>
          <w:color w:val="231F20"/>
          <w:spacing w:val="-7"/>
          <w:sz w:val="15"/>
        </w:rPr>
        <w:t xml:space="preserve"> </w:t>
      </w:r>
      <w:r>
        <w:rPr>
          <w:color w:val="231F20"/>
          <w:sz w:val="15"/>
        </w:rPr>
        <w:t>úrazu;</w:t>
      </w:r>
    </w:p>
    <w:p w14:paraId="3432D353" w14:textId="77777777" w:rsidR="00F65BCA" w:rsidRDefault="00216117">
      <w:pPr>
        <w:pStyle w:val="Odstavecseseznamem"/>
        <w:numPr>
          <w:ilvl w:val="0"/>
          <w:numId w:val="88"/>
        </w:numPr>
        <w:tabs>
          <w:tab w:val="left" w:pos="881"/>
        </w:tabs>
        <w:spacing w:before="27"/>
        <w:rPr>
          <w:sz w:val="15"/>
        </w:rPr>
      </w:pPr>
      <w:r>
        <w:rPr>
          <w:color w:val="231F20"/>
          <w:sz w:val="15"/>
        </w:rPr>
        <w:t>zhoršením</w:t>
      </w:r>
      <w:r>
        <w:rPr>
          <w:color w:val="231F20"/>
          <w:spacing w:val="-9"/>
          <w:sz w:val="15"/>
        </w:rPr>
        <w:t xml:space="preserve"> </w:t>
      </w:r>
      <w:r>
        <w:rPr>
          <w:color w:val="231F20"/>
          <w:sz w:val="15"/>
        </w:rPr>
        <w:t>následků</w:t>
      </w:r>
      <w:r>
        <w:rPr>
          <w:color w:val="231F20"/>
          <w:spacing w:val="-8"/>
          <w:sz w:val="15"/>
        </w:rPr>
        <w:t xml:space="preserve"> </w:t>
      </w:r>
      <w:r>
        <w:rPr>
          <w:color w:val="231F20"/>
          <w:sz w:val="15"/>
        </w:rPr>
        <w:t>úrazu</w:t>
      </w:r>
      <w:r>
        <w:rPr>
          <w:color w:val="231F20"/>
          <w:spacing w:val="-8"/>
          <w:sz w:val="15"/>
        </w:rPr>
        <w:t xml:space="preserve"> </w:t>
      </w:r>
      <w:r>
        <w:rPr>
          <w:color w:val="231F20"/>
          <w:sz w:val="15"/>
        </w:rPr>
        <w:t>nemocí,</w:t>
      </w:r>
      <w:r>
        <w:rPr>
          <w:color w:val="231F20"/>
          <w:spacing w:val="-9"/>
          <w:sz w:val="15"/>
        </w:rPr>
        <w:t xml:space="preserve"> </w:t>
      </w:r>
      <w:r>
        <w:rPr>
          <w:color w:val="231F20"/>
          <w:sz w:val="15"/>
        </w:rPr>
        <w:t>jíž</w:t>
      </w:r>
      <w:r>
        <w:rPr>
          <w:color w:val="231F20"/>
          <w:spacing w:val="-8"/>
          <w:sz w:val="15"/>
        </w:rPr>
        <w:t xml:space="preserve"> </w:t>
      </w:r>
      <w:r>
        <w:rPr>
          <w:color w:val="231F20"/>
          <w:sz w:val="15"/>
        </w:rPr>
        <w:t>pojištěný</w:t>
      </w:r>
      <w:r>
        <w:rPr>
          <w:color w:val="231F20"/>
          <w:spacing w:val="-8"/>
          <w:sz w:val="15"/>
        </w:rPr>
        <w:t xml:space="preserve"> </w:t>
      </w:r>
      <w:r>
        <w:rPr>
          <w:color w:val="231F20"/>
          <w:sz w:val="15"/>
        </w:rPr>
        <w:t>trpěl</w:t>
      </w:r>
      <w:r>
        <w:rPr>
          <w:color w:val="231F20"/>
          <w:spacing w:val="-8"/>
          <w:sz w:val="15"/>
        </w:rPr>
        <w:t xml:space="preserve"> </w:t>
      </w:r>
      <w:r>
        <w:rPr>
          <w:color w:val="231F20"/>
          <w:sz w:val="15"/>
        </w:rPr>
        <w:t>před</w:t>
      </w:r>
      <w:r>
        <w:rPr>
          <w:color w:val="231F20"/>
          <w:spacing w:val="-9"/>
          <w:sz w:val="15"/>
        </w:rPr>
        <w:t xml:space="preserve"> </w:t>
      </w:r>
      <w:r>
        <w:rPr>
          <w:color w:val="231F20"/>
          <w:sz w:val="15"/>
        </w:rPr>
        <w:t>úrazem;</w:t>
      </w:r>
    </w:p>
    <w:p w14:paraId="1CE1E082" w14:textId="77777777" w:rsidR="00F65BCA" w:rsidRDefault="00216117">
      <w:pPr>
        <w:pStyle w:val="Odstavecseseznamem"/>
        <w:numPr>
          <w:ilvl w:val="0"/>
          <w:numId w:val="88"/>
        </w:numPr>
        <w:tabs>
          <w:tab w:val="left" w:pos="881"/>
        </w:tabs>
        <w:spacing w:before="28" w:line="278" w:lineRule="auto"/>
        <w:rPr>
          <w:sz w:val="15"/>
        </w:rPr>
      </w:pPr>
      <w:r>
        <w:rPr>
          <w:color w:val="231F20"/>
          <w:sz w:val="15"/>
        </w:rPr>
        <w:t>místním</w:t>
      </w:r>
      <w:r>
        <w:rPr>
          <w:color w:val="231F20"/>
          <w:spacing w:val="-7"/>
          <w:sz w:val="15"/>
        </w:rPr>
        <w:t xml:space="preserve"> </w:t>
      </w:r>
      <w:r>
        <w:rPr>
          <w:color w:val="231F20"/>
          <w:sz w:val="15"/>
        </w:rPr>
        <w:t>hnisáním</w:t>
      </w:r>
      <w:r>
        <w:rPr>
          <w:color w:val="231F20"/>
          <w:spacing w:val="-7"/>
          <w:sz w:val="15"/>
        </w:rPr>
        <w:t xml:space="preserve"> </w:t>
      </w:r>
      <w:r>
        <w:rPr>
          <w:color w:val="231F20"/>
          <w:sz w:val="15"/>
        </w:rPr>
        <w:t>po</w:t>
      </w:r>
      <w:r>
        <w:rPr>
          <w:color w:val="231F20"/>
          <w:spacing w:val="-6"/>
          <w:sz w:val="15"/>
        </w:rPr>
        <w:t xml:space="preserve"> </w:t>
      </w:r>
      <w:r>
        <w:rPr>
          <w:color w:val="231F20"/>
          <w:sz w:val="15"/>
        </w:rPr>
        <w:t>vniknutí</w:t>
      </w:r>
      <w:r>
        <w:rPr>
          <w:color w:val="231F20"/>
          <w:spacing w:val="-7"/>
          <w:sz w:val="15"/>
        </w:rPr>
        <w:t xml:space="preserve"> </w:t>
      </w:r>
      <w:r>
        <w:rPr>
          <w:color w:val="231F20"/>
          <w:sz w:val="15"/>
        </w:rPr>
        <w:t>choroboplodných</w:t>
      </w:r>
      <w:r>
        <w:rPr>
          <w:color w:val="231F20"/>
          <w:spacing w:val="-7"/>
          <w:sz w:val="15"/>
        </w:rPr>
        <w:t xml:space="preserve"> </w:t>
      </w:r>
      <w:r>
        <w:rPr>
          <w:color w:val="231F20"/>
          <w:sz w:val="15"/>
        </w:rPr>
        <w:t>zárodků</w:t>
      </w:r>
      <w:r>
        <w:rPr>
          <w:color w:val="231F20"/>
          <w:spacing w:val="-6"/>
          <w:sz w:val="15"/>
        </w:rPr>
        <w:t xml:space="preserve"> </w:t>
      </w:r>
      <w:r>
        <w:rPr>
          <w:color w:val="231F20"/>
          <w:sz w:val="15"/>
        </w:rPr>
        <w:t>do</w:t>
      </w:r>
      <w:r>
        <w:rPr>
          <w:color w:val="231F20"/>
          <w:spacing w:val="-7"/>
          <w:sz w:val="15"/>
        </w:rPr>
        <w:t xml:space="preserve"> </w:t>
      </w:r>
      <w:r>
        <w:rPr>
          <w:color w:val="231F20"/>
          <w:sz w:val="15"/>
        </w:rPr>
        <w:t>otevřené</w:t>
      </w:r>
      <w:r>
        <w:rPr>
          <w:color w:val="231F20"/>
          <w:spacing w:val="-7"/>
          <w:sz w:val="15"/>
        </w:rPr>
        <w:t xml:space="preserve"> </w:t>
      </w:r>
      <w:r>
        <w:rPr>
          <w:color w:val="231F20"/>
          <w:spacing w:val="-4"/>
          <w:sz w:val="15"/>
        </w:rPr>
        <w:t xml:space="preserve">rány </w:t>
      </w:r>
      <w:r>
        <w:rPr>
          <w:color w:val="231F20"/>
          <w:sz w:val="15"/>
        </w:rPr>
        <w:t>způsobené úrazem a nákazou tetanem při</w:t>
      </w:r>
      <w:r>
        <w:rPr>
          <w:color w:val="231F20"/>
          <w:spacing w:val="-15"/>
          <w:sz w:val="15"/>
        </w:rPr>
        <w:t xml:space="preserve"> </w:t>
      </w:r>
      <w:r>
        <w:rPr>
          <w:color w:val="231F20"/>
          <w:sz w:val="15"/>
        </w:rPr>
        <w:t>úrazu;</w:t>
      </w:r>
    </w:p>
    <w:p w14:paraId="206EAE66" w14:textId="77777777" w:rsidR="00F65BCA" w:rsidRDefault="00216117">
      <w:pPr>
        <w:pStyle w:val="Odstavecseseznamem"/>
        <w:numPr>
          <w:ilvl w:val="0"/>
          <w:numId w:val="88"/>
        </w:numPr>
        <w:tabs>
          <w:tab w:val="left" w:pos="881"/>
        </w:tabs>
        <w:spacing w:line="278" w:lineRule="auto"/>
        <w:rPr>
          <w:sz w:val="15"/>
        </w:rPr>
      </w:pPr>
      <w:r>
        <w:rPr>
          <w:color w:val="231F20"/>
          <w:sz w:val="15"/>
        </w:rPr>
        <w:t>diagnostickými,</w:t>
      </w:r>
      <w:r>
        <w:rPr>
          <w:color w:val="231F20"/>
          <w:spacing w:val="-23"/>
          <w:sz w:val="15"/>
        </w:rPr>
        <w:t xml:space="preserve"> </w:t>
      </w:r>
      <w:r>
        <w:rPr>
          <w:color w:val="231F20"/>
          <w:sz w:val="15"/>
        </w:rPr>
        <w:t>léčebnými</w:t>
      </w:r>
      <w:r>
        <w:rPr>
          <w:color w:val="231F20"/>
          <w:spacing w:val="-22"/>
          <w:sz w:val="15"/>
        </w:rPr>
        <w:t xml:space="preserve"> </w:t>
      </w:r>
      <w:r>
        <w:rPr>
          <w:color w:val="231F20"/>
          <w:sz w:val="15"/>
        </w:rPr>
        <w:t>a</w:t>
      </w:r>
      <w:r>
        <w:rPr>
          <w:color w:val="231F20"/>
          <w:spacing w:val="-22"/>
          <w:sz w:val="15"/>
        </w:rPr>
        <w:t xml:space="preserve"> </w:t>
      </w:r>
      <w:r>
        <w:rPr>
          <w:color w:val="231F20"/>
          <w:sz w:val="15"/>
        </w:rPr>
        <w:t>preventivními</w:t>
      </w:r>
      <w:r>
        <w:rPr>
          <w:color w:val="231F20"/>
          <w:spacing w:val="-22"/>
          <w:sz w:val="15"/>
        </w:rPr>
        <w:t xml:space="preserve"> </w:t>
      </w:r>
      <w:r>
        <w:rPr>
          <w:color w:val="231F20"/>
          <w:sz w:val="15"/>
        </w:rPr>
        <w:t>zákroky</w:t>
      </w:r>
      <w:r>
        <w:rPr>
          <w:color w:val="231F20"/>
          <w:spacing w:val="-22"/>
          <w:sz w:val="15"/>
        </w:rPr>
        <w:t xml:space="preserve"> </w:t>
      </w:r>
      <w:r>
        <w:rPr>
          <w:color w:val="231F20"/>
          <w:sz w:val="15"/>
        </w:rPr>
        <w:t>provedenými</w:t>
      </w:r>
      <w:r>
        <w:rPr>
          <w:color w:val="231F20"/>
          <w:spacing w:val="-22"/>
          <w:sz w:val="15"/>
        </w:rPr>
        <w:t xml:space="preserve"> </w:t>
      </w:r>
      <w:r>
        <w:rPr>
          <w:color w:val="231F20"/>
          <w:sz w:val="15"/>
        </w:rPr>
        <w:t>za</w:t>
      </w:r>
      <w:r>
        <w:rPr>
          <w:color w:val="231F20"/>
          <w:spacing w:val="-23"/>
          <w:sz w:val="15"/>
        </w:rPr>
        <w:t xml:space="preserve"> </w:t>
      </w:r>
      <w:r>
        <w:rPr>
          <w:color w:val="231F20"/>
          <w:spacing w:val="-3"/>
          <w:sz w:val="15"/>
        </w:rPr>
        <w:t xml:space="preserve">účelem </w:t>
      </w:r>
      <w:r>
        <w:rPr>
          <w:color w:val="231F20"/>
          <w:sz w:val="15"/>
        </w:rPr>
        <w:t>léčení následků</w:t>
      </w:r>
      <w:r>
        <w:rPr>
          <w:color w:val="231F20"/>
          <w:spacing w:val="-2"/>
          <w:sz w:val="15"/>
        </w:rPr>
        <w:t xml:space="preserve"> </w:t>
      </w:r>
      <w:r>
        <w:rPr>
          <w:color w:val="231F20"/>
          <w:sz w:val="15"/>
        </w:rPr>
        <w:t>úrazu.</w:t>
      </w:r>
    </w:p>
    <w:p w14:paraId="51254A5B" w14:textId="77777777" w:rsidR="00F65BCA" w:rsidRDefault="00F65BCA">
      <w:pPr>
        <w:pStyle w:val="Zkladntext"/>
        <w:spacing w:before="10"/>
        <w:rPr>
          <w:sz w:val="20"/>
        </w:rPr>
      </w:pPr>
    </w:p>
    <w:p w14:paraId="1EA273F4" w14:textId="77777777" w:rsidR="00F65BCA" w:rsidRDefault="00216117">
      <w:pPr>
        <w:ind w:left="428"/>
        <w:rPr>
          <w:sz w:val="15"/>
        </w:rPr>
      </w:pPr>
      <w:r>
        <w:rPr>
          <w:color w:val="FFFFFF"/>
          <w:position w:val="3"/>
          <w:sz w:val="16"/>
          <w:shd w:val="clear" w:color="auto" w:fill="808285"/>
        </w:rPr>
        <w:t xml:space="preserve">  </w:t>
      </w:r>
      <w:r>
        <w:rPr>
          <w:color w:val="FFFFFF"/>
          <w:w w:val="105"/>
          <w:position w:val="3"/>
          <w:sz w:val="16"/>
          <w:shd w:val="clear" w:color="auto" w:fill="808285"/>
        </w:rPr>
        <w:t>Článek 76</w:t>
      </w:r>
      <w:r>
        <w:rPr>
          <w:color w:val="FFFFFF"/>
          <w:w w:val="105"/>
          <w:position w:val="3"/>
          <w:sz w:val="16"/>
        </w:rPr>
        <w:t xml:space="preserve"> </w:t>
      </w:r>
      <w:r>
        <w:rPr>
          <w:color w:val="231F20"/>
          <w:w w:val="105"/>
          <w:sz w:val="15"/>
        </w:rPr>
        <w:t>Povinnosti pojištěného</w:t>
      </w:r>
    </w:p>
    <w:p w14:paraId="59472AE2"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18"/>
          <w:position w:val="1"/>
          <w:sz w:val="14"/>
        </w:rPr>
        <w:t xml:space="preserve"> </w:t>
      </w:r>
      <w:r>
        <w:rPr>
          <w:color w:val="231F20"/>
        </w:rPr>
        <w:t>Povinností</w:t>
      </w:r>
      <w:r>
        <w:rPr>
          <w:color w:val="231F20"/>
          <w:spacing w:val="-13"/>
        </w:rPr>
        <w:t xml:space="preserve"> </w:t>
      </w:r>
      <w:r>
        <w:rPr>
          <w:color w:val="231F20"/>
        </w:rPr>
        <w:t>pojištěného</w:t>
      </w:r>
      <w:r>
        <w:rPr>
          <w:color w:val="231F20"/>
          <w:spacing w:val="-14"/>
        </w:rPr>
        <w:t xml:space="preserve"> </w:t>
      </w:r>
      <w:r>
        <w:rPr>
          <w:color w:val="231F20"/>
        </w:rPr>
        <w:t>je</w:t>
      </w:r>
      <w:r>
        <w:rPr>
          <w:color w:val="231F20"/>
          <w:spacing w:val="-14"/>
        </w:rPr>
        <w:t xml:space="preserve"> </w:t>
      </w:r>
      <w:r>
        <w:rPr>
          <w:color w:val="231F20"/>
        </w:rPr>
        <w:t>bez</w:t>
      </w:r>
      <w:r>
        <w:rPr>
          <w:color w:val="231F20"/>
          <w:spacing w:val="-13"/>
        </w:rPr>
        <w:t xml:space="preserve"> </w:t>
      </w:r>
      <w:r>
        <w:rPr>
          <w:color w:val="231F20"/>
        </w:rPr>
        <w:t>zbytečného</w:t>
      </w:r>
      <w:r>
        <w:rPr>
          <w:color w:val="231F20"/>
          <w:spacing w:val="-14"/>
        </w:rPr>
        <w:t xml:space="preserve"> </w:t>
      </w:r>
      <w:r>
        <w:rPr>
          <w:color w:val="231F20"/>
        </w:rPr>
        <w:t>odkladu</w:t>
      </w:r>
      <w:r>
        <w:rPr>
          <w:color w:val="231F20"/>
          <w:spacing w:val="-14"/>
        </w:rPr>
        <w:t xml:space="preserve"> </w:t>
      </w:r>
      <w:r>
        <w:rPr>
          <w:color w:val="231F20"/>
        </w:rPr>
        <w:t>vyhledat</w:t>
      </w:r>
      <w:r>
        <w:rPr>
          <w:color w:val="231F20"/>
          <w:spacing w:val="-14"/>
        </w:rPr>
        <w:t xml:space="preserve"> </w:t>
      </w:r>
      <w:r>
        <w:rPr>
          <w:color w:val="231F20"/>
        </w:rPr>
        <w:t>po</w:t>
      </w:r>
      <w:r>
        <w:rPr>
          <w:color w:val="231F20"/>
          <w:spacing w:val="-13"/>
        </w:rPr>
        <w:t xml:space="preserve"> </w:t>
      </w:r>
      <w:r>
        <w:rPr>
          <w:color w:val="231F20"/>
        </w:rPr>
        <w:t>úrazu</w:t>
      </w:r>
      <w:r>
        <w:rPr>
          <w:color w:val="231F20"/>
          <w:spacing w:val="-14"/>
        </w:rPr>
        <w:t xml:space="preserve"> </w:t>
      </w:r>
      <w:r>
        <w:rPr>
          <w:color w:val="231F20"/>
        </w:rPr>
        <w:t>lékařské ošetření,</w:t>
      </w:r>
      <w:r>
        <w:rPr>
          <w:color w:val="231F20"/>
          <w:spacing w:val="-20"/>
        </w:rPr>
        <w:t xml:space="preserve"> </w:t>
      </w:r>
      <w:r>
        <w:rPr>
          <w:color w:val="231F20"/>
        </w:rPr>
        <w:t>léčit</w:t>
      </w:r>
      <w:r>
        <w:rPr>
          <w:color w:val="231F20"/>
          <w:spacing w:val="-20"/>
        </w:rPr>
        <w:t xml:space="preserve"> </w:t>
      </w:r>
      <w:r>
        <w:rPr>
          <w:color w:val="231F20"/>
        </w:rPr>
        <w:t>se</w:t>
      </w:r>
      <w:r>
        <w:rPr>
          <w:color w:val="231F20"/>
          <w:spacing w:val="-20"/>
        </w:rPr>
        <w:t xml:space="preserve"> </w:t>
      </w:r>
      <w:r>
        <w:rPr>
          <w:color w:val="231F20"/>
        </w:rPr>
        <w:t>podle</w:t>
      </w:r>
      <w:r>
        <w:rPr>
          <w:color w:val="231F20"/>
          <w:spacing w:val="-20"/>
        </w:rPr>
        <w:t xml:space="preserve"> </w:t>
      </w:r>
      <w:r>
        <w:rPr>
          <w:color w:val="231F20"/>
        </w:rPr>
        <w:t>pokynů</w:t>
      </w:r>
      <w:r>
        <w:rPr>
          <w:color w:val="231F20"/>
          <w:spacing w:val="-20"/>
        </w:rPr>
        <w:t xml:space="preserve"> </w:t>
      </w:r>
      <w:r>
        <w:rPr>
          <w:color w:val="231F20"/>
        </w:rPr>
        <w:t>lékaře,</w:t>
      </w:r>
      <w:r>
        <w:rPr>
          <w:color w:val="231F20"/>
          <w:spacing w:val="-20"/>
        </w:rPr>
        <w:t xml:space="preserve"> </w:t>
      </w:r>
      <w:r>
        <w:rPr>
          <w:color w:val="231F20"/>
        </w:rPr>
        <w:t>a</w:t>
      </w:r>
      <w:r>
        <w:rPr>
          <w:color w:val="231F20"/>
          <w:spacing w:val="-20"/>
        </w:rPr>
        <w:t xml:space="preserve"> </w:t>
      </w:r>
      <w:r>
        <w:rPr>
          <w:color w:val="231F20"/>
        </w:rPr>
        <w:t>vyžaduje-li</w:t>
      </w:r>
      <w:r>
        <w:rPr>
          <w:color w:val="231F20"/>
          <w:spacing w:val="-20"/>
        </w:rPr>
        <w:t xml:space="preserve"> </w:t>
      </w:r>
      <w:r>
        <w:rPr>
          <w:color w:val="231F20"/>
        </w:rPr>
        <w:t>to</w:t>
      </w:r>
      <w:r>
        <w:rPr>
          <w:color w:val="231F20"/>
          <w:spacing w:val="-20"/>
        </w:rPr>
        <w:t xml:space="preserve"> </w:t>
      </w:r>
      <w:r>
        <w:rPr>
          <w:color w:val="231F20"/>
        </w:rPr>
        <w:t>Pojišťovna,</w:t>
      </w:r>
      <w:r>
        <w:rPr>
          <w:color w:val="231F20"/>
          <w:spacing w:val="-20"/>
        </w:rPr>
        <w:t xml:space="preserve"> </w:t>
      </w:r>
      <w:r>
        <w:rPr>
          <w:color w:val="231F20"/>
        </w:rPr>
        <w:t>dát</w:t>
      </w:r>
      <w:r>
        <w:rPr>
          <w:color w:val="231F20"/>
          <w:spacing w:val="-20"/>
        </w:rPr>
        <w:t xml:space="preserve"> </w:t>
      </w:r>
      <w:r>
        <w:rPr>
          <w:color w:val="231F20"/>
        </w:rPr>
        <w:t>se</w:t>
      </w:r>
      <w:r>
        <w:rPr>
          <w:color w:val="231F20"/>
          <w:spacing w:val="-19"/>
        </w:rPr>
        <w:t xml:space="preserve"> </w:t>
      </w:r>
      <w:r>
        <w:rPr>
          <w:color w:val="231F20"/>
        </w:rPr>
        <w:t>na</w:t>
      </w:r>
      <w:r>
        <w:rPr>
          <w:color w:val="231F20"/>
          <w:spacing w:val="-20"/>
        </w:rPr>
        <w:t xml:space="preserve"> </w:t>
      </w:r>
      <w:r>
        <w:rPr>
          <w:color w:val="231F20"/>
        </w:rPr>
        <w:t>její náklady</w:t>
      </w:r>
      <w:r>
        <w:rPr>
          <w:color w:val="231F20"/>
          <w:spacing w:val="-27"/>
        </w:rPr>
        <w:t xml:space="preserve"> </w:t>
      </w:r>
      <w:r>
        <w:rPr>
          <w:color w:val="231F20"/>
        </w:rPr>
        <w:t>vyšetřit</w:t>
      </w:r>
      <w:r>
        <w:rPr>
          <w:color w:val="231F20"/>
          <w:spacing w:val="-27"/>
        </w:rPr>
        <w:t xml:space="preserve"> </w:t>
      </w:r>
      <w:r>
        <w:rPr>
          <w:color w:val="231F20"/>
        </w:rPr>
        <w:t>lékařem,</w:t>
      </w:r>
      <w:r>
        <w:rPr>
          <w:color w:val="231F20"/>
          <w:spacing w:val="-27"/>
        </w:rPr>
        <w:t xml:space="preserve"> </w:t>
      </w:r>
      <w:r>
        <w:rPr>
          <w:color w:val="231F20"/>
        </w:rPr>
        <w:t>kterého</w:t>
      </w:r>
      <w:r>
        <w:rPr>
          <w:color w:val="231F20"/>
          <w:spacing w:val="-27"/>
        </w:rPr>
        <w:t xml:space="preserve"> </w:t>
      </w:r>
      <w:r>
        <w:rPr>
          <w:color w:val="231F20"/>
        </w:rPr>
        <w:t>Pojišťovna</w:t>
      </w:r>
      <w:r>
        <w:rPr>
          <w:color w:val="231F20"/>
          <w:spacing w:val="-26"/>
        </w:rPr>
        <w:t xml:space="preserve"> </w:t>
      </w:r>
      <w:r>
        <w:rPr>
          <w:color w:val="231F20"/>
        </w:rPr>
        <w:t>určí.</w:t>
      </w:r>
      <w:r>
        <w:rPr>
          <w:color w:val="231F20"/>
          <w:spacing w:val="-27"/>
        </w:rPr>
        <w:t xml:space="preserve"> </w:t>
      </w:r>
      <w:r>
        <w:rPr>
          <w:color w:val="231F20"/>
        </w:rPr>
        <w:t>V</w:t>
      </w:r>
      <w:r>
        <w:rPr>
          <w:color w:val="231F20"/>
          <w:spacing w:val="-27"/>
        </w:rPr>
        <w:t xml:space="preserve"> </w:t>
      </w:r>
      <w:r>
        <w:rPr>
          <w:color w:val="231F20"/>
        </w:rPr>
        <w:t>případě</w:t>
      </w:r>
      <w:r>
        <w:rPr>
          <w:color w:val="231F20"/>
          <w:spacing w:val="-27"/>
        </w:rPr>
        <w:t xml:space="preserve"> </w:t>
      </w:r>
      <w:r>
        <w:rPr>
          <w:color w:val="231F20"/>
        </w:rPr>
        <w:t>pozdního</w:t>
      </w:r>
      <w:r>
        <w:rPr>
          <w:color w:val="231F20"/>
          <w:spacing w:val="-26"/>
        </w:rPr>
        <w:t xml:space="preserve"> </w:t>
      </w:r>
      <w:r>
        <w:rPr>
          <w:color w:val="231F20"/>
          <w:spacing w:val="-3"/>
        </w:rPr>
        <w:t xml:space="preserve">ošetření, </w:t>
      </w:r>
      <w:r>
        <w:rPr>
          <w:color w:val="231F20"/>
        </w:rPr>
        <w:t>které</w:t>
      </w:r>
      <w:r>
        <w:rPr>
          <w:color w:val="231F20"/>
          <w:spacing w:val="-16"/>
        </w:rPr>
        <w:t xml:space="preserve"> </w:t>
      </w:r>
      <w:r>
        <w:rPr>
          <w:color w:val="231F20"/>
        </w:rPr>
        <w:t>mělo</w:t>
      </w:r>
      <w:r>
        <w:rPr>
          <w:color w:val="231F20"/>
          <w:spacing w:val="-15"/>
        </w:rPr>
        <w:t xml:space="preserve"> </w:t>
      </w:r>
      <w:r>
        <w:rPr>
          <w:color w:val="231F20"/>
        </w:rPr>
        <w:t>vliv</w:t>
      </w:r>
      <w:r>
        <w:rPr>
          <w:color w:val="231F20"/>
          <w:spacing w:val="-15"/>
        </w:rPr>
        <w:t xml:space="preserve"> </w:t>
      </w:r>
      <w:r>
        <w:rPr>
          <w:color w:val="231F20"/>
        </w:rPr>
        <w:t>na</w:t>
      </w:r>
      <w:r>
        <w:rPr>
          <w:color w:val="231F20"/>
          <w:spacing w:val="-15"/>
        </w:rPr>
        <w:t xml:space="preserve"> </w:t>
      </w:r>
      <w:r>
        <w:rPr>
          <w:color w:val="231F20"/>
        </w:rPr>
        <w:t>délku</w:t>
      </w:r>
      <w:r>
        <w:rPr>
          <w:color w:val="231F20"/>
          <w:spacing w:val="-15"/>
        </w:rPr>
        <w:t xml:space="preserve"> </w:t>
      </w:r>
      <w:r>
        <w:rPr>
          <w:color w:val="231F20"/>
        </w:rPr>
        <w:t>léčení</w:t>
      </w:r>
      <w:r>
        <w:rPr>
          <w:color w:val="231F20"/>
          <w:spacing w:val="-15"/>
        </w:rPr>
        <w:t xml:space="preserve"> </w:t>
      </w:r>
      <w:r>
        <w:rPr>
          <w:color w:val="231F20"/>
        </w:rPr>
        <w:t>a</w:t>
      </w:r>
      <w:r>
        <w:rPr>
          <w:color w:val="231F20"/>
          <w:spacing w:val="-15"/>
        </w:rPr>
        <w:t xml:space="preserve"> </w:t>
      </w:r>
      <w:r>
        <w:rPr>
          <w:color w:val="231F20"/>
        </w:rPr>
        <w:t>rozsah</w:t>
      </w:r>
      <w:r>
        <w:rPr>
          <w:color w:val="231F20"/>
          <w:spacing w:val="-15"/>
        </w:rPr>
        <w:t xml:space="preserve"> </w:t>
      </w:r>
      <w:r>
        <w:rPr>
          <w:color w:val="231F20"/>
        </w:rPr>
        <w:t>trvalých</w:t>
      </w:r>
      <w:r>
        <w:rPr>
          <w:color w:val="231F20"/>
          <w:spacing w:val="-15"/>
        </w:rPr>
        <w:t xml:space="preserve"> </w:t>
      </w:r>
      <w:r>
        <w:rPr>
          <w:color w:val="231F20"/>
        </w:rPr>
        <w:t>následků,</w:t>
      </w:r>
      <w:r>
        <w:rPr>
          <w:color w:val="231F20"/>
          <w:spacing w:val="-15"/>
        </w:rPr>
        <w:t xml:space="preserve"> </w:t>
      </w:r>
      <w:r>
        <w:rPr>
          <w:color w:val="231F20"/>
        </w:rPr>
        <w:t>má</w:t>
      </w:r>
      <w:r>
        <w:rPr>
          <w:color w:val="231F20"/>
          <w:spacing w:val="-15"/>
        </w:rPr>
        <w:t xml:space="preserve"> </w:t>
      </w:r>
      <w:r>
        <w:rPr>
          <w:color w:val="231F20"/>
        </w:rPr>
        <w:t>Pojišťovna</w:t>
      </w:r>
      <w:r>
        <w:rPr>
          <w:color w:val="231F20"/>
          <w:spacing w:val="-16"/>
        </w:rPr>
        <w:t xml:space="preserve"> </w:t>
      </w:r>
      <w:r>
        <w:rPr>
          <w:color w:val="231F20"/>
          <w:spacing w:val="-4"/>
        </w:rPr>
        <w:t xml:space="preserve">prá- </w:t>
      </w:r>
      <w:r>
        <w:rPr>
          <w:color w:val="231F20"/>
        </w:rPr>
        <w:t>vo</w:t>
      </w:r>
      <w:r>
        <w:rPr>
          <w:color w:val="231F20"/>
          <w:spacing w:val="-6"/>
        </w:rPr>
        <w:t xml:space="preserve"> </w:t>
      </w:r>
      <w:r>
        <w:rPr>
          <w:color w:val="231F20"/>
        </w:rPr>
        <w:t>poskytnout</w:t>
      </w:r>
      <w:r>
        <w:rPr>
          <w:color w:val="231F20"/>
          <w:spacing w:val="-5"/>
        </w:rPr>
        <w:t xml:space="preserve"> </w:t>
      </w:r>
      <w:r>
        <w:rPr>
          <w:color w:val="231F20"/>
        </w:rPr>
        <w:t>pojistné</w:t>
      </w:r>
      <w:r>
        <w:rPr>
          <w:color w:val="231F20"/>
          <w:spacing w:val="-5"/>
        </w:rPr>
        <w:t xml:space="preserve"> </w:t>
      </w:r>
      <w:r>
        <w:rPr>
          <w:color w:val="231F20"/>
        </w:rPr>
        <w:t>plnění</w:t>
      </w:r>
      <w:r>
        <w:rPr>
          <w:color w:val="231F20"/>
          <w:spacing w:val="-5"/>
        </w:rPr>
        <w:t xml:space="preserve"> </w:t>
      </w:r>
      <w:r>
        <w:rPr>
          <w:color w:val="231F20"/>
        </w:rPr>
        <w:t>v</w:t>
      </w:r>
      <w:r>
        <w:rPr>
          <w:color w:val="231F20"/>
          <w:spacing w:val="-5"/>
        </w:rPr>
        <w:t xml:space="preserve"> </w:t>
      </w:r>
      <w:r>
        <w:rPr>
          <w:color w:val="231F20"/>
        </w:rPr>
        <w:t>případě</w:t>
      </w:r>
      <w:r>
        <w:rPr>
          <w:color w:val="231F20"/>
          <w:spacing w:val="-5"/>
        </w:rPr>
        <w:t xml:space="preserve"> </w:t>
      </w:r>
      <w:r>
        <w:rPr>
          <w:color w:val="231F20"/>
        </w:rPr>
        <w:t>denního</w:t>
      </w:r>
      <w:r>
        <w:rPr>
          <w:color w:val="231F20"/>
          <w:spacing w:val="-6"/>
        </w:rPr>
        <w:t xml:space="preserve"> </w:t>
      </w:r>
      <w:r>
        <w:rPr>
          <w:color w:val="231F20"/>
        </w:rPr>
        <w:t>plnění</w:t>
      </w:r>
      <w:r>
        <w:rPr>
          <w:color w:val="231F20"/>
          <w:spacing w:val="-5"/>
        </w:rPr>
        <w:t xml:space="preserve"> </w:t>
      </w:r>
      <w:r>
        <w:rPr>
          <w:color w:val="231F20"/>
        </w:rPr>
        <w:t>za</w:t>
      </w:r>
      <w:r>
        <w:rPr>
          <w:color w:val="231F20"/>
          <w:spacing w:val="-5"/>
        </w:rPr>
        <w:t xml:space="preserve"> </w:t>
      </w:r>
      <w:r>
        <w:rPr>
          <w:color w:val="231F20"/>
        </w:rPr>
        <w:t>dobu</w:t>
      </w:r>
      <w:r>
        <w:rPr>
          <w:color w:val="231F20"/>
          <w:spacing w:val="-5"/>
        </w:rPr>
        <w:t xml:space="preserve"> </w:t>
      </w:r>
      <w:r>
        <w:rPr>
          <w:color w:val="231F20"/>
        </w:rPr>
        <w:t>nezbytného léčení</w:t>
      </w:r>
      <w:r>
        <w:rPr>
          <w:color w:val="231F20"/>
          <w:spacing w:val="-22"/>
        </w:rPr>
        <w:t xml:space="preserve"> </w:t>
      </w:r>
      <w:r>
        <w:rPr>
          <w:color w:val="231F20"/>
        </w:rPr>
        <w:t>úrazu</w:t>
      </w:r>
      <w:r>
        <w:rPr>
          <w:color w:val="231F20"/>
          <w:spacing w:val="-22"/>
        </w:rPr>
        <w:t xml:space="preserve"> </w:t>
      </w:r>
      <w:r>
        <w:rPr>
          <w:color w:val="231F20"/>
        </w:rPr>
        <w:t>pouze</w:t>
      </w:r>
      <w:r>
        <w:rPr>
          <w:color w:val="231F20"/>
          <w:spacing w:val="-21"/>
        </w:rPr>
        <w:t xml:space="preserve"> </w:t>
      </w:r>
      <w:r>
        <w:rPr>
          <w:color w:val="231F20"/>
        </w:rPr>
        <w:t>za</w:t>
      </w:r>
      <w:r>
        <w:rPr>
          <w:color w:val="231F20"/>
          <w:spacing w:val="-22"/>
        </w:rPr>
        <w:t xml:space="preserve"> </w:t>
      </w:r>
      <w:r>
        <w:rPr>
          <w:color w:val="231F20"/>
        </w:rPr>
        <w:t>prokázanou</w:t>
      </w:r>
      <w:r>
        <w:rPr>
          <w:color w:val="231F20"/>
          <w:spacing w:val="-22"/>
        </w:rPr>
        <w:t xml:space="preserve"> </w:t>
      </w:r>
      <w:r>
        <w:rPr>
          <w:color w:val="231F20"/>
        </w:rPr>
        <w:t>dobu</w:t>
      </w:r>
      <w:r>
        <w:rPr>
          <w:color w:val="231F20"/>
          <w:spacing w:val="-21"/>
        </w:rPr>
        <w:t xml:space="preserve"> </w:t>
      </w:r>
      <w:r>
        <w:rPr>
          <w:color w:val="231F20"/>
        </w:rPr>
        <w:t>léčení,</w:t>
      </w:r>
      <w:r>
        <w:rPr>
          <w:color w:val="231F20"/>
          <w:spacing w:val="-22"/>
        </w:rPr>
        <w:t xml:space="preserve"> </w:t>
      </w:r>
      <w:r>
        <w:rPr>
          <w:color w:val="231F20"/>
        </w:rPr>
        <w:t>nejvýše</w:t>
      </w:r>
      <w:r>
        <w:rPr>
          <w:color w:val="231F20"/>
          <w:spacing w:val="-22"/>
        </w:rPr>
        <w:t xml:space="preserve"> </w:t>
      </w:r>
      <w:r>
        <w:rPr>
          <w:color w:val="231F20"/>
        </w:rPr>
        <w:t>do</w:t>
      </w:r>
      <w:r>
        <w:rPr>
          <w:color w:val="231F20"/>
          <w:spacing w:val="-21"/>
        </w:rPr>
        <w:t xml:space="preserve"> </w:t>
      </w:r>
      <w:r>
        <w:rPr>
          <w:color w:val="231F20"/>
        </w:rPr>
        <w:t>maximálního</w:t>
      </w:r>
      <w:r>
        <w:rPr>
          <w:color w:val="231F20"/>
          <w:spacing w:val="-22"/>
        </w:rPr>
        <w:t xml:space="preserve"> </w:t>
      </w:r>
      <w:r>
        <w:rPr>
          <w:color w:val="231F20"/>
          <w:spacing w:val="-3"/>
        </w:rPr>
        <w:t xml:space="preserve">počtu </w:t>
      </w:r>
      <w:r>
        <w:rPr>
          <w:color w:val="231F20"/>
        </w:rPr>
        <w:t>dní</w:t>
      </w:r>
      <w:r>
        <w:rPr>
          <w:color w:val="231F20"/>
          <w:spacing w:val="-15"/>
        </w:rPr>
        <w:t xml:space="preserve"> </w:t>
      </w:r>
      <w:r>
        <w:rPr>
          <w:color w:val="231F20"/>
        </w:rPr>
        <w:t>uvedeného</w:t>
      </w:r>
      <w:r>
        <w:rPr>
          <w:color w:val="231F20"/>
          <w:spacing w:val="-15"/>
        </w:rPr>
        <w:t xml:space="preserve"> </w:t>
      </w:r>
      <w:r>
        <w:rPr>
          <w:color w:val="231F20"/>
        </w:rPr>
        <w:t>u</w:t>
      </w:r>
      <w:r>
        <w:rPr>
          <w:color w:val="231F20"/>
          <w:spacing w:val="-14"/>
        </w:rPr>
        <w:t xml:space="preserve"> </w:t>
      </w:r>
      <w:r>
        <w:rPr>
          <w:color w:val="231F20"/>
        </w:rPr>
        <w:t>příslušné</w:t>
      </w:r>
      <w:r>
        <w:rPr>
          <w:color w:val="231F20"/>
          <w:spacing w:val="-15"/>
        </w:rPr>
        <w:t xml:space="preserve"> </w:t>
      </w:r>
      <w:r>
        <w:rPr>
          <w:color w:val="231F20"/>
        </w:rPr>
        <w:t>položky</w:t>
      </w:r>
      <w:r>
        <w:rPr>
          <w:color w:val="231F20"/>
          <w:spacing w:val="-14"/>
        </w:rPr>
        <w:t xml:space="preserve"> </w:t>
      </w:r>
      <w:r>
        <w:rPr>
          <w:color w:val="231F20"/>
        </w:rPr>
        <w:t>Oceňovacích</w:t>
      </w:r>
      <w:r>
        <w:rPr>
          <w:color w:val="231F20"/>
          <w:spacing w:val="-15"/>
        </w:rPr>
        <w:t xml:space="preserve"> </w:t>
      </w:r>
      <w:r>
        <w:rPr>
          <w:color w:val="231F20"/>
        </w:rPr>
        <w:t>tabulek,</w:t>
      </w:r>
      <w:r>
        <w:rPr>
          <w:color w:val="231F20"/>
          <w:spacing w:val="-15"/>
        </w:rPr>
        <w:t xml:space="preserve"> </w:t>
      </w:r>
      <w:r>
        <w:rPr>
          <w:color w:val="231F20"/>
        </w:rPr>
        <w:t>a</w:t>
      </w:r>
      <w:r>
        <w:rPr>
          <w:color w:val="231F20"/>
          <w:spacing w:val="-14"/>
        </w:rPr>
        <w:t xml:space="preserve"> </w:t>
      </w:r>
      <w:r>
        <w:rPr>
          <w:color w:val="231F20"/>
        </w:rPr>
        <w:t>pojistné</w:t>
      </w:r>
      <w:r>
        <w:rPr>
          <w:color w:val="231F20"/>
          <w:spacing w:val="-15"/>
        </w:rPr>
        <w:t xml:space="preserve"> </w:t>
      </w:r>
      <w:r>
        <w:rPr>
          <w:color w:val="231F20"/>
        </w:rPr>
        <w:t>plnění</w:t>
      </w:r>
      <w:r>
        <w:rPr>
          <w:color w:val="231F20"/>
          <w:spacing w:val="-14"/>
        </w:rPr>
        <w:t xml:space="preserve"> </w:t>
      </w:r>
      <w:r>
        <w:rPr>
          <w:color w:val="231F20"/>
          <w:spacing w:val="-6"/>
        </w:rPr>
        <w:t xml:space="preserve">za </w:t>
      </w:r>
      <w:r>
        <w:rPr>
          <w:color w:val="231F20"/>
        </w:rPr>
        <w:t>trvalé následky adekvátně</w:t>
      </w:r>
      <w:r>
        <w:rPr>
          <w:color w:val="231F20"/>
          <w:spacing w:val="-5"/>
        </w:rPr>
        <w:t xml:space="preserve"> </w:t>
      </w:r>
      <w:r>
        <w:rPr>
          <w:color w:val="231F20"/>
        </w:rPr>
        <w:t>snížit.</w:t>
      </w:r>
    </w:p>
    <w:p w14:paraId="1A4518BD" w14:textId="77777777" w:rsidR="00F65BCA" w:rsidRDefault="00216117">
      <w:pPr>
        <w:pStyle w:val="Zkladntext"/>
        <w:spacing w:line="278" w:lineRule="auto"/>
        <w:ind w:left="710" w:hanging="283"/>
        <w:jc w:val="both"/>
      </w:pPr>
      <w:r>
        <w:rPr>
          <w:color w:val="231F20"/>
          <w:position w:val="1"/>
          <w:sz w:val="14"/>
          <w:shd w:val="clear" w:color="auto" w:fill="D1D3D4"/>
        </w:rPr>
        <w:t xml:space="preserve">  2</w:t>
      </w:r>
      <w:r>
        <w:rPr>
          <w:color w:val="231F20"/>
          <w:position w:val="1"/>
          <w:sz w:val="14"/>
        </w:rPr>
        <w:t xml:space="preserve"> </w:t>
      </w:r>
      <w:r>
        <w:rPr>
          <w:color w:val="231F20"/>
        </w:rPr>
        <w:t>V případě pochybností je povinností pojištěného prokázat, jak k úrazu došlo a za jakých okolností.</w:t>
      </w:r>
    </w:p>
    <w:p w14:paraId="67D2CF11" w14:textId="77777777" w:rsidR="00F65BCA" w:rsidRDefault="00216117">
      <w:pPr>
        <w:pStyle w:val="Zkladntext"/>
        <w:spacing w:line="278" w:lineRule="auto"/>
        <w:ind w:left="710" w:hanging="283"/>
        <w:jc w:val="both"/>
      </w:pPr>
      <w:r>
        <w:rPr>
          <w:color w:val="231F20"/>
          <w:position w:val="1"/>
          <w:sz w:val="14"/>
          <w:shd w:val="clear" w:color="auto" w:fill="D1D3D4"/>
        </w:rPr>
        <w:t xml:space="preserve">  3</w:t>
      </w:r>
      <w:r>
        <w:rPr>
          <w:color w:val="231F20"/>
          <w:position w:val="1"/>
          <w:sz w:val="14"/>
        </w:rPr>
        <w:t xml:space="preserve"> </w:t>
      </w:r>
      <w:r>
        <w:rPr>
          <w:color w:val="231F20"/>
        </w:rPr>
        <w:t>Pojištěný je povinen při uplatnění práva na pojistné plnění z pojistné události předložit Pojišťovně:</w:t>
      </w:r>
    </w:p>
    <w:p w14:paraId="1D5EB929" w14:textId="77777777" w:rsidR="00F65BCA" w:rsidRDefault="00216117">
      <w:pPr>
        <w:pStyle w:val="Odstavecseseznamem"/>
        <w:numPr>
          <w:ilvl w:val="0"/>
          <w:numId w:val="89"/>
        </w:numPr>
        <w:tabs>
          <w:tab w:val="left" w:pos="881"/>
        </w:tabs>
        <w:rPr>
          <w:sz w:val="15"/>
        </w:rPr>
      </w:pPr>
      <w:r>
        <w:rPr>
          <w:color w:val="231F20"/>
          <w:sz w:val="15"/>
        </w:rPr>
        <w:t>příslušný doklad o</w:t>
      </w:r>
      <w:r>
        <w:rPr>
          <w:color w:val="231F20"/>
          <w:spacing w:val="-3"/>
          <w:sz w:val="15"/>
        </w:rPr>
        <w:t xml:space="preserve"> </w:t>
      </w:r>
      <w:r>
        <w:rPr>
          <w:color w:val="231F20"/>
          <w:sz w:val="15"/>
        </w:rPr>
        <w:t>pojištění,</w:t>
      </w:r>
    </w:p>
    <w:p w14:paraId="55F228A5" w14:textId="77777777" w:rsidR="00F65BCA" w:rsidRDefault="00216117">
      <w:pPr>
        <w:pStyle w:val="Odstavecseseznamem"/>
        <w:numPr>
          <w:ilvl w:val="0"/>
          <w:numId w:val="89"/>
        </w:numPr>
        <w:tabs>
          <w:tab w:val="left" w:pos="881"/>
        </w:tabs>
        <w:spacing w:before="25"/>
        <w:rPr>
          <w:sz w:val="15"/>
        </w:rPr>
      </w:pPr>
      <w:r>
        <w:rPr>
          <w:color w:val="231F20"/>
          <w:sz w:val="15"/>
        </w:rPr>
        <w:t>byla-li událost šetřena policií, protokol</w:t>
      </w:r>
      <w:r>
        <w:rPr>
          <w:color w:val="231F20"/>
          <w:spacing w:val="-11"/>
          <w:sz w:val="15"/>
        </w:rPr>
        <w:t xml:space="preserve"> </w:t>
      </w:r>
      <w:r>
        <w:rPr>
          <w:color w:val="231F20"/>
          <w:sz w:val="15"/>
        </w:rPr>
        <w:t>policie,</w:t>
      </w:r>
    </w:p>
    <w:p w14:paraId="460E181C" w14:textId="77777777" w:rsidR="00F65BCA" w:rsidRDefault="00216117">
      <w:pPr>
        <w:pStyle w:val="Odstavecseseznamem"/>
        <w:numPr>
          <w:ilvl w:val="0"/>
          <w:numId w:val="89"/>
        </w:numPr>
        <w:tabs>
          <w:tab w:val="left" w:pos="881"/>
        </w:tabs>
        <w:spacing w:before="28"/>
        <w:rPr>
          <w:sz w:val="15"/>
        </w:rPr>
      </w:pPr>
      <w:r>
        <w:rPr>
          <w:color w:val="231F20"/>
          <w:sz w:val="15"/>
        </w:rPr>
        <w:t>oznámení pojistné události</w:t>
      </w:r>
      <w:r>
        <w:rPr>
          <w:color w:val="231F20"/>
          <w:spacing w:val="-4"/>
          <w:sz w:val="15"/>
        </w:rPr>
        <w:t xml:space="preserve"> </w:t>
      </w:r>
      <w:r>
        <w:rPr>
          <w:color w:val="231F20"/>
          <w:sz w:val="15"/>
        </w:rPr>
        <w:t>Úraz,</w:t>
      </w:r>
    </w:p>
    <w:p w14:paraId="25BFBFAB" w14:textId="77777777" w:rsidR="00F65BCA" w:rsidRDefault="00216117">
      <w:pPr>
        <w:pStyle w:val="Odstavecseseznamem"/>
        <w:numPr>
          <w:ilvl w:val="0"/>
          <w:numId w:val="89"/>
        </w:numPr>
        <w:tabs>
          <w:tab w:val="left" w:pos="881"/>
        </w:tabs>
        <w:spacing w:before="27"/>
        <w:rPr>
          <w:sz w:val="15"/>
        </w:rPr>
      </w:pPr>
      <w:r>
        <w:rPr>
          <w:color w:val="231F20"/>
          <w:sz w:val="15"/>
        </w:rPr>
        <w:t>„Atestacio medici“, dojde-li k úrazu v</w:t>
      </w:r>
      <w:r>
        <w:rPr>
          <w:color w:val="231F20"/>
          <w:spacing w:val="-12"/>
          <w:sz w:val="15"/>
        </w:rPr>
        <w:t xml:space="preserve"> </w:t>
      </w:r>
      <w:r>
        <w:rPr>
          <w:color w:val="231F20"/>
          <w:sz w:val="15"/>
        </w:rPr>
        <w:t>zahraničí,</w:t>
      </w:r>
    </w:p>
    <w:p w14:paraId="4828C043" w14:textId="77777777" w:rsidR="00F65BCA" w:rsidRDefault="00216117">
      <w:pPr>
        <w:pStyle w:val="Odstavecseseznamem"/>
        <w:numPr>
          <w:ilvl w:val="0"/>
          <w:numId w:val="89"/>
        </w:numPr>
        <w:tabs>
          <w:tab w:val="left" w:pos="881"/>
        </w:tabs>
        <w:spacing w:before="28"/>
        <w:rPr>
          <w:sz w:val="15"/>
        </w:rPr>
      </w:pPr>
      <w:r>
        <w:rPr>
          <w:color w:val="231F20"/>
          <w:sz w:val="15"/>
        </w:rPr>
        <w:t>v</w:t>
      </w:r>
      <w:r>
        <w:rPr>
          <w:color w:val="231F20"/>
          <w:spacing w:val="-18"/>
          <w:sz w:val="15"/>
        </w:rPr>
        <w:t xml:space="preserve"> </w:t>
      </w:r>
      <w:r>
        <w:rPr>
          <w:color w:val="231F20"/>
          <w:sz w:val="15"/>
        </w:rPr>
        <w:t>případě</w:t>
      </w:r>
      <w:r>
        <w:rPr>
          <w:color w:val="231F20"/>
          <w:spacing w:val="-18"/>
          <w:sz w:val="15"/>
        </w:rPr>
        <w:t xml:space="preserve"> </w:t>
      </w:r>
      <w:r>
        <w:rPr>
          <w:color w:val="231F20"/>
          <w:sz w:val="15"/>
        </w:rPr>
        <w:t>smrti</w:t>
      </w:r>
      <w:r>
        <w:rPr>
          <w:color w:val="231F20"/>
          <w:spacing w:val="-18"/>
          <w:sz w:val="15"/>
        </w:rPr>
        <w:t xml:space="preserve"> </w:t>
      </w:r>
      <w:r>
        <w:rPr>
          <w:color w:val="231F20"/>
          <w:sz w:val="15"/>
        </w:rPr>
        <w:t>pojištěného</w:t>
      </w:r>
      <w:r>
        <w:rPr>
          <w:color w:val="231F20"/>
          <w:spacing w:val="-18"/>
          <w:sz w:val="15"/>
        </w:rPr>
        <w:t xml:space="preserve"> </w:t>
      </w:r>
      <w:r>
        <w:rPr>
          <w:color w:val="231F20"/>
          <w:sz w:val="15"/>
        </w:rPr>
        <w:t>–</w:t>
      </w:r>
      <w:r>
        <w:rPr>
          <w:color w:val="231F20"/>
          <w:spacing w:val="-18"/>
          <w:sz w:val="15"/>
        </w:rPr>
        <w:t xml:space="preserve"> </w:t>
      </w:r>
      <w:r>
        <w:rPr>
          <w:color w:val="231F20"/>
          <w:sz w:val="15"/>
        </w:rPr>
        <w:t>kopii</w:t>
      </w:r>
      <w:r>
        <w:rPr>
          <w:color w:val="231F20"/>
          <w:spacing w:val="-17"/>
          <w:sz w:val="15"/>
        </w:rPr>
        <w:t xml:space="preserve"> </w:t>
      </w:r>
      <w:r>
        <w:rPr>
          <w:color w:val="231F20"/>
          <w:sz w:val="15"/>
        </w:rPr>
        <w:t>úmrtního</w:t>
      </w:r>
      <w:r>
        <w:rPr>
          <w:color w:val="231F20"/>
          <w:spacing w:val="-18"/>
          <w:sz w:val="15"/>
        </w:rPr>
        <w:t xml:space="preserve"> </w:t>
      </w:r>
      <w:r>
        <w:rPr>
          <w:color w:val="231F20"/>
          <w:sz w:val="15"/>
        </w:rPr>
        <w:t>listu</w:t>
      </w:r>
      <w:r>
        <w:rPr>
          <w:color w:val="231F20"/>
          <w:spacing w:val="-18"/>
          <w:sz w:val="15"/>
        </w:rPr>
        <w:t xml:space="preserve"> </w:t>
      </w:r>
      <w:r>
        <w:rPr>
          <w:color w:val="231F20"/>
          <w:sz w:val="15"/>
        </w:rPr>
        <w:t>a</w:t>
      </w:r>
      <w:r>
        <w:rPr>
          <w:color w:val="231F20"/>
          <w:spacing w:val="-18"/>
          <w:sz w:val="15"/>
        </w:rPr>
        <w:t xml:space="preserve"> </w:t>
      </w:r>
      <w:r>
        <w:rPr>
          <w:color w:val="231F20"/>
          <w:sz w:val="15"/>
        </w:rPr>
        <w:t>potvrzení</w:t>
      </w:r>
      <w:r>
        <w:rPr>
          <w:color w:val="231F20"/>
          <w:spacing w:val="-18"/>
          <w:sz w:val="15"/>
        </w:rPr>
        <w:t xml:space="preserve"> </w:t>
      </w:r>
      <w:r>
        <w:rPr>
          <w:color w:val="231F20"/>
          <w:sz w:val="15"/>
        </w:rPr>
        <w:t>o</w:t>
      </w:r>
      <w:r>
        <w:rPr>
          <w:color w:val="231F20"/>
          <w:spacing w:val="-18"/>
          <w:sz w:val="15"/>
        </w:rPr>
        <w:t xml:space="preserve"> </w:t>
      </w:r>
      <w:r>
        <w:rPr>
          <w:color w:val="231F20"/>
          <w:sz w:val="15"/>
        </w:rPr>
        <w:t>příčině</w:t>
      </w:r>
      <w:r>
        <w:rPr>
          <w:color w:val="231F20"/>
          <w:spacing w:val="-17"/>
          <w:sz w:val="15"/>
        </w:rPr>
        <w:t xml:space="preserve"> </w:t>
      </w:r>
      <w:r>
        <w:rPr>
          <w:color w:val="231F20"/>
          <w:sz w:val="15"/>
        </w:rPr>
        <w:t>smrti,</w:t>
      </w:r>
    </w:p>
    <w:p w14:paraId="5E64AC92" w14:textId="77777777" w:rsidR="00F65BCA" w:rsidRDefault="00216117">
      <w:pPr>
        <w:pStyle w:val="Odstavecseseznamem"/>
        <w:numPr>
          <w:ilvl w:val="0"/>
          <w:numId w:val="89"/>
        </w:numPr>
        <w:tabs>
          <w:tab w:val="left" w:pos="881"/>
        </w:tabs>
        <w:spacing w:before="28"/>
        <w:rPr>
          <w:sz w:val="15"/>
        </w:rPr>
      </w:pPr>
      <w:r>
        <w:rPr>
          <w:color w:val="231F20"/>
          <w:sz w:val="15"/>
        </w:rPr>
        <w:t>případně</w:t>
      </w:r>
      <w:r>
        <w:rPr>
          <w:color w:val="231F20"/>
          <w:spacing w:val="-8"/>
          <w:sz w:val="15"/>
        </w:rPr>
        <w:t xml:space="preserve"> </w:t>
      </w:r>
      <w:r>
        <w:rPr>
          <w:color w:val="231F20"/>
          <w:sz w:val="15"/>
        </w:rPr>
        <w:t>další</w:t>
      </w:r>
      <w:r>
        <w:rPr>
          <w:color w:val="231F20"/>
          <w:spacing w:val="-7"/>
          <w:sz w:val="15"/>
        </w:rPr>
        <w:t xml:space="preserve"> </w:t>
      </w:r>
      <w:r>
        <w:rPr>
          <w:color w:val="231F20"/>
          <w:sz w:val="15"/>
        </w:rPr>
        <w:t>související</w:t>
      </w:r>
      <w:r>
        <w:rPr>
          <w:color w:val="231F20"/>
          <w:spacing w:val="-8"/>
          <w:sz w:val="15"/>
        </w:rPr>
        <w:t xml:space="preserve"> </w:t>
      </w:r>
      <w:r>
        <w:rPr>
          <w:color w:val="231F20"/>
          <w:sz w:val="15"/>
        </w:rPr>
        <w:t>doklady,</w:t>
      </w:r>
      <w:r>
        <w:rPr>
          <w:color w:val="231F20"/>
          <w:spacing w:val="-7"/>
          <w:sz w:val="15"/>
        </w:rPr>
        <w:t xml:space="preserve"> </w:t>
      </w:r>
      <w:r>
        <w:rPr>
          <w:color w:val="231F20"/>
          <w:sz w:val="15"/>
        </w:rPr>
        <w:t>které</w:t>
      </w:r>
      <w:r>
        <w:rPr>
          <w:color w:val="231F20"/>
          <w:spacing w:val="-8"/>
          <w:sz w:val="15"/>
        </w:rPr>
        <w:t xml:space="preserve"> </w:t>
      </w:r>
      <w:r>
        <w:rPr>
          <w:color w:val="231F20"/>
          <w:sz w:val="15"/>
        </w:rPr>
        <w:t>si</w:t>
      </w:r>
      <w:r>
        <w:rPr>
          <w:color w:val="231F20"/>
          <w:spacing w:val="-7"/>
          <w:sz w:val="15"/>
        </w:rPr>
        <w:t xml:space="preserve"> </w:t>
      </w:r>
      <w:r>
        <w:rPr>
          <w:color w:val="231F20"/>
          <w:sz w:val="15"/>
        </w:rPr>
        <w:t>Pojišťovna</w:t>
      </w:r>
      <w:r>
        <w:rPr>
          <w:color w:val="231F20"/>
          <w:spacing w:val="-8"/>
          <w:sz w:val="15"/>
        </w:rPr>
        <w:t xml:space="preserve"> </w:t>
      </w:r>
      <w:r>
        <w:rPr>
          <w:color w:val="231F20"/>
          <w:sz w:val="15"/>
        </w:rPr>
        <w:t>vyžádá.</w:t>
      </w:r>
    </w:p>
    <w:p w14:paraId="573D3BE6" w14:textId="77777777" w:rsidR="00F65BCA" w:rsidRDefault="00F65BCA">
      <w:pPr>
        <w:pStyle w:val="Zkladntext"/>
        <w:spacing w:before="3"/>
        <w:rPr>
          <w:sz w:val="23"/>
        </w:rPr>
      </w:pPr>
    </w:p>
    <w:p w14:paraId="632FBEBE" w14:textId="77777777" w:rsidR="00F65BCA" w:rsidRDefault="00216117">
      <w:pPr>
        <w:ind w:left="428"/>
        <w:rPr>
          <w:sz w:val="15"/>
        </w:rPr>
      </w:pPr>
      <w:r>
        <w:rPr>
          <w:color w:val="FFFFFF"/>
          <w:position w:val="3"/>
          <w:sz w:val="16"/>
          <w:shd w:val="clear" w:color="auto" w:fill="808285"/>
        </w:rPr>
        <w:t xml:space="preserve">  </w:t>
      </w:r>
      <w:r>
        <w:rPr>
          <w:color w:val="FFFFFF"/>
          <w:w w:val="105"/>
          <w:position w:val="3"/>
          <w:sz w:val="16"/>
          <w:shd w:val="clear" w:color="auto" w:fill="808285"/>
        </w:rPr>
        <w:t>Článek 77</w:t>
      </w:r>
      <w:r>
        <w:rPr>
          <w:color w:val="FFFFFF"/>
          <w:w w:val="105"/>
          <w:position w:val="3"/>
          <w:sz w:val="16"/>
        </w:rPr>
        <w:t xml:space="preserve"> </w:t>
      </w:r>
      <w:r>
        <w:rPr>
          <w:color w:val="231F20"/>
          <w:w w:val="105"/>
          <w:sz w:val="15"/>
        </w:rPr>
        <w:t>Výluky z úrazového pojištění dopravovaných osob</w:t>
      </w:r>
    </w:p>
    <w:p w14:paraId="39B57736" w14:textId="77777777" w:rsidR="00F65BCA" w:rsidRDefault="00216117">
      <w:pPr>
        <w:pStyle w:val="Zkladntext"/>
        <w:spacing w:before="147" w:line="278" w:lineRule="auto"/>
        <w:ind w:left="710" w:hanging="283"/>
      </w:pPr>
      <w:r>
        <w:rPr>
          <w:color w:val="231F20"/>
          <w:position w:val="1"/>
          <w:sz w:val="14"/>
          <w:shd w:val="clear" w:color="auto" w:fill="D1D3D4"/>
        </w:rPr>
        <w:t xml:space="preserve">  1</w:t>
      </w:r>
      <w:r>
        <w:rPr>
          <w:color w:val="231F20"/>
          <w:position w:val="1"/>
          <w:sz w:val="14"/>
        </w:rPr>
        <w:t xml:space="preserve"> </w:t>
      </w:r>
      <w:r>
        <w:rPr>
          <w:color w:val="231F20"/>
        </w:rPr>
        <w:t>U úrazového pojištění dopravovaných osob Pojišťovna neposkytne pojistné plnění za:</w:t>
      </w:r>
    </w:p>
    <w:p w14:paraId="01AB1396" w14:textId="77777777" w:rsidR="00F65BCA" w:rsidRDefault="00216117">
      <w:pPr>
        <w:pStyle w:val="Odstavecseseznamem"/>
        <w:numPr>
          <w:ilvl w:val="0"/>
          <w:numId w:val="87"/>
        </w:numPr>
        <w:tabs>
          <w:tab w:val="left" w:pos="881"/>
        </w:tabs>
        <w:spacing w:line="278" w:lineRule="auto"/>
        <w:jc w:val="left"/>
        <w:rPr>
          <w:sz w:val="15"/>
        </w:rPr>
      </w:pPr>
      <w:r>
        <w:rPr>
          <w:color w:val="231F20"/>
          <w:sz w:val="15"/>
        </w:rPr>
        <w:t>odchlípení</w:t>
      </w:r>
      <w:r>
        <w:rPr>
          <w:color w:val="231F20"/>
          <w:spacing w:val="-29"/>
          <w:sz w:val="15"/>
        </w:rPr>
        <w:t xml:space="preserve"> </w:t>
      </w:r>
      <w:r>
        <w:rPr>
          <w:color w:val="231F20"/>
          <w:sz w:val="15"/>
        </w:rPr>
        <w:t>(amoce)</w:t>
      </w:r>
      <w:r>
        <w:rPr>
          <w:color w:val="231F20"/>
          <w:spacing w:val="-29"/>
          <w:sz w:val="15"/>
        </w:rPr>
        <w:t xml:space="preserve"> </w:t>
      </w:r>
      <w:r>
        <w:rPr>
          <w:color w:val="231F20"/>
          <w:sz w:val="15"/>
        </w:rPr>
        <w:t>sítnice,</w:t>
      </w:r>
      <w:r>
        <w:rPr>
          <w:color w:val="231F20"/>
          <w:spacing w:val="-28"/>
          <w:sz w:val="15"/>
        </w:rPr>
        <w:t xml:space="preserve"> </w:t>
      </w:r>
      <w:r>
        <w:rPr>
          <w:color w:val="231F20"/>
          <w:sz w:val="15"/>
        </w:rPr>
        <w:t>rovněž</w:t>
      </w:r>
      <w:r>
        <w:rPr>
          <w:color w:val="231F20"/>
          <w:spacing w:val="-29"/>
          <w:sz w:val="15"/>
        </w:rPr>
        <w:t xml:space="preserve"> </w:t>
      </w:r>
      <w:r>
        <w:rPr>
          <w:color w:val="231F20"/>
          <w:sz w:val="15"/>
        </w:rPr>
        <w:t>v</w:t>
      </w:r>
      <w:r>
        <w:rPr>
          <w:color w:val="231F20"/>
          <w:spacing w:val="-28"/>
          <w:sz w:val="15"/>
        </w:rPr>
        <w:t xml:space="preserve"> </w:t>
      </w:r>
      <w:r>
        <w:rPr>
          <w:color w:val="231F20"/>
          <w:sz w:val="15"/>
        </w:rPr>
        <w:t>případech,</w:t>
      </w:r>
      <w:r>
        <w:rPr>
          <w:color w:val="231F20"/>
          <w:spacing w:val="-29"/>
          <w:sz w:val="15"/>
        </w:rPr>
        <w:t xml:space="preserve"> </w:t>
      </w:r>
      <w:r>
        <w:rPr>
          <w:color w:val="231F20"/>
          <w:sz w:val="15"/>
        </w:rPr>
        <w:t>kdy</w:t>
      </w:r>
      <w:r>
        <w:rPr>
          <w:color w:val="231F20"/>
          <w:spacing w:val="-28"/>
          <w:sz w:val="15"/>
        </w:rPr>
        <w:t xml:space="preserve"> </w:t>
      </w:r>
      <w:r>
        <w:rPr>
          <w:color w:val="231F20"/>
          <w:sz w:val="15"/>
        </w:rPr>
        <w:t>tyto</w:t>
      </w:r>
      <w:r>
        <w:rPr>
          <w:color w:val="231F20"/>
          <w:spacing w:val="-29"/>
          <w:sz w:val="15"/>
        </w:rPr>
        <w:t xml:space="preserve"> </w:t>
      </w:r>
      <w:r>
        <w:rPr>
          <w:color w:val="231F20"/>
          <w:sz w:val="15"/>
        </w:rPr>
        <w:t>potíže</w:t>
      </w:r>
      <w:r>
        <w:rPr>
          <w:color w:val="231F20"/>
          <w:spacing w:val="-28"/>
          <w:sz w:val="15"/>
        </w:rPr>
        <w:t xml:space="preserve"> </w:t>
      </w:r>
      <w:r>
        <w:rPr>
          <w:color w:val="231F20"/>
          <w:sz w:val="15"/>
        </w:rPr>
        <w:t>byly</w:t>
      </w:r>
      <w:r>
        <w:rPr>
          <w:color w:val="231F20"/>
          <w:spacing w:val="-29"/>
          <w:sz w:val="15"/>
        </w:rPr>
        <w:t xml:space="preserve"> </w:t>
      </w:r>
      <w:r>
        <w:rPr>
          <w:color w:val="231F20"/>
          <w:sz w:val="15"/>
        </w:rPr>
        <w:t>vyvolány úrazem;</w:t>
      </w:r>
    </w:p>
    <w:p w14:paraId="1B1B011D" w14:textId="77777777" w:rsidR="00F65BCA" w:rsidRDefault="00216117">
      <w:pPr>
        <w:pStyle w:val="Odstavecseseznamem"/>
        <w:numPr>
          <w:ilvl w:val="0"/>
          <w:numId w:val="87"/>
        </w:numPr>
        <w:tabs>
          <w:tab w:val="left" w:pos="881"/>
        </w:tabs>
        <w:spacing w:line="278" w:lineRule="auto"/>
        <w:jc w:val="left"/>
        <w:rPr>
          <w:sz w:val="15"/>
        </w:rPr>
      </w:pPr>
      <w:r>
        <w:rPr>
          <w:color w:val="231F20"/>
          <w:sz w:val="15"/>
        </w:rPr>
        <w:t>vznik</w:t>
      </w:r>
      <w:r>
        <w:rPr>
          <w:color w:val="231F20"/>
          <w:spacing w:val="-25"/>
          <w:sz w:val="15"/>
        </w:rPr>
        <w:t xml:space="preserve"> </w:t>
      </w:r>
      <w:r>
        <w:rPr>
          <w:color w:val="231F20"/>
          <w:sz w:val="15"/>
        </w:rPr>
        <w:t>či</w:t>
      </w:r>
      <w:r>
        <w:rPr>
          <w:color w:val="231F20"/>
          <w:spacing w:val="-25"/>
          <w:sz w:val="15"/>
        </w:rPr>
        <w:t xml:space="preserve"> </w:t>
      </w:r>
      <w:r>
        <w:rPr>
          <w:color w:val="231F20"/>
          <w:sz w:val="15"/>
        </w:rPr>
        <w:t>zhoršení</w:t>
      </w:r>
      <w:r>
        <w:rPr>
          <w:color w:val="231F20"/>
          <w:spacing w:val="-24"/>
          <w:sz w:val="15"/>
        </w:rPr>
        <w:t xml:space="preserve"> </w:t>
      </w:r>
      <w:r>
        <w:rPr>
          <w:color w:val="231F20"/>
          <w:sz w:val="15"/>
        </w:rPr>
        <w:t>kýl</w:t>
      </w:r>
      <w:r>
        <w:rPr>
          <w:color w:val="231F20"/>
          <w:spacing w:val="-25"/>
          <w:sz w:val="15"/>
        </w:rPr>
        <w:t xml:space="preserve"> </w:t>
      </w:r>
      <w:r>
        <w:rPr>
          <w:color w:val="231F20"/>
          <w:sz w:val="15"/>
        </w:rPr>
        <w:t>(hernií),</w:t>
      </w:r>
      <w:r>
        <w:rPr>
          <w:color w:val="231F20"/>
          <w:spacing w:val="-25"/>
          <w:sz w:val="15"/>
        </w:rPr>
        <w:t xml:space="preserve"> </w:t>
      </w:r>
      <w:r>
        <w:rPr>
          <w:color w:val="231F20"/>
          <w:sz w:val="15"/>
        </w:rPr>
        <w:t>nádorů</w:t>
      </w:r>
      <w:r>
        <w:rPr>
          <w:color w:val="231F20"/>
          <w:spacing w:val="-24"/>
          <w:sz w:val="15"/>
        </w:rPr>
        <w:t xml:space="preserve"> </w:t>
      </w:r>
      <w:r>
        <w:rPr>
          <w:color w:val="231F20"/>
          <w:sz w:val="15"/>
        </w:rPr>
        <w:t>všech</w:t>
      </w:r>
      <w:r>
        <w:rPr>
          <w:color w:val="231F20"/>
          <w:spacing w:val="-25"/>
          <w:sz w:val="15"/>
        </w:rPr>
        <w:t xml:space="preserve"> </w:t>
      </w:r>
      <w:r>
        <w:rPr>
          <w:color w:val="231F20"/>
          <w:sz w:val="15"/>
        </w:rPr>
        <w:t>druhů</w:t>
      </w:r>
      <w:r>
        <w:rPr>
          <w:color w:val="231F20"/>
          <w:spacing w:val="-24"/>
          <w:sz w:val="15"/>
        </w:rPr>
        <w:t xml:space="preserve"> </w:t>
      </w:r>
      <w:r>
        <w:rPr>
          <w:color w:val="231F20"/>
          <w:sz w:val="15"/>
        </w:rPr>
        <w:t>a</w:t>
      </w:r>
      <w:r>
        <w:rPr>
          <w:color w:val="231F20"/>
          <w:spacing w:val="-25"/>
          <w:sz w:val="15"/>
        </w:rPr>
        <w:t xml:space="preserve"> </w:t>
      </w:r>
      <w:r>
        <w:rPr>
          <w:color w:val="231F20"/>
          <w:sz w:val="15"/>
        </w:rPr>
        <w:t>jakéhokoli</w:t>
      </w:r>
      <w:r>
        <w:rPr>
          <w:color w:val="231F20"/>
          <w:spacing w:val="-25"/>
          <w:sz w:val="15"/>
        </w:rPr>
        <w:t xml:space="preserve"> </w:t>
      </w:r>
      <w:r>
        <w:rPr>
          <w:color w:val="231F20"/>
          <w:sz w:val="15"/>
        </w:rPr>
        <w:t>původu,</w:t>
      </w:r>
      <w:r>
        <w:rPr>
          <w:color w:val="231F20"/>
          <w:spacing w:val="-24"/>
          <w:sz w:val="15"/>
        </w:rPr>
        <w:t xml:space="preserve"> </w:t>
      </w:r>
      <w:r>
        <w:rPr>
          <w:color w:val="231F20"/>
          <w:sz w:val="15"/>
        </w:rPr>
        <w:t>asep- tických zánětů pochev šlachových, svalových úponů, tíhových váčků,</w:t>
      </w:r>
      <w:r>
        <w:rPr>
          <w:color w:val="231F20"/>
          <w:spacing w:val="-4"/>
          <w:sz w:val="15"/>
        </w:rPr>
        <w:t xml:space="preserve"> </w:t>
      </w:r>
      <w:r>
        <w:rPr>
          <w:color w:val="231F20"/>
          <w:spacing w:val="-6"/>
          <w:sz w:val="15"/>
        </w:rPr>
        <w:t>zá-</w:t>
      </w:r>
    </w:p>
    <w:p w14:paraId="76068209" w14:textId="77777777" w:rsidR="00F65BCA" w:rsidRDefault="00216117">
      <w:pPr>
        <w:pStyle w:val="Zkladntext"/>
        <w:spacing w:before="75" w:line="278" w:lineRule="auto"/>
        <w:ind w:left="639" w:right="424"/>
        <w:jc w:val="both"/>
      </w:pPr>
      <w:r>
        <w:br w:type="column"/>
      </w:r>
      <w:r>
        <w:rPr>
          <w:color w:val="231F20"/>
        </w:rPr>
        <w:t>nětů</w:t>
      </w:r>
      <w:r>
        <w:rPr>
          <w:color w:val="231F20"/>
          <w:spacing w:val="-21"/>
        </w:rPr>
        <w:t xml:space="preserve"> </w:t>
      </w:r>
      <w:r>
        <w:rPr>
          <w:color w:val="231F20"/>
        </w:rPr>
        <w:t>synoviální</w:t>
      </w:r>
      <w:r>
        <w:rPr>
          <w:color w:val="231F20"/>
          <w:spacing w:val="-20"/>
        </w:rPr>
        <w:t xml:space="preserve"> </w:t>
      </w:r>
      <w:r>
        <w:rPr>
          <w:color w:val="231F20"/>
        </w:rPr>
        <w:t>blány</w:t>
      </w:r>
      <w:r>
        <w:rPr>
          <w:color w:val="231F20"/>
          <w:spacing w:val="-20"/>
        </w:rPr>
        <w:t xml:space="preserve"> </w:t>
      </w:r>
      <w:r>
        <w:rPr>
          <w:color w:val="231F20"/>
        </w:rPr>
        <w:t>kloubu</w:t>
      </w:r>
      <w:r>
        <w:rPr>
          <w:color w:val="231F20"/>
          <w:spacing w:val="-20"/>
        </w:rPr>
        <w:t xml:space="preserve"> </w:t>
      </w:r>
      <w:r>
        <w:rPr>
          <w:color w:val="231F20"/>
        </w:rPr>
        <w:t>(synovitid),</w:t>
      </w:r>
      <w:r>
        <w:rPr>
          <w:color w:val="231F20"/>
          <w:spacing w:val="-20"/>
        </w:rPr>
        <w:t xml:space="preserve"> </w:t>
      </w:r>
      <w:r>
        <w:rPr>
          <w:color w:val="231F20"/>
        </w:rPr>
        <w:t>rovněž</w:t>
      </w:r>
      <w:r>
        <w:rPr>
          <w:color w:val="231F20"/>
          <w:spacing w:val="-20"/>
        </w:rPr>
        <w:t xml:space="preserve"> </w:t>
      </w:r>
      <w:r>
        <w:rPr>
          <w:color w:val="231F20"/>
        </w:rPr>
        <w:t>v</w:t>
      </w:r>
      <w:r>
        <w:rPr>
          <w:color w:val="231F20"/>
          <w:spacing w:val="-20"/>
        </w:rPr>
        <w:t xml:space="preserve"> </w:t>
      </w:r>
      <w:r>
        <w:rPr>
          <w:color w:val="231F20"/>
        </w:rPr>
        <w:t>případech,</w:t>
      </w:r>
      <w:r>
        <w:rPr>
          <w:color w:val="231F20"/>
          <w:spacing w:val="-20"/>
        </w:rPr>
        <w:t xml:space="preserve"> </w:t>
      </w:r>
      <w:r>
        <w:rPr>
          <w:color w:val="231F20"/>
        </w:rPr>
        <w:t>kdy</w:t>
      </w:r>
      <w:r>
        <w:rPr>
          <w:color w:val="231F20"/>
          <w:spacing w:val="-20"/>
        </w:rPr>
        <w:t xml:space="preserve"> </w:t>
      </w:r>
      <w:r>
        <w:rPr>
          <w:color w:val="231F20"/>
        </w:rPr>
        <w:t>tyto</w:t>
      </w:r>
      <w:r>
        <w:rPr>
          <w:color w:val="231F20"/>
          <w:spacing w:val="-20"/>
        </w:rPr>
        <w:t xml:space="preserve"> </w:t>
      </w:r>
      <w:r>
        <w:rPr>
          <w:color w:val="231F20"/>
        </w:rPr>
        <w:t>obtíže byly vyvolány</w:t>
      </w:r>
      <w:r>
        <w:rPr>
          <w:color w:val="231F20"/>
          <w:spacing w:val="-2"/>
        </w:rPr>
        <w:t xml:space="preserve"> </w:t>
      </w:r>
      <w:r>
        <w:rPr>
          <w:color w:val="231F20"/>
        </w:rPr>
        <w:t>úrazem;</w:t>
      </w:r>
    </w:p>
    <w:p w14:paraId="72B79591" w14:textId="77777777" w:rsidR="00F65BCA" w:rsidRDefault="00216117">
      <w:pPr>
        <w:pStyle w:val="Odstavecseseznamem"/>
        <w:numPr>
          <w:ilvl w:val="0"/>
          <w:numId w:val="87"/>
        </w:numPr>
        <w:tabs>
          <w:tab w:val="left" w:pos="640"/>
        </w:tabs>
        <w:spacing w:line="278" w:lineRule="auto"/>
        <w:ind w:left="639" w:right="424"/>
        <w:jc w:val="both"/>
        <w:rPr>
          <w:sz w:val="15"/>
        </w:rPr>
      </w:pPr>
      <w:r>
        <w:rPr>
          <w:color w:val="231F20"/>
          <w:w w:val="95"/>
          <w:sz w:val="15"/>
        </w:rPr>
        <w:t xml:space="preserve">zánětlivé, </w:t>
      </w:r>
      <w:r>
        <w:rPr>
          <w:color w:val="231F20"/>
          <w:spacing w:val="-3"/>
          <w:w w:val="95"/>
          <w:sz w:val="15"/>
        </w:rPr>
        <w:t xml:space="preserve">popř. </w:t>
      </w:r>
      <w:r>
        <w:rPr>
          <w:color w:val="231F20"/>
          <w:w w:val="95"/>
          <w:sz w:val="15"/>
        </w:rPr>
        <w:t>ponámahové postižení svalových úponů (epikondylitid),</w:t>
      </w:r>
      <w:r>
        <w:rPr>
          <w:color w:val="231F20"/>
          <w:spacing w:val="-19"/>
          <w:w w:val="95"/>
          <w:sz w:val="15"/>
        </w:rPr>
        <w:t xml:space="preserve"> </w:t>
      </w:r>
      <w:r>
        <w:rPr>
          <w:color w:val="231F20"/>
          <w:spacing w:val="-3"/>
          <w:w w:val="95"/>
          <w:sz w:val="15"/>
        </w:rPr>
        <w:t xml:space="preserve">např. </w:t>
      </w:r>
      <w:r>
        <w:rPr>
          <w:color w:val="231F20"/>
          <w:sz w:val="15"/>
        </w:rPr>
        <w:t>tenisový</w:t>
      </w:r>
      <w:r>
        <w:rPr>
          <w:color w:val="231F20"/>
          <w:spacing w:val="-16"/>
          <w:sz w:val="15"/>
        </w:rPr>
        <w:t xml:space="preserve"> </w:t>
      </w:r>
      <w:r>
        <w:rPr>
          <w:color w:val="231F20"/>
          <w:sz w:val="15"/>
        </w:rPr>
        <w:t>loket,</w:t>
      </w:r>
      <w:r>
        <w:rPr>
          <w:color w:val="231F20"/>
          <w:spacing w:val="-15"/>
          <w:sz w:val="15"/>
        </w:rPr>
        <w:t xml:space="preserve"> </w:t>
      </w:r>
      <w:r>
        <w:rPr>
          <w:color w:val="231F20"/>
          <w:sz w:val="15"/>
        </w:rPr>
        <w:t>rovněž</w:t>
      </w:r>
      <w:r>
        <w:rPr>
          <w:color w:val="231F20"/>
          <w:spacing w:val="-16"/>
          <w:sz w:val="15"/>
        </w:rPr>
        <w:t xml:space="preserve"> </w:t>
      </w:r>
      <w:r>
        <w:rPr>
          <w:color w:val="231F20"/>
          <w:sz w:val="15"/>
        </w:rPr>
        <w:t>v</w:t>
      </w:r>
      <w:r>
        <w:rPr>
          <w:color w:val="231F20"/>
          <w:spacing w:val="-15"/>
          <w:sz w:val="15"/>
        </w:rPr>
        <w:t xml:space="preserve"> </w:t>
      </w:r>
      <w:r>
        <w:rPr>
          <w:color w:val="231F20"/>
          <w:sz w:val="15"/>
        </w:rPr>
        <w:t>případech,</w:t>
      </w:r>
      <w:r>
        <w:rPr>
          <w:color w:val="231F20"/>
          <w:spacing w:val="-15"/>
          <w:sz w:val="15"/>
        </w:rPr>
        <w:t xml:space="preserve"> </w:t>
      </w:r>
      <w:r>
        <w:rPr>
          <w:color w:val="231F20"/>
          <w:sz w:val="15"/>
        </w:rPr>
        <w:t>kdy</w:t>
      </w:r>
      <w:r>
        <w:rPr>
          <w:color w:val="231F20"/>
          <w:spacing w:val="-16"/>
          <w:sz w:val="15"/>
        </w:rPr>
        <w:t xml:space="preserve"> </w:t>
      </w:r>
      <w:r>
        <w:rPr>
          <w:color w:val="231F20"/>
          <w:sz w:val="15"/>
        </w:rPr>
        <w:t>tyto</w:t>
      </w:r>
      <w:r>
        <w:rPr>
          <w:color w:val="231F20"/>
          <w:spacing w:val="-15"/>
          <w:sz w:val="15"/>
        </w:rPr>
        <w:t xml:space="preserve"> </w:t>
      </w:r>
      <w:r>
        <w:rPr>
          <w:color w:val="231F20"/>
          <w:sz w:val="15"/>
        </w:rPr>
        <w:t>obtíže</w:t>
      </w:r>
      <w:r>
        <w:rPr>
          <w:color w:val="231F20"/>
          <w:spacing w:val="-15"/>
          <w:sz w:val="15"/>
        </w:rPr>
        <w:t xml:space="preserve"> </w:t>
      </w:r>
      <w:r>
        <w:rPr>
          <w:color w:val="231F20"/>
          <w:sz w:val="15"/>
        </w:rPr>
        <w:t>byly</w:t>
      </w:r>
      <w:r>
        <w:rPr>
          <w:color w:val="231F20"/>
          <w:spacing w:val="-16"/>
          <w:sz w:val="15"/>
        </w:rPr>
        <w:t xml:space="preserve"> </w:t>
      </w:r>
      <w:r>
        <w:rPr>
          <w:color w:val="231F20"/>
          <w:sz w:val="15"/>
        </w:rPr>
        <w:t>vyvolány</w:t>
      </w:r>
      <w:r>
        <w:rPr>
          <w:color w:val="231F20"/>
          <w:spacing w:val="-15"/>
          <w:sz w:val="15"/>
        </w:rPr>
        <w:t xml:space="preserve"> </w:t>
      </w:r>
      <w:r>
        <w:rPr>
          <w:color w:val="231F20"/>
          <w:sz w:val="15"/>
        </w:rPr>
        <w:t>úrazem;</w:t>
      </w:r>
    </w:p>
    <w:p w14:paraId="07F1D716" w14:textId="77777777" w:rsidR="00F65BCA" w:rsidRDefault="00216117">
      <w:pPr>
        <w:pStyle w:val="Odstavecseseznamem"/>
        <w:numPr>
          <w:ilvl w:val="0"/>
          <w:numId w:val="87"/>
        </w:numPr>
        <w:tabs>
          <w:tab w:val="left" w:pos="640"/>
        </w:tabs>
        <w:spacing w:line="278" w:lineRule="auto"/>
        <w:ind w:left="639" w:right="424"/>
        <w:jc w:val="both"/>
        <w:rPr>
          <w:sz w:val="15"/>
        </w:rPr>
      </w:pPr>
      <w:r>
        <w:rPr>
          <w:color w:val="231F20"/>
          <w:sz w:val="15"/>
        </w:rPr>
        <w:t>výhřez</w:t>
      </w:r>
      <w:r>
        <w:rPr>
          <w:color w:val="231F20"/>
          <w:spacing w:val="-24"/>
          <w:sz w:val="15"/>
        </w:rPr>
        <w:t xml:space="preserve"> </w:t>
      </w:r>
      <w:r>
        <w:rPr>
          <w:color w:val="231F20"/>
          <w:sz w:val="15"/>
        </w:rPr>
        <w:t>meziobratlové</w:t>
      </w:r>
      <w:r>
        <w:rPr>
          <w:color w:val="231F20"/>
          <w:spacing w:val="-23"/>
          <w:sz w:val="15"/>
        </w:rPr>
        <w:t xml:space="preserve"> </w:t>
      </w:r>
      <w:r>
        <w:rPr>
          <w:color w:val="231F20"/>
          <w:sz w:val="15"/>
        </w:rPr>
        <w:t>ploténky</w:t>
      </w:r>
      <w:r>
        <w:rPr>
          <w:color w:val="231F20"/>
          <w:spacing w:val="-23"/>
          <w:sz w:val="15"/>
        </w:rPr>
        <w:t xml:space="preserve"> </w:t>
      </w:r>
      <w:r>
        <w:rPr>
          <w:color w:val="231F20"/>
          <w:sz w:val="15"/>
        </w:rPr>
        <w:t>a</w:t>
      </w:r>
      <w:r>
        <w:rPr>
          <w:color w:val="231F20"/>
          <w:spacing w:val="-23"/>
          <w:sz w:val="15"/>
        </w:rPr>
        <w:t xml:space="preserve"> </w:t>
      </w:r>
      <w:r>
        <w:rPr>
          <w:color w:val="231F20"/>
          <w:sz w:val="15"/>
        </w:rPr>
        <w:t>s</w:t>
      </w:r>
      <w:r>
        <w:rPr>
          <w:color w:val="231F20"/>
          <w:spacing w:val="-24"/>
          <w:sz w:val="15"/>
        </w:rPr>
        <w:t xml:space="preserve"> </w:t>
      </w:r>
      <w:r>
        <w:rPr>
          <w:color w:val="231F20"/>
          <w:sz w:val="15"/>
        </w:rPr>
        <w:t>ním</w:t>
      </w:r>
      <w:r>
        <w:rPr>
          <w:color w:val="231F20"/>
          <w:spacing w:val="-23"/>
          <w:sz w:val="15"/>
        </w:rPr>
        <w:t xml:space="preserve"> </w:t>
      </w:r>
      <w:r>
        <w:rPr>
          <w:color w:val="231F20"/>
          <w:sz w:val="15"/>
        </w:rPr>
        <w:t>související</w:t>
      </w:r>
      <w:r>
        <w:rPr>
          <w:color w:val="231F20"/>
          <w:spacing w:val="-23"/>
          <w:sz w:val="15"/>
        </w:rPr>
        <w:t xml:space="preserve"> </w:t>
      </w:r>
      <w:r>
        <w:rPr>
          <w:color w:val="231F20"/>
          <w:sz w:val="15"/>
        </w:rPr>
        <w:t>obtíže,</w:t>
      </w:r>
      <w:r>
        <w:rPr>
          <w:color w:val="231F20"/>
          <w:spacing w:val="-23"/>
          <w:sz w:val="15"/>
        </w:rPr>
        <w:t xml:space="preserve"> </w:t>
      </w:r>
      <w:r>
        <w:rPr>
          <w:color w:val="231F20"/>
          <w:sz w:val="15"/>
        </w:rPr>
        <w:t>včetně</w:t>
      </w:r>
      <w:r>
        <w:rPr>
          <w:color w:val="231F20"/>
          <w:spacing w:val="-24"/>
          <w:sz w:val="15"/>
        </w:rPr>
        <w:t xml:space="preserve"> </w:t>
      </w:r>
      <w:r>
        <w:rPr>
          <w:color w:val="231F20"/>
          <w:sz w:val="15"/>
        </w:rPr>
        <w:t>bolestí</w:t>
      </w:r>
      <w:r>
        <w:rPr>
          <w:color w:val="231F20"/>
          <w:spacing w:val="-23"/>
          <w:sz w:val="15"/>
        </w:rPr>
        <w:t xml:space="preserve"> </w:t>
      </w:r>
      <w:r>
        <w:rPr>
          <w:color w:val="231F20"/>
          <w:sz w:val="15"/>
        </w:rPr>
        <w:t>ma- jících</w:t>
      </w:r>
      <w:r>
        <w:rPr>
          <w:color w:val="231F20"/>
          <w:spacing w:val="-24"/>
          <w:sz w:val="15"/>
        </w:rPr>
        <w:t xml:space="preserve"> </w:t>
      </w:r>
      <w:r>
        <w:rPr>
          <w:color w:val="231F20"/>
          <w:sz w:val="15"/>
        </w:rPr>
        <w:t>původ</w:t>
      </w:r>
      <w:r>
        <w:rPr>
          <w:color w:val="231F20"/>
          <w:spacing w:val="-23"/>
          <w:sz w:val="15"/>
        </w:rPr>
        <w:t xml:space="preserve"> </w:t>
      </w:r>
      <w:r>
        <w:rPr>
          <w:color w:val="231F20"/>
          <w:sz w:val="15"/>
        </w:rPr>
        <w:t>v</w:t>
      </w:r>
      <w:r>
        <w:rPr>
          <w:color w:val="231F20"/>
          <w:spacing w:val="-23"/>
          <w:sz w:val="15"/>
        </w:rPr>
        <w:t xml:space="preserve"> </w:t>
      </w:r>
      <w:r>
        <w:rPr>
          <w:color w:val="231F20"/>
          <w:sz w:val="15"/>
        </w:rPr>
        <w:t>degenerativních</w:t>
      </w:r>
      <w:r>
        <w:rPr>
          <w:color w:val="231F20"/>
          <w:spacing w:val="-23"/>
          <w:sz w:val="15"/>
        </w:rPr>
        <w:t xml:space="preserve"> </w:t>
      </w:r>
      <w:r>
        <w:rPr>
          <w:color w:val="231F20"/>
          <w:sz w:val="15"/>
        </w:rPr>
        <w:t>změnách</w:t>
      </w:r>
      <w:r>
        <w:rPr>
          <w:color w:val="231F20"/>
          <w:spacing w:val="-23"/>
          <w:sz w:val="15"/>
        </w:rPr>
        <w:t xml:space="preserve"> </w:t>
      </w:r>
      <w:r>
        <w:rPr>
          <w:color w:val="231F20"/>
          <w:sz w:val="15"/>
        </w:rPr>
        <w:t>páteře</w:t>
      </w:r>
      <w:r>
        <w:rPr>
          <w:color w:val="231F20"/>
          <w:spacing w:val="-23"/>
          <w:sz w:val="15"/>
        </w:rPr>
        <w:t xml:space="preserve"> </w:t>
      </w:r>
      <w:r>
        <w:rPr>
          <w:color w:val="231F20"/>
          <w:sz w:val="15"/>
        </w:rPr>
        <w:t>(vertebrogenních</w:t>
      </w:r>
      <w:r>
        <w:rPr>
          <w:color w:val="231F20"/>
          <w:spacing w:val="-23"/>
          <w:sz w:val="15"/>
        </w:rPr>
        <w:t xml:space="preserve"> </w:t>
      </w:r>
      <w:r>
        <w:rPr>
          <w:color w:val="231F20"/>
          <w:sz w:val="15"/>
        </w:rPr>
        <w:t>algických syndromů),</w:t>
      </w:r>
      <w:r>
        <w:rPr>
          <w:color w:val="231F20"/>
          <w:spacing w:val="-10"/>
          <w:sz w:val="15"/>
        </w:rPr>
        <w:t xml:space="preserve"> </w:t>
      </w:r>
      <w:r>
        <w:rPr>
          <w:color w:val="231F20"/>
          <w:sz w:val="15"/>
        </w:rPr>
        <w:t>rovněž</w:t>
      </w:r>
      <w:r>
        <w:rPr>
          <w:color w:val="231F20"/>
          <w:spacing w:val="-10"/>
          <w:sz w:val="15"/>
        </w:rPr>
        <w:t xml:space="preserve"> </w:t>
      </w:r>
      <w:r>
        <w:rPr>
          <w:color w:val="231F20"/>
          <w:sz w:val="15"/>
        </w:rPr>
        <w:t>v</w:t>
      </w:r>
      <w:r>
        <w:rPr>
          <w:color w:val="231F20"/>
          <w:spacing w:val="-10"/>
          <w:sz w:val="15"/>
        </w:rPr>
        <w:t xml:space="preserve"> </w:t>
      </w:r>
      <w:r>
        <w:rPr>
          <w:color w:val="231F20"/>
          <w:sz w:val="15"/>
        </w:rPr>
        <w:t>případech,</w:t>
      </w:r>
      <w:r>
        <w:rPr>
          <w:color w:val="231F20"/>
          <w:spacing w:val="-10"/>
          <w:sz w:val="15"/>
        </w:rPr>
        <w:t xml:space="preserve"> </w:t>
      </w:r>
      <w:r>
        <w:rPr>
          <w:color w:val="231F20"/>
          <w:sz w:val="15"/>
        </w:rPr>
        <w:t>kdy</w:t>
      </w:r>
      <w:r>
        <w:rPr>
          <w:color w:val="231F20"/>
          <w:spacing w:val="-10"/>
          <w:sz w:val="15"/>
        </w:rPr>
        <w:t xml:space="preserve"> </w:t>
      </w:r>
      <w:r>
        <w:rPr>
          <w:color w:val="231F20"/>
          <w:sz w:val="15"/>
        </w:rPr>
        <w:t>tyto</w:t>
      </w:r>
      <w:r>
        <w:rPr>
          <w:color w:val="231F20"/>
          <w:spacing w:val="-10"/>
          <w:sz w:val="15"/>
        </w:rPr>
        <w:t xml:space="preserve"> </w:t>
      </w:r>
      <w:r>
        <w:rPr>
          <w:color w:val="231F20"/>
          <w:sz w:val="15"/>
        </w:rPr>
        <w:t>obtíže</w:t>
      </w:r>
      <w:r>
        <w:rPr>
          <w:color w:val="231F20"/>
          <w:spacing w:val="-10"/>
          <w:sz w:val="15"/>
        </w:rPr>
        <w:t xml:space="preserve"> </w:t>
      </w:r>
      <w:r>
        <w:rPr>
          <w:color w:val="231F20"/>
          <w:sz w:val="15"/>
        </w:rPr>
        <w:t>byly</w:t>
      </w:r>
      <w:r>
        <w:rPr>
          <w:color w:val="231F20"/>
          <w:spacing w:val="-10"/>
          <w:sz w:val="15"/>
        </w:rPr>
        <w:t xml:space="preserve"> </w:t>
      </w:r>
      <w:r>
        <w:rPr>
          <w:color w:val="231F20"/>
          <w:sz w:val="15"/>
        </w:rPr>
        <w:t>vyvolány</w:t>
      </w:r>
      <w:r>
        <w:rPr>
          <w:color w:val="231F20"/>
          <w:spacing w:val="-10"/>
          <w:sz w:val="15"/>
        </w:rPr>
        <w:t xml:space="preserve"> </w:t>
      </w:r>
      <w:r>
        <w:rPr>
          <w:color w:val="231F20"/>
          <w:sz w:val="15"/>
        </w:rPr>
        <w:t>úrazem;</w:t>
      </w:r>
    </w:p>
    <w:p w14:paraId="63D520C3" w14:textId="77777777" w:rsidR="00F65BCA" w:rsidRDefault="00216117">
      <w:pPr>
        <w:pStyle w:val="Odstavecseseznamem"/>
        <w:numPr>
          <w:ilvl w:val="0"/>
          <w:numId w:val="87"/>
        </w:numPr>
        <w:tabs>
          <w:tab w:val="left" w:pos="640"/>
        </w:tabs>
        <w:spacing w:line="172" w:lineRule="exact"/>
        <w:ind w:left="639"/>
        <w:jc w:val="both"/>
        <w:rPr>
          <w:sz w:val="15"/>
        </w:rPr>
      </w:pPr>
      <w:r>
        <w:rPr>
          <w:color w:val="231F20"/>
          <w:sz w:val="15"/>
        </w:rPr>
        <w:t>psychické</w:t>
      </w:r>
      <w:r>
        <w:rPr>
          <w:color w:val="231F20"/>
          <w:spacing w:val="-8"/>
          <w:sz w:val="15"/>
        </w:rPr>
        <w:t xml:space="preserve"> </w:t>
      </w:r>
      <w:r>
        <w:rPr>
          <w:color w:val="231F20"/>
          <w:spacing w:val="-3"/>
          <w:sz w:val="15"/>
        </w:rPr>
        <w:t>újmy,</w:t>
      </w:r>
      <w:r>
        <w:rPr>
          <w:color w:val="231F20"/>
          <w:spacing w:val="-8"/>
          <w:sz w:val="15"/>
        </w:rPr>
        <w:t xml:space="preserve"> </w:t>
      </w:r>
      <w:r>
        <w:rPr>
          <w:color w:val="231F20"/>
          <w:sz w:val="15"/>
        </w:rPr>
        <w:t>rovněž</w:t>
      </w:r>
      <w:r>
        <w:rPr>
          <w:color w:val="231F20"/>
          <w:spacing w:val="-8"/>
          <w:sz w:val="15"/>
        </w:rPr>
        <w:t xml:space="preserve"> </w:t>
      </w:r>
      <w:r>
        <w:rPr>
          <w:color w:val="231F20"/>
          <w:sz w:val="15"/>
        </w:rPr>
        <w:t>v</w:t>
      </w:r>
      <w:r>
        <w:rPr>
          <w:color w:val="231F20"/>
          <w:spacing w:val="-8"/>
          <w:sz w:val="15"/>
        </w:rPr>
        <w:t xml:space="preserve"> </w:t>
      </w:r>
      <w:r>
        <w:rPr>
          <w:color w:val="231F20"/>
          <w:sz w:val="15"/>
        </w:rPr>
        <w:t>případech,</w:t>
      </w:r>
      <w:r>
        <w:rPr>
          <w:color w:val="231F20"/>
          <w:spacing w:val="-8"/>
          <w:sz w:val="15"/>
        </w:rPr>
        <w:t xml:space="preserve"> </w:t>
      </w:r>
      <w:r>
        <w:rPr>
          <w:color w:val="231F20"/>
          <w:sz w:val="15"/>
        </w:rPr>
        <w:t>kdy</w:t>
      </w:r>
      <w:r>
        <w:rPr>
          <w:color w:val="231F20"/>
          <w:spacing w:val="-8"/>
          <w:sz w:val="15"/>
        </w:rPr>
        <w:t xml:space="preserve"> </w:t>
      </w:r>
      <w:r>
        <w:rPr>
          <w:color w:val="231F20"/>
          <w:sz w:val="15"/>
        </w:rPr>
        <w:t>tyto</w:t>
      </w:r>
      <w:r>
        <w:rPr>
          <w:color w:val="231F20"/>
          <w:spacing w:val="-8"/>
          <w:sz w:val="15"/>
        </w:rPr>
        <w:t xml:space="preserve"> </w:t>
      </w:r>
      <w:r>
        <w:rPr>
          <w:color w:val="231F20"/>
          <w:sz w:val="15"/>
        </w:rPr>
        <w:t>obtíže</w:t>
      </w:r>
      <w:r>
        <w:rPr>
          <w:color w:val="231F20"/>
          <w:spacing w:val="-8"/>
          <w:sz w:val="15"/>
        </w:rPr>
        <w:t xml:space="preserve"> </w:t>
      </w:r>
      <w:r>
        <w:rPr>
          <w:color w:val="231F20"/>
          <w:sz w:val="15"/>
        </w:rPr>
        <w:t>byly</w:t>
      </w:r>
      <w:r>
        <w:rPr>
          <w:color w:val="231F20"/>
          <w:spacing w:val="-8"/>
          <w:sz w:val="15"/>
        </w:rPr>
        <w:t xml:space="preserve"> </w:t>
      </w:r>
      <w:r>
        <w:rPr>
          <w:color w:val="231F20"/>
          <w:sz w:val="15"/>
        </w:rPr>
        <w:t>vyvolány</w:t>
      </w:r>
      <w:r>
        <w:rPr>
          <w:color w:val="231F20"/>
          <w:spacing w:val="-8"/>
          <w:sz w:val="15"/>
        </w:rPr>
        <w:t xml:space="preserve"> </w:t>
      </w:r>
      <w:r>
        <w:rPr>
          <w:color w:val="231F20"/>
          <w:sz w:val="15"/>
        </w:rPr>
        <w:t>úrazem;</w:t>
      </w:r>
    </w:p>
    <w:p w14:paraId="0256B468" w14:textId="77777777" w:rsidR="00F65BCA" w:rsidRDefault="00216117">
      <w:pPr>
        <w:pStyle w:val="Odstavecseseznamem"/>
        <w:numPr>
          <w:ilvl w:val="0"/>
          <w:numId w:val="87"/>
        </w:numPr>
        <w:tabs>
          <w:tab w:val="left" w:pos="640"/>
        </w:tabs>
        <w:spacing w:before="27"/>
        <w:ind w:left="639"/>
        <w:jc w:val="both"/>
        <w:rPr>
          <w:sz w:val="15"/>
        </w:rPr>
      </w:pPr>
      <w:r>
        <w:rPr>
          <w:color w:val="231F20"/>
          <w:sz w:val="15"/>
        </w:rPr>
        <w:t>infekční</w:t>
      </w:r>
      <w:r>
        <w:rPr>
          <w:color w:val="231F20"/>
          <w:spacing w:val="-5"/>
          <w:sz w:val="15"/>
        </w:rPr>
        <w:t xml:space="preserve"> </w:t>
      </w:r>
      <w:r>
        <w:rPr>
          <w:color w:val="231F20"/>
          <w:sz w:val="15"/>
        </w:rPr>
        <w:t>nemoc,</w:t>
      </w:r>
      <w:r>
        <w:rPr>
          <w:color w:val="231F20"/>
          <w:spacing w:val="-5"/>
          <w:sz w:val="15"/>
        </w:rPr>
        <w:t xml:space="preserve"> </w:t>
      </w:r>
      <w:r>
        <w:rPr>
          <w:color w:val="231F20"/>
          <w:sz w:val="15"/>
        </w:rPr>
        <w:t>rovněž</w:t>
      </w:r>
      <w:r>
        <w:rPr>
          <w:color w:val="231F20"/>
          <w:spacing w:val="-4"/>
          <w:sz w:val="15"/>
        </w:rPr>
        <w:t xml:space="preserve"> </w:t>
      </w:r>
      <w:r>
        <w:rPr>
          <w:color w:val="231F20"/>
          <w:sz w:val="15"/>
        </w:rPr>
        <w:t>v</w:t>
      </w:r>
      <w:r>
        <w:rPr>
          <w:color w:val="231F20"/>
          <w:spacing w:val="-5"/>
          <w:sz w:val="15"/>
        </w:rPr>
        <w:t xml:space="preserve"> </w:t>
      </w:r>
      <w:r>
        <w:rPr>
          <w:color w:val="231F20"/>
          <w:sz w:val="15"/>
        </w:rPr>
        <w:t>případech</w:t>
      </w:r>
      <w:r>
        <w:rPr>
          <w:color w:val="231F20"/>
          <w:spacing w:val="-4"/>
          <w:sz w:val="15"/>
        </w:rPr>
        <w:t xml:space="preserve"> </w:t>
      </w:r>
      <w:r>
        <w:rPr>
          <w:color w:val="231F20"/>
          <w:sz w:val="15"/>
        </w:rPr>
        <w:t>kdy</w:t>
      </w:r>
      <w:r>
        <w:rPr>
          <w:color w:val="231F20"/>
          <w:spacing w:val="-5"/>
          <w:sz w:val="15"/>
        </w:rPr>
        <w:t xml:space="preserve"> </w:t>
      </w:r>
      <w:r>
        <w:rPr>
          <w:color w:val="231F20"/>
          <w:sz w:val="15"/>
        </w:rPr>
        <w:t>byla</w:t>
      </w:r>
      <w:r>
        <w:rPr>
          <w:color w:val="231F20"/>
          <w:spacing w:val="-5"/>
          <w:sz w:val="15"/>
        </w:rPr>
        <w:t xml:space="preserve"> </w:t>
      </w:r>
      <w:r>
        <w:rPr>
          <w:color w:val="231F20"/>
          <w:sz w:val="15"/>
        </w:rPr>
        <w:t>přenesena</w:t>
      </w:r>
      <w:r>
        <w:rPr>
          <w:color w:val="231F20"/>
          <w:spacing w:val="-4"/>
          <w:sz w:val="15"/>
        </w:rPr>
        <w:t xml:space="preserve"> </w:t>
      </w:r>
      <w:r>
        <w:rPr>
          <w:color w:val="231F20"/>
          <w:sz w:val="15"/>
        </w:rPr>
        <w:t>úrazem;</w:t>
      </w:r>
    </w:p>
    <w:p w14:paraId="5353ABE8" w14:textId="77777777" w:rsidR="00F65BCA" w:rsidRDefault="00216117">
      <w:pPr>
        <w:pStyle w:val="Odstavecseseznamem"/>
        <w:numPr>
          <w:ilvl w:val="0"/>
          <w:numId w:val="87"/>
        </w:numPr>
        <w:tabs>
          <w:tab w:val="left" w:pos="640"/>
        </w:tabs>
        <w:spacing w:before="28" w:line="278" w:lineRule="auto"/>
        <w:ind w:left="639" w:right="424"/>
        <w:jc w:val="both"/>
        <w:rPr>
          <w:sz w:val="15"/>
        </w:rPr>
      </w:pPr>
      <w:r>
        <w:rPr>
          <w:color w:val="231F20"/>
          <w:sz w:val="15"/>
        </w:rPr>
        <w:t>pracovní</w:t>
      </w:r>
      <w:r>
        <w:rPr>
          <w:color w:val="231F20"/>
          <w:spacing w:val="-17"/>
          <w:sz w:val="15"/>
        </w:rPr>
        <w:t xml:space="preserve"> </w:t>
      </w:r>
      <w:r>
        <w:rPr>
          <w:color w:val="231F20"/>
          <w:sz w:val="15"/>
        </w:rPr>
        <w:t>úraz</w:t>
      </w:r>
      <w:r>
        <w:rPr>
          <w:color w:val="231F20"/>
          <w:spacing w:val="-16"/>
          <w:sz w:val="15"/>
        </w:rPr>
        <w:t xml:space="preserve"> </w:t>
      </w:r>
      <w:r>
        <w:rPr>
          <w:color w:val="231F20"/>
          <w:sz w:val="15"/>
        </w:rPr>
        <w:t>a</w:t>
      </w:r>
      <w:r>
        <w:rPr>
          <w:color w:val="231F20"/>
          <w:spacing w:val="-16"/>
          <w:sz w:val="15"/>
        </w:rPr>
        <w:t xml:space="preserve"> </w:t>
      </w:r>
      <w:r>
        <w:rPr>
          <w:color w:val="231F20"/>
          <w:sz w:val="15"/>
        </w:rPr>
        <w:t>nemoc</w:t>
      </w:r>
      <w:r>
        <w:rPr>
          <w:color w:val="231F20"/>
          <w:spacing w:val="-17"/>
          <w:sz w:val="15"/>
        </w:rPr>
        <w:t xml:space="preserve"> </w:t>
      </w:r>
      <w:r>
        <w:rPr>
          <w:color w:val="231F20"/>
          <w:sz w:val="15"/>
        </w:rPr>
        <w:t>z</w:t>
      </w:r>
      <w:r>
        <w:rPr>
          <w:color w:val="231F20"/>
          <w:spacing w:val="-16"/>
          <w:sz w:val="15"/>
        </w:rPr>
        <w:t xml:space="preserve"> </w:t>
      </w:r>
      <w:r>
        <w:rPr>
          <w:color w:val="231F20"/>
          <w:sz w:val="15"/>
        </w:rPr>
        <w:t>povolání,</w:t>
      </w:r>
      <w:r>
        <w:rPr>
          <w:color w:val="231F20"/>
          <w:spacing w:val="-16"/>
          <w:sz w:val="15"/>
        </w:rPr>
        <w:t xml:space="preserve"> </w:t>
      </w:r>
      <w:r>
        <w:rPr>
          <w:color w:val="231F20"/>
          <w:sz w:val="15"/>
        </w:rPr>
        <w:t>pokud</w:t>
      </w:r>
      <w:r>
        <w:rPr>
          <w:color w:val="231F20"/>
          <w:spacing w:val="-17"/>
          <w:sz w:val="15"/>
        </w:rPr>
        <w:t xml:space="preserve"> </w:t>
      </w:r>
      <w:r>
        <w:rPr>
          <w:color w:val="231F20"/>
          <w:sz w:val="15"/>
        </w:rPr>
        <w:t>nemají</w:t>
      </w:r>
      <w:r>
        <w:rPr>
          <w:color w:val="231F20"/>
          <w:spacing w:val="-16"/>
          <w:sz w:val="15"/>
        </w:rPr>
        <w:t xml:space="preserve"> </w:t>
      </w:r>
      <w:r>
        <w:rPr>
          <w:color w:val="231F20"/>
          <w:sz w:val="15"/>
        </w:rPr>
        <w:t>povahu</w:t>
      </w:r>
      <w:r>
        <w:rPr>
          <w:color w:val="231F20"/>
          <w:spacing w:val="-16"/>
          <w:sz w:val="15"/>
        </w:rPr>
        <w:t xml:space="preserve"> </w:t>
      </w:r>
      <w:r>
        <w:rPr>
          <w:color w:val="231F20"/>
          <w:sz w:val="15"/>
        </w:rPr>
        <w:t>úrazu,</w:t>
      </w:r>
      <w:r>
        <w:rPr>
          <w:color w:val="231F20"/>
          <w:spacing w:val="-17"/>
          <w:sz w:val="15"/>
        </w:rPr>
        <w:t xml:space="preserve"> </w:t>
      </w:r>
      <w:r>
        <w:rPr>
          <w:color w:val="231F20"/>
          <w:spacing w:val="-3"/>
          <w:sz w:val="15"/>
        </w:rPr>
        <w:t xml:space="preserve">vymezené- </w:t>
      </w:r>
      <w:r>
        <w:rPr>
          <w:color w:val="231F20"/>
          <w:sz w:val="15"/>
        </w:rPr>
        <w:t>ho v těchto</w:t>
      </w:r>
      <w:r>
        <w:rPr>
          <w:color w:val="231F20"/>
          <w:spacing w:val="-1"/>
          <w:sz w:val="15"/>
        </w:rPr>
        <w:t xml:space="preserve"> </w:t>
      </w:r>
      <w:r>
        <w:rPr>
          <w:color w:val="231F20"/>
          <w:sz w:val="15"/>
        </w:rPr>
        <w:t>VPP;</w:t>
      </w:r>
    </w:p>
    <w:p w14:paraId="4BF6D0FA" w14:textId="77777777" w:rsidR="00F65BCA" w:rsidRDefault="00216117">
      <w:pPr>
        <w:pStyle w:val="Odstavecseseznamem"/>
        <w:numPr>
          <w:ilvl w:val="0"/>
          <w:numId w:val="87"/>
        </w:numPr>
        <w:tabs>
          <w:tab w:val="left" w:pos="640"/>
        </w:tabs>
        <w:spacing w:line="278" w:lineRule="auto"/>
        <w:ind w:left="639" w:right="425"/>
        <w:jc w:val="both"/>
        <w:rPr>
          <w:sz w:val="15"/>
        </w:rPr>
      </w:pPr>
      <w:r>
        <w:rPr>
          <w:color w:val="231F20"/>
          <w:sz w:val="15"/>
        </w:rPr>
        <w:t>následek</w:t>
      </w:r>
      <w:r>
        <w:rPr>
          <w:color w:val="231F20"/>
          <w:spacing w:val="-13"/>
          <w:sz w:val="15"/>
        </w:rPr>
        <w:t xml:space="preserve"> </w:t>
      </w:r>
      <w:r>
        <w:rPr>
          <w:color w:val="231F20"/>
          <w:sz w:val="15"/>
        </w:rPr>
        <w:t>diagnostických,</w:t>
      </w:r>
      <w:r>
        <w:rPr>
          <w:color w:val="231F20"/>
          <w:spacing w:val="-12"/>
          <w:sz w:val="15"/>
        </w:rPr>
        <w:t xml:space="preserve"> </w:t>
      </w:r>
      <w:r>
        <w:rPr>
          <w:color w:val="231F20"/>
          <w:sz w:val="15"/>
        </w:rPr>
        <w:t>léčebných</w:t>
      </w:r>
      <w:r>
        <w:rPr>
          <w:color w:val="231F20"/>
          <w:spacing w:val="-12"/>
          <w:sz w:val="15"/>
        </w:rPr>
        <w:t xml:space="preserve"> </w:t>
      </w:r>
      <w:r>
        <w:rPr>
          <w:color w:val="231F20"/>
          <w:sz w:val="15"/>
        </w:rPr>
        <w:t>a</w:t>
      </w:r>
      <w:r>
        <w:rPr>
          <w:color w:val="231F20"/>
          <w:spacing w:val="-12"/>
          <w:sz w:val="15"/>
        </w:rPr>
        <w:t xml:space="preserve"> </w:t>
      </w:r>
      <w:r>
        <w:rPr>
          <w:color w:val="231F20"/>
          <w:sz w:val="15"/>
        </w:rPr>
        <w:t>preventivních</w:t>
      </w:r>
      <w:r>
        <w:rPr>
          <w:color w:val="231F20"/>
          <w:spacing w:val="-12"/>
          <w:sz w:val="15"/>
        </w:rPr>
        <w:t xml:space="preserve"> </w:t>
      </w:r>
      <w:r>
        <w:rPr>
          <w:color w:val="231F20"/>
          <w:sz w:val="15"/>
        </w:rPr>
        <w:t>zákroků,</w:t>
      </w:r>
      <w:r>
        <w:rPr>
          <w:color w:val="231F20"/>
          <w:spacing w:val="-12"/>
          <w:sz w:val="15"/>
        </w:rPr>
        <w:t xml:space="preserve"> </w:t>
      </w:r>
      <w:r>
        <w:rPr>
          <w:color w:val="231F20"/>
          <w:sz w:val="15"/>
        </w:rPr>
        <w:t>které</w:t>
      </w:r>
      <w:r>
        <w:rPr>
          <w:color w:val="231F20"/>
          <w:spacing w:val="-12"/>
          <w:sz w:val="15"/>
        </w:rPr>
        <w:t xml:space="preserve"> </w:t>
      </w:r>
      <w:r>
        <w:rPr>
          <w:color w:val="231F20"/>
          <w:sz w:val="15"/>
        </w:rPr>
        <w:t>nebyly provedeny za účelem léčení následků</w:t>
      </w:r>
      <w:r>
        <w:rPr>
          <w:color w:val="231F20"/>
          <w:spacing w:val="-12"/>
          <w:sz w:val="15"/>
        </w:rPr>
        <w:t xml:space="preserve"> </w:t>
      </w:r>
      <w:r>
        <w:rPr>
          <w:color w:val="231F20"/>
          <w:sz w:val="15"/>
        </w:rPr>
        <w:t>úrazu;</w:t>
      </w:r>
    </w:p>
    <w:p w14:paraId="56BBF4AA" w14:textId="77777777" w:rsidR="00F65BCA" w:rsidRDefault="00216117">
      <w:pPr>
        <w:pStyle w:val="Odstavecseseznamem"/>
        <w:numPr>
          <w:ilvl w:val="0"/>
          <w:numId w:val="87"/>
        </w:numPr>
        <w:tabs>
          <w:tab w:val="left" w:pos="640"/>
        </w:tabs>
        <w:spacing w:line="278" w:lineRule="auto"/>
        <w:ind w:left="639" w:right="424"/>
        <w:jc w:val="both"/>
        <w:rPr>
          <w:sz w:val="15"/>
        </w:rPr>
      </w:pPr>
      <w:r>
        <w:rPr>
          <w:color w:val="231F20"/>
          <w:sz w:val="15"/>
        </w:rPr>
        <w:t>zhoršení nebo projevení se nemoci v důsledku úrazu, včetně zhoršení či projevení se obtíží majících původ v úbytku řádné funkce buněk</w:t>
      </w:r>
      <w:r>
        <w:rPr>
          <w:color w:val="231F20"/>
          <w:spacing w:val="-29"/>
          <w:sz w:val="15"/>
        </w:rPr>
        <w:t xml:space="preserve"> </w:t>
      </w:r>
      <w:r>
        <w:rPr>
          <w:color w:val="231F20"/>
          <w:sz w:val="15"/>
        </w:rPr>
        <w:t>zejména stárnutím (degenerativní</w:t>
      </w:r>
      <w:r>
        <w:rPr>
          <w:color w:val="231F20"/>
          <w:spacing w:val="-4"/>
          <w:sz w:val="15"/>
        </w:rPr>
        <w:t xml:space="preserve"> </w:t>
      </w:r>
      <w:r>
        <w:rPr>
          <w:color w:val="231F20"/>
          <w:sz w:val="15"/>
        </w:rPr>
        <w:t>změny);</w:t>
      </w:r>
    </w:p>
    <w:p w14:paraId="03A6028A" w14:textId="77777777" w:rsidR="00F65BCA" w:rsidRDefault="00216117">
      <w:pPr>
        <w:pStyle w:val="Odstavecseseznamem"/>
        <w:numPr>
          <w:ilvl w:val="0"/>
          <w:numId w:val="87"/>
        </w:numPr>
        <w:tabs>
          <w:tab w:val="left" w:pos="640"/>
        </w:tabs>
        <w:spacing w:line="278" w:lineRule="auto"/>
        <w:ind w:left="639" w:right="424"/>
        <w:jc w:val="both"/>
        <w:rPr>
          <w:sz w:val="15"/>
        </w:rPr>
      </w:pPr>
      <w:r>
        <w:rPr>
          <w:color w:val="231F20"/>
          <w:sz w:val="15"/>
        </w:rPr>
        <w:t>patologickou</w:t>
      </w:r>
      <w:r>
        <w:rPr>
          <w:color w:val="231F20"/>
          <w:spacing w:val="-30"/>
          <w:sz w:val="15"/>
        </w:rPr>
        <w:t xml:space="preserve"> </w:t>
      </w:r>
      <w:r>
        <w:rPr>
          <w:color w:val="231F20"/>
          <w:sz w:val="15"/>
        </w:rPr>
        <w:t>zlomeninu,</w:t>
      </w:r>
      <w:r>
        <w:rPr>
          <w:color w:val="231F20"/>
          <w:spacing w:val="-29"/>
          <w:sz w:val="15"/>
        </w:rPr>
        <w:t xml:space="preserve"> </w:t>
      </w:r>
      <w:r>
        <w:rPr>
          <w:color w:val="231F20"/>
          <w:sz w:val="15"/>
        </w:rPr>
        <w:t>včetně</w:t>
      </w:r>
      <w:r>
        <w:rPr>
          <w:color w:val="231F20"/>
          <w:spacing w:val="-30"/>
          <w:sz w:val="15"/>
        </w:rPr>
        <w:t xml:space="preserve"> </w:t>
      </w:r>
      <w:r>
        <w:rPr>
          <w:color w:val="231F20"/>
          <w:sz w:val="15"/>
        </w:rPr>
        <w:t>zlomeniny</w:t>
      </w:r>
      <w:r>
        <w:rPr>
          <w:color w:val="231F20"/>
          <w:spacing w:val="-29"/>
          <w:sz w:val="15"/>
        </w:rPr>
        <w:t xml:space="preserve"> </w:t>
      </w:r>
      <w:r>
        <w:rPr>
          <w:color w:val="231F20"/>
          <w:sz w:val="15"/>
        </w:rPr>
        <w:t>v</w:t>
      </w:r>
      <w:r>
        <w:rPr>
          <w:color w:val="231F20"/>
          <w:spacing w:val="-29"/>
          <w:sz w:val="15"/>
        </w:rPr>
        <w:t xml:space="preserve"> </w:t>
      </w:r>
      <w:r>
        <w:rPr>
          <w:color w:val="231F20"/>
          <w:sz w:val="15"/>
        </w:rPr>
        <w:t>důsledku</w:t>
      </w:r>
      <w:r>
        <w:rPr>
          <w:color w:val="231F20"/>
          <w:spacing w:val="-30"/>
          <w:sz w:val="15"/>
        </w:rPr>
        <w:t xml:space="preserve"> </w:t>
      </w:r>
      <w:r>
        <w:rPr>
          <w:color w:val="231F20"/>
          <w:sz w:val="15"/>
        </w:rPr>
        <w:t>osteoporosy,</w:t>
      </w:r>
      <w:r>
        <w:rPr>
          <w:color w:val="231F20"/>
          <w:spacing w:val="-29"/>
          <w:sz w:val="15"/>
        </w:rPr>
        <w:t xml:space="preserve"> </w:t>
      </w:r>
      <w:r>
        <w:rPr>
          <w:color w:val="231F20"/>
          <w:spacing w:val="-3"/>
          <w:sz w:val="15"/>
        </w:rPr>
        <w:t xml:space="preserve">vrozené </w:t>
      </w:r>
      <w:r>
        <w:rPr>
          <w:color w:val="231F20"/>
          <w:sz w:val="15"/>
        </w:rPr>
        <w:t>lomivosti</w:t>
      </w:r>
      <w:r>
        <w:rPr>
          <w:color w:val="231F20"/>
          <w:spacing w:val="-20"/>
          <w:sz w:val="15"/>
        </w:rPr>
        <w:t xml:space="preserve"> </w:t>
      </w:r>
      <w:r>
        <w:rPr>
          <w:color w:val="231F20"/>
          <w:sz w:val="15"/>
        </w:rPr>
        <w:t>kostí</w:t>
      </w:r>
      <w:r>
        <w:rPr>
          <w:color w:val="231F20"/>
          <w:spacing w:val="-20"/>
          <w:sz w:val="15"/>
        </w:rPr>
        <w:t xml:space="preserve"> </w:t>
      </w:r>
      <w:r>
        <w:rPr>
          <w:color w:val="231F20"/>
          <w:sz w:val="15"/>
        </w:rPr>
        <w:t>nebo</w:t>
      </w:r>
      <w:r>
        <w:rPr>
          <w:color w:val="231F20"/>
          <w:spacing w:val="-19"/>
          <w:sz w:val="15"/>
        </w:rPr>
        <w:t xml:space="preserve"> </w:t>
      </w:r>
      <w:r>
        <w:rPr>
          <w:color w:val="231F20"/>
          <w:sz w:val="15"/>
        </w:rPr>
        <w:t>metabolických</w:t>
      </w:r>
      <w:r>
        <w:rPr>
          <w:color w:val="231F20"/>
          <w:spacing w:val="-20"/>
          <w:sz w:val="15"/>
        </w:rPr>
        <w:t xml:space="preserve"> </w:t>
      </w:r>
      <w:r>
        <w:rPr>
          <w:color w:val="231F20"/>
          <w:sz w:val="15"/>
        </w:rPr>
        <w:t>poruch.</w:t>
      </w:r>
      <w:r>
        <w:rPr>
          <w:color w:val="231F20"/>
          <w:spacing w:val="-19"/>
          <w:sz w:val="15"/>
        </w:rPr>
        <w:t xml:space="preserve"> </w:t>
      </w:r>
      <w:r>
        <w:rPr>
          <w:color w:val="231F20"/>
          <w:sz w:val="15"/>
        </w:rPr>
        <w:t>Patologickou</w:t>
      </w:r>
      <w:r>
        <w:rPr>
          <w:color w:val="231F20"/>
          <w:spacing w:val="-20"/>
          <w:sz w:val="15"/>
        </w:rPr>
        <w:t xml:space="preserve"> </w:t>
      </w:r>
      <w:r>
        <w:rPr>
          <w:color w:val="231F20"/>
          <w:sz w:val="15"/>
        </w:rPr>
        <w:t>zlomeninou</w:t>
      </w:r>
      <w:r>
        <w:rPr>
          <w:color w:val="231F20"/>
          <w:spacing w:val="-19"/>
          <w:sz w:val="15"/>
        </w:rPr>
        <w:t xml:space="preserve"> </w:t>
      </w:r>
      <w:r>
        <w:rPr>
          <w:color w:val="231F20"/>
          <w:sz w:val="15"/>
        </w:rPr>
        <w:t>se</w:t>
      </w:r>
      <w:r>
        <w:rPr>
          <w:color w:val="231F20"/>
          <w:spacing w:val="-20"/>
          <w:sz w:val="15"/>
        </w:rPr>
        <w:t xml:space="preserve"> </w:t>
      </w:r>
      <w:r>
        <w:rPr>
          <w:color w:val="231F20"/>
          <w:spacing w:val="-6"/>
          <w:sz w:val="15"/>
        </w:rPr>
        <w:t xml:space="preserve">ro- </w:t>
      </w:r>
      <w:r>
        <w:rPr>
          <w:color w:val="231F20"/>
          <w:sz w:val="15"/>
        </w:rPr>
        <w:t>zumí</w:t>
      </w:r>
      <w:r>
        <w:rPr>
          <w:color w:val="231F20"/>
          <w:spacing w:val="-18"/>
          <w:sz w:val="15"/>
        </w:rPr>
        <w:t xml:space="preserve"> </w:t>
      </w:r>
      <w:r>
        <w:rPr>
          <w:color w:val="231F20"/>
          <w:sz w:val="15"/>
        </w:rPr>
        <w:t>zlomenina</w:t>
      </w:r>
      <w:r>
        <w:rPr>
          <w:color w:val="231F20"/>
          <w:spacing w:val="-17"/>
          <w:sz w:val="15"/>
        </w:rPr>
        <w:t xml:space="preserve"> </w:t>
      </w:r>
      <w:r>
        <w:rPr>
          <w:color w:val="231F20"/>
          <w:sz w:val="15"/>
        </w:rPr>
        <w:t>v</w:t>
      </w:r>
      <w:r>
        <w:rPr>
          <w:color w:val="231F20"/>
          <w:spacing w:val="-17"/>
          <w:sz w:val="15"/>
        </w:rPr>
        <w:t xml:space="preserve"> </w:t>
      </w:r>
      <w:r>
        <w:rPr>
          <w:color w:val="231F20"/>
          <w:sz w:val="15"/>
        </w:rPr>
        <w:t>místě</w:t>
      </w:r>
      <w:r>
        <w:rPr>
          <w:color w:val="231F20"/>
          <w:spacing w:val="-17"/>
          <w:sz w:val="15"/>
        </w:rPr>
        <w:t xml:space="preserve"> </w:t>
      </w:r>
      <w:r>
        <w:rPr>
          <w:color w:val="231F20"/>
          <w:sz w:val="15"/>
        </w:rPr>
        <w:t>poškozené</w:t>
      </w:r>
      <w:r>
        <w:rPr>
          <w:color w:val="231F20"/>
          <w:spacing w:val="-17"/>
          <w:sz w:val="15"/>
        </w:rPr>
        <w:t xml:space="preserve"> </w:t>
      </w:r>
      <w:r>
        <w:rPr>
          <w:color w:val="231F20"/>
          <w:sz w:val="15"/>
        </w:rPr>
        <w:t>kosti</w:t>
      </w:r>
      <w:r>
        <w:rPr>
          <w:color w:val="231F20"/>
          <w:spacing w:val="-17"/>
          <w:sz w:val="15"/>
        </w:rPr>
        <w:t xml:space="preserve"> </w:t>
      </w:r>
      <w:r>
        <w:rPr>
          <w:color w:val="231F20"/>
          <w:sz w:val="15"/>
        </w:rPr>
        <w:t>jakýmkoli</w:t>
      </w:r>
      <w:r>
        <w:rPr>
          <w:color w:val="231F20"/>
          <w:spacing w:val="-17"/>
          <w:sz w:val="15"/>
        </w:rPr>
        <w:t xml:space="preserve"> </w:t>
      </w:r>
      <w:r>
        <w:rPr>
          <w:color w:val="231F20"/>
          <w:sz w:val="15"/>
        </w:rPr>
        <w:t>procesem</w:t>
      </w:r>
      <w:r>
        <w:rPr>
          <w:color w:val="231F20"/>
          <w:spacing w:val="-17"/>
          <w:sz w:val="15"/>
        </w:rPr>
        <w:t xml:space="preserve"> </w:t>
      </w:r>
      <w:r>
        <w:rPr>
          <w:color w:val="231F20"/>
          <w:sz w:val="15"/>
        </w:rPr>
        <w:t>(cysta,</w:t>
      </w:r>
      <w:r>
        <w:rPr>
          <w:color w:val="231F20"/>
          <w:spacing w:val="-17"/>
          <w:sz w:val="15"/>
        </w:rPr>
        <w:t xml:space="preserve"> </w:t>
      </w:r>
      <w:r>
        <w:rPr>
          <w:color w:val="231F20"/>
          <w:spacing w:val="-6"/>
          <w:sz w:val="15"/>
        </w:rPr>
        <w:t xml:space="preserve">nádor, </w:t>
      </w:r>
      <w:r>
        <w:rPr>
          <w:color w:val="231F20"/>
          <w:w w:val="95"/>
          <w:sz w:val="15"/>
        </w:rPr>
        <w:t xml:space="preserve">osteoporosa). Osteoporosou se rozumí onemocnění kosti charakterizované </w:t>
      </w:r>
      <w:r>
        <w:rPr>
          <w:color w:val="231F20"/>
          <w:sz w:val="15"/>
        </w:rPr>
        <w:t>úbytkem</w:t>
      </w:r>
      <w:r>
        <w:rPr>
          <w:color w:val="231F20"/>
          <w:spacing w:val="-20"/>
          <w:sz w:val="15"/>
        </w:rPr>
        <w:t xml:space="preserve"> </w:t>
      </w:r>
      <w:r>
        <w:rPr>
          <w:color w:val="231F20"/>
          <w:sz w:val="15"/>
        </w:rPr>
        <w:t>kostní</w:t>
      </w:r>
      <w:r>
        <w:rPr>
          <w:color w:val="231F20"/>
          <w:spacing w:val="-19"/>
          <w:sz w:val="15"/>
        </w:rPr>
        <w:t xml:space="preserve"> </w:t>
      </w:r>
      <w:r>
        <w:rPr>
          <w:color w:val="231F20"/>
          <w:spacing w:val="-3"/>
          <w:sz w:val="15"/>
        </w:rPr>
        <w:t>hmoty,</w:t>
      </w:r>
      <w:r>
        <w:rPr>
          <w:color w:val="231F20"/>
          <w:spacing w:val="-19"/>
          <w:sz w:val="15"/>
        </w:rPr>
        <w:t xml:space="preserve"> </w:t>
      </w:r>
      <w:r>
        <w:rPr>
          <w:color w:val="231F20"/>
          <w:sz w:val="15"/>
        </w:rPr>
        <w:t>tj.</w:t>
      </w:r>
      <w:r>
        <w:rPr>
          <w:color w:val="231F20"/>
          <w:spacing w:val="-19"/>
          <w:sz w:val="15"/>
        </w:rPr>
        <w:t xml:space="preserve"> </w:t>
      </w:r>
      <w:r>
        <w:rPr>
          <w:color w:val="231F20"/>
          <w:sz w:val="15"/>
        </w:rPr>
        <w:t>demineralizace</w:t>
      </w:r>
      <w:r>
        <w:rPr>
          <w:color w:val="231F20"/>
          <w:spacing w:val="-19"/>
          <w:sz w:val="15"/>
        </w:rPr>
        <w:t xml:space="preserve"> </w:t>
      </w:r>
      <w:r>
        <w:rPr>
          <w:color w:val="231F20"/>
          <w:sz w:val="15"/>
        </w:rPr>
        <w:t>jakéhokoli</w:t>
      </w:r>
      <w:r>
        <w:rPr>
          <w:color w:val="231F20"/>
          <w:spacing w:val="-19"/>
          <w:sz w:val="15"/>
        </w:rPr>
        <w:t xml:space="preserve"> </w:t>
      </w:r>
      <w:r>
        <w:rPr>
          <w:color w:val="231F20"/>
          <w:sz w:val="15"/>
        </w:rPr>
        <w:t>původu</w:t>
      </w:r>
      <w:r>
        <w:rPr>
          <w:color w:val="231F20"/>
          <w:spacing w:val="-19"/>
          <w:sz w:val="15"/>
        </w:rPr>
        <w:t xml:space="preserve"> </w:t>
      </w:r>
      <w:r>
        <w:rPr>
          <w:color w:val="231F20"/>
          <w:sz w:val="15"/>
        </w:rPr>
        <w:t>(poruchy</w:t>
      </w:r>
      <w:r>
        <w:rPr>
          <w:color w:val="231F20"/>
          <w:spacing w:val="-19"/>
          <w:sz w:val="15"/>
        </w:rPr>
        <w:t xml:space="preserve"> </w:t>
      </w:r>
      <w:r>
        <w:rPr>
          <w:color w:val="231F20"/>
          <w:spacing w:val="-4"/>
          <w:sz w:val="15"/>
        </w:rPr>
        <w:t xml:space="preserve">meta- </w:t>
      </w:r>
      <w:r>
        <w:rPr>
          <w:color w:val="231F20"/>
          <w:sz w:val="15"/>
        </w:rPr>
        <w:t>bolismu, po užívání léků,</w:t>
      </w:r>
      <w:r>
        <w:rPr>
          <w:color w:val="231F20"/>
          <w:spacing w:val="-7"/>
          <w:sz w:val="15"/>
        </w:rPr>
        <w:t xml:space="preserve"> </w:t>
      </w:r>
      <w:r>
        <w:rPr>
          <w:color w:val="231F20"/>
          <w:sz w:val="15"/>
        </w:rPr>
        <w:t>stařecká);</w:t>
      </w:r>
    </w:p>
    <w:p w14:paraId="12BC2760" w14:textId="77777777" w:rsidR="00F65BCA" w:rsidRDefault="00216117">
      <w:pPr>
        <w:pStyle w:val="Odstavecseseznamem"/>
        <w:numPr>
          <w:ilvl w:val="0"/>
          <w:numId w:val="87"/>
        </w:numPr>
        <w:tabs>
          <w:tab w:val="left" w:pos="640"/>
        </w:tabs>
        <w:spacing w:line="278" w:lineRule="auto"/>
        <w:ind w:left="639" w:right="425"/>
        <w:jc w:val="both"/>
        <w:rPr>
          <w:sz w:val="15"/>
        </w:rPr>
      </w:pPr>
      <w:r>
        <w:rPr>
          <w:color w:val="231F20"/>
          <w:sz w:val="15"/>
        </w:rPr>
        <w:t>únavovou</w:t>
      </w:r>
      <w:r>
        <w:rPr>
          <w:color w:val="231F20"/>
          <w:spacing w:val="-17"/>
          <w:sz w:val="15"/>
        </w:rPr>
        <w:t xml:space="preserve"> </w:t>
      </w:r>
      <w:r>
        <w:rPr>
          <w:color w:val="231F20"/>
          <w:sz w:val="15"/>
        </w:rPr>
        <w:t>zlomeninou</w:t>
      </w:r>
      <w:r>
        <w:rPr>
          <w:color w:val="231F20"/>
          <w:spacing w:val="-16"/>
          <w:sz w:val="15"/>
        </w:rPr>
        <w:t xml:space="preserve"> </w:t>
      </w:r>
      <w:r>
        <w:rPr>
          <w:color w:val="231F20"/>
          <w:sz w:val="15"/>
        </w:rPr>
        <w:t>tj.</w:t>
      </w:r>
      <w:r>
        <w:rPr>
          <w:color w:val="231F20"/>
          <w:spacing w:val="-16"/>
          <w:sz w:val="15"/>
        </w:rPr>
        <w:t xml:space="preserve"> </w:t>
      </w:r>
      <w:r>
        <w:rPr>
          <w:color w:val="231F20"/>
          <w:sz w:val="15"/>
        </w:rPr>
        <w:t>zlomeniny</w:t>
      </w:r>
      <w:r>
        <w:rPr>
          <w:color w:val="231F20"/>
          <w:spacing w:val="-17"/>
          <w:sz w:val="15"/>
        </w:rPr>
        <w:t xml:space="preserve"> </w:t>
      </w:r>
      <w:r>
        <w:rPr>
          <w:color w:val="231F20"/>
          <w:sz w:val="15"/>
        </w:rPr>
        <w:t>kosti</w:t>
      </w:r>
      <w:r>
        <w:rPr>
          <w:color w:val="231F20"/>
          <w:spacing w:val="-16"/>
          <w:sz w:val="15"/>
        </w:rPr>
        <w:t xml:space="preserve"> </w:t>
      </w:r>
      <w:r>
        <w:rPr>
          <w:color w:val="231F20"/>
          <w:sz w:val="15"/>
        </w:rPr>
        <w:t>vzniklé</w:t>
      </w:r>
      <w:r>
        <w:rPr>
          <w:color w:val="231F20"/>
          <w:spacing w:val="-16"/>
          <w:sz w:val="15"/>
        </w:rPr>
        <w:t xml:space="preserve"> </w:t>
      </w:r>
      <w:r>
        <w:rPr>
          <w:color w:val="231F20"/>
          <w:sz w:val="15"/>
        </w:rPr>
        <w:t>z</w:t>
      </w:r>
      <w:r>
        <w:rPr>
          <w:color w:val="231F20"/>
          <w:spacing w:val="-16"/>
          <w:sz w:val="15"/>
        </w:rPr>
        <w:t xml:space="preserve"> </w:t>
      </w:r>
      <w:r>
        <w:rPr>
          <w:color w:val="231F20"/>
          <w:sz w:val="15"/>
        </w:rPr>
        <w:t>přetížení</w:t>
      </w:r>
      <w:r>
        <w:rPr>
          <w:color w:val="231F20"/>
          <w:spacing w:val="-17"/>
          <w:sz w:val="15"/>
        </w:rPr>
        <w:t xml:space="preserve"> </w:t>
      </w:r>
      <w:r>
        <w:rPr>
          <w:color w:val="231F20"/>
          <w:sz w:val="15"/>
        </w:rPr>
        <w:t>a</w:t>
      </w:r>
      <w:r>
        <w:rPr>
          <w:color w:val="231F20"/>
          <w:spacing w:val="-16"/>
          <w:sz w:val="15"/>
        </w:rPr>
        <w:t xml:space="preserve"> </w:t>
      </w:r>
      <w:r>
        <w:rPr>
          <w:color w:val="231F20"/>
          <w:sz w:val="15"/>
        </w:rPr>
        <w:t>to</w:t>
      </w:r>
      <w:r>
        <w:rPr>
          <w:color w:val="231F20"/>
          <w:spacing w:val="-16"/>
          <w:sz w:val="15"/>
        </w:rPr>
        <w:t xml:space="preserve"> </w:t>
      </w:r>
      <w:r>
        <w:rPr>
          <w:color w:val="231F20"/>
          <w:sz w:val="15"/>
        </w:rPr>
        <w:t>bez</w:t>
      </w:r>
      <w:r>
        <w:rPr>
          <w:color w:val="231F20"/>
          <w:spacing w:val="-17"/>
          <w:sz w:val="15"/>
        </w:rPr>
        <w:t xml:space="preserve"> </w:t>
      </w:r>
      <w:r>
        <w:rPr>
          <w:color w:val="231F20"/>
          <w:sz w:val="15"/>
        </w:rPr>
        <w:t>ohledu na</w:t>
      </w:r>
      <w:r>
        <w:rPr>
          <w:color w:val="231F20"/>
          <w:spacing w:val="-9"/>
          <w:sz w:val="15"/>
        </w:rPr>
        <w:t xml:space="preserve"> </w:t>
      </w:r>
      <w:r>
        <w:rPr>
          <w:color w:val="231F20"/>
          <w:sz w:val="15"/>
        </w:rPr>
        <w:t>mechanismus</w:t>
      </w:r>
      <w:r>
        <w:rPr>
          <w:color w:val="231F20"/>
          <w:spacing w:val="-8"/>
          <w:sz w:val="15"/>
        </w:rPr>
        <w:t xml:space="preserve"> </w:t>
      </w:r>
      <w:r>
        <w:rPr>
          <w:color w:val="231F20"/>
          <w:sz w:val="15"/>
        </w:rPr>
        <w:t>úrazu</w:t>
      </w:r>
      <w:r>
        <w:rPr>
          <w:color w:val="231F20"/>
          <w:spacing w:val="-8"/>
          <w:sz w:val="15"/>
        </w:rPr>
        <w:t xml:space="preserve"> </w:t>
      </w:r>
      <w:r>
        <w:rPr>
          <w:color w:val="231F20"/>
          <w:spacing w:val="-3"/>
          <w:sz w:val="15"/>
        </w:rPr>
        <w:t>(např.</w:t>
      </w:r>
      <w:r>
        <w:rPr>
          <w:color w:val="231F20"/>
          <w:spacing w:val="-8"/>
          <w:sz w:val="15"/>
        </w:rPr>
        <w:t xml:space="preserve"> </w:t>
      </w:r>
      <w:r>
        <w:rPr>
          <w:color w:val="231F20"/>
          <w:sz w:val="15"/>
        </w:rPr>
        <w:t>vlivem</w:t>
      </w:r>
      <w:r>
        <w:rPr>
          <w:color w:val="231F20"/>
          <w:spacing w:val="-8"/>
          <w:sz w:val="15"/>
        </w:rPr>
        <w:t xml:space="preserve"> </w:t>
      </w:r>
      <w:r>
        <w:rPr>
          <w:color w:val="231F20"/>
          <w:sz w:val="15"/>
        </w:rPr>
        <w:t>dlouhého</w:t>
      </w:r>
      <w:r>
        <w:rPr>
          <w:color w:val="231F20"/>
          <w:spacing w:val="-8"/>
          <w:sz w:val="15"/>
        </w:rPr>
        <w:t xml:space="preserve"> </w:t>
      </w:r>
      <w:r>
        <w:rPr>
          <w:color w:val="231F20"/>
          <w:sz w:val="15"/>
        </w:rPr>
        <w:t>pochodu</w:t>
      </w:r>
      <w:r>
        <w:rPr>
          <w:color w:val="231F20"/>
          <w:spacing w:val="-8"/>
          <w:sz w:val="15"/>
        </w:rPr>
        <w:t xml:space="preserve"> </w:t>
      </w:r>
      <w:r>
        <w:rPr>
          <w:color w:val="231F20"/>
          <w:sz w:val="15"/>
        </w:rPr>
        <w:t>nebo</w:t>
      </w:r>
      <w:r>
        <w:rPr>
          <w:color w:val="231F20"/>
          <w:spacing w:val="-8"/>
          <w:sz w:val="15"/>
        </w:rPr>
        <w:t xml:space="preserve"> </w:t>
      </w:r>
      <w:r>
        <w:rPr>
          <w:color w:val="231F20"/>
          <w:sz w:val="15"/>
        </w:rPr>
        <w:t>běhu);</w:t>
      </w:r>
    </w:p>
    <w:p w14:paraId="573F4D0A" w14:textId="77777777" w:rsidR="00F65BCA" w:rsidRDefault="00216117">
      <w:pPr>
        <w:pStyle w:val="Odstavecseseznamem"/>
        <w:numPr>
          <w:ilvl w:val="0"/>
          <w:numId w:val="87"/>
        </w:numPr>
        <w:tabs>
          <w:tab w:val="left" w:pos="640"/>
        </w:tabs>
        <w:spacing w:line="278" w:lineRule="auto"/>
        <w:ind w:left="639" w:right="424"/>
        <w:jc w:val="both"/>
        <w:rPr>
          <w:sz w:val="15"/>
        </w:rPr>
      </w:pPr>
      <w:r>
        <w:rPr>
          <w:color w:val="231F20"/>
          <w:sz w:val="15"/>
        </w:rPr>
        <w:t>vykloubení</w:t>
      </w:r>
      <w:r>
        <w:rPr>
          <w:color w:val="231F20"/>
          <w:spacing w:val="-25"/>
          <w:sz w:val="15"/>
        </w:rPr>
        <w:t xml:space="preserve"> </w:t>
      </w:r>
      <w:r>
        <w:rPr>
          <w:color w:val="231F20"/>
          <w:sz w:val="15"/>
        </w:rPr>
        <w:t>kloubu</w:t>
      </w:r>
      <w:r>
        <w:rPr>
          <w:color w:val="231F20"/>
          <w:spacing w:val="-25"/>
          <w:sz w:val="15"/>
        </w:rPr>
        <w:t xml:space="preserve"> </w:t>
      </w:r>
      <w:r>
        <w:rPr>
          <w:color w:val="231F20"/>
          <w:sz w:val="15"/>
        </w:rPr>
        <w:t>v</w:t>
      </w:r>
      <w:r>
        <w:rPr>
          <w:color w:val="231F20"/>
          <w:spacing w:val="-25"/>
          <w:sz w:val="15"/>
        </w:rPr>
        <w:t xml:space="preserve"> </w:t>
      </w:r>
      <w:r>
        <w:rPr>
          <w:color w:val="231F20"/>
          <w:sz w:val="15"/>
        </w:rPr>
        <w:t>důsledku</w:t>
      </w:r>
      <w:r>
        <w:rPr>
          <w:color w:val="231F20"/>
          <w:spacing w:val="-25"/>
          <w:sz w:val="15"/>
        </w:rPr>
        <w:t xml:space="preserve"> </w:t>
      </w:r>
      <w:r>
        <w:rPr>
          <w:color w:val="231F20"/>
          <w:sz w:val="15"/>
        </w:rPr>
        <w:t>vrozených</w:t>
      </w:r>
      <w:r>
        <w:rPr>
          <w:color w:val="231F20"/>
          <w:spacing w:val="-25"/>
          <w:sz w:val="15"/>
        </w:rPr>
        <w:t xml:space="preserve"> </w:t>
      </w:r>
      <w:r>
        <w:rPr>
          <w:color w:val="231F20"/>
          <w:sz w:val="15"/>
        </w:rPr>
        <w:t>vad</w:t>
      </w:r>
      <w:r>
        <w:rPr>
          <w:color w:val="231F20"/>
          <w:spacing w:val="-25"/>
          <w:sz w:val="15"/>
        </w:rPr>
        <w:t xml:space="preserve"> </w:t>
      </w:r>
      <w:r>
        <w:rPr>
          <w:color w:val="231F20"/>
          <w:sz w:val="15"/>
        </w:rPr>
        <w:t>a</w:t>
      </w:r>
      <w:r>
        <w:rPr>
          <w:color w:val="231F20"/>
          <w:spacing w:val="-24"/>
          <w:sz w:val="15"/>
        </w:rPr>
        <w:t xml:space="preserve"> </w:t>
      </w:r>
      <w:r>
        <w:rPr>
          <w:color w:val="231F20"/>
          <w:sz w:val="15"/>
        </w:rPr>
        <w:t>poruch</w:t>
      </w:r>
      <w:r>
        <w:rPr>
          <w:color w:val="231F20"/>
          <w:spacing w:val="-25"/>
          <w:sz w:val="15"/>
        </w:rPr>
        <w:t xml:space="preserve"> </w:t>
      </w:r>
      <w:r>
        <w:rPr>
          <w:color w:val="231F20"/>
          <w:spacing w:val="-3"/>
          <w:sz w:val="15"/>
        </w:rPr>
        <w:t>(např.</w:t>
      </w:r>
      <w:r>
        <w:rPr>
          <w:color w:val="231F20"/>
          <w:spacing w:val="-25"/>
          <w:sz w:val="15"/>
        </w:rPr>
        <w:t xml:space="preserve"> </w:t>
      </w:r>
      <w:r>
        <w:rPr>
          <w:color w:val="231F20"/>
          <w:sz w:val="15"/>
        </w:rPr>
        <w:t>habituální</w:t>
      </w:r>
      <w:r>
        <w:rPr>
          <w:color w:val="231F20"/>
          <w:spacing w:val="-25"/>
          <w:sz w:val="15"/>
        </w:rPr>
        <w:t xml:space="preserve"> </w:t>
      </w:r>
      <w:r>
        <w:rPr>
          <w:color w:val="231F20"/>
          <w:sz w:val="15"/>
        </w:rPr>
        <w:t>luxa- ce),</w:t>
      </w:r>
      <w:r>
        <w:rPr>
          <w:color w:val="231F20"/>
          <w:spacing w:val="-24"/>
          <w:sz w:val="15"/>
        </w:rPr>
        <w:t xml:space="preserve"> </w:t>
      </w:r>
      <w:r>
        <w:rPr>
          <w:color w:val="231F20"/>
          <w:sz w:val="15"/>
        </w:rPr>
        <w:t>tj.</w:t>
      </w:r>
      <w:r>
        <w:rPr>
          <w:color w:val="231F20"/>
          <w:spacing w:val="-24"/>
          <w:sz w:val="15"/>
        </w:rPr>
        <w:t xml:space="preserve"> </w:t>
      </w:r>
      <w:r>
        <w:rPr>
          <w:color w:val="231F20"/>
          <w:sz w:val="15"/>
        </w:rPr>
        <w:t>vykloubení</w:t>
      </w:r>
      <w:r>
        <w:rPr>
          <w:color w:val="231F20"/>
          <w:spacing w:val="-23"/>
          <w:sz w:val="15"/>
        </w:rPr>
        <w:t xml:space="preserve"> </w:t>
      </w:r>
      <w:r>
        <w:rPr>
          <w:color w:val="231F20"/>
          <w:sz w:val="15"/>
        </w:rPr>
        <w:t>v</w:t>
      </w:r>
      <w:r>
        <w:rPr>
          <w:color w:val="231F20"/>
          <w:spacing w:val="-24"/>
          <w:sz w:val="15"/>
        </w:rPr>
        <w:t xml:space="preserve"> </w:t>
      </w:r>
      <w:r>
        <w:rPr>
          <w:color w:val="231F20"/>
          <w:sz w:val="15"/>
        </w:rPr>
        <w:t>důsledku</w:t>
      </w:r>
      <w:r>
        <w:rPr>
          <w:color w:val="231F20"/>
          <w:spacing w:val="-24"/>
          <w:sz w:val="15"/>
        </w:rPr>
        <w:t xml:space="preserve"> </w:t>
      </w:r>
      <w:r>
        <w:rPr>
          <w:color w:val="231F20"/>
          <w:sz w:val="15"/>
        </w:rPr>
        <w:t>vrozené</w:t>
      </w:r>
      <w:r>
        <w:rPr>
          <w:color w:val="231F20"/>
          <w:spacing w:val="-23"/>
          <w:sz w:val="15"/>
        </w:rPr>
        <w:t xml:space="preserve"> </w:t>
      </w:r>
      <w:r>
        <w:rPr>
          <w:color w:val="231F20"/>
          <w:sz w:val="15"/>
        </w:rPr>
        <w:t>nestability</w:t>
      </w:r>
      <w:r>
        <w:rPr>
          <w:color w:val="231F20"/>
          <w:spacing w:val="-24"/>
          <w:sz w:val="15"/>
        </w:rPr>
        <w:t xml:space="preserve"> </w:t>
      </w:r>
      <w:r>
        <w:rPr>
          <w:color w:val="231F20"/>
          <w:sz w:val="15"/>
        </w:rPr>
        <w:t>kloubu,</w:t>
      </w:r>
      <w:r>
        <w:rPr>
          <w:color w:val="231F20"/>
          <w:spacing w:val="-23"/>
          <w:sz w:val="15"/>
        </w:rPr>
        <w:t xml:space="preserve"> </w:t>
      </w:r>
      <w:r>
        <w:rPr>
          <w:color w:val="231F20"/>
          <w:sz w:val="15"/>
        </w:rPr>
        <w:t>například</w:t>
      </w:r>
      <w:r>
        <w:rPr>
          <w:color w:val="231F20"/>
          <w:spacing w:val="-24"/>
          <w:sz w:val="15"/>
        </w:rPr>
        <w:t xml:space="preserve"> </w:t>
      </w:r>
      <w:r>
        <w:rPr>
          <w:color w:val="231F20"/>
          <w:sz w:val="15"/>
        </w:rPr>
        <w:t>nepoměr jamky</w:t>
      </w:r>
      <w:r>
        <w:rPr>
          <w:color w:val="231F20"/>
          <w:spacing w:val="-16"/>
          <w:sz w:val="15"/>
        </w:rPr>
        <w:t xml:space="preserve"> </w:t>
      </w:r>
      <w:r>
        <w:rPr>
          <w:color w:val="231F20"/>
          <w:sz w:val="15"/>
        </w:rPr>
        <w:t>a</w:t>
      </w:r>
      <w:r>
        <w:rPr>
          <w:color w:val="231F20"/>
          <w:spacing w:val="-16"/>
          <w:sz w:val="15"/>
        </w:rPr>
        <w:t xml:space="preserve"> </w:t>
      </w:r>
      <w:r>
        <w:rPr>
          <w:color w:val="231F20"/>
          <w:sz w:val="15"/>
        </w:rPr>
        <w:t>hlavice</w:t>
      </w:r>
      <w:r>
        <w:rPr>
          <w:color w:val="231F20"/>
          <w:spacing w:val="-15"/>
          <w:sz w:val="15"/>
        </w:rPr>
        <w:t xml:space="preserve"> </w:t>
      </w:r>
      <w:r>
        <w:rPr>
          <w:color w:val="231F20"/>
          <w:sz w:val="15"/>
        </w:rPr>
        <w:t>kloubu,</w:t>
      </w:r>
      <w:r>
        <w:rPr>
          <w:color w:val="231F20"/>
          <w:spacing w:val="-16"/>
          <w:sz w:val="15"/>
        </w:rPr>
        <w:t xml:space="preserve"> </w:t>
      </w:r>
      <w:r>
        <w:rPr>
          <w:color w:val="231F20"/>
          <w:sz w:val="15"/>
        </w:rPr>
        <w:t>onemocnění</w:t>
      </w:r>
      <w:r>
        <w:rPr>
          <w:color w:val="231F20"/>
          <w:spacing w:val="-15"/>
          <w:sz w:val="15"/>
        </w:rPr>
        <w:t xml:space="preserve"> </w:t>
      </w:r>
      <w:r>
        <w:rPr>
          <w:color w:val="231F20"/>
          <w:sz w:val="15"/>
        </w:rPr>
        <w:t>vazivového</w:t>
      </w:r>
      <w:r>
        <w:rPr>
          <w:color w:val="231F20"/>
          <w:spacing w:val="-16"/>
          <w:sz w:val="15"/>
        </w:rPr>
        <w:t xml:space="preserve"> </w:t>
      </w:r>
      <w:r>
        <w:rPr>
          <w:color w:val="231F20"/>
          <w:sz w:val="15"/>
        </w:rPr>
        <w:t>aparátu</w:t>
      </w:r>
      <w:r>
        <w:rPr>
          <w:color w:val="231F20"/>
          <w:spacing w:val="-16"/>
          <w:sz w:val="15"/>
        </w:rPr>
        <w:t xml:space="preserve"> </w:t>
      </w:r>
      <w:r>
        <w:rPr>
          <w:color w:val="231F20"/>
          <w:sz w:val="15"/>
        </w:rPr>
        <w:t>nebo</w:t>
      </w:r>
      <w:r>
        <w:rPr>
          <w:color w:val="231F20"/>
          <w:spacing w:val="-15"/>
          <w:sz w:val="15"/>
        </w:rPr>
        <w:t xml:space="preserve"> </w:t>
      </w:r>
      <w:r>
        <w:rPr>
          <w:color w:val="231F20"/>
          <w:sz w:val="15"/>
        </w:rPr>
        <w:t>svaloviny;</w:t>
      </w:r>
    </w:p>
    <w:p w14:paraId="327B5732" w14:textId="77777777" w:rsidR="00F65BCA" w:rsidRDefault="00216117">
      <w:pPr>
        <w:pStyle w:val="Zkladntext"/>
        <w:spacing w:line="172" w:lineRule="exact"/>
        <w:ind w:left="469"/>
        <w:jc w:val="both"/>
      </w:pPr>
      <w:r>
        <w:rPr>
          <w:color w:val="231F20"/>
        </w:rPr>
        <w:t>m sebevraždu, pokus o ni nebo úmyslné sebepoškození;</w:t>
      </w:r>
    </w:p>
    <w:p w14:paraId="40CCD57B" w14:textId="77777777" w:rsidR="00F65BCA" w:rsidRDefault="00216117">
      <w:pPr>
        <w:pStyle w:val="Zkladntext"/>
        <w:spacing w:before="26" w:line="278" w:lineRule="auto"/>
        <w:ind w:left="639" w:right="424" w:hanging="171"/>
        <w:jc w:val="both"/>
      </w:pPr>
      <w:r>
        <w:rPr>
          <w:color w:val="231F20"/>
        </w:rPr>
        <w:t>n úraz, k němuž dojde v důsledku nebo v souvislosti s přímým či nepřímým působením jaderné energie;</w:t>
      </w:r>
    </w:p>
    <w:p w14:paraId="0D26B1FE" w14:textId="77777777" w:rsidR="00F65BCA" w:rsidRDefault="00216117">
      <w:pPr>
        <w:pStyle w:val="Zkladntext"/>
        <w:spacing w:line="278" w:lineRule="auto"/>
        <w:ind w:left="639" w:right="424" w:hanging="171"/>
        <w:jc w:val="both"/>
      </w:pPr>
      <w:r>
        <w:rPr>
          <w:color w:val="231F20"/>
        </w:rPr>
        <w:t xml:space="preserve">o úraz, k němuž dojde v důsledku nebo v souvislosti s řízením </w:t>
      </w:r>
      <w:r>
        <w:rPr>
          <w:color w:val="231F20"/>
          <w:spacing w:val="-3"/>
        </w:rPr>
        <w:t xml:space="preserve">motorového </w:t>
      </w:r>
      <w:r>
        <w:rPr>
          <w:color w:val="231F20"/>
        </w:rPr>
        <w:t>vozidla,</w:t>
      </w:r>
      <w:r>
        <w:rPr>
          <w:color w:val="231F20"/>
          <w:spacing w:val="-14"/>
        </w:rPr>
        <w:t xml:space="preserve"> </w:t>
      </w:r>
      <w:r>
        <w:rPr>
          <w:color w:val="231F20"/>
        </w:rPr>
        <w:t>pro</w:t>
      </w:r>
      <w:r>
        <w:rPr>
          <w:color w:val="231F20"/>
          <w:spacing w:val="-13"/>
        </w:rPr>
        <w:t xml:space="preserve"> </w:t>
      </w:r>
      <w:r>
        <w:rPr>
          <w:color w:val="231F20"/>
        </w:rPr>
        <w:t>něž</w:t>
      </w:r>
      <w:r>
        <w:rPr>
          <w:color w:val="231F20"/>
          <w:spacing w:val="-13"/>
        </w:rPr>
        <w:t xml:space="preserve"> </w:t>
      </w:r>
      <w:r>
        <w:rPr>
          <w:color w:val="231F20"/>
        </w:rPr>
        <w:t>pojištěný</w:t>
      </w:r>
      <w:r>
        <w:rPr>
          <w:color w:val="231F20"/>
          <w:spacing w:val="-14"/>
        </w:rPr>
        <w:t xml:space="preserve"> </w:t>
      </w:r>
      <w:r>
        <w:rPr>
          <w:color w:val="231F20"/>
        </w:rPr>
        <w:t>neměl</w:t>
      </w:r>
      <w:r>
        <w:rPr>
          <w:color w:val="231F20"/>
          <w:spacing w:val="-13"/>
        </w:rPr>
        <w:t xml:space="preserve"> </w:t>
      </w:r>
      <w:r>
        <w:rPr>
          <w:color w:val="231F20"/>
        </w:rPr>
        <w:t>v</w:t>
      </w:r>
      <w:r>
        <w:rPr>
          <w:color w:val="231F20"/>
          <w:spacing w:val="-13"/>
        </w:rPr>
        <w:t xml:space="preserve"> </w:t>
      </w:r>
      <w:r>
        <w:rPr>
          <w:color w:val="231F20"/>
        </w:rPr>
        <w:t>době</w:t>
      </w:r>
      <w:r>
        <w:rPr>
          <w:color w:val="231F20"/>
          <w:spacing w:val="-13"/>
        </w:rPr>
        <w:t xml:space="preserve"> </w:t>
      </w:r>
      <w:r>
        <w:rPr>
          <w:color w:val="231F20"/>
        </w:rPr>
        <w:t>pojistné</w:t>
      </w:r>
      <w:r>
        <w:rPr>
          <w:color w:val="231F20"/>
          <w:spacing w:val="-14"/>
        </w:rPr>
        <w:t xml:space="preserve"> </w:t>
      </w:r>
      <w:r>
        <w:rPr>
          <w:color w:val="231F20"/>
        </w:rPr>
        <w:t>události</w:t>
      </w:r>
      <w:r>
        <w:rPr>
          <w:color w:val="231F20"/>
          <w:spacing w:val="-13"/>
        </w:rPr>
        <w:t xml:space="preserve"> </w:t>
      </w:r>
      <w:r>
        <w:rPr>
          <w:color w:val="231F20"/>
        </w:rPr>
        <w:t>příslušné</w:t>
      </w:r>
      <w:r>
        <w:rPr>
          <w:color w:val="231F20"/>
          <w:spacing w:val="-13"/>
        </w:rPr>
        <w:t xml:space="preserve"> </w:t>
      </w:r>
      <w:r>
        <w:rPr>
          <w:color w:val="231F20"/>
        </w:rPr>
        <w:t xml:space="preserve">řidičské oprávnění. </w:t>
      </w:r>
      <w:r>
        <w:rPr>
          <w:color w:val="231F20"/>
          <w:spacing w:val="-5"/>
        </w:rPr>
        <w:t xml:space="preserve">Tato </w:t>
      </w:r>
      <w:r>
        <w:rPr>
          <w:color w:val="231F20"/>
        </w:rPr>
        <w:t xml:space="preserve">výluka se nepoužije, pokud se pojištěný učil vozidlo </w:t>
      </w:r>
      <w:r>
        <w:rPr>
          <w:color w:val="231F20"/>
          <w:spacing w:val="-3"/>
        </w:rPr>
        <w:t xml:space="preserve">řídit </w:t>
      </w:r>
      <w:r>
        <w:rPr>
          <w:color w:val="231F20"/>
        </w:rPr>
        <w:t>nebo</w:t>
      </w:r>
      <w:r>
        <w:rPr>
          <w:color w:val="231F20"/>
          <w:spacing w:val="-11"/>
        </w:rPr>
        <w:t xml:space="preserve"> </w:t>
      </w:r>
      <w:r>
        <w:rPr>
          <w:color w:val="231F20"/>
        </w:rPr>
        <w:t>skládal</w:t>
      </w:r>
      <w:r>
        <w:rPr>
          <w:color w:val="231F20"/>
          <w:spacing w:val="-10"/>
        </w:rPr>
        <w:t xml:space="preserve"> </w:t>
      </w:r>
      <w:r>
        <w:rPr>
          <w:color w:val="231F20"/>
        </w:rPr>
        <w:t>zkoušku</w:t>
      </w:r>
      <w:r>
        <w:rPr>
          <w:color w:val="231F20"/>
          <w:spacing w:val="-10"/>
        </w:rPr>
        <w:t xml:space="preserve"> </w:t>
      </w:r>
      <w:r>
        <w:rPr>
          <w:color w:val="231F20"/>
        </w:rPr>
        <w:t>z</w:t>
      </w:r>
      <w:r>
        <w:rPr>
          <w:color w:val="231F20"/>
          <w:spacing w:val="-11"/>
        </w:rPr>
        <w:t xml:space="preserve"> </w:t>
      </w:r>
      <w:r>
        <w:rPr>
          <w:color w:val="231F20"/>
        </w:rPr>
        <w:t>řízení</w:t>
      </w:r>
      <w:r>
        <w:rPr>
          <w:color w:val="231F20"/>
          <w:spacing w:val="-10"/>
        </w:rPr>
        <w:t xml:space="preserve"> </w:t>
      </w:r>
      <w:r>
        <w:rPr>
          <w:color w:val="231F20"/>
        </w:rPr>
        <w:t>vozidla,</w:t>
      </w:r>
      <w:r>
        <w:rPr>
          <w:color w:val="231F20"/>
          <w:spacing w:val="-10"/>
        </w:rPr>
        <w:t xml:space="preserve"> </w:t>
      </w:r>
      <w:r>
        <w:rPr>
          <w:color w:val="231F20"/>
        </w:rPr>
        <w:t>a</w:t>
      </w:r>
      <w:r>
        <w:rPr>
          <w:color w:val="231F20"/>
          <w:spacing w:val="-11"/>
        </w:rPr>
        <w:t xml:space="preserve"> </w:t>
      </w:r>
      <w:r>
        <w:rPr>
          <w:color w:val="231F20"/>
        </w:rPr>
        <w:t>to</w:t>
      </w:r>
      <w:r>
        <w:rPr>
          <w:color w:val="231F20"/>
          <w:spacing w:val="-10"/>
        </w:rPr>
        <w:t xml:space="preserve"> </w:t>
      </w:r>
      <w:r>
        <w:rPr>
          <w:color w:val="231F20"/>
        </w:rPr>
        <w:t>vždy</w:t>
      </w:r>
      <w:r>
        <w:rPr>
          <w:color w:val="231F20"/>
          <w:spacing w:val="-10"/>
        </w:rPr>
        <w:t xml:space="preserve"> </w:t>
      </w:r>
      <w:r>
        <w:rPr>
          <w:color w:val="231F20"/>
        </w:rPr>
        <w:t>pouze</w:t>
      </w:r>
      <w:r>
        <w:rPr>
          <w:color w:val="231F20"/>
          <w:spacing w:val="-11"/>
        </w:rPr>
        <w:t xml:space="preserve"> </w:t>
      </w:r>
      <w:r>
        <w:rPr>
          <w:color w:val="231F20"/>
        </w:rPr>
        <w:t>v</w:t>
      </w:r>
      <w:r>
        <w:rPr>
          <w:color w:val="231F20"/>
          <w:spacing w:val="-10"/>
        </w:rPr>
        <w:t xml:space="preserve"> </w:t>
      </w:r>
      <w:r>
        <w:rPr>
          <w:color w:val="231F20"/>
        </w:rPr>
        <w:t>souladu</w:t>
      </w:r>
      <w:r>
        <w:rPr>
          <w:color w:val="231F20"/>
          <w:spacing w:val="-10"/>
        </w:rPr>
        <w:t xml:space="preserve"> </w:t>
      </w:r>
      <w:r>
        <w:rPr>
          <w:color w:val="231F20"/>
        </w:rPr>
        <w:t>s</w:t>
      </w:r>
      <w:r>
        <w:rPr>
          <w:color w:val="231F20"/>
          <w:spacing w:val="-11"/>
        </w:rPr>
        <w:t xml:space="preserve"> </w:t>
      </w:r>
      <w:r>
        <w:rPr>
          <w:color w:val="231F20"/>
        </w:rPr>
        <w:t>přísluš- nými právními</w:t>
      </w:r>
      <w:r>
        <w:rPr>
          <w:color w:val="231F20"/>
          <w:spacing w:val="-2"/>
        </w:rPr>
        <w:t xml:space="preserve"> </w:t>
      </w:r>
      <w:r>
        <w:rPr>
          <w:color w:val="231F20"/>
        </w:rPr>
        <w:t>předpisy;</w:t>
      </w:r>
    </w:p>
    <w:p w14:paraId="20871CBD" w14:textId="77777777" w:rsidR="00F65BCA" w:rsidRDefault="00216117">
      <w:pPr>
        <w:pStyle w:val="Odstavecseseznamem"/>
        <w:numPr>
          <w:ilvl w:val="0"/>
          <w:numId w:val="86"/>
        </w:numPr>
        <w:tabs>
          <w:tab w:val="left" w:pos="640"/>
        </w:tabs>
        <w:spacing w:line="278" w:lineRule="auto"/>
        <w:ind w:right="424"/>
        <w:jc w:val="both"/>
        <w:rPr>
          <w:sz w:val="15"/>
        </w:rPr>
      </w:pPr>
      <w:r>
        <w:rPr>
          <w:color w:val="231F20"/>
          <w:sz w:val="15"/>
        </w:rPr>
        <w:t xml:space="preserve">úraz, k němuž dojde v důsledku nebo v souvislosti s řízením </w:t>
      </w:r>
      <w:r>
        <w:rPr>
          <w:color w:val="231F20"/>
          <w:spacing w:val="-3"/>
          <w:sz w:val="15"/>
        </w:rPr>
        <w:t xml:space="preserve">motorového </w:t>
      </w:r>
      <w:r>
        <w:rPr>
          <w:color w:val="231F20"/>
          <w:sz w:val="15"/>
        </w:rPr>
        <w:t xml:space="preserve">vozidla při automobilových, motocyklových nebo </w:t>
      </w:r>
      <w:r>
        <w:rPr>
          <w:color w:val="231F20"/>
          <w:spacing w:val="-3"/>
          <w:sz w:val="15"/>
        </w:rPr>
        <w:t xml:space="preserve">(např. buggy, </w:t>
      </w:r>
      <w:r>
        <w:rPr>
          <w:color w:val="231F20"/>
          <w:sz w:val="15"/>
        </w:rPr>
        <w:t>čtyřkolky) motoristických</w:t>
      </w:r>
      <w:r>
        <w:rPr>
          <w:color w:val="231F20"/>
          <w:spacing w:val="-16"/>
          <w:sz w:val="15"/>
        </w:rPr>
        <w:t xml:space="preserve"> </w:t>
      </w:r>
      <w:r>
        <w:rPr>
          <w:color w:val="231F20"/>
          <w:sz w:val="15"/>
        </w:rPr>
        <w:t>soutěžích</w:t>
      </w:r>
      <w:r>
        <w:rPr>
          <w:color w:val="231F20"/>
          <w:spacing w:val="-16"/>
          <w:sz w:val="15"/>
        </w:rPr>
        <w:t xml:space="preserve"> </w:t>
      </w:r>
      <w:r>
        <w:rPr>
          <w:color w:val="231F20"/>
          <w:sz w:val="15"/>
        </w:rPr>
        <w:t>a</w:t>
      </w:r>
      <w:r>
        <w:rPr>
          <w:color w:val="231F20"/>
          <w:spacing w:val="-15"/>
          <w:sz w:val="15"/>
        </w:rPr>
        <w:t xml:space="preserve"> </w:t>
      </w:r>
      <w:r>
        <w:rPr>
          <w:color w:val="231F20"/>
          <w:sz w:val="15"/>
        </w:rPr>
        <w:t>při</w:t>
      </w:r>
      <w:r>
        <w:rPr>
          <w:color w:val="231F20"/>
          <w:spacing w:val="-16"/>
          <w:sz w:val="15"/>
        </w:rPr>
        <w:t xml:space="preserve"> </w:t>
      </w:r>
      <w:r>
        <w:rPr>
          <w:color w:val="231F20"/>
          <w:sz w:val="15"/>
        </w:rPr>
        <w:t>přípravě</w:t>
      </w:r>
      <w:r>
        <w:rPr>
          <w:color w:val="231F20"/>
          <w:spacing w:val="-16"/>
          <w:sz w:val="15"/>
        </w:rPr>
        <w:t xml:space="preserve"> </w:t>
      </w:r>
      <w:r>
        <w:rPr>
          <w:color w:val="231F20"/>
          <w:sz w:val="15"/>
        </w:rPr>
        <w:t>na</w:t>
      </w:r>
      <w:r>
        <w:rPr>
          <w:color w:val="231F20"/>
          <w:spacing w:val="-15"/>
          <w:sz w:val="15"/>
        </w:rPr>
        <w:t xml:space="preserve"> </w:t>
      </w:r>
      <w:r>
        <w:rPr>
          <w:color w:val="231F20"/>
          <w:sz w:val="15"/>
        </w:rPr>
        <w:t>ně;</w:t>
      </w:r>
      <w:r>
        <w:rPr>
          <w:color w:val="231F20"/>
          <w:spacing w:val="-16"/>
          <w:sz w:val="15"/>
        </w:rPr>
        <w:t xml:space="preserve"> </w:t>
      </w:r>
      <w:r>
        <w:rPr>
          <w:color w:val="231F20"/>
          <w:sz w:val="15"/>
        </w:rPr>
        <w:t>ani</w:t>
      </w:r>
      <w:r>
        <w:rPr>
          <w:color w:val="231F20"/>
          <w:spacing w:val="-16"/>
          <w:sz w:val="15"/>
        </w:rPr>
        <w:t xml:space="preserve"> </w:t>
      </w:r>
      <w:r>
        <w:rPr>
          <w:color w:val="231F20"/>
          <w:sz w:val="15"/>
        </w:rPr>
        <w:t>v</w:t>
      </w:r>
      <w:r>
        <w:rPr>
          <w:color w:val="231F20"/>
          <w:spacing w:val="-15"/>
          <w:sz w:val="15"/>
        </w:rPr>
        <w:t xml:space="preserve"> </w:t>
      </w:r>
      <w:r>
        <w:rPr>
          <w:color w:val="231F20"/>
          <w:sz w:val="15"/>
        </w:rPr>
        <w:t>případech,</w:t>
      </w:r>
      <w:r>
        <w:rPr>
          <w:color w:val="231F20"/>
          <w:spacing w:val="-16"/>
          <w:sz w:val="15"/>
        </w:rPr>
        <w:t xml:space="preserve"> </w:t>
      </w:r>
      <w:r>
        <w:rPr>
          <w:color w:val="231F20"/>
          <w:sz w:val="15"/>
        </w:rPr>
        <w:t>kdy</w:t>
      </w:r>
      <w:r>
        <w:rPr>
          <w:color w:val="231F20"/>
          <w:spacing w:val="-16"/>
          <w:sz w:val="15"/>
        </w:rPr>
        <w:t xml:space="preserve"> </w:t>
      </w:r>
      <w:r>
        <w:rPr>
          <w:color w:val="231F20"/>
          <w:sz w:val="15"/>
        </w:rPr>
        <w:t>se</w:t>
      </w:r>
      <w:r>
        <w:rPr>
          <w:color w:val="231F20"/>
          <w:spacing w:val="-15"/>
          <w:sz w:val="15"/>
        </w:rPr>
        <w:t xml:space="preserve"> </w:t>
      </w:r>
      <w:r>
        <w:rPr>
          <w:color w:val="231F20"/>
          <w:sz w:val="15"/>
        </w:rPr>
        <w:t>pojiš- těný</w:t>
      </w:r>
      <w:r>
        <w:rPr>
          <w:color w:val="231F20"/>
          <w:spacing w:val="-10"/>
          <w:sz w:val="15"/>
        </w:rPr>
        <w:t xml:space="preserve"> </w:t>
      </w:r>
      <w:r>
        <w:rPr>
          <w:color w:val="231F20"/>
          <w:sz w:val="15"/>
        </w:rPr>
        <w:t>zúčastní</w:t>
      </w:r>
      <w:r>
        <w:rPr>
          <w:color w:val="231F20"/>
          <w:spacing w:val="-10"/>
          <w:sz w:val="15"/>
        </w:rPr>
        <w:t xml:space="preserve"> </w:t>
      </w:r>
      <w:r>
        <w:rPr>
          <w:color w:val="231F20"/>
          <w:sz w:val="15"/>
        </w:rPr>
        <w:t>těchto</w:t>
      </w:r>
      <w:r>
        <w:rPr>
          <w:color w:val="231F20"/>
          <w:spacing w:val="-9"/>
          <w:sz w:val="15"/>
        </w:rPr>
        <w:t xml:space="preserve"> </w:t>
      </w:r>
      <w:r>
        <w:rPr>
          <w:color w:val="231F20"/>
          <w:sz w:val="15"/>
        </w:rPr>
        <w:t>soutěží</w:t>
      </w:r>
      <w:r>
        <w:rPr>
          <w:color w:val="231F20"/>
          <w:spacing w:val="-10"/>
          <w:sz w:val="15"/>
        </w:rPr>
        <w:t xml:space="preserve"> </w:t>
      </w:r>
      <w:r>
        <w:rPr>
          <w:color w:val="231F20"/>
          <w:sz w:val="15"/>
        </w:rPr>
        <w:t>nebo</w:t>
      </w:r>
      <w:r>
        <w:rPr>
          <w:color w:val="231F20"/>
          <w:spacing w:val="-10"/>
          <w:sz w:val="15"/>
        </w:rPr>
        <w:t xml:space="preserve"> </w:t>
      </w:r>
      <w:r>
        <w:rPr>
          <w:color w:val="231F20"/>
          <w:sz w:val="15"/>
        </w:rPr>
        <w:t>přípravy</w:t>
      </w:r>
      <w:r>
        <w:rPr>
          <w:color w:val="231F20"/>
          <w:spacing w:val="-9"/>
          <w:sz w:val="15"/>
        </w:rPr>
        <w:t xml:space="preserve"> </w:t>
      </w:r>
      <w:r>
        <w:rPr>
          <w:color w:val="231F20"/>
          <w:sz w:val="15"/>
        </w:rPr>
        <w:t>na</w:t>
      </w:r>
      <w:r>
        <w:rPr>
          <w:color w:val="231F20"/>
          <w:spacing w:val="-10"/>
          <w:sz w:val="15"/>
        </w:rPr>
        <w:t xml:space="preserve"> </w:t>
      </w:r>
      <w:r>
        <w:rPr>
          <w:color w:val="231F20"/>
          <w:sz w:val="15"/>
        </w:rPr>
        <w:t>ně</w:t>
      </w:r>
      <w:r>
        <w:rPr>
          <w:color w:val="231F20"/>
          <w:spacing w:val="-10"/>
          <w:sz w:val="15"/>
        </w:rPr>
        <w:t xml:space="preserve"> </w:t>
      </w:r>
      <w:r>
        <w:rPr>
          <w:color w:val="231F20"/>
          <w:sz w:val="15"/>
        </w:rPr>
        <w:t>jako</w:t>
      </w:r>
      <w:r>
        <w:rPr>
          <w:color w:val="231F20"/>
          <w:spacing w:val="-9"/>
          <w:sz w:val="15"/>
        </w:rPr>
        <w:t xml:space="preserve"> </w:t>
      </w:r>
      <w:r>
        <w:rPr>
          <w:color w:val="231F20"/>
          <w:sz w:val="15"/>
        </w:rPr>
        <w:t>spolujezdec;</w:t>
      </w:r>
      <w:r>
        <w:rPr>
          <w:color w:val="231F20"/>
          <w:spacing w:val="-10"/>
          <w:sz w:val="15"/>
        </w:rPr>
        <w:t xml:space="preserve"> </w:t>
      </w:r>
      <w:r>
        <w:rPr>
          <w:color w:val="231F20"/>
          <w:sz w:val="15"/>
        </w:rPr>
        <w:t>přípra- vou</w:t>
      </w:r>
      <w:r>
        <w:rPr>
          <w:color w:val="231F20"/>
          <w:spacing w:val="-29"/>
          <w:sz w:val="15"/>
        </w:rPr>
        <w:t xml:space="preserve"> </w:t>
      </w:r>
      <w:r>
        <w:rPr>
          <w:color w:val="231F20"/>
          <w:sz w:val="15"/>
        </w:rPr>
        <w:t>se</w:t>
      </w:r>
      <w:r>
        <w:rPr>
          <w:color w:val="231F20"/>
          <w:spacing w:val="-29"/>
          <w:sz w:val="15"/>
        </w:rPr>
        <w:t xml:space="preserve"> </w:t>
      </w:r>
      <w:r>
        <w:rPr>
          <w:color w:val="231F20"/>
          <w:sz w:val="15"/>
        </w:rPr>
        <w:t>rozumí</w:t>
      </w:r>
      <w:r>
        <w:rPr>
          <w:color w:val="231F20"/>
          <w:spacing w:val="-29"/>
          <w:sz w:val="15"/>
        </w:rPr>
        <w:t xml:space="preserve"> </w:t>
      </w:r>
      <w:r>
        <w:rPr>
          <w:color w:val="231F20"/>
          <w:sz w:val="15"/>
        </w:rPr>
        <w:t>jakákoli</w:t>
      </w:r>
      <w:r>
        <w:rPr>
          <w:color w:val="231F20"/>
          <w:spacing w:val="-29"/>
          <w:sz w:val="15"/>
        </w:rPr>
        <w:t xml:space="preserve"> </w:t>
      </w:r>
      <w:r>
        <w:rPr>
          <w:color w:val="231F20"/>
          <w:sz w:val="15"/>
        </w:rPr>
        <w:t>aktivita</w:t>
      </w:r>
      <w:r>
        <w:rPr>
          <w:color w:val="231F20"/>
          <w:spacing w:val="-29"/>
          <w:sz w:val="15"/>
        </w:rPr>
        <w:t xml:space="preserve"> </w:t>
      </w:r>
      <w:r>
        <w:rPr>
          <w:color w:val="231F20"/>
          <w:sz w:val="15"/>
        </w:rPr>
        <w:t>pojištěného</w:t>
      </w:r>
      <w:r>
        <w:rPr>
          <w:color w:val="231F20"/>
          <w:spacing w:val="-28"/>
          <w:sz w:val="15"/>
        </w:rPr>
        <w:t xml:space="preserve"> </w:t>
      </w:r>
      <w:r>
        <w:rPr>
          <w:color w:val="231F20"/>
          <w:sz w:val="15"/>
        </w:rPr>
        <w:t>související</w:t>
      </w:r>
      <w:r>
        <w:rPr>
          <w:color w:val="231F20"/>
          <w:spacing w:val="-29"/>
          <w:sz w:val="15"/>
        </w:rPr>
        <w:t xml:space="preserve"> </w:t>
      </w:r>
      <w:r>
        <w:rPr>
          <w:color w:val="231F20"/>
          <w:sz w:val="15"/>
        </w:rPr>
        <w:t>s</w:t>
      </w:r>
      <w:r>
        <w:rPr>
          <w:color w:val="231F20"/>
          <w:spacing w:val="-29"/>
          <w:sz w:val="15"/>
        </w:rPr>
        <w:t xml:space="preserve"> </w:t>
      </w:r>
      <w:r>
        <w:rPr>
          <w:color w:val="231F20"/>
          <w:sz w:val="15"/>
        </w:rPr>
        <w:t>motorovým</w:t>
      </w:r>
      <w:r>
        <w:rPr>
          <w:color w:val="231F20"/>
          <w:spacing w:val="-29"/>
          <w:sz w:val="15"/>
        </w:rPr>
        <w:t xml:space="preserve"> </w:t>
      </w:r>
      <w:r>
        <w:rPr>
          <w:color w:val="231F20"/>
          <w:sz w:val="15"/>
        </w:rPr>
        <w:t>vozidlem nebo</w:t>
      </w:r>
      <w:r>
        <w:rPr>
          <w:color w:val="231F20"/>
          <w:spacing w:val="-13"/>
          <w:sz w:val="15"/>
        </w:rPr>
        <w:t xml:space="preserve"> </w:t>
      </w:r>
      <w:r>
        <w:rPr>
          <w:color w:val="231F20"/>
          <w:sz w:val="15"/>
        </w:rPr>
        <w:t>motocyklem</w:t>
      </w:r>
      <w:r>
        <w:rPr>
          <w:color w:val="231F20"/>
          <w:spacing w:val="-13"/>
          <w:sz w:val="15"/>
        </w:rPr>
        <w:t xml:space="preserve"> </w:t>
      </w:r>
      <w:r>
        <w:rPr>
          <w:color w:val="231F20"/>
          <w:sz w:val="15"/>
        </w:rPr>
        <w:t>či</w:t>
      </w:r>
      <w:r>
        <w:rPr>
          <w:color w:val="231F20"/>
          <w:spacing w:val="-12"/>
          <w:sz w:val="15"/>
        </w:rPr>
        <w:t xml:space="preserve"> </w:t>
      </w:r>
      <w:r>
        <w:rPr>
          <w:color w:val="231F20"/>
          <w:sz w:val="15"/>
        </w:rPr>
        <w:t>jiným</w:t>
      </w:r>
      <w:r>
        <w:rPr>
          <w:color w:val="231F20"/>
          <w:spacing w:val="-13"/>
          <w:sz w:val="15"/>
        </w:rPr>
        <w:t xml:space="preserve"> </w:t>
      </w:r>
      <w:r>
        <w:rPr>
          <w:color w:val="231F20"/>
          <w:sz w:val="15"/>
        </w:rPr>
        <w:t>obdobným</w:t>
      </w:r>
      <w:r>
        <w:rPr>
          <w:color w:val="231F20"/>
          <w:spacing w:val="-12"/>
          <w:sz w:val="15"/>
        </w:rPr>
        <w:t xml:space="preserve"> </w:t>
      </w:r>
      <w:r>
        <w:rPr>
          <w:color w:val="231F20"/>
          <w:sz w:val="15"/>
        </w:rPr>
        <w:t>vozidlem</w:t>
      </w:r>
      <w:r>
        <w:rPr>
          <w:color w:val="231F20"/>
          <w:spacing w:val="-13"/>
          <w:sz w:val="15"/>
        </w:rPr>
        <w:t xml:space="preserve"> </w:t>
      </w:r>
      <w:r>
        <w:rPr>
          <w:color w:val="231F20"/>
          <w:spacing w:val="-3"/>
          <w:sz w:val="15"/>
        </w:rPr>
        <w:t>(např.</w:t>
      </w:r>
      <w:r>
        <w:rPr>
          <w:color w:val="231F20"/>
          <w:spacing w:val="-13"/>
          <w:sz w:val="15"/>
        </w:rPr>
        <w:t xml:space="preserve"> </w:t>
      </w:r>
      <w:r>
        <w:rPr>
          <w:color w:val="231F20"/>
          <w:sz w:val="15"/>
        </w:rPr>
        <w:t>jízda</w:t>
      </w:r>
      <w:r>
        <w:rPr>
          <w:color w:val="231F20"/>
          <w:spacing w:val="-12"/>
          <w:sz w:val="15"/>
        </w:rPr>
        <w:t xml:space="preserve"> </w:t>
      </w:r>
      <w:r>
        <w:rPr>
          <w:color w:val="231F20"/>
          <w:sz w:val="15"/>
        </w:rPr>
        <w:t>na</w:t>
      </w:r>
      <w:r>
        <w:rPr>
          <w:color w:val="231F20"/>
          <w:spacing w:val="-13"/>
          <w:sz w:val="15"/>
        </w:rPr>
        <w:t xml:space="preserve"> </w:t>
      </w:r>
      <w:r>
        <w:rPr>
          <w:color w:val="231F20"/>
          <w:spacing w:val="-3"/>
          <w:sz w:val="15"/>
        </w:rPr>
        <w:t xml:space="preserve">tréninkových </w:t>
      </w:r>
      <w:r>
        <w:rPr>
          <w:color w:val="231F20"/>
          <w:sz w:val="15"/>
        </w:rPr>
        <w:t>tratích,</w:t>
      </w:r>
      <w:r>
        <w:rPr>
          <w:color w:val="231F20"/>
          <w:spacing w:val="-10"/>
          <w:sz w:val="15"/>
        </w:rPr>
        <w:t xml:space="preserve"> </w:t>
      </w:r>
      <w:r>
        <w:rPr>
          <w:color w:val="231F20"/>
          <w:sz w:val="15"/>
        </w:rPr>
        <w:t>ve</w:t>
      </w:r>
      <w:r>
        <w:rPr>
          <w:color w:val="231F20"/>
          <w:spacing w:val="-10"/>
          <w:sz w:val="15"/>
        </w:rPr>
        <w:t xml:space="preserve"> </w:t>
      </w:r>
      <w:r>
        <w:rPr>
          <w:color w:val="231F20"/>
          <w:sz w:val="15"/>
        </w:rPr>
        <w:t>volném</w:t>
      </w:r>
      <w:r>
        <w:rPr>
          <w:color w:val="231F20"/>
          <w:spacing w:val="-10"/>
          <w:sz w:val="15"/>
        </w:rPr>
        <w:t xml:space="preserve"> </w:t>
      </w:r>
      <w:r>
        <w:rPr>
          <w:color w:val="231F20"/>
          <w:sz w:val="15"/>
        </w:rPr>
        <w:t>terénu),</w:t>
      </w:r>
      <w:r>
        <w:rPr>
          <w:color w:val="231F20"/>
          <w:spacing w:val="-10"/>
          <w:sz w:val="15"/>
        </w:rPr>
        <w:t xml:space="preserve"> </w:t>
      </w:r>
      <w:r>
        <w:rPr>
          <w:color w:val="231F20"/>
          <w:sz w:val="15"/>
        </w:rPr>
        <w:t>včetně</w:t>
      </w:r>
      <w:r>
        <w:rPr>
          <w:color w:val="231F20"/>
          <w:spacing w:val="-9"/>
          <w:sz w:val="15"/>
        </w:rPr>
        <w:t xml:space="preserve"> </w:t>
      </w:r>
      <w:r>
        <w:rPr>
          <w:color w:val="231F20"/>
          <w:sz w:val="15"/>
        </w:rPr>
        <w:t>jeho</w:t>
      </w:r>
      <w:r>
        <w:rPr>
          <w:color w:val="231F20"/>
          <w:spacing w:val="-10"/>
          <w:sz w:val="15"/>
        </w:rPr>
        <w:t xml:space="preserve"> </w:t>
      </w:r>
      <w:r>
        <w:rPr>
          <w:color w:val="231F20"/>
          <w:sz w:val="15"/>
        </w:rPr>
        <w:t>údržby</w:t>
      </w:r>
      <w:r>
        <w:rPr>
          <w:color w:val="231F20"/>
          <w:spacing w:val="-10"/>
          <w:sz w:val="15"/>
        </w:rPr>
        <w:t xml:space="preserve"> </w:t>
      </w:r>
      <w:r>
        <w:rPr>
          <w:color w:val="231F20"/>
          <w:spacing w:val="-3"/>
          <w:sz w:val="15"/>
        </w:rPr>
        <w:t>(např.</w:t>
      </w:r>
      <w:r>
        <w:rPr>
          <w:color w:val="231F20"/>
          <w:spacing w:val="-10"/>
          <w:sz w:val="15"/>
        </w:rPr>
        <w:t xml:space="preserve"> </w:t>
      </w:r>
      <w:r>
        <w:rPr>
          <w:color w:val="231F20"/>
          <w:sz w:val="15"/>
        </w:rPr>
        <w:t>jízda</w:t>
      </w:r>
      <w:r>
        <w:rPr>
          <w:color w:val="231F20"/>
          <w:spacing w:val="-10"/>
          <w:sz w:val="15"/>
        </w:rPr>
        <w:t xml:space="preserve"> </w:t>
      </w:r>
      <w:r>
        <w:rPr>
          <w:color w:val="231F20"/>
          <w:sz w:val="15"/>
        </w:rPr>
        <w:t>na</w:t>
      </w:r>
      <w:r>
        <w:rPr>
          <w:color w:val="231F20"/>
          <w:spacing w:val="-9"/>
          <w:sz w:val="15"/>
        </w:rPr>
        <w:t xml:space="preserve"> </w:t>
      </w:r>
      <w:r>
        <w:rPr>
          <w:color w:val="231F20"/>
          <w:sz w:val="15"/>
        </w:rPr>
        <w:t>tréninkových tratích</w:t>
      </w:r>
      <w:r>
        <w:rPr>
          <w:color w:val="231F20"/>
          <w:spacing w:val="-21"/>
          <w:sz w:val="15"/>
        </w:rPr>
        <w:t xml:space="preserve"> </w:t>
      </w:r>
      <w:r>
        <w:rPr>
          <w:color w:val="231F20"/>
          <w:sz w:val="15"/>
        </w:rPr>
        <w:t>nebo</w:t>
      </w:r>
      <w:r>
        <w:rPr>
          <w:color w:val="231F20"/>
          <w:spacing w:val="-20"/>
          <w:sz w:val="15"/>
        </w:rPr>
        <w:t xml:space="preserve"> </w:t>
      </w:r>
      <w:r>
        <w:rPr>
          <w:color w:val="231F20"/>
          <w:sz w:val="15"/>
        </w:rPr>
        <w:t>mezi</w:t>
      </w:r>
      <w:r>
        <w:rPr>
          <w:color w:val="231F20"/>
          <w:spacing w:val="-20"/>
          <w:sz w:val="15"/>
        </w:rPr>
        <w:t xml:space="preserve"> </w:t>
      </w:r>
      <w:r>
        <w:rPr>
          <w:color w:val="231F20"/>
          <w:sz w:val="15"/>
        </w:rPr>
        <w:t>jednotlivými</w:t>
      </w:r>
      <w:r>
        <w:rPr>
          <w:color w:val="231F20"/>
          <w:spacing w:val="-20"/>
          <w:sz w:val="15"/>
        </w:rPr>
        <w:t xml:space="preserve"> </w:t>
      </w:r>
      <w:r>
        <w:rPr>
          <w:color w:val="231F20"/>
          <w:sz w:val="15"/>
        </w:rPr>
        <w:t>soutěžními</w:t>
      </w:r>
      <w:r>
        <w:rPr>
          <w:color w:val="231F20"/>
          <w:spacing w:val="-20"/>
          <w:sz w:val="15"/>
        </w:rPr>
        <w:t xml:space="preserve"> </w:t>
      </w:r>
      <w:r>
        <w:rPr>
          <w:color w:val="231F20"/>
          <w:spacing w:val="-3"/>
          <w:sz w:val="15"/>
        </w:rPr>
        <w:t>úseky,</w:t>
      </w:r>
      <w:r>
        <w:rPr>
          <w:color w:val="231F20"/>
          <w:spacing w:val="-20"/>
          <w:sz w:val="15"/>
        </w:rPr>
        <w:t xml:space="preserve"> </w:t>
      </w:r>
      <w:r>
        <w:rPr>
          <w:color w:val="231F20"/>
          <w:sz w:val="15"/>
        </w:rPr>
        <w:t>ve</w:t>
      </w:r>
      <w:r>
        <w:rPr>
          <w:color w:val="231F20"/>
          <w:spacing w:val="-20"/>
          <w:sz w:val="15"/>
        </w:rPr>
        <w:t xml:space="preserve"> </w:t>
      </w:r>
      <w:r>
        <w:rPr>
          <w:color w:val="231F20"/>
          <w:sz w:val="15"/>
        </w:rPr>
        <w:t>volném</w:t>
      </w:r>
      <w:r>
        <w:rPr>
          <w:color w:val="231F20"/>
          <w:spacing w:val="-20"/>
          <w:sz w:val="15"/>
        </w:rPr>
        <w:t xml:space="preserve"> </w:t>
      </w:r>
      <w:r>
        <w:rPr>
          <w:color w:val="231F20"/>
          <w:sz w:val="15"/>
        </w:rPr>
        <w:t>terénu,</w:t>
      </w:r>
      <w:r>
        <w:rPr>
          <w:color w:val="231F20"/>
          <w:spacing w:val="-20"/>
          <w:sz w:val="15"/>
        </w:rPr>
        <w:t xml:space="preserve"> </w:t>
      </w:r>
      <w:r>
        <w:rPr>
          <w:color w:val="231F20"/>
          <w:sz w:val="15"/>
        </w:rPr>
        <w:t>při</w:t>
      </w:r>
      <w:r>
        <w:rPr>
          <w:color w:val="231F20"/>
          <w:spacing w:val="-21"/>
          <w:sz w:val="15"/>
        </w:rPr>
        <w:t xml:space="preserve"> </w:t>
      </w:r>
      <w:r>
        <w:rPr>
          <w:color w:val="231F20"/>
          <w:sz w:val="15"/>
        </w:rPr>
        <w:t>tech- nických</w:t>
      </w:r>
      <w:r>
        <w:rPr>
          <w:color w:val="231F20"/>
          <w:spacing w:val="-13"/>
          <w:sz w:val="15"/>
        </w:rPr>
        <w:t xml:space="preserve"> </w:t>
      </w:r>
      <w:r>
        <w:rPr>
          <w:color w:val="231F20"/>
          <w:sz w:val="15"/>
        </w:rPr>
        <w:t>přejezdech,</w:t>
      </w:r>
      <w:r>
        <w:rPr>
          <w:color w:val="231F20"/>
          <w:spacing w:val="-13"/>
          <w:sz w:val="15"/>
        </w:rPr>
        <w:t xml:space="preserve"> </w:t>
      </w:r>
      <w:r>
        <w:rPr>
          <w:color w:val="231F20"/>
          <w:sz w:val="15"/>
        </w:rPr>
        <w:t>při</w:t>
      </w:r>
      <w:r>
        <w:rPr>
          <w:color w:val="231F20"/>
          <w:spacing w:val="-12"/>
          <w:sz w:val="15"/>
        </w:rPr>
        <w:t xml:space="preserve"> </w:t>
      </w:r>
      <w:r>
        <w:rPr>
          <w:color w:val="231F20"/>
          <w:sz w:val="15"/>
        </w:rPr>
        <w:t>popojíždění</w:t>
      </w:r>
      <w:r>
        <w:rPr>
          <w:color w:val="231F20"/>
          <w:spacing w:val="-13"/>
          <w:sz w:val="15"/>
        </w:rPr>
        <w:t xml:space="preserve"> </w:t>
      </w:r>
      <w:r>
        <w:rPr>
          <w:color w:val="231F20"/>
          <w:sz w:val="15"/>
        </w:rPr>
        <w:t>v</w:t>
      </w:r>
      <w:r>
        <w:rPr>
          <w:color w:val="231F20"/>
          <w:spacing w:val="-12"/>
          <w:sz w:val="15"/>
        </w:rPr>
        <w:t xml:space="preserve"> </w:t>
      </w:r>
      <w:r>
        <w:rPr>
          <w:color w:val="231F20"/>
          <w:sz w:val="15"/>
        </w:rPr>
        <w:t>depu,</w:t>
      </w:r>
      <w:r>
        <w:rPr>
          <w:color w:val="231F20"/>
          <w:spacing w:val="-13"/>
          <w:sz w:val="15"/>
        </w:rPr>
        <w:t xml:space="preserve"> </w:t>
      </w:r>
      <w:r>
        <w:rPr>
          <w:color w:val="231F20"/>
          <w:sz w:val="15"/>
        </w:rPr>
        <w:t>mezi</w:t>
      </w:r>
      <w:r>
        <w:rPr>
          <w:color w:val="231F20"/>
          <w:spacing w:val="-12"/>
          <w:sz w:val="15"/>
        </w:rPr>
        <w:t xml:space="preserve"> </w:t>
      </w:r>
      <w:r>
        <w:rPr>
          <w:color w:val="231F20"/>
          <w:sz w:val="15"/>
        </w:rPr>
        <w:t>depem</w:t>
      </w:r>
      <w:r>
        <w:rPr>
          <w:color w:val="231F20"/>
          <w:spacing w:val="-13"/>
          <w:sz w:val="15"/>
        </w:rPr>
        <w:t xml:space="preserve"> </w:t>
      </w:r>
      <w:r>
        <w:rPr>
          <w:color w:val="231F20"/>
          <w:sz w:val="15"/>
        </w:rPr>
        <w:t>a</w:t>
      </w:r>
      <w:r>
        <w:rPr>
          <w:color w:val="231F20"/>
          <w:spacing w:val="-12"/>
          <w:sz w:val="15"/>
        </w:rPr>
        <w:t xml:space="preserve"> </w:t>
      </w:r>
      <w:r>
        <w:rPr>
          <w:color w:val="231F20"/>
          <w:sz w:val="15"/>
        </w:rPr>
        <w:t>závodní</w:t>
      </w:r>
      <w:r>
        <w:rPr>
          <w:color w:val="231F20"/>
          <w:spacing w:val="-13"/>
          <w:sz w:val="15"/>
        </w:rPr>
        <w:t xml:space="preserve"> </w:t>
      </w:r>
      <w:r>
        <w:rPr>
          <w:color w:val="231F20"/>
          <w:sz w:val="15"/>
        </w:rPr>
        <w:t>tratí);</w:t>
      </w:r>
    </w:p>
    <w:p w14:paraId="7A6652BA" w14:textId="77777777" w:rsidR="00F65BCA" w:rsidRDefault="00216117">
      <w:pPr>
        <w:pStyle w:val="Odstavecseseznamem"/>
        <w:numPr>
          <w:ilvl w:val="0"/>
          <w:numId w:val="86"/>
        </w:numPr>
        <w:tabs>
          <w:tab w:val="left" w:pos="640"/>
        </w:tabs>
        <w:spacing w:line="278" w:lineRule="auto"/>
        <w:ind w:right="425"/>
        <w:jc w:val="both"/>
        <w:rPr>
          <w:sz w:val="15"/>
        </w:rPr>
      </w:pPr>
      <w:r>
        <w:rPr>
          <w:color w:val="231F20"/>
          <w:sz w:val="15"/>
        </w:rPr>
        <w:t>úraz,</w:t>
      </w:r>
      <w:r>
        <w:rPr>
          <w:color w:val="231F20"/>
          <w:spacing w:val="-10"/>
          <w:sz w:val="15"/>
        </w:rPr>
        <w:t xml:space="preserve"> </w:t>
      </w:r>
      <w:r>
        <w:rPr>
          <w:color w:val="231F20"/>
          <w:sz w:val="15"/>
        </w:rPr>
        <w:t>k</w:t>
      </w:r>
      <w:r>
        <w:rPr>
          <w:color w:val="231F20"/>
          <w:spacing w:val="-9"/>
          <w:sz w:val="15"/>
        </w:rPr>
        <w:t xml:space="preserve"> </w:t>
      </w:r>
      <w:r>
        <w:rPr>
          <w:color w:val="231F20"/>
          <w:sz w:val="15"/>
        </w:rPr>
        <w:t>němuž</w:t>
      </w:r>
      <w:r>
        <w:rPr>
          <w:color w:val="231F20"/>
          <w:spacing w:val="-10"/>
          <w:sz w:val="15"/>
        </w:rPr>
        <w:t xml:space="preserve"> </w:t>
      </w:r>
      <w:r>
        <w:rPr>
          <w:color w:val="231F20"/>
          <w:sz w:val="15"/>
        </w:rPr>
        <w:t>dojde</w:t>
      </w:r>
      <w:r>
        <w:rPr>
          <w:color w:val="231F20"/>
          <w:spacing w:val="-9"/>
          <w:sz w:val="15"/>
        </w:rPr>
        <w:t xml:space="preserve"> </w:t>
      </w:r>
      <w:r>
        <w:rPr>
          <w:color w:val="231F20"/>
          <w:sz w:val="15"/>
        </w:rPr>
        <w:t>v</w:t>
      </w:r>
      <w:r>
        <w:rPr>
          <w:color w:val="231F20"/>
          <w:spacing w:val="-10"/>
          <w:sz w:val="15"/>
        </w:rPr>
        <w:t xml:space="preserve"> </w:t>
      </w:r>
      <w:r>
        <w:rPr>
          <w:color w:val="231F20"/>
          <w:sz w:val="15"/>
        </w:rPr>
        <w:t>důsledku</w:t>
      </w:r>
      <w:r>
        <w:rPr>
          <w:color w:val="231F20"/>
          <w:spacing w:val="-9"/>
          <w:sz w:val="15"/>
        </w:rPr>
        <w:t xml:space="preserve"> </w:t>
      </w:r>
      <w:r>
        <w:rPr>
          <w:color w:val="231F20"/>
          <w:sz w:val="15"/>
        </w:rPr>
        <w:t>nebo</w:t>
      </w:r>
      <w:r>
        <w:rPr>
          <w:color w:val="231F20"/>
          <w:spacing w:val="-10"/>
          <w:sz w:val="15"/>
        </w:rPr>
        <w:t xml:space="preserve"> </w:t>
      </w:r>
      <w:r>
        <w:rPr>
          <w:color w:val="231F20"/>
          <w:sz w:val="15"/>
        </w:rPr>
        <w:t>v</w:t>
      </w:r>
      <w:r>
        <w:rPr>
          <w:color w:val="231F20"/>
          <w:spacing w:val="-9"/>
          <w:sz w:val="15"/>
        </w:rPr>
        <w:t xml:space="preserve"> </w:t>
      </w:r>
      <w:r>
        <w:rPr>
          <w:color w:val="231F20"/>
          <w:sz w:val="15"/>
        </w:rPr>
        <w:t>souvislosti</w:t>
      </w:r>
      <w:r>
        <w:rPr>
          <w:color w:val="231F20"/>
          <w:spacing w:val="-10"/>
          <w:sz w:val="15"/>
        </w:rPr>
        <w:t xml:space="preserve"> </w:t>
      </w:r>
      <w:r>
        <w:rPr>
          <w:color w:val="231F20"/>
          <w:sz w:val="15"/>
        </w:rPr>
        <w:t>s</w:t>
      </w:r>
      <w:r>
        <w:rPr>
          <w:color w:val="231F20"/>
          <w:spacing w:val="-9"/>
          <w:sz w:val="15"/>
        </w:rPr>
        <w:t xml:space="preserve"> </w:t>
      </w:r>
      <w:r>
        <w:rPr>
          <w:color w:val="231F20"/>
          <w:sz w:val="15"/>
        </w:rPr>
        <w:t>jednáním</w:t>
      </w:r>
      <w:r>
        <w:rPr>
          <w:color w:val="231F20"/>
          <w:spacing w:val="-10"/>
          <w:sz w:val="15"/>
        </w:rPr>
        <w:t xml:space="preserve"> </w:t>
      </w:r>
      <w:r>
        <w:rPr>
          <w:color w:val="231F20"/>
          <w:sz w:val="15"/>
        </w:rPr>
        <w:t>pojištěného po</w:t>
      </w:r>
      <w:r>
        <w:rPr>
          <w:color w:val="231F20"/>
          <w:spacing w:val="-5"/>
          <w:sz w:val="15"/>
        </w:rPr>
        <w:t xml:space="preserve"> </w:t>
      </w:r>
      <w:r>
        <w:rPr>
          <w:color w:val="231F20"/>
          <w:sz w:val="15"/>
        </w:rPr>
        <w:t>požití</w:t>
      </w:r>
      <w:r>
        <w:rPr>
          <w:color w:val="231F20"/>
          <w:spacing w:val="-4"/>
          <w:sz w:val="15"/>
        </w:rPr>
        <w:t xml:space="preserve"> </w:t>
      </w:r>
      <w:r>
        <w:rPr>
          <w:color w:val="231F20"/>
          <w:sz w:val="15"/>
        </w:rPr>
        <w:t>či</w:t>
      </w:r>
      <w:r>
        <w:rPr>
          <w:color w:val="231F20"/>
          <w:spacing w:val="-4"/>
          <w:sz w:val="15"/>
        </w:rPr>
        <w:t xml:space="preserve"> </w:t>
      </w:r>
      <w:r>
        <w:rPr>
          <w:color w:val="231F20"/>
          <w:sz w:val="15"/>
        </w:rPr>
        <w:t>užití</w:t>
      </w:r>
      <w:r>
        <w:rPr>
          <w:color w:val="231F20"/>
          <w:spacing w:val="-4"/>
          <w:sz w:val="15"/>
        </w:rPr>
        <w:t xml:space="preserve"> </w:t>
      </w:r>
      <w:r>
        <w:rPr>
          <w:color w:val="231F20"/>
          <w:sz w:val="15"/>
        </w:rPr>
        <w:t>alkoholu,</w:t>
      </w:r>
      <w:r>
        <w:rPr>
          <w:color w:val="231F20"/>
          <w:spacing w:val="-4"/>
          <w:sz w:val="15"/>
        </w:rPr>
        <w:t xml:space="preserve"> </w:t>
      </w:r>
      <w:r>
        <w:rPr>
          <w:color w:val="231F20"/>
          <w:sz w:val="15"/>
        </w:rPr>
        <w:t>omamných</w:t>
      </w:r>
      <w:r>
        <w:rPr>
          <w:color w:val="231F20"/>
          <w:spacing w:val="-4"/>
          <w:sz w:val="15"/>
        </w:rPr>
        <w:t xml:space="preserve"> </w:t>
      </w:r>
      <w:r>
        <w:rPr>
          <w:color w:val="231F20"/>
          <w:sz w:val="15"/>
        </w:rPr>
        <w:t>či</w:t>
      </w:r>
      <w:r>
        <w:rPr>
          <w:color w:val="231F20"/>
          <w:spacing w:val="-4"/>
          <w:sz w:val="15"/>
        </w:rPr>
        <w:t xml:space="preserve"> </w:t>
      </w:r>
      <w:r>
        <w:rPr>
          <w:color w:val="231F20"/>
          <w:sz w:val="15"/>
        </w:rPr>
        <w:t>psychotropních</w:t>
      </w:r>
      <w:r>
        <w:rPr>
          <w:color w:val="231F20"/>
          <w:spacing w:val="-5"/>
          <w:sz w:val="15"/>
        </w:rPr>
        <w:t xml:space="preserve"> </w:t>
      </w:r>
      <w:r>
        <w:rPr>
          <w:color w:val="231F20"/>
          <w:sz w:val="15"/>
        </w:rPr>
        <w:t>látek;</w:t>
      </w:r>
    </w:p>
    <w:p w14:paraId="4280A221" w14:textId="77777777" w:rsidR="00F65BCA" w:rsidRDefault="00216117">
      <w:pPr>
        <w:pStyle w:val="Odstavecseseznamem"/>
        <w:numPr>
          <w:ilvl w:val="0"/>
          <w:numId w:val="86"/>
        </w:numPr>
        <w:tabs>
          <w:tab w:val="left" w:pos="640"/>
        </w:tabs>
        <w:spacing w:line="278" w:lineRule="auto"/>
        <w:ind w:right="424"/>
        <w:jc w:val="both"/>
        <w:rPr>
          <w:sz w:val="15"/>
        </w:rPr>
      </w:pPr>
      <w:r>
        <w:rPr>
          <w:color w:val="231F20"/>
          <w:sz w:val="15"/>
        </w:rPr>
        <w:t>úraz,</w:t>
      </w:r>
      <w:r>
        <w:rPr>
          <w:color w:val="231F20"/>
          <w:spacing w:val="-25"/>
          <w:sz w:val="15"/>
        </w:rPr>
        <w:t xml:space="preserve"> </w:t>
      </w:r>
      <w:r>
        <w:rPr>
          <w:color w:val="231F20"/>
          <w:sz w:val="15"/>
        </w:rPr>
        <w:t>k</w:t>
      </w:r>
      <w:r>
        <w:rPr>
          <w:color w:val="231F20"/>
          <w:spacing w:val="-24"/>
          <w:sz w:val="15"/>
        </w:rPr>
        <w:t xml:space="preserve"> </w:t>
      </w:r>
      <w:r>
        <w:rPr>
          <w:color w:val="231F20"/>
          <w:sz w:val="15"/>
        </w:rPr>
        <w:t>němuž</w:t>
      </w:r>
      <w:r>
        <w:rPr>
          <w:color w:val="231F20"/>
          <w:spacing w:val="-24"/>
          <w:sz w:val="15"/>
        </w:rPr>
        <w:t xml:space="preserve"> </w:t>
      </w:r>
      <w:r>
        <w:rPr>
          <w:color w:val="231F20"/>
          <w:sz w:val="15"/>
        </w:rPr>
        <w:t>dojde</w:t>
      </w:r>
      <w:r>
        <w:rPr>
          <w:color w:val="231F20"/>
          <w:spacing w:val="-24"/>
          <w:sz w:val="15"/>
        </w:rPr>
        <w:t xml:space="preserve"> </w:t>
      </w:r>
      <w:r>
        <w:rPr>
          <w:color w:val="231F20"/>
          <w:sz w:val="15"/>
        </w:rPr>
        <w:t>v</w:t>
      </w:r>
      <w:r>
        <w:rPr>
          <w:color w:val="231F20"/>
          <w:spacing w:val="-24"/>
          <w:sz w:val="15"/>
        </w:rPr>
        <w:t xml:space="preserve"> </w:t>
      </w:r>
      <w:r>
        <w:rPr>
          <w:color w:val="231F20"/>
          <w:sz w:val="15"/>
        </w:rPr>
        <w:t>důsledku</w:t>
      </w:r>
      <w:r>
        <w:rPr>
          <w:color w:val="231F20"/>
          <w:spacing w:val="-24"/>
          <w:sz w:val="15"/>
        </w:rPr>
        <w:t xml:space="preserve"> </w:t>
      </w:r>
      <w:r>
        <w:rPr>
          <w:color w:val="231F20"/>
          <w:sz w:val="15"/>
        </w:rPr>
        <w:t>nebo</w:t>
      </w:r>
      <w:r>
        <w:rPr>
          <w:color w:val="231F20"/>
          <w:spacing w:val="-24"/>
          <w:sz w:val="15"/>
        </w:rPr>
        <w:t xml:space="preserve"> </w:t>
      </w:r>
      <w:r>
        <w:rPr>
          <w:color w:val="231F20"/>
          <w:sz w:val="15"/>
        </w:rPr>
        <w:t>v</w:t>
      </w:r>
      <w:r>
        <w:rPr>
          <w:color w:val="231F20"/>
          <w:spacing w:val="-24"/>
          <w:sz w:val="15"/>
        </w:rPr>
        <w:t xml:space="preserve"> </w:t>
      </w:r>
      <w:r>
        <w:rPr>
          <w:color w:val="231F20"/>
          <w:sz w:val="15"/>
        </w:rPr>
        <w:t>souvislosti</w:t>
      </w:r>
      <w:r>
        <w:rPr>
          <w:color w:val="231F20"/>
          <w:spacing w:val="-24"/>
          <w:sz w:val="15"/>
        </w:rPr>
        <w:t xml:space="preserve"> </w:t>
      </w:r>
      <w:r>
        <w:rPr>
          <w:color w:val="231F20"/>
          <w:sz w:val="15"/>
        </w:rPr>
        <w:t>s</w:t>
      </w:r>
      <w:r>
        <w:rPr>
          <w:color w:val="231F20"/>
          <w:spacing w:val="-24"/>
          <w:sz w:val="15"/>
        </w:rPr>
        <w:t xml:space="preserve"> </w:t>
      </w:r>
      <w:r>
        <w:rPr>
          <w:color w:val="231F20"/>
          <w:sz w:val="15"/>
        </w:rPr>
        <w:t>jízdou</w:t>
      </w:r>
      <w:r>
        <w:rPr>
          <w:color w:val="231F20"/>
          <w:spacing w:val="-24"/>
          <w:sz w:val="15"/>
        </w:rPr>
        <w:t xml:space="preserve"> </w:t>
      </w:r>
      <w:r>
        <w:rPr>
          <w:color w:val="231F20"/>
          <w:sz w:val="15"/>
        </w:rPr>
        <w:t>pojištěného</w:t>
      </w:r>
      <w:r>
        <w:rPr>
          <w:color w:val="231F20"/>
          <w:spacing w:val="-24"/>
          <w:sz w:val="15"/>
        </w:rPr>
        <w:t xml:space="preserve"> </w:t>
      </w:r>
      <w:r>
        <w:rPr>
          <w:color w:val="231F20"/>
          <w:sz w:val="15"/>
        </w:rPr>
        <w:t>v</w:t>
      </w:r>
      <w:r>
        <w:rPr>
          <w:color w:val="231F20"/>
          <w:spacing w:val="-24"/>
          <w:sz w:val="15"/>
        </w:rPr>
        <w:t xml:space="preserve"> </w:t>
      </w:r>
      <w:r>
        <w:rPr>
          <w:color w:val="231F20"/>
          <w:sz w:val="15"/>
        </w:rPr>
        <w:t xml:space="preserve">mo- </w:t>
      </w:r>
      <w:r>
        <w:rPr>
          <w:color w:val="231F20"/>
          <w:spacing w:val="-3"/>
          <w:sz w:val="15"/>
        </w:rPr>
        <w:t>torovém</w:t>
      </w:r>
      <w:r>
        <w:rPr>
          <w:color w:val="231F20"/>
          <w:spacing w:val="-26"/>
          <w:sz w:val="15"/>
        </w:rPr>
        <w:t xml:space="preserve"> </w:t>
      </w:r>
      <w:r>
        <w:rPr>
          <w:color w:val="231F20"/>
          <w:sz w:val="15"/>
        </w:rPr>
        <w:t>vozidle,</w:t>
      </w:r>
      <w:r>
        <w:rPr>
          <w:color w:val="231F20"/>
          <w:spacing w:val="-26"/>
          <w:sz w:val="15"/>
        </w:rPr>
        <w:t xml:space="preserve"> </w:t>
      </w:r>
      <w:r>
        <w:rPr>
          <w:color w:val="231F20"/>
          <w:sz w:val="15"/>
        </w:rPr>
        <w:t>jestliže</w:t>
      </w:r>
      <w:r>
        <w:rPr>
          <w:color w:val="231F20"/>
          <w:spacing w:val="-26"/>
          <w:sz w:val="15"/>
        </w:rPr>
        <w:t xml:space="preserve"> </w:t>
      </w:r>
      <w:r>
        <w:rPr>
          <w:color w:val="231F20"/>
          <w:sz w:val="15"/>
        </w:rPr>
        <w:t>jízda</w:t>
      </w:r>
      <w:r>
        <w:rPr>
          <w:color w:val="231F20"/>
          <w:spacing w:val="-26"/>
          <w:sz w:val="15"/>
        </w:rPr>
        <w:t xml:space="preserve"> </w:t>
      </w:r>
      <w:r>
        <w:rPr>
          <w:color w:val="231F20"/>
          <w:spacing w:val="-3"/>
          <w:sz w:val="15"/>
        </w:rPr>
        <w:t>probíhala</w:t>
      </w:r>
      <w:r>
        <w:rPr>
          <w:color w:val="231F20"/>
          <w:spacing w:val="-26"/>
          <w:sz w:val="15"/>
        </w:rPr>
        <w:t xml:space="preserve"> </w:t>
      </w:r>
      <w:r>
        <w:rPr>
          <w:color w:val="231F20"/>
          <w:sz w:val="15"/>
        </w:rPr>
        <w:t>na</w:t>
      </w:r>
      <w:r>
        <w:rPr>
          <w:color w:val="231F20"/>
          <w:spacing w:val="-26"/>
          <w:sz w:val="15"/>
        </w:rPr>
        <w:t xml:space="preserve"> </w:t>
      </w:r>
      <w:r>
        <w:rPr>
          <w:color w:val="231F20"/>
          <w:spacing w:val="-3"/>
          <w:sz w:val="15"/>
        </w:rPr>
        <w:t>soukromém</w:t>
      </w:r>
      <w:r>
        <w:rPr>
          <w:color w:val="231F20"/>
          <w:spacing w:val="-26"/>
          <w:sz w:val="15"/>
        </w:rPr>
        <w:t xml:space="preserve"> </w:t>
      </w:r>
      <w:r>
        <w:rPr>
          <w:color w:val="231F20"/>
          <w:sz w:val="15"/>
        </w:rPr>
        <w:t>pozemku</w:t>
      </w:r>
      <w:r>
        <w:rPr>
          <w:color w:val="231F20"/>
          <w:spacing w:val="-26"/>
          <w:sz w:val="15"/>
        </w:rPr>
        <w:t xml:space="preserve"> </w:t>
      </w:r>
      <w:r>
        <w:rPr>
          <w:color w:val="231F20"/>
          <w:sz w:val="15"/>
        </w:rPr>
        <w:t>(tj.</w:t>
      </w:r>
      <w:r>
        <w:rPr>
          <w:color w:val="231F20"/>
          <w:spacing w:val="-26"/>
          <w:sz w:val="15"/>
        </w:rPr>
        <w:t xml:space="preserve"> </w:t>
      </w:r>
      <w:r>
        <w:rPr>
          <w:color w:val="231F20"/>
          <w:sz w:val="15"/>
        </w:rPr>
        <w:t>zejména mimo</w:t>
      </w:r>
      <w:r>
        <w:rPr>
          <w:color w:val="231F20"/>
          <w:spacing w:val="-23"/>
          <w:sz w:val="15"/>
        </w:rPr>
        <w:t xml:space="preserve"> </w:t>
      </w:r>
      <w:r>
        <w:rPr>
          <w:color w:val="231F20"/>
          <w:sz w:val="15"/>
        </w:rPr>
        <w:t>pozemní</w:t>
      </w:r>
      <w:r>
        <w:rPr>
          <w:color w:val="231F20"/>
          <w:spacing w:val="-22"/>
          <w:sz w:val="15"/>
        </w:rPr>
        <w:t xml:space="preserve"> </w:t>
      </w:r>
      <w:r>
        <w:rPr>
          <w:color w:val="231F20"/>
          <w:sz w:val="15"/>
        </w:rPr>
        <w:t>komunikaci),</w:t>
      </w:r>
      <w:r>
        <w:rPr>
          <w:color w:val="231F20"/>
          <w:spacing w:val="-23"/>
          <w:sz w:val="15"/>
        </w:rPr>
        <w:t xml:space="preserve"> </w:t>
      </w:r>
      <w:r>
        <w:rPr>
          <w:color w:val="231F20"/>
          <w:sz w:val="15"/>
        </w:rPr>
        <w:t>to</w:t>
      </w:r>
      <w:r>
        <w:rPr>
          <w:color w:val="231F20"/>
          <w:spacing w:val="-22"/>
          <w:sz w:val="15"/>
        </w:rPr>
        <w:t xml:space="preserve"> </w:t>
      </w:r>
      <w:r>
        <w:rPr>
          <w:color w:val="231F20"/>
          <w:sz w:val="15"/>
        </w:rPr>
        <w:t>neplatí</w:t>
      </w:r>
      <w:r>
        <w:rPr>
          <w:color w:val="231F20"/>
          <w:spacing w:val="-23"/>
          <w:sz w:val="15"/>
        </w:rPr>
        <w:t xml:space="preserve"> </w:t>
      </w:r>
      <w:r>
        <w:rPr>
          <w:color w:val="231F20"/>
          <w:spacing w:val="-3"/>
          <w:sz w:val="15"/>
        </w:rPr>
        <w:t>pro</w:t>
      </w:r>
      <w:r>
        <w:rPr>
          <w:color w:val="231F20"/>
          <w:spacing w:val="-22"/>
          <w:sz w:val="15"/>
        </w:rPr>
        <w:t xml:space="preserve"> </w:t>
      </w:r>
      <w:r>
        <w:rPr>
          <w:color w:val="231F20"/>
          <w:spacing w:val="-4"/>
          <w:sz w:val="15"/>
        </w:rPr>
        <w:t>případy,</w:t>
      </w:r>
      <w:r>
        <w:rPr>
          <w:color w:val="231F20"/>
          <w:spacing w:val="-23"/>
          <w:sz w:val="15"/>
        </w:rPr>
        <w:t xml:space="preserve"> </w:t>
      </w:r>
      <w:r>
        <w:rPr>
          <w:color w:val="231F20"/>
          <w:sz w:val="15"/>
        </w:rPr>
        <w:t>kdy</w:t>
      </w:r>
      <w:r>
        <w:rPr>
          <w:color w:val="231F20"/>
          <w:spacing w:val="-22"/>
          <w:sz w:val="15"/>
        </w:rPr>
        <w:t xml:space="preserve"> </w:t>
      </w:r>
      <w:r>
        <w:rPr>
          <w:color w:val="231F20"/>
          <w:sz w:val="15"/>
        </w:rPr>
        <w:t>pojištěný</w:t>
      </w:r>
      <w:r>
        <w:rPr>
          <w:color w:val="231F20"/>
          <w:spacing w:val="-23"/>
          <w:sz w:val="15"/>
        </w:rPr>
        <w:t xml:space="preserve"> </w:t>
      </w:r>
      <w:r>
        <w:rPr>
          <w:color w:val="231F20"/>
          <w:spacing w:val="-3"/>
          <w:sz w:val="15"/>
        </w:rPr>
        <w:t>prokáže,</w:t>
      </w:r>
      <w:r>
        <w:rPr>
          <w:color w:val="231F20"/>
          <w:spacing w:val="-22"/>
          <w:sz w:val="15"/>
        </w:rPr>
        <w:t xml:space="preserve"> </w:t>
      </w:r>
      <w:r>
        <w:rPr>
          <w:color w:val="231F20"/>
          <w:sz w:val="15"/>
        </w:rPr>
        <w:t>že pro</w:t>
      </w:r>
      <w:r>
        <w:rPr>
          <w:color w:val="231F20"/>
          <w:spacing w:val="-14"/>
          <w:sz w:val="15"/>
        </w:rPr>
        <w:t xml:space="preserve"> </w:t>
      </w:r>
      <w:r>
        <w:rPr>
          <w:color w:val="231F20"/>
          <w:sz w:val="15"/>
        </w:rPr>
        <w:t>řízení</w:t>
      </w:r>
      <w:r>
        <w:rPr>
          <w:color w:val="231F20"/>
          <w:spacing w:val="-14"/>
          <w:sz w:val="15"/>
        </w:rPr>
        <w:t xml:space="preserve"> </w:t>
      </w:r>
      <w:r>
        <w:rPr>
          <w:color w:val="231F20"/>
          <w:sz w:val="15"/>
        </w:rPr>
        <w:t>příslušného</w:t>
      </w:r>
      <w:r>
        <w:rPr>
          <w:color w:val="231F20"/>
          <w:spacing w:val="-13"/>
          <w:sz w:val="15"/>
        </w:rPr>
        <w:t xml:space="preserve"> </w:t>
      </w:r>
      <w:r>
        <w:rPr>
          <w:color w:val="231F20"/>
          <w:sz w:val="15"/>
        </w:rPr>
        <w:t>vozidla</w:t>
      </w:r>
      <w:r>
        <w:rPr>
          <w:color w:val="231F20"/>
          <w:spacing w:val="-14"/>
          <w:sz w:val="15"/>
        </w:rPr>
        <w:t xml:space="preserve"> </w:t>
      </w:r>
      <w:r>
        <w:rPr>
          <w:color w:val="231F20"/>
          <w:sz w:val="15"/>
        </w:rPr>
        <w:t>vlastnil</w:t>
      </w:r>
      <w:r>
        <w:rPr>
          <w:color w:val="231F20"/>
          <w:spacing w:val="-13"/>
          <w:sz w:val="15"/>
        </w:rPr>
        <w:t xml:space="preserve"> </w:t>
      </w:r>
      <w:r>
        <w:rPr>
          <w:color w:val="231F20"/>
          <w:sz w:val="15"/>
        </w:rPr>
        <w:t>odpovídající</w:t>
      </w:r>
      <w:r>
        <w:rPr>
          <w:color w:val="231F20"/>
          <w:spacing w:val="-14"/>
          <w:sz w:val="15"/>
        </w:rPr>
        <w:t xml:space="preserve"> </w:t>
      </w:r>
      <w:r>
        <w:rPr>
          <w:color w:val="231F20"/>
          <w:sz w:val="15"/>
        </w:rPr>
        <w:t>řidičské</w:t>
      </w:r>
      <w:r>
        <w:rPr>
          <w:color w:val="231F20"/>
          <w:spacing w:val="-13"/>
          <w:sz w:val="15"/>
        </w:rPr>
        <w:t xml:space="preserve"> </w:t>
      </w:r>
      <w:r>
        <w:rPr>
          <w:color w:val="231F20"/>
          <w:sz w:val="15"/>
        </w:rPr>
        <w:t>oprávnění;</w:t>
      </w:r>
    </w:p>
    <w:p w14:paraId="5BD8AFDE" w14:textId="77777777" w:rsidR="00F65BCA" w:rsidRDefault="00216117">
      <w:pPr>
        <w:pStyle w:val="Odstavecseseznamem"/>
        <w:numPr>
          <w:ilvl w:val="0"/>
          <w:numId w:val="86"/>
        </w:numPr>
        <w:tabs>
          <w:tab w:val="left" w:pos="640"/>
        </w:tabs>
        <w:spacing w:line="278" w:lineRule="auto"/>
        <w:ind w:right="424"/>
        <w:jc w:val="both"/>
        <w:rPr>
          <w:sz w:val="15"/>
        </w:rPr>
      </w:pPr>
      <w:r>
        <w:rPr>
          <w:color w:val="231F20"/>
          <w:sz w:val="15"/>
        </w:rPr>
        <w:t>úraz,</w:t>
      </w:r>
      <w:r>
        <w:rPr>
          <w:color w:val="231F20"/>
          <w:spacing w:val="-15"/>
          <w:sz w:val="15"/>
        </w:rPr>
        <w:t xml:space="preserve"> </w:t>
      </w:r>
      <w:r>
        <w:rPr>
          <w:color w:val="231F20"/>
          <w:sz w:val="15"/>
        </w:rPr>
        <w:t>k</w:t>
      </w:r>
      <w:r>
        <w:rPr>
          <w:color w:val="231F20"/>
          <w:spacing w:val="-14"/>
          <w:sz w:val="15"/>
        </w:rPr>
        <w:t xml:space="preserve"> </w:t>
      </w:r>
      <w:r>
        <w:rPr>
          <w:color w:val="231F20"/>
          <w:sz w:val="15"/>
        </w:rPr>
        <w:t>němuž</w:t>
      </w:r>
      <w:r>
        <w:rPr>
          <w:color w:val="231F20"/>
          <w:spacing w:val="-14"/>
          <w:sz w:val="15"/>
        </w:rPr>
        <w:t xml:space="preserve"> </w:t>
      </w:r>
      <w:r>
        <w:rPr>
          <w:color w:val="231F20"/>
          <w:sz w:val="15"/>
        </w:rPr>
        <w:t>dojde</w:t>
      </w:r>
      <w:r>
        <w:rPr>
          <w:color w:val="231F20"/>
          <w:spacing w:val="-14"/>
          <w:sz w:val="15"/>
        </w:rPr>
        <w:t xml:space="preserve"> </w:t>
      </w:r>
      <w:r>
        <w:rPr>
          <w:color w:val="231F20"/>
          <w:sz w:val="15"/>
        </w:rPr>
        <w:t>v</w:t>
      </w:r>
      <w:r>
        <w:rPr>
          <w:color w:val="231F20"/>
          <w:spacing w:val="-15"/>
          <w:sz w:val="15"/>
        </w:rPr>
        <w:t xml:space="preserve"> </w:t>
      </w:r>
      <w:r>
        <w:rPr>
          <w:color w:val="231F20"/>
          <w:sz w:val="15"/>
        </w:rPr>
        <w:t>důsledku</w:t>
      </w:r>
      <w:r>
        <w:rPr>
          <w:color w:val="231F20"/>
          <w:spacing w:val="-14"/>
          <w:sz w:val="15"/>
        </w:rPr>
        <w:t xml:space="preserve"> </w:t>
      </w:r>
      <w:r>
        <w:rPr>
          <w:color w:val="231F20"/>
          <w:sz w:val="15"/>
        </w:rPr>
        <w:t>nebo</w:t>
      </w:r>
      <w:r>
        <w:rPr>
          <w:color w:val="231F20"/>
          <w:spacing w:val="-14"/>
          <w:sz w:val="15"/>
        </w:rPr>
        <w:t xml:space="preserve"> </w:t>
      </w:r>
      <w:r>
        <w:rPr>
          <w:color w:val="231F20"/>
          <w:sz w:val="15"/>
        </w:rPr>
        <w:t>v</w:t>
      </w:r>
      <w:r>
        <w:rPr>
          <w:color w:val="231F20"/>
          <w:spacing w:val="-14"/>
          <w:sz w:val="15"/>
        </w:rPr>
        <w:t xml:space="preserve"> </w:t>
      </w:r>
      <w:r>
        <w:rPr>
          <w:color w:val="231F20"/>
          <w:sz w:val="15"/>
        </w:rPr>
        <w:t>souvislosti</w:t>
      </w:r>
      <w:r>
        <w:rPr>
          <w:color w:val="231F20"/>
          <w:spacing w:val="-15"/>
          <w:sz w:val="15"/>
        </w:rPr>
        <w:t xml:space="preserve"> </w:t>
      </w:r>
      <w:r>
        <w:rPr>
          <w:color w:val="231F20"/>
          <w:sz w:val="15"/>
        </w:rPr>
        <w:t>s</w:t>
      </w:r>
      <w:r>
        <w:rPr>
          <w:color w:val="231F20"/>
          <w:spacing w:val="-14"/>
          <w:sz w:val="15"/>
        </w:rPr>
        <w:t xml:space="preserve"> </w:t>
      </w:r>
      <w:r>
        <w:rPr>
          <w:color w:val="231F20"/>
          <w:sz w:val="15"/>
        </w:rPr>
        <w:t>občanskou</w:t>
      </w:r>
      <w:r>
        <w:rPr>
          <w:color w:val="231F20"/>
          <w:spacing w:val="-14"/>
          <w:sz w:val="15"/>
        </w:rPr>
        <w:t xml:space="preserve"> </w:t>
      </w:r>
      <w:r>
        <w:rPr>
          <w:color w:val="231F20"/>
          <w:sz w:val="15"/>
        </w:rPr>
        <w:t>válkou,</w:t>
      </w:r>
      <w:r>
        <w:rPr>
          <w:color w:val="231F20"/>
          <w:spacing w:val="-14"/>
          <w:sz w:val="15"/>
        </w:rPr>
        <w:t xml:space="preserve"> </w:t>
      </w:r>
      <w:r>
        <w:rPr>
          <w:color w:val="231F20"/>
          <w:sz w:val="15"/>
        </w:rPr>
        <w:t>vá- lečnou</w:t>
      </w:r>
      <w:r>
        <w:rPr>
          <w:color w:val="231F20"/>
          <w:spacing w:val="-25"/>
          <w:sz w:val="15"/>
        </w:rPr>
        <w:t xml:space="preserve"> </w:t>
      </w:r>
      <w:r>
        <w:rPr>
          <w:color w:val="231F20"/>
          <w:sz w:val="15"/>
        </w:rPr>
        <w:t>událostí,</w:t>
      </w:r>
      <w:r>
        <w:rPr>
          <w:color w:val="231F20"/>
          <w:spacing w:val="-24"/>
          <w:sz w:val="15"/>
        </w:rPr>
        <w:t xml:space="preserve"> </w:t>
      </w:r>
      <w:r>
        <w:rPr>
          <w:color w:val="231F20"/>
          <w:sz w:val="15"/>
        </w:rPr>
        <w:t>válečnou</w:t>
      </w:r>
      <w:r>
        <w:rPr>
          <w:color w:val="231F20"/>
          <w:spacing w:val="-24"/>
          <w:sz w:val="15"/>
        </w:rPr>
        <w:t xml:space="preserve"> </w:t>
      </w:r>
      <w:r>
        <w:rPr>
          <w:color w:val="231F20"/>
          <w:sz w:val="15"/>
        </w:rPr>
        <w:t>invazí,</w:t>
      </w:r>
      <w:r>
        <w:rPr>
          <w:color w:val="231F20"/>
          <w:spacing w:val="-24"/>
          <w:sz w:val="15"/>
        </w:rPr>
        <w:t xml:space="preserve"> </w:t>
      </w:r>
      <w:r>
        <w:rPr>
          <w:color w:val="231F20"/>
          <w:sz w:val="15"/>
        </w:rPr>
        <w:t>vpádem</w:t>
      </w:r>
      <w:r>
        <w:rPr>
          <w:color w:val="231F20"/>
          <w:spacing w:val="-24"/>
          <w:sz w:val="15"/>
        </w:rPr>
        <w:t xml:space="preserve"> </w:t>
      </w:r>
      <w:r>
        <w:rPr>
          <w:color w:val="231F20"/>
          <w:sz w:val="15"/>
        </w:rPr>
        <w:t>zahraničního</w:t>
      </w:r>
      <w:r>
        <w:rPr>
          <w:color w:val="231F20"/>
          <w:spacing w:val="-24"/>
          <w:sz w:val="15"/>
        </w:rPr>
        <w:t xml:space="preserve"> </w:t>
      </w:r>
      <w:r>
        <w:rPr>
          <w:color w:val="231F20"/>
          <w:sz w:val="15"/>
        </w:rPr>
        <w:t>nepřítele,</w:t>
      </w:r>
      <w:r>
        <w:rPr>
          <w:color w:val="231F20"/>
          <w:spacing w:val="-24"/>
          <w:sz w:val="15"/>
        </w:rPr>
        <w:t xml:space="preserve"> </w:t>
      </w:r>
      <w:r>
        <w:rPr>
          <w:color w:val="231F20"/>
          <w:sz w:val="15"/>
        </w:rPr>
        <w:t>válečným stavem vyhlášeným nebo</w:t>
      </w:r>
      <w:r>
        <w:rPr>
          <w:color w:val="231F20"/>
          <w:spacing w:val="-7"/>
          <w:sz w:val="15"/>
        </w:rPr>
        <w:t xml:space="preserve"> </w:t>
      </w:r>
      <w:r>
        <w:rPr>
          <w:color w:val="231F20"/>
          <w:sz w:val="15"/>
        </w:rPr>
        <w:t>nevyhlášeným;</w:t>
      </w:r>
    </w:p>
    <w:p w14:paraId="22DFB65C" w14:textId="77777777" w:rsidR="00F65BCA" w:rsidRDefault="00216117">
      <w:pPr>
        <w:pStyle w:val="Odstavecseseznamem"/>
        <w:numPr>
          <w:ilvl w:val="0"/>
          <w:numId w:val="86"/>
        </w:numPr>
        <w:tabs>
          <w:tab w:val="left" w:pos="640"/>
        </w:tabs>
        <w:spacing w:line="278" w:lineRule="auto"/>
        <w:ind w:right="425"/>
        <w:jc w:val="both"/>
        <w:rPr>
          <w:sz w:val="15"/>
        </w:rPr>
      </w:pPr>
      <w:r>
        <w:rPr>
          <w:color w:val="231F20"/>
          <w:sz w:val="15"/>
        </w:rPr>
        <w:t>úraz,</w:t>
      </w:r>
      <w:r>
        <w:rPr>
          <w:color w:val="231F20"/>
          <w:spacing w:val="-16"/>
          <w:sz w:val="15"/>
        </w:rPr>
        <w:t xml:space="preserve"> </w:t>
      </w:r>
      <w:r>
        <w:rPr>
          <w:color w:val="231F20"/>
          <w:sz w:val="15"/>
        </w:rPr>
        <w:t>k</w:t>
      </w:r>
      <w:r>
        <w:rPr>
          <w:color w:val="231F20"/>
          <w:spacing w:val="-16"/>
          <w:sz w:val="15"/>
        </w:rPr>
        <w:t xml:space="preserve"> </w:t>
      </w:r>
      <w:r>
        <w:rPr>
          <w:color w:val="231F20"/>
          <w:sz w:val="15"/>
        </w:rPr>
        <w:t>němuž</w:t>
      </w:r>
      <w:r>
        <w:rPr>
          <w:color w:val="231F20"/>
          <w:spacing w:val="-15"/>
          <w:sz w:val="15"/>
        </w:rPr>
        <w:t xml:space="preserve"> </w:t>
      </w:r>
      <w:r>
        <w:rPr>
          <w:color w:val="231F20"/>
          <w:sz w:val="15"/>
        </w:rPr>
        <w:t>dojde</w:t>
      </w:r>
      <w:r>
        <w:rPr>
          <w:color w:val="231F20"/>
          <w:spacing w:val="-16"/>
          <w:sz w:val="15"/>
        </w:rPr>
        <w:t xml:space="preserve"> </w:t>
      </w:r>
      <w:r>
        <w:rPr>
          <w:color w:val="231F20"/>
          <w:sz w:val="15"/>
        </w:rPr>
        <w:t>v</w:t>
      </w:r>
      <w:r>
        <w:rPr>
          <w:color w:val="231F20"/>
          <w:spacing w:val="-15"/>
          <w:sz w:val="15"/>
        </w:rPr>
        <w:t xml:space="preserve"> </w:t>
      </w:r>
      <w:r>
        <w:rPr>
          <w:color w:val="231F20"/>
          <w:sz w:val="15"/>
        </w:rPr>
        <w:t>důsledku</w:t>
      </w:r>
      <w:r>
        <w:rPr>
          <w:color w:val="231F20"/>
          <w:spacing w:val="-16"/>
          <w:sz w:val="15"/>
        </w:rPr>
        <w:t xml:space="preserve"> </w:t>
      </w:r>
      <w:r>
        <w:rPr>
          <w:color w:val="231F20"/>
          <w:sz w:val="15"/>
        </w:rPr>
        <w:t>nebo</w:t>
      </w:r>
      <w:r>
        <w:rPr>
          <w:color w:val="231F20"/>
          <w:spacing w:val="-16"/>
          <w:sz w:val="15"/>
        </w:rPr>
        <w:t xml:space="preserve"> </w:t>
      </w:r>
      <w:r>
        <w:rPr>
          <w:color w:val="231F20"/>
          <w:sz w:val="15"/>
        </w:rPr>
        <w:t>v</w:t>
      </w:r>
      <w:r>
        <w:rPr>
          <w:color w:val="231F20"/>
          <w:spacing w:val="-15"/>
          <w:sz w:val="15"/>
        </w:rPr>
        <w:t xml:space="preserve"> </w:t>
      </w:r>
      <w:r>
        <w:rPr>
          <w:color w:val="231F20"/>
          <w:sz w:val="15"/>
        </w:rPr>
        <w:t>souvislosti</w:t>
      </w:r>
      <w:r>
        <w:rPr>
          <w:color w:val="231F20"/>
          <w:spacing w:val="-16"/>
          <w:sz w:val="15"/>
        </w:rPr>
        <w:t xml:space="preserve"> </w:t>
      </w:r>
      <w:r>
        <w:rPr>
          <w:color w:val="231F20"/>
          <w:sz w:val="15"/>
        </w:rPr>
        <w:t>s</w:t>
      </w:r>
      <w:r>
        <w:rPr>
          <w:color w:val="231F20"/>
          <w:spacing w:val="-15"/>
          <w:sz w:val="15"/>
        </w:rPr>
        <w:t xml:space="preserve"> </w:t>
      </w:r>
      <w:r>
        <w:rPr>
          <w:color w:val="231F20"/>
          <w:sz w:val="15"/>
        </w:rPr>
        <w:t>revolučními</w:t>
      </w:r>
      <w:r>
        <w:rPr>
          <w:color w:val="231F20"/>
          <w:spacing w:val="-16"/>
          <w:sz w:val="15"/>
        </w:rPr>
        <w:t xml:space="preserve"> </w:t>
      </w:r>
      <w:r>
        <w:rPr>
          <w:color w:val="231F20"/>
          <w:sz w:val="15"/>
        </w:rPr>
        <w:t>událostmi, převraty;</w:t>
      </w:r>
    </w:p>
    <w:p w14:paraId="7B63B1AC" w14:textId="77777777" w:rsidR="00F65BCA" w:rsidRDefault="00216117">
      <w:pPr>
        <w:pStyle w:val="Odstavecseseznamem"/>
        <w:numPr>
          <w:ilvl w:val="0"/>
          <w:numId w:val="86"/>
        </w:numPr>
        <w:tabs>
          <w:tab w:val="left" w:pos="640"/>
        </w:tabs>
        <w:spacing w:line="278" w:lineRule="auto"/>
        <w:ind w:right="424"/>
        <w:jc w:val="both"/>
        <w:rPr>
          <w:sz w:val="15"/>
        </w:rPr>
      </w:pPr>
      <w:r>
        <w:rPr>
          <w:color w:val="231F20"/>
          <w:sz w:val="15"/>
        </w:rPr>
        <w:t>úraz,</w:t>
      </w:r>
      <w:r>
        <w:rPr>
          <w:color w:val="231F20"/>
          <w:spacing w:val="-23"/>
          <w:sz w:val="15"/>
        </w:rPr>
        <w:t xml:space="preserve"> </w:t>
      </w:r>
      <w:r>
        <w:rPr>
          <w:color w:val="231F20"/>
          <w:sz w:val="15"/>
        </w:rPr>
        <w:t>k</w:t>
      </w:r>
      <w:r>
        <w:rPr>
          <w:color w:val="231F20"/>
          <w:spacing w:val="-23"/>
          <w:sz w:val="15"/>
        </w:rPr>
        <w:t xml:space="preserve"> </w:t>
      </w:r>
      <w:r>
        <w:rPr>
          <w:color w:val="231F20"/>
          <w:sz w:val="15"/>
        </w:rPr>
        <w:t>němuž</w:t>
      </w:r>
      <w:r>
        <w:rPr>
          <w:color w:val="231F20"/>
          <w:spacing w:val="-22"/>
          <w:sz w:val="15"/>
        </w:rPr>
        <w:t xml:space="preserve"> </w:t>
      </w:r>
      <w:r>
        <w:rPr>
          <w:color w:val="231F20"/>
          <w:sz w:val="15"/>
        </w:rPr>
        <w:t>dojde</w:t>
      </w:r>
      <w:r>
        <w:rPr>
          <w:color w:val="231F20"/>
          <w:spacing w:val="-23"/>
          <w:sz w:val="15"/>
        </w:rPr>
        <w:t xml:space="preserve"> </w:t>
      </w:r>
      <w:r>
        <w:rPr>
          <w:color w:val="231F20"/>
          <w:sz w:val="15"/>
        </w:rPr>
        <w:t>v</w:t>
      </w:r>
      <w:r>
        <w:rPr>
          <w:color w:val="231F20"/>
          <w:spacing w:val="-23"/>
          <w:sz w:val="15"/>
        </w:rPr>
        <w:t xml:space="preserve"> </w:t>
      </w:r>
      <w:r>
        <w:rPr>
          <w:color w:val="231F20"/>
          <w:sz w:val="15"/>
        </w:rPr>
        <w:t>důsledku</w:t>
      </w:r>
      <w:r>
        <w:rPr>
          <w:color w:val="231F20"/>
          <w:spacing w:val="-22"/>
          <w:sz w:val="15"/>
        </w:rPr>
        <w:t xml:space="preserve"> </w:t>
      </w:r>
      <w:r>
        <w:rPr>
          <w:color w:val="231F20"/>
          <w:sz w:val="15"/>
        </w:rPr>
        <w:t>nebo</w:t>
      </w:r>
      <w:r>
        <w:rPr>
          <w:color w:val="231F20"/>
          <w:spacing w:val="-23"/>
          <w:sz w:val="15"/>
        </w:rPr>
        <w:t xml:space="preserve"> </w:t>
      </w:r>
      <w:r>
        <w:rPr>
          <w:color w:val="231F20"/>
          <w:sz w:val="15"/>
        </w:rPr>
        <w:t>v</w:t>
      </w:r>
      <w:r>
        <w:rPr>
          <w:color w:val="231F20"/>
          <w:spacing w:val="-23"/>
          <w:sz w:val="15"/>
        </w:rPr>
        <w:t xml:space="preserve"> </w:t>
      </w:r>
      <w:r>
        <w:rPr>
          <w:color w:val="231F20"/>
          <w:sz w:val="15"/>
        </w:rPr>
        <w:t>souvislosti</w:t>
      </w:r>
      <w:r>
        <w:rPr>
          <w:color w:val="231F20"/>
          <w:spacing w:val="-22"/>
          <w:sz w:val="15"/>
        </w:rPr>
        <w:t xml:space="preserve"> </w:t>
      </w:r>
      <w:r>
        <w:rPr>
          <w:color w:val="231F20"/>
          <w:sz w:val="15"/>
        </w:rPr>
        <w:t>s</w:t>
      </w:r>
      <w:r>
        <w:rPr>
          <w:color w:val="231F20"/>
          <w:spacing w:val="-23"/>
          <w:sz w:val="15"/>
        </w:rPr>
        <w:t xml:space="preserve"> </w:t>
      </w:r>
      <w:r>
        <w:rPr>
          <w:color w:val="231F20"/>
          <w:spacing w:val="-3"/>
          <w:sz w:val="15"/>
        </w:rPr>
        <w:t>teroristickými</w:t>
      </w:r>
      <w:r>
        <w:rPr>
          <w:color w:val="231F20"/>
          <w:spacing w:val="-22"/>
          <w:sz w:val="15"/>
        </w:rPr>
        <w:t xml:space="preserve"> </w:t>
      </w:r>
      <w:r>
        <w:rPr>
          <w:color w:val="231F20"/>
          <w:sz w:val="15"/>
        </w:rPr>
        <w:t>činy</w:t>
      </w:r>
      <w:r>
        <w:rPr>
          <w:color w:val="231F20"/>
          <w:spacing w:val="-23"/>
          <w:sz w:val="15"/>
        </w:rPr>
        <w:t xml:space="preserve"> </w:t>
      </w:r>
      <w:r>
        <w:rPr>
          <w:color w:val="231F20"/>
          <w:sz w:val="15"/>
        </w:rPr>
        <w:t>(tj.</w:t>
      </w:r>
      <w:r>
        <w:rPr>
          <w:color w:val="231F20"/>
          <w:spacing w:val="-23"/>
          <w:sz w:val="15"/>
        </w:rPr>
        <w:t xml:space="preserve"> </w:t>
      </w:r>
      <w:r>
        <w:rPr>
          <w:color w:val="231F20"/>
          <w:sz w:val="15"/>
        </w:rPr>
        <w:t xml:space="preserve">ná- </w:t>
      </w:r>
      <w:r>
        <w:rPr>
          <w:color w:val="231F20"/>
          <w:w w:val="95"/>
          <w:sz w:val="15"/>
        </w:rPr>
        <w:t xml:space="preserve">silným jednáním motivovaným </w:t>
      </w:r>
      <w:r>
        <w:rPr>
          <w:color w:val="231F20"/>
          <w:spacing w:val="-4"/>
          <w:w w:val="95"/>
          <w:sz w:val="15"/>
        </w:rPr>
        <w:t xml:space="preserve">politicky, </w:t>
      </w:r>
      <w:r>
        <w:rPr>
          <w:color w:val="231F20"/>
          <w:w w:val="95"/>
          <w:sz w:val="15"/>
        </w:rPr>
        <w:t xml:space="preserve">sociálně, ideologicky nebo nábožen- </w:t>
      </w:r>
      <w:r>
        <w:rPr>
          <w:color w:val="231F20"/>
          <w:sz w:val="15"/>
        </w:rPr>
        <w:t>sky),</w:t>
      </w:r>
      <w:r>
        <w:rPr>
          <w:color w:val="231F20"/>
          <w:spacing w:val="-25"/>
          <w:sz w:val="15"/>
        </w:rPr>
        <w:t xml:space="preserve"> </w:t>
      </w:r>
      <w:r>
        <w:rPr>
          <w:color w:val="231F20"/>
          <w:sz w:val="15"/>
        </w:rPr>
        <w:t>na</w:t>
      </w:r>
      <w:r>
        <w:rPr>
          <w:color w:val="231F20"/>
          <w:spacing w:val="-25"/>
          <w:sz w:val="15"/>
        </w:rPr>
        <w:t xml:space="preserve"> </w:t>
      </w:r>
      <w:r>
        <w:rPr>
          <w:color w:val="231F20"/>
          <w:sz w:val="15"/>
        </w:rPr>
        <w:t>kterých</w:t>
      </w:r>
      <w:r>
        <w:rPr>
          <w:color w:val="231F20"/>
          <w:spacing w:val="-24"/>
          <w:sz w:val="15"/>
        </w:rPr>
        <w:t xml:space="preserve"> </w:t>
      </w:r>
      <w:r>
        <w:rPr>
          <w:color w:val="231F20"/>
          <w:sz w:val="15"/>
        </w:rPr>
        <w:t>se</w:t>
      </w:r>
      <w:r>
        <w:rPr>
          <w:color w:val="231F20"/>
          <w:spacing w:val="-25"/>
          <w:sz w:val="15"/>
        </w:rPr>
        <w:t xml:space="preserve"> </w:t>
      </w:r>
      <w:r>
        <w:rPr>
          <w:color w:val="231F20"/>
          <w:sz w:val="15"/>
        </w:rPr>
        <w:t>pojištěný</w:t>
      </w:r>
      <w:r>
        <w:rPr>
          <w:color w:val="231F20"/>
          <w:spacing w:val="-24"/>
          <w:sz w:val="15"/>
        </w:rPr>
        <w:t xml:space="preserve"> </w:t>
      </w:r>
      <w:r>
        <w:rPr>
          <w:color w:val="231F20"/>
          <w:sz w:val="15"/>
        </w:rPr>
        <w:t>aktivně</w:t>
      </w:r>
      <w:r>
        <w:rPr>
          <w:color w:val="231F20"/>
          <w:spacing w:val="-25"/>
          <w:sz w:val="15"/>
        </w:rPr>
        <w:t xml:space="preserve"> </w:t>
      </w:r>
      <w:r>
        <w:rPr>
          <w:color w:val="231F20"/>
          <w:sz w:val="15"/>
        </w:rPr>
        <w:t>podílel</w:t>
      </w:r>
      <w:r>
        <w:rPr>
          <w:color w:val="231F20"/>
          <w:spacing w:val="-25"/>
          <w:sz w:val="15"/>
        </w:rPr>
        <w:t xml:space="preserve"> </w:t>
      </w:r>
      <w:r>
        <w:rPr>
          <w:color w:val="231F20"/>
          <w:sz w:val="15"/>
        </w:rPr>
        <w:t>na</w:t>
      </w:r>
      <w:r>
        <w:rPr>
          <w:color w:val="231F20"/>
          <w:spacing w:val="-24"/>
          <w:sz w:val="15"/>
        </w:rPr>
        <w:t xml:space="preserve"> </w:t>
      </w:r>
      <w:r>
        <w:rPr>
          <w:color w:val="231F20"/>
          <w:sz w:val="15"/>
        </w:rPr>
        <w:t>straně</w:t>
      </w:r>
      <w:r>
        <w:rPr>
          <w:color w:val="231F20"/>
          <w:spacing w:val="-25"/>
          <w:sz w:val="15"/>
        </w:rPr>
        <w:t xml:space="preserve"> </w:t>
      </w:r>
      <w:r>
        <w:rPr>
          <w:color w:val="231F20"/>
          <w:sz w:val="15"/>
        </w:rPr>
        <w:t>iniciátora</w:t>
      </w:r>
      <w:r>
        <w:rPr>
          <w:color w:val="231F20"/>
          <w:spacing w:val="-24"/>
          <w:sz w:val="15"/>
        </w:rPr>
        <w:t xml:space="preserve"> </w:t>
      </w:r>
      <w:r>
        <w:rPr>
          <w:color w:val="231F20"/>
          <w:sz w:val="15"/>
        </w:rPr>
        <w:t>těchto</w:t>
      </w:r>
      <w:r>
        <w:rPr>
          <w:color w:val="231F20"/>
          <w:spacing w:val="-25"/>
          <w:sz w:val="15"/>
        </w:rPr>
        <w:t xml:space="preserve"> </w:t>
      </w:r>
      <w:r>
        <w:rPr>
          <w:color w:val="231F20"/>
          <w:sz w:val="15"/>
        </w:rPr>
        <w:t>činů;</w:t>
      </w:r>
    </w:p>
    <w:p w14:paraId="3AA413EA" w14:textId="77777777" w:rsidR="00F65BCA" w:rsidRDefault="00216117">
      <w:pPr>
        <w:pStyle w:val="Odstavecseseznamem"/>
        <w:numPr>
          <w:ilvl w:val="0"/>
          <w:numId w:val="86"/>
        </w:numPr>
        <w:tabs>
          <w:tab w:val="left" w:pos="640"/>
        </w:tabs>
        <w:spacing w:line="278" w:lineRule="auto"/>
        <w:ind w:right="424"/>
        <w:jc w:val="both"/>
        <w:rPr>
          <w:sz w:val="15"/>
        </w:rPr>
      </w:pPr>
      <w:r>
        <w:rPr>
          <w:color w:val="231F20"/>
          <w:sz w:val="15"/>
        </w:rPr>
        <w:t xml:space="preserve">použitím jaderných, </w:t>
      </w:r>
      <w:r>
        <w:rPr>
          <w:color w:val="231F20"/>
          <w:spacing w:val="2"/>
          <w:sz w:val="15"/>
        </w:rPr>
        <w:t xml:space="preserve">chemických </w:t>
      </w:r>
      <w:r>
        <w:rPr>
          <w:color w:val="231F20"/>
          <w:sz w:val="15"/>
        </w:rPr>
        <w:t>nebo biologických zbraní při teroristic- kém</w:t>
      </w:r>
      <w:r>
        <w:rPr>
          <w:color w:val="231F20"/>
          <w:spacing w:val="-14"/>
          <w:sz w:val="15"/>
        </w:rPr>
        <w:t xml:space="preserve"> </w:t>
      </w:r>
      <w:r>
        <w:rPr>
          <w:color w:val="231F20"/>
          <w:sz w:val="15"/>
        </w:rPr>
        <w:t>činu</w:t>
      </w:r>
      <w:r>
        <w:rPr>
          <w:color w:val="231F20"/>
          <w:spacing w:val="-13"/>
          <w:sz w:val="15"/>
        </w:rPr>
        <w:t xml:space="preserve"> </w:t>
      </w:r>
      <w:r>
        <w:rPr>
          <w:color w:val="231F20"/>
          <w:sz w:val="15"/>
        </w:rPr>
        <w:t>(tj.</w:t>
      </w:r>
      <w:r>
        <w:rPr>
          <w:color w:val="231F20"/>
          <w:spacing w:val="-13"/>
          <w:sz w:val="15"/>
        </w:rPr>
        <w:t xml:space="preserve"> </w:t>
      </w:r>
      <w:r>
        <w:rPr>
          <w:color w:val="231F20"/>
          <w:sz w:val="15"/>
        </w:rPr>
        <w:t>násilném</w:t>
      </w:r>
      <w:r>
        <w:rPr>
          <w:color w:val="231F20"/>
          <w:spacing w:val="-14"/>
          <w:sz w:val="15"/>
        </w:rPr>
        <w:t xml:space="preserve"> </w:t>
      </w:r>
      <w:r>
        <w:rPr>
          <w:color w:val="231F20"/>
          <w:sz w:val="15"/>
        </w:rPr>
        <w:t>činu</w:t>
      </w:r>
      <w:r>
        <w:rPr>
          <w:color w:val="231F20"/>
          <w:spacing w:val="-13"/>
          <w:sz w:val="15"/>
        </w:rPr>
        <w:t xml:space="preserve"> </w:t>
      </w:r>
      <w:r>
        <w:rPr>
          <w:color w:val="231F20"/>
          <w:sz w:val="15"/>
        </w:rPr>
        <w:t>poškozujícím</w:t>
      </w:r>
      <w:r>
        <w:rPr>
          <w:color w:val="231F20"/>
          <w:spacing w:val="-13"/>
          <w:sz w:val="15"/>
        </w:rPr>
        <w:t xml:space="preserve"> </w:t>
      </w:r>
      <w:r>
        <w:rPr>
          <w:color w:val="231F20"/>
          <w:spacing w:val="2"/>
          <w:sz w:val="15"/>
        </w:rPr>
        <w:t>lidský</w:t>
      </w:r>
      <w:r>
        <w:rPr>
          <w:color w:val="231F20"/>
          <w:spacing w:val="-13"/>
          <w:sz w:val="15"/>
        </w:rPr>
        <w:t xml:space="preserve"> </w:t>
      </w:r>
      <w:r>
        <w:rPr>
          <w:color w:val="231F20"/>
          <w:sz w:val="15"/>
        </w:rPr>
        <w:t>život,</w:t>
      </w:r>
      <w:r>
        <w:rPr>
          <w:color w:val="231F20"/>
          <w:spacing w:val="-14"/>
          <w:sz w:val="15"/>
        </w:rPr>
        <w:t xml:space="preserve"> </w:t>
      </w:r>
      <w:r>
        <w:rPr>
          <w:color w:val="231F20"/>
          <w:sz w:val="15"/>
        </w:rPr>
        <w:t>majetek</w:t>
      </w:r>
      <w:r>
        <w:rPr>
          <w:color w:val="231F20"/>
          <w:spacing w:val="-13"/>
          <w:sz w:val="15"/>
        </w:rPr>
        <w:t xml:space="preserve"> </w:t>
      </w:r>
      <w:r>
        <w:rPr>
          <w:color w:val="231F20"/>
          <w:sz w:val="15"/>
        </w:rPr>
        <w:t>či</w:t>
      </w:r>
      <w:r>
        <w:rPr>
          <w:color w:val="231F20"/>
          <w:spacing w:val="-13"/>
          <w:sz w:val="15"/>
        </w:rPr>
        <w:t xml:space="preserve"> </w:t>
      </w:r>
      <w:r>
        <w:rPr>
          <w:color w:val="231F20"/>
          <w:sz w:val="15"/>
        </w:rPr>
        <w:t>infrastruk- turu</w:t>
      </w:r>
      <w:r>
        <w:rPr>
          <w:color w:val="231F20"/>
          <w:spacing w:val="-8"/>
          <w:sz w:val="15"/>
        </w:rPr>
        <w:t xml:space="preserve"> </w:t>
      </w:r>
      <w:r>
        <w:rPr>
          <w:color w:val="231F20"/>
          <w:sz w:val="15"/>
        </w:rPr>
        <w:t>s</w:t>
      </w:r>
      <w:r>
        <w:rPr>
          <w:color w:val="231F20"/>
          <w:spacing w:val="-8"/>
          <w:sz w:val="15"/>
        </w:rPr>
        <w:t xml:space="preserve"> </w:t>
      </w:r>
      <w:r>
        <w:rPr>
          <w:color w:val="231F20"/>
          <w:sz w:val="15"/>
        </w:rPr>
        <w:t>úmyslem</w:t>
      </w:r>
      <w:r>
        <w:rPr>
          <w:color w:val="231F20"/>
          <w:spacing w:val="-7"/>
          <w:sz w:val="15"/>
        </w:rPr>
        <w:t xml:space="preserve"> </w:t>
      </w:r>
      <w:r>
        <w:rPr>
          <w:color w:val="231F20"/>
          <w:sz w:val="15"/>
        </w:rPr>
        <w:t>ovlivnit</w:t>
      </w:r>
      <w:r>
        <w:rPr>
          <w:color w:val="231F20"/>
          <w:spacing w:val="-8"/>
          <w:sz w:val="15"/>
        </w:rPr>
        <w:t xml:space="preserve"> </w:t>
      </w:r>
      <w:r>
        <w:rPr>
          <w:color w:val="231F20"/>
          <w:sz w:val="15"/>
        </w:rPr>
        <w:t>vládu</w:t>
      </w:r>
      <w:r>
        <w:rPr>
          <w:color w:val="231F20"/>
          <w:spacing w:val="-7"/>
          <w:sz w:val="15"/>
        </w:rPr>
        <w:t xml:space="preserve"> </w:t>
      </w:r>
      <w:r>
        <w:rPr>
          <w:color w:val="231F20"/>
          <w:sz w:val="15"/>
        </w:rPr>
        <w:t>nebo</w:t>
      </w:r>
      <w:r>
        <w:rPr>
          <w:color w:val="231F20"/>
          <w:spacing w:val="-8"/>
          <w:sz w:val="15"/>
        </w:rPr>
        <w:t xml:space="preserve"> </w:t>
      </w:r>
      <w:r>
        <w:rPr>
          <w:color w:val="231F20"/>
          <w:sz w:val="15"/>
        </w:rPr>
        <w:t>zastrašovat</w:t>
      </w:r>
      <w:r>
        <w:rPr>
          <w:color w:val="231F20"/>
          <w:spacing w:val="-7"/>
          <w:sz w:val="15"/>
        </w:rPr>
        <w:t xml:space="preserve"> </w:t>
      </w:r>
      <w:r>
        <w:rPr>
          <w:color w:val="231F20"/>
          <w:sz w:val="15"/>
        </w:rPr>
        <w:t>veřejnost</w:t>
      </w:r>
      <w:r>
        <w:rPr>
          <w:color w:val="231F20"/>
          <w:spacing w:val="-8"/>
          <w:sz w:val="15"/>
        </w:rPr>
        <w:t xml:space="preserve"> </w:t>
      </w:r>
      <w:r>
        <w:rPr>
          <w:color w:val="231F20"/>
          <w:sz w:val="15"/>
        </w:rPr>
        <w:t>nebo</w:t>
      </w:r>
      <w:r>
        <w:rPr>
          <w:color w:val="231F20"/>
          <w:spacing w:val="-7"/>
          <w:sz w:val="15"/>
        </w:rPr>
        <w:t xml:space="preserve"> </w:t>
      </w:r>
      <w:r>
        <w:rPr>
          <w:color w:val="231F20"/>
          <w:sz w:val="15"/>
        </w:rPr>
        <w:t>její</w:t>
      </w:r>
      <w:r>
        <w:rPr>
          <w:color w:val="231F20"/>
          <w:spacing w:val="-8"/>
          <w:sz w:val="15"/>
        </w:rPr>
        <w:t xml:space="preserve"> </w:t>
      </w:r>
      <w:r>
        <w:rPr>
          <w:color w:val="231F20"/>
          <w:sz w:val="15"/>
        </w:rPr>
        <w:t>část);</w:t>
      </w:r>
    </w:p>
    <w:p w14:paraId="439CB85F" w14:textId="77777777" w:rsidR="00F65BCA" w:rsidRDefault="00216117">
      <w:pPr>
        <w:pStyle w:val="Zkladntext"/>
        <w:spacing w:line="278" w:lineRule="auto"/>
        <w:ind w:left="639" w:right="424" w:hanging="171"/>
        <w:jc w:val="both"/>
      </w:pPr>
      <w:r>
        <w:rPr>
          <w:color w:val="231F20"/>
        </w:rPr>
        <w:t xml:space="preserve">w teroristickými činy, ke </w:t>
      </w:r>
      <w:r>
        <w:rPr>
          <w:color w:val="231F20"/>
          <w:spacing w:val="3"/>
        </w:rPr>
        <w:t xml:space="preserve">kterým </w:t>
      </w:r>
      <w:r>
        <w:rPr>
          <w:color w:val="231F20"/>
        </w:rPr>
        <w:t xml:space="preserve">došlo ve státech, do </w:t>
      </w:r>
      <w:r>
        <w:rPr>
          <w:color w:val="231F20"/>
          <w:spacing w:val="2"/>
        </w:rPr>
        <w:t xml:space="preserve">kterých </w:t>
      </w:r>
      <w:r>
        <w:rPr>
          <w:color w:val="231F20"/>
        </w:rPr>
        <w:t>Ministerstvo zahraničních</w:t>
      </w:r>
      <w:r>
        <w:rPr>
          <w:color w:val="231F20"/>
          <w:spacing w:val="-21"/>
        </w:rPr>
        <w:t xml:space="preserve"> </w:t>
      </w:r>
      <w:r>
        <w:rPr>
          <w:color w:val="231F20"/>
        </w:rPr>
        <w:t>věcí</w:t>
      </w:r>
      <w:r>
        <w:rPr>
          <w:color w:val="231F20"/>
          <w:spacing w:val="-21"/>
        </w:rPr>
        <w:t xml:space="preserve"> </w:t>
      </w:r>
      <w:r>
        <w:rPr>
          <w:color w:val="231F20"/>
        </w:rPr>
        <w:t>České</w:t>
      </w:r>
      <w:r>
        <w:rPr>
          <w:color w:val="231F20"/>
          <w:spacing w:val="-21"/>
        </w:rPr>
        <w:t xml:space="preserve"> </w:t>
      </w:r>
      <w:r>
        <w:rPr>
          <w:color w:val="231F20"/>
          <w:spacing w:val="2"/>
        </w:rPr>
        <w:t>republiky</w:t>
      </w:r>
      <w:r>
        <w:rPr>
          <w:color w:val="231F20"/>
          <w:spacing w:val="-21"/>
        </w:rPr>
        <w:t xml:space="preserve"> </w:t>
      </w:r>
      <w:r>
        <w:rPr>
          <w:color w:val="231F20"/>
        </w:rPr>
        <w:t>(dále</w:t>
      </w:r>
      <w:r>
        <w:rPr>
          <w:color w:val="231F20"/>
          <w:spacing w:val="-21"/>
        </w:rPr>
        <w:t xml:space="preserve"> </w:t>
      </w:r>
      <w:r>
        <w:rPr>
          <w:color w:val="231F20"/>
        </w:rPr>
        <w:t>také</w:t>
      </w:r>
      <w:r>
        <w:rPr>
          <w:color w:val="231F20"/>
          <w:spacing w:val="-20"/>
        </w:rPr>
        <w:t xml:space="preserve"> </w:t>
      </w:r>
      <w:r>
        <w:rPr>
          <w:color w:val="231F20"/>
        </w:rPr>
        <w:t>jen</w:t>
      </w:r>
      <w:r>
        <w:rPr>
          <w:color w:val="231F20"/>
          <w:spacing w:val="-21"/>
        </w:rPr>
        <w:t xml:space="preserve"> </w:t>
      </w:r>
      <w:r>
        <w:rPr>
          <w:color w:val="231F20"/>
          <w:spacing w:val="2"/>
        </w:rPr>
        <w:t>„MZV“)</w:t>
      </w:r>
      <w:r>
        <w:rPr>
          <w:color w:val="231F20"/>
          <w:spacing w:val="-21"/>
        </w:rPr>
        <w:t xml:space="preserve"> </w:t>
      </w:r>
      <w:r>
        <w:rPr>
          <w:color w:val="231F20"/>
          <w:spacing w:val="2"/>
        </w:rPr>
        <w:t>vydáním</w:t>
      </w:r>
      <w:r>
        <w:rPr>
          <w:color w:val="231F20"/>
          <w:spacing w:val="-21"/>
        </w:rPr>
        <w:t xml:space="preserve"> </w:t>
      </w:r>
      <w:r>
        <w:rPr>
          <w:color w:val="231F20"/>
        </w:rPr>
        <w:t xml:space="preserve">varování </w:t>
      </w:r>
      <w:r>
        <w:rPr>
          <w:color w:val="231F20"/>
          <w:spacing w:val="2"/>
        </w:rPr>
        <w:t xml:space="preserve">nedoporučilo </w:t>
      </w:r>
      <w:r>
        <w:rPr>
          <w:color w:val="231F20"/>
        </w:rPr>
        <w:t xml:space="preserve">cestovat z důvodu teroristických či jiných bezpečnostních hrozeb (tato varování jsou zveřejněna na internetových stránkách MZV, </w:t>
      </w:r>
      <w:hyperlink r:id="rId56">
        <w:r>
          <w:rPr>
            <w:color w:val="231F20"/>
            <w:spacing w:val="-1"/>
            <w:w w:val="95"/>
          </w:rPr>
          <w:t>www.mzv.cz/jnp/cz/cestujeme/aktualni_doporuceni_a_varovani/index.html);</w:t>
        </w:r>
      </w:hyperlink>
    </w:p>
    <w:p w14:paraId="6E59EF79" w14:textId="77777777" w:rsidR="00F65BCA" w:rsidRDefault="00216117">
      <w:pPr>
        <w:pStyle w:val="Zkladntext"/>
        <w:spacing w:line="278" w:lineRule="auto"/>
        <w:ind w:left="451" w:right="424"/>
        <w:jc w:val="right"/>
      </w:pPr>
      <w:r>
        <w:rPr>
          <w:color w:val="231F20"/>
        </w:rPr>
        <w:t>x</w:t>
      </w:r>
      <w:r>
        <w:rPr>
          <w:color w:val="231F20"/>
          <w:spacing w:val="-8"/>
        </w:rPr>
        <w:t xml:space="preserve"> </w:t>
      </w:r>
      <w:r>
        <w:rPr>
          <w:color w:val="231F20"/>
        </w:rPr>
        <w:t>úraz,</w:t>
      </w:r>
      <w:r>
        <w:rPr>
          <w:color w:val="231F20"/>
          <w:spacing w:val="-30"/>
        </w:rPr>
        <w:t xml:space="preserve"> </w:t>
      </w:r>
      <w:r>
        <w:rPr>
          <w:color w:val="231F20"/>
        </w:rPr>
        <w:t>k</w:t>
      </w:r>
      <w:r>
        <w:rPr>
          <w:color w:val="231F20"/>
          <w:spacing w:val="-30"/>
        </w:rPr>
        <w:t xml:space="preserve"> </w:t>
      </w:r>
      <w:r>
        <w:rPr>
          <w:color w:val="231F20"/>
        </w:rPr>
        <w:t>němuž</w:t>
      </w:r>
      <w:r>
        <w:rPr>
          <w:color w:val="231F20"/>
          <w:spacing w:val="-30"/>
        </w:rPr>
        <w:t xml:space="preserve"> </w:t>
      </w:r>
      <w:r>
        <w:rPr>
          <w:color w:val="231F20"/>
        </w:rPr>
        <w:t>dojde</w:t>
      </w:r>
      <w:r>
        <w:rPr>
          <w:color w:val="231F20"/>
          <w:spacing w:val="-29"/>
        </w:rPr>
        <w:t xml:space="preserve"> </w:t>
      </w:r>
      <w:r>
        <w:rPr>
          <w:color w:val="231F20"/>
        </w:rPr>
        <w:t>v</w:t>
      </w:r>
      <w:r>
        <w:rPr>
          <w:color w:val="231F20"/>
          <w:spacing w:val="-30"/>
        </w:rPr>
        <w:t xml:space="preserve"> </w:t>
      </w:r>
      <w:r>
        <w:rPr>
          <w:color w:val="231F20"/>
        </w:rPr>
        <w:t>důsledku</w:t>
      </w:r>
      <w:r>
        <w:rPr>
          <w:color w:val="231F20"/>
          <w:spacing w:val="-30"/>
        </w:rPr>
        <w:t xml:space="preserve"> </w:t>
      </w:r>
      <w:r>
        <w:rPr>
          <w:color w:val="231F20"/>
        </w:rPr>
        <w:t>nebo</w:t>
      </w:r>
      <w:r>
        <w:rPr>
          <w:color w:val="231F20"/>
          <w:spacing w:val="-29"/>
        </w:rPr>
        <w:t xml:space="preserve"> </w:t>
      </w:r>
      <w:r>
        <w:rPr>
          <w:color w:val="231F20"/>
        </w:rPr>
        <w:t>v</w:t>
      </w:r>
      <w:r>
        <w:rPr>
          <w:color w:val="231F20"/>
          <w:spacing w:val="-30"/>
        </w:rPr>
        <w:t xml:space="preserve"> </w:t>
      </w:r>
      <w:r>
        <w:rPr>
          <w:color w:val="231F20"/>
        </w:rPr>
        <w:t>souvislosti</w:t>
      </w:r>
      <w:r>
        <w:rPr>
          <w:color w:val="231F20"/>
          <w:spacing w:val="-30"/>
        </w:rPr>
        <w:t xml:space="preserve"> </w:t>
      </w:r>
      <w:r>
        <w:rPr>
          <w:color w:val="231F20"/>
        </w:rPr>
        <w:t>s</w:t>
      </w:r>
      <w:r>
        <w:rPr>
          <w:color w:val="231F20"/>
          <w:spacing w:val="-29"/>
        </w:rPr>
        <w:t xml:space="preserve"> </w:t>
      </w:r>
      <w:r>
        <w:rPr>
          <w:color w:val="231F20"/>
          <w:spacing w:val="-3"/>
        </w:rPr>
        <w:t>mezinárodní</w:t>
      </w:r>
      <w:r>
        <w:rPr>
          <w:color w:val="231F20"/>
          <w:spacing w:val="-30"/>
        </w:rPr>
        <w:t xml:space="preserve"> </w:t>
      </w:r>
      <w:r>
        <w:rPr>
          <w:color w:val="231F20"/>
          <w:spacing w:val="-3"/>
        </w:rPr>
        <w:t>mírovou</w:t>
      </w:r>
      <w:r>
        <w:rPr>
          <w:color w:val="231F20"/>
          <w:spacing w:val="-30"/>
        </w:rPr>
        <w:t xml:space="preserve"> </w:t>
      </w:r>
      <w:r>
        <w:rPr>
          <w:color w:val="231F20"/>
        </w:rPr>
        <w:t>misí;</w:t>
      </w:r>
      <w:r>
        <w:rPr>
          <w:color w:val="231F20"/>
          <w:spacing w:val="-2"/>
          <w:w w:val="92"/>
        </w:rPr>
        <w:t xml:space="preserve"> </w:t>
      </w:r>
      <w:r>
        <w:rPr>
          <w:color w:val="231F20"/>
        </w:rPr>
        <w:t>y</w:t>
      </w:r>
      <w:r>
        <w:rPr>
          <w:color w:val="231F20"/>
          <w:spacing w:val="27"/>
        </w:rPr>
        <w:t xml:space="preserve"> </w:t>
      </w:r>
      <w:r>
        <w:rPr>
          <w:color w:val="231F20"/>
        </w:rPr>
        <w:t>úraz,</w:t>
      </w:r>
      <w:r>
        <w:rPr>
          <w:color w:val="231F20"/>
          <w:spacing w:val="-6"/>
        </w:rPr>
        <w:t xml:space="preserve"> </w:t>
      </w:r>
      <w:r>
        <w:rPr>
          <w:color w:val="231F20"/>
        </w:rPr>
        <w:t>k</w:t>
      </w:r>
      <w:r>
        <w:rPr>
          <w:color w:val="231F20"/>
          <w:spacing w:val="-6"/>
        </w:rPr>
        <w:t xml:space="preserve"> </w:t>
      </w:r>
      <w:r>
        <w:rPr>
          <w:color w:val="231F20"/>
        </w:rPr>
        <w:t>němuž</w:t>
      </w:r>
      <w:r>
        <w:rPr>
          <w:color w:val="231F20"/>
          <w:spacing w:val="-6"/>
        </w:rPr>
        <w:t xml:space="preserve"> </w:t>
      </w:r>
      <w:r>
        <w:rPr>
          <w:color w:val="231F20"/>
        </w:rPr>
        <w:t>dojde</w:t>
      </w:r>
      <w:r>
        <w:rPr>
          <w:color w:val="231F20"/>
          <w:spacing w:val="-6"/>
        </w:rPr>
        <w:t xml:space="preserve"> </w:t>
      </w:r>
      <w:r>
        <w:rPr>
          <w:color w:val="231F20"/>
        </w:rPr>
        <w:t>v</w:t>
      </w:r>
      <w:r>
        <w:rPr>
          <w:color w:val="231F20"/>
          <w:spacing w:val="-6"/>
        </w:rPr>
        <w:t xml:space="preserve"> </w:t>
      </w:r>
      <w:r>
        <w:rPr>
          <w:color w:val="231F20"/>
        </w:rPr>
        <w:t>důsledku</w:t>
      </w:r>
      <w:r>
        <w:rPr>
          <w:color w:val="231F20"/>
          <w:spacing w:val="-6"/>
        </w:rPr>
        <w:t xml:space="preserve"> </w:t>
      </w:r>
      <w:r>
        <w:rPr>
          <w:color w:val="231F20"/>
        </w:rPr>
        <w:t>nebo</w:t>
      </w:r>
      <w:r>
        <w:rPr>
          <w:color w:val="231F20"/>
          <w:spacing w:val="-6"/>
        </w:rPr>
        <w:t xml:space="preserve"> </w:t>
      </w:r>
      <w:r>
        <w:rPr>
          <w:color w:val="231F20"/>
        </w:rPr>
        <w:t>v</w:t>
      </w:r>
      <w:r>
        <w:rPr>
          <w:color w:val="231F20"/>
          <w:spacing w:val="-7"/>
        </w:rPr>
        <w:t xml:space="preserve"> </w:t>
      </w:r>
      <w:r>
        <w:rPr>
          <w:color w:val="231F20"/>
        </w:rPr>
        <w:t>souvislosti</w:t>
      </w:r>
      <w:r>
        <w:rPr>
          <w:color w:val="231F20"/>
          <w:spacing w:val="-6"/>
        </w:rPr>
        <w:t xml:space="preserve"> </w:t>
      </w:r>
      <w:r>
        <w:rPr>
          <w:color w:val="231F20"/>
        </w:rPr>
        <w:t>s</w:t>
      </w:r>
      <w:r>
        <w:rPr>
          <w:color w:val="231F20"/>
          <w:spacing w:val="-6"/>
        </w:rPr>
        <w:t xml:space="preserve"> </w:t>
      </w:r>
      <w:r>
        <w:rPr>
          <w:color w:val="231F20"/>
        </w:rPr>
        <w:t>účastí</w:t>
      </w:r>
      <w:r>
        <w:rPr>
          <w:color w:val="231F20"/>
          <w:spacing w:val="-6"/>
        </w:rPr>
        <w:t xml:space="preserve"> </w:t>
      </w:r>
      <w:r>
        <w:rPr>
          <w:color w:val="231F20"/>
        </w:rPr>
        <w:t>pojištěného</w:t>
      </w:r>
      <w:r>
        <w:rPr>
          <w:color w:val="231F20"/>
          <w:spacing w:val="-6"/>
        </w:rPr>
        <w:t xml:space="preserve"> </w:t>
      </w:r>
      <w:r>
        <w:rPr>
          <w:color w:val="231F20"/>
        </w:rPr>
        <w:t>na</w:t>
      </w:r>
      <w:r>
        <w:rPr>
          <w:color w:val="231F20"/>
          <w:w w:val="94"/>
        </w:rPr>
        <w:t xml:space="preserve"> </w:t>
      </w:r>
      <w:r>
        <w:rPr>
          <w:color w:val="231F20"/>
        </w:rPr>
        <w:t>straně</w:t>
      </w:r>
      <w:r>
        <w:rPr>
          <w:color w:val="231F20"/>
          <w:spacing w:val="-18"/>
        </w:rPr>
        <w:t xml:space="preserve"> </w:t>
      </w:r>
      <w:r>
        <w:rPr>
          <w:color w:val="231F20"/>
        </w:rPr>
        <w:t>iniciátora</w:t>
      </w:r>
      <w:r>
        <w:rPr>
          <w:color w:val="231F20"/>
          <w:spacing w:val="-17"/>
        </w:rPr>
        <w:t xml:space="preserve"> </w:t>
      </w:r>
      <w:r>
        <w:rPr>
          <w:color w:val="231F20"/>
        </w:rPr>
        <w:t>při</w:t>
      </w:r>
      <w:r>
        <w:rPr>
          <w:color w:val="231F20"/>
          <w:spacing w:val="-17"/>
        </w:rPr>
        <w:t xml:space="preserve"> </w:t>
      </w:r>
      <w:r>
        <w:rPr>
          <w:color w:val="231F20"/>
        </w:rPr>
        <w:t>občanských</w:t>
      </w:r>
      <w:r>
        <w:rPr>
          <w:color w:val="231F20"/>
          <w:spacing w:val="-18"/>
        </w:rPr>
        <w:t xml:space="preserve"> </w:t>
      </w:r>
      <w:r>
        <w:rPr>
          <w:color w:val="231F20"/>
        </w:rPr>
        <w:t>nepokojích,</w:t>
      </w:r>
      <w:r>
        <w:rPr>
          <w:color w:val="231F20"/>
          <w:spacing w:val="-17"/>
        </w:rPr>
        <w:t xml:space="preserve"> </w:t>
      </w:r>
      <w:r>
        <w:rPr>
          <w:color w:val="231F20"/>
        </w:rPr>
        <w:t>vnitrostátních</w:t>
      </w:r>
      <w:r>
        <w:rPr>
          <w:color w:val="231F20"/>
          <w:spacing w:val="-17"/>
        </w:rPr>
        <w:t xml:space="preserve"> </w:t>
      </w:r>
      <w:r>
        <w:rPr>
          <w:color w:val="231F20"/>
        </w:rPr>
        <w:t>násilných</w:t>
      </w:r>
      <w:r>
        <w:rPr>
          <w:color w:val="231F20"/>
          <w:spacing w:val="-17"/>
        </w:rPr>
        <w:t xml:space="preserve"> </w:t>
      </w:r>
      <w:r>
        <w:rPr>
          <w:color w:val="231F20"/>
        </w:rPr>
        <w:t>nepo-</w:t>
      </w:r>
    </w:p>
    <w:p w14:paraId="0B44E26E" w14:textId="77777777" w:rsidR="00F65BCA" w:rsidRDefault="00216117">
      <w:pPr>
        <w:pStyle w:val="Zkladntext"/>
        <w:spacing w:line="172" w:lineRule="exact"/>
        <w:ind w:left="639"/>
      </w:pPr>
      <w:r>
        <w:rPr>
          <w:color w:val="231F20"/>
        </w:rPr>
        <w:t>kojích a stávkách;</w:t>
      </w:r>
    </w:p>
    <w:p w14:paraId="6CAF57F8" w14:textId="77777777" w:rsidR="00F65BCA" w:rsidRDefault="00216117">
      <w:pPr>
        <w:pStyle w:val="Zkladntext"/>
        <w:spacing w:before="25" w:line="278" w:lineRule="auto"/>
        <w:ind w:left="639" w:right="416" w:hanging="171"/>
      </w:pPr>
      <w:r>
        <w:rPr>
          <w:color w:val="231F20"/>
        </w:rPr>
        <w:t>z</w:t>
      </w:r>
      <w:r>
        <w:rPr>
          <w:color w:val="231F20"/>
          <w:spacing w:val="26"/>
        </w:rPr>
        <w:t xml:space="preserve"> </w:t>
      </w:r>
      <w:r>
        <w:rPr>
          <w:color w:val="231F20"/>
        </w:rPr>
        <w:t>úraz,</w:t>
      </w:r>
      <w:r>
        <w:rPr>
          <w:color w:val="231F20"/>
          <w:spacing w:val="-18"/>
        </w:rPr>
        <w:t xml:space="preserve"> </w:t>
      </w:r>
      <w:r>
        <w:rPr>
          <w:color w:val="231F20"/>
        </w:rPr>
        <w:t>k</w:t>
      </w:r>
      <w:r>
        <w:rPr>
          <w:color w:val="231F20"/>
          <w:spacing w:val="-17"/>
        </w:rPr>
        <w:t xml:space="preserve"> </w:t>
      </w:r>
      <w:r>
        <w:rPr>
          <w:color w:val="231F20"/>
        </w:rPr>
        <w:t>němuž</w:t>
      </w:r>
      <w:r>
        <w:rPr>
          <w:color w:val="231F20"/>
          <w:spacing w:val="-18"/>
        </w:rPr>
        <w:t xml:space="preserve"> </w:t>
      </w:r>
      <w:r>
        <w:rPr>
          <w:color w:val="231F20"/>
        </w:rPr>
        <w:t>dojde</w:t>
      </w:r>
      <w:r>
        <w:rPr>
          <w:color w:val="231F20"/>
          <w:spacing w:val="-17"/>
        </w:rPr>
        <w:t xml:space="preserve"> </w:t>
      </w:r>
      <w:r>
        <w:rPr>
          <w:color w:val="231F20"/>
        </w:rPr>
        <w:t>v</w:t>
      </w:r>
      <w:r>
        <w:rPr>
          <w:color w:val="231F20"/>
          <w:spacing w:val="-18"/>
        </w:rPr>
        <w:t xml:space="preserve"> </w:t>
      </w:r>
      <w:r>
        <w:rPr>
          <w:color w:val="231F20"/>
        </w:rPr>
        <w:t>důsledku</w:t>
      </w:r>
      <w:r>
        <w:rPr>
          <w:color w:val="231F20"/>
          <w:spacing w:val="-17"/>
        </w:rPr>
        <w:t xml:space="preserve"> </w:t>
      </w:r>
      <w:r>
        <w:rPr>
          <w:color w:val="231F20"/>
        </w:rPr>
        <w:t>nebo</w:t>
      </w:r>
      <w:r>
        <w:rPr>
          <w:color w:val="231F20"/>
          <w:spacing w:val="-18"/>
        </w:rPr>
        <w:t xml:space="preserve"> </w:t>
      </w:r>
      <w:r>
        <w:rPr>
          <w:color w:val="231F20"/>
        </w:rPr>
        <w:t>v</w:t>
      </w:r>
      <w:r>
        <w:rPr>
          <w:color w:val="231F20"/>
          <w:spacing w:val="-17"/>
        </w:rPr>
        <w:t xml:space="preserve"> </w:t>
      </w:r>
      <w:r>
        <w:rPr>
          <w:color w:val="231F20"/>
        </w:rPr>
        <w:t>souvislosti</w:t>
      </w:r>
      <w:r>
        <w:rPr>
          <w:color w:val="231F20"/>
          <w:spacing w:val="-18"/>
        </w:rPr>
        <w:t xml:space="preserve"> </w:t>
      </w:r>
      <w:r>
        <w:rPr>
          <w:color w:val="231F20"/>
        </w:rPr>
        <w:t>s</w:t>
      </w:r>
      <w:r>
        <w:rPr>
          <w:color w:val="231F20"/>
          <w:spacing w:val="-17"/>
        </w:rPr>
        <w:t xml:space="preserve"> </w:t>
      </w:r>
      <w:r>
        <w:rPr>
          <w:color w:val="231F20"/>
        </w:rPr>
        <w:t>teroristickými</w:t>
      </w:r>
      <w:r>
        <w:rPr>
          <w:color w:val="231F20"/>
          <w:spacing w:val="-17"/>
        </w:rPr>
        <w:t xml:space="preserve"> </w:t>
      </w:r>
      <w:r>
        <w:rPr>
          <w:color w:val="231F20"/>
        </w:rPr>
        <w:t>akty</w:t>
      </w:r>
      <w:r>
        <w:rPr>
          <w:color w:val="231F20"/>
          <w:spacing w:val="-18"/>
        </w:rPr>
        <w:t xml:space="preserve"> </w:t>
      </w:r>
      <w:r>
        <w:rPr>
          <w:color w:val="231F20"/>
        </w:rPr>
        <w:t>včet- ně kontaminace v důsledku teroristického</w:t>
      </w:r>
      <w:r>
        <w:rPr>
          <w:color w:val="231F20"/>
          <w:spacing w:val="-9"/>
        </w:rPr>
        <w:t xml:space="preserve"> </w:t>
      </w:r>
      <w:r>
        <w:rPr>
          <w:color w:val="231F20"/>
        </w:rPr>
        <w:t>aktu.</w:t>
      </w:r>
    </w:p>
    <w:p w14:paraId="1DCEC646" w14:textId="77777777" w:rsidR="00F65BCA" w:rsidRDefault="00216117">
      <w:pPr>
        <w:pStyle w:val="Zkladntext"/>
        <w:spacing w:line="172" w:lineRule="exact"/>
        <w:ind w:left="187"/>
      </w:pPr>
      <w:r>
        <w:rPr>
          <w:color w:val="231F20"/>
          <w:position w:val="1"/>
          <w:sz w:val="14"/>
          <w:shd w:val="clear" w:color="auto" w:fill="D1D3D4"/>
        </w:rPr>
        <w:t xml:space="preserve">  2</w:t>
      </w:r>
      <w:r>
        <w:rPr>
          <w:color w:val="231F20"/>
          <w:position w:val="1"/>
          <w:sz w:val="14"/>
        </w:rPr>
        <w:t xml:space="preserve"> </w:t>
      </w:r>
      <w:r>
        <w:rPr>
          <w:color w:val="231F20"/>
        </w:rPr>
        <w:t>Pojišťovna dále neposkytne pojistné plnění v těchto případech:</w:t>
      </w:r>
    </w:p>
    <w:p w14:paraId="2099249A" w14:textId="77777777" w:rsidR="00F65BCA" w:rsidRDefault="00216117">
      <w:pPr>
        <w:pStyle w:val="Odstavecseseznamem"/>
        <w:numPr>
          <w:ilvl w:val="0"/>
          <w:numId w:val="85"/>
        </w:numPr>
        <w:tabs>
          <w:tab w:val="left" w:pos="640"/>
        </w:tabs>
        <w:spacing w:before="28" w:line="278" w:lineRule="auto"/>
        <w:ind w:right="424"/>
        <w:jc w:val="left"/>
        <w:rPr>
          <w:sz w:val="15"/>
        </w:rPr>
      </w:pPr>
      <w:r>
        <w:rPr>
          <w:color w:val="231F20"/>
          <w:sz w:val="15"/>
        </w:rPr>
        <w:t>úrazy osob dopravovaných na místech vozidla, která nejsou určena k</w:t>
      </w:r>
      <w:r>
        <w:rPr>
          <w:color w:val="231F20"/>
          <w:spacing w:val="-29"/>
          <w:sz w:val="15"/>
        </w:rPr>
        <w:t xml:space="preserve"> </w:t>
      </w:r>
      <w:r>
        <w:rPr>
          <w:color w:val="231F20"/>
          <w:spacing w:val="-5"/>
          <w:sz w:val="15"/>
        </w:rPr>
        <w:t xml:space="preserve">do- </w:t>
      </w:r>
      <w:r>
        <w:rPr>
          <w:color w:val="231F20"/>
          <w:sz w:val="15"/>
        </w:rPr>
        <w:t>pravě osob (blatníky, kapota</w:t>
      </w:r>
      <w:r>
        <w:rPr>
          <w:color w:val="231F20"/>
          <w:spacing w:val="-6"/>
          <w:sz w:val="15"/>
        </w:rPr>
        <w:t xml:space="preserve"> </w:t>
      </w:r>
      <w:r>
        <w:rPr>
          <w:color w:val="231F20"/>
          <w:sz w:val="15"/>
        </w:rPr>
        <w:t>apod.);</w:t>
      </w:r>
    </w:p>
    <w:p w14:paraId="2E1DF220" w14:textId="77777777" w:rsidR="00F65BCA" w:rsidRDefault="00216117">
      <w:pPr>
        <w:pStyle w:val="Odstavecseseznamem"/>
        <w:numPr>
          <w:ilvl w:val="0"/>
          <w:numId w:val="85"/>
        </w:numPr>
        <w:tabs>
          <w:tab w:val="left" w:pos="640"/>
        </w:tabs>
        <w:spacing w:line="278" w:lineRule="auto"/>
        <w:ind w:right="424"/>
        <w:jc w:val="left"/>
        <w:rPr>
          <w:sz w:val="15"/>
        </w:rPr>
      </w:pPr>
      <w:r>
        <w:rPr>
          <w:color w:val="231F20"/>
          <w:sz w:val="15"/>
        </w:rPr>
        <w:t>úrazy</w:t>
      </w:r>
      <w:r>
        <w:rPr>
          <w:color w:val="231F20"/>
          <w:spacing w:val="-10"/>
          <w:sz w:val="15"/>
        </w:rPr>
        <w:t xml:space="preserve"> </w:t>
      </w:r>
      <w:r>
        <w:rPr>
          <w:color w:val="231F20"/>
          <w:sz w:val="15"/>
        </w:rPr>
        <w:t>při</w:t>
      </w:r>
      <w:r>
        <w:rPr>
          <w:color w:val="231F20"/>
          <w:spacing w:val="-10"/>
          <w:sz w:val="15"/>
        </w:rPr>
        <w:t xml:space="preserve"> </w:t>
      </w:r>
      <w:r>
        <w:rPr>
          <w:color w:val="231F20"/>
          <w:sz w:val="15"/>
        </w:rPr>
        <w:t>účasti</w:t>
      </w:r>
      <w:r>
        <w:rPr>
          <w:color w:val="231F20"/>
          <w:spacing w:val="-9"/>
          <w:sz w:val="15"/>
        </w:rPr>
        <w:t xml:space="preserve"> </w:t>
      </w:r>
      <w:r>
        <w:rPr>
          <w:color w:val="231F20"/>
          <w:sz w:val="15"/>
        </w:rPr>
        <w:t>na</w:t>
      </w:r>
      <w:r>
        <w:rPr>
          <w:color w:val="231F20"/>
          <w:spacing w:val="-10"/>
          <w:sz w:val="15"/>
        </w:rPr>
        <w:t xml:space="preserve"> </w:t>
      </w:r>
      <w:r>
        <w:rPr>
          <w:color w:val="231F20"/>
          <w:sz w:val="15"/>
        </w:rPr>
        <w:t>rychlostních</w:t>
      </w:r>
      <w:r>
        <w:rPr>
          <w:color w:val="231F20"/>
          <w:spacing w:val="-9"/>
          <w:sz w:val="15"/>
        </w:rPr>
        <w:t xml:space="preserve"> </w:t>
      </w:r>
      <w:r>
        <w:rPr>
          <w:color w:val="231F20"/>
          <w:sz w:val="15"/>
        </w:rPr>
        <w:t>závodech</w:t>
      </w:r>
      <w:r>
        <w:rPr>
          <w:color w:val="231F20"/>
          <w:spacing w:val="-10"/>
          <w:sz w:val="15"/>
        </w:rPr>
        <w:t xml:space="preserve"> </w:t>
      </w:r>
      <w:r>
        <w:rPr>
          <w:color w:val="231F20"/>
          <w:sz w:val="15"/>
        </w:rPr>
        <w:t>a</w:t>
      </w:r>
      <w:r>
        <w:rPr>
          <w:color w:val="231F20"/>
          <w:spacing w:val="-9"/>
          <w:sz w:val="15"/>
        </w:rPr>
        <w:t xml:space="preserve"> </w:t>
      </w:r>
      <w:r>
        <w:rPr>
          <w:color w:val="231F20"/>
          <w:sz w:val="15"/>
        </w:rPr>
        <w:t>na</w:t>
      </w:r>
      <w:r>
        <w:rPr>
          <w:color w:val="231F20"/>
          <w:spacing w:val="-10"/>
          <w:sz w:val="15"/>
        </w:rPr>
        <w:t xml:space="preserve"> </w:t>
      </w:r>
      <w:r>
        <w:rPr>
          <w:color w:val="231F20"/>
          <w:sz w:val="15"/>
        </w:rPr>
        <w:t>závodech</w:t>
      </w:r>
      <w:r>
        <w:rPr>
          <w:color w:val="231F20"/>
          <w:spacing w:val="-9"/>
          <w:sz w:val="15"/>
        </w:rPr>
        <w:t xml:space="preserve"> </w:t>
      </w:r>
      <w:r>
        <w:rPr>
          <w:color w:val="231F20"/>
          <w:sz w:val="15"/>
        </w:rPr>
        <w:t>s</w:t>
      </w:r>
      <w:r>
        <w:rPr>
          <w:color w:val="231F20"/>
          <w:spacing w:val="-10"/>
          <w:sz w:val="15"/>
        </w:rPr>
        <w:t xml:space="preserve"> </w:t>
      </w:r>
      <w:r>
        <w:rPr>
          <w:color w:val="231F20"/>
          <w:sz w:val="15"/>
        </w:rPr>
        <w:t>rychlostní</w:t>
      </w:r>
      <w:r>
        <w:rPr>
          <w:color w:val="231F20"/>
          <w:spacing w:val="-9"/>
          <w:sz w:val="15"/>
        </w:rPr>
        <w:t xml:space="preserve"> </w:t>
      </w:r>
      <w:r>
        <w:rPr>
          <w:color w:val="231F20"/>
          <w:sz w:val="15"/>
        </w:rPr>
        <w:t>vlož- kou (včetně</w:t>
      </w:r>
      <w:r>
        <w:rPr>
          <w:color w:val="231F20"/>
          <w:spacing w:val="-2"/>
          <w:sz w:val="15"/>
        </w:rPr>
        <w:t xml:space="preserve"> </w:t>
      </w:r>
      <w:r>
        <w:rPr>
          <w:color w:val="231F20"/>
          <w:sz w:val="15"/>
        </w:rPr>
        <w:t>tréninku);</w:t>
      </w:r>
    </w:p>
    <w:p w14:paraId="4DDE88B8" w14:textId="77777777" w:rsidR="00F65BCA" w:rsidRDefault="00F65BCA">
      <w:pPr>
        <w:spacing w:line="278" w:lineRule="auto"/>
        <w:rPr>
          <w:sz w:val="15"/>
        </w:rPr>
        <w:sectPr w:rsidR="00F65BCA">
          <w:pgSz w:w="11910" w:h="16840"/>
          <w:pgMar w:top="520" w:right="140" w:bottom="0" w:left="140" w:header="708" w:footer="708" w:gutter="0"/>
          <w:cols w:num="2" w:space="708" w:equalWidth="0">
            <w:col w:w="5701" w:space="40"/>
            <w:col w:w="5889"/>
          </w:cols>
        </w:sectPr>
      </w:pPr>
    </w:p>
    <w:p w14:paraId="6D2FE58A" w14:textId="77777777" w:rsidR="00F65BCA" w:rsidRDefault="00216117">
      <w:pPr>
        <w:pStyle w:val="Odstavecseseznamem"/>
        <w:numPr>
          <w:ilvl w:val="0"/>
          <w:numId w:val="85"/>
        </w:numPr>
        <w:tabs>
          <w:tab w:val="left" w:pos="881"/>
        </w:tabs>
        <w:spacing w:before="75" w:line="278" w:lineRule="auto"/>
        <w:ind w:left="880"/>
        <w:jc w:val="left"/>
        <w:rPr>
          <w:sz w:val="15"/>
        </w:rPr>
      </w:pPr>
      <w:r>
        <w:rPr>
          <w:color w:val="231F20"/>
          <w:sz w:val="15"/>
        </w:rPr>
        <w:lastRenderedPageBreak/>
        <w:t>úrazy</w:t>
      </w:r>
      <w:r>
        <w:rPr>
          <w:color w:val="231F20"/>
          <w:spacing w:val="-22"/>
          <w:sz w:val="15"/>
        </w:rPr>
        <w:t xml:space="preserve"> </w:t>
      </w:r>
      <w:r>
        <w:rPr>
          <w:color w:val="231F20"/>
          <w:sz w:val="15"/>
        </w:rPr>
        <w:t>při</w:t>
      </w:r>
      <w:r>
        <w:rPr>
          <w:color w:val="231F20"/>
          <w:spacing w:val="-21"/>
          <w:sz w:val="15"/>
        </w:rPr>
        <w:t xml:space="preserve"> </w:t>
      </w:r>
      <w:r>
        <w:rPr>
          <w:color w:val="231F20"/>
          <w:sz w:val="15"/>
        </w:rPr>
        <w:t>provádění</w:t>
      </w:r>
      <w:r>
        <w:rPr>
          <w:color w:val="231F20"/>
          <w:spacing w:val="-21"/>
          <w:sz w:val="15"/>
        </w:rPr>
        <w:t xml:space="preserve"> </w:t>
      </w:r>
      <w:r>
        <w:rPr>
          <w:color w:val="231F20"/>
          <w:sz w:val="15"/>
        </w:rPr>
        <w:t>typových</w:t>
      </w:r>
      <w:r>
        <w:rPr>
          <w:color w:val="231F20"/>
          <w:spacing w:val="-21"/>
          <w:sz w:val="15"/>
        </w:rPr>
        <w:t xml:space="preserve"> </w:t>
      </w:r>
      <w:r>
        <w:rPr>
          <w:color w:val="231F20"/>
          <w:sz w:val="15"/>
        </w:rPr>
        <w:t>zkoušek</w:t>
      </w:r>
      <w:r>
        <w:rPr>
          <w:color w:val="231F20"/>
          <w:spacing w:val="-21"/>
          <w:sz w:val="15"/>
        </w:rPr>
        <w:t xml:space="preserve"> </w:t>
      </w:r>
      <w:r>
        <w:rPr>
          <w:color w:val="231F20"/>
          <w:sz w:val="15"/>
        </w:rPr>
        <w:t>rychlosti,</w:t>
      </w:r>
      <w:r>
        <w:rPr>
          <w:color w:val="231F20"/>
          <w:spacing w:val="-21"/>
          <w:sz w:val="15"/>
        </w:rPr>
        <w:t xml:space="preserve"> </w:t>
      </w:r>
      <w:r>
        <w:rPr>
          <w:color w:val="231F20"/>
          <w:sz w:val="15"/>
        </w:rPr>
        <w:t>brzd,</w:t>
      </w:r>
      <w:r>
        <w:rPr>
          <w:color w:val="231F20"/>
          <w:spacing w:val="-21"/>
          <w:sz w:val="15"/>
        </w:rPr>
        <w:t xml:space="preserve"> </w:t>
      </w:r>
      <w:r>
        <w:rPr>
          <w:color w:val="231F20"/>
          <w:sz w:val="15"/>
        </w:rPr>
        <w:t>zvratu</w:t>
      </w:r>
      <w:r>
        <w:rPr>
          <w:color w:val="231F20"/>
          <w:spacing w:val="-21"/>
          <w:sz w:val="15"/>
        </w:rPr>
        <w:t xml:space="preserve"> </w:t>
      </w:r>
      <w:r>
        <w:rPr>
          <w:color w:val="231F20"/>
          <w:sz w:val="15"/>
        </w:rPr>
        <w:t>a</w:t>
      </w:r>
      <w:r>
        <w:rPr>
          <w:color w:val="231F20"/>
          <w:spacing w:val="-21"/>
          <w:sz w:val="15"/>
        </w:rPr>
        <w:t xml:space="preserve"> </w:t>
      </w:r>
      <w:r>
        <w:rPr>
          <w:color w:val="231F20"/>
          <w:sz w:val="15"/>
        </w:rPr>
        <w:t>stability</w:t>
      </w:r>
      <w:r>
        <w:rPr>
          <w:color w:val="231F20"/>
          <w:spacing w:val="-22"/>
          <w:sz w:val="15"/>
        </w:rPr>
        <w:t xml:space="preserve"> </w:t>
      </w:r>
      <w:r>
        <w:rPr>
          <w:color w:val="231F20"/>
          <w:spacing w:val="-3"/>
          <w:sz w:val="15"/>
        </w:rPr>
        <w:t xml:space="preserve">vozu, </w:t>
      </w:r>
      <w:r>
        <w:rPr>
          <w:color w:val="231F20"/>
          <w:sz w:val="15"/>
        </w:rPr>
        <w:t>dojezdu s největší rychlostí, zajíždění</w:t>
      </w:r>
      <w:r>
        <w:rPr>
          <w:color w:val="231F20"/>
          <w:spacing w:val="-14"/>
          <w:sz w:val="15"/>
        </w:rPr>
        <w:t xml:space="preserve"> </w:t>
      </w:r>
      <w:r>
        <w:rPr>
          <w:color w:val="231F20"/>
          <w:sz w:val="15"/>
        </w:rPr>
        <w:t>apod.;</w:t>
      </w:r>
    </w:p>
    <w:p w14:paraId="6185D225" w14:textId="77777777" w:rsidR="00F65BCA" w:rsidRDefault="00216117">
      <w:pPr>
        <w:pStyle w:val="Odstavecseseznamem"/>
        <w:numPr>
          <w:ilvl w:val="0"/>
          <w:numId w:val="85"/>
        </w:numPr>
        <w:tabs>
          <w:tab w:val="left" w:pos="881"/>
        </w:tabs>
        <w:spacing w:line="278" w:lineRule="auto"/>
        <w:ind w:left="880"/>
        <w:jc w:val="left"/>
        <w:rPr>
          <w:sz w:val="15"/>
        </w:rPr>
      </w:pPr>
      <w:r>
        <w:rPr>
          <w:color w:val="231F20"/>
          <w:sz w:val="15"/>
        </w:rPr>
        <w:t>prováděl-li</w:t>
      </w:r>
      <w:r>
        <w:rPr>
          <w:color w:val="231F20"/>
          <w:spacing w:val="-26"/>
          <w:sz w:val="15"/>
        </w:rPr>
        <w:t xml:space="preserve"> </w:t>
      </w:r>
      <w:r>
        <w:rPr>
          <w:color w:val="231F20"/>
          <w:sz w:val="15"/>
        </w:rPr>
        <w:t>pojištěný</w:t>
      </w:r>
      <w:r>
        <w:rPr>
          <w:color w:val="231F20"/>
          <w:spacing w:val="-25"/>
          <w:sz w:val="15"/>
        </w:rPr>
        <w:t xml:space="preserve"> </w:t>
      </w:r>
      <w:r>
        <w:rPr>
          <w:color w:val="231F20"/>
          <w:sz w:val="15"/>
        </w:rPr>
        <w:t>nakládání</w:t>
      </w:r>
      <w:r>
        <w:rPr>
          <w:color w:val="231F20"/>
          <w:spacing w:val="-26"/>
          <w:sz w:val="15"/>
        </w:rPr>
        <w:t xml:space="preserve"> </w:t>
      </w:r>
      <w:r>
        <w:rPr>
          <w:color w:val="231F20"/>
          <w:sz w:val="15"/>
        </w:rPr>
        <w:t>a</w:t>
      </w:r>
      <w:r>
        <w:rPr>
          <w:color w:val="231F20"/>
          <w:spacing w:val="-25"/>
          <w:sz w:val="15"/>
        </w:rPr>
        <w:t xml:space="preserve"> </w:t>
      </w:r>
      <w:r>
        <w:rPr>
          <w:color w:val="231F20"/>
          <w:sz w:val="15"/>
        </w:rPr>
        <w:t>vykládání</w:t>
      </w:r>
      <w:r>
        <w:rPr>
          <w:color w:val="231F20"/>
          <w:spacing w:val="-26"/>
          <w:sz w:val="15"/>
        </w:rPr>
        <w:t xml:space="preserve"> </w:t>
      </w:r>
      <w:r>
        <w:rPr>
          <w:color w:val="231F20"/>
          <w:sz w:val="15"/>
        </w:rPr>
        <w:t>nákladu,</w:t>
      </w:r>
      <w:r>
        <w:rPr>
          <w:color w:val="231F20"/>
          <w:spacing w:val="-25"/>
          <w:sz w:val="15"/>
        </w:rPr>
        <w:t xml:space="preserve"> </w:t>
      </w:r>
      <w:r>
        <w:rPr>
          <w:color w:val="231F20"/>
          <w:sz w:val="15"/>
        </w:rPr>
        <w:t>není-li</w:t>
      </w:r>
      <w:r>
        <w:rPr>
          <w:color w:val="231F20"/>
          <w:spacing w:val="-26"/>
          <w:sz w:val="15"/>
        </w:rPr>
        <w:t xml:space="preserve"> </w:t>
      </w:r>
      <w:r>
        <w:rPr>
          <w:color w:val="231F20"/>
          <w:sz w:val="15"/>
        </w:rPr>
        <w:t>v</w:t>
      </w:r>
      <w:r>
        <w:rPr>
          <w:color w:val="231F20"/>
          <w:spacing w:val="-25"/>
          <w:sz w:val="15"/>
        </w:rPr>
        <w:t xml:space="preserve"> </w:t>
      </w:r>
      <w:r>
        <w:rPr>
          <w:color w:val="231F20"/>
          <w:sz w:val="15"/>
        </w:rPr>
        <w:t>pojistné</w:t>
      </w:r>
      <w:r>
        <w:rPr>
          <w:color w:val="231F20"/>
          <w:spacing w:val="-26"/>
          <w:sz w:val="15"/>
        </w:rPr>
        <w:t xml:space="preserve"> </w:t>
      </w:r>
      <w:r>
        <w:rPr>
          <w:color w:val="231F20"/>
          <w:sz w:val="15"/>
        </w:rPr>
        <w:t>smlou- vě uvedeno</w:t>
      </w:r>
      <w:r>
        <w:rPr>
          <w:color w:val="231F20"/>
          <w:spacing w:val="-2"/>
          <w:sz w:val="15"/>
        </w:rPr>
        <w:t xml:space="preserve"> </w:t>
      </w:r>
      <w:r>
        <w:rPr>
          <w:color w:val="231F20"/>
          <w:sz w:val="15"/>
        </w:rPr>
        <w:t>jinak;</w:t>
      </w:r>
    </w:p>
    <w:p w14:paraId="65DBCEC0" w14:textId="77777777" w:rsidR="00F65BCA" w:rsidRDefault="00216117">
      <w:pPr>
        <w:pStyle w:val="Odstavecseseznamem"/>
        <w:numPr>
          <w:ilvl w:val="0"/>
          <w:numId w:val="85"/>
        </w:numPr>
        <w:tabs>
          <w:tab w:val="left" w:pos="881"/>
        </w:tabs>
        <w:spacing w:line="278" w:lineRule="auto"/>
        <w:ind w:left="880"/>
        <w:jc w:val="left"/>
        <w:rPr>
          <w:sz w:val="15"/>
        </w:rPr>
      </w:pPr>
      <w:r>
        <w:rPr>
          <w:color w:val="231F20"/>
          <w:sz w:val="15"/>
        </w:rPr>
        <w:t>v</w:t>
      </w:r>
      <w:r>
        <w:rPr>
          <w:color w:val="231F20"/>
          <w:spacing w:val="-19"/>
          <w:sz w:val="15"/>
        </w:rPr>
        <w:t xml:space="preserve"> </w:t>
      </w:r>
      <w:r>
        <w:rPr>
          <w:color w:val="231F20"/>
          <w:sz w:val="15"/>
        </w:rPr>
        <w:t>případě</w:t>
      </w:r>
      <w:r>
        <w:rPr>
          <w:color w:val="231F20"/>
          <w:spacing w:val="-18"/>
          <w:sz w:val="15"/>
        </w:rPr>
        <w:t xml:space="preserve"> </w:t>
      </w:r>
      <w:r>
        <w:rPr>
          <w:color w:val="231F20"/>
          <w:sz w:val="15"/>
        </w:rPr>
        <w:t>úrazů</w:t>
      </w:r>
      <w:r>
        <w:rPr>
          <w:color w:val="231F20"/>
          <w:spacing w:val="-18"/>
          <w:sz w:val="15"/>
        </w:rPr>
        <w:t xml:space="preserve"> </w:t>
      </w:r>
      <w:r>
        <w:rPr>
          <w:color w:val="231F20"/>
          <w:sz w:val="15"/>
        </w:rPr>
        <w:t>osob</w:t>
      </w:r>
      <w:r>
        <w:rPr>
          <w:color w:val="231F20"/>
          <w:spacing w:val="-18"/>
          <w:sz w:val="15"/>
        </w:rPr>
        <w:t xml:space="preserve"> </w:t>
      </w:r>
      <w:r>
        <w:rPr>
          <w:color w:val="231F20"/>
          <w:sz w:val="15"/>
        </w:rPr>
        <w:t>dopravovaných</w:t>
      </w:r>
      <w:r>
        <w:rPr>
          <w:color w:val="231F20"/>
          <w:spacing w:val="-18"/>
          <w:sz w:val="15"/>
        </w:rPr>
        <w:t xml:space="preserve"> </w:t>
      </w:r>
      <w:r>
        <w:rPr>
          <w:color w:val="231F20"/>
          <w:sz w:val="15"/>
        </w:rPr>
        <w:t>v</w:t>
      </w:r>
      <w:r>
        <w:rPr>
          <w:color w:val="231F20"/>
          <w:spacing w:val="-18"/>
          <w:sz w:val="15"/>
        </w:rPr>
        <w:t xml:space="preserve"> </w:t>
      </w:r>
      <w:r>
        <w:rPr>
          <w:color w:val="231F20"/>
          <w:sz w:val="15"/>
        </w:rPr>
        <w:t>nákladních</w:t>
      </w:r>
      <w:r>
        <w:rPr>
          <w:color w:val="231F20"/>
          <w:spacing w:val="-18"/>
          <w:sz w:val="15"/>
        </w:rPr>
        <w:t xml:space="preserve"> </w:t>
      </w:r>
      <w:r>
        <w:rPr>
          <w:color w:val="231F20"/>
          <w:sz w:val="15"/>
        </w:rPr>
        <w:t>automobilech</w:t>
      </w:r>
      <w:r>
        <w:rPr>
          <w:color w:val="231F20"/>
          <w:spacing w:val="-18"/>
          <w:sz w:val="15"/>
        </w:rPr>
        <w:t xml:space="preserve"> </w:t>
      </w:r>
      <w:r>
        <w:rPr>
          <w:color w:val="231F20"/>
          <w:sz w:val="15"/>
        </w:rPr>
        <w:t>v</w:t>
      </w:r>
      <w:r>
        <w:rPr>
          <w:color w:val="231F20"/>
          <w:spacing w:val="-18"/>
          <w:sz w:val="15"/>
        </w:rPr>
        <w:t xml:space="preserve"> </w:t>
      </w:r>
      <w:r>
        <w:rPr>
          <w:color w:val="231F20"/>
          <w:spacing w:val="-3"/>
          <w:sz w:val="15"/>
        </w:rPr>
        <w:t xml:space="preserve">prostoru </w:t>
      </w:r>
      <w:r>
        <w:rPr>
          <w:color w:val="231F20"/>
          <w:sz w:val="15"/>
        </w:rPr>
        <w:t>pro náklad, i když tento byl pro dopravu osob</w:t>
      </w:r>
      <w:r>
        <w:rPr>
          <w:color w:val="231F20"/>
          <w:spacing w:val="-19"/>
          <w:sz w:val="15"/>
        </w:rPr>
        <w:t xml:space="preserve"> </w:t>
      </w:r>
      <w:r>
        <w:rPr>
          <w:color w:val="231F20"/>
          <w:sz w:val="15"/>
        </w:rPr>
        <w:t>upraven.</w:t>
      </w:r>
    </w:p>
    <w:p w14:paraId="3C977883" w14:textId="77777777" w:rsidR="00F65BCA" w:rsidRDefault="00F65BCA">
      <w:pPr>
        <w:pStyle w:val="Zkladntext"/>
        <w:spacing w:before="10"/>
        <w:rPr>
          <w:sz w:val="20"/>
        </w:rPr>
      </w:pPr>
    </w:p>
    <w:p w14:paraId="19F70E7C" w14:textId="77777777" w:rsidR="00F65BCA" w:rsidRDefault="00216117">
      <w:pPr>
        <w:ind w:left="428"/>
        <w:jc w:val="both"/>
        <w:rPr>
          <w:sz w:val="15"/>
        </w:rPr>
      </w:pPr>
      <w:r>
        <w:rPr>
          <w:color w:val="FFFFFF"/>
          <w:position w:val="3"/>
          <w:sz w:val="16"/>
          <w:shd w:val="clear" w:color="auto" w:fill="808285"/>
        </w:rPr>
        <w:t xml:space="preserve">  </w:t>
      </w:r>
      <w:r>
        <w:rPr>
          <w:color w:val="FFFFFF"/>
          <w:w w:val="105"/>
          <w:position w:val="3"/>
          <w:sz w:val="16"/>
          <w:shd w:val="clear" w:color="auto" w:fill="808285"/>
        </w:rPr>
        <w:t>Článek 78</w:t>
      </w:r>
      <w:r>
        <w:rPr>
          <w:color w:val="FFFFFF"/>
          <w:w w:val="105"/>
          <w:position w:val="3"/>
          <w:sz w:val="16"/>
        </w:rPr>
        <w:t xml:space="preserve"> </w:t>
      </w:r>
      <w:r>
        <w:rPr>
          <w:color w:val="231F20"/>
          <w:w w:val="105"/>
          <w:sz w:val="15"/>
        </w:rPr>
        <w:t>Snížení pojistného plnění</w:t>
      </w:r>
    </w:p>
    <w:p w14:paraId="35F37D2B" w14:textId="77777777" w:rsidR="00F65BCA" w:rsidRDefault="00216117">
      <w:pPr>
        <w:pStyle w:val="Zkladntext"/>
        <w:spacing w:before="147"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1</w:t>
      </w:r>
      <w:r>
        <w:rPr>
          <w:color w:val="231F20"/>
          <w:spacing w:val="28"/>
          <w:position w:val="1"/>
          <w:sz w:val="14"/>
        </w:rPr>
        <w:t xml:space="preserve"> </w:t>
      </w:r>
      <w:r>
        <w:rPr>
          <w:color w:val="231F20"/>
        </w:rPr>
        <w:t>Dojde-li</w:t>
      </w:r>
      <w:r>
        <w:rPr>
          <w:color w:val="231F20"/>
          <w:spacing w:val="-16"/>
        </w:rPr>
        <w:t xml:space="preserve"> </w:t>
      </w:r>
      <w:r>
        <w:rPr>
          <w:color w:val="231F20"/>
        </w:rPr>
        <w:t>k</w:t>
      </w:r>
      <w:r>
        <w:rPr>
          <w:color w:val="231F20"/>
          <w:spacing w:val="-17"/>
        </w:rPr>
        <w:t xml:space="preserve"> </w:t>
      </w:r>
      <w:r>
        <w:rPr>
          <w:color w:val="231F20"/>
        </w:rPr>
        <w:t>pojistné</w:t>
      </w:r>
      <w:r>
        <w:rPr>
          <w:color w:val="231F20"/>
          <w:spacing w:val="-17"/>
        </w:rPr>
        <w:t xml:space="preserve"> </w:t>
      </w:r>
      <w:r>
        <w:rPr>
          <w:color w:val="231F20"/>
        </w:rPr>
        <w:t>události,</w:t>
      </w:r>
      <w:r>
        <w:rPr>
          <w:color w:val="231F20"/>
          <w:spacing w:val="-16"/>
        </w:rPr>
        <w:t xml:space="preserve"> </w:t>
      </w:r>
      <w:r>
        <w:rPr>
          <w:color w:val="231F20"/>
        </w:rPr>
        <w:t>která</w:t>
      </w:r>
      <w:r>
        <w:rPr>
          <w:color w:val="231F20"/>
          <w:spacing w:val="-17"/>
        </w:rPr>
        <w:t xml:space="preserve"> </w:t>
      </w:r>
      <w:r>
        <w:rPr>
          <w:color w:val="231F20"/>
        </w:rPr>
        <w:t>nebude</w:t>
      </w:r>
      <w:r>
        <w:rPr>
          <w:color w:val="231F20"/>
          <w:spacing w:val="-17"/>
        </w:rPr>
        <w:t xml:space="preserve"> </w:t>
      </w:r>
      <w:r>
        <w:rPr>
          <w:color w:val="231F20"/>
        </w:rPr>
        <w:t>doložena</w:t>
      </w:r>
      <w:r>
        <w:rPr>
          <w:color w:val="231F20"/>
          <w:spacing w:val="-16"/>
        </w:rPr>
        <w:t xml:space="preserve"> </w:t>
      </w:r>
      <w:r>
        <w:rPr>
          <w:color w:val="231F20"/>
        </w:rPr>
        <w:t>protokolem</w:t>
      </w:r>
      <w:r>
        <w:rPr>
          <w:color w:val="231F20"/>
          <w:spacing w:val="-17"/>
        </w:rPr>
        <w:t xml:space="preserve"> </w:t>
      </w:r>
      <w:r>
        <w:rPr>
          <w:color w:val="231F20"/>
        </w:rPr>
        <w:t>policie,</w:t>
      </w:r>
      <w:r>
        <w:rPr>
          <w:color w:val="231F20"/>
          <w:spacing w:val="-17"/>
        </w:rPr>
        <w:t xml:space="preserve"> </w:t>
      </w:r>
      <w:r>
        <w:rPr>
          <w:color w:val="231F20"/>
        </w:rPr>
        <w:t>je</w:t>
      </w:r>
      <w:r>
        <w:rPr>
          <w:color w:val="231F20"/>
          <w:spacing w:val="-16"/>
        </w:rPr>
        <w:t xml:space="preserve"> </w:t>
      </w:r>
      <w:r>
        <w:rPr>
          <w:color w:val="231F20"/>
          <w:spacing w:val="-3"/>
        </w:rPr>
        <w:t xml:space="preserve">vlast- </w:t>
      </w:r>
      <w:r>
        <w:rPr>
          <w:color w:val="231F20"/>
        </w:rPr>
        <w:t xml:space="preserve">ník vozidla povinen osobě, která uplatňuje nárok na pojistné plnění z </w:t>
      </w:r>
      <w:r>
        <w:rPr>
          <w:color w:val="231F20"/>
          <w:spacing w:val="-3"/>
        </w:rPr>
        <w:t xml:space="preserve">tohoto </w:t>
      </w:r>
      <w:r>
        <w:rPr>
          <w:color w:val="231F20"/>
        </w:rPr>
        <w:t>pojištění</w:t>
      </w:r>
      <w:r>
        <w:rPr>
          <w:color w:val="231F20"/>
          <w:spacing w:val="-20"/>
        </w:rPr>
        <w:t xml:space="preserve"> </w:t>
      </w:r>
      <w:r>
        <w:rPr>
          <w:color w:val="231F20"/>
        </w:rPr>
        <w:t>potvrdit</w:t>
      </w:r>
      <w:r>
        <w:rPr>
          <w:color w:val="231F20"/>
          <w:spacing w:val="-20"/>
        </w:rPr>
        <w:t xml:space="preserve"> </w:t>
      </w:r>
      <w:r>
        <w:rPr>
          <w:color w:val="231F20"/>
        </w:rPr>
        <w:t>na</w:t>
      </w:r>
      <w:r>
        <w:rPr>
          <w:color w:val="231F20"/>
          <w:spacing w:val="-19"/>
        </w:rPr>
        <w:t xml:space="preserve"> </w:t>
      </w:r>
      <w:r>
        <w:rPr>
          <w:color w:val="231F20"/>
        </w:rPr>
        <w:t>tiskopise</w:t>
      </w:r>
      <w:r>
        <w:rPr>
          <w:color w:val="231F20"/>
          <w:spacing w:val="-20"/>
        </w:rPr>
        <w:t xml:space="preserve"> </w:t>
      </w:r>
      <w:r>
        <w:rPr>
          <w:color w:val="231F20"/>
        </w:rPr>
        <w:t>Pojišťovny,</w:t>
      </w:r>
      <w:r>
        <w:rPr>
          <w:color w:val="231F20"/>
          <w:spacing w:val="-19"/>
        </w:rPr>
        <w:t xml:space="preserve"> </w:t>
      </w:r>
      <w:r>
        <w:rPr>
          <w:color w:val="231F20"/>
        </w:rPr>
        <w:t>že</w:t>
      </w:r>
      <w:r>
        <w:rPr>
          <w:color w:val="231F20"/>
          <w:spacing w:val="-20"/>
        </w:rPr>
        <w:t xml:space="preserve"> </w:t>
      </w:r>
      <w:r>
        <w:rPr>
          <w:color w:val="231F20"/>
        </w:rPr>
        <w:t>k</w:t>
      </w:r>
      <w:r>
        <w:rPr>
          <w:color w:val="231F20"/>
          <w:spacing w:val="-20"/>
        </w:rPr>
        <w:t xml:space="preserve"> </w:t>
      </w:r>
      <w:r>
        <w:rPr>
          <w:color w:val="231F20"/>
        </w:rPr>
        <w:t>pojistné</w:t>
      </w:r>
      <w:r>
        <w:rPr>
          <w:color w:val="231F20"/>
          <w:spacing w:val="-19"/>
        </w:rPr>
        <w:t xml:space="preserve"> </w:t>
      </w:r>
      <w:r>
        <w:rPr>
          <w:color w:val="231F20"/>
        </w:rPr>
        <w:t>události</w:t>
      </w:r>
      <w:r>
        <w:rPr>
          <w:color w:val="231F20"/>
          <w:spacing w:val="-20"/>
        </w:rPr>
        <w:t xml:space="preserve"> </w:t>
      </w:r>
      <w:r>
        <w:rPr>
          <w:color w:val="231F20"/>
        </w:rPr>
        <w:t>došlo</w:t>
      </w:r>
      <w:r>
        <w:rPr>
          <w:color w:val="231F20"/>
          <w:spacing w:val="-19"/>
        </w:rPr>
        <w:t xml:space="preserve"> </w:t>
      </w:r>
      <w:r>
        <w:rPr>
          <w:color w:val="231F20"/>
        </w:rPr>
        <w:t>při</w:t>
      </w:r>
      <w:r>
        <w:rPr>
          <w:color w:val="231F20"/>
          <w:spacing w:val="-20"/>
        </w:rPr>
        <w:t xml:space="preserve"> </w:t>
      </w:r>
      <w:r>
        <w:rPr>
          <w:color w:val="231F20"/>
          <w:spacing w:val="-4"/>
        </w:rPr>
        <w:t xml:space="preserve">provo- </w:t>
      </w:r>
      <w:r>
        <w:rPr>
          <w:color w:val="231F20"/>
        </w:rPr>
        <w:t>zu vozidla ve smyslu článku 75 těchto</w:t>
      </w:r>
      <w:r>
        <w:rPr>
          <w:color w:val="231F20"/>
          <w:spacing w:val="-12"/>
        </w:rPr>
        <w:t xml:space="preserve"> </w:t>
      </w:r>
      <w:r>
        <w:rPr>
          <w:color w:val="231F20"/>
          <w:spacing w:val="-6"/>
        </w:rPr>
        <w:t>VPP.</w:t>
      </w:r>
    </w:p>
    <w:p w14:paraId="5915B775"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2</w:t>
      </w:r>
      <w:r>
        <w:rPr>
          <w:color w:val="231F20"/>
          <w:spacing w:val="26"/>
          <w:position w:val="1"/>
          <w:sz w:val="14"/>
        </w:rPr>
        <w:t xml:space="preserve"> </w:t>
      </w:r>
      <w:r>
        <w:rPr>
          <w:color w:val="231F20"/>
        </w:rPr>
        <w:t>Jestliže</w:t>
      </w:r>
      <w:r>
        <w:rPr>
          <w:color w:val="231F20"/>
          <w:spacing w:val="-9"/>
        </w:rPr>
        <w:t xml:space="preserve"> </w:t>
      </w:r>
      <w:r>
        <w:rPr>
          <w:color w:val="231F20"/>
        </w:rPr>
        <w:t>pojištěné</w:t>
      </w:r>
      <w:r>
        <w:rPr>
          <w:color w:val="231F20"/>
          <w:spacing w:val="-8"/>
        </w:rPr>
        <w:t xml:space="preserve"> </w:t>
      </w:r>
      <w:r>
        <w:rPr>
          <w:color w:val="231F20"/>
        </w:rPr>
        <w:t>vozidlo</w:t>
      </w:r>
      <w:r>
        <w:rPr>
          <w:color w:val="231F20"/>
          <w:spacing w:val="-8"/>
        </w:rPr>
        <w:t xml:space="preserve"> </w:t>
      </w:r>
      <w:r>
        <w:rPr>
          <w:color w:val="231F20"/>
        </w:rPr>
        <w:t>použilo</w:t>
      </w:r>
      <w:r>
        <w:rPr>
          <w:color w:val="231F20"/>
          <w:spacing w:val="-8"/>
        </w:rPr>
        <w:t xml:space="preserve"> </w:t>
      </w:r>
      <w:r>
        <w:rPr>
          <w:color w:val="231F20"/>
        </w:rPr>
        <w:t>více</w:t>
      </w:r>
      <w:r>
        <w:rPr>
          <w:color w:val="231F20"/>
          <w:spacing w:val="-8"/>
        </w:rPr>
        <w:t xml:space="preserve"> </w:t>
      </w:r>
      <w:r>
        <w:rPr>
          <w:color w:val="231F20"/>
        </w:rPr>
        <w:t>osob,</w:t>
      </w:r>
      <w:r>
        <w:rPr>
          <w:color w:val="231F20"/>
          <w:spacing w:val="-8"/>
        </w:rPr>
        <w:t xml:space="preserve"> </w:t>
      </w:r>
      <w:r>
        <w:rPr>
          <w:color w:val="231F20"/>
        </w:rPr>
        <w:t>než</w:t>
      </w:r>
      <w:r>
        <w:rPr>
          <w:color w:val="231F20"/>
          <w:spacing w:val="-8"/>
        </w:rPr>
        <w:t xml:space="preserve"> </w:t>
      </w:r>
      <w:r>
        <w:rPr>
          <w:color w:val="231F20"/>
        </w:rPr>
        <w:t>je</w:t>
      </w:r>
      <w:r>
        <w:rPr>
          <w:color w:val="231F20"/>
          <w:spacing w:val="-9"/>
        </w:rPr>
        <w:t xml:space="preserve"> </w:t>
      </w:r>
      <w:r>
        <w:rPr>
          <w:color w:val="231F20"/>
        </w:rPr>
        <w:t>maximální</w:t>
      </w:r>
      <w:r>
        <w:rPr>
          <w:color w:val="231F20"/>
          <w:spacing w:val="-8"/>
        </w:rPr>
        <w:t xml:space="preserve"> </w:t>
      </w:r>
      <w:r>
        <w:rPr>
          <w:color w:val="231F20"/>
        </w:rPr>
        <w:t>počet</w:t>
      </w:r>
      <w:r>
        <w:rPr>
          <w:color w:val="231F20"/>
          <w:spacing w:val="-8"/>
        </w:rPr>
        <w:t xml:space="preserve"> </w:t>
      </w:r>
      <w:r>
        <w:rPr>
          <w:color w:val="231F20"/>
        </w:rPr>
        <w:t>dopravo- vaných</w:t>
      </w:r>
      <w:r>
        <w:rPr>
          <w:color w:val="231F20"/>
          <w:spacing w:val="-8"/>
        </w:rPr>
        <w:t xml:space="preserve"> </w:t>
      </w:r>
      <w:r>
        <w:rPr>
          <w:color w:val="231F20"/>
        </w:rPr>
        <w:t>osob</w:t>
      </w:r>
      <w:r>
        <w:rPr>
          <w:color w:val="231F20"/>
          <w:spacing w:val="-8"/>
        </w:rPr>
        <w:t xml:space="preserve"> </w:t>
      </w:r>
      <w:r>
        <w:rPr>
          <w:color w:val="231F20"/>
        </w:rPr>
        <w:t>uvedený</w:t>
      </w:r>
      <w:r>
        <w:rPr>
          <w:color w:val="231F20"/>
          <w:spacing w:val="-7"/>
        </w:rPr>
        <w:t xml:space="preserve"> </w:t>
      </w:r>
      <w:r>
        <w:rPr>
          <w:color w:val="231F20"/>
        </w:rPr>
        <w:t>v</w:t>
      </w:r>
      <w:r>
        <w:rPr>
          <w:color w:val="231F20"/>
          <w:spacing w:val="-8"/>
        </w:rPr>
        <w:t xml:space="preserve"> </w:t>
      </w:r>
      <w:r>
        <w:rPr>
          <w:color w:val="231F20"/>
        </w:rPr>
        <w:t>technickém</w:t>
      </w:r>
      <w:r>
        <w:rPr>
          <w:color w:val="231F20"/>
          <w:spacing w:val="-7"/>
        </w:rPr>
        <w:t xml:space="preserve"> </w:t>
      </w:r>
      <w:r>
        <w:rPr>
          <w:color w:val="231F20"/>
        </w:rPr>
        <w:t>průkazu</w:t>
      </w:r>
      <w:r>
        <w:rPr>
          <w:color w:val="231F20"/>
          <w:spacing w:val="-8"/>
        </w:rPr>
        <w:t xml:space="preserve"> </w:t>
      </w:r>
      <w:r>
        <w:rPr>
          <w:color w:val="231F20"/>
        </w:rPr>
        <w:t>nebo</w:t>
      </w:r>
      <w:r>
        <w:rPr>
          <w:color w:val="231F20"/>
          <w:spacing w:val="-8"/>
        </w:rPr>
        <w:t xml:space="preserve"> </w:t>
      </w:r>
      <w:r>
        <w:rPr>
          <w:color w:val="231F20"/>
        </w:rPr>
        <w:t>osvědčení</w:t>
      </w:r>
      <w:r>
        <w:rPr>
          <w:color w:val="231F20"/>
          <w:spacing w:val="-7"/>
        </w:rPr>
        <w:t xml:space="preserve"> </w:t>
      </w:r>
      <w:r>
        <w:rPr>
          <w:color w:val="231F20"/>
        </w:rPr>
        <w:t>o</w:t>
      </w:r>
      <w:r>
        <w:rPr>
          <w:color w:val="231F20"/>
          <w:spacing w:val="-8"/>
        </w:rPr>
        <w:t xml:space="preserve"> </w:t>
      </w:r>
      <w:r>
        <w:rPr>
          <w:color w:val="231F20"/>
        </w:rPr>
        <w:t>registraci</w:t>
      </w:r>
      <w:r>
        <w:rPr>
          <w:color w:val="231F20"/>
          <w:spacing w:val="-7"/>
        </w:rPr>
        <w:t xml:space="preserve"> </w:t>
      </w:r>
      <w:r>
        <w:rPr>
          <w:color w:val="231F20"/>
          <w:spacing w:val="-6"/>
        </w:rPr>
        <w:t xml:space="preserve">vo- </w:t>
      </w:r>
      <w:r>
        <w:rPr>
          <w:color w:val="231F20"/>
        </w:rPr>
        <w:t>zidla,</w:t>
      </w:r>
      <w:r>
        <w:rPr>
          <w:color w:val="231F20"/>
          <w:spacing w:val="-15"/>
        </w:rPr>
        <w:t xml:space="preserve"> </w:t>
      </w:r>
      <w:r>
        <w:rPr>
          <w:color w:val="231F20"/>
        </w:rPr>
        <w:t>snižuje</w:t>
      </w:r>
      <w:r>
        <w:rPr>
          <w:color w:val="231F20"/>
          <w:spacing w:val="-14"/>
        </w:rPr>
        <w:t xml:space="preserve"> </w:t>
      </w:r>
      <w:r>
        <w:rPr>
          <w:color w:val="231F20"/>
        </w:rPr>
        <w:t>se</w:t>
      </w:r>
      <w:r>
        <w:rPr>
          <w:color w:val="231F20"/>
          <w:spacing w:val="-14"/>
        </w:rPr>
        <w:t xml:space="preserve"> </w:t>
      </w:r>
      <w:r>
        <w:rPr>
          <w:color w:val="231F20"/>
        </w:rPr>
        <w:t>pojistné</w:t>
      </w:r>
      <w:r>
        <w:rPr>
          <w:color w:val="231F20"/>
          <w:spacing w:val="-14"/>
        </w:rPr>
        <w:t xml:space="preserve"> </w:t>
      </w:r>
      <w:r>
        <w:rPr>
          <w:color w:val="231F20"/>
        </w:rPr>
        <w:t>plnění</w:t>
      </w:r>
      <w:r>
        <w:rPr>
          <w:color w:val="231F20"/>
          <w:spacing w:val="-14"/>
        </w:rPr>
        <w:t xml:space="preserve"> </w:t>
      </w:r>
      <w:r>
        <w:rPr>
          <w:color w:val="231F20"/>
        </w:rPr>
        <w:t>pro</w:t>
      </w:r>
      <w:r>
        <w:rPr>
          <w:color w:val="231F20"/>
          <w:spacing w:val="-14"/>
        </w:rPr>
        <w:t xml:space="preserve"> </w:t>
      </w:r>
      <w:r>
        <w:rPr>
          <w:color w:val="231F20"/>
        </w:rPr>
        <w:t>každou</w:t>
      </w:r>
      <w:r>
        <w:rPr>
          <w:color w:val="231F20"/>
          <w:spacing w:val="-14"/>
        </w:rPr>
        <w:t xml:space="preserve"> </w:t>
      </w:r>
      <w:r>
        <w:rPr>
          <w:color w:val="231F20"/>
        </w:rPr>
        <w:t>jednotlivou</w:t>
      </w:r>
      <w:r>
        <w:rPr>
          <w:color w:val="231F20"/>
          <w:spacing w:val="-14"/>
        </w:rPr>
        <w:t xml:space="preserve"> </w:t>
      </w:r>
      <w:r>
        <w:rPr>
          <w:color w:val="231F20"/>
        </w:rPr>
        <w:t>osobu</w:t>
      </w:r>
      <w:r>
        <w:rPr>
          <w:color w:val="231F20"/>
          <w:spacing w:val="-14"/>
        </w:rPr>
        <w:t xml:space="preserve"> </w:t>
      </w:r>
      <w:r>
        <w:rPr>
          <w:color w:val="231F20"/>
        </w:rPr>
        <w:t>v</w:t>
      </w:r>
      <w:r>
        <w:rPr>
          <w:color w:val="231F20"/>
          <w:spacing w:val="-14"/>
        </w:rPr>
        <w:t xml:space="preserve"> </w:t>
      </w:r>
      <w:r>
        <w:rPr>
          <w:color w:val="231F20"/>
        </w:rPr>
        <w:t>poměru</w:t>
      </w:r>
      <w:r>
        <w:rPr>
          <w:color w:val="231F20"/>
          <w:spacing w:val="-14"/>
        </w:rPr>
        <w:t xml:space="preserve"> </w:t>
      </w:r>
      <w:r>
        <w:rPr>
          <w:color w:val="231F20"/>
        </w:rPr>
        <w:t>počtu dopravovaných</w:t>
      </w:r>
      <w:r>
        <w:rPr>
          <w:color w:val="231F20"/>
          <w:spacing w:val="-22"/>
        </w:rPr>
        <w:t xml:space="preserve"> </w:t>
      </w:r>
      <w:r>
        <w:rPr>
          <w:color w:val="231F20"/>
        </w:rPr>
        <w:t>osob</w:t>
      </w:r>
      <w:r>
        <w:rPr>
          <w:color w:val="231F20"/>
          <w:spacing w:val="-21"/>
        </w:rPr>
        <w:t xml:space="preserve"> </w:t>
      </w:r>
      <w:r>
        <w:rPr>
          <w:color w:val="231F20"/>
        </w:rPr>
        <w:t>uvedených</w:t>
      </w:r>
      <w:r>
        <w:rPr>
          <w:color w:val="231F20"/>
          <w:spacing w:val="-21"/>
        </w:rPr>
        <w:t xml:space="preserve"> </w:t>
      </w:r>
      <w:r>
        <w:rPr>
          <w:color w:val="231F20"/>
        </w:rPr>
        <w:t>v</w:t>
      </w:r>
      <w:r>
        <w:rPr>
          <w:color w:val="231F20"/>
          <w:spacing w:val="-21"/>
        </w:rPr>
        <w:t xml:space="preserve"> </w:t>
      </w:r>
      <w:r>
        <w:rPr>
          <w:color w:val="231F20"/>
        </w:rPr>
        <w:t>okamžiku</w:t>
      </w:r>
      <w:r>
        <w:rPr>
          <w:color w:val="231F20"/>
          <w:spacing w:val="-21"/>
        </w:rPr>
        <w:t xml:space="preserve"> </w:t>
      </w:r>
      <w:r>
        <w:rPr>
          <w:color w:val="231F20"/>
        </w:rPr>
        <w:t>přijetí</w:t>
      </w:r>
      <w:r>
        <w:rPr>
          <w:color w:val="231F20"/>
          <w:spacing w:val="-21"/>
        </w:rPr>
        <w:t xml:space="preserve"> </w:t>
      </w:r>
      <w:r>
        <w:rPr>
          <w:color w:val="231F20"/>
        </w:rPr>
        <w:t>vozidla</w:t>
      </w:r>
      <w:r>
        <w:rPr>
          <w:color w:val="231F20"/>
          <w:spacing w:val="-21"/>
        </w:rPr>
        <w:t xml:space="preserve"> </w:t>
      </w:r>
      <w:r>
        <w:rPr>
          <w:color w:val="231F20"/>
        </w:rPr>
        <w:t>do</w:t>
      </w:r>
      <w:r>
        <w:rPr>
          <w:color w:val="231F20"/>
          <w:spacing w:val="-21"/>
        </w:rPr>
        <w:t xml:space="preserve"> </w:t>
      </w:r>
      <w:r>
        <w:rPr>
          <w:color w:val="231F20"/>
        </w:rPr>
        <w:t>pojištění</w:t>
      </w:r>
      <w:r>
        <w:rPr>
          <w:color w:val="231F20"/>
          <w:spacing w:val="-21"/>
        </w:rPr>
        <w:t xml:space="preserve"> </w:t>
      </w:r>
      <w:r>
        <w:rPr>
          <w:color w:val="231F20"/>
        </w:rPr>
        <w:t>k</w:t>
      </w:r>
      <w:r>
        <w:rPr>
          <w:color w:val="231F20"/>
          <w:spacing w:val="-21"/>
        </w:rPr>
        <w:t xml:space="preserve"> </w:t>
      </w:r>
      <w:r>
        <w:rPr>
          <w:color w:val="231F20"/>
        </w:rPr>
        <w:t>počtu osob vozidlem</w:t>
      </w:r>
      <w:r>
        <w:rPr>
          <w:color w:val="231F20"/>
          <w:spacing w:val="-2"/>
        </w:rPr>
        <w:t xml:space="preserve"> </w:t>
      </w:r>
      <w:r>
        <w:rPr>
          <w:color w:val="231F20"/>
        </w:rPr>
        <w:t>dopravovaných.</w:t>
      </w:r>
    </w:p>
    <w:p w14:paraId="312BDF5E" w14:textId="77777777" w:rsidR="00F65BCA" w:rsidRDefault="00216117">
      <w:pPr>
        <w:pStyle w:val="Zkladntext"/>
        <w:spacing w:line="172" w:lineRule="exact"/>
        <w:ind w:left="428"/>
        <w:jc w:val="both"/>
      </w:pPr>
      <w:r>
        <w:rPr>
          <w:color w:val="231F20"/>
          <w:position w:val="1"/>
          <w:sz w:val="14"/>
          <w:shd w:val="clear" w:color="auto" w:fill="D1D3D4"/>
        </w:rPr>
        <w:t xml:space="preserve">  3</w:t>
      </w:r>
      <w:r>
        <w:rPr>
          <w:color w:val="231F20"/>
          <w:position w:val="1"/>
          <w:sz w:val="14"/>
        </w:rPr>
        <w:t xml:space="preserve"> </w:t>
      </w:r>
      <w:r>
        <w:rPr>
          <w:color w:val="231F20"/>
        </w:rPr>
        <w:t>Pojišťovna je oprávněna snížit pojistné plnění o 50 % v případě, že:</w:t>
      </w:r>
    </w:p>
    <w:p w14:paraId="7B24E725" w14:textId="77777777" w:rsidR="00F65BCA" w:rsidRDefault="00216117">
      <w:pPr>
        <w:pStyle w:val="Odstavecseseznamem"/>
        <w:numPr>
          <w:ilvl w:val="0"/>
          <w:numId w:val="84"/>
        </w:numPr>
        <w:tabs>
          <w:tab w:val="left" w:pos="881"/>
        </w:tabs>
        <w:spacing w:before="27" w:line="278" w:lineRule="auto"/>
        <w:jc w:val="both"/>
        <w:rPr>
          <w:sz w:val="15"/>
        </w:rPr>
      </w:pPr>
      <w:r>
        <w:rPr>
          <w:color w:val="231F20"/>
          <w:sz w:val="15"/>
        </w:rPr>
        <w:t>vozidlo</w:t>
      </w:r>
      <w:r>
        <w:rPr>
          <w:color w:val="231F20"/>
          <w:spacing w:val="-17"/>
          <w:sz w:val="15"/>
        </w:rPr>
        <w:t xml:space="preserve"> </w:t>
      </w:r>
      <w:r>
        <w:rPr>
          <w:color w:val="231F20"/>
          <w:sz w:val="15"/>
        </w:rPr>
        <w:t>nebylo</w:t>
      </w:r>
      <w:r>
        <w:rPr>
          <w:color w:val="231F20"/>
          <w:spacing w:val="-17"/>
          <w:sz w:val="15"/>
        </w:rPr>
        <w:t xml:space="preserve"> </w:t>
      </w:r>
      <w:r>
        <w:rPr>
          <w:color w:val="231F20"/>
          <w:sz w:val="15"/>
        </w:rPr>
        <w:t>vybaveno</w:t>
      </w:r>
      <w:r>
        <w:rPr>
          <w:color w:val="231F20"/>
          <w:spacing w:val="-17"/>
          <w:sz w:val="15"/>
        </w:rPr>
        <w:t xml:space="preserve"> </w:t>
      </w:r>
      <w:r>
        <w:rPr>
          <w:color w:val="231F20"/>
          <w:sz w:val="15"/>
        </w:rPr>
        <w:t>bezpečnostním</w:t>
      </w:r>
      <w:r>
        <w:rPr>
          <w:color w:val="231F20"/>
          <w:spacing w:val="-17"/>
          <w:sz w:val="15"/>
        </w:rPr>
        <w:t xml:space="preserve"> </w:t>
      </w:r>
      <w:r>
        <w:rPr>
          <w:color w:val="231F20"/>
          <w:sz w:val="15"/>
        </w:rPr>
        <w:t>pásem</w:t>
      </w:r>
      <w:r>
        <w:rPr>
          <w:color w:val="231F20"/>
          <w:spacing w:val="-17"/>
          <w:sz w:val="15"/>
        </w:rPr>
        <w:t xml:space="preserve"> </w:t>
      </w:r>
      <w:r>
        <w:rPr>
          <w:color w:val="231F20"/>
          <w:sz w:val="15"/>
        </w:rPr>
        <w:t>nebo</w:t>
      </w:r>
      <w:r>
        <w:rPr>
          <w:color w:val="231F20"/>
          <w:spacing w:val="-17"/>
          <w:sz w:val="15"/>
        </w:rPr>
        <w:t xml:space="preserve"> </w:t>
      </w:r>
      <w:r>
        <w:rPr>
          <w:color w:val="231F20"/>
          <w:sz w:val="15"/>
        </w:rPr>
        <w:t>jiným</w:t>
      </w:r>
      <w:r>
        <w:rPr>
          <w:color w:val="231F20"/>
          <w:spacing w:val="-17"/>
          <w:sz w:val="15"/>
        </w:rPr>
        <w:t xml:space="preserve"> </w:t>
      </w:r>
      <w:r>
        <w:rPr>
          <w:color w:val="231F20"/>
          <w:sz w:val="15"/>
        </w:rPr>
        <w:t>zádržným</w:t>
      </w:r>
      <w:r>
        <w:rPr>
          <w:color w:val="231F20"/>
          <w:spacing w:val="-17"/>
          <w:sz w:val="15"/>
        </w:rPr>
        <w:t xml:space="preserve"> </w:t>
      </w:r>
      <w:r>
        <w:rPr>
          <w:color w:val="231F20"/>
          <w:spacing w:val="-4"/>
          <w:sz w:val="15"/>
        </w:rPr>
        <w:t xml:space="preserve">sys- </w:t>
      </w:r>
      <w:r>
        <w:rPr>
          <w:color w:val="231F20"/>
          <w:sz w:val="15"/>
        </w:rPr>
        <w:t>témem v rozporu s příslušnými</w:t>
      </w:r>
      <w:r>
        <w:rPr>
          <w:color w:val="231F20"/>
          <w:spacing w:val="-9"/>
          <w:sz w:val="15"/>
        </w:rPr>
        <w:t xml:space="preserve"> </w:t>
      </w:r>
      <w:r>
        <w:rPr>
          <w:color w:val="231F20"/>
          <w:sz w:val="15"/>
        </w:rPr>
        <w:t>předpisy,</w:t>
      </w:r>
    </w:p>
    <w:p w14:paraId="51C47A04" w14:textId="77777777" w:rsidR="00F65BCA" w:rsidRDefault="00216117">
      <w:pPr>
        <w:pStyle w:val="Odstavecseseznamem"/>
        <w:numPr>
          <w:ilvl w:val="0"/>
          <w:numId w:val="84"/>
        </w:numPr>
        <w:tabs>
          <w:tab w:val="left" w:pos="881"/>
        </w:tabs>
        <w:spacing w:line="278" w:lineRule="auto"/>
        <w:jc w:val="both"/>
        <w:rPr>
          <w:sz w:val="15"/>
        </w:rPr>
      </w:pPr>
      <w:r>
        <w:rPr>
          <w:color w:val="231F20"/>
          <w:sz w:val="15"/>
        </w:rPr>
        <w:t>pojištěná osoba nebyla připoutána bezpečnostním pásem nebo jiným</w:t>
      </w:r>
      <w:r>
        <w:rPr>
          <w:color w:val="231F20"/>
          <w:spacing w:val="-26"/>
          <w:sz w:val="15"/>
        </w:rPr>
        <w:t xml:space="preserve"> </w:t>
      </w:r>
      <w:r>
        <w:rPr>
          <w:color w:val="231F20"/>
          <w:spacing w:val="-7"/>
          <w:sz w:val="15"/>
        </w:rPr>
        <w:t xml:space="preserve">zá- </w:t>
      </w:r>
      <w:r>
        <w:rPr>
          <w:color w:val="231F20"/>
          <w:sz w:val="15"/>
        </w:rPr>
        <w:t>držným</w:t>
      </w:r>
      <w:r>
        <w:rPr>
          <w:color w:val="231F20"/>
          <w:spacing w:val="-5"/>
          <w:sz w:val="15"/>
        </w:rPr>
        <w:t xml:space="preserve"> </w:t>
      </w:r>
      <w:r>
        <w:rPr>
          <w:color w:val="231F20"/>
          <w:sz w:val="15"/>
        </w:rPr>
        <w:t>systémem,</w:t>
      </w:r>
      <w:r>
        <w:rPr>
          <w:color w:val="231F20"/>
          <w:spacing w:val="-5"/>
          <w:sz w:val="15"/>
        </w:rPr>
        <w:t xml:space="preserve"> </w:t>
      </w:r>
      <w:r>
        <w:rPr>
          <w:color w:val="231F20"/>
          <w:sz w:val="15"/>
        </w:rPr>
        <w:t>ač</w:t>
      </w:r>
      <w:r>
        <w:rPr>
          <w:color w:val="231F20"/>
          <w:spacing w:val="-4"/>
          <w:sz w:val="15"/>
        </w:rPr>
        <w:t xml:space="preserve"> </w:t>
      </w:r>
      <w:r>
        <w:rPr>
          <w:color w:val="231F20"/>
          <w:sz w:val="15"/>
        </w:rPr>
        <w:t>tímto</w:t>
      </w:r>
      <w:r>
        <w:rPr>
          <w:color w:val="231F20"/>
          <w:spacing w:val="-5"/>
          <w:sz w:val="15"/>
        </w:rPr>
        <w:t xml:space="preserve"> </w:t>
      </w:r>
      <w:r>
        <w:rPr>
          <w:color w:val="231F20"/>
          <w:sz w:val="15"/>
        </w:rPr>
        <w:t>bezpečnostním</w:t>
      </w:r>
      <w:r>
        <w:rPr>
          <w:color w:val="231F20"/>
          <w:spacing w:val="-5"/>
          <w:sz w:val="15"/>
        </w:rPr>
        <w:t xml:space="preserve"> </w:t>
      </w:r>
      <w:r>
        <w:rPr>
          <w:color w:val="231F20"/>
          <w:sz w:val="15"/>
        </w:rPr>
        <w:t>pásem</w:t>
      </w:r>
      <w:r>
        <w:rPr>
          <w:color w:val="231F20"/>
          <w:spacing w:val="-4"/>
          <w:sz w:val="15"/>
        </w:rPr>
        <w:t xml:space="preserve"> </w:t>
      </w:r>
      <w:r>
        <w:rPr>
          <w:color w:val="231F20"/>
          <w:sz w:val="15"/>
        </w:rPr>
        <w:t>nebo</w:t>
      </w:r>
      <w:r>
        <w:rPr>
          <w:color w:val="231F20"/>
          <w:spacing w:val="-5"/>
          <w:sz w:val="15"/>
        </w:rPr>
        <w:t xml:space="preserve"> </w:t>
      </w:r>
      <w:r>
        <w:rPr>
          <w:color w:val="231F20"/>
          <w:sz w:val="15"/>
        </w:rPr>
        <w:t>jiným</w:t>
      </w:r>
      <w:r>
        <w:rPr>
          <w:color w:val="231F20"/>
          <w:spacing w:val="-5"/>
          <w:sz w:val="15"/>
        </w:rPr>
        <w:t xml:space="preserve"> </w:t>
      </w:r>
      <w:r>
        <w:rPr>
          <w:color w:val="231F20"/>
          <w:sz w:val="15"/>
        </w:rPr>
        <w:t>zádržným systémem připoutána být</w:t>
      </w:r>
      <w:r>
        <w:rPr>
          <w:color w:val="231F20"/>
          <w:spacing w:val="-3"/>
          <w:sz w:val="15"/>
        </w:rPr>
        <w:t xml:space="preserve"> </w:t>
      </w:r>
      <w:r>
        <w:rPr>
          <w:color w:val="231F20"/>
          <w:sz w:val="15"/>
        </w:rPr>
        <w:t>měla,</w:t>
      </w:r>
    </w:p>
    <w:p w14:paraId="7989C3CA" w14:textId="77777777" w:rsidR="00F65BCA" w:rsidRDefault="00216117">
      <w:pPr>
        <w:pStyle w:val="Odstavecseseznamem"/>
        <w:numPr>
          <w:ilvl w:val="0"/>
          <w:numId w:val="84"/>
        </w:numPr>
        <w:tabs>
          <w:tab w:val="left" w:pos="881"/>
        </w:tabs>
        <w:spacing w:line="278" w:lineRule="auto"/>
        <w:jc w:val="both"/>
        <w:rPr>
          <w:sz w:val="15"/>
        </w:rPr>
      </w:pPr>
      <w:r>
        <w:rPr>
          <w:color w:val="231F20"/>
          <w:sz w:val="15"/>
        </w:rPr>
        <w:t>odepře-li pojištěný podrobit se vyšetření na přítomnost alkoholu, drog, ji- ných omamných nebo návykových látek nebo léku označeného</w:t>
      </w:r>
      <w:r>
        <w:rPr>
          <w:color w:val="231F20"/>
          <w:spacing w:val="-18"/>
          <w:sz w:val="15"/>
        </w:rPr>
        <w:t xml:space="preserve"> </w:t>
      </w:r>
      <w:r>
        <w:rPr>
          <w:color w:val="231F20"/>
          <w:spacing w:val="-3"/>
          <w:sz w:val="15"/>
        </w:rPr>
        <w:t xml:space="preserve">zákazem </w:t>
      </w:r>
      <w:r>
        <w:rPr>
          <w:color w:val="231F20"/>
          <w:sz w:val="15"/>
        </w:rPr>
        <w:t>řídit</w:t>
      </w:r>
      <w:r>
        <w:rPr>
          <w:color w:val="231F20"/>
          <w:spacing w:val="-21"/>
          <w:sz w:val="15"/>
        </w:rPr>
        <w:t xml:space="preserve"> </w:t>
      </w:r>
      <w:r>
        <w:rPr>
          <w:color w:val="231F20"/>
          <w:sz w:val="15"/>
        </w:rPr>
        <w:t>motorové</w:t>
      </w:r>
      <w:r>
        <w:rPr>
          <w:color w:val="231F20"/>
          <w:spacing w:val="-20"/>
          <w:sz w:val="15"/>
        </w:rPr>
        <w:t xml:space="preserve"> </w:t>
      </w:r>
      <w:r>
        <w:rPr>
          <w:color w:val="231F20"/>
          <w:sz w:val="15"/>
        </w:rPr>
        <w:t>vozidlo</w:t>
      </w:r>
      <w:r>
        <w:rPr>
          <w:color w:val="231F20"/>
          <w:spacing w:val="-20"/>
          <w:sz w:val="15"/>
        </w:rPr>
        <w:t xml:space="preserve"> </w:t>
      </w:r>
      <w:r>
        <w:rPr>
          <w:color w:val="231F20"/>
          <w:sz w:val="15"/>
        </w:rPr>
        <w:t>nebo</w:t>
      </w:r>
      <w:r>
        <w:rPr>
          <w:color w:val="231F20"/>
          <w:spacing w:val="-20"/>
          <w:sz w:val="15"/>
        </w:rPr>
        <w:t xml:space="preserve"> </w:t>
      </w:r>
      <w:r>
        <w:rPr>
          <w:color w:val="231F20"/>
          <w:sz w:val="15"/>
        </w:rPr>
        <w:t>provedení</w:t>
      </w:r>
      <w:r>
        <w:rPr>
          <w:color w:val="231F20"/>
          <w:spacing w:val="-20"/>
          <w:sz w:val="15"/>
        </w:rPr>
        <w:t xml:space="preserve"> </w:t>
      </w:r>
      <w:r>
        <w:rPr>
          <w:color w:val="231F20"/>
          <w:sz w:val="15"/>
        </w:rPr>
        <w:t>takového</w:t>
      </w:r>
      <w:r>
        <w:rPr>
          <w:color w:val="231F20"/>
          <w:spacing w:val="-20"/>
          <w:sz w:val="15"/>
        </w:rPr>
        <w:t xml:space="preserve"> </w:t>
      </w:r>
      <w:r>
        <w:rPr>
          <w:color w:val="231F20"/>
          <w:sz w:val="15"/>
        </w:rPr>
        <w:t>vyšetření</w:t>
      </w:r>
      <w:r>
        <w:rPr>
          <w:color w:val="231F20"/>
          <w:spacing w:val="-20"/>
          <w:sz w:val="15"/>
        </w:rPr>
        <w:t xml:space="preserve"> </w:t>
      </w:r>
      <w:r>
        <w:rPr>
          <w:color w:val="231F20"/>
          <w:sz w:val="15"/>
        </w:rPr>
        <w:t>zmaří</w:t>
      </w:r>
      <w:r>
        <w:rPr>
          <w:color w:val="231F20"/>
          <w:spacing w:val="-20"/>
          <w:sz w:val="15"/>
        </w:rPr>
        <w:t xml:space="preserve"> </w:t>
      </w:r>
      <w:r>
        <w:rPr>
          <w:color w:val="231F20"/>
          <w:spacing w:val="-3"/>
          <w:sz w:val="15"/>
        </w:rPr>
        <w:t>(např.</w:t>
      </w:r>
      <w:r>
        <w:rPr>
          <w:color w:val="231F20"/>
          <w:spacing w:val="-20"/>
          <w:sz w:val="15"/>
        </w:rPr>
        <w:t xml:space="preserve"> </w:t>
      </w:r>
      <w:r>
        <w:rPr>
          <w:color w:val="231F20"/>
          <w:sz w:val="15"/>
        </w:rPr>
        <w:t>v</w:t>
      </w:r>
      <w:r>
        <w:rPr>
          <w:color w:val="231F20"/>
          <w:spacing w:val="-20"/>
          <w:sz w:val="15"/>
        </w:rPr>
        <w:t xml:space="preserve"> </w:t>
      </w:r>
      <w:r>
        <w:rPr>
          <w:color w:val="231F20"/>
          <w:spacing w:val="-4"/>
          <w:sz w:val="15"/>
        </w:rPr>
        <w:t xml:space="preserve">pří- </w:t>
      </w:r>
      <w:r>
        <w:rPr>
          <w:color w:val="231F20"/>
          <w:sz w:val="15"/>
        </w:rPr>
        <w:t>padě</w:t>
      </w:r>
      <w:r>
        <w:rPr>
          <w:color w:val="231F20"/>
          <w:spacing w:val="-6"/>
          <w:sz w:val="15"/>
        </w:rPr>
        <w:t xml:space="preserve"> </w:t>
      </w:r>
      <w:r>
        <w:rPr>
          <w:color w:val="231F20"/>
          <w:sz w:val="15"/>
        </w:rPr>
        <w:t>dopravní</w:t>
      </w:r>
      <w:r>
        <w:rPr>
          <w:color w:val="231F20"/>
          <w:spacing w:val="-5"/>
          <w:sz w:val="15"/>
        </w:rPr>
        <w:t xml:space="preserve"> </w:t>
      </w:r>
      <w:r>
        <w:rPr>
          <w:color w:val="231F20"/>
          <w:sz w:val="15"/>
        </w:rPr>
        <w:t>nehody</w:t>
      </w:r>
      <w:r>
        <w:rPr>
          <w:color w:val="231F20"/>
          <w:spacing w:val="-6"/>
          <w:sz w:val="15"/>
        </w:rPr>
        <w:t xml:space="preserve"> </w:t>
      </w:r>
      <w:r>
        <w:rPr>
          <w:color w:val="231F20"/>
          <w:sz w:val="15"/>
        </w:rPr>
        <w:t>nesetrvá</w:t>
      </w:r>
      <w:r>
        <w:rPr>
          <w:color w:val="231F20"/>
          <w:spacing w:val="-5"/>
          <w:sz w:val="15"/>
        </w:rPr>
        <w:t xml:space="preserve"> </w:t>
      </w:r>
      <w:r>
        <w:rPr>
          <w:color w:val="231F20"/>
          <w:sz w:val="15"/>
        </w:rPr>
        <w:t>na</w:t>
      </w:r>
      <w:r>
        <w:rPr>
          <w:color w:val="231F20"/>
          <w:spacing w:val="-5"/>
          <w:sz w:val="15"/>
        </w:rPr>
        <w:t xml:space="preserve"> </w:t>
      </w:r>
      <w:r>
        <w:rPr>
          <w:color w:val="231F20"/>
          <w:sz w:val="15"/>
        </w:rPr>
        <w:t>místě</w:t>
      </w:r>
      <w:r>
        <w:rPr>
          <w:color w:val="231F20"/>
          <w:spacing w:val="-6"/>
          <w:sz w:val="15"/>
        </w:rPr>
        <w:t xml:space="preserve"> </w:t>
      </w:r>
      <w:r>
        <w:rPr>
          <w:color w:val="231F20"/>
          <w:sz w:val="15"/>
        </w:rPr>
        <w:t>do</w:t>
      </w:r>
      <w:r>
        <w:rPr>
          <w:color w:val="231F20"/>
          <w:spacing w:val="-5"/>
          <w:sz w:val="15"/>
        </w:rPr>
        <w:t xml:space="preserve"> </w:t>
      </w:r>
      <w:r>
        <w:rPr>
          <w:color w:val="231F20"/>
          <w:sz w:val="15"/>
        </w:rPr>
        <w:t>příjezdu</w:t>
      </w:r>
      <w:r>
        <w:rPr>
          <w:color w:val="231F20"/>
          <w:spacing w:val="-5"/>
          <w:sz w:val="15"/>
        </w:rPr>
        <w:t xml:space="preserve"> </w:t>
      </w:r>
      <w:r>
        <w:rPr>
          <w:color w:val="231F20"/>
          <w:sz w:val="15"/>
        </w:rPr>
        <w:t>policie).</w:t>
      </w:r>
    </w:p>
    <w:p w14:paraId="35292281" w14:textId="77777777" w:rsidR="00F65BCA" w:rsidRDefault="00F65BCA">
      <w:pPr>
        <w:pStyle w:val="Zkladntext"/>
        <w:spacing w:before="10"/>
        <w:rPr>
          <w:sz w:val="20"/>
        </w:rPr>
      </w:pPr>
    </w:p>
    <w:p w14:paraId="061D8E1A" w14:textId="77777777" w:rsidR="00F65BCA" w:rsidRDefault="00216117">
      <w:pPr>
        <w:ind w:left="428"/>
        <w:jc w:val="both"/>
        <w:rPr>
          <w:sz w:val="15"/>
        </w:rPr>
      </w:pPr>
      <w:r>
        <w:rPr>
          <w:color w:val="FFFFFF"/>
          <w:position w:val="3"/>
          <w:sz w:val="16"/>
          <w:shd w:val="clear" w:color="auto" w:fill="808285"/>
        </w:rPr>
        <w:t xml:space="preserve">  Článek 79</w:t>
      </w:r>
      <w:r>
        <w:rPr>
          <w:color w:val="FFFFFF"/>
          <w:position w:val="3"/>
          <w:sz w:val="16"/>
        </w:rPr>
        <w:t xml:space="preserve"> </w:t>
      </w:r>
      <w:r>
        <w:rPr>
          <w:color w:val="231F20"/>
          <w:sz w:val="15"/>
        </w:rPr>
        <w:t>Rozsah nároků</w:t>
      </w:r>
    </w:p>
    <w:p w14:paraId="36E129C0" w14:textId="77777777" w:rsidR="00F65BCA" w:rsidRDefault="00000000">
      <w:pPr>
        <w:pStyle w:val="Zkladntext"/>
        <w:spacing w:before="148"/>
        <w:ind w:left="710"/>
      </w:pPr>
      <w:r>
        <w:pict w14:anchorId="7BDA2D9B">
          <v:shape id="_x0000_s2204" type="#_x0000_t202" style="position:absolute;left:0;text-align:left;margin-left:28.4pt;margin-top:7.45pt;width:9.65pt;height:8.55pt;z-index:251921408;mso-position-horizontal-relative:page" fillcolor="#d1d3d4" stroked="f">
            <v:textbox inset="0,0,0,0">
              <w:txbxContent>
                <w:p w14:paraId="39821420" w14:textId="77777777" w:rsidR="00F65BCA" w:rsidRDefault="00216117">
                  <w:pPr>
                    <w:spacing w:before="2"/>
                    <w:ind w:left="56"/>
                    <w:rPr>
                      <w:sz w:val="14"/>
                    </w:rPr>
                  </w:pPr>
                  <w:r>
                    <w:rPr>
                      <w:color w:val="231F20"/>
                      <w:w w:val="99"/>
                      <w:sz w:val="14"/>
                    </w:rPr>
                    <w:t>1</w:t>
                  </w:r>
                </w:p>
              </w:txbxContent>
            </v:textbox>
            <w10:wrap anchorx="page"/>
          </v:shape>
        </w:pict>
      </w:r>
      <w:r w:rsidR="00216117">
        <w:rPr>
          <w:color w:val="231F20"/>
        </w:rPr>
        <w:t>Základní pojistné částky jsou dojednány v pojistné smlouvě.</w:t>
      </w:r>
    </w:p>
    <w:p w14:paraId="770B8E54" w14:textId="77777777" w:rsidR="00F65BCA" w:rsidRDefault="00000000">
      <w:pPr>
        <w:pStyle w:val="Zkladntext"/>
        <w:spacing w:before="27" w:line="278" w:lineRule="auto"/>
        <w:ind w:left="710" w:hanging="1"/>
      </w:pPr>
      <w:r>
        <w:pict w14:anchorId="7C148A97">
          <v:shape id="_x0000_s2203" type="#_x0000_t202" style="position:absolute;left:0;text-align:left;margin-left:28.4pt;margin-top:1.4pt;width:9.65pt;height:8.55pt;z-index:251920384;mso-position-horizontal-relative:page" fillcolor="#d1d3d4" stroked="f">
            <v:textbox inset="0,0,0,0">
              <w:txbxContent>
                <w:p w14:paraId="29F13728" w14:textId="77777777" w:rsidR="00F65BCA" w:rsidRDefault="00216117">
                  <w:pPr>
                    <w:spacing w:before="2"/>
                    <w:ind w:left="56"/>
                    <w:rPr>
                      <w:sz w:val="14"/>
                    </w:rPr>
                  </w:pPr>
                  <w:r>
                    <w:rPr>
                      <w:color w:val="231F20"/>
                      <w:w w:val="99"/>
                      <w:sz w:val="14"/>
                    </w:rPr>
                    <w:t>2</w:t>
                  </w:r>
                </w:p>
              </w:txbxContent>
            </v:textbox>
            <w10:wrap anchorx="page"/>
          </v:shape>
        </w:pict>
      </w:r>
      <w:r w:rsidR="00216117">
        <w:rPr>
          <w:color w:val="231F20"/>
        </w:rPr>
        <w:t>Pojistné částky pro každou dopravovanou osobu jsou uvedeny v seznamu vozidel.</w:t>
      </w:r>
    </w:p>
    <w:p w14:paraId="116015B8" w14:textId="77777777" w:rsidR="00F65BCA" w:rsidRDefault="00216117">
      <w:pPr>
        <w:spacing w:before="116"/>
        <w:ind w:left="187"/>
        <w:jc w:val="both"/>
        <w:rPr>
          <w:sz w:val="15"/>
        </w:rPr>
      </w:pPr>
      <w:r>
        <w:br w:type="column"/>
      </w:r>
      <w:r>
        <w:rPr>
          <w:color w:val="FFFFFF"/>
          <w:position w:val="3"/>
          <w:sz w:val="16"/>
          <w:shd w:val="clear" w:color="auto" w:fill="808285"/>
        </w:rPr>
        <w:t xml:space="preserve">  Článek 80</w:t>
      </w:r>
      <w:r>
        <w:rPr>
          <w:color w:val="FFFFFF"/>
          <w:position w:val="3"/>
          <w:sz w:val="16"/>
        </w:rPr>
        <w:t xml:space="preserve"> </w:t>
      </w:r>
      <w:r>
        <w:rPr>
          <w:color w:val="231F20"/>
          <w:sz w:val="15"/>
        </w:rPr>
        <w:t>Pojistné plnění</w:t>
      </w:r>
    </w:p>
    <w:p w14:paraId="2E2DE838" w14:textId="77777777" w:rsidR="00F65BCA" w:rsidRDefault="00216117">
      <w:pPr>
        <w:pStyle w:val="Zkladntext"/>
        <w:spacing w:before="147" w:line="278" w:lineRule="auto"/>
        <w:ind w:left="186" w:right="424"/>
        <w:jc w:val="both"/>
      </w:pPr>
      <w:r>
        <w:rPr>
          <w:color w:val="231F20"/>
        </w:rPr>
        <w:t xml:space="preserve">V případě, že je v pojistné smlouvě sjednáno úrazové pojištění </w:t>
      </w:r>
      <w:r>
        <w:rPr>
          <w:color w:val="231F20"/>
          <w:spacing w:val="-2"/>
        </w:rPr>
        <w:t xml:space="preserve">dopravovaných </w:t>
      </w:r>
      <w:r>
        <w:rPr>
          <w:color w:val="231F20"/>
        </w:rPr>
        <w:t>osob</w:t>
      </w:r>
      <w:r>
        <w:rPr>
          <w:color w:val="231F20"/>
          <w:spacing w:val="-15"/>
        </w:rPr>
        <w:t xml:space="preserve"> </w:t>
      </w:r>
      <w:r>
        <w:rPr>
          <w:color w:val="231F20"/>
        </w:rPr>
        <w:t>současně</w:t>
      </w:r>
      <w:r>
        <w:rPr>
          <w:color w:val="231F20"/>
          <w:spacing w:val="-14"/>
        </w:rPr>
        <w:t xml:space="preserve"> </w:t>
      </w:r>
      <w:r>
        <w:rPr>
          <w:color w:val="231F20"/>
        </w:rPr>
        <w:t>ve</w:t>
      </w:r>
      <w:r>
        <w:rPr>
          <w:color w:val="231F20"/>
          <w:spacing w:val="-15"/>
        </w:rPr>
        <w:t xml:space="preserve"> </w:t>
      </w:r>
      <w:r>
        <w:rPr>
          <w:color w:val="231F20"/>
        </w:rPr>
        <w:t>více</w:t>
      </w:r>
      <w:r>
        <w:rPr>
          <w:color w:val="231F20"/>
          <w:spacing w:val="-14"/>
        </w:rPr>
        <w:t xml:space="preserve"> </w:t>
      </w:r>
      <w:r>
        <w:rPr>
          <w:color w:val="231F20"/>
        </w:rPr>
        <w:t>jeho</w:t>
      </w:r>
      <w:r>
        <w:rPr>
          <w:color w:val="231F20"/>
          <w:spacing w:val="-15"/>
        </w:rPr>
        <w:t xml:space="preserve"> </w:t>
      </w:r>
      <w:r>
        <w:rPr>
          <w:color w:val="231F20"/>
        </w:rPr>
        <w:t>variantách,</w:t>
      </w:r>
      <w:r>
        <w:rPr>
          <w:color w:val="231F20"/>
          <w:spacing w:val="-14"/>
        </w:rPr>
        <w:t xml:space="preserve"> </w:t>
      </w:r>
      <w:r>
        <w:rPr>
          <w:color w:val="231F20"/>
        </w:rPr>
        <w:t>pojistné</w:t>
      </w:r>
      <w:r>
        <w:rPr>
          <w:color w:val="231F20"/>
          <w:spacing w:val="-15"/>
        </w:rPr>
        <w:t xml:space="preserve"> </w:t>
      </w:r>
      <w:r>
        <w:rPr>
          <w:color w:val="231F20"/>
        </w:rPr>
        <w:t>částky</w:t>
      </w:r>
      <w:r>
        <w:rPr>
          <w:color w:val="231F20"/>
          <w:spacing w:val="-14"/>
        </w:rPr>
        <w:t xml:space="preserve"> </w:t>
      </w:r>
      <w:r>
        <w:rPr>
          <w:color w:val="231F20"/>
        </w:rPr>
        <w:t>za</w:t>
      </w:r>
      <w:r>
        <w:rPr>
          <w:color w:val="231F20"/>
          <w:spacing w:val="-15"/>
        </w:rPr>
        <w:t xml:space="preserve"> </w:t>
      </w:r>
      <w:r>
        <w:rPr>
          <w:color w:val="231F20"/>
        </w:rPr>
        <w:t>jednotlivé</w:t>
      </w:r>
      <w:r>
        <w:rPr>
          <w:color w:val="231F20"/>
          <w:spacing w:val="-14"/>
        </w:rPr>
        <w:t xml:space="preserve"> </w:t>
      </w:r>
      <w:r>
        <w:rPr>
          <w:color w:val="231F20"/>
        </w:rPr>
        <w:t>sjednané</w:t>
      </w:r>
      <w:r>
        <w:rPr>
          <w:color w:val="231F20"/>
          <w:spacing w:val="-15"/>
        </w:rPr>
        <w:t xml:space="preserve"> </w:t>
      </w:r>
      <w:r>
        <w:rPr>
          <w:color w:val="231F20"/>
        </w:rPr>
        <w:t>va- rianty se</w:t>
      </w:r>
      <w:r>
        <w:rPr>
          <w:color w:val="231F20"/>
          <w:spacing w:val="-2"/>
        </w:rPr>
        <w:t xml:space="preserve"> </w:t>
      </w:r>
      <w:r>
        <w:rPr>
          <w:color w:val="231F20"/>
        </w:rPr>
        <w:t>sčítají.</w:t>
      </w:r>
    </w:p>
    <w:p w14:paraId="323284E9" w14:textId="77777777" w:rsidR="00F65BCA" w:rsidRDefault="00F65BCA">
      <w:pPr>
        <w:pStyle w:val="Zkladntext"/>
        <w:spacing w:before="8"/>
        <w:rPr>
          <w:sz w:val="22"/>
        </w:rPr>
      </w:pPr>
    </w:p>
    <w:p w14:paraId="5721ACF2" w14:textId="77777777" w:rsidR="00F65BCA" w:rsidRDefault="00216117">
      <w:pPr>
        <w:pStyle w:val="Zkladntext"/>
        <w:spacing w:line="206" w:lineRule="auto"/>
        <w:ind w:left="1320" w:right="800" w:hanging="1133"/>
      </w:pPr>
      <w:r>
        <w:rPr>
          <w:color w:val="FFFFFF"/>
          <w:sz w:val="16"/>
          <w:shd w:val="clear" w:color="auto" w:fill="808285"/>
        </w:rPr>
        <w:t xml:space="preserve">  </w:t>
      </w:r>
      <w:r>
        <w:rPr>
          <w:color w:val="FFFFFF"/>
          <w:w w:val="105"/>
          <w:sz w:val="16"/>
          <w:shd w:val="clear" w:color="auto" w:fill="808285"/>
        </w:rPr>
        <w:t>Článek 81</w:t>
      </w:r>
      <w:r>
        <w:rPr>
          <w:color w:val="FFFFFF"/>
          <w:w w:val="105"/>
          <w:sz w:val="16"/>
        </w:rPr>
        <w:t xml:space="preserve"> </w:t>
      </w:r>
      <w:r>
        <w:rPr>
          <w:color w:val="231F20"/>
          <w:w w:val="105"/>
          <w:position w:val="1"/>
        </w:rPr>
        <w:t xml:space="preserve">Pojistné plnění z pojištění doby nezbytného léčení úrazu </w:t>
      </w:r>
      <w:r>
        <w:rPr>
          <w:color w:val="231F20"/>
          <w:w w:val="105"/>
        </w:rPr>
        <w:t>s progresí (DNL-8)</w:t>
      </w:r>
    </w:p>
    <w:p w14:paraId="41F492A3" w14:textId="77777777" w:rsidR="00F65BCA" w:rsidRDefault="00F65BCA">
      <w:pPr>
        <w:pStyle w:val="Zkladntext"/>
        <w:spacing w:before="2"/>
        <w:rPr>
          <w:sz w:val="20"/>
        </w:rPr>
      </w:pPr>
    </w:p>
    <w:p w14:paraId="5EAA3F12" w14:textId="77777777" w:rsidR="00F65BCA" w:rsidRDefault="00000000">
      <w:pPr>
        <w:pStyle w:val="Zkladntext"/>
        <w:spacing w:line="278" w:lineRule="auto"/>
        <w:ind w:left="469" w:right="418"/>
      </w:pPr>
      <w:r>
        <w:pict w14:anchorId="3B15C9A7">
          <v:shape id="_x0000_s2202" type="#_x0000_t202" style="position:absolute;left:0;text-align:left;margin-left:303.4pt;margin-top:10.05pt;width:9.65pt;height:8.55pt;z-index:251924480;mso-position-horizontal-relative:page" fillcolor="#d1d3d4" stroked="f">
            <v:textbox inset="0,0,0,0">
              <w:txbxContent>
                <w:p w14:paraId="462E8149" w14:textId="77777777" w:rsidR="00F65BCA" w:rsidRDefault="00216117">
                  <w:pPr>
                    <w:spacing w:before="2"/>
                    <w:ind w:left="56"/>
                    <w:rPr>
                      <w:sz w:val="14"/>
                    </w:rPr>
                  </w:pPr>
                  <w:r>
                    <w:rPr>
                      <w:color w:val="231F20"/>
                      <w:w w:val="99"/>
                      <w:sz w:val="14"/>
                    </w:rPr>
                    <w:t>2</w:t>
                  </w:r>
                </w:p>
              </w:txbxContent>
            </v:textbox>
            <w10:wrap anchorx="page"/>
          </v:shape>
        </w:pict>
      </w:r>
      <w:r>
        <w:pict w14:anchorId="4DE5DCD1">
          <v:shape id="_x0000_s2201" type="#_x0000_t202" style="position:absolute;left:0;text-align:left;margin-left:303.4pt;margin-top:.05pt;width:9.65pt;height:8.55pt;z-index:251925504;mso-position-horizontal-relative:page" fillcolor="#d1d3d4" stroked="f">
            <v:textbox inset="0,0,0,0">
              <w:txbxContent>
                <w:p w14:paraId="274ABF50" w14:textId="77777777" w:rsidR="00F65BCA" w:rsidRDefault="00216117">
                  <w:pPr>
                    <w:spacing w:before="2"/>
                    <w:ind w:left="56"/>
                    <w:rPr>
                      <w:sz w:val="14"/>
                    </w:rPr>
                  </w:pPr>
                  <w:r>
                    <w:rPr>
                      <w:color w:val="231F20"/>
                      <w:w w:val="99"/>
                      <w:sz w:val="14"/>
                    </w:rPr>
                    <w:t>1</w:t>
                  </w:r>
                </w:p>
              </w:txbxContent>
            </v:textbox>
            <w10:wrap anchorx="page"/>
          </v:shape>
        </w:pict>
      </w:r>
      <w:r w:rsidR="00216117">
        <w:rPr>
          <w:color w:val="231F20"/>
        </w:rPr>
        <w:t xml:space="preserve">Právo na pojistné plnění má pojištěný. </w:t>
      </w:r>
      <w:r w:rsidR="00216117">
        <w:rPr>
          <w:color w:val="231F20"/>
          <w:spacing w:val="2"/>
          <w:w w:val="95"/>
        </w:rPr>
        <w:t xml:space="preserve">VpřípaděpojistnéudálostivyplatíPojišťovnapojistnéplněníodpovídajícísoučinu </w:t>
      </w:r>
      <w:r w:rsidR="00216117">
        <w:rPr>
          <w:color w:val="231F20"/>
        </w:rPr>
        <w:t>sjednané</w:t>
      </w:r>
      <w:r w:rsidR="00216117">
        <w:rPr>
          <w:color w:val="231F20"/>
          <w:spacing w:val="-31"/>
        </w:rPr>
        <w:t xml:space="preserve"> </w:t>
      </w:r>
      <w:r w:rsidR="00216117">
        <w:rPr>
          <w:color w:val="231F20"/>
        </w:rPr>
        <w:t>pojistné</w:t>
      </w:r>
      <w:r w:rsidR="00216117">
        <w:rPr>
          <w:color w:val="231F20"/>
          <w:spacing w:val="-30"/>
        </w:rPr>
        <w:t xml:space="preserve"> </w:t>
      </w:r>
      <w:r w:rsidR="00216117">
        <w:rPr>
          <w:color w:val="231F20"/>
          <w:spacing w:val="2"/>
        </w:rPr>
        <w:t>částky</w:t>
      </w:r>
      <w:r w:rsidR="00216117">
        <w:rPr>
          <w:color w:val="231F20"/>
          <w:spacing w:val="-30"/>
        </w:rPr>
        <w:t xml:space="preserve"> </w:t>
      </w:r>
      <w:r w:rsidR="00216117">
        <w:rPr>
          <w:color w:val="231F20"/>
        </w:rPr>
        <w:t>(denního</w:t>
      </w:r>
      <w:r w:rsidR="00216117">
        <w:rPr>
          <w:color w:val="231F20"/>
          <w:spacing w:val="-30"/>
        </w:rPr>
        <w:t xml:space="preserve"> </w:t>
      </w:r>
      <w:r w:rsidR="00216117">
        <w:rPr>
          <w:color w:val="231F20"/>
          <w:spacing w:val="3"/>
        </w:rPr>
        <w:t>plnění)</w:t>
      </w:r>
      <w:r w:rsidR="00216117">
        <w:rPr>
          <w:color w:val="231F20"/>
          <w:spacing w:val="-30"/>
        </w:rPr>
        <w:t xml:space="preserve"> </w:t>
      </w:r>
      <w:r w:rsidR="00216117">
        <w:rPr>
          <w:color w:val="231F20"/>
        </w:rPr>
        <w:t>platné</w:t>
      </w:r>
      <w:r w:rsidR="00216117">
        <w:rPr>
          <w:color w:val="231F20"/>
          <w:spacing w:val="-30"/>
        </w:rPr>
        <w:t xml:space="preserve"> </w:t>
      </w:r>
      <w:r w:rsidR="00216117">
        <w:rPr>
          <w:color w:val="231F20"/>
        </w:rPr>
        <w:t>ke</w:t>
      </w:r>
      <w:r w:rsidR="00216117">
        <w:rPr>
          <w:color w:val="231F20"/>
          <w:spacing w:val="-30"/>
        </w:rPr>
        <w:t xml:space="preserve"> </w:t>
      </w:r>
      <w:r w:rsidR="00216117">
        <w:rPr>
          <w:color w:val="231F20"/>
        </w:rPr>
        <w:t>dni</w:t>
      </w:r>
      <w:r w:rsidR="00216117">
        <w:rPr>
          <w:color w:val="231F20"/>
          <w:spacing w:val="-31"/>
        </w:rPr>
        <w:t xml:space="preserve"> </w:t>
      </w:r>
      <w:r w:rsidR="00216117">
        <w:rPr>
          <w:color w:val="231F20"/>
        </w:rPr>
        <w:t>vzniku</w:t>
      </w:r>
      <w:r w:rsidR="00216117">
        <w:rPr>
          <w:color w:val="231F20"/>
          <w:spacing w:val="-30"/>
        </w:rPr>
        <w:t xml:space="preserve"> </w:t>
      </w:r>
      <w:r w:rsidR="00216117">
        <w:rPr>
          <w:color w:val="231F20"/>
        </w:rPr>
        <w:t>pojistné</w:t>
      </w:r>
      <w:r w:rsidR="00216117">
        <w:rPr>
          <w:color w:val="231F20"/>
          <w:spacing w:val="-30"/>
        </w:rPr>
        <w:t xml:space="preserve"> </w:t>
      </w:r>
      <w:r w:rsidR="00216117">
        <w:rPr>
          <w:color w:val="231F20"/>
        </w:rPr>
        <w:t>události a doby nezbytného léčení. Doba nezbytného léčení se stanoví podle sku- tečného</w:t>
      </w:r>
      <w:r w:rsidR="00216117">
        <w:rPr>
          <w:color w:val="231F20"/>
          <w:spacing w:val="-6"/>
        </w:rPr>
        <w:t xml:space="preserve"> </w:t>
      </w:r>
      <w:r w:rsidR="00216117">
        <w:rPr>
          <w:color w:val="231F20"/>
        </w:rPr>
        <w:t>počtu</w:t>
      </w:r>
      <w:r w:rsidR="00216117">
        <w:rPr>
          <w:color w:val="231F20"/>
          <w:spacing w:val="-6"/>
        </w:rPr>
        <w:t xml:space="preserve"> </w:t>
      </w:r>
      <w:r w:rsidR="00216117">
        <w:rPr>
          <w:color w:val="231F20"/>
        </w:rPr>
        <w:t>dní</w:t>
      </w:r>
      <w:r w:rsidR="00216117">
        <w:rPr>
          <w:color w:val="231F20"/>
          <w:spacing w:val="-6"/>
        </w:rPr>
        <w:t xml:space="preserve"> </w:t>
      </w:r>
      <w:r w:rsidR="00216117">
        <w:rPr>
          <w:color w:val="231F20"/>
        </w:rPr>
        <w:t>nezbytného</w:t>
      </w:r>
      <w:r w:rsidR="00216117">
        <w:rPr>
          <w:color w:val="231F20"/>
          <w:spacing w:val="-7"/>
        </w:rPr>
        <w:t xml:space="preserve"> </w:t>
      </w:r>
      <w:r w:rsidR="00216117">
        <w:rPr>
          <w:color w:val="231F20"/>
        </w:rPr>
        <w:t>léčení,</w:t>
      </w:r>
      <w:r w:rsidR="00216117">
        <w:rPr>
          <w:color w:val="231F20"/>
          <w:spacing w:val="-6"/>
        </w:rPr>
        <w:t xml:space="preserve"> </w:t>
      </w:r>
      <w:r w:rsidR="00216117">
        <w:rPr>
          <w:color w:val="231F20"/>
          <w:spacing w:val="2"/>
        </w:rPr>
        <w:t>nejvýše</w:t>
      </w:r>
      <w:r w:rsidR="00216117">
        <w:rPr>
          <w:color w:val="231F20"/>
          <w:spacing w:val="-6"/>
        </w:rPr>
        <w:t xml:space="preserve"> </w:t>
      </w:r>
      <w:r w:rsidR="00216117">
        <w:rPr>
          <w:color w:val="231F20"/>
        </w:rPr>
        <w:t>však</w:t>
      </w:r>
      <w:r w:rsidR="00216117">
        <w:rPr>
          <w:color w:val="231F20"/>
          <w:spacing w:val="-6"/>
        </w:rPr>
        <w:t xml:space="preserve"> </w:t>
      </w:r>
      <w:r w:rsidR="00216117">
        <w:rPr>
          <w:color w:val="231F20"/>
          <w:spacing w:val="2"/>
        </w:rPr>
        <w:t>maximálního</w:t>
      </w:r>
      <w:r w:rsidR="00216117">
        <w:rPr>
          <w:color w:val="231F20"/>
          <w:spacing w:val="-6"/>
        </w:rPr>
        <w:t xml:space="preserve"> </w:t>
      </w:r>
      <w:r w:rsidR="00216117">
        <w:rPr>
          <w:color w:val="231F20"/>
        </w:rPr>
        <w:t>počtu</w:t>
      </w:r>
      <w:r w:rsidR="00216117">
        <w:rPr>
          <w:color w:val="231F20"/>
          <w:spacing w:val="-6"/>
        </w:rPr>
        <w:t xml:space="preserve"> </w:t>
      </w:r>
      <w:r w:rsidR="00216117">
        <w:rPr>
          <w:color w:val="231F20"/>
        </w:rPr>
        <w:t xml:space="preserve">dní, </w:t>
      </w:r>
      <w:r w:rsidR="00216117">
        <w:rPr>
          <w:color w:val="231F20"/>
          <w:spacing w:val="3"/>
        </w:rPr>
        <w:t xml:space="preserve">který </w:t>
      </w:r>
      <w:r w:rsidR="00216117">
        <w:rPr>
          <w:color w:val="231F20"/>
        </w:rPr>
        <w:t>odpovídá příslušnému tělesnému poškození, stanoveného Oceňova- cími tabulkami</w:t>
      </w:r>
      <w:r w:rsidR="00216117">
        <w:rPr>
          <w:color w:val="231F20"/>
          <w:spacing w:val="-1"/>
        </w:rPr>
        <w:t xml:space="preserve"> </w:t>
      </w:r>
      <w:r w:rsidR="00216117">
        <w:rPr>
          <w:color w:val="231F20"/>
        </w:rPr>
        <w:t>A.</w:t>
      </w:r>
    </w:p>
    <w:p w14:paraId="444276CC" w14:textId="77777777" w:rsidR="00F65BCA" w:rsidRDefault="00216117">
      <w:pPr>
        <w:pStyle w:val="Zkladntext"/>
        <w:spacing w:line="278" w:lineRule="auto"/>
        <w:ind w:left="469" w:right="418" w:hanging="283"/>
      </w:pPr>
      <w:r>
        <w:rPr>
          <w:color w:val="231F20"/>
          <w:position w:val="1"/>
          <w:sz w:val="14"/>
          <w:shd w:val="clear" w:color="auto" w:fill="D1D3D4"/>
        </w:rPr>
        <w:t xml:space="preserve">  3</w:t>
      </w:r>
      <w:r>
        <w:rPr>
          <w:color w:val="231F20"/>
          <w:position w:val="1"/>
          <w:sz w:val="14"/>
        </w:rPr>
        <w:t xml:space="preserve"> </w:t>
      </w:r>
      <w:r>
        <w:rPr>
          <w:color w:val="231F20"/>
        </w:rPr>
        <w:t>Doba nezbytného léčení podle bodu 3 tohoto článku bude při výpočtu výše pojistného plnění násobena příslušným přepočtovým koeficientem takto:</w:t>
      </w:r>
    </w:p>
    <w:p w14:paraId="44D4411B" w14:textId="77777777" w:rsidR="00F65BCA" w:rsidRDefault="00216117">
      <w:pPr>
        <w:pStyle w:val="Zkladntext"/>
        <w:tabs>
          <w:tab w:val="left" w:pos="3900"/>
        </w:tabs>
        <w:spacing w:before="99"/>
        <w:ind w:left="469"/>
      </w:pPr>
      <w:r>
        <w:rPr>
          <w:color w:val="231F20"/>
          <w:w w:val="105"/>
        </w:rPr>
        <w:t>Délka</w:t>
      </w:r>
      <w:r>
        <w:rPr>
          <w:color w:val="231F20"/>
          <w:spacing w:val="1"/>
          <w:w w:val="105"/>
        </w:rPr>
        <w:t xml:space="preserve"> </w:t>
      </w:r>
      <w:r>
        <w:rPr>
          <w:color w:val="231F20"/>
          <w:w w:val="105"/>
        </w:rPr>
        <w:t>nezbytného</w:t>
      </w:r>
      <w:r>
        <w:rPr>
          <w:color w:val="231F20"/>
          <w:spacing w:val="1"/>
          <w:w w:val="105"/>
        </w:rPr>
        <w:t xml:space="preserve"> </w:t>
      </w:r>
      <w:r>
        <w:rPr>
          <w:color w:val="231F20"/>
          <w:w w:val="105"/>
        </w:rPr>
        <w:t>léčení</w:t>
      </w:r>
      <w:r>
        <w:rPr>
          <w:color w:val="231F20"/>
          <w:w w:val="105"/>
        </w:rPr>
        <w:tab/>
        <w:t>Přepočtový</w:t>
      </w:r>
      <w:r>
        <w:rPr>
          <w:color w:val="231F20"/>
          <w:spacing w:val="2"/>
          <w:w w:val="105"/>
        </w:rPr>
        <w:t xml:space="preserve"> </w:t>
      </w:r>
      <w:r>
        <w:rPr>
          <w:color w:val="231F20"/>
          <w:w w:val="105"/>
        </w:rPr>
        <w:t>koeficient</w:t>
      </w:r>
    </w:p>
    <w:p w14:paraId="1DD29036" w14:textId="77777777" w:rsidR="00F65BCA" w:rsidRDefault="00216117">
      <w:pPr>
        <w:pStyle w:val="Zkladntext"/>
        <w:tabs>
          <w:tab w:val="right" w:pos="4589"/>
        </w:tabs>
        <w:spacing w:before="27"/>
        <w:ind w:left="469"/>
      </w:pPr>
      <w:r>
        <w:rPr>
          <w:color w:val="231F20"/>
        </w:rPr>
        <w:t>od 1. dne do 120.</w:t>
      </w:r>
      <w:r>
        <w:rPr>
          <w:color w:val="231F20"/>
          <w:spacing w:val="-5"/>
        </w:rPr>
        <w:t xml:space="preserve"> </w:t>
      </w:r>
      <w:r>
        <w:rPr>
          <w:color w:val="231F20"/>
        </w:rPr>
        <w:t>dne</w:t>
      </w:r>
      <w:r>
        <w:rPr>
          <w:color w:val="231F20"/>
          <w:spacing w:val="-1"/>
        </w:rPr>
        <w:t xml:space="preserve"> </w:t>
      </w:r>
      <w:r>
        <w:rPr>
          <w:color w:val="231F20"/>
        </w:rPr>
        <w:t>(včetně)</w:t>
      </w:r>
      <w:r>
        <w:rPr>
          <w:color w:val="231F20"/>
        </w:rPr>
        <w:tab/>
        <w:t>1</w:t>
      </w:r>
    </w:p>
    <w:p w14:paraId="31F33492" w14:textId="77777777" w:rsidR="00F65BCA" w:rsidRDefault="00216117">
      <w:pPr>
        <w:pStyle w:val="Zkladntext"/>
        <w:tabs>
          <w:tab w:val="right" w:pos="4589"/>
        </w:tabs>
        <w:spacing w:before="28"/>
        <w:ind w:left="469"/>
      </w:pPr>
      <w:r>
        <w:rPr>
          <w:color w:val="231F20"/>
        </w:rPr>
        <w:t>od 121. dne do 240.</w:t>
      </w:r>
      <w:r>
        <w:rPr>
          <w:color w:val="231F20"/>
          <w:spacing w:val="-5"/>
        </w:rPr>
        <w:t xml:space="preserve"> </w:t>
      </w:r>
      <w:r>
        <w:rPr>
          <w:color w:val="231F20"/>
        </w:rPr>
        <w:t>dne</w:t>
      </w:r>
      <w:r>
        <w:rPr>
          <w:color w:val="231F20"/>
          <w:spacing w:val="-1"/>
        </w:rPr>
        <w:t xml:space="preserve"> </w:t>
      </w:r>
      <w:r>
        <w:rPr>
          <w:color w:val="231F20"/>
        </w:rPr>
        <w:t>(včetně)</w:t>
      </w:r>
      <w:r>
        <w:rPr>
          <w:color w:val="231F20"/>
        </w:rPr>
        <w:tab/>
        <w:t>2</w:t>
      </w:r>
    </w:p>
    <w:p w14:paraId="5A348D6B" w14:textId="77777777" w:rsidR="00F65BCA" w:rsidRDefault="00216117">
      <w:pPr>
        <w:pStyle w:val="Zkladntext"/>
        <w:tabs>
          <w:tab w:val="right" w:pos="4589"/>
        </w:tabs>
        <w:spacing w:before="27"/>
        <w:ind w:left="469"/>
      </w:pPr>
      <w:r>
        <w:rPr>
          <w:color w:val="231F20"/>
        </w:rPr>
        <w:t>od 241. dne do 365.</w:t>
      </w:r>
      <w:r>
        <w:rPr>
          <w:color w:val="231F20"/>
          <w:spacing w:val="-5"/>
        </w:rPr>
        <w:t xml:space="preserve"> </w:t>
      </w:r>
      <w:r>
        <w:rPr>
          <w:color w:val="231F20"/>
        </w:rPr>
        <w:t>dne</w:t>
      </w:r>
      <w:r>
        <w:rPr>
          <w:color w:val="231F20"/>
          <w:spacing w:val="-1"/>
        </w:rPr>
        <w:t xml:space="preserve"> </w:t>
      </w:r>
      <w:r>
        <w:rPr>
          <w:color w:val="231F20"/>
        </w:rPr>
        <w:t>(včetně)</w:t>
      </w:r>
      <w:r>
        <w:rPr>
          <w:color w:val="231F20"/>
        </w:rPr>
        <w:tab/>
        <w:t>3</w:t>
      </w:r>
    </w:p>
    <w:p w14:paraId="2D222D8B" w14:textId="77777777" w:rsidR="00F65BCA" w:rsidRDefault="00216117">
      <w:pPr>
        <w:pStyle w:val="Zkladntext"/>
        <w:spacing w:before="128" w:line="278" w:lineRule="auto"/>
        <w:ind w:left="469" w:right="424"/>
        <w:jc w:val="both"/>
      </w:pPr>
      <w:r>
        <w:rPr>
          <w:color w:val="231F20"/>
        </w:rPr>
        <w:t>U</w:t>
      </w:r>
      <w:r>
        <w:rPr>
          <w:color w:val="231F20"/>
          <w:spacing w:val="-5"/>
        </w:rPr>
        <w:t xml:space="preserve"> </w:t>
      </w:r>
      <w:r>
        <w:rPr>
          <w:color w:val="231F20"/>
        </w:rPr>
        <w:t>položek</w:t>
      </w:r>
      <w:r>
        <w:rPr>
          <w:color w:val="231F20"/>
          <w:spacing w:val="-5"/>
        </w:rPr>
        <w:t xml:space="preserve"> </w:t>
      </w:r>
      <w:r>
        <w:rPr>
          <w:color w:val="231F20"/>
        </w:rPr>
        <w:t>přesahujících</w:t>
      </w:r>
      <w:r>
        <w:rPr>
          <w:color w:val="231F20"/>
          <w:spacing w:val="-5"/>
        </w:rPr>
        <w:t xml:space="preserve"> </w:t>
      </w:r>
      <w:r>
        <w:rPr>
          <w:color w:val="231F20"/>
        </w:rPr>
        <w:t>120,</w:t>
      </w:r>
      <w:r>
        <w:rPr>
          <w:color w:val="231F20"/>
          <w:spacing w:val="-5"/>
        </w:rPr>
        <w:t xml:space="preserve"> </w:t>
      </w:r>
      <w:r>
        <w:rPr>
          <w:color w:val="231F20"/>
        </w:rPr>
        <w:t>resp.</w:t>
      </w:r>
      <w:r>
        <w:rPr>
          <w:color w:val="231F20"/>
          <w:spacing w:val="-5"/>
        </w:rPr>
        <w:t xml:space="preserve"> </w:t>
      </w:r>
      <w:r>
        <w:rPr>
          <w:color w:val="231F20"/>
        </w:rPr>
        <w:t>240</w:t>
      </w:r>
      <w:r>
        <w:rPr>
          <w:color w:val="231F20"/>
          <w:spacing w:val="-5"/>
        </w:rPr>
        <w:t xml:space="preserve"> </w:t>
      </w:r>
      <w:r>
        <w:rPr>
          <w:color w:val="231F20"/>
        </w:rPr>
        <w:t>dní,</w:t>
      </w:r>
      <w:r>
        <w:rPr>
          <w:color w:val="231F20"/>
          <w:spacing w:val="-4"/>
        </w:rPr>
        <w:t xml:space="preserve"> </w:t>
      </w:r>
      <w:r>
        <w:rPr>
          <w:color w:val="231F20"/>
        </w:rPr>
        <w:t>se</w:t>
      </w:r>
      <w:r>
        <w:rPr>
          <w:color w:val="231F20"/>
          <w:spacing w:val="-5"/>
        </w:rPr>
        <w:t xml:space="preserve"> </w:t>
      </w:r>
      <w:r>
        <w:rPr>
          <w:color w:val="231F20"/>
        </w:rPr>
        <w:t>v</w:t>
      </w:r>
      <w:r>
        <w:rPr>
          <w:color w:val="231F20"/>
          <w:spacing w:val="-5"/>
        </w:rPr>
        <w:t xml:space="preserve"> </w:t>
      </w:r>
      <w:r>
        <w:rPr>
          <w:color w:val="231F20"/>
        </w:rPr>
        <w:t>každém</w:t>
      </w:r>
      <w:r>
        <w:rPr>
          <w:color w:val="231F20"/>
          <w:spacing w:val="-5"/>
        </w:rPr>
        <w:t xml:space="preserve"> </w:t>
      </w:r>
      <w:r>
        <w:rPr>
          <w:color w:val="231F20"/>
        </w:rPr>
        <w:t>intervalu</w:t>
      </w:r>
      <w:r>
        <w:rPr>
          <w:color w:val="231F20"/>
          <w:spacing w:val="-5"/>
        </w:rPr>
        <w:t xml:space="preserve"> </w:t>
      </w:r>
      <w:r>
        <w:rPr>
          <w:color w:val="231F20"/>
        </w:rPr>
        <w:t>(tj.</w:t>
      </w:r>
      <w:r>
        <w:rPr>
          <w:color w:val="231F20"/>
          <w:spacing w:val="-5"/>
        </w:rPr>
        <w:t xml:space="preserve"> </w:t>
      </w:r>
      <w:r>
        <w:rPr>
          <w:color w:val="231F20"/>
          <w:spacing w:val="-3"/>
        </w:rPr>
        <w:t xml:space="preserve">1–120 </w:t>
      </w:r>
      <w:r>
        <w:rPr>
          <w:color w:val="231F20"/>
        </w:rPr>
        <w:t>den,</w:t>
      </w:r>
      <w:r>
        <w:rPr>
          <w:color w:val="231F20"/>
          <w:spacing w:val="-4"/>
        </w:rPr>
        <w:t xml:space="preserve"> </w:t>
      </w:r>
      <w:r>
        <w:rPr>
          <w:color w:val="231F20"/>
        </w:rPr>
        <w:t>121–240</w:t>
      </w:r>
      <w:r>
        <w:rPr>
          <w:color w:val="231F20"/>
          <w:spacing w:val="-5"/>
        </w:rPr>
        <w:t xml:space="preserve"> </w:t>
      </w:r>
      <w:r>
        <w:rPr>
          <w:color w:val="231F20"/>
        </w:rPr>
        <w:t>den,</w:t>
      </w:r>
      <w:r>
        <w:rPr>
          <w:color w:val="231F20"/>
          <w:spacing w:val="-4"/>
        </w:rPr>
        <w:t xml:space="preserve"> </w:t>
      </w:r>
      <w:r>
        <w:rPr>
          <w:color w:val="231F20"/>
        </w:rPr>
        <w:t>241–365</w:t>
      </w:r>
      <w:r>
        <w:rPr>
          <w:color w:val="231F20"/>
          <w:spacing w:val="-4"/>
        </w:rPr>
        <w:t xml:space="preserve"> </w:t>
      </w:r>
      <w:r>
        <w:rPr>
          <w:color w:val="231F20"/>
        </w:rPr>
        <w:t>den)</w:t>
      </w:r>
      <w:r>
        <w:rPr>
          <w:color w:val="231F20"/>
          <w:spacing w:val="-4"/>
        </w:rPr>
        <w:t xml:space="preserve"> </w:t>
      </w:r>
      <w:r>
        <w:rPr>
          <w:color w:val="231F20"/>
        </w:rPr>
        <w:t>použije</w:t>
      </w:r>
      <w:r>
        <w:rPr>
          <w:color w:val="231F20"/>
          <w:spacing w:val="-4"/>
        </w:rPr>
        <w:t xml:space="preserve"> </w:t>
      </w:r>
      <w:r>
        <w:rPr>
          <w:color w:val="231F20"/>
        </w:rPr>
        <w:t>příslušný</w:t>
      </w:r>
      <w:r>
        <w:rPr>
          <w:color w:val="231F20"/>
          <w:spacing w:val="-4"/>
        </w:rPr>
        <w:t xml:space="preserve"> </w:t>
      </w:r>
      <w:r>
        <w:rPr>
          <w:color w:val="231F20"/>
        </w:rPr>
        <w:t>zde</w:t>
      </w:r>
      <w:r>
        <w:rPr>
          <w:color w:val="231F20"/>
          <w:spacing w:val="-4"/>
        </w:rPr>
        <w:t xml:space="preserve"> </w:t>
      </w:r>
      <w:r>
        <w:rPr>
          <w:color w:val="231F20"/>
        </w:rPr>
        <w:t>uvedený</w:t>
      </w:r>
      <w:r>
        <w:rPr>
          <w:color w:val="231F20"/>
          <w:spacing w:val="-4"/>
        </w:rPr>
        <w:t xml:space="preserve"> </w:t>
      </w:r>
      <w:r>
        <w:rPr>
          <w:color w:val="231F20"/>
          <w:spacing w:val="-3"/>
        </w:rPr>
        <w:t xml:space="preserve">přepočtový </w:t>
      </w:r>
      <w:r>
        <w:rPr>
          <w:color w:val="231F20"/>
        </w:rPr>
        <w:t xml:space="preserve">koeficient </w:t>
      </w:r>
      <w:r>
        <w:rPr>
          <w:color w:val="231F20"/>
          <w:spacing w:val="-3"/>
        </w:rPr>
        <w:t xml:space="preserve">(např. </w:t>
      </w:r>
      <w:r>
        <w:rPr>
          <w:color w:val="231F20"/>
        </w:rPr>
        <w:t>pro 300 dní: 120 x 1, 120 x 2, 60 x</w:t>
      </w:r>
      <w:r>
        <w:rPr>
          <w:color w:val="231F20"/>
          <w:spacing w:val="-19"/>
        </w:rPr>
        <w:t xml:space="preserve"> </w:t>
      </w:r>
      <w:r>
        <w:rPr>
          <w:color w:val="231F20"/>
        </w:rPr>
        <w:t>3).</w:t>
      </w:r>
    </w:p>
    <w:p w14:paraId="133A0803"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4</w:t>
      </w:r>
      <w:r>
        <w:rPr>
          <w:color w:val="231F20"/>
          <w:position w:val="1"/>
          <w:sz w:val="14"/>
        </w:rPr>
        <w:t xml:space="preserve"> </w:t>
      </w:r>
      <w:r>
        <w:rPr>
          <w:color w:val="231F20"/>
        </w:rPr>
        <w:t>Způsobil-li jediný úraz pojištěnému několik tělesných poškození, vyplatí Po- jišťovna pojistné plnění jen za dobu nezbytného léčení poškození s</w:t>
      </w:r>
      <w:r>
        <w:rPr>
          <w:color w:val="231F20"/>
          <w:spacing w:val="-28"/>
        </w:rPr>
        <w:t xml:space="preserve"> </w:t>
      </w:r>
      <w:r>
        <w:rPr>
          <w:color w:val="231F20"/>
        </w:rPr>
        <w:t>nejdelší dobou nezbytného léčení podle bodu 3 tohoto</w:t>
      </w:r>
      <w:r>
        <w:rPr>
          <w:color w:val="231F20"/>
          <w:spacing w:val="-12"/>
        </w:rPr>
        <w:t xml:space="preserve"> </w:t>
      </w:r>
      <w:r>
        <w:rPr>
          <w:color w:val="231F20"/>
        </w:rPr>
        <w:t>článku.</w:t>
      </w:r>
    </w:p>
    <w:p w14:paraId="34521EC0" w14:textId="77777777" w:rsidR="00F65BCA" w:rsidRDefault="00000000">
      <w:pPr>
        <w:pStyle w:val="Zkladntext"/>
        <w:spacing w:line="172" w:lineRule="exact"/>
        <w:ind w:left="469"/>
        <w:jc w:val="both"/>
      </w:pPr>
      <w:r>
        <w:pict w14:anchorId="06550CE7">
          <v:shape id="_x0000_s2200" type="#_x0000_t202" style="position:absolute;left:0;text-align:left;margin-left:303.4pt;margin-top:0;width:9.65pt;height:8.55pt;z-index:251923456;mso-position-horizontal-relative:page" fillcolor="#d1d3d4" stroked="f">
            <v:textbox inset="0,0,0,0">
              <w:txbxContent>
                <w:p w14:paraId="2C4D545C" w14:textId="77777777" w:rsidR="00F65BCA" w:rsidRDefault="00216117">
                  <w:pPr>
                    <w:spacing w:before="2"/>
                    <w:ind w:left="56"/>
                    <w:rPr>
                      <w:sz w:val="14"/>
                    </w:rPr>
                  </w:pPr>
                  <w:r>
                    <w:rPr>
                      <w:color w:val="231F20"/>
                      <w:w w:val="99"/>
                      <w:sz w:val="14"/>
                    </w:rPr>
                    <w:t>5</w:t>
                  </w:r>
                </w:p>
              </w:txbxContent>
            </v:textbox>
            <w10:wrap anchorx="page"/>
          </v:shape>
        </w:pict>
      </w:r>
      <w:r w:rsidR="00216117">
        <w:rPr>
          <w:color w:val="231F20"/>
        </w:rPr>
        <w:t>Pojišťovna poskytuje pojistné plnění nejvýše za dobu 1 roku.</w:t>
      </w:r>
    </w:p>
    <w:p w14:paraId="4D72866A" w14:textId="77777777" w:rsidR="00F65BCA" w:rsidRDefault="00000000">
      <w:pPr>
        <w:pStyle w:val="Zkladntext"/>
        <w:spacing w:before="27" w:line="278" w:lineRule="auto"/>
        <w:ind w:left="469" w:right="424" w:hanging="1"/>
        <w:jc w:val="both"/>
      </w:pPr>
      <w:r>
        <w:pict w14:anchorId="07DCBEA2">
          <v:shape id="_x0000_s2199" type="#_x0000_t202" style="position:absolute;left:0;text-align:left;margin-left:303.4pt;margin-top:1.4pt;width:9.65pt;height:8.55pt;z-index:251922432;mso-position-horizontal-relative:page" fillcolor="#d1d3d4" stroked="f">
            <v:textbox inset="0,0,0,0">
              <w:txbxContent>
                <w:p w14:paraId="73384C71" w14:textId="77777777" w:rsidR="00F65BCA" w:rsidRDefault="00216117">
                  <w:pPr>
                    <w:spacing w:before="2"/>
                    <w:ind w:left="56"/>
                    <w:rPr>
                      <w:sz w:val="14"/>
                    </w:rPr>
                  </w:pPr>
                  <w:r>
                    <w:rPr>
                      <w:color w:val="231F20"/>
                      <w:w w:val="99"/>
                      <w:sz w:val="14"/>
                    </w:rPr>
                    <w:t>6</w:t>
                  </w:r>
                </w:p>
              </w:txbxContent>
            </v:textbox>
            <w10:wrap anchorx="page"/>
          </v:shape>
        </w:pict>
      </w:r>
      <w:r w:rsidR="00216117">
        <w:rPr>
          <w:color w:val="231F20"/>
        </w:rPr>
        <w:t>Do</w:t>
      </w:r>
      <w:r w:rsidR="00216117">
        <w:rPr>
          <w:color w:val="231F20"/>
          <w:spacing w:val="-22"/>
        </w:rPr>
        <w:t xml:space="preserve"> </w:t>
      </w:r>
      <w:r w:rsidR="00216117">
        <w:rPr>
          <w:color w:val="231F20"/>
        </w:rPr>
        <w:t>doby</w:t>
      </w:r>
      <w:r w:rsidR="00216117">
        <w:rPr>
          <w:color w:val="231F20"/>
          <w:spacing w:val="-22"/>
        </w:rPr>
        <w:t xml:space="preserve"> </w:t>
      </w:r>
      <w:r w:rsidR="00216117">
        <w:rPr>
          <w:color w:val="231F20"/>
        </w:rPr>
        <w:t>nezbytného</w:t>
      </w:r>
      <w:r w:rsidR="00216117">
        <w:rPr>
          <w:color w:val="231F20"/>
          <w:spacing w:val="-22"/>
        </w:rPr>
        <w:t xml:space="preserve"> </w:t>
      </w:r>
      <w:r w:rsidR="00216117">
        <w:rPr>
          <w:color w:val="231F20"/>
        </w:rPr>
        <w:t>léčení</w:t>
      </w:r>
      <w:r w:rsidR="00216117">
        <w:rPr>
          <w:color w:val="231F20"/>
          <w:spacing w:val="-21"/>
        </w:rPr>
        <w:t xml:space="preserve"> </w:t>
      </w:r>
      <w:r w:rsidR="00216117">
        <w:rPr>
          <w:color w:val="231F20"/>
        </w:rPr>
        <w:t>se</w:t>
      </w:r>
      <w:r w:rsidR="00216117">
        <w:rPr>
          <w:color w:val="231F20"/>
          <w:spacing w:val="-22"/>
        </w:rPr>
        <w:t xml:space="preserve"> </w:t>
      </w:r>
      <w:r w:rsidR="00216117">
        <w:rPr>
          <w:color w:val="231F20"/>
        </w:rPr>
        <w:t>nezapočítává</w:t>
      </w:r>
      <w:r w:rsidR="00216117">
        <w:rPr>
          <w:color w:val="231F20"/>
          <w:spacing w:val="-22"/>
        </w:rPr>
        <w:t xml:space="preserve"> </w:t>
      </w:r>
      <w:r w:rsidR="00216117">
        <w:rPr>
          <w:color w:val="231F20"/>
        </w:rPr>
        <w:t>doba,</w:t>
      </w:r>
      <w:r w:rsidR="00216117">
        <w:rPr>
          <w:color w:val="231F20"/>
          <w:spacing w:val="-22"/>
        </w:rPr>
        <w:t xml:space="preserve"> </w:t>
      </w:r>
      <w:r w:rsidR="00216117">
        <w:rPr>
          <w:color w:val="231F20"/>
        </w:rPr>
        <w:t>ve</w:t>
      </w:r>
      <w:r w:rsidR="00216117">
        <w:rPr>
          <w:color w:val="231F20"/>
          <w:spacing w:val="-21"/>
        </w:rPr>
        <w:t xml:space="preserve"> </w:t>
      </w:r>
      <w:r w:rsidR="00216117">
        <w:rPr>
          <w:color w:val="231F20"/>
        </w:rPr>
        <w:t>které</w:t>
      </w:r>
      <w:r w:rsidR="00216117">
        <w:rPr>
          <w:color w:val="231F20"/>
          <w:spacing w:val="-22"/>
        </w:rPr>
        <w:t xml:space="preserve"> </w:t>
      </w:r>
      <w:r w:rsidR="00216117">
        <w:rPr>
          <w:color w:val="231F20"/>
        </w:rPr>
        <w:t>se</w:t>
      </w:r>
      <w:r w:rsidR="00216117">
        <w:rPr>
          <w:color w:val="231F20"/>
          <w:spacing w:val="-22"/>
        </w:rPr>
        <w:t xml:space="preserve"> </w:t>
      </w:r>
      <w:r w:rsidR="00216117">
        <w:rPr>
          <w:color w:val="231F20"/>
        </w:rPr>
        <w:t>pojištěný</w:t>
      </w:r>
      <w:r w:rsidR="00216117">
        <w:rPr>
          <w:color w:val="231F20"/>
          <w:spacing w:val="-22"/>
        </w:rPr>
        <w:t xml:space="preserve"> </w:t>
      </w:r>
      <w:r w:rsidR="00216117">
        <w:rPr>
          <w:color w:val="231F20"/>
        </w:rPr>
        <w:t xml:space="preserve">pouze </w:t>
      </w:r>
      <w:r w:rsidR="00216117">
        <w:rPr>
          <w:color w:val="231F20"/>
          <w:w w:val="95"/>
        </w:rPr>
        <w:t xml:space="preserve">podroboval zdravotním kontrolám, případně rehabilitaci zaměřené na zmírnění </w:t>
      </w:r>
      <w:r w:rsidR="00216117">
        <w:rPr>
          <w:color w:val="231F20"/>
        </w:rPr>
        <w:t>bolesti, bez následné úpravy zdravotního</w:t>
      </w:r>
      <w:r w:rsidR="00216117">
        <w:rPr>
          <w:color w:val="231F20"/>
          <w:spacing w:val="-12"/>
        </w:rPr>
        <w:t xml:space="preserve"> </w:t>
      </w:r>
      <w:r w:rsidR="00216117">
        <w:rPr>
          <w:color w:val="231F20"/>
        </w:rPr>
        <w:t>stavu.</w:t>
      </w:r>
    </w:p>
    <w:p w14:paraId="3D9B621B" w14:textId="77777777" w:rsidR="00F65BCA" w:rsidRDefault="00F65BCA">
      <w:pPr>
        <w:pStyle w:val="Zkladntext"/>
        <w:spacing w:before="7"/>
        <w:rPr>
          <w:sz w:val="22"/>
        </w:rPr>
      </w:pPr>
    </w:p>
    <w:p w14:paraId="0D0F783C" w14:textId="77777777" w:rsidR="00F65BCA" w:rsidRDefault="00216117">
      <w:pPr>
        <w:pStyle w:val="Zkladntext"/>
        <w:spacing w:before="1" w:line="206" w:lineRule="auto"/>
        <w:ind w:left="1360" w:right="418" w:hanging="1173"/>
      </w:pPr>
      <w:r>
        <w:rPr>
          <w:color w:val="FFFFFF"/>
          <w:sz w:val="16"/>
          <w:shd w:val="clear" w:color="auto" w:fill="808285"/>
        </w:rPr>
        <w:t xml:space="preserve">  </w:t>
      </w:r>
      <w:r>
        <w:rPr>
          <w:color w:val="FFFFFF"/>
          <w:w w:val="105"/>
          <w:sz w:val="16"/>
          <w:shd w:val="clear" w:color="auto" w:fill="808285"/>
        </w:rPr>
        <w:t>Článek 82</w:t>
      </w:r>
      <w:r>
        <w:rPr>
          <w:color w:val="FFFFFF"/>
          <w:w w:val="105"/>
          <w:sz w:val="16"/>
        </w:rPr>
        <w:t xml:space="preserve"> </w:t>
      </w:r>
      <w:r>
        <w:rPr>
          <w:color w:val="231F20"/>
          <w:w w:val="105"/>
          <w:position w:val="1"/>
        </w:rPr>
        <w:t xml:space="preserve">Pojistné plnění z pojištění trvalých následků úrazu od 0,01 % </w:t>
      </w:r>
      <w:r>
        <w:rPr>
          <w:color w:val="231F20"/>
          <w:w w:val="105"/>
        </w:rPr>
        <w:t>včetně progresivního plnění</w:t>
      </w:r>
    </w:p>
    <w:p w14:paraId="258441C8" w14:textId="77777777" w:rsidR="00F65BCA" w:rsidRDefault="00F65BCA">
      <w:pPr>
        <w:pStyle w:val="Zkladntext"/>
        <w:spacing w:before="3"/>
        <w:rPr>
          <w:sz w:val="16"/>
        </w:rPr>
      </w:pPr>
    </w:p>
    <w:p w14:paraId="5DDC6108" w14:textId="77777777" w:rsidR="00F65BCA" w:rsidRDefault="00216117">
      <w:pPr>
        <w:pStyle w:val="Zkladntext"/>
        <w:spacing w:before="1" w:line="276" w:lineRule="auto"/>
        <w:ind w:left="469" w:right="424" w:hanging="283"/>
        <w:jc w:val="both"/>
      </w:pPr>
      <w:r>
        <w:rPr>
          <w:color w:val="231F20"/>
          <w:sz w:val="14"/>
          <w:shd w:val="clear" w:color="auto" w:fill="D1D3D4"/>
        </w:rPr>
        <w:t xml:space="preserve"> </w:t>
      </w:r>
      <w:r>
        <w:rPr>
          <w:color w:val="231F20"/>
          <w:spacing w:val="-22"/>
          <w:sz w:val="14"/>
          <w:shd w:val="clear" w:color="auto" w:fill="D1D3D4"/>
        </w:rPr>
        <w:t xml:space="preserve"> </w:t>
      </w:r>
      <w:r>
        <w:rPr>
          <w:color w:val="231F20"/>
          <w:sz w:val="14"/>
          <w:shd w:val="clear" w:color="auto" w:fill="D1D3D4"/>
        </w:rPr>
        <w:t>1</w:t>
      </w:r>
      <w:r>
        <w:rPr>
          <w:color w:val="231F20"/>
          <w:sz w:val="14"/>
        </w:rPr>
        <w:t xml:space="preserve"> </w:t>
      </w:r>
      <w:r>
        <w:rPr>
          <w:color w:val="231F20"/>
          <w:position w:val="1"/>
        </w:rPr>
        <w:t xml:space="preserve">Pojišťovna určuje výši pojistného plnění podle Oceňovacích tabulek B (plat- </w:t>
      </w:r>
      <w:r>
        <w:rPr>
          <w:color w:val="231F20"/>
        </w:rPr>
        <w:t>ných</w:t>
      </w:r>
      <w:r>
        <w:rPr>
          <w:color w:val="231F20"/>
          <w:spacing w:val="-20"/>
        </w:rPr>
        <w:t xml:space="preserve"> </w:t>
      </w:r>
      <w:r>
        <w:rPr>
          <w:color w:val="231F20"/>
        </w:rPr>
        <w:t>ke</w:t>
      </w:r>
      <w:r>
        <w:rPr>
          <w:color w:val="231F20"/>
          <w:spacing w:val="-19"/>
        </w:rPr>
        <w:t xml:space="preserve"> </w:t>
      </w:r>
      <w:r>
        <w:rPr>
          <w:color w:val="231F20"/>
        </w:rPr>
        <w:t>dni</w:t>
      </w:r>
      <w:r>
        <w:rPr>
          <w:color w:val="231F20"/>
          <w:spacing w:val="-19"/>
        </w:rPr>
        <w:t xml:space="preserve"> </w:t>
      </w:r>
      <w:r>
        <w:rPr>
          <w:color w:val="231F20"/>
        </w:rPr>
        <w:t>vzniku</w:t>
      </w:r>
      <w:r>
        <w:rPr>
          <w:color w:val="231F20"/>
          <w:spacing w:val="-20"/>
        </w:rPr>
        <w:t xml:space="preserve"> </w:t>
      </w:r>
      <w:r>
        <w:rPr>
          <w:color w:val="231F20"/>
        </w:rPr>
        <w:t>pojistné</w:t>
      </w:r>
      <w:r>
        <w:rPr>
          <w:color w:val="231F20"/>
          <w:spacing w:val="-19"/>
        </w:rPr>
        <w:t xml:space="preserve"> </w:t>
      </w:r>
      <w:r>
        <w:rPr>
          <w:color w:val="231F20"/>
        </w:rPr>
        <w:t>události),</w:t>
      </w:r>
      <w:r>
        <w:rPr>
          <w:color w:val="231F20"/>
          <w:spacing w:val="-20"/>
        </w:rPr>
        <w:t xml:space="preserve"> </w:t>
      </w:r>
      <w:r>
        <w:rPr>
          <w:color w:val="231F20"/>
        </w:rPr>
        <w:t>podle</w:t>
      </w:r>
      <w:r>
        <w:rPr>
          <w:color w:val="231F20"/>
          <w:spacing w:val="-19"/>
        </w:rPr>
        <w:t xml:space="preserve"> </w:t>
      </w:r>
      <w:r>
        <w:rPr>
          <w:color w:val="231F20"/>
        </w:rPr>
        <w:t>pojistné</w:t>
      </w:r>
      <w:r>
        <w:rPr>
          <w:color w:val="231F20"/>
          <w:spacing w:val="-19"/>
        </w:rPr>
        <w:t xml:space="preserve"> </w:t>
      </w:r>
      <w:r>
        <w:rPr>
          <w:color w:val="231F20"/>
        </w:rPr>
        <w:t>částky</w:t>
      </w:r>
      <w:r>
        <w:rPr>
          <w:color w:val="231F20"/>
          <w:spacing w:val="-19"/>
        </w:rPr>
        <w:t xml:space="preserve"> </w:t>
      </w:r>
      <w:r>
        <w:rPr>
          <w:color w:val="231F20"/>
        </w:rPr>
        <w:t>sjednané</w:t>
      </w:r>
      <w:r>
        <w:rPr>
          <w:color w:val="231F20"/>
          <w:spacing w:val="-19"/>
        </w:rPr>
        <w:t xml:space="preserve"> </w:t>
      </w:r>
      <w:r>
        <w:rPr>
          <w:color w:val="231F20"/>
        </w:rPr>
        <w:t>v</w:t>
      </w:r>
      <w:r>
        <w:rPr>
          <w:color w:val="231F20"/>
          <w:spacing w:val="-19"/>
        </w:rPr>
        <w:t xml:space="preserve"> </w:t>
      </w:r>
      <w:r>
        <w:rPr>
          <w:color w:val="231F20"/>
        </w:rPr>
        <w:t>pojistné smlouvě a podle tabulky progresivního plnění</w:t>
      </w:r>
      <w:r>
        <w:rPr>
          <w:color w:val="231F20"/>
          <w:spacing w:val="-16"/>
        </w:rPr>
        <w:t xml:space="preserve"> </w:t>
      </w:r>
      <w:r>
        <w:rPr>
          <w:color w:val="231F20"/>
        </w:rPr>
        <w:t>takto:</w:t>
      </w:r>
    </w:p>
    <w:p w14:paraId="6A8365C4" w14:textId="77777777" w:rsidR="00F65BCA" w:rsidRDefault="00F65BCA">
      <w:pPr>
        <w:spacing w:line="276" w:lineRule="auto"/>
        <w:jc w:val="both"/>
        <w:sectPr w:rsidR="00F65BCA">
          <w:pgSz w:w="11910" w:h="16840"/>
          <w:pgMar w:top="520" w:right="140" w:bottom="0" w:left="140" w:header="708" w:footer="708" w:gutter="0"/>
          <w:cols w:num="2" w:space="708" w:equalWidth="0">
            <w:col w:w="5700" w:space="40"/>
            <w:col w:w="5890"/>
          </w:cols>
        </w:sectPr>
      </w:pPr>
    </w:p>
    <w:p w14:paraId="4DE405B1" w14:textId="77777777" w:rsidR="00F65BCA" w:rsidRDefault="00000000">
      <w:pPr>
        <w:pStyle w:val="Zkladntext"/>
        <w:spacing w:before="8"/>
        <w:rPr>
          <w:sz w:val="29"/>
        </w:rPr>
      </w:pPr>
      <w:r>
        <w:pict w14:anchorId="3A89EF9E">
          <v:group id="_x0000_s2195" style="position:absolute;margin-left:0;margin-top:807.85pt;width:595.3pt;height:34.05pt;z-index:251919360;mso-position-horizontal-relative:page;mso-position-vertical-relative:page" coordorigin=",16157" coordsize="11906,681">
            <v:rect id="_x0000_s2198" style="position:absolute;top:16157;width:11906;height:681" fillcolor="#dcddde" stroked="f"/>
            <v:shape id="_x0000_s2197" type="#_x0000_t202" style="position:absolute;left:1020;top:16477;width:1414;height:164" filled="f" stroked="f">
              <v:textbox inset="0,0,0,0">
                <w:txbxContent>
                  <w:p w14:paraId="1EE02F78" w14:textId="77777777" w:rsidR="00F65BCA" w:rsidRDefault="00216117">
                    <w:pPr>
                      <w:spacing w:before="2"/>
                      <w:rPr>
                        <w:sz w:val="14"/>
                      </w:rPr>
                    </w:pPr>
                    <w:r>
                      <w:rPr>
                        <w:color w:val="231F20"/>
                        <w:sz w:val="14"/>
                      </w:rPr>
                      <w:t>6.20.012 05.2025 v04</w:t>
                    </w:r>
                  </w:p>
                </w:txbxContent>
              </v:textbox>
            </v:shape>
            <v:shape id="_x0000_s2196" type="#_x0000_t202" style="position:absolute;left:5679;top:16420;width:5453;height:234" filled="f" stroked="f">
              <v:textbox inset="0,0,0,0">
                <w:txbxContent>
                  <w:p w14:paraId="58C0F1DA" w14:textId="77777777" w:rsidR="00F65BCA" w:rsidRDefault="00216117">
                    <w:pPr>
                      <w:spacing w:before="3"/>
                      <w:rPr>
                        <w:sz w:val="16"/>
                      </w:rPr>
                    </w:pPr>
                    <w:r>
                      <w:rPr>
                        <w:color w:val="231F20"/>
                        <w:sz w:val="16"/>
                      </w:rPr>
                      <w:t xml:space="preserve">Všeobecné pojistné podmínky pro pojištění vozidel VPPPMV-F-5/2025 </w:t>
                    </w:r>
                    <w:r>
                      <w:rPr>
                        <w:color w:val="6D6E71"/>
                        <w:sz w:val="20"/>
                      </w:rPr>
                      <w:t xml:space="preserve">| </w:t>
                    </w:r>
                    <w:r>
                      <w:rPr>
                        <w:color w:val="231F20"/>
                        <w:sz w:val="16"/>
                      </w:rPr>
                      <w:t>33</w:t>
                    </w:r>
                  </w:p>
                </w:txbxContent>
              </v:textbox>
            </v:shape>
            <w10:wrap anchorx="page" anchory="page"/>
          </v:group>
        </w:pict>
      </w:r>
    </w:p>
    <w:tbl>
      <w:tblPr>
        <w:tblStyle w:val="TableNormal"/>
        <w:tblW w:w="0" w:type="auto"/>
        <w:tblInd w:w="4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133"/>
        <w:gridCol w:w="1020"/>
        <w:gridCol w:w="1133"/>
        <w:gridCol w:w="1020"/>
        <w:gridCol w:w="1133"/>
        <w:gridCol w:w="1020"/>
        <w:gridCol w:w="1133"/>
        <w:gridCol w:w="963"/>
        <w:gridCol w:w="1190"/>
      </w:tblGrid>
      <w:tr w:rsidR="00F65BCA" w14:paraId="3C482323" w14:textId="77777777">
        <w:trPr>
          <w:trHeight w:val="717"/>
        </w:trPr>
        <w:tc>
          <w:tcPr>
            <w:tcW w:w="1020" w:type="dxa"/>
            <w:tcBorders>
              <w:left w:val="nil"/>
              <w:right w:val="single" w:sz="4" w:space="0" w:color="231F20"/>
            </w:tcBorders>
          </w:tcPr>
          <w:p w14:paraId="3FBB29F2" w14:textId="77777777" w:rsidR="00F65BCA" w:rsidRDefault="00F65BCA">
            <w:pPr>
              <w:pStyle w:val="TableParagraph"/>
              <w:spacing w:before="5"/>
              <w:rPr>
                <w:sz w:val="17"/>
              </w:rPr>
            </w:pPr>
          </w:p>
          <w:p w14:paraId="0A45102B" w14:textId="77777777" w:rsidR="00F65BCA" w:rsidRDefault="00216117">
            <w:pPr>
              <w:pStyle w:val="TableParagraph"/>
              <w:spacing w:line="223" w:lineRule="auto"/>
              <w:ind w:left="170" w:right="141" w:firstLine="38"/>
              <w:rPr>
                <w:sz w:val="15"/>
              </w:rPr>
            </w:pPr>
            <w:r>
              <w:rPr>
                <w:color w:val="231F20"/>
                <w:w w:val="105"/>
                <w:sz w:val="15"/>
              </w:rPr>
              <w:t xml:space="preserve">Procento </w:t>
            </w:r>
            <w:r>
              <w:rPr>
                <w:color w:val="231F20"/>
                <w:sz w:val="15"/>
              </w:rPr>
              <w:t>poškození</w:t>
            </w:r>
          </w:p>
        </w:tc>
        <w:tc>
          <w:tcPr>
            <w:tcW w:w="1133" w:type="dxa"/>
            <w:tcBorders>
              <w:left w:val="single" w:sz="4" w:space="0" w:color="231F20"/>
              <w:right w:val="single" w:sz="4" w:space="0" w:color="231F20"/>
            </w:tcBorders>
          </w:tcPr>
          <w:p w14:paraId="168A00A3" w14:textId="77777777" w:rsidR="00F65BCA" w:rsidRDefault="00216117">
            <w:pPr>
              <w:pStyle w:val="TableParagraph"/>
              <w:spacing w:before="40" w:line="223" w:lineRule="auto"/>
              <w:ind w:left="76" w:right="6"/>
              <w:jc w:val="center"/>
              <w:rPr>
                <w:sz w:val="15"/>
              </w:rPr>
            </w:pPr>
            <w:r>
              <w:rPr>
                <w:color w:val="231F20"/>
                <w:sz w:val="15"/>
              </w:rPr>
              <w:t>Pojistné plnění (procento</w:t>
            </w:r>
          </w:p>
          <w:p w14:paraId="47473DD6" w14:textId="77777777" w:rsidR="00F65BCA" w:rsidRDefault="00216117">
            <w:pPr>
              <w:pStyle w:val="TableParagraph"/>
              <w:spacing w:line="223" w:lineRule="auto"/>
              <w:ind w:left="76" w:right="6"/>
              <w:jc w:val="center"/>
              <w:rPr>
                <w:sz w:val="15"/>
              </w:rPr>
            </w:pPr>
            <w:r>
              <w:rPr>
                <w:color w:val="231F20"/>
                <w:sz w:val="15"/>
              </w:rPr>
              <w:t>z pojistné částky)</w:t>
            </w:r>
          </w:p>
        </w:tc>
        <w:tc>
          <w:tcPr>
            <w:tcW w:w="1020" w:type="dxa"/>
            <w:tcBorders>
              <w:left w:val="single" w:sz="4" w:space="0" w:color="231F20"/>
              <w:right w:val="single" w:sz="4" w:space="0" w:color="231F20"/>
            </w:tcBorders>
          </w:tcPr>
          <w:p w14:paraId="131C25AB" w14:textId="77777777" w:rsidR="00F65BCA" w:rsidRDefault="00F65BCA">
            <w:pPr>
              <w:pStyle w:val="TableParagraph"/>
              <w:spacing w:before="5"/>
              <w:rPr>
                <w:sz w:val="17"/>
              </w:rPr>
            </w:pPr>
          </w:p>
          <w:p w14:paraId="39DDCC51" w14:textId="77777777" w:rsidR="00F65BCA" w:rsidRDefault="00216117">
            <w:pPr>
              <w:pStyle w:val="TableParagraph"/>
              <w:spacing w:line="223" w:lineRule="auto"/>
              <w:ind w:left="166" w:right="140" w:firstLine="38"/>
              <w:rPr>
                <w:sz w:val="15"/>
              </w:rPr>
            </w:pPr>
            <w:r>
              <w:rPr>
                <w:color w:val="231F20"/>
                <w:w w:val="105"/>
                <w:sz w:val="15"/>
              </w:rPr>
              <w:t xml:space="preserve">Procento </w:t>
            </w:r>
            <w:r>
              <w:rPr>
                <w:color w:val="231F20"/>
                <w:sz w:val="15"/>
              </w:rPr>
              <w:t>poškození</w:t>
            </w:r>
          </w:p>
        </w:tc>
        <w:tc>
          <w:tcPr>
            <w:tcW w:w="1133" w:type="dxa"/>
            <w:tcBorders>
              <w:left w:val="single" w:sz="4" w:space="0" w:color="231F20"/>
              <w:right w:val="single" w:sz="4" w:space="0" w:color="231F20"/>
            </w:tcBorders>
          </w:tcPr>
          <w:p w14:paraId="0CF405F0" w14:textId="77777777" w:rsidR="00F65BCA" w:rsidRDefault="00216117">
            <w:pPr>
              <w:pStyle w:val="TableParagraph"/>
              <w:spacing w:before="40" w:line="223" w:lineRule="auto"/>
              <w:ind w:left="76" w:right="11"/>
              <w:jc w:val="center"/>
              <w:rPr>
                <w:sz w:val="15"/>
              </w:rPr>
            </w:pPr>
            <w:r>
              <w:rPr>
                <w:color w:val="231F20"/>
                <w:sz w:val="15"/>
              </w:rPr>
              <w:t>Pojistné plnění (procento</w:t>
            </w:r>
          </w:p>
          <w:p w14:paraId="089478BF" w14:textId="77777777" w:rsidR="00F65BCA" w:rsidRDefault="00216117">
            <w:pPr>
              <w:pStyle w:val="TableParagraph"/>
              <w:spacing w:line="223" w:lineRule="auto"/>
              <w:ind w:left="76" w:right="9"/>
              <w:jc w:val="center"/>
              <w:rPr>
                <w:sz w:val="15"/>
              </w:rPr>
            </w:pPr>
            <w:r>
              <w:rPr>
                <w:color w:val="231F20"/>
                <w:sz w:val="15"/>
              </w:rPr>
              <w:t>z pojistné částky)</w:t>
            </w:r>
          </w:p>
        </w:tc>
        <w:tc>
          <w:tcPr>
            <w:tcW w:w="1020" w:type="dxa"/>
            <w:tcBorders>
              <w:left w:val="single" w:sz="4" w:space="0" w:color="231F20"/>
              <w:right w:val="single" w:sz="4" w:space="0" w:color="231F20"/>
            </w:tcBorders>
          </w:tcPr>
          <w:p w14:paraId="42E8DF79" w14:textId="77777777" w:rsidR="00F65BCA" w:rsidRDefault="00F65BCA">
            <w:pPr>
              <w:pStyle w:val="TableParagraph"/>
              <w:spacing w:before="5"/>
              <w:rPr>
                <w:sz w:val="17"/>
              </w:rPr>
            </w:pPr>
          </w:p>
          <w:p w14:paraId="7AD2059C" w14:textId="77777777" w:rsidR="00F65BCA" w:rsidRDefault="00216117">
            <w:pPr>
              <w:pStyle w:val="TableParagraph"/>
              <w:spacing w:line="223" w:lineRule="auto"/>
              <w:ind w:left="168" w:right="138" w:firstLine="38"/>
              <w:rPr>
                <w:sz w:val="15"/>
              </w:rPr>
            </w:pPr>
            <w:r>
              <w:rPr>
                <w:color w:val="231F20"/>
                <w:w w:val="105"/>
                <w:sz w:val="15"/>
              </w:rPr>
              <w:t xml:space="preserve">Procento </w:t>
            </w:r>
            <w:r>
              <w:rPr>
                <w:color w:val="231F20"/>
                <w:sz w:val="15"/>
              </w:rPr>
              <w:t>poškození</w:t>
            </w:r>
          </w:p>
        </w:tc>
        <w:tc>
          <w:tcPr>
            <w:tcW w:w="1133" w:type="dxa"/>
            <w:tcBorders>
              <w:left w:val="single" w:sz="4" w:space="0" w:color="231F20"/>
              <w:right w:val="single" w:sz="4" w:space="0" w:color="231F20"/>
            </w:tcBorders>
          </w:tcPr>
          <w:p w14:paraId="662E3E03" w14:textId="77777777" w:rsidR="00F65BCA" w:rsidRDefault="00216117">
            <w:pPr>
              <w:pStyle w:val="TableParagraph"/>
              <w:spacing w:before="40" w:line="223" w:lineRule="auto"/>
              <w:ind w:left="56" w:right="27"/>
              <w:jc w:val="center"/>
              <w:rPr>
                <w:sz w:val="15"/>
              </w:rPr>
            </w:pPr>
            <w:r>
              <w:rPr>
                <w:color w:val="231F20"/>
                <w:sz w:val="15"/>
              </w:rPr>
              <w:t>Pojistné plnění (procento</w:t>
            </w:r>
          </w:p>
          <w:p w14:paraId="170DDB2C" w14:textId="77777777" w:rsidR="00F65BCA" w:rsidRDefault="00216117">
            <w:pPr>
              <w:pStyle w:val="TableParagraph"/>
              <w:spacing w:line="223" w:lineRule="auto"/>
              <w:ind w:left="56" w:right="27"/>
              <w:jc w:val="center"/>
              <w:rPr>
                <w:sz w:val="15"/>
              </w:rPr>
            </w:pPr>
            <w:r>
              <w:rPr>
                <w:color w:val="231F20"/>
                <w:sz w:val="15"/>
              </w:rPr>
              <w:t>z pojistné částky)</w:t>
            </w:r>
          </w:p>
        </w:tc>
        <w:tc>
          <w:tcPr>
            <w:tcW w:w="1020" w:type="dxa"/>
            <w:tcBorders>
              <w:left w:val="single" w:sz="4" w:space="0" w:color="231F20"/>
              <w:right w:val="single" w:sz="4" w:space="0" w:color="231F20"/>
            </w:tcBorders>
          </w:tcPr>
          <w:p w14:paraId="099DF7E9" w14:textId="77777777" w:rsidR="00F65BCA" w:rsidRDefault="00F65BCA">
            <w:pPr>
              <w:pStyle w:val="TableParagraph"/>
              <w:spacing w:before="5"/>
              <w:rPr>
                <w:sz w:val="17"/>
              </w:rPr>
            </w:pPr>
          </w:p>
          <w:p w14:paraId="0C3C5FB8" w14:textId="77777777" w:rsidR="00F65BCA" w:rsidRDefault="00216117">
            <w:pPr>
              <w:pStyle w:val="TableParagraph"/>
              <w:spacing w:line="223" w:lineRule="auto"/>
              <w:ind w:left="169" w:right="137" w:firstLine="38"/>
              <w:rPr>
                <w:sz w:val="15"/>
              </w:rPr>
            </w:pPr>
            <w:r>
              <w:rPr>
                <w:color w:val="231F20"/>
                <w:w w:val="105"/>
                <w:sz w:val="15"/>
              </w:rPr>
              <w:t xml:space="preserve">Procento </w:t>
            </w:r>
            <w:r>
              <w:rPr>
                <w:color w:val="231F20"/>
                <w:sz w:val="15"/>
              </w:rPr>
              <w:t>poškození</w:t>
            </w:r>
          </w:p>
        </w:tc>
        <w:tc>
          <w:tcPr>
            <w:tcW w:w="1133" w:type="dxa"/>
            <w:tcBorders>
              <w:left w:val="single" w:sz="4" w:space="0" w:color="231F20"/>
              <w:right w:val="single" w:sz="4" w:space="0" w:color="231F20"/>
            </w:tcBorders>
          </w:tcPr>
          <w:p w14:paraId="0330C08F" w14:textId="77777777" w:rsidR="00F65BCA" w:rsidRDefault="00216117">
            <w:pPr>
              <w:pStyle w:val="TableParagraph"/>
              <w:spacing w:before="40" w:line="223" w:lineRule="auto"/>
              <w:ind w:left="59" w:right="27"/>
              <w:jc w:val="center"/>
              <w:rPr>
                <w:sz w:val="15"/>
              </w:rPr>
            </w:pPr>
            <w:r>
              <w:rPr>
                <w:color w:val="231F20"/>
                <w:sz w:val="15"/>
              </w:rPr>
              <w:t>Pojistné plnění (procento</w:t>
            </w:r>
          </w:p>
          <w:p w14:paraId="0057CF99" w14:textId="77777777" w:rsidR="00F65BCA" w:rsidRDefault="00216117">
            <w:pPr>
              <w:pStyle w:val="TableParagraph"/>
              <w:spacing w:line="223" w:lineRule="auto"/>
              <w:ind w:left="59" w:right="27"/>
              <w:jc w:val="center"/>
              <w:rPr>
                <w:sz w:val="15"/>
              </w:rPr>
            </w:pPr>
            <w:r>
              <w:rPr>
                <w:color w:val="231F20"/>
                <w:sz w:val="15"/>
              </w:rPr>
              <w:t>z pojistné částky)</w:t>
            </w:r>
          </w:p>
        </w:tc>
        <w:tc>
          <w:tcPr>
            <w:tcW w:w="963" w:type="dxa"/>
            <w:tcBorders>
              <w:left w:val="single" w:sz="4" w:space="0" w:color="231F20"/>
              <w:right w:val="single" w:sz="4" w:space="0" w:color="231F20"/>
            </w:tcBorders>
          </w:tcPr>
          <w:p w14:paraId="43C3C30D" w14:textId="77777777" w:rsidR="00F65BCA" w:rsidRDefault="00F65BCA">
            <w:pPr>
              <w:pStyle w:val="TableParagraph"/>
              <w:spacing w:before="5"/>
              <w:rPr>
                <w:sz w:val="17"/>
              </w:rPr>
            </w:pPr>
          </w:p>
          <w:p w14:paraId="481EA97A" w14:textId="77777777" w:rsidR="00F65BCA" w:rsidRDefault="00216117">
            <w:pPr>
              <w:pStyle w:val="TableParagraph"/>
              <w:spacing w:line="223" w:lineRule="auto"/>
              <w:ind w:left="142" w:right="107" w:firstLine="38"/>
              <w:rPr>
                <w:sz w:val="15"/>
              </w:rPr>
            </w:pPr>
            <w:r>
              <w:rPr>
                <w:color w:val="231F20"/>
                <w:w w:val="105"/>
                <w:sz w:val="15"/>
              </w:rPr>
              <w:t xml:space="preserve">Procento </w:t>
            </w:r>
            <w:r>
              <w:rPr>
                <w:color w:val="231F20"/>
                <w:sz w:val="15"/>
              </w:rPr>
              <w:t>poškození</w:t>
            </w:r>
          </w:p>
        </w:tc>
        <w:tc>
          <w:tcPr>
            <w:tcW w:w="1190" w:type="dxa"/>
            <w:tcBorders>
              <w:left w:val="single" w:sz="4" w:space="0" w:color="231F20"/>
              <w:right w:val="nil"/>
            </w:tcBorders>
          </w:tcPr>
          <w:p w14:paraId="5B587C25" w14:textId="77777777" w:rsidR="00F65BCA" w:rsidRDefault="00216117">
            <w:pPr>
              <w:pStyle w:val="TableParagraph"/>
              <w:spacing w:before="40" w:line="223" w:lineRule="auto"/>
              <w:ind w:left="108" w:right="78"/>
              <w:jc w:val="center"/>
              <w:rPr>
                <w:sz w:val="15"/>
              </w:rPr>
            </w:pPr>
            <w:r>
              <w:rPr>
                <w:color w:val="231F20"/>
                <w:sz w:val="15"/>
              </w:rPr>
              <w:t>Pojistné plnění (procento</w:t>
            </w:r>
          </w:p>
          <w:p w14:paraId="6C9F7493" w14:textId="77777777" w:rsidR="00F65BCA" w:rsidRDefault="00216117">
            <w:pPr>
              <w:pStyle w:val="TableParagraph"/>
              <w:spacing w:line="223" w:lineRule="auto"/>
              <w:ind w:left="108" w:right="78"/>
              <w:jc w:val="center"/>
              <w:rPr>
                <w:sz w:val="15"/>
              </w:rPr>
            </w:pPr>
            <w:r>
              <w:rPr>
                <w:color w:val="231F20"/>
                <w:sz w:val="15"/>
              </w:rPr>
              <w:t>z pojistné částky)</w:t>
            </w:r>
          </w:p>
        </w:tc>
      </w:tr>
      <w:tr w:rsidR="00F65BCA" w14:paraId="456DBB31" w14:textId="77777777">
        <w:trPr>
          <w:trHeight w:val="240"/>
        </w:trPr>
        <w:tc>
          <w:tcPr>
            <w:tcW w:w="1020" w:type="dxa"/>
            <w:tcBorders>
              <w:left w:val="nil"/>
              <w:bottom w:val="single" w:sz="4" w:space="0" w:color="231F20"/>
              <w:right w:val="single" w:sz="4" w:space="0" w:color="231F20"/>
            </w:tcBorders>
          </w:tcPr>
          <w:p w14:paraId="3678D9BF" w14:textId="77777777" w:rsidR="00F65BCA" w:rsidRDefault="00216117">
            <w:pPr>
              <w:pStyle w:val="TableParagraph"/>
              <w:spacing w:before="30"/>
              <w:ind w:right="379"/>
              <w:jc w:val="right"/>
              <w:rPr>
                <w:sz w:val="15"/>
              </w:rPr>
            </w:pPr>
            <w:r>
              <w:rPr>
                <w:color w:val="231F20"/>
                <w:sz w:val="15"/>
              </w:rPr>
              <w:t>1%</w:t>
            </w:r>
          </w:p>
        </w:tc>
        <w:tc>
          <w:tcPr>
            <w:tcW w:w="1133" w:type="dxa"/>
            <w:tcBorders>
              <w:left w:val="single" w:sz="4" w:space="0" w:color="231F20"/>
              <w:bottom w:val="single" w:sz="4" w:space="0" w:color="231F20"/>
              <w:right w:val="single" w:sz="4" w:space="0" w:color="231F20"/>
            </w:tcBorders>
          </w:tcPr>
          <w:p w14:paraId="55463AAB" w14:textId="77777777" w:rsidR="00F65BCA" w:rsidRDefault="00216117">
            <w:pPr>
              <w:pStyle w:val="TableParagraph"/>
              <w:spacing w:before="30"/>
              <w:ind w:left="172" w:right="27"/>
              <w:jc w:val="center"/>
              <w:rPr>
                <w:sz w:val="15"/>
              </w:rPr>
            </w:pPr>
            <w:r>
              <w:rPr>
                <w:color w:val="231F20"/>
                <w:sz w:val="15"/>
              </w:rPr>
              <w:t>1%</w:t>
            </w:r>
          </w:p>
        </w:tc>
        <w:tc>
          <w:tcPr>
            <w:tcW w:w="1020" w:type="dxa"/>
            <w:tcBorders>
              <w:left w:val="single" w:sz="4" w:space="0" w:color="231F20"/>
              <w:bottom w:val="single" w:sz="4" w:space="0" w:color="231F20"/>
              <w:right w:val="single" w:sz="4" w:space="0" w:color="231F20"/>
            </w:tcBorders>
          </w:tcPr>
          <w:p w14:paraId="02459A80" w14:textId="77777777" w:rsidR="00F65BCA" w:rsidRDefault="00216117">
            <w:pPr>
              <w:pStyle w:val="TableParagraph"/>
              <w:spacing w:before="30"/>
              <w:ind w:left="366"/>
              <w:rPr>
                <w:sz w:val="15"/>
              </w:rPr>
            </w:pPr>
            <w:r>
              <w:rPr>
                <w:color w:val="231F20"/>
                <w:sz w:val="15"/>
              </w:rPr>
              <w:t>21%</w:t>
            </w:r>
          </w:p>
        </w:tc>
        <w:tc>
          <w:tcPr>
            <w:tcW w:w="1133" w:type="dxa"/>
            <w:tcBorders>
              <w:left w:val="single" w:sz="4" w:space="0" w:color="231F20"/>
              <w:bottom w:val="single" w:sz="4" w:space="0" w:color="231F20"/>
              <w:right w:val="single" w:sz="4" w:space="0" w:color="231F20"/>
            </w:tcBorders>
          </w:tcPr>
          <w:p w14:paraId="4344D4F3" w14:textId="77777777" w:rsidR="00F65BCA" w:rsidRDefault="00216117">
            <w:pPr>
              <w:pStyle w:val="TableParagraph"/>
              <w:spacing w:before="30"/>
              <w:ind w:left="51" w:right="27"/>
              <w:jc w:val="center"/>
              <w:rPr>
                <w:sz w:val="15"/>
              </w:rPr>
            </w:pPr>
            <w:r>
              <w:rPr>
                <w:color w:val="231F20"/>
                <w:sz w:val="15"/>
              </w:rPr>
              <w:t>21%</w:t>
            </w:r>
          </w:p>
        </w:tc>
        <w:tc>
          <w:tcPr>
            <w:tcW w:w="1020" w:type="dxa"/>
            <w:tcBorders>
              <w:left w:val="single" w:sz="4" w:space="0" w:color="231F20"/>
              <w:bottom w:val="single" w:sz="4" w:space="0" w:color="231F20"/>
              <w:right w:val="single" w:sz="4" w:space="0" w:color="231F20"/>
            </w:tcBorders>
          </w:tcPr>
          <w:p w14:paraId="42AA4DD0" w14:textId="77777777" w:rsidR="00F65BCA" w:rsidRDefault="00216117">
            <w:pPr>
              <w:pStyle w:val="TableParagraph"/>
              <w:spacing w:before="30"/>
              <w:ind w:left="367"/>
              <w:rPr>
                <w:sz w:val="15"/>
              </w:rPr>
            </w:pPr>
            <w:r>
              <w:rPr>
                <w:color w:val="231F20"/>
                <w:sz w:val="15"/>
              </w:rPr>
              <w:t>41%</w:t>
            </w:r>
          </w:p>
        </w:tc>
        <w:tc>
          <w:tcPr>
            <w:tcW w:w="1133" w:type="dxa"/>
            <w:tcBorders>
              <w:left w:val="single" w:sz="4" w:space="0" w:color="231F20"/>
              <w:bottom w:val="single" w:sz="4" w:space="0" w:color="231F20"/>
              <w:right w:val="single" w:sz="4" w:space="0" w:color="231F20"/>
            </w:tcBorders>
          </w:tcPr>
          <w:p w14:paraId="1A7805BF" w14:textId="77777777" w:rsidR="00F65BCA" w:rsidRDefault="00216117">
            <w:pPr>
              <w:pStyle w:val="TableParagraph"/>
              <w:spacing w:before="30"/>
              <w:ind w:right="375"/>
              <w:jc w:val="right"/>
              <w:rPr>
                <w:sz w:val="15"/>
              </w:rPr>
            </w:pPr>
            <w:r>
              <w:rPr>
                <w:color w:val="231F20"/>
                <w:w w:val="95"/>
                <w:sz w:val="15"/>
              </w:rPr>
              <w:t>73%</w:t>
            </w:r>
          </w:p>
        </w:tc>
        <w:tc>
          <w:tcPr>
            <w:tcW w:w="1020" w:type="dxa"/>
            <w:tcBorders>
              <w:left w:val="single" w:sz="4" w:space="0" w:color="231F20"/>
              <w:bottom w:val="single" w:sz="4" w:space="0" w:color="231F20"/>
              <w:right w:val="single" w:sz="4" w:space="0" w:color="231F20"/>
            </w:tcBorders>
          </w:tcPr>
          <w:p w14:paraId="09813A6B" w14:textId="77777777" w:rsidR="00F65BCA" w:rsidRDefault="00216117">
            <w:pPr>
              <w:pStyle w:val="TableParagraph"/>
              <w:spacing w:before="30"/>
              <w:ind w:left="36" w:right="8"/>
              <w:jc w:val="center"/>
              <w:rPr>
                <w:sz w:val="15"/>
              </w:rPr>
            </w:pPr>
            <w:r>
              <w:rPr>
                <w:color w:val="231F20"/>
                <w:sz w:val="15"/>
              </w:rPr>
              <w:t>61%</w:t>
            </w:r>
          </w:p>
        </w:tc>
        <w:tc>
          <w:tcPr>
            <w:tcW w:w="1133" w:type="dxa"/>
            <w:tcBorders>
              <w:left w:val="single" w:sz="4" w:space="0" w:color="231F20"/>
              <w:bottom w:val="single" w:sz="4" w:space="0" w:color="231F20"/>
              <w:right w:val="single" w:sz="4" w:space="0" w:color="231F20"/>
            </w:tcBorders>
          </w:tcPr>
          <w:p w14:paraId="3DAAE008" w14:textId="77777777" w:rsidR="00F65BCA" w:rsidRDefault="00216117">
            <w:pPr>
              <w:pStyle w:val="TableParagraph"/>
              <w:spacing w:before="30"/>
              <w:ind w:left="56" w:right="27"/>
              <w:jc w:val="center"/>
              <w:rPr>
                <w:sz w:val="15"/>
              </w:rPr>
            </w:pPr>
            <w:r>
              <w:rPr>
                <w:color w:val="231F20"/>
                <w:sz w:val="15"/>
              </w:rPr>
              <w:t>199%</w:t>
            </w:r>
          </w:p>
        </w:tc>
        <w:tc>
          <w:tcPr>
            <w:tcW w:w="963" w:type="dxa"/>
            <w:tcBorders>
              <w:left w:val="single" w:sz="4" w:space="0" w:color="231F20"/>
              <w:bottom w:val="single" w:sz="4" w:space="0" w:color="231F20"/>
              <w:right w:val="single" w:sz="4" w:space="0" w:color="231F20"/>
            </w:tcBorders>
          </w:tcPr>
          <w:p w14:paraId="5F615F7B" w14:textId="77777777" w:rsidR="00F65BCA" w:rsidRDefault="00216117">
            <w:pPr>
              <w:pStyle w:val="TableParagraph"/>
              <w:spacing w:before="30"/>
              <w:ind w:left="342"/>
              <w:rPr>
                <w:sz w:val="15"/>
              </w:rPr>
            </w:pPr>
            <w:r>
              <w:rPr>
                <w:color w:val="231F20"/>
                <w:sz w:val="15"/>
              </w:rPr>
              <w:t>81%</w:t>
            </w:r>
          </w:p>
        </w:tc>
        <w:tc>
          <w:tcPr>
            <w:tcW w:w="1190" w:type="dxa"/>
            <w:tcBorders>
              <w:left w:val="single" w:sz="4" w:space="0" w:color="231F20"/>
              <w:bottom w:val="single" w:sz="4" w:space="0" w:color="231F20"/>
              <w:right w:val="nil"/>
            </w:tcBorders>
          </w:tcPr>
          <w:p w14:paraId="3598E3F3" w14:textId="77777777" w:rsidR="00F65BCA" w:rsidRDefault="00216117">
            <w:pPr>
              <w:pStyle w:val="TableParagraph"/>
              <w:spacing w:before="30"/>
              <w:ind w:left="407"/>
              <w:rPr>
                <w:sz w:val="15"/>
              </w:rPr>
            </w:pPr>
            <w:r>
              <w:rPr>
                <w:color w:val="231F20"/>
                <w:sz w:val="15"/>
              </w:rPr>
              <w:t>385%</w:t>
            </w:r>
          </w:p>
        </w:tc>
      </w:tr>
      <w:tr w:rsidR="00F65BCA" w14:paraId="085176EE" w14:textId="77777777">
        <w:trPr>
          <w:trHeight w:val="245"/>
        </w:trPr>
        <w:tc>
          <w:tcPr>
            <w:tcW w:w="1020" w:type="dxa"/>
            <w:tcBorders>
              <w:top w:val="single" w:sz="4" w:space="0" w:color="231F20"/>
              <w:left w:val="nil"/>
              <w:bottom w:val="single" w:sz="4" w:space="0" w:color="231F20"/>
              <w:right w:val="single" w:sz="4" w:space="0" w:color="231F20"/>
            </w:tcBorders>
          </w:tcPr>
          <w:p w14:paraId="1DB31F72" w14:textId="77777777" w:rsidR="00F65BCA" w:rsidRDefault="00216117">
            <w:pPr>
              <w:pStyle w:val="TableParagraph"/>
              <w:spacing w:before="35"/>
              <w:ind w:right="379"/>
              <w:jc w:val="right"/>
              <w:rPr>
                <w:sz w:val="15"/>
              </w:rPr>
            </w:pPr>
            <w:r>
              <w:rPr>
                <w:color w:val="231F20"/>
                <w:sz w:val="15"/>
              </w:rPr>
              <w:t>2%</w:t>
            </w:r>
          </w:p>
        </w:tc>
        <w:tc>
          <w:tcPr>
            <w:tcW w:w="1133" w:type="dxa"/>
            <w:tcBorders>
              <w:top w:val="single" w:sz="4" w:space="0" w:color="231F20"/>
              <w:left w:val="single" w:sz="4" w:space="0" w:color="231F20"/>
              <w:bottom w:val="single" w:sz="4" w:space="0" w:color="231F20"/>
              <w:right w:val="single" w:sz="4" w:space="0" w:color="231F20"/>
            </w:tcBorders>
          </w:tcPr>
          <w:p w14:paraId="7BCA0751" w14:textId="77777777" w:rsidR="00F65BCA" w:rsidRDefault="00216117">
            <w:pPr>
              <w:pStyle w:val="TableParagraph"/>
              <w:spacing w:before="35"/>
              <w:ind w:left="172" w:right="27"/>
              <w:jc w:val="center"/>
              <w:rPr>
                <w:sz w:val="15"/>
              </w:rPr>
            </w:pPr>
            <w:r>
              <w:rPr>
                <w:color w:val="231F20"/>
                <w:sz w:val="15"/>
              </w:rPr>
              <w:t>2%</w:t>
            </w:r>
          </w:p>
        </w:tc>
        <w:tc>
          <w:tcPr>
            <w:tcW w:w="1020" w:type="dxa"/>
            <w:tcBorders>
              <w:top w:val="single" w:sz="4" w:space="0" w:color="231F20"/>
              <w:left w:val="single" w:sz="4" w:space="0" w:color="231F20"/>
              <w:bottom w:val="single" w:sz="4" w:space="0" w:color="231F20"/>
              <w:right w:val="single" w:sz="4" w:space="0" w:color="231F20"/>
            </w:tcBorders>
          </w:tcPr>
          <w:p w14:paraId="1087A364" w14:textId="77777777" w:rsidR="00F65BCA" w:rsidRDefault="00216117">
            <w:pPr>
              <w:pStyle w:val="TableParagraph"/>
              <w:spacing w:before="35"/>
              <w:ind w:left="366"/>
              <w:rPr>
                <w:sz w:val="15"/>
              </w:rPr>
            </w:pPr>
            <w:r>
              <w:rPr>
                <w:color w:val="231F20"/>
                <w:sz w:val="15"/>
              </w:rPr>
              <w:t>22%</w:t>
            </w:r>
          </w:p>
        </w:tc>
        <w:tc>
          <w:tcPr>
            <w:tcW w:w="1133" w:type="dxa"/>
            <w:tcBorders>
              <w:top w:val="single" w:sz="4" w:space="0" w:color="231F20"/>
              <w:left w:val="single" w:sz="4" w:space="0" w:color="231F20"/>
              <w:bottom w:val="single" w:sz="4" w:space="0" w:color="231F20"/>
              <w:right w:val="single" w:sz="4" w:space="0" w:color="231F20"/>
            </w:tcBorders>
          </w:tcPr>
          <w:p w14:paraId="3E93FBA2" w14:textId="77777777" w:rsidR="00F65BCA" w:rsidRDefault="00216117">
            <w:pPr>
              <w:pStyle w:val="TableParagraph"/>
              <w:spacing w:before="35"/>
              <w:ind w:left="51" w:right="27"/>
              <w:jc w:val="center"/>
              <w:rPr>
                <w:sz w:val="15"/>
              </w:rPr>
            </w:pPr>
            <w:r>
              <w:rPr>
                <w:color w:val="231F20"/>
                <w:sz w:val="15"/>
              </w:rPr>
              <w:t>22%</w:t>
            </w:r>
          </w:p>
        </w:tc>
        <w:tc>
          <w:tcPr>
            <w:tcW w:w="1020" w:type="dxa"/>
            <w:tcBorders>
              <w:top w:val="single" w:sz="4" w:space="0" w:color="231F20"/>
              <w:left w:val="single" w:sz="4" w:space="0" w:color="231F20"/>
              <w:bottom w:val="single" w:sz="4" w:space="0" w:color="231F20"/>
              <w:right w:val="single" w:sz="4" w:space="0" w:color="231F20"/>
            </w:tcBorders>
          </w:tcPr>
          <w:p w14:paraId="4E295A8E" w14:textId="77777777" w:rsidR="00F65BCA" w:rsidRDefault="00216117">
            <w:pPr>
              <w:pStyle w:val="TableParagraph"/>
              <w:spacing w:before="35"/>
              <w:ind w:left="367"/>
              <w:rPr>
                <w:sz w:val="15"/>
              </w:rPr>
            </w:pPr>
            <w:r>
              <w:rPr>
                <w:color w:val="231F20"/>
                <w:sz w:val="15"/>
              </w:rPr>
              <w:t>42%</w:t>
            </w:r>
          </w:p>
        </w:tc>
        <w:tc>
          <w:tcPr>
            <w:tcW w:w="1133" w:type="dxa"/>
            <w:tcBorders>
              <w:top w:val="single" w:sz="4" w:space="0" w:color="231F20"/>
              <w:left w:val="single" w:sz="4" w:space="0" w:color="231F20"/>
              <w:bottom w:val="single" w:sz="4" w:space="0" w:color="231F20"/>
              <w:right w:val="single" w:sz="4" w:space="0" w:color="231F20"/>
            </w:tcBorders>
          </w:tcPr>
          <w:p w14:paraId="2383D839" w14:textId="77777777" w:rsidR="00F65BCA" w:rsidRDefault="00216117">
            <w:pPr>
              <w:pStyle w:val="TableParagraph"/>
              <w:spacing w:before="35"/>
              <w:ind w:right="375"/>
              <w:jc w:val="right"/>
              <w:rPr>
                <w:sz w:val="15"/>
              </w:rPr>
            </w:pPr>
            <w:r>
              <w:rPr>
                <w:color w:val="231F20"/>
                <w:w w:val="95"/>
                <w:sz w:val="15"/>
              </w:rPr>
              <w:t>76%</w:t>
            </w:r>
          </w:p>
        </w:tc>
        <w:tc>
          <w:tcPr>
            <w:tcW w:w="1020" w:type="dxa"/>
            <w:tcBorders>
              <w:top w:val="single" w:sz="4" w:space="0" w:color="231F20"/>
              <w:left w:val="single" w:sz="4" w:space="0" w:color="231F20"/>
              <w:bottom w:val="single" w:sz="4" w:space="0" w:color="231F20"/>
              <w:right w:val="single" w:sz="4" w:space="0" w:color="231F20"/>
            </w:tcBorders>
          </w:tcPr>
          <w:p w14:paraId="140AC5FF" w14:textId="77777777" w:rsidR="00F65BCA" w:rsidRDefault="00216117">
            <w:pPr>
              <w:pStyle w:val="TableParagraph"/>
              <w:spacing w:before="35"/>
              <w:ind w:left="36" w:right="8"/>
              <w:jc w:val="center"/>
              <w:rPr>
                <w:sz w:val="15"/>
              </w:rPr>
            </w:pPr>
            <w:r>
              <w:rPr>
                <w:color w:val="231F20"/>
                <w:sz w:val="15"/>
              </w:rPr>
              <w:t>62%</w:t>
            </w:r>
          </w:p>
        </w:tc>
        <w:tc>
          <w:tcPr>
            <w:tcW w:w="1133" w:type="dxa"/>
            <w:tcBorders>
              <w:top w:val="single" w:sz="4" w:space="0" w:color="231F20"/>
              <w:left w:val="single" w:sz="4" w:space="0" w:color="231F20"/>
              <w:bottom w:val="single" w:sz="4" w:space="0" w:color="231F20"/>
              <w:right w:val="single" w:sz="4" w:space="0" w:color="231F20"/>
            </w:tcBorders>
          </w:tcPr>
          <w:p w14:paraId="7C5A7F74" w14:textId="77777777" w:rsidR="00F65BCA" w:rsidRDefault="00216117">
            <w:pPr>
              <w:pStyle w:val="TableParagraph"/>
              <w:spacing w:before="35"/>
              <w:ind w:left="56" w:right="27"/>
              <w:jc w:val="center"/>
              <w:rPr>
                <w:sz w:val="15"/>
              </w:rPr>
            </w:pPr>
            <w:r>
              <w:rPr>
                <w:color w:val="231F20"/>
                <w:sz w:val="15"/>
              </w:rPr>
              <w:t>208%</w:t>
            </w:r>
          </w:p>
        </w:tc>
        <w:tc>
          <w:tcPr>
            <w:tcW w:w="963" w:type="dxa"/>
            <w:tcBorders>
              <w:top w:val="single" w:sz="4" w:space="0" w:color="231F20"/>
              <w:left w:val="single" w:sz="4" w:space="0" w:color="231F20"/>
              <w:bottom w:val="single" w:sz="4" w:space="0" w:color="231F20"/>
              <w:right w:val="single" w:sz="4" w:space="0" w:color="231F20"/>
            </w:tcBorders>
          </w:tcPr>
          <w:p w14:paraId="36D891B5" w14:textId="77777777" w:rsidR="00F65BCA" w:rsidRDefault="00216117">
            <w:pPr>
              <w:pStyle w:val="TableParagraph"/>
              <w:spacing w:before="35"/>
              <w:ind w:left="342"/>
              <w:rPr>
                <w:sz w:val="15"/>
              </w:rPr>
            </w:pPr>
            <w:r>
              <w:rPr>
                <w:color w:val="231F20"/>
                <w:sz w:val="15"/>
              </w:rPr>
              <w:t>82%</w:t>
            </w:r>
          </w:p>
        </w:tc>
        <w:tc>
          <w:tcPr>
            <w:tcW w:w="1190" w:type="dxa"/>
            <w:tcBorders>
              <w:top w:val="single" w:sz="4" w:space="0" w:color="231F20"/>
              <w:left w:val="single" w:sz="4" w:space="0" w:color="231F20"/>
              <w:bottom w:val="single" w:sz="4" w:space="0" w:color="231F20"/>
              <w:right w:val="nil"/>
            </w:tcBorders>
          </w:tcPr>
          <w:p w14:paraId="2D5A9D4E" w14:textId="77777777" w:rsidR="00F65BCA" w:rsidRDefault="00216117">
            <w:pPr>
              <w:pStyle w:val="TableParagraph"/>
              <w:spacing w:before="35"/>
              <w:ind w:left="407"/>
              <w:rPr>
                <w:sz w:val="15"/>
              </w:rPr>
            </w:pPr>
            <w:r>
              <w:rPr>
                <w:color w:val="231F20"/>
                <w:sz w:val="15"/>
              </w:rPr>
              <w:t>395%</w:t>
            </w:r>
          </w:p>
        </w:tc>
      </w:tr>
      <w:tr w:rsidR="00F65BCA" w14:paraId="058A7308" w14:textId="77777777">
        <w:trPr>
          <w:trHeight w:val="245"/>
        </w:trPr>
        <w:tc>
          <w:tcPr>
            <w:tcW w:w="1020" w:type="dxa"/>
            <w:tcBorders>
              <w:top w:val="single" w:sz="4" w:space="0" w:color="231F20"/>
              <w:left w:val="nil"/>
              <w:bottom w:val="single" w:sz="4" w:space="0" w:color="231F20"/>
              <w:right w:val="single" w:sz="4" w:space="0" w:color="231F20"/>
            </w:tcBorders>
          </w:tcPr>
          <w:p w14:paraId="384C47C7" w14:textId="77777777" w:rsidR="00F65BCA" w:rsidRDefault="00216117">
            <w:pPr>
              <w:pStyle w:val="TableParagraph"/>
              <w:spacing w:before="35"/>
              <w:ind w:right="379"/>
              <w:jc w:val="right"/>
              <w:rPr>
                <w:sz w:val="15"/>
              </w:rPr>
            </w:pPr>
            <w:r>
              <w:rPr>
                <w:color w:val="231F20"/>
                <w:sz w:val="15"/>
              </w:rPr>
              <w:t>3%</w:t>
            </w:r>
          </w:p>
        </w:tc>
        <w:tc>
          <w:tcPr>
            <w:tcW w:w="1133" w:type="dxa"/>
            <w:tcBorders>
              <w:top w:val="single" w:sz="4" w:space="0" w:color="231F20"/>
              <w:left w:val="single" w:sz="4" w:space="0" w:color="231F20"/>
              <w:bottom w:val="single" w:sz="4" w:space="0" w:color="231F20"/>
              <w:right w:val="single" w:sz="4" w:space="0" w:color="231F20"/>
            </w:tcBorders>
          </w:tcPr>
          <w:p w14:paraId="616A636D" w14:textId="77777777" w:rsidR="00F65BCA" w:rsidRDefault="00216117">
            <w:pPr>
              <w:pStyle w:val="TableParagraph"/>
              <w:spacing w:before="35"/>
              <w:ind w:left="172" w:right="27"/>
              <w:jc w:val="center"/>
              <w:rPr>
                <w:sz w:val="15"/>
              </w:rPr>
            </w:pPr>
            <w:r>
              <w:rPr>
                <w:color w:val="231F20"/>
                <w:sz w:val="15"/>
              </w:rPr>
              <w:t>3%</w:t>
            </w:r>
          </w:p>
        </w:tc>
        <w:tc>
          <w:tcPr>
            <w:tcW w:w="1020" w:type="dxa"/>
            <w:tcBorders>
              <w:top w:val="single" w:sz="4" w:space="0" w:color="231F20"/>
              <w:left w:val="single" w:sz="4" w:space="0" w:color="231F20"/>
              <w:bottom w:val="single" w:sz="4" w:space="0" w:color="231F20"/>
              <w:right w:val="single" w:sz="4" w:space="0" w:color="231F20"/>
            </w:tcBorders>
          </w:tcPr>
          <w:p w14:paraId="49752709" w14:textId="77777777" w:rsidR="00F65BCA" w:rsidRDefault="00216117">
            <w:pPr>
              <w:pStyle w:val="TableParagraph"/>
              <w:spacing w:before="35"/>
              <w:ind w:left="366"/>
              <w:rPr>
                <w:sz w:val="15"/>
              </w:rPr>
            </w:pPr>
            <w:r>
              <w:rPr>
                <w:color w:val="231F20"/>
                <w:sz w:val="15"/>
              </w:rPr>
              <w:t>23%</w:t>
            </w:r>
          </w:p>
        </w:tc>
        <w:tc>
          <w:tcPr>
            <w:tcW w:w="1133" w:type="dxa"/>
            <w:tcBorders>
              <w:top w:val="single" w:sz="4" w:space="0" w:color="231F20"/>
              <w:left w:val="single" w:sz="4" w:space="0" w:color="231F20"/>
              <w:bottom w:val="single" w:sz="4" w:space="0" w:color="231F20"/>
              <w:right w:val="single" w:sz="4" w:space="0" w:color="231F20"/>
            </w:tcBorders>
          </w:tcPr>
          <w:p w14:paraId="2E676753" w14:textId="77777777" w:rsidR="00F65BCA" w:rsidRDefault="00216117">
            <w:pPr>
              <w:pStyle w:val="TableParagraph"/>
              <w:spacing w:before="35"/>
              <w:ind w:left="51" w:right="27"/>
              <w:jc w:val="center"/>
              <w:rPr>
                <w:sz w:val="15"/>
              </w:rPr>
            </w:pPr>
            <w:r>
              <w:rPr>
                <w:color w:val="231F20"/>
                <w:sz w:val="15"/>
              </w:rPr>
              <w:t>23%</w:t>
            </w:r>
          </w:p>
        </w:tc>
        <w:tc>
          <w:tcPr>
            <w:tcW w:w="1020" w:type="dxa"/>
            <w:tcBorders>
              <w:top w:val="single" w:sz="4" w:space="0" w:color="231F20"/>
              <w:left w:val="single" w:sz="4" w:space="0" w:color="231F20"/>
              <w:bottom w:val="single" w:sz="4" w:space="0" w:color="231F20"/>
              <w:right w:val="single" w:sz="4" w:space="0" w:color="231F20"/>
            </w:tcBorders>
          </w:tcPr>
          <w:p w14:paraId="4FF3B9F0" w14:textId="77777777" w:rsidR="00F65BCA" w:rsidRDefault="00216117">
            <w:pPr>
              <w:pStyle w:val="TableParagraph"/>
              <w:spacing w:before="35"/>
              <w:ind w:left="367"/>
              <w:rPr>
                <w:sz w:val="15"/>
              </w:rPr>
            </w:pPr>
            <w:r>
              <w:rPr>
                <w:color w:val="231F20"/>
                <w:sz w:val="15"/>
              </w:rPr>
              <w:t>43%</w:t>
            </w:r>
          </w:p>
        </w:tc>
        <w:tc>
          <w:tcPr>
            <w:tcW w:w="1133" w:type="dxa"/>
            <w:tcBorders>
              <w:top w:val="single" w:sz="4" w:space="0" w:color="231F20"/>
              <w:left w:val="single" w:sz="4" w:space="0" w:color="231F20"/>
              <w:bottom w:val="single" w:sz="4" w:space="0" w:color="231F20"/>
              <w:right w:val="single" w:sz="4" w:space="0" w:color="231F20"/>
            </w:tcBorders>
          </w:tcPr>
          <w:p w14:paraId="5430FD69" w14:textId="77777777" w:rsidR="00F65BCA" w:rsidRDefault="00216117">
            <w:pPr>
              <w:pStyle w:val="TableParagraph"/>
              <w:spacing w:before="35"/>
              <w:ind w:right="375"/>
              <w:jc w:val="right"/>
              <w:rPr>
                <w:sz w:val="15"/>
              </w:rPr>
            </w:pPr>
            <w:r>
              <w:rPr>
                <w:color w:val="231F20"/>
                <w:w w:val="95"/>
                <w:sz w:val="15"/>
              </w:rPr>
              <w:t>79%</w:t>
            </w:r>
          </w:p>
        </w:tc>
        <w:tc>
          <w:tcPr>
            <w:tcW w:w="1020" w:type="dxa"/>
            <w:tcBorders>
              <w:top w:val="single" w:sz="4" w:space="0" w:color="231F20"/>
              <w:left w:val="single" w:sz="4" w:space="0" w:color="231F20"/>
              <w:bottom w:val="single" w:sz="4" w:space="0" w:color="231F20"/>
              <w:right w:val="single" w:sz="4" w:space="0" w:color="231F20"/>
            </w:tcBorders>
          </w:tcPr>
          <w:p w14:paraId="76767B16" w14:textId="77777777" w:rsidR="00F65BCA" w:rsidRDefault="00216117">
            <w:pPr>
              <w:pStyle w:val="TableParagraph"/>
              <w:spacing w:before="35"/>
              <w:ind w:left="36" w:right="8"/>
              <w:jc w:val="center"/>
              <w:rPr>
                <w:sz w:val="15"/>
              </w:rPr>
            </w:pPr>
            <w:r>
              <w:rPr>
                <w:color w:val="231F20"/>
                <w:sz w:val="15"/>
              </w:rPr>
              <w:t>63%</w:t>
            </w:r>
          </w:p>
        </w:tc>
        <w:tc>
          <w:tcPr>
            <w:tcW w:w="1133" w:type="dxa"/>
            <w:tcBorders>
              <w:top w:val="single" w:sz="4" w:space="0" w:color="231F20"/>
              <w:left w:val="single" w:sz="4" w:space="0" w:color="231F20"/>
              <w:bottom w:val="single" w:sz="4" w:space="0" w:color="231F20"/>
              <w:right w:val="single" w:sz="4" w:space="0" w:color="231F20"/>
            </w:tcBorders>
          </w:tcPr>
          <w:p w14:paraId="3A5CE1F2" w14:textId="77777777" w:rsidR="00F65BCA" w:rsidRDefault="00216117">
            <w:pPr>
              <w:pStyle w:val="TableParagraph"/>
              <w:spacing w:before="35"/>
              <w:ind w:left="56" w:right="27"/>
              <w:jc w:val="center"/>
              <w:rPr>
                <w:sz w:val="15"/>
              </w:rPr>
            </w:pPr>
            <w:r>
              <w:rPr>
                <w:color w:val="231F20"/>
                <w:sz w:val="15"/>
              </w:rPr>
              <w:t>217%</w:t>
            </w:r>
          </w:p>
        </w:tc>
        <w:tc>
          <w:tcPr>
            <w:tcW w:w="963" w:type="dxa"/>
            <w:tcBorders>
              <w:top w:val="single" w:sz="4" w:space="0" w:color="231F20"/>
              <w:left w:val="single" w:sz="4" w:space="0" w:color="231F20"/>
              <w:bottom w:val="single" w:sz="4" w:space="0" w:color="231F20"/>
              <w:right w:val="single" w:sz="4" w:space="0" w:color="231F20"/>
            </w:tcBorders>
          </w:tcPr>
          <w:p w14:paraId="1854CA92" w14:textId="77777777" w:rsidR="00F65BCA" w:rsidRDefault="00216117">
            <w:pPr>
              <w:pStyle w:val="TableParagraph"/>
              <w:spacing w:before="35"/>
              <w:ind w:left="342"/>
              <w:rPr>
                <w:sz w:val="15"/>
              </w:rPr>
            </w:pPr>
            <w:r>
              <w:rPr>
                <w:color w:val="231F20"/>
                <w:sz w:val="15"/>
              </w:rPr>
              <w:t>83%</w:t>
            </w:r>
          </w:p>
        </w:tc>
        <w:tc>
          <w:tcPr>
            <w:tcW w:w="1190" w:type="dxa"/>
            <w:tcBorders>
              <w:top w:val="single" w:sz="4" w:space="0" w:color="231F20"/>
              <w:left w:val="single" w:sz="4" w:space="0" w:color="231F20"/>
              <w:bottom w:val="single" w:sz="4" w:space="0" w:color="231F20"/>
              <w:right w:val="nil"/>
            </w:tcBorders>
          </w:tcPr>
          <w:p w14:paraId="07EC0BB9" w14:textId="77777777" w:rsidR="00F65BCA" w:rsidRDefault="00216117">
            <w:pPr>
              <w:pStyle w:val="TableParagraph"/>
              <w:spacing w:before="35"/>
              <w:ind w:left="407"/>
              <w:rPr>
                <w:sz w:val="15"/>
              </w:rPr>
            </w:pPr>
            <w:r>
              <w:rPr>
                <w:color w:val="231F20"/>
                <w:sz w:val="15"/>
              </w:rPr>
              <w:t>405%</w:t>
            </w:r>
          </w:p>
        </w:tc>
      </w:tr>
      <w:tr w:rsidR="00F65BCA" w14:paraId="18DFE91C" w14:textId="77777777">
        <w:trPr>
          <w:trHeight w:val="245"/>
        </w:trPr>
        <w:tc>
          <w:tcPr>
            <w:tcW w:w="1020" w:type="dxa"/>
            <w:tcBorders>
              <w:top w:val="single" w:sz="4" w:space="0" w:color="231F20"/>
              <w:left w:val="nil"/>
              <w:bottom w:val="single" w:sz="4" w:space="0" w:color="231F20"/>
              <w:right w:val="single" w:sz="4" w:space="0" w:color="231F20"/>
            </w:tcBorders>
          </w:tcPr>
          <w:p w14:paraId="2B6B9D93" w14:textId="77777777" w:rsidR="00F65BCA" w:rsidRDefault="00216117">
            <w:pPr>
              <w:pStyle w:val="TableParagraph"/>
              <w:spacing w:before="35"/>
              <w:ind w:right="379"/>
              <w:jc w:val="right"/>
              <w:rPr>
                <w:sz w:val="15"/>
              </w:rPr>
            </w:pPr>
            <w:r>
              <w:rPr>
                <w:color w:val="231F20"/>
                <w:sz w:val="15"/>
              </w:rPr>
              <w:t>4%</w:t>
            </w:r>
          </w:p>
        </w:tc>
        <w:tc>
          <w:tcPr>
            <w:tcW w:w="1133" w:type="dxa"/>
            <w:tcBorders>
              <w:top w:val="single" w:sz="4" w:space="0" w:color="231F20"/>
              <w:left w:val="single" w:sz="4" w:space="0" w:color="231F20"/>
              <w:bottom w:val="single" w:sz="4" w:space="0" w:color="231F20"/>
              <w:right w:val="single" w:sz="4" w:space="0" w:color="231F20"/>
            </w:tcBorders>
          </w:tcPr>
          <w:p w14:paraId="5A88D58F" w14:textId="77777777" w:rsidR="00F65BCA" w:rsidRDefault="00216117">
            <w:pPr>
              <w:pStyle w:val="TableParagraph"/>
              <w:spacing w:before="35"/>
              <w:ind w:left="172" w:right="27"/>
              <w:jc w:val="center"/>
              <w:rPr>
                <w:sz w:val="15"/>
              </w:rPr>
            </w:pPr>
            <w:r>
              <w:rPr>
                <w:color w:val="231F20"/>
                <w:sz w:val="15"/>
              </w:rPr>
              <w:t>4%</w:t>
            </w:r>
          </w:p>
        </w:tc>
        <w:tc>
          <w:tcPr>
            <w:tcW w:w="1020" w:type="dxa"/>
            <w:tcBorders>
              <w:top w:val="single" w:sz="4" w:space="0" w:color="231F20"/>
              <w:left w:val="single" w:sz="4" w:space="0" w:color="231F20"/>
              <w:bottom w:val="single" w:sz="4" w:space="0" w:color="231F20"/>
              <w:right w:val="single" w:sz="4" w:space="0" w:color="231F20"/>
            </w:tcBorders>
          </w:tcPr>
          <w:p w14:paraId="4E75C1E3" w14:textId="77777777" w:rsidR="00F65BCA" w:rsidRDefault="00216117">
            <w:pPr>
              <w:pStyle w:val="TableParagraph"/>
              <w:spacing w:before="35"/>
              <w:ind w:left="366"/>
              <w:rPr>
                <w:sz w:val="15"/>
              </w:rPr>
            </w:pPr>
            <w:r>
              <w:rPr>
                <w:color w:val="231F20"/>
                <w:sz w:val="15"/>
              </w:rPr>
              <w:t>24%</w:t>
            </w:r>
          </w:p>
        </w:tc>
        <w:tc>
          <w:tcPr>
            <w:tcW w:w="1133" w:type="dxa"/>
            <w:tcBorders>
              <w:top w:val="single" w:sz="4" w:space="0" w:color="231F20"/>
              <w:left w:val="single" w:sz="4" w:space="0" w:color="231F20"/>
              <w:bottom w:val="single" w:sz="4" w:space="0" w:color="231F20"/>
              <w:right w:val="single" w:sz="4" w:space="0" w:color="231F20"/>
            </w:tcBorders>
          </w:tcPr>
          <w:p w14:paraId="169C13BC" w14:textId="77777777" w:rsidR="00F65BCA" w:rsidRDefault="00216117">
            <w:pPr>
              <w:pStyle w:val="TableParagraph"/>
              <w:spacing w:before="35"/>
              <w:ind w:left="51" w:right="27"/>
              <w:jc w:val="center"/>
              <w:rPr>
                <w:sz w:val="15"/>
              </w:rPr>
            </w:pPr>
            <w:r>
              <w:rPr>
                <w:color w:val="231F20"/>
                <w:sz w:val="15"/>
              </w:rPr>
              <w:t>24%</w:t>
            </w:r>
          </w:p>
        </w:tc>
        <w:tc>
          <w:tcPr>
            <w:tcW w:w="1020" w:type="dxa"/>
            <w:tcBorders>
              <w:top w:val="single" w:sz="4" w:space="0" w:color="231F20"/>
              <w:left w:val="single" w:sz="4" w:space="0" w:color="231F20"/>
              <w:bottom w:val="single" w:sz="4" w:space="0" w:color="231F20"/>
              <w:right w:val="single" w:sz="4" w:space="0" w:color="231F20"/>
            </w:tcBorders>
          </w:tcPr>
          <w:p w14:paraId="7CADC6D8" w14:textId="77777777" w:rsidR="00F65BCA" w:rsidRDefault="00216117">
            <w:pPr>
              <w:pStyle w:val="TableParagraph"/>
              <w:spacing w:before="35"/>
              <w:ind w:left="367"/>
              <w:rPr>
                <w:sz w:val="15"/>
              </w:rPr>
            </w:pPr>
            <w:r>
              <w:rPr>
                <w:color w:val="231F20"/>
                <w:sz w:val="15"/>
              </w:rPr>
              <w:t>44%</w:t>
            </w:r>
          </w:p>
        </w:tc>
        <w:tc>
          <w:tcPr>
            <w:tcW w:w="1133" w:type="dxa"/>
            <w:tcBorders>
              <w:top w:val="single" w:sz="4" w:space="0" w:color="231F20"/>
              <w:left w:val="single" w:sz="4" w:space="0" w:color="231F20"/>
              <w:bottom w:val="single" w:sz="4" w:space="0" w:color="231F20"/>
              <w:right w:val="single" w:sz="4" w:space="0" w:color="231F20"/>
            </w:tcBorders>
          </w:tcPr>
          <w:p w14:paraId="31B24B79" w14:textId="77777777" w:rsidR="00F65BCA" w:rsidRDefault="00216117">
            <w:pPr>
              <w:pStyle w:val="TableParagraph"/>
              <w:spacing w:before="35"/>
              <w:ind w:right="375"/>
              <w:jc w:val="right"/>
              <w:rPr>
                <w:sz w:val="15"/>
              </w:rPr>
            </w:pPr>
            <w:r>
              <w:rPr>
                <w:color w:val="231F20"/>
                <w:w w:val="95"/>
                <w:sz w:val="15"/>
              </w:rPr>
              <w:t>82%</w:t>
            </w:r>
          </w:p>
        </w:tc>
        <w:tc>
          <w:tcPr>
            <w:tcW w:w="1020" w:type="dxa"/>
            <w:tcBorders>
              <w:top w:val="single" w:sz="4" w:space="0" w:color="231F20"/>
              <w:left w:val="single" w:sz="4" w:space="0" w:color="231F20"/>
              <w:bottom w:val="single" w:sz="4" w:space="0" w:color="231F20"/>
              <w:right w:val="single" w:sz="4" w:space="0" w:color="231F20"/>
            </w:tcBorders>
          </w:tcPr>
          <w:p w14:paraId="2006364D" w14:textId="77777777" w:rsidR="00F65BCA" w:rsidRDefault="00216117">
            <w:pPr>
              <w:pStyle w:val="TableParagraph"/>
              <w:spacing w:before="35"/>
              <w:ind w:left="36" w:right="8"/>
              <w:jc w:val="center"/>
              <w:rPr>
                <w:sz w:val="15"/>
              </w:rPr>
            </w:pPr>
            <w:r>
              <w:rPr>
                <w:color w:val="231F20"/>
                <w:sz w:val="15"/>
              </w:rPr>
              <w:t>64%</w:t>
            </w:r>
          </w:p>
        </w:tc>
        <w:tc>
          <w:tcPr>
            <w:tcW w:w="1133" w:type="dxa"/>
            <w:tcBorders>
              <w:top w:val="single" w:sz="4" w:space="0" w:color="231F20"/>
              <w:left w:val="single" w:sz="4" w:space="0" w:color="231F20"/>
              <w:bottom w:val="single" w:sz="4" w:space="0" w:color="231F20"/>
              <w:right w:val="single" w:sz="4" w:space="0" w:color="231F20"/>
            </w:tcBorders>
          </w:tcPr>
          <w:p w14:paraId="295DFD8B" w14:textId="77777777" w:rsidR="00F65BCA" w:rsidRDefault="00216117">
            <w:pPr>
              <w:pStyle w:val="TableParagraph"/>
              <w:spacing w:before="35"/>
              <w:ind w:left="56" w:right="27"/>
              <w:jc w:val="center"/>
              <w:rPr>
                <w:sz w:val="15"/>
              </w:rPr>
            </w:pPr>
            <w:r>
              <w:rPr>
                <w:color w:val="231F20"/>
                <w:sz w:val="15"/>
              </w:rPr>
              <w:t>226%</w:t>
            </w:r>
          </w:p>
        </w:tc>
        <w:tc>
          <w:tcPr>
            <w:tcW w:w="963" w:type="dxa"/>
            <w:tcBorders>
              <w:top w:val="single" w:sz="4" w:space="0" w:color="231F20"/>
              <w:left w:val="single" w:sz="4" w:space="0" w:color="231F20"/>
              <w:bottom w:val="single" w:sz="4" w:space="0" w:color="231F20"/>
              <w:right w:val="single" w:sz="4" w:space="0" w:color="231F20"/>
            </w:tcBorders>
          </w:tcPr>
          <w:p w14:paraId="15D4819C" w14:textId="77777777" w:rsidR="00F65BCA" w:rsidRDefault="00216117">
            <w:pPr>
              <w:pStyle w:val="TableParagraph"/>
              <w:spacing w:before="35"/>
              <w:ind w:left="342"/>
              <w:rPr>
                <w:sz w:val="15"/>
              </w:rPr>
            </w:pPr>
            <w:r>
              <w:rPr>
                <w:color w:val="231F20"/>
                <w:sz w:val="15"/>
              </w:rPr>
              <w:t>84%</w:t>
            </w:r>
          </w:p>
        </w:tc>
        <w:tc>
          <w:tcPr>
            <w:tcW w:w="1190" w:type="dxa"/>
            <w:tcBorders>
              <w:top w:val="single" w:sz="4" w:space="0" w:color="231F20"/>
              <w:left w:val="single" w:sz="4" w:space="0" w:color="231F20"/>
              <w:bottom w:val="single" w:sz="4" w:space="0" w:color="231F20"/>
              <w:right w:val="nil"/>
            </w:tcBorders>
          </w:tcPr>
          <w:p w14:paraId="147CF56C" w14:textId="77777777" w:rsidR="00F65BCA" w:rsidRDefault="00216117">
            <w:pPr>
              <w:pStyle w:val="TableParagraph"/>
              <w:spacing w:before="35"/>
              <w:ind w:left="407"/>
              <w:rPr>
                <w:sz w:val="15"/>
              </w:rPr>
            </w:pPr>
            <w:r>
              <w:rPr>
                <w:color w:val="231F20"/>
                <w:sz w:val="15"/>
              </w:rPr>
              <w:t>415%</w:t>
            </w:r>
          </w:p>
        </w:tc>
      </w:tr>
      <w:tr w:rsidR="00F65BCA" w14:paraId="2E5EBD93" w14:textId="77777777">
        <w:trPr>
          <w:trHeight w:val="245"/>
        </w:trPr>
        <w:tc>
          <w:tcPr>
            <w:tcW w:w="1020" w:type="dxa"/>
            <w:tcBorders>
              <w:top w:val="single" w:sz="4" w:space="0" w:color="231F20"/>
              <w:left w:val="nil"/>
              <w:bottom w:val="single" w:sz="4" w:space="0" w:color="231F20"/>
              <w:right w:val="single" w:sz="4" w:space="0" w:color="231F20"/>
            </w:tcBorders>
          </w:tcPr>
          <w:p w14:paraId="60FE857A" w14:textId="77777777" w:rsidR="00F65BCA" w:rsidRDefault="00216117">
            <w:pPr>
              <w:pStyle w:val="TableParagraph"/>
              <w:spacing w:before="35"/>
              <w:ind w:right="379"/>
              <w:jc w:val="right"/>
              <w:rPr>
                <w:sz w:val="15"/>
              </w:rPr>
            </w:pPr>
            <w:r>
              <w:rPr>
                <w:color w:val="231F20"/>
                <w:sz w:val="15"/>
              </w:rPr>
              <w:t>5%</w:t>
            </w:r>
          </w:p>
        </w:tc>
        <w:tc>
          <w:tcPr>
            <w:tcW w:w="1133" w:type="dxa"/>
            <w:tcBorders>
              <w:top w:val="single" w:sz="4" w:space="0" w:color="231F20"/>
              <w:left w:val="single" w:sz="4" w:space="0" w:color="231F20"/>
              <w:bottom w:val="single" w:sz="4" w:space="0" w:color="231F20"/>
              <w:right w:val="single" w:sz="4" w:space="0" w:color="231F20"/>
            </w:tcBorders>
          </w:tcPr>
          <w:p w14:paraId="1F537CE7" w14:textId="77777777" w:rsidR="00F65BCA" w:rsidRDefault="00216117">
            <w:pPr>
              <w:pStyle w:val="TableParagraph"/>
              <w:spacing w:before="35"/>
              <w:ind w:left="172" w:right="27"/>
              <w:jc w:val="center"/>
              <w:rPr>
                <w:sz w:val="15"/>
              </w:rPr>
            </w:pPr>
            <w:r>
              <w:rPr>
                <w:color w:val="231F20"/>
                <w:sz w:val="15"/>
              </w:rPr>
              <w:t>5%</w:t>
            </w:r>
          </w:p>
        </w:tc>
        <w:tc>
          <w:tcPr>
            <w:tcW w:w="1020" w:type="dxa"/>
            <w:tcBorders>
              <w:top w:val="single" w:sz="4" w:space="0" w:color="231F20"/>
              <w:left w:val="single" w:sz="4" w:space="0" w:color="231F20"/>
              <w:bottom w:val="single" w:sz="4" w:space="0" w:color="231F20"/>
              <w:right w:val="single" w:sz="4" w:space="0" w:color="231F20"/>
            </w:tcBorders>
          </w:tcPr>
          <w:p w14:paraId="60EB6CC1" w14:textId="77777777" w:rsidR="00F65BCA" w:rsidRDefault="00216117">
            <w:pPr>
              <w:pStyle w:val="TableParagraph"/>
              <w:spacing w:before="35"/>
              <w:ind w:left="366"/>
              <w:rPr>
                <w:sz w:val="15"/>
              </w:rPr>
            </w:pPr>
            <w:r>
              <w:rPr>
                <w:color w:val="231F20"/>
                <w:sz w:val="15"/>
              </w:rPr>
              <w:t>25%</w:t>
            </w:r>
          </w:p>
        </w:tc>
        <w:tc>
          <w:tcPr>
            <w:tcW w:w="1133" w:type="dxa"/>
            <w:tcBorders>
              <w:top w:val="single" w:sz="4" w:space="0" w:color="231F20"/>
              <w:left w:val="single" w:sz="4" w:space="0" w:color="231F20"/>
              <w:bottom w:val="single" w:sz="4" w:space="0" w:color="231F20"/>
              <w:right w:val="single" w:sz="4" w:space="0" w:color="231F20"/>
            </w:tcBorders>
          </w:tcPr>
          <w:p w14:paraId="42B802DA" w14:textId="77777777" w:rsidR="00F65BCA" w:rsidRDefault="00216117">
            <w:pPr>
              <w:pStyle w:val="TableParagraph"/>
              <w:spacing w:before="35"/>
              <w:ind w:left="51" w:right="27"/>
              <w:jc w:val="center"/>
              <w:rPr>
                <w:sz w:val="15"/>
              </w:rPr>
            </w:pPr>
            <w:r>
              <w:rPr>
                <w:color w:val="231F20"/>
                <w:sz w:val="15"/>
              </w:rPr>
              <w:t>25%</w:t>
            </w:r>
          </w:p>
        </w:tc>
        <w:tc>
          <w:tcPr>
            <w:tcW w:w="1020" w:type="dxa"/>
            <w:tcBorders>
              <w:top w:val="single" w:sz="4" w:space="0" w:color="231F20"/>
              <w:left w:val="single" w:sz="4" w:space="0" w:color="231F20"/>
              <w:bottom w:val="single" w:sz="4" w:space="0" w:color="231F20"/>
              <w:right w:val="single" w:sz="4" w:space="0" w:color="231F20"/>
            </w:tcBorders>
          </w:tcPr>
          <w:p w14:paraId="28523DC3" w14:textId="77777777" w:rsidR="00F65BCA" w:rsidRDefault="00216117">
            <w:pPr>
              <w:pStyle w:val="TableParagraph"/>
              <w:spacing w:before="35"/>
              <w:ind w:left="367"/>
              <w:rPr>
                <w:sz w:val="15"/>
              </w:rPr>
            </w:pPr>
            <w:r>
              <w:rPr>
                <w:color w:val="231F20"/>
                <w:sz w:val="15"/>
              </w:rPr>
              <w:t>45%</w:t>
            </w:r>
          </w:p>
        </w:tc>
        <w:tc>
          <w:tcPr>
            <w:tcW w:w="1133" w:type="dxa"/>
            <w:tcBorders>
              <w:top w:val="single" w:sz="4" w:space="0" w:color="231F20"/>
              <w:left w:val="single" w:sz="4" w:space="0" w:color="231F20"/>
              <w:bottom w:val="single" w:sz="4" w:space="0" w:color="231F20"/>
              <w:right w:val="single" w:sz="4" w:space="0" w:color="231F20"/>
            </w:tcBorders>
          </w:tcPr>
          <w:p w14:paraId="76183023" w14:textId="77777777" w:rsidR="00F65BCA" w:rsidRDefault="00216117">
            <w:pPr>
              <w:pStyle w:val="TableParagraph"/>
              <w:spacing w:before="35"/>
              <w:ind w:right="375"/>
              <w:jc w:val="right"/>
              <w:rPr>
                <w:sz w:val="15"/>
              </w:rPr>
            </w:pPr>
            <w:r>
              <w:rPr>
                <w:color w:val="231F20"/>
                <w:w w:val="95"/>
                <w:sz w:val="15"/>
              </w:rPr>
              <w:t>85%</w:t>
            </w:r>
          </w:p>
        </w:tc>
        <w:tc>
          <w:tcPr>
            <w:tcW w:w="1020" w:type="dxa"/>
            <w:tcBorders>
              <w:top w:val="single" w:sz="4" w:space="0" w:color="231F20"/>
              <w:left w:val="single" w:sz="4" w:space="0" w:color="231F20"/>
              <w:bottom w:val="single" w:sz="4" w:space="0" w:color="231F20"/>
              <w:right w:val="single" w:sz="4" w:space="0" w:color="231F20"/>
            </w:tcBorders>
          </w:tcPr>
          <w:p w14:paraId="18FBA7CD" w14:textId="77777777" w:rsidR="00F65BCA" w:rsidRDefault="00216117">
            <w:pPr>
              <w:pStyle w:val="TableParagraph"/>
              <w:spacing w:before="35"/>
              <w:ind w:left="36" w:right="8"/>
              <w:jc w:val="center"/>
              <w:rPr>
                <w:sz w:val="15"/>
              </w:rPr>
            </w:pPr>
            <w:r>
              <w:rPr>
                <w:color w:val="231F20"/>
                <w:sz w:val="15"/>
              </w:rPr>
              <w:t>65%</w:t>
            </w:r>
          </w:p>
        </w:tc>
        <w:tc>
          <w:tcPr>
            <w:tcW w:w="1133" w:type="dxa"/>
            <w:tcBorders>
              <w:top w:val="single" w:sz="4" w:space="0" w:color="231F20"/>
              <w:left w:val="single" w:sz="4" w:space="0" w:color="231F20"/>
              <w:bottom w:val="single" w:sz="4" w:space="0" w:color="231F20"/>
              <w:right w:val="single" w:sz="4" w:space="0" w:color="231F20"/>
            </w:tcBorders>
          </w:tcPr>
          <w:p w14:paraId="09612B55" w14:textId="77777777" w:rsidR="00F65BCA" w:rsidRDefault="00216117">
            <w:pPr>
              <w:pStyle w:val="TableParagraph"/>
              <w:spacing w:before="35"/>
              <w:ind w:left="56" w:right="27"/>
              <w:jc w:val="center"/>
              <w:rPr>
                <w:sz w:val="15"/>
              </w:rPr>
            </w:pPr>
            <w:r>
              <w:rPr>
                <w:color w:val="231F20"/>
                <w:sz w:val="15"/>
              </w:rPr>
              <w:t>235%</w:t>
            </w:r>
          </w:p>
        </w:tc>
        <w:tc>
          <w:tcPr>
            <w:tcW w:w="963" w:type="dxa"/>
            <w:tcBorders>
              <w:top w:val="single" w:sz="4" w:space="0" w:color="231F20"/>
              <w:left w:val="single" w:sz="4" w:space="0" w:color="231F20"/>
              <w:bottom w:val="single" w:sz="4" w:space="0" w:color="231F20"/>
              <w:right w:val="single" w:sz="4" w:space="0" w:color="231F20"/>
            </w:tcBorders>
          </w:tcPr>
          <w:p w14:paraId="6FC816C5" w14:textId="77777777" w:rsidR="00F65BCA" w:rsidRDefault="00216117">
            <w:pPr>
              <w:pStyle w:val="TableParagraph"/>
              <w:spacing w:before="35"/>
              <w:ind w:left="342"/>
              <w:rPr>
                <w:sz w:val="15"/>
              </w:rPr>
            </w:pPr>
            <w:r>
              <w:rPr>
                <w:color w:val="231F20"/>
                <w:sz w:val="15"/>
              </w:rPr>
              <w:t>85%</w:t>
            </w:r>
          </w:p>
        </w:tc>
        <w:tc>
          <w:tcPr>
            <w:tcW w:w="1190" w:type="dxa"/>
            <w:tcBorders>
              <w:top w:val="single" w:sz="4" w:space="0" w:color="231F20"/>
              <w:left w:val="single" w:sz="4" w:space="0" w:color="231F20"/>
              <w:bottom w:val="single" w:sz="4" w:space="0" w:color="231F20"/>
              <w:right w:val="nil"/>
            </w:tcBorders>
          </w:tcPr>
          <w:p w14:paraId="6A1E7AED" w14:textId="77777777" w:rsidR="00F65BCA" w:rsidRDefault="00216117">
            <w:pPr>
              <w:pStyle w:val="TableParagraph"/>
              <w:spacing w:before="35"/>
              <w:ind w:left="407"/>
              <w:rPr>
                <w:sz w:val="15"/>
              </w:rPr>
            </w:pPr>
            <w:r>
              <w:rPr>
                <w:color w:val="231F20"/>
                <w:sz w:val="15"/>
              </w:rPr>
              <w:t>425%</w:t>
            </w:r>
          </w:p>
        </w:tc>
      </w:tr>
      <w:tr w:rsidR="00F65BCA" w14:paraId="192F9571" w14:textId="77777777">
        <w:trPr>
          <w:trHeight w:val="245"/>
        </w:trPr>
        <w:tc>
          <w:tcPr>
            <w:tcW w:w="1020" w:type="dxa"/>
            <w:tcBorders>
              <w:top w:val="single" w:sz="4" w:space="0" w:color="231F20"/>
              <w:left w:val="nil"/>
              <w:bottom w:val="single" w:sz="4" w:space="0" w:color="231F20"/>
              <w:right w:val="single" w:sz="4" w:space="0" w:color="231F20"/>
            </w:tcBorders>
          </w:tcPr>
          <w:p w14:paraId="039B8453" w14:textId="77777777" w:rsidR="00F65BCA" w:rsidRDefault="00216117">
            <w:pPr>
              <w:pStyle w:val="TableParagraph"/>
              <w:spacing w:before="35"/>
              <w:ind w:right="379"/>
              <w:jc w:val="right"/>
              <w:rPr>
                <w:sz w:val="15"/>
              </w:rPr>
            </w:pPr>
            <w:r>
              <w:rPr>
                <w:color w:val="231F20"/>
                <w:sz w:val="15"/>
              </w:rPr>
              <w:t>6%</w:t>
            </w:r>
          </w:p>
        </w:tc>
        <w:tc>
          <w:tcPr>
            <w:tcW w:w="1133" w:type="dxa"/>
            <w:tcBorders>
              <w:top w:val="single" w:sz="4" w:space="0" w:color="231F20"/>
              <w:left w:val="single" w:sz="4" w:space="0" w:color="231F20"/>
              <w:bottom w:val="single" w:sz="4" w:space="0" w:color="231F20"/>
              <w:right w:val="single" w:sz="4" w:space="0" w:color="231F20"/>
            </w:tcBorders>
          </w:tcPr>
          <w:p w14:paraId="0030286B" w14:textId="77777777" w:rsidR="00F65BCA" w:rsidRDefault="00216117">
            <w:pPr>
              <w:pStyle w:val="TableParagraph"/>
              <w:spacing w:before="35"/>
              <w:ind w:left="172" w:right="27"/>
              <w:jc w:val="center"/>
              <w:rPr>
                <w:sz w:val="15"/>
              </w:rPr>
            </w:pPr>
            <w:r>
              <w:rPr>
                <w:color w:val="231F20"/>
                <w:sz w:val="15"/>
              </w:rPr>
              <w:t>6%</w:t>
            </w:r>
          </w:p>
        </w:tc>
        <w:tc>
          <w:tcPr>
            <w:tcW w:w="1020" w:type="dxa"/>
            <w:tcBorders>
              <w:top w:val="single" w:sz="4" w:space="0" w:color="231F20"/>
              <w:left w:val="single" w:sz="4" w:space="0" w:color="231F20"/>
              <w:bottom w:val="single" w:sz="4" w:space="0" w:color="231F20"/>
              <w:right w:val="single" w:sz="4" w:space="0" w:color="231F20"/>
            </w:tcBorders>
          </w:tcPr>
          <w:p w14:paraId="528B3031" w14:textId="77777777" w:rsidR="00F65BCA" w:rsidRDefault="00216117">
            <w:pPr>
              <w:pStyle w:val="TableParagraph"/>
              <w:spacing w:before="35"/>
              <w:ind w:left="366"/>
              <w:rPr>
                <w:sz w:val="15"/>
              </w:rPr>
            </w:pPr>
            <w:r>
              <w:rPr>
                <w:color w:val="231F20"/>
                <w:sz w:val="15"/>
              </w:rPr>
              <w:t>26%</w:t>
            </w:r>
          </w:p>
        </w:tc>
        <w:tc>
          <w:tcPr>
            <w:tcW w:w="1133" w:type="dxa"/>
            <w:tcBorders>
              <w:top w:val="single" w:sz="4" w:space="0" w:color="231F20"/>
              <w:left w:val="single" w:sz="4" w:space="0" w:color="231F20"/>
              <w:bottom w:val="single" w:sz="4" w:space="0" w:color="231F20"/>
              <w:right w:val="single" w:sz="4" w:space="0" w:color="231F20"/>
            </w:tcBorders>
          </w:tcPr>
          <w:p w14:paraId="40C49ECB" w14:textId="77777777" w:rsidR="00F65BCA" w:rsidRDefault="00216117">
            <w:pPr>
              <w:pStyle w:val="TableParagraph"/>
              <w:spacing w:before="35"/>
              <w:ind w:left="51" w:right="27"/>
              <w:jc w:val="center"/>
              <w:rPr>
                <w:sz w:val="15"/>
              </w:rPr>
            </w:pPr>
            <w:r>
              <w:rPr>
                <w:color w:val="231F20"/>
                <w:sz w:val="15"/>
              </w:rPr>
              <w:t>28%</w:t>
            </w:r>
          </w:p>
        </w:tc>
        <w:tc>
          <w:tcPr>
            <w:tcW w:w="1020" w:type="dxa"/>
            <w:tcBorders>
              <w:top w:val="single" w:sz="4" w:space="0" w:color="231F20"/>
              <w:left w:val="single" w:sz="4" w:space="0" w:color="231F20"/>
              <w:bottom w:val="single" w:sz="4" w:space="0" w:color="231F20"/>
              <w:right w:val="single" w:sz="4" w:space="0" w:color="231F20"/>
            </w:tcBorders>
          </w:tcPr>
          <w:p w14:paraId="520CB58D" w14:textId="77777777" w:rsidR="00F65BCA" w:rsidRDefault="00216117">
            <w:pPr>
              <w:pStyle w:val="TableParagraph"/>
              <w:spacing w:before="35"/>
              <w:ind w:left="367"/>
              <w:rPr>
                <w:sz w:val="15"/>
              </w:rPr>
            </w:pPr>
            <w:r>
              <w:rPr>
                <w:color w:val="231F20"/>
                <w:sz w:val="15"/>
              </w:rPr>
              <w:t>46%</w:t>
            </w:r>
          </w:p>
        </w:tc>
        <w:tc>
          <w:tcPr>
            <w:tcW w:w="1133" w:type="dxa"/>
            <w:tcBorders>
              <w:top w:val="single" w:sz="4" w:space="0" w:color="231F20"/>
              <w:left w:val="single" w:sz="4" w:space="0" w:color="231F20"/>
              <w:bottom w:val="single" w:sz="4" w:space="0" w:color="231F20"/>
              <w:right w:val="single" w:sz="4" w:space="0" w:color="231F20"/>
            </w:tcBorders>
          </w:tcPr>
          <w:p w14:paraId="4C9DB9F7" w14:textId="77777777" w:rsidR="00F65BCA" w:rsidRDefault="00216117">
            <w:pPr>
              <w:pStyle w:val="TableParagraph"/>
              <w:spacing w:before="35"/>
              <w:ind w:right="375"/>
              <w:jc w:val="right"/>
              <w:rPr>
                <w:sz w:val="15"/>
              </w:rPr>
            </w:pPr>
            <w:r>
              <w:rPr>
                <w:color w:val="231F20"/>
                <w:w w:val="95"/>
                <w:sz w:val="15"/>
              </w:rPr>
              <w:t>88%</w:t>
            </w:r>
          </w:p>
        </w:tc>
        <w:tc>
          <w:tcPr>
            <w:tcW w:w="1020" w:type="dxa"/>
            <w:tcBorders>
              <w:top w:val="single" w:sz="4" w:space="0" w:color="231F20"/>
              <w:left w:val="single" w:sz="4" w:space="0" w:color="231F20"/>
              <w:bottom w:val="single" w:sz="4" w:space="0" w:color="231F20"/>
              <w:right w:val="single" w:sz="4" w:space="0" w:color="231F20"/>
            </w:tcBorders>
          </w:tcPr>
          <w:p w14:paraId="59F4071B" w14:textId="77777777" w:rsidR="00F65BCA" w:rsidRDefault="00216117">
            <w:pPr>
              <w:pStyle w:val="TableParagraph"/>
              <w:spacing w:before="35"/>
              <w:ind w:left="36" w:right="8"/>
              <w:jc w:val="center"/>
              <w:rPr>
                <w:sz w:val="15"/>
              </w:rPr>
            </w:pPr>
            <w:r>
              <w:rPr>
                <w:color w:val="231F20"/>
                <w:sz w:val="15"/>
              </w:rPr>
              <w:t>66%</w:t>
            </w:r>
          </w:p>
        </w:tc>
        <w:tc>
          <w:tcPr>
            <w:tcW w:w="1133" w:type="dxa"/>
            <w:tcBorders>
              <w:top w:val="single" w:sz="4" w:space="0" w:color="231F20"/>
              <w:left w:val="single" w:sz="4" w:space="0" w:color="231F20"/>
              <w:bottom w:val="single" w:sz="4" w:space="0" w:color="231F20"/>
              <w:right w:val="single" w:sz="4" w:space="0" w:color="231F20"/>
            </w:tcBorders>
          </w:tcPr>
          <w:p w14:paraId="01C17080" w14:textId="77777777" w:rsidR="00F65BCA" w:rsidRDefault="00216117">
            <w:pPr>
              <w:pStyle w:val="TableParagraph"/>
              <w:spacing w:before="35"/>
              <w:ind w:left="56" w:right="27"/>
              <w:jc w:val="center"/>
              <w:rPr>
                <w:sz w:val="15"/>
              </w:rPr>
            </w:pPr>
            <w:r>
              <w:rPr>
                <w:color w:val="231F20"/>
                <w:sz w:val="15"/>
              </w:rPr>
              <w:t>244%</w:t>
            </w:r>
          </w:p>
        </w:tc>
        <w:tc>
          <w:tcPr>
            <w:tcW w:w="963" w:type="dxa"/>
            <w:tcBorders>
              <w:top w:val="single" w:sz="4" w:space="0" w:color="231F20"/>
              <w:left w:val="single" w:sz="4" w:space="0" w:color="231F20"/>
              <w:bottom w:val="single" w:sz="4" w:space="0" w:color="231F20"/>
              <w:right w:val="single" w:sz="4" w:space="0" w:color="231F20"/>
            </w:tcBorders>
          </w:tcPr>
          <w:p w14:paraId="7505A23B" w14:textId="77777777" w:rsidR="00F65BCA" w:rsidRDefault="00216117">
            <w:pPr>
              <w:pStyle w:val="TableParagraph"/>
              <w:spacing w:before="35"/>
              <w:ind w:left="342"/>
              <w:rPr>
                <w:sz w:val="15"/>
              </w:rPr>
            </w:pPr>
            <w:r>
              <w:rPr>
                <w:color w:val="231F20"/>
                <w:sz w:val="15"/>
              </w:rPr>
              <w:t>86%</w:t>
            </w:r>
          </w:p>
        </w:tc>
        <w:tc>
          <w:tcPr>
            <w:tcW w:w="1190" w:type="dxa"/>
            <w:tcBorders>
              <w:top w:val="single" w:sz="4" w:space="0" w:color="231F20"/>
              <w:left w:val="single" w:sz="4" w:space="0" w:color="231F20"/>
              <w:bottom w:val="single" w:sz="4" w:space="0" w:color="231F20"/>
              <w:right w:val="nil"/>
            </w:tcBorders>
          </w:tcPr>
          <w:p w14:paraId="742DB96E" w14:textId="77777777" w:rsidR="00F65BCA" w:rsidRDefault="00216117">
            <w:pPr>
              <w:pStyle w:val="TableParagraph"/>
              <w:spacing w:before="35"/>
              <w:ind w:left="407"/>
              <w:rPr>
                <w:sz w:val="15"/>
              </w:rPr>
            </w:pPr>
            <w:r>
              <w:rPr>
                <w:color w:val="231F20"/>
                <w:sz w:val="15"/>
              </w:rPr>
              <w:t>435%</w:t>
            </w:r>
          </w:p>
        </w:tc>
      </w:tr>
      <w:tr w:rsidR="00F65BCA" w14:paraId="56C0DAAA" w14:textId="77777777">
        <w:trPr>
          <w:trHeight w:val="245"/>
        </w:trPr>
        <w:tc>
          <w:tcPr>
            <w:tcW w:w="1020" w:type="dxa"/>
            <w:tcBorders>
              <w:top w:val="single" w:sz="4" w:space="0" w:color="231F20"/>
              <w:left w:val="nil"/>
              <w:bottom w:val="single" w:sz="4" w:space="0" w:color="231F20"/>
              <w:right w:val="single" w:sz="4" w:space="0" w:color="231F20"/>
            </w:tcBorders>
          </w:tcPr>
          <w:p w14:paraId="5184D9DB" w14:textId="77777777" w:rsidR="00F65BCA" w:rsidRDefault="00216117">
            <w:pPr>
              <w:pStyle w:val="TableParagraph"/>
              <w:spacing w:before="35"/>
              <w:ind w:right="379"/>
              <w:jc w:val="right"/>
              <w:rPr>
                <w:sz w:val="15"/>
              </w:rPr>
            </w:pPr>
            <w:r>
              <w:rPr>
                <w:color w:val="231F20"/>
                <w:sz w:val="15"/>
              </w:rPr>
              <w:t>7%</w:t>
            </w:r>
          </w:p>
        </w:tc>
        <w:tc>
          <w:tcPr>
            <w:tcW w:w="1133" w:type="dxa"/>
            <w:tcBorders>
              <w:top w:val="single" w:sz="4" w:space="0" w:color="231F20"/>
              <w:left w:val="single" w:sz="4" w:space="0" w:color="231F20"/>
              <w:bottom w:val="single" w:sz="4" w:space="0" w:color="231F20"/>
              <w:right w:val="single" w:sz="4" w:space="0" w:color="231F20"/>
            </w:tcBorders>
          </w:tcPr>
          <w:p w14:paraId="70A67D2C" w14:textId="77777777" w:rsidR="00F65BCA" w:rsidRDefault="00216117">
            <w:pPr>
              <w:pStyle w:val="TableParagraph"/>
              <w:spacing w:before="35"/>
              <w:ind w:left="172" w:right="27"/>
              <w:jc w:val="center"/>
              <w:rPr>
                <w:sz w:val="15"/>
              </w:rPr>
            </w:pPr>
            <w:r>
              <w:rPr>
                <w:color w:val="231F20"/>
                <w:sz w:val="15"/>
              </w:rPr>
              <w:t>7%</w:t>
            </w:r>
          </w:p>
        </w:tc>
        <w:tc>
          <w:tcPr>
            <w:tcW w:w="1020" w:type="dxa"/>
            <w:tcBorders>
              <w:top w:val="single" w:sz="4" w:space="0" w:color="231F20"/>
              <w:left w:val="single" w:sz="4" w:space="0" w:color="231F20"/>
              <w:bottom w:val="single" w:sz="4" w:space="0" w:color="231F20"/>
              <w:right w:val="single" w:sz="4" w:space="0" w:color="231F20"/>
            </w:tcBorders>
          </w:tcPr>
          <w:p w14:paraId="3E1D004A" w14:textId="77777777" w:rsidR="00F65BCA" w:rsidRDefault="00216117">
            <w:pPr>
              <w:pStyle w:val="TableParagraph"/>
              <w:spacing w:before="35"/>
              <w:ind w:left="366"/>
              <w:rPr>
                <w:sz w:val="15"/>
              </w:rPr>
            </w:pPr>
            <w:r>
              <w:rPr>
                <w:color w:val="231F20"/>
                <w:sz w:val="15"/>
              </w:rPr>
              <w:t>27%</w:t>
            </w:r>
          </w:p>
        </w:tc>
        <w:tc>
          <w:tcPr>
            <w:tcW w:w="1133" w:type="dxa"/>
            <w:tcBorders>
              <w:top w:val="single" w:sz="4" w:space="0" w:color="231F20"/>
              <w:left w:val="single" w:sz="4" w:space="0" w:color="231F20"/>
              <w:bottom w:val="single" w:sz="4" w:space="0" w:color="231F20"/>
              <w:right w:val="single" w:sz="4" w:space="0" w:color="231F20"/>
            </w:tcBorders>
          </w:tcPr>
          <w:p w14:paraId="79A0E1BC" w14:textId="77777777" w:rsidR="00F65BCA" w:rsidRDefault="00216117">
            <w:pPr>
              <w:pStyle w:val="TableParagraph"/>
              <w:spacing w:before="35"/>
              <w:ind w:left="51" w:right="27"/>
              <w:jc w:val="center"/>
              <w:rPr>
                <w:sz w:val="15"/>
              </w:rPr>
            </w:pPr>
            <w:r>
              <w:rPr>
                <w:color w:val="231F20"/>
                <w:sz w:val="15"/>
              </w:rPr>
              <w:t>31%</w:t>
            </w:r>
          </w:p>
        </w:tc>
        <w:tc>
          <w:tcPr>
            <w:tcW w:w="1020" w:type="dxa"/>
            <w:tcBorders>
              <w:top w:val="single" w:sz="4" w:space="0" w:color="231F20"/>
              <w:left w:val="single" w:sz="4" w:space="0" w:color="231F20"/>
              <w:bottom w:val="single" w:sz="4" w:space="0" w:color="231F20"/>
              <w:right w:val="single" w:sz="4" w:space="0" w:color="231F20"/>
            </w:tcBorders>
          </w:tcPr>
          <w:p w14:paraId="2C00D4BF" w14:textId="77777777" w:rsidR="00F65BCA" w:rsidRDefault="00216117">
            <w:pPr>
              <w:pStyle w:val="TableParagraph"/>
              <w:spacing w:before="35"/>
              <w:ind w:left="367"/>
              <w:rPr>
                <w:sz w:val="15"/>
              </w:rPr>
            </w:pPr>
            <w:r>
              <w:rPr>
                <w:color w:val="231F20"/>
                <w:sz w:val="15"/>
              </w:rPr>
              <w:t>47%</w:t>
            </w:r>
          </w:p>
        </w:tc>
        <w:tc>
          <w:tcPr>
            <w:tcW w:w="1133" w:type="dxa"/>
            <w:tcBorders>
              <w:top w:val="single" w:sz="4" w:space="0" w:color="231F20"/>
              <w:left w:val="single" w:sz="4" w:space="0" w:color="231F20"/>
              <w:bottom w:val="single" w:sz="4" w:space="0" w:color="231F20"/>
              <w:right w:val="single" w:sz="4" w:space="0" w:color="231F20"/>
            </w:tcBorders>
          </w:tcPr>
          <w:p w14:paraId="36EE6925" w14:textId="77777777" w:rsidR="00F65BCA" w:rsidRDefault="00216117">
            <w:pPr>
              <w:pStyle w:val="TableParagraph"/>
              <w:spacing w:before="35"/>
              <w:ind w:right="375"/>
              <w:jc w:val="right"/>
              <w:rPr>
                <w:sz w:val="15"/>
              </w:rPr>
            </w:pPr>
            <w:r>
              <w:rPr>
                <w:color w:val="231F20"/>
                <w:w w:val="95"/>
                <w:sz w:val="15"/>
              </w:rPr>
              <w:t>91%</w:t>
            </w:r>
          </w:p>
        </w:tc>
        <w:tc>
          <w:tcPr>
            <w:tcW w:w="1020" w:type="dxa"/>
            <w:tcBorders>
              <w:top w:val="single" w:sz="4" w:space="0" w:color="231F20"/>
              <w:left w:val="single" w:sz="4" w:space="0" w:color="231F20"/>
              <w:bottom w:val="single" w:sz="4" w:space="0" w:color="231F20"/>
              <w:right w:val="single" w:sz="4" w:space="0" w:color="231F20"/>
            </w:tcBorders>
          </w:tcPr>
          <w:p w14:paraId="73448E66" w14:textId="77777777" w:rsidR="00F65BCA" w:rsidRDefault="00216117">
            <w:pPr>
              <w:pStyle w:val="TableParagraph"/>
              <w:spacing w:before="35"/>
              <w:ind w:left="36" w:right="8"/>
              <w:jc w:val="center"/>
              <w:rPr>
                <w:sz w:val="15"/>
              </w:rPr>
            </w:pPr>
            <w:r>
              <w:rPr>
                <w:color w:val="231F20"/>
                <w:sz w:val="15"/>
              </w:rPr>
              <w:t>67%</w:t>
            </w:r>
          </w:p>
        </w:tc>
        <w:tc>
          <w:tcPr>
            <w:tcW w:w="1133" w:type="dxa"/>
            <w:tcBorders>
              <w:top w:val="single" w:sz="4" w:space="0" w:color="231F20"/>
              <w:left w:val="single" w:sz="4" w:space="0" w:color="231F20"/>
              <w:bottom w:val="single" w:sz="4" w:space="0" w:color="231F20"/>
              <w:right w:val="single" w:sz="4" w:space="0" w:color="231F20"/>
            </w:tcBorders>
          </w:tcPr>
          <w:p w14:paraId="2817D6B8" w14:textId="77777777" w:rsidR="00F65BCA" w:rsidRDefault="00216117">
            <w:pPr>
              <w:pStyle w:val="TableParagraph"/>
              <w:spacing w:before="35"/>
              <w:ind w:left="56" w:right="27"/>
              <w:jc w:val="center"/>
              <w:rPr>
                <w:sz w:val="15"/>
              </w:rPr>
            </w:pPr>
            <w:r>
              <w:rPr>
                <w:color w:val="231F20"/>
                <w:sz w:val="15"/>
              </w:rPr>
              <w:t>253%</w:t>
            </w:r>
          </w:p>
        </w:tc>
        <w:tc>
          <w:tcPr>
            <w:tcW w:w="963" w:type="dxa"/>
            <w:tcBorders>
              <w:top w:val="single" w:sz="4" w:space="0" w:color="231F20"/>
              <w:left w:val="single" w:sz="4" w:space="0" w:color="231F20"/>
              <w:bottom w:val="single" w:sz="4" w:space="0" w:color="231F20"/>
              <w:right w:val="single" w:sz="4" w:space="0" w:color="231F20"/>
            </w:tcBorders>
          </w:tcPr>
          <w:p w14:paraId="35950778" w14:textId="77777777" w:rsidR="00F65BCA" w:rsidRDefault="00216117">
            <w:pPr>
              <w:pStyle w:val="TableParagraph"/>
              <w:spacing w:before="35"/>
              <w:ind w:left="342"/>
              <w:rPr>
                <w:sz w:val="15"/>
              </w:rPr>
            </w:pPr>
            <w:r>
              <w:rPr>
                <w:color w:val="231F20"/>
                <w:sz w:val="15"/>
              </w:rPr>
              <w:t>87%</w:t>
            </w:r>
          </w:p>
        </w:tc>
        <w:tc>
          <w:tcPr>
            <w:tcW w:w="1190" w:type="dxa"/>
            <w:tcBorders>
              <w:top w:val="single" w:sz="4" w:space="0" w:color="231F20"/>
              <w:left w:val="single" w:sz="4" w:space="0" w:color="231F20"/>
              <w:bottom w:val="single" w:sz="4" w:space="0" w:color="231F20"/>
              <w:right w:val="nil"/>
            </w:tcBorders>
          </w:tcPr>
          <w:p w14:paraId="314C4A08" w14:textId="77777777" w:rsidR="00F65BCA" w:rsidRDefault="00216117">
            <w:pPr>
              <w:pStyle w:val="TableParagraph"/>
              <w:spacing w:before="35"/>
              <w:ind w:left="407"/>
              <w:rPr>
                <w:sz w:val="15"/>
              </w:rPr>
            </w:pPr>
            <w:r>
              <w:rPr>
                <w:color w:val="231F20"/>
                <w:sz w:val="15"/>
              </w:rPr>
              <w:t>445%</w:t>
            </w:r>
          </w:p>
        </w:tc>
      </w:tr>
      <w:tr w:rsidR="00F65BCA" w14:paraId="2F0370EE" w14:textId="77777777">
        <w:trPr>
          <w:trHeight w:val="245"/>
        </w:trPr>
        <w:tc>
          <w:tcPr>
            <w:tcW w:w="1020" w:type="dxa"/>
            <w:tcBorders>
              <w:top w:val="single" w:sz="4" w:space="0" w:color="231F20"/>
              <w:left w:val="nil"/>
              <w:bottom w:val="single" w:sz="4" w:space="0" w:color="231F20"/>
              <w:right w:val="single" w:sz="4" w:space="0" w:color="231F20"/>
            </w:tcBorders>
          </w:tcPr>
          <w:p w14:paraId="3F9189B8" w14:textId="77777777" w:rsidR="00F65BCA" w:rsidRDefault="00216117">
            <w:pPr>
              <w:pStyle w:val="TableParagraph"/>
              <w:spacing w:before="35"/>
              <w:ind w:right="379"/>
              <w:jc w:val="right"/>
              <w:rPr>
                <w:sz w:val="15"/>
              </w:rPr>
            </w:pPr>
            <w:r>
              <w:rPr>
                <w:color w:val="231F20"/>
                <w:sz w:val="15"/>
              </w:rPr>
              <w:t>8%</w:t>
            </w:r>
          </w:p>
        </w:tc>
        <w:tc>
          <w:tcPr>
            <w:tcW w:w="1133" w:type="dxa"/>
            <w:tcBorders>
              <w:top w:val="single" w:sz="4" w:space="0" w:color="231F20"/>
              <w:left w:val="single" w:sz="4" w:space="0" w:color="231F20"/>
              <w:bottom w:val="single" w:sz="4" w:space="0" w:color="231F20"/>
              <w:right w:val="single" w:sz="4" w:space="0" w:color="231F20"/>
            </w:tcBorders>
          </w:tcPr>
          <w:p w14:paraId="4D5D2924" w14:textId="77777777" w:rsidR="00F65BCA" w:rsidRDefault="00216117">
            <w:pPr>
              <w:pStyle w:val="TableParagraph"/>
              <w:spacing w:before="35"/>
              <w:ind w:left="172" w:right="27"/>
              <w:jc w:val="center"/>
              <w:rPr>
                <w:sz w:val="15"/>
              </w:rPr>
            </w:pPr>
            <w:r>
              <w:rPr>
                <w:color w:val="231F20"/>
                <w:sz w:val="15"/>
              </w:rPr>
              <w:t>8%</w:t>
            </w:r>
          </w:p>
        </w:tc>
        <w:tc>
          <w:tcPr>
            <w:tcW w:w="1020" w:type="dxa"/>
            <w:tcBorders>
              <w:top w:val="single" w:sz="4" w:space="0" w:color="231F20"/>
              <w:left w:val="single" w:sz="4" w:space="0" w:color="231F20"/>
              <w:bottom w:val="single" w:sz="4" w:space="0" w:color="231F20"/>
              <w:right w:val="single" w:sz="4" w:space="0" w:color="231F20"/>
            </w:tcBorders>
          </w:tcPr>
          <w:p w14:paraId="0A0026FE" w14:textId="77777777" w:rsidR="00F65BCA" w:rsidRDefault="00216117">
            <w:pPr>
              <w:pStyle w:val="TableParagraph"/>
              <w:spacing w:before="35"/>
              <w:ind w:left="366"/>
              <w:rPr>
                <w:sz w:val="15"/>
              </w:rPr>
            </w:pPr>
            <w:r>
              <w:rPr>
                <w:color w:val="231F20"/>
                <w:sz w:val="15"/>
              </w:rPr>
              <w:t>28%</w:t>
            </w:r>
          </w:p>
        </w:tc>
        <w:tc>
          <w:tcPr>
            <w:tcW w:w="1133" w:type="dxa"/>
            <w:tcBorders>
              <w:top w:val="single" w:sz="4" w:space="0" w:color="231F20"/>
              <w:left w:val="single" w:sz="4" w:space="0" w:color="231F20"/>
              <w:bottom w:val="single" w:sz="4" w:space="0" w:color="231F20"/>
              <w:right w:val="single" w:sz="4" w:space="0" w:color="231F20"/>
            </w:tcBorders>
          </w:tcPr>
          <w:p w14:paraId="42E49ABE" w14:textId="77777777" w:rsidR="00F65BCA" w:rsidRDefault="00216117">
            <w:pPr>
              <w:pStyle w:val="TableParagraph"/>
              <w:spacing w:before="35"/>
              <w:ind w:left="51" w:right="27"/>
              <w:jc w:val="center"/>
              <w:rPr>
                <w:sz w:val="15"/>
              </w:rPr>
            </w:pPr>
            <w:r>
              <w:rPr>
                <w:color w:val="231F20"/>
                <w:sz w:val="15"/>
              </w:rPr>
              <w:t>34%</w:t>
            </w:r>
          </w:p>
        </w:tc>
        <w:tc>
          <w:tcPr>
            <w:tcW w:w="1020" w:type="dxa"/>
            <w:tcBorders>
              <w:top w:val="single" w:sz="4" w:space="0" w:color="231F20"/>
              <w:left w:val="single" w:sz="4" w:space="0" w:color="231F20"/>
              <w:bottom w:val="single" w:sz="4" w:space="0" w:color="231F20"/>
              <w:right w:val="single" w:sz="4" w:space="0" w:color="231F20"/>
            </w:tcBorders>
          </w:tcPr>
          <w:p w14:paraId="571134E7" w14:textId="77777777" w:rsidR="00F65BCA" w:rsidRDefault="00216117">
            <w:pPr>
              <w:pStyle w:val="TableParagraph"/>
              <w:spacing w:before="35"/>
              <w:ind w:left="367"/>
              <w:rPr>
                <w:sz w:val="15"/>
              </w:rPr>
            </w:pPr>
            <w:r>
              <w:rPr>
                <w:color w:val="231F20"/>
                <w:sz w:val="15"/>
              </w:rPr>
              <w:t>48%</w:t>
            </w:r>
          </w:p>
        </w:tc>
        <w:tc>
          <w:tcPr>
            <w:tcW w:w="1133" w:type="dxa"/>
            <w:tcBorders>
              <w:top w:val="single" w:sz="4" w:space="0" w:color="231F20"/>
              <w:left w:val="single" w:sz="4" w:space="0" w:color="231F20"/>
              <w:bottom w:val="single" w:sz="4" w:space="0" w:color="231F20"/>
              <w:right w:val="single" w:sz="4" w:space="0" w:color="231F20"/>
            </w:tcBorders>
          </w:tcPr>
          <w:p w14:paraId="4A275F81" w14:textId="77777777" w:rsidR="00F65BCA" w:rsidRDefault="00216117">
            <w:pPr>
              <w:pStyle w:val="TableParagraph"/>
              <w:spacing w:before="35"/>
              <w:ind w:right="375"/>
              <w:jc w:val="right"/>
              <w:rPr>
                <w:sz w:val="15"/>
              </w:rPr>
            </w:pPr>
            <w:r>
              <w:rPr>
                <w:color w:val="231F20"/>
                <w:w w:val="95"/>
                <w:sz w:val="15"/>
              </w:rPr>
              <w:t>94%</w:t>
            </w:r>
          </w:p>
        </w:tc>
        <w:tc>
          <w:tcPr>
            <w:tcW w:w="1020" w:type="dxa"/>
            <w:tcBorders>
              <w:top w:val="single" w:sz="4" w:space="0" w:color="231F20"/>
              <w:left w:val="single" w:sz="4" w:space="0" w:color="231F20"/>
              <w:bottom w:val="single" w:sz="4" w:space="0" w:color="231F20"/>
              <w:right w:val="single" w:sz="4" w:space="0" w:color="231F20"/>
            </w:tcBorders>
          </w:tcPr>
          <w:p w14:paraId="6387ACAE" w14:textId="77777777" w:rsidR="00F65BCA" w:rsidRDefault="00216117">
            <w:pPr>
              <w:pStyle w:val="TableParagraph"/>
              <w:spacing w:before="35"/>
              <w:ind w:left="36" w:right="8"/>
              <w:jc w:val="center"/>
              <w:rPr>
                <w:sz w:val="15"/>
              </w:rPr>
            </w:pPr>
            <w:r>
              <w:rPr>
                <w:color w:val="231F20"/>
                <w:sz w:val="15"/>
              </w:rPr>
              <w:t>68%</w:t>
            </w:r>
          </w:p>
        </w:tc>
        <w:tc>
          <w:tcPr>
            <w:tcW w:w="1133" w:type="dxa"/>
            <w:tcBorders>
              <w:top w:val="single" w:sz="4" w:space="0" w:color="231F20"/>
              <w:left w:val="single" w:sz="4" w:space="0" w:color="231F20"/>
              <w:bottom w:val="single" w:sz="4" w:space="0" w:color="231F20"/>
              <w:right w:val="single" w:sz="4" w:space="0" w:color="231F20"/>
            </w:tcBorders>
          </w:tcPr>
          <w:p w14:paraId="66F880BA" w14:textId="77777777" w:rsidR="00F65BCA" w:rsidRDefault="00216117">
            <w:pPr>
              <w:pStyle w:val="TableParagraph"/>
              <w:spacing w:before="35"/>
              <w:ind w:left="56" w:right="27"/>
              <w:jc w:val="center"/>
              <w:rPr>
                <w:sz w:val="15"/>
              </w:rPr>
            </w:pPr>
            <w:r>
              <w:rPr>
                <w:color w:val="231F20"/>
                <w:sz w:val="15"/>
              </w:rPr>
              <w:t>262%</w:t>
            </w:r>
          </w:p>
        </w:tc>
        <w:tc>
          <w:tcPr>
            <w:tcW w:w="963" w:type="dxa"/>
            <w:tcBorders>
              <w:top w:val="single" w:sz="4" w:space="0" w:color="231F20"/>
              <w:left w:val="single" w:sz="4" w:space="0" w:color="231F20"/>
              <w:bottom w:val="single" w:sz="4" w:space="0" w:color="231F20"/>
              <w:right w:val="single" w:sz="4" w:space="0" w:color="231F20"/>
            </w:tcBorders>
          </w:tcPr>
          <w:p w14:paraId="666F4087" w14:textId="77777777" w:rsidR="00F65BCA" w:rsidRDefault="00216117">
            <w:pPr>
              <w:pStyle w:val="TableParagraph"/>
              <w:spacing w:before="35"/>
              <w:ind w:left="342"/>
              <w:rPr>
                <w:sz w:val="15"/>
              </w:rPr>
            </w:pPr>
            <w:r>
              <w:rPr>
                <w:color w:val="231F20"/>
                <w:sz w:val="15"/>
              </w:rPr>
              <w:t>88%</w:t>
            </w:r>
          </w:p>
        </w:tc>
        <w:tc>
          <w:tcPr>
            <w:tcW w:w="1190" w:type="dxa"/>
            <w:tcBorders>
              <w:top w:val="single" w:sz="4" w:space="0" w:color="231F20"/>
              <w:left w:val="single" w:sz="4" w:space="0" w:color="231F20"/>
              <w:bottom w:val="single" w:sz="4" w:space="0" w:color="231F20"/>
              <w:right w:val="nil"/>
            </w:tcBorders>
          </w:tcPr>
          <w:p w14:paraId="550B5688" w14:textId="77777777" w:rsidR="00F65BCA" w:rsidRDefault="00216117">
            <w:pPr>
              <w:pStyle w:val="TableParagraph"/>
              <w:spacing w:before="35"/>
              <w:ind w:left="407"/>
              <w:rPr>
                <w:sz w:val="15"/>
              </w:rPr>
            </w:pPr>
            <w:r>
              <w:rPr>
                <w:color w:val="231F20"/>
                <w:sz w:val="15"/>
              </w:rPr>
              <w:t>455%</w:t>
            </w:r>
          </w:p>
        </w:tc>
      </w:tr>
      <w:tr w:rsidR="00F65BCA" w14:paraId="62F196C2" w14:textId="77777777">
        <w:trPr>
          <w:trHeight w:val="245"/>
        </w:trPr>
        <w:tc>
          <w:tcPr>
            <w:tcW w:w="1020" w:type="dxa"/>
            <w:tcBorders>
              <w:top w:val="single" w:sz="4" w:space="0" w:color="231F20"/>
              <w:left w:val="nil"/>
              <w:bottom w:val="single" w:sz="4" w:space="0" w:color="231F20"/>
              <w:right w:val="single" w:sz="4" w:space="0" w:color="231F20"/>
            </w:tcBorders>
          </w:tcPr>
          <w:p w14:paraId="321025EA" w14:textId="77777777" w:rsidR="00F65BCA" w:rsidRDefault="00216117">
            <w:pPr>
              <w:pStyle w:val="TableParagraph"/>
              <w:spacing w:before="35"/>
              <w:ind w:right="379"/>
              <w:jc w:val="right"/>
              <w:rPr>
                <w:sz w:val="15"/>
              </w:rPr>
            </w:pPr>
            <w:r>
              <w:rPr>
                <w:color w:val="231F20"/>
                <w:sz w:val="15"/>
              </w:rPr>
              <w:t>9%</w:t>
            </w:r>
          </w:p>
        </w:tc>
        <w:tc>
          <w:tcPr>
            <w:tcW w:w="1133" w:type="dxa"/>
            <w:tcBorders>
              <w:top w:val="single" w:sz="4" w:space="0" w:color="231F20"/>
              <w:left w:val="single" w:sz="4" w:space="0" w:color="231F20"/>
              <w:bottom w:val="single" w:sz="4" w:space="0" w:color="231F20"/>
              <w:right w:val="single" w:sz="4" w:space="0" w:color="231F20"/>
            </w:tcBorders>
          </w:tcPr>
          <w:p w14:paraId="308B587A" w14:textId="77777777" w:rsidR="00F65BCA" w:rsidRDefault="00216117">
            <w:pPr>
              <w:pStyle w:val="TableParagraph"/>
              <w:spacing w:before="35"/>
              <w:ind w:left="172" w:right="27"/>
              <w:jc w:val="center"/>
              <w:rPr>
                <w:sz w:val="15"/>
              </w:rPr>
            </w:pPr>
            <w:r>
              <w:rPr>
                <w:color w:val="231F20"/>
                <w:sz w:val="15"/>
              </w:rPr>
              <w:t>9%</w:t>
            </w:r>
          </w:p>
        </w:tc>
        <w:tc>
          <w:tcPr>
            <w:tcW w:w="1020" w:type="dxa"/>
            <w:tcBorders>
              <w:top w:val="single" w:sz="4" w:space="0" w:color="231F20"/>
              <w:left w:val="single" w:sz="4" w:space="0" w:color="231F20"/>
              <w:bottom w:val="single" w:sz="4" w:space="0" w:color="231F20"/>
              <w:right w:val="single" w:sz="4" w:space="0" w:color="231F20"/>
            </w:tcBorders>
          </w:tcPr>
          <w:p w14:paraId="6CCE0B52" w14:textId="77777777" w:rsidR="00F65BCA" w:rsidRDefault="00216117">
            <w:pPr>
              <w:pStyle w:val="TableParagraph"/>
              <w:spacing w:before="35"/>
              <w:ind w:left="366"/>
              <w:rPr>
                <w:sz w:val="15"/>
              </w:rPr>
            </w:pPr>
            <w:r>
              <w:rPr>
                <w:color w:val="231F20"/>
                <w:sz w:val="15"/>
              </w:rPr>
              <w:t>29%</w:t>
            </w:r>
          </w:p>
        </w:tc>
        <w:tc>
          <w:tcPr>
            <w:tcW w:w="1133" w:type="dxa"/>
            <w:tcBorders>
              <w:top w:val="single" w:sz="4" w:space="0" w:color="231F20"/>
              <w:left w:val="single" w:sz="4" w:space="0" w:color="231F20"/>
              <w:bottom w:val="single" w:sz="4" w:space="0" w:color="231F20"/>
              <w:right w:val="single" w:sz="4" w:space="0" w:color="231F20"/>
            </w:tcBorders>
          </w:tcPr>
          <w:p w14:paraId="3795422C" w14:textId="77777777" w:rsidR="00F65BCA" w:rsidRDefault="00216117">
            <w:pPr>
              <w:pStyle w:val="TableParagraph"/>
              <w:spacing w:before="35"/>
              <w:ind w:left="51" w:right="27"/>
              <w:jc w:val="center"/>
              <w:rPr>
                <w:sz w:val="15"/>
              </w:rPr>
            </w:pPr>
            <w:r>
              <w:rPr>
                <w:color w:val="231F20"/>
                <w:sz w:val="15"/>
              </w:rPr>
              <w:t>37%</w:t>
            </w:r>
          </w:p>
        </w:tc>
        <w:tc>
          <w:tcPr>
            <w:tcW w:w="1020" w:type="dxa"/>
            <w:tcBorders>
              <w:top w:val="single" w:sz="4" w:space="0" w:color="231F20"/>
              <w:left w:val="single" w:sz="4" w:space="0" w:color="231F20"/>
              <w:bottom w:val="single" w:sz="4" w:space="0" w:color="231F20"/>
              <w:right w:val="single" w:sz="4" w:space="0" w:color="231F20"/>
            </w:tcBorders>
          </w:tcPr>
          <w:p w14:paraId="741875B6" w14:textId="77777777" w:rsidR="00F65BCA" w:rsidRDefault="00216117">
            <w:pPr>
              <w:pStyle w:val="TableParagraph"/>
              <w:spacing w:before="35"/>
              <w:ind w:left="367"/>
              <w:rPr>
                <w:sz w:val="15"/>
              </w:rPr>
            </w:pPr>
            <w:r>
              <w:rPr>
                <w:color w:val="231F20"/>
                <w:sz w:val="15"/>
              </w:rPr>
              <w:t>49%</w:t>
            </w:r>
          </w:p>
        </w:tc>
        <w:tc>
          <w:tcPr>
            <w:tcW w:w="1133" w:type="dxa"/>
            <w:tcBorders>
              <w:top w:val="single" w:sz="4" w:space="0" w:color="231F20"/>
              <w:left w:val="single" w:sz="4" w:space="0" w:color="231F20"/>
              <w:bottom w:val="single" w:sz="4" w:space="0" w:color="231F20"/>
              <w:right w:val="single" w:sz="4" w:space="0" w:color="231F20"/>
            </w:tcBorders>
          </w:tcPr>
          <w:p w14:paraId="6968BE40" w14:textId="77777777" w:rsidR="00F65BCA" w:rsidRDefault="00216117">
            <w:pPr>
              <w:pStyle w:val="TableParagraph"/>
              <w:spacing w:before="35"/>
              <w:ind w:right="375"/>
              <w:jc w:val="right"/>
              <w:rPr>
                <w:sz w:val="15"/>
              </w:rPr>
            </w:pPr>
            <w:r>
              <w:rPr>
                <w:color w:val="231F20"/>
                <w:w w:val="95"/>
                <w:sz w:val="15"/>
              </w:rPr>
              <w:t>97%</w:t>
            </w:r>
          </w:p>
        </w:tc>
        <w:tc>
          <w:tcPr>
            <w:tcW w:w="1020" w:type="dxa"/>
            <w:tcBorders>
              <w:top w:val="single" w:sz="4" w:space="0" w:color="231F20"/>
              <w:left w:val="single" w:sz="4" w:space="0" w:color="231F20"/>
              <w:bottom w:val="single" w:sz="4" w:space="0" w:color="231F20"/>
              <w:right w:val="single" w:sz="4" w:space="0" w:color="231F20"/>
            </w:tcBorders>
          </w:tcPr>
          <w:p w14:paraId="72579642" w14:textId="77777777" w:rsidR="00F65BCA" w:rsidRDefault="00216117">
            <w:pPr>
              <w:pStyle w:val="TableParagraph"/>
              <w:spacing w:before="35"/>
              <w:ind w:left="36" w:right="8"/>
              <w:jc w:val="center"/>
              <w:rPr>
                <w:sz w:val="15"/>
              </w:rPr>
            </w:pPr>
            <w:r>
              <w:rPr>
                <w:color w:val="231F20"/>
                <w:sz w:val="15"/>
              </w:rPr>
              <w:t>69%</w:t>
            </w:r>
          </w:p>
        </w:tc>
        <w:tc>
          <w:tcPr>
            <w:tcW w:w="1133" w:type="dxa"/>
            <w:tcBorders>
              <w:top w:val="single" w:sz="4" w:space="0" w:color="231F20"/>
              <w:left w:val="single" w:sz="4" w:space="0" w:color="231F20"/>
              <w:bottom w:val="single" w:sz="4" w:space="0" w:color="231F20"/>
              <w:right w:val="single" w:sz="4" w:space="0" w:color="231F20"/>
            </w:tcBorders>
          </w:tcPr>
          <w:p w14:paraId="252C493B" w14:textId="77777777" w:rsidR="00F65BCA" w:rsidRDefault="00216117">
            <w:pPr>
              <w:pStyle w:val="TableParagraph"/>
              <w:spacing w:before="35"/>
              <w:ind w:left="56" w:right="27"/>
              <w:jc w:val="center"/>
              <w:rPr>
                <w:sz w:val="15"/>
              </w:rPr>
            </w:pPr>
            <w:r>
              <w:rPr>
                <w:color w:val="231F20"/>
                <w:sz w:val="15"/>
              </w:rPr>
              <w:t>271%</w:t>
            </w:r>
          </w:p>
        </w:tc>
        <w:tc>
          <w:tcPr>
            <w:tcW w:w="963" w:type="dxa"/>
            <w:tcBorders>
              <w:top w:val="single" w:sz="4" w:space="0" w:color="231F20"/>
              <w:left w:val="single" w:sz="4" w:space="0" w:color="231F20"/>
              <w:bottom w:val="single" w:sz="4" w:space="0" w:color="231F20"/>
              <w:right w:val="single" w:sz="4" w:space="0" w:color="231F20"/>
            </w:tcBorders>
          </w:tcPr>
          <w:p w14:paraId="2F021B99" w14:textId="77777777" w:rsidR="00F65BCA" w:rsidRDefault="00216117">
            <w:pPr>
              <w:pStyle w:val="TableParagraph"/>
              <w:spacing w:before="35"/>
              <w:ind w:left="342"/>
              <w:rPr>
                <w:sz w:val="15"/>
              </w:rPr>
            </w:pPr>
            <w:r>
              <w:rPr>
                <w:color w:val="231F20"/>
                <w:sz w:val="15"/>
              </w:rPr>
              <w:t>89%</w:t>
            </w:r>
          </w:p>
        </w:tc>
        <w:tc>
          <w:tcPr>
            <w:tcW w:w="1190" w:type="dxa"/>
            <w:tcBorders>
              <w:top w:val="single" w:sz="4" w:space="0" w:color="231F20"/>
              <w:left w:val="single" w:sz="4" w:space="0" w:color="231F20"/>
              <w:bottom w:val="single" w:sz="4" w:space="0" w:color="231F20"/>
              <w:right w:val="nil"/>
            </w:tcBorders>
          </w:tcPr>
          <w:p w14:paraId="7EE99B23" w14:textId="77777777" w:rsidR="00F65BCA" w:rsidRDefault="00216117">
            <w:pPr>
              <w:pStyle w:val="TableParagraph"/>
              <w:spacing w:before="35"/>
              <w:ind w:left="407"/>
              <w:rPr>
                <w:sz w:val="15"/>
              </w:rPr>
            </w:pPr>
            <w:r>
              <w:rPr>
                <w:color w:val="231F20"/>
                <w:sz w:val="15"/>
              </w:rPr>
              <w:t>465%</w:t>
            </w:r>
          </w:p>
        </w:tc>
      </w:tr>
      <w:tr w:rsidR="00F65BCA" w14:paraId="5BF1EC37" w14:textId="77777777">
        <w:trPr>
          <w:trHeight w:val="245"/>
        </w:trPr>
        <w:tc>
          <w:tcPr>
            <w:tcW w:w="1020" w:type="dxa"/>
            <w:tcBorders>
              <w:top w:val="single" w:sz="4" w:space="0" w:color="231F20"/>
              <w:left w:val="nil"/>
              <w:bottom w:val="single" w:sz="4" w:space="0" w:color="231F20"/>
              <w:right w:val="single" w:sz="4" w:space="0" w:color="231F20"/>
            </w:tcBorders>
          </w:tcPr>
          <w:p w14:paraId="693172DB" w14:textId="77777777" w:rsidR="00F65BCA" w:rsidRDefault="00216117">
            <w:pPr>
              <w:pStyle w:val="TableParagraph"/>
              <w:spacing w:before="35"/>
              <w:ind w:right="379"/>
              <w:jc w:val="right"/>
              <w:rPr>
                <w:sz w:val="15"/>
              </w:rPr>
            </w:pPr>
            <w:r>
              <w:rPr>
                <w:color w:val="231F20"/>
                <w:w w:val="95"/>
                <w:sz w:val="15"/>
              </w:rPr>
              <w:t>10%</w:t>
            </w:r>
          </w:p>
        </w:tc>
        <w:tc>
          <w:tcPr>
            <w:tcW w:w="1133" w:type="dxa"/>
            <w:tcBorders>
              <w:top w:val="single" w:sz="4" w:space="0" w:color="231F20"/>
              <w:left w:val="single" w:sz="4" w:space="0" w:color="231F20"/>
              <w:bottom w:val="single" w:sz="4" w:space="0" w:color="231F20"/>
              <w:right w:val="single" w:sz="4" w:space="0" w:color="231F20"/>
            </w:tcBorders>
          </w:tcPr>
          <w:p w14:paraId="2910285B" w14:textId="77777777" w:rsidR="00F65BCA" w:rsidRDefault="00216117">
            <w:pPr>
              <w:pStyle w:val="TableParagraph"/>
              <w:spacing w:before="35"/>
              <w:ind w:left="76" w:right="15"/>
              <w:jc w:val="center"/>
              <w:rPr>
                <w:sz w:val="15"/>
              </w:rPr>
            </w:pPr>
            <w:r>
              <w:rPr>
                <w:color w:val="231F20"/>
                <w:sz w:val="15"/>
              </w:rPr>
              <w:t>10%</w:t>
            </w:r>
          </w:p>
        </w:tc>
        <w:tc>
          <w:tcPr>
            <w:tcW w:w="1020" w:type="dxa"/>
            <w:tcBorders>
              <w:top w:val="single" w:sz="4" w:space="0" w:color="231F20"/>
              <w:left w:val="single" w:sz="4" w:space="0" w:color="231F20"/>
              <w:bottom w:val="single" w:sz="4" w:space="0" w:color="231F20"/>
              <w:right w:val="single" w:sz="4" w:space="0" w:color="231F20"/>
            </w:tcBorders>
          </w:tcPr>
          <w:p w14:paraId="6BE8FB01" w14:textId="77777777" w:rsidR="00F65BCA" w:rsidRDefault="00216117">
            <w:pPr>
              <w:pStyle w:val="TableParagraph"/>
              <w:spacing w:before="35"/>
              <w:ind w:left="366"/>
              <w:rPr>
                <w:sz w:val="15"/>
              </w:rPr>
            </w:pPr>
            <w:r>
              <w:rPr>
                <w:color w:val="231F20"/>
                <w:sz w:val="15"/>
              </w:rPr>
              <w:t>30%</w:t>
            </w:r>
          </w:p>
        </w:tc>
        <w:tc>
          <w:tcPr>
            <w:tcW w:w="1133" w:type="dxa"/>
            <w:tcBorders>
              <w:top w:val="single" w:sz="4" w:space="0" w:color="231F20"/>
              <w:left w:val="single" w:sz="4" w:space="0" w:color="231F20"/>
              <w:bottom w:val="single" w:sz="4" w:space="0" w:color="231F20"/>
              <w:right w:val="single" w:sz="4" w:space="0" w:color="231F20"/>
            </w:tcBorders>
          </w:tcPr>
          <w:p w14:paraId="63F24E4C" w14:textId="77777777" w:rsidR="00F65BCA" w:rsidRDefault="00216117">
            <w:pPr>
              <w:pStyle w:val="TableParagraph"/>
              <w:spacing w:before="35"/>
              <w:ind w:left="51" w:right="27"/>
              <w:jc w:val="center"/>
              <w:rPr>
                <w:sz w:val="15"/>
              </w:rPr>
            </w:pPr>
            <w:r>
              <w:rPr>
                <w:color w:val="231F20"/>
                <w:sz w:val="15"/>
              </w:rPr>
              <w:t>40%</w:t>
            </w:r>
          </w:p>
        </w:tc>
        <w:tc>
          <w:tcPr>
            <w:tcW w:w="1020" w:type="dxa"/>
            <w:tcBorders>
              <w:top w:val="single" w:sz="4" w:space="0" w:color="231F20"/>
              <w:left w:val="single" w:sz="4" w:space="0" w:color="231F20"/>
              <w:bottom w:val="single" w:sz="4" w:space="0" w:color="231F20"/>
              <w:right w:val="single" w:sz="4" w:space="0" w:color="231F20"/>
            </w:tcBorders>
          </w:tcPr>
          <w:p w14:paraId="61B29A0A" w14:textId="77777777" w:rsidR="00F65BCA" w:rsidRDefault="00216117">
            <w:pPr>
              <w:pStyle w:val="TableParagraph"/>
              <w:spacing w:before="35"/>
              <w:ind w:left="367"/>
              <w:rPr>
                <w:sz w:val="15"/>
              </w:rPr>
            </w:pPr>
            <w:r>
              <w:rPr>
                <w:color w:val="231F20"/>
                <w:sz w:val="15"/>
              </w:rPr>
              <w:t>50%</w:t>
            </w:r>
          </w:p>
        </w:tc>
        <w:tc>
          <w:tcPr>
            <w:tcW w:w="1133" w:type="dxa"/>
            <w:tcBorders>
              <w:top w:val="single" w:sz="4" w:space="0" w:color="231F20"/>
              <w:left w:val="single" w:sz="4" w:space="0" w:color="231F20"/>
              <w:bottom w:val="single" w:sz="4" w:space="0" w:color="231F20"/>
              <w:right w:val="single" w:sz="4" w:space="0" w:color="231F20"/>
            </w:tcBorders>
          </w:tcPr>
          <w:p w14:paraId="1BCC6912" w14:textId="77777777" w:rsidR="00F65BCA" w:rsidRDefault="00216117">
            <w:pPr>
              <w:pStyle w:val="TableParagraph"/>
              <w:spacing w:before="35"/>
              <w:ind w:right="375"/>
              <w:jc w:val="right"/>
              <w:rPr>
                <w:sz w:val="15"/>
              </w:rPr>
            </w:pPr>
            <w:r>
              <w:rPr>
                <w:color w:val="231F20"/>
                <w:w w:val="95"/>
                <w:sz w:val="15"/>
              </w:rPr>
              <w:t>100%</w:t>
            </w:r>
          </w:p>
        </w:tc>
        <w:tc>
          <w:tcPr>
            <w:tcW w:w="1020" w:type="dxa"/>
            <w:tcBorders>
              <w:top w:val="single" w:sz="4" w:space="0" w:color="231F20"/>
              <w:left w:val="single" w:sz="4" w:space="0" w:color="231F20"/>
              <w:bottom w:val="single" w:sz="4" w:space="0" w:color="231F20"/>
              <w:right w:val="single" w:sz="4" w:space="0" w:color="231F20"/>
            </w:tcBorders>
          </w:tcPr>
          <w:p w14:paraId="0BE79F8C" w14:textId="77777777" w:rsidR="00F65BCA" w:rsidRDefault="00216117">
            <w:pPr>
              <w:pStyle w:val="TableParagraph"/>
              <w:spacing w:before="35"/>
              <w:ind w:left="36" w:right="8"/>
              <w:jc w:val="center"/>
              <w:rPr>
                <w:sz w:val="15"/>
              </w:rPr>
            </w:pPr>
            <w:r>
              <w:rPr>
                <w:color w:val="231F20"/>
                <w:sz w:val="15"/>
              </w:rPr>
              <w:t>70%</w:t>
            </w:r>
          </w:p>
        </w:tc>
        <w:tc>
          <w:tcPr>
            <w:tcW w:w="1133" w:type="dxa"/>
            <w:tcBorders>
              <w:top w:val="single" w:sz="4" w:space="0" w:color="231F20"/>
              <w:left w:val="single" w:sz="4" w:space="0" w:color="231F20"/>
              <w:bottom w:val="single" w:sz="4" w:space="0" w:color="231F20"/>
              <w:right w:val="single" w:sz="4" w:space="0" w:color="231F20"/>
            </w:tcBorders>
          </w:tcPr>
          <w:p w14:paraId="4FE086B0" w14:textId="77777777" w:rsidR="00F65BCA" w:rsidRDefault="00216117">
            <w:pPr>
              <w:pStyle w:val="TableParagraph"/>
              <w:spacing w:before="35"/>
              <w:ind w:left="56" w:right="27"/>
              <w:jc w:val="center"/>
              <w:rPr>
                <w:sz w:val="15"/>
              </w:rPr>
            </w:pPr>
            <w:r>
              <w:rPr>
                <w:color w:val="231F20"/>
                <w:sz w:val="15"/>
              </w:rPr>
              <w:t>280%</w:t>
            </w:r>
          </w:p>
        </w:tc>
        <w:tc>
          <w:tcPr>
            <w:tcW w:w="963" w:type="dxa"/>
            <w:tcBorders>
              <w:top w:val="single" w:sz="4" w:space="0" w:color="231F20"/>
              <w:left w:val="single" w:sz="4" w:space="0" w:color="231F20"/>
              <w:bottom w:val="single" w:sz="4" w:space="0" w:color="231F20"/>
              <w:right w:val="single" w:sz="4" w:space="0" w:color="231F20"/>
            </w:tcBorders>
          </w:tcPr>
          <w:p w14:paraId="739BFD0E" w14:textId="77777777" w:rsidR="00F65BCA" w:rsidRDefault="00216117">
            <w:pPr>
              <w:pStyle w:val="TableParagraph"/>
              <w:spacing w:before="35"/>
              <w:ind w:left="342"/>
              <w:rPr>
                <w:sz w:val="15"/>
              </w:rPr>
            </w:pPr>
            <w:r>
              <w:rPr>
                <w:color w:val="231F20"/>
                <w:sz w:val="15"/>
              </w:rPr>
              <w:t>90%</w:t>
            </w:r>
          </w:p>
        </w:tc>
        <w:tc>
          <w:tcPr>
            <w:tcW w:w="1190" w:type="dxa"/>
            <w:tcBorders>
              <w:top w:val="single" w:sz="4" w:space="0" w:color="231F20"/>
              <w:left w:val="single" w:sz="4" w:space="0" w:color="231F20"/>
              <w:bottom w:val="single" w:sz="4" w:space="0" w:color="231F20"/>
              <w:right w:val="nil"/>
            </w:tcBorders>
          </w:tcPr>
          <w:p w14:paraId="4247EA3D" w14:textId="77777777" w:rsidR="00F65BCA" w:rsidRDefault="00216117">
            <w:pPr>
              <w:pStyle w:val="TableParagraph"/>
              <w:spacing w:before="35"/>
              <w:ind w:left="407"/>
              <w:rPr>
                <w:sz w:val="15"/>
              </w:rPr>
            </w:pPr>
            <w:r>
              <w:rPr>
                <w:color w:val="231F20"/>
                <w:sz w:val="15"/>
              </w:rPr>
              <w:t>475%</w:t>
            </w:r>
          </w:p>
        </w:tc>
      </w:tr>
      <w:tr w:rsidR="00F65BCA" w14:paraId="450461AF" w14:textId="77777777">
        <w:trPr>
          <w:trHeight w:val="245"/>
        </w:trPr>
        <w:tc>
          <w:tcPr>
            <w:tcW w:w="1020" w:type="dxa"/>
            <w:tcBorders>
              <w:top w:val="single" w:sz="4" w:space="0" w:color="231F20"/>
              <w:left w:val="nil"/>
              <w:bottom w:val="single" w:sz="4" w:space="0" w:color="231F20"/>
              <w:right w:val="single" w:sz="4" w:space="0" w:color="231F20"/>
            </w:tcBorders>
          </w:tcPr>
          <w:p w14:paraId="6AFFF3D0" w14:textId="77777777" w:rsidR="00F65BCA" w:rsidRDefault="00216117">
            <w:pPr>
              <w:pStyle w:val="TableParagraph"/>
              <w:spacing w:before="35"/>
              <w:ind w:right="379"/>
              <w:jc w:val="right"/>
              <w:rPr>
                <w:sz w:val="15"/>
              </w:rPr>
            </w:pPr>
            <w:r>
              <w:rPr>
                <w:color w:val="231F20"/>
                <w:w w:val="95"/>
                <w:sz w:val="15"/>
              </w:rPr>
              <w:t>11%</w:t>
            </w:r>
          </w:p>
        </w:tc>
        <w:tc>
          <w:tcPr>
            <w:tcW w:w="1133" w:type="dxa"/>
            <w:tcBorders>
              <w:top w:val="single" w:sz="4" w:space="0" w:color="231F20"/>
              <w:left w:val="single" w:sz="4" w:space="0" w:color="231F20"/>
              <w:bottom w:val="single" w:sz="4" w:space="0" w:color="231F20"/>
              <w:right w:val="single" w:sz="4" w:space="0" w:color="231F20"/>
            </w:tcBorders>
          </w:tcPr>
          <w:p w14:paraId="783959BC" w14:textId="77777777" w:rsidR="00F65BCA" w:rsidRDefault="00216117">
            <w:pPr>
              <w:pStyle w:val="TableParagraph"/>
              <w:spacing w:before="35"/>
              <w:ind w:left="76" w:right="15"/>
              <w:jc w:val="center"/>
              <w:rPr>
                <w:sz w:val="15"/>
              </w:rPr>
            </w:pPr>
            <w:r>
              <w:rPr>
                <w:color w:val="231F20"/>
                <w:sz w:val="15"/>
              </w:rPr>
              <w:t>11%</w:t>
            </w:r>
          </w:p>
        </w:tc>
        <w:tc>
          <w:tcPr>
            <w:tcW w:w="1020" w:type="dxa"/>
            <w:tcBorders>
              <w:top w:val="single" w:sz="4" w:space="0" w:color="231F20"/>
              <w:left w:val="single" w:sz="4" w:space="0" w:color="231F20"/>
              <w:bottom w:val="single" w:sz="4" w:space="0" w:color="231F20"/>
              <w:right w:val="single" w:sz="4" w:space="0" w:color="231F20"/>
            </w:tcBorders>
          </w:tcPr>
          <w:p w14:paraId="4B348625" w14:textId="77777777" w:rsidR="00F65BCA" w:rsidRDefault="00216117">
            <w:pPr>
              <w:pStyle w:val="TableParagraph"/>
              <w:spacing w:before="35"/>
              <w:ind w:left="366"/>
              <w:rPr>
                <w:sz w:val="15"/>
              </w:rPr>
            </w:pPr>
            <w:r>
              <w:rPr>
                <w:color w:val="231F20"/>
                <w:sz w:val="15"/>
              </w:rPr>
              <w:t>31%</w:t>
            </w:r>
          </w:p>
        </w:tc>
        <w:tc>
          <w:tcPr>
            <w:tcW w:w="1133" w:type="dxa"/>
            <w:tcBorders>
              <w:top w:val="single" w:sz="4" w:space="0" w:color="231F20"/>
              <w:left w:val="single" w:sz="4" w:space="0" w:color="231F20"/>
              <w:bottom w:val="single" w:sz="4" w:space="0" w:color="231F20"/>
              <w:right w:val="single" w:sz="4" w:space="0" w:color="231F20"/>
            </w:tcBorders>
          </w:tcPr>
          <w:p w14:paraId="390B153B" w14:textId="77777777" w:rsidR="00F65BCA" w:rsidRDefault="00216117">
            <w:pPr>
              <w:pStyle w:val="TableParagraph"/>
              <w:spacing w:before="35"/>
              <w:ind w:left="51" w:right="27"/>
              <w:jc w:val="center"/>
              <w:rPr>
                <w:sz w:val="15"/>
              </w:rPr>
            </w:pPr>
            <w:r>
              <w:rPr>
                <w:color w:val="231F20"/>
                <w:sz w:val="15"/>
              </w:rPr>
              <w:t>43%</w:t>
            </w:r>
          </w:p>
        </w:tc>
        <w:tc>
          <w:tcPr>
            <w:tcW w:w="1020" w:type="dxa"/>
            <w:tcBorders>
              <w:top w:val="single" w:sz="4" w:space="0" w:color="231F20"/>
              <w:left w:val="single" w:sz="4" w:space="0" w:color="231F20"/>
              <w:bottom w:val="single" w:sz="4" w:space="0" w:color="231F20"/>
              <w:right w:val="single" w:sz="4" w:space="0" w:color="231F20"/>
            </w:tcBorders>
          </w:tcPr>
          <w:p w14:paraId="793A3F76" w14:textId="77777777" w:rsidR="00F65BCA" w:rsidRDefault="00216117">
            <w:pPr>
              <w:pStyle w:val="TableParagraph"/>
              <w:spacing w:before="35"/>
              <w:ind w:left="367"/>
              <w:rPr>
                <w:sz w:val="15"/>
              </w:rPr>
            </w:pPr>
            <w:r>
              <w:rPr>
                <w:color w:val="231F20"/>
                <w:sz w:val="15"/>
              </w:rPr>
              <w:t>51%</w:t>
            </w:r>
          </w:p>
        </w:tc>
        <w:tc>
          <w:tcPr>
            <w:tcW w:w="1133" w:type="dxa"/>
            <w:tcBorders>
              <w:top w:val="single" w:sz="4" w:space="0" w:color="231F20"/>
              <w:left w:val="single" w:sz="4" w:space="0" w:color="231F20"/>
              <w:bottom w:val="single" w:sz="4" w:space="0" w:color="231F20"/>
              <w:right w:val="single" w:sz="4" w:space="0" w:color="231F20"/>
            </w:tcBorders>
          </w:tcPr>
          <w:p w14:paraId="4AA19990" w14:textId="77777777" w:rsidR="00F65BCA" w:rsidRDefault="00216117">
            <w:pPr>
              <w:pStyle w:val="TableParagraph"/>
              <w:spacing w:before="35"/>
              <w:ind w:right="375"/>
              <w:jc w:val="right"/>
              <w:rPr>
                <w:sz w:val="15"/>
              </w:rPr>
            </w:pPr>
            <w:r>
              <w:rPr>
                <w:color w:val="231F20"/>
                <w:w w:val="95"/>
                <w:sz w:val="15"/>
              </w:rPr>
              <w:t>109%</w:t>
            </w:r>
          </w:p>
        </w:tc>
        <w:tc>
          <w:tcPr>
            <w:tcW w:w="1020" w:type="dxa"/>
            <w:tcBorders>
              <w:top w:val="single" w:sz="4" w:space="0" w:color="231F20"/>
              <w:left w:val="single" w:sz="4" w:space="0" w:color="231F20"/>
              <w:bottom w:val="single" w:sz="4" w:space="0" w:color="231F20"/>
              <w:right w:val="single" w:sz="4" w:space="0" w:color="231F20"/>
            </w:tcBorders>
          </w:tcPr>
          <w:p w14:paraId="348D015B" w14:textId="77777777" w:rsidR="00F65BCA" w:rsidRDefault="00216117">
            <w:pPr>
              <w:pStyle w:val="TableParagraph"/>
              <w:spacing w:before="35"/>
              <w:ind w:left="36" w:right="8"/>
              <w:jc w:val="center"/>
              <w:rPr>
                <w:sz w:val="15"/>
              </w:rPr>
            </w:pPr>
            <w:r>
              <w:rPr>
                <w:color w:val="231F20"/>
                <w:sz w:val="15"/>
              </w:rPr>
              <w:t>71%</w:t>
            </w:r>
          </w:p>
        </w:tc>
        <w:tc>
          <w:tcPr>
            <w:tcW w:w="1133" w:type="dxa"/>
            <w:tcBorders>
              <w:top w:val="single" w:sz="4" w:space="0" w:color="231F20"/>
              <w:left w:val="single" w:sz="4" w:space="0" w:color="231F20"/>
              <w:bottom w:val="single" w:sz="4" w:space="0" w:color="231F20"/>
              <w:right w:val="single" w:sz="4" w:space="0" w:color="231F20"/>
            </w:tcBorders>
          </w:tcPr>
          <w:p w14:paraId="2079C3F2" w14:textId="77777777" w:rsidR="00F65BCA" w:rsidRDefault="00216117">
            <w:pPr>
              <w:pStyle w:val="TableParagraph"/>
              <w:spacing w:before="35"/>
              <w:ind w:left="56" w:right="27"/>
              <w:jc w:val="center"/>
              <w:rPr>
                <w:sz w:val="15"/>
              </w:rPr>
            </w:pPr>
            <w:r>
              <w:rPr>
                <w:color w:val="231F20"/>
                <w:sz w:val="15"/>
              </w:rPr>
              <w:t>289%</w:t>
            </w:r>
          </w:p>
        </w:tc>
        <w:tc>
          <w:tcPr>
            <w:tcW w:w="963" w:type="dxa"/>
            <w:tcBorders>
              <w:top w:val="single" w:sz="4" w:space="0" w:color="231F20"/>
              <w:left w:val="single" w:sz="4" w:space="0" w:color="231F20"/>
              <w:bottom w:val="single" w:sz="4" w:space="0" w:color="231F20"/>
              <w:right w:val="single" w:sz="4" w:space="0" w:color="231F20"/>
            </w:tcBorders>
          </w:tcPr>
          <w:p w14:paraId="7A5EE41E" w14:textId="77777777" w:rsidR="00F65BCA" w:rsidRDefault="00216117">
            <w:pPr>
              <w:pStyle w:val="TableParagraph"/>
              <w:spacing w:before="35"/>
              <w:ind w:left="342"/>
              <w:rPr>
                <w:sz w:val="15"/>
              </w:rPr>
            </w:pPr>
            <w:r>
              <w:rPr>
                <w:color w:val="231F20"/>
                <w:sz w:val="15"/>
              </w:rPr>
              <w:t>91%</w:t>
            </w:r>
          </w:p>
        </w:tc>
        <w:tc>
          <w:tcPr>
            <w:tcW w:w="1190" w:type="dxa"/>
            <w:tcBorders>
              <w:top w:val="single" w:sz="4" w:space="0" w:color="231F20"/>
              <w:left w:val="single" w:sz="4" w:space="0" w:color="231F20"/>
              <w:bottom w:val="single" w:sz="4" w:space="0" w:color="231F20"/>
              <w:right w:val="nil"/>
            </w:tcBorders>
          </w:tcPr>
          <w:p w14:paraId="25623E7F" w14:textId="77777777" w:rsidR="00F65BCA" w:rsidRDefault="00216117">
            <w:pPr>
              <w:pStyle w:val="TableParagraph"/>
              <w:spacing w:before="35"/>
              <w:ind w:left="407"/>
              <w:rPr>
                <w:sz w:val="15"/>
              </w:rPr>
            </w:pPr>
            <w:r>
              <w:rPr>
                <w:color w:val="231F20"/>
                <w:sz w:val="15"/>
              </w:rPr>
              <w:t>487,5%</w:t>
            </w:r>
          </w:p>
        </w:tc>
      </w:tr>
      <w:tr w:rsidR="00F65BCA" w14:paraId="38F11CE5" w14:textId="77777777">
        <w:trPr>
          <w:trHeight w:val="245"/>
        </w:trPr>
        <w:tc>
          <w:tcPr>
            <w:tcW w:w="1020" w:type="dxa"/>
            <w:tcBorders>
              <w:top w:val="single" w:sz="4" w:space="0" w:color="231F20"/>
              <w:left w:val="nil"/>
              <w:bottom w:val="single" w:sz="4" w:space="0" w:color="231F20"/>
              <w:right w:val="single" w:sz="4" w:space="0" w:color="231F20"/>
            </w:tcBorders>
          </w:tcPr>
          <w:p w14:paraId="54243E5B" w14:textId="77777777" w:rsidR="00F65BCA" w:rsidRDefault="00216117">
            <w:pPr>
              <w:pStyle w:val="TableParagraph"/>
              <w:spacing w:before="35"/>
              <w:ind w:right="379"/>
              <w:jc w:val="right"/>
              <w:rPr>
                <w:sz w:val="15"/>
              </w:rPr>
            </w:pPr>
            <w:r>
              <w:rPr>
                <w:color w:val="231F20"/>
                <w:w w:val="95"/>
                <w:sz w:val="15"/>
              </w:rPr>
              <w:t>12%</w:t>
            </w:r>
          </w:p>
        </w:tc>
        <w:tc>
          <w:tcPr>
            <w:tcW w:w="1133" w:type="dxa"/>
            <w:tcBorders>
              <w:top w:val="single" w:sz="4" w:space="0" w:color="231F20"/>
              <w:left w:val="single" w:sz="4" w:space="0" w:color="231F20"/>
              <w:bottom w:val="single" w:sz="4" w:space="0" w:color="231F20"/>
              <w:right w:val="single" w:sz="4" w:space="0" w:color="231F20"/>
            </w:tcBorders>
          </w:tcPr>
          <w:p w14:paraId="0D79035A" w14:textId="77777777" w:rsidR="00F65BCA" w:rsidRDefault="00216117">
            <w:pPr>
              <w:pStyle w:val="TableParagraph"/>
              <w:spacing w:before="35"/>
              <w:ind w:left="76" w:right="15"/>
              <w:jc w:val="center"/>
              <w:rPr>
                <w:sz w:val="15"/>
              </w:rPr>
            </w:pPr>
            <w:r>
              <w:rPr>
                <w:color w:val="231F20"/>
                <w:sz w:val="15"/>
              </w:rPr>
              <w:t>12%</w:t>
            </w:r>
          </w:p>
        </w:tc>
        <w:tc>
          <w:tcPr>
            <w:tcW w:w="1020" w:type="dxa"/>
            <w:tcBorders>
              <w:top w:val="single" w:sz="4" w:space="0" w:color="231F20"/>
              <w:left w:val="single" w:sz="4" w:space="0" w:color="231F20"/>
              <w:bottom w:val="single" w:sz="4" w:space="0" w:color="231F20"/>
              <w:right w:val="single" w:sz="4" w:space="0" w:color="231F20"/>
            </w:tcBorders>
          </w:tcPr>
          <w:p w14:paraId="76824273" w14:textId="77777777" w:rsidR="00F65BCA" w:rsidRDefault="00216117">
            <w:pPr>
              <w:pStyle w:val="TableParagraph"/>
              <w:spacing w:before="35"/>
              <w:ind w:left="366"/>
              <w:rPr>
                <w:sz w:val="15"/>
              </w:rPr>
            </w:pPr>
            <w:r>
              <w:rPr>
                <w:color w:val="231F20"/>
                <w:sz w:val="15"/>
              </w:rPr>
              <w:t>32%</w:t>
            </w:r>
          </w:p>
        </w:tc>
        <w:tc>
          <w:tcPr>
            <w:tcW w:w="1133" w:type="dxa"/>
            <w:tcBorders>
              <w:top w:val="single" w:sz="4" w:space="0" w:color="231F20"/>
              <w:left w:val="single" w:sz="4" w:space="0" w:color="231F20"/>
              <w:bottom w:val="single" w:sz="4" w:space="0" w:color="231F20"/>
              <w:right w:val="single" w:sz="4" w:space="0" w:color="231F20"/>
            </w:tcBorders>
          </w:tcPr>
          <w:p w14:paraId="7E3C1CCD" w14:textId="77777777" w:rsidR="00F65BCA" w:rsidRDefault="00216117">
            <w:pPr>
              <w:pStyle w:val="TableParagraph"/>
              <w:spacing w:before="35"/>
              <w:ind w:left="51" w:right="27"/>
              <w:jc w:val="center"/>
              <w:rPr>
                <w:sz w:val="15"/>
              </w:rPr>
            </w:pPr>
            <w:r>
              <w:rPr>
                <w:color w:val="231F20"/>
                <w:sz w:val="15"/>
              </w:rPr>
              <w:t>46%</w:t>
            </w:r>
          </w:p>
        </w:tc>
        <w:tc>
          <w:tcPr>
            <w:tcW w:w="1020" w:type="dxa"/>
            <w:tcBorders>
              <w:top w:val="single" w:sz="4" w:space="0" w:color="231F20"/>
              <w:left w:val="single" w:sz="4" w:space="0" w:color="231F20"/>
              <w:bottom w:val="single" w:sz="4" w:space="0" w:color="231F20"/>
              <w:right w:val="single" w:sz="4" w:space="0" w:color="231F20"/>
            </w:tcBorders>
          </w:tcPr>
          <w:p w14:paraId="6329DB62" w14:textId="77777777" w:rsidR="00F65BCA" w:rsidRDefault="00216117">
            <w:pPr>
              <w:pStyle w:val="TableParagraph"/>
              <w:spacing w:before="35"/>
              <w:ind w:left="367"/>
              <w:rPr>
                <w:sz w:val="15"/>
              </w:rPr>
            </w:pPr>
            <w:r>
              <w:rPr>
                <w:color w:val="231F20"/>
                <w:sz w:val="15"/>
              </w:rPr>
              <w:t>52%</w:t>
            </w:r>
          </w:p>
        </w:tc>
        <w:tc>
          <w:tcPr>
            <w:tcW w:w="1133" w:type="dxa"/>
            <w:tcBorders>
              <w:top w:val="single" w:sz="4" w:space="0" w:color="231F20"/>
              <w:left w:val="single" w:sz="4" w:space="0" w:color="231F20"/>
              <w:bottom w:val="single" w:sz="4" w:space="0" w:color="231F20"/>
              <w:right w:val="single" w:sz="4" w:space="0" w:color="231F20"/>
            </w:tcBorders>
          </w:tcPr>
          <w:p w14:paraId="57D222A1" w14:textId="77777777" w:rsidR="00F65BCA" w:rsidRDefault="00216117">
            <w:pPr>
              <w:pStyle w:val="TableParagraph"/>
              <w:spacing w:before="35"/>
              <w:ind w:right="375"/>
              <w:jc w:val="right"/>
              <w:rPr>
                <w:sz w:val="15"/>
              </w:rPr>
            </w:pPr>
            <w:r>
              <w:rPr>
                <w:color w:val="231F20"/>
                <w:w w:val="95"/>
                <w:sz w:val="15"/>
              </w:rPr>
              <w:t>118%</w:t>
            </w:r>
          </w:p>
        </w:tc>
        <w:tc>
          <w:tcPr>
            <w:tcW w:w="1020" w:type="dxa"/>
            <w:tcBorders>
              <w:top w:val="single" w:sz="4" w:space="0" w:color="231F20"/>
              <w:left w:val="single" w:sz="4" w:space="0" w:color="231F20"/>
              <w:bottom w:val="single" w:sz="4" w:space="0" w:color="231F20"/>
              <w:right w:val="single" w:sz="4" w:space="0" w:color="231F20"/>
            </w:tcBorders>
          </w:tcPr>
          <w:p w14:paraId="33876723" w14:textId="77777777" w:rsidR="00F65BCA" w:rsidRDefault="00216117">
            <w:pPr>
              <w:pStyle w:val="TableParagraph"/>
              <w:spacing w:before="35"/>
              <w:ind w:left="36" w:right="8"/>
              <w:jc w:val="center"/>
              <w:rPr>
                <w:sz w:val="15"/>
              </w:rPr>
            </w:pPr>
            <w:r>
              <w:rPr>
                <w:color w:val="231F20"/>
                <w:sz w:val="15"/>
              </w:rPr>
              <w:t>72%</w:t>
            </w:r>
          </w:p>
        </w:tc>
        <w:tc>
          <w:tcPr>
            <w:tcW w:w="1133" w:type="dxa"/>
            <w:tcBorders>
              <w:top w:val="single" w:sz="4" w:space="0" w:color="231F20"/>
              <w:left w:val="single" w:sz="4" w:space="0" w:color="231F20"/>
              <w:bottom w:val="single" w:sz="4" w:space="0" w:color="231F20"/>
              <w:right w:val="single" w:sz="4" w:space="0" w:color="231F20"/>
            </w:tcBorders>
          </w:tcPr>
          <w:p w14:paraId="6C8C6BB9" w14:textId="77777777" w:rsidR="00F65BCA" w:rsidRDefault="00216117">
            <w:pPr>
              <w:pStyle w:val="TableParagraph"/>
              <w:spacing w:before="35"/>
              <w:ind w:left="56" w:right="27"/>
              <w:jc w:val="center"/>
              <w:rPr>
                <w:sz w:val="15"/>
              </w:rPr>
            </w:pPr>
            <w:r>
              <w:rPr>
                <w:color w:val="231F20"/>
                <w:sz w:val="15"/>
              </w:rPr>
              <w:t>298%</w:t>
            </w:r>
          </w:p>
        </w:tc>
        <w:tc>
          <w:tcPr>
            <w:tcW w:w="963" w:type="dxa"/>
            <w:tcBorders>
              <w:top w:val="single" w:sz="4" w:space="0" w:color="231F20"/>
              <w:left w:val="single" w:sz="4" w:space="0" w:color="231F20"/>
              <w:bottom w:val="single" w:sz="4" w:space="0" w:color="231F20"/>
              <w:right w:val="single" w:sz="4" w:space="0" w:color="231F20"/>
            </w:tcBorders>
          </w:tcPr>
          <w:p w14:paraId="620D9962" w14:textId="77777777" w:rsidR="00F65BCA" w:rsidRDefault="00216117">
            <w:pPr>
              <w:pStyle w:val="TableParagraph"/>
              <w:spacing w:before="35"/>
              <w:ind w:left="342"/>
              <w:rPr>
                <w:sz w:val="15"/>
              </w:rPr>
            </w:pPr>
            <w:r>
              <w:rPr>
                <w:color w:val="231F20"/>
                <w:sz w:val="15"/>
              </w:rPr>
              <w:t>92%</w:t>
            </w:r>
          </w:p>
        </w:tc>
        <w:tc>
          <w:tcPr>
            <w:tcW w:w="1190" w:type="dxa"/>
            <w:tcBorders>
              <w:top w:val="single" w:sz="4" w:space="0" w:color="231F20"/>
              <w:left w:val="single" w:sz="4" w:space="0" w:color="231F20"/>
              <w:bottom w:val="single" w:sz="4" w:space="0" w:color="231F20"/>
              <w:right w:val="nil"/>
            </w:tcBorders>
          </w:tcPr>
          <w:p w14:paraId="3EC22423" w14:textId="77777777" w:rsidR="00F65BCA" w:rsidRDefault="00216117">
            <w:pPr>
              <w:pStyle w:val="TableParagraph"/>
              <w:spacing w:before="35"/>
              <w:ind w:left="407"/>
              <w:rPr>
                <w:sz w:val="15"/>
              </w:rPr>
            </w:pPr>
            <w:r>
              <w:rPr>
                <w:color w:val="231F20"/>
                <w:sz w:val="15"/>
              </w:rPr>
              <w:t>500%</w:t>
            </w:r>
          </w:p>
        </w:tc>
      </w:tr>
      <w:tr w:rsidR="00F65BCA" w14:paraId="6AECC8BE" w14:textId="77777777">
        <w:trPr>
          <w:trHeight w:val="245"/>
        </w:trPr>
        <w:tc>
          <w:tcPr>
            <w:tcW w:w="1020" w:type="dxa"/>
            <w:tcBorders>
              <w:top w:val="single" w:sz="4" w:space="0" w:color="231F20"/>
              <w:left w:val="nil"/>
              <w:bottom w:val="single" w:sz="4" w:space="0" w:color="231F20"/>
              <w:right w:val="single" w:sz="4" w:space="0" w:color="231F20"/>
            </w:tcBorders>
          </w:tcPr>
          <w:p w14:paraId="14EE504A" w14:textId="77777777" w:rsidR="00F65BCA" w:rsidRDefault="00216117">
            <w:pPr>
              <w:pStyle w:val="TableParagraph"/>
              <w:spacing w:before="35"/>
              <w:ind w:right="379"/>
              <w:jc w:val="right"/>
              <w:rPr>
                <w:sz w:val="15"/>
              </w:rPr>
            </w:pPr>
            <w:r>
              <w:rPr>
                <w:color w:val="231F20"/>
                <w:w w:val="95"/>
                <w:sz w:val="15"/>
              </w:rPr>
              <w:t>13%</w:t>
            </w:r>
          </w:p>
        </w:tc>
        <w:tc>
          <w:tcPr>
            <w:tcW w:w="1133" w:type="dxa"/>
            <w:tcBorders>
              <w:top w:val="single" w:sz="4" w:space="0" w:color="231F20"/>
              <w:left w:val="single" w:sz="4" w:space="0" w:color="231F20"/>
              <w:bottom w:val="single" w:sz="4" w:space="0" w:color="231F20"/>
              <w:right w:val="single" w:sz="4" w:space="0" w:color="231F20"/>
            </w:tcBorders>
          </w:tcPr>
          <w:p w14:paraId="158AEB38" w14:textId="77777777" w:rsidR="00F65BCA" w:rsidRDefault="00216117">
            <w:pPr>
              <w:pStyle w:val="TableParagraph"/>
              <w:spacing w:before="35"/>
              <w:ind w:left="76" w:right="15"/>
              <w:jc w:val="center"/>
              <w:rPr>
                <w:sz w:val="15"/>
              </w:rPr>
            </w:pPr>
            <w:r>
              <w:rPr>
                <w:color w:val="231F20"/>
                <w:sz w:val="15"/>
              </w:rPr>
              <w:t>13%</w:t>
            </w:r>
          </w:p>
        </w:tc>
        <w:tc>
          <w:tcPr>
            <w:tcW w:w="1020" w:type="dxa"/>
            <w:tcBorders>
              <w:top w:val="single" w:sz="4" w:space="0" w:color="231F20"/>
              <w:left w:val="single" w:sz="4" w:space="0" w:color="231F20"/>
              <w:bottom w:val="single" w:sz="4" w:space="0" w:color="231F20"/>
              <w:right w:val="single" w:sz="4" w:space="0" w:color="231F20"/>
            </w:tcBorders>
          </w:tcPr>
          <w:p w14:paraId="0D6E9000" w14:textId="77777777" w:rsidR="00F65BCA" w:rsidRDefault="00216117">
            <w:pPr>
              <w:pStyle w:val="TableParagraph"/>
              <w:spacing w:before="35"/>
              <w:ind w:left="366"/>
              <w:rPr>
                <w:sz w:val="15"/>
              </w:rPr>
            </w:pPr>
            <w:r>
              <w:rPr>
                <w:color w:val="231F20"/>
                <w:sz w:val="15"/>
              </w:rPr>
              <w:t>33%</w:t>
            </w:r>
          </w:p>
        </w:tc>
        <w:tc>
          <w:tcPr>
            <w:tcW w:w="1133" w:type="dxa"/>
            <w:tcBorders>
              <w:top w:val="single" w:sz="4" w:space="0" w:color="231F20"/>
              <w:left w:val="single" w:sz="4" w:space="0" w:color="231F20"/>
              <w:bottom w:val="single" w:sz="4" w:space="0" w:color="231F20"/>
              <w:right w:val="single" w:sz="4" w:space="0" w:color="231F20"/>
            </w:tcBorders>
          </w:tcPr>
          <w:p w14:paraId="6596FC81" w14:textId="77777777" w:rsidR="00F65BCA" w:rsidRDefault="00216117">
            <w:pPr>
              <w:pStyle w:val="TableParagraph"/>
              <w:spacing w:before="35"/>
              <w:ind w:left="51" w:right="27"/>
              <w:jc w:val="center"/>
              <w:rPr>
                <w:sz w:val="15"/>
              </w:rPr>
            </w:pPr>
            <w:r>
              <w:rPr>
                <w:color w:val="231F20"/>
                <w:sz w:val="15"/>
              </w:rPr>
              <w:t>49%</w:t>
            </w:r>
          </w:p>
        </w:tc>
        <w:tc>
          <w:tcPr>
            <w:tcW w:w="1020" w:type="dxa"/>
            <w:tcBorders>
              <w:top w:val="single" w:sz="4" w:space="0" w:color="231F20"/>
              <w:left w:val="single" w:sz="4" w:space="0" w:color="231F20"/>
              <w:bottom w:val="single" w:sz="4" w:space="0" w:color="231F20"/>
              <w:right w:val="single" w:sz="4" w:space="0" w:color="231F20"/>
            </w:tcBorders>
          </w:tcPr>
          <w:p w14:paraId="6C61DD04" w14:textId="77777777" w:rsidR="00F65BCA" w:rsidRDefault="00216117">
            <w:pPr>
              <w:pStyle w:val="TableParagraph"/>
              <w:spacing w:before="35"/>
              <w:ind w:left="367"/>
              <w:rPr>
                <w:sz w:val="15"/>
              </w:rPr>
            </w:pPr>
            <w:r>
              <w:rPr>
                <w:color w:val="231F20"/>
                <w:sz w:val="15"/>
              </w:rPr>
              <w:t>53%</w:t>
            </w:r>
          </w:p>
        </w:tc>
        <w:tc>
          <w:tcPr>
            <w:tcW w:w="1133" w:type="dxa"/>
            <w:tcBorders>
              <w:top w:val="single" w:sz="4" w:space="0" w:color="231F20"/>
              <w:left w:val="single" w:sz="4" w:space="0" w:color="231F20"/>
              <w:bottom w:val="single" w:sz="4" w:space="0" w:color="231F20"/>
              <w:right w:val="single" w:sz="4" w:space="0" w:color="231F20"/>
            </w:tcBorders>
          </w:tcPr>
          <w:p w14:paraId="0168E1D6" w14:textId="77777777" w:rsidR="00F65BCA" w:rsidRDefault="00216117">
            <w:pPr>
              <w:pStyle w:val="TableParagraph"/>
              <w:spacing w:before="35"/>
              <w:ind w:right="375"/>
              <w:jc w:val="right"/>
              <w:rPr>
                <w:sz w:val="15"/>
              </w:rPr>
            </w:pPr>
            <w:r>
              <w:rPr>
                <w:color w:val="231F20"/>
                <w:w w:val="95"/>
                <w:sz w:val="15"/>
              </w:rPr>
              <w:t>127%</w:t>
            </w:r>
          </w:p>
        </w:tc>
        <w:tc>
          <w:tcPr>
            <w:tcW w:w="1020" w:type="dxa"/>
            <w:tcBorders>
              <w:top w:val="single" w:sz="4" w:space="0" w:color="231F20"/>
              <w:left w:val="single" w:sz="4" w:space="0" w:color="231F20"/>
              <w:bottom w:val="single" w:sz="4" w:space="0" w:color="231F20"/>
              <w:right w:val="single" w:sz="4" w:space="0" w:color="231F20"/>
            </w:tcBorders>
          </w:tcPr>
          <w:p w14:paraId="2FAC7A21" w14:textId="77777777" w:rsidR="00F65BCA" w:rsidRDefault="00216117">
            <w:pPr>
              <w:pStyle w:val="TableParagraph"/>
              <w:spacing w:before="35"/>
              <w:ind w:left="36" w:right="8"/>
              <w:jc w:val="center"/>
              <w:rPr>
                <w:sz w:val="15"/>
              </w:rPr>
            </w:pPr>
            <w:r>
              <w:rPr>
                <w:color w:val="231F20"/>
                <w:sz w:val="15"/>
              </w:rPr>
              <w:t>73%</w:t>
            </w:r>
          </w:p>
        </w:tc>
        <w:tc>
          <w:tcPr>
            <w:tcW w:w="1133" w:type="dxa"/>
            <w:tcBorders>
              <w:top w:val="single" w:sz="4" w:space="0" w:color="231F20"/>
              <w:left w:val="single" w:sz="4" w:space="0" w:color="231F20"/>
              <w:bottom w:val="single" w:sz="4" w:space="0" w:color="231F20"/>
              <w:right w:val="single" w:sz="4" w:space="0" w:color="231F20"/>
            </w:tcBorders>
          </w:tcPr>
          <w:p w14:paraId="06D5FDFD" w14:textId="77777777" w:rsidR="00F65BCA" w:rsidRDefault="00216117">
            <w:pPr>
              <w:pStyle w:val="TableParagraph"/>
              <w:spacing w:before="35"/>
              <w:ind w:left="56" w:right="27"/>
              <w:jc w:val="center"/>
              <w:rPr>
                <w:sz w:val="15"/>
              </w:rPr>
            </w:pPr>
            <w:r>
              <w:rPr>
                <w:color w:val="231F20"/>
                <w:sz w:val="15"/>
              </w:rPr>
              <w:t>307%</w:t>
            </w:r>
          </w:p>
        </w:tc>
        <w:tc>
          <w:tcPr>
            <w:tcW w:w="963" w:type="dxa"/>
            <w:tcBorders>
              <w:top w:val="single" w:sz="4" w:space="0" w:color="231F20"/>
              <w:left w:val="single" w:sz="4" w:space="0" w:color="231F20"/>
              <w:bottom w:val="single" w:sz="4" w:space="0" w:color="231F20"/>
              <w:right w:val="single" w:sz="4" w:space="0" w:color="231F20"/>
            </w:tcBorders>
          </w:tcPr>
          <w:p w14:paraId="5A7D8227" w14:textId="77777777" w:rsidR="00F65BCA" w:rsidRDefault="00216117">
            <w:pPr>
              <w:pStyle w:val="TableParagraph"/>
              <w:spacing w:before="35"/>
              <w:ind w:left="342"/>
              <w:rPr>
                <w:sz w:val="15"/>
              </w:rPr>
            </w:pPr>
            <w:r>
              <w:rPr>
                <w:color w:val="231F20"/>
                <w:sz w:val="15"/>
              </w:rPr>
              <w:t>93%</w:t>
            </w:r>
          </w:p>
        </w:tc>
        <w:tc>
          <w:tcPr>
            <w:tcW w:w="1190" w:type="dxa"/>
            <w:tcBorders>
              <w:top w:val="single" w:sz="4" w:space="0" w:color="231F20"/>
              <w:left w:val="single" w:sz="4" w:space="0" w:color="231F20"/>
              <w:bottom w:val="single" w:sz="4" w:space="0" w:color="231F20"/>
              <w:right w:val="nil"/>
            </w:tcBorders>
          </w:tcPr>
          <w:p w14:paraId="1BF6ECF2" w14:textId="77777777" w:rsidR="00F65BCA" w:rsidRDefault="00216117">
            <w:pPr>
              <w:pStyle w:val="TableParagraph"/>
              <w:spacing w:before="35"/>
              <w:ind w:left="407"/>
              <w:rPr>
                <w:sz w:val="15"/>
              </w:rPr>
            </w:pPr>
            <w:r>
              <w:rPr>
                <w:color w:val="231F20"/>
                <w:sz w:val="15"/>
              </w:rPr>
              <w:t>512,5%</w:t>
            </w:r>
          </w:p>
        </w:tc>
      </w:tr>
      <w:tr w:rsidR="00F65BCA" w14:paraId="53D980B3" w14:textId="77777777">
        <w:trPr>
          <w:trHeight w:val="245"/>
        </w:trPr>
        <w:tc>
          <w:tcPr>
            <w:tcW w:w="1020" w:type="dxa"/>
            <w:tcBorders>
              <w:top w:val="single" w:sz="4" w:space="0" w:color="231F20"/>
              <w:left w:val="nil"/>
              <w:bottom w:val="single" w:sz="4" w:space="0" w:color="231F20"/>
              <w:right w:val="single" w:sz="4" w:space="0" w:color="231F20"/>
            </w:tcBorders>
          </w:tcPr>
          <w:p w14:paraId="18DE1025" w14:textId="77777777" w:rsidR="00F65BCA" w:rsidRDefault="00216117">
            <w:pPr>
              <w:pStyle w:val="TableParagraph"/>
              <w:spacing w:before="35"/>
              <w:ind w:right="379"/>
              <w:jc w:val="right"/>
              <w:rPr>
                <w:sz w:val="15"/>
              </w:rPr>
            </w:pPr>
            <w:r>
              <w:rPr>
                <w:color w:val="231F20"/>
                <w:w w:val="95"/>
                <w:sz w:val="15"/>
              </w:rPr>
              <w:t>14%</w:t>
            </w:r>
          </w:p>
        </w:tc>
        <w:tc>
          <w:tcPr>
            <w:tcW w:w="1133" w:type="dxa"/>
            <w:tcBorders>
              <w:top w:val="single" w:sz="4" w:space="0" w:color="231F20"/>
              <w:left w:val="single" w:sz="4" w:space="0" w:color="231F20"/>
              <w:bottom w:val="single" w:sz="4" w:space="0" w:color="231F20"/>
              <w:right w:val="single" w:sz="4" w:space="0" w:color="231F20"/>
            </w:tcBorders>
          </w:tcPr>
          <w:p w14:paraId="1A1E1D4E" w14:textId="77777777" w:rsidR="00F65BCA" w:rsidRDefault="00216117">
            <w:pPr>
              <w:pStyle w:val="TableParagraph"/>
              <w:spacing w:before="35"/>
              <w:ind w:left="76" w:right="15"/>
              <w:jc w:val="center"/>
              <w:rPr>
                <w:sz w:val="15"/>
              </w:rPr>
            </w:pPr>
            <w:r>
              <w:rPr>
                <w:color w:val="231F20"/>
                <w:sz w:val="15"/>
              </w:rPr>
              <w:t>14%</w:t>
            </w:r>
          </w:p>
        </w:tc>
        <w:tc>
          <w:tcPr>
            <w:tcW w:w="1020" w:type="dxa"/>
            <w:tcBorders>
              <w:top w:val="single" w:sz="4" w:space="0" w:color="231F20"/>
              <w:left w:val="single" w:sz="4" w:space="0" w:color="231F20"/>
              <w:bottom w:val="single" w:sz="4" w:space="0" w:color="231F20"/>
              <w:right w:val="single" w:sz="4" w:space="0" w:color="231F20"/>
            </w:tcBorders>
          </w:tcPr>
          <w:p w14:paraId="10570637" w14:textId="77777777" w:rsidR="00F65BCA" w:rsidRDefault="00216117">
            <w:pPr>
              <w:pStyle w:val="TableParagraph"/>
              <w:spacing w:before="35"/>
              <w:ind w:left="366"/>
              <w:rPr>
                <w:sz w:val="15"/>
              </w:rPr>
            </w:pPr>
            <w:r>
              <w:rPr>
                <w:color w:val="231F20"/>
                <w:sz w:val="15"/>
              </w:rPr>
              <w:t>34%</w:t>
            </w:r>
          </w:p>
        </w:tc>
        <w:tc>
          <w:tcPr>
            <w:tcW w:w="1133" w:type="dxa"/>
            <w:tcBorders>
              <w:top w:val="single" w:sz="4" w:space="0" w:color="231F20"/>
              <w:left w:val="single" w:sz="4" w:space="0" w:color="231F20"/>
              <w:bottom w:val="single" w:sz="4" w:space="0" w:color="231F20"/>
              <w:right w:val="single" w:sz="4" w:space="0" w:color="231F20"/>
            </w:tcBorders>
          </w:tcPr>
          <w:p w14:paraId="75962D64" w14:textId="77777777" w:rsidR="00F65BCA" w:rsidRDefault="00216117">
            <w:pPr>
              <w:pStyle w:val="TableParagraph"/>
              <w:spacing w:before="35"/>
              <w:ind w:left="51" w:right="27"/>
              <w:jc w:val="center"/>
              <w:rPr>
                <w:sz w:val="15"/>
              </w:rPr>
            </w:pPr>
            <w:r>
              <w:rPr>
                <w:color w:val="231F20"/>
                <w:sz w:val="15"/>
              </w:rPr>
              <w:t>52%</w:t>
            </w:r>
          </w:p>
        </w:tc>
        <w:tc>
          <w:tcPr>
            <w:tcW w:w="1020" w:type="dxa"/>
            <w:tcBorders>
              <w:top w:val="single" w:sz="4" w:space="0" w:color="231F20"/>
              <w:left w:val="single" w:sz="4" w:space="0" w:color="231F20"/>
              <w:bottom w:val="single" w:sz="4" w:space="0" w:color="231F20"/>
              <w:right w:val="single" w:sz="4" w:space="0" w:color="231F20"/>
            </w:tcBorders>
          </w:tcPr>
          <w:p w14:paraId="1D584520" w14:textId="77777777" w:rsidR="00F65BCA" w:rsidRDefault="00216117">
            <w:pPr>
              <w:pStyle w:val="TableParagraph"/>
              <w:spacing w:before="35"/>
              <w:ind w:left="367"/>
              <w:rPr>
                <w:sz w:val="15"/>
              </w:rPr>
            </w:pPr>
            <w:r>
              <w:rPr>
                <w:color w:val="231F20"/>
                <w:sz w:val="15"/>
              </w:rPr>
              <w:t>54%</w:t>
            </w:r>
          </w:p>
        </w:tc>
        <w:tc>
          <w:tcPr>
            <w:tcW w:w="1133" w:type="dxa"/>
            <w:tcBorders>
              <w:top w:val="single" w:sz="4" w:space="0" w:color="231F20"/>
              <w:left w:val="single" w:sz="4" w:space="0" w:color="231F20"/>
              <w:bottom w:val="single" w:sz="4" w:space="0" w:color="231F20"/>
              <w:right w:val="single" w:sz="4" w:space="0" w:color="231F20"/>
            </w:tcBorders>
          </w:tcPr>
          <w:p w14:paraId="5E609066" w14:textId="77777777" w:rsidR="00F65BCA" w:rsidRDefault="00216117">
            <w:pPr>
              <w:pStyle w:val="TableParagraph"/>
              <w:spacing w:before="35"/>
              <w:ind w:right="375"/>
              <w:jc w:val="right"/>
              <w:rPr>
                <w:sz w:val="15"/>
              </w:rPr>
            </w:pPr>
            <w:r>
              <w:rPr>
                <w:color w:val="231F20"/>
                <w:w w:val="95"/>
                <w:sz w:val="15"/>
              </w:rPr>
              <w:t>136%</w:t>
            </w:r>
          </w:p>
        </w:tc>
        <w:tc>
          <w:tcPr>
            <w:tcW w:w="1020" w:type="dxa"/>
            <w:tcBorders>
              <w:top w:val="single" w:sz="4" w:space="0" w:color="231F20"/>
              <w:left w:val="single" w:sz="4" w:space="0" w:color="231F20"/>
              <w:bottom w:val="single" w:sz="4" w:space="0" w:color="231F20"/>
              <w:right w:val="single" w:sz="4" w:space="0" w:color="231F20"/>
            </w:tcBorders>
          </w:tcPr>
          <w:p w14:paraId="3990869A" w14:textId="77777777" w:rsidR="00F65BCA" w:rsidRDefault="00216117">
            <w:pPr>
              <w:pStyle w:val="TableParagraph"/>
              <w:spacing w:before="35"/>
              <w:ind w:left="36" w:right="8"/>
              <w:jc w:val="center"/>
              <w:rPr>
                <w:sz w:val="15"/>
              </w:rPr>
            </w:pPr>
            <w:r>
              <w:rPr>
                <w:color w:val="231F20"/>
                <w:sz w:val="15"/>
              </w:rPr>
              <w:t>74%</w:t>
            </w:r>
          </w:p>
        </w:tc>
        <w:tc>
          <w:tcPr>
            <w:tcW w:w="1133" w:type="dxa"/>
            <w:tcBorders>
              <w:top w:val="single" w:sz="4" w:space="0" w:color="231F20"/>
              <w:left w:val="single" w:sz="4" w:space="0" w:color="231F20"/>
              <w:bottom w:val="single" w:sz="4" w:space="0" w:color="231F20"/>
              <w:right w:val="single" w:sz="4" w:space="0" w:color="231F20"/>
            </w:tcBorders>
          </w:tcPr>
          <w:p w14:paraId="78888AD9" w14:textId="77777777" w:rsidR="00F65BCA" w:rsidRDefault="00216117">
            <w:pPr>
              <w:pStyle w:val="TableParagraph"/>
              <w:spacing w:before="35"/>
              <w:ind w:left="56" w:right="27"/>
              <w:jc w:val="center"/>
              <w:rPr>
                <w:sz w:val="15"/>
              </w:rPr>
            </w:pPr>
            <w:r>
              <w:rPr>
                <w:color w:val="231F20"/>
                <w:sz w:val="15"/>
              </w:rPr>
              <w:t>316%</w:t>
            </w:r>
          </w:p>
        </w:tc>
        <w:tc>
          <w:tcPr>
            <w:tcW w:w="963" w:type="dxa"/>
            <w:tcBorders>
              <w:top w:val="single" w:sz="4" w:space="0" w:color="231F20"/>
              <w:left w:val="single" w:sz="4" w:space="0" w:color="231F20"/>
              <w:bottom w:val="single" w:sz="4" w:space="0" w:color="231F20"/>
              <w:right w:val="single" w:sz="4" w:space="0" w:color="231F20"/>
            </w:tcBorders>
          </w:tcPr>
          <w:p w14:paraId="29439CEC" w14:textId="77777777" w:rsidR="00F65BCA" w:rsidRDefault="00216117">
            <w:pPr>
              <w:pStyle w:val="TableParagraph"/>
              <w:spacing w:before="35"/>
              <w:ind w:left="342"/>
              <w:rPr>
                <w:sz w:val="15"/>
              </w:rPr>
            </w:pPr>
            <w:r>
              <w:rPr>
                <w:color w:val="231F20"/>
                <w:sz w:val="15"/>
              </w:rPr>
              <w:t>94%</w:t>
            </w:r>
          </w:p>
        </w:tc>
        <w:tc>
          <w:tcPr>
            <w:tcW w:w="1190" w:type="dxa"/>
            <w:tcBorders>
              <w:top w:val="single" w:sz="4" w:space="0" w:color="231F20"/>
              <w:left w:val="single" w:sz="4" w:space="0" w:color="231F20"/>
              <w:bottom w:val="single" w:sz="4" w:space="0" w:color="231F20"/>
              <w:right w:val="nil"/>
            </w:tcBorders>
          </w:tcPr>
          <w:p w14:paraId="21E7C767" w14:textId="77777777" w:rsidR="00F65BCA" w:rsidRDefault="00216117">
            <w:pPr>
              <w:pStyle w:val="TableParagraph"/>
              <w:spacing w:before="35"/>
              <w:ind w:left="407"/>
              <w:rPr>
                <w:sz w:val="15"/>
              </w:rPr>
            </w:pPr>
            <w:r>
              <w:rPr>
                <w:color w:val="231F20"/>
                <w:sz w:val="15"/>
              </w:rPr>
              <w:t>525%</w:t>
            </w:r>
          </w:p>
        </w:tc>
      </w:tr>
      <w:tr w:rsidR="00F65BCA" w14:paraId="5EABBEF4" w14:textId="77777777">
        <w:trPr>
          <w:trHeight w:val="245"/>
        </w:trPr>
        <w:tc>
          <w:tcPr>
            <w:tcW w:w="1020" w:type="dxa"/>
            <w:tcBorders>
              <w:top w:val="single" w:sz="4" w:space="0" w:color="231F20"/>
              <w:left w:val="nil"/>
              <w:bottom w:val="single" w:sz="4" w:space="0" w:color="231F20"/>
              <w:right w:val="single" w:sz="4" w:space="0" w:color="231F20"/>
            </w:tcBorders>
          </w:tcPr>
          <w:p w14:paraId="5A2B3B67" w14:textId="77777777" w:rsidR="00F65BCA" w:rsidRDefault="00216117">
            <w:pPr>
              <w:pStyle w:val="TableParagraph"/>
              <w:spacing w:before="35"/>
              <w:ind w:right="379"/>
              <w:jc w:val="right"/>
              <w:rPr>
                <w:sz w:val="15"/>
              </w:rPr>
            </w:pPr>
            <w:r>
              <w:rPr>
                <w:color w:val="231F20"/>
                <w:w w:val="95"/>
                <w:sz w:val="15"/>
              </w:rPr>
              <w:t>15%</w:t>
            </w:r>
          </w:p>
        </w:tc>
        <w:tc>
          <w:tcPr>
            <w:tcW w:w="1133" w:type="dxa"/>
            <w:tcBorders>
              <w:top w:val="single" w:sz="4" w:space="0" w:color="231F20"/>
              <w:left w:val="single" w:sz="4" w:space="0" w:color="231F20"/>
              <w:bottom w:val="single" w:sz="4" w:space="0" w:color="231F20"/>
              <w:right w:val="single" w:sz="4" w:space="0" w:color="231F20"/>
            </w:tcBorders>
          </w:tcPr>
          <w:p w14:paraId="4792B93B" w14:textId="77777777" w:rsidR="00F65BCA" w:rsidRDefault="00216117">
            <w:pPr>
              <w:pStyle w:val="TableParagraph"/>
              <w:spacing w:before="35"/>
              <w:ind w:left="76" w:right="15"/>
              <w:jc w:val="center"/>
              <w:rPr>
                <w:sz w:val="15"/>
              </w:rPr>
            </w:pPr>
            <w:r>
              <w:rPr>
                <w:color w:val="231F20"/>
                <w:sz w:val="15"/>
              </w:rPr>
              <w:t>15%</w:t>
            </w:r>
          </w:p>
        </w:tc>
        <w:tc>
          <w:tcPr>
            <w:tcW w:w="1020" w:type="dxa"/>
            <w:tcBorders>
              <w:top w:val="single" w:sz="4" w:space="0" w:color="231F20"/>
              <w:left w:val="single" w:sz="4" w:space="0" w:color="231F20"/>
              <w:bottom w:val="single" w:sz="4" w:space="0" w:color="231F20"/>
              <w:right w:val="single" w:sz="4" w:space="0" w:color="231F20"/>
            </w:tcBorders>
          </w:tcPr>
          <w:p w14:paraId="62D8EBF7" w14:textId="77777777" w:rsidR="00F65BCA" w:rsidRDefault="00216117">
            <w:pPr>
              <w:pStyle w:val="TableParagraph"/>
              <w:spacing w:before="35"/>
              <w:ind w:left="366"/>
              <w:rPr>
                <w:sz w:val="15"/>
              </w:rPr>
            </w:pPr>
            <w:r>
              <w:rPr>
                <w:color w:val="231F20"/>
                <w:sz w:val="15"/>
              </w:rPr>
              <w:t>35%</w:t>
            </w:r>
          </w:p>
        </w:tc>
        <w:tc>
          <w:tcPr>
            <w:tcW w:w="1133" w:type="dxa"/>
            <w:tcBorders>
              <w:top w:val="single" w:sz="4" w:space="0" w:color="231F20"/>
              <w:left w:val="single" w:sz="4" w:space="0" w:color="231F20"/>
              <w:bottom w:val="single" w:sz="4" w:space="0" w:color="231F20"/>
              <w:right w:val="single" w:sz="4" w:space="0" w:color="231F20"/>
            </w:tcBorders>
          </w:tcPr>
          <w:p w14:paraId="36E15346" w14:textId="77777777" w:rsidR="00F65BCA" w:rsidRDefault="00216117">
            <w:pPr>
              <w:pStyle w:val="TableParagraph"/>
              <w:spacing w:before="35"/>
              <w:ind w:left="51" w:right="27"/>
              <w:jc w:val="center"/>
              <w:rPr>
                <w:sz w:val="15"/>
              </w:rPr>
            </w:pPr>
            <w:r>
              <w:rPr>
                <w:color w:val="231F20"/>
                <w:sz w:val="15"/>
              </w:rPr>
              <w:t>55%</w:t>
            </w:r>
          </w:p>
        </w:tc>
        <w:tc>
          <w:tcPr>
            <w:tcW w:w="1020" w:type="dxa"/>
            <w:tcBorders>
              <w:top w:val="single" w:sz="4" w:space="0" w:color="231F20"/>
              <w:left w:val="single" w:sz="4" w:space="0" w:color="231F20"/>
              <w:bottom w:val="single" w:sz="4" w:space="0" w:color="231F20"/>
              <w:right w:val="single" w:sz="4" w:space="0" w:color="231F20"/>
            </w:tcBorders>
          </w:tcPr>
          <w:p w14:paraId="7D447786" w14:textId="77777777" w:rsidR="00F65BCA" w:rsidRDefault="00216117">
            <w:pPr>
              <w:pStyle w:val="TableParagraph"/>
              <w:spacing w:before="35"/>
              <w:ind w:left="367"/>
              <w:rPr>
                <w:sz w:val="15"/>
              </w:rPr>
            </w:pPr>
            <w:r>
              <w:rPr>
                <w:color w:val="231F20"/>
                <w:sz w:val="15"/>
              </w:rPr>
              <w:t>55%</w:t>
            </w:r>
          </w:p>
        </w:tc>
        <w:tc>
          <w:tcPr>
            <w:tcW w:w="1133" w:type="dxa"/>
            <w:tcBorders>
              <w:top w:val="single" w:sz="4" w:space="0" w:color="231F20"/>
              <w:left w:val="single" w:sz="4" w:space="0" w:color="231F20"/>
              <w:bottom w:val="single" w:sz="4" w:space="0" w:color="231F20"/>
              <w:right w:val="single" w:sz="4" w:space="0" w:color="231F20"/>
            </w:tcBorders>
          </w:tcPr>
          <w:p w14:paraId="46AA3A61" w14:textId="77777777" w:rsidR="00F65BCA" w:rsidRDefault="00216117">
            <w:pPr>
              <w:pStyle w:val="TableParagraph"/>
              <w:spacing w:before="35"/>
              <w:ind w:right="375"/>
              <w:jc w:val="right"/>
              <w:rPr>
                <w:sz w:val="15"/>
              </w:rPr>
            </w:pPr>
            <w:r>
              <w:rPr>
                <w:color w:val="231F20"/>
                <w:w w:val="95"/>
                <w:sz w:val="15"/>
              </w:rPr>
              <w:t>145%</w:t>
            </w:r>
          </w:p>
        </w:tc>
        <w:tc>
          <w:tcPr>
            <w:tcW w:w="1020" w:type="dxa"/>
            <w:tcBorders>
              <w:top w:val="single" w:sz="4" w:space="0" w:color="231F20"/>
              <w:left w:val="single" w:sz="4" w:space="0" w:color="231F20"/>
              <w:bottom w:val="single" w:sz="4" w:space="0" w:color="231F20"/>
              <w:right w:val="single" w:sz="4" w:space="0" w:color="231F20"/>
            </w:tcBorders>
          </w:tcPr>
          <w:p w14:paraId="0B8E67E5" w14:textId="77777777" w:rsidR="00F65BCA" w:rsidRDefault="00216117">
            <w:pPr>
              <w:pStyle w:val="TableParagraph"/>
              <w:spacing w:before="35"/>
              <w:ind w:left="36" w:right="8"/>
              <w:jc w:val="center"/>
              <w:rPr>
                <w:sz w:val="15"/>
              </w:rPr>
            </w:pPr>
            <w:r>
              <w:rPr>
                <w:color w:val="231F20"/>
                <w:sz w:val="15"/>
              </w:rPr>
              <w:t>75%</w:t>
            </w:r>
          </w:p>
        </w:tc>
        <w:tc>
          <w:tcPr>
            <w:tcW w:w="1133" w:type="dxa"/>
            <w:tcBorders>
              <w:top w:val="single" w:sz="4" w:space="0" w:color="231F20"/>
              <w:left w:val="single" w:sz="4" w:space="0" w:color="231F20"/>
              <w:bottom w:val="single" w:sz="4" w:space="0" w:color="231F20"/>
              <w:right w:val="single" w:sz="4" w:space="0" w:color="231F20"/>
            </w:tcBorders>
          </w:tcPr>
          <w:p w14:paraId="713468B2" w14:textId="77777777" w:rsidR="00F65BCA" w:rsidRDefault="00216117">
            <w:pPr>
              <w:pStyle w:val="TableParagraph"/>
              <w:spacing w:before="35"/>
              <w:ind w:left="56" w:right="27"/>
              <w:jc w:val="center"/>
              <w:rPr>
                <w:sz w:val="15"/>
              </w:rPr>
            </w:pPr>
            <w:r>
              <w:rPr>
                <w:color w:val="231F20"/>
                <w:sz w:val="15"/>
              </w:rPr>
              <w:t>325%</w:t>
            </w:r>
          </w:p>
        </w:tc>
        <w:tc>
          <w:tcPr>
            <w:tcW w:w="963" w:type="dxa"/>
            <w:tcBorders>
              <w:top w:val="single" w:sz="4" w:space="0" w:color="231F20"/>
              <w:left w:val="single" w:sz="4" w:space="0" w:color="231F20"/>
              <w:bottom w:val="single" w:sz="4" w:space="0" w:color="231F20"/>
              <w:right w:val="single" w:sz="4" w:space="0" w:color="231F20"/>
            </w:tcBorders>
          </w:tcPr>
          <w:p w14:paraId="02A170D3" w14:textId="77777777" w:rsidR="00F65BCA" w:rsidRDefault="00216117">
            <w:pPr>
              <w:pStyle w:val="TableParagraph"/>
              <w:spacing w:before="35"/>
              <w:ind w:left="342"/>
              <w:rPr>
                <w:sz w:val="15"/>
              </w:rPr>
            </w:pPr>
            <w:r>
              <w:rPr>
                <w:color w:val="231F20"/>
                <w:sz w:val="15"/>
              </w:rPr>
              <w:t>95%</w:t>
            </w:r>
          </w:p>
        </w:tc>
        <w:tc>
          <w:tcPr>
            <w:tcW w:w="1190" w:type="dxa"/>
            <w:tcBorders>
              <w:top w:val="single" w:sz="4" w:space="0" w:color="231F20"/>
              <w:left w:val="single" w:sz="4" w:space="0" w:color="231F20"/>
              <w:bottom w:val="single" w:sz="4" w:space="0" w:color="231F20"/>
              <w:right w:val="nil"/>
            </w:tcBorders>
          </w:tcPr>
          <w:p w14:paraId="06720162" w14:textId="77777777" w:rsidR="00F65BCA" w:rsidRDefault="00216117">
            <w:pPr>
              <w:pStyle w:val="TableParagraph"/>
              <w:spacing w:before="35"/>
              <w:ind w:left="407"/>
              <w:rPr>
                <w:sz w:val="15"/>
              </w:rPr>
            </w:pPr>
            <w:r>
              <w:rPr>
                <w:color w:val="231F20"/>
                <w:sz w:val="15"/>
              </w:rPr>
              <w:t>537,5%</w:t>
            </w:r>
          </w:p>
        </w:tc>
      </w:tr>
      <w:tr w:rsidR="00F65BCA" w14:paraId="5F12195C" w14:textId="77777777">
        <w:trPr>
          <w:trHeight w:val="245"/>
        </w:trPr>
        <w:tc>
          <w:tcPr>
            <w:tcW w:w="1020" w:type="dxa"/>
            <w:tcBorders>
              <w:top w:val="single" w:sz="4" w:space="0" w:color="231F20"/>
              <w:left w:val="nil"/>
              <w:bottom w:val="single" w:sz="4" w:space="0" w:color="231F20"/>
              <w:right w:val="single" w:sz="4" w:space="0" w:color="231F20"/>
            </w:tcBorders>
          </w:tcPr>
          <w:p w14:paraId="7DC989DE" w14:textId="77777777" w:rsidR="00F65BCA" w:rsidRDefault="00216117">
            <w:pPr>
              <w:pStyle w:val="TableParagraph"/>
              <w:spacing w:before="35"/>
              <w:ind w:right="379"/>
              <w:jc w:val="right"/>
              <w:rPr>
                <w:sz w:val="15"/>
              </w:rPr>
            </w:pPr>
            <w:r>
              <w:rPr>
                <w:color w:val="231F20"/>
                <w:w w:val="95"/>
                <w:sz w:val="15"/>
              </w:rPr>
              <w:t>16%</w:t>
            </w:r>
          </w:p>
        </w:tc>
        <w:tc>
          <w:tcPr>
            <w:tcW w:w="1133" w:type="dxa"/>
            <w:tcBorders>
              <w:top w:val="single" w:sz="4" w:space="0" w:color="231F20"/>
              <w:left w:val="single" w:sz="4" w:space="0" w:color="231F20"/>
              <w:bottom w:val="single" w:sz="4" w:space="0" w:color="231F20"/>
              <w:right w:val="single" w:sz="4" w:space="0" w:color="231F20"/>
            </w:tcBorders>
          </w:tcPr>
          <w:p w14:paraId="37BB0881" w14:textId="77777777" w:rsidR="00F65BCA" w:rsidRDefault="00216117">
            <w:pPr>
              <w:pStyle w:val="TableParagraph"/>
              <w:spacing w:before="35"/>
              <w:ind w:left="76" w:right="15"/>
              <w:jc w:val="center"/>
              <w:rPr>
                <w:sz w:val="15"/>
              </w:rPr>
            </w:pPr>
            <w:r>
              <w:rPr>
                <w:color w:val="231F20"/>
                <w:sz w:val="15"/>
              </w:rPr>
              <w:t>16%</w:t>
            </w:r>
          </w:p>
        </w:tc>
        <w:tc>
          <w:tcPr>
            <w:tcW w:w="1020" w:type="dxa"/>
            <w:tcBorders>
              <w:top w:val="single" w:sz="4" w:space="0" w:color="231F20"/>
              <w:left w:val="single" w:sz="4" w:space="0" w:color="231F20"/>
              <w:bottom w:val="single" w:sz="4" w:space="0" w:color="231F20"/>
              <w:right w:val="single" w:sz="4" w:space="0" w:color="231F20"/>
            </w:tcBorders>
          </w:tcPr>
          <w:p w14:paraId="1D420446" w14:textId="77777777" w:rsidR="00F65BCA" w:rsidRDefault="00216117">
            <w:pPr>
              <w:pStyle w:val="TableParagraph"/>
              <w:spacing w:before="35"/>
              <w:ind w:left="366"/>
              <w:rPr>
                <w:sz w:val="15"/>
              </w:rPr>
            </w:pPr>
            <w:r>
              <w:rPr>
                <w:color w:val="231F20"/>
                <w:sz w:val="15"/>
              </w:rPr>
              <w:t>36%</w:t>
            </w:r>
          </w:p>
        </w:tc>
        <w:tc>
          <w:tcPr>
            <w:tcW w:w="1133" w:type="dxa"/>
            <w:tcBorders>
              <w:top w:val="single" w:sz="4" w:space="0" w:color="231F20"/>
              <w:left w:val="single" w:sz="4" w:space="0" w:color="231F20"/>
              <w:bottom w:val="single" w:sz="4" w:space="0" w:color="231F20"/>
              <w:right w:val="single" w:sz="4" w:space="0" w:color="231F20"/>
            </w:tcBorders>
          </w:tcPr>
          <w:p w14:paraId="08AAA8E1" w14:textId="77777777" w:rsidR="00F65BCA" w:rsidRDefault="00216117">
            <w:pPr>
              <w:pStyle w:val="TableParagraph"/>
              <w:spacing w:before="35"/>
              <w:ind w:left="51" w:right="27"/>
              <w:jc w:val="center"/>
              <w:rPr>
                <w:sz w:val="15"/>
              </w:rPr>
            </w:pPr>
            <w:r>
              <w:rPr>
                <w:color w:val="231F20"/>
                <w:sz w:val="15"/>
              </w:rPr>
              <w:t>58%</w:t>
            </w:r>
          </w:p>
        </w:tc>
        <w:tc>
          <w:tcPr>
            <w:tcW w:w="1020" w:type="dxa"/>
            <w:tcBorders>
              <w:top w:val="single" w:sz="4" w:space="0" w:color="231F20"/>
              <w:left w:val="single" w:sz="4" w:space="0" w:color="231F20"/>
              <w:bottom w:val="single" w:sz="4" w:space="0" w:color="231F20"/>
              <w:right w:val="single" w:sz="4" w:space="0" w:color="231F20"/>
            </w:tcBorders>
          </w:tcPr>
          <w:p w14:paraId="161D831A" w14:textId="77777777" w:rsidR="00F65BCA" w:rsidRDefault="00216117">
            <w:pPr>
              <w:pStyle w:val="TableParagraph"/>
              <w:spacing w:before="35"/>
              <w:ind w:left="367"/>
              <w:rPr>
                <w:sz w:val="15"/>
              </w:rPr>
            </w:pPr>
            <w:r>
              <w:rPr>
                <w:color w:val="231F20"/>
                <w:sz w:val="15"/>
              </w:rPr>
              <w:t>56%</w:t>
            </w:r>
          </w:p>
        </w:tc>
        <w:tc>
          <w:tcPr>
            <w:tcW w:w="1133" w:type="dxa"/>
            <w:tcBorders>
              <w:top w:val="single" w:sz="4" w:space="0" w:color="231F20"/>
              <w:left w:val="single" w:sz="4" w:space="0" w:color="231F20"/>
              <w:bottom w:val="single" w:sz="4" w:space="0" w:color="231F20"/>
              <w:right w:val="single" w:sz="4" w:space="0" w:color="231F20"/>
            </w:tcBorders>
          </w:tcPr>
          <w:p w14:paraId="053B3B3D" w14:textId="77777777" w:rsidR="00F65BCA" w:rsidRDefault="00216117">
            <w:pPr>
              <w:pStyle w:val="TableParagraph"/>
              <w:spacing w:before="35"/>
              <w:ind w:right="375"/>
              <w:jc w:val="right"/>
              <w:rPr>
                <w:sz w:val="15"/>
              </w:rPr>
            </w:pPr>
            <w:r>
              <w:rPr>
                <w:color w:val="231F20"/>
                <w:w w:val="95"/>
                <w:sz w:val="15"/>
              </w:rPr>
              <w:t>154%</w:t>
            </w:r>
          </w:p>
        </w:tc>
        <w:tc>
          <w:tcPr>
            <w:tcW w:w="1020" w:type="dxa"/>
            <w:tcBorders>
              <w:top w:val="single" w:sz="4" w:space="0" w:color="231F20"/>
              <w:left w:val="single" w:sz="4" w:space="0" w:color="231F20"/>
              <w:bottom w:val="single" w:sz="4" w:space="0" w:color="231F20"/>
              <w:right w:val="single" w:sz="4" w:space="0" w:color="231F20"/>
            </w:tcBorders>
          </w:tcPr>
          <w:p w14:paraId="4C5C4EE1" w14:textId="77777777" w:rsidR="00F65BCA" w:rsidRDefault="00216117">
            <w:pPr>
              <w:pStyle w:val="TableParagraph"/>
              <w:spacing w:before="35"/>
              <w:ind w:left="36" w:right="8"/>
              <w:jc w:val="center"/>
              <w:rPr>
                <w:sz w:val="15"/>
              </w:rPr>
            </w:pPr>
            <w:r>
              <w:rPr>
                <w:color w:val="231F20"/>
                <w:sz w:val="15"/>
              </w:rPr>
              <w:t>76%</w:t>
            </w:r>
          </w:p>
        </w:tc>
        <w:tc>
          <w:tcPr>
            <w:tcW w:w="1133" w:type="dxa"/>
            <w:tcBorders>
              <w:top w:val="single" w:sz="4" w:space="0" w:color="231F20"/>
              <w:left w:val="single" w:sz="4" w:space="0" w:color="231F20"/>
              <w:bottom w:val="single" w:sz="4" w:space="0" w:color="231F20"/>
              <w:right w:val="single" w:sz="4" w:space="0" w:color="231F20"/>
            </w:tcBorders>
          </w:tcPr>
          <w:p w14:paraId="0C4ADEAA" w14:textId="77777777" w:rsidR="00F65BCA" w:rsidRDefault="00216117">
            <w:pPr>
              <w:pStyle w:val="TableParagraph"/>
              <w:spacing w:before="35"/>
              <w:ind w:left="56" w:right="27"/>
              <w:jc w:val="center"/>
              <w:rPr>
                <w:sz w:val="15"/>
              </w:rPr>
            </w:pPr>
            <w:r>
              <w:rPr>
                <w:color w:val="231F20"/>
                <w:sz w:val="15"/>
              </w:rPr>
              <w:t>335%</w:t>
            </w:r>
          </w:p>
        </w:tc>
        <w:tc>
          <w:tcPr>
            <w:tcW w:w="963" w:type="dxa"/>
            <w:tcBorders>
              <w:top w:val="single" w:sz="4" w:space="0" w:color="231F20"/>
              <w:left w:val="single" w:sz="4" w:space="0" w:color="231F20"/>
              <w:bottom w:val="single" w:sz="4" w:space="0" w:color="231F20"/>
              <w:right w:val="single" w:sz="4" w:space="0" w:color="231F20"/>
            </w:tcBorders>
          </w:tcPr>
          <w:p w14:paraId="2F4CD9D4" w14:textId="77777777" w:rsidR="00F65BCA" w:rsidRDefault="00216117">
            <w:pPr>
              <w:pStyle w:val="TableParagraph"/>
              <w:spacing w:before="35"/>
              <w:ind w:left="342"/>
              <w:rPr>
                <w:sz w:val="15"/>
              </w:rPr>
            </w:pPr>
            <w:r>
              <w:rPr>
                <w:color w:val="231F20"/>
                <w:sz w:val="15"/>
              </w:rPr>
              <w:t>96%</w:t>
            </w:r>
          </w:p>
        </w:tc>
        <w:tc>
          <w:tcPr>
            <w:tcW w:w="1190" w:type="dxa"/>
            <w:tcBorders>
              <w:top w:val="single" w:sz="4" w:space="0" w:color="231F20"/>
              <w:left w:val="single" w:sz="4" w:space="0" w:color="231F20"/>
              <w:bottom w:val="single" w:sz="4" w:space="0" w:color="231F20"/>
              <w:right w:val="nil"/>
            </w:tcBorders>
          </w:tcPr>
          <w:p w14:paraId="324D6B17" w14:textId="77777777" w:rsidR="00F65BCA" w:rsidRDefault="00216117">
            <w:pPr>
              <w:pStyle w:val="TableParagraph"/>
              <w:spacing w:before="35"/>
              <w:ind w:left="407"/>
              <w:rPr>
                <w:sz w:val="15"/>
              </w:rPr>
            </w:pPr>
            <w:r>
              <w:rPr>
                <w:color w:val="231F20"/>
                <w:sz w:val="15"/>
              </w:rPr>
              <w:t>550%</w:t>
            </w:r>
          </w:p>
        </w:tc>
      </w:tr>
      <w:tr w:rsidR="00F65BCA" w14:paraId="1907454F" w14:textId="77777777">
        <w:trPr>
          <w:trHeight w:val="245"/>
        </w:trPr>
        <w:tc>
          <w:tcPr>
            <w:tcW w:w="1020" w:type="dxa"/>
            <w:tcBorders>
              <w:top w:val="single" w:sz="4" w:space="0" w:color="231F20"/>
              <w:left w:val="nil"/>
              <w:bottom w:val="single" w:sz="4" w:space="0" w:color="231F20"/>
              <w:right w:val="single" w:sz="4" w:space="0" w:color="231F20"/>
            </w:tcBorders>
          </w:tcPr>
          <w:p w14:paraId="5463CD9D" w14:textId="77777777" w:rsidR="00F65BCA" w:rsidRDefault="00216117">
            <w:pPr>
              <w:pStyle w:val="TableParagraph"/>
              <w:spacing w:before="35"/>
              <w:ind w:right="379"/>
              <w:jc w:val="right"/>
              <w:rPr>
                <w:sz w:val="15"/>
              </w:rPr>
            </w:pPr>
            <w:r>
              <w:rPr>
                <w:color w:val="231F20"/>
                <w:w w:val="95"/>
                <w:sz w:val="15"/>
              </w:rPr>
              <w:t>17%</w:t>
            </w:r>
          </w:p>
        </w:tc>
        <w:tc>
          <w:tcPr>
            <w:tcW w:w="1133" w:type="dxa"/>
            <w:tcBorders>
              <w:top w:val="single" w:sz="4" w:space="0" w:color="231F20"/>
              <w:left w:val="single" w:sz="4" w:space="0" w:color="231F20"/>
              <w:bottom w:val="single" w:sz="4" w:space="0" w:color="231F20"/>
              <w:right w:val="single" w:sz="4" w:space="0" w:color="231F20"/>
            </w:tcBorders>
          </w:tcPr>
          <w:p w14:paraId="13D3EF28" w14:textId="77777777" w:rsidR="00F65BCA" w:rsidRDefault="00216117">
            <w:pPr>
              <w:pStyle w:val="TableParagraph"/>
              <w:spacing w:before="35"/>
              <w:ind w:left="76" w:right="15"/>
              <w:jc w:val="center"/>
              <w:rPr>
                <w:sz w:val="15"/>
              </w:rPr>
            </w:pPr>
            <w:r>
              <w:rPr>
                <w:color w:val="231F20"/>
                <w:sz w:val="15"/>
              </w:rPr>
              <w:t>17%</w:t>
            </w:r>
          </w:p>
        </w:tc>
        <w:tc>
          <w:tcPr>
            <w:tcW w:w="1020" w:type="dxa"/>
            <w:tcBorders>
              <w:top w:val="single" w:sz="4" w:space="0" w:color="231F20"/>
              <w:left w:val="single" w:sz="4" w:space="0" w:color="231F20"/>
              <w:bottom w:val="single" w:sz="4" w:space="0" w:color="231F20"/>
              <w:right w:val="single" w:sz="4" w:space="0" w:color="231F20"/>
            </w:tcBorders>
          </w:tcPr>
          <w:p w14:paraId="448A9351" w14:textId="77777777" w:rsidR="00F65BCA" w:rsidRDefault="00216117">
            <w:pPr>
              <w:pStyle w:val="TableParagraph"/>
              <w:spacing w:before="35"/>
              <w:ind w:left="366"/>
              <w:rPr>
                <w:sz w:val="15"/>
              </w:rPr>
            </w:pPr>
            <w:r>
              <w:rPr>
                <w:color w:val="231F20"/>
                <w:sz w:val="15"/>
              </w:rPr>
              <w:t>37%</w:t>
            </w:r>
          </w:p>
        </w:tc>
        <w:tc>
          <w:tcPr>
            <w:tcW w:w="1133" w:type="dxa"/>
            <w:tcBorders>
              <w:top w:val="single" w:sz="4" w:space="0" w:color="231F20"/>
              <w:left w:val="single" w:sz="4" w:space="0" w:color="231F20"/>
              <w:bottom w:val="single" w:sz="4" w:space="0" w:color="231F20"/>
              <w:right w:val="single" w:sz="4" w:space="0" w:color="231F20"/>
            </w:tcBorders>
          </w:tcPr>
          <w:p w14:paraId="134276B3" w14:textId="77777777" w:rsidR="00F65BCA" w:rsidRDefault="00216117">
            <w:pPr>
              <w:pStyle w:val="TableParagraph"/>
              <w:spacing w:before="35"/>
              <w:ind w:left="51" w:right="27"/>
              <w:jc w:val="center"/>
              <w:rPr>
                <w:sz w:val="15"/>
              </w:rPr>
            </w:pPr>
            <w:r>
              <w:rPr>
                <w:color w:val="231F20"/>
                <w:sz w:val="15"/>
              </w:rPr>
              <w:t>61%</w:t>
            </w:r>
          </w:p>
        </w:tc>
        <w:tc>
          <w:tcPr>
            <w:tcW w:w="1020" w:type="dxa"/>
            <w:tcBorders>
              <w:top w:val="single" w:sz="4" w:space="0" w:color="231F20"/>
              <w:left w:val="single" w:sz="4" w:space="0" w:color="231F20"/>
              <w:bottom w:val="single" w:sz="4" w:space="0" w:color="231F20"/>
              <w:right w:val="single" w:sz="4" w:space="0" w:color="231F20"/>
            </w:tcBorders>
          </w:tcPr>
          <w:p w14:paraId="77D0768F" w14:textId="77777777" w:rsidR="00F65BCA" w:rsidRDefault="00216117">
            <w:pPr>
              <w:pStyle w:val="TableParagraph"/>
              <w:spacing w:before="35"/>
              <w:ind w:left="367"/>
              <w:rPr>
                <w:sz w:val="15"/>
              </w:rPr>
            </w:pPr>
            <w:r>
              <w:rPr>
                <w:color w:val="231F20"/>
                <w:sz w:val="15"/>
              </w:rPr>
              <w:t>57%</w:t>
            </w:r>
          </w:p>
        </w:tc>
        <w:tc>
          <w:tcPr>
            <w:tcW w:w="1133" w:type="dxa"/>
            <w:tcBorders>
              <w:top w:val="single" w:sz="4" w:space="0" w:color="231F20"/>
              <w:left w:val="single" w:sz="4" w:space="0" w:color="231F20"/>
              <w:bottom w:val="single" w:sz="4" w:space="0" w:color="231F20"/>
              <w:right w:val="single" w:sz="4" w:space="0" w:color="231F20"/>
            </w:tcBorders>
          </w:tcPr>
          <w:p w14:paraId="13613B5F" w14:textId="77777777" w:rsidR="00F65BCA" w:rsidRDefault="00216117">
            <w:pPr>
              <w:pStyle w:val="TableParagraph"/>
              <w:spacing w:before="35"/>
              <w:ind w:right="375"/>
              <w:jc w:val="right"/>
              <w:rPr>
                <w:sz w:val="15"/>
              </w:rPr>
            </w:pPr>
            <w:r>
              <w:rPr>
                <w:color w:val="231F20"/>
                <w:w w:val="95"/>
                <w:sz w:val="15"/>
              </w:rPr>
              <w:t>163%</w:t>
            </w:r>
          </w:p>
        </w:tc>
        <w:tc>
          <w:tcPr>
            <w:tcW w:w="1020" w:type="dxa"/>
            <w:tcBorders>
              <w:top w:val="single" w:sz="4" w:space="0" w:color="231F20"/>
              <w:left w:val="single" w:sz="4" w:space="0" w:color="231F20"/>
              <w:bottom w:val="single" w:sz="4" w:space="0" w:color="231F20"/>
              <w:right w:val="single" w:sz="4" w:space="0" w:color="231F20"/>
            </w:tcBorders>
          </w:tcPr>
          <w:p w14:paraId="142F62E3" w14:textId="77777777" w:rsidR="00F65BCA" w:rsidRDefault="00216117">
            <w:pPr>
              <w:pStyle w:val="TableParagraph"/>
              <w:spacing w:before="35"/>
              <w:ind w:left="36" w:right="8"/>
              <w:jc w:val="center"/>
              <w:rPr>
                <w:sz w:val="15"/>
              </w:rPr>
            </w:pPr>
            <w:r>
              <w:rPr>
                <w:color w:val="231F20"/>
                <w:sz w:val="15"/>
              </w:rPr>
              <w:t>77%</w:t>
            </w:r>
          </w:p>
        </w:tc>
        <w:tc>
          <w:tcPr>
            <w:tcW w:w="1133" w:type="dxa"/>
            <w:tcBorders>
              <w:top w:val="single" w:sz="4" w:space="0" w:color="231F20"/>
              <w:left w:val="single" w:sz="4" w:space="0" w:color="231F20"/>
              <w:bottom w:val="single" w:sz="4" w:space="0" w:color="231F20"/>
              <w:right w:val="single" w:sz="4" w:space="0" w:color="231F20"/>
            </w:tcBorders>
          </w:tcPr>
          <w:p w14:paraId="78F15ADB" w14:textId="77777777" w:rsidR="00F65BCA" w:rsidRDefault="00216117">
            <w:pPr>
              <w:pStyle w:val="TableParagraph"/>
              <w:spacing w:before="35"/>
              <w:ind w:left="56" w:right="27"/>
              <w:jc w:val="center"/>
              <w:rPr>
                <w:sz w:val="15"/>
              </w:rPr>
            </w:pPr>
            <w:r>
              <w:rPr>
                <w:color w:val="231F20"/>
                <w:sz w:val="15"/>
              </w:rPr>
              <w:t>345%</w:t>
            </w:r>
          </w:p>
        </w:tc>
        <w:tc>
          <w:tcPr>
            <w:tcW w:w="963" w:type="dxa"/>
            <w:tcBorders>
              <w:top w:val="single" w:sz="4" w:space="0" w:color="231F20"/>
              <w:left w:val="single" w:sz="4" w:space="0" w:color="231F20"/>
              <w:bottom w:val="single" w:sz="4" w:space="0" w:color="231F20"/>
              <w:right w:val="single" w:sz="4" w:space="0" w:color="231F20"/>
            </w:tcBorders>
          </w:tcPr>
          <w:p w14:paraId="5E376CD5" w14:textId="77777777" w:rsidR="00F65BCA" w:rsidRDefault="00216117">
            <w:pPr>
              <w:pStyle w:val="TableParagraph"/>
              <w:spacing w:before="35"/>
              <w:ind w:left="342"/>
              <w:rPr>
                <w:sz w:val="15"/>
              </w:rPr>
            </w:pPr>
            <w:r>
              <w:rPr>
                <w:color w:val="231F20"/>
                <w:sz w:val="15"/>
              </w:rPr>
              <w:t>97%</w:t>
            </w:r>
          </w:p>
        </w:tc>
        <w:tc>
          <w:tcPr>
            <w:tcW w:w="1190" w:type="dxa"/>
            <w:tcBorders>
              <w:top w:val="single" w:sz="4" w:space="0" w:color="231F20"/>
              <w:left w:val="single" w:sz="4" w:space="0" w:color="231F20"/>
              <w:bottom w:val="single" w:sz="4" w:space="0" w:color="231F20"/>
              <w:right w:val="nil"/>
            </w:tcBorders>
          </w:tcPr>
          <w:p w14:paraId="0F57092A" w14:textId="77777777" w:rsidR="00F65BCA" w:rsidRDefault="00216117">
            <w:pPr>
              <w:pStyle w:val="TableParagraph"/>
              <w:spacing w:before="35"/>
              <w:ind w:left="407"/>
              <w:rPr>
                <w:sz w:val="15"/>
              </w:rPr>
            </w:pPr>
            <w:r>
              <w:rPr>
                <w:color w:val="231F20"/>
                <w:sz w:val="15"/>
              </w:rPr>
              <w:t>562,5%</w:t>
            </w:r>
          </w:p>
        </w:tc>
      </w:tr>
      <w:tr w:rsidR="00F65BCA" w14:paraId="1A9E0018" w14:textId="77777777">
        <w:trPr>
          <w:trHeight w:val="245"/>
        </w:trPr>
        <w:tc>
          <w:tcPr>
            <w:tcW w:w="1020" w:type="dxa"/>
            <w:tcBorders>
              <w:top w:val="single" w:sz="4" w:space="0" w:color="231F20"/>
              <w:left w:val="nil"/>
              <w:bottom w:val="single" w:sz="4" w:space="0" w:color="231F20"/>
              <w:right w:val="single" w:sz="4" w:space="0" w:color="231F20"/>
            </w:tcBorders>
          </w:tcPr>
          <w:p w14:paraId="46FAB241" w14:textId="77777777" w:rsidR="00F65BCA" w:rsidRDefault="00216117">
            <w:pPr>
              <w:pStyle w:val="TableParagraph"/>
              <w:spacing w:before="35"/>
              <w:ind w:right="379"/>
              <w:jc w:val="right"/>
              <w:rPr>
                <w:sz w:val="15"/>
              </w:rPr>
            </w:pPr>
            <w:r>
              <w:rPr>
                <w:color w:val="231F20"/>
                <w:w w:val="95"/>
                <w:sz w:val="15"/>
              </w:rPr>
              <w:t>18%</w:t>
            </w:r>
          </w:p>
        </w:tc>
        <w:tc>
          <w:tcPr>
            <w:tcW w:w="1133" w:type="dxa"/>
            <w:tcBorders>
              <w:top w:val="single" w:sz="4" w:space="0" w:color="231F20"/>
              <w:left w:val="single" w:sz="4" w:space="0" w:color="231F20"/>
              <w:bottom w:val="single" w:sz="4" w:space="0" w:color="231F20"/>
              <w:right w:val="single" w:sz="4" w:space="0" w:color="231F20"/>
            </w:tcBorders>
          </w:tcPr>
          <w:p w14:paraId="1A953731" w14:textId="77777777" w:rsidR="00F65BCA" w:rsidRDefault="00216117">
            <w:pPr>
              <w:pStyle w:val="TableParagraph"/>
              <w:spacing w:before="35"/>
              <w:ind w:left="76" w:right="15"/>
              <w:jc w:val="center"/>
              <w:rPr>
                <w:sz w:val="15"/>
              </w:rPr>
            </w:pPr>
            <w:r>
              <w:rPr>
                <w:color w:val="231F20"/>
                <w:sz w:val="15"/>
              </w:rPr>
              <w:t>18%</w:t>
            </w:r>
          </w:p>
        </w:tc>
        <w:tc>
          <w:tcPr>
            <w:tcW w:w="1020" w:type="dxa"/>
            <w:tcBorders>
              <w:top w:val="single" w:sz="4" w:space="0" w:color="231F20"/>
              <w:left w:val="single" w:sz="4" w:space="0" w:color="231F20"/>
              <w:bottom w:val="single" w:sz="4" w:space="0" w:color="231F20"/>
              <w:right w:val="single" w:sz="4" w:space="0" w:color="231F20"/>
            </w:tcBorders>
          </w:tcPr>
          <w:p w14:paraId="69730287" w14:textId="77777777" w:rsidR="00F65BCA" w:rsidRDefault="00216117">
            <w:pPr>
              <w:pStyle w:val="TableParagraph"/>
              <w:spacing w:before="35"/>
              <w:ind w:left="366"/>
              <w:rPr>
                <w:sz w:val="15"/>
              </w:rPr>
            </w:pPr>
            <w:r>
              <w:rPr>
                <w:color w:val="231F20"/>
                <w:sz w:val="15"/>
              </w:rPr>
              <w:t>38%</w:t>
            </w:r>
          </w:p>
        </w:tc>
        <w:tc>
          <w:tcPr>
            <w:tcW w:w="1133" w:type="dxa"/>
            <w:tcBorders>
              <w:top w:val="single" w:sz="4" w:space="0" w:color="231F20"/>
              <w:left w:val="single" w:sz="4" w:space="0" w:color="231F20"/>
              <w:bottom w:val="single" w:sz="4" w:space="0" w:color="231F20"/>
              <w:right w:val="single" w:sz="4" w:space="0" w:color="231F20"/>
            </w:tcBorders>
          </w:tcPr>
          <w:p w14:paraId="7C34E9EE" w14:textId="77777777" w:rsidR="00F65BCA" w:rsidRDefault="00216117">
            <w:pPr>
              <w:pStyle w:val="TableParagraph"/>
              <w:spacing w:before="35"/>
              <w:ind w:left="51" w:right="27"/>
              <w:jc w:val="center"/>
              <w:rPr>
                <w:sz w:val="15"/>
              </w:rPr>
            </w:pPr>
            <w:r>
              <w:rPr>
                <w:color w:val="231F20"/>
                <w:sz w:val="15"/>
              </w:rPr>
              <w:t>64%</w:t>
            </w:r>
          </w:p>
        </w:tc>
        <w:tc>
          <w:tcPr>
            <w:tcW w:w="1020" w:type="dxa"/>
            <w:tcBorders>
              <w:top w:val="single" w:sz="4" w:space="0" w:color="231F20"/>
              <w:left w:val="single" w:sz="4" w:space="0" w:color="231F20"/>
              <w:bottom w:val="single" w:sz="4" w:space="0" w:color="231F20"/>
              <w:right w:val="single" w:sz="4" w:space="0" w:color="231F20"/>
            </w:tcBorders>
          </w:tcPr>
          <w:p w14:paraId="14FF3717" w14:textId="77777777" w:rsidR="00F65BCA" w:rsidRDefault="00216117">
            <w:pPr>
              <w:pStyle w:val="TableParagraph"/>
              <w:spacing w:before="35"/>
              <w:ind w:left="367"/>
              <w:rPr>
                <w:sz w:val="15"/>
              </w:rPr>
            </w:pPr>
            <w:r>
              <w:rPr>
                <w:color w:val="231F20"/>
                <w:sz w:val="15"/>
              </w:rPr>
              <w:t>58%</w:t>
            </w:r>
          </w:p>
        </w:tc>
        <w:tc>
          <w:tcPr>
            <w:tcW w:w="1133" w:type="dxa"/>
            <w:tcBorders>
              <w:top w:val="single" w:sz="4" w:space="0" w:color="231F20"/>
              <w:left w:val="single" w:sz="4" w:space="0" w:color="231F20"/>
              <w:bottom w:val="single" w:sz="4" w:space="0" w:color="231F20"/>
              <w:right w:val="single" w:sz="4" w:space="0" w:color="231F20"/>
            </w:tcBorders>
          </w:tcPr>
          <w:p w14:paraId="1DF128ED" w14:textId="77777777" w:rsidR="00F65BCA" w:rsidRDefault="00216117">
            <w:pPr>
              <w:pStyle w:val="TableParagraph"/>
              <w:spacing w:before="35"/>
              <w:ind w:right="375"/>
              <w:jc w:val="right"/>
              <w:rPr>
                <w:sz w:val="15"/>
              </w:rPr>
            </w:pPr>
            <w:r>
              <w:rPr>
                <w:color w:val="231F20"/>
                <w:w w:val="95"/>
                <w:sz w:val="15"/>
              </w:rPr>
              <w:t>172%</w:t>
            </w:r>
          </w:p>
        </w:tc>
        <w:tc>
          <w:tcPr>
            <w:tcW w:w="1020" w:type="dxa"/>
            <w:tcBorders>
              <w:top w:val="single" w:sz="4" w:space="0" w:color="231F20"/>
              <w:left w:val="single" w:sz="4" w:space="0" w:color="231F20"/>
              <w:bottom w:val="single" w:sz="4" w:space="0" w:color="231F20"/>
              <w:right w:val="single" w:sz="4" w:space="0" w:color="231F20"/>
            </w:tcBorders>
          </w:tcPr>
          <w:p w14:paraId="47BBCF15" w14:textId="77777777" w:rsidR="00F65BCA" w:rsidRDefault="00216117">
            <w:pPr>
              <w:pStyle w:val="TableParagraph"/>
              <w:spacing w:before="35"/>
              <w:ind w:left="36" w:right="8"/>
              <w:jc w:val="center"/>
              <w:rPr>
                <w:sz w:val="15"/>
              </w:rPr>
            </w:pPr>
            <w:r>
              <w:rPr>
                <w:color w:val="231F20"/>
                <w:sz w:val="15"/>
              </w:rPr>
              <w:t>78%</w:t>
            </w:r>
          </w:p>
        </w:tc>
        <w:tc>
          <w:tcPr>
            <w:tcW w:w="1133" w:type="dxa"/>
            <w:tcBorders>
              <w:top w:val="single" w:sz="4" w:space="0" w:color="231F20"/>
              <w:left w:val="single" w:sz="4" w:space="0" w:color="231F20"/>
              <w:bottom w:val="single" w:sz="4" w:space="0" w:color="231F20"/>
              <w:right w:val="single" w:sz="4" w:space="0" w:color="231F20"/>
            </w:tcBorders>
          </w:tcPr>
          <w:p w14:paraId="0B04414F" w14:textId="77777777" w:rsidR="00F65BCA" w:rsidRDefault="00216117">
            <w:pPr>
              <w:pStyle w:val="TableParagraph"/>
              <w:spacing w:before="35"/>
              <w:ind w:left="56" w:right="27"/>
              <w:jc w:val="center"/>
              <w:rPr>
                <w:sz w:val="15"/>
              </w:rPr>
            </w:pPr>
            <w:r>
              <w:rPr>
                <w:color w:val="231F20"/>
                <w:sz w:val="15"/>
              </w:rPr>
              <w:t>355%</w:t>
            </w:r>
          </w:p>
        </w:tc>
        <w:tc>
          <w:tcPr>
            <w:tcW w:w="963" w:type="dxa"/>
            <w:tcBorders>
              <w:top w:val="single" w:sz="4" w:space="0" w:color="231F20"/>
              <w:left w:val="single" w:sz="4" w:space="0" w:color="231F20"/>
              <w:bottom w:val="single" w:sz="4" w:space="0" w:color="231F20"/>
              <w:right w:val="single" w:sz="4" w:space="0" w:color="231F20"/>
            </w:tcBorders>
          </w:tcPr>
          <w:p w14:paraId="3D4A1DA9" w14:textId="77777777" w:rsidR="00F65BCA" w:rsidRDefault="00216117">
            <w:pPr>
              <w:pStyle w:val="TableParagraph"/>
              <w:spacing w:before="35"/>
              <w:ind w:left="342"/>
              <w:rPr>
                <w:sz w:val="15"/>
              </w:rPr>
            </w:pPr>
            <w:r>
              <w:rPr>
                <w:color w:val="231F20"/>
                <w:sz w:val="15"/>
              </w:rPr>
              <w:t>98%</w:t>
            </w:r>
          </w:p>
        </w:tc>
        <w:tc>
          <w:tcPr>
            <w:tcW w:w="1190" w:type="dxa"/>
            <w:tcBorders>
              <w:top w:val="single" w:sz="4" w:space="0" w:color="231F20"/>
              <w:left w:val="single" w:sz="4" w:space="0" w:color="231F20"/>
              <w:bottom w:val="single" w:sz="4" w:space="0" w:color="231F20"/>
              <w:right w:val="nil"/>
            </w:tcBorders>
          </w:tcPr>
          <w:p w14:paraId="5F60AB71" w14:textId="77777777" w:rsidR="00F65BCA" w:rsidRDefault="00216117">
            <w:pPr>
              <w:pStyle w:val="TableParagraph"/>
              <w:spacing w:before="35"/>
              <w:ind w:left="407"/>
              <w:rPr>
                <w:sz w:val="15"/>
              </w:rPr>
            </w:pPr>
            <w:r>
              <w:rPr>
                <w:color w:val="231F20"/>
                <w:sz w:val="15"/>
              </w:rPr>
              <w:t>575%</w:t>
            </w:r>
          </w:p>
        </w:tc>
      </w:tr>
      <w:tr w:rsidR="00F65BCA" w14:paraId="4EA83090" w14:textId="77777777">
        <w:trPr>
          <w:trHeight w:val="245"/>
        </w:trPr>
        <w:tc>
          <w:tcPr>
            <w:tcW w:w="1020" w:type="dxa"/>
            <w:tcBorders>
              <w:top w:val="single" w:sz="4" w:space="0" w:color="231F20"/>
              <w:left w:val="nil"/>
              <w:bottom w:val="single" w:sz="4" w:space="0" w:color="231F20"/>
              <w:right w:val="single" w:sz="4" w:space="0" w:color="231F20"/>
            </w:tcBorders>
          </w:tcPr>
          <w:p w14:paraId="3A765DBA" w14:textId="77777777" w:rsidR="00F65BCA" w:rsidRDefault="00216117">
            <w:pPr>
              <w:pStyle w:val="TableParagraph"/>
              <w:spacing w:before="35"/>
              <w:ind w:right="379"/>
              <w:jc w:val="right"/>
              <w:rPr>
                <w:sz w:val="15"/>
              </w:rPr>
            </w:pPr>
            <w:r>
              <w:rPr>
                <w:color w:val="231F20"/>
                <w:w w:val="95"/>
                <w:sz w:val="15"/>
              </w:rPr>
              <w:t>19%</w:t>
            </w:r>
          </w:p>
        </w:tc>
        <w:tc>
          <w:tcPr>
            <w:tcW w:w="1133" w:type="dxa"/>
            <w:tcBorders>
              <w:top w:val="single" w:sz="4" w:space="0" w:color="231F20"/>
              <w:left w:val="single" w:sz="4" w:space="0" w:color="231F20"/>
              <w:bottom w:val="single" w:sz="4" w:space="0" w:color="231F20"/>
              <w:right w:val="single" w:sz="4" w:space="0" w:color="231F20"/>
            </w:tcBorders>
          </w:tcPr>
          <w:p w14:paraId="69F68D92" w14:textId="77777777" w:rsidR="00F65BCA" w:rsidRDefault="00216117">
            <w:pPr>
              <w:pStyle w:val="TableParagraph"/>
              <w:spacing w:before="35"/>
              <w:ind w:left="76" w:right="15"/>
              <w:jc w:val="center"/>
              <w:rPr>
                <w:sz w:val="15"/>
              </w:rPr>
            </w:pPr>
            <w:r>
              <w:rPr>
                <w:color w:val="231F20"/>
                <w:sz w:val="15"/>
              </w:rPr>
              <w:t>19%</w:t>
            </w:r>
          </w:p>
        </w:tc>
        <w:tc>
          <w:tcPr>
            <w:tcW w:w="1020" w:type="dxa"/>
            <w:tcBorders>
              <w:top w:val="single" w:sz="4" w:space="0" w:color="231F20"/>
              <w:left w:val="single" w:sz="4" w:space="0" w:color="231F20"/>
              <w:bottom w:val="single" w:sz="4" w:space="0" w:color="231F20"/>
              <w:right w:val="single" w:sz="4" w:space="0" w:color="231F20"/>
            </w:tcBorders>
          </w:tcPr>
          <w:p w14:paraId="32A2148C" w14:textId="77777777" w:rsidR="00F65BCA" w:rsidRDefault="00216117">
            <w:pPr>
              <w:pStyle w:val="TableParagraph"/>
              <w:spacing w:before="35"/>
              <w:ind w:left="366"/>
              <w:rPr>
                <w:sz w:val="15"/>
              </w:rPr>
            </w:pPr>
            <w:r>
              <w:rPr>
                <w:color w:val="231F20"/>
                <w:sz w:val="15"/>
              </w:rPr>
              <w:t>39%</w:t>
            </w:r>
          </w:p>
        </w:tc>
        <w:tc>
          <w:tcPr>
            <w:tcW w:w="1133" w:type="dxa"/>
            <w:tcBorders>
              <w:top w:val="single" w:sz="4" w:space="0" w:color="231F20"/>
              <w:left w:val="single" w:sz="4" w:space="0" w:color="231F20"/>
              <w:bottom w:val="single" w:sz="4" w:space="0" w:color="231F20"/>
              <w:right w:val="single" w:sz="4" w:space="0" w:color="231F20"/>
            </w:tcBorders>
          </w:tcPr>
          <w:p w14:paraId="0EFB1807" w14:textId="77777777" w:rsidR="00F65BCA" w:rsidRDefault="00216117">
            <w:pPr>
              <w:pStyle w:val="TableParagraph"/>
              <w:spacing w:before="35"/>
              <w:ind w:left="51" w:right="27"/>
              <w:jc w:val="center"/>
              <w:rPr>
                <w:sz w:val="15"/>
              </w:rPr>
            </w:pPr>
            <w:r>
              <w:rPr>
                <w:color w:val="231F20"/>
                <w:sz w:val="15"/>
              </w:rPr>
              <w:t>67%</w:t>
            </w:r>
          </w:p>
        </w:tc>
        <w:tc>
          <w:tcPr>
            <w:tcW w:w="1020" w:type="dxa"/>
            <w:tcBorders>
              <w:top w:val="single" w:sz="4" w:space="0" w:color="231F20"/>
              <w:left w:val="single" w:sz="4" w:space="0" w:color="231F20"/>
              <w:bottom w:val="single" w:sz="4" w:space="0" w:color="231F20"/>
              <w:right w:val="single" w:sz="4" w:space="0" w:color="231F20"/>
            </w:tcBorders>
          </w:tcPr>
          <w:p w14:paraId="51D57DDD" w14:textId="77777777" w:rsidR="00F65BCA" w:rsidRDefault="00216117">
            <w:pPr>
              <w:pStyle w:val="TableParagraph"/>
              <w:spacing w:before="35"/>
              <w:ind w:left="367"/>
              <w:rPr>
                <w:sz w:val="15"/>
              </w:rPr>
            </w:pPr>
            <w:r>
              <w:rPr>
                <w:color w:val="231F20"/>
                <w:sz w:val="15"/>
              </w:rPr>
              <w:t>59%</w:t>
            </w:r>
          </w:p>
        </w:tc>
        <w:tc>
          <w:tcPr>
            <w:tcW w:w="1133" w:type="dxa"/>
            <w:tcBorders>
              <w:top w:val="single" w:sz="4" w:space="0" w:color="231F20"/>
              <w:left w:val="single" w:sz="4" w:space="0" w:color="231F20"/>
              <w:bottom w:val="single" w:sz="4" w:space="0" w:color="231F20"/>
              <w:right w:val="single" w:sz="4" w:space="0" w:color="231F20"/>
            </w:tcBorders>
          </w:tcPr>
          <w:p w14:paraId="064A5F68" w14:textId="77777777" w:rsidR="00F65BCA" w:rsidRDefault="00216117">
            <w:pPr>
              <w:pStyle w:val="TableParagraph"/>
              <w:spacing w:before="35"/>
              <w:ind w:right="375"/>
              <w:jc w:val="right"/>
              <w:rPr>
                <w:sz w:val="15"/>
              </w:rPr>
            </w:pPr>
            <w:r>
              <w:rPr>
                <w:color w:val="231F20"/>
                <w:w w:val="95"/>
                <w:sz w:val="15"/>
              </w:rPr>
              <w:t>181%</w:t>
            </w:r>
          </w:p>
        </w:tc>
        <w:tc>
          <w:tcPr>
            <w:tcW w:w="1020" w:type="dxa"/>
            <w:tcBorders>
              <w:top w:val="single" w:sz="4" w:space="0" w:color="231F20"/>
              <w:left w:val="single" w:sz="4" w:space="0" w:color="231F20"/>
              <w:bottom w:val="single" w:sz="4" w:space="0" w:color="231F20"/>
              <w:right w:val="single" w:sz="4" w:space="0" w:color="231F20"/>
            </w:tcBorders>
          </w:tcPr>
          <w:p w14:paraId="6E3ABD45" w14:textId="77777777" w:rsidR="00F65BCA" w:rsidRDefault="00216117">
            <w:pPr>
              <w:pStyle w:val="TableParagraph"/>
              <w:spacing w:before="35"/>
              <w:ind w:left="36" w:right="8"/>
              <w:jc w:val="center"/>
              <w:rPr>
                <w:sz w:val="15"/>
              </w:rPr>
            </w:pPr>
            <w:r>
              <w:rPr>
                <w:color w:val="231F20"/>
                <w:sz w:val="15"/>
              </w:rPr>
              <w:t>79%</w:t>
            </w:r>
          </w:p>
        </w:tc>
        <w:tc>
          <w:tcPr>
            <w:tcW w:w="1133" w:type="dxa"/>
            <w:tcBorders>
              <w:top w:val="single" w:sz="4" w:space="0" w:color="231F20"/>
              <w:left w:val="single" w:sz="4" w:space="0" w:color="231F20"/>
              <w:bottom w:val="single" w:sz="4" w:space="0" w:color="231F20"/>
              <w:right w:val="single" w:sz="4" w:space="0" w:color="231F20"/>
            </w:tcBorders>
          </w:tcPr>
          <w:p w14:paraId="5E7BEB83" w14:textId="77777777" w:rsidR="00F65BCA" w:rsidRDefault="00216117">
            <w:pPr>
              <w:pStyle w:val="TableParagraph"/>
              <w:spacing w:before="35"/>
              <w:ind w:left="56" w:right="27"/>
              <w:jc w:val="center"/>
              <w:rPr>
                <w:sz w:val="15"/>
              </w:rPr>
            </w:pPr>
            <w:r>
              <w:rPr>
                <w:color w:val="231F20"/>
                <w:sz w:val="15"/>
              </w:rPr>
              <w:t>365%</w:t>
            </w:r>
          </w:p>
        </w:tc>
        <w:tc>
          <w:tcPr>
            <w:tcW w:w="963" w:type="dxa"/>
            <w:tcBorders>
              <w:top w:val="single" w:sz="4" w:space="0" w:color="231F20"/>
              <w:left w:val="single" w:sz="4" w:space="0" w:color="231F20"/>
              <w:bottom w:val="single" w:sz="4" w:space="0" w:color="231F20"/>
              <w:right w:val="single" w:sz="4" w:space="0" w:color="231F20"/>
            </w:tcBorders>
          </w:tcPr>
          <w:p w14:paraId="5306ECB6" w14:textId="77777777" w:rsidR="00F65BCA" w:rsidRDefault="00216117">
            <w:pPr>
              <w:pStyle w:val="TableParagraph"/>
              <w:spacing w:before="35"/>
              <w:ind w:left="342"/>
              <w:rPr>
                <w:sz w:val="15"/>
              </w:rPr>
            </w:pPr>
            <w:r>
              <w:rPr>
                <w:color w:val="231F20"/>
                <w:sz w:val="15"/>
              </w:rPr>
              <w:t>99%</w:t>
            </w:r>
          </w:p>
        </w:tc>
        <w:tc>
          <w:tcPr>
            <w:tcW w:w="1190" w:type="dxa"/>
            <w:tcBorders>
              <w:top w:val="single" w:sz="4" w:space="0" w:color="231F20"/>
              <w:left w:val="single" w:sz="4" w:space="0" w:color="231F20"/>
              <w:bottom w:val="single" w:sz="4" w:space="0" w:color="231F20"/>
              <w:right w:val="nil"/>
            </w:tcBorders>
          </w:tcPr>
          <w:p w14:paraId="4BB3E014" w14:textId="77777777" w:rsidR="00F65BCA" w:rsidRDefault="00216117">
            <w:pPr>
              <w:pStyle w:val="TableParagraph"/>
              <w:spacing w:before="35"/>
              <w:ind w:left="407"/>
              <w:rPr>
                <w:sz w:val="15"/>
              </w:rPr>
            </w:pPr>
            <w:r>
              <w:rPr>
                <w:color w:val="231F20"/>
                <w:sz w:val="15"/>
              </w:rPr>
              <w:t>587,5%</w:t>
            </w:r>
          </w:p>
        </w:tc>
      </w:tr>
      <w:tr w:rsidR="00F65BCA" w14:paraId="7291AF15" w14:textId="77777777">
        <w:trPr>
          <w:trHeight w:val="240"/>
        </w:trPr>
        <w:tc>
          <w:tcPr>
            <w:tcW w:w="1020" w:type="dxa"/>
            <w:tcBorders>
              <w:top w:val="single" w:sz="4" w:space="0" w:color="231F20"/>
              <w:left w:val="nil"/>
              <w:right w:val="single" w:sz="4" w:space="0" w:color="231F20"/>
            </w:tcBorders>
          </w:tcPr>
          <w:p w14:paraId="255BE13A" w14:textId="77777777" w:rsidR="00F65BCA" w:rsidRDefault="00216117">
            <w:pPr>
              <w:pStyle w:val="TableParagraph"/>
              <w:spacing w:before="35"/>
              <w:ind w:right="379"/>
              <w:jc w:val="right"/>
              <w:rPr>
                <w:sz w:val="15"/>
              </w:rPr>
            </w:pPr>
            <w:r>
              <w:rPr>
                <w:color w:val="231F20"/>
                <w:w w:val="95"/>
                <w:sz w:val="15"/>
              </w:rPr>
              <w:t>20%</w:t>
            </w:r>
          </w:p>
        </w:tc>
        <w:tc>
          <w:tcPr>
            <w:tcW w:w="1133" w:type="dxa"/>
            <w:tcBorders>
              <w:top w:val="single" w:sz="4" w:space="0" w:color="231F20"/>
              <w:left w:val="single" w:sz="4" w:space="0" w:color="231F20"/>
              <w:right w:val="single" w:sz="4" w:space="0" w:color="231F20"/>
            </w:tcBorders>
          </w:tcPr>
          <w:p w14:paraId="50DC2A89" w14:textId="77777777" w:rsidR="00F65BCA" w:rsidRDefault="00216117">
            <w:pPr>
              <w:pStyle w:val="TableParagraph"/>
              <w:spacing w:before="35"/>
              <w:ind w:left="76" w:right="15"/>
              <w:jc w:val="center"/>
              <w:rPr>
                <w:sz w:val="15"/>
              </w:rPr>
            </w:pPr>
            <w:r>
              <w:rPr>
                <w:color w:val="231F20"/>
                <w:sz w:val="15"/>
              </w:rPr>
              <w:t>20%</w:t>
            </w:r>
          </w:p>
        </w:tc>
        <w:tc>
          <w:tcPr>
            <w:tcW w:w="1020" w:type="dxa"/>
            <w:tcBorders>
              <w:top w:val="single" w:sz="4" w:space="0" w:color="231F20"/>
              <w:left w:val="single" w:sz="4" w:space="0" w:color="231F20"/>
              <w:right w:val="single" w:sz="4" w:space="0" w:color="231F20"/>
            </w:tcBorders>
          </w:tcPr>
          <w:p w14:paraId="2958BA04" w14:textId="77777777" w:rsidR="00F65BCA" w:rsidRDefault="00216117">
            <w:pPr>
              <w:pStyle w:val="TableParagraph"/>
              <w:spacing w:before="35"/>
              <w:ind w:left="366"/>
              <w:rPr>
                <w:sz w:val="15"/>
              </w:rPr>
            </w:pPr>
            <w:r>
              <w:rPr>
                <w:color w:val="231F20"/>
                <w:sz w:val="15"/>
              </w:rPr>
              <w:t>40%</w:t>
            </w:r>
          </w:p>
        </w:tc>
        <w:tc>
          <w:tcPr>
            <w:tcW w:w="1133" w:type="dxa"/>
            <w:tcBorders>
              <w:top w:val="single" w:sz="4" w:space="0" w:color="231F20"/>
              <w:left w:val="single" w:sz="4" w:space="0" w:color="231F20"/>
              <w:right w:val="single" w:sz="4" w:space="0" w:color="231F20"/>
            </w:tcBorders>
          </w:tcPr>
          <w:p w14:paraId="4BE4E2AD" w14:textId="77777777" w:rsidR="00F65BCA" w:rsidRDefault="00216117">
            <w:pPr>
              <w:pStyle w:val="TableParagraph"/>
              <w:spacing w:before="35"/>
              <w:ind w:left="51" w:right="27"/>
              <w:jc w:val="center"/>
              <w:rPr>
                <w:sz w:val="15"/>
              </w:rPr>
            </w:pPr>
            <w:r>
              <w:rPr>
                <w:color w:val="231F20"/>
                <w:sz w:val="15"/>
              </w:rPr>
              <w:t>70%</w:t>
            </w:r>
          </w:p>
        </w:tc>
        <w:tc>
          <w:tcPr>
            <w:tcW w:w="1020" w:type="dxa"/>
            <w:tcBorders>
              <w:top w:val="single" w:sz="4" w:space="0" w:color="231F20"/>
              <w:left w:val="single" w:sz="4" w:space="0" w:color="231F20"/>
              <w:right w:val="single" w:sz="4" w:space="0" w:color="231F20"/>
            </w:tcBorders>
          </w:tcPr>
          <w:p w14:paraId="26D8DBAB" w14:textId="77777777" w:rsidR="00F65BCA" w:rsidRDefault="00216117">
            <w:pPr>
              <w:pStyle w:val="TableParagraph"/>
              <w:spacing w:before="35"/>
              <w:ind w:left="367"/>
              <w:rPr>
                <w:sz w:val="15"/>
              </w:rPr>
            </w:pPr>
            <w:r>
              <w:rPr>
                <w:color w:val="231F20"/>
                <w:sz w:val="15"/>
              </w:rPr>
              <w:t>60%</w:t>
            </w:r>
          </w:p>
        </w:tc>
        <w:tc>
          <w:tcPr>
            <w:tcW w:w="1133" w:type="dxa"/>
            <w:tcBorders>
              <w:top w:val="single" w:sz="4" w:space="0" w:color="231F20"/>
              <w:left w:val="single" w:sz="4" w:space="0" w:color="231F20"/>
              <w:right w:val="single" w:sz="4" w:space="0" w:color="231F20"/>
            </w:tcBorders>
          </w:tcPr>
          <w:p w14:paraId="686FFA46" w14:textId="77777777" w:rsidR="00F65BCA" w:rsidRDefault="00216117">
            <w:pPr>
              <w:pStyle w:val="TableParagraph"/>
              <w:spacing w:before="35"/>
              <w:ind w:right="375"/>
              <w:jc w:val="right"/>
              <w:rPr>
                <w:sz w:val="15"/>
              </w:rPr>
            </w:pPr>
            <w:r>
              <w:rPr>
                <w:color w:val="231F20"/>
                <w:w w:val="95"/>
                <w:sz w:val="15"/>
              </w:rPr>
              <w:t>190%</w:t>
            </w:r>
          </w:p>
        </w:tc>
        <w:tc>
          <w:tcPr>
            <w:tcW w:w="1020" w:type="dxa"/>
            <w:tcBorders>
              <w:top w:val="single" w:sz="4" w:space="0" w:color="231F20"/>
              <w:left w:val="single" w:sz="4" w:space="0" w:color="231F20"/>
              <w:right w:val="single" w:sz="4" w:space="0" w:color="231F20"/>
            </w:tcBorders>
          </w:tcPr>
          <w:p w14:paraId="2AE13063" w14:textId="77777777" w:rsidR="00F65BCA" w:rsidRDefault="00216117">
            <w:pPr>
              <w:pStyle w:val="TableParagraph"/>
              <w:spacing w:before="35"/>
              <w:ind w:left="36" w:right="8"/>
              <w:jc w:val="center"/>
              <w:rPr>
                <w:sz w:val="15"/>
              </w:rPr>
            </w:pPr>
            <w:r>
              <w:rPr>
                <w:color w:val="231F20"/>
                <w:sz w:val="15"/>
              </w:rPr>
              <w:t>80%</w:t>
            </w:r>
          </w:p>
        </w:tc>
        <w:tc>
          <w:tcPr>
            <w:tcW w:w="1133" w:type="dxa"/>
            <w:tcBorders>
              <w:top w:val="single" w:sz="4" w:space="0" w:color="231F20"/>
              <w:left w:val="single" w:sz="4" w:space="0" w:color="231F20"/>
              <w:right w:val="single" w:sz="4" w:space="0" w:color="231F20"/>
            </w:tcBorders>
          </w:tcPr>
          <w:p w14:paraId="1C0A2174" w14:textId="77777777" w:rsidR="00F65BCA" w:rsidRDefault="00216117">
            <w:pPr>
              <w:pStyle w:val="TableParagraph"/>
              <w:spacing w:before="35"/>
              <w:ind w:left="56" w:right="27"/>
              <w:jc w:val="center"/>
              <w:rPr>
                <w:sz w:val="15"/>
              </w:rPr>
            </w:pPr>
            <w:r>
              <w:rPr>
                <w:color w:val="231F20"/>
                <w:sz w:val="15"/>
              </w:rPr>
              <w:t>375%</w:t>
            </w:r>
          </w:p>
        </w:tc>
        <w:tc>
          <w:tcPr>
            <w:tcW w:w="963" w:type="dxa"/>
            <w:tcBorders>
              <w:top w:val="single" w:sz="4" w:space="0" w:color="231F20"/>
              <w:left w:val="single" w:sz="4" w:space="0" w:color="231F20"/>
              <w:right w:val="single" w:sz="4" w:space="0" w:color="231F20"/>
            </w:tcBorders>
          </w:tcPr>
          <w:p w14:paraId="4BB230AA" w14:textId="77777777" w:rsidR="00F65BCA" w:rsidRDefault="00216117">
            <w:pPr>
              <w:pStyle w:val="TableParagraph"/>
              <w:spacing w:before="35"/>
              <w:ind w:left="342"/>
              <w:rPr>
                <w:sz w:val="15"/>
              </w:rPr>
            </w:pPr>
            <w:r>
              <w:rPr>
                <w:color w:val="231F20"/>
                <w:sz w:val="15"/>
              </w:rPr>
              <w:t>100%</w:t>
            </w:r>
          </w:p>
        </w:tc>
        <w:tc>
          <w:tcPr>
            <w:tcW w:w="1190" w:type="dxa"/>
            <w:tcBorders>
              <w:top w:val="single" w:sz="4" w:space="0" w:color="231F20"/>
              <w:left w:val="single" w:sz="4" w:space="0" w:color="231F20"/>
              <w:right w:val="nil"/>
            </w:tcBorders>
          </w:tcPr>
          <w:p w14:paraId="0E01B537" w14:textId="77777777" w:rsidR="00F65BCA" w:rsidRDefault="00216117">
            <w:pPr>
              <w:pStyle w:val="TableParagraph"/>
              <w:spacing w:before="35"/>
              <w:ind w:left="407"/>
              <w:rPr>
                <w:sz w:val="15"/>
              </w:rPr>
            </w:pPr>
            <w:r>
              <w:rPr>
                <w:color w:val="231F20"/>
                <w:sz w:val="15"/>
              </w:rPr>
              <w:t>800%</w:t>
            </w:r>
          </w:p>
        </w:tc>
      </w:tr>
    </w:tbl>
    <w:p w14:paraId="59F6A9FF" w14:textId="77777777" w:rsidR="00F65BCA" w:rsidRDefault="00F65BCA">
      <w:pPr>
        <w:rPr>
          <w:sz w:val="15"/>
        </w:rPr>
        <w:sectPr w:rsidR="00F65BCA">
          <w:type w:val="continuous"/>
          <w:pgSz w:w="11910" w:h="16840"/>
          <w:pgMar w:top="840" w:right="140" w:bottom="280" w:left="140" w:header="708" w:footer="708" w:gutter="0"/>
          <w:cols w:space="708"/>
        </w:sectPr>
      </w:pPr>
    </w:p>
    <w:p w14:paraId="66E46EBB" w14:textId="77777777" w:rsidR="00F65BCA" w:rsidRDefault="00000000">
      <w:pPr>
        <w:pStyle w:val="Zkladntext"/>
        <w:spacing w:before="75" w:line="278" w:lineRule="auto"/>
        <w:ind w:left="710" w:hanging="283"/>
        <w:jc w:val="both"/>
      </w:pPr>
      <w:r>
        <w:lastRenderedPageBreak/>
        <w:pict w14:anchorId="58BA6507">
          <v:group id="_x0000_s2191" style="position:absolute;left:0;text-align:left;margin-left:0;margin-top:807.85pt;width:595.3pt;height:34.05pt;z-index:251928576;mso-position-horizontal-relative:page;mso-position-vertical-relative:page" coordorigin=",16157" coordsize="11906,681">
            <v:rect id="_x0000_s2194" style="position:absolute;top:16157;width:11906;height:681" fillcolor="#dcddde" stroked="f"/>
            <v:shape id="_x0000_s2193" type="#_x0000_t202" style="position:absolute;left:793;top:16420;width:5475;height:234" filled="f" stroked="f">
              <v:textbox inset="0,0,0,0">
                <w:txbxContent>
                  <w:p w14:paraId="2D918B81" w14:textId="77777777" w:rsidR="00F65BCA" w:rsidRDefault="00216117">
                    <w:pPr>
                      <w:spacing w:before="3"/>
                      <w:rPr>
                        <w:sz w:val="16"/>
                      </w:rPr>
                    </w:pPr>
                    <w:r>
                      <w:rPr>
                        <w:color w:val="231F20"/>
                        <w:sz w:val="16"/>
                      </w:rPr>
                      <w:t xml:space="preserve">34 </w:t>
                    </w:r>
                    <w:r>
                      <w:rPr>
                        <w:color w:val="6D6E71"/>
                        <w:sz w:val="20"/>
                      </w:rPr>
                      <w:t xml:space="preserve">| </w:t>
                    </w:r>
                    <w:r>
                      <w:rPr>
                        <w:color w:val="231F20"/>
                        <w:sz w:val="16"/>
                      </w:rPr>
                      <w:t>Všeobecné pojistné podmínky pro pojištění vozidel VPPPMV-F-5/2025</w:t>
                    </w:r>
                  </w:p>
                </w:txbxContent>
              </v:textbox>
            </v:shape>
            <v:shape id="_x0000_s2192" type="#_x0000_t202" style="position:absolute;left:9491;top:16477;width:1414;height:164" filled="f" stroked="f">
              <v:textbox inset="0,0,0,0">
                <w:txbxContent>
                  <w:p w14:paraId="27AC5C73" w14:textId="77777777" w:rsidR="00F65BCA" w:rsidRDefault="00216117">
                    <w:pPr>
                      <w:spacing w:before="2"/>
                      <w:rPr>
                        <w:sz w:val="14"/>
                      </w:rPr>
                    </w:pPr>
                    <w:r>
                      <w:rPr>
                        <w:color w:val="231F20"/>
                        <w:sz w:val="14"/>
                      </w:rPr>
                      <w:t>6.20.012 05.2025 v04</w:t>
                    </w:r>
                  </w:p>
                </w:txbxContent>
              </v:textbox>
            </v:shape>
            <w10:wrap anchorx="page" anchory="page"/>
          </v:group>
        </w:pict>
      </w:r>
      <w:r w:rsidR="00216117">
        <w:rPr>
          <w:color w:val="231F20"/>
          <w:position w:val="1"/>
          <w:sz w:val="14"/>
          <w:shd w:val="clear" w:color="auto" w:fill="D1D3D4"/>
        </w:rPr>
        <w:t xml:space="preserve"> </w:t>
      </w:r>
      <w:r w:rsidR="00216117">
        <w:rPr>
          <w:color w:val="231F20"/>
          <w:spacing w:val="-22"/>
          <w:position w:val="1"/>
          <w:sz w:val="14"/>
          <w:shd w:val="clear" w:color="auto" w:fill="D1D3D4"/>
        </w:rPr>
        <w:t xml:space="preserve"> </w:t>
      </w:r>
      <w:r w:rsidR="00216117">
        <w:rPr>
          <w:color w:val="231F20"/>
          <w:position w:val="1"/>
          <w:sz w:val="14"/>
          <w:shd w:val="clear" w:color="auto" w:fill="D1D3D4"/>
        </w:rPr>
        <w:t>2</w:t>
      </w:r>
      <w:r w:rsidR="00216117">
        <w:rPr>
          <w:color w:val="231F20"/>
          <w:spacing w:val="8"/>
          <w:position w:val="1"/>
          <w:sz w:val="14"/>
        </w:rPr>
        <w:t xml:space="preserve"> </w:t>
      </w:r>
      <w:r w:rsidR="00216117">
        <w:rPr>
          <w:color w:val="231F20"/>
        </w:rPr>
        <w:t>V</w:t>
      </w:r>
      <w:r w:rsidR="00216117">
        <w:rPr>
          <w:color w:val="231F20"/>
          <w:spacing w:val="-21"/>
        </w:rPr>
        <w:t xml:space="preserve"> </w:t>
      </w:r>
      <w:r w:rsidR="00216117">
        <w:rPr>
          <w:color w:val="231F20"/>
        </w:rPr>
        <w:t>případě</w:t>
      </w:r>
      <w:r w:rsidR="00216117">
        <w:rPr>
          <w:color w:val="231F20"/>
          <w:spacing w:val="-21"/>
        </w:rPr>
        <w:t xml:space="preserve"> </w:t>
      </w:r>
      <w:r w:rsidR="00216117">
        <w:rPr>
          <w:color w:val="231F20"/>
        </w:rPr>
        <w:t>pojistné</w:t>
      </w:r>
      <w:r w:rsidR="00216117">
        <w:rPr>
          <w:color w:val="231F20"/>
          <w:spacing w:val="-21"/>
        </w:rPr>
        <w:t xml:space="preserve"> </w:t>
      </w:r>
      <w:r w:rsidR="00216117">
        <w:rPr>
          <w:color w:val="231F20"/>
        </w:rPr>
        <w:t>události</w:t>
      </w:r>
      <w:r w:rsidR="00216117">
        <w:rPr>
          <w:color w:val="231F20"/>
          <w:spacing w:val="-21"/>
        </w:rPr>
        <w:t xml:space="preserve"> </w:t>
      </w:r>
      <w:r w:rsidR="00216117">
        <w:rPr>
          <w:color w:val="231F20"/>
        </w:rPr>
        <w:t>vyplatí</w:t>
      </w:r>
      <w:r w:rsidR="00216117">
        <w:rPr>
          <w:color w:val="231F20"/>
          <w:spacing w:val="-21"/>
        </w:rPr>
        <w:t xml:space="preserve"> </w:t>
      </w:r>
      <w:r w:rsidR="00216117">
        <w:rPr>
          <w:color w:val="231F20"/>
        </w:rPr>
        <w:t>Pojišťovna</w:t>
      </w:r>
      <w:r w:rsidR="00216117">
        <w:rPr>
          <w:color w:val="231F20"/>
          <w:spacing w:val="-21"/>
        </w:rPr>
        <w:t xml:space="preserve"> </w:t>
      </w:r>
      <w:r w:rsidR="00216117">
        <w:rPr>
          <w:color w:val="231F20"/>
        </w:rPr>
        <w:t>tolik</w:t>
      </w:r>
      <w:r w:rsidR="00216117">
        <w:rPr>
          <w:color w:val="231F20"/>
          <w:spacing w:val="-21"/>
        </w:rPr>
        <w:t xml:space="preserve"> </w:t>
      </w:r>
      <w:r w:rsidR="00216117">
        <w:rPr>
          <w:color w:val="231F20"/>
        </w:rPr>
        <w:t>procent</w:t>
      </w:r>
      <w:r w:rsidR="00216117">
        <w:rPr>
          <w:color w:val="231F20"/>
          <w:spacing w:val="-21"/>
        </w:rPr>
        <w:t xml:space="preserve"> </w:t>
      </w:r>
      <w:r w:rsidR="00216117">
        <w:rPr>
          <w:color w:val="231F20"/>
        </w:rPr>
        <w:t>ze</w:t>
      </w:r>
      <w:r w:rsidR="00216117">
        <w:rPr>
          <w:color w:val="231F20"/>
          <w:spacing w:val="-21"/>
        </w:rPr>
        <w:t xml:space="preserve"> </w:t>
      </w:r>
      <w:r w:rsidR="00216117">
        <w:rPr>
          <w:color w:val="231F20"/>
        </w:rPr>
        <w:t>sjednané</w:t>
      </w:r>
      <w:r w:rsidR="00216117">
        <w:rPr>
          <w:color w:val="231F20"/>
          <w:spacing w:val="-21"/>
        </w:rPr>
        <w:t xml:space="preserve"> </w:t>
      </w:r>
      <w:r w:rsidR="00216117">
        <w:rPr>
          <w:color w:val="231F20"/>
        </w:rPr>
        <w:t>pojistné částky</w:t>
      </w:r>
      <w:r w:rsidR="00216117">
        <w:rPr>
          <w:color w:val="231F20"/>
          <w:spacing w:val="-14"/>
        </w:rPr>
        <w:t xml:space="preserve"> </w:t>
      </w:r>
      <w:r w:rsidR="00216117">
        <w:rPr>
          <w:color w:val="231F20"/>
        </w:rPr>
        <w:t>platné</w:t>
      </w:r>
      <w:r w:rsidR="00216117">
        <w:rPr>
          <w:color w:val="231F20"/>
          <w:spacing w:val="-13"/>
        </w:rPr>
        <w:t xml:space="preserve"> </w:t>
      </w:r>
      <w:r w:rsidR="00216117">
        <w:rPr>
          <w:color w:val="231F20"/>
        </w:rPr>
        <w:t>ke</w:t>
      </w:r>
      <w:r w:rsidR="00216117">
        <w:rPr>
          <w:color w:val="231F20"/>
          <w:spacing w:val="-13"/>
        </w:rPr>
        <w:t xml:space="preserve"> </w:t>
      </w:r>
      <w:r w:rsidR="00216117">
        <w:rPr>
          <w:color w:val="231F20"/>
        </w:rPr>
        <w:t>dni</w:t>
      </w:r>
      <w:r w:rsidR="00216117">
        <w:rPr>
          <w:color w:val="231F20"/>
          <w:spacing w:val="-13"/>
        </w:rPr>
        <w:t xml:space="preserve"> </w:t>
      </w:r>
      <w:r w:rsidR="00216117">
        <w:rPr>
          <w:color w:val="231F20"/>
        </w:rPr>
        <w:t>vzniku</w:t>
      </w:r>
      <w:r w:rsidR="00216117">
        <w:rPr>
          <w:color w:val="231F20"/>
          <w:spacing w:val="-14"/>
        </w:rPr>
        <w:t xml:space="preserve"> </w:t>
      </w:r>
      <w:r w:rsidR="00216117">
        <w:rPr>
          <w:color w:val="231F20"/>
        </w:rPr>
        <w:t>pojistné</w:t>
      </w:r>
      <w:r w:rsidR="00216117">
        <w:rPr>
          <w:color w:val="231F20"/>
          <w:spacing w:val="-13"/>
        </w:rPr>
        <w:t xml:space="preserve"> </w:t>
      </w:r>
      <w:r w:rsidR="00216117">
        <w:rPr>
          <w:color w:val="231F20"/>
        </w:rPr>
        <w:t>události</w:t>
      </w:r>
      <w:r w:rsidR="00216117">
        <w:rPr>
          <w:color w:val="231F20"/>
          <w:spacing w:val="-13"/>
        </w:rPr>
        <w:t xml:space="preserve"> </w:t>
      </w:r>
      <w:r w:rsidR="00216117">
        <w:rPr>
          <w:color w:val="231F20"/>
        </w:rPr>
        <w:t>(procento</w:t>
      </w:r>
      <w:r w:rsidR="00216117">
        <w:rPr>
          <w:color w:val="231F20"/>
          <w:spacing w:val="-13"/>
        </w:rPr>
        <w:t xml:space="preserve"> </w:t>
      </w:r>
      <w:r w:rsidR="00216117">
        <w:rPr>
          <w:color w:val="231F20"/>
        </w:rPr>
        <w:t>z</w:t>
      </w:r>
      <w:r w:rsidR="00216117">
        <w:rPr>
          <w:color w:val="231F20"/>
          <w:spacing w:val="-14"/>
        </w:rPr>
        <w:t xml:space="preserve"> </w:t>
      </w:r>
      <w:r w:rsidR="00216117">
        <w:rPr>
          <w:color w:val="231F20"/>
        </w:rPr>
        <w:t>pojistné</w:t>
      </w:r>
      <w:r w:rsidR="00216117">
        <w:rPr>
          <w:color w:val="231F20"/>
          <w:spacing w:val="-13"/>
        </w:rPr>
        <w:t xml:space="preserve"> </w:t>
      </w:r>
      <w:r w:rsidR="00216117">
        <w:rPr>
          <w:color w:val="231F20"/>
        </w:rPr>
        <w:t>částky),</w:t>
      </w:r>
      <w:r w:rsidR="00216117">
        <w:rPr>
          <w:color w:val="231F20"/>
          <w:spacing w:val="-13"/>
        </w:rPr>
        <w:t xml:space="preserve"> </w:t>
      </w:r>
      <w:r w:rsidR="00216117">
        <w:rPr>
          <w:color w:val="231F20"/>
        </w:rPr>
        <w:t>koli- ka</w:t>
      </w:r>
      <w:r w:rsidR="00216117">
        <w:rPr>
          <w:color w:val="231F20"/>
          <w:spacing w:val="-13"/>
        </w:rPr>
        <w:t xml:space="preserve"> </w:t>
      </w:r>
      <w:r w:rsidR="00216117">
        <w:rPr>
          <w:color w:val="231F20"/>
        </w:rPr>
        <w:t>procentům</w:t>
      </w:r>
      <w:r w:rsidR="00216117">
        <w:rPr>
          <w:color w:val="231F20"/>
          <w:spacing w:val="-12"/>
        </w:rPr>
        <w:t xml:space="preserve"> </w:t>
      </w:r>
      <w:r w:rsidR="00216117">
        <w:rPr>
          <w:color w:val="231F20"/>
        </w:rPr>
        <w:t>pro</w:t>
      </w:r>
      <w:r w:rsidR="00216117">
        <w:rPr>
          <w:color w:val="231F20"/>
          <w:spacing w:val="-13"/>
        </w:rPr>
        <w:t xml:space="preserve"> </w:t>
      </w:r>
      <w:r w:rsidR="00216117">
        <w:rPr>
          <w:color w:val="231F20"/>
        </w:rPr>
        <w:t>jednotlivá</w:t>
      </w:r>
      <w:r w:rsidR="00216117">
        <w:rPr>
          <w:color w:val="231F20"/>
          <w:spacing w:val="-12"/>
        </w:rPr>
        <w:t xml:space="preserve"> </w:t>
      </w:r>
      <w:r w:rsidR="00216117">
        <w:rPr>
          <w:color w:val="231F20"/>
        </w:rPr>
        <w:t>tělesná</w:t>
      </w:r>
      <w:r w:rsidR="00216117">
        <w:rPr>
          <w:color w:val="231F20"/>
          <w:spacing w:val="-13"/>
        </w:rPr>
        <w:t xml:space="preserve"> </w:t>
      </w:r>
      <w:r w:rsidR="00216117">
        <w:rPr>
          <w:color w:val="231F20"/>
        </w:rPr>
        <w:t>poškození</w:t>
      </w:r>
      <w:r w:rsidR="00216117">
        <w:rPr>
          <w:color w:val="231F20"/>
          <w:spacing w:val="-13"/>
        </w:rPr>
        <w:t xml:space="preserve"> </w:t>
      </w:r>
      <w:r w:rsidR="00216117">
        <w:rPr>
          <w:color w:val="231F20"/>
        </w:rPr>
        <w:t>odpovídá</w:t>
      </w:r>
      <w:r w:rsidR="00216117">
        <w:rPr>
          <w:color w:val="231F20"/>
          <w:spacing w:val="-12"/>
        </w:rPr>
        <w:t xml:space="preserve"> </w:t>
      </w:r>
      <w:r w:rsidR="00216117">
        <w:rPr>
          <w:color w:val="231F20"/>
        </w:rPr>
        <w:t>podle</w:t>
      </w:r>
      <w:r w:rsidR="00216117">
        <w:rPr>
          <w:color w:val="231F20"/>
          <w:spacing w:val="-13"/>
        </w:rPr>
        <w:t xml:space="preserve"> </w:t>
      </w:r>
      <w:r w:rsidR="00216117">
        <w:rPr>
          <w:color w:val="231F20"/>
        </w:rPr>
        <w:t>Oceňovacích tabulek</w:t>
      </w:r>
      <w:r w:rsidR="00216117">
        <w:rPr>
          <w:color w:val="231F20"/>
          <w:spacing w:val="-14"/>
        </w:rPr>
        <w:t xml:space="preserve"> </w:t>
      </w:r>
      <w:r w:rsidR="00216117">
        <w:rPr>
          <w:color w:val="231F20"/>
        </w:rPr>
        <w:t>B</w:t>
      </w:r>
      <w:r w:rsidR="00216117">
        <w:rPr>
          <w:color w:val="231F20"/>
          <w:spacing w:val="-14"/>
        </w:rPr>
        <w:t xml:space="preserve"> </w:t>
      </w:r>
      <w:r w:rsidR="00216117">
        <w:rPr>
          <w:color w:val="231F20"/>
        </w:rPr>
        <w:t>rozsah</w:t>
      </w:r>
      <w:r w:rsidR="00216117">
        <w:rPr>
          <w:color w:val="231F20"/>
          <w:spacing w:val="-14"/>
        </w:rPr>
        <w:t xml:space="preserve"> </w:t>
      </w:r>
      <w:r w:rsidR="00216117">
        <w:rPr>
          <w:color w:val="231F20"/>
        </w:rPr>
        <w:t>trvalých</w:t>
      </w:r>
      <w:r w:rsidR="00216117">
        <w:rPr>
          <w:color w:val="231F20"/>
          <w:spacing w:val="-14"/>
        </w:rPr>
        <w:t xml:space="preserve"> </w:t>
      </w:r>
      <w:r w:rsidR="00216117">
        <w:rPr>
          <w:color w:val="231F20"/>
        </w:rPr>
        <w:t>následků</w:t>
      </w:r>
      <w:r w:rsidR="00216117">
        <w:rPr>
          <w:color w:val="231F20"/>
          <w:spacing w:val="-14"/>
        </w:rPr>
        <w:t xml:space="preserve"> </w:t>
      </w:r>
      <w:r w:rsidR="00216117">
        <w:rPr>
          <w:color w:val="231F20"/>
        </w:rPr>
        <w:t>po</w:t>
      </w:r>
      <w:r w:rsidR="00216117">
        <w:rPr>
          <w:color w:val="231F20"/>
          <w:spacing w:val="-14"/>
        </w:rPr>
        <w:t xml:space="preserve"> </w:t>
      </w:r>
      <w:r w:rsidR="00216117">
        <w:rPr>
          <w:color w:val="231F20"/>
        </w:rPr>
        <w:t>jejich</w:t>
      </w:r>
      <w:r w:rsidR="00216117">
        <w:rPr>
          <w:color w:val="231F20"/>
          <w:spacing w:val="-14"/>
        </w:rPr>
        <w:t xml:space="preserve"> </w:t>
      </w:r>
      <w:r w:rsidR="00216117">
        <w:rPr>
          <w:color w:val="231F20"/>
        </w:rPr>
        <w:t>ustálení</w:t>
      </w:r>
      <w:r w:rsidR="00216117">
        <w:rPr>
          <w:color w:val="231F20"/>
          <w:spacing w:val="-14"/>
        </w:rPr>
        <w:t xml:space="preserve"> </w:t>
      </w:r>
      <w:r w:rsidR="00216117">
        <w:rPr>
          <w:color w:val="231F20"/>
        </w:rPr>
        <w:t>(procento</w:t>
      </w:r>
      <w:r w:rsidR="00216117">
        <w:rPr>
          <w:color w:val="231F20"/>
          <w:spacing w:val="-14"/>
        </w:rPr>
        <w:t xml:space="preserve"> </w:t>
      </w:r>
      <w:r w:rsidR="00216117">
        <w:rPr>
          <w:color w:val="231F20"/>
        </w:rPr>
        <w:t>poškození).</w:t>
      </w:r>
    </w:p>
    <w:p w14:paraId="6478E6A1" w14:textId="77777777" w:rsidR="00F65BCA" w:rsidRDefault="00000000">
      <w:pPr>
        <w:pStyle w:val="Zkladntext"/>
        <w:spacing w:line="172" w:lineRule="exact"/>
        <w:ind w:left="710"/>
        <w:jc w:val="both"/>
      </w:pPr>
      <w:r>
        <w:pict w14:anchorId="01C29537">
          <v:shape id="_x0000_s2190" type="#_x0000_t202" style="position:absolute;left:0;text-align:left;margin-left:28.4pt;margin-top:0;width:9.65pt;height:18.55pt;z-index:251929600;mso-position-horizontal-relative:page" fillcolor="#d1d3d4" stroked="f">
            <v:textbox inset="0,0,0,0">
              <w:txbxContent>
                <w:p w14:paraId="756DA7B5" w14:textId="77777777" w:rsidR="00F65BCA" w:rsidRDefault="00216117">
                  <w:pPr>
                    <w:spacing w:before="2"/>
                    <w:ind w:left="56"/>
                    <w:rPr>
                      <w:sz w:val="14"/>
                    </w:rPr>
                  </w:pPr>
                  <w:r>
                    <w:rPr>
                      <w:color w:val="231F20"/>
                      <w:w w:val="99"/>
                      <w:sz w:val="14"/>
                    </w:rPr>
                    <w:t>3</w:t>
                  </w:r>
                </w:p>
                <w:p w14:paraId="0AC7BDC6" w14:textId="77777777" w:rsidR="00F65BCA" w:rsidRDefault="00216117">
                  <w:pPr>
                    <w:spacing w:before="39"/>
                    <w:ind w:left="56"/>
                    <w:rPr>
                      <w:sz w:val="14"/>
                    </w:rPr>
                  </w:pPr>
                  <w:r>
                    <w:rPr>
                      <w:color w:val="231F20"/>
                      <w:w w:val="99"/>
                      <w:sz w:val="14"/>
                    </w:rPr>
                    <w:t>4</w:t>
                  </w:r>
                </w:p>
              </w:txbxContent>
            </v:textbox>
            <w10:wrap anchorx="page"/>
          </v:shape>
        </w:pict>
      </w:r>
      <w:r w:rsidR="00216117">
        <w:rPr>
          <w:color w:val="231F20"/>
        </w:rPr>
        <w:t>Právo na pojistné plnění má pojištěný.</w:t>
      </w:r>
    </w:p>
    <w:p w14:paraId="0D34A182" w14:textId="77777777" w:rsidR="00F65BCA" w:rsidRDefault="00216117">
      <w:pPr>
        <w:pStyle w:val="Zkladntext"/>
        <w:spacing w:before="27" w:line="278" w:lineRule="auto"/>
        <w:ind w:left="710" w:hanging="1"/>
        <w:jc w:val="both"/>
      </w:pPr>
      <w:r>
        <w:rPr>
          <w:color w:val="231F20"/>
        </w:rPr>
        <w:t>V</w:t>
      </w:r>
      <w:r>
        <w:rPr>
          <w:color w:val="231F20"/>
          <w:spacing w:val="-3"/>
        </w:rPr>
        <w:t xml:space="preserve"> </w:t>
      </w:r>
      <w:r>
        <w:rPr>
          <w:color w:val="231F20"/>
        </w:rPr>
        <w:t>případě,</w:t>
      </w:r>
      <w:r>
        <w:rPr>
          <w:color w:val="231F20"/>
          <w:spacing w:val="-3"/>
        </w:rPr>
        <w:t xml:space="preserve"> </w:t>
      </w:r>
      <w:r>
        <w:rPr>
          <w:color w:val="231F20"/>
        </w:rPr>
        <w:t>že</w:t>
      </w:r>
      <w:r>
        <w:rPr>
          <w:color w:val="231F20"/>
          <w:spacing w:val="-3"/>
        </w:rPr>
        <w:t xml:space="preserve"> </w:t>
      </w:r>
      <w:r>
        <w:rPr>
          <w:color w:val="231F20"/>
        </w:rPr>
        <w:t>se</w:t>
      </w:r>
      <w:r>
        <w:rPr>
          <w:color w:val="231F20"/>
          <w:spacing w:val="-3"/>
        </w:rPr>
        <w:t xml:space="preserve"> </w:t>
      </w:r>
      <w:r>
        <w:rPr>
          <w:color w:val="231F20"/>
        </w:rPr>
        <w:t>trvalé</w:t>
      </w:r>
      <w:r>
        <w:rPr>
          <w:color w:val="231F20"/>
          <w:spacing w:val="-3"/>
        </w:rPr>
        <w:t xml:space="preserve"> </w:t>
      </w:r>
      <w:r>
        <w:rPr>
          <w:color w:val="231F20"/>
        </w:rPr>
        <w:t>následky</w:t>
      </w:r>
      <w:r>
        <w:rPr>
          <w:color w:val="231F20"/>
          <w:spacing w:val="-3"/>
        </w:rPr>
        <w:t xml:space="preserve"> </w:t>
      </w:r>
      <w:r>
        <w:rPr>
          <w:color w:val="231F20"/>
        </w:rPr>
        <w:t>neustálí</w:t>
      </w:r>
      <w:r>
        <w:rPr>
          <w:color w:val="231F20"/>
          <w:spacing w:val="-2"/>
        </w:rPr>
        <w:t xml:space="preserve"> </w:t>
      </w:r>
      <w:r>
        <w:rPr>
          <w:color w:val="231F20"/>
        </w:rPr>
        <w:t>do</w:t>
      </w:r>
      <w:r>
        <w:rPr>
          <w:color w:val="231F20"/>
          <w:spacing w:val="-3"/>
        </w:rPr>
        <w:t xml:space="preserve"> </w:t>
      </w:r>
      <w:r>
        <w:rPr>
          <w:color w:val="231F20"/>
        </w:rPr>
        <w:t>3</w:t>
      </w:r>
      <w:r>
        <w:rPr>
          <w:color w:val="231F20"/>
          <w:spacing w:val="-3"/>
        </w:rPr>
        <w:t xml:space="preserve"> </w:t>
      </w:r>
      <w:r>
        <w:rPr>
          <w:color w:val="231F20"/>
        </w:rPr>
        <w:t>let</w:t>
      </w:r>
      <w:r>
        <w:rPr>
          <w:color w:val="231F20"/>
          <w:spacing w:val="-3"/>
        </w:rPr>
        <w:t xml:space="preserve"> </w:t>
      </w:r>
      <w:r>
        <w:rPr>
          <w:color w:val="231F20"/>
        </w:rPr>
        <w:t>ode</w:t>
      </w:r>
      <w:r>
        <w:rPr>
          <w:color w:val="231F20"/>
          <w:spacing w:val="-3"/>
        </w:rPr>
        <w:t xml:space="preserve"> </w:t>
      </w:r>
      <w:r>
        <w:rPr>
          <w:color w:val="231F20"/>
        </w:rPr>
        <w:t>dne</w:t>
      </w:r>
      <w:r>
        <w:rPr>
          <w:color w:val="231F20"/>
          <w:spacing w:val="-3"/>
        </w:rPr>
        <w:t xml:space="preserve"> </w:t>
      </w:r>
      <w:r>
        <w:rPr>
          <w:color w:val="231F20"/>
        </w:rPr>
        <w:t>úrazu,</w:t>
      </w:r>
      <w:r>
        <w:rPr>
          <w:color w:val="231F20"/>
          <w:spacing w:val="-2"/>
        </w:rPr>
        <w:t xml:space="preserve"> </w:t>
      </w:r>
      <w:r>
        <w:rPr>
          <w:color w:val="231F20"/>
        </w:rPr>
        <w:t>vyplatí</w:t>
      </w:r>
      <w:r>
        <w:rPr>
          <w:color w:val="231F20"/>
          <w:spacing w:val="-3"/>
        </w:rPr>
        <w:t xml:space="preserve"> </w:t>
      </w:r>
      <w:r>
        <w:rPr>
          <w:color w:val="231F20"/>
          <w:spacing w:val="-4"/>
        </w:rPr>
        <w:t xml:space="preserve">Po- </w:t>
      </w:r>
      <w:r>
        <w:rPr>
          <w:color w:val="231F20"/>
        </w:rPr>
        <w:t>jišťovna</w:t>
      </w:r>
      <w:r>
        <w:rPr>
          <w:color w:val="231F20"/>
          <w:spacing w:val="-18"/>
        </w:rPr>
        <w:t xml:space="preserve"> </w:t>
      </w:r>
      <w:r>
        <w:rPr>
          <w:color w:val="231F20"/>
        </w:rPr>
        <w:t>částku</w:t>
      </w:r>
      <w:r>
        <w:rPr>
          <w:color w:val="231F20"/>
          <w:spacing w:val="-18"/>
        </w:rPr>
        <w:t xml:space="preserve"> </w:t>
      </w:r>
      <w:r>
        <w:rPr>
          <w:color w:val="231F20"/>
        </w:rPr>
        <w:t>odpovídající</w:t>
      </w:r>
      <w:r>
        <w:rPr>
          <w:color w:val="231F20"/>
          <w:spacing w:val="-18"/>
        </w:rPr>
        <w:t xml:space="preserve"> </w:t>
      </w:r>
      <w:r>
        <w:rPr>
          <w:color w:val="231F20"/>
        </w:rPr>
        <w:t>procentu</w:t>
      </w:r>
      <w:r>
        <w:rPr>
          <w:color w:val="231F20"/>
          <w:spacing w:val="-18"/>
        </w:rPr>
        <w:t xml:space="preserve"> </w:t>
      </w:r>
      <w:r>
        <w:rPr>
          <w:color w:val="231F20"/>
        </w:rPr>
        <w:t>poškození</w:t>
      </w:r>
      <w:r>
        <w:rPr>
          <w:color w:val="231F20"/>
          <w:spacing w:val="-18"/>
        </w:rPr>
        <w:t xml:space="preserve"> </w:t>
      </w:r>
      <w:r>
        <w:rPr>
          <w:color w:val="231F20"/>
        </w:rPr>
        <w:t>na</w:t>
      </w:r>
      <w:r>
        <w:rPr>
          <w:color w:val="231F20"/>
          <w:spacing w:val="-18"/>
        </w:rPr>
        <w:t xml:space="preserve"> </w:t>
      </w:r>
      <w:r>
        <w:rPr>
          <w:color w:val="231F20"/>
        </w:rPr>
        <w:t>konci</w:t>
      </w:r>
      <w:r>
        <w:rPr>
          <w:color w:val="231F20"/>
          <w:spacing w:val="-18"/>
        </w:rPr>
        <w:t xml:space="preserve"> </w:t>
      </w:r>
      <w:r>
        <w:rPr>
          <w:color w:val="231F20"/>
        </w:rPr>
        <w:t>této</w:t>
      </w:r>
      <w:r>
        <w:rPr>
          <w:color w:val="231F20"/>
          <w:spacing w:val="-18"/>
        </w:rPr>
        <w:t xml:space="preserve"> </w:t>
      </w:r>
      <w:r>
        <w:rPr>
          <w:color w:val="231F20"/>
          <w:spacing w:val="-3"/>
        </w:rPr>
        <w:t>lhůty.</w:t>
      </w:r>
      <w:r>
        <w:rPr>
          <w:color w:val="231F20"/>
          <w:spacing w:val="-18"/>
        </w:rPr>
        <w:t xml:space="preserve"> </w:t>
      </w:r>
      <w:r>
        <w:rPr>
          <w:color w:val="231F20"/>
        </w:rPr>
        <w:t>Stanoví-li Oceňovací</w:t>
      </w:r>
      <w:r>
        <w:rPr>
          <w:color w:val="231F20"/>
          <w:spacing w:val="-12"/>
        </w:rPr>
        <w:t xml:space="preserve"> </w:t>
      </w:r>
      <w:r>
        <w:rPr>
          <w:color w:val="231F20"/>
        </w:rPr>
        <w:t>tabulky</w:t>
      </w:r>
      <w:r>
        <w:rPr>
          <w:color w:val="231F20"/>
          <w:spacing w:val="-12"/>
        </w:rPr>
        <w:t xml:space="preserve"> </w:t>
      </w:r>
      <w:r>
        <w:rPr>
          <w:color w:val="231F20"/>
        </w:rPr>
        <w:t>B</w:t>
      </w:r>
      <w:r>
        <w:rPr>
          <w:color w:val="231F20"/>
          <w:spacing w:val="-11"/>
        </w:rPr>
        <w:t xml:space="preserve"> </w:t>
      </w:r>
      <w:r>
        <w:rPr>
          <w:color w:val="231F20"/>
        </w:rPr>
        <w:t>procentní</w:t>
      </w:r>
      <w:r>
        <w:rPr>
          <w:color w:val="231F20"/>
          <w:spacing w:val="-12"/>
        </w:rPr>
        <w:t xml:space="preserve"> </w:t>
      </w:r>
      <w:r>
        <w:rPr>
          <w:color w:val="231F20"/>
        </w:rPr>
        <w:t>rozpětí,</w:t>
      </w:r>
      <w:r>
        <w:rPr>
          <w:color w:val="231F20"/>
          <w:spacing w:val="-11"/>
        </w:rPr>
        <w:t xml:space="preserve"> </w:t>
      </w:r>
      <w:r>
        <w:rPr>
          <w:color w:val="231F20"/>
        </w:rPr>
        <w:t>určí</w:t>
      </w:r>
      <w:r>
        <w:rPr>
          <w:color w:val="231F20"/>
          <w:spacing w:val="-12"/>
        </w:rPr>
        <w:t xml:space="preserve"> </w:t>
      </w:r>
      <w:r>
        <w:rPr>
          <w:color w:val="231F20"/>
        </w:rPr>
        <w:t>Pojišťovna</w:t>
      </w:r>
      <w:r>
        <w:rPr>
          <w:color w:val="231F20"/>
          <w:spacing w:val="-11"/>
        </w:rPr>
        <w:t xml:space="preserve"> </w:t>
      </w:r>
      <w:r>
        <w:rPr>
          <w:color w:val="231F20"/>
        </w:rPr>
        <w:t>výši</w:t>
      </w:r>
      <w:r>
        <w:rPr>
          <w:color w:val="231F20"/>
          <w:spacing w:val="-12"/>
        </w:rPr>
        <w:t xml:space="preserve"> </w:t>
      </w:r>
      <w:r>
        <w:rPr>
          <w:color w:val="231F20"/>
        </w:rPr>
        <w:t>pojistného</w:t>
      </w:r>
      <w:r>
        <w:rPr>
          <w:color w:val="231F20"/>
          <w:spacing w:val="-11"/>
        </w:rPr>
        <w:t xml:space="preserve"> </w:t>
      </w:r>
      <w:r>
        <w:rPr>
          <w:color w:val="231F20"/>
          <w:spacing w:val="-3"/>
        </w:rPr>
        <w:t xml:space="preserve">plnění </w:t>
      </w:r>
      <w:r>
        <w:rPr>
          <w:color w:val="231F20"/>
        </w:rPr>
        <w:t>tak,</w:t>
      </w:r>
      <w:r>
        <w:rPr>
          <w:color w:val="231F20"/>
          <w:spacing w:val="-10"/>
        </w:rPr>
        <w:t xml:space="preserve"> </w:t>
      </w:r>
      <w:r>
        <w:rPr>
          <w:color w:val="231F20"/>
        </w:rPr>
        <w:t>aby</w:t>
      </w:r>
      <w:r>
        <w:rPr>
          <w:color w:val="231F20"/>
          <w:spacing w:val="-10"/>
        </w:rPr>
        <w:t xml:space="preserve"> </w:t>
      </w:r>
      <w:r>
        <w:rPr>
          <w:color w:val="231F20"/>
        </w:rPr>
        <w:t>v</w:t>
      </w:r>
      <w:r>
        <w:rPr>
          <w:color w:val="231F20"/>
          <w:spacing w:val="-9"/>
        </w:rPr>
        <w:t xml:space="preserve"> </w:t>
      </w:r>
      <w:r>
        <w:rPr>
          <w:color w:val="231F20"/>
        </w:rPr>
        <w:t>rámci</w:t>
      </w:r>
      <w:r>
        <w:rPr>
          <w:color w:val="231F20"/>
          <w:spacing w:val="-10"/>
        </w:rPr>
        <w:t xml:space="preserve"> </w:t>
      </w:r>
      <w:r>
        <w:rPr>
          <w:color w:val="231F20"/>
        </w:rPr>
        <w:t>daného</w:t>
      </w:r>
      <w:r>
        <w:rPr>
          <w:color w:val="231F20"/>
          <w:spacing w:val="-10"/>
        </w:rPr>
        <w:t xml:space="preserve"> </w:t>
      </w:r>
      <w:r>
        <w:rPr>
          <w:color w:val="231F20"/>
        </w:rPr>
        <w:t>rozpětí</w:t>
      </w:r>
      <w:r>
        <w:rPr>
          <w:color w:val="231F20"/>
          <w:spacing w:val="-9"/>
        </w:rPr>
        <w:t xml:space="preserve"> </w:t>
      </w:r>
      <w:r>
        <w:rPr>
          <w:color w:val="231F20"/>
        </w:rPr>
        <w:t>odpovídalo</w:t>
      </w:r>
      <w:r>
        <w:rPr>
          <w:color w:val="231F20"/>
          <w:spacing w:val="-10"/>
        </w:rPr>
        <w:t xml:space="preserve"> </w:t>
      </w:r>
      <w:r>
        <w:rPr>
          <w:color w:val="231F20"/>
        </w:rPr>
        <w:t>pojistné</w:t>
      </w:r>
      <w:r>
        <w:rPr>
          <w:color w:val="231F20"/>
          <w:spacing w:val="-9"/>
        </w:rPr>
        <w:t xml:space="preserve"> </w:t>
      </w:r>
      <w:r>
        <w:rPr>
          <w:color w:val="231F20"/>
        </w:rPr>
        <w:t>plnění</w:t>
      </w:r>
      <w:r>
        <w:rPr>
          <w:color w:val="231F20"/>
          <w:spacing w:val="-10"/>
        </w:rPr>
        <w:t xml:space="preserve"> </w:t>
      </w:r>
      <w:r>
        <w:rPr>
          <w:color w:val="231F20"/>
        </w:rPr>
        <w:t>povaze</w:t>
      </w:r>
      <w:r>
        <w:rPr>
          <w:color w:val="231F20"/>
          <w:spacing w:val="-10"/>
        </w:rPr>
        <w:t xml:space="preserve"> </w:t>
      </w:r>
      <w:r>
        <w:rPr>
          <w:color w:val="231F20"/>
        </w:rPr>
        <w:t>a</w:t>
      </w:r>
      <w:r>
        <w:rPr>
          <w:color w:val="231F20"/>
          <w:spacing w:val="-9"/>
        </w:rPr>
        <w:t xml:space="preserve"> </w:t>
      </w:r>
      <w:r>
        <w:rPr>
          <w:color w:val="231F20"/>
          <w:spacing w:val="-3"/>
        </w:rPr>
        <w:t xml:space="preserve">rozsahu </w:t>
      </w:r>
      <w:r>
        <w:rPr>
          <w:color w:val="231F20"/>
        </w:rPr>
        <w:t>tělesného poškození způsobeného</w:t>
      </w:r>
      <w:r>
        <w:rPr>
          <w:color w:val="231F20"/>
          <w:spacing w:val="-6"/>
        </w:rPr>
        <w:t xml:space="preserve"> </w:t>
      </w:r>
      <w:r>
        <w:rPr>
          <w:color w:val="231F20"/>
        </w:rPr>
        <w:t>úrazem.</w:t>
      </w:r>
    </w:p>
    <w:p w14:paraId="3724A4BC"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5</w:t>
      </w:r>
      <w:r>
        <w:rPr>
          <w:color w:val="231F20"/>
          <w:position w:val="1"/>
          <w:sz w:val="14"/>
        </w:rPr>
        <w:t xml:space="preserve"> </w:t>
      </w:r>
      <w:r>
        <w:rPr>
          <w:color w:val="231F20"/>
        </w:rPr>
        <w:t xml:space="preserve">Pojišťovna vyplatí pojistné plnění pouze </w:t>
      </w:r>
      <w:r>
        <w:rPr>
          <w:color w:val="231F20"/>
          <w:spacing w:val="-3"/>
        </w:rPr>
        <w:t xml:space="preserve">tehdy, </w:t>
      </w:r>
      <w:r>
        <w:rPr>
          <w:color w:val="231F20"/>
        </w:rPr>
        <w:t xml:space="preserve">pokud celkové hodnocení </w:t>
      </w:r>
      <w:r>
        <w:rPr>
          <w:color w:val="231F20"/>
          <w:spacing w:val="-9"/>
        </w:rPr>
        <w:t xml:space="preserve">tr- </w:t>
      </w:r>
      <w:r>
        <w:rPr>
          <w:color w:val="231F20"/>
        </w:rPr>
        <w:t>valých následků úrazu (po případném snížení podle bodu 8 tohoto článku) dosáhne</w:t>
      </w:r>
      <w:r>
        <w:rPr>
          <w:color w:val="231F20"/>
          <w:spacing w:val="-12"/>
        </w:rPr>
        <w:t xml:space="preserve"> </w:t>
      </w:r>
      <w:r>
        <w:rPr>
          <w:color w:val="231F20"/>
        </w:rPr>
        <w:t>alespoň</w:t>
      </w:r>
      <w:r>
        <w:rPr>
          <w:color w:val="231F20"/>
          <w:spacing w:val="-12"/>
        </w:rPr>
        <w:t xml:space="preserve"> </w:t>
      </w:r>
      <w:r>
        <w:rPr>
          <w:color w:val="231F20"/>
        </w:rPr>
        <w:t>výše</w:t>
      </w:r>
      <w:r>
        <w:rPr>
          <w:color w:val="231F20"/>
          <w:spacing w:val="-12"/>
        </w:rPr>
        <w:t xml:space="preserve"> </w:t>
      </w:r>
      <w:r>
        <w:rPr>
          <w:color w:val="231F20"/>
        </w:rPr>
        <w:t>0,01</w:t>
      </w:r>
      <w:r>
        <w:rPr>
          <w:color w:val="231F20"/>
          <w:spacing w:val="-12"/>
        </w:rPr>
        <w:t xml:space="preserve"> </w:t>
      </w:r>
      <w:r>
        <w:rPr>
          <w:color w:val="231F20"/>
        </w:rPr>
        <w:t>%.</w:t>
      </w:r>
      <w:r>
        <w:rPr>
          <w:color w:val="231F20"/>
          <w:spacing w:val="-12"/>
        </w:rPr>
        <w:t xml:space="preserve"> </w:t>
      </w:r>
      <w:r>
        <w:rPr>
          <w:color w:val="231F20"/>
        </w:rPr>
        <w:t>Výše</w:t>
      </w:r>
      <w:r>
        <w:rPr>
          <w:color w:val="231F20"/>
          <w:spacing w:val="-12"/>
        </w:rPr>
        <w:t xml:space="preserve"> </w:t>
      </w:r>
      <w:r>
        <w:rPr>
          <w:color w:val="231F20"/>
        </w:rPr>
        <w:t>tohoto</w:t>
      </w:r>
      <w:r>
        <w:rPr>
          <w:color w:val="231F20"/>
          <w:spacing w:val="-12"/>
        </w:rPr>
        <w:t xml:space="preserve"> </w:t>
      </w:r>
      <w:r>
        <w:rPr>
          <w:color w:val="231F20"/>
        </w:rPr>
        <w:t>sjednaného</w:t>
      </w:r>
      <w:r>
        <w:rPr>
          <w:color w:val="231F20"/>
          <w:spacing w:val="-12"/>
        </w:rPr>
        <w:t xml:space="preserve"> </w:t>
      </w:r>
      <w:r>
        <w:rPr>
          <w:color w:val="231F20"/>
        </w:rPr>
        <w:t>procenta</w:t>
      </w:r>
      <w:r>
        <w:rPr>
          <w:color w:val="231F20"/>
          <w:spacing w:val="-12"/>
        </w:rPr>
        <w:t xml:space="preserve"> </w:t>
      </w:r>
      <w:r>
        <w:rPr>
          <w:color w:val="231F20"/>
        </w:rPr>
        <w:t>se</w:t>
      </w:r>
      <w:r>
        <w:rPr>
          <w:color w:val="231F20"/>
          <w:spacing w:val="-12"/>
        </w:rPr>
        <w:t xml:space="preserve"> </w:t>
      </w:r>
      <w:r>
        <w:rPr>
          <w:color w:val="231F20"/>
          <w:spacing w:val="-3"/>
        </w:rPr>
        <w:t xml:space="preserve">vztahuje </w:t>
      </w:r>
      <w:r>
        <w:rPr>
          <w:color w:val="231F20"/>
        </w:rPr>
        <w:t>na každou pojistnou událost</w:t>
      </w:r>
      <w:r>
        <w:rPr>
          <w:color w:val="231F20"/>
          <w:spacing w:val="-5"/>
        </w:rPr>
        <w:t xml:space="preserve"> </w:t>
      </w:r>
      <w:r>
        <w:rPr>
          <w:color w:val="231F20"/>
        </w:rPr>
        <w:t>samostatně.</w:t>
      </w:r>
    </w:p>
    <w:p w14:paraId="13D09618"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6</w:t>
      </w:r>
      <w:r>
        <w:rPr>
          <w:color w:val="231F20"/>
          <w:spacing w:val="24"/>
          <w:position w:val="1"/>
          <w:sz w:val="14"/>
        </w:rPr>
        <w:t xml:space="preserve"> </w:t>
      </w:r>
      <w:r>
        <w:rPr>
          <w:color w:val="231F20"/>
        </w:rPr>
        <w:t>Pokud</w:t>
      </w:r>
      <w:r>
        <w:rPr>
          <w:color w:val="231F20"/>
          <w:spacing w:val="-12"/>
        </w:rPr>
        <w:t xml:space="preserve"> </w:t>
      </w:r>
      <w:r>
        <w:rPr>
          <w:color w:val="231F20"/>
        </w:rPr>
        <w:t>po</w:t>
      </w:r>
      <w:r>
        <w:rPr>
          <w:color w:val="231F20"/>
          <w:spacing w:val="-12"/>
        </w:rPr>
        <w:t xml:space="preserve"> </w:t>
      </w:r>
      <w:r>
        <w:rPr>
          <w:color w:val="231F20"/>
        </w:rPr>
        <w:t>uplynutí</w:t>
      </w:r>
      <w:r>
        <w:rPr>
          <w:color w:val="231F20"/>
          <w:spacing w:val="-12"/>
        </w:rPr>
        <w:t xml:space="preserve"> </w:t>
      </w:r>
      <w:r>
        <w:rPr>
          <w:color w:val="231F20"/>
        </w:rPr>
        <w:t>6</w:t>
      </w:r>
      <w:r>
        <w:rPr>
          <w:color w:val="231F20"/>
          <w:spacing w:val="-12"/>
        </w:rPr>
        <w:t xml:space="preserve"> </w:t>
      </w:r>
      <w:r>
        <w:rPr>
          <w:color w:val="231F20"/>
        </w:rPr>
        <w:t>měsíců</w:t>
      </w:r>
      <w:r>
        <w:rPr>
          <w:color w:val="231F20"/>
          <w:spacing w:val="-12"/>
        </w:rPr>
        <w:t xml:space="preserve"> </w:t>
      </w:r>
      <w:r>
        <w:rPr>
          <w:color w:val="231F20"/>
        </w:rPr>
        <w:t>ode</w:t>
      </w:r>
      <w:r>
        <w:rPr>
          <w:color w:val="231F20"/>
          <w:spacing w:val="-11"/>
        </w:rPr>
        <w:t xml:space="preserve"> </w:t>
      </w:r>
      <w:r>
        <w:rPr>
          <w:color w:val="231F20"/>
        </w:rPr>
        <w:t>dne</w:t>
      </w:r>
      <w:r>
        <w:rPr>
          <w:color w:val="231F20"/>
          <w:spacing w:val="-12"/>
        </w:rPr>
        <w:t xml:space="preserve"> </w:t>
      </w:r>
      <w:r>
        <w:rPr>
          <w:color w:val="231F20"/>
        </w:rPr>
        <w:t>úrazu</w:t>
      </w:r>
      <w:r>
        <w:rPr>
          <w:color w:val="231F20"/>
          <w:spacing w:val="-12"/>
        </w:rPr>
        <w:t xml:space="preserve"> </w:t>
      </w:r>
      <w:r>
        <w:rPr>
          <w:color w:val="231F20"/>
        </w:rPr>
        <w:t>nebyly</w:t>
      </w:r>
      <w:r>
        <w:rPr>
          <w:color w:val="231F20"/>
          <w:spacing w:val="-12"/>
        </w:rPr>
        <w:t xml:space="preserve"> </w:t>
      </w:r>
      <w:r>
        <w:rPr>
          <w:color w:val="231F20"/>
        </w:rPr>
        <w:t>trvalé</w:t>
      </w:r>
      <w:r>
        <w:rPr>
          <w:color w:val="231F20"/>
          <w:spacing w:val="-12"/>
        </w:rPr>
        <w:t xml:space="preserve"> </w:t>
      </w:r>
      <w:r>
        <w:rPr>
          <w:color w:val="231F20"/>
        </w:rPr>
        <w:t>následky</w:t>
      </w:r>
      <w:r>
        <w:rPr>
          <w:color w:val="231F20"/>
          <w:spacing w:val="-12"/>
        </w:rPr>
        <w:t xml:space="preserve"> </w:t>
      </w:r>
      <w:r>
        <w:rPr>
          <w:color w:val="231F20"/>
        </w:rPr>
        <w:t>ustáleny,</w:t>
      </w:r>
      <w:r>
        <w:rPr>
          <w:color w:val="231F20"/>
          <w:spacing w:val="-12"/>
        </w:rPr>
        <w:t xml:space="preserve"> </w:t>
      </w:r>
      <w:r>
        <w:rPr>
          <w:color w:val="231F20"/>
        </w:rPr>
        <w:t>je pojištěný</w:t>
      </w:r>
      <w:r>
        <w:rPr>
          <w:color w:val="231F20"/>
          <w:spacing w:val="-27"/>
        </w:rPr>
        <w:t xml:space="preserve"> </w:t>
      </w:r>
      <w:r>
        <w:rPr>
          <w:color w:val="231F20"/>
        </w:rPr>
        <w:t>oprávněn</w:t>
      </w:r>
      <w:r>
        <w:rPr>
          <w:color w:val="231F20"/>
          <w:spacing w:val="-26"/>
        </w:rPr>
        <w:t xml:space="preserve"> </w:t>
      </w:r>
      <w:r>
        <w:rPr>
          <w:color w:val="231F20"/>
        </w:rPr>
        <w:t>požádat</w:t>
      </w:r>
      <w:r>
        <w:rPr>
          <w:color w:val="231F20"/>
          <w:spacing w:val="-26"/>
        </w:rPr>
        <w:t xml:space="preserve"> </w:t>
      </w:r>
      <w:r>
        <w:rPr>
          <w:color w:val="231F20"/>
        </w:rPr>
        <w:t>o</w:t>
      </w:r>
      <w:r>
        <w:rPr>
          <w:color w:val="231F20"/>
          <w:spacing w:val="-26"/>
        </w:rPr>
        <w:t xml:space="preserve"> </w:t>
      </w:r>
      <w:r>
        <w:rPr>
          <w:color w:val="231F20"/>
        </w:rPr>
        <w:t>zálohu</w:t>
      </w:r>
      <w:r>
        <w:rPr>
          <w:color w:val="231F20"/>
          <w:spacing w:val="-26"/>
        </w:rPr>
        <w:t xml:space="preserve"> </w:t>
      </w:r>
      <w:r>
        <w:rPr>
          <w:color w:val="231F20"/>
        </w:rPr>
        <w:t>na</w:t>
      </w:r>
      <w:r>
        <w:rPr>
          <w:color w:val="231F20"/>
          <w:spacing w:val="-26"/>
        </w:rPr>
        <w:t xml:space="preserve"> </w:t>
      </w:r>
      <w:r>
        <w:rPr>
          <w:color w:val="231F20"/>
        </w:rPr>
        <w:t>pojistné</w:t>
      </w:r>
      <w:r>
        <w:rPr>
          <w:color w:val="231F20"/>
          <w:spacing w:val="-26"/>
        </w:rPr>
        <w:t xml:space="preserve"> </w:t>
      </w:r>
      <w:r>
        <w:rPr>
          <w:color w:val="231F20"/>
        </w:rPr>
        <w:t>plnění,</w:t>
      </w:r>
      <w:r>
        <w:rPr>
          <w:color w:val="231F20"/>
          <w:spacing w:val="-26"/>
        </w:rPr>
        <w:t xml:space="preserve"> </w:t>
      </w:r>
      <w:r>
        <w:rPr>
          <w:color w:val="231F20"/>
        </w:rPr>
        <w:t>bude-li</w:t>
      </w:r>
      <w:r>
        <w:rPr>
          <w:color w:val="231F20"/>
          <w:spacing w:val="-26"/>
        </w:rPr>
        <w:t xml:space="preserve"> </w:t>
      </w:r>
      <w:r>
        <w:rPr>
          <w:color w:val="231F20"/>
        </w:rPr>
        <w:t>zřejmý</w:t>
      </w:r>
      <w:r>
        <w:rPr>
          <w:color w:val="231F20"/>
          <w:spacing w:val="-26"/>
        </w:rPr>
        <w:t xml:space="preserve"> </w:t>
      </w:r>
      <w:r>
        <w:rPr>
          <w:color w:val="231F20"/>
        </w:rPr>
        <w:t>alespoň minimální rozsah trvalých</w:t>
      </w:r>
      <w:r>
        <w:rPr>
          <w:color w:val="231F20"/>
          <w:spacing w:val="-5"/>
        </w:rPr>
        <w:t xml:space="preserve"> </w:t>
      </w:r>
      <w:r>
        <w:rPr>
          <w:color w:val="231F20"/>
        </w:rPr>
        <w:t>následků.</w:t>
      </w:r>
    </w:p>
    <w:p w14:paraId="441AC95F" w14:textId="77777777" w:rsidR="00F65BCA" w:rsidRDefault="00216117">
      <w:pPr>
        <w:pStyle w:val="Zkladntext"/>
        <w:spacing w:line="278" w:lineRule="auto"/>
        <w:ind w:left="710"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7</w:t>
      </w:r>
      <w:r>
        <w:rPr>
          <w:color w:val="231F20"/>
          <w:spacing w:val="2"/>
          <w:position w:val="1"/>
          <w:sz w:val="14"/>
        </w:rPr>
        <w:t xml:space="preserve"> </w:t>
      </w:r>
      <w:r>
        <w:rPr>
          <w:color w:val="231F20"/>
        </w:rPr>
        <w:t>Týkají-li</w:t>
      </w:r>
      <w:r>
        <w:rPr>
          <w:color w:val="231F20"/>
          <w:spacing w:val="-15"/>
        </w:rPr>
        <w:t xml:space="preserve"> </w:t>
      </w:r>
      <w:r>
        <w:rPr>
          <w:color w:val="231F20"/>
        </w:rPr>
        <w:t>se</w:t>
      </w:r>
      <w:r>
        <w:rPr>
          <w:color w:val="231F20"/>
          <w:spacing w:val="-14"/>
        </w:rPr>
        <w:t xml:space="preserve"> </w:t>
      </w:r>
      <w:r>
        <w:rPr>
          <w:color w:val="231F20"/>
        </w:rPr>
        <w:t>trvalé</w:t>
      </w:r>
      <w:r>
        <w:rPr>
          <w:color w:val="231F20"/>
          <w:spacing w:val="-15"/>
        </w:rPr>
        <w:t xml:space="preserve"> </w:t>
      </w:r>
      <w:r>
        <w:rPr>
          <w:color w:val="231F20"/>
          <w:spacing w:val="2"/>
        </w:rPr>
        <w:t>následky</w:t>
      </w:r>
      <w:r>
        <w:rPr>
          <w:color w:val="231F20"/>
          <w:spacing w:val="-14"/>
        </w:rPr>
        <w:t xml:space="preserve"> </w:t>
      </w:r>
      <w:r>
        <w:rPr>
          <w:color w:val="231F20"/>
        </w:rPr>
        <w:t>takové</w:t>
      </w:r>
      <w:r>
        <w:rPr>
          <w:color w:val="231F20"/>
          <w:spacing w:val="-15"/>
        </w:rPr>
        <w:t xml:space="preserve"> </w:t>
      </w:r>
      <w:r>
        <w:rPr>
          <w:color w:val="231F20"/>
        </w:rPr>
        <w:t>části</w:t>
      </w:r>
      <w:r>
        <w:rPr>
          <w:color w:val="231F20"/>
          <w:spacing w:val="-14"/>
        </w:rPr>
        <w:t xml:space="preserve"> </w:t>
      </w:r>
      <w:r>
        <w:rPr>
          <w:color w:val="231F20"/>
        </w:rPr>
        <w:t>těla</w:t>
      </w:r>
      <w:r>
        <w:rPr>
          <w:color w:val="231F20"/>
          <w:spacing w:val="-15"/>
        </w:rPr>
        <w:t xml:space="preserve"> </w:t>
      </w:r>
      <w:r>
        <w:rPr>
          <w:color w:val="231F20"/>
        </w:rPr>
        <w:t>nebo</w:t>
      </w:r>
      <w:r>
        <w:rPr>
          <w:color w:val="231F20"/>
          <w:spacing w:val="-14"/>
        </w:rPr>
        <w:t xml:space="preserve"> </w:t>
      </w:r>
      <w:r>
        <w:rPr>
          <w:color w:val="231F20"/>
        </w:rPr>
        <w:t>orgánu,</w:t>
      </w:r>
      <w:r>
        <w:rPr>
          <w:color w:val="231F20"/>
          <w:spacing w:val="-15"/>
        </w:rPr>
        <w:t xml:space="preserve"> </w:t>
      </w:r>
      <w:r>
        <w:rPr>
          <w:color w:val="231F20"/>
        </w:rPr>
        <w:t>které</w:t>
      </w:r>
      <w:r>
        <w:rPr>
          <w:color w:val="231F20"/>
          <w:spacing w:val="-14"/>
        </w:rPr>
        <w:t xml:space="preserve"> </w:t>
      </w:r>
      <w:r>
        <w:rPr>
          <w:color w:val="231F20"/>
        </w:rPr>
        <w:t>byly</w:t>
      </w:r>
      <w:r>
        <w:rPr>
          <w:color w:val="231F20"/>
          <w:spacing w:val="-15"/>
        </w:rPr>
        <w:t xml:space="preserve"> </w:t>
      </w:r>
      <w:r>
        <w:rPr>
          <w:color w:val="231F20"/>
        </w:rPr>
        <w:t>poškoze- ny</w:t>
      </w:r>
      <w:r>
        <w:rPr>
          <w:color w:val="231F20"/>
          <w:spacing w:val="-13"/>
        </w:rPr>
        <w:t xml:space="preserve"> </w:t>
      </w:r>
      <w:r>
        <w:rPr>
          <w:color w:val="231F20"/>
        </w:rPr>
        <w:t>již</w:t>
      </w:r>
      <w:r>
        <w:rPr>
          <w:color w:val="231F20"/>
          <w:spacing w:val="-12"/>
        </w:rPr>
        <w:t xml:space="preserve"> </w:t>
      </w:r>
      <w:r>
        <w:rPr>
          <w:color w:val="231F20"/>
        </w:rPr>
        <w:t>před</w:t>
      </w:r>
      <w:r>
        <w:rPr>
          <w:color w:val="231F20"/>
          <w:spacing w:val="-12"/>
        </w:rPr>
        <w:t xml:space="preserve"> </w:t>
      </w:r>
      <w:r>
        <w:rPr>
          <w:color w:val="231F20"/>
        </w:rPr>
        <w:t>úrazem,</w:t>
      </w:r>
      <w:r>
        <w:rPr>
          <w:color w:val="231F20"/>
          <w:spacing w:val="-13"/>
        </w:rPr>
        <w:t xml:space="preserve"> </w:t>
      </w:r>
      <w:r>
        <w:rPr>
          <w:color w:val="231F20"/>
          <w:spacing w:val="2"/>
        </w:rPr>
        <w:t>sníží</w:t>
      </w:r>
      <w:r>
        <w:rPr>
          <w:color w:val="231F20"/>
          <w:spacing w:val="-12"/>
        </w:rPr>
        <w:t xml:space="preserve"> </w:t>
      </w:r>
      <w:r>
        <w:rPr>
          <w:color w:val="231F20"/>
        </w:rPr>
        <w:t>Pojišťovna</w:t>
      </w:r>
      <w:r>
        <w:rPr>
          <w:color w:val="231F20"/>
          <w:spacing w:val="-12"/>
        </w:rPr>
        <w:t xml:space="preserve"> </w:t>
      </w:r>
      <w:r>
        <w:rPr>
          <w:color w:val="231F20"/>
        </w:rPr>
        <w:t>procentní</w:t>
      </w:r>
      <w:r>
        <w:rPr>
          <w:color w:val="231F20"/>
          <w:spacing w:val="-12"/>
        </w:rPr>
        <w:t xml:space="preserve"> </w:t>
      </w:r>
      <w:r>
        <w:rPr>
          <w:color w:val="231F20"/>
        </w:rPr>
        <w:t>ohodnocení</w:t>
      </w:r>
      <w:r>
        <w:rPr>
          <w:color w:val="231F20"/>
          <w:spacing w:val="-13"/>
        </w:rPr>
        <w:t xml:space="preserve"> </w:t>
      </w:r>
      <w:r>
        <w:rPr>
          <w:color w:val="231F20"/>
        </w:rPr>
        <w:t>trvalých</w:t>
      </w:r>
      <w:r>
        <w:rPr>
          <w:color w:val="231F20"/>
          <w:spacing w:val="-12"/>
        </w:rPr>
        <w:t xml:space="preserve"> </w:t>
      </w:r>
      <w:r>
        <w:rPr>
          <w:color w:val="231F20"/>
        </w:rPr>
        <w:t>následků o</w:t>
      </w:r>
      <w:r>
        <w:rPr>
          <w:color w:val="231F20"/>
          <w:spacing w:val="-21"/>
        </w:rPr>
        <w:t xml:space="preserve"> </w:t>
      </w:r>
      <w:r>
        <w:rPr>
          <w:color w:val="231F20"/>
        </w:rPr>
        <w:t>tolik</w:t>
      </w:r>
      <w:r>
        <w:rPr>
          <w:color w:val="231F20"/>
          <w:spacing w:val="-21"/>
        </w:rPr>
        <w:t xml:space="preserve"> </w:t>
      </w:r>
      <w:r>
        <w:rPr>
          <w:color w:val="231F20"/>
        </w:rPr>
        <w:t>procentních</w:t>
      </w:r>
      <w:r>
        <w:rPr>
          <w:color w:val="231F20"/>
          <w:spacing w:val="-21"/>
        </w:rPr>
        <w:t xml:space="preserve"> </w:t>
      </w:r>
      <w:r>
        <w:rPr>
          <w:color w:val="231F20"/>
        </w:rPr>
        <w:t>bodů,</w:t>
      </w:r>
      <w:r>
        <w:rPr>
          <w:color w:val="231F20"/>
          <w:spacing w:val="-21"/>
        </w:rPr>
        <w:t xml:space="preserve"> </w:t>
      </w:r>
      <w:r>
        <w:rPr>
          <w:color w:val="231F20"/>
        </w:rPr>
        <w:t>kolika</w:t>
      </w:r>
      <w:r>
        <w:rPr>
          <w:color w:val="231F20"/>
          <w:spacing w:val="-21"/>
        </w:rPr>
        <w:t xml:space="preserve"> </w:t>
      </w:r>
      <w:r>
        <w:rPr>
          <w:color w:val="231F20"/>
        </w:rPr>
        <w:t>procentům</w:t>
      </w:r>
      <w:r>
        <w:rPr>
          <w:color w:val="231F20"/>
          <w:spacing w:val="-21"/>
        </w:rPr>
        <w:t xml:space="preserve"> </w:t>
      </w:r>
      <w:r>
        <w:rPr>
          <w:color w:val="231F20"/>
        </w:rPr>
        <w:t>odpovídalo</w:t>
      </w:r>
      <w:r>
        <w:rPr>
          <w:color w:val="231F20"/>
          <w:spacing w:val="-21"/>
        </w:rPr>
        <w:t xml:space="preserve"> </w:t>
      </w:r>
      <w:r>
        <w:rPr>
          <w:color w:val="231F20"/>
        </w:rPr>
        <w:t>předcházející</w:t>
      </w:r>
      <w:r>
        <w:rPr>
          <w:color w:val="231F20"/>
          <w:spacing w:val="-21"/>
        </w:rPr>
        <w:t xml:space="preserve"> </w:t>
      </w:r>
      <w:r>
        <w:rPr>
          <w:color w:val="231F20"/>
          <w:spacing w:val="-3"/>
        </w:rPr>
        <w:t xml:space="preserve">poškoze- </w:t>
      </w:r>
      <w:r>
        <w:rPr>
          <w:color w:val="231F20"/>
        </w:rPr>
        <w:t>ní, posouzené rovněž podle Oceňovacích tabulek</w:t>
      </w:r>
      <w:r>
        <w:rPr>
          <w:color w:val="231F20"/>
          <w:spacing w:val="-16"/>
        </w:rPr>
        <w:t xml:space="preserve"> </w:t>
      </w:r>
      <w:r>
        <w:rPr>
          <w:color w:val="231F20"/>
        </w:rPr>
        <w:t>B.</w:t>
      </w:r>
    </w:p>
    <w:p w14:paraId="52AC1342" w14:textId="77777777" w:rsidR="00F65BCA" w:rsidRDefault="00216117">
      <w:pPr>
        <w:pStyle w:val="Zkladntext"/>
        <w:spacing w:before="75" w:line="278" w:lineRule="auto"/>
        <w:ind w:left="469" w:right="424" w:hanging="283"/>
        <w:jc w:val="both"/>
      </w:pPr>
      <w:r>
        <w:br w:type="column"/>
      </w: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8</w:t>
      </w:r>
      <w:r>
        <w:rPr>
          <w:color w:val="231F20"/>
          <w:spacing w:val="11"/>
          <w:position w:val="1"/>
          <w:sz w:val="14"/>
        </w:rPr>
        <w:t xml:space="preserve"> </w:t>
      </w:r>
      <w:r>
        <w:rPr>
          <w:color w:val="231F20"/>
        </w:rPr>
        <w:t>Způsobil-li</w:t>
      </w:r>
      <w:r>
        <w:rPr>
          <w:color w:val="231F20"/>
          <w:spacing w:val="-20"/>
        </w:rPr>
        <w:t xml:space="preserve"> </w:t>
      </w:r>
      <w:r>
        <w:rPr>
          <w:color w:val="231F20"/>
        </w:rPr>
        <w:t>jediný</w:t>
      </w:r>
      <w:r>
        <w:rPr>
          <w:color w:val="231F20"/>
          <w:spacing w:val="-20"/>
        </w:rPr>
        <w:t xml:space="preserve"> </w:t>
      </w:r>
      <w:r>
        <w:rPr>
          <w:color w:val="231F20"/>
        </w:rPr>
        <w:t>úraz</w:t>
      </w:r>
      <w:r>
        <w:rPr>
          <w:color w:val="231F20"/>
          <w:spacing w:val="-20"/>
        </w:rPr>
        <w:t xml:space="preserve"> </w:t>
      </w:r>
      <w:r>
        <w:rPr>
          <w:color w:val="231F20"/>
        </w:rPr>
        <w:t>pojištěnému</w:t>
      </w:r>
      <w:r>
        <w:rPr>
          <w:color w:val="231F20"/>
          <w:spacing w:val="-20"/>
        </w:rPr>
        <w:t xml:space="preserve"> </w:t>
      </w:r>
      <w:r>
        <w:rPr>
          <w:color w:val="231F20"/>
        </w:rPr>
        <w:t>několik</w:t>
      </w:r>
      <w:r>
        <w:rPr>
          <w:color w:val="231F20"/>
          <w:spacing w:val="-21"/>
        </w:rPr>
        <w:t xml:space="preserve"> </w:t>
      </w:r>
      <w:r>
        <w:rPr>
          <w:color w:val="231F20"/>
        </w:rPr>
        <w:t>trvalých</w:t>
      </w:r>
      <w:r>
        <w:rPr>
          <w:color w:val="231F20"/>
          <w:spacing w:val="-20"/>
        </w:rPr>
        <w:t xml:space="preserve"> </w:t>
      </w:r>
      <w:r>
        <w:rPr>
          <w:color w:val="231F20"/>
        </w:rPr>
        <w:t>následků,</w:t>
      </w:r>
      <w:r>
        <w:rPr>
          <w:color w:val="231F20"/>
          <w:spacing w:val="-20"/>
        </w:rPr>
        <w:t xml:space="preserve"> </w:t>
      </w:r>
      <w:r>
        <w:rPr>
          <w:color w:val="231F20"/>
        </w:rPr>
        <w:t>s</w:t>
      </w:r>
      <w:r>
        <w:rPr>
          <w:color w:val="231F20"/>
          <w:spacing w:val="-20"/>
        </w:rPr>
        <w:t xml:space="preserve"> </w:t>
      </w:r>
      <w:r>
        <w:rPr>
          <w:color w:val="231F20"/>
        </w:rPr>
        <w:t>výjimkou</w:t>
      </w:r>
      <w:r>
        <w:rPr>
          <w:color w:val="231F20"/>
          <w:spacing w:val="-20"/>
        </w:rPr>
        <w:t xml:space="preserve"> </w:t>
      </w:r>
      <w:r>
        <w:rPr>
          <w:color w:val="231F20"/>
        </w:rPr>
        <w:t>přípa- dů</w:t>
      </w:r>
      <w:r>
        <w:rPr>
          <w:color w:val="231F20"/>
          <w:spacing w:val="-4"/>
        </w:rPr>
        <w:t xml:space="preserve"> </w:t>
      </w:r>
      <w:r>
        <w:rPr>
          <w:color w:val="231F20"/>
        </w:rPr>
        <w:t>podle</w:t>
      </w:r>
      <w:r>
        <w:rPr>
          <w:color w:val="231F20"/>
          <w:spacing w:val="-3"/>
        </w:rPr>
        <w:t xml:space="preserve"> </w:t>
      </w:r>
      <w:r>
        <w:rPr>
          <w:color w:val="231F20"/>
        </w:rPr>
        <w:t>bodu</w:t>
      </w:r>
      <w:r>
        <w:rPr>
          <w:color w:val="231F20"/>
          <w:spacing w:val="-3"/>
        </w:rPr>
        <w:t xml:space="preserve"> </w:t>
      </w:r>
      <w:r>
        <w:rPr>
          <w:color w:val="231F20"/>
        </w:rPr>
        <w:t>10</w:t>
      </w:r>
      <w:r>
        <w:rPr>
          <w:color w:val="231F20"/>
          <w:spacing w:val="-3"/>
        </w:rPr>
        <w:t xml:space="preserve"> </w:t>
      </w:r>
      <w:r>
        <w:rPr>
          <w:color w:val="231F20"/>
        </w:rPr>
        <w:t>tohoto</w:t>
      </w:r>
      <w:r>
        <w:rPr>
          <w:color w:val="231F20"/>
          <w:spacing w:val="-4"/>
        </w:rPr>
        <w:t xml:space="preserve"> </w:t>
      </w:r>
      <w:r>
        <w:rPr>
          <w:color w:val="231F20"/>
        </w:rPr>
        <w:t>článku,</w:t>
      </w:r>
      <w:r>
        <w:rPr>
          <w:color w:val="231F20"/>
          <w:spacing w:val="-3"/>
        </w:rPr>
        <w:t xml:space="preserve"> </w:t>
      </w:r>
      <w:r>
        <w:rPr>
          <w:color w:val="231F20"/>
        </w:rPr>
        <w:t>hodnotí</w:t>
      </w:r>
      <w:r>
        <w:rPr>
          <w:color w:val="231F20"/>
          <w:spacing w:val="-3"/>
        </w:rPr>
        <w:t xml:space="preserve"> </w:t>
      </w:r>
      <w:r>
        <w:rPr>
          <w:color w:val="231F20"/>
        </w:rPr>
        <w:t>Pojišťovna</w:t>
      </w:r>
      <w:r>
        <w:rPr>
          <w:color w:val="231F20"/>
          <w:spacing w:val="-3"/>
        </w:rPr>
        <w:t xml:space="preserve"> </w:t>
      </w:r>
      <w:r>
        <w:rPr>
          <w:color w:val="231F20"/>
        </w:rPr>
        <w:t>celkové</w:t>
      </w:r>
      <w:r>
        <w:rPr>
          <w:color w:val="231F20"/>
          <w:spacing w:val="-4"/>
        </w:rPr>
        <w:t xml:space="preserve"> </w:t>
      </w:r>
      <w:r>
        <w:rPr>
          <w:color w:val="231F20"/>
        </w:rPr>
        <w:t>trvalé</w:t>
      </w:r>
      <w:r>
        <w:rPr>
          <w:color w:val="231F20"/>
          <w:spacing w:val="-3"/>
        </w:rPr>
        <w:t xml:space="preserve"> </w:t>
      </w:r>
      <w:r>
        <w:rPr>
          <w:color w:val="231F20"/>
        </w:rPr>
        <w:t>následky součtem</w:t>
      </w:r>
      <w:r>
        <w:rPr>
          <w:color w:val="231F20"/>
          <w:spacing w:val="-7"/>
        </w:rPr>
        <w:t xml:space="preserve"> </w:t>
      </w:r>
      <w:r>
        <w:rPr>
          <w:color w:val="231F20"/>
        </w:rPr>
        <w:t>procent</w:t>
      </w:r>
      <w:r>
        <w:rPr>
          <w:color w:val="231F20"/>
          <w:spacing w:val="-7"/>
        </w:rPr>
        <w:t xml:space="preserve"> </w:t>
      </w:r>
      <w:r>
        <w:rPr>
          <w:color w:val="231F20"/>
        </w:rPr>
        <w:t>pro</w:t>
      </w:r>
      <w:r>
        <w:rPr>
          <w:color w:val="231F20"/>
          <w:spacing w:val="-6"/>
        </w:rPr>
        <w:t xml:space="preserve"> </w:t>
      </w:r>
      <w:r>
        <w:rPr>
          <w:color w:val="231F20"/>
        </w:rPr>
        <w:t>jednotlivé</w:t>
      </w:r>
      <w:r>
        <w:rPr>
          <w:color w:val="231F20"/>
          <w:spacing w:val="-7"/>
        </w:rPr>
        <w:t xml:space="preserve"> </w:t>
      </w:r>
      <w:r>
        <w:rPr>
          <w:color w:val="231F20"/>
        </w:rPr>
        <w:t>trvalé</w:t>
      </w:r>
      <w:r>
        <w:rPr>
          <w:color w:val="231F20"/>
          <w:spacing w:val="-6"/>
        </w:rPr>
        <w:t xml:space="preserve"> </w:t>
      </w:r>
      <w:r>
        <w:rPr>
          <w:color w:val="231F20"/>
        </w:rPr>
        <w:t>následky,</w:t>
      </w:r>
      <w:r>
        <w:rPr>
          <w:color w:val="231F20"/>
          <w:spacing w:val="-7"/>
        </w:rPr>
        <w:t xml:space="preserve"> </w:t>
      </w:r>
      <w:r>
        <w:rPr>
          <w:color w:val="231F20"/>
        </w:rPr>
        <w:t>nejvýše</w:t>
      </w:r>
      <w:r>
        <w:rPr>
          <w:color w:val="231F20"/>
          <w:spacing w:val="-6"/>
        </w:rPr>
        <w:t xml:space="preserve"> </w:t>
      </w:r>
      <w:r>
        <w:rPr>
          <w:color w:val="231F20"/>
        </w:rPr>
        <w:t>však</w:t>
      </w:r>
      <w:r>
        <w:rPr>
          <w:color w:val="231F20"/>
          <w:spacing w:val="-7"/>
        </w:rPr>
        <w:t xml:space="preserve"> </w:t>
      </w:r>
      <w:r>
        <w:rPr>
          <w:color w:val="231F20"/>
        </w:rPr>
        <w:t>100</w:t>
      </w:r>
      <w:r>
        <w:rPr>
          <w:color w:val="231F20"/>
          <w:spacing w:val="-6"/>
        </w:rPr>
        <w:t xml:space="preserve"> </w:t>
      </w:r>
      <w:r>
        <w:rPr>
          <w:color w:val="231F20"/>
        </w:rPr>
        <w:t>%.</w:t>
      </w:r>
    </w:p>
    <w:p w14:paraId="2E6BAB56"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w:t>
      </w:r>
      <w:r>
        <w:rPr>
          <w:color w:val="231F20"/>
          <w:spacing w:val="-22"/>
          <w:position w:val="1"/>
          <w:sz w:val="14"/>
          <w:shd w:val="clear" w:color="auto" w:fill="D1D3D4"/>
        </w:rPr>
        <w:t xml:space="preserve"> </w:t>
      </w:r>
      <w:r>
        <w:rPr>
          <w:color w:val="231F20"/>
          <w:position w:val="1"/>
          <w:sz w:val="14"/>
          <w:shd w:val="clear" w:color="auto" w:fill="D1D3D4"/>
        </w:rPr>
        <w:t>9</w:t>
      </w:r>
      <w:r>
        <w:rPr>
          <w:color w:val="231F20"/>
          <w:spacing w:val="22"/>
          <w:position w:val="1"/>
          <w:sz w:val="14"/>
        </w:rPr>
        <w:t xml:space="preserve"> </w:t>
      </w:r>
      <w:r>
        <w:rPr>
          <w:color w:val="231F20"/>
        </w:rPr>
        <w:t>Týkají-li</w:t>
      </w:r>
      <w:r>
        <w:rPr>
          <w:color w:val="231F20"/>
          <w:spacing w:val="-9"/>
        </w:rPr>
        <w:t xml:space="preserve"> </w:t>
      </w:r>
      <w:r>
        <w:rPr>
          <w:color w:val="231F20"/>
        </w:rPr>
        <w:t>se</w:t>
      </w:r>
      <w:r>
        <w:rPr>
          <w:color w:val="231F20"/>
          <w:spacing w:val="-9"/>
        </w:rPr>
        <w:t xml:space="preserve"> </w:t>
      </w:r>
      <w:r>
        <w:rPr>
          <w:color w:val="231F20"/>
        </w:rPr>
        <w:t>jednotlivé</w:t>
      </w:r>
      <w:r>
        <w:rPr>
          <w:color w:val="231F20"/>
          <w:spacing w:val="-9"/>
        </w:rPr>
        <w:t xml:space="preserve"> </w:t>
      </w:r>
      <w:r>
        <w:rPr>
          <w:color w:val="231F20"/>
        </w:rPr>
        <w:t>následky</w:t>
      </w:r>
      <w:r>
        <w:rPr>
          <w:color w:val="231F20"/>
          <w:spacing w:val="-10"/>
        </w:rPr>
        <w:t xml:space="preserve"> </w:t>
      </w:r>
      <w:r>
        <w:rPr>
          <w:color w:val="231F20"/>
        </w:rPr>
        <w:t>po</w:t>
      </w:r>
      <w:r>
        <w:rPr>
          <w:color w:val="231F20"/>
          <w:spacing w:val="-9"/>
        </w:rPr>
        <w:t xml:space="preserve"> </w:t>
      </w:r>
      <w:r>
        <w:rPr>
          <w:color w:val="231F20"/>
        </w:rPr>
        <w:t>jednom</w:t>
      </w:r>
      <w:r>
        <w:rPr>
          <w:color w:val="231F20"/>
          <w:spacing w:val="-9"/>
        </w:rPr>
        <w:t xml:space="preserve"> </w:t>
      </w:r>
      <w:r>
        <w:rPr>
          <w:color w:val="231F20"/>
        </w:rPr>
        <w:t>nebo</w:t>
      </w:r>
      <w:r>
        <w:rPr>
          <w:color w:val="231F20"/>
          <w:spacing w:val="-9"/>
        </w:rPr>
        <w:t xml:space="preserve"> </w:t>
      </w:r>
      <w:r>
        <w:rPr>
          <w:color w:val="231F20"/>
        </w:rPr>
        <w:t>více</w:t>
      </w:r>
      <w:r>
        <w:rPr>
          <w:color w:val="231F20"/>
          <w:spacing w:val="-9"/>
        </w:rPr>
        <w:t xml:space="preserve"> </w:t>
      </w:r>
      <w:r>
        <w:rPr>
          <w:color w:val="231F20"/>
        </w:rPr>
        <w:t>úrazech</w:t>
      </w:r>
      <w:r>
        <w:rPr>
          <w:color w:val="231F20"/>
          <w:spacing w:val="-10"/>
        </w:rPr>
        <w:t xml:space="preserve"> </w:t>
      </w:r>
      <w:r>
        <w:rPr>
          <w:color w:val="231F20"/>
        </w:rPr>
        <w:t>jedné</w:t>
      </w:r>
      <w:r>
        <w:rPr>
          <w:color w:val="231F20"/>
          <w:spacing w:val="-9"/>
        </w:rPr>
        <w:t xml:space="preserve"> </w:t>
      </w:r>
      <w:r>
        <w:rPr>
          <w:color w:val="231F20"/>
          <w:spacing w:val="-4"/>
        </w:rPr>
        <w:t xml:space="preserve">končetiny, </w:t>
      </w:r>
      <w:r>
        <w:rPr>
          <w:color w:val="231F20"/>
        </w:rPr>
        <w:t xml:space="preserve">orgánu nebo jejich částí, hodnotí je Pojišťovna jako celek, a to nejvýše </w:t>
      </w:r>
      <w:r>
        <w:rPr>
          <w:color w:val="231F20"/>
          <w:spacing w:val="-4"/>
        </w:rPr>
        <w:t xml:space="preserve">pro- </w:t>
      </w:r>
      <w:r>
        <w:rPr>
          <w:color w:val="231F20"/>
        </w:rPr>
        <w:t>centem</w:t>
      </w:r>
      <w:r>
        <w:rPr>
          <w:color w:val="231F20"/>
          <w:spacing w:val="-20"/>
        </w:rPr>
        <w:t xml:space="preserve"> </w:t>
      </w:r>
      <w:r>
        <w:rPr>
          <w:color w:val="231F20"/>
        </w:rPr>
        <w:t>stanoveným</w:t>
      </w:r>
      <w:r>
        <w:rPr>
          <w:color w:val="231F20"/>
          <w:spacing w:val="-19"/>
        </w:rPr>
        <w:t xml:space="preserve"> </w:t>
      </w:r>
      <w:r>
        <w:rPr>
          <w:color w:val="231F20"/>
        </w:rPr>
        <w:t>Oceňovacími</w:t>
      </w:r>
      <w:r>
        <w:rPr>
          <w:color w:val="231F20"/>
          <w:spacing w:val="-19"/>
        </w:rPr>
        <w:t xml:space="preserve"> </w:t>
      </w:r>
      <w:r>
        <w:rPr>
          <w:color w:val="231F20"/>
        </w:rPr>
        <w:t>tabulkami</w:t>
      </w:r>
      <w:r>
        <w:rPr>
          <w:color w:val="231F20"/>
          <w:spacing w:val="-19"/>
        </w:rPr>
        <w:t xml:space="preserve"> </w:t>
      </w:r>
      <w:r>
        <w:rPr>
          <w:color w:val="231F20"/>
        </w:rPr>
        <w:t>B</w:t>
      </w:r>
      <w:r>
        <w:rPr>
          <w:color w:val="231F20"/>
          <w:spacing w:val="-19"/>
        </w:rPr>
        <w:t xml:space="preserve"> </w:t>
      </w:r>
      <w:r>
        <w:rPr>
          <w:color w:val="231F20"/>
        </w:rPr>
        <w:t>pro</w:t>
      </w:r>
      <w:r>
        <w:rPr>
          <w:color w:val="231F20"/>
          <w:spacing w:val="-19"/>
        </w:rPr>
        <w:t xml:space="preserve"> </w:t>
      </w:r>
      <w:r>
        <w:rPr>
          <w:color w:val="231F20"/>
        </w:rPr>
        <w:t>anatomickou</w:t>
      </w:r>
      <w:r>
        <w:rPr>
          <w:color w:val="231F20"/>
          <w:spacing w:val="-19"/>
        </w:rPr>
        <w:t xml:space="preserve"> </w:t>
      </w:r>
      <w:r>
        <w:rPr>
          <w:color w:val="231F20"/>
        </w:rPr>
        <w:t>nebo</w:t>
      </w:r>
      <w:r>
        <w:rPr>
          <w:color w:val="231F20"/>
          <w:spacing w:val="-19"/>
        </w:rPr>
        <w:t xml:space="preserve"> </w:t>
      </w:r>
      <w:r>
        <w:rPr>
          <w:color w:val="231F20"/>
        </w:rPr>
        <w:t>funkční ztrátu příslušné končetiny, orgánu nebo jejich</w:t>
      </w:r>
      <w:r>
        <w:rPr>
          <w:color w:val="231F20"/>
          <w:spacing w:val="-18"/>
        </w:rPr>
        <w:t xml:space="preserve"> </w:t>
      </w:r>
      <w:r>
        <w:rPr>
          <w:color w:val="231F20"/>
        </w:rPr>
        <w:t>částí.</w:t>
      </w:r>
    </w:p>
    <w:p w14:paraId="7398CC58" w14:textId="77777777" w:rsidR="00F65BCA" w:rsidRDefault="00216117">
      <w:pPr>
        <w:pStyle w:val="Zkladntext"/>
        <w:spacing w:line="278" w:lineRule="auto"/>
        <w:ind w:left="469" w:right="424" w:hanging="283"/>
        <w:jc w:val="both"/>
      </w:pPr>
      <w:r>
        <w:rPr>
          <w:color w:val="231F20"/>
          <w:spacing w:val="-22"/>
          <w:position w:val="1"/>
          <w:sz w:val="14"/>
          <w:shd w:val="clear" w:color="auto" w:fill="D1D3D4"/>
        </w:rPr>
        <w:t xml:space="preserve"> </w:t>
      </w:r>
      <w:r>
        <w:rPr>
          <w:color w:val="231F20"/>
          <w:position w:val="1"/>
          <w:sz w:val="14"/>
          <w:shd w:val="clear" w:color="auto" w:fill="D1D3D4"/>
        </w:rPr>
        <w:t>10</w:t>
      </w:r>
      <w:r>
        <w:rPr>
          <w:color w:val="231F20"/>
          <w:spacing w:val="28"/>
          <w:position w:val="1"/>
          <w:sz w:val="14"/>
        </w:rPr>
        <w:t xml:space="preserve"> </w:t>
      </w:r>
      <w:r>
        <w:rPr>
          <w:color w:val="231F20"/>
        </w:rPr>
        <w:t>Zemře-li</w:t>
      </w:r>
      <w:r>
        <w:rPr>
          <w:color w:val="231F20"/>
          <w:spacing w:val="-13"/>
        </w:rPr>
        <w:t xml:space="preserve"> </w:t>
      </w:r>
      <w:r>
        <w:rPr>
          <w:color w:val="231F20"/>
        </w:rPr>
        <w:t>pojištěný</w:t>
      </w:r>
      <w:r>
        <w:rPr>
          <w:color w:val="231F20"/>
          <w:spacing w:val="-14"/>
        </w:rPr>
        <w:t xml:space="preserve"> </w:t>
      </w:r>
      <w:r>
        <w:rPr>
          <w:color w:val="231F20"/>
        </w:rPr>
        <w:t>před</w:t>
      </w:r>
      <w:r>
        <w:rPr>
          <w:color w:val="231F20"/>
          <w:spacing w:val="-14"/>
        </w:rPr>
        <w:t xml:space="preserve"> </w:t>
      </w:r>
      <w:r>
        <w:rPr>
          <w:color w:val="231F20"/>
        </w:rPr>
        <w:t>výplatou</w:t>
      </w:r>
      <w:r>
        <w:rPr>
          <w:color w:val="231F20"/>
          <w:spacing w:val="-13"/>
        </w:rPr>
        <w:t xml:space="preserve"> </w:t>
      </w:r>
      <w:r>
        <w:rPr>
          <w:color w:val="231F20"/>
        </w:rPr>
        <w:t>pojistného</w:t>
      </w:r>
      <w:r>
        <w:rPr>
          <w:color w:val="231F20"/>
          <w:spacing w:val="-14"/>
        </w:rPr>
        <w:t xml:space="preserve"> </w:t>
      </w:r>
      <w:r>
        <w:rPr>
          <w:color w:val="231F20"/>
        </w:rPr>
        <w:t>plnění,</w:t>
      </w:r>
      <w:r>
        <w:rPr>
          <w:color w:val="231F20"/>
          <w:spacing w:val="-14"/>
        </w:rPr>
        <w:t xml:space="preserve"> </w:t>
      </w:r>
      <w:r>
        <w:rPr>
          <w:color w:val="231F20"/>
        </w:rPr>
        <w:t>vyplatí</w:t>
      </w:r>
      <w:r>
        <w:rPr>
          <w:color w:val="231F20"/>
          <w:spacing w:val="-13"/>
        </w:rPr>
        <w:t xml:space="preserve"> </w:t>
      </w:r>
      <w:r>
        <w:rPr>
          <w:color w:val="231F20"/>
        </w:rPr>
        <w:t>Pojišťovna</w:t>
      </w:r>
      <w:r>
        <w:rPr>
          <w:color w:val="231F20"/>
          <w:spacing w:val="-14"/>
        </w:rPr>
        <w:t xml:space="preserve"> </w:t>
      </w:r>
      <w:r>
        <w:rPr>
          <w:color w:val="231F20"/>
        </w:rPr>
        <w:t>jeho</w:t>
      </w:r>
      <w:r>
        <w:rPr>
          <w:color w:val="231F20"/>
          <w:spacing w:val="-14"/>
        </w:rPr>
        <w:t xml:space="preserve"> </w:t>
      </w:r>
      <w:r>
        <w:rPr>
          <w:color w:val="231F20"/>
        </w:rPr>
        <w:t>dě- dicům částku, která odpovídá rozsahu trvalých následků úrazu pojištěného k datu jeho smrti. Pokud ke smrti pojištěného došlo po 3 letech od úrazu, stanoví</w:t>
      </w:r>
      <w:r>
        <w:rPr>
          <w:color w:val="231F20"/>
          <w:spacing w:val="-8"/>
        </w:rPr>
        <w:t xml:space="preserve"> </w:t>
      </w:r>
      <w:r>
        <w:rPr>
          <w:color w:val="231F20"/>
        </w:rPr>
        <w:t>Pojišťovna</w:t>
      </w:r>
      <w:r>
        <w:rPr>
          <w:color w:val="231F20"/>
          <w:spacing w:val="-8"/>
        </w:rPr>
        <w:t xml:space="preserve"> </w:t>
      </w:r>
      <w:r>
        <w:rPr>
          <w:color w:val="231F20"/>
        </w:rPr>
        <w:t>rozsah</w:t>
      </w:r>
      <w:r>
        <w:rPr>
          <w:color w:val="231F20"/>
          <w:spacing w:val="-7"/>
        </w:rPr>
        <w:t xml:space="preserve"> </w:t>
      </w:r>
      <w:r>
        <w:rPr>
          <w:color w:val="231F20"/>
        </w:rPr>
        <w:t>trvalých</w:t>
      </w:r>
      <w:r>
        <w:rPr>
          <w:color w:val="231F20"/>
          <w:spacing w:val="-8"/>
        </w:rPr>
        <w:t xml:space="preserve"> </w:t>
      </w:r>
      <w:r>
        <w:rPr>
          <w:color w:val="231F20"/>
        </w:rPr>
        <w:t>následků</w:t>
      </w:r>
      <w:r>
        <w:rPr>
          <w:color w:val="231F20"/>
          <w:spacing w:val="-8"/>
        </w:rPr>
        <w:t xml:space="preserve"> </w:t>
      </w:r>
      <w:r>
        <w:rPr>
          <w:color w:val="231F20"/>
        </w:rPr>
        <w:t>k</w:t>
      </w:r>
      <w:r>
        <w:rPr>
          <w:color w:val="231F20"/>
          <w:spacing w:val="-7"/>
        </w:rPr>
        <w:t xml:space="preserve"> </w:t>
      </w:r>
      <w:r>
        <w:rPr>
          <w:color w:val="231F20"/>
        </w:rPr>
        <w:t>datu</w:t>
      </w:r>
      <w:r>
        <w:rPr>
          <w:color w:val="231F20"/>
          <w:spacing w:val="-8"/>
        </w:rPr>
        <w:t xml:space="preserve"> </w:t>
      </w:r>
      <w:r>
        <w:rPr>
          <w:color w:val="231F20"/>
        </w:rPr>
        <w:t>3</w:t>
      </w:r>
      <w:r>
        <w:rPr>
          <w:color w:val="231F20"/>
          <w:spacing w:val="-8"/>
        </w:rPr>
        <w:t xml:space="preserve"> </w:t>
      </w:r>
      <w:r>
        <w:rPr>
          <w:color w:val="231F20"/>
        </w:rPr>
        <w:t>let</w:t>
      </w:r>
      <w:r>
        <w:rPr>
          <w:color w:val="231F20"/>
          <w:spacing w:val="-7"/>
        </w:rPr>
        <w:t xml:space="preserve"> </w:t>
      </w:r>
      <w:r>
        <w:rPr>
          <w:color w:val="231F20"/>
        </w:rPr>
        <w:t>od</w:t>
      </w:r>
      <w:r>
        <w:rPr>
          <w:color w:val="231F20"/>
          <w:spacing w:val="-8"/>
        </w:rPr>
        <w:t xml:space="preserve"> </w:t>
      </w:r>
      <w:r>
        <w:rPr>
          <w:color w:val="231F20"/>
        </w:rPr>
        <w:t>data</w:t>
      </w:r>
      <w:r>
        <w:rPr>
          <w:color w:val="231F20"/>
          <w:spacing w:val="-8"/>
        </w:rPr>
        <w:t xml:space="preserve"> </w:t>
      </w:r>
      <w:r>
        <w:rPr>
          <w:color w:val="231F20"/>
        </w:rPr>
        <w:t>úrazu.</w:t>
      </w:r>
    </w:p>
    <w:p w14:paraId="47E43E76" w14:textId="77777777" w:rsidR="00F65BCA" w:rsidRDefault="00216117">
      <w:pPr>
        <w:pStyle w:val="Zkladntext"/>
        <w:spacing w:line="278" w:lineRule="auto"/>
        <w:ind w:left="469" w:right="424" w:hanging="283"/>
        <w:jc w:val="both"/>
      </w:pPr>
      <w:r>
        <w:rPr>
          <w:color w:val="231F20"/>
          <w:position w:val="1"/>
          <w:sz w:val="14"/>
          <w:shd w:val="clear" w:color="auto" w:fill="D1D3D4"/>
        </w:rPr>
        <w:t xml:space="preserve"> 11</w:t>
      </w:r>
      <w:r>
        <w:rPr>
          <w:color w:val="231F20"/>
          <w:position w:val="1"/>
          <w:sz w:val="14"/>
        </w:rPr>
        <w:t xml:space="preserve"> </w:t>
      </w:r>
      <w:r>
        <w:rPr>
          <w:color w:val="231F20"/>
        </w:rPr>
        <w:t>Pojišťovna nehradí náklady na dopravu pojištěného ze zahraničí na území České republiky za účelem stanovení rozsahu trvalých následků.</w:t>
      </w:r>
    </w:p>
    <w:p w14:paraId="1A3CFD53" w14:textId="77777777" w:rsidR="00F65BCA" w:rsidRDefault="00F65BCA">
      <w:pPr>
        <w:pStyle w:val="Zkladntext"/>
        <w:spacing w:before="7"/>
        <w:rPr>
          <w:sz w:val="20"/>
        </w:rPr>
      </w:pPr>
    </w:p>
    <w:p w14:paraId="30CF256E" w14:textId="77777777" w:rsidR="00F65BCA" w:rsidRDefault="00216117">
      <w:pPr>
        <w:pStyle w:val="Zkladntext"/>
        <w:ind w:left="186" w:firstLine="1"/>
      </w:pPr>
      <w:r>
        <w:rPr>
          <w:color w:val="FFFFFF"/>
          <w:position w:val="3"/>
          <w:sz w:val="16"/>
          <w:shd w:val="clear" w:color="auto" w:fill="808285"/>
        </w:rPr>
        <w:t xml:space="preserve"> </w:t>
      </w:r>
      <w:r>
        <w:rPr>
          <w:color w:val="FFFFFF"/>
          <w:spacing w:val="-6"/>
          <w:position w:val="3"/>
          <w:sz w:val="16"/>
          <w:shd w:val="clear" w:color="auto" w:fill="808285"/>
        </w:rPr>
        <w:t xml:space="preserve"> </w:t>
      </w:r>
      <w:r>
        <w:rPr>
          <w:color w:val="FFFFFF"/>
          <w:spacing w:val="6"/>
          <w:w w:val="105"/>
          <w:position w:val="3"/>
          <w:sz w:val="16"/>
          <w:shd w:val="clear" w:color="auto" w:fill="808285"/>
        </w:rPr>
        <w:t>Článek</w:t>
      </w:r>
      <w:r>
        <w:rPr>
          <w:color w:val="FFFFFF"/>
          <w:spacing w:val="-1"/>
          <w:w w:val="105"/>
          <w:position w:val="3"/>
          <w:sz w:val="16"/>
          <w:shd w:val="clear" w:color="auto" w:fill="808285"/>
        </w:rPr>
        <w:t xml:space="preserve"> </w:t>
      </w:r>
      <w:r>
        <w:rPr>
          <w:color w:val="FFFFFF"/>
          <w:spacing w:val="4"/>
          <w:w w:val="105"/>
          <w:position w:val="3"/>
          <w:sz w:val="16"/>
          <w:shd w:val="clear" w:color="auto" w:fill="808285"/>
        </w:rPr>
        <w:t xml:space="preserve">83 </w:t>
      </w:r>
      <w:r>
        <w:rPr>
          <w:color w:val="FFFFFF"/>
          <w:spacing w:val="4"/>
          <w:w w:val="105"/>
          <w:position w:val="3"/>
          <w:sz w:val="16"/>
        </w:rPr>
        <w:t xml:space="preserve"> </w:t>
      </w:r>
      <w:r>
        <w:rPr>
          <w:color w:val="FFFFFF"/>
          <w:spacing w:val="44"/>
          <w:w w:val="105"/>
          <w:position w:val="3"/>
          <w:sz w:val="16"/>
        </w:rPr>
        <w:t xml:space="preserve"> </w:t>
      </w:r>
      <w:r>
        <w:rPr>
          <w:color w:val="231F20"/>
          <w:w w:val="105"/>
        </w:rPr>
        <w:t>Pojistné</w:t>
      </w:r>
      <w:r>
        <w:rPr>
          <w:color w:val="231F20"/>
          <w:spacing w:val="-19"/>
          <w:w w:val="105"/>
        </w:rPr>
        <w:t xml:space="preserve"> </w:t>
      </w:r>
      <w:r>
        <w:rPr>
          <w:color w:val="231F20"/>
          <w:w w:val="105"/>
        </w:rPr>
        <w:t>plnění</w:t>
      </w:r>
      <w:r>
        <w:rPr>
          <w:color w:val="231F20"/>
          <w:spacing w:val="-19"/>
          <w:w w:val="105"/>
        </w:rPr>
        <w:t xml:space="preserve"> </w:t>
      </w:r>
      <w:r>
        <w:rPr>
          <w:color w:val="231F20"/>
          <w:w w:val="105"/>
        </w:rPr>
        <w:t>z</w:t>
      </w:r>
      <w:r>
        <w:rPr>
          <w:color w:val="231F20"/>
          <w:spacing w:val="-19"/>
          <w:w w:val="105"/>
        </w:rPr>
        <w:t xml:space="preserve"> </w:t>
      </w:r>
      <w:r>
        <w:rPr>
          <w:color w:val="231F20"/>
          <w:w w:val="105"/>
        </w:rPr>
        <w:t>pojištění</w:t>
      </w:r>
      <w:r>
        <w:rPr>
          <w:color w:val="231F20"/>
          <w:spacing w:val="-19"/>
          <w:w w:val="105"/>
        </w:rPr>
        <w:t xml:space="preserve"> </w:t>
      </w:r>
      <w:r>
        <w:rPr>
          <w:color w:val="231F20"/>
          <w:spacing w:val="-3"/>
          <w:w w:val="105"/>
        </w:rPr>
        <w:t>pro</w:t>
      </w:r>
      <w:r>
        <w:rPr>
          <w:color w:val="231F20"/>
          <w:spacing w:val="-19"/>
          <w:w w:val="105"/>
        </w:rPr>
        <w:t xml:space="preserve"> </w:t>
      </w:r>
      <w:r>
        <w:rPr>
          <w:color w:val="231F20"/>
          <w:w w:val="105"/>
        </w:rPr>
        <w:t>případ</w:t>
      </w:r>
      <w:r>
        <w:rPr>
          <w:color w:val="231F20"/>
          <w:spacing w:val="-19"/>
          <w:w w:val="105"/>
        </w:rPr>
        <w:t xml:space="preserve"> </w:t>
      </w:r>
      <w:r>
        <w:rPr>
          <w:color w:val="231F20"/>
          <w:w w:val="105"/>
        </w:rPr>
        <w:t>smrti</w:t>
      </w:r>
      <w:r>
        <w:rPr>
          <w:color w:val="231F20"/>
          <w:spacing w:val="-19"/>
          <w:w w:val="105"/>
        </w:rPr>
        <w:t xml:space="preserve"> </w:t>
      </w:r>
      <w:r>
        <w:rPr>
          <w:color w:val="231F20"/>
          <w:w w:val="105"/>
        </w:rPr>
        <w:t>následkem</w:t>
      </w:r>
      <w:r>
        <w:rPr>
          <w:color w:val="231F20"/>
          <w:spacing w:val="-18"/>
          <w:w w:val="105"/>
        </w:rPr>
        <w:t xml:space="preserve"> </w:t>
      </w:r>
      <w:r>
        <w:rPr>
          <w:color w:val="231F20"/>
          <w:w w:val="105"/>
        </w:rPr>
        <w:t>ÚRAZU</w:t>
      </w:r>
    </w:p>
    <w:p w14:paraId="15DBC35B" w14:textId="77777777" w:rsidR="00F65BCA" w:rsidRDefault="00216117">
      <w:pPr>
        <w:pStyle w:val="Zkladntext"/>
        <w:spacing w:before="148" w:line="278" w:lineRule="auto"/>
        <w:ind w:left="186" w:right="418"/>
      </w:pPr>
      <w:r>
        <w:rPr>
          <w:color w:val="231F20"/>
        </w:rPr>
        <w:t xml:space="preserve">Právo na pojistné plnění má obmyšlený. Nebyl-li obmyšlený v pojistné </w:t>
      </w:r>
      <w:r>
        <w:rPr>
          <w:color w:val="231F20"/>
          <w:spacing w:val="-3"/>
        </w:rPr>
        <w:t xml:space="preserve">smlouvě </w:t>
      </w:r>
      <w:r>
        <w:rPr>
          <w:color w:val="231F20"/>
        </w:rPr>
        <w:t>určen nebo nenabyl-li práva na pojistné plnění, nabývají ho osoby určené</w:t>
      </w:r>
      <w:r>
        <w:rPr>
          <w:color w:val="231F20"/>
          <w:spacing w:val="5"/>
        </w:rPr>
        <w:t xml:space="preserve"> </w:t>
      </w:r>
      <w:r>
        <w:rPr>
          <w:color w:val="231F20"/>
          <w:spacing w:val="-4"/>
        </w:rPr>
        <w:t>podle</w:t>
      </w:r>
    </w:p>
    <w:p w14:paraId="2AE23E18" w14:textId="77777777" w:rsidR="00F65BCA" w:rsidRDefault="00216117">
      <w:pPr>
        <w:pStyle w:val="Zkladntext"/>
        <w:ind w:left="186"/>
      </w:pPr>
      <w:r>
        <w:rPr>
          <w:color w:val="231F20"/>
        </w:rPr>
        <w:t>§ 2831 zákoníku.</w:t>
      </w:r>
    </w:p>
    <w:p w14:paraId="4474F5DC" w14:textId="77777777" w:rsidR="00F65BCA" w:rsidRDefault="00F65BCA">
      <w:pPr>
        <w:sectPr w:rsidR="00F65BCA">
          <w:pgSz w:w="11910" w:h="16840"/>
          <w:pgMar w:top="520" w:right="140" w:bottom="0" w:left="140" w:header="708" w:footer="708" w:gutter="0"/>
          <w:cols w:num="2" w:space="708" w:equalWidth="0">
            <w:col w:w="5700" w:space="40"/>
            <w:col w:w="5890"/>
          </w:cols>
        </w:sectPr>
      </w:pPr>
    </w:p>
    <w:p w14:paraId="5608DC47" w14:textId="77777777" w:rsidR="00F65BCA" w:rsidRDefault="00000000">
      <w:pPr>
        <w:pStyle w:val="Zkladntext"/>
        <w:ind w:left="115"/>
        <w:rPr>
          <w:sz w:val="20"/>
        </w:rPr>
      </w:pPr>
      <w:r>
        <w:rPr>
          <w:sz w:val="20"/>
        </w:rPr>
      </w:r>
      <w:r>
        <w:rPr>
          <w:sz w:val="20"/>
        </w:rPr>
        <w:pict w14:anchorId="3F84C3FE">
          <v:shape id="_x0000_s2573" type="#_x0000_t202" style="width:569.8pt;height:31.5pt;mso-left-percent:-10001;mso-top-percent:-10001;mso-position-horizontal:absolute;mso-position-horizontal-relative:char;mso-position-vertical:absolute;mso-position-vertical-relative:line;mso-left-percent:-10001;mso-top-percent:-10001" fillcolor="#808285" stroked="f">
            <v:textbox inset="0,0,0,0">
              <w:txbxContent>
                <w:p w14:paraId="32EEDB5A" w14:textId="77777777" w:rsidR="00F65BCA" w:rsidRDefault="00216117">
                  <w:pPr>
                    <w:spacing w:before="31"/>
                    <w:ind w:left="603" w:right="591"/>
                    <w:jc w:val="center"/>
                    <w:rPr>
                      <w:b/>
                      <w:sz w:val="24"/>
                    </w:rPr>
                  </w:pPr>
                  <w:r>
                    <w:rPr>
                      <w:b/>
                      <w:color w:val="FFFFFF"/>
                      <w:sz w:val="24"/>
                    </w:rPr>
                    <w:t>OCEŇOVACÍ TABULKY</w:t>
                  </w:r>
                </w:p>
                <w:p w14:paraId="1061E098" w14:textId="77777777" w:rsidR="00F65BCA" w:rsidRDefault="00216117">
                  <w:pPr>
                    <w:spacing w:before="12"/>
                    <w:ind w:left="603" w:right="591"/>
                    <w:jc w:val="center"/>
                    <w:rPr>
                      <w:b/>
                      <w:sz w:val="24"/>
                    </w:rPr>
                  </w:pPr>
                  <w:r>
                    <w:rPr>
                      <w:b/>
                      <w:color w:val="FFFFFF"/>
                      <w:sz w:val="24"/>
                    </w:rPr>
                    <w:t>PRO STANOVENÍ VÝŠE POJISTNÉHO PLNĚNÍ Z ÚRAZOVÉHO POJIŠTĚNÍ (OT-PMV-0002)</w:t>
                  </w:r>
                </w:p>
              </w:txbxContent>
            </v:textbox>
            <w10:anchorlock/>
          </v:shape>
        </w:pict>
      </w:r>
    </w:p>
    <w:p w14:paraId="2CF76417" w14:textId="77777777" w:rsidR="00F65BCA" w:rsidRDefault="00F65BCA">
      <w:pPr>
        <w:pStyle w:val="Zkladntext"/>
        <w:spacing w:before="8"/>
        <w:rPr>
          <w:sz w:val="12"/>
        </w:rPr>
      </w:pPr>
    </w:p>
    <w:p w14:paraId="29C78718" w14:textId="77777777" w:rsidR="00F65BCA" w:rsidRDefault="00216117">
      <w:pPr>
        <w:tabs>
          <w:tab w:val="left" w:pos="1285"/>
          <w:tab w:val="left" w:pos="11481"/>
        </w:tabs>
        <w:spacing w:before="103"/>
        <w:ind w:left="143"/>
        <w:rPr>
          <w:sz w:val="24"/>
        </w:rPr>
      </w:pPr>
      <w:r>
        <w:rPr>
          <w:color w:val="231F20"/>
          <w:sz w:val="24"/>
          <w:shd w:val="clear" w:color="auto" w:fill="DCDDDE"/>
        </w:rPr>
        <w:t xml:space="preserve"> </w:t>
      </w:r>
      <w:r>
        <w:rPr>
          <w:color w:val="231F20"/>
          <w:sz w:val="24"/>
          <w:shd w:val="clear" w:color="auto" w:fill="DCDDDE"/>
        </w:rPr>
        <w:tab/>
      </w:r>
      <w:r>
        <w:rPr>
          <w:color w:val="231F20"/>
          <w:spacing w:val="-6"/>
          <w:sz w:val="24"/>
          <w:shd w:val="clear" w:color="auto" w:fill="DCDDDE"/>
        </w:rPr>
        <w:t>Oceňovací</w:t>
      </w:r>
      <w:r>
        <w:rPr>
          <w:color w:val="231F20"/>
          <w:spacing w:val="-11"/>
          <w:sz w:val="24"/>
          <w:shd w:val="clear" w:color="auto" w:fill="DCDDDE"/>
        </w:rPr>
        <w:t xml:space="preserve"> </w:t>
      </w:r>
      <w:r>
        <w:rPr>
          <w:color w:val="231F20"/>
          <w:spacing w:val="-6"/>
          <w:sz w:val="24"/>
          <w:shd w:val="clear" w:color="auto" w:fill="DCDDDE"/>
        </w:rPr>
        <w:t>tabulka</w:t>
      </w:r>
      <w:r>
        <w:rPr>
          <w:color w:val="231F20"/>
          <w:spacing w:val="-11"/>
          <w:sz w:val="24"/>
          <w:shd w:val="clear" w:color="auto" w:fill="DCDDDE"/>
        </w:rPr>
        <w:t xml:space="preserve"> </w:t>
      </w:r>
      <w:r>
        <w:rPr>
          <w:color w:val="231F20"/>
          <w:sz w:val="24"/>
          <w:shd w:val="clear" w:color="auto" w:fill="DCDDDE"/>
        </w:rPr>
        <w:t>A</w:t>
      </w:r>
      <w:r>
        <w:rPr>
          <w:color w:val="231F20"/>
          <w:spacing w:val="-11"/>
          <w:sz w:val="24"/>
          <w:shd w:val="clear" w:color="auto" w:fill="DCDDDE"/>
        </w:rPr>
        <w:t xml:space="preserve"> </w:t>
      </w:r>
      <w:r>
        <w:rPr>
          <w:color w:val="231F20"/>
          <w:spacing w:val="-6"/>
          <w:sz w:val="24"/>
          <w:shd w:val="clear" w:color="auto" w:fill="DCDDDE"/>
        </w:rPr>
        <w:t>Pojištění</w:t>
      </w:r>
      <w:r>
        <w:rPr>
          <w:color w:val="231F20"/>
          <w:spacing w:val="-10"/>
          <w:sz w:val="24"/>
          <w:shd w:val="clear" w:color="auto" w:fill="DCDDDE"/>
        </w:rPr>
        <w:t xml:space="preserve"> </w:t>
      </w:r>
      <w:r>
        <w:rPr>
          <w:color w:val="231F20"/>
          <w:spacing w:val="-6"/>
          <w:sz w:val="24"/>
          <w:shd w:val="clear" w:color="auto" w:fill="DCDDDE"/>
        </w:rPr>
        <w:t>denního</w:t>
      </w:r>
      <w:r>
        <w:rPr>
          <w:color w:val="231F20"/>
          <w:spacing w:val="-11"/>
          <w:sz w:val="24"/>
          <w:shd w:val="clear" w:color="auto" w:fill="DCDDDE"/>
        </w:rPr>
        <w:t xml:space="preserve"> </w:t>
      </w:r>
      <w:r>
        <w:rPr>
          <w:color w:val="231F20"/>
          <w:spacing w:val="-5"/>
          <w:sz w:val="24"/>
          <w:shd w:val="clear" w:color="auto" w:fill="DCDDDE"/>
        </w:rPr>
        <w:t>plnění</w:t>
      </w:r>
      <w:r>
        <w:rPr>
          <w:color w:val="231F20"/>
          <w:spacing w:val="-11"/>
          <w:sz w:val="24"/>
          <w:shd w:val="clear" w:color="auto" w:fill="DCDDDE"/>
        </w:rPr>
        <w:t xml:space="preserve"> </w:t>
      </w:r>
      <w:r>
        <w:rPr>
          <w:color w:val="231F20"/>
          <w:spacing w:val="-3"/>
          <w:sz w:val="24"/>
          <w:shd w:val="clear" w:color="auto" w:fill="DCDDDE"/>
        </w:rPr>
        <w:t>za</w:t>
      </w:r>
      <w:r>
        <w:rPr>
          <w:color w:val="231F20"/>
          <w:spacing w:val="-10"/>
          <w:sz w:val="24"/>
          <w:shd w:val="clear" w:color="auto" w:fill="DCDDDE"/>
        </w:rPr>
        <w:t xml:space="preserve"> </w:t>
      </w:r>
      <w:r>
        <w:rPr>
          <w:color w:val="231F20"/>
          <w:spacing w:val="-5"/>
          <w:sz w:val="24"/>
          <w:shd w:val="clear" w:color="auto" w:fill="DCDDDE"/>
        </w:rPr>
        <w:t>dobu</w:t>
      </w:r>
      <w:r>
        <w:rPr>
          <w:color w:val="231F20"/>
          <w:spacing w:val="-11"/>
          <w:sz w:val="24"/>
          <w:shd w:val="clear" w:color="auto" w:fill="DCDDDE"/>
        </w:rPr>
        <w:t xml:space="preserve"> </w:t>
      </w:r>
      <w:r>
        <w:rPr>
          <w:color w:val="231F20"/>
          <w:spacing w:val="-6"/>
          <w:sz w:val="24"/>
          <w:shd w:val="clear" w:color="auto" w:fill="DCDDDE"/>
        </w:rPr>
        <w:t>nezbytného</w:t>
      </w:r>
      <w:r>
        <w:rPr>
          <w:color w:val="231F20"/>
          <w:spacing w:val="-11"/>
          <w:sz w:val="24"/>
          <w:shd w:val="clear" w:color="auto" w:fill="DCDDDE"/>
        </w:rPr>
        <w:t xml:space="preserve"> </w:t>
      </w:r>
      <w:r>
        <w:rPr>
          <w:color w:val="231F20"/>
          <w:spacing w:val="-5"/>
          <w:sz w:val="24"/>
          <w:shd w:val="clear" w:color="auto" w:fill="DCDDDE"/>
        </w:rPr>
        <w:t>léčení</w:t>
      </w:r>
      <w:r>
        <w:rPr>
          <w:color w:val="231F20"/>
          <w:spacing w:val="-11"/>
          <w:sz w:val="24"/>
          <w:shd w:val="clear" w:color="auto" w:fill="DCDDDE"/>
        </w:rPr>
        <w:t xml:space="preserve"> </w:t>
      </w:r>
      <w:r>
        <w:rPr>
          <w:color w:val="231F20"/>
          <w:spacing w:val="-5"/>
          <w:sz w:val="24"/>
          <w:shd w:val="clear" w:color="auto" w:fill="DCDDDE"/>
        </w:rPr>
        <w:t>úrazu</w:t>
      </w:r>
      <w:r>
        <w:rPr>
          <w:color w:val="231F20"/>
          <w:spacing w:val="-10"/>
          <w:sz w:val="24"/>
          <w:shd w:val="clear" w:color="auto" w:fill="DCDDDE"/>
        </w:rPr>
        <w:t xml:space="preserve"> </w:t>
      </w:r>
      <w:r>
        <w:rPr>
          <w:color w:val="231F20"/>
          <w:sz w:val="24"/>
          <w:shd w:val="clear" w:color="auto" w:fill="DCDDDE"/>
        </w:rPr>
        <w:t>s</w:t>
      </w:r>
      <w:r>
        <w:rPr>
          <w:color w:val="231F20"/>
          <w:spacing w:val="-11"/>
          <w:sz w:val="24"/>
          <w:shd w:val="clear" w:color="auto" w:fill="DCDDDE"/>
        </w:rPr>
        <w:t xml:space="preserve"> </w:t>
      </w:r>
      <w:r>
        <w:rPr>
          <w:color w:val="231F20"/>
          <w:spacing w:val="-6"/>
          <w:sz w:val="24"/>
          <w:shd w:val="clear" w:color="auto" w:fill="DCDDDE"/>
        </w:rPr>
        <w:t>progresí</w:t>
      </w:r>
      <w:r>
        <w:rPr>
          <w:color w:val="231F20"/>
          <w:spacing w:val="-6"/>
          <w:sz w:val="24"/>
          <w:shd w:val="clear" w:color="auto" w:fill="DCDDDE"/>
        </w:rPr>
        <w:tab/>
      </w:r>
    </w:p>
    <w:p w14:paraId="66967B28" w14:textId="77777777" w:rsidR="00F65BCA" w:rsidRDefault="00F65BCA">
      <w:pPr>
        <w:pStyle w:val="Zkladntext"/>
        <w:spacing w:before="7"/>
        <w:rPr>
          <w:sz w:val="16"/>
        </w:rPr>
      </w:pPr>
    </w:p>
    <w:p w14:paraId="35FFACC3" w14:textId="77777777" w:rsidR="00F65BCA" w:rsidRDefault="00F65BCA">
      <w:pPr>
        <w:rPr>
          <w:sz w:val="16"/>
        </w:rPr>
        <w:sectPr w:rsidR="00F65BCA">
          <w:pgSz w:w="11910" w:h="16840"/>
          <w:pgMar w:top="260" w:right="140" w:bottom="0" w:left="140" w:header="708" w:footer="708" w:gutter="0"/>
          <w:cols w:space="708"/>
        </w:sectPr>
      </w:pPr>
    </w:p>
    <w:p w14:paraId="2C9378A7" w14:textId="77777777" w:rsidR="00F65BCA" w:rsidRDefault="00216117">
      <w:pPr>
        <w:tabs>
          <w:tab w:val="left" w:pos="1402"/>
          <w:tab w:val="left" w:pos="3280"/>
        </w:tabs>
        <w:spacing w:before="105"/>
        <w:ind w:left="139"/>
        <w:jc w:val="center"/>
        <w:rPr>
          <w:b/>
          <w:sz w:val="12"/>
        </w:rPr>
      </w:pP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DNL</w:t>
      </w:r>
      <w:r>
        <w:rPr>
          <w:b/>
          <w:color w:val="231F20"/>
          <w:spacing w:val="-20"/>
          <w:position w:val="1"/>
          <w:sz w:val="12"/>
        </w:rPr>
        <w:t xml:space="preserve"> </w:t>
      </w:r>
      <w:r>
        <w:rPr>
          <w:b/>
          <w:color w:val="231F20"/>
          <w:position w:val="1"/>
          <w:sz w:val="12"/>
        </w:rPr>
        <w:t>–</w:t>
      </w:r>
      <w:r>
        <w:rPr>
          <w:b/>
          <w:color w:val="231F20"/>
          <w:spacing w:val="-19"/>
          <w:position w:val="1"/>
          <w:sz w:val="12"/>
        </w:rPr>
        <w:t xml:space="preserve"> </w:t>
      </w:r>
      <w:r>
        <w:rPr>
          <w:b/>
          <w:color w:val="231F20"/>
          <w:position w:val="1"/>
          <w:sz w:val="12"/>
        </w:rPr>
        <w:t>8</w:t>
      </w:r>
    </w:p>
    <w:p w14:paraId="308860E8" w14:textId="77777777" w:rsidR="00F65BCA" w:rsidRDefault="00216117">
      <w:pPr>
        <w:spacing w:before="63"/>
        <w:ind w:left="139" w:right="258"/>
        <w:jc w:val="center"/>
        <w:rPr>
          <w:b/>
          <w:sz w:val="14"/>
        </w:rPr>
      </w:pPr>
      <w:r>
        <w:rPr>
          <w:b/>
          <w:color w:val="231F20"/>
          <w:sz w:val="14"/>
        </w:rPr>
        <w:t>HLAVA</w:t>
      </w:r>
    </w:p>
    <w:p w14:paraId="7AFA6DA2" w14:textId="77777777" w:rsidR="00F65BCA" w:rsidRDefault="00216117">
      <w:pPr>
        <w:spacing w:before="55" w:line="80" w:lineRule="exact"/>
        <w:ind w:left="455"/>
        <w:rPr>
          <w:b/>
          <w:sz w:val="12"/>
        </w:rPr>
      </w:pPr>
      <w:r>
        <w:rPr>
          <w:b/>
          <w:color w:val="231F20"/>
          <w:sz w:val="12"/>
        </w:rPr>
        <w:t>Skalpace hlavy s kožním defektem</w:t>
      </w:r>
    </w:p>
    <w:p w14:paraId="744CD962" w14:textId="77777777" w:rsidR="00F65BCA" w:rsidRDefault="00216117">
      <w:pPr>
        <w:tabs>
          <w:tab w:val="left" w:pos="1442"/>
          <w:tab w:val="left" w:pos="3320"/>
        </w:tabs>
        <w:spacing w:before="119"/>
        <w:ind w:left="179"/>
        <w:rPr>
          <w:b/>
          <w:sz w:val="12"/>
        </w:rPr>
      </w:pPr>
      <w:r>
        <w:br w:type="column"/>
      </w: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DNL</w:t>
      </w:r>
      <w:r>
        <w:rPr>
          <w:b/>
          <w:color w:val="231F20"/>
          <w:spacing w:val="-20"/>
          <w:position w:val="1"/>
          <w:sz w:val="12"/>
        </w:rPr>
        <w:t xml:space="preserve"> </w:t>
      </w:r>
      <w:r>
        <w:rPr>
          <w:b/>
          <w:color w:val="231F20"/>
          <w:position w:val="1"/>
          <w:sz w:val="12"/>
        </w:rPr>
        <w:t>–</w:t>
      </w:r>
      <w:r>
        <w:rPr>
          <w:b/>
          <w:color w:val="231F20"/>
          <w:spacing w:val="-19"/>
          <w:position w:val="1"/>
          <w:sz w:val="12"/>
        </w:rPr>
        <w:t xml:space="preserve"> </w:t>
      </w:r>
      <w:r>
        <w:rPr>
          <w:b/>
          <w:color w:val="231F20"/>
          <w:position w:val="1"/>
          <w:sz w:val="12"/>
        </w:rPr>
        <w:t>8</w:t>
      </w:r>
    </w:p>
    <w:p w14:paraId="433C766B" w14:textId="77777777" w:rsidR="00F65BCA" w:rsidRDefault="00F65BCA">
      <w:pPr>
        <w:pStyle w:val="Zkladntext"/>
        <w:spacing w:before="1"/>
        <w:rPr>
          <w:b/>
          <w:sz w:val="16"/>
        </w:rPr>
      </w:pPr>
    </w:p>
    <w:p w14:paraId="0197BD6B" w14:textId="77777777" w:rsidR="00F65BCA" w:rsidRDefault="00216117">
      <w:pPr>
        <w:ind w:left="455"/>
        <w:rPr>
          <w:b/>
          <w:sz w:val="12"/>
        </w:rPr>
      </w:pPr>
      <w:r>
        <w:rPr>
          <w:b/>
          <w:color w:val="231F20"/>
          <w:sz w:val="12"/>
        </w:rPr>
        <w:t>Ostatní poranění</w:t>
      </w:r>
    </w:p>
    <w:p w14:paraId="354A5D7B" w14:textId="77777777" w:rsidR="00F65BCA" w:rsidRDefault="00216117">
      <w:pPr>
        <w:tabs>
          <w:tab w:val="left" w:pos="1442"/>
          <w:tab w:val="left" w:pos="3320"/>
        </w:tabs>
        <w:spacing w:before="119"/>
        <w:ind w:left="179"/>
        <w:rPr>
          <w:b/>
          <w:sz w:val="12"/>
        </w:rPr>
      </w:pPr>
      <w:r>
        <w:br w:type="column"/>
      </w: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DNL –</w:t>
      </w:r>
      <w:r>
        <w:rPr>
          <w:b/>
          <w:color w:val="231F20"/>
          <w:spacing w:val="-23"/>
          <w:position w:val="1"/>
          <w:sz w:val="12"/>
        </w:rPr>
        <w:t xml:space="preserve"> </w:t>
      </w:r>
      <w:r>
        <w:rPr>
          <w:b/>
          <w:color w:val="231F20"/>
          <w:position w:val="1"/>
          <w:sz w:val="12"/>
        </w:rPr>
        <w:t>8</w:t>
      </w:r>
    </w:p>
    <w:p w14:paraId="00F10697" w14:textId="77777777" w:rsidR="00F65BCA" w:rsidRDefault="00F65BCA">
      <w:pPr>
        <w:pStyle w:val="Zkladntext"/>
        <w:spacing w:before="7"/>
        <w:rPr>
          <w:b/>
          <w:sz w:val="16"/>
        </w:rPr>
      </w:pPr>
    </w:p>
    <w:p w14:paraId="399671BC" w14:textId="77777777" w:rsidR="00F65BCA" w:rsidRDefault="00216117">
      <w:pPr>
        <w:ind w:left="1068"/>
        <w:rPr>
          <w:b/>
          <w:sz w:val="12"/>
        </w:rPr>
      </w:pPr>
      <w:r>
        <w:rPr>
          <w:b/>
          <w:color w:val="231F20"/>
          <w:sz w:val="12"/>
        </w:rPr>
        <w:t>Poranění vnitřních orgánů</w:t>
      </w:r>
    </w:p>
    <w:p w14:paraId="5B961532" w14:textId="77777777" w:rsidR="00F65BCA" w:rsidRDefault="00F65BCA">
      <w:pPr>
        <w:rPr>
          <w:sz w:val="12"/>
        </w:rPr>
        <w:sectPr w:rsidR="00F65BCA">
          <w:type w:val="continuous"/>
          <w:pgSz w:w="11910" w:h="16840"/>
          <w:pgMar w:top="840" w:right="140" w:bottom="280" w:left="140" w:header="708" w:footer="708" w:gutter="0"/>
          <w:cols w:num="3" w:space="708" w:equalWidth="0">
            <w:col w:w="3753" w:space="76"/>
            <w:col w:w="3753" w:space="75"/>
            <w:col w:w="3973"/>
          </w:cols>
        </w:sectPr>
      </w:pPr>
    </w:p>
    <w:p w14:paraId="27B80F55" w14:textId="77777777" w:rsidR="00F65BCA" w:rsidRDefault="00000000">
      <w:pPr>
        <w:pStyle w:val="Odstavecseseznamem"/>
        <w:numPr>
          <w:ilvl w:val="0"/>
          <w:numId w:val="83"/>
        </w:numPr>
        <w:tabs>
          <w:tab w:val="left" w:pos="456"/>
        </w:tabs>
        <w:spacing w:before="96"/>
        <w:ind w:hanging="273"/>
        <w:rPr>
          <w:sz w:val="12"/>
        </w:rPr>
      </w:pPr>
      <w:r>
        <w:pict w14:anchorId="635FC1A3">
          <v:group id="_x0000_s2186" style="position:absolute;left:0;text-align:left;margin-left:0;margin-top:807.85pt;width:595.3pt;height:34.05pt;z-index:251933696;mso-position-horizontal-relative:page;mso-position-vertical-relative:page" coordorigin=",16157" coordsize="11906,681">
            <v:shape id="_x0000_s2188" type="#_x0000_t75" style="position:absolute;top:16157;width:11906;height:681">
              <v:imagedata r:id="rId57" o:title=""/>
            </v:shape>
            <v:shape id="_x0000_s2187" type="#_x0000_t202" style="position:absolute;left:1020;top:16477;width:1414;height:164" filled="f" stroked="f">
              <v:textbox inset="0,0,0,0">
                <w:txbxContent>
                  <w:p w14:paraId="79379DA7" w14:textId="77777777" w:rsidR="00F65BCA" w:rsidRDefault="00216117">
                    <w:pPr>
                      <w:spacing w:before="2"/>
                      <w:rPr>
                        <w:sz w:val="14"/>
                      </w:rPr>
                    </w:pPr>
                    <w:r>
                      <w:rPr>
                        <w:color w:val="231F20"/>
                        <w:sz w:val="14"/>
                      </w:rPr>
                      <w:t>6.20.012 05.2025 v04</w:t>
                    </w:r>
                  </w:p>
                </w:txbxContent>
              </v:textbox>
            </v:shape>
            <w10:wrap anchorx="page" anchory="page"/>
          </v:group>
        </w:pict>
      </w:r>
      <w:r w:rsidR="00216117">
        <w:rPr>
          <w:noProof/>
        </w:rPr>
        <w:drawing>
          <wp:anchor distT="0" distB="0" distL="0" distR="0" simplePos="0" relativeHeight="204020736" behindDoc="1" locked="0" layoutInCell="1" allowOverlap="1" wp14:anchorId="6B94664D" wp14:editId="37257AE1">
            <wp:simplePos x="0" y="0"/>
            <wp:positionH relativeFrom="page">
              <wp:posOffset>179997</wp:posOffset>
            </wp:positionH>
            <wp:positionV relativeFrom="page">
              <wp:posOffset>1076402</wp:posOffset>
            </wp:positionV>
            <wp:extent cx="7202401" cy="9054000"/>
            <wp:effectExtent l="0" t="0" r="0" b="0"/>
            <wp:wrapNone/>
            <wp:docPr id="29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42.png"/>
                    <pic:cNvPicPr/>
                  </pic:nvPicPr>
                  <pic:blipFill>
                    <a:blip r:embed="rId58" cstate="print"/>
                    <a:stretch>
                      <a:fillRect/>
                    </a:stretch>
                  </pic:blipFill>
                  <pic:spPr>
                    <a:xfrm>
                      <a:off x="0" y="0"/>
                      <a:ext cx="7202401" cy="9054000"/>
                    </a:xfrm>
                    <a:prstGeom prst="rect">
                      <a:avLst/>
                    </a:prstGeom>
                  </pic:spPr>
                </pic:pic>
              </a:graphicData>
            </a:graphic>
          </wp:anchor>
        </w:drawing>
      </w:r>
      <w:r w:rsidR="00216117">
        <w:rPr>
          <w:color w:val="231F20"/>
          <w:sz w:val="12"/>
        </w:rPr>
        <w:t>částečná</w:t>
      </w:r>
    </w:p>
    <w:p w14:paraId="5B31067F" w14:textId="77777777" w:rsidR="00F65BCA" w:rsidRDefault="00216117">
      <w:pPr>
        <w:pStyle w:val="Odstavecseseznamem"/>
        <w:numPr>
          <w:ilvl w:val="0"/>
          <w:numId w:val="83"/>
        </w:numPr>
        <w:tabs>
          <w:tab w:val="left" w:pos="456"/>
        </w:tabs>
        <w:spacing w:before="38"/>
        <w:ind w:hanging="273"/>
        <w:rPr>
          <w:sz w:val="12"/>
        </w:rPr>
      </w:pPr>
      <w:r>
        <w:rPr>
          <w:color w:val="231F20"/>
          <w:sz w:val="12"/>
        </w:rPr>
        <w:t>úplná</w:t>
      </w:r>
    </w:p>
    <w:p w14:paraId="02D30F15" w14:textId="77777777" w:rsidR="00F65BCA" w:rsidRDefault="00216117">
      <w:pPr>
        <w:pStyle w:val="Odstavecseseznamem"/>
        <w:numPr>
          <w:ilvl w:val="0"/>
          <w:numId w:val="83"/>
        </w:numPr>
        <w:tabs>
          <w:tab w:val="left" w:pos="456"/>
        </w:tabs>
        <w:spacing w:before="37"/>
        <w:ind w:hanging="273"/>
        <w:rPr>
          <w:sz w:val="12"/>
        </w:rPr>
      </w:pPr>
      <w:r>
        <w:rPr>
          <w:color w:val="231F20"/>
          <w:sz w:val="12"/>
        </w:rPr>
        <w:t>Pohmoždění hlavy bez otřesu</w:t>
      </w:r>
      <w:r>
        <w:rPr>
          <w:color w:val="231F20"/>
          <w:spacing w:val="-11"/>
          <w:sz w:val="12"/>
        </w:rPr>
        <w:t xml:space="preserve"> </w:t>
      </w:r>
      <w:r>
        <w:rPr>
          <w:color w:val="231F20"/>
          <w:sz w:val="12"/>
        </w:rPr>
        <w:t>mozku</w:t>
      </w:r>
    </w:p>
    <w:p w14:paraId="75F63D0B" w14:textId="77777777" w:rsidR="00F65BCA" w:rsidRDefault="00216117">
      <w:pPr>
        <w:pStyle w:val="Odstavecseseznamem"/>
        <w:numPr>
          <w:ilvl w:val="0"/>
          <w:numId w:val="83"/>
        </w:numPr>
        <w:tabs>
          <w:tab w:val="left" w:pos="456"/>
        </w:tabs>
        <w:spacing w:before="38"/>
        <w:ind w:hanging="273"/>
        <w:rPr>
          <w:sz w:val="12"/>
        </w:rPr>
      </w:pPr>
      <w:r>
        <w:rPr>
          <w:color w:val="231F20"/>
          <w:sz w:val="12"/>
        </w:rPr>
        <w:t>Pohmoždění</w:t>
      </w:r>
      <w:r>
        <w:rPr>
          <w:color w:val="231F20"/>
          <w:spacing w:val="-1"/>
          <w:sz w:val="12"/>
        </w:rPr>
        <w:t xml:space="preserve"> </w:t>
      </w:r>
      <w:r>
        <w:rPr>
          <w:color w:val="231F20"/>
          <w:sz w:val="12"/>
        </w:rPr>
        <w:t>obličeje</w:t>
      </w:r>
    </w:p>
    <w:p w14:paraId="0290B37B" w14:textId="77777777" w:rsidR="00F65BCA" w:rsidRDefault="00216117">
      <w:pPr>
        <w:pStyle w:val="Odstavecseseznamem"/>
        <w:numPr>
          <w:ilvl w:val="0"/>
          <w:numId w:val="83"/>
        </w:numPr>
        <w:tabs>
          <w:tab w:val="left" w:pos="456"/>
        </w:tabs>
        <w:spacing w:before="50" w:line="242" w:lineRule="auto"/>
        <w:ind w:right="247"/>
        <w:rPr>
          <w:sz w:val="12"/>
        </w:rPr>
      </w:pPr>
      <w:r>
        <w:rPr>
          <w:color w:val="231F20"/>
          <w:sz w:val="12"/>
        </w:rPr>
        <w:t>Podvrtnutí,</w:t>
      </w:r>
      <w:r>
        <w:rPr>
          <w:color w:val="231F20"/>
          <w:spacing w:val="-18"/>
          <w:sz w:val="12"/>
        </w:rPr>
        <w:t xml:space="preserve"> </w:t>
      </w:r>
      <w:r>
        <w:rPr>
          <w:color w:val="231F20"/>
          <w:sz w:val="12"/>
        </w:rPr>
        <w:t>vymknutí</w:t>
      </w:r>
      <w:r>
        <w:rPr>
          <w:color w:val="231F20"/>
          <w:spacing w:val="-17"/>
          <w:sz w:val="12"/>
        </w:rPr>
        <w:t xml:space="preserve"> </w:t>
      </w:r>
      <w:r>
        <w:rPr>
          <w:color w:val="231F20"/>
          <w:sz w:val="12"/>
        </w:rPr>
        <w:t>dolní</w:t>
      </w:r>
      <w:r>
        <w:rPr>
          <w:color w:val="231F20"/>
          <w:spacing w:val="-18"/>
          <w:sz w:val="12"/>
        </w:rPr>
        <w:t xml:space="preserve"> </w:t>
      </w:r>
      <w:r>
        <w:rPr>
          <w:color w:val="231F20"/>
          <w:sz w:val="12"/>
        </w:rPr>
        <w:t>čelisti</w:t>
      </w:r>
      <w:r>
        <w:rPr>
          <w:color w:val="231F20"/>
          <w:spacing w:val="-17"/>
          <w:sz w:val="12"/>
        </w:rPr>
        <w:t xml:space="preserve"> </w:t>
      </w:r>
      <w:r>
        <w:rPr>
          <w:color w:val="231F20"/>
          <w:sz w:val="12"/>
        </w:rPr>
        <w:t>(jednostranné i</w:t>
      </w:r>
      <w:r>
        <w:rPr>
          <w:color w:val="231F20"/>
          <w:spacing w:val="-1"/>
          <w:sz w:val="12"/>
        </w:rPr>
        <w:t xml:space="preserve"> </w:t>
      </w:r>
      <w:r>
        <w:rPr>
          <w:color w:val="231F20"/>
          <w:sz w:val="12"/>
        </w:rPr>
        <w:t>oboustranné)</w:t>
      </w:r>
    </w:p>
    <w:p w14:paraId="0442300F" w14:textId="77777777" w:rsidR="00F65BCA" w:rsidRDefault="00216117">
      <w:pPr>
        <w:spacing w:before="49"/>
        <w:ind w:left="1460"/>
        <w:rPr>
          <w:b/>
          <w:sz w:val="14"/>
        </w:rPr>
      </w:pPr>
      <w:r>
        <w:rPr>
          <w:b/>
          <w:color w:val="231F20"/>
          <w:sz w:val="14"/>
        </w:rPr>
        <w:t>Zlomeniny</w:t>
      </w:r>
    </w:p>
    <w:p w14:paraId="7A3A4FAB" w14:textId="77777777" w:rsidR="00F65BCA" w:rsidRDefault="00216117">
      <w:pPr>
        <w:pStyle w:val="Odstavecseseznamem"/>
        <w:numPr>
          <w:ilvl w:val="0"/>
          <w:numId w:val="83"/>
        </w:numPr>
        <w:tabs>
          <w:tab w:val="left" w:pos="456"/>
        </w:tabs>
        <w:spacing w:before="35"/>
        <w:ind w:hanging="273"/>
        <w:rPr>
          <w:sz w:val="12"/>
        </w:rPr>
      </w:pPr>
      <w:r>
        <w:rPr>
          <w:color w:val="231F20"/>
          <w:sz w:val="12"/>
        </w:rPr>
        <w:t>Zlomenina spodiny (base)</w:t>
      </w:r>
      <w:r>
        <w:rPr>
          <w:color w:val="231F20"/>
          <w:spacing w:val="-8"/>
          <w:sz w:val="12"/>
        </w:rPr>
        <w:t xml:space="preserve"> </w:t>
      </w:r>
      <w:r>
        <w:rPr>
          <w:color w:val="231F20"/>
          <w:sz w:val="12"/>
        </w:rPr>
        <w:t>lební</w:t>
      </w:r>
    </w:p>
    <w:p w14:paraId="2A0F4800" w14:textId="77777777" w:rsidR="00F65BCA" w:rsidRDefault="00216117">
      <w:pPr>
        <w:spacing w:before="33" w:line="242" w:lineRule="auto"/>
        <w:ind w:left="455" w:right="100"/>
        <w:rPr>
          <w:b/>
          <w:sz w:val="12"/>
        </w:rPr>
      </w:pPr>
      <w:r>
        <w:rPr>
          <w:b/>
          <w:color w:val="231F20"/>
          <w:sz w:val="12"/>
        </w:rPr>
        <w:t xml:space="preserve">Zlomeniny klenby lební – kost čelní, </w:t>
      </w:r>
      <w:r>
        <w:rPr>
          <w:b/>
          <w:color w:val="231F20"/>
          <w:spacing w:val="-3"/>
          <w:sz w:val="12"/>
        </w:rPr>
        <w:t xml:space="preserve">temenní, </w:t>
      </w:r>
      <w:r>
        <w:rPr>
          <w:b/>
          <w:color w:val="231F20"/>
          <w:sz w:val="12"/>
        </w:rPr>
        <w:t>týlní, spánková,</w:t>
      </w:r>
      <w:r>
        <w:rPr>
          <w:b/>
          <w:color w:val="231F20"/>
          <w:spacing w:val="-1"/>
          <w:sz w:val="12"/>
        </w:rPr>
        <w:t xml:space="preserve"> </w:t>
      </w:r>
      <w:r>
        <w:rPr>
          <w:b/>
          <w:color w:val="231F20"/>
          <w:sz w:val="12"/>
        </w:rPr>
        <w:t>pyramida</w:t>
      </w:r>
    </w:p>
    <w:p w14:paraId="274A007E" w14:textId="77777777" w:rsidR="00F65BCA" w:rsidRDefault="00216117">
      <w:pPr>
        <w:pStyle w:val="Odstavecseseznamem"/>
        <w:numPr>
          <w:ilvl w:val="0"/>
          <w:numId w:val="83"/>
        </w:numPr>
        <w:tabs>
          <w:tab w:val="left" w:pos="456"/>
        </w:tabs>
        <w:spacing w:before="32"/>
        <w:ind w:hanging="273"/>
        <w:rPr>
          <w:sz w:val="12"/>
        </w:rPr>
      </w:pPr>
      <w:r>
        <w:rPr>
          <w:color w:val="231F20"/>
          <w:sz w:val="12"/>
        </w:rPr>
        <w:t>bez</w:t>
      </w:r>
      <w:r>
        <w:rPr>
          <w:color w:val="231F20"/>
          <w:spacing w:val="-20"/>
          <w:sz w:val="12"/>
        </w:rPr>
        <w:t xml:space="preserve"> </w:t>
      </w:r>
      <w:r>
        <w:rPr>
          <w:color w:val="231F20"/>
          <w:sz w:val="12"/>
        </w:rPr>
        <w:t>vpáčení</w:t>
      </w:r>
      <w:r>
        <w:rPr>
          <w:color w:val="231F20"/>
          <w:spacing w:val="-19"/>
          <w:sz w:val="12"/>
        </w:rPr>
        <w:t xml:space="preserve"> </w:t>
      </w:r>
      <w:r>
        <w:rPr>
          <w:color w:val="231F20"/>
          <w:sz w:val="12"/>
        </w:rPr>
        <w:t>úlomků</w:t>
      </w:r>
    </w:p>
    <w:p w14:paraId="5D01A91B" w14:textId="77777777" w:rsidR="00F65BCA" w:rsidRDefault="00216117">
      <w:pPr>
        <w:pStyle w:val="Odstavecseseznamem"/>
        <w:numPr>
          <w:ilvl w:val="0"/>
          <w:numId w:val="83"/>
        </w:numPr>
        <w:tabs>
          <w:tab w:val="left" w:pos="456"/>
        </w:tabs>
        <w:spacing w:before="32"/>
        <w:ind w:hanging="273"/>
        <w:rPr>
          <w:sz w:val="12"/>
        </w:rPr>
      </w:pPr>
      <w:r>
        <w:rPr>
          <w:color w:val="231F20"/>
          <w:sz w:val="12"/>
        </w:rPr>
        <w:t>s vpáčením úlomků nebo</w:t>
      </w:r>
      <w:r>
        <w:rPr>
          <w:color w:val="231F20"/>
          <w:spacing w:val="-9"/>
          <w:sz w:val="12"/>
        </w:rPr>
        <w:t xml:space="preserve"> </w:t>
      </w:r>
      <w:r>
        <w:rPr>
          <w:color w:val="231F20"/>
          <w:sz w:val="12"/>
        </w:rPr>
        <w:t>operované</w:t>
      </w:r>
    </w:p>
    <w:p w14:paraId="23C147A7" w14:textId="77777777" w:rsidR="00F65BCA" w:rsidRDefault="00216117">
      <w:pPr>
        <w:spacing w:before="32" w:line="295" w:lineRule="auto"/>
        <w:ind w:left="183" w:right="817" w:firstLine="271"/>
        <w:rPr>
          <w:sz w:val="12"/>
        </w:rPr>
      </w:pPr>
      <w:r>
        <w:rPr>
          <w:b/>
          <w:color w:val="231F20"/>
          <w:sz w:val="12"/>
        </w:rPr>
        <w:t xml:space="preserve">Zlomeniny kostí obličejových 009 </w:t>
      </w:r>
      <w:r>
        <w:rPr>
          <w:color w:val="231F20"/>
          <w:sz w:val="12"/>
        </w:rPr>
        <w:t>okraje, spodiny očnice</w:t>
      </w:r>
    </w:p>
    <w:p w14:paraId="48E69926" w14:textId="77777777" w:rsidR="00F65BCA" w:rsidRDefault="00216117">
      <w:pPr>
        <w:pStyle w:val="Odstavecseseznamem"/>
        <w:numPr>
          <w:ilvl w:val="0"/>
          <w:numId w:val="82"/>
        </w:numPr>
        <w:tabs>
          <w:tab w:val="left" w:pos="456"/>
        </w:tabs>
        <w:spacing w:before="1"/>
        <w:ind w:hanging="273"/>
        <w:rPr>
          <w:sz w:val="12"/>
        </w:rPr>
      </w:pPr>
      <w:r>
        <w:rPr>
          <w:color w:val="231F20"/>
          <w:sz w:val="12"/>
        </w:rPr>
        <w:t>kostí nosních bez posunu</w:t>
      </w:r>
      <w:r>
        <w:rPr>
          <w:color w:val="231F20"/>
          <w:spacing w:val="-7"/>
          <w:sz w:val="12"/>
        </w:rPr>
        <w:t xml:space="preserve"> </w:t>
      </w:r>
      <w:r>
        <w:rPr>
          <w:color w:val="231F20"/>
          <w:sz w:val="12"/>
        </w:rPr>
        <w:t>úlomků</w:t>
      </w:r>
    </w:p>
    <w:p w14:paraId="518E2B95" w14:textId="77777777" w:rsidR="00F65BCA" w:rsidRDefault="00216117">
      <w:pPr>
        <w:pStyle w:val="Odstavecseseznamem"/>
        <w:numPr>
          <w:ilvl w:val="0"/>
          <w:numId w:val="82"/>
        </w:numPr>
        <w:tabs>
          <w:tab w:val="left" w:pos="456"/>
        </w:tabs>
        <w:spacing w:before="46" w:line="220" w:lineRule="auto"/>
        <w:ind w:right="453"/>
        <w:rPr>
          <w:sz w:val="12"/>
        </w:rPr>
      </w:pPr>
      <w:r>
        <w:rPr>
          <w:color w:val="231F20"/>
          <w:position w:val="1"/>
          <w:sz w:val="12"/>
        </w:rPr>
        <w:t>kostí</w:t>
      </w:r>
      <w:r>
        <w:rPr>
          <w:color w:val="231F20"/>
          <w:spacing w:val="-24"/>
          <w:position w:val="1"/>
          <w:sz w:val="12"/>
        </w:rPr>
        <w:t xml:space="preserve"> </w:t>
      </w:r>
      <w:r>
        <w:rPr>
          <w:color w:val="231F20"/>
          <w:position w:val="1"/>
          <w:sz w:val="12"/>
        </w:rPr>
        <w:t>nosních</w:t>
      </w:r>
      <w:r>
        <w:rPr>
          <w:color w:val="231F20"/>
          <w:spacing w:val="-23"/>
          <w:position w:val="1"/>
          <w:sz w:val="12"/>
        </w:rPr>
        <w:t xml:space="preserve"> </w:t>
      </w:r>
      <w:r>
        <w:rPr>
          <w:color w:val="231F20"/>
          <w:position w:val="1"/>
          <w:sz w:val="12"/>
        </w:rPr>
        <w:t>s</w:t>
      </w:r>
      <w:r>
        <w:rPr>
          <w:color w:val="231F20"/>
          <w:spacing w:val="-23"/>
          <w:position w:val="1"/>
          <w:sz w:val="12"/>
        </w:rPr>
        <w:t xml:space="preserve"> </w:t>
      </w:r>
      <w:r>
        <w:rPr>
          <w:color w:val="231F20"/>
          <w:position w:val="1"/>
          <w:sz w:val="12"/>
        </w:rPr>
        <w:t>posunem,</w:t>
      </w:r>
      <w:r>
        <w:rPr>
          <w:color w:val="231F20"/>
          <w:spacing w:val="-23"/>
          <w:position w:val="1"/>
          <w:sz w:val="12"/>
        </w:rPr>
        <w:t xml:space="preserve"> </w:t>
      </w:r>
      <w:r>
        <w:rPr>
          <w:color w:val="231F20"/>
          <w:position w:val="1"/>
          <w:sz w:val="12"/>
        </w:rPr>
        <w:t>vpáčením</w:t>
      </w:r>
      <w:r>
        <w:rPr>
          <w:color w:val="231F20"/>
          <w:spacing w:val="-23"/>
          <w:position w:val="1"/>
          <w:sz w:val="12"/>
        </w:rPr>
        <w:t xml:space="preserve"> </w:t>
      </w:r>
      <w:r>
        <w:rPr>
          <w:color w:val="231F20"/>
          <w:spacing w:val="-2"/>
          <w:position w:val="1"/>
          <w:sz w:val="12"/>
        </w:rPr>
        <w:t>úlomků</w:t>
      </w:r>
      <w:r>
        <w:rPr>
          <w:color w:val="231F20"/>
          <w:spacing w:val="-2"/>
          <w:sz w:val="12"/>
        </w:rPr>
        <w:t xml:space="preserve"> </w:t>
      </w:r>
      <w:r>
        <w:rPr>
          <w:color w:val="231F20"/>
          <w:sz w:val="12"/>
        </w:rPr>
        <w:t>nebo</w:t>
      </w:r>
      <w:r>
        <w:rPr>
          <w:color w:val="231F20"/>
          <w:spacing w:val="-1"/>
          <w:sz w:val="12"/>
        </w:rPr>
        <w:t xml:space="preserve"> </w:t>
      </w:r>
      <w:r>
        <w:rPr>
          <w:color w:val="231F20"/>
          <w:sz w:val="12"/>
        </w:rPr>
        <w:t>operované</w:t>
      </w:r>
    </w:p>
    <w:p w14:paraId="562AD8BB" w14:textId="77777777" w:rsidR="00F65BCA" w:rsidRDefault="00216117">
      <w:pPr>
        <w:pStyle w:val="Odstavecseseznamem"/>
        <w:numPr>
          <w:ilvl w:val="0"/>
          <w:numId w:val="82"/>
        </w:numPr>
        <w:tabs>
          <w:tab w:val="left" w:pos="456"/>
        </w:tabs>
        <w:spacing w:before="34"/>
        <w:ind w:hanging="273"/>
        <w:rPr>
          <w:sz w:val="12"/>
        </w:rPr>
      </w:pPr>
      <w:r>
        <w:rPr>
          <w:color w:val="231F20"/>
          <w:sz w:val="12"/>
        </w:rPr>
        <w:t>přepážky</w:t>
      </w:r>
      <w:r>
        <w:rPr>
          <w:color w:val="231F20"/>
          <w:spacing w:val="-1"/>
          <w:sz w:val="12"/>
        </w:rPr>
        <w:t xml:space="preserve"> </w:t>
      </w:r>
      <w:r>
        <w:rPr>
          <w:color w:val="231F20"/>
          <w:sz w:val="12"/>
        </w:rPr>
        <w:t>nosní</w:t>
      </w:r>
    </w:p>
    <w:p w14:paraId="44C96376" w14:textId="77777777" w:rsidR="00F65BCA" w:rsidRDefault="00216117">
      <w:pPr>
        <w:pStyle w:val="Odstavecseseznamem"/>
        <w:numPr>
          <w:ilvl w:val="0"/>
          <w:numId w:val="82"/>
        </w:numPr>
        <w:tabs>
          <w:tab w:val="left" w:pos="456"/>
        </w:tabs>
        <w:spacing w:before="46" w:line="220" w:lineRule="auto"/>
        <w:ind w:right="629"/>
        <w:rPr>
          <w:sz w:val="12"/>
        </w:rPr>
      </w:pPr>
      <w:r>
        <w:rPr>
          <w:color w:val="231F20"/>
          <w:position w:val="1"/>
          <w:sz w:val="12"/>
        </w:rPr>
        <w:t>kosti</w:t>
      </w:r>
      <w:r>
        <w:rPr>
          <w:color w:val="231F20"/>
          <w:spacing w:val="-21"/>
          <w:position w:val="1"/>
          <w:sz w:val="12"/>
        </w:rPr>
        <w:t xml:space="preserve"> </w:t>
      </w:r>
      <w:r>
        <w:rPr>
          <w:color w:val="231F20"/>
          <w:position w:val="1"/>
          <w:sz w:val="12"/>
        </w:rPr>
        <w:t>lícní</w:t>
      </w:r>
      <w:r>
        <w:rPr>
          <w:color w:val="231F20"/>
          <w:spacing w:val="-20"/>
          <w:position w:val="1"/>
          <w:sz w:val="12"/>
        </w:rPr>
        <w:t xml:space="preserve"> </w:t>
      </w:r>
      <w:r>
        <w:rPr>
          <w:color w:val="231F20"/>
          <w:position w:val="1"/>
          <w:sz w:val="12"/>
        </w:rPr>
        <w:t>(jařmové),</w:t>
      </w:r>
      <w:r>
        <w:rPr>
          <w:color w:val="231F20"/>
          <w:spacing w:val="-20"/>
          <w:position w:val="1"/>
          <w:sz w:val="12"/>
        </w:rPr>
        <w:t xml:space="preserve"> </w:t>
      </w:r>
      <w:r>
        <w:rPr>
          <w:color w:val="231F20"/>
          <w:position w:val="1"/>
          <w:sz w:val="12"/>
        </w:rPr>
        <w:t>komplexu</w:t>
      </w:r>
      <w:r>
        <w:rPr>
          <w:color w:val="231F20"/>
          <w:spacing w:val="-20"/>
          <w:position w:val="1"/>
          <w:sz w:val="12"/>
        </w:rPr>
        <w:t xml:space="preserve"> </w:t>
      </w:r>
      <w:r>
        <w:rPr>
          <w:color w:val="231F20"/>
          <w:position w:val="1"/>
          <w:sz w:val="12"/>
        </w:rPr>
        <w:t>kosti</w:t>
      </w:r>
      <w:r>
        <w:rPr>
          <w:color w:val="231F20"/>
          <w:spacing w:val="-20"/>
          <w:position w:val="1"/>
          <w:sz w:val="12"/>
        </w:rPr>
        <w:t xml:space="preserve"> </w:t>
      </w:r>
      <w:r>
        <w:rPr>
          <w:color w:val="231F20"/>
          <w:spacing w:val="-4"/>
          <w:position w:val="1"/>
          <w:sz w:val="12"/>
        </w:rPr>
        <w:t>lícní</w:t>
      </w:r>
      <w:r>
        <w:rPr>
          <w:color w:val="231F20"/>
          <w:spacing w:val="-4"/>
          <w:sz w:val="12"/>
        </w:rPr>
        <w:t xml:space="preserve"> </w:t>
      </w:r>
      <w:r>
        <w:rPr>
          <w:color w:val="231F20"/>
          <w:sz w:val="12"/>
        </w:rPr>
        <w:t>a horní</w:t>
      </w:r>
      <w:r>
        <w:rPr>
          <w:color w:val="231F20"/>
          <w:spacing w:val="-2"/>
          <w:sz w:val="12"/>
        </w:rPr>
        <w:t xml:space="preserve"> </w:t>
      </w:r>
      <w:r>
        <w:rPr>
          <w:color w:val="231F20"/>
          <w:sz w:val="12"/>
        </w:rPr>
        <w:t>čelisti</w:t>
      </w:r>
    </w:p>
    <w:p w14:paraId="7CF9846C" w14:textId="77777777" w:rsidR="00F65BCA" w:rsidRDefault="00216117">
      <w:pPr>
        <w:pStyle w:val="Odstavecseseznamem"/>
        <w:numPr>
          <w:ilvl w:val="0"/>
          <w:numId w:val="82"/>
        </w:numPr>
        <w:tabs>
          <w:tab w:val="left" w:pos="456"/>
        </w:tabs>
        <w:spacing w:before="38"/>
        <w:ind w:hanging="273"/>
        <w:rPr>
          <w:sz w:val="12"/>
        </w:rPr>
      </w:pPr>
      <w:r>
        <w:rPr>
          <w:color w:val="231F20"/>
          <w:sz w:val="12"/>
        </w:rPr>
        <w:t>dolní čelisti bez posunu</w:t>
      </w:r>
      <w:r>
        <w:rPr>
          <w:color w:val="231F20"/>
          <w:spacing w:val="-7"/>
          <w:sz w:val="12"/>
        </w:rPr>
        <w:t xml:space="preserve"> </w:t>
      </w:r>
      <w:r>
        <w:rPr>
          <w:color w:val="231F20"/>
          <w:sz w:val="12"/>
        </w:rPr>
        <w:t>úlomků</w:t>
      </w:r>
    </w:p>
    <w:p w14:paraId="0B5A2C48" w14:textId="77777777" w:rsidR="00F65BCA" w:rsidRDefault="00216117">
      <w:pPr>
        <w:pStyle w:val="Odstavecseseznamem"/>
        <w:numPr>
          <w:ilvl w:val="0"/>
          <w:numId w:val="82"/>
        </w:numPr>
        <w:tabs>
          <w:tab w:val="left" w:pos="456"/>
        </w:tabs>
        <w:spacing w:before="41"/>
        <w:ind w:hanging="273"/>
        <w:rPr>
          <w:sz w:val="12"/>
        </w:rPr>
      </w:pPr>
      <w:r>
        <w:rPr>
          <w:color w:val="231F20"/>
          <w:position w:val="1"/>
          <w:sz w:val="12"/>
        </w:rPr>
        <w:t>dolní</w:t>
      </w:r>
      <w:r>
        <w:rPr>
          <w:color w:val="231F20"/>
          <w:spacing w:val="-7"/>
          <w:position w:val="1"/>
          <w:sz w:val="12"/>
        </w:rPr>
        <w:t xml:space="preserve"> </w:t>
      </w:r>
      <w:r>
        <w:rPr>
          <w:color w:val="231F20"/>
          <w:position w:val="1"/>
          <w:sz w:val="12"/>
        </w:rPr>
        <w:t>čelisti</w:t>
      </w:r>
      <w:r>
        <w:rPr>
          <w:color w:val="231F20"/>
          <w:spacing w:val="-6"/>
          <w:position w:val="1"/>
          <w:sz w:val="12"/>
        </w:rPr>
        <w:t xml:space="preserve"> </w:t>
      </w:r>
      <w:r>
        <w:rPr>
          <w:color w:val="231F20"/>
          <w:position w:val="1"/>
          <w:sz w:val="12"/>
        </w:rPr>
        <w:t>s</w:t>
      </w:r>
      <w:r>
        <w:rPr>
          <w:color w:val="231F20"/>
          <w:spacing w:val="-7"/>
          <w:position w:val="1"/>
          <w:sz w:val="12"/>
        </w:rPr>
        <w:t xml:space="preserve"> </w:t>
      </w:r>
      <w:r>
        <w:rPr>
          <w:color w:val="231F20"/>
          <w:position w:val="1"/>
          <w:sz w:val="12"/>
        </w:rPr>
        <w:t>posunem</w:t>
      </w:r>
      <w:r>
        <w:rPr>
          <w:color w:val="231F20"/>
          <w:spacing w:val="-6"/>
          <w:position w:val="1"/>
          <w:sz w:val="12"/>
        </w:rPr>
        <w:t xml:space="preserve"> </w:t>
      </w:r>
      <w:r>
        <w:rPr>
          <w:color w:val="231F20"/>
          <w:position w:val="1"/>
          <w:sz w:val="12"/>
        </w:rPr>
        <w:t>úlomků</w:t>
      </w:r>
      <w:r>
        <w:rPr>
          <w:color w:val="231F20"/>
          <w:spacing w:val="-7"/>
          <w:position w:val="1"/>
          <w:sz w:val="12"/>
        </w:rPr>
        <w:t xml:space="preserve"> </w:t>
      </w:r>
      <w:r>
        <w:rPr>
          <w:color w:val="231F20"/>
          <w:position w:val="1"/>
          <w:sz w:val="12"/>
        </w:rPr>
        <w:t>nebo</w:t>
      </w:r>
      <w:r>
        <w:rPr>
          <w:color w:val="231F20"/>
          <w:spacing w:val="-6"/>
          <w:position w:val="1"/>
          <w:sz w:val="12"/>
        </w:rPr>
        <w:t xml:space="preserve"> </w:t>
      </w:r>
      <w:r>
        <w:rPr>
          <w:color w:val="231F20"/>
          <w:position w:val="1"/>
          <w:sz w:val="12"/>
        </w:rPr>
        <w:t>operovaná</w:t>
      </w:r>
    </w:p>
    <w:p w14:paraId="1D61822D" w14:textId="77777777" w:rsidR="00F65BCA" w:rsidRDefault="00216117">
      <w:pPr>
        <w:pStyle w:val="Odstavecseseznamem"/>
        <w:numPr>
          <w:ilvl w:val="0"/>
          <w:numId w:val="82"/>
        </w:numPr>
        <w:tabs>
          <w:tab w:val="left" w:pos="456"/>
        </w:tabs>
        <w:spacing w:before="31"/>
        <w:ind w:hanging="273"/>
        <w:rPr>
          <w:sz w:val="12"/>
        </w:rPr>
      </w:pPr>
      <w:r>
        <w:rPr>
          <w:color w:val="231F20"/>
          <w:sz w:val="12"/>
        </w:rPr>
        <w:t>horní čelisti bez posunu</w:t>
      </w:r>
      <w:r>
        <w:rPr>
          <w:color w:val="231F20"/>
          <w:spacing w:val="-7"/>
          <w:sz w:val="12"/>
        </w:rPr>
        <w:t xml:space="preserve"> </w:t>
      </w:r>
      <w:r>
        <w:rPr>
          <w:color w:val="231F20"/>
          <w:sz w:val="12"/>
        </w:rPr>
        <w:t>úlomků</w:t>
      </w:r>
    </w:p>
    <w:p w14:paraId="40CBBEC8" w14:textId="77777777" w:rsidR="00F65BCA" w:rsidRDefault="00216117">
      <w:pPr>
        <w:pStyle w:val="Odstavecseseznamem"/>
        <w:numPr>
          <w:ilvl w:val="0"/>
          <w:numId w:val="82"/>
        </w:numPr>
        <w:tabs>
          <w:tab w:val="left" w:pos="456"/>
        </w:tabs>
        <w:spacing w:before="40"/>
        <w:ind w:hanging="273"/>
        <w:rPr>
          <w:sz w:val="12"/>
        </w:rPr>
      </w:pPr>
      <w:r>
        <w:rPr>
          <w:color w:val="231F20"/>
          <w:position w:val="1"/>
          <w:sz w:val="12"/>
        </w:rPr>
        <w:t>horní čelisti s posunem úlomků nebo</w:t>
      </w:r>
      <w:r>
        <w:rPr>
          <w:color w:val="231F20"/>
          <w:spacing w:val="-15"/>
          <w:position w:val="1"/>
          <w:sz w:val="12"/>
        </w:rPr>
        <w:t xml:space="preserve"> </w:t>
      </w:r>
      <w:r>
        <w:rPr>
          <w:color w:val="231F20"/>
          <w:position w:val="1"/>
          <w:sz w:val="12"/>
        </w:rPr>
        <w:t>operovaná</w:t>
      </w:r>
    </w:p>
    <w:p w14:paraId="6362CE9A" w14:textId="77777777" w:rsidR="00F65BCA" w:rsidRDefault="00216117">
      <w:pPr>
        <w:pStyle w:val="Odstavecseseznamem"/>
        <w:numPr>
          <w:ilvl w:val="0"/>
          <w:numId w:val="82"/>
        </w:numPr>
        <w:tabs>
          <w:tab w:val="left" w:pos="456"/>
        </w:tabs>
        <w:spacing w:before="31"/>
        <w:ind w:hanging="273"/>
        <w:rPr>
          <w:sz w:val="12"/>
        </w:rPr>
      </w:pPr>
      <w:r>
        <w:rPr>
          <w:color w:val="231F20"/>
          <w:sz w:val="12"/>
        </w:rPr>
        <w:t>dásňového výběžku horní nebo dolní</w:t>
      </w:r>
      <w:r>
        <w:rPr>
          <w:color w:val="231F20"/>
          <w:spacing w:val="-24"/>
          <w:sz w:val="12"/>
        </w:rPr>
        <w:t xml:space="preserve"> </w:t>
      </w:r>
      <w:r>
        <w:rPr>
          <w:color w:val="231F20"/>
          <w:sz w:val="12"/>
        </w:rPr>
        <w:t>čelisti</w:t>
      </w:r>
    </w:p>
    <w:p w14:paraId="609CE2E1" w14:textId="77777777" w:rsidR="00F65BCA" w:rsidRDefault="00216117">
      <w:pPr>
        <w:spacing w:before="40" w:line="309" w:lineRule="auto"/>
        <w:ind w:left="183" w:right="1330" w:firstLine="271"/>
        <w:rPr>
          <w:sz w:val="12"/>
        </w:rPr>
      </w:pPr>
      <w:r>
        <w:rPr>
          <w:b/>
          <w:color w:val="231F20"/>
          <w:sz w:val="12"/>
        </w:rPr>
        <w:t xml:space="preserve">Sdružené zlomeniny 019 </w:t>
      </w:r>
      <w:r>
        <w:rPr>
          <w:color w:val="231F20"/>
          <w:sz w:val="12"/>
        </w:rPr>
        <w:t>Le Fort I.</w:t>
      </w:r>
    </w:p>
    <w:p w14:paraId="7DB8B205" w14:textId="77777777" w:rsidR="00F65BCA" w:rsidRDefault="00216117">
      <w:pPr>
        <w:pStyle w:val="Odstavecseseznamem"/>
        <w:numPr>
          <w:ilvl w:val="0"/>
          <w:numId w:val="81"/>
        </w:numPr>
        <w:tabs>
          <w:tab w:val="left" w:pos="456"/>
        </w:tabs>
        <w:spacing w:before="1"/>
        <w:ind w:hanging="273"/>
        <w:rPr>
          <w:sz w:val="12"/>
        </w:rPr>
      </w:pPr>
      <w:r>
        <w:rPr>
          <w:color w:val="231F20"/>
          <w:sz w:val="12"/>
        </w:rPr>
        <w:t>Le</w:t>
      </w:r>
      <w:r>
        <w:rPr>
          <w:color w:val="231F20"/>
          <w:spacing w:val="-15"/>
          <w:sz w:val="12"/>
        </w:rPr>
        <w:t xml:space="preserve"> </w:t>
      </w:r>
      <w:r>
        <w:rPr>
          <w:color w:val="231F20"/>
          <w:sz w:val="12"/>
        </w:rPr>
        <w:t>Fort</w:t>
      </w:r>
      <w:r>
        <w:rPr>
          <w:color w:val="231F20"/>
          <w:spacing w:val="-14"/>
          <w:sz w:val="12"/>
        </w:rPr>
        <w:t xml:space="preserve"> </w:t>
      </w:r>
      <w:r>
        <w:rPr>
          <w:color w:val="231F20"/>
          <w:sz w:val="12"/>
        </w:rPr>
        <w:t>II.</w:t>
      </w:r>
    </w:p>
    <w:p w14:paraId="31925351" w14:textId="77777777" w:rsidR="00F65BCA" w:rsidRDefault="00216117">
      <w:pPr>
        <w:pStyle w:val="Odstavecseseznamem"/>
        <w:numPr>
          <w:ilvl w:val="0"/>
          <w:numId w:val="81"/>
        </w:numPr>
        <w:tabs>
          <w:tab w:val="left" w:pos="456"/>
        </w:tabs>
        <w:spacing w:before="41"/>
        <w:ind w:hanging="273"/>
        <w:rPr>
          <w:sz w:val="12"/>
        </w:rPr>
      </w:pPr>
      <w:r>
        <w:rPr>
          <w:color w:val="231F20"/>
          <w:sz w:val="12"/>
        </w:rPr>
        <w:t>Le</w:t>
      </w:r>
      <w:r>
        <w:rPr>
          <w:color w:val="231F20"/>
          <w:spacing w:val="-18"/>
          <w:sz w:val="12"/>
        </w:rPr>
        <w:t xml:space="preserve"> </w:t>
      </w:r>
      <w:r>
        <w:rPr>
          <w:color w:val="231F20"/>
          <w:sz w:val="12"/>
        </w:rPr>
        <w:t>Fort</w:t>
      </w:r>
      <w:r>
        <w:rPr>
          <w:color w:val="231F20"/>
          <w:spacing w:val="-18"/>
          <w:sz w:val="12"/>
        </w:rPr>
        <w:t xml:space="preserve"> </w:t>
      </w:r>
      <w:r>
        <w:rPr>
          <w:color w:val="231F20"/>
          <w:sz w:val="12"/>
        </w:rPr>
        <w:t>III.</w:t>
      </w:r>
    </w:p>
    <w:p w14:paraId="55931AAC" w14:textId="77777777" w:rsidR="00F65BCA" w:rsidRDefault="00F65BCA">
      <w:pPr>
        <w:pStyle w:val="Zkladntext"/>
        <w:spacing w:before="5"/>
        <w:rPr>
          <w:sz w:val="14"/>
        </w:rPr>
      </w:pPr>
    </w:p>
    <w:p w14:paraId="077326EF" w14:textId="77777777" w:rsidR="00F65BCA" w:rsidRDefault="00216117">
      <w:pPr>
        <w:spacing w:before="1"/>
        <w:ind w:left="1628" w:right="1138"/>
        <w:jc w:val="center"/>
        <w:rPr>
          <w:b/>
          <w:sz w:val="14"/>
        </w:rPr>
      </w:pPr>
      <w:r>
        <w:rPr>
          <w:b/>
          <w:color w:val="231F20"/>
          <w:sz w:val="14"/>
        </w:rPr>
        <w:t>OKO</w:t>
      </w:r>
    </w:p>
    <w:p w14:paraId="67A94842" w14:textId="77777777" w:rsidR="00F65BCA" w:rsidRDefault="00216117">
      <w:pPr>
        <w:spacing w:before="53" w:line="309" w:lineRule="auto"/>
        <w:ind w:left="183" w:right="1623" w:firstLine="271"/>
        <w:rPr>
          <w:sz w:val="12"/>
        </w:rPr>
      </w:pPr>
      <w:r>
        <w:rPr>
          <w:b/>
          <w:color w:val="231F20"/>
          <w:sz w:val="12"/>
        </w:rPr>
        <w:t xml:space="preserve">Poranění víčka 022 </w:t>
      </w:r>
      <w:r>
        <w:rPr>
          <w:color w:val="231F20"/>
          <w:sz w:val="12"/>
        </w:rPr>
        <w:t>chirurgicky ošetřené</w:t>
      </w:r>
    </w:p>
    <w:p w14:paraId="6445F6F9" w14:textId="77777777" w:rsidR="00F65BCA" w:rsidRDefault="00216117">
      <w:pPr>
        <w:pStyle w:val="Odstavecseseznamem"/>
        <w:numPr>
          <w:ilvl w:val="0"/>
          <w:numId w:val="80"/>
        </w:numPr>
        <w:tabs>
          <w:tab w:val="left" w:pos="456"/>
        </w:tabs>
        <w:spacing w:before="1"/>
        <w:ind w:hanging="273"/>
        <w:rPr>
          <w:sz w:val="12"/>
        </w:rPr>
      </w:pPr>
      <w:r>
        <w:rPr>
          <w:color w:val="231F20"/>
          <w:sz w:val="12"/>
        </w:rPr>
        <w:t>přerušující slzné</w:t>
      </w:r>
      <w:r>
        <w:rPr>
          <w:color w:val="231F20"/>
          <w:spacing w:val="-3"/>
          <w:sz w:val="12"/>
        </w:rPr>
        <w:t xml:space="preserve"> </w:t>
      </w:r>
      <w:r>
        <w:rPr>
          <w:color w:val="231F20"/>
          <w:sz w:val="12"/>
        </w:rPr>
        <w:t>cesty</w:t>
      </w:r>
    </w:p>
    <w:p w14:paraId="6B2096FB" w14:textId="77777777" w:rsidR="00F65BCA" w:rsidRDefault="00216117">
      <w:pPr>
        <w:spacing w:before="41" w:line="309" w:lineRule="auto"/>
        <w:ind w:left="455" w:right="529"/>
        <w:rPr>
          <w:b/>
          <w:sz w:val="12"/>
        </w:rPr>
      </w:pPr>
      <w:r>
        <w:rPr>
          <w:b/>
          <w:color w:val="231F20"/>
          <w:sz w:val="12"/>
        </w:rPr>
        <w:t>Poranění spojivky, rohovky, bělimy Rány</w:t>
      </w:r>
    </w:p>
    <w:p w14:paraId="5C4D03EF" w14:textId="77777777" w:rsidR="00F65BCA" w:rsidRDefault="00216117">
      <w:pPr>
        <w:pStyle w:val="Odstavecseseznamem"/>
        <w:numPr>
          <w:ilvl w:val="0"/>
          <w:numId w:val="80"/>
        </w:numPr>
        <w:tabs>
          <w:tab w:val="left" w:pos="456"/>
        </w:tabs>
        <w:spacing w:before="1"/>
        <w:ind w:hanging="273"/>
        <w:rPr>
          <w:sz w:val="12"/>
        </w:rPr>
      </w:pPr>
      <w:r>
        <w:rPr>
          <w:color w:val="231F20"/>
          <w:sz w:val="12"/>
        </w:rPr>
        <w:t>Rána spojivky ošetřená odborným</w:t>
      </w:r>
      <w:r>
        <w:rPr>
          <w:color w:val="231F20"/>
          <w:spacing w:val="-18"/>
          <w:sz w:val="12"/>
        </w:rPr>
        <w:t xml:space="preserve"> </w:t>
      </w:r>
      <w:r>
        <w:rPr>
          <w:color w:val="231F20"/>
          <w:sz w:val="12"/>
        </w:rPr>
        <w:t>lékařem</w:t>
      </w:r>
    </w:p>
    <w:p w14:paraId="119CBF45" w14:textId="77777777" w:rsidR="00F65BCA" w:rsidRDefault="00216117">
      <w:pPr>
        <w:spacing w:before="37" w:line="242" w:lineRule="auto"/>
        <w:ind w:left="455" w:right="529"/>
        <w:rPr>
          <w:b/>
          <w:sz w:val="12"/>
        </w:rPr>
      </w:pPr>
      <w:r>
        <w:rPr>
          <w:b/>
          <w:color w:val="231F20"/>
          <w:sz w:val="12"/>
        </w:rPr>
        <w:t>Rána (erose) rohovky nebo bělimy bez proděravění</w:t>
      </w:r>
    </w:p>
    <w:p w14:paraId="45626C91" w14:textId="77777777" w:rsidR="00F65BCA" w:rsidRDefault="00216117">
      <w:pPr>
        <w:pStyle w:val="Odstavecseseznamem"/>
        <w:numPr>
          <w:ilvl w:val="0"/>
          <w:numId w:val="80"/>
        </w:numPr>
        <w:tabs>
          <w:tab w:val="left" w:pos="456"/>
        </w:tabs>
        <w:spacing w:before="36"/>
        <w:ind w:hanging="273"/>
        <w:rPr>
          <w:sz w:val="12"/>
        </w:rPr>
      </w:pPr>
      <w:r>
        <w:rPr>
          <w:color w:val="231F20"/>
          <w:sz w:val="12"/>
        </w:rPr>
        <w:t>jednorázově</w:t>
      </w:r>
      <w:r>
        <w:rPr>
          <w:color w:val="231F20"/>
          <w:spacing w:val="-2"/>
          <w:sz w:val="12"/>
        </w:rPr>
        <w:t xml:space="preserve"> </w:t>
      </w:r>
      <w:r>
        <w:rPr>
          <w:color w:val="231F20"/>
          <w:sz w:val="12"/>
        </w:rPr>
        <w:t>ošetřená</w:t>
      </w:r>
    </w:p>
    <w:p w14:paraId="6BEBE0D9" w14:textId="77777777" w:rsidR="00F65BCA" w:rsidRDefault="00216117">
      <w:pPr>
        <w:pStyle w:val="Odstavecseseznamem"/>
        <w:numPr>
          <w:ilvl w:val="0"/>
          <w:numId w:val="80"/>
        </w:numPr>
        <w:tabs>
          <w:tab w:val="left" w:pos="456"/>
        </w:tabs>
        <w:spacing w:before="41"/>
        <w:ind w:hanging="273"/>
        <w:rPr>
          <w:sz w:val="12"/>
        </w:rPr>
      </w:pPr>
      <w:r>
        <w:rPr>
          <w:color w:val="231F20"/>
          <w:w w:val="95"/>
          <w:position w:val="1"/>
          <w:sz w:val="12"/>
        </w:rPr>
        <w:t>vyžadující opakované léčení odborným</w:t>
      </w:r>
      <w:r>
        <w:rPr>
          <w:color w:val="231F20"/>
          <w:spacing w:val="16"/>
          <w:w w:val="95"/>
          <w:position w:val="1"/>
          <w:sz w:val="12"/>
        </w:rPr>
        <w:t xml:space="preserve"> </w:t>
      </w:r>
      <w:r>
        <w:rPr>
          <w:color w:val="231F20"/>
          <w:w w:val="95"/>
          <w:position w:val="1"/>
          <w:sz w:val="12"/>
        </w:rPr>
        <w:t>lékařem</w:t>
      </w:r>
    </w:p>
    <w:p w14:paraId="531DCD6E" w14:textId="77777777" w:rsidR="00F65BCA" w:rsidRDefault="00216117">
      <w:pPr>
        <w:pStyle w:val="Odstavecseseznamem"/>
        <w:numPr>
          <w:ilvl w:val="0"/>
          <w:numId w:val="80"/>
        </w:numPr>
        <w:tabs>
          <w:tab w:val="left" w:pos="456"/>
        </w:tabs>
        <w:spacing w:before="31"/>
        <w:ind w:hanging="273"/>
        <w:rPr>
          <w:sz w:val="12"/>
        </w:rPr>
      </w:pPr>
      <w:r>
        <w:rPr>
          <w:color w:val="231F20"/>
          <w:position w:val="1"/>
          <w:sz w:val="12"/>
        </w:rPr>
        <w:t>komplikovaná</w:t>
      </w:r>
      <w:r>
        <w:rPr>
          <w:color w:val="231F20"/>
          <w:spacing w:val="-21"/>
          <w:position w:val="1"/>
          <w:sz w:val="12"/>
        </w:rPr>
        <w:t xml:space="preserve"> </w:t>
      </w:r>
      <w:r>
        <w:rPr>
          <w:color w:val="231F20"/>
          <w:position w:val="1"/>
          <w:sz w:val="12"/>
        </w:rPr>
        <w:t>nitroočním</w:t>
      </w:r>
      <w:r>
        <w:rPr>
          <w:color w:val="231F20"/>
          <w:spacing w:val="-21"/>
          <w:position w:val="1"/>
          <w:sz w:val="12"/>
        </w:rPr>
        <w:t xml:space="preserve"> </w:t>
      </w:r>
      <w:r>
        <w:rPr>
          <w:color w:val="231F20"/>
          <w:position w:val="1"/>
          <w:sz w:val="12"/>
        </w:rPr>
        <w:t>zánětem</w:t>
      </w:r>
      <w:r>
        <w:rPr>
          <w:color w:val="231F20"/>
          <w:spacing w:val="-20"/>
          <w:position w:val="1"/>
          <w:sz w:val="12"/>
        </w:rPr>
        <w:t xml:space="preserve"> </w:t>
      </w:r>
      <w:r>
        <w:rPr>
          <w:color w:val="231F20"/>
          <w:position w:val="1"/>
          <w:sz w:val="12"/>
        </w:rPr>
        <w:t>nebo</w:t>
      </w:r>
      <w:r>
        <w:rPr>
          <w:color w:val="231F20"/>
          <w:spacing w:val="-21"/>
          <w:position w:val="1"/>
          <w:sz w:val="12"/>
        </w:rPr>
        <w:t xml:space="preserve"> </w:t>
      </w:r>
      <w:r>
        <w:rPr>
          <w:color w:val="231F20"/>
          <w:position w:val="1"/>
          <w:sz w:val="12"/>
        </w:rPr>
        <w:t>vředem</w:t>
      </w:r>
    </w:p>
    <w:p w14:paraId="395EE4AE" w14:textId="77777777" w:rsidR="00F65BCA" w:rsidRDefault="00216117">
      <w:pPr>
        <w:spacing w:before="30" w:line="309" w:lineRule="auto"/>
        <w:ind w:left="183" w:right="100" w:firstLine="271"/>
        <w:rPr>
          <w:sz w:val="12"/>
        </w:rPr>
      </w:pPr>
      <w:r>
        <w:rPr>
          <w:b/>
          <w:color w:val="231F20"/>
          <w:sz w:val="12"/>
        </w:rPr>
        <w:t xml:space="preserve">Rána rohovky nebo bělimy s proděravěním 028 </w:t>
      </w:r>
      <w:r>
        <w:rPr>
          <w:color w:val="231F20"/>
          <w:sz w:val="12"/>
        </w:rPr>
        <w:t>bez komplikací</w:t>
      </w:r>
    </w:p>
    <w:p w14:paraId="0877BA63" w14:textId="77777777" w:rsidR="00F65BCA" w:rsidRDefault="00216117">
      <w:pPr>
        <w:pStyle w:val="Odstavecseseznamem"/>
        <w:numPr>
          <w:ilvl w:val="0"/>
          <w:numId w:val="79"/>
        </w:numPr>
        <w:tabs>
          <w:tab w:val="left" w:pos="456"/>
        </w:tabs>
        <w:spacing w:before="1"/>
        <w:ind w:hanging="273"/>
        <w:rPr>
          <w:sz w:val="12"/>
        </w:rPr>
      </w:pPr>
      <w:r>
        <w:rPr>
          <w:color w:val="231F20"/>
          <w:w w:val="95"/>
          <w:sz w:val="12"/>
        </w:rPr>
        <w:t>komplikovaná  nitroočním</w:t>
      </w:r>
      <w:r>
        <w:rPr>
          <w:color w:val="231F20"/>
          <w:spacing w:val="-2"/>
          <w:w w:val="95"/>
          <w:sz w:val="12"/>
        </w:rPr>
        <w:t xml:space="preserve"> </w:t>
      </w:r>
      <w:r>
        <w:rPr>
          <w:color w:val="231F20"/>
          <w:w w:val="95"/>
          <w:sz w:val="12"/>
        </w:rPr>
        <w:t>zánětem</w:t>
      </w:r>
    </w:p>
    <w:p w14:paraId="74360CE7" w14:textId="77777777" w:rsidR="00F65BCA" w:rsidRDefault="00216117">
      <w:pPr>
        <w:pStyle w:val="Odstavecseseznamem"/>
        <w:numPr>
          <w:ilvl w:val="0"/>
          <w:numId w:val="79"/>
        </w:numPr>
        <w:tabs>
          <w:tab w:val="left" w:pos="456"/>
        </w:tabs>
        <w:spacing w:before="41"/>
        <w:ind w:hanging="273"/>
        <w:rPr>
          <w:sz w:val="12"/>
        </w:rPr>
      </w:pPr>
      <w:r>
        <w:rPr>
          <w:color w:val="231F20"/>
          <w:w w:val="95"/>
          <w:sz w:val="12"/>
        </w:rPr>
        <w:t>komplikovaná  nitroočním</w:t>
      </w:r>
      <w:r>
        <w:rPr>
          <w:color w:val="231F20"/>
          <w:spacing w:val="-10"/>
          <w:w w:val="95"/>
          <w:sz w:val="12"/>
        </w:rPr>
        <w:t xml:space="preserve"> </w:t>
      </w:r>
      <w:r>
        <w:rPr>
          <w:color w:val="231F20"/>
          <w:w w:val="95"/>
          <w:sz w:val="12"/>
        </w:rPr>
        <w:t>tělískem</w:t>
      </w:r>
    </w:p>
    <w:p w14:paraId="5899E8D0" w14:textId="77777777" w:rsidR="00F65BCA" w:rsidRDefault="00216117">
      <w:pPr>
        <w:pStyle w:val="Odstavecseseznamem"/>
        <w:numPr>
          <w:ilvl w:val="0"/>
          <w:numId w:val="79"/>
        </w:numPr>
        <w:tabs>
          <w:tab w:val="left" w:pos="456"/>
        </w:tabs>
        <w:spacing w:before="50" w:line="220" w:lineRule="auto"/>
        <w:ind w:right="160"/>
        <w:rPr>
          <w:sz w:val="12"/>
        </w:rPr>
      </w:pPr>
      <w:r>
        <w:rPr>
          <w:color w:val="231F20"/>
          <w:w w:val="95"/>
          <w:position w:val="1"/>
          <w:sz w:val="12"/>
        </w:rPr>
        <w:t>komplikovaná výhřezem duhovky nebo vklíněním</w:t>
      </w:r>
      <w:r>
        <w:rPr>
          <w:color w:val="231F20"/>
          <w:w w:val="95"/>
          <w:sz w:val="12"/>
        </w:rPr>
        <w:t xml:space="preserve"> </w:t>
      </w:r>
      <w:r>
        <w:rPr>
          <w:color w:val="231F20"/>
          <w:sz w:val="12"/>
        </w:rPr>
        <w:t>duhovky</w:t>
      </w:r>
    </w:p>
    <w:p w14:paraId="238546CF" w14:textId="77777777" w:rsidR="00F65BCA" w:rsidRDefault="00216117">
      <w:pPr>
        <w:spacing w:before="34"/>
        <w:ind w:left="455"/>
        <w:rPr>
          <w:b/>
          <w:sz w:val="12"/>
        </w:rPr>
      </w:pPr>
      <w:r>
        <w:rPr>
          <w:b/>
          <w:color w:val="231F20"/>
          <w:sz w:val="12"/>
        </w:rPr>
        <w:t>Poleptání (popálení)</w:t>
      </w:r>
    </w:p>
    <w:p w14:paraId="4AFA4578" w14:textId="77777777" w:rsidR="00F65BCA" w:rsidRDefault="00216117">
      <w:pPr>
        <w:pStyle w:val="Odstavecseseznamem"/>
        <w:numPr>
          <w:ilvl w:val="0"/>
          <w:numId w:val="79"/>
        </w:numPr>
        <w:tabs>
          <w:tab w:val="left" w:pos="456"/>
        </w:tabs>
        <w:spacing w:before="46" w:line="220" w:lineRule="auto"/>
        <w:rPr>
          <w:sz w:val="12"/>
        </w:rPr>
      </w:pPr>
      <w:r>
        <w:rPr>
          <w:color w:val="231F20"/>
          <w:position w:val="1"/>
          <w:sz w:val="12"/>
        </w:rPr>
        <w:t>spojivky</w:t>
      </w:r>
      <w:r>
        <w:rPr>
          <w:color w:val="231F20"/>
          <w:spacing w:val="-15"/>
          <w:position w:val="1"/>
          <w:sz w:val="12"/>
        </w:rPr>
        <w:t xml:space="preserve"> </w:t>
      </w:r>
      <w:r>
        <w:rPr>
          <w:color w:val="231F20"/>
          <w:position w:val="1"/>
          <w:sz w:val="12"/>
        </w:rPr>
        <w:t>bez</w:t>
      </w:r>
      <w:r>
        <w:rPr>
          <w:color w:val="231F20"/>
          <w:spacing w:val="-14"/>
          <w:position w:val="1"/>
          <w:sz w:val="12"/>
        </w:rPr>
        <w:t xml:space="preserve"> </w:t>
      </w:r>
      <w:r>
        <w:rPr>
          <w:color w:val="231F20"/>
          <w:position w:val="1"/>
          <w:sz w:val="12"/>
        </w:rPr>
        <w:t>poškození</w:t>
      </w:r>
      <w:r>
        <w:rPr>
          <w:color w:val="231F20"/>
          <w:spacing w:val="-14"/>
          <w:position w:val="1"/>
          <w:sz w:val="12"/>
        </w:rPr>
        <w:t xml:space="preserve"> </w:t>
      </w:r>
      <w:r>
        <w:rPr>
          <w:color w:val="231F20"/>
          <w:position w:val="1"/>
          <w:sz w:val="12"/>
        </w:rPr>
        <w:t>rohovky</w:t>
      </w:r>
      <w:r>
        <w:rPr>
          <w:color w:val="231F20"/>
          <w:spacing w:val="-15"/>
          <w:position w:val="1"/>
          <w:sz w:val="12"/>
        </w:rPr>
        <w:t xml:space="preserve"> </w:t>
      </w:r>
      <w:r>
        <w:rPr>
          <w:color w:val="231F20"/>
          <w:position w:val="1"/>
          <w:sz w:val="12"/>
        </w:rPr>
        <w:t>ošetřené</w:t>
      </w:r>
      <w:r>
        <w:rPr>
          <w:color w:val="231F20"/>
          <w:spacing w:val="-14"/>
          <w:position w:val="1"/>
          <w:sz w:val="12"/>
        </w:rPr>
        <w:t xml:space="preserve"> </w:t>
      </w:r>
      <w:r>
        <w:rPr>
          <w:color w:val="231F20"/>
          <w:spacing w:val="-3"/>
          <w:position w:val="1"/>
          <w:sz w:val="12"/>
        </w:rPr>
        <w:t>odborným</w:t>
      </w:r>
      <w:r>
        <w:rPr>
          <w:color w:val="231F20"/>
          <w:spacing w:val="-3"/>
          <w:sz w:val="12"/>
        </w:rPr>
        <w:t xml:space="preserve"> </w:t>
      </w:r>
      <w:r>
        <w:rPr>
          <w:color w:val="231F20"/>
          <w:sz w:val="12"/>
        </w:rPr>
        <w:t>lékařem</w:t>
      </w:r>
    </w:p>
    <w:p w14:paraId="7E47F75D" w14:textId="77777777" w:rsidR="00F65BCA" w:rsidRDefault="00216117">
      <w:pPr>
        <w:pStyle w:val="Odstavecseseznamem"/>
        <w:numPr>
          <w:ilvl w:val="0"/>
          <w:numId w:val="79"/>
        </w:numPr>
        <w:tabs>
          <w:tab w:val="left" w:pos="456"/>
        </w:tabs>
        <w:spacing w:before="37"/>
        <w:ind w:hanging="273"/>
        <w:rPr>
          <w:sz w:val="12"/>
        </w:rPr>
      </w:pPr>
      <w:r>
        <w:rPr>
          <w:color w:val="231F20"/>
          <w:sz w:val="12"/>
        </w:rPr>
        <w:t>spojivky s poškozením</w:t>
      </w:r>
      <w:r>
        <w:rPr>
          <w:color w:val="231F20"/>
          <w:spacing w:val="-6"/>
          <w:sz w:val="12"/>
        </w:rPr>
        <w:t xml:space="preserve"> </w:t>
      </w:r>
      <w:r>
        <w:rPr>
          <w:color w:val="231F20"/>
          <w:sz w:val="12"/>
        </w:rPr>
        <w:t>rohovky</w:t>
      </w:r>
    </w:p>
    <w:p w14:paraId="29E9A4C5" w14:textId="77777777" w:rsidR="00F65BCA" w:rsidRDefault="00216117">
      <w:pPr>
        <w:pStyle w:val="Odstavecseseznamem"/>
        <w:numPr>
          <w:ilvl w:val="0"/>
          <w:numId w:val="79"/>
        </w:numPr>
        <w:tabs>
          <w:tab w:val="left" w:pos="456"/>
        </w:tabs>
        <w:spacing w:before="38"/>
        <w:ind w:hanging="273"/>
        <w:rPr>
          <w:sz w:val="12"/>
        </w:rPr>
      </w:pPr>
      <w:r>
        <w:rPr>
          <w:color w:val="231F20"/>
          <w:sz w:val="12"/>
        </w:rPr>
        <w:t>rohovkového</w:t>
      </w:r>
      <w:r>
        <w:rPr>
          <w:color w:val="231F20"/>
          <w:spacing w:val="-2"/>
          <w:sz w:val="12"/>
        </w:rPr>
        <w:t xml:space="preserve"> </w:t>
      </w:r>
      <w:r>
        <w:rPr>
          <w:color w:val="231F20"/>
          <w:sz w:val="12"/>
        </w:rPr>
        <w:t>parenchymu</w:t>
      </w:r>
    </w:p>
    <w:p w14:paraId="0362E852" w14:textId="77777777" w:rsidR="00F65BCA" w:rsidRDefault="00216117">
      <w:pPr>
        <w:spacing w:before="38"/>
        <w:ind w:left="455"/>
        <w:rPr>
          <w:b/>
          <w:sz w:val="12"/>
        </w:rPr>
      </w:pPr>
      <w:r>
        <w:rPr>
          <w:b/>
          <w:color w:val="231F20"/>
          <w:sz w:val="12"/>
        </w:rPr>
        <w:t>Poranění očnice</w:t>
      </w:r>
    </w:p>
    <w:p w14:paraId="04774199" w14:textId="77777777" w:rsidR="00F65BCA" w:rsidRDefault="00216117">
      <w:pPr>
        <w:spacing w:before="37" w:line="304" w:lineRule="auto"/>
        <w:ind w:left="183" w:right="1130" w:firstLine="271"/>
        <w:rPr>
          <w:sz w:val="12"/>
        </w:rPr>
      </w:pPr>
      <w:r>
        <w:rPr>
          <w:b/>
          <w:color w:val="231F20"/>
          <w:sz w:val="12"/>
        </w:rPr>
        <w:t xml:space="preserve">Rána pronikající do očnice 035 </w:t>
      </w:r>
      <w:r>
        <w:rPr>
          <w:color w:val="231F20"/>
          <w:sz w:val="12"/>
        </w:rPr>
        <w:t>bez komplikací</w:t>
      </w:r>
    </w:p>
    <w:p w14:paraId="6E1C39B6" w14:textId="77777777" w:rsidR="00F65BCA" w:rsidRDefault="00216117">
      <w:pPr>
        <w:pStyle w:val="Odstavecseseznamem"/>
        <w:numPr>
          <w:ilvl w:val="0"/>
          <w:numId w:val="78"/>
        </w:numPr>
        <w:tabs>
          <w:tab w:val="left" w:pos="456"/>
        </w:tabs>
        <w:spacing w:before="1"/>
        <w:ind w:hanging="273"/>
        <w:rPr>
          <w:sz w:val="12"/>
        </w:rPr>
      </w:pPr>
      <w:r>
        <w:rPr>
          <w:color w:val="231F20"/>
          <w:sz w:val="12"/>
        </w:rPr>
        <w:t>komplikovaná</w:t>
      </w:r>
      <w:r>
        <w:rPr>
          <w:color w:val="231F20"/>
          <w:spacing w:val="-1"/>
          <w:sz w:val="12"/>
        </w:rPr>
        <w:t xml:space="preserve"> </w:t>
      </w:r>
      <w:r>
        <w:rPr>
          <w:color w:val="231F20"/>
          <w:sz w:val="12"/>
        </w:rPr>
        <w:t>zánětem</w:t>
      </w:r>
    </w:p>
    <w:p w14:paraId="4BDEDE9F" w14:textId="77777777" w:rsidR="00F65BCA" w:rsidRDefault="00216117">
      <w:pPr>
        <w:pStyle w:val="Odstavecseseznamem"/>
        <w:numPr>
          <w:ilvl w:val="0"/>
          <w:numId w:val="78"/>
        </w:numPr>
        <w:tabs>
          <w:tab w:val="left" w:pos="456"/>
        </w:tabs>
        <w:spacing w:before="38"/>
        <w:ind w:hanging="273"/>
        <w:rPr>
          <w:sz w:val="12"/>
        </w:rPr>
      </w:pPr>
      <w:r>
        <w:rPr>
          <w:color w:val="231F20"/>
          <w:sz w:val="12"/>
        </w:rPr>
        <w:t>komplikovaná cizím tělískem v</w:t>
      </w:r>
      <w:r>
        <w:rPr>
          <w:color w:val="231F20"/>
          <w:spacing w:val="-12"/>
          <w:sz w:val="12"/>
        </w:rPr>
        <w:t xml:space="preserve"> </w:t>
      </w:r>
      <w:r>
        <w:rPr>
          <w:color w:val="231F20"/>
          <w:sz w:val="12"/>
        </w:rPr>
        <w:t>očnici</w:t>
      </w:r>
    </w:p>
    <w:p w14:paraId="400F5BFE" w14:textId="77777777" w:rsidR="00F65BCA" w:rsidRDefault="00216117">
      <w:pPr>
        <w:spacing w:before="38"/>
        <w:ind w:left="455"/>
        <w:rPr>
          <w:b/>
          <w:sz w:val="12"/>
        </w:rPr>
      </w:pPr>
      <w:r>
        <w:rPr>
          <w:b/>
          <w:color w:val="231F20"/>
          <w:sz w:val="12"/>
        </w:rPr>
        <w:t>Poranění bulbu</w:t>
      </w:r>
    </w:p>
    <w:p w14:paraId="2848FE22" w14:textId="77777777" w:rsidR="00F65BCA" w:rsidRDefault="00216117">
      <w:pPr>
        <w:spacing w:before="38" w:line="304" w:lineRule="auto"/>
        <w:ind w:left="183" w:right="817" w:firstLine="271"/>
        <w:rPr>
          <w:sz w:val="12"/>
        </w:rPr>
      </w:pPr>
      <w:r>
        <w:rPr>
          <w:b/>
          <w:color w:val="231F20"/>
          <w:sz w:val="12"/>
        </w:rPr>
        <w:t xml:space="preserve">Pohmoždění oka, očního bulbu 038 </w:t>
      </w:r>
      <w:r>
        <w:rPr>
          <w:color w:val="231F20"/>
          <w:sz w:val="12"/>
        </w:rPr>
        <w:t>bez komplikací</w:t>
      </w:r>
    </w:p>
    <w:p w14:paraId="134A368C" w14:textId="77777777" w:rsidR="00F65BCA" w:rsidRDefault="00216117">
      <w:pPr>
        <w:pStyle w:val="Odstavecseseznamem"/>
        <w:numPr>
          <w:ilvl w:val="0"/>
          <w:numId w:val="77"/>
        </w:numPr>
        <w:tabs>
          <w:tab w:val="left" w:pos="456"/>
        </w:tabs>
        <w:spacing w:before="11" w:line="220" w:lineRule="auto"/>
        <w:ind w:right="253"/>
        <w:rPr>
          <w:sz w:val="12"/>
        </w:rPr>
      </w:pPr>
      <w:r>
        <w:rPr>
          <w:color w:val="231F20"/>
          <w:position w:val="1"/>
          <w:sz w:val="12"/>
        </w:rPr>
        <w:t>komplikované</w:t>
      </w:r>
      <w:r>
        <w:rPr>
          <w:color w:val="231F20"/>
          <w:spacing w:val="-20"/>
          <w:position w:val="1"/>
          <w:sz w:val="12"/>
        </w:rPr>
        <w:t xml:space="preserve"> </w:t>
      </w:r>
      <w:r>
        <w:rPr>
          <w:color w:val="231F20"/>
          <w:position w:val="1"/>
          <w:sz w:val="12"/>
        </w:rPr>
        <w:t>druhotným</w:t>
      </w:r>
      <w:r>
        <w:rPr>
          <w:color w:val="231F20"/>
          <w:spacing w:val="-20"/>
          <w:position w:val="1"/>
          <w:sz w:val="12"/>
        </w:rPr>
        <w:t xml:space="preserve"> </w:t>
      </w:r>
      <w:r>
        <w:rPr>
          <w:color w:val="231F20"/>
          <w:position w:val="1"/>
          <w:sz w:val="12"/>
        </w:rPr>
        <w:t>zvýšením</w:t>
      </w:r>
      <w:r>
        <w:rPr>
          <w:color w:val="231F20"/>
          <w:spacing w:val="-19"/>
          <w:position w:val="1"/>
          <w:sz w:val="12"/>
        </w:rPr>
        <w:t xml:space="preserve"> </w:t>
      </w:r>
      <w:r>
        <w:rPr>
          <w:color w:val="231F20"/>
          <w:spacing w:val="-3"/>
          <w:position w:val="1"/>
          <w:sz w:val="12"/>
        </w:rPr>
        <w:t>nitroočního</w:t>
      </w:r>
      <w:r>
        <w:rPr>
          <w:color w:val="231F20"/>
          <w:spacing w:val="-3"/>
          <w:sz w:val="12"/>
        </w:rPr>
        <w:t xml:space="preserve"> </w:t>
      </w:r>
      <w:r>
        <w:rPr>
          <w:color w:val="231F20"/>
          <w:sz w:val="12"/>
        </w:rPr>
        <w:t>tlaku, vyžadující chirurgické</w:t>
      </w:r>
      <w:r>
        <w:rPr>
          <w:color w:val="231F20"/>
          <w:spacing w:val="-15"/>
          <w:sz w:val="12"/>
        </w:rPr>
        <w:t xml:space="preserve"> </w:t>
      </w:r>
      <w:r>
        <w:rPr>
          <w:color w:val="231F20"/>
          <w:sz w:val="12"/>
        </w:rPr>
        <w:t>ošetření</w:t>
      </w:r>
    </w:p>
    <w:p w14:paraId="211B4452" w14:textId="77777777" w:rsidR="00F65BCA" w:rsidRDefault="00216117">
      <w:pPr>
        <w:pStyle w:val="Odstavecseseznamem"/>
        <w:numPr>
          <w:ilvl w:val="0"/>
          <w:numId w:val="77"/>
        </w:numPr>
        <w:tabs>
          <w:tab w:val="left" w:pos="456"/>
        </w:tabs>
        <w:spacing w:before="38"/>
        <w:ind w:hanging="273"/>
        <w:rPr>
          <w:sz w:val="12"/>
        </w:rPr>
      </w:pPr>
      <w:r>
        <w:rPr>
          <w:color w:val="231F20"/>
          <w:sz w:val="12"/>
        </w:rPr>
        <w:t>komplikované opakovaným</w:t>
      </w:r>
      <w:r>
        <w:rPr>
          <w:color w:val="231F20"/>
          <w:spacing w:val="-6"/>
          <w:sz w:val="12"/>
        </w:rPr>
        <w:t xml:space="preserve"> </w:t>
      </w:r>
      <w:r>
        <w:rPr>
          <w:color w:val="231F20"/>
          <w:sz w:val="12"/>
        </w:rPr>
        <w:t>krvácením</w:t>
      </w:r>
    </w:p>
    <w:p w14:paraId="2E18BEC1" w14:textId="77777777" w:rsidR="00F65BCA" w:rsidRDefault="00216117">
      <w:pPr>
        <w:pStyle w:val="Odstavecseseznamem"/>
        <w:numPr>
          <w:ilvl w:val="0"/>
          <w:numId w:val="77"/>
        </w:numPr>
        <w:tabs>
          <w:tab w:val="left" w:pos="456"/>
        </w:tabs>
        <w:spacing w:before="37"/>
        <w:ind w:hanging="273"/>
        <w:rPr>
          <w:sz w:val="12"/>
        </w:rPr>
      </w:pPr>
      <w:r>
        <w:rPr>
          <w:color w:val="231F20"/>
          <w:sz w:val="12"/>
        </w:rPr>
        <w:t>komplikované nitroočním</w:t>
      </w:r>
      <w:r>
        <w:rPr>
          <w:color w:val="231F20"/>
          <w:spacing w:val="-5"/>
          <w:sz w:val="12"/>
        </w:rPr>
        <w:t xml:space="preserve"> </w:t>
      </w:r>
      <w:r>
        <w:rPr>
          <w:color w:val="231F20"/>
          <w:sz w:val="12"/>
        </w:rPr>
        <w:t>zánětem</w:t>
      </w:r>
    </w:p>
    <w:p w14:paraId="065AB81A" w14:textId="77777777" w:rsidR="00F65BCA" w:rsidRDefault="00216117">
      <w:pPr>
        <w:spacing w:before="38" w:line="304" w:lineRule="auto"/>
        <w:ind w:left="183" w:right="310" w:firstLine="271"/>
        <w:rPr>
          <w:sz w:val="12"/>
        </w:rPr>
      </w:pPr>
      <w:r>
        <w:rPr>
          <w:b/>
          <w:color w:val="231F20"/>
          <w:sz w:val="12"/>
        </w:rPr>
        <w:t xml:space="preserve">Pohmoždění oka s natržením duhovky 042 </w:t>
      </w:r>
      <w:r>
        <w:rPr>
          <w:color w:val="231F20"/>
          <w:sz w:val="12"/>
        </w:rPr>
        <w:t>bez komplikací</w:t>
      </w:r>
    </w:p>
    <w:p w14:paraId="61556395" w14:textId="77777777" w:rsidR="00F65BCA" w:rsidRDefault="00216117">
      <w:pPr>
        <w:pStyle w:val="Odstavecseseznamem"/>
        <w:numPr>
          <w:ilvl w:val="0"/>
          <w:numId w:val="76"/>
        </w:numPr>
        <w:tabs>
          <w:tab w:val="left" w:pos="456"/>
        </w:tabs>
        <w:spacing w:before="3"/>
        <w:ind w:hanging="273"/>
        <w:rPr>
          <w:sz w:val="12"/>
        </w:rPr>
      </w:pPr>
      <w:r>
        <w:rPr>
          <w:color w:val="231F20"/>
          <w:position w:val="1"/>
          <w:sz w:val="12"/>
        </w:rPr>
        <w:t>komplikované</w:t>
      </w:r>
      <w:r>
        <w:rPr>
          <w:color w:val="231F20"/>
          <w:spacing w:val="-8"/>
          <w:position w:val="1"/>
          <w:sz w:val="12"/>
        </w:rPr>
        <w:t xml:space="preserve"> </w:t>
      </w:r>
      <w:r>
        <w:rPr>
          <w:color w:val="231F20"/>
          <w:position w:val="1"/>
          <w:sz w:val="12"/>
        </w:rPr>
        <w:t>zánětem</w:t>
      </w:r>
      <w:r>
        <w:rPr>
          <w:color w:val="231F20"/>
          <w:spacing w:val="-8"/>
          <w:position w:val="1"/>
          <w:sz w:val="12"/>
        </w:rPr>
        <w:t xml:space="preserve"> </w:t>
      </w:r>
      <w:r>
        <w:rPr>
          <w:color w:val="231F20"/>
          <w:position w:val="1"/>
          <w:sz w:val="12"/>
        </w:rPr>
        <w:t>nebo</w:t>
      </w:r>
      <w:r>
        <w:rPr>
          <w:color w:val="231F20"/>
          <w:spacing w:val="-8"/>
          <w:position w:val="1"/>
          <w:sz w:val="12"/>
        </w:rPr>
        <w:t xml:space="preserve"> </w:t>
      </w:r>
      <w:r>
        <w:rPr>
          <w:color w:val="231F20"/>
          <w:position w:val="1"/>
          <w:sz w:val="12"/>
        </w:rPr>
        <w:t>ochrnutím</w:t>
      </w:r>
      <w:r>
        <w:rPr>
          <w:color w:val="231F20"/>
          <w:spacing w:val="-8"/>
          <w:position w:val="1"/>
          <w:sz w:val="12"/>
        </w:rPr>
        <w:t xml:space="preserve"> </w:t>
      </w:r>
      <w:r>
        <w:rPr>
          <w:color w:val="231F20"/>
          <w:position w:val="1"/>
          <w:sz w:val="12"/>
        </w:rPr>
        <w:t>duhovky</w:t>
      </w:r>
    </w:p>
    <w:p w14:paraId="23DA366E" w14:textId="77777777" w:rsidR="00F65BCA" w:rsidRDefault="00216117">
      <w:pPr>
        <w:spacing w:before="26" w:line="304" w:lineRule="auto"/>
        <w:ind w:left="455" w:right="1330"/>
        <w:rPr>
          <w:b/>
          <w:sz w:val="12"/>
        </w:rPr>
      </w:pPr>
      <w:r>
        <w:rPr>
          <w:b/>
          <w:color w:val="231F20"/>
          <w:sz w:val="12"/>
        </w:rPr>
        <w:t>Poranění čočky Vykloubení</w:t>
      </w:r>
      <w:r>
        <w:rPr>
          <w:b/>
          <w:color w:val="231F20"/>
          <w:spacing w:val="-9"/>
          <w:sz w:val="12"/>
        </w:rPr>
        <w:t xml:space="preserve"> </w:t>
      </w:r>
      <w:r>
        <w:rPr>
          <w:b/>
          <w:color w:val="231F20"/>
          <w:spacing w:val="-4"/>
          <w:sz w:val="12"/>
        </w:rPr>
        <w:t>čočky</w:t>
      </w:r>
    </w:p>
    <w:p w14:paraId="0566D1A3" w14:textId="77777777" w:rsidR="00F65BCA" w:rsidRDefault="00216117">
      <w:pPr>
        <w:pStyle w:val="Odstavecseseznamem"/>
        <w:numPr>
          <w:ilvl w:val="0"/>
          <w:numId w:val="76"/>
        </w:numPr>
        <w:tabs>
          <w:tab w:val="left" w:pos="456"/>
        </w:tabs>
        <w:spacing w:before="1"/>
        <w:ind w:hanging="273"/>
        <w:rPr>
          <w:sz w:val="12"/>
        </w:rPr>
      </w:pPr>
      <w:r>
        <w:rPr>
          <w:color w:val="231F20"/>
          <w:sz w:val="12"/>
        </w:rPr>
        <w:t>částečné</w:t>
      </w:r>
    </w:p>
    <w:p w14:paraId="54850C1E" w14:textId="77777777" w:rsidR="00F65BCA" w:rsidRDefault="00216117">
      <w:pPr>
        <w:pStyle w:val="Odstavecseseznamem"/>
        <w:numPr>
          <w:ilvl w:val="0"/>
          <w:numId w:val="76"/>
        </w:numPr>
        <w:tabs>
          <w:tab w:val="left" w:pos="456"/>
        </w:tabs>
        <w:spacing w:before="38"/>
        <w:ind w:hanging="273"/>
        <w:rPr>
          <w:sz w:val="12"/>
        </w:rPr>
      </w:pPr>
      <w:r>
        <w:rPr>
          <w:color w:val="231F20"/>
          <w:sz w:val="12"/>
        </w:rPr>
        <w:t>úplné, operativně</w:t>
      </w:r>
      <w:r>
        <w:rPr>
          <w:color w:val="231F20"/>
          <w:spacing w:val="-3"/>
          <w:sz w:val="12"/>
        </w:rPr>
        <w:t xml:space="preserve"> </w:t>
      </w:r>
      <w:r>
        <w:rPr>
          <w:color w:val="231F20"/>
          <w:sz w:val="12"/>
        </w:rPr>
        <w:t>řešené</w:t>
      </w:r>
    </w:p>
    <w:p w14:paraId="0F2EB3B1" w14:textId="77777777" w:rsidR="00F65BCA" w:rsidRDefault="00000000">
      <w:pPr>
        <w:spacing w:before="35" w:line="242" w:lineRule="auto"/>
        <w:ind w:left="455" w:right="175"/>
        <w:rPr>
          <w:sz w:val="12"/>
        </w:rPr>
      </w:pPr>
      <w:r>
        <w:pict w14:anchorId="33E7DA96">
          <v:shape id="_x0000_s2185" type="#_x0000_t202" style="position:absolute;left:0;text-align:left;margin-left:16.2pt;margin-top:5.05pt;width:10.05pt;height:7.2pt;z-index:251935744;mso-position-horizontal-relative:page" filled="f" stroked="f">
            <v:textbox inset="0,0,0,0">
              <w:txbxContent>
                <w:p w14:paraId="7BC34C57" w14:textId="77777777" w:rsidR="00F65BCA" w:rsidRDefault="00216117">
                  <w:pPr>
                    <w:spacing w:before="4"/>
                    <w:rPr>
                      <w:b/>
                      <w:sz w:val="12"/>
                    </w:rPr>
                  </w:pPr>
                  <w:r>
                    <w:rPr>
                      <w:b/>
                      <w:color w:val="231F20"/>
                      <w:sz w:val="12"/>
                    </w:rPr>
                    <w:t>046</w:t>
                  </w:r>
                </w:p>
              </w:txbxContent>
            </v:textbox>
            <w10:wrap anchorx="page"/>
          </v:shape>
        </w:pict>
      </w:r>
      <w:r w:rsidR="00216117">
        <w:rPr>
          <w:color w:val="231F20"/>
          <w:sz w:val="12"/>
        </w:rPr>
        <w:t>Poúrazové poškození čočky s náhradou či bez náhrady implantátem</w:t>
      </w:r>
    </w:p>
    <w:p w14:paraId="0DB04A25" w14:textId="77777777" w:rsidR="00F65BCA" w:rsidRDefault="00216117">
      <w:pPr>
        <w:spacing w:before="33" w:line="302" w:lineRule="auto"/>
        <w:ind w:left="183" w:right="1010" w:firstLine="271"/>
        <w:rPr>
          <w:sz w:val="12"/>
        </w:rPr>
      </w:pPr>
      <w:r>
        <w:rPr>
          <w:b/>
          <w:color w:val="231F20"/>
          <w:sz w:val="12"/>
        </w:rPr>
        <w:t xml:space="preserve">Poranění sklivce a sítnice 047 </w:t>
      </w:r>
      <w:r>
        <w:rPr>
          <w:color w:val="231F20"/>
          <w:sz w:val="12"/>
        </w:rPr>
        <w:t xml:space="preserve">Krvácení do sklivce nebo </w:t>
      </w:r>
      <w:r>
        <w:rPr>
          <w:color w:val="231F20"/>
          <w:spacing w:val="-3"/>
          <w:sz w:val="12"/>
        </w:rPr>
        <w:t>sítnice</w:t>
      </w:r>
    </w:p>
    <w:p w14:paraId="3F1933CD" w14:textId="77777777" w:rsidR="00F65BCA" w:rsidRDefault="00216117">
      <w:pPr>
        <w:pStyle w:val="Odstavecseseznamem"/>
        <w:numPr>
          <w:ilvl w:val="0"/>
          <w:numId w:val="75"/>
        </w:numPr>
        <w:tabs>
          <w:tab w:val="left" w:pos="456"/>
        </w:tabs>
        <w:spacing w:before="7" w:line="242" w:lineRule="auto"/>
        <w:ind w:right="276"/>
        <w:rPr>
          <w:sz w:val="12"/>
        </w:rPr>
      </w:pPr>
      <w:r>
        <w:rPr>
          <w:color w:val="231F20"/>
          <w:sz w:val="12"/>
        </w:rPr>
        <w:t>Postižení</w:t>
      </w:r>
      <w:r>
        <w:rPr>
          <w:color w:val="231F20"/>
          <w:spacing w:val="-22"/>
          <w:sz w:val="12"/>
        </w:rPr>
        <w:t xml:space="preserve"> </w:t>
      </w:r>
      <w:r>
        <w:rPr>
          <w:color w:val="231F20"/>
          <w:sz w:val="12"/>
        </w:rPr>
        <w:t>sítnice</w:t>
      </w:r>
      <w:r>
        <w:rPr>
          <w:color w:val="231F20"/>
          <w:spacing w:val="-21"/>
          <w:sz w:val="12"/>
        </w:rPr>
        <w:t xml:space="preserve"> </w:t>
      </w:r>
      <w:r>
        <w:rPr>
          <w:color w:val="231F20"/>
          <w:sz w:val="12"/>
        </w:rPr>
        <w:t>vzniklé</w:t>
      </w:r>
      <w:r>
        <w:rPr>
          <w:color w:val="231F20"/>
          <w:spacing w:val="-21"/>
          <w:sz w:val="12"/>
        </w:rPr>
        <w:t xml:space="preserve"> </w:t>
      </w:r>
      <w:r>
        <w:rPr>
          <w:color w:val="231F20"/>
          <w:sz w:val="12"/>
        </w:rPr>
        <w:t>jako</w:t>
      </w:r>
      <w:r>
        <w:rPr>
          <w:color w:val="231F20"/>
          <w:spacing w:val="-22"/>
          <w:sz w:val="12"/>
        </w:rPr>
        <w:t xml:space="preserve"> </w:t>
      </w:r>
      <w:r>
        <w:rPr>
          <w:color w:val="231F20"/>
          <w:sz w:val="12"/>
        </w:rPr>
        <w:t>následek</w:t>
      </w:r>
      <w:r>
        <w:rPr>
          <w:color w:val="231F20"/>
          <w:spacing w:val="-21"/>
          <w:sz w:val="12"/>
        </w:rPr>
        <w:t xml:space="preserve"> </w:t>
      </w:r>
      <w:r>
        <w:rPr>
          <w:color w:val="231F20"/>
          <w:spacing w:val="-3"/>
          <w:sz w:val="12"/>
        </w:rPr>
        <w:t xml:space="preserve">přímého </w:t>
      </w:r>
      <w:r>
        <w:rPr>
          <w:color w:val="231F20"/>
          <w:sz w:val="12"/>
        </w:rPr>
        <w:t>úderu do</w:t>
      </w:r>
      <w:r>
        <w:rPr>
          <w:color w:val="231F20"/>
          <w:spacing w:val="-1"/>
          <w:sz w:val="12"/>
        </w:rPr>
        <w:t xml:space="preserve"> </w:t>
      </w:r>
      <w:r>
        <w:rPr>
          <w:color w:val="231F20"/>
          <w:sz w:val="12"/>
        </w:rPr>
        <w:t>oka</w:t>
      </w:r>
    </w:p>
    <w:p w14:paraId="44E50874" w14:textId="77777777" w:rsidR="00F65BCA" w:rsidRDefault="00216117">
      <w:pPr>
        <w:pStyle w:val="Odstavecseseznamem"/>
        <w:numPr>
          <w:ilvl w:val="0"/>
          <w:numId w:val="75"/>
        </w:numPr>
        <w:tabs>
          <w:tab w:val="left" w:pos="456"/>
        </w:tabs>
        <w:spacing w:before="56"/>
        <w:ind w:hanging="273"/>
        <w:rPr>
          <w:sz w:val="12"/>
        </w:rPr>
      </w:pPr>
      <w:r>
        <w:rPr>
          <w:color w:val="231F20"/>
          <w:sz w:val="12"/>
        </w:rPr>
        <w:t>Otřes sítnice po přímém úderu do</w:t>
      </w:r>
      <w:r>
        <w:rPr>
          <w:color w:val="231F20"/>
          <w:spacing w:val="-13"/>
          <w:sz w:val="12"/>
        </w:rPr>
        <w:t xml:space="preserve"> </w:t>
      </w:r>
      <w:r>
        <w:rPr>
          <w:color w:val="231F20"/>
          <w:sz w:val="12"/>
        </w:rPr>
        <w:t>oka</w:t>
      </w:r>
    </w:p>
    <w:p w14:paraId="218220D6" w14:textId="77777777" w:rsidR="00F65BCA" w:rsidRDefault="00216117">
      <w:pPr>
        <w:spacing w:before="96"/>
        <w:ind w:left="201"/>
        <w:rPr>
          <w:sz w:val="12"/>
        </w:rPr>
      </w:pPr>
      <w:r>
        <w:br w:type="column"/>
      </w:r>
      <w:r>
        <w:rPr>
          <w:color w:val="231F20"/>
          <w:sz w:val="12"/>
        </w:rPr>
        <w:t>do</w:t>
      </w:r>
      <w:r>
        <w:rPr>
          <w:color w:val="231F20"/>
          <w:spacing w:val="2"/>
          <w:sz w:val="12"/>
        </w:rPr>
        <w:t xml:space="preserve"> </w:t>
      </w:r>
      <w:r>
        <w:rPr>
          <w:color w:val="231F20"/>
          <w:sz w:val="12"/>
        </w:rPr>
        <w:t>28</w:t>
      </w:r>
    </w:p>
    <w:p w14:paraId="18326B4A" w14:textId="77777777" w:rsidR="00F65BCA" w:rsidRDefault="00216117">
      <w:pPr>
        <w:spacing w:before="38"/>
        <w:ind w:left="201"/>
        <w:rPr>
          <w:sz w:val="12"/>
        </w:rPr>
      </w:pPr>
      <w:r>
        <w:rPr>
          <w:color w:val="231F20"/>
          <w:sz w:val="12"/>
        </w:rPr>
        <w:t>do</w:t>
      </w:r>
      <w:r>
        <w:rPr>
          <w:color w:val="231F20"/>
          <w:spacing w:val="2"/>
          <w:sz w:val="12"/>
        </w:rPr>
        <w:t xml:space="preserve"> </w:t>
      </w:r>
      <w:r>
        <w:rPr>
          <w:color w:val="231F20"/>
          <w:sz w:val="12"/>
        </w:rPr>
        <w:t>84</w:t>
      </w:r>
    </w:p>
    <w:p w14:paraId="614ABC8A" w14:textId="77777777" w:rsidR="00F65BCA" w:rsidRDefault="00216117">
      <w:pPr>
        <w:spacing w:before="37"/>
        <w:ind w:left="201"/>
        <w:rPr>
          <w:sz w:val="12"/>
        </w:rPr>
      </w:pPr>
      <w:r>
        <w:rPr>
          <w:color w:val="231F20"/>
          <w:sz w:val="12"/>
        </w:rPr>
        <w:t>do</w:t>
      </w:r>
      <w:r>
        <w:rPr>
          <w:color w:val="231F20"/>
          <w:spacing w:val="2"/>
          <w:sz w:val="12"/>
        </w:rPr>
        <w:t xml:space="preserve"> </w:t>
      </w:r>
      <w:r>
        <w:rPr>
          <w:color w:val="231F20"/>
          <w:sz w:val="12"/>
        </w:rPr>
        <w:t>21</w:t>
      </w:r>
    </w:p>
    <w:p w14:paraId="0B2FDEFD" w14:textId="77777777" w:rsidR="00F65BCA" w:rsidRDefault="00216117">
      <w:pPr>
        <w:spacing w:before="38"/>
        <w:ind w:left="201"/>
        <w:rPr>
          <w:sz w:val="12"/>
        </w:rPr>
      </w:pPr>
      <w:r>
        <w:rPr>
          <w:color w:val="231F20"/>
          <w:sz w:val="12"/>
        </w:rPr>
        <w:t>do</w:t>
      </w:r>
      <w:r>
        <w:rPr>
          <w:color w:val="231F20"/>
          <w:spacing w:val="2"/>
          <w:sz w:val="12"/>
        </w:rPr>
        <w:t xml:space="preserve"> </w:t>
      </w:r>
      <w:r>
        <w:rPr>
          <w:color w:val="231F20"/>
          <w:sz w:val="12"/>
        </w:rPr>
        <w:t>21</w:t>
      </w:r>
    </w:p>
    <w:p w14:paraId="468A561E" w14:textId="77777777" w:rsidR="00F65BCA" w:rsidRDefault="00216117">
      <w:pPr>
        <w:spacing w:before="120"/>
        <w:ind w:left="201"/>
        <w:rPr>
          <w:sz w:val="12"/>
        </w:rPr>
      </w:pPr>
      <w:r>
        <w:rPr>
          <w:color w:val="231F20"/>
          <w:sz w:val="12"/>
        </w:rPr>
        <w:t>do</w:t>
      </w:r>
      <w:r>
        <w:rPr>
          <w:color w:val="231F20"/>
          <w:spacing w:val="2"/>
          <w:sz w:val="12"/>
        </w:rPr>
        <w:t xml:space="preserve"> </w:t>
      </w:r>
      <w:r>
        <w:rPr>
          <w:color w:val="231F20"/>
          <w:sz w:val="12"/>
        </w:rPr>
        <w:t>21</w:t>
      </w:r>
    </w:p>
    <w:p w14:paraId="44169E4E" w14:textId="77777777" w:rsidR="00F65BCA" w:rsidRDefault="00F65BCA">
      <w:pPr>
        <w:pStyle w:val="Zkladntext"/>
        <w:rPr>
          <w:sz w:val="14"/>
        </w:rPr>
      </w:pPr>
    </w:p>
    <w:p w14:paraId="32C3F545" w14:textId="77777777" w:rsidR="00F65BCA" w:rsidRDefault="00F65BCA">
      <w:pPr>
        <w:pStyle w:val="Zkladntext"/>
        <w:spacing w:before="5"/>
        <w:rPr>
          <w:sz w:val="13"/>
        </w:rPr>
      </w:pPr>
    </w:p>
    <w:p w14:paraId="22A5373A" w14:textId="77777777" w:rsidR="00F65BCA" w:rsidRDefault="00216117">
      <w:pPr>
        <w:ind w:left="168"/>
        <w:rPr>
          <w:sz w:val="12"/>
        </w:rPr>
      </w:pPr>
      <w:r>
        <w:rPr>
          <w:color w:val="231F20"/>
          <w:sz w:val="12"/>
        </w:rPr>
        <w:t>do</w:t>
      </w:r>
      <w:r>
        <w:rPr>
          <w:color w:val="231F20"/>
          <w:spacing w:val="2"/>
          <w:sz w:val="12"/>
        </w:rPr>
        <w:t xml:space="preserve"> </w:t>
      </w:r>
      <w:r>
        <w:rPr>
          <w:color w:val="231F20"/>
          <w:sz w:val="12"/>
        </w:rPr>
        <w:t>161</w:t>
      </w:r>
    </w:p>
    <w:p w14:paraId="374479C6" w14:textId="77777777" w:rsidR="00F65BCA" w:rsidRDefault="00F65BCA">
      <w:pPr>
        <w:pStyle w:val="Zkladntext"/>
        <w:rPr>
          <w:sz w:val="14"/>
        </w:rPr>
      </w:pPr>
    </w:p>
    <w:p w14:paraId="59006244" w14:textId="77777777" w:rsidR="00F65BCA" w:rsidRDefault="00F65BCA">
      <w:pPr>
        <w:pStyle w:val="Zkladntext"/>
        <w:spacing w:before="11"/>
      </w:pPr>
    </w:p>
    <w:p w14:paraId="7EC6B386" w14:textId="77777777" w:rsidR="00F65BCA" w:rsidRDefault="00216117">
      <w:pPr>
        <w:ind w:left="201"/>
        <w:rPr>
          <w:sz w:val="12"/>
        </w:rPr>
      </w:pPr>
      <w:r>
        <w:rPr>
          <w:color w:val="231F20"/>
          <w:sz w:val="12"/>
        </w:rPr>
        <w:t>do</w:t>
      </w:r>
      <w:r>
        <w:rPr>
          <w:color w:val="231F20"/>
          <w:spacing w:val="2"/>
          <w:sz w:val="12"/>
        </w:rPr>
        <w:t xml:space="preserve"> </w:t>
      </w:r>
      <w:r>
        <w:rPr>
          <w:color w:val="231F20"/>
          <w:sz w:val="12"/>
        </w:rPr>
        <w:t>56</w:t>
      </w:r>
    </w:p>
    <w:p w14:paraId="27E2204E" w14:textId="77777777" w:rsidR="00F65BCA" w:rsidRDefault="00216117">
      <w:pPr>
        <w:spacing w:before="32"/>
        <w:ind w:left="201"/>
        <w:rPr>
          <w:sz w:val="12"/>
        </w:rPr>
      </w:pPr>
      <w:r>
        <w:rPr>
          <w:color w:val="231F20"/>
          <w:sz w:val="12"/>
        </w:rPr>
        <w:t>do</w:t>
      </w:r>
      <w:r>
        <w:rPr>
          <w:color w:val="231F20"/>
          <w:spacing w:val="2"/>
          <w:sz w:val="12"/>
        </w:rPr>
        <w:t xml:space="preserve"> </w:t>
      </w:r>
      <w:r>
        <w:rPr>
          <w:color w:val="231F20"/>
          <w:sz w:val="12"/>
        </w:rPr>
        <w:t>98</w:t>
      </w:r>
    </w:p>
    <w:p w14:paraId="28FE174B" w14:textId="77777777" w:rsidR="00F65BCA" w:rsidRDefault="00F65BCA">
      <w:pPr>
        <w:pStyle w:val="Zkladntext"/>
        <w:spacing w:before="6"/>
        <w:rPr>
          <w:sz w:val="17"/>
        </w:rPr>
      </w:pPr>
    </w:p>
    <w:p w14:paraId="36D0729C" w14:textId="77777777" w:rsidR="00F65BCA" w:rsidRDefault="00216117">
      <w:pPr>
        <w:ind w:left="201"/>
        <w:rPr>
          <w:sz w:val="12"/>
        </w:rPr>
      </w:pPr>
      <w:r>
        <w:rPr>
          <w:color w:val="231F20"/>
          <w:sz w:val="12"/>
        </w:rPr>
        <w:t>do</w:t>
      </w:r>
      <w:r>
        <w:rPr>
          <w:color w:val="231F20"/>
          <w:spacing w:val="2"/>
          <w:sz w:val="12"/>
        </w:rPr>
        <w:t xml:space="preserve"> </w:t>
      </w:r>
      <w:r>
        <w:rPr>
          <w:color w:val="231F20"/>
          <w:sz w:val="12"/>
        </w:rPr>
        <w:t>70</w:t>
      </w:r>
    </w:p>
    <w:p w14:paraId="75C9A6C1" w14:textId="77777777" w:rsidR="00F65BCA" w:rsidRDefault="00216117">
      <w:pPr>
        <w:spacing w:before="33"/>
        <w:ind w:left="201"/>
        <w:rPr>
          <w:sz w:val="12"/>
        </w:rPr>
      </w:pPr>
      <w:r>
        <w:rPr>
          <w:color w:val="231F20"/>
          <w:sz w:val="12"/>
        </w:rPr>
        <w:t>do</w:t>
      </w:r>
      <w:r>
        <w:rPr>
          <w:color w:val="231F20"/>
          <w:spacing w:val="2"/>
          <w:sz w:val="12"/>
        </w:rPr>
        <w:t xml:space="preserve"> </w:t>
      </w:r>
      <w:r>
        <w:rPr>
          <w:color w:val="231F20"/>
          <w:sz w:val="12"/>
        </w:rPr>
        <w:t>21</w:t>
      </w:r>
    </w:p>
    <w:p w14:paraId="540F4362" w14:textId="77777777" w:rsidR="00F65BCA" w:rsidRDefault="00216117">
      <w:pPr>
        <w:spacing w:before="103"/>
        <w:ind w:left="201"/>
        <w:rPr>
          <w:sz w:val="12"/>
        </w:rPr>
      </w:pPr>
      <w:r>
        <w:rPr>
          <w:color w:val="231F20"/>
          <w:sz w:val="12"/>
        </w:rPr>
        <w:t>do</w:t>
      </w:r>
      <w:r>
        <w:rPr>
          <w:color w:val="231F20"/>
          <w:spacing w:val="2"/>
          <w:sz w:val="12"/>
        </w:rPr>
        <w:t xml:space="preserve"> </w:t>
      </w:r>
      <w:r>
        <w:rPr>
          <w:color w:val="231F20"/>
          <w:sz w:val="12"/>
        </w:rPr>
        <w:t>28</w:t>
      </w:r>
    </w:p>
    <w:p w14:paraId="6898D772" w14:textId="77777777" w:rsidR="00F65BCA" w:rsidRDefault="00216117">
      <w:pPr>
        <w:spacing w:before="103"/>
        <w:ind w:left="201"/>
        <w:rPr>
          <w:sz w:val="12"/>
        </w:rPr>
      </w:pPr>
      <w:r>
        <w:rPr>
          <w:color w:val="231F20"/>
          <w:sz w:val="12"/>
        </w:rPr>
        <w:t>do</w:t>
      </w:r>
      <w:r>
        <w:rPr>
          <w:color w:val="231F20"/>
          <w:spacing w:val="2"/>
          <w:sz w:val="12"/>
        </w:rPr>
        <w:t xml:space="preserve"> </w:t>
      </w:r>
      <w:r>
        <w:rPr>
          <w:color w:val="231F20"/>
          <w:sz w:val="12"/>
        </w:rPr>
        <w:t>28</w:t>
      </w:r>
    </w:p>
    <w:p w14:paraId="4A8E303E" w14:textId="77777777" w:rsidR="00F65BCA" w:rsidRDefault="00216117">
      <w:pPr>
        <w:spacing w:before="102"/>
        <w:ind w:left="201"/>
        <w:rPr>
          <w:sz w:val="12"/>
        </w:rPr>
      </w:pPr>
      <w:r>
        <w:rPr>
          <w:color w:val="231F20"/>
          <w:sz w:val="12"/>
        </w:rPr>
        <w:t>do</w:t>
      </w:r>
      <w:r>
        <w:rPr>
          <w:color w:val="231F20"/>
          <w:spacing w:val="2"/>
          <w:sz w:val="12"/>
        </w:rPr>
        <w:t xml:space="preserve"> </w:t>
      </w:r>
      <w:r>
        <w:rPr>
          <w:color w:val="231F20"/>
          <w:sz w:val="12"/>
        </w:rPr>
        <w:t>77</w:t>
      </w:r>
    </w:p>
    <w:p w14:paraId="4BDD8FB7" w14:textId="77777777" w:rsidR="00F65BCA" w:rsidRDefault="00216117">
      <w:pPr>
        <w:spacing w:before="108"/>
        <w:ind w:left="201"/>
        <w:rPr>
          <w:sz w:val="12"/>
        </w:rPr>
      </w:pPr>
      <w:r>
        <w:rPr>
          <w:color w:val="231F20"/>
          <w:sz w:val="12"/>
        </w:rPr>
        <w:t>do</w:t>
      </w:r>
      <w:r>
        <w:rPr>
          <w:color w:val="231F20"/>
          <w:spacing w:val="2"/>
          <w:sz w:val="12"/>
        </w:rPr>
        <w:t xml:space="preserve"> </w:t>
      </w:r>
      <w:r>
        <w:rPr>
          <w:color w:val="231F20"/>
          <w:sz w:val="12"/>
        </w:rPr>
        <w:t>49</w:t>
      </w:r>
    </w:p>
    <w:p w14:paraId="0DDF4D7B" w14:textId="77777777" w:rsidR="00F65BCA" w:rsidRDefault="00216117">
      <w:pPr>
        <w:spacing w:before="40"/>
        <w:ind w:left="201"/>
        <w:rPr>
          <w:sz w:val="12"/>
        </w:rPr>
      </w:pPr>
      <w:r>
        <w:rPr>
          <w:color w:val="231F20"/>
          <w:sz w:val="12"/>
        </w:rPr>
        <w:t>do</w:t>
      </w:r>
      <w:r>
        <w:rPr>
          <w:color w:val="231F20"/>
          <w:spacing w:val="2"/>
          <w:sz w:val="12"/>
        </w:rPr>
        <w:t xml:space="preserve"> </w:t>
      </w:r>
      <w:r>
        <w:rPr>
          <w:color w:val="231F20"/>
          <w:sz w:val="12"/>
        </w:rPr>
        <w:t>84</w:t>
      </w:r>
    </w:p>
    <w:p w14:paraId="4AAC0DAC" w14:textId="77777777" w:rsidR="00F65BCA" w:rsidRDefault="00216117">
      <w:pPr>
        <w:spacing w:before="41"/>
        <w:ind w:left="201"/>
        <w:rPr>
          <w:sz w:val="12"/>
        </w:rPr>
      </w:pPr>
      <w:r>
        <w:rPr>
          <w:color w:val="231F20"/>
          <w:sz w:val="12"/>
        </w:rPr>
        <w:t>do</w:t>
      </w:r>
      <w:r>
        <w:rPr>
          <w:color w:val="231F20"/>
          <w:spacing w:val="2"/>
          <w:sz w:val="12"/>
        </w:rPr>
        <w:t xml:space="preserve"> </w:t>
      </w:r>
      <w:r>
        <w:rPr>
          <w:color w:val="231F20"/>
          <w:sz w:val="12"/>
        </w:rPr>
        <w:t>70</w:t>
      </w:r>
    </w:p>
    <w:p w14:paraId="45955CD8" w14:textId="77777777" w:rsidR="00F65BCA" w:rsidRDefault="00216117">
      <w:pPr>
        <w:spacing w:before="40"/>
        <w:ind w:left="168"/>
        <w:rPr>
          <w:sz w:val="12"/>
        </w:rPr>
      </w:pPr>
      <w:r>
        <w:rPr>
          <w:color w:val="231F20"/>
          <w:sz w:val="12"/>
        </w:rPr>
        <w:t>do</w:t>
      </w:r>
      <w:r>
        <w:rPr>
          <w:color w:val="231F20"/>
          <w:spacing w:val="2"/>
          <w:sz w:val="12"/>
        </w:rPr>
        <w:t xml:space="preserve"> </w:t>
      </w:r>
      <w:r>
        <w:rPr>
          <w:color w:val="231F20"/>
          <w:sz w:val="12"/>
        </w:rPr>
        <w:t>112</w:t>
      </w:r>
    </w:p>
    <w:p w14:paraId="0E17B0C0" w14:textId="77777777" w:rsidR="00F65BCA" w:rsidRDefault="00216117">
      <w:pPr>
        <w:spacing w:before="41"/>
        <w:ind w:left="201"/>
        <w:rPr>
          <w:sz w:val="12"/>
        </w:rPr>
      </w:pPr>
      <w:r>
        <w:rPr>
          <w:color w:val="231F20"/>
          <w:sz w:val="12"/>
        </w:rPr>
        <w:t>do</w:t>
      </w:r>
      <w:r>
        <w:rPr>
          <w:color w:val="231F20"/>
          <w:spacing w:val="2"/>
          <w:sz w:val="12"/>
        </w:rPr>
        <w:t xml:space="preserve"> </w:t>
      </w:r>
      <w:r>
        <w:rPr>
          <w:color w:val="231F20"/>
          <w:sz w:val="12"/>
        </w:rPr>
        <w:t>56</w:t>
      </w:r>
    </w:p>
    <w:p w14:paraId="3DE466E7" w14:textId="77777777" w:rsidR="00F65BCA" w:rsidRDefault="00F65BCA">
      <w:pPr>
        <w:pStyle w:val="Zkladntext"/>
        <w:spacing w:before="1"/>
        <w:rPr>
          <w:sz w:val="19"/>
        </w:rPr>
      </w:pPr>
    </w:p>
    <w:p w14:paraId="7E4C8BBF" w14:textId="77777777" w:rsidR="00F65BCA" w:rsidRDefault="00216117">
      <w:pPr>
        <w:ind w:left="201"/>
        <w:rPr>
          <w:sz w:val="12"/>
        </w:rPr>
      </w:pPr>
      <w:r>
        <w:rPr>
          <w:color w:val="231F20"/>
          <w:sz w:val="12"/>
        </w:rPr>
        <w:t>do</w:t>
      </w:r>
      <w:r>
        <w:rPr>
          <w:color w:val="231F20"/>
          <w:spacing w:val="2"/>
          <w:sz w:val="12"/>
        </w:rPr>
        <w:t xml:space="preserve"> </w:t>
      </w:r>
      <w:r>
        <w:rPr>
          <w:color w:val="231F20"/>
          <w:sz w:val="12"/>
        </w:rPr>
        <w:t>84</w:t>
      </w:r>
    </w:p>
    <w:p w14:paraId="599A2ACD" w14:textId="77777777" w:rsidR="00F65BCA" w:rsidRDefault="00216117">
      <w:pPr>
        <w:spacing w:before="40"/>
        <w:ind w:left="168"/>
        <w:rPr>
          <w:sz w:val="12"/>
        </w:rPr>
      </w:pPr>
      <w:r>
        <w:rPr>
          <w:color w:val="231F20"/>
          <w:sz w:val="12"/>
        </w:rPr>
        <w:t>do</w:t>
      </w:r>
      <w:r>
        <w:rPr>
          <w:color w:val="231F20"/>
          <w:spacing w:val="2"/>
          <w:sz w:val="12"/>
        </w:rPr>
        <w:t xml:space="preserve"> </w:t>
      </w:r>
      <w:r>
        <w:rPr>
          <w:color w:val="231F20"/>
          <w:sz w:val="12"/>
        </w:rPr>
        <w:t>112</w:t>
      </w:r>
    </w:p>
    <w:p w14:paraId="0A68E39A" w14:textId="77777777" w:rsidR="00F65BCA" w:rsidRDefault="00216117">
      <w:pPr>
        <w:spacing w:before="41"/>
        <w:ind w:left="168"/>
        <w:rPr>
          <w:sz w:val="12"/>
        </w:rPr>
      </w:pPr>
      <w:r>
        <w:rPr>
          <w:color w:val="231F20"/>
          <w:sz w:val="12"/>
        </w:rPr>
        <w:t>do</w:t>
      </w:r>
      <w:r>
        <w:rPr>
          <w:color w:val="231F20"/>
          <w:spacing w:val="2"/>
          <w:sz w:val="12"/>
        </w:rPr>
        <w:t xml:space="preserve"> </w:t>
      </w:r>
      <w:r>
        <w:rPr>
          <w:color w:val="231F20"/>
          <w:sz w:val="12"/>
        </w:rPr>
        <w:t>203</w:t>
      </w:r>
    </w:p>
    <w:p w14:paraId="74F03859" w14:textId="77777777" w:rsidR="00F65BCA" w:rsidRDefault="00F65BCA">
      <w:pPr>
        <w:pStyle w:val="Zkladntext"/>
        <w:rPr>
          <w:sz w:val="14"/>
        </w:rPr>
      </w:pPr>
    </w:p>
    <w:p w14:paraId="3EAEB162" w14:textId="77777777" w:rsidR="00F65BCA" w:rsidRDefault="00F65BCA">
      <w:pPr>
        <w:pStyle w:val="Zkladntext"/>
        <w:rPr>
          <w:sz w:val="14"/>
        </w:rPr>
      </w:pPr>
    </w:p>
    <w:p w14:paraId="4ED7CA9A" w14:textId="77777777" w:rsidR="00F65BCA" w:rsidRDefault="00F65BCA">
      <w:pPr>
        <w:pStyle w:val="Zkladntext"/>
        <w:spacing w:before="7"/>
        <w:rPr>
          <w:sz w:val="20"/>
        </w:rPr>
      </w:pPr>
    </w:p>
    <w:p w14:paraId="47845328" w14:textId="77777777" w:rsidR="00F65BCA" w:rsidRDefault="00216117">
      <w:pPr>
        <w:ind w:left="201"/>
        <w:rPr>
          <w:sz w:val="12"/>
        </w:rPr>
      </w:pPr>
      <w:r>
        <w:rPr>
          <w:color w:val="231F20"/>
          <w:sz w:val="12"/>
        </w:rPr>
        <w:t>do</w:t>
      </w:r>
      <w:r>
        <w:rPr>
          <w:color w:val="231F20"/>
          <w:spacing w:val="2"/>
          <w:sz w:val="12"/>
        </w:rPr>
        <w:t xml:space="preserve"> </w:t>
      </w:r>
      <w:r>
        <w:rPr>
          <w:color w:val="231F20"/>
          <w:sz w:val="12"/>
        </w:rPr>
        <w:t>21</w:t>
      </w:r>
    </w:p>
    <w:p w14:paraId="3A76FDDF" w14:textId="77777777" w:rsidR="00F65BCA" w:rsidRDefault="00216117">
      <w:pPr>
        <w:spacing w:before="41"/>
        <w:ind w:left="201"/>
        <w:rPr>
          <w:sz w:val="12"/>
        </w:rPr>
      </w:pPr>
      <w:r>
        <w:rPr>
          <w:color w:val="231F20"/>
          <w:sz w:val="12"/>
        </w:rPr>
        <w:t>do</w:t>
      </w:r>
      <w:r>
        <w:rPr>
          <w:color w:val="231F20"/>
          <w:spacing w:val="2"/>
          <w:sz w:val="12"/>
        </w:rPr>
        <w:t xml:space="preserve"> </w:t>
      </w:r>
      <w:r>
        <w:rPr>
          <w:color w:val="231F20"/>
          <w:sz w:val="12"/>
        </w:rPr>
        <w:t>42</w:t>
      </w:r>
    </w:p>
    <w:p w14:paraId="01F633C6" w14:textId="77777777" w:rsidR="00F65BCA" w:rsidRDefault="00F65BCA">
      <w:pPr>
        <w:pStyle w:val="Zkladntext"/>
        <w:rPr>
          <w:sz w:val="14"/>
        </w:rPr>
      </w:pPr>
    </w:p>
    <w:p w14:paraId="5D2CEBA6" w14:textId="77777777" w:rsidR="00F65BCA" w:rsidRDefault="00F65BCA">
      <w:pPr>
        <w:pStyle w:val="Zkladntext"/>
        <w:spacing w:before="7"/>
        <w:rPr>
          <w:sz w:val="20"/>
        </w:rPr>
      </w:pPr>
    </w:p>
    <w:p w14:paraId="1F592C68" w14:textId="77777777" w:rsidR="00F65BCA" w:rsidRDefault="00216117">
      <w:pPr>
        <w:ind w:left="201"/>
        <w:rPr>
          <w:sz w:val="12"/>
        </w:rPr>
      </w:pPr>
      <w:r>
        <w:rPr>
          <w:color w:val="231F20"/>
          <w:sz w:val="12"/>
        </w:rPr>
        <w:t>do</w:t>
      </w:r>
      <w:r>
        <w:rPr>
          <w:color w:val="231F20"/>
          <w:spacing w:val="2"/>
          <w:sz w:val="12"/>
        </w:rPr>
        <w:t xml:space="preserve"> </w:t>
      </w:r>
      <w:r>
        <w:rPr>
          <w:color w:val="231F20"/>
          <w:sz w:val="12"/>
        </w:rPr>
        <w:t>21</w:t>
      </w:r>
    </w:p>
    <w:p w14:paraId="3B0947E1" w14:textId="77777777" w:rsidR="00F65BCA" w:rsidRDefault="00F65BCA">
      <w:pPr>
        <w:pStyle w:val="Zkladntext"/>
        <w:rPr>
          <w:sz w:val="14"/>
        </w:rPr>
      </w:pPr>
    </w:p>
    <w:p w14:paraId="6E17621F" w14:textId="77777777" w:rsidR="00F65BCA" w:rsidRDefault="00F65BCA">
      <w:pPr>
        <w:pStyle w:val="Zkladntext"/>
        <w:spacing w:before="7"/>
        <w:rPr>
          <w:sz w:val="16"/>
        </w:rPr>
      </w:pPr>
    </w:p>
    <w:p w14:paraId="121C21DF" w14:textId="77777777" w:rsidR="00F65BCA" w:rsidRDefault="00216117">
      <w:pPr>
        <w:ind w:left="128"/>
        <w:jc w:val="center"/>
        <w:rPr>
          <w:sz w:val="12"/>
        </w:rPr>
      </w:pPr>
      <w:r>
        <w:rPr>
          <w:color w:val="231F20"/>
          <w:w w:val="99"/>
          <w:sz w:val="12"/>
        </w:rPr>
        <w:t>0</w:t>
      </w:r>
    </w:p>
    <w:p w14:paraId="5C4C1CFC" w14:textId="77777777" w:rsidR="00F65BCA" w:rsidRDefault="00216117">
      <w:pPr>
        <w:spacing w:before="41"/>
        <w:ind w:left="148" w:right="20"/>
        <w:jc w:val="center"/>
        <w:rPr>
          <w:sz w:val="12"/>
        </w:rPr>
      </w:pPr>
      <w:r>
        <w:rPr>
          <w:color w:val="231F20"/>
          <w:sz w:val="12"/>
        </w:rPr>
        <w:t>do</w:t>
      </w:r>
      <w:r>
        <w:rPr>
          <w:color w:val="231F20"/>
          <w:spacing w:val="2"/>
          <w:sz w:val="12"/>
        </w:rPr>
        <w:t xml:space="preserve"> </w:t>
      </w:r>
      <w:r>
        <w:rPr>
          <w:color w:val="231F20"/>
          <w:sz w:val="12"/>
        </w:rPr>
        <w:t>28</w:t>
      </w:r>
    </w:p>
    <w:p w14:paraId="6F00D97E" w14:textId="77777777" w:rsidR="00F65BCA" w:rsidRDefault="00216117">
      <w:pPr>
        <w:spacing w:before="40"/>
        <w:ind w:left="148" w:right="20"/>
        <w:jc w:val="center"/>
        <w:rPr>
          <w:sz w:val="12"/>
        </w:rPr>
      </w:pPr>
      <w:r>
        <w:rPr>
          <w:color w:val="231F20"/>
          <w:sz w:val="12"/>
        </w:rPr>
        <w:t>do</w:t>
      </w:r>
      <w:r>
        <w:rPr>
          <w:color w:val="231F20"/>
          <w:spacing w:val="2"/>
          <w:sz w:val="12"/>
        </w:rPr>
        <w:t xml:space="preserve"> </w:t>
      </w:r>
      <w:r>
        <w:rPr>
          <w:color w:val="231F20"/>
          <w:sz w:val="12"/>
        </w:rPr>
        <w:t>63</w:t>
      </w:r>
    </w:p>
    <w:p w14:paraId="0EA4B0D6" w14:textId="77777777" w:rsidR="00F65BCA" w:rsidRDefault="00F65BCA">
      <w:pPr>
        <w:pStyle w:val="Zkladntext"/>
        <w:spacing w:before="1"/>
        <w:rPr>
          <w:sz w:val="19"/>
        </w:rPr>
      </w:pPr>
    </w:p>
    <w:p w14:paraId="5F20B12C" w14:textId="77777777" w:rsidR="00F65BCA" w:rsidRDefault="00216117">
      <w:pPr>
        <w:ind w:left="201"/>
        <w:rPr>
          <w:sz w:val="12"/>
        </w:rPr>
      </w:pPr>
      <w:r>
        <w:rPr>
          <w:color w:val="231F20"/>
          <w:sz w:val="12"/>
        </w:rPr>
        <w:t>do</w:t>
      </w:r>
      <w:r>
        <w:rPr>
          <w:color w:val="231F20"/>
          <w:spacing w:val="2"/>
          <w:sz w:val="12"/>
        </w:rPr>
        <w:t xml:space="preserve"> </w:t>
      </w:r>
      <w:r>
        <w:rPr>
          <w:color w:val="231F20"/>
          <w:sz w:val="12"/>
        </w:rPr>
        <w:t>70</w:t>
      </w:r>
    </w:p>
    <w:p w14:paraId="0439BE01" w14:textId="77777777" w:rsidR="00F65BCA" w:rsidRDefault="00216117">
      <w:pPr>
        <w:spacing w:before="41"/>
        <w:ind w:left="201"/>
        <w:rPr>
          <w:sz w:val="12"/>
        </w:rPr>
      </w:pPr>
      <w:r>
        <w:rPr>
          <w:color w:val="231F20"/>
          <w:sz w:val="12"/>
        </w:rPr>
        <w:t>do</w:t>
      </w:r>
      <w:r>
        <w:rPr>
          <w:color w:val="231F20"/>
          <w:spacing w:val="2"/>
          <w:sz w:val="12"/>
        </w:rPr>
        <w:t xml:space="preserve"> </w:t>
      </w:r>
      <w:r>
        <w:rPr>
          <w:color w:val="231F20"/>
          <w:sz w:val="12"/>
        </w:rPr>
        <w:t>84</w:t>
      </w:r>
    </w:p>
    <w:p w14:paraId="363AD7BF" w14:textId="77777777" w:rsidR="00F65BCA" w:rsidRDefault="00216117">
      <w:pPr>
        <w:spacing w:before="40"/>
        <w:ind w:left="201"/>
        <w:rPr>
          <w:sz w:val="12"/>
        </w:rPr>
      </w:pPr>
      <w:r>
        <w:rPr>
          <w:color w:val="231F20"/>
          <w:sz w:val="12"/>
        </w:rPr>
        <w:t>do</w:t>
      </w:r>
      <w:r>
        <w:rPr>
          <w:color w:val="231F20"/>
          <w:spacing w:val="2"/>
          <w:sz w:val="12"/>
        </w:rPr>
        <w:t xml:space="preserve"> </w:t>
      </w:r>
      <w:r>
        <w:rPr>
          <w:color w:val="231F20"/>
          <w:sz w:val="12"/>
        </w:rPr>
        <w:t>84</w:t>
      </w:r>
    </w:p>
    <w:p w14:paraId="0A739AC0" w14:textId="77777777" w:rsidR="00F65BCA" w:rsidRDefault="00216117">
      <w:pPr>
        <w:spacing w:before="107"/>
        <w:ind w:left="148" w:right="20"/>
        <w:jc w:val="center"/>
        <w:rPr>
          <w:sz w:val="12"/>
        </w:rPr>
      </w:pPr>
      <w:r>
        <w:rPr>
          <w:color w:val="231F20"/>
          <w:sz w:val="12"/>
        </w:rPr>
        <w:t>do</w:t>
      </w:r>
      <w:r>
        <w:rPr>
          <w:color w:val="231F20"/>
          <w:spacing w:val="2"/>
          <w:sz w:val="12"/>
        </w:rPr>
        <w:t xml:space="preserve"> </w:t>
      </w:r>
      <w:r>
        <w:rPr>
          <w:color w:val="231F20"/>
          <w:sz w:val="12"/>
        </w:rPr>
        <w:t>84</w:t>
      </w:r>
    </w:p>
    <w:p w14:paraId="10045B7E" w14:textId="77777777" w:rsidR="00F65BCA" w:rsidRDefault="00F65BCA">
      <w:pPr>
        <w:pStyle w:val="Zkladntext"/>
        <w:rPr>
          <w:sz w:val="14"/>
        </w:rPr>
      </w:pPr>
    </w:p>
    <w:p w14:paraId="1236BCE7" w14:textId="77777777" w:rsidR="00F65BCA" w:rsidRDefault="00F65BCA">
      <w:pPr>
        <w:pStyle w:val="Zkladntext"/>
        <w:spacing w:before="11"/>
      </w:pPr>
    </w:p>
    <w:p w14:paraId="58F9B25F" w14:textId="77777777" w:rsidR="00F65BCA" w:rsidRDefault="00216117">
      <w:pPr>
        <w:ind w:left="148" w:right="20"/>
        <w:jc w:val="center"/>
        <w:rPr>
          <w:sz w:val="12"/>
        </w:rPr>
      </w:pPr>
      <w:r>
        <w:rPr>
          <w:color w:val="231F20"/>
          <w:sz w:val="12"/>
        </w:rPr>
        <w:t>do</w:t>
      </w:r>
      <w:r>
        <w:rPr>
          <w:color w:val="231F20"/>
          <w:spacing w:val="2"/>
          <w:sz w:val="12"/>
        </w:rPr>
        <w:t xml:space="preserve"> </w:t>
      </w:r>
      <w:r>
        <w:rPr>
          <w:color w:val="231F20"/>
          <w:sz w:val="12"/>
        </w:rPr>
        <w:t>21</w:t>
      </w:r>
    </w:p>
    <w:p w14:paraId="7E3CD926" w14:textId="77777777" w:rsidR="00F65BCA" w:rsidRDefault="00216117">
      <w:pPr>
        <w:spacing w:before="106"/>
        <w:ind w:left="148" w:right="20"/>
        <w:jc w:val="center"/>
        <w:rPr>
          <w:sz w:val="12"/>
        </w:rPr>
      </w:pPr>
      <w:r>
        <w:rPr>
          <w:color w:val="231F20"/>
          <w:sz w:val="12"/>
        </w:rPr>
        <w:t>do</w:t>
      </w:r>
      <w:r>
        <w:rPr>
          <w:color w:val="231F20"/>
          <w:spacing w:val="2"/>
          <w:sz w:val="12"/>
        </w:rPr>
        <w:t xml:space="preserve"> </w:t>
      </w:r>
      <w:r>
        <w:rPr>
          <w:color w:val="231F20"/>
          <w:sz w:val="12"/>
        </w:rPr>
        <w:t>49</w:t>
      </w:r>
    </w:p>
    <w:p w14:paraId="7F63838F" w14:textId="77777777" w:rsidR="00F65BCA" w:rsidRDefault="00216117">
      <w:pPr>
        <w:spacing w:before="37"/>
        <w:ind w:left="147" w:right="20"/>
        <w:jc w:val="center"/>
        <w:rPr>
          <w:sz w:val="12"/>
        </w:rPr>
      </w:pPr>
      <w:r>
        <w:rPr>
          <w:color w:val="231F20"/>
          <w:sz w:val="12"/>
        </w:rPr>
        <w:t>do</w:t>
      </w:r>
      <w:r>
        <w:rPr>
          <w:color w:val="231F20"/>
          <w:spacing w:val="-3"/>
          <w:sz w:val="12"/>
        </w:rPr>
        <w:t xml:space="preserve"> </w:t>
      </w:r>
      <w:r>
        <w:rPr>
          <w:color w:val="231F20"/>
          <w:spacing w:val="-2"/>
          <w:sz w:val="12"/>
        </w:rPr>
        <w:t>175</w:t>
      </w:r>
    </w:p>
    <w:p w14:paraId="27BAEF6D" w14:textId="77777777" w:rsidR="00F65BCA" w:rsidRDefault="00F65BCA">
      <w:pPr>
        <w:pStyle w:val="Zkladntext"/>
        <w:rPr>
          <w:sz w:val="14"/>
        </w:rPr>
      </w:pPr>
    </w:p>
    <w:p w14:paraId="497FE06B" w14:textId="77777777" w:rsidR="00F65BCA" w:rsidRDefault="00F65BCA">
      <w:pPr>
        <w:pStyle w:val="Zkladntext"/>
        <w:spacing w:before="10"/>
        <w:rPr>
          <w:sz w:val="19"/>
        </w:rPr>
      </w:pPr>
    </w:p>
    <w:p w14:paraId="49D14F13" w14:textId="77777777" w:rsidR="00F65BCA" w:rsidRDefault="00216117">
      <w:pPr>
        <w:ind w:left="201"/>
        <w:rPr>
          <w:sz w:val="12"/>
        </w:rPr>
      </w:pPr>
      <w:r>
        <w:rPr>
          <w:color w:val="231F20"/>
          <w:sz w:val="12"/>
        </w:rPr>
        <w:t>do</w:t>
      </w:r>
      <w:r>
        <w:rPr>
          <w:color w:val="231F20"/>
          <w:spacing w:val="2"/>
          <w:sz w:val="12"/>
        </w:rPr>
        <w:t xml:space="preserve"> </w:t>
      </w:r>
      <w:r>
        <w:rPr>
          <w:color w:val="231F20"/>
          <w:sz w:val="12"/>
        </w:rPr>
        <w:t>21</w:t>
      </w:r>
    </w:p>
    <w:p w14:paraId="7DD35C72" w14:textId="77777777" w:rsidR="00F65BCA" w:rsidRDefault="00216117">
      <w:pPr>
        <w:spacing w:before="38"/>
        <w:ind w:left="201"/>
        <w:rPr>
          <w:sz w:val="12"/>
        </w:rPr>
      </w:pPr>
      <w:r>
        <w:rPr>
          <w:color w:val="231F20"/>
          <w:sz w:val="12"/>
        </w:rPr>
        <w:t>do</w:t>
      </w:r>
      <w:r>
        <w:rPr>
          <w:color w:val="231F20"/>
          <w:spacing w:val="2"/>
          <w:sz w:val="12"/>
        </w:rPr>
        <w:t xml:space="preserve"> </w:t>
      </w:r>
      <w:r>
        <w:rPr>
          <w:color w:val="231F20"/>
          <w:sz w:val="12"/>
        </w:rPr>
        <w:t>42</w:t>
      </w:r>
    </w:p>
    <w:p w14:paraId="308E8BBC" w14:textId="77777777" w:rsidR="00F65BCA" w:rsidRDefault="00216117">
      <w:pPr>
        <w:spacing w:before="38"/>
        <w:ind w:left="201"/>
        <w:rPr>
          <w:sz w:val="12"/>
        </w:rPr>
      </w:pPr>
      <w:r>
        <w:rPr>
          <w:color w:val="231F20"/>
          <w:sz w:val="12"/>
        </w:rPr>
        <w:t>do</w:t>
      </w:r>
      <w:r>
        <w:rPr>
          <w:color w:val="231F20"/>
          <w:spacing w:val="2"/>
          <w:sz w:val="12"/>
        </w:rPr>
        <w:t xml:space="preserve"> </w:t>
      </w:r>
      <w:r>
        <w:rPr>
          <w:color w:val="231F20"/>
          <w:sz w:val="12"/>
        </w:rPr>
        <w:t>42</w:t>
      </w:r>
    </w:p>
    <w:p w14:paraId="67936AC2" w14:textId="77777777" w:rsidR="00F65BCA" w:rsidRDefault="00F65BCA">
      <w:pPr>
        <w:pStyle w:val="Zkladntext"/>
        <w:rPr>
          <w:sz w:val="14"/>
        </w:rPr>
      </w:pPr>
    </w:p>
    <w:p w14:paraId="1D738EE9" w14:textId="77777777" w:rsidR="00F65BCA" w:rsidRDefault="00F65BCA">
      <w:pPr>
        <w:pStyle w:val="Zkladntext"/>
        <w:spacing w:before="9"/>
        <w:rPr>
          <w:sz w:val="19"/>
        </w:rPr>
      </w:pPr>
    </w:p>
    <w:p w14:paraId="753E52D7" w14:textId="77777777" w:rsidR="00F65BCA" w:rsidRDefault="00216117">
      <w:pPr>
        <w:ind w:left="148" w:right="20"/>
        <w:jc w:val="center"/>
        <w:rPr>
          <w:sz w:val="12"/>
        </w:rPr>
      </w:pPr>
      <w:r>
        <w:rPr>
          <w:color w:val="231F20"/>
          <w:sz w:val="12"/>
        </w:rPr>
        <w:t>do</w:t>
      </w:r>
      <w:r>
        <w:rPr>
          <w:color w:val="231F20"/>
          <w:spacing w:val="2"/>
          <w:sz w:val="12"/>
        </w:rPr>
        <w:t xml:space="preserve"> </w:t>
      </w:r>
      <w:r>
        <w:rPr>
          <w:color w:val="231F20"/>
          <w:sz w:val="12"/>
        </w:rPr>
        <w:t>28</w:t>
      </w:r>
    </w:p>
    <w:p w14:paraId="72FCE5E8" w14:textId="77777777" w:rsidR="00F65BCA" w:rsidRDefault="00216117">
      <w:pPr>
        <w:spacing w:before="106"/>
        <w:ind w:left="148" w:right="20"/>
        <w:jc w:val="center"/>
        <w:rPr>
          <w:sz w:val="12"/>
        </w:rPr>
      </w:pPr>
      <w:r>
        <w:rPr>
          <w:color w:val="231F20"/>
          <w:sz w:val="12"/>
        </w:rPr>
        <w:t>do</w:t>
      </w:r>
      <w:r>
        <w:rPr>
          <w:color w:val="231F20"/>
          <w:spacing w:val="2"/>
          <w:sz w:val="12"/>
        </w:rPr>
        <w:t xml:space="preserve"> </w:t>
      </w:r>
      <w:r>
        <w:rPr>
          <w:color w:val="231F20"/>
          <w:sz w:val="12"/>
        </w:rPr>
        <w:t>70</w:t>
      </w:r>
    </w:p>
    <w:p w14:paraId="6B0CF362" w14:textId="77777777" w:rsidR="00F65BCA" w:rsidRDefault="00216117">
      <w:pPr>
        <w:spacing w:before="106"/>
        <w:ind w:left="148" w:right="20"/>
        <w:jc w:val="center"/>
        <w:rPr>
          <w:sz w:val="12"/>
        </w:rPr>
      </w:pPr>
      <w:r>
        <w:rPr>
          <w:color w:val="231F20"/>
          <w:sz w:val="12"/>
        </w:rPr>
        <w:t>do</w:t>
      </w:r>
      <w:r>
        <w:rPr>
          <w:color w:val="231F20"/>
          <w:spacing w:val="2"/>
          <w:sz w:val="12"/>
        </w:rPr>
        <w:t xml:space="preserve"> </w:t>
      </w:r>
      <w:r>
        <w:rPr>
          <w:color w:val="231F20"/>
          <w:sz w:val="12"/>
        </w:rPr>
        <w:t>70</w:t>
      </w:r>
    </w:p>
    <w:p w14:paraId="6AE1EB6A" w14:textId="77777777" w:rsidR="00F65BCA" w:rsidRDefault="00216117">
      <w:pPr>
        <w:spacing w:before="38"/>
        <w:ind w:left="148" w:right="20"/>
        <w:jc w:val="center"/>
        <w:rPr>
          <w:sz w:val="12"/>
        </w:rPr>
      </w:pPr>
      <w:r>
        <w:rPr>
          <w:color w:val="231F20"/>
          <w:sz w:val="12"/>
        </w:rPr>
        <w:t>do</w:t>
      </w:r>
      <w:r>
        <w:rPr>
          <w:color w:val="231F20"/>
          <w:spacing w:val="2"/>
          <w:sz w:val="12"/>
        </w:rPr>
        <w:t xml:space="preserve"> </w:t>
      </w:r>
      <w:r>
        <w:rPr>
          <w:color w:val="231F20"/>
          <w:sz w:val="12"/>
        </w:rPr>
        <w:t>70</w:t>
      </w:r>
    </w:p>
    <w:p w14:paraId="7811223D" w14:textId="77777777" w:rsidR="00F65BCA" w:rsidRDefault="00F65BCA">
      <w:pPr>
        <w:pStyle w:val="Zkladntext"/>
        <w:spacing w:before="6"/>
        <w:rPr>
          <w:sz w:val="18"/>
        </w:rPr>
      </w:pPr>
    </w:p>
    <w:p w14:paraId="445B6B2E" w14:textId="77777777" w:rsidR="00F65BCA" w:rsidRDefault="00216117">
      <w:pPr>
        <w:ind w:left="148" w:right="20"/>
        <w:jc w:val="center"/>
        <w:rPr>
          <w:sz w:val="12"/>
        </w:rPr>
      </w:pPr>
      <w:r>
        <w:rPr>
          <w:color w:val="231F20"/>
          <w:sz w:val="12"/>
        </w:rPr>
        <w:t>do</w:t>
      </w:r>
      <w:r>
        <w:rPr>
          <w:color w:val="231F20"/>
          <w:spacing w:val="2"/>
          <w:sz w:val="12"/>
        </w:rPr>
        <w:t xml:space="preserve"> </w:t>
      </w:r>
      <w:r>
        <w:rPr>
          <w:color w:val="231F20"/>
          <w:sz w:val="12"/>
        </w:rPr>
        <w:t>35</w:t>
      </w:r>
    </w:p>
    <w:p w14:paraId="022BA8A5" w14:textId="77777777" w:rsidR="00F65BCA" w:rsidRDefault="00216117">
      <w:pPr>
        <w:spacing w:before="38"/>
        <w:ind w:left="148" w:right="20"/>
        <w:jc w:val="center"/>
        <w:rPr>
          <w:sz w:val="12"/>
        </w:rPr>
      </w:pPr>
      <w:r>
        <w:rPr>
          <w:color w:val="231F20"/>
          <w:sz w:val="12"/>
        </w:rPr>
        <w:t>do</w:t>
      </w:r>
      <w:r>
        <w:rPr>
          <w:color w:val="231F20"/>
          <w:spacing w:val="2"/>
          <w:sz w:val="12"/>
        </w:rPr>
        <w:t xml:space="preserve"> </w:t>
      </w:r>
      <w:r>
        <w:rPr>
          <w:color w:val="231F20"/>
          <w:sz w:val="12"/>
        </w:rPr>
        <w:t>70</w:t>
      </w:r>
    </w:p>
    <w:p w14:paraId="5FF168C1" w14:textId="77777777" w:rsidR="00F65BCA" w:rsidRDefault="00F65BCA">
      <w:pPr>
        <w:pStyle w:val="Zkladntext"/>
        <w:rPr>
          <w:sz w:val="14"/>
        </w:rPr>
      </w:pPr>
    </w:p>
    <w:p w14:paraId="4B4C9167" w14:textId="77777777" w:rsidR="00F65BCA" w:rsidRDefault="00F65BCA">
      <w:pPr>
        <w:pStyle w:val="Zkladntext"/>
        <w:spacing w:before="10"/>
        <w:rPr>
          <w:sz w:val="19"/>
        </w:rPr>
      </w:pPr>
    </w:p>
    <w:p w14:paraId="5372EC5E" w14:textId="77777777" w:rsidR="00F65BCA" w:rsidRDefault="00216117">
      <w:pPr>
        <w:ind w:left="148" w:right="20"/>
        <w:jc w:val="center"/>
        <w:rPr>
          <w:sz w:val="12"/>
        </w:rPr>
      </w:pPr>
      <w:r>
        <w:rPr>
          <w:color w:val="231F20"/>
          <w:sz w:val="12"/>
        </w:rPr>
        <w:t>do</w:t>
      </w:r>
      <w:r>
        <w:rPr>
          <w:color w:val="231F20"/>
          <w:spacing w:val="2"/>
          <w:sz w:val="12"/>
        </w:rPr>
        <w:t xml:space="preserve"> </w:t>
      </w:r>
      <w:r>
        <w:rPr>
          <w:color w:val="231F20"/>
          <w:sz w:val="12"/>
        </w:rPr>
        <w:t>28</w:t>
      </w:r>
    </w:p>
    <w:p w14:paraId="7AE2A4B7" w14:textId="77777777" w:rsidR="00F65BCA" w:rsidRDefault="00216117">
      <w:pPr>
        <w:spacing w:before="38"/>
        <w:ind w:left="148" w:right="20"/>
        <w:jc w:val="center"/>
        <w:rPr>
          <w:sz w:val="12"/>
        </w:rPr>
      </w:pPr>
      <w:r>
        <w:rPr>
          <w:color w:val="231F20"/>
          <w:sz w:val="12"/>
        </w:rPr>
        <w:t>do</w:t>
      </w:r>
      <w:r>
        <w:rPr>
          <w:color w:val="231F20"/>
          <w:spacing w:val="2"/>
          <w:sz w:val="12"/>
        </w:rPr>
        <w:t xml:space="preserve"> </w:t>
      </w:r>
      <w:r>
        <w:rPr>
          <w:color w:val="231F20"/>
          <w:sz w:val="12"/>
        </w:rPr>
        <w:t>77</w:t>
      </w:r>
    </w:p>
    <w:p w14:paraId="63D60720" w14:textId="77777777" w:rsidR="00F65BCA" w:rsidRDefault="00216117">
      <w:pPr>
        <w:spacing w:before="105"/>
        <w:ind w:left="148" w:right="20"/>
        <w:jc w:val="center"/>
        <w:rPr>
          <w:sz w:val="12"/>
        </w:rPr>
      </w:pPr>
      <w:r>
        <w:rPr>
          <w:color w:val="231F20"/>
          <w:sz w:val="12"/>
        </w:rPr>
        <w:t>do</w:t>
      </w:r>
      <w:r>
        <w:rPr>
          <w:color w:val="231F20"/>
          <w:spacing w:val="2"/>
          <w:sz w:val="12"/>
        </w:rPr>
        <w:t xml:space="preserve"> </w:t>
      </w:r>
      <w:r>
        <w:rPr>
          <w:color w:val="231F20"/>
          <w:sz w:val="12"/>
        </w:rPr>
        <w:t>70</w:t>
      </w:r>
    </w:p>
    <w:p w14:paraId="24DC4033" w14:textId="77777777" w:rsidR="00F65BCA" w:rsidRDefault="00F65BCA">
      <w:pPr>
        <w:pStyle w:val="Zkladntext"/>
        <w:rPr>
          <w:sz w:val="14"/>
        </w:rPr>
      </w:pPr>
    </w:p>
    <w:p w14:paraId="3097BBBF" w14:textId="77777777" w:rsidR="00F65BCA" w:rsidRDefault="00216117">
      <w:pPr>
        <w:spacing w:before="116"/>
        <w:ind w:left="148" w:right="20"/>
        <w:jc w:val="center"/>
        <w:rPr>
          <w:sz w:val="12"/>
        </w:rPr>
      </w:pPr>
      <w:r>
        <w:rPr>
          <w:color w:val="231F20"/>
          <w:sz w:val="12"/>
        </w:rPr>
        <w:t>do</w:t>
      </w:r>
      <w:r>
        <w:rPr>
          <w:color w:val="231F20"/>
          <w:spacing w:val="2"/>
          <w:sz w:val="12"/>
        </w:rPr>
        <w:t xml:space="preserve"> </w:t>
      </w:r>
      <w:r>
        <w:rPr>
          <w:color w:val="231F20"/>
          <w:sz w:val="12"/>
        </w:rPr>
        <w:t>35</w:t>
      </w:r>
    </w:p>
    <w:p w14:paraId="480A5259" w14:textId="77777777" w:rsidR="00F65BCA" w:rsidRDefault="00216117">
      <w:pPr>
        <w:spacing w:before="114"/>
        <w:ind w:left="148" w:right="20"/>
        <w:jc w:val="center"/>
        <w:rPr>
          <w:sz w:val="12"/>
        </w:rPr>
      </w:pPr>
      <w:r>
        <w:rPr>
          <w:color w:val="231F20"/>
          <w:sz w:val="12"/>
        </w:rPr>
        <w:t>do</w:t>
      </w:r>
      <w:r>
        <w:rPr>
          <w:color w:val="231F20"/>
          <w:spacing w:val="2"/>
          <w:sz w:val="12"/>
        </w:rPr>
        <w:t xml:space="preserve"> </w:t>
      </w:r>
      <w:r>
        <w:rPr>
          <w:color w:val="231F20"/>
          <w:sz w:val="12"/>
        </w:rPr>
        <w:t>161</w:t>
      </w:r>
    </w:p>
    <w:p w14:paraId="4F05F081" w14:textId="77777777" w:rsidR="00F65BCA" w:rsidRDefault="00F65BCA">
      <w:pPr>
        <w:pStyle w:val="Zkladntext"/>
        <w:rPr>
          <w:sz w:val="11"/>
        </w:rPr>
      </w:pPr>
    </w:p>
    <w:p w14:paraId="31E86C57" w14:textId="77777777" w:rsidR="00F65BCA" w:rsidRDefault="00216117">
      <w:pPr>
        <w:ind w:left="148" w:right="20"/>
        <w:jc w:val="center"/>
        <w:rPr>
          <w:sz w:val="12"/>
        </w:rPr>
      </w:pPr>
      <w:r>
        <w:rPr>
          <w:color w:val="231F20"/>
          <w:sz w:val="12"/>
        </w:rPr>
        <w:t>do</w:t>
      </w:r>
      <w:r>
        <w:rPr>
          <w:color w:val="231F20"/>
          <w:spacing w:val="2"/>
          <w:sz w:val="12"/>
        </w:rPr>
        <w:t xml:space="preserve"> </w:t>
      </w:r>
      <w:r>
        <w:rPr>
          <w:color w:val="231F20"/>
          <w:sz w:val="12"/>
        </w:rPr>
        <w:t>21</w:t>
      </w:r>
    </w:p>
    <w:p w14:paraId="3C911987" w14:textId="77777777" w:rsidR="00F65BCA" w:rsidRDefault="00216117">
      <w:pPr>
        <w:pStyle w:val="Odstavecseseznamem"/>
        <w:numPr>
          <w:ilvl w:val="0"/>
          <w:numId w:val="75"/>
        </w:numPr>
        <w:tabs>
          <w:tab w:val="left" w:pos="456"/>
        </w:tabs>
        <w:spacing w:before="11" w:line="216" w:lineRule="auto"/>
        <w:ind w:right="442"/>
        <w:rPr>
          <w:sz w:val="12"/>
        </w:rPr>
      </w:pPr>
      <w:r>
        <w:rPr>
          <w:color w:val="231F20"/>
          <w:w w:val="93"/>
          <w:position w:val="2"/>
          <w:sz w:val="12"/>
        </w:rPr>
        <w:br w:type="column"/>
      </w:r>
      <w:r>
        <w:rPr>
          <w:color w:val="231F20"/>
          <w:w w:val="95"/>
          <w:position w:val="2"/>
          <w:sz w:val="12"/>
        </w:rPr>
        <w:t xml:space="preserve">Poranění oka (očí) vyžadující </w:t>
      </w:r>
      <w:r>
        <w:rPr>
          <w:color w:val="231F20"/>
          <w:spacing w:val="-3"/>
          <w:w w:val="95"/>
          <w:position w:val="2"/>
          <w:sz w:val="12"/>
        </w:rPr>
        <w:t>bezprostřední</w:t>
      </w:r>
      <w:r>
        <w:rPr>
          <w:color w:val="231F20"/>
          <w:spacing w:val="-3"/>
          <w:w w:val="95"/>
          <w:sz w:val="12"/>
        </w:rPr>
        <w:t xml:space="preserve"> </w:t>
      </w:r>
      <w:r>
        <w:rPr>
          <w:color w:val="231F20"/>
          <w:sz w:val="12"/>
        </w:rPr>
        <w:t>vynětí oka</w:t>
      </w:r>
      <w:r>
        <w:rPr>
          <w:color w:val="231F20"/>
          <w:spacing w:val="-3"/>
          <w:sz w:val="12"/>
        </w:rPr>
        <w:t xml:space="preserve"> </w:t>
      </w:r>
      <w:r>
        <w:rPr>
          <w:color w:val="231F20"/>
          <w:sz w:val="12"/>
        </w:rPr>
        <w:t>(očí)</w:t>
      </w:r>
    </w:p>
    <w:p w14:paraId="258D144E" w14:textId="77777777" w:rsidR="00F65BCA" w:rsidRDefault="00216117">
      <w:pPr>
        <w:pStyle w:val="Odstavecseseznamem"/>
        <w:numPr>
          <w:ilvl w:val="0"/>
          <w:numId w:val="75"/>
        </w:numPr>
        <w:tabs>
          <w:tab w:val="left" w:pos="456"/>
        </w:tabs>
        <w:spacing w:before="26"/>
        <w:ind w:hanging="273"/>
        <w:rPr>
          <w:sz w:val="12"/>
        </w:rPr>
      </w:pPr>
      <w:r>
        <w:rPr>
          <w:color w:val="231F20"/>
          <w:sz w:val="12"/>
        </w:rPr>
        <w:t>Poranění okohybného</w:t>
      </w:r>
      <w:r>
        <w:rPr>
          <w:color w:val="231F20"/>
          <w:spacing w:val="-4"/>
          <w:sz w:val="12"/>
        </w:rPr>
        <w:t xml:space="preserve"> </w:t>
      </w:r>
      <w:r>
        <w:rPr>
          <w:color w:val="231F20"/>
          <w:sz w:val="12"/>
        </w:rPr>
        <w:t>aparátu</w:t>
      </w:r>
    </w:p>
    <w:p w14:paraId="3050BA05" w14:textId="77777777" w:rsidR="00F65BCA" w:rsidRDefault="00216117">
      <w:pPr>
        <w:pStyle w:val="Odstavecseseznamem"/>
        <w:numPr>
          <w:ilvl w:val="0"/>
          <w:numId w:val="75"/>
        </w:numPr>
        <w:tabs>
          <w:tab w:val="left" w:pos="456"/>
        </w:tabs>
        <w:spacing w:before="33" w:line="216" w:lineRule="auto"/>
        <w:ind w:right="535"/>
        <w:rPr>
          <w:sz w:val="12"/>
        </w:rPr>
      </w:pPr>
      <w:r>
        <w:rPr>
          <w:color w:val="231F20"/>
          <w:position w:val="2"/>
          <w:sz w:val="12"/>
        </w:rPr>
        <w:t>Úrazové</w:t>
      </w:r>
      <w:r>
        <w:rPr>
          <w:color w:val="231F20"/>
          <w:spacing w:val="-20"/>
          <w:position w:val="2"/>
          <w:sz w:val="12"/>
        </w:rPr>
        <w:t xml:space="preserve"> </w:t>
      </w:r>
      <w:r>
        <w:rPr>
          <w:color w:val="231F20"/>
          <w:position w:val="2"/>
          <w:sz w:val="12"/>
        </w:rPr>
        <w:t>postižení</w:t>
      </w:r>
      <w:r>
        <w:rPr>
          <w:color w:val="231F20"/>
          <w:spacing w:val="-20"/>
          <w:position w:val="2"/>
          <w:sz w:val="12"/>
        </w:rPr>
        <w:t xml:space="preserve"> </w:t>
      </w:r>
      <w:r>
        <w:rPr>
          <w:color w:val="231F20"/>
          <w:position w:val="2"/>
          <w:sz w:val="12"/>
        </w:rPr>
        <w:t>zrakového</w:t>
      </w:r>
      <w:r>
        <w:rPr>
          <w:color w:val="231F20"/>
          <w:spacing w:val="-20"/>
          <w:position w:val="2"/>
          <w:sz w:val="12"/>
        </w:rPr>
        <w:t xml:space="preserve"> </w:t>
      </w:r>
      <w:r>
        <w:rPr>
          <w:color w:val="231F20"/>
          <w:position w:val="2"/>
          <w:sz w:val="12"/>
        </w:rPr>
        <w:t>nervu</w:t>
      </w:r>
      <w:r>
        <w:rPr>
          <w:color w:val="231F20"/>
          <w:spacing w:val="-20"/>
          <w:position w:val="2"/>
          <w:sz w:val="12"/>
        </w:rPr>
        <w:t xml:space="preserve"> </w:t>
      </w:r>
      <w:r>
        <w:rPr>
          <w:color w:val="231F20"/>
          <w:spacing w:val="-4"/>
          <w:position w:val="2"/>
          <w:sz w:val="12"/>
        </w:rPr>
        <w:t>nebo</w:t>
      </w:r>
      <w:r>
        <w:rPr>
          <w:color w:val="231F20"/>
          <w:spacing w:val="-4"/>
          <w:sz w:val="12"/>
        </w:rPr>
        <w:t xml:space="preserve"> </w:t>
      </w:r>
      <w:r>
        <w:rPr>
          <w:color w:val="231F20"/>
          <w:sz w:val="12"/>
        </w:rPr>
        <w:t>chiasmatu</w:t>
      </w:r>
    </w:p>
    <w:p w14:paraId="23FD28CF" w14:textId="77777777" w:rsidR="00F65BCA" w:rsidRDefault="00216117">
      <w:pPr>
        <w:pStyle w:val="Odstavecseseznamem"/>
        <w:numPr>
          <w:ilvl w:val="0"/>
          <w:numId w:val="75"/>
        </w:numPr>
        <w:tabs>
          <w:tab w:val="left" w:pos="456"/>
        </w:tabs>
        <w:spacing w:before="37" w:line="216" w:lineRule="auto"/>
        <w:ind w:right="38"/>
        <w:rPr>
          <w:sz w:val="12"/>
        </w:rPr>
      </w:pPr>
      <w:r>
        <w:rPr>
          <w:color w:val="231F20"/>
          <w:w w:val="95"/>
          <w:position w:val="2"/>
          <w:sz w:val="12"/>
        </w:rPr>
        <w:t>Jakékoliv poranění oka komplikované poúrazovým</w:t>
      </w:r>
      <w:r>
        <w:rPr>
          <w:color w:val="231F20"/>
          <w:w w:val="95"/>
          <w:sz w:val="12"/>
        </w:rPr>
        <w:t xml:space="preserve"> </w:t>
      </w:r>
      <w:r>
        <w:rPr>
          <w:color w:val="231F20"/>
          <w:sz w:val="12"/>
        </w:rPr>
        <w:t>šedým</w:t>
      </w:r>
      <w:r>
        <w:rPr>
          <w:color w:val="231F20"/>
          <w:spacing w:val="-1"/>
          <w:sz w:val="12"/>
        </w:rPr>
        <w:t xml:space="preserve"> </w:t>
      </w:r>
      <w:r>
        <w:rPr>
          <w:color w:val="231F20"/>
          <w:sz w:val="12"/>
        </w:rPr>
        <w:t>zákalem</w:t>
      </w:r>
    </w:p>
    <w:p w14:paraId="4213629E" w14:textId="77777777" w:rsidR="00F65BCA" w:rsidRDefault="00F65BCA">
      <w:pPr>
        <w:pStyle w:val="Zkladntext"/>
        <w:spacing w:before="1"/>
        <w:rPr>
          <w:sz w:val="14"/>
        </w:rPr>
      </w:pPr>
    </w:p>
    <w:p w14:paraId="7CBB23EE" w14:textId="77777777" w:rsidR="00F65BCA" w:rsidRDefault="00216117">
      <w:pPr>
        <w:ind w:left="1473" w:right="924"/>
        <w:jc w:val="center"/>
        <w:rPr>
          <w:b/>
          <w:sz w:val="14"/>
        </w:rPr>
      </w:pPr>
      <w:r>
        <w:rPr>
          <w:b/>
          <w:color w:val="231F20"/>
          <w:sz w:val="14"/>
        </w:rPr>
        <w:t>ZUBY</w:t>
      </w:r>
    </w:p>
    <w:p w14:paraId="325E6E2D" w14:textId="77777777" w:rsidR="00F65BCA" w:rsidRDefault="00216117">
      <w:pPr>
        <w:spacing w:before="50" w:line="242" w:lineRule="auto"/>
        <w:ind w:left="455" w:right="94"/>
        <w:rPr>
          <w:b/>
          <w:sz w:val="12"/>
        </w:rPr>
      </w:pPr>
      <w:r>
        <w:rPr>
          <w:b/>
          <w:color w:val="231F20"/>
          <w:sz w:val="12"/>
        </w:rPr>
        <w:t>Poranění jednoho nebo více zubů se ztrátou korunky do 1/3</w:t>
      </w:r>
    </w:p>
    <w:p w14:paraId="6BB592FB" w14:textId="77777777" w:rsidR="00F65BCA" w:rsidRDefault="00216117">
      <w:pPr>
        <w:pStyle w:val="Odstavecseseznamem"/>
        <w:numPr>
          <w:ilvl w:val="0"/>
          <w:numId w:val="75"/>
        </w:numPr>
        <w:tabs>
          <w:tab w:val="left" w:pos="456"/>
        </w:tabs>
        <w:spacing w:before="33"/>
        <w:ind w:hanging="273"/>
        <w:rPr>
          <w:sz w:val="12"/>
        </w:rPr>
      </w:pPr>
      <w:r>
        <w:rPr>
          <w:color w:val="231F20"/>
          <w:sz w:val="12"/>
        </w:rPr>
        <w:t>bez ztráty</w:t>
      </w:r>
      <w:r>
        <w:rPr>
          <w:color w:val="231F20"/>
          <w:spacing w:val="-2"/>
          <w:sz w:val="12"/>
        </w:rPr>
        <w:t xml:space="preserve"> </w:t>
      </w:r>
      <w:r>
        <w:rPr>
          <w:color w:val="231F20"/>
          <w:sz w:val="12"/>
        </w:rPr>
        <w:t>vitality</w:t>
      </w:r>
    </w:p>
    <w:p w14:paraId="2FD490D5" w14:textId="77777777" w:rsidR="00F65BCA" w:rsidRDefault="00216117">
      <w:pPr>
        <w:pStyle w:val="Odstavecseseznamem"/>
        <w:numPr>
          <w:ilvl w:val="0"/>
          <w:numId w:val="75"/>
        </w:numPr>
        <w:tabs>
          <w:tab w:val="left" w:pos="456"/>
        </w:tabs>
        <w:spacing w:before="32"/>
        <w:ind w:hanging="273"/>
        <w:rPr>
          <w:sz w:val="12"/>
        </w:rPr>
      </w:pPr>
      <w:r>
        <w:rPr>
          <w:color w:val="231F20"/>
          <w:sz w:val="12"/>
        </w:rPr>
        <w:t>se ztrátou nebo ohrožením</w:t>
      </w:r>
      <w:r>
        <w:rPr>
          <w:color w:val="231F20"/>
          <w:spacing w:val="-10"/>
          <w:sz w:val="12"/>
        </w:rPr>
        <w:t xml:space="preserve"> </w:t>
      </w:r>
      <w:r>
        <w:rPr>
          <w:color w:val="231F20"/>
          <w:sz w:val="12"/>
        </w:rPr>
        <w:t>vitality</w:t>
      </w:r>
    </w:p>
    <w:p w14:paraId="08C519B8" w14:textId="77777777" w:rsidR="00F65BCA" w:rsidRDefault="00216117">
      <w:pPr>
        <w:pStyle w:val="Odstavecseseznamem"/>
        <w:numPr>
          <w:ilvl w:val="0"/>
          <w:numId w:val="75"/>
        </w:numPr>
        <w:tabs>
          <w:tab w:val="left" w:pos="456"/>
        </w:tabs>
        <w:spacing w:before="45" w:line="220" w:lineRule="auto"/>
        <w:ind w:right="358"/>
        <w:rPr>
          <w:sz w:val="12"/>
        </w:rPr>
      </w:pPr>
      <w:r>
        <w:rPr>
          <w:color w:val="231F20"/>
          <w:position w:val="1"/>
          <w:sz w:val="12"/>
        </w:rPr>
        <w:t>Poranění</w:t>
      </w:r>
      <w:r>
        <w:rPr>
          <w:color w:val="231F20"/>
          <w:spacing w:val="-13"/>
          <w:position w:val="1"/>
          <w:sz w:val="12"/>
        </w:rPr>
        <w:t xml:space="preserve"> </w:t>
      </w:r>
      <w:r>
        <w:rPr>
          <w:color w:val="231F20"/>
          <w:position w:val="1"/>
          <w:sz w:val="12"/>
        </w:rPr>
        <w:t>jednoho</w:t>
      </w:r>
      <w:r>
        <w:rPr>
          <w:color w:val="231F20"/>
          <w:spacing w:val="-13"/>
          <w:position w:val="1"/>
          <w:sz w:val="12"/>
        </w:rPr>
        <w:t xml:space="preserve"> </w:t>
      </w:r>
      <w:r>
        <w:rPr>
          <w:color w:val="231F20"/>
          <w:position w:val="1"/>
          <w:sz w:val="12"/>
        </w:rPr>
        <w:t>nebo</w:t>
      </w:r>
      <w:r>
        <w:rPr>
          <w:color w:val="231F20"/>
          <w:spacing w:val="-12"/>
          <w:position w:val="1"/>
          <w:sz w:val="12"/>
        </w:rPr>
        <w:t xml:space="preserve"> </w:t>
      </w:r>
      <w:r>
        <w:rPr>
          <w:color w:val="231F20"/>
          <w:position w:val="1"/>
          <w:sz w:val="12"/>
        </w:rPr>
        <w:t>více</w:t>
      </w:r>
      <w:r>
        <w:rPr>
          <w:color w:val="231F20"/>
          <w:spacing w:val="-13"/>
          <w:position w:val="1"/>
          <w:sz w:val="12"/>
        </w:rPr>
        <w:t xml:space="preserve"> </w:t>
      </w:r>
      <w:r>
        <w:rPr>
          <w:color w:val="231F20"/>
          <w:position w:val="1"/>
          <w:sz w:val="12"/>
        </w:rPr>
        <w:t>zubů</w:t>
      </w:r>
      <w:r>
        <w:rPr>
          <w:color w:val="231F20"/>
          <w:spacing w:val="-13"/>
          <w:position w:val="1"/>
          <w:sz w:val="12"/>
        </w:rPr>
        <w:t xml:space="preserve"> </w:t>
      </w:r>
      <w:r>
        <w:rPr>
          <w:color w:val="231F20"/>
          <w:position w:val="1"/>
          <w:sz w:val="12"/>
        </w:rPr>
        <w:t>se</w:t>
      </w:r>
      <w:r>
        <w:rPr>
          <w:color w:val="231F20"/>
          <w:spacing w:val="-12"/>
          <w:position w:val="1"/>
          <w:sz w:val="12"/>
        </w:rPr>
        <w:t xml:space="preserve"> </w:t>
      </w:r>
      <w:r>
        <w:rPr>
          <w:color w:val="231F20"/>
          <w:spacing w:val="-3"/>
          <w:position w:val="1"/>
          <w:sz w:val="12"/>
        </w:rPr>
        <w:t>ztrátou</w:t>
      </w:r>
      <w:r>
        <w:rPr>
          <w:color w:val="231F20"/>
          <w:spacing w:val="-3"/>
          <w:sz w:val="12"/>
        </w:rPr>
        <w:t xml:space="preserve"> </w:t>
      </w:r>
      <w:r>
        <w:rPr>
          <w:color w:val="231F20"/>
          <w:sz w:val="12"/>
        </w:rPr>
        <w:t>korunky nad</w:t>
      </w:r>
      <w:r>
        <w:rPr>
          <w:color w:val="231F20"/>
          <w:spacing w:val="-1"/>
          <w:sz w:val="12"/>
        </w:rPr>
        <w:t xml:space="preserve"> </w:t>
      </w:r>
      <w:r>
        <w:rPr>
          <w:color w:val="231F20"/>
          <w:sz w:val="12"/>
        </w:rPr>
        <w:t>1/3</w:t>
      </w:r>
    </w:p>
    <w:p w14:paraId="0C784F42" w14:textId="77777777" w:rsidR="00F65BCA" w:rsidRDefault="00216117">
      <w:pPr>
        <w:pStyle w:val="Odstavecseseznamem"/>
        <w:numPr>
          <w:ilvl w:val="0"/>
          <w:numId w:val="75"/>
        </w:numPr>
        <w:tabs>
          <w:tab w:val="left" w:pos="456"/>
        </w:tabs>
        <w:spacing w:before="48" w:line="220" w:lineRule="auto"/>
        <w:ind w:right="118"/>
        <w:rPr>
          <w:sz w:val="12"/>
        </w:rPr>
      </w:pPr>
      <w:r>
        <w:rPr>
          <w:color w:val="231F20"/>
          <w:position w:val="1"/>
          <w:sz w:val="12"/>
        </w:rPr>
        <w:t>Zaražení</w:t>
      </w:r>
      <w:r>
        <w:rPr>
          <w:color w:val="231F20"/>
          <w:spacing w:val="-20"/>
          <w:position w:val="1"/>
          <w:sz w:val="12"/>
        </w:rPr>
        <w:t xml:space="preserve"> </w:t>
      </w:r>
      <w:r>
        <w:rPr>
          <w:color w:val="231F20"/>
          <w:position w:val="1"/>
          <w:sz w:val="12"/>
        </w:rPr>
        <w:t>dočasných</w:t>
      </w:r>
      <w:r>
        <w:rPr>
          <w:color w:val="231F20"/>
          <w:spacing w:val="-20"/>
          <w:position w:val="1"/>
          <w:sz w:val="12"/>
        </w:rPr>
        <w:t xml:space="preserve"> </w:t>
      </w:r>
      <w:r>
        <w:rPr>
          <w:color w:val="231F20"/>
          <w:position w:val="1"/>
          <w:sz w:val="12"/>
        </w:rPr>
        <w:t>zubů</w:t>
      </w:r>
      <w:r>
        <w:rPr>
          <w:color w:val="231F20"/>
          <w:spacing w:val="-20"/>
          <w:position w:val="1"/>
          <w:sz w:val="12"/>
        </w:rPr>
        <w:t xml:space="preserve"> </w:t>
      </w:r>
      <w:r>
        <w:rPr>
          <w:color w:val="231F20"/>
          <w:position w:val="1"/>
          <w:sz w:val="12"/>
        </w:rPr>
        <w:t>spojené</w:t>
      </w:r>
      <w:r>
        <w:rPr>
          <w:color w:val="231F20"/>
          <w:spacing w:val="-20"/>
          <w:position w:val="1"/>
          <w:sz w:val="12"/>
        </w:rPr>
        <w:t xml:space="preserve"> </w:t>
      </w:r>
      <w:r>
        <w:rPr>
          <w:color w:val="231F20"/>
          <w:position w:val="1"/>
          <w:sz w:val="12"/>
        </w:rPr>
        <w:t>s</w:t>
      </w:r>
      <w:r>
        <w:rPr>
          <w:color w:val="231F20"/>
          <w:spacing w:val="-20"/>
          <w:position w:val="1"/>
          <w:sz w:val="12"/>
        </w:rPr>
        <w:t xml:space="preserve"> </w:t>
      </w:r>
      <w:r>
        <w:rPr>
          <w:color w:val="231F20"/>
          <w:position w:val="1"/>
          <w:sz w:val="12"/>
        </w:rPr>
        <w:t>poškozením</w:t>
      </w:r>
      <w:r>
        <w:rPr>
          <w:color w:val="231F20"/>
          <w:sz w:val="12"/>
        </w:rPr>
        <w:t xml:space="preserve"> lůžka stálého</w:t>
      </w:r>
      <w:r>
        <w:rPr>
          <w:color w:val="231F20"/>
          <w:spacing w:val="-2"/>
          <w:sz w:val="12"/>
        </w:rPr>
        <w:t xml:space="preserve"> </w:t>
      </w:r>
      <w:r>
        <w:rPr>
          <w:color w:val="231F20"/>
          <w:sz w:val="12"/>
        </w:rPr>
        <w:t>zubu</w:t>
      </w:r>
    </w:p>
    <w:p w14:paraId="7E855F47" w14:textId="77777777" w:rsidR="00F65BCA" w:rsidRDefault="00216117">
      <w:pPr>
        <w:pStyle w:val="Odstavecseseznamem"/>
        <w:numPr>
          <w:ilvl w:val="0"/>
          <w:numId w:val="75"/>
        </w:numPr>
        <w:tabs>
          <w:tab w:val="left" w:pos="456"/>
        </w:tabs>
        <w:spacing w:before="48" w:line="220" w:lineRule="auto"/>
        <w:ind w:right="102"/>
        <w:rPr>
          <w:sz w:val="12"/>
        </w:rPr>
      </w:pPr>
      <w:r>
        <w:rPr>
          <w:color w:val="231F20"/>
          <w:position w:val="1"/>
          <w:sz w:val="12"/>
        </w:rPr>
        <w:t>Uvolnění</w:t>
      </w:r>
      <w:r>
        <w:rPr>
          <w:color w:val="231F20"/>
          <w:spacing w:val="-16"/>
          <w:position w:val="1"/>
          <w:sz w:val="12"/>
        </w:rPr>
        <w:t xml:space="preserve"> </w:t>
      </w:r>
      <w:r>
        <w:rPr>
          <w:color w:val="231F20"/>
          <w:position w:val="1"/>
          <w:sz w:val="12"/>
        </w:rPr>
        <w:t>závěsného</w:t>
      </w:r>
      <w:r>
        <w:rPr>
          <w:color w:val="231F20"/>
          <w:spacing w:val="-16"/>
          <w:position w:val="1"/>
          <w:sz w:val="12"/>
        </w:rPr>
        <w:t xml:space="preserve"> </w:t>
      </w:r>
      <w:r>
        <w:rPr>
          <w:color w:val="231F20"/>
          <w:position w:val="1"/>
          <w:sz w:val="12"/>
        </w:rPr>
        <w:t>vazového</w:t>
      </w:r>
      <w:r>
        <w:rPr>
          <w:color w:val="231F20"/>
          <w:spacing w:val="-16"/>
          <w:position w:val="1"/>
          <w:sz w:val="12"/>
        </w:rPr>
        <w:t xml:space="preserve"> </w:t>
      </w:r>
      <w:r>
        <w:rPr>
          <w:color w:val="231F20"/>
          <w:position w:val="1"/>
          <w:sz w:val="12"/>
        </w:rPr>
        <w:t>aparátu</w:t>
      </w:r>
      <w:r>
        <w:rPr>
          <w:color w:val="231F20"/>
          <w:spacing w:val="-16"/>
          <w:position w:val="1"/>
          <w:sz w:val="12"/>
        </w:rPr>
        <w:t xml:space="preserve"> </w:t>
      </w:r>
      <w:r>
        <w:rPr>
          <w:color w:val="231F20"/>
          <w:position w:val="1"/>
          <w:sz w:val="12"/>
        </w:rPr>
        <w:t>jednoho</w:t>
      </w:r>
      <w:r>
        <w:rPr>
          <w:color w:val="231F20"/>
          <w:sz w:val="12"/>
        </w:rPr>
        <w:t xml:space="preserve"> nebo</w:t>
      </w:r>
      <w:r>
        <w:rPr>
          <w:color w:val="231F20"/>
          <w:spacing w:val="-17"/>
          <w:sz w:val="12"/>
        </w:rPr>
        <w:t xml:space="preserve"> </w:t>
      </w:r>
      <w:r>
        <w:rPr>
          <w:color w:val="231F20"/>
          <w:sz w:val="12"/>
        </w:rPr>
        <w:t>více</w:t>
      </w:r>
      <w:r>
        <w:rPr>
          <w:color w:val="231F20"/>
          <w:spacing w:val="-16"/>
          <w:sz w:val="12"/>
        </w:rPr>
        <w:t xml:space="preserve"> </w:t>
      </w:r>
      <w:r>
        <w:rPr>
          <w:color w:val="231F20"/>
          <w:sz w:val="12"/>
        </w:rPr>
        <w:t>zubů</w:t>
      </w:r>
      <w:r>
        <w:rPr>
          <w:color w:val="231F20"/>
          <w:spacing w:val="-16"/>
          <w:sz w:val="12"/>
        </w:rPr>
        <w:t xml:space="preserve"> </w:t>
      </w:r>
      <w:r>
        <w:rPr>
          <w:color w:val="231F20"/>
          <w:sz w:val="12"/>
        </w:rPr>
        <w:t>(subluxace,</w:t>
      </w:r>
      <w:r>
        <w:rPr>
          <w:color w:val="231F20"/>
          <w:spacing w:val="-16"/>
          <w:sz w:val="12"/>
        </w:rPr>
        <w:t xml:space="preserve"> </w:t>
      </w:r>
      <w:r>
        <w:rPr>
          <w:color w:val="231F20"/>
          <w:sz w:val="12"/>
        </w:rPr>
        <w:t>luxace,</w:t>
      </w:r>
      <w:r>
        <w:rPr>
          <w:color w:val="231F20"/>
          <w:spacing w:val="-16"/>
          <w:sz w:val="12"/>
        </w:rPr>
        <w:t xml:space="preserve"> </w:t>
      </w:r>
      <w:r>
        <w:rPr>
          <w:color w:val="231F20"/>
          <w:spacing w:val="-3"/>
          <w:sz w:val="12"/>
        </w:rPr>
        <w:t xml:space="preserve">reimplantace) </w:t>
      </w:r>
      <w:r>
        <w:rPr>
          <w:color w:val="231F20"/>
          <w:sz w:val="12"/>
        </w:rPr>
        <w:t>s léčbou fixační</w:t>
      </w:r>
      <w:r>
        <w:rPr>
          <w:color w:val="231F20"/>
          <w:spacing w:val="-4"/>
          <w:sz w:val="12"/>
        </w:rPr>
        <w:t xml:space="preserve"> </w:t>
      </w:r>
      <w:r>
        <w:rPr>
          <w:color w:val="231F20"/>
          <w:sz w:val="12"/>
        </w:rPr>
        <w:t>dlahou</w:t>
      </w:r>
    </w:p>
    <w:p w14:paraId="5DA531DC" w14:textId="77777777" w:rsidR="00F65BCA" w:rsidRDefault="00216117">
      <w:pPr>
        <w:pStyle w:val="Odstavecseseznamem"/>
        <w:numPr>
          <w:ilvl w:val="0"/>
          <w:numId w:val="75"/>
        </w:numPr>
        <w:tabs>
          <w:tab w:val="left" w:pos="456"/>
        </w:tabs>
        <w:spacing w:before="57" w:line="220" w:lineRule="auto"/>
        <w:ind w:right="93"/>
        <w:rPr>
          <w:sz w:val="12"/>
        </w:rPr>
      </w:pPr>
      <w:r>
        <w:rPr>
          <w:color w:val="231F20"/>
          <w:position w:val="1"/>
          <w:sz w:val="12"/>
        </w:rPr>
        <w:t>Zlomení</w:t>
      </w:r>
      <w:r>
        <w:rPr>
          <w:color w:val="231F20"/>
          <w:spacing w:val="-12"/>
          <w:position w:val="1"/>
          <w:sz w:val="12"/>
        </w:rPr>
        <w:t xml:space="preserve"> </w:t>
      </w:r>
      <w:r>
        <w:rPr>
          <w:color w:val="231F20"/>
          <w:position w:val="1"/>
          <w:sz w:val="12"/>
        </w:rPr>
        <w:t>jednoho</w:t>
      </w:r>
      <w:r>
        <w:rPr>
          <w:color w:val="231F20"/>
          <w:spacing w:val="-12"/>
          <w:position w:val="1"/>
          <w:sz w:val="12"/>
        </w:rPr>
        <w:t xml:space="preserve"> </w:t>
      </w:r>
      <w:r>
        <w:rPr>
          <w:color w:val="231F20"/>
          <w:position w:val="1"/>
          <w:sz w:val="12"/>
        </w:rPr>
        <w:t>nebo</w:t>
      </w:r>
      <w:r>
        <w:rPr>
          <w:color w:val="231F20"/>
          <w:spacing w:val="-11"/>
          <w:position w:val="1"/>
          <w:sz w:val="12"/>
        </w:rPr>
        <w:t xml:space="preserve"> </w:t>
      </w:r>
      <w:r>
        <w:rPr>
          <w:color w:val="231F20"/>
          <w:position w:val="1"/>
          <w:sz w:val="12"/>
        </w:rPr>
        <w:t>více</w:t>
      </w:r>
      <w:r>
        <w:rPr>
          <w:color w:val="231F20"/>
          <w:spacing w:val="-12"/>
          <w:position w:val="1"/>
          <w:sz w:val="12"/>
        </w:rPr>
        <w:t xml:space="preserve"> </w:t>
      </w:r>
      <w:r>
        <w:rPr>
          <w:color w:val="231F20"/>
          <w:position w:val="1"/>
          <w:sz w:val="12"/>
        </w:rPr>
        <w:t>kořenů</w:t>
      </w:r>
      <w:r>
        <w:rPr>
          <w:color w:val="231F20"/>
          <w:spacing w:val="-11"/>
          <w:position w:val="1"/>
          <w:sz w:val="12"/>
        </w:rPr>
        <w:t xml:space="preserve"> </w:t>
      </w:r>
      <w:r>
        <w:rPr>
          <w:color w:val="231F20"/>
          <w:position w:val="1"/>
          <w:sz w:val="12"/>
        </w:rPr>
        <w:t>zubů</w:t>
      </w:r>
      <w:r>
        <w:rPr>
          <w:color w:val="231F20"/>
          <w:spacing w:val="-12"/>
          <w:position w:val="1"/>
          <w:sz w:val="12"/>
        </w:rPr>
        <w:t xml:space="preserve"> </w:t>
      </w:r>
      <w:r>
        <w:rPr>
          <w:color w:val="231F20"/>
          <w:position w:val="1"/>
          <w:sz w:val="12"/>
        </w:rPr>
        <w:t>s</w:t>
      </w:r>
      <w:r>
        <w:rPr>
          <w:color w:val="231F20"/>
          <w:spacing w:val="-12"/>
          <w:position w:val="1"/>
          <w:sz w:val="12"/>
        </w:rPr>
        <w:t xml:space="preserve"> </w:t>
      </w:r>
      <w:r>
        <w:rPr>
          <w:color w:val="231F20"/>
          <w:spacing w:val="-3"/>
          <w:position w:val="1"/>
          <w:sz w:val="12"/>
        </w:rPr>
        <w:t>léčbou</w:t>
      </w:r>
      <w:r>
        <w:rPr>
          <w:color w:val="231F20"/>
          <w:spacing w:val="-3"/>
          <w:sz w:val="12"/>
        </w:rPr>
        <w:t xml:space="preserve"> </w:t>
      </w:r>
      <w:r>
        <w:rPr>
          <w:color w:val="231F20"/>
          <w:sz w:val="12"/>
        </w:rPr>
        <w:t>fixační</w:t>
      </w:r>
      <w:r>
        <w:rPr>
          <w:color w:val="231F20"/>
          <w:spacing w:val="-1"/>
          <w:sz w:val="12"/>
        </w:rPr>
        <w:t xml:space="preserve"> </w:t>
      </w:r>
      <w:r>
        <w:rPr>
          <w:color w:val="231F20"/>
          <w:sz w:val="12"/>
        </w:rPr>
        <w:t>dlahou</w:t>
      </w:r>
    </w:p>
    <w:p w14:paraId="2576A38F" w14:textId="77777777" w:rsidR="00F65BCA" w:rsidRDefault="00216117">
      <w:pPr>
        <w:spacing w:before="37"/>
        <w:ind w:left="455"/>
        <w:rPr>
          <w:b/>
          <w:sz w:val="12"/>
        </w:rPr>
      </w:pPr>
      <w:r>
        <w:rPr>
          <w:b/>
          <w:color w:val="231F20"/>
          <w:sz w:val="12"/>
        </w:rPr>
        <w:t>Ztrátová</w:t>
      </w:r>
      <w:r>
        <w:rPr>
          <w:b/>
          <w:color w:val="231F20"/>
          <w:spacing w:val="6"/>
          <w:sz w:val="12"/>
        </w:rPr>
        <w:t xml:space="preserve"> </w:t>
      </w:r>
      <w:r>
        <w:rPr>
          <w:b/>
          <w:color w:val="231F20"/>
          <w:sz w:val="12"/>
        </w:rPr>
        <w:t>poranění</w:t>
      </w:r>
    </w:p>
    <w:p w14:paraId="536D683C" w14:textId="77777777" w:rsidR="00F65BCA" w:rsidRDefault="00216117">
      <w:pPr>
        <w:spacing w:before="36" w:line="242" w:lineRule="auto"/>
        <w:ind w:left="455"/>
        <w:rPr>
          <w:b/>
          <w:sz w:val="12"/>
        </w:rPr>
      </w:pPr>
      <w:r>
        <w:rPr>
          <w:b/>
          <w:color w:val="231F20"/>
          <w:sz w:val="12"/>
        </w:rPr>
        <w:t xml:space="preserve">Ztráta nebo nutná extrakce následkem </w:t>
      </w:r>
      <w:r>
        <w:rPr>
          <w:b/>
          <w:color w:val="231F20"/>
          <w:spacing w:val="-5"/>
          <w:sz w:val="12"/>
        </w:rPr>
        <w:t xml:space="preserve">půso- </w:t>
      </w:r>
      <w:r>
        <w:rPr>
          <w:b/>
          <w:color w:val="231F20"/>
          <w:sz w:val="12"/>
        </w:rPr>
        <w:t>bení zevního</w:t>
      </w:r>
      <w:r>
        <w:rPr>
          <w:b/>
          <w:color w:val="231F20"/>
          <w:spacing w:val="-1"/>
          <w:sz w:val="12"/>
        </w:rPr>
        <w:t xml:space="preserve"> </w:t>
      </w:r>
      <w:r>
        <w:rPr>
          <w:b/>
          <w:color w:val="231F20"/>
          <w:sz w:val="12"/>
        </w:rPr>
        <w:t>násilí</w:t>
      </w:r>
    </w:p>
    <w:p w14:paraId="2744A3FC" w14:textId="77777777" w:rsidR="00F65BCA" w:rsidRDefault="00216117">
      <w:pPr>
        <w:pStyle w:val="Odstavecseseznamem"/>
        <w:numPr>
          <w:ilvl w:val="0"/>
          <w:numId w:val="75"/>
        </w:numPr>
        <w:tabs>
          <w:tab w:val="left" w:pos="456"/>
        </w:tabs>
        <w:spacing w:before="32"/>
        <w:ind w:hanging="273"/>
        <w:rPr>
          <w:sz w:val="12"/>
        </w:rPr>
      </w:pPr>
      <w:r>
        <w:rPr>
          <w:color w:val="231F20"/>
          <w:sz w:val="12"/>
        </w:rPr>
        <w:t>jednoho</w:t>
      </w:r>
      <w:r>
        <w:rPr>
          <w:color w:val="231F20"/>
          <w:spacing w:val="-13"/>
          <w:sz w:val="12"/>
        </w:rPr>
        <w:t xml:space="preserve"> </w:t>
      </w:r>
      <w:r>
        <w:rPr>
          <w:color w:val="231F20"/>
          <w:sz w:val="12"/>
        </w:rPr>
        <w:t>až</w:t>
      </w:r>
      <w:r>
        <w:rPr>
          <w:color w:val="231F20"/>
          <w:spacing w:val="-13"/>
          <w:sz w:val="12"/>
        </w:rPr>
        <w:t xml:space="preserve"> </w:t>
      </w:r>
      <w:r>
        <w:rPr>
          <w:color w:val="231F20"/>
          <w:sz w:val="12"/>
        </w:rPr>
        <w:t>šesti</w:t>
      </w:r>
      <w:r>
        <w:rPr>
          <w:color w:val="231F20"/>
          <w:spacing w:val="-13"/>
          <w:sz w:val="12"/>
        </w:rPr>
        <w:t xml:space="preserve"> </w:t>
      </w:r>
      <w:r>
        <w:rPr>
          <w:color w:val="231F20"/>
          <w:sz w:val="12"/>
        </w:rPr>
        <w:t>zubů</w:t>
      </w:r>
    </w:p>
    <w:p w14:paraId="0F53BA64" w14:textId="77777777" w:rsidR="00F65BCA" w:rsidRDefault="00216117">
      <w:pPr>
        <w:pStyle w:val="Odstavecseseznamem"/>
        <w:numPr>
          <w:ilvl w:val="0"/>
          <w:numId w:val="75"/>
        </w:numPr>
        <w:tabs>
          <w:tab w:val="left" w:pos="456"/>
        </w:tabs>
        <w:spacing w:before="32"/>
        <w:ind w:hanging="273"/>
        <w:rPr>
          <w:sz w:val="12"/>
        </w:rPr>
      </w:pPr>
      <w:r>
        <w:rPr>
          <w:color w:val="231F20"/>
          <w:sz w:val="12"/>
        </w:rPr>
        <w:t>sedmi</w:t>
      </w:r>
      <w:r>
        <w:rPr>
          <w:color w:val="231F20"/>
          <w:spacing w:val="-13"/>
          <w:sz w:val="12"/>
        </w:rPr>
        <w:t xml:space="preserve"> </w:t>
      </w:r>
      <w:r>
        <w:rPr>
          <w:color w:val="231F20"/>
          <w:sz w:val="12"/>
        </w:rPr>
        <w:t>nebo</w:t>
      </w:r>
      <w:r>
        <w:rPr>
          <w:color w:val="231F20"/>
          <w:spacing w:val="-13"/>
          <w:sz w:val="12"/>
        </w:rPr>
        <w:t xml:space="preserve"> </w:t>
      </w:r>
      <w:r>
        <w:rPr>
          <w:color w:val="231F20"/>
          <w:sz w:val="12"/>
        </w:rPr>
        <w:t>více</w:t>
      </w:r>
      <w:r>
        <w:rPr>
          <w:color w:val="231F20"/>
          <w:spacing w:val="-13"/>
          <w:sz w:val="12"/>
        </w:rPr>
        <w:t xml:space="preserve"> </w:t>
      </w:r>
      <w:r>
        <w:rPr>
          <w:color w:val="231F20"/>
          <w:sz w:val="12"/>
        </w:rPr>
        <w:t>zubů</w:t>
      </w:r>
    </w:p>
    <w:p w14:paraId="1A223884" w14:textId="77777777" w:rsidR="00F65BCA" w:rsidRDefault="00216117">
      <w:pPr>
        <w:pStyle w:val="Odstavecseseznamem"/>
        <w:numPr>
          <w:ilvl w:val="0"/>
          <w:numId w:val="75"/>
        </w:numPr>
        <w:tabs>
          <w:tab w:val="left" w:pos="456"/>
        </w:tabs>
        <w:spacing w:before="46" w:line="220" w:lineRule="auto"/>
        <w:ind w:right="209"/>
        <w:rPr>
          <w:sz w:val="12"/>
        </w:rPr>
      </w:pPr>
      <w:r>
        <w:rPr>
          <w:color w:val="231F20"/>
          <w:position w:val="1"/>
          <w:sz w:val="12"/>
        </w:rPr>
        <w:t>Vyražení</w:t>
      </w:r>
      <w:r>
        <w:rPr>
          <w:color w:val="231F20"/>
          <w:spacing w:val="-17"/>
          <w:position w:val="1"/>
          <w:sz w:val="12"/>
        </w:rPr>
        <w:t xml:space="preserve"> </w:t>
      </w:r>
      <w:r>
        <w:rPr>
          <w:color w:val="231F20"/>
          <w:position w:val="1"/>
          <w:sz w:val="12"/>
        </w:rPr>
        <w:t>nebo</w:t>
      </w:r>
      <w:r>
        <w:rPr>
          <w:color w:val="231F20"/>
          <w:spacing w:val="-16"/>
          <w:position w:val="1"/>
          <w:sz w:val="12"/>
        </w:rPr>
        <w:t xml:space="preserve"> </w:t>
      </w:r>
      <w:r>
        <w:rPr>
          <w:color w:val="231F20"/>
          <w:position w:val="1"/>
          <w:sz w:val="12"/>
        </w:rPr>
        <w:t>poškození</w:t>
      </w:r>
      <w:r>
        <w:rPr>
          <w:color w:val="231F20"/>
          <w:spacing w:val="-16"/>
          <w:position w:val="1"/>
          <w:sz w:val="12"/>
        </w:rPr>
        <w:t xml:space="preserve"> </w:t>
      </w:r>
      <w:r>
        <w:rPr>
          <w:color w:val="231F20"/>
          <w:position w:val="1"/>
          <w:sz w:val="12"/>
        </w:rPr>
        <w:t>umělých</w:t>
      </w:r>
      <w:r>
        <w:rPr>
          <w:color w:val="231F20"/>
          <w:spacing w:val="-16"/>
          <w:position w:val="1"/>
          <w:sz w:val="12"/>
        </w:rPr>
        <w:t xml:space="preserve"> </w:t>
      </w:r>
      <w:r>
        <w:rPr>
          <w:color w:val="231F20"/>
          <w:position w:val="1"/>
          <w:sz w:val="12"/>
        </w:rPr>
        <w:t>zubů</w:t>
      </w:r>
      <w:r>
        <w:rPr>
          <w:color w:val="231F20"/>
          <w:spacing w:val="-16"/>
          <w:position w:val="1"/>
          <w:sz w:val="12"/>
        </w:rPr>
        <w:t xml:space="preserve"> </w:t>
      </w:r>
      <w:r>
        <w:rPr>
          <w:color w:val="231F20"/>
          <w:position w:val="1"/>
          <w:sz w:val="12"/>
        </w:rPr>
        <w:t>a</w:t>
      </w:r>
      <w:r>
        <w:rPr>
          <w:color w:val="231F20"/>
          <w:spacing w:val="-16"/>
          <w:position w:val="1"/>
          <w:sz w:val="12"/>
        </w:rPr>
        <w:t xml:space="preserve"> </w:t>
      </w:r>
      <w:r>
        <w:rPr>
          <w:color w:val="231F20"/>
          <w:spacing w:val="-4"/>
          <w:position w:val="1"/>
          <w:sz w:val="12"/>
        </w:rPr>
        <w:t>zubů</w:t>
      </w:r>
      <w:r>
        <w:rPr>
          <w:color w:val="231F20"/>
          <w:spacing w:val="-4"/>
          <w:sz w:val="12"/>
        </w:rPr>
        <w:t xml:space="preserve"> </w:t>
      </w:r>
      <w:r>
        <w:rPr>
          <w:color w:val="231F20"/>
          <w:sz w:val="12"/>
        </w:rPr>
        <w:t>dočasných</w:t>
      </w:r>
      <w:r>
        <w:rPr>
          <w:color w:val="231F20"/>
          <w:spacing w:val="-2"/>
          <w:sz w:val="12"/>
        </w:rPr>
        <w:t xml:space="preserve"> </w:t>
      </w:r>
      <w:r>
        <w:rPr>
          <w:color w:val="231F20"/>
          <w:sz w:val="12"/>
        </w:rPr>
        <w:t>(mléčných)</w:t>
      </w:r>
    </w:p>
    <w:p w14:paraId="2DDEDD8C" w14:textId="77777777" w:rsidR="00F65BCA" w:rsidRDefault="00F65BCA">
      <w:pPr>
        <w:pStyle w:val="Zkladntext"/>
        <w:spacing w:before="3"/>
        <w:rPr>
          <w:sz w:val="14"/>
        </w:rPr>
      </w:pPr>
    </w:p>
    <w:p w14:paraId="59E6032C" w14:textId="77777777" w:rsidR="00F65BCA" w:rsidRDefault="00216117">
      <w:pPr>
        <w:spacing w:before="1"/>
        <w:ind w:left="1473" w:right="924"/>
        <w:jc w:val="center"/>
        <w:rPr>
          <w:b/>
          <w:sz w:val="14"/>
        </w:rPr>
      </w:pPr>
      <w:r>
        <w:rPr>
          <w:b/>
          <w:color w:val="231F20"/>
          <w:sz w:val="14"/>
        </w:rPr>
        <w:t>UCHO</w:t>
      </w:r>
    </w:p>
    <w:p w14:paraId="68149B7A" w14:textId="77777777" w:rsidR="00F65BCA" w:rsidRDefault="00216117">
      <w:pPr>
        <w:spacing w:before="51" w:line="300" w:lineRule="auto"/>
        <w:ind w:left="183" w:right="1508" w:firstLine="271"/>
        <w:rPr>
          <w:sz w:val="12"/>
        </w:rPr>
      </w:pPr>
      <w:r>
        <w:rPr>
          <w:b/>
          <w:color w:val="231F20"/>
          <w:sz w:val="12"/>
        </w:rPr>
        <w:t xml:space="preserve">Pohmoždění boltce 063 </w:t>
      </w:r>
      <w:r>
        <w:rPr>
          <w:color w:val="231F20"/>
          <w:sz w:val="12"/>
        </w:rPr>
        <w:t>bez komplikace</w:t>
      </w:r>
    </w:p>
    <w:p w14:paraId="799D981E" w14:textId="77777777" w:rsidR="00F65BCA" w:rsidRDefault="00216117">
      <w:pPr>
        <w:pStyle w:val="Odstavecseseznamem"/>
        <w:numPr>
          <w:ilvl w:val="0"/>
          <w:numId w:val="74"/>
        </w:numPr>
        <w:tabs>
          <w:tab w:val="left" w:pos="456"/>
        </w:tabs>
        <w:spacing w:before="5" w:line="213" w:lineRule="auto"/>
        <w:ind w:right="751"/>
        <w:rPr>
          <w:sz w:val="12"/>
        </w:rPr>
      </w:pPr>
      <w:r>
        <w:rPr>
          <w:color w:val="231F20"/>
          <w:position w:val="2"/>
          <w:sz w:val="12"/>
        </w:rPr>
        <w:t>komplikované</w:t>
      </w:r>
      <w:r>
        <w:rPr>
          <w:color w:val="231F20"/>
          <w:spacing w:val="-23"/>
          <w:position w:val="2"/>
          <w:sz w:val="12"/>
        </w:rPr>
        <w:t xml:space="preserve"> </w:t>
      </w:r>
      <w:r>
        <w:rPr>
          <w:color w:val="231F20"/>
          <w:position w:val="2"/>
          <w:sz w:val="12"/>
        </w:rPr>
        <w:t>druhotnou</w:t>
      </w:r>
      <w:r>
        <w:rPr>
          <w:color w:val="231F20"/>
          <w:spacing w:val="-22"/>
          <w:position w:val="2"/>
          <w:sz w:val="12"/>
        </w:rPr>
        <w:t xml:space="preserve"> </w:t>
      </w:r>
      <w:r>
        <w:rPr>
          <w:color w:val="231F20"/>
          <w:position w:val="2"/>
          <w:sz w:val="12"/>
        </w:rPr>
        <w:t>aseptickou</w:t>
      </w:r>
      <w:r>
        <w:rPr>
          <w:color w:val="231F20"/>
          <w:sz w:val="12"/>
        </w:rPr>
        <w:t xml:space="preserve"> </w:t>
      </w:r>
      <w:r>
        <w:rPr>
          <w:color w:val="231F20"/>
          <w:spacing w:val="2"/>
          <w:sz w:val="12"/>
        </w:rPr>
        <w:t>perichondritidou</w:t>
      </w:r>
    </w:p>
    <w:p w14:paraId="2DE1C052" w14:textId="77777777" w:rsidR="00F65BCA" w:rsidRDefault="00216117">
      <w:pPr>
        <w:pStyle w:val="Odstavecseseznamem"/>
        <w:numPr>
          <w:ilvl w:val="0"/>
          <w:numId w:val="74"/>
        </w:numPr>
        <w:tabs>
          <w:tab w:val="left" w:pos="456"/>
        </w:tabs>
        <w:spacing w:before="34"/>
        <w:ind w:hanging="273"/>
        <w:rPr>
          <w:sz w:val="12"/>
        </w:rPr>
      </w:pPr>
      <w:r>
        <w:rPr>
          <w:color w:val="231F20"/>
          <w:spacing w:val="-3"/>
          <w:sz w:val="12"/>
        </w:rPr>
        <w:t>Rána</w:t>
      </w:r>
      <w:r>
        <w:rPr>
          <w:color w:val="231F20"/>
          <w:spacing w:val="-9"/>
          <w:sz w:val="12"/>
        </w:rPr>
        <w:t xml:space="preserve"> </w:t>
      </w:r>
      <w:r>
        <w:rPr>
          <w:color w:val="231F20"/>
          <w:spacing w:val="-3"/>
          <w:sz w:val="12"/>
        </w:rPr>
        <w:t>zevního</w:t>
      </w:r>
      <w:r>
        <w:rPr>
          <w:color w:val="231F20"/>
          <w:spacing w:val="-9"/>
          <w:sz w:val="12"/>
        </w:rPr>
        <w:t xml:space="preserve"> </w:t>
      </w:r>
      <w:r>
        <w:rPr>
          <w:color w:val="231F20"/>
          <w:spacing w:val="-3"/>
          <w:sz w:val="12"/>
        </w:rPr>
        <w:t>ucha</w:t>
      </w:r>
      <w:r>
        <w:rPr>
          <w:color w:val="231F20"/>
          <w:spacing w:val="-9"/>
          <w:sz w:val="12"/>
        </w:rPr>
        <w:t xml:space="preserve"> </w:t>
      </w:r>
      <w:r>
        <w:rPr>
          <w:color w:val="231F20"/>
          <w:spacing w:val="-3"/>
          <w:sz w:val="12"/>
        </w:rPr>
        <w:t>(boltce</w:t>
      </w:r>
      <w:r>
        <w:rPr>
          <w:color w:val="231F20"/>
          <w:spacing w:val="-9"/>
          <w:sz w:val="12"/>
        </w:rPr>
        <w:t xml:space="preserve"> </w:t>
      </w:r>
      <w:r>
        <w:rPr>
          <w:color w:val="231F20"/>
          <w:spacing w:val="-3"/>
          <w:sz w:val="12"/>
        </w:rPr>
        <w:t>nebo</w:t>
      </w:r>
      <w:r>
        <w:rPr>
          <w:color w:val="231F20"/>
          <w:spacing w:val="-9"/>
          <w:sz w:val="12"/>
        </w:rPr>
        <w:t xml:space="preserve"> </w:t>
      </w:r>
      <w:r>
        <w:rPr>
          <w:color w:val="231F20"/>
          <w:spacing w:val="-3"/>
          <w:sz w:val="12"/>
        </w:rPr>
        <w:t>zvukovodu)</w:t>
      </w:r>
    </w:p>
    <w:p w14:paraId="489BC25C" w14:textId="77777777" w:rsidR="00F65BCA" w:rsidRDefault="00216117">
      <w:pPr>
        <w:pStyle w:val="Odstavecseseznamem"/>
        <w:numPr>
          <w:ilvl w:val="0"/>
          <w:numId w:val="74"/>
        </w:numPr>
        <w:tabs>
          <w:tab w:val="left" w:pos="456"/>
        </w:tabs>
        <w:spacing w:before="39"/>
        <w:ind w:hanging="273"/>
        <w:rPr>
          <w:sz w:val="12"/>
        </w:rPr>
      </w:pPr>
      <w:r>
        <w:rPr>
          <w:color w:val="231F20"/>
          <w:position w:val="1"/>
          <w:sz w:val="12"/>
        </w:rPr>
        <w:t>Proděravění</w:t>
      </w:r>
      <w:r>
        <w:rPr>
          <w:color w:val="231F20"/>
          <w:spacing w:val="-14"/>
          <w:position w:val="1"/>
          <w:sz w:val="12"/>
        </w:rPr>
        <w:t xml:space="preserve"> </w:t>
      </w:r>
      <w:r>
        <w:rPr>
          <w:color w:val="231F20"/>
          <w:position w:val="1"/>
          <w:sz w:val="12"/>
        </w:rPr>
        <w:t>bubínku</w:t>
      </w:r>
      <w:r>
        <w:rPr>
          <w:color w:val="231F20"/>
          <w:spacing w:val="-14"/>
          <w:position w:val="1"/>
          <w:sz w:val="12"/>
        </w:rPr>
        <w:t xml:space="preserve"> </w:t>
      </w:r>
      <w:r>
        <w:rPr>
          <w:color w:val="231F20"/>
          <w:position w:val="1"/>
          <w:sz w:val="12"/>
        </w:rPr>
        <w:t>bez</w:t>
      </w:r>
      <w:r>
        <w:rPr>
          <w:color w:val="231F20"/>
          <w:spacing w:val="-13"/>
          <w:position w:val="1"/>
          <w:sz w:val="12"/>
        </w:rPr>
        <w:t xml:space="preserve"> </w:t>
      </w:r>
      <w:r>
        <w:rPr>
          <w:color w:val="231F20"/>
          <w:position w:val="1"/>
          <w:sz w:val="12"/>
        </w:rPr>
        <w:t>zlomeniny</w:t>
      </w:r>
      <w:r>
        <w:rPr>
          <w:color w:val="231F20"/>
          <w:spacing w:val="-14"/>
          <w:position w:val="1"/>
          <w:sz w:val="12"/>
        </w:rPr>
        <w:t xml:space="preserve"> </w:t>
      </w:r>
      <w:r>
        <w:rPr>
          <w:color w:val="231F20"/>
          <w:position w:val="1"/>
          <w:sz w:val="12"/>
        </w:rPr>
        <w:t>lebních</w:t>
      </w:r>
      <w:r>
        <w:rPr>
          <w:color w:val="231F20"/>
          <w:spacing w:val="-14"/>
          <w:position w:val="1"/>
          <w:sz w:val="12"/>
        </w:rPr>
        <w:t xml:space="preserve"> </w:t>
      </w:r>
      <w:r>
        <w:rPr>
          <w:color w:val="231F20"/>
          <w:position w:val="1"/>
          <w:sz w:val="12"/>
        </w:rPr>
        <w:t>kostí</w:t>
      </w:r>
    </w:p>
    <w:p w14:paraId="1A7C2295" w14:textId="77777777" w:rsidR="00F65BCA" w:rsidRDefault="00216117">
      <w:pPr>
        <w:pStyle w:val="Odstavecseseznamem"/>
        <w:numPr>
          <w:ilvl w:val="0"/>
          <w:numId w:val="74"/>
        </w:numPr>
        <w:tabs>
          <w:tab w:val="left" w:pos="456"/>
        </w:tabs>
        <w:spacing w:before="27"/>
        <w:ind w:hanging="273"/>
        <w:rPr>
          <w:sz w:val="12"/>
        </w:rPr>
      </w:pPr>
      <w:r>
        <w:rPr>
          <w:color w:val="231F20"/>
          <w:sz w:val="12"/>
        </w:rPr>
        <w:t>Otřes</w:t>
      </w:r>
      <w:r>
        <w:rPr>
          <w:color w:val="231F20"/>
          <w:spacing w:val="-1"/>
          <w:sz w:val="12"/>
        </w:rPr>
        <w:t xml:space="preserve"> </w:t>
      </w:r>
      <w:r>
        <w:rPr>
          <w:color w:val="231F20"/>
          <w:sz w:val="12"/>
        </w:rPr>
        <w:t>labyrintu</w:t>
      </w:r>
    </w:p>
    <w:p w14:paraId="27477BD5" w14:textId="77777777" w:rsidR="00F65BCA" w:rsidRDefault="00F65BCA">
      <w:pPr>
        <w:pStyle w:val="Zkladntext"/>
        <w:spacing w:before="3"/>
        <w:rPr>
          <w:sz w:val="14"/>
        </w:rPr>
      </w:pPr>
    </w:p>
    <w:p w14:paraId="7C665BB7" w14:textId="77777777" w:rsidR="00F65BCA" w:rsidRDefault="00216117">
      <w:pPr>
        <w:spacing w:before="1"/>
        <w:ind w:left="1473" w:right="924"/>
        <w:jc w:val="center"/>
        <w:rPr>
          <w:b/>
          <w:sz w:val="14"/>
        </w:rPr>
      </w:pPr>
      <w:r>
        <w:rPr>
          <w:b/>
          <w:color w:val="231F20"/>
          <w:sz w:val="14"/>
        </w:rPr>
        <w:t>KRK</w:t>
      </w:r>
    </w:p>
    <w:p w14:paraId="7DD9644D" w14:textId="77777777" w:rsidR="00F65BCA" w:rsidRDefault="00216117">
      <w:pPr>
        <w:pStyle w:val="Odstavecseseznamem"/>
        <w:numPr>
          <w:ilvl w:val="0"/>
          <w:numId w:val="74"/>
        </w:numPr>
        <w:tabs>
          <w:tab w:val="left" w:pos="456"/>
        </w:tabs>
        <w:spacing w:before="51"/>
        <w:ind w:hanging="273"/>
        <w:rPr>
          <w:sz w:val="12"/>
        </w:rPr>
      </w:pPr>
      <w:r>
        <w:rPr>
          <w:color w:val="231F20"/>
          <w:position w:val="1"/>
          <w:sz w:val="12"/>
        </w:rPr>
        <w:t>Pohmoždění</w:t>
      </w:r>
      <w:r>
        <w:rPr>
          <w:color w:val="231F20"/>
          <w:spacing w:val="-1"/>
          <w:position w:val="1"/>
          <w:sz w:val="12"/>
        </w:rPr>
        <w:t xml:space="preserve"> </w:t>
      </w:r>
      <w:r>
        <w:rPr>
          <w:color w:val="231F20"/>
          <w:position w:val="1"/>
          <w:sz w:val="12"/>
        </w:rPr>
        <w:t>krku</w:t>
      </w:r>
    </w:p>
    <w:p w14:paraId="17E9E2AC" w14:textId="77777777" w:rsidR="00F65BCA" w:rsidRDefault="00216117">
      <w:pPr>
        <w:spacing w:before="53" w:line="129" w:lineRule="exact"/>
        <w:ind w:left="455"/>
        <w:rPr>
          <w:sz w:val="12"/>
        </w:rPr>
      </w:pPr>
      <w:r>
        <w:rPr>
          <w:color w:val="231F20"/>
          <w:sz w:val="12"/>
        </w:rPr>
        <w:t>Pohmoždění hrtanu nebo účinek dráždivých par</w:t>
      </w:r>
    </w:p>
    <w:p w14:paraId="02A9AE57" w14:textId="77777777" w:rsidR="00F65BCA" w:rsidRDefault="00216117">
      <w:pPr>
        <w:pStyle w:val="Odstavecseseznamem"/>
        <w:numPr>
          <w:ilvl w:val="0"/>
          <w:numId w:val="74"/>
        </w:numPr>
        <w:tabs>
          <w:tab w:val="left" w:pos="456"/>
        </w:tabs>
        <w:spacing w:before="5" w:line="208" w:lineRule="auto"/>
        <w:ind w:right="87"/>
        <w:rPr>
          <w:sz w:val="12"/>
        </w:rPr>
      </w:pPr>
      <w:r>
        <w:rPr>
          <w:color w:val="231F20"/>
          <w:sz w:val="12"/>
        </w:rPr>
        <w:t>a</w:t>
      </w:r>
      <w:r>
        <w:rPr>
          <w:color w:val="231F20"/>
          <w:spacing w:val="-14"/>
          <w:sz w:val="12"/>
        </w:rPr>
        <w:t xml:space="preserve"> </w:t>
      </w:r>
      <w:r>
        <w:rPr>
          <w:color w:val="231F20"/>
          <w:sz w:val="12"/>
        </w:rPr>
        <w:t>plynů</w:t>
      </w:r>
      <w:r>
        <w:rPr>
          <w:color w:val="231F20"/>
          <w:spacing w:val="-13"/>
          <w:sz w:val="12"/>
        </w:rPr>
        <w:t xml:space="preserve"> </w:t>
      </w:r>
      <w:r>
        <w:rPr>
          <w:color w:val="231F20"/>
          <w:sz w:val="12"/>
        </w:rPr>
        <w:t>na</w:t>
      </w:r>
      <w:r>
        <w:rPr>
          <w:color w:val="231F20"/>
          <w:spacing w:val="-13"/>
          <w:sz w:val="12"/>
        </w:rPr>
        <w:t xml:space="preserve"> </w:t>
      </w:r>
      <w:r>
        <w:rPr>
          <w:color w:val="231F20"/>
          <w:sz w:val="12"/>
        </w:rPr>
        <w:t>hlasivky</w:t>
      </w:r>
      <w:r>
        <w:rPr>
          <w:color w:val="231F20"/>
          <w:spacing w:val="-13"/>
          <w:sz w:val="12"/>
        </w:rPr>
        <w:t xml:space="preserve"> </w:t>
      </w:r>
      <w:r>
        <w:rPr>
          <w:color w:val="231F20"/>
          <w:sz w:val="12"/>
        </w:rPr>
        <w:t>nebo</w:t>
      </w:r>
      <w:r>
        <w:rPr>
          <w:color w:val="231F20"/>
          <w:spacing w:val="-13"/>
          <w:sz w:val="12"/>
        </w:rPr>
        <w:t xml:space="preserve"> </w:t>
      </w:r>
      <w:r>
        <w:rPr>
          <w:color w:val="231F20"/>
          <w:sz w:val="12"/>
        </w:rPr>
        <w:t>sliznice</w:t>
      </w:r>
      <w:r>
        <w:rPr>
          <w:color w:val="231F20"/>
          <w:spacing w:val="-13"/>
          <w:sz w:val="12"/>
        </w:rPr>
        <w:t xml:space="preserve"> </w:t>
      </w:r>
      <w:r>
        <w:rPr>
          <w:color w:val="231F20"/>
          <w:sz w:val="12"/>
        </w:rPr>
        <w:t>polykacích</w:t>
      </w:r>
      <w:r>
        <w:rPr>
          <w:color w:val="231F20"/>
          <w:spacing w:val="-14"/>
          <w:sz w:val="12"/>
        </w:rPr>
        <w:t xml:space="preserve"> </w:t>
      </w:r>
      <w:r>
        <w:rPr>
          <w:color w:val="231F20"/>
          <w:spacing w:val="-5"/>
          <w:sz w:val="12"/>
        </w:rPr>
        <w:t xml:space="preserve">nebo </w:t>
      </w:r>
      <w:r>
        <w:rPr>
          <w:color w:val="231F20"/>
          <w:sz w:val="12"/>
        </w:rPr>
        <w:t>dýchacích</w:t>
      </w:r>
      <w:r>
        <w:rPr>
          <w:color w:val="231F20"/>
          <w:spacing w:val="-1"/>
          <w:sz w:val="12"/>
        </w:rPr>
        <w:t xml:space="preserve"> </w:t>
      </w:r>
      <w:r>
        <w:rPr>
          <w:color w:val="231F20"/>
          <w:sz w:val="12"/>
        </w:rPr>
        <w:t>orgánů</w:t>
      </w:r>
    </w:p>
    <w:p w14:paraId="4291E884" w14:textId="77777777" w:rsidR="00F65BCA" w:rsidRDefault="00000000">
      <w:pPr>
        <w:spacing w:before="69" w:line="208" w:lineRule="auto"/>
        <w:ind w:left="455" w:right="351"/>
        <w:rPr>
          <w:sz w:val="12"/>
        </w:rPr>
      </w:pPr>
      <w:r>
        <w:pict w14:anchorId="60B985F4">
          <v:shape id="_x0000_s2184" type="#_x0000_t202" style="position:absolute;left:0;text-align:left;margin-left:207.65pt;margin-top:5.5pt;width:10.05pt;height:7.2pt;z-index:251936768;mso-position-horizontal-relative:page" filled="f" stroked="f">
            <v:textbox inset="0,0,0,0">
              <w:txbxContent>
                <w:p w14:paraId="5D420C5C" w14:textId="77777777" w:rsidR="00F65BCA" w:rsidRDefault="00216117">
                  <w:pPr>
                    <w:spacing w:before="4"/>
                    <w:rPr>
                      <w:b/>
                      <w:sz w:val="12"/>
                    </w:rPr>
                  </w:pPr>
                  <w:r>
                    <w:rPr>
                      <w:b/>
                      <w:color w:val="231F20"/>
                      <w:sz w:val="12"/>
                    </w:rPr>
                    <w:t>070</w:t>
                  </w:r>
                </w:p>
              </w:txbxContent>
            </v:textbox>
            <w10:wrap anchorx="page"/>
          </v:shape>
        </w:pict>
      </w:r>
      <w:r w:rsidR="00216117">
        <w:rPr>
          <w:color w:val="231F20"/>
          <w:w w:val="95"/>
          <w:sz w:val="12"/>
        </w:rPr>
        <w:t xml:space="preserve">Poleptání, proděravění nebo roztržení hltanu </w:t>
      </w:r>
      <w:r w:rsidR="00216117">
        <w:rPr>
          <w:color w:val="231F20"/>
          <w:sz w:val="12"/>
        </w:rPr>
        <w:t>nebo jícnu</w:t>
      </w:r>
    </w:p>
    <w:p w14:paraId="7291F089" w14:textId="77777777" w:rsidR="00F65BCA" w:rsidRDefault="00216117">
      <w:pPr>
        <w:pStyle w:val="Odstavecseseznamem"/>
        <w:numPr>
          <w:ilvl w:val="0"/>
          <w:numId w:val="73"/>
        </w:numPr>
        <w:tabs>
          <w:tab w:val="left" w:pos="456"/>
        </w:tabs>
        <w:spacing w:before="32"/>
        <w:ind w:hanging="273"/>
        <w:rPr>
          <w:sz w:val="12"/>
        </w:rPr>
      </w:pPr>
      <w:r>
        <w:rPr>
          <w:color w:val="231F20"/>
          <w:sz w:val="12"/>
        </w:rPr>
        <w:t>Perforující</w:t>
      </w:r>
      <w:r>
        <w:rPr>
          <w:color w:val="231F20"/>
          <w:spacing w:val="-12"/>
          <w:sz w:val="12"/>
        </w:rPr>
        <w:t xml:space="preserve"> </w:t>
      </w:r>
      <w:r>
        <w:rPr>
          <w:color w:val="231F20"/>
          <w:sz w:val="12"/>
        </w:rPr>
        <w:t>poranění</w:t>
      </w:r>
      <w:r>
        <w:rPr>
          <w:color w:val="231F20"/>
          <w:spacing w:val="-12"/>
          <w:sz w:val="12"/>
        </w:rPr>
        <w:t xml:space="preserve"> </w:t>
      </w:r>
      <w:r>
        <w:rPr>
          <w:color w:val="231F20"/>
          <w:sz w:val="12"/>
        </w:rPr>
        <w:t>hrtanu</w:t>
      </w:r>
      <w:r>
        <w:rPr>
          <w:color w:val="231F20"/>
          <w:spacing w:val="-12"/>
          <w:sz w:val="12"/>
        </w:rPr>
        <w:t xml:space="preserve"> </w:t>
      </w:r>
      <w:r>
        <w:rPr>
          <w:color w:val="231F20"/>
          <w:sz w:val="12"/>
        </w:rPr>
        <w:t>nebo</w:t>
      </w:r>
      <w:r>
        <w:rPr>
          <w:color w:val="231F20"/>
          <w:spacing w:val="-11"/>
          <w:sz w:val="12"/>
        </w:rPr>
        <w:t xml:space="preserve"> </w:t>
      </w:r>
      <w:r>
        <w:rPr>
          <w:color w:val="231F20"/>
          <w:sz w:val="12"/>
        </w:rPr>
        <w:t>průdušnice</w:t>
      </w:r>
    </w:p>
    <w:p w14:paraId="63C5ADC8" w14:textId="77777777" w:rsidR="00F65BCA" w:rsidRDefault="00216117">
      <w:pPr>
        <w:pStyle w:val="Odstavecseseznamem"/>
        <w:numPr>
          <w:ilvl w:val="0"/>
          <w:numId w:val="73"/>
        </w:numPr>
        <w:tabs>
          <w:tab w:val="left" w:pos="456"/>
        </w:tabs>
        <w:spacing w:before="32"/>
        <w:ind w:hanging="273"/>
        <w:rPr>
          <w:sz w:val="12"/>
        </w:rPr>
      </w:pPr>
      <w:r>
        <w:rPr>
          <w:color w:val="231F20"/>
          <w:sz w:val="12"/>
        </w:rPr>
        <w:t>Zlomenina jazylky nebo chrupavek</w:t>
      </w:r>
      <w:r>
        <w:rPr>
          <w:color w:val="231F20"/>
          <w:spacing w:val="-18"/>
          <w:sz w:val="12"/>
        </w:rPr>
        <w:t xml:space="preserve"> </w:t>
      </w:r>
      <w:r>
        <w:rPr>
          <w:color w:val="231F20"/>
          <w:sz w:val="12"/>
        </w:rPr>
        <w:t>hrtanu</w:t>
      </w:r>
    </w:p>
    <w:p w14:paraId="31A8AECB" w14:textId="77777777" w:rsidR="00F65BCA" w:rsidRDefault="00F65BCA">
      <w:pPr>
        <w:pStyle w:val="Zkladntext"/>
        <w:spacing w:before="1"/>
        <w:rPr>
          <w:sz w:val="14"/>
        </w:rPr>
      </w:pPr>
    </w:p>
    <w:p w14:paraId="2F46731F" w14:textId="77777777" w:rsidR="00F65BCA" w:rsidRDefault="00216117">
      <w:pPr>
        <w:ind w:left="1473" w:right="924"/>
        <w:jc w:val="center"/>
        <w:rPr>
          <w:b/>
          <w:sz w:val="14"/>
        </w:rPr>
      </w:pPr>
      <w:r>
        <w:rPr>
          <w:b/>
          <w:color w:val="231F20"/>
          <w:sz w:val="14"/>
        </w:rPr>
        <w:t>HRUDNÍK</w:t>
      </w:r>
    </w:p>
    <w:p w14:paraId="3CBB29C7" w14:textId="77777777" w:rsidR="00F65BCA" w:rsidRDefault="00216117">
      <w:pPr>
        <w:pStyle w:val="Odstavecseseznamem"/>
        <w:numPr>
          <w:ilvl w:val="0"/>
          <w:numId w:val="73"/>
        </w:numPr>
        <w:tabs>
          <w:tab w:val="left" w:pos="456"/>
        </w:tabs>
        <w:spacing w:before="45"/>
        <w:ind w:hanging="273"/>
        <w:rPr>
          <w:sz w:val="12"/>
        </w:rPr>
      </w:pPr>
      <w:r>
        <w:rPr>
          <w:color w:val="231F20"/>
          <w:position w:val="1"/>
          <w:sz w:val="12"/>
        </w:rPr>
        <w:t>Pohmoždění stěny hrudní těžšího</w:t>
      </w:r>
      <w:r>
        <w:rPr>
          <w:color w:val="231F20"/>
          <w:spacing w:val="-18"/>
          <w:position w:val="1"/>
          <w:sz w:val="12"/>
        </w:rPr>
        <w:t xml:space="preserve"> </w:t>
      </w:r>
      <w:r>
        <w:rPr>
          <w:color w:val="231F20"/>
          <w:position w:val="1"/>
          <w:sz w:val="12"/>
        </w:rPr>
        <w:t>stupně</w:t>
      </w:r>
    </w:p>
    <w:p w14:paraId="733E9600" w14:textId="77777777" w:rsidR="00F65BCA" w:rsidRDefault="00216117">
      <w:pPr>
        <w:pStyle w:val="Odstavecseseznamem"/>
        <w:numPr>
          <w:ilvl w:val="0"/>
          <w:numId w:val="73"/>
        </w:numPr>
        <w:tabs>
          <w:tab w:val="left" w:pos="456"/>
        </w:tabs>
        <w:spacing w:before="26"/>
        <w:ind w:hanging="273"/>
        <w:rPr>
          <w:sz w:val="12"/>
        </w:rPr>
      </w:pPr>
      <w:r>
        <w:rPr>
          <w:color w:val="231F20"/>
          <w:sz w:val="12"/>
        </w:rPr>
        <w:t>Pohmoždění prsu,</w:t>
      </w:r>
      <w:r>
        <w:rPr>
          <w:color w:val="231F20"/>
          <w:spacing w:val="-2"/>
          <w:sz w:val="12"/>
        </w:rPr>
        <w:t xml:space="preserve"> </w:t>
      </w:r>
      <w:r>
        <w:rPr>
          <w:color w:val="231F20"/>
          <w:sz w:val="12"/>
        </w:rPr>
        <w:t>prsů</w:t>
      </w:r>
    </w:p>
    <w:p w14:paraId="430D6E9E" w14:textId="77777777" w:rsidR="00F65BCA" w:rsidRDefault="00216117">
      <w:pPr>
        <w:spacing w:before="35" w:line="300" w:lineRule="auto"/>
        <w:ind w:left="183" w:right="1048" w:firstLine="271"/>
        <w:rPr>
          <w:sz w:val="12"/>
        </w:rPr>
      </w:pPr>
      <w:r>
        <w:rPr>
          <w:b/>
          <w:color w:val="231F20"/>
          <w:sz w:val="12"/>
        </w:rPr>
        <w:t xml:space="preserve">Poúrazový pneumotorax 075 </w:t>
      </w:r>
      <w:r>
        <w:rPr>
          <w:color w:val="231F20"/>
          <w:sz w:val="12"/>
        </w:rPr>
        <w:t>zavřený</w:t>
      </w:r>
    </w:p>
    <w:p w14:paraId="75597D89" w14:textId="77777777" w:rsidR="00F65BCA" w:rsidRDefault="00216117">
      <w:pPr>
        <w:pStyle w:val="Odstavecseseznamem"/>
        <w:numPr>
          <w:ilvl w:val="0"/>
          <w:numId w:val="72"/>
        </w:numPr>
        <w:tabs>
          <w:tab w:val="left" w:pos="456"/>
        </w:tabs>
        <w:spacing w:line="136" w:lineRule="exact"/>
        <w:ind w:hanging="273"/>
        <w:rPr>
          <w:sz w:val="12"/>
        </w:rPr>
      </w:pPr>
      <w:r>
        <w:rPr>
          <w:color w:val="231F20"/>
          <w:sz w:val="12"/>
        </w:rPr>
        <w:t>otevřený nebo</w:t>
      </w:r>
      <w:r>
        <w:rPr>
          <w:color w:val="231F20"/>
          <w:spacing w:val="-3"/>
          <w:sz w:val="12"/>
        </w:rPr>
        <w:t xml:space="preserve"> </w:t>
      </w:r>
      <w:r>
        <w:rPr>
          <w:color w:val="231F20"/>
          <w:sz w:val="12"/>
        </w:rPr>
        <w:t>ventilový</w:t>
      </w:r>
    </w:p>
    <w:p w14:paraId="0531DE52" w14:textId="77777777" w:rsidR="00F65BCA" w:rsidRDefault="00216117">
      <w:pPr>
        <w:pStyle w:val="Odstavecseseznamem"/>
        <w:numPr>
          <w:ilvl w:val="0"/>
          <w:numId w:val="72"/>
        </w:numPr>
        <w:tabs>
          <w:tab w:val="left" w:pos="456"/>
        </w:tabs>
        <w:spacing w:before="32"/>
        <w:ind w:hanging="273"/>
        <w:rPr>
          <w:sz w:val="12"/>
        </w:rPr>
      </w:pPr>
      <w:r>
        <w:rPr>
          <w:color w:val="231F20"/>
          <w:sz w:val="12"/>
        </w:rPr>
        <w:t>Poúrazový</w:t>
      </w:r>
      <w:r>
        <w:rPr>
          <w:color w:val="231F20"/>
          <w:spacing w:val="-16"/>
          <w:sz w:val="12"/>
        </w:rPr>
        <w:t xml:space="preserve"> </w:t>
      </w:r>
      <w:r>
        <w:rPr>
          <w:color w:val="231F20"/>
          <w:sz w:val="12"/>
        </w:rPr>
        <w:t>mediastinální</w:t>
      </w:r>
      <w:r>
        <w:rPr>
          <w:color w:val="231F20"/>
          <w:spacing w:val="-16"/>
          <w:sz w:val="12"/>
        </w:rPr>
        <w:t xml:space="preserve"> </w:t>
      </w:r>
      <w:r>
        <w:rPr>
          <w:color w:val="231F20"/>
          <w:sz w:val="12"/>
        </w:rPr>
        <w:t>nebo</w:t>
      </w:r>
      <w:r>
        <w:rPr>
          <w:color w:val="231F20"/>
          <w:spacing w:val="-16"/>
          <w:sz w:val="12"/>
        </w:rPr>
        <w:t xml:space="preserve"> </w:t>
      </w:r>
      <w:r>
        <w:rPr>
          <w:color w:val="231F20"/>
          <w:sz w:val="12"/>
        </w:rPr>
        <w:t>podkožní</w:t>
      </w:r>
      <w:r>
        <w:rPr>
          <w:color w:val="231F20"/>
          <w:spacing w:val="-16"/>
          <w:sz w:val="12"/>
        </w:rPr>
        <w:t xml:space="preserve"> </w:t>
      </w:r>
      <w:r>
        <w:rPr>
          <w:color w:val="231F20"/>
          <w:sz w:val="12"/>
        </w:rPr>
        <w:t>emfysem</w:t>
      </w:r>
    </w:p>
    <w:p w14:paraId="652A927B" w14:textId="77777777" w:rsidR="00F65BCA" w:rsidRDefault="00216117">
      <w:pPr>
        <w:pStyle w:val="Odstavecseseznamem"/>
        <w:numPr>
          <w:ilvl w:val="0"/>
          <w:numId w:val="72"/>
        </w:numPr>
        <w:tabs>
          <w:tab w:val="left" w:pos="456"/>
        </w:tabs>
        <w:spacing w:before="32"/>
        <w:ind w:hanging="273"/>
        <w:rPr>
          <w:sz w:val="12"/>
        </w:rPr>
      </w:pPr>
      <w:r>
        <w:rPr>
          <w:color w:val="231F20"/>
          <w:sz w:val="12"/>
        </w:rPr>
        <w:t>Poúrazové krvácení do</w:t>
      </w:r>
      <w:r>
        <w:rPr>
          <w:color w:val="231F20"/>
          <w:spacing w:val="-7"/>
          <w:sz w:val="12"/>
        </w:rPr>
        <w:t xml:space="preserve"> </w:t>
      </w:r>
      <w:r>
        <w:rPr>
          <w:color w:val="231F20"/>
          <w:sz w:val="12"/>
        </w:rPr>
        <w:t>hrudníku</w:t>
      </w:r>
    </w:p>
    <w:p w14:paraId="2D425658" w14:textId="77777777" w:rsidR="00F65BCA" w:rsidRDefault="00216117">
      <w:pPr>
        <w:pStyle w:val="Odstavecseseznamem"/>
        <w:numPr>
          <w:ilvl w:val="0"/>
          <w:numId w:val="72"/>
        </w:numPr>
        <w:tabs>
          <w:tab w:val="left" w:pos="456"/>
        </w:tabs>
        <w:spacing w:before="33"/>
        <w:ind w:hanging="273"/>
        <w:rPr>
          <w:sz w:val="12"/>
        </w:rPr>
      </w:pPr>
      <w:r>
        <w:rPr>
          <w:color w:val="231F20"/>
          <w:sz w:val="12"/>
        </w:rPr>
        <w:t>Natržení, roztržení</w:t>
      </w:r>
      <w:r>
        <w:rPr>
          <w:color w:val="231F20"/>
          <w:spacing w:val="-3"/>
          <w:sz w:val="12"/>
        </w:rPr>
        <w:t xml:space="preserve"> </w:t>
      </w:r>
      <w:r>
        <w:rPr>
          <w:color w:val="231F20"/>
          <w:sz w:val="12"/>
        </w:rPr>
        <w:t>plic</w:t>
      </w:r>
    </w:p>
    <w:p w14:paraId="64F749C1" w14:textId="77777777" w:rsidR="00F65BCA" w:rsidRDefault="00216117">
      <w:pPr>
        <w:pStyle w:val="Odstavecseseznamem"/>
        <w:numPr>
          <w:ilvl w:val="0"/>
          <w:numId w:val="72"/>
        </w:numPr>
        <w:tabs>
          <w:tab w:val="left" w:pos="456"/>
        </w:tabs>
        <w:spacing w:before="32"/>
        <w:ind w:hanging="273"/>
        <w:rPr>
          <w:sz w:val="12"/>
        </w:rPr>
      </w:pPr>
      <w:r>
        <w:rPr>
          <w:color w:val="231F20"/>
          <w:sz w:val="12"/>
        </w:rPr>
        <w:t>Úrazové</w:t>
      </w:r>
      <w:r>
        <w:rPr>
          <w:color w:val="231F20"/>
          <w:spacing w:val="-11"/>
          <w:sz w:val="12"/>
        </w:rPr>
        <w:t xml:space="preserve"> </w:t>
      </w:r>
      <w:r>
        <w:rPr>
          <w:color w:val="231F20"/>
          <w:sz w:val="12"/>
        </w:rPr>
        <w:t>poškození</w:t>
      </w:r>
      <w:r>
        <w:rPr>
          <w:color w:val="231F20"/>
          <w:spacing w:val="-10"/>
          <w:sz w:val="12"/>
        </w:rPr>
        <w:t xml:space="preserve"> </w:t>
      </w:r>
      <w:r>
        <w:rPr>
          <w:color w:val="231F20"/>
          <w:sz w:val="12"/>
        </w:rPr>
        <w:t>srdce</w:t>
      </w:r>
      <w:r>
        <w:rPr>
          <w:color w:val="231F20"/>
          <w:spacing w:val="-11"/>
          <w:sz w:val="12"/>
        </w:rPr>
        <w:t xml:space="preserve"> </w:t>
      </w:r>
      <w:r>
        <w:rPr>
          <w:color w:val="231F20"/>
          <w:sz w:val="12"/>
        </w:rPr>
        <w:t>klinicky</w:t>
      </w:r>
      <w:r>
        <w:rPr>
          <w:color w:val="231F20"/>
          <w:spacing w:val="-10"/>
          <w:sz w:val="12"/>
        </w:rPr>
        <w:t xml:space="preserve"> </w:t>
      </w:r>
      <w:r>
        <w:rPr>
          <w:color w:val="231F20"/>
          <w:spacing w:val="-3"/>
          <w:sz w:val="12"/>
        </w:rPr>
        <w:t>prokázané</w:t>
      </w:r>
    </w:p>
    <w:p w14:paraId="7DD55E81" w14:textId="77777777" w:rsidR="00F65BCA" w:rsidRDefault="00216117">
      <w:pPr>
        <w:pStyle w:val="Odstavecseseznamem"/>
        <w:numPr>
          <w:ilvl w:val="0"/>
          <w:numId w:val="72"/>
        </w:numPr>
        <w:tabs>
          <w:tab w:val="left" w:pos="456"/>
        </w:tabs>
        <w:spacing w:before="32"/>
        <w:ind w:hanging="273"/>
        <w:rPr>
          <w:sz w:val="12"/>
        </w:rPr>
      </w:pPr>
      <w:r>
        <w:rPr>
          <w:color w:val="231F20"/>
          <w:sz w:val="12"/>
        </w:rPr>
        <w:t>Natržení, roztržení</w:t>
      </w:r>
      <w:r>
        <w:rPr>
          <w:color w:val="231F20"/>
          <w:spacing w:val="-4"/>
          <w:sz w:val="12"/>
        </w:rPr>
        <w:t xml:space="preserve"> </w:t>
      </w:r>
      <w:r>
        <w:rPr>
          <w:color w:val="231F20"/>
          <w:sz w:val="12"/>
        </w:rPr>
        <w:t>bránice</w:t>
      </w:r>
    </w:p>
    <w:p w14:paraId="7D97828E" w14:textId="77777777" w:rsidR="00F65BCA" w:rsidRDefault="00216117">
      <w:pPr>
        <w:spacing w:before="35"/>
        <w:ind w:left="455"/>
        <w:rPr>
          <w:b/>
          <w:sz w:val="12"/>
        </w:rPr>
      </w:pPr>
      <w:r>
        <w:rPr>
          <w:b/>
          <w:color w:val="231F20"/>
          <w:sz w:val="12"/>
        </w:rPr>
        <w:t>Zlomenina kosti hrudní</w:t>
      </w:r>
    </w:p>
    <w:p w14:paraId="38787FFE" w14:textId="77777777" w:rsidR="00F65BCA" w:rsidRDefault="00216117">
      <w:pPr>
        <w:pStyle w:val="Odstavecseseznamem"/>
        <w:numPr>
          <w:ilvl w:val="0"/>
          <w:numId w:val="72"/>
        </w:numPr>
        <w:tabs>
          <w:tab w:val="left" w:pos="456"/>
        </w:tabs>
        <w:spacing w:before="37"/>
        <w:ind w:hanging="273"/>
        <w:rPr>
          <w:sz w:val="12"/>
        </w:rPr>
      </w:pPr>
      <w:r>
        <w:rPr>
          <w:color w:val="231F20"/>
          <w:sz w:val="12"/>
        </w:rPr>
        <w:t>neúplná nebo úplná bez posunu</w:t>
      </w:r>
      <w:r>
        <w:rPr>
          <w:color w:val="231F20"/>
          <w:spacing w:val="-14"/>
          <w:sz w:val="12"/>
        </w:rPr>
        <w:t xml:space="preserve"> </w:t>
      </w:r>
      <w:r>
        <w:rPr>
          <w:color w:val="231F20"/>
          <w:sz w:val="12"/>
        </w:rPr>
        <w:t>úlomků</w:t>
      </w:r>
    </w:p>
    <w:p w14:paraId="01D2F73D" w14:textId="77777777" w:rsidR="00F65BCA" w:rsidRDefault="00216117">
      <w:pPr>
        <w:pStyle w:val="Odstavecseseznamem"/>
        <w:numPr>
          <w:ilvl w:val="0"/>
          <w:numId w:val="72"/>
        </w:numPr>
        <w:tabs>
          <w:tab w:val="left" w:pos="456"/>
        </w:tabs>
        <w:spacing w:before="38"/>
        <w:ind w:hanging="273"/>
        <w:rPr>
          <w:sz w:val="12"/>
        </w:rPr>
      </w:pPr>
      <w:r>
        <w:rPr>
          <w:color w:val="231F20"/>
          <w:sz w:val="12"/>
        </w:rPr>
        <w:t>s posunem úlomků nebo</w:t>
      </w:r>
      <w:r>
        <w:rPr>
          <w:color w:val="231F20"/>
          <w:spacing w:val="-7"/>
          <w:sz w:val="12"/>
        </w:rPr>
        <w:t xml:space="preserve"> </w:t>
      </w:r>
      <w:r>
        <w:rPr>
          <w:color w:val="231F20"/>
          <w:sz w:val="12"/>
        </w:rPr>
        <w:t>dvířková</w:t>
      </w:r>
    </w:p>
    <w:p w14:paraId="156388F9" w14:textId="77777777" w:rsidR="00F65BCA" w:rsidRDefault="00216117">
      <w:pPr>
        <w:spacing w:before="38"/>
        <w:ind w:left="455"/>
        <w:rPr>
          <w:b/>
          <w:sz w:val="12"/>
        </w:rPr>
      </w:pPr>
      <w:r>
        <w:rPr>
          <w:b/>
          <w:color w:val="231F20"/>
          <w:sz w:val="12"/>
        </w:rPr>
        <w:t>Zlomenina žeber</w:t>
      </w:r>
    </w:p>
    <w:p w14:paraId="268A7993" w14:textId="77777777" w:rsidR="00F65BCA" w:rsidRDefault="00216117">
      <w:pPr>
        <w:pStyle w:val="Odstavecseseznamem"/>
        <w:numPr>
          <w:ilvl w:val="0"/>
          <w:numId w:val="72"/>
        </w:numPr>
        <w:tabs>
          <w:tab w:val="left" w:pos="456"/>
        </w:tabs>
        <w:spacing w:before="60" w:line="196" w:lineRule="auto"/>
        <w:ind w:right="433"/>
        <w:rPr>
          <w:sz w:val="12"/>
        </w:rPr>
      </w:pPr>
      <w:r>
        <w:rPr>
          <w:color w:val="231F20"/>
          <w:position w:val="1"/>
          <w:sz w:val="12"/>
        </w:rPr>
        <w:t>neúplná</w:t>
      </w:r>
      <w:r>
        <w:rPr>
          <w:color w:val="231F20"/>
          <w:spacing w:val="-17"/>
          <w:position w:val="1"/>
          <w:sz w:val="12"/>
        </w:rPr>
        <w:t xml:space="preserve"> </w:t>
      </w:r>
      <w:r>
        <w:rPr>
          <w:color w:val="231F20"/>
          <w:position w:val="1"/>
          <w:sz w:val="12"/>
        </w:rPr>
        <w:t>nebo</w:t>
      </w:r>
      <w:r>
        <w:rPr>
          <w:color w:val="231F20"/>
          <w:spacing w:val="-17"/>
          <w:position w:val="1"/>
          <w:sz w:val="12"/>
        </w:rPr>
        <w:t xml:space="preserve"> </w:t>
      </w:r>
      <w:r>
        <w:rPr>
          <w:color w:val="231F20"/>
          <w:position w:val="1"/>
          <w:sz w:val="12"/>
        </w:rPr>
        <w:t>úplná</w:t>
      </w:r>
      <w:r>
        <w:rPr>
          <w:color w:val="231F20"/>
          <w:spacing w:val="-16"/>
          <w:position w:val="1"/>
          <w:sz w:val="12"/>
        </w:rPr>
        <w:t xml:space="preserve"> </w:t>
      </w:r>
      <w:r>
        <w:rPr>
          <w:color w:val="231F20"/>
          <w:position w:val="1"/>
          <w:sz w:val="12"/>
        </w:rPr>
        <w:t>jednoho</w:t>
      </w:r>
      <w:r>
        <w:rPr>
          <w:color w:val="231F20"/>
          <w:spacing w:val="-17"/>
          <w:position w:val="1"/>
          <w:sz w:val="12"/>
        </w:rPr>
        <w:t xml:space="preserve"> </w:t>
      </w:r>
      <w:r>
        <w:rPr>
          <w:color w:val="231F20"/>
          <w:position w:val="1"/>
          <w:sz w:val="12"/>
        </w:rPr>
        <w:t>žebra</w:t>
      </w:r>
      <w:r>
        <w:rPr>
          <w:color w:val="231F20"/>
          <w:spacing w:val="-16"/>
          <w:position w:val="1"/>
          <w:sz w:val="12"/>
        </w:rPr>
        <w:t xml:space="preserve"> </w:t>
      </w:r>
      <w:r>
        <w:rPr>
          <w:color w:val="231F20"/>
          <w:position w:val="1"/>
          <w:sz w:val="12"/>
        </w:rPr>
        <w:t>klinicky</w:t>
      </w:r>
      <w:r>
        <w:rPr>
          <w:color w:val="231F20"/>
          <w:sz w:val="12"/>
        </w:rPr>
        <w:t xml:space="preserve"> prokázaná</w:t>
      </w:r>
    </w:p>
    <w:p w14:paraId="2966C0F7" w14:textId="77777777" w:rsidR="00F65BCA" w:rsidRDefault="00216117">
      <w:pPr>
        <w:pStyle w:val="Odstavecseseznamem"/>
        <w:numPr>
          <w:ilvl w:val="0"/>
          <w:numId w:val="72"/>
        </w:numPr>
        <w:tabs>
          <w:tab w:val="left" w:pos="456"/>
        </w:tabs>
        <w:spacing w:before="69" w:line="196" w:lineRule="auto"/>
        <w:ind w:right="220"/>
        <w:rPr>
          <w:sz w:val="12"/>
        </w:rPr>
      </w:pPr>
      <w:r>
        <w:rPr>
          <w:color w:val="231F20"/>
          <w:position w:val="1"/>
          <w:sz w:val="12"/>
        </w:rPr>
        <w:t>neúplná</w:t>
      </w:r>
      <w:r>
        <w:rPr>
          <w:color w:val="231F20"/>
          <w:spacing w:val="-14"/>
          <w:position w:val="1"/>
          <w:sz w:val="12"/>
        </w:rPr>
        <w:t xml:space="preserve"> </w:t>
      </w:r>
      <w:r>
        <w:rPr>
          <w:color w:val="231F20"/>
          <w:position w:val="1"/>
          <w:sz w:val="12"/>
        </w:rPr>
        <w:t>nebo</w:t>
      </w:r>
      <w:r>
        <w:rPr>
          <w:color w:val="231F20"/>
          <w:spacing w:val="-13"/>
          <w:position w:val="1"/>
          <w:sz w:val="12"/>
        </w:rPr>
        <w:t xml:space="preserve"> </w:t>
      </w:r>
      <w:r>
        <w:rPr>
          <w:color w:val="231F20"/>
          <w:position w:val="1"/>
          <w:sz w:val="12"/>
        </w:rPr>
        <w:t>úplná</w:t>
      </w:r>
      <w:r>
        <w:rPr>
          <w:color w:val="231F20"/>
          <w:spacing w:val="-13"/>
          <w:position w:val="1"/>
          <w:sz w:val="12"/>
        </w:rPr>
        <w:t xml:space="preserve"> </w:t>
      </w:r>
      <w:r>
        <w:rPr>
          <w:color w:val="231F20"/>
          <w:position w:val="1"/>
          <w:sz w:val="12"/>
        </w:rPr>
        <w:t>dvou</w:t>
      </w:r>
      <w:r>
        <w:rPr>
          <w:color w:val="231F20"/>
          <w:spacing w:val="-13"/>
          <w:position w:val="1"/>
          <w:sz w:val="12"/>
        </w:rPr>
        <w:t xml:space="preserve"> </w:t>
      </w:r>
      <w:r>
        <w:rPr>
          <w:color w:val="231F20"/>
          <w:position w:val="1"/>
          <w:sz w:val="12"/>
        </w:rPr>
        <w:t>až</w:t>
      </w:r>
      <w:r>
        <w:rPr>
          <w:color w:val="231F20"/>
          <w:spacing w:val="-13"/>
          <w:position w:val="1"/>
          <w:sz w:val="12"/>
        </w:rPr>
        <w:t xml:space="preserve"> </w:t>
      </w:r>
      <w:r>
        <w:rPr>
          <w:color w:val="231F20"/>
          <w:position w:val="1"/>
          <w:sz w:val="12"/>
        </w:rPr>
        <w:t>pěti</w:t>
      </w:r>
      <w:r>
        <w:rPr>
          <w:color w:val="231F20"/>
          <w:spacing w:val="-13"/>
          <w:position w:val="1"/>
          <w:sz w:val="12"/>
        </w:rPr>
        <w:t xml:space="preserve"> </w:t>
      </w:r>
      <w:r>
        <w:rPr>
          <w:color w:val="231F20"/>
          <w:position w:val="1"/>
          <w:sz w:val="12"/>
        </w:rPr>
        <w:t>žeber</w:t>
      </w:r>
      <w:r>
        <w:rPr>
          <w:color w:val="231F20"/>
          <w:spacing w:val="-13"/>
          <w:position w:val="1"/>
          <w:sz w:val="12"/>
        </w:rPr>
        <w:t xml:space="preserve"> </w:t>
      </w:r>
      <w:r>
        <w:rPr>
          <w:color w:val="231F20"/>
          <w:position w:val="1"/>
          <w:sz w:val="12"/>
        </w:rPr>
        <w:t>klinicky</w:t>
      </w:r>
      <w:r>
        <w:rPr>
          <w:color w:val="231F20"/>
          <w:sz w:val="12"/>
        </w:rPr>
        <w:t xml:space="preserve"> prokázaná</w:t>
      </w:r>
    </w:p>
    <w:p w14:paraId="66057EEC" w14:textId="77777777" w:rsidR="00F65BCA" w:rsidRDefault="00216117">
      <w:pPr>
        <w:pStyle w:val="Odstavecseseznamem"/>
        <w:numPr>
          <w:ilvl w:val="0"/>
          <w:numId w:val="72"/>
        </w:numPr>
        <w:tabs>
          <w:tab w:val="left" w:pos="456"/>
        </w:tabs>
        <w:spacing w:before="70" w:line="196" w:lineRule="auto"/>
        <w:ind w:right="209"/>
        <w:rPr>
          <w:sz w:val="12"/>
        </w:rPr>
      </w:pPr>
      <w:r>
        <w:rPr>
          <w:color w:val="231F20"/>
          <w:position w:val="1"/>
          <w:sz w:val="12"/>
        </w:rPr>
        <w:t>neúplná</w:t>
      </w:r>
      <w:r>
        <w:rPr>
          <w:color w:val="231F20"/>
          <w:spacing w:val="-13"/>
          <w:position w:val="1"/>
          <w:sz w:val="12"/>
        </w:rPr>
        <w:t xml:space="preserve"> </w:t>
      </w:r>
      <w:r>
        <w:rPr>
          <w:color w:val="231F20"/>
          <w:position w:val="1"/>
          <w:sz w:val="12"/>
        </w:rPr>
        <w:t>nebo</w:t>
      </w:r>
      <w:r>
        <w:rPr>
          <w:color w:val="231F20"/>
          <w:spacing w:val="-12"/>
          <w:position w:val="1"/>
          <w:sz w:val="12"/>
        </w:rPr>
        <w:t xml:space="preserve"> </w:t>
      </w:r>
      <w:r>
        <w:rPr>
          <w:color w:val="231F20"/>
          <w:position w:val="1"/>
          <w:sz w:val="12"/>
        </w:rPr>
        <w:t>úplná</w:t>
      </w:r>
      <w:r>
        <w:rPr>
          <w:color w:val="231F20"/>
          <w:spacing w:val="-12"/>
          <w:position w:val="1"/>
          <w:sz w:val="12"/>
        </w:rPr>
        <w:t xml:space="preserve"> </w:t>
      </w:r>
      <w:r>
        <w:rPr>
          <w:color w:val="231F20"/>
          <w:position w:val="1"/>
          <w:sz w:val="12"/>
        </w:rPr>
        <w:t>více</w:t>
      </w:r>
      <w:r>
        <w:rPr>
          <w:color w:val="231F20"/>
          <w:spacing w:val="-12"/>
          <w:position w:val="1"/>
          <w:sz w:val="12"/>
        </w:rPr>
        <w:t xml:space="preserve"> </w:t>
      </w:r>
      <w:r>
        <w:rPr>
          <w:color w:val="231F20"/>
          <w:position w:val="1"/>
          <w:sz w:val="12"/>
        </w:rPr>
        <w:t>než</w:t>
      </w:r>
      <w:r>
        <w:rPr>
          <w:color w:val="231F20"/>
          <w:spacing w:val="-12"/>
          <w:position w:val="1"/>
          <w:sz w:val="12"/>
        </w:rPr>
        <w:t xml:space="preserve"> </w:t>
      </w:r>
      <w:r>
        <w:rPr>
          <w:color w:val="231F20"/>
          <w:position w:val="1"/>
          <w:sz w:val="12"/>
        </w:rPr>
        <w:t>pěti</w:t>
      </w:r>
      <w:r>
        <w:rPr>
          <w:color w:val="231F20"/>
          <w:spacing w:val="-12"/>
          <w:position w:val="1"/>
          <w:sz w:val="12"/>
        </w:rPr>
        <w:t xml:space="preserve"> </w:t>
      </w:r>
      <w:r>
        <w:rPr>
          <w:color w:val="231F20"/>
          <w:position w:val="1"/>
          <w:sz w:val="12"/>
        </w:rPr>
        <w:t>žeber</w:t>
      </w:r>
      <w:r>
        <w:rPr>
          <w:color w:val="231F20"/>
          <w:spacing w:val="-12"/>
          <w:position w:val="1"/>
          <w:sz w:val="12"/>
        </w:rPr>
        <w:t xml:space="preserve"> </w:t>
      </w:r>
      <w:r>
        <w:rPr>
          <w:color w:val="231F20"/>
          <w:spacing w:val="-3"/>
          <w:position w:val="1"/>
          <w:sz w:val="12"/>
        </w:rPr>
        <w:t>klinicky</w:t>
      </w:r>
      <w:r>
        <w:rPr>
          <w:color w:val="231F20"/>
          <w:spacing w:val="-3"/>
          <w:sz w:val="12"/>
        </w:rPr>
        <w:t xml:space="preserve"> </w:t>
      </w:r>
      <w:r>
        <w:rPr>
          <w:color w:val="231F20"/>
          <w:sz w:val="12"/>
        </w:rPr>
        <w:t>prokázaná</w:t>
      </w:r>
    </w:p>
    <w:p w14:paraId="7BE3109A" w14:textId="77777777" w:rsidR="00F65BCA" w:rsidRDefault="00216117">
      <w:pPr>
        <w:pStyle w:val="Odstavecseseznamem"/>
        <w:numPr>
          <w:ilvl w:val="0"/>
          <w:numId w:val="72"/>
        </w:numPr>
        <w:tabs>
          <w:tab w:val="left" w:pos="456"/>
        </w:tabs>
        <w:spacing w:before="70" w:line="196" w:lineRule="auto"/>
        <w:ind w:right="38"/>
        <w:rPr>
          <w:sz w:val="12"/>
        </w:rPr>
      </w:pPr>
      <w:r>
        <w:rPr>
          <w:color w:val="231F20"/>
          <w:position w:val="1"/>
          <w:sz w:val="12"/>
        </w:rPr>
        <w:t>s</w:t>
      </w:r>
      <w:r>
        <w:rPr>
          <w:color w:val="231F20"/>
          <w:spacing w:val="-12"/>
          <w:position w:val="1"/>
          <w:sz w:val="12"/>
        </w:rPr>
        <w:t xml:space="preserve"> </w:t>
      </w:r>
      <w:r>
        <w:rPr>
          <w:color w:val="231F20"/>
          <w:position w:val="1"/>
          <w:sz w:val="12"/>
        </w:rPr>
        <w:t>posunem</w:t>
      </w:r>
      <w:r>
        <w:rPr>
          <w:color w:val="231F20"/>
          <w:spacing w:val="-12"/>
          <w:position w:val="1"/>
          <w:sz w:val="12"/>
        </w:rPr>
        <w:t xml:space="preserve"> </w:t>
      </w:r>
      <w:r>
        <w:rPr>
          <w:color w:val="231F20"/>
          <w:position w:val="1"/>
          <w:sz w:val="12"/>
        </w:rPr>
        <w:t>úlomků</w:t>
      </w:r>
      <w:r>
        <w:rPr>
          <w:color w:val="231F20"/>
          <w:spacing w:val="-12"/>
          <w:position w:val="1"/>
          <w:sz w:val="12"/>
        </w:rPr>
        <w:t xml:space="preserve"> </w:t>
      </w:r>
      <w:r>
        <w:rPr>
          <w:color w:val="231F20"/>
          <w:position w:val="1"/>
          <w:sz w:val="12"/>
        </w:rPr>
        <w:t>nebo</w:t>
      </w:r>
      <w:r>
        <w:rPr>
          <w:color w:val="231F20"/>
          <w:spacing w:val="-12"/>
          <w:position w:val="1"/>
          <w:sz w:val="12"/>
        </w:rPr>
        <w:t xml:space="preserve"> </w:t>
      </w:r>
      <w:r>
        <w:rPr>
          <w:color w:val="231F20"/>
          <w:position w:val="1"/>
          <w:sz w:val="12"/>
        </w:rPr>
        <w:t>dvířková</w:t>
      </w:r>
      <w:r>
        <w:rPr>
          <w:color w:val="231F20"/>
          <w:spacing w:val="-11"/>
          <w:position w:val="1"/>
          <w:sz w:val="12"/>
        </w:rPr>
        <w:t xml:space="preserve"> </w:t>
      </w:r>
      <w:r>
        <w:rPr>
          <w:color w:val="231F20"/>
          <w:position w:val="1"/>
          <w:sz w:val="12"/>
        </w:rPr>
        <w:t>zlomenina</w:t>
      </w:r>
      <w:r>
        <w:rPr>
          <w:color w:val="231F20"/>
          <w:spacing w:val="-12"/>
          <w:position w:val="1"/>
          <w:sz w:val="12"/>
        </w:rPr>
        <w:t xml:space="preserve"> </w:t>
      </w:r>
      <w:r>
        <w:rPr>
          <w:color w:val="231F20"/>
          <w:spacing w:val="-5"/>
          <w:position w:val="1"/>
          <w:sz w:val="12"/>
        </w:rPr>
        <w:t>dvou</w:t>
      </w:r>
      <w:r>
        <w:rPr>
          <w:color w:val="231F20"/>
          <w:spacing w:val="-5"/>
          <w:sz w:val="12"/>
        </w:rPr>
        <w:t xml:space="preserve"> </w:t>
      </w:r>
      <w:r>
        <w:rPr>
          <w:color w:val="231F20"/>
          <w:sz w:val="12"/>
        </w:rPr>
        <w:t>až čtyř</w:t>
      </w:r>
      <w:r>
        <w:rPr>
          <w:color w:val="231F20"/>
          <w:spacing w:val="-1"/>
          <w:sz w:val="12"/>
        </w:rPr>
        <w:t xml:space="preserve"> </w:t>
      </w:r>
      <w:r>
        <w:rPr>
          <w:color w:val="231F20"/>
          <w:sz w:val="12"/>
        </w:rPr>
        <w:t>žeber</w:t>
      </w:r>
    </w:p>
    <w:p w14:paraId="5100E13A" w14:textId="77777777" w:rsidR="00F65BCA" w:rsidRDefault="00216117">
      <w:pPr>
        <w:pStyle w:val="Odstavecseseznamem"/>
        <w:numPr>
          <w:ilvl w:val="0"/>
          <w:numId w:val="72"/>
        </w:numPr>
        <w:tabs>
          <w:tab w:val="left" w:pos="456"/>
        </w:tabs>
        <w:spacing w:before="70" w:line="196" w:lineRule="auto"/>
        <w:ind w:right="91"/>
        <w:rPr>
          <w:sz w:val="12"/>
        </w:rPr>
      </w:pPr>
      <w:r>
        <w:rPr>
          <w:color w:val="231F20"/>
          <w:position w:val="1"/>
          <w:sz w:val="12"/>
        </w:rPr>
        <w:t>s</w:t>
      </w:r>
      <w:r>
        <w:rPr>
          <w:color w:val="231F20"/>
          <w:spacing w:val="-15"/>
          <w:position w:val="1"/>
          <w:sz w:val="12"/>
        </w:rPr>
        <w:t xml:space="preserve"> </w:t>
      </w:r>
      <w:r>
        <w:rPr>
          <w:color w:val="231F20"/>
          <w:position w:val="1"/>
          <w:sz w:val="12"/>
        </w:rPr>
        <w:t>posunem</w:t>
      </w:r>
      <w:r>
        <w:rPr>
          <w:color w:val="231F20"/>
          <w:spacing w:val="-14"/>
          <w:position w:val="1"/>
          <w:sz w:val="12"/>
        </w:rPr>
        <w:t xml:space="preserve"> </w:t>
      </w:r>
      <w:r>
        <w:rPr>
          <w:color w:val="231F20"/>
          <w:position w:val="1"/>
          <w:sz w:val="12"/>
        </w:rPr>
        <w:t>úlomků</w:t>
      </w:r>
      <w:r>
        <w:rPr>
          <w:color w:val="231F20"/>
          <w:spacing w:val="-14"/>
          <w:position w:val="1"/>
          <w:sz w:val="12"/>
        </w:rPr>
        <w:t xml:space="preserve"> </w:t>
      </w:r>
      <w:r>
        <w:rPr>
          <w:color w:val="231F20"/>
          <w:position w:val="1"/>
          <w:sz w:val="12"/>
        </w:rPr>
        <w:t>nebo</w:t>
      </w:r>
      <w:r>
        <w:rPr>
          <w:color w:val="231F20"/>
          <w:spacing w:val="-15"/>
          <w:position w:val="1"/>
          <w:sz w:val="12"/>
        </w:rPr>
        <w:t xml:space="preserve"> </w:t>
      </w:r>
      <w:r>
        <w:rPr>
          <w:color w:val="231F20"/>
          <w:position w:val="1"/>
          <w:sz w:val="12"/>
        </w:rPr>
        <w:t>dvířková</w:t>
      </w:r>
      <w:r>
        <w:rPr>
          <w:color w:val="231F20"/>
          <w:spacing w:val="-14"/>
          <w:position w:val="1"/>
          <w:sz w:val="12"/>
        </w:rPr>
        <w:t xml:space="preserve"> </w:t>
      </w:r>
      <w:r>
        <w:rPr>
          <w:color w:val="231F20"/>
          <w:position w:val="1"/>
          <w:sz w:val="12"/>
        </w:rPr>
        <w:t>zlomenina</w:t>
      </w:r>
      <w:r>
        <w:rPr>
          <w:color w:val="231F20"/>
          <w:spacing w:val="-14"/>
          <w:position w:val="1"/>
          <w:sz w:val="12"/>
        </w:rPr>
        <w:t xml:space="preserve"> </w:t>
      </w:r>
      <w:r>
        <w:rPr>
          <w:color w:val="231F20"/>
          <w:spacing w:val="-4"/>
          <w:position w:val="1"/>
          <w:sz w:val="12"/>
        </w:rPr>
        <w:t>více</w:t>
      </w:r>
      <w:r>
        <w:rPr>
          <w:color w:val="231F20"/>
          <w:spacing w:val="-4"/>
          <w:sz w:val="12"/>
        </w:rPr>
        <w:t xml:space="preserve"> </w:t>
      </w:r>
      <w:r>
        <w:rPr>
          <w:color w:val="231F20"/>
          <w:sz w:val="12"/>
        </w:rPr>
        <w:t>než čtyř</w:t>
      </w:r>
      <w:r>
        <w:rPr>
          <w:color w:val="231F20"/>
          <w:spacing w:val="-1"/>
          <w:sz w:val="12"/>
        </w:rPr>
        <w:t xml:space="preserve"> </w:t>
      </w:r>
      <w:r>
        <w:rPr>
          <w:color w:val="231F20"/>
          <w:sz w:val="12"/>
        </w:rPr>
        <w:t>žeber</w:t>
      </w:r>
    </w:p>
    <w:p w14:paraId="29CD3C86" w14:textId="77777777" w:rsidR="00F65BCA" w:rsidRDefault="00F65BCA">
      <w:pPr>
        <w:pStyle w:val="Zkladntext"/>
        <w:spacing w:before="2"/>
      </w:pPr>
    </w:p>
    <w:p w14:paraId="41979AF9" w14:textId="77777777" w:rsidR="00F65BCA" w:rsidRDefault="00216117">
      <w:pPr>
        <w:spacing w:before="1"/>
        <w:ind w:left="1473" w:right="924"/>
        <w:jc w:val="center"/>
        <w:rPr>
          <w:b/>
          <w:sz w:val="14"/>
        </w:rPr>
      </w:pPr>
      <w:r>
        <w:rPr>
          <w:b/>
          <w:color w:val="231F20"/>
          <w:sz w:val="14"/>
        </w:rPr>
        <w:t>BŘICHO</w:t>
      </w:r>
    </w:p>
    <w:p w14:paraId="7021286F" w14:textId="77777777" w:rsidR="00F65BCA" w:rsidRDefault="00216117">
      <w:pPr>
        <w:spacing w:before="54" w:line="314" w:lineRule="auto"/>
        <w:ind w:left="183" w:right="888" w:firstLine="271"/>
        <w:rPr>
          <w:sz w:val="12"/>
        </w:rPr>
      </w:pPr>
      <w:r>
        <w:rPr>
          <w:b/>
          <w:color w:val="231F20"/>
          <w:sz w:val="12"/>
        </w:rPr>
        <w:t xml:space="preserve">Pohmožděniny břišní stěny 089 </w:t>
      </w:r>
      <w:r>
        <w:rPr>
          <w:color w:val="231F20"/>
          <w:sz w:val="12"/>
        </w:rPr>
        <w:t>těžšího stupně</w:t>
      </w:r>
    </w:p>
    <w:p w14:paraId="43190C55" w14:textId="77777777" w:rsidR="00F65BCA" w:rsidRDefault="00216117">
      <w:pPr>
        <w:pStyle w:val="Odstavecseseznamem"/>
        <w:numPr>
          <w:ilvl w:val="0"/>
          <w:numId w:val="71"/>
        </w:numPr>
        <w:tabs>
          <w:tab w:val="left" w:pos="456"/>
        </w:tabs>
        <w:spacing w:before="2"/>
        <w:ind w:hanging="273"/>
        <w:rPr>
          <w:sz w:val="12"/>
        </w:rPr>
      </w:pPr>
      <w:r>
        <w:rPr>
          <w:color w:val="231F20"/>
          <w:sz w:val="12"/>
        </w:rPr>
        <w:t>s operační revizí dutiny</w:t>
      </w:r>
      <w:r>
        <w:rPr>
          <w:color w:val="231F20"/>
          <w:spacing w:val="-9"/>
          <w:sz w:val="12"/>
        </w:rPr>
        <w:t xml:space="preserve"> </w:t>
      </w:r>
      <w:r>
        <w:rPr>
          <w:color w:val="231F20"/>
          <w:sz w:val="12"/>
        </w:rPr>
        <w:t>břišní</w:t>
      </w:r>
    </w:p>
    <w:p w14:paraId="32FAE2D6" w14:textId="77777777" w:rsidR="00F65BCA" w:rsidRDefault="00216117">
      <w:pPr>
        <w:pStyle w:val="Odstavecseseznamem"/>
        <w:numPr>
          <w:ilvl w:val="0"/>
          <w:numId w:val="71"/>
        </w:numPr>
        <w:tabs>
          <w:tab w:val="left" w:pos="456"/>
        </w:tabs>
        <w:spacing w:before="30" w:line="225" w:lineRule="auto"/>
        <w:ind w:right="427"/>
        <w:rPr>
          <w:sz w:val="12"/>
        </w:rPr>
      </w:pPr>
      <w:r>
        <w:rPr>
          <w:color w:val="231F20"/>
          <w:sz w:val="12"/>
        </w:rPr>
        <w:t>Pohmožděniny</w:t>
      </w:r>
      <w:r>
        <w:rPr>
          <w:color w:val="231F20"/>
          <w:spacing w:val="-21"/>
          <w:sz w:val="12"/>
        </w:rPr>
        <w:t xml:space="preserve"> </w:t>
      </w:r>
      <w:r>
        <w:rPr>
          <w:color w:val="231F20"/>
          <w:sz w:val="12"/>
        </w:rPr>
        <w:t>vnitřních</w:t>
      </w:r>
      <w:r>
        <w:rPr>
          <w:color w:val="231F20"/>
          <w:spacing w:val="-20"/>
          <w:sz w:val="12"/>
        </w:rPr>
        <w:t xml:space="preserve"> </w:t>
      </w:r>
      <w:r>
        <w:rPr>
          <w:color w:val="231F20"/>
          <w:sz w:val="12"/>
        </w:rPr>
        <w:t>orgánů</w:t>
      </w:r>
      <w:r>
        <w:rPr>
          <w:color w:val="231F20"/>
          <w:spacing w:val="-20"/>
          <w:sz w:val="12"/>
        </w:rPr>
        <w:t xml:space="preserve"> </w:t>
      </w:r>
      <w:r>
        <w:rPr>
          <w:color w:val="231F20"/>
          <w:spacing w:val="-3"/>
          <w:sz w:val="12"/>
        </w:rPr>
        <w:t xml:space="preserve">prokázané </w:t>
      </w:r>
      <w:r>
        <w:rPr>
          <w:color w:val="231F20"/>
          <w:sz w:val="12"/>
        </w:rPr>
        <w:t>odborným</w:t>
      </w:r>
      <w:r>
        <w:rPr>
          <w:color w:val="231F20"/>
          <w:spacing w:val="-2"/>
          <w:sz w:val="12"/>
        </w:rPr>
        <w:t xml:space="preserve"> </w:t>
      </w:r>
      <w:r>
        <w:rPr>
          <w:color w:val="231F20"/>
          <w:sz w:val="12"/>
        </w:rPr>
        <w:t>vyšetřením</w:t>
      </w:r>
    </w:p>
    <w:p w14:paraId="5DDCE9EE" w14:textId="77777777" w:rsidR="00F65BCA" w:rsidRDefault="00216117">
      <w:pPr>
        <w:pStyle w:val="Odstavecseseznamem"/>
        <w:numPr>
          <w:ilvl w:val="0"/>
          <w:numId w:val="71"/>
        </w:numPr>
        <w:tabs>
          <w:tab w:val="left" w:pos="456"/>
        </w:tabs>
        <w:spacing w:before="66"/>
        <w:ind w:hanging="273"/>
        <w:rPr>
          <w:sz w:val="12"/>
        </w:rPr>
      </w:pPr>
      <w:r>
        <w:rPr>
          <w:color w:val="231F20"/>
          <w:sz w:val="12"/>
        </w:rPr>
        <w:t>Natažení, natržení břišních</w:t>
      </w:r>
      <w:r>
        <w:rPr>
          <w:color w:val="231F20"/>
          <w:spacing w:val="-10"/>
          <w:sz w:val="12"/>
        </w:rPr>
        <w:t xml:space="preserve"> </w:t>
      </w:r>
      <w:r>
        <w:rPr>
          <w:color w:val="231F20"/>
          <w:sz w:val="12"/>
        </w:rPr>
        <w:t>svalů</w:t>
      </w:r>
    </w:p>
    <w:p w14:paraId="7F074685" w14:textId="77777777" w:rsidR="00F65BCA" w:rsidRDefault="00216117">
      <w:pPr>
        <w:pStyle w:val="Odstavecseseznamem"/>
        <w:numPr>
          <w:ilvl w:val="0"/>
          <w:numId w:val="71"/>
        </w:numPr>
        <w:tabs>
          <w:tab w:val="left" w:pos="456"/>
        </w:tabs>
        <w:spacing w:before="51" w:line="220" w:lineRule="auto"/>
        <w:ind w:right="844"/>
        <w:rPr>
          <w:sz w:val="12"/>
        </w:rPr>
      </w:pPr>
      <w:r>
        <w:rPr>
          <w:color w:val="231F20"/>
          <w:position w:val="1"/>
          <w:sz w:val="12"/>
        </w:rPr>
        <w:t>Rána pronikající do dutiny břišní</w:t>
      </w:r>
      <w:r>
        <w:rPr>
          <w:color w:val="231F20"/>
          <w:sz w:val="12"/>
        </w:rPr>
        <w:t xml:space="preserve"> </w:t>
      </w:r>
      <w:r>
        <w:rPr>
          <w:color w:val="231F20"/>
          <w:w w:val="95"/>
          <w:sz w:val="12"/>
        </w:rPr>
        <w:t>(bez poranění nitrobřišních</w:t>
      </w:r>
      <w:r>
        <w:rPr>
          <w:color w:val="231F20"/>
          <w:spacing w:val="4"/>
          <w:w w:val="95"/>
          <w:sz w:val="12"/>
        </w:rPr>
        <w:t xml:space="preserve"> </w:t>
      </w:r>
      <w:r>
        <w:rPr>
          <w:color w:val="231F20"/>
          <w:spacing w:val="-3"/>
          <w:w w:val="95"/>
          <w:sz w:val="12"/>
        </w:rPr>
        <w:t>orgánů)</w:t>
      </w:r>
    </w:p>
    <w:p w14:paraId="55294E35" w14:textId="77777777" w:rsidR="00F65BCA" w:rsidRDefault="00216117">
      <w:pPr>
        <w:spacing w:before="73"/>
        <w:ind w:left="163" w:right="20"/>
        <w:jc w:val="center"/>
        <w:rPr>
          <w:sz w:val="12"/>
        </w:rPr>
      </w:pPr>
      <w:r>
        <w:br w:type="column"/>
      </w:r>
      <w:r>
        <w:rPr>
          <w:color w:val="231F20"/>
          <w:sz w:val="12"/>
        </w:rPr>
        <w:t>do</w:t>
      </w:r>
      <w:r>
        <w:rPr>
          <w:color w:val="231F20"/>
          <w:spacing w:val="2"/>
          <w:sz w:val="12"/>
        </w:rPr>
        <w:t xml:space="preserve"> </w:t>
      </w:r>
      <w:r>
        <w:rPr>
          <w:color w:val="231F20"/>
          <w:sz w:val="12"/>
        </w:rPr>
        <w:t>70</w:t>
      </w:r>
    </w:p>
    <w:p w14:paraId="2CAA24B1" w14:textId="77777777" w:rsidR="00F65BCA" w:rsidRDefault="00216117">
      <w:pPr>
        <w:spacing w:before="95"/>
        <w:ind w:left="163" w:right="20"/>
        <w:jc w:val="center"/>
        <w:rPr>
          <w:sz w:val="12"/>
        </w:rPr>
      </w:pPr>
      <w:r>
        <w:rPr>
          <w:color w:val="231F20"/>
          <w:sz w:val="12"/>
        </w:rPr>
        <w:t>do</w:t>
      </w:r>
      <w:r>
        <w:rPr>
          <w:color w:val="231F20"/>
          <w:spacing w:val="2"/>
          <w:sz w:val="12"/>
        </w:rPr>
        <w:t xml:space="preserve"> </w:t>
      </w:r>
      <w:r>
        <w:rPr>
          <w:color w:val="231F20"/>
          <w:sz w:val="12"/>
        </w:rPr>
        <w:t>84</w:t>
      </w:r>
    </w:p>
    <w:p w14:paraId="164E6130" w14:textId="77777777" w:rsidR="00F65BCA" w:rsidRDefault="00216117">
      <w:pPr>
        <w:spacing w:before="94"/>
        <w:ind w:left="163" w:right="20"/>
        <w:jc w:val="center"/>
        <w:rPr>
          <w:sz w:val="12"/>
        </w:rPr>
      </w:pPr>
      <w:r>
        <w:rPr>
          <w:color w:val="231F20"/>
          <w:sz w:val="12"/>
        </w:rPr>
        <w:t>do</w:t>
      </w:r>
      <w:r>
        <w:rPr>
          <w:color w:val="231F20"/>
          <w:spacing w:val="2"/>
          <w:sz w:val="12"/>
        </w:rPr>
        <w:t xml:space="preserve"> </w:t>
      </w:r>
      <w:r>
        <w:rPr>
          <w:color w:val="231F20"/>
          <w:sz w:val="12"/>
        </w:rPr>
        <w:t>105</w:t>
      </w:r>
    </w:p>
    <w:p w14:paraId="57F31B78" w14:textId="77777777" w:rsidR="00F65BCA" w:rsidRDefault="00F65BCA">
      <w:pPr>
        <w:pStyle w:val="Zkladntext"/>
        <w:spacing w:before="7"/>
        <w:rPr>
          <w:sz w:val="14"/>
        </w:rPr>
      </w:pPr>
    </w:p>
    <w:p w14:paraId="2471AACE" w14:textId="77777777" w:rsidR="00F65BCA" w:rsidRDefault="00216117">
      <w:pPr>
        <w:ind w:left="163" w:right="20"/>
        <w:jc w:val="center"/>
        <w:rPr>
          <w:sz w:val="12"/>
        </w:rPr>
      </w:pPr>
      <w:r>
        <w:rPr>
          <w:color w:val="231F20"/>
          <w:sz w:val="12"/>
        </w:rPr>
        <w:t>do</w:t>
      </w:r>
      <w:r>
        <w:rPr>
          <w:color w:val="231F20"/>
          <w:spacing w:val="2"/>
          <w:sz w:val="12"/>
        </w:rPr>
        <w:t xml:space="preserve"> </w:t>
      </w:r>
      <w:r>
        <w:rPr>
          <w:color w:val="231F20"/>
          <w:sz w:val="12"/>
        </w:rPr>
        <w:t>84</w:t>
      </w:r>
    </w:p>
    <w:p w14:paraId="37B25D01" w14:textId="77777777" w:rsidR="00F65BCA" w:rsidRDefault="00F65BCA">
      <w:pPr>
        <w:pStyle w:val="Zkladntext"/>
        <w:rPr>
          <w:sz w:val="14"/>
        </w:rPr>
      </w:pPr>
    </w:p>
    <w:p w14:paraId="50A6C3BB" w14:textId="77777777" w:rsidR="00F65BCA" w:rsidRDefault="00F65BCA">
      <w:pPr>
        <w:pStyle w:val="Zkladntext"/>
        <w:rPr>
          <w:sz w:val="14"/>
        </w:rPr>
      </w:pPr>
    </w:p>
    <w:p w14:paraId="28AFCB01" w14:textId="77777777" w:rsidR="00F65BCA" w:rsidRDefault="00F65BCA">
      <w:pPr>
        <w:pStyle w:val="Zkladntext"/>
        <w:rPr>
          <w:sz w:val="14"/>
        </w:rPr>
      </w:pPr>
    </w:p>
    <w:p w14:paraId="7B0BB8AE" w14:textId="77777777" w:rsidR="00F65BCA" w:rsidRDefault="00F65BCA">
      <w:pPr>
        <w:pStyle w:val="Zkladntext"/>
        <w:rPr>
          <w:sz w:val="14"/>
        </w:rPr>
      </w:pPr>
    </w:p>
    <w:p w14:paraId="0BB8EAD1" w14:textId="77777777" w:rsidR="00F65BCA" w:rsidRDefault="00216117">
      <w:pPr>
        <w:spacing w:before="109"/>
        <w:ind w:left="143"/>
        <w:jc w:val="center"/>
        <w:rPr>
          <w:sz w:val="12"/>
        </w:rPr>
      </w:pPr>
      <w:r>
        <w:rPr>
          <w:color w:val="231F20"/>
          <w:w w:val="99"/>
          <w:sz w:val="12"/>
        </w:rPr>
        <w:t>0</w:t>
      </w:r>
    </w:p>
    <w:p w14:paraId="5015144A" w14:textId="77777777" w:rsidR="00F65BCA" w:rsidRDefault="00216117">
      <w:pPr>
        <w:spacing w:before="32"/>
        <w:ind w:left="163" w:right="20"/>
        <w:jc w:val="center"/>
        <w:rPr>
          <w:sz w:val="12"/>
        </w:rPr>
      </w:pPr>
      <w:r>
        <w:rPr>
          <w:color w:val="231F20"/>
          <w:sz w:val="12"/>
        </w:rPr>
        <w:t>do</w:t>
      </w:r>
      <w:r>
        <w:rPr>
          <w:color w:val="231F20"/>
          <w:spacing w:val="2"/>
          <w:sz w:val="12"/>
        </w:rPr>
        <w:t xml:space="preserve"> </w:t>
      </w:r>
      <w:r>
        <w:rPr>
          <w:color w:val="231F20"/>
          <w:sz w:val="12"/>
        </w:rPr>
        <w:t>28</w:t>
      </w:r>
    </w:p>
    <w:p w14:paraId="53B835D8" w14:textId="77777777" w:rsidR="00F65BCA" w:rsidRDefault="00216117">
      <w:pPr>
        <w:spacing w:before="103"/>
        <w:ind w:left="163" w:right="20"/>
        <w:jc w:val="center"/>
        <w:rPr>
          <w:sz w:val="12"/>
        </w:rPr>
      </w:pPr>
      <w:r>
        <w:rPr>
          <w:color w:val="231F20"/>
          <w:sz w:val="12"/>
        </w:rPr>
        <w:t>do</w:t>
      </w:r>
      <w:r>
        <w:rPr>
          <w:color w:val="231F20"/>
          <w:spacing w:val="2"/>
          <w:sz w:val="12"/>
        </w:rPr>
        <w:t xml:space="preserve"> </w:t>
      </w:r>
      <w:r>
        <w:rPr>
          <w:color w:val="231F20"/>
          <w:sz w:val="12"/>
        </w:rPr>
        <w:t>42</w:t>
      </w:r>
    </w:p>
    <w:p w14:paraId="5CF68CF0" w14:textId="77777777" w:rsidR="00F65BCA" w:rsidRDefault="00F65BCA">
      <w:pPr>
        <w:pStyle w:val="Zkladntext"/>
        <w:spacing w:before="1"/>
      </w:pPr>
    </w:p>
    <w:p w14:paraId="7989BB7C" w14:textId="77777777" w:rsidR="00F65BCA" w:rsidRDefault="00216117">
      <w:pPr>
        <w:ind w:left="163" w:right="20"/>
        <w:jc w:val="center"/>
        <w:rPr>
          <w:sz w:val="12"/>
        </w:rPr>
      </w:pPr>
      <w:r>
        <w:rPr>
          <w:color w:val="231F20"/>
          <w:sz w:val="12"/>
        </w:rPr>
        <w:t>do</w:t>
      </w:r>
      <w:r>
        <w:rPr>
          <w:color w:val="231F20"/>
          <w:spacing w:val="2"/>
          <w:sz w:val="12"/>
        </w:rPr>
        <w:t xml:space="preserve"> </w:t>
      </w:r>
      <w:r>
        <w:rPr>
          <w:color w:val="231F20"/>
          <w:sz w:val="12"/>
        </w:rPr>
        <w:t>21</w:t>
      </w:r>
    </w:p>
    <w:p w14:paraId="33EA7E42" w14:textId="77777777" w:rsidR="00F65BCA" w:rsidRDefault="00F65BCA">
      <w:pPr>
        <w:pStyle w:val="Zkladntext"/>
        <w:rPr>
          <w:sz w:val="14"/>
        </w:rPr>
      </w:pPr>
    </w:p>
    <w:p w14:paraId="45FA6758" w14:textId="77777777" w:rsidR="00F65BCA" w:rsidRDefault="00216117">
      <w:pPr>
        <w:spacing w:before="81"/>
        <w:ind w:left="163" w:right="20"/>
        <w:jc w:val="center"/>
        <w:rPr>
          <w:sz w:val="12"/>
        </w:rPr>
      </w:pPr>
      <w:r>
        <w:rPr>
          <w:color w:val="231F20"/>
          <w:sz w:val="12"/>
        </w:rPr>
        <w:t>do</w:t>
      </w:r>
      <w:r>
        <w:rPr>
          <w:color w:val="231F20"/>
          <w:spacing w:val="2"/>
          <w:sz w:val="12"/>
        </w:rPr>
        <w:t xml:space="preserve"> </w:t>
      </w:r>
      <w:r>
        <w:rPr>
          <w:color w:val="231F20"/>
          <w:sz w:val="12"/>
        </w:rPr>
        <w:t>70</w:t>
      </w:r>
    </w:p>
    <w:p w14:paraId="325B6BBE" w14:textId="77777777" w:rsidR="00F65BCA" w:rsidRDefault="00F65BCA">
      <w:pPr>
        <w:pStyle w:val="Zkladntext"/>
        <w:rPr>
          <w:sz w:val="14"/>
        </w:rPr>
      </w:pPr>
    </w:p>
    <w:p w14:paraId="78412A84" w14:textId="77777777" w:rsidR="00F65BCA" w:rsidRDefault="00216117">
      <w:pPr>
        <w:spacing w:before="81"/>
        <w:ind w:left="163" w:right="20"/>
        <w:jc w:val="center"/>
        <w:rPr>
          <w:sz w:val="12"/>
        </w:rPr>
      </w:pPr>
      <w:r>
        <w:rPr>
          <w:color w:val="231F20"/>
          <w:sz w:val="12"/>
        </w:rPr>
        <w:t>do</w:t>
      </w:r>
      <w:r>
        <w:rPr>
          <w:color w:val="231F20"/>
          <w:spacing w:val="2"/>
          <w:sz w:val="12"/>
        </w:rPr>
        <w:t xml:space="preserve"> </w:t>
      </w:r>
      <w:r>
        <w:rPr>
          <w:color w:val="231F20"/>
          <w:sz w:val="12"/>
        </w:rPr>
        <w:t>70</w:t>
      </w:r>
    </w:p>
    <w:p w14:paraId="770909A1" w14:textId="77777777" w:rsidR="00F65BCA" w:rsidRDefault="00F65BCA">
      <w:pPr>
        <w:pStyle w:val="Zkladntext"/>
        <w:rPr>
          <w:sz w:val="14"/>
        </w:rPr>
      </w:pPr>
    </w:p>
    <w:p w14:paraId="30C3531C" w14:textId="77777777" w:rsidR="00F65BCA" w:rsidRDefault="00F65BCA">
      <w:pPr>
        <w:pStyle w:val="Zkladntext"/>
        <w:rPr>
          <w:sz w:val="14"/>
        </w:rPr>
      </w:pPr>
    </w:p>
    <w:p w14:paraId="5058291F" w14:textId="77777777" w:rsidR="00F65BCA" w:rsidRDefault="00F65BCA">
      <w:pPr>
        <w:pStyle w:val="Zkladntext"/>
        <w:rPr>
          <w:sz w:val="14"/>
        </w:rPr>
      </w:pPr>
    </w:p>
    <w:p w14:paraId="612E5CD5" w14:textId="77777777" w:rsidR="00F65BCA" w:rsidRDefault="00216117">
      <w:pPr>
        <w:spacing w:before="107"/>
        <w:ind w:left="163" w:right="20"/>
        <w:jc w:val="center"/>
        <w:rPr>
          <w:sz w:val="12"/>
        </w:rPr>
      </w:pPr>
      <w:r>
        <w:rPr>
          <w:color w:val="231F20"/>
          <w:sz w:val="12"/>
        </w:rPr>
        <w:t>do</w:t>
      </w:r>
      <w:r>
        <w:rPr>
          <w:color w:val="231F20"/>
          <w:spacing w:val="2"/>
          <w:sz w:val="12"/>
        </w:rPr>
        <w:t xml:space="preserve"> </w:t>
      </w:r>
      <w:r>
        <w:rPr>
          <w:color w:val="231F20"/>
          <w:sz w:val="12"/>
        </w:rPr>
        <w:t>42</w:t>
      </w:r>
    </w:p>
    <w:p w14:paraId="4AAC37A9" w14:textId="77777777" w:rsidR="00F65BCA" w:rsidRDefault="00216117">
      <w:pPr>
        <w:spacing w:before="32"/>
        <w:ind w:left="163" w:right="20"/>
        <w:jc w:val="center"/>
        <w:rPr>
          <w:sz w:val="12"/>
        </w:rPr>
      </w:pPr>
      <w:r>
        <w:rPr>
          <w:color w:val="231F20"/>
          <w:sz w:val="12"/>
        </w:rPr>
        <w:t>do</w:t>
      </w:r>
      <w:r>
        <w:rPr>
          <w:color w:val="231F20"/>
          <w:spacing w:val="2"/>
          <w:sz w:val="12"/>
        </w:rPr>
        <w:t xml:space="preserve"> </w:t>
      </w:r>
      <w:r>
        <w:rPr>
          <w:color w:val="231F20"/>
          <w:sz w:val="12"/>
        </w:rPr>
        <w:t>77</w:t>
      </w:r>
    </w:p>
    <w:p w14:paraId="4BE037E5" w14:textId="77777777" w:rsidR="00F65BCA" w:rsidRDefault="00216117">
      <w:pPr>
        <w:spacing w:before="103"/>
        <w:ind w:left="143"/>
        <w:jc w:val="center"/>
        <w:rPr>
          <w:sz w:val="12"/>
        </w:rPr>
      </w:pPr>
      <w:r>
        <w:rPr>
          <w:color w:val="231F20"/>
          <w:w w:val="99"/>
          <w:sz w:val="12"/>
        </w:rPr>
        <w:t>0</w:t>
      </w:r>
    </w:p>
    <w:p w14:paraId="73CD1C70" w14:textId="77777777" w:rsidR="00F65BCA" w:rsidRDefault="00F65BCA">
      <w:pPr>
        <w:pStyle w:val="Zkladntext"/>
        <w:rPr>
          <w:sz w:val="14"/>
        </w:rPr>
      </w:pPr>
    </w:p>
    <w:p w14:paraId="1EC8E322" w14:textId="77777777" w:rsidR="00F65BCA" w:rsidRDefault="00F65BCA">
      <w:pPr>
        <w:pStyle w:val="Zkladntext"/>
        <w:rPr>
          <w:sz w:val="14"/>
        </w:rPr>
      </w:pPr>
    </w:p>
    <w:p w14:paraId="1BBE5F4D" w14:textId="77777777" w:rsidR="00F65BCA" w:rsidRDefault="00F65BCA">
      <w:pPr>
        <w:pStyle w:val="Zkladntext"/>
        <w:rPr>
          <w:sz w:val="14"/>
        </w:rPr>
      </w:pPr>
    </w:p>
    <w:p w14:paraId="715ADF8A" w14:textId="77777777" w:rsidR="00F65BCA" w:rsidRDefault="00F65BCA">
      <w:pPr>
        <w:pStyle w:val="Zkladntext"/>
        <w:spacing w:before="9"/>
        <w:rPr>
          <w:sz w:val="11"/>
        </w:rPr>
      </w:pPr>
    </w:p>
    <w:p w14:paraId="463EB7C7" w14:textId="77777777" w:rsidR="00F65BCA" w:rsidRDefault="00216117">
      <w:pPr>
        <w:spacing w:before="1"/>
        <w:ind w:left="163" w:right="20"/>
        <w:jc w:val="center"/>
        <w:rPr>
          <w:sz w:val="12"/>
        </w:rPr>
      </w:pPr>
      <w:r>
        <w:rPr>
          <w:color w:val="231F20"/>
          <w:sz w:val="12"/>
        </w:rPr>
        <w:t>do</w:t>
      </w:r>
      <w:r>
        <w:rPr>
          <w:color w:val="231F20"/>
          <w:spacing w:val="2"/>
          <w:sz w:val="12"/>
        </w:rPr>
        <w:t xml:space="preserve"> </w:t>
      </w:r>
      <w:r>
        <w:rPr>
          <w:color w:val="231F20"/>
          <w:sz w:val="12"/>
        </w:rPr>
        <w:t>21</w:t>
      </w:r>
    </w:p>
    <w:p w14:paraId="6F1D36DD" w14:textId="77777777" w:rsidR="00F65BCA" w:rsidRDefault="00216117">
      <w:pPr>
        <w:spacing w:before="98"/>
        <w:ind w:left="163" w:right="20"/>
        <w:jc w:val="center"/>
        <w:rPr>
          <w:sz w:val="12"/>
        </w:rPr>
      </w:pPr>
      <w:r>
        <w:rPr>
          <w:color w:val="231F20"/>
          <w:sz w:val="12"/>
        </w:rPr>
        <w:t>do</w:t>
      </w:r>
      <w:r>
        <w:rPr>
          <w:color w:val="231F20"/>
          <w:spacing w:val="2"/>
          <w:sz w:val="12"/>
        </w:rPr>
        <w:t xml:space="preserve"> </w:t>
      </w:r>
      <w:r>
        <w:rPr>
          <w:color w:val="231F20"/>
          <w:sz w:val="12"/>
        </w:rPr>
        <w:t>28</w:t>
      </w:r>
    </w:p>
    <w:p w14:paraId="4ECEB9DD" w14:textId="77777777" w:rsidR="00F65BCA" w:rsidRDefault="00216117">
      <w:pPr>
        <w:spacing w:before="102"/>
        <w:ind w:left="217"/>
        <w:rPr>
          <w:sz w:val="12"/>
        </w:rPr>
      </w:pPr>
      <w:r>
        <w:rPr>
          <w:color w:val="231F20"/>
          <w:sz w:val="12"/>
        </w:rPr>
        <w:t>do</w:t>
      </w:r>
      <w:r>
        <w:rPr>
          <w:color w:val="231F20"/>
          <w:spacing w:val="2"/>
          <w:sz w:val="12"/>
        </w:rPr>
        <w:t xml:space="preserve"> </w:t>
      </w:r>
      <w:r>
        <w:rPr>
          <w:color w:val="231F20"/>
          <w:sz w:val="12"/>
        </w:rPr>
        <w:t>42</w:t>
      </w:r>
    </w:p>
    <w:p w14:paraId="6BBD3D9B" w14:textId="77777777" w:rsidR="00F65BCA" w:rsidRDefault="00216117">
      <w:pPr>
        <w:spacing w:before="38"/>
        <w:ind w:left="217"/>
        <w:rPr>
          <w:sz w:val="12"/>
        </w:rPr>
      </w:pPr>
      <w:r>
        <w:rPr>
          <w:color w:val="231F20"/>
          <w:sz w:val="12"/>
        </w:rPr>
        <w:t>do</w:t>
      </w:r>
      <w:r>
        <w:rPr>
          <w:color w:val="231F20"/>
          <w:spacing w:val="2"/>
          <w:sz w:val="12"/>
        </w:rPr>
        <w:t xml:space="preserve"> </w:t>
      </w:r>
      <w:r>
        <w:rPr>
          <w:color w:val="231F20"/>
          <w:sz w:val="12"/>
        </w:rPr>
        <w:t>28</w:t>
      </w:r>
    </w:p>
    <w:p w14:paraId="55F159D8" w14:textId="77777777" w:rsidR="00F65BCA" w:rsidRDefault="00216117">
      <w:pPr>
        <w:spacing w:before="37"/>
        <w:ind w:left="217"/>
        <w:rPr>
          <w:sz w:val="12"/>
        </w:rPr>
      </w:pPr>
      <w:r>
        <w:rPr>
          <w:color w:val="231F20"/>
          <w:sz w:val="12"/>
        </w:rPr>
        <w:t>do</w:t>
      </w:r>
      <w:r>
        <w:rPr>
          <w:color w:val="231F20"/>
          <w:spacing w:val="2"/>
          <w:sz w:val="12"/>
        </w:rPr>
        <w:t xml:space="preserve"> </w:t>
      </w:r>
      <w:r>
        <w:rPr>
          <w:color w:val="231F20"/>
          <w:sz w:val="12"/>
        </w:rPr>
        <w:t>56</w:t>
      </w:r>
    </w:p>
    <w:p w14:paraId="27109B19" w14:textId="77777777" w:rsidR="00F65BCA" w:rsidRDefault="00F65BCA">
      <w:pPr>
        <w:pStyle w:val="Zkladntext"/>
        <w:rPr>
          <w:sz w:val="14"/>
        </w:rPr>
      </w:pPr>
    </w:p>
    <w:p w14:paraId="431AC993" w14:textId="77777777" w:rsidR="00F65BCA" w:rsidRDefault="00F65BCA">
      <w:pPr>
        <w:pStyle w:val="Zkladntext"/>
        <w:spacing w:before="8"/>
        <w:rPr>
          <w:sz w:val="19"/>
        </w:rPr>
      </w:pPr>
    </w:p>
    <w:p w14:paraId="75B3EEC8"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21</w:t>
      </w:r>
    </w:p>
    <w:p w14:paraId="12DC5B75" w14:textId="77777777" w:rsidR="00F65BCA" w:rsidRDefault="00F65BCA">
      <w:pPr>
        <w:pStyle w:val="Zkladntext"/>
        <w:spacing w:before="1"/>
      </w:pPr>
    </w:p>
    <w:p w14:paraId="2AAD4117"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28</w:t>
      </w:r>
    </w:p>
    <w:p w14:paraId="53A6E1ED" w14:textId="77777777" w:rsidR="00F65BCA" w:rsidRDefault="00F65BCA">
      <w:pPr>
        <w:pStyle w:val="Zkladntext"/>
        <w:rPr>
          <w:sz w:val="20"/>
        </w:rPr>
      </w:pPr>
    </w:p>
    <w:p w14:paraId="44362161" w14:textId="77777777" w:rsidR="00F65BCA" w:rsidRDefault="00216117">
      <w:pPr>
        <w:ind w:left="183"/>
        <w:rPr>
          <w:sz w:val="12"/>
        </w:rPr>
      </w:pPr>
      <w:r>
        <w:rPr>
          <w:color w:val="231F20"/>
          <w:sz w:val="12"/>
        </w:rPr>
        <w:t>do</w:t>
      </w:r>
      <w:r>
        <w:rPr>
          <w:color w:val="231F20"/>
          <w:spacing w:val="2"/>
          <w:sz w:val="12"/>
        </w:rPr>
        <w:t xml:space="preserve"> </w:t>
      </w:r>
      <w:r>
        <w:rPr>
          <w:color w:val="231F20"/>
          <w:sz w:val="12"/>
        </w:rPr>
        <w:t>105</w:t>
      </w:r>
    </w:p>
    <w:p w14:paraId="6BAB6FBC" w14:textId="77777777" w:rsidR="00F65BCA" w:rsidRDefault="00216117">
      <w:pPr>
        <w:spacing w:before="89"/>
        <w:ind w:left="183"/>
        <w:rPr>
          <w:sz w:val="12"/>
        </w:rPr>
      </w:pPr>
      <w:r>
        <w:rPr>
          <w:color w:val="231F20"/>
          <w:sz w:val="12"/>
        </w:rPr>
        <w:t>do</w:t>
      </w:r>
      <w:r>
        <w:rPr>
          <w:color w:val="231F20"/>
          <w:spacing w:val="2"/>
          <w:sz w:val="12"/>
        </w:rPr>
        <w:t xml:space="preserve"> </w:t>
      </w:r>
      <w:r>
        <w:rPr>
          <w:color w:val="231F20"/>
          <w:sz w:val="12"/>
        </w:rPr>
        <w:t>112</w:t>
      </w:r>
    </w:p>
    <w:p w14:paraId="2AEA75E9" w14:textId="77777777" w:rsidR="00F65BCA" w:rsidRDefault="00216117">
      <w:pPr>
        <w:spacing w:before="32"/>
        <w:ind w:left="183"/>
        <w:rPr>
          <w:sz w:val="12"/>
        </w:rPr>
      </w:pPr>
      <w:r>
        <w:rPr>
          <w:color w:val="231F20"/>
          <w:sz w:val="12"/>
        </w:rPr>
        <w:t>do</w:t>
      </w:r>
      <w:r>
        <w:rPr>
          <w:color w:val="231F20"/>
          <w:spacing w:val="2"/>
          <w:sz w:val="12"/>
        </w:rPr>
        <w:t xml:space="preserve"> </w:t>
      </w:r>
      <w:r>
        <w:rPr>
          <w:color w:val="231F20"/>
          <w:sz w:val="12"/>
        </w:rPr>
        <w:t>112</w:t>
      </w:r>
    </w:p>
    <w:p w14:paraId="7FBA33CC" w14:textId="77777777" w:rsidR="00F65BCA" w:rsidRDefault="00F65BCA">
      <w:pPr>
        <w:pStyle w:val="Zkladntext"/>
        <w:rPr>
          <w:sz w:val="14"/>
        </w:rPr>
      </w:pPr>
    </w:p>
    <w:p w14:paraId="2562163E" w14:textId="77777777" w:rsidR="00F65BCA" w:rsidRDefault="00F65BCA">
      <w:pPr>
        <w:pStyle w:val="Zkladntext"/>
        <w:spacing w:before="10"/>
        <w:rPr>
          <w:sz w:val="18"/>
        </w:rPr>
      </w:pPr>
    </w:p>
    <w:p w14:paraId="3EFC0930" w14:textId="77777777" w:rsidR="00F65BCA" w:rsidRDefault="00216117">
      <w:pPr>
        <w:spacing w:before="1"/>
        <w:ind w:left="217"/>
        <w:rPr>
          <w:sz w:val="12"/>
        </w:rPr>
      </w:pPr>
      <w:r>
        <w:rPr>
          <w:color w:val="231F20"/>
          <w:sz w:val="12"/>
        </w:rPr>
        <w:t>do</w:t>
      </w:r>
      <w:r>
        <w:rPr>
          <w:color w:val="231F20"/>
          <w:spacing w:val="2"/>
          <w:sz w:val="12"/>
        </w:rPr>
        <w:t xml:space="preserve"> </w:t>
      </w:r>
      <w:r>
        <w:rPr>
          <w:color w:val="231F20"/>
          <w:sz w:val="12"/>
        </w:rPr>
        <w:t>21</w:t>
      </w:r>
    </w:p>
    <w:p w14:paraId="65F946E9" w14:textId="77777777" w:rsidR="00F65BCA" w:rsidRDefault="00216117">
      <w:pPr>
        <w:spacing w:before="25"/>
        <w:ind w:left="217"/>
        <w:rPr>
          <w:sz w:val="12"/>
        </w:rPr>
      </w:pPr>
      <w:r>
        <w:rPr>
          <w:color w:val="231F20"/>
          <w:sz w:val="12"/>
        </w:rPr>
        <w:t>do</w:t>
      </w:r>
      <w:r>
        <w:rPr>
          <w:color w:val="231F20"/>
          <w:spacing w:val="2"/>
          <w:sz w:val="12"/>
        </w:rPr>
        <w:t xml:space="preserve"> </w:t>
      </w:r>
      <w:r>
        <w:rPr>
          <w:color w:val="231F20"/>
          <w:sz w:val="12"/>
        </w:rPr>
        <w:t>28</w:t>
      </w:r>
    </w:p>
    <w:p w14:paraId="272235A2" w14:textId="77777777" w:rsidR="00F65BCA" w:rsidRDefault="00F65BCA">
      <w:pPr>
        <w:pStyle w:val="Zkladntext"/>
        <w:spacing w:before="1"/>
        <w:rPr>
          <w:sz w:val="18"/>
        </w:rPr>
      </w:pPr>
    </w:p>
    <w:p w14:paraId="66704B49"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84</w:t>
      </w:r>
    </w:p>
    <w:p w14:paraId="7D051BA3" w14:textId="77777777" w:rsidR="00F65BCA" w:rsidRDefault="00216117">
      <w:pPr>
        <w:spacing w:before="32"/>
        <w:ind w:left="183"/>
        <w:rPr>
          <w:sz w:val="12"/>
        </w:rPr>
      </w:pPr>
      <w:r>
        <w:rPr>
          <w:color w:val="231F20"/>
          <w:sz w:val="12"/>
        </w:rPr>
        <w:t>do</w:t>
      </w:r>
      <w:r>
        <w:rPr>
          <w:color w:val="231F20"/>
          <w:spacing w:val="2"/>
          <w:sz w:val="12"/>
        </w:rPr>
        <w:t xml:space="preserve"> </w:t>
      </w:r>
      <w:r>
        <w:rPr>
          <w:color w:val="231F20"/>
          <w:sz w:val="12"/>
        </w:rPr>
        <w:t>126</w:t>
      </w:r>
    </w:p>
    <w:p w14:paraId="4802408A" w14:textId="77777777" w:rsidR="00F65BCA" w:rsidRDefault="00216117">
      <w:pPr>
        <w:spacing w:before="33"/>
        <w:ind w:left="217"/>
        <w:rPr>
          <w:sz w:val="12"/>
        </w:rPr>
      </w:pPr>
      <w:r>
        <w:rPr>
          <w:color w:val="231F20"/>
          <w:sz w:val="12"/>
        </w:rPr>
        <w:t>do</w:t>
      </w:r>
      <w:r>
        <w:rPr>
          <w:color w:val="231F20"/>
          <w:spacing w:val="2"/>
          <w:sz w:val="12"/>
        </w:rPr>
        <w:t xml:space="preserve"> </w:t>
      </w:r>
      <w:r>
        <w:rPr>
          <w:color w:val="231F20"/>
          <w:sz w:val="12"/>
        </w:rPr>
        <w:t>84</w:t>
      </w:r>
    </w:p>
    <w:p w14:paraId="1972BF95"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98</w:t>
      </w:r>
    </w:p>
    <w:p w14:paraId="622C7B9D"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84</w:t>
      </w:r>
    </w:p>
    <w:p w14:paraId="5F8F109F" w14:textId="77777777" w:rsidR="00F65BCA" w:rsidRDefault="00216117">
      <w:pPr>
        <w:spacing w:before="32"/>
        <w:ind w:left="183"/>
        <w:rPr>
          <w:sz w:val="12"/>
        </w:rPr>
      </w:pPr>
      <w:r>
        <w:rPr>
          <w:color w:val="231F20"/>
          <w:sz w:val="12"/>
        </w:rPr>
        <w:t>do</w:t>
      </w:r>
      <w:r>
        <w:rPr>
          <w:color w:val="231F20"/>
          <w:spacing w:val="2"/>
          <w:sz w:val="12"/>
        </w:rPr>
        <w:t xml:space="preserve"> </w:t>
      </w:r>
      <w:r>
        <w:rPr>
          <w:color w:val="231F20"/>
          <w:sz w:val="12"/>
        </w:rPr>
        <w:t>365</w:t>
      </w:r>
    </w:p>
    <w:p w14:paraId="0E7D94C2" w14:textId="77777777" w:rsidR="00F65BCA" w:rsidRDefault="00216117">
      <w:pPr>
        <w:spacing w:before="32"/>
        <w:ind w:left="183"/>
        <w:rPr>
          <w:sz w:val="12"/>
        </w:rPr>
      </w:pPr>
      <w:r>
        <w:rPr>
          <w:color w:val="231F20"/>
          <w:sz w:val="12"/>
        </w:rPr>
        <w:t>do</w:t>
      </w:r>
      <w:r>
        <w:rPr>
          <w:color w:val="231F20"/>
          <w:spacing w:val="2"/>
          <w:sz w:val="12"/>
        </w:rPr>
        <w:t xml:space="preserve"> </w:t>
      </w:r>
      <w:r>
        <w:rPr>
          <w:color w:val="231F20"/>
          <w:sz w:val="12"/>
        </w:rPr>
        <w:t>126</w:t>
      </w:r>
    </w:p>
    <w:p w14:paraId="02C086A9" w14:textId="77777777" w:rsidR="00F65BCA" w:rsidRDefault="00F65BCA">
      <w:pPr>
        <w:pStyle w:val="Zkladntext"/>
        <w:spacing w:before="3"/>
        <w:rPr>
          <w:sz w:val="18"/>
        </w:rPr>
      </w:pPr>
    </w:p>
    <w:p w14:paraId="2EFAAD01" w14:textId="77777777" w:rsidR="00F65BCA" w:rsidRDefault="00216117">
      <w:pPr>
        <w:spacing w:before="1"/>
        <w:ind w:left="217"/>
        <w:rPr>
          <w:sz w:val="12"/>
        </w:rPr>
      </w:pPr>
      <w:r>
        <w:rPr>
          <w:color w:val="231F20"/>
          <w:sz w:val="12"/>
        </w:rPr>
        <w:t>do</w:t>
      </w:r>
      <w:r>
        <w:rPr>
          <w:color w:val="231F20"/>
          <w:spacing w:val="2"/>
          <w:sz w:val="12"/>
        </w:rPr>
        <w:t xml:space="preserve"> </w:t>
      </w:r>
      <w:r>
        <w:rPr>
          <w:color w:val="231F20"/>
          <w:sz w:val="12"/>
        </w:rPr>
        <w:t>35</w:t>
      </w:r>
    </w:p>
    <w:p w14:paraId="61CBCE43" w14:textId="77777777" w:rsidR="00F65BCA" w:rsidRDefault="00216117">
      <w:pPr>
        <w:spacing w:before="37"/>
        <w:ind w:left="217"/>
        <w:rPr>
          <w:sz w:val="12"/>
        </w:rPr>
      </w:pPr>
      <w:r>
        <w:rPr>
          <w:color w:val="231F20"/>
          <w:sz w:val="12"/>
        </w:rPr>
        <w:t>do</w:t>
      </w:r>
      <w:r>
        <w:rPr>
          <w:color w:val="231F20"/>
          <w:spacing w:val="2"/>
          <w:sz w:val="12"/>
        </w:rPr>
        <w:t xml:space="preserve"> </w:t>
      </w:r>
      <w:r>
        <w:rPr>
          <w:color w:val="231F20"/>
          <w:sz w:val="12"/>
        </w:rPr>
        <w:t>84</w:t>
      </w:r>
    </w:p>
    <w:p w14:paraId="62B4DB72" w14:textId="77777777" w:rsidR="00F65BCA" w:rsidRDefault="00F65BCA">
      <w:pPr>
        <w:pStyle w:val="Zkladntext"/>
        <w:rPr>
          <w:sz w:val="14"/>
        </w:rPr>
      </w:pPr>
    </w:p>
    <w:p w14:paraId="4F538EF6" w14:textId="77777777" w:rsidR="00F65BCA" w:rsidRDefault="00216117">
      <w:pPr>
        <w:spacing w:before="118"/>
        <w:ind w:left="217"/>
        <w:rPr>
          <w:sz w:val="12"/>
        </w:rPr>
      </w:pPr>
      <w:r>
        <w:rPr>
          <w:color w:val="231F20"/>
          <w:sz w:val="12"/>
        </w:rPr>
        <w:t>do</w:t>
      </w:r>
      <w:r>
        <w:rPr>
          <w:color w:val="231F20"/>
          <w:spacing w:val="2"/>
          <w:sz w:val="12"/>
        </w:rPr>
        <w:t xml:space="preserve"> </w:t>
      </w:r>
      <w:r>
        <w:rPr>
          <w:color w:val="231F20"/>
          <w:sz w:val="12"/>
        </w:rPr>
        <w:t>35</w:t>
      </w:r>
    </w:p>
    <w:p w14:paraId="53A05872" w14:textId="77777777" w:rsidR="00F65BCA" w:rsidRDefault="00F65BCA">
      <w:pPr>
        <w:pStyle w:val="Zkladntext"/>
        <w:spacing w:before="7"/>
        <w:rPr>
          <w:sz w:val="14"/>
        </w:rPr>
      </w:pPr>
    </w:p>
    <w:p w14:paraId="496DE887"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49</w:t>
      </w:r>
    </w:p>
    <w:p w14:paraId="187E5817" w14:textId="77777777" w:rsidR="00F65BCA" w:rsidRDefault="00F65BCA">
      <w:pPr>
        <w:pStyle w:val="Zkladntext"/>
        <w:spacing w:before="7"/>
        <w:rPr>
          <w:sz w:val="14"/>
        </w:rPr>
      </w:pPr>
    </w:p>
    <w:p w14:paraId="4206240D"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70</w:t>
      </w:r>
    </w:p>
    <w:p w14:paraId="00A1DB52" w14:textId="77777777" w:rsidR="00F65BCA" w:rsidRDefault="00F65BCA">
      <w:pPr>
        <w:pStyle w:val="Zkladntext"/>
        <w:spacing w:before="7"/>
        <w:rPr>
          <w:sz w:val="14"/>
        </w:rPr>
      </w:pPr>
    </w:p>
    <w:p w14:paraId="5C678F09" w14:textId="77777777" w:rsidR="00F65BCA" w:rsidRDefault="00216117">
      <w:pPr>
        <w:spacing w:before="1"/>
        <w:ind w:left="217"/>
        <w:rPr>
          <w:sz w:val="12"/>
        </w:rPr>
      </w:pPr>
      <w:r>
        <w:rPr>
          <w:color w:val="231F20"/>
          <w:sz w:val="12"/>
        </w:rPr>
        <w:t>do</w:t>
      </w:r>
      <w:r>
        <w:rPr>
          <w:color w:val="231F20"/>
          <w:spacing w:val="2"/>
          <w:sz w:val="12"/>
        </w:rPr>
        <w:t xml:space="preserve"> </w:t>
      </w:r>
      <w:r>
        <w:rPr>
          <w:color w:val="231F20"/>
          <w:sz w:val="12"/>
        </w:rPr>
        <w:t>56</w:t>
      </w:r>
    </w:p>
    <w:p w14:paraId="0BE73998" w14:textId="77777777" w:rsidR="00F65BCA" w:rsidRDefault="00F65BCA">
      <w:pPr>
        <w:pStyle w:val="Zkladntext"/>
        <w:spacing w:before="7"/>
        <w:rPr>
          <w:sz w:val="14"/>
        </w:rPr>
      </w:pPr>
    </w:p>
    <w:p w14:paraId="40993BAF"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98</w:t>
      </w:r>
    </w:p>
    <w:p w14:paraId="51937CA5" w14:textId="77777777" w:rsidR="00F65BCA" w:rsidRDefault="00F65BCA">
      <w:pPr>
        <w:pStyle w:val="Zkladntext"/>
        <w:rPr>
          <w:sz w:val="14"/>
        </w:rPr>
      </w:pPr>
    </w:p>
    <w:p w14:paraId="22219824" w14:textId="77777777" w:rsidR="00F65BCA" w:rsidRDefault="00F65BCA">
      <w:pPr>
        <w:pStyle w:val="Zkladntext"/>
        <w:rPr>
          <w:sz w:val="14"/>
        </w:rPr>
      </w:pPr>
    </w:p>
    <w:p w14:paraId="7DD65A84" w14:textId="77777777" w:rsidR="00F65BCA" w:rsidRDefault="00F65BCA">
      <w:pPr>
        <w:pStyle w:val="Zkladntext"/>
        <w:rPr>
          <w:sz w:val="14"/>
        </w:rPr>
      </w:pPr>
    </w:p>
    <w:p w14:paraId="235B780F" w14:textId="77777777" w:rsidR="00F65BCA" w:rsidRDefault="00F65BCA">
      <w:pPr>
        <w:pStyle w:val="Zkladntext"/>
        <w:spacing w:before="6"/>
        <w:rPr>
          <w:sz w:val="12"/>
        </w:rPr>
      </w:pPr>
    </w:p>
    <w:p w14:paraId="0719A5E7"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21</w:t>
      </w:r>
    </w:p>
    <w:p w14:paraId="7DFE4935" w14:textId="77777777" w:rsidR="00F65BCA" w:rsidRDefault="00216117">
      <w:pPr>
        <w:spacing w:before="44"/>
        <w:ind w:left="217"/>
        <w:rPr>
          <w:sz w:val="12"/>
        </w:rPr>
      </w:pPr>
      <w:r>
        <w:rPr>
          <w:color w:val="231F20"/>
          <w:sz w:val="12"/>
        </w:rPr>
        <w:t>do</w:t>
      </w:r>
      <w:r>
        <w:rPr>
          <w:color w:val="231F20"/>
          <w:spacing w:val="2"/>
          <w:sz w:val="12"/>
        </w:rPr>
        <w:t xml:space="preserve"> </w:t>
      </w:r>
      <w:r>
        <w:rPr>
          <w:color w:val="231F20"/>
          <w:sz w:val="12"/>
        </w:rPr>
        <w:t>70</w:t>
      </w:r>
    </w:p>
    <w:p w14:paraId="1F4B8299" w14:textId="77777777" w:rsidR="00F65BCA" w:rsidRDefault="00216117">
      <w:pPr>
        <w:spacing w:before="23"/>
        <w:ind w:left="217"/>
        <w:rPr>
          <w:sz w:val="12"/>
        </w:rPr>
      </w:pPr>
      <w:r>
        <w:rPr>
          <w:color w:val="231F20"/>
          <w:sz w:val="12"/>
        </w:rPr>
        <w:t>do</w:t>
      </w:r>
      <w:r>
        <w:rPr>
          <w:color w:val="231F20"/>
          <w:spacing w:val="2"/>
          <w:sz w:val="12"/>
        </w:rPr>
        <w:t xml:space="preserve"> </w:t>
      </w:r>
      <w:r>
        <w:rPr>
          <w:color w:val="231F20"/>
          <w:sz w:val="12"/>
        </w:rPr>
        <w:t>70</w:t>
      </w:r>
    </w:p>
    <w:p w14:paraId="2EDDE34D" w14:textId="77777777" w:rsidR="00F65BCA" w:rsidRDefault="00F65BCA">
      <w:pPr>
        <w:pStyle w:val="Zkladntext"/>
        <w:spacing w:before="10"/>
        <w:rPr>
          <w:sz w:val="16"/>
        </w:rPr>
      </w:pPr>
    </w:p>
    <w:p w14:paraId="1165D1E6"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35</w:t>
      </w:r>
    </w:p>
    <w:p w14:paraId="0A321EA1" w14:textId="77777777" w:rsidR="00F65BCA" w:rsidRDefault="00216117">
      <w:pPr>
        <w:spacing w:before="110"/>
        <w:ind w:left="217"/>
        <w:rPr>
          <w:sz w:val="12"/>
        </w:rPr>
      </w:pPr>
      <w:r>
        <w:rPr>
          <w:color w:val="231F20"/>
          <w:sz w:val="12"/>
        </w:rPr>
        <w:t>do</w:t>
      </w:r>
      <w:r>
        <w:rPr>
          <w:color w:val="231F20"/>
          <w:spacing w:val="2"/>
          <w:sz w:val="12"/>
        </w:rPr>
        <w:t xml:space="preserve"> </w:t>
      </w:r>
      <w:r>
        <w:rPr>
          <w:color w:val="231F20"/>
          <w:sz w:val="12"/>
        </w:rPr>
        <w:t>56</w:t>
      </w:r>
    </w:p>
    <w:p w14:paraId="3FCDB133" w14:textId="77777777" w:rsidR="00F65BCA" w:rsidRDefault="00216117">
      <w:pPr>
        <w:pStyle w:val="Odstavecseseznamem"/>
        <w:numPr>
          <w:ilvl w:val="0"/>
          <w:numId w:val="71"/>
        </w:numPr>
        <w:tabs>
          <w:tab w:val="left" w:pos="456"/>
        </w:tabs>
        <w:spacing w:before="17"/>
        <w:ind w:hanging="273"/>
        <w:rPr>
          <w:sz w:val="12"/>
        </w:rPr>
      </w:pPr>
      <w:r>
        <w:rPr>
          <w:color w:val="231F20"/>
          <w:w w:val="94"/>
          <w:sz w:val="12"/>
        </w:rPr>
        <w:br w:type="column"/>
      </w:r>
      <w:r>
        <w:rPr>
          <w:color w:val="231F20"/>
          <w:sz w:val="12"/>
        </w:rPr>
        <w:t>Natržení, roztržení</w:t>
      </w:r>
      <w:r>
        <w:rPr>
          <w:color w:val="231F20"/>
          <w:spacing w:val="-4"/>
          <w:sz w:val="12"/>
        </w:rPr>
        <w:t xml:space="preserve"> </w:t>
      </w:r>
      <w:r>
        <w:rPr>
          <w:color w:val="231F20"/>
          <w:sz w:val="12"/>
        </w:rPr>
        <w:t>jater</w:t>
      </w:r>
    </w:p>
    <w:p w14:paraId="5113B988" w14:textId="77777777" w:rsidR="00F65BCA" w:rsidRDefault="00216117">
      <w:pPr>
        <w:pStyle w:val="Odstavecseseznamem"/>
        <w:numPr>
          <w:ilvl w:val="0"/>
          <w:numId w:val="71"/>
        </w:numPr>
        <w:tabs>
          <w:tab w:val="left" w:pos="456"/>
        </w:tabs>
        <w:spacing w:before="32"/>
        <w:ind w:hanging="273"/>
        <w:rPr>
          <w:sz w:val="12"/>
        </w:rPr>
      </w:pPr>
      <w:r>
        <w:rPr>
          <w:color w:val="231F20"/>
          <w:sz w:val="12"/>
        </w:rPr>
        <w:t>Natržení, roztržení</w:t>
      </w:r>
      <w:r>
        <w:rPr>
          <w:color w:val="231F20"/>
          <w:spacing w:val="-5"/>
          <w:sz w:val="12"/>
        </w:rPr>
        <w:t xml:space="preserve"> </w:t>
      </w:r>
      <w:r>
        <w:rPr>
          <w:color w:val="231F20"/>
          <w:sz w:val="12"/>
        </w:rPr>
        <w:t>sleziny</w:t>
      </w:r>
    </w:p>
    <w:p w14:paraId="7CC18599" w14:textId="77777777" w:rsidR="00F65BCA" w:rsidRDefault="00216117">
      <w:pPr>
        <w:pStyle w:val="Odstavecseseznamem"/>
        <w:numPr>
          <w:ilvl w:val="0"/>
          <w:numId w:val="71"/>
        </w:numPr>
        <w:tabs>
          <w:tab w:val="left" w:pos="456"/>
        </w:tabs>
        <w:spacing w:before="36"/>
        <w:ind w:hanging="273"/>
        <w:rPr>
          <w:sz w:val="12"/>
        </w:rPr>
      </w:pPr>
      <w:r>
        <w:rPr>
          <w:color w:val="231F20"/>
          <w:position w:val="1"/>
          <w:sz w:val="12"/>
        </w:rPr>
        <w:t>Natržení,</w:t>
      </w:r>
      <w:r>
        <w:rPr>
          <w:color w:val="231F20"/>
          <w:spacing w:val="-14"/>
          <w:position w:val="1"/>
          <w:sz w:val="12"/>
        </w:rPr>
        <w:t xml:space="preserve"> </w:t>
      </w:r>
      <w:r>
        <w:rPr>
          <w:color w:val="231F20"/>
          <w:position w:val="1"/>
          <w:sz w:val="12"/>
        </w:rPr>
        <w:t>roztržení</w:t>
      </w:r>
      <w:r>
        <w:rPr>
          <w:color w:val="231F20"/>
          <w:spacing w:val="-13"/>
          <w:position w:val="1"/>
          <w:sz w:val="12"/>
        </w:rPr>
        <w:t xml:space="preserve"> </w:t>
      </w:r>
      <w:r>
        <w:rPr>
          <w:color w:val="231F20"/>
          <w:position w:val="1"/>
          <w:sz w:val="12"/>
        </w:rPr>
        <w:t>(rozhmoždění)</w:t>
      </w:r>
      <w:r>
        <w:rPr>
          <w:color w:val="231F20"/>
          <w:spacing w:val="-14"/>
          <w:position w:val="1"/>
          <w:sz w:val="12"/>
        </w:rPr>
        <w:t xml:space="preserve"> </w:t>
      </w:r>
      <w:r>
        <w:rPr>
          <w:color w:val="231F20"/>
          <w:position w:val="1"/>
          <w:sz w:val="12"/>
        </w:rPr>
        <w:t>slinivky</w:t>
      </w:r>
      <w:r>
        <w:rPr>
          <w:color w:val="231F20"/>
          <w:spacing w:val="-13"/>
          <w:position w:val="1"/>
          <w:sz w:val="12"/>
        </w:rPr>
        <w:t xml:space="preserve"> </w:t>
      </w:r>
      <w:r>
        <w:rPr>
          <w:color w:val="231F20"/>
          <w:position w:val="1"/>
          <w:sz w:val="12"/>
        </w:rPr>
        <w:t>břišní</w:t>
      </w:r>
    </w:p>
    <w:p w14:paraId="272F2DB4" w14:textId="77777777" w:rsidR="00F65BCA" w:rsidRDefault="00216117">
      <w:pPr>
        <w:pStyle w:val="Odstavecseseznamem"/>
        <w:numPr>
          <w:ilvl w:val="0"/>
          <w:numId w:val="71"/>
        </w:numPr>
        <w:tabs>
          <w:tab w:val="left" w:pos="456"/>
        </w:tabs>
        <w:spacing w:before="29" w:line="295" w:lineRule="auto"/>
        <w:ind w:left="183" w:right="915" w:firstLine="0"/>
        <w:rPr>
          <w:sz w:val="12"/>
        </w:rPr>
      </w:pPr>
      <w:r>
        <w:rPr>
          <w:color w:val="231F20"/>
          <w:sz w:val="12"/>
        </w:rPr>
        <w:t xml:space="preserve">Úrazové proděravění žaludku </w:t>
      </w:r>
      <w:r>
        <w:rPr>
          <w:b/>
          <w:color w:val="231F20"/>
          <w:sz w:val="12"/>
        </w:rPr>
        <w:t>098</w:t>
      </w:r>
      <w:r>
        <w:rPr>
          <w:b/>
          <w:color w:val="231F20"/>
          <w:spacing w:val="-2"/>
          <w:sz w:val="12"/>
        </w:rPr>
        <w:t xml:space="preserve"> </w:t>
      </w:r>
      <w:r>
        <w:rPr>
          <w:color w:val="231F20"/>
          <w:sz w:val="12"/>
        </w:rPr>
        <w:t>Úrazové</w:t>
      </w:r>
      <w:r>
        <w:rPr>
          <w:color w:val="231F20"/>
          <w:spacing w:val="-18"/>
          <w:sz w:val="12"/>
        </w:rPr>
        <w:t xml:space="preserve"> </w:t>
      </w:r>
      <w:r>
        <w:rPr>
          <w:color w:val="231F20"/>
          <w:sz w:val="12"/>
        </w:rPr>
        <w:t>proděravění</w:t>
      </w:r>
      <w:r>
        <w:rPr>
          <w:color w:val="231F20"/>
          <w:spacing w:val="-19"/>
          <w:sz w:val="12"/>
        </w:rPr>
        <w:t xml:space="preserve"> </w:t>
      </w:r>
      <w:r>
        <w:rPr>
          <w:color w:val="231F20"/>
          <w:sz w:val="12"/>
        </w:rPr>
        <w:t xml:space="preserve">dvanáctníku </w:t>
      </w:r>
      <w:r>
        <w:rPr>
          <w:b/>
          <w:color w:val="231F20"/>
          <w:sz w:val="12"/>
        </w:rPr>
        <w:t>099</w:t>
      </w:r>
      <w:r>
        <w:rPr>
          <w:b/>
          <w:color w:val="231F20"/>
          <w:spacing w:val="8"/>
          <w:sz w:val="12"/>
        </w:rPr>
        <w:t xml:space="preserve"> </w:t>
      </w:r>
      <w:r>
        <w:rPr>
          <w:color w:val="231F20"/>
          <w:sz w:val="12"/>
        </w:rPr>
        <w:t>Natržení,</w:t>
      </w:r>
      <w:r>
        <w:rPr>
          <w:color w:val="231F20"/>
          <w:spacing w:val="-14"/>
          <w:sz w:val="12"/>
        </w:rPr>
        <w:t xml:space="preserve"> </w:t>
      </w:r>
      <w:r>
        <w:rPr>
          <w:color w:val="231F20"/>
          <w:sz w:val="12"/>
        </w:rPr>
        <w:t>přetržení</w:t>
      </w:r>
      <w:r>
        <w:rPr>
          <w:color w:val="231F20"/>
          <w:spacing w:val="-14"/>
          <w:sz w:val="12"/>
        </w:rPr>
        <w:t xml:space="preserve"> </w:t>
      </w:r>
      <w:r>
        <w:rPr>
          <w:color w:val="231F20"/>
          <w:sz w:val="12"/>
        </w:rPr>
        <w:t>tenkého</w:t>
      </w:r>
      <w:r>
        <w:rPr>
          <w:color w:val="231F20"/>
          <w:spacing w:val="-13"/>
          <w:sz w:val="12"/>
        </w:rPr>
        <w:t xml:space="preserve"> </w:t>
      </w:r>
      <w:r>
        <w:rPr>
          <w:color w:val="231F20"/>
          <w:spacing w:val="-4"/>
          <w:sz w:val="12"/>
        </w:rPr>
        <w:t>střeva</w:t>
      </w:r>
    </w:p>
    <w:p w14:paraId="57F91440" w14:textId="77777777" w:rsidR="00F65BCA" w:rsidRDefault="00216117">
      <w:pPr>
        <w:pStyle w:val="Odstavecseseznamem"/>
        <w:numPr>
          <w:ilvl w:val="0"/>
          <w:numId w:val="70"/>
        </w:numPr>
        <w:tabs>
          <w:tab w:val="left" w:pos="456"/>
        </w:tabs>
        <w:spacing w:before="1"/>
        <w:ind w:hanging="273"/>
        <w:rPr>
          <w:sz w:val="12"/>
        </w:rPr>
      </w:pPr>
      <w:r>
        <w:rPr>
          <w:color w:val="231F20"/>
          <w:sz w:val="12"/>
        </w:rPr>
        <w:t>Natržení, přetržení tlustého</w:t>
      </w:r>
      <w:r>
        <w:rPr>
          <w:color w:val="231F20"/>
          <w:spacing w:val="-9"/>
          <w:sz w:val="12"/>
        </w:rPr>
        <w:t xml:space="preserve"> </w:t>
      </w:r>
      <w:r>
        <w:rPr>
          <w:color w:val="231F20"/>
          <w:sz w:val="12"/>
        </w:rPr>
        <w:t>střeva</w:t>
      </w:r>
    </w:p>
    <w:p w14:paraId="098ACE7E" w14:textId="77777777" w:rsidR="00F65BCA" w:rsidRDefault="00216117">
      <w:pPr>
        <w:pStyle w:val="Odstavecseseznamem"/>
        <w:numPr>
          <w:ilvl w:val="0"/>
          <w:numId w:val="70"/>
        </w:numPr>
        <w:tabs>
          <w:tab w:val="left" w:pos="456"/>
        </w:tabs>
        <w:spacing w:before="32"/>
        <w:ind w:hanging="273"/>
        <w:rPr>
          <w:sz w:val="12"/>
        </w:rPr>
      </w:pPr>
      <w:r>
        <w:rPr>
          <w:color w:val="231F20"/>
          <w:sz w:val="12"/>
        </w:rPr>
        <w:t>Natržení, roztržení okruží</w:t>
      </w:r>
      <w:r>
        <w:rPr>
          <w:color w:val="231F20"/>
          <w:spacing w:val="-16"/>
          <w:sz w:val="12"/>
        </w:rPr>
        <w:t xml:space="preserve"> </w:t>
      </w:r>
      <w:r>
        <w:rPr>
          <w:color w:val="231F20"/>
          <w:sz w:val="12"/>
        </w:rPr>
        <w:t>(mesenteria)</w:t>
      </w:r>
    </w:p>
    <w:p w14:paraId="2D207930" w14:textId="77777777" w:rsidR="00F65BCA" w:rsidRDefault="00F65BCA">
      <w:pPr>
        <w:pStyle w:val="Zkladntext"/>
        <w:spacing w:before="7"/>
        <w:rPr>
          <w:sz w:val="16"/>
        </w:rPr>
      </w:pPr>
    </w:p>
    <w:p w14:paraId="51D5EFDE" w14:textId="77777777" w:rsidR="00F65BCA" w:rsidRDefault="00216117">
      <w:pPr>
        <w:ind w:left="939" w:right="408"/>
        <w:jc w:val="center"/>
        <w:rPr>
          <w:b/>
          <w:sz w:val="14"/>
        </w:rPr>
      </w:pPr>
      <w:r>
        <w:rPr>
          <w:b/>
          <w:color w:val="231F20"/>
          <w:sz w:val="14"/>
        </w:rPr>
        <w:t>ÚSTROJÍ</w:t>
      </w:r>
      <w:r>
        <w:rPr>
          <w:b/>
          <w:color w:val="231F20"/>
          <w:spacing w:val="2"/>
          <w:sz w:val="14"/>
        </w:rPr>
        <w:t xml:space="preserve"> </w:t>
      </w:r>
      <w:r>
        <w:rPr>
          <w:b/>
          <w:color w:val="231F20"/>
          <w:sz w:val="14"/>
        </w:rPr>
        <w:t>UROGENITÁLNÍ</w:t>
      </w:r>
    </w:p>
    <w:p w14:paraId="175FF1CA" w14:textId="77777777" w:rsidR="00F65BCA" w:rsidRDefault="00216117">
      <w:pPr>
        <w:pStyle w:val="Odstavecseseznamem"/>
        <w:numPr>
          <w:ilvl w:val="0"/>
          <w:numId w:val="70"/>
        </w:numPr>
        <w:tabs>
          <w:tab w:val="left" w:pos="456"/>
        </w:tabs>
        <w:spacing w:before="45"/>
        <w:ind w:hanging="273"/>
        <w:rPr>
          <w:sz w:val="12"/>
        </w:rPr>
      </w:pPr>
      <w:r>
        <w:rPr>
          <w:color w:val="231F20"/>
          <w:w w:val="95"/>
          <w:position w:val="1"/>
          <w:sz w:val="12"/>
        </w:rPr>
        <w:t>Pohmoždění ledviny (s</w:t>
      </w:r>
      <w:r>
        <w:rPr>
          <w:color w:val="231F20"/>
          <w:spacing w:val="-15"/>
          <w:w w:val="95"/>
          <w:position w:val="1"/>
          <w:sz w:val="12"/>
        </w:rPr>
        <w:t xml:space="preserve"> </w:t>
      </w:r>
      <w:r>
        <w:rPr>
          <w:color w:val="231F20"/>
          <w:w w:val="95"/>
          <w:position w:val="1"/>
          <w:sz w:val="12"/>
        </w:rPr>
        <w:t>haematurií)</w:t>
      </w:r>
    </w:p>
    <w:p w14:paraId="56CB9990" w14:textId="77777777" w:rsidR="00F65BCA" w:rsidRDefault="00216117">
      <w:pPr>
        <w:pStyle w:val="Odstavecseseznamem"/>
        <w:numPr>
          <w:ilvl w:val="0"/>
          <w:numId w:val="70"/>
        </w:numPr>
        <w:tabs>
          <w:tab w:val="left" w:pos="456"/>
        </w:tabs>
        <w:spacing w:before="26"/>
        <w:ind w:hanging="273"/>
        <w:rPr>
          <w:sz w:val="12"/>
        </w:rPr>
      </w:pPr>
      <w:r>
        <w:rPr>
          <w:color w:val="231F20"/>
          <w:sz w:val="12"/>
        </w:rPr>
        <w:t>Pohmoždění pyje těžšího</w:t>
      </w:r>
      <w:r>
        <w:rPr>
          <w:color w:val="231F20"/>
          <w:spacing w:val="-7"/>
          <w:sz w:val="12"/>
        </w:rPr>
        <w:t xml:space="preserve"> </w:t>
      </w:r>
      <w:r>
        <w:rPr>
          <w:color w:val="231F20"/>
          <w:sz w:val="12"/>
        </w:rPr>
        <w:t>stupně</w:t>
      </w:r>
    </w:p>
    <w:p w14:paraId="5BCF1894" w14:textId="77777777" w:rsidR="00F65BCA" w:rsidRDefault="00216117">
      <w:pPr>
        <w:pStyle w:val="Odstavecseseznamem"/>
        <w:numPr>
          <w:ilvl w:val="0"/>
          <w:numId w:val="70"/>
        </w:numPr>
        <w:tabs>
          <w:tab w:val="left" w:pos="456"/>
        </w:tabs>
        <w:spacing w:before="32"/>
        <w:ind w:hanging="273"/>
        <w:rPr>
          <w:sz w:val="12"/>
        </w:rPr>
      </w:pPr>
      <w:r>
        <w:rPr>
          <w:color w:val="231F20"/>
          <w:sz w:val="12"/>
        </w:rPr>
        <w:t>Pohmoždění varlat a šourku těžšího</w:t>
      </w:r>
      <w:r>
        <w:rPr>
          <w:color w:val="231F20"/>
          <w:spacing w:val="-25"/>
          <w:sz w:val="12"/>
        </w:rPr>
        <w:t xml:space="preserve"> </w:t>
      </w:r>
      <w:r>
        <w:rPr>
          <w:color w:val="231F20"/>
          <w:sz w:val="12"/>
        </w:rPr>
        <w:t>stupně</w:t>
      </w:r>
    </w:p>
    <w:p w14:paraId="32EEDBDB" w14:textId="77777777" w:rsidR="00F65BCA" w:rsidRDefault="00216117">
      <w:pPr>
        <w:pStyle w:val="Odstavecseseznamem"/>
        <w:numPr>
          <w:ilvl w:val="0"/>
          <w:numId w:val="70"/>
        </w:numPr>
        <w:tabs>
          <w:tab w:val="left" w:pos="456"/>
        </w:tabs>
        <w:spacing w:before="46" w:line="220" w:lineRule="auto"/>
        <w:ind w:right="342"/>
        <w:rPr>
          <w:sz w:val="12"/>
        </w:rPr>
      </w:pPr>
      <w:r>
        <w:rPr>
          <w:color w:val="231F20"/>
          <w:w w:val="95"/>
          <w:position w:val="1"/>
          <w:sz w:val="12"/>
        </w:rPr>
        <w:t xml:space="preserve">Pohmoždění zevního, vnitřního genitálu </w:t>
      </w:r>
      <w:r>
        <w:rPr>
          <w:color w:val="231F20"/>
          <w:spacing w:val="-6"/>
          <w:w w:val="95"/>
          <w:position w:val="1"/>
          <w:sz w:val="12"/>
        </w:rPr>
        <w:t>ženy,</w:t>
      </w:r>
      <w:r>
        <w:rPr>
          <w:color w:val="231F20"/>
          <w:spacing w:val="-6"/>
          <w:w w:val="95"/>
          <w:sz w:val="12"/>
        </w:rPr>
        <w:t xml:space="preserve"> </w:t>
      </w:r>
      <w:r>
        <w:rPr>
          <w:color w:val="231F20"/>
          <w:sz w:val="12"/>
        </w:rPr>
        <w:t>traumatický</w:t>
      </w:r>
      <w:r>
        <w:rPr>
          <w:color w:val="231F20"/>
          <w:spacing w:val="-1"/>
          <w:sz w:val="12"/>
        </w:rPr>
        <w:t xml:space="preserve"> </w:t>
      </w:r>
      <w:r>
        <w:rPr>
          <w:color w:val="231F20"/>
          <w:sz w:val="12"/>
        </w:rPr>
        <w:t>potrat</w:t>
      </w:r>
    </w:p>
    <w:p w14:paraId="10751E3A" w14:textId="77777777" w:rsidR="00F65BCA" w:rsidRDefault="00216117">
      <w:pPr>
        <w:pStyle w:val="Odstavecseseznamem"/>
        <w:numPr>
          <w:ilvl w:val="0"/>
          <w:numId w:val="70"/>
        </w:numPr>
        <w:tabs>
          <w:tab w:val="left" w:pos="456"/>
        </w:tabs>
        <w:spacing w:before="52" w:line="211" w:lineRule="auto"/>
        <w:ind w:right="12"/>
        <w:rPr>
          <w:sz w:val="12"/>
        </w:rPr>
      </w:pPr>
      <w:r>
        <w:rPr>
          <w:color w:val="231F20"/>
          <w:position w:val="1"/>
          <w:sz w:val="12"/>
        </w:rPr>
        <w:t>Pohmoždění</w:t>
      </w:r>
      <w:r>
        <w:rPr>
          <w:color w:val="231F20"/>
          <w:spacing w:val="-23"/>
          <w:position w:val="1"/>
          <w:sz w:val="12"/>
        </w:rPr>
        <w:t xml:space="preserve"> </w:t>
      </w:r>
      <w:r>
        <w:rPr>
          <w:color w:val="231F20"/>
          <w:position w:val="1"/>
          <w:sz w:val="12"/>
        </w:rPr>
        <w:t>varlat</w:t>
      </w:r>
      <w:r>
        <w:rPr>
          <w:color w:val="231F20"/>
          <w:spacing w:val="-23"/>
          <w:position w:val="1"/>
          <w:sz w:val="12"/>
        </w:rPr>
        <w:t xml:space="preserve"> </w:t>
      </w:r>
      <w:r>
        <w:rPr>
          <w:color w:val="231F20"/>
          <w:position w:val="1"/>
          <w:sz w:val="12"/>
        </w:rPr>
        <w:t>a</w:t>
      </w:r>
      <w:r>
        <w:rPr>
          <w:color w:val="231F20"/>
          <w:spacing w:val="-23"/>
          <w:position w:val="1"/>
          <w:sz w:val="12"/>
        </w:rPr>
        <w:t xml:space="preserve"> </w:t>
      </w:r>
      <w:r>
        <w:rPr>
          <w:color w:val="231F20"/>
          <w:position w:val="1"/>
          <w:sz w:val="12"/>
        </w:rPr>
        <w:t>šourku</w:t>
      </w:r>
      <w:r>
        <w:rPr>
          <w:color w:val="231F20"/>
          <w:spacing w:val="-23"/>
          <w:position w:val="1"/>
          <w:sz w:val="12"/>
        </w:rPr>
        <w:t xml:space="preserve"> </w:t>
      </w:r>
      <w:r>
        <w:rPr>
          <w:color w:val="231F20"/>
          <w:position w:val="1"/>
          <w:sz w:val="12"/>
        </w:rPr>
        <w:t>těžšího</w:t>
      </w:r>
      <w:r>
        <w:rPr>
          <w:color w:val="231F20"/>
          <w:spacing w:val="-23"/>
          <w:position w:val="1"/>
          <w:sz w:val="12"/>
        </w:rPr>
        <w:t xml:space="preserve"> </w:t>
      </w:r>
      <w:r>
        <w:rPr>
          <w:color w:val="231F20"/>
          <w:position w:val="1"/>
          <w:sz w:val="12"/>
        </w:rPr>
        <w:t>stupně</w:t>
      </w:r>
      <w:r>
        <w:rPr>
          <w:color w:val="231F20"/>
          <w:spacing w:val="-23"/>
          <w:position w:val="1"/>
          <w:sz w:val="12"/>
        </w:rPr>
        <w:t xml:space="preserve"> </w:t>
      </w:r>
      <w:r>
        <w:rPr>
          <w:color w:val="231F20"/>
          <w:position w:val="1"/>
          <w:sz w:val="12"/>
        </w:rPr>
        <w:t>s</w:t>
      </w:r>
      <w:r>
        <w:rPr>
          <w:color w:val="231F20"/>
          <w:spacing w:val="-22"/>
          <w:position w:val="1"/>
          <w:sz w:val="12"/>
        </w:rPr>
        <w:t xml:space="preserve"> </w:t>
      </w:r>
      <w:r>
        <w:rPr>
          <w:color w:val="231F20"/>
          <w:position w:val="1"/>
          <w:sz w:val="12"/>
        </w:rPr>
        <w:t>poúra-</w:t>
      </w:r>
      <w:r>
        <w:rPr>
          <w:color w:val="231F20"/>
          <w:sz w:val="12"/>
        </w:rPr>
        <w:t xml:space="preserve"> zovým</w:t>
      </w:r>
      <w:r>
        <w:rPr>
          <w:color w:val="231F20"/>
          <w:spacing w:val="-8"/>
          <w:sz w:val="12"/>
        </w:rPr>
        <w:t xml:space="preserve"> </w:t>
      </w:r>
      <w:r>
        <w:rPr>
          <w:color w:val="231F20"/>
          <w:sz w:val="12"/>
        </w:rPr>
        <w:t>zánětem</w:t>
      </w:r>
      <w:r>
        <w:rPr>
          <w:color w:val="231F20"/>
          <w:spacing w:val="-7"/>
          <w:sz w:val="12"/>
        </w:rPr>
        <w:t xml:space="preserve"> </w:t>
      </w:r>
      <w:r>
        <w:rPr>
          <w:color w:val="231F20"/>
          <w:sz w:val="12"/>
        </w:rPr>
        <w:t>varlete</w:t>
      </w:r>
      <w:r>
        <w:rPr>
          <w:color w:val="231F20"/>
          <w:spacing w:val="-7"/>
          <w:sz w:val="12"/>
        </w:rPr>
        <w:t xml:space="preserve"> </w:t>
      </w:r>
      <w:r>
        <w:rPr>
          <w:color w:val="231F20"/>
          <w:sz w:val="12"/>
        </w:rPr>
        <w:t>a</w:t>
      </w:r>
      <w:r>
        <w:rPr>
          <w:color w:val="231F20"/>
          <w:spacing w:val="-7"/>
          <w:sz w:val="12"/>
        </w:rPr>
        <w:t xml:space="preserve"> </w:t>
      </w:r>
      <w:r>
        <w:rPr>
          <w:color w:val="231F20"/>
          <w:sz w:val="12"/>
        </w:rPr>
        <w:t>nadvarlete</w:t>
      </w:r>
    </w:p>
    <w:p w14:paraId="78155D5A" w14:textId="77777777" w:rsidR="00F65BCA" w:rsidRDefault="00216117">
      <w:pPr>
        <w:spacing w:before="41"/>
        <w:ind w:left="455"/>
        <w:rPr>
          <w:b/>
          <w:sz w:val="12"/>
        </w:rPr>
      </w:pPr>
      <w:r>
        <w:rPr>
          <w:b/>
          <w:color w:val="231F20"/>
          <w:sz w:val="12"/>
        </w:rPr>
        <w:t>Roztržení nebo rozdrcení ledviny</w:t>
      </w:r>
    </w:p>
    <w:p w14:paraId="66AB2E12" w14:textId="77777777" w:rsidR="00F65BCA" w:rsidRDefault="00216117">
      <w:pPr>
        <w:pStyle w:val="Odstavecseseznamem"/>
        <w:numPr>
          <w:ilvl w:val="0"/>
          <w:numId w:val="70"/>
        </w:numPr>
        <w:tabs>
          <w:tab w:val="left" w:pos="456"/>
        </w:tabs>
        <w:spacing w:before="32"/>
        <w:ind w:hanging="273"/>
        <w:rPr>
          <w:sz w:val="12"/>
        </w:rPr>
      </w:pPr>
      <w:r>
        <w:rPr>
          <w:color w:val="231F20"/>
          <w:sz w:val="12"/>
        </w:rPr>
        <w:t>léčené</w:t>
      </w:r>
      <w:r>
        <w:rPr>
          <w:color w:val="231F20"/>
          <w:spacing w:val="-2"/>
          <w:sz w:val="12"/>
        </w:rPr>
        <w:t xml:space="preserve"> </w:t>
      </w:r>
      <w:r>
        <w:rPr>
          <w:color w:val="231F20"/>
          <w:sz w:val="12"/>
        </w:rPr>
        <w:t>konzervativně</w:t>
      </w:r>
    </w:p>
    <w:p w14:paraId="5013436D" w14:textId="77777777" w:rsidR="00F65BCA" w:rsidRDefault="00216117">
      <w:pPr>
        <w:pStyle w:val="Odstavecseseznamem"/>
        <w:numPr>
          <w:ilvl w:val="0"/>
          <w:numId w:val="70"/>
        </w:numPr>
        <w:tabs>
          <w:tab w:val="left" w:pos="456"/>
        </w:tabs>
        <w:spacing w:before="32"/>
        <w:ind w:hanging="273"/>
        <w:rPr>
          <w:sz w:val="12"/>
        </w:rPr>
      </w:pPr>
      <w:r>
        <w:rPr>
          <w:color w:val="231F20"/>
          <w:sz w:val="12"/>
        </w:rPr>
        <w:t>léčené</w:t>
      </w:r>
      <w:r>
        <w:rPr>
          <w:color w:val="231F20"/>
          <w:spacing w:val="-1"/>
          <w:sz w:val="12"/>
        </w:rPr>
        <w:t xml:space="preserve"> </w:t>
      </w:r>
      <w:r>
        <w:rPr>
          <w:color w:val="231F20"/>
          <w:sz w:val="12"/>
        </w:rPr>
        <w:t>operací</w:t>
      </w:r>
    </w:p>
    <w:p w14:paraId="0E0E931A" w14:textId="77777777" w:rsidR="00F65BCA" w:rsidRDefault="00216117">
      <w:pPr>
        <w:pStyle w:val="Odstavecseseznamem"/>
        <w:numPr>
          <w:ilvl w:val="0"/>
          <w:numId w:val="70"/>
        </w:numPr>
        <w:tabs>
          <w:tab w:val="left" w:pos="456"/>
        </w:tabs>
        <w:spacing w:before="32"/>
        <w:ind w:hanging="273"/>
        <w:rPr>
          <w:sz w:val="12"/>
        </w:rPr>
      </w:pPr>
      <w:r>
        <w:rPr>
          <w:color w:val="231F20"/>
          <w:sz w:val="12"/>
        </w:rPr>
        <w:t>Roztržení močového</w:t>
      </w:r>
      <w:r>
        <w:rPr>
          <w:color w:val="231F20"/>
          <w:spacing w:val="-4"/>
          <w:sz w:val="12"/>
        </w:rPr>
        <w:t xml:space="preserve"> </w:t>
      </w:r>
      <w:r>
        <w:rPr>
          <w:color w:val="231F20"/>
          <w:sz w:val="12"/>
        </w:rPr>
        <w:t>měchýře</w:t>
      </w:r>
    </w:p>
    <w:p w14:paraId="602E1280" w14:textId="77777777" w:rsidR="00F65BCA" w:rsidRDefault="00216117">
      <w:pPr>
        <w:pStyle w:val="Odstavecseseznamem"/>
        <w:numPr>
          <w:ilvl w:val="0"/>
          <w:numId w:val="70"/>
        </w:numPr>
        <w:tabs>
          <w:tab w:val="left" w:pos="456"/>
        </w:tabs>
        <w:spacing w:before="32"/>
        <w:ind w:hanging="273"/>
        <w:rPr>
          <w:sz w:val="12"/>
        </w:rPr>
      </w:pPr>
      <w:r>
        <w:rPr>
          <w:color w:val="231F20"/>
          <w:sz w:val="12"/>
        </w:rPr>
        <w:t>Roztržení močové</w:t>
      </w:r>
      <w:r>
        <w:rPr>
          <w:color w:val="231F20"/>
          <w:spacing w:val="-3"/>
          <w:sz w:val="12"/>
        </w:rPr>
        <w:t xml:space="preserve"> </w:t>
      </w:r>
      <w:r>
        <w:rPr>
          <w:color w:val="231F20"/>
          <w:sz w:val="12"/>
        </w:rPr>
        <w:t>roury</w:t>
      </w:r>
    </w:p>
    <w:p w14:paraId="6288B255" w14:textId="77777777" w:rsidR="00F65BCA" w:rsidRDefault="00F65BCA">
      <w:pPr>
        <w:pStyle w:val="Zkladntext"/>
        <w:spacing w:before="7"/>
        <w:rPr>
          <w:sz w:val="16"/>
        </w:rPr>
      </w:pPr>
    </w:p>
    <w:p w14:paraId="312E4E0E" w14:textId="77777777" w:rsidR="00F65BCA" w:rsidRDefault="00216117">
      <w:pPr>
        <w:ind w:left="939" w:right="408"/>
        <w:jc w:val="center"/>
        <w:rPr>
          <w:b/>
          <w:sz w:val="14"/>
        </w:rPr>
      </w:pPr>
      <w:r>
        <w:rPr>
          <w:b/>
          <w:color w:val="231F20"/>
          <w:sz w:val="14"/>
        </w:rPr>
        <w:t>PÁTEŘ</w:t>
      </w:r>
    </w:p>
    <w:p w14:paraId="58754D7F" w14:textId="77777777" w:rsidR="00F65BCA" w:rsidRDefault="00216117">
      <w:pPr>
        <w:spacing w:before="52"/>
        <w:ind w:left="455"/>
        <w:rPr>
          <w:b/>
          <w:sz w:val="12"/>
        </w:rPr>
      </w:pPr>
      <w:r>
        <w:rPr>
          <w:b/>
          <w:color w:val="231F20"/>
          <w:sz w:val="12"/>
        </w:rPr>
        <w:t>Pohmoždění těžšího</w:t>
      </w:r>
      <w:r>
        <w:rPr>
          <w:b/>
          <w:color w:val="231F20"/>
          <w:spacing w:val="-3"/>
          <w:sz w:val="12"/>
        </w:rPr>
        <w:t xml:space="preserve"> </w:t>
      </w:r>
      <w:r>
        <w:rPr>
          <w:b/>
          <w:color w:val="231F20"/>
          <w:sz w:val="12"/>
        </w:rPr>
        <w:t>stupně</w:t>
      </w:r>
    </w:p>
    <w:p w14:paraId="272AD5E2" w14:textId="77777777" w:rsidR="00F65BCA" w:rsidRDefault="00216117">
      <w:pPr>
        <w:pStyle w:val="Odstavecseseznamem"/>
        <w:numPr>
          <w:ilvl w:val="0"/>
          <w:numId w:val="70"/>
        </w:numPr>
        <w:tabs>
          <w:tab w:val="left" w:pos="456"/>
        </w:tabs>
        <w:spacing w:before="38"/>
        <w:ind w:hanging="273"/>
        <w:rPr>
          <w:sz w:val="12"/>
        </w:rPr>
      </w:pPr>
      <w:r>
        <w:rPr>
          <w:color w:val="231F20"/>
          <w:sz w:val="12"/>
        </w:rPr>
        <w:t>krční</w:t>
      </w:r>
      <w:r>
        <w:rPr>
          <w:color w:val="231F20"/>
          <w:spacing w:val="-1"/>
          <w:sz w:val="12"/>
        </w:rPr>
        <w:t xml:space="preserve"> </w:t>
      </w:r>
      <w:r>
        <w:rPr>
          <w:color w:val="231F20"/>
          <w:sz w:val="12"/>
        </w:rPr>
        <w:t>páteře</w:t>
      </w:r>
    </w:p>
    <w:p w14:paraId="315C034A" w14:textId="77777777" w:rsidR="00F65BCA" w:rsidRDefault="00216117">
      <w:pPr>
        <w:pStyle w:val="Odstavecseseznamem"/>
        <w:numPr>
          <w:ilvl w:val="0"/>
          <w:numId w:val="70"/>
        </w:numPr>
        <w:tabs>
          <w:tab w:val="left" w:pos="456"/>
        </w:tabs>
        <w:spacing w:before="37"/>
        <w:ind w:hanging="273"/>
        <w:rPr>
          <w:sz w:val="12"/>
        </w:rPr>
      </w:pPr>
      <w:r>
        <w:rPr>
          <w:color w:val="231F20"/>
          <w:sz w:val="12"/>
        </w:rPr>
        <w:t>hrudní</w:t>
      </w:r>
      <w:r>
        <w:rPr>
          <w:color w:val="231F20"/>
          <w:spacing w:val="-1"/>
          <w:sz w:val="12"/>
        </w:rPr>
        <w:t xml:space="preserve"> </w:t>
      </w:r>
      <w:r>
        <w:rPr>
          <w:color w:val="231F20"/>
          <w:sz w:val="12"/>
        </w:rPr>
        <w:t>páteře</w:t>
      </w:r>
    </w:p>
    <w:p w14:paraId="31F6EC99" w14:textId="77777777" w:rsidR="00F65BCA" w:rsidRDefault="00216117">
      <w:pPr>
        <w:pStyle w:val="Odstavecseseznamem"/>
        <w:numPr>
          <w:ilvl w:val="0"/>
          <w:numId w:val="70"/>
        </w:numPr>
        <w:tabs>
          <w:tab w:val="left" w:pos="456"/>
        </w:tabs>
        <w:spacing w:before="38"/>
        <w:ind w:hanging="273"/>
        <w:rPr>
          <w:sz w:val="12"/>
        </w:rPr>
      </w:pPr>
      <w:r>
        <w:rPr>
          <w:color w:val="231F20"/>
          <w:sz w:val="12"/>
        </w:rPr>
        <w:t>bederní</w:t>
      </w:r>
      <w:r>
        <w:rPr>
          <w:color w:val="231F20"/>
          <w:spacing w:val="-1"/>
          <w:sz w:val="12"/>
        </w:rPr>
        <w:t xml:space="preserve"> </w:t>
      </w:r>
      <w:r>
        <w:rPr>
          <w:color w:val="231F20"/>
          <w:sz w:val="12"/>
        </w:rPr>
        <w:t>páteře</w:t>
      </w:r>
    </w:p>
    <w:p w14:paraId="68DF84B1" w14:textId="77777777" w:rsidR="00F65BCA" w:rsidRDefault="00216117">
      <w:pPr>
        <w:pStyle w:val="Odstavecseseznamem"/>
        <w:numPr>
          <w:ilvl w:val="0"/>
          <w:numId w:val="70"/>
        </w:numPr>
        <w:tabs>
          <w:tab w:val="left" w:pos="456"/>
        </w:tabs>
        <w:spacing w:before="38"/>
        <w:ind w:hanging="273"/>
        <w:rPr>
          <w:sz w:val="12"/>
        </w:rPr>
      </w:pPr>
      <w:r>
        <w:rPr>
          <w:color w:val="231F20"/>
          <w:sz w:val="12"/>
        </w:rPr>
        <w:t>sakrální páteře nebo</w:t>
      </w:r>
      <w:r>
        <w:rPr>
          <w:color w:val="231F20"/>
          <w:spacing w:val="-5"/>
          <w:sz w:val="12"/>
        </w:rPr>
        <w:t xml:space="preserve"> </w:t>
      </w:r>
      <w:r>
        <w:rPr>
          <w:color w:val="231F20"/>
          <w:sz w:val="12"/>
        </w:rPr>
        <w:t>kostrče</w:t>
      </w:r>
    </w:p>
    <w:p w14:paraId="61F275B5" w14:textId="77777777" w:rsidR="00F65BCA" w:rsidRDefault="00216117">
      <w:pPr>
        <w:spacing w:before="38"/>
        <w:ind w:left="455"/>
        <w:rPr>
          <w:b/>
          <w:sz w:val="12"/>
        </w:rPr>
      </w:pPr>
      <w:r>
        <w:rPr>
          <w:b/>
          <w:color w:val="231F20"/>
          <w:sz w:val="12"/>
        </w:rPr>
        <w:t>Podvrtnutí</w:t>
      </w:r>
    </w:p>
    <w:p w14:paraId="2D9A80D0" w14:textId="77777777" w:rsidR="00F65BCA" w:rsidRDefault="00216117">
      <w:pPr>
        <w:pStyle w:val="Odstavecseseznamem"/>
        <w:numPr>
          <w:ilvl w:val="0"/>
          <w:numId w:val="70"/>
        </w:numPr>
        <w:tabs>
          <w:tab w:val="left" w:pos="456"/>
        </w:tabs>
        <w:spacing w:before="37"/>
        <w:ind w:hanging="273"/>
        <w:rPr>
          <w:sz w:val="12"/>
        </w:rPr>
      </w:pPr>
      <w:r>
        <w:rPr>
          <w:color w:val="231F20"/>
          <w:sz w:val="12"/>
        </w:rPr>
        <w:t>krční</w:t>
      </w:r>
      <w:r>
        <w:rPr>
          <w:color w:val="231F20"/>
          <w:spacing w:val="-1"/>
          <w:sz w:val="12"/>
        </w:rPr>
        <w:t xml:space="preserve"> </w:t>
      </w:r>
      <w:r>
        <w:rPr>
          <w:color w:val="231F20"/>
          <w:sz w:val="12"/>
        </w:rPr>
        <w:t>páteře</w:t>
      </w:r>
    </w:p>
    <w:p w14:paraId="1B4C8029" w14:textId="77777777" w:rsidR="00F65BCA" w:rsidRDefault="00216117">
      <w:pPr>
        <w:pStyle w:val="Odstavecseseznamem"/>
        <w:numPr>
          <w:ilvl w:val="0"/>
          <w:numId w:val="70"/>
        </w:numPr>
        <w:tabs>
          <w:tab w:val="left" w:pos="456"/>
        </w:tabs>
        <w:spacing w:before="38"/>
        <w:ind w:hanging="273"/>
        <w:rPr>
          <w:sz w:val="12"/>
        </w:rPr>
      </w:pPr>
      <w:r>
        <w:rPr>
          <w:color w:val="231F20"/>
          <w:sz w:val="12"/>
        </w:rPr>
        <w:t>hrudní</w:t>
      </w:r>
      <w:r>
        <w:rPr>
          <w:color w:val="231F20"/>
          <w:spacing w:val="-1"/>
          <w:sz w:val="12"/>
        </w:rPr>
        <w:t xml:space="preserve"> </w:t>
      </w:r>
      <w:r>
        <w:rPr>
          <w:color w:val="231F20"/>
          <w:sz w:val="12"/>
        </w:rPr>
        <w:t>páteře</w:t>
      </w:r>
    </w:p>
    <w:p w14:paraId="60DD5B24" w14:textId="77777777" w:rsidR="00F65BCA" w:rsidRDefault="00216117">
      <w:pPr>
        <w:pStyle w:val="Odstavecseseznamem"/>
        <w:numPr>
          <w:ilvl w:val="0"/>
          <w:numId w:val="70"/>
        </w:numPr>
        <w:tabs>
          <w:tab w:val="left" w:pos="456"/>
        </w:tabs>
        <w:spacing w:before="38"/>
        <w:ind w:hanging="273"/>
        <w:rPr>
          <w:sz w:val="12"/>
        </w:rPr>
      </w:pPr>
      <w:r>
        <w:rPr>
          <w:color w:val="231F20"/>
          <w:sz w:val="12"/>
        </w:rPr>
        <w:t>bederní</w:t>
      </w:r>
      <w:r>
        <w:rPr>
          <w:color w:val="231F20"/>
          <w:spacing w:val="-1"/>
          <w:sz w:val="12"/>
        </w:rPr>
        <w:t xml:space="preserve"> </w:t>
      </w:r>
      <w:r>
        <w:rPr>
          <w:color w:val="231F20"/>
          <w:sz w:val="12"/>
        </w:rPr>
        <w:t>páteře</w:t>
      </w:r>
    </w:p>
    <w:p w14:paraId="26FE6166" w14:textId="77777777" w:rsidR="00F65BCA" w:rsidRDefault="00216117">
      <w:pPr>
        <w:pStyle w:val="Odstavecseseznamem"/>
        <w:numPr>
          <w:ilvl w:val="0"/>
          <w:numId w:val="70"/>
        </w:numPr>
        <w:tabs>
          <w:tab w:val="left" w:pos="456"/>
        </w:tabs>
        <w:spacing w:before="38"/>
        <w:ind w:hanging="273"/>
        <w:rPr>
          <w:sz w:val="12"/>
        </w:rPr>
      </w:pPr>
      <w:r>
        <w:rPr>
          <w:color w:val="231F20"/>
          <w:sz w:val="12"/>
        </w:rPr>
        <w:t>sakrální páteře nebo</w:t>
      </w:r>
      <w:r>
        <w:rPr>
          <w:color w:val="231F20"/>
          <w:spacing w:val="-5"/>
          <w:sz w:val="12"/>
        </w:rPr>
        <w:t xml:space="preserve"> </w:t>
      </w:r>
      <w:r>
        <w:rPr>
          <w:color w:val="231F20"/>
          <w:sz w:val="12"/>
        </w:rPr>
        <w:t>kostrče</w:t>
      </w:r>
    </w:p>
    <w:p w14:paraId="07EB606C" w14:textId="77777777" w:rsidR="00F65BCA" w:rsidRDefault="00216117">
      <w:pPr>
        <w:spacing w:before="38"/>
        <w:ind w:left="455"/>
        <w:rPr>
          <w:b/>
          <w:sz w:val="12"/>
        </w:rPr>
      </w:pPr>
      <w:r>
        <w:rPr>
          <w:b/>
          <w:color w:val="231F20"/>
          <w:sz w:val="12"/>
        </w:rPr>
        <w:t>Vymknutí</w:t>
      </w:r>
    </w:p>
    <w:p w14:paraId="6BDEC4F5" w14:textId="77777777" w:rsidR="00F65BCA" w:rsidRDefault="00216117">
      <w:pPr>
        <w:pStyle w:val="Odstavecseseznamem"/>
        <w:numPr>
          <w:ilvl w:val="0"/>
          <w:numId w:val="70"/>
        </w:numPr>
        <w:tabs>
          <w:tab w:val="left" w:pos="456"/>
        </w:tabs>
        <w:spacing w:before="48" w:line="220" w:lineRule="auto"/>
        <w:ind w:right="84"/>
        <w:rPr>
          <w:sz w:val="12"/>
        </w:rPr>
      </w:pPr>
      <w:r>
        <w:rPr>
          <w:color w:val="231F20"/>
          <w:position w:val="1"/>
          <w:sz w:val="12"/>
        </w:rPr>
        <w:t>atlantookcipitální</w:t>
      </w:r>
      <w:r>
        <w:rPr>
          <w:color w:val="231F20"/>
          <w:spacing w:val="-20"/>
          <w:position w:val="1"/>
          <w:sz w:val="12"/>
        </w:rPr>
        <w:t xml:space="preserve"> </w:t>
      </w:r>
      <w:r>
        <w:rPr>
          <w:color w:val="231F20"/>
          <w:position w:val="1"/>
          <w:sz w:val="12"/>
        </w:rPr>
        <w:t>bez</w:t>
      </w:r>
      <w:r>
        <w:rPr>
          <w:color w:val="231F20"/>
          <w:spacing w:val="-19"/>
          <w:position w:val="1"/>
          <w:sz w:val="12"/>
        </w:rPr>
        <w:t xml:space="preserve"> </w:t>
      </w:r>
      <w:r>
        <w:rPr>
          <w:color w:val="231F20"/>
          <w:position w:val="1"/>
          <w:sz w:val="12"/>
        </w:rPr>
        <w:t>poškození</w:t>
      </w:r>
      <w:r>
        <w:rPr>
          <w:color w:val="231F20"/>
          <w:spacing w:val="-19"/>
          <w:position w:val="1"/>
          <w:sz w:val="12"/>
        </w:rPr>
        <w:t xml:space="preserve"> </w:t>
      </w:r>
      <w:r>
        <w:rPr>
          <w:color w:val="231F20"/>
          <w:position w:val="1"/>
          <w:sz w:val="12"/>
        </w:rPr>
        <w:t>míchy</w:t>
      </w:r>
      <w:r>
        <w:rPr>
          <w:color w:val="231F20"/>
          <w:spacing w:val="-20"/>
          <w:position w:val="1"/>
          <w:sz w:val="12"/>
        </w:rPr>
        <w:t xml:space="preserve"> </w:t>
      </w:r>
      <w:r>
        <w:rPr>
          <w:color w:val="231F20"/>
          <w:position w:val="1"/>
          <w:sz w:val="12"/>
        </w:rPr>
        <w:t>nebo</w:t>
      </w:r>
      <w:r>
        <w:rPr>
          <w:color w:val="231F20"/>
          <w:spacing w:val="-19"/>
          <w:position w:val="1"/>
          <w:sz w:val="12"/>
        </w:rPr>
        <w:t xml:space="preserve"> </w:t>
      </w:r>
      <w:r>
        <w:rPr>
          <w:color w:val="231F20"/>
          <w:spacing w:val="-3"/>
          <w:position w:val="1"/>
          <w:sz w:val="12"/>
        </w:rPr>
        <w:t>jejích</w:t>
      </w:r>
      <w:r>
        <w:rPr>
          <w:color w:val="231F20"/>
          <w:spacing w:val="-3"/>
          <w:sz w:val="12"/>
        </w:rPr>
        <w:t xml:space="preserve"> </w:t>
      </w:r>
      <w:r>
        <w:rPr>
          <w:color w:val="231F20"/>
          <w:sz w:val="12"/>
        </w:rPr>
        <w:t>kořenů</w:t>
      </w:r>
    </w:p>
    <w:p w14:paraId="5C36CDE8" w14:textId="77777777" w:rsidR="00F65BCA" w:rsidRDefault="00216117">
      <w:pPr>
        <w:pStyle w:val="Odstavecseseznamem"/>
        <w:numPr>
          <w:ilvl w:val="0"/>
          <w:numId w:val="70"/>
        </w:numPr>
        <w:tabs>
          <w:tab w:val="left" w:pos="456"/>
        </w:tabs>
        <w:spacing w:before="48" w:line="220" w:lineRule="auto"/>
        <w:ind w:right="77"/>
        <w:rPr>
          <w:sz w:val="12"/>
        </w:rPr>
      </w:pPr>
      <w:r>
        <w:rPr>
          <w:color w:val="231F20"/>
          <w:position w:val="1"/>
          <w:sz w:val="12"/>
        </w:rPr>
        <w:t>krční,</w:t>
      </w:r>
      <w:r>
        <w:rPr>
          <w:color w:val="231F20"/>
          <w:spacing w:val="-17"/>
          <w:position w:val="1"/>
          <w:sz w:val="12"/>
        </w:rPr>
        <w:t xml:space="preserve"> </w:t>
      </w:r>
      <w:r>
        <w:rPr>
          <w:color w:val="231F20"/>
          <w:position w:val="1"/>
          <w:sz w:val="12"/>
        </w:rPr>
        <w:t>hrudní,</w:t>
      </w:r>
      <w:r>
        <w:rPr>
          <w:color w:val="231F20"/>
          <w:spacing w:val="-17"/>
          <w:position w:val="1"/>
          <w:sz w:val="12"/>
        </w:rPr>
        <w:t xml:space="preserve"> </w:t>
      </w:r>
      <w:r>
        <w:rPr>
          <w:color w:val="231F20"/>
          <w:position w:val="1"/>
          <w:sz w:val="12"/>
        </w:rPr>
        <w:t>bederní</w:t>
      </w:r>
      <w:r>
        <w:rPr>
          <w:color w:val="231F20"/>
          <w:spacing w:val="-17"/>
          <w:position w:val="1"/>
          <w:sz w:val="12"/>
        </w:rPr>
        <w:t xml:space="preserve"> </w:t>
      </w:r>
      <w:r>
        <w:rPr>
          <w:color w:val="231F20"/>
          <w:position w:val="1"/>
          <w:sz w:val="12"/>
        </w:rPr>
        <w:t>páteře</w:t>
      </w:r>
      <w:r>
        <w:rPr>
          <w:color w:val="231F20"/>
          <w:spacing w:val="-17"/>
          <w:position w:val="1"/>
          <w:sz w:val="12"/>
        </w:rPr>
        <w:t xml:space="preserve"> </w:t>
      </w:r>
      <w:r>
        <w:rPr>
          <w:color w:val="231F20"/>
          <w:position w:val="1"/>
          <w:sz w:val="12"/>
        </w:rPr>
        <w:t>bez</w:t>
      </w:r>
      <w:r>
        <w:rPr>
          <w:color w:val="231F20"/>
          <w:spacing w:val="-16"/>
          <w:position w:val="1"/>
          <w:sz w:val="12"/>
        </w:rPr>
        <w:t xml:space="preserve"> </w:t>
      </w:r>
      <w:r>
        <w:rPr>
          <w:color w:val="231F20"/>
          <w:position w:val="1"/>
          <w:sz w:val="12"/>
        </w:rPr>
        <w:t>poškození</w:t>
      </w:r>
      <w:r>
        <w:rPr>
          <w:color w:val="231F20"/>
          <w:spacing w:val="-17"/>
          <w:position w:val="1"/>
          <w:sz w:val="12"/>
        </w:rPr>
        <w:t xml:space="preserve"> </w:t>
      </w:r>
      <w:r>
        <w:rPr>
          <w:color w:val="231F20"/>
          <w:spacing w:val="-3"/>
          <w:position w:val="1"/>
          <w:sz w:val="12"/>
        </w:rPr>
        <w:t>míchy</w:t>
      </w:r>
      <w:r>
        <w:rPr>
          <w:color w:val="231F20"/>
          <w:spacing w:val="-3"/>
          <w:sz w:val="12"/>
        </w:rPr>
        <w:t xml:space="preserve"> </w:t>
      </w:r>
      <w:r>
        <w:rPr>
          <w:color w:val="231F20"/>
          <w:sz w:val="12"/>
        </w:rPr>
        <w:t>nebo jejích</w:t>
      </w:r>
      <w:r>
        <w:rPr>
          <w:color w:val="231F20"/>
          <w:spacing w:val="-2"/>
          <w:sz w:val="12"/>
        </w:rPr>
        <w:t xml:space="preserve"> </w:t>
      </w:r>
      <w:r>
        <w:rPr>
          <w:color w:val="231F20"/>
          <w:sz w:val="12"/>
        </w:rPr>
        <w:t>kořenů</w:t>
      </w:r>
    </w:p>
    <w:p w14:paraId="3D86347E" w14:textId="77777777" w:rsidR="00F65BCA" w:rsidRDefault="00216117">
      <w:pPr>
        <w:pStyle w:val="Odstavecseseznamem"/>
        <w:numPr>
          <w:ilvl w:val="0"/>
          <w:numId w:val="70"/>
        </w:numPr>
        <w:tabs>
          <w:tab w:val="left" w:pos="456"/>
        </w:tabs>
        <w:spacing w:before="39"/>
        <w:ind w:hanging="273"/>
        <w:rPr>
          <w:sz w:val="12"/>
        </w:rPr>
      </w:pPr>
      <w:r>
        <w:rPr>
          <w:color w:val="231F20"/>
          <w:position w:val="1"/>
          <w:sz w:val="12"/>
        </w:rPr>
        <w:t>kostrče</w:t>
      </w:r>
      <w:r>
        <w:rPr>
          <w:color w:val="231F20"/>
          <w:spacing w:val="-9"/>
          <w:position w:val="1"/>
          <w:sz w:val="12"/>
        </w:rPr>
        <w:t xml:space="preserve"> </w:t>
      </w:r>
      <w:r>
        <w:rPr>
          <w:color w:val="231F20"/>
          <w:position w:val="1"/>
          <w:sz w:val="12"/>
        </w:rPr>
        <w:t>bez</w:t>
      </w:r>
      <w:r>
        <w:rPr>
          <w:color w:val="231F20"/>
          <w:spacing w:val="-8"/>
          <w:position w:val="1"/>
          <w:sz w:val="12"/>
        </w:rPr>
        <w:t xml:space="preserve"> </w:t>
      </w:r>
      <w:r>
        <w:rPr>
          <w:color w:val="231F20"/>
          <w:position w:val="1"/>
          <w:sz w:val="12"/>
        </w:rPr>
        <w:t>poškození</w:t>
      </w:r>
      <w:r>
        <w:rPr>
          <w:color w:val="231F20"/>
          <w:spacing w:val="-9"/>
          <w:position w:val="1"/>
          <w:sz w:val="12"/>
        </w:rPr>
        <w:t xml:space="preserve"> </w:t>
      </w:r>
      <w:r>
        <w:rPr>
          <w:color w:val="231F20"/>
          <w:position w:val="1"/>
          <w:sz w:val="12"/>
        </w:rPr>
        <w:t>míchy</w:t>
      </w:r>
      <w:r>
        <w:rPr>
          <w:color w:val="231F20"/>
          <w:spacing w:val="-8"/>
          <w:position w:val="1"/>
          <w:sz w:val="12"/>
        </w:rPr>
        <w:t xml:space="preserve"> </w:t>
      </w:r>
      <w:r>
        <w:rPr>
          <w:color w:val="231F20"/>
          <w:position w:val="1"/>
          <w:sz w:val="12"/>
        </w:rPr>
        <w:t>nebo</w:t>
      </w:r>
      <w:r>
        <w:rPr>
          <w:color w:val="231F20"/>
          <w:spacing w:val="-8"/>
          <w:position w:val="1"/>
          <w:sz w:val="12"/>
        </w:rPr>
        <w:t xml:space="preserve"> </w:t>
      </w:r>
      <w:r>
        <w:rPr>
          <w:color w:val="231F20"/>
          <w:position w:val="1"/>
          <w:sz w:val="12"/>
        </w:rPr>
        <w:t>jejích</w:t>
      </w:r>
      <w:r>
        <w:rPr>
          <w:color w:val="231F20"/>
          <w:spacing w:val="-9"/>
          <w:position w:val="1"/>
          <w:sz w:val="12"/>
        </w:rPr>
        <w:t xml:space="preserve"> </w:t>
      </w:r>
      <w:r>
        <w:rPr>
          <w:color w:val="231F20"/>
          <w:position w:val="1"/>
          <w:sz w:val="12"/>
        </w:rPr>
        <w:t>kořenů</w:t>
      </w:r>
    </w:p>
    <w:p w14:paraId="60989F3C" w14:textId="77777777" w:rsidR="00F65BCA" w:rsidRDefault="00216117">
      <w:pPr>
        <w:pStyle w:val="Odstavecseseznamem"/>
        <w:numPr>
          <w:ilvl w:val="0"/>
          <w:numId w:val="70"/>
        </w:numPr>
        <w:tabs>
          <w:tab w:val="left" w:pos="456"/>
        </w:tabs>
        <w:spacing w:before="37" w:line="220" w:lineRule="auto"/>
        <w:ind w:right="124"/>
        <w:rPr>
          <w:sz w:val="12"/>
        </w:rPr>
      </w:pPr>
      <w:r>
        <w:rPr>
          <w:color w:val="231F20"/>
          <w:position w:val="1"/>
          <w:sz w:val="12"/>
        </w:rPr>
        <w:t>Subluxace</w:t>
      </w:r>
      <w:r>
        <w:rPr>
          <w:color w:val="231F20"/>
          <w:spacing w:val="-16"/>
          <w:position w:val="1"/>
          <w:sz w:val="12"/>
        </w:rPr>
        <w:t xml:space="preserve"> </w:t>
      </w:r>
      <w:r>
        <w:rPr>
          <w:color w:val="231F20"/>
          <w:position w:val="1"/>
          <w:sz w:val="12"/>
        </w:rPr>
        <w:t>krční</w:t>
      </w:r>
      <w:r>
        <w:rPr>
          <w:color w:val="231F20"/>
          <w:spacing w:val="-15"/>
          <w:position w:val="1"/>
          <w:sz w:val="12"/>
        </w:rPr>
        <w:t xml:space="preserve"> </w:t>
      </w:r>
      <w:r>
        <w:rPr>
          <w:color w:val="231F20"/>
          <w:position w:val="1"/>
          <w:sz w:val="12"/>
        </w:rPr>
        <w:t>páteře</w:t>
      </w:r>
      <w:r>
        <w:rPr>
          <w:color w:val="231F20"/>
          <w:spacing w:val="-15"/>
          <w:position w:val="1"/>
          <w:sz w:val="12"/>
        </w:rPr>
        <w:t xml:space="preserve"> </w:t>
      </w:r>
      <w:r>
        <w:rPr>
          <w:color w:val="231F20"/>
          <w:position w:val="1"/>
          <w:sz w:val="12"/>
        </w:rPr>
        <w:t>(posun</w:t>
      </w:r>
      <w:r>
        <w:rPr>
          <w:color w:val="231F20"/>
          <w:spacing w:val="-16"/>
          <w:position w:val="1"/>
          <w:sz w:val="12"/>
        </w:rPr>
        <w:t xml:space="preserve"> </w:t>
      </w:r>
      <w:r>
        <w:rPr>
          <w:color w:val="231F20"/>
          <w:position w:val="1"/>
          <w:sz w:val="12"/>
        </w:rPr>
        <w:t>obratlů</w:t>
      </w:r>
      <w:r>
        <w:rPr>
          <w:color w:val="231F20"/>
          <w:spacing w:val="-15"/>
          <w:position w:val="1"/>
          <w:sz w:val="12"/>
        </w:rPr>
        <w:t xml:space="preserve"> </w:t>
      </w:r>
      <w:r>
        <w:rPr>
          <w:color w:val="231F20"/>
          <w:spacing w:val="-3"/>
          <w:position w:val="1"/>
          <w:sz w:val="12"/>
        </w:rPr>
        <w:t>prokázaný</w:t>
      </w:r>
      <w:r>
        <w:rPr>
          <w:color w:val="231F20"/>
          <w:spacing w:val="-3"/>
          <w:sz w:val="12"/>
        </w:rPr>
        <w:t xml:space="preserve"> </w:t>
      </w:r>
      <w:r>
        <w:rPr>
          <w:color w:val="231F20"/>
          <w:sz w:val="12"/>
        </w:rPr>
        <w:t>odborným</w:t>
      </w:r>
      <w:r>
        <w:rPr>
          <w:color w:val="231F20"/>
          <w:spacing w:val="-2"/>
          <w:sz w:val="12"/>
        </w:rPr>
        <w:t xml:space="preserve"> </w:t>
      </w:r>
      <w:r>
        <w:rPr>
          <w:color w:val="231F20"/>
          <w:sz w:val="12"/>
        </w:rPr>
        <w:t>vyšetřením)</w:t>
      </w:r>
    </w:p>
    <w:p w14:paraId="5A21BC5A" w14:textId="77777777" w:rsidR="00F65BCA" w:rsidRDefault="00216117">
      <w:pPr>
        <w:spacing w:before="22"/>
        <w:ind w:left="1460"/>
        <w:rPr>
          <w:b/>
          <w:sz w:val="14"/>
        </w:rPr>
      </w:pPr>
      <w:r>
        <w:rPr>
          <w:b/>
          <w:color w:val="231F20"/>
          <w:sz w:val="14"/>
        </w:rPr>
        <w:t>Zlomeniny</w:t>
      </w:r>
    </w:p>
    <w:p w14:paraId="5B43B6B0" w14:textId="77777777" w:rsidR="00F65BCA" w:rsidRDefault="00216117">
      <w:pPr>
        <w:pStyle w:val="Odstavecseseznamem"/>
        <w:numPr>
          <w:ilvl w:val="0"/>
          <w:numId w:val="70"/>
        </w:numPr>
        <w:tabs>
          <w:tab w:val="left" w:pos="456"/>
        </w:tabs>
        <w:spacing w:before="21"/>
        <w:ind w:hanging="273"/>
        <w:rPr>
          <w:sz w:val="12"/>
        </w:rPr>
      </w:pPr>
      <w:r>
        <w:rPr>
          <w:color w:val="231F20"/>
          <w:sz w:val="12"/>
        </w:rPr>
        <w:t>jednoho</w:t>
      </w:r>
      <w:r>
        <w:rPr>
          <w:color w:val="231F20"/>
          <w:spacing w:val="-1"/>
          <w:sz w:val="12"/>
        </w:rPr>
        <w:t xml:space="preserve"> </w:t>
      </w:r>
      <w:r>
        <w:rPr>
          <w:color w:val="231F20"/>
          <w:sz w:val="12"/>
        </w:rPr>
        <w:t>výběžku</w:t>
      </w:r>
    </w:p>
    <w:p w14:paraId="4FC470A7" w14:textId="77777777" w:rsidR="00F65BCA" w:rsidRDefault="00216117">
      <w:pPr>
        <w:pStyle w:val="Odstavecseseznamem"/>
        <w:numPr>
          <w:ilvl w:val="0"/>
          <w:numId w:val="70"/>
        </w:numPr>
        <w:tabs>
          <w:tab w:val="left" w:pos="456"/>
        </w:tabs>
        <w:spacing w:before="32"/>
        <w:ind w:hanging="273"/>
        <w:rPr>
          <w:sz w:val="12"/>
        </w:rPr>
      </w:pPr>
      <w:r>
        <w:rPr>
          <w:color w:val="231F20"/>
          <w:sz w:val="12"/>
        </w:rPr>
        <w:t>více</w:t>
      </w:r>
      <w:r>
        <w:rPr>
          <w:color w:val="231F20"/>
          <w:spacing w:val="-1"/>
          <w:sz w:val="12"/>
        </w:rPr>
        <w:t xml:space="preserve"> </w:t>
      </w:r>
      <w:r>
        <w:rPr>
          <w:color w:val="231F20"/>
          <w:sz w:val="12"/>
        </w:rPr>
        <w:t>výběžků</w:t>
      </w:r>
    </w:p>
    <w:p w14:paraId="3E229407" w14:textId="77777777" w:rsidR="00F65BCA" w:rsidRDefault="00216117">
      <w:pPr>
        <w:pStyle w:val="Odstavecseseznamem"/>
        <w:numPr>
          <w:ilvl w:val="0"/>
          <w:numId w:val="70"/>
        </w:numPr>
        <w:tabs>
          <w:tab w:val="left" w:pos="456"/>
        </w:tabs>
        <w:spacing w:before="32"/>
        <w:ind w:hanging="273"/>
        <w:rPr>
          <w:sz w:val="12"/>
        </w:rPr>
      </w:pPr>
      <w:r>
        <w:rPr>
          <w:color w:val="231F20"/>
          <w:sz w:val="12"/>
        </w:rPr>
        <w:t>oblouku</w:t>
      </w:r>
    </w:p>
    <w:p w14:paraId="4F95B6D2" w14:textId="77777777" w:rsidR="00F65BCA" w:rsidRDefault="00216117">
      <w:pPr>
        <w:pStyle w:val="Odstavecseseznamem"/>
        <w:numPr>
          <w:ilvl w:val="0"/>
          <w:numId w:val="70"/>
        </w:numPr>
        <w:tabs>
          <w:tab w:val="left" w:pos="456"/>
        </w:tabs>
        <w:spacing w:before="32"/>
        <w:ind w:hanging="273"/>
        <w:rPr>
          <w:sz w:val="12"/>
        </w:rPr>
      </w:pPr>
      <w:r>
        <w:rPr>
          <w:color w:val="231F20"/>
          <w:sz w:val="12"/>
        </w:rPr>
        <w:t>zubu čepovce (dens</w:t>
      </w:r>
      <w:r>
        <w:rPr>
          <w:color w:val="231F20"/>
          <w:spacing w:val="-6"/>
          <w:sz w:val="12"/>
        </w:rPr>
        <w:t xml:space="preserve"> </w:t>
      </w:r>
      <w:r>
        <w:rPr>
          <w:color w:val="231F20"/>
          <w:sz w:val="12"/>
        </w:rPr>
        <w:t>epistrophei)</w:t>
      </w:r>
    </w:p>
    <w:p w14:paraId="3D936DCE" w14:textId="77777777" w:rsidR="00F65BCA" w:rsidRDefault="00216117">
      <w:pPr>
        <w:pStyle w:val="Odstavecseseznamem"/>
        <w:numPr>
          <w:ilvl w:val="0"/>
          <w:numId w:val="70"/>
        </w:numPr>
        <w:tabs>
          <w:tab w:val="left" w:pos="456"/>
        </w:tabs>
        <w:spacing w:before="32"/>
        <w:ind w:hanging="273"/>
        <w:rPr>
          <w:sz w:val="12"/>
        </w:rPr>
      </w:pPr>
      <w:r>
        <w:rPr>
          <w:color w:val="231F20"/>
          <w:sz w:val="12"/>
        </w:rPr>
        <w:t>Prolomení horní krycí</w:t>
      </w:r>
      <w:r>
        <w:rPr>
          <w:color w:val="231F20"/>
          <w:spacing w:val="-7"/>
          <w:sz w:val="12"/>
        </w:rPr>
        <w:t xml:space="preserve"> </w:t>
      </w:r>
      <w:r>
        <w:rPr>
          <w:color w:val="231F20"/>
          <w:sz w:val="12"/>
        </w:rPr>
        <w:t>ploténky</w:t>
      </w:r>
    </w:p>
    <w:p w14:paraId="5BE857AB" w14:textId="77777777" w:rsidR="00F65BCA" w:rsidRDefault="00216117">
      <w:pPr>
        <w:pStyle w:val="Odstavecseseznamem"/>
        <w:numPr>
          <w:ilvl w:val="0"/>
          <w:numId w:val="70"/>
        </w:numPr>
        <w:tabs>
          <w:tab w:val="left" w:pos="456"/>
        </w:tabs>
        <w:spacing w:before="46" w:line="220" w:lineRule="auto"/>
        <w:rPr>
          <w:sz w:val="12"/>
        </w:rPr>
      </w:pPr>
      <w:r>
        <w:rPr>
          <w:color w:val="231F20"/>
          <w:position w:val="1"/>
          <w:sz w:val="12"/>
        </w:rPr>
        <w:t>Kompresivní</w:t>
      </w:r>
      <w:r>
        <w:rPr>
          <w:color w:val="231F20"/>
          <w:spacing w:val="-19"/>
          <w:position w:val="1"/>
          <w:sz w:val="12"/>
        </w:rPr>
        <w:t xml:space="preserve"> </w:t>
      </w:r>
      <w:r>
        <w:rPr>
          <w:color w:val="231F20"/>
          <w:position w:val="1"/>
          <w:sz w:val="12"/>
        </w:rPr>
        <w:t>zlomeniny</w:t>
      </w:r>
      <w:r>
        <w:rPr>
          <w:color w:val="231F20"/>
          <w:spacing w:val="-19"/>
          <w:position w:val="1"/>
          <w:sz w:val="12"/>
        </w:rPr>
        <w:t xml:space="preserve"> </w:t>
      </w:r>
      <w:r>
        <w:rPr>
          <w:color w:val="231F20"/>
          <w:position w:val="1"/>
          <w:sz w:val="12"/>
        </w:rPr>
        <w:t>těl</w:t>
      </w:r>
      <w:r>
        <w:rPr>
          <w:color w:val="231F20"/>
          <w:spacing w:val="-18"/>
          <w:position w:val="1"/>
          <w:sz w:val="12"/>
        </w:rPr>
        <w:t xml:space="preserve"> </w:t>
      </w:r>
      <w:r>
        <w:rPr>
          <w:color w:val="231F20"/>
          <w:position w:val="1"/>
          <w:sz w:val="12"/>
        </w:rPr>
        <w:t>obratlů</w:t>
      </w:r>
      <w:r>
        <w:rPr>
          <w:color w:val="231F20"/>
          <w:spacing w:val="-19"/>
          <w:position w:val="1"/>
          <w:sz w:val="12"/>
        </w:rPr>
        <w:t xml:space="preserve"> </w:t>
      </w:r>
      <w:r>
        <w:rPr>
          <w:color w:val="231F20"/>
          <w:position w:val="1"/>
          <w:sz w:val="12"/>
        </w:rPr>
        <w:t>krčních,</w:t>
      </w:r>
      <w:r>
        <w:rPr>
          <w:color w:val="231F20"/>
          <w:spacing w:val="-19"/>
          <w:position w:val="1"/>
          <w:sz w:val="12"/>
        </w:rPr>
        <w:t xml:space="preserve"> </w:t>
      </w:r>
      <w:r>
        <w:rPr>
          <w:color w:val="231F20"/>
          <w:spacing w:val="-3"/>
          <w:position w:val="1"/>
          <w:sz w:val="12"/>
        </w:rPr>
        <w:t>hrudních</w:t>
      </w:r>
      <w:r>
        <w:rPr>
          <w:color w:val="231F20"/>
          <w:spacing w:val="-3"/>
          <w:sz w:val="12"/>
        </w:rPr>
        <w:t xml:space="preserve"> </w:t>
      </w:r>
      <w:r>
        <w:rPr>
          <w:color w:val="231F20"/>
          <w:sz w:val="12"/>
        </w:rPr>
        <w:t>nebo</w:t>
      </w:r>
      <w:r>
        <w:rPr>
          <w:color w:val="231F20"/>
          <w:spacing w:val="-1"/>
          <w:sz w:val="12"/>
        </w:rPr>
        <w:t xml:space="preserve"> </w:t>
      </w:r>
      <w:r>
        <w:rPr>
          <w:color w:val="231F20"/>
          <w:sz w:val="12"/>
        </w:rPr>
        <w:t>bederních</w:t>
      </w:r>
    </w:p>
    <w:p w14:paraId="7B78212C" w14:textId="77777777" w:rsidR="00F65BCA" w:rsidRDefault="00216117">
      <w:pPr>
        <w:pStyle w:val="Odstavecseseznamem"/>
        <w:numPr>
          <w:ilvl w:val="0"/>
          <w:numId w:val="70"/>
        </w:numPr>
        <w:tabs>
          <w:tab w:val="left" w:pos="456"/>
        </w:tabs>
        <w:spacing w:before="48" w:line="220" w:lineRule="auto"/>
        <w:ind w:right="51"/>
        <w:rPr>
          <w:sz w:val="12"/>
        </w:rPr>
      </w:pPr>
      <w:r>
        <w:rPr>
          <w:color w:val="231F20"/>
          <w:w w:val="95"/>
          <w:position w:val="1"/>
          <w:sz w:val="12"/>
        </w:rPr>
        <w:t>Roztříštěné zlomeniny těl obratlů krčních, hrudních</w:t>
      </w:r>
      <w:r>
        <w:rPr>
          <w:color w:val="231F20"/>
          <w:w w:val="95"/>
          <w:sz w:val="12"/>
        </w:rPr>
        <w:t xml:space="preserve"> </w:t>
      </w:r>
      <w:r>
        <w:rPr>
          <w:color w:val="231F20"/>
          <w:sz w:val="12"/>
        </w:rPr>
        <w:t>nebo</w:t>
      </w:r>
      <w:r>
        <w:rPr>
          <w:color w:val="231F20"/>
          <w:spacing w:val="-1"/>
          <w:sz w:val="12"/>
        </w:rPr>
        <w:t xml:space="preserve"> </w:t>
      </w:r>
      <w:r>
        <w:rPr>
          <w:color w:val="231F20"/>
          <w:sz w:val="12"/>
        </w:rPr>
        <w:t>bederních</w:t>
      </w:r>
    </w:p>
    <w:p w14:paraId="4A9D7DF5" w14:textId="77777777" w:rsidR="00F65BCA" w:rsidRDefault="00216117">
      <w:pPr>
        <w:pStyle w:val="Odstavecseseznamem"/>
        <w:numPr>
          <w:ilvl w:val="0"/>
          <w:numId w:val="70"/>
        </w:numPr>
        <w:tabs>
          <w:tab w:val="left" w:pos="456"/>
        </w:tabs>
        <w:spacing w:before="48" w:line="220" w:lineRule="auto"/>
        <w:ind w:right="452"/>
        <w:rPr>
          <w:sz w:val="12"/>
        </w:rPr>
      </w:pPr>
      <w:r>
        <w:rPr>
          <w:color w:val="231F20"/>
          <w:spacing w:val="-3"/>
          <w:position w:val="1"/>
          <w:sz w:val="12"/>
        </w:rPr>
        <w:t>Úrazové poškození meziobratlové ploténky</w:t>
      </w:r>
      <w:r>
        <w:rPr>
          <w:color w:val="231F20"/>
          <w:spacing w:val="-3"/>
          <w:sz w:val="12"/>
        </w:rPr>
        <w:t xml:space="preserve"> </w:t>
      </w:r>
      <w:r>
        <w:rPr>
          <w:color w:val="231F20"/>
          <w:w w:val="95"/>
          <w:sz w:val="12"/>
        </w:rPr>
        <w:t>při</w:t>
      </w:r>
      <w:r>
        <w:rPr>
          <w:color w:val="231F20"/>
          <w:spacing w:val="-8"/>
          <w:w w:val="95"/>
          <w:sz w:val="12"/>
        </w:rPr>
        <w:t xml:space="preserve"> </w:t>
      </w:r>
      <w:r>
        <w:rPr>
          <w:color w:val="231F20"/>
          <w:spacing w:val="-3"/>
          <w:w w:val="95"/>
          <w:sz w:val="12"/>
        </w:rPr>
        <w:t>současné</w:t>
      </w:r>
      <w:r>
        <w:rPr>
          <w:color w:val="231F20"/>
          <w:spacing w:val="-8"/>
          <w:w w:val="95"/>
          <w:sz w:val="12"/>
        </w:rPr>
        <w:t xml:space="preserve"> </w:t>
      </w:r>
      <w:r>
        <w:rPr>
          <w:color w:val="231F20"/>
          <w:spacing w:val="-3"/>
          <w:w w:val="95"/>
          <w:sz w:val="12"/>
        </w:rPr>
        <w:t>zlomenině</w:t>
      </w:r>
      <w:r>
        <w:rPr>
          <w:color w:val="231F20"/>
          <w:spacing w:val="-7"/>
          <w:w w:val="95"/>
          <w:sz w:val="12"/>
        </w:rPr>
        <w:t xml:space="preserve"> </w:t>
      </w:r>
      <w:r>
        <w:rPr>
          <w:color w:val="231F20"/>
          <w:spacing w:val="-3"/>
          <w:w w:val="95"/>
          <w:sz w:val="12"/>
        </w:rPr>
        <w:t>těla</w:t>
      </w:r>
      <w:r>
        <w:rPr>
          <w:color w:val="231F20"/>
          <w:spacing w:val="-8"/>
          <w:w w:val="95"/>
          <w:sz w:val="12"/>
        </w:rPr>
        <w:t xml:space="preserve"> </w:t>
      </w:r>
      <w:r>
        <w:rPr>
          <w:color w:val="231F20"/>
          <w:spacing w:val="-3"/>
          <w:w w:val="95"/>
          <w:sz w:val="12"/>
        </w:rPr>
        <w:t>přilehlého</w:t>
      </w:r>
      <w:r>
        <w:rPr>
          <w:color w:val="231F20"/>
          <w:spacing w:val="-8"/>
          <w:w w:val="95"/>
          <w:sz w:val="12"/>
        </w:rPr>
        <w:t xml:space="preserve"> </w:t>
      </w:r>
      <w:r>
        <w:rPr>
          <w:color w:val="231F20"/>
          <w:spacing w:val="-3"/>
          <w:w w:val="95"/>
          <w:sz w:val="12"/>
        </w:rPr>
        <w:t>obratle</w:t>
      </w:r>
    </w:p>
    <w:p w14:paraId="16F60C47" w14:textId="77777777" w:rsidR="00F65BCA" w:rsidRDefault="00216117">
      <w:pPr>
        <w:pStyle w:val="Odstavecseseznamem"/>
        <w:numPr>
          <w:ilvl w:val="0"/>
          <w:numId w:val="70"/>
        </w:numPr>
        <w:tabs>
          <w:tab w:val="left" w:pos="456"/>
        </w:tabs>
        <w:spacing w:before="48" w:line="220" w:lineRule="auto"/>
        <w:ind w:right="966"/>
        <w:rPr>
          <w:sz w:val="12"/>
        </w:rPr>
      </w:pPr>
      <w:r>
        <w:rPr>
          <w:color w:val="231F20"/>
          <w:w w:val="95"/>
          <w:position w:val="1"/>
          <w:sz w:val="12"/>
        </w:rPr>
        <w:t>Poranění meziobratlové ploténky</w:t>
      </w:r>
      <w:r>
        <w:rPr>
          <w:color w:val="231F20"/>
          <w:w w:val="95"/>
          <w:sz w:val="12"/>
        </w:rPr>
        <w:t xml:space="preserve"> </w:t>
      </w:r>
      <w:r>
        <w:rPr>
          <w:color w:val="231F20"/>
          <w:sz w:val="12"/>
        </w:rPr>
        <w:t>bez</w:t>
      </w:r>
      <w:r>
        <w:rPr>
          <w:color w:val="231F20"/>
          <w:spacing w:val="-16"/>
          <w:sz w:val="12"/>
        </w:rPr>
        <w:t xml:space="preserve"> </w:t>
      </w:r>
      <w:r>
        <w:rPr>
          <w:color w:val="231F20"/>
          <w:sz w:val="12"/>
        </w:rPr>
        <w:t>současné</w:t>
      </w:r>
      <w:r>
        <w:rPr>
          <w:color w:val="231F20"/>
          <w:spacing w:val="-17"/>
          <w:sz w:val="12"/>
        </w:rPr>
        <w:t xml:space="preserve"> </w:t>
      </w:r>
      <w:r>
        <w:rPr>
          <w:color w:val="231F20"/>
          <w:sz w:val="12"/>
        </w:rPr>
        <w:t>zlomeniny</w:t>
      </w:r>
      <w:r>
        <w:rPr>
          <w:color w:val="231F20"/>
          <w:spacing w:val="-16"/>
          <w:sz w:val="12"/>
        </w:rPr>
        <w:t xml:space="preserve"> </w:t>
      </w:r>
      <w:r>
        <w:rPr>
          <w:color w:val="231F20"/>
          <w:sz w:val="12"/>
        </w:rPr>
        <w:t>obratle</w:t>
      </w:r>
    </w:p>
    <w:p w14:paraId="7841C553" w14:textId="77777777" w:rsidR="00F65BCA" w:rsidRDefault="00F65BCA">
      <w:pPr>
        <w:pStyle w:val="Zkladntext"/>
        <w:spacing w:before="8"/>
        <w:rPr>
          <w:sz w:val="16"/>
        </w:rPr>
      </w:pPr>
    </w:p>
    <w:p w14:paraId="0E3BF093" w14:textId="77777777" w:rsidR="00F65BCA" w:rsidRDefault="00216117">
      <w:pPr>
        <w:spacing w:before="1"/>
        <w:ind w:left="939" w:right="408"/>
        <w:jc w:val="center"/>
        <w:rPr>
          <w:b/>
          <w:sz w:val="14"/>
        </w:rPr>
      </w:pPr>
      <w:r>
        <w:rPr>
          <w:b/>
          <w:color w:val="231F20"/>
          <w:sz w:val="14"/>
        </w:rPr>
        <w:t>PÁNEV</w:t>
      </w:r>
    </w:p>
    <w:p w14:paraId="2C88EEC7" w14:textId="77777777" w:rsidR="00F65BCA" w:rsidRDefault="00216117">
      <w:pPr>
        <w:pStyle w:val="Odstavecseseznamem"/>
        <w:numPr>
          <w:ilvl w:val="0"/>
          <w:numId w:val="70"/>
        </w:numPr>
        <w:tabs>
          <w:tab w:val="left" w:pos="456"/>
        </w:tabs>
        <w:spacing w:before="48"/>
        <w:ind w:hanging="273"/>
        <w:rPr>
          <w:sz w:val="12"/>
        </w:rPr>
      </w:pPr>
      <w:r>
        <w:rPr>
          <w:color w:val="231F20"/>
          <w:position w:val="1"/>
          <w:sz w:val="12"/>
        </w:rPr>
        <w:t>Pohmoždění hýžďové</w:t>
      </w:r>
      <w:r>
        <w:rPr>
          <w:color w:val="231F20"/>
          <w:spacing w:val="-4"/>
          <w:position w:val="1"/>
          <w:sz w:val="12"/>
        </w:rPr>
        <w:t xml:space="preserve"> </w:t>
      </w:r>
      <w:r>
        <w:rPr>
          <w:color w:val="231F20"/>
          <w:position w:val="1"/>
          <w:sz w:val="12"/>
        </w:rPr>
        <w:t>krajiny</w:t>
      </w:r>
    </w:p>
    <w:p w14:paraId="1C3D04B0" w14:textId="77777777" w:rsidR="00F65BCA" w:rsidRDefault="00216117">
      <w:pPr>
        <w:pStyle w:val="Odstavecseseznamem"/>
        <w:numPr>
          <w:ilvl w:val="0"/>
          <w:numId w:val="70"/>
        </w:numPr>
        <w:tabs>
          <w:tab w:val="left" w:pos="456"/>
        </w:tabs>
        <w:spacing w:before="31"/>
        <w:ind w:hanging="273"/>
        <w:rPr>
          <w:sz w:val="12"/>
        </w:rPr>
      </w:pPr>
      <w:r>
        <w:rPr>
          <w:color w:val="231F20"/>
          <w:sz w:val="12"/>
        </w:rPr>
        <w:t>Pohmoždění</w:t>
      </w:r>
      <w:r>
        <w:rPr>
          <w:color w:val="231F20"/>
          <w:spacing w:val="-1"/>
          <w:sz w:val="12"/>
        </w:rPr>
        <w:t xml:space="preserve"> </w:t>
      </w:r>
      <w:r>
        <w:rPr>
          <w:color w:val="231F20"/>
          <w:sz w:val="12"/>
        </w:rPr>
        <w:t>pánve</w:t>
      </w:r>
    </w:p>
    <w:p w14:paraId="6BE996D9" w14:textId="77777777" w:rsidR="00F65BCA" w:rsidRDefault="00216117">
      <w:pPr>
        <w:pStyle w:val="Odstavecseseznamem"/>
        <w:numPr>
          <w:ilvl w:val="0"/>
          <w:numId w:val="70"/>
        </w:numPr>
        <w:tabs>
          <w:tab w:val="left" w:pos="456"/>
        </w:tabs>
        <w:spacing w:before="38"/>
        <w:ind w:hanging="273"/>
        <w:rPr>
          <w:sz w:val="12"/>
        </w:rPr>
      </w:pPr>
      <w:r>
        <w:rPr>
          <w:color w:val="231F20"/>
          <w:sz w:val="12"/>
        </w:rPr>
        <w:t>Podvrtnutí v kloubu</w:t>
      </w:r>
      <w:r>
        <w:rPr>
          <w:color w:val="231F20"/>
          <w:spacing w:val="-8"/>
          <w:sz w:val="12"/>
        </w:rPr>
        <w:t xml:space="preserve"> </w:t>
      </w:r>
      <w:r>
        <w:rPr>
          <w:color w:val="231F20"/>
          <w:sz w:val="12"/>
        </w:rPr>
        <w:t>křížokyčelním</w:t>
      </w:r>
    </w:p>
    <w:p w14:paraId="7B4CE489" w14:textId="77777777" w:rsidR="00F65BCA" w:rsidRDefault="00216117">
      <w:pPr>
        <w:pStyle w:val="Odstavecseseznamem"/>
        <w:numPr>
          <w:ilvl w:val="0"/>
          <w:numId w:val="70"/>
        </w:numPr>
        <w:tabs>
          <w:tab w:val="left" w:pos="456"/>
        </w:tabs>
        <w:spacing w:before="38"/>
        <w:ind w:hanging="273"/>
        <w:rPr>
          <w:sz w:val="12"/>
        </w:rPr>
      </w:pPr>
      <w:r>
        <w:rPr>
          <w:color w:val="231F20"/>
          <w:sz w:val="12"/>
        </w:rPr>
        <w:t>Vymknutí</w:t>
      </w:r>
      <w:r>
        <w:rPr>
          <w:color w:val="231F20"/>
          <w:spacing w:val="-2"/>
          <w:sz w:val="12"/>
        </w:rPr>
        <w:t xml:space="preserve"> </w:t>
      </w:r>
      <w:r>
        <w:rPr>
          <w:color w:val="231F20"/>
          <w:sz w:val="12"/>
        </w:rPr>
        <w:t>křížokyčelní</w:t>
      </w:r>
    </w:p>
    <w:p w14:paraId="4FE85694" w14:textId="77777777" w:rsidR="00F65BCA" w:rsidRDefault="00216117">
      <w:pPr>
        <w:pStyle w:val="Odstavecseseznamem"/>
        <w:numPr>
          <w:ilvl w:val="0"/>
          <w:numId w:val="70"/>
        </w:numPr>
        <w:tabs>
          <w:tab w:val="left" w:pos="456"/>
        </w:tabs>
        <w:spacing w:before="39"/>
        <w:ind w:hanging="273"/>
        <w:rPr>
          <w:sz w:val="12"/>
        </w:rPr>
      </w:pPr>
      <w:r>
        <w:rPr>
          <w:color w:val="231F20"/>
          <w:position w:val="1"/>
          <w:sz w:val="12"/>
        </w:rPr>
        <w:t>Odtržení</w:t>
      </w:r>
      <w:r>
        <w:rPr>
          <w:color w:val="231F20"/>
          <w:spacing w:val="-10"/>
          <w:position w:val="1"/>
          <w:sz w:val="12"/>
        </w:rPr>
        <w:t xml:space="preserve"> </w:t>
      </w:r>
      <w:r>
        <w:rPr>
          <w:color w:val="231F20"/>
          <w:position w:val="1"/>
          <w:sz w:val="12"/>
        </w:rPr>
        <w:t>předního</w:t>
      </w:r>
      <w:r>
        <w:rPr>
          <w:color w:val="231F20"/>
          <w:spacing w:val="-10"/>
          <w:position w:val="1"/>
          <w:sz w:val="12"/>
        </w:rPr>
        <w:t xml:space="preserve"> </w:t>
      </w:r>
      <w:r>
        <w:rPr>
          <w:color w:val="231F20"/>
          <w:position w:val="1"/>
          <w:sz w:val="12"/>
        </w:rPr>
        <w:t>trnu</w:t>
      </w:r>
      <w:r>
        <w:rPr>
          <w:color w:val="231F20"/>
          <w:spacing w:val="-9"/>
          <w:position w:val="1"/>
          <w:sz w:val="12"/>
        </w:rPr>
        <w:t xml:space="preserve"> </w:t>
      </w:r>
      <w:r>
        <w:rPr>
          <w:color w:val="231F20"/>
          <w:position w:val="1"/>
          <w:sz w:val="12"/>
        </w:rPr>
        <w:t>nebo</w:t>
      </w:r>
      <w:r>
        <w:rPr>
          <w:color w:val="231F20"/>
          <w:spacing w:val="-10"/>
          <w:position w:val="1"/>
          <w:sz w:val="12"/>
        </w:rPr>
        <w:t xml:space="preserve"> </w:t>
      </w:r>
      <w:r>
        <w:rPr>
          <w:color w:val="231F20"/>
          <w:position w:val="1"/>
          <w:sz w:val="12"/>
        </w:rPr>
        <w:t>hrbolku</w:t>
      </w:r>
      <w:r>
        <w:rPr>
          <w:color w:val="231F20"/>
          <w:spacing w:val="-10"/>
          <w:position w:val="1"/>
          <w:sz w:val="12"/>
        </w:rPr>
        <w:t xml:space="preserve"> </w:t>
      </w:r>
      <w:r>
        <w:rPr>
          <w:color w:val="231F20"/>
          <w:position w:val="1"/>
          <w:sz w:val="12"/>
        </w:rPr>
        <w:t>kosti</w:t>
      </w:r>
      <w:r>
        <w:rPr>
          <w:color w:val="231F20"/>
          <w:spacing w:val="-9"/>
          <w:position w:val="1"/>
          <w:sz w:val="12"/>
        </w:rPr>
        <w:t xml:space="preserve"> </w:t>
      </w:r>
      <w:r>
        <w:rPr>
          <w:color w:val="231F20"/>
          <w:position w:val="1"/>
          <w:sz w:val="12"/>
        </w:rPr>
        <w:t>kyčelní</w:t>
      </w:r>
    </w:p>
    <w:p w14:paraId="1F4E3A85" w14:textId="77777777" w:rsidR="00F65BCA" w:rsidRDefault="00216117">
      <w:pPr>
        <w:pStyle w:val="Odstavecseseznamem"/>
        <w:numPr>
          <w:ilvl w:val="0"/>
          <w:numId w:val="70"/>
        </w:numPr>
        <w:tabs>
          <w:tab w:val="left" w:pos="456"/>
        </w:tabs>
        <w:spacing w:before="26"/>
        <w:ind w:hanging="273"/>
        <w:rPr>
          <w:sz w:val="12"/>
        </w:rPr>
      </w:pPr>
      <w:r>
        <w:rPr>
          <w:color w:val="231F20"/>
          <w:sz w:val="12"/>
        </w:rPr>
        <w:t>Odtržení hrbolu kosti</w:t>
      </w:r>
      <w:r>
        <w:rPr>
          <w:color w:val="231F20"/>
          <w:spacing w:val="-5"/>
          <w:sz w:val="12"/>
        </w:rPr>
        <w:t xml:space="preserve"> </w:t>
      </w:r>
      <w:r>
        <w:rPr>
          <w:color w:val="231F20"/>
          <w:sz w:val="12"/>
        </w:rPr>
        <w:t>sedací</w:t>
      </w:r>
    </w:p>
    <w:p w14:paraId="1727B020" w14:textId="77777777" w:rsidR="00F65BCA" w:rsidRDefault="00216117">
      <w:pPr>
        <w:spacing w:before="26"/>
        <w:ind w:left="1460"/>
        <w:rPr>
          <w:b/>
          <w:sz w:val="14"/>
        </w:rPr>
      </w:pPr>
      <w:r>
        <w:rPr>
          <w:b/>
          <w:color w:val="231F20"/>
          <w:sz w:val="14"/>
        </w:rPr>
        <w:t>Zlomeniny</w:t>
      </w:r>
    </w:p>
    <w:p w14:paraId="689C6AC1" w14:textId="77777777" w:rsidR="00F65BCA" w:rsidRDefault="00216117">
      <w:pPr>
        <w:spacing w:before="27"/>
        <w:ind w:left="455"/>
        <w:rPr>
          <w:b/>
          <w:sz w:val="12"/>
        </w:rPr>
      </w:pPr>
      <w:r>
        <w:rPr>
          <w:b/>
          <w:color w:val="231F20"/>
          <w:sz w:val="12"/>
        </w:rPr>
        <w:t>Lopaty kosti kyčelní</w:t>
      </w:r>
    </w:p>
    <w:p w14:paraId="53B8519E" w14:textId="77777777" w:rsidR="00F65BCA" w:rsidRDefault="00216117">
      <w:pPr>
        <w:pStyle w:val="Odstavecseseznamem"/>
        <w:numPr>
          <w:ilvl w:val="0"/>
          <w:numId w:val="70"/>
        </w:numPr>
        <w:tabs>
          <w:tab w:val="left" w:pos="456"/>
        </w:tabs>
        <w:spacing w:before="35"/>
        <w:ind w:hanging="273"/>
        <w:rPr>
          <w:sz w:val="12"/>
        </w:rPr>
      </w:pPr>
      <w:r>
        <w:rPr>
          <w:color w:val="231F20"/>
          <w:sz w:val="12"/>
        </w:rPr>
        <w:t>bez posunu</w:t>
      </w:r>
      <w:r>
        <w:rPr>
          <w:color w:val="231F20"/>
          <w:spacing w:val="-23"/>
          <w:sz w:val="12"/>
        </w:rPr>
        <w:t xml:space="preserve"> </w:t>
      </w:r>
      <w:r>
        <w:rPr>
          <w:color w:val="231F20"/>
          <w:sz w:val="12"/>
        </w:rPr>
        <w:t>úlomků</w:t>
      </w:r>
    </w:p>
    <w:p w14:paraId="611FFCA1" w14:textId="77777777" w:rsidR="00F65BCA" w:rsidRDefault="00216117">
      <w:pPr>
        <w:pStyle w:val="Odstavecseseznamem"/>
        <w:numPr>
          <w:ilvl w:val="0"/>
          <w:numId w:val="70"/>
        </w:numPr>
        <w:tabs>
          <w:tab w:val="left" w:pos="456"/>
        </w:tabs>
        <w:spacing w:before="32"/>
        <w:ind w:hanging="273"/>
        <w:rPr>
          <w:sz w:val="12"/>
        </w:rPr>
      </w:pPr>
      <w:r>
        <w:rPr>
          <w:color w:val="231F20"/>
          <w:sz w:val="12"/>
        </w:rPr>
        <w:t>s posunem</w:t>
      </w:r>
      <w:r>
        <w:rPr>
          <w:color w:val="231F20"/>
          <w:spacing w:val="-21"/>
          <w:sz w:val="12"/>
        </w:rPr>
        <w:t xml:space="preserve"> </w:t>
      </w:r>
      <w:r>
        <w:rPr>
          <w:color w:val="231F20"/>
          <w:sz w:val="12"/>
        </w:rPr>
        <w:t>úlomků</w:t>
      </w:r>
    </w:p>
    <w:p w14:paraId="232B8B59" w14:textId="77777777" w:rsidR="00F65BCA" w:rsidRDefault="00216117">
      <w:pPr>
        <w:pStyle w:val="Odstavecseseznamem"/>
        <w:numPr>
          <w:ilvl w:val="0"/>
          <w:numId w:val="70"/>
        </w:numPr>
        <w:tabs>
          <w:tab w:val="left" w:pos="456"/>
        </w:tabs>
        <w:spacing w:before="32"/>
        <w:ind w:hanging="273"/>
        <w:rPr>
          <w:sz w:val="12"/>
        </w:rPr>
      </w:pPr>
      <w:r>
        <w:rPr>
          <w:color w:val="231F20"/>
          <w:sz w:val="12"/>
        </w:rPr>
        <w:t>Zlomenina kosti</w:t>
      </w:r>
      <w:r>
        <w:rPr>
          <w:color w:val="231F20"/>
          <w:spacing w:val="-3"/>
          <w:sz w:val="12"/>
        </w:rPr>
        <w:t xml:space="preserve"> </w:t>
      </w:r>
      <w:r>
        <w:rPr>
          <w:color w:val="231F20"/>
          <w:sz w:val="12"/>
        </w:rPr>
        <w:t>křížové</w:t>
      </w:r>
    </w:p>
    <w:p w14:paraId="588DAD85" w14:textId="77777777" w:rsidR="00F65BCA" w:rsidRDefault="00216117">
      <w:pPr>
        <w:pStyle w:val="Odstavecseseznamem"/>
        <w:numPr>
          <w:ilvl w:val="0"/>
          <w:numId w:val="70"/>
        </w:numPr>
        <w:tabs>
          <w:tab w:val="left" w:pos="456"/>
        </w:tabs>
        <w:spacing w:before="32"/>
        <w:ind w:hanging="273"/>
        <w:rPr>
          <w:sz w:val="12"/>
        </w:rPr>
      </w:pPr>
      <w:r>
        <w:rPr>
          <w:color w:val="231F20"/>
          <w:sz w:val="12"/>
        </w:rPr>
        <w:t>Zlomenina</w:t>
      </w:r>
      <w:r>
        <w:rPr>
          <w:color w:val="231F20"/>
          <w:spacing w:val="-1"/>
          <w:sz w:val="12"/>
        </w:rPr>
        <w:t xml:space="preserve"> </w:t>
      </w:r>
      <w:r>
        <w:rPr>
          <w:color w:val="231F20"/>
          <w:sz w:val="12"/>
        </w:rPr>
        <w:t>kostrče</w:t>
      </w:r>
    </w:p>
    <w:p w14:paraId="4E46BF80" w14:textId="77777777" w:rsidR="00F65BCA" w:rsidRDefault="00216117">
      <w:pPr>
        <w:spacing w:before="33" w:line="242" w:lineRule="auto"/>
        <w:ind w:left="455" w:right="172"/>
        <w:rPr>
          <w:b/>
          <w:sz w:val="12"/>
        </w:rPr>
      </w:pPr>
      <w:r>
        <w:rPr>
          <w:b/>
          <w:color w:val="231F20"/>
          <w:sz w:val="12"/>
        </w:rPr>
        <w:t>Jednostranná zlomenina kosti stydké nebo sedací</w:t>
      </w:r>
    </w:p>
    <w:p w14:paraId="0B2D78D4" w14:textId="77777777" w:rsidR="00F65BCA" w:rsidRDefault="00216117">
      <w:pPr>
        <w:pStyle w:val="Odstavecseseznamem"/>
        <w:numPr>
          <w:ilvl w:val="0"/>
          <w:numId w:val="70"/>
        </w:numPr>
        <w:tabs>
          <w:tab w:val="left" w:pos="456"/>
        </w:tabs>
        <w:spacing w:before="32"/>
        <w:ind w:hanging="273"/>
        <w:rPr>
          <w:sz w:val="12"/>
        </w:rPr>
      </w:pPr>
      <w:r>
        <w:rPr>
          <w:color w:val="231F20"/>
          <w:sz w:val="12"/>
        </w:rPr>
        <w:t>bez posunu</w:t>
      </w:r>
      <w:r>
        <w:rPr>
          <w:color w:val="231F20"/>
          <w:spacing w:val="-23"/>
          <w:sz w:val="12"/>
        </w:rPr>
        <w:t xml:space="preserve"> </w:t>
      </w:r>
      <w:r>
        <w:rPr>
          <w:color w:val="231F20"/>
          <w:sz w:val="12"/>
        </w:rPr>
        <w:t>úlomků</w:t>
      </w:r>
    </w:p>
    <w:p w14:paraId="6A8122FF" w14:textId="77777777" w:rsidR="00F65BCA" w:rsidRDefault="00216117">
      <w:pPr>
        <w:pStyle w:val="Odstavecseseznamem"/>
        <w:numPr>
          <w:ilvl w:val="0"/>
          <w:numId w:val="70"/>
        </w:numPr>
        <w:tabs>
          <w:tab w:val="left" w:pos="456"/>
        </w:tabs>
        <w:spacing w:before="32"/>
        <w:ind w:hanging="273"/>
        <w:rPr>
          <w:sz w:val="12"/>
        </w:rPr>
      </w:pPr>
      <w:r>
        <w:rPr>
          <w:color w:val="231F20"/>
          <w:sz w:val="12"/>
        </w:rPr>
        <w:t>s posunem</w:t>
      </w:r>
      <w:r>
        <w:rPr>
          <w:color w:val="231F20"/>
          <w:spacing w:val="-21"/>
          <w:sz w:val="12"/>
        </w:rPr>
        <w:t xml:space="preserve"> </w:t>
      </w:r>
      <w:r>
        <w:rPr>
          <w:color w:val="231F20"/>
          <w:sz w:val="12"/>
        </w:rPr>
        <w:t>úlomků</w:t>
      </w:r>
    </w:p>
    <w:p w14:paraId="77288380" w14:textId="77777777" w:rsidR="00F65BCA" w:rsidRDefault="00216117">
      <w:pPr>
        <w:pStyle w:val="Odstavecseseznamem"/>
        <w:numPr>
          <w:ilvl w:val="0"/>
          <w:numId w:val="70"/>
        </w:numPr>
        <w:tabs>
          <w:tab w:val="left" w:pos="456"/>
        </w:tabs>
        <w:spacing w:before="46" w:line="220" w:lineRule="auto"/>
        <w:ind w:right="102"/>
        <w:rPr>
          <w:sz w:val="12"/>
        </w:rPr>
      </w:pPr>
      <w:r>
        <w:rPr>
          <w:color w:val="231F20"/>
          <w:spacing w:val="-3"/>
          <w:position w:val="1"/>
          <w:sz w:val="12"/>
        </w:rPr>
        <w:t>Oboustranná</w:t>
      </w:r>
      <w:r>
        <w:rPr>
          <w:color w:val="231F20"/>
          <w:spacing w:val="-15"/>
          <w:position w:val="1"/>
          <w:sz w:val="12"/>
        </w:rPr>
        <w:t xml:space="preserve"> </w:t>
      </w:r>
      <w:r>
        <w:rPr>
          <w:color w:val="231F20"/>
          <w:spacing w:val="-3"/>
          <w:position w:val="1"/>
          <w:sz w:val="12"/>
        </w:rPr>
        <w:t>zlomenina</w:t>
      </w:r>
      <w:r>
        <w:rPr>
          <w:color w:val="231F20"/>
          <w:spacing w:val="-15"/>
          <w:position w:val="1"/>
          <w:sz w:val="12"/>
        </w:rPr>
        <w:t xml:space="preserve"> </w:t>
      </w:r>
      <w:r>
        <w:rPr>
          <w:color w:val="231F20"/>
          <w:spacing w:val="-3"/>
          <w:position w:val="1"/>
          <w:sz w:val="12"/>
        </w:rPr>
        <w:t>kostí</w:t>
      </w:r>
      <w:r>
        <w:rPr>
          <w:color w:val="231F20"/>
          <w:spacing w:val="-14"/>
          <w:position w:val="1"/>
          <w:sz w:val="12"/>
        </w:rPr>
        <w:t xml:space="preserve"> </w:t>
      </w:r>
      <w:r>
        <w:rPr>
          <w:color w:val="231F20"/>
          <w:spacing w:val="-3"/>
          <w:position w:val="1"/>
          <w:sz w:val="12"/>
        </w:rPr>
        <w:t>stydkých</w:t>
      </w:r>
      <w:r>
        <w:rPr>
          <w:color w:val="231F20"/>
          <w:spacing w:val="-15"/>
          <w:position w:val="1"/>
          <w:sz w:val="12"/>
        </w:rPr>
        <w:t xml:space="preserve"> </w:t>
      </w:r>
      <w:r>
        <w:rPr>
          <w:color w:val="231F20"/>
          <w:spacing w:val="-3"/>
          <w:position w:val="1"/>
          <w:sz w:val="12"/>
        </w:rPr>
        <w:t>nebo</w:t>
      </w:r>
      <w:r>
        <w:rPr>
          <w:color w:val="231F20"/>
          <w:spacing w:val="-14"/>
          <w:position w:val="1"/>
          <w:sz w:val="12"/>
        </w:rPr>
        <w:t xml:space="preserve"> </w:t>
      </w:r>
      <w:r>
        <w:rPr>
          <w:color w:val="231F20"/>
          <w:spacing w:val="-3"/>
          <w:position w:val="1"/>
          <w:sz w:val="12"/>
        </w:rPr>
        <w:t>jedno-</w:t>
      </w:r>
      <w:r>
        <w:rPr>
          <w:color w:val="231F20"/>
          <w:spacing w:val="-3"/>
          <w:sz w:val="12"/>
        </w:rPr>
        <w:t xml:space="preserve"> stranná </w:t>
      </w:r>
      <w:r>
        <w:rPr>
          <w:color w:val="231F20"/>
          <w:sz w:val="12"/>
        </w:rPr>
        <w:t xml:space="preserve">s </w:t>
      </w:r>
      <w:r>
        <w:rPr>
          <w:color w:val="231F20"/>
          <w:spacing w:val="-3"/>
          <w:sz w:val="12"/>
        </w:rPr>
        <w:t>rozestupem spony</w:t>
      </w:r>
      <w:r>
        <w:rPr>
          <w:color w:val="231F20"/>
          <w:spacing w:val="-20"/>
          <w:sz w:val="12"/>
        </w:rPr>
        <w:t xml:space="preserve"> </w:t>
      </w:r>
      <w:r>
        <w:rPr>
          <w:color w:val="231F20"/>
          <w:spacing w:val="-3"/>
          <w:sz w:val="12"/>
        </w:rPr>
        <w:t>stydké</w:t>
      </w:r>
    </w:p>
    <w:p w14:paraId="6849B0CC" w14:textId="77777777" w:rsidR="00F65BCA" w:rsidRDefault="00216117">
      <w:pPr>
        <w:pStyle w:val="Odstavecseseznamem"/>
        <w:numPr>
          <w:ilvl w:val="0"/>
          <w:numId w:val="70"/>
        </w:numPr>
        <w:tabs>
          <w:tab w:val="left" w:pos="456"/>
        </w:tabs>
        <w:spacing w:before="37"/>
        <w:ind w:hanging="273"/>
        <w:rPr>
          <w:sz w:val="12"/>
        </w:rPr>
      </w:pPr>
      <w:r>
        <w:rPr>
          <w:color w:val="231F20"/>
          <w:sz w:val="12"/>
        </w:rPr>
        <w:t>Zlomenina kosti stydké a</w:t>
      </w:r>
      <w:r>
        <w:rPr>
          <w:color w:val="231F20"/>
          <w:spacing w:val="-9"/>
          <w:sz w:val="12"/>
        </w:rPr>
        <w:t xml:space="preserve"> </w:t>
      </w:r>
      <w:r>
        <w:rPr>
          <w:color w:val="231F20"/>
          <w:sz w:val="12"/>
        </w:rPr>
        <w:t>kyčelní</w:t>
      </w:r>
    </w:p>
    <w:p w14:paraId="6E106024" w14:textId="77777777" w:rsidR="00F65BCA" w:rsidRDefault="00216117">
      <w:pPr>
        <w:pStyle w:val="Odstavecseseznamem"/>
        <w:numPr>
          <w:ilvl w:val="0"/>
          <w:numId w:val="70"/>
        </w:numPr>
        <w:tabs>
          <w:tab w:val="left" w:pos="456"/>
        </w:tabs>
        <w:spacing w:before="29"/>
        <w:ind w:hanging="273"/>
        <w:rPr>
          <w:sz w:val="12"/>
        </w:rPr>
      </w:pPr>
      <w:r>
        <w:rPr>
          <w:color w:val="231F20"/>
          <w:sz w:val="12"/>
        </w:rPr>
        <w:t>Zlomenina</w:t>
      </w:r>
      <w:r>
        <w:rPr>
          <w:color w:val="231F20"/>
          <w:spacing w:val="-6"/>
          <w:sz w:val="12"/>
        </w:rPr>
        <w:t xml:space="preserve"> </w:t>
      </w:r>
      <w:r>
        <w:rPr>
          <w:color w:val="231F20"/>
          <w:sz w:val="12"/>
        </w:rPr>
        <w:t>kosti</w:t>
      </w:r>
      <w:r>
        <w:rPr>
          <w:color w:val="231F20"/>
          <w:spacing w:val="-6"/>
          <w:sz w:val="12"/>
        </w:rPr>
        <w:t xml:space="preserve"> </w:t>
      </w:r>
      <w:r>
        <w:rPr>
          <w:color w:val="231F20"/>
          <w:sz w:val="12"/>
        </w:rPr>
        <w:t>stydké</w:t>
      </w:r>
      <w:r>
        <w:rPr>
          <w:color w:val="231F20"/>
          <w:spacing w:val="-6"/>
          <w:sz w:val="12"/>
        </w:rPr>
        <w:t xml:space="preserve"> </w:t>
      </w:r>
      <w:r>
        <w:rPr>
          <w:color w:val="231F20"/>
          <w:sz w:val="12"/>
        </w:rPr>
        <w:t>s</w:t>
      </w:r>
      <w:r>
        <w:rPr>
          <w:color w:val="231F20"/>
          <w:spacing w:val="-6"/>
          <w:sz w:val="12"/>
        </w:rPr>
        <w:t xml:space="preserve"> </w:t>
      </w:r>
      <w:r>
        <w:rPr>
          <w:color w:val="231F20"/>
          <w:sz w:val="12"/>
        </w:rPr>
        <w:t>luxací</w:t>
      </w:r>
      <w:r>
        <w:rPr>
          <w:color w:val="231F20"/>
          <w:spacing w:val="-6"/>
          <w:sz w:val="12"/>
        </w:rPr>
        <w:t xml:space="preserve"> </w:t>
      </w:r>
      <w:r>
        <w:rPr>
          <w:color w:val="231F20"/>
          <w:sz w:val="12"/>
        </w:rPr>
        <w:t>křížokyčelní</w:t>
      </w:r>
    </w:p>
    <w:p w14:paraId="054543B6" w14:textId="77777777" w:rsidR="00F65BCA" w:rsidRDefault="00000000">
      <w:pPr>
        <w:spacing w:before="33" w:line="242" w:lineRule="auto"/>
        <w:ind w:left="455" w:right="431"/>
        <w:rPr>
          <w:sz w:val="12"/>
        </w:rPr>
      </w:pPr>
      <w:r>
        <w:pict w14:anchorId="4854DD32">
          <v:shape id="_x0000_s2183" type="#_x0000_t202" style="position:absolute;left:0;text-align:left;margin-left:399.05pt;margin-top:4.95pt;width:10.05pt;height:7.2pt;z-index:251937792;mso-position-horizontal-relative:page" filled="f" stroked="f">
            <v:textbox inset="0,0,0,0">
              <w:txbxContent>
                <w:p w14:paraId="5AC3FB72" w14:textId="77777777" w:rsidR="00F65BCA" w:rsidRDefault="00216117">
                  <w:pPr>
                    <w:spacing w:before="4"/>
                    <w:rPr>
                      <w:b/>
                      <w:sz w:val="12"/>
                    </w:rPr>
                  </w:pPr>
                  <w:r>
                    <w:rPr>
                      <w:b/>
                      <w:color w:val="231F20"/>
                      <w:sz w:val="12"/>
                    </w:rPr>
                    <w:t>147</w:t>
                  </w:r>
                </w:p>
              </w:txbxContent>
            </v:textbox>
            <w10:wrap anchorx="page"/>
          </v:shape>
        </w:pict>
      </w:r>
      <w:r w:rsidR="00216117">
        <w:rPr>
          <w:color w:val="231F20"/>
          <w:sz w:val="12"/>
        </w:rPr>
        <w:t>Rozestup spony stydké bez posunu nebo s posunem úlomků</w:t>
      </w:r>
    </w:p>
    <w:p w14:paraId="4D434FB1" w14:textId="77777777" w:rsidR="00F65BCA" w:rsidRDefault="00000000">
      <w:pPr>
        <w:pStyle w:val="Odstavecseseznamem"/>
        <w:numPr>
          <w:ilvl w:val="0"/>
          <w:numId w:val="69"/>
        </w:numPr>
        <w:tabs>
          <w:tab w:val="left" w:pos="456"/>
        </w:tabs>
        <w:spacing w:before="42"/>
        <w:ind w:hanging="273"/>
        <w:rPr>
          <w:sz w:val="12"/>
        </w:rPr>
      </w:pPr>
      <w:r>
        <w:pict w14:anchorId="7AB6B528">
          <v:shape id="_x0000_s2182" type="#_x0000_t202" style="position:absolute;left:0;text-align:left;margin-left:469.35pt;margin-top:34.85pt;width:86.3pt;height:11.7pt;z-index:-299298816;mso-position-horizontal-relative:page" filled="f" stroked="f">
            <v:textbox inset="0,0,0,0">
              <w:txbxContent>
                <w:p w14:paraId="2231B7AC" w14:textId="77777777" w:rsidR="00F65BCA" w:rsidRDefault="00216117">
                  <w:pPr>
                    <w:spacing w:before="3"/>
                    <w:rPr>
                      <w:sz w:val="16"/>
                    </w:rPr>
                  </w:pPr>
                  <w:r>
                    <w:rPr>
                      <w:color w:val="231F20"/>
                      <w:sz w:val="16"/>
                    </w:rPr>
                    <w:t xml:space="preserve">Oceňovací tabulky </w:t>
                  </w:r>
                  <w:r>
                    <w:rPr>
                      <w:color w:val="6D6E71"/>
                      <w:sz w:val="20"/>
                    </w:rPr>
                    <w:t xml:space="preserve">| </w:t>
                  </w:r>
                  <w:r>
                    <w:rPr>
                      <w:color w:val="231F20"/>
                      <w:sz w:val="16"/>
                    </w:rPr>
                    <w:t>35</w:t>
                  </w:r>
                </w:p>
              </w:txbxContent>
            </v:textbox>
            <w10:wrap anchorx="page"/>
          </v:shape>
        </w:pict>
      </w:r>
      <w:r w:rsidR="00216117">
        <w:rPr>
          <w:color w:val="231F20"/>
          <w:sz w:val="12"/>
        </w:rPr>
        <w:t>Zlomenina pilíře</w:t>
      </w:r>
      <w:r w:rsidR="00216117">
        <w:rPr>
          <w:color w:val="231F20"/>
          <w:spacing w:val="-6"/>
          <w:sz w:val="12"/>
        </w:rPr>
        <w:t xml:space="preserve"> </w:t>
      </w:r>
      <w:r w:rsidR="00216117">
        <w:rPr>
          <w:color w:val="231F20"/>
          <w:sz w:val="12"/>
        </w:rPr>
        <w:t>ilioischiadického</w:t>
      </w:r>
    </w:p>
    <w:p w14:paraId="2A552A72" w14:textId="77777777" w:rsidR="00F65BCA" w:rsidRDefault="00216117">
      <w:pPr>
        <w:spacing w:before="17"/>
        <w:ind w:left="183"/>
        <w:rPr>
          <w:sz w:val="12"/>
        </w:rPr>
      </w:pPr>
      <w:r>
        <w:br w:type="column"/>
      </w:r>
      <w:r>
        <w:rPr>
          <w:color w:val="231F20"/>
          <w:sz w:val="12"/>
        </w:rPr>
        <w:t>do</w:t>
      </w:r>
      <w:r>
        <w:rPr>
          <w:color w:val="231F20"/>
          <w:spacing w:val="2"/>
          <w:sz w:val="12"/>
        </w:rPr>
        <w:t xml:space="preserve"> </w:t>
      </w:r>
      <w:r>
        <w:rPr>
          <w:color w:val="231F20"/>
          <w:sz w:val="12"/>
        </w:rPr>
        <w:t>112</w:t>
      </w:r>
    </w:p>
    <w:p w14:paraId="204A1588"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84</w:t>
      </w:r>
    </w:p>
    <w:p w14:paraId="5528CC22" w14:textId="77777777" w:rsidR="00F65BCA" w:rsidRDefault="00216117">
      <w:pPr>
        <w:spacing w:before="37"/>
        <w:ind w:left="183"/>
        <w:rPr>
          <w:sz w:val="12"/>
        </w:rPr>
      </w:pPr>
      <w:r>
        <w:rPr>
          <w:color w:val="231F20"/>
          <w:sz w:val="12"/>
        </w:rPr>
        <w:t>do</w:t>
      </w:r>
      <w:r>
        <w:rPr>
          <w:color w:val="231F20"/>
          <w:spacing w:val="2"/>
          <w:sz w:val="12"/>
        </w:rPr>
        <w:t xml:space="preserve"> </w:t>
      </w:r>
      <w:r>
        <w:rPr>
          <w:color w:val="231F20"/>
          <w:sz w:val="12"/>
        </w:rPr>
        <w:t>112</w:t>
      </w:r>
    </w:p>
    <w:p w14:paraId="192C2A5E" w14:textId="77777777" w:rsidR="00F65BCA" w:rsidRDefault="00216117">
      <w:pPr>
        <w:spacing w:before="38"/>
        <w:ind w:left="183"/>
        <w:rPr>
          <w:sz w:val="12"/>
        </w:rPr>
      </w:pPr>
      <w:r>
        <w:rPr>
          <w:color w:val="231F20"/>
          <w:sz w:val="12"/>
        </w:rPr>
        <w:t>do</w:t>
      </w:r>
      <w:r>
        <w:rPr>
          <w:color w:val="231F20"/>
          <w:spacing w:val="2"/>
          <w:sz w:val="12"/>
        </w:rPr>
        <w:t xml:space="preserve"> </w:t>
      </w:r>
      <w:r>
        <w:rPr>
          <w:color w:val="231F20"/>
          <w:sz w:val="12"/>
        </w:rPr>
        <w:t>105</w:t>
      </w:r>
    </w:p>
    <w:p w14:paraId="4E620ED8"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91</w:t>
      </w:r>
    </w:p>
    <w:p w14:paraId="22E0653D"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84</w:t>
      </w:r>
    </w:p>
    <w:p w14:paraId="159896CD"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91</w:t>
      </w:r>
    </w:p>
    <w:p w14:paraId="19DDEE72" w14:textId="77777777" w:rsidR="00F65BCA" w:rsidRDefault="00216117">
      <w:pPr>
        <w:spacing w:before="33"/>
        <w:ind w:left="217"/>
        <w:rPr>
          <w:sz w:val="12"/>
        </w:rPr>
      </w:pPr>
      <w:r>
        <w:rPr>
          <w:color w:val="231F20"/>
          <w:sz w:val="12"/>
        </w:rPr>
        <w:t>do</w:t>
      </w:r>
      <w:r>
        <w:rPr>
          <w:color w:val="231F20"/>
          <w:spacing w:val="2"/>
          <w:sz w:val="12"/>
        </w:rPr>
        <w:t xml:space="preserve"> </w:t>
      </w:r>
      <w:r>
        <w:rPr>
          <w:color w:val="231F20"/>
          <w:sz w:val="12"/>
        </w:rPr>
        <w:t>84</w:t>
      </w:r>
    </w:p>
    <w:p w14:paraId="72115930" w14:textId="77777777" w:rsidR="00F65BCA" w:rsidRDefault="00F65BCA">
      <w:pPr>
        <w:pStyle w:val="Zkladntext"/>
        <w:rPr>
          <w:sz w:val="14"/>
        </w:rPr>
      </w:pPr>
    </w:p>
    <w:p w14:paraId="1E97751C" w14:textId="77777777" w:rsidR="00F65BCA" w:rsidRDefault="00F65BCA">
      <w:pPr>
        <w:pStyle w:val="Zkladntext"/>
        <w:rPr>
          <w:sz w:val="14"/>
        </w:rPr>
      </w:pPr>
    </w:p>
    <w:p w14:paraId="33747197" w14:textId="77777777" w:rsidR="00F65BCA" w:rsidRDefault="00216117">
      <w:pPr>
        <w:spacing w:before="84"/>
        <w:ind w:left="217"/>
        <w:rPr>
          <w:sz w:val="12"/>
        </w:rPr>
      </w:pPr>
      <w:r>
        <w:rPr>
          <w:color w:val="231F20"/>
          <w:sz w:val="12"/>
        </w:rPr>
        <w:t>do</w:t>
      </w:r>
      <w:r>
        <w:rPr>
          <w:color w:val="231F20"/>
          <w:spacing w:val="2"/>
          <w:sz w:val="12"/>
        </w:rPr>
        <w:t xml:space="preserve"> </w:t>
      </w:r>
      <w:r>
        <w:rPr>
          <w:color w:val="231F20"/>
          <w:sz w:val="12"/>
        </w:rPr>
        <w:t>35</w:t>
      </w:r>
    </w:p>
    <w:p w14:paraId="15366D19" w14:textId="77777777" w:rsidR="00F65BCA" w:rsidRDefault="00216117">
      <w:pPr>
        <w:spacing w:before="26"/>
        <w:ind w:left="217"/>
        <w:rPr>
          <w:sz w:val="12"/>
        </w:rPr>
      </w:pPr>
      <w:r>
        <w:rPr>
          <w:color w:val="231F20"/>
          <w:sz w:val="12"/>
        </w:rPr>
        <w:t>do</w:t>
      </w:r>
      <w:r>
        <w:rPr>
          <w:color w:val="231F20"/>
          <w:spacing w:val="2"/>
          <w:sz w:val="12"/>
        </w:rPr>
        <w:t xml:space="preserve"> </w:t>
      </w:r>
      <w:r>
        <w:rPr>
          <w:color w:val="231F20"/>
          <w:sz w:val="12"/>
        </w:rPr>
        <w:t>35</w:t>
      </w:r>
    </w:p>
    <w:p w14:paraId="6404173F"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35</w:t>
      </w:r>
    </w:p>
    <w:p w14:paraId="0BFCAA73" w14:textId="77777777" w:rsidR="00F65BCA" w:rsidRDefault="00216117">
      <w:pPr>
        <w:spacing w:before="103"/>
        <w:ind w:left="217"/>
        <w:rPr>
          <w:sz w:val="12"/>
        </w:rPr>
      </w:pPr>
      <w:r>
        <w:rPr>
          <w:color w:val="231F20"/>
          <w:sz w:val="12"/>
        </w:rPr>
        <w:t>do</w:t>
      </w:r>
      <w:r>
        <w:rPr>
          <w:color w:val="231F20"/>
          <w:spacing w:val="2"/>
          <w:sz w:val="12"/>
        </w:rPr>
        <w:t xml:space="preserve"> </w:t>
      </w:r>
      <w:r>
        <w:rPr>
          <w:color w:val="231F20"/>
          <w:sz w:val="12"/>
        </w:rPr>
        <w:t>42</w:t>
      </w:r>
    </w:p>
    <w:p w14:paraId="7723BA17" w14:textId="77777777" w:rsidR="00F65BCA" w:rsidRDefault="00F65BCA">
      <w:pPr>
        <w:pStyle w:val="Zkladntext"/>
        <w:spacing w:before="1"/>
      </w:pPr>
    </w:p>
    <w:p w14:paraId="30A70D07" w14:textId="77777777" w:rsidR="00F65BCA" w:rsidRDefault="00216117">
      <w:pPr>
        <w:spacing w:before="1"/>
        <w:ind w:left="217"/>
        <w:rPr>
          <w:sz w:val="12"/>
        </w:rPr>
      </w:pPr>
      <w:r>
        <w:rPr>
          <w:color w:val="231F20"/>
          <w:sz w:val="12"/>
        </w:rPr>
        <w:t>do</w:t>
      </w:r>
      <w:r>
        <w:rPr>
          <w:color w:val="231F20"/>
          <w:spacing w:val="2"/>
          <w:sz w:val="12"/>
        </w:rPr>
        <w:t xml:space="preserve"> </w:t>
      </w:r>
      <w:r>
        <w:rPr>
          <w:color w:val="231F20"/>
          <w:sz w:val="12"/>
        </w:rPr>
        <w:t>63</w:t>
      </w:r>
    </w:p>
    <w:p w14:paraId="13AB8503" w14:textId="77777777" w:rsidR="00F65BCA" w:rsidRDefault="00F65BCA">
      <w:pPr>
        <w:pStyle w:val="Zkladntext"/>
        <w:rPr>
          <w:sz w:val="14"/>
        </w:rPr>
      </w:pPr>
    </w:p>
    <w:p w14:paraId="361A71CC" w14:textId="77777777" w:rsidR="00F65BCA" w:rsidRDefault="00216117">
      <w:pPr>
        <w:spacing w:before="112"/>
        <w:ind w:left="217"/>
        <w:rPr>
          <w:sz w:val="12"/>
        </w:rPr>
      </w:pPr>
      <w:r>
        <w:rPr>
          <w:color w:val="231F20"/>
          <w:sz w:val="12"/>
        </w:rPr>
        <w:t>do</w:t>
      </w:r>
      <w:r>
        <w:rPr>
          <w:color w:val="231F20"/>
          <w:spacing w:val="2"/>
          <w:sz w:val="12"/>
        </w:rPr>
        <w:t xml:space="preserve"> </w:t>
      </w:r>
      <w:r>
        <w:rPr>
          <w:color w:val="231F20"/>
          <w:sz w:val="12"/>
        </w:rPr>
        <w:t>84</w:t>
      </w:r>
    </w:p>
    <w:p w14:paraId="2F8C714F"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98</w:t>
      </w:r>
    </w:p>
    <w:p w14:paraId="39E3A124"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84</w:t>
      </w:r>
    </w:p>
    <w:p w14:paraId="6CA9B9D1"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98</w:t>
      </w:r>
    </w:p>
    <w:p w14:paraId="464A7BAA" w14:textId="77777777" w:rsidR="00F65BCA" w:rsidRDefault="00F65BCA">
      <w:pPr>
        <w:pStyle w:val="Zkladntext"/>
        <w:rPr>
          <w:sz w:val="14"/>
        </w:rPr>
      </w:pPr>
    </w:p>
    <w:p w14:paraId="32770299" w14:textId="77777777" w:rsidR="00F65BCA" w:rsidRDefault="00F65BCA">
      <w:pPr>
        <w:pStyle w:val="Zkladntext"/>
        <w:rPr>
          <w:sz w:val="14"/>
        </w:rPr>
      </w:pPr>
    </w:p>
    <w:p w14:paraId="1AAB7942" w14:textId="77777777" w:rsidR="00F65BCA" w:rsidRDefault="00F65BCA">
      <w:pPr>
        <w:pStyle w:val="Zkladntext"/>
        <w:rPr>
          <w:sz w:val="14"/>
        </w:rPr>
      </w:pPr>
    </w:p>
    <w:p w14:paraId="3F578C01" w14:textId="77777777" w:rsidR="00F65BCA" w:rsidRDefault="00216117">
      <w:pPr>
        <w:spacing w:before="96"/>
        <w:ind w:left="217"/>
        <w:rPr>
          <w:sz w:val="12"/>
        </w:rPr>
      </w:pPr>
      <w:r>
        <w:rPr>
          <w:color w:val="231F20"/>
          <w:sz w:val="12"/>
        </w:rPr>
        <w:t>do</w:t>
      </w:r>
      <w:r>
        <w:rPr>
          <w:color w:val="231F20"/>
          <w:spacing w:val="2"/>
          <w:sz w:val="12"/>
        </w:rPr>
        <w:t xml:space="preserve"> </w:t>
      </w:r>
      <w:r>
        <w:rPr>
          <w:color w:val="231F20"/>
          <w:sz w:val="12"/>
        </w:rPr>
        <w:t>28</w:t>
      </w:r>
    </w:p>
    <w:p w14:paraId="1CA2D097" w14:textId="77777777" w:rsidR="00F65BCA" w:rsidRDefault="00216117">
      <w:pPr>
        <w:spacing w:before="38"/>
        <w:ind w:left="217"/>
        <w:rPr>
          <w:sz w:val="12"/>
        </w:rPr>
      </w:pPr>
      <w:r>
        <w:rPr>
          <w:color w:val="231F20"/>
          <w:sz w:val="12"/>
        </w:rPr>
        <w:t>do</w:t>
      </w:r>
      <w:r>
        <w:rPr>
          <w:color w:val="231F20"/>
          <w:spacing w:val="2"/>
          <w:sz w:val="12"/>
        </w:rPr>
        <w:t xml:space="preserve"> </w:t>
      </w:r>
      <w:r>
        <w:rPr>
          <w:color w:val="231F20"/>
          <w:sz w:val="12"/>
        </w:rPr>
        <w:t>28</w:t>
      </w:r>
    </w:p>
    <w:p w14:paraId="2D28FC9C" w14:textId="77777777" w:rsidR="00F65BCA" w:rsidRDefault="00216117">
      <w:pPr>
        <w:spacing w:before="38"/>
        <w:ind w:left="217"/>
        <w:rPr>
          <w:sz w:val="12"/>
        </w:rPr>
      </w:pPr>
      <w:r>
        <w:rPr>
          <w:color w:val="231F20"/>
          <w:sz w:val="12"/>
        </w:rPr>
        <w:t>do</w:t>
      </w:r>
      <w:r>
        <w:rPr>
          <w:color w:val="231F20"/>
          <w:spacing w:val="2"/>
          <w:sz w:val="12"/>
        </w:rPr>
        <w:t xml:space="preserve"> </w:t>
      </w:r>
      <w:r>
        <w:rPr>
          <w:color w:val="231F20"/>
          <w:sz w:val="12"/>
        </w:rPr>
        <w:t>28</w:t>
      </w:r>
    </w:p>
    <w:p w14:paraId="186FB8A7" w14:textId="77777777" w:rsidR="00F65BCA" w:rsidRDefault="00216117">
      <w:pPr>
        <w:spacing w:before="37"/>
        <w:ind w:left="217"/>
        <w:rPr>
          <w:sz w:val="12"/>
        </w:rPr>
      </w:pPr>
      <w:r>
        <w:rPr>
          <w:color w:val="231F20"/>
          <w:sz w:val="12"/>
        </w:rPr>
        <w:t>do</w:t>
      </w:r>
      <w:r>
        <w:rPr>
          <w:color w:val="231F20"/>
          <w:spacing w:val="2"/>
          <w:sz w:val="12"/>
        </w:rPr>
        <w:t xml:space="preserve"> </w:t>
      </w:r>
      <w:r>
        <w:rPr>
          <w:color w:val="231F20"/>
          <w:sz w:val="12"/>
        </w:rPr>
        <w:t>28</w:t>
      </w:r>
    </w:p>
    <w:p w14:paraId="110B9931" w14:textId="77777777" w:rsidR="00F65BCA" w:rsidRDefault="00F65BCA">
      <w:pPr>
        <w:pStyle w:val="Zkladntext"/>
        <w:spacing w:before="7"/>
        <w:rPr>
          <w:sz w:val="18"/>
        </w:rPr>
      </w:pPr>
    </w:p>
    <w:p w14:paraId="05009AF6"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35</w:t>
      </w:r>
    </w:p>
    <w:p w14:paraId="03457EA7" w14:textId="77777777" w:rsidR="00F65BCA" w:rsidRDefault="00216117">
      <w:pPr>
        <w:spacing w:before="38"/>
        <w:ind w:left="217"/>
        <w:rPr>
          <w:sz w:val="12"/>
        </w:rPr>
      </w:pPr>
      <w:r>
        <w:rPr>
          <w:color w:val="231F20"/>
          <w:sz w:val="12"/>
        </w:rPr>
        <w:t>do</w:t>
      </w:r>
      <w:r>
        <w:rPr>
          <w:color w:val="231F20"/>
          <w:spacing w:val="2"/>
          <w:sz w:val="12"/>
        </w:rPr>
        <w:t xml:space="preserve"> </w:t>
      </w:r>
      <w:r>
        <w:rPr>
          <w:color w:val="231F20"/>
          <w:sz w:val="12"/>
        </w:rPr>
        <w:t>35</w:t>
      </w:r>
    </w:p>
    <w:p w14:paraId="1C187163" w14:textId="77777777" w:rsidR="00F65BCA" w:rsidRDefault="00216117">
      <w:pPr>
        <w:spacing w:before="38"/>
        <w:ind w:left="217"/>
        <w:rPr>
          <w:sz w:val="12"/>
        </w:rPr>
      </w:pPr>
      <w:r>
        <w:rPr>
          <w:color w:val="231F20"/>
          <w:sz w:val="12"/>
        </w:rPr>
        <w:t>do</w:t>
      </w:r>
      <w:r>
        <w:rPr>
          <w:color w:val="231F20"/>
          <w:spacing w:val="2"/>
          <w:sz w:val="12"/>
        </w:rPr>
        <w:t xml:space="preserve"> </w:t>
      </w:r>
      <w:r>
        <w:rPr>
          <w:color w:val="231F20"/>
          <w:sz w:val="12"/>
        </w:rPr>
        <w:t>35</w:t>
      </w:r>
    </w:p>
    <w:p w14:paraId="70C29697" w14:textId="77777777" w:rsidR="00F65BCA" w:rsidRDefault="00216117">
      <w:pPr>
        <w:spacing w:before="37"/>
        <w:ind w:left="217"/>
        <w:rPr>
          <w:sz w:val="12"/>
        </w:rPr>
      </w:pPr>
      <w:r>
        <w:rPr>
          <w:color w:val="231F20"/>
          <w:sz w:val="12"/>
        </w:rPr>
        <w:t>do</w:t>
      </w:r>
      <w:r>
        <w:rPr>
          <w:color w:val="231F20"/>
          <w:spacing w:val="2"/>
          <w:sz w:val="12"/>
        </w:rPr>
        <w:t xml:space="preserve"> </w:t>
      </w:r>
      <w:r>
        <w:rPr>
          <w:color w:val="231F20"/>
          <w:sz w:val="12"/>
        </w:rPr>
        <w:t>35</w:t>
      </w:r>
    </w:p>
    <w:p w14:paraId="74181577" w14:textId="77777777" w:rsidR="00F65BCA" w:rsidRDefault="00F65BCA">
      <w:pPr>
        <w:pStyle w:val="Zkladntext"/>
        <w:rPr>
          <w:sz w:val="14"/>
        </w:rPr>
      </w:pPr>
    </w:p>
    <w:p w14:paraId="5AFC64C0" w14:textId="77777777" w:rsidR="00F65BCA" w:rsidRDefault="00216117">
      <w:pPr>
        <w:spacing w:before="121"/>
        <w:ind w:left="183"/>
        <w:rPr>
          <w:sz w:val="12"/>
        </w:rPr>
      </w:pPr>
      <w:r>
        <w:rPr>
          <w:color w:val="231F20"/>
          <w:sz w:val="12"/>
        </w:rPr>
        <w:t>do</w:t>
      </w:r>
      <w:r>
        <w:rPr>
          <w:color w:val="231F20"/>
          <w:spacing w:val="2"/>
          <w:sz w:val="12"/>
        </w:rPr>
        <w:t xml:space="preserve"> </w:t>
      </w:r>
      <w:r>
        <w:rPr>
          <w:color w:val="231F20"/>
          <w:sz w:val="12"/>
        </w:rPr>
        <w:t>182</w:t>
      </w:r>
    </w:p>
    <w:p w14:paraId="1FB1F098" w14:textId="77777777" w:rsidR="00F65BCA" w:rsidRDefault="00F65BCA">
      <w:pPr>
        <w:pStyle w:val="Zkladntext"/>
        <w:spacing w:before="1"/>
      </w:pPr>
    </w:p>
    <w:p w14:paraId="0867BEB4" w14:textId="77777777" w:rsidR="00F65BCA" w:rsidRDefault="00216117">
      <w:pPr>
        <w:ind w:left="183"/>
        <w:rPr>
          <w:sz w:val="12"/>
        </w:rPr>
      </w:pPr>
      <w:r>
        <w:rPr>
          <w:color w:val="231F20"/>
          <w:sz w:val="12"/>
        </w:rPr>
        <w:t>do</w:t>
      </w:r>
      <w:r>
        <w:rPr>
          <w:color w:val="231F20"/>
          <w:spacing w:val="2"/>
          <w:sz w:val="12"/>
        </w:rPr>
        <w:t xml:space="preserve"> </w:t>
      </w:r>
      <w:r>
        <w:rPr>
          <w:color w:val="231F20"/>
          <w:sz w:val="12"/>
        </w:rPr>
        <w:t>182</w:t>
      </w:r>
    </w:p>
    <w:p w14:paraId="0F0BBDCF" w14:textId="77777777" w:rsidR="00F65BCA" w:rsidRDefault="00216117">
      <w:pPr>
        <w:spacing w:before="106"/>
        <w:ind w:left="217"/>
        <w:rPr>
          <w:sz w:val="12"/>
        </w:rPr>
      </w:pPr>
      <w:r>
        <w:rPr>
          <w:color w:val="231F20"/>
          <w:sz w:val="12"/>
        </w:rPr>
        <w:t>do</w:t>
      </w:r>
      <w:r>
        <w:rPr>
          <w:color w:val="231F20"/>
          <w:spacing w:val="2"/>
          <w:sz w:val="12"/>
        </w:rPr>
        <w:t xml:space="preserve"> </w:t>
      </w:r>
      <w:r>
        <w:rPr>
          <w:color w:val="231F20"/>
          <w:sz w:val="12"/>
        </w:rPr>
        <w:t>49</w:t>
      </w:r>
    </w:p>
    <w:p w14:paraId="507D6D70" w14:textId="77777777" w:rsidR="00F65BCA" w:rsidRDefault="00216117">
      <w:pPr>
        <w:spacing w:before="106"/>
        <w:ind w:left="183"/>
        <w:rPr>
          <w:sz w:val="12"/>
        </w:rPr>
      </w:pPr>
      <w:r>
        <w:rPr>
          <w:color w:val="231F20"/>
          <w:sz w:val="12"/>
        </w:rPr>
        <w:t>do</w:t>
      </w:r>
      <w:r>
        <w:rPr>
          <w:color w:val="231F20"/>
          <w:spacing w:val="2"/>
          <w:sz w:val="12"/>
        </w:rPr>
        <w:t xml:space="preserve"> </w:t>
      </w:r>
      <w:r>
        <w:rPr>
          <w:color w:val="231F20"/>
          <w:sz w:val="12"/>
        </w:rPr>
        <w:t>140</w:t>
      </w:r>
    </w:p>
    <w:p w14:paraId="76DC4736" w14:textId="77777777" w:rsidR="00F65BCA" w:rsidRDefault="00F65BCA">
      <w:pPr>
        <w:pStyle w:val="Zkladntext"/>
        <w:rPr>
          <w:sz w:val="14"/>
        </w:rPr>
      </w:pPr>
    </w:p>
    <w:p w14:paraId="7BA4E789" w14:textId="77777777" w:rsidR="00F65BCA" w:rsidRDefault="00216117">
      <w:pPr>
        <w:spacing w:before="112"/>
        <w:ind w:left="217"/>
        <w:rPr>
          <w:sz w:val="12"/>
        </w:rPr>
      </w:pPr>
      <w:r>
        <w:rPr>
          <w:color w:val="231F20"/>
          <w:sz w:val="12"/>
        </w:rPr>
        <w:t>do</w:t>
      </w:r>
      <w:r>
        <w:rPr>
          <w:color w:val="231F20"/>
          <w:spacing w:val="2"/>
          <w:sz w:val="12"/>
        </w:rPr>
        <w:t xml:space="preserve"> </w:t>
      </w:r>
      <w:r>
        <w:rPr>
          <w:color w:val="231F20"/>
          <w:sz w:val="12"/>
        </w:rPr>
        <w:t>49</w:t>
      </w:r>
    </w:p>
    <w:p w14:paraId="00537BF8"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70</w:t>
      </w:r>
    </w:p>
    <w:p w14:paraId="1DC77CB0"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77</w:t>
      </w:r>
    </w:p>
    <w:p w14:paraId="09072A22" w14:textId="77777777" w:rsidR="00F65BCA" w:rsidRDefault="00216117">
      <w:pPr>
        <w:spacing w:before="32"/>
        <w:ind w:left="183"/>
        <w:rPr>
          <w:sz w:val="12"/>
        </w:rPr>
      </w:pPr>
      <w:r>
        <w:rPr>
          <w:color w:val="231F20"/>
          <w:sz w:val="12"/>
        </w:rPr>
        <w:t>do</w:t>
      </w:r>
      <w:r>
        <w:rPr>
          <w:color w:val="231F20"/>
          <w:spacing w:val="2"/>
          <w:sz w:val="12"/>
        </w:rPr>
        <w:t xml:space="preserve"> </w:t>
      </w:r>
      <w:r>
        <w:rPr>
          <w:color w:val="231F20"/>
          <w:sz w:val="12"/>
        </w:rPr>
        <w:t>182</w:t>
      </w:r>
    </w:p>
    <w:p w14:paraId="72E81312"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70</w:t>
      </w:r>
    </w:p>
    <w:p w14:paraId="4C3086A2" w14:textId="77777777" w:rsidR="00F65BCA" w:rsidRDefault="00216117">
      <w:pPr>
        <w:spacing w:before="103"/>
        <w:ind w:left="183"/>
        <w:rPr>
          <w:sz w:val="12"/>
        </w:rPr>
      </w:pPr>
      <w:r>
        <w:rPr>
          <w:color w:val="231F20"/>
          <w:sz w:val="12"/>
        </w:rPr>
        <w:t>do</w:t>
      </w:r>
      <w:r>
        <w:rPr>
          <w:color w:val="231F20"/>
          <w:spacing w:val="2"/>
          <w:sz w:val="12"/>
        </w:rPr>
        <w:t xml:space="preserve"> </w:t>
      </w:r>
      <w:r>
        <w:rPr>
          <w:color w:val="231F20"/>
          <w:sz w:val="12"/>
        </w:rPr>
        <w:t>196</w:t>
      </w:r>
    </w:p>
    <w:p w14:paraId="7CA9E0AC" w14:textId="77777777" w:rsidR="00F65BCA" w:rsidRDefault="00F65BCA">
      <w:pPr>
        <w:pStyle w:val="Zkladntext"/>
        <w:spacing w:before="1"/>
      </w:pPr>
    </w:p>
    <w:p w14:paraId="1C1D0EF0" w14:textId="77777777" w:rsidR="00F65BCA" w:rsidRDefault="00216117">
      <w:pPr>
        <w:ind w:left="183"/>
        <w:rPr>
          <w:sz w:val="12"/>
        </w:rPr>
      </w:pPr>
      <w:r>
        <w:rPr>
          <w:color w:val="231F20"/>
          <w:sz w:val="12"/>
        </w:rPr>
        <w:t>do</w:t>
      </w:r>
      <w:r>
        <w:rPr>
          <w:color w:val="231F20"/>
          <w:spacing w:val="2"/>
          <w:sz w:val="12"/>
        </w:rPr>
        <w:t xml:space="preserve"> </w:t>
      </w:r>
      <w:r>
        <w:rPr>
          <w:color w:val="231F20"/>
          <w:sz w:val="12"/>
        </w:rPr>
        <w:t>259</w:t>
      </w:r>
    </w:p>
    <w:p w14:paraId="21D2C8C2" w14:textId="77777777" w:rsidR="00F65BCA" w:rsidRDefault="00F65BCA">
      <w:pPr>
        <w:pStyle w:val="Zkladntext"/>
        <w:spacing w:before="2"/>
      </w:pPr>
    </w:p>
    <w:p w14:paraId="2E6C7D77" w14:textId="77777777" w:rsidR="00F65BCA" w:rsidRDefault="00216117">
      <w:pPr>
        <w:ind w:left="183"/>
        <w:rPr>
          <w:sz w:val="12"/>
        </w:rPr>
      </w:pPr>
      <w:r>
        <w:rPr>
          <w:color w:val="231F20"/>
          <w:sz w:val="12"/>
        </w:rPr>
        <w:t>do</w:t>
      </w:r>
      <w:r>
        <w:rPr>
          <w:color w:val="231F20"/>
          <w:spacing w:val="2"/>
          <w:sz w:val="12"/>
        </w:rPr>
        <w:t xml:space="preserve"> </w:t>
      </w:r>
      <w:r>
        <w:rPr>
          <w:color w:val="231F20"/>
          <w:sz w:val="12"/>
        </w:rPr>
        <w:t>182</w:t>
      </w:r>
    </w:p>
    <w:p w14:paraId="1316008C" w14:textId="77777777" w:rsidR="00F65BCA" w:rsidRDefault="00F65BCA">
      <w:pPr>
        <w:pStyle w:val="Zkladntext"/>
        <w:spacing w:before="1"/>
      </w:pPr>
    </w:p>
    <w:p w14:paraId="4E1FA4D2" w14:textId="77777777" w:rsidR="00F65BCA" w:rsidRDefault="00216117">
      <w:pPr>
        <w:ind w:right="79"/>
        <w:jc w:val="center"/>
        <w:rPr>
          <w:sz w:val="12"/>
        </w:rPr>
      </w:pPr>
      <w:r>
        <w:rPr>
          <w:color w:val="231F20"/>
          <w:w w:val="99"/>
          <w:sz w:val="12"/>
        </w:rPr>
        <w:t>0</w:t>
      </w:r>
    </w:p>
    <w:p w14:paraId="2F02DB57" w14:textId="77777777" w:rsidR="00F65BCA" w:rsidRDefault="00F65BCA">
      <w:pPr>
        <w:pStyle w:val="Zkladntext"/>
        <w:rPr>
          <w:sz w:val="14"/>
        </w:rPr>
      </w:pPr>
    </w:p>
    <w:p w14:paraId="1BA56449" w14:textId="77777777" w:rsidR="00F65BCA" w:rsidRDefault="00F65BCA">
      <w:pPr>
        <w:pStyle w:val="Zkladntext"/>
        <w:rPr>
          <w:sz w:val="14"/>
        </w:rPr>
      </w:pPr>
    </w:p>
    <w:p w14:paraId="33050988" w14:textId="77777777" w:rsidR="00F65BCA" w:rsidRDefault="00F65BCA">
      <w:pPr>
        <w:pStyle w:val="Zkladntext"/>
        <w:spacing w:before="9"/>
        <w:rPr>
          <w:sz w:val="13"/>
        </w:rPr>
      </w:pPr>
    </w:p>
    <w:p w14:paraId="634B650B"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21</w:t>
      </w:r>
    </w:p>
    <w:p w14:paraId="5E705181"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35</w:t>
      </w:r>
    </w:p>
    <w:p w14:paraId="15F39B08" w14:textId="77777777" w:rsidR="00F65BCA" w:rsidRDefault="00216117">
      <w:pPr>
        <w:spacing w:before="37"/>
        <w:ind w:left="217"/>
        <w:rPr>
          <w:sz w:val="12"/>
        </w:rPr>
      </w:pPr>
      <w:r>
        <w:rPr>
          <w:color w:val="231F20"/>
          <w:sz w:val="12"/>
        </w:rPr>
        <w:t>do</w:t>
      </w:r>
      <w:r>
        <w:rPr>
          <w:color w:val="231F20"/>
          <w:spacing w:val="2"/>
          <w:sz w:val="12"/>
        </w:rPr>
        <w:t xml:space="preserve"> </w:t>
      </w:r>
      <w:r>
        <w:rPr>
          <w:color w:val="231F20"/>
          <w:sz w:val="12"/>
        </w:rPr>
        <w:t>35</w:t>
      </w:r>
    </w:p>
    <w:p w14:paraId="3D8F3B3A" w14:textId="77777777" w:rsidR="00F65BCA" w:rsidRDefault="00216117">
      <w:pPr>
        <w:spacing w:before="38"/>
        <w:ind w:left="183"/>
        <w:rPr>
          <w:sz w:val="12"/>
        </w:rPr>
      </w:pPr>
      <w:r>
        <w:rPr>
          <w:color w:val="231F20"/>
          <w:sz w:val="12"/>
        </w:rPr>
        <w:t>do</w:t>
      </w:r>
      <w:r>
        <w:rPr>
          <w:color w:val="231F20"/>
          <w:spacing w:val="2"/>
          <w:sz w:val="12"/>
        </w:rPr>
        <w:t xml:space="preserve"> </w:t>
      </w:r>
      <w:r>
        <w:rPr>
          <w:color w:val="231F20"/>
          <w:sz w:val="12"/>
        </w:rPr>
        <w:t>182</w:t>
      </w:r>
    </w:p>
    <w:p w14:paraId="3ADFF830" w14:textId="77777777" w:rsidR="00F65BCA" w:rsidRDefault="00216117">
      <w:pPr>
        <w:spacing w:before="38"/>
        <w:ind w:left="217"/>
        <w:rPr>
          <w:sz w:val="12"/>
        </w:rPr>
      </w:pPr>
      <w:r>
        <w:rPr>
          <w:color w:val="231F20"/>
          <w:sz w:val="12"/>
        </w:rPr>
        <w:t>do</w:t>
      </w:r>
      <w:r>
        <w:rPr>
          <w:color w:val="231F20"/>
          <w:spacing w:val="2"/>
          <w:sz w:val="12"/>
        </w:rPr>
        <w:t xml:space="preserve"> </w:t>
      </w:r>
      <w:r>
        <w:rPr>
          <w:color w:val="231F20"/>
          <w:sz w:val="12"/>
        </w:rPr>
        <w:t>49</w:t>
      </w:r>
    </w:p>
    <w:p w14:paraId="3D41144B" w14:textId="77777777" w:rsidR="00F65BCA" w:rsidRDefault="00216117">
      <w:pPr>
        <w:spacing w:before="38"/>
        <w:ind w:left="217"/>
        <w:rPr>
          <w:sz w:val="12"/>
        </w:rPr>
      </w:pPr>
      <w:r>
        <w:rPr>
          <w:color w:val="231F20"/>
          <w:sz w:val="12"/>
        </w:rPr>
        <w:t>do</w:t>
      </w:r>
      <w:r>
        <w:rPr>
          <w:color w:val="231F20"/>
          <w:spacing w:val="2"/>
          <w:sz w:val="12"/>
        </w:rPr>
        <w:t xml:space="preserve"> </w:t>
      </w:r>
      <w:r>
        <w:rPr>
          <w:color w:val="231F20"/>
          <w:sz w:val="12"/>
        </w:rPr>
        <w:t>49</w:t>
      </w:r>
    </w:p>
    <w:p w14:paraId="04B44655" w14:textId="77777777" w:rsidR="00F65BCA" w:rsidRDefault="00F65BCA">
      <w:pPr>
        <w:pStyle w:val="Zkladntext"/>
        <w:rPr>
          <w:sz w:val="14"/>
        </w:rPr>
      </w:pPr>
    </w:p>
    <w:p w14:paraId="12FAF07E" w14:textId="77777777" w:rsidR="00F65BCA" w:rsidRDefault="00F65BCA">
      <w:pPr>
        <w:pStyle w:val="Zkladntext"/>
        <w:spacing w:before="7"/>
        <w:rPr>
          <w:sz w:val="19"/>
        </w:rPr>
      </w:pPr>
    </w:p>
    <w:p w14:paraId="3FE8BB6F"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70</w:t>
      </w:r>
    </w:p>
    <w:p w14:paraId="5E6B6ADD" w14:textId="77777777" w:rsidR="00F65BCA" w:rsidRDefault="00216117">
      <w:pPr>
        <w:spacing w:before="32"/>
        <w:ind w:left="183"/>
        <w:rPr>
          <w:sz w:val="12"/>
        </w:rPr>
      </w:pPr>
      <w:r>
        <w:rPr>
          <w:color w:val="231F20"/>
          <w:sz w:val="12"/>
        </w:rPr>
        <w:t>do</w:t>
      </w:r>
      <w:r>
        <w:rPr>
          <w:color w:val="231F20"/>
          <w:spacing w:val="2"/>
          <w:sz w:val="12"/>
        </w:rPr>
        <w:t xml:space="preserve"> </w:t>
      </w:r>
      <w:r>
        <w:rPr>
          <w:color w:val="231F20"/>
          <w:sz w:val="12"/>
        </w:rPr>
        <w:t>112</w:t>
      </w:r>
    </w:p>
    <w:p w14:paraId="59EF7C72"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70</w:t>
      </w:r>
    </w:p>
    <w:p w14:paraId="53860B49"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49</w:t>
      </w:r>
    </w:p>
    <w:p w14:paraId="586BE29C" w14:textId="77777777" w:rsidR="00F65BCA" w:rsidRDefault="00F65BCA">
      <w:pPr>
        <w:pStyle w:val="Zkladntext"/>
        <w:rPr>
          <w:sz w:val="14"/>
        </w:rPr>
      </w:pPr>
    </w:p>
    <w:p w14:paraId="3DE15483" w14:textId="77777777" w:rsidR="00F65BCA" w:rsidRDefault="00F65BCA">
      <w:pPr>
        <w:pStyle w:val="Zkladntext"/>
        <w:spacing w:before="10"/>
      </w:pPr>
    </w:p>
    <w:p w14:paraId="0873F744" w14:textId="77777777" w:rsidR="00F65BCA" w:rsidRDefault="00216117">
      <w:pPr>
        <w:ind w:left="167" w:right="246"/>
        <w:jc w:val="center"/>
        <w:rPr>
          <w:sz w:val="12"/>
        </w:rPr>
      </w:pPr>
      <w:r>
        <w:rPr>
          <w:color w:val="231F20"/>
          <w:sz w:val="12"/>
        </w:rPr>
        <w:t>do</w:t>
      </w:r>
      <w:r>
        <w:rPr>
          <w:color w:val="231F20"/>
          <w:spacing w:val="2"/>
          <w:sz w:val="12"/>
        </w:rPr>
        <w:t xml:space="preserve"> </w:t>
      </w:r>
      <w:r>
        <w:rPr>
          <w:color w:val="231F20"/>
          <w:sz w:val="12"/>
        </w:rPr>
        <w:t>70</w:t>
      </w:r>
    </w:p>
    <w:p w14:paraId="63E19EBA" w14:textId="77777777" w:rsidR="00F65BCA" w:rsidRDefault="00216117">
      <w:pPr>
        <w:spacing w:before="33"/>
        <w:ind w:left="167" w:right="246"/>
        <w:jc w:val="center"/>
        <w:rPr>
          <w:sz w:val="12"/>
        </w:rPr>
      </w:pPr>
      <w:r>
        <w:rPr>
          <w:color w:val="231F20"/>
          <w:sz w:val="12"/>
        </w:rPr>
        <w:t>do</w:t>
      </w:r>
      <w:r>
        <w:rPr>
          <w:color w:val="231F20"/>
          <w:spacing w:val="2"/>
          <w:sz w:val="12"/>
        </w:rPr>
        <w:t xml:space="preserve"> </w:t>
      </w:r>
      <w:r>
        <w:rPr>
          <w:color w:val="231F20"/>
          <w:sz w:val="12"/>
        </w:rPr>
        <w:t>84</w:t>
      </w:r>
    </w:p>
    <w:p w14:paraId="61933A28" w14:textId="77777777" w:rsidR="00F65BCA" w:rsidRDefault="00216117">
      <w:pPr>
        <w:spacing w:before="102"/>
        <w:ind w:left="167" w:right="246"/>
        <w:jc w:val="center"/>
        <w:rPr>
          <w:sz w:val="12"/>
        </w:rPr>
      </w:pPr>
      <w:r>
        <w:rPr>
          <w:color w:val="231F20"/>
          <w:sz w:val="12"/>
        </w:rPr>
        <w:t>do</w:t>
      </w:r>
      <w:r>
        <w:rPr>
          <w:color w:val="231F20"/>
          <w:spacing w:val="2"/>
          <w:sz w:val="12"/>
        </w:rPr>
        <w:t xml:space="preserve"> </w:t>
      </w:r>
      <w:r>
        <w:rPr>
          <w:color w:val="231F20"/>
          <w:sz w:val="12"/>
        </w:rPr>
        <w:t>161</w:t>
      </w:r>
    </w:p>
    <w:p w14:paraId="682B02A5" w14:textId="77777777" w:rsidR="00F65BCA" w:rsidRDefault="00216117">
      <w:pPr>
        <w:spacing w:before="107"/>
        <w:ind w:left="167" w:right="246"/>
        <w:jc w:val="center"/>
        <w:rPr>
          <w:sz w:val="12"/>
        </w:rPr>
      </w:pPr>
      <w:r>
        <w:rPr>
          <w:color w:val="231F20"/>
          <w:sz w:val="12"/>
        </w:rPr>
        <w:t>do</w:t>
      </w:r>
      <w:r>
        <w:rPr>
          <w:color w:val="231F20"/>
          <w:spacing w:val="2"/>
          <w:sz w:val="12"/>
        </w:rPr>
        <w:t xml:space="preserve"> </w:t>
      </w:r>
      <w:r>
        <w:rPr>
          <w:color w:val="231F20"/>
          <w:sz w:val="12"/>
        </w:rPr>
        <w:t>161</w:t>
      </w:r>
    </w:p>
    <w:p w14:paraId="55116648" w14:textId="77777777" w:rsidR="00F65BCA" w:rsidRDefault="00216117">
      <w:pPr>
        <w:spacing w:before="29"/>
        <w:ind w:left="167" w:right="246"/>
        <w:jc w:val="center"/>
        <w:rPr>
          <w:sz w:val="12"/>
        </w:rPr>
      </w:pPr>
      <w:r>
        <w:rPr>
          <w:color w:val="231F20"/>
          <w:sz w:val="12"/>
        </w:rPr>
        <w:t>do</w:t>
      </w:r>
      <w:r>
        <w:rPr>
          <w:color w:val="231F20"/>
          <w:spacing w:val="2"/>
          <w:sz w:val="12"/>
        </w:rPr>
        <w:t xml:space="preserve"> </w:t>
      </w:r>
      <w:r>
        <w:rPr>
          <w:color w:val="231F20"/>
          <w:sz w:val="12"/>
        </w:rPr>
        <w:t>161</w:t>
      </w:r>
    </w:p>
    <w:p w14:paraId="178DB90B" w14:textId="77777777" w:rsidR="00F65BCA" w:rsidRDefault="00216117">
      <w:pPr>
        <w:spacing w:before="102"/>
        <w:ind w:left="167" w:right="246"/>
        <w:jc w:val="center"/>
        <w:rPr>
          <w:sz w:val="12"/>
        </w:rPr>
      </w:pPr>
      <w:r>
        <w:rPr>
          <w:color w:val="231F20"/>
          <w:sz w:val="12"/>
        </w:rPr>
        <w:t>do</w:t>
      </w:r>
      <w:r>
        <w:rPr>
          <w:color w:val="231F20"/>
          <w:spacing w:val="2"/>
          <w:sz w:val="12"/>
        </w:rPr>
        <w:t xml:space="preserve"> </w:t>
      </w:r>
      <w:r>
        <w:rPr>
          <w:color w:val="231F20"/>
          <w:sz w:val="12"/>
        </w:rPr>
        <w:t>126</w:t>
      </w:r>
    </w:p>
    <w:p w14:paraId="33008927" w14:textId="77777777" w:rsidR="00F65BCA" w:rsidRDefault="00216117">
      <w:pPr>
        <w:spacing w:before="113"/>
        <w:ind w:left="167" w:right="246"/>
        <w:jc w:val="center"/>
        <w:rPr>
          <w:sz w:val="12"/>
        </w:rPr>
      </w:pPr>
      <w:r>
        <w:rPr>
          <w:color w:val="231F20"/>
          <w:sz w:val="12"/>
        </w:rPr>
        <w:t>do</w:t>
      </w:r>
      <w:r>
        <w:rPr>
          <w:color w:val="231F20"/>
          <w:spacing w:val="2"/>
          <w:sz w:val="12"/>
        </w:rPr>
        <w:t xml:space="preserve"> </w:t>
      </w:r>
      <w:r>
        <w:rPr>
          <w:color w:val="231F20"/>
          <w:sz w:val="12"/>
        </w:rPr>
        <w:t>84</w:t>
      </w:r>
    </w:p>
    <w:p w14:paraId="369A72D0" w14:textId="77777777" w:rsidR="00F65BCA" w:rsidRDefault="00F65BCA">
      <w:pPr>
        <w:jc w:val="center"/>
        <w:rPr>
          <w:sz w:val="12"/>
        </w:rPr>
        <w:sectPr w:rsidR="00F65BCA">
          <w:type w:val="continuous"/>
          <w:pgSz w:w="11910" w:h="16840"/>
          <w:pgMar w:top="840" w:right="140" w:bottom="280" w:left="140" w:header="708" w:footer="708" w:gutter="0"/>
          <w:cols w:num="6" w:space="708" w:equalWidth="0">
            <w:col w:w="3125" w:space="40"/>
            <w:col w:w="578" w:space="86"/>
            <w:col w:w="3083" w:space="66"/>
            <w:col w:w="593" w:space="86"/>
            <w:col w:w="3101" w:space="49"/>
            <w:col w:w="823"/>
          </w:cols>
        </w:sectPr>
      </w:pPr>
    </w:p>
    <w:p w14:paraId="5E3360A4" w14:textId="77777777" w:rsidR="00F65BCA" w:rsidRDefault="00216117">
      <w:pPr>
        <w:tabs>
          <w:tab w:val="left" w:pos="1442"/>
          <w:tab w:val="left" w:pos="3320"/>
        </w:tabs>
        <w:spacing w:before="92"/>
        <w:ind w:left="179"/>
        <w:rPr>
          <w:b/>
          <w:sz w:val="12"/>
        </w:rPr>
      </w:pPr>
      <w:r>
        <w:rPr>
          <w:b/>
          <w:color w:val="231F20"/>
          <w:position w:val="1"/>
          <w:sz w:val="12"/>
        </w:rPr>
        <w:lastRenderedPageBreak/>
        <w:t>pol.</w:t>
      </w:r>
      <w:r>
        <w:rPr>
          <w:b/>
          <w:color w:val="231F20"/>
          <w:position w:val="1"/>
          <w:sz w:val="12"/>
        </w:rPr>
        <w:tab/>
      </w:r>
      <w:r>
        <w:rPr>
          <w:b/>
          <w:color w:val="231F20"/>
          <w:sz w:val="14"/>
        </w:rPr>
        <w:t>DIAGNÓZA</w:t>
      </w:r>
      <w:r>
        <w:rPr>
          <w:b/>
          <w:color w:val="231F20"/>
          <w:sz w:val="14"/>
        </w:rPr>
        <w:tab/>
      </w:r>
      <w:r>
        <w:rPr>
          <w:b/>
          <w:color w:val="231F20"/>
          <w:position w:val="1"/>
          <w:sz w:val="12"/>
        </w:rPr>
        <w:t>DNL</w:t>
      </w:r>
      <w:r>
        <w:rPr>
          <w:b/>
          <w:color w:val="231F20"/>
          <w:spacing w:val="-20"/>
          <w:position w:val="1"/>
          <w:sz w:val="12"/>
        </w:rPr>
        <w:t xml:space="preserve"> </w:t>
      </w:r>
      <w:r>
        <w:rPr>
          <w:b/>
          <w:color w:val="231F20"/>
          <w:position w:val="1"/>
          <w:sz w:val="12"/>
        </w:rPr>
        <w:t>–</w:t>
      </w:r>
      <w:r>
        <w:rPr>
          <w:b/>
          <w:color w:val="231F20"/>
          <w:spacing w:val="-19"/>
          <w:position w:val="1"/>
          <w:sz w:val="12"/>
        </w:rPr>
        <w:t xml:space="preserve"> </w:t>
      </w:r>
      <w:r>
        <w:rPr>
          <w:b/>
          <w:color w:val="231F20"/>
          <w:position w:val="1"/>
          <w:sz w:val="12"/>
        </w:rPr>
        <w:t>8</w:t>
      </w:r>
    </w:p>
    <w:p w14:paraId="740F4D90" w14:textId="77777777" w:rsidR="00F65BCA" w:rsidRDefault="00216117">
      <w:pPr>
        <w:tabs>
          <w:tab w:val="left" w:pos="1442"/>
          <w:tab w:val="left" w:pos="3320"/>
        </w:tabs>
        <w:spacing w:before="92"/>
        <w:ind w:left="179"/>
        <w:rPr>
          <w:b/>
          <w:sz w:val="12"/>
        </w:rPr>
      </w:pPr>
      <w:r>
        <w:br w:type="column"/>
      </w: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DNL</w:t>
      </w:r>
      <w:r>
        <w:rPr>
          <w:b/>
          <w:color w:val="231F20"/>
          <w:spacing w:val="-20"/>
          <w:position w:val="1"/>
          <w:sz w:val="12"/>
        </w:rPr>
        <w:t xml:space="preserve"> </w:t>
      </w:r>
      <w:r>
        <w:rPr>
          <w:b/>
          <w:color w:val="231F20"/>
          <w:position w:val="1"/>
          <w:sz w:val="12"/>
        </w:rPr>
        <w:t>–</w:t>
      </w:r>
      <w:r>
        <w:rPr>
          <w:b/>
          <w:color w:val="231F20"/>
          <w:spacing w:val="-19"/>
          <w:position w:val="1"/>
          <w:sz w:val="12"/>
        </w:rPr>
        <w:t xml:space="preserve"> </w:t>
      </w:r>
      <w:r>
        <w:rPr>
          <w:b/>
          <w:color w:val="231F20"/>
          <w:position w:val="1"/>
          <w:sz w:val="12"/>
        </w:rPr>
        <w:t>8</w:t>
      </w:r>
    </w:p>
    <w:p w14:paraId="0A1F934A" w14:textId="77777777" w:rsidR="00F65BCA" w:rsidRDefault="00216117">
      <w:pPr>
        <w:tabs>
          <w:tab w:val="left" w:pos="1442"/>
          <w:tab w:val="left" w:pos="3320"/>
        </w:tabs>
        <w:spacing w:before="92"/>
        <w:ind w:left="179"/>
        <w:rPr>
          <w:b/>
          <w:sz w:val="12"/>
        </w:rPr>
      </w:pPr>
      <w:r>
        <w:br w:type="column"/>
      </w: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DNL –</w:t>
      </w:r>
      <w:r>
        <w:rPr>
          <w:b/>
          <w:color w:val="231F20"/>
          <w:spacing w:val="-23"/>
          <w:position w:val="1"/>
          <w:sz w:val="12"/>
        </w:rPr>
        <w:t xml:space="preserve"> </w:t>
      </w:r>
      <w:r>
        <w:rPr>
          <w:b/>
          <w:color w:val="231F20"/>
          <w:position w:val="1"/>
          <w:sz w:val="12"/>
        </w:rPr>
        <w:t>8</w:t>
      </w:r>
    </w:p>
    <w:p w14:paraId="786228AA" w14:textId="77777777" w:rsidR="00F65BCA" w:rsidRDefault="00F65BCA">
      <w:pPr>
        <w:rPr>
          <w:sz w:val="12"/>
        </w:rPr>
        <w:sectPr w:rsidR="00F65BCA">
          <w:pgSz w:w="11910" w:h="16840"/>
          <w:pgMar w:top="220" w:right="140" w:bottom="0" w:left="140" w:header="708" w:footer="708" w:gutter="0"/>
          <w:cols w:num="3" w:space="708" w:equalWidth="0">
            <w:col w:w="3753" w:space="66"/>
            <w:col w:w="3753" w:space="91"/>
            <w:col w:w="3967"/>
          </w:cols>
        </w:sectPr>
      </w:pPr>
    </w:p>
    <w:p w14:paraId="68BEF718" w14:textId="77777777" w:rsidR="00F65BCA" w:rsidRDefault="00000000">
      <w:pPr>
        <w:pStyle w:val="Zkladntext"/>
        <w:rPr>
          <w:b/>
          <w:sz w:val="17"/>
        </w:rPr>
      </w:pPr>
      <w:r>
        <w:pict w14:anchorId="4E50B23F">
          <v:group id="_x0000_s2179" style="position:absolute;margin-left:0;margin-top:807.85pt;width:595.3pt;height:34.05pt;z-index:251940864;mso-position-horizontal-relative:page;mso-position-vertical-relative:page" coordorigin=",16157" coordsize="11906,681">
            <v:shape id="_x0000_s2181" type="#_x0000_t75" style="position:absolute;top:16157;width:11906;height:681">
              <v:imagedata r:id="rId57" o:title=""/>
            </v:shape>
            <v:shape id="_x0000_s2180" type="#_x0000_t202" style="position:absolute;left:9491;top:16477;width:1414;height:164" filled="f" stroked="f">
              <v:textbox inset="0,0,0,0">
                <w:txbxContent>
                  <w:p w14:paraId="4681594E" w14:textId="77777777" w:rsidR="00F65BCA" w:rsidRDefault="00216117">
                    <w:pPr>
                      <w:spacing w:before="2"/>
                      <w:rPr>
                        <w:sz w:val="14"/>
                      </w:rPr>
                    </w:pPr>
                    <w:r>
                      <w:rPr>
                        <w:color w:val="231F20"/>
                        <w:sz w:val="14"/>
                      </w:rPr>
                      <w:t>6.20.012 05.2025 v04</w:t>
                    </w:r>
                  </w:p>
                </w:txbxContent>
              </v:textbox>
            </v:shape>
            <w10:wrap anchorx="page" anchory="page"/>
          </v:group>
        </w:pict>
      </w:r>
      <w:r w:rsidR="00216117">
        <w:rPr>
          <w:noProof/>
        </w:rPr>
        <w:drawing>
          <wp:anchor distT="0" distB="0" distL="0" distR="0" simplePos="0" relativeHeight="204027904" behindDoc="1" locked="0" layoutInCell="1" allowOverlap="1" wp14:anchorId="08D2F853" wp14:editId="208D4F09">
            <wp:simplePos x="0" y="0"/>
            <wp:positionH relativeFrom="page">
              <wp:posOffset>179997</wp:posOffset>
            </wp:positionH>
            <wp:positionV relativeFrom="page">
              <wp:posOffset>180002</wp:posOffset>
            </wp:positionV>
            <wp:extent cx="7206373" cy="9950400"/>
            <wp:effectExtent l="0" t="0" r="0" b="0"/>
            <wp:wrapNone/>
            <wp:docPr id="29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43.png"/>
                    <pic:cNvPicPr/>
                  </pic:nvPicPr>
                  <pic:blipFill>
                    <a:blip r:embed="rId59" cstate="print"/>
                    <a:stretch>
                      <a:fillRect/>
                    </a:stretch>
                  </pic:blipFill>
                  <pic:spPr>
                    <a:xfrm>
                      <a:off x="0" y="0"/>
                      <a:ext cx="7206373" cy="9950400"/>
                    </a:xfrm>
                    <a:prstGeom prst="rect">
                      <a:avLst/>
                    </a:prstGeom>
                  </pic:spPr>
                </pic:pic>
              </a:graphicData>
            </a:graphic>
          </wp:anchor>
        </w:drawing>
      </w:r>
    </w:p>
    <w:p w14:paraId="011A3EF2" w14:textId="77777777" w:rsidR="00F65BCA" w:rsidRDefault="00216117">
      <w:pPr>
        <w:pStyle w:val="Odstavecseseznamem"/>
        <w:numPr>
          <w:ilvl w:val="0"/>
          <w:numId w:val="69"/>
        </w:numPr>
        <w:tabs>
          <w:tab w:val="left" w:pos="456"/>
        </w:tabs>
        <w:spacing w:before="1"/>
        <w:ind w:hanging="273"/>
        <w:rPr>
          <w:sz w:val="12"/>
        </w:rPr>
      </w:pPr>
      <w:r>
        <w:rPr>
          <w:color w:val="231F20"/>
          <w:sz w:val="12"/>
        </w:rPr>
        <w:t>Zlomenina</w:t>
      </w:r>
      <w:r>
        <w:rPr>
          <w:color w:val="231F20"/>
          <w:spacing w:val="-1"/>
          <w:sz w:val="12"/>
        </w:rPr>
        <w:t xml:space="preserve"> </w:t>
      </w:r>
      <w:r>
        <w:rPr>
          <w:color w:val="231F20"/>
          <w:sz w:val="12"/>
        </w:rPr>
        <w:t>acetabula</w:t>
      </w:r>
    </w:p>
    <w:p w14:paraId="66ED7A9E" w14:textId="77777777" w:rsidR="00F65BCA" w:rsidRDefault="00000000">
      <w:pPr>
        <w:spacing w:before="41" w:line="242" w:lineRule="auto"/>
        <w:ind w:left="455" w:right="471"/>
        <w:rPr>
          <w:sz w:val="12"/>
        </w:rPr>
      </w:pPr>
      <w:r>
        <w:pict w14:anchorId="681DDFAA">
          <v:shape id="_x0000_s2178" type="#_x0000_t202" style="position:absolute;left:0;text-align:left;margin-left:16.2pt;margin-top:5.35pt;width:10.05pt;height:7.2pt;z-index:251942912;mso-position-horizontal-relative:page" filled="f" stroked="f">
            <v:textbox inset="0,0,0,0">
              <w:txbxContent>
                <w:p w14:paraId="56818CC1" w14:textId="77777777" w:rsidR="00F65BCA" w:rsidRDefault="00216117">
                  <w:pPr>
                    <w:spacing w:before="4"/>
                    <w:rPr>
                      <w:b/>
                      <w:sz w:val="12"/>
                    </w:rPr>
                  </w:pPr>
                  <w:r>
                    <w:rPr>
                      <w:b/>
                      <w:color w:val="231F20"/>
                      <w:sz w:val="12"/>
                    </w:rPr>
                    <w:t>150</w:t>
                  </w:r>
                </w:p>
              </w:txbxContent>
            </v:textbox>
            <w10:wrap anchorx="page"/>
          </v:shape>
        </w:pict>
      </w:r>
      <w:r w:rsidR="00216117">
        <w:rPr>
          <w:color w:val="231F20"/>
          <w:sz w:val="12"/>
        </w:rPr>
        <w:t>Zlomenina</w:t>
      </w:r>
      <w:r w:rsidR="00216117">
        <w:rPr>
          <w:color w:val="231F20"/>
          <w:spacing w:val="-20"/>
          <w:sz w:val="12"/>
        </w:rPr>
        <w:t xml:space="preserve"> </w:t>
      </w:r>
      <w:r w:rsidR="00216117">
        <w:rPr>
          <w:color w:val="231F20"/>
          <w:sz w:val="12"/>
        </w:rPr>
        <w:t>acetabula</w:t>
      </w:r>
      <w:r w:rsidR="00216117">
        <w:rPr>
          <w:color w:val="231F20"/>
          <w:spacing w:val="-19"/>
          <w:sz w:val="12"/>
        </w:rPr>
        <w:t xml:space="preserve"> </w:t>
      </w:r>
      <w:r w:rsidR="00216117">
        <w:rPr>
          <w:color w:val="231F20"/>
          <w:sz w:val="12"/>
        </w:rPr>
        <w:t>se</w:t>
      </w:r>
      <w:r w:rsidR="00216117">
        <w:rPr>
          <w:color w:val="231F20"/>
          <w:spacing w:val="-19"/>
          <w:sz w:val="12"/>
        </w:rPr>
        <w:t xml:space="preserve"> </w:t>
      </w:r>
      <w:r w:rsidR="00216117">
        <w:rPr>
          <w:color w:val="231F20"/>
          <w:sz w:val="12"/>
        </w:rPr>
        <w:t>subluxací</w:t>
      </w:r>
      <w:r w:rsidR="00216117">
        <w:rPr>
          <w:color w:val="231F20"/>
          <w:spacing w:val="-19"/>
          <w:sz w:val="12"/>
        </w:rPr>
        <w:t xml:space="preserve"> </w:t>
      </w:r>
      <w:r w:rsidR="00216117">
        <w:rPr>
          <w:color w:val="231F20"/>
          <w:sz w:val="12"/>
        </w:rPr>
        <w:t>až</w:t>
      </w:r>
      <w:r w:rsidR="00216117">
        <w:rPr>
          <w:color w:val="231F20"/>
          <w:spacing w:val="-19"/>
          <w:sz w:val="12"/>
        </w:rPr>
        <w:t xml:space="preserve"> </w:t>
      </w:r>
      <w:r w:rsidR="00216117">
        <w:rPr>
          <w:color w:val="231F20"/>
          <w:spacing w:val="-3"/>
          <w:sz w:val="12"/>
        </w:rPr>
        <w:t xml:space="preserve">luxací </w:t>
      </w:r>
      <w:r w:rsidR="00216117">
        <w:rPr>
          <w:color w:val="231F20"/>
          <w:sz w:val="12"/>
        </w:rPr>
        <w:t>kyčelního</w:t>
      </w:r>
      <w:r w:rsidR="00216117">
        <w:rPr>
          <w:color w:val="231F20"/>
          <w:spacing w:val="-1"/>
          <w:sz w:val="12"/>
        </w:rPr>
        <w:t xml:space="preserve"> </w:t>
      </w:r>
      <w:r w:rsidR="00216117">
        <w:rPr>
          <w:color w:val="231F20"/>
          <w:sz w:val="12"/>
        </w:rPr>
        <w:t>kloubu</w:t>
      </w:r>
    </w:p>
    <w:p w14:paraId="3F85DBC9" w14:textId="77777777" w:rsidR="00F65BCA" w:rsidRDefault="00F65BCA">
      <w:pPr>
        <w:pStyle w:val="Zkladntext"/>
        <w:spacing w:before="4"/>
        <w:rPr>
          <w:sz w:val="14"/>
        </w:rPr>
      </w:pPr>
    </w:p>
    <w:p w14:paraId="0D4D91E7" w14:textId="77777777" w:rsidR="00F65BCA" w:rsidRDefault="00216117">
      <w:pPr>
        <w:ind w:left="1141"/>
        <w:rPr>
          <w:b/>
          <w:sz w:val="14"/>
        </w:rPr>
      </w:pPr>
      <w:r>
        <w:rPr>
          <w:b/>
          <w:color w:val="231F20"/>
          <w:sz w:val="14"/>
        </w:rPr>
        <w:t>HORNÍ KONČETINA</w:t>
      </w:r>
    </w:p>
    <w:p w14:paraId="73E30343" w14:textId="77777777" w:rsidR="00F65BCA" w:rsidRDefault="00216117">
      <w:pPr>
        <w:spacing w:before="61" w:line="336" w:lineRule="auto"/>
        <w:ind w:left="455" w:right="970" w:firstLine="995"/>
        <w:rPr>
          <w:b/>
          <w:sz w:val="12"/>
        </w:rPr>
      </w:pPr>
      <w:r>
        <w:rPr>
          <w:b/>
          <w:color w:val="231F20"/>
          <w:sz w:val="12"/>
        </w:rPr>
        <w:t>Pohmoždění Pohmoždění těžšího stupně</w:t>
      </w:r>
    </w:p>
    <w:p w14:paraId="670111F4" w14:textId="77777777" w:rsidR="00F65BCA" w:rsidRDefault="00216117">
      <w:pPr>
        <w:spacing w:line="131" w:lineRule="exact"/>
        <w:ind w:left="183"/>
        <w:rPr>
          <w:sz w:val="12"/>
        </w:rPr>
      </w:pPr>
      <w:r>
        <w:rPr>
          <w:b/>
          <w:color w:val="231F20"/>
          <w:sz w:val="12"/>
        </w:rPr>
        <w:t xml:space="preserve">151 </w:t>
      </w:r>
      <w:r>
        <w:rPr>
          <w:color w:val="231F20"/>
          <w:sz w:val="12"/>
        </w:rPr>
        <w:t>horní končetiny (paže, předloktí, ruka)</w:t>
      </w:r>
    </w:p>
    <w:p w14:paraId="2F1ABE25" w14:textId="77777777" w:rsidR="00F65BCA" w:rsidRDefault="00000000">
      <w:pPr>
        <w:spacing w:before="41" w:line="242" w:lineRule="auto"/>
        <w:ind w:left="455" w:right="37"/>
        <w:rPr>
          <w:sz w:val="12"/>
        </w:rPr>
      </w:pPr>
      <w:r>
        <w:pict w14:anchorId="5D1A5CF7">
          <v:shape id="_x0000_s2177" type="#_x0000_t202" style="position:absolute;left:0;text-align:left;margin-left:16.2pt;margin-top:5.35pt;width:10.05pt;height:7.2pt;z-index:251943936;mso-position-horizontal-relative:page" filled="f" stroked="f">
            <v:textbox inset="0,0,0,0">
              <w:txbxContent>
                <w:p w14:paraId="32CB4700" w14:textId="77777777" w:rsidR="00F65BCA" w:rsidRDefault="00216117">
                  <w:pPr>
                    <w:spacing w:before="4"/>
                    <w:rPr>
                      <w:b/>
                      <w:sz w:val="12"/>
                    </w:rPr>
                  </w:pPr>
                  <w:r>
                    <w:rPr>
                      <w:b/>
                      <w:color w:val="231F20"/>
                      <w:sz w:val="12"/>
                    </w:rPr>
                    <w:t>152</w:t>
                  </w:r>
                </w:p>
              </w:txbxContent>
            </v:textbox>
            <w10:wrap anchorx="page"/>
          </v:shape>
        </w:pict>
      </w:r>
      <w:r w:rsidR="00216117">
        <w:rPr>
          <w:color w:val="231F20"/>
          <w:sz w:val="12"/>
        </w:rPr>
        <w:t xml:space="preserve">ramenního kloubu s následnou periarthritidou </w:t>
      </w:r>
      <w:r w:rsidR="00216117">
        <w:rPr>
          <w:color w:val="231F20"/>
          <w:spacing w:val="-5"/>
          <w:sz w:val="12"/>
        </w:rPr>
        <w:t xml:space="preserve">jako </w:t>
      </w:r>
      <w:r w:rsidR="00216117">
        <w:rPr>
          <w:color w:val="231F20"/>
          <w:sz w:val="12"/>
        </w:rPr>
        <w:t>přímým následkem úrazu</w:t>
      </w:r>
    </w:p>
    <w:p w14:paraId="2FFD58A0" w14:textId="77777777" w:rsidR="00F65BCA" w:rsidRDefault="00216117">
      <w:pPr>
        <w:spacing w:before="41"/>
        <w:ind w:left="183"/>
        <w:rPr>
          <w:sz w:val="12"/>
        </w:rPr>
      </w:pPr>
      <w:r>
        <w:rPr>
          <w:b/>
          <w:color w:val="231F20"/>
          <w:sz w:val="12"/>
        </w:rPr>
        <w:t xml:space="preserve">153 </w:t>
      </w:r>
      <w:r>
        <w:rPr>
          <w:color w:val="231F20"/>
          <w:sz w:val="12"/>
        </w:rPr>
        <w:t>kloubu horní končetiny (rameno, loket, zápěstí)</w:t>
      </w:r>
    </w:p>
    <w:p w14:paraId="253DBB08" w14:textId="77777777" w:rsidR="00F65BCA" w:rsidRDefault="00000000">
      <w:pPr>
        <w:spacing w:before="41" w:line="242" w:lineRule="auto"/>
        <w:ind w:left="455" w:right="122"/>
        <w:rPr>
          <w:sz w:val="12"/>
        </w:rPr>
      </w:pPr>
      <w:r>
        <w:pict w14:anchorId="576D5243">
          <v:shape id="_x0000_s2176" type="#_x0000_t202" style="position:absolute;left:0;text-align:left;margin-left:16.2pt;margin-top:5.35pt;width:10.05pt;height:7.2pt;z-index:251944960;mso-position-horizontal-relative:page" filled="f" stroked="f">
            <v:textbox inset="0,0,0,0">
              <w:txbxContent>
                <w:p w14:paraId="43E2EB7C" w14:textId="77777777" w:rsidR="00F65BCA" w:rsidRDefault="00216117">
                  <w:pPr>
                    <w:spacing w:before="4"/>
                    <w:rPr>
                      <w:b/>
                      <w:sz w:val="12"/>
                    </w:rPr>
                  </w:pPr>
                  <w:r>
                    <w:rPr>
                      <w:b/>
                      <w:color w:val="231F20"/>
                      <w:sz w:val="12"/>
                    </w:rPr>
                    <w:t>154</w:t>
                  </w:r>
                </w:p>
              </w:txbxContent>
            </v:textbox>
            <w10:wrap anchorx="page"/>
          </v:shape>
        </w:pict>
      </w:r>
      <w:r w:rsidR="00216117">
        <w:rPr>
          <w:color w:val="231F20"/>
          <w:sz w:val="12"/>
        </w:rPr>
        <w:t xml:space="preserve">jednoho a více prstů ruky s nutnou pevnou </w:t>
      </w:r>
      <w:r w:rsidR="00216117">
        <w:rPr>
          <w:color w:val="231F20"/>
          <w:spacing w:val="-3"/>
          <w:sz w:val="12"/>
        </w:rPr>
        <w:t xml:space="preserve">fixací </w:t>
      </w:r>
      <w:r w:rsidR="00216117">
        <w:rPr>
          <w:color w:val="231F20"/>
          <w:sz w:val="12"/>
        </w:rPr>
        <w:t>nebo klidovou léčbou</w:t>
      </w:r>
    </w:p>
    <w:p w14:paraId="4C3CF1A1" w14:textId="77777777" w:rsidR="00F65BCA" w:rsidRDefault="00216117">
      <w:pPr>
        <w:spacing w:before="47"/>
        <w:ind w:left="1002"/>
        <w:rPr>
          <w:b/>
          <w:sz w:val="12"/>
        </w:rPr>
      </w:pPr>
      <w:r>
        <w:rPr>
          <w:b/>
          <w:color w:val="231F20"/>
          <w:sz w:val="12"/>
        </w:rPr>
        <w:t>Natažení, natržení, přetržení</w:t>
      </w:r>
    </w:p>
    <w:p w14:paraId="590E9184" w14:textId="77777777" w:rsidR="00F65BCA" w:rsidRDefault="00000000">
      <w:pPr>
        <w:spacing w:before="47" w:line="242" w:lineRule="auto"/>
        <w:ind w:left="455" w:right="195"/>
        <w:rPr>
          <w:sz w:val="12"/>
        </w:rPr>
      </w:pPr>
      <w:r>
        <w:pict w14:anchorId="17F9A8B6">
          <v:shape id="_x0000_s2175" type="#_x0000_t202" style="position:absolute;left:0;text-align:left;margin-left:16.2pt;margin-top:5.65pt;width:10.05pt;height:7.2pt;z-index:251945984;mso-position-horizontal-relative:page" filled="f" stroked="f">
            <v:textbox inset="0,0,0,0">
              <w:txbxContent>
                <w:p w14:paraId="4BBF364E" w14:textId="77777777" w:rsidR="00F65BCA" w:rsidRDefault="00216117">
                  <w:pPr>
                    <w:spacing w:before="4"/>
                    <w:rPr>
                      <w:b/>
                      <w:sz w:val="12"/>
                    </w:rPr>
                  </w:pPr>
                  <w:r>
                    <w:rPr>
                      <w:b/>
                      <w:color w:val="231F20"/>
                      <w:sz w:val="12"/>
                    </w:rPr>
                    <w:t>155</w:t>
                  </w:r>
                </w:p>
              </w:txbxContent>
            </v:textbox>
            <w10:wrap anchorx="page"/>
          </v:shape>
        </w:pict>
      </w:r>
      <w:r w:rsidR="00216117">
        <w:rPr>
          <w:color w:val="231F20"/>
          <w:sz w:val="12"/>
        </w:rPr>
        <w:t xml:space="preserve">Natažení nebo natržení svalu </w:t>
      </w:r>
      <w:r w:rsidR="00216117">
        <w:rPr>
          <w:color w:val="231F20"/>
          <w:spacing w:val="-3"/>
          <w:sz w:val="12"/>
        </w:rPr>
        <w:t xml:space="preserve">nadhřebenového, </w:t>
      </w:r>
      <w:r w:rsidR="00216117">
        <w:rPr>
          <w:color w:val="231F20"/>
          <w:sz w:val="12"/>
        </w:rPr>
        <w:t>rotátorové manžety (RM)</w:t>
      </w:r>
    </w:p>
    <w:p w14:paraId="1EF1619A" w14:textId="77777777" w:rsidR="00F65BCA" w:rsidRDefault="00000000">
      <w:pPr>
        <w:spacing w:before="38" w:line="242" w:lineRule="auto"/>
        <w:ind w:left="455" w:right="33"/>
        <w:rPr>
          <w:sz w:val="12"/>
        </w:rPr>
      </w:pPr>
      <w:r>
        <w:pict w14:anchorId="5FCA15D2">
          <v:shape id="_x0000_s2174" type="#_x0000_t202" style="position:absolute;left:0;text-align:left;margin-left:16.2pt;margin-top:5.2pt;width:10.05pt;height:7.2pt;z-index:251947008;mso-position-horizontal-relative:page" filled="f" stroked="f">
            <v:textbox inset="0,0,0,0">
              <w:txbxContent>
                <w:p w14:paraId="07957FB6" w14:textId="77777777" w:rsidR="00F65BCA" w:rsidRDefault="00216117">
                  <w:pPr>
                    <w:spacing w:before="4"/>
                    <w:rPr>
                      <w:b/>
                      <w:sz w:val="12"/>
                    </w:rPr>
                  </w:pPr>
                  <w:r>
                    <w:rPr>
                      <w:b/>
                      <w:color w:val="231F20"/>
                      <w:sz w:val="12"/>
                    </w:rPr>
                    <w:t>156</w:t>
                  </w:r>
                </w:p>
              </w:txbxContent>
            </v:textbox>
            <w10:wrap anchorx="page"/>
          </v:shape>
        </w:pict>
      </w:r>
      <w:r w:rsidR="00216117">
        <w:rPr>
          <w:color w:val="231F20"/>
          <w:sz w:val="12"/>
        </w:rPr>
        <w:t xml:space="preserve">Úplné přetržení svalu nadhřebenového, </w:t>
      </w:r>
      <w:r w:rsidR="00216117">
        <w:rPr>
          <w:color w:val="231F20"/>
          <w:spacing w:val="-3"/>
          <w:sz w:val="12"/>
        </w:rPr>
        <w:t xml:space="preserve">rotátorové </w:t>
      </w:r>
      <w:r w:rsidR="00216117">
        <w:rPr>
          <w:color w:val="231F20"/>
          <w:sz w:val="12"/>
        </w:rPr>
        <w:t>manžety, léčeno konzervativně</w:t>
      </w:r>
    </w:p>
    <w:p w14:paraId="2D3A12F5" w14:textId="77777777" w:rsidR="00F65BCA" w:rsidRDefault="00000000">
      <w:pPr>
        <w:spacing w:before="39" w:line="242" w:lineRule="auto"/>
        <w:ind w:left="455" w:right="33"/>
        <w:rPr>
          <w:sz w:val="12"/>
        </w:rPr>
      </w:pPr>
      <w:r>
        <w:pict w14:anchorId="66B412F8">
          <v:shape id="_x0000_s2173" type="#_x0000_t202" style="position:absolute;left:0;text-align:left;margin-left:16.2pt;margin-top:5.25pt;width:10.05pt;height:7.2pt;z-index:251948032;mso-position-horizontal-relative:page" filled="f" stroked="f">
            <v:textbox inset="0,0,0,0">
              <w:txbxContent>
                <w:p w14:paraId="7A921E19" w14:textId="77777777" w:rsidR="00F65BCA" w:rsidRDefault="00216117">
                  <w:pPr>
                    <w:spacing w:before="4"/>
                    <w:rPr>
                      <w:b/>
                      <w:sz w:val="12"/>
                    </w:rPr>
                  </w:pPr>
                  <w:r>
                    <w:rPr>
                      <w:b/>
                      <w:color w:val="231F20"/>
                      <w:sz w:val="12"/>
                    </w:rPr>
                    <w:t>157</w:t>
                  </w:r>
                </w:p>
              </w:txbxContent>
            </v:textbox>
            <w10:wrap anchorx="page"/>
          </v:shape>
        </w:pict>
      </w:r>
      <w:r w:rsidR="00216117">
        <w:rPr>
          <w:color w:val="231F20"/>
          <w:sz w:val="12"/>
        </w:rPr>
        <w:t xml:space="preserve">Úplné přetržení svalu nadhřebenového, </w:t>
      </w:r>
      <w:r w:rsidR="00216117">
        <w:rPr>
          <w:color w:val="231F20"/>
          <w:spacing w:val="-3"/>
          <w:sz w:val="12"/>
        </w:rPr>
        <w:t xml:space="preserve">rotátorové </w:t>
      </w:r>
      <w:r w:rsidR="00216117">
        <w:rPr>
          <w:color w:val="231F20"/>
          <w:sz w:val="12"/>
        </w:rPr>
        <w:t>manžety, léčeno operací</w:t>
      </w:r>
    </w:p>
    <w:p w14:paraId="27F61BD2" w14:textId="77777777" w:rsidR="00F65BCA" w:rsidRDefault="00216117">
      <w:pPr>
        <w:pStyle w:val="Odstavecseseznamem"/>
        <w:numPr>
          <w:ilvl w:val="0"/>
          <w:numId w:val="68"/>
        </w:numPr>
        <w:tabs>
          <w:tab w:val="left" w:pos="456"/>
        </w:tabs>
        <w:spacing w:before="41"/>
        <w:ind w:hanging="273"/>
        <w:rPr>
          <w:sz w:val="12"/>
        </w:rPr>
      </w:pPr>
      <w:r>
        <w:rPr>
          <w:color w:val="231F20"/>
          <w:sz w:val="12"/>
        </w:rPr>
        <w:t>Kýla svalová prokázaně úrazového</w:t>
      </w:r>
      <w:r>
        <w:rPr>
          <w:color w:val="231F20"/>
          <w:spacing w:val="-20"/>
          <w:sz w:val="12"/>
        </w:rPr>
        <w:t xml:space="preserve"> </w:t>
      </w:r>
      <w:r>
        <w:rPr>
          <w:color w:val="231F20"/>
          <w:sz w:val="12"/>
        </w:rPr>
        <w:t>původu</w:t>
      </w:r>
    </w:p>
    <w:p w14:paraId="27960076" w14:textId="77777777" w:rsidR="00F65BCA" w:rsidRDefault="00216117">
      <w:pPr>
        <w:spacing w:before="43"/>
        <w:ind w:left="455"/>
        <w:rPr>
          <w:b/>
          <w:sz w:val="12"/>
        </w:rPr>
      </w:pPr>
      <w:r>
        <w:rPr>
          <w:b/>
          <w:color w:val="231F20"/>
          <w:sz w:val="12"/>
        </w:rPr>
        <w:t>Paže</w:t>
      </w:r>
    </w:p>
    <w:p w14:paraId="409C790C" w14:textId="77777777" w:rsidR="00F65BCA" w:rsidRDefault="00216117">
      <w:pPr>
        <w:pStyle w:val="Odstavecseseznamem"/>
        <w:numPr>
          <w:ilvl w:val="0"/>
          <w:numId w:val="68"/>
        </w:numPr>
        <w:tabs>
          <w:tab w:val="left" w:pos="456"/>
        </w:tabs>
        <w:spacing w:before="44"/>
        <w:ind w:hanging="273"/>
        <w:rPr>
          <w:sz w:val="12"/>
        </w:rPr>
      </w:pPr>
      <w:r>
        <w:rPr>
          <w:color w:val="231F20"/>
          <w:sz w:val="12"/>
        </w:rPr>
        <w:t>Natažení měkkých tkání horní</w:t>
      </w:r>
      <w:r>
        <w:rPr>
          <w:color w:val="231F20"/>
          <w:spacing w:val="-15"/>
          <w:sz w:val="12"/>
        </w:rPr>
        <w:t xml:space="preserve"> </w:t>
      </w:r>
      <w:r>
        <w:rPr>
          <w:color w:val="231F20"/>
          <w:sz w:val="12"/>
        </w:rPr>
        <w:t>končetiny</w:t>
      </w:r>
    </w:p>
    <w:p w14:paraId="4DDC9474" w14:textId="77777777" w:rsidR="00F65BCA" w:rsidRDefault="00000000">
      <w:pPr>
        <w:spacing w:before="38" w:line="242" w:lineRule="auto"/>
        <w:ind w:left="455" w:right="182"/>
        <w:rPr>
          <w:sz w:val="12"/>
        </w:rPr>
      </w:pPr>
      <w:r>
        <w:pict w14:anchorId="2548B3B3">
          <v:shape id="_x0000_s2172" type="#_x0000_t202" style="position:absolute;left:0;text-align:left;margin-left:16.2pt;margin-top:5.2pt;width:10.05pt;height:7.2pt;z-index:251949056;mso-position-horizontal-relative:page" filled="f" stroked="f">
            <v:textbox inset="0,0,0,0">
              <w:txbxContent>
                <w:p w14:paraId="6A00D367" w14:textId="77777777" w:rsidR="00F65BCA" w:rsidRDefault="00216117">
                  <w:pPr>
                    <w:spacing w:before="4"/>
                    <w:rPr>
                      <w:b/>
                      <w:sz w:val="12"/>
                    </w:rPr>
                  </w:pPr>
                  <w:r>
                    <w:rPr>
                      <w:b/>
                      <w:color w:val="231F20"/>
                      <w:sz w:val="12"/>
                    </w:rPr>
                    <w:t>160</w:t>
                  </w:r>
                </w:p>
              </w:txbxContent>
            </v:textbox>
            <w10:wrap anchorx="page"/>
          </v:shape>
        </w:pict>
      </w:r>
      <w:r w:rsidR="00216117">
        <w:rPr>
          <w:color w:val="231F20"/>
          <w:sz w:val="12"/>
        </w:rPr>
        <w:t>Natažení,</w:t>
      </w:r>
      <w:r w:rsidR="00216117">
        <w:rPr>
          <w:color w:val="231F20"/>
          <w:spacing w:val="-22"/>
          <w:sz w:val="12"/>
        </w:rPr>
        <w:t xml:space="preserve"> </w:t>
      </w:r>
      <w:r w:rsidR="00216117">
        <w:rPr>
          <w:color w:val="231F20"/>
          <w:sz w:val="12"/>
        </w:rPr>
        <w:t>natržení</w:t>
      </w:r>
      <w:r w:rsidR="00216117">
        <w:rPr>
          <w:color w:val="231F20"/>
          <w:spacing w:val="-23"/>
          <w:sz w:val="12"/>
        </w:rPr>
        <w:t xml:space="preserve"> </w:t>
      </w:r>
      <w:r w:rsidR="00216117">
        <w:rPr>
          <w:color w:val="231F20"/>
          <w:sz w:val="12"/>
        </w:rPr>
        <w:t>šlachy</w:t>
      </w:r>
      <w:r w:rsidR="00216117">
        <w:rPr>
          <w:color w:val="231F20"/>
          <w:spacing w:val="-22"/>
          <w:sz w:val="12"/>
        </w:rPr>
        <w:t xml:space="preserve"> </w:t>
      </w:r>
      <w:r w:rsidR="00216117">
        <w:rPr>
          <w:color w:val="231F20"/>
          <w:sz w:val="12"/>
        </w:rPr>
        <w:t>horní</w:t>
      </w:r>
      <w:r w:rsidR="00216117">
        <w:rPr>
          <w:color w:val="231F20"/>
          <w:spacing w:val="-22"/>
          <w:sz w:val="12"/>
        </w:rPr>
        <w:t xml:space="preserve"> </w:t>
      </w:r>
      <w:r w:rsidR="00216117">
        <w:rPr>
          <w:color w:val="231F20"/>
          <w:sz w:val="12"/>
        </w:rPr>
        <w:t>končetiny</w:t>
      </w:r>
      <w:r w:rsidR="00216117">
        <w:rPr>
          <w:color w:val="231F20"/>
          <w:spacing w:val="-22"/>
          <w:sz w:val="12"/>
        </w:rPr>
        <w:t xml:space="preserve"> </w:t>
      </w:r>
      <w:r w:rsidR="00216117">
        <w:rPr>
          <w:color w:val="231F20"/>
          <w:spacing w:val="-3"/>
          <w:sz w:val="12"/>
        </w:rPr>
        <w:t xml:space="preserve">(včetně </w:t>
      </w:r>
      <w:r w:rsidR="00216117">
        <w:rPr>
          <w:color w:val="231F20"/>
          <w:sz w:val="12"/>
        </w:rPr>
        <w:t>SLAP léze 1. a 2.</w:t>
      </w:r>
      <w:r w:rsidR="00216117">
        <w:rPr>
          <w:color w:val="231F20"/>
          <w:spacing w:val="-7"/>
          <w:sz w:val="12"/>
        </w:rPr>
        <w:t xml:space="preserve"> </w:t>
      </w:r>
      <w:r w:rsidR="00216117">
        <w:rPr>
          <w:color w:val="231F20"/>
          <w:sz w:val="12"/>
        </w:rPr>
        <w:t>stupně)</w:t>
      </w:r>
    </w:p>
    <w:p w14:paraId="223810D7" w14:textId="77777777" w:rsidR="00F65BCA" w:rsidRDefault="00216117">
      <w:pPr>
        <w:spacing w:before="34"/>
        <w:ind w:left="455"/>
        <w:rPr>
          <w:sz w:val="12"/>
        </w:rPr>
      </w:pPr>
      <w:r>
        <w:rPr>
          <w:color w:val="231F20"/>
          <w:sz w:val="12"/>
        </w:rPr>
        <w:t>Přetržení, odtržení šlachy horní končetiny (včetně</w:t>
      </w:r>
    </w:p>
    <w:p w14:paraId="5BEAD4C1" w14:textId="77777777" w:rsidR="00F65BCA" w:rsidRDefault="00216117">
      <w:pPr>
        <w:pStyle w:val="Odstavecseseznamem"/>
        <w:numPr>
          <w:ilvl w:val="0"/>
          <w:numId w:val="67"/>
        </w:numPr>
        <w:tabs>
          <w:tab w:val="left" w:pos="456"/>
        </w:tabs>
        <w:spacing w:before="2" w:line="242" w:lineRule="auto"/>
        <w:ind w:right="250"/>
        <w:rPr>
          <w:sz w:val="12"/>
        </w:rPr>
      </w:pPr>
      <w:r>
        <w:rPr>
          <w:color w:val="231F20"/>
          <w:sz w:val="12"/>
        </w:rPr>
        <w:t>SLAP</w:t>
      </w:r>
      <w:r>
        <w:rPr>
          <w:color w:val="231F20"/>
          <w:spacing w:val="-10"/>
          <w:sz w:val="12"/>
        </w:rPr>
        <w:t xml:space="preserve"> </w:t>
      </w:r>
      <w:r>
        <w:rPr>
          <w:color w:val="231F20"/>
          <w:sz w:val="12"/>
        </w:rPr>
        <w:t>léze</w:t>
      </w:r>
      <w:r>
        <w:rPr>
          <w:color w:val="231F20"/>
          <w:spacing w:val="-9"/>
          <w:sz w:val="12"/>
        </w:rPr>
        <w:t xml:space="preserve"> </w:t>
      </w:r>
      <w:r>
        <w:rPr>
          <w:color w:val="231F20"/>
          <w:sz w:val="12"/>
        </w:rPr>
        <w:t>3.</w:t>
      </w:r>
      <w:r>
        <w:rPr>
          <w:color w:val="231F20"/>
          <w:spacing w:val="-9"/>
          <w:sz w:val="12"/>
        </w:rPr>
        <w:t xml:space="preserve"> </w:t>
      </w:r>
      <w:r>
        <w:rPr>
          <w:color w:val="231F20"/>
          <w:sz w:val="12"/>
        </w:rPr>
        <w:t>a</w:t>
      </w:r>
      <w:r>
        <w:rPr>
          <w:color w:val="231F20"/>
          <w:spacing w:val="-10"/>
          <w:sz w:val="12"/>
        </w:rPr>
        <w:t xml:space="preserve"> </w:t>
      </w:r>
      <w:r>
        <w:rPr>
          <w:color w:val="231F20"/>
          <w:sz w:val="12"/>
        </w:rPr>
        <w:t>4.</w:t>
      </w:r>
      <w:r>
        <w:rPr>
          <w:color w:val="231F20"/>
          <w:spacing w:val="-9"/>
          <w:sz w:val="12"/>
        </w:rPr>
        <w:t xml:space="preserve"> </w:t>
      </w:r>
      <w:r>
        <w:rPr>
          <w:color w:val="231F20"/>
          <w:sz w:val="12"/>
        </w:rPr>
        <w:t>stupně</w:t>
      </w:r>
      <w:r>
        <w:rPr>
          <w:color w:val="231F20"/>
          <w:spacing w:val="-9"/>
          <w:sz w:val="12"/>
        </w:rPr>
        <w:t xml:space="preserve"> </w:t>
      </w:r>
      <w:r>
        <w:rPr>
          <w:color w:val="231F20"/>
          <w:sz w:val="12"/>
        </w:rPr>
        <w:t>s</w:t>
      </w:r>
      <w:r>
        <w:rPr>
          <w:color w:val="231F20"/>
          <w:spacing w:val="-10"/>
          <w:sz w:val="12"/>
        </w:rPr>
        <w:t xml:space="preserve"> </w:t>
      </w:r>
      <w:r>
        <w:rPr>
          <w:color w:val="231F20"/>
          <w:sz w:val="12"/>
        </w:rPr>
        <w:t>nutnou</w:t>
      </w:r>
      <w:r>
        <w:rPr>
          <w:color w:val="231F20"/>
          <w:spacing w:val="-9"/>
          <w:sz w:val="12"/>
        </w:rPr>
        <w:t xml:space="preserve"> </w:t>
      </w:r>
      <w:r>
        <w:rPr>
          <w:color w:val="231F20"/>
          <w:sz w:val="12"/>
        </w:rPr>
        <w:t>refixací</w:t>
      </w:r>
      <w:r>
        <w:rPr>
          <w:color w:val="231F20"/>
          <w:spacing w:val="-9"/>
          <w:sz w:val="12"/>
        </w:rPr>
        <w:t xml:space="preserve"> </w:t>
      </w:r>
      <w:r>
        <w:rPr>
          <w:color w:val="231F20"/>
          <w:spacing w:val="-4"/>
          <w:sz w:val="12"/>
        </w:rPr>
        <w:t xml:space="preserve">nebo </w:t>
      </w:r>
      <w:r>
        <w:rPr>
          <w:color w:val="231F20"/>
          <w:sz w:val="12"/>
        </w:rPr>
        <w:t>ruptura labra s nutnou</w:t>
      </w:r>
      <w:r>
        <w:rPr>
          <w:color w:val="231F20"/>
          <w:spacing w:val="-10"/>
          <w:sz w:val="12"/>
        </w:rPr>
        <w:t xml:space="preserve"> </w:t>
      </w:r>
      <w:r>
        <w:rPr>
          <w:color w:val="231F20"/>
          <w:sz w:val="12"/>
        </w:rPr>
        <w:t>refixací)</w:t>
      </w:r>
    </w:p>
    <w:p w14:paraId="5AF0E959" w14:textId="77777777" w:rsidR="00F65BCA" w:rsidRDefault="00216117">
      <w:pPr>
        <w:pStyle w:val="Odstavecseseznamem"/>
        <w:numPr>
          <w:ilvl w:val="0"/>
          <w:numId w:val="67"/>
        </w:numPr>
        <w:tabs>
          <w:tab w:val="left" w:pos="456"/>
        </w:tabs>
        <w:spacing w:before="39"/>
        <w:ind w:hanging="273"/>
        <w:rPr>
          <w:sz w:val="12"/>
        </w:rPr>
      </w:pPr>
      <w:r>
        <w:rPr>
          <w:color w:val="231F20"/>
          <w:w w:val="95"/>
          <w:sz w:val="12"/>
        </w:rPr>
        <w:t>Natažení, natržení svalu horní</w:t>
      </w:r>
      <w:r>
        <w:rPr>
          <w:color w:val="231F20"/>
          <w:spacing w:val="-1"/>
          <w:w w:val="95"/>
          <w:sz w:val="12"/>
        </w:rPr>
        <w:t xml:space="preserve"> </w:t>
      </w:r>
      <w:r>
        <w:rPr>
          <w:color w:val="231F20"/>
          <w:w w:val="95"/>
          <w:sz w:val="12"/>
        </w:rPr>
        <w:t>končetiny</w:t>
      </w:r>
    </w:p>
    <w:p w14:paraId="6734D11F" w14:textId="77777777" w:rsidR="00F65BCA" w:rsidRDefault="00216117">
      <w:pPr>
        <w:pStyle w:val="Odstavecseseznamem"/>
        <w:numPr>
          <w:ilvl w:val="0"/>
          <w:numId w:val="67"/>
        </w:numPr>
        <w:tabs>
          <w:tab w:val="left" w:pos="456"/>
        </w:tabs>
        <w:spacing w:before="44"/>
        <w:ind w:hanging="273"/>
        <w:rPr>
          <w:sz w:val="12"/>
        </w:rPr>
      </w:pPr>
      <w:r>
        <w:rPr>
          <w:color w:val="231F20"/>
          <w:w w:val="95"/>
          <w:sz w:val="12"/>
        </w:rPr>
        <w:t>Přetržení, odtržení svalu horní</w:t>
      </w:r>
      <w:r>
        <w:rPr>
          <w:color w:val="231F20"/>
          <w:spacing w:val="3"/>
          <w:w w:val="95"/>
          <w:sz w:val="12"/>
        </w:rPr>
        <w:t xml:space="preserve"> </w:t>
      </w:r>
      <w:r>
        <w:rPr>
          <w:color w:val="231F20"/>
          <w:w w:val="95"/>
          <w:sz w:val="12"/>
        </w:rPr>
        <w:t>končetiny</w:t>
      </w:r>
    </w:p>
    <w:p w14:paraId="704791A3" w14:textId="77777777" w:rsidR="00F65BCA" w:rsidRDefault="00216117">
      <w:pPr>
        <w:spacing w:before="43"/>
        <w:ind w:left="455"/>
        <w:rPr>
          <w:b/>
          <w:sz w:val="12"/>
        </w:rPr>
      </w:pPr>
      <w:r>
        <w:rPr>
          <w:b/>
          <w:color w:val="231F20"/>
          <w:sz w:val="12"/>
        </w:rPr>
        <w:t>Zápěstí, ruka</w:t>
      </w:r>
    </w:p>
    <w:p w14:paraId="04AB1254" w14:textId="77777777" w:rsidR="00F65BCA" w:rsidRDefault="00216117">
      <w:pPr>
        <w:pStyle w:val="Odstavecseseznamem"/>
        <w:numPr>
          <w:ilvl w:val="0"/>
          <w:numId w:val="67"/>
        </w:numPr>
        <w:tabs>
          <w:tab w:val="left" w:pos="456"/>
        </w:tabs>
        <w:spacing w:before="43"/>
        <w:ind w:hanging="273"/>
        <w:rPr>
          <w:sz w:val="12"/>
        </w:rPr>
      </w:pPr>
      <w:r>
        <w:rPr>
          <w:color w:val="231F20"/>
          <w:sz w:val="12"/>
        </w:rPr>
        <w:t>Natažení</w:t>
      </w:r>
      <w:r>
        <w:rPr>
          <w:color w:val="231F20"/>
          <w:spacing w:val="-10"/>
          <w:sz w:val="12"/>
        </w:rPr>
        <w:t xml:space="preserve"> </w:t>
      </w:r>
      <w:r>
        <w:rPr>
          <w:color w:val="231F20"/>
          <w:sz w:val="12"/>
        </w:rPr>
        <w:t>nebo</w:t>
      </w:r>
      <w:r>
        <w:rPr>
          <w:color w:val="231F20"/>
          <w:spacing w:val="-10"/>
          <w:sz w:val="12"/>
        </w:rPr>
        <w:t xml:space="preserve"> </w:t>
      </w:r>
      <w:r>
        <w:rPr>
          <w:color w:val="231F20"/>
          <w:sz w:val="12"/>
        </w:rPr>
        <w:t>neúplné</w:t>
      </w:r>
      <w:r>
        <w:rPr>
          <w:color w:val="231F20"/>
          <w:spacing w:val="-10"/>
          <w:sz w:val="12"/>
        </w:rPr>
        <w:t xml:space="preserve"> </w:t>
      </w:r>
      <w:r>
        <w:rPr>
          <w:color w:val="231F20"/>
          <w:sz w:val="12"/>
        </w:rPr>
        <w:t>přerušení</w:t>
      </w:r>
      <w:r>
        <w:rPr>
          <w:color w:val="231F20"/>
          <w:spacing w:val="-10"/>
          <w:sz w:val="12"/>
        </w:rPr>
        <w:t xml:space="preserve"> </w:t>
      </w:r>
      <w:r>
        <w:rPr>
          <w:color w:val="231F20"/>
          <w:sz w:val="12"/>
        </w:rPr>
        <w:t>šlach</w:t>
      </w:r>
      <w:r>
        <w:rPr>
          <w:color w:val="231F20"/>
          <w:spacing w:val="-10"/>
          <w:sz w:val="12"/>
        </w:rPr>
        <w:t xml:space="preserve"> </w:t>
      </w:r>
      <w:r>
        <w:rPr>
          <w:color w:val="231F20"/>
          <w:sz w:val="12"/>
        </w:rPr>
        <w:t>v</w:t>
      </w:r>
      <w:r>
        <w:rPr>
          <w:color w:val="231F20"/>
          <w:spacing w:val="-10"/>
          <w:sz w:val="12"/>
        </w:rPr>
        <w:t xml:space="preserve"> </w:t>
      </w:r>
      <w:r>
        <w:rPr>
          <w:color w:val="231F20"/>
          <w:sz w:val="12"/>
        </w:rPr>
        <w:t>zápěstí</w:t>
      </w:r>
    </w:p>
    <w:p w14:paraId="31EADA96" w14:textId="77777777" w:rsidR="00F65BCA" w:rsidRDefault="00216117">
      <w:pPr>
        <w:pStyle w:val="Odstavecseseznamem"/>
        <w:numPr>
          <w:ilvl w:val="0"/>
          <w:numId w:val="67"/>
        </w:numPr>
        <w:tabs>
          <w:tab w:val="left" w:pos="456"/>
        </w:tabs>
        <w:spacing w:before="44"/>
        <w:ind w:hanging="273"/>
        <w:rPr>
          <w:sz w:val="12"/>
        </w:rPr>
      </w:pPr>
      <w:r>
        <w:rPr>
          <w:color w:val="231F20"/>
          <w:sz w:val="12"/>
        </w:rPr>
        <w:t>Úplné přerušení šlach v</w:t>
      </w:r>
      <w:r>
        <w:rPr>
          <w:color w:val="231F20"/>
          <w:spacing w:val="-10"/>
          <w:sz w:val="12"/>
        </w:rPr>
        <w:t xml:space="preserve"> </w:t>
      </w:r>
      <w:r>
        <w:rPr>
          <w:color w:val="231F20"/>
          <w:sz w:val="12"/>
        </w:rPr>
        <w:t>zápěstí</w:t>
      </w:r>
    </w:p>
    <w:p w14:paraId="19D07D91" w14:textId="77777777" w:rsidR="00F65BCA" w:rsidRDefault="00216117">
      <w:pPr>
        <w:pStyle w:val="Odstavecseseznamem"/>
        <w:numPr>
          <w:ilvl w:val="0"/>
          <w:numId w:val="67"/>
        </w:numPr>
        <w:tabs>
          <w:tab w:val="left" w:pos="456"/>
        </w:tabs>
        <w:spacing w:before="43"/>
        <w:ind w:hanging="273"/>
        <w:rPr>
          <w:sz w:val="12"/>
        </w:rPr>
      </w:pPr>
      <w:r>
        <w:rPr>
          <w:color w:val="231F20"/>
          <w:sz w:val="12"/>
        </w:rPr>
        <w:t>Natržení</w:t>
      </w:r>
      <w:r>
        <w:rPr>
          <w:color w:val="231F20"/>
          <w:spacing w:val="-13"/>
          <w:sz w:val="12"/>
        </w:rPr>
        <w:t xml:space="preserve"> </w:t>
      </w:r>
      <w:r>
        <w:rPr>
          <w:color w:val="231F20"/>
          <w:sz w:val="12"/>
        </w:rPr>
        <w:t>nebo</w:t>
      </w:r>
      <w:r>
        <w:rPr>
          <w:color w:val="231F20"/>
          <w:spacing w:val="-12"/>
          <w:sz w:val="12"/>
        </w:rPr>
        <w:t xml:space="preserve"> </w:t>
      </w:r>
      <w:r>
        <w:rPr>
          <w:color w:val="231F20"/>
          <w:sz w:val="12"/>
        </w:rPr>
        <w:t>přetržení</w:t>
      </w:r>
      <w:r>
        <w:rPr>
          <w:color w:val="231F20"/>
          <w:spacing w:val="-12"/>
          <w:sz w:val="12"/>
        </w:rPr>
        <w:t xml:space="preserve"> </w:t>
      </w:r>
      <w:r>
        <w:rPr>
          <w:color w:val="231F20"/>
          <w:sz w:val="12"/>
        </w:rPr>
        <w:t>vazů</w:t>
      </w:r>
      <w:r>
        <w:rPr>
          <w:color w:val="231F20"/>
          <w:spacing w:val="-12"/>
          <w:sz w:val="12"/>
        </w:rPr>
        <w:t xml:space="preserve"> </w:t>
      </w:r>
      <w:r>
        <w:rPr>
          <w:color w:val="231F20"/>
          <w:sz w:val="12"/>
        </w:rPr>
        <w:t>drobných</w:t>
      </w:r>
      <w:r>
        <w:rPr>
          <w:color w:val="231F20"/>
          <w:spacing w:val="-13"/>
          <w:sz w:val="12"/>
        </w:rPr>
        <w:t xml:space="preserve"> </w:t>
      </w:r>
      <w:r>
        <w:rPr>
          <w:color w:val="231F20"/>
          <w:sz w:val="12"/>
        </w:rPr>
        <w:t>kloubů</w:t>
      </w:r>
      <w:r>
        <w:rPr>
          <w:color w:val="231F20"/>
          <w:spacing w:val="-12"/>
          <w:sz w:val="12"/>
        </w:rPr>
        <w:t xml:space="preserve"> </w:t>
      </w:r>
      <w:r>
        <w:rPr>
          <w:color w:val="231F20"/>
          <w:sz w:val="12"/>
        </w:rPr>
        <w:t>ruky</w:t>
      </w:r>
    </w:p>
    <w:p w14:paraId="6E6DEBAE" w14:textId="77777777" w:rsidR="00F65BCA" w:rsidRDefault="00216117">
      <w:pPr>
        <w:spacing w:before="44"/>
        <w:ind w:left="455"/>
        <w:rPr>
          <w:b/>
          <w:sz w:val="12"/>
        </w:rPr>
      </w:pPr>
      <w:r>
        <w:rPr>
          <w:b/>
          <w:color w:val="231F20"/>
          <w:sz w:val="12"/>
        </w:rPr>
        <w:t>Prsty</w:t>
      </w:r>
    </w:p>
    <w:p w14:paraId="09F76168" w14:textId="77777777" w:rsidR="00F65BCA" w:rsidRDefault="00000000">
      <w:pPr>
        <w:spacing w:before="38" w:line="242" w:lineRule="auto"/>
        <w:ind w:left="455"/>
        <w:rPr>
          <w:sz w:val="12"/>
        </w:rPr>
      </w:pPr>
      <w:r>
        <w:pict w14:anchorId="71229A50">
          <v:shape id="_x0000_s2171" type="#_x0000_t202" style="position:absolute;left:0;text-align:left;margin-left:16.2pt;margin-top:5.2pt;width:10.05pt;height:7.2pt;z-index:251950080;mso-position-horizontal-relative:page" filled="f" stroked="f">
            <v:textbox inset="0,0,0,0">
              <w:txbxContent>
                <w:p w14:paraId="6E461B9D" w14:textId="77777777" w:rsidR="00F65BCA" w:rsidRDefault="00216117">
                  <w:pPr>
                    <w:spacing w:before="4"/>
                    <w:rPr>
                      <w:b/>
                      <w:sz w:val="12"/>
                    </w:rPr>
                  </w:pPr>
                  <w:r>
                    <w:rPr>
                      <w:b/>
                      <w:color w:val="231F20"/>
                      <w:sz w:val="12"/>
                    </w:rPr>
                    <w:t>167</w:t>
                  </w:r>
                </w:p>
              </w:txbxContent>
            </v:textbox>
            <w10:wrap anchorx="page"/>
          </v:shape>
        </w:pict>
      </w:r>
      <w:r w:rsidR="00216117">
        <w:rPr>
          <w:color w:val="231F20"/>
          <w:w w:val="95"/>
          <w:sz w:val="12"/>
        </w:rPr>
        <w:t xml:space="preserve">Natažení nebo neúplné přerušení šlach natahovačů </w:t>
      </w:r>
      <w:r w:rsidR="00216117">
        <w:rPr>
          <w:color w:val="231F20"/>
          <w:sz w:val="12"/>
        </w:rPr>
        <w:t>nebo ohýbačů na ruce, jednoho a více prstů</w:t>
      </w:r>
    </w:p>
    <w:p w14:paraId="72609B89" w14:textId="77777777" w:rsidR="00F65BCA" w:rsidRDefault="00216117">
      <w:pPr>
        <w:spacing w:before="44"/>
        <w:ind w:left="455"/>
        <w:rPr>
          <w:b/>
          <w:sz w:val="12"/>
        </w:rPr>
      </w:pPr>
      <w:r>
        <w:rPr>
          <w:b/>
          <w:color w:val="231F20"/>
          <w:sz w:val="12"/>
        </w:rPr>
        <w:t>Úplné přerušení šlach</w:t>
      </w:r>
    </w:p>
    <w:p w14:paraId="7F3BBEEB" w14:textId="77777777" w:rsidR="00F65BCA" w:rsidRDefault="00216117">
      <w:pPr>
        <w:pStyle w:val="Odstavecseseznamem"/>
        <w:numPr>
          <w:ilvl w:val="0"/>
          <w:numId w:val="66"/>
        </w:numPr>
        <w:tabs>
          <w:tab w:val="left" w:pos="456"/>
        </w:tabs>
        <w:spacing w:before="55"/>
        <w:ind w:hanging="273"/>
        <w:rPr>
          <w:sz w:val="12"/>
        </w:rPr>
      </w:pPr>
      <w:r>
        <w:rPr>
          <w:color w:val="231F20"/>
          <w:sz w:val="12"/>
        </w:rPr>
        <w:t>ohýbačů na ruce, jednoho a více</w:t>
      </w:r>
      <w:r>
        <w:rPr>
          <w:color w:val="231F20"/>
          <w:spacing w:val="-13"/>
          <w:sz w:val="12"/>
        </w:rPr>
        <w:t xml:space="preserve"> </w:t>
      </w:r>
      <w:r>
        <w:rPr>
          <w:color w:val="231F20"/>
          <w:sz w:val="12"/>
        </w:rPr>
        <w:t>prstů</w:t>
      </w:r>
    </w:p>
    <w:p w14:paraId="321829CB" w14:textId="77777777" w:rsidR="00F65BCA" w:rsidRDefault="00216117">
      <w:pPr>
        <w:pStyle w:val="Odstavecseseznamem"/>
        <w:numPr>
          <w:ilvl w:val="0"/>
          <w:numId w:val="66"/>
        </w:numPr>
        <w:tabs>
          <w:tab w:val="left" w:pos="456"/>
        </w:tabs>
        <w:spacing w:before="54"/>
        <w:ind w:hanging="273"/>
        <w:rPr>
          <w:sz w:val="12"/>
        </w:rPr>
      </w:pPr>
      <w:r>
        <w:rPr>
          <w:color w:val="231F20"/>
          <w:sz w:val="12"/>
        </w:rPr>
        <w:t>natahovačů na ruce, jednoho a více</w:t>
      </w:r>
      <w:r>
        <w:rPr>
          <w:color w:val="231F20"/>
          <w:spacing w:val="-19"/>
          <w:sz w:val="12"/>
        </w:rPr>
        <w:t xml:space="preserve"> </w:t>
      </w:r>
      <w:r>
        <w:rPr>
          <w:color w:val="231F20"/>
          <w:sz w:val="12"/>
        </w:rPr>
        <w:t>prstů</w:t>
      </w:r>
    </w:p>
    <w:p w14:paraId="6408244A" w14:textId="77777777" w:rsidR="00F65BCA" w:rsidRDefault="00000000">
      <w:pPr>
        <w:spacing w:before="45" w:line="242" w:lineRule="auto"/>
        <w:ind w:left="455" w:right="163"/>
        <w:rPr>
          <w:sz w:val="12"/>
        </w:rPr>
      </w:pPr>
      <w:r>
        <w:pict w14:anchorId="5786E96B">
          <v:shape id="_x0000_s2170" type="#_x0000_t202" style="position:absolute;left:0;text-align:left;margin-left:16.2pt;margin-top:5.55pt;width:10.05pt;height:7.2pt;z-index:251951104;mso-position-horizontal-relative:page" filled="f" stroked="f">
            <v:textbox inset="0,0,0,0">
              <w:txbxContent>
                <w:p w14:paraId="5FCF4EF0" w14:textId="77777777" w:rsidR="00F65BCA" w:rsidRDefault="00216117">
                  <w:pPr>
                    <w:spacing w:before="4"/>
                    <w:rPr>
                      <w:b/>
                      <w:sz w:val="12"/>
                    </w:rPr>
                  </w:pPr>
                  <w:r>
                    <w:rPr>
                      <w:b/>
                      <w:color w:val="231F20"/>
                      <w:sz w:val="12"/>
                    </w:rPr>
                    <w:t>170</w:t>
                  </w:r>
                </w:p>
              </w:txbxContent>
            </v:textbox>
            <w10:wrap anchorx="page"/>
          </v:shape>
        </w:pict>
      </w:r>
      <w:r w:rsidR="00216117">
        <w:rPr>
          <w:color w:val="231F20"/>
          <w:sz w:val="12"/>
        </w:rPr>
        <w:t>natahovačů na prstech nebo na ruce – odtržení dorsální aponeurosy prstu</w:t>
      </w:r>
    </w:p>
    <w:p w14:paraId="27651907" w14:textId="77777777" w:rsidR="00F65BCA" w:rsidRDefault="00216117">
      <w:pPr>
        <w:spacing w:before="43"/>
        <w:ind w:left="1186"/>
        <w:rPr>
          <w:b/>
          <w:sz w:val="12"/>
        </w:rPr>
      </w:pPr>
      <w:r>
        <w:rPr>
          <w:b/>
          <w:color w:val="231F20"/>
          <w:sz w:val="12"/>
        </w:rPr>
        <w:t>Podvrtnutí, subluxace</w:t>
      </w:r>
    </w:p>
    <w:p w14:paraId="6C7DFBD4" w14:textId="77777777" w:rsidR="00F65BCA" w:rsidRDefault="00000000">
      <w:pPr>
        <w:spacing w:before="45" w:line="242" w:lineRule="auto"/>
        <w:ind w:left="455" w:right="460"/>
        <w:rPr>
          <w:sz w:val="12"/>
        </w:rPr>
      </w:pPr>
      <w:r>
        <w:pict w14:anchorId="6DB59F89">
          <v:shape id="_x0000_s2169" type="#_x0000_t202" style="position:absolute;left:0;text-align:left;margin-left:16.2pt;margin-top:5.55pt;width:10.05pt;height:7.2pt;z-index:251952128;mso-position-horizontal-relative:page" filled="f" stroked="f">
            <v:textbox inset="0,0,0,0">
              <w:txbxContent>
                <w:p w14:paraId="34189E7B" w14:textId="77777777" w:rsidR="00F65BCA" w:rsidRDefault="00216117">
                  <w:pPr>
                    <w:spacing w:before="4"/>
                    <w:rPr>
                      <w:b/>
                      <w:sz w:val="12"/>
                    </w:rPr>
                  </w:pPr>
                  <w:r>
                    <w:rPr>
                      <w:b/>
                      <w:color w:val="231F20"/>
                      <w:sz w:val="12"/>
                    </w:rPr>
                    <w:t>171</w:t>
                  </w:r>
                </w:p>
              </w:txbxContent>
            </v:textbox>
            <w10:wrap anchorx="page"/>
          </v:shape>
        </w:pict>
      </w:r>
      <w:r w:rsidR="00216117">
        <w:rPr>
          <w:color w:val="231F20"/>
          <w:sz w:val="12"/>
        </w:rPr>
        <w:t>mezi</w:t>
      </w:r>
      <w:r w:rsidR="00216117">
        <w:rPr>
          <w:color w:val="231F20"/>
          <w:spacing w:val="-12"/>
          <w:sz w:val="12"/>
        </w:rPr>
        <w:t xml:space="preserve"> </w:t>
      </w:r>
      <w:r w:rsidR="00216117">
        <w:rPr>
          <w:color w:val="231F20"/>
          <w:sz w:val="12"/>
        </w:rPr>
        <w:t>klíčkem</w:t>
      </w:r>
      <w:r w:rsidR="00216117">
        <w:rPr>
          <w:color w:val="231F20"/>
          <w:spacing w:val="-11"/>
          <w:sz w:val="12"/>
        </w:rPr>
        <w:t xml:space="preserve"> </w:t>
      </w:r>
      <w:r w:rsidR="00216117">
        <w:rPr>
          <w:color w:val="231F20"/>
          <w:sz w:val="12"/>
        </w:rPr>
        <w:t>a</w:t>
      </w:r>
      <w:r w:rsidR="00216117">
        <w:rPr>
          <w:color w:val="231F20"/>
          <w:spacing w:val="-11"/>
          <w:sz w:val="12"/>
        </w:rPr>
        <w:t xml:space="preserve"> </w:t>
      </w:r>
      <w:r w:rsidR="00216117">
        <w:rPr>
          <w:color w:val="231F20"/>
          <w:sz w:val="12"/>
        </w:rPr>
        <w:t>lopatkou</w:t>
      </w:r>
      <w:r w:rsidR="00216117">
        <w:rPr>
          <w:color w:val="231F20"/>
          <w:spacing w:val="-11"/>
          <w:sz w:val="12"/>
        </w:rPr>
        <w:t xml:space="preserve"> </w:t>
      </w:r>
      <w:r w:rsidR="00216117">
        <w:rPr>
          <w:color w:val="231F20"/>
          <w:sz w:val="12"/>
        </w:rPr>
        <w:t>nebo</w:t>
      </w:r>
      <w:r w:rsidR="00216117">
        <w:rPr>
          <w:color w:val="231F20"/>
          <w:spacing w:val="-11"/>
          <w:sz w:val="12"/>
        </w:rPr>
        <w:t xml:space="preserve"> </w:t>
      </w:r>
      <w:r w:rsidR="00216117">
        <w:rPr>
          <w:color w:val="231F20"/>
          <w:sz w:val="12"/>
        </w:rPr>
        <w:t>mezi</w:t>
      </w:r>
      <w:r w:rsidR="00216117">
        <w:rPr>
          <w:color w:val="231F20"/>
          <w:spacing w:val="-12"/>
          <w:sz w:val="12"/>
        </w:rPr>
        <w:t xml:space="preserve"> </w:t>
      </w:r>
      <w:r w:rsidR="00216117">
        <w:rPr>
          <w:color w:val="231F20"/>
          <w:spacing w:val="-3"/>
          <w:sz w:val="12"/>
        </w:rPr>
        <w:t xml:space="preserve">klíčkem </w:t>
      </w:r>
      <w:r w:rsidR="00216117">
        <w:rPr>
          <w:color w:val="231F20"/>
          <w:sz w:val="12"/>
        </w:rPr>
        <w:t>a kostí</w:t>
      </w:r>
      <w:r w:rsidR="00216117">
        <w:rPr>
          <w:color w:val="231F20"/>
          <w:spacing w:val="-2"/>
          <w:sz w:val="12"/>
        </w:rPr>
        <w:t xml:space="preserve"> </w:t>
      </w:r>
      <w:r w:rsidR="00216117">
        <w:rPr>
          <w:color w:val="231F20"/>
          <w:sz w:val="12"/>
        </w:rPr>
        <w:t>hrudní</w:t>
      </w:r>
    </w:p>
    <w:p w14:paraId="3832EF80" w14:textId="77777777" w:rsidR="00F65BCA" w:rsidRDefault="00216117">
      <w:pPr>
        <w:spacing w:before="37"/>
        <w:ind w:left="183"/>
        <w:rPr>
          <w:sz w:val="12"/>
        </w:rPr>
      </w:pPr>
      <w:r>
        <w:rPr>
          <w:b/>
          <w:color w:val="231F20"/>
          <w:sz w:val="12"/>
        </w:rPr>
        <w:t xml:space="preserve">172 </w:t>
      </w:r>
      <w:r>
        <w:rPr>
          <w:color w:val="231F20"/>
          <w:sz w:val="12"/>
        </w:rPr>
        <w:t>kloubu horní končetiny (rameno, loket, zápěstí)</w:t>
      </w:r>
    </w:p>
    <w:p w14:paraId="151AC22B" w14:textId="77777777" w:rsidR="00F65BCA" w:rsidRDefault="00000000">
      <w:pPr>
        <w:spacing w:before="39" w:line="242" w:lineRule="auto"/>
        <w:ind w:left="455" w:right="-8"/>
        <w:rPr>
          <w:sz w:val="12"/>
        </w:rPr>
      </w:pPr>
      <w:r>
        <w:pict w14:anchorId="6BB639A9">
          <v:shape id="_x0000_s2168" type="#_x0000_t202" style="position:absolute;left:0;text-align:left;margin-left:16.2pt;margin-top:5.25pt;width:10.05pt;height:7.2pt;z-index:251953152;mso-position-horizontal-relative:page" filled="f" stroked="f">
            <v:textbox inset="0,0,0,0">
              <w:txbxContent>
                <w:p w14:paraId="10927792" w14:textId="77777777" w:rsidR="00F65BCA" w:rsidRDefault="00216117">
                  <w:pPr>
                    <w:spacing w:before="4"/>
                    <w:rPr>
                      <w:b/>
                      <w:sz w:val="12"/>
                    </w:rPr>
                  </w:pPr>
                  <w:r>
                    <w:rPr>
                      <w:b/>
                      <w:color w:val="231F20"/>
                      <w:sz w:val="12"/>
                    </w:rPr>
                    <w:t>173</w:t>
                  </w:r>
                </w:p>
              </w:txbxContent>
            </v:textbox>
            <w10:wrap anchorx="page"/>
          </v:shape>
        </w:pict>
      </w:r>
      <w:r w:rsidR="00216117">
        <w:rPr>
          <w:color w:val="231F20"/>
          <w:sz w:val="12"/>
        </w:rPr>
        <w:t>základních</w:t>
      </w:r>
      <w:r w:rsidR="00216117">
        <w:rPr>
          <w:color w:val="231F20"/>
          <w:spacing w:val="-14"/>
          <w:sz w:val="12"/>
        </w:rPr>
        <w:t xml:space="preserve"> </w:t>
      </w:r>
      <w:r w:rsidR="00216117">
        <w:rPr>
          <w:color w:val="231F20"/>
          <w:sz w:val="12"/>
        </w:rPr>
        <w:t>nebo</w:t>
      </w:r>
      <w:r w:rsidR="00216117">
        <w:rPr>
          <w:color w:val="231F20"/>
          <w:spacing w:val="-14"/>
          <w:sz w:val="12"/>
        </w:rPr>
        <w:t xml:space="preserve"> </w:t>
      </w:r>
      <w:r w:rsidR="00216117">
        <w:rPr>
          <w:color w:val="231F20"/>
          <w:sz w:val="12"/>
        </w:rPr>
        <w:t>mezičlánkových</w:t>
      </w:r>
      <w:r w:rsidR="00216117">
        <w:rPr>
          <w:color w:val="231F20"/>
          <w:spacing w:val="-13"/>
          <w:sz w:val="12"/>
        </w:rPr>
        <w:t xml:space="preserve"> </w:t>
      </w:r>
      <w:r w:rsidR="00216117">
        <w:rPr>
          <w:color w:val="231F20"/>
          <w:sz w:val="12"/>
        </w:rPr>
        <w:t>kloubů</w:t>
      </w:r>
      <w:r w:rsidR="00216117">
        <w:rPr>
          <w:color w:val="231F20"/>
          <w:spacing w:val="-14"/>
          <w:sz w:val="12"/>
        </w:rPr>
        <w:t xml:space="preserve"> </w:t>
      </w:r>
      <w:r w:rsidR="00216117">
        <w:rPr>
          <w:color w:val="231F20"/>
          <w:sz w:val="12"/>
        </w:rPr>
        <w:t>prstu,</w:t>
      </w:r>
      <w:r w:rsidR="00216117">
        <w:rPr>
          <w:color w:val="231F20"/>
          <w:spacing w:val="-13"/>
          <w:sz w:val="12"/>
        </w:rPr>
        <w:t xml:space="preserve"> </w:t>
      </w:r>
      <w:r w:rsidR="00216117">
        <w:rPr>
          <w:color w:val="231F20"/>
          <w:spacing w:val="-4"/>
          <w:sz w:val="12"/>
        </w:rPr>
        <w:t xml:space="preserve">prstů </w:t>
      </w:r>
      <w:r w:rsidR="00216117">
        <w:rPr>
          <w:color w:val="231F20"/>
          <w:sz w:val="12"/>
        </w:rPr>
        <w:t>ruky s pevnou</w:t>
      </w:r>
      <w:r w:rsidR="00216117">
        <w:rPr>
          <w:color w:val="231F20"/>
          <w:spacing w:val="-3"/>
          <w:sz w:val="12"/>
        </w:rPr>
        <w:t xml:space="preserve"> </w:t>
      </w:r>
      <w:r w:rsidR="00216117">
        <w:rPr>
          <w:color w:val="231F20"/>
          <w:sz w:val="12"/>
        </w:rPr>
        <w:t>fixací</w:t>
      </w:r>
    </w:p>
    <w:p w14:paraId="3E9795BB" w14:textId="77777777" w:rsidR="00F65BCA" w:rsidRDefault="00216117">
      <w:pPr>
        <w:spacing w:before="44"/>
        <w:ind w:left="1541"/>
        <w:rPr>
          <w:b/>
          <w:sz w:val="12"/>
        </w:rPr>
      </w:pPr>
      <w:r>
        <w:rPr>
          <w:b/>
          <w:color w:val="231F20"/>
          <w:sz w:val="12"/>
        </w:rPr>
        <w:t>Vymknutí</w:t>
      </w:r>
    </w:p>
    <w:p w14:paraId="585803EB" w14:textId="77777777" w:rsidR="00F65BCA" w:rsidRDefault="00216117">
      <w:pPr>
        <w:spacing w:before="54"/>
        <w:ind w:left="455"/>
        <w:rPr>
          <w:b/>
          <w:sz w:val="12"/>
        </w:rPr>
      </w:pPr>
      <w:r>
        <w:rPr>
          <w:b/>
          <w:color w:val="231F20"/>
          <w:sz w:val="12"/>
        </w:rPr>
        <w:t>léčené repozicí (napravením) lékařem</w:t>
      </w:r>
    </w:p>
    <w:p w14:paraId="439B382C" w14:textId="77777777" w:rsidR="00F65BCA" w:rsidRDefault="00000000">
      <w:pPr>
        <w:spacing w:before="47" w:line="242" w:lineRule="auto"/>
        <w:ind w:left="455" w:right="45"/>
        <w:rPr>
          <w:sz w:val="12"/>
        </w:rPr>
      </w:pPr>
      <w:r>
        <w:pict w14:anchorId="48CF0201">
          <v:shape id="_x0000_s2167" type="#_x0000_t202" style="position:absolute;left:0;text-align:left;margin-left:16.2pt;margin-top:5.65pt;width:10.05pt;height:7.2pt;z-index:251954176;mso-position-horizontal-relative:page" filled="f" stroked="f">
            <v:textbox inset="0,0,0,0">
              <w:txbxContent>
                <w:p w14:paraId="0696EBB9" w14:textId="77777777" w:rsidR="00F65BCA" w:rsidRDefault="00216117">
                  <w:pPr>
                    <w:spacing w:before="4"/>
                    <w:rPr>
                      <w:b/>
                      <w:sz w:val="12"/>
                    </w:rPr>
                  </w:pPr>
                  <w:r>
                    <w:rPr>
                      <w:b/>
                      <w:color w:val="231F20"/>
                      <w:sz w:val="12"/>
                    </w:rPr>
                    <w:t>174</w:t>
                  </w:r>
                </w:p>
              </w:txbxContent>
            </v:textbox>
            <w10:wrap anchorx="page"/>
          </v:shape>
        </w:pict>
      </w:r>
      <w:r w:rsidR="00216117">
        <w:rPr>
          <w:color w:val="231F20"/>
          <w:sz w:val="12"/>
        </w:rPr>
        <w:t xml:space="preserve">kloubu mezi klíčkem a kostí hrudní léčeno </w:t>
      </w:r>
      <w:r w:rsidR="00216117">
        <w:rPr>
          <w:color w:val="231F20"/>
          <w:spacing w:val="-4"/>
          <w:sz w:val="12"/>
        </w:rPr>
        <w:t xml:space="preserve">konzer- </w:t>
      </w:r>
      <w:r w:rsidR="00216117">
        <w:rPr>
          <w:color w:val="231F20"/>
          <w:sz w:val="12"/>
        </w:rPr>
        <w:t>vativně</w:t>
      </w:r>
    </w:p>
    <w:p w14:paraId="34C6B5BE" w14:textId="77777777" w:rsidR="00F65BCA" w:rsidRDefault="00216117">
      <w:pPr>
        <w:spacing w:before="36"/>
        <w:ind w:left="183"/>
        <w:rPr>
          <w:sz w:val="12"/>
        </w:rPr>
      </w:pPr>
      <w:r>
        <w:rPr>
          <w:b/>
          <w:color w:val="231F20"/>
          <w:sz w:val="12"/>
        </w:rPr>
        <w:t xml:space="preserve">175 </w:t>
      </w:r>
      <w:r>
        <w:rPr>
          <w:color w:val="231F20"/>
          <w:sz w:val="12"/>
        </w:rPr>
        <w:t>kloubu mezi klíčkem a kostí hrudní léčeno operací</w:t>
      </w:r>
    </w:p>
    <w:p w14:paraId="463717FC" w14:textId="77777777" w:rsidR="00F65BCA" w:rsidRDefault="00000000">
      <w:pPr>
        <w:spacing w:before="35" w:line="242" w:lineRule="auto"/>
        <w:ind w:left="455" w:right="624"/>
        <w:rPr>
          <w:sz w:val="12"/>
        </w:rPr>
      </w:pPr>
      <w:r>
        <w:pict w14:anchorId="488CB2B6">
          <v:shape id="_x0000_s2166" type="#_x0000_t202" style="position:absolute;left:0;text-align:left;margin-left:16.2pt;margin-top:5.05pt;width:10.05pt;height:7.2pt;z-index:251955200;mso-position-horizontal-relative:page" filled="f" stroked="f">
            <v:textbox inset="0,0,0,0">
              <w:txbxContent>
                <w:p w14:paraId="67379A98" w14:textId="77777777" w:rsidR="00F65BCA" w:rsidRDefault="00216117">
                  <w:pPr>
                    <w:spacing w:before="4"/>
                    <w:rPr>
                      <w:b/>
                      <w:sz w:val="12"/>
                    </w:rPr>
                  </w:pPr>
                  <w:r>
                    <w:rPr>
                      <w:b/>
                      <w:color w:val="231F20"/>
                      <w:sz w:val="12"/>
                    </w:rPr>
                    <w:t>176</w:t>
                  </w:r>
                </w:p>
              </w:txbxContent>
            </v:textbox>
            <w10:wrap anchorx="page"/>
          </v:shape>
        </w:pict>
      </w:r>
      <w:r w:rsidR="00216117">
        <w:rPr>
          <w:color w:val="231F20"/>
          <w:sz w:val="12"/>
        </w:rPr>
        <w:t>kloubu mezi klíčkem a lopatkou léčeno konzervativně</w:t>
      </w:r>
    </w:p>
    <w:p w14:paraId="4A9FEFD8" w14:textId="77777777" w:rsidR="00F65BCA" w:rsidRDefault="00216117">
      <w:pPr>
        <w:spacing w:before="35"/>
        <w:ind w:left="183"/>
        <w:rPr>
          <w:sz w:val="12"/>
        </w:rPr>
      </w:pPr>
      <w:r>
        <w:rPr>
          <w:b/>
          <w:color w:val="231F20"/>
          <w:sz w:val="12"/>
        </w:rPr>
        <w:t xml:space="preserve">177 </w:t>
      </w:r>
      <w:r>
        <w:rPr>
          <w:color w:val="231F20"/>
          <w:sz w:val="12"/>
        </w:rPr>
        <w:t>kloubu mezi klíčkem a lopatkou léčeno operací</w:t>
      </w:r>
    </w:p>
    <w:p w14:paraId="74C10E60" w14:textId="77777777" w:rsidR="00F65BCA" w:rsidRDefault="00000000">
      <w:pPr>
        <w:spacing w:before="33" w:line="242" w:lineRule="auto"/>
        <w:ind w:left="455" w:right="208"/>
        <w:rPr>
          <w:sz w:val="12"/>
        </w:rPr>
      </w:pPr>
      <w:r>
        <w:pict w14:anchorId="58B0BB7E">
          <v:shape id="_x0000_s2165" type="#_x0000_t202" style="position:absolute;left:0;text-align:left;margin-left:16.2pt;margin-top:4.95pt;width:10.05pt;height:7.2pt;z-index:251956224;mso-position-horizontal-relative:page" filled="f" stroked="f">
            <v:textbox inset="0,0,0,0">
              <w:txbxContent>
                <w:p w14:paraId="43F1D68E" w14:textId="77777777" w:rsidR="00F65BCA" w:rsidRDefault="00216117">
                  <w:pPr>
                    <w:spacing w:before="4"/>
                    <w:rPr>
                      <w:b/>
                      <w:sz w:val="12"/>
                    </w:rPr>
                  </w:pPr>
                  <w:r>
                    <w:rPr>
                      <w:b/>
                      <w:color w:val="231F20"/>
                      <w:sz w:val="12"/>
                    </w:rPr>
                    <w:t>178</w:t>
                  </w:r>
                </w:p>
              </w:txbxContent>
            </v:textbox>
            <w10:wrap anchorx="page"/>
          </v:shape>
        </w:pict>
      </w:r>
      <w:r w:rsidR="00216117">
        <w:rPr>
          <w:color w:val="231F20"/>
          <w:sz w:val="12"/>
        </w:rPr>
        <w:t xml:space="preserve">kloubu horní končetiny (rameno, loket, </w:t>
      </w:r>
      <w:r w:rsidR="00216117">
        <w:rPr>
          <w:color w:val="231F20"/>
          <w:spacing w:val="-3"/>
          <w:sz w:val="12"/>
        </w:rPr>
        <w:t xml:space="preserve">zápěstí) </w:t>
      </w:r>
      <w:r w:rsidR="00216117">
        <w:rPr>
          <w:color w:val="231F20"/>
          <w:sz w:val="12"/>
        </w:rPr>
        <w:t>léčeno konzervativně</w:t>
      </w:r>
    </w:p>
    <w:p w14:paraId="2D518212" w14:textId="77777777" w:rsidR="00F65BCA" w:rsidRDefault="00000000">
      <w:pPr>
        <w:spacing w:before="33" w:line="242" w:lineRule="auto"/>
        <w:ind w:left="455" w:right="208"/>
        <w:rPr>
          <w:sz w:val="12"/>
        </w:rPr>
      </w:pPr>
      <w:r>
        <w:pict w14:anchorId="0F15C6A4">
          <v:shape id="_x0000_s2164" type="#_x0000_t202" style="position:absolute;left:0;text-align:left;margin-left:16.2pt;margin-top:4.95pt;width:10.05pt;height:7.2pt;z-index:251957248;mso-position-horizontal-relative:page" filled="f" stroked="f">
            <v:textbox inset="0,0,0,0">
              <w:txbxContent>
                <w:p w14:paraId="128DA9B3" w14:textId="77777777" w:rsidR="00F65BCA" w:rsidRDefault="00216117">
                  <w:pPr>
                    <w:spacing w:before="4"/>
                    <w:rPr>
                      <w:b/>
                      <w:sz w:val="12"/>
                    </w:rPr>
                  </w:pPr>
                  <w:r>
                    <w:rPr>
                      <w:b/>
                      <w:color w:val="231F20"/>
                      <w:sz w:val="12"/>
                    </w:rPr>
                    <w:t>179</w:t>
                  </w:r>
                </w:p>
              </w:txbxContent>
            </v:textbox>
            <w10:wrap anchorx="page"/>
          </v:shape>
        </w:pict>
      </w:r>
      <w:r w:rsidR="00216117">
        <w:rPr>
          <w:color w:val="231F20"/>
          <w:sz w:val="12"/>
        </w:rPr>
        <w:t xml:space="preserve">kloubu horní končetiny (rameno, loket, </w:t>
      </w:r>
      <w:r w:rsidR="00216117">
        <w:rPr>
          <w:color w:val="231F20"/>
          <w:spacing w:val="-3"/>
          <w:sz w:val="12"/>
        </w:rPr>
        <w:t xml:space="preserve">zápěstí) </w:t>
      </w:r>
      <w:r w:rsidR="00216117">
        <w:rPr>
          <w:color w:val="231F20"/>
          <w:sz w:val="12"/>
        </w:rPr>
        <w:t>léčeno operací</w:t>
      </w:r>
    </w:p>
    <w:p w14:paraId="2AF7B67F" w14:textId="77777777" w:rsidR="00F65BCA" w:rsidRDefault="00216117">
      <w:pPr>
        <w:spacing w:before="33"/>
        <w:ind w:left="183"/>
        <w:rPr>
          <w:sz w:val="12"/>
        </w:rPr>
      </w:pPr>
      <w:r>
        <w:rPr>
          <w:b/>
          <w:color w:val="231F20"/>
          <w:sz w:val="12"/>
        </w:rPr>
        <w:t xml:space="preserve">180 </w:t>
      </w:r>
      <w:r>
        <w:rPr>
          <w:color w:val="231F20"/>
          <w:sz w:val="12"/>
        </w:rPr>
        <w:t>jedné i více záprstních kostí</w:t>
      </w:r>
    </w:p>
    <w:p w14:paraId="7C20E453" w14:textId="77777777" w:rsidR="00F65BCA" w:rsidRDefault="00000000">
      <w:pPr>
        <w:spacing w:before="33" w:line="242" w:lineRule="auto"/>
        <w:ind w:left="455" w:right="285"/>
        <w:rPr>
          <w:sz w:val="12"/>
        </w:rPr>
      </w:pPr>
      <w:r>
        <w:pict w14:anchorId="51722A57">
          <v:shape id="_x0000_s2163" type="#_x0000_t202" style="position:absolute;left:0;text-align:left;margin-left:16.2pt;margin-top:4.95pt;width:10.05pt;height:7.2pt;z-index:251958272;mso-position-horizontal-relative:page" filled="f" stroked="f">
            <v:textbox inset="0,0,0,0">
              <w:txbxContent>
                <w:p w14:paraId="14E59F76" w14:textId="77777777" w:rsidR="00F65BCA" w:rsidRDefault="00216117">
                  <w:pPr>
                    <w:spacing w:before="4"/>
                    <w:rPr>
                      <w:b/>
                      <w:sz w:val="12"/>
                    </w:rPr>
                  </w:pPr>
                  <w:r>
                    <w:rPr>
                      <w:b/>
                      <w:color w:val="231F20"/>
                      <w:sz w:val="12"/>
                    </w:rPr>
                    <w:t>181</w:t>
                  </w:r>
                </w:p>
              </w:txbxContent>
            </v:textbox>
            <w10:wrap anchorx="page"/>
          </v:shape>
        </w:pict>
      </w:r>
      <w:r w:rsidR="00216117">
        <w:rPr>
          <w:color w:val="231F20"/>
          <w:sz w:val="12"/>
        </w:rPr>
        <w:t>základních</w:t>
      </w:r>
      <w:r w:rsidR="00216117">
        <w:rPr>
          <w:color w:val="231F20"/>
          <w:spacing w:val="-12"/>
          <w:sz w:val="12"/>
        </w:rPr>
        <w:t xml:space="preserve"> </w:t>
      </w:r>
      <w:r w:rsidR="00216117">
        <w:rPr>
          <w:color w:val="231F20"/>
          <w:sz w:val="12"/>
        </w:rPr>
        <w:t>nebo</w:t>
      </w:r>
      <w:r w:rsidR="00216117">
        <w:rPr>
          <w:color w:val="231F20"/>
          <w:spacing w:val="-11"/>
          <w:sz w:val="12"/>
        </w:rPr>
        <w:t xml:space="preserve"> </w:t>
      </w:r>
      <w:r w:rsidR="00216117">
        <w:rPr>
          <w:color w:val="231F20"/>
          <w:sz w:val="12"/>
        </w:rPr>
        <w:t>druhých</w:t>
      </w:r>
      <w:r w:rsidR="00216117">
        <w:rPr>
          <w:color w:val="231F20"/>
          <w:spacing w:val="-11"/>
          <w:sz w:val="12"/>
        </w:rPr>
        <w:t xml:space="preserve"> </w:t>
      </w:r>
      <w:r w:rsidR="00216117">
        <w:rPr>
          <w:color w:val="231F20"/>
          <w:sz w:val="12"/>
        </w:rPr>
        <w:t>a</w:t>
      </w:r>
      <w:r w:rsidR="00216117">
        <w:rPr>
          <w:color w:val="231F20"/>
          <w:spacing w:val="-11"/>
          <w:sz w:val="12"/>
        </w:rPr>
        <w:t xml:space="preserve"> </w:t>
      </w:r>
      <w:r w:rsidR="00216117">
        <w:rPr>
          <w:color w:val="231F20"/>
          <w:sz w:val="12"/>
        </w:rPr>
        <w:t>třetích</w:t>
      </w:r>
      <w:r w:rsidR="00216117">
        <w:rPr>
          <w:color w:val="231F20"/>
          <w:spacing w:val="-11"/>
          <w:sz w:val="12"/>
        </w:rPr>
        <w:t xml:space="preserve"> </w:t>
      </w:r>
      <w:r w:rsidR="00216117">
        <w:rPr>
          <w:color w:val="231F20"/>
          <w:sz w:val="12"/>
        </w:rPr>
        <w:t>článků</w:t>
      </w:r>
      <w:r w:rsidR="00216117">
        <w:rPr>
          <w:color w:val="231F20"/>
          <w:spacing w:val="-12"/>
          <w:sz w:val="12"/>
        </w:rPr>
        <w:t xml:space="preserve"> </w:t>
      </w:r>
      <w:r w:rsidR="00216117">
        <w:rPr>
          <w:color w:val="231F20"/>
          <w:spacing w:val="-4"/>
          <w:sz w:val="12"/>
        </w:rPr>
        <w:t xml:space="preserve">prstu </w:t>
      </w:r>
      <w:r w:rsidR="00216117">
        <w:rPr>
          <w:color w:val="231F20"/>
          <w:sz w:val="12"/>
        </w:rPr>
        <w:t>u jednoho</w:t>
      </w:r>
      <w:r w:rsidR="00216117">
        <w:rPr>
          <w:color w:val="231F20"/>
          <w:spacing w:val="-1"/>
          <w:sz w:val="12"/>
        </w:rPr>
        <w:t xml:space="preserve"> </w:t>
      </w:r>
      <w:r w:rsidR="00216117">
        <w:rPr>
          <w:color w:val="231F20"/>
          <w:sz w:val="12"/>
        </w:rPr>
        <w:t>prstu</w:t>
      </w:r>
    </w:p>
    <w:p w14:paraId="14E43B37" w14:textId="77777777" w:rsidR="00F65BCA" w:rsidRDefault="00000000">
      <w:pPr>
        <w:spacing w:before="33" w:line="242" w:lineRule="auto"/>
        <w:ind w:left="455" w:right="285"/>
        <w:rPr>
          <w:sz w:val="12"/>
        </w:rPr>
      </w:pPr>
      <w:r>
        <w:pict w14:anchorId="23CF1E41">
          <v:shape id="_x0000_s2162" type="#_x0000_t202" style="position:absolute;left:0;text-align:left;margin-left:16.2pt;margin-top:4.95pt;width:10.05pt;height:7.2pt;z-index:251959296;mso-position-horizontal-relative:page" filled="f" stroked="f">
            <v:textbox inset="0,0,0,0">
              <w:txbxContent>
                <w:p w14:paraId="070356A7" w14:textId="77777777" w:rsidR="00F65BCA" w:rsidRDefault="00216117">
                  <w:pPr>
                    <w:spacing w:before="4"/>
                    <w:rPr>
                      <w:b/>
                      <w:sz w:val="12"/>
                    </w:rPr>
                  </w:pPr>
                  <w:r>
                    <w:rPr>
                      <w:b/>
                      <w:color w:val="231F20"/>
                      <w:sz w:val="12"/>
                    </w:rPr>
                    <w:t>182</w:t>
                  </w:r>
                </w:p>
              </w:txbxContent>
            </v:textbox>
            <w10:wrap anchorx="page"/>
          </v:shape>
        </w:pict>
      </w:r>
      <w:r w:rsidR="00216117">
        <w:rPr>
          <w:color w:val="231F20"/>
          <w:sz w:val="12"/>
        </w:rPr>
        <w:t>základních</w:t>
      </w:r>
      <w:r w:rsidR="00216117">
        <w:rPr>
          <w:color w:val="231F20"/>
          <w:spacing w:val="-12"/>
          <w:sz w:val="12"/>
        </w:rPr>
        <w:t xml:space="preserve"> </w:t>
      </w:r>
      <w:r w:rsidR="00216117">
        <w:rPr>
          <w:color w:val="231F20"/>
          <w:sz w:val="12"/>
        </w:rPr>
        <w:t>nebo</w:t>
      </w:r>
      <w:r w:rsidR="00216117">
        <w:rPr>
          <w:color w:val="231F20"/>
          <w:spacing w:val="-11"/>
          <w:sz w:val="12"/>
        </w:rPr>
        <w:t xml:space="preserve"> </w:t>
      </w:r>
      <w:r w:rsidR="00216117">
        <w:rPr>
          <w:color w:val="231F20"/>
          <w:sz w:val="12"/>
        </w:rPr>
        <w:t>druhých</w:t>
      </w:r>
      <w:r w:rsidR="00216117">
        <w:rPr>
          <w:color w:val="231F20"/>
          <w:spacing w:val="-11"/>
          <w:sz w:val="12"/>
        </w:rPr>
        <w:t xml:space="preserve"> </w:t>
      </w:r>
      <w:r w:rsidR="00216117">
        <w:rPr>
          <w:color w:val="231F20"/>
          <w:sz w:val="12"/>
        </w:rPr>
        <w:t>a</w:t>
      </w:r>
      <w:r w:rsidR="00216117">
        <w:rPr>
          <w:color w:val="231F20"/>
          <w:spacing w:val="-11"/>
          <w:sz w:val="12"/>
        </w:rPr>
        <w:t xml:space="preserve"> </w:t>
      </w:r>
      <w:r w:rsidR="00216117">
        <w:rPr>
          <w:color w:val="231F20"/>
          <w:sz w:val="12"/>
        </w:rPr>
        <w:t>třetích</w:t>
      </w:r>
      <w:r w:rsidR="00216117">
        <w:rPr>
          <w:color w:val="231F20"/>
          <w:spacing w:val="-11"/>
          <w:sz w:val="12"/>
        </w:rPr>
        <w:t xml:space="preserve"> </w:t>
      </w:r>
      <w:r w:rsidR="00216117">
        <w:rPr>
          <w:color w:val="231F20"/>
          <w:sz w:val="12"/>
        </w:rPr>
        <w:t>článků</w:t>
      </w:r>
      <w:r w:rsidR="00216117">
        <w:rPr>
          <w:color w:val="231F20"/>
          <w:spacing w:val="-12"/>
          <w:sz w:val="12"/>
        </w:rPr>
        <w:t xml:space="preserve"> </w:t>
      </w:r>
      <w:r w:rsidR="00216117">
        <w:rPr>
          <w:color w:val="231F20"/>
          <w:spacing w:val="-4"/>
          <w:sz w:val="12"/>
        </w:rPr>
        <w:t xml:space="preserve">prstu </w:t>
      </w:r>
      <w:r w:rsidR="00216117">
        <w:rPr>
          <w:color w:val="231F20"/>
          <w:sz w:val="12"/>
        </w:rPr>
        <w:t>u několika</w:t>
      </w:r>
      <w:r w:rsidR="00216117">
        <w:rPr>
          <w:color w:val="231F20"/>
          <w:spacing w:val="-1"/>
          <w:sz w:val="12"/>
        </w:rPr>
        <w:t xml:space="preserve"> </w:t>
      </w:r>
      <w:r w:rsidR="00216117">
        <w:rPr>
          <w:color w:val="231F20"/>
          <w:sz w:val="12"/>
        </w:rPr>
        <w:t>prstů</w:t>
      </w:r>
    </w:p>
    <w:p w14:paraId="12C07896" w14:textId="77777777" w:rsidR="00F65BCA" w:rsidRDefault="00216117">
      <w:pPr>
        <w:spacing w:before="35"/>
        <w:ind w:left="1509"/>
        <w:rPr>
          <w:b/>
          <w:sz w:val="12"/>
        </w:rPr>
      </w:pPr>
      <w:r>
        <w:rPr>
          <w:b/>
          <w:color w:val="231F20"/>
          <w:sz w:val="12"/>
        </w:rPr>
        <w:t>Zlomeniny</w:t>
      </w:r>
    </w:p>
    <w:p w14:paraId="7CDED088" w14:textId="77777777" w:rsidR="00F65BCA" w:rsidRDefault="00216117">
      <w:pPr>
        <w:pStyle w:val="Odstavecseseznamem"/>
        <w:numPr>
          <w:ilvl w:val="0"/>
          <w:numId w:val="65"/>
        </w:numPr>
        <w:tabs>
          <w:tab w:val="left" w:pos="456"/>
        </w:tabs>
        <w:spacing w:before="37"/>
        <w:ind w:hanging="273"/>
        <w:rPr>
          <w:sz w:val="12"/>
        </w:rPr>
      </w:pPr>
      <w:r>
        <w:rPr>
          <w:color w:val="231F20"/>
          <w:sz w:val="12"/>
        </w:rPr>
        <w:t>Zlomenina lopatky bez rozlišení</w:t>
      </w:r>
      <w:r>
        <w:rPr>
          <w:color w:val="231F20"/>
          <w:spacing w:val="-21"/>
          <w:sz w:val="12"/>
        </w:rPr>
        <w:t xml:space="preserve"> </w:t>
      </w:r>
      <w:r>
        <w:rPr>
          <w:color w:val="231F20"/>
          <w:sz w:val="12"/>
        </w:rPr>
        <w:t>lokalizace</w:t>
      </w:r>
    </w:p>
    <w:p w14:paraId="0AF2DA89" w14:textId="77777777" w:rsidR="00F65BCA" w:rsidRDefault="00216117">
      <w:pPr>
        <w:spacing w:before="38"/>
        <w:ind w:left="455"/>
        <w:rPr>
          <w:b/>
          <w:sz w:val="12"/>
        </w:rPr>
      </w:pPr>
      <w:r>
        <w:rPr>
          <w:b/>
          <w:color w:val="231F20"/>
          <w:sz w:val="12"/>
        </w:rPr>
        <w:t>Zlomenina klíčku</w:t>
      </w:r>
    </w:p>
    <w:p w14:paraId="21B66741" w14:textId="77777777" w:rsidR="00F65BCA" w:rsidRDefault="00216117">
      <w:pPr>
        <w:pStyle w:val="Odstavecseseznamem"/>
        <w:numPr>
          <w:ilvl w:val="0"/>
          <w:numId w:val="65"/>
        </w:numPr>
        <w:tabs>
          <w:tab w:val="left" w:pos="456"/>
        </w:tabs>
        <w:spacing w:before="38"/>
        <w:ind w:hanging="273"/>
        <w:rPr>
          <w:sz w:val="12"/>
        </w:rPr>
      </w:pPr>
      <w:r>
        <w:rPr>
          <w:color w:val="231F20"/>
          <w:sz w:val="12"/>
        </w:rPr>
        <w:t>neúplná, úplná léčená</w:t>
      </w:r>
      <w:r>
        <w:rPr>
          <w:color w:val="231F20"/>
          <w:spacing w:val="-9"/>
          <w:sz w:val="12"/>
        </w:rPr>
        <w:t xml:space="preserve"> </w:t>
      </w:r>
      <w:r>
        <w:rPr>
          <w:color w:val="231F20"/>
          <w:sz w:val="12"/>
        </w:rPr>
        <w:t>konzervativně</w:t>
      </w:r>
    </w:p>
    <w:p w14:paraId="6DA3E5E7" w14:textId="77777777" w:rsidR="00F65BCA" w:rsidRDefault="00216117">
      <w:pPr>
        <w:pStyle w:val="Odstavecseseznamem"/>
        <w:numPr>
          <w:ilvl w:val="0"/>
          <w:numId w:val="65"/>
        </w:numPr>
        <w:tabs>
          <w:tab w:val="left" w:pos="456"/>
        </w:tabs>
        <w:spacing w:before="38"/>
        <w:ind w:hanging="273"/>
        <w:rPr>
          <w:sz w:val="12"/>
        </w:rPr>
      </w:pPr>
      <w:r>
        <w:rPr>
          <w:color w:val="231F20"/>
          <w:sz w:val="12"/>
        </w:rPr>
        <w:t>otevřená nebo</w:t>
      </w:r>
      <w:r>
        <w:rPr>
          <w:color w:val="231F20"/>
          <w:spacing w:val="-3"/>
          <w:sz w:val="12"/>
        </w:rPr>
        <w:t xml:space="preserve"> </w:t>
      </w:r>
      <w:r>
        <w:rPr>
          <w:color w:val="231F20"/>
          <w:sz w:val="12"/>
        </w:rPr>
        <w:t>operovaná</w:t>
      </w:r>
    </w:p>
    <w:p w14:paraId="43B7BF16" w14:textId="77777777" w:rsidR="00F65BCA" w:rsidRDefault="00216117">
      <w:pPr>
        <w:spacing w:before="37"/>
        <w:ind w:left="455"/>
        <w:rPr>
          <w:b/>
          <w:sz w:val="12"/>
        </w:rPr>
      </w:pPr>
      <w:r>
        <w:rPr>
          <w:b/>
          <w:color w:val="231F20"/>
          <w:sz w:val="12"/>
        </w:rPr>
        <w:t>Zlomenina horního konce kosti pažní</w:t>
      </w:r>
    </w:p>
    <w:p w14:paraId="7B2A85AE" w14:textId="77777777" w:rsidR="00F65BCA" w:rsidRDefault="00216117">
      <w:pPr>
        <w:pStyle w:val="Odstavecseseznamem"/>
        <w:numPr>
          <w:ilvl w:val="0"/>
          <w:numId w:val="65"/>
        </w:numPr>
        <w:tabs>
          <w:tab w:val="left" w:pos="456"/>
        </w:tabs>
        <w:spacing w:before="38"/>
        <w:rPr>
          <w:sz w:val="12"/>
        </w:rPr>
      </w:pPr>
      <w:r>
        <w:rPr>
          <w:color w:val="231F20"/>
          <w:sz w:val="12"/>
        </w:rPr>
        <w:t>velkého</w:t>
      </w:r>
      <w:r>
        <w:rPr>
          <w:color w:val="231F20"/>
          <w:spacing w:val="-8"/>
          <w:sz w:val="12"/>
        </w:rPr>
        <w:t xml:space="preserve"> </w:t>
      </w:r>
      <w:r>
        <w:rPr>
          <w:color w:val="231F20"/>
          <w:sz w:val="12"/>
        </w:rPr>
        <w:t>hrbolku</w:t>
      </w:r>
      <w:r>
        <w:rPr>
          <w:color w:val="231F20"/>
          <w:spacing w:val="-8"/>
          <w:sz w:val="12"/>
        </w:rPr>
        <w:t xml:space="preserve"> </w:t>
      </w:r>
      <w:r>
        <w:rPr>
          <w:color w:val="231F20"/>
          <w:sz w:val="12"/>
        </w:rPr>
        <w:t>(i</w:t>
      </w:r>
      <w:r>
        <w:rPr>
          <w:color w:val="231F20"/>
          <w:spacing w:val="-8"/>
          <w:sz w:val="12"/>
        </w:rPr>
        <w:t xml:space="preserve"> </w:t>
      </w:r>
      <w:r>
        <w:rPr>
          <w:color w:val="231F20"/>
          <w:sz w:val="12"/>
        </w:rPr>
        <w:t>odlomení)</w:t>
      </w:r>
      <w:r>
        <w:rPr>
          <w:color w:val="231F20"/>
          <w:spacing w:val="-8"/>
          <w:sz w:val="12"/>
        </w:rPr>
        <w:t xml:space="preserve"> </w:t>
      </w:r>
      <w:r>
        <w:rPr>
          <w:color w:val="231F20"/>
          <w:sz w:val="12"/>
        </w:rPr>
        <w:t>bez</w:t>
      </w:r>
      <w:r>
        <w:rPr>
          <w:color w:val="231F20"/>
          <w:spacing w:val="-8"/>
          <w:sz w:val="12"/>
        </w:rPr>
        <w:t xml:space="preserve"> </w:t>
      </w:r>
      <w:r>
        <w:rPr>
          <w:color w:val="231F20"/>
          <w:sz w:val="12"/>
        </w:rPr>
        <w:t>posunu</w:t>
      </w:r>
      <w:r>
        <w:rPr>
          <w:color w:val="231F20"/>
          <w:spacing w:val="-8"/>
          <w:sz w:val="12"/>
        </w:rPr>
        <w:t xml:space="preserve"> </w:t>
      </w:r>
      <w:r>
        <w:rPr>
          <w:color w:val="231F20"/>
          <w:sz w:val="12"/>
        </w:rPr>
        <w:t>úlomků</w:t>
      </w:r>
    </w:p>
    <w:p w14:paraId="29576A7C" w14:textId="77777777" w:rsidR="00F65BCA" w:rsidRDefault="00000000">
      <w:pPr>
        <w:spacing w:before="36" w:line="242" w:lineRule="auto"/>
        <w:ind w:left="455" w:right="236"/>
        <w:rPr>
          <w:sz w:val="12"/>
        </w:rPr>
      </w:pPr>
      <w:r>
        <w:pict w14:anchorId="5BC86480">
          <v:shape id="_x0000_s2161" type="#_x0000_t202" style="position:absolute;left:0;text-align:left;margin-left:16.2pt;margin-top:5.1pt;width:10.05pt;height:7.2pt;z-index:251960320;mso-position-horizontal-relative:page" filled="f" stroked="f">
            <v:textbox inset="0,0,0,0">
              <w:txbxContent>
                <w:p w14:paraId="35540009" w14:textId="77777777" w:rsidR="00F65BCA" w:rsidRDefault="00216117">
                  <w:pPr>
                    <w:spacing w:before="4"/>
                    <w:rPr>
                      <w:b/>
                      <w:sz w:val="12"/>
                    </w:rPr>
                  </w:pPr>
                  <w:r>
                    <w:rPr>
                      <w:b/>
                      <w:color w:val="231F20"/>
                      <w:sz w:val="12"/>
                    </w:rPr>
                    <w:t>187</w:t>
                  </w:r>
                </w:p>
              </w:txbxContent>
            </v:textbox>
            <w10:wrap anchorx="page"/>
          </v:shape>
        </w:pict>
      </w:r>
      <w:r w:rsidR="00216117">
        <w:rPr>
          <w:color w:val="231F20"/>
          <w:sz w:val="12"/>
        </w:rPr>
        <w:t>velkého</w:t>
      </w:r>
      <w:r w:rsidR="00216117">
        <w:rPr>
          <w:color w:val="231F20"/>
          <w:spacing w:val="-15"/>
          <w:sz w:val="12"/>
        </w:rPr>
        <w:t xml:space="preserve"> </w:t>
      </w:r>
      <w:r w:rsidR="00216117">
        <w:rPr>
          <w:color w:val="231F20"/>
          <w:sz w:val="12"/>
        </w:rPr>
        <w:t>hrbolku</w:t>
      </w:r>
      <w:r w:rsidR="00216117">
        <w:rPr>
          <w:color w:val="231F20"/>
          <w:spacing w:val="-14"/>
          <w:sz w:val="12"/>
        </w:rPr>
        <w:t xml:space="preserve"> </w:t>
      </w:r>
      <w:r w:rsidR="00216117">
        <w:rPr>
          <w:color w:val="231F20"/>
          <w:sz w:val="12"/>
        </w:rPr>
        <w:t>(i</w:t>
      </w:r>
      <w:r w:rsidR="00216117">
        <w:rPr>
          <w:color w:val="231F20"/>
          <w:spacing w:val="-15"/>
          <w:sz w:val="12"/>
        </w:rPr>
        <w:t xml:space="preserve"> </w:t>
      </w:r>
      <w:r w:rsidR="00216117">
        <w:rPr>
          <w:color w:val="231F20"/>
          <w:sz w:val="12"/>
        </w:rPr>
        <w:t>odlomení)</w:t>
      </w:r>
      <w:r w:rsidR="00216117">
        <w:rPr>
          <w:color w:val="231F20"/>
          <w:spacing w:val="-14"/>
          <w:sz w:val="12"/>
        </w:rPr>
        <w:t xml:space="preserve"> </w:t>
      </w:r>
      <w:r w:rsidR="00216117">
        <w:rPr>
          <w:color w:val="231F20"/>
          <w:sz w:val="12"/>
        </w:rPr>
        <w:t>s</w:t>
      </w:r>
      <w:r w:rsidR="00216117">
        <w:rPr>
          <w:color w:val="231F20"/>
          <w:spacing w:val="-15"/>
          <w:sz w:val="12"/>
        </w:rPr>
        <w:t xml:space="preserve"> </w:t>
      </w:r>
      <w:r w:rsidR="00216117">
        <w:rPr>
          <w:color w:val="231F20"/>
          <w:sz w:val="12"/>
        </w:rPr>
        <w:t>posunem</w:t>
      </w:r>
      <w:r w:rsidR="00216117">
        <w:rPr>
          <w:color w:val="231F20"/>
          <w:spacing w:val="-14"/>
          <w:sz w:val="12"/>
        </w:rPr>
        <w:t xml:space="preserve"> </w:t>
      </w:r>
      <w:r w:rsidR="00216117">
        <w:rPr>
          <w:color w:val="231F20"/>
          <w:spacing w:val="-3"/>
          <w:sz w:val="12"/>
        </w:rPr>
        <w:t xml:space="preserve">úlomků </w:t>
      </w:r>
      <w:r w:rsidR="00216117">
        <w:rPr>
          <w:color w:val="231F20"/>
          <w:sz w:val="12"/>
        </w:rPr>
        <w:t>nebo</w:t>
      </w:r>
      <w:r w:rsidR="00216117">
        <w:rPr>
          <w:color w:val="231F20"/>
          <w:spacing w:val="-1"/>
          <w:sz w:val="12"/>
        </w:rPr>
        <w:t xml:space="preserve"> </w:t>
      </w:r>
      <w:r w:rsidR="00216117">
        <w:rPr>
          <w:color w:val="231F20"/>
          <w:sz w:val="12"/>
        </w:rPr>
        <w:t>operovaná</w:t>
      </w:r>
    </w:p>
    <w:p w14:paraId="199CDDB5" w14:textId="77777777" w:rsidR="00F65BCA" w:rsidRDefault="00216117">
      <w:pPr>
        <w:pStyle w:val="Odstavecseseznamem"/>
        <w:numPr>
          <w:ilvl w:val="0"/>
          <w:numId w:val="64"/>
        </w:numPr>
        <w:tabs>
          <w:tab w:val="left" w:pos="456"/>
        </w:tabs>
        <w:spacing w:before="38"/>
        <w:ind w:hanging="273"/>
        <w:rPr>
          <w:sz w:val="12"/>
        </w:rPr>
      </w:pPr>
      <w:r>
        <w:rPr>
          <w:color w:val="231F20"/>
          <w:sz w:val="12"/>
        </w:rPr>
        <w:t>hlavice</w:t>
      </w:r>
    </w:p>
    <w:p w14:paraId="31F2273F" w14:textId="77777777" w:rsidR="00F65BCA" w:rsidRDefault="00216117">
      <w:pPr>
        <w:pStyle w:val="Odstavecseseznamem"/>
        <w:numPr>
          <w:ilvl w:val="0"/>
          <w:numId w:val="64"/>
        </w:numPr>
        <w:tabs>
          <w:tab w:val="left" w:pos="456"/>
        </w:tabs>
        <w:spacing w:before="43"/>
        <w:ind w:hanging="273"/>
        <w:rPr>
          <w:sz w:val="12"/>
        </w:rPr>
      </w:pPr>
      <w:r>
        <w:rPr>
          <w:color w:val="231F20"/>
          <w:spacing w:val="-4"/>
          <w:sz w:val="12"/>
        </w:rPr>
        <w:t>krčku</w:t>
      </w:r>
      <w:r>
        <w:rPr>
          <w:color w:val="231F20"/>
          <w:spacing w:val="-11"/>
          <w:sz w:val="12"/>
        </w:rPr>
        <w:t xml:space="preserve"> </w:t>
      </w:r>
      <w:r>
        <w:rPr>
          <w:color w:val="231F20"/>
          <w:spacing w:val="-3"/>
          <w:sz w:val="12"/>
        </w:rPr>
        <w:t>bez</w:t>
      </w:r>
      <w:r>
        <w:rPr>
          <w:color w:val="231F20"/>
          <w:spacing w:val="-10"/>
          <w:sz w:val="12"/>
        </w:rPr>
        <w:t xml:space="preserve"> </w:t>
      </w:r>
      <w:r>
        <w:rPr>
          <w:color w:val="231F20"/>
          <w:spacing w:val="-4"/>
          <w:sz w:val="12"/>
        </w:rPr>
        <w:t>posunu,</w:t>
      </w:r>
      <w:r>
        <w:rPr>
          <w:color w:val="231F20"/>
          <w:spacing w:val="-10"/>
          <w:sz w:val="12"/>
        </w:rPr>
        <w:t xml:space="preserve"> </w:t>
      </w:r>
      <w:r>
        <w:rPr>
          <w:color w:val="231F20"/>
          <w:sz w:val="12"/>
        </w:rPr>
        <w:t>s</w:t>
      </w:r>
      <w:r>
        <w:rPr>
          <w:color w:val="231F20"/>
          <w:spacing w:val="-11"/>
          <w:sz w:val="12"/>
        </w:rPr>
        <w:t xml:space="preserve"> </w:t>
      </w:r>
      <w:r>
        <w:rPr>
          <w:color w:val="231F20"/>
          <w:spacing w:val="-4"/>
          <w:sz w:val="12"/>
        </w:rPr>
        <w:t>posunem</w:t>
      </w:r>
      <w:r>
        <w:rPr>
          <w:color w:val="231F20"/>
          <w:spacing w:val="-10"/>
          <w:sz w:val="12"/>
        </w:rPr>
        <w:t xml:space="preserve"> </w:t>
      </w:r>
      <w:r>
        <w:rPr>
          <w:color w:val="231F20"/>
          <w:spacing w:val="-3"/>
          <w:sz w:val="12"/>
        </w:rPr>
        <w:t>nebo</w:t>
      </w:r>
      <w:r>
        <w:rPr>
          <w:color w:val="231F20"/>
          <w:spacing w:val="-10"/>
          <w:sz w:val="12"/>
        </w:rPr>
        <w:t xml:space="preserve"> </w:t>
      </w:r>
      <w:r>
        <w:rPr>
          <w:color w:val="231F20"/>
          <w:spacing w:val="-4"/>
          <w:sz w:val="12"/>
        </w:rPr>
        <w:t>zaklíněná</w:t>
      </w:r>
    </w:p>
    <w:p w14:paraId="31D86219" w14:textId="77777777" w:rsidR="00F65BCA" w:rsidRDefault="00216117">
      <w:pPr>
        <w:pStyle w:val="Odstavecseseznamem"/>
        <w:numPr>
          <w:ilvl w:val="0"/>
          <w:numId w:val="64"/>
        </w:numPr>
        <w:tabs>
          <w:tab w:val="left" w:pos="456"/>
        </w:tabs>
        <w:spacing w:before="44"/>
        <w:ind w:hanging="273"/>
        <w:rPr>
          <w:sz w:val="12"/>
        </w:rPr>
      </w:pPr>
      <w:r>
        <w:rPr>
          <w:color w:val="231F20"/>
          <w:sz w:val="12"/>
        </w:rPr>
        <w:t>krčku luxační nebo</w:t>
      </w:r>
      <w:r>
        <w:rPr>
          <w:color w:val="231F20"/>
          <w:spacing w:val="-5"/>
          <w:sz w:val="12"/>
        </w:rPr>
        <w:t xml:space="preserve"> </w:t>
      </w:r>
      <w:r>
        <w:rPr>
          <w:color w:val="231F20"/>
          <w:sz w:val="12"/>
        </w:rPr>
        <w:t>operovaná</w:t>
      </w:r>
    </w:p>
    <w:p w14:paraId="55381420" w14:textId="77777777" w:rsidR="00F65BCA" w:rsidRDefault="00216117">
      <w:pPr>
        <w:spacing w:before="52"/>
        <w:ind w:left="455"/>
        <w:rPr>
          <w:b/>
          <w:sz w:val="12"/>
        </w:rPr>
      </w:pPr>
      <w:r>
        <w:rPr>
          <w:b/>
          <w:color w:val="231F20"/>
          <w:sz w:val="12"/>
        </w:rPr>
        <w:t>Zlomenina těla kosti</w:t>
      </w:r>
      <w:r>
        <w:rPr>
          <w:b/>
          <w:color w:val="231F20"/>
          <w:spacing w:val="5"/>
          <w:sz w:val="12"/>
        </w:rPr>
        <w:t xml:space="preserve"> </w:t>
      </w:r>
      <w:r>
        <w:rPr>
          <w:b/>
          <w:color w:val="231F20"/>
          <w:sz w:val="12"/>
        </w:rPr>
        <w:t>pažní</w:t>
      </w:r>
    </w:p>
    <w:p w14:paraId="6368EE8F" w14:textId="77777777" w:rsidR="00F65BCA" w:rsidRDefault="00216117">
      <w:pPr>
        <w:pStyle w:val="Odstavecseseznamem"/>
        <w:numPr>
          <w:ilvl w:val="0"/>
          <w:numId w:val="64"/>
        </w:numPr>
        <w:tabs>
          <w:tab w:val="left" w:pos="456"/>
        </w:tabs>
        <w:spacing w:before="52"/>
        <w:ind w:hanging="273"/>
        <w:rPr>
          <w:sz w:val="12"/>
        </w:rPr>
      </w:pPr>
      <w:r>
        <w:rPr>
          <w:color w:val="231F20"/>
          <w:w w:val="95"/>
          <w:sz w:val="12"/>
        </w:rPr>
        <w:t>léčená</w:t>
      </w:r>
      <w:r>
        <w:rPr>
          <w:color w:val="231F20"/>
          <w:spacing w:val="2"/>
          <w:w w:val="95"/>
          <w:sz w:val="12"/>
        </w:rPr>
        <w:t xml:space="preserve"> </w:t>
      </w:r>
      <w:r>
        <w:rPr>
          <w:color w:val="231F20"/>
          <w:w w:val="95"/>
          <w:sz w:val="12"/>
        </w:rPr>
        <w:t>konzervativně</w:t>
      </w:r>
    </w:p>
    <w:p w14:paraId="4B94C31C" w14:textId="77777777" w:rsidR="00F65BCA" w:rsidRDefault="00216117">
      <w:pPr>
        <w:pStyle w:val="Odstavecseseznamem"/>
        <w:numPr>
          <w:ilvl w:val="0"/>
          <w:numId w:val="64"/>
        </w:numPr>
        <w:tabs>
          <w:tab w:val="left" w:pos="456"/>
        </w:tabs>
        <w:spacing w:before="43"/>
        <w:ind w:hanging="273"/>
        <w:rPr>
          <w:sz w:val="12"/>
        </w:rPr>
      </w:pPr>
      <w:r>
        <w:rPr>
          <w:color w:val="231F20"/>
          <w:sz w:val="12"/>
        </w:rPr>
        <w:t>otevřená nebo</w:t>
      </w:r>
      <w:r>
        <w:rPr>
          <w:color w:val="231F20"/>
          <w:spacing w:val="-3"/>
          <w:sz w:val="12"/>
        </w:rPr>
        <w:t xml:space="preserve"> </w:t>
      </w:r>
      <w:r>
        <w:rPr>
          <w:color w:val="231F20"/>
          <w:sz w:val="12"/>
        </w:rPr>
        <w:t>operovaná</w:t>
      </w:r>
    </w:p>
    <w:p w14:paraId="250DD6E0" w14:textId="77777777" w:rsidR="00F65BCA" w:rsidRDefault="00216117">
      <w:pPr>
        <w:spacing w:before="52"/>
        <w:ind w:left="455"/>
        <w:rPr>
          <w:b/>
          <w:sz w:val="12"/>
        </w:rPr>
      </w:pPr>
      <w:r>
        <w:rPr>
          <w:b/>
          <w:color w:val="231F20"/>
          <w:sz w:val="12"/>
        </w:rPr>
        <w:t>Zlomenina dolního konce kosti pažní</w:t>
      </w:r>
    </w:p>
    <w:p w14:paraId="1EF910B7" w14:textId="77777777" w:rsidR="00F65BCA" w:rsidRDefault="00216117">
      <w:pPr>
        <w:pStyle w:val="Odstavecseseznamem"/>
        <w:numPr>
          <w:ilvl w:val="0"/>
          <w:numId w:val="64"/>
        </w:numPr>
        <w:tabs>
          <w:tab w:val="left" w:pos="456"/>
        </w:tabs>
        <w:spacing w:before="52"/>
        <w:ind w:hanging="273"/>
        <w:rPr>
          <w:sz w:val="12"/>
        </w:rPr>
      </w:pPr>
      <w:r>
        <w:rPr>
          <w:color w:val="231F20"/>
          <w:sz w:val="12"/>
        </w:rPr>
        <w:t>nad kondyly léčená</w:t>
      </w:r>
      <w:r>
        <w:rPr>
          <w:color w:val="231F20"/>
          <w:spacing w:val="-7"/>
          <w:sz w:val="12"/>
        </w:rPr>
        <w:t xml:space="preserve"> </w:t>
      </w:r>
      <w:r>
        <w:rPr>
          <w:color w:val="231F20"/>
          <w:sz w:val="12"/>
        </w:rPr>
        <w:t>konzervativně</w:t>
      </w:r>
    </w:p>
    <w:p w14:paraId="5402FEF1" w14:textId="77777777" w:rsidR="00F65BCA" w:rsidRDefault="00216117">
      <w:pPr>
        <w:pStyle w:val="Odstavecseseznamem"/>
        <w:numPr>
          <w:ilvl w:val="0"/>
          <w:numId w:val="64"/>
        </w:numPr>
        <w:tabs>
          <w:tab w:val="left" w:pos="456"/>
        </w:tabs>
        <w:spacing w:before="43"/>
        <w:ind w:hanging="273"/>
        <w:rPr>
          <w:sz w:val="12"/>
        </w:rPr>
      </w:pPr>
      <w:r>
        <w:rPr>
          <w:color w:val="231F20"/>
          <w:sz w:val="12"/>
        </w:rPr>
        <w:t>nad kondyly otevřená nebo léčená</w:t>
      </w:r>
      <w:r>
        <w:rPr>
          <w:color w:val="231F20"/>
          <w:spacing w:val="-20"/>
          <w:sz w:val="12"/>
        </w:rPr>
        <w:t xml:space="preserve"> </w:t>
      </w:r>
      <w:r>
        <w:rPr>
          <w:color w:val="231F20"/>
          <w:sz w:val="12"/>
        </w:rPr>
        <w:t>operací</w:t>
      </w:r>
    </w:p>
    <w:p w14:paraId="11FB41D0" w14:textId="77777777" w:rsidR="00F65BCA" w:rsidRDefault="00216117">
      <w:pPr>
        <w:pStyle w:val="Odstavecseseznamem"/>
        <w:numPr>
          <w:ilvl w:val="0"/>
          <w:numId w:val="64"/>
        </w:numPr>
        <w:tabs>
          <w:tab w:val="left" w:pos="467"/>
        </w:tabs>
        <w:spacing w:before="36" w:line="242" w:lineRule="auto"/>
        <w:ind w:left="466" w:right="477" w:hanging="282"/>
        <w:rPr>
          <w:sz w:val="12"/>
        </w:rPr>
      </w:pPr>
      <w:r>
        <w:rPr>
          <w:color w:val="231F20"/>
          <w:w w:val="95"/>
          <w:sz w:val="12"/>
        </w:rPr>
        <w:t xml:space="preserve">nitrokloubní (trans a interkondylická) </w:t>
      </w:r>
      <w:r>
        <w:rPr>
          <w:color w:val="231F20"/>
          <w:spacing w:val="-3"/>
          <w:w w:val="95"/>
          <w:sz w:val="12"/>
        </w:rPr>
        <w:t xml:space="preserve">léčená </w:t>
      </w:r>
      <w:r>
        <w:rPr>
          <w:color w:val="231F20"/>
          <w:sz w:val="12"/>
        </w:rPr>
        <w:t>konzervativně</w:t>
      </w:r>
    </w:p>
    <w:p w14:paraId="6F188F5E" w14:textId="77777777" w:rsidR="00F65BCA" w:rsidRDefault="00216117">
      <w:pPr>
        <w:pStyle w:val="Odstavecseseznamem"/>
        <w:numPr>
          <w:ilvl w:val="0"/>
          <w:numId w:val="64"/>
        </w:numPr>
        <w:tabs>
          <w:tab w:val="left" w:pos="456"/>
        </w:tabs>
        <w:spacing w:before="47" w:line="208" w:lineRule="auto"/>
        <w:ind w:right="84"/>
        <w:rPr>
          <w:sz w:val="12"/>
        </w:rPr>
      </w:pPr>
      <w:r>
        <w:rPr>
          <w:color w:val="231F20"/>
          <w:sz w:val="12"/>
        </w:rPr>
        <w:t>nitrokloubní</w:t>
      </w:r>
      <w:r>
        <w:rPr>
          <w:color w:val="231F20"/>
          <w:spacing w:val="-21"/>
          <w:sz w:val="12"/>
        </w:rPr>
        <w:t xml:space="preserve"> </w:t>
      </w:r>
      <w:r>
        <w:rPr>
          <w:color w:val="231F20"/>
          <w:sz w:val="12"/>
        </w:rPr>
        <w:t>(trans</w:t>
      </w:r>
      <w:r>
        <w:rPr>
          <w:color w:val="231F20"/>
          <w:spacing w:val="-21"/>
          <w:sz w:val="12"/>
        </w:rPr>
        <w:t xml:space="preserve"> </w:t>
      </w:r>
      <w:r>
        <w:rPr>
          <w:color w:val="231F20"/>
          <w:sz w:val="12"/>
        </w:rPr>
        <w:t>a</w:t>
      </w:r>
      <w:r>
        <w:rPr>
          <w:color w:val="231F20"/>
          <w:spacing w:val="-21"/>
          <w:sz w:val="12"/>
        </w:rPr>
        <w:t xml:space="preserve"> </w:t>
      </w:r>
      <w:r>
        <w:rPr>
          <w:color w:val="231F20"/>
          <w:sz w:val="12"/>
        </w:rPr>
        <w:t>interkondylická)</w:t>
      </w:r>
      <w:r>
        <w:rPr>
          <w:color w:val="231F20"/>
          <w:spacing w:val="-21"/>
          <w:sz w:val="12"/>
        </w:rPr>
        <w:t xml:space="preserve"> </w:t>
      </w:r>
      <w:r>
        <w:rPr>
          <w:color w:val="231F20"/>
          <w:sz w:val="12"/>
        </w:rPr>
        <w:t>otevřená</w:t>
      </w:r>
      <w:r>
        <w:rPr>
          <w:color w:val="231F20"/>
          <w:spacing w:val="-21"/>
          <w:sz w:val="12"/>
        </w:rPr>
        <w:t xml:space="preserve"> </w:t>
      </w:r>
      <w:r>
        <w:rPr>
          <w:color w:val="231F20"/>
          <w:spacing w:val="-4"/>
          <w:sz w:val="12"/>
        </w:rPr>
        <w:t xml:space="preserve">nebo </w:t>
      </w:r>
      <w:r>
        <w:rPr>
          <w:color w:val="231F20"/>
          <w:sz w:val="12"/>
        </w:rPr>
        <w:t>operovaná</w:t>
      </w:r>
    </w:p>
    <w:p w14:paraId="1C40FBF1" w14:textId="77777777" w:rsidR="00F65BCA" w:rsidRDefault="00000000">
      <w:pPr>
        <w:spacing w:before="85" w:line="208" w:lineRule="auto"/>
        <w:ind w:left="455" w:right="488"/>
        <w:rPr>
          <w:sz w:val="12"/>
        </w:rPr>
      </w:pPr>
      <w:r>
        <w:pict w14:anchorId="31C467E1">
          <v:shape id="_x0000_s2160" type="#_x0000_t202" style="position:absolute;left:0;text-align:left;margin-left:16.2pt;margin-top:6.3pt;width:10.05pt;height:7.2pt;z-index:251961344;mso-position-horizontal-relative:page" filled="f" stroked="f">
            <v:textbox inset="0,0,0,0">
              <w:txbxContent>
                <w:p w14:paraId="6AC00D5F" w14:textId="77777777" w:rsidR="00F65BCA" w:rsidRDefault="00216117">
                  <w:pPr>
                    <w:spacing w:before="4"/>
                    <w:rPr>
                      <w:b/>
                      <w:sz w:val="12"/>
                    </w:rPr>
                  </w:pPr>
                  <w:r>
                    <w:rPr>
                      <w:b/>
                      <w:color w:val="231F20"/>
                      <w:sz w:val="12"/>
                    </w:rPr>
                    <w:t>197</w:t>
                  </w:r>
                </w:p>
              </w:txbxContent>
            </v:textbox>
            <w10:wrap anchorx="page"/>
          </v:shape>
        </w:pict>
      </w:r>
      <w:r w:rsidR="00216117">
        <w:rPr>
          <w:color w:val="231F20"/>
          <w:sz w:val="12"/>
        </w:rPr>
        <w:t xml:space="preserve">vnitřního nebo zevního epikondylu </w:t>
      </w:r>
      <w:r w:rsidR="00216117">
        <w:rPr>
          <w:color w:val="231F20"/>
          <w:spacing w:val="-3"/>
          <w:sz w:val="12"/>
        </w:rPr>
        <w:t xml:space="preserve">léčená </w:t>
      </w:r>
      <w:r w:rsidR="00216117">
        <w:rPr>
          <w:color w:val="231F20"/>
          <w:sz w:val="12"/>
        </w:rPr>
        <w:t>konzervativně</w:t>
      </w:r>
    </w:p>
    <w:p w14:paraId="040E0A85" w14:textId="77777777" w:rsidR="00F65BCA" w:rsidRDefault="00000000">
      <w:pPr>
        <w:pStyle w:val="Odstavecseseznamem"/>
        <w:numPr>
          <w:ilvl w:val="0"/>
          <w:numId w:val="63"/>
        </w:numPr>
        <w:tabs>
          <w:tab w:val="left" w:pos="456"/>
        </w:tabs>
        <w:spacing w:before="59"/>
        <w:ind w:hanging="273"/>
        <w:rPr>
          <w:sz w:val="12"/>
        </w:rPr>
      </w:pPr>
      <w:r>
        <w:pict w14:anchorId="56D1F35C">
          <v:shape id="_x0000_s2159" type="#_x0000_t202" style="position:absolute;left:0;text-align:left;margin-left:39.7pt;margin-top:35.85pt;width:87.4pt;height:11.7pt;z-index:-299291648;mso-position-horizontal-relative:page" filled="f" stroked="f">
            <v:textbox inset="0,0,0,0">
              <w:txbxContent>
                <w:p w14:paraId="4A7554E1" w14:textId="77777777" w:rsidR="00F65BCA" w:rsidRDefault="00216117">
                  <w:pPr>
                    <w:spacing w:before="3"/>
                    <w:rPr>
                      <w:sz w:val="16"/>
                    </w:rPr>
                  </w:pPr>
                  <w:r>
                    <w:rPr>
                      <w:color w:val="231F20"/>
                      <w:sz w:val="16"/>
                    </w:rPr>
                    <w:t xml:space="preserve">36 </w:t>
                  </w:r>
                  <w:r>
                    <w:rPr>
                      <w:color w:val="6D6E71"/>
                      <w:sz w:val="20"/>
                    </w:rPr>
                    <w:t xml:space="preserve">| </w:t>
                  </w:r>
                  <w:r>
                    <w:rPr>
                      <w:color w:val="231F20"/>
                      <w:sz w:val="16"/>
                    </w:rPr>
                    <w:t>Oceňovací tabulky</w:t>
                  </w:r>
                </w:p>
              </w:txbxContent>
            </v:textbox>
            <w10:wrap anchorx="page"/>
          </v:shape>
        </w:pict>
      </w:r>
      <w:r w:rsidR="00216117">
        <w:rPr>
          <w:color w:val="231F20"/>
          <w:sz w:val="12"/>
        </w:rPr>
        <w:t>vnitřního</w:t>
      </w:r>
      <w:r w:rsidR="00216117">
        <w:rPr>
          <w:color w:val="231F20"/>
          <w:spacing w:val="-12"/>
          <w:sz w:val="12"/>
        </w:rPr>
        <w:t xml:space="preserve"> </w:t>
      </w:r>
      <w:r w:rsidR="00216117">
        <w:rPr>
          <w:color w:val="231F20"/>
          <w:sz w:val="12"/>
        </w:rPr>
        <w:t>nebo</w:t>
      </w:r>
      <w:r w:rsidR="00216117">
        <w:rPr>
          <w:color w:val="231F20"/>
          <w:spacing w:val="-11"/>
          <w:sz w:val="12"/>
        </w:rPr>
        <w:t xml:space="preserve"> </w:t>
      </w:r>
      <w:r w:rsidR="00216117">
        <w:rPr>
          <w:color w:val="231F20"/>
          <w:sz w:val="12"/>
        </w:rPr>
        <w:t>zevního</w:t>
      </w:r>
      <w:r w:rsidR="00216117">
        <w:rPr>
          <w:color w:val="231F20"/>
          <w:spacing w:val="-11"/>
          <w:sz w:val="12"/>
        </w:rPr>
        <w:t xml:space="preserve"> </w:t>
      </w:r>
      <w:r w:rsidR="00216117">
        <w:rPr>
          <w:color w:val="231F20"/>
          <w:sz w:val="12"/>
        </w:rPr>
        <w:t>epikondylu</w:t>
      </w:r>
      <w:r w:rsidR="00216117">
        <w:rPr>
          <w:color w:val="231F20"/>
          <w:spacing w:val="-11"/>
          <w:sz w:val="12"/>
        </w:rPr>
        <w:t xml:space="preserve"> </w:t>
      </w:r>
      <w:r w:rsidR="00216117">
        <w:rPr>
          <w:color w:val="231F20"/>
          <w:sz w:val="12"/>
        </w:rPr>
        <w:t>léčená</w:t>
      </w:r>
      <w:r w:rsidR="00216117">
        <w:rPr>
          <w:color w:val="231F20"/>
          <w:spacing w:val="-11"/>
          <w:sz w:val="12"/>
        </w:rPr>
        <w:t xml:space="preserve"> </w:t>
      </w:r>
      <w:r w:rsidR="00216117">
        <w:rPr>
          <w:color w:val="231F20"/>
          <w:sz w:val="12"/>
        </w:rPr>
        <w:t>operací</w:t>
      </w:r>
    </w:p>
    <w:p w14:paraId="29B64C1C" w14:textId="77777777" w:rsidR="00F65BCA" w:rsidRDefault="00216117">
      <w:pPr>
        <w:pStyle w:val="Zkladntext"/>
        <w:rPr>
          <w:sz w:val="17"/>
        </w:rPr>
      </w:pPr>
      <w:r>
        <w:br w:type="column"/>
      </w:r>
    </w:p>
    <w:p w14:paraId="5192A610" w14:textId="77777777" w:rsidR="00F65BCA" w:rsidRDefault="00216117">
      <w:pPr>
        <w:spacing w:before="1"/>
        <w:ind w:left="139"/>
        <w:rPr>
          <w:sz w:val="12"/>
        </w:rPr>
      </w:pPr>
      <w:r>
        <w:rPr>
          <w:color w:val="231F20"/>
          <w:sz w:val="12"/>
        </w:rPr>
        <w:t>do</w:t>
      </w:r>
      <w:r>
        <w:rPr>
          <w:color w:val="231F20"/>
          <w:spacing w:val="2"/>
          <w:sz w:val="12"/>
        </w:rPr>
        <w:t xml:space="preserve"> </w:t>
      </w:r>
      <w:r>
        <w:rPr>
          <w:color w:val="231F20"/>
          <w:sz w:val="12"/>
        </w:rPr>
        <w:t>105</w:t>
      </w:r>
    </w:p>
    <w:p w14:paraId="01F99021" w14:textId="77777777" w:rsidR="00F65BCA" w:rsidRDefault="00216117">
      <w:pPr>
        <w:spacing w:before="111"/>
        <w:ind w:left="139"/>
        <w:rPr>
          <w:sz w:val="12"/>
        </w:rPr>
      </w:pPr>
      <w:r>
        <w:rPr>
          <w:color w:val="231F20"/>
          <w:sz w:val="12"/>
        </w:rPr>
        <w:t>do</w:t>
      </w:r>
      <w:r>
        <w:rPr>
          <w:color w:val="231F20"/>
          <w:spacing w:val="2"/>
          <w:sz w:val="12"/>
        </w:rPr>
        <w:t xml:space="preserve"> </w:t>
      </w:r>
      <w:r>
        <w:rPr>
          <w:color w:val="231F20"/>
          <w:sz w:val="12"/>
        </w:rPr>
        <w:t>210</w:t>
      </w:r>
    </w:p>
    <w:p w14:paraId="5E1AED12" w14:textId="77777777" w:rsidR="00F65BCA" w:rsidRDefault="00F65BCA">
      <w:pPr>
        <w:pStyle w:val="Zkladntext"/>
        <w:rPr>
          <w:sz w:val="14"/>
        </w:rPr>
      </w:pPr>
    </w:p>
    <w:p w14:paraId="4A05B664" w14:textId="77777777" w:rsidR="00F65BCA" w:rsidRDefault="00F65BCA">
      <w:pPr>
        <w:pStyle w:val="Zkladntext"/>
        <w:rPr>
          <w:sz w:val="14"/>
        </w:rPr>
      </w:pPr>
    </w:p>
    <w:p w14:paraId="5832E58E" w14:textId="77777777" w:rsidR="00F65BCA" w:rsidRDefault="00F65BCA">
      <w:pPr>
        <w:pStyle w:val="Zkladntext"/>
        <w:rPr>
          <w:sz w:val="14"/>
        </w:rPr>
      </w:pPr>
    </w:p>
    <w:p w14:paraId="339D6083" w14:textId="77777777" w:rsidR="00F65BCA" w:rsidRDefault="00F65BCA">
      <w:pPr>
        <w:pStyle w:val="Zkladntext"/>
        <w:rPr>
          <w:sz w:val="14"/>
        </w:rPr>
      </w:pPr>
    </w:p>
    <w:p w14:paraId="378C58F5" w14:textId="77777777" w:rsidR="00F65BCA" w:rsidRDefault="00F65BCA">
      <w:pPr>
        <w:pStyle w:val="Zkladntext"/>
        <w:spacing w:before="9"/>
        <w:rPr>
          <w:sz w:val="16"/>
        </w:rPr>
      </w:pPr>
    </w:p>
    <w:p w14:paraId="1E3D80E7" w14:textId="77777777" w:rsidR="00F65BCA" w:rsidRDefault="00216117">
      <w:pPr>
        <w:ind w:left="173"/>
        <w:rPr>
          <w:sz w:val="12"/>
        </w:rPr>
      </w:pPr>
      <w:r>
        <w:rPr>
          <w:color w:val="231F20"/>
          <w:sz w:val="12"/>
        </w:rPr>
        <w:t>do</w:t>
      </w:r>
      <w:r>
        <w:rPr>
          <w:color w:val="231F20"/>
          <w:spacing w:val="2"/>
          <w:sz w:val="12"/>
        </w:rPr>
        <w:t xml:space="preserve"> </w:t>
      </w:r>
      <w:r>
        <w:rPr>
          <w:color w:val="231F20"/>
          <w:sz w:val="12"/>
        </w:rPr>
        <w:t>21</w:t>
      </w:r>
    </w:p>
    <w:p w14:paraId="3886E5DA" w14:textId="77777777" w:rsidR="00F65BCA" w:rsidRDefault="00216117">
      <w:pPr>
        <w:spacing w:before="112"/>
        <w:ind w:left="173"/>
        <w:rPr>
          <w:sz w:val="12"/>
        </w:rPr>
      </w:pPr>
      <w:r>
        <w:rPr>
          <w:color w:val="231F20"/>
          <w:sz w:val="12"/>
        </w:rPr>
        <w:t>do</w:t>
      </w:r>
      <w:r>
        <w:rPr>
          <w:color w:val="231F20"/>
          <w:spacing w:val="2"/>
          <w:sz w:val="12"/>
        </w:rPr>
        <w:t xml:space="preserve"> </w:t>
      </w:r>
      <w:r>
        <w:rPr>
          <w:color w:val="231F20"/>
          <w:sz w:val="12"/>
        </w:rPr>
        <w:t>63</w:t>
      </w:r>
    </w:p>
    <w:p w14:paraId="2A2C9E0F" w14:textId="77777777" w:rsidR="00F65BCA" w:rsidRDefault="00216117">
      <w:pPr>
        <w:spacing w:before="111"/>
        <w:ind w:left="173"/>
        <w:rPr>
          <w:sz w:val="12"/>
        </w:rPr>
      </w:pPr>
      <w:r>
        <w:rPr>
          <w:color w:val="231F20"/>
          <w:sz w:val="12"/>
        </w:rPr>
        <w:t>do</w:t>
      </w:r>
      <w:r>
        <w:rPr>
          <w:color w:val="231F20"/>
          <w:spacing w:val="2"/>
          <w:sz w:val="12"/>
        </w:rPr>
        <w:t xml:space="preserve"> </w:t>
      </w:r>
      <w:r>
        <w:rPr>
          <w:color w:val="231F20"/>
          <w:sz w:val="12"/>
        </w:rPr>
        <w:t>21</w:t>
      </w:r>
    </w:p>
    <w:p w14:paraId="0CB87254" w14:textId="77777777" w:rsidR="00F65BCA" w:rsidRDefault="00216117">
      <w:pPr>
        <w:spacing w:before="112"/>
        <w:ind w:left="173"/>
        <w:rPr>
          <w:sz w:val="12"/>
        </w:rPr>
      </w:pPr>
      <w:r>
        <w:rPr>
          <w:color w:val="231F20"/>
          <w:sz w:val="12"/>
        </w:rPr>
        <w:t>do</w:t>
      </w:r>
      <w:r>
        <w:rPr>
          <w:color w:val="231F20"/>
          <w:spacing w:val="2"/>
          <w:sz w:val="12"/>
        </w:rPr>
        <w:t xml:space="preserve"> </w:t>
      </w:r>
      <w:r>
        <w:rPr>
          <w:color w:val="231F20"/>
          <w:sz w:val="12"/>
        </w:rPr>
        <w:t>21</w:t>
      </w:r>
    </w:p>
    <w:p w14:paraId="1B06C1EE" w14:textId="77777777" w:rsidR="00F65BCA" w:rsidRDefault="00F65BCA">
      <w:pPr>
        <w:pStyle w:val="Zkladntext"/>
        <w:rPr>
          <w:sz w:val="14"/>
        </w:rPr>
      </w:pPr>
    </w:p>
    <w:p w14:paraId="6D4A90E3" w14:textId="77777777" w:rsidR="00F65BCA" w:rsidRDefault="00F65BCA">
      <w:pPr>
        <w:pStyle w:val="Zkladntext"/>
        <w:spacing w:before="4"/>
        <w:rPr>
          <w:sz w:val="18"/>
        </w:rPr>
      </w:pPr>
    </w:p>
    <w:p w14:paraId="60A554F7" w14:textId="77777777" w:rsidR="00F65BCA" w:rsidRDefault="00216117">
      <w:pPr>
        <w:ind w:left="173"/>
        <w:rPr>
          <w:sz w:val="12"/>
        </w:rPr>
      </w:pPr>
      <w:r>
        <w:rPr>
          <w:color w:val="231F20"/>
          <w:sz w:val="12"/>
        </w:rPr>
        <w:t>do</w:t>
      </w:r>
      <w:r>
        <w:rPr>
          <w:color w:val="231F20"/>
          <w:spacing w:val="2"/>
          <w:sz w:val="12"/>
        </w:rPr>
        <w:t xml:space="preserve"> </w:t>
      </w:r>
      <w:r>
        <w:rPr>
          <w:color w:val="231F20"/>
          <w:sz w:val="12"/>
        </w:rPr>
        <w:t>63</w:t>
      </w:r>
    </w:p>
    <w:p w14:paraId="41B9755A" w14:textId="77777777" w:rsidR="00F65BCA" w:rsidRDefault="00F65BCA">
      <w:pPr>
        <w:pStyle w:val="Zkladntext"/>
        <w:spacing w:before="7"/>
      </w:pPr>
    </w:p>
    <w:p w14:paraId="02D7CD93" w14:textId="77777777" w:rsidR="00F65BCA" w:rsidRDefault="00216117">
      <w:pPr>
        <w:ind w:left="173"/>
        <w:rPr>
          <w:sz w:val="12"/>
        </w:rPr>
      </w:pPr>
      <w:r>
        <w:rPr>
          <w:color w:val="231F20"/>
          <w:sz w:val="12"/>
        </w:rPr>
        <w:t>do</w:t>
      </w:r>
      <w:r>
        <w:rPr>
          <w:color w:val="231F20"/>
          <w:spacing w:val="2"/>
          <w:sz w:val="12"/>
        </w:rPr>
        <w:t xml:space="preserve"> </w:t>
      </w:r>
      <w:r>
        <w:rPr>
          <w:color w:val="231F20"/>
          <w:sz w:val="12"/>
        </w:rPr>
        <w:t>70</w:t>
      </w:r>
    </w:p>
    <w:p w14:paraId="2BF625A5" w14:textId="77777777" w:rsidR="00F65BCA" w:rsidRDefault="00F65BCA">
      <w:pPr>
        <w:pStyle w:val="Zkladntext"/>
        <w:spacing w:before="7"/>
      </w:pPr>
    </w:p>
    <w:p w14:paraId="1D0EE8FD" w14:textId="77777777" w:rsidR="00F65BCA" w:rsidRDefault="00216117">
      <w:pPr>
        <w:ind w:left="173"/>
        <w:rPr>
          <w:sz w:val="12"/>
        </w:rPr>
      </w:pPr>
      <w:r>
        <w:rPr>
          <w:color w:val="231F20"/>
          <w:sz w:val="12"/>
        </w:rPr>
        <w:t>do</w:t>
      </w:r>
      <w:r>
        <w:rPr>
          <w:color w:val="231F20"/>
          <w:spacing w:val="2"/>
          <w:sz w:val="12"/>
        </w:rPr>
        <w:t xml:space="preserve"> </w:t>
      </w:r>
      <w:r>
        <w:rPr>
          <w:color w:val="231F20"/>
          <w:sz w:val="12"/>
        </w:rPr>
        <w:t>98</w:t>
      </w:r>
    </w:p>
    <w:p w14:paraId="600CE54F" w14:textId="77777777" w:rsidR="00F65BCA" w:rsidRDefault="00216117">
      <w:pPr>
        <w:spacing w:before="111"/>
        <w:ind w:left="173"/>
        <w:rPr>
          <w:sz w:val="12"/>
        </w:rPr>
      </w:pPr>
      <w:r>
        <w:rPr>
          <w:color w:val="231F20"/>
          <w:sz w:val="12"/>
        </w:rPr>
        <w:t>do</w:t>
      </w:r>
      <w:r>
        <w:rPr>
          <w:color w:val="231F20"/>
          <w:spacing w:val="2"/>
          <w:sz w:val="12"/>
        </w:rPr>
        <w:t xml:space="preserve"> </w:t>
      </w:r>
      <w:r>
        <w:rPr>
          <w:color w:val="231F20"/>
          <w:sz w:val="12"/>
        </w:rPr>
        <w:t>70</w:t>
      </w:r>
    </w:p>
    <w:p w14:paraId="69C5F8C4" w14:textId="77777777" w:rsidR="00F65BCA" w:rsidRDefault="00F65BCA">
      <w:pPr>
        <w:pStyle w:val="Zkladntext"/>
        <w:spacing w:before="7"/>
        <w:rPr>
          <w:sz w:val="19"/>
        </w:rPr>
      </w:pPr>
    </w:p>
    <w:p w14:paraId="6AE554B6" w14:textId="77777777" w:rsidR="00F65BCA" w:rsidRDefault="00216117">
      <w:pPr>
        <w:ind w:left="173"/>
        <w:rPr>
          <w:sz w:val="12"/>
        </w:rPr>
      </w:pPr>
      <w:r>
        <w:rPr>
          <w:color w:val="231F20"/>
          <w:sz w:val="12"/>
        </w:rPr>
        <w:t>do</w:t>
      </w:r>
      <w:r>
        <w:rPr>
          <w:color w:val="231F20"/>
          <w:spacing w:val="2"/>
          <w:sz w:val="12"/>
        </w:rPr>
        <w:t xml:space="preserve"> </w:t>
      </w:r>
      <w:r>
        <w:rPr>
          <w:color w:val="231F20"/>
          <w:sz w:val="12"/>
        </w:rPr>
        <w:t>28</w:t>
      </w:r>
    </w:p>
    <w:p w14:paraId="7AEFBE54" w14:textId="77777777" w:rsidR="00F65BCA" w:rsidRDefault="00216117">
      <w:pPr>
        <w:spacing w:before="108"/>
        <w:ind w:left="173"/>
        <w:rPr>
          <w:sz w:val="12"/>
        </w:rPr>
      </w:pPr>
      <w:r>
        <w:rPr>
          <w:color w:val="231F20"/>
          <w:sz w:val="12"/>
        </w:rPr>
        <w:t>do</w:t>
      </w:r>
      <w:r>
        <w:rPr>
          <w:color w:val="231F20"/>
          <w:spacing w:val="2"/>
          <w:sz w:val="12"/>
        </w:rPr>
        <w:t xml:space="preserve"> </w:t>
      </w:r>
      <w:r>
        <w:rPr>
          <w:color w:val="231F20"/>
          <w:sz w:val="12"/>
        </w:rPr>
        <w:t>35</w:t>
      </w:r>
    </w:p>
    <w:p w14:paraId="5A65923A" w14:textId="77777777" w:rsidR="00F65BCA" w:rsidRDefault="00F65BCA">
      <w:pPr>
        <w:pStyle w:val="Zkladntext"/>
        <w:rPr>
          <w:sz w:val="14"/>
        </w:rPr>
      </w:pPr>
    </w:p>
    <w:p w14:paraId="05A7A2B3" w14:textId="77777777" w:rsidR="00F65BCA" w:rsidRDefault="00216117">
      <w:pPr>
        <w:spacing w:before="84"/>
        <w:ind w:left="173"/>
        <w:rPr>
          <w:sz w:val="12"/>
        </w:rPr>
      </w:pPr>
      <w:r>
        <w:rPr>
          <w:color w:val="231F20"/>
          <w:sz w:val="12"/>
        </w:rPr>
        <w:t>do</w:t>
      </w:r>
      <w:r>
        <w:rPr>
          <w:color w:val="231F20"/>
          <w:spacing w:val="2"/>
          <w:sz w:val="12"/>
        </w:rPr>
        <w:t xml:space="preserve"> </w:t>
      </w:r>
      <w:r>
        <w:rPr>
          <w:color w:val="231F20"/>
          <w:sz w:val="12"/>
        </w:rPr>
        <w:t>70</w:t>
      </w:r>
    </w:p>
    <w:p w14:paraId="0B196886" w14:textId="77777777" w:rsidR="00F65BCA" w:rsidRDefault="00F65BCA">
      <w:pPr>
        <w:pStyle w:val="Zkladntext"/>
        <w:spacing w:before="7"/>
      </w:pPr>
    </w:p>
    <w:p w14:paraId="68CB98B2" w14:textId="77777777" w:rsidR="00F65BCA" w:rsidRDefault="00216117">
      <w:pPr>
        <w:ind w:left="173"/>
        <w:rPr>
          <w:sz w:val="12"/>
        </w:rPr>
      </w:pPr>
      <w:r>
        <w:rPr>
          <w:color w:val="231F20"/>
          <w:sz w:val="12"/>
        </w:rPr>
        <w:t>do</w:t>
      </w:r>
      <w:r>
        <w:rPr>
          <w:color w:val="231F20"/>
          <w:spacing w:val="2"/>
          <w:sz w:val="12"/>
        </w:rPr>
        <w:t xml:space="preserve"> </w:t>
      </w:r>
      <w:r>
        <w:rPr>
          <w:color w:val="231F20"/>
          <w:sz w:val="12"/>
        </w:rPr>
        <w:t>35</w:t>
      </w:r>
    </w:p>
    <w:p w14:paraId="65ADD175" w14:textId="77777777" w:rsidR="00F65BCA" w:rsidRDefault="00216117">
      <w:pPr>
        <w:spacing w:before="43"/>
        <w:ind w:left="173"/>
        <w:rPr>
          <w:sz w:val="12"/>
        </w:rPr>
      </w:pPr>
      <w:r>
        <w:rPr>
          <w:color w:val="231F20"/>
          <w:sz w:val="12"/>
        </w:rPr>
        <w:t>do</w:t>
      </w:r>
      <w:r>
        <w:rPr>
          <w:color w:val="231F20"/>
          <w:spacing w:val="2"/>
          <w:sz w:val="12"/>
        </w:rPr>
        <w:t xml:space="preserve"> </w:t>
      </w:r>
      <w:r>
        <w:rPr>
          <w:color w:val="231F20"/>
          <w:sz w:val="12"/>
        </w:rPr>
        <w:t>70</w:t>
      </w:r>
    </w:p>
    <w:p w14:paraId="58496BD1" w14:textId="77777777" w:rsidR="00F65BCA" w:rsidRDefault="00F65BCA">
      <w:pPr>
        <w:pStyle w:val="Zkladntext"/>
        <w:spacing w:before="7"/>
        <w:rPr>
          <w:sz w:val="19"/>
        </w:rPr>
      </w:pPr>
    </w:p>
    <w:p w14:paraId="13BA0380" w14:textId="77777777" w:rsidR="00F65BCA" w:rsidRDefault="00216117">
      <w:pPr>
        <w:ind w:left="173"/>
        <w:rPr>
          <w:sz w:val="12"/>
        </w:rPr>
      </w:pPr>
      <w:r>
        <w:rPr>
          <w:color w:val="231F20"/>
          <w:sz w:val="12"/>
        </w:rPr>
        <w:t>do</w:t>
      </w:r>
      <w:r>
        <w:rPr>
          <w:color w:val="231F20"/>
          <w:spacing w:val="2"/>
          <w:sz w:val="12"/>
        </w:rPr>
        <w:t xml:space="preserve"> </w:t>
      </w:r>
      <w:r>
        <w:rPr>
          <w:color w:val="231F20"/>
          <w:sz w:val="12"/>
        </w:rPr>
        <w:t>63</w:t>
      </w:r>
    </w:p>
    <w:p w14:paraId="6224FF6B" w14:textId="77777777" w:rsidR="00F65BCA" w:rsidRDefault="00216117">
      <w:pPr>
        <w:spacing w:before="43"/>
        <w:ind w:left="139"/>
        <w:rPr>
          <w:sz w:val="12"/>
        </w:rPr>
      </w:pPr>
      <w:r>
        <w:rPr>
          <w:color w:val="231F20"/>
          <w:sz w:val="12"/>
        </w:rPr>
        <w:t>do</w:t>
      </w:r>
      <w:r>
        <w:rPr>
          <w:color w:val="231F20"/>
          <w:spacing w:val="2"/>
          <w:sz w:val="12"/>
        </w:rPr>
        <w:t xml:space="preserve"> </w:t>
      </w:r>
      <w:r>
        <w:rPr>
          <w:color w:val="231F20"/>
          <w:sz w:val="12"/>
        </w:rPr>
        <w:t>105</w:t>
      </w:r>
    </w:p>
    <w:p w14:paraId="4067955F" w14:textId="77777777" w:rsidR="00F65BCA" w:rsidRDefault="00216117">
      <w:pPr>
        <w:spacing w:before="44"/>
        <w:ind w:left="173"/>
        <w:rPr>
          <w:sz w:val="12"/>
        </w:rPr>
      </w:pPr>
      <w:r>
        <w:rPr>
          <w:color w:val="231F20"/>
          <w:sz w:val="12"/>
        </w:rPr>
        <w:t>do</w:t>
      </w:r>
      <w:r>
        <w:rPr>
          <w:color w:val="231F20"/>
          <w:spacing w:val="2"/>
          <w:sz w:val="12"/>
        </w:rPr>
        <w:t xml:space="preserve"> </w:t>
      </w:r>
      <w:r>
        <w:rPr>
          <w:color w:val="231F20"/>
          <w:sz w:val="12"/>
        </w:rPr>
        <w:t>28</w:t>
      </w:r>
    </w:p>
    <w:p w14:paraId="60DA2DC2" w14:textId="77777777" w:rsidR="00F65BCA" w:rsidRDefault="00F65BCA">
      <w:pPr>
        <w:pStyle w:val="Zkladntext"/>
        <w:rPr>
          <w:sz w:val="14"/>
        </w:rPr>
      </w:pPr>
    </w:p>
    <w:p w14:paraId="2D1A59EC" w14:textId="77777777" w:rsidR="00F65BCA" w:rsidRDefault="00F65BCA">
      <w:pPr>
        <w:pStyle w:val="Zkladntext"/>
        <w:spacing w:before="2"/>
        <w:rPr>
          <w:sz w:val="11"/>
        </w:rPr>
      </w:pPr>
    </w:p>
    <w:p w14:paraId="66F88288" w14:textId="77777777" w:rsidR="00F65BCA" w:rsidRDefault="00216117">
      <w:pPr>
        <w:ind w:left="173"/>
        <w:rPr>
          <w:sz w:val="12"/>
        </w:rPr>
      </w:pPr>
      <w:r>
        <w:rPr>
          <w:color w:val="231F20"/>
          <w:sz w:val="12"/>
        </w:rPr>
        <w:t>do</w:t>
      </w:r>
      <w:r>
        <w:rPr>
          <w:color w:val="231F20"/>
          <w:spacing w:val="2"/>
          <w:sz w:val="12"/>
        </w:rPr>
        <w:t xml:space="preserve"> </w:t>
      </w:r>
      <w:r>
        <w:rPr>
          <w:color w:val="231F20"/>
          <w:sz w:val="12"/>
        </w:rPr>
        <w:t>56</w:t>
      </w:r>
    </w:p>
    <w:p w14:paraId="66B48667" w14:textId="77777777" w:rsidR="00F65BCA" w:rsidRDefault="00F65BCA">
      <w:pPr>
        <w:pStyle w:val="Zkladntext"/>
        <w:rPr>
          <w:sz w:val="14"/>
        </w:rPr>
      </w:pPr>
    </w:p>
    <w:p w14:paraId="369505F2" w14:textId="77777777" w:rsidR="00F65BCA" w:rsidRDefault="00F65BCA">
      <w:pPr>
        <w:pStyle w:val="Zkladntext"/>
        <w:spacing w:before="8"/>
        <w:rPr>
          <w:sz w:val="12"/>
        </w:rPr>
      </w:pPr>
    </w:p>
    <w:p w14:paraId="0E11D74E" w14:textId="77777777" w:rsidR="00F65BCA" w:rsidRDefault="00216117">
      <w:pPr>
        <w:ind w:left="139"/>
        <w:rPr>
          <w:sz w:val="12"/>
        </w:rPr>
      </w:pPr>
      <w:r>
        <w:rPr>
          <w:color w:val="231F20"/>
          <w:sz w:val="12"/>
        </w:rPr>
        <w:t>do</w:t>
      </w:r>
      <w:r>
        <w:rPr>
          <w:color w:val="231F20"/>
          <w:spacing w:val="2"/>
          <w:sz w:val="12"/>
        </w:rPr>
        <w:t xml:space="preserve"> </w:t>
      </w:r>
      <w:r>
        <w:rPr>
          <w:color w:val="231F20"/>
          <w:sz w:val="12"/>
        </w:rPr>
        <w:t>126</w:t>
      </w:r>
    </w:p>
    <w:p w14:paraId="5D7D7C43" w14:textId="77777777" w:rsidR="00F65BCA" w:rsidRDefault="00216117">
      <w:pPr>
        <w:spacing w:before="55"/>
        <w:ind w:left="173"/>
        <w:rPr>
          <w:sz w:val="12"/>
        </w:rPr>
      </w:pPr>
      <w:r>
        <w:rPr>
          <w:color w:val="231F20"/>
          <w:sz w:val="12"/>
        </w:rPr>
        <w:t>do</w:t>
      </w:r>
      <w:r>
        <w:rPr>
          <w:color w:val="231F20"/>
          <w:spacing w:val="2"/>
          <w:sz w:val="12"/>
        </w:rPr>
        <w:t xml:space="preserve"> </w:t>
      </w:r>
      <w:r>
        <w:rPr>
          <w:color w:val="231F20"/>
          <w:sz w:val="12"/>
        </w:rPr>
        <w:t>84</w:t>
      </w:r>
    </w:p>
    <w:p w14:paraId="321507A2" w14:textId="77777777" w:rsidR="00F65BCA" w:rsidRDefault="00216117">
      <w:pPr>
        <w:spacing w:before="114"/>
        <w:ind w:left="173"/>
        <w:rPr>
          <w:sz w:val="12"/>
        </w:rPr>
      </w:pPr>
      <w:r>
        <w:rPr>
          <w:color w:val="231F20"/>
          <w:sz w:val="12"/>
        </w:rPr>
        <w:t>do</w:t>
      </w:r>
      <w:r>
        <w:rPr>
          <w:color w:val="231F20"/>
          <w:spacing w:val="2"/>
          <w:sz w:val="12"/>
        </w:rPr>
        <w:t xml:space="preserve"> </w:t>
      </w:r>
      <w:r>
        <w:rPr>
          <w:color w:val="231F20"/>
          <w:sz w:val="12"/>
        </w:rPr>
        <w:t>49</w:t>
      </w:r>
    </w:p>
    <w:p w14:paraId="6BD29DE7" w14:textId="77777777" w:rsidR="00F65BCA" w:rsidRDefault="00F65BCA">
      <w:pPr>
        <w:pStyle w:val="Zkladntext"/>
        <w:rPr>
          <w:sz w:val="14"/>
        </w:rPr>
      </w:pPr>
    </w:p>
    <w:p w14:paraId="0A008EC6" w14:textId="77777777" w:rsidR="00F65BCA" w:rsidRDefault="00F65BCA">
      <w:pPr>
        <w:pStyle w:val="Zkladntext"/>
        <w:spacing w:before="10"/>
        <w:rPr>
          <w:sz w:val="17"/>
        </w:rPr>
      </w:pPr>
    </w:p>
    <w:p w14:paraId="5271EC1D" w14:textId="77777777" w:rsidR="00F65BCA" w:rsidRDefault="00216117">
      <w:pPr>
        <w:spacing w:before="1"/>
        <w:ind w:left="173"/>
        <w:rPr>
          <w:sz w:val="12"/>
        </w:rPr>
      </w:pPr>
      <w:r>
        <w:rPr>
          <w:color w:val="231F20"/>
          <w:sz w:val="12"/>
        </w:rPr>
        <w:t>do</w:t>
      </w:r>
      <w:r>
        <w:rPr>
          <w:color w:val="231F20"/>
          <w:spacing w:val="2"/>
          <w:sz w:val="12"/>
        </w:rPr>
        <w:t xml:space="preserve"> </w:t>
      </w:r>
      <w:r>
        <w:rPr>
          <w:color w:val="231F20"/>
          <w:sz w:val="12"/>
        </w:rPr>
        <w:t>28</w:t>
      </w:r>
    </w:p>
    <w:p w14:paraId="777BF87D" w14:textId="77777777" w:rsidR="00F65BCA" w:rsidRDefault="00216117">
      <w:pPr>
        <w:spacing w:before="108"/>
        <w:ind w:left="173"/>
        <w:rPr>
          <w:sz w:val="12"/>
        </w:rPr>
      </w:pPr>
      <w:r>
        <w:rPr>
          <w:color w:val="231F20"/>
          <w:sz w:val="12"/>
        </w:rPr>
        <w:t>do</w:t>
      </w:r>
      <w:r>
        <w:rPr>
          <w:color w:val="231F20"/>
          <w:spacing w:val="2"/>
          <w:sz w:val="12"/>
        </w:rPr>
        <w:t xml:space="preserve"> </w:t>
      </w:r>
      <w:r>
        <w:rPr>
          <w:color w:val="231F20"/>
          <w:sz w:val="12"/>
        </w:rPr>
        <w:t>28</w:t>
      </w:r>
    </w:p>
    <w:p w14:paraId="69F8B916" w14:textId="77777777" w:rsidR="00F65BCA" w:rsidRDefault="00216117">
      <w:pPr>
        <w:spacing w:before="109"/>
        <w:ind w:left="173"/>
        <w:rPr>
          <w:sz w:val="12"/>
        </w:rPr>
      </w:pPr>
      <w:r>
        <w:rPr>
          <w:color w:val="231F20"/>
          <w:sz w:val="12"/>
        </w:rPr>
        <w:t>do</w:t>
      </w:r>
      <w:r>
        <w:rPr>
          <w:color w:val="231F20"/>
          <w:spacing w:val="2"/>
          <w:sz w:val="12"/>
        </w:rPr>
        <w:t xml:space="preserve"> </w:t>
      </w:r>
      <w:r>
        <w:rPr>
          <w:color w:val="231F20"/>
          <w:sz w:val="12"/>
        </w:rPr>
        <w:t>28</w:t>
      </w:r>
    </w:p>
    <w:p w14:paraId="05E16D91" w14:textId="77777777" w:rsidR="00F65BCA" w:rsidRDefault="00F65BCA">
      <w:pPr>
        <w:pStyle w:val="Zkladntext"/>
        <w:rPr>
          <w:sz w:val="14"/>
        </w:rPr>
      </w:pPr>
    </w:p>
    <w:p w14:paraId="34350EB8" w14:textId="77777777" w:rsidR="00F65BCA" w:rsidRDefault="00F65BCA">
      <w:pPr>
        <w:pStyle w:val="Zkladntext"/>
        <w:rPr>
          <w:sz w:val="14"/>
        </w:rPr>
      </w:pPr>
    </w:p>
    <w:p w14:paraId="728287C6" w14:textId="77777777" w:rsidR="00F65BCA" w:rsidRDefault="00F65BCA">
      <w:pPr>
        <w:pStyle w:val="Zkladntext"/>
        <w:spacing w:before="10"/>
        <w:rPr>
          <w:sz w:val="20"/>
        </w:rPr>
      </w:pPr>
    </w:p>
    <w:p w14:paraId="149FBC74" w14:textId="77777777" w:rsidR="00F65BCA" w:rsidRDefault="00216117">
      <w:pPr>
        <w:ind w:left="173"/>
        <w:rPr>
          <w:sz w:val="12"/>
        </w:rPr>
      </w:pPr>
      <w:r>
        <w:rPr>
          <w:color w:val="231F20"/>
          <w:sz w:val="12"/>
        </w:rPr>
        <w:t>do</w:t>
      </w:r>
      <w:r>
        <w:rPr>
          <w:color w:val="231F20"/>
          <w:spacing w:val="2"/>
          <w:sz w:val="12"/>
        </w:rPr>
        <w:t xml:space="preserve"> </w:t>
      </w:r>
      <w:r>
        <w:rPr>
          <w:color w:val="231F20"/>
          <w:sz w:val="12"/>
        </w:rPr>
        <w:t>35</w:t>
      </w:r>
    </w:p>
    <w:p w14:paraId="4F0D7BFE" w14:textId="77777777" w:rsidR="00F65BCA" w:rsidRDefault="00216117">
      <w:pPr>
        <w:spacing w:before="106"/>
        <w:ind w:left="173"/>
        <w:rPr>
          <w:sz w:val="12"/>
        </w:rPr>
      </w:pPr>
      <w:r>
        <w:rPr>
          <w:color w:val="231F20"/>
          <w:sz w:val="12"/>
        </w:rPr>
        <w:t>do</w:t>
      </w:r>
      <w:r>
        <w:rPr>
          <w:color w:val="231F20"/>
          <w:spacing w:val="2"/>
          <w:sz w:val="12"/>
        </w:rPr>
        <w:t xml:space="preserve"> </w:t>
      </w:r>
      <w:r>
        <w:rPr>
          <w:color w:val="231F20"/>
          <w:sz w:val="12"/>
        </w:rPr>
        <w:t>63</w:t>
      </w:r>
    </w:p>
    <w:p w14:paraId="535A8E8C" w14:textId="77777777" w:rsidR="00F65BCA" w:rsidRDefault="00216117">
      <w:pPr>
        <w:spacing w:before="106"/>
        <w:ind w:left="173"/>
        <w:rPr>
          <w:sz w:val="12"/>
        </w:rPr>
      </w:pPr>
      <w:r>
        <w:rPr>
          <w:color w:val="231F20"/>
          <w:sz w:val="12"/>
        </w:rPr>
        <w:t>do</w:t>
      </w:r>
      <w:r>
        <w:rPr>
          <w:color w:val="231F20"/>
          <w:spacing w:val="2"/>
          <w:sz w:val="12"/>
        </w:rPr>
        <w:t xml:space="preserve"> </w:t>
      </w:r>
      <w:r>
        <w:rPr>
          <w:color w:val="231F20"/>
          <w:sz w:val="12"/>
        </w:rPr>
        <w:t>49</w:t>
      </w:r>
    </w:p>
    <w:p w14:paraId="541B7171" w14:textId="77777777" w:rsidR="00F65BCA" w:rsidRDefault="00216117">
      <w:pPr>
        <w:spacing w:before="105"/>
        <w:ind w:left="173"/>
        <w:rPr>
          <w:sz w:val="12"/>
        </w:rPr>
      </w:pPr>
      <w:r>
        <w:rPr>
          <w:color w:val="231F20"/>
          <w:sz w:val="12"/>
        </w:rPr>
        <w:t>do</w:t>
      </w:r>
      <w:r>
        <w:rPr>
          <w:color w:val="231F20"/>
          <w:spacing w:val="2"/>
          <w:sz w:val="12"/>
        </w:rPr>
        <w:t xml:space="preserve"> </w:t>
      </w:r>
      <w:r>
        <w:rPr>
          <w:color w:val="231F20"/>
          <w:sz w:val="12"/>
        </w:rPr>
        <w:t>84</w:t>
      </w:r>
    </w:p>
    <w:p w14:paraId="3BDBDB0F" w14:textId="77777777" w:rsidR="00F65BCA" w:rsidRDefault="00216117">
      <w:pPr>
        <w:spacing w:before="103"/>
        <w:ind w:left="173"/>
        <w:rPr>
          <w:sz w:val="12"/>
        </w:rPr>
      </w:pPr>
      <w:r>
        <w:rPr>
          <w:color w:val="231F20"/>
          <w:sz w:val="12"/>
        </w:rPr>
        <w:t>do</w:t>
      </w:r>
      <w:r>
        <w:rPr>
          <w:color w:val="231F20"/>
          <w:spacing w:val="2"/>
          <w:sz w:val="12"/>
        </w:rPr>
        <w:t xml:space="preserve"> </w:t>
      </w:r>
      <w:r>
        <w:rPr>
          <w:color w:val="231F20"/>
          <w:sz w:val="12"/>
        </w:rPr>
        <w:t>63</w:t>
      </w:r>
    </w:p>
    <w:p w14:paraId="7C6FB493" w14:textId="77777777" w:rsidR="00F65BCA" w:rsidRDefault="00F65BCA">
      <w:pPr>
        <w:pStyle w:val="Zkladntext"/>
        <w:spacing w:before="1"/>
      </w:pPr>
    </w:p>
    <w:p w14:paraId="646F5B58" w14:textId="77777777" w:rsidR="00F65BCA" w:rsidRDefault="00216117">
      <w:pPr>
        <w:spacing w:before="1"/>
        <w:ind w:left="173"/>
        <w:rPr>
          <w:sz w:val="12"/>
        </w:rPr>
      </w:pPr>
      <w:r>
        <w:rPr>
          <w:color w:val="231F20"/>
          <w:sz w:val="12"/>
        </w:rPr>
        <w:t>do</w:t>
      </w:r>
      <w:r>
        <w:rPr>
          <w:color w:val="231F20"/>
          <w:spacing w:val="2"/>
          <w:sz w:val="12"/>
        </w:rPr>
        <w:t xml:space="preserve"> </w:t>
      </w:r>
      <w:r>
        <w:rPr>
          <w:color w:val="231F20"/>
          <w:sz w:val="12"/>
        </w:rPr>
        <w:t>98</w:t>
      </w:r>
    </w:p>
    <w:p w14:paraId="1F102732" w14:textId="77777777" w:rsidR="00F65BCA" w:rsidRDefault="00216117">
      <w:pPr>
        <w:spacing w:before="103"/>
        <w:ind w:left="139"/>
        <w:rPr>
          <w:sz w:val="12"/>
        </w:rPr>
      </w:pPr>
      <w:r>
        <w:rPr>
          <w:color w:val="231F20"/>
          <w:sz w:val="12"/>
        </w:rPr>
        <w:t>do</w:t>
      </w:r>
      <w:r>
        <w:rPr>
          <w:color w:val="231F20"/>
          <w:spacing w:val="2"/>
          <w:sz w:val="12"/>
        </w:rPr>
        <w:t xml:space="preserve"> </w:t>
      </w:r>
      <w:r>
        <w:rPr>
          <w:color w:val="231F20"/>
          <w:sz w:val="12"/>
        </w:rPr>
        <w:t>105</w:t>
      </w:r>
    </w:p>
    <w:p w14:paraId="49BC760A" w14:textId="77777777" w:rsidR="00F65BCA" w:rsidRDefault="00216117">
      <w:pPr>
        <w:spacing w:before="103"/>
        <w:ind w:left="173"/>
        <w:rPr>
          <w:sz w:val="12"/>
        </w:rPr>
      </w:pPr>
      <w:r>
        <w:rPr>
          <w:color w:val="231F20"/>
          <w:sz w:val="12"/>
        </w:rPr>
        <w:t>do</w:t>
      </w:r>
      <w:r>
        <w:rPr>
          <w:color w:val="231F20"/>
          <w:spacing w:val="2"/>
          <w:sz w:val="12"/>
        </w:rPr>
        <w:t xml:space="preserve"> </w:t>
      </w:r>
      <w:r>
        <w:rPr>
          <w:color w:val="231F20"/>
          <w:sz w:val="12"/>
        </w:rPr>
        <w:t>49</w:t>
      </w:r>
    </w:p>
    <w:p w14:paraId="5E094568" w14:textId="77777777" w:rsidR="00F65BCA" w:rsidRDefault="00F65BCA">
      <w:pPr>
        <w:pStyle w:val="Zkladntext"/>
        <w:spacing w:before="1"/>
      </w:pPr>
    </w:p>
    <w:p w14:paraId="24B89694" w14:textId="77777777" w:rsidR="00F65BCA" w:rsidRDefault="00216117">
      <w:pPr>
        <w:ind w:left="173"/>
        <w:rPr>
          <w:sz w:val="12"/>
        </w:rPr>
      </w:pPr>
      <w:r>
        <w:rPr>
          <w:color w:val="231F20"/>
          <w:sz w:val="12"/>
        </w:rPr>
        <w:t>do</w:t>
      </w:r>
      <w:r>
        <w:rPr>
          <w:color w:val="231F20"/>
          <w:spacing w:val="2"/>
          <w:sz w:val="12"/>
        </w:rPr>
        <w:t xml:space="preserve"> </w:t>
      </w:r>
      <w:r>
        <w:rPr>
          <w:color w:val="231F20"/>
          <w:sz w:val="12"/>
        </w:rPr>
        <w:t>70</w:t>
      </w:r>
    </w:p>
    <w:p w14:paraId="58755F8A" w14:textId="77777777" w:rsidR="00F65BCA" w:rsidRDefault="00F65BCA">
      <w:pPr>
        <w:pStyle w:val="Zkladntext"/>
        <w:rPr>
          <w:sz w:val="14"/>
        </w:rPr>
      </w:pPr>
    </w:p>
    <w:p w14:paraId="29DF1EAE" w14:textId="77777777" w:rsidR="00F65BCA" w:rsidRDefault="00216117">
      <w:pPr>
        <w:spacing w:before="120"/>
        <w:ind w:left="173"/>
        <w:rPr>
          <w:sz w:val="12"/>
        </w:rPr>
      </w:pPr>
      <w:r>
        <w:rPr>
          <w:color w:val="231F20"/>
          <w:sz w:val="12"/>
        </w:rPr>
        <w:t>do</w:t>
      </w:r>
      <w:r>
        <w:rPr>
          <w:color w:val="231F20"/>
          <w:spacing w:val="2"/>
          <w:sz w:val="12"/>
        </w:rPr>
        <w:t xml:space="preserve"> </w:t>
      </w:r>
      <w:r>
        <w:rPr>
          <w:color w:val="231F20"/>
          <w:sz w:val="12"/>
        </w:rPr>
        <w:t>56</w:t>
      </w:r>
    </w:p>
    <w:p w14:paraId="6FA8C21D" w14:textId="77777777" w:rsidR="00F65BCA" w:rsidRDefault="00F65BCA">
      <w:pPr>
        <w:pStyle w:val="Zkladntext"/>
        <w:spacing w:before="7"/>
        <w:rPr>
          <w:sz w:val="18"/>
        </w:rPr>
      </w:pPr>
    </w:p>
    <w:p w14:paraId="382BC89F" w14:textId="77777777" w:rsidR="00F65BCA" w:rsidRDefault="00216117">
      <w:pPr>
        <w:ind w:left="173"/>
        <w:rPr>
          <w:sz w:val="12"/>
        </w:rPr>
      </w:pPr>
      <w:r>
        <w:rPr>
          <w:color w:val="231F20"/>
          <w:sz w:val="12"/>
        </w:rPr>
        <w:t>do</w:t>
      </w:r>
      <w:r>
        <w:rPr>
          <w:color w:val="231F20"/>
          <w:spacing w:val="2"/>
          <w:sz w:val="12"/>
        </w:rPr>
        <w:t xml:space="preserve"> </w:t>
      </w:r>
      <w:r>
        <w:rPr>
          <w:color w:val="231F20"/>
          <w:sz w:val="12"/>
        </w:rPr>
        <w:t>35</w:t>
      </w:r>
    </w:p>
    <w:p w14:paraId="02BC5FCC" w14:textId="77777777" w:rsidR="00F65BCA" w:rsidRDefault="00216117">
      <w:pPr>
        <w:spacing w:before="38"/>
        <w:ind w:left="173"/>
        <w:rPr>
          <w:sz w:val="12"/>
        </w:rPr>
      </w:pPr>
      <w:r>
        <w:rPr>
          <w:color w:val="231F20"/>
          <w:sz w:val="12"/>
        </w:rPr>
        <w:t>do</w:t>
      </w:r>
      <w:r>
        <w:rPr>
          <w:color w:val="231F20"/>
          <w:spacing w:val="2"/>
          <w:sz w:val="12"/>
        </w:rPr>
        <w:t xml:space="preserve"> </w:t>
      </w:r>
      <w:r>
        <w:rPr>
          <w:color w:val="231F20"/>
          <w:sz w:val="12"/>
        </w:rPr>
        <w:t>63</w:t>
      </w:r>
    </w:p>
    <w:p w14:paraId="0FB3B508" w14:textId="77777777" w:rsidR="00F65BCA" w:rsidRDefault="00F65BCA">
      <w:pPr>
        <w:pStyle w:val="Zkladntext"/>
        <w:spacing w:before="6"/>
        <w:rPr>
          <w:sz w:val="18"/>
        </w:rPr>
      </w:pPr>
    </w:p>
    <w:p w14:paraId="7C34B5EB" w14:textId="77777777" w:rsidR="00F65BCA" w:rsidRDefault="00216117">
      <w:pPr>
        <w:ind w:left="173"/>
        <w:rPr>
          <w:sz w:val="12"/>
        </w:rPr>
      </w:pPr>
      <w:r>
        <w:rPr>
          <w:color w:val="231F20"/>
          <w:sz w:val="12"/>
        </w:rPr>
        <w:t>do</w:t>
      </w:r>
      <w:r>
        <w:rPr>
          <w:color w:val="231F20"/>
          <w:spacing w:val="2"/>
          <w:sz w:val="12"/>
        </w:rPr>
        <w:t xml:space="preserve"> </w:t>
      </w:r>
      <w:r>
        <w:rPr>
          <w:color w:val="231F20"/>
          <w:sz w:val="12"/>
        </w:rPr>
        <w:t>49</w:t>
      </w:r>
    </w:p>
    <w:p w14:paraId="0D33EA31" w14:textId="77777777" w:rsidR="00F65BCA" w:rsidRDefault="00216117">
      <w:pPr>
        <w:spacing w:before="106"/>
        <w:ind w:left="173"/>
        <w:rPr>
          <w:sz w:val="12"/>
        </w:rPr>
      </w:pPr>
      <w:r>
        <w:rPr>
          <w:color w:val="231F20"/>
          <w:sz w:val="12"/>
        </w:rPr>
        <w:t>do</w:t>
      </w:r>
      <w:r>
        <w:rPr>
          <w:color w:val="231F20"/>
          <w:spacing w:val="2"/>
          <w:sz w:val="12"/>
        </w:rPr>
        <w:t xml:space="preserve"> </w:t>
      </w:r>
      <w:r>
        <w:rPr>
          <w:color w:val="231F20"/>
          <w:sz w:val="12"/>
        </w:rPr>
        <w:t>70</w:t>
      </w:r>
    </w:p>
    <w:p w14:paraId="1BAC09FB" w14:textId="77777777" w:rsidR="00F65BCA" w:rsidRDefault="00216117">
      <w:pPr>
        <w:spacing w:before="109"/>
        <w:ind w:left="139"/>
        <w:rPr>
          <w:sz w:val="12"/>
        </w:rPr>
      </w:pPr>
      <w:r>
        <w:rPr>
          <w:color w:val="231F20"/>
          <w:sz w:val="12"/>
        </w:rPr>
        <w:t>do</w:t>
      </w:r>
      <w:r>
        <w:rPr>
          <w:color w:val="231F20"/>
          <w:spacing w:val="2"/>
          <w:sz w:val="12"/>
        </w:rPr>
        <w:t xml:space="preserve"> </w:t>
      </w:r>
      <w:r>
        <w:rPr>
          <w:color w:val="231F20"/>
          <w:sz w:val="12"/>
        </w:rPr>
        <w:t>105</w:t>
      </w:r>
    </w:p>
    <w:p w14:paraId="3207B428" w14:textId="77777777" w:rsidR="00F65BCA" w:rsidRDefault="00216117">
      <w:pPr>
        <w:spacing w:before="43"/>
        <w:ind w:left="173"/>
        <w:rPr>
          <w:sz w:val="12"/>
        </w:rPr>
      </w:pPr>
      <w:r>
        <w:rPr>
          <w:color w:val="231F20"/>
          <w:sz w:val="12"/>
        </w:rPr>
        <w:t>do</w:t>
      </w:r>
      <w:r>
        <w:rPr>
          <w:color w:val="231F20"/>
          <w:spacing w:val="2"/>
          <w:sz w:val="12"/>
        </w:rPr>
        <w:t xml:space="preserve"> </w:t>
      </w:r>
      <w:r>
        <w:rPr>
          <w:color w:val="231F20"/>
          <w:sz w:val="12"/>
        </w:rPr>
        <w:t>84</w:t>
      </w:r>
    </w:p>
    <w:p w14:paraId="6C97316E" w14:textId="77777777" w:rsidR="00F65BCA" w:rsidRDefault="00216117">
      <w:pPr>
        <w:spacing w:before="44"/>
        <w:ind w:left="139"/>
        <w:rPr>
          <w:sz w:val="12"/>
        </w:rPr>
      </w:pPr>
      <w:r>
        <w:rPr>
          <w:color w:val="231F20"/>
          <w:sz w:val="12"/>
        </w:rPr>
        <w:t>do</w:t>
      </w:r>
      <w:r>
        <w:rPr>
          <w:color w:val="231F20"/>
          <w:spacing w:val="2"/>
          <w:sz w:val="12"/>
        </w:rPr>
        <w:t xml:space="preserve"> </w:t>
      </w:r>
      <w:r>
        <w:rPr>
          <w:color w:val="231F20"/>
          <w:sz w:val="12"/>
        </w:rPr>
        <w:t>119</w:t>
      </w:r>
    </w:p>
    <w:p w14:paraId="7F502D10" w14:textId="77777777" w:rsidR="00F65BCA" w:rsidRDefault="00F65BCA">
      <w:pPr>
        <w:pStyle w:val="Zkladntext"/>
        <w:rPr>
          <w:sz w:val="14"/>
        </w:rPr>
      </w:pPr>
    </w:p>
    <w:p w14:paraId="41DDB26D" w14:textId="77777777" w:rsidR="00F65BCA" w:rsidRDefault="00216117">
      <w:pPr>
        <w:spacing w:before="80"/>
        <w:ind w:left="173"/>
        <w:rPr>
          <w:sz w:val="12"/>
        </w:rPr>
      </w:pPr>
      <w:r>
        <w:rPr>
          <w:color w:val="231F20"/>
          <w:sz w:val="12"/>
        </w:rPr>
        <w:t>do</w:t>
      </w:r>
      <w:r>
        <w:rPr>
          <w:color w:val="231F20"/>
          <w:spacing w:val="2"/>
          <w:sz w:val="12"/>
        </w:rPr>
        <w:t xml:space="preserve"> </w:t>
      </w:r>
      <w:r>
        <w:rPr>
          <w:color w:val="231F20"/>
          <w:sz w:val="12"/>
        </w:rPr>
        <w:t>84</w:t>
      </w:r>
    </w:p>
    <w:p w14:paraId="7112E3ED" w14:textId="77777777" w:rsidR="00F65BCA" w:rsidRDefault="00216117">
      <w:pPr>
        <w:spacing w:before="44"/>
        <w:ind w:left="139"/>
        <w:rPr>
          <w:sz w:val="12"/>
        </w:rPr>
      </w:pPr>
      <w:r>
        <w:rPr>
          <w:color w:val="231F20"/>
          <w:sz w:val="12"/>
        </w:rPr>
        <w:t>do</w:t>
      </w:r>
      <w:r>
        <w:rPr>
          <w:color w:val="231F20"/>
          <w:spacing w:val="2"/>
          <w:sz w:val="12"/>
        </w:rPr>
        <w:t xml:space="preserve"> </w:t>
      </w:r>
      <w:r>
        <w:rPr>
          <w:color w:val="231F20"/>
          <w:sz w:val="12"/>
        </w:rPr>
        <w:t>140</w:t>
      </w:r>
    </w:p>
    <w:p w14:paraId="7CBEDD40" w14:textId="77777777" w:rsidR="00F65BCA" w:rsidRDefault="00F65BCA">
      <w:pPr>
        <w:pStyle w:val="Zkladntext"/>
        <w:rPr>
          <w:sz w:val="14"/>
        </w:rPr>
      </w:pPr>
    </w:p>
    <w:p w14:paraId="413ADEA7" w14:textId="77777777" w:rsidR="00F65BCA" w:rsidRDefault="00216117">
      <w:pPr>
        <w:spacing w:before="81"/>
        <w:ind w:left="173"/>
        <w:rPr>
          <w:sz w:val="12"/>
        </w:rPr>
      </w:pPr>
      <w:r>
        <w:rPr>
          <w:color w:val="231F20"/>
          <w:sz w:val="12"/>
        </w:rPr>
        <w:t>do</w:t>
      </w:r>
      <w:r>
        <w:rPr>
          <w:color w:val="231F20"/>
          <w:spacing w:val="2"/>
          <w:sz w:val="12"/>
        </w:rPr>
        <w:t xml:space="preserve"> </w:t>
      </w:r>
      <w:r>
        <w:rPr>
          <w:color w:val="231F20"/>
          <w:sz w:val="12"/>
        </w:rPr>
        <w:t>84</w:t>
      </w:r>
    </w:p>
    <w:p w14:paraId="0A7C96FF" w14:textId="77777777" w:rsidR="00F65BCA" w:rsidRDefault="00216117">
      <w:pPr>
        <w:spacing w:before="43"/>
        <w:ind w:left="139"/>
        <w:rPr>
          <w:sz w:val="12"/>
        </w:rPr>
      </w:pPr>
      <w:r>
        <w:rPr>
          <w:color w:val="231F20"/>
          <w:sz w:val="12"/>
        </w:rPr>
        <w:t>do</w:t>
      </w:r>
      <w:r>
        <w:rPr>
          <w:color w:val="231F20"/>
          <w:spacing w:val="2"/>
          <w:sz w:val="12"/>
        </w:rPr>
        <w:t xml:space="preserve"> </w:t>
      </w:r>
      <w:r>
        <w:rPr>
          <w:color w:val="231F20"/>
          <w:sz w:val="12"/>
        </w:rPr>
        <w:t>119</w:t>
      </w:r>
    </w:p>
    <w:p w14:paraId="68B95E72" w14:textId="77777777" w:rsidR="00F65BCA" w:rsidRDefault="00216117">
      <w:pPr>
        <w:spacing w:before="35"/>
        <w:ind w:left="172"/>
        <w:rPr>
          <w:sz w:val="12"/>
        </w:rPr>
      </w:pPr>
      <w:r>
        <w:rPr>
          <w:color w:val="231F20"/>
          <w:sz w:val="12"/>
        </w:rPr>
        <w:t>do</w:t>
      </w:r>
      <w:r>
        <w:rPr>
          <w:color w:val="231F20"/>
          <w:spacing w:val="2"/>
          <w:sz w:val="12"/>
        </w:rPr>
        <w:t xml:space="preserve"> </w:t>
      </w:r>
      <w:r>
        <w:rPr>
          <w:color w:val="231F20"/>
          <w:sz w:val="12"/>
        </w:rPr>
        <w:t>84</w:t>
      </w:r>
    </w:p>
    <w:p w14:paraId="2A6922E4" w14:textId="77777777" w:rsidR="00F65BCA" w:rsidRDefault="00F65BCA">
      <w:pPr>
        <w:pStyle w:val="Zkladntext"/>
        <w:spacing w:before="2"/>
      </w:pPr>
    </w:p>
    <w:p w14:paraId="1E6C58C0" w14:textId="77777777" w:rsidR="00F65BCA" w:rsidRDefault="00216117">
      <w:pPr>
        <w:ind w:left="139"/>
        <w:rPr>
          <w:sz w:val="12"/>
        </w:rPr>
      </w:pPr>
      <w:r>
        <w:rPr>
          <w:color w:val="231F20"/>
          <w:sz w:val="12"/>
        </w:rPr>
        <w:t>do</w:t>
      </w:r>
      <w:r>
        <w:rPr>
          <w:color w:val="231F20"/>
          <w:spacing w:val="2"/>
          <w:sz w:val="12"/>
        </w:rPr>
        <w:t xml:space="preserve"> </w:t>
      </w:r>
      <w:r>
        <w:rPr>
          <w:color w:val="231F20"/>
          <w:sz w:val="12"/>
        </w:rPr>
        <w:t>119</w:t>
      </w:r>
    </w:p>
    <w:p w14:paraId="3D958203" w14:textId="77777777" w:rsidR="00F65BCA" w:rsidRDefault="00F65BCA">
      <w:pPr>
        <w:pStyle w:val="Zkladntext"/>
        <w:rPr>
          <w:sz w:val="14"/>
        </w:rPr>
      </w:pPr>
    </w:p>
    <w:p w14:paraId="2BA972C6" w14:textId="77777777" w:rsidR="00F65BCA" w:rsidRDefault="00216117">
      <w:pPr>
        <w:spacing w:before="86"/>
        <w:ind w:left="173"/>
        <w:rPr>
          <w:sz w:val="12"/>
        </w:rPr>
      </w:pPr>
      <w:r>
        <w:rPr>
          <w:color w:val="231F20"/>
          <w:sz w:val="12"/>
        </w:rPr>
        <w:t>do</w:t>
      </w:r>
      <w:r>
        <w:rPr>
          <w:color w:val="231F20"/>
          <w:spacing w:val="2"/>
          <w:sz w:val="12"/>
        </w:rPr>
        <w:t xml:space="preserve"> </w:t>
      </w:r>
      <w:r>
        <w:rPr>
          <w:color w:val="231F20"/>
          <w:sz w:val="12"/>
        </w:rPr>
        <w:t>70</w:t>
      </w:r>
    </w:p>
    <w:p w14:paraId="1EA4ECEC" w14:textId="77777777" w:rsidR="00F65BCA" w:rsidRDefault="00216117">
      <w:pPr>
        <w:spacing w:before="115"/>
        <w:ind w:left="139"/>
        <w:rPr>
          <w:sz w:val="12"/>
        </w:rPr>
      </w:pPr>
      <w:r>
        <w:rPr>
          <w:color w:val="231F20"/>
          <w:sz w:val="12"/>
        </w:rPr>
        <w:t>do</w:t>
      </w:r>
      <w:r>
        <w:rPr>
          <w:color w:val="231F20"/>
          <w:spacing w:val="2"/>
          <w:sz w:val="12"/>
        </w:rPr>
        <w:t xml:space="preserve"> </w:t>
      </w:r>
      <w:r>
        <w:rPr>
          <w:color w:val="231F20"/>
          <w:sz w:val="12"/>
        </w:rPr>
        <w:t>112</w:t>
      </w:r>
    </w:p>
    <w:p w14:paraId="3821EF27" w14:textId="77777777" w:rsidR="00F65BCA" w:rsidRDefault="00216117">
      <w:pPr>
        <w:pStyle w:val="Zkladntext"/>
        <w:spacing w:before="6"/>
        <w:rPr>
          <w:sz w:val="16"/>
        </w:rPr>
      </w:pPr>
      <w:r>
        <w:br w:type="column"/>
      </w:r>
    </w:p>
    <w:p w14:paraId="08E087B5" w14:textId="77777777" w:rsidR="00F65BCA" w:rsidRDefault="00216117">
      <w:pPr>
        <w:ind w:left="455"/>
        <w:rPr>
          <w:b/>
          <w:sz w:val="12"/>
        </w:rPr>
      </w:pPr>
      <w:r>
        <w:rPr>
          <w:b/>
          <w:color w:val="231F20"/>
          <w:sz w:val="12"/>
        </w:rPr>
        <w:t>Zlomenina horního konce kosti loketní</w:t>
      </w:r>
    </w:p>
    <w:p w14:paraId="28C2EABF" w14:textId="77777777" w:rsidR="00F65BCA" w:rsidRDefault="00216117">
      <w:pPr>
        <w:pStyle w:val="Odstavecseseznamem"/>
        <w:numPr>
          <w:ilvl w:val="0"/>
          <w:numId w:val="63"/>
        </w:numPr>
        <w:tabs>
          <w:tab w:val="left" w:pos="456"/>
        </w:tabs>
        <w:spacing w:before="27"/>
        <w:ind w:hanging="273"/>
        <w:rPr>
          <w:sz w:val="12"/>
        </w:rPr>
      </w:pPr>
      <w:r>
        <w:rPr>
          <w:color w:val="231F20"/>
          <w:sz w:val="12"/>
        </w:rPr>
        <w:t>okovce kosti loketní léčená</w:t>
      </w:r>
      <w:r>
        <w:rPr>
          <w:color w:val="231F20"/>
          <w:spacing w:val="-16"/>
          <w:sz w:val="12"/>
        </w:rPr>
        <w:t xml:space="preserve"> </w:t>
      </w:r>
      <w:r>
        <w:rPr>
          <w:color w:val="231F20"/>
          <w:sz w:val="12"/>
        </w:rPr>
        <w:t>konzervativně</w:t>
      </w:r>
    </w:p>
    <w:p w14:paraId="58B45982" w14:textId="77777777" w:rsidR="00F65BCA" w:rsidRDefault="00216117">
      <w:pPr>
        <w:pStyle w:val="Odstavecseseznamem"/>
        <w:numPr>
          <w:ilvl w:val="0"/>
          <w:numId w:val="63"/>
        </w:numPr>
        <w:tabs>
          <w:tab w:val="left" w:pos="456"/>
        </w:tabs>
        <w:spacing w:before="21"/>
        <w:ind w:hanging="273"/>
        <w:rPr>
          <w:sz w:val="12"/>
        </w:rPr>
      </w:pPr>
      <w:r>
        <w:rPr>
          <w:color w:val="231F20"/>
          <w:sz w:val="12"/>
        </w:rPr>
        <w:t>okovce kosti loketní léčená</w:t>
      </w:r>
      <w:r>
        <w:rPr>
          <w:color w:val="231F20"/>
          <w:spacing w:val="-9"/>
          <w:sz w:val="12"/>
        </w:rPr>
        <w:t xml:space="preserve"> </w:t>
      </w:r>
      <w:r>
        <w:rPr>
          <w:color w:val="231F20"/>
          <w:sz w:val="12"/>
        </w:rPr>
        <w:t>operací</w:t>
      </w:r>
    </w:p>
    <w:p w14:paraId="19DAABF1" w14:textId="77777777" w:rsidR="00F65BCA" w:rsidRDefault="00216117">
      <w:pPr>
        <w:pStyle w:val="Odstavecseseznamem"/>
        <w:numPr>
          <w:ilvl w:val="0"/>
          <w:numId w:val="63"/>
        </w:numPr>
        <w:tabs>
          <w:tab w:val="left" w:pos="456"/>
        </w:tabs>
        <w:spacing w:before="20"/>
        <w:ind w:hanging="273"/>
        <w:rPr>
          <w:sz w:val="12"/>
        </w:rPr>
      </w:pPr>
      <w:r>
        <w:rPr>
          <w:color w:val="231F20"/>
          <w:sz w:val="12"/>
        </w:rPr>
        <w:t>korunového výběžku léčená</w:t>
      </w:r>
      <w:r>
        <w:rPr>
          <w:color w:val="231F20"/>
          <w:spacing w:val="-15"/>
          <w:sz w:val="12"/>
        </w:rPr>
        <w:t xml:space="preserve"> </w:t>
      </w:r>
      <w:r>
        <w:rPr>
          <w:color w:val="231F20"/>
          <w:sz w:val="12"/>
        </w:rPr>
        <w:t>konzervativně</w:t>
      </w:r>
    </w:p>
    <w:p w14:paraId="7502FC9D" w14:textId="77777777" w:rsidR="00F65BCA" w:rsidRDefault="00216117">
      <w:pPr>
        <w:pStyle w:val="Odstavecseseznamem"/>
        <w:numPr>
          <w:ilvl w:val="0"/>
          <w:numId w:val="63"/>
        </w:numPr>
        <w:tabs>
          <w:tab w:val="left" w:pos="456"/>
        </w:tabs>
        <w:spacing w:before="21"/>
        <w:ind w:hanging="273"/>
        <w:rPr>
          <w:sz w:val="12"/>
        </w:rPr>
      </w:pPr>
      <w:r>
        <w:rPr>
          <w:color w:val="231F20"/>
          <w:sz w:val="12"/>
        </w:rPr>
        <w:t>korunového výběžku léčená</w:t>
      </w:r>
      <w:r>
        <w:rPr>
          <w:color w:val="231F20"/>
          <w:spacing w:val="-8"/>
          <w:sz w:val="12"/>
        </w:rPr>
        <w:t xml:space="preserve"> </w:t>
      </w:r>
      <w:r>
        <w:rPr>
          <w:color w:val="231F20"/>
          <w:sz w:val="12"/>
        </w:rPr>
        <w:t>operací</w:t>
      </w:r>
    </w:p>
    <w:p w14:paraId="0EA1F87E" w14:textId="77777777" w:rsidR="00F65BCA" w:rsidRDefault="00216117">
      <w:pPr>
        <w:pStyle w:val="Odstavecseseznamem"/>
        <w:numPr>
          <w:ilvl w:val="0"/>
          <w:numId w:val="63"/>
        </w:numPr>
        <w:tabs>
          <w:tab w:val="left" w:pos="456"/>
        </w:tabs>
        <w:spacing w:before="21"/>
        <w:ind w:hanging="273"/>
        <w:rPr>
          <w:sz w:val="12"/>
        </w:rPr>
      </w:pPr>
      <w:r>
        <w:rPr>
          <w:color w:val="231F20"/>
          <w:w w:val="95"/>
          <w:sz w:val="12"/>
        </w:rPr>
        <w:t>Monteggiova</w:t>
      </w:r>
      <w:r>
        <w:rPr>
          <w:color w:val="231F20"/>
          <w:spacing w:val="-12"/>
          <w:w w:val="95"/>
          <w:sz w:val="12"/>
        </w:rPr>
        <w:t xml:space="preserve"> </w:t>
      </w:r>
      <w:r>
        <w:rPr>
          <w:color w:val="231F20"/>
          <w:w w:val="95"/>
          <w:sz w:val="12"/>
        </w:rPr>
        <w:t>luxační</w:t>
      </w:r>
      <w:r>
        <w:rPr>
          <w:color w:val="231F20"/>
          <w:spacing w:val="-12"/>
          <w:w w:val="95"/>
          <w:sz w:val="12"/>
        </w:rPr>
        <w:t xml:space="preserve"> </w:t>
      </w:r>
      <w:r>
        <w:rPr>
          <w:color w:val="231F20"/>
          <w:w w:val="95"/>
          <w:sz w:val="12"/>
        </w:rPr>
        <w:t>zlomenina</w:t>
      </w:r>
      <w:r>
        <w:rPr>
          <w:color w:val="231F20"/>
          <w:spacing w:val="-12"/>
          <w:w w:val="95"/>
          <w:sz w:val="12"/>
        </w:rPr>
        <w:t xml:space="preserve"> </w:t>
      </w:r>
      <w:r>
        <w:rPr>
          <w:color w:val="231F20"/>
          <w:w w:val="95"/>
          <w:sz w:val="12"/>
        </w:rPr>
        <w:t>léčená</w:t>
      </w:r>
      <w:r>
        <w:rPr>
          <w:color w:val="231F20"/>
          <w:spacing w:val="-12"/>
          <w:w w:val="95"/>
          <w:sz w:val="12"/>
        </w:rPr>
        <w:t xml:space="preserve"> </w:t>
      </w:r>
      <w:r>
        <w:rPr>
          <w:color w:val="231F20"/>
          <w:w w:val="95"/>
          <w:sz w:val="12"/>
        </w:rPr>
        <w:t>konzervativně</w:t>
      </w:r>
    </w:p>
    <w:p w14:paraId="76C6AB26" w14:textId="77777777" w:rsidR="00F65BCA" w:rsidRDefault="00216117">
      <w:pPr>
        <w:pStyle w:val="Odstavecseseznamem"/>
        <w:numPr>
          <w:ilvl w:val="0"/>
          <w:numId w:val="63"/>
        </w:numPr>
        <w:tabs>
          <w:tab w:val="left" w:pos="456"/>
        </w:tabs>
        <w:spacing w:before="21"/>
        <w:ind w:hanging="273"/>
        <w:rPr>
          <w:sz w:val="12"/>
        </w:rPr>
      </w:pPr>
      <w:r>
        <w:rPr>
          <w:color w:val="231F20"/>
          <w:spacing w:val="-3"/>
          <w:sz w:val="12"/>
        </w:rPr>
        <w:t>Monteggiova</w:t>
      </w:r>
      <w:r>
        <w:rPr>
          <w:color w:val="231F20"/>
          <w:spacing w:val="-14"/>
          <w:sz w:val="12"/>
        </w:rPr>
        <w:t xml:space="preserve"> </w:t>
      </w:r>
      <w:r>
        <w:rPr>
          <w:color w:val="231F20"/>
          <w:spacing w:val="-3"/>
          <w:sz w:val="12"/>
        </w:rPr>
        <w:t>luxační</w:t>
      </w:r>
      <w:r>
        <w:rPr>
          <w:color w:val="231F20"/>
          <w:spacing w:val="-13"/>
          <w:sz w:val="12"/>
        </w:rPr>
        <w:t xml:space="preserve"> </w:t>
      </w:r>
      <w:r>
        <w:rPr>
          <w:color w:val="231F20"/>
          <w:spacing w:val="-3"/>
          <w:sz w:val="12"/>
        </w:rPr>
        <w:t>zlomenina</w:t>
      </w:r>
      <w:r>
        <w:rPr>
          <w:color w:val="231F20"/>
          <w:spacing w:val="-13"/>
          <w:sz w:val="12"/>
        </w:rPr>
        <w:t xml:space="preserve"> </w:t>
      </w:r>
      <w:r>
        <w:rPr>
          <w:color w:val="231F20"/>
          <w:spacing w:val="-3"/>
          <w:sz w:val="12"/>
        </w:rPr>
        <w:t>léčená</w:t>
      </w:r>
      <w:r>
        <w:rPr>
          <w:color w:val="231F20"/>
          <w:spacing w:val="-13"/>
          <w:sz w:val="12"/>
        </w:rPr>
        <w:t xml:space="preserve"> </w:t>
      </w:r>
      <w:r>
        <w:rPr>
          <w:color w:val="231F20"/>
          <w:spacing w:val="-3"/>
          <w:sz w:val="12"/>
        </w:rPr>
        <w:t>operací</w:t>
      </w:r>
    </w:p>
    <w:p w14:paraId="3EA0C58B" w14:textId="77777777" w:rsidR="00F65BCA" w:rsidRDefault="00216117">
      <w:pPr>
        <w:spacing w:before="26"/>
        <w:ind w:left="455"/>
        <w:rPr>
          <w:b/>
          <w:sz w:val="12"/>
        </w:rPr>
      </w:pPr>
      <w:r>
        <w:rPr>
          <w:b/>
          <w:color w:val="231F20"/>
          <w:sz w:val="12"/>
        </w:rPr>
        <w:t>Zlomenina těla kosti loketní</w:t>
      </w:r>
    </w:p>
    <w:p w14:paraId="38C73F56" w14:textId="77777777" w:rsidR="00F65BCA" w:rsidRDefault="00216117">
      <w:pPr>
        <w:pStyle w:val="Odstavecseseznamem"/>
        <w:numPr>
          <w:ilvl w:val="0"/>
          <w:numId w:val="63"/>
        </w:numPr>
        <w:tabs>
          <w:tab w:val="left" w:pos="456"/>
        </w:tabs>
        <w:spacing w:before="26"/>
        <w:ind w:hanging="273"/>
        <w:rPr>
          <w:sz w:val="12"/>
        </w:rPr>
      </w:pPr>
      <w:r>
        <w:rPr>
          <w:color w:val="231F20"/>
          <w:sz w:val="12"/>
        </w:rPr>
        <w:t>léčená</w:t>
      </w:r>
      <w:r>
        <w:rPr>
          <w:color w:val="231F20"/>
          <w:spacing w:val="-2"/>
          <w:sz w:val="12"/>
        </w:rPr>
        <w:t xml:space="preserve"> </w:t>
      </w:r>
      <w:r>
        <w:rPr>
          <w:color w:val="231F20"/>
          <w:sz w:val="12"/>
        </w:rPr>
        <w:t>konzervativně</w:t>
      </w:r>
    </w:p>
    <w:p w14:paraId="4ED597EA" w14:textId="77777777" w:rsidR="00F65BCA" w:rsidRDefault="00216117">
      <w:pPr>
        <w:pStyle w:val="Odstavecseseznamem"/>
        <w:numPr>
          <w:ilvl w:val="0"/>
          <w:numId w:val="63"/>
        </w:numPr>
        <w:tabs>
          <w:tab w:val="left" w:pos="456"/>
        </w:tabs>
        <w:spacing w:before="21"/>
        <w:ind w:hanging="273"/>
        <w:rPr>
          <w:sz w:val="12"/>
        </w:rPr>
      </w:pPr>
      <w:r>
        <w:rPr>
          <w:color w:val="231F20"/>
          <w:sz w:val="12"/>
        </w:rPr>
        <w:t>otevřená nebo</w:t>
      </w:r>
      <w:r>
        <w:rPr>
          <w:color w:val="231F20"/>
          <w:spacing w:val="-3"/>
          <w:sz w:val="12"/>
        </w:rPr>
        <w:t xml:space="preserve"> </w:t>
      </w:r>
      <w:r>
        <w:rPr>
          <w:color w:val="231F20"/>
          <w:sz w:val="12"/>
        </w:rPr>
        <w:t>operovaná</w:t>
      </w:r>
    </w:p>
    <w:p w14:paraId="7331C565" w14:textId="77777777" w:rsidR="00F65BCA" w:rsidRDefault="00216117">
      <w:pPr>
        <w:spacing w:before="27"/>
        <w:ind w:left="455"/>
        <w:rPr>
          <w:b/>
          <w:sz w:val="12"/>
        </w:rPr>
      </w:pPr>
      <w:r>
        <w:rPr>
          <w:b/>
          <w:color w:val="231F20"/>
          <w:sz w:val="12"/>
        </w:rPr>
        <w:t>Zlomenina dolního konce kosti</w:t>
      </w:r>
      <w:r>
        <w:rPr>
          <w:b/>
          <w:color w:val="231F20"/>
          <w:spacing w:val="-4"/>
          <w:sz w:val="12"/>
        </w:rPr>
        <w:t xml:space="preserve"> </w:t>
      </w:r>
      <w:r>
        <w:rPr>
          <w:b/>
          <w:color w:val="231F20"/>
          <w:sz w:val="12"/>
        </w:rPr>
        <w:t>loketní</w:t>
      </w:r>
    </w:p>
    <w:p w14:paraId="576EA847" w14:textId="77777777" w:rsidR="00F65BCA" w:rsidRDefault="00216117">
      <w:pPr>
        <w:pStyle w:val="Odstavecseseznamem"/>
        <w:numPr>
          <w:ilvl w:val="0"/>
          <w:numId w:val="63"/>
        </w:numPr>
        <w:tabs>
          <w:tab w:val="left" w:pos="456"/>
        </w:tabs>
        <w:spacing w:before="32"/>
        <w:ind w:hanging="273"/>
        <w:rPr>
          <w:sz w:val="12"/>
        </w:rPr>
      </w:pPr>
      <w:r>
        <w:rPr>
          <w:color w:val="231F20"/>
          <w:sz w:val="12"/>
        </w:rPr>
        <w:t>bodcovitého</w:t>
      </w:r>
      <w:r>
        <w:rPr>
          <w:color w:val="231F20"/>
          <w:spacing w:val="-17"/>
          <w:sz w:val="12"/>
        </w:rPr>
        <w:t xml:space="preserve"> </w:t>
      </w:r>
      <w:r>
        <w:rPr>
          <w:color w:val="231F20"/>
          <w:sz w:val="12"/>
        </w:rPr>
        <w:t>výběžku</w:t>
      </w:r>
      <w:r>
        <w:rPr>
          <w:color w:val="231F20"/>
          <w:spacing w:val="-17"/>
          <w:sz w:val="12"/>
        </w:rPr>
        <w:t xml:space="preserve"> </w:t>
      </w:r>
      <w:r>
        <w:rPr>
          <w:color w:val="231F20"/>
          <w:sz w:val="12"/>
        </w:rPr>
        <w:t>kosti</w:t>
      </w:r>
      <w:r>
        <w:rPr>
          <w:color w:val="231F20"/>
          <w:spacing w:val="-16"/>
          <w:sz w:val="12"/>
        </w:rPr>
        <w:t xml:space="preserve"> </w:t>
      </w:r>
      <w:r>
        <w:rPr>
          <w:color w:val="231F20"/>
          <w:sz w:val="12"/>
        </w:rPr>
        <w:t>loketní</w:t>
      </w:r>
    </w:p>
    <w:p w14:paraId="4B3A9DE9" w14:textId="77777777" w:rsidR="00F65BCA" w:rsidRDefault="00216117">
      <w:pPr>
        <w:spacing w:before="33" w:line="242" w:lineRule="auto"/>
        <w:ind w:left="455" w:right="64"/>
        <w:rPr>
          <w:b/>
          <w:sz w:val="12"/>
        </w:rPr>
      </w:pPr>
      <w:r>
        <w:rPr>
          <w:b/>
          <w:color w:val="231F20"/>
          <w:sz w:val="12"/>
        </w:rPr>
        <w:t>Zlomenina horního konce kosti vřetenní – hla- vičky i krčku</w:t>
      </w:r>
    </w:p>
    <w:p w14:paraId="22C8BFA0" w14:textId="77777777" w:rsidR="00F65BCA" w:rsidRDefault="00216117">
      <w:pPr>
        <w:pStyle w:val="Odstavecseseznamem"/>
        <w:numPr>
          <w:ilvl w:val="0"/>
          <w:numId w:val="63"/>
        </w:numPr>
        <w:tabs>
          <w:tab w:val="left" w:pos="456"/>
        </w:tabs>
        <w:spacing w:before="26"/>
        <w:ind w:hanging="273"/>
        <w:rPr>
          <w:sz w:val="12"/>
        </w:rPr>
      </w:pPr>
      <w:r>
        <w:rPr>
          <w:color w:val="231F20"/>
          <w:sz w:val="12"/>
        </w:rPr>
        <w:t>léčená</w:t>
      </w:r>
      <w:r>
        <w:rPr>
          <w:color w:val="231F20"/>
          <w:spacing w:val="-2"/>
          <w:sz w:val="12"/>
        </w:rPr>
        <w:t xml:space="preserve"> </w:t>
      </w:r>
      <w:r>
        <w:rPr>
          <w:color w:val="231F20"/>
          <w:sz w:val="12"/>
        </w:rPr>
        <w:t>konzervativně</w:t>
      </w:r>
    </w:p>
    <w:p w14:paraId="0A6C17A6" w14:textId="77777777" w:rsidR="00F65BCA" w:rsidRDefault="00216117">
      <w:pPr>
        <w:pStyle w:val="Odstavecseseznamem"/>
        <w:numPr>
          <w:ilvl w:val="0"/>
          <w:numId w:val="63"/>
        </w:numPr>
        <w:tabs>
          <w:tab w:val="left" w:pos="456"/>
        </w:tabs>
        <w:spacing w:before="21"/>
        <w:ind w:hanging="273"/>
        <w:rPr>
          <w:sz w:val="12"/>
        </w:rPr>
      </w:pPr>
      <w:r>
        <w:rPr>
          <w:color w:val="231F20"/>
          <w:sz w:val="12"/>
        </w:rPr>
        <w:t>otevřená nebo</w:t>
      </w:r>
      <w:r>
        <w:rPr>
          <w:color w:val="231F20"/>
          <w:spacing w:val="-3"/>
          <w:sz w:val="12"/>
        </w:rPr>
        <w:t xml:space="preserve"> </w:t>
      </w:r>
      <w:r>
        <w:rPr>
          <w:color w:val="231F20"/>
          <w:sz w:val="12"/>
        </w:rPr>
        <w:t>operovaná</w:t>
      </w:r>
    </w:p>
    <w:p w14:paraId="6FD3E975" w14:textId="77777777" w:rsidR="00F65BCA" w:rsidRDefault="00216117">
      <w:pPr>
        <w:spacing w:before="21"/>
        <w:ind w:left="455"/>
        <w:rPr>
          <w:b/>
          <w:sz w:val="12"/>
        </w:rPr>
      </w:pPr>
      <w:r>
        <w:rPr>
          <w:b/>
          <w:color w:val="231F20"/>
          <w:sz w:val="12"/>
        </w:rPr>
        <w:t>Zlomenina těla kosti vřetenní</w:t>
      </w:r>
    </w:p>
    <w:p w14:paraId="2FB02983" w14:textId="77777777" w:rsidR="00F65BCA" w:rsidRDefault="00216117">
      <w:pPr>
        <w:pStyle w:val="Odstavecseseznamem"/>
        <w:numPr>
          <w:ilvl w:val="0"/>
          <w:numId w:val="63"/>
        </w:numPr>
        <w:tabs>
          <w:tab w:val="left" w:pos="456"/>
        </w:tabs>
        <w:spacing w:before="20"/>
        <w:ind w:hanging="273"/>
        <w:rPr>
          <w:sz w:val="12"/>
        </w:rPr>
      </w:pPr>
      <w:r>
        <w:rPr>
          <w:color w:val="231F20"/>
          <w:sz w:val="12"/>
        </w:rPr>
        <w:t>léčená</w:t>
      </w:r>
      <w:r>
        <w:rPr>
          <w:color w:val="231F20"/>
          <w:spacing w:val="-2"/>
          <w:sz w:val="12"/>
        </w:rPr>
        <w:t xml:space="preserve"> </w:t>
      </w:r>
      <w:r>
        <w:rPr>
          <w:color w:val="231F20"/>
          <w:sz w:val="12"/>
        </w:rPr>
        <w:t>konzervativně</w:t>
      </w:r>
    </w:p>
    <w:p w14:paraId="143551BF" w14:textId="77777777" w:rsidR="00F65BCA" w:rsidRDefault="00216117">
      <w:pPr>
        <w:pStyle w:val="Odstavecseseznamem"/>
        <w:numPr>
          <w:ilvl w:val="0"/>
          <w:numId w:val="63"/>
        </w:numPr>
        <w:tabs>
          <w:tab w:val="left" w:pos="456"/>
        </w:tabs>
        <w:spacing w:before="21"/>
        <w:ind w:hanging="273"/>
        <w:rPr>
          <w:sz w:val="12"/>
        </w:rPr>
      </w:pPr>
      <w:r>
        <w:rPr>
          <w:color w:val="231F20"/>
          <w:sz w:val="12"/>
        </w:rPr>
        <w:t>otevřená nebo</w:t>
      </w:r>
      <w:r>
        <w:rPr>
          <w:color w:val="231F20"/>
          <w:spacing w:val="-3"/>
          <w:sz w:val="12"/>
        </w:rPr>
        <w:t xml:space="preserve"> </w:t>
      </w:r>
      <w:r>
        <w:rPr>
          <w:color w:val="231F20"/>
          <w:sz w:val="12"/>
        </w:rPr>
        <w:t>operovaná</w:t>
      </w:r>
    </w:p>
    <w:p w14:paraId="5C8DC6FB" w14:textId="77777777" w:rsidR="00F65BCA" w:rsidRDefault="00216117">
      <w:pPr>
        <w:spacing w:before="21"/>
        <w:ind w:left="455"/>
        <w:rPr>
          <w:b/>
          <w:sz w:val="12"/>
        </w:rPr>
      </w:pPr>
      <w:r>
        <w:rPr>
          <w:b/>
          <w:color w:val="231F20"/>
          <w:sz w:val="12"/>
        </w:rPr>
        <w:t>Zlomenina dolního konce kosti vřetenní</w:t>
      </w:r>
    </w:p>
    <w:p w14:paraId="461766AC" w14:textId="77777777" w:rsidR="00F65BCA" w:rsidRDefault="00216117">
      <w:pPr>
        <w:pStyle w:val="Odstavecseseznamem"/>
        <w:numPr>
          <w:ilvl w:val="0"/>
          <w:numId w:val="63"/>
        </w:numPr>
        <w:tabs>
          <w:tab w:val="left" w:pos="456"/>
        </w:tabs>
        <w:spacing w:before="21"/>
        <w:ind w:hanging="273"/>
        <w:rPr>
          <w:sz w:val="12"/>
        </w:rPr>
      </w:pPr>
      <w:r>
        <w:rPr>
          <w:color w:val="231F20"/>
          <w:sz w:val="12"/>
        </w:rPr>
        <w:t>léčená</w:t>
      </w:r>
      <w:r>
        <w:rPr>
          <w:color w:val="231F20"/>
          <w:spacing w:val="-2"/>
          <w:sz w:val="12"/>
        </w:rPr>
        <w:t xml:space="preserve"> </w:t>
      </w:r>
      <w:r>
        <w:rPr>
          <w:color w:val="231F20"/>
          <w:sz w:val="12"/>
        </w:rPr>
        <w:t>konzervativně</w:t>
      </w:r>
    </w:p>
    <w:p w14:paraId="0ACAA603" w14:textId="77777777" w:rsidR="00F65BCA" w:rsidRDefault="00216117">
      <w:pPr>
        <w:pStyle w:val="Odstavecseseznamem"/>
        <w:numPr>
          <w:ilvl w:val="0"/>
          <w:numId w:val="63"/>
        </w:numPr>
        <w:tabs>
          <w:tab w:val="left" w:pos="456"/>
        </w:tabs>
        <w:spacing w:before="20"/>
        <w:ind w:hanging="273"/>
        <w:rPr>
          <w:sz w:val="12"/>
        </w:rPr>
      </w:pPr>
      <w:r>
        <w:rPr>
          <w:color w:val="231F20"/>
          <w:sz w:val="12"/>
        </w:rPr>
        <w:t>otevřená nebo</w:t>
      </w:r>
      <w:r>
        <w:rPr>
          <w:color w:val="231F20"/>
          <w:spacing w:val="-3"/>
          <w:sz w:val="12"/>
        </w:rPr>
        <w:t xml:space="preserve"> </w:t>
      </w:r>
      <w:r>
        <w:rPr>
          <w:color w:val="231F20"/>
          <w:sz w:val="12"/>
        </w:rPr>
        <w:t>operovaná</w:t>
      </w:r>
    </w:p>
    <w:p w14:paraId="1B4F662F" w14:textId="77777777" w:rsidR="00F65BCA" w:rsidRDefault="00216117">
      <w:pPr>
        <w:pStyle w:val="Odstavecseseznamem"/>
        <w:numPr>
          <w:ilvl w:val="0"/>
          <w:numId w:val="63"/>
        </w:numPr>
        <w:tabs>
          <w:tab w:val="left" w:pos="456"/>
        </w:tabs>
        <w:spacing w:before="21"/>
        <w:ind w:hanging="273"/>
        <w:rPr>
          <w:sz w:val="12"/>
        </w:rPr>
      </w:pPr>
      <w:r>
        <w:rPr>
          <w:color w:val="231F20"/>
          <w:w w:val="95"/>
          <w:sz w:val="12"/>
        </w:rPr>
        <w:t>Collesova, Smithova zlomenina léčená</w:t>
      </w:r>
      <w:r>
        <w:rPr>
          <w:color w:val="231F20"/>
          <w:spacing w:val="16"/>
          <w:w w:val="95"/>
          <w:sz w:val="12"/>
        </w:rPr>
        <w:t xml:space="preserve"> </w:t>
      </w:r>
      <w:r>
        <w:rPr>
          <w:color w:val="231F20"/>
          <w:spacing w:val="-2"/>
          <w:w w:val="95"/>
          <w:sz w:val="12"/>
        </w:rPr>
        <w:t>konzervativně</w:t>
      </w:r>
    </w:p>
    <w:p w14:paraId="500FC92D" w14:textId="77777777" w:rsidR="00F65BCA" w:rsidRDefault="00216117">
      <w:pPr>
        <w:pStyle w:val="Odstavecseseznamem"/>
        <w:numPr>
          <w:ilvl w:val="0"/>
          <w:numId w:val="63"/>
        </w:numPr>
        <w:tabs>
          <w:tab w:val="left" w:pos="456"/>
        </w:tabs>
        <w:spacing w:before="21"/>
        <w:ind w:hanging="273"/>
        <w:rPr>
          <w:sz w:val="12"/>
        </w:rPr>
      </w:pPr>
      <w:r>
        <w:rPr>
          <w:color w:val="231F20"/>
          <w:spacing w:val="-4"/>
          <w:sz w:val="12"/>
        </w:rPr>
        <w:t>Collesova,</w:t>
      </w:r>
      <w:r>
        <w:rPr>
          <w:color w:val="231F20"/>
          <w:spacing w:val="-12"/>
          <w:sz w:val="12"/>
        </w:rPr>
        <w:t xml:space="preserve"> </w:t>
      </w:r>
      <w:r>
        <w:rPr>
          <w:color w:val="231F20"/>
          <w:spacing w:val="-4"/>
          <w:sz w:val="12"/>
        </w:rPr>
        <w:t>Smithova</w:t>
      </w:r>
      <w:r>
        <w:rPr>
          <w:color w:val="231F20"/>
          <w:spacing w:val="-12"/>
          <w:sz w:val="12"/>
        </w:rPr>
        <w:t xml:space="preserve"> </w:t>
      </w:r>
      <w:r>
        <w:rPr>
          <w:color w:val="231F20"/>
          <w:spacing w:val="-4"/>
          <w:sz w:val="12"/>
        </w:rPr>
        <w:t>zlomenina</w:t>
      </w:r>
      <w:r>
        <w:rPr>
          <w:color w:val="231F20"/>
          <w:spacing w:val="-12"/>
          <w:sz w:val="12"/>
        </w:rPr>
        <w:t xml:space="preserve"> </w:t>
      </w:r>
      <w:r>
        <w:rPr>
          <w:color w:val="231F20"/>
          <w:spacing w:val="-4"/>
          <w:sz w:val="12"/>
        </w:rPr>
        <w:t>léčená</w:t>
      </w:r>
      <w:r>
        <w:rPr>
          <w:color w:val="231F20"/>
          <w:spacing w:val="-12"/>
          <w:sz w:val="12"/>
        </w:rPr>
        <w:t xml:space="preserve"> </w:t>
      </w:r>
      <w:r>
        <w:rPr>
          <w:color w:val="231F20"/>
          <w:spacing w:val="-3"/>
          <w:sz w:val="12"/>
        </w:rPr>
        <w:t>operací</w:t>
      </w:r>
    </w:p>
    <w:p w14:paraId="08A5B4B8" w14:textId="77777777" w:rsidR="00F65BCA" w:rsidRDefault="00216117">
      <w:pPr>
        <w:pStyle w:val="Odstavecseseznamem"/>
        <w:numPr>
          <w:ilvl w:val="0"/>
          <w:numId w:val="63"/>
        </w:numPr>
        <w:tabs>
          <w:tab w:val="left" w:pos="456"/>
        </w:tabs>
        <w:spacing w:before="21"/>
        <w:ind w:hanging="273"/>
        <w:rPr>
          <w:sz w:val="12"/>
        </w:rPr>
      </w:pPr>
      <w:r>
        <w:rPr>
          <w:color w:val="231F20"/>
          <w:sz w:val="12"/>
        </w:rPr>
        <w:t>bodcovitého výběžku (i</w:t>
      </w:r>
      <w:r>
        <w:rPr>
          <w:color w:val="231F20"/>
          <w:spacing w:val="-7"/>
          <w:sz w:val="12"/>
        </w:rPr>
        <w:t xml:space="preserve"> </w:t>
      </w:r>
      <w:r>
        <w:rPr>
          <w:color w:val="231F20"/>
          <w:sz w:val="12"/>
        </w:rPr>
        <w:t>odlomení)</w:t>
      </w:r>
    </w:p>
    <w:p w14:paraId="5812A380" w14:textId="77777777" w:rsidR="00F65BCA" w:rsidRDefault="00216117">
      <w:pPr>
        <w:pStyle w:val="Odstavecseseznamem"/>
        <w:numPr>
          <w:ilvl w:val="0"/>
          <w:numId w:val="63"/>
        </w:numPr>
        <w:tabs>
          <w:tab w:val="left" w:pos="456"/>
        </w:tabs>
        <w:spacing w:before="20"/>
        <w:ind w:hanging="273"/>
        <w:rPr>
          <w:sz w:val="12"/>
        </w:rPr>
      </w:pPr>
      <w:r>
        <w:rPr>
          <w:color w:val="231F20"/>
          <w:sz w:val="12"/>
        </w:rPr>
        <w:t>epifyzeolysa</w:t>
      </w:r>
    </w:p>
    <w:p w14:paraId="5E17493A" w14:textId="77777777" w:rsidR="00F65BCA" w:rsidRDefault="00216117">
      <w:pPr>
        <w:spacing w:before="21"/>
        <w:ind w:left="455"/>
        <w:rPr>
          <w:b/>
          <w:sz w:val="12"/>
        </w:rPr>
      </w:pPr>
      <w:r>
        <w:rPr>
          <w:b/>
          <w:color w:val="231F20"/>
          <w:sz w:val="12"/>
        </w:rPr>
        <w:t>Zlomenina obou kostí předloktí</w:t>
      </w:r>
    </w:p>
    <w:p w14:paraId="3E612D35" w14:textId="77777777" w:rsidR="00F65BCA" w:rsidRDefault="00216117">
      <w:pPr>
        <w:pStyle w:val="Odstavecseseznamem"/>
        <w:numPr>
          <w:ilvl w:val="0"/>
          <w:numId w:val="63"/>
        </w:numPr>
        <w:tabs>
          <w:tab w:val="left" w:pos="456"/>
        </w:tabs>
        <w:spacing w:before="21"/>
        <w:ind w:hanging="273"/>
        <w:rPr>
          <w:sz w:val="12"/>
        </w:rPr>
      </w:pPr>
      <w:r>
        <w:rPr>
          <w:color w:val="231F20"/>
          <w:sz w:val="12"/>
        </w:rPr>
        <w:t>léčená</w:t>
      </w:r>
      <w:r>
        <w:rPr>
          <w:color w:val="231F20"/>
          <w:spacing w:val="-2"/>
          <w:sz w:val="12"/>
        </w:rPr>
        <w:t xml:space="preserve"> </w:t>
      </w:r>
      <w:r>
        <w:rPr>
          <w:color w:val="231F20"/>
          <w:sz w:val="12"/>
        </w:rPr>
        <w:t>konzervativně</w:t>
      </w:r>
    </w:p>
    <w:p w14:paraId="31101CC0" w14:textId="77777777" w:rsidR="00F65BCA" w:rsidRDefault="00216117">
      <w:pPr>
        <w:pStyle w:val="Odstavecseseznamem"/>
        <w:numPr>
          <w:ilvl w:val="0"/>
          <w:numId w:val="63"/>
        </w:numPr>
        <w:tabs>
          <w:tab w:val="left" w:pos="456"/>
        </w:tabs>
        <w:spacing w:before="21"/>
        <w:ind w:hanging="273"/>
        <w:rPr>
          <w:sz w:val="12"/>
        </w:rPr>
      </w:pPr>
      <w:r>
        <w:rPr>
          <w:color w:val="231F20"/>
          <w:sz w:val="12"/>
        </w:rPr>
        <w:t>otevřená nebo</w:t>
      </w:r>
      <w:r>
        <w:rPr>
          <w:color w:val="231F20"/>
          <w:spacing w:val="-3"/>
          <w:sz w:val="12"/>
        </w:rPr>
        <w:t xml:space="preserve"> </w:t>
      </w:r>
      <w:r>
        <w:rPr>
          <w:color w:val="231F20"/>
          <w:sz w:val="12"/>
        </w:rPr>
        <w:t>operovaná</w:t>
      </w:r>
    </w:p>
    <w:p w14:paraId="522BCB10" w14:textId="77777777" w:rsidR="00F65BCA" w:rsidRDefault="00216117">
      <w:pPr>
        <w:spacing w:before="20"/>
        <w:ind w:left="455"/>
        <w:rPr>
          <w:b/>
          <w:sz w:val="12"/>
        </w:rPr>
      </w:pPr>
      <w:r>
        <w:rPr>
          <w:b/>
          <w:color w:val="231F20"/>
          <w:sz w:val="12"/>
        </w:rPr>
        <w:t>Zlomenina zápěstí</w:t>
      </w:r>
    </w:p>
    <w:p w14:paraId="751A126E" w14:textId="77777777" w:rsidR="00F65BCA" w:rsidRDefault="00216117">
      <w:pPr>
        <w:pStyle w:val="Odstavecseseznamem"/>
        <w:numPr>
          <w:ilvl w:val="0"/>
          <w:numId w:val="63"/>
        </w:numPr>
        <w:tabs>
          <w:tab w:val="left" w:pos="456"/>
        </w:tabs>
        <w:spacing w:before="21"/>
        <w:ind w:hanging="273"/>
        <w:rPr>
          <w:sz w:val="12"/>
        </w:rPr>
      </w:pPr>
      <w:r>
        <w:rPr>
          <w:color w:val="231F20"/>
          <w:sz w:val="12"/>
        </w:rPr>
        <w:t>kosti člunkové léčená</w:t>
      </w:r>
      <w:r>
        <w:rPr>
          <w:color w:val="231F20"/>
          <w:spacing w:val="-8"/>
          <w:sz w:val="12"/>
        </w:rPr>
        <w:t xml:space="preserve"> </w:t>
      </w:r>
      <w:r>
        <w:rPr>
          <w:color w:val="231F20"/>
          <w:sz w:val="12"/>
        </w:rPr>
        <w:t>konzervativně</w:t>
      </w:r>
    </w:p>
    <w:p w14:paraId="0441FC34" w14:textId="77777777" w:rsidR="00F65BCA" w:rsidRDefault="00000000">
      <w:pPr>
        <w:spacing w:before="22" w:line="242" w:lineRule="auto"/>
        <w:ind w:left="455" w:right="43"/>
        <w:rPr>
          <w:sz w:val="12"/>
        </w:rPr>
      </w:pPr>
      <w:r>
        <w:pict w14:anchorId="4F71FB58">
          <v:shape id="_x0000_s2158" type="#_x0000_t202" style="position:absolute;left:0;text-align:left;margin-left:207.15pt;margin-top:4.4pt;width:10.05pt;height:7.2pt;z-index:251962368;mso-position-horizontal-relative:page" filled="f" stroked="f">
            <v:textbox inset="0,0,0,0">
              <w:txbxContent>
                <w:p w14:paraId="25EA5E1D" w14:textId="77777777" w:rsidR="00F65BCA" w:rsidRDefault="00216117">
                  <w:pPr>
                    <w:spacing w:before="4"/>
                    <w:rPr>
                      <w:b/>
                      <w:sz w:val="12"/>
                    </w:rPr>
                  </w:pPr>
                  <w:r>
                    <w:rPr>
                      <w:b/>
                      <w:color w:val="231F20"/>
                      <w:sz w:val="12"/>
                    </w:rPr>
                    <w:t>221</w:t>
                  </w:r>
                </w:p>
              </w:txbxContent>
            </v:textbox>
            <w10:wrap anchorx="page"/>
          </v:shape>
        </w:pict>
      </w:r>
      <w:r w:rsidR="00216117">
        <w:rPr>
          <w:color w:val="231F20"/>
          <w:sz w:val="12"/>
        </w:rPr>
        <w:t>kosti člunkové léčená operací nebo komplikovaná nekrosou</w:t>
      </w:r>
    </w:p>
    <w:p w14:paraId="7274FC47" w14:textId="77777777" w:rsidR="00F65BCA" w:rsidRDefault="00216117">
      <w:pPr>
        <w:pStyle w:val="Odstavecseseznamem"/>
        <w:numPr>
          <w:ilvl w:val="0"/>
          <w:numId w:val="62"/>
        </w:numPr>
        <w:tabs>
          <w:tab w:val="left" w:pos="456"/>
        </w:tabs>
        <w:spacing w:before="21"/>
        <w:ind w:hanging="273"/>
        <w:rPr>
          <w:sz w:val="12"/>
        </w:rPr>
      </w:pPr>
      <w:r>
        <w:rPr>
          <w:color w:val="231F20"/>
          <w:sz w:val="12"/>
        </w:rPr>
        <w:t>Zlomenina jiné kosti</w:t>
      </w:r>
      <w:r>
        <w:rPr>
          <w:color w:val="231F20"/>
          <w:spacing w:val="-6"/>
          <w:sz w:val="12"/>
        </w:rPr>
        <w:t xml:space="preserve"> </w:t>
      </w:r>
      <w:r>
        <w:rPr>
          <w:color w:val="231F20"/>
          <w:sz w:val="12"/>
        </w:rPr>
        <w:t>zápěstní</w:t>
      </w:r>
    </w:p>
    <w:p w14:paraId="0CFF2223" w14:textId="77777777" w:rsidR="00F65BCA" w:rsidRDefault="00216117">
      <w:pPr>
        <w:pStyle w:val="Odstavecseseznamem"/>
        <w:numPr>
          <w:ilvl w:val="0"/>
          <w:numId w:val="62"/>
        </w:numPr>
        <w:tabs>
          <w:tab w:val="left" w:pos="456"/>
        </w:tabs>
        <w:spacing w:before="20"/>
        <w:ind w:hanging="273"/>
        <w:rPr>
          <w:sz w:val="12"/>
        </w:rPr>
      </w:pPr>
      <w:r>
        <w:rPr>
          <w:color w:val="231F20"/>
          <w:sz w:val="12"/>
        </w:rPr>
        <w:t>Zlomenina více kostí</w:t>
      </w:r>
      <w:r>
        <w:rPr>
          <w:color w:val="231F20"/>
          <w:spacing w:val="-7"/>
          <w:sz w:val="12"/>
        </w:rPr>
        <w:t xml:space="preserve"> </w:t>
      </w:r>
      <w:r>
        <w:rPr>
          <w:color w:val="231F20"/>
          <w:sz w:val="12"/>
        </w:rPr>
        <w:t>zápěstních</w:t>
      </w:r>
    </w:p>
    <w:p w14:paraId="32CD5363" w14:textId="77777777" w:rsidR="00F65BCA" w:rsidRDefault="00216117">
      <w:pPr>
        <w:spacing w:before="21"/>
        <w:ind w:left="455"/>
        <w:rPr>
          <w:b/>
          <w:sz w:val="12"/>
        </w:rPr>
      </w:pPr>
      <w:r>
        <w:rPr>
          <w:b/>
          <w:color w:val="231F20"/>
          <w:sz w:val="12"/>
        </w:rPr>
        <w:t>Zlomeniny kostí ruky</w:t>
      </w:r>
    </w:p>
    <w:p w14:paraId="0A04B910" w14:textId="77777777" w:rsidR="00F65BCA" w:rsidRDefault="00000000">
      <w:pPr>
        <w:spacing w:before="27" w:line="242" w:lineRule="auto"/>
        <w:ind w:left="455" w:right="374"/>
        <w:rPr>
          <w:sz w:val="12"/>
        </w:rPr>
      </w:pPr>
      <w:r>
        <w:pict w14:anchorId="62C44086">
          <v:shape id="_x0000_s2157" type="#_x0000_t202" style="position:absolute;left:0;text-align:left;margin-left:207.15pt;margin-top:4.65pt;width:10.05pt;height:7.2pt;z-index:251963392;mso-position-horizontal-relative:page" filled="f" stroked="f">
            <v:textbox inset="0,0,0,0">
              <w:txbxContent>
                <w:p w14:paraId="66C0EB23" w14:textId="77777777" w:rsidR="00F65BCA" w:rsidRDefault="00216117">
                  <w:pPr>
                    <w:spacing w:before="4"/>
                    <w:rPr>
                      <w:b/>
                      <w:sz w:val="12"/>
                    </w:rPr>
                  </w:pPr>
                  <w:r>
                    <w:rPr>
                      <w:b/>
                      <w:color w:val="231F20"/>
                      <w:sz w:val="12"/>
                    </w:rPr>
                    <w:t>224</w:t>
                  </w:r>
                </w:p>
              </w:txbxContent>
            </v:textbox>
            <w10:wrap anchorx="page"/>
          </v:shape>
        </w:pict>
      </w:r>
      <w:r w:rsidR="00216117">
        <w:rPr>
          <w:color w:val="231F20"/>
          <w:sz w:val="12"/>
        </w:rPr>
        <w:t xml:space="preserve">Luxační zlomenina base první kosti </w:t>
      </w:r>
      <w:r w:rsidR="00216117">
        <w:rPr>
          <w:color w:val="231F20"/>
          <w:spacing w:val="-3"/>
          <w:sz w:val="12"/>
        </w:rPr>
        <w:t xml:space="preserve">záprstní </w:t>
      </w:r>
      <w:r w:rsidR="00216117">
        <w:rPr>
          <w:color w:val="231F20"/>
          <w:sz w:val="12"/>
        </w:rPr>
        <w:t>(Bennettova)</w:t>
      </w:r>
    </w:p>
    <w:p w14:paraId="723C41D9" w14:textId="77777777" w:rsidR="00F65BCA" w:rsidRDefault="00216117">
      <w:pPr>
        <w:spacing w:before="33"/>
        <w:ind w:left="455"/>
        <w:rPr>
          <w:b/>
          <w:sz w:val="12"/>
        </w:rPr>
      </w:pPr>
      <w:r>
        <w:rPr>
          <w:b/>
          <w:color w:val="231F20"/>
          <w:sz w:val="12"/>
        </w:rPr>
        <w:t>Zlomenina jedné kosti záprstní</w:t>
      </w:r>
    </w:p>
    <w:p w14:paraId="0CB71407" w14:textId="77777777" w:rsidR="00F65BCA" w:rsidRDefault="00216117">
      <w:pPr>
        <w:pStyle w:val="Odstavecseseznamem"/>
        <w:numPr>
          <w:ilvl w:val="0"/>
          <w:numId w:val="61"/>
        </w:numPr>
        <w:tabs>
          <w:tab w:val="left" w:pos="456"/>
        </w:tabs>
        <w:spacing w:before="32"/>
        <w:ind w:hanging="273"/>
        <w:rPr>
          <w:sz w:val="12"/>
        </w:rPr>
      </w:pPr>
      <w:r>
        <w:rPr>
          <w:color w:val="231F20"/>
          <w:sz w:val="12"/>
        </w:rPr>
        <w:t>léčená</w:t>
      </w:r>
      <w:r>
        <w:rPr>
          <w:color w:val="231F20"/>
          <w:spacing w:val="-2"/>
          <w:sz w:val="12"/>
        </w:rPr>
        <w:t xml:space="preserve"> </w:t>
      </w:r>
      <w:r>
        <w:rPr>
          <w:color w:val="231F20"/>
          <w:sz w:val="12"/>
        </w:rPr>
        <w:t>konzervativně</w:t>
      </w:r>
    </w:p>
    <w:p w14:paraId="6687FD20" w14:textId="77777777" w:rsidR="00F65BCA" w:rsidRDefault="00216117">
      <w:pPr>
        <w:pStyle w:val="Odstavecseseznamem"/>
        <w:numPr>
          <w:ilvl w:val="0"/>
          <w:numId w:val="61"/>
        </w:numPr>
        <w:tabs>
          <w:tab w:val="left" w:pos="456"/>
        </w:tabs>
        <w:spacing w:before="32"/>
        <w:ind w:hanging="273"/>
        <w:rPr>
          <w:sz w:val="12"/>
        </w:rPr>
      </w:pPr>
      <w:r>
        <w:rPr>
          <w:color w:val="231F20"/>
          <w:w w:val="95"/>
          <w:sz w:val="12"/>
        </w:rPr>
        <w:t>otevřená nebo</w:t>
      </w:r>
      <w:r>
        <w:rPr>
          <w:color w:val="231F20"/>
          <w:spacing w:val="17"/>
          <w:w w:val="95"/>
          <w:sz w:val="12"/>
        </w:rPr>
        <w:t xml:space="preserve"> </w:t>
      </w:r>
      <w:r>
        <w:rPr>
          <w:color w:val="231F20"/>
          <w:w w:val="95"/>
          <w:sz w:val="12"/>
        </w:rPr>
        <w:t>operovaná</w:t>
      </w:r>
    </w:p>
    <w:p w14:paraId="0A069164" w14:textId="77777777" w:rsidR="00F65BCA" w:rsidRDefault="00216117">
      <w:pPr>
        <w:spacing w:before="32"/>
        <w:ind w:left="455"/>
        <w:rPr>
          <w:b/>
          <w:sz w:val="12"/>
        </w:rPr>
      </w:pPr>
      <w:r>
        <w:rPr>
          <w:b/>
          <w:color w:val="231F20"/>
          <w:sz w:val="12"/>
        </w:rPr>
        <w:t>Zlomeniny více kostí</w:t>
      </w:r>
      <w:r>
        <w:rPr>
          <w:b/>
          <w:color w:val="231F20"/>
          <w:spacing w:val="-8"/>
          <w:sz w:val="12"/>
        </w:rPr>
        <w:t xml:space="preserve"> </w:t>
      </w:r>
      <w:r>
        <w:rPr>
          <w:b/>
          <w:color w:val="231F20"/>
          <w:sz w:val="12"/>
        </w:rPr>
        <w:t>záprstních</w:t>
      </w:r>
    </w:p>
    <w:p w14:paraId="390457DC" w14:textId="77777777" w:rsidR="00F65BCA" w:rsidRDefault="00216117">
      <w:pPr>
        <w:pStyle w:val="Odstavecseseznamem"/>
        <w:numPr>
          <w:ilvl w:val="0"/>
          <w:numId w:val="61"/>
        </w:numPr>
        <w:tabs>
          <w:tab w:val="left" w:pos="456"/>
        </w:tabs>
        <w:spacing w:before="32"/>
        <w:ind w:hanging="273"/>
        <w:rPr>
          <w:sz w:val="12"/>
        </w:rPr>
      </w:pPr>
      <w:r>
        <w:rPr>
          <w:color w:val="231F20"/>
          <w:sz w:val="12"/>
        </w:rPr>
        <w:t>léčené</w:t>
      </w:r>
      <w:r>
        <w:rPr>
          <w:color w:val="231F20"/>
          <w:spacing w:val="-2"/>
          <w:sz w:val="12"/>
        </w:rPr>
        <w:t xml:space="preserve"> </w:t>
      </w:r>
      <w:r>
        <w:rPr>
          <w:color w:val="231F20"/>
          <w:sz w:val="12"/>
        </w:rPr>
        <w:t>konzervativně</w:t>
      </w:r>
    </w:p>
    <w:p w14:paraId="76AB650A" w14:textId="77777777" w:rsidR="00F65BCA" w:rsidRDefault="00216117">
      <w:pPr>
        <w:pStyle w:val="Odstavecseseznamem"/>
        <w:numPr>
          <w:ilvl w:val="0"/>
          <w:numId w:val="61"/>
        </w:numPr>
        <w:tabs>
          <w:tab w:val="left" w:pos="456"/>
        </w:tabs>
        <w:spacing w:before="32"/>
        <w:ind w:hanging="273"/>
        <w:rPr>
          <w:sz w:val="12"/>
        </w:rPr>
      </w:pPr>
      <w:r>
        <w:rPr>
          <w:color w:val="231F20"/>
          <w:sz w:val="12"/>
        </w:rPr>
        <w:t>otevřené nebo</w:t>
      </w:r>
      <w:r>
        <w:rPr>
          <w:color w:val="231F20"/>
          <w:spacing w:val="-3"/>
          <w:sz w:val="12"/>
        </w:rPr>
        <w:t xml:space="preserve"> </w:t>
      </w:r>
      <w:r>
        <w:rPr>
          <w:color w:val="231F20"/>
          <w:sz w:val="12"/>
        </w:rPr>
        <w:t>operované</w:t>
      </w:r>
    </w:p>
    <w:p w14:paraId="285033D6" w14:textId="77777777" w:rsidR="00F65BCA" w:rsidRDefault="00216117">
      <w:pPr>
        <w:spacing w:before="32" w:line="295" w:lineRule="auto"/>
        <w:ind w:left="455" w:right="374"/>
        <w:rPr>
          <w:b/>
          <w:sz w:val="12"/>
        </w:rPr>
      </w:pPr>
      <w:r>
        <w:rPr>
          <w:b/>
          <w:color w:val="231F20"/>
          <w:sz w:val="12"/>
        </w:rPr>
        <w:t>Zlomeniny jednoho nebo více článků jednoho prstu</w:t>
      </w:r>
    </w:p>
    <w:p w14:paraId="27E14E51" w14:textId="77777777" w:rsidR="00F65BCA" w:rsidRDefault="00216117">
      <w:pPr>
        <w:pStyle w:val="Odstavecseseznamem"/>
        <w:numPr>
          <w:ilvl w:val="0"/>
          <w:numId w:val="61"/>
        </w:numPr>
        <w:tabs>
          <w:tab w:val="left" w:pos="456"/>
        </w:tabs>
        <w:spacing w:before="1"/>
        <w:ind w:hanging="273"/>
        <w:rPr>
          <w:sz w:val="12"/>
        </w:rPr>
      </w:pPr>
      <w:r>
        <w:rPr>
          <w:color w:val="231F20"/>
          <w:sz w:val="12"/>
        </w:rPr>
        <w:t>léčené</w:t>
      </w:r>
      <w:r>
        <w:rPr>
          <w:color w:val="231F20"/>
          <w:spacing w:val="-2"/>
          <w:sz w:val="12"/>
        </w:rPr>
        <w:t xml:space="preserve"> </w:t>
      </w:r>
      <w:r>
        <w:rPr>
          <w:color w:val="231F20"/>
          <w:sz w:val="12"/>
        </w:rPr>
        <w:t>konzervativně</w:t>
      </w:r>
    </w:p>
    <w:p w14:paraId="09864E66" w14:textId="77777777" w:rsidR="00F65BCA" w:rsidRDefault="00216117">
      <w:pPr>
        <w:pStyle w:val="Odstavecseseznamem"/>
        <w:numPr>
          <w:ilvl w:val="0"/>
          <w:numId w:val="61"/>
        </w:numPr>
        <w:tabs>
          <w:tab w:val="left" w:pos="456"/>
        </w:tabs>
        <w:spacing w:before="32"/>
        <w:ind w:hanging="273"/>
        <w:rPr>
          <w:sz w:val="12"/>
        </w:rPr>
      </w:pPr>
      <w:r>
        <w:rPr>
          <w:color w:val="231F20"/>
          <w:sz w:val="12"/>
        </w:rPr>
        <w:t>otevřené nebo</w:t>
      </w:r>
      <w:r>
        <w:rPr>
          <w:color w:val="231F20"/>
          <w:spacing w:val="-3"/>
          <w:sz w:val="12"/>
        </w:rPr>
        <w:t xml:space="preserve"> </w:t>
      </w:r>
      <w:r>
        <w:rPr>
          <w:color w:val="231F20"/>
          <w:sz w:val="12"/>
        </w:rPr>
        <w:t>operované</w:t>
      </w:r>
    </w:p>
    <w:p w14:paraId="007A51C9" w14:textId="77777777" w:rsidR="00F65BCA" w:rsidRDefault="00216117">
      <w:pPr>
        <w:spacing w:before="32"/>
        <w:ind w:left="455"/>
        <w:rPr>
          <w:b/>
          <w:sz w:val="12"/>
        </w:rPr>
      </w:pPr>
      <w:r>
        <w:rPr>
          <w:b/>
          <w:color w:val="231F20"/>
          <w:sz w:val="12"/>
        </w:rPr>
        <w:t>dvou nebo více prstů</w:t>
      </w:r>
    </w:p>
    <w:p w14:paraId="6FA03E5E" w14:textId="77777777" w:rsidR="00F65BCA" w:rsidRDefault="00216117">
      <w:pPr>
        <w:pStyle w:val="Odstavecseseznamem"/>
        <w:numPr>
          <w:ilvl w:val="0"/>
          <w:numId w:val="61"/>
        </w:numPr>
        <w:tabs>
          <w:tab w:val="left" w:pos="456"/>
        </w:tabs>
        <w:spacing w:before="32"/>
        <w:ind w:hanging="273"/>
        <w:rPr>
          <w:sz w:val="12"/>
        </w:rPr>
      </w:pPr>
      <w:r>
        <w:rPr>
          <w:color w:val="231F20"/>
          <w:sz w:val="12"/>
        </w:rPr>
        <w:t>léčené</w:t>
      </w:r>
      <w:r>
        <w:rPr>
          <w:color w:val="231F20"/>
          <w:spacing w:val="-2"/>
          <w:sz w:val="12"/>
        </w:rPr>
        <w:t xml:space="preserve"> </w:t>
      </w:r>
      <w:r>
        <w:rPr>
          <w:color w:val="231F20"/>
          <w:sz w:val="12"/>
        </w:rPr>
        <w:t>konzervativně</w:t>
      </w:r>
    </w:p>
    <w:p w14:paraId="71859EBF" w14:textId="77777777" w:rsidR="00F65BCA" w:rsidRDefault="00216117">
      <w:pPr>
        <w:pStyle w:val="Odstavecseseznamem"/>
        <w:numPr>
          <w:ilvl w:val="0"/>
          <w:numId w:val="61"/>
        </w:numPr>
        <w:tabs>
          <w:tab w:val="left" w:pos="456"/>
        </w:tabs>
        <w:spacing w:before="32"/>
        <w:ind w:hanging="273"/>
        <w:rPr>
          <w:sz w:val="12"/>
        </w:rPr>
      </w:pPr>
      <w:r>
        <w:rPr>
          <w:color w:val="231F20"/>
          <w:sz w:val="12"/>
        </w:rPr>
        <w:t>otevřené nebo</w:t>
      </w:r>
      <w:r>
        <w:rPr>
          <w:color w:val="231F20"/>
          <w:spacing w:val="-3"/>
          <w:sz w:val="12"/>
        </w:rPr>
        <w:t xml:space="preserve"> </w:t>
      </w:r>
      <w:r>
        <w:rPr>
          <w:color w:val="231F20"/>
          <w:sz w:val="12"/>
        </w:rPr>
        <w:t>operované</w:t>
      </w:r>
    </w:p>
    <w:p w14:paraId="2E2801D8" w14:textId="77777777" w:rsidR="00F65BCA" w:rsidRDefault="00216117">
      <w:pPr>
        <w:spacing w:before="32"/>
        <w:ind w:left="1243"/>
        <w:rPr>
          <w:b/>
          <w:sz w:val="12"/>
        </w:rPr>
      </w:pPr>
      <w:r>
        <w:rPr>
          <w:b/>
          <w:color w:val="231F20"/>
          <w:sz w:val="12"/>
        </w:rPr>
        <w:t>Amputace (snesení)</w:t>
      </w:r>
    </w:p>
    <w:p w14:paraId="4FDB8A11" w14:textId="77777777" w:rsidR="00F65BCA" w:rsidRDefault="00216117">
      <w:pPr>
        <w:pStyle w:val="Odstavecseseznamem"/>
        <w:numPr>
          <w:ilvl w:val="0"/>
          <w:numId w:val="61"/>
        </w:numPr>
        <w:tabs>
          <w:tab w:val="left" w:pos="456"/>
        </w:tabs>
        <w:spacing w:before="31"/>
        <w:ind w:hanging="273"/>
        <w:rPr>
          <w:sz w:val="12"/>
        </w:rPr>
      </w:pPr>
      <w:r>
        <w:rPr>
          <w:color w:val="231F20"/>
          <w:sz w:val="12"/>
        </w:rPr>
        <w:t>v</w:t>
      </w:r>
      <w:r>
        <w:rPr>
          <w:color w:val="231F20"/>
          <w:spacing w:val="-20"/>
          <w:sz w:val="12"/>
        </w:rPr>
        <w:t xml:space="preserve"> </w:t>
      </w:r>
      <w:r>
        <w:rPr>
          <w:color w:val="231F20"/>
          <w:sz w:val="12"/>
        </w:rPr>
        <w:t>ramenním</w:t>
      </w:r>
      <w:r>
        <w:rPr>
          <w:color w:val="231F20"/>
          <w:spacing w:val="-19"/>
          <w:sz w:val="12"/>
        </w:rPr>
        <w:t xml:space="preserve"> </w:t>
      </w:r>
      <w:r>
        <w:rPr>
          <w:color w:val="231F20"/>
          <w:sz w:val="12"/>
        </w:rPr>
        <w:t>kloubu</w:t>
      </w:r>
    </w:p>
    <w:p w14:paraId="344C9CC5" w14:textId="77777777" w:rsidR="00F65BCA" w:rsidRDefault="00216117">
      <w:pPr>
        <w:pStyle w:val="Odstavecseseznamem"/>
        <w:numPr>
          <w:ilvl w:val="0"/>
          <w:numId w:val="61"/>
        </w:numPr>
        <w:tabs>
          <w:tab w:val="left" w:pos="456"/>
        </w:tabs>
        <w:spacing w:before="29"/>
        <w:ind w:hanging="273"/>
        <w:rPr>
          <w:sz w:val="12"/>
        </w:rPr>
      </w:pPr>
      <w:r>
        <w:rPr>
          <w:color w:val="231F20"/>
          <w:sz w:val="12"/>
        </w:rPr>
        <w:t>v</w:t>
      </w:r>
      <w:r>
        <w:rPr>
          <w:color w:val="231F20"/>
          <w:spacing w:val="-14"/>
          <w:sz w:val="12"/>
        </w:rPr>
        <w:t xml:space="preserve"> </w:t>
      </w:r>
      <w:r>
        <w:rPr>
          <w:color w:val="231F20"/>
          <w:sz w:val="12"/>
        </w:rPr>
        <w:t>oblasti</w:t>
      </w:r>
      <w:r>
        <w:rPr>
          <w:color w:val="231F20"/>
          <w:spacing w:val="-14"/>
          <w:sz w:val="12"/>
        </w:rPr>
        <w:t xml:space="preserve"> </w:t>
      </w:r>
      <w:r>
        <w:rPr>
          <w:color w:val="231F20"/>
          <w:sz w:val="12"/>
        </w:rPr>
        <w:t>pažní</w:t>
      </w:r>
      <w:r>
        <w:rPr>
          <w:color w:val="231F20"/>
          <w:spacing w:val="-13"/>
          <w:sz w:val="12"/>
        </w:rPr>
        <w:t xml:space="preserve"> </w:t>
      </w:r>
      <w:r>
        <w:rPr>
          <w:color w:val="231F20"/>
          <w:sz w:val="12"/>
        </w:rPr>
        <w:t>kosti</w:t>
      </w:r>
    </w:p>
    <w:p w14:paraId="7A270F4C" w14:textId="77777777" w:rsidR="00F65BCA" w:rsidRDefault="00216117">
      <w:pPr>
        <w:pStyle w:val="Odstavecseseznamem"/>
        <w:numPr>
          <w:ilvl w:val="0"/>
          <w:numId w:val="61"/>
        </w:numPr>
        <w:tabs>
          <w:tab w:val="left" w:pos="456"/>
        </w:tabs>
        <w:spacing w:before="30"/>
        <w:ind w:hanging="273"/>
        <w:rPr>
          <w:sz w:val="12"/>
        </w:rPr>
      </w:pPr>
      <w:r>
        <w:rPr>
          <w:color w:val="231F20"/>
          <w:sz w:val="12"/>
        </w:rPr>
        <w:t>v oblasti obou</w:t>
      </w:r>
      <w:r>
        <w:rPr>
          <w:color w:val="231F20"/>
          <w:spacing w:val="-3"/>
          <w:sz w:val="12"/>
        </w:rPr>
        <w:t xml:space="preserve"> </w:t>
      </w:r>
      <w:r>
        <w:rPr>
          <w:color w:val="231F20"/>
          <w:sz w:val="12"/>
        </w:rPr>
        <w:t>předloktí</w:t>
      </w:r>
    </w:p>
    <w:p w14:paraId="4782DFBA" w14:textId="77777777" w:rsidR="00F65BCA" w:rsidRDefault="00216117">
      <w:pPr>
        <w:pStyle w:val="Odstavecseseznamem"/>
        <w:numPr>
          <w:ilvl w:val="0"/>
          <w:numId w:val="61"/>
        </w:numPr>
        <w:tabs>
          <w:tab w:val="left" w:pos="456"/>
        </w:tabs>
        <w:spacing w:before="29"/>
        <w:ind w:hanging="273"/>
        <w:rPr>
          <w:sz w:val="12"/>
        </w:rPr>
      </w:pPr>
      <w:r>
        <w:rPr>
          <w:color w:val="231F20"/>
          <w:sz w:val="12"/>
        </w:rPr>
        <w:t>v oblasti jednoho</w:t>
      </w:r>
      <w:r>
        <w:rPr>
          <w:color w:val="231F20"/>
          <w:spacing w:val="-4"/>
          <w:sz w:val="12"/>
        </w:rPr>
        <w:t xml:space="preserve"> </w:t>
      </w:r>
      <w:r>
        <w:rPr>
          <w:color w:val="231F20"/>
          <w:sz w:val="12"/>
        </w:rPr>
        <w:t>předloktí</w:t>
      </w:r>
    </w:p>
    <w:p w14:paraId="02CDCC00" w14:textId="77777777" w:rsidR="00F65BCA" w:rsidRDefault="00216117">
      <w:pPr>
        <w:pStyle w:val="Odstavecseseznamem"/>
        <w:numPr>
          <w:ilvl w:val="0"/>
          <w:numId w:val="61"/>
        </w:numPr>
        <w:tabs>
          <w:tab w:val="left" w:pos="456"/>
        </w:tabs>
        <w:spacing w:before="29"/>
        <w:ind w:hanging="273"/>
        <w:rPr>
          <w:sz w:val="12"/>
        </w:rPr>
      </w:pPr>
      <w:r>
        <w:rPr>
          <w:color w:val="231F20"/>
          <w:sz w:val="12"/>
        </w:rPr>
        <w:t>obou</w:t>
      </w:r>
      <w:r>
        <w:rPr>
          <w:color w:val="231F20"/>
          <w:spacing w:val="-1"/>
          <w:sz w:val="12"/>
        </w:rPr>
        <w:t xml:space="preserve"> </w:t>
      </w:r>
      <w:r>
        <w:rPr>
          <w:color w:val="231F20"/>
          <w:sz w:val="12"/>
        </w:rPr>
        <w:t>rukou</w:t>
      </w:r>
    </w:p>
    <w:p w14:paraId="2C17BEEB" w14:textId="77777777" w:rsidR="00F65BCA" w:rsidRDefault="00216117">
      <w:pPr>
        <w:pStyle w:val="Odstavecseseznamem"/>
        <w:numPr>
          <w:ilvl w:val="0"/>
          <w:numId w:val="61"/>
        </w:numPr>
        <w:tabs>
          <w:tab w:val="left" w:pos="456"/>
        </w:tabs>
        <w:spacing w:before="29"/>
        <w:ind w:hanging="273"/>
        <w:rPr>
          <w:sz w:val="12"/>
        </w:rPr>
      </w:pPr>
      <w:r>
        <w:rPr>
          <w:color w:val="231F20"/>
          <w:sz w:val="12"/>
        </w:rPr>
        <w:t>ruky</w:t>
      </w:r>
    </w:p>
    <w:p w14:paraId="26040994" w14:textId="77777777" w:rsidR="00F65BCA" w:rsidRDefault="00216117">
      <w:pPr>
        <w:pStyle w:val="Odstavecseseznamem"/>
        <w:numPr>
          <w:ilvl w:val="0"/>
          <w:numId w:val="61"/>
        </w:numPr>
        <w:tabs>
          <w:tab w:val="left" w:pos="456"/>
        </w:tabs>
        <w:spacing w:before="30"/>
        <w:ind w:hanging="273"/>
        <w:rPr>
          <w:sz w:val="12"/>
        </w:rPr>
      </w:pPr>
      <w:r>
        <w:rPr>
          <w:color w:val="231F20"/>
          <w:sz w:val="12"/>
        </w:rPr>
        <w:t>tří a více prstů nebo jejich</w:t>
      </w:r>
      <w:r>
        <w:rPr>
          <w:color w:val="231F20"/>
          <w:spacing w:val="-11"/>
          <w:sz w:val="12"/>
        </w:rPr>
        <w:t xml:space="preserve"> </w:t>
      </w:r>
      <w:r>
        <w:rPr>
          <w:color w:val="231F20"/>
          <w:sz w:val="12"/>
        </w:rPr>
        <w:t>částí</w:t>
      </w:r>
    </w:p>
    <w:p w14:paraId="03F032D5" w14:textId="77777777" w:rsidR="00F65BCA" w:rsidRDefault="00216117">
      <w:pPr>
        <w:pStyle w:val="Odstavecseseznamem"/>
        <w:numPr>
          <w:ilvl w:val="0"/>
          <w:numId w:val="61"/>
        </w:numPr>
        <w:tabs>
          <w:tab w:val="left" w:pos="456"/>
        </w:tabs>
        <w:spacing w:before="29"/>
        <w:ind w:hanging="273"/>
        <w:rPr>
          <w:sz w:val="12"/>
        </w:rPr>
      </w:pPr>
      <w:r>
        <w:rPr>
          <w:color w:val="231F20"/>
          <w:sz w:val="12"/>
        </w:rPr>
        <w:t>dvou prstů nebo jejich</w:t>
      </w:r>
      <w:r>
        <w:rPr>
          <w:color w:val="231F20"/>
          <w:spacing w:val="-5"/>
          <w:sz w:val="12"/>
        </w:rPr>
        <w:t xml:space="preserve"> </w:t>
      </w:r>
      <w:r>
        <w:rPr>
          <w:color w:val="231F20"/>
          <w:sz w:val="12"/>
        </w:rPr>
        <w:t>částí</w:t>
      </w:r>
    </w:p>
    <w:p w14:paraId="30DAD478" w14:textId="77777777" w:rsidR="00F65BCA" w:rsidRDefault="00216117">
      <w:pPr>
        <w:pStyle w:val="Odstavecseseznamem"/>
        <w:numPr>
          <w:ilvl w:val="0"/>
          <w:numId w:val="61"/>
        </w:numPr>
        <w:tabs>
          <w:tab w:val="left" w:pos="456"/>
        </w:tabs>
        <w:spacing w:before="29"/>
        <w:ind w:hanging="273"/>
        <w:rPr>
          <w:sz w:val="12"/>
        </w:rPr>
      </w:pPr>
      <w:r>
        <w:rPr>
          <w:color w:val="231F20"/>
          <w:sz w:val="12"/>
        </w:rPr>
        <w:t>jednoho prstu nebo jeho</w:t>
      </w:r>
      <w:r>
        <w:rPr>
          <w:color w:val="231F20"/>
          <w:spacing w:val="-4"/>
          <w:sz w:val="12"/>
        </w:rPr>
        <w:t xml:space="preserve"> </w:t>
      </w:r>
      <w:r>
        <w:rPr>
          <w:color w:val="231F20"/>
          <w:sz w:val="12"/>
        </w:rPr>
        <w:t>části</w:t>
      </w:r>
    </w:p>
    <w:p w14:paraId="5615D72F" w14:textId="77777777" w:rsidR="00F65BCA" w:rsidRDefault="00216117">
      <w:pPr>
        <w:pStyle w:val="Odstavecseseznamem"/>
        <w:numPr>
          <w:ilvl w:val="0"/>
          <w:numId w:val="61"/>
        </w:numPr>
        <w:tabs>
          <w:tab w:val="left" w:pos="456"/>
        </w:tabs>
        <w:spacing w:before="29"/>
        <w:ind w:hanging="273"/>
        <w:rPr>
          <w:sz w:val="12"/>
        </w:rPr>
      </w:pPr>
      <w:r>
        <w:rPr>
          <w:color w:val="231F20"/>
          <w:sz w:val="12"/>
        </w:rPr>
        <w:t>reimplantace jednoho nebo více</w:t>
      </w:r>
      <w:r>
        <w:rPr>
          <w:color w:val="231F20"/>
          <w:spacing w:val="-10"/>
          <w:sz w:val="12"/>
        </w:rPr>
        <w:t xml:space="preserve"> </w:t>
      </w:r>
      <w:r>
        <w:rPr>
          <w:color w:val="231F20"/>
          <w:sz w:val="12"/>
        </w:rPr>
        <w:t>prstů</w:t>
      </w:r>
    </w:p>
    <w:p w14:paraId="1EED0CE1" w14:textId="77777777" w:rsidR="00F65BCA" w:rsidRDefault="00F65BCA">
      <w:pPr>
        <w:pStyle w:val="Zkladntext"/>
        <w:rPr>
          <w:sz w:val="14"/>
        </w:rPr>
      </w:pPr>
    </w:p>
    <w:p w14:paraId="0713CF4F" w14:textId="77777777" w:rsidR="00F65BCA" w:rsidRDefault="00216117">
      <w:pPr>
        <w:ind w:left="1150"/>
        <w:rPr>
          <w:b/>
          <w:sz w:val="14"/>
        </w:rPr>
      </w:pPr>
      <w:r>
        <w:rPr>
          <w:b/>
          <w:color w:val="231F20"/>
          <w:sz w:val="14"/>
        </w:rPr>
        <w:t>DOLNÍ KONČETINA</w:t>
      </w:r>
    </w:p>
    <w:p w14:paraId="1E04CCB0" w14:textId="77777777" w:rsidR="00F65BCA" w:rsidRDefault="00216117">
      <w:pPr>
        <w:spacing w:before="49" w:line="295" w:lineRule="auto"/>
        <w:ind w:left="455" w:right="976" w:firstLine="995"/>
        <w:rPr>
          <w:b/>
          <w:sz w:val="12"/>
        </w:rPr>
      </w:pPr>
      <w:r>
        <w:rPr>
          <w:b/>
          <w:color w:val="231F20"/>
          <w:sz w:val="12"/>
        </w:rPr>
        <w:t>Pohmoždění Pohmoždění těžšího stupně</w:t>
      </w:r>
    </w:p>
    <w:p w14:paraId="392D3E40" w14:textId="77777777" w:rsidR="00F65BCA" w:rsidRDefault="00216117">
      <w:pPr>
        <w:pStyle w:val="Odstavecseseznamem"/>
        <w:numPr>
          <w:ilvl w:val="0"/>
          <w:numId w:val="61"/>
        </w:numPr>
        <w:tabs>
          <w:tab w:val="left" w:pos="456"/>
        </w:tabs>
        <w:spacing w:line="133" w:lineRule="exact"/>
        <w:ind w:hanging="273"/>
        <w:rPr>
          <w:sz w:val="12"/>
        </w:rPr>
      </w:pPr>
      <w:r>
        <w:rPr>
          <w:color w:val="231F20"/>
          <w:w w:val="95"/>
          <w:sz w:val="12"/>
        </w:rPr>
        <w:t>kyčelního</w:t>
      </w:r>
      <w:r>
        <w:rPr>
          <w:color w:val="231F20"/>
          <w:spacing w:val="10"/>
          <w:w w:val="95"/>
          <w:sz w:val="12"/>
        </w:rPr>
        <w:t xml:space="preserve"> </w:t>
      </w:r>
      <w:r>
        <w:rPr>
          <w:color w:val="231F20"/>
          <w:w w:val="95"/>
          <w:sz w:val="12"/>
        </w:rPr>
        <w:t>kloubu</w:t>
      </w:r>
    </w:p>
    <w:p w14:paraId="17B9ED93" w14:textId="77777777" w:rsidR="00F65BCA" w:rsidRDefault="00216117">
      <w:pPr>
        <w:pStyle w:val="Odstavecseseznamem"/>
        <w:numPr>
          <w:ilvl w:val="0"/>
          <w:numId w:val="61"/>
        </w:numPr>
        <w:tabs>
          <w:tab w:val="left" w:pos="456"/>
        </w:tabs>
        <w:spacing w:before="21"/>
        <w:ind w:hanging="273"/>
        <w:rPr>
          <w:sz w:val="12"/>
        </w:rPr>
      </w:pPr>
      <w:r>
        <w:rPr>
          <w:color w:val="231F20"/>
          <w:w w:val="95"/>
          <w:sz w:val="12"/>
        </w:rPr>
        <w:t>kolenního</w:t>
      </w:r>
      <w:r>
        <w:rPr>
          <w:color w:val="231F20"/>
          <w:spacing w:val="11"/>
          <w:w w:val="95"/>
          <w:sz w:val="12"/>
        </w:rPr>
        <w:t xml:space="preserve"> </w:t>
      </w:r>
      <w:r>
        <w:rPr>
          <w:color w:val="231F20"/>
          <w:w w:val="95"/>
          <w:sz w:val="12"/>
        </w:rPr>
        <w:t>kloubu</w:t>
      </w:r>
    </w:p>
    <w:p w14:paraId="52DBEF73" w14:textId="77777777" w:rsidR="00F65BCA" w:rsidRDefault="00216117">
      <w:pPr>
        <w:pStyle w:val="Odstavecseseznamem"/>
        <w:numPr>
          <w:ilvl w:val="0"/>
          <w:numId w:val="61"/>
        </w:numPr>
        <w:tabs>
          <w:tab w:val="left" w:pos="456"/>
        </w:tabs>
        <w:spacing w:before="21"/>
        <w:ind w:hanging="273"/>
        <w:rPr>
          <w:sz w:val="12"/>
        </w:rPr>
      </w:pPr>
      <w:r>
        <w:rPr>
          <w:color w:val="231F20"/>
          <w:sz w:val="12"/>
        </w:rPr>
        <w:t>hlezenného</w:t>
      </w:r>
      <w:r>
        <w:rPr>
          <w:color w:val="231F20"/>
          <w:spacing w:val="-1"/>
          <w:sz w:val="12"/>
        </w:rPr>
        <w:t xml:space="preserve"> </w:t>
      </w:r>
      <w:r>
        <w:rPr>
          <w:color w:val="231F20"/>
          <w:sz w:val="12"/>
        </w:rPr>
        <w:t>kloubu</w:t>
      </w:r>
    </w:p>
    <w:p w14:paraId="5A7E00D1" w14:textId="77777777" w:rsidR="00F65BCA" w:rsidRDefault="00216117">
      <w:pPr>
        <w:pStyle w:val="Odstavecseseznamem"/>
        <w:numPr>
          <w:ilvl w:val="0"/>
          <w:numId w:val="61"/>
        </w:numPr>
        <w:tabs>
          <w:tab w:val="left" w:pos="456"/>
        </w:tabs>
        <w:spacing w:before="20"/>
        <w:ind w:hanging="273"/>
        <w:rPr>
          <w:sz w:val="12"/>
        </w:rPr>
      </w:pPr>
      <w:r>
        <w:rPr>
          <w:color w:val="231F20"/>
          <w:sz w:val="12"/>
        </w:rPr>
        <w:t>stehna</w:t>
      </w:r>
    </w:p>
    <w:p w14:paraId="2EF23D4D" w14:textId="77777777" w:rsidR="00F65BCA" w:rsidRDefault="00216117">
      <w:pPr>
        <w:pStyle w:val="Odstavecseseznamem"/>
        <w:numPr>
          <w:ilvl w:val="0"/>
          <w:numId w:val="61"/>
        </w:numPr>
        <w:tabs>
          <w:tab w:val="left" w:pos="456"/>
        </w:tabs>
        <w:spacing w:before="21"/>
        <w:ind w:hanging="273"/>
        <w:rPr>
          <w:sz w:val="12"/>
        </w:rPr>
      </w:pPr>
      <w:r>
        <w:rPr>
          <w:color w:val="231F20"/>
          <w:sz w:val="12"/>
        </w:rPr>
        <w:t>bérce</w:t>
      </w:r>
    </w:p>
    <w:p w14:paraId="1E26719D" w14:textId="77777777" w:rsidR="00F65BCA" w:rsidRDefault="00216117">
      <w:pPr>
        <w:pStyle w:val="Odstavecseseznamem"/>
        <w:numPr>
          <w:ilvl w:val="0"/>
          <w:numId w:val="61"/>
        </w:numPr>
        <w:tabs>
          <w:tab w:val="left" w:pos="456"/>
        </w:tabs>
        <w:spacing w:before="21"/>
        <w:ind w:hanging="273"/>
        <w:rPr>
          <w:sz w:val="12"/>
        </w:rPr>
      </w:pPr>
      <w:r>
        <w:rPr>
          <w:color w:val="231F20"/>
          <w:sz w:val="12"/>
        </w:rPr>
        <w:t>nohy</w:t>
      </w:r>
    </w:p>
    <w:p w14:paraId="43E1682E" w14:textId="77777777" w:rsidR="00F65BCA" w:rsidRDefault="00216117">
      <w:pPr>
        <w:pStyle w:val="Odstavecseseznamem"/>
        <w:numPr>
          <w:ilvl w:val="0"/>
          <w:numId w:val="61"/>
        </w:numPr>
        <w:tabs>
          <w:tab w:val="left" w:pos="456"/>
        </w:tabs>
        <w:spacing w:before="40" w:line="220" w:lineRule="auto"/>
        <w:ind w:right="15"/>
        <w:rPr>
          <w:sz w:val="12"/>
        </w:rPr>
      </w:pPr>
      <w:r>
        <w:rPr>
          <w:color w:val="231F20"/>
          <w:position w:val="1"/>
          <w:sz w:val="12"/>
        </w:rPr>
        <w:t>jednoho</w:t>
      </w:r>
      <w:r>
        <w:rPr>
          <w:color w:val="231F20"/>
          <w:spacing w:val="-11"/>
          <w:position w:val="1"/>
          <w:sz w:val="12"/>
        </w:rPr>
        <w:t xml:space="preserve"> </w:t>
      </w:r>
      <w:r>
        <w:rPr>
          <w:color w:val="231F20"/>
          <w:position w:val="1"/>
          <w:sz w:val="12"/>
        </w:rPr>
        <w:t>nebo</w:t>
      </w:r>
      <w:r>
        <w:rPr>
          <w:color w:val="231F20"/>
          <w:spacing w:val="-10"/>
          <w:position w:val="1"/>
          <w:sz w:val="12"/>
        </w:rPr>
        <w:t xml:space="preserve"> </w:t>
      </w:r>
      <w:r>
        <w:rPr>
          <w:color w:val="231F20"/>
          <w:position w:val="1"/>
          <w:sz w:val="12"/>
        </w:rPr>
        <w:t>více</w:t>
      </w:r>
      <w:r>
        <w:rPr>
          <w:color w:val="231F20"/>
          <w:spacing w:val="-11"/>
          <w:position w:val="1"/>
          <w:sz w:val="12"/>
        </w:rPr>
        <w:t xml:space="preserve"> </w:t>
      </w:r>
      <w:r>
        <w:rPr>
          <w:color w:val="231F20"/>
          <w:position w:val="1"/>
          <w:sz w:val="12"/>
        </w:rPr>
        <w:t>prstů</w:t>
      </w:r>
      <w:r>
        <w:rPr>
          <w:color w:val="231F20"/>
          <w:spacing w:val="-10"/>
          <w:position w:val="1"/>
          <w:sz w:val="12"/>
        </w:rPr>
        <w:t xml:space="preserve"> </w:t>
      </w:r>
      <w:r>
        <w:rPr>
          <w:color w:val="231F20"/>
          <w:position w:val="1"/>
          <w:sz w:val="12"/>
        </w:rPr>
        <w:t>nohy</w:t>
      </w:r>
      <w:r>
        <w:rPr>
          <w:color w:val="231F20"/>
          <w:spacing w:val="-10"/>
          <w:position w:val="1"/>
          <w:sz w:val="12"/>
        </w:rPr>
        <w:t xml:space="preserve"> </w:t>
      </w:r>
      <w:r>
        <w:rPr>
          <w:color w:val="231F20"/>
          <w:position w:val="1"/>
          <w:sz w:val="12"/>
        </w:rPr>
        <w:t>s</w:t>
      </w:r>
      <w:r>
        <w:rPr>
          <w:color w:val="231F20"/>
          <w:spacing w:val="-11"/>
          <w:position w:val="1"/>
          <w:sz w:val="12"/>
        </w:rPr>
        <w:t xml:space="preserve"> </w:t>
      </w:r>
      <w:r>
        <w:rPr>
          <w:color w:val="231F20"/>
          <w:position w:val="1"/>
          <w:sz w:val="12"/>
        </w:rPr>
        <w:t>náplasťovou</w:t>
      </w:r>
      <w:r>
        <w:rPr>
          <w:color w:val="231F20"/>
          <w:spacing w:val="-10"/>
          <w:position w:val="1"/>
          <w:sz w:val="12"/>
        </w:rPr>
        <w:t xml:space="preserve"> </w:t>
      </w:r>
      <w:r>
        <w:rPr>
          <w:color w:val="231F20"/>
          <w:spacing w:val="-3"/>
          <w:position w:val="1"/>
          <w:sz w:val="12"/>
        </w:rPr>
        <w:t>imobili-</w:t>
      </w:r>
      <w:r>
        <w:rPr>
          <w:color w:val="231F20"/>
          <w:spacing w:val="-3"/>
          <w:sz w:val="12"/>
        </w:rPr>
        <w:t xml:space="preserve"> </w:t>
      </w:r>
      <w:r>
        <w:rPr>
          <w:color w:val="231F20"/>
          <w:sz w:val="12"/>
        </w:rPr>
        <w:t>zací nebo klidovou</w:t>
      </w:r>
      <w:r>
        <w:rPr>
          <w:color w:val="231F20"/>
          <w:spacing w:val="-3"/>
          <w:sz w:val="12"/>
        </w:rPr>
        <w:t xml:space="preserve"> </w:t>
      </w:r>
      <w:r>
        <w:rPr>
          <w:color w:val="231F20"/>
          <w:sz w:val="12"/>
        </w:rPr>
        <w:t>léčbou</w:t>
      </w:r>
    </w:p>
    <w:p w14:paraId="396685E0" w14:textId="77777777" w:rsidR="00F65BCA" w:rsidRDefault="00216117">
      <w:pPr>
        <w:spacing w:before="34"/>
        <w:ind w:left="1002"/>
        <w:rPr>
          <w:b/>
          <w:sz w:val="12"/>
        </w:rPr>
      </w:pPr>
      <w:r>
        <w:rPr>
          <w:b/>
          <w:color w:val="231F20"/>
          <w:sz w:val="12"/>
        </w:rPr>
        <w:t>Natažení, natržení, přetržení</w:t>
      </w:r>
    </w:p>
    <w:p w14:paraId="2D2AC20F" w14:textId="77777777" w:rsidR="00F65BCA" w:rsidRDefault="00216117">
      <w:pPr>
        <w:pStyle w:val="Odstavecseseznamem"/>
        <w:numPr>
          <w:ilvl w:val="0"/>
          <w:numId w:val="61"/>
        </w:numPr>
        <w:tabs>
          <w:tab w:val="left" w:pos="456"/>
        </w:tabs>
        <w:spacing w:before="27"/>
        <w:ind w:hanging="273"/>
        <w:rPr>
          <w:sz w:val="12"/>
        </w:rPr>
      </w:pPr>
      <w:r>
        <w:rPr>
          <w:color w:val="231F20"/>
          <w:sz w:val="12"/>
        </w:rPr>
        <w:t>Natažení měkkých tkání dolní</w:t>
      </w:r>
      <w:r>
        <w:rPr>
          <w:color w:val="231F20"/>
          <w:spacing w:val="-15"/>
          <w:sz w:val="12"/>
        </w:rPr>
        <w:t xml:space="preserve"> </w:t>
      </w:r>
      <w:r>
        <w:rPr>
          <w:color w:val="231F20"/>
          <w:sz w:val="12"/>
        </w:rPr>
        <w:t>končetiny</w:t>
      </w:r>
    </w:p>
    <w:p w14:paraId="5C639190" w14:textId="77777777" w:rsidR="00F65BCA" w:rsidRDefault="00216117">
      <w:pPr>
        <w:pStyle w:val="Odstavecseseznamem"/>
        <w:numPr>
          <w:ilvl w:val="0"/>
          <w:numId w:val="61"/>
        </w:numPr>
        <w:tabs>
          <w:tab w:val="left" w:pos="456"/>
        </w:tabs>
        <w:spacing w:before="20"/>
        <w:ind w:hanging="273"/>
        <w:rPr>
          <w:sz w:val="12"/>
        </w:rPr>
      </w:pPr>
      <w:r>
        <w:rPr>
          <w:color w:val="231F20"/>
          <w:w w:val="95"/>
          <w:sz w:val="12"/>
        </w:rPr>
        <w:t>Natažení,</w:t>
      </w:r>
      <w:r>
        <w:rPr>
          <w:color w:val="231F20"/>
          <w:spacing w:val="-15"/>
          <w:w w:val="95"/>
          <w:sz w:val="12"/>
        </w:rPr>
        <w:t xml:space="preserve"> </w:t>
      </w:r>
      <w:r>
        <w:rPr>
          <w:color w:val="231F20"/>
          <w:w w:val="95"/>
          <w:sz w:val="12"/>
        </w:rPr>
        <w:t>natržení</w:t>
      </w:r>
      <w:r>
        <w:rPr>
          <w:color w:val="231F20"/>
          <w:spacing w:val="-15"/>
          <w:w w:val="95"/>
          <w:sz w:val="12"/>
        </w:rPr>
        <w:t xml:space="preserve"> </w:t>
      </w:r>
      <w:r>
        <w:rPr>
          <w:color w:val="231F20"/>
          <w:w w:val="95"/>
          <w:sz w:val="12"/>
        </w:rPr>
        <w:t>většího</w:t>
      </w:r>
      <w:r>
        <w:rPr>
          <w:color w:val="231F20"/>
          <w:spacing w:val="-14"/>
          <w:w w:val="95"/>
          <w:sz w:val="12"/>
        </w:rPr>
        <w:t xml:space="preserve"> </w:t>
      </w:r>
      <w:r>
        <w:rPr>
          <w:color w:val="231F20"/>
          <w:w w:val="95"/>
          <w:sz w:val="12"/>
        </w:rPr>
        <w:t>svalu</w:t>
      </w:r>
      <w:r>
        <w:rPr>
          <w:color w:val="231F20"/>
          <w:spacing w:val="-15"/>
          <w:w w:val="95"/>
          <w:sz w:val="12"/>
        </w:rPr>
        <w:t xml:space="preserve"> </w:t>
      </w:r>
      <w:r>
        <w:rPr>
          <w:color w:val="231F20"/>
          <w:w w:val="95"/>
          <w:sz w:val="12"/>
        </w:rPr>
        <w:t>nebo</w:t>
      </w:r>
      <w:r>
        <w:rPr>
          <w:color w:val="231F20"/>
          <w:spacing w:val="-14"/>
          <w:w w:val="95"/>
          <w:sz w:val="12"/>
        </w:rPr>
        <w:t xml:space="preserve"> </w:t>
      </w:r>
      <w:r>
        <w:rPr>
          <w:color w:val="231F20"/>
          <w:spacing w:val="-2"/>
          <w:w w:val="95"/>
          <w:sz w:val="12"/>
        </w:rPr>
        <w:t>šlachy</w:t>
      </w:r>
    </w:p>
    <w:p w14:paraId="72D43287" w14:textId="77777777" w:rsidR="00F65BCA" w:rsidRDefault="00216117">
      <w:pPr>
        <w:pStyle w:val="Odstavecseseznamem"/>
        <w:numPr>
          <w:ilvl w:val="0"/>
          <w:numId w:val="61"/>
        </w:numPr>
        <w:tabs>
          <w:tab w:val="left" w:pos="456"/>
        </w:tabs>
        <w:spacing w:before="21"/>
        <w:ind w:hanging="273"/>
        <w:rPr>
          <w:sz w:val="12"/>
        </w:rPr>
      </w:pPr>
      <w:r>
        <w:rPr>
          <w:color w:val="231F20"/>
          <w:w w:val="95"/>
          <w:sz w:val="12"/>
        </w:rPr>
        <w:t>Kýla svalová prokázaně úrazového</w:t>
      </w:r>
      <w:r>
        <w:rPr>
          <w:color w:val="231F20"/>
          <w:spacing w:val="21"/>
          <w:w w:val="95"/>
          <w:sz w:val="12"/>
        </w:rPr>
        <w:t xml:space="preserve"> </w:t>
      </w:r>
      <w:r>
        <w:rPr>
          <w:color w:val="231F20"/>
          <w:w w:val="95"/>
          <w:sz w:val="12"/>
        </w:rPr>
        <w:t>původu</w:t>
      </w:r>
    </w:p>
    <w:p w14:paraId="51A3507D" w14:textId="77777777" w:rsidR="00F65BCA" w:rsidRDefault="00000000">
      <w:pPr>
        <w:spacing w:before="39" w:line="225" w:lineRule="auto"/>
        <w:ind w:left="455" w:right="129"/>
        <w:rPr>
          <w:sz w:val="12"/>
        </w:rPr>
      </w:pPr>
      <w:r>
        <w:pict w14:anchorId="1DEC418E">
          <v:shape id="_x0000_s2156" type="#_x0000_t202" style="position:absolute;left:0;text-align:left;margin-left:207.15pt;margin-top:4.65pt;width:10.05pt;height:7.2pt;z-index:251964416;mso-position-horizontal-relative:page" filled="f" stroked="f">
            <v:textbox inset="0,0,0,0">
              <w:txbxContent>
                <w:p w14:paraId="15DF5357" w14:textId="77777777" w:rsidR="00F65BCA" w:rsidRDefault="00216117">
                  <w:pPr>
                    <w:spacing w:before="4"/>
                    <w:rPr>
                      <w:b/>
                      <w:sz w:val="12"/>
                    </w:rPr>
                  </w:pPr>
                  <w:r>
                    <w:rPr>
                      <w:b/>
                      <w:color w:val="231F20"/>
                      <w:sz w:val="12"/>
                    </w:rPr>
                    <w:t>253</w:t>
                  </w:r>
                </w:p>
              </w:txbxContent>
            </v:textbox>
            <w10:wrap anchorx="page"/>
          </v:shape>
        </w:pict>
      </w:r>
      <w:r w:rsidR="00216117">
        <w:rPr>
          <w:color w:val="231F20"/>
          <w:sz w:val="12"/>
        </w:rPr>
        <w:t>Přetržení,</w:t>
      </w:r>
      <w:r w:rsidR="00216117">
        <w:rPr>
          <w:color w:val="231F20"/>
          <w:spacing w:val="-20"/>
          <w:sz w:val="12"/>
        </w:rPr>
        <w:t xml:space="preserve"> </w:t>
      </w:r>
      <w:r w:rsidR="00216117">
        <w:rPr>
          <w:color w:val="231F20"/>
          <w:sz w:val="12"/>
        </w:rPr>
        <w:t>protětí</w:t>
      </w:r>
      <w:r w:rsidR="00216117">
        <w:rPr>
          <w:color w:val="231F20"/>
          <w:spacing w:val="-19"/>
          <w:sz w:val="12"/>
        </w:rPr>
        <w:t xml:space="preserve"> </w:t>
      </w:r>
      <w:r w:rsidR="00216117">
        <w:rPr>
          <w:color w:val="231F20"/>
          <w:sz w:val="12"/>
        </w:rPr>
        <w:t>většího</w:t>
      </w:r>
      <w:r w:rsidR="00216117">
        <w:rPr>
          <w:color w:val="231F20"/>
          <w:spacing w:val="-19"/>
          <w:sz w:val="12"/>
        </w:rPr>
        <w:t xml:space="preserve"> </w:t>
      </w:r>
      <w:r w:rsidR="00216117">
        <w:rPr>
          <w:color w:val="231F20"/>
          <w:sz w:val="12"/>
        </w:rPr>
        <w:t>svalu</w:t>
      </w:r>
      <w:r w:rsidR="00216117">
        <w:rPr>
          <w:color w:val="231F20"/>
          <w:spacing w:val="-19"/>
          <w:sz w:val="12"/>
        </w:rPr>
        <w:t xml:space="preserve"> </w:t>
      </w:r>
      <w:r w:rsidR="00216117">
        <w:rPr>
          <w:color w:val="231F20"/>
          <w:sz w:val="12"/>
        </w:rPr>
        <w:t>nebo</w:t>
      </w:r>
      <w:r w:rsidR="00216117">
        <w:rPr>
          <w:color w:val="231F20"/>
          <w:spacing w:val="-19"/>
          <w:sz w:val="12"/>
        </w:rPr>
        <w:t xml:space="preserve"> </w:t>
      </w:r>
      <w:r w:rsidR="00216117">
        <w:rPr>
          <w:color w:val="231F20"/>
          <w:sz w:val="12"/>
        </w:rPr>
        <w:t>šlachy</w:t>
      </w:r>
      <w:r w:rsidR="00216117">
        <w:rPr>
          <w:color w:val="231F20"/>
          <w:spacing w:val="-19"/>
          <w:sz w:val="12"/>
        </w:rPr>
        <w:t xml:space="preserve"> </w:t>
      </w:r>
      <w:r w:rsidR="00216117">
        <w:rPr>
          <w:color w:val="231F20"/>
          <w:spacing w:val="-3"/>
          <w:sz w:val="12"/>
        </w:rPr>
        <w:t xml:space="preserve">léčené </w:t>
      </w:r>
      <w:r w:rsidR="00216117">
        <w:rPr>
          <w:color w:val="231F20"/>
          <w:sz w:val="12"/>
        </w:rPr>
        <w:t>konzervativně</w:t>
      </w:r>
    </w:p>
    <w:p w14:paraId="0153B789" w14:textId="77777777" w:rsidR="00F65BCA" w:rsidRDefault="00000000">
      <w:pPr>
        <w:spacing w:before="53" w:line="225" w:lineRule="auto"/>
        <w:ind w:left="455" w:right="129"/>
        <w:rPr>
          <w:sz w:val="12"/>
        </w:rPr>
      </w:pPr>
      <w:r>
        <w:pict w14:anchorId="0B9B9525">
          <v:shape id="_x0000_s2155" type="#_x0000_t202" style="position:absolute;left:0;text-align:left;margin-left:207.15pt;margin-top:5.35pt;width:10.05pt;height:7.2pt;z-index:251965440;mso-position-horizontal-relative:page" filled="f" stroked="f">
            <v:textbox inset="0,0,0,0">
              <w:txbxContent>
                <w:p w14:paraId="3F72C72A" w14:textId="77777777" w:rsidR="00F65BCA" w:rsidRDefault="00216117">
                  <w:pPr>
                    <w:spacing w:before="4"/>
                    <w:rPr>
                      <w:b/>
                      <w:sz w:val="12"/>
                    </w:rPr>
                  </w:pPr>
                  <w:r>
                    <w:rPr>
                      <w:b/>
                      <w:color w:val="231F20"/>
                      <w:sz w:val="12"/>
                    </w:rPr>
                    <w:t>254</w:t>
                  </w:r>
                </w:p>
              </w:txbxContent>
            </v:textbox>
            <w10:wrap anchorx="page"/>
          </v:shape>
        </w:pict>
      </w:r>
      <w:r w:rsidR="00216117">
        <w:rPr>
          <w:color w:val="231F20"/>
          <w:sz w:val="12"/>
        </w:rPr>
        <w:t>Přetržení,</w:t>
      </w:r>
      <w:r w:rsidR="00216117">
        <w:rPr>
          <w:color w:val="231F20"/>
          <w:spacing w:val="-20"/>
          <w:sz w:val="12"/>
        </w:rPr>
        <w:t xml:space="preserve"> </w:t>
      </w:r>
      <w:r w:rsidR="00216117">
        <w:rPr>
          <w:color w:val="231F20"/>
          <w:sz w:val="12"/>
        </w:rPr>
        <w:t>protětí</w:t>
      </w:r>
      <w:r w:rsidR="00216117">
        <w:rPr>
          <w:color w:val="231F20"/>
          <w:spacing w:val="-19"/>
          <w:sz w:val="12"/>
        </w:rPr>
        <w:t xml:space="preserve"> </w:t>
      </w:r>
      <w:r w:rsidR="00216117">
        <w:rPr>
          <w:color w:val="231F20"/>
          <w:sz w:val="12"/>
        </w:rPr>
        <w:t>většího</w:t>
      </w:r>
      <w:r w:rsidR="00216117">
        <w:rPr>
          <w:color w:val="231F20"/>
          <w:spacing w:val="-19"/>
          <w:sz w:val="12"/>
        </w:rPr>
        <w:t xml:space="preserve"> </w:t>
      </w:r>
      <w:r w:rsidR="00216117">
        <w:rPr>
          <w:color w:val="231F20"/>
          <w:sz w:val="12"/>
        </w:rPr>
        <w:t>svalu</w:t>
      </w:r>
      <w:r w:rsidR="00216117">
        <w:rPr>
          <w:color w:val="231F20"/>
          <w:spacing w:val="-19"/>
          <w:sz w:val="12"/>
        </w:rPr>
        <w:t xml:space="preserve"> </w:t>
      </w:r>
      <w:r w:rsidR="00216117">
        <w:rPr>
          <w:color w:val="231F20"/>
          <w:sz w:val="12"/>
        </w:rPr>
        <w:t>nebo</w:t>
      </w:r>
      <w:r w:rsidR="00216117">
        <w:rPr>
          <w:color w:val="231F20"/>
          <w:spacing w:val="-19"/>
          <w:sz w:val="12"/>
        </w:rPr>
        <w:t xml:space="preserve"> </w:t>
      </w:r>
      <w:r w:rsidR="00216117">
        <w:rPr>
          <w:color w:val="231F20"/>
          <w:sz w:val="12"/>
        </w:rPr>
        <w:t>šlachy</w:t>
      </w:r>
      <w:r w:rsidR="00216117">
        <w:rPr>
          <w:color w:val="231F20"/>
          <w:spacing w:val="-19"/>
          <w:sz w:val="12"/>
        </w:rPr>
        <w:t xml:space="preserve"> </w:t>
      </w:r>
      <w:r w:rsidR="00216117">
        <w:rPr>
          <w:color w:val="231F20"/>
          <w:spacing w:val="-3"/>
          <w:sz w:val="12"/>
        </w:rPr>
        <w:t xml:space="preserve">léčené </w:t>
      </w:r>
      <w:r w:rsidR="00216117">
        <w:rPr>
          <w:color w:val="231F20"/>
          <w:sz w:val="12"/>
        </w:rPr>
        <w:t>operací</w:t>
      </w:r>
    </w:p>
    <w:p w14:paraId="03B4BA5F" w14:textId="77777777" w:rsidR="00F65BCA" w:rsidRDefault="00216117">
      <w:pPr>
        <w:spacing w:before="39"/>
        <w:ind w:left="455"/>
        <w:rPr>
          <w:b/>
          <w:sz w:val="12"/>
        </w:rPr>
      </w:pPr>
      <w:r>
        <w:rPr>
          <w:b/>
          <w:color w:val="231F20"/>
          <w:sz w:val="12"/>
        </w:rPr>
        <w:t>Achillova šlacha</w:t>
      </w:r>
    </w:p>
    <w:p w14:paraId="475E7972" w14:textId="77777777" w:rsidR="00F65BCA" w:rsidRDefault="00216117">
      <w:pPr>
        <w:pStyle w:val="Odstavecseseznamem"/>
        <w:numPr>
          <w:ilvl w:val="0"/>
          <w:numId w:val="60"/>
        </w:numPr>
        <w:tabs>
          <w:tab w:val="left" w:pos="456"/>
        </w:tabs>
        <w:spacing w:before="33"/>
        <w:ind w:hanging="273"/>
        <w:rPr>
          <w:sz w:val="12"/>
        </w:rPr>
      </w:pPr>
      <w:r>
        <w:rPr>
          <w:color w:val="231F20"/>
          <w:sz w:val="12"/>
        </w:rPr>
        <w:t>Natažení,</w:t>
      </w:r>
      <w:r>
        <w:rPr>
          <w:color w:val="231F20"/>
          <w:spacing w:val="-2"/>
          <w:sz w:val="12"/>
        </w:rPr>
        <w:t xml:space="preserve"> </w:t>
      </w:r>
      <w:r>
        <w:rPr>
          <w:color w:val="231F20"/>
          <w:sz w:val="12"/>
        </w:rPr>
        <w:t>natržení</w:t>
      </w:r>
    </w:p>
    <w:p w14:paraId="0E65F2D3" w14:textId="77777777" w:rsidR="00F65BCA" w:rsidRDefault="00216117">
      <w:pPr>
        <w:pStyle w:val="Odstavecseseznamem"/>
        <w:numPr>
          <w:ilvl w:val="0"/>
          <w:numId w:val="60"/>
        </w:numPr>
        <w:tabs>
          <w:tab w:val="left" w:pos="456"/>
        </w:tabs>
        <w:spacing w:before="32"/>
        <w:ind w:hanging="273"/>
        <w:rPr>
          <w:sz w:val="12"/>
        </w:rPr>
      </w:pPr>
      <w:r>
        <w:rPr>
          <w:color w:val="231F20"/>
          <w:sz w:val="12"/>
        </w:rPr>
        <w:t>Přetržení, protětí léčené</w:t>
      </w:r>
      <w:r>
        <w:rPr>
          <w:color w:val="231F20"/>
          <w:spacing w:val="-13"/>
          <w:sz w:val="12"/>
        </w:rPr>
        <w:t xml:space="preserve"> </w:t>
      </w:r>
      <w:r>
        <w:rPr>
          <w:color w:val="231F20"/>
          <w:sz w:val="12"/>
        </w:rPr>
        <w:t>konzervativně</w:t>
      </w:r>
    </w:p>
    <w:p w14:paraId="78214C29" w14:textId="77777777" w:rsidR="00F65BCA" w:rsidRDefault="00216117">
      <w:pPr>
        <w:pStyle w:val="Odstavecseseznamem"/>
        <w:numPr>
          <w:ilvl w:val="0"/>
          <w:numId w:val="60"/>
        </w:numPr>
        <w:tabs>
          <w:tab w:val="left" w:pos="456"/>
        </w:tabs>
        <w:spacing w:before="29"/>
        <w:ind w:hanging="273"/>
        <w:rPr>
          <w:sz w:val="12"/>
        </w:rPr>
      </w:pPr>
      <w:r>
        <w:rPr>
          <w:color w:val="231F20"/>
          <w:sz w:val="12"/>
        </w:rPr>
        <w:t>Přetržení, protětí léčené</w:t>
      </w:r>
      <w:r>
        <w:rPr>
          <w:color w:val="231F20"/>
          <w:spacing w:val="-8"/>
          <w:sz w:val="12"/>
        </w:rPr>
        <w:t xml:space="preserve"> </w:t>
      </w:r>
      <w:r>
        <w:rPr>
          <w:color w:val="231F20"/>
          <w:sz w:val="12"/>
        </w:rPr>
        <w:t>operací</w:t>
      </w:r>
    </w:p>
    <w:p w14:paraId="3073B3FC" w14:textId="77777777" w:rsidR="00F65BCA" w:rsidRDefault="00216117">
      <w:pPr>
        <w:spacing w:before="35"/>
        <w:ind w:left="455"/>
        <w:rPr>
          <w:b/>
          <w:sz w:val="12"/>
        </w:rPr>
      </w:pPr>
      <w:r>
        <w:rPr>
          <w:b/>
          <w:color w:val="231F20"/>
          <w:sz w:val="12"/>
        </w:rPr>
        <w:t>Koleno</w:t>
      </w:r>
    </w:p>
    <w:p w14:paraId="61CCA462" w14:textId="77777777" w:rsidR="00F65BCA" w:rsidRDefault="00000000">
      <w:pPr>
        <w:spacing w:before="33" w:line="242" w:lineRule="auto"/>
        <w:ind w:left="455" w:right="22"/>
        <w:rPr>
          <w:sz w:val="12"/>
        </w:rPr>
      </w:pPr>
      <w:r>
        <w:pict w14:anchorId="6AB55487">
          <v:shape id="_x0000_s2154" type="#_x0000_t202" style="position:absolute;left:0;text-align:left;margin-left:207.15pt;margin-top:4.95pt;width:10.05pt;height:7.2pt;z-index:251966464;mso-position-horizontal-relative:page" filled="f" stroked="f">
            <v:textbox inset="0,0,0,0">
              <w:txbxContent>
                <w:p w14:paraId="4CF71E80" w14:textId="77777777" w:rsidR="00F65BCA" w:rsidRDefault="00216117">
                  <w:pPr>
                    <w:spacing w:before="4"/>
                    <w:rPr>
                      <w:b/>
                      <w:sz w:val="12"/>
                    </w:rPr>
                  </w:pPr>
                  <w:r>
                    <w:rPr>
                      <w:b/>
                      <w:color w:val="231F20"/>
                      <w:sz w:val="12"/>
                    </w:rPr>
                    <w:t>258</w:t>
                  </w:r>
                </w:p>
              </w:txbxContent>
            </v:textbox>
            <w10:wrap anchorx="page"/>
          </v:shape>
        </w:pict>
      </w:r>
      <w:r w:rsidR="00216117">
        <w:rPr>
          <w:color w:val="231F20"/>
          <w:sz w:val="12"/>
        </w:rPr>
        <w:t>Natažení,</w:t>
      </w:r>
      <w:r w:rsidR="00216117">
        <w:rPr>
          <w:color w:val="231F20"/>
          <w:spacing w:val="-22"/>
          <w:sz w:val="12"/>
        </w:rPr>
        <w:t xml:space="preserve"> </w:t>
      </w:r>
      <w:r w:rsidR="00216117">
        <w:rPr>
          <w:color w:val="231F20"/>
          <w:sz w:val="12"/>
        </w:rPr>
        <w:t>natržení</w:t>
      </w:r>
      <w:r w:rsidR="00216117">
        <w:rPr>
          <w:color w:val="231F20"/>
          <w:spacing w:val="-22"/>
          <w:sz w:val="12"/>
        </w:rPr>
        <w:t xml:space="preserve"> </w:t>
      </w:r>
      <w:r w:rsidR="00216117">
        <w:rPr>
          <w:color w:val="231F20"/>
          <w:sz w:val="12"/>
        </w:rPr>
        <w:t>vnitřního</w:t>
      </w:r>
      <w:r w:rsidR="00216117">
        <w:rPr>
          <w:color w:val="231F20"/>
          <w:spacing w:val="-22"/>
          <w:sz w:val="12"/>
        </w:rPr>
        <w:t xml:space="preserve"> </w:t>
      </w:r>
      <w:r w:rsidR="00216117">
        <w:rPr>
          <w:color w:val="231F20"/>
          <w:sz w:val="12"/>
        </w:rPr>
        <w:t>nebo</w:t>
      </w:r>
      <w:r w:rsidR="00216117">
        <w:rPr>
          <w:color w:val="231F20"/>
          <w:spacing w:val="-22"/>
          <w:sz w:val="12"/>
        </w:rPr>
        <w:t xml:space="preserve"> </w:t>
      </w:r>
      <w:r w:rsidR="00216117">
        <w:rPr>
          <w:color w:val="231F20"/>
          <w:sz w:val="12"/>
        </w:rPr>
        <w:t>zevního</w:t>
      </w:r>
      <w:r w:rsidR="00216117">
        <w:rPr>
          <w:color w:val="231F20"/>
          <w:spacing w:val="-21"/>
          <w:sz w:val="12"/>
        </w:rPr>
        <w:t xml:space="preserve"> </w:t>
      </w:r>
      <w:r w:rsidR="00216117">
        <w:rPr>
          <w:color w:val="231F20"/>
          <w:spacing w:val="-3"/>
          <w:sz w:val="12"/>
        </w:rPr>
        <w:t xml:space="preserve">postranní- </w:t>
      </w:r>
      <w:r w:rsidR="00216117">
        <w:rPr>
          <w:color w:val="231F20"/>
          <w:sz w:val="12"/>
        </w:rPr>
        <w:t>ho vazu</w:t>
      </w:r>
      <w:r w:rsidR="00216117">
        <w:rPr>
          <w:color w:val="231F20"/>
          <w:spacing w:val="-2"/>
          <w:sz w:val="12"/>
        </w:rPr>
        <w:t xml:space="preserve"> </w:t>
      </w:r>
      <w:r w:rsidR="00216117">
        <w:rPr>
          <w:color w:val="231F20"/>
          <w:sz w:val="12"/>
        </w:rPr>
        <w:t>kolenního</w:t>
      </w:r>
    </w:p>
    <w:p w14:paraId="02CB3BA4" w14:textId="77777777" w:rsidR="00F65BCA" w:rsidRDefault="00216117">
      <w:pPr>
        <w:spacing w:before="29"/>
        <w:ind w:left="183"/>
        <w:rPr>
          <w:sz w:val="12"/>
        </w:rPr>
      </w:pPr>
      <w:r>
        <w:rPr>
          <w:b/>
          <w:color w:val="231F20"/>
          <w:sz w:val="12"/>
        </w:rPr>
        <w:t xml:space="preserve">259 </w:t>
      </w:r>
      <w:r>
        <w:rPr>
          <w:color w:val="231F20"/>
          <w:sz w:val="12"/>
        </w:rPr>
        <w:t>Natažení, natržení zkříženého vazu kolenního</w:t>
      </w:r>
    </w:p>
    <w:p w14:paraId="49BBB59B" w14:textId="77777777" w:rsidR="00F65BCA" w:rsidRDefault="00000000">
      <w:pPr>
        <w:spacing w:before="36" w:line="242" w:lineRule="auto"/>
        <w:ind w:left="455" w:right="374"/>
        <w:rPr>
          <w:sz w:val="12"/>
        </w:rPr>
      </w:pPr>
      <w:r>
        <w:pict w14:anchorId="49789FB3">
          <v:shape id="_x0000_s2153" type="#_x0000_t202" style="position:absolute;left:0;text-align:left;margin-left:207.15pt;margin-top:5.1pt;width:10.05pt;height:7.2pt;z-index:251967488;mso-position-horizontal-relative:page" filled="f" stroked="f">
            <v:textbox inset="0,0,0,0">
              <w:txbxContent>
                <w:p w14:paraId="7658E573" w14:textId="77777777" w:rsidR="00F65BCA" w:rsidRDefault="00216117">
                  <w:pPr>
                    <w:spacing w:before="4"/>
                    <w:rPr>
                      <w:b/>
                      <w:sz w:val="12"/>
                    </w:rPr>
                  </w:pPr>
                  <w:r>
                    <w:rPr>
                      <w:b/>
                      <w:color w:val="231F20"/>
                      <w:sz w:val="12"/>
                    </w:rPr>
                    <w:t>260</w:t>
                  </w:r>
                </w:p>
              </w:txbxContent>
            </v:textbox>
            <w10:wrap anchorx="page"/>
          </v:shape>
        </w:pict>
      </w:r>
      <w:r w:rsidR="00216117">
        <w:rPr>
          <w:color w:val="231F20"/>
          <w:w w:val="95"/>
          <w:sz w:val="12"/>
        </w:rPr>
        <w:t xml:space="preserve">Přetržení nebo úplné odtržení postranního </w:t>
      </w:r>
      <w:r w:rsidR="00216117">
        <w:rPr>
          <w:color w:val="231F20"/>
          <w:sz w:val="12"/>
        </w:rPr>
        <w:t>vazu</w:t>
      </w:r>
      <w:r w:rsidR="00216117">
        <w:rPr>
          <w:color w:val="231F20"/>
          <w:spacing w:val="-1"/>
          <w:sz w:val="12"/>
        </w:rPr>
        <w:t xml:space="preserve"> </w:t>
      </w:r>
      <w:r w:rsidR="00216117">
        <w:rPr>
          <w:color w:val="231F20"/>
          <w:sz w:val="12"/>
        </w:rPr>
        <w:t>kolenního</w:t>
      </w:r>
    </w:p>
    <w:p w14:paraId="4132C989" w14:textId="77777777" w:rsidR="00F65BCA" w:rsidRDefault="00000000">
      <w:pPr>
        <w:spacing w:before="33" w:line="242" w:lineRule="auto"/>
        <w:ind w:left="455" w:right="593"/>
        <w:rPr>
          <w:sz w:val="12"/>
        </w:rPr>
      </w:pPr>
      <w:r>
        <w:pict w14:anchorId="33937C01">
          <v:shape id="_x0000_s2152" type="#_x0000_t202" style="position:absolute;left:0;text-align:left;margin-left:207.15pt;margin-top:5pt;width:10.05pt;height:7.2pt;z-index:251968512;mso-position-horizontal-relative:page" filled="f" stroked="f">
            <v:textbox inset="0,0,0,0">
              <w:txbxContent>
                <w:p w14:paraId="5856FBBE" w14:textId="77777777" w:rsidR="00F65BCA" w:rsidRDefault="00216117">
                  <w:pPr>
                    <w:spacing w:before="4"/>
                    <w:rPr>
                      <w:b/>
                      <w:sz w:val="12"/>
                    </w:rPr>
                  </w:pPr>
                  <w:r>
                    <w:rPr>
                      <w:b/>
                      <w:color w:val="231F20"/>
                      <w:sz w:val="12"/>
                    </w:rPr>
                    <w:t>261</w:t>
                  </w:r>
                </w:p>
              </w:txbxContent>
            </v:textbox>
            <w10:wrap anchorx="page"/>
          </v:shape>
        </w:pict>
      </w:r>
      <w:r w:rsidR="00216117">
        <w:rPr>
          <w:color w:val="231F20"/>
          <w:w w:val="95"/>
          <w:sz w:val="12"/>
        </w:rPr>
        <w:t xml:space="preserve">Přetržení nebo úplné odtržení zkříženého </w:t>
      </w:r>
      <w:r w:rsidR="00216117">
        <w:rPr>
          <w:color w:val="231F20"/>
          <w:sz w:val="12"/>
        </w:rPr>
        <w:t>vazu</w:t>
      </w:r>
      <w:r w:rsidR="00216117">
        <w:rPr>
          <w:color w:val="231F20"/>
          <w:spacing w:val="-2"/>
          <w:sz w:val="12"/>
        </w:rPr>
        <w:t xml:space="preserve"> </w:t>
      </w:r>
      <w:r w:rsidR="00216117">
        <w:rPr>
          <w:color w:val="231F20"/>
          <w:sz w:val="12"/>
        </w:rPr>
        <w:t>kolenního</w:t>
      </w:r>
    </w:p>
    <w:p w14:paraId="546A6F86" w14:textId="77777777" w:rsidR="00F65BCA" w:rsidRDefault="00216117">
      <w:pPr>
        <w:pStyle w:val="Zkladntext"/>
        <w:rPr>
          <w:sz w:val="14"/>
        </w:rPr>
      </w:pPr>
      <w:r>
        <w:br w:type="column"/>
      </w:r>
    </w:p>
    <w:p w14:paraId="124550F5" w14:textId="77777777" w:rsidR="00F65BCA" w:rsidRDefault="00F65BCA">
      <w:pPr>
        <w:pStyle w:val="Zkladntext"/>
        <w:spacing w:before="10"/>
        <w:rPr>
          <w:sz w:val="16"/>
        </w:rPr>
      </w:pPr>
    </w:p>
    <w:p w14:paraId="083F825A" w14:textId="77777777" w:rsidR="00F65BCA" w:rsidRDefault="00216117">
      <w:pPr>
        <w:ind w:left="167"/>
        <w:rPr>
          <w:sz w:val="12"/>
        </w:rPr>
      </w:pPr>
      <w:r>
        <w:rPr>
          <w:color w:val="231F20"/>
          <w:sz w:val="12"/>
        </w:rPr>
        <w:t>do</w:t>
      </w:r>
      <w:r>
        <w:rPr>
          <w:color w:val="231F20"/>
          <w:spacing w:val="2"/>
          <w:sz w:val="12"/>
        </w:rPr>
        <w:t xml:space="preserve"> </w:t>
      </w:r>
      <w:r>
        <w:rPr>
          <w:color w:val="231F20"/>
          <w:sz w:val="12"/>
        </w:rPr>
        <w:t>42</w:t>
      </w:r>
    </w:p>
    <w:p w14:paraId="077864C8" w14:textId="77777777" w:rsidR="00F65BCA" w:rsidRDefault="00216117">
      <w:pPr>
        <w:spacing w:before="21"/>
        <w:ind w:left="167"/>
        <w:rPr>
          <w:sz w:val="12"/>
        </w:rPr>
      </w:pPr>
      <w:r>
        <w:rPr>
          <w:color w:val="231F20"/>
          <w:sz w:val="12"/>
        </w:rPr>
        <w:t>do</w:t>
      </w:r>
      <w:r>
        <w:rPr>
          <w:color w:val="231F20"/>
          <w:spacing w:val="2"/>
          <w:sz w:val="12"/>
        </w:rPr>
        <w:t xml:space="preserve"> </w:t>
      </w:r>
      <w:r>
        <w:rPr>
          <w:color w:val="231F20"/>
          <w:sz w:val="12"/>
        </w:rPr>
        <w:t>70</w:t>
      </w:r>
    </w:p>
    <w:p w14:paraId="30BEF4F8" w14:textId="77777777" w:rsidR="00F65BCA" w:rsidRDefault="00216117">
      <w:pPr>
        <w:spacing w:before="20"/>
        <w:ind w:left="167"/>
        <w:rPr>
          <w:sz w:val="12"/>
        </w:rPr>
      </w:pPr>
      <w:r>
        <w:rPr>
          <w:color w:val="231F20"/>
          <w:sz w:val="12"/>
        </w:rPr>
        <w:t>do</w:t>
      </w:r>
      <w:r>
        <w:rPr>
          <w:color w:val="231F20"/>
          <w:spacing w:val="2"/>
          <w:sz w:val="12"/>
        </w:rPr>
        <w:t xml:space="preserve"> </w:t>
      </w:r>
      <w:r>
        <w:rPr>
          <w:color w:val="231F20"/>
          <w:sz w:val="12"/>
        </w:rPr>
        <w:t>56</w:t>
      </w:r>
    </w:p>
    <w:p w14:paraId="28C89D4B" w14:textId="77777777" w:rsidR="00F65BCA" w:rsidRDefault="00216117">
      <w:pPr>
        <w:spacing w:before="21"/>
        <w:ind w:left="167"/>
        <w:rPr>
          <w:sz w:val="12"/>
        </w:rPr>
      </w:pPr>
      <w:r>
        <w:rPr>
          <w:color w:val="231F20"/>
          <w:sz w:val="12"/>
        </w:rPr>
        <w:t>do</w:t>
      </w:r>
      <w:r>
        <w:rPr>
          <w:color w:val="231F20"/>
          <w:spacing w:val="2"/>
          <w:sz w:val="12"/>
        </w:rPr>
        <w:t xml:space="preserve"> </w:t>
      </w:r>
      <w:r>
        <w:rPr>
          <w:color w:val="231F20"/>
          <w:sz w:val="12"/>
        </w:rPr>
        <w:t>91</w:t>
      </w:r>
    </w:p>
    <w:p w14:paraId="33471FDD" w14:textId="77777777" w:rsidR="00F65BCA" w:rsidRDefault="00216117">
      <w:pPr>
        <w:spacing w:before="21"/>
        <w:ind w:left="133"/>
        <w:rPr>
          <w:sz w:val="12"/>
        </w:rPr>
      </w:pPr>
      <w:r>
        <w:rPr>
          <w:color w:val="231F20"/>
          <w:sz w:val="12"/>
        </w:rPr>
        <w:t>do</w:t>
      </w:r>
      <w:r>
        <w:rPr>
          <w:color w:val="231F20"/>
          <w:spacing w:val="2"/>
          <w:sz w:val="12"/>
        </w:rPr>
        <w:t xml:space="preserve"> </w:t>
      </w:r>
      <w:r>
        <w:rPr>
          <w:color w:val="231F20"/>
          <w:sz w:val="12"/>
        </w:rPr>
        <w:t>140</w:t>
      </w:r>
    </w:p>
    <w:p w14:paraId="4A9E1E0D" w14:textId="77777777" w:rsidR="00F65BCA" w:rsidRDefault="00216117">
      <w:pPr>
        <w:spacing w:before="21"/>
        <w:ind w:left="133"/>
        <w:rPr>
          <w:sz w:val="12"/>
        </w:rPr>
      </w:pPr>
      <w:r>
        <w:rPr>
          <w:color w:val="231F20"/>
          <w:sz w:val="12"/>
        </w:rPr>
        <w:t>do</w:t>
      </w:r>
      <w:r>
        <w:rPr>
          <w:color w:val="231F20"/>
          <w:spacing w:val="2"/>
          <w:sz w:val="12"/>
        </w:rPr>
        <w:t xml:space="preserve"> </w:t>
      </w:r>
      <w:r>
        <w:rPr>
          <w:color w:val="231F20"/>
          <w:sz w:val="12"/>
        </w:rPr>
        <w:t>182</w:t>
      </w:r>
    </w:p>
    <w:p w14:paraId="2EF3BE7A" w14:textId="77777777" w:rsidR="00F65BCA" w:rsidRDefault="00F65BCA">
      <w:pPr>
        <w:pStyle w:val="Zkladntext"/>
        <w:spacing w:before="6"/>
        <w:rPr>
          <w:sz w:val="16"/>
        </w:rPr>
      </w:pPr>
    </w:p>
    <w:p w14:paraId="57DF1B6C" w14:textId="77777777" w:rsidR="00F65BCA" w:rsidRDefault="00216117">
      <w:pPr>
        <w:ind w:left="167"/>
        <w:rPr>
          <w:sz w:val="12"/>
        </w:rPr>
      </w:pPr>
      <w:r>
        <w:rPr>
          <w:color w:val="231F20"/>
          <w:sz w:val="12"/>
        </w:rPr>
        <w:t>do</w:t>
      </w:r>
      <w:r>
        <w:rPr>
          <w:color w:val="231F20"/>
          <w:spacing w:val="2"/>
          <w:sz w:val="12"/>
        </w:rPr>
        <w:t xml:space="preserve"> </w:t>
      </w:r>
      <w:r>
        <w:rPr>
          <w:color w:val="231F20"/>
          <w:sz w:val="12"/>
        </w:rPr>
        <w:t>84</w:t>
      </w:r>
    </w:p>
    <w:p w14:paraId="252BD48E" w14:textId="77777777" w:rsidR="00F65BCA" w:rsidRDefault="00216117">
      <w:pPr>
        <w:spacing w:before="21"/>
        <w:ind w:left="133"/>
        <w:rPr>
          <w:sz w:val="12"/>
        </w:rPr>
      </w:pPr>
      <w:r>
        <w:rPr>
          <w:color w:val="231F20"/>
          <w:sz w:val="12"/>
        </w:rPr>
        <w:t>do</w:t>
      </w:r>
      <w:r>
        <w:rPr>
          <w:color w:val="231F20"/>
          <w:spacing w:val="2"/>
          <w:sz w:val="12"/>
        </w:rPr>
        <w:t xml:space="preserve"> </w:t>
      </w:r>
      <w:r>
        <w:rPr>
          <w:color w:val="231F20"/>
          <w:sz w:val="12"/>
        </w:rPr>
        <w:t>105</w:t>
      </w:r>
    </w:p>
    <w:p w14:paraId="1D8608A8" w14:textId="77777777" w:rsidR="00F65BCA" w:rsidRDefault="00F65BCA">
      <w:pPr>
        <w:pStyle w:val="Zkladntext"/>
        <w:spacing w:before="1"/>
        <w:rPr>
          <w:sz w:val="17"/>
        </w:rPr>
      </w:pPr>
    </w:p>
    <w:p w14:paraId="3A06C9EE" w14:textId="77777777" w:rsidR="00F65BCA" w:rsidRDefault="00216117">
      <w:pPr>
        <w:ind w:left="167"/>
        <w:rPr>
          <w:sz w:val="12"/>
        </w:rPr>
      </w:pPr>
      <w:r>
        <w:rPr>
          <w:color w:val="231F20"/>
          <w:sz w:val="12"/>
        </w:rPr>
        <w:t>do</w:t>
      </w:r>
      <w:r>
        <w:rPr>
          <w:color w:val="231F20"/>
          <w:spacing w:val="2"/>
          <w:sz w:val="12"/>
        </w:rPr>
        <w:t xml:space="preserve"> </w:t>
      </w:r>
      <w:r>
        <w:rPr>
          <w:color w:val="231F20"/>
          <w:sz w:val="12"/>
        </w:rPr>
        <w:t>35</w:t>
      </w:r>
    </w:p>
    <w:p w14:paraId="317D9271" w14:textId="77777777" w:rsidR="00F65BCA" w:rsidRDefault="00F65BCA">
      <w:pPr>
        <w:pStyle w:val="Zkladntext"/>
        <w:rPr>
          <w:sz w:val="14"/>
        </w:rPr>
      </w:pPr>
    </w:p>
    <w:p w14:paraId="3967D0DE" w14:textId="77777777" w:rsidR="00F65BCA" w:rsidRDefault="00F65BCA">
      <w:pPr>
        <w:pStyle w:val="Zkladntext"/>
        <w:spacing w:before="5"/>
      </w:pPr>
    </w:p>
    <w:p w14:paraId="5EC4A9FD" w14:textId="77777777" w:rsidR="00F65BCA" w:rsidRDefault="00216117">
      <w:pPr>
        <w:ind w:left="167"/>
        <w:rPr>
          <w:sz w:val="12"/>
        </w:rPr>
      </w:pPr>
      <w:r>
        <w:rPr>
          <w:color w:val="231F20"/>
          <w:sz w:val="12"/>
        </w:rPr>
        <w:t>do</w:t>
      </w:r>
      <w:r>
        <w:rPr>
          <w:color w:val="231F20"/>
          <w:spacing w:val="2"/>
          <w:sz w:val="12"/>
        </w:rPr>
        <w:t xml:space="preserve"> </w:t>
      </w:r>
      <w:r>
        <w:rPr>
          <w:color w:val="231F20"/>
          <w:sz w:val="12"/>
        </w:rPr>
        <w:t>70</w:t>
      </w:r>
    </w:p>
    <w:p w14:paraId="39BA4AD8" w14:textId="77777777" w:rsidR="00F65BCA" w:rsidRDefault="00216117">
      <w:pPr>
        <w:spacing w:before="21"/>
        <w:ind w:left="167"/>
        <w:rPr>
          <w:sz w:val="12"/>
        </w:rPr>
      </w:pPr>
      <w:r>
        <w:rPr>
          <w:color w:val="231F20"/>
          <w:sz w:val="12"/>
        </w:rPr>
        <w:t>do</w:t>
      </w:r>
      <w:r>
        <w:rPr>
          <w:color w:val="231F20"/>
          <w:spacing w:val="2"/>
          <w:sz w:val="12"/>
        </w:rPr>
        <w:t xml:space="preserve"> </w:t>
      </w:r>
      <w:r>
        <w:rPr>
          <w:color w:val="231F20"/>
          <w:sz w:val="12"/>
        </w:rPr>
        <w:t>84</w:t>
      </w:r>
    </w:p>
    <w:p w14:paraId="3AD60494" w14:textId="77777777" w:rsidR="00F65BCA" w:rsidRDefault="00F65BCA">
      <w:pPr>
        <w:pStyle w:val="Zkladntext"/>
        <w:spacing w:before="7"/>
      </w:pPr>
    </w:p>
    <w:p w14:paraId="3F7A7FE0" w14:textId="77777777" w:rsidR="00F65BCA" w:rsidRDefault="00216117">
      <w:pPr>
        <w:ind w:left="167"/>
        <w:rPr>
          <w:sz w:val="12"/>
        </w:rPr>
      </w:pPr>
      <w:r>
        <w:rPr>
          <w:color w:val="231F20"/>
          <w:sz w:val="12"/>
        </w:rPr>
        <w:t>do</w:t>
      </w:r>
      <w:r>
        <w:rPr>
          <w:color w:val="231F20"/>
          <w:spacing w:val="2"/>
          <w:sz w:val="12"/>
        </w:rPr>
        <w:t xml:space="preserve"> </w:t>
      </w:r>
      <w:r>
        <w:rPr>
          <w:color w:val="231F20"/>
          <w:sz w:val="12"/>
        </w:rPr>
        <w:t>70</w:t>
      </w:r>
    </w:p>
    <w:p w14:paraId="5988939C" w14:textId="77777777" w:rsidR="00F65BCA" w:rsidRDefault="00216117">
      <w:pPr>
        <w:spacing w:before="20"/>
        <w:ind w:left="133"/>
        <w:rPr>
          <w:sz w:val="12"/>
        </w:rPr>
      </w:pPr>
      <w:r>
        <w:rPr>
          <w:color w:val="231F20"/>
          <w:sz w:val="12"/>
        </w:rPr>
        <w:t>do</w:t>
      </w:r>
      <w:r>
        <w:rPr>
          <w:color w:val="231F20"/>
          <w:spacing w:val="2"/>
          <w:sz w:val="12"/>
        </w:rPr>
        <w:t xml:space="preserve"> </w:t>
      </w:r>
      <w:r>
        <w:rPr>
          <w:color w:val="231F20"/>
          <w:sz w:val="12"/>
        </w:rPr>
        <w:t>105</w:t>
      </w:r>
    </w:p>
    <w:p w14:paraId="67939C57" w14:textId="77777777" w:rsidR="00F65BCA" w:rsidRDefault="00F65BCA">
      <w:pPr>
        <w:pStyle w:val="Zkladntext"/>
        <w:spacing w:before="7"/>
      </w:pPr>
    </w:p>
    <w:p w14:paraId="24E19930" w14:textId="77777777" w:rsidR="00F65BCA" w:rsidRDefault="00216117">
      <w:pPr>
        <w:ind w:left="167"/>
        <w:rPr>
          <w:sz w:val="12"/>
        </w:rPr>
      </w:pPr>
      <w:r>
        <w:rPr>
          <w:color w:val="231F20"/>
          <w:sz w:val="12"/>
        </w:rPr>
        <w:t>do</w:t>
      </w:r>
      <w:r>
        <w:rPr>
          <w:color w:val="231F20"/>
          <w:spacing w:val="2"/>
          <w:sz w:val="12"/>
        </w:rPr>
        <w:t xml:space="preserve"> </w:t>
      </w:r>
      <w:r>
        <w:rPr>
          <w:color w:val="231F20"/>
          <w:sz w:val="12"/>
        </w:rPr>
        <w:t>70</w:t>
      </w:r>
    </w:p>
    <w:p w14:paraId="7DBE8945" w14:textId="77777777" w:rsidR="00F65BCA" w:rsidRDefault="00216117">
      <w:pPr>
        <w:spacing w:before="21"/>
        <w:ind w:left="133"/>
        <w:rPr>
          <w:sz w:val="12"/>
        </w:rPr>
      </w:pPr>
      <w:r>
        <w:rPr>
          <w:color w:val="231F20"/>
          <w:sz w:val="12"/>
        </w:rPr>
        <w:t>do</w:t>
      </w:r>
      <w:r>
        <w:rPr>
          <w:color w:val="231F20"/>
          <w:spacing w:val="2"/>
          <w:sz w:val="12"/>
        </w:rPr>
        <w:t xml:space="preserve"> </w:t>
      </w:r>
      <w:r>
        <w:rPr>
          <w:color w:val="231F20"/>
          <w:sz w:val="12"/>
        </w:rPr>
        <w:t>105</w:t>
      </w:r>
    </w:p>
    <w:p w14:paraId="11A51D2C" w14:textId="77777777" w:rsidR="00F65BCA" w:rsidRDefault="00216117">
      <w:pPr>
        <w:spacing w:before="21"/>
        <w:ind w:left="167"/>
        <w:rPr>
          <w:sz w:val="12"/>
        </w:rPr>
      </w:pPr>
      <w:r>
        <w:rPr>
          <w:color w:val="231F20"/>
          <w:sz w:val="12"/>
        </w:rPr>
        <w:t>do</w:t>
      </w:r>
      <w:r>
        <w:rPr>
          <w:color w:val="231F20"/>
          <w:spacing w:val="2"/>
          <w:sz w:val="12"/>
        </w:rPr>
        <w:t xml:space="preserve"> </w:t>
      </w:r>
      <w:r>
        <w:rPr>
          <w:color w:val="231F20"/>
          <w:sz w:val="12"/>
        </w:rPr>
        <w:t>84</w:t>
      </w:r>
    </w:p>
    <w:p w14:paraId="065CD344" w14:textId="77777777" w:rsidR="00F65BCA" w:rsidRDefault="00216117">
      <w:pPr>
        <w:spacing w:before="21"/>
        <w:ind w:left="133"/>
        <w:rPr>
          <w:sz w:val="12"/>
        </w:rPr>
      </w:pPr>
      <w:r>
        <w:rPr>
          <w:color w:val="231F20"/>
          <w:sz w:val="12"/>
        </w:rPr>
        <w:t>do</w:t>
      </w:r>
      <w:r>
        <w:rPr>
          <w:color w:val="231F20"/>
          <w:spacing w:val="2"/>
          <w:sz w:val="12"/>
        </w:rPr>
        <w:t xml:space="preserve"> </w:t>
      </w:r>
      <w:r>
        <w:rPr>
          <w:color w:val="231F20"/>
          <w:sz w:val="12"/>
        </w:rPr>
        <w:t>105</w:t>
      </w:r>
    </w:p>
    <w:p w14:paraId="3221869C" w14:textId="77777777" w:rsidR="00F65BCA" w:rsidRDefault="00216117">
      <w:pPr>
        <w:spacing w:before="20"/>
        <w:ind w:left="167"/>
        <w:rPr>
          <w:sz w:val="12"/>
        </w:rPr>
      </w:pPr>
      <w:r>
        <w:rPr>
          <w:color w:val="231F20"/>
          <w:sz w:val="12"/>
        </w:rPr>
        <w:t>do</w:t>
      </w:r>
      <w:r>
        <w:rPr>
          <w:color w:val="231F20"/>
          <w:spacing w:val="2"/>
          <w:sz w:val="12"/>
        </w:rPr>
        <w:t xml:space="preserve"> </w:t>
      </w:r>
      <w:r>
        <w:rPr>
          <w:color w:val="231F20"/>
          <w:sz w:val="12"/>
        </w:rPr>
        <w:t>70</w:t>
      </w:r>
    </w:p>
    <w:p w14:paraId="4B35DD45" w14:textId="77777777" w:rsidR="00F65BCA" w:rsidRDefault="00216117">
      <w:pPr>
        <w:spacing w:before="21"/>
        <w:ind w:left="167"/>
        <w:rPr>
          <w:sz w:val="12"/>
        </w:rPr>
      </w:pPr>
      <w:r>
        <w:rPr>
          <w:color w:val="231F20"/>
          <w:sz w:val="12"/>
        </w:rPr>
        <w:t>do</w:t>
      </w:r>
      <w:r>
        <w:rPr>
          <w:color w:val="231F20"/>
          <w:spacing w:val="2"/>
          <w:sz w:val="12"/>
        </w:rPr>
        <w:t xml:space="preserve"> </w:t>
      </w:r>
      <w:r>
        <w:rPr>
          <w:color w:val="231F20"/>
          <w:sz w:val="12"/>
        </w:rPr>
        <w:t>84</w:t>
      </w:r>
    </w:p>
    <w:p w14:paraId="6C768EA8" w14:textId="77777777" w:rsidR="00F65BCA" w:rsidRDefault="00F65BCA">
      <w:pPr>
        <w:pStyle w:val="Zkladntext"/>
        <w:spacing w:before="7"/>
      </w:pPr>
    </w:p>
    <w:p w14:paraId="1B4BC722" w14:textId="77777777" w:rsidR="00F65BCA" w:rsidRDefault="00216117">
      <w:pPr>
        <w:ind w:left="133"/>
        <w:rPr>
          <w:sz w:val="12"/>
        </w:rPr>
      </w:pPr>
      <w:r>
        <w:rPr>
          <w:color w:val="231F20"/>
          <w:sz w:val="12"/>
        </w:rPr>
        <w:t>do</w:t>
      </w:r>
      <w:r>
        <w:rPr>
          <w:color w:val="231F20"/>
          <w:spacing w:val="2"/>
          <w:sz w:val="12"/>
        </w:rPr>
        <w:t xml:space="preserve"> </w:t>
      </w:r>
      <w:r>
        <w:rPr>
          <w:color w:val="231F20"/>
          <w:sz w:val="12"/>
        </w:rPr>
        <w:t>105</w:t>
      </w:r>
    </w:p>
    <w:p w14:paraId="45231FD2" w14:textId="77777777" w:rsidR="00F65BCA" w:rsidRDefault="00216117">
      <w:pPr>
        <w:spacing w:before="21"/>
        <w:ind w:left="133"/>
        <w:rPr>
          <w:sz w:val="12"/>
        </w:rPr>
      </w:pPr>
      <w:r>
        <w:rPr>
          <w:color w:val="231F20"/>
          <w:sz w:val="12"/>
        </w:rPr>
        <w:t>do</w:t>
      </w:r>
      <w:r>
        <w:rPr>
          <w:color w:val="231F20"/>
          <w:spacing w:val="2"/>
          <w:sz w:val="12"/>
        </w:rPr>
        <w:t xml:space="preserve"> </w:t>
      </w:r>
      <w:r>
        <w:rPr>
          <w:color w:val="231F20"/>
          <w:sz w:val="12"/>
        </w:rPr>
        <w:t>182</w:t>
      </w:r>
    </w:p>
    <w:p w14:paraId="6F88852A" w14:textId="77777777" w:rsidR="00F65BCA" w:rsidRDefault="00F65BCA">
      <w:pPr>
        <w:pStyle w:val="Zkladntext"/>
        <w:spacing w:before="7"/>
      </w:pPr>
    </w:p>
    <w:p w14:paraId="6369A034" w14:textId="77777777" w:rsidR="00F65BCA" w:rsidRDefault="00216117">
      <w:pPr>
        <w:ind w:left="133"/>
        <w:rPr>
          <w:sz w:val="12"/>
        </w:rPr>
      </w:pPr>
      <w:r>
        <w:rPr>
          <w:color w:val="231F20"/>
          <w:sz w:val="12"/>
        </w:rPr>
        <w:t>do</w:t>
      </w:r>
      <w:r>
        <w:rPr>
          <w:color w:val="231F20"/>
          <w:spacing w:val="2"/>
          <w:sz w:val="12"/>
        </w:rPr>
        <w:t xml:space="preserve"> </w:t>
      </w:r>
      <w:r>
        <w:rPr>
          <w:color w:val="231F20"/>
          <w:sz w:val="12"/>
        </w:rPr>
        <w:t>112</w:t>
      </w:r>
    </w:p>
    <w:p w14:paraId="6633E625" w14:textId="77777777" w:rsidR="00F65BCA" w:rsidRDefault="00216117">
      <w:pPr>
        <w:spacing w:before="92"/>
        <w:ind w:left="133"/>
        <w:rPr>
          <w:sz w:val="12"/>
        </w:rPr>
      </w:pPr>
      <w:r>
        <w:rPr>
          <w:color w:val="231F20"/>
          <w:sz w:val="12"/>
        </w:rPr>
        <w:t>do</w:t>
      </w:r>
      <w:r>
        <w:rPr>
          <w:color w:val="231F20"/>
          <w:spacing w:val="2"/>
          <w:sz w:val="12"/>
        </w:rPr>
        <w:t xml:space="preserve"> </w:t>
      </w:r>
      <w:r>
        <w:rPr>
          <w:color w:val="231F20"/>
          <w:sz w:val="12"/>
        </w:rPr>
        <w:t>161</w:t>
      </w:r>
    </w:p>
    <w:p w14:paraId="701111EC" w14:textId="77777777" w:rsidR="00F65BCA" w:rsidRDefault="00216117">
      <w:pPr>
        <w:spacing w:before="91"/>
        <w:ind w:left="167"/>
        <w:rPr>
          <w:sz w:val="12"/>
        </w:rPr>
      </w:pPr>
      <w:r>
        <w:rPr>
          <w:color w:val="231F20"/>
          <w:sz w:val="12"/>
        </w:rPr>
        <w:t>do</w:t>
      </w:r>
      <w:r>
        <w:rPr>
          <w:color w:val="231F20"/>
          <w:spacing w:val="2"/>
          <w:sz w:val="12"/>
        </w:rPr>
        <w:t xml:space="preserve"> </w:t>
      </w:r>
      <w:r>
        <w:rPr>
          <w:color w:val="231F20"/>
          <w:sz w:val="12"/>
        </w:rPr>
        <w:t>56</w:t>
      </w:r>
    </w:p>
    <w:p w14:paraId="59E98DEF" w14:textId="77777777" w:rsidR="00F65BCA" w:rsidRDefault="00216117">
      <w:pPr>
        <w:spacing w:before="21"/>
        <w:ind w:left="133"/>
        <w:rPr>
          <w:sz w:val="12"/>
        </w:rPr>
      </w:pPr>
      <w:r>
        <w:rPr>
          <w:color w:val="231F20"/>
          <w:sz w:val="12"/>
        </w:rPr>
        <w:t>do</w:t>
      </w:r>
      <w:r>
        <w:rPr>
          <w:color w:val="231F20"/>
          <w:spacing w:val="2"/>
          <w:sz w:val="12"/>
        </w:rPr>
        <w:t xml:space="preserve"> </w:t>
      </w:r>
      <w:r>
        <w:rPr>
          <w:color w:val="231F20"/>
          <w:sz w:val="12"/>
        </w:rPr>
        <w:t>112</w:t>
      </w:r>
    </w:p>
    <w:p w14:paraId="6FF6E5C2" w14:textId="77777777" w:rsidR="00F65BCA" w:rsidRDefault="00F65BCA">
      <w:pPr>
        <w:pStyle w:val="Zkladntext"/>
        <w:rPr>
          <w:sz w:val="14"/>
        </w:rPr>
      </w:pPr>
    </w:p>
    <w:p w14:paraId="6DD93ECE" w14:textId="77777777" w:rsidR="00F65BCA" w:rsidRDefault="00216117">
      <w:pPr>
        <w:spacing w:before="95"/>
        <w:ind w:left="167"/>
        <w:rPr>
          <w:sz w:val="12"/>
        </w:rPr>
      </w:pPr>
      <w:r>
        <w:rPr>
          <w:color w:val="231F20"/>
          <w:sz w:val="12"/>
        </w:rPr>
        <w:t>do</w:t>
      </w:r>
      <w:r>
        <w:rPr>
          <w:color w:val="231F20"/>
          <w:spacing w:val="2"/>
          <w:sz w:val="12"/>
        </w:rPr>
        <w:t xml:space="preserve"> </w:t>
      </w:r>
      <w:r>
        <w:rPr>
          <w:color w:val="231F20"/>
          <w:sz w:val="12"/>
        </w:rPr>
        <w:t>84</w:t>
      </w:r>
    </w:p>
    <w:p w14:paraId="424B6470" w14:textId="77777777" w:rsidR="00F65BCA" w:rsidRDefault="00F65BCA">
      <w:pPr>
        <w:pStyle w:val="Zkladntext"/>
        <w:rPr>
          <w:sz w:val="14"/>
        </w:rPr>
      </w:pPr>
    </w:p>
    <w:p w14:paraId="6159036A" w14:textId="77777777" w:rsidR="00F65BCA" w:rsidRDefault="00216117">
      <w:pPr>
        <w:spacing w:before="112"/>
        <w:ind w:left="167"/>
        <w:rPr>
          <w:sz w:val="12"/>
        </w:rPr>
      </w:pPr>
      <w:r>
        <w:rPr>
          <w:color w:val="231F20"/>
          <w:sz w:val="12"/>
        </w:rPr>
        <w:t>do</w:t>
      </w:r>
      <w:r>
        <w:rPr>
          <w:color w:val="231F20"/>
          <w:spacing w:val="2"/>
          <w:sz w:val="12"/>
        </w:rPr>
        <w:t xml:space="preserve"> </w:t>
      </w:r>
      <w:r>
        <w:rPr>
          <w:color w:val="231F20"/>
          <w:sz w:val="12"/>
        </w:rPr>
        <w:t>56</w:t>
      </w:r>
    </w:p>
    <w:p w14:paraId="2EE4D479" w14:textId="77777777" w:rsidR="00F65BCA" w:rsidRDefault="00216117">
      <w:pPr>
        <w:spacing w:before="32"/>
        <w:ind w:left="167"/>
        <w:rPr>
          <w:sz w:val="12"/>
        </w:rPr>
      </w:pPr>
      <w:r>
        <w:rPr>
          <w:color w:val="231F20"/>
          <w:sz w:val="12"/>
        </w:rPr>
        <w:t>do</w:t>
      </w:r>
      <w:r>
        <w:rPr>
          <w:color w:val="231F20"/>
          <w:spacing w:val="2"/>
          <w:sz w:val="12"/>
        </w:rPr>
        <w:t xml:space="preserve"> </w:t>
      </w:r>
      <w:r>
        <w:rPr>
          <w:color w:val="231F20"/>
          <w:sz w:val="12"/>
        </w:rPr>
        <w:t>77</w:t>
      </w:r>
    </w:p>
    <w:p w14:paraId="1BB7ED11" w14:textId="77777777" w:rsidR="00F65BCA" w:rsidRDefault="00F65BCA">
      <w:pPr>
        <w:pStyle w:val="Zkladntext"/>
        <w:spacing w:before="7"/>
        <w:rPr>
          <w:sz w:val="17"/>
        </w:rPr>
      </w:pPr>
    </w:p>
    <w:p w14:paraId="7A0E671C" w14:textId="77777777" w:rsidR="00F65BCA" w:rsidRDefault="00216117">
      <w:pPr>
        <w:ind w:left="167"/>
        <w:rPr>
          <w:sz w:val="12"/>
        </w:rPr>
      </w:pPr>
      <w:r>
        <w:rPr>
          <w:color w:val="231F20"/>
          <w:sz w:val="12"/>
        </w:rPr>
        <w:t>do</w:t>
      </w:r>
      <w:r>
        <w:rPr>
          <w:color w:val="231F20"/>
          <w:spacing w:val="2"/>
          <w:sz w:val="12"/>
        </w:rPr>
        <w:t xml:space="preserve"> </w:t>
      </w:r>
      <w:r>
        <w:rPr>
          <w:color w:val="231F20"/>
          <w:sz w:val="12"/>
        </w:rPr>
        <w:t>70</w:t>
      </w:r>
    </w:p>
    <w:p w14:paraId="15969762" w14:textId="77777777" w:rsidR="00F65BCA" w:rsidRDefault="00216117">
      <w:pPr>
        <w:spacing w:before="32"/>
        <w:ind w:left="167"/>
        <w:rPr>
          <w:sz w:val="12"/>
        </w:rPr>
      </w:pPr>
      <w:r>
        <w:rPr>
          <w:color w:val="231F20"/>
          <w:sz w:val="12"/>
        </w:rPr>
        <w:t>do</w:t>
      </w:r>
      <w:r>
        <w:rPr>
          <w:color w:val="231F20"/>
          <w:spacing w:val="2"/>
          <w:sz w:val="12"/>
        </w:rPr>
        <w:t xml:space="preserve"> </w:t>
      </w:r>
      <w:r>
        <w:rPr>
          <w:color w:val="231F20"/>
          <w:sz w:val="12"/>
        </w:rPr>
        <w:t>98</w:t>
      </w:r>
    </w:p>
    <w:p w14:paraId="4D3A47F8" w14:textId="77777777" w:rsidR="00F65BCA" w:rsidRDefault="00F65BCA">
      <w:pPr>
        <w:pStyle w:val="Zkladntext"/>
        <w:rPr>
          <w:sz w:val="14"/>
        </w:rPr>
      </w:pPr>
    </w:p>
    <w:p w14:paraId="4FE7C5DE" w14:textId="77777777" w:rsidR="00F65BCA" w:rsidRDefault="00F65BCA">
      <w:pPr>
        <w:pStyle w:val="Zkladntext"/>
        <w:spacing w:before="4"/>
        <w:rPr>
          <w:sz w:val="18"/>
        </w:rPr>
      </w:pPr>
    </w:p>
    <w:p w14:paraId="099EA826" w14:textId="77777777" w:rsidR="00F65BCA" w:rsidRDefault="00216117">
      <w:pPr>
        <w:ind w:left="167"/>
        <w:rPr>
          <w:sz w:val="12"/>
        </w:rPr>
      </w:pPr>
      <w:r>
        <w:rPr>
          <w:color w:val="231F20"/>
          <w:sz w:val="12"/>
        </w:rPr>
        <w:t>do</w:t>
      </w:r>
      <w:r>
        <w:rPr>
          <w:color w:val="231F20"/>
          <w:spacing w:val="2"/>
          <w:sz w:val="12"/>
        </w:rPr>
        <w:t xml:space="preserve"> </w:t>
      </w:r>
      <w:r>
        <w:rPr>
          <w:color w:val="231F20"/>
          <w:sz w:val="12"/>
        </w:rPr>
        <w:t>42</w:t>
      </w:r>
    </w:p>
    <w:p w14:paraId="26A56CC2" w14:textId="77777777" w:rsidR="00F65BCA" w:rsidRDefault="00216117">
      <w:pPr>
        <w:spacing w:before="32"/>
        <w:ind w:left="167"/>
        <w:rPr>
          <w:sz w:val="12"/>
        </w:rPr>
      </w:pPr>
      <w:r>
        <w:rPr>
          <w:color w:val="231F20"/>
          <w:sz w:val="12"/>
        </w:rPr>
        <w:t>do</w:t>
      </w:r>
      <w:r>
        <w:rPr>
          <w:color w:val="231F20"/>
          <w:spacing w:val="2"/>
          <w:sz w:val="12"/>
        </w:rPr>
        <w:t xml:space="preserve"> </w:t>
      </w:r>
      <w:r>
        <w:rPr>
          <w:color w:val="231F20"/>
          <w:sz w:val="12"/>
        </w:rPr>
        <w:t>56</w:t>
      </w:r>
    </w:p>
    <w:p w14:paraId="334A15BC" w14:textId="77777777" w:rsidR="00F65BCA" w:rsidRDefault="00F65BCA">
      <w:pPr>
        <w:pStyle w:val="Zkladntext"/>
        <w:spacing w:before="7"/>
        <w:rPr>
          <w:sz w:val="17"/>
        </w:rPr>
      </w:pPr>
    </w:p>
    <w:p w14:paraId="3C309D2C" w14:textId="77777777" w:rsidR="00F65BCA" w:rsidRDefault="00216117">
      <w:pPr>
        <w:ind w:left="167"/>
        <w:rPr>
          <w:sz w:val="12"/>
        </w:rPr>
      </w:pPr>
      <w:r>
        <w:rPr>
          <w:color w:val="231F20"/>
          <w:sz w:val="12"/>
        </w:rPr>
        <w:t>do</w:t>
      </w:r>
      <w:r>
        <w:rPr>
          <w:color w:val="231F20"/>
          <w:spacing w:val="2"/>
          <w:sz w:val="12"/>
        </w:rPr>
        <w:t xml:space="preserve"> </w:t>
      </w:r>
      <w:r>
        <w:rPr>
          <w:color w:val="231F20"/>
          <w:sz w:val="12"/>
        </w:rPr>
        <w:t>84</w:t>
      </w:r>
    </w:p>
    <w:p w14:paraId="300A6C97" w14:textId="77777777" w:rsidR="00F65BCA" w:rsidRDefault="00216117">
      <w:pPr>
        <w:spacing w:before="32"/>
        <w:ind w:left="133"/>
        <w:rPr>
          <w:sz w:val="12"/>
        </w:rPr>
      </w:pPr>
      <w:r>
        <w:rPr>
          <w:color w:val="231F20"/>
          <w:sz w:val="12"/>
        </w:rPr>
        <w:t>do</w:t>
      </w:r>
      <w:r>
        <w:rPr>
          <w:color w:val="231F20"/>
          <w:spacing w:val="2"/>
          <w:sz w:val="12"/>
        </w:rPr>
        <w:t xml:space="preserve"> </w:t>
      </w:r>
      <w:r>
        <w:rPr>
          <w:color w:val="231F20"/>
          <w:sz w:val="12"/>
        </w:rPr>
        <w:t>105</w:t>
      </w:r>
    </w:p>
    <w:p w14:paraId="1AF49AE6" w14:textId="77777777" w:rsidR="00F65BCA" w:rsidRDefault="00F65BCA">
      <w:pPr>
        <w:pStyle w:val="Zkladntext"/>
        <w:spacing w:before="5"/>
        <w:rPr>
          <w:sz w:val="17"/>
        </w:rPr>
      </w:pPr>
    </w:p>
    <w:p w14:paraId="34E72C51" w14:textId="77777777" w:rsidR="00F65BCA" w:rsidRDefault="00216117">
      <w:pPr>
        <w:ind w:left="133"/>
        <w:rPr>
          <w:sz w:val="12"/>
        </w:rPr>
      </w:pPr>
      <w:r>
        <w:rPr>
          <w:color w:val="231F20"/>
          <w:sz w:val="12"/>
        </w:rPr>
        <w:t>do</w:t>
      </w:r>
      <w:r>
        <w:rPr>
          <w:color w:val="231F20"/>
          <w:spacing w:val="2"/>
          <w:sz w:val="12"/>
        </w:rPr>
        <w:t xml:space="preserve"> </w:t>
      </w:r>
      <w:r>
        <w:rPr>
          <w:color w:val="231F20"/>
          <w:sz w:val="12"/>
        </w:rPr>
        <w:t>210</w:t>
      </w:r>
    </w:p>
    <w:p w14:paraId="239BF333" w14:textId="77777777" w:rsidR="00F65BCA" w:rsidRDefault="00216117">
      <w:pPr>
        <w:spacing w:before="30"/>
        <w:ind w:left="133"/>
        <w:rPr>
          <w:sz w:val="12"/>
        </w:rPr>
      </w:pPr>
      <w:r>
        <w:rPr>
          <w:color w:val="231F20"/>
          <w:sz w:val="12"/>
        </w:rPr>
        <w:t>do</w:t>
      </w:r>
      <w:r>
        <w:rPr>
          <w:color w:val="231F20"/>
          <w:spacing w:val="2"/>
          <w:sz w:val="12"/>
        </w:rPr>
        <w:t xml:space="preserve"> </w:t>
      </w:r>
      <w:r>
        <w:rPr>
          <w:color w:val="231F20"/>
          <w:sz w:val="12"/>
        </w:rPr>
        <w:t>182</w:t>
      </w:r>
    </w:p>
    <w:p w14:paraId="30CDA1DA" w14:textId="77777777" w:rsidR="00F65BCA" w:rsidRDefault="00216117">
      <w:pPr>
        <w:spacing w:before="29"/>
        <w:ind w:left="133"/>
        <w:rPr>
          <w:sz w:val="12"/>
        </w:rPr>
      </w:pPr>
      <w:r>
        <w:rPr>
          <w:color w:val="231F20"/>
          <w:sz w:val="12"/>
        </w:rPr>
        <w:t>do</w:t>
      </w:r>
      <w:r>
        <w:rPr>
          <w:color w:val="231F20"/>
          <w:spacing w:val="2"/>
          <w:sz w:val="12"/>
        </w:rPr>
        <w:t xml:space="preserve"> </w:t>
      </w:r>
      <w:r>
        <w:rPr>
          <w:color w:val="231F20"/>
          <w:sz w:val="12"/>
        </w:rPr>
        <w:t>182</w:t>
      </w:r>
    </w:p>
    <w:p w14:paraId="5BC6F61F" w14:textId="77777777" w:rsidR="00F65BCA" w:rsidRDefault="00216117">
      <w:pPr>
        <w:spacing w:before="29"/>
        <w:ind w:left="133"/>
        <w:rPr>
          <w:sz w:val="12"/>
        </w:rPr>
      </w:pPr>
      <w:r>
        <w:rPr>
          <w:color w:val="231F20"/>
          <w:sz w:val="12"/>
        </w:rPr>
        <w:t>do</w:t>
      </w:r>
      <w:r>
        <w:rPr>
          <w:color w:val="231F20"/>
          <w:spacing w:val="2"/>
          <w:sz w:val="12"/>
        </w:rPr>
        <w:t xml:space="preserve"> </w:t>
      </w:r>
      <w:r>
        <w:rPr>
          <w:color w:val="231F20"/>
          <w:sz w:val="12"/>
        </w:rPr>
        <w:t>140</w:t>
      </w:r>
    </w:p>
    <w:p w14:paraId="7ADCD980" w14:textId="77777777" w:rsidR="00F65BCA" w:rsidRDefault="00216117">
      <w:pPr>
        <w:spacing w:before="29"/>
        <w:ind w:left="133"/>
        <w:rPr>
          <w:sz w:val="12"/>
        </w:rPr>
      </w:pPr>
      <w:r>
        <w:rPr>
          <w:color w:val="231F20"/>
          <w:sz w:val="12"/>
        </w:rPr>
        <w:t>do</w:t>
      </w:r>
      <w:r>
        <w:rPr>
          <w:color w:val="231F20"/>
          <w:spacing w:val="2"/>
          <w:sz w:val="12"/>
        </w:rPr>
        <w:t xml:space="preserve"> </w:t>
      </w:r>
      <w:r>
        <w:rPr>
          <w:color w:val="231F20"/>
          <w:sz w:val="12"/>
        </w:rPr>
        <w:t>150</w:t>
      </w:r>
    </w:p>
    <w:p w14:paraId="05910654" w14:textId="77777777" w:rsidR="00F65BCA" w:rsidRDefault="00216117">
      <w:pPr>
        <w:spacing w:before="30"/>
        <w:ind w:left="133"/>
        <w:rPr>
          <w:sz w:val="12"/>
        </w:rPr>
      </w:pPr>
      <w:r>
        <w:rPr>
          <w:color w:val="231F20"/>
          <w:sz w:val="12"/>
        </w:rPr>
        <w:t>do</w:t>
      </w:r>
      <w:r>
        <w:rPr>
          <w:color w:val="231F20"/>
          <w:spacing w:val="2"/>
          <w:sz w:val="12"/>
        </w:rPr>
        <w:t xml:space="preserve"> </w:t>
      </w:r>
      <w:r>
        <w:rPr>
          <w:color w:val="231F20"/>
          <w:sz w:val="12"/>
        </w:rPr>
        <w:t>112</w:t>
      </w:r>
    </w:p>
    <w:p w14:paraId="27AC7DB0" w14:textId="77777777" w:rsidR="00F65BCA" w:rsidRDefault="00216117">
      <w:pPr>
        <w:spacing w:before="29"/>
        <w:ind w:left="133"/>
        <w:rPr>
          <w:sz w:val="12"/>
        </w:rPr>
      </w:pPr>
      <w:r>
        <w:rPr>
          <w:color w:val="231F20"/>
          <w:sz w:val="12"/>
        </w:rPr>
        <w:t>do</w:t>
      </w:r>
      <w:r>
        <w:rPr>
          <w:color w:val="231F20"/>
          <w:spacing w:val="2"/>
          <w:sz w:val="12"/>
        </w:rPr>
        <w:t xml:space="preserve"> </w:t>
      </w:r>
      <w:r>
        <w:rPr>
          <w:color w:val="231F20"/>
          <w:sz w:val="12"/>
        </w:rPr>
        <w:t>105</w:t>
      </w:r>
    </w:p>
    <w:p w14:paraId="1F5E931E" w14:textId="77777777" w:rsidR="00F65BCA" w:rsidRDefault="00216117">
      <w:pPr>
        <w:spacing w:before="29"/>
        <w:ind w:left="167"/>
        <w:rPr>
          <w:sz w:val="12"/>
        </w:rPr>
      </w:pPr>
      <w:r>
        <w:rPr>
          <w:color w:val="231F20"/>
          <w:sz w:val="12"/>
        </w:rPr>
        <w:t>do</w:t>
      </w:r>
      <w:r>
        <w:rPr>
          <w:color w:val="231F20"/>
          <w:spacing w:val="2"/>
          <w:sz w:val="12"/>
        </w:rPr>
        <w:t xml:space="preserve"> </w:t>
      </w:r>
      <w:r>
        <w:rPr>
          <w:color w:val="231F20"/>
          <w:sz w:val="12"/>
        </w:rPr>
        <w:t>70</w:t>
      </w:r>
    </w:p>
    <w:p w14:paraId="0A3EB8FF" w14:textId="77777777" w:rsidR="00F65BCA" w:rsidRDefault="00216117">
      <w:pPr>
        <w:spacing w:before="29"/>
        <w:ind w:left="167"/>
        <w:rPr>
          <w:sz w:val="12"/>
        </w:rPr>
      </w:pPr>
      <w:r>
        <w:rPr>
          <w:color w:val="231F20"/>
          <w:sz w:val="12"/>
        </w:rPr>
        <w:t>do</w:t>
      </w:r>
      <w:r>
        <w:rPr>
          <w:color w:val="231F20"/>
          <w:spacing w:val="2"/>
          <w:sz w:val="12"/>
        </w:rPr>
        <w:t xml:space="preserve"> </w:t>
      </w:r>
      <w:r>
        <w:rPr>
          <w:color w:val="231F20"/>
          <w:sz w:val="12"/>
        </w:rPr>
        <w:t>56</w:t>
      </w:r>
    </w:p>
    <w:p w14:paraId="234BD2F9" w14:textId="77777777" w:rsidR="00F65BCA" w:rsidRDefault="00216117">
      <w:pPr>
        <w:spacing w:before="30"/>
        <w:ind w:left="133"/>
        <w:rPr>
          <w:sz w:val="12"/>
        </w:rPr>
      </w:pPr>
      <w:r>
        <w:rPr>
          <w:color w:val="231F20"/>
          <w:sz w:val="12"/>
        </w:rPr>
        <w:t>do</w:t>
      </w:r>
      <w:r>
        <w:rPr>
          <w:color w:val="231F20"/>
          <w:spacing w:val="2"/>
          <w:sz w:val="12"/>
        </w:rPr>
        <w:t xml:space="preserve"> </w:t>
      </w:r>
      <w:r>
        <w:rPr>
          <w:color w:val="231F20"/>
          <w:sz w:val="12"/>
        </w:rPr>
        <w:t>126</w:t>
      </w:r>
    </w:p>
    <w:p w14:paraId="2EE9671C" w14:textId="77777777" w:rsidR="00F65BCA" w:rsidRDefault="00F65BCA">
      <w:pPr>
        <w:pStyle w:val="Zkladntext"/>
        <w:rPr>
          <w:sz w:val="14"/>
        </w:rPr>
      </w:pPr>
    </w:p>
    <w:p w14:paraId="4B25700B" w14:textId="77777777" w:rsidR="00F65BCA" w:rsidRDefault="00F65BCA">
      <w:pPr>
        <w:pStyle w:val="Zkladntext"/>
        <w:rPr>
          <w:sz w:val="14"/>
        </w:rPr>
      </w:pPr>
    </w:p>
    <w:p w14:paraId="76482BC9" w14:textId="77777777" w:rsidR="00F65BCA" w:rsidRDefault="00F65BCA">
      <w:pPr>
        <w:pStyle w:val="Zkladntext"/>
        <w:rPr>
          <w:sz w:val="14"/>
        </w:rPr>
      </w:pPr>
    </w:p>
    <w:p w14:paraId="49C4BD66" w14:textId="77777777" w:rsidR="00F65BCA" w:rsidRDefault="00F65BCA">
      <w:pPr>
        <w:pStyle w:val="Zkladntext"/>
        <w:spacing w:before="3"/>
        <w:rPr>
          <w:sz w:val="19"/>
        </w:rPr>
      </w:pPr>
    </w:p>
    <w:p w14:paraId="1BA2C3CE" w14:textId="77777777" w:rsidR="00F65BCA" w:rsidRDefault="00216117">
      <w:pPr>
        <w:spacing w:before="1"/>
        <w:ind w:left="167"/>
        <w:rPr>
          <w:sz w:val="12"/>
        </w:rPr>
      </w:pPr>
      <w:r>
        <w:rPr>
          <w:color w:val="231F20"/>
          <w:sz w:val="12"/>
        </w:rPr>
        <w:t>do</w:t>
      </w:r>
      <w:r>
        <w:rPr>
          <w:color w:val="231F20"/>
          <w:spacing w:val="2"/>
          <w:sz w:val="12"/>
        </w:rPr>
        <w:t xml:space="preserve"> </w:t>
      </w:r>
      <w:r>
        <w:rPr>
          <w:color w:val="231F20"/>
          <w:sz w:val="12"/>
        </w:rPr>
        <w:t>28</w:t>
      </w:r>
    </w:p>
    <w:p w14:paraId="4E3E6FD4" w14:textId="77777777" w:rsidR="00F65BCA" w:rsidRDefault="00216117">
      <w:pPr>
        <w:spacing w:before="20"/>
        <w:ind w:left="167"/>
        <w:rPr>
          <w:sz w:val="12"/>
        </w:rPr>
      </w:pPr>
      <w:r>
        <w:rPr>
          <w:color w:val="231F20"/>
          <w:sz w:val="12"/>
        </w:rPr>
        <w:t>do</w:t>
      </w:r>
      <w:r>
        <w:rPr>
          <w:color w:val="231F20"/>
          <w:spacing w:val="2"/>
          <w:sz w:val="12"/>
        </w:rPr>
        <w:t xml:space="preserve"> </w:t>
      </w:r>
      <w:r>
        <w:rPr>
          <w:color w:val="231F20"/>
          <w:sz w:val="12"/>
        </w:rPr>
        <w:t>28</w:t>
      </w:r>
    </w:p>
    <w:p w14:paraId="4C55087C" w14:textId="77777777" w:rsidR="00F65BCA" w:rsidRDefault="00216117">
      <w:pPr>
        <w:spacing w:before="21"/>
        <w:ind w:left="167"/>
        <w:rPr>
          <w:sz w:val="12"/>
        </w:rPr>
      </w:pPr>
      <w:r>
        <w:rPr>
          <w:color w:val="231F20"/>
          <w:sz w:val="12"/>
        </w:rPr>
        <w:t>do</w:t>
      </w:r>
      <w:r>
        <w:rPr>
          <w:color w:val="231F20"/>
          <w:spacing w:val="2"/>
          <w:sz w:val="12"/>
        </w:rPr>
        <w:t xml:space="preserve"> </w:t>
      </w:r>
      <w:r>
        <w:rPr>
          <w:color w:val="231F20"/>
          <w:sz w:val="12"/>
        </w:rPr>
        <w:t>28</w:t>
      </w:r>
    </w:p>
    <w:p w14:paraId="7533492C" w14:textId="77777777" w:rsidR="00F65BCA" w:rsidRDefault="00216117">
      <w:pPr>
        <w:spacing w:before="21"/>
        <w:ind w:left="167"/>
        <w:rPr>
          <w:sz w:val="12"/>
        </w:rPr>
      </w:pPr>
      <w:r>
        <w:rPr>
          <w:color w:val="231F20"/>
          <w:sz w:val="12"/>
        </w:rPr>
        <w:t>do</w:t>
      </w:r>
      <w:r>
        <w:rPr>
          <w:color w:val="231F20"/>
          <w:spacing w:val="2"/>
          <w:sz w:val="12"/>
        </w:rPr>
        <w:t xml:space="preserve"> </w:t>
      </w:r>
      <w:r>
        <w:rPr>
          <w:color w:val="231F20"/>
          <w:sz w:val="12"/>
        </w:rPr>
        <w:t>28</w:t>
      </w:r>
    </w:p>
    <w:p w14:paraId="4B8B0BCE" w14:textId="77777777" w:rsidR="00F65BCA" w:rsidRDefault="00216117">
      <w:pPr>
        <w:spacing w:before="21"/>
        <w:ind w:left="167"/>
        <w:rPr>
          <w:sz w:val="12"/>
        </w:rPr>
      </w:pPr>
      <w:r>
        <w:rPr>
          <w:color w:val="231F20"/>
          <w:sz w:val="12"/>
        </w:rPr>
        <w:t>do</w:t>
      </w:r>
      <w:r>
        <w:rPr>
          <w:color w:val="231F20"/>
          <w:spacing w:val="2"/>
          <w:sz w:val="12"/>
        </w:rPr>
        <w:t xml:space="preserve"> </w:t>
      </w:r>
      <w:r>
        <w:rPr>
          <w:color w:val="231F20"/>
          <w:sz w:val="12"/>
        </w:rPr>
        <w:t>28</w:t>
      </w:r>
    </w:p>
    <w:p w14:paraId="3050AA30" w14:textId="77777777" w:rsidR="00F65BCA" w:rsidRDefault="00216117">
      <w:pPr>
        <w:spacing w:before="20"/>
        <w:ind w:left="167"/>
        <w:rPr>
          <w:sz w:val="12"/>
        </w:rPr>
      </w:pPr>
      <w:r>
        <w:rPr>
          <w:color w:val="231F20"/>
          <w:sz w:val="12"/>
        </w:rPr>
        <w:t>do</w:t>
      </w:r>
      <w:r>
        <w:rPr>
          <w:color w:val="231F20"/>
          <w:spacing w:val="2"/>
          <w:sz w:val="12"/>
        </w:rPr>
        <w:t xml:space="preserve"> </w:t>
      </w:r>
      <w:r>
        <w:rPr>
          <w:color w:val="231F20"/>
          <w:sz w:val="12"/>
        </w:rPr>
        <w:t>21</w:t>
      </w:r>
    </w:p>
    <w:p w14:paraId="219DD0CD" w14:textId="77777777" w:rsidR="00F65BCA" w:rsidRDefault="00216117">
      <w:pPr>
        <w:spacing w:before="98"/>
        <w:ind w:left="167"/>
        <w:rPr>
          <w:sz w:val="12"/>
        </w:rPr>
      </w:pPr>
      <w:r>
        <w:rPr>
          <w:color w:val="231F20"/>
          <w:sz w:val="12"/>
        </w:rPr>
        <w:t>do</w:t>
      </w:r>
      <w:r>
        <w:rPr>
          <w:color w:val="231F20"/>
          <w:spacing w:val="2"/>
          <w:sz w:val="12"/>
        </w:rPr>
        <w:t xml:space="preserve"> </w:t>
      </w:r>
      <w:r>
        <w:rPr>
          <w:color w:val="231F20"/>
          <w:sz w:val="12"/>
        </w:rPr>
        <w:t>21</w:t>
      </w:r>
    </w:p>
    <w:p w14:paraId="3E600863" w14:textId="77777777" w:rsidR="00F65BCA" w:rsidRDefault="00F65BCA">
      <w:pPr>
        <w:pStyle w:val="Zkladntext"/>
        <w:rPr>
          <w:sz w:val="14"/>
        </w:rPr>
      </w:pPr>
    </w:p>
    <w:p w14:paraId="052E957C" w14:textId="77777777" w:rsidR="00F65BCA" w:rsidRDefault="00216117">
      <w:pPr>
        <w:spacing w:before="106"/>
        <w:ind w:left="167"/>
        <w:rPr>
          <w:sz w:val="12"/>
        </w:rPr>
      </w:pPr>
      <w:r>
        <w:rPr>
          <w:color w:val="231F20"/>
          <w:sz w:val="12"/>
        </w:rPr>
        <w:t>do</w:t>
      </w:r>
      <w:r>
        <w:rPr>
          <w:color w:val="231F20"/>
          <w:spacing w:val="2"/>
          <w:sz w:val="12"/>
        </w:rPr>
        <w:t xml:space="preserve"> </w:t>
      </w:r>
      <w:r>
        <w:rPr>
          <w:color w:val="231F20"/>
          <w:sz w:val="12"/>
        </w:rPr>
        <w:t>28</w:t>
      </w:r>
    </w:p>
    <w:p w14:paraId="67296F84" w14:textId="77777777" w:rsidR="00F65BCA" w:rsidRDefault="00216117">
      <w:pPr>
        <w:spacing w:before="21"/>
        <w:ind w:left="167"/>
        <w:rPr>
          <w:sz w:val="12"/>
        </w:rPr>
      </w:pPr>
      <w:r>
        <w:rPr>
          <w:color w:val="231F20"/>
          <w:sz w:val="12"/>
        </w:rPr>
        <w:t>do</w:t>
      </w:r>
      <w:r>
        <w:rPr>
          <w:color w:val="231F20"/>
          <w:spacing w:val="2"/>
          <w:sz w:val="12"/>
        </w:rPr>
        <w:t xml:space="preserve"> </w:t>
      </w:r>
      <w:r>
        <w:rPr>
          <w:color w:val="231F20"/>
          <w:sz w:val="12"/>
        </w:rPr>
        <w:t>35</w:t>
      </w:r>
    </w:p>
    <w:p w14:paraId="3BA80102" w14:textId="77777777" w:rsidR="00F65BCA" w:rsidRDefault="00216117">
      <w:pPr>
        <w:spacing w:before="20"/>
        <w:ind w:left="167"/>
        <w:rPr>
          <w:sz w:val="12"/>
        </w:rPr>
      </w:pPr>
      <w:r>
        <w:rPr>
          <w:color w:val="231F20"/>
          <w:sz w:val="12"/>
        </w:rPr>
        <w:t>do</w:t>
      </w:r>
      <w:r>
        <w:rPr>
          <w:color w:val="231F20"/>
          <w:spacing w:val="2"/>
          <w:sz w:val="12"/>
        </w:rPr>
        <w:t xml:space="preserve"> </w:t>
      </w:r>
      <w:r>
        <w:rPr>
          <w:color w:val="231F20"/>
          <w:sz w:val="12"/>
        </w:rPr>
        <w:t>56</w:t>
      </w:r>
    </w:p>
    <w:p w14:paraId="373B6C57" w14:textId="77777777" w:rsidR="00F65BCA" w:rsidRDefault="00216117">
      <w:pPr>
        <w:spacing w:before="98"/>
        <w:ind w:left="167"/>
        <w:rPr>
          <w:sz w:val="12"/>
        </w:rPr>
      </w:pPr>
      <w:r>
        <w:rPr>
          <w:color w:val="231F20"/>
          <w:sz w:val="12"/>
        </w:rPr>
        <w:t>do</w:t>
      </w:r>
      <w:r>
        <w:rPr>
          <w:color w:val="231F20"/>
          <w:spacing w:val="2"/>
          <w:sz w:val="12"/>
        </w:rPr>
        <w:t xml:space="preserve"> </w:t>
      </w:r>
      <w:r>
        <w:rPr>
          <w:color w:val="231F20"/>
          <w:sz w:val="12"/>
        </w:rPr>
        <w:t>56</w:t>
      </w:r>
    </w:p>
    <w:p w14:paraId="7DB80B6F" w14:textId="77777777" w:rsidR="00F65BCA" w:rsidRDefault="00F65BCA">
      <w:pPr>
        <w:pStyle w:val="Zkladntext"/>
        <w:spacing w:before="1"/>
      </w:pPr>
    </w:p>
    <w:p w14:paraId="189BAC9E" w14:textId="77777777" w:rsidR="00F65BCA" w:rsidRDefault="00216117">
      <w:pPr>
        <w:ind w:left="167"/>
        <w:rPr>
          <w:sz w:val="12"/>
        </w:rPr>
      </w:pPr>
      <w:r>
        <w:rPr>
          <w:color w:val="231F20"/>
          <w:sz w:val="12"/>
        </w:rPr>
        <w:t>do</w:t>
      </w:r>
      <w:r>
        <w:rPr>
          <w:color w:val="231F20"/>
          <w:spacing w:val="2"/>
          <w:sz w:val="12"/>
        </w:rPr>
        <w:t xml:space="preserve"> </w:t>
      </w:r>
      <w:r>
        <w:rPr>
          <w:color w:val="231F20"/>
          <w:sz w:val="12"/>
        </w:rPr>
        <w:t>91</w:t>
      </w:r>
    </w:p>
    <w:p w14:paraId="2739F6A7" w14:textId="77777777" w:rsidR="00F65BCA" w:rsidRDefault="00F65BCA">
      <w:pPr>
        <w:pStyle w:val="Zkladntext"/>
        <w:rPr>
          <w:sz w:val="14"/>
        </w:rPr>
      </w:pPr>
    </w:p>
    <w:p w14:paraId="75B8228E" w14:textId="77777777" w:rsidR="00F65BCA" w:rsidRDefault="00216117">
      <w:pPr>
        <w:spacing w:before="112"/>
        <w:ind w:left="167"/>
        <w:rPr>
          <w:sz w:val="12"/>
        </w:rPr>
      </w:pPr>
      <w:r>
        <w:rPr>
          <w:color w:val="231F20"/>
          <w:sz w:val="12"/>
        </w:rPr>
        <w:t>do</w:t>
      </w:r>
      <w:r>
        <w:rPr>
          <w:color w:val="231F20"/>
          <w:spacing w:val="2"/>
          <w:sz w:val="12"/>
        </w:rPr>
        <w:t xml:space="preserve"> </w:t>
      </w:r>
      <w:r>
        <w:rPr>
          <w:color w:val="231F20"/>
          <w:sz w:val="12"/>
        </w:rPr>
        <w:t>42</w:t>
      </w:r>
    </w:p>
    <w:p w14:paraId="3412A323" w14:textId="77777777" w:rsidR="00F65BCA" w:rsidRDefault="00216117">
      <w:pPr>
        <w:spacing w:before="32"/>
        <w:ind w:left="167"/>
        <w:rPr>
          <w:sz w:val="12"/>
        </w:rPr>
      </w:pPr>
      <w:r>
        <w:rPr>
          <w:color w:val="231F20"/>
          <w:sz w:val="12"/>
        </w:rPr>
        <w:t>do</w:t>
      </w:r>
      <w:r>
        <w:rPr>
          <w:color w:val="231F20"/>
          <w:spacing w:val="2"/>
          <w:sz w:val="12"/>
        </w:rPr>
        <w:t xml:space="preserve"> </w:t>
      </w:r>
      <w:r>
        <w:rPr>
          <w:color w:val="231F20"/>
          <w:sz w:val="12"/>
        </w:rPr>
        <w:t>70</w:t>
      </w:r>
    </w:p>
    <w:p w14:paraId="4A0951CD" w14:textId="77777777" w:rsidR="00F65BCA" w:rsidRDefault="00216117">
      <w:pPr>
        <w:spacing w:before="30"/>
        <w:ind w:left="133"/>
        <w:rPr>
          <w:sz w:val="12"/>
        </w:rPr>
      </w:pPr>
      <w:r>
        <w:rPr>
          <w:color w:val="231F20"/>
          <w:sz w:val="12"/>
        </w:rPr>
        <w:t>do</w:t>
      </w:r>
      <w:r>
        <w:rPr>
          <w:color w:val="231F20"/>
          <w:spacing w:val="2"/>
          <w:sz w:val="12"/>
        </w:rPr>
        <w:t xml:space="preserve"> </w:t>
      </w:r>
      <w:r>
        <w:rPr>
          <w:color w:val="231F20"/>
          <w:sz w:val="12"/>
        </w:rPr>
        <w:t>105</w:t>
      </w:r>
    </w:p>
    <w:p w14:paraId="62940860" w14:textId="77777777" w:rsidR="00F65BCA" w:rsidRDefault="00F65BCA">
      <w:pPr>
        <w:pStyle w:val="Zkladntext"/>
        <w:rPr>
          <w:sz w:val="14"/>
        </w:rPr>
      </w:pPr>
    </w:p>
    <w:p w14:paraId="64124216" w14:textId="77777777" w:rsidR="00F65BCA" w:rsidRDefault="00216117">
      <w:pPr>
        <w:spacing w:before="114"/>
        <w:ind w:left="167"/>
        <w:rPr>
          <w:sz w:val="12"/>
        </w:rPr>
      </w:pPr>
      <w:r>
        <w:rPr>
          <w:color w:val="231F20"/>
          <w:sz w:val="12"/>
        </w:rPr>
        <w:t>do</w:t>
      </w:r>
      <w:r>
        <w:rPr>
          <w:color w:val="231F20"/>
          <w:spacing w:val="2"/>
          <w:sz w:val="12"/>
        </w:rPr>
        <w:t xml:space="preserve"> </w:t>
      </w:r>
      <w:r>
        <w:rPr>
          <w:color w:val="231F20"/>
          <w:sz w:val="12"/>
        </w:rPr>
        <w:t>49</w:t>
      </w:r>
    </w:p>
    <w:p w14:paraId="2B7E1F75" w14:textId="77777777" w:rsidR="00F65BCA" w:rsidRDefault="00216117">
      <w:pPr>
        <w:spacing w:before="101"/>
        <w:ind w:left="167"/>
        <w:rPr>
          <w:sz w:val="12"/>
        </w:rPr>
      </w:pPr>
      <w:r>
        <w:rPr>
          <w:color w:val="231F20"/>
          <w:sz w:val="12"/>
        </w:rPr>
        <w:t>do</w:t>
      </w:r>
      <w:r>
        <w:rPr>
          <w:color w:val="231F20"/>
          <w:spacing w:val="2"/>
          <w:sz w:val="12"/>
        </w:rPr>
        <w:t xml:space="preserve"> </w:t>
      </w:r>
      <w:r>
        <w:rPr>
          <w:color w:val="231F20"/>
          <w:sz w:val="12"/>
        </w:rPr>
        <w:t>70</w:t>
      </w:r>
    </w:p>
    <w:p w14:paraId="2089A0B3" w14:textId="77777777" w:rsidR="00F65BCA" w:rsidRDefault="00216117">
      <w:pPr>
        <w:spacing w:before="105"/>
        <w:ind w:left="167"/>
        <w:rPr>
          <w:sz w:val="12"/>
        </w:rPr>
      </w:pPr>
      <w:r>
        <w:rPr>
          <w:color w:val="231F20"/>
          <w:sz w:val="12"/>
        </w:rPr>
        <w:t>do</w:t>
      </w:r>
      <w:r>
        <w:rPr>
          <w:color w:val="231F20"/>
          <w:spacing w:val="2"/>
          <w:sz w:val="12"/>
        </w:rPr>
        <w:t xml:space="preserve"> </w:t>
      </w:r>
      <w:r>
        <w:rPr>
          <w:color w:val="231F20"/>
          <w:sz w:val="12"/>
        </w:rPr>
        <w:t>84</w:t>
      </w:r>
    </w:p>
    <w:p w14:paraId="5AE6BAA8" w14:textId="77777777" w:rsidR="00F65BCA" w:rsidRDefault="00F65BCA">
      <w:pPr>
        <w:pStyle w:val="Zkladntext"/>
        <w:spacing w:before="3"/>
      </w:pPr>
    </w:p>
    <w:p w14:paraId="6093B1BF" w14:textId="77777777" w:rsidR="00F65BCA" w:rsidRDefault="00216117">
      <w:pPr>
        <w:ind w:left="133"/>
        <w:rPr>
          <w:sz w:val="12"/>
        </w:rPr>
      </w:pPr>
      <w:r>
        <w:rPr>
          <w:color w:val="231F20"/>
          <w:sz w:val="12"/>
        </w:rPr>
        <w:t>do</w:t>
      </w:r>
      <w:r>
        <w:rPr>
          <w:color w:val="231F20"/>
          <w:spacing w:val="2"/>
          <w:sz w:val="12"/>
        </w:rPr>
        <w:t xml:space="preserve"> </w:t>
      </w:r>
      <w:r>
        <w:rPr>
          <w:color w:val="231F20"/>
          <w:sz w:val="12"/>
        </w:rPr>
        <w:t>112</w:t>
      </w:r>
    </w:p>
    <w:p w14:paraId="1D16C9C0" w14:textId="77777777" w:rsidR="00F65BCA" w:rsidRDefault="00216117">
      <w:pPr>
        <w:pStyle w:val="Zkladntext"/>
        <w:spacing w:before="9"/>
        <w:rPr>
          <w:sz w:val="17"/>
        </w:rPr>
      </w:pPr>
      <w:r>
        <w:br w:type="column"/>
      </w:r>
    </w:p>
    <w:p w14:paraId="0E468AAB" w14:textId="77777777" w:rsidR="00F65BCA" w:rsidRDefault="00216117">
      <w:pPr>
        <w:ind w:left="455"/>
        <w:rPr>
          <w:b/>
          <w:sz w:val="12"/>
        </w:rPr>
      </w:pPr>
      <w:r>
        <w:rPr>
          <w:b/>
          <w:color w:val="231F20"/>
          <w:sz w:val="12"/>
        </w:rPr>
        <w:t>Hlezno</w:t>
      </w:r>
    </w:p>
    <w:p w14:paraId="43427346" w14:textId="77777777" w:rsidR="00F65BCA" w:rsidRDefault="00216117">
      <w:pPr>
        <w:spacing w:before="72" w:line="134" w:lineRule="exact"/>
        <w:ind w:left="455"/>
        <w:rPr>
          <w:sz w:val="12"/>
        </w:rPr>
      </w:pPr>
      <w:r>
        <w:rPr>
          <w:color w:val="231F20"/>
          <w:sz w:val="12"/>
        </w:rPr>
        <w:t>Natažení, natržení vnitřního nebo zevního</w:t>
      </w:r>
    </w:p>
    <w:p w14:paraId="674D2443" w14:textId="77777777" w:rsidR="00F65BCA" w:rsidRDefault="00216117">
      <w:pPr>
        <w:spacing w:before="3" w:line="225" w:lineRule="auto"/>
        <w:ind w:left="455" w:right="297" w:hanging="272"/>
        <w:rPr>
          <w:sz w:val="12"/>
        </w:rPr>
      </w:pPr>
      <w:r>
        <w:rPr>
          <w:b/>
          <w:color w:val="231F20"/>
          <w:sz w:val="12"/>
        </w:rPr>
        <w:t xml:space="preserve">262 </w:t>
      </w:r>
      <w:r>
        <w:rPr>
          <w:color w:val="231F20"/>
          <w:sz w:val="12"/>
        </w:rPr>
        <w:t xml:space="preserve">postranního vazu kloubu hlezenného </w:t>
      </w:r>
      <w:r>
        <w:rPr>
          <w:color w:val="231F20"/>
          <w:w w:val="95"/>
          <w:sz w:val="12"/>
        </w:rPr>
        <w:t>(deltového nebo kalkaneofibulárního)</w:t>
      </w:r>
    </w:p>
    <w:p w14:paraId="15750465" w14:textId="77777777" w:rsidR="00F65BCA" w:rsidRDefault="00000000">
      <w:pPr>
        <w:spacing w:before="61" w:line="242" w:lineRule="auto"/>
        <w:ind w:left="455" w:right="103"/>
        <w:rPr>
          <w:sz w:val="12"/>
        </w:rPr>
      </w:pPr>
      <w:r>
        <w:pict w14:anchorId="3C09145F">
          <v:shape id="_x0000_s2151" type="#_x0000_t202" style="position:absolute;left:0;text-align:left;margin-left:399.35pt;margin-top:6.35pt;width:10.05pt;height:7.2pt;z-index:251969536;mso-position-horizontal-relative:page" filled="f" stroked="f">
            <v:textbox inset="0,0,0,0">
              <w:txbxContent>
                <w:p w14:paraId="74BD2408" w14:textId="77777777" w:rsidR="00F65BCA" w:rsidRDefault="00216117">
                  <w:pPr>
                    <w:spacing w:before="4"/>
                    <w:rPr>
                      <w:b/>
                      <w:sz w:val="12"/>
                    </w:rPr>
                  </w:pPr>
                  <w:r>
                    <w:rPr>
                      <w:b/>
                      <w:color w:val="231F20"/>
                      <w:sz w:val="12"/>
                    </w:rPr>
                    <w:t>263</w:t>
                  </w:r>
                </w:p>
              </w:txbxContent>
            </v:textbox>
            <w10:wrap anchorx="page"/>
          </v:shape>
        </w:pict>
      </w:r>
      <w:r w:rsidR="00216117">
        <w:rPr>
          <w:color w:val="231F20"/>
          <w:w w:val="95"/>
          <w:sz w:val="12"/>
        </w:rPr>
        <w:t xml:space="preserve">Přetržení vnitřního nebo zevního postranního vazu </w:t>
      </w:r>
      <w:r w:rsidR="00216117">
        <w:rPr>
          <w:color w:val="231F20"/>
          <w:sz w:val="12"/>
        </w:rPr>
        <w:t>kloubu hlezenného</w:t>
      </w:r>
    </w:p>
    <w:p w14:paraId="4536594D" w14:textId="77777777" w:rsidR="00F65BCA" w:rsidRDefault="00216117">
      <w:pPr>
        <w:spacing w:before="40"/>
        <w:ind w:left="1186"/>
        <w:rPr>
          <w:b/>
          <w:sz w:val="12"/>
        </w:rPr>
      </w:pPr>
      <w:r>
        <w:rPr>
          <w:b/>
          <w:color w:val="231F20"/>
          <w:sz w:val="12"/>
        </w:rPr>
        <w:t>Podvrtnutí, subluxace</w:t>
      </w:r>
    </w:p>
    <w:p w14:paraId="510CCB2B" w14:textId="77777777" w:rsidR="00F65BCA" w:rsidRDefault="00216117">
      <w:pPr>
        <w:pStyle w:val="Odstavecseseznamem"/>
        <w:numPr>
          <w:ilvl w:val="0"/>
          <w:numId w:val="59"/>
        </w:numPr>
        <w:tabs>
          <w:tab w:val="left" w:pos="456"/>
        </w:tabs>
        <w:spacing w:before="49"/>
        <w:ind w:hanging="273"/>
        <w:rPr>
          <w:sz w:val="12"/>
        </w:rPr>
      </w:pPr>
      <w:r>
        <w:rPr>
          <w:color w:val="231F20"/>
          <w:w w:val="95"/>
          <w:sz w:val="12"/>
        </w:rPr>
        <w:t>kyčelního</w:t>
      </w:r>
      <w:r>
        <w:rPr>
          <w:color w:val="231F20"/>
          <w:spacing w:val="10"/>
          <w:w w:val="95"/>
          <w:sz w:val="12"/>
        </w:rPr>
        <w:t xml:space="preserve"> </w:t>
      </w:r>
      <w:r>
        <w:rPr>
          <w:color w:val="231F20"/>
          <w:w w:val="95"/>
          <w:sz w:val="12"/>
        </w:rPr>
        <w:t>kloubu</w:t>
      </w:r>
    </w:p>
    <w:p w14:paraId="72DB158C" w14:textId="77777777" w:rsidR="00F65BCA" w:rsidRDefault="00216117">
      <w:pPr>
        <w:pStyle w:val="Odstavecseseznamem"/>
        <w:numPr>
          <w:ilvl w:val="0"/>
          <w:numId w:val="59"/>
        </w:numPr>
        <w:tabs>
          <w:tab w:val="left" w:pos="456"/>
        </w:tabs>
        <w:spacing w:before="50"/>
        <w:ind w:hanging="273"/>
        <w:rPr>
          <w:sz w:val="12"/>
        </w:rPr>
      </w:pPr>
      <w:r>
        <w:rPr>
          <w:color w:val="231F20"/>
          <w:w w:val="95"/>
          <w:sz w:val="12"/>
        </w:rPr>
        <w:t>kolenního</w:t>
      </w:r>
      <w:r>
        <w:rPr>
          <w:color w:val="231F20"/>
          <w:spacing w:val="11"/>
          <w:w w:val="95"/>
          <w:sz w:val="12"/>
        </w:rPr>
        <w:t xml:space="preserve"> </w:t>
      </w:r>
      <w:r>
        <w:rPr>
          <w:color w:val="231F20"/>
          <w:w w:val="95"/>
          <w:sz w:val="12"/>
        </w:rPr>
        <w:t>kloubu</w:t>
      </w:r>
    </w:p>
    <w:p w14:paraId="59D68F66" w14:textId="77777777" w:rsidR="00F65BCA" w:rsidRDefault="00216117">
      <w:pPr>
        <w:pStyle w:val="Odstavecseseznamem"/>
        <w:numPr>
          <w:ilvl w:val="0"/>
          <w:numId w:val="59"/>
        </w:numPr>
        <w:tabs>
          <w:tab w:val="left" w:pos="456"/>
        </w:tabs>
        <w:spacing w:before="49"/>
        <w:ind w:hanging="273"/>
        <w:rPr>
          <w:sz w:val="12"/>
        </w:rPr>
      </w:pPr>
      <w:r>
        <w:rPr>
          <w:color w:val="231F20"/>
          <w:w w:val="95"/>
          <w:sz w:val="12"/>
        </w:rPr>
        <w:t>hlezenného</w:t>
      </w:r>
      <w:r>
        <w:rPr>
          <w:color w:val="231F20"/>
          <w:spacing w:val="11"/>
          <w:w w:val="95"/>
          <w:sz w:val="12"/>
        </w:rPr>
        <w:t xml:space="preserve"> </w:t>
      </w:r>
      <w:r>
        <w:rPr>
          <w:color w:val="231F20"/>
          <w:w w:val="95"/>
          <w:sz w:val="12"/>
        </w:rPr>
        <w:t>kloubu</w:t>
      </w:r>
    </w:p>
    <w:p w14:paraId="1748197E" w14:textId="77777777" w:rsidR="00F65BCA" w:rsidRDefault="00216117">
      <w:pPr>
        <w:pStyle w:val="Odstavecseseznamem"/>
        <w:numPr>
          <w:ilvl w:val="0"/>
          <w:numId w:val="59"/>
        </w:numPr>
        <w:tabs>
          <w:tab w:val="left" w:pos="456"/>
        </w:tabs>
        <w:spacing w:before="49"/>
        <w:ind w:hanging="273"/>
        <w:rPr>
          <w:sz w:val="12"/>
        </w:rPr>
      </w:pPr>
      <w:r>
        <w:rPr>
          <w:color w:val="231F20"/>
          <w:w w:val="95"/>
          <w:sz w:val="12"/>
        </w:rPr>
        <w:t>Chopartova</w:t>
      </w:r>
      <w:r>
        <w:rPr>
          <w:color w:val="231F20"/>
          <w:spacing w:val="27"/>
          <w:w w:val="95"/>
          <w:sz w:val="12"/>
        </w:rPr>
        <w:t xml:space="preserve"> </w:t>
      </w:r>
      <w:r>
        <w:rPr>
          <w:color w:val="231F20"/>
          <w:w w:val="95"/>
          <w:sz w:val="12"/>
        </w:rPr>
        <w:t>kloubu</w:t>
      </w:r>
    </w:p>
    <w:p w14:paraId="4406BDA8" w14:textId="77777777" w:rsidR="00F65BCA" w:rsidRDefault="00216117">
      <w:pPr>
        <w:pStyle w:val="Odstavecseseznamem"/>
        <w:numPr>
          <w:ilvl w:val="0"/>
          <w:numId w:val="59"/>
        </w:numPr>
        <w:tabs>
          <w:tab w:val="left" w:pos="456"/>
        </w:tabs>
        <w:spacing w:before="49"/>
        <w:ind w:hanging="273"/>
        <w:rPr>
          <w:sz w:val="12"/>
        </w:rPr>
      </w:pPr>
      <w:r>
        <w:rPr>
          <w:color w:val="231F20"/>
          <w:w w:val="95"/>
          <w:sz w:val="12"/>
        </w:rPr>
        <w:t>Lisfrancova</w:t>
      </w:r>
      <w:r>
        <w:rPr>
          <w:color w:val="231F20"/>
          <w:spacing w:val="16"/>
          <w:w w:val="95"/>
          <w:sz w:val="12"/>
        </w:rPr>
        <w:t xml:space="preserve"> </w:t>
      </w:r>
      <w:r>
        <w:rPr>
          <w:color w:val="231F20"/>
          <w:w w:val="95"/>
          <w:sz w:val="12"/>
        </w:rPr>
        <w:t>kloubu</w:t>
      </w:r>
    </w:p>
    <w:p w14:paraId="51A6A96D" w14:textId="77777777" w:rsidR="00F65BCA" w:rsidRDefault="00000000">
      <w:pPr>
        <w:spacing w:before="44" w:line="242" w:lineRule="auto"/>
        <w:ind w:left="455" w:right="297"/>
        <w:rPr>
          <w:sz w:val="12"/>
        </w:rPr>
      </w:pPr>
      <w:r>
        <w:pict w14:anchorId="435F4A77">
          <v:shape id="_x0000_s2150" type="#_x0000_t202" style="position:absolute;left:0;text-align:left;margin-left:399.35pt;margin-top:5.5pt;width:10.05pt;height:7.2pt;z-index:251970560;mso-position-horizontal-relative:page" filled="f" stroked="f">
            <v:textbox inset="0,0,0,0">
              <w:txbxContent>
                <w:p w14:paraId="30710B0F" w14:textId="77777777" w:rsidR="00F65BCA" w:rsidRDefault="00216117">
                  <w:pPr>
                    <w:spacing w:before="4"/>
                    <w:rPr>
                      <w:b/>
                      <w:sz w:val="12"/>
                    </w:rPr>
                  </w:pPr>
                  <w:r>
                    <w:rPr>
                      <w:b/>
                      <w:color w:val="231F20"/>
                      <w:sz w:val="12"/>
                    </w:rPr>
                    <w:t>269</w:t>
                  </w:r>
                </w:p>
              </w:txbxContent>
            </v:textbox>
            <w10:wrap anchorx="page"/>
          </v:shape>
        </w:pict>
      </w:r>
      <w:r w:rsidR="00216117">
        <w:rPr>
          <w:color w:val="231F20"/>
          <w:sz w:val="12"/>
        </w:rPr>
        <w:t>jednoho nebo více prstů nohy s náplasťovou imobilizací nebo klidovou léčbou</w:t>
      </w:r>
    </w:p>
    <w:p w14:paraId="01BE9ACF" w14:textId="77777777" w:rsidR="00F65BCA" w:rsidRDefault="00000000">
      <w:pPr>
        <w:spacing w:before="39" w:line="242" w:lineRule="auto"/>
        <w:ind w:left="455" w:right="90"/>
        <w:rPr>
          <w:sz w:val="12"/>
        </w:rPr>
      </w:pPr>
      <w:r>
        <w:pict w14:anchorId="39B89BC9">
          <v:shape id="_x0000_s2149" type="#_x0000_t202" style="position:absolute;left:0;text-align:left;margin-left:399.35pt;margin-top:5.25pt;width:10.05pt;height:7.2pt;z-index:251971584;mso-position-horizontal-relative:page" filled="f" stroked="f">
            <v:textbox inset="0,0,0,0">
              <w:txbxContent>
                <w:p w14:paraId="5E3956ED" w14:textId="77777777" w:rsidR="00F65BCA" w:rsidRDefault="00216117">
                  <w:pPr>
                    <w:spacing w:before="4"/>
                    <w:rPr>
                      <w:b/>
                      <w:sz w:val="12"/>
                    </w:rPr>
                  </w:pPr>
                  <w:r>
                    <w:rPr>
                      <w:b/>
                      <w:color w:val="231F20"/>
                      <w:sz w:val="12"/>
                    </w:rPr>
                    <w:t>270</w:t>
                  </w:r>
                </w:p>
              </w:txbxContent>
            </v:textbox>
            <w10:wrap anchorx="page"/>
          </v:shape>
        </w:pict>
      </w:r>
      <w:r w:rsidR="00216117">
        <w:rPr>
          <w:color w:val="231F20"/>
          <w:sz w:val="12"/>
        </w:rPr>
        <w:t xml:space="preserve">všech prstů nohy s náplasťovou imobilizací </w:t>
      </w:r>
      <w:r w:rsidR="00216117">
        <w:rPr>
          <w:color w:val="231F20"/>
          <w:spacing w:val="-5"/>
          <w:sz w:val="12"/>
        </w:rPr>
        <w:t xml:space="preserve">nebo </w:t>
      </w:r>
      <w:r w:rsidR="00216117">
        <w:rPr>
          <w:color w:val="231F20"/>
          <w:sz w:val="12"/>
        </w:rPr>
        <w:t>klidovou léčbou</w:t>
      </w:r>
    </w:p>
    <w:p w14:paraId="0845B35F" w14:textId="77777777" w:rsidR="00F65BCA" w:rsidRDefault="00216117">
      <w:pPr>
        <w:spacing w:before="43"/>
        <w:ind w:left="1293"/>
        <w:rPr>
          <w:b/>
          <w:sz w:val="12"/>
        </w:rPr>
      </w:pPr>
      <w:r>
        <w:rPr>
          <w:b/>
          <w:color w:val="231F20"/>
          <w:sz w:val="12"/>
        </w:rPr>
        <w:t>Poranění menisků</w:t>
      </w:r>
    </w:p>
    <w:p w14:paraId="74FEF184" w14:textId="77777777" w:rsidR="00F65BCA" w:rsidRDefault="00216117">
      <w:pPr>
        <w:pStyle w:val="Odstavecseseznamem"/>
        <w:numPr>
          <w:ilvl w:val="0"/>
          <w:numId w:val="58"/>
        </w:numPr>
        <w:tabs>
          <w:tab w:val="left" w:pos="456"/>
        </w:tabs>
        <w:spacing w:before="55"/>
        <w:ind w:hanging="273"/>
        <w:rPr>
          <w:sz w:val="12"/>
        </w:rPr>
      </w:pPr>
      <w:r>
        <w:rPr>
          <w:color w:val="231F20"/>
          <w:sz w:val="12"/>
        </w:rPr>
        <w:t>zevního</w:t>
      </w:r>
      <w:r>
        <w:rPr>
          <w:color w:val="231F20"/>
          <w:spacing w:val="-12"/>
          <w:sz w:val="12"/>
        </w:rPr>
        <w:t xml:space="preserve"> </w:t>
      </w:r>
      <w:r>
        <w:rPr>
          <w:color w:val="231F20"/>
          <w:sz w:val="12"/>
        </w:rPr>
        <w:t>nebo</w:t>
      </w:r>
      <w:r>
        <w:rPr>
          <w:color w:val="231F20"/>
          <w:spacing w:val="-11"/>
          <w:sz w:val="12"/>
        </w:rPr>
        <w:t xml:space="preserve"> </w:t>
      </w:r>
      <w:r>
        <w:rPr>
          <w:color w:val="231F20"/>
          <w:sz w:val="12"/>
        </w:rPr>
        <w:t>vnitřního</w:t>
      </w:r>
      <w:r>
        <w:rPr>
          <w:color w:val="231F20"/>
          <w:spacing w:val="-12"/>
          <w:sz w:val="12"/>
        </w:rPr>
        <w:t xml:space="preserve"> </w:t>
      </w:r>
      <w:r>
        <w:rPr>
          <w:color w:val="231F20"/>
          <w:sz w:val="12"/>
        </w:rPr>
        <w:t>léčené</w:t>
      </w:r>
      <w:r>
        <w:rPr>
          <w:color w:val="231F20"/>
          <w:spacing w:val="-11"/>
          <w:sz w:val="12"/>
        </w:rPr>
        <w:t xml:space="preserve"> </w:t>
      </w:r>
      <w:r>
        <w:rPr>
          <w:color w:val="231F20"/>
          <w:sz w:val="12"/>
        </w:rPr>
        <w:t>konzervativně</w:t>
      </w:r>
    </w:p>
    <w:p w14:paraId="73845A03" w14:textId="77777777" w:rsidR="00F65BCA" w:rsidRDefault="00216117">
      <w:pPr>
        <w:pStyle w:val="Odstavecseseznamem"/>
        <w:numPr>
          <w:ilvl w:val="0"/>
          <w:numId w:val="58"/>
        </w:numPr>
        <w:tabs>
          <w:tab w:val="left" w:pos="456"/>
        </w:tabs>
        <w:spacing w:before="61"/>
        <w:ind w:hanging="273"/>
        <w:rPr>
          <w:sz w:val="12"/>
        </w:rPr>
      </w:pPr>
      <w:r>
        <w:rPr>
          <w:color w:val="231F20"/>
          <w:sz w:val="12"/>
        </w:rPr>
        <w:t>zevního</w:t>
      </w:r>
      <w:r>
        <w:rPr>
          <w:color w:val="231F20"/>
          <w:spacing w:val="-20"/>
          <w:sz w:val="12"/>
        </w:rPr>
        <w:t xml:space="preserve"> </w:t>
      </w:r>
      <w:r>
        <w:rPr>
          <w:color w:val="231F20"/>
          <w:sz w:val="12"/>
        </w:rPr>
        <w:t>nebo</w:t>
      </w:r>
      <w:r>
        <w:rPr>
          <w:color w:val="231F20"/>
          <w:spacing w:val="-19"/>
          <w:sz w:val="12"/>
        </w:rPr>
        <w:t xml:space="preserve"> </w:t>
      </w:r>
      <w:r>
        <w:rPr>
          <w:color w:val="231F20"/>
          <w:sz w:val="12"/>
        </w:rPr>
        <w:t>vnitřního</w:t>
      </w:r>
      <w:r>
        <w:rPr>
          <w:color w:val="231F20"/>
          <w:spacing w:val="-19"/>
          <w:sz w:val="12"/>
        </w:rPr>
        <w:t xml:space="preserve"> </w:t>
      </w:r>
      <w:r>
        <w:rPr>
          <w:color w:val="231F20"/>
          <w:sz w:val="12"/>
        </w:rPr>
        <w:t>léčené</w:t>
      </w:r>
      <w:r>
        <w:rPr>
          <w:color w:val="231F20"/>
          <w:spacing w:val="-19"/>
          <w:sz w:val="12"/>
        </w:rPr>
        <w:t xml:space="preserve"> </w:t>
      </w:r>
      <w:r>
        <w:rPr>
          <w:color w:val="231F20"/>
          <w:sz w:val="12"/>
        </w:rPr>
        <w:t>operací</w:t>
      </w:r>
      <w:r>
        <w:rPr>
          <w:color w:val="231F20"/>
          <w:spacing w:val="-20"/>
          <w:sz w:val="12"/>
        </w:rPr>
        <w:t xml:space="preserve"> </w:t>
      </w:r>
      <w:r>
        <w:rPr>
          <w:color w:val="231F20"/>
          <w:sz w:val="12"/>
        </w:rPr>
        <w:t>-</w:t>
      </w:r>
      <w:r>
        <w:rPr>
          <w:color w:val="231F20"/>
          <w:spacing w:val="-19"/>
          <w:sz w:val="12"/>
        </w:rPr>
        <w:t xml:space="preserve"> </w:t>
      </w:r>
      <w:r>
        <w:rPr>
          <w:color w:val="231F20"/>
          <w:sz w:val="12"/>
        </w:rPr>
        <w:t>artroskopií</w:t>
      </w:r>
    </w:p>
    <w:p w14:paraId="377E2CF0" w14:textId="77777777" w:rsidR="00F65BCA" w:rsidRDefault="00216117">
      <w:pPr>
        <w:pStyle w:val="Odstavecseseznamem"/>
        <w:numPr>
          <w:ilvl w:val="0"/>
          <w:numId w:val="58"/>
        </w:numPr>
        <w:tabs>
          <w:tab w:val="left" w:pos="456"/>
        </w:tabs>
        <w:spacing w:before="60"/>
        <w:ind w:hanging="273"/>
        <w:rPr>
          <w:sz w:val="12"/>
        </w:rPr>
      </w:pPr>
      <w:r>
        <w:rPr>
          <w:color w:val="231F20"/>
          <w:sz w:val="12"/>
        </w:rPr>
        <w:t>zevního</w:t>
      </w:r>
      <w:r>
        <w:rPr>
          <w:color w:val="231F20"/>
          <w:spacing w:val="-20"/>
          <w:sz w:val="12"/>
        </w:rPr>
        <w:t xml:space="preserve"> </w:t>
      </w:r>
      <w:r>
        <w:rPr>
          <w:color w:val="231F20"/>
          <w:sz w:val="12"/>
        </w:rPr>
        <w:t>nebo</w:t>
      </w:r>
      <w:r>
        <w:rPr>
          <w:color w:val="231F20"/>
          <w:spacing w:val="-19"/>
          <w:sz w:val="12"/>
        </w:rPr>
        <w:t xml:space="preserve"> </w:t>
      </w:r>
      <w:r>
        <w:rPr>
          <w:color w:val="231F20"/>
          <w:sz w:val="12"/>
        </w:rPr>
        <w:t>vnitřního</w:t>
      </w:r>
      <w:r>
        <w:rPr>
          <w:color w:val="231F20"/>
          <w:spacing w:val="-19"/>
          <w:sz w:val="12"/>
        </w:rPr>
        <w:t xml:space="preserve"> </w:t>
      </w:r>
      <w:r>
        <w:rPr>
          <w:color w:val="231F20"/>
          <w:sz w:val="12"/>
        </w:rPr>
        <w:t>léčené</w:t>
      </w:r>
      <w:r>
        <w:rPr>
          <w:color w:val="231F20"/>
          <w:spacing w:val="-19"/>
          <w:sz w:val="12"/>
        </w:rPr>
        <w:t xml:space="preserve"> </w:t>
      </w:r>
      <w:r>
        <w:rPr>
          <w:color w:val="231F20"/>
          <w:sz w:val="12"/>
        </w:rPr>
        <w:t>operací</w:t>
      </w:r>
      <w:r>
        <w:rPr>
          <w:color w:val="231F20"/>
          <w:spacing w:val="-20"/>
          <w:sz w:val="12"/>
        </w:rPr>
        <w:t xml:space="preserve"> </w:t>
      </w:r>
      <w:r>
        <w:rPr>
          <w:color w:val="231F20"/>
          <w:sz w:val="12"/>
        </w:rPr>
        <w:t>-</w:t>
      </w:r>
      <w:r>
        <w:rPr>
          <w:color w:val="231F20"/>
          <w:spacing w:val="-19"/>
          <w:sz w:val="12"/>
        </w:rPr>
        <w:t xml:space="preserve"> </w:t>
      </w:r>
      <w:r>
        <w:rPr>
          <w:color w:val="231F20"/>
          <w:sz w:val="12"/>
        </w:rPr>
        <w:t>artrothomií</w:t>
      </w:r>
    </w:p>
    <w:p w14:paraId="7E8EB2CC" w14:textId="77777777" w:rsidR="00F65BCA" w:rsidRDefault="00216117">
      <w:pPr>
        <w:spacing w:before="55"/>
        <w:ind w:left="1541"/>
        <w:rPr>
          <w:b/>
          <w:sz w:val="12"/>
        </w:rPr>
      </w:pPr>
      <w:r>
        <w:rPr>
          <w:b/>
          <w:color w:val="231F20"/>
          <w:sz w:val="12"/>
        </w:rPr>
        <w:t>Vymknutí</w:t>
      </w:r>
    </w:p>
    <w:p w14:paraId="436E447B" w14:textId="77777777" w:rsidR="00F65BCA" w:rsidRDefault="00216117">
      <w:pPr>
        <w:spacing w:before="49"/>
        <w:ind w:left="455"/>
        <w:rPr>
          <w:b/>
          <w:sz w:val="12"/>
        </w:rPr>
      </w:pPr>
      <w:r>
        <w:rPr>
          <w:b/>
          <w:color w:val="231F20"/>
          <w:sz w:val="12"/>
        </w:rPr>
        <w:t>léčené repozicí (napravením) lékařem</w:t>
      </w:r>
    </w:p>
    <w:p w14:paraId="7845ECA2" w14:textId="77777777" w:rsidR="00F65BCA" w:rsidRDefault="00216117">
      <w:pPr>
        <w:pStyle w:val="Odstavecseseznamem"/>
        <w:numPr>
          <w:ilvl w:val="0"/>
          <w:numId w:val="58"/>
        </w:numPr>
        <w:tabs>
          <w:tab w:val="left" w:pos="456"/>
        </w:tabs>
        <w:spacing w:before="46"/>
        <w:ind w:hanging="273"/>
        <w:rPr>
          <w:sz w:val="12"/>
        </w:rPr>
      </w:pPr>
      <w:r>
        <w:rPr>
          <w:color w:val="231F20"/>
          <w:sz w:val="12"/>
        </w:rPr>
        <w:t>kloubu kyčelního léčené</w:t>
      </w:r>
      <w:r>
        <w:rPr>
          <w:color w:val="231F20"/>
          <w:spacing w:val="-11"/>
          <w:sz w:val="12"/>
        </w:rPr>
        <w:t xml:space="preserve"> </w:t>
      </w:r>
      <w:r>
        <w:rPr>
          <w:color w:val="231F20"/>
          <w:sz w:val="12"/>
        </w:rPr>
        <w:t>konzervativně</w:t>
      </w:r>
    </w:p>
    <w:p w14:paraId="2D940DC5" w14:textId="77777777" w:rsidR="00F65BCA" w:rsidRDefault="00216117">
      <w:pPr>
        <w:pStyle w:val="Odstavecseseznamem"/>
        <w:numPr>
          <w:ilvl w:val="0"/>
          <w:numId w:val="58"/>
        </w:numPr>
        <w:tabs>
          <w:tab w:val="left" w:pos="456"/>
        </w:tabs>
        <w:spacing w:before="44"/>
        <w:ind w:hanging="273"/>
        <w:rPr>
          <w:sz w:val="12"/>
        </w:rPr>
      </w:pPr>
      <w:r>
        <w:rPr>
          <w:color w:val="231F20"/>
          <w:sz w:val="12"/>
        </w:rPr>
        <w:t>kloubu kyčelního léčené</w:t>
      </w:r>
      <w:r>
        <w:rPr>
          <w:color w:val="231F20"/>
          <w:spacing w:val="-7"/>
          <w:sz w:val="12"/>
        </w:rPr>
        <w:t xml:space="preserve"> </w:t>
      </w:r>
      <w:r>
        <w:rPr>
          <w:color w:val="231F20"/>
          <w:sz w:val="12"/>
        </w:rPr>
        <w:t>operací</w:t>
      </w:r>
    </w:p>
    <w:p w14:paraId="23E10F6B" w14:textId="77777777" w:rsidR="00F65BCA" w:rsidRDefault="00216117">
      <w:pPr>
        <w:pStyle w:val="Odstavecseseznamem"/>
        <w:numPr>
          <w:ilvl w:val="0"/>
          <w:numId w:val="58"/>
        </w:numPr>
        <w:tabs>
          <w:tab w:val="left" w:pos="456"/>
        </w:tabs>
        <w:spacing w:before="43"/>
        <w:ind w:hanging="273"/>
        <w:rPr>
          <w:sz w:val="12"/>
        </w:rPr>
      </w:pPr>
      <w:r>
        <w:rPr>
          <w:color w:val="231F20"/>
          <w:sz w:val="12"/>
        </w:rPr>
        <w:t>kloubu kolenního léčené</w:t>
      </w:r>
      <w:r>
        <w:rPr>
          <w:color w:val="231F20"/>
          <w:spacing w:val="-11"/>
          <w:sz w:val="12"/>
        </w:rPr>
        <w:t xml:space="preserve"> </w:t>
      </w:r>
      <w:r>
        <w:rPr>
          <w:color w:val="231F20"/>
          <w:sz w:val="12"/>
        </w:rPr>
        <w:t>konzervativně</w:t>
      </w:r>
    </w:p>
    <w:p w14:paraId="0C192EFA" w14:textId="77777777" w:rsidR="00F65BCA" w:rsidRDefault="00216117">
      <w:pPr>
        <w:pStyle w:val="Odstavecseseznamem"/>
        <w:numPr>
          <w:ilvl w:val="0"/>
          <w:numId w:val="58"/>
        </w:numPr>
        <w:tabs>
          <w:tab w:val="left" w:pos="456"/>
        </w:tabs>
        <w:spacing w:before="44"/>
        <w:ind w:hanging="273"/>
        <w:rPr>
          <w:sz w:val="12"/>
        </w:rPr>
      </w:pPr>
      <w:r>
        <w:rPr>
          <w:color w:val="231F20"/>
          <w:sz w:val="12"/>
        </w:rPr>
        <w:t>kloubu kolenního léčené</w:t>
      </w:r>
      <w:r>
        <w:rPr>
          <w:color w:val="231F20"/>
          <w:spacing w:val="-7"/>
          <w:sz w:val="12"/>
        </w:rPr>
        <w:t xml:space="preserve"> </w:t>
      </w:r>
      <w:r>
        <w:rPr>
          <w:color w:val="231F20"/>
          <w:sz w:val="12"/>
        </w:rPr>
        <w:t>operací</w:t>
      </w:r>
    </w:p>
    <w:p w14:paraId="3D2BDBA7" w14:textId="77777777" w:rsidR="00F65BCA" w:rsidRDefault="00216117">
      <w:pPr>
        <w:pStyle w:val="Odstavecseseznamem"/>
        <w:numPr>
          <w:ilvl w:val="0"/>
          <w:numId w:val="58"/>
        </w:numPr>
        <w:tabs>
          <w:tab w:val="left" w:pos="456"/>
        </w:tabs>
        <w:spacing w:before="43"/>
        <w:ind w:hanging="273"/>
        <w:rPr>
          <w:sz w:val="12"/>
        </w:rPr>
      </w:pPr>
      <w:r>
        <w:rPr>
          <w:color w:val="231F20"/>
          <w:sz w:val="12"/>
        </w:rPr>
        <w:t>čéšky léčené</w:t>
      </w:r>
      <w:r>
        <w:rPr>
          <w:color w:val="231F20"/>
          <w:spacing w:val="-4"/>
          <w:sz w:val="12"/>
        </w:rPr>
        <w:t xml:space="preserve"> </w:t>
      </w:r>
      <w:r>
        <w:rPr>
          <w:color w:val="231F20"/>
          <w:sz w:val="12"/>
        </w:rPr>
        <w:t>konzervativně</w:t>
      </w:r>
    </w:p>
    <w:p w14:paraId="56965D4C" w14:textId="77777777" w:rsidR="00F65BCA" w:rsidRDefault="00216117">
      <w:pPr>
        <w:pStyle w:val="Odstavecseseznamem"/>
        <w:numPr>
          <w:ilvl w:val="0"/>
          <w:numId w:val="58"/>
        </w:numPr>
        <w:tabs>
          <w:tab w:val="left" w:pos="456"/>
        </w:tabs>
        <w:spacing w:before="38"/>
        <w:ind w:hanging="273"/>
        <w:rPr>
          <w:sz w:val="12"/>
        </w:rPr>
      </w:pPr>
      <w:r>
        <w:rPr>
          <w:color w:val="231F20"/>
          <w:sz w:val="12"/>
        </w:rPr>
        <w:t>čéšky léčené</w:t>
      </w:r>
      <w:r>
        <w:rPr>
          <w:color w:val="231F20"/>
          <w:spacing w:val="-2"/>
          <w:sz w:val="12"/>
        </w:rPr>
        <w:t xml:space="preserve"> </w:t>
      </w:r>
      <w:r>
        <w:rPr>
          <w:color w:val="231F20"/>
          <w:sz w:val="12"/>
        </w:rPr>
        <w:t>operací</w:t>
      </w:r>
    </w:p>
    <w:p w14:paraId="61861F53" w14:textId="77777777" w:rsidR="00F65BCA" w:rsidRDefault="00000000">
      <w:pPr>
        <w:spacing w:before="33" w:line="242" w:lineRule="auto"/>
        <w:ind w:left="455" w:right="482"/>
        <w:rPr>
          <w:sz w:val="12"/>
        </w:rPr>
      </w:pPr>
      <w:r>
        <w:pict w14:anchorId="7A3D3EB7">
          <v:shape id="_x0000_s2148" type="#_x0000_t202" style="position:absolute;left:0;text-align:left;margin-left:399.35pt;margin-top:4.95pt;width:10.05pt;height:7.2pt;z-index:251972608;mso-position-horizontal-relative:page" filled="f" stroked="f">
            <v:textbox inset="0,0,0,0">
              <w:txbxContent>
                <w:p w14:paraId="266031D7" w14:textId="77777777" w:rsidR="00F65BCA" w:rsidRDefault="00216117">
                  <w:pPr>
                    <w:spacing w:before="4"/>
                    <w:rPr>
                      <w:b/>
                      <w:sz w:val="12"/>
                    </w:rPr>
                  </w:pPr>
                  <w:r>
                    <w:rPr>
                      <w:b/>
                      <w:color w:val="231F20"/>
                      <w:sz w:val="12"/>
                    </w:rPr>
                    <w:t>280</w:t>
                  </w:r>
                </w:p>
              </w:txbxContent>
            </v:textbox>
            <w10:wrap anchorx="page"/>
          </v:shape>
        </w:pict>
      </w:r>
      <w:r w:rsidR="00216117">
        <w:rPr>
          <w:color w:val="231F20"/>
          <w:sz w:val="12"/>
        </w:rPr>
        <w:t>kloubu</w:t>
      </w:r>
      <w:r w:rsidR="00216117">
        <w:rPr>
          <w:color w:val="231F20"/>
          <w:spacing w:val="-23"/>
          <w:sz w:val="12"/>
        </w:rPr>
        <w:t xml:space="preserve"> </w:t>
      </w:r>
      <w:r w:rsidR="00216117">
        <w:rPr>
          <w:color w:val="231F20"/>
          <w:sz w:val="12"/>
        </w:rPr>
        <w:t>hlezenného</w:t>
      </w:r>
      <w:r w:rsidR="00216117">
        <w:rPr>
          <w:color w:val="231F20"/>
          <w:spacing w:val="-22"/>
          <w:sz w:val="12"/>
        </w:rPr>
        <w:t xml:space="preserve"> </w:t>
      </w:r>
      <w:r w:rsidR="00216117">
        <w:rPr>
          <w:color w:val="231F20"/>
          <w:sz w:val="12"/>
        </w:rPr>
        <w:t>(včetně</w:t>
      </w:r>
      <w:r w:rsidR="00216117">
        <w:rPr>
          <w:color w:val="231F20"/>
          <w:spacing w:val="-22"/>
          <w:sz w:val="12"/>
        </w:rPr>
        <w:t xml:space="preserve"> </w:t>
      </w:r>
      <w:r w:rsidR="00216117">
        <w:rPr>
          <w:color w:val="231F20"/>
          <w:sz w:val="12"/>
        </w:rPr>
        <w:t>kotníků)</w:t>
      </w:r>
      <w:r w:rsidR="00216117">
        <w:rPr>
          <w:color w:val="231F20"/>
          <w:spacing w:val="-22"/>
          <w:sz w:val="12"/>
        </w:rPr>
        <w:t xml:space="preserve"> </w:t>
      </w:r>
      <w:r w:rsidR="00216117">
        <w:rPr>
          <w:color w:val="231F20"/>
          <w:spacing w:val="-3"/>
          <w:sz w:val="12"/>
        </w:rPr>
        <w:t xml:space="preserve">léčené </w:t>
      </w:r>
      <w:r w:rsidR="00216117">
        <w:rPr>
          <w:color w:val="231F20"/>
          <w:sz w:val="12"/>
        </w:rPr>
        <w:t>konzervativně</w:t>
      </w:r>
    </w:p>
    <w:p w14:paraId="716C9083" w14:textId="77777777" w:rsidR="00F65BCA" w:rsidRDefault="00000000">
      <w:pPr>
        <w:spacing w:before="33" w:line="242" w:lineRule="auto"/>
        <w:ind w:left="455" w:right="294"/>
        <w:rPr>
          <w:sz w:val="12"/>
        </w:rPr>
      </w:pPr>
      <w:r>
        <w:pict w14:anchorId="1A9BE460">
          <v:shape id="_x0000_s2147" type="#_x0000_t202" style="position:absolute;left:0;text-align:left;margin-left:399.35pt;margin-top:4.95pt;width:10.05pt;height:7.2pt;z-index:251973632;mso-position-horizontal-relative:page" filled="f" stroked="f">
            <v:textbox inset="0,0,0,0">
              <w:txbxContent>
                <w:p w14:paraId="5C5FE2E6" w14:textId="77777777" w:rsidR="00F65BCA" w:rsidRDefault="00216117">
                  <w:pPr>
                    <w:spacing w:before="4"/>
                    <w:rPr>
                      <w:b/>
                      <w:sz w:val="12"/>
                    </w:rPr>
                  </w:pPr>
                  <w:r>
                    <w:rPr>
                      <w:b/>
                      <w:color w:val="231F20"/>
                      <w:sz w:val="12"/>
                    </w:rPr>
                    <w:t>281</w:t>
                  </w:r>
                </w:p>
              </w:txbxContent>
            </v:textbox>
            <w10:wrap anchorx="page"/>
          </v:shape>
        </w:pict>
      </w:r>
      <w:r w:rsidR="00216117">
        <w:rPr>
          <w:color w:val="231F20"/>
          <w:sz w:val="12"/>
        </w:rPr>
        <w:t xml:space="preserve">kloubu hlezenného (včetně kotníků) </w:t>
      </w:r>
      <w:r w:rsidR="00216117">
        <w:rPr>
          <w:color w:val="231F20"/>
          <w:spacing w:val="-4"/>
          <w:sz w:val="12"/>
        </w:rPr>
        <w:t xml:space="preserve">otevřené </w:t>
      </w:r>
      <w:r w:rsidR="00216117">
        <w:rPr>
          <w:color w:val="231F20"/>
          <w:sz w:val="12"/>
        </w:rPr>
        <w:t>nebo léčené operací</w:t>
      </w:r>
    </w:p>
    <w:p w14:paraId="6CF0D7DD" w14:textId="77777777" w:rsidR="00F65BCA" w:rsidRDefault="00000000">
      <w:pPr>
        <w:spacing w:before="33" w:line="242" w:lineRule="auto"/>
        <w:ind w:left="455" w:right="583"/>
        <w:rPr>
          <w:sz w:val="12"/>
        </w:rPr>
      </w:pPr>
      <w:r>
        <w:pict w14:anchorId="6994EDF2">
          <v:shape id="_x0000_s2146" type="#_x0000_t202" style="position:absolute;left:0;text-align:left;margin-left:399.35pt;margin-top:4.95pt;width:10.05pt;height:7.2pt;z-index:251974656;mso-position-horizontal-relative:page" filled="f" stroked="f">
            <v:textbox inset="0,0,0,0">
              <w:txbxContent>
                <w:p w14:paraId="742968AF" w14:textId="77777777" w:rsidR="00F65BCA" w:rsidRDefault="00216117">
                  <w:pPr>
                    <w:spacing w:before="4"/>
                    <w:rPr>
                      <w:b/>
                      <w:sz w:val="12"/>
                    </w:rPr>
                  </w:pPr>
                  <w:r>
                    <w:rPr>
                      <w:b/>
                      <w:color w:val="231F20"/>
                      <w:sz w:val="12"/>
                    </w:rPr>
                    <w:t>282</w:t>
                  </w:r>
                </w:p>
              </w:txbxContent>
            </v:textbox>
            <w10:wrap anchorx="page"/>
          </v:shape>
        </w:pict>
      </w:r>
      <w:r w:rsidR="00216117">
        <w:rPr>
          <w:color w:val="231F20"/>
          <w:sz w:val="12"/>
        </w:rPr>
        <w:t>zánártních</w:t>
      </w:r>
      <w:r w:rsidR="00216117">
        <w:rPr>
          <w:color w:val="231F20"/>
          <w:spacing w:val="-21"/>
          <w:sz w:val="12"/>
        </w:rPr>
        <w:t xml:space="preserve"> </w:t>
      </w:r>
      <w:r w:rsidR="00216117">
        <w:rPr>
          <w:color w:val="231F20"/>
          <w:sz w:val="12"/>
        </w:rPr>
        <w:t>kostí</w:t>
      </w:r>
      <w:r w:rsidR="00216117">
        <w:rPr>
          <w:color w:val="231F20"/>
          <w:spacing w:val="-21"/>
          <w:sz w:val="12"/>
        </w:rPr>
        <w:t xml:space="preserve"> </w:t>
      </w:r>
      <w:r w:rsidR="00216117">
        <w:rPr>
          <w:color w:val="231F20"/>
          <w:sz w:val="12"/>
        </w:rPr>
        <w:t>(jedné</w:t>
      </w:r>
      <w:r w:rsidR="00216117">
        <w:rPr>
          <w:color w:val="231F20"/>
          <w:spacing w:val="-20"/>
          <w:sz w:val="12"/>
        </w:rPr>
        <w:t xml:space="preserve"> </w:t>
      </w:r>
      <w:r w:rsidR="00216117">
        <w:rPr>
          <w:color w:val="231F20"/>
          <w:sz w:val="12"/>
        </w:rPr>
        <w:t>nebo</w:t>
      </w:r>
      <w:r w:rsidR="00216117">
        <w:rPr>
          <w:color w:val="231F20"/>
          <w:spacing w:val="-21"/>
          <w:sz w:val="12"/>
        </w:rPr>
        <w:t xml:space="preserve"> </w:t>
      </w:r>
      <w:r w:rsidR="00216117">
        <w:rPr>
          <w:color w:val="231F20"/>
          <w:sz w:val="12"/>
        </w:rPr>
        <w:t>více)</w:t>
      </w:r>
      <w:r w:rsidR="00216117">
        <w:rPr>
          <w:color w:val="231F20"/>
          <w:spacing w:val="-20"/>
          <w:sz w:val="12"/>
        </w:rPr>
        <w:t xml:space="preserve"> </w:t>
      </w:r>
      <w:r w:rsidR="00216117">
        <w:rPr>
          <w:color w:val="231F20"/>
          <w:spacing w:val="-3"/>
          <w:sz w:val="12"/>
        </w:rPr>
        <w:t xml:space="preserve">léčené </w:t>
      </w:r>
      <w:r w:rsidR="00216117">
        <w:rPr>
          <w:color w:val="231F20"/>
          <w:sz w:val="12"/>
        </w:rPr>
        <w:t>konzervativně</w:t>
      </w:r>
    </w:p>
    <w:p w14:paraId="6E96373D" w14:textId="77777777" w:rsidR="00F65BCA" w:rsidRDefault="00000000">
      <w:pPr>
        <w:spacing w:before="33" w:line="242" w:lineRule="auto"/>
        <w:ind w:left="455" w:right="475"/>
        <w:rPr>
          <w:sz w:val="12"/>
        </w:rPr>
      </w:pPr>
      <w:r>
        <w:pict w14:anchorId="11794A2A">
          <v:shape id="_x0000_s2145" type="#_x0000_t202" style="position:absolute;left:0;text-align:left;margin-left:399.35pt;margin-top:4.95pt;width:10.05pt;height:7.2pt;z-index:251975680;mso-position-horizontal-relative:page" filled="f" stroked="f">
            <v:textbox inset="0,0,0,0">
              <w:txbxContent>
                <w:p w14:paraId="26849F90" w14:textId="77777777" w:rsidR="00F65BCA" w:rsidRDefault="00216117">
                  <w:pPr>
                    <w:spacing w:before="4"/>
                    <w:rPr>
                      <w:b/>
                      <w:sz w:val="12"/>
                    </w:rPr>
                  </w:pPr>
                  <w:r>
                    <w:rPr>
                      <w:b/>
                      <w:color w:val="231F20"/>
                      <w:sz w:val="12"/>
                    </w:rPr>
                    <w:t>283</w:t>
                  </w:r>
                </w:p>
              </w:txbxContent>
            </v:textbox>
            <w10:wrap anchorx="page"/>
          </v:shape>
        </w:pict>
      </w:r>
      <w:r w:rsidR="00216117">
        <w:rPr>
          <w:color w:val="231F20"/>
          <w:sz w:val="12"/>
        </w:rPr>
        <w:t>zánártních</w:t>
      </w:r>
      <w:r w:rsidR="00216117">
        <w:rPr>
          <w:color w:val="231F20"/>
          <w:spacing w:val="-19"/>
          <w:sz w:val="12"/>
        </w:rPr>
        <w:t xml:space="preserve"> </w:t>
      </w:r>
      <w:r w:rsidR="00216117">
        <w:rPr>
          <w:color w:val="231F20"/>
          <w:sz w:val="12"/>
        </w:rPr>
        <w:t>kostí</w:t>
      </w:r>
      <w:r w:rsidR="00216117">
        <w:rPr>
          <w:color w:val="231F20"/>
          <w:spacing w:val="-19"/>
          <w:sz w:val="12"/>
        </w:rPr>
        <w:t xml:space="preserve"> </w:t>
      </w:r>
      <w:r w:rsidR="00216117">
        <w:rPr>
          <w:color w:val="231F20"/>
          <w:sz w:val="12"/>
        </w:rPr>
        <w:t>(jedné</w:t>
      </w:r>
      <w:r w:rsidR="00216117">
        <w:rPr>
          <w:color w:val="231F20"/>
          <w:spacing w:val="-19"/>
          <w:sz w:val="12"/>
        </w:rPr>
        <w:t xml:space="preserve"> </w:t>
      </w:r>
      <w:r w:rsidR="00216117">
        <w:rPr>
          <w:color w:val="231F20"/>
          <w:sz w:val="12"/>
        </w:rPr>
        <w:t>nebo</w:t>
      </w:r>
      <w:r w:rsidR="00216117">
        <w:rPr>
          <w:color w:val="231F20"/>
          <w:spacing w:val="-19"/>
          <w:sz w:val="12"/>
        </w:rPr>
        <w:t xml:space="preserve"> </w:t>
      </w:r>
      <w:r w:rsidR="00216117">
        <w:rPr>
          <w:color w:val="231F20"/>
          <w:sz w:val="12"/>
        </w:rPr>
        <w:t>více)</w:t>
      </w:r>
      <w:r w:rsidR="00216117">
        <w:rPr>
          <w:color w:val="231F20"/>
          <w:spacing w:val="-18"/>
          <w:sz w:val="12"/>
        </w:rPr>
        <w:t xml:space="preserve"> </w:t>
      </w:r>
      <w:r w:rsidR="00216117">
        <w:rPr>
          <w:color w:val="231F20"/>
          <w:spacing w:val="-4"/>
          <w:sz w:val="12"/>
        </w:rPr>
        <w:t xml:space="preserve">otevřené </w:t>
      </w:r>
      <w:r w:rsidR="00216117">
        <w:rPr>
          <w:color w:val="231F20"/>
          <w:sz w:val="12"/>
        </w:rPr>
        <w:t>nebo léčené</w:t>
      </w:r>
      <w:r w:rsidR="00216117">
        <w:rPr>
          <w:color w:val="231F20"/>
          <w:spacing w:val="-3"/>
          <w:sz w:val="12"/>
        </w:rPr>
        <w:t xml:space="preserve"> </w:t>
      </w:r>
      <w:r w:rsidR="00216117">
        <w:rPr>
          <w:color w:val="231F20"/>
          <w:sz w:val="12"/>
        </w:rPr>
        <w:t>operací</w:t>
      </w:r>
    </w:p>
    <w:p w14:paraId="13D2060A" w14:textId="77777777" w:rsidR="00F65BCA" w:rsidRDefault="00216117">
      <w:pPr>
        <w:pStyle w:val="Odstavecseseznamem"/>
        <w:numPr>
          <w:ilvl w:val="0"/>
          <w:numId w:val="57"/>
        </w:numPr>
        <w:tabs>
          <w:tab w:val="left" w:pos="456"/>
        </w:tabs>
        <w:spacing w:before="38"/>
        <w:ind w:hanging="273"/>
        <w:rPr>
          <w:sz w:val="12"/>
        </w:rPr>
      </w:pPr>
      <w:r>
        <w:rPr>
          <w:color w:val="231F20"/>
          <w:sz w:val="12"/>
        </w:rPr>
        <w:t>základních kloubů jednoho nebo více</w:t>
      </w:r>
      <w:r>
        <w:rPr>
          <w:color w:val="231F20"/>
          <w:spacing w:val="-19"/>
          <w:sz w:val="12"/>
        </w:rPr>
        <w:t xml:space="preserve"> </w:t>
      </w:r>
      <w:r>
        <w:rPr>
          <w:color w:val="231F20"/>
          <w:sz w:val="12"/>
        </w:rPr>
        <w:t>prstů</w:t>
      </w:r>
    </w:p>
    <w:p w14:paraId="7B3E703E" w14:textId="77777777" w:rsidR="00F65BCA" w:rsidRDefault="00216117">
      <w:pPr>
        <w:pStyle w:val="Odstavecseseznamem"/>
        <w:numPr>
          <w:ilvl w:val="0"/>
          <w:numId w:val="57"/>
        </w:numPr>
        <w:tabs>
          <w:tab w:val="left" w:pos="456"/>
        </w:tabs>
        <w:spacing w:before="43"/>
        <w:ind w:hanging="273"/>
        <w:rPr>
          <w:sz w:val="12"/>
        </w:rPr>
      </w:pPr>
      <w:r>
        <w:rPr>
          <w:color w:val="231F20"/>
          <w:sz w:val="12"/>
        </w:rPr>
        <w:t>mezičlánkových</w:t>
      </w:r>
      <w:r>
        <w:rPr>
          <w:color w:val="231F20"/>
          <w:spacing w:val="-7"/>
          <w:sz w:val="12"/>
        </w:rPr>
        <w:t xml:space="preserve"> </w:t>
      </w:r>
      <w:r>
        <w:rPr>
          <w:color w:val="231F20"/>
          <w:sz w:val="12"/>
        </w:rPr>
        <w:t>kloubů</w:t>
      </w:r>
      <w:r>
        <w:rPr>
          <w:color w:val="231F20"/>
          <w:spacing w:val="-7"/>
          <w:sz w:val="12"/>
        </w:rPr>
        <w:t xml:space="preserve"> </w:t>
      </w:r>
      <w:r>
        <w:rPr>
          <w:color w:val="231F20"/>
          <w:sz w:val="12"/>
        </w:rPr>
        <w:t>jednoho</w:t>
      </w:r>
      <w:r>
        <w:rPr>
          <w:color w:val="231F20"/>
          <w:spacing w:val="-7"/>
          <w:sz w:val="12"/>
        </w:rPr>
        <w:t xml:space="preserve"> </w:t>
      </w:r>
      <w:r>
        <w:rPr>
          <w:color w:val="231F20"/>
          <w:sz w:val="12"/>
        </w:rPr>
        <w:t>nebo</w:t>
      </w:r>
      <w:r>
        <w:rPr>
          <w:color w:val="231F20"/>
          <w:spacing w:val="-6"/>
          <w:sz w:val="12"/>
        </w:rPr>
        <w:t xml:space="preserve"> </w:t>
      </w:r>
      <w:r>
        <w:rPr>
          <w:color w:val="231F20"/>
          <w:sz w:val="12"/>
        </w:rPr>
        <w:t>více</w:t>
      </w:r>
      <w:r>
        <w:rPr>
          <w:color w:val="231F20"/>
          <w:spacing w:val="-7"/>
          <w:sz w:val="12"/>
        </w:rPr>
        <w:t xml:space="preserve"> </w:t>
      </w:r>
      <w:r>
        <w:rPr>
          <w:color w:val="231F20"/>
          <w:sz w:val="12"/>
        </w:rPr>
        <w:t>prstů</w:t>
      </w:r>
    </w:p>
    <w:p w14:paraId="2564E6B9" w14:textId="77777777" w:rsidR="00F65BCA" w:rsidRDefault="00216117">
      <w:pPr>
        <w:spacing w:before="46" w:line="326" w:lineRule="auto"/>
        <w:ind w:left="455" w:right="430" w:firstLine="1054"/>
        <w:rPr>
          <w:b/>
          <w:sz w:val="12"/>
        </w:rPr>
      </w:pPr>
      <w:r>
        <w:rPr>
          <w:b/>
          <w:color w:val="231F20"/>
          <w:sz w:val="12"/>
        </w:rPr>
        <w:t>Zlomeniny Zlomenina</w:t>
      </w:r>
      <w:r>
        <w:rPr>
          <w:b/>
          <w:color w:val="231F20"/>
          <w:spacing w:val="-19"/>
          <w:sz w:val="12"/>
        </w:rPr>
        <w:t xml:space="preserve"> </w:t>
      </w:r>
      <w:r>
        <w:rPr>
          <w:b/>
          <w:color w:val="231F20"/>
          <w:sz w:val="12"/>
        </w:rPr>
        <w:t>horního</w:t>
      </w:r>
      <w:r>
        <w:rPr>
          <w:b/>
          <w:color w:val="231F20"/>
          <w:spacing w:val="-18"/>
          <w:sz w:val="12"/>
        </w:rPr>
        <w:t xml:space="preserve"> </w:t>
      </w:r>
      <w:r>
        <w:rPr>
          <w:b/>
          <w:color w:val="231F20"/>
          <w:sz w:val="12"/>
        </w:rPr>
        <w:t>konce</w:t>
      </w:r>
      <w:r>
        <w:rPr>
          <w:b/>
          <w:color w:val="231F20"/>
          <w:spacing w:val="-19"/>
          <w:sz w:val="12"/>
        </w:rPr>
        <w:t xml:space="preserve"> </w:t>
      </w:r>
      <w:r>
        <w:rPr>
          <w:b/>
          <w:color w:val="231F20"/>
          <w:sz w:val="12"/>
        </w:rPr>
        <w:t>kosti</w:t>
      </w:r>
      <w:r>
        <w:rPr>
          <w:b/>
          <w:color w:val="231F20"/>
          <w:spacing w:val="-18"/>
          <w:sz w:val="12"/>
        </w:rPr>
        <w:t xml:space="preserve"> </w:t>
      </w:r>
      <w:r>
        <w:rPr>
          <w:b/>
          <w:color w:val="231F20"/>
          <w:sz w:val="12"/>
        </w:rPr>
        <w:t>stehenní</w:t>
      </w:r>
    </w:p>
    <w:p w14:paraId="2AF405C6" w14:textId="77777777" w:rsidR="00F65BCA" w:rsidRDefault="00216117">
      <w:pPr>
        <w:pStyle w:val="Odstavecseseznamem"/>
        <w:numPr>
          <w:ilvl w:val="0"/>
          <w:numId w:val="57"/>
        </w:numPr>
        <w:tabs>
          <w:tab w:val="left" w:pos="456"/>
        </w:tabs>
        <w:spacing w:line="131" w:lineRule="exact"/>
        <w:ind w:hanging="273"/>
        <w:rPr>
          <w:sz w:val="12"/>
        </w:rPr>
      </w:pPr>
      <w:r>
        <w:rPr>
          <w:color w:val="231F20"/>
          <w:sz w:val="12"/>
        </w:rPr>
        <w:t>krčku kosti stehenní léčená</w:t>
      </w:r>
      <w:r>
        <w:rPr>
          <w:color w:val="231F20"/>
          <w:spacing w:val="-18"/>
          <w:sz w:val="12"/>
        </w:rPr>
        <w:t xml:space="preserve"> </w:t>
      </w:r>
      <w:r>
        <w:rPr>
          <w:color w:val="231F20"/>
          <w:sz w:val="12"/>
        </w:rPr>
        <w:t>konzervativně</w:t>
      </w:r>
    </w:p>
    <w:p w14:paraId="6E8E4A1A" w14:textId="77777777" w:rsidR="00F65BCA" w:rsidRDefault="00216117">
      <w:pPr>
        <w:pStyle w:val="Odstavecseseznamem"/>
        <w:numPr>
          <w:ilvl w:val="0"/>
          <w:numId w:val="57"/>
        </w:numPr>
        <w:tabs>
          <w:tab w:val="left" w:pos="456"/>
        </w:tabs>
        <w:spacing w:before="38"/>
        <w:ind w:hanging="273"/>
        <w:rPr>
          <w:sz w:val="12"/>
        </w:rPr>
      </w:pPr>
      <w:r>
        <w:rPr>
          <w:color w:val="231F20"/>
          <w:sz w:val="12"/>
        </w:rPr>
        <w:t>krčku kosti stehenní léčená</w:t>
      </w:r>
      <w:r>
        <w:rPr>
          <w:color w:val="231F20"/>
          <w:spacing w:val="-10"/>
          <w:sz w:val="12"/>
        </w:rPr>
        <w:t xml:space="preserve"> </w:t>
      </w:r>
      <w:r>
        <w:rPr>
          <w:color w:val="231F20"/>
          <w:sz w:val="12"/>
        </w:rPr>
        <w:t>operací</w:t>
      </w:r>
    </w:p>
    <w:p w14:paraId="63BDCB18" w14:textId="77777777" w:rsidR="00F65BCA" w:rsidRDefault="00216117">
      <w:pPr>
        <w:pStyle w:val="Odstavecseseznamem"/>
        <w:numPr>
          <w:ilvl w:val="0"/>
          <w:numId w:val="57"/>
        </w:numPr>
        <w:tabs>
          <w:tab w:val="left" w:pos="456"/>
        </w:tabs>
        <w:spacing w:before="38"/>
        <w:ind w:hanging="273"/>
        <w:rPr>
          <w:sz w:val="12"/>
        </w:rPr>
      </w:pPr>
      <w:r>
        <w:rPr>
          <w:color w:val="231F20"/>
          <w:sz w:val="12"/>
        </w:rPr>
        <w:t>krčku</w:t>
      </w:r>
      <w:r>
        <w:rPr>
          <w:color w:val="231F20"/>
          <w:spacing w:val="-19"/>
          <w:sz w:val="12"/>
        </w:rPr>
        <w:t xml:space="preserve"> </w:t>
      </w:r>
      <w:r>
        <w:rPr>
          <w:color w:val="231F20"/>
          <w:sz w:val="12"/>
        </w:rPr>
        <w:t>kosti</w:t>
      </w:r>
      <w:r>
        <w:rPr>
          <w:color w:val="231F20"/>
          <w:spacing w:val="-18"/>
          <w:sz w:val="12"/>
        </w:rPr>
        <w:t xml:space="preserve"> </w:t>
      </w:r>
      <w:r>
        <w:rPr>
          <w:color w:val="231F20"/>
          <w:sz w:val="12"/>
        </w:rPr>
        <w:t>stehenní</w:t>
      </w:r>
      <w:r>
        <w:rPr>
          <w:color w:val="231F20"/>
          <w:spacing w:val="-18"/>
          <w:sz w:val="12"/>
        </w:rPr>
        <w:t xml:space="preserve"> </w:t>
      </w:r>
      <w:r>
        <w:rPr>
          <w:color w:val="231F20"/>
          <w:sz w:val="12"/>
        </w:rPr>
        <w:t>komplikovaná</w:t>
      </w:r>
      <w:r>
        <w:rPr>
          <w:color w:val="231F20"/>
          <w:spacing w:val="-18"/>
          <w:sz w:val="12"/>
        </w:rPr>
        <w:t xml:space="preserve"> </w:t>
      </w:r>
      <w:r>
        <w:rPr>
          <w:color w:val="231F20"/>
          <w:sz w:val="12"/>
        </w:rPr>
        <w:t>nekrosou</w:t>
      </w:r>
      <w:r>
        <w:rPr>
          <w:color w:val="231F20"/>
          <w:spacing w:val="-18"/>
          <w:sz w:val="12"/>
        </w:rPr>
        <w:t xml:space="preserve"> </w:t>
      </w:r>
      <w:r>
        <w:rPr>
          <w:color w:val="231F20"/>
          <w:sz w:val="12"/>
        </w:rPr>
        <w:t>hlavice</w:t>
      </w:r>
    </w:p>
    <w:p w14:paraId="0325371B" w14:textId="77777777" w:rsidR="00F65BCA" w:rsidRDefault="00216117">
      <w:pPr>
        <w:pStyle w:val="Odstavecseseznamem"/>
        <w:numPr>
          <w:ilvl w:val="0"/>
          <w:numId w:val="57"/>
        </w:numPr>
        <w:tabs>
          <w:tab w:val="left" w:pos="456"/>
        </w:tabs>
        <w:spacing w:before="38"/>
        <w:ind w:hanging="273"/>
        <w:rPr>
          <w:sz w:val="12"/>
        </w:rPr>
      </w:pPr>
      <w:r>
        <w:rPr>
          <w:color w:val="231F20"/>
          <w:w w:val="95"/>
          <w:sz w:val="12"/>
        </w:rPr>
        <w:t>malého</w:t>
      </w:r>
      <w:r>
        <w:rPr>
          <w:color w:val="231F20"/>
          <w:spacing w:val="16"/>
          <w:w w:val="95"/>
          <w:sz w:val="12"/>
        </w:rPr>
        <w:t xml:space="preserve"> </w:t>
      </w:r>
      <w:r>
        <w:rPr>
          <w:color w:val="231F20"/>
          <w:w w:val="95"/>
          <w:sz w:val="12"/>
        </w:rPr>
        <w:t>chocholíku</w:t>
      </w:r>
    </w:p>
    <w:p w14:paraId="45BFC30D" w14:textId="77777777" w:rsidR="00F65BCA" w:rsidRDefault="00216117">
      <w:pPr>
        <w:pStyle w:val="Odstavecseseznamem"/>
        <w:numPr>
          <w:ilvl w:val="0"/>
          <w:numId w:val="57"/>
        </w:numPr>
        <w:tabs>
          <w:tab w:val="left" w:pos="456"/>
        </w:tabs>
        <w:spacing w:before="38"/>
        <w:ind w:hanging="273"/>
        <w:rPr>
          <w:sz w:val="12"/>
        </w:rPr>
      </w:pPr>
      <w:r>
        <w:rPr>
          <w:color w:val="231F20"/>
          <w:w w:val="95"/>
          <w:sz w:val="12"/>
        </w:rPr>
        <w:t>velkého</w:t>
      </w:r>
      <w:r>
        <w:rPr>
          <w:color w:val="231F20"/>
          <w:spacing w:val="12"/>
          <w:w w:val="95"/>
          <w:sz w:val="12"/>
        </w:rPr>
        <w:t xml:space="preserve"> </w:t>
      </w:r>
      <w:r>
        <w:rPr>
          <w:color w:val="231F20"/>
          <w:w w:val="95"/>
          <w:sz w:val="12"/>
        </w:rPr>
        <w:t>chocholíku</w:t>
      </w:r>
    </w:p>
    <w:p w14:paraId="68AAA50F" w14:textId="77777777" w:rsidR="00F65BCA" w:rsidRDefault="00000000">
      <w:pPr>
        <w:spacing w:before="38" w:line="242" w:lineRule="auto"/>
        <w:ind w:left="455" w:right="488"/>
        <w:rPr>
          <w:sz w:val="12"/>
        </w:rPr>
      </w:pPr>
      <w:r>
        <w:pict w14:anchorId="751EDA49">
          <v:shape id="_x0000_s2144" type="#_x0000_t202" style="position:absolute;left:0;text-align:left;margin-left:399.35pt;margin-top:5.2pt;width:10.05pt;height:7.2pt;z-index:251976704;mso-position-horizontal-relative:page" filled="f" stroked="f">
            <v:textbox inset="0,0,0,0">
              <w:txbxContent>
                <w:p w14:paraId="58AF1665" w14:textId="77777777" w:rsidR="00F65BCA" w:rsidRDefault="00216117">
                  <w:pPr>
                    <w:spacing w:before="4"/>
                    <w:rPr>
                      <w:b/>
                      <w:sz w:val="12"/>
                    </w:rPr>
                  </w:pPr>
                  <w:r>
                    <w:rPr>
                      <w:b/>
                      <w:color w:val="231F20"/>
                      <w:sz w:val="12"/>
                    </w:rPr>
                    <w:t>291</w:t>
                  </w:r>
                </w:p>
              </w:txbxContent>
            </v:textbox>
            <w10:wrap anchorx="page"/>
          </v:shape>
        </w:pict>
      </w:r>
      <w:r w:rsidR="00216117">
        <w:rPr>
          <w:color w:val="231F20"/>
          <w:sz w:val="12"/>
        </w:rPr>
        <w:t>pertrochanterická neúplná, úplná, léčená konzervativně</w:t>
      </w:r>
    </w:p>
    <w:p w14:paraId="758B3166" w14:textId="77777777" w:rsidR="00F65BCA" w:rsidRDefault="00000000">
      <w:pPr>
        <w:spacing w:before="9" w:line="174" w:lineRule="exact"/>
        <w:ind w:left="455" w:right="394" w:hanging="272"/>
        <w:rPr>
          <w:sz w:val="12"/>
        </w:rPr>
      </w:pPr>
      <w:r>
        <w:pict w14:anchorId="3BA92917">
          <v:shape id="_x0000_s2143" type="#_x0000_t202" style="position:absolute;left:0;text-align:left;margin-left:399.35pt;margin-top:13.75pt;width:10.05pt;height:7.2pt;z-index:-299252736;mso-position-horizontal-relative:page" filled="f" stroked="f">
            <v:textbox inset="0,0,0,0">
              <w:txbxContent>
                <w:p w14:paraId="6B8F37E2" w14:textId="77777777" w:rsidR="00F65BCA" w:rsidRDefault="00216117">
                  <w:pPr>
                    <w:spacing w:before="4"/>
                    <w:rPr>
                      <w:b/>
                      <w:sz w:val="12"/>
                    </w:rPr>
                  </w:pPr>
                  <w:r>
                    <w:rPr>
                      <w:b/>
                      <w:color w:val="231F20"/>
                      <w:sz w:val="12"/>
                    </w:rPr>
                    <w:t>293</w:t>
                  </w:r>
                </w:p>
              </w:txbxContent>
            </v:textbox>
            <w10:wrap anchorx="page"/>
          </v:shape>
        </w:pict>
      </w:r>
      <w:r w:rsidR="00216117">
        <w:rPr>
          <w:b/>
          <w:color w:val="231F20"/>
          <w:sz w:val="12"/>
        </w:rPr>
        <w:t xml:space="preserve">292 </w:t>
      </w:r>
      <w:r w:rsidR="00216117">
        <w:rPr>
          <w:color w:val="231F20"/>
          <w:sz w:val="12"/>
        </w:rPr>
        <w:t xml:space="preserve">pertrochanterická otevřená nebo </w:t>
      </w:r>
      <w:r w:rsidR="00216117">
        <w:rPr>
          <w:color w:val="231F20"/>
          <w:spacing w:val="-3"/>
          <w:sz w:val="12"/>
        </w:rPr>
        <w:t xml:space="preserve">operovaná </w:t>
      </w:r>
      <w:r w:rsidR="00216117">
        <w:rPr>
          <w:color w:val="231F20"/>
          <w:sz w:val="12"/>
        </w:rPr>
        <w:t>subtrochanterická neúplná, úplná,</w:t>
      </w:r>
    </w:p>
    <w:p w14:paraId="77F3070B" w14:textId="77777777" w:rsidR="00F65BCA" w:rsidRDefault="00216117">
      <w:pPr>
        <w:spacing w:line="130" w:lineRule="exact"/>
        <w:ind w:left="455"/>
        <w:rPr>
          <w:sz w:val="12"/>
        </w:rPr>
      </w:pPr>
      <w:r>
        <w:rPr>
          <w:color w:val="231F20"/>
          <w:sz w:val="12"/>
        </w:rPr>
        <w:t>léčená konzervativně</w:t>
      </w:r>
    </w:p>
    <w:p w14:paraId="41622DE7" w14:textId="77777777" w:rsidR="00F65BCA" w:rsidRDefault="00216117">
      <w:pPr>
        <w:spacing w:before="35"/>
        <w:ind w:left="183"/>
        <w:rPr>
          <w:sz w:val="12"/>
        </w:rPr>
      </w:pPr>
      <w:r>
        <w:rPr>
          <w:b/>
          <w:color w:val="231F20"/>
          <w:sz w:val="12"/>
        </w:rPr>
        <w:t xml:space="preserve">294 </w:t>
      </w:r>
      <w:r>
        <w:rPr>
          <w:color w:val="231F20"/>
          <w:sz w:val="12"/>
        </w:rPr>
        <w:t>subtrochanterická otevřená nebo operovaná</w:t>
      </w:r>
    </w:p>
    <w:p w14:paraId="6E87C8F6" w14:textId="77777777" w:rsidR="00F65BCA" w:rsidRDefault="00000000">
      <w:pPr>
        <w:spacing w:before="33" w:line="242" w:lineRule="auto"/>
        <w:ind w:left="455" w:right="249"/>
        <w:rPr>
          <w:sz w:val="12"/>
        </w:rPr>
      </w:pPr>
      <w:r>
        <w:pict w14:anchorId="639A39E2">
          <v:shape id="_x0000_s2142" type="#_x0000_t202" style="position:absolute;left:0;text-align:left;margin-left:399.35pt;margin-top:4.95pt;width:10.05pt;height:7.2pt;z-index:251978752;mso-position-horizontal-relative:page" filled="f" stroked="f">
            <v:textbox inset="0,0,0,0">
              <w:txbxContent>
                <w:p w14:paraId="284E5504" w14:textId="77777777" w:rsidR="00F65BCA" w:rsidRDefault="00216117">
                  <w:pPr>
                    <w:spacing w:before="4"/>
                    <w:rPr>
                      <w:b/>
                      <w:sz w:val="12"/>
                    </w:rPr>
                  </w:pPr>
                  <w:r>
                    <w:rPr>
                      <w:b/>
                      <w:color w:val="231F20"/>
                      <w:sz w:val="12"/>
                    </w:rPr>
                    <w:t>295</w:t>
                  </w:r>
                </w:p>
              </w:txbxContent>
            </v:textbox>
            <w10:wrap anchorx="page"/>
          </v:shape>
        </w:pict>
      </w:r>
      <w:r w:rsidR="00216117">
        <w:rPr>
          <w:color w:val="231F20"/>
          <w:w w:val="95"/>
          <w:sz w:val="12"/>
        </w:rPr>
        <w:t xml:space="preserve">Traumatická epifyseolysa hlavice kosti stehenní </w:t>
      </w:r>
      <w:r w:rsidR="00216117">
        <w:rPr>
          <w:color w:val="231F20"/>
          <w:sz w:val="12"/>
        </w:rPr>
        <w:t>bez posunu, s posunem</w:t>
      </w:r>
    </w:p>
    <w:p w14:paraId="6A358199" w14:textId="77777777" w:rsidR="00F65BCA" w:rsidRDefault="00000000">
      <w:pPr>
        <w:spacing w:before="33" w:line="242" w:lineRule="auto"/>
        <w:ind w:left="455" w:right="249"/>
        <w:rPr>
          <w:sz w:val="12"/>
        </w:rPr>
      </w:pPr>
      <w:r>
        <w:pict w14:anchorId="2EAB8DD6">
          <v:shape id="_x0000_s2141" type="#_x0000_t202" style="position:absolute;left:0;text-align:left;margin-left:399.35pt;margin-top:4.95pt;width:10.05pt;height:7.2pt;z-index:251979776;mso-position-horizontal-relative:page" filled="f" stroked="f">
            <v:textbox inset="0,0,0,0">
              <w:txbxContent>
                <w:p w14:paraId="5029B721" w14:textId="77777777" w:rsidR="00F65BCA" w:rsidRDefault="00216117">
                  <w:pPr>
                    <w:spacing w:before="4"/>
                    <w:rPr>
                      <w:b/>
                      <w:sz w:val="12"/>
                    </w:rPr>
                  </w:pPr>
                  <w:r>
                    <w:rPr>
                      <w:b/>
                      <w:color w:val="231F20"/>
                      <w:sz w:val="12"/>
                    </w:rPr>
                    <w:t>296</w:t>
                  </w:r>
                </w:p>
              </w:txbxContent>
            </v:textbox>
            <w10:wrap anchorx="page"/>
          </v:shape>
        </w:pict>
      </w:r>
      <w:r w:rsidR="00216117">
        <w:rPr>
          <w:color w:val="231F20"/>
          <w:w w:val="95"/>
          <w:sz w:val="12"/>
        </w:rPr>
        <w:t xml:space="preserve">Traumatická epifyseolysa hlavice kosti stehenní </w:t>
      </w:r>
      <w:r w:rsidR="00216117">
        <w:rPr>
          <w:color w:val="231F20"/>
          <w:sz w:val="12"/>
        </w:rPr>
        <w:t>s nekrosou</w:t>
      </w:r>
    </w:p>
    <w:p w14:paraId="21B9AAB8" w14:textId="77777777" w:rsidR="00F65BCA" w:rsidRDefault="00216117">
      <w:pPr>
        <w:spacing w:before="41"/>
        <w:ind w:left="455"/>
        <w:rPr>
          <w:b/>
          <w:sz w:val="12"/>
        </w:rPr>
      </w:pPr>
      <w:r>
        <w:rPr>
          <w:b/>
          <w:color w:val="231F20"/>
          <w:sz w:val="12"/>
        </w:rPr>
        <w:t>Zlomenina těla kosti stehenní</w:t>
      </w:r>
    </w:p>
    <w:p w14:paraId="6AD70A0A" w14:textId="77777777" w:rsidR="00F65BCA" w:rsidRDefault="00216117">
      <w:pPr>
        <w:pStyle w:val="Odstavecseseznamem"/>
        <w:numPr>
          <w:ilvl w:val="0"/>
          <w:numId w:val="56"/>
        </w:numPr>
        <w:tabs>
          <w:tab w:val="left" w:pos="456"/>
        </w:tabs>
        <w:spacing w:before="46"/>
        <w:ind w:hanging="273"/>
        <w:rPr>
          <w:sz w:val="12"/>
        </w:rPr>
      </w:pPr>
      <w:r>
        <w:rPr>
          <w:color w:val="231F20"/>
          <w:sz w:val="12"/>
        </w:rPr>
        <w:t>léčená</w:t>
      </w:r>
      <w:r>
        <w:rPr>
          <w:color w:val="231F20"/>
          <w:spacing w:val="-2"/>
          <w:sz w:val="12"/>
        </w:rPr>
        <w:t xml:space="preserve"> </w:t>
      </w:r>
      <w:r>
        <w:rPr>
          <w:color w:val="231F20"/>
          <w:sz w:val="12"/>
        </w:rPr>
        <w:t>konzervativně</w:t>
      </w:r>
    </w:p>
    <w:p w14:paraId="56A9207C" w14:textId="77777777" w:rsidR="00F65BCA" w:rsidRDefault="00216117">
      <w:pPr>
        <w:pStyle w:val="Odstavecseseznamem"/>
        <w:numPr>
          <w:ilvl w:val="0"/>
          <w:numId w:val="56"/>
        </w:numPr>
        <w:tabs>
          <w:tab w:val="left" w:pos="456"/>
        </w:tabs>
        <w:spacing w:before="44"/>
        <w:ind w:hanging="273"/>
        <w:rPr>
          <w:sz w:val="12"/>
        </w:rPr>
      </w:pPr>
      <w:r>
        <w:rPr>
          <w:color w:val="231F20"/>
          <w:sz w:val="12"/>
        </w:rPr>
        <w:t>otevřená nebo</w:t>
      </w:r>
      <w:r>
        <w:rPr>
          <w:color w:val="231F20"/>
          <w:spacing w:val="-3"/>
          <w:sz w:val="12"/>
        </w:rPr>
        <w:t xml:space="preserve"> </w:t>
      </w:r>
      <w:r>
        <w:rPr>
          <w:color w:val="231F20"/>
          <w:sz w:val="12"/>
        </w:rPr>
        <w:t>operovaná</w:t>
      </w:r>
    </w:p>
    <w:p w14:paraId="315022D1" w14:textId="77777777" w:rsidR="00F65BCA" w:rsidRDefault="00216117">
      <w:pPr>
        <w:spacing w:before="41" w:line="242" w:lineRule="auto"/>
        <w:ind w:left="455" w:right="297"/>
        <w:rPr>
          <w:b/>
          <w:sz w:val="12"/>
        </w:rPr>
      </w:pPr>
      <w:r>
        <w:rPr>
          <w:b/>
          <w:color w:val="231F20"/>
          <w:sz w:val="12"/>
        </w:rPr>
        <w:t>Zlomenina dolního konce kosti stehenní nad kondyly</w:t>
      </w:r>
    </w:p>
    <w:p w14:paraId="6A5489BC" w14:textId="77777777" w:rsidR="00F65BCA" w:rsidRDefault="00216117">
      <w:pPr>
        <w:pStyle w:val="Odstavecseseznamem"/>
        <w:numPr>
          <w:ilvl w:val="0"/>
          <w:numId w:val="56"/>
        </w:numPr>
        <w:tabs>
          <w:tab w:val="left" w:pos="456"/>
        </w:tabs>
        <w:spacing w:before="41"/>
        <w:ind w:hanging="273"/>
        <w:rPr>
          <w:sz w:val="12"/>
        </w:rPr>
      </w:pPr>
      <w:r>
        <w:rPr>
          <w:color w:val="231F20"/>
          <w:sz w:val="12"/>
        </w:rPr>
        <w:t>léčená</w:t>
      </w:r>
      <w:r>
        <w:rPr>
          <w:color w:val="231F20"/>
          <w:spacing w:val="-2"/>
          <w:sz w:val="12"/>
        </w:rPr>
        <w:t xml:space="preserve"> </w:t>
      </w:r>
      <w:r>
        <w:rPr>
          <w:color w:val="231F20"/>
          <w:sz w:val="12"/>
        </w:rPr>
        <w:t>konzervativně</w:t>
      </w:r>
    </w:p>
    <w:p w14:paraId="4834DB05" w14:textId="77777777" w:rsidR="00F65BCA" w:rsidRDefault="00216117">
      <w:pPr>
        <w:pStyle w:val="Odstavecseseznamem"/>
        <w:numPr>
          <w:ilvl w:val="0"/>
          <w:numId w:val="56"/>
        </w:numPr>
        <w:tabs>
          <w:tab w:val="left" w:pos="456"/>
        </w:tabs>
        <w:spacing w:before="43"/>
        <w:ind w:hanging="273"/>
        <w:rPr>
          <w:sz w:val="12"/>
        </w:rPr>
      </w:pPr>
      <w:r>
        <w:rPr>
          <w:color w:val="231F20"/>
          <w:sz w:val="12"/>
        </w:rPr>
        <w:t>otevřená nebo</w:t>
      </w:r>
      <w:r>
        <w:rPr>
          <w:color w:val="231F20"/>
          <w:spacing w:val="-3"/>
          <w:sz w:val="12"/>
        </w:rPr>
        <w:t xml:space="preserve"> </w:t>
      </w:r>
      <w:r>
        <w:rPr>
          <w:color w:val="231F20"/>
          <w:sz w:val="12"/>
        </w:rPr>
        <w:t>operovaná</w:t>
      </w:r>
    </w:p>
    <w:p w14:paraId="2EC333F9" w14:textId="77777777" w:rsidR="00F65BCA" w:rsidRDefault="00000000">
      <w:pPr>
        <w:spacing w:before="42" w:line="242" w:lineRule="auto"/>
        <w:ind w:left="455"/>
        <w:rPr>
          <w:sz w:val="12"/>
        </w:rPr>
      </w:pPr>
      <w:r>
        <w:pict w14:anchorId="066D1274">
          <v:shape id="_x0000_s2140" type="#_x0000_t202" style="position:absolute;left:0;text-align:left;margin-left:399.35pt;margin-top:5.4pt;width:10.05pt;height:7.2pt;z-index:251980800;mso-position-horizontal-relative:page" filled="f" stroked="f">
            <v:textbox inset="0,0,0,0">
              <w:txbxContent>
                <w:p w14:paraId="5B02C04A" w14:textId="77777777" w:rsidR="00F65BCA" w:rsidRDefault="00216117">
                  <w:pPr>
                    <w:spacing w:before="4"/>
                    <w:rPr>
                      <w:b/>
                      <w:sz w:val="12"/>
                    </w:rPr>
                  </w:pPr>
                  <w:r>
                    <w:rPr>
                      <w:b/>
                      <w:color w:val="231F20"/>
                      <w:sz w:val="12"/>
                    </w:rPr>
                    <w:t>301</w:t>
                  </w:r>
                </w:p>
              </w:txbxContent>
            </v:textbox>
            <w10:wrap anchorx="page"/>
          </v:shape>
        </w:pict>
      </w:r>
      <w:r w:rsidR="00216117">
        <w:rPr>
          <w:color w:val="231F20"/>
          <w:w w:val="95"/>
          <w:sz w:val="12"/>
        </w:rPr>
        <w:t xml:space="preserve">Traumatická epifyseolysa distálního konce kosti </w:t>
      </w:r>
      <w:r w:rsidR="00216117">
        <w:rPr>
          <w:color w:val="231F20"/>
          <w:sz w:val="12"/>
        </w:rPr>
        <w:t>stehenní</w:t>
      </w:r>
    </w:p>
    <w:p w14:paraId="11AD932E" w14:textId="77777777" w:rsidR="00F65BCA" w:rsidRDefault="00216117">
      <w:pPr>
        <w:spacing w:before="43" w:line="326" w:lineRule="auto"/>
        <w:ind w:left="455"/>
        <w:rPr>
          <w:b/>
          <w:sz w:val="12"/>
        </w:rPr>
      </w:pPr>
      <w:r>
        <w:rPr>
          <w:b/>
          <w:color w:val="231F20"/>
          <w:sz w:val="12"/>
        </w:rPr>
        <w:t>Nitrokloubní zlomeniny – kolenní kloub Zlomenina kosti stehenní</w:t>
      </w:r>
    </w:p>
    <w:p w14:paraId="4AF3F645" w14:textId="77777777" w:rsidR="00F65BCA" w:rsidRDefault="00216117">
      <w:pPr>
        <w:pStyle w:val="Odstavecseseznamem"/>
        <w:numPr>
          <w:ilvl w:val="0"/>
          <w:numId w:val="55"/>
        </w:numPr>
        <w:tabs>
          <w:tab w:val="left" w:pos="456"/>
        </w:tabs>
        <w:spacing w:line="134" w:lineRule="exact"/>
        <w:ind w:hanging="273"/>
        <w:rPr>
          <w:sz w:val="12"/>
        </w:rPr>
      </w:pPr>
      <w:r>
        <w:rPr>
          <w:color w:val="231F20"/>
          <w:sz w:val="12"/>
        </w:rPr>
        <w:t>kondylu</w:t>
      </w:r>
      <w:r>
        <w:rPr>
          <w:color w:val="231F20"/>
          <w:spacing w:val="-8"/>
          <w:sz w:val="12"/>
        </w:rPr>
        <w:t xml:space="preserve"> </w:t>
      </w:r>
      <w:r>
        <w:rPr>
          <w:color w:val="231F20"/>
          <w:sz w:val="12"/>
        </w:rPr>
        <w:t>kosti</w:t>
      </w:r>
      <w:r>
        <w:rPr>
          <w:color w:val="231F20"/>
          <w:spacing w:val="-8"/>
          <w:sz w:val="12"/>
        </w:rPr>
        <w:t xml:space="preserve"> </w:t>
      </w:r>
      <w:r>
        <w:rPr>
          <w:color w:val="231F20"/>
          <w:sz w:val="12"/>
        </w:rPr>
        <w:t>stehenní</w:t>
      </w:r>
      <w:r>
        <w:rPr>
          <w:color w:val="231F20"/>
          <w:spacing w:val="-7"/>
          <w:sz w:val="12"/>
        </w:rPr>
        <w:t xml:space="preserve"> </w:t>
      </w:r>
      <w:r>
        <w:rPr>
          <w:color w:val="231F20"/>
          <w:sz w:val="12"/>
        </w:rPr>
        <w:t>léčená</w:t>
      </w:r>
      <w:r>
        <w:rPr>
          <w:color w:val="231F20"/>
          <w:spacing w:val="-8"/>
          <w:sz w:val="12"/>
        </w:rPr>
        <w:t xml:space="preserve"> </w:t>
      </w:r>
      <w:r>
        <w:rPr>
          <w:color w:val="231F20"/>
          <w:sz w:val="12"/>
        </w:rPr>
        <w:t>konzervativně</w:t>
      </w:r>
    </w:p>
    <w:p w14:paraId="0C3B9581" w14:textId="77777777" w:rsidR="00F65BCA" w:rsidRDefault="00000000">
      <w:pPr>
        <w:pStyle w:val="Odstavecseseznamem"/>
        <w:numPr>
          <w:ilvl w:val="0"/>
          <w:numId w:val="55"/>
        </w:numPr>
        <w:tabs>
          <w:tab w:val="left" w:pos="456"/>
        </w:tabs>
        <w:spacing w:before="12" w:line="170" w:lineRule="atLeast"/>
        <w:ind w:right="177"/>
        <w:rPr>
          <w:sz w:val="12"/>
        </w:rPr>
      </w:pPr>
      <w:r>
        <w:pict w14:anchorId="2169991A">
          <v:shape id="_x0000_s2139" type="#_x0000_t202" style="position:absolute;left:0;text-align:left;margin-left:399.35pt;margin-top:14.3pt;width:10.05pt;height:7.2pt;z-index:-299248640;mso-position-horizontal-relative:page" filled="f" stroked="f">
            <v:textbox inset="0,0,0,0">
              <w:txbxContent>
                <w:p w14:paraId="3F51E4A3" w14:textId="77777777" w:rsidR="00F65BCA" w:rsidRDefault="00216117">
                  <w:pPr>
                    <w:spacing w:before="4"/>
                    <w:rPr>
                      <w:b/>
                      <w:sz w:val="12"/>
                    </w:rPr>
                  </w:pPr>
                  <w:r>
                    <w:rPr>
                      <w:b/>
                      <w:color w:val="231F20"/>
                      <w:sz w:val="12"/>
                    </w:rPr>
                    <w:t>304</w:t>
                  </w:r>
                </w:p>
              </w:txbxContent>
            </v:textbox>
            <w10:wrap anchorx="page"/>
          </v:shape>
        </w:pict>
      </w:r>
      <w:r w:rsidR="00216117">
        <w:rPr>
          <w:color w:val="231F20"/>
          <w:sz w:val="12"/>
        </w:rPr>
        <w:t>kondylu</w:t>
      </w:r>
      <w:r w:rsidR="00216117">
        <w:rPr>
          <w:color w:val="231F20"/>
          <w:spacing w:val="-15"/>
          <w:sz w:val="12"/>
        </w:rPr>
        <w:t xml:space="preserve"> </w:t>
      </w:r>
      <w:r w:rsidR="00216117">
        <w:rPr>
          <w:color w:val="231F20"/>
          <w:sz w:val="12"/>
        </w:rPr>
        <w:t>kosti</w:t>
      </w:r>
      <w:r w:rsidR="00216117">
        <w:rPr>
          <w:color w:val="231F20"/>
          <w:spacing w:val="-14"/>
          <w:sz w:val="12"/>
        </w:rPr>
        <w:t xml:space="preserve"> </w:t>
      </w:r>
      <w:r w:rsidR="00216117">
        <w:rPr>
          <w:color w:val="231F20"/>
          <w:sz w:val="12"/>
        </w:rPr>
        <w:t>stehenní</w:t>
      </w:r>
      <w:r w:rsidR="00216117">
        <w:rPr>
          <w:color w:val="231F20"/>
          <w:spacing w:val="-15"/>
          <w:sz w:val="12"/>
        </w:rPr>
        <w:t xml:space="preserve"> </w:t>
      </w:r>
      <w:r w:rsidR="00216117">
        <w:rPr>
          <w:color w:val="231F20"/>
          <w:sz w:val="12"/>
        </w:rPr>
        <w:t>otevřená</w:t>
      </w:r>
      <w:r w:rsidR="00216117">
        <w:rPr>
          <w:color w:val="231F20"/>
          <w:spacing w:val="-14"/>
          <w:sz w:val="12"/>
        </w:rPr>
        <w:t xml:space="preserve"> </w:t>
      </w:r>
      <w:r w:rsidR="00216117">
        <w:rPr>
          <w:color w:val="231F20"/>
          <w:sz w:val="12"/>
        </w:rPr>
        <w:t>nebo</w:t>
      </w:r>
      <w:r w:rsidR="00216117">
        <w:rPr>
          <w:color w:val="231F20"/>
          <w:spacing w:val="-15"/>
          <w:sz w:val="12"/>
        </w:rPr>
        <w:t xml:space="preserve"> </w:t>
      </w:r>
      <w:r w:rsidR="00216117">
        <w:rPr>
          <w:color w:val="231F20"/>
          <w:spacing w:val="-3"/>
          <w:sz w:val="12"/>
        </w:rPr>
        <w:t xml:space="preserve">operovaná </w:t>
      </w:r>
      <w:r w:rsidR="00216117">
        <w:rPr>
          <w:color w:val="231F20"/>
          <w:sz w:val="12"/>
        </w:rPr>
        <w:t>kloubní chrupavky nebo</w:t>
      </w:r>
      <w:r w:rsidR="00216117">
        <w:rPr>
          <w:color w:val="231F20"/>
          <w:spacing w:val="-14"/>
          <w:sz w:val="12"/>
        </w:rPr>
        <w:t xml:space="preserve"> </w:t>
      </w:r>
      <w:r w:rsidR="00216117">
        <w:rPr>
          <w:color w:val="231F20"/>
          <w:sz w:val="12"/>
        </w:rPr>
        <w:t>osteochondrální</w:t>
      </w:r>
    </w:p>
    <w:p w14:paraId="64E32092" w14:textId="77777777" w:rsidR="00F65BCA" w:rsidRDefault="00216117">
      <w:pPr>
        <w:spacing w:before="8"/>
        <w:ind w:left="455"/>
        <w:rPr>
          <w:sz w:val="12"/>
        </w:rPr>
      </w:pPr>
      <w:r>
        <w:rPr>
          <w:color w:val="231F20"/>
          <w:sz w:val="12"/>
        </w:rPr>
        <w:t>na kondylech kosti stehenní</w:t>
      </w:r>
    </w:p>
    <w:p w14:paraId="78656F68" w14:textId="77777777" w:rsidR="00F65BCA" w:rsidRDefault="00216117">
      <w:pPr>
        <w:spacing w:before="42"/>
        <w:ind w:left="455"/>
        <w:rPr>
          <w:b/>
          <w:sz w:val="12"/>
        </w:rPr>
      </w:pPr>
      <w:r>
        <w:rPr>
          <w:b/>
          <w:color w:val="231F20"/>
          <w:sz w:val="12"/>
        </w:rPr>
        <w:t>Zlomenina čéšky</w:t>
      </w:r>
    </w:p>
    <w:p w14:paraId="666FD7F9" w14:textId="77777777" w:rsidR="00F65BCA" w:rsidRDefault="00216117">
      <w:pPr>
        <w:pStyle w:val="Odstavecseseznamem"/>
        <w:numPr>
          <w:ilvl w:val="0"/>
          <w:numId w:val="54"/>
        </w:numPr>
        <w:tabs>
          <w:tab w:val="left" w:pos="456"/>
        </w:tabs>
        <w:spacing w:before="46"/>
        <w:ind w:hanging="273"/>
        <w:rPr>
          <w:sz w:val="12"/>
        </w:rPr>
      </w:pPr>
      <w:r>
        <w:rPr>
          <w:color w:val="231F20"/>
          <w:sz w:val="12"/>
        </w:rPr>
        <w:t>léčená</w:t>
      </w:r>
      <w:r>
        <w:rPr>
          <w:color w:val="231F20"/>
          <w:spacing w:val="-2"/>
          <w:sz w:val="12"/>
        </w:rPr>
        <w:t xml:space="preserve"> </w:t>
      </w:r>
      <w:r>
        <w:rPr>
          <w:color w:val="231F20"/>
          <w:sz w:val="12"/>
        </w:rPr>
        <w:t>konzervativně</w:t>
      </w:r>
    </w:p>
    <w:p w14:paraId="6BBD5A93" w14:textId="77777777" w:rsidR="00F65BCA" w:rsidRDefault="00216117">
      <w:pPr>
        <w:pStyle w:val="Odstavecseseznamem"/>
        <w:numPr>
          <w:ilvl w:val="0"/>
          <w:numId w:val="54"/>
        </w:numPr>
        <w:tabs>
          <w:tab w:val="left" w:pos="456"/>
        </w:tabs>
        <w:spacing w:before="44"/>
        <w:ind w:hanging="273"/>
        <w:rPr>
          <w:sz w:val="12"/>
        </w:rPr>
      </w:pPr>
      <w:r>
        <w:rPr>
          <w:color w:val="231F20"/>
          <w:sz w:val="12"/>
        </w:rPr>
        <w:t>otevřená nebo</w:t>
      </w:r>
      <w:r>
        <w:rPr>
          <w:color w:val="231F20"/>
          <w:spacing w:val="-3"/>
          <w:sz w:val="12"/>
        </w:rPr>
        <w:t xml:space="preserve"> </w:t>
      </w:r>
      <w:r>
        <w:rPr>
          <w:color w:val="231F20"/>
          <w:sz w:val="12"/>
        </w:rPr>
        <w:t>operovaná</w:t>
      </w:r>
    </w:p>
    <w:p w14:paraId="5A48A18D" w14:textId="77777777" w:rsidR="00F65BCA" w:rsidRDefault="00216117">
      <w:pPr>
        <w:pStyle w:val="Odstavecseseznamem"/>
        <w:numPr>
          <w:ilvl w:val="0"/>
          <w:numId w:val="54"/>
        </w:numPr>
        <w:tabs>
          <w:tab w:val="left" w:pos="456"/>
        </w:tabs>
        <w:spacing w:before="43"/>
        <w:ind w:hanging="273"/>
        <w:rPr>
          <w:sz w:val="12"/>
        </w:rPr>
      </w:pPr>
      <w:r>
        <w:rPr>
          <w:color w:val="231F20"/>
          <w:sz w:val="12"/>
        </w:rPr>
        <w:t>Zlomenina</w:t>
      </w:r>
      <w:r>
        <w:rPr>
          <w:color w:val="231F20"/>
          <w:spacing w:val="-21"/>
          <w:sz w:val="12"/>
        </w:rPr>
        <w:t xml:space="preserve"> </w:t>
      </w:r>
      <w:r>
        <w:rPr>
          <w:color w:val="231F20"/>
          <w:sz w:val="12"/>
        </w:rPr>
        <w:t>kloubní</w:t>
      </w:r>
      <w:r>
        <w:rPr>
          <w:color w:val="231F20"/>
          <w:spacing w:val="-20"/>
          <w:sz w:val="12"/>
        </w:rPr>
        <w:t xml:space="preserve"> </w:t>
      </w:r>
      <w:r>
        <w:rPr>
          <w:color w:val="231F20"/>
          <w:sz w:val="12"/>
        </w:rPr>
        <w:t>chrupavky</w:t>
      </w:r>
      <w:r>
        <w:rPr>
          <w:color w:val="231F20"/>
          <w:spacing w:val="-20"/>
          <w:sz w:val="12"/>
        </w:rPr>
        <w:t xml:space="preserve"> </w:t>
      </w:r>
      <w:r>
        <w:rPr>
          <w:color w:val="231F20"/>
          <w:sz w:val="12"/>
        </w:rPr>
        <w:t>nebo</w:t>
      </w:r>
      <w:r>
        <w:rPr>
          <w:color w:val="231F20"/>
          <w:spacing w:val="-20"/>
          <w:sz w:val="12"/>
        </w:rPr>
        <w:t xml:space="preserve"> </w:t>
      </w:r>
      <w:r>
        <w:rPr>
          <w:color w:val="231F20"/>
          <w:sz w:val="12"/>
        </w:rPr>
        <w:t>osteochondrální</w:t>
      </w:r>
    </w:p>
    <w:p w14:paraId="2F6A8AA5" w14:textId="77777777" w:rsidR="00F65BCA" w:rsidRDefault="00216117">
      <w:pPr>
        <w:spacing w:before="46"/>
        <w:ind w:left="455"/>
        <w:rPr>
          <w:b/>
          <w:sz w:val="12"/>
        </w:rPr>
      </w:pPr>
      <w:r>
        <w:rPr>
          <w:b/>
          <w:color w:val="231F20"/>
          <w:sz w:val="12"/>
        </w:rPr>
        <w:t>Zlomenina kosti holenní</w:t>
      </w:r>
    </w:p>
    <w:p w14:paraId="2555AF6A" w14:textId="77777777" w:rsidR="00F65BCA" w:rsidRDefault="00000000">
      <w:pPr>
        <w:spacing w:before="42" w:line="242" w:lineRule="auto"/>
        <w:ind w:left="455" w:right="458"/>
        <w:rPr>
          <w:sz w:val="12"/>
        </w:rPr>
      </w:pPr>
      <w:r>
        <w:pict w14:anchorId="6B232D52">
          <v:shape id="_x0000_s2138" type="#_x0000_t202" style="position:absolute;left:0;text-align:left;margin-left:399.35pt;margin-top:5.4pt;width:10.05pt;height:7.2pt;z-index:251982848;mso-position-horizontal-relative:page" filled="f" stroked="f">
            <v:textbox inset="0,0,0,0">
              <w:txbxContent>
                <w:p w14:paraId="45F51A17" w14:textId="77777777" w:rsidR="00F65BCA" w:rsidRDefault="00216117">
                  <w:pPr>
                    <w:spacing w:before="4"/>
                    <w:rPr>
                      <w:b/>
                      <w:sz w:val="12"/>
                    </w:rPr>
                  </w:pPr>
                  <w:r>
                    <w:rPr>
                      <w:b/>
                      <w:color w:val="231F20"/>
                      <w:sz w:val="12"/>
                    </w:rPr>
                    <w:t>308</w:t>
                  </w:r>
                </w:p>
              </w:txbxContent>
            </v:textbox>
            <w10:wrap anchorx="page"/>
          </v:shape>
        </w:pict>
      </w:r>
      <w:r w:rsidR="00216117">
        <w:rPr>
          <w:color w:val="231F20"/>
          <w:w w:val="95"/>
          <w:sz w:val="12"/>
        </w:rPr>
        <w:t xml:space="preserve">Zlomenina mezihrbolové vyvýšeniny léčená </w:t>
      </w:r>
      <w:r w:rsidR="00216117">
        <w:rPr>
          <w:color w:val="231F20"/>
          <w:sz w:val="12"/>
        </w:rPr>
        <w:t>konzervativně</w:t>
      </w:r>
    </w:p>
    <w:p w14:paraId="63373652" w14:textId="77777777" w:rsidR="00F65BCA" w:rsidRDefault="00216117">
      <w:pPr>
        <w:pStyle w:val="Odstavecseseznamem"/>
        <w:numPr>
          <w:ilvl w:val="0"/>
          <w:numId w:val="53"/>
        </w:numPr>
        <w:tabs>
          <w:tab w:val="left" w:pos="456"/>
        </w:tabs>
        <w:spacing w:before="35"/>
        <w:ind w:hanging="273"/>
        <w:rPr>
          <w:sz w:val="12"/>
        </w:rPr>
      </w:pPr>
      <w:r>
        <w:rPr>
          <w:color w:val="231F20"/>
          <w:sz w:val="12"/>
        </w:rPr>
        <w:t>Zlomenina</w:t>
      </w:r>
      <w:r>
        <w:rPr>
          <w:color w:val="231F20"/>
          <w:spacing w:val="-19"/>
          <w:sz w:val="12"/>
        </w:rPr>
        <w:t xml:space="preserve"> </w:t>
      </w:r>
      <w:r>
        <w:rPr>
          <w:color w:val="231F20"/>
          <w:sz w:val="12"/>
        </w:rPr>
        <w:t>mezihrbolové</w:t>
      </w:r>
      <w:r>
        <w:rPr>
          <w:color w:val="231F20"/>
          <w:spacing w:val="-19"/>
          <w:sz w:val="12"/>
        </w:rPr>
        <w:t xml:space="preserve"> </w:t>
      </w:r>
      <w:r>
        <w:rPr>
          <w:color w:val="231F20"/>
          <w:sz w:val="12"/>
        </w:rPr>
        <w:t>vyvýšeniny</w:t>
      </w:r>
      <w:r>
        <w:rPr>
          <w:color w:val="231F20"/>
          <w:spacing w:val="-19"/>
          <w:sz w:val="12"/>
        </w:rPr>
        <w:t xml:space="preserve"> </w:t>
      </w:r>
      <w:r>
        <w:rPr>
          <w:color w:val="231F20"/>
          <w:sz w:val="12"/>
        </w:rPr>
        <w:t>léčená</w:t>
      </w:r>
      <w:r>
        <w:rPr>
          <w:color w:val="231F20"/>
          <w:spacing w:val="-19"/>
          <w:sz w:val="12"/>
        </w:rPr>
        <w:t xml:space="preserve"> </w:t>
      </w:r>
      <w:r>
        <w:rPr>
          <w:color w:val="231F20"/>
          <w:sz w:val="12"/>
        </w:rPr>
        <w:t>operací</w:t>
      </w:r>
    </w:p>
    <w:p w14:paraId="582BC633" w14:textId="77777777" w:rsidR="00F65BCA" w:rsidRDefault="00216117">
      <w:pPr>
        <w:pStyle w:val="Odstavecseseznamem"/>
        <w:numPr>
          <w:ilvl w:val="0"/>
          <w:numId w:val="53"/>
        </w:numPr>
        <w:tabs>
          <w:tab w:val="left" w:pos="456"/>
        </w:tabs>
        <w:spacing w:before="46"/>
        <w:ind w:hanging="273"/>
        <w:rPr>
          <w:sz w:val="12"/>
        </w:rPr>
      </w:pPr>
      <w:r>
        <w:rPr>
          <w:color w:val="231F20"/>
          <w:position w:val="1"/>
          <w:sz w:val="12"/>
        </w:rPr>
        <w:t>jednoho kondylu léčená</w:t>
      </w:r>
      <w:r>
        <w:rPr>
          <w:color w:val="231F20"/>
          <w:spacing w:val="-10"/>
          <w:position w:val="1"/>
          <w:sz w:val="12"/>
        </w:rPr>
        <w:t xml:space="preserve"> </w:t>
      </w:r>
      <w:r>
        <w:rPr>
          <w:color w:val="231F20"/>
          <w:position w:val="1"/>
          <w:sz w:val="12"/>
        </w:rPr>
        <w:t>konzervativně</w:t>
      </w:r>
    </w:p>
    <w:p w14:paraId="225F6746" w14:textId="77777777" w:rsidR="00F65BCA" w:rsidRDefault="00216117">
      <w:pPr>
        <w:pStyle w:val="Odstavecseseznamem"/>
        <w:numPr>
          <w:ilvl w:val="0"/>
          <w:numId w:val="53"/>
        </w:numPr>
        <w:tabs>
          <w:tab w:val="left" w:pos="456"/>
        </w:tabs>
        <w:spacing w:before="19"/>
        <w:ind w:hanging="273"/>
        <w:rPr>
          <w:sz w:val="12"/>
        </w:rPr>
      </w:pPr>
      <w:r>
        <w:rPr>
          <w:color w:val="231F20"/>
          <w:sz w:val="12"/>
        </w:rPr>
        <w:t>jednoho kondylu léčená</w:t>
      </w:r>
      <w:r>
        <w:rPr>
          <w:color w:val="231F20"/>
          <w:spacing w:val="-6"/>
          <w:sz w:val="12"/>
        </w:rPr>
        <w:t xml:space="preserve"> </w:t>
      </w:r>
      <w:r>
        <w:rPr>
          <w:color w:val="231F20"/>
          <w:sz w:val="12"/>
        </w:rPr>
        <w:t>operací</w:t>
      </w:r>
    </w:p>
    <w:p w14:paraId="4109AC9D" w14:textId="77777777" w:rsidR="00F65BCA" w:rsidRDefault="00216117">
      <w:pPr>
        <w:pStyle w:val="Odstavecseseznamem"/>
        <w:numPr>
          <w:ilvl w:val="0"/>
          <w:numId w:val="53"/>
        </w:numPr>
        <w:tabs>
          <w:tab w:val="left" w:pos="456"/>
        </w:tabs>
        <w:spacing w:before="38"/>
        <w:ind w:hanging="273"/>
        <w:rPr>
          <w:sz w:val="12"/>
        </w:rPr>
      </w:pPr>
      <w:r>
        <w:rPr>
          <w:color w:val="231F20"/>
          <w:sz w:val="12"/>
        </w:rPr>
        <w:t>obou kondylů léčená</w:t>
      </w:r>
      <w:r>
        <w:rPr>
          <w:color w:val="231F20"/>
          <w:spacing w:val="-7"/>
          <w:sz w:val="12"/>
        </w:rPr>
        <w:t xml:space="preserve"> </w:t>
      </w:r>
      <w:r>
        <w:rPr>
          <w:color w:val="231F20"/>
          <w:sz w:val="12"/>
        </w:rPr>
        <w:t>konzervativně</w:t>
      </w:r>
    </w:p>
    <w:p w14:paraId="2B2FE81D" w14:textId="77777777" w:rsidR="00F65BCA" w:rsidRDefault="00216117">
      <w:pPr>
        <w:pStyle w:val="Odstavecseseznamem"/>
        <w:numPr>
          <w:ilvl w:val="0"/>
          <w:numId w:val="53"/>
        </w:numPr>
        <w:tabs>
          <w:tab w:val="left" w:pos="456"/>
        </w:tabs>
        <w:spacing w:before="38"/>
        <w:ind w:hanging="273"/>
        <w:rPr>
          <w:sz w:val="12"/>
        </w:rPr>
      </w:pPr>
      <w:r>
        <w:rPr>
          <w:color w:val="231F20"/>
          <w:sz w:val="12"/>
        </w:rPr>
        <w:t>obou kondylů léčená</w:t>
      </w:r>
      <w:r>
        <w:rPr>
          <w:color w:val="231F20"/>
          <w:spacing w:val="-4"/>
          <w:sz w:val="12"/>
        </w:rPr>
        <w:t xml:space="preserve"> </w:t>
      </w:r>
      <w:r>
        <w:rPr>
          <w:color w:val="231F20"/>
          <w:sz w:val="12"/>
        </w:rPr>
        <w:t>operací</w:t>
      </w:r>
    </w:p>
    <w:p w14:paraId="67E87BA5" w14:textId="77777777" w:rsidR="00F65BCA" w:rsidRDefault="00000000">
      <w:pPr>
        <w:spacing w:before="36" w:line="242" w:lineRule="auto"/>
        <w:ind w:left="455" w:right="225"/>
        <w:rPr>
          <w:sz w:val="12"/>
        </w:rPr>
      </w:pPr>
      <w:r>
        <w:pict w14:anchorId="3F8E8971">
          <v:shape id="_x0000_s2137" type="#_x0000_t202" style="position:absolute;left:0;text-align:left;margin-left:399.35pt;margin-top:5.1pt;width:10.05pt;height:7.2pt;z-index:251983872;mso-position-horizontal-relative:page" filled="f" stroked="f">
            <v:textbox inset="0,0,0,0">
              <w:txbxContent>
                <w:p w14:paraId="2205602F" w14:textId="77777777" w:rsidR="00F65BCA" w:rsidRDefault="00216117">
                  <w:pPr>
                    <w:spacing w:before="4"/>
                    <w:rPr>
                      <w:b/>
                      <w:sz w:val="12"/>
                    </w:rPr>
                  </w:pPr>
                  <w:r>
                    <w:rPr>
                      <w:b/>
                      <w:color w:val="231F20"/>
                      <w:sz w:val="12"/>
                    </w:rPr>
                    <w:t>314</w:t>
                  </w:r>
                </w:p>
              </w:txbxContent>
            </v:textbox>
            <w10:wrap anchorx="page"/>
          </v:shape>
        </w:pict>
      </w:r>
      <w:r w:rsidR="00216117">
        <w:rPr>
          <w:color w:val="231F20"/>
          <w:sz w:val="12"/>
        </w:rPr>
        <w:t>odlomení</w:t>
      </w:r>
      <w:r w:rsidR="00216117">
        <w:rPr>
          <w:color w:val="231F20"/>
          <w:spacing w:val="-17"/>
          <w:sz w:val="12"/>
        </w:rPr>
        <w:t xml:space="preserve"> </w:t>
      </w:r>
      <w:r w:rsidR="00216117">
        <w:rPr>
          <w:color w:val="231F20"/>
          <w:sz w:val="12"/>
        </w:rPr>
        <w:t>drsnatiny</w:t>
      </w:r>
      <w:r w:rsidR="00216117">
        <w:rPr>
          <w:color w:val="231F20"/>
          <w:spacing w:val="-16"/>
          <w:sz w:val="12"/>
        </w:rPr>
        <w:t xml:space="preserve"> </w:t>
      </w:r>
      <w:r w:rsidR="00216117">
        <w:rPr>
          <w:color w:val="231F20"/>
          <w:sz w:val="12"/>
        </w:rPr>
        <w:t>kosti</w:t>
      </w:r>
      <w:r w:rsidR="00216117">
        <w:rPr>
          <w:color w:val="231F20"/>
          <w:spacing w:val="-17"/>
          <w:sz w:val="12"/>
        </w:rPr>
        <w:t xml:space="preserve"> </w:t>
      </w:r>
      <w:r w:rsidR="00216117">
        <w:rPr>
          <w:color w:val="231F20"/>
          <w:sz w:val="12"/>
        </w:rPr>
        <w:t>holenní</w:t>
      </w:r>
      <w:r w:rsidR="00216117">
        <w:rPr>
          <w:color w:val="231F20"/>
          <w:spacing w:val="-16"/>
          <w:sz w:val="12"/>
        </w:rPr>
        <w:t xml:space="preserve"> </w:t>
      </w:r>
      <w:r w:rsidR="00216117">
        <w:rPr>
          <w:color w:val="231F20"/>
          <w:sz w:val="12"/>
        </w:rPr>
        <w:t>léčené</w:t>
      </w:r>
      <w:r w:rsidR="00216117">
        <w:rPr>
          <w:color w:val="231F20"/>
          <w:spacing w:val="-16"/>
          <w:sz w:val="12"/>
        </w:rPr>
        <w:t xml:space="preserve"> </w:t>
      </w:r>
      <w:r w:rsidR="00216117">
        <w:rPr>
          <w:color w:val="231F20"/>
          <w:spacing w:val="-4"/>
          <w:sz w:val="12"/>
        </w:rPr>
        <w:t xml:space="preserve">konzer- </w:t>
      </w:r>
      <w:r w:rsidR="00216117">
        <w:rPr>
          <w:color w:val="231F20"/>
          <w:sz w:val="12"/>
        </w:rPr>
        <w:t>vativně</w:t>
      </w:r>
    </w:p>
    <w:p w14:paraId="5CDC6459" w14:textId="77777777" w:rsidR="00F65BCA" w:rsidRDefault="00216117">
      <w:pPr>
        <w:pStyle w:val="Odstavecseseznamem"/>
        <w:numPr>
          <w:ilvl w:val="0"/>
          <w:numId w:val="52"/>
        </w:numPr>
        <w:tabs>
          <w:tab w:val="left" w:pos="456"/>
        </w:tabs>
        <w:spacing w:before="29"/>
        <w:ind w:hanging="273"/>
        <w:rPr>
          <w:sz w:val="12"/>
        </w:rPr>
      </w:pPr>
      <w:r>
        <w:rPr>
          <w:color w:val="231F20"/>
          <w:sz w:val="12"/>
        </w:rPr>
        <w:t>odlomení</w:t>
      </w:r>
      <w:r>
        <w:rPr>
          <w:color w:val="231F20"/>
          <w:spacing w:val="-22"/>
          <w:sz w:val="12"/>
        </w:rPr>
        <w:t xml:space="preserve"> </w:t>
      </w:r>
      <w:r>
        <w:rPr>
          <w:color w:val="231F20"/>
          <w:sz w:val="12"/>
        </w:rPr>
        <w:t>drsnatiny</w:t>
      </w:r>
      <w:r>
        <w:rPr>
          <w:color w:val="231F20"/>
          <w:spacing w:val="-21"/>
          <w:sz w:val="12"/>
        </w:rPr>
        <w:t xml:space="preserve"> </w:t>
      </w:r>
      <w:r>
        <w:rPr>
          <w:color w:val="231F20"/>
          <w:sz w:val="12"/>
        </w:rPr>
        <w:t>kosti</w:t>
      </w:r>
      <w:r>
        <w:rPr>
          <w:color w:val="231F20"/>
          <w:spacing w:val="-21"/>
          <w:sz w:val="12"/>
        </w:rPr>
        <w:t xml:space="preserve"> </w:t>
      </w:r>
      <w:r>
        <w:rPr>
          <w:color w:val="231F20"/>
          <w:sz w:val="12"/>
        </w:rPr>
        <w:t>holenní</w:t>
      </w:r>
      <w:r>
        <w:rPr>
          <w:color w:val="231F20"/>
          <w:spacing w:val="-21"/>
          <w:sz w:val="12"/>
        </w:rPr>
        <w:t xml:space="preserve"> </w:t>
      </w:r>
      <w:r>
        <w:rPr>
          <w:color w:val="231F20"/>
          <w:sz w:val="12"/>
        </w:rPr>
        <w:t>léčené</w:t>
      </w:r>
      <w:r>
        <w:rPr>
          <w:color w:val="231F20"/>
          <w:spacing w:val="-21"/>
          <w:sz w:val="12"/>
        </w:rPr>
        <w:t xml:space="preserve"> </w:t>
      </w:r>
      <w:r>
        <w:rPr>
          <w:color w:val="231F20"/>
          <w:sz w:val="12"/>
        </w:rPr>
        <w:t>operací</w:t>
      </w:r>
    </w:p>
    <w:p w14:paraId="0E028A65" w14:textId="77777777" w:rsidR="00F65BCA" w:rsidRDefault="00216117">
      <w:pPr>
        <w:spacing w:before="69" w:line="336" w:lineRule="auto"/>
        <w:ind w:left="455" w:right="1296"/>
        <w:rPr>
          <w:b/>
          <w:sz w:val="12"/>
        </w:rPr>
      </w:pPr>
      <w:r>
        <w:rPr>
          <w:b/>
          <w:color w:val="231F20"/>
          <w:sz w:val="12"/>
        </w:rPr>
        <w:t>Zlomeniny kostí bérce Zlomenina kosti lýtkové</w:t>
      </w:r>
    </w:p>
    <w:p w14:paraId="1283F2ED" w14:textId="77777777" w:rsidR="00F65BCA" w:rsidRDefault="00216117">
      <w:pPr>
        <w:pStyle w:val="Odstavecseseznamem"/>
        <w:numPr>
          <w:ilvl w:val="0"/>
          <w:numId w:val="52"/>
        </w:numPr>
        <w:tabs>
          <w:tab w:val="left" w:pos="456"/>
        </w:tabs>
        <w:spacing w:before="3"/>
        <w:ind w:hanging="273"/>
        <w:rPr>
          <w:sz w:val="12"/>
        </w:rPr>
      </w:pPr>
      <w:r>
        <w:rPr>
          <w:color w:val="231F20"/>
          <w:sz w:val="12"/>
        </w:rPr>
        <w:t>bez postižení hlezenného</w:t>
      </w:r>
      <w:r>
        <w:rPr>
          <w:color w:val="231F20"/>
          <w:spacing w:val="-7"/>
          <w:sz w:val="12"/>
        </w:rPr>
        <w:t xml:space="preserve"> </w:t>
      </w:r>
      <w:r>
        <w:rPr>
          <w:color w:val="231F20"/>
          <w:sz w:val="12"/>
        </w:rPr>
        <w:t>kloubu</w:t>
      </w:r>
    </w:p>
    <w:p w14:paraId="6B0B2458" w14:textId="77777777" w:rsidR="00F65BCA" w:rsidRDefault="00216117">
      <w:pPr>
        <w:pStyle w:val="Zkladntext"/>
        <w:rPr>
          <w:sz w:val="14"/>
        </w:rPr>
      </w:pPr>
      <w:r>
        <w:br w:type="column"/>
      </w:r>
    </w:p>
    <w:p w14:paraId="257E314B" w14:textId="77777777" w:rsidR="00F65BCA" w:rsidRDefault="00F65BCA">
      <w:pPr>
        <w:pStyle w:val="Zkladntext"/>
        <w:rPr>
          <w:sz w:val="14"/>
        </w:rPr>
      </w:pPr>
    </w:p>
    <w:p w14:paraId="7535BE51" w14:textId="77777777" w:rsidR="00F65BCA" w:rsidRDefault="00F65BCA">
      <w:pPr>
        <w:pStyle w:val="Zkladntext"/>
        <w:spacing w:before="4"/>
        <w:rPr>
          <w:sz w:val="19"/>
        </w:rPr>
      </w:pPr>
    </w:p>
    <w:p w14:paraId="29D332D9" w14:textId="77777777" w:rsidR="00F65BCA" w:rsidRDefault="00216117">
      <w:pPr>
        <w:ind w:left="195"/>
        <w:rPr>
          <w:sz w:val="12"/>
        </w:rPr>
      </w:pPr>
      <w:r>
        <w:rPr>
          <w:color w:val="231F20"/>
          <w:sz w:val="12"/>
        </w:rPr>
        <w:t>do</w:t>
      </w:r>
      <w:r>
        <w:rPr>
          <w:color w:val="231F20"/>
          <w:spacing w:val="2"/>
          <w:sz w:val="12"/>
        </w:rPr>
        <w:t xml:space="preserve"> </w:t>
      </w:r>
      <w:r>
        <w:rPr>
          <w:color w:val="231F20"/>
          <w:sz w:val="12"/>
        </w:rPr>
        <w:t>42</w:t>
      </w:r>
    </w:p>
    <w:p w14:paraId="26526768" w14:textId="77777777" w:rsidR="00F65BCA" w:rsidRDefault="00F65BCA">
      <w:pPr>
        <w:pStyle w:val="Zkladntext"/>
        <w:rPr>
          <w:sz w:val="14"/>
        </w:rPr>
      </w:pPr>
    </w:p>
    <w:p w14:paraId="4255B994" w14:textId="77777777" w:rsidR="00F65BCA" w:rsidRDefault="00216117">
      <w:pPr>
        <w:spacing w:before="98"/>
        <w:ind w:left="195"/>
        <w:rPr>
          <w:sz w:val="12"/>
        </w:rPr>
      </w:pPr>
      <w:r>
        <w:rPr>
          <w:color w:val="231F20"/>
          <w:sz w:val="12"/>
        </w:rPr>
        <w:t>do</w:t>
      </w:r>
      <w:r>
        <w:rPr>
          <w:color w:val="231F20"/>
          <w:spacing w:val="2"/>
          <w:sz w:val="12"/>
        </w:rPr>
        <w:t xml:space="preserve"> </w:t>
      </w:r>
      <w:r>
        <w:rPr>
          <w:color w:val="231F20"/>
          <w:sz w:val="12"/>
        </w:rPr>
        <w:t>56</w:t>
      </w:r>
    </w:p>
    <w:p w14:paraId="6DBD3077" w14:textId="77777777" w:rsidR="00F65BCA" w:rsidRDefault="00F65BCA">
      <w:pPr>
        <w:pStyle w:val="Zkladntext"/>
        <w:rPr>
          <w:sz w:val="14"/>
        </w:rPr>
      </w:pPr>
    </w:p>
    <w:p w14:paraId="0DF92CEF" w14:textId="77777777" w:rsidR="00F65BCA" w:rsidRDefault="00F65BCA">
      <w:pPr>
        <w:pStyle w:val="Zkladntext"/>
        <w:rPr>
          <w:sz w:val="12"/>
        </w:rPr>
      </w:pPr>
    </w:p>
    <w:p w14:paraId="2B3D8F4A" w14:textId="77777777" w:rsidR="00F65BCA" w:rsidRDefault="00216117">
      <w:pPr>
        <w:ind w:left="195"/>
        <w:rPr>
          <w:sz w:val="12"/>
        </w:rPr>
      </w:pPr>
      <w:r>
        <w:rPr>
          <w:color w:val="231F20"/>
          <w:sz w:val="12"/>
        </w:rPr>
        <w:t>do</w:t>
      </w:r>
      <w:r>
        <w:rPr>
          <w:color w:val="231F20"/>
          <w:spacing w:val="2"/>
          <w:sz w:val="12"/>
        </w:rPr>
        <w:t xml:space="preserve"> </w:t>
      </w:r>
      <w:r>
        <w:rPr>
          <w:color w:val="231F20"/>
          <w:sz w:val="12"/>
        </w:rPr>
        <w:t>49</w:t>
      </w:r>
    </w:p>
    <w:p w14:paraId="73AEC1C7" w14:textId="77777777" w:rsidR="00F65BCA" w:rsidRDefault="00216117">
      <w:pPr>
        <w:spacing w:before="49"/>
        <w:ind w:left="195"/>
        <w:rPr>
          <w:sz w:val="12"/>
        </w:rPr>
      </w:pPr>
      <w:r>
        <w:rPr>
          <w:color w:val="231F20"/>
          <w:sz w:val="12"/>
        </w:rPr>
        <w:t>do</w:t>
      </w:r>
      <w:r>
        <w:rPr>
          <w:color w:val="231F20"/>
          <w:spacing w:val="2"/>
          <w:sz w:val="12"/>
        </w:rPr>
        <w:t xml:space="preserve"> </w:t>
      </w:r>
      <w:r>
        <w:rPr>
          <w:color w:val="231F20"/>
          <w:sz w:val="12"/>
        </w:rPr>
        <w:t>49</w:t>
      </w:r>
    </w:p>
    <w:p w14:paraId="124CDC77" w14:textId="77777777" w:rsidR="00F65BCA" w:rsidRDefault="00216117">
      <w:pPr>
        <w:spacing w:before="49"/>
        <w:ind w:left="195"/>
        <w:rPr>
          <w:sz w:val="12"/>
        </w:rPr>
      </w:pPr>
      <w:r>
        <w:rPr>
          <w:color w:val="231F20"/>
          <w:sz w:val="12"/>
        </w:rPr>
        <w:t>do</w:t>
      </w:r>
      <w:r>
        <w:rPr>
          <w:color w:val="231F20"/>
          <w:spacing w:val="2"/>
          <w:sz w:val="12"/>
        </w:rPr>
        <w:t xml:space="preserve"> </w:t>
      </w:r>
      <w:r>
        <w:rPr>
          <w:color w:val="231F20"/>
          <w:sz w:val="12"/>
        </w:rPr>
        <w:t>35</w:t>
      </w:r>
    </w:p>
    <w:p w14:paraId="29B28DBC" w14:textId="77777777" w:rsidR="00F65BCA" w:rsidRDefault="00216117">
      <w:pPr>
        <w:spacing w:before="49"/>
        <w:ind w:left="195"/>
        <w:rPr>
          <w:sz w:val="12"/>
        </w:rPr>
      </w:pPr>
      <w:r>
        <w:rPr>
          <w:color w:val="231F20"/>
          <w:sz w:val="12"/>
        </w:rPr>
        <w:t>do</w:t>
      </w:r>
      <w:r>
        <w:rPr>
          <w:color w:val="231F20"/>
          <w:spacing w:val="2"/>
          <w:sz w:val="12"/>
        </w:rPr>
        <w:t xml:space="preserve"> </w:t>
      </w:r>
      <w:r>
        <w:rPr>
          <w:color w:val="231F20"/>
          <w:sz w:val="12"/>
        </w:rPr>
        <w:t>35</w:t>
      </w:r>
    </w:p>
    <w:p w14:paraId="41F42A3B" w14:textId="77777777" w:rsidR="00F65BCA" w:rsidRDefault="00216117">
      <w:pPr>
        <w:spacing w:before="49"/>
        <w:ind w:left="195"/>
        <w:rPr>
          <w:sz w:val="12"/>
        </w:rPr>
      </w:pPr>
      <w:r>
        <w:rPr>
          <w:color w:val="231F20"/>
          <w:sz w:val="12"/>
        </w:rPr>
        <w:t>do</w:t>
      </w:r>
      <w:r>
        <w:rPr>
          <w:color w:val="231F20"/>
          <w:spacing w:val="2"/>
          <w:sz w:val="12"/>
        </w:rPr>
        <w:t xml:space="preserve"> </w:t>
      </w:r>
      <w:r>
        <w:rPr>
          <w:color w:val="231F20"/>
          <w:sz w:val="12"/>
        </w:rPr>
        <w:t>35</w:t>
      </w:r>
    </w:p>
    <w:p w14:paraId="4F04F778" w14:textId="77777777" w:rsidR="00F65BCA" w:rsidRDefault="00216117">
      <w:pPr>
        <w:spacing w:before="114"/>
        <w:ind w:left="195"/>
        <w:rPr>
          <w:sz w:val="12"/>
        </w:rPr>
      </w:pPr>
      <w:r>
        <w:rPr>
          <w:color w:val="231F20"/>
          <w:sz w:val="12"/>
        </w:rPr>
        <w:t>do</w:t>
      </w:r>
      <w:r>
        <w:rPr>
          <w:color w:val="231F20"/>
          <w:spacing w:val="2"/>
          <w:sz w:val="12"/>
        </w:rPr>
        <w:t xml:space="preserve"> </w:t>
      </w:r>
      <w:r>
        <w:rPr>
          <w:color w:val="231F20"/>
          <w:sz w:val="12"/>
        </w:rPr>
        <w:t>21</w:t>
      </w:r>
    </w:p>
    <w:p w14:paraId="0C968EDD" w14:textId="77777777" w:rsidR="00F65BCA" w:rsidRDefault="00F65BCA">
      <w:pPr>
        <w:pStyle w:val="Zkladntext"/>
        <w:spacing w:before="7"/>
      </w:pPr>
    </w:p>
    <w:p w14:paraId="06F366B7" w14:textId="77777777" w:rsidR="00F65BCA" w:rsidRDefault="00216117">
      <w:pPr>
        <w:ind w:left="195"/>
        <w:rPr>
          <w:sz w:val="12"/>
        </w:rPr>
      </w:pPr>
      <w:r>
        <w:rPr>
          <w:color w:val="231F20"/>
          <w:sz w:val="12"/>
        </w:rPr>
        <w:t>do</w:t>
      </w:r>
      <w:r>
        <w:rPr>
          <w:color w:val="231F20"/>
          <w:spacing w:val="2"/>
          <w:sz w:val="12"/>
        </w:rPr>
        <w:t xml:space="preserve"> </w:t>
      </w:r>
      <w:r>
        <w:rPr>
          <w:color w:val="231F20"/>
          <w:sz w:val="12"/>
        </w:rPr>
        <w:t>28</w:t>
      </w:r>
    </w:p>
    <w:p w14:paraId="42B83753" w14:textId="77777777" w:rsidR="00F65BCA" w:rsidRDefault="00F65BCA">
      <w:pPr>
        <w:pStyle w:val="Zkladntext"/>
        <w:rPr>
          <w:sz w:val="14"/>
        </w:rPr>
      </w:pPr>
    </w:p>
    <w:p w14:paraId="302F3183" w14:textId="77777777" w:rsidR="00F65BCA" w:rsidRDefault="00F65BCA">
      <w:pPr>
        <w:pStyle w:val="Zkladntext"/>
        <w:spacing w:before="8"/>
        <w:rPr>
          <w:sz w:val="12"/>
        </w:rPr>
      </w:pPr>
    </w:p>
    <w:p w14:paraId="1D8B3793" w14:textId="77777777" w:rsidR="00F65BCA" w:rsidRDefault="00216117">
      <w:pPr>
        <w:ind w:left="195"/>
        <w:rPr>
          <w:sz w:val="12"/>
        </w:rPr>
      </w:pPr>
      <w:r>
        <w:rPr>
          <w:color w:val="231F20"/>
          <w:sz w:val="12"/>
        </w:rPr>
        <w:t>do</w:t>
      </w:r>
      <w:r>
        <w:rPr>
          <w:color w:val="231F20"/>
          <w:spacing w:val="2"/>
          <w:sz w:val="12"/>
        </w:rPr>
        <w:t xml:space="preserve"> </w:t>
      </w:r>
      <w:r>
        <w:rPr>
          <w:color w:val="231F20"/>
          <w:sz w:val="12"/>
        </w:rPr>
        <w:t>56</w:t>
      </w:r>
    </w:p>
    <w:p w14:paraId="00DFB2BC" w14:textId="77777777" w:rsidR="00F65BCA" w:rsidRDefault="00216117">
      <w:pPr>
        <w:spacing w:before="61"/>
        <w:ind w:left="195"/>
        <w:rPr>
          <w:sz w:val="12"/>
        </w:rPr>
      </w:pPr>
      <w:r>
        <w:rPr>
          <w:color w:val="231F20"/>
          <w:sz w:val="12"/>
        </w:rPr>
        <w:t>do</w:t>
      </w:r>
      <w:r>
        <w:rPr>
          <w:color w:val="231F20"/>
          <w:spacing w:val="2"/>
          <w:sz w:val="12"/>
        </w:rPr>
        <w:t xml:space="preserve"> </w:t>
      </w:r>
      <w:r>
        <w:rPr>
          <w:color w:val="231F20"/>
          <w:sz w:val="12"/>
        </w:rPr>
        <w:t>70</w:t>
      </w:r>
    </w:p>
    <w:p w14:paraId="20D88FD8" w14:textId="77777777" w:rsidR="00F65BCA" w:rsidRDefault="00216117">
      <w:pPr>
        <w:spacing w:before="60"/>
        <w:ind w:left="195"/>
        <w:rPr>
          <w:sz w:val="12"/>
        </w:rPr>
      </w:pPr>
      <w:r>
        <w:rPr>
          <w:color w:val="231F20"/>
          <w:sz w:val="12"/>
        </w:rPr>
        <w:t>do</w:t>
      </w:r>
      <w:r>
        <w:rPr>
          <w:color w:val="231F20"/>
          <w:spacing w:val="2"/>
          <w:sz w:val="12"/>
        </w:rPr>
        <w:t xml:space="preserve"> </w:t>
      </w:r>
      <w:r>
        <w:rPr>
          <w:color w:val="231F20"/>
          <w:sz w:val="12"/>
        </w:rPr>
        <w:t>84</w:t>
      </w:r>
    </w:p>
    <w:p w14:paraId="2F131821" w14:textId="77777777" w:rsidR="00F65BCA" w:rsidRDefault="00F65BCA">
      <w:pPr>
        <w:pStyle w:val="Zkladntext"/>
        <w:rPr>
          <w:sz w:val="14"/>
        </w:rPr>
      </w:pPr>
    </w:p>
    <w:p w14:paraId="0A9173FC" w14:textId="77777777" w:rsidR="00F65BCA" w:rsidRDefault="00F65BCA">
      <w:pPr>
        <w:pStyle w:val="Zkladntext"/>
        <w:rPr>
          <w:sz w:val="14"/>
        </w:rPr>
      </w:pPr>
    </w:p>
    <w:p w14:paraId="091B390B" w14:textId="77777777" w:rsidR="00F65BCA" w:rsidRDefault="00216117">
      <w:pPr>
        <w:spacing w:before="104"/>
        <w:ind w:left="195"/>
        <w:rPr>
          <w:sz w:val="12"/>
        </w:rPr>
      </w:pPr>
      <w:r>
        <w:rPr>
          <w:color w:val="231F20"/>
          <w:sz w:val="12"/>
        </w:rPr>
        <w:t>do</w:t>
      </w:r>
      <w:r>
        <w:rPr>
          <w:color w:val="231F20"/>
          <w:spacing w:val="2"/>
          <w:sz w:val="12"/>
        </w:rPr>
        <w:t xml:space="preserve"> </w:t>
      </w:r>
      <w:r>
        <w:rPr>
          <w:color w:val="231F20"/>
          <w:sz w:val="12"/>
        </w:rPr>
        <w:t>70</w:t>
      </w:r>
    </w:p>
    <w:p w14:paraId="74681673" w14:textId="77777777" w:rsidR="00F65BCA" w:rsidRDefault="00216117">
      <w:pPr>
        <w:spacing w:before="44"/>
        <w:ind w:left="195"/>
        <w:rPr>
          <w:sz w:val="12"/>
        </w:rPr>
      </w:pPr>
      <w:r>
        <w:rPr>
          <w:color w:val="231F20"/>
          <w:sz w:val="12"/>
        </w:rPr>
        <w:t>do</w:t>
      </w:r>
      <w:r>
        <w:rPr>
          <w:color w:val="231F20"/>
          <w:spacing w:val="2"/>
          <w:sz w:val="12"/>
        </w:rPr>
        <w:t xml:space="preserve"> </w:t>
      </w:r>
      <w:r>
        <w:rPr>
          <w:color w:val="231F20"/>
          <w:sz w:val="12"/>
        </w:rPr>
        <w:t>98</w:t>
      </w:r>
    </w:p>
    <w:p w14:paraId="58322BDB" w14:textId="77777777" w:rsidR="00F65BCA" w:rsidRDefault="00216117">
      <w:pPr>
        <w:spacing w:before="43"/>
        <w:ind w:left="195"/>
        <w:rPr>
          <w:sz w:val="12"/>
        </w:rPr>
      </w:pPr>
      <w:r>
        <w:rPr>
          <w:color w:val="231F20"/>
          <w:sz w:val="12"/>
        </w:rPr>
        <w:t>do</w:t>
      </w:r>
      <w:r>
        <w:rPr>
          <w:color w:val="231F20"/>
          <w:spacing w:val="2"/>
          <w:sz w:val="12"/>
        </w:rPr>
        <w:t xml:space="preserve"> </w:t>
      </w:r>
      <w:r>
        <w:rPr>
          <w:color w:val="231F20"/>
          <w:sz w:val="12"/>
        </w:rPr>
        <w:t>70</w:t>
      </w:r>
    </w:p>
    <w:p w14:paraId="17C94C59" w14:textId="77777777" w:rsidR="00F65BCA" w:rsidRDefault="00216117">
      <w:pPr>
        <w:spacing w:before="44"/>
        <w:ind w:left="195"/>
        <w:rPr>
          <w:sz w:val="12"/>
        </w:rPr>
      </w:pPr>
      <w:r>
        <w:rPr>
          <w:color w:val="231F20"/>
          <w:sz w:val="12"/>
        </w:rPr>
        <w:t>do</w:t>
      </w:r>
      <w:r>
        <w:rPr>
          <w:color w:val="231F20"/>
          <w:spacing w:val="2"/>
          <w:sz w:val="12"/>
        </w:rPr>
        <w:t xml:space="preserve"> </w:t>
      </w:r>
      <w:r>
        <w:rPr>
          <w:color w:val="231F20"/>
          <w:sz w:val="12"/>
        </w:rPr>
        <w:t>98</w:t>
      </w:r>
    </w:p>
    <w:p w14:paraId="2082B95E" w14:textId="77777777" w:rsidR="00F65BCA" w:rsidRDefault="00216117">
      <w:pPr>
        <w:spacing w:before="43"/>
        <w:ind w:left="195"/>
        <w:rPr>
          <w:sz w:val="12"/>
        </w:rPr>
      </w:pPr>
      <w:r>
        <w:rPr>
          <w:color w:val="231F20"/>
          <w:sz w:val="12"/>
        </w:rPr>
        <w:t>do</w:t>
      </w:r>
      <w:r>
        <w:rPr>
          <w:color w:val="231F20"/>
          <w:spacing w:val="2"/>
          <w:sz w:val="12"/>
        </w:rPr>
        <w:t xml:space="preserve"> </w:t>
      </w:r>
      <w:r>
        <w:rPr>
          <w:color w:val="231F20"/>
          <w:sz w:val="12"/>
        </w:rPr>
        <w:t>49</w:t>
      </w:r>
    </w:p>
    <w:p w14:paraId="520E061E" w14:textId="77777777" w:rsidR="00F65BCA" w:rsidRDefault="00216117">
      <w:pPr>
        <w:spacing w:before="38"/>
        <w:ind w:left="195"/>
        <w:rPr>
          <w:sz w:val="12"/>
        </w:rPr>
      </w:pPr>
      <w:r>
        <w:rPr>
          <w:color w:val="231F20"/>
          <w:sz w:val="12"/>
        </w:rPr>
        <w:t>do</w:t>
      </w:r>
      <w:r>
        <w:rPr>
          <w:color w:val="231F20"/>
          <w:spacing w:val="2"/>
          <w:sz w:val="12"/>
        </w:rPr>
        <w:t xml:space="preserve"> </w:t>
      </w:r>
      <w:r>
        <w:rPr>
          <w:color w:val="231F20"/>
          <w:sz w:val="12"/>
        </w:rPr>
        <w:t>77</w:t>
      </w:r>
    </w:p>
    <w:p w14:paraId="7F0D84DC" w14:textId="77777777" w:rsidR="00F65BCA" w:rsidRDefault="00216117">
      <w:pPr>
        <w:spacing w:before="103"/>
        <w:ind w:left="161"/>
        <w:rPr>
          <w:sz w:val="12"/>
        </w:rPr>
      </w:pPr>
      <w:r>
        <w:rPr>
          <w:color w:val="231F20"/>
          <w:sz w:val="12"/>
        </w:rPr>
        <w:t>do</w:t>
      </w:r>
      <w:r>
        <w:rPr>
          <w:color w:val="231F20"/>
          <w:spacing w:val="2"/>
          <w:sz w:val="12"/>
        </w:rPr>
        <w:t xml:space="preserve"> </w:t>
      </w:r>
      <w:r>
        <w:rPr>
          <w:color w:val="231F20"/>
          <w:sz w:val="12"/>
        </w:rPr>
        <w:t>112</w:t>
      </w:r>
    </w:p>
    <w:p w14:paraId="44AEF591" w14:textId="77777777" w:rsidR="00F65BCA" w:rsidRDefault="00F65BCA">
      <w:pPr>
        <w:pStyle w:val="Zkladntext"/>
        <w:spacing w:before="1"/>
      </w:pPr>
    </w:p>
    <w:p w14:paraId="070F8915" w14:textId="77777777" w:rsidR="00F65BCA" w:rsidRDefault="00216117">
      <w:pPr>
        <w:ind w:left="161"/>
        <w:rPr>
          <w:sz w:val="12"/>
        </w:rPr>
      </w:pPr>
      <w:r>
        <w:rPr>
          <w:color w:val="231F20"/>
          <w:sz w:val="12"/>
        </w:rPr>
        <w:t>do</w:t>
      </w:r>
      <w:r>
        <w:rPr>
          <w:color w:val="231F20"/>
          <w:spacing w:val="2"/>
          <w:sz w:val="12"/>
        </w:rPr>
        <w:t xml:space="preserve"> </w:t>
      </w:r>
      <w:r>
        <w:rPr>
          <w:color w:val="231F20"/>
          <w:sz w:val="12"/>
        </w:rPr>
        <w:t>126</w:t>
      </w:r>
    </w:p>
    <w:p w14:paraId="7A0A9017" w14:textId="77777777" w:rsidR="00F65BCA" w:rsidRDefault="00F65BCA">
      <w:pPr>
        <w:pStyle w:val="Zkladntext"/>
        <w:spacing w:before="1"/>
      </w:pPr>
    </w:p>
    <w:p w14:paraId="0246BBAB" w14:textId="77777777" w:rsidR="00F65BCA" w:rsidRDefault="00216117">
      <w:pPr>
        <w:spacing w:before="1"/>
        <w:ind w:left="195"/>
        <w:rPr>
          <w:sz w:val="12"/>
        </w:rPr>
      </w:pPr>
      <w:r>
        <w:rPr>
          <w:color w:val="231F20"/>
          <w:sz w:val="12"/>
        </w:rPr>
        <w:t>do</w:t>
      </w:r>
      <w:r>
        <w:rPr>
          <w:color w:val="231F20"/>
          <w:spacing w:val="2"/>
          <w:sz w:val="12"/>
        </w:rPr>
        <w:t xml:space="preserve"> </w:t>
      </w:r>
      <w:r>
        <w:rPr>
          <w:color w:val="231F20"/>
          <w:sz w:val="12"/>
        </w:rPr>
        <w:t>56</w:t>
      </w:r>
    </w:p>
    <w:p w14:paraId="6E9A4597" w14:textId="77777777" w:rsidR="00F65BCA" w:rsidRDefault="00F65BCA">
      <w:pPr>
        <w:pStyle w:val="Zkladntext"/>
        <w:spacing w:before="1"/>
      </w:pPr>
    </w:p>
    <w:p w14:paraId="2F6CB416" w14:textId="77777777" w:rsidR="00F65BCA" w:rsidRDefault="00216117">
      <w:pPr>
        <w:ind w:left="195"/>
        <w:rPr>
          <w:sz w:val="12"/>
        </w:rPr>
      </w:pPr>
      <w:r>
        <w:rPr>
          <w:color w:val="231F20"/>
          <w:sz w:val="12"/>
        </w:rPr>
        <w:t>do</w:t>
      </w:r>
      <w:r>
        <w:rPr>
          <w:color w:val="231F20"/>
          <w:spacing w:val="2"/>
          <w:sz w:val="12"/>
        </w:rPr>
        <w:t xml:space="preserve"> </w:t>
      </w:r>
      <w:r>
        <w:rPr>
          <w:color w:val="231F20"/>
          <w:sz w:val="12"/>
        </w:rPr>
        <w:t>70</w:t>
      </w:r>
    </w:p>
    <w:p w14:paraId="78456EB4" w14:textId="77777777" w:rsidR="00F65BCA" w:rsidRDefault="00216117">
      <w:pPr>
        <w:spacing w:before="109"/>
        <w:ind w:left="195"/>
        <w:rPr>
          <w:sz w:val="12"/>
        </w:rPr>
      </w:pPr>
      <w:r>
        <w:rPr>
          <w:color w:val="231F20"/>
          <w:sz w:val="12"/>
        </w:rPr>
        <w:t>do</w:t>
      </w:r>
      <w:r>
        <w:rPr>
          <w:color w:val="231F20"/>
          <w:spacing w:val="2"/>
          <w:sz w:val="12"/>
        </w:rPr>
        <w:t xml:space="preserve"> </w:t>
      </w:r>
      <w:r>
        <w:rPr>
          <w:color w:val="231F20"/>
          <w:sz w:val="12"/>
        </w:rPr>
        <w:t>49</w:t>
      </w:r>
    </w:p>
    <w:p w14:paraId="1AB4F0DF" w14:textId="77777777" w:rsidR="00F65BCA" w:rsidRDefault="00216117">
      <w:pPr>
        <w:spacing w:before="43"/>
        <w:ind w:left="195"/>
        <w:rPr>
          <w:sz w:val="12"/>
        </w:rPr>
      </w:pPr>
      <w:r>
        <w:rPr>
          <w:color w:val="231F20"/>
          <w:sz w:val="12"/>
        </w:rPr>
        <w:t>do</w:t>
      </w:r>
      <w:r>
        <w:rPr>
          <w:color w:val="231F20"/>
          <w:spacing w:val="2"/>
          <w:sz w:val="12"/>
        </w:rPr>
        <w:t xml:space="preserve"> </w:t>
      </w:r>
      <w:r>
        <w:rPr>
          <w:color w:val="231F20"/>
          <w:sz w:val="12"/>
        </w:rPr>
        <w:t>35</w:t>
      </w:r>
    </w:p>
    <w:p w14:paraId="2A8949B2" w14:textId="77777777" w:rsidR="00F65BCA" w:rsidRDefault="00F65BCA">
      <w:pPr>
        <w:pStyle w:val="Zkladntext"/>
        <w:rPr>
          <w:sz w:val="14"/>
        </w:rPr>
      </w:pPr>
    </w:p>
    <w:p w14:paraId="6FDCEB5B" w14:textId="77777777" w:rsidR="00F65BCA" w:rsidRDefault="00F65BCA">
      <w:pPr>
        <w:pStyle w:val="Zkladntext"/>
        <w:rPr>
          <w:sz w:val="14"/>
        </w:rPr>
      </w:pPr>
    </w:p>
    <w:p w14:paraId="093DFD05" w14:textId="77777777" w:rsidR="00F65BCA" w:rsidRDefault="00216117">
      <w:pPr>
        <w:spacing w:before="93"/>
        <w:ind w:left="161"/>
        <w:rPr>
          <w:sz w:val="12"/>
        </w:rPr>
      </w:pPr>
      <w:r>
        <w:rPr>
          <w:color w:val="231F20"/>
          <w:sz w:val="12"/>
        </w:rPr>
        <w:t>do</w:t>
      </w:r>
      <w:r>
        <w:rPr>
          <w:color w:val="231F20"/>
          <w:spacing w:val="2"/>
          <w:sz w:val="12"/>
        </w:rPr>
        <w:t xml:space="preserve"> </w:t>
      </w:r>
      <w:r>
        <w:rPr>
          <w:color w:val="231F20"/>
          <w:sz w:val="12"/>
        </w:rPr>
        <w:t>315</w:t>
      </w:r>
    </w:p>
    <w:p w14:paraId="2A205F24" w14:textId="77777777" w:rsidR="00F65BCA" w:rsidRDefault="00216117">
      <w:pPr>
        <w:spacing w:before="38"/>
        <w:ind w:left="161"/>
        <w:rPr>
          <w:sz w:val="12"/>
        </w:rPr>
      </w:pPr>
      <w:r>
        <w:rPr>
          <w:color w:val="231F20"/>
          <w:sz w:val="12"/>
        </w:rPr>
        <w:t>do</w:t>
      </w:r>
      <w:r>
        <w:rPr>
          <w:color w:val="231F20"/>
          <w:spacing w:val="2"/>
          <w:sz w:val="12"/>
        </w:rPr>
        <w:t xml:space="preserve"> </w:t>
      </w:r>
      <w:r>
        <w:rPr>
          <w:color w:val="231F20"/>
          <w:sz w:val="12"/>
        </w:rPr>
        <w:t>182</w:t>
      </w:r>
    </w:p>
    <w:p w14:paraId="36EEB601" w14:textId="77777777" w:rsidR="00F65BCA" w:rsidRDefault="00216117">
      <w:pPr>
        <w:spacing w:before="37"/>
        <w:ind w:left="161"/>
        <w:rPr>
          <w:sz w:val="12"/>
        </w:rPr>
      </w:pPr>
      <w:r>
        <w:rPr>
          <w:color w:val="231F20"/>
          <w:sz w:val="12"/>
        </w:rPr>
        <w:t>do</w:t>
      </w:r>
      <w:r>
        <w:rPr>
          <w:color w:val="231F20"/>
          <w:spacing w:val="2"/>
          <w:sz w:val="12"/>
        </w:rPr>
        <w:t xml:space="preserve"> </w:t>
      </w:r>
      <w:r>
        <w:rPr>
          <w:color w:val="231F20"/>
          <w:sz w:val="12"/>
        </w:rPr>
        <w:t>365</w:t>
      </w:r>
    </w:p>
    <w:p w14:paraId="7EC91A9A" w14:textId="77777777" w:rsidR="00F65BCA" w:rsidRDefault="00216117">
      <w:pPr>
        <w:spacing w:before="38"/>
        <w:ind w:left="195"/>
        <w:rPr>
          <w:sz w:val="12"/>
        </w:rPr>
      </w:pPr>
      <w:r>
        <w:rPr>
          <w:color w:val="231F20"/>
          <w:sz w:val="12"/>
        </w:rPr>
        <w:t>do</w:t>
      </w:r>
      <w:r>
        <w:rPr>
          <w:color w:val="231F20"/>
          <w:spacing w:val="2"/>
          <w:sz w:val="12"/>
        </w:rPr>
        <w:t xml:space="preserve"> </w:t>
      </w:r>
      <w:r>
        <w:rPr>
          <w:color w:val="231F20"/>
          <w:sz w:val="12"/>
        </w:rPr>
        <w:t>56</w:t>
      </w:r>
    </w:p>
    <w:p w14:paraId="040E88C6" w14:textId="77777777" w:rsidR="00F65BCA" w:rsidRDefault="00216117">
      <w:pPr>
        <w:spacing w:before="38"/>
        <w:ind w:left="195"/>
        <w:rPr>
          <w:sz w:val="12"/>
        </w:rPr>
      </w:pPr>
      <w:r>
        <w:rPr>
          <w:color w:val="231F20"/>
          <w:sz w:val="12"/>
        </w:rPr>
        <w:t>do</w:t>
      </w:r>
      <w:r>
        <w:rPr>
          <w:color w:val="231F20"/>
          <w:spacing w:val="2"/>
          <w:sz w:val="12"/>
        </w:rPr>
        <w:t xml:space="preserve"> </w:t>
      </w:r>
      <w:r>
        <w:rPr>
          <w:color w:val="231F20"/>
          <w:sz w:val="12"/>
        </w:rPr>
        <w:t>84</w:t>
      </w:r>
    </w:p>
    <w:p w14:paraId="3CA1CD1A" w14:textId="77777777" w:rsidR="00F65BCA" w:rsidRDefault="00216117">
      <w:pPr>
        <w:spacing w:before="108"/>
        <w:ind w:left="161"/>
        <w:rPr>
          <w:sz w:val="12"/>
        </w:rPr>
      </w:pPr>
      <w:r>
        <w:rPr>
          <w:color w:val="231F20"/>
          <w:sz w:val="12"/>
        </w:rPr>
        <w:t>do</w:t>
      </w:r>
      <w:r>
        <w:rPr>
          <w:color w:val="231F20"/>
          <w:spacing w:val="2"/>
          <w:sz w:val="12"/>
        </w:rPr>
        <w:t xml:space="preserve"> </w:t>
      </w:r>
      <w:r>
        <w:rPr>
          <w:color w:val="231F20"/>
          <w:sz w:val="12"/>
        </w:rPr>
        <w:t>140</w:t>
      </w:r>
    </w:p>
    <w:p w14:paraId="264628A0" w14:textId="77777777" w:rsidR="00F65BCA" w:rsidRDefault="00216117">
      <w:pPr>
        <w:spacing w:before="106"/>
        <w:ind w:left="161"/>
        <w:rPr>
          <w:sz w:val="12"/>
        </w:rPr>
      </w:pPr>
      <w:r>
        <w:rPr>
          <w:color w:val="231F20"/>
          <w:sz w:val="12"/>
        </w:rPr>
        <w:t>do</w:t>
      </w:r>
      <w:r>
        <w:rPr>
          <w:color w:val="231F20"/>
          <w:spacing w:val="2"/>
          <w:sz w:val="12"/>
        </w:rPr>
        <w:t xml:space="preserve"> </w:t>
      </w:r>
      <w:r>
        <w:rPr>
          <w:color w:val="231F20"/>
          <w:sz w:val="12"/>
        </w:rPr>
        <w:t>182</w:t>
      </w:r>
    </w:p>
    <w:p w14:paraId="6C915538" w14:textId="77777777" w:rsidR="00F65BCA" w:rsidRDefault="00216117">
      <w:pPr>
        <w:spacing w:before="106"/>
        <w:ind w:left="161"/>
        <w:rPr>
          <w:sz w:val="12"/>
        </w:rPr>
      </w:pPr>
      <w:r>
        <w:rPr>
          <w:color w:val="231F20"/>
          <w:sz w:val="12"/>
        </w:rPr>
        <w:t>do</w:t>
      </w:r>
      <w:r>
        <w:rPr>
          <w:color w:val="231F20"/>
          <w:spacing w:val="2"/>
          <w:sz w:val="12"/>
        </w:rPr>
        <w:t xml:space="preserve"> </w:t>
      </w:r>
      <w:r>
        <w:rPr>
          <w:color w:val="231F20"/>
          <w:sz w:val="12"/>
        </w:rPr>
        <w:t>210</w:t>
      </w:r>
    </w:p>
    <w:p w14:paraId="1E7F300B" w14:textId="77777777" w:rsidR="00F65BCA" w:rsidRDefault="00216117">
      <w:pPr>
        <w:spacing w:before="106"/>
        <w:ind w:left="161"/>
        <w:rPr>
          <w:sz w:val="12"/>
        </w:rPr>
      </w:pPr>
      <w:r>
        <w:rPr>
          <w:color w:val="231F20"/>
          <w:sz w:val="12"/>
        </w:rPr>
        <w:t>do</w:t>
      </w:r>
      <w:r>
        <w:rPr>
          <w:color w:val="231F20"/>
          <w:spacing w:val="2"/>
          <w:sz w:val="12"/>
        </w:rPr>
        <w:t xml:space="preserve"> </w:t>
      </w:r>
      <w:r>
        <w:rPr>
          <w:color w:val="231F20"/>
          <w:sz w:val="12"/>
        </w:rPr>
        <w:t>252</w:t>
      </w:r>
    </w:p>
    <w:p w14:paraId="1062E2A7" w14:textId="77777777" w:rsidR="00F65BCA" w:rsidRDefault="00216117">
      <w:pPr>
        <w:spacing w:before="103"/>
        <w:ind w:left="161"/>
        <w:rPr>
          <w:sz w:val="12"/>
        </w:rPr>
      </w:pPr>
      <w:r>
        <w:rPr>
          <w:color w:val="231F20"/>
          <w:sz w:val="12"/>
        </w:rPr>
        <w:t>do</w:t>
      </w:r>
      <w:r>
        <w:rPr>
          <w:color w:val="231F20"/>
          <w:spacing w:val="2"/>
          <w:sz w:val="12"/>
        </w:rPr>
        <w:t xml:space="preserve"> </w:t>
      </w:r>
      <w:r>
        <w:rPr>
          <w:color w:val="231F20"/>
          <w:sz w:val="12"/>
        </w:rPr>
        <w:t>182</w:t>
      </w:r>
    </w:p>
    <w:p w14:paraId="3C9DCD2D" w14:textId="77777777" w:rsidR="00F65BCA" w:rsidRDefault="00F65BCA">
      <w:pPr>
        <w:pStyle w:val="Zkladntext"/>
        <w:spacing w:before="1"/>
      </w:pPr>
    </w:p>
    <w:p w14:paraId="0CD50D25" w14:textId="77777777" w:rsidR="00F65BCA" w:rsidRDefault="00216117">
      <w:pPr>
        <w:ind w:left="161"/>
        <w:rPr>
          <w:sz w:val="12"/>
        </w:rPr>
      </w:pPr>
      <w:r>
        <w:rPr>
          <w:color w:val="231F20"/>
          <w:sz w:val="12"/>
        </w:rPr>
        <w:t>do</w:t>
      </w:r>
      <w:r>
        <w:rPr>
          <w:color w:val="231F20"/>
          <w:spacing w:val="2"/>
          <w:sz w:val="12"/>
        </w:rPr>
        <w:t xml:space="preserve"> </w:t>
      </w:r>
      <w:r>
        <w:rPr>
          <w:color w:val="231F20"/>
          <w:sz w:val="12"/>
        </w:rPr>
        <w:t>252</w:t>
      </w:r>
    </w:p>
    <w:p w14:paraId="6465F717" w14:textId="77777777" w:rsidR="00F65BCA" w:rsidRDefault="00F65BCA">
      <w:pPr>
        <w:pStyle w:val="Zkladntext"/>
        <w:rPr>
          <w:sz w:val="14"/>
        </w:rPr>
      </w:pPr>
    </w:p>
    <w:p w14:paraId="36C52577" w14:textId="77777777" w:rsidR="00F65BCA" w:rsidRDefault="00F65BCA">
      <w:pPr>
        <w:pStyle w:val="Zkladntext"/>
        <w:spacing w:before="8"/>
        <w:rPr>
          <w:sz w:val="11"/>
        </w:rPr>
      </w:pPr>
    </w:p>
    <w:p w14:paraId="443B2697" w14:textId="77777777" w:rsidR="00F65BCA" w:rsidRDefault="00216117">
      <w:pPr>
        <w:ind w:left="161"/>
        <w:rPr>
          <w:sz w:val="12"/>
        </w:rPr>
      </w:pPr>
      <w:r>
        <w:rPr>
          <w:color w:val="231F20"/>
          <w:sz w:val="12"/>
        </w:rPr>
        <w:t>do</w:t>
      </w:r>
      <w:r>
        <w:rPr>
          <w:color w:val="231F20"/>
          <w:spacing w:val="2"/>
          <w:sz w:val="12"/>
        </w:rPr>
        <w:t xml:space="preserve"> </w:t>
      </w:r>
      <w:r>
        <w:rPr>
          <w:color w:val="231F20"/>
          <w:sz w:val="12"/>
        </w:rPr>
        <w:t>210</w:t>
      </w:r>
    </w:p>
    <w:p w14:paraId="2C4438F6" w14:textId="77777777" w:rsidR="00F65BCA" w:rsidRDefault="00216117">
      <w:pPr>
        <w:spacing w:before="44"/>
        <w:ind w:left="161"/>
        <w:rPr>
          <w:sz w:val="12"/>
        </w:rPr>
      </w:pPr>
      <w:r>
        <w:rPr>
          <w:color w:val="231F20"/>
          <w:sz w:val="12"/>
        </w:rPr>
        <w:t>do</w:t>
      </w:r>
      <w:r>
        <w:rPr>
          <w:color w:val="231F20"/>
          <w:spacing w:val="2"/>
          <w:sz w:val="12"/>
        </w:rPr>
        <w:t xml:space="preserve"> </w:t>
      </w:r>
      <w:r>
        <w:rPr>
          <w:color w:val="231F20"/>
          <w:sz w:val="12"/>
        </w:rPr>
        <w:t>252</w:t>
      </w:r>
    </w:p>
    <w:p w14:paraId="504A017E" w14:textId="77777777" w:rsidR="00F65BCA" w:rsidRDefault="00F65BCA">
      <w:pPr>
        <w:pStyle w:val="Zkladntext"/>
        <w:rPr>
          <w:sz w:val="14"/>
        </w:rPr>
      </w:pPr>
    </w:p>
    <w:p w14:paraId="42282D98" w14:textId="77777777" w:rsidR="00F65BCA" w:rsidRDefault="00F65BCA">
      <w:pPr>
        <w:pStyle w:val="Zkladntext"/>
        <w:spacing w:before="4"/>
        <w:rPr>
          <w:sz w:val="17"/>
        </w:rPr>
      </w:pPr>
    </w:p>
    <w:p w14:paraId="1A69EC80" w14:textId="77777777" w:rsidR="00F65BCA" w:rsidRDefault="00216117">
      <w:pPr>
        <w:ind w:left="161"/>
        <w:rPr>
          <w:sz w:val="12"/>
        </w:rPr>
      </w:pPr>
      <w:r>
        <w:rPr>
          <w:color w:val="231F20"/>
          <w:sz w:val="12"/>
        </w:rPr>
        <w:t>do</w:t>
      </w:r>
      <w:r>
        <w:rPr>
          <w:color w:val="231F20"/>
          <w:spacing w:val="2"/>
          <w:sz w:val="12"/>
        </w:rPr>
        <w:t xml:space="preserve"> </w:t>
      </w:r>
      <w:r>
        <w:rPr>
          <w:color w:val="231F20"/>
          <w:sz w:val="12"/>
        </w:rPr>
        <w:t>140</w:t>
      </w:r>
    </w:p>
    <w:p w14:paraId="6CA29A87" w14:textId="77777777" w:rsidR="00F65BCA" w:rsidRDefault="00216117">
      <w:pPr>
        <w:spacing w:before="44"/>
        <w:ind w:left="161"/>
        <w:rPr>
          <w:sz w:val="12"/>
        </w:rPr>
      </w:pPr>
      <w:r>
        <w:rPr>
          <w:color w:val="231F20"/>
          <w:sz w:val="12"/>
        </w:rPr>
        <w:t>do</w:t>
      </w:r>
      <w:r>
        <w:rPr>
          <w:color w:val="231F20"/>
          <w:spacing w:val="2"/>
          <w:sz w:val="12"/>
        </w:rPr>
        <w:t xml:space="preserve"> </w:t>
      </w:r>
      <w:r>
        <w:rPr>
          <w:color w:val="231F20"/>
          <w:sz w:val="12"/>
        </w:rPr>
        <w:t>252</w:t>
      </w:r>
    </w:p>
    <w:p w14:paraId="350F1771" w14:textId="77777777" w:rsidR="00F65BCA" w:rsidRDefault="00216117">
      <w:pPr>
        <w:spacing w:before="111"/>
        <w:ind w:left="161"/>
        <w:rPr>
          <w:sz w:val="12"/>
        </w:rPr>
      </w:pPr>
      <w:r>
        <w:rPr>
          <w:color w:val="231F20"/>
          <w:sz w:val="12"/>
        </w:rPr>
        <w:t>do</w:t>
      </w:r>
      <w:r>
        <w:rPr>
          <w:color w:val="231F20"/>
          <w:spacing w:val="2"/>
          <w:sz w:val="12"/>
        </w:rPr>
        <w:t xml:space="preserve"> </w:t>
      </w:r>
      <w:r>
        <w:rPr>
          <w:color w:val="231F20"/>
          <w:sz w:val="12"/>
        </w:rPr>
        <w:t>210</w:t>
      </w:r>
    </w:p>
    <w:p w14:paraId="1F032132" w14:textId="77777777" w:rsidR="00F65BCA" w:rsidRDefault="00F65BCA">
      <w:pPr>
        <w:pStyle w:val="Zkladntext"/>
        <w:rPr>
          <w:sz w:val="14"/>
        </w:rPr>
      </w:pPr>
    </w:p>
    <w:p w14:paraId="561D3828" w14:textId="77777777" w:rsidR="00F65BCA" w:rsidRDefault="00F65BCA">
      <w:pPr>
        <w:pStyle w:val="Zkladntext"/>
        <w:rPr>
          <w:sz w:val="14"/>
        </w:rPr>
      </w:pPr>
    </w:p>
    <w:p w14:paraId="3A002AD4" w14:textId="77777777" w:rsidR="00F65BCA" w:rsidRDefault="00F65BCA">
      <w:pPr>
        <w:pStyle w:val="Zkladntext"/>
        <w:spacing w:before="3"/>
        <w:rPr>
          <w:sz w:val="14"/>
        </w:rPr>
      </w:pPr>
    </w:p>
    <w:p w14:paraId="3377C7C1" w14:textId="77777777" w:rsidR="00F65BCA" w:rsidRDefault="00216117">
      <w:pPr>
        <w:ind w:left="161"/>
        <w:rPr>
          <w:sz w:val="12"/>
        </w:rPr>
      </w:pPr>
      <w:r>
        <w:rPr>
          <w:color w:val="231F20"/>
          <w:sz w:val="12"/>
        </w:rPr>
        <w:t>do</w:t>
      </w:r>
      <w:r>
        <w:rPr>
          <w:color w:val="231F20"/>
          <w:spacing w:val="2"/>
          <w:sz w:val="12"/>
        </w:rPr>
        <w:t xml:space="preserve"> </w:t>
      </w:r>
      <w:r>
        <w:rPr>
          <w:color w:val="231F20"/>
          <w:sz w:val="12"/>
        </w:rPr>
        <w:t>140</w:t>
      </w:r>
    </w:p>
    <w:p w14:paraId="15370E8F" w14:textId="77777777" w:rsidR="00F65BCA" w:rsidRDefault="00216117">
      <w:pPr>
        <w:spacing w:before="43"/>
        <w:ind w:left="161"/>
        <w:rPr>
          <w:sz w:val="12"/>
        </w:rPr>
      </w:pPr>
      <w:r>
        <w:rPr>
          <w:color w:val="231F20"/>
          <w:sz w:val="12"/>
        </w:rPr>
        <w:t>do</w:t>
      </w:r>
      <w:r>
        <w:rPr>
          <w:color w:val="231F20"/>
          <w:spacing w:val="2"/>
          <w:sz w:val="12"/>
        </w:rPr>
        <w:t xml:space="preserve"> </w:t>
      </w:r>
      <w:r>
        <w:rPr>
          <w:color w:val="231F20"/>
          <w:sz w:val="12"/>
        </w:rPr>
        <w:t>252</w:t>
      </w:r>
    </w:p>
    <w:p w14:paraId="7C363673" w14:textId="77777777" w:rsidR="00F65BCA" w:rsidRDefault="00216117">
      <w:pPr>
        <w:spacing w:before="109"/>
        <w:ind w:left="195"/>
        <w:rPr>
          <w:sz w:val="12"/>
        </w:rPr>
      </w:pPr>
      <w:r>
        <w:rPr>
          <w:color w:val="231F20"/>
          <w:sz w:val="12"/>
        </w:rPr>
        <w:t>do</w:t>
      </w:r>
      <w:r>
        <w:rPr>
          <w:color w:val="231F20"/>
          <w:spacing w:val="2"/>
          <w:sz w:val="12"/>
        </w:rPr>
        <w:t xml:space="preserve"> </w:t>
      </w:r>
      <w:r>
        <w:rPr>
          <w:color w:val="231F20"/>
          <w:sz w:val="12"/>
        </w:rPr>
        <w:t>56</w:t>
      </w:r>
    </w:p>
    <w:p w14:paraId="46D3C3F3" w14:textId="77777777" w:rsidR="00F65BCA" w:rsidRDefault="00F65BCA">
      <w:pPr>
        <w:pStyle w:val="Zkladntext"/>
        <w:rPr>
          <w:sz w:val="14"/>
        </w:rPr>
      </w:pPr>
    </w:p>
    <w:p w14:paraId="451129F4" w14:textId="77777777" w:rsidR="00F65BCA" w:rsidRDefault="00F65BCA">
      <w:pPr>
        <w:pStyle w:val="Zkladntext"/>
        <w:spacing w:before="8"/>
        <w:rPr>
          <w:sz w:val="11"/>
        </w:rPr>
      </w:pPr>
    </w:p>
    <w:p w14:paraId="3E8345F7" w14:textId="77777777" w:rsidR="00F65BCA" w:rsidRDefault="00216117">
      <w:pPr>
        <w:ind w:left="195"/>
        <w:rPr>
          <w:sz w:val="12"/>
        </w:rPr>
      </w:pPr>
      <w:r>
        <w:rPr>
          <w:color w:val="231F20"/>
          <w:sz w:val="12"/>
        </w:rPr>
        <w:t>do</w:t>
      </w:r>
      <w:r>
        <w:rPr>
          <w:color w:val="231F20"/>
          <w:spacing w:val="2"/>
          <w:sz w:val="12"/>
        </w:rPr>
        <w:t xml:space="preserve"> </w:t>
      </w:r>
      <w:r>
        <w:rPr>
          <w:color w:val="231F20"/>
          <w:sz w:val="12"/>
        </w:rPr>
        <w:t>98</w:t>
      </w:r>
    </w:p>
    <w:p w14:paraId="4D1FE3C8" w14:textId="77777777" w:rsidR="00F65BCA" w:rsidRDefault="00216117">
      <w:pPr>
        <w:spacing w:before="44"/>
        <w:ind w:left="161"/>
        <w:rPr>
          <w:sz w:val="12"/>
        </w:rPr>
      </w:pPr>
      <w:r>
        <w:rPr>
          <w:color w:val="231F20"/>
          <w:sz w:val="12"/>
        </w:rPr>
        <w:t>do</w:t>
      </w:r>
      <w:r>
        <w:rPr>
          <w:color w:val="231F20"/>
          <w:spacing w:val="2"/>
          <w:sz w:val="12"/>
        </w:rPr>
        <w:t xml:space="preserve"> </w:t>
      </w:r>
      <w:r>
        <w:rPr>
          <w:color w:val="231F20"/>
          <w:sz w:val="12"/>
        </w:rPr>
        <w:t>126</w:t>
      </w:r>
    </w:p>
    <w:p w14:paraId="5B723B55" w14:textId="77777777" w:rsidR="00F65BCA" w:rsidRDefault="00216117">
      <w:pPr>
        <w:spacing w:before="43"/>
        <w:ind w:left="195"/>
        <w:rPr>
          <w:sz w:val="12"/>
        </w:rPr>
      </w:pPr>
      <w:r>
        <w:rPr>
          <w:color w:val="231F20"/>
          <w:sz w:val="12"/>
        </w:rPr>
        <w:t>do</w:t>
      </w:r>
      <w:r>
        <w:rPr>
          <w:color w:val="231F20"/>
          <w:spacing w:val="2"/>
          <w:sz w:val="12"/>
        </w:rPr>
        <w:t xml:space="preserve"> </w:t>
      </w:r>
      <w:r>
        <w:rPr>
          <w:color w:val="231F20"/>
          <w:sz w:val="12"/>
        </w:rPr>
        <w:t>77</w:t>
      </w:r>
    </w:p>
    <w:p w14:paraId="485B1740" w14:textId="77777777" w:rsidR="00F65BCA" w:rsidRDefault="00F65BCA">
      <w:pPr>
        <w:pStyle w:val="Zkladntext"/>
        <w:rPr>
          <w:sz w:val="14"/>
        </w:rPr>
      </w:pPr>
    </w:p>
    <w:p w14:paraId="6997D740" w14:textId="77777777" w:rsidR="00F65BCA" w:rsidRDefault="00F65BCA">
      <w:pPr>
        <w:pStyle w:val="Zkladntext"/>
        <w:spacing w:before="8"/>
        <w:rPr>
          <w:sz w:val="11"/>
        </w:rPr>
      </w:pPr>
    </w:p>
    <w:p w14:paraId="0129ACC3" w14:textId="77777777" w:rsidR="00F65BCA" w:rsidRDefault="00216117">
      <w:pPr>
        <w:ind w:left="161"/>
        <w:rPr>
          <w:sz w:val="12"/>
        </w:rPr>
      </w:pPr>
      <w:r>
        <w:rPr>
          <w:color w:val="231F20"/>
          <w:sz w:val="12"/>
        </w:rPr>
        <w:t>do</w:t>
      </w:r>
      <w:r>
        <w:rPr>
          <w:color w:val="231F20"/>
          <w:spacing w:val="2"/>
          <w:sz w:val="12"/>
        </w:rPr>
        <w:t xml:space="preserve"> </w:t>
      </w:r>
      <w:r>
        <w:rPr>
          <w:color w:val="231F20"/>
          <w:sz w:val="12"/>
        </w:rPr>
        <w:t>112</w:t>
      </w:r>
    </w:p>
    <w:p w14:paraId="36D567A4" w14:textId="77777777" w:rsidR="00F65BCA" w:rsidRDefault="00216117">
      <w:pPr>
        <w:spacing w:before="106"/>
        <w:ind w:left="161"/>
        <w:rPr>
          <w:sz w:val="12"/>
        </w:rPr>
      </w:pPr>
      <w:r>
        <w:rPr>
          <w:color w:val="231F20"/>
          <w:sz w:val="12"/>
        </w:rPr>
        <w:t>do</w:t>
      </w:r>
      <w:r>
        <w:rPr>
          <w:color w:val="231F20"/>
          <w:spacing w:val="2"/>
          <w:sz w:val="12"/>
        </w:rPr>
        <w:t xml:space="preserve"> </w:t>
      </w:r>
      <w:r>
        <w:rPr>
          <w:color w:val="231F20"/>
          <w:sz w:val="12"/>
        </w:rPr>
        <w:t>140</w:t>
      </w:r>
    </w:p>
    <w:p w14:paraId="33F5DE44" w14:textId="77777777" w:rsidR="00F65BCA" w:rsidRDefault="00216117">
      <w:pPr>
        <w:spacing w:before="56"/>
        <w:ind w:left="161"/>
        <w:rPr>
          <w:sz w:val="12"/>
        </w:rPr>
      </w:pPr>
      <w:r>
        <w:rPr>
          <w:color w:val="231F20"/>
          <w:sz w:val="12"/>
        </w:rPr>
        <w:t>do</w:t>
      </w:r>
      <w:r>
        <w:rPr>
          <w:color w:val="231F20"/>
          <w:spacing w:val="2"/>
          <w:sz w:val="12"/>
        </w:rPr>
        <w:t xml:space="preserve"> </w:t>
      </w:r>
      <w:r>
        <w:rPr>
          <w:color w:val="231F20"/>
          <w:sz w:val="12"/>
        </w:rPr>
        <w:t>105</w:t>
      </w:r>
    </w:p>
    <w:p w14:paraId="7A5C93EB" w14:textId="77777777" w:rsidR="00F65BCA" w:rsidRDefault="00216117">
      <w:pPr>
        <w:spacing w:before="19"/>
        <w:ind w:left="161"/>
        <w:rPr>
          <w:sz w:val="12"/>
        </w:rPr>
      </w:pPr>
      <w:r>
        <w:rPr>
          <w:color w:val="231F20"/>
          <w:sz w:val="12"/>
        </w:rPr>
        <w:t>do</w:t>
      </w:r>
      <w:r>
        <w:rPr>
          <w:color w:val="231F20"/>
          <w:spacing w:val="2"/>
          <w:sz w:val="12"/>
        </w:rPr>
        <w:t xml:space="preserve"> </w:t>
      </w:r>
      <w:r>
        <w:rPr>
          <w:color w:val="231F20"/>
          <w:sz w:val="12"/>
        </w:rPr>
        <w:t>140</w:t>
      </w:r>
    </w:p>
    <w:p w14:paraId="4CA38792" w14:textId="77777777" w:rsidR="00F65BCA" w:rsidRDefault="00216117">
      <w:pPr>
        <w:spacing w:before="38"/>
        <w:ind w:left="161"/>
        <w:rPr>
          <w:sz w:val="12"/>
        </w:rPr>
      </w:pPr>
      <w:r>
        <w:rPr>
          <w:color w:val="231F20"/>
          <w:sz w:val="12"/>
        </w:rPr>
        <w:t>do</w:t>
      </w:r>
      <w:r>
        <w:rPr>
          <w:color w:val="231F20"/>
          <w:spacing w:val="2"/>
          <w:sz w:val="12"/>
        </w:rPr>
        <w:t xml:space="preserve"> </w:t>
      </w:r>
      <w:r>
        <w:rPr>
          <w:color w:val="231F20"/>
          <w:sz w:val="12"/>
        </w:rPr>
        <w:t>140</w:t>
      </w:r>
    </w:p>
    <w:p w14:paraId="3894C6C7" w14:textId="77777777" w:rsidR="00F65BCA" w:rsidRDefault="00216117">
      <w:pPr>
        <w:spacing w:before="38"/>
        <w:ind w:left="161"/>
        <w:rPr>
          <w:sz w:val="12"/>
        </w:rPr>
      </w:pPr>
      <w:r>
        <w:rPr>
          <w:color w:val="231F20"/>
          <w:sz w:val="12"/>
        </w:rPr>
        <w:t>do</w:t>
      </w:r>
      <w:r>
        <w:rPr>
          <w:color w:val="231F20"/>
          <w:spacing w:val="2"/>
          <w:sz w:val="12"/>
        </w:rPr>
        <w:t xml:space="preserve"> </w:t>
      </w:r>
      <w:r>
        <w:rPr>
          <w:color w:val="231F20"/>
          <w:sz w:val="12"/>
        </w:rPr>
        <w:t>182</w:t>
      </w:r>
    </w:p>
    <w:p w14:paraId="3E9A98DC" w14:textId="77777777" w:rsidR="00F65BCA" w:rsidRDefault="00216117">
      <w:pPr>
        <w:spacing w:before="106"/>
        <w:ind w:left="195"/>
        <w:rPr>
          <w:sz w:val="12"/>
        </w:rPr>
      </w:pPr>
      <w:r>
        <w:rPr>
          <w:color w:val="231F20"/>
          <w:sz w:val="12"/>
        </w:rPr>
        <w:t>do</w:t>
      </w:r>
      <w:r>
        <w:rPr>
          <w:color w:val="231F20"/>
          <w:spacing w:val="2"/>
          <w:sz w:val="12"/>
        </w:rPr>
        <w:t xml:space="preserve"> </w:t>
      </w:r>
      <w:r>
        <w:rPr>
          <w:color w:val="231F20"/>
          <w:sz w:val="12"/>
        </w:rPr>
        <w:t>70</w:t>
      </w:r>
    </w:p>
    <w:p w14:paraId="4BE6FE39" w14:textId="77777777" w:rsidR="00F65BCA" w:rsidRDefault="00216117">
      <w:pPr>
        <w:spacing w:before="100"/>
        <w:ind w:left="195"/>
        <w:rPr>
          <w:sz w:val="12"/>
        </w:rPr>
      </w:pPr>
      <w:r>
        <w:rPr>
          <w:color w:val="231F20"/>
          <w:sz w:val="12"/>
        </w:rPr>
        <w:t>do</w:t>
      </w:r>
      <w:r>
        <w:rPr>
          <w:color w:val="231F20"/>
          <w:spacing w:val="2"/>
          <w:sz w:val="12"/>
        </w:rPr>
        <w:t xml:space="preserve"> </w:t>
      </w:r>
      <w:r>
        <w:rPr>
          <w:color w:val="231F20"/>
          <w:sz w:val="12"/>
        </w:rPr>
        <w:t>98</w:t>
      </w:r>
    </w:p>
    <w:p w14:paraId="77B3A36D" w14:textId="77777777" w:rsidR="00F65BCA" w:rsidRDefault="00F65BCA">
      <w:pPr>
        <w:pStyle w:val="Zkladntext"/>
        <w:rPr>
          <w:sz w:val="14"/>
        </w:rPr>
      </w:pPr>
    </w:p>
    <w:p w14:paraId="41917AD1" w14:textId="77777777" w:rsidR="00F65BCA" w:rsidRDefault="00F65BCA">
      <w:pPr>
        <w:pStyle w:val="Zkladntext"/>
        <w:rPr>
          <w:sz w:val="14"/>
        </w:rPr>
      </w:pPr>
    </w:p>
    <w:p w14:paraId="05218543" w14:textId="77777777" w:rsidR="00F65BCA" w:rsidRDefault="00F65BCA">
      <w:pPr>
        <w:pStyle w:val="Zkladntext"/>
        <w:spacing w:before="10"/>
        <w:rPr>
          <w:sz w:val="11"/>
        </w:rPr>
      </w:pPr>
    </w:p>
    <w:p w14:paraId="72020CF1" w14:textId="77777777" w:rsidR="00F65BCA" w:rsidRDefault="00216117">
      <w:pPr>
        <w:ind w:left="195"/>
        <w:rPr>
          <w:sz w:val="12"/>
        </w:rPr>
      </w:pPr>
      <w:r>
        <w:rPr>
          <w:color w:val="231F20"/>
          <w:sz w:val="12"/>
        </w:rPr>
        <w:t>do</w:t>
      </w:r>
      <w:r>
        <w:rPr>
          <w:color w:val="231F20"/>
          <w:spacing w:val="2"/>
          <w:sz w:val="12"/>
        </w:rPr>
        <w:t xml:space="preserve"> </w:t>
      </w:r>
      <w:r>
        <w:rPr>
          <w:color w:val="231F20"/>
          <w:sz w:val="12"/>
        </w:rPr>
        <w:t>70</w:t>
      </w:r>
    </w:p>
    <w:p w14:paraId="53B75CD4" w14:textId="77777777" w:rsidR="00F65BCA" w:rsidRDefault="00F65BCA">
      <w:pPr>
        <w:rPr>
          <w:sz w:val="12"/>
        </w:rPr>
        <w:sectPr w:rsidR="00F65BCA">
          <w:type w:val="continuous"/>
          <w:pgSz w:w="11910" w:h="16840"/>
          <w:pgMar w:top="840" w:right="140" w:bottom="280" w:left="140" w:header="708" w:footer="708" w:gutter="0"/>
          <w:cols w:num="6" w:space="708" w:equalWidth="0">
            <w:col w:w="3154" w:space="40"/>
            <w:col w:w="550" w:space="75"/>
            <w:col w:w="3160" w:space="40"/>
            <w:col w:w="543" w:space="101"/>
            <w:col w:w="3132" w:space="40"/>
            <w:col w:w="795"/>
          </w:cols>
        </w:sectPr>
      </w:pPr>
    </w:p>
    <w:p w14:paraId="3C7124C8" w14:textId="77777777" w:rsidR="00F65BCA" w:rsidRDefault="00000000">
      <w:pPr>
        <w:tabs>
          <w:tab w:val="left" w:pos="1442"/>
          <w:tab w:val="left" w:pos="3320"/>
        </w:tabs>
        <w:spacing w:before="92"/>
        <w:ind w:left="179"/>
        <w:rPr>
          <w:b/>
          <w:sz w:val="12"/>
        </w:rPr>
      </w:pPr>
      <w:r>
        <w:lastRenderedPageBreak/>
        <w:pict w14:anchorId="5A3B8832">
          <v:group id="_x0000_s1586" style="position:absolute;left:0;text-align:left;margin-left:14.15pt;margin-top:2.3pt;width:567.35pt;height:384.55pt;z-index:-299242496;mso-position-horizontal-relative:page" coordorigin="283,46" coordsize="11347,7691">
            <v:shape id="_x0000_s2136" style="position:absolute;left:283;top:59;width:3686;height:7637" coordorigin="283,60" coordsize="3686,7637" o:spt="100" adj="0,,0" path="m3969,7509r-624,l567,7509r-284,l283,7696r284,l3345,7696r624,l3969,7509t,-1474l3345,6035r-2778,l283,6035r,397l283,7322r,187l567,7509r2778,l3969,7509r,-187l3969,6432r,-397m3969,5338r-624,l567,5338r-284,l283,6035r284,l3345,6035r624,l3969,5338t,-1502l3345,3836r-2778,l283,3836r,561l283,4777r,561l567,5338r2778,l3969,5338r,-561l3969,4397r,-561m3969,2520r-624,l567,2520r-284,l283,3082r,754l567,3836r2778,l3969,3836r,-754l3969,2520t,-561l3345,1959r-2778,l283,1959r,561l567,2520r2778,l3969,2520r,-561m3969,1568r-624,l567,1568r-284,l283,1959r284,l3345,1959r624,l3969,1568t,-561l3345,1007r-2778,l283,1007r,561l567,1568r2778,l3969,1568r,-561m3969,60r-624,l567,60r-284,l283,1007r284,l3345,1007r624,l3969,60e" fillcolor="#ededee" stroked="f">
              <v:stroke joinstyle="round"/>
              <v:formulas/>
              <v:path arrowok="t" o:connecttype="segments"/>
            </v:shape>
            <v:shape id="_x0000_s2135" style="position:absolute;left:283;top:271;width:3686;height:30" coordorigin="283,272" coordsize="3686,30" path="m3969,272r-624,l567,272r-284,l283,302r284,l3345,302r624,l3969,272e" fillcolor="#231f20" stroked="f">
              <v:path arrowok="t"/>
            </v:shape>
            <v:line id="_x0000_s2134" style="position:absolute" from="283,428" to="567,428" strokecolor="#231f20" strokeweight=".25pt"/>
            <v:line id="_x0000_s2133" style="position:absolute" from="567,428" to="3345,428" strokecolor="#231f20" strokeweight=".25pt"/>
            <v:line id="_x0000_s2132" style="position:absolute" from="567,630" to="567,431" strokecolor="#231f20" strokeweight=".25pt"/>
            <v:line id="_x0000_s2131" style="position:absolute" from="3345,428" to="3969,428" strokecolor="#231f20" strokeweight=".25pt"/>
            <v:line id="_x0000_s2130" style="position:absolute" from="3345,630" to="3345,431" strokecolor="#231f20" strokeweight=".25pt"/>
            <v:line id="_x0000_s2129" style="position:absolute" from="283,633" to="567,633" strokecolor="#231f20" strokeweight=".25pt"/>
            <v:line id="_x0000_s2128" style="position:absolute" from="567,633" to="3345,633" strokecolor="#231f20" strokeweight=".25pt"/>
            <v:line id="_x0000_s2127" style="position:absolute" from="567,817" to="567,635" strokecolor="#231f20" strokeweight=".25pt"/>
            <v:line id="_x0000_s2126" style="position:absolute" from="3345,633" to="3969,633" strokecolor="#231f20" strokeweight=".25pt"/>
            <v:line id="_x0000_s2125" style="position:absolute" from="3345,817" to="3345,635" strokecolor="#231f20" strokeweight=".25pt"/>
            <v:line id="_x0000_s2124" style="position:absolute" from="283,820" to="567,820" strokecolor="#231f20" strokeweight=".25pt"/>
            <v:line id="_x0000_s2123" style="position:absolute" from="567,820" to="3345,820" strokecolor="#231f20" strokeweight=".25pt"/>
            <v:line id="_x0000_s2122" style="position:absolute" from="567,1004" to="567,822" strokecolor="#231f20" strokeweight=".25pt"/>
            <v:line id="_x0000_s2121" style="position:absolute" from="3345,820" to="3969,820" strokecolor="#231f20" strokeweight=".25pt"/>
            <v:line id="_x0000_s2120" style="position:absolute" from="3345,1004" to="3345,822" strokecolor="#231f20" strokeweight=".25pt"/>
            <v:line id="_x0000_s2119" style="position:absolute" from="283,1007" to="567,1007" strokecolor="#231f20" strokeweight=".25pt"/>
            <v:line id="_x0000_s2118" style="position:absolute" from="567,1007" to="3345,1007" strokecolor="#231f20" strokeweight=".25pt"/>
            <v:line id="_x0000_s2117" style="position:absolute" from="567,1191" to="567,1009" strokecolor="#231f20" strokeweight=".25pt"/>
            <v:line id="_x0000_s2116" style="position:absolute" from="3345,1007" to="3969,1007" strokecolor="#231f20" strokeweight=".25pt"/>
            <v:line id="_x0000_s2115" style="position:absolute" from="3345,1191" to="3345,1009" strokecolor="#231f20" strokeweight=".25pt"/>
            <v:line id="_x0000_s2114" style="position:absolute" from="283,1194" to="567,1194" strokecolor="#231f20" strokeweight=".25pt"/>
            <v:line id="_x0000_s2113" style="position:absolute" from="567,1194" to="3345,1194" strokecolor="#231f20" strokeweight=".25pt"/>
            <v:line id="_x0000_s2112" style="position:absolute" from="567,1378" to="567,1196" strokecolor="#231f20" strokeweight=".25pt"/>
            <v:line id="_x0000_s2111" style="position:absolute" from="3345,1194" to="3969,1194" strokecolor="#231f20" strokeweight=".25pt"/>
            <v:line id="_x0000_s2110" style="position:absolute" from="3345,1378" to="3345,1196" strokecolor="#231f20" strokeweight=".25pt"/>
            <v:line id="_x0000_s2109" style="position:absolute" from="283,1381" to="567,1381" strokecolor="#231f20" strokeweight=".25pt"/>
            <v:line id="_x0000_s2108" style="position:absolute" from="567,1381" to="3345,1381" strokecolor="#231f20" strokeweight=".25pt"/>
            <v:line id="_x0000_s2107" style="position:absolute" from="567,1565" to="567,1383" strokecolor="#231f20" strokeweight=".25pt"/>
            <v:line id="_x0000_s2106" style="position:absolute" from="3345,1381" to="3969,1381" strokecolor="#231f20" strokeweight=".25pt"/>
            <v:line id="_x0000_s2105" style="position:absolute" from="3345,1565" to="3345,1383" strokecolor="#231f20" strokeweight=".25pt"/>
            <v:line id="_x0000_s2104" style="position:absolute" from="283,1568" to="567,1568" strokecolor="#231f20" strokeweight=".25pt"/>
            <v:line id="_x0000_s2103" style="position:absolute" from="567,1568" to="3345,1568" strokecolor="#231f20" strokeweight=".25pt"/>
            <v:line id="_x0000_s2102" style="position:absolute" from="567,1770" to="567,1570" strokecolor="#231f20" strokeweight=".25pt"/>
            <v:line id="_x0000_s2101" style="position:absolute" from="3345,1568" to="3969,1568" strokecolor="#231f20" strokeweight=".25pt"/>
            <v:line id="_x0000_s2100" style="position:absolute" from="3345,1770" to="3345,1570" strokecolor="#231f20" strokeweight=".25pt"/>
            <v:line id="_x0000_s2099" style="position:absolute" from="283,1772" to="567,1772" strokecolor="#231f20" strokeweight=".25pt"/>
            <v:line id="_x0000_s2098" style="position:absolute" from="567,1772" to="3345,1772" strokecolor="#231f20" strokeweight=".25pt"/>
            <v:line id="_x0000_s2097" style="position:absolute" from="567,1957" to="567,1775" strokecolor="#231f20" strokeweight=".25pt"/>
            <v:line id="_x0000_s2096" style="position:absolute" from="3345,1772" to="3969,1772" strokecolor="#231f20" strokeweight=".25pt"/>
            <v:line id="_x0000_s2095" style="position:absolute" from="3345,1957" to="3345,1775" strokecolor="#231f20" strokeweight=".25pt"/>
            <v:line id="_x0000_s2094" style="position:absolute" from="283,1959" to="567,1959" strokecolor="#231f20" strokeweight=".25pt"/>
            <v:line id="_x0000_s2093" style="position:absolute" from="567,1959" to="3345,1959" strokecolor="#231f20" strokeweight=".25pt"/>
            <v:line id="_x0000_s2092" style="position:absolute" from="567,2144" to="567,1962" strokecolor="#231f20" strokeweight=".25pt"/>
            <v:line id="_x0000_s2091" style="position:absolute" from="3345,1959" to="3969,1959" strokecolor="#231f20" strokeweight=".25pt"/>
            <v:line id="_x0000_s2090" style="position:absolute" from="3345,2144" to="3345,1962" strokecolor="#231f20" strokeweight=".25pt"/>
            <v:line id="_x0000_s2089" style="position:absolute" from="283,2146" to="567,2146" strokecolor="#231f20" strokeweight=".25pt"/>
            <v:line id="_x0000_s2088" style="position:absolute" from="567,2146" to="3345,2146" strokecolor="#231f20" strokeweight=".25pt"/>
            <v:line id="_x0000_s2087" style="position:absolute" from="567,2331" to="567,2149" strokecolor="#231f20" strokeweight=".25pt"/>
            <v:line id="_x0000_s2086" style="position:absolute" from="3345,2146" to="3969,2146" strokecolor="#231f20" strokeweight=".25pt"/>
            <v:line id="_x0000_s2085" style="position:absolute" from="3345,2331" to="3345,2149" strokecolor="#231f20" strokeweight=".25pt"/>
            <v:line id="_x0000_s2084" style="position:absolute" from="283,2333" to="567,2333" strokecolor="#231f20" strokeweight=".25pt"/>
            <v:line id="_x0000_s2083" style="position:absolute" from="567,2333" to="3345,2333" strokecolor="#231f20" strokeweight=".25pt"/>
            <v:line id="_x0000_s2082" style="position:absolute" from="567,2518" to="567,2336" strokecolor="#231f20" strokeweight=".25pt"/>
            <v:line id="_x0000_s2081" style="position:absolute" from="3345,2333" to="3969,2333" strokecolor="#231f20" strokeweight=".25pt"/>
            <v:line id="_x0000_s2080" style="position:absolute" from="3345,2518" to="3345,2336" strokecolor="#231f20" strokeweight=".25pt"/>
            <v:line id="_x0000_s2079" style="position:absolute" from="283,2520" to="567,2520" strokecolor="#231f20" strokeweight=".25pt"/>
            <v:line id="_x0000_s2078" style="position:absolute" from="567,2520" to="3345,2520" strokecolor="#231f20" strokeweight=".25pt"/>
            <v:line id="_x0000_s2077" style="position:absolute" from="567,2705" to="567,2523" strokecolor="#231f20" strokeweight=".25pt"/>
            <v:line id="_x0000_s2076" style="position:absolute" from="3345,2520" to="3969,2520" strokecolor="#231f20" strokeweight=".25pt"/>
            <v:line id="_x0000_s2075" style="position:absolute" from="3345,2705" to="3345,2523" strokecolor="#231f20" strokeweight=".25pt"/>
            <v:line id="_x0000_s2074" style="position:absolute" from="283,2708" to="567,2708" strokecolor="#231f20" strokeweight=".25pt"/>
            <v:line id="_x0000_s2073" style="position:absolute" from="567,2708" to="3345,2708" strokecolor="#231f20" strokeweight=".25pt"/>
            <v:line id="_x0000_s2072" style="position:absolute" from="567,2892" to="567,2710" strokecolor="#231f20" strokeweight=".25pt"/>
            <v:line id="_x0000_s2071" style="position:absolute" from="3345,2708" to="3969,2708" strokecolor="#231f20" strokeweight=".25pt"/>
            <v:line id="_x0000_s2070" style="position:absolute" from="3345,2892" to="3345,2710" strokecolor="#231f20" strokeweight=".25pt"/>
            <v:line id="_x0000_s2069" style="position:absolute" from="283,2895" to="567,2895" strokecolor="#231f20" strokeweight=".25pt"/>
            <v:line id="_x0000_s2068" style="position:absolute" from="567,2895" to="3345,2895" strokecolor="#231f20" strokeweight=".25pt"/>
            <v:line id="_x0000_s2067" style="position:absolute" from="567,3079" to="567,2897" strokecolor="#231f20" strokeweight=".25pt"/>
            <v:line id="_x0000_s2066" style="position:absolute" from="3345,2895" to="3969,2895" strokecolor="#231f20" strokeweight=".25pt"/>
            <v:line id="_x0000_s2065" style="position:absolute" from="3345,3079" to="3345,2897" strokecolor="#231f20" strokeweight=".25pt"/>
            <v:line id="_x0000_s2064" style="position:absolute" from="283,3082" to="567,3082" strokecolor="#231f20" strokeweight=".25pt"/>
            <v:line id="_x0000_s2063" style="position:absolute" from="567,3082" to="3345,3082" strokecolor="#231f20" strokeweight=".25pt"/>
            <v:line id="_x0000_s2062" style="position:absolute" from="567,3266" to="567,3084" strokecolor="#231f20" strokeweight=".25pt"/>
            <v:line id="_x0000_s2061" style="position:absolute" from="3345,3082" to="3969,3082" strokecolor="#231f20" strokeweight=".25pt"/>
            <v:line id="_x0000_s2060" style="position:absolute" from="3345,3266" to="3345,3084" strokecolor="#231f20" strokeweight=".25pt"/>
            <v:line id="_x0000_s2059" style="position:absolute" from="283,3269" to="567,3269" strokecolor="#231f20" strokeweight=".25pt"/>
            <v:line id="_x0000_s2058" style="position:absolute" from="567,3269" to="3345,3269" strokecolor="#231f20" strokeweight=".25pt"/>
            <v:line id="_x0000_s2057" style="position:absolute" from="567,3459" to="567,3271" strokecolor="#231f20" strokeweight=".25pt"/>
            <v:line id="_x0000_s2056" style="position:absolute" from="3345,3269" to="3969,3269" strokecolor="#231f20" strokeweight=".25pt"/>
            <v:line id="_x0000_s2055" style="position:absolute" from="3345,3459" to="3345,3271" strokecolor="#231f20" strokeweight=".25pt"/>
            <v:line id="_x0000_s2054" style="position:absolute" from="283,3462" to="567,3462" strokecolor="#231f20" strokeweight=".25pt"/>
            <v:line id="_x0000_s2053" style="position:absolute" from="567,3462" to="3345,3462" strokecolor="#231f20" strokeweight=".25pt"/>
            <v:line id="_x0000_s2052" style="position:absolute" from="567,3646" to="567,3464" strokecolor="#231f20" strokeweight=".25pt"/>
            <v:line id="_x0000_s2051" style="position:absolute" from="3345,3462" to="3969,3462" strokecolor="#231f20" strokeweight=".25pt"/>
            <v:line id="_x0000_s2050" style="position:absolute" from="3345,3646" to="3345,3464" strokecolor="#231f20" strokeweight=".25pt"/>
            <v:line id="_x0000_s2049" style="position:absolute" from="283,3649" to="567,3649" strokecolor="#231f20" strokeweight=".25pt"/>
            <v:line id="_x0000_s2048" style="position:absolute" from="567,3649" to="3345,3649" strokecolor="#231f20" strokeweight=".25pt"/>
            <v:line id="_x0000_s2047" style="position:absolute" from="567,3833" to="567,3651" strokecolor="#231f20" strokeweight=".25pt"/>
            <v:line id="_x0000_s2046" style="position:absolute" from="3345,3649" to="3969,3649" strokecolor="#231f20" strokeweight=".25pt"/>
            <v:line id="_x0000_s2045" style="position:absolute" from="3345,3833" to="3345,3651" strokecolor="#231f20" strokeweight=".25pt"/>
            <v:line id="_x0000_s2044" style="position:absolute" from="283,3836" to="567,3836" strokecolor="#231f20" strokeweight=".25pt"/>
            <v:line id="_x0000_s2043" style="position:absolute" from="567,3836" to="3345,3836" strokecolor="#231f20" strokeweight=".25pt"/>
            <v:line id="_x0000_s2042" style="position:absolute" from="567,4020" to="567,3838" strokecolor="#231f20" strokeweight=".25pt"/>
            <v:line id="_x0000_s2041" style="position:absolute" from="3345,3836" to="3969,3836" strokecolor="#231f20" strokeweight=".25pt"/>
            <v:line id="_x0000_s2040" style="position:absolute" from="3345,4020" to="3345,3838" strokecolor="#231f20" strokeweight=".25pt"/>
            <v:line id="_x0000_s2039" style="position:absolute" from="283,4023" to="567,4023" strokecolor="#231f20" strokeweight=".25pt"/>
            <v:line id="_x0000_s2038" style="position:absolute" from="567,4023" to="3345,4023" strokecolor="#231f20" strokeweight=".25pt"/>
            <v:line id="_x0000_s2037" style="position:absolute" from="567,4207" to="567,4025" strokecolor="#231f20" strokeweight=".25pt"/>
            <v:line id="_x0000_s2036" style="position:absolute" from="3345,4023" to="3969,4023" strokecolor="#231f20" strokeweight=".25pt"/>
            <v:line id="_x0000_s2035" style="position:absolute" from="3345,4207" to="3345,4025" strokecolor="#231f20" strokeweight=".25pt"/>
            <v:line id="_x0000_s2034" style="position:absolute" from="283,4210" to="567,4210" strokecolor="#231f20" strokeweight=".25pt"/>
            <v:line id="_x0000_s2033" style="position:absolute" from="567,4210" to="3345,4210" strokecolor="#231f20" strokeweight=".25pt"/>
            <v:line id="_x0000_s2032" style="position:absolute" from="567,4394" to="567,4212" strokecolor="#231f20" strokeweight=".25pt"/>
            <v:line id="_x0000_s2031" style="position:absolute" from="3345,4210" to="3969,4210" strokecolor="#231f20" strokeweight=".25pt"/>
            <v:line id="_x0000_s2030" style="position:absolute" from="3345,4394" to="3345,4212" strokecolor="#231f20" strokeweight=".25pt"/>
            <v:line id="_x0000_s2029" style="position:absolute" from="283,4397" to="567,4397" strokecolor="#231f20" strokeweight=".25pt"/>
            <v:line id="_x0000_s2028" style="position:absolute" from="567,4397" to="3345,4397" strokecolor="#231f20" strokeweight=".25pt"/>
            <v:line id="_x0000_s2027" style="position:absolute" from="567,4587" to="567,4399" strokecolor="#231f20" strokeweight=".25pt"/>
            <v:line id="_x0000_s2026" style="position:absolute" from="3345,4397" to="3969,4397" strokecolor="#231f20" strokeweight=".25pt"/>
            <v:line id="_x0000_s2025" style="position:absolute" from="3345,4587" to="3345,4399" strokecolor="#231f20" strokeweight=".25pt"/>
            <v:line id="_x0000_s2024" style="position:absolute" from="283,4590" to="567,4590" strokecolor="#231f20" strokeweight=".25pt"/>
            <v:line id="_x0000_s2023" style="position:absolute" from="567,4590" to="3345,4590" strokecolor="#231f20" strokeweight=".25pt"/>
            <v:line id="_x0000_s2022" style="position:absolute" from="567,4774" to="567,4592" strokecolor="#231f20" strokeweight=".25pt"/>
            <v:line id="_x0000_s2021" style="position:absolute" from="3345,4590" to="3969,4590" strokecolor="#231f20" strokeweight=".25pt"/>
            <v:line id="_x0000_s2020" style="position:absolute" from="3345,4774" to="3345,4592" strokecolor="#231f20" strokeweight=".25pt"/>
            <v:line id="_x0000_s2019" style="position:absolute" from="283,4777" to="567,4777" strokecolor="#231f20" strokeweight=".25pt"/>
            <v:line id="_x0000_s2018" style="position:absolute" from="567,4777" to="3345,4777" strokecolor="#231f20" strokeweight=".25pt"/>
            <v:line id="_x0000_s2017" style="position:absolute" from="567,4961" to="567,4779" strokecolor="#231f20" strokeweight=".25pt"/>
            <v:line id="_x0000_s2016" style="position:absolute" from="3345,4777" to="3969,4777" strokecolor="#231f20" strokeweight=".25pt"/>
            <v:line id="_x0000_s2015" style="position:absolute" from="3345,4961" to="3345,4779" strokecolor="#231f20" strokeweight=".25pt"/>
            <v:line id="_x0000_s2014" style="position:absolute" from="283,4964" to="567,4964" strokecolor="#231f20" strokeweight=".25pt"/>
            <v:line id="_x0000_s2013" style="position:absolute" from="567,4964" to="3345,4964" strokecolor="#231f20" strokeweight=".25pt"/>
            <v:line id="_x0000_s2012" style="position:absolute" from="567,5148" to="567,4966" strokecolor="#231f20" strokeweight=".25pt"/>
            <v:line id="_x0000_s2011" style="position:absolute" from="3345,4964" to="3969,4964" strokecolor="#231f20" strokeweight=".25pt"/>
            <v:line id="_x0000_s2010" style="position:absolute" from="3345,5148" to="3345,4966" strokecolor="#231f20" strokeweight=".25pt"/>
            <v:line id="_x0000_s2009" style="position:absolute" from="283,5151" to="567,5151" strokecolor="#231f20" strokeweight=".25pt"/>
            <v:line id="_x0000_s2008" style="position:absolute" from="567,5151" to="3345,5151" strokecolor="#231f20" strokeweight=".25pt"/>
            <v:line id="_x0000_s2007" style="position:absolute" from="567,5336" to="567,5153" strokecolor="#231f20" strokeweight=".25pt"/>
            <v:line id="_x0000_s2006" style="position:absolute" from="3345,5151" to="3969,5151" strokecolor="#231f20" strokeweight=".25pt"/>
            <v:line id="_x0000_s2005" style="position:absolute" from="3345,5336" to="3345,5153" strokecolor="#231f20" strokeweight=".25pt"/>
            <v:line id="_x0000_s2004" style="position:absolute" from="283,5338" to="567,5338" strokecolor="#231f20" strokeweight=".25pt"/>
            <v:line id="_x0000_s2003" style="position:absolute" from="567,5338" to="3345,5338" strokecolor="#231f20" strokeweight=".25pt"/>
            <v:line id="_x0000_s2002" style="position:absolute" from="567,5659" to="567,5341" strokecolor="#231f20" strokeweight=".25pt"/>
            <v:line id="_x0000_s2001" style="position:absolute" from="3345,5338" to="3969,5338" strokecolor="#231f20" strokeweight=".25pt"/>
            <v:line id="_x0000_s2000" style="position:absolute" from="3345,5659" to="3345,5341" strokecolor="#231f20" strokeweight=".25pt"/>
            <v:line id="_x0000_s1999" style="position:absolute" from="283,5661" to="567,5661" strokecolor="#231f20" strokeweight=".25pt"/>
            <v:line id="_x0000_s1998" style="position:absolute" from="567,5661" to="3345,5661" strokecolor="#231f20" strokeweight=".25pt"/>
            <v:line id="_x0000_s1997" style="position:absolute" from="567,5846" to="567,5664" strokecolor="#231f20" strokeweight=".25pt"/>
            <v:line id="_x0000_s1996" style="position:absolute" from="3345,5661" to="3969,5661" strokecolor="#231f20" strokeweight=".25pt"/>
            <v:line id="_x0000_s1995" style="position:absolute" from="3345,5846" to="3345,5664" strokecolor="#231f20" strokeweight=".25pt"/>
            <v:line id="_x0000_s1994" style="position:absolute" from="283,5848" to="567,5848" strokecolor="#231f20" strokeweight=".25pt"/>
            <v:line id="_x0000_s1993" style="position:absolute" from="567,5848" to="3345,5848" strokecolor="#231f20" strokeweight=".25pt"/>
            <v:line id="_x0000_s1992" style="position:absolute" from="567,6033" to="567,5851" strokecolor="#231f20" strokeweight=".25pt"/>
            <v:line id="_x0000_s1991" style="position:absolute" from="3345,5848" to="3969,5848" strokecolor="#231f20" strokeweight=".25pt"/>
            <v:line id="_x0000_s1990" style="position:absolute" from="3345,6033" to="3345,5851" strokecolor="#231f20" strokeweight=".25pt"/>
            <v:line id="_x0000_s1989" style="position:absolute" from="283,6035" to="567,6035" strokecolor="#231f20" strokeweight=".25pt"/>
            <v:line id="_x0000_s1988" style="position:absolute" from="567,6035" to="3345,6035" strokecolor="#231f20" strokeweight=".25pt"/>
            <v:line id="_x0000_s1987" style="position:absolute" from="567,6231" to="567,6038" strokecolor="#231f20" strokeweight=".25pt"/>
            <v:line id="_x0000_s1986" style="position:absolute" from="3345,6035" to="3969,6035" strokecolor="#231f20" strokeweight=".25pt"/>
            <v:line id="_x0000_s1985" style="position:absolute" from="3345,6231" to="3345,6038" strokecolor="#231f20" strokeweight=".25pt"/>
            <v:line id="_x0000_s1984" style="position:absolute" from="283,6234" to="567,6234" strokecolor="#231f20" strokeweight=".25pt"/>
            <v:line id="_x0000_s1983" style="position:absolute" from="567,6234" to="3345,6234" strokecolor="#231f20" strokeweight=".25pt"/>
            <v:line id="_x0000_s1982" style="position:absolute" from="567,6430" to="567,6236" strokecolor="#231f20" strokeweight=".25pt"/>
            <v:line id="_x0000_s1981" style="position:absolute" from="3345,6234" to="3969,6234" strokecolor="#231f20" strokeweight=".25pt"/>
            <v:line id="_x0000_s1980" style="position:absolute" from="3345,6430" to="3345,6236" strokecolor="#231f20" strokeweight=".25pt"/>
            <v:line id="_x0000_s1979" style="position:absolute" from="283,6432" to="567,6432" strokecolor="#231f20" strokeweight=".25pt"/>
            <v:line id="_x0000_s1978" style="position:absolute" from="567,6432" to="3345,6432" strokecolor="#231f20" strokeweight=".25pt"/>
            <v:line id="_x0000_s1977" style="position:absolute" from="567,6611" to="567,6435" strokecolor="#231f20" strokeweight=".25pt"/>
            <v:line id="_x0000_s1976" style="position:absolute" from="3345,6432" to="3969,6432" strokecolor="#231f20" strokeweight=".25pt"/>
            <v:line id="_x0000_s1975" style="position:absolute" from="3345,6611" to="3345,6435" strokecolor="#231f20" strokeweight=".25pt"/>
            <v:line id="_x0000_s1974" style="position:absolute" from="283,6614" to="567,6614" strokecolor="#231f20" strokeweight=".25pt"/>
            <v:line id="_x0000_s1973" style="position:absolute" from="567,6614" to="3345,6614" strokecolor="#231f20" strokeweight=".25pt"/>
            <v:line id="_x0000_s1972" style="position:absolute" from="567,6934" to="567,6616" strokecolor="#231f20" strokeweight=".25pt"/>
            <v:line id="_x0000_s1971" style="position:absolute" from="3345,6614" to="3969,6614" strokecolor="#231f20" strokeweight=".25pt"/>
            <v:line id="_x0000_s1970" style="position:absolute" from="3345,6934" to="3345,6616" strokecolor="#231f20" strokeweight=".25pt"/>
            <v:line id="_x0000_s1969" style="position:absolute" from="283,6937" to="567,6937" strokecolor="#231f20" strokeweight=".25pt"/>
            <v:line id="_x0000_s1968" style="position:absolute" from="567,6937" to="3345,6937" strokecolor="#231f20" strokeweight=".25pt"/>
            <v:line id="_x0000_s1967" style="position:absolute" from="567,7133" to="567,6939" strokecolor="#231f20" strokeweight=".25pt"/>
            <v:line id="_x0000_s1966" style="position:absolute" from="3345,6937" to="3969,6937" strokecolor="#231f20" strokeweight=".25pt"/>
            <v:line id="_x0000_s1965" style="position:absolute" from="3345,7133" to="3345,6939" strokecolor="#231f20" strokeweight=".25pt"/>
            <v:line id="_x0000_s1964" style="position:absolute" from="283,7135" to="567,7135" strokecolor="#231f20" strokeweight=".25pt"/>
            <v:line id="_x0000_s1963" style="position:absolute" from="567,7135" to="3345,7135" strokecolor="#231f20" strokeweight=".25pt"/>
            <v:line id="_x0000_s1962" style="position:absolute" from="567,7320" to="567,7138" strokecolor="#231f20" strokeweight=".25pt"/>
            <v:line id="_x0000_s1961" style="position:absolute" from="3345,7135" to="3969,7135" strokecolor="#231f20" strokeweight=".25pt"/>
            <v:line id="_x0000_s1960" style="position:absolute" from="3345,7320" to="3345,7138" strokecolor="#231f20" strokeweight=".25pt"/>
            <v:line id="_x0000_s1959" style="position:absolute" from="283,7322" to="567,7322" strokecolor="#231f20" strokeweight=".25pt"/>
            <v:line id="_x0000_s1958" style="position:absolute" from="567,7322" to="3345,7322" strokecolor="#231f20" strokeweight=".25pt"/>
            <v:line id="_x0000_s1957" style="position:absolute" from="567,7507" to="567,7325" strokecolor="#231f20" strokeweight=".25pt"/>
            <v:line id="_x0000_s1956" style="position:absolute" from="3345,7322" to="3969,7322" strokecolor="#231f20" strokeweight=".25pt"/>
            <v:line id="_x0000_s1955" style="position:absolute" from="3345,7507" to="3345,7325" strokecolor="#231f20" strokeweight=".25pt"/>
            <v:line id="_x0000_s1954" style="position:absolute" from="283,7509" to="567,7509" strokecolor="#231f20" strokeweight=".25pt"/>
            <v:line id="_x0000_s1953" style="position:absolute" from="567,7509" to="3345,7509" strokecolor="#231f20" strokeweight=".25pt"/>
            <v:line id="_x0000_s1952" style="position:absolute" from="567,7696" to="567,7512" strokecolor="#231f20" strokeweight=".25pt"/>
            <v:line id="_x0000_s1951" style="position:absolute" from="3345,7509" to="3969,7509" strokecolor="#231f20" strokeweight=".25pt"/>
            <v:line id="_x0000_s1950" style="position:absolute" from="3345,7696" to="3345,7512" strokecolor="#231f20" strokeweight=".25pt"/>
            <v:shape id="_x0000_s1949" style="position:absolute;left:4102;top:59;width:3062;height:545" coordorigin="4103,60" coordsize="3062,545" o:spt="100" adj="0,,0" path="m4386,60r-283,l4103,604r283,l4386,60t2778,l4386,60r,544l7164,604r,-544e" fillcolor="#ededee" stroked="f">
              <v:stroke joinstyle="round"/>
              <v:formulas/>
              <v:path arrowok="t" o:connecttype="segments"/>
            </v:shape>
            <v:line id="_x0000_s1948" style="position:absolute" from="7164,60" to="7164,604" strokecolor="#ededee" strokeweight="36e-5mm"/>
            <v:shape id="_x0000_s1947" style="position:absolute;left:4102;top:59;width:3686;height:1372" coordorigin="4103,60" coordsize="3686,1372" o:spt="100" adj="0,,0" path="m4386,604r-283,l4103,1432r283,l4386,604t2778,l4386,604r,828l7164,1432r,-828m7788,60r-624,l7164,604r624,l7788,60e" fillcolor="#ededee" stroked="f">
              <v:stroke joinstyle="round"/>
              <v:formulas/>
              <v:path arrowok="t" o:connecttype="segments"/>
            </v:shape>
            <v:line id="_x0000_s1946" style="position:absolute" from="7164,604" to="7164,1432" strokecolor="#ededee" strokeweight="36e-5mm"/>
            <v:shape id="_x0000_s1945" style="position:absolute;left:4102;top:604;width:3686;height:4054" coordorigin="4103,604" coordsize="3686,4054" o:spt="100" adj="0,,0" path="m4386,1432r-283,l4103,4658r283,l4386,1432t2778,l4386,1432r,3226l7164,4658r,-3226m7788,604r-624,l7164,1432r624,l7788,604e" fillcolor="#ededee" stroked="f">
              <v:stroke joinstyle="round"/>
              <v:formulas/>
              <v:path arrowok="t" o:connecttype="segments"/>
            </v:shape>
            <v:line id="_x0000_s1944" style="position:absolute" from="7164,1432" to="7164,4658" strokecolor="#ededee" strokeweight="36e-5mm"/>
            <v:shape id="_x0000_s1943" style="position:absolute;left:4102;top:1431;width:3686;height:3555" coordorigin="4103,1432" coordsize="3686,3555" o:spt="100" adj="0,,0" path="m4386,4658r-283,l4103,4987r283,l4386,4658t2778,l4386,4658r,329l7164,4987r,-329m7788,1432r-624,l7164,4658r624,l7788,1432e" fillcolor="#ededee" stroked="f">
              <v:stroke joinstyle="round"/>
              <v:formulas/>
              <v:path arrowok="t" o:connecttype="segments"/>
            </v:shape>
            <v:line id="_x0000_s1942" style="position:absolute" from="7164,4658" to="7164,4987" strokecolor="#ededee" strokeweight="36e-5mm"/>
            <v:shape id="_x0000_s1941" style="position:absolute;left:4102;top:4657;width:3686;height:3052" coordorigin="4103,4658" coordsize="3686,3052" o:spt="100" adj="0,,0" path="m4386,4987r-283,l4103,7710r283,l4386,4987t2778,l4386,4987r,2723l7164,7710r,-2723m7788,4658r-624,l7164,4987r624,l7788,4658e" fillcolor="#ededee" stroked="f">
              <v:stroke joinstyle="round"/>
              <v:formulas/>
              <v:path arrowok="t" o:connecttype="segments"/>
            </v:shape>
            <v:line id="_x0000_s1940" style="position:absolute" from="7164,4987" to="7164,7710" strokecolor="#ededee" strokeweight="36e-5mm"/>
            <v:rect id="_x0000_s1939" style="position:absolute;left:7164;top:4986;width:624;height:2724" fillcolor="#ededee" stroked="f"/>
            <v:shape id="_x0000_s1938" style="position:absolute;left:4102;top:271;width:3686;height:30" coordorigin="4103,272" coordsize="3686,30" path="m7788,272r-624,l4386,272r-283,l4103,302r283,l7164,302r624,l7788,272e" fillcolor="#231f20" stroked="f">
              <v:path arrowok="t"/>
            </v:shape>
            <v:line id="_x0000_s1937" style="position:absolute" from="4103,428" to="4386,428" strokecolor="#231f20" strokeweight=".25pt"/>
            <v:line id="_x0000_s1936" style="position:absolute" from="4386,428" to="7164,428" strokecolor="#231f20" strokeweight=".25pt"/>
            <v:line id="_x0000_s1935" style="position:absolute" from="4386,602" to="4386,431" strokecolor="#231f20" strokeweight=".25pt"/>
            <v:line id="_x0000_s1934" style="position:absolute" from="7164,428" to="7788,428" strokecolor="#231f20" strokeweight=".25pt"/>
            <v:line id="_x0000_s1933" style="position:absolute" from="7164,602" to="7164,431" strokecolor="#231f20" strokeweight=".25pt"/>
            <v:line id="_x0000_s1932" style="position:absolute" from="4103,604" to="4386,604" strokecolor="#231f20" strokeweight=".25pt"/>
            <v:line id="_x0000_s1931" style="position:absolute" from="4386,604" to="7164,604" strokecolor="#231f20" strokeweight=".25pt"/>
            <v:line id="_x0000_s1930" style="position:absolute" from="4386,772" to="4386,607" strokecolor="#231f20" strokeweight=".25pt"/>
            <v:line id="_x0000_s1929" style="position:absolute" from="7164,604" to="7788,604" strokecolor="#231f20" strokeweight=".25pt"/>
            <v:line id="_x0000_s1928" style="position:absolute" from="7164,772" to="7164,607" strokecolor="#231f20" strokeweight=".25pt"/>
            <v:line id="_x0000_s1927" style="position:absolute" from="4103,774" to="4386,774" strokecolor="#231f20" strokeweight=".25pt"/>
            <v:line id="_x0000_s1926" style="position:absolute" from="4386,774" to="7164,774" strokecolor="#231f20" strokeweight=".25pt"/>
            <v:line id="_x0000_s1925" style="position:absolute" from="4386,942" to="4386,777" strokecolor="#231f20" strokeweight=".25pt"/>
            <v:line id="_x0000_s1924" style="position:absolute" from="7164,774" to="7788,774" strokecolor="#231f20" strokeweight=".25pt"/>
            <v:line id="_x0000_s1923" style="position:absolute" from="7164,942" to="7164,777" strokecolor="#231f20" strokeweight=".25pt"/>
            <v:line id="_x0000_s1922" style="position:absolute" from="4103,944" to="4386,944" strokecolor="#231f20" strokeweight=".25pt"/>
            <v:line id="_x0000_s1921" style="position:absolute" from="4386,944" to="7164,944" strokecolor="#231f20" strokeweight=".25pt"/>
            <v:line id="_x0000_s1920" style="position:absolute" from="4386,1254" to="4386,947" strokecolor="#231f20" strokeweight=".25pt"/>
            <v:line id="_x0000_s1919" style="position:absolute" from="7164,944" to="7788,944" strokecolor="#231f20" strokeweight=".25pt"/>
            <v:line id="_x0000_s1918" style="position:absolute" from="7164,1254" to="7164,947" strokecolor="#231f20" strokeweight=".25pt"/>
            <v:line id="_x0000_s1917" style="position:absolute" from="4103,1256" to="4386,1256" strokecolor="#231f20" strokeweight=".25pt"/>
            <v:line id="_x0000_s1916" style="position:absolute" from="4386,1256" to="7164,1256" strokecolor="#231f20" strokeweight=".25pt"/>
            <v:line id="_x0000_s1915" style="position:absolute" from="4386,1429" to="4386,1259" strokecolor="#231f20" strokeweight=".25pt"/>
            <v:line id="_x0000_s1914" style="position:absolute" from="7164,1256" to="7788,1256" strokecolor="#231f20" strokeweight=".25pt"/>
            <v:line id="_x0000_s1913" style="position:absolute" from="7164,1429" to="7164,1259" strokecolor="#231f20" strokeweight=".25pt"/>
            <v:line id="_x0000_s1912" style="position:absolute" from="4103,1432" to="4386,1432" strokecolor="#231f20" strokeweight=".25pt"/>
            <v:line id="_x0000_s1911" style="position:absolute" from="4386,1432" to="7164,1432" strokecolor="#231f20" strokeweight=".25pt"/>
            <v:line id="_x0000_s1910" style="position:absolute" from="4386,1605" to="4386,1434" strokecolor="#231f20" strokeweight=".25pt"/>
            <v:line id="_x0000_s1909" style="position:absolute" from="7164,1432" to="7788,1432" strokecolor="#231f20" strokeweight=".25pt"/>
            <v:line id="_x0000_s1908" style="position:absolute" from="7164,1605" to="7164,1434" strokecolor="#231f20" strokeweight=".25pt"/>
            <v:line id="_x0000_s1907" style="position:absolute" from="4103,1608" to="4386,1608" strokecolor="#231f20" strokeweight=".25pt"/>
            <v:line id="_x0000_s1906" style="position:absolute" from="4386,1608" to="7164,1608" strokecolor="#231f20" strokeweight=".25pt"/>
            <v:line id="_x0000_s1905" style="position:absolute" from="4386,1775" to="4386,1610" strokecolor="#231f20" strokeweight=".25pt"/>
            <v:line id="_x0000_s1904" style="position:absolute" from="7164,1608" to="7788,1608" strokecolor="#231f20" strokeweight=".25pt"/>
            <v:line id="_x0000_s1903" style="position:absolute" from="7164,1775" to="7164,1610" strokecolor="#231f20" strokeweight=".25pt"/>
            <v:line id="_x0000_s1902" style="position:absolute" from="4103,1778" to="4386,1778" strokecolor="#231f20" strokeweight=".25pt"/>
            <v:line id="_x0000_s1901" style="position:absolute" from="4386,1778" to="7164,1778" strokecolor="#231f20" strokeweight=".25pt"/>
            <v:line id="_x0000_s1900" style="position:absolute" from="4386,1945" to="4386,1780" strokecolor="#231f20" strokeweight=".25pt"/>
            <v:line id="_x0000_s1899" style="position:absolute" from="7164,1778" to="7788,1778" strokecolor="#231f20" strokeweight=".25pt"/>
            <v:line id="_x0000_s1898" style="position:absolute" from="7164,1945" to="7164,1780" strokecolor="#231f20" strokeweight=".25pt"/>
            <v:line id="_x0000_s1897" style="position:absolute" from="4103,1948" to="4386,1948" strokecolor="#231f20" strokeweight=".25pt"/>
            <v:line id="_x0000_s1896" style="position:absolute" from="4386,1948" to="7164,1948" strokecolor="#231f20" strokeweight=".25pt"/>
            <v:line id="_x0000_s1895" style="position:absolute" from="4386,2251" to="4386,1950" strokecolor="#231f20" strokeweight=".25pt"/>
            <v:line id="_x0000_s1894" style="position:absolute" from="7164,1948" to="7788,1948" strokecolor="#231f20" strokeweight=".25pt"/>
            <v:line id="_x0000_s1893" style="position:absolute" from="7164,2251" to="7164,1950" strokecolor="#231f20" strokeweight=".25pt"/>
            <v:line id="_x0000_s1892" style="position:absolute" from="4103,2254" to="4386,2254" strokecolor="#231f20" strokeweight=".25pt"/>
            <v:line id="_x0000_s1891" style="position:absolute" from="4386,2254" to="7164,2254" strokecolor="#231f20" strokeweight=".25pt"/>
            <v:line id="_x0000_s1890" style="position:absolute" from="4386,2422" to="4386,2256" strokecolor="#231f20" strokeweight=".25pt"/>
            <v:line id="_x0000_s1889" style="position:absolute" from="7164,2254" to="7788,2254" strokecolor="#231f20" strokeweight=".25pt"/>
            <v:line id="_x0000_s1888" style="position:absolute" from="7164,2422" to="7164,2256" strokecolor="#231f20" strokeweight=".25pt"/>
            <v:line id="_x0000_s1887" style="position:absolute" from="4103,2424" to="4386,2424" strokecolor="#231f20" strokeweight=".25pt"/>
            <v:line id="_x0000_s1886" style="position:absolute" from="4386,2424" to="7164,2424" strokecolor="#231f20" strokeweight=".25pt"/>
            <v:line id="_x0000_s1885" style="position:absolute" from="4386,2592" to="4386,2427" strokecolor="#231f20" strokeweight=".25pt"/>
            <v:line id="_x0000_s1884" style="position:absolute" from="7164,2424" to="7788,2424" strokecolor="#231f20" strokeweight=".25pt"/>
            <v:line id="_x0000_s1883" style="position:absolute" from="7164,2592" to="7164,2427" strokecolor="#231f20" strokeweight=".25pt"/>
            <v:line id="_x0000_s1882" style="position:absolute" from="4103,2594" to="4386,2594" strokecolor="#231f20" strokeweight=".25pt"/>
            <v:line id="_x0000_s1881" style="position:absolute" from="4386,2594" to="7164,2594" strokecolor="#231f20" strokeweight=".25pt"/>
            <v:line id="_x0000_s1880" style="position:absolute" from="4386,2750" to="4386,2597" strokecolor="#231f20" strokeweight=".25pt"/>
            <v:line id="_x0000_s1879" style="position:absolute" from="7164,2594" to="7788,2594" strokecolor="#231f20" strokeweight=".25pt"/>
            <v:line id="_x0000_s1878" style="position:absolute" from="7164,2750" to="7164,2597" strokecolor="#231f20" strokeweight=".25pt"/>
            <v:line id="_x0000_s1877" style="position:absolute" from="4103,2753" to="4386,2753" strokecolor="#231f20" strokeweight=".25pt"/>
            <v:line id="_x0000_s1876" style="position:absolute" from="4386,2753" to="7164,2753" strokecolor="#231f20" strokeweight=".25pt"/>
            <v:line id="_x0000_s1875" style="position:absolute" from="4386,2909" to="4386,2755" strokecolor="#231f20" strokeweight=".25pt"/>
            <v:line id="_x0000_s1874" style="position:absolute" from="7164,2753" to="7788,2753" strokecolor="#231f20" strokeweight=".25pt"/>
            <v:line id="_x0000_s1873" style="position:absolute" from="7164,2909" to="7164,2755" strokecolor="#231f20" strokeweight=".25pt"/>
            <v:line id="_x0000_s1872" style="position:absolute" from="4103,2912" to="4386,2912" strokecolor="#231f20" strokeweight=".25pt"/>
            <v:line id="_x0000_s1871" style="position:absolute" from="4386,2912" to="7164,2912" strokecolor="#231f20" strokeweight=".25pt"/>
            <v:line id="_x0000_s1870" style="position:absolute" from="4386,3068" to="4386,2914" strokecolor="#231f20" strokeweight=".25pt"/>
            <v:line id="_x0000_s1869" style="position:absolute" from="7164,2912" to="7788,2912" strokecolor="#231f20" strokeweight=".25pt"/>
            <v:line id="_x0000_s1868" style="position:absolute" from="7164,3068" to="7164,2914" strokecolor="#231f20" strokeweight=".25pt"/>
            <v:line id="_x0000_s1867" style="position:absolute" from="4103,3070" to="4386,3070" strokecolor="#231f20" strokeweight=".25pt"/>
            <v:line id="_x0000_s1866" style="position:absolute" from="4386,3070" to="7164,3070" strokecolor="#231f20" strokeweight=".25pt"/>
            <v:line id="_x0000_s1865" style="position:absolute" from="4386,3227" to="4386,3073" strokecolor="#231f20" strokeweight=".25pt"/>
            <v:line id="_x0000_s1864" style="position:absolute" from="7164,3070" to="7788,3070" strokecolor="#231f20" strokeweight=".25pt"/>
            <v:line id="_x0000_s1863" style="position:absolute" from="7164,3227" to="7164,3073" strokecolor="#231f20" strokeweight=".25pt"/>
            <v:line id="_x0000_s1862" style="position:absolute" from="4103,3229" to="4386,3229" strokecolor="#231f20" strokeweight=".25pt"/>
            <v:line id="_x0000_s1861" style="position:absolute" from="4386,3229" to="7164,3229" strokecolor="#231f20" strokeweight=".25pt"/>
            <v:line id="_x0000_s1860" style="position:absolute" from="4386,3521" to="4386,3232" strokecolor="#231f20" strokeweight=".25pt"/>
            <v:line id="_x0000_s1859" style="position:absolute" from="7164,3229" to="7788,3229" strokecolor="#231f20" strokeweight=".25pt"/>
            <v:line id="_x0000_s1858" style="position:absolute" from="7164,3521" to="7164,3232" strokecolor="#231f20" strokeweight=".25pt"/>
            <v:line id="_x0000_s1857" style="position:absolute" from="4103,3524" to="4386,3524" strokecolor="#231f20" strokeweight=".25pt"/>
            <v:line id="_x0000_s1856" style="position:absolute" from="4386,3524" to="7164,3524" strokecolor="#231f20" strokeweight=".25pt"/>
            <v:line id="_x0000_s1855" style="position:absolute" from="4386,3680" to="4386,3526" strokecolor="#231f20" strokeweight=".25pt"/>
            <v:line id="_x0000_s1854" style="position:absolute" from="7164,3524" to="7788,3524" strokecolor="#231f20" strokeweight=".25pt"/>
            <v:line id="_x0000_s1853" style="position:absolute" from="7164,3680" to="7164,3526" strokecolor="#231f20" strokeweight=".25pt"/>
            <v:line id="_x0000_s1852" style="position:absolute" from="4103,3683" to="4386,3683" strokecolor="#231f20" strokeweight=".25pt"/>
            <v:line id="_x0000_s1851" style="position:absolute" from="4386,3683" to="7164,3683" strokecolor="#231f20" strokeweight=".25pt"/>
            <v:line id="_x0000_s1850" style="position:absolute" from="4386,3839" to="4386,3685" strokecolor="#231f20" strokeweight=".25pt"/>
            <v:line id="_x0000_s1849" style="position:absolute" from="7164,3683" to="7788,3683" strokecolor="#231f20" strokeweight=".25pt"/>
            <v:line id="_x0000_s1848" style="position:absolute" from="7164,3839" to="7164,3685" strokecolor="#231f20" strokeweight=".25pt"/>
            <v:line id="_x0000_s1847" style="position:absolute" from="4103,3841" to="4386,3841" strokecolor="#231f20" strokeweight=".25pt"/>
            <v:line id="_x0000_s1846" style="position:absolute" from="4386,3841" to="7164,3841" strokecolor="#231f20" strokeweight=".25pt"/>
            <v:line id="_x0000_s1845" style="position:absolute" from="4386,3998" to="4386,3844" strokecolor="#231f20" strokeweight=".25pt"/>
            <v:line id="_x0000_s1844" style="position:absolute" from="7164,3841" to="7788,3841" strokecolor="#231f20" strokeweight=".25pt"/>
            <v:line id="_x0000_s1843" style="position:absolute" from="7164,3998" to="7164,3844" strokecolor="#231f20" strokeweight=".25pt"/>
            <v:line id="_x0000_s1842" style="position:absolute" from="4103,4000" to="4386,4000" strokecolor="#231f20" strokeweight=".25pt"/>
            <v:line id="_x0000_s1841" style="position:absolute" from="4386,4000" to="7164,4000" strokecolor="#231f20" strokeweight=".25pt"/>
            <v:line id="_x0000_s1840" style="position:absolute" from="4386,4162" to="4386,4003" strokecolor="#231f20" strokeweight=".25pt"/>
            <v:line id="_x0000_s1839" style="position:absolute" from="7164,4000" to="7788,4000" strokecolor="#231f20" strokeweight=".25pt"/>
            <v:line id="_x0000_s1838" style="position:absolute" from="7164,4162" to="7164,4003" strokecolor="#231f20" strokeweight=".25pt"/>
            <v:line id="_x0000_s1837" style="position:absolute" from="4103,4165" to="4386,4165" strokecolor="#231f20" strokeweight=".25pt"/>
            <v:line id="_x0000_s1836" style="position:absolute" from="4386,4165" to="7164,4165" strokecolor="#231f20" strokeweight=".25pt"/>
            <v:line id="_x0000_s1835" style="position:absolute" from="4386,4326" to="4386,4167" strokecolor="#231f20" strokeweight=".25pt"/>
            <v:line id="_x0000_s1834" style="position:absolute" from="7164,4165" to="7788,4165" strokecolor="#231f20" strokeweight=".25pt"/>
            <v:line id="_x0000_s1833" style="position:absolute" from="7164,4326" to="7164,4167" strokecolor="#231f20" strokeweight=".25pt"/>
            <v:line id="_x0000_s1832" style="position:absolute" from="4103,4329" to="4386,4329" strokecolor="#231f20" strokeweight=".25pt"/>
            <v:line id="_x0000_s1831" style="position:absolute" from="4386,4329" to="7164,4329" strokecolor="#231f20" strokeweight=".25pt"/>
            <v:line id="_x0000_s1830" style="position:absolute" from="4386,4491" to="4386,4331" strokecolor="#231f20" strokeweight=".25pt"/>
            <v:line id="_x0000_s1829" style="position:absolute" from="7164,4329" to="7788,4329" strokecolor="#231f20" strokeweight=".25pt"/>
            <v:line id="_x0000_s1828" style="position:absolute" from="7164,4491" to="7164,4331" strokecolor="#231f20" strokeweight=".25pt"/>
            <v:line id="_x0000_s1827" style="position:absolute" from="4103,4493" to="4386,4493" strokecolor="#231f20" strokeweight=".25pt"/>
            <v:line id="_x0000_s1826" style="position:absolute" from="4386,4493" to="7164,4493" strokecolor="#231f20" strokeweight=".25pt"/>
            <v:line id="_x0000_s1825" style="position:absolute" from="4386,4655" to="4386,4496" strokecolor="#231f20" strokeweight=".25pt"/>
            <v:line id="_x0000_s1824" style="position:absolute" from="7164,4493" to="7788,4493" strokecolor="#231f20" strokeweight=".25pt"/>
            <v:line id="_x0000_s1823" style="position:absolute" from="7164,4655" to="7164,4496" strokecolor="#231f20" strokeweight=".25pt"/>
            <v:line id="_x0000_s1822" style="position:absolute" from="4103,4658" to="4386,4658" strokecolor="#231f20" strokeweight=".25pt"/>
            <v:line id="_x0000_s1821" style="position:absolute" from="4386,4658" to="7164,4658" strokecolor="#231f20" strokeweight=".25pt"/>
            <v:line id="_x0000_s1820" style="position:absolute" from="4386,4820" to="4386,4660" strokecolor="#231f20" strokeweight=".25pt"/>
            <v:line id="_x0000_s1819" style="position:absolute" from="7164,4658" to="7788,4658" strokecolor="#231f20" strokeweight=".25pt"/>
            <v:line id="_x0000_s1818" style="position:absolute" from="7164,4820" to="7164,4660" strokecolor="#231f20" strokeweight=".25pt"/>
            <v:line id="_x0000_s1817" style="position:absolute" from="4103,4822" to="4386,4822" strokecolor="#231f20" strokeweight=".25pt"/>
            <v:line id="_x0000_s1816" style="position:absolute" from="4386,4822" to="7164,4822" strokecolor="#231f20" strokeweight=".25pt"/>
            <v:line id="_x0000_s1815" style="position:absolute" from="4386,4984" to="4386,4825" strokecolor="#231f20" strokeweight=".25pt"/>
            <v:line id="_x0000_s1814" style="position:absolute" from="7164,4822" to="7788,4822" strokecolor="#231f20" strokeweight=".25pt"/>
            <v:line id="_x0000_s1813" style="position:absolute" from="7164,4984" to="7164,4825" strokecolor="#231f20" strokeweight=".25pt"/>
            <v:line id="_x0000_s1812" style="position:absolute" from="4103,4987" to="4386,4987" strokecolor="#231f20" strokeweight=".25pt"/>
            <v:line id="_x0000_s1811" style="position:absolute" from="4386,4987" to="7164,4987" strokecolor="#231f20" strokeweight=".25pt"/>
            <v:line id="_x0000_s1810" style="position:absolute" from="4386,5298" to="4386,4989" strokecolor="#231f20" strokeweight=".25pt"/>
            <v:line id="_x0000_s1809" style="position:absolute" from="7164,4987" to="7788,4987" strokecolor="#231f20" strokeweight=".25pt"/>
            <v:line id="_x0000_s1808" style="position:absolute" from="7164,5298" to="7164,4989" strokecolor="#231f20" strokeweight=".25pt"/>
            <v:line id="_x0000_s1807" style="position:absolute" from="4103,5300" to="4386,5300" strokecolor="#231f20" strokeweight=".25pt"/>
            <v:line id="_x0000_s1806" style="position:absolute" from="4386,5300" to="7164,5300" strokecolor="#231f20" strokeweight=".25pt"/>
            <v:line id="_x0000_s1805" style="position:absolute" from="7164,5300" to="7788,5300" strokecolor="#231f20" strokeweight=".25pt"/>
            <v:line id="_x0000_s1804" style="position:absolute" from="4386,5819" to="4386,5655" strokecolor="#231f20" strokeweight=".25pt"/>
            <v:line id="_x0000_s1803" style="position:absolute" from="7164,5819" to="7164,5655" strokecolor="#231f20" strokeweight=".25pt"/>
            <v:line id="_x0000_s1802" style="position:absolute" from="4103,5822" to="4386,5822" strokecolor="#231f20" strokeweight=".25pt"/>
            <v:line id="_x0000_s1801" style="position:absolute" from="4386,5822" to="7164,5822" strokecolor="#231f20" strokeweight=".25pt"/>
            <v:line id="_x0000_s1800" style="position:absolute" from="4386,6001" to="4386,5824" strokecolor="#231f20" strokeweight=".25pt"/>
            <v:line id="_x0000_s1799" style="position:absolute" from="7164,5822" to="7788,5822" strokecolor="#231f20" strokeweight=".25pt"/>
            <v:line id="_x0000_s1798" style="position:absolute" from="7164,6001" to="7164,5824" strokecolor="#231f20" strokeweight=".25pt"/>
            <v:line id="_x0000_s1797" style="position:absolute" from="4103,6003" to="4386,6003" strokecolor="#231f20" strokeweight=".25pt"/>
            <v:line id="_x0000_s1796" style="position:absolute" from="4386,6003" to="7164,6003" strokecolor="#231f20" strokeweight=".25pt"/>
            <v:line id="_x0000_s1795" style="position:absolute" from="4386,6341" to="4386,6006" strokecolor="#231f20" strokeweight=".25pt"/>
            <v:line id="_x0000_s1794" style="position:absolute" from="7164,6003" to="7788,6003" strokecolor="#231f20" strokeweight=".25pt"/>
            <v:line id="_x0000_s1793" style="position:absolute" from="7164,6341" to="7164,6006" strokecolor="#231f20" strokeweight=".25pt"/>
            <v:line id="_x0000_s1792" style="position:absolute" from="4103,6343" to="4386,6343" strokecolor="#231f20" strokeweight=".25pt"/>
            <v:line id="_x0000_s1791" style="position:absolute" from="4386,6343" to="7164,6343" strokecolor="#231f20" strokeweight=".25pt"/>
            <v:line id="_x0000_s1790" style="position:absolute" from="4386,6653" to="4386,6346" strokecolor="#231f20" strokeweight=".25pt"/>
            <v:line id="_x0000_s1789" style="position:absolute" from="7164,6343" to="7788,6343" strokecolor="#231f20" strokeweight=".25pt"/>
            <v:line id="_x0000_s1788" style="position:absolute" from="7164,6653" to="7164,6346" strokecolor="#231f20" strokeweight=".25pt"/>
            <v:line id="_x0000_s1787" style="position:absolute" from="4103,6655" to="4386,6655" strokecolor="#231f20" strokeweight=".25pt"/>
            <v:line id="_x0000_s1786" style="position:absolute" from="4386,6655" to="7164,6655" strokecolor="#231f20" strokeweight=".25pt"/>
            <v:line id="_x0000_s1785" style="position:absolute" from="4386,6823" to="4386,6658" strokecolor="#231f20" strokeweight=".25pt"/>
            <v:line id="_x0000_s1784" style="position:absolute" from="7164,6655" to="7788,6655" strokecolor="#231f20" strokeweight=".25pt"/>
            <v:line id="_x0000_s1783" style="position:absolute" from="7164,6823" to="7164,6658" strokecolor="#231f20" strokeweight=".25pt"/>
            <v:line id="_x0000_s1782" style="position:absolute" from="4103,6825" to="4386,6825" strokecolor="#231f20" strokeweight=".25pt"/>
            <v:line id="_x0000_s1781" style="position:absolute" from="4386,6825" to="7164,6825" strokecolor="#231f20" strokeweight=".25pt"/>
            <v:line id="_x0000_s1780" style="position:absolute" from="4386,6993" to="4386,6828" strokecolor="#231f20" strokeweight=".25pt"/>
            <v:line id="_x0000_s1779" style="position:absolute" from="7164,6825" to="7788,6825" strokecolor="#231f20" strokeweight=".25pt"/>
            <v:line id="_x0000_s1778" style="position:absolute" from="7164,6993" to="7164,6828" strokecolor="#231f20" strokeweight=".25pt"/>
            <v:line id="_x0000_s1777" style="position:absolute" from="4103,6995" to="4386,6995" strokecolor="#231f20" strokeweight=".25pt"/>
            <v:line id="_x0000_s1776" style="position:absolute" from="4386,6995" to="7164,6995" strokecolor="#231f20" strokeweight=".25pt"/>
            <v:line id="_x0000_s1775" style="position:absolute" from="4386,7163" to="4386,6998" strokecolor="#231f20" strokeweight=".25pt"/>
            <v:line id="_x0000_s1774" style="position:absolute" from="7164,6995" to="7788,6995" strokecolor="#231f20" strokeweight=".25pt"/>
            <v:line id="_x0000_s1773" style="position:absolute" from="7164,7163" to="7164,6998" strokecolor="#231f20" strokeweight=".25pt"/>
            <v:line id="_x0000_s1772" style="position:absolute" from="4103,7165" to="4386,7165" strokecolor="#231f20" strokeweight=".25pt"/>
            <v:line id="_x0000_s1771" style="position:absolute" from="4386,7165" to="7164,7165" strokecolor="#231f20" strokeweight=".25pt"/>
            <v:line id="_x0000_s1770" style="position:absolute" from="4386,7344" to="4386,7168" strokecolor="#231f20" strokeweight=".25pt"/>
            <v:line id="_x0000_s1769" style="position:absolute" from="7164,7165" to="7788,7165" strokecolor="#231f20" strokeweight=".25pt"/>
            <v:line id="_x0000_s1768" style="position:absolute" from="7164,7344" to="7164,7168" strokecolor="#231f20" strokeweight=".25pt"/>
            <v:line id="_x0000_s1767" style="position:absolute" from="4103,7347" to="4386,7347" strokecolor="#231f20" strokeweight=".25pt"/>
            <v:line id="_x0000_s1766" style="position:absolute" from="4386,7347" to="7164,7347" strokecolor="#231f20" strokeweight=".25pt"/>
            <v:line id="_x0000_s1765" style="position:absolute" from="4386,7514" to="4386,7349" strokecolor="#231f20" strokeweight=".25pt"/>
            <v:line id="_x0000_s1764" style="position:absolute" from="7164,7347" to="7788,7347" strokecolor="#231f20" strokeweight=".25pt"/>
            <v:line id="_x0000_s1763" style="position:absolute" from="7164,7514" to="7164,7349" strokecolor="#231f20" strokeweight=".25pt"/>
            <v:line id="_x0000_s1762" style="position:absolute" from="4103,7517" to="4386,7517" strokecolor="#231f20" strokeweight=".25pt"/>
            <v:line id="_x0000_s1761" style="position:absolute" from="4386,7517" to="7164,7517" strokecolor="#231f20" strokeweight=".25pt"/>
            <v:line id="_x0000_s1760" style="position:absolute" from="4386,7710" to="4386,7519" strokecolor="#231f20" strokeweight=".25pt"/>
            <v:line id="_x0000_s1759" style="position:absolute" from="7164,7517" to="7788,7517" strokecolor="#231f20" strokeweight=".25pt"/>
            <v:line id="_x0000_s1758" style="position:absolute" from="7164,7710" to="7164,7519" strokecolor="#231f20" strokeweight=".25pt"/>
            <v:shape id="_x0000_s1757" style="position:absolute;left:4102;top:5398;width:3686;height:257" coordorigin="4103,5399" coordsize="3686,257" o:spt="100" adj="0,,0" path="m7788,5625r-624,l4386,5625r-283,l4103,5655r283,l7164,5655r624,l7788,5625t,-226l7164,5399r-2778,l4103,5399r,30l4386,5429r2778,l7788,5429r,-30e" fillcolor="#231f20" stroked="f">
              <v:stroke joinstyle="round"/>
              <v:formulas/>
              <v:path arrowok="t" o:connecttype="segments"/>
            </v:shape>
            <v:shape id="_x0000_s1756" style="position:absolute;left:7944;top:59;width:3686;height:7672" coordorigin="7945,60" coordsize="3686,7672" o:spt="100" adj="0,,0" path="m11630,3431r-624,l8228,3431r-283,l7945,7731r283,l11006,7731r624,l11630,3431t,-479l11006,2952r-2778,l7945,2952r,476l8228,3428r2778,l11630,3428r,-476m11630,60r-624,l8228,60r-283,l7945,612r,867l7945,2952r283,l11006,2952r624,l11630,1479r,-867l11630,60e" fillcolor="#ededee" stroked="f">
              <v:stroke joinstyle="round"/>
              <v:formulas/>
              <v:path arrowok="t" o:connecttype="segments"/>
            </v:shape>
            <v:shape id="_x0000_s1755" style="position:absolute;left:7944;top:271;width:3686;height:30" coordorigin="7945,272" coordsize="3686,30" path="m11630,272r-624,l8228,272r-283,l7945,302r283,l11006,302r624,l11630,272e" fillcolor="#231f20" stroked="f">
              <v:path arrowok="t"/>
            </v:shape>
            <v:line id="_x0000_s1754" style="position:absolute" from="7945,425" to="8228,425" strokecolor="#231f20" strokeweight=".25pt"/>
            <v:line id="_x0000_s1753" style="position:absolute" from="8228,425" to="11006,425" strokecolor="#231f20" strokeweight=".25pt"/>
            <v:line id="_x0000_s1752" style="position:absolute" from="8228,609" to="8228,427" strokecolor="#231f20" strokeweight=".25pt"/>
            <v:line id="_x0000_s1751" style="position:absolute" from="11006,425" to="11630,425" strokecolor="#231f20" strokeweight=".25pt"/>
            <v:line id="_x0000_s1750" style="position:absolute" from="11006,609" to="11006,427" strokecolor="#231f20" strokeweight=".25pt"/>
            <v:line id="_x0000_s1749" style="position:absolute" from="7945,612" to="8228,612" strokecolor="#231f20" strokeweight=".25pt"/>
            <v:line id="_x0000_s1748" style="position:absolute" from="8228,612" to="11006,612" strokecolor="#231f20" strokeweight=".25pt"/>
            <v:line id="_x0000_s1747" style="position:absolute" from="8228,779" to="8228,614" strokecolor="#231f20" strokeweight=".25pt"/>
            <v:line id="_x0000_s1746" style="position:absolute" from="11006,612" to="11630,612" strokecolor="#231f20" strokeweight=".25pt"/>
            <v:line id="_x0000_s1745" style="position:absolute" from="11006,779" to="11006,614" strokecolor="#231f20" strokeweight=".25pt"/>
            <v:line id="_x0000_s1744" style="position:absolute" from="7945,782" to="8228,782" strokecolor="#231f20" strokeweight=".25pt"/>
            <v:line id="_x0000_s1743" style="position:absolute" from="8228,782" to="11006,782" strokecolor="#231f20" strokeweight=".25pt"/>
            <v:line id="_x0000_s1742" style="position:absolute" from="8228,950" to="8228,784" strokecolor="#231f20" strokeweight=".25pt"/>
            <v:line id="_x0000_s1741" style="position:absolute" from="11006,782" to="11630,782" strokecolor="#231f20" strokeweight=".25pt"/>
            <v:line id="_x0000_s1740" style="position:absolute" from="11006,950" to="11006,784" strokecolor="#231f20" strokeweight=".25pt"/>
            <v:line id="_x0000_s1739" style="position:absolute" from="7945,952" to="8228,952" strokecolor="#231f20" strokeweight=".25pt"/>
            <v:line id="_x0000_s1738" style="position:absolute" from="8228,952" to="11006,952" strokecolor="#231f20" strokeweight=".25pt"/>
            <v:line id="_x0000_s1737" style="position:absolute" from="8228,1120" to="8228,955" strokecolor="#231f20" strokeweight=".25pt"/>
            <v:line id="_x0000_s1736" style="position:absolute" from="11006,952" to="11630,952" strokecolor="#231f20" strokeweight=".25pt"/>
            <v:line id="_x0000_s1735" style="position:absolute" from="11006,1120" to="11006,955" strokecolor="#231f20" strokeweight=".25pt"/>
            <v:line id="_x0000_s1734" style="position:absolute" from="7945,1122" to="8228,1122" strokecolor="#231f20" strokeweight=".25pt"/>
            <v:line id="_x0000_s1733" style="position:absolute" from="8228,1122" to="11006,1122" strokecolor="#231f20" strokeweight=".25pt"/>
            <v:line id="_x0000_s1732" style="position:absolute" from="8228,1290" to="8228,1125" strokecolor="#231f20" strokeweight=".25pt"/>
            <v:line id="_x0000_s1731" style="position:absolute" from="11006,1122" to="11630,1122" strokecolor="#231f20" strokeweight=".25pt"/>
            <v:line id="_x0000_s1730" style="position:absolute" from="11006,1290" to="11006,1125" strokecolor="#231f20" strokeweight=".25pt"/>
            <v:line id="_x0000_s1729" style="position:absolute" from="7945,1292" to="8228,1292" strokecolor="#231f20" strokeweight=".25pt"/>
            <v:line id="_x0000_s1728" style="position:absolute" from="8228,1292" to="11006,1292" strokecolor="#231f20" strokeweight=".25pt"/>
            <v:line id="_x0000_s1727" style="position:absolute" from="8228,1477" to="8228,1295" strokecolor="#231f20" strokeweight=".25pt"/>
            <v:line id="_x0000_s1726" style="position:absolute" from="11006,1292" to="11630,1292" strokecolor="#231f20" strokeweight=".25pt"/>
            <v:line id="_x0000_s1725" style="position:absolute" from="11006,1477" to="11006,1295" strokecolor="#231f20" strokeweight=".25pt"/>
            <v:line id="_x0000_s1724" style="position:absolute" from="7945,1479" to="8228,1479" strokecolor="#231f20" strokeweight=".25pt"/>
            <v:line id="_x0000_s1723" style="position:absolute" from="8228,1479" to="11006,1479" strokecolor="#231f20" strokeweight=".25pt"/>
            <v:line id="_x0000_s1722" style="position:absolute" from="8228,1783" to="8228,1482" strokecolor="#231f20" strokeweight=".25pt"/>
            <v:line id="_x0000_s1721" style="position:absolute" from="11006,1479" to="11630,1479" strokecolor="#231f20" strokeweight=".25pt"/>
            <v:line id="_x0000_s1720" style="position:absolute" from="11006,1783" to="11006,1482" strokecolor="#231f20" strokeweight=".25pt"/>
            <v:line id="_x0000_s1719" style="position:absolute" from="7945,1785" to="8228,1785" strokecolor="#231f20" strokeweight=".25pt"/>
            <v:line id="_x0000_s1718" style="position:absolute" from="8228,1785" to="11006,1785" strokecolor="#231f20" strokeweight=".25pt"/>
            <v:line id="_x0000_s1717" style="position:absolute" from="8228,2089" to="8228,1788" strokecolor="#231f20" strokeweight=".25pt"/>
            <v:line id="_x0000_s1716" style="position:absolute" from="11006,1785" to="11630,1785" strokecolor="#231f20" strokeweight=".25pt"/>
            <v:line id="_x0000_s1715" style="position:absolute" from="11006,2089" to="11006,1788" strokecolor="#231f20" strokeweight=".25pt"/>
            <v:line id="_x0000_s1714" style="position:absolute" from="7945,2092" to="8228,2092" strokecolor="#231f20" strokeweight=".25pt"/>
            <v:line id="_x0000_s1713" style="position:absolute" from="8228,2092" to="11006,2092" strokecolor="#231f20" strokeweight=".25pt"/>
            <v:line id="_x0000_s1712" style="position:absolute" from="8228,2276" to="8228,2094" strokecolor="#231f20" strokeweight=".25pt"/>
            <v:line id="_x0000_s1711" style="position:absolute" from="11006,2092" to="11630,2092" strokecolor="#231f20" strokeweight=".25pt"/>
            <v:line id="_x0000_s1710" style="position:absolute" from="11006,2276" to="11006,2094" strokecolor="#231f20" strokeweight=".25pt"/>
            <v:line id="_x0000_s1709" style="position:absolute" from="7945,2279" to="8228,2279" strokecolor="#231f20" strokeweight=".25pt"/>
            <v:line id="_x0000_s1708" style="position:absolute" from="8228,2279" to="11006,2279" strokecolor="#231f20" strokeweight=".25pt"/>
            <v:line id="_x0000_s1707" style="position:absolute" from="11006,2279" to="11630,2279" strokecolor="#231f20" strokeweight=".25pt"/>
            <v:line id="_x0000_s1706" style="position:absolute" from="8228,2949" to="8228,2661" strokecolor="#231f20" strokeweight=".25pt"/>
            <v:line id="_x0000_s1705" style="position:absolute" from="11006,2949" to="11006,2661" strokecolor="#231f20" strokeweight=".25pt"/>
            <v:line id="_x0000_s1704" style="position:absolute" from="7945,2952" to="8228,2952" strokecolor="#231f20" strokeweight=".25pt"/>
            <v:line id="_x0000_s1703" style="position:absolute" from="8228,2952" to="11006,2952" strokecolor="#231f20" strokeweight=".25pt"/>
            <v:line id="_x0000_s1702" style="position:absolute" from="8228,3120" to="8228,2954" strokecolor="#231f20" strokeweight=".25pt"/>
            <v:line id="_x0000_s1701" style="position:absolute" from="11006,2952" to="11630,2952" strokecolor="#231f20" strokeweight=".25pt"/>
            <v:line id="_x0000_s1700" style="position:absolute" from="11006,3120" to="11006,2954" strokecolor="#231f20" strokeweight=".25pt"/>
            <v:line id="_x0000_s1699" style="position:absolute" from="7945,3122" to="8228,3122" strokecolor="#231f20" strokeweight=".25pt"/>
            <v:line id="_x0000_s1698" style="position:absolute" from="8228,3122" to="11006,3122" strokecolor="#231f20" strokeweight=".25pt"/>
            <v:line id="_x0000_s1697" style="position:absolute" from="8228,3426" to="8228,3125" strokecolor="#231f20" strokeweight=".25pt"/>
            <v:line id="_x0000_s1696" style="position:absolute" from="11006,3122" to="11630,3122" strokecolor="#231f20" strokeweight=".25pt"/>
            <v:line id="_x0000_s1695" style="position:absolute" from="11006,3426" to="11006,3125" strokecolor="#231f20" strokeweight=".25pt"/>
            <v:line id="_x0000_s1694" style="position:absolute" from="7945,3428" to="8228,3428" strokecolor="#231f20" strokeweight=".25pt"/>
            <v:line id="_x0000_s1693" style="position:absolute" from="8228,3428" to="11006,3428" strokecolor="#231f20" strokeweight=".25pt"/>
            <v:line id="_x0000_s1692" style="position:absolute" from="8228,3732" to="8228,3431" strokecolor="#231f20" strokeweight=".25pt"/>
            <v:line id="_x0000_s1691" style="position:absolute" from="11006,3428" to="11630,3428" strokecolor="#231f20" strokeweight=".25pt"/>
            <v:line id="_x0000_s1690" style="position:absolute" from="11006,3732" to="11006,3431" strokecolor="#231f20" strokeweight=".25pt"/>
            <v:line id="_x0000_s1689" style="position:absolute" from="7945,3734" to="8228,3734" strokecolor="#231f20" strokeweight=".25pt"/>
            <v:line id="_x0000_s1688" style="position:absolute" from="8228,3734" to="11006,3734" strokecolor="#231f20" strokeweight=".25pt"/>
            <v:line id="_x0000_s1687" style="position:absolute" from="8228,4038" to="8228,3737" strokecolor="#231f20" strokeweight=".25pt"/>
            <v:line id="_x0000_s1686" style="position:absolute" from="11006,3734" to="11630,3734" strokecolor="#231f20" strokeweight=".25pt"/>
            <v:line id="_x0000_s1685" style="position:absolute" from="11006,4038" to="11006,3737" strokecolor="#231f20" strokeweight=".25pt"/>
            <v:line id="_x0000_s1684" style="position:absolute" from="7945,4040" to="8228,4040" strokecolor="#231f20" strokeweight=".25pt"/>
            <v:line id="_x0000_s1683" style="position:absolute" from="8228,4040" to="11006,4040" strokecolor="#231f20" strokeweight=".25pt"/>
            <v:line id="_x0000_s1682" style="position:absolute" from="8228,4208" to="8228,4043" strokecolor="#231f20" strokeweight=".25pt"/>
            <v:line id="_x0000_s1681" style="position:absolute" from="11006,4040" to="11630,4040" strokecolor="#231f20" strokeweight=".25pt"/>
            <v:line id="_x0000_s1680" style="position:absolute" from="11006,4208" to="11006,4043" strokecolor="#231f20" strokeweight=".25pt"/>
            <v:line id="_x0000_s1679" style="position:absolute" from="7945,4211" to="8228,4211" strokecolor="#231f20" strokeweight=".25pt"/>
            <v:line id="_x0000_s1678" style="position:absolute" from="8228,4211" to="11006,4211" strokecolor="#231f20" strokeweight=".25pt"/>
            <v:line id="_x0000_s1677" style="position:absolute" from="8228,4378" to="8228,4213" strokecolor="#231f20" strokeweight=".25pt"/>
            <v:line id="_x0000_s1676" style="position:absolute" from="11006,4211" to="11630,4211" strokecolor="#231f20" strokeweight=".25pt"/>
            <v:line id="_x0000_s1675" style="position:absolute" from="11006,4378" to="11006,4213" strokecolor="#231f20" strokeweight=".25pt"/>
            <v:line id="_x0000_s1674" style="position:absolute" from="7945,4381" to="8228,4381" strokecolor="#231f20" strokeweight=".25pt"/>
            <v:line id="_x0000_s1673" style="position:absolute" from="8228,4381" to="11006,4381" strokecolor="#231f20" strokeweight=".25pt"/>
            <v:line id="_x0000_s1672" style="position:absolute" from="8228,4560" to="8228,4383" strokecolor="#231f20" strokeweight=".25pt"/>
            <v:line id="_x0000_s1671" style="position:absolute" from="11006,4381" to="11630,4381" strokecolor="#231f20" strokeweight=".25pt"/>
            <v:line id="_x0000_s1670" style="position:absolute" from="11006,4560" to="11006,4383" strokecolor="#231f20" strokeweight=".25pt"/>
            <v:line id="_x0000_s1669" style="position:absolute" from="7945,4562" to="8228,4562" strokecolor="#231f20" strokeweight=".25pt"/>
            <v:line id="_x0000_s1668" style="position:absolute" from="8228,4562" to="11006,4562" strokecolor="#231f20" strokeweight=".25pt"/>
            <v:line id="_x0000_s1667" style="position:absolute" from="8228,4741" to="8228,4565" strokecolor="#231f20" strokeweight=".25pt"/>
            <v:line id="_x0000_s1666" style="position:absolute" from="11006,4562" to="11630,4562" strokecolor="#231f20" strokeweight=".25pt"/>
            <v:line id="_x0000_s1665" style="position:absolute" from="11006,4741" to="11006,4565" strokecolor="#231f20" strokeweight=".25pt"/>
            <v:line id="_x0000_s1664" style="position:absolute" from="7945,4743" to="8228,4743" strokecolor="#231f20" strokeweight=".25pt"/>
            <v:line id="_x0000_s1663" style="position:absolute" from="8228,4743" to="11006,4743" strokecolor="#231f20" strokeweight=".25pt"/>
            <v:line id="_x0000_s1662" style="position:absolute" from="8228,4922" to="8228,4746" strokecolor="#231f20" strokeweight=".25pt"/>
            <v:line id="_x0000_s1661" style="position:absolute" from="11006,4743" to="11630,4743" strokecolor="#231f20" strokeweight=".25pt"/>
            <v:line id="_x0000_s1660" style="position:absolute" from="11006,4922" to="11006,4746" strokecolor="#231f20" strokeweight=".25pt"/>
            <v:line id="_x0000_s1659" style="position:absolute" from="7945,4925" to="8228,4925" strokecolor="#231f20" strokeweight=".25pt"/>
            <v:line id="_x0000_s1658" style="position:absolute" from="8228,4925" to="11006,4925" strokecolor="#231f20" strokeweight=".25pt"/>
            <v:line id="_x0000_s1657" style="position:absolute" from="8228,5104" to="8228,4927" strokecolor="#231f20" strokeweight=".25pt"/>
            <v:line id="_x0000_s1656" style="position:absolute" from="11006,4925" to="11630,4925" strokecolor="#231f20" strokeweight=".25pt"/>
            <v:line id="_x0000_s1655" style="position:absolute" from="11006,5104" to="11006,4927" strokecolor="#231f20" strokeweight=".25pt"/>
            <v:line id="_x0000_s1654" style="position:absolute" from="7945,5106" to="8228,5106" strokecolor="#231f20" strokeweight=".25pt"/>
            <v:line id="_x0000_s1653" style="position:absolute" from="8228,5106" to="11006,5106" strokecolor="#231f20" strokeweight=".25pt"/>
            <v:line id="_x0000_s1652" style="position:absolute" from="8228,5285" to="8228,5109" strokecolor="#231f20" strokeweight=".25pt"/>
            <v:line id="_x0000_s1651" style="position:absolute" from="11006,5106" to="11630,5106" strokecolor="#231f20" strokeweight=".25pt"/>
            <v:line id="_x0000_s1650" style="position:absolute" from="11006,5285" to="11006,5109" strokecolor="#231f20" strokeweight=".25pt"/>
            <v:line id="_x0000_s1649" style="position:absolute" from="7945,5288" to="8228,5288" strokecolor="#231f20" strokeweight=".25pt"/>
            <v:line id="_x0000_s1648" style="position:absolute" from="8228,5288" to="11006,5288" strokecolor="#231f20" strokeweight=".25pt"/>
            <v:line id="_x0000_s1647" style="position:absolute" from="8228,5467" to="8228,5290" strokecolor="#231f20" strokeweight=".25pt"/>
            <v:line id="_x0000_s1646" style="position:absolute" from="11006,5288" to="11630,5288" strokecolor="#231f20" strokeweight=".25pt"/>
            <v:line id="_x0000_s1645" style="position:absolute" from="11006,5467" to="11006,5290" strokecolor="#231f20" strokeweight=".25pt"/>
            <v:line id="_x0000_s1644" style="position:absolute" from="7945,5469" to="8228,5469" strokecolor="#231f20" strokeweight=".25pt"/>
            <v:line id="_x0000_s1643" style="position:absolute" from="8228,5469" to="11006,5469" strokecolor="#231f20" strokeweight=".25pt"/>
            <v:line id="_x0000_s1642" style="position:absolute" from="8228,5648" to="8228,5472" strokecolor="#231f20" strokeweight=".25pt"/>
            <v:line id="_x0000_s1641" style="position:absolute" from="11006,5469" to="11630,5469" strokecolor="#231f20" strokeweight=".25pt"/>
            <v:line id="_x0000_s1640" style="position:absolute" from="11006,5648" to="11006,5472" strokecolor="#231f20" strokeweight=".25pt"/>
            <v:line id="_x0000_s1639" style="position:absolute" from="7945,5651" to="8228,5651" strokecolor="#231f20" strokeweight=".25pt"/>
            <v:line id="_x0000_s1638" style="position:absolute" from="8228,5651" to="11006,5651" strokecolor="#231f20" strokeweight=".25pt"/>
            <v:line id="_x0000_s1637" style="position:absolute" from="8228,5960" to="8228,5653" strokecolor="#231f20" strokeweight=".25pt"/>
            <v:line id="_x0000_s1636" style="position:absolute" from="11006,5651" to="11630,5651" strokecolor="#231f20" strokeweight=".25pt"/>
            <v:line id="_x0000_s1635" style="position:absolute" from="11006,5960" to="11006,5653" strokecolor="#231f20" strokeweight=".25pt"/>
            <v:line id="_x0000_s1634" style="position:absolute" from="7945,5962" to="8228,5962" strokecolor="#231f20" strokeweight=".25pt"/>
            <v:line id="_x0000_s1633" style="position:absolute" from="8228,5962" to="11006,5962" strokecolor="#231f20" strokeweight=".25pt"/>
            <v:line id="_x0000_s1632" style="position:absolute" from="8228,6141" to="8228,5965" strokecolor="#231f20" strokeweight=".25pt"/>
            <v:line id="_x0000_s1631" style="position:absolute" from="11006,5962" to="11630,5962" strokecolor="#231f20" strokeweight=".25pt"/>
            <v:line id="_x0000_s1630" style="position:absolute" from="11006,6141" to="11006,5965" strokecolor="#231f20" strokeweight=".25pt"/>
            <v:line id="_x0000_s1629" style="position:absolute" from="7945,6144" to="8228,6144" strokecolor="#231f20" strokeweight=".25pt"/>
            <v:line id="_x0000_s1628" style="position:absolute" from="8228,6144" to="11006,6144" strokecolor="#231f20" strokeweight=".25pt"/>
            <v:line id="_x0000_s1627" style="position:absolute" from="8228,6323" to="8228,6146" strokecolor="#231f20" strokeweight=".25pt"/>
            <v:line id="_x0000_s1626" style="position:absolute" from="11006,6144" to="11630,6144" strokecolor="#231f20" strokeweight=".25pt"/>
            <v:line id="_x0000_s1625" style="position:absolute" from="11006,6323" to="11006,6146" strokecolor="#231f20" strokeweight=".25pt"/>
            <v:line id="_x0000_s1624" style="position:absolute" from="7945,6325" to="8228,6325" strokecolor="#231f20" strokeweight=".25pt"/>
            <v:line id="_x0000_s1623" style="position:absolute" from="8228,6325" to="11006,6325" strokecolor="#231f20" strokeweight=".25pt"/>
            <v:line id="_x0000_s1622" style="position:absolute" from="8228,6504" to="8228,6328" strokecolor="#231f20" strokeweight=".25pt"/>
            <v:line id="_x0000_s1621" style="position:absolute" from="11006,6325" to="11630,6325" strokecolor="#231f20" strokeweight=".25pt"/>
            <v:line id="_x0000_s1620" style="position:absolute" from="11006,6504" to="11006,6328" strokecolor="#231f20" strokeweight=".25pt"/>
            <v:line id="_x0000_s1619" style="position:absolute" from="7945,6507" to="8228,6507" strokecolor="#231f20" strokeweight=".25pt"/>
            <v:line id="_x0000_s1618" style="position:absolute" from="8228,6507" to="11006,6507" strokecolor="#231f20" strokeweight=".25pt"/>
            <v:line id="_x0000_s1617" style="position:absolute" from="8228,6686" to="8228,6509" strokecolor="#231f20" strokeweight=".25pt"/>
            <v:line id="_x0000_s1616" style="position:absolute" from="11006,6507" to="11630,6507" strokecolor="#231f20" strokeweight=".25pt"/>
            <v:line id="_x0000_s1615" style="position:absolute" from="11006,6686" to="11006,6509" strokecolor="#231f20" strokeweight=".25pt"/>
            <v:line id="_x0000_s1614" style="position:absolute" from="7945,6688" to="8228,6688" strokecolor="#231f20" strokeweight=".25pt"/>
            <v:line id="_x0000_s1613" style="position:absolute" from="8228,6688" to="11006,6688" strokecolor="#231f20" strokeweight=".25pt"/>
            <v:line id="_x0000_s1612" style="position:absolute" from="8228,6867" to="8228,6691" strokecolor="#231f20" strokeweight=".25pt"/>
            <v:line id="_x0000_s1611" style="position:absolute" from="11006,6688" to="11630,6688" strokecolor="#231f20" strokeweight=".25pt"/>
            <v:line id="_x0000_s1610" style="position:absolute" from="11006,6867" to="11006,6691" strokecolor="#231f20" strokeweight=".25pt"/>
            <v:line id="_x0000_s1609" style="position:absolute" from="7945,6869" to="8228,6869" strokecolor="#231f20" strokeweight=".25pt"/>
            <v:line id="_x0000_s1608" style="position:absolute" from="8228,6869" to="11006,6869" strokecolor="#231f20" strokeweight=".25pt"/>
            <v:line id="_x0000_s1607" style="position:absolute" from="8228,7179" to="8228,6872" strokecolor="#231f20" strokeweight=".25pt"/>
            <v:line id="_x0000_s1606" style="position:absolute" from="11006,6869" to="11630,6869" strokecolor="#231f20" strokeweight=".25pt"/>
            <v:line id="_x0000_s1605" style="position:absolute" from="11006,7179" to="11006,6872" strokecolor="#231f20" strokeweight=".25pt"/>
            <v:line id="_x0000_s1604" style="position:absolute" from="7945,7181" to="8228,7181" strokecolor="#231f20" strokeweight=".25pt"/>
            <v:line id="_x0000_s1603" style="position:absolute" from="8228,7181" to="11006,7181" strokecolor="#231f20" strokeweight=".25pt"/>
            <v:line id="_x0000_s1602" style="position:absolute" from="8228,7360" to="8228,7184" strokecolor="#231f20" strokeweight=".25pt"/>
            <v:line id="_x0000_s1601" style="position:absolute" from="11006,7181" to="11630,7181" strokecolor="#231f20" strokeweight=".25pt"/>
            <v:line id="_x0000_s1600" style="position:absolute" from="11006,7360" to="11006,7184" strokecolor="#231f20" strokeweight=".25pt"/>
            <v:line id="_x0000_s1599" style="position:absolute" from="7945,7363" to="8228,7363" strokecolor="#231f20" strokeweight=".25pt"/>
            <v:line id="_x0000_s1598" style="position:absolute" from="8228,7363" to="11006,7363" strokecolor="#231f20" strokeweight=".25pt"/>
            <v:line id="_x0000_s1597" style="position:absolute" from="8228,7542" to="8228,7365" strokecolor="#231f20" strokeweight=".25pt"/>
            <v:line id="_x0000_s1596" style="position:absolute" from="11006,7363" to="11630,7363" strokecolor="#231f20" strokeweight=".25pt"/>
            <v:line id="_x0000_s1595" style="position:absolute" from="11006,7542" to="11006,7365" strokecolor="#231f20" strokeweight=".25pt"/>
            <v:line id="_x0000_s1594" style="position:absolute" from="7945,7544" to="8228,7544" strokecolor="#231f20" strokeweight=".25pt"/>
            <v:line id="_x0000_s1593" style="position:absolute" from="8228,7544" to="11006,7544" strokecolor="#231f20" strokeweight=".25pt"/>
            <v:line id="_x0000_s1592" style="position:absolute" from="8228,7731" to="8228,7547" strokecolor="#231f20" strokeweight=".25pt"/>
            <v:line id="_x0000_s1591" style="position:absolute" from="11006,7544" to="11630,7544" strokecolor="#231f20" strokeweight=".25pt"/>
            <v:line id="_x0000_s1590" style="position:absolute" from="11006,7731" to="11006,7547" strokecolor="#231f20" strokeweight=".25pt"/>
            <v:shape id="_x0000_s1589" style="position:absolute;left:7944;top:2404;width:3686;height:257" coordorigin="7945,2404" coordsize="3686,257" o:spt="100" adj="0,,0" path="m11630,2631r-624,l8228,2631r-283,l7945,2661r283,l11006,2661r624,l11630,2631t,-227l11006,2404r-2778,l7945,2404r,30l8228,2434r2778,l11630,2434r,-30e" fillcolor="#231f20" stroked="f">
              <v:stroke joinstyle="round"/>
              <v:formulas/>
              <v:path arrowok="t" o:connecttype="segments"/>
            </v:shape>
            <v:line id="_x0000_s1588" style="position:absolute" from="283,7721" to="11622,7721" strokecolor="#231f20" strokeweight="1.5pt"/>
            <v:line id="_x0000_s1587" style="position:absolute" from="283,61" to="11622,61" strokecolor="#231f20" strokeweight="1.5pt"/>
            <w10:wrap anchorx="page"/>
          </v:group>
        </w:pict>
      </w:r>
      <w:r w:rsidR="00216117">
        <w:rPr>
          <w:b/>
          <w:color w:val="231F20"/>
          <w:position w:val="1"/>
          <w:sz w:val="12"/>
        </w:rPr>
        <w:t>pol.</w:t>
      </w:r>
      <w:r w:rsidR="00216117">
        <w:rPr>
          <w:b/>
          <w:color w:val="231F20"/>
          <w:position w:val="1"/>
          <w:sz w:val="12"/>
        </w:rPr>
        <w:tab/>
      </w:r>
      <w:r w:rsidR="00216117">
        <w:rPr>
          <w:b/>
          <w:color w:val="231F20"/>
          <w:sz w:val="14"/>
        </w:rPr>
        <w:t>DIAGNÓZA</w:t>
      </w:r>
      <w:r w:rsidR="00216117">
        <w:rPr>
          <w:b/>
          <w:color w:val="231F20"/>
          <w:sz w:val="14"/>
        </w:rPr>
        <w:tab/>
      </w:r>
      <w:r w:rsidR="00216117">
        <w:rPr>
          <w:b/>
          <w:color w:val="231F20"/>
          <w:position w:val="1"/>
          <w:sz w:val="12"/>
        </w:rPr>
        <w:t>DNL</w:t>
      </w:r>
      <w:r w:rsidR="00216117">
        <w:rPr>
          <w:b/>
          <w:color w:val="231F20"/>
          <w:spacing w:val="-20"/>
          <w:position w:val="1"/>
          <w:sz w:val="12"/>
        </w:rPr>
        <w:t xml:space="preserve"> </w:t>
      </w:r>
      <w:r w:rsidR="00216117">
        <w:rPr>
          <w:b/>
          <w:color w:val="231F20"/>
          <w:position w:val="1"/>
          <w:sz w:val="12"/>
        </w:rPr>
        <w:t>–</w:t>
      </w:r>
      <w:r w:rsidR="00216117">
        <w:rPr>
          <w:b/>
          <w:color w:val="231F20"/>
          <w:spacing w:val="-19"/>
          <w:position w:val="1"/>
          <w:sz w:val="12"/>
        </w:rPr>
        <w:t xml:space="preserve"> </w:t>
      </w:r>
      <w:r w:rsidR="00216117">
        <w:rPr>
          <w:b/>
          <w:color w:val="231F20"/>
          <w:position w:val="1"/>
          <w:sz w:val="12"/>
        </w:rPr>
        <w:t>8</w:t>
      </w:r>
    </w:p>
    <w:p w14:paraId="5B9CD87B" w14:textId="77777777" w:rsidR="00F65BCA" w:rsidRDefault="00216117">
      <w:pPr>
        <w:tabs>
          <w:tab w:val="left" w:pos="1442"/>
          <w:tab w:val="left" w:pos="3320"/>
        </w:tabs>
        <w:spacing w:before="92"/>
        <w:ind w:left="179"/>
        <w:rPr>
          <w:b/>
          <w:sz w:val="12"/>
        </w:rPr>
      </w:pPr>
      <w:r>
        <w:br w:type="column"/>
      </w: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DNL</w:t>
      </w:r>
      <w:r>
        <w:rPr>
          <w:b/>
          <w:color w:val="231F20"/>
          <w:spacing w:val="-20"/>
          <w:position w:val="1"/>
          <w:sz w:val="12"/>
        </w:rPr>
        <w:t xml:space="preserve"> </w:t>
      </w:r>
      <w:r>
        <w:rPr>
          <w:b/>
          <w:color w:val="231F20"/>
          <w:position w:val="1"/>
          <w:sz w:val="12"/>
        </w:rPr>
        <w:t>–</w:t>
      </w:r>
      <w:r>
        <w:rPr>
          <w:b/>
          <w:color w:val="231F20"/>
          <w:spacing w:val="-19"/>
          <w:position w:val="1"/>
          <w:sz w:val="12"/>
        </w:rPr>
        <w:t xml:space="preserve"> </w:t>
      </w:r>
      <w:r>
        <w:rPr>
          <w:b/>
          <w:color w:val="231F20"/>
          <w:position w:val="1"/>
          <w:sz w:val="12"/>
        </w:rPr>
        <w:t>8</w:t>
      </w:r>
    </w:p>
    <w:p w14:paraId="2B29DFFE" w14:textId="77777777" w:rsidR="00F65BCA" w:rsidRDefault="00216117">
      <w:pPr>
        <w:tabs>
          <w:tab w:val="left" w:pos="1442"/>
          <w:tab w:val="left" w:pos="3320"/>
        </w:tabs>
        <w:spacing w:before="92"/>
        <w:ind w:left="179"/>
        <w:rPr>
          <w:b/>
          <w:sz w:val="12"/>
        </w:rPr>
      </w:pPr>
      <w:r>
        <w:br w:type="column"/>
      </w: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DNL –</w:t>
      </w:r>
      <w:r>
        <w:rPr>
          <w:b/>
          <w:color w:val="231F20"/>
          <w:spacing w:val="-23"/>
          <w:position w:val="1"/>
          <w:sz w:val="12"/>
        </w:rPr>
        <w:t xml:space="preserve"> </w:t>
      </w:r>
      <w:r>
        <w:rPr>
          <w:b/>
          <w:color w:val="231F20"/>
          <w:position w:val="1"/>
          <w:sz w:val="12"/>
        </w:rPr>
        <w:t>8</w:t>
      </w:r>
    </w:p>
    <w:p w14:paraId="0082F00A" w14:textId="77777777" w:rsidR="00F65BCA" w:rsidRDefault="00F65BCA">
      <w:pPr>
        <w:rPr>
          <w:sz w:val="12"/>
        </w:rPr>
        <w:sectPr w:rsidR="00F65BCA">
          <w:pgSz w:w="11910" w:h="16840"/>
          <w:pgMar w:top="220" w:right="140" w:bottom="0" w:left="140" w:header="708" w:footer="708" w:gutter="0"/>
          <w:cols w:num="3" w:space="708" w:equalWidth="0">
            <w:col w:w="3753" w:space="66"/>
            <w:col w:w="3753" w:space="89"/>
            <w:col w:w="3969"/>
          </w:cols>
        </w:sectPr>
      </w:pPr>
    </w:p>
    <w:p w14:paraId="3A3F5E2A" w14:textId="77777777" w:rsidR="00F65BCA" w:rsidRDefault="00000000">
      <w:pPr>
        <w:pStyle w:val="Zkladntext"/>
        <w:rPr>
          <w:b/>
          <w:sz w:val="18"/>
        </w:rPr>
      </w:pPr>
      <w:r>
        <w:pict w14:anchorId="38E4BF54">
          <v:shape id="_x0000_s1585" type="#_x0000_t202" style="position:absolute;margin-left:469.35pt;margin-top:821.05pt;width:86.3pt;height:11.7pt;z-index:-299245568;mso-position-horizontal-relative:page;mso-position-vertical-relative:page" filled="f" stroked="f">
            <v:textbox inset="0,0,0,0">
              <w:txbxContent>
                <w:p w14:paraId="30F2F25B" w14:textId="77777777" w:rsidR="00F65BCA" w:rsidRDefault="00216117">
                  <w:pPr>
                    <w:spacing w:before="3"/>
                    <w:rPr>
                      <w:sz w:val="16"/>
                    </w:rPr>
                  </w:pPr>
                  <w:r>
                    <w:rPr>
                      <w:color w:val="231F20"/>
                      <w:sz w:val="16"/>
                    </w:rPr>
                    <w:t xml:space="preserve">Oceňovací tabulky </w:t>
                  </w:r>
                  <w:r>
                    <w:rPr>
                      <w:color w:val="6D6E71"/>
                      <w:sz w:val="20"/>
                    </w:rPr>
                    <w:t xml:space="preserve">| </w:t>
                  </w:r>
                  <w:r>
                    <w:rPr>
                      <w:color w:val="231F20"/>
                      <w:sz w:val="16"/>
                    </w:rPr>
                    <w:t>37</w:t>
                  </w:r>
                </w:p>
              </w:txbxContent>
            </v:textbox>
            <w10:wrap anchorx="page" anchory="page"/>
          </v:shape>
        </w:pict>
      </w:r>
      <w:r>
        <w:pict w14:anchorId="3A8CD933">
          <v:group id="_x0000_s1582" style="position:absolute;margin-left:0;margin-top:807.85pt;width:595.3pt;height:34.05pt;z-index:251986944;mso-position-horizontal-relative:page;mso-position-vertical-relative:page" coordorigin=",16157" coordsize="11906,681">
            <v:rect id="_x0000_s1584" style="position:absolute;top:16157;width:11906;height:681" fillcolor="#dcddde" stroked="f"/>
            <v:shape id="_x0000_s1583" type="#_x0000_t202" style="position:absolute;left:1020;top:16477;width:1414;height:164" filled="f" stroked="f">
              <v:textbox inset="0,0,0,0">
                <w:txbxContent>
                  <w:p w14:paraId="3B7DD8C7" w14:textId="77777777" w:rsidR="00F65BCA" w:rsidRDefault="00216117">
                    <w:pPr>
                      <w:spacing w:before="2"/>
                      <w:rPr>
                        <w:sz w:val="14"/>
                      </w:rPr>
                    </w:pPr>
                    <w:r>
                      <w:rPr>
                        <w:color w:val="231F20"/>
                        <w:sz w:val="14"/>
                      </w:rPr>
                      <w:t>6.20.012 05.2025 v04</w:t>
                    </w:r>
                  </w:p>
                </w:txbxContent>
              </v:textbox>
            </v:shape>
            <w10:wrap anchorx="page" anchory="page"/>
          </v:group>
        </w:pict>
      </w:r>
    </w:p>
    <w:p w14:paraId="2C0C4362" w14:textId="77777777" w:rsidR="00F65BCA" w:rsidRDefault="00216117">
      <w:pPr>
        <w:ind w:left="455"/>
        <w:rPr>
          <w:b/>
          <w:sz w:val="12"/>
        </w:rPr>
      </w:pPr>
      <w:r>
        <w:rPr>
          <w:b/>
          <w:color w:val="231F20"/>
          <w:sz w:val="12"/>
        </w:rPr>
        <w:t xml:space="preserve">Zlomenina kosti holenní nebo obou kostí </w:t>
      </w:r>
      <w:r>
        <w:rPr>
          <w:b/>
          <w:color w:val="231F20"/>
          <w:spacing w:val="-4"/>
          <w:sz w:val="12"/>
        </w:rPr>
        <w:t>bérce</w:t>
      </w:r>
    </w:p>
    <w:p w14:paraId="6D81C889" w14:textId="77777777" w:rsidR="00F65BCA" w:rsidRDefault="00216117">
      <w:pPr>
        <w:pStyle w:val="Odstavecseseznamem"/>
        <w:numPr>
          <w:ilvl w:val="0"/>
          <w:numId w:val="52"/>
        </w:numPr>
        <w:tabs>
          <w:tab w:val="left" w:pos="456"/>
        </w:tabs>
        <w:spacing w:before="58"/>
        <w:ind w:hanging="273"/>
        <w:rPr>
          <w:sz w:val="12"/>
        </w:rPr>
      </w:pPr>
      <w:r>
        <w:rPr>
          <w:color w:val="231F20"/>
          <w:sz w:val="12"/>
        </w:rPr>
        <w:t>léčená</w:t>
      </w:r>
      <w:r>
        <w:rPr>
          <w:color w:val="231F20"/>
          <w:spacing w:val="-2"/>
          <w:sz w:val="12"/>
        </w:rPr>
        <w:t xml:space="preserve"> </w:t>
      </w:r>
      <w:r>
        <w:rPr>
          <w:color w:val="231F20"/>
          <w:sz w:val="12"/>
        </w:rPr>
        <w:t>konzervativně</w:t>
      </w:r>
    </w:p>
    <w:p w14:paraId="26F729FB" w14:textId="77777777" w:rsidR="00F65BCA" w:rsidRDefault="00216117">
      <w:pPr>
        <w:pStyle w:val="Odstavecseseznamem"/>
        <w:numPr>
          <w:ilvl w:val="0"/>
          <w:numId w:val="52"/>
        </w:numPr>
        <w:tabs>
          <w:tab w:val="left" w:pos="456"/>
        </w:tabs>
        <w:spacing w:before="49"/>
        <w:ind w:hanging="273"/>
        <w:rPr>
          <w:sz w:val="12"/>
        </w:rPr>
      </w:pPr>
      <w:r>
        <w:rPr>
          <w:color w:val="231F20"/>
          <w:sz w:val="12"/>
        </w:rPr>
        <w:t>otevřená nebo</w:t>
      </w:r>
      <w:r>
        <w:rPr>
          <w:color w:val="231F20"/>
          <w:spacing w:val="-3"/>
          <w:sz w:val="12"/>
        </w:rPr>
        <w:t xml:space="preserve"> </w:t>
      </w:r>
      <w:r>
        <w:rPr>
          <w:color w:val="231F20"/>
          <w:sz w:val="12"/>
        </w:rPr>
        <w:t>operovaná</w:t>
      </w:r>
    </w:p>
    <w:p w14:paraId="73123F8C" w14:textId="77777777" w:rsidR="00F65BCA" w:rsidRDefault="00216117">
      <w:pPr>
        <w:pStyle w:val="Odstavecseseznamem"/>
        <w:numPr>
          <w:ilvl w:val="0"/>
          <w:numId w:val="52"/>
        </w:numPr>
        <w:tabs>
          <w:tab w:val="left" w:pos="456"/>
        </w:tabs>
        <w:spacing w:before="49"/>
        <w:ind w:hanging="273"/>
        <w:rPr>
          <w:sz w:val="12"/>
        </w:rPr>
      </w:pPr>
      <w:r>
        <w:rPr>
          <w:color w:val="231F20"/>
          <w:sz w:val="12"/>
        </w:rPr>
        <w:t>pylonu kosti</w:t>
      </w:r>
      <w:r>
        <w:rPr>
          <w:color w:val="231F20"/>
          <w:spacing w:val="-2"/>
          <w:sz w:val="12"/>
        </w:rPr>
        <w:t xml:space="preserve"> </w:t>
      </w:r>
      <w:r>
        <w:rPr>
          <w:color w:val="231F20"/>
          <w:sz w:val="12"/>
        </w:rPr>
        <w:t>holenní</w:t>
      </w:r>
    </w:p>
    <w:p w14:paraId="1E1CD4FF" w14:textId="77777777" w:rsidR="00F65BCA" w:rsidRDefault="00216117">
      <w:pPr>
        <w:pStyle w:val="Odstavecseseznamem"/>
        <w:numPr>
          <w:ilvl w:val="0"/>
          <w:numId w:val="52"/>
        </w:numPr>
        <w:tabs>
          <w:tab w:val="left" w:pos="456"/>
        </w:tabs>
        <w:spacing w:before="49"/>
        <w:ind w:hanging="273"/>
        <w:rPr>
          <w:sz w:val="12"/>
        </w:rPr>
      </w:pPr>
      <w:r>
        <w:rPr>
          <w:color w:val="231F20"/>
          <w:w w:val="95"/>
          <w:sz w:val="12"/>
        </w:rPr>
        <w:t>tříštivá zlomenina distální epifysy kosti</w:t>
      </w:r>
      <w:r>
        <w:rPr>
          <w:color w:val="231F20"/>
          <w:spacing w:val="-5"/>
          <w:w w:val="95"/>
          <w:sz w:val="12"/>
        </w:rPr>
        <w:t xml:space="preserve"> </w:t>
      </w:r>
      <w:r>
        <w:rPr>
          <w:color w:val="231F20"/>
          <w:w w:val="95"/>
          <w:sz w:val="12"/>
        </w:rPr>
        <w:t>holenní</w:t>
      </w:r>
    </w:p>
    <w:p w14:paraId="53240D48" w14:textId="77777777" w:rsidR="00F65BCA" w:rsidRDefault="00216117">
      <w:pPr>
        <w:pStyle w:val="Odstavecseseznamem"/>
        <w:numPr>
          <w:ilvl w:val="0"/>
          <w:numId w:val="52"/>
        </w:numPr>
        <w:tabs>
          <w:tab w:val="left" w:pos="456"/>
        </w:tabs>
        <w:spacing w:before="49"/>
        <w:ind w:hanging="273"/>
        <w:rPr>
          <w:sz w:val="12"/>
        </w:rPr>
      </w:pPr>
      <w:r>
        <w:rPr>
          <w:color w:val="231F20"/>
          <w:sz w:val="12"/>
        </w:rPr>
        <w:t>odlomení</w:t>
      </w:r>
      <w:r>
        <w:rPr>
          <w:color w:val="231F20"/>
          <w:spacing w:val="-19"/>
          <w:sz w:val="12"/>
        </w:rPr>
        <w:t xml:space="preserve"> </w:t>
      </w:r>
      <w:r>
        <w:rPr>
          <w:color w:val="231F20"/>
          <w:sz w:val="12"/>
        </w:rPr>
        <w:t>zadní</w:t>
      </w:r>
      <w:r>
        <w:rPr>
          <w:color w:val="231F20"/>
          <w:spacing w:val="-19"/>
          <w:sz w:val="12"/>
        </w:rPr>
        <w:t xml:space="preserve"> </w:t>
      </w:r>
      <w:r>
        <w:rPr>
          <w:color w:val="231F20"/>
          <w:sz w:val="12"/>
        </w:rPr>
        <w:t>nebo</w:t>
      </w:r>
      <w:r>
        <w:rPr>
          <w:color w:val="231F20"/>
          <w:spacing w:val="-18"/>
          <w:sz w:val="12"/>
        </w:rPr>
        <w:t xml:space="preserve"> </w:t>
      </w:r>
      <w:r>
        <w:rPr>
          <w:color w:val="231F20"/>
          <w:sz w:val="12"/>
        </w:rPr>
        <w:t>přední</w:t>
      </w:r>
      <w:r>
        <w:rPr>
          <w:color w:val="231F20"/>
          <w:spacing w:val="-19"/>
          <w:sz w:val="12"/>
        </w:rPr>
        <w:t xml:space="preserve"> </w:t>
      </w:r>
      <w:r>
        <w:rPr>
          <w:color w:val="231F20"/>
          <w:sz w:val="12"/>
        </w:rPr>
        <w:t>hrany</w:t>
      </w:r>
      <w:r>
        <w:rPr>
          <w:color w:val="231F20"/>
          <w:spacing w:val="-18"/>
          <w:sz w:val="12"/>
        </w:rPr>
        <w:t xml:space="preserve"> </w:t>
      </w:r>
      <w:r>
        <w:rPr>
          <w:color w:val="231F20"/>
          <w:sz w:val="12"/>
        </w:rPr>
        <w:t>kosti</w:t>
      </w:r>
      <w:r>
        <w:rPr>
          <w:color w:val="231F20"/>
          <w:spacing w:val="-19"/>
          <w:sz w:val="12"/>
        </w:rPr>
        <w:t xml:space="preserve"> </w:t>
      </w:r>
      <w:r>
        <w:rPr>
          <w:color w:val="231F20"/>
          <w:sz w:val="12"/>
        </w:rPr>
        <w:t>holenní</w:t>
      </w:r>
    </w:p>
    <w:p w14:paraId="291E6A69" w14:textId="77777777" w:rsidR="00F65BCA" w:rsidRDefault="00216117">
      <w:pPr>
        <w:spacing w:before="58"/>
        <w:ind w:left="455"/>
        <w:rPr>
          <w:b/>
          <w:sz w:val="12"/>
        </w:rPr>
      </w:pPr>
      <w:r>
        <w:rPr>
          <w:b/>
          <w:color w:val="231F20"/>
          <w:sz w:val="12"/>
        </w:rPr>
        <w:t>Zlomenina zevního</w:t>
      </w:r>
      <w:r>
        <w:rPr>
          <w:b/>
          <w:color w:val="231F20"/>
          <w:spacing w:val="-5"/>
          <w:sz w:val="12"/>
        </w:rPr>
        <w:t xml:space="preserve"> </w:t>
      </w:r>
      <w:r>
        <w:rPr>
          <w:b/>
          <w:color w:val="231F20"/>
          <w:sz w:val="12"/>
        </w:rPr>
        <w:t>kotníku</w:t>
      </w:r>
    </w:p>
    <w:p w14:paraId="0EE4FD2A" w14:textId="77777777" w:rsidR="00F65BCA" w:rsidRDefault="00216117">
      <w:pPr>
        <w:pStyle w:val="Odstavecseseznamem"/>
        <w:numPr>
          <w:ilvl w:val="0"/>
          <w:numId w:val="52"/>
        </w:numPr>
        <w:tabs>
          <w:tab w:val="left" w:pos="456"/>
        </w:tabs>
        <w:spacing w:before="58"/>
        <w:ind w:hanging="273"/>
        <w:rPr>
          <w:sz w:val="12"/>
        </w:rPr>
      </w:pPr>
      <w:r>
        <w:rPr>
          <w:color w:val="231F20"/>
          <w:w w:val="95"/>
          <w:sz w:val="12"/>
        </w:rPr>
        <w:t>léčená</w:t>
      </w:r>
      <w:r>
        <w:rPr>
          <w:color w:val="231F20"/>
          <w:spacing w:val="2"/>
          <w:w w:val="95"/>
          <w:sz w:val="12"/>
        </w:rPr>
        <w:t xml:space="preserve"> </w:t>
      </w:r>
      <w:r>
        <w:rPr>
          <w:color w:val="231F20"/>
          <w:w w:val="95"/>
          <w:sz w:val="12"/>
        </w:rPr>
        <w:t>konzervativně</w:t>
      </w:r>
    </w:p>
    <w:p w14:paraId="01D0DE86" w14:textId="77777777" w:rsidR="00F65BCA" w:rsidRDefault="00216117">
      <w:pPr>
        <w:pStyle w:val="Odstavecseseznamem"/>
        <w:numPr>
          <w:ilvl w:val="0"/>
          <w:numId w:val="52"/>
        </w:numPr>
        <w:tabs>
          <w:tab w:val="left" w:pos="456"/>
        </w:tabs>
        <w:spacing w:before="49"/>
        <w:ind w:hanging="273"/>
        <w:rPr>
          <w:sz w:val="12"/>
        </w:rPr>
      </w:pPr>
      <w:r>
        <w:rPr>
          <w:color w:val="231F20"/>
          <w:sz w:val="12"/>
        </w:rPr>
        <w:t>otevřená nebo</w:t>
      </w:r>
      <w:r>
        <w:rPr>
          <w:color w:val="231F20"/>
          <w:spacing w:val="-3"/>
          <w:sz w:val="12"/>
        </w:rPr>
        <w:t xml:space="preserve"> </w:t>
      </w:r>
      <w:r>
        <w:rPr>
          <w:color w:val="231F20"/>
          <w:sz w:val="12"/>
        </w:rPr>
        <w:t>operovaná</w:t>
      </w:r>
    </w:p>
    <w:p w14:paraId="44F558E0" w14:textId="77777777" w:rsidR="00F65BCA" w:rsidRDefault="00216117">
      <w:pPr>
        <w:pStyle w:val="Odstavecseseznamem"/>
        <w:numPr>
          <w:ilvl w:val="0"/>
          <w:numId w:val="52"/>
        </w:numPr>
        <w:tabs>
          <w:tab w:val="left" w:pos="456"/>
        </w:tabs>
        <w:spacing w:before="49"/>
        <w:ind w:hanging="273"/>
        <w:rPr>
          <w:sz w:val="12"/>
        </w:rPr>
      </w:pPr>
      <w:r>
        <w:rPr>
          <w:color w:val="231F20"/>
          <w:sz w:val="12"/>
        </w:rPr>
        <w:t>Weber</w:t>
      </w:r>
      <w:r>
        <w:rPr>
          <w:color w:val="231F20"/>
          <w:spacing w:val="-21"/>
          <w:sz w:val="12"/>
        </w:rPr>
        <w:t xml:space="preserve"> </w:t>
      </w:r>
      <w:r>
        <w:rPr>
          <w:color w:val="231F20"/>
          <w:sz w:val="12"/>
        </w:rPr>
        <w:t>A</w:t>
      </w:r>
    </w:p>
    <w:p w14:paraId="135F6AF0" w14:textId="77777777" w:rsidR="00F65BCA" w:rsidRDefault="00216117">
      <w:pPr>
        <w:pStyle w:val="Odstavecseseznamem"/>
        <w:numPr>
          <w:ilvl w:val="0"/>
          <w:numId w:val="52"/>
        </w:numPr>
        <w:tabs>
          <w:tab w:val="left" w:pos="456"/>
        </w:tabs>
        <w:spacing w:before="49"/>
        <w:ind w:hanging="273"/>
        <w:rPr>
          <w:sz w:val="12"/>
        </w:rPr>
      </w:pPr>
      <w:r>
        <w:rPr>
          <w:color w:val="231F20"/>
          <w:sz w:val="12"/>
        </w:rPr>
        <w:t>Weber</w:t>
      </w:r>
      <w:r>
        <w:rPr>
          <w:color w:val="231F20"/>
          <w:spacing w:val="-17"/>
          <w:sz w:val="12"/>
        </w:rPr>
        <w:t xml:space="preserve"> </w:t>
      </w:r>
      <w:r>
        <w:rPr>
          <w:color w:val="231F20"/>
          <w:sz w:val="12"/>
        </w:rPr>
        <w:t>B</w:t>
      </w:r>
    </w:p>
    <w:p w14:paraId="4E963056" w14:textId="77777777" w:rsidR="00F65BCA" w:rsidRDefault="00216117">
      <w:pPr>
        <w:pStyle w:val="Odstavecseseznamem"/>
        <w:numPr>
          <w:ilvl w:val="0"/>
          <w:numId w:val="52"/>
        </w:numPr>
        <w:tabs>
          <w:tab w:val="left" w:pos="456"/>
        </w:tabs>
        <w:spacing w:before="49"/>
        <w:ind w:hanging="273"/>
        <w:rPr>
          <w:sz w:val="12"/>
        </w:rPr>
      </w:pPr>
      <w:r>
        <w:rPr>
          <w:color w:val="231F20"/>
          <w:spacing w:val="-3"/>
          <w:sz w:val="12"/>
        </w:rPr>
        <w:t>Weber</w:t>
      </w:r>
      <w:r>
        <w:rPr>
          <w:color w:val="231F20"/>
          <w:spacing w:val="-12"/>
          <w:sz w:val="12"/>
        </w:rPr>
        <w:t xml:space="preserve"> </w:t>
      </w:r>
      <w:r>
        <w:rPr>
          <w:color w:val="231F20"/>
          <w:sz w:val="12"/>
        </w:rPr>
        <w:t>C</w:t>
      </w:r>
      <w:r>
        <w:rPr>
          <w:color w:val="231F20"/>
          <w:spacing w:val="-11"/>
          <w:sz w:val="12"/>
        </w:rPr>
        <w:t xml:space="preserve"> </w:t>
      </w:r>
      <w:r>
        <w:rPr>
          <w:color w:val="231F20"/>
          <w:spacing w:val="-3"/>
          <w:sz w:val="12"/>
        </w:rPr>
        <w:t>(včetně</w:t>
      </w:r>
      <w:r>
        <w:rPr>
          <w:color w:val="231F20"/>
          <w:spacing w:val="-12"/>
          <w:sz w:val="12"/>
        </w:rPr>
        <w:t xml:space="preserve"> </w:t>
      </w:r>
      <w:r>
        <w:rPr>
          <w:color w:val="231F20"/>
          <w:spacing w:val="-3"/>
          <w:sz w:val="12"/>
        </w:rPr>
        <w:t>Maissoneuveovy</w:t>
      </w:r>
      <w:r>
        <w:rPr>
          <w:color w:val="231F20"/>
          <w:spacing w:val="-11"/>
          <w:sz w:val="12"/>
        </w:rPr>
        <w:t xml:space="preserve"> </w:t>
      </w:r>
      <w:r>
        <w:rPr>
          <w:color w:val="231F20"/>
          <w:sz w:val="12"/>
        </w:rPr>
        <w:t>zlomeniny)</w:t>
      </w:r>
    </w:p>
    <w:p w14:paraId="72C92117" w14:textId="77777777" w:rsidR="00F65BCA" w:rsidRDefault="00216117">
      <w:pPr>
        <w:pStyle w:val="Odstavecseseznamem"/>
        <w:numPr>
          <w:ilvl w:val="0"/>
          <w:numId w:val="52"/>
        </w:numPr>
        <w:tabs>
          <w:tab w:val="left" w:pos="456"/>
        </w:tabs>
        <w:spacing w:before="49"/>
        <w:ind w:hanging="273"/>
        <w:rPr>
          <w:sz w:val="12"/>
        </w:rPr>
      </w:pPr>
      <w:r>
        <w:rPr>
          <w:color w:val="231F20"/>
          <w:sz w:val="12"/>
        </w:rPr>
        <w:t>se</w:t>
      </w:r>
      <w:r>
        <w:rPr>
          <w:color w:val="231F20"/>
          <w:spacing w:val="-12"/>
          <w:sz w:val="12"/>
        </w:rPr>
        <w:t xml:space="preserve"> </w:t>
      </w:r>
      <w:r>
        <w:rPr>
          <w:color w:val="231F20"/>
          <w:sz w:val="12"/>
        </w:rPr>
        <w:t>subluxací</w:t>
      </w:r>
      <w:r>
        <w:rPr>
          <w:color w:val="231F20"/>
          <w:spacing w:val="-12"/>
          <w:sz w:val="12"/>
        </w:rPr>
        <w:t xml:space="preserve"> </w:t>
      </w:r>
      <w:r>
        <w:rPr>
          <w:color w:val="231F20"/>
          <w:sz w:val="12"/>
        </w:rPr>
        <w:t>kosti</w:t>
      </w:r>
      <w:r>
        <w:rPr>
          <w:color w:val="231F20"/>
          <w:spacing w:val="-11"/>
          <w:sz w:val="12"/>
        </w:rPr>
        <w:t xml:space="preserve"> </w:t>
      </w:r>
      <w:r>
        <w:rPr>
          <w:color w:val="231F20"/>
          <w:sz w:val="12"/>
        </w:rPr>
        <w:t>hlezenné</w:t>
      </w:r>
      <w:r>
        <w:rPr>
          <w:color w:val="231F20"/>
          <w:spacing w:val="-12"/>
          <w:sz w:val="12"/>
        </w:rPr>
        <w:t xml:space="preserve"> </w:t>
      </w:r>
      <w:r>
        <w:rPr>
          <w:color w:val="231F20"/>
          <w:sz w:val="12"/>
        </w:rPr>
        <w:t>léčená</w:t>
      </w:r>
      <w:r>
        <w:rPr>
          <w:color w:val="231F20"/>
          <w:spacing w:val="-12"/>
          <w:sz w:val="12"/>
        </w:rPr>
        <w:t xml:space="preserve"> </w:t>
      </w:r>
      <w:r>
        <w:rPr>
          <w:color w:val="231F20"/>
          <w:sz w:val="12"/>
        </w:rPr>
        <w:t>konzervativně</w:t>
      </w:r>
    </w:p>
    <w:p w14:paraId="290764FF" w14:textId="77777777" w:rsidR="00F65BCA" w:rsidRDefault="00216117">
      <w:pPr>
        <w:pStyle w:val="Odstavecseseznamem"/>
        <w:numPr>
          <w:ilvl w:val="0"/>
          <w:numId w:val="52"/>
        </w:numPr>
        <w:tabs>
          <w:tab w:val="left" w:pos="456"/>
        </w:tabs>
        <w:spacing w:before="49"/>
        <w:ind w:hanging="273"/>
        <w:rPr>
          <w:sz w:val="12"/>
        </w:rPr>
      </w:pPr>
      <w:r>
        <w:rPr>
          <w:color w:val="231F20"/>
          <w:sz w:val="12"/>
        </w:rPr>
        <w:t>se</w:t>
      </w:r>
      <w:r>
        <w:rPr>
          <w:color w:val="231F20"/>
          <w:spacing w:val="-6"/>
          <w:sz w:val="12"/>
        </w:rPr>
        <w:t xml:space="preserve"> </w:t>
      </w:r>
      <w:r>
        <w:rPr>
          <w:color w:val="231F20"/>
          <w:sz w:val="12"/>
        </w:rPr>
        <w:t>subluxací</w:t>
      </w:r>
      <w:r>
        <w:rPr>
          <w:color w:val="231F20"/>
          <w:spacing w:val="-5"/>
          <w:sz w:val="12"/>
        </w:rPr>
        <w:t xml:space="preserve"> </w:t>
      </w:r>
      <w:r>
        <w:rPr>
          <w:color w:val="231F20"/>
          <w:sz w:val="12"/>
        </w:rPr>
        <w:t>kosti</w:t>
      </w:r>
      <w:r>
        <w:rPr>
          <w:color w:val="231F20"/>
          <w:spacing w:val="-5"/>
          <w:sz w:val="12"/>
        </w:rPr>
        <w:t xml:space="preserve"> </w:t>
      </w:r>
      <w:r>
        <w:rPr>
          <w:color w:val="231F20"/>
          <w:sz w:val="12"/>
        </w:rPr>
        <w:t>hlezenné</w:t>
      </w:r>
      <w:r>
        <w:rPr>
          <w:color w:val="231F20"/>
          <w:spacing w:val="-5"/>
          <w:sz w:val="12"/>
        </w:rPr>
        <w:t xml:space="preserve"> </w:t>
      </w:r>
      <w:r>
        <w:rPr>
          <w:color w:val="231F20"/>
          <w:sz w:val="12"/>
        </w:rPr>
        <w:t>léčená</w:t>
      </w:r>
      <w:r>
        <w:rPr>
          <w:color w:val="231F20"/>
          <w:spacing w:val="-5"/>
          <w:sz w:val="12"/>
        </w:rPr>
        <w:t xml:space="preserve"> </w:t>
      </w:r>
      <w:r>
        <w:rPr>
          <w:color w:val="231F20"/>
          <w:sz w:val="12"/>
        </w:rPr>
        <w:t>operací</w:t>
      </w:r>
    </w:p>
    <w:p w14:paraId="1BBA4502" w14:textId="77777777" w:rsidR="00F65BCA" w:rsidRDefault="00216117">
      <w:pPr>
        <w:pStyle w:val="Odstavecseseznamem"/>
        <w:numPr>
          <w:ilvl w:val="0"/>
          <w:numId w:val="52"/>
        </w:numPr>
        <w:tabs>
          <w:tab w:val="left" w:pos="456"/>
        </w:tabs>
        <w:spacing w:before="49"/>
        <w:ind w:hanging="273"/>
        <w:rPr>
          <w:sz w:val="12"/>
        </w:rPr>
      </w:pPr>
      <w:r>
        <w:rPr>
          <w:color w:val="231F20"/>
          <w:sz w:val="12"/>
        </w:rPr>
        <w:t>s odlomením hrany kosti</w:t>
      </w:r>
      <w:r>
        <w:rPr>
          <w:color w:val="231F20"/>
          <w:spacing w:val="-9"/>
          <w:sz w:val="12"/>
        </w:rPr>
        <w:t xml:space="preserve"> </w:t>
      </w:r>
      <w:r>
        <w:rPr>
          <w:color w:val="231F20"/>
          <w:sz w:val="12"/>
        </w:rPr>
        <w:t>holenní</w:t>
      </w:r>
    </w:p>
    <w:p w14:paraId="53F6244F" w14:textId="77777777" w:rsidR="00F65BCA" w:rsidRDefault="00216117">
      <w:pPr>
        <w:spacing w:before="52"/>
        <w:ind w:left="455"/>
        <w:rPr>
          <w:b/>
          <w:sz w:val="12"/>
        </w:rPr>
      </w:pPr>
      <w:r>
        <w:rPr>
          <w:b/>
          <w:color w:val="231F20"/>
          <w:sz w:val="12"/>
        </w:rPr>
        <w:t>Zlomenina vnitřního kotníku</w:t>
      </w:r>
    </w:p>
    <w:p w14:paraId="24DBC896" w14:textId="77777777" w:rsidR="00F65BCA" w:rsidRDefault="00216117">
      <w:pPr>
        <w:pStyle w:val="Odstavecseseznamem"/>
        <w:numPr>
          <w:ilvl w:val="0"/>
          <w:numId w:val="52"/>
        </w:numPr>
        <w:tabs>
          <w:tab w:val="left" w:pos="456"/>
        </w:tabs>
        <w:spacing w:before="52"/>
        <w:ind w:hanging="273"/>
        <w:rPr>
          <w:sz w:val="12"/>
        </w:rPr>
      </w:pPr>
      <w:r>
        <w:rPr>
          <w:color w:val="231F20"/>
          <w:sz w:val="12"/>
        </w:rPr>
        <w:t>léčená</w:t>
      </w:r>
      <w:r>
        <w:rPr>
          <w:color w:val="231F20"/>
          <w:spacing w:val="-2"/>
          <w:sz w:val="12"/>
        </w:rPr>
        <w:t xml:space="preserve"> </w:t>
      </w:r>
      <w:r>
        <w:rPr>
          <w:color w:val="231F20"/>
          <w:sz w:val="12"/>
        </w:rPr>
        <w:t>konzervativně</w:t>
      </w:r>
    </w:p>
    <w:p w14:paraId="1EAAECD3" w14:textId="77777777" w:rsidR="00F65BCA" w:rsidRDefault="00216117">
      <w:pPr>
        <w:pStyle w:val="Odstavecseseznamem"/>
        <w:numPr>
          <w:ilvl w:val="0"/>
          <w:numId w:val="52"/>
        </w:numPr>
        <w:tabs>
          <w:tab w:val="left" w:pos="456"/>
        </w:tabs>
        <w:spacing w:before="49"/>
        <w:ind w:hanging="273"/>
        <w:rPr>
          <w:sz w:val="12"/>
        </w:rPr>
      </w:pPr>
      <w:r>
        <w:rPr>
          <w:color w:val="231F20"/>
          <w:sz w:val="12"/>
        </w:rPr>
        <w:t>otevřená nebo</w:t>
      </w:r>
      <w:r>
        <w:rPr>
          <w:color w:val="231F20"/>
          <w:spacing w:val="-3"/>
          <w:sz w:val="12"/>
        </w:rPr>
        <w:t xml:space="preserve"> </w:t>
      </w:r>
      <w:r>
        <w:rPr>
          <w:color w:val="231F20"/>
          <w:sz w:val="12"/>
        </w:rPr>
        <w:t>operovaná</w:t>
      </w:r>
    </w:p>
    <w:p w14:paraId="1E4C1553" w14:textId="77777777" w:rsidR="00F65BCA" w:rsidRDefault="00216117">
      <w:pPr>
        <w:pStyle w:val="Odstavecseseznamem"/>
        <w:numPr>
          <w:ilvl w:val="0"/>
          <w:numId w:val="52"/>
        </w:numPr>
        <w:tabs>
          <w:tab w:val="left" w:pos="456"/>
        </w:tabs>
        <w:spacing w:before="49"/>
        <w:ind w:hanging="273"/>
        <w:rPr>
          <w:sz w:val="12"/>
        </w:rPr>
      </w:pPr>
      <w:r>
        <w:rPr>
          <w:color w:val="231F20"/>
          <w:sz w:val="12"/>
        </w:rPr>
        <w:t>se</w:t>
      </w:r>
      <w:r>
        <w:rPr>
          <w:color w:val="231F20"/>
          <w:spacing w:val="-12"/>
          <w:sz w:val="12"/>
        </w:rPr>
        <w:t xml:space="preserve"> </w:t>
      </w:r>
      <w:r>
        <w:rPr>
          <w:color w:val="231F20"/>
          <w:sz w:val="12"/>
        </w:rPr>
        <w:t>subluxací</w:t>
      </w:r>
      <w:r>
        <w:rPr>
          <w:color w:val="231F20"/>
          <w:spacing w:val="-12"/>
          <w:sz w:val="12"/>
        </w:rPr>
        <w:t xml:space="preserve"> </w:t>
      </w:r>
      <w:r>
        <w:rPr>
          <w:color w:val="231F20"/>
          <w:sz w:val="12"/>
        </w:rPr>
        <w:t>kosti</w:t>
      </w:r>
      <w:r>
        <w:rPr>
          <w:color w:val="231F20"/>
          <w:spacing w:val="-11"/>
          <w:sz w:val="12"/>
        </w:rPr>
        <w:t xml:space="preserve"> </w:t>
      </w:r>
      <w:r>
        <w:rPr>
          <w:color w:val="231F20"/>
          <w:sz w:val="12"/>
        </w:rPr>
        <w:t>hlezenné</w:t>
      </w:r>
      <w:r>
        <w:rPr>
          <w:color w:val="231F20"/>
          <w:spacing w:val="-12"/>
          <w:sz w:val="12"/>
        </w:rPr>
        <w:t xml:space="preserve"> </w:t>
      </w:r>
      <w:r>
        <w:rPr>
          <w:color w:val="231F20"/>
          <w:sz w:val="12"/>
        </w:rPr>
        <w:t>léčená</w:t>
      </w:r>
      <w:r>
        <w:rPr>
          <w:color w:val="231F20"/>
          <w:spacing w:val="-12"/>
          <w:sz w:val="12"/>
        </w:rPr>
        <w:t xml:space="preserve"> </w:t>
      </w:r>
      <w:r>
        <w:rPr>
          <w:color w:val="231F20"/>
          <w:sz w:val="12"/>
        </w:rPr>
        <w:t>konzervativně</w:t>
      </w:r>
    </w:p>
    <w:p w14:paraId="67DACD3E" w14:textId="77777777" w:rsidR="00F65BCA" w:rsidRDefault="00216117">
      <w:pPr>
        <w:pStyle w:val="Odstavecseseznamem"/>
        <w:numPr>
          <w:ilvl w:val="0"/>
          <w:numId w:val="52"/>
        </w:numPr>
        <w:tabs>
          <w:tab w:val="left" w:pos="456"/>
        </w:tabs>
        <w:spacing w:before="49"/>
        <w:ind w:hanging="273"/>
        <w:rPr>
          <w:sz w:val="12"/>
        </w:rPr>
      </w:pPr>
      <w:r>
        <w:rPr>
          <w:color w:val="231F20"/>
          <w:sz w:val="12"/>
        </w:rPr>
        <w:t>se</w:t>
      </w:r>
      <w:r>
        <w:rPr>
          <w:color w:val="231F20"/>
          <w:spacing w:val="-6"/>
          <w:sz w:val="12"/>
        </w:rPr>
        <w:t xml:space="preserve"> </w:t>
      </w:r>
      <w:r>
        <w:rPr>
          <w:color w:val="231F20"/>
          <w:sz w:val="12"/>
        </w:rPr>
        <w:t>subluxací</w:t>
      </w:r>
      <w:r>
        <w:rPr>
          <w:color w:val="231F20"/>
          <w:spacing w:val="-5"/>
          <w:sz w:val="12"/>
        </w:rPr>
        <w:t xml:space="preserve"> </w:t>
      </w:r>
      <w:r>
        <w:rPr>
          <w:color w:val="231F20"/>
          <w:sz w:val="12"/>
        </w:rPr>
        <w:t>kosti</w:t>
      </w:r>
      <w:r>
        <w:rPr>
          <w:color w:val="231F20"/>
          <w:spacing w:val="-5"/>
          <w:sz w:val="12"/>
        </w:rPr>
        <w:t xml:space="preserve"> </w:t>
      </w:r>
      <w:r>
        <w:rPr>
          <w:color w:val="231F20"/>
          <w:sz w:val="12"/>
        </w:rPr>
        <w:t>hlezenné</w:t>
      </w:r>
      <w:r>
        <w:rPr>
          <w:color w:val="231F20"/>
          <w:spacing w:val="-5"/>
          <w:sz w:val="12"/>
        </w:rPr>
        <w:t xml:space="preserve"> </w:t>
      </w:r>
      <w:r>
        <w:rPr>
          <w:color w:val="231F20"/>
          <w:sz w:val="12"/>
        </w:rPr>
        <w:t>léčená</w:t>
      </w:r>
      <w:r>
        <w:rPr>
          <w:color w:val="231F20"/>
          <w:spacing w:val="-5"/>
          <w:sz w:val="12"/>
        </w:rPr>
        <w:t xml:space="preserve"> </w:t>
      </w:r>
      <w:r>
        <w:rPr>
          <w:color w:val="231F20"/>
          <w:sz w:val="12"/>
        </w:rPr>
        <w:t>operací</w:t>
      </w:r>
    </w:p>
    <w:p w14:paraId="5000B749" w14:textId="77777777" w:rsidR="00F65BCA" w:rsidRDefault="00216117">
      <w:pPr>
        <w:pStyle w:val="Odstavecseseznamem"/>
        <w:numPr>
          <w:ilvl w:val="0"/>
          <w:numId w:val="52"/>
        </w:numPr>
        <w:tabs>
          <w:tab w:val="left" w:pos="456"/>
        </w:tabs>
        <w:spacing w:before="50"/>
        <w:ind w:hanging="273"/>
        <w:rPr>
          <w:sz w:val="12"/>
        </w:rPr>
      </w:pPr>
      <w:r>
        <w:rPr>
          <w:color w:val="231F20"/>
          <w:sz w:val="12"/>
        </w:rPr>
        <w:t>s odlomením hrany kosti</w:t>
      </w:r>
      <w:r>
        <w:rPr>
          <w:color w:val="231F20"/>
          <w:spacing w:val="-9"/>
          <w:sz w:val="12"/>
        </w:rPr>
        <w:t xml:space="preserve"> </w:t>
      </w:r>
      <w:r>
        <w:rPr>
          <w:color w:val="231F20"/>
          <w:sz w:val="12"/>
        </w:rPr>
        <w:t>holenní</w:t>
      </w:r>
    </w:p>
    <w:p w14:paraId="46845DB6" w14:textId="77777777" w:rsidR="00F65BCA" w:rsidRDefault="00216117">
      <w:pPr>
        <w:spacing w:before="51"/>
        <w:ind w:left="455"/>
        <w:rPr>
          <w:b/>
          <w:sz w:val="12"/>
        </w:rPr>
      </w:pPr>
      <w:r>
        <w:rPr>
          <w:b/>
          <w:color w:val="231F20"/>
          <w:sz w:val="12"/>
        </w:rPr>
        <w:t>Zlomenina bimalleolární – obou kotníků</w:t>
      </w:r>
    </w:p>
    <w:p w14:paraId="5F0BE210" w14:textId="77777777" w:rsidR="00F65BCA" w:rsidRDefault="00216117">
      <w:pPr>
        <w:pStyle w:val="Odstavecseseznamem"/>
        <w:numPr>
          <w:ilvl w:val="0"/>
          <w:numId w:val="52"/>
        </w:numPr>
        <w:tabs>
          <w:tab w:val="left" w:pos="456"/>
        </w:tabs>
        <w:spacing w:before="52"/>
        <w:ind w:hanging="273"/>
        <w:rPr>
          <w:sz w:val="12"/>
        </w:rPr>
      </w:pPr>
      <w:r>
        <w:rPr>
          <w:color w:val="231F20"/>
          <w:sz w:val="12"/>
        </w:rPr>
        <w:t>léčená</w:t>
      </w:r>
      <w:r>
        <w:rPr>
          <w:color w:val="231F20"/>
          <w:spacing w:val="-2"/>
          <w:sz w:val="12"/>
        </w:rPr>
        <w:t xml:space="preserve"> </w:t>
      </w:r>
      <w:r>
        <w:rPr>
          <w:color w:val="231F20"/>
          <w:sz w:val="12"/>
        </w:rPr>
        <w:t>konzervativně</w:t>
      </w:r>
    </w:p>
    <w:p w14:paraId="65EC5C92" w14:textId="77777777" w:rsidR="00F65BCA" w:rsidRDefault="00216117">
      <w:pPr>
        <w:pStyle w:val="Odstavecseseznamem"/>
        <w:numPr>
          <w:ilvl w:val="0"/>
          <w:numId w:val="52"/>
        </w:numPr>
        <w:tabs>
          <w:tab w:val="left" w:pos="456"/>
        </w:tabs>
        <w:spacing w:before="50"/>
        <w:ind w:hanging="273"/>
        <w:rPr>
          <w:sz w:val="12"/>
        </w:rPr>
      </w:pPr>
      <w:r>
        <w:rPr>
          <w:color w:val="231F20"/>
          <w:sz w:val="12"/>
        </w:rPr>
        <w:t>otevřená nebo</w:t>
      </w:r>
      <w:r>
        <w:rPr>
          <w:color w:val="231F20"/>
          <w:spacing w:val="-3"/>
          <w:sz w:val="12"/>
        </w:rPr>
        <w:t xml:space="preserve"> </w:t>
      </w:r>
      <w:r>
        <w:rPr>
          <w:color w:val="231F20"/>
          <w:sz w:val="12"/>
        </w:rPr>
        <w:t>operovaná</w:t>
      </w:r>
    </w:p>
    <w:p w14:paraId="37A8484C" w14:textId="77777777" w:rsidR="00F65BCA" w:rsidRDefault="00216117">
      <w:pPr>
        <w:pStyle w:val="Odstavecseseznamem"/>
        <w:numPr>
          <w:ilvl w:val="0"/>
          <w:numId w:val="52"/>
        </w:numPr>
        <w:tabs>
          <w:tab w:val="left" w:pos="456"/>
        </w:tabs>
        <w:spacing w:before="49"/>
        <w:ind w:hanging="273"/>
        <w:rPr>
          <w:sz w:val="12"/>
        </w:rPr>
      </w:pPr>
      <w:r>
        <w:rPr>
          <w:color w:val="231F20"/>
          <w:sz w:val="12"/>
        </w:rPr>
        <w:t>se</w:t>
      </w:r>
      <w:r>
        <w:rPr>
          <w:color w:val="231F20"/>
          <w:spacing w:val="-12"/>
          <w:sz w:val="12"/>
        </w:rPr>
        <w:t xml:space="preserve"> </w:t>
      </w:r>
      <w:r>
        <w:rPr>
          <w:color w:val="231F20"/>
          <w:sz w:val="12"/>
        </w:rPr>
        <w:t>subluxací</w:t>
      </w:r>
      <w:r>
        <w:rPr>
          <w:color w:val="231F20"/>
          <w:spacing w:val="-12"/>
          <w:sz w:val="12"/>
        </w:rPr>
        <w:t xml:space="preserve"> </w:t>
      </w:r>
      <w:r>
        <w:rPr>
          <w:color w:val="231F20"/>
          <w:sz w:val="12"/>
        </w:rPr>
        <w:t>kosti</w:t>
      </w:r>
      <w:r>
        <w:rPr>
          <w:color w:val="231F20"/>
          <w:spacing w:val="-11"/>
          <w:sz w:val="12"/>
        </w:rPr>
        <w:t xml:space="preserve"> </w:t>
      </w:r>
      <w:r>
        <w:rPr>
          <w:color w:val="231F20"/>
          <w:sz w:val="12"/>
        </w:rPr>
        <w:t>hlezenné</w:t>
      </w:r>
      <w:r>
        <w:rPr>
          <w:color w:val="231F20"/>
          <w:spacing w:val="-12"/>
          <w:sz w:val="12"/>
        </w:rPr>
        <w:t xml:space="preserve"> </w:t>
      </w:r>
      <w:r>
        <w:rPr>
          <w:color w:val="231F20"/>
          <w:sz w:val="12"/>
        </w:rPr>
        <w:t>léčená</w:t>
      </w:r>
      <w:r>
        <w:rPr>
          <w:color w:val="231F20"/>
          <w:spacing w:val="-12"/>
          <w:sz w:val="12"/>
        </w:rPr>
        <w:t xml:space="preserve"> </w:t>
      </w:r>
      <w:r>
        <w:rPr>
          <w:color w:val="231F20"/>
          <w:sz w:val="12"/>
        </w:rPr>
        <w:t>konzervativně</w:t>
      </w:r>
    </w:p>
    <w:p w14:paraId="4DEA5DBB" w14:textId="77777777" w:rsidR="00F65BCA" w:rsidRDefault="00216117">
      <w:pPr>
        <w:pStyle w:val="Odstavecseseznamem"/>
        <w:numPr>
          <w:ilvl w:val="0"/>
          <w:numId w:val="52"/>
        </w:numPr>
        <w:tabs>
          <w:tab w:val="left" w:pos="456"/>
        </w:tabs>
        <w:spacing w:before="49"/>
        <w:ind w:hanging="273"/>
        <w:rPr>
          <w:sz w:val="12"/>
        </w:rPr>
      </w:pPr>
      <w:r>
        <w:rPr>
          <w:color w:val="231F20"/>
          <w:sz w:val="12"/>
        </w:rPr>
        <w:t>se</w:t>
      </w:r>
      <w:r>
        <w:rPr>
          <w:color w:val="231F20"/>
          <w:spacing w:val="-6"/>
          <w:sz w:val="12"/>
        </w:rPr>
        <w:t xml:space="preserve"> </w:t>
      </w:r>
      <w:r>
        <w:rPr>
          <w:color w:val="231F20"/>
          <w:sz w:val="12"/>
        </w:rPr>
        <w:t>subluxací</w:t>
      </w:r>
      <w:r>
        <w:rPr>
          <w:color w:val="231F20"/>
          <w:spacing w:val="-5"/>
          <w:sz w:val="12"/>
        </w:rPr>
        <w:t xml:space="preserve"> </w:t>
      </w:r>
      <w:r>
        <w:rPr>
          <w:color w:val="231F20"/>
          <w:sz w:val="12"/>
        </w:rPr>
        <w:t>kosti</w:t>
      </w:r>
      <w:r>
        <w:rPr>
          <w:color w:val="231F20"/>
          <w:spacing w:val="-5"/>
          <w:sz w:val="12"/>
        </w:rPr>
        <w:t xml:space="preserve"> </w:t>
      </w:r>
      <w:r>
        <w:rPr>
          <w:color w:val="231F20"/>
          <w:sz w:val="12"/>
        </w:rPr>
        <w:t>hlezenné</w:t>
      </w:r>
      <w:r>
        <w:rPr>
          <w:color w:val="231F20"/>
          <w:spacing w:val="-5"/>
          <w:sz w:val="12"/>
        </w:rPr>
        <w:t xml:space="preserve"> </w:t>
      </w:r>
      <w:r>
        <w:rPr>
          <w:color w:val="231F20"/>
          <w:sz w:val="12"/>
        </w:rPr>
        <w:t>léčená</w:t>
      </w:r>
      <w:r>
        <w:rPr>
          <w:color w:val="231F20"/>
          <w:spacing w:val="-5"/>
          <w:sz w:val="12"/>
        </w:rPr>
        <w:t xml:space="preserve"> </w:t>
      </w:r>
      <w:r>
        <w:rPr>
          <w:color w:val="231F20"/>
          <w:sz w:val="12"/>
        </w:rPr>
        <w:t>operací</w:t>
      </w:r>
    </w:p>
    <w:p w14:paraId="331AABC5" w14:textId="77777777" w:rsidR="00F65BCA" w:rsidRDefault="00216117">
      <w:pPr>
        <w:spacing w:before="47" w:line="242" w:lineRule="auto"/>
        <w:ind w:left="455" w:right="363"/>
        <w:rPr>
          <w:b/>
          <w:sz w:val="12"/>
        </w:rPr>
      </w:pPr>
      <w:r>
        <w:rPr>
          <w:b/>
          <w:color w:val="231F20"/>
          <w:sz w:val="12"/>
        </w:rPr>
        <w:t>Zlomenina trimalleolární – obou kotníků a hrany kosti holenní</w:t>
      </w:r>
    </w:p>
    <w:p w14:paraId="213C806E" w14:textId="77777777" w:rsidR="00F65BCA" w:rsidRDefault="00216117">
      <w:pPr>
        <w:pStyle w:val="Odstavecseseznamem"/>
        <w:numPr>
          <w:ilvl w:val="0"/>
          <w:numId w:val="52"/>
        </w:numPr>
        <w:tabs>
          <w:tab w:val="left" w:pos="456"/>
        </w:tabs>
        <w:spacing w:before="46"/>
        <w:ind w:hanging="273"/>
        <w:rPr>
          <w:sz w:val="12"/>
        </w:rPr>
      </w:pPr>
      <w:r>
        <w:rPr>
          <w:color w:val="231F20"/>
          <w:sz w:val="12"/>
        </w:rPr>
        <w:t>léčená</w:t>
      </w:r>
      <w:r>
        <w:rPr>
          <w:color w:val="231F20"/>
          <w:spacing w:val="-2"/>
          <w:sz w:val="12"/>
        </w:rPr>
        <w:t xml:space="preserve"> </w:t>
      </w:r>
      <w:r>
        <w:rPr>
          <w:color w:val="231F20"/>
          <w:sz w:val="12"/>
        </w:rPr>
        <w:t>konzervativně</w:t>
      </w:r>
    </w:p>
    <w:p w14:paraId="2917C9F7" w14:textId="77777777" w:rsidR="00F65BCA" w:rsidRDefault="00216117">
      <w:pPr>
        <w:pStyle w:val="Odstavecseseznamem"/>
        <w:numPr>
          <w:ilvl w:val="0"/>
          <w:numId w:val="52"/>
        </w:numPr>
        <w:tabs>
          <w:tab w:val="left" w:pos="456"/>
        </w:tabs>
        <w:spacing w:before="49" w:line="340" w:lineRule="auto"/>
        <w:ind w:right="1137"/>
        <w:rPr>
          <w:b/>
          <w:sz w:val="12"/>
        </w:rPr>
      </w:pPr>
      <w:r>
        <w:rPr>
          <w:color w:val="231F20"/>
          <w:sz w:val="12"/>
        </w:rPr>
        <w:t xml:space="preserve">otevřená nebo operovaná </w:t>
      </w:r>
      <w:r>
        <w:rPr>
          <w:b/>
          <w:color w:val="231F20"/>
          <w:sz w:val="12"/>
        </w:rPr>
        <w:t>Zlomeniny kostí</w:t>
      </w:r>
      <w:r>
        <w:rPr>
          <w:b/>
          <w:color w:val="231F20"/>
          <w:spacing w:val="-16"/>
          <w:sz w:val="12"/>
        </w:rPr>
        <w:t xml:space="preserve"> </w:t>
      </w:r>
      <w:r>
        <w:rPr>
          <w:b/>
          <w:color w:val="231F20"/>
          <w:sz w:val="12"/>
        </w:rPr>
        <w:t>zánártních Zlomenina kosti patní</w:t>
      </w:r>
    </w:p>
    <w:p w14:paraId="10ABBF95" w14:textId="77777777" w:rsidR="00F65BCA" w:rsidRDefault="00216117">
      <w:pPr>
        <w:pStyle w:val="Odstavecseseznamem"/>
        <w:numPr>
          <w:ilvl w:val="0"/>
          <w:numId w:val="52"/>
        </w:numPr>
        <w:tabs>
          <w:tab w:val="left" w:pos="456"/>
        </w:tabs>
        <w:spacing w:line="131" w:lineRule="exact"/>
        <w:ind w:hanging="273"/>
        <w:rPr>
          <w:sz w:val="12"/>
        </w:rPr>
      </w:pPr>
      <w:r>
        <w:rPr>
          <w:color w:val="231F20"/>
          <w:sz w:val="12"/>
        </w:rPr>
        <w:t>bez porušení statiky (Böhlerova</w:t>
      </w:r>
      <w:r>
        <w:rPr>
          <w:color w:val="231F20"/>
          <w:spacing w:val="-15"/>
          <w:sz w:val="12"/>
        </w:rPr>
        <w:t xml:space="preserve"> </w:t>
      </w:r>
      <w:r>
        <w:rPr>
          <w:color w:val="231F20"/>
          <w:sz w:val="12"/>
        </w:rPr>
        <w:t>úhlu)</w:t>
      </w:r>
    </w:p>
    <w:p w14:paraId="27E1691C" w14:textId="77777777" w:rsidR="00F65BCA" w:rsidRDefault="00000000">
      <w:pPr>
        <w:spacing w:before="45" w:line="242" w:lineRule="auto"/>
        <w:ind w:left="455" w:right="736"/>
        <w:rPr>
          <w:sz w:val="12"/>
        </w:rPr>
      </w:pPr>
      <w:r>
        <w:pict w14:anchorId="487551A5">
          <v:shape id="_x0000_s1581" type="#_x0000_t202" style="position:absolute;left:0;text-align:left;margin-left:16.2pt;margin-top:5.55pt;width:10.05pt;height:7.2pt;z-index:251988992;mso-position-horizontal-relative:page" filled="f" stroked="f">
            <v:textbox inset="0,0,0,0">
              <w:txbxContent>
                <w:p w14:paraId="16FEEB67" w14:textId="77777777" w:rsidR="00F65BCA" w:rsidRDefault="00216117">
                  <w:pPr>
                    <w:spacing w:before="4"/>
                    <w:rPr>
                      <w:b/>
                      <w:sz w:val="12"/>
                    </w:rPr>
                  </w:pPr>
                  <w:r>
                    <w:rPr>
                      <w:b/>
                      <w:color w:val="231F20"/>
                      <w:sz w:val="12"/>
                    </w:rPr>
                    <w:t>342</w:t>
                  </w:r>
                </w:p>
              </w:txbxContent>
            </v:textbox>
            <w10:wrap anchorx="page"/>
          </v:shape>
        </w:pict>
      </w:r>
      <w:r w:rsidR="00216117">
        <w:rPr>
          <w:color w:val="231F20"/>
          <w:sz w:val="12"/>
        </w:rPr>
        <w:t xml:space="preserve">s porušením statiky (Böhlerova </w:t>
      </w:r>
      <w:r w:rsidR="00216117">
        <w:rPr>
          <w:color w:val="231F20"/>
          <w:spacing w:val="-4"/>
          <w:sz w:val="12"/>
        </w:rPr>
        <w:t xml:space="preserve">úhlu) </w:t>
      </w:r>
      <w:r w:rsidR="00216117">
        <w:rPr>
          <w:color w:val="231F20"/>
          <w:sz w:val="12"/>
        </w:rPr>
        <w:t>nebo léčená operací</w:t>
      </w:r>
    </w:p>
    <w:p w14:paraId="0D8A1092" w14:textId="77777777" w:rsidR="00F65BCA" w:rsidRDefault="00216117">
      <w:pPr>
        <w:spacing w:before="52"/>
        <w:ind w:left="455"/>
        <w:rPr>
          <w:b/>
          <w:sz w:val="12"/>
        </w:rPr>
      </w:pPr>
      <w:r>
        <w:rPr>
          <w:b/>
          <w:color w:val="231F20"/>
          <w:sz w:val="12"/>
        </w:rPr>
        <w:t>Zlomenina kosti hlezenné</w:t>
      </w:r>
    </w:p>
    <w:p w14:paraId="04AA69C4" w14:textId="77777777" w:rsidR="00F65BCA" w:rsidRDefault="00216117">
      <w:pPr>
        <w:pStyle w:val="Odstavecseseznamem"/>
        <w:numPr>
          <w:ilvl w:val="0"/>
          <w:numId w:val="51"/>
        </w:numPr>
        <w:tabs>
          <w:tab w:val="left" w:pos="456"/>
        </w:tabs>
        <w:spacing w:before="54"/>
        <w:ind w:hanging="273"/>
        <w:rPr>
          <w:sz w:val="12"/>
        </w:rPr>
      </w:pPr>
      <w:r>
        <w:rPr>
          <w:color w:val="231F20"/>
          <w:sz w:val="12"/>
        </w:rPr>
        <w:t>léčená</w:t>
      </w:r>
      <w:r>
        <w:rPr>
          <w:color w:val="231F20"/>
          <w:spacing w:val="-2"/>
          <w:sz w:val="12"/>
        </w:rPr>
        <w:t xml:space="preserve"> </w:t>
      </w:r>
      <w:r>
        <w:rPr>
          <w:color w:val="231F20"/>
          <w:sz w:val="12"/>
        </w:rPr>
        <w:t>konzervativně</w:t>
      </w:r>
    </w:p>
    <w:p w14:paraId="18A82493" w14:textId="77777777" w:rsidR="00F65BCA" w:rsidRDefault="00216117">
      <w:pPr>
        <w:pStyle w:val="Odstavecseseznamem"/>
        <w:numPr>
          <w:ilvl w:val="0"/>
          <w:numId w:val="51"/>
        </w:numPr>
        <w:tabs>
          <w:tab w:val="left" w:pos="456"/>
        </w:tabs>
        <w:spacing w:before="50"/>
        <w:ind w:hanging="273"/>
        <w:rPr>
          <w:sz w:val="12"/>
        </w:rPr>
      </w:pPr>
      <w:r>
        <w:rPr>
          <w:color w:val="231F20"/>
          <w:sz w:val="12"/>
        </w:rPr>
        <w:t>otevřená nebo</w:t>
      </w:r>
      <w:r>
        <w:rPr>
          <w:color w:val="231F20"/>
          <w:spacing w:val="-3"/>
          <w:sz w:val="12"/>
        </w:rPr>
        <w:t xml:space="preserve"> </w:t>
      </w:r>
      <w:r>
        <w:rPr>
          <w:color w:val="231F20"/>
          <w:sz w:val="12"/>
        </w:rPr>
        <w:t>operovaná</w:t>
      </w:r>
    </w:p>
    <w:p w14:paraId="058FE0DD" w14:textId="77777777" w:rsidR="00F65BCA" w:rsidRDefault="00216117">
      <w:pPr>
        <w:pStyle w:val="Odstavecseseznamem"/>
        <w:numPr>
          <w:ilvl w:val="0"/>
          <w:numId w:val="51"/>
        </w:numPr>
        <w:tabs>
          <w:tab w:val="left" w:pos="456"/>
        </w:tabs>
        <w:spacing w:before="50"/>
        <w:ind w:hanging="273"/>
        <w:rPr>
          <w:sz w:val="12"/>
        </w:rPr>
      </w:pPr>
      <w:r>
        <w:rPr>
          <w:color w:val="231F20"/>
          <w:sz w:val="12"/>
        </w:rPr>
        <w:t>zadního</w:t>
      </w:r>
      <w:r>
        <w:rPr>
          <w:color w:val="231F20"/>
          <w:spacing w:val="-1"/>
          <w:sz w:val="12"/>
        </w:rPr>
        <w:t xml:space="preserve"> </w:t>
      </w:r>
      <w:r>
        <w:rPr>
          <w:color w:val="231F20"/>
          <w:sz w:val="12"/>
        </w:rPr>
        <w:t>výběžku</w:t>
      </w:r>
    </w:p>
    <w:p w14:paraId="7BB2405E" w14:textId="77777777" w:rsidR="00F65BCA" w:rsidRDefault="00216117">
      <w:pPr>
        <w:pStyle w:val="Zkladntext"/>
        <w:rPr>
          <w:sz w:val="14"/>
        </w:rPr>
      </w:pPr>
      <w:r>
        <w:br w:type="column"/>
      </w:r>
    </w:p>
    <w:p w14:paraId="005C5E4C" w14:textId="77777777" w:rsidR="00F65BCA" w:rsidRDefault="00F65BCA">
      <w:pPr>
        <w:pStyle w:val="Zkladntext"/>
        <w:rPr>
          <w:sz w:val="14"/>
        </w:rPr>
      </w:pPr>
    </w:p>
    <w:p w14:paraId="729A3EBB" w14:textId="77777777" w:rsidR="00F65BCA" w:rsidRDefault="00216117">
      <w:pPr>
        <w:spacing w:before="81"/>
        <w:ind w:left="154"/>
        <w:rPr>
          <w:sz w:val="12"/>
        </w:rPr>
      </w:pPr>
      <w:r>
        <w:rPr>
          <w:color w:val="231F20"/>
          <w:sz w:val="12"/>
        </w:rPr>
        <w:t>do</w:t>
      </w:r>
      <w:r>
        <w:rPr>
          <w:color w:val="231F20"/>
          <w:spacing w:val="2"/>
          <w:sz w:val="12"/>
        </w:rPr>
        <w:t xml:space="preserve"> </w:t>
      </w:r>
      <w:r>
        <w:rPr>
          <w:color w:val="231F20"/>
          <w:sz w:val="12"/>
        </w:rPr>
        <w:t>182</w:t>
      </w:r>
    </w:p>
    <w:p w14:paraId="226583D3" w14:textId="77777777" w:rsidR="00F65BCA" w:rsidRDefault="00216117">
      <w:pPr>
        <w:spacing w:before="49"/>
        <w:ind w:left="154"/>
        <w:rPr>
          <w:sz w:val="12"/>
        </w:rPr>
      </w:pPr>
      <w:r>
        <w:rPr>
          <w:color w:val="231F20"/>
          <w:sz w:val="12"/>
        </w:rPr>
        <w:t>do</w:t>
      </w:r>
      <w:r>
        <w:rPr>
          <w:color w:val="231F20"/>
          <w:spacing w:val="2"/>
          <w:sz w:val="12"/>
        </w:rPr>
        <w:t xml:space="preserve"> </w:t>
      </w:r>
      <w:r>
        <w:rPr>
          <w:color w:val="231F20"/>
          <w:sz w:val="12"/>
        </w:rPr>
        <w:t>252</w:t>
      </w:r>
    </w:p>
    <w:p w14:paraId="2B7EE921" w14:textId="77777777" w:rsidR="00F65BCA" w:rsidRDefault="00216117">
      <w:pPr>
        <w:spacing w:before="49"/>
        <w:ind w:left="187"/>
        <w:rPr>
          <w:sz w:val="12"/>
        </w:rPr>
      </w:pPr>
      <w:r>
        <w:rPr>
          <w:color w:val="231F20"/>
          <w:sz w:val="12"/>
        </w:rPr>
        <w:t>do</w:t>
      </w:r>
      <w:r>
        <w:rPr>
          <w:color w:val="231F20"/>
          <w:spacing w:val="2"/>
          <w:sz w:val="12"/>
        </w:rPr>
        <w:t xml:space="preserve"> </w:t>
      </w:r>
      <w:r>
        <w:rPr>
          <w:color w:val="231F20"/>
          <w:sz w:val="12"/>
        </w:rPr>
        <w:t>98</w:t>
      </w:r>
    </w:p>
    <w:p w14:paraId="3EC268A9" w14:textId="77777777" w:rsidR="00F65BCA" w:rsidRDefault="00216117">
      <w:pPr>
        <w:spacing w:before="49"/>
        <w:ind w:left="154"/>
        <w:rPr>
          <w:sz w:val="12"/>
        </w:rPr>
      </w:pPr>
      <w:r>
        <w:rPr>
          <w:color w:val="231F20"/>
          <w:sz w:val="12"/>
        </w:rPr>
        <w:t>do</w:t>
      </w:r>
      <w:r>
        <w:rPr>
          <w:color w:val="231F20"/>
          <w:spacing w:val="2"/>
          <w:sz w:val="12"/>
        </w:rPr>
        <w:t xml:space="preserve"> </w:t>
      </w:r>
      <w:r>
        <w:rPr>
          <w:color w:val="231F20"/>
          <w:sz w:val="12"/>
        </w:rPr>
        <w:t>182</w:t>
      </w:r>
    </w:p>
    <w:p w14:paraId="4335F4C9" w14:textId="77777777" w:rsidR="00F65BCA" w:rsidRDefault="00216117">
      <w:pPr>
        <w:spacing w:before="49"/>
        <w:ind w:left="187"/>
        <w:rPr>
          <w:sz w:val="12"/>
        </w:rPr>
      </w:pPr>
      <w:r>
        <w:rPr>
          <w:color w:val="231F20"/>
          <w:sz w:val="12"/>
        </w:rPr>
        <w:t>do</w:t>
      </w:r>
      <w:r>
        <w:rPr>
          <w:color w:val="231F20"/>
          <w:spacing w:val="2"/>
          <w:sz w:val="12"/>
        </w:rPr>
        <w:t xml:space="preserve"> </w:t>
      </w:r>
      <w:r>
        <w:rPr>
          <w:color w:val="231F20"/>
          <w:sz w:val="12"/>
        </w:rPr>
        <w:t>98</w:t>
      </w:r>
    </w:p>
    <w:p w14:paraId="07FC9140" w14:textId="77777777" w:rsidR="00F65BCA" w:rsidRDefault="00F65BCA">
      <w:pPr>
        <w:pStyle w:val="Zkladntext"/>
        <w:rPr>
          <w:sz w:val="14"/>
        </w:rPr>
      </w:pPr>
    </w:p>
    <w:p w14:paraId="7F5CE9A3" w14:textId="77777777" w:rsidR="00F65BCA" w:rsidRDefault="00216117">
      <w:pPr>
        <w:spacing w:before="93"/>
        <w:ind w:left="187"/>
        <w:rPr>
          <w:sz w:val="12"/>
        </w:rPr>
      </w:pPr>
      <w:r>
        <w:rPr>
          <w:color w:val="231F20"/>
          <w:sz w:val="12"/>
        </w:rPr>
        <w:t>do</w:t>
      </w:r>
      <w:r>
        <w:rPr>
          <w:color w:val="231F20"/>
          <w:spacing w:val="2"/>
          <w:sz w:val="12"/>
        </w:rPr>
        <w:t xml:space="preserve"> </w:t>
      </w:r>
      <w:r>
        <w:rPr>
          <w:color w:val="231F20"/>
          <w:sz w:val="12"/>
        </w:rPr>
        <w:t>70</w:t>
      </w:r>
    </w:p>
    <w:p w14:paraId="2A7C048F" w14:textId="77777777" w:rsidR="00F65BCA" w:rsidRDefault="00216117">
      <w:pPr>
        <w:spacing w:before="49"/>
        <w:ind w:left="154"/>
        <w:rPr>
          <w:sz w:val="12"/>
        </w:rPr>
      </w:pPr>
      <w:r>
        <w:rPr>
          <w:color w:val="231F20"/>
          <w:sz w:val="12"/>
        </w:rPr>
        <w:t>do</w:t>
      </w:r>
      <w:r>
        <w:rPr>
          <w:color w:val="231F20"/>
          <w:spacing w:val="2"/>
          <w:sz w:val="12"/>
        </w:rPr>
        <w:t xml:space="preserve"> </w:t>
      </w:r>
      <w:r>
        <w:rPr>
          <w:color w:val="231F20"/>
          <w:sz w:val="12"/>
        </w:rPr>
        <w:t>105</w:t>
      </w:r>
    </w:p>
    <w:p w14:paraId="72C79C9E" w14:textId="77777777" w:rsidR="00F65BCA" w:rsidRDefault="00216117">
      <w:pPr>
        <w:spacing w:before="49"/>
        <w:ind w:left="187"/>
        <w:rPr>
          <w:sz w:val="12"/>
        </w:rPr>
      </w:pPr>
      <w:r>
        <w:rPr>
          <w:color w:val="231F20"/>
          <w:sz w:val="12"/>
        </w:rPr>
        <w:t>do</w:t>
      </w:r>
      <w:r>
        <w:rPr>
          <w:color w:val="231F20"/>
          <w:spacing w:val="2"/>
          <w:sz w:val="12"/>
        </w:rPr>
        <w:t xml:space="preserve"> </w:t>
      </w:r>
      <w:r>
        <w:rPr>
          <w:color w:val="231F20"/>
          <w:sz w:val="12"/>
        </w:rPr>
        <w:t>70</w:t>
      </w:r>
    </w:p>
    <w:p w14:paraId="6ED03BDA" w14:textId="77777777" w:rsidR="00F65BCA" w:rsidRDefault="00216117">
      <w:pPr>
        <w:spacing w:before="49"/>
        <w:ind w:left="154"/>
        <w:rPr>
          <w:sz w:val="12"/>
        </w:rPr>
      </w:pPr>
      <w:r>
        <w:rPr>
          <w:color w:val="231F20"/>
          <w:sz w:val="12"/>
        </w:rPr>
        <w:t>do</w:t>
      </w:r>
      <w:r>
        <w:rPr>
          <w:color w:val="231F20"/>
          <w:spacing w:val="2"/>
          <w:sz w:val="12"/>
        </w:rPr>
        <w:t xml:space="preserve"> </w:t>
      </w:r>
      <w:r>
        <w:rPr>
          <w:color w:val="231F20"/>
          <w:sz w:val="12"/>
        </w:rPr>
        <w:t>119</w:t>
      </w:r>
    </w:p>
    <w:p w14:paraId="45950E1C" w14:textId="77777777" w:rsidR="00F65BCA" w:rsidRDefault="00216117">
      <w:pPr>
        <w:spacing w:before="49"/>
        <w:ind w:left="154"/>
        <w:rPr>
          <w:sz w:val="12"/>
        </w:rPr>
      </w:pPr>
      <w:r>
        <w:rPr>
          <w:color w:val="231F20"/>
          <w:sz w:val="12"/>
        </w:rPr>
        <w:t>do</w:t>
      </w:r>
      <w:r>
        <w:rPr>
          <w:color w:val="231F20"/>
          <w:spacing w:val="2"/>
          <w:sz w:val="12"/>
        </w:rPr>
        <w:t xml:space="preserve"> </w:t>
      </w:r>
      <w:r>
        <w:rPr>
          <w:color w:val="231F20"/>
          <w:sz w:val="12"/>
        </w:rPr>
        <w:t>154</w:t>
      </w:r>
    </w:p>
    <w:p w14:paraId="024B2204" w14:textId="77777777" w:rsidR="00F65BCA" w:rsidRDefault="00216117">
      <w:pPr>
        <w:spacing w:before="49"/>
        <w:ind w:left="154"/>
        <w:rPr>
          <w:sz w:val="12"/>
        </w:rPr>
      </w:pPr>
      <w:r>
        <w:rPr>
          <w:color w:val="231F20"/>
          <w:sz w:val="12"/>
        </w:rPr>
        <w:t>do</w:t>
      </w:r>
      <w:r>
        <w:rPr>
          <w:color w:val="231F20"/>
          <w:spacing w:val="2"/>
          <w:sz w:val="12"/>
        </w:rPr>
        <w:t xml:space="preserve"> </w:t>
      </w:r>
      <w:r>
        <w:rPr>
          <w:color w:val="231F20"/>
          <w:sz w:val="12"/>
        </w:rPr>
        <w:t>112</w:t>
      </w:r>
    </w:p>
    <w:p w14:paraId="17649EC4" w14:textId="77777777" w:rsidR="00F65BCA" w:rsidRDefault="00216117">
      <w:pPr>
        <w:spacing w:before="49"/>
        <w:ind w:left="154"/>
        <w:rPr>
          <w:sz w:val="12"/>
        </w:rPr>
      </w:pPr>
      <w:r>
        <w:rPr>
          <w:color w:val="231F20"/>
          <w:sz w:val="12"/>
        </w:rPr>
        <w:t>do</w:t>
      </w:r>
      <w:r>
        <w:rPr>
          <w:color w:val="231F20"/>
          <w:spacing w:val="2"/>
          <w:sz w:val="12"/>
        </w:rPr>
        <w:t xml:space="preserve"> </w:t>
      </w:r>
      <w:r>
        <w:rPr>
          <w:color w:val="231F20"/>
          <w:sz w:val="12"/>
        </w:rPr>
        <w:t>140</w:t>
      </w:r>
    </w:p>
    <w:p w14:paraId="0A2B783C" w14:textId="77777777" w:rsidR="00F65BCA" w:rsidRDefault="00216117">
      <w:pPr>
        <w:spacing w:before="49"/>
        <w:ind w:left="187"/>
        <w:rPr>
          <w:sz w:val="12"/>
        </w:rPr>
      </w:pPr>
      <w:r>
        <w:rPr>
          <w:color w:val="231F20"/>
          <w:sz w:val="12"/>
        </w:rPr>
        <w:t>do</w:t>
      </w:r>
      <w:r>
        <w:rPr>
          <w:color w:val="231F20"/>
          <w:spacing w:val="2"/>
          <w:sz w:val="12"/>
        </w:rPr>
        <w:t xml:space="preserve"> </w:t>
      </w:r>
      <w:r>
        <w:rPr>
          <w:color w:val="231F20"/>
          <w:sz w:val="12"/>
        </w:rPr>
        <w:t>98</w:t>
      </w:r>
    </w:p>
    <w:p w14:paraId="40B054A9" w14:textId="77777777" w:rsidR="00F65BCA" w:rsidRDefault="00F65BCA">
      <w:pPr>
        <w:pStyle w:val="Zkladntext"/>
        <w:rPr>
          <w:sz w:val="14"/>
        </w:rPr>
      </w:pPr>
    </w:p>
    <w:p w14:paraId="47ACC072" w14:textId="77777777" w:rsidR="00F65BCA" w:rsidRDefault="00216117">
      <w:pPr>
        <w:spacing w:before="81"/>
        <w:ind w:left="187"/>
        <w:rPr>
          <w:sz w:val="12"/>
        </w:rPr>
      </w:pPr>
      <w:r>
        <w:rPr>
          <w:color w:val="231F20"/>
          <w:sz w:val="12"/>
        </w:rPr>
        <w:t>do</w:t>
      </w:r>
      <w:r>
        <w:rPr>
          <w:color w:val="231F20"/>
          <w:spacing w:val="2"/>
          <w:sz w:val="12"/>
        </w:rPr>
        <w:t xml:space="preserve"> </w:t>
      </w:r>
      <w:r>
        <w:rPr>
          <w:color w:val="231F20"/>
          <w:sz w:val="12"/>
        </w:rPr>
        <w:t>84</w:t>
      </w:r>
    </w:p>
    <w:p w14:paraId="495FA237" w14:textId="77777777" w:rsidR="00F65BCA" w:rsidRDefault="00216117">
      <w:pPr>
        <w:spacing w:before="49"/>
        <w:ind w:left="187"/>
        <w:rPr>
          <w:sz w:val="12"/>
        </w:rPr>
      </w:pPr>
      <w:r>
        <w:rPr>
          <w:color w:val="231F20"/>
          <w:sz w:val="12"/>
        </w:rPr>
        <w:t>do</w:t>
      </w:r>
      <w:r>
        <w:rPr>
          <w:color w:val="231F20"/>
          <w:spacing w:val="2"/>
          <w:sz w:val="12"/>
        </w:rPr>
        <w:t xml:space="preserve"> </w:t>
      </w:r>
      <w:r>
        <w:rPr>
          <w:color w:val="231F20"/>
          <w:sz w:val="12"/>
        </w:rPr>
        <w:t>98</w:t>
      </w:r>
    </w:p>
    <w:p w14:paraId="74DEF8C9" w14:textId="77777777" w:rsidR="00F65BCA" w:rsidRDefault="00216117">
      <w:pPr>
        <w:spacing w:before="49"/>
        <w:ind w:left="154"/>
        <w:rPr>
          <w:sz w:val="12"/>
        </w:rPr>
      </w:pPr>
      <w:r>
        <w:rPr>
          <w:color w:val="231F20"/>
          <w:sz w:val="12"/>
        </w:rPr>
        <w:t>do</w:t>
      </w:r>
      <w:r>
        <w:rPr>
          <w:color w:val="231F20"/>
          <w:spacing w:val="2"/>
          <w:sz w:val="12"/>
        </w:rPr>
        <w:t xml:space="preserve"> </w:t>
      </w:r>
      <w:r>
        <w:rPr>
          <w:color w:val="231F20"/>
          <w:sz w:val="12"/>
        </w:rPr>
        <w:t>112</w:t>
      </w:r>
    </w:p>
    <w:p w14:paraId="28FB2AEF" w14:textId="77777777" w:rsidR="00F65BCA" w:rsidRDefault="00216117">
      <w:pPr>
        <w:spacing w:before="49"/>
        <w:ind w:left="154"/>
        <w:rPr>
          <w:sz w:val="12"/>
        </w:rPr>
      </w:pPr>
      <w:r>
        <w:rPr>
          <w:color w:val="231F20"/>
          <w:sz w:val="12"/>
        </w:rPr>
        <w:t>do</w:t>
      </w:r>
      <w:r>
        <w:rPr>
          <w:color w:val="231F20"/>
          <w:spacing w:val="2"/>
          <w:sz w:val="12"/>
        </w:rPr>
        <w:t xml:space="preserve"> </w:t>
      </w:r>
      <w:r>
        <w:rPr>
          <w:color w:val="231F20"/>
          <w:sz w:val="12"/>
        </w:rPr>
        <w:t>140</w:t>
      </w:r>
    </w:p>
    <w:p w14:paraId="46AAECAA" w14:textId="77777777" w:rsidR="00F65BCA" w:rsidRDefault="00216117">
      <w:pPr>
        <w:spacing w:before="50"/>
        <w:ind w:left="154"/>
        <w:rPr>
          <w:sz w:val="12"/>
        </w:rPr>
      </w:pPr>
      <w:r>
        <w:rPr>
          <w:color w:val="231F20"/>
          <w:sz w:val="12"/>
        </w:rPr>
        <w:t>do</w:t>
      </w:r>
      <w:r>
        <w:rPr>
          <w:color w:val="231F20"/>
          <w:spacing w:val="2"/>
          <w:sz w:val="12"/>
        </w:rPr>
        <w:t xml:space="preserve"> </w:t>
      </w:r>
      <w:r>
        <w:rPr>
          <w:color w:val="231F20"/>
          <w:sz w:val="12"/>
        </w:rPr>
        <w:t>126</w:t>
      </w:r>
    </w:p>
    <w:p w14:paraId="2646076E" w14:textId="77777777" w:rsidR="00F65BCA" w:rsidRDefault="00F65BCA">
      <w:pPr>
        <w:pStyle w:val="Zkladntext"/>
        <w:rPr>
          <w:sz w:val="14"/>
        </w:rPr>
      </w:pPr>
    </w:p>
    <w:p w14:paraId="6797E059" w14:textId="77777777" w:rsidR="00F65BCA" w:rsidRDefault="00216117">
      <w:pPr>
        <w:spacing w:before="80"/>
        <w:ind w:left="154"/>
        <w:rPr>
          <w:sz w:val="12"/>
        </w:rPr>
      </w:pPr>
      <w:r>
        <w:rPr>
          <w:color w:val="231F20"/>
          <w:sz w:val="12"/>
        </w:rPr>
        <w:t>do</w:t>
      </w:r>
      <w:r>
        <w:rPr>
          <w:color w:val="231F20"/>
          <w:spacing w:val="2"/>
          <w:sz w:val="12"/>
        </w:rPr>
        <w:t xml:space="preserve"> </w:t>
      </w:r>
      <w:r>
        <w:rPr>
          <w:color w:val="231F20"/>
          <w:sz w:val="12"/>
        </w:rPr>
        <w:t>112</w:t>
      </w:r>
    </w:p>
    <w:p w14:paraId="4886AAEC" w14:textId="77777777" w:rsidR="00F65BCA" w:rsidRDefault="00216117">
      <w:pPr>
        <w:spacing w:before="50"/>
        <w:ind w:left="154"/>
        <w:rPr>
          <w:sz w:val="12"/>
        </w:rPr>
      </w:pPr>
      <w:r>
        <w:rPr>
          <w:color w:val="231F20"/>
          <w:sz w:val="12"/>
        </w:rPr>
        <w:t>do</w:t>
      </w:r>
      <w:r>
        <w:rPr>
          <w:color w:val="231F20"/>
          <w:spacing w:val="2"/>
          <w:sz w:val="12"/>
        </w:rPr>
        <w:t xml:space="preserve"> </w:t>
      </w:r>
      <w:r>
        <w:rPr>
          <w:color w:val="231F20"/>
          <w:sz w:val="12"/>
        </w:rPr>
        <w:t>140</w:t>
      </w:r>
    </w:p>
    <w:p w14:paraId="7157EB7C" w14:textId="77777777" w:rsidR="00F65BCA" w:rsidRDefault="00216117">
      <w:pPr>
        <w:spacing w:before="49"/>
        <w:ind w:left="154"/>
        <w:rPr>
          <w:sz w:val="12"/>
        </w:rPr>
      </w:pPr>
      <w:r>
        <w:rPr>
          <w:color w:val="231F20"/>
          <w:sz w:val="12"/>
        </w:rPr>
        <w:t>do</w:t>
      </w:r>
      <w:r>
        <w:rPr>
          <w:color w:val="231F20"/>
          <w:spacing w:val="2"/>
          <w:sz w:val="12"/>
        </w:rPr>
        <w:t xml:space="preserve"> </w:t>
      </w:r>
      <w:r>
        <w:rPr>
          <w:color w:val="231F20"/>
          <w:sz w:val="12"/>
        </w:rPr>
        <w:t>112</w:t>
      </w:r>
    </w:p>
    <w:p w14:paraId="54F1E663" w14:textId="77777777" w:rsidR="00F65BCA" w:rsidRDefault="00216117">
      <w:pPr>
        <w:spacing w:before="49"/>
        <w:ind w:left="154"/>
        <w:rPr>
          <w:sz w:val="12"/>
        </w:rPr>
      </w:pPr>
      <w:r>
        <w:rPr>
          <w:color w:val="231F20"/>
          <w:sz w:val="12"/>
        </w:rPr>
        <w:t>do</w:t>
      </w:r>
      <w:r>
        <w:rPr>
          <w:color w:val="231F20"/>
          <w:spacing w:val="2"/>
          <w:sz w:val="12"/>
        </w:rPr>
        <w:t xml:space="preserve"> </w:t>
      </w:r>
      <w:r>
        <w:rPr>
          <w:color w:val="231F20"/>
          <w:sz w:val="12"/>
        </w:rPr>
        <w:t>140</w:t>
      </w:r>
    </w:p>
    <w:p w14:paraId="5F2044FF" w14:textId="77777777" w:rsidR="00F65BCA" w:rsidRDefault="00F65BCA">
      <w:pPr>
        <w:pStyle w:val="Zkladntext"/>
        <w:rPr>
          <w:sz w:val="14"/>
        </w:rPr>
      </w:pPr>
    </w:p>
    <w:p w14:paraId="7403CD17" w14:textId="77777777" w:rsidR="00F65BCA" w:rsidRDefault="00F65BCA">
      <w:pPr>
        <w:pStyle w:val="Zkladntext"/>
        <w:spacing w:before="4"/>
        <w:rPr>
          <w:sz w:val="18"/>
        </w:rPr>
      </w:pPr>
    </w:p>
    <w:p w14:paraId="50DFDF1E" w14:textId="77777777" w:rsidR="00F65BCA" w:rsidRDefault="00216117">
      <w:pPr>
        <w:ind w:left="154"/>
        <w:rPr>
          <w:sz w:val="12"/>
        </w:rPr>
      </w:pPr>
      <w:r>
        <w:rPr>
          <w:color w:val="231F20"/>
          <w:sz w:val="12"/>
        </w:rPr>
        <w:t>do</w:t>
      </w:r>
      <w:r>
        <w:rPr>
          <w:color w:val="231F20"/>
          <w:spacing w:val="2"/>
          <w:sz w:val="12"/>
        </w:rPr>
        <w:t xml:space="preserve"> </w:t>
      </w:r>
      <w:r>
        <w:rPr>
          <w:color w:val="231F20"/>
          <w:sz w:val="12"/>
        </w:rPr>
        <w:t>126</w:t>
      </w:r>
    </w:p>
    <w:p w14:paraId="377F742A" w14:textId="77777777" w:rsidR="00F65BCA" w:rsidRDefault="00216117">
      <w:pPr>
        <w:spacing w:before="49"/>
        <w:ind w:left="154"/>
        <w:rPr>
          <w:sz w:val="12"/>
        </w:rPr>
      </w:pPr>
      <w:r>
        <w:rPr>
          <w:color w:val="231F20"/>
          <w:sz w:val="12"/>
        </w:rPr>
        <w:t>do</w:t>
      </w:r>
      <w:r>
        <w:rPr>
          <w:color w:val="231F20"/>
          <w:spacing w:val="2"/>
          <w:sz w:val="12"/>
        </w:rPr>
        <w:t xml:space="preserve"> </w:t>
      </w:r>
      <w:r>
        <w:rPr>
          <w:color w:val="231F20"/>
          <w:sz w:val="12"/>
        </w:rPr>
        <w:t>154</w:t>
      </w:r>
    </w:p>
    <w:p w14:paraId="2F98492C" w14:textId="77777777" w:rsidR="00F65BCA" w:rsidRDefault="00F65BCA">
      <w:pPr>
        <w:pStyle w:val="Zkladntext"/>
        <w:rPr>
          <w:sz w:val="14"/>
        </w:rPr>
      </w:pPr>
    </w:p>
    <w:p w14:paraId="003BF5A1" w14:textId="77777777" w:rsidR="00F65BCA" w:rsidRDefault="00F65BCA">
      <w:pPr>
        <w:pStyle w:val="Zkladntext"/>
        <w:rPr>
          <w:sz w:val="14"/>
        </w:rPr>
      </w:pPr>
    </w:p>
    <w:p w14:paraId="174AD065" w14:textId="77777777" w:rsidR="00F65BCA" w:rsidRDefault="00216117">
      <w:pPr>
        <w:spacing w:before="121"/>
        <w:ind w:left="187"/>
        <w:rPr>
          <w:sz w:val="12"/>
        </w:rPr>
      </w:pPr>
      <w:r>
        <w:rPr>
          <w:color w:val="231F20"/>
          <w:sz w:val="12"/>
        </w:rPr>
        <w:t>do</w:t>
      </w:r>
      <w:r>
        <w:rPr>
          <w:color w:val="231F20"/>
          <w:spacing w:val="2"/>
          <w:sz w:val="12"/>
        </w:rPr>
        <w:t xml:space="preserve"> </w:t>
      </w:r>
      <w:r>
        <w:rPr>
          <w:color w:val="231F20"/>
          <w:sz w:val="12"/>
        </w:rPr>
        <w:t>84</w:t>
      </w:r>
    </w:p>
    <w:p w14:paraId="2C29814B" w14:textId="77777777" w:rsidR="00F65BCA" w:rsidRDefault="00216117">
      <w:pPr>
        <w:spacing w:before="115"/>
        <w:ind w:left="154"/>
        <w:rPr>
          <w:sz w:val="12"/>
        </w:rPr>
      </w:pPr>
      <w:r>
        <w:rPr>
          <w:color w:val="231F20"/>
          <w:sz w:val="12"/>
        </w:rPr>
        <w:t>do</w:t>
      </w:r>
      <w:r>
        <w:rPr>
          <w:color w:val="231F20"/>
          <w:spacing w:val="2"/>
          <w:sz w:val="12"/>
        </w:rPr>
        <w:t xml:space="preserve"> </w:t>
      </w:r>
      <w:r>
        <w:rPr>
          <w:color w:val="231F20"/>
          <w:sz w:val="12"/>
        </w:rPr>
        <w:t>140</w:t>
      </w:r>
    </w:p>
    <w:p w14:paraId="4F51F0D8" w14:textId="77777777" w:rsidR="00F65BCA" w:rsidRDefault="00F65BCA">
      <w:pPr>
        <w:pStyle w:val="Zkladntext"/>
        <w:rPr>
          <w:sz w:val="14"/>
        </w:rPr>
      </w:pPr>
    </w:p>
    <w:p w14:paraId="15916F47" w14:textId="77777777" w:rsidR="00F65BCA" w:rsidRDefault="00F65BCA">
      <w:pPr>
        <w:pStyle w:val="Zkladntext"/>
        <w:spacing w:before="4"/>
        <w:rPr>
          <w:sz w:val="13"/>
        </w:rPr>
      </w:pPr>
    </w:p>
    <w:p w14:paraId="0766C459" w14:textId="77777777" w:rsidR="00F65BCA" w:rsidRDefault="00216117">
      <w:pPr>
        <w:spacing w:before="1"/>
        <w:ind w:left="154"/>
        <w:rPr>
          <w:sz w:val="12"/>
        </w:rPr>
      </w:pPr>
      <w:r>
        <w:rPr>
          <w:color w:val="231F20"/>
          <w:sz w:val="12"/>
        </w:rPr>
        <w:t>do</w:t>
      </w:r>
      <w:r>
        <w:rPr>
          <w:color w:val="231F20"/>
          <w:spacing w:val="2"/>
          <w:sz w:val="12"/>
        </w:rPr>
        <w:t xml:space="preserve"> </w:t>
      </w:r>
      <w:r>
        <w:rPr>
          <w:color w:val="231F20"/>
          <w:sz w:val="12"/>
        </w:rPr>
        <w:t>126</w:t>
      </w:r>
    </w:p>
    <w:p w14:paraId="0C873DBC" w14:textId="77777777" w:rsidR="00F65BCA" w:rsidRDefault="00216117">
      <w:pPr>
        <w:spacing w:before="49"/>
        <w:ind w:left="154"/>
        <w:rPr>
          <w:sz w:val="12"/>
        </w:rPr>
      </w:pPr>
      <w:r>
        <w:rPr>
          <w:color w:val="231F20"/>
          <w:sz w:val="12"/>
        </w:rPr>
        <w:t>do</w:t>
      </w:r>
      <w:r>
        <w:rPr>
          <w:color w:val="231F20"/>
          <w:spacing w:val="2"/>
          <w:sz w:val="12"/>
        </w:rPr>
        <w:t xml:space="preserve"> </w:t>
      </w:r>
      <w:r>
        <w:rPr>
          <w:color w:val="231F20"/>
          <w:sz w:val="12"/>
        </w:rPr>
        <w:t>175</w:t>
      </w:r>
    </w:p>
    <w:p w14:paraId="3B582000" w14:textId="77777777" w:rsidR="00F65BCA" w:rsidRDefault="00216117">
      <w:pPr>
        <w:spacing w:before="50"/>
        <w:ind w:left="187"/>
        <w:rPr>
          <w:sz w:val="12"/>
        </w:rPr>
      </w:pPr>
      <w:r>
        <w:rPr>
          <w:color w:val="231F20"/>
          <w:sz w:val="12"/>
        </w:rPr>
        <w:t>do</w:t>
      </w:r>
      <w:r>
        <w:rPr>
          <w:color w:val="231F20"/>
          <w:spacing w:val="2"/>
          <w:sz w:val="12"/>
        </w:rPr>
        <w:t xml:space="preserve"> </w:t>
      </w:r>
      <w:r>
        <w:rPr>
          <w:color w:val="231F20"/>
          <w:sz w:val="12"/>
        </w:rPr>
        <w:t>35</w:t>
      </w:r>
    </w:p>
    <w:p w14:paraId="3ED07D83" w14:textId="77777777" w:rsidR="00F65BCA" w:rsidRDefault="00216117">
      <w:pPr>
        <w:pStyle w:val="Zkladntext"/>
        <w:spacing w:before="9"/>
        <w:rPr>
          <w:sz w:val="16"/>
        </w:rPr>
      </w:pPr>
      <w:r>
        <w:br w:type="column"/>
      </w:r>
    </w:p>
    <w:p w14:paraId="5F6BD870" w14:textId="77777777" w:rsidR="00F65BCA" w:rsidRDefault="00216117">
      <w:pPr>
        <w:ind w:left="455"/>
        <w:rPr>
          <w:b/>
          <w:sz w:val="12"/>
        </w:rPr>
      </w:pPr>
      <w:r>
        <w:rPr>
          <w:b/>
          <w:color w:val="231F20"/>
          <w:sz w:val="12"/>
        </w:rPr>
        <w:t>Zlomenina kosti člunkové</w:t>
      </w:r>
    </w:p>
    <w:p w14:paraId="475B3653" w14:textId="77777777" w:rsidR="00F65BCA" w:rsidRDefault="00216117">
      <w:pPr>
        <w:pStyle w:val="Odstavecseseznamem"/>
        <w:numPr>
          <w:ilvl w:val="0"/>
          <w:numId w:val="51"/>
        </w:numPr>
        <w:tabs>
          <w:tab w:val="left" w:pos="456"/>
        </w:tabs>
        <w:spacing w:before="35"/>
        <w:ind w:hanging="273"/>
        <w:rPr>
          <w:sz w:val="12"/>
        </w:rPr>
      </w:pPr>
      <w:r>
        <w:rPr>
          <w:color w:val="231F20"/>
          <w:sz w:val="12"/>
        </w:rPr>
        <w:t>léčená</w:t>
      </w:r>
      <w:r>
        <w:rPr>
          <w:color w:val="231F20"/>
          <w:spacing w:val="-2"/>
          <w:sz w:val="12"/>
        </w:rPr>
        <w:t xml:space="preserve"> </w:t>
      </w:r>
      <w:r>
        <w:rPr>
          <w:color w:val="231F20"/>
          <w:sz w:val="12"/>
        </w:rPr>
        <w:t>konzervativně</w:t>
      </w:r>
    </w:p>
    <w:p w14:paraId="113FEEBD" w14:textId="77777777" w:rsidR="00F65BCA" w:rsidRDefault="00216117">
      <w:pPr>
        <w:pStyle w:val="Odstavecseseznamem"/>
        <w:numPr>
          <w:ilvl w:val="0"/>
          <w:numId w:val="51"/>
        </w:numPr>
        <w:tabs>
          <w:tab w:val="left" w:pos="456"/>
        </w:tabs>
        <w:spacing w:before="32"/>
        <w:ind w:hanging="273"/>
        <w:rPr>
          <w:sz w:val="12"/>
        </w:rPr>
      </w:pPr>
      <w:r>
        <w:rPr>
          <w:color w:val="231F20"/>
          <w:sz w:val="12"/>
        </w:rPr>
        <w:t>otevřená nebo</w:t>
      </w:r>
      <w:r>
        <w:rPr>
          <w:color w:val="231F20"/>
          <w:spacing w:val="-3"/>
          <w:sz w:val="12"/>
        </w:rPr>
        <w:t xml:space="preserve"> </w:t>
      </w:r>
      <w:r>
        <w:rPr>
          <w:color w:val="231F20"/>
          <w:sz w:val="12"/>
        </w:rPr>
        <w:t>operovaná</w:t>
      </w:r>
    </w:p>
    <w:p w14:paraId="5CB6814E" w14:textId="77777777" w:rsidR="00F65BCA" w:rsidRDefault="00000000">
      <w:pPr>
        <w:spacing w:before="33" w:line="242" w:lineRule="auto"/>
        <w:ind w:left="455" w:right="-13"/>
        <w:rPr>
          <w:sz w:val="12"/>
        </w:rPr>
      </w:pPr>
      <w:r>
        <w:pict w14:anchorId="57C9F1CB">
          <v:shape id="_x0000_s1580" type="#_x0000_t202" style="position:absolute;left:0;text-align:left;margin-left:207.15pt;margin-top:4.95pt;width:10.05pt;height:7.2pt;z-index:251990016;mso-position-horizontal-relative:page" filled="f" stroked="f">
            <v:textbox inset="0,0,0,0">
              <w:txbxContent>
                <w:p w14:paraId="3B159D77" w14:textId="77777777" w:rsidR="00F65BCA" w:rsidRDefault="00216117">
                  <w:pPr>
                    <w:spacing w:before="4"/>
                    <w:rPr>
                      <w:b/>
                      <w:sz w:val="12"/>
                    </w:rPr>
                  </w:pPr>
                  <w:r>
                    <w:rPr>
                      <w:b/>
                      <w:color w:val="231F20"/>
                      <w:sz w:val="12"/>
                    </w:rPr>
                    <w:t>348</w:t>
                  </w:r>
                </w:p>
              </w:txbxContent>
            </v:textbox>
            <w10:wrap anchorx="page"/>
          </v:shape>
        </w:pict>
      </w:r>
      <w:r w:rsidR="00216117">
        <w:rPr>
          <w:color w:val="231F20"/>
          <w:sz w:val="12"/>
        </w:rPr>
        <w:t>Zlomeniny</w:t>
      </w:r>
      <w:r w:rsidR="00216117">
        <w:rPr>
          <w:color w:val="231F20"/>
          <w:spacing w:val="-23"/>
          <w:sz w:val="12"/>
        </w:rPr>
        <w:t xml:space="preserve"> </w:t>
      </w:r>
      <w:r w:rsidR="00216117">
        <w:rPr>
          <w:color w:val="231F20"/>
          <w:sz w:val="12"/>
        </w:rPr>
        <w:t>ostatních</w:t>
      </w:r>
      <w:r w:rsidR="00216117">
        <w:rPr>
          <w:color w:val="231F20"/>
          <w:spacing w:val="-22"/>
          <w:sz w:val="12"/>
        </w:rPr>
        <w:t xml:space="preserve"> </w:t>
      </w:r>
      <w:r w:rsidR="00216117">
        <w:rPr>
          <w:color w:val="231F20"/>
          <w:sz w:val="12"/>
        </w:rPr>
        <w:t>kostí</w:t>
      </w:r>
      <w:r w:rsidR="00216117">
        <w:rPr>
          <w:color w:val="231F20"/>
          <w:spacing w:val="-22"/>
          <w:sz w:val="12"/>
        </w:rPr>
        <w:t xml:space="preserve"> </w:t>
      </w:r>
      <w:r w:rsidR="00216117">
        <w:rPr>
          <w:color w:val="231F20"/>
          <w:sz w:val="12"/>
        </w:rPr>
        <w:t>zánártních</w:t>
      </w:r>
      <w:r w:rsidR="00216117">
        <w:rPr>
          <w:color w:val="231F20"/>
          <w:spacing w:val="-22"/>
          <w:sz w:val="12"/>
        </w:rPr>
        <w:t xml:space="preserve"> </w:t>
      </w:r>
      <w:r w:rsidR="00216117">
        <w:rPr>
          <w:color w:val="231F20"/>
          <w:sz w:val="12"/>
        </w:rPr>
        <w:t>(klínovité</w:t>
      </w:r>
      <w:r w:rsidR="00216117">
        <w:rPr>
          <w:color w:val="231F20"/>
          <w:spacing w:val="-22"/>
          <w:sz w:val="12"/>
        </w:rPr>
        <w:t xml:space="preserve"> </w:t>
      </w:r>
      <w:r w:rsidR="00216117">
        <w:rPr>
          <w:color w:val="231F20"/>
          <w:spacing w:val="-4"/>
          <w:sz w:val="12"/>
        </w:rPr>
        <w:t xml:space="preserve">kosti, </w:t>
      </w:r>
      <w:r w:rsidR="00216117">
        <w:rPr>
          <w:color w:val="231F20"/>
          <w:sz w:val="12"/>
        </w:rPr>
        <w:t>krychlová</w:t>
      </w:r>
      <w:r w:rsidR="00216117">
        <w:rPr>
          <w:color w:val="231F20"/>
          <w:spacing w:val="-1"/>
          <w:sz w:val="12"/>
        </w:rPr>
        <w:t xml:space="preserve"> </w:t>
      </w:r>
      <w:r w:rsidR="00216117">
        <w:rPr>
          <w:color w:val="231F20"/>
          <w:sz w:val="12"/>
        </w:rPr>
        <w:t>kost)</w:t>
      </w:r>
    </w:p>
    <w:p w14:paraId="608B7376" w14:textId="77777777" w:rsidR="00F65BCA" w:rsidRDefault="00216117">
      <w:pPr>
        <w:spacing w:before="35" w:line="304" w:lineRule="auto"/>
        <w:ind w:left="455" w:right="40"/>
        <w:rPr>
          <w:b/>
          <w:sz w:val="12"/>
        </w:rPr>
      </w:pPr>
      <w:r>
        <w:rPr>
          <w:b/>
          <w:color w:val="231F20"/>
          <w:sz w:val="12"/>
        </w:rPr>
        <w:t>Zlomeniny kostí nártních (metatarzálních) Zlomenina kůstek nártních palce nebo malíku</w:t>
      </w:r>
    </w:p>
    <w:p w14:paraId="60D965CF" w14:textId="77777777" w:rsidR="00F65BCA" w:rsidRDefault="00216117">
      <w:pPr>
        <w:pStyle w:val="Odstavecseseznamem"/>
        <w:numPr>
          <w:ilvl w:val="0"/>
          <w:numId w:val="50"/>
        </w:numPr>
        <w:tabs>
          <w:tab w:val="left" w:pos="456"/>
        </w:tabs>
        <w:spacing w:line="136" w:lineRule="exact"/>
        <w:ind w:hanging="273"/>
        <w:rPr>
          <w:sz w:val="12"/>
        </w:rPr>
      </w:pPr>
      <w:r>
        <w:rPr>
          <w:color w:val="231F20"/>
          <w:sz w:val="12"/>
        </w:rPr>
        <w:t>léčená</w:t>
      </w:r>
      <w:r>
        <w:rPr>
          <w:color w:val="231F20"/>
          <w:spacing w:val="-2"/>
          <w:sz w:val="12"/>
        </w:rPr>
        <w:t xml:space="preserve"> </w:t>
      </w:r>
      <w:r>
        <w:rPr>
          <w:color w:val="231F20"/>
          <w:sz w:val="12"/>
        </w:rPr>
        <w:t>konzervativně</w:t>
      </w:r>
    </w:p>
    <w:p w14:paraId="0F239E47" w14:textId="77777777" w:rsidR="00F65BCA" w:rsidRDefault="00216117">
      <w:pPr>
        <w:pStyle w:val="Odstavecseseznamem"/>
        <w:numPr>
          <w:ilvl w:val="0"/>
          <w:numId w:val="50"/>
        </w:numPr>
        <w:tabs>
          <w:tab w:val="left" w:pos="456"/>
        </w:tabs>
        <w:spacing w:before="32"/>
        <w:ind w:hanging="273"/>
        <w:rPr>
          <w:sz w:val="12"/>
        </w:rPr>
      </w:pPr>
      <w:r>
        <w:rPr>
          <w:color w:val="231F20"/>
          <w:sz w:val="12"/>
        </w:rPr>
        <w:t>otevřená nebo</w:t>
      </w:r>
      <w:r>
        <w:rPr>
          <w:color w:val="231F20"/>
          <w:spacing w:val="-3"/>
          <w:sz w:val="12"/>
        </w:rPr>
        <w:t xml:space="preserve"> </w:t>
      </w:r>
      <w:r>
        <w:rPr>
          <w:color w:val="231F20"/>
          <w:sz w:val="12"/>
        </w:rPr>
        <w:t>operovaná</w:t>
      </w:r>
    </w:p>
    <w:p w14:paraId="647BC8BB" w14:textId="77777777" w:rsidR="00F65BCA" w:rsidRDefault="00216117">
      <w:pPr>
        <w:spacing w:before="30" w:line="242" w:lineRule="auto"/>
        <w:ind w:left="455" w:right="160"/>
        <w:rPr>
          <w:b/>
          <w:sz w:val="12"/>
        </w:rPr>
      </w:pPr>
      <w:r>
        <w:rPr>
          <w:b/>
          <w:color w:val="231F20"/>
          <w:sz w:val="12"/>
        </w:rPr>
        <w:t>Zlomenina kůstek nártních jiného prstu než palce nebo malíku</w:t>
      </w:r>
    </w:p>
    <w:p w14:paraId="7BD09DF3" w14:textId="77777777" w:rsidR="00F65BCA" w:rsidRDefault="00216117">
      <w:pPr>
        <w:pStyle w:val="Odstavecseseznamem"/>
        <w:numPr>
          <w:ilvl w:val="0"/>
          <w:numId w:val="50"/>
        </w:numPr>
        <w:tabs>
          <w:tab w:val="left" w:pos="456"/>
        </w:tabs>
        <w:spacing w:before="30"/>
        <w:ind w:hanging="273"/>
        <w:rPr>
          <w:sz w:val="12"/>
        </w:rPr>
      </w:pPr>
      <w:r>
        <w:rPr>
          <w:color w:val="231F20"/>
          <w:sz w:val="12"/>
        </w:rPr>
        <w:t>léčená</w:t>
      </w:r>
      <w:r>
        <w:rPr>
          <w:color w:val="231F20"/>
          <w:spacing w:val="-2"/>
          <w:sz w:val="12"/>
        </w:rPr>
        <w:t xml:space="preserve"> </w:t>
      </w:r>
      <w:r>
        <w:rPr>
          <w:color w:val="231F20"/>
          <w:sz w:val="12"/>
        </w:rPr>
        <w:t>konzervativně</w:t>
      </w:r>
    </w:p>
    <w:p w14:paraId="0D486253" w14:textId="77777777" w:rsidR="00F65BCA" w:rsidRDefault="00216117">
      <w:pPr>
        <w:pStyle w:val="Odstavecseseznamem"/>
        <w:numPr>
          <w:ilvl w:val="0"/>
          <w:numId w:val="50"/>
        </w:numPr>
        <w:tabs>
          <w:tab w:val="left" w:pos="456"/>
        </w:tabs>
        <w:spacing w:before="32"/>
        <w:ind w:hanging="273"/>
        <w:rPr>
          <w:sz w:val="12"/>
        </w:rPr>
      </w:pPr>
      <w:r>
        <w:rPr>
          <w:color w:val="231F20"/>
          <w:sz w:val="12"/>
        </w:rPr>
        <w:t>otevřená nebo</w:t>
      </w:r>
      <w:r>
        <w:rPr>
          <w:color w:val="231F20"/>
          <w:spacing w:val="-3"/>
          <w:sz w:val="12"/>
        </w:rPr>
        <w:t xml:space="preserve"> </w:t>
      </w:r>
      <w:r>
        <w:rPr>
          <w:color w:val="231F20"/>
          <w:sz w:val="12"/>
        </w:rPr>
        <w:t>operovaná</w:t>
      </w:r>
    </w:p>
    <w:p w14:paraId="2CF0C51F" w14:textId="77777777" w:rsidR="00F65BCA" w:rsidRDefault="00216117">
      <w:pPr>
        <w:spacing w:before="26"/>
        <w:ind w:left="455"/>
        <w:rPr>
          <w:b/>
          <w:sz w:val="12"/>
        </w:rPr>
      </w:pPr>
      <w:r>
        <w:rPr>
          <w:b/>
          <w:color w:val="231F20"/>
          <w:sz w:val="12"/>
        </w:rPr>
        <w:t>Zlomeniny prstů nohy</w:t>
      </w:r>
    </w:p>
    <w:p w14:paraId="2BC70E3B" w14:textId="77777777" w:rsidR="00F65BCA" w:rsidRDefault="00216117">
      <w:pPr>
        <w:spacing w:before="21"/>
        <w:ind w:left="455"/>
        <w:rPr>
          <w:b/>
          <w:sz w:val="12"/>
        </w:rPr>
      </w:pPr>
      <w:r>
        <w:rPr>
          <w:b/>
          <w:color w:val="231F20"/>
          <w:sz w:val="12"/>
        </w:rPr>
        <w:t>Zlomenina článku, článků palce nohy</w:t>
      </w:r>
    </w:p>
    <w:p w14:paraId="0E79AA5B" w14:textId="77777777" w:rsidR="00F65BCA" w:rsidRDefault="00216117">
      <w:pPr>
        <w:pStyle w:val="Odstavecseseznamem"/>
        <w:numPr>
          <w:ilvl w:val="0"/>
          <w:numId w:val="50"/>
        </w:numPr>
        <w:tabs>
          <w:tab w:val="left" w:pos="456"/>
        </w:tabs>
        <w:spacing w:before="21"/>
        <w:ind w:hanging="273"/>
        <w:rPr>
          <w:sz w:val="12"/>
        </w:rPr>
      </w:pPr>
      <w:r>
        <w:rPr>
          <w:color w:val="231F20"/>
          <w:sz w:val="12"/>
        </w:rPr>
        <w:t>léčená</w:t>
      </w:r>
      <w:r>
        <w:rPr>
          <w:color w:val="231F20"/>
          <w:spacing w:val="-2"/>
          <w:sz w:val="12"/>
        </w:rPr>
        <w:t xml:space="preserve"> </w:t>
      </w:r>
      <w:r>
        <w:rPr>
          <w:color w:val="231F20"/>
          <w:sz w:val="12"/>
        </w:rPr>
        <w:t>konzervativně</w:t>
      </w:r>
    </w:p>
    <w:p w14:paraId="6C890C05" w14:textId="77777777" w:rsidR="00F65BCA" w:rsidRDefault="00216117">
      <w:pPr>
        <w:pStyle w:val="Odstavecseseznamem"/>
        <w:numPr>
          <w:ilvl w:val="0"/>
          <w:numId w:val="50"/>
        </w:numPr>
        <w:tabs>
          <w:tab w:val="left" w:pos="456"/>
        </w:tabs>
        <w:spacing w:before="21"/>
        <w:ind w:hanging="273"/>
        <w:rPr>
          <w:sz w:val="12"/>
        </w:rPr>
      </w:pPr>
      <w:r>
        <w:rPr>
          <w:color w:val="231F20"/>
          <w:sz w:val="12"/>
        </w:rPr>
        <w:t>otevřená nebo</w:t>
      </w:r>
      <w:r>
        <w:rPr>
          <w:color w:val="231F20"/>
          <w:spacing w:val="-3"/>
          <w:sz w:val="12"/>
        </w:rPr>
        <w:t xml:space="preserve"> </w:t>
      </w:r>
      <w:r>
        <w:rPr>
          <w:color w:val="231F20"/>
          <w:sz w:val="12"/>
        </w:rPr>
        <w:t>operovaná</w:t>
      </w:r>
    </w:p>
    <w:p w14:paraId="609F070A" w14:textId="77777777" w:rsidR="00F65BCA" w:rsidRDefault="00216117">
      <w:pPr>
        <w:spacing w:before="18" w:line="242" w:lineRule="auto"/>
        <w:ind w:left="455" w:right="106"/>
        <w:rPr>
          <w:b/>
          <w:sz w:val="12"/>
        </w:rPr>
      </w:pPr>
      <w:r>
        <w:rPr>
          <w:b/>
          <w:color w:val="231F20"/>
          <w:sz w:val="12"/>
        </w:rPr>
        <w:t>Zlomenina jednoho článku, článků ostatních prstů nohy</w:t>
      </w:r>
    </w:p>
    <w:p w14:paraId="4FDDE1C6" w14:textId="77777777" w:rsidR="00F65BCA" w:rsidRDefault="00216117">
      <w:pPr>
        <w:pStyle w:val="Odstavecseseznamem"/>
        <w:numPr>
          <w:ilvl w:val="0"/>
          <w:numId w:val="50"/>
        </w:numPr>
        <w:tabs>
          <w:tab w:val="left" w:pos="456"/>
        </w:tabs>
        <w:spacing w:before="18"/>
        <w:ind w:hanging="273"/>
        <w:rPr>
          <w:sz w:val="12"/>
        </w:rPr>
      </w:pPr>
      <w:r>
        <w:rPr>
          <w:color w:val="231F20"/>
          <w:sz w:val="12"/>
        </w:rPr>
        <w:t>léčená</w:t>
      </w:r>
      <w:r>
        <w:rPr>
          <w:color w:val="231F20"/>
          <w:spacing w:val="-2"/>
          <w:sz w:val="12"/>
        </w:rPr>
        <w:t xml:space="preserve"> </w:t>
      </w:r>
      <w:r>
        <w:rPr>
          <w:color w:val="231F20"/>
          <w:sz w:val="12"/>
        </w:rPr>
        <w:t>konzervativně</w:t>
      </w:r>
    </w:p>
    <w:p w14:paraId="0E2B4C4A" w14:textId="77777777" w:rsidR="00F65BCA" w:rsidRDefault="00216117">
      <w:pPr>
        <w:pStyle w:val="Odstavecseseznamem"/>
        <w:numPr>
          <w:ilvl w:val="0"/>
          <w:numId w:val="50"/>
        </w:numPr>
        <w:tabs>
          <w:tab w:val="left" w:pos="456"/>
        </w:tabs>
        <w:spacing w:before="21"/>
        <w:ind w:hanging="273"/>
        <w:rPr>
          <w:sz w:val="12"/>
        </w:rPr>
      </w:pPr>
      <w:r>
        <w:rPr>
          <w:color w:val="231F20"/>
          <w:sz w:val="12"/>
        </w:rPr>
        <w:t>otevřená nebo</w:t>
      </w:r>
      <w:r>
        <w:rPr>
          <w:color w:val="231F20"/>
          <w:spacing w:val="-3"/>
          <w:sz w:val="12"/>
        </w:rPr>
        <w:t xml:space="preserve"> </w:t>
      </w:r>
      <w:r>
        <w:rPr>
          <w:color w:val="231F20"/>
          <w:sz w:val="12"/>
        </w:rPr>
        <w:t>operovaná</w:t>
      </w:r>
    </w:p>
    <w:p w14:paraId="2E1A60D1" w14:textId="77777777" w:rsidR="00F65BCA" w:rsidRDefault="00216117">
      <w:pPr>
        <w:spacing w:before="21"/>
        <w:ind w:left="1243"/>
        <w:rPr>
          <w:b/>
          <w:sz w:val="12"/>
        </w:rPr>
      </w:pPr>
      <w:r>
        <w:rPr>
          <w:b/>
          <w:color w:val="231F20"/>
          <w:sz w:val="12"/>
        </w:rPr>
        <w:t>Amputace (snesení)</w:t>
      </w:r>
    </w:p>
    <w:p w14:paraId="4500F2AA" w14:textId="77777777" w:rsidR="00F65BCA" w:rsidRDefault="00216117">
      <w:pPr>
        <w:pStyle w:val="Odstavecseseznamem"/>
        <w:numPr>
          <w:ilvl w:val="0"/>
          <w:numId w:val="50"/>
        </w:numPr>
        <w:tabs>
          <w:tab w:val="left" w:pos="456"/>
        </w:tabs>
        <w:spacing w:before="24"/>
        <w:ind w:hanging="273"/>
        <w:rPr>
          <w:sz w:val="12"/>
        </w:rPr>
      </w:pPr>
      <w:r>
        <w:rPr>
          <w:color w:val="231F20"/>
          <w:sz w:val="12"/>
        </w:rPr>
        <w:t>Exartikulace</w:t>
      </w:r>
      <w:r>
        <w:rPr>
          <w:color w:val="231F20"/>
          <w:spacing w:val="-19"/>
          <w:sz w:val="12"/>
        </w:rPr>
        <w:t xml:space="preserve"> </w:t>
      </w:r>
      <w:r>
        <w:rPr>
          <w:color w:val="231F20"/>
          <w:sz w:val="12"/>
        </w:rPr>
        <w:t>kyčelního</w:t>
      </w:r>
      <w:r>
        <w:rPr>
          <w:color w:val="231F20"/>
          <w:spacing w:val="-18"/>
          <w:sz w:val="12"/>
        </w:rPr>
        <w:t xml:space="preserve"> </w:t>
      </w:r>
      <w:r>
        <w:rPr>
          <w:color w:val="231F20"/>
          <w:sz w:val="12"/>
        </w:rPr>
        <w:t>kloubu</w:t>
      </w:r>
      <w:r>
        <w:rPr>
          <w:color w:val="231F20"/>
          <w:spacing w:val="-19"/>
          <w:sz w:val="12"/>
        </w:rPr>
        <w:t xml:space="preserve"> </w:t>
      </w:r>
      <w:r>
        <w:rPr>
          <w:color w:val="231F20"/>
          <w:sz w:val="12"/>
        </w:rPr>
        <w:t>nebo</w:t>
      </w:r>
      <w:r>
        <w:rPr>
          <w:color w:val="231F20"/>
          <w:spacing w:val="-18"/>
          <w:sz w:val="12"/>
        </w:rPr>
        <w:t xml:space="preserve"> </w:t>
      </w:r>
      <w:r>
        <w:rPr>
          <w:color w:val="231F20"/>
          <w:sz w:val="12"/>
        </w:rPr>
        <w:t>snesení</w:t>
      </w:r>
      <w:r>
        <w:rPr>
          <w:color w:val="231F20"/>
          <w:spacing w:val="-19"/>
          <w:sz w:val="12"/>
        </w:rPr>
        <w:t xml:space="preserve"> </w:t>
      </w:r>
      <w:r>
        <w:rPr>
          <w:color w:val="231F20"/>
          <w:sz w:val="12"/>
        </w:rPr>
        <w:t>stehna</w:t>
      </w:r>
    </w:p>
    <w:p w14:paraId="506A3B33" w14:textId="77777777" w:rsidR="00F65BCA" w:rsidRDefault="00216117">
      <w:pPr>
        <w:pStyle w:val="Odstavecseseznamem"/>
        <w:numPr>
          <w:ilvl w:val="0"/>
          <w:numId w:val="50"/>
        </w:numPr>
        <w:tabs>
          <w:tab w:val="left" w:pos="456"/>
        </w:tabs>
        <w:spacing w:before="26"/>
        <w:ind w:hanging="273"/>
        <w:rPr>
          <w:sz w:val="12"/>
        </w:rPr>
      </w:pPr>
      <w:r>
        <w:rPr>
          <w:color w:val="231F20"/>
          <w:sz w:val="12"/>
        </w:rPr>
        <w:t>obou</w:t>
      </w:r>
      <w:r>
        <w:rPr>
          <w:color w:val="231F20"/>
          <w:spacing w:val="-1"/>
          <w:sz w:val="12"/>
        </w:rPr>
        <w:t xml:space="preserve"> </w:t>
      </w:r>
      <w:r>
        <w:rPr>
          <w:color w:val="231F20"/>
          <w:sz w:val="12"/>
        </w:rPr>
        <w:t>bérců</w:t>
      </w:r>
    </w:p>
    <w:p w14:paraId="166DEC65" w14:textId="77777777" w:rsidR="00F65BCA" w:rsidRDefault="00216117">
      <w:pPr>
        <w:pStyle w:val="Odstavecseseznamem"/>
        <w:numPr>
          <w:ilvl w:val="0"/>
          <w:numId w:val="50"/>
        </w:numPr>
        <w:tabs>
          <w:tab w:val="left" w:pos="456"/>
        </w:tabs>
        <w:spacing w:before="26"/>
        <w:ind w:hanging="273"/>
        <w:rPr>
          <w:sz w:val="12"/>
        </w:rPr>
      </w:pPr>
      <w:r>
        <w:rPr>
          <w:color w:val="231F20"/>
          <w:sz w:val="12"/>
        </w:rPr>
        <w:t>bérce</w:t>
      </w:r>
    </w:p>
    <w:p w14:paraId="1212A281" w14:textId="77777777" w:rsidR="00F65BCA" w:rsidRDefault="00216117">
      <w:pPr>
        <w:pStyle w:val="Odstavecseseznamem"/>
        <w:numPr>
          <w:ilvl w:val="0"/>
          <w:numId w:val="50"/>
        </w:numPr>
        <w:tabs>
          <w:tab w:val="left" w:pos="456"/>
        </w:tabs>
        <w:spacing w:before="27"/>
        <w:ind w:hanging="273"/>
        <w:rPr>
          <w:sz w:val="12"/>
        </w:rPr>
      </w:pPr>
      <w:r>
        <w:rPr>
          <w:color w:val="231F20"/>
          <w:sz w:val="12"/>
        </w:rPr>
        <w:t>obou</w:t>
      </w:r>
      <w:r>
        <w:rPr>
          <w:color w:val="231F20"/>
          <w:spacing w:val="-1"/>
          <w:sz w:val="12"/>
        </w:rPr>
        <w:t xml:space="preserve"> </w:t>
      </w:r>
      <w:r>
        <w:rPr>
          <w:color w:val="231F20"/>
          <w:sz w:val="12"/>
        </w:rPr>
        <w:t>nohou</w:t>
      </w:r>
    </w:p>
    <w:p w14:paraId="6FF0F119" w14:textId="77777777" w:rsidR="00F65BCA" w:rsidRDefault="00216117">
      <w:pPr>
        <w:pStyle w:val="Odstavecseseznamem"/>
        <w:numPr>
          <w:ilvl w:val="0"/>
          <w:numId w:val="50"/>
        </w:numPr>
        <w:tabs>
          <w:tab w:val="left" w:pos="456"/>
        </w:tabs>
        <w:spacing w:before="26"/>
        <w:ind w:hanging="273"/>
        <w:rPr>
          <w:sz w:val="12"/>
        </w:rPr>
      </w:pPr>
      <w:r>
        <w:rPr>
          <w:color w:val="231F20"/>
          <w:sz w:val="12"/>
        </w:rPr>
        <w:t>nohy</w:t>
      </w:r>
    </w:p>
    <w:p w14:paraId="095E3BCE" w14:textId="77777777" w:rsidR="00F65BCA" w:rsidRDefault="00216117">
      <w:pPr>
        <w:pStyle w:val="Odstavecseseznamem"/>
        <w:numPr>
          <w:ilvl w:val="0"/>
          <w:numId w:val="50"/>
        </w:numPr>
        <w:tabs>
          <w:tab w:val="left" w:pos="456"/>
        </w:tabs>
        <w:spacing w:before="27"/>
        <w:ind w:hanging="273"/>
        <w:rPr>
          <w:sz w:val="12"/>
        </w:rPr>
      </w:pPr>
      <w:r>
        <w:rPr>
          <w:color w:val="231F20"/>
          <w:sz w:val="12"/>
        </w:rPr>
        <w:t>palce nohy nebo jeho</w:t>
      </w:r>
      <w:r>
        <w:rPr>
          <w:color w:val="231F20"/>
          <w:spacing w:val="-4"/>
          <w:sz w:val="12"/>
        </w:rPr>
        <w:t xml:space="preserve"> </w:t>
      </w:r>
      <w:r>
        <w:rPr>
          <w:color w:val="231F20"/>
          <w:sz w:val="12"/>
        </w:rPr>
        <w:t>části</w:t>
      </w:r>
    </w:p>
    <w:p w14:paraId="7F28FAB7" w14:textId="77777777" w:rsidR="00F65BCA" w:rsidRDefault="00000000">
      <w:pPr>
        <w:spacing w:before="31" w:line="242" w:lineRule="auto"/>
        <w:ind w:left="455" w:right="437"/>
        <w:rPr>
          <w:sz w:val="12"/>
        </w:rPr>
      </w:pPr>
      <w:r>
        <w:pict w14:anchorId="794DE431">
          <v:shape id="_x0000_s1579" type="#_x0000_t202" style="position:absolute;left:0;text-align:left;margin-left:207.15pt;margin-top:4.85pt;width:10.05pt;height:7.2pt;z-index:251991040;mso-position-horizontal-relative:page" filled="f" stroked="f">
            <v:textbox inset="0,0,0,0">
              <w:txbxContent>
                <w:p w14:paraId="7BB20301" w14:textId="77777777" w:rsidR="00F65BCA" w:rsidRDefault="00216117">
                  <w:pPr>
                    <w:spacing w:before="4"/>
                    <w:rPr>
                      <w:b/>
                      <w:sz w:val="12"/>
                    </w:rPr>
                  </w:pPr>
                  <w:r>
                    <w:rPr>
                      <w:b/>
                      <w:color w:val="231F20"/>
                      <w:sz w:val="12"/>
                    </w:rPr>
                    <w:t>363</w:t>
                  </w:r>
                </w:p>
              </w:txbxContent>
            </v:textbox>
            <w10:wrap anchorx="page"/>
          </v:shape>
        </w:pict>
      </w:r>
      <w:r w:rsidR="00216117">
        <w:rPr>
          <w:color w:val="231F20"/>
          <w:sz w:val="12"/>
        </w:rPr>
        <w:t xml:space="preserve">jednotlivých prstů nohy (s výjimkou </w:t>
      </w:r>
      <w:r w:rsidR="00216117">
        <w:rPr>
          <w:color w:val="231F20"/>
          <w:spacing w:val="-3"/>
          <w:sz w:val="12"/>
        </w:rPr>
        <w:t xml:space="preserve">palce) </w:t>
      </w:r>
      <w:r w:rsidR="00216117">
        <w:rPr>
          <w:color w:val="231F20"/>
          <w:sz w:val="12"/>
        </w:rPr>
        <w:t>nebo jejich částí za každý prst</w:t>
      </w:r>
    </w:p>
    <w:p w14:paraId="6227371D" w14:textId="77777777" w:rsidR="00F65BCA" w:rsidRDefault="00F65BCA">
      <w:pPr>
        <w:pStyle w:val="Zkladntext"/>
        <w:spacing w:before="2"/>
        <w:rPr>
          <w:sz w:val="14"/>
        </w:rPr>
      </w:pPr>
    </w:p>
    <w:p w14:paraId="157A3E76" w14:textId="77777777" w:rsidR="00F65BCA" w:rsidRDefault="00216117">
      <w:pPr>
        <w:ind w:left="684"/>
        <w:rPr>
          <w:b/>
          <w:sz w:val="14"/>
        </w:rPr>
      </w:pPr>
      <w:r>
        <w:rPr>
          <w:b/>
          <w:color w:val="231F20"/>
          <w:sz w:val="14"/>
        </w:rPr>
        <w:t>PORANĚNÍ NERVOVÉ SOUSTAVY</w:t>
      </w:r>
    </w:p>
    <w:p w14:paraId="0DBAF010" w14:textId="77777777" w:rsidR="00F65BCA" w:rsidRDefault="00216117">
      <w:pPr>
        <w:spacing w:before="55"/>
        <w:ind w:left="455"/>
        <w:rPr>
          <w:b/>
          <w:sz w:val="12"/>
        </w:rPr>
      </w:pPr>
      <w:r>
        <w:rPr>
          <w:b/>
          <w:color w:val="231F20"/>
          <w:w w:val="105"/>
          <w:sz w:val="12"/>
        </w:rPr>
        <w:t>Mozek</w:t>
      </w:r>
    </w:p>
    <w:p w14:paraId="57985C52" w14:textId="77777777" w:rsidR="00F65BCA" w:rsidRDefault="00216117">
      <w:pPr>
        <w:spacing w:before="43"/>
        <w:ind w:left="455"/>
        <w:rPr>
          <w:b/>
          <w:sz w:val="12"/>
        </w:rPr>
      </w:pPr>
      <w:r>
        <w:rPr>
          <w:b/>
          <w:color w:val="231F20"/>
          <w:sz w:val="12"/>
        </w:rPr>
        <w:t>Otřes mozku</w:t>
      </w:r>
    </w:p>
    <w:p w14:paraId="0B1A8CB6" w14:textId="77777777" w:rsidR="00F65BCA" w:rsidRDefault="00000000">
      <w:pPr>
        <w:spacing w:before="53" w:line="242" w:lineRule="auto"/>
        <w:ind w:left="455" w:right="280"/>
        <w:rPr>
          <w:sz w:val="12"/>
        </w:rPr>
      </w:pPr>
      <w:r>
        <w:pict w14:anchorId="3C3817C6">
          <v:shape id="_x0000_s1578" type="#_x0000_t202" style="position:absolute;left:0;text-align:left;margin-left:207.15pt;margin-top:5.95pt;width:10.05pt;height:7.2pt;z-index:251992064;mso-position-horizontal-relative:page" filled="f" stroked="f">
            <v:textbox inset="0,0,0,0">
              <w:txbxContent>
                <w:p w14:paraId="2BC4E733" w14:textId="77777777" w:rsidR="00F65BCA" w:rsidRDefault="00216117">
                  <w:pPr>
                    <w:spacing w:before="4"/>
                    <w:rPr>
                      <w:b/>
                      <w:sz w:val="12"/>
                    </w:rPr>
                  </w:pPr>
                  <w:r>
                    <w:rPr>
                      <w:b/>
                      <w:color w:val="231F20"/>
                      <w:sz w:val="12"/>
                    </w:rPr>
                    <w:t>364</w:t>
                  </w:r>
                </w:p>
              </w:txbxContent>
            </v:textbox>
            <w10:wrap anchorx="page"/>
          </v:shape>
        </w:pict>
      </w:r>
      <w:r w:rsidR="00216117">
        <w:rPr>
          <w:color w:val="231F20"/>
          <w:sz w:val="12"/>
        </w:rPr>
        <w:t>lehkého</w:t>
      </w:r>
      <w:r w:rsidR="00216117">
        <w:rPr>
          <w:color w:val="231F20"/>
          <w:spacing w:val="-18"/>
          <w:sz w:val="12"/>
        </w:rPr>
        <w:t xml:space="preserve"> </w:t>
      </w:r>
      <w:r w:rsidR="00216117">
        <w:rPr>
          <w:color w:val="231F20"/>
          <w:sz w:val="12"/>
        </w:rPr>
        <w:t>stupně</w:t>
      </w:r>
      <w:r w:rsidR="00216117">
        <w:rPr>
          <w:color w:val="231F20"/>
          <w:spacing w:val="-18"/>
          <w:sz w:val="12"/>
        </w:rPr>
        <w:t xml:space="preserve"> </w:t>
      </w:r>
      <w:r w:rsidR="00216117">
        <w:rPr>
          <w:color w:val="231F20"/>
          <w:sz w:val="12"/>
        </w:rPr>
        <w:t>(prvního)</w:t>
      </w:r>
      <w:r w:rsidR="00216117">
        <w:rPr>
          <w:color w:val="231F20"/>
          <w:spacing w:val="-17"/>
          <w:sz w:val="12"/>
        </w:rPr>
        <w:t xml:space="preserve"> </w:t>
      </w:r>
      <w:r w:rsidR="00216117">
        <w:rPr>
          <w:color w:val="231F20"/>
          <w:sz w:val="12"/>
        </w:rPr>
        <w:t>potvrzený</w:t>
      </w:r>
      <w:r w:rsidR="00216117">
        <w:rPr>
          <w:color w:val="231F20"/>
          <w:spacing w:val="-18"/>
          <w:sz w:val="12"/>
        </w:rPr>
        <w:t xml:space="preserve"> </w:t>
      </w:r>
      <w:r w:rsidR="00216117">
        <w:rPr>
          <w:color w:val="231F20"/>
          <w:spacing w:val="-3"/>
          <w:sz w:val="12"/>
        </w:rPr>
        <w:t xml:space="preserve">odborným </w:t>
      </w:r>
      <w:r w:rsidR="00216117">
        <w:rPr>
          <w:color w:val="231F20"/>
          <w:sz w:val="12"/>
        </w:rPr>
        <w:t>vyšetřením</w:t>
      </w:r>
    </w:p>
    <w:p w14:paraId="1494CA35" w14:textId="77777777" w:rsidR="00F65BCA" w:rsidRDefault="00000000">
      <w:pPr>
        <w:spacing w:before="47" w:line="242" w:lineRule="auto"/>
        <w:ind w:left="455" w:right="40"/>
        <w:rPr>
          <w:sz w:val="12"/>
        </w:rPr>
      </w:pPr>
      <w:r>
        <w:pict w14:anchorId="4EF4D707">
          <v:shape id="_x0000_s1577" type="#_x0000_t202" style="position:absolute;left:0;text-align:left;margin-left:207.15pt;margin-top:5.65pt;width:10.05pt;height:7.2pt;z-index:251993088;mso-position-horizontal-relative:page" filled="f" stroked="f">
            <v:textbox inset="0,0,0,0">
              <w:txbxContent>
                <w:p w14:paraId="0DB07780" w14:textId="77777777" w:rsidR="00F65BCA" w:rsidRDefault="00216117">
                  <w:pPr>
                    <w:spacing w:before="4"/>
                    <w:rPr>
                      <w:b/>
                      <w:sz w:val="12"/>
                    </w:rPr>
                  </w:pPr>
                  <w:r>
                    <w:rPr>
                      <w:b/>
                      <w:color w:val="231F20"/>
                      <w:sz w:val="12"/>
                    </w:rPr>
                    <w:t>365</w:t>
                  </w:r>
                </w:p>
              </w:txbxContent>
            </v:textbox>
            <w10:wrap anchorx="page"/>
          </v:shape>
        </w:pict>
      </w:r>
      <w:r w:rsidR="00216117">
        <w:rPr>
          <w:color w:val="231F20"/>
          <w:w w:val="95"/>
          <w:sz w:val="12"/>
        </w:rPr>
        <w:t xml:space="preserve">středního stupně (druhého), </w:t>
      </w:r>
      <w:r w:rsidR="00216117">
        <w:rPr>
          <w:color w:val="231F20"/>
          <w:spacing w:val="-2"/>
          <w:w w:val="95"/>
          <w:sz w:val="12"/>
        </w:rPr>
        <w:t xml:space="preserve">hospitalizace </w:t>
      </w:r>
      <w:r w:rsidR="00216117">
        <w:rPr>
          <w:color w:val="231F20"/>
          <w:sz w:val="12"/>
        </w:rPr>
        <w:t>podmínkou</w:t>
      </w:r>
    </w:p>
    <w:p w14:paraId="2B1E0D8D" w14:textId="77777777" w:rsidR="00F65BCA" w:rsidRDefault="00216117">
      <w:pPr>
        <w:pStyle w:val="Odstavecseseznamem"/>
        <w:numPr>
          <w:ilvl w:val="0"/>
          <w:numId w:val="49"/>
        </w:numPr>
        <w:tabs>
          <w:tab w:val="left" w:pos="456"/>
        </w:tabs>
        <w:spacing w:before="32"/>
        <w:ind w:hanging="273"/>
        <w:rPr>
          <w:sz w:val="12"/>
        </w:rPr>
      </w:pPr>
      <w:r>
        <w:rPr>
          <w:color w:val="231F20"/>
          <w:w w:val="95"/>
          <w:sz w:val="12"/>
        </w:rPr>
        <w:t>těžkého stupně (třetího), hospitalizace</w:t>
      </w:r>
      <w:r>
        <w:rPr>
          <w:color w:val="231F20"/>
          <w:spacing w:val="30"/>
          <w:w w:val="95"/>
          <w:sz w:val="12"/>
        </w:rPr>
        <w:t xml:space="preserve"> </w:t>
      </w:r>
      <w:r>
        <w:rPr>
          <w:color w:val="231F20"/>
          <w:w w:val="95"/>
          <w:sz w:val="12"/>
        </w:rPr>
        <w:t>podmínkou</w:t>
      </w:r>
    </w:p>
    <w:p w14:paraId="3AFA99D6" w14:textId="77777777" w:rsidR="00F65BCA" w:rsidRDefault="00216117">
      <w:pPr>
        <w:pStyle w:val="Odstavecseseznamem"/>
        <w:numPr>
          <w:ilvl w:val="0"/>
          <w:numId w:val="49"/>
        </w:numPr>
        <w:tabs>
          <w:tab w:val="left" w:pos="456"/>
        </w:tabs>
        <w:spacing w:before="32"/>
        <w:ind w:hanging="273"/>
        <w:rPr>
          <w:sz w:val="12"/>
        </w:rPr>
      </w:pPr>
      <w:r>
        <w:rPr>
          <w:color w:val="231F20"/>
          <w:sz w:val="12"/>
        </w:rPr>
        <w:t>Pohmoždění</w:t>
      </w:r>
      <w:r>
        <w:rPr>
          <w:color w:val="231F20"/>
          <w:spacing w:val="-1"/>
          <w:sz w:val="12"/>
        </w:rPr>
        <w:t xml:space="preserve"> </w:t>
      </w:r>
      <w:r>
        <w:rPr>
          <w:color w:val="231F20"/>
          <w:sz w:val="12"/>
        </w:rPr>
        <w:t>mozku</w:t>
      </w:r>
    </w:p>
    <w:p w14:paraId="3AEC88C0" w14:textId="77777777" w:rsidR="00F65BCA" w:rsidRDefault="00216117">
      <w:pPr>
        <w:pStyle w:val="Odstavecseseznamem"/>
        <w:numPr>
          <w:ilvl w:val="0"/>
          <w:numId w:val="49"/>
        </w:numPr>
        <w:tabs>
          <w:tab w:val="left" w:pos="456"/>
        </w:tabs>
        <w:spacing w:before="32"/>
        <w:ind w:hanging="273"/>
        <w:rPr>
          <w:sz w:val="12"/>
        </w:rPr>
      </w:pPr>
      <w:r>
        <w:rPr>
          <w:color w:val="231F20"/>
          <w:sz w:val="12"/>
        </w:rPr>
        <w:t>Rozdrcení mozkové</w:t>
      </w:r>
      <w:r>
        <w:rPr>
          <w:color w:val="231F20"/>
          <w:spacing w:val="-3"/>
          <w:sz w:val="12"/>
        </w:rPr>
        <w:t xml:space="preserve"> </w:t>
      </w:r>
      <w:r>
        <w:rPr>
          <w:color w:val="231F20"/>
          <w:sz w:val="12"/>
        </w:rPr>
        <w:t>tkáně</w:t>
      </w:r>
    </w:p>
    <w:p w14:paraId="1F46F7B5" w14:textId="77777777" w:rsidR="00F65BCA" w:rsidRDefault="00216117">
      <w:pPr>
        <w:spacing w:before="38"/>
        <w:ind w:left="455"/>
        <w:rPr>
          <w:b/>
          <w:sz w:val="12"/>
        </w:rPr>
      </w:pPr>
      <w:r>
        <w:rPr>
          <w:b/>
          <w:color w:val="231F20"/>
          <w:sz w:val="12"/>
        </w:rPr>
        <w:t>Krvácení</w:t>
      </w:r>
    </w:p>
    <w:p w14:paraId="009998F3" w14:textId="77777777" w:rsidR="00F65BCA" w:rsidRDefault="00216117">
      <w:pPr>
        <w:pStyle w:val="Odstavecseseznamem"/>
        <w:numPr>
          <w:ilvl w:val="0"/>
          <w:numId w:val="49"/>
        </w:numPr>
        <w:tabs>
          <w:tab w:val="left" w:pos="456"/>
        </w:tabs>
        <w:spacing w:before="38"/>
        <w:ind w:hanging="273"/>
        <w:rPr>
          <w:sz w:val="12"/>
        </w:rPr>
      </w:pPr>
      <w:r>
        <w:rPr>
          <w:color w:val="231F20"/>
          <w:sz w:val="12"/>
        </w:rPr>
        <w:t>do</w:t>
      </w:r>
      <w:r>
        <w:rPr>
          <w:color w:val="231F20"/>
          <w:spacing w:val="-1"/>
          <w:sz w:val="12"/>
        </w:rPr>
        <w:t xml:space="preserve"> </w:t>
      </w:r>
      <w:r>
        <w:rPr>
          <w:color w:val="231F20"/>
          <w:sz w:val="12"/>
        </w:rPr>
        <w:t>mozku</w:t>
      </w:r>
    </w:p>
    <w:p w14:paraId="1F8D4C9D" w14:textId="77777777" w:rsidR="00F65BCA" w:rsidRDefault="00216117">
      <w:pPr>
        <w:pStyle w:val="Odstavecseseznamem"/>
        <w:numPr>
          <w:ilvl w:val="0"/>
          <w:numId w:val="49"/>
        </w:numPr>
        <w:tabs>
          <w:tab w:val="left" w:pos="456"/>
        </w:tabs>
        <w:spacing w:before="45"/>
        <w:ind w:hanging="273"/>
        <w:rPr>
          <w:sz w:val="12"/>
        </w:rPr>
      </w:pPr>
      <w:r>
        <w:rPr>
          <w:color w:val="231F20"/>
          <w:sz w:val="12"/>
        </w:rPr>
        <w:t>nitrolební nebo do kanálu</w:t>
      </w:r>
      <w:r>
        <w:rPr>
          <w:color w:val="231F20"/>
          <w:spacing w:val="-10"/>
          <w:sz w:val="12"/>
        </w:rPr>
        <w:t xml:space="preserve"> </w:t>
      </w:r>
      <w:r>
        <w:rPr>
          <w:color w:val="231F20"/>
          <w:sz w:val="12"/>
        </w:rPr>
        <w:t>páteřního</w:t>
      </w:r>
    </w:p>
    <w:p w14:paraId="0AC0EE91" w14:textId="77777777" w:rsidR="00F65BCA" w:rsidRDefault="00216117">
      <w:pPr>
        <w:pStyle w:val="Zkladntext"/>
        <w:rPr>
          <w:sz w:val="14"/>
        </w:rPr>
      </w:pPr>
      <w:r>
        <w:br w:type="column"/>
      </w:r>
    </w:p>
    <w:p w14:paraId="268CF340" w14:textId="77777777" w:rsidR="00F65BCA" w:rsidRDefault="00F65BCA">
      <w:pPr>
        <w:pStyle w:val="Zkladntext"/>
        <w:spacing w:before="9"/>
        <w:rPr>
          <w:sz w:val="17"/>
        </w:rPr>
      </w:pPr>
    </w:p>
    <w:p w14:paraId="085CB3C9" w14:textId="77777777" w:rsidR="00F65BCA" w:rsidRDefault="00216117">
      <w:pPr>
        <w:spacing w:before="1"/>
        <w:ind w:left="183"/>
        <w:rPr>
          <w:sz w:val="12"/>
        </w:rPr>
      </w:pPr>
      <w:r>
        <w:rPr>
          <w:color w:val="231F20"/>
          <w:sz w:val="12"/>
        </w:rPr>
        <w:t>do</w:t>
      </w:r>
      <w:r>
        <w:rPr>
          <w:color w:val="231F20"/>
          <w:spacing w:val="2"/>
          <w:sz w:val="12"/>
        </w:rPr>
        <w:t xml:space="preserve"> </w:t>
      </w:r>
      <w:r>
        <w:rPr>
          <w:color w:val="231F20"/>
          <w:sz w:val="12"/>
        </w:rPr>
        <w:t>105</w:t>
      </w:r>
    </w:p>
    <w:p w14:paraId="6769D376" w14:textId="77777777" w:rsidR="00F65BCA" w:rsidRDefault="00216117">
      <w:pPr>
        <w:spacing w:before="32"/>
        <w:ind w:left="183"/>
        <w:rPr>
          <w:sz w:val="12"/>
        </w:rPr>
      </w:pPr>
      <w:r>
        <w:rPr>
          <w:color w:val="231F20"/>
          <w:sz w:val="12"/>
        </w:rPr>
        <w:t>do</w:t>
      </w:r>
      <w:r>
        <w:rPr>
          <w:color w:val="231F20"/>
          <w:spacing w:val="2"/>
          <w:sz w:val="12"/>
        </w:rPr>
        <w:t xml:space="preserve"> </w:t>
      </w:r>
      <w:r>
        <w:rPr>
          <w:color w:val="231F20"/>
          <w:sz w:val="12"/>
        </w:rPr>
        <w:t>210</w:t>
      </w:r>
    </w:p>
    <w:p w14:paraId="61E24938" w14:textId="77777777" w:rsidR="00F65BCA" w:rsidRDefault="00216117">
      <w:pPr>
        <w:spacing w:before="103"/>
        <w:ind w:left="217"/>
        <w:rPr>
          <w:sz w:val="12"/>
        </w:rPr>
      </w:pPr>
      <w:r>
        <w:rPr>
          <w:color w:val="231F20"/>
          <w:sz w:val="12"/>
        </w:rPr>
        <w:t>do</w:t>
      </w:r>
      <w:r>
        <w:rPr>
          <w:color w:val="231F20"/>
          <w:spacing w:val="2"/>
          <w:sz w:val="12"/>
        </w:rPr>
        <w:t xml:space="preserve"> </w:t>
      </w:r>
      <w:r>
        <w:rPr>
          <w:color w:val="231F20"/>
          <w:sz w:val="12"/>
        </w:rPr>
        <w:t>84</w:t>
      </w:r>
    </w:p>
    <w:p w14:paraId="411FC85A" w14:textId="77777777" w:rsidR="00F65BCA" w:rsidRDefault="00F65BCA">
      <w:pPr>
        <w:pStyle w:val="Zkladntext"/>
        <w:rPr>
          <w:sz w:val="14"/>
        </w:rPr>
      </w:pPr>
    </w:p>
    <w:p w14:paraId="7B560AD2" w14:textId="77777777" w:rsidR="00F65BCA" w:rsidRDefault="00F65BCA">
      <w:pPr>
        <w:pStyle w:val="Zkladntext"/>
        <w:rPr>
          <w:sz w:val="14"/>
        </w:rPr>
      </w:pPr>
    </w:p>
    <w:p w14:paraId="2EEA0A3C" w14:textId="77777777" w:rsidR="00F65BCA" w:rsidRDefault="00F65BCA">
      <w:pPr>
        <w:pStyle w:val="Zkladntext"/>
        <w:spacing w:before="6"/>
        <w:rPr>
          <w:sz w:val="11"/>
        </w:rPr>
      </w:pPr>
    </w:p>
    <w:p w14:paraId="639761A8"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56</w:t>
      </w:r>
    </w:p>
    <w:p w14:paraId="418A5D45"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77</w:t>
      </w:r>
    </w:p>
    <w:p w14:paraId="742907D7" w14:textId="77777777" w:rsidR="00F65BCA" w:rsidRDefault="00F65BCA">
      <w:pPr>
        <w:pStyle w:val="Zkladntext"/>
        <w:rPr>
          <w:sz w:val="14"/>
        </w:rPr>
      </w:pPr>
    </w:p>
    <w:p w14:paraId="651EB2E6" w14:textId="77777777" w:rsidR="00F65BCA" w:rsidRDefault="00F65BCA">
      <w:pPr>
        <w:pStyle w:val="Zkladntext"/>
        <w:spacing w:before="4"/>
      </w:pPr>
    </w:p>
    <w:p w14:paraId="65C1FBB1" w14:textId="77777777" w:rsidR="00F65BCA" w:rsidRDefault="00216117">
      <w:pPr>
        <w:spacing w:before="1"/>
        <w:ind w:left="217"/>
        <w:rPr>
          <w:sz w:val="12"/>
        </w:rPr>
      </w:pPr>
      <w:r>
        <w:rPr>
          <w:color w:val="231F20"/>
          <w:sz w:val="12"/>
        </w:rPr>
        <w:t>do</w:t>
      </w:r>
      <w:r>
        <w:rPr>
          <w:color w:val="231F20"/>
          <w:spacing w:val="2"/>
          <w:sz w:val="12"/>
        </w:rPr>
        <w:t xml:space="preserve"> </w:t>
      </w:r>
      <w:r>
        <w:rPr>
          <w:color w:val="231F20"/>
          <w:sz w:val="12"/>
        </w:rPr>
        <w:t>35</w:t>
      </w:r>
    </w:p>
    <w:p w14:paraId="5DE1A2D8" w14:textId="77777777" w:rsidR="00F65BCA" w:rsidRDefault="00216117">
      <w:pPr>
        <w:spacing w:before="32"/>
        <w:ind w:left="217"/>
        <w:rPr>
          <w:sz w:val="12"/>
        </w:rPr>
      </w:pPr>
      <w:r>
        <w:rPr>
          <w:color w:val="231F20"/>
          <w:sz w:val="12"/>
        </w:rPr>
        <w:t>do</w:t>
      </w:r>
      <w:r>
        <w:rPr>
          <w:color w:val="231F20"/>
          <w:spacing w:val="2"/>
          <w:sz w:val="12"/>
        </w:rPr>
        <w:t xml:space="preserve"> </w:t>
      </w:r>
      <w:r>
        <w:rPr>
          <w:color w:val="231F20"/>
          <w:sz w:val="12"/>
        </w:rPr>
        <w:t>70</w:t>
      </w:r>
    </w:p>
    <w:p w14:paraId="343127BD" w14:textId="77777777" w:rsidR="00F65BCA" w:rsidRDefault="00F65BCA">
      <w:pPr>
        <w:pStyle w:val="Zkladntext"/>
        <w:rPr>
          <w:sz w:val="14"/>
        </w:rPr>
      </w:pPr>
    </w:p>
    <w:p w14:paraId="5CCE4D62" w14:textId="77777777" w:rsidR="00F65BCA" w:rsidRDefault="00F65BCA">
      <w:pPr>
        <w:pStyle w:val="Zkladntext"/>
        <w:spacing w:before="10"/>
      </w:pPr>
    </w:p>
    <w:p w14:paraId="717B8CA1"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42</w:t>
      </w:r>
    </w:p>
    <w:p w14:paraId="2BCEE923" w14:textId="77777777" w:rsidR="00F65BCA" w:rsidRDefault="00216117">
      <w:pPr>
        <w:spacing w:before="21"/>
        <w:ind w:left="217"/>
        <w:rPr>
          <w:sz w:val="12"/>
        </w:rPr>
      </w:pPr>
      <w:r>
        <w:rPr>
          <w:color w:val="231F20"/>
          <w:sz w:val="12"/>
        </w:rPr>
        <w:t>do</w:t>
      </w:r>
      <w:r>
        <w:rPr>
          <w:color w:val="231F20"/>
          <w:spacing w:val="2"/>
          <w:sz w:val="12"/>
        </w:rPr>
        <w:t xml:space="preserve"> </w:t>
      </w:r>
      <w:r>
        <w:rPr>
          <w:color w:val="231F20"/>
          <w:sz w:val="12"/>
        </w:rPr>
        <w:t>56</w:t>
      </w:r>
    </w:p>
    <w:p w14:paraId="3BD2A5E1" w14:textId="77777777" w:rsidR="00F65BCA" w:rsidRDefault="00F65BCA">
      <w:pPr>
        <w:pStyle w:val="Zkladntext"/>
        <w:rPr>
          <w:sz w:val="14"/>
        </w:rPr>
      </w:pPr>
    </w:p>
    <w:p w14:paraId="1B326B21" w14:textId="77777777" w:rsidR="00F65BCA" w:rsidRDefault="00F65BCA">
      <w:pPr>
        <w:pStyle w:val="Zkladntext"/>
        <w:spacing w:before="5"/>
        <w:rPr>
          <w:sz w:val="13"/>
        </w:rPr>
      </w:pPr>
    </w:p>
    <w:p w14:paraId="784481EA" w14:textId="77777777" w:rsidR="00F65BCA" w:rsidRDefault="00216117">
      <w:pPr>
        <w:ind w:left="217"/>
        <w:rPr>
          <w:sz w:val="12"/>
        </w:rPr>
      </w:pPr>
      <w:r>
        <w:rPr>
          <w:color w:val="231F20"/>
          <w:sz w:val="12"/>
        </w:rPr>
        <w:t>do</w:t>
      </w:r>
      <w:r>
        <w:rPr>
          <w:color w:val="231F20"/>
          <w:spacing w:val="2"/>
          <w:sz w:val="12"/>
        </w:rPr>
        <w:t xml:space="preserve"> </w:t>
      </w:r>
      <w:r>
        <w:rPr>
          <w:color w:val="231F20"/>
          <w:sz w:val="12"/>
        </w:rPr>
        <w:t>28</w:t>
      </w:r>
    </w:p>
    <w:p w14:paraId="7738DF4C" w14:textId="77777777" w:rsidR="00F65BCA" w:rsidRDefault="00216117">
      <w:pPr>
        <w:spacing w:before="21"/>
        <w:ind w:left="217"/>
        <w:rPr>
          <w:sz w:val="12"/>
        </w:rPr>
      </w:pPr>
      <w:r>
        <w:rPr>
          <w:color w:val="231F20"/>
          <w:sz w:val="12"/>
        </w:rPr>
        <w:t>do</w:t>
      </w:r>
      <w:r>
        <w:rPr>
          <w:color w:val="231F20"/>
          <w:spacing w:val="2"/>
          <w:sz w:val="12"/>
        </w:rPr>
        <w:t xml:space="preserve"> </w:t>
      </w:r>
      <w:r>
        <w:rPr>
          <w:color w:val="231F20"/>
          <w:sz w:val="12"/>
        </w:rPr>
        <w:t>56</w:t>
      </w:r>
    </w:p>
    <w:p w14:paraId="5BDB5906" w14:textId="77777777" w:rsidR="00F65BCA" w:rsidRDefault="00F65BCA">
      <w:pPr>
        <w:pStyle w:val="Zkladntext"/>
        <w:spacing w:before="9"/>
      </w:pPr>
    </w:p>
    <w:p w14:paraId="08F3231C" w14:textId="77777777" w:rsidR="00F65BCA" w:rsidRDefault="00216117">
      <w:pPr>
        <w:ind w:left="183"/>
        <w:rPr>
          <w:sz w:val="12"/>
        </w:rPr>
      </w:pPr>
      <w:r>
        <w:rPr>
          <w:color w:val="231F20"/>
          <w:sz w:val="12"/>
        </w:rPr>
        <w:t>do</w:t>
      </w:r>
      <w:r>
        <w:rPr>
          <w:color w:val="231F20"/>
          <w:spacing w:val="2"/>
          <w:sz w:val="12"/>
        </w:rPr>
        <w:t xml:space="preserve"> </w:t>
      </w:r>
      <w:r>
        <w:rPr>
          <w:color w:val="231F20"/>
          <w:sz w:val="12"/>
        </w:rPr>
        <w:t>365</w:t>
      </w:r>
    </w:p>
    <w:p w14:paraId="72969A2C" w14:textId="77777777" w:rsidR="00F65BCA" w:rsidRDefault="00216117">
      <w:pPr>
        <w:spacing w:before="27"/>
        <w:ind w:left="183"/>
        <w:rPr>
          <w:sz w:val="12"/>
        </w:rPr>
      </w:pPr>
      <w:r>
        <w:rPr>
          <w:color w:val="231F20"/>
          <w:sz w:val="12"/>
        </w:rPr>
        <w:t>do</w:t>
      </w:r>
      <w:r>
        <w:rPr>
          <w:color w:val="231F20"/>
          <w:spacing w:val="2"/>
          <w:sz w:val="12"/>
        </w:rPr>
        <w:t xml:space="preserve"> </w:t>
      </w:r>
      <w:r>
        <w:rPr>
          <w:color w:val="231F20"/>
          <w:sz w:val="12"/>
        </w:rPr>
        <w:t>350</w:t>
      </w:r>
    </w:p>
    <w:p w14:paraId="16A5823F" w14:textId="77777777" w:rsidR="00F65BCA" w:rsidRDefault="00216117">
      <w:pPr>
        <w:spacing w:before="26"/>
        <w:ind w:left="183"/>
        <w:rPr>
          <w:sz w:val="12"/>
        </w:rPr>
      </w:pPr>
      <w:r>
        <w:rPr>
          <w:color w:val="231F20"/>
          <w:sz w:val="12"/>
        </w:rPr>
        <w:t>do</w:t>
      </w:r>
      <w:r>
        <w:rPr>
          <w:color w:val="231F20"/>
          <w:spacing w:val="2"/>
          <w:sz w:val="12"/>
        </w:rPr>
        <w:t xml:space="preserve"> </w:t>
      </w:r>
      <w:r>
        <w:rPr>
          <w:color w:val="231F20"/>
          <w:sz w:val="12"/>
        </w:rPr>
        <w:t>252</w:t>
      </w:r>
    </w:p>
    <w:p w14:paraId="668272E4" w14:textId="77777777" w:rsidR="00F65BCA" w:rsidRDefault="00216117">
      <w:pPr>
        <w:spacing w:before="27"/>
        <w:ind w:left="183"/>
        <w:rPr>
          <w:sz w:val="12"/>
        </w:rPr>
      </w:pPr>
      <w:r>
        <w:rPr>
          <w:color w:val="231F20"/>
          <w:sz w:val="12"/>
        </w:rPr>
        <w:t>do</w:t>
      </w:r>
      <w:r>
        <w:rPr>
          <w:color w:val="231F20"/>
          <w:spacing w:val="2"/>
          <w:sz w:val="12"/>
        </w:rPr>
        <w:t xml:space="preserve"> </w:t>
      </w:r>
      <w:r>
        <w:rPr>
          <w:color w:val="231F20"/>
          <w:sz w:val="12"/>
        </w:rPr>
        <w:t>252</w:t>
      </w:r>
    </w:p>
    <w:p w14:paraId="357E8406" w14:textId="77777777" w:rsidR="00F65BCA" w:rsidRDefault="00216117">
      <w:pPr>
        <w:spacing w:before="26"/>
        <w:ind w:left="183"/>
        <w:rPr>
          <w:sz w:val="12"/>
        </w:rPr>
      </w:pPr>
      <w:r>
        <w:rPr>
          <w:color w:val="231F20"/>
          <w:sz w:val="12"/>
        </w:rPr>
        <w:t>do</w:t>
      </w:r>
      <w:r>
        <w:rPr>
          <w:color w:val="231F20"/>
          <w:spacing w:val="2"/>
          <w:sz w:val="12"/>
        </w:rPr>
        <w:t xml:space="preserve"> </w:t>
      </w:r>
      <w:r>
        <w:rPr>
          <w:color w:val="231F20"/>
          <w:sz w:val="12"/>
        </w:rPr>
        <w:t>182</w:t>
      </w:r>
    </w:p>
    <w:p w14:paraId="519BA2EF" w14:textId="77777777" w:rsidR="00F65BCA" w:rsidRDefault="00216117">
      <w:pPr>
        <w:spacing w:before="27"/>
        <w:ind w:left="217"/>
        <w:rPr>
          <w:sz w:val="12"/>
        </w:rPr>
      </w:pPr>
      <w:r>
        <w:rPr>
          <w:color w:val="231F20"/>
          <w:sz w:val="12"/>
        </w:rPr>
        <w:t>do</w:t>
      </w:r>
      <w:r>
        <w:rPr>
          <w:color w:val="231F20"/>
          <w:spacing w:val="2"/>
          <w:sz w:val="12"/>
        </w:rPr>
        <w:t xml:space="preserve"> </w:t>
      </w:r>
      <w:r>
        <w:rPr>
          <w:color w:val="231F20"/>
          <w:sz w:val="12"/>
        </w:rPr>
        <w:t>56</w:t>
      </w:r>
    </w:p>
    <w:p w14:paraId="5AC692F9" w14:textId="77777777" w:rsidR="00F65BCA" w:rsidRDefault="00216117">
      <w:pPr>
        <w:spacing w:before="101"/>
        <w:ind w:left="217"/>
        <w:rPr>
          <w:sz w:val="12"/>
        </w:rPr>
      </w:pPr>
      <w:r>
        <w:rPr>
          <w:color w:val="231F20"/>
          <w:sz w:val="12"/>
        </w:rPr>
        <w:t>do</w:t>
      </w:r>
      <w:r>
        <w:rPr>
          <w:color w:val="231F20"/>
          <w:spacing w:val="2"/>
          <w:sz w:val="12"/>
        </w:rPr>
        <w:t xml:space="preserve"> </w:t>
      </w:r>
      <w:r>
        <w:rPr>
          <w:color w:val="231F20"/>
          <w:sz w:val="12"/>
        </w:rPr>
        <w:t>21</w:t>
      </w:r>
    </w:p>
    <w:p w14:paraId="0F0146BB" w14:textId="77777777" w:rsidR="00F65BCA" w:rsidRDefault="00F65BCA">
      <w:pPr>
        <w:pStyle w:val="Zkladntext"/>
        <w:rPr>
          <w:sz w:val="14"/>
        </w:rPr>
      </w:pPr>
    </w:p>
    <w:p w14:paraId="3F033978" w14:textId="77777777" w:rsidR="00F65BCA" w:rsidRDefault="00F65BCA">
      <w:pPr>
        <w:pStyle w:val="Zkladntext"/>
        <w:rPr>
          <w:sz w:val="14"/>
        </w:rPr>
      </w:pPr>
    </w:p>
    <w:p w14:paraId="79C079A5" w14:textId="77777777" w:rsidR="00F65BCA" w:rsidRDefault="00F65BCA">
      <w:pPr>
        <w:pStyle w:val="Zkladntext"/>
        <w:rPr>
          <w:sz w:val="14"/>
        </w:rPr>
      </w:pPr>
    </w:p>
    <w:p w14:paraId="6807B2F7" w14:textId="77777777" w:rsidR="00F65BCA" w:rsidRDefault="00F65BCA">
      <w:pPr>
        <w:pStyle w:val="Zkladntext"/>
        <w:rPr>
          <w:sz w:val="14"/>
        </w:rPr>
      </w:pPr>
    </w:p>
    <w:p w14:paraId="0A6989AC" w14:textId="77777777" w:rsidR="00F65BCA" w:rsidRDefault="00F65BCA">
      <w:pPr>
        <w:pStyle w:val="Zkladntext"/>
        <w:rPr>
          <w:sz w:val="14"/>
        </w:rPr>
      </w:pPr>
    </w:p>
    <w:p w14:paraId="0DD33A18" w14:textId="77777777" w:rsidR="00F65BCA" w:rsidRDefault="00216117">
      <w:pPr>
        <w:spacing w:before="87"/>
        <w:ind w:left="217"/>
        <w:rPr>
          <w:sz w:val="12"/>
        </w:rPr>
      </w:pPr>
      <w:r>
        <w:rPr>
          <w:color w:val="231F20"/>
          <w:sz w:val="12"/>
        </w:rPr>
        <w:t>do</w:t>
      </w:r>
      <w:r>
        <w:rPr>
          <w:color w:val="231F20"/>
          <w:spacing w:val="2"/>
          <w:sz w:val="12"/>
        </w:rPr>
        <w:t xml:space="preserve"> </w:t>
      </w:r>
      <w:r>
        <w:rPr>
          <w:color w:val="231F20"/>
          <w:sz w:val="12"/>
        </w:rPr>
        <w:t>28</w:t>
      </w:r>
    </w:p>
    <w:p w14:paraId="7B685D71" w14:textId="77777777" w:rsidR="00F65BCA" w:rsidRDefault="00F65BCA">
      <w:pPr>
        <w:pStyle w:val="Zkladntext"/>
        <w:spacing w:before="3"/>
        <w:rPr>
          <w:sz w:val="16"/>
        </w:rPr>
      </w:pPr>
    </w:p>
    <w:p w14:paraId="6DD5B720" w14:textId="77777777" w:rsidR="00F65BCA" w:rsidRDefault="00216117">
      <w:pPr>
        <w:spacing w:before="1"/>
        <w:ind w:left="217"/>
        <w:rPr>
          <w:sz w:val="12"/>
        </w:rPr>
      </w:pPr>
      <w:r>
        <w:rPr>
          <w:color w:val="231F20"/>
          <w:sz w:val="12"/>
        </w:rPr>
        <w:t>do</w:t>
      </w:r>
      <w:r>
        <w:rPr>
          <w:color w:val="231F20"/>
          <w:spacing w:val="2"/>
          <w:sz w:val="12"/>
        </w:rPr>
        <w:t xml:space="preserve"> </w:t>
      </w:r>
      <w:r>
        <w:rPr>
          <w:color w:val="231F20"/>
          <w:sz w:val="12"/>
        </w:rPr>
        <w:t>56</w:t>
      </w:r>
    </w:p>
    <w:p w14:paraId="3ADF493A" w14:textId="77777777" w:rsidR="00F65BCA" w:rsidRDefault="00216117">
      <w:pPr>
        <w:spacing w:before="103"/>
        <w:ind w:left="183"/>
        <w:rPr>
          <w:sz w:val="12"/>
        </w:rPr>
      </w:pPr>
      <w:r>
        <w:rPr>
          <w:color w:val="231F20"/>
          <w:sz w:val="12"/>
        </w:rPr>
        <w:t>do</w:t>
      </w:r>
      <w:r>
        <w:rPr>
          <w:color w:val="231F20"/>
          <w:spacing w:val="2"/>
          <w:sz w:val="12"/>
        </w:rPr>
        <w:t xml:space="preserve"> </w:t>
      </w:r>
      <w:r>
        <w:rPr>
          <w:color w:val="231F20"/>
          <w:sz w:val="12"/>
        </w:rPr>
        <w:t>112</w:t>
      </w:r>
    </w:p>
    <w:p w14:paraId="230900A0" w14:textId="77777777" w:rsidR="00F65BCA" w:rsidRDefault="00216117">
      <w:pPr>
        <w:spacing w:before="32"/>
        <w:ind w:left="183"/>
        <w:rPr>
          <w:sz w:val="12"/>
        </w:rPr>
      </w:pPr>
      <w:r>
        <w:rPr>
          <w:color w:val="231F20"/>
          <w:sz w:val="12"/>
        </w:rPr>
        <w:t>do</w:t>
      </w:r>
      <w:r>
        <w:rPr>
          <w:color w:val="231F20"/>
          <w:spacing w:val="2"/>
          <w:sz w:val="12"/>
        </w:rPr>
        <w:t xml:space="preserve"> </w:t>
      </w:r>
      <w:r>
        <w:rPr>
          <w:color w:val="231F20"/>
          <w:sz w:val="12"/>
        </w:rPr>
        <w:t>182</w:t>
      </w:r>
    </w:p>
    <w:p w14:paraId="2B69C9B3" w14:textId="77777777" w:rsidR="00F65BCA" w:rsidRDefault="00216117">
      <w:pPr>
        <w:spacing w:before="32"/>
        <w:ind w:left="183"/>
        <w:rPr>
          <w:sz w:val="12"/>
        </w:rPr>
      </w:pPr>
      <w:r>
        <w:rPr>
          <w:color w:val="231F20"/>
          <w:sz w:val="12"/>
        </w:rPr>
        <w:t>do</w:t>
      </w:r>
      <w:r>
        <w:rPr>
          <w:color w:val="231F20"/>
          <w:spacing w:val="2"/>
          <w:sz w:val="12"/>
        </w:rPr>
        <w:t xml:space="preserve"> </w:t>
      </w:r>
      <w:r>
        <w:rPr>
          <w:color w:val="231F20"/>
          <w:sz w:val="12"/>
        </w:rPr>
        <w:t>365</w:t>
      </w:r>
    </w:p>
    <w:p w14:paraId="146BAE1F" w14:textId="77777777" w:rsidR="00F65BCA" w:rsidRDefault="00F65BCA">
      <w:pPr>
        <w:pStyle w:val="Zkladntext"/>
        <w:spacing w:before="6"/>
        <w:rPr>
          <w:sz w:val="18"/>
        </w:rPr>
      </w:pPr>
    </w:p>
    <w:p w14:paraId="0203A9CA" w14:textId="77777777" w:rsidR="00F65BCA" w:rsidRDefault="00216117">
      <w:pPr>
        <w:ind w:left="183"/>
        <w:rPr>
          <w:sz w:val="12"/>
        </w:rPr>
      </w:pPr>
      <w:r>
        <w:rPr>
          <w:color w:val="231F20"/>
          <w:sz w:val="12"/>
        </w:rPr>
        <w:t>do</w:t>
      </w:r>
      <w:r>
        <w:rPr>
          <w:color w:val="231F20"/>
          <w:spacing w:val="2"/>
          <w:sz w:val="12"/>
        </w:rPr>
        <w:t xml:space="preserve"> </w:t>
      </w:r>
      <w:r>
        <w:rPr>
          <w:color w:val="231F20"/>
          <w:sz w:val="12"/>
        </w:rPr>
        <w:t>365</w:t>
      </w:r>
    </w:p>
    <w:p w14:paraId="61956BA5" w14:textId="77777777" w:rsidR="00F65BCA" w:rsidRDefault="00216117">
      <w:pPr>
        <w:spacing w:before="45"/>
        <w:ind w:left="183"/>
        <w:rPr>
          <w:sz w:val="12"/>
        </w:rPr>
      </w:pPr>
      <w:r>
        <w:rPr>
          <w:color w:val="231F20"/>
          <w:sz w:val="12"/>
        </w:rPr>
        <w:t>do</w:t>
      </w:r>
      <w:r>
        <w:rPr>
          <w:color w:val="231F20"/>
          <w:spacing w:val="2"/>
          <w:sz w:val="12"/>
        </w:rPr>
        <w:t xml:space="preserve"> </w:t>
      </w:r>
      <w:r>
        <w:rPr>
          <w:color w:val="231F20"/>
          <w:sz w:val="12"/>
        </w:rPr>
        <w:t>365</w:t>
      </w:r>
    </w:p>
    <w:p w14:paraId="3C4F7ACD" w14:textId="77777777" w:rsidR="00F65BCA" w:rsidRDefault="00216117">
      <w:pPr>
        <w:pStyle w:val="Zkladntext"/>
        <w:rPr>
          <w:sz w:val="17"/>
        </w:rPr>
      </w:pPr>
      <w:r>
        <w:br w:type="column"/>
      </w:r>
    </w:p>
    <w:p w14:paraId="5026DD7E" w14:textId="77777777" w:rsidR="00F65BCA" w:rsidRDefault="00216117">
      <w:pPr>
        <w:ind w:left="455"/>
        <w:rPr>
          <w:b/>
          <w:sz w:val="12"/>
        </w:rPr>
      </w:pPr>
      <w:r>
        <w:rPr>
          <w:b/>
          <w:color w:val="231F20"/>
          <w:w w:val="105"/>
          <w:sz w:val="12"/>
        </w:rPr>
        <w:t>Mícha</w:t>
      </w:r>
    </w:p>
    <w:p w14:paraId="7E0C0E80" w14:textId="77777777" w:rsidR="00F65BCA" w:rsidRDefault="00216117">
      <w:pPr>
        <w:pStyle w:val="Odstavecseseznamem"/>
        <w:numPr>
          <w:ilvl w:val="0"/>
          <w:numId w:val="49"/>
        </w:numPr>
        <w:tabs>
          <w:tab w:val="left" w:pos="456"/>
        </w:tabs>
        <w:spacing w:before="40"/>
        <w:ind w:hanging="273"/>
        <w:rPr>
          <w:sz w:val="12"/>
        </w:rPr>
      </w:pPr>
      <w:r>
        <w:rPr>
          <w:color w:val="231F20"/>
          <w:sz w:val="12"/>
        </w:rPr>
        <w:t>Otřes</w:t>
      </w:r>
      <w:r>
        <w:rPr>
          <w:color w:val="231F20"/>
          <w:spacing w:val="-1"/>
          <w:sz w:val="12"/>
        </w:rPr>
        <w:t xml:space="preserve"> </w:t>
      </w:r>
      <w:r>
        <w:rPr>
          <w:color w:val="231F20"/>
          <w:sz w:val="12"/>
        </w:rPr>
        <w:t>míchy</w:t>
      </w:r>
    </w:p>
    <w:p w14:paraId="2F953BA3" w14:textId="77777777" w:rsidR="00F65BCA" w:rsidRDefault="00216117">
      <w:pPr>
        <w:pStyle w:val="Odstavecseseznamem"/>
        <w:numPr>
          <w:ilvl w:val="0"/>
          <w:numId w:val="49"/>
        </w:numPr>
        <w:tabs>
          <w:tab w:val="left" w:pos="456"/>
        </w:tabs>
        <w:spacing w:before="32"/>
        <w:ind w:hanging="273"/>
        <w:rPr>
          <w:sz w:val="12"/>
        </w:rPr>
      </w:pPr>
      <w:r>
        <w:rPr>
          <w:color w:val="231F20"/>
          <w:w w:val="95"/>
          <w:sz w:val="12"/>
        </w:rPr>
        <w:t>Pohmoždění</w:t>
      </w:r>
      <w:r>
        <w:rPr>
          <w:color w:val="231F20"/>
          <w:spacing w:val="8"/>
          <w:w w:val="95"/>
          <w:sz w:val="12"/>
        </w:rPr>
        <w:t xml:space="preserve"> </w:t>
      </w:r>
      <w:r>
        <w:rPr>
          <w:color w:val="231F20"/>
          <w:w w:val="95"/>
          <w:sz w:val="12"/>
        </w:rPr>
        <w:t>míchy</w:t>
      </w:r>
    </w:p>
    <w:p w14:paraId="0B1DAEDD" w14:textId="77777777" w:rsidR="00F65BCA" w:rsidRDefault="00216117">
      <w:pPr>
        <w:pStyle w:val="Odstavecseseznamem"/>
        <w:numPr>
          <w:ilvl w:val="0"/>
          <w:numId w:val="49"/>
        </w:numPr>
        <w:tabs>
          <w:tab w:val="left" w:pos="456"/>
        </w:tabs>
        <w:spacing w:before="33"/>
        <w:ind w:hanging="273"/>
        <w:rPr>
          <w:sz w:val="12"/>
        </w:rPr>
      </w:pPr>
      <w:r>
        <w:rPr>
          <w:color w:val="231F20"/>
          <w:sz w:val="12"/>
        </w:rPr>
        <w:t>Krvácení</w:t>
      </w:r>
      <w:r>
        <w:rPr>
          <w:color w:val="231F20"/>
          <w:spacing w:val="-22"/>
          <w:sz w:val="12"/>
        </w:rPr>
        <w:t xml:space="preserve"> </w:t>
      </w:r>
      <w:r>
        <w:rPr>
          <w:color w:val="231F20"/>
          <w:sz w:val="12"/>
        </w:rPr>
        <w:t>do</w:t>
      </w:r>
      <w:r>
        <w:rPr>
          <w:color w:val="231F20"/>
          <w:spacing w:val="-21"/>
          <w:sz w:val="12"/>
        </w:rPr>
        <w:t xml:space="preserve"> </w:t>
      </w:r>
      <w:r>
        <w:rPr>
          <w:color w:val="231F20"/>
          <w:sz w:val="12"/>
        </w:rPr>
        <w:t>míchy</w:t>
      </w:r>
    </w:p>
    <w:p w14:paraId="0CCA152D" w14:textId="77777777" w:rsidR="00F65BCA" w:rsidRDefault="00216117">
      <w:pPr>
        <w:pStyle w:val="Odstavecseseznamem"/>
        <w:numPr>
          <w:ilvl w:val="0"/>
          <w:numId w:val="49"/>
        </w:numPr>
        <w:tabs>
          <w:tab w:val="left" w:pos="456"/>
        </w:tabs>
        <w:spacing w:before="32"/>
        <w:ind w:hanging="273"/>
        <w:rPr>
          <w:sz w:val="12"/>
        </w:rPr>
      </w:pPr>
      <w:r>
        <w:rPr>
          <w:color w:val="231F20"/>
          <w:sz w:val="12"/>
        </w:rPr>
        <w:t>Rozdrcení</w:t>
      </w:r>
      <w:r>
        <w:rPr>
          <w:color w:val="231F20"/>
          <w:spacing w:val="-1"/>
          <w:sz w:val="12"/>
        </w:rPr>
        <w:t xml:space="preserve"> </w:t>
      </w:r>
      <w:r>
        <w:rPr>
          <w:color w:val="231F20"/>
          <w:sz w:val="12"/>
        </w:rPr>
        <w:t>míchy</w:t>
      </w:r>
    </w:p>
    <w:p w14:paraId="3F9B1E5D" w14:textId="77777777" w:rsidR="00F65BCA" w:rsidRDefault="00216117">
      <w:pPr>
        <w:spacing w:before="40"/>
        <w:ind w:left="455"/>
        <w:rPr>
          <w:b/>
          <w:sz w:val="12"/>
        </w:rPr>
      </w:pPr>
      <w:r>
        <w:rPr>
          <w:b/>
          <w:color w:val="231F20"/>
          <w:sz w:val="12"/>
        </w:rPr>
        <w:t>Nervy</w:t>
      </w:r>
    </w:p>
    <w:p w14:paraId="3CE8A669" w14:textId="77777777" w:rsidR="00F65BCA" w:rsidRDefault="00000000">
      <w:pPr>
        <w:spacing w:before="39" w:line="242" w:lineRule="auto"/>
        <w:ind w:left="455" w:right="352"/>
        <w:rPr>
          <w:sz w:val="12"/>
        </w:rPr>
      </w:pPr>
      <w:r>
        <w:pict w14:anchorId="21EA080E">
          <v:shape id="_x0000_s1576" type="#_x0000_t202" style="position:absolute;left:0;text-align:left;margin-left:399.25pt;margin-top:5.25pt;width:10.05pt;height:7.2pt;z-index:251994112;mso-position-horizontal-relative:page" filled="f" stroked="f">
            <v:textbox inset="0,0,0,0">
              <w:txbxContent>
                <w:p w14:paraId="04195787" w14:textId="77777777" w:rsidR="00F65BCA" w:rsidRDefault="00216117">
                  <w:pPr>
                    <w:spacing w:before="4"/>
                    <w:rPr>
                      <w:b/>
                      <w:sz w:val="12"/>
                    </w:rPr>
                  </w:pPr>
                  <w:r>
                    <w:rPr>
                      <w:b/>
                      <w:color w:val="231F20"/>
                      <w:sz w:val="12"/>
                    </w:rPr>
                    <w:t>375</w:t>
                  </w:r>
                </w:p>
              </w:txbxContent>
            </v:textbox>
            <w10:wrap anchorx="page"/>
          </v:shape>
        </w:pict>
      </w:r>
      <w:r w:rsidR="00216117">
        <w:rPr>
          <w:color w:val="231F20"/>
          <w:sz w:val="12"/>
        </w:rPr>
        <w:t>Pohmoždění</w:t>
      </w:r>
      <w:r w:rsidR="00216117">
        <w:rPr>
          <w:color w:val="231F20"/>
          <w:spacing w:val="-21"/>
          <w:sz w:val="12"/>
        </w:rPr>
        <w:t xml:space="preserve"> </w:t>
      </w:r>
      <w:r w:rsidR="00216117">
        <w:rPr>
          <w:color w:val="231F20"/>
          <w:sz w:val="12"/>
        </w:rPr>
        <w:t>periferního</w:t>
      </w:r>
      <w:r w:rsidR="00216117">
        <w:rPr>
          <w:color w:val="231F20"/>
          <w:spacing w:val="-21"/>
          <w:sz w:val="12"/>
        </w:rPr>
        <w:t xml:space="preserve"> </w:t>
      </w:r>
      <w:r w:rsidR="00216117">
        <w:rPr>
          <w:color w:val="231F20"/>
          <w:sz w:val="12"/>
        </w:rPr>
        <w:t>nervu</w:t>
      </w:r>
      <w:r w:rsidR="00216117">
        <w:rPr>
          <w:color w:val="231F20"/>
          <w:spacing w:val="-21"/>
          <w:sz w:val="12"/>
        </w:rPr>
        <w:t xml:space="preserve"> </w:t>
      </w:r>
      <w:r w:rsidR="00216117">
        <w:rPr>
          <w:color w:val="231F20"/>
          <w:sz w:val="12"/>
        </w:rPr>
        <w:t>s</w:t>
      </w:r>
      <w:r w:rsidR="00216117">
        <w:rPr>
          <w:color w:val="231F20"/>
          <w:spacing w:val="-21"/>
          <w:sz w:val="12"/>
        </w:rPr>
        <w:t xml:space="preserve"> </w:t>
      </w:r>
      <w:r w:rsidR="00216117">
        <w:rPr>
          <w:color w:val="231F20"/>
          <w:sz w:val="12"/>
        </w:rPr>
        <w:t>krátkodobou obrnou</w:t>
      </w:r>
    </w:p>
    <w:p w14:paraId="4444CEB4" w14:textId="77777777" w:rsidR="00F65BCA" w:rsidRDefault="00000000">
      <w:pPr>
        <w:spacing w:before="27" w:line="242" w:lineRule="auto"/>
        <w:ind w:left="455" w:right="140"/>
        <w:rPr>
          <w:sz w:val="12"/>
        </w:rPr>
      </w:pPr>
      <w:r>
        <w:pict w14:anchorId="2A43B2C4">
          <v:shape id="_x0000_s1575" type="#_x0000_t202" style="position:absolute;left:0;text-align:left;margin-left:399.25pt;margin-top:4.65pt;width:10.05pt;height:7.2pt;z-index:251995136;mso-position-horizontal-relative:page" filled="f" stroked="f">
            <v:textbox inset="0,0,0,0">
              <w:txbxContent>
                <w:p w14:paraId="2F1E49E7" w14:textId="77777777" w:rsidR="00F65BCA" w:rsidRDefault="00216117">
                  <w:pPr>
                    <w:spacing w:before="4"/>
                    <w:rPr>
                      <w:b/>
                      <w:sz w:val="12"/>
                    </w:rPr>
                  </w:pPr>
                  <w:r>
                    <w:rPr>
                      <w:b/>
                      <w:color w:val="231F20"/>
                      <w:sz w:val="12"/>
                    </w:rPr>
                    <w:t>376</w:t>
                  </w:r>
                </w:p>
              </w:txbxContent>
            </v:textbox>
            <w10:wrap anchorx="page"/>
          </v:shape>
        </w:pict>
      </w:r>
      <w:r w:rsidR="00216117">
        <w:rPr>
          <w:color w:val="231F20"/>
          <w:sz w:val="12"/>
        </w:rPr>
        <w:t>Poranění</w:t>
      </w:r>
      <w:r w:rsidR="00216117">
        <w:rPr>
          <w:color w:val="231F20"/>
          <w:spacing w:val="-22"/>
          <w:sz w:val="12"/>
        </w:rPr>
        <w:t xml:space="preserve"> </w:t>
      </w:r>
      <w:r w:rsidR="00216117">
        <w:rPr>
          <w:color w:val="231F20"/>
          <w:sz w:val="12"/>
        </w:rPr>
        <w:t>periferního</w:t>
      </w:r>
      <w:r w:rsidR="00216117">
        <w:rPr>
          <w:color w:val="231F20"/>
          <w:spacing w:val="-22"/>
          <w:sz w:val="12"/>
        </w:rPr>
        <w:t xml:space="preserve"> </w:t>
      </w:r>
      <w:r w:rsidR="00216117">
        <w:rPr>
          <w:color w:val="231F20"/>
          <w:sz w:val="12"/>
        </w:rPr>
        <w:t>nervu</w:t>
      </w:r>
      <w:r w:rsidR="00216117">
        <w:rPr>
          <w:color w:val="231F20"/>
          <w:spacing w:val="-21"/>
          <w:sz w:val="12"/>
        </w:rPr>
        <w:t xml:space="preserve"> </w:t>
      </w:r>
      <w:r w:rsidR="00216117">
        <w:rPr>
          <w:color w:val="231F20"/>
          <w:sz w:val="12"/>
        </w:rPr>
        <w:t>s</w:t>
      </w:r>
      <w:r w:rsidR="00216117">
        <w:rPr>
          <w:color w:val="231F20"/>
          <w:spacing w:val="-22"/>
          <w:sz w:val="12"/>
        </w:rPr>
        <w:t xml:space="preserve"> </w:t>
      </w:r>
      <w:r w:rsidR="00216117">
        <w:rPr>
          <w:color w:val="231F20"/>
          <w:sz w:val="12"/>
        </w:rPr>
        <w:t>přerušením</w:t>
      </w:r>
      <w:r w:rsidR="00216117">
        <w:rPr>
          <w:color w:val="231F20"/>
          <w:spacing w:val="-21"/>
          <w:sz w:val="12"/>
        </w:rPr>
        <w:t xml:space="preserve"> </w:t>
      </w:r>
      <w:r w:rsidR="00216117">
        <w:rPr>
          <w:color w:val="231F20"/>
          <w:spacing w:val="-3"/>
          <w:sz w:val="12"/>
        </w:rPr>
        <w:t xml:space="preserve">vodivých </w:t>
      </w:r>
      <w:r w:rsidR="00216117">
        <w:rPr>
          <w:color w:val="231F20"/>
          <w:sz w:val="12"/>
        </w:rPr>
        <w:t>vláken</w:t>
      </w:r>
    </w:p>
    <w:p w14:paraId="1EBAB0F3" w14:textId="77777777" w:rsidR="00F65BCA" w:rsidRDefault="00216117">
      <w:pPr>
        <w:spacing w:before="38"/>
        <w:ind w:left="183"/>
        <w:rPr>
          <w:sz w:val="12"/>
        </w:rPr>
      </w:pPr>
      <w:r>
        <w:rPr>
          <w:b/>
          <w:color w:val="231F20"/>
          <w:sz w:val="12"/>
        </w:rPr>
        <w:t xml:space="preserve">377 </w:t>
      </w:r>
      <w:r>
        <w:rPr>
          <w:color w:val="231F20"/>
          <w:sz w:val="12"/>
        </w:rPr>
        <w:t>Přerušení periferního nervu</w:t>
      </w:r>
    </w:p>
    <w:p w14:paraId="7B2320C8" w14:textId="77777777" w:rsidR="00F65BCA" w:rsidRDefault="00F65BCA">
      <w:pPr>
        <w:pStyle w:val="Zkladntext"/>
        <w:spacing w:before="2"/>
        <w:rPr>
          <w:sz w:val="17"/>
        </w:rPr>
      </w:pPr>
    </w:p>
    <w:p w14:paraId="0DAD95F1" w14:textId="77777777" w:rsidR="00F65BCA" w:rsidRDefault="00216117">
      <w:pPr>
        <w:ind w:left="840"/>
        <w:rPr>
          <w:b/>
          <w:sz w:val="14"/>
        </w:rPr>
      </w:pPr>
      <w:r>
        <w:rPr>
          <w:b/>
          <w:color w:val="231F20"/>
          <w:sz w:val="14"/>
        </w:rPr>
        <w:t>OSTATNÍ DRUHY PORANĚNÍ</w:t>
      </w:r>
    </w:p>
    <w:p w14:paraId="575DE6A3" w14:textId="77777777" w:rsidR="00F65BCA" w:rsidRDefault="00000000">
      <w:pPr>
        <w:spacing w:before="47" w:line="242" w:lineRule="auto"/>
        <w:ind w:left="455" w:right="93"/>
        <w:rPr>
          <w:sz w:val="12"/>
        </w:rPr>
      </w:pPr>
      <w:r>
        <w:pict w14:anchorId="022DCD18">
          <v:shape id="_x0000_s1574" type="#_x0000_t202" style="position:absolute;left:0;text-align:left;margin-left:399.25pt;margin-top:5.95pt;width:10.05pt;height:7.2pt;z-index:251996160;mso-position-horizontal-relative:page" filled="f" stroked="f">
            <v:textbox inset="0,0,0,0">
              <w:txbxContent>
                <w:p w14:paraId="5925EB7E" w14:textId="77777777" w:rsidR="00F65BCA" w:rsidRDefault="00216117">
                  <w:pPr>
                    <w:spacing w:before="4"/>
                    <w:rPr>
                      <w:b/>
                      <w:sz w:val="12"/>
                    </w:rPr>
                  </w:pPr>
                  <w:r>
                    <w:rPr>
                      <w:b/>
                      <w:color w:val="231F20"/>
                      <w:sz w:val="12"/>
                    </w:rPr>
                    <w:t>378</w:t>
                  </w:r>
                </w:p>
              </w:txbxContent>
            </v:textbox>
            <w10:wrap anchorx="page"/>
          </v:shape>
        </w:pict>
      </w:r>
      <w:r w:rsidR="00216117">
        <w:rPr>
          <w:color w:val="231F20"/>
          <w:sz w:val="12"/>
        </w:rPr>
        <w:t xml:space="preserve">Rána, která svojí povahou chirurgického </w:t>
      </w:r>
      <w:r w:rsidR="00216117">
        <w:rPr>
          <w:color w:val="231F20"/>
          <w:spacing w:val="-4"/>
          <w:sz w:val="12"/>
        </w:rPr>
        <w:t xml:space="preserve">ošetření </w:t>
      </w:r>
      <w:r w:rsidR="00216117">
        <w:rPr>
          <w:color w:val="231F20"/>
          <w:sz w:val="12"/>
        </w:rPr>
        <w:t>nevyžaduje</w:t>
      </w:r>
    </w:p>
    <w:p w14:paraId="4865DBDF" w14:textId="77777777" w:rsidR="00F65BCA" w:rsidRDefault="00216117">
      <w:pPr>
        <w:spacing w:before="30"/>
        <w:ind w:left="183"/>
        <w:rPr>
          <w:sz w:val="12"/>
        </w:rPr>
      </w:pPr>
      <w:r>
        <w:rPr>
          <w:b/>
          <w:color w:val="231F20"/>
          <w:sz w:val="12"/>
        </w:rPr>
        <w:t xml:space="preserve">379 </w:t>
      </w:r>
      <w:r>
        <w:rPr>
          <w:color w:val="231F20"/>
          <w:sz w:val="12"/>
        </w:rPr>
        <w:t>Rána chirurgicky ošetřená nebo stržení nehtu</w:t>
      </w:r>
    </w:p>
    <w:p w14:paraId="06B0DFFE" w14:textId="77777777" w:rsidR="00F65BCA" w:rsidRDefault="00000000">
      <w:pPr>
        <w:spacing w:before="55" w:line="208" w:lineRule="auto"/>
        <w:ind w:left="455" w:right="141"/>
        <w:rPr>
          <w:sz w:val="12"/>
        </w:rPr>
      </w:pPr>
      <w:r>
        <w:pict w14:anchorId="3221B490">
          <v:shape id="_x0000_s1573" type="#_x0000_t202" style="position:absolute;left:0;text-align:left;margin-left:399.25pt;margin-top:4.8pt;width:10.05pt;height:7.2pt;z-index:251997184;mso-position-horizontal-relative:page" filled="f" stroked="f">
            <v:textbox inset="0,0,0,0">
              <w:txbxContent>
                <w:p w14:paraId="7E6402AF" w14:textId="77777777" w:rsidR="00F65BCA" w:rsidRDefault="00216117">
                  <w:pPr>
                    <w:spacing w:before="4"/>
                    <w:rPr>
                      <w:b/>
                      <w:sz w:val="12"/>
                    </w:rPr>
                  </w:pPr>
                  <w:r>
                    <w:rPr>
                      <w:b/>
                      <w:color w:val="231F20"/>
                      <w:sz w:val="12"/>
                    </w:rPr>
                    <w:t>380</w:t>
                  </w:r>
                </w:p>
              </w:txbxContent>
            </v:textbox>
            <w10:wrap anchorx="page"/>
          </v:shape>
        </w:pict>
      </w:r>
      <w:r w:rsidR="00216117">
        <w:rPr>
          <w:color w:val="231F20"/>
          <w:sz w:val="12"/>
        </w:rPr>
        <w:t>Poranění elektrickým proudem podle celkového postižení, podmínka hospitalizace</w:t>
      </w:r>
    </w:p>
    <w:p w14:paraId="4A8DCEEB" w14:textId="77777777" w:rsidR="00F65BCA" w:rsidRDefault="00000000">
      <w:pPr>
        <w:spacing w:before="41" w:line="242" w:lineRule="auto"/>
        <w:ind w:left="455" w:right="-9"/>
        <w:rPr>
          <w:sz w:val="12"/>
        </w:rPr>
      </w:pPr>
      <w:r>
        <w:pict w14:anchorId="5218BD8C">
          <v:shape id="_x0000_s1572" type="#_x0000_t202" style="position:absolute;left:0;text-align:left;margin-left:399.25pt;margin-top:5.35pt;width:10.05pt;height:7.2pt;z-index:251998208;mso-position-horizontal-relative:page" filled="f" stroked="f">
            <v:textbox inset="0,0,0,0">
              <w:txbxContent>
                <w:p w14:paraId="5CC2D550" w14:textId="77777777" w:rsidR="00F65BCA" w:rsidRDefault="00216117">
                  <w:pPr>
                    <w:spacing w:before="4"/>
                    <w:rPr>
                      <w:b/>
                      <w:sz w:val="12"/>
                    </w:rPr>
                  </w:pPr>
                  <w:r>
                    <w:rPr>
                      <w:b/>
                      <w:color w:val="231F20"/>
                      <w:sz w:val="12"/>
                    </w:rPr>
                    <w:t>381</w:t>
                  </w:r>
                </w:p>
              </w:txbxContent>
            </v:textbox>
            <w10:wrap anchorx="page"/>
          </v:shape>
        </w:pict>
      </w:r>
      <w:r w:rsidR="00216117">
        <w:rPr>
          <w:color w:val="231F20"/>
          <w:sz w:val="12"/>
        </w:rPr>
        <w:t>Úžeh</w:t>
      </w:r>
      <w:r w:rsidR="00216117">
        <w:rPr>
          <w:color w:val="231F20"/>
          <w:spacing w:val="-16"/>
          <w:sz w:val="12"/>
        </w:rPr>
        <w:t xml:space="preserve"> </w:t>
      </w:r>
      <w:r w:rsidR="00216117">
        <w:rPr>
          <w:color w:val="231F20"/>
          <w:sz w:val="12"/>
        </w:rPr>
        <w:t>nebo</w:t>
      </w:r>
      <w:r w:rsidR="00216117">
        <w:rPr>
          <w:color w:val="231F20"/>
          <w:spacing w:val="-15"/>
          <w:sz w:val="12"/>
        </w:rPr>
        <w:t xml:space="preserve"> </w:t>
      </w:r>
      <w:r w:rsidR="00216117">
        <w:rPr>
          <w:color w:val="231F20"/>
          <w:sz w:val="12"/>
        </w:rPr>
        <w:t>úpal,</w:t>
      </w:r>
      <w:r w:rsidR="00216117">
        <w:rPr>
          <w:color w:val="231F20"/>
          <w:spacing w:val="-15"/>
          <w:sz w:val="12"/>
        </w:rPr>
        <w:t xml:space="preserve"> </w:t>
      </w:r>
      <w:r w:rsidR="00216117">
        <w:rPr>
          <w:color w:val="231F20"/>
          <w:sz w:val="12"/>
        </w:rPr>
        <w:t>podmínka</w:t>
      </w:r>
      <w:r w:rsidR="00216117">
        <w:rPr>
          <w:color w:val="231F20"/>
          <w:spacing w:val="-16"/>
          <w:sz w:val="12"/>
        </w:rPr>
        <w:t xml:space="preserve"> </w:t>
      </w:r>
      <w:r w:rsidR="00216117">
        <w:rPr>
          <w:color w:val="231F20"/>
          <w:sz w:val="12"/>
        </w:rPr>
        <w:t>hospitalizace</w:t>
      </w:r>
      <w:r w:rsidR="00216117">
        <w:rPr>
          <w:color w:val="231F20"/>
          <w:spacing w:val="-15"/>
          <w:sz w:val="12"/>
        </w:rPr>
        <w:t xml:space="preserve"> </w:t>
      </w:r>
      <w:r w:rsidR="00216117">
        <w:rPr>
          <w:color w:val="231F20"/>
          <w:sz w:val="12"/>
        </w:rPr>
        <w:t>(s</w:t>
      </w:r>
      <w:r w:rsidR="00216117">
        <w:rPr>
          <w:color w:val="231F20"/>
          <w:spacing w:val="-15"/>
          <w:sz w:val="12"/>
        </w:rPr>
        <w:t xml:space="preserve"> </w:t>
      </w:r>
      <w:r w:rsidR="00216117">
        <w:rPr>
          <w:color w:val="231F20"/>
          <w:spacing w:val="-3"/>
          <w:sz w:val="12"/>
        </w:rPr>
        <w:t xml:space="preserve">výjimkou </w:t>
      </w:r>
      <w:r w:rsidR="00216117">
        <w:rPr>
          <w:color w:val="231F20"/>
          <w:sz w:val="12"/>
        </w:rPr>
        <w:t>přímých</w:t>
      </w:r>
      <w:r w:rsidR="00216117">
        <w:rPr>
          <w:color w:val="231F20"/>
          <w:spacing w:val="-6"/>
          <w:sz w:val="12"/>
        </w:rPr>
        <w:t xml:space="preserve"> </w:t>
      </w:r>
      <w:r w:rsidR="00216117">
        <w:rPr>
          <w:color w:val="231F20"/>
          <w:sz w:val="12"/>
        </w:rPr>
        <w:t>účinků</w:t>
      </w:r>
      <w:r w:rsidR="00216117">
        <w:rPr>
          <w:color w:val="231F20"/>
          <w:spacing w:val="-5"/>
          <w:sz w:val="12"/>
        </w:rPr>
        <w:t xml:space="preserve"> </w:t>
      </w:r>
      <w:r w:rsidR="00216117">
        <w:rPr>
          <w:color w:val="231F20"/>
          <w:sz w:val="12"/>
        </w:rPr>
        <w:t>slunečního</w:t>
      </w:r>
      <w:r w:rsidR="00216117">
        <w:rPr>
          <w:color w:val="231F20"/>
          <w:spacing w:val="-5"/>
          <w:sz w:val="12"/>
        </w:rPr>
        <w:t xml:space="preserve"> </w:t>
      </w:r>
      <w:r w:rsidR="00216117">
        <w:rPr>
          <w:color w:val="231F20"/>
          <w:sz w:val="12"/>
        </w:rPr>
        <w:t>záření</w:t>
      </w:r>
      <w:r w:rsidR="00216117">
        <w:rPr>
          <w:color w:val="231F20"/>
          <w:spacing w:val="-5"/>
          <w:sz w:val="12"/>
        </w:rPr>
        <w:t xml:space="preserve"> </w:t>
      </w:r>
      <w:r w:rsidR="00216117">
        <w:rPr>
          <w:color w:val="231F20"/>
          <w:sz w:val="12"/>
        </w:rPr>
        <w:t>na</w:t>
      </w:r>
      <w:r w:rsidR="00216117">
        <w:rPr>
          <w:color w:val="231F20"/>
          <w:spacing w:val="-6"/>
          <w:sz w:val="12"/>
        </w:rPr>
        <w:t xml:space="preserve"> </w:t>
      </w:r>
      <w:r w:rsidR="00216117">
        <w:rPr>
          <w:color w:val="231F20"/>
          <w:sz w:val="12"/>
        </w:rPr>
        <w:t>kůži)</w:t>
      </w:r>
    </w:p>
    <w:p w14:paraId="3D47D753" w14:textId="77777777" w:rsidR="00F65BCA" w:rsidRDefault="00216117">
      <w:pPr>
        <w:spacing w:before="27"/>
        <w:ind w:left="455"/>
        <w:rPr>
          <w:b/>
          <w:sz w:val="12"/>
        </w:rPr>
      </w:pPr>
      <w:r>
        <w:rPr>
          <w:b/>
          <w:color w:val="231F20"/>
          <w:sz w:val="12"/>
        </w:rPr>
        <w:t>Popálení, poleptání nebo omrzliny</w:t>
      </w:r>
    </w:p>
    <w:p w14:paraId="081C6FB6" w14:textId="77777777" w:rsidR="00F65BCA" w:rsidRDefault="00216117">
      <w:pPr>
        <w:spacing w:before="2"/>
        <w:ind w:left="455"/>
        <w:rPr>
          <w:b/>
          <w:sz w:val="12"/>
        </w:rPr>
      </w:pPr>
      <w:r>
        <w:rPr>
          <w:b/>
          <w:color w:val="231F20"/>
          <w:sz w:val="12"/>
        </w:rPr>
        <w:t>(s výjimkou účinků slunečního záření na kůži)</w:t>
      </w:r>
    </w:p>
    <w:p w14:paraId="45F64374" w14:textId="77777777" w:rsidR="00F65BCA" w:rsidRDefault="00216117">
      <w:pPr>
        <w:pStyle w:val="Odstavecseseznamem"/>
        <w:numPr>
          <w:ilvl w:val="0"/>
          <w:numId w:val="48"/>
        </w:numPr>
        <w:tabs>
          <w:tab w:val="left" w:pos="456"/>
        </w:tabs>
        <w:spacing w:before="31"/>
        <w:ind w:hanging="273"/>
        <w:rPr>
          <w:sz w:val="12"/>
        </w:rPr>
      </w:pPr>
      <w:r>
        <w:rPr>
          <w:color w:val="231F20"/>
          <w:sz w:val="12"/>
        </w:rPr>
        <w:t>prvního</w:t>
      </w:r>
      <w:r>
        <w:rPr>
          <w:color w:val="231F20"/>
          <w:spacing w:val="-1"/>
          <w:sz w:val="12"/>
        </w:rPr>
        <w:t xml:space="preserve"> </w:t>
      </w:r>
      <w:r>
        <w:rPr>
          <w:color w:val="231F20"/>
          <w:sz w:val="12"/>
        </w:rPr>
        <w:t>stupně</w:t>
      </w:r>
    </w:p>
    <w:p w14:paraId="138684AC" w14:textId="77777777" w:rsidR="00F65BCA" w:rsidRDefault="00216117">
      <w:pPr>
        <w:spacing w:before="32"/>
        <w:ind w:left="455"/>
        <w:rPr>
          <w:b/>
          <w:sz w:val="12"/>
        </w:rPr>
      </w:pPr>
      <w:r>
        <w:rPr>
          <w:b/>
          <w:color w:val="231F20"/>
          <w:sz w:val="12"/>
        </w:rPr>
        <w:t>druhého stupně v rozsahu</w:t>
      </w:r>
    </w:p>
    <w:p w14:paraId="2A9C718F" w14:textId="77777777" w:rsidR="00F65BCA" w:rsidRDefault="00216117">
      <w:pPr>
        <w:pStyle w:val="Odstavecseseznamem"/>
        <w:numPr>
          <w:ilvl w:val="0"/>
          <w:numId w:val="48"/>
        </w:numPr>
        <w:tabs>
          <w:tab w:val="left" w:pos="456"/>
        </w:tabs>
        <w:spacing w:before="37"/>
        <w:ind w:hanging="273"/>
        <w:rPr>
          <w:sz w:val="7"/>
        </w:rPr>
      </w:pPr>
      <w:r>
        <w:rPr>
          <w:color w:val="231F20"/>
          <w:sz w:val="12"/>
        </w:rPr>
        <w:t>do 10 cm</w:t>
      </w:r>
      <w:r>
        <w:rPr>
          <w:color w:val="231F20"/>
          <w:position w:val="4"/>
          <w:sz w:val="7"/>
        </w:rPr>
        <w:t>2</w:t>
      </w:r>
    </w:p>
    <w:p w14:paraId="4EBD41D5" w14:textId="77777777" w:rsidR="00F65BCA" w:rsidRDefault="00216117">
      <w:pPr>
        <w:pStyle w:val="Odstavecseseznamem"/>
        <w:numPr>
          <w:ilvl w:val="0"/>
          <w:numId w:val="48"/>
        </w:numPr>
        <w:tabs>
          <w:tab w:val="left" w:pos="456"/>
        </w:tabs>
        <w:spacing w:before="44"/>
        <w:ind w:hanging="273"/>
        <w:rPr>
          <w:sz w:val="12"/>
        </w:rPr>
      </w:pPr>
      <w:r>
        <w:rPr>
          <w:color w:val="231F20"/>
          <w:sz w:val="12"/>
        </w:rPr>
        <w:t>nad 10 cm</w:t>
      </w:r>
      <w:r>
        <w:rPr>
          <w:color w:val="231F20"/>
          <w:position w:val="4"/>
          <w:sz w:val="7"/>
        </w:rPr>
        <w:t xml:space="preserve">2 </w:t>
      </w:r>
      <w:r>
        <w:rPr>
          <w:color w:val="231F20"/>
          <w:sz w:val="12"/>
        </w:rPr>
        <w:t>do 10 % povrchu</w:t>
      </w:r>
      <w:r>
        <w:rPr>
          <w:color w:val="231F20"/>
          <w:spacing w:val="-10"/>
          <w:sz w:val="12"/>
        </w:rPr>
        <w:t xml:space="preserve"> </w:t>
      </w:r>
      <w:r>
        <w:rPr>
          <w:color w:val="231F20"/>
          <w:sz w:val="12"/>
        </w:rPr>
        <w:t>těla</w:t>
      </w:r>
    </w:p>
    <w:p w14:paraId="4D935BC6" w14:textId="77777777" w:rsidR="00F65BCA" w:rsidRDefault="00216117">
      <w:pPr>
        <w:pStyle w:val="Odstavecseseznamem"/>
        <w:numPr>
          <w:ilvl w:val="0"/>
          <w:numId w:val="48"/>
        </w:numPr>
        <w:tabs>
          <w:tab w:val="left" w:pos="456"/>
        </w:tabs>
        <w:spacing w:before="43"/>
        <w:ind w:hanging="273"/>
        <w:rPr>
          <w:sz w:val="12"/>
        </w:rPr>
      </w:pPr>
      <w:r>
        <w:rPr>
          <w:color w:val="231F20"/>
          <w:sz w:val="12"/>
        </w:rPr>
        <w:t>nad</w:t>
      </w:r>
      <w:r>
        <w:rPr>
          <w:color w:val="231F20"/>
          <w:spacing w:val="-5"/>
          <w:sz w:val="12"/>
        </w:rPr>
        <w:t xml:space="preserve"> </w:t>
      </w:r>
      <w:r>
        <w:rPr>
          <w:color w:val="231F20"/>
          <w:sz w:val="12"/>
        </w:rPr>
        <w:t>10</w:t>
      </w:r>
      <w:r>
        <w:rPr>
          <w:color w:val="231F20"/>
          <w:spacing w:val="-20"/>
          <w:sz w:val="12"/>
        </w:rPr>
        <w:t xml:space="preserve"> </w:t>
      </w:r>
      <w:r>
        <w:rPr>
          <w:color w:val="231F20"/>
          <w:sz w:val="12"/>
        </w:rPr>
        <w:t>%</w:t>
      </w:r>
      <w:r>
        <w:rPr>
          <w:color w:val="231F20"/>
          <w:spacing w:val="-4"/>
          <w:sz w:val="12"/>
        </w:rPr>
        <w:t xml:space="preserve"> </w:t>
      </w:r>
      <w:r>
        <w:rPr>
          <w:color w:val="231F20"/>
          <w:sz w:val="12"/>
        </w:rPr>
        <w:t>do</w:t>
      </w:r>
      <w:r>
        <w:rPr>
          <w:color w:val="231F20"/>
          <w:spacing w:val="-4"/>
          <w:sz w:val="12"/>
        </w:rPr>
        <w:t xml:space="preserve"> </w:t>
      </w:r>
      <w:r>
        <w:rPr>
          <w:color w:val="231F20"/>
          <w:sz w:val="12"/>
        </w:rPr>
        <w:t>20</w:t>
      </w:r>
      <w:r>
        <w:rPr>
          <w:color w:val="231F20"/>
          <w:spacing w:val="-21"/>
          <w:sz w:val="12"/>
        </w:rPr>
        <w:t xml:space="preserve"> </w:t>
      </w:r>
      <w:r>
        <w:rPr>
          <w:color w:val="231F20"/>
          <w:sz w:val="12"/>
        </w:rPr>
        <w:t>%</w:t>
      </w:r>
      <w:r>
        <w:rPr>
          <w:color w:val="231F20"/>
          <w:spacing w:val="-4"/>
          <w:sz w:val="12"/>
        </w:rPr>
        <w:t xml:space="preserve"> </w:t>
      </w:r>
      <w:r>
        <w:rPr>
          <w:color w:val="231F20"/>
          <w:sz w:val="12"/>
        </w:rPr>
        <w:t>povrchu</w:t>
      </w:r>
      <w:r>
        <w:rPr>
          <w:color w:val="231F20"/>
          <w:spacing w:val="-4"/>
          <w:sz w:val="12"/>
        </w:rPr>
        <w:t xml:space="preserve"> </w:t>
      </w:r>
      <w:r>
        <w:rPr>
          <w:color w:val="231F20"/>
          <w:sz w:val="12"/>
        </w:rPr>
        <w:t>těla</w:t>
      </w:r>
    </w:p>
    <w:p w14:paraId="29349B24" w14:textId="77777777" w:rsidR="00F65BCA" w:rsidRDefault="00216117">
      <w:pPr>
        <w:pStyle w:val="Odstavecseseznamem"/>
        <w:numPr>
          <w:ilvl w:val="0"/>
          <w:numId w:val="48"/>
        </w:numPr>
        <w:tabs>
          <w:tab w:val="left" w:pos="456"/>
        </w:tabs>
        <w:spacing w:before="44"/>
        <w:ind w:hanging="273"/>
        <w:rPr>
          <w:sz w:val="12"/>
        </w:rPr>
      </w:pPr>
      <w:r>
        <w:rPr>
          <w:color w:val="231F20"/>
          <w:sz w:val="12"/>
        </w:rPr>
        <w:t>nad</w:t>
      </w:r>
      <w:r>
        <w:rPr>
          <w:color w:val="231F20"/>
          <w:spacing w:val="-5"/>
          <w:sz w:val="12"/>
        </w:rPr>
        <w:t xml:space="preserve"> </w:t>
      </w:r>
      <w:r>
        <w:rPr>
          <w:color w:val="231F20"/>
          <w:sz w:val="12"/>
        </w:rPr>
        <w:t>20</w:t>
      </w:r>
      <w:r>
        <w:rPr>
          <w:color w:val="231F20"/>
          <w:spacing w:val="-20"/>
          <w:sz w:val="12"/>
        </w:rPr>
        <w:t xml:space="preserve"> </w:t>
      </w:r>
      <w:r>
        <w:rPr>
          <w:color w:val="231F20"/>
          <w:sz w:val="12"/>
        </w:rPr>
        <w:t>%</w:t>
      </w:r>
      <w:r>
        <w:rPr>
          <w:color w:val="231F20"/>
          <w:spacing w:val="-4"/>
          <w:sz w:val="12"/>
        </w:rPr>
        <w:t xml:space="preserve"> </w:t>
      </w:r>
      <w:r>
        <w:rPr>
          <w:color w:val="231F20"/>
          <w:sz w:val="12"/>
        </w:rPr>
        <w:t>do</w:t>
      </w:r>
      <w:r>
        <w:rPr>
          <w:color w:val="231F20"/>
          <w:spacing w:val="-4"/>
          <w:sz w:val="12"/>
        </w:rPr>
        <w:t xml:space="preserve"> </w:t>
      </w:r>
      <w:r>
        <w:rPr>
          <w:color w:val="231F20"/>
          <w:sz w:val="12"/>
        </w:rPr>
        <w:t>30</w:t>
      </w:r>
      <w:r>
        <w:rPr>
          <w:color w:val="231F20"/>
          <w:spacing w:val="-21"/>
          <w:sz w:val="12"/>
        </w:rPr>
        <w:t xml:space="preserve"> </w:t>
      </w:r>
      <w:r>
        <w:rPr>
          <w:color w:val="231F20"/>
          <w:sz w:val="12"/>
        </w:rPr>
        <w:t>%</w:t>
      </w:r>
      <w:r>
        <w:rPr>
          <w:color w:val="231F20"/>
          <w:spacing w:val="-4"/>
          <w:sz w:val="12"/>
        </w:rPr>
        <w:t xml:space="preserve"> </w:t>
      </w:r>
      <w:r>
        <w:rPr>
          <w:color w:val="231F20"/>
          <w:sz w:val="12"/>
        </w:rPr>
        <w:t>povrchu</w:t>
      </w:r>
      <w:r>
        <w:rPr>
          <w:color w:val="231F20"/>
          <w:spacing w:val="-4"/>
          <w:sz w:val="12"/>
        </w:rPr>
        <w:t xml:space="preserve"> </w:t>
      </w:r>
      <w:r>
        <w:rPr>
          <w:color w:val="231F20"/>
          <w:sz w:val="12"/>
        </w:rPr>
        <w:t>těla</w:t>
      </w:r>
    </w:p>
    <w:p w14:paraId="6230703E" w14:textId="77777777" w:rsidR="00F65BCA" w:rsidRDefault="00216117">
      <w:pPr>
        <w:pStyle w:val="Odstavecseseznamem"/>
        <w:numPr>
          <w:ilvl w:val="0"/>
          <w:numId w:val="48"/>
        </w:numPr>
        <w:tabs>
          <w:tab w:val="left" w:pos="456"/>
        </w:tabs>
        <w:spacing w:before="43"/>
        <w:ind w:hanging="273"/>
        <w:rPr>
          <w:sz w:val="12"/>
        </w:rPr>
      </w:pPr>
      <w:r>
        <w:rPr>
          <w:color w:val="231F20"/>
          <w:sz w:val="12"/>
        </w:rPr>
        <w:t>nad</w:t>
      </w:r>
      <w:r>
        <w:rPr>
          <w:color w:val="231F20"/>
          <w:spacing w:val="-5"/>
          <w:sz w:val="12"/>
        </w:rPr>
        <w:t xml:space="preserve"> </w:t>
      </w:r>
      <w:r>
        <w:rPr>
          <w:color w:val="231F20"/>
          <w:sz w:val="12"/>
        </w:rPr>
        <w:t>30</w:t>
      </w:r>
      <w:r>
        <w:rPr>
          <w:color w:val="231F20"/>
          <w:spacing w:val="-20"/>
          <w:sz w:val="12"/>
        </w:rPr>
        <w:t xml:space="preserve"> </w:t>
      </w:r>
      <w:r>
        <w:rPr>
          <w:color w:val="231F20"/>
          <w:sz w:val="12"/>
        </w:rPr>
        <w:t>%</w:t>
      </w:r>
      <w:r>
        <w:rPr>
          <w:color w:val="231F20"/>
          <w:spacing w:val="-4"/>
          <w:sz w:val="12"/>
        </w:rPr>
        <w:t xml:space="preserve"> </w:t>
      </w:r>
      <w:r>
        <w:rPr>
          <w:color w:val="231F20"/>
          <w:sz w:val="12"/>
        </w:rPr>
        <w:t>do</w:t>
      </w:r>
      <w:r>
        <w:rPr>
          <w:color w:val="231F20"/>
          <w:spacing w:val="-4"/>
          <w:sz w:val="12"/>
        </w:rPr>
        <w:t xml:space="preserve"> </w:t>
      </w:r>
      <w:r>
        <w:rPr>
          <w:color w:val="231F20"/>
          <w:sz w:val="12"/>
        </w:rPr>
        <w:t>40</w:t>
      </w:r>
      <w:r>
        <w:rPr>
          <w:color w:val="231F20"/>
          <w:spacing w:val="-21"/>
          <w:sz w:val="12"/>
        </w:rPr>
        <w:t xml:space="preserve"> </w:t>
      </w:r>
      <w:r>
        <w:rPr>
          <w:color w:val="231F20"/>
          <w:sz w:val="12"/>
        </w:rPr>
        <w:t>%</w:t>
      </w:r>
      <w:r>
        <w:rPr>
          <w:color w:val="231F20"/>
          <w:spacing w:val="-4"/>
          <w:sz w:val="12"/>
        </w:rPr>
        <w:t xml:space="preserve"> </w:t>
      </w:r>
      <w:r>
        <w:rPr>
          <w:color w:val="231F20"/>
          <w:sz w:val="12"/>
        </w:rPr>
        <w:t>povrchu</w:t>
      </w:r>
      <w:r>
        <w:rPr>
          <w:color w:val="231F20"/>
          <w:spacing w:val="-4"/>
          <w:sz w:val="12"/>
        </w:rPr>
        <w:t xml:space="preserve"> </w:t>
      </w:r>
      <w:r>
        <w:rPr>
          <w:color w:val="231F20"/>
          <w:sz w:val="12"/>
        </w:rPr>
        <w:t>těla</w:t>
      </w:r>
    </w:p>
    <w:p w14:paraId="774EF541" w14:textId="77777777" w:rsidR="00F65BCA" w:rsidRDefault="00216117">
      <w:pPr>
        <w:pStyle w:val="Odstavecseseznamem"/>
        <w:numPr>
          <w:ilvl w:val="0"/>
          <w:numId w:val="48"/>
        </w:numPr>
        <w:tabs>
          <w:tab w:val="left" w:pos="456"/>
        </w:tabs>
        <w:spacing w:before="44"/>
        <w:ind w:hanging="273"/>
        <w:rPr>
          <w:sz w:val="12"/>
        </w:rPr>
      </w:pPr>
      <w:r>
        <w:rPr>
          <w:color w:val="231F20"/>
          <w:sz w:val="12"/>
        </w:rPr>
        <w:t>nad</w:t>
      </w:r>
      <w:r>
        <w:rPr>
          <w:color w:val="231F20"/>
          <w:spacing w:val="-5"/>
          <w:sz w:val="12"/>
        </w:rPr>
        <w:t xml:space="preserve"> </w:t>
      </w:r>
      <w:r>
        <w:rPr>
          <w:color w:val="231F20"/>
          <w:sz w:val="12"/>
        </w:rPr>
        <w:t>40</w:t>
      </w:r>
      <w:r>
        <w:rPr>
          <w:color w:val="231F20"/>
          <w:spacing w:val="-20"/>
          <w:sz w:val="12"/>
        </w:rPr>
        <w:t xml:space="preserve"> </w:t>
      </w:r>
      <w:r>
        <w:rPr>
          <w:color w:val="231F20"/>
          <w:sz w:val="12"/>
        </w:rPr>
        <w:t>%</w:t>
      </w:r>
      <w:r>
        <w:rPr>
          <w:color w:val="231F20"/>
          <w:spacing w:val="-4"/>
          <w:sz w:val="12"/>
        </w:rPr>
        <w:t xml:space="preserve"> </w:t>
      </w:r>
      <w:r>
        <w:rPr>
          <w:color w:val="231F20"/>
          <w:sz w:val="12"/>
        </w:rPr>
        <w:t>do</w:t>
      </w:r>
      <w:r>
        <w:rPr>
          <w:color w:val="231F20"/>
          <w:spacing w:val="-4"/>
          <w:sz w:val="12"/>
        </w:rPr>
        <w:t xml:space="preserve"> </w:t>
      </w:r>
      <w:r>
        <w:rPr>
          <w:color w:val="231F20"/>
          <w:sz w:val="12"/>
        </w:rPr>
        <w:t>50</w:t>
      </w:r>
      <w:r>
        <w:rPr>
          <w:color w:val="231F20"/>
          <w:spacing w:val="-21"/>
          <w:sz w:val="12"/>
        </w:rPr>
        <w:t xml:space="preserve"> </w:t>
      </w:r>
      <w:r>
        <w:rPr>
          <w:color w:val="231F20"/>
          <w:sz w:val="12"/>
        </w:rPr>
        <w:t>%</w:t>
      </w:r>
      <w:r>
        <w:rPr>
          <w:color w:val="231F20"/>
          <w:spacing w:val="-4"/>
          <w:sz w:val="12"/>
        </w:rPr>
        <w:t xml:space="preserve"> </w:t>
      </w:r>
      <w:r>
        <w:rPr>
          <w:color w:val="231F20"/>
          <w:sz w:val="12"/>
        </w:rPr>
        <w:t>povrchu</w:t>
      </w:r>
      <w:r>
        <w:rPr>
          <w:color w:val="231F20"/>
          <w:spacing w:val="-4"/>
          <w:sz w:val="12"/>
        </w:rPr>
        <w:t xml:space="preserve"> </w:t>
      </w:r>
      <w:r>
        <w:rPr>
          <w:color w:val="231F20"/>
          <w:sz w:val="12"/>
        </w:rPr>
        <w:t>těla</w:t>
      </w:r>
    </w:p>
    <w:p w14:paraId="2B23ACAF" w14:textId="77777777" w:rsidR="00F65BCA" w:rsidRDefault="00216117">
      <w:pPr>
        <w:pStyle w:val="Odstavecseseznamem"/>
        <w:numPr>
          <w:ilvl w:val="0"/>
          <w:numId w:val="48"/>
        </w:numPr>
        <w:tabs>
          <w:tab w:val="left" w:pos="456"/>
        </w:tabs>
        <w:spacing w:before="43"/>
        <w:ind w:hanging="273"/>
        <w:rPr>
          <w:sz w:val="12"/>
        </w:rPr>
      </w:pPr>
      <w:r>
        <w:rPr>
          <w:color w:val="231F20"/>
          <w:sz w:val="12"/>
        </w:rPr>
        <w:t>větším než 50% povrchu</w:t>
      </w:r>
      <w:r>
        <w:rPr>
          <w:color w:val="231F20"/>
          <w:spacing w:val="-6"/>
          <w:sz w:val="12"/>
        </w:rPr>
        <w:t xml:space="preserve"> </w:t>
      </w:r>
      <w:r>
        <w:rPr>
          <w:color w:val="231F20"/>
          <w:sz w:val="12"/>
        </w:rPr>
        <w:t>těla</w:t>
      </w:r>
    </w:p>
    <w:p w14:paraId="12A488F9" w14:textId="77777777" w:rsidR="00F65BCA" w:rsidRDefault="00216117">
      <w:pPr>
        <w:spacing w:before="39" w:line="242" w:lineRule="auto"/>
        <w:ind w:left="455" w:right="216"/>
        <w:rPr>
          <w:b/>
          <w:sz w:val="12"/>
        </w:rPr>
      </w:pPr>
      <w:r>
        <w:rPr>
          <w:b/>
          <w:color w:val="231F20"/>
          <w:sz w:val="12"/>
        </w:rPr>
        <w:t>třetího stupně s nutností chirurgické léčby v rozsahu</w:t>
      </w:r>
    </w:p>
    <w:p w14:paraId="4D27724D" w14:textId="77777777" w:rsidR="00F65BCA" w:rsidRDefault="00216117">
      <w:pPr>
        <w:pStyle w:val="Odstavecseseznamem"/>
        <w:numPr>
          <w:ilvl w:val="0"/>
          <w:numId w:val="48"/>
        </w:numPr>
        <w:tabs>
          <w:tab w:val="left" w:pos="456"/>
        </w:tabs>
        <w:spacing w:before="37"/>
        <w:ind w:hanging="273"/>
        <w:rPr>
          <w:sz w:val="7"/>
        </w:rPr>
      </w:pPr>
      <w:r>
        <w:rPr>
          <w:color w:val="231F20"/>
          <w:sz w:val="12"/>
        </w:rPr>
        <w:t>do 10 cm</w:t>
      </w:r>
      <w:r>
        <w:rPr>
          <w:color w:val="231F20"/>
          <w:position w:val="4"/>
          <w:sz w:val="7"/>
        </w:rPr>
        <w:t>2</w:t>
      </w:r>
    </w:p>
    <w:p w14:paraId="7D58D680" w14:textId="77777777" w:rsidR="00F65BCA" w:rsidRDefault="00216117">
      <w:pPr>
        <w:pStyle w:val="Odstavecseseznamem"/>
        <w:numPr>
          <w:ilvl w:val="0"/>
          <w:numId w:val="48"/>
        </w:numPr>
        <w:tabs>
          <w:tab w:val="left" w:pos="456"/>
        </w:tabs>
        <w:spacing w:before="44"/>
        <w:ind w:hanging="273"/>
        <w:rPr>
          <w:sz w:val="12"/>
        </w:rPr>
      </w:pPr>
      <w:r>
        <w:rPr>
          <w:color w:val="231F20"/>
          <w:sz w:val="12"/>
        </w:rPr>
        <w:t>nad 10 cm</w:t>
      </w:r>
      <w:r>
        <w:rPr>
          <w:color w:val="231F20"/>
          <w:position w:val="4"/>
          <w:sz w:val="7"/>
        </w:rPr>
        <w:t xml:space="preserve">2 </w:t>
      </w:r>
      <w:r>
        <w:rPr>
          <w:color w:val="231F20"/>
          <w:sz w:val="12"/>
        </w:rPr>
        <w:t>do 10 % povrchu</w:t>
      </w:r>
      <w:r>
        <w:rPr>
          <w:color w:val="231F20"/>
          <w:spacing w:val="-10"/>
          <w:sz w:val="12"/>
        </w:rPr>
        <w:t xml:space="preserve"> </w:t>
      </w:r>
      <w:r>
        <w:rPr>
          <w:color w:val="231F20"/>
          <w:sz w:val="12"/>
        </w:rPr>
        <w:t>těla</w:t>
      </w:r>
    </w:p>
    <w:p w14:paraId="5429E73B" w14:textId="77777777" w:rsidR="00F65BCA" w:rsidRDefault="00216117">
      <w:pPr>
        <w:pStyle w:val="Odstavecseseznamem"/>
        <w:numPr>
          <w:ilvl w:val="0"/>
          <w:numId w:val="48"/>
        </w:numPr>
        <w:tabs>
          <w:tab w:val="left" w:pos="456"/>
        </w:tabs>
        <w:spacing w:before="43"/>
        <w:ind w:hanging="273"/>
        <w:rPr>
          <w:sz w:val="12"/>
        </w:rPr>
      </w:pPr>
      <w:r>
        <w:rPr>
          <w:color w:val="231F20"/>
          <w:sz w:val="12"/>
        </w:rPr>
        <w:t>nad</w:t>
      </w:r>
      <w:r>
        <w:rPr>
          <w:color w:val="231F20"/>
          <w:spacing w:val="-5"/>
          <w:sz w:val="12"/>
        </w:rPr>
        <w:t xml:space="preserve"> </w:t>
      </w:r>
      <w:r>
        <w:rPr>
          <w:color w:val="231F20"/>
          <w:sz w:val="12"/>
        </w:rPr>
        <w:t>10</w:t>
      </w:r>
      <w:r>
        <w:rPr>
          <w:color w:val="231F20"/>
          <w:spacing w:val="-20"/>
          <w:sz w:val="12"/>
        </w:rPr>
        <w:t xml:space="preserve"> </w:t>
      </w:r>
      <w:r>
        <w:rPr>
          <w:color w:val="231F20"/>
          <w:sz w:val="12"/>
        </w:rPr>
        <w:t>%</w:t>
      </w:r>
      <w:r>
        <w:rPr>
          <w:color w:val="231F20"/>
          <w:spacing w:val="-4"/>
          <w:sz w:val="12"/>
        </w:rPr>
        <w:t xml:space="preserve"> </w:t>
      </w:r>
      <w:r>
        <w:rPr>
          <w:color w:val="231F20"/>
          <w:sz w:val="12"/>
        </w:rPr>
        <w:t>do</w:t>
      </w:r>
      <w:r>
        <w:rPr>
          <w:color w:val="231F20"/>
          <w:spacing w:val="-4"/>
          <w:sz w:val="12"/>
        </w:rPr>
        <w:t xml:space="preserve"> </w:t>
      </w:r>
      <w:r>
        <w:rPr>
          <w:color w:val="231F20"/>
          <w:sz w:val="12"/>
        </w:rPr>
        <w:t>20</w:t>
      </w:r>
      <w:r>
        <w:rPr>
          <w:color w:val="231F20"/>
          <w:spacing w:val="-21"/>
          <w:sz w:val="12"/>
        </w:rPr>
        <w:t xml:space="preserve"> </w:t>
      </w:r>
      <w:r>
        <w:rPr>
          <w:color w:val="231F20"/>
          <w:sz w:val="12"/>
        </w:rPr>
        <w:t>%</w:t>
      </w:r>
      <w:r>
        <w:rPr>
          <w:color w:val="231F20"/>
          <w:spacing w:val="-4"/>
          <w:sz w:val="12"/>
        </w:rPr>
        <w:t xml:space="preserve"> </w:t>
      </w:r>
      <w:r>
        <w:rPr>
          <w:color w:val="231F20"/>
          <w:sz w:val="12"/>
        </w:rPr>
        <w:t>povrchu</w:t>
      </w:r>
      <w:r>
        <w:rPr>
          <w:color w:val="231F20"/>
          <w:spacing w:val="-4"/>
          <w:sz w:val="12"/>
        </w:rPr>
        <w:t xml:space="preserve"> </w:t>
      </w:r>
      <w:r>
        <w:rPr>
          <w:color w:val="231F20"/>
          <w:sz w:val="12"/>
        </w:rPr>
        <w:t>těla</w:t>
      </w:r>
    </w:p>
    <w:p w14:paraId="6698B0A7" w14:textId="77777777" w:rsidR="00F65BCA" w:rsidRDefault="00216117">
      <w:pPr>
        <w:pStyle w:val="Odstavecseseznamem"/>
        <w:numPr>
          <w:ilvl w:val="0"/>
          <w:numId w:val="48"/>
        </w:numPr>
        <w:tabs>
          <w:tab w:val="left" w:pos="456"/>
        </w:tabs>
        <w:spacing w:before="44"/>
        <w:ind w:hanging="273"/>
        <w:rPr>
          <w:sz w:val="12"/>
        </w:rPr>
      </w:pPr>
      <w:r>
        <w:rPr>
          <w:color w:val="231F20"/>
          <w:sz w:val="12"/>
        </w:rPr>
        <w:t>nad</w:t>
      </w:r>
      <w:r>
        <w:rPr>
          <w:color w:val="231F20"/>
          <w:spacing w:val="-5"/>
          <w:sz w:val="12"/>
        </w:rPr>
        <w:t xml:space="preserve"> </w:t>
      </w:r>
      <w:r>
        <w:rPr>
          <w:color w:val="231F20"/>
          <w:sz w:val="12"/>
        </w:rPr>
        <w:t>20</w:t>
      </w:r>
      <w:r>
        <w:rPr>
          <w:color w:val="231F20"/>
          <w:spacing w:val="-20"/>
          <w:sz w:val="12"/>
        </w:rPr>
        <w:t xml:space="preserve"> </w:t>
      </w:r>
      <w:r>
        <w:rPr>
          <w:color w:val="231F20"/>
          <w:sz w:val="12"/>
        </w:rPr>
        <w:t>%</w:t>
      </w:r>
      <w:r>
        <w:rPr>
          <w:color w:val="231F20"/>
          <w:spacing w:val="-4"/>
          <w:sz w:val="12"/>
        </w:rPr>
        <w:t xml:space="preserve"> </w:t>
      </w:r>
      <w:r>
        <w:rPr>
          <w:color w:val="231F20"/>
          <w:sz w:val="12"/>
        </w:rPr>
        <w:t>do</w:t>
      </w:r>
      <w:r>
        <w:rPr>
          <w:color w:val="231F20"/>
          <w:spacing w:val="-4"/>
          <w:sz w:val="12"/>
        </w:rPr>
        <w:t xml:space="preserve"> </w:t>
      </w:r>
      <w:r>
        <w:rPr>
          <w:color w:val="231F20"/>
          <w:sz w:val="12"/>
        </w:rPr>
        <w:t>30</w:t>
      </w:r>
      <w:r>
        <w:rPr>
          <w:color w:val="231F20"/>
          <w:spacing w:val="-21"/>
          <w:sz w:val="12"/>
        </w:rPr>
        <w:t xml:space="preserve"> </w:t>
      </w:r>
      <w:r>
        <w:rPr>
          <w:color w:val="231F20"/>
          <w:sz w:val="12"/>
        </w:rPr>
        <w:t>%</w:t>
      </w:r>
      <w:r>
        <w:rPr>
          <w:color w:val="231F20"/>
          <w:spacing w:val="-4"/>
          <w:sz w:val="12"/>
        </w:rPr>
        <w:t xml:space="preserve"> </w:t>
      </w:r>
      <w:r>
        <w:rPr>
          <w:color w:val="231F20"/>
          <w:sz w:val="12"/>
        </w:rPr>
        <w:t>povrchu</w:t>
      </w:r>
      <w:r>
        <w:rPr>
          <w:color w:val="231F20"/>
          <w:spacing w:val="-4"/>
          <w:sz w:val="12"/>
        </w:rPr>
        <w:t xml:space="preserve"> </w:t>
      </w:r>
      <w:r>
        <w:rPr>
          <w:color w:val="231F20"/>
          <w:sz w:val="12"/>
        </w:rPr>
        <w:t>těla</w:t>
      </w:r>
    </w:p>
    <w:p w14:paraId="0ABDD7EE" w14:textId="77777777" w:rsidR="00F65BCA" w:rsidRDefault="00216117">
      <w:pPr>
        <w:pStyle w:val="Odstavecseseznamem"/>
        <w:numPr>
          <w:ilvl w:val="0"/>
          <w:numId w:val="48"/>
        </w:numPr>
        <w:tabs>
          <w:tab w:val="left" w:pos="456"/>
        </w:tabs>
        <w:spacing w:before="43"/>
        <w:ind w:hanging="273"/>
        <w:rPr>
          <w:sz w:val="12"/>
        </w:rPr>
      </w:pPr>
      <w:r>
        <w:rPr>
          <w:color w:val="231F20"/>
          <w:sz w:val="12"/>
        </w:rPr>
        <w:t>větším než 30</w:t>
      </w:r>
      <w:r>
        <w:rPr>
          <w:color w:val="231F20"/>
          <w:spacing w:val="-25"/>
          <w:sz w:val="12"/>
        </w:rPr>
        <w:t xml:space="preserve"> </w:t>
      </w:r>
      <w:r>
        <w:rPr>
          <w:color w:val="231F20"/>
          <w:sz w:val="12"/>
        </w:rPr>
        <w:t>% povrchu těla</w:t>
      </w:r>
    </w:p>
    <w:p w14:paraId="30117019" w14:textId="77777777" w:rsidR="00F65BCA" w:rsidRDefault="00000000">
      <w:pPr>
        <w:spacing w:before="39" w:line="242" w:lineRule="auto"/>
        <w:ind w:left="455" w:right="405"/>
        <w:rPr>
          <w:sz w:val="12"/>
        </w:rPr>
      </w:pPr>
      <w:r>
        <w:pict w14:anchorId="1A2C8E69">
          <v:shape id="_x0000_s1571" type="#_x0000_t202" style="position:absolute;left:0;text-align:left;margin-left:399.25pt;margin-top:5.25pt;width:10.05pt;height:7.2pt;z-index:251999232;mso-position-horizontal-relative:page" filled="f" stroked="f">
            <v:textbox inset="0,0,0,0">
              <w:txbxContent>
                <w:p w14:paraId="3AE88271" w14:textId="77777777" w:rsidR="00F65BCA" w:rsidRDefault="00216117">
                  <w:pPr>
                    <w:spacing w:before="4"/>
                    <w:rPr>
                      <w:b/>
                      <w:sz w:val="12"/>
                    </w:rPr>
                  </w:pPr>
                  <w:r>
                    <w:rPr>
                      <w:b/>
                      <w:color w:val="231F20"/>
                      <w:sz w:val="12"/>
                    </w:rPr>
                    <w:t>395</w:t>
                  </w:r>
                </w:p>
              </w:txbxContent>
            </v:textbox>
            <w10:wrap anchorx="page"/>
          </v:shape>
        </w:pict>
      </w:r>
      <w:r w:rsidR="00216117">
        <w:rPr>
          <w:color w:val="231F20"/>
          <w:sz w:val="12"/>
        </w:rPr>
        <w:t>Otravy</w:t>
      </w:r>
      <w:r w:rsidR="00216117">
        <w:rPr>
          <w:color w:val="231F20"/>
          <w:spacing w:val="-16"/>
          <w:sz w:val="12"/>
        </w:rPr>
        <w:t xml:space="preserve"> </w:t>
      </w:r>
      <w:r w:rsidR="00216117">
        <w:rPr>
          <w:color w:val="231F20"/>
          <w:sz w:val="12"/>
        </w:rPr>
        <w:t>plyny</w:t>
      </w:r>
      <w:r w:rsidR="00216117">
        <w:rPr>
          <w:color w:val="231F20"/>
          <w:spacing w:val="-15"/>
          <w:sz w:val="12"/>
        </w:rPr>
        <w:t xml:space="preserve"> </w:t>
      </w:r>
      <w:r w:rsidR="00216117">
        <w:rPr>
          <w:color w:val="231F20"/>
          <w:sz w:val="12"/>
        </w:rPr>
        <w:t>a</w:t>
      </w:r>
      <w:r w:rsidR="00216117">
        <w:rPr>
          <w:color w:val="231F20"/>
          <w:spacing w:val="-15"/>
          <w:sz w:val="12"/>
        </w:rPr>
        <w:t xml:space="preserve"> </w:t>
      </w:r>
      <w:r w:rsidR="00216117">
        <w:rPr>
          <w:color w:val="231F20"/>
          <w:sz w:val="12"/>
        </w:rPr>
        <w:t>párami,</w:t>
      </w:r>
      <w:r w:rsidR="00216117">
        <w:rPr>
          <w:color w:val="231F20"/>
          <w:spacing w:val="-15"/>
          <w:sz w:val="12"/>
        </w:rPr>
        <w:t xml:space="preserve"> </w:t>
      </w:r>
      <w:r w:rsidR="00216117">
        <w:rPr>
          <w:color w:val="231F20"/>
          <w:sz w:val="12"/>
        </w:rPr>
        <w:t>celkové</w:t>
      </w:r>
      <w:r w:rsidR="00216117">
        <w:rPr>
          <w:color w:val="231F20"/>
          <w:spacing w:val="-15"/>
          <w:sz w:val="12"/>
        </w:rPr>
        <w:t xml:space="preserve"> </w:t>
      </w:r>
      <w:r w:rsidR="00216117">
        <w:rPr>
          <w:color w:val="231F20"/>
          <w:sz w:val="12"/>
        </w:rPr>
        <w:t>účinky</w:t>
      </w:r>
      <w:r w:rsidR="00216117">
        <w:rPr>
          <w:color w:val="231F20"/>
          <w:spacing w:val="-16"/>
          <w:sz w:val="12"/>
        </w:rPr>
        <w:t xml:space="preserve"> </w:t>
      </w:r>
      <w:r w:rsidR="00216117">
        <w:rPr>
          <w:color w:val="231F20"/>
          <w:spacing w:val="-4"/>
          <w:sz w:val="12"/>
        </w:rPr>
        <w:t xml:space="preserve">záření </w:t>
      </w:r>
      <w:r w:rsidR="00216117">
        <w:rPr>
          <w:color w:val="231F20"/>
          <w:sz w:val="12"/>
        </w:rPr>
        <w:t>a chemických</w:t>
      </w:r>
      <w:r w:rsidR="00216117">
        <w:rPr>
          <w:color w:val="231F20"/>
          <w:spacing w:val="-2"/>
          <w:sz w:val="12"/>
        </w:rPr>
        <w:t xml:space="preserve"> </w:t>
      </w:r>
      <w:r w:rsidR="00216117">
        <w:rPr>
          <w:color w:val="231F20"/>
          <w:sz w:val="12"/>
        </w:rPr>
        <w:t>jedů</w:t>
      </w:r>
    </w:p>
    <w:p w14:paraId="2806301F" w14:textId="77777777" w:rsidR="00F65BCA" w:rsidRDefault="00216117">
      <w:pPr>
        <w:pStyle w:val="Odstavecseseznamem"/>
        <w:numPr>
          <w:ilvl w:val="0"/>
          <w:numId w:val="47"/>
        </w:numPr>
        <w:tabs>
          <w:tab w:val="left" w:pos="456"/>
        </w:tabs>
        <w:spacing w:before="38"/>
        <w:ind w:hanging="273"/>
        <w:rPr>
          <w:sz w:val="12"/>
        </w:rPr>
      </w:pPr>
      <w:r>
        <w:rPr>
          <w:color w:val="231F20"/>
          <w:sz w:val="12"/>
        </w:rPr>
        <w:t>Uštknutí</w:t>
      </w:r>
      <w:r>
        <w:rPr>
          <w:color w:val="231F20"/>
          <w:spacing w:val="-1"/>
          <w:sz w:val="12"/>
        </w:rPr>
        <w:t xml:space="preserve"> </w:t>
      </w:r>
      <w:r>
        <w:rPr>
          <w:color w:val="231F20"/>
          <w:sz w:val="12"/>
        </w:rPr>
        <w:t>hadem</w:t>
      </w:r>
    </w:p>
    <w:p w14:paraId="1070E237" w14:textId="77777777" w:rsidR="00F65BCA" w:rsidRDefault="00216117">
      <w:pPr>
        <w:pStyle w:val="Odstavecseseznamem"/>
        <w:numPr>
          <w:ilvl w:val="0"/>
          <w:numId w:val="47"/>
        </w:numPr>
        <w:tabs>
          <w:tab w:val="left" w:pos="456"/>
        </w:tabs>
        <w:spacing w:before="43"/>
        <w:ind w:hanging="273"/>
        <w:rPr>
          <w:sz w:val="12"/>
        </w:rPr>
      </w:pPr>
      <w:r>
        <w:rPr>
          <w:color w:val="231F20"/>
          <w:sz w:val="12"/>
        </w:rPr>
        <w:t>Šok</w:t>
      </w:r>
      <w:r>
        <w:rPr>
          <w:color w:val="231F20"/>
          <w:spacing w:val="-1"/>
          <w:sz w:val="12"/>
        </w:rPr>
        <w:t xml:space="preserve"> </w:t>
      </w:r>
      <w:r>
        <w:rPr>
          <w:color w:val="231F20"/>
          <w:sz w:val="12"/>
        </w:rPr>
        <w:t>psychický</w:t>
      </w:r>
    </w:p>
    <w:p w14:paraId="55A3205C" w14:textId="77777777" w:rsidR="00F65BCA" w:rsidRDefault="00216117">
      <w:pPr>
        <w:pStyle w:val="Odstavecseseznamem"/>
        <w:numPr>
          <w:ilvl w:val="0"/>
          <w:numId w:val="47"/>
        </w:numPr>
        <w:tabs>
          <w:tab w:val="left" w:pos="456"/>
        </w:tabs>
        <w:spacing w:before="35"/>
        <w:ind w:hanging="273"/>
        <w:rPr>
          <w:sz w:val="12"/>
        </w:rPr>
      </w:pPr>
      <w:r>
        <w:rPr>
          <w:color w:val="231F20"/>
          <w:sz w:val="12"/>
        </w:rPr>
        <w:t>Šok</w:t>
      </w:r>
      <w:r>
        <w:rPr>
          <w:color w:val="231F20"/>
          <w:spacing w:val="-1"/>
          <w:sz w:val="12"/>
        </w:rPr>
        <w:t xml:space="preserve"> </w:t>
      </w:r>
      <w:r>
        <w:rPr>
          <w:color w:val="231F20"/>
          <w:sz w:val="12"/>
        </w:rPr>
        <w:t>traumatický</w:t>
      </w:r>
    </w:p>
    <w:p w14:paraId="6E1D5517" w14:textId="77777777" w:rsidR="00F65BCA" w:rsidRDefault="00216117">
      <w:pPr>
        <w:pStyle w:val="Zkladntext"/>
        <w:rPr>
          <w:sz w:val="14"/>
        </w:rPr>
      </w:pPr>
      <w:r>
        <w:br w:type="column"/>
      </w:r>
    </w:p>
    <w:p w14:paraId="7656543B" w14:textId="77777777" w:rsidR="00F65BCA" w:rsidRDefault="00F65BCA">
      <w:pPr>
        <w:pStyle w:val="Zkladntext"/>
        <w:spacing w:before="6"/>
        <w:rPr>
          <w:sz w:val="18"/>
        </w:rPr>
      </w:pPr>
    </w:p>
    <w:p w14:paraId="68EA4574" w14:textId="77777777" w:rsidR="00F65BCA" w:rsidRDefault="00216117">
      <w:pPr>
        <w:ind w:left="182"/>
        <w:rPr>
          <w:sz w:val="12"/>
        </w:rPr>
      </w:pPr>
      <w:r>
        <w:rPr>
          <w:color w:val="231F20"/>
          <w:sz w:val="12"/>
        </w:rPr>
        <w:t>do</w:t>
      </w:r>
      <w:r>
        <w:rPr>
          <w:color w:val="231F20"/>
          <w:spacing w:val="2"/>
          <w:sz w:val="12"/>
        </w:rPr>
        <w:t xml:space="preserve"> </w:t>
      </w:r>
      <w:r>
        <w:rPr>
          <w:color w:val="231F20"/>
          <w:sz w:val="12"/>
        </w:rPr>
        <w:t>56</w:t>
      </w:r>
    </w:p>
    <w:p w14:paraId="7E77743D" w14:textId="77777777" w:rsidR="00F65BCA" w:rsidRDefault="00216117">
      <w:pPr>
        <w:spacing w:before="32"/>
        <w:ind w:left="148"/>
        <w:rPr>
          <w:sz w:val="12"/>
        </w:rPr>
      </w:pPr>
      <w:r>
        <w:rPr>
          <w:color w:val="231F20"/>
          <w:sz w:val="12"/>
        </w:rPr>
        <w:t>do</w:t>
      </w:r>
      <w:r>
        <w:rPr>
          <w:color w:val="231F20"/>
          <w:spacing w:val="2"/>
          <w:sz w:val="12"/>
        </w:rPr>
        <w:t xml:space="preserve"> </w:t>
      </w:r>
      <w:r>
        <w:rPr>
          <w:color w:val="231F20"/>
          <w:sz w:val="12"/>
        </w:rPr>
        <w:t>182</w:t>
      </w:r>
    </w:p>
    <w:p w14:paraId="47B34717" w14:textId="77777777" w:rsidR="00F65BCA" w:rsidRDefault="00216117">
      <w:pPr>
        <w:spacing w:before="32"/>
        <w:ind w:left="148"/>
        <w:rPr>
          <w:sz w:val="12"/>
        </w:rPr>
      </w:pPr>
      <w:r>
        <w:rPr>
          <w:color w:val="231F20"/>
          <w:sz w:val="12"/>
        </w:rPr>
        <w:t>do</w:t>
      </w:r>
      <w:r>
        <w:rPr>
          <w:color w:val="231F20"/>
          <w:spacing w:val="2"/>
          <w:sz w:val="12"/>
        </w:rPr>
        <w:t xml:space="preserve"> </w:t>
      </w:r>
      <w:r>
        <w:rPr>
          <w:color w:val="231F20"/>
          <w:sz w:val="12"/>
        </w:rPr>
        <w:t>365</w:t>
      </w:r>
    </w:p>
    <w:p w14:paraId="43BB0BCE" w14:textId="77777777" w:rsidR="00F65BCA" w:rsidRDefault="00216117">
      <w:pPr>
        <w:spacing w:before="32"/>
        <w:ind w:left="148"/>
        <w:rPr>
          <w:sz w:val="12"/>
        </w:rPr>
      </w:pPr>
      <w:r>
        <w:rPr>
          <w:color w:val="231F20"/>
          <w:sz w:val="12"/>
        </w:rPr>
        <w:t>do</w:t>
      </w:r>
      <w:r>
        <w:rPr>
          <w:color w:val="231F20"/>
          <w:spacing w:val="2"/>
          <w:sz w:val="12"/>
        </w:rPr>
        <w:t xml:space="preserve"> </w:t>
      </w:r>
      <w:r>
        <w:rPr>
          <w:color w:val="231F20"/>
          <w:sz w:val="12"/>
        </w:rPr>
        <w:t>365</w:t>
      </w:r>
    </w:p>
    <w:p w14:paraId="79C0BE7D" w14:textId="77777777" w:rsidR="00F65BCA" w:rsidRDefault="00F65BCA">
      <w:pPr>
        <w:pStyle w:val="Zkladntext"/>
        <w:rPr>
          <w:sz w:val="14"/>
        </w:rPr>
      </w:pPr>
    </w:p>
    <w:p w14:paraId="7258CDC0" w14:textId="77777777" w:rsidR="00F65BCA" w:rsidRDefault="00F65BCA">
      <w:pPr>
        <w:pStyle w:val="Zkladntext"/>
        <w:rPr>
          <w:sz w:val="11"/>
        </w:rPr>
      </w:pPr>
    </w:p>
    <w:p w14:paraId="53DA20D5" w14:textId="77777777" w:rsidR="00F65BCA" w:rsidRDefault="00216117">
      <w:pPr>
        <w:ind w:left="182"/>
        <w:rPr>
          <w:sz w:val="12"/>
        </w:rPr>
      </w:pPr>
      <w:r>
        <w:rPr>
          <w:color w:val="231F20"/>
          <w:sz w:val="12"/>
        </w:rPr>
        <w:t>do</w:t>
      </w:r>
      <w:r>
        <w:rPr>
          <w:color w:val="231F20"/>
          <w:spacing w:val="2"/>
          <w:sz w:val="12"/>
        </w:rPr>
        <w:t xml:space="preserve"> </w:t>
      </w:r>
      <w:r>
        <w:rPr>
          <w:color w:val="231F20"/>
          <w:sz w:val="12"/>
        </w:rPr>
        <w:t>42</w:t>
      </w:r>
    </w:p>
    <w:p w14:paraId="722A5C60" w14:textId="77777777" w:rsidR="00F65BCA" w:rsidRDefault="00F65BCA">
      <w:pPr>
        <w:pStyle w:val="Zkladntext"/>
        <w:spacing w:before="7"/>
        <w:rPr>
          <w:sz w:val="14"/>
        </w:rPr>
      </w:pPr>
    </w:p>
    <w:p w14:paraId="5E26B646" w14:textId="77777777" w:rsidR="00F65BCA" w:rsidRDefault="00216117">
      <w:pPr>
        <w:ind w:left="148"/>
        <w:rPr>
          <w:sz w:val="12"/>
        </w:rPr>
      </w:pPr>
      <w:r>
        <w:rPr>
          <w:color w:val="231F20"/>
          <w:sz w:val="12"/>
        </w:rPr>
        <w:t>do</w:t>
      </w:r>
      <w:r>
        <w:rPr>
          <w:color w:val="231F20"/>
          <w:spacing w:val="2"/>
          <w:sz w:val="12"/>
        </w:rPr>
        <w:t xml:space="preserve"> </w:t>
      </w:r>
      <w:r>
        <w:rPr>
          <w:color w:val="231F20"/>
          <w:sz w:val="12"/>
        </w:rPr>
        <w:t>140</w:t>
      </w:r>
    </w:p>
    <w:p w14:paraId="0E2B8EBF" w14:textId="77777777" w:rsidR="00F65BCA" w:rsidRDefault="00216117">
      <w:pPr>
        <w:spacing w:before="109"/>
        <w:ind w:left="148"/>
        <w:rPr>
          <w:sz w:val="12"/>
        </w:rPr>
      </w:pPr>
      <w:r>
        <w:rPr>
          <w:color w:val="231F20"/>
          <w:sz w:val="12"/>
        </w:rPr>
        <w:t>do</w:t>
      </w:r>
      <w:r>
        <w:rPr>
          <w:color w:val="231F20"/>
          <w:spacing w:val="2"/>
          <w:sz w:val="12"/>
        </w:rPr>
        <w:t xml:space="preserve"> </w:t>
      </w:r>
      <w:r>
        <w:rPr>
          <w:color w:val="231F20"/>
          <w:sz w:val="12"/>
        </w:rPr>
        <w:t>280</w:t>
      </w:r>
    </w:p>
    <w:p w14:paraId="380FFDC5" w14:textId="77777777" w:rsidR="00F65BCA" w:rsidRDefault="00F65BCA">
      <w:pPr>
        <w:pStyle w:val="Zkladntext"/>
        <w:rPr>
          <w:sz w:val="14"/>
        </w:rPr>
      </w:pPr>
    </w:p>
    <w:p w14:paraId="588733E0" w14:textId="77777777" w:rsidR="00F65BCA" w:rsidRDefault="00F65BCA">
      <w:pPr>
        <w:pStyle w:val="Zkladntext"/>
        <w:rPr>
          <w:sz w:val="14"/>
        </w:rPr>
      </w:pPr>
    </w:p>
    <w:p w14:paraId="55DDF2E3" w14:textId="77777777" w:rsidR="00F65BCA" w:rsidRDefault="00F65BCA">
      <w:pPr>
        <w:pStyle w:val="Zkladntext"/>
        <w:spacing w:before="10"/>
        <w:rPr>
          <w:sz w:val="13"/>
        </w:rPr>
      </w:pPr>
    </w:p>
    <w:p w14:paraId="3EBBD87D" w14:textId="77777777" w:rsidR="00F65BCA" w:rsidRDefault="00216117">
      <w:pPr>
        <w:ind w:right="111"/>
        <w:jc w:val="center"/>
        <w:rPr>
          <w:sz w:val="12"/>
        </w:rPr>
      </w:pPr>
      <w:r>
        <w:rPr>
          <w:color w:val="231F20"/>
          <w:w w:val="99"/>
          <w:sz w:val="12"/>
        </w:rPr>
        <w:t>0</w:t>
      </w:r>
    </w:p>
    <w:p w14:paraId="476D0E13" w14:textId="77777777" w:rsidR="00F65BCA" w:rsidRDefault="00216117">
      <w:pPr>
        <w:spacing w:before="94"/>
        <w:ind w:left="165" w:right="276"/>
        <w:jc w:val="center"/>
        <w:rPr>
          <w:sz w:val="12"/>
        </w:rPr>
      </w:pPr>
      <w:r>
        <w:rPr>
          <w:color w:val="231F20"/>
          <w:sz w:val="12"/>
        </w:rPr>
        <w:t>do</w:t>
      </w:r>
      <w:r>
        <w:rPr>
          <w:color w:val="231F20"/>
          <w:spacing w:val="2"/>
          <w:sz w:val="12"/>
        </w:rPr>
        <w:t xml:space="preserve"> </w:t>
      </w:r>
      <w:r>
        <w:rPr>
          <w:color w:val="231F20"/>
          <w:sz w:val="12"/>
        </w:rPr>
        <w:t>28</w:t>
      </w:r>
    </w:p>
    <w:p w14:paraId="3DC1C080" w14:textId="77777777" w:rsidR="00F65BCA" w:rsidRDefault="00216117">
      <w:pPr>
        <w:spacing w:before="100"/>
        <w:ind w:left="165" w:right="276"/>
        <w:jc w:val="center"/>
        <w:rPr>
          <w:sz w:val="12"/>
        </w:rPr>
      </w:pPr>
      <w:r>
        <w:rPr>
          <w:color w:val="231F20"/>
          <w:sz w:val="12"/>
        </w:rPr>
        <w:t>do</w:t>
      </w:r>
      <w:r>
        <w:rPr>
          <w:color w:val="231F20"/>
          <w:spacing w:val="2"/>
          <w:sz w:val="12"/>
        </w:rPr>
        <w:t xml:space="preserve"> </w:t>
      </w:r>
      <w:r>
        <w:rPr>
          <w:color w:val="231F20"/>
          <w:sz w:val="12"/>
        </w:rPr>
        <w:t>35</w:t>
      </w:r>
    </w:p>
    <w:p w14:paraId="4D02C0EC" w14:textId="77777777" w:rsidR="00F65BCA" w:rsidRDefault="00F65BCA">
      <w:pPr>
        <w:pStyle w:val="Zkladntext"/>
        <w:spacing w:before="7"/>
        <w:rPr>
          <w:sz w:val="14"/>
        </w:rPr>
      </w:pPr>
    </w:p>
    <w:p w14:paraId="7DAFF014" w14:textId="77777777" w:rsidR="00F65BCA" w:rsidRDefault="00216117">
      <w:pPr>
        <w:ind w:left="165" w:right="276"/>
        <w:jc w:val="center"/>
        <w:rPr>
          <w:sz w:val="12"/>
        </w:rPr>
      </w:pPr>
      <w:r>
        <w:rPr>
          <w:color w:val="231F20"/>
          <w:sz w:val="12"/>
        </w:rPr>
        <w:t>do</w:t>
      </w:r>
      <w:r>
        <w:rPr>
          <w:color w:val="231F20"/>
          <w:spacing w:val="2"/>
          <w:sz w:val="12"/>
        </w:rPr>
        <w:t xml:space="preserve"> </w:t>
      </w:r>
      <w:r>
        <w:rPr>
          <w:color w:val="231F20"/>
          <w:sz w:val="12"/>
        </w:rPr>
        <w:t>35</w:t>
      </w:r>
    </w:p>
    <w:p w14:paraId="619A2101" w14:textId="77777777" w:rsidR="00F65BCA" w:rsidRDefault="00F65BCA">
      <w:pPr>
        <w:pStyle w:val="Zkladntext"/>
        <w:rPr>
          <w:sz w:val="14"/>
        </w:rPr>
      </w:pPr>
    </w:p>
    <w:p w14:paraId="70F1195F" w14:textId="77777777" w:rsidR="00F65BCA" w:rsidRDefault="00F65BCA">
      <w:pPr>
        <w:pStyle w:val="Zkladntext"/>
        <w:rPr>
          <w:sz w:val="14"/>
        </w:rPr>
      </w:pPr>
    </w:p>
    <w:p w14:paraId="6C6754EF" w14:textId="77777777" w:rsidR="00F65BCA" w:rsidRDefault="00216117">
      <w:pPr>
        <w:spacing w:before="85"/>
        <w:ind w:right="111"/>
        <w:jc w:val="center"/>
        <w:rPr>
          <w:sz w:val="12"/>
        </w:rPr>
      </w:pPr>
      <w:r>
        <w:rPr>
          <w:color w:val="231F20"/>
          <w:w w:val="99"/>
          <w:sz w:val="12"/>
        </w:rPr>
        <w:t>0</w:t>
      </w:r>
    </w:p>
    <w:p w14:paraId="533245BE" w14:textId="77777777" w:rsidR="00F65BCA" w:rsidRDefault="00F65BCA">
      <w:pPr>
        <w:pStyle w:val="Zkladntext"/>
        <w:rPr>
          <w:sz w:val="18"/>
        </w:rPr>
      </w:pPr>
    </w:p>
    <w:p w14:paraId="4AAA59AC" w14:textId="77777777" w:rsidR="00F65BCA" w:rsidRDefault="00216117">
      <w:pPr>
        <w:spacing w:before="1"/>
        <w:ind w:left="182"/>
        <w:rPr>
          <w:sz w:val="12"/>
        </w:rPr>
      </w:pPr>
      <w:r>
        <w:rPr>
          <w:color w:val="231F20"/>
          <w:sz w:val="12"/>
        </w:rPr>
        <w:t>do</w:t>
      </w:r>
      <w:r>
        <w:rPr>
          <w:color w:val="231F20"/>
          <w:spacing w:val="2"/>
          <w:sz w:val="12"/>
        </w:rPr>
        <w:t xml:space="preserve"> </w:t>
      </w:r>
      <w:r>
        <w:rPr>
          <w:color w:val="231F20"/>
          <w:sz w:val="12"/>
        </w:rPr>
        <w:t>21</w:t>
      </w:r>
    </w:p>
    <w:p w14:paraId="043EF88D" w14:textId="77777777" w:rsidR="00F65BCA" w:rsidRDefault="00216117">
      <w:pPr>
        <w:spacing w:before="43"/>
        <w:ind w:left="182"/>
        <w:rPr>
          <w:sz w:val="12"/>
        </w:rPr>
      </w:pPr>
      <w:r>
        <w:rPr>
          <w:color w:val="231F20"/>
          <w:sz w:val="12"/>
        </w:rPr>
        <w:t>do</w:t>
      </w:r>
      <w:r>
        <w:rPr>
          <w:color w:val="231F20"/>
          <w:spacing w:val="2"/>
          <w:sz w:val="12"/>
        </w:rPr>
        <w:t xml:space="preserve"> </w:t>
      </w:r>
      <w:r>
        <w:rPr>
          <w:color w:val="231F20"/>
          <w:sz w:val="12"/>
        </w:rPr>
        <w:t>49</w:t>
      </w:r>
    </w:p>
    <w:p w14:paraId="7ED1DD42" w14:textId="77777777" w:rsidR="00F65BCA" w:rsidRDefault="00216117">
      <w:pPr>
        <w:spacing w:before="43"/>
        <w:ind w:left="182"/>
        <w:rPr>
          <w:sz w:val="12"/>
        </w:rPr>
      </w:pPr>
      <w:r>
        <w:rPr>
          <w:color w:val="231F20"/>
          <w:sz w:val="12"/>
        </w:rPr>
        <w:t>do</w:t>
      </w:r>
      <w:r>
        <w:rPr>
          <w:color w:val="231F20"/>
          <w:spacing w:val="2"/>
          <w:sz w:val="12"/>
        </w:rPr>
        <w:t xml:space="preserve"> </w:t>
      </w:r>
      <w:r>
        <w:rPr>
          <w:color w:val="231F20"/>
          <w:sz w:val="12"/>
        </w:rPr>
        <w:t>70</w:t>
      </w:r>
    </w:p>
    <w:p w14:paraId="54223B57" w14:textId="77777777" w:rsidR="00F65BCA" w:rsidRDefault="00216117">
      <w:pPr>
        <w:spacing w:before="44"/>
        <w:ind w:left="182"/>
        <w:rPr>
          <w:sz w:val="12"/>
        </w:rPr>
      </w:pPr>
      <w:r>
        <w:rPr>
          <w:color w:val="231F20"/>
          <w:sz w:val="12"/>
        </w:rPr>
        <w:t>do</w:t>
      </w:r>
      <w:r>
        <w:rPr>
          <w:color w:val="231F20"/>
          <w:spacing w:val="2"/>
          <w:sz w:val="12"/>
        </w:rPr>
        <w:t xml:space="preserve"> </w:t>
      </w:r>
      <w:r>
        <w:rPr>
          <w:color w:val="231F20"/>
          <w:sz w:val="12"/>
        </w:rPr>
        <w:t>84</w:t>
      </w:r>
    </w:p>
    <w:p w14:paraId="404B56F1" w14:textId="77777777" w:rsidR="00F65BCA" w:rsidRDefault="00216117">
      <w:pPr>
        <w:spacing w:before="43"/>
        <w:ind w:left="148"/>
        <w:rPr>
          <w:sz w:val="12"/>
        </w:rPr>
      </w:pPr>
      <w:r>
        <w:rPr>
          <w:color w:val="231F20"/>
          <w:sz w:val="12"/>
        </w:rPr>
        <w:t>do</w:t>
      </w:r>
      <w:r>
        <w:rPr>
          <w:color w:val="231F20"/>
          <w:spacing w:val="2"/>
          <w:sz w:val="12"/>
        </w:rPr>
        <w:t xml:space="preserve"> </w:t>
      </w:r>
      <w:r>
        <w:rPr>
          <w:color w:val="231F20"/>
          <w:sz w:val="12"/>
        </w:rPr>
        <w:t>126</w:t>
      </w:r>
    </w:p>
    <w:p w14:paraId="25532954" w14:textId="77777777" w:rsidR="00F65BCA" w:rsidRDefault="00216117">
      <w:pPr>
        <w:spacing w:before="44"/>
        <w:ind w:left="148"/>
        <w:rPr>
          <w:sz w:val="12"/>
        </w:rPr>
      </w:pPr>
      <w:r>
        <w:rPr>
          <w:color w:val="231F20"/>
          <w:sz w:val="12"/>
        </w:rPr>
        <w:t>do</w:t>
      </w:r>
      <w:r>
        <w:rPr>
          <w:color w:val="231F20"/>
          <w:spacing w:val="2"/>
          <w:sz w:val="12"/>
        </w:rPr>
        <w:t xml:space="preserve"> </w:t>
      </w:r>
      <w:r>
        <w:rPr>
          <w:color w:val="231F20"/>
          <w:sz w:val="12"/>
        </w:rPr>
        <w:t>182</w:t>
      </w:r>
    </w:p>
    <w:p w14:paraId="026543D3" w14:textId="77777777" w:rsidR="00F65BCA" w:rsidRDefault="00216117">
      <w:pPr>
        <w:spacing w:before="43"/>
        <w:ind w:left="148"/>
        <w:rPr>
          <w:sz w:val="12"/>
        </w:rPr>
      </w:pPr>
      <w:r>
        <w:rPr>
          <w:color w:val="231F20"/>
          <w:sz w:val="12"/>
        </w:rPr>
        <w:t>do</w:t>
      </w:r>
      <w:r>
        <w:rPr>
          <w:color w:val="231F20"/>
          <w:spacing w:val="2"/>
          <w:sz w:val="12"/>
        </w:rPr>
        <w:t xml:space="preserve"> </w:t>
      </w:r>
      <w:r>
        <w:rPr>
          <w:color w:val="231F20"/>
          <w:sz w:val="12"/>
        </w:rPr>
        <w:t>365</w:t>
      </w:r>
    </w:p>
    <w:p w14:paraId="01E7B3FF" w14:textId="77777777" w:rsidR="00F65BCA" w:rsidRDefault="00F65BCA">
      <w:pPr>
        <w:pStyle w:val="Zkladntext"/>
        <w:rPr>
          <w:sz w:val="14"/>
        </w:rPr>
      </w:pPr>
    </w:p>
    <w:p w14:paraId="30F0F5E9" w14:textId="77777777" w:rsidR="00F65BCA" w:rsidRDefault="00F65BCA">
      <w:pPr>
        <w:pStyle w:val="Zkladntext"/>
        <w:spacing w:before="10"/>
        <w:rPr>
          <w:sz w:val="16"/>
        </w:rPr>
      </w:pPr>
    </w:p>
    <w:p w14:paraId="2716C5EE" w14:textId="77777777" w:rsidR="00F65BCA" w:rsidRDefault="00216117">
      <w:pPr>
        <w:ind w:left="182"/>
        <w:rPr>
          <w:sz w:val="12"/>
        </w:rPr>
      </w:pPr>
      <w:r>
        <w:rPr>
          <w:color w:val="231F20"/>
          <w:sz w:val="12"/>
        </w:rPr>
        <w:t>do</w:t>
      </w:r>
      <w:r>
        <w:rPr>
          <w:color w:val="231F20"/>
          <w:spacing w:val="2"/>
          <w:sz w:val="12"/>
        </w:rPr>
        <w:t xml:space="preserve"> </w:t>
      </w:r>
      <w:r>
        <w:rPr>
          <w:color w:val="231F20"/>
          <w:sz w:val="12"/>
        </w:rPr>
        <w:t>49</w:t>
      </w:r>
    </w:p>
    <w:p w14:paraId="2FB408F0" w14:textId="77777777" w:rsidR="00F65BCA" w:rsidRDefault="00216117">
      <w:pPr>
        <w:spacing w:before="44"/>
        <w:ind w:left="182"/>
        <w:rPr>
          <w:sz w:val="12"/>
        </w:rPr>
      </w:pPr>
      <w:r>
        <w:rPr>
          <w:color w:val="231F20"/>
          <w:sz w:val="12"/>
        </w:rPr>
        <w:t>do</w:t>
      </w:r>
      <w:r>
        <w:rPr>
          <w:color w:val="231F20"/>
          <w:spacing w:val="2"/>
          <w:sz w:val="12"/>
        </w:rPr>
        <w:t xml:space="preserve"> </w:t>
      </w:r>
      <w:r>
        <w:rPr>
          <w:color w:val="231F20"/>
          <w:sz w:val="12"/>
        </w:rPr>
        <w:t>98</w:t>
      </w:r>
    </w:p>
    <w:p w14:paraId="28C7B1FC" w14:textId="77777777" w:rsidR="00F65BCA" w:rsidRDefault="00216117">
      <w:pPr>
        <w:spacing w:before="43"/>
        <w:ind w:left="148"/>
        <w:rPr>
          <w:sz w:val="12"/>
        </w:rPr>
      </w:pPr>
      <w:r>
        <w:rPr>
          <w:color w:val="231F20"/>
          <w:sz w:val="12"/>
        </w:rPr>
        <w:t>do</w:t>
      </w:r>
      <w:r>
        <w:rPr>
          <w:color w:val="231F20"/>
          <w:spacing w:val="2"/>
          <w:sz w:val="12"/>
        </w:rPr>
        <w:t xml:space="preserve"> </w:t>
      </w:r>
      <w:r>
        <w:rPr>
          <w:color w:val="231F20"/>
          <w:sz w:val="12"/>
        </w:rPr>
        <w:t>154</w:t>
      </w:r>
    </w:p>
    <w:p w14:paraId="1003DF60" w14:textId="77777777" w:rsidR="00F65BCA" w:rsidRDefault="00216117">
      <w:pPr>
        <w:spacing w:before="44"/>
        <w:ind w:left="148"/>
        <w:rPr>
          <w:sz w:val="12"/>
        </w:rPr>
      </w:pPr>
      <w:r>
        <w:rPr>
          <w:color w:val="231F20"/>
          <w:sz w:val="12"/>
        </w:rPr>
        <w:t>do</w:t>
      </w:r>
      <w:r>
        <w:rPr>
          <w:color w:val="231F20"/>
          <w:spacing w:val="2"/>
          <w:sz w:val="12"/>
        </w:rPr>
        <w:t xml:space="preserve"> </w:t>
      </w:r>
      <w:r>
        <w:rPr>
          <w:color w:val="231F20"/>
          <w:sz w:val="12"/>
        </w:rPr>
        <w:t>182</w:t>
      </w:r>
    </w:p>
    <w:p w14:paraId="7F9D1CA5" w14:textId="77777777" w:rsidR="00F65BCA" w:rsidRDefault="00216117">
      <w:pPr>
        <w:spacing w:before="43"/>
        <w:ind w:left="148"/>
        <w:rPr>
          <w:sz w:val="12"/>
        </w:rPr>
      </w:pPr>
      <w:r>
        <w:rPr>
          <w:color w:val="231F20"/>
          <w:sz w:val="12"/>
        </w:rPr>
        <w:t>do</w:t>
      </w:r>
      <w:r>
        <w:rPr>
          <w:color w:val="231F20"/>
          <w:spacing w:val="2"/>
          <w:sz w:val="12"/>
        </w:rPr>
        <w:t xml:space="preserve"> </w:t>
      </w:r>
      <w:r>
        <w:rPr>
          <w:color w:val="231F20"/>
          <w:sz w:val="12"/>
        </w:rPr>
        <w:t>365</w:t>
      </w:r>
    </w:p>
    <w:p w14:paraId="4960DDAD" w14:textId="77777777" w:rsidR="00F65BCA" w:rsidRDefault="00216117">
      <w:pPr>
        <w:spacing w:before="109"/>
        <w:ind w:left="165" w:right="276"/>
        <w:jc w:val="center"/>
        <w:rPr>
          <w:sz w:val="12"/>
        </w:rPr>
      </w:pPr>
      <w:r>
        <w:rPr>
          <w:color w:val="231F20"/>
          <w:sz w:val="12"/>
        </w:rPr>
        <w:t>do</w:t>
      </w:r>
      <w:r>
        <w:rPr>
          <w:color w:val="231F20"/>
          <w:spacing w:val="2"/>
          <w:sz w:val="12"/>
        </w:rPr>
        <w:t xml:space="preserve"> </w:t>
      </w:r>
      <w:r>
        <w:rPr>
          <w:color w:val="231F20"/>
          <w:sz w:val="12"/>
        </w:rPr>
        <w:t>35</w:t>
      </w:r>
    </w:p>
    <w:p w14:paraId="242519E1" w14:textId="77777777" w:rsidR="00F65BCA" w:rsidRDefault="00216117">
      <w:pPr>
        <w:spacing w:before="108"/>
        <w:ind w:left="165" w:right="276"/>
        <w:jc w:val="center"/>
        <w:rPr>
          <w:sz w:val="12"/>
        </w:rPr>
      </w:pPr>
      <w:r>
        <w:rPr>
          <w:color w:val="231F20"/>
          <w:sz w:val="12"/>
        </w:rPr>
        <w:t>do</w:t>
      </w:r>
      <w:r>
        <w:rPr>
          <w:color w:val="231F20"/>
          <w:spacing w:val="2"/>
          <w:sz w:val="12"/>
        </w:rPr>
        <w:t xml:space="preserve"> </w:t>
      </w:r>
      <w:r>
        <w:rPr>
          <w:color w:val="231F20"/>
          <w:sz w:val="12"/>
        </w:rPr>
        <w:t>21</w:t>
      </w:r>
    </w:p>
    <w:p w14:paraId="3E5E9305" w14:textId="77777777" w:rsidR="00F65BCA" w:rsidRDefault="00216117">
      <w:pPr>
        <w:spacing w:before="44"/>
        <w:ind w:right="111"/>
        <w:jc w:val="center"/>
        <w:rPr>
          <w:sz w:val="12"/>
        </w:rPr>
      </w:pPr>
      <w:r>
        <w:rPr>
          <w:color w:val="231F20"/>
          <w:w w:val="99"/>
          <w:sz w:val="12"/>
        </w:rPr>
        <w:t>0</w:t>
      </w:r>
    </w:p>
    <w:p w14:paraId="4D3B0F31" w14:textId="77777777" w:rsidR="00F65BCA" w:rsidRDefault="00216117">
      <w:pPr>
        <w:spacing w:before="35"/>
        <w:ind w:left="165" w:right="276"/>
        <w:jc w:val="center"/>
        <w:rPr>
          <w:sz w:val="12"/>
        </w:rPr>
      </w:pPr>
      <w:r>
        <w:rPr>
          <w:color w:val="231F20"/>
          <w:sz w:val="12"/>
        </w:rPr>
        <w:t>do</w:t>
      </w:r>
      <w:r>
        <w:rPr>
          <w:color w:val="231F20"/>
          <w:spacing w:val="2"/>
          <w:sz w:val="12"/>
        </w:rPr>
        <w:t xml:space="preserve"> </w:t>
      </w:r>
      <w:r>
        <w:rPr>
          <w:color w:val="231F20"/>
          <w:sz w:val="12"/>
        </w:rPr>
        <w:t>70</w:t>
      </w:r>
    </w:p>
    <w:p w14:paraId="6DC2A59D" w14:textId="77777777" w:rsidR="00F65BCA" w:rsidRDefault="00F65BCA">
      <w:pPr>
        <w:jc w:val="center"/>
        <w:rPr>
          <w:sz w:val="12"/>
        </w:rPr>
        <w:sectPr w:rsidR="00F65BCA">
          <w:type w:val="continuous"/>
          <w:pgSz w:w="11910" w:h="16840"/>
          <w:pgMar w:top="840" w:right="140" w:bottom="280" w:left="140" w:header="708" w:footer="708" w:gutter="0"/>
          <w:cols w:num="6" w:space="708" w:equalWidth="0">
            <w:col w:w="3139" w:space="40"/>
            <w:col w:w="564" w:space="76"/>
            <w:col w:w="3109" w:space="41"/>
            <w:col w:w="593" w:space="99"/>
            <w:col w:w="3145" w:space="40"/>
            <w:col w:w="784"/>
          </w:cols>
        </w:sectPr>
      </w:pPr>
    </w:p>
    <w:p w14:paraId="5F585791" w14:textId="77777777" w:rsidR="00F65BCA" w:rsidRDefault="00216117">
      <w:pPr>
        <w:tabs>
          <w:tab w:val="left" w:pos="3016"/>
          <w:tab w:val="left" w:pos="11481"/>
        </w:tabs>
        <w:spacing w:before="85"/>
        <w:ind w:left="143"/>
        <w:rPr>
          <w:sz w:val="24"/>
        </w:rPr>
      </w:pPr>
      <w:r>
        <w:rPr>
          <w:color w:val="231F20"/>
          <w:sz w:val="24"/>
          <w:shd w:val="clear" w:color="auto" w:fill="DCDDDE"/>
        </w:rPr>
        <w:lastRenderedPageBreak/>
        <w:t xml:space="preserve"> </w:t>
      </w:r>
      <w:r>
        <w:rPr>
          <w:color w:val="231F20"/>
          <w:sz w:val="24"/>
          <w:shd w:val="clear" w:color="auto" w:fill="DCDDDE"/>
        </w:rPr>
        <w:tab/>
        <w:t>Oceňovací tabulka B Plnění za trvalé následky</w:t>
      </w:r>
      <w:r>
        <w:rPr>
          <w:color w:val="231F20"/>
          <w:spacing w:val="-26"/>
          <w:sz w:val="24"/>
          <w:shd w:val="clear" w:color="auto" w:fill="DCDDDE"/>
        </w:rPr>
        <w:t xml:space="preserve"> </w:t>
      </w:r>
      <w:r>
        <w:rPr>
          <w:color w:val="231F20"/>
          <w:sz w:val="24"/>
          <w:shd w:val="clear" w:color="auto" w:fill="DCDDDE"/>
        </w:rPr>
        <w:t>úrazu</w:t>
      </w:r>
      <w:r>
        <w:rPr>
          <w:color w:val="231F20"/>
          <w:sz w:val="24"/>
          <w:shd w:val="clear" w:color="auto" w:fill="DCDDDE"/>
        </w:rPr>
        <w:tab/>
      </w:r>
    </w:p>
    <w:p w14:paraId="5B24464B" w14:textId="77777777" w:rsidR="00F65BCA" w:rsidRDefault="00F65BCA">
      <w:pPr>
        <w:pStyle w:val="Zkladntext"/>
        <w:spacing w:before="2"/>
        <w:rPr>
          <w:sz w:val="13"/>
        </w:rPr>
      </w:pPr>
    </w:p>
    <w:p w14:paraId="19A98550" w14:textId="77777777" w:rsidR="00F65BCA" w:rsidRDefault="00F65BCA">
      <w:pPr>
        <w:rPr>
          <w:sz w:val="13"/>
        </w:rPr>
        <w:sectPr w:rsidR="00F65BCA">
          <w:pgSz w:w="11910" w:h="16840"/>
          <w:pgMar w:top="220" w:right="140" w:bottom="0" w:left="140" w:header="708" w:footer="708" w:gutter="0"/>
          <w:cols w:space="708"/>
        </w:sectPr>
      </w:pPr>
    </w:p>
    <w:p w14:paraId="176C0E47" w14:textId="77777777" w:rsidR="00F65BCA" w:rsidRDefault="00216117">
      <w:pPr>
        <w:tabs>
          <w:tab w:val="left" w:pos="1338"/>
          <w:tab w:val="left" w:pos="3282"/>
        </w:tabs>
        <w:spacing w:before="106"/>
        <w:ind w:left="179"/>
        <w:rPr>
          <w:b/>
          <w:sz w:val="12"/>
        </w:rPr>
      </w:pP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TN</w:t>
      </w:r>
    </w:p>
    <w:p w14:paraId="276C86D2" w14:textId="77777777" w:rsidR="00F65BCA" w:rsidRDefault="00216117">
      <w:pPr>
        <w:spacing w:before="65"/>
        <w:ind w:left="1452" w:right="1715"/>
        <w:jc w:val="center"/>
        <w:rPr>
          <w:b/>
          <w:sz w:val="14"/>
        </w:rPr>
      </w:pPr>
      <w:r>
        <w:rPr>
          <w:b/>
          <w:color w:val="231F20"/>
          <w:sz w:val="14"/>
        </w:rPr>
        <w:t>HLAVA</w:t>
      </w:r>
    </w:p>
    <w:p w14:paraId="097CF5A4" w14:textId="77777777" w:rsidR="00F65BCA" w:rsidRDefault="00216117">
      <w:pPr>
        <w:spacing w:before="58"/>
        <w:ind w:left="455"/>
        <w:rPr>
          <w:b/>
          <w:sz w:val="12"/>
        </w:rPr>
      </w:pPr>
      <w:r>
        <w:rPr>
          <w:b/>
          <w:color w:val="231F20"/>
          <w:sz w:val="12"/>
        </w:rPr>
        <w:t>Úplný defekt v klenbě lební v rozsahu</w:t>
      </w:r>
    </w:p>
    <w:p w14:paraId="19E855C5" w14:textId="77777777" w:rsidR="00F65BCA" w:rsidRDefault="00216117">
      <w:pPr>
        <w:tabs>
          <w:tab w:val="left" w:pos="3461"/>
        </w:tabs>
        <w:spacing w:before="40" w:line="107" w:lineRule="exact"/>
        <w:ind w:left="183"/>
        <w:rPr>
          <w:sz w:val="12"/>
        </w:rPr>
      </w:pPr>
      <w:r>
        <w:rPr>
          <w:b/>
          <w:color w:val="231F20"/>
          <w:sz w:val="12"/>
        </w:rPr>
        <w:t xml:space="preserve">001  </w:t>
      </w:r>
      <w:r>
        <w:rPr>
          <w:color w:val="231F20"/>
          <w:sz w:val="12"/>
        </w:rPr>
        <w:t>do</w:t>
      </w:r>
      <w:r>
        <w:rPr>
          <w:color w:val="231F20"/>
          <w:spacing w:val="6"/>
          <w:sz w:val="12"/>
        </w:rPr>
        <w:t xml:space="preserve"> </w:t>
      </w:r>
      <w:r>
        <w:rPr>
          <w:color w:val="231F20"/>
          <w:sz w:val="12"/>
        </w:rPr>
        <w:t>10 cm</w:t>
      </w:r>
      <w:r>
        <w:rPr>
          <w:color w:val="231F20"/>
          <w:position w:val="4"/>
          <w:sz w:val="7"/>
        </w:rPr>
        <w:t>2</w:t>
      </w:r>
      <w:r>
        <w:rPr>
          <w:color w:val="231F20"/>
          <w:position w:val="4"/>
          <w:sz w:val="7"/>
        </w:rPr>
        <w:tab/>
      </w:r>
      <w:r>
        <w:rPr>
          <w:color w:val="231F20"/>
          <w:sz w:val="12"/>
        </w:rPr>
        <w:t>4</w:t>
      </w:r>
      <w:r>
        <w:rPr>
          <w:color w:val="231F20"/>
          <w:spacing w:val="-19"/>
          <w:sz w:val="12"/>
        </w:rPr>
        <w:t xml:space="preserve"> </w:t>
      </w:r>
      <w:r>
        <w:rPr>
          <w:color w:val="231F20"/>
          <w:sz w:val="12"/>
        </w:rPr>
        <w:t>%</w:t>
      </w:r>
    </w:p>
    <w:p w14:paraId="012F1B18" w14:textId="77777777" w:rsidR="00F65BCA" w:rsidRDefault="00216117">
      <w:pPr>
        <w:tabs>
          <w:tab w:val="left" w:pos="1338"/>
          <w:tab w:val="left" w:pos="3282"/>
        </w:tabs>
        <w:spacing w:before="106"/>
        <w:ind w:left="179"/>
        <w:rPr>
          <w:b/>
          <w:sz w:val="12"/>
        </w:rPr>
      </w:pPr>
      <w:r>
        <w:br w:type="column"/>
      </w: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TN</w:t>
      </w:r>
    </w:p>
    <w:p w14:paraId="072F27DC" w14:textId="77777777" w:rsidR="00F65BCA" w:rsidRDefault="00F65BCA">
      <w:pPr>
        <w:pStyle w:val="Zkladntext"/>
        <w:spacing w:before="1"/>
        <w:rPr>
          <w:b/>
          <w:sz w:val="17"/>
        </w:rPr>
      </w:pPr>
    </w:p>
    <w:p w14:paraId="3718E8FB" w14:textId="77777777" w:rsidR="00F65BCA" w:rsidRDefault="00216117">
      <w:pPr>
        <w:spacing w:before="1" w:line="111" w:lineRule="exact"/>
        <w:ind w:left="183"/>
        <w:rPr>
          <w:sz w:val="12"/>
        </w:rPr>
      </w:pPr>
      <w:r>
        <w:rPr>
          <w:b/>
          <w:color w:val="231F20"/>
          <w:sz w:val="12"/>
        </w:rPr>
        <w:t xml:space="preserve">041 </w:t>
      </w:r>
      <w:r>
        <w:rPr>
          <w:color w:val="231F20"/>
          <w:sz w:val="12"/>
        </w:rPr>
        <w:t>Trvalá perforace bubínku bez zjevné sekundární</w:t>
      </w:r>
    </w:p>
    <w:p w14:paraId="51AEC428" w14:textId="77777777" w:rsidR="00F65BCA" w:rsidRDefault="00216117">
      <w:pPr>
        <w:tabs>
          <w:tab w:val="left" w:pos="3461"/>
        </w:tabs>
        <w:spacing w:line="171" w:lineRule="exact"/>
        <w:ind w:left="455"/>
        <w:rPr>
          <w:sz w:val="12"/>
        </w:rPr>
      </w:pPr>
      <w:r>
        <w:rPr>
          <w:color w:val="231F20"/>
          <w:sz w:val="12"/>
        </w:rPr>
        <w:t>infekce</w:t>
      </w:r>
      <w:r>
        <w:rPr>
          <w:color w:val="231F20"/>
          <w:sz w:val="12"/>
        </w:rPr>
        <w:tab/>
      </w:r>
      <w:r>
        <w:rPr>
          <w:color w:val="231F20"/>
          <w:position w:val="6"/>
          <w:sz w:val="12"/>
        </w:rPr>
        <w:t>3</w:t>
      </w:r>
      <w:r>
        <w:rPr>
          <w:color w:val="231F20"/>
          <w:spacing w:val="-19"/>
          <w:position w:val="6"/>
          <w:sz w:val="12"/>
        </w:rPr>
        <w:t xml:space="preserve"> </w:t>
      </w:r>
      <w:r>
        <w:rPr>
          <w:color w:val="231F20"/>
          <w:position w:val="6"/>
          <w:sz w:val="12"/>
        </w:rPr>
        <w:t>%</w:t>
      </w:r>
    </w:p>
    <w:p w14:paraId="38A801F5" w14:textId="77777777" w:rsidR="00F65BCA" w:rsidRDefault="00216117">
      <w:pPr>
        <w:spacing w:before="46" w:line="44" w:lineRule="exact"/>
        <w:ind w:left="455"/>
        <w:rPr>
          <w:b/>
          <w:sz w:val="12"/>
        </w:rPr>
      </w:pPr>
      <w:r>
        <w:rPr>
          <w:color w:val="231F20"/>
          <w:sz w:val="12"/>
        </w:rPr>
        <w:t xml:space="preserve">Ztráta </w:t>
      </w:r>
      <w:r>
        <w:rPr>
          <w:b/>
          <w:color w:val="231F20"/>
          <w:sz w:val="12"/>
        </w:rPr>
        <w:t>sluchu</w:t>
      </w:r>
    </w:p>
    <w:p w14:paraId="205FDC2A" w14:textId="77777777" w:rsidR="00F65BCA" w:rsidRDefault="00216117">
      <w:pPr>
        <w:tabs>
          <w:tab w:val="left" w:pos="1338"/>
          <w:tab w:val="left" w:pos="3282"/>
        </w:tabs>
        <w:spacing w:before="106"/>
        <w:ind w:left="179"/>
        <w:rPr>
          <w:b/>
          <w:sz w:val="12"/>
        </w:rPr>
      </w:pPr>
      <w:r>
        <w:br w:type="column"/>
      </w: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TN</w:t>
      </w:r>
    </w:p>
    <w:p w14:paraId="188DE7AA" w14:textId="77777777" w:rsidR="00F65BCA" w:rsidRDefault="00F65BCA">
      <w:pPr>
        <w:pStyle w:val="Zkladntext"/>
        <w:spacing w:before="4"/>
        <w:rPr>
          <w:b/>
          <w:sz w:val="18"/>
        </w:rPr>
      </w:pPr>
    </w:p>
    <w:p w14:paraId="16FD2546" w14:textId="77777777" w:rsidR="00F65BCA" w:rsidRDefault="00216117">
      <w:pPr>
        <w:pStyle w:val="Odstavecseseznamem"/>
        <w:numPr>
          <w:ilvl w:val="0"/>
          <w:numId w:val="46"/>
        </w:numPr>
        <w:tabs>
          <w:tab w:val="left" w:pos="456"/>
          <w:tab w:val="left" w:pos="3394"/>
        </w:tabs>
        <w:ind w:hanging="273"/>
        <w:rPr>
          <w:sz w:val="12"/>
        </w:rPr>
      </w:pPr>
      <w:r>
        <w:rPr>
          <w:color w:val="231F20"/>
          <w:sz w:val="12"/>
        </w:rPr>
        <w:t>při</w:t>
      </w:r>
      <w:r>
        <w:rPr>
          <w:color w:val="231F20"/>
          <w:spacing w:val="-12"/>
          <w:sz w:val="12"/>
        </w:rPr>
        <w:t xml:space="preserve"> </w:t>
      </w:r>
      <w:r>
        <w:rPr>
          <w:color w:val="231F20"/>
          <w:sz w:val="12"/>
        </w:rPr>
        <w:t>zachované</w:t>
      </w:r>
      <w:r>
        <w:rPr>
          <w:color w:val="231F20"/>
          <w:spacing w:val="-11"/>
          <w:sz w:val="12"/>
        </w:rPr>
        <w:t xml:space="preserve"> </w:t>
      </w:r>
      <w:r>
        <w:rPr>
          <w:color w:val="231F20"/>
          <w:sz w:val="12"/>
        </w:rPr>
        <w:t>funkci</w:t>
      </w:r>
      <w:r>
        <w:rPr>
          <w:color w:val="231F20"/>
          <w:spacing w:val="-12"/>
          <w:sz w:val="12"/>
        </w:rPr>
        <w:t xml:space="preserve"> </w:t>
      </w:r>
      <w:r>
        <w:rPr>
          <w:color w:val="231F20"/>
          <w:sz w:val="12"/>
        </w:rPr>
        <w:t>druhé</w:t>
      </w:r>
      <w:r>
        <w:rPr>
          <w:color w:val="231F20"/>
          <w:spacing w:val="-11"/>
          <w:sz w:val="12"/>
        </w:rPr>
        <w:t xml:space="preserve"> </w:t>
      </w:r>
      <w:r>
        <w:rPr>
          <w:color w:val="231F20"/>
          <w:sz w:val="12"/>
        </w:rPr>
        <w:t>ledviny</w:t>
      </w:r>
      <w:r>
        <w:rPr>
          <w:color w:val="231F20"/>
          <w:sz w:val="12"/>
        </w:rPr>
        <w:tab/>
        <w:t>25</w:t>
      </w:r>
      <w:r>
        <w:rPr>
          <w:color w:val="231F20"/>
          <w:spacing w:val="-19"/>
          <w:sz w:val="12"/>
        </w:rPr>
        <w:t xml:space="preserve"> </w:t>
      </w:r>
      <w:r>
        <w:rPr>
          <w:color w:val="231F20"/>
          <w:sz w:val="12"/>
        </w:rPr>
        <w:t>%</w:t>
      </w:r>
    </w:p>
    <w:p w14:paraId="088BB0F8" w14:textId="77777777" w:rsidR="00F65BCA" w:rsidRDefault="00216117">
      <w:pPr>
        <w:pStyle w:val="Odstavecseseznamem"/>
        <w:numPr>
          <w:ilvl w:val="0"/>
          <w:numId w:val="46"/>
        </w:numPr>
        <w:tabs>
          <w:tab w:val="left" w:pos="456"/>
          <w:tab w:val="left" w:pos="3394"/>
        </w:tabs>
        <w:spacing w:before="43"/>
        <w:ind w:hanging="273"/>
        <w:rPr>
          <w:sz w:val="12"/>
        </w:rPr>
      </w:pPr>
      <w:r>
        <w:rPr>
          <w:color w:val="231F20"/>
          <w:sz w:val="12"/>
        </w:rPr>
        <w:t>při</w:t>
      </w:r>
      <w:r>
        <w:rPr>
          <w:color w:val="231F20"/>
          <w:spacing w:val="-13"/>
          <w:sz w:val="12"/>
        </w:rPr>
        <w:t xml:space="preserve"> </w:t>
      </w:r>
      <w:r>
        <w:rPr>
          <w:color w:val="231F20"/>
          <w:sz w:val="12"/>
        </w:rPr>
        <w:t>snížené</w:t>
      </w:r>
      <w:r>
        <w:rPr>
          <w:color w:val="231F20"/>
          <w:spacing w:val="-13"/>
          <w:sz w:val="12"/>
        </w:rPr>
        <w:t xml:space="preserve"> </w:t>
      </w:r>
      <w:r>
        <w:rPr>
          <w:color w:val="231F20"/>
          <w:sz w:val="12"/>
        </w:rPr>
        <w:t>funkci</w:t>
      </w:r>
      <w:r>
        <w:rPr>
          <w:color w:val="231F20"/>
          <w:spacing w:val="-12"/>
          <w:sz w:val="12"/>
        </w:rPr>
        <w:t xml:space="preserve"> </w:t>
      </w:r>
      <w:r>
        <w:rPr>
          <w:color w:val="231F20"/>
          <w:sz w:val="12"/>
        </w:rPr>
        <w:t>druhé</w:t>
      </w:r>
      <w:r>
        <w:rPr>
          <w:color w:val="231F20"/>
          <w:spacing w:val="-13"/>
          <w:sz w:val="12"/>
        </w:rPr>
        <w:t xml:space="preserve"> </w:t>
      </w:r>
      <w:r>
        <w:rPr>
          <w:color w:val="231F20"/>
          <w:sz w:val="12"/>
        </w:rPr>
        <w:t>ledviny</w:t>
      </w:r>
      <w:r>
        <w:rPr>
          <w:color w:val="231F20"/>
          <w:sz w:val="12"/>
        </w:rPr>
        <w:tab/>
        <w:t>30</w:t>
      </w:r>
      <w:r>
        <w:rPr>
          <w:color w:val="231F20"/>
          <w:spacing w:val="-19"/>
          <w:sz w:val="12"/>
        </w:rPr>
        <w:t xml:space="preserve"> </w:t>
      </w:r>
      <w:r>
        <w:rPr>
          <w:color w:val="231F20"/>
          <w:sz w:val="12"/>
        </w:rPr>
        <w:t>%</w:t>
      </w:r>
    </w:p>
    <w:p w14:paraId="7210D8F5" w14:textId="77777777" w:rsidR="00F65BCA" w:rsidRDefault="00F65BCA">
      <w:pPr>
        <w:rPr>
          <w:sz w:val="12"/>
        </w:rPr>
        <w:sectPr w:rsidR="00F65BCA">
          <w:type w:val="continuous"/>
          <w:pgSz w:w="11910" w:h="16840"/>
          <w:pgMar w:top="840" w:right="140" w:bottom="280" w:left="140" w:header="708" w:footer="708" w:gutter="0"/>
          <w:cols w:num="3" w:space="708" w:equalWidth="0">
            <w:col w:w="3690" w:space="192"/>
            <w:col w:w="3690" w:space="164"/>
            <w:col w:w="3894"/>
          </w:cols>
        </w:sectPr>
      </w:pPr>
    </w:p>
    <w:p w14:paraId="0B60180F" w14:textId="77777777" w:rsidR="00F65BCA" w:rsidRDefault="00216117">
      <w:pPr>
        <w:pStyle w:val="Odstavecseseznamem"/>
        <w:numPr>
          <w:ilvl w:val="0"/>
          <w:numId w:val="45"/>
        </w:numPr>
        <w:tabs>
          <w:tab w:val="left" w:pos="456"/>
        </w:tabs>
        <w:spacing w:before="63"/>
        <w:ind w:hanging="273"/>
        <w:rPr>
          <w:sz w:val="7"/>
        </w:rPr>
      </w:pPr>
      <w:r>
        <w:rPr>
          <w:color w:val="231F20"/>
          <w:sz w:val="12"/>
        </w:rPr>
        <w:t>přes 10</w:t>
      </w:r>
      <w:r>
        <w:rPr>
          <w:color w:val="231F20"/>
          <w:spacing w:val="-1"/>
          <w:sz w:val="12"/>
        </w:rPr>
        <w:t xml:space="preserve"> </w:t>
      </w:r>
      <w:r>
        <w:rPr>
          <w:color w:val="231F20"/>
          <w:sz w:val="12"/>
        </w:rPr>
        <w:t>cm</w:t>
      </w:r>
      <w:r>
        <w:rPr>
          <w:color w:val="231F20"/>
          <w:position w:val="4"/>
          <w:sz w:val="7"/>
        </w:rPr>
        <w:t>2</w:t>
      </w:r>
    </w:p>
    <w:p w14:paraId="00879E0B" w14:textId="77777777" w:rsidR="00F65BCA" w:rsidRDefault="00216117">
      <w:pPr>
        <w:spacing w:before="34" w:line="242" w:lineRule="auto"/>
        <w:ind w:left="455" w:right="-5"/>
        <w:rPr>
          <w:sz w:val="12"/>
        </w:rPr>
      </w:pPr>
      <w:r>
        <w:rPr>
          <w:color w:val="231F20"/>
          <w:sz w:val="12"/>
        </w:rPr>
        <w:t>Mozkové</w:t>
      </w:r>
      <w:r>
        <w:rPr>
          <w:color w:val="231F20"/>
          <w:spacing w:val="-10"/>
          <w:sz w:val="12"/>
        </w:rPr>
        <w:t xml:space="preserve"> </w:t>
      </w:r>
      <w:r>
        <w:rPr>
          <w:color w:val="231F20"/>
          <w:sz w:val="12"/>
        </w:rPr>
        <w:t>poruchy</w:t>
      </w:r>
      <w:r>
        <w:rPr>
          <w:color w:val="231F20"/>
          <w:spacing w:val="-9"/>
          <w:sz w:val="12"/>
        </w:rPr>
        <w:t xml:space="preserve"> </w:t>
      </w:r>
      <w:r>
        <w:rPr>
          <w:color w:val="231F20"/>
          <w:sz w:val="12"/>
        </w:rPr>
        <w:t>a</w:t>
      </w:r>
      <w:r>
        <w:rPr>
          <w:color w:val="231F20"/>
          <w:spacing w:val="-9"/>
          <w:sz w:val="12"/>
        </w:rPr>
        <w:t xml:space="preserve"> </w:t>
      </w:r>
      <w:r>
        <w:rPr>
          <w:color w:val="231F20"/>
          <w:sz w:val="12"/>
        </w:rPr>
        <w:t>duševní</w:t>
      </w:r>
      <w:r>
        <w:rPr>
          <w:color w:val="231F20"/>
          <w:spacing w:val="-9"/>
          <w:sz w:val="12"/>
        </w:rPr>
        <w:t xml:space="preserve"> </w:t>
      </w:r>
      <w:r>
        <w:rPr>
          <w:color w:val="231F20"/>
          <w:sz w:val="12"/>
        </w:rPr>
        <w:t>poruchy</w:t>
      </w:r>
      <w:r>
        <w:rPr>
          <w:color w:val="231F20"/>
          <w:spacing w:val="-9"/>
          <w:sz w:val="12"/>
        </w:rPr>
        <w:t xml:space="preserve"> </w:t>
      </w:r>
      <w:r>
        <w:rPr>
          <w:color w:val="231F20"/>
          <w:sz w:val="12"/>
        </w:rPr>
        <w:t>po</w:t>
      </w:r>
      <w:r>
        <w:rPr>
          <w:color w:val="231F20"/>
          <w:spacing w:val="-10"/>
          <w:sz w:val="12"/>
        </w:rPr>
        <w:t xml:space="preserve"> </w:t>
      </w:r>
      <w:r>
        <w:rPr>
          <w:color w:val="231F20"/>
          <w:spacing w:val="-4"/>
          <w:sz w:val="12"/>
        </w:rPr>
        <w:t xml:space="preserve">těžkém </w:t>
      </w:r>
      <w:r>
        <w:rPr>
          <w:color w:val="231F20"/>
          <w:sz w:val="12"/>
        </w:rPr>
        <w:t>poranění hlavy s diagnostikovanou kontusí, případně těžkou komocí</w:t>
      </w:r>
      <w:r>
        <w:rPr>
          <w:color w:val="231F20"/>
          <w:spacing w:val="-5"/>
          <w:sz w:val="12"/>
        </w:rPr>
        <w:t xml:space="preserve"> </w:t>
      </w:r>
      <w:r>
        <w:rPr>
          <w:color w:val="231F20"/>
          <w:sz w:val="12"/>
        </w:rPr>
        <w:t>mozku</w:t>
      </w:r>
    </w:p>
    <w:p w14:paraId="6DC6AE03" w14:textId="77777777" w:rsidR="00F65BCA" w:rsidRDefault="00216117">
      <w:pPr>
        <w:pStyle w:val="Odstavecseseznamem"/>
        <w:numPr>
          <w:ilvl w:val="0"/>
          <w:numId w:val="45"/>
        </w:numPr>
        <w:tabs>
          <w:tab w:val="left" w:pos="456"/>
        </w:tabs>
        <w:spacing w:before="34"/>
        <w:ind w:hanging="273"/>
        <w:rPr>
          <w:sz w:val="12"/>
        </w:rPr>
      </w:pPr>
      <w:r>
        <w:rPr>
          <w:color w:val="231F20"/>
          <w:w w:val="95"/>
          <w:sz w:val="12"/>
        </w:rPr>
        <w:t>lehkého</w:t>
      </w:r>
      <w:r>
        <w:rPr>
          <w:color w:val="231F20"/>
          <w:spacing w:val="15"/>
          <w:w w:val="95"/>
          <w:sz w:val="12"/>
        </w:rPr>
        <w:t xml:space="preserve"> </w:t>
      </w:r>
      <w:r>
        <w:rPr>
          <w:color w:val="231F20"/>
          <w:w w:val="95"/>
          <w:sz w:val="12"/>
        </w:rPr>
        <w:t>stupně</w:t>
      </w:r>
    </w:p>
    <w:p w14:paraId="7A0E94C2" w14:textId="77777777" w:rsidR="00F65BCA" w:rsidRDefault="00216117">
      <w:pPr>
        <w:pStyle w:val="Odstavecseseznamem"/>
        <w:numPr>
          <w:ilvl w:val="0"/>
          <w:numId w:val="45"/>
        </w:numPr>
        <w:tabs>
          <w:tab w:val="left" w:pos="456"/>
        </w:tabs>
        <w:spacing w:before="32"/>
        <w:ind w:hanging="273"/>
        <w:rPr>
          <w:sz w:val="12"/>
        </w:rPr>
      </w:pPr>
      <w:r>
        <w:rPr>
          <w:color w:val="231F20"/>
          <w:sz w:val="12"/>
        </w:rPr>
        <w:t>těžkého</w:t>
      </w:r>
      <w:r>
        <w:rPr>
          <w:color w:val="231F20"/>
          <w:spacing w:val="-21"/>
          <w:sz w:val="12"/>
        </w:rPr>
        <w:t xml:space="preserve"> </w:t>
      </w:r>
      <w:r>
        <w:rPr>
          <w:color w:val="231F20"/>
          <w:sz w:val="12"/>
        </w:rPr>
        <w:t>stupně</w:t>
      </w:r>
    </w:p>
    <w:p w14:paraId="1C6DE2F8" w14:textId="77777777" w:rsidR="00F65BCA" w:rsidRDefault="00216117">
      <w:pPr>
        <w:spacing w:before="41"/>
        <w:ind w:left="455"/>
        <w:rPr>
          <w:b/>
          <w:sz w:val="12"/>
        </w:rPr>
      </w:pPr>
      <w:r>
        <w:rPr>
          <w:b/>
          <w:color w:val="231F20"/>
          <w:sz w:val="12"/>
        </w:rPr>
        <w:t>Porucha nervů podle stupně</w:t>
      </w:r>
    </w:p>
    <w:p w14:paraId="3EA90DC0" w14:textId="77777777" w:rsidR="00F65BCA" w:rsidRDefault="00216117">
      <w:pPr>
        <w:pStyle w:val="Odstavecseseznamem"/>
        <w:numPr>
          <w:ilvl w:val="0"/>
          <w:numId w:val="45"/>
        </w:numPr>
        <w:tabs>
          <w:tab w:val="left" w:pos="456"/>
        </w:tabs>
        <w:spacing w:before="45"/>
        <w:ind w:hanging="273"/>
        <w:rPr>
          <w:sz w:val="12"/>
        </w:rPr>
      </w:pPr>
      <w:r>
        <w:rPr>
          <w:color w:val="231F20"/>
          <w:position w:val="1"/>
          <w:sz w:val="12"/>
        </w:rPr>
        <w:t>lícního</w:t>
      </w:r>
    </w:p>
    <w:p w14:paraId="7681476D" w14:textId="77777777" w:rsidR="00F65BCA" w:rsidRDefault="00216117">
      <w:pPr>
        <w:pStyle w:val="Odstavecseseznamem"/>
        <w:numPr>
          <w:ilvl w:val="0"/>
          <w:numId w:val="45"/>
        </w:numPr>
        <w:tabs>
          <w:tab w:val="left" w:pos="456"/>
        </w:tabs>
        <w:spacing w:before="17"/>
        <w:ind w:hanging="273"/>
        <w:rPr>
          <w:sz w:val="12"/>
        </w:rPr>
      </w:pPr>
      <w:r>
        <w:rPr>
          <w:color w:val="231F20"/>
          <w:sz w:val="12"/>
        </w:rPr>
        <w:t>trojklanného</w:t>
      </w:r>
    </w:p>
    <w:p w14:paraId="589E2824" w14:textId="77777777" w:rsidR="00F65BCA" w:rsidRDefault="00216117">
      <w:pPr>
        <w:spacing w:before="34"/>
        <w:ind w:left="455"/>
        <w:rPr>
          <w:sz w:val="12"/>
        </w:rPr>
      </w:pPr>
      <w:r>
        <w:rPr>
          <w:color w:val="231F20"/>
          <w:sz w:val="12"/>
        </w:rPr>
        <w:t>Poškození obličeje provázené funkčními</w:t>
      </w:r>
    </w:p>
    <w:p w14:paraId="4676DD8C" w14:textId="77777777" w:rsidR="00F65BCA" w:rsidRDefault="00216117">
      <w:pPr>
        <w:pStyle w:val="Odstavecseseznamem"/>
        <w:numPr>
          <w:ilvl w:val="0"/>
          <w:numId w:val="45"/>
        </w:numPr>
        <w:tabs>
          <w:tab w:val="left" w:pos="456"/>
        </w:tabs>
        <w:spacing w:before="2" w:line="242" w:lineRule="auto"/>
        <w:ind w:right="104"/>
        <w:rPr>
          <w:sz w:val="12"/>
        </w:rPr>
      </w:pPr>
      <w:r>
        <w:rPr>
          <w:color w:val="231F20"/>
          <w:sz w:val="12"/>
        </w:rPr>
        <w:t>poruchami</w:t>
      </w:r>
      <w:r>
        <w:rPr>
          <w:color w:val="231F20"/>
          <w:spacing w:val="-11"/>
          <w:sz w:val="12"/>
        </w:rPr>
        <w:t xml:space="preserve"> </w:t>
      </w:r>
      <w:r>
        <w:rPr>
          <w:color w:val="231F20"/>
          <w:sz w:val="12"/>
        </w:rPr>
        <w:t>nebo</w:t>
      </w:r>
      <w:r>
        <w:rPr>
          <w:color w:val="231F20"/>
          <w:spacing w:val="-11"/>
          <w:sz w:val="12"/>
        </w:rPr>
        <w:t xml:space="preserve"> </w:t>
      </w:r>
      <w:r>
        <w:rPr>
          <w:color w:val="231F20"/>
          <w:sz w:val="12"/>
        </w:rPr>
        <w:t>poškození</w:t>
      </w:r>
      <w:r>
        <w:rPr>
          <w:color w:val="231F20"/>
          <w:spacing w:val="-11"/>
          <w:sz w:val="12"/>
        </w:rPr>
        <w:t xml:space="preserve"> </w:t>
      </w:r>
      <w:r>
        <w:rPr>
          <w:color w:val="231F20"/>
          <w:sz w:val="12"/>
        </w:rPr>
        <w:t>hlavy</w:t>
      </w:r>
      <w:r>
        <w:rPr>
          <w:color w:val="231F20"/>
          <w:spacing w:val="-11"/>
          <w:sz w:val="12"/>
        </w:rPr>
        <w:t xml:space="preserve"> </w:t>
      </w:r>
      <w:r>
        <w:rPr>
          <w:color w:val="231F20"/>
          <w:sz w:val="12"/>
        </w:rPr>
        <w:t>a</w:t>
      </w:r>
      <w:r>
        <w:rPr>
          <w:color w:val="231F20"/>
          <w:spacing w:val="-11"/>
          <w:sz w:val="12"/>
        </w:rPr>
        <w:t xml:space="preserve"> </w:t>
      </w:r>
      <w:r>
        <w:rPr>
          <w:color w:val="231F20"/>
          <w:sz w:val="12"/>
        </w:rPr>
        <w:t>krku</w:t>
      </w:r>
      <w:r>
        <w:rPr>
          <w:color w:val="231F20"/>
          <w:spacing w:val="-11"/>
          <w:sz w:val="12"/>
        </w:rPr>
        <w:t xml:space="preserve"> </w:t>
      </w:r>
      <w:r>
        <w:rPr>
          <w:color w:val="231F20"/>
          <w:spacing w:val="-4"/>
          <w:sz w:val="12"/>
        </w:rPr>
        <w:t xml:space="preserve">mimo </w:t>
      </w:r>
      <w:r>
        <w:rPr>
          <w:color w:val="231F20"/>
          <w:sz w:val="12"/>
        </w:rPr>
        <w:t>hodnocení jizev v obličeji a na</w:t>
      </w:r>
      <w:r>
        <w:rPr>
          <w:color w:val="231F20"/>
          <w:spacing w:val="-21"/>
          <w:sz w:val="12"/>
        </w:rPr>
        <w:t xml:space="preserve"> </w:t>
      </w:r>
      <w:r>
        <w:rPr>
          <w:color w:val="231F20"/>
          <w:sz w:val="12"/>
        </w:rPr>
        <w:t>krku.</w:t>
      </w:r>
    </w:p>
    <w:p w14:paraId="591E0FFC" w14:textId="77777777" w:rsidR="00F65BCA" w:rsidRDefault="00216117">
      <w:pPr>
        <w:spacing w:before="42" w:line="321" w:lineRule="auto"/>
        <w:ind w:left="183" w:right="1077" w:firstLine="271"/>
        <w:rPr>
          <w:sz w:val="12"/>
        </w:rPr>
      </w:pPr>
      <w:r>
        <w:rPr>
          <w:b/>
          <w:color w:val="231F20"/>
          <w:sz w:val="12"/>
        </w:rPr>
        <w:t xml:space="preserve">Jizvy v obličeji a na </w:t>
      </w:r>
      <w:r>
        <w:rPr>
          <w:b/>
          <w:color w:val="231F20"/>
          <w:spacing w:val="-5"/>
          <w:sz w:val="12"/>
        </w:rPr>
        <w:t xml:space="preserve">krku </w:t>
      </w:r>
      <w:r>
        <w:rPr>
          <w:b/>
          <w:color w:val="231F20"/>
          <w:sz w:val="12"/>
        </w:rPr>
        <w:t xml:space="preserve">008 </w:t>
      </w:r>
      <w:r>
        <w:rPr>
          <w:color w:val="231F20"/>
          <w:sz w:val="12"/>
        </w:rPr>
        <w:t>do 1</w:t>
      </w:r>
      <w:r>
        <w:rPr>
          <w:color w:val="231F20"/>
          <w:spacing w:val="-15"/>
          <w:sz w:val="12"/>
        </w:rPr>
        <w:t xml:space="preserve"> </w:t>
      </w:r>
      <w:r>
        <w:rPr>
          <w:color w:val="231F20"/>
          <w:sz w:val="12"/>
        </w:rPr>
        <w:t>cm</w:t>
      </w:r>
    </w:p>
    <w:p w14:paraId="7158255D" w14:textId="77777777" w:rsidR="00F65BCA" w:rsidRDefault="00216117">
      <w:pPr>
        <w:spacing w:line="134" w:lineRule="exact"/>
        <w:ind w:left="183"/>
        <w:rPr>
          <w:sz w:val="12"/>
        </w:rPr>
      </w:pPr>
      <w:r>
        <w:rPr>
          <w:b/>
          <w:color w:val="231F20"/>
          <w:sz w:val="12"/>
        </w:rPr>
        <w:t xml:space="preserve">009  </w:t>
      </w:r>
      <w:r>
        <w:rPr>
          <w:color w:val="231F20"/>
          <w:sz w:val="12"/>
        </w:rPr>
        <w:t>1 – 2</w:t>
      </w:r>
      <w:r>
        <w:rPr>
          <w:color w:val="231F20"/>
          <w:spacing w:val="-20"/>
          <w:sz w:val="12"/>
        </w:rPr>
        <w:t xml:space="preserve"> </w:t>
      </w:r>
      <w:r>
        <w:rPr>
          <w:color w:val="231F20"/>
          <w:sz w:val="12"/>
        </w:rPr>
        <w:t>cm</w:t>
      </w:r>
    </w:p>
    <w:p w14:paraId="5D9E536D" w14:textId="77777777" w:rsidR="00F65BCA" w:rsidRDefault="00216117">
      <w:pPr>
        <w:pStyle w:val="Odstavecseseznamem"/>
        <w:numPr>
          <w:ilvl w:val="0"/>
          <w:numId w:val="44"/>
        </w:numPr>
        <w:tabs>
          <w:tab w:val="left" w:pos="456"/>
        </w:tabs>
        <w:spacing w:before="43"/>
        <w:ind w:hanging="273"/>
        <w:rPr>
          <w:sz w:val="12"/>
        </w:rPr>
      </w:pPr>
      <w:r>
        <w:rPr>
          <w:color w:val="231F20"/>
          <w:sz w:val="12"/>
        </w:rPr>
        <w:t>nad</w:t>
      </w:r>
      <w:r>
        <w:rPr>
          <w:color w:val="231F20"/>
          <w:spacing w:val="-2"/>
          <w:sz w:val="12"/>
        </w:rPr>
        <w:t xml:space="preserve"> </w:t>
      </w:r>
      <w:r>
        <w:rPr>
          <w:color w:val="231F20"/>
          <w:sz w:val="12"/>
        </w:rPr>
        <w:t>2</w:t>
      </w:r>
      <w:r>
        <w:rPr>
          <w:color w:val="231F20"/>
          <w:spacing w:val="-20"/>
          <w:sz w:val="12"/>
        </w:rPr>
        <w:t xml:space="preserve"> </w:t>
      </w:r>
      <w:r>
        <w:rPr>
          <w:color w:val="231F20"/>
          <w:sz w:val="12"/>
        </w:rPr>
        <w:t>cm</w:t>
      </w:r>
      <w:r>
        <w:rPr>
          <w:color w:val="231F20"/>
          <w:spacing w:val="-1"/>
          <w:sz w:val="12"/>
        </w:rPr>
        <w:t xml:space="preserve"> </w:t>
      </w:r>
      <w:r>
        <w:rPr>
          <w:color w:val="231F20"/>
          <w:sz w:val="12"/>
        </w:rPr>
        <w:t>za</w:t>
      </w:r>
      <w:r>
        <w:rPr>
          <w:color w:val="231F20"/>
          <w:spacing w:val="-2"/>
          <w:sz w:val="12"/>
        </w:rPr>
        <w:t xml:space="preserve"> </w:t>
      </w:r>
      <w:r>
        <w:rPr>
          <w:color w:val="231F20"/>
          <w:sz w:val="12"/>
        </w:rPr>
        <w:t>každý</w:t>
      </w:r>
      <w:r>
        <w:rPr>
          <w:color w:val="231F20"/>
          <w:spacing w:val="-1"/>
          <w:sz w:val="12"/>
        </w:rPr>
        <w:t xml:space="preserve"> </w:t>
      </w:r>
      <w:r>
        <w:rPr>
          <w:color w:val="231F20"/>
          <w:sz w:val="12"/>
        </w:rPr>
        <w:t>další</w:t>
      </w:r>
      <w:r>
        <w:rPr>
          <w:color w:val="231F20"/>
          <w:spacing w:val="-2"/>
          <w:sz w:val="12"/>
        </w:rPr>
        <w:t xml:space="preserve"> </w:t>
      </w:r>
      <w:r>
        <w:rPr>
          <w:color w:val="231F20"/>
          <w:sz w:val="12"/>
        </w:rPr>
        <w:t>1</w:t>
      </w:r>
      <w:r>
        <w:rPr>
          <w:color w:val="231F20"/>
          <w:spacing w:val="-1"/>
          <w:sz w:val="12"/>
        </w:rPr>
        <w:t xml:space="preserve"> </w:t>
      </w:r>
      <w:r>
        <w:rPr>
          <w:color w:val="231F20"/>
          <w:sz w:val="12"/>
        </w:rPr>
        <w:t>cm</w:t>
      </w:r>
      <w:r>
        <w:rPr>
          <w:color w:val="231F20"/>
          <w:spacing w:val="-2"/>
          <w:sz w:val="12"/>
        </w:rPr>
        <w:t xml:space="preserve"> </w:t>
      </w:r>
      <w:r>
        <w:rPr>
          <w:color w:val="231F20"/>
          <w:sz w:val="12"/>
        </w:rPr>
        <w:t>0,5</w:t>
      </w:r>
      <w:r>
        <w:rPr>
          <w:color w:val="231F20"/>
          <w:spacing w:val="-1"/>
          <w:sz w:val="12"/>
        </w:rPr>
        <w:t xml:space="preserve"> </w:t>
      </w:r>
      <w:r>
        <w:rPr>
          <w:color w:val="231F20"/>
          <w:sz w:val="12"/>
        </w:rPr>
        <w:t>%</w:t>
      </w:r>
    </w:p>
    <w:p w14:paraId="1DF35324" w14:textId="77777777" w:rsidR="00F65BCA" w:rsidRDefault="00F65BCA">
      <w:pPr>
        <w:pStyle w:val="Zkladntext"/>
        <w:spacing w:before="7"/>
        <w:rPr>
          <w:sz w:val="14"/>
        </w:rPr>
      </w:pPr>
    </w:p>
    <w:p w14:paraId="1AC95E0D" w14:textId="77777777" w:rsidR="00F65BCA" w:rsidRDefault="00216117">
      <w:pPr>
        <w:ind w:left="1524" w:right="1048"/>
        <w:jc w:val="center"/>
        <w:rPr>
          <w:b/>
          <w:sz w:val="14"/>
        </w:rPr>
      </w:pPr>
      <w:r>
        <w:rPr>
          <w:b/>
          <w:color w:val="231F20"/>
          <w:sz w:val="14"/>
        </w:rPr>
        <w:t>OKO</w:t>
      </w:r>
    </w:p>
    <w:p w14:paraId="3A29E79F" w14:textId="77777777" w:rsidR="00F65BCA" w:rsidRDefault="00216117">
      <w:pPr>
        <w:spacing w:before="66"/>
        <w:ind w:left="455"/>
        <w:rPr>
          <w:b/>
          <w:sz w:val="12"/>
        </w:rPr>
      </w:pPr>
      <w:r>
        <w:rPr>
          <w:b/>
          <w:color w:val="231F20"/>
          <w:sz w:val="12"/>
        </w:rPr>
        <w:t>Ztráta očí nebo zraku</w:t>
      </w:r>
    </w:p>
    <w:p w14:paraId="74A7A2DD" w14:textId="77777777" w:rsidR="00F65BCA" w:rsidRDefault="00216117">
      <w:pPr>
        <w:spacing w:before="66" w:line="242" w:lineRule="auto"/>
        <w:ind w:left="455" w:right="2"/>
        <w:rPr>
          <w:sz w:val="12"/>
        </w:rPr>
      </w:pPr>
      <w:r>
        <w:rPr>
          <w:color w:val="231F20"/>
          <w:sz w:val="12"/>
        </w:rPr>
        <w:t xml:space="preserve">Při úplné ztrátě zraku nemůže hodnocení cel- kových TN činit na jednom oku více než 30 %, na druhém oku více než 70 % a na obou </w:t>
      </w:r>
      <w:r>
        <w:rPr>
          <w:color w:val="231F20"/>
          <w:spacing w:val="-4"/>
          <w:sz w:val="12"/>
        </w:rPr>
        <w:t xml:space="preserve">očích </w:t>
      </w:r>
      <w:r>
        <w:rPr>
          <w:color w:val="231F20"/>
          <w:sz w:val="12"/>
        </w:rPr>
        <w:t>více než 100 %</w:t>
      </w:r>
    </w:p>
    <w:p w14:paraId="5E1FEBE6" w14:textId="77777777" w:rsidR="00F65BCA" w:rsidRDefault="00216117">
      <w:pPr>
        <w:spacing w:before="65" w:line="242" w:lineRule="auto"/>
        <w:ind w:left="455" w:right="202"/>
        <w:rPr>
          <w:sz w:val="12"/>
        </w:rPr>
      </w:pPr>
      <w:r>
        <w:rPr>
          <w:color w:val="231F20"/>
          <w:sz w:val="12"/>
        </w:rPr>
        <w:t>Trvalá poškození podle položek 018 – 025 se hodnotí i nad tuto hranici</w:t>
      </w:r>
    </w:p>
    <w:p w14:paraId="09A9BAE3" w14:textId="77777777" w:rsidR="00F65BCA" w:rsidRDefault="00216117">
      <w:pPr>
        <w:spacing w:before="61" w:line="242" w:lineRule="auto"/>
        <w:ind w:left="455" w:right="-12"/>
        <w:rPr>
          <w:sz w:val="12"/>
        </w:rPr>
      </w:pPr>
      <w:r>
        <w:rPr>
          <w:color w:val="231F20"/>
          <w:sz w:val="12"/>
        </w:rPr>
        <w:t>Při hodnocení podle bodu 023 nelze současně hodnotit podle bodu 024 a 025</w:t>
      </w:r>
    </w:p>
    <w:p w14:paraId="4F735242" w14:textId="77777777" w:rsidR="00F65BCA" w:rsidRDefault="00216117">
      <w:pPr>
        <w:pStyle w:val="Odstavecseseznamem"/>
        <w:numPr>
          <w:ilvl w:val="0"/>
          <w:numId w:val="44"/>
        </w:numPr>
        <w:tabs>
          <w:tab w:val="left" w:pos="456"/>
        </w:tabs>
        <w:spacing w:before="62"/>
        <w:ind w:hanging="273"/>
        <w:rPr>
          <w:sz w:val="12"/>
        </w:rPr>
      </w:pPr>
      <w:r>
        <w:rPr>
          <w:color w:val="231F20"/>
          <w:sz w:val="12"/>
        </w:rPr>
        <w:t>Následky</w:t>
      </w:r>
      <w:r>
        <w:rPr>
          <w:color w:val="231F20"/>
          <w:spacing w:val="-13"/>
          <w:sz w:val="12"/>
        </w:rPr>
        <w:t xml:space="preserve"> </w:t>
      </w:r>
      <w:r>
        <w:rPr>
          <w:color w:val="231F20"/>
          <w:sz w:val="12"/>
        </w:rPr>
        <w:t>očních</w:t>
      </w:r>
      <w:r>
        <w:rPr>
          <w:color w:val="231F20"/>
          <w:spacing w:val="-13"/>
          <w:sz w:val="12"/>
        </w:rPr>
        <w:t xml:space="preserve"> </w:t>
      </w:r>
      <w:r>
        <w:rPr>
          <w:color w:val="231F20"/>
          <w:sz w:val="12"/>
        </w:rPr>
        <w:t>zranění</w:t>
      </w:r>
      <w:r>
        <w:rPr>
          <w:color w:val="231F20"/>
          <w:spacing w:val="-12"/>
          <w:sz w:val="12"/>
        </w:rPr>
        <w:t xml:space="preserve"> </w:t>
      </w:r>
      <w:r>
        <w:rPr>
          <w:color w:val="231F20"/>
          <w:sz w:val="12"/>
        </w:rPr>
        <w:t>prvního</w:t>
      </w:r>
      <w:r>
        <w:rPr>
          <w:color w:val="231F20"/>
          <w:spacing w:val="-13"/>
          <w:sz w:val="12"/>
        </w:rPr>
        <w:t xml:space="preserve"> </w:t>
      </w:r>
      <w:r>
        <w:rPr>
          <w:color w:val="231F20"/>
          <w:sz w:val="12"/>
        </w:rPr>
        <w:t>oka,</w:t>
      </w:r>
      <w:r>
        <w:rPr>
          <w:color w:val="231F20"/>
          <w:spacing w:val="-12"/>
          <w:sz w:val="12"/>
        </w:rPr>
        <w:t xml:space="preserve"> </w:t>
      </w:r>
      <w:r>
        <w:rPr>
          <w:color w:val="231F20"/>
          <w:sz w:val="12"/>
        </w:rPr>
        <w:t>jež</w:t>
      </w:r>
      <w:r>
        <w:rPr>
          <w:color w:val="231F20"/>
          <w:spacing w:val="-13"/>
          <w:sz w:val="12"/>
        </w:rPr>
        <w:t xml:space="preserve"> </w:t>
      </w:r>
      <w:r>
        <w:rPr>
          <w:color w:val="231F20"/>
          <w:sz w:val="12"/>
        </w:rPr>
        <w:t>měla</w:t>
      </w:r>
    </w:p>
    <w:p w14:paraId="162785DF" w14:textId="77777777" w:rsidR="00F65BCA" w:rsidRDefault="00216117">
      <w:pPr>
        <w:pStyle w:val="Odstavecseseznamem"/>
        <w:numPr>
          <w:ilvl w:val="1"/>
          <w:numId w:val="44"/>
        </w:numPr>
        <w:tabs>
          <w:tab w:val="left" w:pos="456"/>
        </w:tabs>
        <w:spacing w:before="5"/>
        <w:ind w:right="56"/>
        <w:rPr>
          <w:sz w:val="12"/>
        </w:rPr>
      </w:pPr>
      <w:r>
        <w:rPr>
          <w:color w:val="231F20"/>
          <w:sz w:val="12"/>
        </w:rPr>
        <w:t>za</w:t>
      </w:r>
      <w:r>
        <w:rPr>
          <w:color w:val="231F20"/>
          <w:spacing w:val="-8"/>
          <w:sz w:val="12"/>
        </w:rPr>
        <w:t xml:space="preserve"> </w:t>
      </w:r>
      <w:r>
        <w:rPr>
          <w:color w:val="231F20"/>
          <w:sz w:val="12"/>
        </w:rPr>
        <w:t>následek</w:t>
      </w:r>
      <w:r>
        <w:rPr>
          <w:color w:val="231F20"/>
          <w:spacing w:val="-8"/>
          <w:sz w:val="12"/>
        </w:rPr>
        <w:t xml:space="preserve"> </w:t>
      </w:r>
      <w:r>
        <w:rPr>
          <w:color w:val="231F20"/>
          <w:sz w:val="12"/>
        </w:rPr>
        <w:t>snížení</w:t>
      </w:r>
      <w:r>
        <w:rPr>
          <w:color w:val="231F20"/>
          <w:spacing w:val="-4"/>
          <w:sz w:val="12"/>
        </w:rPr>
        <w:t xml:space="preserve"> </w:t>
      </w:r>
      <w:r>
        <w:rPr>
          <w:color w:val="231F20"/>
          <w:sz w:val="12"/>
        </w:rPr>
        <w:t>zrakové</w:t>
      </w:r>
      <w:r>
        <w:rPr>
          <w:color w:val="231F20"/>
          <w:spacing w:val="-5"/>
          <w:sz w:val="12"/>
        </w:rPr>
        <w:t xml:space="preserve"> </w:t>
      </w:r>
      <w:r>
        <w:rPr>
          <w:color w:val="231F20"/>
          <w:sz w:val="12"/>
        </w:rPr>
        <w:t>ostrosti</w:t>
      </w:r>
      <w:r>
        <w:rPr>
          <w:color w:val="231F20"/>
          <w:spacing w:val="-5"/>
          <w:sz w:val="12"/>
        </w:rPr>
        <w:t xml:space="preserve"> </w:t>
      </w:r>
      <w:r>
        <w:rPr>
          <w:color w:val="231F20"/>
          <w:sz w:val="12"/>
        </w:rPr>
        <w:t>–</w:t>
      </w:r>
      <w:r>
        <w:rPr>
          <w:color w:val="231F20"/>
          <w:spacing w:val="-4"/>
          <w:sz w:val="12"/>
        </w:rPr>
        <w:t xml:space="preserve"> </w:t>
      </w:r>
      <w:r>
        <w:rPr>
          <w:color w:val="231F20"/>
          <w:sz w:val="12"/>
        </w:rPr>
        <w:t>hodno- cení dle tabulky č.</w:t>
      </w:r>
      <w:r>
        <w:rPr>
          <w:color w:val="231F20"/>
          <w:spacing w:val="6"/>
          <w:sz w:val="12"/>
        </w:rPr>
        <w:t xml:space="preserve"> </w:t>
      </w:r>
      <w:r>
        <w:rPr>
          <w:color w:val="231F20"/>
          <w:sz w:val="12"/>
        </w:rPr>
        <w:t>1</w:t>
      </w:r>
    </w:p>
    <w:p w14:paraId="054771F7" w14:textId="77777777" w:rsidR="00F65BCA" w:rsidRDefault="00216117">
      <w:pPr>
        <w:spacing w:before="63" w:line="137" w:lineRule="exact"/>
        <w:ind w:left="183"/>
        <w:rPr>
          <w:sz w:val="12"/>
        </w:rPr>
      </w:pPr>
      <w:r>
        <w:rPr>
          <w:b/>
          <w:color w:val="231F20"/>
          <w:sz w:val="12"/>
        </w:rPr>
        <w:t>011</w:t>
      </w:r>
      <w:r>
        <w:rPr>
          <w:b/>
          <w:color w:val="231F20"/>
          <w:spacing w:val="14"/>
          <w:sz w:val="12"/>
        </w:rPr>
        <w:t xml:space="preserve"> </w:t>
      </w:r>
      <w:r>
        <w:rPr>
          <w:color w:val="231F20"/>
          <w:sz w:val="12"/>
        </w:rPr>
        <w:t>Následky</w:t>
      </w:r>
      <w:r>
        <w:rPr>
          <w:color w:val="231F20"/>
          <w:spacing w:val="-11"/>
          <w:sz w:val="12"/>
        </w:rPr>
        <w:t xml:space="preserve"> </w:t>
      </w:r>
      <w:r>
        <w:rPr>
          <w:color w:val="231F20"/>
          <w:sz w:val="12"/>
        </w:rPr>
        <w:t>očních</w:t>
      </w:r>
      <w:r>
        <w:rPr>
          <w:color w:val="231F20"/>
          <w:spacing w:val="-10"/>
          <w:sz w:val="12"/>
        </w:rPr>
        <w:t xml:space="preserve"> </w:t>
      </w:r>
      <w:r>
        <w:rPr>
          <w:color w:val="231F20"/>
          <w:sz w:val="12"/>
        </w:rPr>
        <w:t>zranění</w:t>
      </w:r>
      <w:r>
        <w:rPr>
          <w:color w:val="231F20"/>
          <w:spacing w:val="-11"/>
          <w:sz w:val="12"/>
        </w:rPr>
        <w:t xml:space="preserve"> </w:t>
      </w:r>
      <w:r>
        <w:rPr>
          <w:color w:val="231F20"/>
          <w:sz w:val="12"/>
        </w:rPr>
        <w:t>druhého</w:t>
      </w:r>
      <w:r>
        <w:rPr>
          <w:color w:val="231F20"/>
          <w:spacing w:val="-11"/>
          <w:sz w:val="12"/>
        </w:rPr>
        <w:t xml:space="preserve"> </w:t>
      </w:r>
      <w:r>
        <w:rPr>
          <w:color w:val="231F20"/>
          <w:sz w:val="12"/>
        </w:rPr>
        <w:t>oka,</w:t>
      </w:r>
      <w:r>
        <w:rPr>
          <w:color w:val="231F20"/>
          <w:spacing w:val="-11"/>
          <w:sz w:val="12"/>
        </w:rPr>
        <w:t xml:space="preserve"> </w:t>
      </w:r>
      <w:r>
        <w:rPr>
          <w:color w:val="231F20"/>
          <w:sz w:val="12"/>
        </w:rPr>
        <w:t>jež</w:t>
      </w:r>
      <w:r>
        <w:rPr>
          <w:color w:val="231F20"/>
          <w:spacing w:val="-11"/>
          <w:sz w:val="12"/>
        </w:rPr>
        <w:t xml:space="preserve"> </w:t>
      </w:r>
      <w:r>
        <w:rPr>
          <w:color w:val="231F20"/>
          <w:sz w:val="12"/>
        </w:rPr>
        <w:t>měla</w:t>
      </w:r>
    </w:p>
    <w:p w14:paraId="20EBBBD1" w14:textId="77777777" w:rsidR="00F65BCA" w:rsidRDefault="00216117">
      <w:pPr>
        <w:spacing w:before="63"/>
        <w:ind w:right="38"/>
        <w:jc w:val="right"/>
        <w:rPr>
          <w:sz w:val="12"/>
        </w:rPr>
      </w:pPr>
      <w:r>
        <w:br w:type="column"/>
      </w:r>
      <w:r>
        <w:rPr>
          <w:color w:val="231F20"/>
          <w:sz w:val="12"/>
        </w:rPr>
        <w:t>10</w:t>
      </w:r>
      <w:r>
        <w:rPr>
          <w:color w:val="231F20"/>
          <w:spacing w:val="-20"/>
          <w:sz w:val="12"/>
        </w:rPr>
        <w:t xml:space="preserve"> </w:t>
      </w:r>
      <w:r>
        <w:rPr>
          <w:color w:val="231F20"/>
          <w:sz w:val="12"/>
        </w:rPr>
        <w:t>%</w:t>
      </w:r>
    </w:p>
    <w:p w14:paraId="0E91056A" w14:textId="77777777" w:rsidR="00F65BCA" w:rsidRDefault="00F65BCA">
      <w:pPr>
        <w:pStyle w:val="Zkladntext"/>
        <w:rPr>
          <w:sz w:val="14"/>
        </w:rPr>
      </w:pPr>
    </w:p>
    <w:p w14:paraId="6C8967BB" w14:textId="77777777" w:rsidR="00F65BCA" w:rsidRDefault="00F65BCA">
      <w:pPr>
        <w:pStyle w:val="Zkladntext"/>
        <w:rPr>
          <w:sz w:val="14"/>
        </w:rPr>
      </w:pPr>
    </w:p>
    <w:p w14:paraId="6E5D61EC" w14:textId="77777777" w:rsidR="00F65BCA" w:rsidRDefault="00F65BCA">
      <w:pPr>
        <w:pStyle w:val="Zkladntext"/>
        <w:spacing w:before="3"/>
        <w:rPr>
          <w:sz w:val="14"/>
        </w:rPr>
      </w:pPr>
    </w:p>
    <w:p w14:paraId="0F8297A5" w14:textId="77777777" w:rsidR="00F65BCA" w:rsidRDefault="00216117">
      <w:pPr>
        <w:ind w:left="250"/>
        <w:rPr>
          <w:sz w:val="12"/>
        </w:rPr>
      </w:pPr>
      <w:r>
        <w:rPr>
          <w:color w:val="231F20"/>
          <w:sz w:val="12"/>
        </w:rPr>
        <w:t>do 20</w:t>
      </w:r>
      <w:r>
        <w:rPr>
          <w:color w:val="231F20"/>
          <w:spacing w:val="-17"/>
          <w:sz w:val="12"/>
        </w:rPr>
        <w:t xml:space="preserve"> </w:t>
      </w:r>
      <w:r>
        <w:rPr>
          <w:color w:val="231F20"/>
          <w:sz w:val="12"/>
        </w:rPr>
        <w:t>%</w:t>
      </w:r>
    </w:p>
    <w:p w14:paraId="200040A0" w14:textId="77777777" w:rsidR="00F65BCA" w:rsidRDefault="00216117">
      <w:pPr>
        <w:spacing w:before="32"/>
        <w:ind w:left="183"/>
        <w:rPr>
          <w:sz w:val="12"/>
        </w:rPr>
      </w:pPr>
      <w:r>
        <w:rPr>
          <w:color w:val="231F20"/>
          <w:sz w:val="12"/>
        </w:rPr>
        <w:t>do 100</w:t>
      </w:r>
      <w:r>
        <w:rPr>
          <w:color w:val="231F20"/>
          <w:spacing w:val="-17"/>
          <w:sz w:val="12"/>
        </w:rPr>
        <w:t xml:space="preserve"> </w:t>
      </w:r>
      <w:r>
        <w:rPr>
          <w:color w:val="231F20"/>
          <w:sz w:val="12"/>
        </w:rPr>
        <w:t>%</w:t>
      </w:r>
    </w:p>
    <w:p w14:paraId="44BC0FFE" w14:textId="77777777" w:rsidR="00F65BCA" w:rsidRDefault="00F65BCA">
      <w:pPr>
        <w:pStyle w:val="Zkladntext"/>
        <w:spacing w:before="1"/>
        <w:rPr>
          <w:sz w:val="19"/>
        </w:rPr>
      </w:pPr>
    </w:p>
    <w:p w14:paraId="7DBE6341" w14:textId="77777777" w:rsidR="00F65BCA" w:rsidRDefault="00216117">
      <w:pPr>
        <w:ind w:left="265"/>
        <w:rPr>
          <w:sz w:val="12"/>
        </w:rPr>
      </w:pPr>
      <w:r>
        <w:rPr>
          <w:color w:val="231F20"/>
          <w:sz w:val="12"/>
        </w:rPr>
        <w:t>do</w:t>
      </w:r>
      <w:r>
        <w:rPr>
          <w:color w:val="231F20"/>
          <w:spacing w:val="2"/>
          <w:sz w:val="12"/>
        </w:rPr>
        <w:t xml:space="preserve"> </w:t>
      </w:r>
      <w:r>
        <w:rPr>
          <w:color w:val="231F20"/>
          <w:sz w:val="12"/>
        </w:rPr>
        <w:t>15%</w:t>
      </w:r>
    </w:p>
    <w:p w14:paraId="0BF2A89B" w14:textId="77777777" w:rsidR="00F65BCA" w:rsidRDefault="00216117">
      <w:pPr>
        <w:spacing w:before="32"/>
        <w:ind w:left="250"/>
        <w:rPr>
          <w:sz w:val="12"/>
        </w:rPr>
      </w:pPr>
      <w:r>
        <w:rPr>
          <w:color w:val="231F20"/>
          <w:sz w:val="12"/>
        </w:rPr>
        <w:t>do 10</w:t>
      </w:r>
      <w:r>
        <w:rPr>
          <w:color w:val="231F20"/>
          <w:spacing w:val="-17"/>
          <w:sz w:val="12"/>
        </w:rPr>
        <w:t xml:space="preserve"> </w:t>
      </w:r>
      <w:r>
        <w:rPr>
          <w:color w:val="231F20"/>
          <w:sz w:val="12"/>
        </w:rPr>
        <w:t>%</w:t>
      </w:r>
    </w:p>
    <w:p w14:paraId="773AFCAD" w14:textId="77777777" w:rsidR="00F65BCA" w:rsidRDefault="00F65BCA">
      <w:pPr>
        <w:pStyle w:val="Zkladntext"/>
        <w:spacing w:before="1"/>
      </w:pPr>
    </w:p>
    <w:p w14:paraId="2CFC65CB" w14:textId="77777777" w:rsidR="00F65BCA" w:rsidRDefault="00216117">
      <w:pPr>
        <w:ind w:left="250"/>
        <w:rPr>
          <w:sz w:val="12"/>
        </w:rPr>
      </w:pPr>
      <w:r>
        <w:rPr>
          <w:color w:val="231F20"/>
          <w:sz w:val="12"/>
        </w:rPr>
        <w:t>do 15</w:t>
      </w:r>
      <w:r>
        <w:rPr>
          <w:color w:val="231F20"/>
          <w:spacing w:val="-17"/>
          <w:sz w:val="12"/>
        </w:rPr>
        <w:t xml:space="preserve"> </w:t>
      </w:r>
      <w:r>
        <w:rPr>
          <w:color w:val="231F20"/>
          <w:sz w:val="12"/>
        </w:rPr>
        <w:t>%</w:t>
      </w:r>
    </w:p>
    <w:p w14:paraId="69D9FAC7" w14:textId="77777777" w:rsidR="00F65BCA" w:rsidRDefault="00F65BCA">
      <w:pPr>
        <w:pStyle w:val="Zkladntext"/>
        <w:rPr>
          <w:sz w:val="14"/>
        </w:rPr>
      </w:pPr>
    </w:p>
    <w:p w14:paraId="6A76A2EB" w14:textId="77777777" w:rsidR="00F65BCA" w:rsidRDefault="00F65BCA">
      <w:pPr>
        <w:pStyle w:val="Zkladntext"/>
        <w:spacing w:before="10"/>
        <w:rPr>
          <w:sz w:val="17"/>
        </w:rPr>
      </w:pPr>
    </w:p>
    <w:p w14:paraId="64551086" w14:textId="77777777" w:rsidR="00F65BCA" w:rsidRDefault="00216117">
      <w:pPr>
        <w:ind w:right="38"/>
        <w:jc w:val="right"/>
        <w:rPr>
          <w:sz w:val="12"/>
        </w:rPr>
      </w:pPr>
      <w:r>
        <w:rPr>
          <w:color w:val="231F20"/>
          <w:sz w:val="12"/>
        </w:rPr>
        <w:t>0</w:t>
      </w:r>
      <w:r>
        <w:rPr>
          <w:color w:val="231F20"/>
          <w:spacing w:val="-20"/>
          <w:sz w:val="12"/>
        </w:rPr>
        <w:t xml:space="preserve"> </w:t>
      </w:r>
      <w:r>
        <w:rPr>
          <w:color w:val="231F20"/>
          <w:sz w:val="12"/>
        </w:rPr>
        <w:t>%</w:t>
      </w:r>
    </w:p>
    <w:p w14:paraId="2E67C7E3" w14:textId="77777777" w:rsidR="00F65BCA" w:rsidRDefault="00216117">
      <w:pPr>
        <w:spacing w:before="44"/>
        <w:ind w:right="38"/>
        <w:jc w:val="right"/>
        <w:rPr>
          <w:sz w:val="12"/>
        </w:rPr>
      </w:pPr>
      <w:r>
        <w:rPr>
          <w:color w:val="231F20"/>
          <w:sz w:val="12"/>
        </w:rPr>
        <w:t>0,50</w:t>
      </w:r>
      <w:r>
        <w:rPr>
          <w:color w:val="231F20"/>
          <w:spacing w:val="-20"/>
          <w:sz w:val="12"/>
        </w:rPr>
        <w:t xml:space="preserve"> </w:t>
      </w:r>
      <w:r>
        <w:rPr>
          <w:color w:val="231F20"/>
          <w:sz w:val="12"/>
        </w:rPr>
        <w:t>%</w:t>
      </w:r>
    </w:p>
    <w:p w14:paraId="5E6C15D2" w14:textId="77777777" w:rsidR="00F65BCA" w:rsidRDefault="00216117">
      <w:pPr>
        <w:spacing w:before="43"/>
        <w:ind w:right="38"/>
        <w:jc w:val="right"/>
        <w:rPr>
          <w:sz w:val="12"/>
        </w:rPr>
      </w:pPr>
      <w:r>
        <w:rPr>
          <w:color w:val="231F20"/>
          <w:sz w:val="12"/>
        </w:rPr>
        <w:t>do 10</w:t>
      </w:r>
      <w:r>
        <w:rPr>
          <w:color w:val="231F20"/>
          <w:spacing w:val="-17"/>
          <w:sz w:val="12"/>
        </w:rPr>
        <w:t xml:space="preserve"> </w:t>
      </w:r>
      <w:r>
        <w:rPr>
          <w:color w:val="231F20"/>
          <w:sz w:val="12"/>
        </w:rPr>
        <w:t>%</w:t>
      </w:r>
    </w:p>
    <w:p w14:paraId="738E08A1" w14:textId="77777777" w:rsidR="00F65BCA" w:rsidRDefault="00216117">
      <w:pPr>
        <w:pStyle w:val="Zkladntext"/>
        <w:spacing w:before="5"/>
        <w:rPr>
          <w:sz w:val="11"/>
        </w:rPr>
      </w:pPr>
      <w:r>
        <w:br w:type="column"/>
      </w:r>
    </w:p>
    <w:p w14:paraId="2AEE058C" w14:textId="77777777" w:rsidR="00F65BCA" w:rsidRDefault="00216117">
      <w:pPr>
        <w:spacing w:before="1" w:line="307" w:lineRule="auto"/>
        <w:ind w:left="183" w:right="81"/>
        <w:rPr>
          <w:sz w:val="12"/>
        </w:rPr>
      </w:pPr>
      <w:r>
        <w:rPr>
          <w:b/>
          <w:color w:val="231F20"/>
          <w:sz w:val="12"/>
        </w:rPr>
        <w:t>042</w:t>
      </w:r>
      <w:r>
        <w:rPr>
          <w:b/>
          <w:color w:val="231F20"/>
          <w:spacing w:val="-6"/>
          <w:sz w:val="12"/>
        </w:rPr>
        <w:t xml:space="preserve"> </w:t>
      </w:r>
      <w:r>
        <w:rPr>
          <w:color w:val="231F20"/>
          <w:sz w:val="12"/>
        </w:rPr>
        <w:t>jednoho</w:t>
      </w:r>
      <w:r>
        <w:rPr>
          <w:color w:val="231F20"/>
          <w:spacing w:val="-20"/>
          <w:sz w:val="12"/>
        </w:rPr>
        <w:t xml:space="preserve"> </w:t>
      </w:r>
      <w:r>
        <w:rPr>
          <w:color w:val="231F20"/>
          <w:sz w:val="12"/>
        </w:rPr>
        <w:t>ucha</w:t>
      </w:r>
      <w:r>
        <w:rPr>
          <w:color w:val="231F20"/>
          <w:spacing w:val="-21"/>
          <w:sz w:val="12"/>
        </w:rPr>
        <w:t xml:space="preserve"> </w:t>
      </w:r>
      <w:r>
        <w:rPr>
          <w:color w:val="231F20"/>
          <w:sz w:val="12"/>
        </w:rPr>
        <w:t>při</w:t>
      </w:r>
      <w:r>
        <w:rPr>
          <w:color w:val="231F20"/>
          <w:spacing w:val="-21"/>
          <w:sz w:val="12"/>
        </w:rPr>
        <w:t xml:space="preserve"> </w:t>
      </w:r>
      <w:r>
        <w:rPr>
          <w:color w:val="231F20"/>
          <w:sz w:val="12"/>
        </w:rPr>
        <w:t>zachované</w:t>
      </w:r>
      <w:r>
        <w:rPr>
          <w:color w:val="231F20"/>
          <w:spacing w:val="-21"/>
          <w:sz w:val="12"/>
        </w:rPr>
        <w:t xml:space="preserve"> </w:t>
      </w:r>
      <w:r>
        <w:rPr>
          <w:color w:val="231F20"/>
          <w:sz w:val="12"/>
        </w:rPr>
        <w:t>funkci</w:t>
      </w:r>
      <w:r>
        <w:rPr>
          <w:color w:val="231F20"/>
          <w:spacing w:val="-21"/>
          <w:sz w:val="12"/>
        </w:rPr>
        <w:t xml:space="preserve"> </w:t>
      </w:r>
      <w:r>
        <w:rPr>
          <w:color w:val="231F20"/>
          <w:sz w:val="12"/>
        </w:rPr>
        <w:t>druhého</w:t>
      </w:r>
      <w:r>
        <w:rPr>
          <w:color w:val="231F20"/>
          <w:spacing w:val="-21"/>
          <w:sz w:val="12"/>
        </w:rPr>
        <w:t xml:space="preserve"> </w:t>
      </w:r>
      <w:r>
        <w:rPr>
          <w:color w:val="231F20"/>
          <w:spacing w:val="-3"/>
          <w:sz w:val="12"/>
        </w:rPr>
        <w:t xml:space="preserve">ucha </w:t>
      </w:r>
      <w:r>
        <w:rPr>
          <w:b/>
          <w:color w:val="231F20"/>
          <w:sz w:val="12"/>
        </w:rPr>
        <w:t xml:space="preserve">043 </w:t>
      </w:r>
      <w:r>
        <w:rPr>
          <w:color w:val="231F20"/>
          <w:sz w:val="12"/>
        </w:rPr>
        <w:t xml:space="preserve">jednoho ucha při snížené funkci druhého ucha </w:t>
      </w:r>
      <w:r>
        <w:rPr>
          <w:b/>
          <w:color w:val="231F20"/>
          <w:sz w:val="12"/>
        </w:rPr>
        <w:t xml:space="preserve">044 </w:t>
      </w:r>
      <w:r>
        <w:rPr>
          <w:color w:val="231F20"/>
          <w:position w:val="1"/>
          <w:sz w:val="12"/>
        </w:rPr>
        <w:t>oboustranná jako následek jediného</w:t>
      </w:r>
      <w:r>
        <w:rPr>
          <w:color w:val="231F20"/>
          <w:spacing w:val="2"/>
          <w:position w:val="1"/>
          <w:sz w:val="12"/>
        </w:rPr>
        <w:t xml:space="preserve"> </w:t>
      </w:r>
      <w:r>
        <w:rPr>
          <w:color w:val="231F20"/>
          <w:position w:val="1"/>
          <w:sz w:val="12"/>
        </w:rPr>
        <w:t>úrazu</w:t>
      </w:r>
    </w:p>
    <w:p w14:paraId="0857857C" w14:textId="77777777" w:rsidR="00F65BCA" w:rsidRDefault="00216117">
      <w:pPr>
        <w:spacing w:line="125" w:lineRule="exact"/>
        <w:ind w:left="455"/>
        <w:rPr>
          <w:b/>
          <w:sz w:val="12"/>
        </w:rPr>
      </w:pPr>
      <w:r>
        <w:rPr>
          <w:b/>
          <w:color w:val="231F20"/>
          <w:sz w:val="12"/>
        </w:rPr>
        <w:t>Nedoslýchavost oboustranná</w:t>
      </w:r>
    </w:p>
    <w:p w14:paraId="20A88D50" w14:textId="77777777" w:rsidR="00F65BCA" w:rsidRDefault="00216117">
      <w:pPr>
        <w:pStyle w:val="Odstavecseseznamem"/>
        <w:numPr>
          <w:ilvl w:val="0"/>
          <w:numId w:val="43"/>
        </w:numPr>
        <w:tabs>
          <w:tab w:val="left" w:pos="456"/>
        </w:tabs>
        <w:spacing w:before="39"/>
        <w:ind w:hanging="273"/>
        <w:rPr>
          <w:sz w:val="12"/>
        </w:rPr>
      </w:pPr>
      <w:r>
        <w:rPr>
          <w:color w:val="231F20"/>
          <w:position w:val="1"/>
          <w:sz w:val="12"/>
        </w:rPr>
        <w:t>lehkého</w:t>
      </w:r>
      <w:r>
        <w:rPr>
          <w:color w:val="231F20"/>
          <w:spacing w:val="-1"/>
          <w:position w:val="1"/>
          <w:sz w:val="12"/>
        </w:rPr>
        <w:t xml:space="preserve"> </w:t>
      </w:r>
      <w:r>
        <w:rPr>
          <w:color w:val="231F20"/>
          <w:position w:val="1"/>
          <w:sz w:val="12"/>
        </w:rPr>
        <w:t>stupně</w:t>
      </w:r>
    </w:p>
    <w:p w14:paraId="7D41F06E" w14:textId="77777777" w:rsidR="00F65BCA" w:rsidRDefault="00216117">
      <w:pPr>
        <w:pStyle w:val="Odstavecseseznamem"/>
        <w:numPr>
          <w:ilvl w:val="0"/>
          <w:numId w:val="43"/>
        </w:numPr>
        <w:tabs>
          <w:tab w:val="left" w:pos="456"/>
        </w:tabs>
        <w:spacing w:before="28"/>
        <w:ind w:hanging="273"/>
        <w:rPr>
          <w:sz w:val="12"/>
        </w:rPr>
      </w:pPr>
      <w:r>
        <w:rPr>
          <w:color w:val="231F20"/>
          <w:position w:val="1"/>
          <w:sz w:val="12"/>
        </w:rPr>
        <w:t>středního</w:t>
      </w:r>
      <w:r>
        <w:rPr>
          <w:color w:val="231F20"/>
          <w:spacing w:val="-1"/>
          <w:position w:val="1"/>
          <w:sz w:val="12"/>
        </w:rPr>
        <w:t xml:space="preserve"> </w:t>
      </w:r>
      <w:r>
        <w:rPr>
          <w:color w:val="231F20"/>
          <w:position w:val="1"/>
          <w:sz w:val="12"/>
        </w:rPr>
        <w:t>stupně</w:t>
      </w:r>
    </w:p>
    <w:p w14:paraId="65B198E8" w14:textId="77777777" w:rsidR="00F65BCA" w:rsidRDefault="00216117">
      <w:pPr>
        <w:pStyle w:val="Odstavecseseznamem"/>
        <w:numPr>
          <w:ilvl w:val="0"/>
          <w:numId w:val="43"/>
        </w:numPr>
        <w:tabs>
          <w:tab w:val="left" w:pos="456"/>
        </w:tabs>
        <w:spacing w:before="26"/>
        <w:ind w:hanging="273"/>
        <w:rPr>
          <w:sz w:val="12"/>
        </w:rPr>
      </w:pPr>
      <w:r>
        <w:rPr>
          <w:color w:val="231F20"/>
          <w:sz w:val="12"/>
        </w:rPr>
        <w:t>těžkého</w:t>
      </w:r>
      <w:r>
        <w:rPr>
          <w:color w:val="231F20"/>
          <w:spacing w:val="-1"/>
          <w:sz w:val="12"/>
        </w:rPr>
        <w:t xml:space="preserve"> </w:t>
      </w:r>
      <w:r>
        <w:rPr>
          <w:color w:val="231F20"/>
          <w:sz w:val="12"/>
        </w:rPr>
        <w:t>stupně</w:t>
      </w:r>
    </w:p>
    <w:p w14:paraId="6943DA50" w14:textId="77777777" w:rsidR="00F65BCA" w:rsidRDefault="00216117">
      <w:pPr>
        <w:spacing w:before="38" w:line="304" w:lineRule="auto"/>
        <w:ind w:left="183" w:right="648" w:firstLine="271"/>
        <w:rPr>
          <w:sz w:val="12"/>
        </w:rPr>
      </w:pPr>
      <w:r>
        <w:rPr>
          <w:b/>
          <w:color w:val="231F20"/>
          <w:sz w:val="12"/>
        </w:rPr>
        <w:t xml:space="preserve">Nedoslýchavost jednostranná 048 </w:t>
      </w:r>
      <w:r>
        <w:rPr>
          <w:color w:val="231F20"/>
          <w:sz w:val="12"/>
        </w:rPr>
        <w:t>lehkého stupně</w:t>
      </w:r>
    </w:p>
    <w:p w14:paraId="6B1B2DB0" w14:textId="77777777" w:rsidR="00F65BCA" w:rsidRDefault="00216117">
      <w:pPr>
        <w:pStyle w:val="Odstavecseseznamem"/>
        <w:numPr>
          <w:ilvl w:val="0"/>
          <w:numId w:val="42"/>
        </w:numPr>
        <w:tabs>
          <w:tab w:val="left" w:pos="456"/>
        </w:tabs>
        <w:spacing w:before="1"/>
        <w:ind w:hanging="273"/>
        <w:rPr>
          <w:sz w:val="12"/>
        </w:rPr>
      </w:pPr>
      <w:r>
        <w:rPr>
          <w:color w:val="231F20"/>
          <w:sz w:val="12"/>
        </w:rPr>
        <w:t>středního</w:t>
      </w:r>
      <w:r>
        <w:rPr>
          <w:color w:val="231F20"/>
          <w:spacing w:val="-1"/>
          <w:sz w:val="12"/>
        </w:rPr>
        <w:t xml:space="preserve"> </w:t>
      </w:r>
      <w:r>
        <w:rPr>
          <w:color w:val="231F20"/>
          <w:sz w:val="12"/>
        </w:rPr>
        <w:t>stupně</w:t>
      </w:r>
    </w:p>
    <w:p w14:paraId="0CB4B818" w14:textId="77777777" w:rsidR="00F65BCA" w:rsidRDefault="00216117">
      <w:pPr>
        <w:pStyle w:val="Odstavecseseznamem"/>
        <w:numPr>
          <w:ilvl w:val="0"/>
          <w:numId w:val="42"/>
        </w:numPr>
        <w:tabs>
          <w:tab w:val="left" w:pos="456"/>
        </w:tabs>
        <w:spacing w:before="39" w:line="285" w:lineRule="auto"/>
        <w:ind w:right="1567"/>
        <w:rPr>
          <w:b/>
          <w:sz w:val="12"/>
        </w:rPr>
      </w:pPr>
      <w:r>
        <w:rPr>
          <w:color w:val="231F20"/>
          <w:position w:val="1"/>
          <w:sz w:val="12"/>
        </w:rPr>
        <w:t>těžkého stupně</w:t>
      </w:r>
      <w:r>
        <w:rPr>
          <w:color w:val="231F20"/>
          <w:sz w:val="12"/>
        </w:rPr>
        <w:t xml:space="preserve"> </w:t>
      </w:r>
      <w:r>
        <w:rPr>
          <w:color w:val="231F20"/>
          <w:w w:val="95"/>
          <w:sz w:val="12"/>
        </w:rPr>
        <w:t>Porucha</w:t>
      </w:r>
      <w:r>
        <w:rPr>
          <w:color w:val="231F20"/>
          <w:spacing w:val="6"/>
          <w:w w:val="95"/>
          <w:sz w:val="12"/>
        </w:rPr>
        <w:t xml:space="preserve"> </w:t>
      </w:r>
      <w:r>
        <w:rPr>
          <w:b/>
          <w:color w:val="231F20"/>
          <w:w w:val="95"/>
          <w:sz w:val="12"/>
        </w:rPr>
        <w:t>labyrintu</w:t>
      </w:r>
    </w:p>
    <w:p w14:paraId="0C072DA4" w14:textId="77777777" w:rsidR="00F65BCA" w:rsidRDefault="00216117">
      <w:pPr>
        <w:pStyle w:val="Odstavecseseznamem"/>
        <w:numPr>
          <w:ilvl w:val="0"/>
          <w:numId w:val="42"/>
        </w:numPr>
        <w:tabs>
          <w:tab w:val="left" w:pos="456"/>
        </w:tabs>
        <w:spacing w:before="12"/>
        <w:ind w:hanging="273"/>
        <w:rPr>
          <w:sz w:val="12"/>
        </w:rPr>
      </w:pPr>
      <w:r>
        <w:rPr>
          <w:color w:val="231F20"/>
          <w:sz w:val="12"/>
        </w:rPr>
        <w:t>jednostranná</w:t>
      </w:r>
      <w:r>
        <w:rPr>
          <w:color w:val="231F20"/>
          <w:spacing w:val="-19"/>
          <w:sz w:val="12"/>
        </w:rPr>
        <w:t xml:space="preserve"> </w:t>
      </w:r>
      <w:r>
        <w:rPr>
          <w:color w:val="231F20"/>
          <w:sz w:val="12"/>
        </w:rPr>
        <w:t>podle</w:t>
      </w:r>
      <w:r>
        <w:rPr>
          <w:color w:val="231F20"/>
          <w:spacing w:val="-18"/>
          <w:sz w:val="12"/>
        </w:rPr>
        <w:t xml:space="preserve"> </w:t>
      </w:r>
      <w:r>
        <w:rPr>
          <w:color w:val="231F20"/>
          <w:sz w:val="12"/>
        </w:rPr>
        <w:t>stupně</w:t>
      </w:r>
    </w:p>
    <w:p w14:paraId="0A6E938B" w14:textId="77777777" w:rsidR="00F65BCA" w:rsidRDefault="00216117">
      <w:pPr>
        <w:pStyle w:val="Odstavecseseznamem"/>
        <w:numPr>
          <w:ilvl w:val="0"/>
          <w:numId w:val="42"/>
        </w:numPr>
        <w:tabs>
          <w:tab w:val="left" w:pos="456"/>
        </w:tabs>
        <w:spacing w:before="37"/>
        <w:ind w:hanging="273"/>
        <w:rPr>
          <w:sz w:val="12"/>
        </w:rPr>
      </w:pPr>
      <w:r>
        <w:rPr>
          <w:color w:val="231F20"/>
          <w:sz w:val="12"/>
        </w:rPr>
        <w:t>oboustranná</w:t>
      </w:r>
      <w:r>
        <w:rPr>
          <w:color w:val="231F20"/>
          <w:spacing w:val="-14"/>
          <w:sz w:val="12"/>
        </w:rPr>
        <w:t xml:space="preserve"> </w:t>
      </w:r>
      <w:r>
        <w:rPr>
          <w:color w:val="231F20"/>
          <w:sz w:val="12"/>
        </w:rPr>
        <w:t>podle</w:t>
      </w:r>
      <w:r>
        <w:rPr>
          <w:color w:val="231F20"/>
          <w:spacing w:val="-14"/>
          <w:sz w:val="12"/>
        </w:rPr>
        <w:t xml:space="preserve"> </w:t>
      </w:r>
      <w:r>
        <w:rPr>
          <w:color w:val="231F20"/>
          <w:sz w:val="12"/>
        </w:rPr>
        <w:t>stupně</w:t>
      </w:r>
    </w:p>
    <w:p w14:paraId="4F1F005B" w14:textId="77777777" w:rsidR="00F65BCA" w:rsidRDefault="00F65BCA">
      <w:pPr>
        <w:pStyle w:val="Zkladntext"/>
        <w:spacing w:before="4"/>
        <w:rPr>
          <w:sz w:val="14"/>
        </w:rPr>
      </w:pPr>
    </w:p>
    <w:p w14:paraId="735D7A1F" w14:textId="77777777" w:rsidR="00F65BCA" w:rsidRDefault="00216117">
      <w:pPr>
        <w:ind w:left="1221" w:right="803"/>
        <w:jc w:val="center"/>
        <w:rPr>
          <w:b/>
          <w:sz w:val="14"/>
        </w:rPr>
      </w:pPr>
      <w:r>
        <w:rPr>
          <w:b/>
          <w:color w:val="231F20"/>
          <w:sz w:val="14"/>
        </w:rPr>
        <w:t>JAZYK</w:t>
      </w:r>
    </w:p>
    <w:p w14:paraId="6422FA02" w14:textId="77777777" w:rsidR="00F65BCA" w:rsidRDefault="00216117">
      <w:pPr>
        <w:pStyle w:val="Odstavecseseznamem"/>
        <w:numPr>
          <w:ilvl w:val="0"/>
          <w:numId w:val="42"/>
        </w:numPr>
        <w:tabs>
          <w:tab w:val="left" w:pos="456"/>
        </w:tabs>
        <w:spacing w:before="45" w:line="249" w:lineRule="auto"/>
        <w:ind w:right="99"/>
        <w:rPr>
          <w:sz w:val="12"/>
        </w:rPr>
      </w:pPr>
      <w:r>
        <w:rPr>
          <w:color w:val="231F20"/>
          <w:sz w:val="12"/>
        </w:rPr>
        <w:t>Stavy</w:t>
      </w:r>
      <w:r>
        <w:rPr>
          <w:color w:val="231F20"/>
          <w:spacing w:val="-22"/>
          <w:sz w:val="12"/>
        </w:rPr>
        <w:t xml:space="preserve"> </w:t>
      </w:r>
      <w:r>
        <w:rPr>
          <w:color w:val="231F20"/>
          <w:sz w:val="12"/>
        </w:rPr>
        <w:t>po</w:t>
      </w:r>
      <w:r>
        <w:rPr>
          <w:color w:val="231F20"/>
          <w:spacing w:val="-21"/>
          <w:sz w:val="12"/>
        </w:rPr>
        <w:t xml:space="preserve"> </w:t>
      </w:r>
      <w:r>
        <w:rPr>
          <w:color w:val="231F20"/>
          <w:sz w:val="12"/>
        </w:rPr>
        <w:t>poranění</w:t>
      </w:r>
      <w:r>
        <w:rPr>
          <w:color w:val="231F20"/>
          <w:spacing w:val="-22"/>
          <w:sz w:val="12"/>
        </w:rPr>
        <w:t xml:space="preserve"> </w:t>
      </w:r>
      <w:r>
        <w:rPr>
          <w:color w:val="231F20"/>
          <w:sz w:val="12"/>
        </w:rPr>
        <w:t>jazyka</w:t>
      </w:r>
      <w:r>
        <w:rPr>
          <w:color w:val="231F20"/>
          <w:spacing w:val="-21"/>
          <w:sz w:val="12"/>
        </w:rPr>
        <w:t xml:space="preserve"> </w:t>
      </w:r>
      <w:r>
        <w:rPr>
          <w:color w:val="231F20"/>
          <w:sz w:val="12"/>
        </w:rPr>
        <w:t>s</w:t>
      </w:r>
      <w:r>
        <w:rPr>
          <w:color w:val="231F20"/>
          <w:spacing w:val="-22"/>
          <w:sz w:val="12"/>
        </w:rPr>
        <w:t xml:space="preserve"> </w:t>
      </w:r>
      <w:r>
        <w:rPr>
          <w:color w:val="231F20"/>
          <w:sz w:val="12"/>
        </w:rPr>
        <w:t>defektem</w:t>
      </w:r>
      <w:r>
        <w:rPr>
          <w:color w:val="231F20"/>
          <w:spacing w:val="-21"/>
          <w:sz w:val="12"/>
        </w:rPr>
        <w:t xml:space="preserve"> </w:t>
      </w:r>
      <w:r>
        <w:rPr>
          <w:color w:val="231F20"/>
          <w:sz w:val="12"/>
        </w:rPr>
        <w:t>tkáně</w:t>
      </w:r>
      <w:r>
        <w:rPr>
          <w:color w:val="231F20"/>
          <w:spacing w:val="-22"/>
          <w:sz w:val="12"/>
        </w:rPr>
        <w:t xml:space="preserve"> </w:t>
      </w:r>
      <w:r>
        <w:rPr>
          <w:color w:val="231F20"/>
          <w:spacing w:val="-4"/>
          <w:sz w:val="12"/>
        </w:rPr>
        <w:t xml:space="preserve">nebo </w:t>
      </w:r>
      <w:r>
        <w:rPr>
          <w:color w:val="231F20"/>
          <w:sz w:val="12"/>
        </w:rPr>
        <w:t>jizevnatými</w:t>
      </w:r>
      <w:r>
        <w:rPr>
          <w:color w:val="231F20"/>
          <w:spacing w:val="-23"/>
          <w:sz w:val="12"/>
        </w:rPr>
        <w:t xml:space="preserve"> </w:t>
      </w:r>
      <w:r>
        <w:rPr>
          <w:color w:val="231F20"/>
          <w:sz w:val="12"/>
        </w:rPr>
        <w:t>deformacemi</w:t>
      </w:r>
      <w:r>
        <w:rPr>
          <w:color w:val="231F20"/>
          <w:spacing w:val="-23"/>
          <w:sz w:val="12"/>
        </w:rPr>
        <w:t xml:space="preserve"> </w:t>
      </w:r>
      <w:r>
        <w:rPr>
          <w:color w:val="231F20"/>
          <w:sz w:val="12"/>
        </w:rPr>
        <w:t>bez</w:t>
      </w:r>
      <w:r>
        <w:rPr>
          <w:color w:val="231F20"/>
          <w:spacing w:val="-22"/>
          <w:sz w:val="12"/>
        </w:rPr>
        <w:t xml:space="preserve"> </w:t>
      </w:r>
      <w:r>
        <w:rPr>
          <w:color w:val="231F20"/>
          <w:sz w:val="12"/>
        </w:rPr>
        <w:t>funkčních</w:t>
      </w:r>
      <w:r>
        <w:rPr>
          <w:color w:val="231F20"/>
          <w:spacing w:val="-23"/>
          <w:sz w:val="12"/>
        </w:rPr>
        <w:t xml:space="preserve"> </w:t>
      </w:r>
      <w:r>
        <w:rPr>
          <w:color w:val="231F20"/>
          <w:sz w:val="12"/>
        </w:rPr>
        <w:t>poruch</w:t>
      </w:r>
    </w:p>
    <w:p w14:paraId="2CDE1D95" w14:textId="77777777" w:rsidR="00F65BCA" w:rsidRDefault="00216117">
      <w:pPr>
        <w:pStyle w:val="Odstavecseseznamem"/>
        <w:numPr>
          <w:ilvl w:val="0"/>
          <w:numId w:val="42"/>
        </w:numPr>
        <w:tabs>
          <w:tab w:val="left" w:pos="456"/>
        </w:tabs>
        <w:spacing w:before="38"/>
        <w:ind w:hanging="273"/>
        <w:rPr>
          <w:sz w:val="12"/>
        </w:rPr>
      </w:pPr>
      <w:r>
        <w:rPr>
          <w:color w:val="231F20"/>
          <w:sz w:val="12"/>
        </w:rPr>
        <w:t>Ztráta chuti podle</w:t>
      </w:r>
      <w:r>
        <w:rPr>
          <w:color w:val="231F20"/>
          <w:spacing w:val="-4"/>
          <w:sz w:val="12"/>
        </w:rPr>
        <w:t xml:space="preserve"> </w:t>
      </w:r>
      <w:r>
        <w:rPr>
          <w:color w:val="231F20"/>
          <w:sz w:val="12"/>
        </w:rPr>
        <w:t>rozsahu</w:t>
      </w:r>
    </w:p>
    <w:p w14:paraId="6021A476" w14:textId="77777777" w:rsidR="00F65BCA" w:rsidRDefault="00F65BCA">
      <w:pPr>
        <w:pStyle w:val="Zkladntext"/>
        <w:spacing w:before="1"/>
        <w:rPr>
          <w:sz w:val="14"/>
        </w:rPr>
      </w:pPr>
    </w:p>
    <w:p w14:paraId="05AF19B7" w14:textId="77777777" w:rsidR="00F65BCA" w:rsidRDefault="00216117">
      <w:pPr>
        <w:ind w:left="1221" w:right="803"/>
        <w:jc w:val="center"/>
        <w:rPr>
          <w:b/>
          <w:sz w:val="14"/>
        </w:rPr>
      </w:pPr>
      <w:r>
        <w:rPr>
          <w:b/>
          <w:color w:val="231F20"/>
          <w:sz w:val="14"/>
        </w:rPr>
        <w:t>ÚRAZY KRKU</w:t>
      </w:r>
    </w:p>
    <w:p w14:paraId="297A229A" w14:textId="77777777" w:rsidR="00F65BCA" w:rsidRDefault="00216117">
      <w:pPr>
        <w:spacing w:before="74" w:line="208" w:lineRule="auto"/>
        <w:ind w:left="455" w:right="222"/>
        <w:rPr>
          <w:sz w:val="12"/>
        </w:rPr>
      </w:pPr>
      <w:r>
        <w:rPr>
          <w:color w:val="231F20"/>
          <w:sz w:val="12"/>
        </w:rPr>
        <w:t>Zúžení</w:t>
      </w:r>
      <w:r>
        <w:rPr>
          <w:color w:val="231F20"/>
          <w:spacing w:val="-18"/>
          <w:sz w:val="12"/>
        </w:rPr>
        <w:t xml:space="preserve"> </w:t>
      </w:r>
      <w:r>
        <w:rPr>
          <w:color w:val="231F20"/>
          <w:sz w:val="12"/>
        </w:rPr>
        <w:t>hrtanu</w:t>
      </w:r>
      <w:r>
        <w:rPr>
          <w:color w:val="231F20"/>
          <w:spacing w:val="-18"/>
          <w:sz w:val="12"/>
        </w:rPr>
        <w:t xml:space="preserve"> </w:t>
      </w:r>
      <w:r>
        <w:rPr>
          <w:color w:val="231F20"/>
          <w:sz w:val="12"/>
        </w:rPr>
        <w:t>a</w:t>
      </w:r>
      <w:r>
        <w:rPr>
          <w:color w:val="231F20"/>
          <w:spacing w:val="-18"/>
          <w:sz w:val="12"/>
        </w:rPr>
        <w:t xml:space="preserve"> </w:t>
      </w:r>
      <w:r>
        <w:rPr>
          <w:color w:val="231F20"/>
          <w:sz w:val="12"/>
        </w:rPr>
        <w:t>průdušnice</w:t>
      </w:r>
      <w:r>
        <w:rPr>
          <w:color w:val="231F20"/>
          <w:spacing w:val="-18"/>
          <w:sz w:val="12"/>
        </w:rPr>
        <w:t xml:space="preserve"> </w:t>
      </w:r>
      <w:r>
        <w:rPr>
          <w:color w:val="231F20"/>
          <w:sz w:val="12"/>
        </w:rPr>
        <w:t>bez</w:t>
      </w:r>
      <w:r>
        <w:rPr>
          <w:color w:val="231F20"/>
          <w:spacing w:val="-18"/>
          <w:sz w:val="12"/>
        </w:rPr>
        <w:t xml:space="preserve"> </w:t>
      </w:r>
      <w:r>
        <w:rPr>
          <w:color w:val="231F20"/>
          <w:spacing w:val="-2"/>
          <w:sz w:val="12"/>
        </w:rPr>
        <w:t xml:space="preserve">souvisejících </w:t>
      </w:r>
      <w:r>
        <w:rPr>
          <w:color w:val="231F20"/>
          <w:sz w:val="12"/>
        </w:rPr>
        <w:t>funkčních</w:t>
      </w:r>
      <w:r>
        <w:rPr>
          <w:color w:val="231F20"/>
          <w:spacing w:val="-1"/>
          <w:sz w:val="12"/>
        </w:rPr>
        <w:t xml:space="preserve"> </w:t>
      </w:r>
      <w:r>
        <w:rPr>
          <w:color w:val="231F20"/>
          <w:sz w:val="12"/>
        </w:rPr>
        <w:t>obtíží</w:t>
      </w:r>
    </w:p>
    <w:p w14:paraId="4D8E2C5C" w14:textId="77777777" w:rsidR="00F65BCA" w:rsidRDefault="00216117">
      <w:pPr>
        <w:pStyle w:val="Odstavecseseznamem"/>
        <w:numPr>
          <w:ilvl w:val="0"/>
          <w:numId w:val="42"/>
        </w:numPr>
        <w:tabs>
          <w:tab w:val="left" w:pos="456"/>
        </w:tabs>
        <w:spacing w:before="49"/>
        <w:ind w:hanging="273"/>
        <w:rPr>
          <w:sz w:val="12"/>
        </w:rPr>
      </w:pPr>
      <w:r>
        <w:rPr>
          <w:color w:val="231F20"/>
          <w:sz w:val="12"/>
        </w:rPr>
        <w:t>lehkého</w:t>
      </w:r>
      <w:r>
        <w:rPr>
          <w:color w:val="231F20"/>
          <w:spacing w:val="-1"/>
          <w:sz w:val="12"/>
        </w:rPr>
        <w:t xml:space="preserve"> </w:t>
      </w:r>
      <w:r>
        <w:rPr>
          <w:color w:val="231F20"/>
          <w:sz w:val="12"/>
        </w:rPr>
        <w:t>stupně</w:t>
      </w:r>
    </w:p>
    <w:p w14:paraId="6248AB06" w14:textId="77777777" w:rsidR="00F65BCA" w:rsidRDefault="00216117">
      <w:pPr>
        <w:pStyle w:val="Odstavecseseznamem"/>
        <w:numPr>
          <w:ilvl w:val="0"/>
          <w:numId w:val="42"/>
        </w:numPr>
        <w:tabs>
          <w:tab w:val="left" w:pos="456"/>
        </w:tabs>
        <w:spacing w:before="38"/>
        <w:ind w:hanging="273"/>
        <w:rPr>
          <w:sz w:val="12"/>
        </w:rPr>
      </w:pPr>
      <w:r>
        <w:rPr>
          <w:color w:val="231F20"/>
          <w:sz w:val="12"/>
        </w:rPr>
        <w:t>středního</w:t>
      </w:r>
      <w:r>
        <w:rPr>
          <w:color w:val="231F20"/>
          <w:spacing w:val="-1"/>
          <w:sz w:val="12"/>
        </w:rPr>
        <w:t xml:space="preserve"> </w:t>
      </w:r>
      <w:r>
        <w:rPr>
          <w:color w:val="231F20"/>
          <w:sz w:val="12"/>
        </w:rPr>
        <w:t>stupně</w:t>
      </w:r>
    </w:p>
    <w:p w14:paraId="18D5EAB6" w14:textId="77777777" w:rsidR="00F65BCA" w:rsidRDefault="00216117">
      <w:pPr>
        <w:pStyle w:val="Odstavecseseznamem"/>
        <w:numPr>
          <w:ilvl w:val="0"/>
          <w:numId w:val="42"/>
        </w:numPr>
        <w:tabs>
          <w:tab w:val="left" w:pos="456"/>
        </w:tabs>
        <w:spacing w:before="38"/>
        <w:ind w:hanging="273"/>
        <w:rPr>
          <w:sz w:val="12"/>
        </w:rPr>
      </w:pPr>
      <w:r>
        <w:rPr>
          <w:color w:val="231F20"/>
          <w:sz w:val="12"/>
        </w:rPr>
        <w:t>těžkého</w:t>
      </w:r>
      <w:r>
        <w:rPr>
          <w:color w:val="231F20"/>
          <w:spacing w:val="-1"/>
          <w:sz w:val="12"/>
        </w:rPr>
        <w:t xml:space="preserve"> </w:t>
      </w:r>
      <w:r>
        <w:rPr>
          <w:color w:val="231F20"/>
          <w:sz w:val="12"/>
        </w:rPr>
        <w:t>stupně</w:t>
      </w:r>
    </w:p>
    <w:p w14:paraId="619A0050" w14:textId="77777777" w:rsidR="00F65BCA" w:rsidRDefault="00216117">
      <w:pPr>
        <w:pStyle w:val="Odstavecseseznamem"/>
        <w:numPr>
          <w:ilvl w:val="0"/>
          <w:numId w:val="42"/>
        </w:numPr>
        <w:tabs>
          <w:tab w:val="left" w:pos="456"/>
        </w:tabs>
        <w:spacing w:before="27" w:line="242" w:lineRule="auto"/>
        <w:ind w:right="38"/>
        <w:rPr>
          <w:sz w:val="12"/>
        </w:rPr>
      </w:pPr>
      <w:r>
        <w:rPr>
          <w:color w:val="231F20"/>
          <w:sz w:val="12"/>
        </w:rPr>
        <w:t>Stav</w:t>
      </w:r>
      <w:r>
        <w:rPr>
          <w:color w:val="231F20"/>
          <w:spacing w:val="-13"/>
          <w:sz w:val="12"/>
        </w:rPr>
        <w:t xml:space="preserve"> </w:t>
      </w:r>
      <w:r>
        <w:rPr>
          <w:color w:val="231F20"/>
          <w:sz w:val="12"/>
        </w:rPr>
        <w:t>po</w:t>
      </w:r>
      <w:r>
        <w:rPr>
          <w:color w:val="231F20"/>
          <w:spacing w:val="-13"/>
          <w:sz w:val="12"/>
        </w:rPr>
        <w:t xml:space="preserve"> </w:t>
      </w:r>
      <w:r>
        <w:rPr>
          <w:color w:val="231F20"/>
          <w:sz w:val="12"/>
        </w:rPr>
        <w:t>tracheotomii</w:t>
      </w:r>
      <w:r>
        <w:rPr>
          <w:color w:val="231F20"/>
          <w:spacing w:val="-12"/>
          <w:sz w:val="12"/>
        </w:rPr>
        <w:t xml:space="preserve"> </w:t>
      </w:r>
      <w:r>
        <w:rPr>
          <w:color w:val="231F20"/>
          <w:sz w:val="12"/>
        </w:rPr>
        <w:t>s</w:t>
      </w:r>
      <w:r>
        <w:rPr>
          <w:color w:val="231F20"/>
          <w:spacing w:val="-13"/>
          <w:sz w:val="12"/>
        </w:rPr>
        <w:t xml:space="preserve"> </w:t>
      </w:r>
      <w:r>
        <w:rPr>
          <w:color w:val="231F20"/>
          <w:sz w:val="12"/>
        </w:rPr>
        <w:t>trvale</w:t>
      </w:r>
      <w:r>
        <w:rPr>
          <w:color w:val="231F20"/>
          <w:spacing w:val="-12"/>
          <w:sz w:val="12"/>
        </w:rPr>
        <w:t xml:space="preserve"> </w:t>
      </w:r>
      <w:r>
        <w:rPr>
          <w:color w:val="231F20"/>
          <w:sz w:val="12"/>
        </w:rPr>
        <w:t>zavedenou</w:t>
      </w:r>
      <w:r>
        <w:rPr>
          <w:color w:val="231F20"/>
          <w:spacing w:val="-13"/>
          <w:sz w:val="12"/>
        </w:rPr>
        <w:t xml:space="preserve"> </w:t>
      </w:r>
      <w:r>
        <w:rPr>
          <w:color w:val="231F20"/>
          <w:spacing w:val="-3"/>
          <w:sz w:val="12"/>
        </w:rPr>
        <w:t xml:space="preserve">kanylou </w:t>
      </w:r>
      <w:r>
        <w:rPr>
          <w:color w:val="231F20"/>
          <w:sz w:val="12"/>
        </w:rPr>
        <w:t>včetně souvisejících funkčních</w:t>
      </w:r>
      <w:r>
        <w:rPr>
          <w:color w:val="231F20"/>
          <w:spacing w:val="-12"/>
          <w:sz w:val="12"/>
        </w:rPr>
        <w:t xml:space="preserve"> </w:t>
      </w:r>
      <w:r>
        <w:rPr>
          <w:color w:val="231F20"/>
          <w:sz w:val="12"/>
        </w:rPr>
        <w:t>poruch</w:t>
      </w:r>
    </w:p>
    <w:p w14:paraId="6C0ADFBE" w14:textId="77777777" w:rsidR="00F65BCA" w:rsidRDefault="00216117">
      <w:pPr>
        <w:pStyle w:val="Odstavecseseznamem"/>
        <w:numPr>
          <w:ilvl w:val="0"/>
          <w:numId w:val="42"/>
        </w:numPr>
        <w:tabs>
          <w:tab w:val="left" w:pos="456"/>
        </w:tabs>
        <w:spacing w:before="44"/>
        <w:ind w:hanging="273"/>
        <w:rPr>
          <w:sz w:val="12"/>
        </w:rPr>
      </w:pPr>
      <w:r>
        <w:rPr>
          <w:color w:val="231F20"/>
          <w:sz w:val="12"/>
        </w:rPr>
        <w:t>Poruchy hlasu až ztráta</w:t>
      </w:r>
      <w:r>
        <w:rPr>
          <w:color w:val="231F20"/>
          <w:spacing w:val="-8"/>
          <w:sz w:val="12"/>
        </w:rPr>
        <w:t xml:space="preserve"> </w:t>
      </w:r>
      <w:r>
        <w:rPr>
          <w:color w:val="231F20"/>
          <w:sz w:val="12"/>
        </w:rPr>
        <w:t>hlasu</w:t>
      </w:r>
    </w:p>
    <w:p w14:paraId="78365E54" w14:textId="77777777" w:rsidR="00F65BCA" w:rsidRDefault="00216117">
      <w:pPr>
        <w:pStyle w:val="Odstavecseseznamem"/>
        <w:numPr>
          <w:ilvl w:val="0"/>
          <w:numId w:val="42"/>
        </w:numPr>
        <w:tabs>
          <w:tab w:val="left" w:pos="456"/>
        </w:tabs>
        <w:spacing w:before="26" w:line="123" w:lineRule="exact"/>
        <w:ind w:hanging="273"/>
        <w:rPr>
          <w:sz w:val="12"/>
        </w:rPr>
      </w:pPr>
      <w:r>
        <w:rPr>
          <w:color w:val="231F20"/>
          <w:sz w:val="12"/>
        </w:rPr>
        <w:t>Ztížení</w:t>
      </w:r>
      <w:r>
        <w:rPr>
          <w:color w:val="231F20"/>
          <w:spacing w:val="-10"/>
          <w:sz w:val="12"/>
        </w:rPr>
        <w:t xml:space="preserve"> </w:t>
      </w:r>
      <w:r>
        <w:rPr>
          <w:color w:val="231F20"/>
          <w:sz w:val="12"/>
        </w:rPr>
        <w:t>až</w:t>
      </w:r>
      <w:r>
        <w:rPr>
          <w:color w:val="231F20"/>
          <w:spacing w:val="-9"/>
          <w:sz w:val="12"/>
        </w:rPr>
        <w:t xml:space="preserve"> </w:t>
      </w:r>
      <w:r>
        <w:rPr>
          <w:color w:val="231F20"/>
          <w:sz w:val="12"/>
        </w:rPr>
        <w:t>ztráta</w:t>
      </w:r>
      <w:r>
        <w:rPr>
          <w:color w:val="231F20"/>
          <w:spacing w:val="-9"/>
          <w:sz w:val="12"/>
        </w:rPr>
        <w:t xml:space="preserve"> </w:t>
      </w:r>
      <w:r>
        <w:rPr>
          <w:color w:val="231F20"/>
          <w:sz w:val="12"/>
        </w:rPr>
        <w:t>mluvy</w:t>
      </w:r>
      <w:r>
        <w:rPr>
          <w:color w:val="231F20"/>
          <w:spacing w:val="-9"/>
          <w:sz w:val="12"/>
        </w:rPr>
        <w:t xml:space="preserve"> </w:t>
      </w:r>
      <w:r>
        <w:rPr>
          <w:color w:val="231F20"/>
          <w:sz w:val="12"/>
        </w:rPr>
        <w:t>následkem</w:t>
      </w:r>
      <w:r>
        <w:rPr>
          <w:color w:val="231F20"/>
          <w:spacing w:val="-9"/>
          <w:sz w:val="12"/>
        </w:rPr>
        <w:t xml:space="preserve"> </w:t>
      </w:r>
      <w:r>
        <w:rPr>
          <w:color w:val="231F20"/>
          <w:sz w:val="12"/>
        </w:rPr>
        <w:t>poškození</w:t>
      </w:r>
    </w:p>
    <w:p w14:paraId="58CDA258" w14:textId="77777777" w:rsidR="00F65BCA" w:rsidRDefault="00216117">
      <w:pPr>
        <w:pStyle w:val="Zkladntext"/>
        <w:spacing w:before="5"/>
        <w:rPr>
          <w:sz w:val="11"/>
        </w:rPr>
      </w:pPr>
      <w:r>
        <w:br w:type="column"/>
      </w:r>
    </w:p>
    <w:p w14:paraId="63D9DE1D" w14:textId="77777777" w:rsidR="00F65BCA" w:rsidRDefault="00216117">
      <w:pPr>
        <w:spacing w:before="1"/>
        <w:ind w:left="352"/>
        <w:rPr>
          <w:sz w:val="12"/>
        </w:rPr>
      </w:pPr>
      <w:r>
        <w:rPr>
          <w:color w:val="231F20"/>
          <w:sz w:val="12"/>
        </w:rPr>
        <w:t>25</w:t>
      </w:r>
      <w:r>
        <w:rPr>
          <w:color w:val="231F20"/>
          <w:spacing w:val="-20"/>
          <w:sz w:val="12"/>
        </w:rPr>
        <w:t xml:space="preserve"> </w:t>
      </w:r>
      <w:r>
        <w:rPr>
          <w:color w:val="231F20"/>
          <w:sz w:val="12"/>
        </w:rPr>
        <w:t>%</w:t>
      </w:r>
    </w:p>
    <w:p w14:paraId="382AD7B3" w14:textId="77777777" w:rsidR="00F65BCA" w:rsidRDefault="00216117">
      <w:pPr>
        <w:spacing w:before="37"/>
        <w:ind w:left="352"/>
        <w:rPr>
          <w:sz w:val="12"/>
        </w:rPr>
      </w:pPr>
      <w:r>
        <w:rPr>
          <w:color w:val="231F20"/>
          <w:sz w:val="12"/>
        </w:rPr>
        <w:t>35</w:t>
      </w:r>
      <w:r>
        <w:rPr>
          <w:color w:val="231F20"/>
          <w:spacing w:val="-20"/>
          <w:sz w:val="12"/>
        </w:rPr>
        <w:t xml:space="preserve"> </w:t>
      </w:r>
      <w:r>
        <w:rPr>
          <w:color w:val="231F20"/>
          <w:sz w:val="12"/>
        </w:rPr>
        <w:t>%</w:t>
      </w:r>
    </w:p>
    <w:p w14:paraId="5EA1CDB6" w14:textId="77777777" w:rsidR="00F65BCA" w:rsidRDefault="00216117">
      <w:pPr>
        <w:spacing w:before="38"/>
        <w:ind w:left="352"/>
        <w:rPr>
          <w:sz w:val="12"/>
        </w:rPr>
      </w:pPr>
      <w:r>
        <w:rPr>
          <w:color w:val="231F20"/>
          <w:sz w:val="12"/>
        </w:rPr>
        <w:t>58</w:t>
      </w:r>
      <w:r>
        <w:rPr>
          <w:color w:val="231F20"/>
          <w:spacing w:val="-20"/>
          <w:sz w:val="12"/>
        </w:rPr>
        <w:t xml:space="preserve"> </w:t>
      </w:r>
      <w:r>
        <w:rPr>
          <w:color w:val="231F20"/>
          <w:sz w:val="12"/>
        </w:rPr>
        <w:t>%</w:t>
      </w:r>
    </w:p>
    <w:p w14:paraId="005D973D" w14:textId="77777777" w:rsidR="00F65BCA" w:rsidRDefault="00F65BCA">
      <w:pPr>
        <w:pStyle w:val="Zkladntext"/>
        <w:spacing w:before="7"/>
        <w:rPr>
          <w:sz w:val="18"/>
        </w:rPr>
      </w:pPr>
    </w:p>
    <w:p w14:paraId="217FA3A7" w14:textId="77777777" w:rsidR="00F65BCA" w:rsidRDefault="00216117">
      <w:pPr>
        <w:ind w:left="250"/>
        <w:rPr>
          <w:sz w:val="12"/>
        </w:rPr>
      </w:pPr>
      <w:r>
        <w:rPr>
          <w:color w:val="231F20"/>
          <w:sz w:val="12"/>
        </w:rPr>
        <w:t>do 5</w:t>
      </w:r>
      <w:r>
        <w:rPr>
          <w:color w:val="231F20"/>
          <w:spacing w:val="-17"/>
          <w:sz w:val="12"/>
        </w:rPr>
        <w:t xml:space="preserve"> </w:t>
      </w:r>
      <w:r>
        <w:rPr>
          <w:color w:val="231F20"/>
          <w:sz w:val="12"/>
        </w:rPr>
        <w:t>%</w:t>
      </w:r>
    </w:p>
    <w:p w14:paraId="38B602C1" w14:textId="77777777" w:rsidR="00F65BCA" w:rsidRDefault="00216117">
      <w:pPr>
        <w:spacing w:before="37"/>
        <w:ind w:left="183"/>
        <w:rPr>
          <w:sz w:val="12"/>
        </w:rPr>
      </w:pPr>
      <w:r>
        <w:rPr>
          <w:color w:val="231F20"/>
          <w:sz w:val="12"/>
        </w:rPr>
        <w:t>do 20</w:t>
      </w:r>
      <w:r>
        <w:rPr>
          <w:color w:val="231F20"/>
          <w:spacing w:val="-17"/>
          <w:sz w:val="12"/>
        </w:rPr>
        <w:t xml:space="preserve"> </w:t>
      </w:r>
      <w:r>
        <w:rPr>
          <w:color w:val="231F20"/>
          <w:sz w:val="12"/>
        </w:rPr>
        <w:t>%</w:t>
      </w:r>
    </w:p>
    <w:p w14:paraId="39947A1C" w14:textId="77777777" w:rsidR="00F65BCA" w:rsidRDefault="00216117">
      <w:pPr>
        <w:spacing w:before="38"/>
        <w:ind w:left="183"/>
        <w:rPr>
          <w:sz w:val="12"/>
        </w:rPr>
      </w:pPr>
      <w:r>
        <w:rPr>
          <w:color w:val="231F20"/>
          <w:sz w:val="12"/>
        </w:rPr>
        <w:t>do 30</w:t>
      </w:r>
      <w:r>
        <w:rPr>
          <w:color w:val="231F20"/>
          <w:spacing w:val="-17"/>
          <w:sz w:val="12"/>
        </w:rPr>
        <w:t xml:space="preserve"> </w:t>
      </w:r>
      <w:r>
        <w:rPr>
          <w:color w:val="231F20"/>
          <w:sz w:val="12"/>
        </w:rPr>
        <w:t>%</w:t>
      </w:r>
    </w:p>
    <w:p w14:paraId="101D4F67" w14:textId="77777777" w:rsidR="00F65BCA" w:rsidRDefault="00F65BCA">
      <w:pPr>
        <w:pStyle w:val="Zkladntext"/>
        <w:spacing w:before="7"/>
        <w:rPr>
          <w:sz w:val="18"/>
        </w:rPr>
      </w:pPr>
    </w:p>
    <w:p w14:paraId="4F7BE3FB" w14:textId="77777777" w:rsidR="00F65BCA" w:rsidRDefault="00216117">
      <w:pPr>
        <w:ind w:right="38"/>
        <w:jc w:val="right"/>
        <w:rPr>
          <w:sz w:val="12"/>
        </w:rPr>
      </w:pPr>
      <w:r>
        <w:rPr>
          <w:color w:val="231F20"/>
          <w:sz w:val="12"/>
        </w:rPr>
        <w:t>0</w:t>
      </w:r>
      <w:r>
        <w:rPr>
          <w:color w:val="231F20"/>
          <w:spacing w:val="-20"/>
          <w:sz w:val="12"/>
        </w:rPr>
        <w:t xml:space="preserve"> </w:t>
      </w:r>
      <w:r>
        <w:rPr>
          <w:color w:val="231F20"/>
          <w:sz w:val="12"/>
        </w:rPr>
        <w:t>%</w:t>
      </w:r>
    </w:p>
    <w:p w14:paraId="5EE5EB8C" w14:textId="77777777" w:rsidR="00F65BCA" w:rsidRDefault="00216117">
      <w:pPr>
        <w:spacing w:before="38"/>
        <w:ind w:right="38"/>
        <w:jc w:val="right"/>
        <w:rPr>
          <w:sz w:val="12"/>
        </w:rPr>
      </w:pPr>
      <w:r>
        <w:rPr>
          <w:color w:val="231F20"/>
          <w:sz w:val="12"/>
        </w:rPr>
        <w:t>4</w:t>
      </w:r>
      <w:r>
        <w:rPr>
          <w:color w:val="231F20"/>
          <w:spacing w:val="-20"/>
          <w:sz w:val="12"/>
        </w:rPr>
        <w:t xml:space="preserve"> </w:t>
      </w:r>
      <w:r>
        <w:rPr>
          <w:color w:val="231F20"/>
          <w:sz w:val="12"/>
        </w:rPr>
        <w:t>%</w:t>
      </w:r>
    </w:p>
    <w:p w14:paraId="358A521F" w14:textId="77777777" w:rsidR="00F65BCA" w:rsidRDefault="00216117">
      <w:pPr>
        <w:spacing w:before="37"/>
        <w:ind w:right="38"/>
        <w:jc w:val="right"/>
        <w:rPr>
          <w:sz w:val="12"/>
        </w:rPr>
      </w:pPr>
      <w:r>
        <w:rPr>
          <w:color w:val="231F20"/>
          <w:sz w:val="12"/>
        </w:rPr>
        <w:t>do 10</w:t>
      </w:r>
      <w:r>
        <w:rPr>
          <w:color w:val="231F20"/>
          <w:spacing w:val="-17"/>
          <w:sz w:val="12"/>
        </w:rPr>
        <w:t xml:space="preserve"> </w:t>
      </w:r>
      <w:r>
        <w:rPr>
          <w:color w:val="231F20"/>
          <w:sz w:val="12"/>
        </w:rPr>
        <w:t>%</w:t>
      </w:r>
    </w:p>
    <w:p w14:paraId="167D3732" w14:textId="77777777" w:rsidR="00F65BCA" w:rsidRDefault="00F65BCA">
      <w:pPr>
        <w:pStyle w:val="Zkladntext"/>
        <w:spacing w:before="7"/>
        <w:rPr>
          <w:sz w:val="18"/>
        </w:rPr>
      </w:pPr>
    </w:p>
    <w:p w14:paraId="5CBB3B06" w14:textId="77777777" w:rsidR="00F65BCA" w:rsidRDefault="00216117">
      <w:pPr>
        <w:ind w:left="183"/>
        <w:rPr>
          <w:sz w:val="12"/>
        </w:rPr>
      </w:pPr>
      <w:r>
        <w:rPr>
          <w:color w:val="231F20"/>
          <w:sz w:val="12"/>
        </w:rPr>
        <w:t>do 15</w:t>
      </w:r>
      <w:r>
        <w:rPr>
          <w:color w:val="231F20"/>
          <w:spacing w:val="-17"/>
          <w:sz w:val="12"/>
        </w:rPr>
        <w:t xml:space="preserve"> </w:t>
      </w:r>
      <w:r>
        <w:rPr>
          <w:color w:val="231F20"/>
          <w:sz w:val="12"/>
        </w:rPr>
        <w:t>%</w:t>
      </w:r>
    </w:p>
    <w:p w14:paraId="15D4486C" w14:textId="77777777" w:rsidR="00F65BCA" w:rsidRDefault="00216117">
      <w:pPr>
        <w:spacing w:before="38"/>
        <w:ind w:left="183"/>
        <w:rPr>
          <w:sz w:val="12"/>
        </w:rPr>
      </w:pPr>
      <w:r>
        <w:rPr>
          <w:color w:val="231F20"/>
          <w:sz w:val="12"/>
        </w:rPr>
        <w:t>do 40</w:t>
      </w:r>
      <w:r>
        <w:rPr>
          <w:color w:val="231F20"/>
          <w:spacing w:val="-17"/>
          <w:sz w:val="12"/>
        </w:rPr>
        <w:t xml:space="preserve"> </w:t>
      </w:r>
      <w:r>
        <w:rPr>
          <w:color w:val="231F20"/>
          <w:sz w:val="12"/>
        </w:rPr>
        <w:t>%</w:t>
      </w:r>
    </w:p>
    <w:p w14:paraId="0BEB18A6" w14:textId="77777777" w:rsidR="00F65BCA" w:rsidRDefault="00F65BCA">
      <w:pPr>
        <w:pStyle w:val="Zkladntext"/>
        <w:rPr>
          <w:sz w:val="14"/>
        </w:rPr>
      </w:pPr>
    </w:p>
    <w:p w14:paraId="551D61BC" w14:textId="77777777" w:rsidR="00F65BCA" w:rsidRDefault="00F65BCA">
      <w:pPr>
        <w:pStyle w:val="Zkladntext"/>
        <w:rPr>
          <w:sz w:val="14"/>
        </w:rPr>
      </w:pPr>
    </w:p>
    <w:p w14:paraId="633B436F" w14:textId="77777777" w:rsidR="00F65BCA" w:rsidRDefault="00F65BCA">
      <w:pPr>
        <w:pStyle w:val="Zkladntext"/>
        <w:spacing w:before="6"/>
        <w:rPr>
          <w:sz w:val="12"/>
        </w:rPr>
      </w:pPr>
    </w:p>
    <w:p w14:paraId="7396E6DE" w14:textId="77777777" w:rsidR="00F65BCA" w:rsidRDefault="00216117">
      <w:pPr>
        <w:ind w:right="38"/>
        <w:jc w:val="right"/>
        <w:rPr>
          <w:sz w:val="12"/>
        </w:rPr>
      </w:pPr>
      <w:r>
        <w:rPr>
          <w:color w:val="231F20"/>
          <w:sz w:val="12"/>
        </w:rPr>
        <w:t>5</w:t>
      </w:r>
      <w:r>
        <w:rPr>
          <w:color w:val="231F20"/>
          <w:spacing w:val="-20"/>
          <w:sz w:val="12"/>
        </w:rPr>
        <w:t xml:space="preserve"> </w:t>
      </w:r>
      <w:r>
        <w:rPr>
          <w:color w:val="231F20"/>
          <w:sz w:val="12"/>
        </w:rPr>
        <w:t>%</w:t>
      </w:r>
    </w:p>
    <w:p w14:paraId="7F23C1EA" w14:textId="77777777" w:rsidR="00F65BCA" w:rsidRDefault="00216117">
      <w:pPr>
        <w:spacing w:before="111"/>
        <w:ind w:right="38"/>
        <w:jc w:val="right"/>
        <w:rPr>
          <w:sz w:val="12"/>
        </w:rPr>
      </w:pPr>
      <w:r>
        <w:rPr>
          <w:color w:val="231F20"/>
          <w:sz w:val="12"/>
        </w:rPr>
        <w:t>do 10</w:t>
      </w:r>
      <w:r>
        <w:rPr>
          <w:color w:val="231F20"/>
          <w:spacing w:val="-17"/>
          <w:sz w:val="12"/>
        </w:rPr>
        <w:t xml:space="preserve"> </w:t>
      </w:r>
      <w:r>
        <w:rPr>
          <w:color w:val="231F20"/>
          <w:sz w:val="12"/>
        </w:rPr>
        <w:t>%</w:t>
      </w:r>
    </w:p>
    <w:p w14:paraId="19D3242C" w14:textId="77777777" w:rsidR="00F65BCA" w:rsidRDefault="00F65BCA">
      <w:pPr>
        <w:pStyle w:val="Zkladntext"/>
        <w:rPr>
          <w:sz w:val="14"/>
        </w:rPr>
      </w:pPr>
    </w:p>
    <w:p w14:paraId="541F70B1" w14:textId="77777777" w:rsidR="00F65BCA" w:rsidRDefault="00F65BCA">
      <w:pPr>
        <w:pStyle w:val="Zkladntext"/>
        <w:rPr>
          <w:sz w:val="14"/>
        </w:rPr>
      </w:pPr>
    </w:p>
    <w:p w14:paraId="553325CB" w14:textId="77777777" w:rsidR="00F65BCA" w:rsidRDefault="00F65BCA">
      <w:pPr>
        <w:pStyle w:val="Zkladntext"/>
        <w:rPr>
          <w:sz w:val="14"/>
        </w:rPr>
      </w:pPr>
    </w:p>
    <w:p w14:paraId="263DC160" w14:textId="77777777" w:rsidR="00F65BCA" w:rsidRDefault="00F65BCA">
      <w:pPr>
        <w:pStyle w:val="Zkladntext"/>
        <w:spacing w:before="8"/>
        <w:rPr>
          <w:sz w:val="17"/>
        </w:rPr>
      </w:pPr>
    </w:p>
    <w:p w14:paraId="2A30578B" w14:textId="77777777" w:rsidR="00F65BCA" w:rsidRDefault="00216117">
      <w:pPr>
        <w:ind w:left="352"/>
        <w:rPr>
          <w:sz w:val="12"/>
        </w:rPr>
      </w:pPr>
      <w:r>
        <w:rPr>
          <w:color w:val="231F20"/>
          <w:sz w:val="12"/>
        </w:rPr>
        <w:t>10</w:t>
      </w:r>
      <w:r>
        <w:rPr>
          <w:color w:val="231F20"/>
          <w:spacing w:val="-20"/>
          <w:sz w:val="12"/>
        </w:rPr>
        <w:t xml:space="preserve"> </w:t>
      </w:r>
      <w:r>
        <w:rPr>
          <w:color w:val="231F20"/>
          <w:sz w:val="12"/>
        </w:rPr>
        <w:t>%</w:t>
      </w:r>
    </w:p>
    <w:p w14:paraId="1B9B36E8" w14:textId="77777777" w:rsidR="00F65BCA" w:rsidRDefault="00216117">
      <w:pPr>
        <w:spacing w:before="38"/>
        <w:ind w:left="352"/>
        <w:rPr>
          <w:sz w:val="12"/>
        </w:rPr>
      </w:pPr>
      <w:r>
        <w:rPr>
          <w:color w:val="231F20"/>
          <w:sz w:val="12"/>
        </w:rPr>
        <w:t>15</w:t>
      </w:r>
      <w:r>
        <w:rPr>
          <w:color w:val="231F20"/>
          <w:spacing w:val="-20"/>
          <w:sz w:val="12"/>
        </w:rPr>
        <w:t xml:space="preserve"> </w:t>
      </w:r>
      <w:r>
        <w:rPr>
          <w:color w:val="231F20"/>
          <w:sz w:val="12"/>
        </w:rPr>
        <w:t>%</w:t>
      </w:r>
    </w:p>
    <w:p w14:paraId="2C9619BB" w14:textId="77777777" w:rsidR="00F65BCA" w:rsidRDefault="00216117">
      <w:pPr>
        <w:spacing w:before="38"/>
        <w:ind w:left="352"/>
        <w:rPr>
          <w:sz w:val="12"/>
        </w:rPr>
      </w:pPr>
      <w:r>
        <w:rPr>
          <w:color w:val="231F20"/>
          <w:sz w:val="12"/>
        </w:rPr>
        <w:t>30</w:t>
      </w:r>
      <w:r>
        <w:rPr>
          <w:color w:val="231F20"/>
          <w:spacing w:val="-20"/>
          <w:sz w:val="12"/>
        </w:rPr>
        <w:t xml:space="preserve"> </w:t>
      </w:r>
      <w:r>
        <w:rPr>
          <w:color w:val="231F20"/>
          <w:sz w:val="12"/>
        </w:rPr>
        <w:t>%</w:t>
      </w:r>
    </w:p>
    <w:p w14:paraId="1565DE4C" w14:textId="77777777" w:rsidR="00F65BCA" w:rsidRDefault="00216117">
      <w:pPr>
        <w:spacing w:before="106"/>
        <w:ind w:right="38"/>
        <w:jc w:val="right"/>
        <w:rPr>
          <w:sz w:val="12"/>
        </w:rPr>
      </w:pPr>
      <w:r>
        <w:rPr>
          <w:color w:val="231F20"/>
          <w:sz w:val="12"/>
        </w:rPr>
        <w:t>50</w:t>
      </w:r>
      <w:r>
        <w:rPr>
          <w:color w:val="231F20"/>
          <w:spacing w:val="-20"/>
          <w:sz w:val="12"/>
        </w:rPr>
        <w:t xml:space="preserve"> </w:t>
      </w:r>
      <w:r>
        <w:rPr>
          <w:color w:val="231F20"/>
          <w:sz w:val="12"/>
        </w:rPr>
        <w:t>%</w:t>
      </w:r>
    </w:p>
    <w:p w14:paraId="000DC867" w14:textId="77777777" w:rsidR="00F65BCA" w:rsidRDefault="00216117">
      <w:pPr>
        <w:spacing w:before="105"/>
        <w:ind w:right="38"/>
        <w:jc w:val="right"/>
        <w:rPr>
          <w:sz w:val="12"/>
        </w:rPr>
      </w:pPr>
      <w:r>
        <w:rPr>
          <w:color w:val="231F20"/>
          <w:sz w:val="12"/>
        </w:rPr>
        <w:t>27</w:t>
      </w:r>
      <w:r>
        <w:rPr>
          <w:color w:val="231F20"/>
          <w:spacing w:val="-20"/>
          <w:sz w:val="12"/>
        </w:rPr>
        <w:t xml:space="preserve"> </w:t>
      </w:r>
      <w:r>
        <w:rPr>
          <w:color w:val="231F20"/>
          <w:sz w:val="12"/>
        </w:rPr>
        <w:t>%</w:t>
      </w:r>
    </w:p>
    <w:p w14:paraId="2BCDD323" w14:textId="77777777" w:rsidR="00F65BCA" w:rsidRDefault="00216117">
      <w:pPr>
        <w:spacing w:before="106" w:line="44" w:lineRule="exact"/>
        <w:ind w:left="352"/>
        <w:rPr>
          <w:sz w:val="12"/>
        </w:rPr>
      </w:pPr>
      <w:r>
        <w:rPr>
          <w:color w:val="231F20"/>
          <w:sz w:val="12"/>
        </w:rPr>
        <w:t>36</w:t>
      </w:r>
      <w:r>
        <w:rPr>
          <w:color w:val="231F20"/>
          <w:spacing w:val="-20"/>
          <w:sz w:val="12"/>
        </w:rPr>
        <w:t xml:space="preserve"> </w:t>
      </w:r>
      <w:r>
        <w:rPr>
          <w:color w:val="231F20"/>
          <w:sz w:val="12"/>
        </w:rPr>
        <w:t>%</w:t>
      </w:r>
    </w:p>
    <w:p w14:paraId="1229B6A4" w14:textId="77777777" w:rsidR="00F65BCA" w:rsidRDefault="00216117">
      <w:pPr>
        <w:pStyle w:val="Odstavecseseznamem"/>
        <w:numPr>
          <w:ilvl w:val="0"/>
          <w:numId w:val="41"/>
        </w:numPr>
        <w:tabs>
          <w:tab w:val="left" w:pos="456"/>
        </w:tabs>
        <w:spacing w:before="5"/>
        <w:ind w:hanging="273"/>
        <w:rPr>
          <w:sz w:val="12"/>
        </w:rPr>
      </w:pPr>
      <w:r>
        <w:rPr>
          <w:color w:val="231F20"/>
          <w:w w:val="96"/>
          <w:sz w:val="12"/>
        </w:rPr>
        <w:br w:type="column"/>
      </w:r>
      <w:r>
        <w:rPr>
          <w:color w:val="231F20"/>
          <w:sz w:val="12"/>
        </w:rPr>
        <w:t>Ztráta obou</w:t>
      </w:r>
      <w:r>
        <w:rPr>
          <w:color w:val="231F20"/>
          <w:spacing w:val="-2"/>
          <w:sz w:val="12"/>
        </w:rPr>
        <w:t xml:space="preserve"> </w:t>
      </w:r>
      <w:r>
        <w:rPr>
          <w:color w:val="231F20"/>
          <w:sz w:val="12"/>
        </w:rPr>
        <w:t>ledvin</w:t>
      </w:r>
    </w:p>
    <w:p w14:paraId="65507948" w14:textId="77777777" w:rsidR="00F65BCA" w:rsidRDefault="00216117">
      <w:pPr>
        <w:pStyle w:val="Odstavecseseznamem"/>
        <w:numPr>
          <w:ilvl w:val="0"/>
          <w:numId w:val="41"/>
        </w:numPr>
        <w:tabs>
          <w:tab w:val="left" w:pos="456"/>
        </w:tabs>
        <w:spacing w:before="43"/>
        <w:ind w:hanging="273"/>
        <w:rPr>
          <w:sz w:val="12"/>
        </w:rPr>
      </w:pPr>
      <w:r>
        <w:rPr>
          <w:color w:val="231F20"/>
          <w:sz w:val="12"/>
        </w:rPr>
        <w:t>Poškození</w:t>
      </w:r>
      <w:r>
        <w:rPr>
          <w:color w:val="231F20"/>
          <w:spacing w:val="-10"/>
          <w:sz w:val="12"/>
        </w:rPr>
        <w:t xml:space="preserve"> </w:t>
      </w:r>
      <w:r>
        <w:rPr>
          <w:color w:val="231F20"/>
          <w:sz w:val="12"/>
        </w:rPr>
        <w:t>funkce</w:t>
      </w:r>
      <w:r>
        <w:rPr>
          <w:color w:val="231F20"/>
          <w:spacing w:val="-10"/>
          <w:sz w:val="12"/>
        </w:rPr>
        <w:t xml:space="preserve"> </w:t>
      </w:r>
      <w:r>
        <w:rPr>
          <w:color w:val="231F20"/>
          <w:sz w:val="12"/>
        </w:rPr>
        <w:t>po</w:t>
      </w:r>
      <w:r>
        <w:rPr>
          <w:color w:val="231F20"/>
          <w:spacing w:val="-10"/>
          <w:sz w:val="12"/>
        </w:rPr>
        <w:t xml:space="preserve"> </w:t>
      </w:r>
      <w:r>
        <w:rPr>
          <w:color w:val="231F20"/>
          <w:sz w:val="12"/>
        </w:rPr>
        <w:t>úrazu</w:t>
      </w:r>
      <w:r>
        <w:rPr>
          <w:color w:val="231F20"/>
          <w:spacing w:val="-10"/>
          <w:sz w:val="12"/>
        </w:rPr>
        <w:t xml:space="preserve"> </w:t>
      </w:r>
      <w:r>
        <w:rPr>
          <w:color w:val="231F20"/>
          <w:sz w:val="12"/>
        </w:rPr>
        <w:t>ledvin</w:t>
      </w:r>
      <w:r>
        <w:rPr>
          <w:color w:val="231F20"/>
          <w:spacing w:val="-10"/>
          <w:sz w:val="12"/>
        </w:rPr>
        <w:t xml:space="preserve"> </w:t>
      </w:r>
      <w:r>
        <w:rPr>
          <w:color w:val="231F20"/>
          <w:sz w:val="12"/>
        </w:rPr>
        <w:t>podle</w:t>
      </w:r>
      <w:r>
        <w:rPr>
          <w:color w:val="231F20"/>
          <w:spacing w:val="-9"/>
          <w:sz w:val="12"/>
        </w:rPr>
        <w:t xml:space="preserve"> </w:t>
      </w:r>
      <w:r>
        <w:rPr>
          <w:color w:val="231F20"/>
          <w:sz w:val="12"/>
        </w:rPr>
        <w:t>stupně</w:t>
      </w:r>
    </w:p>
    <w:p w14:paraId="5B49B8D7" w14:textId="77777777" w:rsidR="00F65BCA" w:rsidRDefault="00216117">
      <w:pPr>
        <w:pStyle w:val="Odstavecseseznamem"/>
        <w:numPr>
          <w:ilvl w:val="0"/>
          <w:numId w:val="41"/>
        </w:numPr>
        <w:tabs>
          <w:tab w:val="left" w:pos="456"/>
        </w:tabs>
        <w:spacing w:before="30" w:line="249" w:lineRule="auto"/>
        <w:ind w:right="263"/>
        <w:rPr>
          <w:sz w:val="12"/>
        </w:rPr>
      </w:pPr>
      <w:r>
        <w:rPr>
          <w:color w:val="231F20"/>
          <w:w w:val="95"/>
          <w:sz w:val="12"/>
        </w:rPr>
        <w:t xml:space="preserve">Chronický zánět ledvin nebo močových cest </w:t>
      </w:r>
      <w:r>
        <w:rPr>
          <w:color w:val="231F20"/>
          <w:sz w:val="12"/>
        </w:rPr>
        <w:t>podle</w:t>
      </w:r>
      <w:r>
        <w:rPr>
          <w:color w:val="231F20"/>
          <w:spacing w:val="-4"/>
          <w:sz w:val="12"/>
        </w:rPr>
        <w:t xml:space="preserve"> </w:t>
      </w:r>
      <w:r>
        <w:rPr>
          <w:color w:val="231F20"/>
          <w:spacing w:val="-2"/>
          <w:sz w:val="12"/>
        </w:rPr>
        <w:t>stupně</w:t>
      </w:r>
    </w:p>
    <w:p w14:paraId="3644E959" w14:textId="77777777" w:rsidR="00F65BCA" w:rsidRDefault="00F65BCA">
      <w:pPr>
        <w:pStyle w:val="Zkladntext"/>
        <w:spacing w:before="2"/>
        <w:rPr>
          <w:sz w:val="14"/>
        </w:rPr>
      </w:pPr>
    </w:p>
    <w:p w14:paraId="0CB8BBA0" w14:textId="77777777" w:rsidR="00F65BCA" w:rsidRDefault="00216117">
      <w:pPr>
        <w:ind w:left="995" w:right="531"/>
        <w:jc w:val="center"/>
        <w:rPr>
          <w:b/>
          <w:sz w:val="14"/>
        </w:rPr>
      </w:pPr>
      <w:r>
        <w:rPr>
          <w:b/>
          <w:color w:val="231F20"/>
          <w:sz w:val="14"/>
        </w:rPr>
        <w:t>POHLAVNÍ ORGÁNY</w:t>
      </w:r>
    </w:p>
    <w:p w14:paraId="260296C2" w14:textId="77777777" w:rsidR="00F65BCA" w:rsidRDefault="00216117">
      <w:pPr>
        <w:pStyle w:val="Odstavecseseznamem"/>
        <w:numPr>
          <w:ilvl w:val="0"/>
          <w:numId w:val="41"/>
        </w:numPr>
        <w:tabs>
          <w:tab w:val="left" w:pos="456"/>
        </w:tabs>
        <w:spacing w:before="63" w:line="244" w:lineRule="auto"/>
        <w:ind w:right="407"/>
        <w:rPr>
          <w:sz w:val="12"/>
        </w:rPr>
      </w:pPr>
      <w:r>
        <w:rPr>
          <w:color w:val="231F20"/>
          <w:sz w:val="12"/>
        </w:rPr>
        <w:t>Ztráta</w:t>
      </w:r>
      <w:r>
        <w:rPr>
          <w:color w:val="231F20"/>
          <w:spacing w:val="-12"/>
          <w:sz w:val="12"/>
        </w:rPr>
        <w:t xml:space="preserve"> </w:t>
      </w:r>
      <w:r>
        <w:rPr>
          <w:color w:val="231F20"/>
          <w:sz w:val="12"/>
        </w:rPr>
        <w:t>jednoho</w:t>
      </w:r>
      <w:r>
        <w:rPr>
          <w:color w:val="231F20"/>
          <w:spacing w:val="-11"/>
          <w:sz w:val="12"/>
        </w:rPr>
        <w:t xml:space="preserve"> </w:t>
      </w:r>
      <w:r>
        <w:rPr>
          <w:color w:val="231F20"/>
          <w:sz w:val="12"/>
        </w:rPr>
        <w:t>varlete</w:t>
      </w:r>
      <w:r>
        <w:rPr>
          <w:color w:val="231F20"/>
          <w:spacing w:val="-12"/>
          <w:sz w:val="12"/>
        </w:rPr>
        <w:t xml:space="preserve"> </w:t>
      </w:r>
      <w:r>
        <w:rPr>
          <w:color w:val="231F20"/>
          <w:sz w:val="12"/>
        </w:rPr>
        <w:t>(při</w:t>
      </w:r>
      <w:r>
        <w:rPr>
          <w:color w:val="231F20"/>
          <w:spacing w:val="-11"/>
          <w:sz w:val="12"/>
        </w:rPr>
        <w:t xml:space="preserve"> </w:t>
      </w:r>
      <w:r>
        <w:rPr>
          <w:color w:val="231F20"/>
          <w:spacing w:val="-3"/>
          <w:sz w:val="12"/>
        </w:rPr>
        <w:t xml:space="preserve">kryptorchismu </w:t>
      </w:r>
      <w:r>
        <w:rPr>
          <w:color w:val="231F20"/>
          <w:sz w:val="12"/>
        </w:rPr>
        <w:t>hodnotit jako ztrátu obou</w:t>
      </w:r>
      <w:r>
        <w:rPr>
          <w:color w:val="231F20"/>
          <w:spacing w:val="-12"/>
          <w:sz w:val="12"/>
        </w:rPr>
        <w:t xml:space="preserve"> </w:t>
      </w:r>
      <w:r>
        <w:rPr>
          <w:color w:val="231F20"/>
          <w:sz w:val="12"/>
        </w:rPr>
        <w:t>varlat)</w:t>
      </w:r>
    </w:p>
    <w:p w14:paraId="4C5E5BB4" w14:textId="77777777" w:rsidR="00F65BCA" w:rsidRDefault="00216117">
      <w:pPr>
        <w:spacing w:before="33"/>
        <w:ind w:left="455"/>
        <w:rPr>
          <w:sz w:val="12"/>
        </w:rPr>
      </w:pPr>
      <w:r>
        <w:rPr>
          <w:color w:val="231F20"/>
          <w:sz w:val="12"/>
        </w:rPr>
        <w:t>Ztráta</w:t>
      </w:r>
      <w:r>
        <w:rPr>
          <w:color w:val="231F20"/>
          <w:spacing w:val="-15"/>
          <w:sz w:val="12"/>
        </w:rPr>
        <w:t xml:space="preserve"> </w:t>
      </w:r>
      <w:r>
        <w:rPr>
          <w:color w:val="231F20"/>
          <w:sz w:val="12"/>
        </w:rPr>
        <w:t>obou</w:t>
      </w:r>
      <w:r>
        <w:rPr>
          <w:color w:val="231F20"/>
          <w:spacing w:val="-15"/>
          <w:sz w:val="12"/>
        </w:rPr>
        <w:t xml:space="preserve"> </w:t>
      </w:r>
      <w:r>
        <w:rPr>
          <w:color w:val="231F20"/>
          <w:sz w:val="12"/>
        </w:rPr>
        <w:t>varlat</w:t>
      </w:r>
    </w:p>
    <w:p w14:paraId="5AF0F051" w14:textId="77777777" w:rsidR="00F65BCA" w:rsidRDefault="00216117">
      <w:pPr>
        <w:pStyle w:val="Odstavecseseznamem"/>
        <w:numPr>
          <w:ilvl w:val="0"/>
          <w:numId w:val="41"/>
        </w:numPr>
        <w:tabs>
          <w:tab w:val="left" w:pos="456"/>
        </w:tabs>
        <w:spacing w:before="44"/>
        <w:ind w:hanging="273"/>
        <w:rPr>
          <w:sz w:val="12"/>
        </w:rPr>
      </w:pPr>
      <w:r>
        <w:rPr>
          <w:color w:val="231F20"/>
          <w:sz w:val="12"/>
        </w:rPr>
        <w:t>do 50</w:t>
      </w:r>
      <w:r>
        <w:rPr>
          <w:color w:val="231F20"/>
          <w:spacing w:val="-5"/>
          <w:sz w:val="12"/>
        </w:rPr>
        <w:t xml:space="preserve"> </w:t>
      </w:r>
      <w:r>
        <w:rPr>
          <w:color w:val="231F20"/>
          <w:sz w:val="12"/>
        </w:rPr>
        <w:t>let</w:t>
      </w:r>
    </w:p>
    <w:p w14:paraId="68402ACA" w14:textId="77777777" w:rsidR="00F65BCA" w:rsidRDefault="00216117">
      <w:pPr>
        <w:pStyle w:val="Odstavecseseznamem"/>
        <w:numPr>
          <w:ilvl w:val="0"/>
          <w:numId w:val="41"/>
        </w:numPr>
        <w:tabs>
          <w:tab w:val="left" w:pos="456"/>
        </w:tabs>
        <w:spacing w:before="43"/>
        <w:ind w:hanging="273"/>
        <w:rPr>
          <w:sz w:val="12"/>
        </w:rPr>
      </w:pPr>
      <w:r>
        <w:rPr>
          <w:color w:val="231F20"/>
          <w:sz w:val="12"/>
        </w:rPr>
        <w:t>nad 50</w:t>
      </w:r>
      <w:r>
        <w:rPr>
          <w:color w:val="231F20"/>
          <w:spacing w:val="-1"/>
          <w:sz w:val="12"/>
        </w:rPr>
        <w:t xml:space="preserve"> </w:t>
      </w:r>
      <w:r>
        <w:rPr>
          <w:color w:val="231F20"/>
          <w:sz w:val="12"/>
        </w:rPr>
        <w:t>let</w:t>
      </w:r>
    </w:p>
    <w:p w14:paraId="00B67FA6" w14:textId="77777777" w:rsidR="00F65BCA" w:rsidRDefault="00216117">
      <w:pPr>
        <w:spacing w:before="43"/>
        <w:ind w:left="455"/>
        <w:rPr>
          <w:sz w:val="12"/>
        </w:rPr>
      </w:pPr>
      <w:r>
        <w:rPr>
          <w:color w:val="231F20"/>
          <w:sz w:val="12"/>
        </w:rPr>
        <w:t>Ztráta pyje nebo závažné deformity</w:t>
      </w:r>
    </w:p>
    <w:p w14:paraId="744BA4DF" w14:textId="77777777" w:rsidR="00F65BCA" w:rsidRDefault="00216117">
      <w:pPr>
        <w:pStyle w:val="Odstavecseseznamem"/>
        <w:numPr>
          <w:ilvl w:val="0"/>
          <w:numId w:val="41"/>
        </w:numPr>
        <w:tabs>
          <w:tab w:val="left" w:pos="456"/>
        </w:tabs>
        <w:spacing w:before="44"/>
        <w:ind w:hanging="273"/>
        <w:rPr>
          <w:sz w:val="12"/>
        </w:rPr>
      </w:pPr>
      <w:r>
        <w:rPr>
          <w:color w:val="231F20"/>
          <w:sz w:val="12"/>
        </w:rPr>
        <w:t>do 45</w:t>
      </w:r>
      <w:r>
        <w:rPr>
          <w:color w:val="231F20"/>
          <w:spacing w:val="-5"/>
          <w:sz w:val="12"/>
        </w:rPr>
        <w:t xml:space="preserve"> </w:t>
      </w:r>
      <w:r>
        <w:rPr>
          <w:color w:val="231F20"/>
          <w:sz w:val="12"/>
        </w:rPr>
        <w:t>let</w:t>
      </w:r>
    </w:p>
    <w:p w14:paraId="1500E73E" w14:textId="77777777" w:rsidR="00F65BCA" w:rsidRDefault="00216117">
      <w:pPr>
        <w:pStyle w:val="Odstavecseseznamem"/>
        <w:numPr>
          <w:ilvl w:val="0"/>
          <w:numId w:val="41"/>
        </w:numPr>
        <w:tabs>
          <w:tab w:val="left" w:pos="456"/>
        </w:tabs>
        <w:spacing w:before="43"/>
        <w:ind w:hanging="273"/>
        <w:rPr>
          <w:sz w:val="12"/>
        </w:rPr>
      </w:pPr>
      <w:r>
        <w:rPr>
          <w:color w:val="231F20"/>
          <w:sz w:val="12"/>
        </w:rPr>
        <w:t>do 60</w:t>
      </w:r>
      <w:r>
        <w:rPr>
          <w:color w:val="231F20"/>
          <w:spacing w:val="-5"/>
          <w:sz w:val="12"/>
        </w:rPr>
        <w:t xml:space="preserve"> </w:t>
      </w:r>
      <w:r>
        <w:rPr>
          <w:color w:val="231F20"/>
          <w:sz w:val="12"/>
        </w:rPr>
        <w:t>let</w:t>
      </w:r>
    </w:p>
    <w:p w14:paraId="5EB3E7A6" w14:textId="77777777" w:rsidR="00F65BCA" w:rsidRDefault="00216117">
      <w:pPr>
        <w:pStyle w:val="Odstavecseseznamem"/>
        <w:numPr>
          <w:ilvl w:val="0"/>
          <w:numId w:val="41"/>
        </w:numPr>
        <w:tabs>
          <w:tab w:val="left" w:pos="456"/>
        </w:tabs>
        <w:spacing w:before="44"/>
        <w:ind w:hanging="273"/>
        <w:rPr>
          <w:sz w:val="12"/>
        </w:rPr>
      </w:pPr>
      <w:r>
        <w:rPr>
          <w:color w:val="231F20"/>
          <w:sz w:val="12"/>
        </w:rPr>
        <w:t>nad 60</w:t>
      </w:r>
      <w:r>
        <w:rPr>
          <w:color w:val="231F20"/>
          <w:spacing w:val="-12"/>
          <w:sz w:val="12"/>
        </w:rPr>
        <w:t xml:space="preserve"> </w:t>
      </w:r>
      <w:r>
        <w:rPr>
          <w:color w:val="231F20"/>
          <w:sz w:val="12"/>
        </w:rPr>
        <w:t>let</w:t>
      </w:r>
    </w:p>
    <w:p w14:paraId="36CAB900" w14:textId="77777777" w:rsidR="00F65BCA" w:rsidRDefault="00216117">
      <w:pPr>
        <w:pStyle w:val="Odstavecseseznamem"/>
        <w:numPr>
          <w:ilvl w:val="0"/>
          <w:numId w:val="41"/>
        </w:numPr>
        <w:tabs>
          <w:tab w:val="left" w:pos="456"/>
        </w:tabs>
        <w:spacing w:before="46" w:line="230" w:lineRule="auto"/>
        <w:ind w:right="249"/>
        <w:rPr>
          <w:sz w:val="12"/>
        </w:rPr>
      </w:pPr>
      <w:r>
        <w:rPr>
          <w:color w:val="231F20"/>
          <w:w w:val="95"/>
          <w:position w:val="1"/>
          <w:sz w:val="12"/>
        </w:rPr>
        <w:t>Poúrazové deformace ženských pohlavních</w:t>
      </w:r>
      <w:r>
        <w:rPr>
          <w:color w:val="231F20"/>
          <w:w w:val="95"/>
          <w:sz w:val="12"/>
        </w:rPr>
        <w:t xml:space="preserve"> </w:t>
      </w:r>
      <w:r>
        <w:rPr>
          <w:color w:val="231F20"/>
          <w:sz w:val="12"/>
        </w:rPr>
        <w:t>orgánů</w:t>
      </w:r>
    </w:p>
    <w:p w14:paraId="1A280BD8" w14:textId="77777777" w:rsidR="00F65BCA" w:rsidRDefault="00F65BCA">
      <w:pPr>
        <w:pStyle w:val="Zkladntext"/>
        <w:spacing w:before="9"/>
        <w:rPr>
          <w:sz w:val="13"/>
        </w:rPr>
      </w:pPr>
    </w:p>
    <w:p w14:paraId="0D5B24F4" w14:textId="77777777" w:rsidR="00F65BCA" w:rsidRDefault="00216117">
      <w:pPr>
        <w:ind w:left="995" w:right="531"/>
        <w:jc w:val="center"/>
        <w:rPr>
          <w:b/>
          <w:sz w:val="14"/>
        </w:rPr>
      </w:pPr>
      <w:r>
        <w:rPr>
          <w:b/>
          <w:color w:val="231F20"/>
          <w:sz w:val="14"/>
        </w:rPr>
        <w:t>PÁTEŘ</w:t>
      </w:r>
    </w:p>
    <w:p w14:paraId="7CA5630D" w14:textId="77777777" w:rsidR="00F65BCA" w:rsidRDefault="00216117">
      <w:pPr>
        <w:spacing w:before="62" w:line="249" w:lineRule="auto"/>
        <w:ind w:left="455" w:right="1"/>
        <w:rPr>
          <w:b/>
          <w:sz w:val="12"/>
        </w:rPr>
      </w:pPr>
      <w:r>
        <w:rPr>
          <w:color w:val="231F20"/>
          <w:sz w:val="12"/>
        </w:rPr>
        <w:t>Omezení</w:t>
      </w:r>
      <w:r>
        <w:rPr>
          <w:color w:val="231F20"/>
          <w:spacing w:val="-23"/>
          <w:sz w:val="12"/>
        </w:rPr>
        <w:t xml:space="preserve"> </w:t>
      </w:r>
      <w:r>
        <w:rPr>
          <w:color w:val="231F20"/>
          <w:sz w:val="12"/>
        </w:rPr>
        <w:t>hybnosti</w:t>
      </w:r>
      <w:r>
        <w:rPr>
          <w:color w:val="231F20"/>
          <w:spacing w:val="-23"/>
          <w:sz w:val="12"/>
        </w:rPr>
        <w:t xml:space="preserve"> </w:t>
      </w:r>
      <w:r>
        <w:rPr>
          <w:color w:val="231F20"/>
          <w:spacing w:val="-2"/>
          <w:sz w:val="12"/>
        </w:rPr>
        <w:t>páteře</w:t>
      </w:r>
      <w:r>
        <w:rPr>
          <w:color w:val="231F20"/>
          <w:spacing w:val="-23"/>
          <w:sz w:val="12"/>
        </w:rPr>
        <w:t xml:space="preserve"> </w:t>
      </w:r>
      <w:r>
        <w:rPr>
          <w:color w:val="231F20"/>
          <w:sz w:val="12"/>
        </w:rPr>
        <w:t>–</w:t>
      </w:r>
      <w:r>
        <w:rPr>
          <w:color w:val="231F20"/>
          <w:spacing w:val="-23"/>
          <w:sz w:val="12"/>
        </w:rPr>
        <w:t xml:space="preserve"> </w:t>
      </w:r>
      <w:r>
        <w:rPr>
          <w:b/>
          <w:color w:val="231F20"/>
          <w:sz w:val="12"/>
        </w:rPr>
        <w:t>bez</w:t>
      </w:r>
      <w:r>
        <w:rPr>
          <w:b/>
          <w:color w:val="231F20"/>
          <w:spacing w:val="-23"/>
          <w:sz w:val="12"/>
        </w:rPr>
        <w:t xml:space="preserve"> </w:t>
      </w:r>
      <w:r>
        <w:rPr>
          <w:b/>
          <w:color w:val="231F20"/>
          <w:sz w:val="12"/>
        </w:rPr>
        <w:t>neurologických příznaků</w:t>
      </w:r>
    </w:p>
    <w:p w14:paraId="6FD5F5B0" w14:textId="77777777" w:rsidR="00F65BCA" w:rsidRDefault="00216117">
      <w:pPr>
        <w:pStyle w:val="Odstavecseseznamem"/>
        <w:numPr>
          <w:ilvl w:val="0"/>
          <w:numId w:val="41"/>
        </w:numPr>
        <w:tabs>
          <w:tab w:val="left" w:pos="456"/>
        </w:tabs>
        <w:spacing w:before="43"/>
        <w:ind w:hanging="273"/>
        <w:rPr>
          <w:sz w:val="12"/>
        </w:rPr>
      </w:pPr>
      <w:r>
        <w:rPr>
          <w:color w:val="231F20"/>
          <w:sz w:val="12"/>
        </w:rPr>
        <w:t>lehkého</w:t>
      </w:r>
      <w:r>
        <w:rPr>
          <w:color w:val="231F20"/>
          <w:spacing w:val="-1"/>
          <w:sz w:val="12"/>
        </w:rPr>
        <w:t xml:space="preserve"> </w:t>
      </w:r>
      <w:r>
        <w:rPr>
          <w:color w:val="231F20"/>
          <w:sz w:val="12"/>
        </w:rPr>
        <w:t>stupně</w:t>
      </w:r>
    </w:p>
    <w:p w14:paraId="7E3F4676" w14:textId="77777777" w:rsidR="00F65BCA" w:rsidRDefault="00216117">
      <w:pPr>
        <w:pStyle w:val="Odstavecseseznamem"/>
        <w:numPr>
          <w:ilvl w:val="0"/>
          <w:numId w:val="41"/>
        </w:numPr>
        <w:tabs>
          <w:tab w:val="left" w:pos="456"/>
        </w:tabs>
        <w:spacing w:before="38"/>
        <w:ind w:hanging="273"/>
        <w:rPr>
          <w:sz w:val="12"/>
        </w:rPr>
      </w:pPr>
      <w:r>
        <w:rPr>
          <w:color w:val="231F20"/>
          <w:sz w:val="12"/>
        </w:rPr>
        <w:t>středního</w:t>
      </w:r>
      <w:r>
        <w:rPr>
          <w:color w:val="231F20"/>
          <w:spacing w:val="-1"/>
          <w:sz w:val="12"/>
        </w:rPr>
        <w:t xml:space="preserve"> </w:t>
      </w:r>
      <w:r>
        <w:rPr>
          <w:color w:val="231F20"/>
          <w:sz w:val="12"/>
        </w:rPr>
        <w:t>stupně</w:t>
      </w:r>
    </w:p>
    <w:p w14:paraId="5C7F21DD" w14:textId="77777777" w:rsidR="00F65BCA" w:rsidRDefault="00216117">
      <w:pPr>
        <w:pStyle w:val="Odstavecseseznamem"/>
        <w:numPr>
          <w:ilvl w:val="0"/>
          <w:numId w:val="40"/>
        </w:numPr>
        <w:tabs>
          <w:tab w:val="left" w:pos="456"/>
        </w:tabs>
        <w:spacing w:before="37"/>
        <w:ind w:hanging="273"/>
        <w:rPr>
          <w:sz w:val="12"/>
        </w:rPr>
      </w:pPr>
      <w:r>
        <w:rPr>
          <w:color w:val="231F20"/>
          <w:sz w:val="12"/>
        </w:rPr>
        <w:t>těžkého</w:t>
      </w:r>
      <w:r>
        <w:rPr>
          <w:color w:val="231F20"/>
          <w:spacing w:val="-1"/>
          <w:sz w:val="12"/>
        </w:rPr>
        <w:t xml:space="preserve"> </w:t>
      </w:r>
      <w:r>
        <w:rPr>
          <w:color w:val="231F20"/>
          <w:sz w:val="12"/>
        </w:rPr>
        <w:t>stupně</w:t>
      </w:r>
    </w:p>
    <w:p w14:paraId="14430503" w14:textId="77777777" w:rsidR="00F65BCA" w:rsidRDefault="00216117">
      <w:pPr>
        <w:spacing w:before="61" w:line="264" w:lineRule="auto"/>
        <w:ind w:left="455"/>
        <w:rPr>
          <w:sz w:val="11"/>
        </w:rPr>
      </w:pPr>
      <w:r>
        <w:rPr>
          <w:b/>
          <w:color w:val="231F20"/>
          <w:spacing w:val="2"/>
          <w:w w:val="105"/>
          <w:sz w:val="11"/>
        </w:rPr>
        <w:t xml:space="preserve">Poruchy neurologického </w:t>
      </w:r>
      <w:r>
        <w:rPr>
          <w:b/>
          <w:color w:val="231F20"/>
          <w:spacing w:val="3"/>
          <w:w w:val="105"/>
          <w:sz w:val="11"/>
        </w:rPr>
        <w:t xml:space="preserve">charakteru </w:t>
      </w:r>
      <w:r>
        <w:rPr>
          <w:color w:val="231F20"/>
          <w:w w:val="105"/>
          <w:sz w:val="11"/>
        </w:rPr>
        <w:t xml:space="preserve">po úra- zu míchy, míšních plen nebo kořenů </w:t>
      </w:r>
      <w:r>
        <w:rPr>
          <w:color w:val="231F20"/>
          <w:spacing w:val="2"/>
          <w:w w:val="105"/>
          <w:sz w:val="11"/>
        </w:rPr>
        <w:t xml:space="preserve">(vyloučeny </w:t>
      </w:r>
      <w:r>
        <w:rPr>
          <w:color w:val="231F20"/>
          <w:sz w:val="11"/>
        </w:rPr>
        <w:t>jsou</w:t>
      </w:r>
      <w:r>
        <w:rPr>
          <w:color w:val="231F20"/>
          <w:spacing w:val="-12"/>
          <w:sz w:val="11"/>
        </w:rPr>
        <w:t xml:space="preserve"> </w:t>
      </w:r>
      <w:r>
        <w:rPr>
          <w:color w:val="231F20"/>
          <w:spacing w:val="-3"/>
          <w:sz w:val="11"/>
        </w:rPr>
        <w:t>obtíže</w:t>
      </w:r>
      <w:r>
        <w:rPr>
          <w:color w:val="231F20"/>
          <w:spacing w:val="-11"/>
          <w:sz w:val="11"/>
        </w:rPr>
        <w:t xml:space="preserve"> </w:t>
      </w:r>
      <w:r>
        <w:rPr>
          <w:color w:val="231F20"/>
          <w:spacing w:val="-3"/>
          <w:sz w:val="11"/>
        </w:rPr>
        <w:t>způsobené</w:t>
      </w:r>
      <w:r>
        <w:rPr>
          <w:color w:val="231F20"/>
          <w:spacing w:val="-11"/>
          <w:sz w:val="11"/>
        </w:rPr>
        <w:t xml:space="preserve"> </w:t>
      </w:r>
      <w:r>
        <w:rPr>
          <w:color w:val="231F20"/>
          <w:sz w:val="11"/>
        </w:rPr>
        <w:t>výhřezem</w:t>
      </w:r>
      <w:r>
        <w:rPr>
          <w:color w:val="231F20"/>
          <w:spacing w:val="-12"/>
          <w:sz w:val="11"/>
        </w:rPr>
        <w:t xml:space="preserve"> </w:t>
      </w:r>
      <w:r>
        <w:rPr>
          <w:color w:val="231F20"/>
          <w:spacing w:val="-3"/>
          <w:sz w:val="11"/>
        </w:rPr>
        <w:t>ploténky,</w:t>
      </w:r>
      <w:r>
        <w:rPr>
          <w:color w:val="231F20"/>
          <w:spacing w:val="-11"/>
          <w:sz w:val="11"/>
        </w:rPr>
        <w:t xml:space="preserve"> </w:t>
      </w:r>
      <w:r>
        <w:rPr>
          <w:color w:val="231F20"/>
          <w:sz w:val="11"/>
        </w:rPr>
        <w:t>pokud</w:t>
      </w:r>
      <w:r>
        <w:rPr>
          <w:color w:val="231F20"/>
          <w:spacing w:val="-11"/>
          <w:sz w:val="11"/>
        </w:rPr>
        <w:t xml:space="preserve"> </w:t>
      </w:r>
      <w:r>
        <w:rPr>
          <w:color w:val="231F20"/>
          <w:sz w:val="11"/>
        </w:rPr>
        <w:t xml:space="preserve">ne- </w:t>
      </w:r>
      <w:r>
        <w:rPr>
          <w:color w:val="231F20"/>
          <w:spacing w:val="-3"/>
          <w:w w:val="105"/>
          <w:sz w:val="11"/>
        </w:rPr>
        <w:t>souvisí</w:t>
      </w:r>
      <w:r>
        <w:rPr>
          <w:color w:val="231F20"/>
          <w:spacing w:val="-23"/>
          <w:w w:val="105"/>
          <w:sz w:val="11"/>
        </w:rPr>
        <w:t xml:space="preserve"> </w:t>
      </w:r>
      <w:r>
        <w:rPr>
          <w:color w:val="231F20"/>
          <w:w w:val="105"/>
          <w:sz w:val="11"/>
        </w:rPr>
        <w:t>se</w:t>
      </w:r>
      <w:r>
        <w:rPr>
          <w:color w:val="231F20"/>
          <w:spacing w:val="-23"/>
          <w:w w:val="105"/>
          <w:sz w:val="11"/>
        </w:rPr>
        <w:t xml:space="preserve"> </w:t>
      </w:r>
      <w:r>
        <w:rPr>
          <w:color w:val="231F20"/>
          <w:spacing w:val="-3"/>
          <w:w w:val="105"/>
          <w:sz w:val="11"/>
        </w:rPr>
        <w:t>současnou</w:t>
      </w:r>
      <w:r>
        <w:rPr>
          <w:color w:val="231F20"/>
          <w:spacing w:val="-22"/>
          <w:w w:val="105"/>
          <w:sz w:val="11"/>
        </w:rPr>
        <w:t xml:space="preserve"> </w:t>
      </w:r>
      <w:r>
        <w:rPr>
          <w:color w:val="231F20"/>
          <w:spacing w:val="-3"/>
          <w:w w:val="105"/>
          <w:sz w:val="11"/>
        </w:rPr>
        <w:t>zlomeninou</w:t>
      </w:r>
      <w:r>
        <w:rPr>
          <w:color w:val="231F20"/>
          <w:spacing w:val="-23"/>
          <w:w w:val="105"/>
          <w:sz w:val="11"/>
        </w:rPr>
        <w:t xml:space="preserve"> </w:t>
      </w:r>
      <w:r>
        <w:rPr>
          <w:color w:val="231F20"/>
          <w:spacing w:val="-3"/>
          <w:w w:val="105"/>
          <w:sz w:val="11"/>
        </w:rPr>
        <w:t>přilehlého</w:t>
      </w:r>
      <w:r>
        <w:rPr>
          <w:color w:val="231F20"/>
          <w:spacing w:val="-22"/>
          <w:w w:val="105"/>
          <w:sz w:val="11"/>
        </w:rPr>
        <w:t xml:space="preserve"> </w:t>
      </w:r>
      <w:r>
        <w:rPr>
          <w:color w:val="231F20"/>
          <w:spacing w:val="-3"/>
          <w:w w:val="105"/>
          <w:sz w:val="11"/>
        </w:rPr>
        <w:t>obratle)</w:t>
      </w:r>
    </w:p>
    <w:p w14:paraId="6A2402E1" w14:textId="77777777" w:rsidR="00F65BCA" w:rsidRDefault="00216117">
      <w:pPr>
        <w:pStyle w:val="Odstavecseseznamem"/>
        <w:numPr>
          <w:ilvl w:val="0"/>
          <w:numId w:val="40"/>
        </w:numPr>
        <w:tabs>
          <w:tab w:val="left" w:pos="456"/>
        </w:tabs>
        <w:spacing w:before="44"/>
        <w:ind w:hanging="273"/>
        <w:rPr>
          <w:sz w:val="12"/>
        </w:rPr>
      </w:pPr>
      <w:r>
        <w:rPr>
          <w:color w:val="231F20"/>
          <w:sz w:val="12"/>
        </w:rPr>
        <w:t>lehkého</w:t>
      </w:r>
      <w:r>
        <w:rPr>
          <w:color w:val="231F20"/>
          <w:spacing w:val="-1"/>
          <w:sz w:val="12"/>
        </w:rPr>
        <w:t xml:space="preserve"> </w:t>
      </w:r>
      <w:r>
        <w:rPr>
          <w:color w:val="231F20"/>
          <w:sz w:val="12"/>
        </w:rPr>
        <w:t>stupně</w:t>
      </w:r>
    </w:p>
    <w:p w14:paraId="028F53D3" w14:textId="77777777" w:rsidR="00F65BCA" w:rsidRDefault="00216117">
      <w:pPr>
        <w:pStyle w:val="Odstavecseseznamem"/>
        <w:numPr>
          <w:ilvl w:val="0"/>
          <w:numId w:val="40"/>
        </w:numPr>
        <w:tabs>
          <w:tab w:val="left" w:pos="456"/>
        </w:tabs>
        <w:spacing w:before="38"/>
        <w:ind w:hanging="273"/>
        <w:rPr>
          <w:sz w:val="12"/>
        </w:rPr>
      </w:pPr>
      <w:r>
        <w:rPr>
          <w:color w:val="231F20"/>
          <w:sz w:val="12"/>
        </w:rPr>
        <w:t>středního</w:t>
      </w:r>
      <w:r>
        <w:rPr>
          <w:color w:val="231F20"/>
          <w:spacing w:val="-1"/>
          <w:sz w:val="12"/>
        </w:rPr>
        <w:t xml:space="preserve"> </w:t>
      </w:r>
      <w:r>
        <w:rPr>
          <w:color w:val="231F20"/>
          <w:sz w:val="12"/>
        </w:rPr>
        <w:t>stupně</w:t>
      </w:r>
    </w:p>
    <w:p w14:paraId="4F8F7036" w14:textId="77777777" w:rsidR="00F65BCA" w:rsidRDefault="00216117">
      <w:pPr>
        <w:pStyle w:val="Odstavecseseznamem"/>
        <w:numPr>
          <w:ilvl w:val="0"/>
          <w:numId w:val="40"/>
        </w:numPr>
        <w:tabs>
          <w:tab w:val="left" w:pos="456"/>
        </w:tabs>
        <w:spacing w:before="38" w:line="118" w:lineRule="exact"/>
        <w:ind w:hanging="273"/>
        <w:rPr>
          <w:sz w:val="12"/>
        </w:rPr>
      </w:pPr>
      <w:r>
        <w:rPr>
          <w:color w:val="231F20"/>
          <w:sz w:val="12"/>
        </w:rPr>
        <w:t>těžkého</w:t>
      </w:r>
      <w:r>
        <w:rPr>
          <w:color w:val="231F20"/>
          <w:spacing w:val="-1"/>
          <w:sz w:val="12"/>
        </w:rPr>
        <w:t xml:space="preserve"> </w:t>
      </w:r>
      <w:r>
        <w:rPr>
          <w:color w:val="231F20"/>
          <w:sz w:val="12"/>
        </w:rPr>
        <w:t>stupně</w:t>
      </w:r>
    </w:p>
    <w:p w14:paraId="4CD0A80D" w14:textId="77777777" w:rsidR="00F65BCA" w:rsidRDefault="00216117">
      <w:pPr>
        <w:spacing w:before="5"/>
        <w:ind w:right="237"/>
        <w:jc w:val="right"/>
        <w:rPr>
          <w:sz w:val="12"/>
        </w:rPr>
      </w:pPr>
      <w:r>
        <w:br w:type="column"/>
      </w:r>
      <w:r>
        <w:rPr>
          <w:color w:val="231F20"/>
          <w:sz w:val="12"/>
        </w:rPr>
        <w:t>75</w:t>
      </w:r>
      <w:r>
        <w:rPr>
          <w:color w:val="231F20"/>
          <w:spacing w:val="-20"/>
          <w:sz w:val="12"/>
        </w:rPr>
        <w:t xml:space="preserve"> </w:t>
      </w:r>
      <w:r>
        <w:rPr>
          <w:color w:val="231F20"/>
          <w:sz w:val="12"/>
        </w:rPr>
        <w:t>%</w:t>
      </w:r>
    </w:p>
    <w:p w14:paraId="7BCBE2CB" w14:textId="77777777" w:rsidR="00F65BCA" w:rsidRDefault="00216117">
      <w:pPr>
        <w:spacing w:before="43"/>
        <w:ind w:right="237"/>
        <w:jc w:val="right"/>
        <w:rPr>
          <w:sz w:val="12"/>
        </w:rPr>
      </w:pPr>
      <w:r>
        <w:rPr>
          <w:color w:val="231F20"/>
          <w:sz w:val="12"/>
        </w:rPr>
        <w:t>do 20</w:t>
      </w:r>
      <w:r>
        <w:rPr>
          <w:color w:val="231F20"/>
          <w:spacing w:val="-17"/>
          <w:sz w:val="12"/>
        </w:rPr>
        <w:t xml:space="preserve"> </w:t>
      </w:r>
      <w:r>
        <w:rPr>
          <w:color w:val="231F20"/>
          <w:sz w:val="12"/>
        </w:rPr>
        <w:t>%</w:t>
      </w:r>
    </w:p>
    <w:p w14:paraId="57C89169" w14:textId="77777777" w:rsidR="00F65BCA" w:rsidRDefault="00216117">
      <w:pPr>
        <w:spacing w:before="109"/>
        <w:ind w:right="237"/>
        <w:jc w:val="right"/>
        <w:rPr>
          <w:sz w:val="12"/>
        </w:rPr>
      </w:pPr>
      <w:r>
        <w:rPr>
          <w:color w:val="231F20"/>
          <w:sz w:val="12"/>
        </w:rPr>
        <w:t>do 30</w:t>
      </w:r>
      <w:r>
        <w:rPr>
          <w:color w:val="231F20"/>
          <w:spacing w:val="-17"/>
          <w:sz w:val="12"/>
        </w:rPr>
        <w:t xml:space="preserve"> </w:t>
      </w:r>
      <w:r>
        <w:rPr>
          <w:color w:val="231F20"/>
          <w:sz w:val="12"/>
        </w:rPr>
        <w:t>%</w:t>
      </w:r>
    </w:p>
    <w:p w14:paraId="447F592A" w14:textId="77777777" w:rsidR="00F65BCA" w:rsidRDefault="00F65BCA">
      <w:pPr>
        <w:pStyle w:val="Zkladntext"/>
        <w:rPr>
          <w:sz w:val="14"/>
        </w:rPr>
      </w:pPr>
    </w:p>
    <w:p w14:paraId="648C68F0" w14:textId="77777777" w:rsidR="00F65BCA" w:rsidRDefault="00F65BCA">
      <w:pPr>
        <w:pStyle w:val="Zkladntext"/>
        <w:rPr>
          <w:sz w:val="14"/>
        </w:rPr>
      </w:pPr>
    </w:p>
    <w:p w14:paraId="79A2A05E" w14:textId="77777777" w:rsidR="00F65BCA" w:rsidRDefault="00F65BCA">
      <w:pPr>
        <w:pStyle w:val="Zkladntext"/>
        <w:spacing w:before="8"/>
        <w:rPr>
          <w:sz w:val="17"/>
        </w:rPr>
      </w:pPr>
    </w:p>
    <w:p w14:paraId="6EEF268A" w14:textId="77777777" w:rsidR="00F65BCA" w:rsidRDefault="00216117">
      <w:pPr>
        <w:ind w:right="237"/>
        <w:jc w:val="right"/>
        <w:rPr>
          <w:sz w:val="12"/>
        </w:rPr>
      </w:pPr>
      <w:r>
        <w:rPr>
          <w:color w:val="231F20"/>
          <w:sz w:val="12"/>
        </w:rPr>
        <w:t>15</w:t>
      </w:r>
      <w:r>
        <w:rPr>
          <w:color w:val="231F20"/>
          <w:spacing w:val="-20"/>
          <w:sz w:val="12"/>
        </w:rPr>
        <w:t xml:space="preserve"> </w:t>
      </w:r>
      <w:r>
        <w:rPr>
          <w:color w:val="231F20"/>
          <w:sz w:val="12"/>
        </w:rPr>
        <w:t>%</w:t>
      </w:r>
    </w:p>
    <w:p w14:paraId="67A667A7" w14:textId="77777777" w:rsidR="00F65BCA" w:rsidRDefault="00F65BCA">
      <w:pPr>
        <w:pStyle w:val="Zkladntext"/>
        <w:rPr>
          <w:sz w:val="14"/>
        </w:rPr>
      </w:pPr>
    </w:p>
    <w:p w14:paraId="75E364AE" w14:textId="77777777" w:rsidR="00F65BCA" w:rsidRDefault="00F65BCA">
      <w:pPr>
        <w:pStyle w:val="Zkladntext"/>
        <w:spacing w:before="2"/>
        <w:rPr>
          <w:sz w:val="11"/>
        </w:rPr>
      </w:pPr>
    </w:p>
    <w:p w14:paraId="2F9A6072" w14:textId="77777777" w:rsidR="00F65BCA" w:rsidRDefault="00216117">
      <w:pPr>
        <w:ind w:left="411"/>
        <w:rPr>
          <w:sz w:val="12"/>
        </w:rPr>
      </w:pPr>
      <w:r>
        <w:rPr>
          <w:color w:val="231F20"/>
          <w:sz w:val="12"/>
        </w:rPr>
        <w:t>40</w:t>
      </w:r>
      <w:r>
        <w:rPr>
          <w:color w:val="231F20"/>
          <w:spacing w:val="-20"/>
          <w:sz w:val="12"/>
        </w:rPr>
        <w:t xml:space="preserve"> </w:t>
      </w:r>
      <w:r>
        <w:rPr>
          <w:color w:val="231F20"/>
          <w:sz w:val="12"/>
        </w:rPr>
        <w:t>%</w:t>
      </w:r>
    </w:p>
    <w:p w14:paraId="5072CB5B" w14:textId="77777777" w:rsidR="00F65BCA" w:rsidRDefault="00216117">
      <w:pPr>
        <w:spacing w:before="44"/>
        <w:ind w:left="411"/>
        <w:rPr>
          <w:sz w:val="12"/>
        </w:rPr>
      </w:pPr>
      <w:r>
        <w:rPr>
          <w:color w:val="231F20"/>
          <w:sz w:val="12"/>
        </w:rPr>
        <w:t>20</w:t>
      </w:r>
      <w:r>
        <w:rPr>
          <w:color w:val="231F20"/>
          <w:spacing w:val="-20"/>
          <w:sz w:val="12"/>
        </w:rPr>
        <w:t xml:space="preserve"> </w:t>
      </w:r>
      <w:r>
        <w:rPr>
          <w:color w:val="231F20"/>
          <w:sz w:val="12"/>
        </w:rPr>
        <w:t>%</w:t>
      </w:r>
    </w:p>
    <w:p w14:paraId="5EF04902" w14:textId="77777777" w:rsidR="00F65BCA" w:rsidRDefault="00F65BCA">
      <w:pPr>
        <w:pStyle w:val="Zkladntext"/>
        <w:spacing w:before="6"/>
        <w:rPr>
          <w:sz w:val="19"/>
        </w:rPr>
      </w:pPr>
    </w:p>
    <w:p w14:paraId="432DC198" w14:textId="77777777" w:rsidR="00F65BCA" w:rsidRDefault="00216117">
      <w:pPr>
        <w:ind w:left="411"/>
        <w:rPr>
          <w:sz w:val="12"/>
        </w:rPr>
      </w:pPr>
      <w:r>
        <w:rPr>
          <w:color w:val="231F20"/>
          <w:sz w:val="12"/>
        </w:rPr>
        <w:t>45</w:t>
      </w:r>
      <w:r>
        <w:rPr>
          <w:color w:val="231F20"/>
          <w:spacing w:val="-20"/>
          <w:sz w:val="12"/>
        </w:rPr>
        <w:t xml:space="preserve"> </w:t>
      </w:r>
      <w:r>
        <w:rPr>
          <w:color w:val="231F20"/>
          <w:sz w:val="12"/>
        </w:rPr>
        <w:t>%</w:t>
      </w:r>
    </w:p>
    <w:p w14:paraId="4D68C553" w14:textId="77777777" w:rsidR="00F65BCA" w:rsidRDefault="00216117">
      <w:pPr>
        <w:spacing w:before="43"/>
        <w:ind w:left="411"/>
        <w:rPr>
          <w:sz w:val="12"/>
        </w:rPr>
      </w:pPr>
      <w:r>
        <w:rPr>
          <w:color w:val="231F20"/>
          <w:sz w:val="12"/>
        </w:rPr>
        <w:t>40</w:t>
      </w:r>
      <w:r>
        <w:rPr>
          <w:color w:val="231F20"/>
          <w:spacing w:val="-20"/>
          <w:sz w:val="12"/>
        </w:rPr>
        <w:t xml:space="preserve"> </w:t>
      </w:r>
      <w:r>
        <w:rPr>
          <w:color w:val="231F20"/>
          <w:sz w:val="12"/>
        </w:rPr>
        <w:t>%</w:t>
      </w:r>
    </w:p>
    <w:p w14:paraId="4766EA94" w14:textId="77777777" w:rsidR="00F65BCA" w:rsidRDefault="00216117">
      <w:pPr>
        <w:spacing w:before="44"/>
        <w:ind w:left="426"/>
        <w:rPr>
          <w:sz w:val="12"/>
        </w:rPr>
      </w:pPr>
      <w:r>
        <w:rPr>
          <w:color w:val="231F20"/>
          <w:sz w:val="12"/>
        </w:rPr>
        <w:t>30%</w:t>
      </w:r>
    </w:p>
    <w:p w14:paraId="5241F90B" w14:textId="77777777" w:rsidR="00F65BCA" w:rsidRDefault="00216117">
      <w:pPr>
        <w:spacing w:before="108"/>
        <w:ind w:right="237"/>
        <w:jc w:val="right"/>
        <w:rPr>
          <w:sz w:val="12"/>
        </w:rPr>
      </w:pPr>
      <w:r>
        <w:rPr>
          <w:color w:val="231F20"/>
          <w:sz w:val="12"/>
        </w:rPr>
        <w:t>do 40</w:t>
      </w:r>
      <w:r>
        <w:rPr>
          <w:color w:val="231F20"/>
          <w:spacing w:val="-17"/>
          <w:sz w:val="12"/>
        </w:rPr>
        <w:t xml:space="preserve"> </w:t>
      </w:r>
      <w:r>
        <w:rPr>
          <w:color w:val="231F20"/>
          <w:sz w:val="12"/>
        </w:rPr>
        <w:t>%</w:t>
      </w:r>
    </w:p>
    <w:p w14:paraId="47FC0D90" w14:textId="77777777" w:rsidR="00F65BCA" w:rsidRDefault="00F65BCA">
      <w:pPr>
        <w:pStyle w:val="Zkladntext"/>
        <w:rPr>
          <w:sz w:val="14"/>
        </w:rPr>
      </w:pPr>
    </w:p>
    <w:p w14:paraId="2BA11CBD" w14:textId="77777777" w:rsidR="00F65BCA" w:rsidRDefault="00F65BCA">
      <w:pPr>
        <w:pStyle w:val="Zkladntext"/>
        <w:rPr>
          <w:sz w:val="14"/>
        </w:rPr>
      </w:pPr>
    </w:p>
    <w:p w14:paraId="5ED846D1" w14:textId="77777777" w:rsidR="00F65BCA" w:rsidRDefault="00F65BCA">
      <w:pPr>
        <w:pStyle w:val="Zkladntext"/>
        <w:rPr>
          <w:sz w:val="14"/>
        </w:rPr>
      </w:pPr>
    </w:p>
    <w:p w14:paraId="2A2196B2" w14:textId="77777777" w:rsidR="00F65BCA" w:rsidRDefault="00F65BCA">
      <w:pPr>
        <w:pStyle w:val="Zkladntext"/>
        <w:rPr>
          <w:sz w:val="14"/>
        </w:rPr>
      </w:pPr>
    </w:p>
    <w:p w14:paraId="659EEB2D" w14:textId="77777777" w:rsidR="00F65BCA" w:rsidRDefault="00F65BCA">
      <w:pPr>
        <w:pStyle w:val="Zkladntext"/>
        <w:spacing w:before="4"/>
        <w:rPr>
          <w:sz w:val="12"/>
        </w:rPr>
      </w:pPr>
    </w:p>
    <w:p w14:paraId="1CB10640" w14:textId="77777777" w:rsidR="00F65BCA" w:rsidRDefault="00216117">
      <w:pPr>
        <w:spacing w:before="1"/>
        <w:ind w:left="309"/>
        <w:rPr>
          <w:sz w:val="12"/>
        </w:rPr>
      </w:pPr>
      <w:r>
        <w:rPr>
          <w:color w:val="231F20"/>
          <w:sz w:val="12"/>
        </w:rPr>
        <w:t>do 8</w:t>
      </w:r>
      <w:r>
        <w:rPr>
          <w:color w:val="231F20"/>
          <w:spacing w:val="-17"/>
          <w:sz w:val="12"/>
        </w:rPr>
        <w:t xml:space="preserve"> </w:t>
      </w:r>
      <w:r>
        <w:rPr>
          <w:color w:val="231F20"/>
          <w:sz w:val="12"/>
        </w:rPr>
        <w:t>%</w:t>
      </w:r>
    </w:p>
    <w:p w14:paraId="4E49841D" w14:textId="77777777" w:rsidR="00F65BCA" w:rsidRDefault="00216117">
      <w:pPr>
        <w:spacing w:before="37"/>
        <w:ind w:left="242"/>
        <w:rPr>
          <w:sz w:val="12"/>
        </w:rPr>
      </w:pPr>
      <w:r>
        <w:rPr>
          <w:color w:val="231F20"/>
          <w:sz w:val="12"/>
        </w:rPr>
        <w:t>do 15</w:t>
      </w:r>
      <w:r>
        <w:rPr>
          <w:color w:val="231F20"/>
          <w:spacing w:val="-17"/>
          <w:sz w:val="12"/>
        </w:rPr>
        <w:t xml:space="preserve"> </w:t>
      </w:r>
      <w:r>
        <w:rPr>
          <w:color w:val="231F20"/>
          <w:sz w:val="12"/>
        </w:rPr>
        <w:t>%</w:t>
      </w:r>
    </w:p>
    <w:p w14:paraId="755E3595" w14:textId="77777777" w:rsidR="00F65BCA" w:rsidRDefault="00216117">
      <w:pPr>
        <w:spacing w:before="38"/>
        <w:ind w:left="242"/>
        <w:rPr>
          <w:sz w:val="12"/>
        </w:rPr>
      </w:pPr>
      <w:r>
        <w:rPr>
          <w:color w:val="231F20"/>
          <w:sz w:val="12"/>
        </w:rPr>
        <w:t>do 35</w:t>
      </w:r>
      <w:r>
        <w:rPr>
          <w:color w:val="231F20"/>
          <w:spacing w:val="-17"/>
          <w:sz w:val="12"/>
        </w:rPr>
        <w:t xml:space="preserve"> </w:t>
      </w:r>
      <w:r>
        <w:rPr>
          <w:color w:val="231F20"/>
          <w:sz w:val="12"/>
        </w:rPr>
        <w:t>%</w:t>
      </w:r>
    </w:p>
    <w:p w14:paraId="3A3A884B" w14:textId="77777777" w:rsidR="00F65BCA" w:rsidRDefault="00F65BCA">
      <w:pPr>
        <w:pStyle w:val="Zkladntext"/>
        <w:rPr>
          <w:sz w:val="14"/>
        </w:rPr>
      </w:pPr>
    </w:p>
    <w:p w14:paraId="728B8620" w14:textId="77777777" w:rsidR="00F65BCA" w:rsidRDefault="00F65BCA">
      <w:pPr>
        <w:pStyle w:val="Zkladntext"/>
        <w:rPr>
          <w:sz w:val="14"/>
        </w:rPr>
      </w:pPr>
    </w:p>
    <w:p w14:paraId="6DA57481" w14:textId="77777777" w:rsidR="00F65BCA" w:rsidRDefault="00F65BCA">
      <w:pPr>
        <w:pStyle w:val="Zkladntext"/>
        <w:rPr>
          <w:sz w:val="14"/>
        </w:rPr>
      </w:pPr>
    </w:p>
    <w:p w14:paraId="7F7374DE" w14:textId="77777777" w:rsidR="00F65BCA" w:rsidRDefault="00F65BCA">
      <w:pPr>
        <w:pStyle w:val="Zkladntext"/>
        <w:spacing w:before="6"/>
      </w:pPr>
    </w:p>
    <w:p w14:paraId="0B575A2B" w14:textId="77777777" w:rsidR="00F65BCA" w:rsidRDefault="00216117">
      <w:pPr>
        <w:ind w:left="242"/>
        <w:rPr>
          <w:sz w:val="12"/>
        </w:rPr>
      </w:pPr>
      <w:r>
        <w:rPr>
          <w:color w:val="231F20"/>
          <w:sz w:val="12"/>
        </w:rPr>
        <w:t>do 15</w:t>
      </w:r>
      <w:r>
        <w:rPr>
          <w:color w:val="231F20"/>
          <w:spacing w:val="-17"/>
          <w:sz w:val="12"/>
        </w:rPr>
        <w:t xml:space="preserve"> </w:t>
      </w:r>
      <w:r>
        <w:rPr>
          <w:color w:val="231F20"/>
          <w:sz w:val="12"/>
        </w:rPr>
        <w:t>%</w:t>
      </w:r>
    </w:p>
    <w:p w14:paraId="312ADE4B" w14:textId="77777777" w:rsidR="00F65BCA" w:rsidRDefault="00216117">
      <w:pPr>
        <w:spacing w:before="38"/>
        <w:ind w:left="242"/>
        <w:rPr>
          <w:sz w:val="12"/>
        </w:rPr>
      </w:pPr>
      <w:r>
        <w:rPr>
          <w:color w:val="231F20"/>
          <w:sz w:val="12"/>
        </w:rPr>
        <w:t>do 30</w:t>
      </w:r>
      <w:r>
        <w:rPr>
          <w:color w:val="231F20"/>
          <w:spacing w:val="-17"/>
          <w:sz w:val="12"/>
        </w:rPr>
        <w:t xml:space="preserve"> </w:t>
      </w:r>
      <w:r>
        <w:rPr>
          <w:color w:val="231F20"/>
          <w:sz w:val="12"/>
        </w:rPr>
        <w:t>%</w:t>
      </w:r>
    </w:p>
    <w:p w14:paraId="549E9F56" w14:textId="77777777" w:rsidR="00F65BCA" w:rsidRDefault="00216117">
      <w:pPr>
        <w:spacing w:before="38" w:line="118" w:lineRule="exact"/>
        <w:ind w:left="175"/>
        <w:rPr>
          <w:sz w:val="12"/>
        </w:rPr>
      </w:pPr>
      <w:r>
        <w:rPr>
          <w:color w:val="231F20"/>
          <w:sz w:val="12"/>
        </w:rPr>
        <w:t>do 100</w:t>
      </w:r>
      <w:r>
        <w:rPr>
          <w:color w:val="231F20"/>
          <w:spacing w:val="-17"/>
          <w:sz w:val="12"/>
        </w:rPr>
        <w:t xml:space="preserve"> </w:t>
      </w:r>
      <w:r>
        <w:rPr>
          <w:color w:val="231F20"/>
          <w:sz w:val="12"/>
        </w:rPr>
        <w:t>%</w:t>
      </w:r>
    </w:p>
    <w:p w14:paraId="64539A01" w14:textId="77777777" w:rsidR="00F65BCA" w:rsidRDefault="00F65BCA">
      <w:pPr>
        <w:spacing w:line="118" w:lineRule="exact"/>
        <w:rPr>
          <w:sz w:val="12"/>
        </w:rPr>
        <w:sectPr w:rsidR="00F65BCA">
          <w:type w:val="continuous"/>
          <w:pgSz w:w="11910" w:h="16840"/>
          <w:pgMar w:top="840" w:right="140" w:bottom="280" w:left="140" w:header="708" w:footer="708" w:gutter="0"/>
          <w:cols w:num="6" w:space="708" w:equalWidth="0">
            <w:col w:w="2932" w:space="43"/>
            <w:col w:w="715" w:space="192"/>
            <w:col w:w="2990" w:space="53"/>
            <w:col w:w="648" w:space="163"/>
            <w:col w:w="2944" w:space="40"/>
            <w:col w:w="910"/>
          </w:cols>
        </w:sectPr>
      </w:pPr>
    </w:p>
    <w:p w14:paraId="76480A8D" w14:textId="77777777" w:rsidR="00F65BCA" w:rsidRDefault="00216117">
      <w:pPr>
        <w:pStyle w:val="Odstavecseseznamem"/>
        <w:numPr>
          <w:ilvl w:val="1"/>
          <w:numId w:val="44"/>
        </w:numPr>
        <w:tabs>
          <w:tab w:val="left" w:pos="456"/>
        </w:tabs>
        <w:spacing w:before="6"/>
        <w:ind w:right="112" w:hanging="214"/>
        <w:rPr>
          <w:sz w:val="12"/>
        </w:rPr>
      </w:pPr>
      <w:r>
        <w:rPr>
          <w:color w:val="231F20"/>
          <w:sz w:val="12"/>
        </w:rPr>
        <w:t>za</w:t>
      </w:r>
      <w:r>
        <w:rPr>
          <w:color w:val="231F20"/>
          <w:spacing w:val="-8"/>
          <w:sz w:val="12"/>
        </w:rPr>
        <w:t xml:space="preserve"> </w:t>
      </w:r>
      <w:r>
        <w:rPr>
          <w:color w:val="231F20"/>
          <w:sz w:val="12"/>
        </w:rPr>
        <w:t>následek</w:t>
      </w:r>
      <w:r>
        <w:rPr>
          <w:color w:val="231F20"/>
          <w:spacing w:val="-8"/>
          <w:sz w:val="12"/>
        </w:rPr>
        <w:t xml:space="preserve"> </w:t>
      </w:r>
      <w:r>
        <w:rPr>
          <w:color w:val="231F20"/>
          <w:sz w:val="12"/>
        </w:rPr>
        <w:t>snížení</w:t>
      </w:r>
      <w:r>
        <w:rPr>
          <w:color w:val="231F20"/>
          <w:spacing w:val="-4"/>
          <w:sz w:val="12"/>
        </w:rPr>
        <w:t xml:space="preserve"> </w:t>
      </w:r>
      <w:r>
        <w:rPr>
          <w:color w:val="231F20"/>
          <w:sz w:val="12"/>
        </w:rPr>
        <w:t>zrakové</w:t>
      </w:r>
      <w:r>
        <w:rPr>
          <w:color w:val="231F20"/>
          <w:spacing w:val="-5"/>
          <w:sz w:val="12"/>
        </w:rPr>
        <w:t xml:space="preserve"> </w:t>
      </w:r>
      <w:r>
        <w:rPr>
          <w:color w:val="231F20"/>
          <w:sz w:val="12"/>
        </w:rPr>
        <w:t>ostrosti</w:t>
      </w:r>
      <w:r>
        <w:rPr>
          <w:color w:val="231F20"/>
          <w:spacing w:val="-5"/>
          <w:sz w:val="12"/>
        </w:rPr>
        <w:t xml:space="preserve"> </w:t>
      </w:r>
      <w:r>
        <w:rPr>
          <w:color w:val="231F20"/>
          <w:sz w:val="12"/>
        </w:rPr>
        <w:t>–</w:t>
      </w:r>
      <w:r>
        <w:rPr>
          <w:color w:val="231F20"/>
          <w:spacing w:val="-4"/>
          <w:sz w:val="12"/>
        </w:rPr>
        <w:t xml:space="preserve"> </w:t>
      </w:r>
      <w:r>
        <w:rPr>
          <w:color w:val="231F20"/>
          <w:sz w:val="12"/>
        </w:rPr>
        <w:t>hodno- cení dle tabulky č.</w:t>
      </w:r>
      <w:r>
        <w:rPr>
          <w:color w:val="231F20"/>
          <w:spacing w:val="6"/>
          <w:sz w:val="12"/>
        </w:rPr>
        <w:t xml:space="preserve"> </w:t>
      </w:r>
      <w:r>
        <w:rPr>
          <w:color w:val="231F20"/>
          <w:sz w:val="12"/>
        </w:rPr>
        <w:t>1</w:t>
      </w:r>
    </w:p>
    <w:p w14:paraId="44C9BC88" w14:textId="77777777" w:rsidR="00F65BCA" w:rsidRDefault="00216117">
      <w:pPr>
        <w:spacing w:before="63" w:line="136" w:lineRule="exact"/>
        <w:ind w:left="455"/>
        <w:rPr>
          <w:sz w:val="12"/>
        </w:rPr>
      </w:pPr>
      <w:r>
        <w:rPr>
          <w:color w:val="231F20"/>
          <w:sz w:val="12"/>
        </w:rPr>
        <w:t>Anatomická</w:t>
      </w:r>
      <w:r>
        <w:rPr>
          <w:color w:val="231F20"/>
          <w:spacing w:val="-12"/>
          <w:sz w:val="12"/>
        </w:rPr>
        <w:t xml:space="preserve"> </w:t>
      </w:r>
      <w:r>
        <w:rPr>
          <w:color w:val="231F20"/>
          <w:sz w:val="12"/>
        </w:rPr>
        <w:t>ztráta</w:t>
      </w:r>
      <w:r>
        <w:rPr>
          <w:color w:val="231F20"/>
          <w:spacing w:val="-12"/>
          <w:sz w:val="12"/>
        </w:rPr>
        <w:t xml:space="preserve"> </w:t>
      </w:r>
      <w:r>
        <w:rPr>
          <w:color w:val="231F20"/>
          <w:sz w:val="12"/>
        </w:rPr>
        <w:t>nebo</w:t>
      </w:r>
      <w:r>
        <w:rPr>
          <w:color w:val="231F20"/>
          <w:spacing w:val="-11"/>
          <w:sz w:val="12"/>
        </w:rPr>
        <w:t xml:space="preserve"> </w:t>
      </w:r>
      <w:r>
        <w:rPr>
          <w:color w:val="231F20"/>
          <w:sz w:val="12"/>
        </w:rPr>
        <w:t>atrofie</w:t>
      </w:r>
      <w:r>
        <w:rPr>
          <w:color w:val="231F20"/>
          <w:spacing w:val="-12"/>
          <w:sz w:val="12"/>
        </w:rPr>
        <w:t xml:space="preserve"> </w:t>
      </w:r>
      <w:r>
        <w:rPr>
          <w:color w:val="231F20"/>
          <w:sz w:val="12"/>
        </w:rPr>
        <w:t>oka</w:t>
      </w:r>
      <w:r>
        <w:rPr>
          <w:color w:val="231F20"/>
          <w:spacing w:val="-11"/>
          <w:sz w:val="12"/>
        </w:rPr>
        <w:t xml:space="preserve"> </w:t>
      </w:r>
      <w:r>
        <w:rPr>
          <w:color w:val="231F20"/>
          <w:sz w:val="12"/>
        </w:rPr>
        <w:t>–</w:t>
      </w:r>
      <w:r>
        <w:rPr>
          <w:color w:val="231F20"/>
          <w:spacing w:val="-12"/>
          <w:sz w:val="12"/>
        </w:rPr>
        <w:t xml:space="preserve"> </w:t>
      </w:r>
      <w:r>
        <w:rPr>
          <w:color w:val="231F20"/>
          <w:sz w:val="12"/>
        </w:rPr>
        <w:t>připočítává</w:t>
      </w:r>
    </w:p>
    <w:p w14:paraId="0A528A3F" w14:textId="77777777" w:rsidR="00F65BCA" w:rsidRDefault="00216117">
      <w:pPr>
        <w:spacing w:before="20"/>
        <w:ind w:left="241"/>
        <w:rPr>
          <w:sz w:val="12"/>
        </w:rPr>
      </w:pPr>
      <w:r>
        <w:br w:type="column"/>
      </w:r>
      <w:r>
        <w:rPr>
          <w:color w:val="231F20"/>
          <w:sz w:val="12"/>
        </w:rPr>
        <w:t>ústrojí mluvy</w:t>
      </w:r>
    </w:p>
    <w:p w14:paraId="1B8E4863" w14:textId="77777777" w:rsidR="00F65BCA" w:rsidRDefault="00216117">
      <w:pPr>
        <w:pStyle w:val="Zkladntext"/>
        <w:rPr>
          <w:sz w:val="16"/>
        </w:rPr>
      </w:pPr>
      <w:r>
        <w:br w:type="column"/>
      </w:r>
    </w:p>
    <w:p w14:paraId="3C7BCBF7" w14:textId="77777777" w:rsidR="00F65BCA" w:rsidRDefault="00216117">
      <w:pPr>
        <w:spacing w:before="142" w:line="154" w:lineRule="exact"/>
        <w:ind w:left="241"/>
        <w:rPr>
          <w:b/>
          <w:sz w:val="14"/>
        </w:rPr>
      </w:pPr>
      <w:r>
        <w:rPr>
          <w:b/>
          <w:color w:val="231F20"/>
          <w:sz w:val="14"/>
        </w:rPr>
        <w:t>ZUBY</w:t>
      </w:r>
    </w:p>
    <w:p w14:paraId="744C9FF0" w14:textId="77777777" w:rsidR="00F65BCA" w:rsidRDefault="00216117">
      <w:pPr>
        <w:pStyle w:val="Zkladntext"/>
        <w:rPr>
          <w:b/>
          <w:sz w:val="16"/>
        </w:rPr>
      </w:pPr>
      <w:r>
        <w:br w:type="column"/>
      </w:r>
    </w:p>
    <w:p w14:paraId="3AA0B8E4" w14:textId="77777777" w:rsidR="00F65BCA" w:rsidRDefault="00216117">
      <w:pPr>
        <w:spacing w:before="1"/>
        <w:ind w:left="178" w:right="871"/>
        <w:jc w:val="center"/>
        <w:rPr>
          <w:b/>
          <w:sz w:val="14"/>
        </w:rPr>
      </w:pPr>
      <w:r>
        <w:rPr>
          <w:b/>
          <w:color w:val="231F20"/>
          <w:sz w:val="14"/>
        </w:rPr>
        <w:t>PÁNEV</w:t>
      </w:r>
    </w:p>
    <w:p w14:paraId="42E1E2A9" w14:textId="77777777" w:rsidR="00F65BCA" w:rsidRDefault="00216117">
      <w:pPr>
        <w:spacing w:before="62" w:line="73" w:lineRule="exact"/>
        <w:ind w:left="178" w:right="899"/>
        <w:jc w:val="center"/>
        <w:rPr>
          <w:sz w:val="12"/>
        </w:rPr>
      </w:pPr>
      <w:r>
        <w:rPr>
          <w:color w:val="231F20"/>
          <w:sz w:val="12"/>
        </w:rPr>
        <w:t>Porušení souvislosti pánevního prstence s poru-</w:t>
      </w:r>
    </w:p>
    <w:p w14:paraId="6EC15372" w14:textId="77777777" w:rsidR="00F65BCA" w:rsidRDefault="00F65BCA">
      <w:pPr>
        <w:spacing w:line="73" w:lineRule="exact"/>
        <w:jc w:val="center"/>
        <w:rPr>
          <w:sz w:val="12"/>
        </w:rPr>
        <w:sectPr w:rsidR="00F65BCA">
          <w:type w:val="continuous"/>
          <w:pgSz w:w="11910" w:h="16840"/>
          <w:pgMar w:top="840" w:right="140" w:bottom="280" w:left="140" w:header="708" w:footer="708" w:gutter="0"/>
          <w:cols w:num="4" w:space="708" w:equalWidth="0">
            <w:col w:w="2988" w:space="1108"/>
            <w:col w:w="918" w:space="138"/>
            <w:col w:w="669" w:space="2129"/>
            <w:col w:w="3680"/>
          </w:cols>
        </w:sectPr>
      </w:pPr>
    </w:p>
    <w:p w14:paraId="09AB2564" w14:textId="77777777" w:rsidR="00F65BCA" w:rsidRDefault="00000000">
      <w:pPr>
        <w:pStyle w:val="Odstavecseseznamem"/>
        <w:numPr>
          <w:ilvl w:val="0"/>
          <w:numId w:val="39"/>
        </w:numPr>
        <w:tabs>
          <w:tab w:val="left" w:pos="456"/>
        </w:tabs>
        <w:spacing w:before="4" w:line="242" w:lineRule="auto"/>
        <w:ind w:right="267"/>
        <w:rPr>
          <w:sz w:val="12"/>
        </w:rPr>
      </w:pPr>
      <w:r>
        <w:pict w14:anchorId="3A6010DC">
          <v:group id="_x0000_s1568" style="position:absolute;left:0;text-align:left;margin-left:0;margin-top:807.85pt;width:595.3pt;height:34.05pt;z-index:252002304;mso-position-horizontal-relative:page;mso-position-vertical-relative:page" coordorigin=",16157" coordsize="11906,681">
            <v:shape id="_x0000_s1570" type="#_x0000_t75" style="position:absolute;top:16157;width:11906;height:681">
              <v:imagedata r:id="rId57" o:title=""/>
            </v:shape>
            <v:shape id="_x0000_s1569" type="#_x0000_t202" style="position:absolute;left:9491;top:16477;width:1414;height:164" filled="f" stroked="f">
              <v:textbox inset="0,0,0,0">
                <w:txbxContent>
                  <w:p w14:paraId="487D87E3" w14:textId="77777777" w:rsidR="00F65BCA" w:rsidRDefault="00216117">
                    <w:pPr>
                      <w:spacing w:before="2"/>
                      <w:rPr>
                        <w:sz w:val="14"/>
                      </w:rPr>
                    </w:pPr>
                    <w:r>
                      <w:rPr>
                        <w:color w:val="231F20"/>
                        <w:sz w:val="14"/>
                      </w:rPr>
                      <w:t>6.20.012 05.2025 v04</w:t>
                    </w:r>
                  </w:p>
                </w:txbxContent>
              </v:textbox>
            </v:shape>
            <w10:wrap anchorx="page" anchory="page"/>
          </v:group>
        </w:pict>
      </w:r>
      <w:r w:rsidR="00216117">
        <w:rPr>
          <w:noProof/>
        </w:rPr>
        <w:drawing>
          <wp:anchor distT="0" distB="0" distL="0" distR="0" simplePos="0" relativeHeight="204089344" behindDoc="1" locked="0" layoutInCell="1" allowOverlap="1" wp14:anchorId="1273A30A" wp14:editId="7942654F">
            <wp:simplePos x="0" y="0"/>
            <wp:positionH relativeFrom="page">
              <wp:posOffset>179997</wp:posOffset>
            </wp:positionH>
            <wp:positionV relativeFrom="page">
              <wp:posOffset>522003</wp:posOffset>
            </wp:positionV>
            <wp:extent cx="7200000" cy="9608399"/>
            <wp:effectExtent l="0" t="0" r="0" b="0"/>
            <wp:wrapNone/>
            <wp:docPr id="29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44.png"/>
                    <pic:cNvPicPr/>
                  </pic:nvPicPr>
                  <pic:blipFill>
                    <a:blip r:embed="rId60" cstate="print"/>
                    <a:stretch>
                      <a:fillRect/>
                    </a:stretch>
                  </pic:blipFill>
                  <pic:spPr>
                    <a:xfrm>
                      <a:off x="0" y="0"/>
                      <a:ext cx="7200000" cy="9608399"/>
                    </a:xfrm>
                    <a:prstGeom prst="rect">
                      <a:avLst/>
                    </a:prstGeom>
                  </pic:spPr>
                </pic:pic>
              </a:graphicData>
            </a:graphic>
          </wp:anchor>
        </w:drawing>
      </w:r>
      <w:r w:rsidR="00216117">
        <w:rPr>
          <w:color w:val="231F20"/>
          <w:sz w:val="12"/>
        </w:rPr>
        <w:t>se</w:t>
      </w:r>
      <w:r w:rsidR="00216117">
        <w:rPr>
          <w:color w:val="231F20"/>
          <w:spacing w:val="-12"/>
          <w:sz w:val="12"/>
        </w:rPr>
        <w:t xml:space="preserve"> </w:t>
      </w:r>
      <w:r w:rsidR="00216117">
        <w:rPr>
          <w:color w:val="231F20"/>
          <w:sz w:val="12"/>
        </w:rPr>
        <w:t>ke</w:t>
      </w:r>
      <w:r w:rsidR="00216117">
        <w:rPr>
          <w:color w:val="231F20"/>
          <w:spacing w:val="-12"/>
          <w:sz w:val="12"/>
        </w:rPr>
        <w:t xml:space="preserve"> </w:t>
      </w:r>
      <w:r w:rsidR="00216117">
        <w:rPr>
          <w:color w:val="231F20"/>
          <w:sz w:val="12"/>
        </w:rPr>
        <w:t>zjištěné</w:t>
      </w:r>
      <w:r w:rsidR="00216117">
        <w:rPr>
          <w:color w:val="231F20"/>
          <w:spacing w:val="-11"/>
          <w:sz w:val="12"/>
        </w:rPr>
        <w:t xml:space="preserve"> </w:t>
      </w:r>
      <w:r w:rsidR="00216117">
        <w:rPr>
          <w:color w:val="231F20"/>
          <w:sz w:val="12"/>
        </w:rPr>
        <w:t>hodnotě</w:t>
      </w:r>
      <w:r w:rsidR="00216117">
        <w:rPr>
          <w:color w:val="231F20"/>
          <w:spacing w:val="-12"/>
          <w:sz w:val="12"/>
        </w:rPr>
        <w:t xml:space="preserve"> </w:t>
      </w:r>
      <w:r w:rsidR="00216117">
        <w:rPr>
          <w:color w:val="231F20"/>
          <w:sz w:val="12"/>
        </w:rPr>
        <w:t>trvalé</w:t>
      </w:r>
      <w:r w:rsidR="00216117">
        <w:rPr>
          <w:color w:val="231F20"/>
          <w:spacing w:val="-12"/>
          <w:sz w:val="12"/>
        </w:rPr>
        <w:t xml:space="preserve"> </w:t>
      </w:r>
      <w:r w:rsidR="00216117">
        <w:rPr>
          <w:color w:val="231F20"/>
          <w:sz w:val="12"/>
        </w:rPr>
        <w:t>zrakové</w:t>
      </w:r>
      <w:r w:rsidR="00216117">
        <w:rPr>
          <w:color w:val="231F20"/>
          <w:spacing w:val="-11"/>
          <w:sz w:val="12"/>
        </w:rPr>
        <w:t xml:space="preserve"> </w:t>
      </w:r>
      <w:r w:rsidR="00216117">
        <w:rPr>
          <w:color w:val="231F20"/>
          <w:spacing w:val="-5"/>
          <w:sz w:val="12"/>
        </w:rPr>
        <w:t xml:space="preserve">méně- </w:t>
      </w:r>
      <w:r w:rsidR="00216117">
        <w:rPr>
          <w:color w:val="231F20"/>
          <w:sz w:val="12"/>
        </w:rPr>
        <w:t>cennosti</w:t>
      </w:r>
    </w:p>
    <w:p w14:paraId="05C6333D" w14:textId="77777777" w:rsidR="00F65BCA" w:rsidRDefault="00216117">
      <w:pPr>
        <w:pStyle w:val="Odstavecseseznamem"/>
        <w:numPr>
          <w:ilvl w:val="0"/>
          <w:numId w:val="39"/>
        </w:numPr>
        <w:tabs>
          <w:tab w:val="left" w:pos="456"/>
        </w:tabs>
        <w:spacing w:before="47"/>
        <w:ind w:hanging="273"/>
        <w:rPr>
          <w:sz w:val="12"/>
        </w:rPr>
      </w:pPr>
      <w:r>
        <w:rPr>
          <w:color w:val="231F20"/>
          <w:sz w:val="12"/>
        </w:rPr>
        <w:t>Ztráta čočky na jednom</w:t>
      </w:r>
      <w:r>
        <w:rPr>
          <w:color w:val="231F20"/>
          <w:spacing w:val="-4"/>
          <w:sz w:val="12"/>
        </w:rPr>
        <w:t xml:space="preserve"> </w:t>
      </w:r>
      <w:r>
        <w:rPr>
          <w:color w:val="231F20"/>
          <w:sz w:val="12"/>
        </w:rPr>
        <w:t>oku</w:t>
      </w:r>
    </w:p>
    <w:p w14:paraId="1FA870B2" w14:textId="77777777" w:rsidR="00F65BCA" w:rsidRDefault="00216117">
      <w:pPr>
        <w:pStyle w:val="Odstavecseseznamem"/>
        <w:numPr>
          <w:ilvl w:val="0"/>
          <w:numId w:val="39"/>
        </w:numPr>
        <w:tabs>
          <w:tab w:val="left" w:pos="456"/>
        </w:tabs>
        <w:spacing w:before="37"/>
        <w:ind w:hanging="273"/>
        <w:rPr>
          <w:sz w:val="12"/>
        </w:rPr>
      </w:pPr>
      <w:r>
        <w:rPr>
          <w:color w:val="231F20"/>
          <w:position w:val="1"/>
          <w:sz w:val="12"/>
        </w:rPr>
        <w:t>Ztráta čočky obou</w:t>
      </w:r>
      <w:r>
        <w:rPr>
          <w:color w:val="231F20"/>
          <w:spacing w:val="-2"/>
          <w:position w:val="1"/>
          <w:sz w:val="12"/>
        </w:rPr>
        <w:t xml:space="preserve"> </w:t>
      </w:r>
      <w:r>
        <w:rPr>
          <w:color w:val="231F20"/>
          <w:position w:val="1"/>
          <w:sz w:val="12"/>
        </w:rPr>
        <w:t>očí</w:t>
      </w:r>
    </w:p>
    <w:p w14:paraId="1BF825B9" w14:textId="77777777" w:rsidR="00F65BCA" w:rsidRDefault="00216117">
      <w:pPr>
        <w:pStyle w:val="Odstavecseseznamem"/>
        <w:numPr>
          <w:ilvl w:val="0"/>
          <w:numId w:val="39"/>
        </w:numPr>
        <w:tabs>
          <w:tab w:val="left" w:pos="456"/>
        </w:tabs>
        <w:spacing w:before="20" w:line="223" w:lineRule="auto"/>
        <w:ind w:right="336"/>
        <w:rPr>
          <w:sz w:val="12"/>
        </w:rPr>
      </w:pPr>
      <w:r>
        <w:rPr>
          <w:color w:val="231F20"/>
          <w:position w:val="2"/>
          <w:sz w:val="12"/>
        </w:rPr>
        <w:t>Porucha</w:t>
      </w:r>
      <w:r>
        <w:rPr>
          <w:color w:val="231F20"/>
          <w:spacing w:val="-11"/>
          <w:position w:val="2"/>
          <w:sz w:val="12"/>
        </w:rPr>
        <w:t xml:space="preserve"> </w:t>
      </w:r>
      <w:r>
        <w:rPr>
          <w:color w:val="231F20"/>
          <w:position w:val="2"/>
          <w:sz w:val="12"/>
        </w:rPr>
        <w:t>okohybných</w:t>
      </w:r>
      <w:r>
        <w:rPr>
          <w:color w:val="231F20"/>
          <w:spacing w:val="-11"/>
          <w:position w:val="2"/>
          <w:sz w:val="12"/>
        </w:rPr>
        <w:t xml:space="preserve"> </w:t>
      </w:r>
      <w:r>
        <w:rPr>
          <w:color w:val="231F20"/>
          <w:position w:val="2"/>
          <w:sz w:val="12"/>
        </w:rPr>
        <w:t>nervů</w:t>
      </w:r>
      <w:r>
        <w:rPr>
          <w:color w:val="231F20"/>
          <w:spacing w:val="-11"/>
          <w:position w:val="2"/>
          <w:sz w:val="12"/>
        </w:rPr>
        <w:t xml:space="preserve"> </w:t>
      </w:r>
      <w:r>
        <w:rPr>
          <w:color w:val="231F20"/>
          <w:position w:val="2"/>
          <w:sz w:val="12"/>
        </w:rPr>
        <w:t>nebo</w:t>
      </w:r>
      <w:r>
        <w:rPr>
          <w:color w:val="231F20"/>
          <w:spacing w:val="-11"/>
          <w:position w:val="2"/>
          <w:sz w:val="12"/>
        </w:rPr>
        <w:t xml:space="preserve"> </w:t>
      </w:r>
      <w:r>
        <w:rPr>
          <w:color w:val="231F20"/>
          <w:position w:val="2"/>
          <w:sz w:val="12"/>
        </w:rPr>
        <w:t>porucha</w:t>
      </w:r>
      <w:r>
        <w:rPr>
          <w:color w:val="231F20"/>
          <w:sz w:val="12"/>
        </w:rPr>
        <w:t xml:space="preserve"> rovnováhy</w:t>
      </w:r>
      <w:r>
        <w:rPr>
          <w:color w:val="231F20"/>
          <w:spacing w:val="-15"/>
          <w:sz w:val="12"/>
        </w:rPr>
        <w:t xml:space="preserve"> </w:t>
      </w:r>
      <w:r>
        <w:rPr>
          <w:color w:val="231F20"/>
          <w:sz w:val="12"/>
        </w:rPr>
        <w:t>okohybných</w:t>
      </w:r>
      <w:r>
        <w:rPr>
          <w:color w:val="231F20"/>
          <w:spacing w:val="-15"/>
          <w:sz w:val="12"/>
        </w:rPr>
        <w:t xml:space="preserve"> </w:t>
      </w:r>
      <w:r>
        <w:rPr>
          <w:color w:val="231F20"/>
          <w:sz w:val="12"/>
        </w:rPr>
        <w:t>svalů</w:t>
      </w:r>
      <w:r>
        <w:rPr>
          <w:color w:val="231F20"/>
          <w:spacing w:val="-14"/>
          <w:sz w:val="12"/>
        </w:rPr>
        <w:t xml:space="preserve"> </w:t>
      </w:r>
      <w:r>
        <w:rPr>
          <w:color w:val="231F20"/>
          <w:sz w:val="12"/>
        </w:rPr>
        <w:t>podle</w:t>
      </w:r>
      <w:r>
        <w:rPr>
          <w:color w:val="231F20"/>
          <w:spacing w:val="-15"/>
          <w:sz w:val="12"/>
        </w:rPr>
        <w:t xml:space="preserve"> </w:t>
      </w:r>
      <w:r>
        <w:rPr>
          <w:color w:val="231F20"/>
          <w:spacing w:val="-3"/>
          <w:sz w:val="12"/>
        </w:rPr>
        <w:t>stupně</w:t>
      </w:r>
    </w:p>
    <w:p w14:paraId="19CBE182" w14:textId="77777777" w:rsidR="00F65BCA" w:rsidRDefault="00216117">
      <w:pPr>
        <w:spacing w:before="36" w:line="304" w:lineRule="auto"/>
        <w:ind w:left="183" w:right="55" w:firstLine="271"/>
        <w:rPr>
          <w:sz w:val="12"/>
        </w:rPr>
      </w:pPr>
      <w:r>
        <w:rPr>
          <w:b/>
          <w:color w:val="231F20"/>
          <w:sz w:val="12"/>
        </w:rPr>
        <w:t xml:space="preserve">Omezení zorného pole následkem úrazu </w:t>
      </w:r>
      <w:r>
        <w:rPr>
          <w:b/>
          <w:color w:val="231F20"/>
          <w:w w:val="95"/>
          <w:sz w:val="12"/>
        </w:rPr>
        <w:t>016</w:t>
      </w:r>
      <w:r>
        <w:rPr>
          <w:b/>
          <w:color w:val="231F20"/>
          <w:spacing w:val="13"/>
          <w:w w:val="95"/>
          <w:sz w:val="12"/>
        </w:rPr>
        <w:t xml:space="preserve"> </w:t>
      </w:r>
      <w:r>
        <w:rPr>
          <w:color w:val="231F20"/>
          <w:w w:val="95"/>
          <w:sz w:val="12"/>
        </w:rPr>
        <w:t>Koncentrická</w:t>
      </w:r>
      <w:r>
        <w:rPr>
          <w:color w:val="231F20"/>
          <w:spacing w:val="-12"/>
          <w:w w:val="95"/>
          <w:sz w:val="12"/>
        </w:rPr>
        <w:t xml:space="preserve"> </w:t>
      </w:r>
      <w:r>
        <w:rPr>
          <w:color w:val="231F20"/>
          <w:w w:val="95"/>
          <w:sz w:val="12"/>
        </w:rPr>
        <w:t>omezení</w:t>
      </w:r>
      <w:r>
        <w:rPr>
          <w:color w:val="231F20"/>
          <w:spacing w:val="-13"/>
          <w:w w:val="95"/>
          <w:sz w:val="12"/>
        </w:rPr>
        <w:t xml:space="preserve"> </w:t>
      </w:r>
      <w:r>
        <w:rPr>
          <w:color w:val="231F20"/>
          <w:w w:val="95"/>
          <w:sz w:val="12"/>
        </w:rPr>
        <w:t>–</w:t>
      </w:r>
      <w:r>
        <w:rPr>
          <w:color w:val="231F20"/>
          <w:spacing w:val="-13"/>
          <w:w w:val="95"/>
          <w:sz w:val="12"/>
        </w:rPr>
        <w:t xml:space="preserve"> </w:t>
      </w:r>
      <w:r>
        <w:rPr>
          <w:color w:val="231F20"/>
          <w:w w:val="95"/>
          <w:sz w:val="12"/>
        </w:rPr>
        <w:t>hodnocení</w:t>
      </w:r>
      <w:r>
        <w:rPr>
          <w:color w:val="231F20"/>
          <w:spacing w:val="-13"/>
          <w:w w:val="95"/>
          <w:sz w:val="12"/>
        </w:rPr>
        <w:t xml:space="preserve"> </w:t>
      </w:r>
      <w:r>
        <w:rPr>
          <w:color w:val="231F20"/>
          <w:w w:val="95"/>
          <w:sz w:val="12"/>
        </w:rPr>
        <w:t>dle</w:t>
      </w:r>
      <w:r>
        <w:rPr>
          <w:color w:val="231F20"/>
          <w:spacing w:val="-13"/>
          <w:w w:val="95"/>
          <w:sz w:val="12"/>
        </w:rPr>
        <w:t xml:space="preserve"> </w:t>
      </w:r>
      <w:r>
        <w:rPr>
          <w:color w:val="231F20"/>
          <w:w w:val="95"/>
          <w:sz w:val="12"/>
        </w:rPr>
        <w:t>tabulky</w:t>
      </w:r>
      <w:r>
        <w:rPr>
          <w:color w:val="231F20"/>
          <w:spacing w:val="-12"/>
          <w:w w:val="95"/>
          <w:sz w:val="12"/>
        </w:rPr>
        <w:t xml:space="preserve"> </w:t>
      </w:r>
      <w:r>
        <w:rPr>
          <w:color w:val="231F20"/>
          <w:w w:val="95"/>
          <w:sz w:val="12"/>
        </w:rPr>
        <w:t>č.</w:t>
      </w:r>
      <w:r>
        <w:rPr>
          <w:color w:val="231F20"/>
          <w:spacing w:val="-12"/>
          <w:w w:val="95"/>
          <w:sz w:val="12"/>
        </w:rPr>
        <w:t xml:space="preserve"> </w:t>
      </w:r>
      <w:r>
        <w:rPr>
          <w:color w:val="231F20"/>
          <w:w w:val="95"/>
          <w:sz w:val="12"/>
        </w:rPr>
        <w:t xml:space="preserve">2 </w:t>
      </w:r>
      <w:r>
        <w:rPr>
          <w:b/>
          <w:color w:val="231F20"/>
          <w:sz w:val="12"/>
        </w:rPr>
        <w:t xml:space="preserve">017 </w:t>
      </w:r>
      <w:r>
        <w:rPr>
          <w:color w:val="231F20"/>
          <w:sz w:val="12"/>
        </w:rPr>
        <w:t>Ostatní omezení – hodnocení dle tabulky č.</w:t>
      </w:r>
      <w:r>
        <w:rPr>
          <w:color w:val="231F20"/>
          <w:spacing w:val="-21"/>
          <w:sz w:val="12"/>
        </w:rPr>
        <w:t xml:space="preserve"> </w:t>
      </w:r>
      <w:r>
        <w:rPr>
          <w:color w:val="231F20"/>
          <w:sz w:val="12"/>
        </w:rPr>
        <w:t>3</w:t>
      </w:r>
    </w:p>
    <w:p w14:paraId="3D96EDA7" w14:textId="77777777" w:rsidR="00F65BCA" w:rsidRDefault="00216117">
      <w:pPr>
        <w:spacing w:before="1"/>
        <w:ind w:left="455"/>
        <w:rPr>
          <w:sz w:val="12"/>
        </w:rPr>
      </w:pPr>
      <w:r>
        <w:rPr>
          <w:color w:val="231F20"/>
          <w:sz w:val="12"/>
        </w:rPr>
        <w:t>Porušení průchodnosti slzných cest</w:t>
      </w:r>
    </w:p>
    <w:p w14:paraId="6227E6B3" w14:textId="77777777" w:rsidR="00F65BCA" w:rsidRDefault="00216117">
      <w:pPr>
        <w:pStyle w:val="Odstavecseseznamem"/>
        <w:numPr>
          <w:ilvl w:val="0"/>
          <w:numId w:val="38"/>
        </w:numPr>
        <w:tabs>
          <w:tab w:val="left" w:pos="456"/>
        </w:tabs>
        <w:spacing w:before="38"/>
        <w:ind w:hanging="273"/>
        <w:rPr>
          <w:sz w:val="12"/>
        </w:rPr>
      </w:pPr>
      <w:r>
        <w:rPr>
          <w:color w:val="231F20"/>
          <w:sz w:val="12"/>
        </w:rPr>
        <w:t>na jednom</w:t>
      </w:r>
      <w:r>
        <w:rPr>
          <w:color w:val="231F20"/>
          <w:spacing w:val="-19"/>
          <w:sz w:val="12"/>
        </w:rPr>
        <w:t xml:space="preserve"> </w:t>
      </w:r>
      <w:r>
        <w:rPr>
          <w:color w:val="231F20"/>
          <w:sz w:val="12"/>
        </w:rPr>
        <w:t>oku</w:t>
      </w:r>
    </w:p>
    <w:p w14:paraId="2FCA425C" w14:textId="77777777" w:rsidR="00F65BCA" w:rsidRDefault="00216117">
      <w:pPr>
        <w:pStyle w:val="Odstavecseseznamem"/>
        <w:numPr>
          <w:ilvl w:val="0"/>
          <w:numId w:val="38"/>
        </w:numPr>
        <w:tabs>
          <w:tab w:val="left" w:pos="456"/>
        </w:tabs>
        <w:spacing w:before="39"/>
        <w:ind w:hanging="273"/>
        <w:rPr>
          <w:sz w:val="12"/>
        </w:rPr>
      </w:pPr>
      <w:r>
        <w:rPr>
          <w:color w:val="231F20"/>
          <w:position w:val="1"/>
          <w:sz w:val="12"/>
        </w:rPr>
        <w:t>na obou</w:t>
      </w:r>
      <w:r>
        <w:rPr>
          <w:color w:val="231F20"/>
          <w:spacing w:val="-16"/>
          <w:position w:val="1"/>
          <w:sz w:val="12"/>
        </w:rPr>
        <w:t xml:space="preserve"> </w:t>
      </w:r>
      <w:r>
        <w:rPr>
          <w:color w:val="231F20"/>
          <w:position w:val="1"/>
          <w:sz w:val="12"/>
        </w:rPr>
        <w:t>očích</w:t>
      </w:r>
    </w:p>
    <w:p w14:paraId="7D609B62" w14:textId="77777777" w:rsidR="00F65BCA" w:rsidRDefault="00216117">
      <w:pPr>
        <w:spacing w:before="26"/>
        <w:ind w:left="455"/>
        <w:rPr>
          <w:sz w:val="12"/>
        </w:rPr>
      </w:pPr>
      <w:r>
        <w:rPr>
          <w:color w:val="231F20"/>
          <w:spacing w:val="-3"/>
          <w:sz w:val="12"/>
        </w:rPr>
        <w:t xml:space="preserve">Chybné postavení </w:t>
      </w:r>
      <w:r>
        <w:rPr>
          <w:color w:val="231F20"/>
          <w:sz w:val="12"/>
        </w:rPr>
        <w:t xml:space="preserve">brv </w:t>
      </w:r>
      <w:r>
        <w:rPr>
          <w:color w:val="231F20"/>
          <w:spacing w:val="-3"/>
          <w:sz w:val="12"/>
        </w:rPr>
        <w:t>operativně nekorigovatelné</w:t>
      </w:r>
    </w:p>
    <w:p w14:paraId="7E36083E" w14:textId="77777777" w:rsidR="00F65BCA" w:rsidRDefault="00216117">
      <w:pPr>
        <w:pStyle w:val="Odstavecseseznamem"/>
        <w:numPr>
          <w:ilvl w:val="0"/>
          <w:numId w:val="38"/>
        </w:numPr>
        <w:tabs>
          <w:tab w:val="left" w:pos="456"/>
        </w:tabs>
        <w:spacing w:before="40"/>
        <w:ind w:hanging="273"/>
        <w:rPr>
          <w:sz w:val="12"/>
        </w:rPr>
      </w:pPr>
      <w:r>
        <w:rPr>
          <w:color w:val="231F20"/>
          <w:position w:val="1"/>
          <w:sz w:val="12"/>
        </w:rPr>
        <w:t>na jednom</w:t>
      </w:r>
      <w:r>
        <w:rPr>
          <w:color w:val="231F20"/>
          <w:spacing w:val="-19"/>
          <w:position w:val="1"/>
          <w:sz w:val="12"/>
        </w:rPr>
        <w:t xml:space="preserve"> </w:t>
      </w:r>
      <w:r>
        <w:rPr>
          <w:color w:val="231F20"/>
          <w:position w:val="1"/>
          <w:sz w:val="12"/>
        </w:rPr>
        <w:t>oku</w:t>
      </w:r>
    </w:p>
    <w:p w14:paraId="79E72649" w14:textId="77777777" w:rsidR="00F65BCA" w:rsidRDefault="00216117">
      <w:pPr>
        <w:pStyle w:val="Odstavecseseznamem"/>
        <w:numPr>
          <w:ilvl w:val="0"/>
          <w:numId w:val="38"/>
        </w:numPr>
        <w:tabs>
          <w:tab w:val="left" w:pos="456"/>
        </w:tabs>
        <w:spacing w:before="26"/>
        <w:ind w:hanging="273"/>
        <w:rPr>
          <w:sz w:val="12"/>
        </w:rPr>
      </w:pPr>
      <w:r>
        <w:rPr>
          <w:color w:val="231F20"/>
          <w:sz w:val="12"/>
        </w:rPr>
        <w:t>na obou</w:t>
      </w:r>
      <w:r>
        <w:rPr>
          <w:color w:val="231F20"/>
          <w:spacing w:val="-16"/>
          <w:sz w:val="12"/>
        </w:rPr>
        <w:t xml:space="preserve"> </w:t>
      </w:r>
      <w:r>
        <w:rPr>
          <w:color w:val="231F20"/>
          <w:sz w:val="12"/>
        </w:rPr>
        <w:t>očích</w:t>
      </w:r>
    </w:p>
    <w:p w14:paraId="33B4B0C9" w14:textId="77777777" w:rsidR="00F65BCA" w:rsidRDefault="00216117">
      <w:pPr>
        <w:pStyle w:val="Odstavecseseznamem"/>
        <w:numPr>
          <w:ilvl w:val="0"/>
          <w:numId w:val="38"/>
        </w:numPr>
        <w:tabs>
          <w:tab w:val="left" w:pos="456"/>
        </w:tabs>
        <w:spacing w:before="38"/>
        <w:ind w:hanging="273"/>
        <w:rPr>
          <w:sz w:val="12"/>
        </w:rPr>
      </w:pPr>
      <w:r>
        <w:rPr>
          <w:color w:val="231F20"/>
          <w:sz w:val="12"/>
        </w:rPr>
        <w:t>Rozšíření</w:t>
      </w:r>
      <w:r>
        <w:rPr>
          <w:color w:val="231F20"/>
          <w:spacing w:val="-22"/>
          <w:sz w:val="12"/>
        </w:rPr>
        <w:t xml:space="preserve"> </w:t>
      </w:r>
      <w:r>
        <w:rPr>
          <w:color w:val="231F20"/>
          <w:sz w:val="12"/>
        </w:rPr>
        <w:t>a</w:t>
      </w:r>
      <w:r>
        <w:rPr>
          <w:color w:val="231F20"/>
          <w:spacing w:val="-21"/>
          <w:sz w:val="12"/>
        </w:rPr>
        <w:t xml:space="preserve"> </w:t>
      </w:r>
      <w:r>
        <w:rPr>
          <w:color w:val="231F20"/>
          <w:sz w:val="12"/>
        </w:rPr>
        <w:t>ochrnutí</w:t>
      </w:r>
      <w:r>
        <w:rPr>
          <w:color w:val="231F20"/>
          <w:spacing w:val="-22"/>
          <w:sz w:val="12"/>
        </w:rPr>
        <w:t xml:space="preserve"> </w:t>
      </w:r>
      <w:r>
        <w:rPr>
          <w:color w:val="231F20"/>
          <w:sz w:val="12"/>
        </w:rPr>
        <w:t>zornice</w:t>
      </w:r>
      <w:r>
        <w:rPr>
          <w:color w:val="231F20"/>
          <w:spacing w:val="-21"/>
          <w:sz w:val="12"/>
        </w:rPr>
        <w:t xml:space="preserve"> </w:t>
      </w:r>
      <w:r>
        <w:rPr>
          <w:color w:val="231F20"/>
          <w:sz w:val="12"/>
        </w:rPr>
        <w:t>(u</w:t>
      </w:r>
      <w:r>
        <w:rPr>
          <w:color w:val="231F20"/>
          <w:spacing w:val="-22"/>
          <w:sz w:val="12"/>
        </w:rPr>
        <w:t xml:space="preserve"> </w:t>
      </w:r>
      <w:r>
        <w:rPr>
          <w:color w:val="231F20"/>
          <w:sz w:val="12"/>
        </w:rPr>
        <w:t>vidoucího</w:t>
      </w:r>
      <w:r>
        <w:rPr>
          <w:color w:val="231F20"/>
          <w:spacing w:val="-21"/>
          <w:sz w:val="12"/>
        </w:rPr>
        <w:t xml:space="preserve"> </w:t>
      </w:r>
      <w:r>
        <w:rPr>
          <w:color w:val="231F20"/>
          <w:sz w:val="12"/>
        </w:rPr>
        <w:t>oka)</w:t>
      </w:r>
    </w:p>
    <w:p w14:paraId="35EEE902" w14:textId="77777777" w:rsidR="00F65BCA" w:rsidRDefault="00216117">
      <w:pPr>
        <w:pStyle w:val="Odstavecseseznamem"/>
        <w:numPr>
          <w:ilvl w:val="0"/>
          <w:numId w:val="38"/>
        </w:numPr>
        <w:tabs>
          <w:tab w:val="left" w:pos="456"/>
        </w:tabs>
        <w:spacing w:before="50"/>
        <w:ind w:hanging="273"/>
        <w:rPr>
          <w:sz w:val="12"/>
        </w:rPr>
      </w:pPr>
      <w:r>
        <w:rPr>
          <w:color w:val="231F20"/>
          <w:sz w:val="12"/>
        </w:rPr>
        <w:t>Deformace</w:t>
      </w:r>
      <w:r>
        <w:rPr>
          <w:color w:val="231F20"/>
          <w:spacing w:val="-17"/>
          <w:sz w:val="12"/>
        </w:rPr>
        <w:t xml:space="preserve"> </w:t>
      </w:r>
      <w:r>
        <w:rPr>
          <w:color w:val="231F20"/>
          <w:sz w:val="12"/>
        </w:rPr>
        <w:t>zevního</w:t>
      </w:r>
      <w:r>
        <w:rPr>
          <w:color w:val="231F20"/>
          <w:spacing w:val="-17"/>
          <w:sz w:val="12"/>
        </w:rPr>
        <w:t xml:space="preserve"> </w:t>
      </w:r>
      <w:r>
        <w:rPr>
          <w:color w:val="231F20"/>
          <w:sz w:val="12"/>
        </w:rPr>
        <w:t>segmentu</w:t>
      </w:r>
      <w:r>
        <w:rPr>
          <w:color w:val="231F20"/>
          <w:spacing w:val="-16"/>
          <w:sz w:val="12"/>
        </w:rPr>
        <w:t xml:space="preserve"> </w:t>
      </w:r>
      <w:r>
        <w:rPr>
          <w:color w:val="231F20"/>
          <w:sz w:val="12"/>
        </w:rPr>
        <w:t>oka</w:t>
      </w:r>
      <w:r>
        <w:rPr>
          <w:color w:val="231F20"/>
          <w:spacing w:val="-17"/>
          <w:sz w:val="12"/>
        </w:rPr>
        <w:t xml:space="preserve"> </w:t>
      </w:r>
      <w:r>
        <w:rPr>
          <w:color w:val="231F20"/>
          <w:sz w:val="12"/>
        </w:rPr>
        <w:t>a</w:t>
      </w:r>
      <w:r>
        <w:rPr>
          <w:color w:val="231F20"/>
          <w:spacing w:val="-16"/>
          <w:sz w:val="12"/>
        </w:rPr>
        <w:t xml:space="preserve"> </w:t>
      </w:r>
      <w:r>
        <w:rPr>
          <w:color w:val="231F20"/>
          <w:sz w:val="12"/>
        </w:rPr>
        <w:t>jeho</w:t>
      </w:r>
    </w:p>
    <w:p w14:paraId="296DD156" w14:textId="77777777" w:rsidR="00F65BCA" w:rsidRDefault="00216117">
      <w:pPr>
        <w:spacing w:before="2" w:line="242" w:lineRule="auto"/>
        <w:ind w:left="455" w:right="105"/>
        <w:rPr>
          <w:sz w:val="12"/>
        </w:rPr>
      </w:pPr>
      <w:r>
        <w:rPr>
          <w:color w:val="231F20"/>
          <w:w w:val="95"/>
          <w:sz w:val="12"/>
        </w:rPr>
        <w:t xml:space="preserve">okolí vzbuzující soucit nebo ošklivost (nezávislé </w:t>
      </w:r>
      <w:r>
        <w:rPr>
          <w:color w:val="231F20"/>
          <w:sz w:val="12"/>
        </w:rPr>
        <w:t>od poruchy visu) pro každé oko</w:t>
      </w:r>
    </w:p>
    <w:p w14:paraId="7504A163" w14:textId="77777777" w:rsidR="00F65BCA" w:rsidRDefault="00216117">
      <w:pPr>
        <w:spacing w:before="51" w:line="242" w:lineRule="auto"/>
        <w:ind w:left="455"/>
        <w:rPr>
          <w:sz w:val="12"/>
        </w:rPr>
      </w:pPr>
      <w:r>
        <w:rPr>
          <w:color w:val="231F20"/>
          <w:w w:val="95"/>
          <w:sz w:val="12"/>
        </w:rPr>
        <w:t xml:space="preserve">Lagoftalmus posttraumatický operativně </w:t>
      </w:r>
      <w:r>
        <w:rPr>
          <w:color w:val="231F20"/>
          <w:sz w:val="12"/>
        </w:rPr>
        <w:t>nekorigovatelný</w:t>
      </w:r>
    </w:p>
    <w:p w14:paraId="4DB0484D" w14:textId="77777777" w:rsidR="00F65BCA" w:rsidRDefault="00216117">
      <w:pPr>
        <w:pStyle w:val="Odstavecseseznamem"/>
        <w:numPr>
          <w:ilvl w:val="0"/>
          <w:numId w:val="38"/>
        </w:numPr>
        <w:tabs>
          <w:tab w:val="left" w:pos="456"/>
        </w:tabs>
        <w:spacing w:before="38"/>
        <w:ind w:hanging="273"/>
        <w:rPr>
          <w:sz w:val="12"/>
        </w:rPr>
      </w:pPr>
      <w:r>
        <w:rPr>
          <w:color w:val="231F20"/>
          <w:sz w:val="12"/>
        </w:rPr>
        <w:t>jednostranný</w:t>
      </w:r>
    </w:p>
    <w:p w14:paraId="7ED29D31" w14:textId="77777777" w:rsidR="00F65BCA" w:rsidRDefault="00216117">
      <w:pPr>
        <w:pStyle w:val="Odstavecseseznamem"/>
        <w:numPr>
          <w:ilvl w:val="0"/>
          <w:numId w:val="38"/>
        </w:numPr>
        <w:tabs>
          <w:tab w:val="left" w:pos="456"/>
        </w:tabs>
        <w:spacing w:before="38" w:line="304" w:lineRule="auto"/>
        <w:ind w:right="1451"/>
        <w:rPr>
          <w:sz w:val="12"/>
        </w:rPr>
      </w:pPr>
      <w:r>
        <w:rPr>
          <w:color w:val="231F20"/>
          <w:sz w:val="12"/>
        </w:rPr>
        <w:t xml:space="preserve">oboustranný </w:t>
      </w:r>
      <w:r>
        <w:rPr>
          <w:color w:val="231F20"/>
          <w:w w:val="95"/>
          <w:sz w:val="12"/>
        </w:rPr>
        <w:t>Porucha</w:t>
      </w:r>
      <w:r>
        <w:rPr>
          <w:color w:val="231F20"/>
          <w:spacing w:val="10"/>
          <w:w w:val="95"/>
          <w:sz w:val="12"/>
        </w:rPr>
        <w:t xml:space="preserve"> </w:t>
      </w:r>
      <w:r>
        <w:rPr>
          <w:color w:val="231F20"/>
          <w:w w:val="95"/>
          <w:sz w:val="12"/>
        </w:rPr>
        <w:t>akomodace</w:t>
      </w:r>
    </w:p>
    <w:p w14:paraId="70E55E3A" w14:textId="77777777" w:rsidR="00F65BCA" w:rsidRDefault="00216117">
      <w:pPr>
        <w:pStyle w:val="Odstavecseseznamem"/>
        <w:numPr>
          <w:ilvl w:val="0"/>
          <w:numId w:val="38"/>
        </w:numPr>
        <w:tabs>
          <w:tab w:val="left" w:pos="456"/>
        </w:tabs>
        <w:spacing w:before="1"/>
        <w:ind w:hanging="273"/>
        <w:rPr>
          <w:sz w:val="12"/>
        </w:rPr>
      </w:pPr>
      <w:r>
        <w:rPr>
          <w:color w:val="231F20"/>
          <w:sz w:val="12"/>
        </w:rPr>
        <w:t>jednostranná</w:t>
      </w:r>
    </w:p>
    <w:p w14:paraId="2A5CD9F9" w14:textId="77777777" w:rsidR="00F65BCA" w:rsidRDefault="00216117">
      <w:pPr>
        <w:pStyle w:val="Odstavecseseznamem"/>
        <w:numPr>
          <w:ilvl w:val="0"/>
          <w:numId w:val="38"/>
        </w:numPr>
        <w:tabs>
          <w:tab w:val="left" w:pos="456"/>
        </w:tabs>
        <w:spacing w:before="38"/>
        <w:ind w:hanging="273"/>
        <w:rPr>
          <w:sz w:val="12"/>
        </w:rPr>
      </w:pPr>
      <w:r>
        <w:rPr>
          <w:color w:val="231F20"/>
          <w:sz w:val="12"/>
        </w:rPr>
        <w:t>oboustranná</w:t>
      </w:r>
    </w:p>
    <w:p w14:paraId="4722E585" w14:textId="77777777" w:rsidR="00F65BCA" w:rsidRDefault="00216117">
      <w:pPr>
        <w:pStyle w:val="Odstavecseseznamem"/>
        <w:numPr>
          <w:ilvl w:val="0"/>
          <w:numId w:val="38"/>
        </w:numPr>
        <w:tabs>
          <w:tab w:val="left" w:pos="456"/>
        </w:tabs>
        <w:spacing w:before="49" w:line="247" w:lineRule="auto"/>
        <w:ind w:right="213"/>
        <w:rPr>
          <w:sz w:val="12"/>
        </w:rPr>
      </w:pPr>
      <w:r>
        <w:rPr>
          <w:color w:val="231F20"/>
          <w:sz w:val="12"/>
        </w:rPr>
        <w:t>Ptosa</w:t>
      </w:r>
      <w:r>
        <w:rPr>
          <w:color w:val="231F20"/>
          <w:spacing w:val="-14"/>
          <w:sz w:val="12"/>
        </w:rPr>
        <w:t xml:space="preserve"> </w:t>
      </w:r>
      <w:r>
        <w:rPr>
          <w:color w:val="231F20"/>
          <w:sz w:val="12"/>
        </w:rPr>
        <w:t>horního</w:t>
      </w:r>
      <w:r>
        <w:rPr>
          <w:color w:val="231F20"/>
          <w:spacing w:val="-13"/>
          <w:sz w:val="12"/>
        </w:rPr>
        <w:t xml:space="preserve"> </w:t>
      </w:r>
      <w:r>
        <w:rPr>
          <w:color w:val="231F20"/>
          <w:sz w:val="12"/>
        </w:rPr>
        <w:t>víčka</w:t>
      </w:r>
      <w:r>
        <w:rPr>
          <w:color w:val="231F20"/>
          <w:spacing w:val="-13"/>
          <w:sz w:val="12"/>
        </w:rPr>
        <w:t xml:space="preserve"> </w:t>
      </w:r>
      <w:r>
        <w:rPr>
          <w:color w:val="231F20"/>
          <w:sz w:val="12"/>
        </w:rPr>
        <w:t>(u</w:t>
      </w:r>
      <w:r>
        <w:rPr>
          <w:color w:val="231F20"/>
          <w:spacing w:val="-14"/>
          <w:sz w:val="12"/>
        </w:rPr>
        <w:t xml:space="preserve"> </w:t>
      </w:r>
      <w:r>
        <w:rPr>
          <w:color w:val="231F20"/>
          <w:sz w:val="12"/>
        </w:rPr>
        <w:t>vidoucího</w:t>
      </w:r>
      <w:r>
        <w:rPr>
          <w:color w:val="231F20"/>
          <w:spacing w:val="-13"/>
          <w:sz w:val="12"/>
        </w:rPr>
        <w:t xml:space="preserve"> </w:t>
      </w:r>
      <w:r>
        <w:rPr>
          <w:color w:val="231F20"/>
          <w:sz w:val="12"/>
        </w:rPr>
        <w:t>oka),</w:t>
      </w:r>
      <w:r>
        <w:rPr>
          <w:color w:val="231F20"/>
          <w:spacing w:val="-13"/>
          <w:sz w:val="12"/>
        </w:rPr>
        <w:t xml:space="preserve"> </w:t>
      </w:r>
      <w:r>
        <w:rPr>
          <w:color w:val="231F20"/>
          <w:spacing w:val="-4"/>
          <w:sz w:val="12"/>
        </w:rPr>
        <w:t xml:space="preserve">pokud </w:t>
      </w:r>
      <w:r>
        <w:rPr>
          <w:color w:val="231F20"/>
          <w:sz w:val="12"/>
        </w:rPr>
        <w:t>nekryje</w:t>
      </w:r>
      <w:r>
        <w:rPr>
          <w:color w:val="231F20"/>
          <w:spacing w:val="-1"/>
          <w:sz w:val="12"/>
        </w:rPr>
        <w:t xml:space="preserve"> </w:t>
      </w:r>
      <w:r>
        <w:rPr>
          <w:color w:val="231F20"/>
          <w:sz w:val="12"/>
        </w:rPr>
        <w:t>zornici</w:t>
      </w:r>
    </w:p>
    <w:p w14:paraId="20CC04C6" w14:textId="77777777" w:rsidR="00F65BCA" w:rsidRDefault="00216117">
      <w:pPr>
        <w:spacing w:before="54" w:line="249" w:lineRule="auto"/>
        <w:ind w:left="455" w:right="26"/>
        <w:rPr>
          <w:sz w:val="12"/>
        </w:rPr>
      </w:pPr>
      <w:r>
        <w:rPr>
          <w:color w:val="231F20"/>
          <w:sz w:val="12"/>
        </w:rPr>
        <w:t>Ptosa</w:t>
      </w:r>
      <w:r>
        <w:rPr>
          <w:color w:val="231F20"/>
          <w:spacing w:val="-21"/>
          <w:sz w:val="12"/>
        </w:rPr>
        <w:t xml:space="preserve"> </w:t>
      </w:r>
      <w:r>
        <w:rPr>
          <w:color w:val="231F20"/>
          <w:sz w:val="12"/>
        </w:rPr>
        <w:t>horního</w:t>
      </w:r>
      <w:r>
        <w:rPr>
          <w:color w:val="231F20"/>
          <w:spacing w:val="-20"/>
          <w:sz w:val="12"/>
        </w:rPr>
        <w:t xml:space="preserve"> </w:t>
      </w:r>
      <w:r>
        <w:rPr>
          <w:color w:val="231F20"/>
          <w:sz w:val="12"/>
        </w:rPr>
        <w:t>víčka</w:t>
      </w:r>
      <w:r>
        <w:rPr>
          <w:color w:val="231F20"/>
          <w:spacing w:val="-20"/>
          <w:sz w:val="12"/>
        </w:rPr>
        <w:t xml:space="preserve"> </w:t>
      </w:r>
      <w:r>
        <w:rPr>
          <w:color w:val="231F20"/>
          <w:sz w:val="12"/>
        </w:rPr>
        <w:t>(u</w:t>
      </w:r>
      <w:r>
        <w:rPr>
          <w:color w:val="231F20"/>
          <w:spacing w:val="-20"/>
          <w:sz w:val="12"/>
        </w:rPr>
        <w:t xml:space="preserve"> </w:t>
      </w:r>
      <w:r>
        <w:rPr>
          <w:color w:val="231F20"/>
          <w:sz w:val="12"/>
        </w:rPr>
        <w:t>vidoucího</w:t>
      </w:r>
      <w:r>
        <w:rPr>
          <w:color w:val="231F20"/>
          <w:spacing w:val="-21"/>
          <w:sz w:val="12"/>
        </w:rPr>
        <w:t xml:space="preserve"> </w:t>
      </w:r>
      <w:r>
        <w:rPr>
          <w:color w:val="231F20"/>
          <w:sz w:val="12"/>
        </w:rPr>
        <w:t>oka)</w:t>
      </w:r>
      <w:r>
        <w:rPr>
          <w:color w:val="231F20"/>
          <w:spacing w:val="-20"/>
          <w:sz w:val="12"/>
        </w:rPr>
        <w:t xml:space="preserve"> </w:t>
      </w:r>
      <w:r>
        <w:rPr>
          <w:color w:val="231F20"/>
          <w:sz w:val="12"/>
        </w:rPr>
        <w:t>operativně nekorigovatelná, pokud kryje zornici. Omezení zorného pole je zahrnuto v</w:t>
      </w:r>
      <w:r>
        <w:rPr>
          <w:color w:val="231F20"/>
          <w:spacing w:val="-12"/>
          <w:sz w:val="12"/>
        </w:rPr>
        <w:t xml:space="preserve"> </w:t>
      </w:r>
      <w:r>
        <w:rPr>
          <w:color w:val="231F20"/>
          <w:sz w:val="12"/>
        </w:rPr>
        <w:t>položce.</w:t>
      </w:r>
    </w:p>
    <w:p w14:paraId="4DDFD128" w14:textId="77777777" w:rsidR="00F65BCA" w:rsidRDefault="00216117">
      <w:pPr>
        <w:pStyle w:val="Odstavecseseznamem"/>
        <w:numPr>
          <w:ilvl w:val="0"/>
          <w:numId w:val="38"/>
        </w:numPr>
        <w:tabs>
          <w:tab w:val="left" w:pos="456"/>
        </w:tabs>
        <w:spacing w:before="42"/>
        <w:ind w:hanging="273"/>
        <w:rPr>
          <w:sz w:val="12"/>
        </w:rPr>
      </w:pPr>
      <w:r>
        <w:rPr>
          <w:color w:val="231F20"/>
          <w:sz w:val="12"/>
        </w:rPr>
        <w:t>jednostranná</w:t>
      </w:r>
    </w:p>
    <w:p w14:paraId="1E67D256" w14:textId="77777777" w:rsidR="00F65BCA" w:rsidRDefault="00216117">
      <w:pPr>
        <w:pStyle w:val="Odstavecseseznamem"/>
        <w:numPr>
          <w:ilvl w:val="0"/>
          <w:numId w:val="38"/>
        </w:numPr>
        <w:tabs>
          <w:tab w:val="left" w:pos="456"/>
        </w:tabs>
        <w:spacing w:before="38"/>
        <w:ind w:hanging="273"/>
        <w:rPr>
          <w:sz w:val="12"/>
        </w:rPr>
      </w:pPr>
      <w:r>
        <w:rPr>
          <w:color w:val="231F20"/>
          <w:sz w:val="12"/>
        </w:rPr>
        <w:t>oboustranná</w:t>
      </w:r>
    </w:p>
    <w:p w14:paraId="0FFCE8D0" w14:textId="77777777" w:rsidR="00F65BCA" w:rsidRDefault="00F65BCA">
      <w:pPr>
        <w:pStyle w:val="Zkladntext"/>
        <w:spacing w:before="3"/>
        <w:rPr>
          <w:sz w:val="14"/>
        </w:rPr>
      </w:pPr>
    </w:p>
    <w:p w14:paraId="747C368C" w14:textId="77777777" w:rsidR="00F65BCA" w:rsidRDefault="00216117">
      <w:pPr>
        <w:spacing w:before="1"/>
        <w:ind w:left="1322" w:right="902"/>
        <w:jc w:val="center"/>
        <w:rPr>
          <w:b/>
          <w:sz w:val="14"/>
        </w:rPr>
      </w:pPr>
      <w:r>
        <w:rPr>
          <w:b/>
          <w:color w:val="231F20"/>
          <w:sz w:val="14"/>
        </w:rPr>
        <w:t>NOS, ČICH</w:t>
      </w:r>
    </w:p>
    <w:p w14:paraId="5C458188" w14:textId="77777777" w:rsidR="00F65BCA" w:rsidRDefault="00216117">
      <w:pPr>
        <w:spacing w:before="49" w:line="295" w:lineRule="auto"/>
        <w:ind w:left="183" w:right="971" w:firstLine="271"/>
        <w:jc w:val="both"/>
        <w:rPr>
          <w:sz w:val="12"/>
        </w:rPr>
      </w:pPr>
      <w:r>
        <w:rPr>
          <w:color w:val="231F20"/>
          <w:sz w:val="12"/>
        </w:rPr>
        <w:t>Ztráta</w:t>
      </w:r>
      <w:r>
        <w:rPr>
          <w:color w:val="231F20"/>
          <w:spacing w:val="-9"/>
          <w:sz w:val="12"/>
        </w:rPr>
        <w:t xml:space="preserve"> </w:t>
      </w:r>
      <w:r>
        <w:rPr>
          <w:color w:val="231F20"/>
          <w:sz w:val="12"/>
        </w:rPr>
        <w:t>části</w:t>
      </w:r>
      <w:r>
        <w:rPr>
          <w:color w:val="231F20"/>
          <w:spacing w:val="-8"/>
          <w:sz w:val="12"/>
        </w:rPr>
        <w:t xml:space="preserve"> </w:t>
      </w:r>
      <w:r>
        <w:rPr>
          <w:color w:val="231F20"/>
          <w:sz w:val="12"/>
        </w:rPr>
        <w:t>nebo</w:t>
      </w:r>
      <w:r>
        <w:rPr>
          <w:color w:val="231F20"/>
          <w:spacing w:val="-9"/>
          <w:sz w:val="12"/>
        </w:rPr>
        <w:t xml:space="preserve"> </w:t>
      </w:r>
      <w:r>
        <w:rPr>
          <w:color w:val="231F20"/>
          <w:sz w:val="12"/>
        </w:rPr>
        <w:t>celého</w:t>
      </w:r>
      <w:r>
        <w:rPr>
          <w:color w:val="231F20"/>
          <w:spacing w:val="-8"/>
          <w:sz w:val="12"/>
        </w:rPr>
        <w:t xml:space="preserve"> </w:t>
      </w:r>
      <w:r>
        <w:rPr>
          <w:b/>
          <w:color w:val="231F20"/>
          <w:spacing w:val="-5"/>
          <w:sz w:val="12"/>
        </w:rPr>
        <w:t xml:space="preserve">nosu </w:t>
      </w:r>
      <w:r>
        <w:rPr>
          <w:b/>
          <w:color w:val="231F20"/>
          <w:sz w:val="12"/>
        </w:rPr>
        <w:t xml:space="preserve">031 </w:t>
      </w:r>
      <w:r>
        <w:rPr>
          <w:color w:val="231F20"/>
          <w:sz w:val="12"/>
        </w:rPr>
        <w:t>bez poruchy</w:t>
      </w:r>
      <w:r>
        <w:rPr>
          <w:color w:val="231F20"/>
          <w:spacing w:val="-4"/>
          <w:sz w:val="12"/>
        </w:rPr>
        <w:t xml:space="preserve"> </w:t>
      </w:r>
      <w:r>
        <w:rPr>
          <w:color w:val="231F20"/>
          <w:sz w:val="12"/>
        </w:rPr>
        <w:t>dýchání</w:t>
      </w:r>
    </w:p>
    <w:p w14:paraId="7187352A" w14:textId="77777777" w:rsidR="00F65BCA" w:rsidRDefault="00216117">
      <w:pPr>
        <w:pStyle w:val="Odstavecseseznamem"/>
        <w:numPr>
          <w:ilvl w:val="0"/>
          <w:numId w:val="37"/>
        </w:numPr>
        <w:tabs>
          <w:tab w:val="left" w:pos="456"/>
        </w:tabs>
        <w:ind w:hanging="273"/>
        <w:jc w:val="both"/>
        <w:rPr>
          <w:sz w:val="12"/>
        </w:rPr>
      </w:pPr>
      <w:r>
        <w:rPr>
          <w:color w:val="231F20"/>
          <w:sz w:val="12"/>
        </w:rPr>
        <w:t>s poruchou</w:t>
      </w:r>
      <w:r>
        <w:rPr>
          <w:color w:val="231F20"/>
          <w:spacing w:val="-2"/>
          <w:sz w:val="12"/>
        </w:rPr>
        <w:t xml:space="preserve"> </w:t>
      </w:r>
      <w:r>
        <w:rPr>
          <w:color w:val="231F20"/>
          <w:sz w:val="12"/>
        </w:rPr>
        <w:t>dýchání</w:t>
      </w:r>
    </w:p>
    <w:p w14:paraId="6B0F88A3" w14:textId="77777777" w:rsidR="00F65BCA" w:rsidRDefault="00216117">
      <w:pPr>
        <w:spacing w:before="31" w:line="249" w:lineRule="auto"/>
        <w:ind w:left="455" w:right="164"/>
        <w:jc w:val="both"/>
        <w:rPr>
          <w:sz w:val="12"/>
        </w:rPr>
      </w:pPr>
      <w:r>
        <w:rPr>
          <w:color w:val="231F20"/>
          <w:sz w:val="12"/>
        </w:rPr>
        <w:t>Deformace</w:t>
      </w:r>
      <w:r>
        <w:rPr>
          <w:color w:val="231F20"/>
          <w:spacing w:val="-15"/>
          <w:sz w:val="12"/>
        </w:rPr>
        <w:t xml:space="preserve"> </w:t>
      </w:r>
      <w:r>
        <w:rPr>
          <w:color w:val="231F20"/>
          <w:sz w:val="12"/>
        </w:rPr>
        <w:t>zevního</w:t>
      </w:r>
      <w:r>
        <w:rPr>
          <w:color w:val="231F20"/>
          <w:spacing w:val="-15"/>
          <w:sz w:val="12"/>
        </w:rPr>
        <w:t xml:space="preserve"> </w:t>
      </w:r>
      <w:r>
        <w:rPr>
          <w:color w:val="231F20"/>
          <w:sz w:val="12"/>
        </w:rPr>
        <w:t>tvaru</w:t>
      </w:r>
      <w:r>
        <w:rPr>
          <w:color w:val="231F20"/>
          <w:spacing w:val="-14"/>
          <w:sz w:val="12"/>
        </w:rPr>
        <w:t xml:space="preserve"> </w:t>
      </w:r>
      <w:r>
        <w:rPr>
          <w:color w:val="231F20"/>
          <w:sz w:val="12"/>
        </w:rPr>
        <w:t>nosu</w:t>
      </w:r>
      <w:r>
        <w:rPr>
          <w:color w:val="231F20"/>
          <w:spacing w:val="-15"/>
          <w:sz w:val="12"/>
        </w:rPr>
        <w:t xml:space="preserve"> </w:t>
      </w:r>
      <w:r>
        <w:rPr>
          <w:color w:val="231F20"/>
          <w:sz w:val="12"/>
        </w:rPr>
        <w:t>nebo</w:t>
      </w:r>
      <w:r>
        <w:rPr>
          <w:color w:val="231F20"/>
          <w:spacing w:val="-15"/>
          <w:sz w:val="12"/>
        </w:rPr>
        <w:t xml:space="preserve"> </w:t>
      </w:r>
      <w:r>
        <w:rPr>
          <w:color w:val="231F20"/>
          <w:spacing w:val="-3"/>
          <w:sz w:val="12"/>
        </w:rPr>
        <w:t xml:space="preserve">přepážky </w:t>
      </w:r>
      <w:r>
        <w:rPr>
          <w:color w:val="231F20"/>
          <w:sz w:val="12"/>
        </w:rPr>
        <w:t>nosní</w:t>
      </w:r>
    </w:p>
    <w:p w14:paraId="4DF9C322" w14:textId="77777777" w:rsidR="00F65BCA" w:rsidRDefault="00216117">
      <w:pPr>
        <w:pStyle w:val="Odstavecseseznamem"/>
        <w:numPr>
          <w:ilvl w:val="0"/>
          <w:numId w:val="37"/>
        </w:numPr>
        <w:tabs>
          <w:tab w:val="left" w:pos="456"/>
        </w:tabs>
        <w:spacing w:before="32" w:line="314" w:lineRule="auto"/>
        <w:ind w:left="183" w:right="607" w:firstLine="0"/>
        <w:jc w:val="both"/>
        <w:rPr>
          <w:sz w:val="12"/>
        </w:rPr>
      </w:pPr>
      <w:r>
        <w:rPr>
          <w:color w:val="231F20"/>
          <w:sz w:val="12"/>
        </w:rPr>
        <w:t>bez</w:t>
      </w:r>
      <w:r>
        <w:rPr>
          <w:color w:val="231F20"/>
          <w:spacing w:val="-14"/>
          <w:sz w:val="12"/>
        </w:rPr>
        <w:t xml:space="preserve"> </w:t>
      </w:r>
      <w:r>
        <w:rPr>
          <w:color w:val="231F20"/>
          <w:sz w:val="12"/>
        </w:rPr>
        <w:t>významné</w:t>
      </w:r>
      <w:r>
        <w:rPr>
          <w:color w:val="231F20"/>
          <w:spacing w:val="-13"/>
          <w:sz w:val="12"/>
        </w:rPr>
        <w:t xml:space="preserve"> </w:t>
      </w:r>
      <w:r>
        <w:rPr>
          <w:color w:val="231F20"/>
          <w:sz w:val="12"/>
        </w:rPr>
        <w:t>poruchy</w:t>
      </w:r>
      <w:r>
        <w:rPr>
          <w:color w:val="231F20"/>
          <w:spacing w:val="-13"/>
          <w:sz w:val="12"/>
        </w:rPr>
        <w:t xml:space="preserve"> </w:t>
      </w:r>
      <w:r>
        <w:rPr>
          <w:color w:val="231F20"/>
          <w:sz w:val="12"/>
        </w:rPr>
        <w:t xml:space="preserve">průchodnosti </w:t>
      </w:r>
      <w:r>
        <w:rPr>
          <w:b/>
          <w:color w:val="231F20"/>
          <w:sz w:val="12"/>
        </w:rPr>
        <w:t xml:space="preserve">034 </w:t>
      </w:r>
      <w:r>
        <w:rPr>
          <w:color w:val="231F20"/>
          <w:sz w:val="12"/>
        </w:rPr>
        <w:t xml:space="preserve">s významnou poruchou </w:t>
      </w:r>
      <w:r>
        <w:rPr>
          <w:color w:val="231F20"/>
          <w:spacing w:val="-2"/>
          <w:sz w:val="12"/>
        </w:rPr>
        <w:t xml:space="preserve">průchodnosti </w:t>
      </w:r>
      <w:r>
        <w:rPr>
          <w:b/>
          <w:color w:val="231F20"/>
          <w:sz w:val="12"/>
        </w:rPr>
        <w:t xml:space="preserve">035 </w:t>
      </w:r>
      <w:r>
        <w:rPr>
          <w:color w:val="231F20"/>
          <w:sz w:val="12"/>
        </w:rPr>
        <w:t>Perforace nosní</w:t>
      </w:r>
      <w:r>
        <w:rPr>
          <w:color w:val="231F20"/>
          <w:spacing w:val="-7"/>
          <w:sz w:val="12"/>
        </w:rPr>
        <w:t xml:space="preserve"> </w:t>
      </w:r>
      <w:r>
        <w:rPr>
          <w:color w:val="231F20"/>
          <w:sz w:val="12"/>
        </w:rPr>
        <w:t>přepážky</w:t>
      </w:r>
    </w:p>
    <w:p w14:paraId="01BFDB2D" w14:textId="77777777" w:rsidR="00F65BCA" w:rsidRDefault="00216117">
      <w:pPr>
        <w:pStyle w:val="Odstavecseseznamem"/>
        <w:numPr>
          <w:ilvl w:val="0"/>
          <w:numId w:val="36"/>
        </w:numPr>
        <w:tabs>
          <w:tab w:val="left" w:pos="456"/>
        </w:tabs>
        <w:spacing w:line="126" w:lineRule="exact"/>
        <w:ind w:hanging="273"/>
        <w:jc w:val="both"/>
        <w:rPr>
          <w:sz w:val="12"/>
        </w:rPr>
      </w:pPr>
      <w:r>
        <w:rPr>
          <w:color w:val="231F20"/>
          <w:sz w:val="12"/>
        </w:rPr>
        <w:t>Atrofie</w:t>
      </w:r>
      <w:r>
        <w:rPr>
          <w:color w:val="231F20"/>
          <w:spacing w:val="-15"/>
          <w:sz w:val="12"/>
        </w:rPr>
        <w:t xml:space="preserve"> </w:t>
      </w:r>
      <w:r>
        <w:rPr>
          <w:color w:val="231F20"/>
          <w:sz w:val="12"/>
        </w:rPr>
        <w:t>nosní</w:t>
      </w:r>
      <w:r>
        <w:rPr>
          <w:color w:val="231F20"/>
          <w:spacing w:val="-14"/>
          <w:sz w:val="12"/>
        </w:rPr>
        <w:t xml:space="preserve"> </w:t>
      </w:r>
      <w:r>
        <w:rPr>
          <w:color w:val="231F20"/>
          <w:sz w:val="12"/>
        </w:rPr>
        <w:t>sliznice</w:t>
      </w:r>
      <w:r>
        <w:rPr>
          <w:color w:val="231F20"/>
          <w:spacing w:val="-14"/>
          <w:sz w:val="12"/>
        </w:rPr>
        <w:t xml:space="preserve"> </w:t>
      </w:r>
      <w:r>
        <w:rPr>
          <w:color w:val="231F20"/>
          <w:sz w:val="12"/>
        </w:rPr>
        <w:t>po</w:t>
      </w:r>
      <w:r>
        <w:rPr>
          <w:color w:val="231F20"/>
          <w:spacing w:val="-14"/>
          <w:sz w:val="12"/>
        </w:rPr>
        <w:t xml:space="preserve"> </w:t>
      </w:r>
      <w:r>
        <w:rPr>
          <w:color w:val="231F20"/>
          <w:sz w:val="12"/>
        </w:rPr>
        <w:t>poleptání</w:t>
      </w:r>
      <w:r>
        <w:rPr>
          <w:color w:val="231F20"/>
          <w:spacing w:val="-14"/>
          <w:sz w:val="12"/>
        </w:rPr>
        <w:t xml:space="preserve"> </w:t>
      </w:r>
      <w:r>
        <w:rPr>
          <w:color w:val="231F20"/>
          <w:sz w:val="12"/>
        </w:rPr>
        <w:t>nebo</w:t>
      </w:r>
      <w:r>
        <w:rPr>
          <w:color w:val="231F20"/>
          <w:spacing w:val="-14"/>
          <w:sz w:val="12"/>
        </w:rPr>
        <w:t xml:space="preserve"> </w:t>
      </w:r>
      <w:r>
        <w:rPr>
          <w:color w:val="231F20"/>
          <w:sz w:val="12"/>
        </w:rPr>
        <w:t>popálení</w:t>
      </w:r>
    </w:p>
    <w:p w14:paraId="38480F6F" w14:textId="77777777" w:rsidR="00F65BCA" w:rsidRDefault="00216117">
      <w:pPr>
        <w:pStyle w:val="Odstavecseseznamem"/>
        <w:numPr>
          <w:ilvl w:val="0"/>
          <w:numId w:val="36"/>
        </w:numPr>
        <w:tabs>
          <w:tab w:val="left" w:pos="456"/>
        </w:tabs>
        <w:spacing w:before="56"/>
        <w:ind w:hanging="273"/>
        <w:jc w:val="both"/>
        <w:rPr>
          <w:sz w:val="12"/>
        </w:rPr>
      </w:pPr>
      <w:r>
        <w:rPr>
          <w:color w:val="231F20"/>
          <w:position w:val="1"/>
          <w:sz w:val="12"/>
        </w:rPr>
        <w:t>Ztráta čichu podle</w:t>
      </w:r>
      <w:r>
        <w:rPr>
          <w:color w:val="231F20"/>
          <w:spacing w:val="-4"/>
          <w:position w:val="1"/>
          <w:sz w:val="12"/>
        </w:rPr>
        <w:t xml:space="preserve"> </w:t>
      </w:r>
      <w:r>
        <w:rPr>
          <w:color w:val="231F20"/>
          <w:position w:val="1"/>
          <w:sz w:val="12"/>
        </w:rPr>
        <w:t>rozsahu</w:t>
      </w:r>
    </w:p>
    <w:p w14:paraId="3F84F71C" w14:textId="77777777" w:rsidR="00F65BCA" w:rsidRDefault="00216117">
      <w:pPr>
        <w:spacing w:before="131"/>
        <w:ind w:left="1322" w:right="902"/>
        <w:jc w:val="center"/>
        <w:rPr>
          <w:b/>
          <w:sz w:val="14"/>
        </w:rPr>
      </w:pPr>
      <w:r>
        <w:rPr>
          <w:b/>
          <w:color w:val="231F20"/>
          <w:sz w:val="14"/>
        </w:rPr>
        <w:t>UCHO</w:t>
      </w:r>
    </w:p>
    <w:p w14:paraId="6B08B939" w14:textId="77777777" w:rsidR="00F65BCA" w:rsidRDefault="00216117">
      <w:pPr>
        <w:spacing w:before="32"/>
        <w:ind w:left="455"/>
        <w:rPr>
          <w:b/>
          <w:sz w:val="12"/>
        </w:rPr>
      </w:pPr>
      <w:r>
        <w:rPr>
          <w:color w:val="231F20"/>
          <w:sz w:val="12"/>
        </w:rPr>
        <w:t xml:space="preserve">Ztráta </w:t>
      </w:r>
      <w:r>
        <w:rPr>
          <w:b/>
          <w:color w:val="231F20"/>
          <w:sz w:val="12"/>
        </w:rPr>
        <w:t>boltce</w:t>
      </w:r>
    </w:p>
    <w:p w14:paraId="48B6A78F" w14:textId="77777777" w:rsidR="00F65BCA" w:rsidRDefault="00000000">
      <w:pPr>
        <w:pStyle w:val="Odstavecseseznamem"/>
        <w:numPr>
          <w:ilvl w:val="0"/>
          <w:numId w:val="36"/>
        </w:numPr>
        <w:tabs>
          <w:tab w:val="left" w:pos="456"/>
        </w:tabs>
        <w:spacing w:before="35" w:line="307" w:lineRule="auto"/>
        <w:ind w:left="183" w:right="1000" w:firstLine="0"/>
        <w:rPr>
          <w:sz w:val="12"/>
        </w:rPr>
      </w:pPr>
      <w:r>
        <w:pict w14:anchorId="03358E20">
          <v:shape id="_x0000_s1567" type="#_x0000_t202" style="position:absolute;left:0;text-align:left;margin-left:39.7pt;margin-top:51.85pt;width:87.4pt;height:11.7pt;z-index:-299230208;mso-position-horizontal-relative:page" filled="f" stroked="f">
            <v:textbox inset="0,0,0,0">
              <w:txbxContent>
                <w:p w14:paraId="3F6FD0F7" w14:textId="77777777" w:rsidR="00F65BCA" w:rsidRDefault="00216117">
                  <w:pPr>
                    <w:spacing w:before="3"/>
                    <w:rPr>
                      <w:sz w:val="16"/>
                    </w:rPr>
                  </w:pPr>
                  <w:r>
                    <w:rPr>
                      <w:color w:val="231F20"/>
                      <w:sz w:val="16"/>
                    </w:rPr>
                    <w:t xml:space="preserve">38 </w:t>
                  </w:r>
                  <w:r>
                    <w:rPr>
                      <w:color w:val="6D6E71"/>
                      <w:sz w:val="20"/>
                    </w:rPr>
                    <w:t xml:space="preserve">| </w:t>
                  </w:r>
                  <w:r>
                    <w:rPr>
                      <w:color w:val="231F20"/>
                      <w:sz w:val="16"/>
                    </w:rPr>
                    <w:t>Oceňovací tabulky</w:t>
                  </w:r>
                </w:p>
              </w:txbxContent>
            </v:textbox>
            <w10:wrap anchorx="page"/>
          </v:shape>
        </w:pict>
      </w:r>
      <w:r w:rsidR="00216117">
        <w:rPr>
          <w:color w:val="231F20"/>
          <w:sz w:val="12"/>
        </w:rPr>
        <w:t>jednoho boltce podle</w:t>
      </w:r>
      <w:r w:rsidR="00216117">
        <w:rPr>
          <w:color w:val="231F20"/>
          <w:spacing w:val="-23"/>
          <w:sz w:val="12"/>
        </w:rPr>
        <w:t xml:space="preserve"> </w:t>
      </w:r>
      <w:r w:rsidR="00216117">
        <w:rPr>
          <w:color w:val="231F20"/>
          <w:spacing w:val="-4"/>
          <w:sz w:val="12"/>
        </w:rPr>
        <w:t xml:space="preserve">rozsahu </w:t>
      </w:r>
      <w:r w:rsidR="00216117">
        <w:rPr>
          <w:b/>
          <w:color w:val="231F20"/>
          <w:sz w:val="12"/>
        </w:rPr>
        <w:t xml:space="preserve">039 </w:t>
      </w:r>
      <w:r w:rsidR="00216117">
        <w:rPr>
          <w:color w:val="231F20"/>
          <w:sz w:val="12"/>
        </w:rPr>
        <w:t xml:space="preserve">obou boltců podle rozsahu </w:t>
      </w:r>
      <w:r w:rsidR="00216117">
        <w:rPr>
          <w:b/>
          <w:color w:val="231F20"/>
          <w:sz w:val="12"/>
        </w:rPr>
        <w:t xml:space="preserve">040 </w:t>
      </w:r>
      <w:r w:rsidR="00216117">
        <w:rPr>
          <w:color w:val="231F20"/>
          <w:position w:val="1"/>
          <w:sz w:val="12"/>
        </w:rPr>
        <w:t>Deformace boltce</w:t>
      </w:r>
    </w:p>
    <w:p w14:paraId="2246E980" w14:textId="77777777" w:rsidR="00F65BCA" w:rsidRDefault="00216117">
      <w:pPr>
        <w:spacing w:before="4"/>
        <w:ind w:left="419"/>
        <w:rPr>
          <w:sz w:val="12"/>
        </w:rPr>
      </w:pPr>
      <w:r>
        <w:br w:type="column"/>
      </w:r>
      <w:r>
        <w:rPr>
          <w:color w:val="231F20"/>
          <w:sz w:val="12"/>
        </w:rPr>
        <w:t>5</w:t>
      </w:r>
      <w:r>
        <w:rPr>
          <w:color w:val="231F20"/>
          <w:spacing w:val="-20"/>
          <w:sz w:val="12"/>
        </w:rPr>
        <w:t xml:space="preserve"> </w:t>
      </w:r>
      <w:r>
        <w:rPr>
          <w:color w:val="231F20"/>
          <w:sz w:val="12"/>
        </w:rPr>
        <w:t>%</w:t>
      </w:r>
    </w:p>
    <w:p w14:paraId="15789118" w14:textId="77777777" w:rsidR="00F65BCA" w:rsidRDefault="00F65BCA">
      <w:pPr>
        <w:pStyle w:val="Zkladntext"/>
        <w:spacing w:before="4"/>
        <w:rPr>
          <w:sz w:val="16"/>
        </w:rPr>
      </w:pPr>
    </w:p>
    <w:p w14:paraId="4D630508" w14:textId="77777777" w:rsidR="00F65BCA" w:rsidRDefault="00216117">
      <w:pPr>
        <w:ind w:left="352"/>
        <w:rPr>
          <w:sz w:val="12"/>
        </w:rPr>
      </w:pPr>
      <w:r>
        <w:rPr>
          <w:color w:val="231F20"/>
          <w:sz w:val="12"/>
        </w:rPr>
        <w:t>20</w:t>
      </w:r>
      <w:r>
        <w:rPr>
          <w:color w:val="231F20"/>
          <w:spacing w:val="-20"/>
          <w:sz w:val="12"/>
        </w:rPr>
        <w:t xml:space="preserve"> </w:t>
      </w:r>
      <w:r>
        <w:rPr>
          <w:color w:val="231F20"/>
          <w:sz w:val="12"/>
        </w:rPr>
        <w:t>%</w:t>
      </w:r>
    </w:p>
    <w:p w14:paraId="6AC4F066" w14:textId="77777777" w:rsidR="00F65BCA" w:rsidRDefault="00216117">
      <w:pPr>
        <w:spacing w:before="32"/>
        <w:ind w:left="352"/>
        <w:rPr>
          <w:sz w:val="12"/>
        </w:rPr>
      </w:pPr>
      <w:r>
        <w:rPr>
          <w:color w:val="231F20"/>
          <w:sz w:val="12"/>
        </w:rPr>
        <w:t>30</w:t>
      </w:r>
      <w:r>
        <w:rPr>
          <w:color w:val="231F20"/>
          <w:spacing w:val="-20"/>
          <w:sz w:val="12"/>
        </w:rPr>
        <w:t xml:space="preserve"> </w:t>
      </w:r>
      <w:r>
        <w:rPr>
          <w:color w:val="231F20"/>
          <w:sz w:val="12"/>
        </w:rPr>
        <w:t>%</w:t>
      </w:r>
    </w:p>
    <w:p w14:paraId="204779DC" w14:textId="77777777" w:rsidR="00F65BCA" w:rsidRDefault="00216117">
      <w:pPr>
        <w:spacing w:before="103"/>
        <w:ind w:right="38"/>
        <w:jc w:val="right"/>
        <w:rPr>
          <w:sz w:val="12"/>
        </w:rPr>
      </w:pPr>
      <w:r>
        <w:rPr>
          <w:color w:val="231F20"/>
          <w:sz w:val="12"/>
        </w:rPr>
        <w:t>do 25</w:t>
      </w:r>
      <w:r>
        <w:rPr>
          <w:color w:val="231F20"/>
          <w:spacing w:val="-17"/>
          <w:sz w:val="12"/>
        </w:rPr>
        <w:t xml:space="preserve"> </w:t>
      </w:r>
      <w:r>
        <w:rPr>
          <w:color w:val="231F20"/>
          <w:sz w:val="12"/>
        </w:rPr>
        <w:t>%</w:t>
      </w:r>
    </w:p>
    <w:p w14:paraId="711AA9B0" w14:textId="77777777" w:rsidR="00F65BCA" w:rsidRDefault="00F65BCA">
      <w:pPr>
        <w:pStyle w:val="Zkladntext"/>
        <w:rPr>
          <w:sz w:val="14"/>
        </w:rPr>
      </w:pPr>
    </w:p>
    <w:p w14:paraId="26ECAAB1" w14:textId="77777777" w:rsidR="00F65BCA" w:rsidRDefault="00F65BCA">
      <w:pPr>
        <w:pStyle w:val="Zkladntext"/>
        <w:rPr>
          <w:sz w:val="14"/>
        </w:rPr>
      </w:pPr>
    </w:p>
    <w:p w14:paraId="605D158D" w14:textId="77777777" w:rsidR="00F65BCA" w:rsidRDefault="00F65BCA">
      <w:pPr>
        <w:pStyle w:val="Zkladntext"/>
        <w:rPr>
          <w:sz w:val="14"/>
        </w:rPr>
      </w:pPr>
    </w:p>
    <w:p w14:paraId="6E10A679" w14:textId="77777777" w:rsidR="00F65BCA" w:rsidRDefault="00F65BCA">
      <w:pPr>
        <w:pStyle w:val="Zkladntext"/>
        <w:rPr>
          <w:sz w:val="14"/>
        </w:rPr>
      </w:pPr>
    </w:p>
    <w:p w14:paraId="0FCF7183" w14:textId="77777777" w:rsidR="00F65BCA" w:rsidRDefault="00F65BCA">
      <w:pPr>
        <w:pStyle w:val="Zkladntext"/>
        <w:spacing w:before="4"/>
        <w:rPr>
          <w:sz w:val="14"/>
        </w:rPr>
      </w:pPr>
    </w:p>
    <w:p w14:paraId="24426451" w14:textId="77777777" w:rsidR="00F65BCA" w:rsidRDefault="00216117">
      <w:pPr>
        <w:ind w:left="419"/>
        <w:rPr>
          <w:sz w:val="12"/>
        </w:rPr>
      </w:pPr>
      <w:r>
        <w:rPr>
          <w:color w:val="231F20"/>
          <w:sz w:val="12"/>
        </w:rPr>
        <w:t>5</w:t>
      </w:r>
      <w:r>
        <w:rPr>
          <w:color w:val="231F20"/>
          <w:spacing w:val="-20"/>
          <w:sz w:val="12"/>
        </w:rPr>
        <w:t xml:space="preserve"> </w:t>
      </w:r>
      <w:r>
        <w:rPr>
          <w:color w:val="231F20"/>
          <w:sz w:val="12"/>
        </w:rPr>
        <w:t>%</w:t>
      </w:r>
    </w:p>
    <w:p w14:paraId="220F33F8" w14:textId="77777777" w:rsidR="00F65BCA" w:rsidRDefault="00216117">
      <w:pPr>
        <w:spacing w:before="38"/>
        <w:ind w:left="352"/>
        <w:rPr>
          <w:sz w:val="12"/>
        </w:rPr>
      </w:pPr>
      <w:r>
        <w:rPr>
          <w:color w:val="231F20"/>
          <w:sz w:val="12"/>
        </w:rPr>
        <w:t>10</w:t>
      </w:r>
      <w:r>
        <w:rPr>
          <w:color w:val="231F20"/>
          <w:spacing w:val="-20"/>
          <w:sz w:val="12"/>
        </w:rPr>
        <w:t xml:space="preserve"> </w:t>
      </w:r>
      <w:r>
        <w:rPr>
          <w:color w:val="231F20"/>
          <w:sz w:val="12"/>
        </w:rPr>
        <w:t>%</w:t>
      </w:r>
    </w:p>
    <w:p w14:paraId="3C4981F1" w14:textId="77777777" w:rsidR="00F65BCA" w:rsidRDefault="00F65BCA">
      <w:pPr>
        <w:pStyle w:val="Zkladntext"/>
        <w:spacing w:before="6"/>
        <w:rPr>
          <w:sz w:val="18"/>
        </w:rPr>
      </w:pPr>
    </w:p>
    <w:p w14:paraId="6B0AD403" w14:textId="77777777" w:rsidR="00F65BCA" w:rsidRDefault="00216117">
      <w:pPr>
        <w:ind w:left="419"/>
        <w:rPr>
          <w:sz w:val="12"/>
        </w:rPr>
      </w:pPr>
      <w:r>
        <w:rPr>
          <w:color w:val="231F20"/>
          <w:sz w:val="12"/>
        </w:rPr>
        <w:t>5</w:t>
      </w:r>
      <w:r>
        <w:rPr>
          <w:color w:val="231F20"/>
          <w:spacing w:val="-20"/>
          <w:sz w:val="12"/>
        </w:rPr>
        <w:t xml:space="preserve"> </w:t>
      </w:r>
      <w:r>
        <w:rPr>
          <w:color w:val="231F20"/>
          <w:sz w:val="12"/>
        </w:rPr>
        <w:t>%</w:t>
      </w:r>
    </w:p>
    <w:p w14:paraId="197472A6" w14:textId="77777777" w:rsidR="00F65BCA" w:rsidRDefault="00216117">
      <w:pPr>
        <w:spacing w:before="38"/>
        <w:ind w:left="352"/>
        <w:rPr>
          <w:sz w:val="12"/>
        </w:rPr>
      </w:pPr>
      <w:r>
        <w:rPr>
          <w:color w:val="231F20"/>
          <w:sz w:val="12"/>
        </w:rPr>
        <w:t>10</w:t>
      </w:r>
      <w:r>
        <w:rPr>
          <w:color w:val="231F20"/>
          <w:spacing w:val="-20"/>
          <w:sz w:val="12"/>
        </w:rPr>
        <w:t xml:space="preserve"> </w:t>
      </w:r>
      <w:r>
        <w:rPr>
          <w:color w:val="231F20"/>
          <w:sz w:val="12"/>
        </w:rPr>
        <w:t>%</w:t>
      </w:r>
    </w:p>
    <w:p w14:paraId="235F1203" w14:textId="77777777" w:rsidR="00F65BCA" w:rsidRDefault="00216117">
      <w:pPr>
        <w:spacing w:before="38"/>
        <w:ind w:left="421"/>
        <w:rPr>
          <w:sz w:val="12"/>
        </w:rPr>
      </w:pPr>
      <w:r>
        <w:rPr>
          <w:color w:val="231F20"/>
          <w:sz w:val="12"/>
        </w:rPr>
        <w:t>3</w:t>
      </w:r>
      <w:r>
        <w:rPr>
          <w:color w:val="231F20"/>
          <w:spacing w:val="-22"/>
          <w:sz w:val="12"/>
        </w:rPr>
        <w:t xml:space="preserve"> </w:t>
      </w:r>
      <w:r>
        <w:rPr>
          <w:color w:val="231F20"/>
          <w:sz w:val="12"/>
        </w:rPr>
        <w:t>%</w:t>
      </w:r>
    </w:p>
    <w:p w14:paraId="1142D06A" w14:textId="77777777" w:rsidR="00F65BCA" w:rsidRDefault="00F65BCA">
      <w:pPr>
        <w:pStyle w:val="Zkladntext"/>
        <w:spacing w:before="7"/>
        <w:rPr>
          <w:sz w:val="16"/>
        </w:rPr>
      </w:pPr>
    </w:p>
    <w:p w14:paraId="4B422562" w14:textId="77777777" w:rsidR="00F65BCA" w:rsidRDefault="00216117">
      <w:pPr>
        <w:ind w:right="38"/>
        <w:jc w:val="right"/>
        <w:rPr>
          <w:sz w:val="12"/>
        </w:rPr>
      </w:pPr>
      <w:r>
        <w:rPr>
          <w:color w:val="231F20"/>
          <w:sz w:val="12"/>
        </w:rPr>
        <w:t>3</w:t>
      </w:r>
      <w:r>
        <w:rPr>
          <w:color w:val="231F20"/>
          <w:spacing w:val="-20"/>
          <w:sz w:val="12"/>
        </w:rPr>
        <w:t xml:space="preserve"> </w:t>
      </w:r>
      <w:r>
        <w:rPr>
          <w:color w:val="231F20"/>
          <w:sz w:val="12"/>
        </w:rPr>
        <w:t>%</w:t>
      </w:r>
    </w:p>
    <w:p w14:paraId="43A10741" w14:textId="77777777" w:rsidR="00F65BCA" w:rsidRDefault="00F65BCA">
      <w:pPr>
        <w:pStyle w:val="Zkladntext"/>
        <w:rPr>
          <w:sz w:val="14"/>
        </w:rPr>
      </w:pPr>
    </w:p>
    <w:p w14:paraId="13A01C9C" w14:textId="77777777" w:rsidR="00F65BCA" w:rsidRDefault="00F65BCA">
      <w:pPr>
        <w:pStyle w:val="Zkladntext"/>
        <w:rPr>
          <w:sz w:val="14"/>
        </w:rPr>
      </w:pPr>
    </w:p>
    <w:p w14:paraId="007657E7" w14:textId="77777777" w:rsidR="00F65BCA" w:rsidRDefault="00F65BCA">
      <w:pPr>
        <w:pStyle w:val="Zkladntext"/>
        <w:spacing w:before="2"/>
        <w:rPr>
          <w:sz w:val="16"/>
        </w:rPr>
      </w:pPr>
    </w:p>
    <w:p w14:paraId="5716FA7B" w14:textId="77777777" w:rsidR="00F65BCA" w:rsidRDefault="00216117">
      <w:pPr>
        <w:ind w:left="419"/>
        <w:rPr>
          <w:sz w:val="12"/>
        </w:rPr>
      </w:pPr>
      <w:r>
        <w:rPr>
          <w:color w:val="231F20"/>
          <w:sz w:val="12"/>
        </w:rPr>
        <w:t>8</w:t>
      </w:r>
      <w:r>
        <w:rPr>
          <w:color w:val="231F20"/>
          <w:spacing w:val="-20"/>
          <w:sz w:val="12"/>
        </w:rPr>
        <w:t xml:space="preserve"> </w:t>
      </w:r>
      <w:r>
        <w:rPr>
          <w:color w:val="231F20"/>
          <w:sz w:val="12"/>
        </w:rPr>
        <w:t>%</w:t>
      </w:r>
    </w:p>
    <w:p w14:paraId="2794180E" w14:textId="77777777" w:rsidR="00F65BCA" w:rsidRDefault="00216117">
      <w:pPr>
        <w:spacing w:before="38"/>
        <w:ind w:left="352"/>
        <w:rPr>
          <w:sz w:val="12"/>
        </w:rPr>
      </w:pPr>
      <w:r>
        <w:rPr>
          <w:color w:val="231F20"/>
          <w:sz w:val="12"/>
        </w:rPr>
        <w:t>12</w:t>
      </w:r>
      <w:r>
        <w:rPr>
          <w:color w:val="231F20"/>
          <w:spacing w:val="-20"/>
          <w:sz w:val="12"/>
        </w:rPr>
        <w:t xml:space="preserve"> </w:t>
      </w:r>
      <w:r>
        <w:rPr>
          <w:color w:val="231F20"/>
          <w:sz w:val="12"/>
        </w:rPr>
        <w:t>%</w:t>
      </w:r>
    </w:p>
    <w:p w14:paraId="776B8815" w14:textId="77777777" w:rsidR="00F65BCA" w:rsidRDefault="00F65BCA">
      <w:pPr>
        <w:pStyle w:val="Zkladntext"/>
        <w:spacing w:before="6"/>
        <w:rPr>
          <w:sz w:val="18"/>
        </w:rPr>
      </w:pPr>
    </w:p>
    <w:p w14:paraId="735073E7" w14:textId="77777777" w:rsidR="00F65BCA" w:rsidRDefault="00216117">
      <w:pPr>
        <w:ind w:left="419"/>
        <w:rPr>
          <w:sz w:val="12"/>
        </w:rPr>
      </w:pPr>
      <w:r>
        <w:rPr>
          <w:color w:val="231F20"/>
          <w:sz w:val="12"/>
        </w:rPr>
        <w:t>6</w:t>
      </w:r>
      <w:r>
        <w:rPr>
          <w:color w:val="231F20"/>
          <w:spacing w:val="-20"/>
          <w:sz w:val="12"/>
        </w:rPr>
        <w:t xml:space="preserve"> </w:t>
      </w:r>
      <w:r>
        <w:rPr>
          <w:color w:val="231F20"/>
          <w:sz w:val="12"/>
        </w:rPr>
        <w:t>%</w:t>
      </w:r>
    </w:p>
    <w:p w14:paraId="707B62DF" w14:textId="77777777" w:rsidR="00F65BCA" w:rsidRDefault="00216117">
      <w:pPr>
        <w:spacing w:before="38"/>
        <w:ind w:left="419"/>
        <w:rPr>
          <w:sz w:val="12"/>
        </w:rPr>
      </w:pPr>
      <w:r>
        <w:rPr>
          <w:color w:val="231F20"/>
          <w:sz w:val="12"/>
        </w:rPr>
        <w:t>3</w:t>
      </w:r>
      <w:r>
        <w:rPr>
          <w:color w:val="231F20"/>
          <w:spacing w:val="-20"/>
          <w:sz w:val="12"/>
        </w:rPr>
        <w:t xml:space="preserve"> </w:t>
      </w:r>
      <w:r>
        <w:rPr>
          <w:color w:val="231F20"/>
          <w:sz w:val="12"/>
        </w:rPr>
        <w:t>%</w:t>
      </w:r>
    </w:p>
    <w:p w14:paraId="488CEBE3" w14:textId="77777777" w:rsidR="00F65BCA" w:rsidRDefault="00216117">
      <w:pPr>
        <w:spacing w:before="120"/>
        <w:ind w:right="38"/>
        <w:jc w:val="right"/>
        <w:rPr>
          <w:sz w:val="12"/>
        </w:rPr>
      </w:pPr>
      <w:r>
        <w:rPr>
          <w:color w:val="231F20"/>
          <w:sz w:val="12"/>
        </w:rPr>
        <w:t>3</w:t>
      </w:r>
      <w:r>
        <w:rPr>
          <w:color w:val="231F20"/>
          <w:spacing w:val="-20"/>
          <w:sz w:val="12"/>
        </w:rPr>
        <w:t xml:space="preserve"> </w:t>
      </w:r>
      <w:r>
        <w:rPr>
          <w:color w:val="231F20"/>
          <w:sz w:val="12"/>
        </w:rPr>
        <w:t>%</w:t>
      </w:r>
    </w:p>
    <w:p w14:paraId="61424C70" w14:textId="77777777" w:rsidR="00F65BCA" w:rsidRDefault="00F65BCA">
      <w:pPr>
        <w:pStyle w:val="Zkladntext"/>
        <w:rPr>
          <w:sz w:val="14"/>
        </w:rPr>
      </w:pPr>
    </w:p>
    <w:p w14:paraId="477B50E2" w14:textId="77777777" w:rsidR="00F65BCA" w:rsidRDefault="00F65BCA">
      <w:pPr>
        <w:pStyle w:val="Zkladntext"/>
        <w:rPr>
          <w:sz w:val="14"/>
        </w:rPr>
      </w:pPr>
    </w:p>
    <w:p w14:paraId="60DAD307" w14:textId="77777777" w:rsidR="00F65BCA" w:rsidRDefault="00F65BCA">
      <w:pPr>
        <w:pStyle w:val="Zkladntext"/>
        <w:rPr>
          <w:sz w:val="14"/>
        </w:rPr>
      </w:pPr>
    </w:p>
    <w:p w14:paraId="45DEA715" w14:textId="77777777" w:rsidR="00F65BCA" w:rsidRDefault="00216117">
      <w:pPr>
        <w:spacing w:before="119"/>
        <w:ind w:left="183"/>
        <w:rPr>
          <w:sz w:val="12"/>
        </w:rPr>
      </w:pPr>
      <w:r>
        <w:rPr>
          <w:color w:val="231F20"/>
          <w:sz w:val="12"/>
        </w:rPr>
        <w:t>do 20</w:t>
      </w:r>
      <w:r>
        <w:rPr>
          <w:color w:val="231F20"/>
          <w:spacing w:val="-17"/>
          <w:sz w:val="12"/>
        </w:rPr>
        <w:t xml:space="preserve"> </w:t>
      </w:r>
      <w:r>
        <w:rPr>
          <w:color w:val="231F20"/>
          <w:sz w:val="12"/>
        </w:rPr>
        <w:t>%</w:t>
      </w:r>
    </w:p>
    <w:p w14:paraId="09BCADEB" w14:textId="77777777" w:rsidR="00F65BCA" w:rsidRDefault="00216117">
      <w:pPr>
        <w:spacing w:before="38"/>
        <w:ind w:left="183"/>
        <w:rPr>
          <w:sz w:val="12"/>
        </w:rPr>
      </w:pPr>
      <w:r>
        <w:rPr>
          <w:color w:val="231F20"/>
          <w:sz w:val="12"/>
        </w:rPr>
        <w:t>do 60</w:t>
      </w:r>
      <w:r>
        <w:rPr>
          <w:color w:val="231F20"/>
          <w:spacing w:val="-17"/>
          <w:sz w:val="12"/>
        </w:rPr>
        <w:t xml:space="preserve"> </w:t>
      </w:r>
      <w:r>
        <w:rPr>
          <w:color w:val="231F20"/>
          <w:sz w:val="12"/>
        </w:rPr>
        <w:t>%</w:t>
      </w:r>
    </w:p>
    <w:p w14:paraId="2668C952" w14:textId="77777777" w:rsidR="00F65BCA" w:rsidRDefault="00F65BCA">
      <w:pPr>
        <w:pStyle w:val="Zkladntext"/>
        <w:rPr>
          <w:sz w:val="14"/>
        </w:rPr>
      </w:pPr>
    </w:p>
    <w:p w14:paraId="1D000411" w14:textId="77777777" w:rsidR="00F65BCA" w:rsidRDefault="00F65BCA">
      <w:pPr>
        <w:pStyle w:val="Zkladntext"/>
        <w:rPr>
          <w:sz w:val="14"/>
        </w:rPr>
      </w:pPr>
    </w:p>
    <w:p w14:paraId="24A8B946" w14:textId="77777777" w:rsidR="00F65BCA" w:rsidRDefault="00F65BCA">
      <w:pPr>
        <w:pStyle w:val="Zkladntext"/>
        <w:spacing w:before="4"/>
        <w:rPr>
          <w:sz w:val="19"/>
        </w:rPr>
      </w:pPr>
    </w:p>
    <w:p w14:paraId="77D875A3" w14:textId="77777777" w:rsidR="00F65BCA" w:rsidRDefault="00216117">
      <w:pPr>
        <w:ind w:left="352"/>
        <w:rPr>
          <w:sz w:val="12"/>
        </w:rPr>
      </w:pPr>
      <w:r>
        <w:rPr>
          <w:color w:val="231F20"/>
          <w:sz w:val="12"/>
        </w:rPr>
        <w:t>20</w:t>
      </w:r>
      <w:r>
        <w:rPr>
          <w:color w:val="231F20"/>
          <w:spacing w:val="-20"/>
          <w:sz w:val="12"/>
        </w:rPr>
        <w:t xml:space="preserve"> </w:t>
      </w:r>
      <w:r>
        <w:rPr>
          <w:color w:val="231F20"/>
          <w:sz w:val="12"/>
        </w:rPr>
        <w:t>%</w:t>
      </w:r>
    </w:p>
    <w:p w14:paraId="4625EBCB" w14:textId="77777777" w:rsidR="00F65BCA" w:rsidRDefault="00216117">
      <w:pPr>
        <w:spacing w:before="33"/>
        <w:ind w:left="352"/>
        <w:rPr>
          <w:sz w:val="12"/>
        </w:rPr>
      </w:pPr>
      <w:r>
        <w:rPr>
          <w:color w:val="231F20"/>
          <w:sz w:val="12"/>
        </w:rPr>
        <w:t>25</w:t>
      </w:r>
      <w:r>
        <w:rPr>
          <w:color w:val="231F20"/>
          <w:spacing w:val="-20"/>
          <w:sz w:val="12"/>
        </w:rPr>
        <w:t xml:space="preserve"> </w:t>
      </w:r>
      <w:r>
        <w:rPr>
          <w:color w:val="231F20"/>
          <w:sz w:val="12"/>
        </w:rPr>
        <w:t>%</w:t>
      </w:r>
    </w:p>
    <w:p w14:paraId="37D3B512" w14:textId="77777777" w:rsidR="00F65BCA" w:rsidRDefault="00F65BCA">
      <w:pPr>
        <w:pStyle w:val="Zkladntext"/>
        <w:rPr>
          <w:sz w:val="14"/>
        </w:rPr>
      </w:pPr>
    </w:p>
    <w:p w14:paraId="4FD643B6" w14:textId="77777777" w:rsidR="00F65BCA" w:rsidRDefault="00F65BCA">
      <w:pPr>
        <w:pStyle w:val="Zkladntext"/>
        <w:spacing w:before="4"/>
        <w:rPr>
          <w:sz w:val="16"/>
        </w:rPr>
      </w:pPr>
    </w:p>
    <w:p w14:paraId="69F08497" w14:textId="77777777" w:rsidR="00F65BCA" w:rsidRDefault="00216117">
      <w:pPr>
        <w:ind w:right="38"/>
        <w:jc w:val="right"/>
        <w:rPr>
          <w:sz w:val="12"/>
        </w:rPr>
      </w:pPr>
      <w:r>
        <w:rPr>
          <w:color w:val="231F20"/>
          <w:sz w:val="12"/>
        </w:rPr>
        <w:t>3</w:t>
      </w:r>
      <w:r>
        <w:rPr>
          <w:color w:val="231F20"/>
          <w:spacing w:val="-20"/>
          <w:sz w:val="12"/>
        </w:rPr>
        <w:t xml:space="preserve"> </w:t>
      </w:r>
      <w:r>
        <w:rPr>
          <w:color w:val="231F20"/>
          <w:sz w:val="12"/>
        </w:rPr>
        <w:t>%</w:t>
      </w:r>
    </w:p>
    <w:p w14:paraId="4B1B8F23" w14:textId="77777777" w:rsidR="00F65BCA" w:rsidRDefault="00216117">
      <w:pPr>
        <w:spacing w:before="44"/>
        <w:ind w:right="38"/>
        <w:jc w:val="right"/>
        <w:rPr>
          <w:sz w:val="12"/>
        </w:rPr>
      </w:pPr>
      <w:r>
        <w:rPr>
          <w:color w:val="231F20"/>
          <w:sz w:val="12"/>
        </w:rPr>
        <w:t>do 8</w:t>
      </w:r>
      <w:r>
        <w:rPr>
          <w:color w:val="231F20"/>
          <w:spacing w:val="-17"/>
          <w:sz w:val="12"/>
        </w:rPr>
        <w:t xml:space="preserve"> </w:t>
      </w:r>
      <w:r>
        <w:rPr>
          <w:color w:val="231F20"/>
          <w:sz w:val="12"/>
        </w:rPr>
        <w:t>%</w:t>
      </w:r>
    </w:p>
    <w:p w14:paraId="7B4F1C56" w14:textId="77777777" w:rsidR="00F65BCA" w:rsidRDefault="00216117">
      <w:pPr>
        <w:spacing w:before="43"/>
        <w:ind w:right="38"/>
        <w:jc w:val="right"/>
        <w:rPr>
          <w:sz w:val="12"/>
        </w:rPr>
      </w:pPr>
      <w:r>
        <w:rPr>
          <w:color w:val="231F20"/>
          <w:sz w:val="12"/>
        </w:rPr>
        <w:t>3</w:t>
      </w:r>
      <w:r>
        <w:rPr>
          <w:color w:val="231F20"/>
          <w:spacing w:val="-20"/>
          <w:sz w:val="12"/>
        </w:rPr>
        <w:t xml:space="preserve"> </w:t>
      </w:r>
      <w:r>
        <w:rPr>
          <w:color w:val="231F20"/>
          <w:sz w:val="12"/>
        </w:rPr>
        <w:t>%</w:t>
      </w:r>
    </w:p>
    <w:p w14:paraId="24FEFB4A" w14:textId="77777777" w:rsidR="00F65BCA" w:rsidRDefault="00216117">
      <w:pPr>
        <w:spacing w:before="43"/>
        <w:ind w:right="38"/>
        <w:jc w:val="right"/>
        <w:rPr>
          <w:sz w:val="12"/>
        </w:rPr>
      </w:pPr>
      <w:r>
        <w:rPr>
          <w:color w:val="231F20"/>
          <w:sz w:val="12"/>
        </w:rPr>
        <w:t>5</w:t>
      </w:r>
      <w:r>
        <w:rPr>
          <w:color w:val="231F20"/>
          <w:spacing w:val="-20"/>
          <w:sz w:val="12"/>
        </w:rPr>
        <w:t xml:space="preserve"> </w:t>
      </w:r>
      <w:r>
        <w:rPr>
          <w:color w:val="231F20"/>
          <w:sz w:val="12"/>
        </w:rPr>
        <w:t>%</w:t>
      </w:r>
    </w:p>
    <w:p w14:paraId="64FB1D06" w14:textId="77777777" w:rsidR="00F65BCA" w:rsidRDefault="00216117">
      <w:pPr>
        <w:spacing w:before="38"/>
        <w:ind w:right="38"/>
        <w:jc w:val="right"/>
        <w:rPr>
          <w:sz w:val="12"/>
        </w:rPr>
      </w:pPr>
      <w:r>
        <w:rPr>
          <w:color w:val="231F20"/>
          <w:sz w:val="12"/>
        </w:rPr>
        <w:t>do 10</w:t>
      </w:r>
      <w:r>
        <w:rPr>
          <w:color w:val="231F20"/>
          <w:spacing w:val="-17"/>
          <w:sz w:val="12"/>
        </w:rPr>
        <w:t xml:space="preserve"> </w:t>
      </w:r>
      <w:r>
        <w:rPr>
          <w:color w:val="231F20"/>
          <w:sz w:val="12"/>
        </w:rPr>
        <w:t>%</w:t>
      </w:r>
    </w:p>
    <w:p w14:paraId="1095528A" w14:textId="77777777" w:rsidR="00F65BCA" w:rsidRDefault="00F65BCA">
      <w:pPr>
        <w:pStyle w:val="Zkladntext"/>
        <w:rPr>
          <w:sz w:val="14"/>
        </w:rPr>
      </w:pPr>
    </w:p>
    <w:p w14:paraId="4B8C2610" w14:textId="77777777" w:rsidR="00F65BCA" w:rsidRDefault="00F65BCA">
      <w:pPr>
        <w:pStyle w:val="Zkladntext"/>
        <w:rPr>
          <w:sz w:val="14"/>
        </w:rPr>
      </w:pPr>
    </w:p>
    <w:p w14:paraId="5A9D1AEA" w14:textId="77777777" w:rsidR="00F65BCA" w:rsidRDefault="00F65BCA">
      <w:pPr>
        <w:pStyle w:val="Zkladntext"/>
        <w:spacing w:before="5"/>
        <w:rPr>
          <w:sz w:val="16"/>
        </w:rPr>
      </w:pPr>
    </w:p>
    <w:p w14:paraId="581E5A73" w14:textId="77777777" w:rsidR="00F65BCA" w:rsidRDefault="00216117">
      <w:pPr>
        <w:ind w:right="38"/>
        <w:jc w:val="right"/>
        <w:rPr>
          <w:sz w:val="12"/>
        </w:rPr>
      </w:pPr>
      <w:r>
        <w:rPr>
          <w:color w:val="231F20"/>
          <w:sz w:val="12"/>
        </w:rPr>
        <w:t>10</w:t>
      </w:r>
      <w:r>
        <w:rPr>
          <w:color w:val="231F20"/>
          <w:spacing w:val="-20"/>
          <w:sz w:val="12"/>
        </w:rPr>
        <w:t xml:space="preserve"> </w:t>
      </w:r>
      <w:r>
        <w:rPr>
          <w:color w:val="231F20"/>
          <w:sz w:val="12"/>
        </w:rPr>
        <w:t>%</w:t>
      </w:r>
    </w:p>
    <w:p w14:paraId="1F80C6A5" w14:textId="77777777" w:rsidR="00F65BCA" w:rsidRDefault="00216117">
      <w:pPr>
        <w:spacing w:before="38"/>
        <w:ind w:right="38"/>
        <w:jc w:val="right"/>
        <w:rPr>
          <w:sz w:val="12"/>
        </w:rPr>
      </w:pPr>
      <w:r>
        <w:rPr>
          <w:color w:val="231F20"/>
          <w:sz w:val="12"/>
        </w:rPr>
        <w:t>20</w:t>
      </w:r>
      <w:r>
        <w:rPr>
          <w:color w:val="231F20"/>
          <w:spacing w:val="-20"/>
          <w:sz w:val="12"/>
        </w:rPr>
        <w:t xml:space="preserve"> </w:t>
      </w:r>
      <w:r>
        <w:rPr>
          <w:color w:val="231F20"/>
          <w:sz w:val="12"/>
        </w:rPr>
        <w:t>%</w:t>
      </w:r>
    </w:p>
    <w:p w14:paraId="2A516BC1" w14:textId="77777777" w:rsidR="00F65BCA" w:rsidRDefault="00216117">
      <w:pPr>
        <w:spacing w:before="36"/>
        <w:ind w:right="38"/>
        <w:jc w:val="right"/>
        <w:rPr>
          <w:sz w:val="12"/>
        </w:rPr>
      </w:pPr>
      <w:r>
        <w:rPr>
          <w:color w:val="231F20"/>
          <w:sz w:val="12"/>
        </w:rPr>
        <w:t>do 5</w:t>
      </w:r>
      <w:r>
        <w:rPr>
          <w:color w:val="231F20"/>
          <w:spacing w:val="-17"/>
          <w:sz w:val="12"/>
        </w:rPr>
        <w:t xml:space="preserve"> </w:t>
      </w:r>
      <w:r>
        <w:rPr>
          <w:color w:val="231F20"/>
          <w:sz w:val="12"/>
        </w:rPr>
        <w:t>%</w:t>
      </w:r>
    </w:p>
    <w:p w14:paraId="109F8D5A" w14:textId="77777777" w:rsidR="00F65BCA" w:rsidRDefault="00216117">
      <w:pPr>
        <w:spacing w:before="72" w:line="242" w:lineRule="auto"/>
        <w:ind w:left="455" w:right="110"/>
        <w:rPr>
          <w:b/>
          <w:sz w:val="12"/>
        </w:rPr>
      </w:pPr>
      <w:r>
        <w:br w:type="column"/>
      </w:r>
      <w:r>
        <w:rPr>
          <w:b/>
          <w:color w:val="231F20"/>
          <w:sz w:val="12"/>
        </w:rPr>
        <w:t>Pojistitel poskytuje plnění za ztrátu zubů nebo jejich částí jen nastane-li působením zevního násilí</w:t>
      </w:r>
    </w:p>
    <w:p w14:paraId="53FE7F0D" w14:textId="77777777" w:rsidR="00F65BCA" w:rsidRDefault="00216117">
      <w:pPr>
        <w:spacing w:before="50"/>
        <w:ind w:left="434" w:right="2167"/>
        <w:jc w:val="center"/>
        <w:rPr>
          <w:b/>
          <w:sz w:val="12"/>
        </w:rPr>
      </w:pPr>
      <w:r>
        <w:rPr>
          <w:b/>
          <w:color w:val="231F20"/>
          <w:w w:val="105"/>
          <w:sz w:val="12"/>
        </w:rPr>
        <w:t>Ztráta</w:t>
      </w:r>
    </w:p>
    <w:p w14:paraId="655CE8E4" w14:textId="77777777" w:rsidR="00F65BCA" w:rsidRDefault="00216117">
      <w:pPr>
        <w:pStyle w:val="Odstavecseseznamem"/>
        <w:numPr>
          <w:ilvl w:val="0"/>
          <w:numId w:val="35"/>
        </w:numPr>
        <w:tabs>
          <w:tab w:val="left" w:pos="456"/>
        </w:tabs>
        <w:spacing w:before="38"/>
        <w:ind w:right="1648" w:hanging="456"/>
        <w:rPr>
          <w:sz w:val="12"/>
        </w:rPr>
      </w:pPr>
      <w:r>
        <w:rPr>
          <w:color w:val="231F20"/>
          <w:sz w:val="12"/>
        </w:rPr>
        <w:t>jednoho</w:t>
      </w:r>
      <w:r>
        <w:rPr>
          <w:color w:val="231F20"/>
          <w:spacing w:val="-3"/>
          <w:sz w:val="12"/>
        </w:rPr>
        <w:t xml:space="preserve"> </w:t>
      </w:r>
      <w:r>
        <w:rPr>
          <w:color w:val="231F20"/>
          <w:sz w:val="12"/>
        </w:rPr>
        <w:t>zubu</w:t>
      </w:r>
    </w:p>
    <w:p w14:paraId="385F647F" w14:textId="77777777" w:rsidR="00F65BCA" w:rsidRDefault="00216117">
      <w:pPr>
        <w:pStyle w:val="Odstavecseseznamem"/>
        <w:numPr>
          <w:ilvl w:val="0"/>
          <w:numId w:val="35"/>
        </w:numPr>
        <w:tabs>
          <w:tab w:val="left" w:pos="456"/>
        </w:tabs>
        <w:spacing w:before="38"/>
        <w:ind w:hanging="273"/>
        <w:jc w:val="both"/>
        <w:rPr>
          <w:sz w:val="12"/>
        </w:rPr>
      </w:pPr>
      <w:r>
        <w:rPr>
          <w:color w:val="231F20"/>
          <w:sz w:val="12"/>
        </w:rPr>
        <w:t>každého dalšího</w:t>
      </w:r>
      <w:r>
        <w:rPr>
          <w:color w:val="231F20"/>
          <w:spacing w:val="-2"/>
          <w:sz w:val="12"/>
        </w:rPr>
        <w:t xml:space="preserve"> </w:t>
      </w:r>
      <w:r>
        <w:rPr>
          <w:color w:val="231F20"/>
          <w:sz w:val="12"/>
        </w:rPr>
        <w:t>zubu</w:t>
      </w:r>
    </w:p>
    <w:p w14:paraId="3E9F24AB" w14:textId="77777777" w:rsidR="00F65BCA" w:rsidRDefault="00216117">
      <w:pPr>
        <w:pStyle w:val="Odstavecseseznamem"/>
        <w:numPr>
          <w:ilvl w:val="0"/>
          <w:numId w:val="35"/>
        </w:numPr>
        <w:tabs>
          <w:tab w:val="left" w:pos="456"/>
        </w:tabs>
        <w:spacing w:before="38"/>
        <w:ind w:hanging="273"/>
        <w:jc w:val="both"/>
        <w:rPr>
          <w:sz w:val="12"/>
        </w:rPr>
      </w:pPr>
      <w:r>
        <w:rPr>
          <w:color w:val="231F20"/>
          <w:sz w:val="12"/>
        </w:rPr>
        <w:t>ztráta vitality zubu v důsledku</w:t>
      </w:r>
      <w:r>
        <w:rPr>
          <w:color w:val="231F20"/>
          <w:spacing w:val="-14"/>
          <w:sz w:val="12"/>
        </w:rPr>
        <w:t xml:space="preserve"> </w:t>
      </w:r>
      <w:r>
        <w:rPr>
          <w:color w:val="231F20"/>
          <w:sz w:val="12"/>
        </w:rPr>
        <w:t>úrazu</w:t>
      </w:r>
    </w:p>
    <w:p w14:paraId="7A4E875D" w14:textId="77777777" w:rsidR="00F65BCA" w:rsidRDefault="00216117">
      <w:pPr>
        <w:pStyle w:val="Odstavecseseznamem"/>
        <w:numPr>
          <w:ilvl w:val="0"/>
          <w:numId w:val="35"/>
        </w:numPr>
        <w:tabs>
          <w:tab w:val="left" w:pos="456"/>
        </w:tabs>
        <w:spacing w:before="26" w:line="249" w:lineRule="auto"/>
        <w:ind w:right="81"/>
        <w:jc w:val="both"/>
        <w:rPr>
          <w:sz w:val="12"/>
        </w:rPr>
      </w:pPr>
      <w:r>
        <w:rPr>
          <w:color w:val="231F20"/>
          <w:sz w:val="12"/>
        </w:rPr>
        <w:t>Deformita</w:t>
      </w:r>
      <w:r>
        <w:rPr>
          <w:color w:val="231F20"/>
          <w:spacing w:val="-9"/>
          <w:sz w:val="12"/>
        </w:rPr>
        <w:t xml:space="preserve"> </w:t>
      </w:r>
      <w:r>
        <w:rPr>
          <w:color w:val="231F20"/>
          <w:sz w:val="12"/>
        </w:rPr>
        <w:t>stálých</w:t>
      </w:r>
      <w:r>
        <w:rPr>
          <w:color w:val="231F20"/>
          <w:spacing w:val="-9"/>
          <w:sz w:val="12"/>
        </w:rPr>
        <w:t xml:space="preserve"> </w:t>
      </w:r>
      <w:r>
        <w:rPr>
          <w:color w:val="231F20"/>
          <w:sz w:val="12"/>
        </w:rPr>
        <w:t>zubů</w:t>
      </w:r>
      <w:r>
        <w:rPr>
          <w:color w:val="231F20"/>
          <w:spacing w:val="-8"/>
          <w:sz w:val="12"/>
        </w:rPr>
        <w:t xml:space="preserve"> </w:t>
      </w:r>
      <w:r>
        <w:rPr>
          <w:color w:val="231F20"/>
          <w:sz w:val="12"/>
        </w:rPr>
        <w:t>v</w:t>
      </w:r>
      <w:r>
        <w:rPr>
          <w:color w:val="231F20"/>
          <w:spacing w:val="-9"/>
          <w:sz w:val="12"/>
        </w:rPr>
        <w:t xml:space="preserve"> </w:t>
      </w:r>
      <w:r>
        <w:rPr>
          <w:color w:val="231F20"/>
          <w:sz w:val="12"/>
        </w:rPr>
        <w:t>důsledku</w:t>
      </w:r>
      <w:r>
        <w:rPr>
          <w:color w:val="231F20"/>
          <w:spacing w:val="-8"/>
          <w:sz w:val="12"/>
        </w:rPr>
        <w:t xml:space="preserve"> </w:t>
      </w:r>
      <w:r>
        <w:rPr>
          <w:color w:val="231F20"/>
          <w:spacing w:val="-3"/>
          <w:sz w:val="12"/>
        </w:rPr>
        <w:t xml:space="preserve">traumatické- </w:t>
      </w:r>
      <w:r>
        <w:rPr>
          <w:color w:val="231F20"/>
          <w:sz w:val="12"/>
        </w:rPr>
        <w:t>ho poškození lůžka za každý</w:t>
      </w:r>
      <w:r>
        <w:rPr>
          <w:color w:val="231F20"/>
          <w:spacing w:val="-12"/>
          <w:sz w:val="12"/>
        </w:rPr>
        <w:t xml:space="preserve"> </w:t>
      </w:r>
      <w:r>
        <w:rPr>
          <w:color w:val="231F20"/>
          <w:sz w:val="12"/>
        </w:rPr>
        <w:t>zub</w:t>
      </w:r>
    </w:p>
    <w:p w14:paraId="31ABF36C" w14:textId="77777777" w:rsidR="00F65BCA" w:rsidRDefault="00216117">
      <w:pPr>
        <w:pStyle w:val="Odstavecseseznamem"/>
        <w:numPr>
          <w:ilvl w:val="0"/>
          <w:numId w:val="35"/>
        </w:numPr>
        <w:tabs>
          <w:tab w:val="left" w:pos="456"/>
        </w:tabs>
        <w:spacing w:before="31" w:line="249" w:lineRule="auto"/>
        <w:ind w:right="316"/>
        <w:jc w:val="both"/>
        <w:rPr>
          <w:sz w:val="12"/>
        </w:rPr>
      </w:pPr>
      <w:r>
        <w:rPr>
          <w:color w:val="231F20"/>
          <w:sz w:val="12"/>
        </w:rPr>
        <w:t>Obroušení</w:t>
      </w:r>
      <w:r>
        <w:rPr>
          <w:color w:val="231F20"/>
          <w:spacing w:val="-19"/>
          <w:sz w:val="12"/>
        </w:rPr>
        <w:t xml:space="preserve"> </w:t>
      </w:r>
      <w:r>
        <w:rPr>
          <w:color w:val="231F20"/>
          <w:sz w:val="12"/>
        </w:rPr>
        <w:t>pilířových</w:t>
      </w:r>
      <w:r>
        <w:rPr>
          <w:color w:val="231F20"/>
          <w:spacing w:val="-18"/>
          <w:sz w:val="12"/>
        </w:rPr>
        <w:t xml:space="preserve"> </w:t>
      </w:r>
      <w:r>
        <w:rPr>
          <w:color w:val="231F20"/>
          <w:sz w:val="12"/>
        </w:rPr>
        <w:t>nebo</w:t>
      </w:r>
      <w:r>
        <w:rPr>
          <w:color w:val="231F20"/>
          <w:spacing w:val="-18"/>
          <w:sz w:val="12"/>
        </w:rPr>
        <w:t xml:space="preserve"> </w:t>
      </w:r>
      <w:r>
        <w:rPr>
          <w:color w:val="231F20"/>
          <w:sz w:val="12"/>
        </w:rPr>
        <w:t>sponových</w:t>
      </w:r>
      <w:r>
        <w:rPr>
          <w:color w:val="231F20"/>
          <w:spacing w:val="-18"/>
          <w:sz w:val="12"/>
        </w:rPr>
        <w:t xml:space="preserve"> </w:t>
      </w:r>
      <w:r>
        <w:rPr>
          <w:color w:val="231F20"/>
          <w:spacing w:val="-4"/>
          <w:sz w:val="12"/>
        </w:rPr>
        <w:t xml:space="preserve">zubů </w:t>
      </w:r>
      <w:r>
        <w:rPr>
          <w:color w:val="231F20"/>
          <w:w w:val="95"/>
          <w:sz w:val="12"/>
        </w:rPr>
        <w:t xml:space="preserve">(úrazem nepoškozených) – řešení následků </w:t>
      </w:r>
      <w:r>
        <w:rPr>
          <w:color w:val="231F20"/>
          <w:sz w:val="12"/>
        </w:rPr>
        <w:t>úrazu můstkem, za každý</w:t>
      </w:r>
      <w:r>
        <w:rPr>
          <w:color w:val="231F20"/>
          <w:spacing w:val="-8"/>
          <w:sz w:val="12"/>
        </w:rPr>
        <w:t xml:space="preserve"> </w:t>
      </w:r>
      <w:r>
        <w:rPr>
          <w:color w:val="231F20"/>
          <w:sz w:val="12"/>
        </w:rPr>
        <w:t>zub</w:t>
      </w:r>
    </w:p>
    <w:p w14:paraId="2CA63ACC" w14:textId="77777777" w:rsidR="00F65BCA" w:rsidRDefault="00216117">
      <w:pPr>
        <w:pStyle w:val="Odstavecseseznamem"/>
        <w:numPr>
          <w:ilvl w:val="0"/>
          <w:numId w:val="35"/>
        </w:numPr>
        <w:tabs>
          <w:tab w:val="left" w:pos="456"/>
        </w:tabs>
        <w:spacing w:before="62" w:line="223" w:lineRule="auto"/>
        <w:ind w:right="139"/>
        <w:jc w:val="both"/>
        <w:rPr>
          <w:sz w:val="12"/>
        </w:rPr>
      </w:pPr>
      <w:r>
        <w:rPr>
          <w:color w:val="231F20"/>
          <w:position w:val="2"/>
          <w:sz w:val="12"/>
        </w:rPr>
        <w:t>Ztráta,</w:t>
      </w:r>
      <w:r>
        <w:rPr>
          <w:color w:val="231F20"/>
          <w:spacing w:val="-16"/>
          <w:position w:val="2"/>
          <w:sz w:val="12"/>
        </w:rPr>
        <w:t xml:space="preserve"> </w:t>
      </w:r>
      <w:r>
        <w:rPr>
          <w:color w:val="231F20"/>
          <w:position w:val="2"/>
          <w:sz w:val="12"/>
        </w:rPr>
        <w:t>odlomení</w:t>
      </w:r>
      <w:r>
        <w:rPr>
          <w:color w:val="231F20"/>
          <w:spacing w:val="-16"/>
          <w:position w:val="2"/>
          <w:sz w:val="12"/>
        </w:rPr>
        <w:t xml:space="preserve"> </w:t>
      </w:r>
      <w:r>
        <w:rPr>
          <w:color w:val="231F20"/>
          <w:position w:val="2"/>
          <w:sz w:val="12"/>
        </w:rPr>
        <w:t>a</w:t>
      </w:r>
      <w:r>
        <w:rPr>
          <w:color w:val="231F20"/>
          <w:spacing w:val="-16"/>
          <w:position w:val="2"/>
          <w:sz w:val="12"/>
        </w:rPr>
        <w:t xml:space="preserve"> </w:t>
      </w:r>
      <w:r>
        <w:rPr>
          <w:color w:val="231F20"/>
          <w:position w:val="2"/>
          <w:sz w:val="12"/>
        </w:rPr>
        <w:t>poškození</w:t>
      </w:r>
      <w:r>
        <w:rPr>
          <w:color w:val="231F20"/>
          <w:spacing w:val="-15"/>
          <w:position w:val="2"/>
          <w:sz w:val="12"/>
        </w:rPr>
        <w:t xml:space="preserve"> </w:t>
      </w:r>
      <w:r>
        <w:rPr>
          <w:color w:val="231F20"/>
          <w:position w:val="2"/>
          <w:sz w:val="12"/>
        </w:rPr>
        <w:t>umělých</w:t>
      </w:r>
      <w:r>
        <w:rPr>
          <w:color w:val="231F20"/>
          <w:spacing w:val="-16"/>
          <w:position w:val="2"/>
          <w:sz w:val="12"/>
        </w:rPr>
        <w:t xml:space="preserve"> </w:t>
      </w:r>
      <w:r>
        <w:rPr>
          <w:color w:val="231F20"/>
          <w:spacing w:val="-3"/>
          <w:position w:val="2"/>
          <w:sz w:val="12"/>
        </w:rPr>
        <w:t>zubních</w:t>
      </w:r>
      <w:r>
        <w:rPr>
          <w:color w:val="231F20"/>
          <w:spacing w:val="-3"/>
          <w:sz w:val="12"/>
        </w:rPr>
        <w:t xml:space="preserve"> </w:t>
      </w:r>
      <w:r>
        <w:rPr>
          <w:color w:val="231F20"/>
          <w:sz w:val="12"/>
        </w:rPr>
        <w:t>náhrad a dočasných mléčných</w:t>
      </w:r>
      <w:r>
        <w:rPr>
          <w:color w:val="231F20"/>
          <w:spacing w:val="-10"/>
          <w:sz w:val="12"/>
        </w:rPr>
        <w:t xml:space="preserve"> </w:t>
      </w:r>
      <w:r>
        <w:rPr>
          <w:color w:val="231F20"/>
          <w:sz w:val="12"/>
        </w:rPr>
        <w:t>zubů</w:t>
      </w:r>
    </w:p>
    <w:p w14:paraId="002A5F4F" w14:textId="77777777" w:rsidR="00F65BCA" w:rsidRDefault="00F65BCA">
      <w:pPr>
        <w:pStyle w:val="Zkladntext"/>
        <w:spacing w:before="1"/>
        <w:rPr>
          <w:sz w:val="14"/>
        </w:rPr>
      </w:pPr>
    </w:p>
    <w:p w14:paraId="7496F9D7" w14:textId="77777777" w:rsidR="00F65BCA" w:rsidRDefault="00216117">
      <w:pPr>
        <w:spacing w:before="1"/>
        <w:ind w:left="434" w:right="19"/>
        <w:jc w:val="center"/>
        <w:rPr>
          <w:b/>
          <w:sz w:val="14"/>
        </w:rPr>
      </w:pPr>
      <w:r>
        <w:rPr>
          <w:b/>
          <w:color w:val="231F20"/>
          <w:sz w:val="14"/>
        </w:rPr>
        <w:t>HRUDNÍK</w:t>
      </w:r>
    </w:p>
    <w:p w14:paraId="5EFBAA63" w14:textId="77777777" w:rsidR="00F65BCA" w:rsidRDefault="00216117">
      <w:pPr>
        <w:pStyle w:val="Odstavecseseznamem"/>
        <w:numPr>
          <w:ilvl w:val="0"/>
          <w:numId w:val="35"/>
        </w:numPr>
        <w:tabs>
          <w:tab w:val="left" w:pos="456"/>
        </w:tabs>
        <w:spacing w:before="45" w:line="285" w:lineRule="auto"/>
        <w:ind w:right="1410"/>
        <w:rPr>
          <w:sz w:val="12"/>
        </w:rPr>
      </w:pPr>
      <w:r>
        <w:rPr>
          <w:color w:val="231F20"/>
          <w:position w:val="1"/>
          <w:sz w:val="12"/>
        </w:rPr>
        <w:t>Deformace prsu,</w:t>
      </w:r>
      <w:r>
        <w:rPr>
          <w:color w:val="231F20"/>
          <w:spacing w:val="-20"/>
          <w:position w:val="1"/>
          <w:sz w:val="12"/>
        </w:rPr>
        <w:t xml:space="preserve"> </w:t>
      </w:r>
      <w:r>
        <w:rPr>
          <w:color w:val="231F20"/>
          <w:spacing w:val="-5"/>
          <w:position w:val="1"/>
          <w:sz w:val="12"/>
        </w:rPr>
        <w:t>prsů</w:t>
      </w:r>
      <w:r>
        <w:rPr>
          <w:color w:val="231F20"/>
          <w:spacing w:val="-5"/>
          <w:sz w:val="12"/>
        </w:rPr>
        <w:t xml:space="preserve"> </w:t>
      </w:r>
      <w:r>
        <w:rPr>
          <w:color w:val="231F20"/>
          <w:sz w:val="12"/>
        </w:rPr>
        <w:t>Amputace prsu,</w:t>
      </w:r>
      <w:r>
        <w:rPr>
          <w:color w:val="231F20"/>
          <w:spacing w:val="-12"/>
          <w:sz w:val="12"/>
        </w:rPr>
        <w:t xml:space="preserve"> </w:t>
      </w:r>
      <w:r>
        <w:rPr>
          <w:color w:val="231F20"/>
          <w:sz w:val="12"/>
        </w:rPr>
        <w:t>prsů</w:t>
      </w:r>
    </w:p>
    <w:p w14:paraId="77C474CC" w14:textId="77777777" w:rsidR="00F65BCA" w:rsidRDefault="00216117">
      <w:pPr>
        <w:pStyle w:val="Odstavecseseznamem"/>
        <w:numPr>
          <w:ilvl w:val="0"/>
          <w:numId w:val="35"/>
        </w:numPr>
        <w:tabs>
          <w:tab w:val="left" w:pos="456"/>
        </w:tabs>
        <w:spacing w:before="5"/>
        <w:ind w:hanging="273"/>
        <w:rPr>
          <w:sz w:val="12"/>
        </w:rPr>
      </w:pPr>
      <w:r>
        <w:rPr>
          <w:color w:val="231F20"/>
          <w:sz w:val="12"/>
        </w:rPr>
        <w:t>do 40</w:t>
      </w:r>
      <w:r>
        <w:rPr>
          <w:color w:val="231F20"/>
          <w:spacing w:val="-1"/>
          <w:sz w:val="12"/>
        </w:rPr>
        <w:t xml:space="preserve"> </w:t>
      </w:r>
      <w:r>
        <w:rPr>
          <w:color w:val="231F20"/>
          <w:sz w:val="12"/>
        </w:rPr>
        <w:t>let</w:t>
      </w:r>
    </w:p>
    <w:p w14:paraId="46C1B856" w14:textId="77777777" w:rsidR="00F65BCA" w:rsidRDefault="00216117">
      <w:pPr>
        <w:pStyle w:val="Odstavecseseznamem"/>
        <w:numPr>
          <w:ilvl w:val="0"/>
          <w:numId w:val="35"/>
        </w:numPr>
        <w:tabs>
          <w:tab w:val="left" w:pos="456"/>
        </w:tabs>
        <w:spacing w:before="33"/>
        <w:ind w:hanging="273"/>
        <w:rPr>
          <w:sz w:val="12"/>
        </w:rPr>
      </w:pPr>
      <w:r>
        <w:rPr>
          <w:color w:val="231F20"/>
          <w:sz w:val="12"/>
        </w:rPr>
        <w:t>nad 40</w:t>
      </w:r>
      <w:r>
        <w:rPr>
          <w:color w:val="231F20"/>
          <w:spacing w:val="-1"/>
          <w:sz w:val="12"/>
        </w:rPr>
        <w:t xml:space="preserve"> </w:t>
      </w:r>
      <w:r>
        <w:rPr>
          <w:color w:val="231F20"/>
          <w:sz w:val="12"/>
        </w:rPr>
        <w:t>let</w:t>
      </w:r>
    </w:p>
    <w:p w14:paraId="10C98965" w14:textId="77777777" w:rsidR="00F65BCA" w:rsidRDefault="00216117">
      <w:pPr>
        <w:spacing w:before="33" w:line="249" w:lineRule="auto"/>
        <w:ind w:left="455" w:right="34"/>
        <w:rPr>
          <w:sz w:val="12"/>
        </w:rPr>
      </w:pPr>
      <w:r>
        <w:rPr>
          <w:color w:val="231F20"/>
          <w:sz w:val="12"/>
        </w:rPr>
        <w:t>Omezení</w:t>
      </w:r>
      <w:r>
        <w:rPr>
          <w:color w:val="231F20"/>
          <w:spacing w:val="-8"/>
          <w:sz w:val="12"/>
        </w:rPr>
        <w:t xml:space="preserve"> </w:t>
      </w:r>
      <w:r>
        <w:rPr>
          <w:color w:val="231F20"/>
          <w:sz w:val="12"/>
        </w:rPr>
        <w:t>hybnosti</w:t>
      </w:r>
      <w:r>
        <w:rPr>
          <w:color w:val="231F20"/>
          <w:spacing w:val="-8"/>
          <w:sz w:val="12"/>
        </w:rPr>
        <w:t xml:space="preserve"> </w:t>
      </w:r>
      <w:r>
        <w:rPr>
          <w:b/>
          <w:color w:val="231F20"/>
          <w:sz w:val="12"/>
        </w:rPr>
        <w:t>hrudníku</w:t>
      </w:r>
      <w:r>
        <w:rPr>
          <w:b/>
          <w:color w:val="231F20"/>
          <w:spacing w:val="-8"/>
          <w:sz w:val="12"/>
        </w:rPr>
        <w:t xml:space="preserve"> </w:t>
      </w:r>
      <w:r>
        <w:rPr>
          <w:color w:val="231F20"/>
          <w:sz w:val="12"/>
        </w:rPr>
        <w:t>a</w:t>
      </w:r>
      <w:r>
        <w:rPr>
          <w:color w:val="231F20"/>
          <w:spacing w:val="-8"/>
          <w:sz w:val="12"/>
        </w:rPr>
        <w:t xml:space="preserve"> </w:t>
      </w:r>
      <w:r>
        <w:rPr>
          <w:color w:val="231F20"/>
          <w:sz w:val="12"/>
        </w:rPr>
        <w:t>srůsty</w:t>
      </w:r>
      <w:r>
        <w:rPr>
          <w:color w:val="231F20"/>
          <w:spacing w:val="-7"/>
          <w:sz w:val="12"/>
        </w:rPr>
        <w:t xml:space="preserve"> </w:t>
      </w:r>
      <w:r>
        <w:rPr>
          <w:b/>
          <w:color w:val="231F20"/>
          <w:sz w:val="12"/>
        </w:rPr>
        <w:t>plic</w:t>
      </w:r>
      <w:r>
        <w:rPr>
          <w:b/>
          <w:color w:val="231F20"/>
          <w:spacing w:val="-8"/>
          <w:sz w:val="12"/>
        </w:rPr>
        <w:t xml:space="preserve"> </w:t>
      </w:r>
      <w:r>
        <w:rPr>
          <w:b/>
          <w:color w:val="231F20"/>
          <w:sz w:val="12"/>
        </w:rPr>
        <w:t>a</w:t>
      </w:r>
      <w:r>
        <w:rPr>
          <w:b/>
          <w:color w:val="231F20"/>
          <w:spacing w:val="-8"/>
          <w:sz w:val="12"/>
        </w:rPr>
        <w:t xml:space="preserve"> </w:t>
      </w:r>
      <w:r>
        <w:rPr>
          <w:b/>
          <w:color w:val="231F20"/>
          <w:spacing w:val="-4"/>
          <w:sz w:val="12"/>
        </w:rPr>
        <w:t xml:space="preserve">stě- </w:t>
      </w:r>
      <w:r>
        <w:rPr>
          <w:b/>
          <w:color w:val="231F20"/>
          <w:sz w:val="12"/>
        </w:rPr>
        <w:t xml:space="preserve">ny hrudní </w:t>
      </w:r>
      <w:r>
        <w:rPr>
          <w:color w:val="231F20"/>
          <w:sz w:val="12"/>
        </w:rPr>
        <w:t>klinicky</w:t>
      </w:r>
      <w:r>
        <w:rPr>
          <w:color w:val="231F20"/>
          <w:spacing w:val="-5"/>
          <w:sz w:val="12"/>
        </w:rPr>
        <w:t xml:space="preserve"> </w:t>
      </w:r>
      <w:r>
        <w:rPr>
          <w:color w:val="231F20"/>
          <w:sz w:val="12"/>
        </w:rPr>
        <w:t>ověřené</w:t>
      </w:r>
    </w:p>
    <w:p w14:paraId="1EA8AC7A" w14:textId="77777777" w:rsidR="00F65BCA" w:rsidRDefault="00216117">
      <w:pPr>
        <w:pStyle w:val="Odstavecseseznamem"/>
        <w:numPr>
          <w:ilvl w:val="0"/>
          <w:numId w:val="35"/>
        </w:numPr>
        <w:tabs>
          <w:tab w:val="left" w:pos="456"/>
        </w:tabs>
        <w:spacing w:before="32"/>
        <w:ind w:hanging="273"/>
        <w:rPr>
          <w:sz w:val="12"/>
        </w:rPr>
      </w:pPr>
      <w:r>
        <w:rPr>
          <w:color w:val="231F20"/>
          <w:sz w:val="12"/>
        </w:rPr>
        <w:t>lehkého</w:t>
      </w:r>
      <w:r>
        <w:rPr>
          <w:color w:val="231F20"/>
          <w:spacing w:val="-1"/>
          <w:sz w:val="12"/>
        </w:rPr>
        <w:t xml:space="preserve"> </w:t>
      </w:r>
      <w:r>
        <w:rPr>
          <w:color w:val="231F20"/>
          <w:sz w:val="12"/>
        </w:rPr>
        <w:t>stupně</w:t>
      </w:r>
    </w:p>
    <w:p w14:paraId="47ED946B" w14:textId="77777777" w:rsidR="00F65BCA" w:rsidRDefault="00216117">
      <w:pPr>
        <w:pStyle w:val="Odstavecseseznamem"/>
        <w:numPr>
          <w:ilvl w:val="0"/>
          <w:numId w:val="35"/>
        </w:numPr>
        <w:tabs>
          <w:tab w:val="left" w:pos="456"/>
        </w:tabs>
        <w:spacing w:before="38"/>
        <w:ind w:hanging="273"/>
        <w:rPr>
          <w:sz w:val="12"/>
        </w:rPr>
      </w:pPr>
      <w:r>
        <w:rPr>
          <w:color w:val="231F20"/>
          <w:sz w:val="12"/>
        </w:rPr>
        <w:t>středního</w:t>
      </w:r>
      <w:r>
        <w:rPr>
          <w:color w:val="231F20"/>
          <w:spacing w:val="-1"/>
          <w:sz w:val="12"/>
        </w:rPr>
        <w:t xml:space="preserve"> </w:t>
      </w:r>
      <w:r>
        <w:rPr>
          <w:color w:val="231F20"/>
          <w:sz w:val="12"/>
        </w:rPr>
        <w:t>stupně</w:t>
      </w:r>
    </w:p>
    <w:p w14:paraId="0063AD62" w14:textId="77777777" w:rsidR="00F65BCA" w:rsidRDefault="00216117">
      <w:pPr>
        <w:pStyle w:val="Odstavecseseznamem"/>
        <w:numPr>
          <w:ilvl w:val="0"/>
          <w:numId w:val="35"/>
        </w:numPr>
        <w:tabs>
          <w:tab w:val="left" w:pos="456"/>
        </w:tabs>
        <w:spacing w:before="37"/>
        <w:ind w:hanging="273"/>
        <w:rPr>
          <w:sz w:val="12"/>
        </w:rPr>
      </w:pPr>
      <w:r>
        <w:rPr>
          <w:color w:val="231F20"/>
          <w:sz w:val="12"/>
        </w:rPr>
        <w:t>těžkého</w:t>
      </w:r>
      <w:r>
        <w:rPr>
          <w:color w:val="231F20"/>
          <w:spacing w:val="-1"/>
          <w:sz w:val="12"/>
        </w:rPr>
        <w:t xml:space="preserve"> </w:t>
      </w:r>
      <w:r>
        <w:rPr>
          <w:color w:val="231F20"/>
          <w:sz w:val="12"/>
        </w:rPr>
        <w:t>stupně</w:t>
      </w:r>
    </w:p>
    <w:p w14:paraId="0AFF3A48" w14:textId="77777777" w:rsidR="00F65BCA" w:rsidRDefault="00216117">
      <w:pPr>
        <w:spacing w:before="34" w:line="249" w:lineRule="auto"/>
        <w:ind w:left="455" w:right="127"/>
        <w:rPr>
          <w:sz w:val="12"/>
        </w:rPr>
      </w:pPr>
      <w:r>
        <w:rPr>
          <w:color w:val="231F20"/>
          <w:sz w:val="12"/>
        </w:rPr>
        <w:t xml:space="preserve">Poškození </w:t>
      </w:r>
      <w:r>
        <w:rPr>
          <w:b/>
          <w:color w:val="231F20"/>
          <w:sz w:val="12"/>
        </w:rPr>
        <w:t xml:space="preserve">plic </w:t>
      </w:r>
      <w:r>
        <w:rPr>
          <w:color w:val="231F20"/>
          <w:sz w:val="12"/>
        </w:rPr>
        <w:t xml:space="preserve">podle stupně porušení </w:t>
      </w:r>
      <w:r>
        <w:rPr>
          <w:color w:val="231F20"/>
          <w:spacing w:val="-3"/>
          <w:sz w:val="12"/>
        </w:rPr>
        <w:t xml:space="preserve">funkce </w:t>
      </w:r>
      <w:r>
        <w:rPr>
          <w:color w:val="231F20"/>
          <w:sz w:val="12"/>
        </w:rPr>
        <w:t>a rozsahu, podložené odborným vyšetřením</w:t>
      </w:r>
    </w:p>
    <w:p w14:paraId="7C6BA00A" w14:textId="77777777" w:rsidR="00F65BCA" w:rsidRDefault="00216117">
      <w:pPr>
        <w:pStyle w:val="Odstavecseseznamem"/>
        <w:numPr>
          <w:ilvl w:val="0"/>
          <w:numId w:val="35"/>
        </w:numPr>
        <w:tabs>
          <w:tab w:val="left" w:pos="456"/>
        </w:tabs>
        <w:spacing w:before="32"/>
        <w:ind w:hanging="273"/>
        <w:rPr>
          <w:sz w:val="12"/>
        </w:rPr>
      </w:pPr>
      <w:r>
        <w:rPr>
          <w:color w:val="231F20"/>
          <w:sz w:val="12"/>
        </w:rPr>
        <w:t>jednostranné</w:t>
      </w:r>
    </w:p>
    <w:p w14:paraId="47E79D94" w14:textId="77777777" w:rsidR="00F65BCA" w:rsidRDefault="00216117">
      <w:pPr>
        <w:pStyle w:val="Odstavecseseznamem"/>
        <w:numPr>
          <w:ilvl w:val="0"/>
          <w:numId w:val="35"/>
        </w:numPr>
        <w:tabs>
          <w:tab w:val="left" w:pos="456"/>
        </w:tabs>
        <w:spacing w:before="43"/>
        <w:ind w:hanging="273"/>
        <w:rPr>
          <w:sz w:val="12"/>
        </w:rPr>
      </w:pPr>
      <w:r>
        <w:rPr>
          <w:color w:val="231F20"/>
          <w:sz w:val="12"/>
        </w:rPr>
        <w:t>oboustranné</w:t>
      </w:r>
    </w:p>
    <w:p w14:paraId="1B950E5C" w14:textId="77777777" w:rsidR="00F65BCA" w:rsidRDefault="00216117">
      <w:pPr>
        <w:pStyle w:val="Odstavecseseznamem"/>
        <w:numPr>
          <w:ilvl w:val="0"/>
          <w:numId w:val="35"/>
        </w:numPr>
        <w:tabs>
          <w:tab w:val="left" w:pos="456"/>
        </w:tabs>
        <w:spacing w:before="30" w:line="242" w:lineRule="auto"/>
        <w:ind w:right="118"/>
        <w:rPr>
          <w:sz w:val="12"/>
        </w:rPr>
      </w:pPr>
      <w:r>
        <w:rPr>
          <w:color w:val="231F20"/>
          <w:sz w:val="12"/>
        </w:rPr>
        <w:t>Poruchy</w:t>
      </w:r>
      <w:r>
        <w:rPr>
          <w:color w:val="231F20"/>
          <w:spacing w:val="-11"/>
          <w:sz w:val="12"/>
        </w:rPr>
        <w:t xml:space="preserve"> </w:t>
      </w:r>
      <w:r>
        <w:rPr>
          <w:color w:val="231F20"/>
          <w:sz w:val="12"/>
        </w:rPr>
        <w:t>srdeční</w:t>
      </w:r>
      <w:r>
        <w:rPr>
          <w:color w:val="231F20"/>
          <w:spacing w:val="-11"/>
          <w:sz w:val="12"/>
        </w:rPr>
        <w:t xml:space="preserve"> </w:t>
      </w:r>
      <w:r>
        <w:rPr>
          <w:color w:val="231F20"/>
          <w:sz w:val="12"/>
        </w:rPr>
        <w:t>a</w:t>
      </w:r>
      <w:r>
        <w:rPr>
          <w:color w:val="231F20"/>
          <w:spacing w:val="-11"/>
          <w:sz w:val="12"/>
        </w:rPr>
        <w:t xml:space="preserve"> </w:t>
      </w:r>
      <w:r>
        <w:rPr>
          <w:color w:val="231F20"/>
          <w:sz w:val="12"/>
        </w:rPr>
        <w:t>cévní</w:t>
      </w:r>
      <w:r>
        <w:rPr>
          <w:color w:val="231F20"/>
          <w:spacing w:val="-11"/>
          <w:sz w:val="12"/>
        </w:rPr>
        <w:t xml:space="preserve"> </w:t>
      </w:r>
      <w:r>
        <w:rPr>
          <w:color w:val="231F20"/>
          <w:sz w:val="12"/>
        </w:rPr>
        <w:t>(pouze</w:t>
      </w:r>
      <w:r>
        <w:rPr>
          <w:color w:val="231F20"/>
          <w:spacing w:val="-11"/>
          <w:sz w:val="12"/>
        </w:rPr>
        <w:t xml:space="preserve"> </w:t>
      </w:r>
      <w:r>
        <w:rPr>
          <w:color w:val="231F20"/>
          <w:sz w:val="12"/>
        </w:rPr>
        <w:t>po</w:t>
      </w:r>
      <w:r>
        <w:rPr>
          <w:color w:val="231F20"/>
          <w:spacing w:val="-11"/>
          <w:sz w:val="12"/>
        </w:rPr>
        <w:t xml:space="preserve"> </w:t>
      </w:r>
      <w:r>
        <w:rPr>
          <w:color w:val="231F20"/>
          <w:sz w:val="12"/>
        </w:rPr>
        <w:t>přímém</w:t>
      </w:r>
      <w:r>
        <w:rPr>
          <w:color w:val="231F20"/>
          <w:spacing w:val="-11"/>
          <w:sz w:val="12"/>
        </w:rPr>
        <w:t xml:space="preserve"> </w:t>
      </w:r>
      <w:r>
        <w:rPr>
          <w:color w:val="231F20"/>
          <w:spacing w:val="-6"/>
          <w:sz w:val="12"/>
        </w:rPr>
        <w:t xml:space="preserve">po- </w:t>
      </w:r>
      <w:r>
        <w:rPr>
          <w:color w:val="231F20"/>
          <w:sz w:val="12"/>
        </w:rPr>
        <w:t>ranění)</w:t>
      </w:r>
      <w:r>
        <w:rPr>
          <w:color w:val="231F20"/>
          <w:spacing w:val="-18"/>
          <w:sz w:val="12"/>
        </w:rPr>
        <w:t xml:space="preserve"> </w:t>
      </w:r>
      <w:r>
        <w:rPr>
          <w:color w:val="231F20"/>
          <w:sz w:val="12"/>
        </w:rPr>
        <w:t>klinicky</w:t>
      </w:r>
      <w:r>
        <w:rPr>
          <w:color w:val="231F20"/>
          <w:spacing w:val="-18"/>
          <w:sz w:val="12"/>
        </w:rPr>
        <w:t xml:space="preserve"> </w:t>
      </w:r>
      <w:r>
        <w:rPr>
          <w:color w:val="231F20"/>
          <w:sz w:val="12"/>
        </w:rPr>
        <w:t>ověřené</w:t>
      </w:r>
      <w:r>
        <w:rPr>
          <w:color w:val="231F20"/>
          <w:spacing w:val="-18"/>
          <w:sz w:val="12"/>
        </w:rPr>
        <w:t xml:space="preserve"> </w:t>
      </w:r>
      <w:r>
        <w:rPr>
          <w:color w:val="231F20"/>
          <w:sz w:val="12"/>
        </w:rPr>
        <w:t>podle</w:t>
      </w:r>
      <w:r>
        <w:rPr>
          <w:color w:val="231F20"/>
          <w:spacing w:val="-18"/>
          <w:sz w:val="12"/>
        </w:rPr>
        <w:t xml:space="preserve"> </w:t>
      </w:r>
      <w:r>
        <w:rPr>
          <w:color w:val="231F20"/>
          <w:sz w:val="12"/>
        </w:rPr>
        <w:t>stupně</w:t>
      </w:r>
      <w:r>
        <w:rPr>
          <w:color w:val="231F20"/>
          <w:spacing w:val="-18"/>
          <w:sz w:val="12"/>
        </w:rPr>
        <w:t xml:space="preserve"> </w:t>
      </w:r>
      <w:r>
        <w:rPr>
          <w:color w:val="231F20"/>
          <w:sz w:val="12"/>
        </w:rPr>
        <w:t>porušení</w:t>
      </w:r>
    </w:p>
    <w:p w14:paraId="40549FDC" w14:textId="77777777" w:rsidR="00F65BCA" w:rsidRDefault="00216117">
      <w:pPr>
        <w:pStyle w:val="Odstavecseseznamem"/>
        <w:numPr>
          <w:ilvl w:val="0"/>
          <w:numId w:val="35"/>
        </w:numPr>
        <w:tabs>
          <w:tab w:val="left" w:pos="456"/>
        </w:tabs>
        <w:spacing w:before="41"/>
        <w:ind w:hanging="273"/>
        <w:rPr>
          <w:sz w:val="12"/>
        </w:rPr>
      </w:pPr>
      <w:r>
        <w:rPr>
          <w:color w:val="231F20"/>
          <w:sz w:val="12"/>
        </w:rPr>
        <w:t>Píštěl</w:t>
      </w:r>
      <w:r>
        <w:rPr>
          <w:color w:val="231F20"/>
          <w:spacing w:val="-1"/>
          <w:sz w:val="12"/>
        </w:rPr>
        <w:t xml:space="preserve"> </w:t>
      </w:r>
      <w:r>
        <w:rPr>
          <w:color w:val="231F20"/>
          <w:sz w:val="12"/>
        </w:rPr>
        <w:t>jícnu</w:t>
      </w:r>
    </w:p>
    <w:p w14:paraId="09859CDB" w14:textId="77777777" w:rsidR="00F65BCA" w:rsidRDefault="00216117">
      <w:pPr>
        <w:spacing w:before="32" w:line="295" w:lineRule="auto"/>
        <w:ind w:left="183" w:right="1742" w:firstLine="271"/>
        <w:rPr>
          <w:sz w:val="12"/>
        </w:rPr>
      </w:pPr>
      <w:r>
        <w:rPr>
          <w:color w:val="231F20"/>
          <w:sz w:val="12"/>
        </w:rPr>
        <w:t xml:space="preserve">Zúžení </w:t>
      </w:r>
      <w:r>
        <w:rPr>
          <w:b/>
          <w:color w:val="231F20"/>
          <w:sz w:val="12"/>
        </w:rPr>
        <w:t xml:space="preserve">jícnu 077 </w:t>
      </w:r>
      <w:r>
        <w:rPr>
          <w:color w:val="231F20"/>
          <w:sz w:val="12"/>
        </w:rPr>
        <w:t>lehkého stupně</w:t>
      </w:r>
    </w:p>
    <w:p w14:paraId="65DF408B" w14:textId="77777777" w:rsidR="00F65BCA" w:rsidRDefault="00216117">
      <w:pPr>
        <w:pStyle w:val="Odstavecseseznamem"/>
        <w:numPr>
          <w:ilvl w:val="0"/>
          <w:numId w:val="34"/>
        </w:numPr>
        <w:tabs>
          <w:tab w:val="left" w:pos="456"/>
        </w:tabs>
        <w:spacing w:before="1"/>
        <w:ind w:hanging="273"/>
        <w:rPr>
          <w:sz w:val="12"/>
        </w:rPr>
      </w:pPr>
      <w:r>
        <w:rPr>
          <w:color w:val="231F20"/>
          <w:sz w:val="12"/>
        </w:rPr>
        <w:t>středního</w:t>
      </w:r>
      <w:r>
        <w:rPr>
          <w:color w:val="231F20"/>
          <w:spacing w:val="-1"/>
          <w:sz w:val="12"/>
        </w:rPr>
        <w:t xml:space="preserve"> </w:t>
      </w:r>
      <w:r>
        <w:rPr>
          <w:color w:val="231F20"/>
          <w:sz w:val="12"/>
        </w:rPr>
        <w:t>stupně</w:t>
      </w:r>
    </w:p>
    <w:p w14:paraId="40BBFD2C" w14:textId="77777777" w:rsidR="00F65BCA" w:rsidRDefault="00216117">
      <w:pPr>
        <w:pStyle w:val="Odstavecseseznamem"/>
        <w:numPr>
          <w:ilvl w:val="0"/>
          <w:numId w:val="34"/>
        </w:numPr>
        <w:tabs>
          <w:tab w:val="left" w:pos="456"/>
        </w:tabs>
        <w:spacing w:before="36"/>
        <w:ind w:hanging="273"/>
        <w:rPr>
          <w:sz w:val="12"/>
        </w:rPr>
      </w:pPr>
      <w:r>
        <w:rPr>
          <w:color w:val="231F20"/>
          <w:position w:val="1"/>
          <w:sz w:val="12"/>
        </w:rPr>
        <w:t>těžkého</w:t>
      </w:r>
      <w:r>
        <w:rPr>
          <w:color w:val="231F20"/>
          <w:spacing w:val="-1"/>
          <w:position w:val="1"/>
          <w:sz w:val="12"/>
        </w:rPr>
        <w:t xml:space="preserve"> </w:t>
      </w:r>
      <w:r>
        <w:rPr>
          <w:color w:val="231F20"/>
          <w:position w:val="1"/>
          <w:sz w:val="12"/>
        </w:rPr>
        <w:t>stupně</w:t>
      </w:r>
    </w:p>
    <w:p w14:paraId="06EC5150" w14:textId="77777777" w:rsidR="00F65BCA" w:rsidRDefault="00F65BCA">
      <w:pPr>
        <w:pStyle w:val="Zkladntext"/>
        <w:spacing w:before="10"/>
        <w:rPr>
          <w:sz w:val="12"/>
        </w:rPr>
      </w:pPr>
    </w:p>
    <w:p w14:paraId="32F812C0" w14:textId="77777777" w:rsidR="00F65BCA" w:rsidRDefault="00216117">
      <w:pPr>
        <w:ind w:left="434" w:right="19"/>
        <w:jc w:val="center"/>
        <w:rPr>
          <w:b/>
          <w:sz w:val="14"/>
        </w:rPr>
      </w:pPr>
      <w:r>
        <w:rPr>
          <w:b/>
          <w:color w:val="231F20"/>
          <w:sz w:val="14"/>
        </w:rPr>
        <w:t>BŘICHO</w:t>
      </w:r>
    </w:p>
    <w:p w14:paraId="71F41B6D" w14:textId="77777777" w:rsidR="00F65BCA" w:rsidRDefault="00216117">
      <w:pPr>
        <w:pStyle w:val="Odstavecseseznamem"/>
        <w:numPr>
          <w:ilvl w:val="0"/>
          <w:numId w:val="34"/>
        </w:numPr>
        <w:tabs>
          <w:tab w:val="left" w:pos="456"/>
        </w:tabs>
        <w:spacing w:before="57" w:line="232" w:lineRule="auto"/>
        <w:ind w:right="163"/>
        <w:rPr>
          <w:sz w:val="12"/>
        </w:rPr>
      </w:pPr>
      <w:r>
        <w:rPr>
          <w:color w:val="231F20"/>
          <w:w w:val="95"/>
          <w:position w:val="1"/>
          <w:sz w:val="12"/>
        </w:rPr>
        <w:t>Poškození břišní stěny provázené poškozením</w:t>
      </w:r>
      <w:r>
        <w:rPr>
          <w:color w:val="231F20"/>
          <w:w w:val="95"/>
          <w:sz w:val="12"/>
        </w:rPr>
        <w:t xml:space="preserve"> </w:t>
      </w:r>
      <w:r>
        <w:rPr>
          <w:color w:val="231F20"/>
          <w:sz w:val="12"/>
        </w:rPr>
        <w:t>břišního</w:t>
      </w:r>
      <w:r>
        <w:rPr>
          <w:color w:val="231F20"/>
          <w:spacing w:val="-1"/>
          <w:sz w:val="12"/>
        </w:rPr>
        <w:t xml:space="preserve"> </w:t>
      </w:r>
      <w:r>
        <w:rPr>
          <w:color w:val="231F20"/>
          <w:sz w:val="12"/>
        </w:rPr>
        <w:t>lisu</w:t>
      </w:r>
    </w:p>
    <w:p w14:paraId="3CCD0FF8" w14:textId="77777777" w:rsidR="00F65BCA" w:rsidRDefault="00216117">
      <w:pPr>
        <w:pStyle w:val="Odstavecseseznamem"/>
        <w:numPr>
          <w:ilvl w:val="0"/>
          <w:numId w:val="34"/>
        </w:numPr>
        <w:tabs>
          <w:tab w:val="left" w:pos="456"/>
        </w:tabs>
        <w:spacing w:before="46" w:line="232" w:lineRule="auto"/>
        <w:ind w:right="143"/>
        <w:rPr>
          <w:sz w:val="12"/>
        </w:rPr>
      </w:pPr>
      <w:r>
        <w:rPr>
          <w:color w:val="231F20"/>
          <w:position w:val="1"/>
          <w:sz w:val="12"/>
        </w:rPr>
        <w:t>Porušení</w:t>
      </w:r>
      <w:r>
        <w:rPr>
          <w:color w:val="231F20"/>
          <w:spacing w:val="-16"/>
          <w:position w:val="1"/>
          <w:sz w:val="12"/>
        </w:rPr>
        <w:t xml:space="preserve"> </w:t>
      </w:r>
      <w:r>
        <w:rPr>
          <w:color w:val="231F20"/>
          <w:position w:val="1"/>
          <w:sz w:val="12"/>
        </w:rPr>
        <w:t>funkce</w:t>
      </w:r>
      <w:r>
        <w:rPr>
          <w:color w:val="231F20"/>
          <w:spacing w:val="-16"/>
          <w:position w:val="1"/>
          <w:sz w:val="12"/>
        </w:rPr>
        <w:t xml:space="preserve"> </w:t>
      </w:r>
      <w:r>
        <w:rPr>
          <w:color w:val="231F20"/>
          <w:position w:val="1"/>
          <w:sz w:val="12"/>
        </w:rPr>
        <w:t>trávících</w:t>
      </w:r>
      <w:r>
        <w:rPr>
          <w:color w:val="231F20"/>
          <w:spacing w:val="-16"/>
          <w:position w:val="1"/>
          <w:sz w:val="12"/>
        </w:rPr>
        <w:t xml:space="preserve"> </w:t>
      </w:r>
      <w:r>
        <w:rPr>
          <w:color w:val="231F20"/>
          <w:position w:val="1"/>
          <w:sz w:val="12"/>
        </w:rPr>
        <w:t>orgánů</w:t>
      </w:r>
      <w:r>
        <w:rPr>
          <w:color w:val="231F20"/>
          <w:spacing w:val="-16"/>
          <w:position w:val="1"/>
          <w:sz w:val="12"/>
        </w:rPr>
        <w:t xml:space="preserve"> </w:t>
      </w:r>
      <w:r>
        <w:rPr>
          <w:color w:val="231F20"/>
          <w:position w:val="1"/>
          <w:sz w:val="12"/>
        </w:rPr>
        <w:t>podle</w:t>
      </w:r>
      <w:r>
        <w:rPr>
          <w:color w:val="231F20"/>
          <w:spacing w:val="-15"/>
          <w:position w:val="1"/>
          <w:sz w:val="12"/>
        </w:rPr>
        <w:t xml:space="preserve"> </w:t>
      </w:r>
      <w:r>
        <w:rPr>
          <w:color w:val="231F20"/>
          <w:spacing w:val="-3"/>
          <w:position w:val="1"/>
          <w:sz w:val="12"/>
        </w:rPr>
        <w:t>stupně</w:t>
      </w:r>
      <w:r>
        <w:rPr>
          <w:color w:val="231F20"/>
          <w:spacing w:val="-3"/>
          <w:sz w:val="12"/>
        </w:rPr>
        <w:t xml:space="preserve"> </w:t>
      </w:r>
      <w:r>
        <w:rPr>
          <w:color w:val="231F20"/>
          <w:sz w:val="12"/>
        </w:rPr>
        <w:t>poruchy</w:t>
      </w:r>
      <w:r>
        <w:rPr>
          <w:color w:val="231F20"/>
          <w:spacing w:val="-1"/>
          <w:sz w:val="12"/>
        </w:rPr>
        <w:t xml:space="preserve"> </w:t>
      </w:r>
      <w:r>
        <w:rPr>
          <w:color w:val="231F20"/>
          <w:sz w:val="12"/>
        </w:rPr>
        <w:t>výživy</w:t>
      </w:r>
    </w:p>
    <w:p w14:paraId="21EA822D" w14:textId="77777777" w:rsidR="00F65BCA" w:rsidRDefault="00216117">
      <w:pPr>
        <w:spacing w:before="43" w:line="314" w:lineRule="auto"/>
        <w:ind w:left="183" w:right="110" w:firstLine="271"/>
        <w:rPr>
          <w:sz w:val="12"/>
        </w:rPr>
      </w:pPr>
      <w:r>
        <w:rPr>
          <w:color w:val="231F20"/>
          <w:sz w:val="12"/>
        </w:rPr>
        <w:t xml:space="preserve">Ztráta </w:t>
      </w:r>
      <w:r>
        <w:rPr>
          <w:b/>
          <w:color w:val="231F20"/>
          <w:sz w:val="12"/>
        </w:rPr>
        <w:t xml:space="preserve">sleziny včetně souvisejících obtíží 082 </w:t>
      </w:r>
      <w:r>
        <w:rPr>
          <w:color w:val="231F20"/>
          <w:sz w:val="12"/>
        </w:rPr>
        <w:t>částečná</w:t>
      </w:r>
    </w:p>
    <w:p w14:paraId="3C90AD19" w14:textId="77777777" w:rsidR="00F65BCA" w:rsidRDefault="00216117">
      <w:pPr>
        <w:pStyle w:val="Odstavecseseznamem"/>
        <w:numPr>
          <w:ilvl w:val="0"/>
          <w:numId w:val="33"/>
        </w:numPr>
        <w:tabs>
          <w:tab w:val="left" w:pos="456"/>
        </w:tabs>
        <w:spacing w:before="1"/>
        <w:ind w:hanging="273"/>
        <w:rPr>
          <w:sz w:val="12"/>
        </w:rPr>
      </w:pPr>
      <w:r>
        <w:rPr>
          <w:color w:val="231F20"/>
          <w:sz w:val="12"/>
        </w:rPr>
        <w:t>úplná</w:t>
      </w:r>
    </w:p>
    <w:p w14:paraId="154D6D21" w14:textId="77777777" w:rsidR="00F65BCA" w:rsidRDefault="00216117">
      <w:pPr>
        <w:pStyle w:val="Odstavecseseznamem"/>
        <w:numPr>
          <w:ilvl w:val="0"/>
          <w:numId w:val="33"/>
        </w:numPr>
        <w:tabs>
          <w:tab w:val="left" w:pos="456"/>
        </w:tabs>
        <w:spacing w:before="41"/>
        <w:ind w:right="330"/>
        <w:rPr>
          <w:sz w:val="12"/>
        </w:rPr>
      </w:pPr>
      <w:r>
        <w:rPr>
          <w:color w:val="231F20"/>
          <w:sz w:val="12"/>
        </w:rPr>
        <w:t>Poškození</w:t>
      </w:r>
      <w:r>
        <w:rPr>
          <w:color w:val="231F20"/>
          <w:spacing w:val="-22"/>
          <w:sz w:val="12"/>
        </w:rPr>
        <w:t xml:space="preserve"> </w:t>
      </w:r>
      <w:r>
        <w:rPr>
          <w:color w:val="231F20"/>
          <w:sz w:val="12"/>
        </w:rPr>
        <w:t>tlustého</w:t>
      </w:r>
      <w:r>
        <w:rPr>
          <w:color w:val="231F20"/>
          <w:spacing w:val="-22"/>
          <w:sz w:val="12"/>
        </w:rPr>
        <w:t xml:space="preserve"> </w:t>
      </w:r>
      <w:r>
        <w:rPr>
          <w:color w:val="231F20"/>
          <w:sz w:val="12"/>
        </w:rPr>
        <w:t>střeva</w:t>
      </w:r>
      <w:r>
        <w:rPr>
          <w:color w:val="231F20"/>
          <w:spacing w:val="-22"/>
          <w:sz w:val="12"/>
        </w:rPr>
        <w:t xml:space="preserve"> </w:t>
      </w:r>
      <w:r>
        <w:rPr>
          <w:color w:val="231F20"/>
          <w:sz w:val="12"/>
        </w:rPr>
        <w:t>nebo</w:t>
      </w:r>
      <w:r>
        <w:rPr>
          <w:color w:val="231F20"/>
          <w:spacing w:val="-21"/>
          <w:sz w:val="12"/>
        </w:rPr>
        <w:t xml:space="preserve"> </w:t>
      </w:r>
      <w:r>
        <w:rPr>
          <w:color w:val="231F20"/>
          <w:sz w:val="12"/>
        </w:rPr>
        <w:t>konečníku, včetně souvisejících</w:t>
      </w:r>
      <w:r>
        <w:rPr>
          <w:color w:val="231F20"/>
          <w:spacing w:val="-6"/>
          <w:sz w:val="12"/>
        </w:rPr>
        <w:t xml:space="preserve"> </w:t>
      </w:r>
      <w:r>
        <w:rPr>
          <w:color w:val="231F20"/>
          <w:sz w:val="12"/>
        </w:rPr>
        <w:t>obtíží</w:t>
      </w:r>
    </w:p>
    <w:p w14:paraId="566044AF" w14:textId="77777777" w:rsidR="00F65BCA" w:rsidRDefault="00216117">
      <w:pPr>
        <w:spacing w:before="61"/>
        <w:ind w:left="434" w:right="19"/>
        <w:jc w:val="center"/>
        <w:rPr>
          <w:b/>
          <w:sz w:val="14"/>
        </w:rPr>
      </w:pPr>
      <w:r>
        <w:rPr>
          <w:b/>
          <w:color w:val="231F20"/>
          <w:sz w:val="14"/>
        </w:rPr>
        <w:t>LEDVINY</w:t>
      </w:r>
    </w:p>
    <w:p w14:paraId="4637C22B" w14:textId="77777777" w:rsidR="00F65BCA" w:rsidRDefault="00216117">
      <w:pPr>
        <w:pStyle w:val="Odstavecseseznamem"/>
        <w:numPr>
          <w:ilvl w:val="0"/>
          <w:numId w:val="33"/>
        </w:numPr>
        <w:tabs>
          <w:tab w:val="left" w:pos="456"/>
        </w:tabs>
        <w:spacing w:before="63" w:line="249" w:lineRule="auto"/>
        <w:ind w:right="412"/>
        <w:rPr>
          <w:sz w:val="12"/>
        </w:rPr>
      </w:pPr>
      <w:r>
        <w:rPr>
          <w:color w:val="231F20"/>
          <w:sz w:val="12"/>
        </w:rPr>
        <w:t>Ztráta</w:t>
      </w:r>
      <w:r>
        <w:rPr>
          <w:color w:val="231F20"/>
          <w:spacing w:val="-10"/>
          <w:sz w:val="12"/>
        </w:rPr>
        <w:t xml:space="preserve"> </w:t>
      </w:r>
      <w:r>
        <w:rPr>
          <w:color w:val="231F20"/>
          <w:sz w:val="12"/>
        </w:rPr>
        <w:t>části</w:t>
      </w:r>
      <w:r>
        <w:rPr>
          <w:color w:val="231F20"/>
          <w:spacing w:val="-10"/>
          <w:sz w:val="12"/>
        </w:rPr>
        <w:t xml:space="preserve"> </w:t>
      </w:r>
      <w:r>
        <w:rPr>
          <w:color w:val="231F20"/>
          <w:sz w:val="12"/>
        </w:rPr>
        <w:t>ledviny</w:t>
      </w:r>
      <w:r>
        <w:rPr>
          <w:color w:val="231F20"/>
          <w:spacing w:val="-9"/>
          <w:sz w:val="12"/>
        </w:rPr>
        <w:t xml:space="preserve"> </w:t>
      </w:r>
      <w:r>
        <w:rPr>
          <w:color w:val="231F20"/>
          <w:sz w:val="12"/>
        </w:rPr>
        <w:t>podle</w:t>
      </w:r>
      <w:r>
        <w:rPr>
          <w:color w:val="231F20"/>
          <w:spacing w:val="-10"/>
          <w:sz w:val="12"/>
        </w:rPr>
        <w:t xml:space="preserve"> </w:t>
      </w:r>
      <w:r>
        <w:rPr>
          <w:color w:val="231F20"/>
          <w:sz w:val="12"/>
        </w:rPr>
        <w:t>stupně</w:t>
      </w:r>
      <w:r>
        <w:rPr>
          <w:color w:val="231F20"/>
          <w:spacing w:val="-10"/>
          <w:sz w:val="12"/>
        </w:rPr>
        <w:t xml:space="preserve"> </w:t>
      </w:r>
      <w:r>
        <w:rPr>
          <w:color w:val="231F20"/>
          <w:spacing w:val="-3"/>
          <w:sz w:val="12"/>
        </w:rPr>
        <w:t xml:space="preserve">poruchy </w:t>
      </w:r>
      <w:r>
        <w:rPr>
          <w:color w:val="231F20"/>
          <w:sz w:val="12"/>
        </w:rPr>
        <w:t>funkce</w:t>
      </w:r>
      <w:r>
        <w:rPr>
          <w:color w:val="231F20"/>
          <w:spacing w:val="-1"/>
          <w:sz w:val="12"/>
        </w:rPr>
        <w:t xml:space="preserve"> </w:t>
      </w:r>
      <w:r>
        <w:rPr>
          <w:color w:val="231F20"/>
          <w:sz w:val="12"/>
        </w:rPr>
        <w:t>ledviny</w:t>
      </w:r>
    </w:p>
    <w:p w14:paraId="6420C83B" w14:textId="77777777" w:rsidR="00F65BCA" w:rsidRDefault="00216117">
      <w:pPr>
        <w:spacing w:before="47"/>
        <w:ind w:left="455"/>
        <w:rPr>
          <w:sz w:val="12"/>
        </w:rPr>
      </w:pPr>
      <w:r>
        <w:rPr>
          <w:color w:val="231F20"/>
          <w:sz w:val="12"/>
        </w:rPr>
        <w:t>Ztráta jedné ledviny</w:t>
      </w:r>
    </w:p>
    <w:p w14:paraId="58AE6CC1" w14:textId="77777777" w:rsidR="00F65BCA" w:rsidRDefault="00216117">
      <w:pPr>
        <w:pStyle w:val="Zkladntext"/>
        <w:rPr>
          <w:sz w:val="14"/>
        </w:rPr>
      </w:pPr>
      <w:r>
        <w:br w:type="column"/>
      </w:r>
    </w:p>
    <w:p w14:paraId="368F027A" w14:textId="77777777" w:rsidR="00F65BCA" w:rsidRDefault="00F65BCA">
      <w:pPr>
        <w:pStyle w:val="Zkladntext"/>
        <w:rPr>
          <w:sz w:val="14"/>
        </w:rPr>
      </w:pPr>
    </w:p>
    <w:p w14:paraId="275EDE69" w14:textId="77777777" w:rsidR="00F65BCA" w:rsidRDefault="00F65BCA">
      <w:pPr>
        <w:pStyle w:val="Zkladntext"/>
        <w:rPr>
          <w:sz w:val="14"/>
        </w:rPr>
      </w:pPr>
    </w:p>
    <w:p w14:paraId="7D871EAF" w14:textId="77777777" w:rsidR="00F65BCA" w:rsidRDefault="00F65BCA">
      <w:pPr>
        <w:pStyle w:val="Zkladntext"/>
        <w:spacing w:before="3"/>
        <w:rPr>
          <w:sz w:val="20"/>
        </w:rPr>
      </w:pPr>
    </w:p>
    <w:p w14:paraId="43B116C9" w14:textId="77777777" w:rsidR="00F65BCA" w:rsidRDefault="00216117">
      <w:pPr>
        <w:ind w:right="38"/>
        <w:jc w:val="right"/>
        <w:rPr>
          <w:sz w:val="12"/>
        </w:rPr>
      </w:pPr>
      <w:r>
        <w:rPr>
          <w:color w:val="231F20"/>
          <w:sz w:val="12"/>
        </w:rPr>
        <w:t>1</w:t>
      </w:r>
      <w:r>
        <w:rPr>
          <w:color w:val="231F20"/>
          <w:spacing w:val="-20"/>
          <w:sz w:val="12"/>
        </w:rPr>
        <w:t xml:space="preserve"> </w:t>
      </w:r>
      <w:r>
        <w:rPr>
          <w:color w:val="231F20"/>
          <w:sz w:val="12"/>
        </w:rPr>
        <w:t>%</w:t>
      </w:r>
    </w:p>
    <w:p w14:paraId="7BC3F68E" w14:textId="77777777" w:rsidR="00F65BCA" w:rsidRDefault="00216117">
      <w:pPr>
        <w:spacing w:before="38"/>
        <w:ind w:right="38"/>
        <w:jc w:val="right"/>
        <w:rPr>
          <w:sz w:val="12"/>
        </w:rPr>
      </w:pPr>
      <w:r>
        <w:rPr>
          <w:color w:val="231F20"/>
          <w:sz w:val="12"/>
        </w:rPr>
        <w:t>1</w:t>
      </w:r>
      <w:r>
        <w:rPr>
          <w:color w:val="231F20"/>
          <w:spacing w:val="-20"/>
          <w:sz w:val="12"/>
        </w:rPr>
        <w:t xml:space="preserve"> </w:t>
      </w:r>
      <w:r>
        <w:rPr>
          <w:color w:val="231F20"/>
          <w:sz w:val="12"/>
        </w:rPr>
        <w:t>%</w:t>
      </w:r>
    </w:p>
    <w:p w14:paraId="27D6A81D" w14:textId="77777777" w:rsidR="00F65BCA" w:rsidRDefault="00216117">
      <w:pPr>
        <w:spacing w:before="38"/>
        <w:ind w:right="38"/>
        <w:jc w:val="right"/>
        <w:rPr>
          <w:sz w:val="12"/>
        </w:rPr>
      </w:pPr>
      <w:r>
        <w:rPr>
          <w:color w:val="231F20"/>
          <w:sz w:val="12"/>
        </w:rPr>
        <w:t>0,5</w:t>
      </w:r>
      <w:r>
        <w:rPr>
          <w:color w:val="231F20"/>
          <w:spacing w:val="-20"/>
          <w:sz w:val="12"/>
        </w:rPr>
        <w:t xml:space="preserve"> </w:t>
      </w:r>
      <w:r>
        <w:rPr>
          <w:color w:val="231F20"/>
          <w:sz w:val="12"/>
        </w:rPr>
        <w:t>%</w:t>
      </w:r>
    </w:p>
    <w:p w14:paraId="70FC2431" w14:textId="77777777" w:rsidR="00F65BCA" w:rsidRDefault="00216117">
      <w:pPr>
        <w:spacing w:before="108"/>
        <w:ind w:right="38"/>
        <w:jc w:val="right"/>
        <w:rPr>
          <w:sz w:val="12"/>
        </w:rPr>
      </w:pPr>
      <w:r>
        <w:rPr>
          <w:color w:val="231F20"/>
          <w:sz w:val="12"/>
        </w:rPr>
        <w:t>0,5</w:t>
      </w:r>
      <w:r>
        <w:rPr>
          <w:color w:val="231F20"/>
          <w:spacing w:val="-20"/>
          <w:sz w:val="12"/>
        </w:rPr>
        <w:t xml:space="preserve"> </w:t>
      </w:r>
      <w:r>
        <w:rPr>
          <w:color w:val="231F20"/>
          <w:sz w:val="12"/>
        </w:rPr>
        <w:t>%</w:t>
      </w:r>
    </w:p>
    <w:p w14:paraId="14056CD5" w14:textId="77777777" w:rsidR="00F65BCA" w:rsidRDefault="00F65BCA">
      <w:pPr>
        <w:pStyle w:val="Zkladntext"/>
        <w:rPr>
          <w:sz w:val="14"/>
        </w:rPr>
      </w:pPr>
    </w:p>
    <w:p w14:paraId="2F2CD2C4" w14:textId="77777777" w:rsidR="00F65BCA" w:rsidRDefault="00216117">
      <w:pPr>
        <w:spacing w:before="101"/>
        <w:ind w:right="38"/>
        <w:jc w:val="right"/>
        <w:rPr>
          <w:sz w:val="12"/>
        </w:rPr>
      </w:pPr>
      <w:r>
        <w:rPr>
          <w:color w:val="231F20"/>
          <w:sz w:val="12"/>
        </w:rPr>
        <w:t>0,5</w:t>
      </w:r>
      <w:r>
        <w:rPr>
          <w:color w:val="231F20"/>
          <w:spacing w:val="-20"/>
          <w:sz w:val="12"/>
        </w:rPr>
        <w:t xml:space="preserve"> </w:t>
      </w:r>
      <w:r>
        <w:rPr>
          <w:color w:val="231F20"/>
          <w:sz w:val="12"/>
        </w:rPr>
        <w:t>%</w:t>
      </w:r>
    </w:p>
    <w:p w14:paraId="659E6332" w14:textId="77777777" w:rsidR="00F65BCA" w:rsidRDefault="00F65BCA">
      <w:pPr>
        <w:pStyle w:val="Zkladntext"/>
        <w:rPr>
          <w:sz w:val="14"/>
        </w:rPr>
      </w:pPr>
    </w:p>
    <w:p w14:paraId="085065A3" w14:textId="77777777" w:rsidR="00F65BCA" w:rsidRDefault="00216117">
      <w:pPr>
        <w:spacing w:before="98"/>
        <w:ind w:right="38"/>
        <w:jc w:val="right"/>
        <w:rPr>
          <w:sz w:val="12"/>
        </w:rPr>
      </w:pPr>
      <w:r>
        <w:rPr>
          <w:color w:val="231F20"/>
          <w:sz w:val="12"/>
        </w:rPr>
        <w:t>0</w:t>
      </w:r>
      <w:r>
        <w:rPr>
          <w:color w:val="231F20"/>
          <w:spacing w:val="-20"/>
          <w:sz w:val="12"/>
        </w:rPr>
        <w:t xml:space="preserve"> </w:t>
      </w:r>
      <w:r>
        <w:rPr>
          <w:color w:val="231F20"/>
          <w:sz w:val="12"/>
        </w:rPr>
        <w:t>%</w:t>
      </w:r>
    </w:p>
    <w:p w14:paraId="0F57C3FB" w14:textId="77777777" w:rsidR="00F65BCA" w:rsidRDefault="00F65BCA">
      <w:pPr>
        <w:pStyle w:val="Zkladntext"/>
        <w:rPr>
          <w:sz w:val="14"/>
        </w:rPr>
      </w:pPr>
    </w:p>
    <w:p w14:paraId="35063CA4" w14:textId="77777777" w:rsidR="00F65BCA" w:rsidRDefault="00F65BCA">
      <w:pPr>
        <w:pStyle w:val="Zkladntext"/>
        <w:rPr>
          <w:sz w:val="14"/>
        </w:rPr>
      </w:pPr>
    </w:p>
    <w:p w14:paraId="4B512BDB" w14:textId="77777777" w:rsidR="00F65BCA" w:rsidRDefault="00F65BCA">
      <w:pPr>
        <w:pStyle w:val="Zkladntext"/>
        <w:spacing w:before="1"/>
        <w:rPr>
          <w:sz w:val="11"/>
        </w:rPr>
      </w:pPr>
    </w:p>
    <w:p w14:paraId="040C46F4" w14:textId="77777777" w:rsidR="00F65BCA" w:rsidRDefault="00216117">
      <w:pPr>
        <w:ind w:right="38"/>
        <w:jc w:val="right"/>
        <w:rPr>
          <w:sz w:val="12"/>
        </w:rPr>
      </w:pPr>
      <w:r>
        <w:rPr>
          <w:color w:val="231F20"/>
          <w:sz w:val="12"/>
        </w:rPr>
        <w:t>do 10</w:t>
      </w:r>
      <w:r>
        <w:rPr>
          <w:color w:val="231F20"/>
          <w:spacing w:val="-17"/>
          <w:sz w:val="12"/>
        </w:rPr>
        <w:t xml:space="preserve"> </w:t>
      </w:r>
      <w:r>
        <w:rPr>
          <w:color w:val="231F20"/>
          <w:sz w:val="12"/>
        </w:rPr>
        <w:t>%</w:t>
      </w:r>
    </w:p>
    <w:p w14:paraId="660AC2AC" w14:textId="77777777" w:rsidR="00F65BCA" w:rsidRDefault="00F65BCA">
      <w:pPr>
        <w:pStyle w:val="Zkladntext"/>
        <w:rPr>
          <w:sz w:val="17"/>
        </w:rPr>
      </w:pPr>
    </w:p>
    <w:p w14:paraId="45DB3DFD" w14:textId="77777777" w:rsidR="00F65BCA" w:rsidRDefault="00216117">
      <w:pPr>
        <w:ind w:left="183"/>
        <w:rPr>
          <w:sz w:val="12"/>
        </w:rPr>
      </w:pPr>
      <w:r>
        <w:rPr>
          <w:color w:val="231F20"/>
          <w:sz w:val="12"/>
        </w:rPr>
        <w:t>do 30</w:t>
      </w:r>
      <w:r>
        <w:rPr>
          <w:color w:val="231F20"/>
          <w:spacing w:val="-17"/>
          <w:sz w:val="12"/>
        </w:rPr>
        <w:t xml:space="preserve"> </w:t>
      </w:r>
      <w:r>
        <w:rPr>
          <w:color w:val="231F20"/>
          <w:sz w:val="12"/>
        </w:rPr>
        <w:t>%</w:t>
      </w:r>
    </w:p>
    <w:p w14:paraId="06E5F645" w14:textId="77777777" w:rsidR="00F65BCA" w:rsidRDefault="00216117">
      <w:pPr>
        <w:spacing w:before="32"/>
        <w:ind w:left="183"/>
        <w:rPr>
          <w:sz w:val="12"/>
        </w:rPr>
      </w:pPr>
      <w:r>
        <w:rPr>
          <w:color w:val="231F20"/>
          <w:sz w:val="12"/>
        </w:rPr>
        <w:t>do 20</w:t>
      </w:r>
      <w:r>
        <w:rPr>
          <w:color w:val="231F20"/>
          <w:spacing w:val="-17"/>
          <w:sz w:val="12"/>
        </w:rPr>
        <w:t xml:space="preserve"> </w:t>
      </w:r>
      <w:r>
        <w:rPr>
          <w:color w:val="231F20"/>
          <w:sz w:val="12"/>
        </w:rPr>
        <w:t>%</w:t>
      </w:r>
    </w:p>
    <w:p w14:paraId="3F2562FF" w14:textId="77777777" w:rsidR="00F65BCA" w:rsidRDefault="00F65BCA">
      <w:pPr>
        <w:pStyle w:val="Zkladntext"/>
        <w:rPr>
          <w:sz w:val="14"/>
        </w:rPr>
      </w:pPr>
    </w:p>
    <w:p w14:paraId="1853B7BE" w14:textId="77777777" w:rsidR="00F65BCA" w:rsidRDefault="00F65BCA">
      <w:pPr>
        <w:pStyle w:val="Zkladntext"/>
        <w:spacing w:before="8"/>
        <w:rPr>
          <w:sz w:val="16"/>
        </w:rPr>
      </w:pPr>
    </w:p>
    <w:p w14:paraId="5EBCA51A" w14:textId="77777777" w:rsidR="00F65BCA" w:rsidRDefault="00216117">
      <w:pPr>
        <w:ind w:right="38"/>
        <w:jc w:val="right"/>
        <w:rPr>
          <w:sz w:val="12"/>
        </w:rPr>
      </w:pPr>
      <w:r>
        <w:rPr>
          <w:color w:val="231F20"/>
          <w:sz w:val="12"/>
        </w:rPr>
        <w:t>5</w:t>
      </w:r>
      <w:r>
        <w:rPr>
          <w:color w:val="231F20"/>
          <w:spacing w:val="-20"/>
          <w:sz w:val="12"/>
        </w:rPr>
        <w:t xml:space="preserve"> </w:t>
      </w:r>
      <w:r>
        <w:rPr>
          <w:color w:val="231F20"/>
          <w:sz w:val="12"/>
        </w:rPr>
        <w:t>%</w:t>
      </w:r>
    </w:p>
    <w:p w14:paraId="0616AF50" w14:textId="77777777" w:rsidR="00F65BCA" w:rsidRDefault="00216117">
      <w:pPr>
        <w:spacing w:before="38"/>
        <w:ind w:right="38"/>
        <w:jc w:val="right"/>
        <w:rPr>
          <w:sz w:val="12"/>
        </w:rPr>
      </w:pPr>
      <w:r>
        <w:rPr>
          <w:color w:val="231F20"/>
          <w:sz w:val="12"/>
        </w:rPr>
        <w:t>10</w:t>
      </w:r>
      <w:r>
        <w:rPr>
          <w:color w:val="231F20"/>
          <w:spacing w:val="-20"/>
          <w:sz w:val="12"/>
        </w:rPr>
        <w:t xml:space="preserve"> </w:t>
      </w:r>
      <w:r>
        <w:rPr>
          <w:color w:val="231F20"/>
          <w:sz w:val="12"/>
        </w:rPr>
        <w:t>%</w:t>
      </w:r>
    </w:p>
    <w:p w14:paraId="2F5053E0" w14:textId="77777777" w:rsidR="00F65BCA" w:rsidRDefault="00216117">
      <w:pPr>
        <w:spacing w:before="37"/>
        <w:ind w:right="38"/>
        <w:jc w:val="right"/>
        <w:rPr>
          <w:sz w:val="12"/>
        </w:rPr>
      </w:pPr>
      <w:r>
        <w:rPr>
          <w:color w:val="231F20"/>
          <w:sz w:val="12"/>
        </w:rPr>
        <w:t>do 30</w:t>
      </w:r>
      <w:r>
        <w:rPr>
          <w:color w:val="231F20"/>
          <w:spacing w:val="-17"/>
          <w:sz w:val="12"/>
        </w:rPr>
        <w:t xml:space="preserve"> </w:t>
      </w:r>
      <w:r>
        <w:rPr>
          <w:color w:val="231F20"/>
          <w:sz w:val="12"/>
        </w:rPr>
        <w:t>%</w:t>
      </w:r>
    </w:p>
    <w:p w14:paraId="37AE7A9D" w14:textId="77777777" w:rsidR="00F65BCA" w:rsidRDefault="00F65BCA">
      <w:pPr>
        <w:pStyle w:val="Zkladntext"/>
        <w:rPr>
          <w:sz w:val="14"/>
        </w:rPr>
      </w:pPr>
    </w:p>
    <w:p w14:paraId="3BA2A264" w14:textId="77777777" w:rsidR="00F65BCA" w:rsidRDefault="00F65BCA">
      <w:pPr>
        <w:pStyle w:val="Zkladntext"/>
        <w:spacing w:before="8"/>
        <w:rPr>
          <w:sz w:val="16"/>
        </w:rPr>
      </w:pPr>
    </w:p>
    <w:p w14:paraId="693CA97F" w14:textId="77777777" w:rsidR="00F65BCA" w:rsidRDefault="00216117">
      <w:pPr>
        <w:ind w:left="183"/>
        <w:rPr>
          <w:sz w:val="12"/>
        </w:rPr>
      </w:pPr>
      <w:r>
        <w:rPr>
          <w:color w:val="231F20"/>
          <w:sz w:val="12"/>
        </w:rPr>
        <w:t>do 40</w:t>
      </w:r>
      <w:r>
        <w:rPr>
          <w:color w:val="231F20"/>
          <w:spacing w:val="-17"/>
          <w:sz w:val="12"/>
        </w:rPr>
        <w:t xml:space="preserve"> </w:t>
      </w:r>
      <w:r>
        <w:rPr>
          <w:color w:val="231F20"/>
          <w:sz w:val="12"/>
        </w:rPr>
        <w:t>%</w:t>
      </w:r>
    </w:p>
    <w:p w14:paraId="573F5ECD" w14:textId="77777777" w:rsidR="00F65BCA" w:rsidRDefault="00216117">
      <w:pPr>
        <w:spacing w:before="43"/>
        <w:ind w:left="183"/>
        <w:rPr>
          <w:sz w:val="12"/>
        </w:rPr>
      </w:pPr>
      <w:r>
        <w:rPr>
          <w:color w:val="231F20"/>
          <w:sz w:val="12"/>
        </w:rPr>
        <w:t>do 80</w:t>
      </w:r>
      <w:r>
        <w:rPr>
          <w:color w:val="231F20"/>
          <w:spacing w:val="-17"/>
          <w:sz w:val="12"/>
        </w:rPr>
        <w:t xml:space="preserve"> </w:t>
      </w:r>
      <w:r>
        <w:rPr>
          <w:color w:val="231F20"/>
          <w:sz w:val="12"/>
        </w:rPr>
        <w:t>%</w:t>
      </w:r>
    </w:p>
    <w:p w14:paraId="3524CD5E" w14:textId="77777777" w:rsidR="00F65BCA" w:rsidRDefault="00216117">
      <w:pPr>
        <w:spacing w:before="109"/>
        <w:ind w:left="183"/>
        <w:rPr>
          <w:sz w:val="12"/>
        </w:rPr>
      </w:pPr>
      <w:r>
        <w:rPr>
          <w:color w:val="231F20"/>
          <w:sz w:val="12"/>
        </w:rPr>
        <w:t>do 80</w:t>
      </w:r>
      <w:r>
        <w:rPr>
          <w:color w:val="231F20"/>
          <w:spacing w:val="-17"/>
          <w:sz w:val="12"/>
        </w:rPr>
        <w:t xml:space="preserve"> </w:t>
      </w:r>
      <w:r>
        <w:rPr>
          <w:color w:val="231F20"/>
          <w:sz w:val="12"/>
        </w:rPr>
        <w:t>%</w:t>
      </w:r>
    </w:p>
    <w:p w14:paraId="5FE76264" w14:textId="77777777" w:rsidR="00F65BCA" w:rsidRDefault="00216117">
      <w:pPr>
        <w:spacing w:before="103"/>
        <w:ind w:right="38"/>
        <w:jc w:val="right"/>
        <w:rPr>
          <w:sz w:val="12"/>
        </w:rPr>
      </w:pPr>
      <w:r>
        <w:rPr>
          <w:color w:val="231F20"/>
          <w:sz w:val="12"/>
        </w:rPr>
        <w:t>25</w:t>
      </w:r>
      <w:r>
        <w:rPr>
          <w:color w:val="231F20"/>
          <w:spacing w:val="-20"/>
          <w:sz w:val="12"/>
        </w:rPr>
        <w:t xml:space="preserve"> </w:t>
      </w:r>
      <w:r>
        <w:rPr>
          <w:color w:val="231F20"/>
          <w:sz w:val="12"/>
        </w:rPr>
        <w:t>%</w:t>
      </w:r>
    </w:p>
    <w:p w14:paraId="4AB68EF6" w14:textId="77777777" w:rsidR="00F65BCA" w:rsidRDefault="00F65BCA">
      <w:pPr>
        <w:pStyle w:val="Zkladntext"/>
        <w:spacing w:before="6"/>
        <w:rPr>
          <w:sz w:val="17"/>
        </w:rPr>
      </w:pPr>
    </w:p>
    <w:p w14:paraId="58975E24" w14:textId="77777777" w:rsidR="00F65BCA" w:rsidRDefault="00216117">
      <w:pPr>
        <w:ind w:left="419"/>
        <w:rPr>
          <w:sz w:val="12"/>
        </w:rPr>
      </w:pPr>
      <w:r>
        <w:rPr>
          <w:color w:val="231F20"/>
          <w:sz w:val="12"/>
        </w:rPr>
        <w:t>7</w:t>
      </w:r>
      <w:r>
        <w:rPr>
          <w:color w:val="231F20"/>
          <w:spacing w:val="-20"/>
          <w:sz w:val="12"/>
        </w:rPr>
        <w:t xml:space="preserve"> </w:t>
      </w:r>
      <w:r>
        <w:rPr>
          <w:color w:val="231F20"/>
          <w:sz w:val="12"/>
        </w:rPr>
        <w:t>%</w:t>
      </w:r>
    </w:p>
    <w:p w14:paraId="42035EB3" w14:textId="77777777" w:rsidR="00F65BCA" w:rsidRDefault="00216117">
      <w:pPr>
        <w:spacing w:before="33"/>
        <w:ind w:left="352"/>
        <w:rPr>
          <w:sz w:val="12"/>
        </w:rPr>
      </w:pPr>
      <w:r>
        <w:rPr>
          <w:color w:val="231F20"/>
          <w:sz w:val="12"/>
        </w:rPr>
        <w:t>20</w:t>
      </w:r>
      <w:r>
        <w:rPr>
          <w:color w:val="231F20"/>
          <w:spacing w:val="-20"/>
          <w:sz w:val="12"/>
        </w:rPr>
        <w:t xml:space="preserve"> </w:t>
      </w:r>
      <w:r>
        <w:rPr>
          <w:color w:val="231F20"/>
          <w:sz w:val="12"/>
        </w:rPr>
        <w:t>%</w:t>
      </w:r>
    </w:p>
    <w:p w14:paraId="1654C7C8" w14:textId="77777777" w:rsidR="00F65BCA" w:rsidRDefault="00216117">
      <w:pPr>
        <w:spacing w:before="32"/>
        <w:ind w:left="352"/>
        <w:rPr>
          <w:sz w:val="12"/>
        </w:rPr>
      </w:pPr>
      <w:r>
        <w:rPr>
          <w:color w:val="231F20"/>
          <w:sz w:val="12"/>
        </w:rPr>
        <w:t>50</w:t>
      </w:r>
      <w:r>
        <w:rPr>
          <w:color w:val="231F20"/>
          <w:spacing w:val="-20"/>
          <w:sz w:val="12"/>
        </w:rPr>
        <w:t xml:space="preserve"> </w:t>
      </w:r>
      <w:r>
        <w:rPr>
          <w:color w:val="231F20"/>
          <w:sz w:val="12"/>
        </w:rPr>
        <w:t>%</w:t>
      </w:r>
    </w:p>
    <w:p w14:paraId="4D80F376" w14:textId="77777777" w:rsidR="00F65BCA" w:rsidRDefault="00F65BCA">
      <w:pPr>
        <w:pStyle w:val="Zkladntext"/>
        <w:rPr>
          <w:sz w:val="14"/>
        </w:rPr>
      </w:pPr>
    </w:p>
    <w:p w14:paraId="6708CB5C" w14:textId="77777777" w:rsidR="00F65BCA" w:rsidRDefault="00F65BCA">
      <w:pPr>
        <w:pStyle w:val="Zkladntext"/>
        <w:rPr>
          <w:sz w:val="14"/>
        </w:rPr>
      </w:pPr>
    </w:p>
    <w:p w14:paraId="576E6BED" w14:textId="77777777" w:rsidR="00F65BCA" w:rsidRDefault="00F65BCA">
      <w:pPr>
        <w:pStyle w:val="Zkladntext"/>
        <w:spacing w:before="6"/>
        <w:rPr>
          <w:sz w:val="11"/>
        </w:rPr>
      </w:pPr>
    </w:p>
    <w:p w14:paraId="422F4554" w14:textId="77777777" w:rsidR="00F65BCA" w:rsidRDefault="00216117">
      <w:pPr>
        <w:ind w:left="352"/>
        <w:rPr>
          <w:sz w:val="12"/>
        </w:rPr>
      </w:pPr>
      <w:r>
        <w:rPr>
          <w:color w:val="231F20"/>
          <w:sz w:val="12"/>
        </w:rPr>
        <w:t>10</w:t>
      </w:r>
      <w:r>
        <w:rPr>
          <w:color w:val="231F20"/>
          <w:spacing w:val="-20"/>
          <w:sz w:val="12"/>
        </w:rPr>
        <w:t xml:space="preserve"> </w:t>
      </w:r>
      <w:r>
        <w:rPr>
          <w:color w:val="231F20"/>
          <w:sz w:val="12"/>
        </w:rPr>
        <w:t>%</w:t>
      </w:r>
    </w:p>
    <w:p w14:paraId="2A838660" w14:textId="77777777" w:rsidR="00F65BCA" w:rsidRDefault="00F65BCA">
      <w:pPr>
        <w:pStyle w:val="Zkladntext"/>
        <w:spacing w:before="6"/>
      </w:pPr>
    </w:p>
    <w:p w14:paraId="12C6E912" w14:textId="77777777" w:rsidR="00F65BCA" w:rsidRDefault="00216117">
      <w:pPr>
        <w:spacing w:before="1"/>
        <w:ind w:left="183"/>
        <w:rPr>
          <w:sz w:val="12"/>
        </w:rPr>
      </w:pPr>
      <w:r>
        <w:rPr>
          <w:color w:val="231F20"/>
          <w:sz w:val="12"/>
        </w:rPr>
        <w:t>do 80</w:t>
      </w:r>
      <w:r>
        <w:rPr>
          <w:color w:val="231F20"/>
          <w:spacing w:val="-17"/>
          <w:sz w:val="12"/>
        </w:rPr>
        <w:t xml:space="preserve"> </w:t>
      </w:r>
      <w:r>
        <w:rPr>
          <w:color w:val="231F20"/>
          <w:sz w:val="12"/>
        </w:rPr>
        <w:t>%</w:t>
      </w:r>
    </w:p>
    <w:p w14:paraId="73E802FF" w14:textId="77777777" w:rsidR="00F65BCA" w:rsidRDefault="00F65BCA">
      <w:pPr>
        <w:pStyle w:val="Zkladntext"/>
        <w:rPr>
          <w:sz w:val="14"/>
        </w:rPr>
      </w:pPr>
    </w:p>
    <w:p w14:paraId="26C7D7F7" w14:textId="77777777" w:rsidR="00F65BCA" w:rsidRDefault="00F65BCA">
      <w:pPr>
        <w:pStyle w:val="Zkladntext"/>
        <w:spacing w:before="8"/>
        <w:rPr>
          <w:sz w:val="11"/>
        </w:rPr>
      </w:pPr>
    </w:p>
    <w:p w14:paraId="5BB4E4C9" w14:textId="77777777" w:rsidR="00F65BCA" w:rsidRDefault="00216117">
      <w:pPr>
        <w:ind w:right="38"/>
        <w:jc w:val="right"/>
        <w:rPr>
          <w:sz w:val="12"/>
        </w:rPr>
      </w:pPr>
      <w:r>
        <w:rPr>
          <w:color w:val="231F20"/>
          <w:sz w:val="12"/>
        </w:rPr>
        <w:t>do 10</w:t>
      </w:r>
      <w:r>
        <w:rPr>
          <w:color w:val="231F20"/>
          <w:spacing w:val="-17"/>
          <w:sz w:val="12"/>
        </w:rPr>
        <w:t xml:space="preserve"> </w:t>
      </w:r>
      <w:r>
        <w:rPr>
          <w:color w:val="231F20"/>
          <w:sz w:val="12"/>
        </w:rPr>
        <w:t>%</w:t>
      </w:r>
    </w:p>
    <w:p w14:paraId="45B9ECDA" w14:textId="77777777" w:rsidR="00F65BCA" w:rsidRDefault="00216117">
      <w:pPr>
        <w:spacing w:before="43"/>
        <w:ind w:right="38"/>
        <w:jc w:val="right"/>
        <w:rPr>
          <w:sz w:val="12"/>
        </w:rPr>
      </w:pPr>
      <w:r>
        <w:rPr>
          <w:color w:val="231F20"/>
          <w:sz w:val="12"/>
        </w:rPr>
        <w:t>25</w:t>
      </w:r>
      <w:r>
        <w:rPr>
          <w:color w:val="231F20"/>
          <w:spacing w:val="-20"/>
          <w:sz w:val="12"/>
        </w:rPr>
        <w:t xml:space="preserve"> </w:t>
      </w:r>
      <w:r>
        <w:rPr>
          <w:color w:val="231F20"/>
          <w:sz w:val="12"/>
        </w:rPr>
        <w:t>%</w:t>
      </w:r>
    </w:p>
    <w:p w14:paraId="08C04E60" w14:textId="77777777" w:rsidR="00F65BCA" w:rsidRDefault="00216117">
      <w:pPr>
        <w:spacing w:before="41"/>
        <w:ind w:right="38"/>
        <w:jc w:val="right"/>
        <w:rPr>
          <w:sz w:val="12"/>
        </w:rPr>
      </w:pPr>
      <w:r>
        <w:rPr>
          <w:color w:val="231F20"/>
          <w:sz w:val="12"/>
        </w:rPr>
        <w:t>do 40</w:t>
      </w:r>
      <w:r>
        <w:rPr>
          <w:color w:val="231F20"/>
          <w:spacing w:val="-17"/>
          <w:sz w:val="12"/>
        </w:rPr>
        <w:t xml:space="preserve"> </w:t>
      </w:r>
      <w:r>
        <w:rPr>
          <w:color w:val="231F20"/>
          <w:sz w:val="12"/>
        </w:rPr>
        <w:t>%</w:t>
      </w:r>
    </w:p>
    <w:p w14:paraId="548B70EC" w14:textId="77777777" w:rsidR="00F65BCA" w:rsidRDefault="00F65BCA">
      <w:pPr>
        <w:pStyle w:val="Zkladntext"/>
        <w:rPr>
          <w:sz w:val="14"/>
        </w:rPr>
      </w:pPr>
    </w:p>
    <w:p w14:paraId="0477E27B" w14:textId="77777777" w:rsidR="00F65BCA" w:rsidRDefault="00F65BCA">
      <w:pPr>
        <w:pStyle w:val="Zkladntext"/>
        <w:rPr>
          <w:sz w:val="14"/>
        </w:rPr>
      </w:pPr>
    </w:p>
    <w:p w14:paraId="06384CDF" w14:textId="77777777" w:rsidR="00F65BCA" w:rsidRDefault="00F65BCA">
      <w:pPr>
        <w:pStyle w:val="Zkladntext"/>
        <w:spacing w:before="6"/>
      </w:pPr>
    </w:p>
    <w:p w14:paraId="38E9C5BA" w14:textId="77777777" w:rsidR="00F65BCA" w:rsidRDefault="00216117">
      <w:pPr>
        <w:ind w:left="183"/>
        <w:rPr>
          <w:sz w:val="12"/>
        </w:rPr>
      </w:pPr>
      <w:r>
        <w:rPr>
          <w:color w:val="231F20"/>
          <w:sz w:val="12"/>
        </w:rPr>
        <w:t>do 15</w:t>
      </w:r>
      <w:r>
        <w:rPr>
          <w:color w:val="231F20"/>
          <w:spacing w:val="-17"/>
          <w:sz w:val="12"/>
        </w:rPr>
        <w:t xml:space="preserve"> </w:t>
      </w:r>
      <w:r>
        <w:rPr>
          <w:color w:val="231F20"/>
          <w:sz w:val="12"/>
        </w:rPr>
        <w:t>%</w:t>
      </w:r>
    </w:p>
    <w:p w14:paraId="7B534BAE" w14:textId="77777777" w:rsidR="00F65BCA" w:rsidRDefault="00216117">
      <w:pPr>
        <w:spacing w:before="71"/>
        <w:ind w:left="455"/>
        <w:rPr>
          <w:sz w:val="12"/>
        </w:rPr>
      </w:pPr>
      <w:r>
        <w:br w:type="column"/>
      </w:r>
      <w:r>
        <w:rPr>
          <w:color w:val="231F20"/>
          <w:sz w:val="12"/>
        </w:rPr>
        <w:t>chou statiky páteře a funkce dolních končetin</w:t>
      </w:r>
    </w:p>
    <w:p w14:paraId="458B4D9E" w14:textId="77777777" w:rsidR="00F65BCA" w:rsidRDefault="00216117">
      <w:pPr>
        <w:pStyle w:val="Odstavecseseznamem"/>
        <w:numPr>
          <w:ilvl w:val="0"/>
          <w:numId w:val="40"/>
        </w:numPr>
        <w:tabs>
          <w:tab w:val="left" w:pos="456"/>
        </w:tabs>
        <w:spacing w:before="48"/>
        <w:ind w:hanging="273"/>
        <w:rPr>
          <w:sz w:val="12"/>
        </w:rPr>
      </w:pPr>
      <w:r>
        <w:rPr>
          <w:color w:val="231F20"/>
          <w:sz w:val="12"/>
        </w:rPr>
        <w:t>u žen do 45</w:t>
      </w:r>
      <w:r>
        <w:rPr>
          <w:color w:val="231F20"/>
          <w:spacing w:val="-2"/>
          <w:sz w:val="12"/>
        </w:rPr>
        <w:t xml:space="preserve"> </w:t>
      </w:r>
      <w:r>
        <w:rPr>
          <w:color w:val="231F20"/>
          <w:sz w:val="12"/>
        </w:rPr>
        <w:t>let</w:t>
      </w:r>
    </w:p>
    <w:p w14:paraId="0C2D8689" w14:textId="77777777" w:rsidR="00F65BCA" w:rsidRDefault="00216117">
      <w:pPr>
        <w:pStyle w:val="Odstavecseseznamem"/>
        <w:numPr>
          <w:ilvl w:val="0"/>
          <w:numId w:val="40"/>
        </w:numPr>
        <w:tabs>
          <w:tab w:val="left" w:pos="456"/>
        </w:tabs>
        <w:spacing w:before="38"/>
        <w:ind w:hanging="273"/>
        <w:rPr>
          <w:sz w:val="12"/>
        </w:rPr>
      </w:pPr>
      <w:r>
        <w:rPr>
          <w:color w:val="231F20"/>
          <w:sz w:val="12"/>
        </w:rPr>
        <w:t>u žen přes 45</w:t>
      </w:r>
      <w:r>
        <w:rPr>
          <w:color w:val="231F20"/>
          <w:spacing w:val="-3"/>
          <w:sz w:val="12"/>
        </w:rPr>
        <w:t xml:space="preserve"> </w:t>
      </w:r>
      <w:r>
        <w:rPr>
          <w:color w:val="231F20"/>
          <w:sz w:val="12"/>
        </w:rPr>
        <w:t>let</w:t>
      </w:r>
    </w:p>
    <w:p w14:paraId="498EEAF8" w14:textId="77777777" w:rsidR="00F65BCA" w:rsidRDefault="00216117">
      <w:pPr>
        <w:pStyle w:val="Odstavecseseznamem"/>
        <w:numPr>
          <w:ilvl w:val="0"/>
          <w:numId w:val="40"/>
        </w:numPr>
        <w:tabs>
          <w:tab w:val="left" w:pos="456"/>
        </w:tabs>
        <w:spacing w:before="37"/>
        <w:ind w:hanging="273"/>
        <w:rPr>
          <w:sz w:val="12"/>
        </w:rPr>
      </w:pPr>
      <w:r>
        <w:rPr>
          <w:color w:val="231F20"/>
          <w:sz w:val="12"/>
        </w:rPr>
        <w:t>u</w:t>
      </w:r>
      <w:r>
        <w:rPr>
          <w:color w:val="231F20"/>
          <w:spacing w:val="-1"/>
          <w:sz w:val="12"/>
        </w:rPr>
        <w:t xml:space="preserve"> </w:t>
      </w:r>
      <w:r>
        <w:rPr>
          <w:color w:val="231F20"/>
          <w:sz w:val="12"/>
        </w:rPr>
        <w:t>mužů</w:t>
      </w:r>
    </w:p>
    <w:p w14:paraId="0AD90496" w14:textId="77777777" w:rsidR="00F65BCA" w:rsidRDefault="00F65BCA">
      <w:pPr>
        <w:pStyle w:val="Zkladntext"/>
        <w:spacing w:before="4"/>
        <w:rPr>
          <w:sz w:val="14"/>
        </w:rPr>
      </w:pPr>
    </w:p>
    <w:p w14:paraId="4291B5D3" w14:textId="77777777" w:rsidR="00F65BCA" w:rsidRDefault="00216117">
      <w:pPr>
        <w:spacing w:before="1"/>
        <w:ind w:left="1046"/>
        <w:rPr>
          <w:b/>
          <w:sz w:val="14"/>
        </w:rPr>
      </w:pPr>
      <w:r>
        <w:rPr>
          <w:b/>
          <w:color w:val="231F20"/>
          <w:sz w:val="14"/>
        </w:rPr>
        <w:t>HORNÍ KONČETINA</w:t>
      </w:r>
    </w:p>
    <w:p w14:paraId="6AF9367E" w14:textId="77777777" w:rsidR="00F65BCA" w:rsidRDefault="00216117">
      <w:pPr>
        <w:spacing w:before="62" w:line="249" w:lineRule="auto"/>
        <w:ind w:left="455" w:right="39"/>
        <w:jc w:val="both"/>
        <w:rPr>
          <w:b/>
          <w:sz w:val="12"/>
        </w:rPr>
      </w:pPr>
      <w:r>
        <w:rPr>
          <w:b/>
          <w:color w:val="231F20"/>
          <w:sz w:val="12"/>
        </w:rPr>
        <w:t>Uvedené hodnoty se vztahují na</w:t>
      </w:r>
      <w:r>
        <w:rPr>
          <w:b/>
          <w:color w:val="231F20"/>
          <w:spacing w:val="-23"/>
          <w:sz w:val="12"/>
        </w:rPr>
        <w:t xml:space="preserve"> </w:t>
      </w:r>
      <w:r>
        <w:rPr>
          <w:b/>
          <w:color w:val="231F20"/>
          <w:sz w:val="12"/>
        </w:rPr>
        <w:t>pravoruké. U levorukých platí hodnocení</w:t>
      </w:r>
      <w:r>
        <w:rPr>
          <w:b/>
          <w:color w:val="231F20"/>
          <w:spacing w:val="-3"/>
          <w:sz w:val="12"/>
        </w:rPr>
        <w:t xml:space="preserve"> </w:t>
      </w:r>
      <w:r>
        <w:rPr>
          <w:b/>
          <w:color w:val="231F20"/>
          <w:sz w:val="12"/>
        </w:rPr>
        <w:t>opačné.</w:t>
      </w:r>
    </w:p>
    <w:p w14:paraId="75AC6D9E" w14:textId="77777777" w:rsidR="00F65BCA" w:rsidRDefault="00216117">
      <w:pPr>
        <w:spacing w:before="55" w:line="242" w:lineRule="auto"/>
        <w:ind w:left="455" w:right="73"/>
        <w:jc w:val="both"/>
        <w:rPr>
          <w:sz w:val="12"/>
        </w:rPr>
      </w:pPr>
      <w:r>
        <w:rPr>
          <w:color w:val="231F20"/>
          <w:sz w:val="12"/>
        </w:rPr>
        <w:t>Ztráta</w:t>
      </w:r>
      <w:r>
        <w:rPr>
          <w:color w:val="231F20"/>
          <w:spacing w:val="-13"/>
          <w:sz w:val="12"/>
        </w:rPr>
        <w:t xml:space="preserve"> </w:t>
      </w:r>
      <w:r>
        <w:rPr>
          <w:color w:val="231F20"/>
          <w:sz w:val="12"/>
        </w:rPr>
        <w:t>horní</w:t>
      </w:r>
      <w:r>
        <w:rPr>
          <w:color w:val="231F20"/>
          <w:spacing w:val="-12"/>
          <w:sz w:val="12"/>
        </w:rPr>
        <w:t xml:space="preserve"> </w:t>
      </w:r>
      <w:r>
        <w:rPr>
          <w:color w:val="231F20"/>
          <w:sz w:val="12"/>
        </w:rPr>
        <w:t>končetiny</w:t>
      </w:r>
      <w:r>
        <w:rPr>
          <w:color w:val="231F20"/>
          <w:spacing w:val="-12"/>
          <w:sz w:val="12"/>
        </w:rPr>
        <w:t xml:space="preserve"> </w:t>
      </w:r>
      <w:r>
        <w:rPr>
          <w:color w:val="231F20"/>
          <w:sz w:val="12"/>
        </w:rPr>
        <w:t>v</w:t>
      </w:r>
      <w:r>
        <w:rPr>
          <w:color w:val="231F20"/>
          <w:spacing w:val="-12"/>
          <w:sz w:val="12"/>
        </w:rPr>
        <w:t xml:space="preserve"> </w:t>
      </w:r>
      <w:r>
        <w:rPr>
          <w:color w:val="231F20"/>
          <w:sz w:val="12"/>
        </w:rPr>
        <w:t>ramenním</w:t>
      </w:r>
      <w:r>
        <w:rPr>
          <w:color w:val="231F20"/>
          <w:spacing w:val="-12"/>
          <w:sz w:val="12"/>
        </w:rPr>
        <w:t xml:space="preserve"> </w:t>
      </w:r>
      <w:r>
        <w:rPr>
          <w:color w:val="231F20"/>
          <w:sz w:val="12"/>
        </w:rPr>
        <w:t>kloubu</w:t>
      </w:r>
      <w:r>
        <w:rPr>
          <w:color w:val="231F20"/>
          <w:spacing w:val="-12"/>
          <w:sz w:val="12"/>
        </w:rPr>
        <w:t xml:space="preserve"> </w:t>
      </w:r>
      <w:r>
        <w:rPr>
          <w:color w:val="231F20"/>
          <w:spacing w:val="-5"/>
          <w:sz w:val="12"/>
        </w:rPr>
        <w:t xml:space="preserve">nebo </w:t>
      </w:r>
      <w:r>
        <w:rPr>
          <w:color w:val="231F20"/>
          <w:sz w:val="12"/>
        </w:rPr>
        <w:t>v</w:t>
      </w:r>
      <w:r>
        <w:rPr>
          <w:color w:val="231F20"/>
          <w:spacing w:val="-9"/>
          <w:sz w:val="12"/>
        </w:rPr>
        <w:t xml:space="preserve"> </w:t>
      </w:r>
      <w:r>
        <w:rPr>
          <w:color w:val="231F20"/>
          <w:sz w:val="12"/>
        </w:rPr>
        <w:t>oblasti</w:t>
      </w:r>
      <w:r>
        <w:rPr>
          <w:color w:val="231F20"/>
          <w:spacing w:val="-9"/>
          <w:sz w:val="12"/>
        </w:rPr>
        <w:t xml:space="preserve"> </w:t>
      </w:r>
      <w:r>
        <w:rPr>
          <w:color w:val="231F20"/>
          <w:sz w:val="12"/>
        </w:rPr>
        <w:t>mezi</w:t>
      </w:r>
      <w:r>
        <w:rPr>
          <w:color w:val="231F20"/>
          <w:spacing w:val="-8"/>
          <w:sz w:val="12"/>
        </w:rPr>
        <w:t xml:space="preserve"> </w:t>
      </w:r>
      <w:r>
        <w:rPr>
          <w:color w:val="231F20"/>
          <w:sz w:val="12"/>
        </w:rPr>
        <w:t>loketním</w:t>
      </w:r>
      <w:r>
        <w:rPr>
          <w:color w:val="231F20"/>
          <w:spacing w:val="-9"/>
          <w:sz w:val="12"/>
        </w:rPr>
        <w:t xml:space="preserve"> </w:t>
      </w:r>
      <w:r>
        <w:rPr>
          <w:color w:val="231F20"/>
          <w:sz w:val="12"/>
        </w:rPr>
        <w:t>a</w:t>
      </w:r>
      <w:r>
        <w:rPr>
          <w:color w:val="231F20"/>
          <w:spacing w:val="-8"/>
          <w:sz w:val="12"/>
        </w:rPr>
        <w:t xml:space="preserve"> </w:t>
      </w:r>
      <w:r>
        <w:rPr>
          <w:color w:val="231F20"/>
          <w:sz w:val="12"/>
        </w:rPr>
        <w:t>ramenním</w:t>
      </w:r>
      <w:r>
        <w:rPr>
          <w:color w:val="231F20"/>
          <w:spacing w:val="-9"/>
          <w:sz w:val="12"/>
        </w:rPr>
        <w:t xml:space="preserve"> </w:t>
      </w:r>
      <w:r>
        <w:rPr>
          <w:color w:val="231F20"/>
          <w:sz w:val="12"/>
        </w:rPr>
        <w:t>kloubem</w:t>
      </w:r>
    </w:p>
    <w:p w14:paraId="72F62B53" w14:textId="77777777" w:rsidR="00F65BCA" w:rsidRDefault="00216117">
      <w:pPr>
        <w:pStyle w:val="Odstavecseseznamem"/>
        <w:numPr>
          <w:ilvl w:val="0"/>
          <w:numId w:val="40"/>
        </w:numPr>
        <w:tabs>
          <w:tab w:val="left" w:pos="456"/>
        </w:tabs>
        <w:spacing w:before="52"/>
        <w:ind w:hanging="273"/>
        <w:jc w:val="both"/>
        <w:rPr>
          <w:sz w:val="12"/>
        </w:rPr>
      </w:pPr>
      <w:r>
        <w:rPr>
          <w:color w:val="231F20"/>
          <w:sz w:val="12"/>
        </w:rPr>
        <w:t>vpravo</w:t>
      </w:r>
    </w:p>
    <w:p w14:paraId="68E902C4" w14:textId="77777777" w:rsidR="00F65BCA" w:rsidRDefault="00216117">
      <w:pPr>
        <w:pStyle w:val="Odstavecseseznamem"/>
        <w:numPr>
          <w:ilvl w:val="0"/>
          <w:numId w:val="40"/>
        </w:numPr>
        <w:tabs>
          <w:tab w:val="left" w:pos="456"/>
        </w:tabs>
        <w:spacing w:before="43"/>
        <w:ind w:hanging="273"/>
        <w:jc w:val="both"/>
        <w:rPr>
          <w:sz w:val="12"/>
        </w:rPr>
      </w:pPr>
      <w:r>
        <w:rPr>
          <w:color w:val="231F20"/>
          <w:sz w:val="12"/>
        </w:rPr>
        <w:t>vlevo</w:t>
      </w:r>
    </w:p>
    <w:p w14:paraId="4E1BFD88" w14:textId="77777777" w:rsidR="00F65BCA" w:rsidRDefault="00216117">
      <w:pPr>
        <w:spacing w:before="51" w:line="249" w:lineRule="auto"/>
        <w:ind w:left="455" w:right="156"/>
        <w:jc w:val="both"/>
        <w:rPr>
          <w:sz w:val="12"/>
        </w:rPr>
      </w:pPr>
      <w:r>
        <w:rPr>
          <w:b/>
          <w:color w:val="231F20"/>
          <w:sz w:val="12"/>
        </w:rPr>
        <w:t>Pakloub</w:t>
      </w:r>
      <w:r>
        <w:rPr>
          <w:b/>
          <w:color w:val="231F20"/>
          <w:spacing w:val="-9"/>
          <w:sz w:val="12"/>
        </w:rPr>
        <w:t xml:space="preserve"> </w:t>
      </w:r>
      <w:r>
        <w:rPr>
          <w:b/>
          <w:color w:val="231F20"/>
          <w:sz w:val="12"/>
        </w:rPr>
        <w:t>kosti</w:t>
      </w:r>
      <w:r>
        <w:rPr>
          <w:b/>
          <w:color w:val="231F20"/>
          <w:spacing w:val="-9"/>
          <w:sz w:val="12"/>
        </w:rPr>
        <w:t xml:space="preserve"> </w:t>
      </w:r>
      <w:r>
        <w:rPr>
          <w:color w:val="231F20"/>
          <w:sz w:val="12"/>
        </w:rPr>
        <w:t>horní</w:t>
      </w:r>
      <w:r>
        <w:rPr>
          <w:color w:val="231F20"/>
          <w:spacing w:val="-9"/>
          <w:sz w:val="12"/>
        </w:rPr>
        <w:t xml:space="preserve"> </w:t>
      </w:r>
      <w:r>
        <w:rPr>
          <w:color w:val="231F20"/>
          <w:sz w:val="12"/>
        </w:rPr>
        <w:t>končetiny</w:t>
      </w:r>
      <w:r>
        <w:rPr>
          <w:color w:val="231F20"/>
          <w:spacing w:val="-9"/>
          <w:sz w:val="12"/>
        </w:rPr>
        <w:t xml:space="preserve"> </w:t>
      </w:r>
      <w:r>
        <w:rPr>
          <w:b/>
          <w:color w:val="231F20"/>
          <w:sz w:val="12"/>
        </w:rPr>
        <w:t>bez</w:t>
      </w:r>
      <w:r>
        <w:rPr>
          <w:b/>
          <w:color w:val="231F20"/>
          <w:spacing w:val="-8"/>
          <w:sz w:val="12"/>
        </w:rPr>
        <w:t xml:space="preserve"> </w:t>
      </w:r>
      <w:r>
        <w:rPr>
          <w:b/>
          <w:color w:val="231F20"/>
          <w:sz w:val="12"/>
        </w:rPr>
        <w:t xml:space="preserve">rozlišení lokality </w:t>
      </w:r>
      <w:r>
        <w:rPr>
          <w:color w:val="231F20"/>
          <w:sz w:val="12"/>
        </w:rPr>
        <w:t>(mimo člunkové</w:t>
      </w:r>
      <w:r>
        <w:rPr>
          <w:color w:val="231F20"/>
          <w:spacing w:val="-6"/>
          <w:sz w:val="12"/>
        </w:rPr>
        <w:t xml:space="preserve"> </w:t>
      </w:r>
      <w:r>
        <w:rPr>
          <w:color w:val="231F20"/>
          <w:sz w:val="12"/>
        </w:rPr>
        <w:t>kosti)</w:t>
      </w:r>
    </w:p>
    <w:p w14:paraId="22DA2C90" w14:textId="77777777" w:rsidR="00F65BCA" w:rsidRDefault="00216117">
      <w:pPr>
        <w:pStyle w:val="Odstavecseseznamem"/>
        <w:numPr>
          <w:ilvl w:val="0"/>
          <w:numId w:val="40"/>
        </w:numPr>
        <w:tabs>
          <w:tab w:val="left" w:pos="456"/>
        </w:tabs>
        <w:spacing w:before="46"/>
        <w:ind w:hanging="273"/>
        <w:jc w:val="both"/>
        <w:rPr>
          <w:sz w:val="12"/>
        </w:rPr>
      </w:pPr>
      <w:r>
        <w:rPr>
          <w:color w:val="231F20"/>
          <w:sz w:val="12"/>
        </w:rPr>
        <w:t>vpravo</w:t>
      </w:r>
    </w:p>
    <w:p w14:paraId="26EC6835" w14:textId="77777777" w:rsidR="00F65BCA" w:rsidRDefault="00216117">
      <w:pPr>
        <w:pStyle w:val="Odstavecseseznamem"/>
        <w:numPr>
          <w:ilvl w:val="0"/>
          <w:numId w:val="40"/>
        </w:numPr>
        <w:tabs>
          <w:tab w:val="left" w:pos="456"/>
        </w:tabs>
        <w:spacing w:before="43"/>
        <w:ind w:hanging="273"/>
        <w:jc w:val="both"/>
        <w:rPr>
          <w:sz w:val="12"/>
        </w:rPr>
      </w:pPr>
      <w:r>
        <w:rPr>
          <w:color w:val="231F20"/>
          <w:sz w:val="12"/>
        </w:rPr>
        <w:t>vlevo</w:t>
      </w:r>
    </w:p>
    <w:p w14:paraId="56666F34" w14:textId="77777777" w:rsidR="00F65BCA" w:rsidRDefault="00216117">
      <w:pPr>
        <w:spacing w:before="41"/>
        <w:ind w:left="455"/>
        <w:jc w:val="both"/>
        <w:rPr>
          <w:b/>
          <w:sz w:val="12"/>
        </w:rPr>
      </w:pPr>
      <w:r>
        <w:rPr>
          <w:b/>
          <w:color w:val="231F20"/>
          <w:sz w:val="12"/>
        </w:rPr>
        <w:t>Pakloub člunkové kosti</w:t>
      </w:r>
    </w:p>
    <w:p w14:paraId="32C4EF57" w14:textId="77777777" w:rsidR="00F65BCA" w:rsidRDefault="00216117">
      <w:pPr>
        <w:pStyle w:val="Odstavecseseznamem"/>
        <w:numPr>
          <w:ilvl w:val="0"/>
          <w:numId w:val="40"/>
        </w:numPr>
        <w:tabs>
          <w:tab w:val="left" w:pos="456"/>
        </w:tabs>
        <w:spacing w:before="40"/>
        <w:ind w:hanging="273"/>
        <w:jc w:val="both"/>
        <w:rPr>
          <w:sz w:val="12"/>
        </w:rPr>
      </w:pPr>
      <w:r>
        <w:rPr>
          <w:color w:val="231F20"/>
          <w:sz w:val="12"/>
        </w:rPr>
        <w:t>vpravo</w:t>
      </w:r>
    </w:p>
    <w:p w14:paraId="481EA117" w14:textId="77777777" w:rsidR="00F65BCA" w:rsidRDefault="00216117">
      <w:pPr>
        <w:pStyle w:val="Odstavecseseznamem"/>
        <w:numPr>
          <w:ilvl w:val="0"/>
          <w:numId w:val="40"/>
        </w:numPr>
        <w:tabs>
          <w:tab w:val="left" w:pos="456"/>
        </w:tabs>
        <w:spacing w:before="44"/>
        <w:ind w:hanging="273"/>
        <w:jc w:val="both"/>
        <w:rPr>
          <w:sz w:val="12"/>
        </w:rPr>
      </w:pPr>
      <w:r>
        <w:rPr>
          <w:color w:val="231F20"/>
          <w:sz w:val="12"/>
        </w:rPr>
        <w:t>vlevo</w:t>
      </w:r>
    </w:p>
    <w:p w14:paraId="5A16C9F1" w14:textId="77777777" w:rsidR="00F65BCA" w:rsidRDefault="00216117">
      <w:pPr>
        <w:spacing w:before="43"/>
        <w:ind w:left="1294"/>
        <w:jc w:val="both"/>
        <w:rPr>
          <w:b/>
          <w:sz w:val="12"/>
        </w:rPr>
      </w:pPr>
      <w:r>
        <w:rPr>
          <w:b/>
          <w:color w:val="231F20"/>
          <w:sz w:val="12"/>
        </w:rPr>
        <w:t>Rameno, paže</w:t>
      </w:r>
    </w:p>
    <w:p w14:paraId="374E138B" w14:textId="77777777" w:rsidR="00F65BCA" w:rsidRDefault="00216117">
      <w:pPr>
        <w:spacing w:before="52" w:line="247" w:lineRule="auto"/>
        <w:ind w:left="455" w:right="96"/>
        <w:jc w:val="both"/>
        <w:rPr>
          <w:sz w:val="12"/>
        </w:rPr>
      </w:pPr>
      <w:r>
        <w:rPr>
          <w:b/>
          <w:color w:val="231F20"/>
          <w:sz w:val="12"/>
        </w:rPr>
        <w:t>Úplná</w:t>
      </w:r>
      <w:r>
        <w:rPr>
          <w:b/>
          <w:color w:val="231F20"/>
          <w:spacing w:val="-10"/>
          <w:sz w:val="12"/>
        </w:rPr>
        <w:t xml:space="preserve"> </w:t>
      </w:r>
      <w:r>
        <w:rPr>
          <w:b/>
          <w:color w:val="231F20"/>
          <w:sz w:val="12"/>
        </w:rPr>
        <w:t>ztuhlost</w:t>
      </w:r>
      <w:r>
        <w:rPr>
          <w:b/>
          <w:color w:val="231F20"/>
          <w:spacing w:val="-10"/>
          <w:sz w:val="12"/>
        </w:rPr>
        <w:t xml:space="preserve"> </w:t>
      </w:r>
      <w:r>
        <w:rPr>
          <w:color w:val="231F20"/>
          <w:sz w:val="12"/>
        </w:rPr>
        <w:t>ramenního</w:t>
      </w:r>
      <w:r>
        <w:rPr>
          <w:color w:val="231F20"/>
          <w:spacing w:val="-10"/>
          <w:sz w:val="12"/>
        </w:rPr>
        <w:t xml:space="preserve"> </w:t>
      </w:r>
      <w:r>
        <w:rPr>
          <w:color w:val="231F20"/>
          <w:sz w:val="12"/>
        </w:rPr>
        <w:t>kloubu</w:t>
      </w:r>
      <w:r>
        <w:rPr>
          <w:color w:val="231F20"/>
          <w:spacing w:val="-10"/>
          <w:sz w:val="12"/>
        </w:rPr>
        <w:t xml:space="preserve"> </w:t>
      </w:r>
      <w:r>
        <w:rPr>
          <w:color w:val="231F20"/>
          <w:sz w:val="12"/>
        </w:rPr>
        <w:t>v</w:t>
      </w:r>
      <w:r>
        <w:rPr>
          <w:color w:val="231F20"/>
          <w:spacing w:val="-10"/>
          <w:sz w:val="12"/>
        </w:rPr>
        <w:t xml:space="preserve"> </w:t>
      </w:r>
      <w:r>
        <w:rPr>
          <w:b/>
          <w:color w:val="231F20"/>
          <w:sz w:val="12"/>
        </w:rPr>
        <w:t>nepřízni- vém</w:t>
      </w:r>
      <w:r>
        <w:rPr>
          <w:b/>
          <w:color w:val="231F20"/>
          <w:spacing w:val="-11"/>
          <w:sz w:val="12"/>
        </w:rPr>
        <w:t xml:space="preserve"> </w:t>
      </w:r>
      <w:r>
        <w:rPr>
          <w:color w:val="231F20"/>
          <w:sz w:val="12"/>
        </w:rPr>
        <w:t>postavení</w:t>
      </w:r>
      <w:r>
        <w:rPr>
          <w:color w:val="231F20"/>
          <w:spacing w:val="-11"/>
          <w:sz w:val="12"/>
        </w:rPr>
        <w:t xml:space="preserve"> </w:t>
      </w:r>
      <w:r>
        <w:rPr>
          <w:color w:val="231F20"/>
          <w:sz w:val="12"/>
        </w:rPr>
        <w:t>(úplná</w:t>
      </w:r>
      <w:r>
        <w:rPr>
          <w:color w:val="231F20"/>
          <w:spacing w:val="-11"/>
          <w:sz w:val="12"/>
        </w:rPr>
        <w:t xml:space="preserve"> </w:t>
      </w:r>
      <w:r>
        <w:rPr>
          <w:color w:val="231F20"/>
          <w:sz w:val="12"/>
        </w:rPr>
        <w:t>abdukce,</w:t>
      </w:r>
      <w:r>
        <w:rPr>
          <w:color w:val="231F20"/>
          <w:spacing w:val="-11"/>
          <w:sz w:val="12"/>
        </w:rPr>
        <w:t xml:space="preserve"> </w:t>
      </w:r>
      <w:r>
        <w:rPr>
          <w:color w:val="231F20"/>
          <w:sz w:val="12"/>
        </w:rPr>
        <w:t>addukce</w:t>
      </w:r>
      <w:r>
        <w:rPr>
          <w:color w:val="231F20"/>
          <w:spacing w:val="-11"/>
          <w:sz w:val="12"/>
        </w:rPr>
        <w:t xml:space="preserve"> </w:t>
      </w:r>
      <w:r>
        <w:rPr>
          <w:color w:val="231F20"/>
          <w:spacing w:val="-4"/>
          <w:sz w:val="12"/>
        </w:rPr>
        <w:t xml:space="preserve">nebo </w:t>
      </w:r>
      <w:r>
        <w:rPr>
          <w:color w:val="231F20"/>
          <w:sz w:val="12"/>
        </w:rPr>
        <w:t>postavení jim</w:t>
      </w:r>
      <w:r>
        <w:rPr>
          <w:color w:val="231F20"/>
          <w:spacing w:val="-4"/>
          <w:sz w:val="12"/>
        </w:rPr>
        <w:t xml:space="preserve"> </w:t>
      </w:r>
      <w:r>
        <w:rPr>
          <w:color w:val="231F20"/>
          <w:sz w:val="12"/>
        </w:rPr>
        <w:t>blízké)</w:t>
      </w:r>
    </w:p>
    <w:p w14:paraId="4950920A" w14:textId="77777777" w:rsidR="00F65BCA" w:rsidRDefault="00216117">
      <w:pPr>
        <w:pStyle w:val="Odstavecseseznamem"/>
        <w:numPr>
          <w:ilvl w:val="0"/>
          <w:numId w:val="40"/>
        </w:numPr>
        <w:tabs>
          <w:tab w:val="left" w:pos="456"/>
        </w:tabs>
        <w:spacing w:before="44"/>
        <w:ind w:hanging="273"/>
        <w:jc w:val="both"/>
        <w:rPr>
          <w:sz w:val="12"/>
        </w:rPr>
      </w:pPr>
      <w:r>
        <w:rPr>
          <w:color w:val="231F20"/>
          <w:sz w:val="12"/>
        </w:rPr>
        <w:t>vpravo</w:t>
      </w:r>
    </w:p>
    <w:p w14:paraId="32FF5B9B" w14:textId="77777777" w:rsidR="00F65BCA" w:rsidRDefault="00216117">
      <w:pPr>
        <w:pStyle w:val="Odstavecseseznamem"/>
        <w:numPr>
          <w:ilvl w:val="0"/>
          <w:numId w:val="40"/>
        </w:numPr>
        <w:tabs>
          <w:tab w:val="left" w:pos="456"/>
        </w:tabs>
        <w:spacing w:before="38"/>
        <w:ind w:hanging="273"/>
        <w:jc w:val="both"/>
        <w:rPr>
          <w:sz w:val="12"/>
        </w:rPr>
      </w:pPr>
      <w:r>
        <w:rPr>
          <w:color w:val="231F20"/>
          <w:sz w:val="12"/>
        </w:rPr>
        <w:t>vlevo</w:t>
      </w:r>
    </w:p>
    <w:p w14:paraId="096A1836" w14:textId="77777777" w:rsidR="00F65BCA" w:rsidRDefault="00216117">
      <w:pPr>
        <w:spacing w:before="61" w:line="249" w:lineRule="auto"/>
        <w:ind w:left="455" w:right="38"/>
        <w:jc w:val="both"/>
        <w:rPr>
          <w:sz w:val="12"/>
        </w:rPr>
      </w:pPr>
      <w:r>
        <w:rPr>
          <w:b/>
          <w:color w:val="231F20"/>
          <w:sz w:val="12"/>
        </w:rPr>
        <w:t>Úplná</w:t>
      </w:r>
      <w:r>
        <w:rPr>
          <w:b/>
          <w:color w:val="231F20"/>
          <w:spacing w:val="-10"/>
          <w:sz w:val="12"/>
        </w:rPr>
        <w:t xml:space="preserve"> </w:t>
      </w:r>
      <w:r>
        <w:rPr>
          <w:b/>
          <w:color w:val="231F20"/>
          <w:sz w:val="12"/>
        </w:rPr>
        <w:t>ztuhlost</w:t>
      </w:r>
      <w:r>
        <w:rPr>
          <w:b/>
          <w:color w:val="231F20"/>
          <w:spacing w:val="-10"/>
          <w:sz w:val="12"/>
        </w:rPr>
        <w:t xml:space="preserve"> </w:t>
      </w:r>
      <w:r>
        <w:rPr>
          <w:color w:val="231F20"/>
          <w:sz w:val="12"/>
        </w:rPr>
        <w:t>ramene</w:t>
      </w:r>
      <w:r>
        <w:rPr>
          <w:color w:val="231F20"/>
          <w:spacing w:val="-10"/>
          <w:sz w:val="12"/>
        </w:rPr>
        <w:t xml:space="preserve"> </w:t>
      </w:r>
      <w:r>
        <w:rPr>
          <w:color w:val="231F20"/>
          <w:sz w:val="12"/>
        </w:rPr>
        <w:t>v</w:t>
      </w:r>
      <w:r>
        <w:rPr>
          <w:color w:val="231F20"/>
          <w:spacing w:val="-10"/>
          <w:sz w:val="12"/>
        </w:rPr>
        <w:t xml:space="preserve"> </w:t>
      </w:r>
      <w:r>
        <w:rPr>
          <w:b/>
          <w:color w:val="231F20"/>
          <w:sz w:val="12"/>
        </w:rPr>
        <w:t>příznivém</w:t>
      </w:r>
      <w:r>
        <w:rPr>
          <w:b/>
          <w:color w:val="231F20"/>
          <w:spacing w:val="-10"/>
          <w:sz w:val="12"/>
        </w:rPr>
        <w:t xml:space="preserve"> </w:t>
      </w:r>
      <w:r>
        <w:rPr>
          <w:color w:val="231F20"/>
          <w:sz w:val="12"/>
        </w:rPr>
        <w:t>postavení jemu</w:t>
      </w:r>
      <w:r>
        <w:rPr>
          <w:color w:val="231F20"/>
          <w:spacing w:val="-10"/>
          <w:sz w:val="12"/>
        </w:rPr>
        <w:t xml:space="preserve"> </w:t>
      </w:r>
      <w:r>
        <w:rPr>
          <w:color w:val="231F20"/>
          <w:sz w:val="12"/>
        </w:rPr>
        <w:t>blízkém</w:t>
      </w:r>
      <w:r>
        <w:rPr>
          <w:color w:val="231F20"/>
          <w:spacing w:val="-9"/>
          <w:sz w:val="12"/>
        </w:rPr>
        <w:t xml:space="preserve"> </w:t>
      </w:r>
      <w:r>
        <w:rPr>
          <w:color w:val="231F20"/>
          <w:sz w:val="12"/>
        </w:rPr>
        <w:t>(odtažení</w:t>
      </w:r>
      <w:r>
        <w:rPr>
          <w:color w:val="231F20"/>
          <w:spacing w:val="-9"/>
          <w:sz w:val="12"/>
        </w:rPr>
        <w:t xml:space="preserve"> </w:t>
      </w:r>
      <w:r>
        <w:rPr>
          <w:color w:val="231F20"/>
          <w:sz w:val="12"/>
        </w:rPr>
        <w:t>50</w:t>
      </w:r>
      <w:r>
        <w:rPr>
          <w:color w:val="231F20"/>
          <w:spacing w:val="-10"/>
          <w:sz w:val="12"/>
        </w:rPr>
        <w:t xml:space="preserve"> </w:t>
      </w:r>
      <w:r>
        <w:rPr>
          <w:color w:val="231F20"/>
          <w:sz w:val="12"/>
        </w:rPr>
        <w:t>–</w:t>
      </w:r>
      <w:r>
        <w:rPr>
          <w:color w:val="231F20"/>
          <w:spacing w:val="-9"/>
          <w:sz w:val="12"/>
        </w:rPr>
        <w:t xml:space="preserve"> </w:t>
      </w:r>
      <w:r>
        <w:rPr>
          <w:color w:val="231F20"/>
          <w:sz w:val="12"/>
        </w:rPr>
        <w:t>70</w:t>
      </w:r>
      <w:r>
        <w:rPr>
          <w:color w:val="231F20"/>
          <w:spacing w:val="-9"/>
          <w:sz w:val="12"/>
        </w:rPr>
        <w:t xml:space="preserve"> </w:t>
      </w:r>
      <w:r>
        <w:rPr>
          <w:color w:val="231F20"/>
          <w:sz w:val="12"/>
        </w:rPr>
        <w:t>stupňů,</w:t>
      </w:r>
      <w:r>
        <w:rPr>
          <w:color w:val="231F20"/>
          <w:spacing w:val="-10"/>
          <w:sz w:val="12"/>
        </w:rPr>
        <w:t xml:space="preserve"> </w:t>
      </w:r>
      <w:r>
        <w:rPr>
          <w:color w:val="231F20"/>
          <w:spacing w:val="-4"/>
          <w:sz w:val="12"/>
        </w:rPr>
        <w:t xml:space="preserve">předpa- </w:t>
      </w:r>
      <w:r>
        <w:rPr>
          <w:color w:val="231F20"/>
          <w:sz w:val="12"/>
        </w:rPr>
        <w:t>žení 40 – 45 stupňů a vnitřní</w:t>
      </w:r>
      <w:r>
        <w:rPr>
          <w:color w:val="231F20"/>
          <w:spacing w:val="-23"/>
          <w:sz w:val="12"/>
        </w:rPr>
        <w:t xml:space="preserve"> </w:t>
      </w:r>
      <w:r>
        <w:rPr>
          <w:color w:val="231F20"/>
          <w:sz w:val="12"/>
        </w:rPr>
        <w:t>rotace)</w:t>
      </w:r>
    </w:p>
    <w:p w14:paraId="462F8D5C" w14:textId="77777777" w:rsidR="00F65BCA" w:rsidRDefault="00216117">
      <w:pPr>
        <w:pStyle w:val="Odstavecseseznamem"/>
        <w:numPr>
          <w:ilvl w:val="0"/>
          <w:numId w:val="40"/>
        </w:numPr>
        <w:tabs>
          <w:tab w:val="left" w:pos="456"/>
        </w:tabs>
        <w:spacing w:before="57"/>
        <w:ind w:hanging="273"/>
        <w:jc w:val="both"/>
        <w:rPr>
          <w:sz w:val="12"/>
        </w:rPr>
      </w:pPr>
      <w:r>
        <w:rPr>
          <w:color w:val="231F20"/>
          <w:sz w:val="12"/>
        </w:rPr>
        <w:t>vpravo</w:t>
      </w:r>
    </w:p>
    <w:p w14:paraId="294ECFAD" w14:textId="77777777" w:rsidR="00F65BCA" w:rsidRDefault="00216117">
      <w:pPr>
        <w:pStyle w:val="Odstavecseseznamem"/>
        <w:numPr>
          <w:ilvl w:val="0"/>
          <w:numId w:val="40"/>
        </w:numPr>
        <w:tabs>
          <w:tab w:val="left" w:pos="456"/>
        </w:tabs>
        <w:spacing w:before="37"/>
        <w:ind w:hanging="273"/>
        <w:jc w:val="both"/>
        <w:rPr>
          <w:sz w:val="12"/>
        </w:rPr>
      </w:pPr>
      <w:r>
        <w:rPr>
          <w:color w:val="231F20"/>
          <w:sz w:val="12"/>
        </w:rPr>
        <w:t>vlevo</w:t>
      </w:r>
    </w:p>
    <w:p w14:paraId="4F81DDBD" w14:textId="77777777" w:rsidR="00F65BCA" w:rsidRDefault="00216117">
      <w:pPr>
        <w:spacing w:before="38"/>
        <w:ind w:left="455"/>
        <w:rPr>
          <w:sz w:val="12"/>
        </w:rPr>
      </w:pPr>
      <w:r>
        <w:rPr>
          <w:b/>
          <w:color w:val="231F20"/>
          <w:sz w:val="12"/>
        </w:rPr>
        <w:t xml:space="preserve">Omezení pohyblivosti </w:t>
      </w:r>
      <w:r>
        <w:rPr>
          <w:color w:val="231F20"/>
          <w:sz w:val="12"/>
        </w:rPr>
        <w:t>ramenního kloubu</w:t>
      </w:r>
    </w:p>
    <w:p w14:paraId="442476D9" w14:textId="77777777" w:rsidR="00F65BCA" w:rsidRDefault="00216117">
      <w:pPr>
        <w:spacing w:before="48" w:line="249" w:lineRule="auto"/>
        <w:ind w:left="455" w:right="389"/>
        <w:rPr>
          <w:sz w:val="12"/>
        </w:rPr>
      </w:pPr>
      <w:r>
        <w:rPr>
          <w:color w:val="231F20"/>
          <w:sz w:val="12"/>
        </w:rPr>
        <w:t xml:space="preserve">lehkého stupně (vzpažení </w:t>
      </w:r>
      <w:r>
        <w:rPr>
          <w:color w:val="231F20"/>
          <w:spacing w:val="-3"/>
          <w:sz w:val="12"/>
        </w:rPr>
        <w:t xml:space="preserve">předpažením, </w:t>
      </w:r>
      <w:r>
        <w:rPr>
          <w:color w:val="231F20"/>
          <w:sz w:val="12"/>
        </w:rPr>
        <w:t>předpažení neúplné nad 135 stupňů)</w:t>
      </w:r>
    </w:p>
    <w:p w14:paraId="45F03ED8" w14:textId="77777777" w:rsidR="00F65BCA" w:rsidRDefault="00216117">
      <w:pPr>
        <w:pStyle w:val="Odstavecseseznamem"/>
        <w:numPr>
          <w:ilvl w:val="0"/>
          <w:numId w:val="40"/>
        </w:numPr>
        <w:tabs>
          <w:tab w:val="left" w:pos="456"/>
        </w:tabs>
        <w:spacing w:before="43"/>
        <w:ind w:hanging="273"/>
        <w:rPr>
          <w:sz w:val="12"/>
        </w:rPr>
      </w:pPr>
      <w:r>
        <w:rPr>
          <w:color w:val="231F20"/>
          <w:sz w:val="12"/>
        </w:rPr>
        <w:t>vpravo</w:t>
      </w:r>
    </w:p>
    <w:p w14:paraId="2CA7C068" w14:textId="77777777" w:rsidR="00F65BCA" w:rsidRDefault="00216117">
      <w:pPr>
        <w:pStyle w:val="Odstavecseseznamem"/>
        <w:numPr>
          <w:ilvl w:val="0"/>
          <w:numId w:val="40"/>
        </w:numPr>
        <w:tabs>
          <w:tab w:val="left" w:pos="456"/>
        </w:tabs>
        <w:spacing w:before="38"/>
        <w:ind w:hanging="273"/>
        <w:rPr>
          <w:sz w:val="12"/>
        </w:rPr>
      </w:pPr>
      <w:r>
        <w:rPr>
          <w:color w:val="231F20"/>
          <w:sz w:val="12"/>
        </w:rPr>
        <w:t>vlevo</w:t>
      </w:r>
    </w:p>
    <w:p w14:paraId="3A8D2AC0" w14:textId="77777777" w:rsidR="00F65BCA" w:rsidRDefault="00216117">
      <w:pPr>
        <w:spacing w:before="48"/>
        <w:ind w:left="455"/>
        <w:rPr>
          <w:sz w:val="12"/>
        </w:rPr>
      </w:pPr>
      <w:r>
        <w:rPr>
          <w:color w:val="231F20"/>
          <w:sz w:val="12"/>
        </w:rPr>
        <w:t>středního stupně</w:t>
      </w:r>
    </w:p>
    <w:p w14:paraId="54ADE0D7" w14:textId="77777777" w:rsidR="00F65BCA" w:rsidRDefault="00216117">
      <w:pPr>
        <w:spacing w:before="6"/>
        <w:ind w:left="455"/>
        <w:rPr>
          <w:sz w:val="12"/>
        </w:rPr>
      </w:pPr>
      <w:r>
        <w:rPr>
          <w:color w:val="231F20"/>
          <w:sz w:val="12"/>
        </w:rPr>
        <w:t>(vzpažení předpažením do 135 stupňů)</w:t>
      </w:r>
    </w:p>
    <w:p w14:paraId="2D9770D2" w14:textId="77777777" w:rsidR="00F65BCA" w:rsidRDefault="00216117">
      <w:pPr>
        <w:pStyle w:val="Odstavecseseznamem"/>
        <w:numPr>
          <w:ilvl w:val="0"/>
          <w:numId w:val="40"/>
        </w:numPr>
        <w:tabs>
          <w:tab w:val="left" w:pos="456"/>
        </w:tabs>
        <w:spacing w:before="48"/>
        <w:ind w:hanging="273"/>
        <w:rPr>
          <w:sz w:val="12"/>
        </w:rPr>
      </w:pPr>
      <w:r>
        <w:rPr>
          <w:color w:val="231F20"/>
          <w:sz w:val="12"/>
        </w:rPr>
        <w:t>vpravo</w:t>
      </w:r>
    </w:p>
    <w:p w14:paraId="25D00487" w14:textId="77777777" w:rsidR="00F65BCA" w:rsidRDefault="00216117">
      <w:pPr>
        <w:pStyle w:val="Odstavecseseznamem"/>
        <w:numPr>
          <w:ilvl w:val="0"/>
          <w:numId w:val="40"/>
        </w:numPr>
        <w:tabs>
          <w:tab w:val="left" w:pos="456"/>
        </w:tabs>
        <w:spacing w:before="38"/>
        <w:ind w:hanging="273"/>
        <w:rPr>
          <w:sz w:val="12"/>
        </w:rPr>
      </w:pPr>
      <w:r>
        <w:rPr>
          <w:color w:val="231F20"/>
          <w:sz w:val="12"/>
        </w:rPr>
        <w:t>vlevo</w:t>
      </w:r>
    </w:p>
    <w:p w14:paraId="384A7986" w14:textId="77777777" w:rsidR="00F65BCA" w:rsidRDefault="00216117">
      <w:pPr>
        <w:spacing w:before="47"/>
        <w:ind w:left="455"/>
        <w:rPr>
          <w:sz w:val="12"/>
        </w:rPr>
      </w:pPr>
      <w:r>
        <w:rPr>
          <w:color w:val="231F20"/>
          <w:sz w:val="12"/>
        </w:rPr>
        <w:t>těžkého stupně</w:t>
      </w:r>
    </w:p>
    <w:p w14:paraId="1C24D24A" w14:textId="77777777" w:rsidR="00F65BCA" w:rsidRDefault="00216117">
      <w:pPr>
        <w:spacing w:before="6"/>
        <w:ind w:left="455"/>
        <w:rPr>
          <w:sz w:val="12"/>
        </w:rPr>
      </w:pPr>
      <w:r>
        <w:rPr>
          <w:color w:val="231F20"/>
          <w:sz w:val="12"/>
        </w:rPr>
        <w:t>(vzpažení předpažením do 90 stupňů)</w:t>
      </w:r>
    </w:p>
    <w:p w14:paraId="4BA414BC" w14:textId="77777777" w:rsidR="00F65BCA" w:rsidRDefault="00216117">
      <w:pPr>
        <w:pStyle w:val="Odstavecseseznamem"/>
        <w:numPr>
          <w:ilvl w:val="0"/>
          <w:numId w:val="40"/>
        </w:numPr>
        <w:tabs>
          <w:tab w:val="left" w:pos="456"/>
        </w:tabs>
        <w:spacing w:before="37"/>
        <w:ind w:hanging="273"/>
        <w:rPr>
          <w:sz w:val="12"/>
        </w:rPr>
      </w:pPr>
      <w:r>
        <w:rPr>
          <w:color w:val="231F20"/>
          <w:sz w:val="12"/>
        </w:rPr>
        <w:t>vpravo</w:t>
      </w:r>
    </w:p>
    <w:p w14:paraId="70BC3E72" w14:textId="77777777" w:rsidR="00F65BCA" w:rsidRDefault="00216117">
      <w:pPr>
        <w:pStyle w:val="Odstavecseseznamem"/>
        <w:numPr>
          <w:ilvl w:val="0"/>
          <w:numId w:val="40"/>
        </w:numPr>
        <w:tabs>
          <w:tab w:val="left" w:pos="456"/>
        </w:tabs>
        <w:spacing w:before="44"/>
        <w:ind w:hanging="273"/>
        <w:rPr>
          <w:sz w:val="12"/>
        </w:rPr>
      </w:pPr>
      <w:r>
        <w:rPr>
          <w:color w:val="231F20"/>
          <w:sz w:val="12"/>
        </w:rPr>
        <w:t>vlevo</w:t>
      </w:r>
    </w:p>
    <w:p w14:paraId="00B48691" w14:textId="77777777" w:rsidR="00F65BCA" w:rsidRDefault="00216117">
      <w:pPr>
        <w:spacing w:before="57"/>
        <w:ind w:left="455"/>
        <w:rPr>
          <w:sz w:val="12"/>
        </w:rPr>
      </w:pPr>
      <w:r>
        <w:rPr>
          <w:b/>
          <w:color w:val="231F20"/>
          <w:sz w:val="12"/>
        </w:rPr>
        <w:t xml:space="preserve">Viklavost </w:t>
      </w:r>
      <w:r>
        <w:rPr>
          <w:color w:val="231F20"/>
          <w:sz w:val="12"/>
        </w:rPr>
        <w:t>ramenního kloubu</w:t>
      </w:r>
    </w:p>
    <w:p w14:paraId="289B1290" w14:textId="77777777" w:rsidR="00F65BCA" w:rsidRDefault="00216117">
      <w:pPr>
        <w:pStyle w:val="Odstavecseseznamem"/>
        <w:numPr>
          <w:ilvl w:val="0"/>
          <w:numId w:val="40"/>
        </w:numPr>
        <w:tabs>
          <w:tab w:val="left" w:pos="456"/>
        </w:tabs>
        <w:spacing w:before="44"/>
        <w:ind w:hanging="273"/>
        <w:rPr>
          <w:sz w:val="12"/>
        </w:rPr>
      </w:pPr>
      <w:r>
        <w:rPr>
          <w:color w:val="231F20"/>
          <w:sz w:val="12"/>
        </w:rPr>
        <w:t>vpravo</w:t>
      </w:r>
    </w:p>
    <w:p w14:paraId="6023E665" w14:textId="77777777" w:rsidR="00F65BCA" w:rsidRDefault="00216117">
      <w:pPr>
        <w:pStyle w:val="Odstavecseseznamem"/>
        <w:numPr>
          <w:ilvl w:val="0"/>
          <w:numId w:val="40"/>
        </w:numPr>
        <w:tabs>
          <w:tab w:val="left" w:pos="456"/>
        </w:tabs>
        <w:spacing w:before="43"/>
        <w:ind w:hanging="273"/>
        <w:rPr>
          <w:sz w:val="12"/>
        </w:rPr>
      </w:pPr>
      <w:r>
        <w:rPr>
          <w:color w:val="231F20"/>
          <w:sz w:val="12"/>
        </w:rPr>
        <w:t>vlevo</w:t>
      </w:r>
    </w:p>
    <w:p w14:paraId="5C4A8BFD" w14:textId="77777777" w:rsidR="00F65BCA" w:rsidRDefault="00216117">
      <w:pPr>
        <w:spacing w:before="43"/>
        <w:ind w:left="455"/>
        <w:rPr>
          <w:b/>
          <w:sz w:val="12"/>
        </w:rPr>
      </w:pPr>
      <w:r>
        <w:rPr>
          <w:color w:val="231F20"/>
          <w:sz w:val="12"/>
        </w:rPr>
        <w:t xml:space="preserve">Nenapravené </w:t>
      </w:r>
      <w:r>
        <w:rPr>
          <w:b/>
          <w:color w:val="231F20"/>
          <w:sz w:val="12"/>
        </w:rPr>
        <w:t>vykloubení sternoklavikulární</w:t>
      </w:r>
    </w:p>
    <w:p w14:paraId="32E96298" w14:textId="77777777" w:rsidR="00F65BCA" w:rsidRDefault="00216117">
      <w:pPr>
        <w:pStyle w:val="Odstavecseseznamem"/>
        <w:numPr>
          <w:ilvl w:val="0"/>
          <w:numId w:val="40"/>
        </w:numPr>
        <w:tabs>
          <w:tab w:val="left" w:pos="456"/>
        </w:tabs>
        <w:spacing w:before="47"/>
        <w:ind w:hanging="273"/>
        <w:rPr>
          <w:sz w:val="12"/>
        </w:rPr>
      </w:pPr>
      <w:r>
        <w:rPr>
          <w:color w:val="231F20"/>
          <w:sz w:val="12"/>
        </w:rPr>
        <w:t>vpravo</w:t>
      </w:r>
    </w:p>
    <w:p w14:paraId="3E783A75" w14:textId="77777777" w:rsidR="00F65BCA" w:rsidRDefault="00216117">
      <w:pPr>
        <w:pStyle w:val="Odstavecseseznamem"/>
        <w:numPr>
          <w:ilvl w:val="0"/>
          <w:numId w:val="40"/>
        </w:numPr>
        <w:tabs>
          <w:tab w:val="left" w:pos="456"/>
        </w:tabs>
        <w:spacing w:before="53"/>
        <w:ind w:hanging="273"/>
        <w:rPr>
          <w:sz w:val="12"/>
        </w:rPr>
      </w:pPr>
      <w:r>
        <w:rPr>
          <w:color w:val="231F20"/>
          <w:sz w:val="12"/>
        </w:rPr>
        <w:t>vlevo</w:t>
      </w:r>
    </w:p>
    <w:p w14:paraId="25678128" w14:textId="77777777" w:rsidR="00F65BCA" w:rsidRDefault="00216117">
      <w:pPr>
        <w:pStyle w:val="Zkladntext"/>
        <w:rPr>
          <w:sz w:val="14"/>
        </w:rPr>
      </w:pPr>
      <w:r>
        <w:br w:type="column"/>
      </w:r>
    </w:p>
    <w:p w14:paraId="0ED2AF87" w14:textId="77777777" w:rsidR="00F65BCA" w:rsidRDefault="00216117">
      <w:pPr>
        <w:spacing w:before="96"/>
        <w:ind w:left="183"/>
        <w:rPr>
          <w:sz w:val="12"/>
        </w:rPr>
      </w:pPr>
      <w:r>
        <w:rPr>
          <w:color w:val="231F20"/>
          <w:sz w:val="12"/>
        </w:rPr>
        <w:t>do 40</w:t>
      </w:r>
      <w:r>
        <w:rPr>
          <w:color w:val="231F20"/>
          <w:spacing w:val="-17"/>
          <w:sz w:val="12"/>
        </w:rPr>
        <w:t xml:space="preserve"> </w:t>
      </w:r>
      <w:r>
        <w:rPr>
          <w:color w:val="231F20"/>
          <w:sz w:val="12"/>
        </w:rPr>
        <w:t>%</w:t>
      </w:r>
    </w:p>
    <w:p w14:paraId="43A49945" w14:textId="77777777" w:rsidR="00F65BCA" w:rsidRDefault="00216117">
      <w:pPr>
        <w:spacing w:before="38"/>
        <w:ind w:left="183"/>
        <w:rPr>
          <w:sz w:val="12"/>
        </w:rPr>
      </w:pPr>
      <w:r>
        <w:rPr>
          <w:color w:val="231F20"/>
          <w:sz w:val="12"/>
        </w:rPr>
        <w:t>do 25</w:t>
      </w:r>
      <w:r>
        <w:rPr>
          <w:color w:val="231F20"/>
          <w:spacing w:val="-17"/>
          <w:sz w:val="12"/>
        </w:rPr>
        <w:t xml:space="preserve"> </w:t>
      </w:r>
      <w:r>
        <w:rPr>
          <w:color w:val="231F20"/>
          <w:sz w:val="12"/>
        </w:rPr>
        <w:t>%</w:t>
      </w:r>
    </w:p>
    <w:p w14:paraId="1C98D3FF" w14:textId="77777777" w:rsidR="00F65BCA" w:rsidRDefault="00216117">
      <w:pPr>
        <w:spacing w:before="37"/>
        <w:ind w:left="183"/>
        <w:rPr>
          <w:sz w:val="12"/>
        </w:rPr>
      </w:pPr>
      <w:r>
        <w:rPr>
          <w:color w:val="231F20"/>
          <w:sz w:val="12"/>
        </w:rPr>
        <w:t>do 30</w:t>
      </w:r>
      <w:r>
        <w:rPr>
          <w:color w:val="231F20"/>
          <w:spacing w:val="-17"/>
          <w:sz w:val="12"/>
        </w:rPr>
        <w:t xml:space="preserve"> </w:t>
      </w:r>
      <w:r>
        <w:rPr>
          <w:color w:val="231F20"/>
          <w:sz w:val="12"/>
        </w:rPr>
        <w:t>%</w:t>
      </w:r>
    </w:p>
    <w:p w14:paraId="2E098EA4" w14:textId="77777777" w:rsidR="00F65BCA" w:rsidRDefault="00F65BCA">
      <w:pPr>
        <w:pStyle w:val="Zkladntext"/>
        <w:rPr>
          <w:sz w:val="14"/>
        </w:rPr>
      </w:pPr>
    </w:p>
    <w:p w14:paraId="3FB1FB7A" w14:textId="77777777" w:rsidR="00F65BCA" w:rsidRDefault="00F65BCA">
      <w:pPr>
        <w:pStyle w:val="Zkladntext"/>
        <w:rPr>
          <w:sz w:val="14"/>
        </w:rPr>
      </w:pPr>
    </w:p>
    <w:p w14:paraId="2A093F41" w14:textId="77777777" w:rsidR="00F65BCA" w:rsidRDefault="00F65BCA">
      <w:pPr>
        <w:pStyle w:val="Zkladntext"/>
        <w:rPr>
          <w:sz w:val="14"/>
        </w:rPr>
      </w:pPr>
    </w:p>
    <w:p w14:paraId="3FCC627A" w14:textId="77777777" w:rsidR="00F65BCA" w:rsidRDefault="00F65BCA">
      <w:pPr>
        <w:pStyle w:val="Zkladntext"/>
        <w:rPr>
          <w:sz w:val="14"/>
        </w:rPr>
      </w:pPr>
    </w:p>
    <w:p w14:paraId="1EEAAF33" w14:textId="77777777" w:rsidR="00F65BCA" w:rsidRDefault="00F65BCA">
      <w:pPr>
        <w:pStyle w:val="Zkladntext"/>
        <w:rPr>
          <w:sz w:val="14"/>
        </w:rPr>
      </w:pPr>
    </w:p>
    <w:p w14:paraId="2C4FF8F1" w14:textId="77777777" w:rsidR="00F65BCA" w:rsidRDefault="00F65BCA">
      <w:pPr>
        <w:pStyle w:val="Zkladntext"/>
        <w:rPr>
          <w:sz w:val="14"/>
        </w:rPr>
      </w:pPr>
    </w:p>
    <w:p w14:paraId="130DFEFC" w14:textId="77777777" w:rsidR="00F65BCA" w:rsidRDefault="00216117">
      <w:pPr>
        <w:spacing w:before="96"/>
        <w:ind w:left="352"/>
        <w:rPr>
          <w:sz w:val="12"/>
        </w:rPr>
      </w:pPr>
      <w:r>
        <w:rPr>
          <w:color w:val="231F20"/>
          <w:sz w:val="12"/>
        </w:rPr>
        <w:t>70</w:t>
      </w:r>
      <w:r>
        <w:rPr>
          <w:color w:val="231F20"/>
          <w:spacing w:val="-20"/>
          <w:sz w:val="12"/>
        </w:rPr>
        <w:t xml:space="preserve"> </w:t>
      </w:r>
      <w:r>
        <w:rPr>
          <w:color w:val="231F20"/>
          <w:sz w:val="12"/>
        </w:rPr>
        <w:t>%</w:t>
      </w:r>
    </w:p>
    <w:p w14:paraId="1AFBBD53" w14:textId="77777777" w:rsidR="00F65BCA" w:rsidRDefault="00216117">
      <w:pPr>
        <w:spacing w:before="43"/>
        <w:ind w:left="352"/>
        <w:rPr>
          <w:sz w:val="12"/>
        </w:rPr>
      </w:pPr>
      <w:r>
        <w:rPr>
          <w:color w:val="231F20"/>
          <w:sz w:val="12"/>
        </w:rPr>
        <w:t>60</w:t>
      </w:r>
      <w:r>
        <w:rPr>
          <w:color w:val="231F20"/>
          <w:spacing w:val="-20"/>
          <w:sz w:val="12"/>
        </w:rPr>
        <w:t xml:space="preserve"> </w:t>
      </w:r>
      <w:r>
        <w:rPr>
          <w:color w:val="231F20"/>
          <w:sz w:val="12"/>
        </w:rPr>
        <w:t>%</w:t>
      </w:r>
    </w:p>
    <w:p w14:paraId="469AE056" w14:textId="77777777" w:rsidR="00F65BCA" w:rsidRDefault="00F65BCA">
      <w:pPr>
        <w:pStyle w:val="Zkladntext"/>
        <w:rPr>
          <w:sz w:val="14"/>
        </w:rPr>
      </w:pPr>
    </w:p>
    <w:p w14:paraId="3E9D0C26" w14:textId="77777777" w:rsidR="00F65BCA" w:rsidRDefault="00F65BCA">
      <w:pPr>
        <w:pStyle w:val="Zkladntext"/>
        <w:spacing w:before="4"/>
        <w:rPr>
          <w:sz w:val="19"/>
        </w:rPr>
      </w:pPr>
    </w:p>
    <w:p w14:paraId="29E7DD88" w14:textId="77777777" w:rsidR="00F65BCA" w:rsidRDefault="00216117">
      <w:pPr>
        <w:ind w:left="352"/>
        <w:rPr>
          <w:sz w:val="12"/>
        </w:rPr>
      </w:pPr>
      <w:r>
        <w:rPr>
          <w:color w:val="231F20"/>
          <w:sz w:val="12"/>
        </w:rPr>
        <w:t>20</w:t>
      </w:r>
      <w:r>
        <w:rPr>
          <w:color w:val="231F20"/>
          <w:spacing w:val="-20"/>
          <w:sz w:val="12"/>
        </w:rPr>
        <w:t xml:space="preserve"> </w:t>
      </w:r>
      <w:r>
        <w:rPr>
          <w:color w:val="231F20"/>
          <w:sz w:val="12"/>
        </w:rPr>
        <w:t>%</w:t>
      </w:r>
    </w:p>
    <w:p w14:paraId="3F2A6813" w14:textId="77777777" w:rsidR="00F65BCA" w:rsidRDefault="00216117">
      <w:pPr>
        <w:spacing w:before="44"/>
        <w:ind w:left="352"/>
        <w:rPr>
          <w:sz w:val="12"/>
        </w:rPr>
      </w:pPr>
      <w:r>
        <w:rPr>
          <w:color w:val="231F20"/>
          <w:sz w:val="12"/>
        </w:rPr>
        <w:t>15</w:t>
      </w:r>
      <w:r>
        <w:rPr>
          <w:color w:val="231F20"/>
          <w:spacing w:val="-20"/>
          <w:sz w:val="12"/>
        </w:rPr>
        <w:t xml:space="preserve"> </w:t>
      </w:r>
      <w:r>
        <w:rPr>
          <w:color w:val="231F20"/>
          <w:sz w:val="12"/>
        </w:rPr>
        <w:t>%</w:t>
      </w:r>
    </w:p>
    <w:p w14:paraId="58E7672F" w14:textId="77777777" w:rsidR="00F65BCA" w:rsidRDefault="00F65BCA">
      <w:pPr>
        <w:pStyle w:val="Zkladntext"/>
        <w:rPr>
          <w:sz w:val="19"/>
        </w:rPr>
      </w:pPr>
    </w:p>
    <w:p w14:paraId="406E5E73" w14:textId="77777777" w:rsidR="00F65BCA" w:rsidRDefault="00216117">
      <w:pPr>
        <w:ind w:left="352"/>
        <w:rPr>
          <w:sz w:val="12"/>
        </w:rPr>
      </w:pPr>
      <w:r>
        <w:rPr>
          <w:color w:val="231F20"/>
          <w:sz w:val="12"/>
        </w:rPr>
        <w:t>15</w:t>
      </w:r>
      <w:r>
        <w:rPr>
          <w:color w:val="231F20"/>
          <w:spacing w:val="-20"/>
          <w:sz w:val="12"/>
        </w:rPr>
        <w:t xml:space="preserve"> </w:t>
      </w:r>
      <w:r>
        <w:rPr>
          <w:color w:val="231F20"/>
          <w:sz w:val="12"/>
        </w:rPr>
        <w:t>%</w:t>
      </w:r>
    </w:p>
    <w:p w14:paraId="652A3C97" w14:textId="77777777" w:rsidR="00F65BCA" w:rsidRDefault="00216117">
      <w:pPr>
        <w:spacing w:before="44"/>
        <w:ind w:left="352"/>
        <w:rPr>
          <w:sz w:val="12"/>
        </w:rPr>
      </w:pPr>
      <w:r>
        <w:rPr>
          <w:color w:val="231F20"/>
          <w:sz w:val="12"/>
        </w:rPr>
        <w:t>10</w:t>
      </w:r>
      <w:r>
        <w:rPr>
          <w:color w:val="231F20"/>
          <w:spacing w:val="-20"/>
          <w:sz w:val="12"/>
        </w:rPr>
        <w:t xml:space="preserve"> </w:t>
      </w:r>
      <w:r>
        <w:rPr>
          <w:color w:val="231F20"/>
          <w:sz w:val="12"/>
        </w:rPr>
        <w:t>%</w:t>
      </w:r>
    </w:p>
    <w:p w14:paraId="20634C64" w14:textId="77777777" w:rsidR="00F65BCA" w:rsidRDefault="00F65BCA">
      <w:pPr>
        <w:pStyle w:val="Zkladntext"/>
        <w:rPr>
          <w:sz w:val="14"/>
        </w:rPr>
      </w:pPr>
    </w:p>
    <w:p w14:paraId="1C766282" w14:textId="77777777" w:rsidR="00F65BCA" w:rsidRDefault="00F65BCA">
      <w:pPr>
        <w:pStyle w:val="Zkladntext"/>
        <w:rPr>
          <w:sz w:val="14"/>
        </w:rPr>
      </w:pPr>
    </w:p>
    <w:p w14:paraId="04ADE853" w14:textId="77777777" w:rsidR="00F65BCA" w:rsidRDefault="00F65BCA">
      <w:pPr>
        <w:pStyle w:val="Zkladntext"/>
        <w:rPr>
          <w:sz w:val="14"/>
        </w:rPr>
      </w:pPr>
    </w:p>
    <w:p w14:paraId="1EB67C7D" w14:textId="77777777" w:rsidR="00F65BCA" w:rsidRDefault="00F65BCA">
      <w:pPr>
        <w:pStyle w:val="Zkladntext"/>
        <w:spacing w:before="2"/>
        <w:rPr>
          <w:sz w:val="19"/>
        </w:rPr>
      </w:pPr>
    </w:p>
    <w:p w14:paraId="59D29410" w14:textId="77777777" w:rsidR="00F65BCA" w:rsidRDefault="00216117">
      <w:pPr>
        <w:ind w:left="352"/>
        <w:rPr>
          <w:sz w:val="12"/>
        </w:rPr>
      </w:pPr>
      <w:r>
        <w:rPr>
          <w:color w:val="231F20"/>
          <w:sz w:val="12"/>
        </w:rPr>
        <w:t>40</w:t>
      </w:r>
      <w:r>
        <w:rPr>
          <w:color w:val="231F20"/>
          <w:spacing w:val="-20"/>
          <w:sz w:val="12"/>
        </w:rPr>
        <w:t xml:space="preserve"> </w:t>
      </w:r>
      <w:r>
        <w:rPr>
          <w:color w:val="231F20"/>
          <w:sz w:val="12"/>
        </w:rPr>
        <w:t>%</w:t>
      </w:r>
    </w:p>
    <w:p w14:paraId="7E86FCAE" w14:textId="77777777" w:rsidR="00F65BCA" w:rsidRDefault="00216117">
      <w:pPr>
        <w:spacing w:before="38"/>
        <w:ind w:left="352"/>
        <w:rPr>
          <w:sz w:val="12"/>
        </w:rPr>
      </w:pPr>
      <w:r>
        <w:rPr>
          <w:color w:val="231F20"/>
          <w:sz w:val="12"/>
        </w:rPr>
        <w:t>35</w:t>
      </w:r>
      <w:r>
        <w:rPr>
          <w:color w:val="231F20"/>
          <w:spacing w:val="-20"/>
          <w:sz w:val="12"/>
        </w:rPr>
        <w:t xml:space="preserve"> </w:t>
      </w:r>
      <w:r>
        <w:rPr>
          <w:color w:val="231F20"/>
          <w:sz w:val="12"/>
        </w:rPr>
        <w:t>%</w:t>
      </w:r>
    </w:p>
    <w:p w14:paraId="1B989B5F" w14:textId="77777777" w:rsidR="00F65BCA" w:rsidRDefault="00F65BCA">
      <w:pPr>
        <w:pStyle w:val="Zkladntext"/>
        <w:rPr>
          <w:sz w:val="14"/>
        </w:rPr>
      </w:pPr>
    </w:p>
    <w:p w14:paraId="488D3E3D" w14:textId="77777777" w:rsidR="00F65BCA" w:rsidRDefault="00F65BCA">
      <w:pPr>
        <w:pStyle w:val="Zkladntext"/>
        <w:rPr>
          <w:sz w:val="14"/>
        </w:rPr>
      </w:pPr>
    </w:p>
    <w:p w14:paraId="6D9982DF" w14:textId="77777777" w:rsidR="00F65BCA" w:rsidRDefault="00F65BCA">
      <w:pPr>
        <w:pStyle w:val="Zkladntext"/>
        <w:spacing w:before="7"/>
        <w:rPr>
          <w:sz w:val="19"/>
        </w:rPr>
      </w:pPr>
    </w:p>
    <w:p w14:paraId="353EA79D" w14:textId="77777777" w:rsidR="00F65BCA" w:rsidRDefault="00216117">
      <w:pPr>
        <w:ind w:left="352"/>
        <w:rPr>
          <w:sz w:val="12"/>
        </w:rPr>
      </w:pPr>
      <w:r>
        <w:rPr>
          <w:color w:val="231F20"/>
          <w:sz w:val="12"/>
        </w:rPr>
        <w:t>36</w:t>
      </w:r>
      <w:r>
        <w:rPr>
          <w:color w:val="231F20"/>
          <w:spacing w:val="-20"/>
          <w:sz w:val="12"/>
        </w:rPr>
        <w:t xml:space="preserve"> </w:t>
      </w:r>
      <w:r>
        <w:rPr>
          <w:color w:val="231F20"/>
          <w:sz w:val="12"/>
        </w:rPr>
        <w:t>%</w:t>
      </w:r>
    </w:p>
    <w:p w14:paraId="3FB0FC97" w14:textId="77777777" w:rsidR="00F65BCA" w:rsidRDefault="00216117">
      <w:pPr>
        <w:spacing w:before="38"/>
        <w:ind w:left="352"/>
        <w:rPr>
          <w:sz w:val="12"/>
        </w:rPr>
      </w:pPr>
      <w:r>
        <w:rPr>
          <w:color w:val="231F20"/>
          <w:sz w:val="12"/>
        </w:rPr>
        <w:t>31</w:t>
      </w:r>
      <w:r>
        <w:rPr>
          <w:color w:val="231F20"/>
          <w:spacing w:val="-20"/>
          <w:sz w:val="12"/>
        </w:rPr>
        <w:t xml:space="preserve"> </w:t>
      </w:r>
      <w:r>
        <w:rPr>
          <w:color w:val="231F20"/>
          <w:sz w:val="12"/>
        </w:rPr>
        <w:t>%</w:t>
      </w:r>
    </w:p>
    <w:p w14:paraId="03D6FC6F" w14:textId="77777777" w:rsidR="00F65BCA" w:rsidRDefault="00F65BCA">
      <w:pPr>
        <w:pStyle w:val="Zkladntext"/>
        <w:rPr>
          <w:sz w:val="14"/>
        </w:rPr>
      </w:pPr>
    </w:p>
    <w:p w14:paraId="699EDE0D" w14:textId="77777777" w:rsidR="00F65BCA" w:rsidRDefault="00F65BCA">
      <w:pPr>
        <w:pStyle w:val="Zkladntext"/>
        <w:rPr>
          <w:sz w:val="14"/>
        </w:rPr>
      </w:pPr>
    </w:p>
    <w:p w14:paraId="0EB98D9D" w14:textId="77777777" w:rsidR="00F65BCA" w:rsidRDefault="00F65BCA">
      <w:pPr>
        <w:pStyle w:val="Zkladntext"/>
        <w:spacing w:before="2"/>
        <w:rPr>
          <w:sz w:val="20"/>
        </w:rPr>
      </w:pPr>
    </w:p>
    <w:p w14:paraId="7F7A814B" w14:textId="77777777" w:rsidR="00F65BCA" w:rsidRDefault="00216117">
      <w:pPr>
        <w:ind w:left="419"/>
        <w:rPr>
          <w:sz w:val="12"/>
        </w:rPr>
      </w:pPr>
      <w:r>
        <w:rPr>
          <w:color w:val="231F20"/>
          <w:sz w:val="12"/>
        </w:rPr>
        <w:t>5</w:t>
      </w:r>
      <w:r>
        <w:rPr>
          <w:color w:val="231F20"/>
          <w:spacing w:val="-20"/>
          <w:sz w:val="12"/>
        </w:rPr>
        <w:t xml:space="preserve"> </w:t>
      </w:r>
      <w:r>
        <w:rPr>
          <w:color w:val="231F20"/>
          <w:sz w:val="12"/>
        </w:rPr>
        <w:t>%</w:t>
      </w:r>
    </w:p>
    <w:p w14:paraId="19BF2278" w14:textId="77777777" w:rsidR="00F65BCA" w:rsidRDefault="00216117">
      <w:pPr>
        <w:spacing w:before="38"/>
        <w:ind w:left="419"/>
        <w:rPr>
          <w:sz w:val="12"/>
        </w:rPr>
      </w:pPr>
      <w:r>
        <w:rPr>
          <w:color w:val="231F20"/>
          <w:sz w:val="12"/>
        </w:rPr>
        <w:t>4</w:t>
      </w:r>
      <w:r>
        <w:rPr>
          <w:color w:val="231F20"/>
          <w:spacing w:val="-20"/>
          <w:sz w:val="12"/>
        </w:rPr>
        <w:t xml:space="preserve"> </w:t>
      </w:r>
      <w:r>
        <w:rPr>
          <w:color w:val="231F20"/>
          <w:sz w:val="12"/>
        </w:rPr>
        <w:t>%</w:t>
      </w:r>
    </w:p>
    <w:p w14:paraId="549A11C3" w14:textId="77777777" w:rsidR="00F65BCA" w:rsidRDefault="00F65BCA">
      <w:pPr>
        <w:pStyle w:val="Zkladntext"/>
        <w:rPr>
          <w:sz w:val="14"/>
        </w:rPr>
      </w:pPr>
    </w:p>
    <w:p w14:paraId="35A83A36" w14:textId="77777777" w:rsidR="00F65BCA" w:rsidRDefault="00F65BCA">
      <w:pPr>
        <w:pStyle w:val="Zkladntext"/>
        <w:spacing w:before="9"/>
        <w:rPr>
          <w:sz w:val="18"/>
        </w:rPr>
      </w:pPr>
    </w:p>
    <w:p w14:paraId="11CDF154" w14:textId="77777777" w:rsidR="00F65BCA" w:rsidRDefault="00216117">
      <w:pPr>
        <w:spacing w:before="1"/>
        <w:ind w:left="352"/>
        <w:rPr>
          <w:sz w:val="12"/>
        </w:rPr>
      </w:pPr>
      <w:r>
        <w:rPr>
          <w:color w:val="231F20"/>
          <w:sz w:val="12"/>
        </w:rPr>
        <w:t>10</w:t>
      </w:r>
      <w:r>
        <w:rPr>
          <w:color w:val="231F20"/>
          <w:spacing w:val="-20"/>
          <w:sz w:val="12"/>
        </w:rPr>
        <w:t xml:space="preserve"> </w:t>
      </w:r>
      <w:r>
        <w:rPr>
          <w:color w:val="231F20"/>
          <w:sz w:val="12"/>
        </w:rPr>
        <w:t>%</w:t>
      </w:r>
    </w:p>
    <w:p w14:paraId="24AFD079" w14:textId="77777777" w:rsidR="00F65BCA" w:rsidRDefault="00216117">
      <w:pPr>
        <w:spacing w:before="37"/>
        <w:ind w:left="419"/>
        <w:rPr>
          <w:sz w:val="12"/>
        </w:rPr>
      </w:pPr>
      <w:r>
        <w:rPr>
          <w:color w:val="231F20"/>
          <w:sz w:val="12"/>
        </w:rPr>
        <w:t>8</w:t>
      </w:r>
      <w:r>
        <w:rPr>
          <w:color w:val="231F20"/>
          <w:spacing w:val="-20"/>
          <w:sz w:val="12"/>
        </w:rPr>
        <w:t xml:space="preserve"> </w:t>
      </w:r>
      <w:r>
        <w:rPr>
          <w:color w:val="231F20"/>
          <w:sz w:val="12"/>
        </w:rPr>
        <w:t>%</w:t>
      </w:r>
    </w:p>
    <w:p w14:paraId="07DD8B33" w14:textId="77777777" w:rsidR="00F65BCA" w:rsidRDefault="00F65BCA">
      <w:pPr>
        <w:pStyle w:val="Zkladntext"/>
        <w:rPr>
          <w:sz w:val="14"/>
        </w:rPr>
      </w:pPr>
    </w:p>
    <w:p w14:paraId="5931E3D1" w14:textId="77777777" w:rsidR="00F65BCA" w:rsidRDefault="00F65BCA">
      <w:pPr>
        <w:pStyle w:val="Zkladntext"/>
        <w:spacing w:before="2"/>
        <w:rPr>
          <w:sz w:val="19"/>
        </w:rPr>
      </w:pPr>
    </w:p>
    <w:p w14:paraId="69FD9CEB" w14:textId="77777777" w:rsidR="00F65BCA" w:rsidRDefault="00216117">
      <w:pPr>
        <w:ind w:left="352"/>
        <w:rPr>
          <w:sz w:val="12"/>
        </w:rPr>
      </w:pPr>
      <w:r>
        <w:rPr>
          <w:color w:val="231F20"/>
          <w:sz w:val="12"/>
        </w:rPr>
        <w:t>15</w:t>
      </w:r>
      <w:r>
        <w:rPr>
          <w:color w:val="231F20"/>
          <w:spacing w:val="-20"/>
          <w:sz w:val="12"/>
        </w:rPr>
        <w:t xml:space="preserve"> </w:t>
      </w:r>
      <w:r>
        <w:rPr>
          <w:color w:val="231F20"/>
          <w:sz w:val="12"/>
        </w:rPr>
        <w:t>%</w:t>
      </w:r>
    </w:p>
    <w:p w14:paraId="4179D4F6" w14:textId="77777777" w:rsidR="00F65BCA" w:rsidRDefault="00216117">
      <w:pPr>
        <w:spacing w:before="43"/>
        <w:ind w:left="352"/>
        <w:rPr>
          <w:sz w:val="12"/>
        </w:rPr>
      </w:pPr>
      <w:r>
        <w:rPr>
          <w:color w:val="231F20"/>
          <w:sz w:val="12"/>
        </w:rPr>
        <w:t>12</w:t>
      </w:r>
      <w:r>
        <w:rPr>
          <w:color w:val="231F20"/>
          <w:spacing w:val="-20"/>
          <w:sz w:val="12"/>
        </w:rPr>
        <w:t xml:space="preserve"> </w:t>
      </w:r>
      <w:r>
        <w:rPr>
          <w:color w:val="231F20"/>
          <w:sz w:val="12"/>
        </w:rPr>
        <w:t>%</w:t>
      </w:r>
    </w:p>
    <w:p w14:paraId="79EBC94A" w14:textId="77777777" w:rsidR="00F65BCA" w:rsidRDefault="00F65BCA">
      <w:pPr>
        <w:pStyle w:val="Zkladntext"/>
        <w:spacing w:before="6"/>
        <w:rPr>
          <w:sz w:val="19"/>
        </w:rPr>
      </w:pPr>
    </w:p>
    <w:p w14:paraId="6596199C" w14:textId="77777777" w:rsidR="00F65BCA" w:rsidRDefault="00216117">
      <w:pPr>
        <w:spacing w:before="1"/>
        <w:ind w:left="183"/>
        <w:rPr>
          <w:sz w:val="12"/>
        </w:rPr>
      </w:pPr>
      <w:r>
        <w:rPr>
          <w:color w:val="231F20"/>
          <w:sz w:val="12"/>
        </w:rPr>
        <w:t>do 15</w:t>
      </w:r>
      <w:r>
        <w:rPr>
          <w:color w:val="231F20"/>
          <w:spacing w:val="-17"/>
          <w:sz w:val="12"/>
        </w:rPr>
        <w:t xml:space="preserve"> </w:t>
      </w:r>
      <w:r>
        <w:rPr>
          <w:color w:val="231F20"/>
          <w:sz w:val="12"/>
        </w:rPr>
        <w:t>%</w:t>
      </w:r>
    </w:p>
    <w:p w14:paraId="4A616E15" w14:textId="77777777" w:rsidR="00F65BCA" w:rsidRDefault="00216117">
      <w:pPr>
        <w:spacing w:before="43"/>
        <w:ind w:left="183"/>
        <w:rPr>
          <w:sz w:val="12"/>
        </w:rPr>
      </w:pPr>
      <w:r>
        <w:rPr>
          <w:color w:val="231F20"/>
          <w:sz w:val="12"/>
        </w:rPr>
        <w:t>do 10</w:t>
      </w:r>
      <w:r>
        <w:rPr>
          <w:color w:val="231F20"/>
          <w:spacing w:val="-17"/>
          <w:sz w:val="12"/>
        </w:rPr>
        <w:t xml:space="preserve"> </w:t>
      </w:r>
      <w:r>
        <w:rPr>
          <w:color w:val="231F20"/>
          <w:sz w:val="12"/>
        </w:rPr>
        <w:t>%</w:t>
      </w:r>
    </w:p>
    <w:p w14:paraId="16C8F180" w14:textId="77777777" w:rsidR="00F65BCA" w:rsidRDefault="00F65BCA">
      <w:pPr>
        <w:pStyle w:val="Zkladntext"/>
        <w:spacing w:before="9"/>
        <w:rPr>
          <w:sz w:val="19"/>
        </w:rPr>
      </w:pPr>
    </w:p>
    <w:p w14:paraId="35E5751F" w14:textId="77777777" w:rsidR="00F65BCA" w:rsidRDefault="00216117">
      <w:pPr>
        <w:ind w:left="419"/>
        <w:rPr>
          <w:sz w:val="12"/>
        </w:rPr>
      </w:pPr>
      <w:r>
        <w:rPr>
          <w:color w:val="231F20"/>
          <w:sz w:val="12"/>
        </w:rPr>
        <w:t>3</w:t>
      </w:r>
      <w:r>
        <w:rPr>
          <w:color w:val="231F20"/>
          <w:spacing w:val="-20"/>
          <w:sz w:val="12"/>
        </w:rPr>
        <w:t xml:space="preserve"> </w:t>
      </w:r>
      <w:r>
        <w:rPr>
          <w:color w:val="231F20"/>
          <w:sz w:val="12"/>
        </w:rPr>
        <w:t>%</w:t>
      </w:r>
    </w:p>
    <w:p w14:paraId="3ECAF3E3" w14:textId="77777777" w:rsidR="00F65BCA" w:rsidRDefault="00216117">
      <w:pPr>
        <w:spacing w:before="53"/>
        <w:ind w:left="419"/>
        <w:rPr>
          <w:sz w:val="12"/>
        </w:rPr>
      </w:pPr>
      <w:r>
        <w:rPr>
          <w:color w:val="231F20"/>
          <w:sz w:val="12"/>
        </w:rPr>
        <w:t>2</w:t>
      </w:r>
      <w:r>
        <w:rPr>
          <w:color w:val="231F20"/>
          <w:spacing w:val="-20"/>
          <w:sz w:val="12"/>
        </w:rPr>
        <w:t xml:space="preserve"> </w:t>
      </w:r>
      <w:r>
        <w:rPr>
          <w:color w:val="231F20"/>
          <w:sz w:val="12"/>
        </w:rPr>
        <w:t>%</w:t>
      </w:r>
    </w:p>
    <w:p w14:paraId="0AFB2C33" w14:textId="77777777" w:rsidR="00F65BCA" w:rsidRDefault="00F65BCA">
      <w:pPr>
        <w:rPr>
          <w:sz w:val="12"/>
        </w:rPr>
        <w:sectPr w:rsidR="00F65BCA">
          <w:type w:val="continuous"/>
          <w:pgSz w:w="11910" w:h="16840"/>
          <w:pgMar w:top="840" w:right="140" w:bottom="280" w:left="140" w:header="708" w:footer="708" w:gutter="0"/>
          <w:cols w:num="6" w:space="708" w:equalWidth="0">
            <w:col w:w="2988" w:space="54"/>
            <w:col w:w="648" w:space="192"/>
            <w:col w:w="2993" w:space="50"/>
            <w:col w:w="648" w:space="163"/>
            <w:col w:w="2963" w:space="79"/>
            <w:col w:w="852"/>
          </w:cols>
        </w:sectPr>
      </w:pPr>
    </w:p>
    <w:p w14:paraId="60DB671C" w14:textId="77777777" w:rsidR="00F65BCA" w:rsidRDefault="00216117">
      <w:pPr>
        <w:tabs>
          <w:tab w:val="left" w:pos="1338"/>
          <w:tab w:val="left" w:pos="3282"/>
        </w:tabs>
        <w:spacing w:before="86"/>
        <w:ind w:left="179"/>
        <w:rPr>
          <w:b/>
          <w:sz w:val="12"/>
        </w:rPr>
      </w:pPr>
      <w:r>
        <w:rPr>
          <w:b/>
          <w:color w:val="231F20"/>
          <w:position w:val="1"/>
          <w:sz w:val="12"/>
        </w:rPr>
        <w:lastRenderedPageBreak/>
        <w:t>pol.</w:t>
      </w:r>
      <w:r>
        <w:rPr>
          <w:b/>
          <w:color w:val="231F20"/>
          <w:position w:val="1"/>
          <w:sz w:val="12"/>
        </w:rPr>
        <w:tab/>
      </w:r>
      <w:r>
        <w:rPr>
          <w:b/>
          <w:color w:val="231F20"/>
          <w:sz w:val="14"/>
        </w:rPr>
        <w:t>DIAGNÓZA</w:t>
      </w:r>
      <w:r>
        <w:rPr>
          <w:b/>
          <w:color w:val="231F20"/>
          <w:sz w:val="14"/>
        </w:rPr>
        <w:tab/>
      </w:r>
      <w:r>
        <w:rPr>
          <w:b/>
          <w:color w:val="231F20"/>
          <w:position w:val="1"/>
          <w:sz w:val="12"/>
        </w:rPr>
        <w:t>TN</w:t>
      </w:r>
    </w:p>
    <w:p w14:paraId="5C0F7B0E" w14:textId="77777777" w:rsidR="00F65BCA" w:rsidRDefault="00216117">
      <w:pPr>
        <w:tabs>
          <w:tab w:val="left" w:pos="1338"/>
          <w:tab w:val="left" w:pos="3282"/>
        </w:tabs>
        <w:spacing w:before="86"/>
        <w:ind w:left="179"/>
        <w:rPr>
          <w:b/>
          <w:sz w:val="12"/>
        </w:rPr>
      </w:pPr>
      <w:r>
        <w:br w:type="column"/>
      </w: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TN</w:t>
      </w:r>
    </w:p>
    <w:p w14:paraId="58F0B8C7" w14:textId="77777777" w:rsidR="00F65BCA" w:rsidRDefault="00216117">
      <w:pPr>
        <w:tabs>
          <w:tab w:val="left" w:pos="1338"/>
          <w:tab w:val="left" w:pos="3282"/>
        </w:tabs>
        <w:spacing w:before="94"/>
        <w:ind w:left="179"/>
        <w:rPr>
          <w:b/>
          <w:sz w:val="12"/>
        </w:rPr>
      </w:pPr>
      <w:r>
        <w:br w:type="column"/>
      </w: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TN</w:t>
      </w:r>
    </w:p>
    <w:p w14:paraId="25ED8B54" w14:textId="77777777" w:rsidR="00F65BCA" w:rsidRDefault="00F65BCA">
      <w:pPr>
        <w:rPr>
          <w:sz w:val="12"/>
        </w:rPr>
        <w:sectPr w:rsidR="00F65BCA">
          <w:pgSz w:w="11910" w:h="16840"/>
          <w:pgMar w:top="240" w:right="140" w:bottom="0" w:left="140" w:header="708" w:footer="708" w:gutter="0"/>
          <w:cols w:num="3" w:space="708" w:equalWidth="0">
            <w:col w:w="3485" w:space="382"/>
            <w:col w:w="3485" w:space="396"/>
            <w:col w:w="3882"/>
          </w:cols>
        </w:sectPr>
      </w:pPr>
    </w:p>
    <w:p w14:paraId="2506D19C" w14:textId="77777777" w:rsidR="00F65BCA" w:rsidRDefault="00F65BCA">
      <w:pPr>
        <w:pStyle w:val="Zkladntext"/>
        <w:rPr>
          <w:b/>
          <w:sz w:val="17"/>
        </w:rPr>
      </w:pPr>
    </w:p>
    <w:p w14:paraId="11A41B13" w14:textId="77777777" w:rsidR="00F65BCA" w:rsidRDefault="00216117">
      <w:pPr>
        <w:spacing w:line="249" w:lineRule="auto"/>
        <w:ind w:left="455" w:right="-3"/>
        <w:rPr>
          <w:sz w:val="12"/>
        </w:rPr>
      </w:pPr>
      <w:r>
        <w:rPr>
          <w:color w:val="231F20"/>
          <w:sz w:val="12"/>
        </w:rPr>
        <w:t xml:space="preserve">Nenapravené </w:t>
      </w:r>
      <w:r>
        <w:rPr>
          <w:b/>
          <w:color w:val="231F20"/>
          <w:sz w:val="12"/>
        </w:rPr>
        <w:t xml:space="preserve">vykloubení akromioklavikulární </w:t>
      </w:r>
      <w:r>
        <w:rPr>
          <w:color w:val="231F20"/>
          <w:sz w:val="12"/>
        </w:rPr>
        <w:t>kromě případné poruchy funkce ramenního kloubu</w:t>
      </w:r>
    </w:p>
    <w:p w14:paraId="5FAF73BA" w14:textId="77777777" w:rsidR="00F65BCA" w:rsidRDefault="00216117">
      <w:pPr>
        <w:pStyle w:val="Odstavecseseznamem"/>
        <w:numPr>
          <w:ilvl w:val="0"/>
          <w:numId w:val="40"/>
        </w:numPr>
        <w:tabs>
          <w:tab w:val="left" w:pos="456"/>
        </w:tabs>
        <w:spacing w:before="25"/>
        <w:ind w:hanging="273"/>
        <w:rPr>
          <w:sz w:val="12"/>
        </w:rPr>
      </w:pPr>
      <w:r>
        <w:rPr>
          <w:color w:val="231F20"/>
          <w:sz w:val="12"/>
        </w:rPr>
        <w:t>vpravo</w:t>
      </w:r>
    </w:p>
    <w:p w14:paraId="68F79FE1" w14:textId="77777777" w:rsidR="00F65BCA" w:rsidRDefault="00216117">
      <w:pPr>
        <w:pStyle w:val="Odstavecseseznamem"/>
        <w:numPr>
          <w:ilvl w:val="0"/>
          <w:numId w:val="40"/>
        </w:numPr>
        <w:tabs>
          <w:tab w:val="left" w:pos="456"/>
        </w:tabs>
        <w:spacing w:before="32"/>
        <w:ind w:hanging="273"/>
        <w:rPr>
          <w:sz w:val="12"/>
        </w:rPr>
      </w:pPr>
      <w:r>
        <w:rPr>
          <w:color w:val="231F20"/>
          <w:sz w:val="12"/>
        </w:rPr>
        <w:t>vlevo</w:t>
      </w:r>
    </w:p>
    <w:p w14:paraId="7EBD577F" w14:textId="77777777" w:rsidR="00F65BCA" w:rsidRDefault="00216117">
      <w:pPr>
        <w:spacing w:before="38"/>
        <w:ind w:left="455" w:right="38"/>
        <w:jc w:val="both"/>
        <w:rPr>
          <w:sz w:val="12"/>
        </w:rPr>
      </w:pPr>
      <w:r>
        <w:rPr>
          <w:color w:val="231F20"/>
          <w:sz w:val="12"/>
        </w:rPr>
        <w:t>Trvalé</w:t>
      </w:r>
      <w:r>
        <w:rPr>
          <w:color w:val="231F20"/>
          <w:spacing w:val="-18"/>
          <w:sz w:val="12"/>
        </w:rPr>
        <w:t xml:space="preserve"> </w:t>
      </w:r>
      <w:r>
        <w:rPr>
          <w:color w:val="231F20"/>
          <w:sz w:val="12"/>
        </w:rPr>
        <w:t>následky</w:t>
      </w:r>
      <w:r>
        <w:rPr>
          <w:color w:val="231F20"/>
          <w:spacing w:val="-17"/>
          <w:sz w:val="12"/>
        </w:rPr>
        <w:t xml:space="preserve"> </w:t>
      </w:r>
      <w:r>
        <w:rPr>
          <w:color w:val="231F20"/>
          <w:sz w:val="12"/>
        </w:rPr>
        <w:t>po</w:t>
      </w:r>
      <w:r>
        <w:rPr>
          <w:color w:val="231F20"/>
          <w:spacing w:val="-17"/>
          <w:sz w:val="12"/>
        </w:rPr>
        <w:t xml:space="preserve"> </w:t>
      </w:r>
      <w:r>
        <w:rPr>
          <w:color w:val="231F20"/>
          <w:sz w:val="12"/>
        </w:rPr>
        <w:t>přetržení</w:t>
      </w:r>
      <w:r>
        <w:rPr>
          <w:color w:val="231F20"/>
          <w:spacing w:val="-17"/>
          <w:sz w:val="12"/>
        </w:rPr>
        <w:t xml:space="preserve"> </w:t>
      </w:r>
      <w:r>
        <w:rPr>
          <w:color w:val="231F20"/>
          <w:sz w:val="12"/>
        </w:rPr>
        <w:t>dlouhé</w:t>
      </w:r>
      <w:r>
        <w:rPr>
          <w:color w:val="231F20"/>
          <w:spacing w:val="-18"/>
          <w:sz w:val="12"/>
        </w:rPr>
        <w:t xml:space="preserve"> </w:t>
      </w:r>
      <w:r>
        <w:rPr>
          <w:color w:val="231F20"/>
          <w:sz w:val="12"/>
        </w:rPr>
        <w:t>hlavy</w:t>
      </w:r>
      <w:r>
        <w:rPr>
          <w:color w:val="231F20"/>
          <w:spacing w:val="-17"/>
          <w:sz w:val="12"/>
        </w:rPr>
        <w:t xml:space="preserve"> </w:t>
      </w:r>
      <w:r>
        <w:rPr>
          <w:color w:val="231F20"/>
          <w:spacing w:val="-4"/>
          <w:sz w:val="12"/>
        </w:rPr>
        <w:t xml:space="preserve">dvou- </w:t>
      </w:r>
      <w:r>
        <w:rPr>
          <w:color w:val="231F20"/>
          <w:sz w:val="12"/>
        </w:rPr>
        <w:t>hlavého</w:t>
      </w:r>
      <w:r>
        <w:rPr>
          <w:color w:val="231F20"/>
          <w:spacing w:val="-19"/>
          <w:sz w:val="12"/>
        </w:rPr>
        <w:t xml:space="preserve"> </w:t>
      </w:r>
      <w:r>
        <w:rPr>
          <w:color w:val="231F20"/>
          <w:sz w:val="12"/>
        </w:rPr>
        <w:t>svalu</w:t>
      </w:r>
      <w:r>
        <w:rPr>
          <w:color w:val="231F20"/>
          <w:spacing w:val="-18"/>
          <w:sz w:val="12"/>
        </w:rPr>
        <w:t xml:space="preserve"> </w:t>
      </w:r>
      <w:r>
        <w:rPr>
          <w:color w:val="231F20"/>
          <w:sz w:val="12"/>
        </w:rPr>
        <w:t>při</w:t>
      </w:r>
      <w:r>
        <w:rPr>
          <w:color w:val="231F20"/>
          <w:spacing w:val="-19"/>
          <w:sz w:val="12"/>
        </w:rPr>
        <w:t xml:space="preserve"> </w:t>
      </w:r>
      <w:r>
        <w:rPr>
          <w:color w:val="231F20"/>
          <w:sz w:val="12"/>
        </w:rPr>
        <w:t>neporušené</w:t>
      </w:r>
      <w:r>
        <w:rPr>
          <w:color w:val="231F20"/>
          <w:spacing w:val="-18"/>
          <w:sz w:val="12"/>
        </w:rPr>
        <w:t xml:space="preserve"> </w:t>
      </w:r>
      <w:r>
        <w:rPr>
          <w:color w:val="231F20"/>
          <w:sz w:val="12"/>
        </w:rPr>
        <w:t>funkci</w:t>
      </w:r>
      <w:r>
        <w:rPr>
          <w:color w:val="231F20"/>
          <w:spacing w:val="-18"/>
          <w:sz w:val="12"/>
        </w:rPr>
        <w:t xml:space="preserve"> </w:t>
      </w:r>
      <w:r>
        <w:rPr>
          <w:color w:val="231F20"/>
          <w:sz w:val="12"/>
        </w:rPr>
        <w:t>ramenního a loketního</w:t>
      </w:r>
      <w:r>
        <w:rPr>
          <w:color w:val="231F20"/>
          <w:spacing w:val="-2"/>
          <w:sz w:val="12"/>
        </w:rPr>
        <w:t xml:space="preserve"> </w:t>
      </w:r>
      <w:r>
        <w:rPr>
          <w:color w:val="231F20"/>
          <w:sz w:val="12"/>
        </w:rPr>
        <w:t>kloubu</w:t>
      </w:r>
    </w:p>
    <w:p w14:paraId="40D29E65" w14:textId="77777777" w:rsidR="00F65BCA" w:rsidRDefault="00216117">
      <w:pPr>
        <w:pStyle w:val="Odstavecseseznamem"/>
        <w:numPr>
          <w:ilvl w:val="0"/>
          <w:numId w:val="40"/>
        </w:numPr>
        <w:tabs>
          <w:tab w:val="left" w:pos="456"/>
        </w:tabs>
        <w:spacing w:before="34"/>
        <w:ind w:hanging="273"/>
        <w:jc w:val="both"/>
        <w:rPr>
          <w:sz w:val="12"/>
        </w:rPr>
      </w:pPr>
      <w:r>
        <w:rPr>
          <w:color w:val="231F20"/>
          <w:sz w:val="12"/>
        </w:rPr>
        <w:t>vpravo</w:t>
      </w:r>
    </w:p>
    <w:p w14:paraId="6B135AE3" w14:textId="77777777" w:rsidR="00F65BCA" w:rsidRDefault="00216117">
      <w:pPr>
        <w:pStyle w:val="Odstavecseseznamem"/>
        <w:numPr>
          <w:ilvl w:val="0"/>
          <w:numId w:val="40"/>
        </w:numPr>
        <w:tabs>
          <w:tab w:val="left" w:pos="456"/>
        </w:tabs>
        <w:spacing w:before="32"/>
        <w:ind w:hanging="273"/>
        <w:jc w:val="both"/>
        <w:rPr>
          <w:sz w:val="12"/>
        </w:rPr>
      </w:pPr>
      <w:r>
        <w:rPr>
          <w:color w:val="231F20"/>
          <w:sz w:val="12"/>
        </w:rPr>
        <w:t>vlevo</w:t>
      </w:r>
    </w:p>
    <w:p w14:paraId="60929A45" w14:textId="77777777" w:rsidR="00F65BCA" w:rsidRDefault="00216117">
      <w:pPr>
        <w:spacing w:before="32" w:line="271" w:lineRule="auto"/>
        <w:ind w:left="455" w:right="186" w:firstLine="572"/>
        <w:rPr>
          <w:sz w:val="12"/>
        </w:rPr>
      </w:pPr>
      <w:r>
        <w:rPr>
          <w:b/>
          <w:color w:val="231F20"/>
          <w:sz w:val="12"/>
        </w:rPr>
        <w:t xml:space="preserve">Loketní kloub,  předloktí Úplná ztuhlost </w:t>
      </w:r>
      <w:r>
        <w:rPr>
          <w:color w:val="231F20"/>
          <w:sz w:val="12"/>
        </w:rPr>
        <w:t xml:space="preserve">loketního kloubu v </w:t>
      </w:r>
      <w:r>
        <w:rPr>
          <w:b/>
          <w:color w:val="231F20"/>
          <w:sz w:val="12"/>
        </w:rPr>
        <w:t>nepříz- nivém</w:t>
      </w:r>
      <w:r>
        <w:rPr>
          <w:b/>
          <w:color w:val="231F20"/>
          <w:spacing w:val="-18"/>
          <w:sz w:val="12"/>
        </w:rPr>
        <w:t xml:space="preserve"> </w:t>
      </w:r>
      <w:r>
        <w:rPr>
          <w:color w:val="231F20"/>
          <w:sz w:val="12"/>
        </w:rPr>
        <w:t>postavení</w:t>
      </w:r>
      <w:r>
        <w:rPr>
          <w:color w:val="231F20"/>
          <w:spacing w:val="-17"/>
          <w:sz w:val="12"/>
        </w:rPr>
        <w:t xml:space="preserve"> </w:t>
      </w:r>
      <w:r>
        <w:rPr>
          <w:color w:val="231F20"/>
          <w:sz w:val="12"/>
        </w:rPr>
        <w:t>(úplné</w:t>
      </w:r>
      <w:r>
        <w:rPr>
          <w:color w:val="231F20"/>
          <w:spacing w:val="-17"/>
          <w:sz w:val="12"/>
        </w:rPr>
        <w:t xml:space="preserve"> </w:t>
      </w:r>
      <w:r>
        <w:rPr>
          <w:color w:val="231F20"/>
          <w:sz w:val="12"/>
        </w:rPr>
        <w:t>natažení</w:t>
      </w:r>
      <w:r>
        <w:rPr>
          <w:color w:val="231F20"/>
          <w:spacing w:val="-17"/>
          <w:sz w:val="12"/>
        </w:rPr>
        <w:t xml:space="preserve"> </w:t>
      </w:r>
      <w:r>
        <w:rPr>
          <w:color w:val="231F20"/>
          <w:sz w:val="12"/>
        </w:rPr>
        <w:t>nebo</w:t>
      </w:r>
      <w:r>
        <w:rPr>
          <w:color w:val="231F20"/>
          <w:spacing w:val="-18"/>
          <w:sz w:val="12"/>
        </w:rPr>
        <w:t xml:space="preserve"> </w:t>
      </w:r>
      <w:r>
        <w:rPr>
          <w:color w:val="231F20"/>
          <w:spacing w:val="-4"/>
          <w:sz w:val="12"/>
        </w:rPr>
        <w:t>úplné</w:t>
      </w:r>
    </w:p>
    <w:p w14:paraId="733520CE" w14:textId="77777777" w:rsidR="00F65BCA" w:rsidRDefault="00216117">
      <w:pPr>
        <w:spacing w:line="126" w:lineRule="exact"/>
        <w:ind w:left="455"/>
        <w:rPr>
          <w:sz w:val="12"/>
        </w:rPr>
      </w:pPr>
      <w:r>
        <w:rPr>
          <w:color w:val="231F20"/>
          <w:sz w:val="12"/>
        </w:rPr>
        <w:t>ohnutí a postavení jim blízké)</w:t>
      </w:r>
    </w:p>
    <w:p w14:paraId="58387393" w14:textId="77777777" w:rsidR="00F65BCA" w:rsidRDefault="00216117">
      <w:pPr>
        <w:pStyle w:val="Odstavecseseznamem"/>
        <w:numPr>
          <w:ilvl w:val="0"/>
          <w:numId w:val="40"/>
        </w:numPr>
        <w:tabs>
          <w:tab w:val="left" w:pos="456"/>
        </w:tabs>
        <w:spacing w:before="30"/>
        <w:ind w:hanging="273"/>
        <w:rPr>
          <w:sz w:val="12"/>
        </w:rPr>
      </w:pPr>
      <w:r>
        <w:rPr>
          <w:color w:val="231F20"/>
          <w:sz w:val="12"/>
        </w:rPr>
        <w:t>vpravo</w:t>
      </w:r>
    </w:p>
    <w:p w14:paraId="08B6A83F" w14:textId="77777777" w:rsidR="00F65BCA" w:rsidRDefault="00216117">
      <w:pPr>
        <w:pStyle w:val="Odstavecseseznamem"/>
        <w:numPr>
          <w:ilvl w:val="0"/>
          <w:numId w:val="40"/>
        </w:numPr>
        <w:tabs>
          <w:tab w:val="left" w:pos="456"/>
        </w:tabs>
        <w:spacing w:before="32"/>
        <w:ind w:hanging="273"/>
        <w:rPr>
          <w:sz w:val="12"/>
        </w:rPr>
      </w:pPr>
      <w:r>
        <w:rPr>
          <w:color w:val="231F20"/>
          <w:sz w:val="12"/>
        </w:rPr>
        <w:t>vlevo</w:t>
      </w:r>
    </w:p>
    <w:p w14:paraId="62612432" w14:textId="77777777" w:rsidR="00F65BCA" w:rsidRDefault="00216117">
      <w:pPr>
        <w:spacing w:before="30"/>
        <w:ind w:left="455"/>
        <w:rPr>
          <w:b/>
          <w:sz w:val="12"/>
        </w:rPr>
      </w:pPr>
      <w:r>
        <w:rPr>
          <w:b/>
          <w:color w:val="231F20"/>
          <w:sz w:val="12"/>
        </w:rPr>
        <w:t xml:space="preserve">Úplná ztuhlost </w:t>
      </w:r>
      <w:r>
        <w:rPr>
          <w:color w:val="231F20"/>
          <w:sz w:val="12"/>
        </w:rPr>
        <w:t xml:space="preserve">loketního kloubu v </w:t>
      </w:r>
      <w:r>
        <w:rPr>
          <w:b/>
          <w:color w:val="231F20"/>
          <w:sz w:val="12"/>
        </w:rPr>
        <w:t>příznivém</w:t>
      </w:r>
    </w:p>
    <w:p w14:paraId="43B66B8E" w14:textId="77777777" w:rsidR="00F65BCA" w:rsidRDefault="00216117">
      <w:pPr>
        <w:spacing w:before="6" w:line="249" w:lineRule="auto"/>
        <w:ind w:left="455" w:right="444"/>
        <w:rPr>
          <w:sz w:val="12"/>
        </w:rPr>
      </w:pPr>
      <w:r>
        <w:rPr>
          <w:color w:val="231F20"/>
          <w:sz w:val="12"/>
        </w:rPr>
        <w:t>postavení nebo postavení jemu blízké (ohnutí v úhlu 90 – 95 stupňů)</w:t>
      </w:r>
    </w:p>
    <w:p w14:paraId="4848F4D0" w14:textId="77777777" w:rsidR="00F65BCA" w:rsidRDefault="00216117">
      <w:pPr>
        <w:pStyle w:val="Odstavecseseznamem"/>
        <w:numPr>
          <w:ilvl w:val="0"/>
          <w:numId w:val="40"/>
        </w:numPr>
        <w:tabs>
          <w:tab w:val="left" w:pos="456"/>
        </w:tabs>
        <w:spacing w:before="25"/>
        <w:ind w:hanging="273"/>
        <w:rPr>
          <w:sz w:val="12"/>
        </w:rPr>
      </w:pPr>
      <w:r>
        <w:rPr>
          <w:color w:val="231F20"/>
          <w:sz w:val="12"/>
        </w:rPr>
        <w:t>vpravo</w:t>
      </w:r>
    </w:p>
    <w:p w14:paraId="31E49B51" w14:textId="77777777" w:rsidR="00F65BCA" w:rsidRDefault="00216117">
      <w:pPr>
        <w:pStyle w:val="Zkladntext"/>
        <w:rPr>
          <w:sz w:val="14"/>
        </w:rPr>
      </w:pPr>
      <w:r>
        <w:br w:type="column"/>
      </w:r>
    </w:p>
    <w:p w14:paraId="2A273E68" w14:textId="77777777" w:rsidR="00F65BCA" w:rsidRDefault="00F65BCA">
      <w:pPr>
        <w:pStyle w:val="Zkladntext"/>
        <w:rPr>
          <w:sz w:val="14"/>
        </w:rPr>
      </w:pPr>
    </w:p>
    <w:p w14:paraId="3E91D64D" w14:textId="77777777" w:rsidR="00F65BCA" w:rsidRDefault="00F65BCA">
      <w:pPr>
        <w:pStyle w:val="Zkladntext"/>
        <w:rPr>
          <w:sz w:val="14"/>
        </w:rPr>
      </w:pPr>
    </w:p>
    <w:p w14:paraId="7BD71C7D" w14:textId="77777777" w:rsidR="00F65BCA" w:rsidRDefault="00F65BCA">
      <w:pPr>
        <w:pStyle w:val="Zkladntext"/>
        <w:spacing w:before="7"/>
        <w:rPr>
          <w:sz w:val="14"/>
        </w:rPr>
      </w:pPr>
    </w:p>
    <w:p w14:paraId="066CE36C" w14:textId="77777777" w:rsidR="00F65BCA" w:rsidRDefault="00216117">
      <w:pPr>
        <w:ind w:left="250"/>
        <w:rPr>
          <w:sz w:val="12"/>
        </w:rPr>
      </w:pPr>
      <w:r>
        <w:rPr>
          <w:color w:val="231F20"/>
          <w:sz w:val="12"/>
        </w:rPr>
        <w:t>3</w:t>
      </w:r>
      <w:r>
        <w:rPr>
          <w:color w:val="231F20"/>
          <w:spacing w:val="-20"/>
          <w:sz w:val="12"/>
        </w:rPr>
        <w:t xml:space="preserve"> </w:t>
      </w:r>
      <w:r>
        <w:rPr>
          <w:color w:val="231F20"/>
          <w:sz w:val="12"/>
        </w:rPr>
        <w:t>%</w:t>
      </w:r>
    </w:p>
    <w:p w14:paraId="1A5D4B07" w14:textId="77777777" w:rsidR="00F65BCA" w:rsidRDefault="00216117">
      <w:pPr>
        <w:spacing w:before="32"/>
        <w:ind w:left="250"/>
        <w:rPr>
          <w:sz w:val="12"/>
        </w:rPr>
      </w:pPr>
      <w:r>
        <w:rPr>
          <w:color w:val="231F20"/>
          <w:sz w:val="12"/>
        </w:rPr>
        <w:t>2</w:t>
      </w:r>
      <w:r>
        <w:rPr>
          <w:color w:val="231F20"/>
          <w:spacing w:val="-20"/>
          <w:sz w:val="12"/>
        </w:rPr>
        <w:t xml:space="preserve"> </w:t>
      </w:r>
      <w:r>
        <w:rPr>
          <w:color w:val="231F20"/>
          <w:sz w:val="12"/>
        </w:rPr>
        <w:t>%</w:t>
      </w:r>
    </w:p>
    <w:p w14:paraId="08140624" w14:textId="77777777" w:rsidR="00F65BCA" w:rsidRDefault="00F65BCA">
      <w:pPr>
        <w:pStyle w:val="Zkladntext"/>
        <w:rPr>
          <w:sz w:val="14"/>
        </w:rPr>
      </w:pPr>
    </w:p>
    <w:p w14:paraId="033C4835" w14:textId="77777777" w:rsidR="00F65BCA" w:rsidRDefault="00F65BCA">
      <w:pPr>
        <w:pStyle w:val="Zkladntext"/>
        <w:rPr>
          <w:sz w:val="14"/>
        </w:rPr>
      </w:pPr>
    </w:p>
    <w:p w14:paraId="3AAAC46A" w14:textId="77777777" w:rsidR="00F65BCA" w:rsidRDefault="00F65BCA">
      <w:pPr>
        <w:pStyle w:val="Zkladntext"/>
        <w:spacing w:before="3"/>
        <w:rPr>
          <w:sz w:val="14"/>
        </w:rPr>
      </w:pPr>
    </w:p>
    <w:p w14:paraId="443DE1F7" w14:textId="77777777" w:rsidR="00F65BCA" w:rsidRDefault="00216117">
      <w:pPr>
        <w:ind w:left="250"/>
        <w:rPr>
          <w:sz w:val="12"/>
        </w:rPr>
      </w:pPr>
      <w:r>
        <w:rPr>
          <w:color w:val="231F20"/>
          <w:sz w:val="12"/>
        </w:rPr>
        <w:t>3</w:t>
      </w:r>
      <w:r>
        <w:rPr>
          <w:color w:val="231F20"/>
          <w:spacing w:val="-20"/>
          <w:sz w:val="12"/>
        </w:rPr>
        <w:t xml:space="preserve"> </w:t>
      </w:r>
      <w:r>
        <w:rPr>
          <w:color w:val="231F20"/>
          <w:sz w:val="12"/>
        </w:rPr>
        <w:t>%</w:t>
      </w:r>
    </w:p>
    <w:p w14:paraId="151287D7" w14:textId="77777777" w:rsidR="00F65BCA" w:rsidRDefault="00216117">
      <w:pPr>
        <w:spacing w:before="32"/>
        <w:ind w:left="250"/>
        <w:rPr>
          <w:sz w:val="12"/>
        </w:rPr>
      </w:pPr>
      <w:r>
        <w:rPr>
          <w:color w:val="231F20"/>
          <w:sz w:val="12"/>
        </w:rPr>
        <w:t>2</w:t>
      </w:r>
      <w:r>
        <w:rPr>
          <w:color w:val="231F20"/>
          <w:spacing w:val="-20"/>
          <w:sz w:val="12"/>
        </w:rPr>
        <w:t xml:space="preserve"> </w:t>
      </w:r>
      <w:r>
        <w:rPr>
          <w:color w:val="231F20"/>
          <w:sz w:val="12"/>
        </w:rPr>
        <w:t>%</w:t>
      </w:r>
    </w:p>
    <w:p w14:paraId="02F2050C" w14:textId="77777777" w:rsidR="00F65BCA" w:rsidRDefault="00F65BCA">
      <w:pPr>
        <w:pStyle w:val="Zkladntext"/>
        <w:rPr>
          <w:sz w:val="14"/>
        </w:rPr>
      </w:pPr>
    </w:p>
    <w:p w14:paraId="19B84AD8" w14:textId="77777777" w:rsidR="00F65BCA" w:rsidRDefault="00F65BCA">
      <w:pPr>
        <w:pStyle w:val="Zkladntext"/>
        <w:rPr>
          <w:sz w:val="14"/>
        </w:rPr>
      </w:pPr>
    </w:p>
    <w:p w14:paraId="4E1BFDC3" w14:textId="77777777" w:rsidR="00F65BCA" w:rsidRDefault="00F65BCA">
      <w:pPr>
        <w:pStyle w:val="Zkladntext"/>
        <w:rPr>
          <w:sz w:val="14"/>
        </w:rPr>
      </w:pPr>
    </w:p>
    <w:p w14:paraId="22E302A6" w14:textId="77777777" w:rsidR="00F65BCA" w:rsidRDefault="00F65BCA">
      <w:pPr>
        <w:pStyle w:val="Zkladntext"/>
      </w:pPr>
    </w:p>
    <w:p w14:paraId="79E967DA" w14:textId="77777777" w:rsidR="00F65BCA" w:rsidRDefault="00216117">
      <w:pPr>
        <w:ind w:left="183"/>
        <w:rPr>
          <w:sz w:val="12"/>
        </w:rPr>
      </w:pPr>
      <w:r>
        <w:rPr>
          <w:color w:val="231F20"/>
          <w:sz w:val="12"/>
        </w:rPr>
        <w:t>36</w:t>
      </w:r>
      <w:r>
        <w:rPr>
          <w:color w:val="231F20"/>
          <w:spacing w:val="-20"/>
          <w:sz w:val="12"/>
        </w:rPr>
        <w:t xml:space="preserve"> </w:t>
      </w:r>
      <w:r>
        <w:rPr>
          <w:color w:val="231F20"/>
          <w:sz w:val="12"/>
        </w:rPr>
        <w:t>%</w:t>
      </w:r>
    </w:p>
    <w:p w14:paraId="0A421654" w14:textId="77777777" w:rsidR="00F65BCA" w:rsidRDefault="00216117">
      <w:pPr>
        <w:spacing w:before="32"/>
        <w:ind w:left="183"/>
        <w:rPr>
          <w:sz w:val="12"/>
        </w:rPr>
      </w:pPr>
      <w:r>
        <w:rPr>
          <w:color w:val="231F20"/>
          <w:sz w:val="12"/>
        </w:rPr>
        <w:t>31</w:t>
      </w:r>
      <w:r>
        <w:rPr>
          <w:color w:val="231F20"/>
          <w:spacing w:val="-20"/>
          <w:sz w:val="12"/>
        </w:rPr>
        <w:t xml:space="preserve"> </w:t>
      </w:r>
      <w:r>
        <w:rPr>
          <w:color w:val="231F20"/>
          <w:sz w:val="12"/>
        </w:rPr>
        <w:t>%</w:t>
      </w:r>
    </w:p>
    <w:p w14:paraId="245F3902" w14:textId="77777777" w:rsidR="00F65BCA" w:rsidRDefault="00F65BCA">
      <w:pPr>
        <w:pStyle w:val="Zkladntext"/>
        <w:rPr>
          <w:sz w:val="14"/>
        </w:rPr>
      </w:pPr>
    </w:p>
    <w:p w14:paraId="741AC6CF" w14:textId="77777777" w:rsidR="00F65BCA" w:rsidRDefault="00F65BCA">
      <w:pPr>
        <w:pStyle w:val="Zkladntext"/>
        <w:rPr>
          <w:sz w:val="14"/>
        </w:rPr>
      </w:pPr>
    </w:p>
    <w:p w14:paraId="4249DF2C" w14:textId="77777777" w:rsidR="00F65BCA" w:rsidRDefault="00F65BCA">
      <w:pPr>
        <w:pStyle w:val="Zkladntext"/>
        <w:spacing w:before="3"/>
        <w:rPr>
          <w:sz w:val="14"/>
        </w:rPr>
      </w:pPr>
    </w:p>
    <w:p w14:paraId="27036B16" w14:textId="77777777" w:rsidR="00F65BCA" w:rsidRDefault="00216117">
      <w:pPr>
        <w:ind w:left="183"/>
        <w:rPr>
          <w:sz w:val="12"/>
        </w:rPr>
      </w:pPr>
      <w:r>
        <w:rPr>
          <w:color w:val="231F20"/>
          <w:sz w:val="12"/>
        </w:rPr>
        <w:t>25</w:t>
      </w:r>
      <w:r>
        <w:rPr>
          <w:color w:val="231F20"/>
          <w:spacing w:val="-20"/>
          <w:sz w:val="12"/>
        </w:rPr>
        <w:t xml:space="preserve"> </w:t>
      </w:r>
      <w:r>
        <w:rPr>
          <w:color w:val="231F20"/>
          <w:sz w:val="12"/>
        </w:rPr>
        <w:t>%</w:t>
      </w:r>
    </w:p>
    <w:p w14:paraId="492FE523" w14:textId="77777777" w:rsidR="00F65BCA" w:rsidRDefault="00216117">
      <w:pPr>
        <w:pStyle w:val="Zkladntext"/>
        <w:spacing w:before="5"/>
        <w:rPr>
          <w:sz w:val="17"/>
        </w:rPr>
      </w:pPr>
      <w:r>
        <w:br w:type="column"/>
      </w:r>
    </w:p>
    <w:p w14:paraId="4D7647C1" w14:textId="77777777" w:rsidR="00F65BCA" w:rsidRDefault="00216117">
      <w:pPr>
        <w:ind w:left="455"/>
        <w:rPr>
          <w:sz w:val="12"/>
        </w:rPr>
      </w:pPr>
      <w:r>
        <w:rPr>
          <w:color w:val="231F20"/>
          <w:sz w:val="12"/>
        </w:rPr>
        <w:t>Ztráta</w:t>
      </w:r>
      <w:r>
        <w:rPr>
          <w:color w:val="231F20"/>
          <w:spacing w:val="-20"/>
          <w:sz w:val="12"/>
        </w:rPr>
        <w:t xml:space="preserve"> </w:t>
      </w:r>
      <w:r>
        <w:rPr>
          <w:color w:val="231F20"/>
          <w:sz w:val="12"/>
        </w:rPr>
        <w:t>části</w:t>
      </w:r>
      <w:r>
        <w:rPr>
          <w:color w:val="231F20"/>
          <w:spacing w:val="-20"/>
          <w:sz w:val="12"/>
        </w:rPr>
        <w:t xml:space="preserve"> </w:t>
      </w:r>
      <w:r>
        <w:rPr>
          <w:color w:val="231F20"/>
          <w:sz w:val="12"/>
        </w:rPr>
        <w:t>nebo</w:t>
      </w:r>
      <w:r>
        <w:rPr>
          <w:color w:val="231F20"/>
          <w:spacing w:val="-19"/>
          <w:sz w:val="12"/>
        </w:rPr>
        <w:t xml:space="preserve"> </w:t>
      </w:r>
      <w:r>
        <w:rPr>
          <w:color w:val="231F20"/>
          <w:sz w:val="12"/>
        </w:rPr>
        <w:t>celého</w:t>
      </w:r>
      <w:r>
        <w:rPr>
          <w:color w:val="231F20"/>
          <w:spacing w:val="-20"/>
          <w:sz w:val="12"/>
        </w:rPr>
        <w:t xml:space="preserve"> </w:t>
      </w:r>
      <w:r>
        <w:rPr>
          <w:color w:val="231F20"/>
          <w:sz w:val="12"/>
        </w:rPr>
        <w:t>koncového</w:t>
      </w:r>
      <w:r>
        <w:rPr>
          <w:color w:val="231F20"/>
          <w:spacing w:val="-20"/>
          <w:sz w:val="12"/>
        </w:rPr>
        <w:t xml:space="preserve"> </w:t>
      </w:r>
      <w:r>
        <w:rPr>
          <w:color w:val="231F20"/>
          <w:sz w:val="12"/>
        </w:rPr>
        <w:t>článku</w:t>
      </w:r>
      <w:r>
        <w:rPr>
          <w:color w:val="231F20"/>
          <w:spacing w:val="-19"/>
          <w:sz w:val="12"/>
        </w:rPr>
        <w:t xml:space="preserve"> </w:t>
      </w:r>
      <w:r>
        <w:rPr>
          <w:color w:val="231F20"/>
          <w:sz w:val="12"/>
        </w:rPr>
        <w:t>palce</w:t>
      </w:r>
    </w:p>
    <w:p w14:paraId="4DABA15C" w14:textId="77777777" w:rsidR="00F65BCA" w:rsidRDefault="00216117">
      <w:pPr>
        <w:pStyle w:val="Odstavecseseznamem"/>
        <w:numPr>
          <w:ilvl w:val="0"/>
          <w:numId w:val="32"/>
        </w:numPr>
        <w:tabs>
          <w:tab w:val="left" w:pos="456"/>
        </w:tabs>
        <w:spacing w:before="38"/>
        <w:ind w:hanging="273"/>
        <w:rPr>
          <w:sz w:val="12"/>
        </w:rPr>
      </w:pPr>
      <w:r>
        <w:rPr>
          <w:color w:val="231F20"/>
          <w:sz w:val="12"/>
        </w:rPr>
        <w:t>vpravo</w:t>
      </w:r>
    </w:p>
    <w:p w14:paraId="4C5A35FD" w14:textId="77777777" w:rsidR="00F65BCA" w:rsidRDefault="00216117">
      <w:pPr>
        <w:pStyle w:val="Odstavecseseznamem"/>
        <w:numPr>
          <w:ilvl w:val="0"/>
          <w:numId w:val="32"/>
        </w:numPr>
        <w:tabs>
          <w:tab w:val="left" w:pos="456"/>
        </w:tabs>
        <w:spacing w:before="37"/>
        <w:ind w:hanging="273"/>
        <w:rPr>
          <w:sz w:val="12"/>
        </w:rPr>
      </w:pPr>
      <w:r>
        <w:rPr>
          <w:color w:val="231F20"/>
          <w:sz w:val="12"/>
        </w:rPr>
        <w:t>vlevo</w:t>
      </w:r>
    </w:p>
    <w:p w14:paraId="3BD61682" w14:textId="77777777" w:rsidR="00F65BCA" w:rsidRDefault="00216117">
      <w:pPr>
        <w:spacing w:before="38"/>
        <w:ind w:left="455"/>
        <w:rPr>
          <w:sz w:val="12"/>
        </w:rPr>
      </w:pPr>
      <w:r>
        <w:rPr>
          <w:color w:val="231F20"/>
          <w:sz w:val="12"/>
        </w:rPr>
        <w:t>Úplná</w:t>
      </w:r>
      <w:r>
        <w:rPr>
          <w:color w:val="231F20"/>
          <w:spacing w:val="-12"/>
          <w:sz w:val="12"/>
        </w:rPr>
        <w:t xml:space="preserve"> </w:t>
      </w:r>
      <w:r>
        <w:rPr>
          <w:color w:val="231F20"/>
          <w:sz w:val="12"/>
        </w:rPr>
        <w:t>ztuhlost</w:t>
      </w:r>
      <w:r>
        <w:rPr>
          <w:color w:val="231F20"/>
          <w:spacing w:val="-12"/>
          <w:sz w:val="12"/>
        </w:rPr>
        <w:t xml:space="preserve"> </w:t>
      </w:r>
      <w:r>
        <w:rPr>
          <w:color w:val="231F20"/>
          <w:sz w:val="12"/>
        </w:rPr>
        <w:t>všech</w:t>
      </w:r>
      <w:r>
        <w:rPr>
          <w:color w:val="231F20"/>
          <w:spacing w:val="-11"/>
          <w:sz w:val="12"/>
        </w:rPr>
        <w:t xml:space="preserve"> </w:t>
      </w:r>
      <w:r>
        <w:rPr>
          <w:color w:val="231F20"/>
          <w:sz w:val="12"/>
        </w:rPr>
        <w:t>kloubů</w:t>
      </w:r>
      <w:r>
        <w:rPr>
          <w:color w:val="231F20"/>
          <w:spacing w:val="-12"/>
          <w:sz w:val="12"/>
        </w:rPr>
        <w:t xml:space="preserve"> </w:t>
      </w:r>
      <w:r>
        <w:rPr>
          <w:color w:val="231F20"/>
          <w:sz w:val="12"/>
        </w:rPr>
        <w:t>palce</w:t>
      </w:r>
      <w:r>
        <w:rPr>
          <w:color w:val="231F20"/>
          <w:spacing w:val="-11"/>
          <w:sz w:val="12"/>
        </w:rPr>
        <w:t xml:space="preserve"> </w:t>
      </w:r>
      <w:r>
        <w:rPr>
          <w:color w:val="231F20"/>
          <w:sz w:val="12"/>
        </w:rPr>
        <w:t>dle</w:t>
      </w:r>
      <w:r>
        <w:rPr>
          <w:color w:val="231F20"/>
          <w:spacing w:val="-12"/>
          <w:sz w:val="12"/>
        </w:rPr>
        <w:t xml:space="preserve"> </w:t>
      </w:r>
      <w:r>
        <w:rPr>
          <w:color w:val="231F20"/>
          <w:sz w:val="12"/>
        </w:rPr>
        <w:t>postavení</w:t>
      </w:r>
    </w:p>
    <w:p w14:paraId="1F2A4CC6" w14:textId="77777777" w:rsidR="00F65BCA" w:rsidRDefault="00216117">
      <w:pPr>
        <w:pStyle w:val="Odstavecseseznamem"/>
        <w:numPr>
          <w:ilvl w:val="0"/>
          <w:numId w:val="32"/>
        </w:numPr>
        <w:tabs>
          <w:tab w:val="left" w:pos="456"/>
        </w:tabs>
        <w:spacing w:before="38"/>
        <w:ind w:hanging="273"/>
        <w:rPr>
          <w:sz w:val="12"/>
        </w:rPr>
      </w:pPr>
      <w:r>
        <w:rPr>
          <w:color w:val="231F20"/>
          <w:sz w:val="12"/>
        </w:rPr>
        <w:t>vpravo</w:t>
      </w:r>
    </w:p>
    <w:p w14:paraId="34D00FB6" w14:textId="77777777" w:rsidR="00F65BCA" w:rsidRDefault="00216117">
      <w:pPr>
        <w:pStyle w:val="Odstavecseseznamem"/>
        <w:numPr>
          <w:ilvl w:val="0"/>
          <w:numId w:val="32"/>
        </w:numPr>
        <w:tabs>
          <w:tab w:val="left" w:pos="456"/>
        </w:tabs>
        <w:spacing w:before="38"/>
        <w:ind w:hanging="273"/>
        <w:rPr>
          <w:sz w:val="12"/>
        </w:rPr>
      </w:pPr>
      <w:r>
        <w:rPr>
          <w:color w:val="231F20"/>
          <w:sz w:val="12"/>
        </w:rPr>
        <w:t>vlevo</w:t>
      </w:r>
    </w:p>
    <w:p w14:paraId="2CF79368" w14:textId="77777777" w:rsidR="00F65BCA" w:rsidRDefault="00216117">
      <w:pPr>
        <w:spacing w:before="33" w:line="249" w:lineRule="auto"/>
        <w:ind w:left="455" w:right="190"/>
        <w:rPr>
          <w:sz w:val="12"/>
        </w:rPr>
      </w:pPr>
      <w:r>
        <w:rPr>
          <w:color w:val="231F20"/>
          <w:sz w:val="12"/>
        </w:rPr>
        <w:t>Úplná ztuhlost karpometakarpálního kloubu palce dle postavení</w:t>
      </w:r>
    </w:p>
    <w:p w14:paraId="30DED1E7" w14:textId="77777777" w:rsidR="00F65BCA" w:rsidRDefault="00216117">
      <w:pPr>
        <w:pStyle w:val="Odstavecseseznamem"/>
        <w:numPr>
          <w:ilvl w:val="0"/>
          <w:numId w:val="32"/>
        </w:numPr>
        <w:tabs>
          <w:tab w:val="left" w:pos="456"/>
        </w:tabs>
        <w:spacing w:before="29"/>
        <w:ind w:hanging="273"/>
        <w:rPr>
          <w:sz w:val="12"/>
        </w:rPr>
      </w:pPr>
      <w:r>
        <w:rPr>
          <w:color w:val="231F20"/>
          <w:sz w:val="12"/>
        </w:rPr>
        <w:t>vpravo</w:t>
      </w:r>
    </w:p>
    <w:p w14:paraId="6F274B94" w14:textId="77777777" w:rsidR="00F65BCA" w:rsidRDefault="00216117">
      <w:pPr>
        <w:pStyle w:val="Odstavecseseznamem"/>
        <w:numPr>
          <w:ilvl w:val="0"/>
          <w:numId w:val="32"/>
        </w:numPr>
        <w:tabs>
          <w:tab w:val="left" w:pos="456"/>
        </w:tabs>
        <w:spacing w:before="38"/>
        <w:ind w:hanging="273"/>
        <w:rPr>
          <w:sz w:val="12"/>
        </w:rPr>
      </w:pPr>
      <w:r>
        <w:rPr>
          <w:color w:val="231F20"/>
          <w:sz w:val="12"/>
        </w:rPr>
        <w:t>vlevo</w:t>
      </w:r>
    </w:p>
    <w:p w14:paraId="518B639A" w14:textId="77777777" w:rsidR="00F65BCA" w:rsidRDefault="00216117">
      <w:pPr>
        <w:spacing w:before="38"/>
        <w:ind w:left="455"/>
        <w:rPr>
          <w:sz w:val="12"/>
        </w:rPr>
      </w:pPr>
      <w:r>
        <w:rPr>
          <w:color w:val="231F20"/>
          <w:sz w:val="12"/>
        </w:rPr>
        <w:t>Úplná ztuhlost základního kloubu palce</w:t>
      </w:r>
    </w:p>
    <w:p w14:paraId="6B78E814" w14:textId="77777777" w:rsidR="00F65BCA" w:rsidRDefault="00216117">
      <w:pPr>
        <w:pStyle w:val="Odstavecseseznamem"/>
        <w:numPr>
          <w:ilvl w:val="0"/>
          <w:numId w:val="32"/>
        </w:numPr>
        <w:tabs>
          <w:tab w:val="left" w:pos="456"/>
        </w:tabs>
        <w:spacing w:before="38"/>
        <w:ind w:hanging="273"/>
        <w:rPr>
          <w:sz w:val="12"/>
        </w:rPr>
      </w:pPr>
      <w:r>
        <w:rPr>
          <w:color w:val="231F20"/>
          <w:sz w:val="12"/>
        </w:rPr>
        <w:t>vpravo</w:t>
      </w:r>
    </w:p>
    <w:p w14:paraId="186C3F01" w14:textId="77777777" w:rsidR="00F65BCA" w:rsidRDefault="00216117">
      <w:pPr>
        <w:pStyle w:val="Odstavecseseznamem"/>
        <w:numPr>
          <w:ilvl w:val="0"/>
          <w:numId w:val="32"/>
        </w:numPr>
        <w:tabs>
          <w:tab w:val="left" w:pos="456"/>
        </w:tabs>
        <w:spacing w:before="37"/>
        <w:ind w:hanging="273"/>
        <w:rPr>
          <w:sz w:val="12"/>
        </w:rPr>
      </w:pPr>
      <w:r>
        <w:rPr>
          <w:color w:val="231F20"/>
          <w:sz w:val="12"/>
        </w:rPr>
        <w:t>vlevo</w:t>
      </w:r>
    </w:p>
    <w:p w14:paraId="0BB9C708" w14:textId="77777777" w:rsidR="00F65BCA" w:rsidRDefault="00216117">
      <w:pPr>
        <w:spacing w:before="34" w:line="249" w:lineRule="auto"/>
        <w:ind w:left="455" w:right="220"/>
        <w:rPr>
          <w:sz w:val="12"/>
        </w:rPr>
      </w:pPr>
      <w:r>
        <w:rPr>
          <w:color w:val="231F20"/>
          <w:sz w:val="12"/>
        </w:rPr>
        <w:t>Úplná</w:t>
      </w:r>
      <w:r>
        <w:rPr>
          <w:color w:val="231F20"/>
          <w:spacing w:val="-16"/>
          <w:sz w:val="12"/>
        </w:rPr>
        <w:t xml:space="preserve"> </w:t>
      </w:r>
      <w:r>
        <w:rPr>
          <w:color w:val="231F20"/>
          <w:sz w:val="12"/>
        </w:rPr>
        <w:t>ztuhlost</w:t>
      </w:r>
      <w:r>
        <w:rPr>
          <w:color w:val="231F20"/>
          <w:spacing w:val="-16"/>
          <w:sz w:val="12"/>
        </w:rPr>
        <w:t xml:space="preserve"> </w:t>
      </w:r>
      <w:r>
        <w:rPr>
          <w:color w:val="231F20"/>
          <w:sz w:val="12"/>
        </w:rPr>
        <w:t>mezičlánkového</w:t>
      </w:r>
      <w:r>
        <w:rPr>
          <w:color w:val="231F20"/>
          <w:spacing w:val="-15"/>
          <w:sz w:val="12"/>
        </w:rPr>
        <w:t xml:space="preserve"> </w:t>
      </w:r>
      <w:r>
        <w:rPr>
          <w:color w:val="231F20"/>
          <w:sz w:val="12"/>
        </w:rPr>
        <w:t>kloubu</w:t>
      </w:r>
      <w:r>
        <w:rPr>
          <w:color w:val="231F20"/>
          <w:spacing w:val="-16"/>
          <w:sz w:val="12"/>
        </w:rPr>
        <w:t xml:space="preserve"> </w:t>
      </w:r>
      <w:r>
        <w:rPr>
          <w:color w:val="231F20"/>
          <w:spacing w:val="-4"/>
          <w:sz w:val="12"/>
        </w:rPr>
        <w:t xml:space="preserve">palce </w:t>
      </w:r>
      <w:r>
        <w:rPr>
          <w:color w:val="231F20"/>
          <w:sz w:val="12"/>
        </w:rPr>
        <w:t>dle</w:t>
      </w:r>
      <w:r>
        <w:rPr>
          <w:color w:val="231F20"/>
          <w:spacing w:val="-1"/>
          <w:sz w:val="12"/>
        </w:rPr>
        <w:t xml:space="preserve"> </w:t>
      </w:r>
      <w:r>
        <w:rPr>
          <w:color w:val="231F20"/>
          <w:sz w:val="12"/>
        </w:rPr>
        <w:t>postavení</w:t>
      </w:r>
    </w:p>
    <w:p w14:paraId="71154430" w14:textId="77777777" w:rsidR="00F65BCA" w:rsidRDefault="00216117">
      <w:pPr>
        <w:pStyle w:val="Odstavecseseznamem"/>
        <w:numPr>
          <w:ilvl w:val="0"/>
          <w:numId w:val="32"/>
        </w:numPr>
        <w:tabs>
          <w:tab w:val="left" w:pos="456"/>
        </w:tabs>
        <w:spacing w:before="26"/>
        <w:ind w:hanging="273"/>
        <w:rPr>
          <w:sz w:val="12"/>
        </w:rPr>
      </w:pPr>
      <w:r>
        <w:rPr>
          <w:color w:val="231F20"/>
          <w:sz w:val="12"/>
        </w:rPr>
        <w:t>vpravo</w:t>
      </w:r>
    </w:p>
    <w:p w14:paraId="57E5CDD0" w14:textId="77777777" w:rsidR="00F65BCA" w:rsidRDefault="00216117">
      <w:pPr>
        <w:pStyle w:val="Odstavecseseznamem"/>
        <w:numPr>
          <w:ilvl w:val="0"/>
          <w:numId w:val="32"/>
        </w:numPr>
        <w:tabs>
          <w:tab w:val="left" w:pos="456"/>
        </w:tabs>
        <w:spacing w:before="32"/>
        <w:ind w:hanging="273"/>
        <w:rPr>
          <w:sz w:val="12"/>
        </w:rPr>
      </w:pPr>
      <w:r>
        <w:rPr>
          <w:color w:val="231F20"/>
          <w:sz w:val="12"/>
        </w:rPr>
        <w:t>vlevo</w:t>
      </w:r>
    </w:p>
    <w:p w14:paraId="26157F74" w14:textId="77777777" w:rsidR="00F65BCA" w:rsidRDefault="00216117">
      <w:pPr>
        <w:spacing w:line="170" w:lineRule="atLeast"/>
        <w:ind w:left="455" w:right="410"/>
        <w:rPr>
          <w:sz w:val="12"/>
        </w:rPr>
      </w:pPr>
      <w:r>
        <w:rPr>
          <w:color w:val="231F20"/>
          <w:sz w:val="12"/>
        </w:rPr>
        <w:t>Porucha úchopové funkce palce lehkého stupně</w:t>
      </w:r>
    </w:p>
    <w:p w14:paraId="21C74548" w14:textId="77777777" w:rsidR="00F65BCA" w:rsidRDefault="00216117">
      <w:pPr>
        <w:pStyle w:val="Zkladntext"/>
        <w:rPr>
          <w:sz w:val="14"/>
        </w:rPr>
      </w:pPr>
      <w:r>
        <w:br w:type="column"/>
      </w:r>
    </w:p>
    <w:p w14:paraId="74B9A136" w14:textId="77777777" w:rsidR="00F65BCA" w:rsidRDefault="00F65BCA">
      <w:pPr>
        <w:pStyle w:val="Zkladntext"/>
        <w:spacing w:before="8"/>
        <w:rPr>
          <w:sz w:val="18"/>
        </w:rPr>
      </w:pPr>
    </w:p>
    <w:p w14:paraId="106A8E74" w14:textId="77777777" w:rsidR="00F65BCA" w:rsidRDefault="00216117">
      <w:pPr>
        <w:ind w:left="183"/>
        <w:rPr>
          <w:sz w:val="12"/>
        </w:rPr>
      </w:pPr>
      <w:r>
        <w:rPr>
          <w:color w:val="231F20"/>
          <w:sz w:val="12"/>
        </w:rPr>
        <w:t>11</w:t>
      </w:r>
      <w:r>
        <w:rPr>
          <w:color w:val="231F20"/>
          <w:spacing w:val="-20"/>
          <w:sz w:val="12"/>
        </w:rPr>
        <w:t xml:space="preserve"> </w:t>
      </w:r>
      <w:r>
        <w:rPr>
          <w:color w:val="231F20"/>
          <w:sz w:val="12"/>
        </w:rPr>
        <w:t>%</w:t>
      </w:r>
    </w:p>
    <w:p w14:paraId="62E7B91A" w14:textId="77777777" w:rsidR="00F65BCA" w:rsidRDefault="00216117">
      <w:pPr>
        <w:spacing w:before="38"/>
        <w:ind w:left="250"/>
        <w:rPr>
          <w:sz w:val="12"/>
        </w:rPr>
      </w:pPr>
      <w:r>
        <w:rPr>
          <w:color w:val="231F20"/>
          <w:sz w:val="12"/>
        </w:rPr>
        <w:t>9</w:t>
      </w:r>
      <w:r>
        <w:rPr>
          <w:color w:val="231F20"/>
          <w:spacing w:val="-20"/>
          <w:sz w:val="12"/>
        </w:rPr>
        <w:t xml:space="preserve"> </w:t>
      </w:r>
      <w:r>
        <w:rPr>
          <w:color w:val="231F20"/>
          <w:sz w:val="12"/>
        </w:rPr>
        <w:t>%</w:t>
      </w:r>
    </w:p>
    <w:p w14:paraId="6EB506CA" w14:textId="77777777" w:rsidR="00F65BCA" w:rsidRDefault="00F65BCA">
      <w:pPr>
        <w:pStyle w:val="Zkladntext"/>
        <w:spacing w:before="6"/>
        <w:rPr>
          <w:sz w:val="18"/>
        </w:rPr>
      </w:pPr>
    </w:p>
    <w:p w14:paraId="31D26640" w14:textId="77777777" w:rsidR="00F65BCA" w:rsidRDefault="00216117">
      <w:pPr>
        <w:ind w:left="183"/>
        <w:rPr>
          <w:sz w:val="12"/>
        </w:rPr>
      </w:pPr>
      <w:r>
        <w:rPr>
          <w:color w:val="231F20"/>
          <w:sz w:val="12"/>
        </w:rPr>
        <w:t>27</w:t>
      </w:r>
      <w:r>
        <w:rPr>
          <w:color w:val="231F20"/>
          <w:spacing w:val="-20"/>
          <w:sz w:val="12"/>
        </w:rPr>
        <w:t xml:space="preserve"> </w:t>
      </w:r>
      <w:r>
        <w:rPr>
          <w:color w:val="231F20"/>
          <w:sz w:val="12"/>
        </w:rPr>
        <w:t>%</w:t>
      </w:r>
    </w:p>
    <w:p w14:paraId="6FA96A42" w14:textId="77777777" w:rsidR="00F65BCA" w:rsidRDefault="00216117">
      <w:pPr>
        <w:spacing w:before="38"/>
        <w:ind w:left="183"/>
        <w:rPr>
          <w:sz w:val="12"/>
        </w:rPr>
      </w:pPr>
      <w:r>
        <w:rPr>
          <w:color w:val="231F20"/>
          <w:sz w:val="12"/>
        </w:rPr>
        <w:t>25</w:t>
      </w:r>
      <w:r>
        <w:rPr>
          <w:color w:val="231F20"/>
          <w:spacing w:val="-20"/>
          <w:sz w:val="12"/>
        </w:rPr>
        <w:t xml:space="preserve"> </w:t>
      </w:r>
      <w:r>
        <w:rPr>
          <w:color w:val="231F20"/>
          <w:sz w:val="12"/>
        </w:rPr>
        <w:t>%</w:t>
      </w:r>
    </w:p>
    <w:p w14:paraId="515E4AFB" w14:textId="77777777" w:rsidR="00F65BCA" w:rsidRDefault="00F65BCA">
      <w:pPr>
        <w:pStyle w:val="Zkladntext"/>
        <w:rPr>
          <w:sz w:val="14"/>
        </w:rPr>
      </w:pPr>
    </w:p>
    <w:p w14:paraId="296F5354" w14:textId="77777777" w:rsidR="00F65BCA" w:rsidRDefault="00F65BCA">
      <w:pPr>
        <w:pStyle w:val="Zkladntext"/>
        <w:spacing w:before="5"/>
        <w:rPr>
          <w:sz w:val="16"/>
        </w:rPr>
      </w:pPr>
    </w:p>
    <w:p w14:paraId="2EDC96AF" w14:textId="77777777" w:rsidR="00F65BCA" w:rsidRDefault="00216117">
      <w:pPr>
        <w:ind w:left="183"/>
        <w:rPr>
          <w:sz w:val="12"/>
        </w:rPr>
      </w:pPr>
      <w:r>
        <w:rPr>
          <w:color w:val="231F20"/>
          <w:sz w:val="12"/>
        </w:rPr>
        <w:t>11</w:t>
      </w:r>
      <w:r>
        <w:rPr>
          <w:color w:val="231F20"/>
          <w:spacing w:val="-20"/>
          <w:sz w:val="12"/>
        </w:rPr>
        <w:t xml:space="preserve"> </w:t>
      </w:r>
      <w:r>
        <w:rPr>
          <w:color w:val="231F20"/>
          <w:sz w:val="12"/>
        </w:rPr>
        <w:t>%</w:t>
      </w:r>
    </w:p>
    <w:p w14:paraId="5F8D70E5" w14:textId="77777777" w:rsidR="00F65BCA" w:rsidRDefault="00216117">
      <w:pPr>
        <w:spacing w:before="38"/>
        <w:ind w:left="232"/>
        <w:rPr>
          <w:sz w:val="12"/>
        </w:rPr>
      </w:pPr>
      <w:r>
        <w:rPr>
          <w:color w:val="231F20"/>
          <w:sz w:val="12"/>
        </w:rPr>
        <w:t>9</w:t>
      </w:r>
      <w:r>
        <w:rPr>
          <w:color w:val="231F20"/>
          <w:spacing w:val="-1"/>
          <w:sz w:val="12"/>
        </w:rPr>
        <w:t xml:space="preserve"> </w:t>
      </w:r>
      <w:r>
        <w:rPr>
          <w:color w:val="231F20"/>
          <w:sz w:val="12"/>
        </w:rPr>
        <w:t>%</w:t>
      </w:r>
    </w:p>
    <w:p w14:paraId="5030D94E" w14:textId="77777777" w:rsidR="00F65BCA" w:rsidRDefault="00F65BCA">
      <w:pPr>
        <w:pStyle w:val="Zkladntext"/>
        <w:spacing w:before="6"/>
        <w:rPr>
          <w:sz w:val="18"/>
        </w:rPr>
      </w:pPr>
    </w:p>
    <w:p w14:paraId="7D0D768D" w14:textId="77777777" w:rsidR="00F65BCA" w:rsidRDefault="00216117">
      <w:pPr>
        <w:ind w:left="250"/>
        <w:rPr>
          <w:sz w:val="12"/>
        </w:rPr>
      </w:pPr>
      <w:r>
        <w:rPr>
          <w:color w:val="231F20"/>
          <w:sz w:val="12"/>
        </w:rPr>
        <w:t>6</w:t>
      </w:r>
      <w:r>
        <w:rPr>
          <w:color w:val="231F20"/>
          <w:spacing w:val="-20"/>
          <w:sz w:val="12"/>
        </w:rPr>
        <w:t xml:space="preserve"> </w:t>
      </w:r>
      <w:r>
        <w:rPr>
          <w:color w:val="231F20"/>
          <w:sz w:val="12"/>
        </w:rPr>
        <w:t>%</w:t>
      </w:r>
    </w:p>
    <w:p w14:paraId="0889EAAC" w14:textId="77777777" w:rsidR="00F65BCA" w:rsidRDefault="00216117">
      <w:pPr>
        <w:spacing w:before="38"/>
        <w:ind w:left="250"/>
        <w:rPr>
          <w:sz w:val="12"/>
        </w:rPr>
      </w:pPr>
      <w:r>
        <w:rPr>
          <w:color w:val="231F20"/>
          <w:sz w:val="12"/>
        </w:rPr>
        <w:t>5</w:t>
      </w:r>
      <w:r>
        <w:rPr>
          <w:color w:val="231F20"/>
          <w:spacing w:val="-20"/>
          <w:sz w:val="12"/>
        </w:rPr>
        <w:t xml:space="preserve"> </w:t>
      </w:r>
      <w:r>
        <w:rPr>
          <w:color w:val="231F20"/>
          <w:sz w:val="12"/>
        </w:rPr>
        <w:t>%</w:t>
      </w:r>
    </w:p>
    <w:p w14:paraId="2DFC8E3E" w14:textId="77777777" w:rsidR="00F65BCA" w:rsidRDefault="00F65BCA">
      <w:pPr>
        <w:pStyle w:val="Zkladntext"/>
        <w:rPr>
          <w:sz w:val="14"/>
        </w:rPr>
      </w:pPr>
    </w:p>
    <w:p w14:paraId="4CE9BE7C" w14:textId="77777777" w:rsidR="00F65BCA" w:rsidRDefault="00F65BCA">
      <w:pPr>
        <w:pStyle w:val="Zkladntext"/>
        <w:spacing w:before="1"/>
        <w:rPr>
          <w:sz w:val="16"/>
        </w:rPr>
      </w:pPr>
    </w:p>
    <w:p w14:paraId="3E3D6C58" w14:textId="77777777" w:rsidR="00F65BCA" w:rsidRDefault="00216117">
      <w:pPr>
        <w:spacing w:before="1"/>
        <w:ind w:left="183"/>
        <w:rPr>
          <w:sz w:val="12"/>
        </w:rPr>
      </w:pPr>
      <w:r>
        <w:rPr>
          <w:color w:val="231F20"/>
          <w:sz w:val="12"/>
        </w:rPr>
        <w:t>10</w:t>
      </w:r>
      <w:r>
        <w:rPr>
          <w:color w:val="231F20"/>
          <w:spacing w:val="-20"/>
          <w:sz w:val="12"/>
        </w:rPr>
        <w:t xml:space="preserve"> </w:t>
      </w:r>
      <w:r>
        <w:rPr>
          <w:color w:val="231F20"/>
          <w:sz w:val="12"/>
        </w:rPr>
        <w:t>%</w:t>
      </w:r>
    </w:p>
    <w:p w14:paraId="557248E1" w14:textId="77777777" w:rsidR="00F65BCA" w:rsidRDefault="00216117">
      <w:pPr>
        <w:spacing w:before="32"/>
        <w:ind w:left="250"/>
        <w:rPr>
          <w:sz w:val="12"/>
        </w:rPr>
      </w:pPr>
      <w:r>
        <w:rPr>
          <w:color w:val="231F20"/>
          <w:sz w:val="12"/>
        </w:rPr>
        <w:t>8</w:t>
      </w:r>
      <w:r>
        <w:rPr>
          <w:color w:val="231F20"/>
          <w:spacing w:val="-20"/>
          <w:sz w:val="12"/>
        </w:rPr>
        <w:t xml:space="preserve"> </w:t>
      </w:r>
      <w:r>
        <w:rPr>
          <w:color w:val="231F20"/>
          <w:sz w:val="12"/>
        </w:rPr>
        <w:t>%</w:t>
      </w:r>
    </w:p>
    <w:p w14:paraId="1C62C292" w14:textId="77777777" w:rsidR="00F65BCA" w:rsidRDefault="00216117">
      <w:pPr>
        <w:pStyle w:val="Zkladntext"/>
        <w:spacing w:before="10"/>
        <w:rPr>
          <w:sz w:val="18"/>
        </w:rPr>
      </w:pPr>
      <w:r>
        <w:br w:type="column"/>
      </w:r>
    </w:p>
    <w:p w14:paraId="13CF24EC" w14:textId="77777777" w:rsidR="00F65BCA" w:rsidRDefault="00216117">
      <w:pPr>
        <w:spacing w:before="1" w:line="249" w:lineRule="auto"/>
        <w:ind w:left="455" w:right="396"/>
        <w:rPr>
          <w:b/>
          <w:sz w:val="12"/>
        </w:rPr>
      </w:pPr>
      <w:r>
        <w:rPr>
          <w:b/>
          <w:color w:val="231F20"/>
          <w:sz w:val="12"/>
        </w:rPr>
        <w:t>Ztrátová poranění a úplnou ztuhlost v kraj- ních polohách nelze současně hodnotit</w:t>
      </w:r>
    </w:p>
    <w:p w14:paraId="0CC828F6" w14:textId="77777777" w:rsidR="00F65BCA" w:rsidRDefault="00216117">
      <w:pPr>
        <w:ind w:left="455"/>
        <w:rPr>
          <w:b/>
          <w:sz w:val="12"/>
        </w:rPr>
      </w:pPr>
      <w:r>
        <w:rPr>
          <w:b/>
          <w:color w:val="231F20"/>
          <w:sz w:val="12"/>
        </w:rPr>
        <w:t>s poruchami úchopové funkce.</w:t>
      </w:r>
    </w:p>
    <w:p w14:paraId="75D813D2" w14:textId="77777777" w:rsidR="00F65BCA" w:rsidRDefault="00216117">
      <w:pPr>
        <w:spacing w:before="47"/>
        <w:ind w:left="455"/>
        <w:rPr>
          <w:sz w:val="12"/>
        </w:rPr>
      </w:pPr>
      <w:r>
        <w:rPr>
          <w:color w:val="231F20"/>
          <w:sz w:val="12"/>
        </w:rPr>
        <w:t>Porucha úchopové funkce prstů</w:t>
      </w:r>
    </w:p>
    <w:p w14:paraId="7D7D50CD" w14:textId="77777777" w:rsidR="00F65BCA" w:rsidRDefault="00216117">
      <w:pPr>
        <w:spacing w:before="38"/>
        <w:ind w:left="455"/>
        <w:rPr>
          <w:sz w:val="12"/>
        </w:rPr>
      </w:pPr>
      <w:r>
        <w:rPr>
          <w:color w:val="231F20"/>
          <w:sz w:val="12"/>
        </w:rPr>
        <w:t>do úplného sevření do dlaně chybí 1 až 2 cm</w:t>
      </w:r>
    </w:p>
    <w:p w14:paraId="4B91CFDE" w14:textId="77777777" w:rsidR="00F65BCA" w:rsidRDefault="00216117">
      <w:pPr>
        <w:pStyle w:val="Odstavecseseznamem"/>
        <w:numPr>
          <w:ilvl w:val="0"/>
          <w:numId w:val="31"/>
        </w:numPr>
        <w:tabs>
          <w:tab w:val="left" w:pos="456"/>
        </w:tabs>
        <w:spacing w:before="38"/>
        <w:ind w:hanging="273"/>
        <w:rPr>
          <w:sz w:val="12"/>
        </w:rPr>
      </w:pPr>
      <w:r>
        <w:rPr>
          <w:color w:val="231F20"/>
          <w:sz w:val="12"/>
        </w:rPr>
        <w:t>vpravo</w:t>
      </w:r>
    </w:p>
    <w:p w14:paraId="33E05A2E" w14:textId="77777777" w:rsidR="00F65BCA" w:rsidRDefault="00216117">
      <w:pPr>
        <w:pStyle w:val="Odstavecseseznamem"/>
        <w:numPr>
          <w:ilvl w:val="0"/>
          <w:numId w:val="31"/>
        </w:numPr>
        <w:tabs>
          <w:tab w:val="left" w:pos="456"/>
        </w:tabs>
        <w:spacing w:before="38"/>
        <w:ind w:hanging="273"/>
        <w:rPr>
          <w:sz w:val="12"/>
        </w:rPr>
      </w:pPr>
      <w:r>
        <w:rPr>
          <w:color w:val="231F20"/>
          <w:sz w:val="12"/>
        </w:rPr>
        <w:t>vlevo</w:t>
      </w:r>
    </w:p>
    <w:p w14:paraId="40F06B15" w14:textId="77777777" w:rsidR="00F65BCA" w:rsidRDefault="00216117">
      <w:pPr>
        <w:spacing w:before="37"/>
        <w:ind w:left="455"/>
        <w:rPr>
          <w:sz w:val="12"/>
        </w:rPr>
      </w:pPr>
      <w:r>
        <w:rPr>
          <w:color w:val="231F20"/>
          <w:sz w:val="12"/>
        </w:rPr>
        <w:t>do úplného sevření do dlaně chybí přes 2 do 3 cm</w:t>
      </w:r>
    </w:p>
    <w:p w14:paraId="6248CC55" w14:textId="77777777" w:rsidR="00F65BCA" w:rsidRDefault="00216117">
      <w:pPr>
        <w:pStyle w:val="Odstavecseseznamem"/>
        <w:numPr>
          <w:ilvl w:val="0"/>
          <w:numId w:val="31"/>
        </w:numPr>
        <w:tabs>
          <w:tab w:val="left" w:pos="456"/>
        </w:tabs>
        <w:spacing w:before="38"/>
        <w:ind w:hanging="273"/>
        <w:rPr>
          <w:sz w:val="12"/>
        </w:rPr>
      </w:pPr>
      <w:r>
        <w:rPr>
          <w:color w:val="231F20"/>
          <w:sz w:val="12"/>
        </w:rPr>
        <w:t>vpravo</w:t>
      </w:r>
    </w:p>
    <w:p w14:paraId="1DD3D291" w14:textId="77777777" w:rsidR="00F65BCA" w:rsidRDefault="00216117">
      <w:pPr>
        <w:pStyle w:val="Odstavecseseznamem"/>
        <w:numPr>
          <w:ilvl w:val="0"/>
          <w:numId w:val="31"/>
        </w:numPr>
        <w:tabs>
          <w:tab w:val="left" w:pos="456"/>
        </w:tabs>
        <w:spacing w:before="38"/>
        <w:ind w:hanging="273"/>
        <w:rPr>
          <w:sz w:val="12"/>
        </w:rPr>
      </w:pPr>
      <w:r>
        <w:rPr>
          <w:color w:val="231F20"/>
          <w:sz w:val="12"/>
        </w:rPr>
        <w:t>vlevo</w:t>
      </w:r>
    </w:p>
    <w:p w14:paraId="6241B78D" w14:textId="77777777" w:rsidR="00F65BCA" w:rsidRDefault="00216117">
      <w:pPr>
        <w:spacing w:before="38"/>
        <w:ind w:left="455"/>
        <w:rPr>
          <w:sz w:val="12"/>
        </w:rPr>
      </w:pPr>
      <w:r>
        <w:rPr>
          <w:color w:val="231F20"/>
          <w:sz w:val="12"/>
        </w:rPr>
        <w:t>do úplného sevření do dlaně chybí přes 3 do 4 cm</w:t>
      </w:r>
    </w:p>
    <w:p w14:paraId="0E2B82E1" w14:textId="77777777" w:rsidR="00F65BCA" w:rsidRDefault="00216117">
      <w:pPr>
        <w:pStyle w:val="Odstavecseseznamem"/>
        <w:numPr>
          <w:ilvl w:val="0"/>
          <w:numId w:val="31"/>
        </w:numPr>
        <w:tabs>
          <w:tab w:val="left" w:pos="456"/>
        </w:tabs>
        <w:spacing w:before="37"/>
        <w:ind w:hanging="273"/>
        <w:rPr>
          <w:sz w:val="12"/>
        </w:rPr>
      </w:pPr>
      <w:r>
        <w:rPr>
          <w:color w:val="231F20"/>
          <w:sz w:val="12"/>
        </w:rPr>
        <w:t>vpravo</w:t>
      </w:r>
    </w:p>
    <w:p w14:paraId="36489F5F" w14:textId="77777777" w:rsidR="00F65BCA" w:rsidRDefault="00216117">
      <w:pPr>
        <w:pStyle w:val="Odstavecseseznamem"/>
        <w:numPr>
          <w:ilvl w:val="0"/>
          <w:numId w:val="31"/>
        </w:numPr>
        <w:tabs>
          <w:tab w:val="left" w:pos="456"/>
        </w:tabs>
        <w:spacing w:before="38"/>
        <w:ind w:hanging="273"/>
        <w:rPr>
          <w:sz w:val="12"/>
        </w:rPr>
      </w:pPr>
      <w:r>
        <w:rPr>
          <w:color w:val="231F20"/>
          <w:sz w:val="12"/>
        </w:rPr>
        <w:t>vlevo</w:t>
      </w:r>
    </w:p>
    <w:p w14:paraId="1B16CABE" w14:textId="77777777" w:rsidR="00F65BCA" w:rsidRDefault="00216117">
      <w:pPr>
        <w:spacing w:before="38"/>
        <w:ind w:left="455"/>
        <w:rPr>
          <w:sz w:val="12"/>
        </w:rPr>
      </w:pPr>
      <w:r>
        <w:rPr>
          <w:color w:val="231F20"/>
          <w:sz w:val="12"/>
        </w:rPr>
        <w:t>do úplného sevření do dlaně chybí přes 4 cm</w:t>
      </w:r>
    </w:p>
    <w:p w14:paraId="546C9C96" w14:textId="77777777" w:rsidR="00F65BCA" w:rsidRDefault="00216117">
      <w:pPr>
        <w:pStyle w:val="Odstavecseseznamem"/>
        <w:numPr>
          <w:ilvl w:val="0"/>
          <w:numId w:val="31"/>
        </w:numPr>
        <w:tabs>
          <w:tab w:val="left" w:pos="456"/>
        </w:tabs>
        <w:spacing w:before="38"/>
        <w:ind w:hanging="273"/>
        <w:rPr>
          <w:sz w:val="12"/>
        </w:rPr>
      </w:pPr>
      <w:r>
        <w:rPr>
          <w:color w:val="231F20"/>
          <w:sz w:val="12"/>
        </w:rPr>
        <w:t>vpravo</w:t>
      </w:r>
    </w:p>
    <w:p w14:paraId="65BFFDDB" w14:textId="77777777" w:rsidR="00F65BCA" w:rsidRDefault="00216117">
      <w:pPr>
        <w:pStyle w:val="Odstavecseseznamem"/>
        <w:numPr>
          <w:ilvl w:val="0"/>
          <w:numId w:val="31"/>
        </w:numPr>
        <w:tabs>
          <w:tab w:val="left" w:pos="456"/>
        </w:tabs>
        <w:spacing w:before="37"/>
        <w:ind w:hanging="273"/>
        <w:rPr>
          <w:sz w:val="12"/>
        </w:rPr>
      </w:pPr>
      <w:r>
        <w:rPr>
          <w:color w:val="231F20"/>
          <w:sz w:val="12"/>
        </w:rPr>
        <w:t>vlevo</w:t>
      </w:r>
    </w:p>
    <w:p w14:paraId="117AB2D2" w14:textId="77777777" w:rsidR="00F65BCA" w:rsidRDefault="00F65BCA">
      <w:pPr>
        <w:pStyle w:val="Zkladntext"/>
        <w:spacing w:before="4"/>
        <w:rPr>
          <w:sz w:val="14"/>
        </w:rPr>
      </w:pPr>
    </w:p>
    <w:p w14:paraId="2B2AEA39" w14:textId="77777777" w:rsidR="00F65BCA" w:rsidRDefault="00216117">
      <w:pPr>
        <w:ind w:left="575"/>
        <w:rPr>
          <w:b/>
          <w:sz w:val="14"/>
        </w:rPr>
      </w:pPr>
      <w:r>
        <w:rPr>
          <w:b/>
          <w:color w:val="231F20"/>
          <w:sz w:val="14"/>
        </w:rPr>
        <w:t xml:space="preserve">Horní končetina – neurologická </w:t>
      </w:r>
      <w:r>
        <w:rPr>
          <w:b/>
          <w:color w:val="231F20"/>
          <w:spacing w:val="-3"/>
          <w:sz w:val="14"/>
        </w:rPr>
        <w:t>postižení</w:t>
      </w:r>
    </w:p>
    <w:p w14:paraId="28684E92" w14:textId="77777777" w:rsidR="00F65BCA" w:rsidRDefault="00216117">
      <w:pPr>
        <w:spacing w:before="58" w:line="47" w:lineRule="exact"/>
        <w:ind w:left="455"/>
        <w:rPr>
          <w:b/>
          <w:sz w:val="12"/>
        </w:rPr>
      </w:pPr>
      <w:r>
        <w:rPr>
          <w:color w:val="231F20"/>
          <w:sz w:val="12"/>
        </w:rPr>
        <w:t xml:space="preserve">Porucha nervu </w:t>
      </w:r>
      <w:r>
        <w:rPr>
          <w:b/>
          <w:color w:val="231F20"/>
          <w:sz w:val="12"/>
        </w:rPr>
        <w:t>axillárního</w:t>
      </w:r>
    </w:p>
    <w:p w14:paraId="449B03EA" w14:textId="77777777" w:rsidR="00F65BCA" w:rsidRDefault="00216117">
      <w:pPr>
        <w:pStyle w:val="Zkladntext"/>
        <w:rPr>
          <w:b/>
          <w:sz w:val="14"/>
        </w:rPr>
      </w:pPr>
      <w:r>
        <w:br w:type="column"/>
      </w:r>
    </w:p>
    <w:p w14:paraId="09F20FCA" w14:textId="77777777" w:rsidR="00F65BCA" w:rsidRDefault="00F65BCA">
      <w:pPr>
        <w:pStyle w:val="Zkladntext"/>
        <w:rPr>
          <w:b/>
          <w:sz w:val="14"/>
        </w:rPr>
      </w:pPr>
    </w:p>
    <w:p w14:paraId="26545B73" w14:textId="77777777" w:rsidR="00F65BCA" w:rsidRDefault="00F65BCA">
      <w:pPr>
        <w:pStyle w:val="Zkladntext"/>
        <w:rPr>
          <w:b/>
          <w:sz w:val="14"/>
        </w:rPr>
      </w:pPr>
    </w:p>
    <w:p w14:paraId="0D4524EB" w14:textId="77777777" w:rsidR="00F65BCA" w:rsidRDefault="00F65BCA">
      <w:pPr>
        <w:pStyle w:val="Zkladntext"/>
        <w:rPr>
          <w:b/>
          <w:sz w:val="14"/>
        </w:rPr>
      </w:pPr>
    </w:p>
    <w:p w14:paraId="30A6128E" w14:textId="77777777" w:rsidR="00F65BCA" w:rsidRDefault="00F65BCA">
      <w:pPr>
        <w:pStyle w:val="Zkladntext"/>
        <w:rPr>
          <w:b/>
          <w:sz w:val="14"/>
        </w:rPr>
      </w:pPr>
    </w:p>
    <w:p w14:paraId="6E229A7D" w14:textId="77777777" w:rsidR="00F65BCA" w:rsidRDefault="00F65BCA">
      <w:pPr>
        <w:pStyle w:val="Zkladntext"/>
        <w:spacing w:before="7"/>
        <w:rPr>
          <w:b/>
          <w:sz w:val="20"/>
        </w:rPr>
      </w:pPr>
    </w:p>
    <w:p w14:paraId="408DA37F" w14:textId="77777777" w:rsidR="00F65BCA" w:rsidRDefault="00216117">
      <w:pPr>
        <w:ind w:left="124"/>
        <w:rPr>
          <w:sz w:val="12"/>
        </w:rPr>
      </w:pPr>
      <w:r>
        <w:rPr>
          <w:color w:val="231F20"/>
          <w:sz w:val="12"/>
        </w:rPr>
        <w:t>1</w:t>
      </w:r>
      <w:r>
        <w:rPr>
          <w:color w:val="231F20"/>
          <w:spacing w:val="-20"/>
          <w:sz w:val="12"/>
        </w:rPr>
        <w:t xml:space="preserve"> </w:t>
      </w:r>
      <w:r>
        <w:rPr>
          <w:color w:val="231F20"/>
          <w:sz w:val="12"/>
        </w:rPr>
        <w:t>%</w:t>
      </w:r>
    </w:p>
    <w:p w14:paraId="14C6232B" w14:textId="77777777" w:rsidR="00F65BCA" w:rsidRDefault="00216117">
      <w:pPr>
        <w:spacing w:before="38"/>
        <w:ind w:left="124"/>
        <w:rPr>
          <w:sz w:val="12"/>
        </w:rPr>
      </w:pPr>
      <w:r>
        <w:rPr>
          <w:color w:val="231F20"/>
          <w:sz w:val="12"/>
        </w:rPr>
        <w:t>1</w:t>
      </w:r>
      <w:r>
        <w:rPr>
          <w:color w:val="231F20"/>
          <w:spacing w:val="-20"/>
          <w:sz w:val="12"/>
        </w:rPr>
        <w:t xml:space="preserve"> </w:t>
      </w:r>
      <w:r>
        <w:rPr>
          <w:color w:val="231F20"/>
          <w:sz w:val="12"/>
        </w:rPr>
        <w:t>%</w:t>
      </w:r>
    </w:p>
    <w:p w14:paraId="103FEEE8" w14:textId="77777777" w:rsidR="00F65BCA" w:rsidRDefault="00F65BCA">
      <w:pPr>
        <w:pStyle w:val="Zkladntext"/>
        <w:spacing w:before="6"/>
        <w:rPr>
          <w:sz w:val="18"/>
        </w:rPr>
      </w:pPr>
    </w:p>
    <w:p w14:paraId="7FBCFC4A" w14:textId="77777777" w:rsidR="00F65BCA" w:rsidRDefault="00216117">
      <w:pPr>
        <w:ind w:left="124"/>
        <w:rPr>
          <w:sz w:val="12"/>
        </w:rPr>
      </w:pPr>
      <w:r>
        <w:rPr>
          <w:color w:val="231F20"/>
          <w:sz w:val="12"/>
        </w:rPr>
        <w:t>3</w:t>
      </w:r>
      <w:r>
        <w:rPr>
          <w:color w:val="231F20"/>
          <w:spacing w:val="-20"/>
          <w:sz w:val="12"/>
        </w:rPr>
        <w:t xml:space="preserve"> </w:t>
      </w:r>
      <w:r>
        <w:rPr>
          <w:color w:val="231F20"/>
          <w:sz w:val="12"/>
        </w:rPr>
        <w:t>%</w:t>
      </w:r>
    </w:p>
    <w:p w14:paraId="1027A410" w14:textId="77777777" w:rsidR="00F65BCA" w:rsidRDefault="00216117">
      <w:pPr>
        <w:spacing w:before="38"/>
        <w:ind w:left="124"/>
        <w:rPr>
          <w:sz w:val="12"/>
        </w:rPr>
      </w:pPr>
      <w:r>
        <w:rPr>
          <w:color w:val="231F20"/>
          <w:sz w:val="12"/>
        </w:rPr>
        <w:t>2</w:t>
      </w:r>
      <w:r>
        <w:rPr>
          <w:color w:val="231F20"/>
          <w:spacing w:val="-20"/>
          <w:sz w:val="12"/>
        </w:rPr>
        <w:t xml:space="preserve"> </w:t>
      </w:r>
      <w:r>
        <w:rPr>
          <w:color w:val="231F20"/>
          <w:sz w:val="12"/>
        </w:rPr>
        <w:t>%</w:t>
      </w:r>
    </w:p>
    <w:p w14:paraId="5BCDB2FB" w14:textId="77777777" w:rsidR="00F65BCA" w:rsidRDefault="00F65BCA">
      <w:pPr>
        <w:pStyle w:val="Zkladntext"/>
        <w:spacing w:before="6"/>
        <w:rPr>
          <w:sz w:val="18"/>
        </w:rPr>
      </w:pPr>
    </w:p>
    <w:p w14:paraId="7D5837B9" w14:textId="77777777" w:rsidR="00F65BCA" w:rsidRDefault="00216117">
      <w:pPr>
        <w:ind w:left="124"/>
        <w:rPr>
          <w:sz w:val="12"/>
        </w:rPr>
      </w:pPr>
      <w:r>
        <w:rPr>
          <w:color w:val="231F20"/>
          <w:sz w:val="12"/>
        </w:rPr>
        <w:t>7</w:t>
      </w:r>
      <w:r>
        <w:rPr>
          <w:color w:val="231F20"/>
          <w:spacing w:val="-20"/>
          <w:sz w:val="12"/>
        </w:rPr>
        <w:t xml:space="preserve"> </w:t>
      </w:r>
      <w:r>
        <w:rPr>
          <w:color w:val="231F20"/>
          <w:sz w:val="12"/>
        </w:rPr>
        <w:t>%</w:t>
      </w:r>
    </w:p>
    <w:p w14:paraId="3C5EADAB" w14:textId="77777777" w:rsidR="00F65BCA" w:rsidRDefault="00216117">
      <w:pPr>
        <w:spacing w:before="38"/>
        <w:ind w:left="124"/>
        <w:rPr>
          <w:sz w:val="12"/>
        </w:rPr>
      </w:pPr>
      <w:r>
        <w:rPr>
          <w:color w:val="231F20"/>
          <w:sz w:val="12"/>
        </w:rPr>
        <w:t>6</w:t>
      </w:r>
      <w:r>
        <w:rPr>
          <w:color w:val="231F20"/>
          <w:spacing w:val="-20"/>
          <w:sz w:val="12"/>
        </w:rPr>
        <w:t xml:space="preserve"> </w:t>
      </w:r>
      <w:r>
        <w:rPr>
          <w:color w:val="231F20"/>
          <w:sz w:val="12"/>
        </w:rPr>
        <w:t>%</w:t>
      </w:r>
    </w:p>
    <w:p w14:paraId="17393D89" w14:textId="77777777" w:rsidR="00F65BCA" w:rsidRDefault="00F65BCA">
      <w:pPr>
        <w:pStyle w:val="Zkladntext"/>
        <w:spacing w:before="7"/>
        <w:rPr>
          <w:sz w:val="18"/>
        </w:rPr>
      </w:pPr>
    </w:p>
    <w:p w14:paraId="09FA5E08" w14:textId="77777777" w:rsidR="00F65BCA" w:rsidRDefault="00216117">
      <w:pPr>
        <w:ind w:left="57"/>
        <w:rPr>
          <w:sz w:val="12"/>
        </w:rPr>
      </w:pPr>
      <w:r>
        <w:rPr>
          <w:color w:val="231F20"/>
          <w:sz w:val="12"/>
        </w:rPr>
        <w:t>10</w:t>
      </w:r>
      <w:r>
        <w:rPr>
          <w:color w:val="231F20"/>
          <w:spacing w:val="-20"/>
          <w:sz w:val="12"/>
        </w:rPr>
        <w:t xml:space="preserve"> </w:t>
      </w:r>
      <w:r>
        <w:rPr>
          <w:color w:val="231F20"/>
          <w:sz w:val="12"/>
        </w:rPr>
        <w:t>%</w:t>
      </w:r>
    </w:p>
    <w:p w14:paraId="64F6014A" w14:textId="77777777" w:rsidR="00F65BCA" w:rsidRDefault="00216117">
      <w:pPr>
        <w:spacing w:before="38"/>
        <w:ind w:left="124"/>
        <w:rPr>
          <w:sz w:val="12"/>
        </w:rPr>
      </w:pPr>
      <w:r>
        <w:rPr>
          <w:color w:val="231F20"/>
          <w:sz w:val="12"/>
        </w:rPr>
        <w:t>8</w:t>
      </w:r>
      <w:r>
        <w:rPr>
          <w:color w:val="231F20"/>
          <w:spacing w:val="-20"/>
          <w:sz w:val="12"/>
        </w:rPr>
        <w:t xml:space="preserve"> </w:t>
      </w:r>
      <w:r>
        <w:rPr>
          <w:color w:val="231F20"/>
          <w:sz w:val="12"/>
        </w:rPr>
        <w:t>%</w:t>
      </w:r>
    </w:p>
    <w:p w14:paraId="4C9C706A" w14:textId="77777777" w:rsidR="00F65BCA" w:rsidRDefault="00F65BCA">
      <w:pPr>
        <w:rPr>
          <w:sz w:val="12"/>
        </w:rPr>
        <w:sectPr w:rsidR="00F65BCA">
          <w:type w:val="continuous"/>
          <w:pgSz w:w="11910" w:h="16840"/>
          <w:pgMar w:top="840" w:right="140" w:bottom="280" w:left="140" w:header="708" w:footer="708" w:gutter="0"/>
          <w:cols w:num="6" w:space="708" w:equalWidth="0">
            <w:col w:w="2934" w:space="277"/>
            <w:col w:w="479" w:space="177"/>
            <w:col w:w="2974" w:space="237"/>
            <w:col w:w="479" w:space="191"/>
            <w:col w:w="3298" w:space="40"/>
            <w:col w:w="544"/>
          </w:cols>
        </w:sectPr>
      </w:pPr>
    </w:p>
    <w:p w14:paraId="28916801" w14:textId="77777777" w:rsidR="00F65BCA" w:rsidRDefault="00000000">
      <w:pPr>
        <w:pStyle w:val="Odstavecseseznamem"/>
        <w:numPr>
          <w:ilvl w:val="0"/>
          <w:numId w:val="30"/>
        </w:numPr>
        <w:tabs>
          <w:tab w:val="left" w:pos="456"/>
        </w:tabs>
        <w:spacing w:line="108" w:lineRule="exact"/>
        <w:ind w:hanging="273"/>
        <w:rPr>
          <w:sz w:val="12"/>
        </w:rPr>
      </w:pPr>
      <w:r>
        <w:pict w14:anchorId="389A1002">
          <v:group id="_x0000_s1564" style="position:absolute;left:0;text-align:left;margin-left:0;margin-top:807.85pt;width:595.3pt;height:34.05pt;z-index:252006400;mso-position-horizontal-relative:page;mso-position-vertical-relative:page" coordorigin=",16157" coordsize="11906,681">
            <v:shape id="_x0000_s1566" type="#_x0000_t75" style="position:absolute;top:16157;width:11906;height:681">
              <v:imagedata r:id="rId57" o:title=""/>
            </v:shape>
            <v:shape id="_x0000_s1565" type="#_x0000_t202" style="position:absolute;left:1020;top:16477;width:1414;height:164" filled="f" stroked="f">
              <v:textbox inset="0,0,0,0">
                <w:txbxContent>
                  <w:p w14:paraId="6FE69A82" w14:textId="77777777" w:rsidR="00F65BCA" w:rsidRDefault="00216117">
                    <w:pPr>
                      <w:spacing w:before="2"/>
                      <w:rPr>
                        <w:sz w:val="14"/>
                      </w:rPr>
                    </w:pPr>
                    <w:r>
                      <w:rPr>
                        <w:color w:val="231F20"/>
                        <w:sz w:val="14"/>
                      </w:rPr>
                      <w:t>6.20.012 05.2025 v04</w:t>
                    </w:r>
                  </w:p>
                </w:txbxContent>
              </v:textbox>
            </v:shape>
            <w10:wrap anchorx="page" anchory="page"/>
          </v:group>
        </w:pict>
      </w:r>
      <w:r w:rsidR="00216117">
        <w:rPr>
          <w:noProof/>
        </w:rPr>
        <w:drawing>
          <wp:anchor distT="0" distB="0" distL="0" distR="0" simplePos="0" relativeHeight="204093440" behindDoc="1" locked="0" layoutInCell="1" allowOverlap="1" wp14:anchorId="0964E0EB" wp14:editId="7E1546B9">
            <wp:simplePos x="0" y="0"/>
            <wp:positionH relativeFrom="page">
              <wp:posOffset>179997</wp:posOffset>
            </wp:positionH>
            <wp:positionV relativeFrom="page">
              <wp:posOffset>180002</wp:posOffset>
            </wp:positionV>
            <wp:extent cx="7200000" cy="9950400"/>
            <wp:effectExtent l="0" t="0" r="0" b="0"/>
            <wp:wrapNone/>
            <wp:docPr id="29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45.png"/>
                    <pic:cNvPicPr/>
                  </pic:nvPicPr>
                  <pic:blipFill>
                    <a:blip r:embed="rId61" cstate="print"/>
                    <a:stretch>
                      <a:fillRect/>
                    </a:stretch>
                  </pic:blipFill>
                  <pic:spPr>
                    <a:xfrm>
                      <a:off x="0" y="0"/>
                      <a:ext cx="7200000" cy="9950400"/>
                    </a:xfrm>
                    <a:prstGeom prst="rect">
                      <a:avLst/>
                    </a:prstGeom>
                  </pic:spPr>
                </pic:pic>
              </a:graphicData>
            </a:graphic>
          </wp:anchor>
        </w:drawing>
      </w:r>
      <w:r w:rsidR="00216117">
        <w:rPr>
          <w:color w:val="231F20"/>
          <w:sz w:val="12"/>
        </w:rPr>
        <w:t>vlevo</w:t>
      </w:r>
    </w:p>
    <w:p w14:paraId="6D4FAB81" w14:textId="77777777" w:rsidR="00F65BCA" w:rsidRDefault="00216117">
      <w:pPr>
        <w:spacing w:before="32" w:line="295" w:lineRule="auto"/>
        <w:ind w:left="455" w:right="363"/>
        <w:rPr>
          <w:sz w:val="12"/>
        </w:rPr>
      </w:pPr>
      <w:r>
        <w:rPr>
          <w:b/>
          <w:color w:val="231F20"/>
          <w:sz w:val="12"/>
        </w:rPr>
        <w:t>Omezení</w:t>
      </w:r>
      <w:r>
        <w:rPr>
          <w:b/>
          <w:color w:val="231F20"/>
          <w:spacing w:val="-12"/>
          <w:sz w:val="12"/>
        </w:rPr>
        <w:t xml:space="preserve"> </w:t>
      </w:r>
      <w:r>
        <w:rPr>
          <w:b/>
          <w:color w:val="231F20"/>
          <w:sz w:val="12"/>
        </w:rPr>
        <w:t>pohyblivosti</w:t>
      </w:r>
      <w:r>
        <w:rPr>
          <w:b/>
          <w:color w:val="231F20"/>
          <w:spacing w:val="-12"/>
          <w:sz w:val="12"/>
        </w:rPr>
        <w:t xml:space="preserve"> </w:t>
      </w:r>
      <w:r>
        <w:rPr>
          <w:color w:val="231F20"/>
          <w:sz w:val="12"/>
        </w:rPr>
        <w:t>loketního</w:t>
      </w:r>
      <w:r>
        <w:rPr>
          <w:color w:val="231F20"/>
          <w:spacing w:val="-12"/>
          <w:sz w:val="12"/>
        </w:rPr>
        <w:t xml:space="preserve"> </w:t>
      </w:r>
      <w:r>
        <w:rPr>
          <w:color w:val="231F20"/>
          <w:spacing w:val="-3"/>
          <w:sz w:val="12"/>
        </w:rPr>
        <w:t xml:space="preserve">kloubu </w:t>
      </w:r>
      <w:r>
        <w:rPr>
          <w:color w:val="231F20"/>
          <w:sz w:val="12"/>
        </w:rPr>
        <w:t>lehkého</w:t>
      </w:r>
      <w:r>
        <w:rPr>
          <w:color w:val="231F20"/>
          <w:spacing w:val="-1"/>
          <w:sz w:val="12"/>
        </w:rPr>
        <w:t xml:space="preserve"> </w:t>
      </w:r>
      <w:r>
        <w:rPr>
          <w:color w:val="231F20"/>
          <w:sz w:val="12"/>
        </w:rPr>
        <w:t>stupně</w:t>
      </w:r>
    </w:p>
    <w:p w14:paraId="24735619" w14:textId="77777777" w:rsidR="00F65BCA" w:rsidRDefault="00216117">
      <w:pPr>
        <w:pStyle w:val="Odstavecseseznamem"/>
        <w:numPr>
          <w:ilvl w:val="0"/>
          <w:numId w:val="30"/>
        </w:numPr>
        <w:tabs>
          <w:tab w:val="left" w:pos="456"/>
        </w:tabs>
        <w:ind w:hanging="273"/>
        <w:rPr>
          <w:sz w:val="12"/>
        </w:rPr>
      </w:pPr>
      <w:r>
        <w:rPr>
          <w:color w:val="231F20"/>
          <w:sz w:val="12"/>
        </w:rPr>
        <w:t>vpravo</w:t>
      </w:r>
    </w:p>
    <w:p w14:paraId="77BAB5A6" w14:textId="77777777" w:rsidR="00F65BCA" w:rsidRDefault="00216117">
      <w:pPr>
        <w:pStyle w:val="Odstavecseseznamem"/>
        <w:numPr>
          <w:ilvl w:val="0"/>
          <w:numId w:val="30"/>
        </w:numPr>
        <w:tabs>
          <w:tab w:val="left" w:pos="456"/>
        </w:tabs>
        <w:spacing w:before="33"/>
        <w:ind w:hanging="273"/>
        <w:rPr>
          <w:sz w:val="12"/>
        </w:rPr>
      </w:pPr>
      <w:r>
        <w:rPr>
          <w:color w:val="231F20"/>
          <w:sz w:val="12"/>
        </w:rPr>
        <w:t>vlevo</w:t>
      </w:r>
    </w:p>
    <w:p w14:paraId="50D7A6D4" w14:textId="77777777" w:rsidR="00F65BCA" w:rsidRDefault="00216117">
      <w:pPr>
        <w:spacing w:before="32"/>
        <w:ind w:left="455"/>
        <w:rPr>
          <w:sz w:val="12"/>
        </w:rPr>
      </w:pPr>
      <w:r>
        <w:rPr>
          <w:color w:val="231F20"/>
          <w:sz w:val="12"/>
        </w:rPr>
        <w:t>středního stupně</w:t>
      </w:r>
    </w:p>
    <w:p w14:paraId="7C27E0DD" w14:textId="77777777" w:rsidR="00F65BCA" w:rsidRDefault="00216117">
      <w:pPr>
        <w:pStyle w:val="Odstavecseseznamem"/>
        <w:numPr>
          <w:ilvl w:val="0"/>
          <w:numId w:val="30"/>
        </w:numPr>
        <w:tabs>
          <w:tab w:val="left" w:pos="456"/>
        </w:tabs>
        <w:spacing w:before="32"/>
        <w:ind w:hanging="273"/>
        <w:rPr>
          <w:sz w:val="12"/>
        </w:rPr>
      </w:pPr>
      <w:r>
        <w:rPr>
          <w:color w:val="231F20"/>
          <w:sz w:val="12"/>
        </w:rPr>
        <w:t>vpravo</w:t>
      </w:r>
    </w:p>
    <w:p w14:paraId="20EA73ED" w14:textId="77777777" w:rsidR="00F65BCA" w:rsidRDefault="00216117">
      <w:pPr>
        <w:pStyle w:val="Odstavecseseznamem"/>
        <w:numPr>
          <w:ilvl w:val="0"/>
          <w:numId w:val="30"/>
        </w:numPr>
        <w:tabs>
          <w:tab w:val="left" w:pos="456"/>
        </w:tabs>
        <w:spacing w:before="32"/>
        <w:ind w:hanging="273"/>
        <w:rPr>
          <w:sz w:val="12"/>
        </w:rPr>
      </w:pPr>
      <w:r>
        <w:rPr>
          <w:color w:val="231F20"/>
          <w:sz w:val="12"/>
        </w:rPr>
        <w:t>vlevo</w:t>
      </w:r>
    </w:p>
    <w:p w14:paraId="5D6E0577" w14:textId="77777777" w:rsidR="00F65BCA" w:rsidRDefault="00216117">
      <w:pPr>
        <w:spacing w:before="32"/>
        <w:ind w:left="455"/>
        <w:rPr>
          <w:sz w:val="12"/>
        </w:rPr>
      </w:pPr>
      <w:r>
        <w:rPr>
          <w:color w:val="231F20"/>
          <w:sz w:val="12"/>
        </w:rPr>
        <w:t>těžkého</w:t>
      </w:r>
      <w:r>
        <w:rPr>
          <w:color w:val="231F20"/>
          <w:spacing w:val="-21"/>
          <w:sz w:val="12"/>
        </w:rPr>
        <w:t xml:space="preserve"> </w:t>
      </w:r>
      <w:r>
        <w:rPr>
          <w:color w:val="231F20"/>
          <w:sz w:val="12"/>
        </w:rPr>
        <w:t>stupně</w:t>
      </w:r>
    </w:p>
    <w:p w14:paraId="60D4932D" w14:textId="77777777" w:rsidR="00F65BCA" w:rsidRDefault="00216117">
      <w:pPr>
        <w:pStyle w:val="Odstavecseseznamem"/>
        <w:numPr>
          <w:ilvl w:val="0"/>
          <w:numId w:val="30"/>
        </w:numPr>
        <w:tabs>
          <w:tab w:val="left" w:pos="456"/>
        </w:tabs>
        <w:spacing w:before="32"/>
        <w:ind w:hanging="273"/>
        <w:rPr>
          <w:sz w:val="12"/>
        </w:rPr>
      </w:pPr>
      <w:r>
        <w:rPr>
          <w:color w:val="231F20"/>
          <w:sz w:val="12"/>
        </w:rPr>
        <w:t>vpravo</w:t>
      </w:r>
    </w:p>
    <w:p w14:paraId="561F033B" w14:textId="77777777" w:rsidR="00F65BCA" w:rsidRDefault="00216117">
      <w:pPr>
        <w:pStyle w:val="Odstavecseseznamem"/>
        <w:numPr>
          <w:ilvl w:val="0"/>
          <w:numId w:val="30"/>
        </w:numPr>
        <w:tabs>
          <w:tab w:val="left" w:pos="456"/>
        </w:tabs>
        <w:spacing w:before="32"/>
        <w:ind w:hanging="273"/>
        <w:rPr>
          <w:sz w:val="12"/>
        </w:rPr>
      </w:pPr>
      <w:r>
        <w:rPr>
          <w:color w:val="231F20"/>
          <w:sz w:val="12"/>
        </w:rPr>
        <w:t>vlevo</w:t>
      </w:r>
    </w:p>
    <w:p w14:paraId="7ECBDF1F" w14:textId="77777777" w:rsidR="00F65BCA" w:rsidRDefault="00216117">
      <w:pPr>
        <w:spacing w:before="31" w:line="249" w:lineRule="auto"/>
        <w:ind w:left="455" w:right="45"/>
        <w:rPr>
          <w:sz w:val="12"/>
        </w:rPr>
      </w:pPr>
      <w:r>
        <w:rPr>
          <w:b/>
          <w:color w:val="231F20"/>
          <w:sz w:val="12"/>
        </w:rPr>
        <w:t xml:space="preserve">Úplná ztuhlost </w:t>
      </w:r>
      <w:r>
        <w:rPr>
          <w:color w:val="231F20"/>
          <w:sz w:val="12"/>
        </w:rPr>
        <w:t xml:space="preserve">kloubu radioulnárního (s ne- možností přivrácení nebo odvrácení </w:t>
      </w:r>
      <w:r>
        <w:rPr>
          <w:color w:val="231F20"/>
          <w:spacing w:val="-3"/>
          <w:sz w:val="12"/>
        </w:rPr>
        <w:t>předloktí)</w:t>
      </w:r>
    </w:p>
    <w:p w14:paraId="6E3BAFA8" w14:textId="77777777" w:rsidR="00F65BCA" w:rsidRDefault="00216117">
      <w:pPr>
        <w:pStyle w:val="Odstavecseseznamem"/>
        <w:numPr>
          <w:ilvl w:val="0"/>
          <w:numId w:val="30"/>
        </w:numPr>
        <w:tabs>
          <w:tab w:val="left" w:pos="456"/>
        </w:tabs>
        <w:spacing w:before="26"/>
        <w:ind w:hanging="273"/>
        <w:rPr>
          <w:sz w:val="12"/>
        </w:rPr>
      </w:pPr>
      <w:r>
        <w:rPr>
          <w:color w:val="231F20"/>
          <w:sz w:val="12"/>
        </w:rPr>
        <w:t>vpravo</w:t>
      </w:r>
    </w:p>
    <w:p w14:paraId="02CEA291" w14:textId="77777777" w:rsidR="00F65BCA" w:rsidRDefault="00216117">
      <w:pPr>
        <w:pStyle w:val="Odstavecseseznamem"/>
        <w:numPr>
          <w:ilvl w:val="0"/>
          <w:numId w:val="30"/>
        </w:numPr>
        <w:tabs>
          <w:tab w:val="left" w:pos="456"/>
        </w:tabs>
        <w:spacing w:before="32"/>
        <w:ind w:hanging="273"/>
        <w:rPr>
          <w:sz w:val="12"/>
        </w:rPr>
      </w:pPr>
      <w:r>
        <w:rPr>
          <w:color w:val="231F20"/>
          <w:sz w:val="12"/>
        </w:rPr>
        <w:t>vlevo</w:t>
      </w:r>
    </w:p>
    <w:p w14:paraId="4C3F42C2" w14:textId="77777777" w:rsidR="00F65BCA" w:rsidRDefault="00216117">
      <w:pPr>
        <w:spacing w:before="32" w:line="295" w:lineRule="auto"/>
        <w:ind w:left="455" w:right="235"/>
        <w:rPr>
          <w:sz w:val="12"/>
        </w:rPr>
      </w:pPr>
      <w:r>
        <w:rPr>
          <w:color w:val="231F20"/>
          <w:sz w:val="12"/>
        </w:rPr>
        <w:t>Omezení</w:t>
      </w:r>
      <w:r>
        <w:rPr>
          <w:color w:val="231F20"/>
          <w:spacing w:val="-10"/>
          <w:sz w:val="12"/>
        </w:rPr>
        <w:t xml:space="preserve"> </w:t>
      </w:r>
      <w:r>
        <w:rPr>
          <w:b/>
          <w:color w:val="231F20"/>
          <w:sz w:val="12"/>
        </w:rPr>
        <w:t>přivrácení</w:t>
      </w:r>
      <w:r>
        <w:rPr>
          <w:b/>
          <w:color w:val="231F20"/>
          <w:spacing w:val="-10"/>
          <w:sz w:val="12"/>
        </w:rPr>
        <w:t xml:space="preserve"> </w:t>
      </w:r>
      <w:r>
        <w:rPr>
          <w:b/>
          <w:color w:val="231F20"/>
          <w:sz w:val="12"/>
        </w:rPr>
        <w:t>a</w:t>
      </w:r>
      <w:r>
        <w:rPr>
          <w:b/>
          <w:color w:val="231F20"/>
          <w:spacing w:val="-9"/>
          <w:sz w:val="12"/>
        </w:rPr>
        <w:t xml:space="preserve"> </w:t>
      </w:r>
      <w:r>
        <w:rPr>
          <w:b/>
          <w:color w:val="231F20"/>
          <w:sz w:val="12"/>
        </w:rPr>
        <w:t>odvrácení</w:t>
      </w:r>
      <w:r>
        <w:rPr>
          <w:b/>
          <w:color w:val="231F20"/>
          <w:spacing w:val="-10"/>
          <w:sz w:val="12"/>
        </w:rPr>
        <w:t xml:space="preserve"> </w:t>
      </w:r>
      <w:r>
        <w:rPr>
          <w:color w:val="231F20"/>
          <w:spacing w:val="-3"/>
          <w:sz w:val="12"/>
        </w:rPr>
        <w:t xml:space="preserve">předloktí </w:t>
      </w:r>
      <w:r>
        <w:rPr>
          <w:color w:val="231F20"/>
          <w:sz w:val="12"/>
        </w:rPr>
        <w:t>lehkého</w:t>
      </w:r>
      <w:r>
        <w:rPr>
          <w:color w:val="231F20"/>
          <w:spacing w:val="-1"/>
          <w:sz w:val="12"/>
        </w:rPr>
        <w:t xml:space="preserve"> </w:t>
      </w:r>
      <w:r>
        <w:rPr>
          <w:color w:val="231F20"/>
          <w:sz w:val="12"/>
        </w:rPr>
        <w:t>stupně</w:t>
      </w:r>
    </w:p>
    <w:p w14:paraId="31F0DB28" w14:textId="77777777" w:rsidR="00F65BCA" w:rsidRDefault="00216117">
      <w:pPr>
        <w:pStyle w:val="Odstavecseseznamem"/>
        <w:numPr>
          <w:ilvl w:val="0"/>
          <w:numId w:val="30"/>
        </w:numPr>
        <w:tabs>
          <w:tab w:val="left" w:pos="456"/>
        </w:tabs>
        <w:spacing w:before="1"/>
        <w:ind w:hanging="273"/>
        <w:rPr>
          <w:sz w:val="12"/>
        </w:rPr>
      </w:pPr>
      <w:r>
        <w:rPr>
          <w:color w:val="231F20"/>
          <w:sz w:val="12"/>
        </w:rPr>
        <w:t>vpravo</w:t>
      </w:r>
    </w:p>
    <w:p w14:paraId="00144D60" w14:textId="77777777" w:rsidR="00F65BCA" w:rsidRDefault="00216117">
      <w:pPr>
        <w:pStyle w:val="Odstavecseseznamem"/>
        <w:numPr>
          <w:ilvl w:val="0"/>
          <w:numId w:val="30"/>
        </w:numPr>
        <w:tabs>
          <w:tab w:val="left" w:pos="456"/>
        </w:tabs>
        <w:spacing w:before="32"/>
        <w:ind w:hanging="273"/>
        <w:rPr>
          <w:sz w:val="12"/>
        </w:rPr>
      </w:pPr>
      <w:r>
        <w:rPr>
          <w:color w:val="231F20"/>
          <w:sz w:val="12"/>
        </w:rPr>
        <w:t>vlevo</w:t>
      </w:r>
    </w:p>
    <w:p w14:paraId="25E90610" w14:textId="77777777" w:rsidR="00F65BCA" w:rsidRDefault="00216117">
      <w:pPr>
        <w:spacing w:before="32"/>
        <w:ind w:left="455"/>
        <w:rPr>
          <w:sz w:val="12"/>
        </w:rPr>
      </w:pPr>
      <w:r>
        <w:rPr>
          <w:color w:val="231F20"/>
          <w:sz w:val="12"/>
        </w:rPr>
        <w:t>středního stupně</w:t>
      </w:r>
    </w:p>
    <w:p w14:paraId="779A5167" w14:textId="77777777" w:rsidR="00F65BCA" w:rsidRDefault="00216117">
      <w:pPr>
        <w:pStyle w:val="Odstavecseseznamem"/>
        <w:numPr>
          <w:ilvl w:val="0"/>
          <w:numId w:val="30"/>
        </w:numPr>
        <w:tabs>
          <w:tab w:val="left" w:pos="456"/>
        </w:tabs>
        <w:spacing w:before="32"/>
        <w:ind w:hanging="273"/>
        <w:rPr>
          <w:sz w:val="12"/>
        </w:rPr>
      </w:pPr>
      <w:r>
        <w:rPr>
          <w:color w:val="231F20"/>
          <w:sz w:val="12"/>
        </w:rPr>
        <w:t>vpravo</w:t>
      </w:r>
    </w:p>
    <w:p w14:paraId="7631CFBB" w14:textId="77777777" w:rsidR="00F65BCA" w:rsidRDefault="00216117">
      <w:pPr>
        <w:pStyle w:val="Odstavecseseznamem"/>
        <w:numPr>
          <w:ilvl w:val="0"/>
          <w:numId w:val="30"/>
        </w:numPr>
        <w:tabs>
          <w:tab w:val="left" w:pos="456"/>
        </w:tabs>
        <w:spacing w:before="32"/>
        <w:ind w:hanging="273"/>
        <w:rPr>
          <w:sz w:val="12"/>
        </w:rPr>
      </w:pPr>
      <w:r>
        <w:rPr>
          <w:color w:val="231F20"/>
          <w:sz w:val="12"/>
        </w:rPr>
        <w:t>vlevo</w:t>
      </w:r>
    </w:p>
    <w:p w14:paraId="6FFB27C0" w14:textId="77777777" w:rsidR="00F65BCA" w:rsidRDefault="00216117">
      <w:pPr>
        <w:spacing w:before="32"/>
        <w:ind w:left="455"/>
        <w:rPr>
          <w:sz w:val="12"/>
        </w:rPr>
      </w:pPr>
      <w:r>
        <w:rPr>
          <w:color w:val="231F20"/>
          <w:sz w:val="12"/>
        </w:rPr>
        <w:t>těžkého</w:t>
      </w:r>
      <w:r>
        <w:rPr>
          <w:color w:val="231F20"/>
          <w:spacing w:val="-21"/>
          <w:sz w:val="12"/>
        </w:rPr>
        <w:t xml:space="preserve"> </w:t>
      </w:r>
      <w:r>
        <w:rPr>
          <w:color w:val="231F20"/>
          <w:sz w:val="12"/>
        </w:rPr>
        <w:t>stupně</w:t>
      </w:r>
    </w:p>
    <w:p w14:paraId="1130E378" w14:textId="77777777" w:rsidR="00F65BCA" w:rsidRDefault="00216117">
      <w:pPr>
        <w:pStyle w:val="Odstavecseseznamem"/>
        <w:numPr>
          <w:ilvl w:val="0"/>
          <w:numId w:val="30"/>
        </w:numPr>
        <w:tabs>
          <w:tab w:val="left" w:pos="456"/>
        </w:tabs>
        <w:spacing w:before="32"/>
        <w:ind w:hanging="273"/>
        <w:rPr>
          <w:sz w:val="12"/>
        </w:rPr>
      </w:pPr>
      <w:r>
        <w:rPr>
          <w:color w:val="231F20"/>
          <w:sz w:val="12"/>
        </w:rPr>
        <w:t>vpravo</w:t>
      </w:r>
    </w:p>
    <w:p w14:paraId="1B9329AB" w14:textId="77777777" w:rsidR="00F65BCA" w:rsidRDefault="00216117">
      <w:pPr>
        <w:pStyle w:val="Odstavecseseznamem"/>
        <w:numPr>
          <w:ilvl w:val="0"/>
          <w:numId w:val="30"/>
        </w:numPr>
        <w:tabs>
          <w:tab w:val="left" w:pos="456"/>
        </w:tabs>
        <w:spacing w:before="33"/>
        <w:ind w:hanging="273"/>
        <w:rPr>
          <w:sz w:val="12"/>
        </w:rPr>
      </w:pPr>
      <w:r>
        <w:rPr>
          <w:color w:val="231F20"/>
          <w:sz w:val="12"/>
        </w:rPr>
        <w:t>vlevo</w:t>
      </w:r>
    </w:p>
    <w:p w14:paraId="77B24C00" w14:textId="77777777" w:rsidR="00F65BCA" w:rsidRDefault="00216117">
      <w:pPr>
        <w:spacing w:before="32"/>
        <w:ind w:left="455"/>
        <w:rPr>
          <w:sz w:val="12"/>
        </w:rPr>
      </w:pPr>
      <w:r>
        <w:rPr>
          <w:b/>
          <w:color w:val="231F20"/>
          <w:sz w:val="12"/>
        </w:rPr>
        <w:t xml:space="preserve">Viklavost </w:t>
      </w:r>
      <w:r>
        <w:rPr>
          <w:color w:val="231F20"/>
          <w:sz w:val="12"/>
        </w:rPr>
        <w:t>loketního kloubu</w:t>
      </w:r>
    </w:p>
    <w:p w14:paraId="0E1A95C3" w14:textId="77777777" w:rsidR="00F65BCA" w:rsidRDefault="00216117">
      <w:pPr>
        <w:pStyle w:val="Odstavecseseznamem"/>
        <w:numPr>
          <w:ilvl w:val="0"/>
          <w:numId w:val="30"/>
        </w:numPr>
        <w:tabs>
          <w:tab w:val="left" w:pos="456"/>
        </w:tabs>
        <w:spacing w:before="32"/>
        <w:ind w:hanging="273"/>
        <w:rPr>
          <w:sz w:val="12"/>
        </w:rPr>
      </w:pPr>
      <w:r>
        <w:rPr>
          <w:color w:val="231F20"/>
          <w:sz w:val="12"/>
        </w:rPr>
        <w:t>vpravo</w:t>
      </w:r>
    </w:p>
    <w:p w14:paraId="2CF013C3" w14:textId="77777777" w:rsidR="00F65BCA" w:rsidRDefault="00216117">
      <w:pPr>
        <w:pStyle w:val="Odstavecseseznamem"/>
        <w:numPr>
          <w:ilvl w:val="0"/>
          <w:numId w:val="30"/>
        </w:numPr>
        <w:tabs>
          <w:tab w:val="left" w:pos="456"/>
        </w:tabs>
        <w:spacing w:before="32"/>
        <w:ind w:hanging="273"/>
        <w:rPr>
          <w:sz w:val="12"/>
        </w:rPr>
      </w:pPr>
      <w:r>
        <w:rPr>
          <w:color w:val="231F20"/>
          <w:sz w:val="12"/>
        </w:rPr>
        <w:t>vlevo</w:t>
      </w:r>
    </w:p>
    <w:p w14:paraId="1132E2FB" w14:textId="77777777" w:rsidR="00F65BCA" w:rsidRDefault="00216117">
      <w:pPr>
        <w:spacing w:before="32"/>
        <w:ind w:left="1329"/>
        <w:rPr>
          <w:b/>
          <w:sz w:val="12"/>
        </w:rPr>
      </w:pPr>
      <w:r>
        <w:rPr>
          <w:b/>
          <w:color w:val="231F20"/>
          <w:sz w:val="12"/>
        </w:rPr>
        <w:t>Zápěstí, ruka</w:t>
      </w:r>
    </w:p>
    <w:p w14:paraId="683A6111" w14:textId="77777777" w:rsidR="00F65BCA" w:rsidRDefault="00216117">
      <w:pPr>
        <w:spacing w:before="34" w:line="249" w:lineRule="auto"/>
        <w:ind w:left="455" w:right="-5"/>
        <w:rPr>
          <w:sz w:val="12"/>
        </w:rPr>
      </w:pPr>
      <w:r>
        <w:rPr>
          <w:b/>
          <w:color w:val="231F20"/>
          <w:sz w:val="12"/>
        </w:rPr>
        <w:t xml:space="preserve">Ztráta předloktí </w:t>
      </w:r>
      <w:r>
        <w:rPr>
          <w:color w:val="231F20"/>
          <w:sz w:val="12"/>
        </w:rPr>
        <w:t>při zachovaném loketním kloubu</w:t>
      </w:r>
    </w:p>
    <w:p w14:paraId="22AAB79F" w14:textId="77777777" w:rsidR="00F65BCA" w:rsidRDefault="00216117">
      <w:pPr>
        <w:pStyle w:val="Odstavecseseznamem"/>
        <w:numPr>
          <w:ilvl w:val="0"/>
          <w:numId w:val="30"/>
        </w:numPr>
        <w:tabs>
          <w:tab w:val="left" w:pos="456"/>
        </w:tabs>
        <w:spacing w:before="28"/>
        <w:ind w:hanging="273"/>
        <w:rPr>
          <w:sz w:val="12"/>
        </w:rPr>
      </w:pPr>
      <w:r>
        <w:rPr>
          <w:color w:val="231F20"/>
          <w:sz w:val="12"/>
        </w:rPr>
        <w:t>vpravo</w:t>
      </w:r>
    </w:p>
    <w:p w14:paraId="0A531E90" w14:textId="77777777" w:rsidR="00F65BCA" w:rsidRDefault="00216117">
      <w:pPr>
        <w:pStyle w:val="Odstavecseseznamem"/>
        <w:numPr>
          <w:ilvl w:val="0"/>
          <w:numId w:val="30"/>
        </w:numPr>
        <w:tabs>
          <w:tab w:val="left" w:pos="456"/>
        </w:tabs>
        <w:spacing w:before="33"/>
        <w:ind w:hanging="273"/>
        <w:rPr>
          <w:sz w:val="12"/>
        </w:rPr>
      </w:pPr>
      <w:r>
        <w:rPr>
          <w:color w:val="231F20"/>
          <w:sz w:val="12"/>
        </w:rPr>
        <w:t>vlevo</w:t>
      </w:r>
    </w:p>
    <w:p w14:paraId="31C83EF3" w14:textId="77777777" w:rsidR="00F65BCA" w:rsidRDefault="00216117">
      <w:pPr>
        <w:spacing w:before="32"/>
        <w:ind w:left="455"/>
        <w:rPr>
          <w:sz w:val="12"/>
        </w:rPr>
      </w:pPr>
      <w:r>
        <w:rPr>
          <w:b/>
          <w:color w:val="231F20"/>
          <w:sz w:val="12"/>
        </w:rPr>
        <w:t xml:space="preserve">Ztráta ruky </w:t>
      </w:r>
      <w:r>
        <w:rPr>
          <w:color w:val="231F20"/>
          <w:sz w:val="12"/>
        </w:rPr>
        <w:t>v zápěstí</w:t>
      </w:r>
    </w:p>
    <w:p w14:paraId="6A23B270" w14:textId="77777777" w:rsidR="00F65BCA" w:rsidRDefault="00216117">
      <w:pPr>
        <w:pStyle w:val="Odstavecseseznamem"/>
        <w:numPr>
          <w:ilvl w:val="0"/>
          <w:numId w:val="30"/>
        </w:numPr>
        <w:tabs>
          <w:tab w:val="left" w:pos="456"/>
        </w:tabs>
        <w:spacing w:before="32"/>
        <w:ind w:hanging="273"/>
        <w:rPr>
          <w:sz w:val="12"/>
        </w:rPr>
      </w:pPr>
      <w:r>
        <w:rPr>
          <w:color w:val="231F20"/>
          <w:sz w:val="12"/>
        </w:rPr>
        <w:t>vpravo</w:t>
      </w:r>
    </w:p>
    <w:p w14:paraId="76815B6F" w14:textId="77777777" w:rsidR="00F65BCA" w:rsidRDefault="00216117">
      <w:pPr>
        <w:pStyle w:val="Odstavecseseznamem"/>
        <w:numPr>
          <w:ilvl w:val="0"/>
          <w:numId w:val="30"/>
        </w:numPr>
        <w:tabs>
          <w:tab w:val="left" w:pos="456"/>
        </w:tabs>
        <w:spacing w:before="32"/>
        <w:ind w:hanging="273"/>
        <w:rPr>
          <w:sz w:val="12"/>
        </w:rPr>
      </w:pPr>
      <w:r>
        <w:rPr>
          <w:color w:val="231F20"/>
          <w:sz w:val="12"/>
        </w:rPr>
        <w:t>vlevo</w:t>
      </w:r>
    </w:p>
    <w:p w14:paraId="5B9DAEFA" w14:textId="77777777" w:rsidR="00F65BCA" w:rsidRDefault="00216117">
      <w:pPr>
        <w:spacing w:before="32"/>
        <w:ind w:left="455"/>
        <w:rPr>
          <w:sz w:val="12"/>
        </w:rPr>
      </w:pPr>
      <w:r>
        <w:rPr>
          <w:color w:val="231F20"/>
          <w:sz w:val="12"/>
        </w:rPr>
        <w:t>Ztráta</w:t>
      </w:r>
      <w:r>
        <w:rPr>
          <w:color w:val="231F20"/>
          <w:spacing w:val="-11"/>
          <w:sz w:val="12"/>
        </w:rPr>
        <w:t xml:space="preserve"> </w:t>
      </w:r>
      <w:r>
        <w:rPr>
          <w:color w:val="231F20"/>
          <w:sz w:val="12"/>
        </w:rPr>
        <w:t>všech</w:t>
      </w:r>
      <w:r>
        <w:rPr>
          <w:color w:val="231F20"/>
          <w:spacing w:val="-11"/>
          <w:sz w:val="12"/>
        </w:rPr>
        <w:t xml:space="preserve"> </w:t>
      </w:r>
      <w:r>
        <w:rPr>
          <w:b/>
          <w:color w:val="231F20"/>
          <w:sz w:val="12"/>
        </w:rPr>
        <w:t>prstů</w:t>
      </w:r>
      <w:r>
        <w:rPr>
          <w:b/>
          <w:color w:val="231F20"/>
          <w:spacing w:val="-11"/>
          <w:sz w:val="12"/>
        </w:rPr>
        <w:t xml:space="preserve"> </w:t>
      </w:r>
      <w:r>
        <w:rPr>
          <w:color w:val="231F20"/>
          <w:sz w:val="12"/>
        </w:rPr>
        <w:t>ruky</w:t>
      </w:r>
      <w:r>
        <w:rPr>
          <w:color w:val="231F20"/>
          <w:spacing w:val="-11"/>
          <w:sz w:val="12"/>
        </w:rPr>
        <w:t xml:space="preserve"> </w:t>
      </w:r>
      <w:r>
        <w:rPr>
          <w:color w:val="231F20"/>
          <w:sz w:val="12"/>
        </w:rPr>
        <w:t>včetně</w:t>
      </w:r>
      <w:r>
        <w:rPr>
          <w:color w:val="231F20"/>
          <w:spacing w:val="-11"/>
          <w:sz w:val="12"/>
        </w:rPr>
        <w:t xml:space="preserve"> </w:t>
      </w:r>
      <w:r>
        <w:rPr>
          <w:color w:val="231F20"/>
          <w:sz w:val="12"/>
        </w:rPr>
        <w:t>záprstních</w:t>
      </w:r>
      <w:r>
        <w:rPr>
          <w:color w:val="231F20"/>
          <w:spacing w:val="-10"/>
          <w:sz w:val="12"/>
        </w:rPr>
        <w:t xml:space="preserve"> </w:t>
      </w:r>
      <w:r>
        <w:rPr>
          <w:color w:val="231F20"/>
          <w:sz w:val="12"/>
        </w:rPr>
        <w:t>kostí</w:t>
      </w:r>
    </w:p>
    <w:p w14:paraId="4B4E9E30" w14:textId="77777777" w:rsidR="00F65BCA" w:rsidRDefault="00216117">
      <w:pPr>
        <w:pStyle w:val="Odstavecseseznamem"/>
        <w:numPr>
          <w:ilvl w:val="0"/>
          <w:numId w:val="30"/>
        </w:numPr>
        <w:tabs>
          <w:tab w:val="left" w:pos="456"/>
        </w:tabs>
        <w:spacing w:before="32"/>
        <w:ind w:hanging="273"/>
        <w:rPr>
          <w:sz w:val="12"/>
        </w:rPr>
      </w:pPr>
      <w:r>
        <w:rPr>
          <w:color w:val="231F20"/>
          <w:sz w:val="12"/>
        </w:rPr>
        <w:t>vpravo</w:t>
      </w:r>
    </w:p>
    <w:p w14:paraId="22176A76" w14:textId="77777777" w:rsidR="00F65BCA" w:rsidRDefault="00216117">
      <w:pPr>
        <w:pStyle w:val="Odstavecseseznamem"/>
        <w:numPr>
          <w:ilvl w:val="0"/>
          <w:numId w:val="30"/>
        </w:numPr>
        <w:tabs>
          <w:tab w:val="left" w:pos="456"/>
        </w:tabs>
        <w:spacing w:before="32"/>
        <w:ind w:hanging="273"/>
        <w:rPr>
          <w:sz w:val="12"/>
        </w:rPr>
      </w:pPr>
      <w:r>
        <w:rPr>
          <w:color w:val="231F20"/>
          <w:sz w:val="12"/>
        </w:rPr>
        <w:t>vlevo</w:t>
      </w:r>
    </w:p>
    <w:p w14:paraId="775BEE3B" w14:textId="77777777" w:rsidR="00F65BCA" w:rsidRDefault="00216117">
      <w:pPr>
        <w:spacing w:before="37" w:line="249" w:lineRule="auto"/>
        <w:ind w:left="455" w:right="165"/>
        <w:rPr>
          <w:sz w:val="12"/>
        </w:rPr>
      </w:pPr>
      <w:r>
        <w:rPr>
          <w:color w:val="231F20"/>
          <w:sz w:val="12"/>
        </w:rPr>
        <w:t xml:space="preserve">Ztráta </w:t>
      </w:r>
      <w:r>
        <w:rPr>
          <w:b/>
          <w:color w:val="231F20"/>
          <w:sz w:val="12"/>
        </w:rPr>
        <w:t xml:space="preserve">prstů </w:t>
      </w:r>
      <w:r>
        <w:rPr>
          <w:color w:val="231F20"/>
          <w:sz w:val="12"/>
        </w:rPr>
        <w:t xml:space="preserve">ruky </w:t>
      </w:r>
      <w:r>
        <w:rPr>
          <w:b/>
          <w:color w:val="231F20"/>
          <w:sz w:val="12"/>
        </w:rPr>
        <w:t>mimo palec</w:t>
      </w:r>
      <w:r>
        <w:rPr>
          <w:color w:val="231F20"/>
          <w:sz w:val="12"/>
        </w:rPr>
        <w:t xml:space="preserve">, </w:t>
      </w:r>
      <w:r>
        <w:rPr>
          <w:color w:val="231F20"/>
          <w:spacing w:val="-3"/>
          <w:sz w:val="12"/>
        </w:rPr>
        <w:t xml:space="preserve">popř. včetně </w:t>
      </w:r>
      <w:r>
        <w:rPr>
          <w:color w:val="231F20"/>
          <w:sz w:val="12"/>
        </w:rPr>
        <w:t>záprstních</w:t>
      </w:r>
      <w:r>
        <w:rPr>
          <w:color w:val="231F20"/>
          <w:spacing w:val="-1"/>
          <w:sz w:val="12"/>
        </w:rPr>
        <w:t xml:space="preserve"> </w:t>
      </w:r>
      <w:r>
        <w:rPr>
          <w:color w:val="231F20"/>
          <w:sz w:val="12"/>
        </w:rPr>
        <w:t>kostí</w:t>
      </w:r>
    </w:p>
    <w:p w14:paraId="1CCF4492" w14:textId="77777777" w:rsidR="00F65BCA" w:rsidRDefault="00216117">
      <w:pPr>
        <w:pStyle w:val="Odstavecseseznamem"/>
        <w:numPr>
          <w:ilvl w:val="0"/>
          <w:numId w:val="30"/>
        </w:numPr>
        <w:tabs>
          <w:tab w:val="left" w:pos="456"/>
        </w:tabs>
        <w:spacing w:before="32"/>
        <w:ind w:hanging="273"/>
        <w:rPr>
          <w:sz w:val="12"/>
        </w:rPr>
      </w:pPr>
      <w:r>
        <w:rPr>
          <w:color w:val="231F20"/>
          <w:sz w:val="12"/>
        </w:rPr>
        <w:t>vpravo</w:t>
      </w:r>
    </w:p>
    <w:p w14:paraId="568667AF" w14:textId="77777777" w:rsidR="00F65BCA" w:rsidRDefault="00216117">
      <w:pPr>
        <w:pStyle w:val="Odstavecseseznamem"/>
        <w:numPr>
          <w:ilvl w:val="0"/>
          <w:numId w:val="30"/>
        </w:numPr>
        <w:tabs>
          <w:tab w:val="left" w:pos="456"/>
        </w:tabs>
        <w:spacing w:before="35"/>
        <w:ind w:hanging="273"/>
        <w:rPr>
          <w:sz w:val="12"/>
        </w:rPr>
      </w:pPr>
      <w:r>
        <w:rPr>
          <w:color w:val="231F20"/>
          <w:sz w:val="12"/>
        </w:rPr>
        <w:t>vlevo</w:t>
      </w:r>
    </w:p>
    <w:p w14:paraId="7D448BD2" w14:textId="77777777" w:rsidR="00F65BCA" w:rsidRDefault="00216117">
      <w:pPr>
        <w:spacing w:before="34"/>
        <w:ind w:left="455"/>
        <w:rPr>
          <w:b/>
          <w:sz w:val="12"/>
        </w:rPr>
      </w:pPr>
      <w:r>
        <w:rPr>
          <w:color w:val="231F20"/>
          <w:sz w:val="12"/>
        </w:rPr>
        <w:t xml:space="preserve">Úplná </w:t>
      </w:r>
      <w:r>
        <w:rPr>
          <w:b/>
          <w:color w:val="231F20"/>
          <w:sz w:val="12"/>
        </w:rPr>
        <w:t>ztuhlost zápěstí</w:t>
      </w:r>
    </w:p>
    <w:p w14:paraId="49B50308" w14:textId="77777777" w:rsidR="00F65BCA" w:rsidRDefault="00216117">
      <w:pPr>
        <w:spacing w:before="35"/>
        <w:ind w:left="455"/>
        <w:rPr>
          <w:sz w:val="12"/>
        </w:rPr>
      </w:pPr>
      <w:r>
        <w:rPr>
          <w:color w:val="231F20"/>
          <w:sz w:val="12"/>
        </w:rPr>
        <w:t>v palmární flexi dle postavení (dlaňové ohnutí)</w:t>
      </w:r>
    </w:p>
    <w:p w14:paraId="40421A9B" w14:textId="77777777" w:rsidR="00F65BCA" w:rsidRDefault="00216117">
      <w:pPr>
        <w:pStyle w:val="Odstavecseseznamem"/>
        <w:numPr>
          <w:ilvl w:val="0"/>
          <w:numId w:val="30"/>
        </w:numPr>
        <w:tabs>
          <w:tab w:val="left" w:pos="456"/>
        </w:tabs>
        <w:spacing w:before="34"/>
        <w:ind w:hanging="273"/>
        <w:rPr>
          <w:sz w:val="12"/>
        </w:rPr>
      </w:pPr>
      <w:r>
        <w:rPr>
          <w:color w:val="231F20"/>
          <w:sz w:val="12"/>
        </w:rPr>
        <w:t>vpravo</w:t>
      </w:r>
    </w:p>
    <w:p w14:paraId="430377D6" w14:textId="77777777" w:rsidR="00F65BCA" w:rsidRDefault="00216117">
      <w:pPr>
        <w:pStyle w:val="Odstavecseseznamem"/>
        <w:numPr>
          <w:ilvl w:val="0"/>
          <w:numId w:val="30"/>
        </w:numPr>
        <w:tabs>
          <w:tab w:val="left" w:pos="456"/>
        </w:tabs>
        <w:spacing w:before="34"/>
        <w:ind w:hanging="273"/>
        <w:rPr>
          <w:sz w:val="12"/>
        </w:rPr>
      </w:pPr>
      <w:r>
        <w:rPr>
          <w:color w:val="231F20"/>
          <w:sz w:val="12"/>
        </w:rPr>
        <w:t>vlevo</w:t>
      </w:r>
    </w:p>
    <w:p w14:paraId="77192A2D" w14:textId="77777777" w:rsidR="00F65BCA" w:rsidRDefault="00216117">
      <w:pPr>
        <w:spacing w:before="35"/>
        <w:ind w:left="455"/>
        <w:rPr>
          <w:sz w:val="12"/>
        </w:rPr>
      </w:pPr>
      <w:r>
        <w:rPr>
          <w:color w:val="231F20"/>
          <w:sz w:val="12"/>
        </w:rPr>
        <w:t>v dorsální flexi dle postavení (hřbetní ohnutí)</w:t>
      </w:r>
    </w:p>
    <w:p w14:paraId="1B73ED98" w14:textId="77777777" w:rsidR="00F65BCA" w:rsidRDefault="00216117">
      <w:pPr>
        <w:pStyle w:val="Odstavecseseznamem"/>
        <w:numPr>
          <w:ilvl w:val="0"/>
          <w:numId w:val="30"/>
        </w:numPr>
        <w:tabs>
          <w:tab w:val="left" w:pos="456"/>
        </w:tabs>
        <w:spacing w:before="33"/>
        <w:ind w:hanging="273"/>
        <w:rPr>
          <w:sz w:val="12"/>
        </w:rPr>
      </w:pPr>
      <w:r>
        <w:rPr>
          <w:color w:val="231F20"/>
          <w:sz w:val="12"/>
        </w:rPr>
        <w:t>vpravo</w:t>
      </w:r>
    </w:p>
    <w:p w14:paraId="496EB3C3" w14:textId="77777777" w:rsidR="00F65BCA" w:rsidRDefault="00216117">
      <w:pPr>
        <w:pStyle w:val="Odstavecseseznamem"/>
        <w:numPr>
          <w:ilvl w:val="0"/>
          <w:numId w:val="30"/>
        </w:numPr>
        <w:tabs>
          <w:tab w:val="left" w:pos="456"/>
        </w:tabs>
        <w:spacing w:before="32"/>
        <w:ind w:hanging="273"/>
        <w:rPr>
          <w:sz w:val="12"/>
        </w:rPr>
      </w:pPr>
      <w:r>
        <w:rPr>
          <w:color w:val="231F20"/>
          <w:sz w:val="12"/>
        </w:rPr>
        <w:t>vlevo</w:t>
      </w:r>
    </w:p>
    <w:p w14:paraId="36F32DFC" w14:textId="77777777" w:rsidR="00F65BCA" w:rsidRDefault="00216117">
      <w:pPr>
        <w:spacing w:before="32" w:line="295" w:lineRule="auto"/>
        <w:ind w:left="455" w:right="842"/>
        <w:rPr>
          <w:sz w:val="12"/>
        </w:rPr>
      </w:pPr>
      <w:r>
        <w:rPr>
          <w:b/>
          <w:color w:val="231F20"/>
          <w:sz w:val="12"/>
        </w:rPr>
        <w:t>Omezení pohyblivosti</w:t>
      </w:r>
      <w:r>
        <w:rPr>
          <w:b/>
          <w:color w:val="231F20"/>
          <w:spacing w:val="-25"/>
          <w:sz w:val="12"/>
        </w:rPr>
        <w:t xml:space="preserve"> </w:t>
      </w:r>
      <w:r>
        <w:rPr>
          <w:color w:val="231F20"/>
          <w:spacing w:val="-3"/>
          <w:sz w:val="12"/>
        </w:rPr>
        <w:t xml:space="preserve">zápěstí </w:t>
      </w:r>
      <w:r>
        <w:rPr>
          <w:color w:val="231F20"/>
          <w:sz w:val="12"/>
        </w:rPr>
        <w:t>lehkého</w:t>
      </w:r>
      <w:r>
        <w:rPr>
          <w:color w:val="231F20"/>
          <w:spacing w:val="-1"/>
          <w:sz w:val="12"/>
        </w:rPr>
        <w:t xml:space="preserve"> </w:t>
      </w:r>
      <w:r>
        <w:rPr>
          <w:color w:val="231F20"/>
          <w:sz w:val="12"/>
        </w:rPr>
        <w:t>stupně</w:t>
      </w:r>
    </w:p>
    <w:p w14:paraId="2A37F6D6" w14:textId="77777777" w:rsidR="00F65BCA" w:rsidRDefault="00216117">
      <w:pPr>
        <w:pStyle w:val="Odstavecseseznamem"/>
        <w:numPr>
          <w:ilvl w:val="0"/>
          <w:numId w:val="30"/>
        </w:numPr>
        <w:tabs>
          <w:tab w:val="left" w:pos="456"/>
        </w:tabs>
        <w:spacing w:before="1"/>
        <w:ind w:hanging="273"/>
        <w:rPr>
          <w:sz w:val="12"/>
        </w:rPr>
      </w:pPr>
      <w:r>
        <w:rPr>
          <w:color w:val="231F20"/>
          <w:sz w:val="12"/>
        </w:rPr>
        <w:t>vpravo</w:t>
      </w:r>
    </w:p>
    <w:p w14:paraId="400544DC" w14:textId="77777777" w:rsidR="00F65BCA" w:rsidRDefault="00216117">
      <w:pPr>
        <w:pStyle w:val="Odstavecseseznamem"/>
        <w:numPr>
          <w:ilvl w:val="0"/>
          <w:numId w:val="30"/>
        </w:numPr>
        <w:tabs>
          <w:tab w:val="left" w:pos="456"/>
        </w:tabs>
        <w:spacing w:before="32"/>
        <w:ind w:hanging="273"/>
        <w:rPr>
          <w:sz w:val="12"/>
        </w:rPr>
      </w:pPr>
      <w:r>
        <w:rPr>
          <w:color w:val="231F20"/>
          <w:sz w:val="12"/>
        </w:rPr>
        <w:t>vlevo</w:t>
      </w:r>
    </w:p>
    <w:p w14:paraId="252F92F3" w14:textId="77777777" w:rsidR="00F65BCA" w:rsidRDefault="00216117">
      <w:pPr>
        <w:spacing w:before="32"/>
        <w:ind w:left="455"/>
        <w:rPr>
          <w:sz w:val="12"/>
        </w:rPr>
      </w:pPr>
      <w:r>
        <w:rPr>
          <w:color w:val="231F20"/>
          <w:sz w:val="12"/>
        </w:rPr>
        <w:t>středního stupně</w:t>
      </w:r>
    </w:p>
    <w:p w14:paraId="2D2544C0" w14:textId="77777777" w:rsidR="00F65BCA" w:rsidRDefault="00216117">
      <w:pPr>
        <w:pStyle w:val="Odstavecseseznamem"/>
        <w:numPr>
          <w:ilvl w:val="0"/>
          <w:numId w:val="30"/>
        </w:numPr>
        <w:tabs>
          <w:tab w:val="left" w:pos="456"/>
        </w:tabs>
        <w:spacing w:before="32"/>
        <w:ind w:hanging="273"/>
        <w:rPr>
          <w:sz w:val="12"/>
        </w:rPr>
      </w:pPr>
      <w:r>
        <w:rPr>
          <w:color w:val="231F20"/>
          <w:sz w:val="12"/>
        </w:rPr>
        <w:t>vpravo</w:t>
      </w:r>
    </w:p>
    <w:p w14:paraId="09CB56BD" w14:textId="77777777" w:rsidR="00F65BCA" w:rsidRDefault="00216117">
      <w:pPr>
        <w:pStyle w:val="Odstavecseseznamem"/>
        <w:numPr>
          <w:ilvl w:val="0"/>
          <w:numId w:val="30"/>
        </w:numPr>
        <w:tabs>
          <w:tab w:val="left" w:pos="456"/>
        </w:tabs>
        <w:spacing w:before="32"/>
        <w:ind w:hanging="273"/>
        <w:rPr>
          <w:sz w:val="12"/>
        </w:rPr>
      </w:pPr>
      <w:r>
        <w:rPr>
          <w:color w:val="231F20"/>
          <w:sz w:val="12"/>
        </w:rPr>
        <w:t>vlevo</w:t>
      </w:r>
    </w:p>
    <w:p w14:paraId="58CB5418" w14:textId="77777777" w:rsidR="00F65BCA" w:rsidRDefault="00216117">
      <w:pPr>
        <w:spacing w:before="32"/>
        <w:ind w:left="455"/>
        <w:rPr>
          <w:sz w:val="12"/>
        </w:rPr>
      </w:pPr>
      <w:r>
        <w:rPr>
          <w:color w:val="231F20"/>
          <w:sz w:val="12"/>
        </w:rPr>
        <w:t>těžkého</w:t>
      </w:r>
      <w:r>
        <w:rPr>
          <w:color w:val="231F20"/>
          <w:spacing w:val="-21"/>
          <w:sz w:val="12"/>
        </w:rPr>
        <w:t xml:space="preserve"> </w:t>
      </w:r>
      <w:r>
        <w:rPr>
          <w:color w:val="231F20"/>
          <w:sz w:val="12"/>
        </w:rPr>
        <w:t>stupně</w:t>
      </w:r>
    </w:p>
    <w:p w14:paraId="0B6608D8" w14:textId="77777777" w:rsidR="00F65BCA" w:rsidRDefault="00216117">
      <w:pPr>
        <w:pStyle w:val="Odstavecseseznamem"/>
        <w:numPr>
          <w:ilvl w:val="0"/>
          <w:numId w:val="30"/>
        </w:numPr>
        <w:tabs>
          <w:tab w:val="left" w:pos="456"/>
        </w:tabs>
        <w:spacing w:before="32"/>
        <w:ind w:hanging="273"/>
        <w:rPr>
          <w:sz w:val="12"/>
        </w:rPr>
      </w:pPr>
      <w:r>
        <w:rPr>
          <w:color w:val="231F20"/>
          <w:sz w:val="12"/>
        </w:rPr>
        <w:t>vpravo</w:t>
      </w:r>
    </w:p>
    <w:p w14:paraId="646DFE10" w14:textId="77777777" w:rsidR="00F65BCA" w:rsidRDefault="00216117">
      <w:pPr>
        <w:pStyle w:val="Odstavecseseznamem"/>
        <w:numPr>
          <w:ilvl w:val="0"/>
          <w:numId w:val="30"/>
        </w:numPr>
        <w:tabs>
          <w:tab w:val="left" w:pos="456"/>
        </w:tabs>
        <w:spacing w:before="32"/>
        <w:ind w:hanging="273"/>
        <w:rPr>
          <w:sz w:val="12"/>
        </w:rPr>
      </w:pPr>
      <w:r>
        <w:rPr>
          <w:color w:val="231F20"/>
          <w:sz w:val="12"/>
        </w:rPr>
        <w:t>vlevo</w:t>
      </w:r>
    </w:p>
    <w:p w14:paraId="6AB8A378" w14:textId="77777777" w:rsidR="00F65BCA" w:rsidRDefault="00216117">
      <w:pPr>
        <w:spacing w:before="32"/>
        <w:ind w:left="455"/>
        <w:rPr>
          <w:sz w:val="12"/>
        </w:rPr>
      </w:pPr>
      <w:r>
        <w:rPr>
          <w:b/>
          <w:color w:val="231F20"/>
          <w:sz w:val="12"/>
        </w:rPr>
        <w:t xml:space="preserve">Viklavost </w:t>
      </w:r>
      <w:r>
        <w:rPr>
          <w:color w:val="231F20"/>
          <w:sz w:val="12"/>
        </w:rPr>
        <w:t>zápěstí</w:t>
      </w:r>
    </w:p>
    <w:p w14:paraId="486435DE" w14:textId="77777777" w:rsidR="00F65BCA" w:rsidRDefault="00216117">
      <w:pPr>
        <w:pStyle w:val="Odstavecseseznamem"/>
        <w:numPr>
          <w:ilvl w:val="0"/>
          <w:numId w:val="30"/>
        </w:numPr>
        <w:tabs>
          <w:tab w:val="left" w:pos="456"/>
        </w:tabs>
        <w:spacing w:before="33"/>
        <w:ind w:hanging="273"/>
        <w:rPr>
          <w:sz w:val="12"/>
        </w:rPr>
      </w:pPr>
      <w:r>
        <w:rPr>
          <w:color w:val="231F20"/>
          <w:sz w:val="12"/>
        </w:rPr>
        <w:t>vpravo</w:t>
      </w:r>
    </w:p>
    <w:p w14:paraId="4773687B" w14:textId="77777777" w:rsidR="00F65BCA" w:rsidRDefault="00216117">
      <w:pPr>
        <w:pStyle w:val="Odstavecseseznamem"/>
        <w:numPr>
          <w:ilvl w:val="0"/>
          <w:numId w:val="30"/>
        </w:numPr>
        <w:tabs>
          <w:tab w:val="left" w:pos="456"/>
        </w:tabs>
        <w:spacing w:before="32"/>
        <w:ind w:hanging="273"/>
        <w:rPr>
          <w:sz w:val="12"/>
        </w:rPr>
      </w:pPr>
      <w:r>
        <w:rPr>
          <w:color w:val="231F20"/>
          <w:sz w:val="12"/>
        </w:rPr>
        <w:t>vlevo</w:t>
      </w:r>
    </w:p>
    <w:p w14:paraId="317C0090" w14:textId="77777777" w:rsidR="00F65BCA" w:rsidRDefault="00216117">
      <w:pPr>
        <w:spacing w:before="32"/>
        <w:ind w:left="1555"/>
        <w:rPr>
          <w:b/>
          <w:sz w:val="12"/>
        </w:rPr>
      </w:pPr>
      <w:r>
        <w:rPr>
          <w:b/>
          <w:color w:val="231F20"/>
          <w:sz w:val="12"/>
        </w:rPr>
        <w:t>Prsty</w:t>
      </w:r>
    </w:p>
    <w:p w14:paraId="7D2E71E5" w14:textId="77777777" w:rsidR="00F65BCA" w:rsidRDefault="00216117">
      <w:pPr>
        <w:spacing w:before="32"/>
        <w:ind w:left="455"/>
        <w:rPr>
          <w:b/>
          <w:sz w:val="12"/>
        </w:rPr>
      </w:pPr>
      <w:r>
        <w:rPr>
          <w:b/>
          <w:color w:val="231F20"/>
          <w:sz w:val="12"/>
        </w:rPr>
        <w:t>Palec</w:t>
      </w:r>
    </w:p>
    <w:p w14:paraId="79D4595F" w14:textId="77777777" w:rsidR="00F65BCA" w:rsidRDefault="00216117">
      <w:pPr>
        <w:spacing w:before="32"/>
        <w:ind w:left="455"/>
        <w:rPr>
          <w:sz w:val="12"/>
        </w:rPr>
      </w:pPr>
      <w:r>
        <w:rPr>
          <w:color w:val="231F20"/>
          <w:sz w:val="12"/>
        </w:rPr>
        <w:t>Ztráta palce se záprstní kostí</w:t>
      </w:r>
    </w:p>
    <w:p w14:paraId="62758307" w14:textId="77777777" w:rsidR="00F65BCA" w:rsidRDefault="00216117">
      <w:pPr>
        <w:pStyle w:val="Odstavecseseznamem"/>
        <w:numPr>
          <w:ilvl w:val="0"/>
          <w:numId w:val="30"/>
        </w:numPr>
        <w:tabs>
          <w:tab w:val="left" w:pos="456"/>
        </w:tabs>
        <w:spacing w:before="32"/>
        <w:ind w:hanging="273"/>
        <w:rPr>
          <w:sz w:val="12"/>
        </w:rPr>
      </w:pPr>
      <w:r>
        <w:rPr>
          <w:color w:val="231F20"/>
          <w:sz w:val="12"/>
        </w:rPr>
        <w:t>vpravo</w:t>
      </w:r>
    </w:p>
    <w:p w14:paraId="51308493" w14:textId="77777777" w:rsidR="00F65BCA" w:rsidRDefault="00216117">
      <w:pPr>
        <w:pStyle w:val="Odstavecseseznamem"/>
        <w:numPr>
          <w:ilvl w:val="0"/>
          <w:numId w:val="30"/>
        </w:numPr>
        <w:tabs>
          <w:tab w:val="left" w:pos="456"/>
        </w:tabs>
        <w:spacing w:before="35"/>
        <w:ind w:hanging="273"/>
        <w:rPr>
          <w:sz w:val="12"/>
        </w:rPr>
      </w:pPr>
      <w:r>
        <w:rPr>
          <w:color w:val="231F20"/>
          <w:sz w:val="12"/>
        </w:rPr>
        <w:t>vlevo</w:t>
      </w:r>
    </w:p>
    <w:p w14:paraId="4D5ADDDC" w14:textId="77777777" w:rsidR="00F65BCA" w:rsidRDefault="00216117">
      <w:pPr>
        <w:spacing w:before="29"/>
        <w:ind w:left="455"/>
        <w:rPr>
          <w:sz w:val="12"/>
        </w:rPr>
      </w:pPr>
      <w:r>
        <w:rPr>
          <w:color w:val="231F20"/>
          <w:sz w:val="12"/>
        </w:rPr>
        <w:t>Ztráta obou článků palce</w:t>
      </w:r>
    </w:p>
    <w:p w14:paraId="31FE0E53" w14:textId="77777777" w:rsidR="00F65BCA" w:rsidRDefault="00216117">
      <w:pPr>
        <w:pStyle w:val="Odstavecseseznamem"/>
        <w:numPr>
          <w:ilvl w:val="0"/>
          <w:numId w:val="30"/>
        </w:numPr>
        <w:tabs>
          <w:tab w:val="left" w:pos="456"/>
        </w:tabs>
        <w:spacing w:before="32"/>
        <w:ind w:hanging="273"/>
        <w:rPr>
          <w:sz w:val="12"/>
        </w:rPr>
      </w:pPr>
      <w:r>
        <w:rPr>
          <w:color w:val="231F20"/>
          <w:sz w:val="12"/>
        </w:rPr>
        <w:t>vpravo</w:t>
      </w:r>
    </w:p>
    <w:p w14:paraId="7A7851FA" w14:textId="77777777" w:rsidR="00F65BCA" w:rsidRDefault="00216117">
      <w:pPr>
        <w:pStyle w:val="Odstavecseseznamem"/>
        <w:numPr>
          <w:ilvl w:val="0"/>
          <w:numId w:val="30"/>
        </w:numPr>
        <w:tabs>
          <w:tab w:val="left" w:pos="456"/>
        </w:tabs>
        <w:spacing w:before="42"/>
        <w:ind w:hanging="273"/>
        <w:rPr>
          <w:sz w:val="12"/>
        </w:rPr>
      </w:pPr>
      <w:r>
        <w:rPr>
          <w:color w:val="231F20"/>
          <w:sz w:val="12"/>
        </w:rPr>
        <w:t>vlevo</w:t>
      </w:r>
    </w:p>
    <w:p w14:paraId="74EDDD20" w14:textId="77777777" w:rsidR="00F65BCA" w:rsidRDefault="00216117">
      <w:pPr>
        <w:spacing w:line="108" w:lineRule="exact"/>
        <w:ind w:left="314" w:right="2"/>
        <w:jc w:val="center"/>
        <w:rPr>
          <w:sz w:val="12"/>
        </w:rPr>
      </w:pPr>
      <w:r>
        <w:br w:type="column"/>
      </w:r>
      <w:r>
        <w:rPr>
          <w:color w:val="231F20"/>
          <w:sz w:val="12"/>
        </w:rPr>
        <w:t>20</w:t>
      </w:r>
      <w:r>
        <w:rPr>
          <w:color w:val="231F20"/>
          <w:spacing w:val="-20"/>
          <w:sz w:val="12"/>
        </w:rPr>
        <w:t xml:space="preserve"> </w:t>
      </w:r>
      <w:r>
        <w:rPr>
          <w:color w:val="231F20"/>
          <w:sz w:val="12"/>
        </w:rPr>
        <w:t>%</w:t>
      </w:r>
    </w:p>
    <w:p w14:paraId="644917D3" w14:textId="77777777" w:rsidR="00F65BCA" w:rsidRDefault="00F65BCA">
      <w:pPr>
        <w:pStyle w:val="Zkladntext"/>
        <w:rPr>
          <w:sz w:val="14"/>
        </w:rPr>
      </w:pPr>
    </w:p>
    <w:p w14:paraId="6323D596" w14:textId="77777777" w:rsidR="00F65BCA" w:rsidRDefault="00F65BCA">
      <w:pPr>
        <w:pStyle w:val="Zkladntext"/>
        <w:spacing w:before="4"/>
        <w:rPr>
          <w:sz w:val="18"/>
        </w:rPr>
      </w:pPr>
    </w:p>
    <w:p w14:paraId="70C5D6D2" w14:textId="77777777" w:rsidR="00F65BCA" w:rsidRDefault="00216117">
      <w:pPr>
        <w:ind w:left="250"/>
        <w:rPr>
          <w:sz w:val="12"/>
        </w:rPr>
      </w:pPr>
      <w:r>
        <w:rPr>
          <w:color w:val="231F20"/>
          <w:sz w:val="12"/>
        </w:rPr>
        <w:t>do 5</w:t>
      </w:r>
      <w:r>
        <w:rPr>
          <w:color w:val="231F20"/>
          <w:spacing w:val="-17"/>
          <w:sz w:val="12"/>
        </w:rPr>
        <w:t xml:space="preserve"> </w:t>
      </w:r>
      <w:r>
        <w:rPr>
          <w:color w:val="231F20"/>
          <w:sz w:val="12"/>
        </w:rPr>
        <w:t>%</w:t>
      </w:r>
    </w:p>
    <w:p w14:paraId="70CF35BD" w14:textId="77777777" w:rsidR="00F65BCA" w:rsidRDefault="00216117">
      <w:pPr>
        <w:spacing w:before="32"/>
        <w:ind w:left="250"/>
        <w:rPr>
          <w:sz w:val="12"/>
        </w:rPr>
      </w:pPr>
      <w:r>
        <w:rPr>
          <w:color w:val="231F20"/>
          <w:sz w:val="12"/>
        </w:rPr>
        <w:t>do 4</w:t>
      </w:r>
      <w:r>
        <w:rPr>
          <w:color w:val="231F20"/>
          <w:spacing w:val="-17"/>
          <w:sz w:val="12"/>
        </w:rPr>
        <w:t xml:space="preserve"> </w:t>
      </w:r>
      <w:r>
        <w:rPr>
          <w:color w:val="231F20"/>
          <w:sz w:val="12"/>
        </w:rPr>
        <w:t>%</w:t>
      </w:r>
    </w:p>
    <w:p w14:paraId="584D92D0" w14:textId="77777777" w:rsidR="00F65BCA" w:rsidRDefault="00F65BCA">
      <w:pPr>
        <w:pStyle w:val="Zkladntext"/>
        <w:spacing w:before="7"/>
        <w:rPr>
          <w:sz w:val="17"/>
        </w:rPr>
      </w:pPr>
    </w:p>
    <w:p w14:paraId="330618D8" w14:textId="77777777" w:rsidR="00F65BCA" w:rsidRDefault="00216117">
      <w:pPr>
        <w:ind w:left="183"/>
        <w:rPr>
          <w:sz w:val="12"/>
        </w:rPr>
      </w:pPr>
      <w:r>
        <w:rPr>
          <w:color w:val="231F20"/>
          <w:sz w:val="12"/>
        </w:rPr>
        <w:t>do 10</w:t>
      </w:r>
      <w:r>
        <w:rPr>
          <w:color w:val="231F20"/>
          <w:spacing w:val="-17"/>
          <w:sz w:val="12"/>
        </w:rPr>
        <w:t xml:space="preserve"> </w:t>
      </w:r>
      <w:r>
        <w:rPr>
          <w:color w:val="231F20"/>
          <w:sz w:val="12"/>
        </w:rPr>
        <w:t>%</w:t>
      </w:r>
    </w:p>
    <w:p w14:paraId="0BF3E3CC" w14:textId="77777777" w:rsidR="00F65BCA" w:rsidRDefault="00216117">
      <w:pPr>
        <w:spacing w:before="32"/>
        <w:ind w:left="250"/>
        <w:rPr>
          <w:sz w:val="12"/>
        </w:rPr>
      </w:pPr>
      <w:r>
        <w:rPr>
          <w:color w:val="231F20"/>
          <w:sz w:val="12"/>
        </w:rPr>
        <w:t>do 8</w:t>
      </w:r>
      <w:r>
        <w:rPr>
          <w:color w:val="231F20"/>
          <w:spacing w:val="-17"/>
          <w:sz w:val="12"/>
        </w:rPr>
        <w:t xml:space="preserve"> </w:t>
      </w:r>
      <w:r>
        <w:rPr>
          <w:color w:val="231F20"/>
          <w:sz w:val="12"/>
        </w:rPr>
        <w:t>%</w:t>
      </w:r>
    </w:p>
    <w:p w14:paraId="2676CDF8" w14:textId="77777777" w:rsidR="00F65BCA" w:rsidRDefault="00F65BCA">
      <w:pPr>
        <w:pStyle w:val="Zkladntext"/>
        <w:spacing w:before="6"/>
        <w:rPr>
          <w:sz w:val="17"/>
        </w:rPr>
      </w:pPr>
    </w:p>
    <w:p w14:paraId="36C87A29" w14:textId="77777777" w:rsidR="00F65BCA" w:rsidRDefault="00216117">
      <w:pPr>
        <w:spacing w:before="1"/>
        <w:ind w:left="183"/>
        <w:rPr>
          <w:sz w:val="12"/>
        </w:rPr>
      </w:pPr>
      <w:r>
        <w:rPr>
          <w:color w:val="231F20"/>
          <w:sz w:val="12"/>
        </w:rPr>
        <w:t>do 16</w:t>
      </w:r>
      <w:r>
        <w:rPr>
          <w:color w:val="231F20"/>
          <w:spacing w:val="-17"/>
          <w:sz w:val="12"/>
        </w:rPr>
        <w:t xml:space="preserve"> </w:t>
      </w:r>
      <w:r>
        <w:rPr>
          <w:color w:val="231F20"/>
          <w:sz w:val="12"/>
        </w:rPr>
        <w:t>%</w:t>
      </w:r>
    </w:p>
    <w:p w14:paraId="44035348" w14:textId="77777777" w:rsidR="00F65BCA" w:rsidRDefault="00216117">
      <w:pPr>
        <w:spacing w:before="32"/>
        <w:ind w:left="183"/>
        <w:rPr>
          <w:sz w:val="12"/>
        </w:rPr>
      </w:pPr>
      <w:r>
        <w:rPr>
          <w:color w:val="231F20"/>
          <w:sz w:val="12"/>
        </w:rPr>
        <w:t>do 14</w:t>
      </w:r>
      <w:r>
        <w:rPr>
          <w:color w:val="231F20"/>
          <w:spacing w:val="-17"/>
          <w:sz w:val="12"/>
        </w:rPr>
        <w:t xml:space="preserve"> </w:t>
      </w:r>
      <w:r>
        <w:rPr>
          <w:color w:val="231F20"/>
          <w:sz w:val="12"/>
        </w:rPr>
        <w:t>%</w:t>
      </w:r>
    </w:p>
    <w:p w14:paraId="4E9EC992" w14:textId="77777777" w:rsidR="00F65BCA" w:rsidRDefault="00F65BCA">
      <w:pPr>
        <w:pStyle w:val="Zkladntext"/>
        <w:rPr>
          <w:sz w:val="14"/>
        </w:rPr>
      </w:pPr>
    </w:p>
    <w:p w14:paraId="3CA7CCC4" w14:textId="77777777" w:rsidR="00F65BCA" w:rsidRDefault="00F65BCA">
      <w:pPr>
        <w:pStyle w:val="Zkladntext"/>
        <w:spacing w:before="10"/>
      </w:pPr>
    </w:p>
    <w:p w14:paraId="0C67562B" w14:textId="77777777" w:rsidR="00F65BCA" w:rsidRDefault="00216117">
      <w:pPr>
        <w:ind w:left="314" w:right="2"/>
        <w:jc w:val="center"/>
        <w:rPr>
          <w:sz w:val="12"/>
        </w:rPr>
      </w:pPr>
      <w:r>
        <w:rPr>
          <w:color w:val="231F20"/>
          <w:sz w:val="12"/>
        </w:rPr>
        <w:t>25</w:t>
      </w:r>
      <w:r>
        <w:rPr>
          <w:color w:val="231F20"/>
          <w:spacing w:val="-20"/>
          <w:sz w:val="12"/>
        </w:rPr>
        <w:t xml:space="preserve"> </w:t>
      </w:r>
      <w:r>
        <w:rPr>
          <w:color w:val="231F20"/>
          <w:sz w:val="12"/>
        </w:rPr>
        <w:t>%</w:t>
      </w:r>
    </w:p>
    <w:p w14:paraId="736176BA" w14:textId="77777777" w:rsidR="00F65BCA" w:rsidRDefault="00216117">
      <w:pPr>
        <w:spacing w:before="32"/>
        <w:ind w:left="314" w:right="2"/>
        <w:jc w:val="center"/>
        <w:rPr>
          <w:sz w:val="12"/>
        </w:rPr>
      </w:pPr>
      <w:r>
        <w:rPr>
          <w:color w:val="231F20"/>
          <w:sz w:val="12"/>
        </w:rPr>
        <w:t>20</w:t>
      </w:r>
      <w:r>
        <w:rPr>
          <w:color w:val="231F20"/>
          <w:spacing w:val="-20"/>
          <w:sz w:val="12"/>
        </w:rPr>
        <w:t xml:space="preserve"> </w:t>
      </w:r>
      <w:r>
        <w:rPr>
          <w:color w:val="231F20"/>
          <w:sz w:val="12"/>
        </w:rPr>
        <w:t>%</w:t>
      </w:r>
    </w:p>
    <w:p w14:paraId="7D14A5DE" w14:textId="77777777" w:rsidR="00F65BCA" w:rsidRDefault="00F65BCA">
      <w:pPr>
        <w:pStyle w:val="Zkladntext"/>
        <w:rPr>
          <w:sz w:val="14"/>
        </w:rPr>
      </w:pPr>
    </w:p>
    <w:p w14:paraId="1C2C2FDC" w14:textId="77777777" w:rsidR="00F65BCA" w:rsidRDefault="00F65BCA">
      <w:pPr>
        <w:pStyle w:val="Zkladntext"/>
        <w:spacing w:before="4"/>
        <w:rPr>
          <w:sz w:val="18"/>
        </w:rPr>
      </w:pPr>
    </w:p>
    <w:p w14:paraId="6634C849" w14:textId="77777777" w:rsidR="00F65BCA" w:rsidRDefault="00216117">
      <w:pPr>
        <w:ind w:left="250"/>
        <w:rPr>
          <w:sz w:val="12"/>
        </w:rPr>
      </w:pPr>
      <w:r>
        <w:rPr>
          <w:color w:val="231F20"/>
          <w:sz w:val="12"/>
        </w:rPr>
        <w:t>do 5</w:t>
      </w:r>
      <w:r>
        <w:rPr>
          <w:color w:val="231F20"/>
          <w:spacing w:val="-17"/>
          <w:sz w:val="12"/>
        </w:rPr>
        <w:t xml:space="preserve"> </w:t>
      </w:r>
      <w:r>
        <w:rPr>
          <w:color w:val="231F20"/>
          <w:sz w:val="12"/>
        </w:rPr>
        <w:t>%</w:t>
      </w:r>
    </w:p>
    <w:p w14:paraId="11F48FA9" w14:textId="77777777" w:rsidR="00F65BCA" w:rsidRDefault="00216117">
      <w:pPr>
        <w:spacing w:before="33"/>
        <w:ind w:left="250"/>
        <w:rPr>
          <w:sz w:val="12"/>
        </w:rPr>
      </w:pPr>
      <w:r>
        <w:rPr>
          <w:color w:val="231F20"/>
          <w:sz w:val="12"/>
        </w:rPr>
        <w:t>do 4</w:t>
      </w:r>
      <w:r>
        <w:rPr>
          <w:color w:val="231F20"/>
          <w:spacing w:val="-17"/>
          <w:sz w:val="12"/>
        </w:rPr>
        <w:t xml:space="preserve"> </w:t>
      </w:r>
      <w:r>
        <w:rPr>
          <w:color w:val="231F20"/>
          <w:sz w:val="12"/>
        </w:rPr>
        <w:t>%</w:t>
      </w:r>
    </w:p>
    <w:p w14:paraId="6E37F286" w14:textId="77777777" w:rsidR="00F65BCA" w:rsidRDefault="00F65BCA">
      <w:pPr>
        <w:pStyle w:val="Zkladntext"/>
        <w:spacing w:before="6"/>
        <w:rPr>
          <w:sz w:val="17"/>
        </w:rPr>
      </w:pPr>
    </w:p>
    <w:p w14:paraId="735FFE5B" w14:textId="77777777" w:rsidR="00F65BCA" w:rsidRDefault="00216117">
      <w:pPr>
        <w:ind w:left="183"/>
        <w:rPr>
          <w:sz w:val="12"/>
        </w:rPr>
      </w:pPr>
      <w:r>
        <w:rPr>
          <w:color w:val="231F20"/>
          <w:sz w:val="12"/>
        </w:rPr>
        <w:t>do 10</w:t>
      </w:r>
      <w:r>
        <w:rPr>
          <w:color w:val="231F20"/>
          <w:spacing w:val="-17"/>
          <w:sz w:val="12"/>
        </w:rPr>
        <w:t xml:space="preserve"> </w:t>
      </w:r>
      <w:r>
        <w:rPr>
          <w:color w:val="231F20"/>
          <w:sz w:val="12"/>
        </w:rPr>
        <w:t>%</w:t>
      </w:r>
    </w:p>
    <w:p w14:paraId="44ADD6AE" w14:textId="77777777" w:rsidR="00F65BCA" w:rsidRDefault="00216117">
      <w:pPr>
        <w:spacing w:before="32"/>
        <w:ind w:left="250"/>
        <w:rPr>
          <w:sz w:val="12"/>
        </w:rPr>
      </w:pPr>
      <w:r>
        <w:rPr>
          <w:color w:val="231F20"/>
          <w:sz w:val="12"/>
        </w:rPr>
        <w:t>do 8</w:t>
      </w:r>
      <w:r>
        <w:rPr>
          <w:color w:val="231F20"/>
          <w:spacing w:val="-17"/>
          <w:sz w:val="12"/>
        </w:rPr>
        <w:t xml:space="preserve"> </w:t>
      </w:r>
      <w:r>
        <w:rPr>
          <w:color w:val="231F20"/>
          <w:sz w:val="12"/>
        </w:rPr>
        <w:t>%</w:t>
      </w:r>
    </w:p>
    <w:p w14:paraId="5C11A128" w14:textId="77777777" w:rsidR="00F65BCA" w:rsidRDefault="00F65BCA">
      <w:pPr>
        <w:pStyle w:val="Zkladntext"/>
        <w:spacing w:before="7"/>
        <w:rPr>
          <w:sz w:val="17"/>
        </w:rPr>
      </w:pPr>
    </w:p>
    <w:p w14:paraId="2B607478" w14:textId="77777777" w:rsidR="00F65BCA" w:rsidRDefault="00216117">
      <w:pPr>
        <w:ind w:left="314" w:right="2"/>
        <w:jc w:val="center"/>
        <w:rPr>
          <w:sz w:val="12"/>
        </w:rPr>
      </w:pPr>
      <w:r>
        <w:rPr>
          <w:color w:val="231F20"/>
          <w:sz w:val="12"/>
        </w:rPr>
        <w:t>25</w:t>
      </w:r>
      <w:r>
        <w:rPr>
          <w:color w:val="231F20"/>
          <w:spacing w:val="-20"/>
          <w:sz w:val="12"/>
        </w:rPr>
        <w:t xml:space="preserve"> </w:t>
      </w:r>
      <w:r>
        <w:rPr>
          <w:color w:val="231F20"/>
          <w:sz w:val="12"/>
        </w:rPr>
        <w:t>%</w:t>
      </w:r>
    </w:p>
    <w:p w14:paraId="2E60D984" w14:textId="77777777" w:rsidR="00F65BCA" w:rsidRDefault="00216117">
      <w:pPr>
        <w:spacing w:before="32"/>
        <w:ind w:left="314" w:right="2"/>
        <w:jc w:val="center"/>
        <w:rPr>
          <w:sz w:val="12"/>
        </w:rPr>
      </w:pPr>
      <w:r>
        <w:rPr>
          <w:color w:val="231F20"/>
          <w:sz w:val="12"/>
        </w:rPr>
        <w:t>20</w:t>
      </w:r>
      <w:r>
        <w:rPr>
          <w:color w:val="231F20"/>
          <w:spacing w:val="-20"/>
          <w:sz w:val="12"/>
        </w:rPr>
        <w:t xml:space="preserve"> </w:t>
      </w:r>
      <w:r>
        <w:rPr>
          <w:color w:val="231F20"/>
          <w:sz w:val="12"/>
        </w:rPr>
        <w:t>%</w:t>
      </w:r>
    </w:p>
    <w:p w14:paraId="54856017" w14:textId="77777777" w:rsidR="00F65BCA" w:rsidRDefault="00F65BCA">
      <w:pPr>
        <w:pStyle w:val="Zkladntext"/>
        <w:spacing w:before="7"/>
        <w:rPr>
          <w:sz w:val="17"/>
        </w:rPr>
      </w:pPr>
    </w:p>
    <w:p w14:paraId="1BC4229B" w14:textId="77777777" w:rsidR="00F65BCA" w:rsidRDefault="00216117">
      <w:pPr>
        <w:ind w:left="183"/>
        <w:rPr>
          <w:sz w:val="12"/>
        </w:rPr>
      </w:pPr>
      <w:r>
        <w:rPr>
          <w:color w:val="231F20"/>
          <w:sz w:val="12"/>
        </w:rPr>
        <w:t>do 20</w:t>
      </w:r>
      <w:r>
        <w:rPr>
          <w:color w:val="231F20"/>
          <w:spacing w:val="-17"/>
          <w:sz w:val="12"/>
        </w:rPr>
        <w:t xml:space="preserve"> </w:t>
      </w:r>
      <w:r>
        <w:rPr>
          <w:color w:val="231F20"/>
          <w:sz w:val="12"/>
        </w:rPr>
        <w:t>%</w:t>
      </w:r>
    </w:p>
    <w:p w14:paraId="4E705C64" w14:textId="77777777" w:rsidR="00F65BCA" w:rsidRDefault="00216117">
      <w:pPr>
        <w:spacing w:before="32"/>
        <w:ind w:left="183"/>
        <w:rPr>
          <w:sz w:val="12"/>
        </w:rPr>
      </w:pPr>
      <w:r>
        <w:rPr>
          <w:color w:val="231F20"/>
          <w:sz w:val="12"/>
        </w:rPr>
        <w:t>do 15</w:t>
      </w:r>
      <w:r>
        <w:rPr>
          <w:color w:val="231F20"/>
          <w:spacing w:val="-17"/>
          <w:sz w:val="12"/>
        </w:rPr>
        <w:t xml:space="preserve"> </w:t>
      </w:r>
      <w:r>
        <w:rPr>
          <w:color w:val="231F20"/>
          <w:sz w:val="12"/>
        </w:rPr>
        <w:t>%</w:t>
      </w:r>
    </w:p>
    <w:p w14:paraId="47953820" w14:textId="77777777" w:rsidR="00F65BCA" w:rsidRDefault="00F65BCA">
      <w:pPr>
        <w:pStyle w:val="Zkladntext"/>
        <w:rPr>
          <w:sz w:val="14"/>
        </w:rPr>
      </w:pPr>
    </w:p>
    <w:p w14:paraId="42970E9F" w14:textId="77777777" w:rsidR="00F65BCA" w:rsidRDefault="00F65BCA">
      <w:pPr>
        <w:pStyle w:val="Zkladntext"/>
        <w:rPr>
          <w:sz w:val="14"/>
        </w:rPr>
      </w:pPr>
    </w:p>
    <w:p w14:paraId="3818D24A" w14:textId="77777777" w:rsidR="00F65BCA" w:rsidRDefault="00F65BCA">
      <w:pPr>
        <w:pStyle w:val="Zkladntext"/>
        <w:spacing w:before="2"/>
        <w:rPr>
          <w:sz w:val="17"/>
        </w:rPr>
      </w:pPr>
    </w:p>
    <w:p w14:paraId="2B482345" w14:textId="77777777" w:rsidR="00F65BCA" w:rsidRDefault="00216117">
      <w:pPr>
        <w:ind w:left="314" w:right="2"/>
        <w:jc w:val="center"/>
        <w:rPr>
          <w:sz w:val="12"/>
        </w:rPr>
      </w:pPr>
      <w:r>
        <w:rPr>
          <w:color w:val="231F20"/>
          <w:sz w:val="12"/>
        </w:rPr>
        <w:t>63</w:t>
      </w:r>
      <w:r>
        <w:rPr>
          <w:color w:val="231F20"/>
          <w:spacing w:val="-20"/>
          <w:sz w:val="12"/>
        </w:rPr>
        <w:t xml:space="preserve"> </w:t>
      </w:r>
      <w:r>
        <w:rPr>
          <w:color w:val="231F20"/>
          <w:sz w:val="12"/>
        </w:rPr>
        <w:t>%</w:t>
      </w:r>
    </w:p>
    <w:p w14:paraId="097DE55D" w14:textId="77777777" w:rsidR="00F65BCA" w:rsidRDefault="00216117">
      <w:pPr>
        <w:spacing w:before="32"/>
        <w:ind w:left="314" w:right="2"/>
        <w:jc w:val="center"/>
        <w:rPr>
          <w:sz w:val="12"/>
        </w:rPr>
      </w:pPr>
      <w:r>
        <w:rPr>
          <w:color w:val="231F20"/>
          <w:sz w:val="12"/>
        </w:rPr>
        <w:t>58</w:t>
      </w:r>
      <w:r>
        <w:rPr>
          <w:color w:val="231F20"/>
          <w:spacing w:val="-20"/>
          <w:sz w:val="12"/>
        </w:rPr>
        <w:t xml:space="preserve"> </w:t>
      </w:r>
      <w:r>
        <w:rPr>
          <w:color w:val="231F20"/>
          <w:sz w:val="12"/>
        </w:rPr>
        <w:t>%</w:t>
      </w:r>
    </w:p>
    <w:p w14:paraId="3DD4C55A" w14:textId="77777777" w:rsidR="00F65BCA" w:rsidRDefault="00F65BCA">
      <w:pPr>
        <w:pStyle w:val="Zkladntext"/>
        <w:spacing w:before="7"/>
        <w:rPr>
          <w:sz w:val="17"/>
        </w:rPr>
      </w:pPr>
    </w:p>
    <w:p w14:paraId="26A3D9C0" w14:textId="77777777" w:rsidR="00F65BCA" w:rsidRDefault="00216117">
      <w:pPr>
        <w:ind w:left="314" w:right="2"/>
        <w:jc w:val="center"/>
        <w:rPr>
          <w:sz w:val="12"/>
        </w:rPr>
      </w:pPr>
      <w:r>
        <w:rPr>
          <w:color w:val="231F20"/>
          <w:sz w:val="12"/>
        </w:rPr>
        <w:t>63</w:t>
      </w:r>
      <w:r>
        <w:rPr>
          <w:color w:val="231F20"/>
          <w:spacing w:val="-20"/>
          <w:sz w:val="12"/>
        </w:rPr>
        <w:t xml:space="preserve"> </w:t>
      </w:r>
      <w:r>
        <w:rPr>
          <w:color w:val="231F20"/>
          <w:sz w:val="12"/>
        </w:rPr>
        <w:t>%</w:t>
      </w:r>
    </w:p>
    <w:p w14:paraId="76E55C3C" w14:textId="77777777" w:rsidR="00F65BCA" w:rsidRDefault="00216117">
      <w:pPr>
        <w:spacing w:before="32"/>
        <w:ind w:left="314" w:right="2"/>
        <w:jc w:val="center"/>
        <w:rPr>
          <w:sz w:val="12"/>
        </w:rPr>
      </w:pPr>
      <w:r>
        <w:rPr>
          <w:color w:val="231F20"/>
          <w:sz w:val="12"/>
        </w:rPr>
        <w:t>58</w:t>
      </w:r>
      <w:r>
        <w:rPr>
          <w:color w:val="231F20"/>
          <w:spacing w:val="-20"/>
          <w:sz w:val="12"/>
        </w:rPr>
        <w:t xml:space="preserve"> </w:t>
      </w:r>
      <w:r>
        <w:rPr>
          <w:color w:val="231F20"/>
          <w:sz w:val="12"/>
        </w:rPr>
        <w:t>%</w:t>
      </w:r>
    </w:p>
    <w:p w14:paraId="5810608F" w14:textId="77777777" w:rsidR="00F65BCA" w:rsidRDefault="00F65BCA">
      <w:pPr>
        <w:pStyle w:val="Zkladntext"/>
        <w:spacing w:before="6"/>
        <w:rPr>
          <w:sz w:val="17"/>
        </w:rPr>
      </w:pPr>
    </w:p>
    <w:p w14:paraId="0755240C" w14:textId="77777777" w:rsidR="00F65BCA" w:rsidRDefault="00216117">
      <w:pPr>
        <w:spacing w:before="1"/>
        <w:ind w:left="314" w:right="2"/>
        <w:jc w:val="center"/>
        <w:rPr>
          <w:sz w:val="12"/>
        </w:rPr>
      </w:pPr>
      <w:r>
        <w:rPr>
          <w:color w:val="231F20"/>
          <w:sz w:val="12"/>
        </w:rPr>
        <w:t>60</w:t>
      </w:r>
      <w:r>
        <w:rPr>
          <w:color w:val="231F20"/>
          <w:spacing w:val="-20"/>
          <w:sz w:val="12"/>
        </w:rPr>
        <w:t xml:space="preserve"> </w:t>
      </w:r>
      <w:r>
        <w:rPr>
          <w:color w:val="231F20"/>
          <w:sz w:val="12"/>
        </w:rPr>
        <w:t>%</w:t>
      </w:r>
    </w:p>
    <w:p w14:paraId="68548885" w14:textId="77777777" w:rsidR="00F65BCA" w:rsidRDefault="00216117">
      <w:pPr>
        <w:spacing w:before="32"/>
        <w:ind w:left="314" w:right="2"/>
        <w:jc w:val="center"/>
        <w:rPr>
          <w:sz w:val="12"/>
        </w:rPr>
      </w:pPr>
      <w:r>
        <w:rPr>
          <w:color w:val="231F20"/>
          <w:sz w:val="12"/>
        </w:rPr>
        <w:t>52</w:t>
      </w:r>
      <w:r>
        <w:rPr>
          <w:color w:val="231F20"/>
          <w:spacing w:val="-20"/>
          <w:sz w:val="12"/>
        </w:rPr>
        <w:t xml:space="preserve"> </w:t>
      </w:r>
      <w:r>
        <w:rPr>
          <w:color w:val="231F20"/>
          <w:sz w:val="12"/>
        </w:rPr>
        <w:t>%</w:t>
      </w:r>
    </w:p>
    <w:p w14:paraId="0E063DF2" w14:textId="77777777" w:rsidR="00F65BCA" w:rsidRDefault="00F65BCA">
      <w:pPr>
        <w:pStyle w:val="Zkladntext"/>
        <w:rPr>
          <w:sz w:val="14"/>
        </w:rPr>
      </w:pPr>
    </w:p>
    <w:p w14:paraId="20832869" w14:textId="77777777" w:rsidR="00F65BCA" w:rsidRDefault="00F65BCA">
      <w:pPr>
        <w:pStyle w:val="Zkladntext"/>
        <w:spacing w:before="11"/>
        <w:rPr>
          <w:sz w:val="16"/>
        </w:rPr>
      </w:pPr>
    </w:p>
    <w:p w14:paraId="62B20029" w14:textId="77777777" w:rsidR="00F65BCA" w:rsidRDefault="00216117">
      <w:pPr>
        <w:ind w:left="314" w:right="2"/>
        <w:jc w:val="center"/>
        <w:rPr>
          <w:sz w:val="12"/>
        </w:rPr>
      </w:pPr>
      <w:r>
        <w:rPr>
          <w:color w:val="231F20"/>
          <w:sz w:val="12"/>
        </w:rPr>
        <w:t>55</w:t>
      </w:r>
      <w:r>
        <w:rPr>
          <w:color w:val="231F20"/>
          <w:spacing w:val="-20"/>
          <w:sz w:val="12"/>
        </w:rPr>
        <w:t xml:space="preserve"> </w:t>
      </w:r>
      <w:r>
        <w:rPr>
          <w:color w:val="231F20"/>
          <w:sz w:val="12"/>
        </w:rPr>
        <w:t>%</w:t>
      </w:r>
    </w:p>
    <w:p w14:paraId="61BD11B0" w14:textId="77777777" w:rsidR="00F65BCA" w:rsidRDefault="00216117">
      <w:pPr>
        <w:spacing w:before="34"/>
        <w:ind w:left="314" w:right="2"/>
        <w:jc w:val="center"/>
        <w:rPr>
          <w:sz w:val="12"/>
        </w:rPr>
      </w:pPr>
      <w:r>
        <w:rPr>
          <w:color w:val="231F20"/>
          <w:sz w:val="12"/>
        </w:rPr>
        <w:t>47</w:t>
      </w:r>
      <w:r>
        <w:rPr>
          <w:color w:val="231F20"/>
          <w:spacing w:val="-20"/>
          <w:sz w:val="12"/>
        </w:rPr>
        <w:t xml:space="preserve"> </w:t>
      </w:r>
      <w:r>
        <w:rPr>
          <w:color w:val="231F20"/>
          <w:sz w:val="12"/>
        </w:rPr>
        <w:t>%</w:t>
      </w:r>
    </w:p>
    <w:p w14:paraId="2D5C8340" w14:textId="77777777" w:rsidR="00F65BCA" w:rsidRDefault="00F65BCA">
      <w:pPr>
        <w:pStyle w:val="Zkladntext"/>
        <w:rPr>
          <w:sz w:val="14"/>
        </w:rPr>
      </w:pPr>
    </w:p>
    <w:p w14:paraId="512400D2" w14:textId="77777777" w:rsidR="00F65BCA" w:rsidRDefault="00F65BCA">
      <w:pPr>
        <w:pStyle w:val="Zkladntext"/>
        <w:rPr>
          <w:sz w:val="19"/>
        </w:rPr>
      </w:pPr>
    </w:p>
    <w:p w14:paraId="6D405892" w14:textId="77777777" w:rsidR="00F65BCA" w:rsidRDefault="00216117">
      <w:pPr>
        <w:ind w:left="314" w:right="2"/>
        <w:jc w:val="center"/>
        <w:rPr>
          <w:sz w:val="12"/>
        </w:rPr>
      </w:pPr>
      <w:r>
        <w:rPr>
          <w:color w:val="231F20"/>
          <w:sz w:val="12"/>
        </w:rPr>
        <w:t>36</w:t>
      </w:r>
      <w:r>
        <w:rPr>
          <w:color w:val="231F20"/>
          <w:spacing w:val="-20"/>
          <w:sz w:val="12"/>
        </w:rPr>
        <w:t xml:space="preserve"> </w:t>
      </w:r>
      <w:r>
        <w:rPr>
          <w:color w:val="231F20"/>
          <w:sz w:val="12"/>
        </w:rPr>
        <w:t>%</w:t>
      </w:r>
    </w:p>
    <w:p w14:paraId="5892C289" w14:textId="77777777" w:rsidR="00F65BCA" w:rsidRDefault="00216117">
      <w:pPr>
        <w:spacing w:before="34"/>
        <w:ind w:left="314" w:right="20"/>
        <w:jc w:val="center"/>
        <w:rPr>
          <w:sz w:val="12"/>
        </w:rPr>
      </w:pPr>
      <w:r>
        <w:rPr>
          <w:color w:val="231F20"/>
          <w:sz w:val="12"/>
        </w:rPr>
        <w:t>31</w:t>
      </w:r>
      <w:r>
        <w:rPr>
          <w:color w:val="231F20"/>
          <w:spacing w:val="-1"/>
          <w:sz w:val="12"/>
        </w:rPr>
        <w:t xml:space="preserve"> </w:t>
      </w:r>
      <w:r>
        <w:rPr>
          <w:color w:val="231F20"/>
          <w:sz w:val="12"/>
        </w:rPr>
        <w:t>%</w:t>
      </w:r>
    </w:p>
    <w:p w14:paraId="113DF862" w14:textId="77777777" w:rsidR="00F65BCA" w:rsidRDefault="00F65BCA">
      <w:pPr>
        <w:pStyle w:val="Zkladntext"/>
        <w:spacing w:before="10"/>
        <w:rPr>
          <w:sz w:val="17"/>
        </w:rPr>
      </w:pPr>
    </w:p>
    <w:p w14:paraId="116E8FB0" w14:textId="77777777" w:rsidR="00F65BCA" w:rsidRDefault="00216117">
      <w:pPr>
        <w:ind w:left="314" w:right="2"/>
        <w:jc w:val="center"/>
        <w:rPr>
          <w:sz w:val="12"/>
        </w:rPr>
      </w:pPr>
      <w:r>
        <w:rPr>
          <w:color w:val="231F20"/>
          <w:sz w:val="12"/>
        </w:rPr>
        <w:t>25</w:t>
      </w:r>
      <w:r>
        <w:rPr>
          <w:color w:val="231F20"/>
          <w:spacing w:val="-20"/>
          <w:sz w:val="12"/>
        </w:rPr>
        <w:t xml:space="preserve"> </w:t>
      </w:r>
      <w:r>
        <w:rPr>
          <w:color w:val="231F20"/>
          <w:sz w:val="12"/>
        </w:rPr>
        <w:t>%</w:t>
      </w:r>
    </w:p>
    <w:p w14:paraId="598AFC5F" w14:textId="77777777" w:rsidR="00F65BCA" w:rsidRDefault="00216117">
      <w:pPr>
        <w:spacing w:before="33"/>
        <w:ind w:left="314" w:right="2"/>
        <w:jc w:val="center"/>
        <w:rPr>
          <w:sz w:val="12"/>
        </w:rPr>
      </w:pPr>
      <w:r>
        <w:rPr>
          <w:color w:val="231F20"/>
          <w:sz w:val="12"/>
        </w:rPr>
        <w:t>20</w:t>
      </w:r>
      <w:r>
        <w:rPr>
          <w:color w:val="231F20"/>
          <w:spacing w:val="-20"/>
          <w:sz w:val="12"/>
        </w:rPr>
        <w:t xml:space="preserve"> </w:t>
      </w:r>
      <w:r>
        <w:rPr>
          <w:color w:val="231F20"/>
          <w:sz w:val="12"/>
        </w:rPr>
        <w:t>%</w:t>
      </w:r>
    </w:p>
    <w:p w14:paraId="4400B382" w14:textId="77777777" w:rsidR="00F65BCA" w:rsidRDefault="00F65BCA">
      <w:pPr>
        <w:pStyle w:val="Zkladntext"/>
        <w:rPr>
          <w:sz w:val="14"/>
        </w:rPr>
      </w:pPr>
    </w:p>
    <w:p w14:paraId="69F36AC0" w14:textId="77777777" w:rsidR="00F65BCA" w:rsidRDefault="00F65BCA">
      <w:pPr>
        <w:pStyle w:val="Zkladntext"/>
        <w:spacing w:before="4"/>
        <w:rPr>
          <w:sz w:val="18"/>
        </w:rPr>
      </w:pPr>
    </w:p>
    <w:p w14:paraId="3A533080" w14:textId="77777777" w:rsidR="00F65BCA" w:rsidRDefault="00216117">
      <w:pPr>
        <w:ind w:left="399" w:right="20"/>
        <w:jc w:val="center"/>
        <w:rPr>
          <w:sz w:val="12"/>
        </w:rPr>
      </w:pPr>
      <w:r>
        <w:rPr>
          <w:color w:val="231F20"/>
          <w:sz w:val="12"/>
        </w:rPr>
        <w:t>4</w:t>
      </w:r>
      <w:r>
        <w:rPr>
          <w:color w:val="231F20"/>
          <w:spacing w:val="-20"/>
          <w:sz w:val="12"/>
        </w:rPr>
        <w:t xml:space="preserve"> </w:t>
      </w:r>
      <w:r>
        <w:rPr>
          <w:color w:val="231F20"/>
          <w:sz w:val="12"/>
        </w:rPr>
        <w:t>%</w:t>
      </w:r>
    </w:p>
    <w:p w14:paraId="247875CB" w14:textId="77777777" w:rsidR="00F65BCA" w:rsidRDefault="00216117">
      <w:pPr>
        <w:spacing w:before="32"/>
        <w:ind w:left="399" w:right="20"/>
        <w:jc w:val="center"/>
        <w:rPr>
          <w:sz w:val="12"/>
        </w:rPr>
      </w:pPr>
      <w:r>
        <w:rPr>
          <w:color w:val="231F20"/>
          <w:sz w:val="12"/>
        </w:rPr>
        <w:t>3</w:t>
      </w:r>
      <w:r>
        <w:rPr>
          <w:color w:val="231F20"/>
          <w:spacing w:val="-20"/>
          <w:sz w:val="12"/>
        </w:rPr>
        <w:t xml:space="preserve"> </w:t>
      </w:r>
      <w:r>
        <w:rPr>
          <w:color w:val="231F20"/>
          <w:sz w:val="12"/>
        </w:rPr>
        <w:t>%</w:t>
      </w:r>
    </w:p>
    <w:p w14:paraId="3C4BB7AD" w14:textId="77777777" w:rsidR="00F65BCA" w:rsidRDefault="00F65BCA">
      <w:pPr>
        <w:pStyle w:val="Zkladntext"/>
        <w:spacing w:before="6"/>
        <w:rPr>
          <w:sz w:val="17"/>
        </w:rPr>
      </w:pPr>
    </w:p>
    <w:p w14:paraId="3FD233E6" w14:textId="77777777" w:rsidR="00F65BCA" w:rsidRDefault="00216117">
      <w:pPr>
        <w:spacing w:before="1"/>
        <w:ind w:left="399" w:right="20"/>
        <w:jc w:val="center"/>
        <w:rPr>
          <w:sz w:val="12"/>
        </w:rPr>
      </w:pPr>
      <w:r>
        <w:rPr>
          <w:color w:val="231F20"/>
          <w:sz w:val="12"/>
        </w:rPr>
        <w:t>8</w:t>
      </w:r>
      <w:r>
        <w:rPr>
          <w:color w:val="231F20"/>
          <w:spacing w:val="-20"/>
          <w:sz w:val="12"/>
        </w:rPr>
        <w:t xml:space="preserve"> </w:t>
      </w:r>
      <w:r>
        <w:rPr>
          <w:color w:val="231F20"/>
          <w:sz w:val="12"/>
        </w:rPr>
        <w:t>%</w:t>
      </w:r>
    </w:p>
    <w:p w14:paraId="7E1DE667" w14:textId="77777777" w:rsidR="00F65BCA" w:rsidRDefault="00216117">
      <w:pPr>
        <w:spacing w:before="32"/>
        <w:ind w:left="399" w:right="20"/>
        <w:jc w:val="center"/>
        <w:rPr>
          <w:sz w:val="12"/>
        </w:rPr>
      </w:pPr>
      <w:r>
        <w:rPr>
          <w:color w:val="231F20"/>
          <w:sz w:val="12"/>
        </w:rPr>
        <w:t>6</w:t>
      </w:r>
      <w:r>
        <w:rPr>
          <w:color w:val="231F20"/>
          <w:spacing w:val="-20"/>
          <w:sz w:val="12"/>
        </w:rPr>
        <w:t xml:space="preserve"> </w:t>
      </w:r>
      <w:r>
        <w:rPr>
          <w:color w:val="231F20"/>
          <w:sz w:val="12"/>
        </w:rPr>
        <w:t>%</w:t>
      </w:r>
    </w:p>
    <w:p w14:paraId="5C1CF42E" w14:textId="77777777" w:rsidR="00F65BCA" w:rsidRDefault="00F65BCA">
      <w:pPr>
        <w:pStyle w:val="Zkladntext"/>
        <w:spacing w:before="6"/>
        <w:rPr>
          <w:sz w:val="17"/>
        </w:rPr>
      </w:pPr>
    </w:p>
    <w:p w14:paraId="5DD05ECD" w14:textId="77777777" w:rsidR="00F65BCA" w:rsidRDefault="00216117">
      <w:pPr>
        <w:ind w:left="183"/>
        <w:rPr>
          <w:sz w:val="12"/>
        </w:rPr>
      </w:pPr>
      <w:r>
        <w:rPr>
          <w:color w:val="231F20"/>
          <w:sz w:val="12"/>
        </w:rPr>
        <w:t>do 15</w:t>
      </w:r>
      <w:r>
        <w:rPr>
          <w:color w:val="231F20"/>
          <w:spacing w:val="-17"/>
          <w:sz w:val="12"/>
        </w:rPr>
        <w:t xml:space="preserve"> </w:t>
      </w:r>
      <w:r>
        <w:rPr>
          <w:color w:val="231F20"/>
          <w:sz w:val="12"/>
        </w:rPr>
        <w:t>%</w:t>
      </w:r>
    </w:p>
    <w:p w14:paraId="1DD1D35D" w14:textId="77777777" w:rsidR="00F65BCA" w:rsidRDefault="00216117">
      <w:pPr>
        <w:spacing w:before="32"/>
        <w:ind w:left="183"/>
        <w:rPr>
          <w:sz w:val="12"/>
        </w:rPr>
      </w:pPr>
      <w:r>
        <w:rPr>
          <w:color w:val="231F20"/>
          <w:sz w:val="12"/>
        </w:rPr>
        <w:t>do 10</w:t>
      </w:r>
      <w:r>
        <w:rPr>
          <w:color w:val="231F20"/>
          <w:spacing w:val="-17"/>
          <w:sz w:val="12"/>
        </w:rPr>
        <w:t xml:space="preserve"> </w:t>
      </w:r>
      <w:r>
        <w:rPr>
          <w:color w:val="231F20"/>
          <w:sz w:val="12"/>
        </w:rPr>
        <w:t>%</w:t>
      </w:r>
    </w:p>
    <w:p w14:paraId="15A6580D" w14:textId="77777777" w:rsidR="00F65BCA" w:rsidRDefault="00F65BCA">
      <w:pPr>
        <w:pStyle w:val="Zkladntext"/>
        <w:spacing w:before="7"/>
        <w:rPr>
          <w:sz w:val="17"/>
        </w:rPr>
      </w:pPr>
    </w:p>
    <w:p w14:paraId="298CA638" w14:textId="77777777" w:rsidR="00F65BCA" w:rsidRDefault="00216117">
      <w:pPr>
        <w:ind w:left="183"/>
        <w:rPr>
          <w:sz w:val="12"/>
        </w:rPr>
      </w:pPr>
      <w:r>
        <w:rPr>
          <w:color w:val="231F20"/>
          <w:sz w:val="12"/>
        </w:rPr>
        <w:t>do 10</w:t>
      </w:r>
      <w:r>
        <w:rPr>
          <w:color w:val="231F20"/>
          <w:spacing w:val="-17"/>
          <w:sz w:val="12"/>
        </w:rPr>
        <w:t xml:space="preserve"> </w:t>
      </w:r>
      <w:r>
        <w:rPr>
          <w:color w:val="231F20"/>
          <w:sz w:val="12"/>
        </w:rPr>
        <w:t>%</w:t>
      </w:r>
    </w:p>
    <w:p w14:paraId="13D16E5D" w14:textId="77777777" w:rsidR="00F65BCA" w:rsidRDefault="00216117">
      <w:pPr>
        <w:spacing w:before="32"/>
        <w:ind w:left="230" w:right="20"/>
        <w:jc w:val="center"/>
        <w:rPr>
          <w:sz w:val="12"/>
        </w:rPr>
      </w:pPr>
      <w:r>
        <w:rPr>
          <w:color w:val="231F20"/>
          <w:sz w:val="12"/>
        </w:rPr>
        <w:t>do 5</w:t>
      </w:r>
      <w:r>
        <w:rPr>
          <w:color w:val="231F20"/>
          <w:spacing w:val="-17"/>
          <w:sz w:val="12"/>
        </w:rPr>
        <w:t xml:space="preserve"> </w:t>
      </w:r>
      <w:r>
        <w:rPr>
          <w:color w:val="231F20"/>
          <w:sz w:val="12"/>
        </w:rPr>
        <w:t>%</w:t>
      </w:r>
    </w:p>
    <w:p w14:paraId="6483AC37" w14:textId="77777777" w:rsidR="00F65BCA" w:rsidRDefault="00F65BCA">
      <w:pPr>
        <w:pStyle w:val="Zkladntext"/>
        <w:rPr>
          <w:sz w:val="14"/>
        </w:rPr>
      </w:pPr>
    </w:p>
    <w:p w14:paraId="2A72B04B" w14:textId="77777777" w:rsidR="00F65BCA" w:rsidRDefault="00F65BCA">
      <w:pPr>
        <w:pStyle w:val="Zkladntext"/>
        <w:rPr>
          <w:sz w:val="14"/>
        </w:rPr>
      </w:pPr>
    </w:p>
    <w:p w14:paraId="0CE1FFD2" w14:textId="77777777" w:rsidR="00F65BCA" w:rsidRDefault="00F65BCA">
      <w:pPr>
        <w:pStyle w:val="Zkladntext"/>
        <w:spacing w:before="2"/>
        <w:rPr>
          <w:sz w:val="19"/>
        </w:rPr>
      </w:pPr>
    </w:p>
    <w:p w14:paraId="551FD535" w14:textId="77777777" w:rsidR="00F65BCA" w:rsidRDefault="00216117">
      <w:pPr>
        <w:ind w:left="352"/>
        <w:rPr>
          <w:sz w:val="12"/>
        </w:rPr>
      </w:pPr>
      <w:r>
        <w:rPr>
          <w:color w:val="231F20"/>
          <w:sz w:val="12"/>
        </w:rPr>
        <w:t>29</w:t>
      </w:r>
      <w:r>
        <w:rPr>
          <w:color w:val="231F20"/>
          <w:spacing w:val="-20"/>
          <w:sz w:val="12"/>
        </w:rPr>
        <w:t xml:space="preserve"> </w:t>
      </w:r>
      <w:r>
        <w:rPr>
          <w:color w:val="231F20"/>
          <w:sz w:val="12"/>
        </w:rPr>
        <w:t>%</w:t>
      </w:r>
    </w:p>
    <w:p w14:paraId="41433BC1" w14:textId="77777777" w:rsidR="00F65BCA" w:rsidRDefault="00216117">
      <w:pPr>
        <w:spacing w:before="35"/>
        <w:ind w:left="352"/>
        <w:rPr>
          <w:sz w:val="12"/>
        </w:rPr>
      </w:pPr>
      <w:r>
        <w:rPr>
          <w:color w:val="231F20"/>
          <w:sz w:val="12"/>
        </w:rPr>
        <w:t>27</w:t>
      </w:r>
      <w:r>
        <w:rPr>
          <w:color w:val="231F20"/>
          <w:spacing w:val="-20"/>
          <w:sz w:val="12"/>
        </w:rPr>
        <w:t xml:space="preserve"> </w:t>
      </w:r>
      <w:r>
        <w:rPr>
          <w:color w:val="231F20"/>
          <w:sz w:val="12"/>
        </w:rPr>
        <w:t>%</w:t>
      </w:r>
    </w:p>
    <w:p w14:paraId="4B582B5C" w14:textId="77777777" w:rsidR="00F65BCA" w:rsidRDefault="00F65BCA">
      <w:pPr>
        <w:pStyle w:val="Zkladntext"/>
        <w:spacing w:before="4"/>
        <w:rPr>
          <w:sz w:val="17"/>
        </w:rPr>
      </w:pPr>
    </w:p>
    <w:p w14:paraId="108456DF" w14:textId="77777777" w:rsidR="00F65BCA" w:rsidRDefault="00216117">
      <w:pPr>
        <w:ind w:left="352"/>
        <w:rPr>
          <w:sz w:val="12"/>
        </w:rPr>
      </w:pPr>
      <w:r>
        <w:rPr>
          <w:color w:val="231F20"/>
          <w:sz w:val="12"/>
        </w:rPr>
        <w:t>22</w:t>
      </w:r>
      <w:r>
        <w:rPr>
          <w:color w:val="231F20"/>
          <w:spacing w:val="-20"/>
          <w:sz w:val="12"/>
        </w:rPr>
        <w:t xml:space="preserve"> </w:t>
      </w:r>
      <w:r>
        <w:rPr>
          <w:color w:val="231F20"/>
          <w:sz w:val="12"/>
        </w:rPr>
        <w:t>%</w:t>
      </w:r>
    </w:p>
    <w:p w14:paraId="40055273" w14:textId="77777777" w:rsidR="00F65BCA" w:rsidRDefault="00216117">
      <w:pPr>
        <w:spacing w:before="42"/>
        <w:ind w:left="352"/>
        <w:rPr>
          <w:sz w:val="12"/>
        </w:rPr>
      </w:pPr>
      <w:r>
        <w:rPr>
          <w:color w:val="231F20"/>
          <w:sz w:val="12"/>
        </w:rPr>
        <w:t>20</w:t>
      </w:r>
      <w:r>
        <w:rPr>
          <w:color w:val="231F20"/>
          <w:spacing w:val="-20"/>
          <w:sz w:val="12"/>
        </w:rPr>
        <w:t xml:space="preserve"> </w:t>
      </w:r>
      <w:r>
        <w:rPr>
          <w:color w:val="231F20"/>
          <w:sz w:val="12"/>
        </w:rPr>
        <w:t>%</w:t>
      </w:r>
    </w:p>
    <w:p w14:paraId="2738CA6A" w14:textId="77777777" w:rsidR="00F65BCA" w:rsidRDefault="00216117">
      <w:pPr>
        <w:pStyle w:val="Odstavecseseznamem"/>
        <w:numPr>
          <w:ilvl w:val="0"/>
          <w:numId w:val="29"/>
        </w:numPr>
        <w:tabs>
          <w:tab w:val="left" w:pos="456"/>
        </w:tabs>
        <w:spacing w:before="32"/>
        <w:ind w:hanging="273"/>
        <w:rPr>
          <w:sz w:val="12"/>
        </w:rPr>
      </w:pPr>
      <w:r>
        <w:rPr>
          <w:color w:val="231F20"/>
          <w:w w:val="96"/>
          <w:sz w:val="12"/>
        </w:rPr>
        <w:br w:type="column"/>
      </w:r>
      <w:r>
        <w:rPr>
          <w:color w:val="231F20"/>
          <w:sz w:val="12"/>
        </w:rPr>
        <w:t>vpravo</w:t>
      </w:r>
    </w:p>
    <w:p w14:paraId="48BA06AB" w14:textId="77777777" w:rsidR="00F65BCA" w:rsidRDefault="00216117">
      <w:pPr>
        <w:pStyle w:val="Odstavecseseznamem"/>
        <w:numPr>
          <w:ilvl w:val="0"/>
          <w:numId w:val="29"/>
        </w:numPr>
        <w:tabs>
          <w:tab w:val="left" w:pos="456"/>
        </w:tabs>
        <w:spacing w:before="32"/>
        <w:ind w:hanging="273"/>
        <w:rPr>
          <w:sz w:val="12"/>
        </w:rPr>
      </w:pPr>
      <w:r>
        <w:rPr>
          <w:color w:val="231F20"/>
          <w:sz w:val="12"/>
        </w:rPr>
        <w:t>vlevo</w:t>
      </w:r>
    </w:p>
    <w:p w14:paraId="239EB6DF" w14:textId="77777777" w:rsidR="00F65BCA" w:rsidRDefault="00216117">
      <w:pPr>
        <w:spacing w:before="33"/>
        <w:ind w:left="455"/>
        <w:rPr>
          <w:sz w:val="12"/>
        </w:rPr>
      </w:pPr>
      <w:r>
        <w:rPr>
          <w:color w:val="231F20"/>
          <w:sz w:val="12"/>
        </w:rPr>
        <w:t>středního stupně</w:t>
      </w:r>
    </w:p>
    <w:p w14:paraId="1ADA604E" w14:textId="77777777" w:rsidR="00F65BCA" w:rsidRDefault="00216117">
      <w:pPr>
        <w:pStyle w:val="Odstavecseseznamem"/>
        <w:numPr>
          <w:ilvl w:val="0"/>
          <w:numId w:val="29"/>
        </w:numPr>
        <w:tabs>
          <w:tab w:val="left" w:pos="456"/>
        </w:tabs>
        <w:spacing w:before="32"/>
        <w:ind w:hanging="273"/>
        <w:rPr>
          <w:sz w:val="12"/>
        </w:rPr>
      </w:pPr>
      <w:r>
        <w:rPr>
          <w:color w:val="231F20"/>
          <w:sz w:val="12"/>
        </w:rPr>
        <w:t>vpravo</w:t>
      </w:r>
    </w:p>
    <w:p w14:paraId="46AD5B44" w14:textId="77777777" w:rsidR="00F65BCA" w:rsidRDefault="00216117">
      <w:pPr>
        <w:pStyle w:val="Odstavecseseznamem"/>
        <w:numPr>
          <w:ilvl w:val="0"/>
          <w:numId w:val="29"/>
        </w:numPr>
        <w:tabs>
          <w:tab w:val="left" w:pos="456"/>
        </w:tabs>
        <w:spacing w:before="32"/>
        <w:ind w:hanging="273"/>
        <w:rPr>
          <w:sz w:val="12"/>
        </w:rPr>
      </w:pPr>
      <w:r>
        <w:rPr>
          <w:color w:val="231F20"/>
          <w:sz w:val="12"/>
        </w:rPr>
        <w:t>vlevo</w:t>
      </w:r>
    </w:p>
    <w:p w14:paraId="03930BC2" w14:textId="77777777" w:rsidR="00F65BCA" w:rsidRDefault="00216117">
      <w:pPr>
        <w:spacing w:before="32"/>
        <w:ind w:left="455"/>
        <w:rPr>
          <w:sz w:val="12"/>
        </w:rPr>
      </w:pPr>
      <w:r>
        <w:rPr>
          <w:color w:val="231F20"/>
          <w:sz w:val="12"/>
        </w:rPr>
        <w:t>těžkého</w:t>
      </w:r>
      <w:r>
        <w:rPr>
          <w:color w:val="231F20"/>
          <w:spacing w:val="-21"/>
          <w:sz w:val="12"/>
        </w:rPr>
        <w:t xml:space="preserve"> </w:t>
      </w:r>
      <w:r>
        <w:rPr>
          <w:color w:val="231F20"/>
          <w:sz w:val="12"/>
        </w:rPr>
        <w:t>stupně</w:t>
      </w:r>
    </w:p>
    <w:p w14:paraId="3B36D2F7" w14:textId="77777777" w:rsidR="00F65BCA" w:rsidRDefault="00216117">
      <w:pPr>
        <w:pStyle w:val="Odstavecseseznamem"/>
        <w:numPr>
          <w:ilvl w:val="0"/>
          <w:numId w:val="29"/>
        </w:numPr>
        <w:tabs>
          <w:tab w:val="left" w:pos="456"/>
        </w:tabs>
        <w:spacing w:before="32"/>
        <w:ind w:hanging="273"/>
        <w:rPr>
          <w:sz w:val="12"/>
        </w:rPr>
      </w:pPr>
      <w:r>
        <w:rPr>
          <w:color w:val="231F20"/>
          <w:sz w:val="12"/>
        </w:rPr>
        <w:t>vpravo</w:t>
      </w:r>
    </w:p>
    <w:p w14:paraId="41481E21" w14:textId="77777777" w:rsidR="00F65BCA" w:rsidRDefault="00216117">
      <w:pPr>
        <w:pStyle w:val="Odstavecseseznamem"/>
        <w:numPr>
          <w:ilvl w:val="0"/>
          <w:numId w:val="29"/>
        </w:numPr>
        <w:tabs>
          <w:tab w:val="left" w:pos="456"/>
        </w:tabs>
        <w:spacing w:before="32"/>
        <w:ind w:hanging="273"/>
        <w:rPr>
          <w:sz w:val="12"/>
        </w:rPr>
      </w:pPr>
      <w:r>
        <w:rPr>
          <w:color w:val="231F20"/>
          <w:sz w:val="12"/>
        </w:rPr>
        <w:t>vlevo</w:t>
      </w:r>
    </w:p>
    <w:p w14:paraId="06B8AE03" w14:textId="77777777" w:rsidR="00F65BCA" w:rsidRDefault="00216117">
      <w:pPr>
        <w:spacing w:before="32"/>
        <w:ind w:left="455"/>
        <w:rPr>
          <w:b/>
          <w:sz w:val="12"/>
        </w:rPr>
      </w:pPr>
      <w:r>
        <w:rPr>
          <w:b/>
          <w:color w:val="231F20"/>
          <w:sz w:val="12"/>
        </w:rPr>
        <w:t>Ukazovák</w:t>
      </w:r>
    </w:p>
    <w:p w14:paraId="75F84A48" w14:textId="77777777" w:rsidR="00F65BCA" w:rsidRDefault="00216117">
      <w:pPr>
        <w:spacing w:before="32"/>
        <w:ind w:left="455"/>
        <w:rPr>
          <w:sz w:val="12"/>
        </w:rPr>
      </w:pPr>
      <w:r>
        <w:rPr>
          <w:color w:val="231F20"/>
          <w:sz w:val="12"/>
        </w:rPr>
        <w:t>Ztráta ukazováku se záprstní kostí</w:t>
      </w:r>
    </w:p>
    <w:p w14:paraId="514697E7" w14:textId="77777777" w:rsidR="00F65BCA" w:rsidRDefault="00216117">
      <w:pPr>
        <w:pStyle w:val="Odstavecseseznamem"/>
        <w:numPr>
          <w:ilvl w:val="0"/>
          <w:numId w:val="29"/>
        </w:numPr>
        <w:tabs>
          <w:tab w:val="left" w:pos="456"/>
        </w:tabs>
        <w:spacing w:before="32"/>
        <w:ind w:hanging="273"/>
        <w:rPr>
          <w:sz w:val="12"/>
        </w:rPr>
      </w:pPr>
      <w:r>
        <w:rPr>
          <w:color w:val="231F20"/>
          <w:sz w:val="12"/>
        </w:rPr>
        <w:t>vpravo</w:t>
      </w:r>
    </w:p>
    <w:p w14:paraId="1C3E5A8D" w14:textId="77777777" w:rsidR="00F65BCA" w:rsidRDefault="00216117">
      <w:pPr>
        <w:pStyle w:val="Odstavecseseznamem"/>
        <w:numPr>
          <w:ilvl w:val="0"/>
          <w:numId w:val="29"/>
        </w:numPr>
        <w:tabs>
          <w:tab w:val="left" w:pos="456"/>
        </w:tabs>
        <w:spacing w:before="32"/>
        <w:ind w:hanging="273"/>
        <w:rPr>
          <w:sz w:val="12"/>
        </w:rPr>
      </w:pPr>
      <w:r>
        <w:rPr>
          <w:color w:val="231F20"/>
          <w:sz w:val="12"/>
        </w:rPr>
        <w:t>vlevo</w:t>
      </w:r>
    </w:p>
    <w:p w14:paraId="1F24A0B3" w14:textId="77777777" w:rsidR="00F65BCA" w:rsidRDefault="00216117">
      <w:pPr>
        <w:spacing w:before="32"/>
        <w:ind w:left="455"/>
        <w:rPr>
          <w:sz w:val="12"/>
        </w:rPr>
      </w:pPr>
      <w:r>
        <w:rPr>
          <w:color w:val="231F20"/>
          <w:sz w:val="12"/>
        </w:rPr>
        <w:t>Ztráta všech tří článků ukazováku</w:t>
      </w:r>
    </w:p>
    <w:p w14:paraId="5B35C5D2" w14:textId="77777777" w:rsidR="00F65BCA" w:rsidRDefault="00216117">
      <w:pPr>
        <w:pStyle w:val="Odstavecseseznamem"/>
        <w:numPr>
          <w:ilvl w:val="0"/>
          <w:numId w:val="29"/>
        </w:numPr>
        <w:tabs>
          <w:tab w:val="left" w:pos="456"/>
        </w:tabs>
        <w:spacing w:before="33"/>
        <w:ind w:hanging="273"/>
        <w:rPr>
          <w:sz w:val="12"/>
        </w:rPr>
      </w:pPr>
      <w:r>
        <w:rPr>
          <w:color w:val="231F20"/>
          <w:sz w:val="12"/>
        </w:rPr>
        <w:t>vpravo</w:t>
      </w:r>
    </w:p>
    <w:p w14:paraId="38F2FE7A" w14:textId="77777777" w:rsidR="00F65BCA" w:rsidRDefault="00216117">
      <w:pPr>
        <w:pStyle w:val="Odstavecseseznamem"/>
        <w:numPr>
          <w:ilvl w:val="0"/>
          <w:numId w:val="29"/>
        </w:numPr>
        <w:tabs>
          <w:tab w:val="left" w:pos="456"/>
        </w:tabs>
        <w:spacing w:before="32"/>
        <w:ind w:hanging="273"/>
        <w:rPr>
          <w:sz w:val="12"/>
        </w:rPr>
      </w:pPr>
      <w:r>
        <w:rPr>
          <w:color w:val="231F20"/>
          <w:sz w:val="12"/>
        </w:rPr>
        <w:t>vlevo</w:t>
      </w:r>
    </w:p>
    <w:p w14:paraId="5D196B74" w14:textId="77777777" w:rsidR="00F65BCA" w:rsidRDefault="00216117">
      <w:pPr>
        <w:spacing w:before="32"/>
        <w:ind w:left="455"/>
        <w:rPr>
          <w:sz w:val="12"/>
        </w:rPr>
      </w:pPr>
      <w:r>
        <w:rPr>
          <w:color w:val="231F20"/>
          <w:sz w:val="12"/>
        </w:rPr>
        <w:t>Ztráta dvou článků ukazováku</w:t>
      </w:r>
    </w:p>
    <w:p w14:paraId="333C38E1" w14:textId="77777777" w:rsidR="00F65BCA" w:rsidRDefault="00216117">
      <w:pPr>
        <w:pStyle w:val="Odstavecseseznamem"/>
        <w:numPr>
          <w:ilvl w:val="0"/>
          <w:numId w:val="29"/>
        </w:numPr>
        <w:tabs>
          <w:tab w:val="left" w:pos="456"/>
        </w:tabs>
        <w:spacing w:before="32"/>
        <w:ind w:hanging="273"/>
        <w:rPr>
          <w:sz w:val="12"/>
        </w:rPr>
      </w:pPr>
      <w:r>
        <w:rPr>
          <w:color w:val="231F20"/>
          <w:sz w:val="12"/>
        </w:rPr>
        <w:t>vpravo</w:t>
      </w:r>
    </w:p>
    <w:p w14:paraId="285ECD42" w14:textId="77777777" w:rsidR="00F65BCA" w:rsidRDefault="00216117">
      <w:pPr>
        <w:pStyle w:val="Odstavecseseznamem"/>
        <w:numPr>
          <w:ilvl w:val="0"/>
          <w:numId w:val="29"/>
        </w:numPr>
        <w:tabs>
          <w:tab w:val="left" w:pos="456"/>
        </w:tabs>
        <w:spacing w:before="32"/>
        <w:ind w:hanging="273"/>
        <w:rPr>
          <w:sz w:val="12"/>
        </w:rPr>
      </w:pPr>
      <w:r>
        <w:rPr>
          <w:color w:val="231F20"/>
          <w:sz w:val="12"/>
        </w:rPr>
        <w:t>vlevo</w:t>
      </w:r>
    </w:p>
    <w:p w14:paraId="57F51552" w14:textId="77777777" w:rsidR="00F65BCA" w:rsidRDefault="00216117">
      <w:pPr>
        <w:spacing w:before="32"/>
        <w:ind w:left="455"/>
        <w:rPr>
          <w:sz w:val="12"/>
        </w:rPr>
      </w:pPr>
      <w:r>
        <w:rPr>
          <w:color w:val="231F20"/>
          <w:sz w:val="12"/>
        </w:rPr>
        <w:t>Ztráta koncového článku ukazováku</w:t>
      </w:r>
    </w:p>
    <w:p w14:paraId="703FDB67" w14:textId="77777777" w:rsidR="00F65BCA" w:rsidRDefault="00216117">
      <w:pPr>
        <w:pStyle w:val="Odstavecseseznamem"/>
        <w:numPr>
          <w:ilvl w:val="0"/>
          <w:numId w:val="29"/>
        </w:numPr>
        <w:tabs>
          <w:tab w:val="left" w:pos="456"/>
        </w:tabs>
        <w:spacing w:before="32"/>
        <w:ind w:hanging="273"/>
        <w:rPr>
          <w:sz w:val="12"/>
        </w:rPr>
      </w:pPr>
      <w:r>
        <w:rPr>
          <w:color w:val="231F20"/>
          <w:sz w:val="12"/>
        </w:rPr>
        <w:t>vpravo</w:t>
      </w:r>
    </w:p>
    <w:p w14:paraId="5CD0FED8" w14:textId="77777777" w:rsidR="00F65BCA" w:rsidRDefault="00216117">
      <w:pPr>
        <w:pStyle w:val="Odstavecseseznamem"/>
        <w:numPr>
          <w:ilvl w:val="0"/>
          <w:numId w:val="29"/>
        </w:numPr>
        <w:tabs>
          <w:tab w:val="left" w:pos="456"/>
        </w:tabs>
        <w:spacing w:before="32"/>
        <w:ind w:hanging="273"/>
        <w:rPr>
          <w:sz w:val="12"/>
        </w:rPr>
      </w:pPr>
      <w:r>
        <w:rPr>
          <w:color w:val="231F20"/>
          <w:sz w:val="12"/>
        </w:rPr>
        <w:t>vlevo</w:t>
      </w:r>
    </w:p>
    <w:p w14:paraId="58CD8B32" w14:textId="77777777" w:rsidR="00F65BCA" w:rsidRDefault="00216117">
      <w:pPr>
        <w:spacing w:before="31" w:line="249" w:lineRule="auto"/>
        <w:ind w:left="455" w:right="341"/>
        <w:rPr>
          <w:sz w:val="12"/>
        </w:rPr>
      </w:pPr>
      <w:r>
        <w:rPr>
          <w:color w:val="231F20"/>
          <w:sz w:val="12"/>
        </w:rPr>
        <w:t>Úplná</w:t>
      </w:r>
      <w:r>
        <w:rPr>
          <w:color w:val="231F20"/>
          <w:spacing w:val="-17"/>
          <w:sz w:val="12"/>
        </w:rPr>
        <w:t xml:space="preserve"> </w:t>
      </w:r>
      <w:r>
        <w:rPr>
          <w:color w:val="231F20"/>
          <w:sz w:val="12"/>
        </w:rPr>
        <w:t>ztuhlost</w:t>
      </w:r>
      <w:r>
        <w:rPr>
          <w:color w:val="231F20"/>
          <w:spacing w:val="-17"/>
          <w:sz w:val="12"/>
        </w:rPr>
        <w:t xml:space="preserve"> </w:t>
      </w:r>
      <w:r>
        <w:rPr>
          <w:color w:val="231F20"/>
          <w:sz w:val="12"/>
        </w:rPr>
        <w:t>všech</w:t>
      </w:r>
      <w:r>
        <w:rPr>
          <w:color w:val="231F20"/>
          <w:spacing w:val="-17"/>
          <w:sz w:val="12"/>
        </w:rPr>
        <w:t xml:space="preserve"> </w:t>
      </w:r>
      <w:r>
        <w:rPr>
          <w:color w:val="231F20"/>
          <w:sz w:val="12"/>
        </w:rPr>
        <w:t>tří</w:t>
      </w:r>
      <w:r>
        <w:rPr>
          <w:color w:val="231F20"/>
          <w:spacing w:val="-16"/>
          <w:sz w:val="12"/>
        </w:rPr>
        <w:t xml:space="preserve"> </w:t>
      </w:r>
      <w:r>
        <w:rPr>
          <w:color w:val="231F20"/>
          <w:sz w:val="12"/>
        </w:rPr>
        <w:t>kloubů</w:t>
      </w:r>
      <w:r>
        <w:rPr>
          <w:color w:val="231F20"/>
          <w:spacing w:val="-17"/>
          <w:sz w:val="12"/>
        </w:rPr>
        <w:t xml:space="preserve"> </w:t>
      </w:r>
      <w:r>
        <w:rPr>
          <w:color w:val="231F20"/>
          <w:sz w:val="12"/>
        </w:rPr>
        <w:t>ukazováku v krajním</w:t>
      </w:r>
      <w:r>
        <w:rPr>
          <w:color w:val="231F20"/>
          <w:spacing w:val="-4"/>
          <w:sz w:val="12"/>
        </w:rPr>
        <w:t xml:space="preserve"> </w:t>
      </w:r>
      <w:r>
        <w:rPr>
          <w:color w:val="231F20"/>
          <w:sz w:val="12"/>
        </w:rPr>
        <w:t>natažení</w:t>
      </w:r>
    </w:p>
    <w:p w14:paraId="6061D820" w14:textId="77777777" w:rsidR="00F65BCA" w:rsidRDefault="00216117">
      <w:pPr>
        <w:pStyle w:val="Odstavecseseznamem"/>
        <w:numPr>
          <w:ilvl w:val="0"/>
          <w:numId w:val="29"/>
        </w:numPr>
        <w:tabs>
          <w:tab w:val="left" w:pos="456"/>
        </w:tabs>
        <w:spacing w:before="26"/>
        <w:ind w:hanging="273"/>
        <w:rPr>
          <w:sz w:val="12"/>
        </w:rPr>
      </w:pPr>
      <w:r>
        <w:rPr>
          <w:color w:val="231F20"/>
          <w:sz w:val="12"/>
        </w:rPr>
        <w:t>vpravo</w:t>
      </w:r>
    </w:p>
    <w:p w14:paraId="24AD3119" w14:textId="77777777" w:rsidR="00F65BCA" w:rsidRDefault="00216117">
      <w:pPr>
        <w:pStyle w:val="Odstavecseseznamem"/>
        <w:numPr>
          <w:ilvl w:val="0"/>
          <w:numId w:val="29"/>
        </w:numPr>
        <w:tabs>
          <w:tab w:val="left" w:pos="456"/>
        </w:tabs>
        <w:spacing w:before="32"/>
        <w:ind w:hanging="273"/>
        <w:rPr>
          <w:sz w:val="12"/>
        </w:rPr>
      </w:pPr>
      <w:r>
        <w:rPr>
          <w:color w:val="231F20"/>
          <w:sz w:val="12"/>
        </w:rPr>
        <w:t>vlevo</w:t>
      </w:r>
    </w:p>
    <w:p w14:paraId="23414E05" w14:textId="77777777" w:rsidR="00F65BCA" w:rsidRDefault="00216117">
      <w:pPr>
        <w:spacing w:before="31" w:line="249" w:lineRule="auto"/>
        <w:ind w:left="455" w:right="341"/>
        <w:rPr>
          <w:sz w:val="12"/>
        </w:rPr>
      </w:pPr>
      <w:r>
        <w:rPr>
          <w:color w:val="231F20"/>
          <w:sz w:val="12"/>
        </w:rPr>
        <w:t>Úplná</w:t>
      </w:r>
      <w:r>
        <w:rPr>
          <w:color w:val="231F20"/>
          <w:spacing w:val="-17"/>
          <w:sz w:val="12"/>
        </w:rPr>
        <w:t xml:space="preserve"> </w:t>
      </w:r>
      <w:r>
        <w:rPr>
          <w:color w:val="231F20"/>
          <w:sz w:val="12"/>
        </w:rPr>
        <w:t>ztuhlost</w:t>
      </w:r>
      <w:r>
        <w:rPr>
          <w:color w:val="231F20"/>
          <w:spacing w:val="-17"/>
          <w:sz w:val="12"/>
        </w:rPr>
        <w:t xml:space="preserve"> </w:t>
      </w:r>
      <w:r>
        <w:rPr>
          <w:color w:val="231F20"/>
          <w:sz w:val="12"/>
        </w:rPr>
        <w:t>všech</w:t>
      </w:r>
      <w:r>
        <w:rPr>
          <w:color w:val="231F20"/>
          <w:spacing w:val="-17"/>
          <w:sz w:val="12"/>
        </w:rPr>
        <w:t xml:space="preserve"> </w:t>
      </w:r>
      <w:r>
        <w:rPr>
          <w:color w:val="231F20"/>
          <w:sz w:val="12"/>
        </w:rPr>
        <w:t>tří</w:t>
      </w:r>
      <w:r>
        <w:rPr>
          <w:color w:val="231F20"/>
          <w:spacing w:val="-16"/>
          <w:sz w:val="12"/>
        </w:rPr>
        <w:t xml:space="preserve"> </w:t>
      </w:r>
      <w:r>
        <w:rPr>
          <w:color w:val="231F20"/>
          <w:sz w:val="12"/>
        </w:rPr>
        <w:t>kloubů</w:t>
      </w:r>
      <w:r>
        <w:rPr>
          <w:color w:val="231F20"/>
          <w:spacing w:val="-17"/>
          <w:sz w:val="12"/>
        </w:rPr>
        <w:t xml:space="preserve"> </w:t>
      </w:r>
      <w:r>
        <w:rPr>
          <w:color w:val="231F20"/>
          <w:sz w:val="12"/>
        </w:rPr>
        <w:t>ukazováku v krajním</w:t>
      </w:r>
      <w:r>
        <w:rPr>
          <w:color w:val="231F20"/>
          <w:spacing w:val="-3"/>
          <w:sz w:val="12"/>
        </w:rPr>
        <w:t xml:space="preserve"> </w:t>
      </w:r>
      <w:r>
        <w:rPr>
          <w:color w:val="231F20"/>
          <w:sz w:val="12"/>
        </w:rPr>
        <w:t>ohnutí</w:t>
      </w:r>
    </w:p>
    <w:p w14:paraId="1B5AE9AA" w14:textId="77777777" w:rsidR="00F65BCA" w:rsidRDefault="00216117">
      <w:pPr>
        <w:pStyle w:val="Odstavecseseznamem"/>
        <w:numPr>
          <w:ilvl w:val="0"/>
          <w:numId w:val="29"/>
        </w:numPr>
        <w:tabs>
          <w:tab w:val="left" w:pos="456"/>
        </w:tabs>
        <w:spacing w:before="26"/>
        <w:ind w:hanging="273"/>
        <w:rPr>
          <w:sz w:val="12"/>
        </w:rPr>
      </w:pPr>
      <w:r>
        <w:rPr>
          <w:color w:val="231F20"/>
          <w:sz w:val="12"/>
        </w:rPr>
        <w:t>vpravo</w:t>
      </w:r>
    </w:p>
    <w:p w14:paraId="09C2DC0E" w14:textId="77777777" w:rsidR="00F65BCA" w:rsidRDefault="00216117">
      <w:pPr>
        <w:pStyle w:val="Odstavecseseznamem"/>
        <w:numPr>
          <w:ilvl w:val="0"/>
          <w:numId w:val="29"/>
        </w:numPr>
        <w:tabs>
          <w:tab w:val="left" w:pos="456"/>
        </w:tabs>
        <w:spacing w:before="32"/>
        <w:ind w:hanging="273"/>
        <w:rPr>
          <w:sz w:val="12"/>
        </w:rPr>
      </w:pPr>
      <w:r>
        <w:rPr>
          <w:color w:val="231F20"/>
          <w:sz w:val="12"/>
        </w:rPr>
        <w:t>vlevo</w:t>
      </w:r>
    </w:p>
    <w:p w14:paraId="1380A888" w14:textId="77777777" w:rsidR="00F65BCA" w:rsidRDefault="00216117">
      <w:pPr>
        <w:spacing w:before="31" w:line="249" w:lineRule="auto"/>
        <w:ind w:left="455" w:right="78"/>
        <w:rPr>
          <w:sz w:val="12"/>
        </w:rPr>
      </w:pPr>
      <w:r>
        <w:rPr>
          <w:color w:val="231F20"/>
          <w:sz w:val="12"/>
        </w:rPr>
        <w:t>Nemožnost</w:t>
      </w:r>
      <w:r>
        <w:rPr>
          <w:color w:val="231F20"/>
          <w:spacing w:val="-15"/>
          <w:sz w:val="12"/>
        </w:rPr>
        <w:t xml:space="preserve"> </w:t>
      </w:r>
      <w:r>
        <w:rPr>
          <w:color w:val="231F20"/>
          <w:sz w:val="12"/>
        </w:rPr>
        <w:t>úplného</w:t>
      </w:r>
      <w:r>
        <w:rPr>
          <w:color w:val="231F20"/>
          <w:spacing w:val="-15"/>
          <w:sz w:val="12"/>
        </w:rPr>
        <w:t xml:space="preserve"> </w:t>
      </w:r>
      <w:r>
        <w:rPr>
          <w:color w:val="231F20"/>
          <w:sz w:val="12"/>
        </w:rPr>
        <w:t>natažení</w:t>
      </w:r>
      <w:r>
        <w:rPr>
          <w:color w:val="231F20"/>
          <w:spacing w:val="-15"/>
          <w:sz w:val="12"/>
        </w:rPr>
        <w:t xml:space="preserve"> </w:t>
      </w:r>
      <w:r>
        <w:rPr>
          <w:color w:val="231F20"/>
          <w:sz w:val="12"/>
        </w:rPr>
        <w:t>některého</w:t>
      </w:r>
      <w:r>
        <w:rPr>
          <w:color w:val="231F20"/>
          <w:spacing w:val="-14"/>
          <w:sz w:val="12"/>
        </w:rPr>
        <w:t xml:space="preserve"> </w:t>
      </w:r>
      <w:r>
        <w:rPr>
          <w:color w:val="231F20"/>
          <w:sz w:val="12"/>
        </w:rPr>
        <w:t>z</w:t>
      </w:r>
      <w:r>
        <w:rPr>
          <w:color w:val="231F20"/>
          <w:spacing w:val="-15"/>
          <w:sz w:val="12"/>
        </w:rPr>
        <w:t xml:space="preserve"> </w:t>
      </w:r>
      <w:r>
        <w:rPr>
          <w:color w:val="231F20"/>
          <w:spacing w:val="-4"/>
          <w:sz w:val="12"/>
        </w:rPr>
        <w:t xml:space="preserve">klou- </w:t>
      </w:r>
      <w:r>
        <w:rPr>
          <w:color w:val="231F20"/>
          <w:sz w:val="12"/>
        </w:rPr>
        <w:t>bů</w:t>
      </w:r>
      <w:r>
        <w:rPr>
          <w:color w:val="231F20"/>
          <w:spacing w:val="-1"/>
          <w:sz w:val="12"/>
        </w:rPr>
        <w:t xml:space="preserve"> </w:t>
      </w:r>
      <w:r>
        <w:rPr>
          <w:color w:val="231F20"/>
          <w:sz w:val="12"/>
        </w:rPr>
        <w:t>ukazováku</w:t>
      </w:r>
    </w:p>
    <w:p w14:paraId="49CE19A9" w14:textId="77777777" w:rsidR="00F65BCA" w:rsidRDefault="00216117">
      <w:pPr>
        <w:pStyle w:val="Odstavecseseznamem"/>
        <w:numPr>
          <w:ilvl w:val="0"/>
          <w:numId w:val="29"/>
        </w:numPr>
        <w:tabs>
          <w:tab w:val="left" w:pos="456"/>
        </w:tabs>
        <w:spacing w:before="32"/>
        <w:ind w:hanging="273"/>
        <w:rPr>
          <w:sz w:val="12"/>
        </w:rPr>
      </w:pPr>
      <w:r>
        <w:rPr>
          <w:color w:val="231F20"/>
          <w:sz w:val="12"/>
        </w:rPr>
        <w:t>vpravo</w:t>
      </w:r>
    </w:p>
    <w:p w14:paraId="02BB4157" w14:textId="77777777" w:rsidR="00F65BCA" w:rsidRDefault="00216117">
      <w:pPr>
        <w:pStyle w:val="Odstavecseseznamem"/>
        <w:numPr>
          <w:ilvl w:val="0"/>
          <w:numId w:val="29"/>
        </w:numPr>
        <w:tabs>
          <w:tab w:val="left" w:pos="456"/>
        </w:tabs>
        <w:spacing w:before="43"/>
        <w:ind w:hanging="273"/>
        <w:rPr>
          <w:sz w:val="12"/>
        </w:rPr>
      </w:pPr>
      <w:r>
        <w:rPr>
          <w:color w:val="231F20"/>
          <w:sz w:val="12"/>
        </w:rPr>
        <w:t>vlevo</w:t>
      </w:r>
    </w:p>
    <w:p w14:paraId="64C64B05" w14:textId="77777777" w:rsidR="00F65BCA" w:rsidRDefault="00216117">
      <w:pPr>
        <w:spacing w:before="64" w:line="249" w:lineRule="auto"/>
        <w:ind w:left="455" w:right="72"/>
        <w:rPr>
          <w:b/>
          <w:sz w:val="12"/>
        </w:rPr>
      </w:pPr>
      <w:r>
        <w:rPr>
          <w:b/>
          <w:color w:val="231F20"/>
          <w:sz w:val="12"/>
        </w:rPr>
        <w:t>Ztrátová poranění a úplnou ztuhlost v kraj- ních polohách nelze současně hodnotit</w:t>
      </w:r>
    </w:p>
    <w:p w14:paraId="2638E34D" w14:textId="77777777" w:rsidR="00F65BCA" w:rsidRDefault="00216117">
      <w:pPr>
        <w:spacing w:before="1"/>
        <w:ind w:left="455"/>
        <w:rPr>
          <w:sz w:val="12"/>
        </w:rPr>
      </w:pPr>
      <w:r>
        <w:rPr>
          <w:b/>
          <w:color w:val="231F20"/>
          <w:sz w:val="12"/>
        </w:rPr>
        <w:t>s poruchami úchopové funkce</w:t>
      </w:r>
      <w:r>
        <w:rPr>
          <w:color w:val="231F20"/>
          <w:sz w:val="12"/>
        </w:rPr>
        <w:t>.</w:t>
      </w:r>
    </w:p>
    <w:p w14:paraId="6F74BB57" w14:textId="77777777" w:rsidR="00F65BCA" w:rsidRDefault="00216117">
      <w:pPr>
        <w:spacing w:before="61"/>
        <w:ind w:left="455"/>
        <w:rPr>
          <w:sz w:val="12"/>
        </w:rPr>
      </w:pPr>
      <w:r>
        <w:rPr>
          <w:color w:val="231F20"/>
          <w:sz w:val="12"/>
        </w:rPr>
        <w:t>Porucha úchopové funkce ukazováku</w:t>
      </w:r>
    </w:p>
    <w:p w14:paraId="6C43E58D" w14:textId="77777777" w:rsidR="00F65BCA" w:rsidRDefault="00216117">
      <w:pPr>
        <w:spacing w:before="38"/>
        <w:ind w:left="455"/>
        <w:rPr>
          <w:sz w:val="12"/>
        </w:rPr>
      </w:pPr>
      <w:r>
        <w:rPr>
          <w:color w:val="231F20"/>
          <w:sz w:val="12"/>
        </w:rPr>
        <w:t>do úplného sevření do dlaně chybí 1 až 2 cm</w:t>
      </w:r>
    </w:p>
    <w:p w14:paraId="03CA3043" w14:textId="77777777" w:rsidR="00F65BCA" w:rsidRDefault="00216117">
      <w:pPr>
        <w:pStyle w:val="Odstavecseseznamem"/>
        <w:numPr>
          <w:ilvl w:val="0"/>
          <w:numId w:val="29"/>
        </w:numPr>
        <w:tabs>
          <w:tab w:val="left" w:pos="456"/>
        </w:tabs>
        <w:spacing w:before="37"/>
        <w:ind w:hanging="273"/>
        <w:rPr>
          <w:sz w:val="12"/>
        </w:rPr>
      </w:pPr>
      <w:r>
        <w:rPr>
          <w:color w:val="231F20"/>
          <w:sz w:val="12"/>
        </w:rPr>
        <w:t>vpravo</w:t>
      </w:r>
    </w:p>
    <w:p w14:paraId="7EAA2C50" w14:textId="77777777" w:rsidR="00F65BCA" w:rsidRDefault="00216117">
      <w:pPr>
        <w:pStyle w:val="Odstavecseseznamem"/>
        <w:numPr>
          <w:ilvl w:val="0"/>
          <w:numId w:val="29"/>
        </w:numPr>
        <w:tabs>
          <w:tab w:val="left" w:pos="456"/>
        </w:tabs>
        <w:spacing w:before="38"/>
        <w:ind w:hanging="273"/>
        <w:rPr>
          <w:sz w:val="12"/>
        </w:rPr>
      </w:pPr>
      <w:r>
        <w:rPr>
          <w:color w:val="231F20"/>
          <w:sz w:val="12"/>
        </w:rPr>
        <w:t>vlevo</w:t>
      </w:r>
    </w:p>
    <w:p w14:paraId="6172FF2F" w14:textId="77777777" w:rsidR="00F65BCA" w:rsidRDefault="00216117">
      <w:pPr>
        <w:spacing w:before="38"/>
        <w:ind w:left="455"/>
        <w:rPr>
          <w:sz w:val="12"/>
        </w:rPr>
      </w:pPr>
      <w:r>
        <w:rPr>
          <w:color w:val="231F20"/>
          <w:sz w:val="12"/>
        </w:rPr>
        <w:t>do</w:t>
      </w:r>
      <w:r>
        <w:rPr>
          <w:color w:val="231F20"/>
          <w:spacing w:val="-17"/>
          <w:sz w:val="12"/>
        </w:rPr>
        <w:t xml:space="preserve"> </w:t>
      </w:r>
      <w:r>
        <w:rPr>
          <w:color w:val="231F20"/>
          <w:sz w:val="12"/>
        </w:rPr>
        <w:t>úplného</w:t>
      </w:r>
      <w:r>
        <w:rPr>
          <w:color w:val="231F20"/>
          <w:spacing w:val="-17"/>
          <w:sz w:val="12"/>
        </w:rPr>
        <w:t xml:space="preserve"> </w:t>
      </w:r>
      <w:r>
        <w:rPr>
          <w:color w:val="231F20"/>
          <w:sz w:val="12"/>
        </w:rPr>
        <w:t>sevření</w:t>
      </w:r>
      <w:r>
        <w:rPr>
          <w:color w:val="231F20"/>
          <w:spacing w:val="-16"/>
          <w:sz w:val="12"/>
        </w:rPr>
        <w:t xml:space="preserve"> </w:t>
      </w:r>
      <w:r>
        <w:rPr>
          <w:color w:val="231F20"/>
          <w:sz w:val="12"/>
        </w:rPr>
        <w:t>do</w:t>
      </w:r>
      <w:r>
        <w:rPr>
          <w:color w:val="231F20"/>
          <w:spacing w:val="-17"/>
          <w:sz w:val="12"/>
        </w:rPr>
        <w:t xml:space="preserve"> </w:t>
      </w:r>
      <w:r>
        <w:rPr>
          <w:color w:val="231F20"/>
          <w:sz w:val="12"/>
        </w:rPr>
        <w:t>dlaně</w:t>
      </w:r>
      <w:r>
        <w:rPr>
          <w:color w:val="231F20"/>
          <w:spacing w:val="-17"/>
          <w:sz w:val="12"/>
        </w:rPr>
        <w:t xml:space="preserve"> </w:t>
      </w:r>
      <w:r>
        <w:rPr>
          <w:color w:val="231F20"/>
          <w:sz w:val="12"/>
        </w:rPr>
        <w:t>chybí</w:t>
      </w:r>
      <w:r>
        <w:rPr>
          <w:color w:val="231F20"/>
          <w:spacing w:val="-16"/>
          <w:sz w:val="12"/>
        </w:rPr>
        <w:t xml:space="preserve"> </w:t>
      </w:r>
      <w:r>
        <w:rPr>
          <w:color w:val="231F20"/>
          <w:sz w:val="12"/>
        </w:rPr>
        <w:t>přes</w:t>
      </w:r>
      <w:r>
        <w:rPr>
          <w:color w:val="231F20"/>
          <w:spacing w:val="-17"/>
          <w:sz w:val="12"/>
        </w:rPr>
        <w:t xml:space="preserve"> </w:t>
      </w:r>
      <w:r>
        <w:rPr>
          <w:color w:val="231F20"/>
          <w:sz w:val="12"/>
        </w:rPr>
        <w:t>2</w:t>
      </w:r>
      <w:r>
        <w:rPr>
          <w:color w:val="231F20"/>
          <w:spacing w:val="-16"/>
          <w:sz w:val="12"/>
        </w:rPr>
        <w:t xml:space="preserve"> </w:t>
      </w:r>
      <w:r>
        <w:rPr>
          <w:color w:val="231F20"/>
          <w:sz w:val="12"/>
        </w:rPr>
        <w:t>do</w:t>
      </w:r>
      <w:r>
        <w:rPr>
          <w:color w:val="231F20"/>
          <w:spacing w:val="-17"/>
          <w:sz w:val="12"/>
        </w:rPr>
        <w:t xml:space="preserve"> </w:t>
      </w:r>
      <w:r>
        <w:rPr>
          <w:color w:val="231F20"/>
          <w:sz w:val="12"/>
        </w:rPr>
        <w:t>3</w:t>
      </w:r>
      <w:r>
        <w:rPr>
          <w:color w:val="231F20"/>
          <w:spacing w:val="-26"/>
          <w:sz w:val="12"/>
        </w:rPr>
        <w:t xml:space="preserve"> </w:t>
      </w:r>
      <w:r>
        <w:rPr>
          <w:color w:val="231F20"/>
          <w:sz w:val="12"/>
        </w:rPr>
        <w:t>cm</w:t>
      </w:r>
    </w:p>
    <w:p w14:paraId="13B48D50" w14:textId="77777777" w:rsidR="00F65BCA" w:rsidRDefault="00216117">
      <w:pPr>
        <w:pStyle w:val="Odstavecseseznamem"/>
        <w:numPr>
          <w:ilvl w:val="0"/>
          <w:numId w:val="29"/>
        </w:numPr>
        <w:tabs>
          <w:tab w:val="left" w:pos="456"/>
        </w:tabs>
        <w:spacing w:before="38"/>
        <w:ind w:hanging="273"/>
        <w:rPr>
          <w:sz w:val="12"/>
        </w:rPr>
      </w:pPr>
      <w:r>
        <w:rPr>
          <w:color w:val="231F20"/>
          <w:sz w:val="12"/>
        </w:rPr>
        <w:t>vpravo</w:t>
      </w:r>
    </w:p>
    <w:p w14:paraId="109DE45F" w14:textId="77777777" w:rsidR="00F65BCA" w:rsidRDefault="00216117">
      <w:pPr>
        <w:pStyle w:val="Odstavecseseznamem"/>
        <w:numPr>
          <w:ilvl w:val="0"/>
          <w:numId w:val="29"/>
        </w:numPr>
        <w:tabs>
          <w:tab w:val="left" w:pos="456"/>
        </w:tabs>
        <w:spacing w:before="37"/>
        <w:ind w:hanging="273"/>
        <w:rPr>
          <w:sz w:val="12"/>
        </w:rPr>
      </w:pPr>
      <w:r>
        <w:rPr>
          <w:color w:val="231F20"/>
          <w:sz w:val="12"/>
        </w:rPr>
        <w:t>vlevo</w:t>
      </w:r>
    </w:p>
    <w:p w14:paraId="144ECDBB" w14:textId="77777777" w:rsidR="00F65BCA" w:rsidRDefault="00216117">
      <w:pPr>
        <w:spacing w:before="38"/>
        <w:ind w:left="455"/>
        <w:rPr>
          <w:sz w:val="12"/>
        </w:rPr>
      </w:pPr>
      <w:r>
        <w:rPr>
          <w:color w:val="231F20"/>
          <w:sz w:val="12"/>
        </w:rPr>
        <w:t>do</w:t>
      </w:r>
      <w:r>
        <w:rPr>
          <w:color w:val="231F20"/>
          <w:spacing w:val="-17"/>
          <w:sz w:val="12"/>
        </w:rPr>
        <w:t xml:space="preserve"> </w:t>
      </w:r>
      <w:r>
        <w:rPr>
          <w:color w:val="231F20"/>
          <w:sz w:val="12"/>
        </w:rPr>
        <w:t>úplného</w:t>
      </w:r>
      <w:r>
        <w:rPr>
          <w:color w:val="231F20"/>
          <w:spacing w:val="-17"/>
          <w:sz w:val="12"/>
        </w:rPr>
        <w:t xml:space="preserve"> </w:t>
      </w:r>
      <w:r>
        <w:rPr>
          <w:color w:val="231F20"/>
          <w:sz w:val="12"/>
        </w:rPr>
        <w:t>sevření</w:t>
      </w:r>
      <w:r>
        <w:rPr>
          <w:color w:val="231F20"/>
          <w:spacing w:val="-16"/>
          <w:sz w:val="12"/>
        </w:rPr>
        <w:t xml:space="preserve"> </w:t>
      </w:r>
      <w:r>
        <w:rPr>
          <w:color w:val="231F20"/>
          <w:sz w:val="12"/>
        </w:rPr>
        <w:t>do</w:t>
      </w:r>
      <w:r>
        <w:rPr>
          <w:color w:val="231F20"/>
          <w:spacing w:val="-17"/>
          <w:sz w:val="12"/>
        </w:rPr>
        <w:t xml:space="preserve"> </w:t>
      </w:r>
      <w:r>
        <w:rPr>
          <w:color w:val="231F20"/>
          <w:sz w:val="12"/>
        </w:rPr>
        <w:t>dlaně</w:t>
      </w:r>
      <w:r>
        <w:rPr>
          <w:color w:val="231F20"/>
          <w:spacing w:val="-17"/>
          <w:sz w:val="12"/>
        </w:rPr>
        <w:t xml:space="preserve"> </w:t>
      </w:r>
      <w:r>
        <w:rPr>
          <w:color w:val="231F20"/>
          <w:sz w:val="12"/>
        </w:rPr>
        <w:t>chybí</w:t>
      </w:r>
      <w:r>
        <w:rPr>
          <w:color w:val="231F20"/>
          <w:spacing w:val="-16"/>
          <w:sz w:val="12"/>
        </w:rPr>
        <w:t xml:space="preserve"> </w:t>
      </w:r>
      <w:r>
        <w:rPr>
          <w:color w:val="231F20"/>
          <w:sz w:val="12"/>
        </w:rPr>
        <w:t>přes</w:t>
      </w:r>
      <w:r>
        <w:rPr>
          <w:color w:val="231F20"/>
          <w:spacing w:val="-17"/>
          <w:sz w:val="12"/>
        </w:rPr>
        <w:t xml:space="preserve"> </w:t>
      </w:r>
      <w:r>
        <w:rPr>
          <w:color w:val="231F20"/>
          <w:sz w:val="12"/>
        </w:rPr>
        <w:t>3</w:t>
      </w:r>
      <w:r>
        <w:rPr>
          <w:color w:val="231F20"/>
          <w:spacing w:val="-16"/>
          <w:sz w:val="12"/>
        </w:rPr>
        <w:t xml:space="preserve"> </w:t>
      </w:r>
      <w:r>
        <w:rPr>
          <w:color w:val="231F20"/>
          <w:sz w:val="12"/>
        </w:rPr>
        <w:t>do</w:t>
      </w:r>
      <w:r>
        <w:rPr>
          <w:color w:val="231F20"/>
          <w:spacing w:val="-17"/>
          <w:sz w:val="12"/>
        </w:rPr>
        <w:t xml:space="preserve"> </w:t>
      </w:r>
      <w:r>
        <w:rPr>
          <w:color w:val="231F20"/>
          <w:sz w:val="12"/>
        </w:rPr>
        <w:t>4</w:t>
      </w:r>
      <w:r>
        <w:rPr>
          <w:color w:val="231F20"/>
          <w:spacing w:val="-26"/>
          <w:sz w:val="12"/>
        </w:rPr>
        <w:t xml:space="preserve"> </w:t>
      </w:r>
      <w:r>
        <w:rPr>
          <w:color w:val="231F20"/>
          <w:sz w:val="12"/>
        </w:rPr>
        <w:t>cm</w:t>
      </w:r>
    </w:p>
    <w:p w14:paraId="2E3741C5" w14:textId="77777777" w:rsidR="00F65BCA" w:rsidRDefault="00216117">
      <w:pPr>
        <w:pStyle w:val="Odstavecseseznamem"/>
        <w:numPr>
          <w:ilvl w:val="0"/>
          <w:numId w:val="29"/>
        </w:numPr>
        <w:tabs>
          <w:tab w:val="left" w:pos="456"/>
        </w:tabs>
        <w:spacing w:before="38"/>
        <w:ind w:hanging="273"/>
        <w:rPr>
          <w:sz w:val="12"/>
        </w:rPr>
      </w:pPr>
      <w:r>
        <w:rPr>
          <w:color w:val="231F20"/>
          <w:sz w:val="12"/>
        </w:rPr>
        <w:t>vpravo</w:t>
      </w:r>
    </w:p>
    <w:p w14:paraId="18E2FD4F" w14:textId="77777777" w:rsidR="00F65BCA" w:rsidRDefault="00216117">
      <w:pPr>
        <w:pStyle w:val="Odstavecseseznamem"/>
        <w:numPr>
          <w:ilvl w:val="0"/>
          <w:numId w:val="29"/>
        </w:numPr>
        <w:tabs>
          <w:tab w:val="left" w:pos="456"/>
        </w:tabs>
        <w:spacing w:before="38"/>
        <w:ind w:hanging="273"/>
        <w:rPr>
          <w:sz w:val="12"/>
        </w:rPr>
      </w:pPr>
      <w:r>
        <w:rPr>
          <w:color w:val="231F20"/>
          <w:sz w:val="12"/>
        </w:rPr>
        <w:t>vlevo</w:t>
      </w:r>
    </w:p>
    <w:p w14:paraId="571C71E6" w14:textId="77777777" w:rsidR="00F65BCA" w:rsidRDefault="00216117">
      <w:pPr>
        <w:spacing w:before="38"/>
        <w:ind w:left="455"/>
        <w:rPr>
          <w:sz w:val="12"/>
        </w:rPr>
      </w:pPr>
      <w:r>
        <w:rPr>
          <w:color w:val="231F20"/>
          <w:sz w:val="12"/>
        </w:rPr>
        <w:t>do úplného sevření do dlaně chybí přes 4 cm</w:t>
      </w:r>
    </w:p>
    <w:p w14:paraId="794A7937" w14:textId="77777777" w:rsidR="00F65BCA" w:rsidRDefault="00216117">
      <w:pPr>
        <w:pStyle w:val="Odstavecseseznamem"/>
        <w:numPr>
          <w:ilvl w:val="0"/>
          <w:numId w:val="29"/>
        </w:numPr>
        <w:tabs>
          <w:tab w:val="left" w:pos="456"/>
        </w:tabs>
        <w:spacing w:before="37"/>
        <w:ind w:hanging="273"/>
        <w:rPr>
          <w:sz w:val="12"/>
        </w:rPr>
      </w:pPr>
      <w:r>
        <w:rPr>
          <w:color w:val="231F20"/>
          <w:sz w:val="12"/>
        </w:rPr>
        <w:t>vpravo</w:t>
      </w:r>
    </w:p>
    <w:p w14:paraId="39192C11" w14:textId="77777777" w:rsidR="00F65BCA" w:rsidRDefault="00216117">
      <w:pPr>
        <w:pStyle w:val="Odstavecseseznamem"/>
        <w:numPr>
          <w:ilvl w:val="0"/>
          <w:numId w:val="29"/>
        </w:numPr>
        <w:tabs>
          <w:tab w:val="left" w:pos="456"/>
        </w:tabs>
        <w:spacing w:before="38"/>
        <w:ind w:hanging="273"/>
        <w:rPr>
          <w:sz w:val="12"/>
        </w:rPr>
      </w:pPr>
      <w:r>
        <w:rPr>
          <w:color w:val="231F20"/>
          <w:sz w:val="12"/>
        </w:rPr>
        <w:t>vlevo</w:t>
      </w:r>
    </w:p>
    <w:p w14:paraId="15BC5009" w14:textId="77777777" w:rsidR="00F65BCA" w:rsidRDefault="00216117">
      <w:pPr>
        <w:spacing w:before="38"/>
        <w:ind w:left="455"/>
        <w:rPr>
          <w:b/>
          <w:sz w:val="12"/>
        </w:rPr>
      </w:pPr>
      <w:r>
        <w:rPr>
          <w:b/>
          <w:color w:val="231F20"/>
          <w:sz w:val="12"/>
        </w:rPr>
        <w:t>Prostředník, prsteník, malík</w:t>
      </w:r>
    </w:p>
    <w:p w14:paraId="74572429" w14:textId="77777777" w:rsidR="00F65BCA" w:rsidRDefault="00216117">
      <w:pPr>
        <w:spacing w:before="38"/>
        <w:ind w:left="455"/>
        <w:rPr>
          <w:sz w:val="12"/>
        </w:rPr>
      </w:pPr>
      <w:r>
        <w:rPr>
          <w:color w:val="231F20"/>
          <w:sz w:val="12"/>
        </w:rPr>
        <w:t>Ztráta celého prstu se záprstní kostí</w:t>
      </w:r>
    </w:p>
    <w:p w14:paraId="4E133041" w14:textId="77777777" w:rsidR="00F65BCA" w:rsidRDefault="00216117">
      <w:pPr>
        <w:pStyle w:val="Odstavecseseznamem"/>
        <w:numPr>
          <w:ilvl w:val="0"/>
          <w:numId w:val="29"/>
        </w:numPr>
        <w:tabs>
          <w:tab w:val="left" w:pos="456"/>
        </w:tabs>
        <w:spacing w:before="37"/>
        <w:ind w:hanging="273"/>
        <w:rPr>
          <w:sz w:val="12"/>
        </w:rPr>
      </w:pPr>
      <w:r>
        <w:rPr>
          <w:color w:val="231F20"/>
          <w:sz w:val="12"/>
        </w:rPr>
        <w:t>vpravo</w:t>
      </w:r>
    </w:p>
    <w:p w14:paraId="512F1517" w14:textId="77777777" w:rsidR="00F65BCA" w:rsidRDefault="00216117">
      <w:pPr>
        <w:pStyle w:val="Odstavecseseznamem"/>
        <w:numPr>
          <w:ilvl w:val="0"/>
          <w:numId w:val="29"/>
        </w:numPr>
        <w:tabs>
          <w:tab w:val="left" w:pos="456"/>
        </w:tabs>
        <w:spacing w:before="38"/>
        <w:ind w:hanging="273"/>
        <w:rPr>
          <w:sz w:val="12"/>
        </w:rPr>
      </w:pPr>
      <w:r>
        <w:rPr>
          <w:color w:val="231F20"/>
          <w:sz w:val="12"/>
        </w:rPr>
        <w:t>vlevo</w:t>
      </w:r>
    </w:p>
    <w:p w14:paraId="1648E747" w14:textId="77777777" w:rsidR="00F65BCA" w:rsidRDefault="00216117">
      <w:pPr>
        <w:spacing w:before="38"/>
        <w:ind w:left="455"/>
        <w:rPr>
          <w:sz w:val="12"/>
        </w:rPr>
      </w:pPr>
      <w:r>
        <w:rPr>
          <w:color w:val="231F20"/>
          <w:sz w:val="12"/>
        </w:rPr>
        <w:t>Ztráta</w:t>
      </w:r>
      <w:r>
        <w:rPr>
          <w:color w:val="231F20"/>
          <w:spacing w:val="-17"/>
          <w:sz w:val="12"/>
        </w:rPr>
        <w:t xml:space="preserve"> </w:t>
      </w:r>
      <w:r>
        <w:rPr>
          <w:color w:val="231F20"/>
          <w:sz w:val="12"/>
        </w:rPr>
        <w:t>tří</w:t>
      </w:r>
      <w:r>
        <w:rPr>
          <w:color w:val="231F20"/>
          <w:spacing w:val="-17"/>
          <w:sz w:val="12"/>
        </w:rPr>
        <w:t xml:space="preserve"> </w:t>
      </w:r>
      <w:r>
        <w:rPr>
          <w:color w:val="231F20"/>
          <w:sz w:val="12"/>
        </w:rPr>
        <w:t>článků</w:t>
      </w:r>
    </w:p>
    <w:p w14:paraId="05DD530E" w14:textId="77777777" w:rsidR="00F65BCA" w:rsidRDefault="00216117">
      <w:pPr>
        <w:pStyle w:val="Odstavecseseznamem"/>
        <w:numPr>
          <w:ilvl w:val="0"/>
          <w:numId w:val="29"/>
        </w:numPr>
        <w:tabs>
          <w:tab w:val="left" w:pos="456"/>
        </w:tabs>
        <w:spacing w:before="38"/>
        <w:ind w:hanging="273"/>
        <w:rPr>
          <w:sz w:val="12"/>
        </w:rPr>
      </w:pPr>
      <w:r>
        <w:rPr>
          <w:color w:val="231F20"/>
          <w:sz w:val="12"/>
        </w:rPr>
        <w:t>vpravo</w:t>
      </w:r>
    </w:p>
    <w:p w14:paraId="16C805C6" w14:textId="77777777" w:rsidR="00F65BCA" w:rsidRDefault="00216117">
      <w:pPr>
        <w:pStyle w:val="Odstavecseseznamem"/>
        <w:numPr>
          <w:ilvl w:val="0"/>
          <w:numId w:val="29"/>
        </w:numPr>
        <w:tabs>
          <w:tab w:val="left" w:pos="456"/>
        </w:tabs>
        <w:spacing w:before="37"/>
        <w:ind w:hanging="273"/>
        <w:rPr>
          <w:sz w:val="12"/>
        </w:rPr>
      </w:pPr>
      <w:r>
        <w:rPr>
          <w:color w:val="231F20"/>
          <w:sz w:val="12"/>
        </w:rPr>
        <w:t>vlevo</w:t>
      </w:r>
    </w:p>
    <w:p w14:paraId="12922D90" w14:textId="77777777" w:rsidR="00F65BCA" w:rsidRDefault="00216117">
      <w:pPr>
        <w:spacing w:before="38"/>
        <w:ind w:left="455"/>
        <w:rPr>
          <w:sz w:val="12"/>
        </w:rPr>
      </w:pPr>
      <w:r>
        <w:rPr>
          <w:color w:val="231F20"/>
          <w:sz w:val="12"/>
        </w:rPr>
        <w:t>Ztráta dvou článků</w:t>
      </w:r>
    </w:p>
    <w:p w14:paraId="0CEA9C5F" w14:textId="77777777" w:rsidR="00F65BCA" w:rsidRDefault="00216117">
      <w:pPr>
        <w:pStyle w:val="Odstavecseseznamem"/>
        <w:numPr>
          <w:ilvl w:val="0"/>
          <w:numId w:val="29"/>
        </w:numPr>
        <w:tabs>
          <w:tab w:val="left" w:pos="456"/>
        </w:tabs>
        <w:spacing w:before="38"/>
        <w:ind w:hanging="273"/>
        <w:rPr>
          <w:sz w:val="12"/>
        </w:rPr>
      </w:pPr>
      <w:r>
        <w:rPr>
          <w:color w:val="231F20"/>
          <w:sz w:val="12"/>
        </w:rPr>
        <w:t>vpravo</w:t>
      </w:r>
    </w:p>
    <w:p w14:paraId="1F7D9EB0" w14:textId="77777777" w:rsidR="00F65BCA" w:rsidRDefault="00216117">
      <w:pPr>
        <w:pStyle w:val="Odstavecseseznamem"/>
        <w:numPr>
          <w:ilvl w:val="0"/>
          <w:numId w:val="29"/>
        </w:numPr>
        <w:tabs>
          <w:tab w:val="left" w:pos="456"/>
        </w:tabs>
        <w:spacing w:before="38"/>
        <w:ind w:hanging="273"/>
        <w:rPr>
          <w:sz w:val="12"/>
        </w:rPr>
      </w:pPr>
      <w:r>
        <w:rPr>
          <w:color w:val="231F20"/>
          <w:sz w:val="12"/>
        </w:rPr>
        <w:t>vlevo</w:t>
      </w:r>
    </w:p>
    <w:p w14:paraId="313D85ED" w14:textId="77777777" w:rsidR="00F65BCA" w:rsidRDefault="00216117">
      <w:pPr>
        <w:spacing w:before="37"/>
        <w:ind w:left="455"/>
        <w:rPr>
          <w:sz w:val="12"/>
        </w:rPr>
      </w:pPr>
      <w:r>
        <w:rPr>
          <w:color w:val="231F20"/>
          <w:sz w:val="12"/>
        </w:rPr>
        <w:t>Ztráta koncového článku</w:t>
      </w:r>
    </w:p>
    <w:p w14:paraId="2047B396" w14:textId="77777777" w:rsidR="00F65BCA" w:rsidRDefault="00216117">
      <w:pPr>
        <w:pStyle w:val="Odstavecseseznamem"/>
        <w:numPr>
          <w:ilvl w:val="0"/>
          <w:numId w:val="29"/>
        </w:numPr>
        <w:tabs>
          <w:tab w:val="left" w:pos="456"/>
        </w:tabs>
        <w:spacing w:before="38"/>
        <w:ind w:hanging="273"/>
        <w:rPr>
          <w:sz w:val="12"/>
        </w:rPr>
      </w:pPr>
      <w:r>
        <w:rPr>
          <w:color w:val="231F20"/>
          <w:sz w:val="12"/>
        </w:rPr>
        <w:t>vpravo</w:t>
      </w:r>
    </w:p>
    <w:p w14:paraId="79C136D7" w14:textId="77777777" w:rsidR="00F65BCA" w:rsidRDefault="00216117">
      <w:pPr>
        <w:pStyle w:val="Odstavecseseznamem"/>
        <w:numPr>
          <w:ilvl w:val="0"/>
          <w:numId w:val="29"/>
        </w:numPr>
        <w:tabs>
          <w:tab w:val="left" w:pos="456"/>
        </w:tabs>
        <w:spacing w:before="38"/>
        <w:ind w:hanging="273"/>
        <w:rPr>
          <w:sz w:val="12"/>
        </w:rPr>
      </w:pPr>
      <w:r>
        <w:rPr>
          <w:color w:val="231F20"/>
          <w:sz w:val="12"/>
        </w:rPr>
        <w:t>vlevo</w:t>
      </w:r>
    </w:p>
    <w:p w14:paraId="0461BC89" w14:textId="77777777" w:rsidR="00F65BCA" w:rsidRDefault="00216117">
      <w:pPr>
        <w:spacing w:before="48" w:line="249" w:lineRule="auto"/>
        <w:ind w:left="455" w:right="33"/>
        <w:rPr>
          <w:sz w:val="12"/>
        </w:rPr>
      </w:pPr>
      <w:r>
        <w:rPr>
          <w:color w:val="231F20"/>
          <w:sz w:val="12"/>
        </w:rPr>
        <w:t>Úplná</w:t>
      </w:r>
      <w:r>
        <w:rPr>
          <w:color w:val="231F20"/>
          <w:spacing w:val="-10"/>
          <w:sz w:val="12"/>
        </w:rPr>
        <w:t xml:space="preserve"> </w:t>
      </w:r>
      <w:r>
        <w:rPr>
          <w:color w:val="231F20"/>
          <w:sz w:val="12"/>
        </w:rPr>
        <w:t>ztuhlost</w:t>
      </w:r>
      <w:r>
        <w:rPr>
          <w:color w:val="231F20"/>
          <w:spacing w:val="-9"/>
          <w:sz w:val="12"/>
        </w:rPr>
        <w:t xml:space="preserve"> </w:t>
      </w:r>
      <w:r>
        <w:rPr>
          <w:color w:val="231F20"/>
          <w:sz w:val="12"/>
        </w:rPr>
        <w:t>všech</w:t>
      </w:r>
      <w:r>
        <w:rPr>
          <w:color w:val="231F20"/>
          <w:spacing w:val="-9"/>
          <w:sz w:val="12"/>
        </w:rPr>
        <w:t xml:space="preserve"> </w:t>
      </w:r>
      <w:r>
        <w:rPr>
          <w:color w:val="231F20"/>
          <w:sz w:val="12"/>
        </w:rPr>
        <w:t>tří</w:t>
      </w:r>
      <w:r>
        <w:rPr>
          <w:color w:val="231F20"/>
          <w:spacing w:val="-9"/>
          <w:sz w:val="12"/>
        </w:rPr>
        <w:t xml:space="preserve"> </w:t>
      </w:r>
      <w:r>
        <w:rPr>
          <w:color w:val="231F20"/>
          <w:sz w:val="12"/>
        </w:rPr>
        <w:t>kloubů</w:t>
      </w:r>
      <w:r>
        <w:rPr>
          <w:color w:val="231F20"/>
          <w:spacing w:val="-9"/>
          <w:sz w:val="12"/>
        </w:rPr>
        <w:t xml:space="preserve"> </w:t>
      </w:r>
      <w:r>
        <w:rPr>
          <w:color w:val="231F20"/>
          <w:sz w:val="12"/>
        </w:rPr>
        <w:t>jednoho</w:t>
      </w:r>
      <w:r>
        <w:rPr>
          <w:color w:val="231F20"/>
          <w:spacing w:val="-9"/>
          <w:sz w:val="12"/>
        </w:rPr>
        <w:t xml:space="preserve"> </w:t>
      </w:r>
      <w:r>
        <w:rPr>
          <w:color w:val="231F20"/>
          <w:sz w:val="12"/>
        </w:rPr>
        <w:t>z</w:t>
      </w:r>
      <w:r>
        <w:rPr>
          <w:color w:val="231F20"/>
          <w:spacing w:val="-10"/>
          <w:sz w:val="12"/>
        </w:rPr>
        <w:t xml:space="preserve"> </w:t>
      </w:r>
      <w:r>
        <w:rPr>
          <w:color w:val="231F20"/>
          <w:spacing w:val="-3"/>
          <w:sz w:val="12"/>
        </w:rPr>
        <w:t xml:space="preserve">těchto </w:t>
      </w:r>
      <w:r>
        <w:rPr>
          <w:color w:val="231F20"/>
          <w:sz w:val="12"/>
        </w:rPr>
        <w:t>prstů v krajním natažení nebo</w:t>
      </w:r>
      <w:r>
        <w:rPr>
          <w:color w:val="231F20"/>
          <w:spacing w:val="-18"/>
          <w:sz w:val="12"/>
        </w:rPr>
        <w:t xml:space="preserve"> </w:t>
      </w:r>
      <w:r>
        <w:rPr>
          <w:color w:val="231F20"/>
          <w:sz w:val="12"/>
        </w:rPr>
        <w:t>ohnutí</w:t>
      </w:r>
    </w:p>
    <w:p w14:paraId="348A92EF" w14:textId="77777777" w:rsidR="00F65BCA" w:rsidRDefault="00216117">
      <w:pPr>
        <w:pStyle w:val="Odstavecseseznamem"/>
        <w:numPr>
          <w:ilvl w:val="0"/>
          <w:numId w:val="29"/>
        </w:numPr>
        <w:tabs>
          <w:tab w:val="left" w:pos="456"/>
        </w:tabs>
        <w:spacing w:before="43"/>
        <w:ind w:hanging="273"/>
        <w:rPr>
          <w:sz w:val="12"/>
        </w:rPr>
      </w:pPr>
      <w:r>
        <w:rPr>
          <w:color w:val="231F20"/>
          <w:sz w:val="12"/>
        </w:rPr>
        <w:t>vpravo</w:t>
      </w:r>
    </w:p>
    <w:p w14:paraId="4333B962" w14:textId="77777777" w:rsidR="00F65BCA" w:rsidRDefault="00216117">
      <w:pPr>
        <w:pStyle w:val="Odstavecseseznamem"/>
        <w:numPr>
          <w:ilvl w:val="0"/>
          <w:numId w:val="29"/>
        </w:numPr>
        <w:tabs>
          <w:tab w:val="left" w:pos="456"/>
        </w:tabs>
        <w:spacing w:before="35"/>
        <w:ind w:hanging="273"/>
        <w:rPr>
          <w:sz w:val="12"/>
        </w:rPr>
      </w:pPr>
      <w:r>
        <w:rPr>
          <w:color w:val="231F20"/>
          <w:sz w:val="12"/>
        </w:rPr>
        <w:t>vlevo</w:t>
      </w:r>
    </w:p>
    <w:p w14:paraId="325BC749" w14:textId="77777777" w:rsidR="00F65BCA" w:rsidRDefault="00216117">
      <w:pPr>
        <w:spacing w:before="45" w:line="249" w:lineRule="auto"/>
        <w:ind w:left="455" w:right="4"/>
        <w:rPr>
          <w:sz w:val="12"/>
        </w:rPr>
      </w:pPr>
      <w:r>
        <w:rPr>
          <w:color w:val="231F20"/>
          <w:sz w:val="12"/>
        </w:rPr>
        <w:t xml:space="preserve">Nemožnost úplného natažení některého z </w:t>
      </w:r>
      <w:r>
        <w:rPr>
          <w:color w:val="231F20"/>
          <w:spacing w:val="-4"/>
          <w:sz w:val="12"/>
        </w:rPr>
        <w:t xml:space="preserve">klou- </w:t>
      </w:r>
      <w:r>
        <w:rPr>
          <w:color w:val="231F20"/>
          <w:sz w:val="12"/>
        </w:rPr>
        <w:t>bů jednoho z těchto prstů</w:t>
      </w:r>
    </w:p>
    <w:p w14:paraId="05F8F777" w14:textId="77777777" w:rsidR="00F65BCA" w:rsidRDefault="00216117">
      <w:pPr>
        <w:pStyle w:val="Odstavecseseznamem"/>
        <w:numPr>
          <w:ilvl w:val="0"/>
          <w:numId w:val="29"/>
        </w:numPr>
        <w:tabs>
          <w:tab w:val="left" w:pos="456"/>
        </w:tabs>
        <w:spacing w:before="43"/>
        <w:ind w:hanging="273"/>
        <w:rPr>
          <w:sz w:val="12"/>
        </w:rPr>
      </w:pPr>
      <w:r>
        <w:rPr>
          <w:color w:val="231F20"/>
          <w:sz w:val="12"/>
        </w:rPr>
        <w:t>vpravo</w:t>
      </w:r>
    </w:p>
    <w:p w14:paraId="3B3A4FB2" w14:textId="77777777" w:rsidR="00F65BCA" w:rsidRDefault="00000000">
      <w:pPr>
        <w:pStyle w:val="Odstavecseseznamem"/>
        <w:numPr>
          <w:ilvl w:val="0"/>
          <w:numId w:val="29"/>
        </w:numPr>
        <w:tabs>
          <w:tab w:val="left" w:pos="456"/>
        </w:tabs>
        <w:spacing w:before="38"/>
        <w:ind w:hanging="273"/>
        <w:rPr>
          <w:sz w:val="12"/>
        </w:rPr>
      </w:pPr>
      <w:r>
        <w:pict w14:anchorId="11471F9F">
          <v:shape id="_x0000_s1563" type="#_x0000_t202" style="position:absolute;left:0;text-align:left;margin-left:469.35pt;margin-top:33.8pt;width:86.3pt;height:11.7pt;z-index:-299226112;mso-position-horizontal-relative:page" filled="f" stroked="f">
            <v:textbox inset="0,0,0,0">
              <w:txbxContent>
                <w:p w14:paraId="48351A92" w14:textId="77777777" w:rsidR="00F65BCA" w:rsidRDefault="00216117">
                  <w:pPr>
                    <w:spacing w:before="3"/>
                    <w:rPr>
                      <w:sz w:val="16"/>
                    </w:rPr>
                  </w:pPr>
                  <w:r>
                    <w:rPr>
                      <w:color w:val="231F20"/>
                      <w:sz w:val="16"/>
                    </w:rPr>
                    <w:t xml:space="preserve">Oceňovací tabulky </w:t>
                  </w:r>
                  <w:r>
                    <w:rPr>
                      <w:color w:val="6D6E71"/>
                      <w:sz w:val="20"/>
                    </w:rPr>
                    <w:t xml:space="preserve">| </w:t>
                  </w:r>
                  <w:r>
                    <w:rPr>
                      <w:color w:val="231F20"/>
                      <w:sz w:val="16"/>
                    </w:rPr>
                    <w:t>39</w:t>
                  </w:r>
                </w:p>
              </w:txbxContent>
            </v:textbox>
            <w10:wrap anchorx="page"/>
          </v:shape>
        </w:pict>
      </w:r>
      <w:r w:rsidR="00216117">
        <w:rPr>
          <w:color w:val="231F20"/>
          <w:sz w:val="12"/>
        </w:rPr>
        <w:t>vlevo</w:t>
      </w:r>
    </w:p>
    <w:p w14:paraId="471033BC" w14:textId="77777777" w:rsidR="00F65BCA" w:rsidRDefault="00216117">
      <w:pPr>
        <w:spacing w:before="32"/>
        <w:ind w:left="250"/>
        <w:rPr>
          <w:sz w:val="12"/>
        </w:rPr>
      </w:pPr>
      <w:r>
        <w:br w:type="column"/>
      </w:r>
      <w:r>
        <w:rPr>
          <w:color w:val="231F20"/>
          <w:sz w:val="12"/>
        </w:rPr>
        <w:t>2</w:t>
      </w:r>
      <w:r>
        <w:rPr>
          <w:color w:val="231F20"/>
          <w:spacing w:val="-20"/>
          <w:sz w:val="12"/>
        </w:rPr>
        <w:t xml:space="preserve"> </w:t>
      </w:r>
      <w:r>
        <w:rPr>
          <w:color w:val="231F20"/>
          <w:sz w:val="12"/>
        </w:rPr>
        <w:t>%</w:t>
      </w:r>
    </w:p>
    <w:p w14:paraId="539D857E" w14:textId="77777777" w:rsidR="00F65BCA" w:rsidRDefault="00216117">
      <w:pPr>
        <w:spacing w:before="32"/>
        <w:ind w:left="250"/>
        <w:rPr>
          <w:sz w:val="12"/>
        </w:rPr>
      </w:pPr>
      <w:r>
        <w:rPr>
          <w:color w:val="231F20"/>
          <w:sz w:val="12"/>
        </w:rPr>
        <w:t>1</w:t>
      </w:r>
      <w:r>
        <w:rPr>
          <w:color w:val="231F20"/>
          <w:spacing w:val="-20"/>
          <w:sz w:val="12"/>
        </w:rPr>
        <w:t xml:space="preserve"> </w:t>
      </w:r>
      <w:r>
        <w:rPr>
          <w:color w:val="231F20"/>
          <w:sz w:val="12"/>
        </w:rPr>
        <w:t>%</w:t>
      </w:r>
    </w:p>
    <w:p w14:paraId="5D171694" w14:textId="77777777" w:rsidR="00F65BCA" w:rsidRDefault="00F65BCA">
      <w:pPr>
        <w:pStyle w:val="Zkladntext"/>
        <w:spacing w:before="7"/>
        <w:rPr>
          <w:sz w:val="17"/>
        </w:rPr>
      </w:pPr>
    </w:p>
    <w:p w14:paraId="59CA0381" w14:textId="77777777" w:rsidR="00F65BCA" w:rsidRDefault="00216117">
      <w:pPr>
        <w:ind w:left="183"/>
        <w:rPr>
          <w:sz w:val="12"/>
        </w:rPr>
      </w:pPr>
      <w:r>
        <w:rPr>
          <w:color w:val="231F20"/>
          <w:sz w:val="12"/>
        </w:rPr>
        <w:t>12</w:t>
      </w:r>
      <w:r>
        <w:rPr>
          <w:color w:val="231F20"/>
          <w:spacing w:val="-20"/>
          <w:sz w:val="12"/>
        </w:rPr>
        <w:t xml:space="preserve"> </w:t>
      </w:r>
      <w:r>
        <w:rPr>
          <w:color w:val="231F20"/>
          <w:sz w:val="12"/>
        </w:rPr>
        <w:t>%</w:t>
      </w:r>
    </w:p>
    <w:p w14:paraId="35F5609A" w14:textId="77777777" w:rsidR="00F65BCA" w:rsidRDefault="00216117">
      <w:pPr>
        <w:spacing w:before="32"/>
        <w:ind w:left="250"/>
        <w:rPr>
          <w:sz w:val="12"/>
        </w:rPr>
      </w:pPr>
      <w:r>
        <w:rPr>
          <w:color w:val="231F20"/>
          <w:sz w:val="12"/>
        </w:rPr>
        <w:t>9</w:t>
      </w:r>
      <w:r>
        <w:rPr>
          <w:color w:val="231F20"/>
          <w:spacing w:val="-20"/>
          <w:sz w:val="12"/>
        </w:rPr>
        <w:t xml:space="preserve"> </w:t>
      </w:r>
      <w:r>
        <w:rPr>
          <w:color w:val="231F20"/>
          <w:sz w:val="12"/>
        </w:rPr>
        <w:t>%</w:t>
      </w:r>
    </w:p>
    <w:p w14:paraId="2187CDA3" w14:textId="77777777" w:rsidR="00F65BCA" w:rsidRDefault="00F65BCA">
      <w:pPr>
        <w:pStyle w:val="Zkladntext"/>
        <w:spacing w:before="7"/>
        <w:rPr>
          <w:sz w:val="17"/>
        </w:rPr>
      </w:pPr>
    </w:p>
    <w:p w14:paraId="71E8A9F3" w14:textId="77777777" w:rsidR="00F65BCA" w:rsidRDefault="00216117">
      <w:pPr>
        <w:ind w:left="183"/>
        <w:rPr>
          <w:sz w:val="12"/>
        </w:rPr>
      </w:pPr>
      <w:r>
        <w:rPr>
          <w:color w:val="231F20"/>
          <w:sz w:val="12"/>
        </w:rPr>
        <w:t>22</w:t>
      </w:r>
      <w:r>
        <w:rPr>
          <w:color w:val="231F20"/>
          <w:spacing w:val="-20"/>
          <w:sz w:val="12"/>
        </w:rPr>
        <w:t xml:space="preserve"> </w:t>
      </w:r>
      <w:r>
        <w:rPr>
          <w:color w:val="231F20"/>
          <w:sz w:val="12"/>
        </w:rPr>
        <w:t>%</w:t>
      </w:r>
    </w:p>
    <w:p w14:paraId="05CCB0EA" w14:textId="77777777" w:rsidR="00F65BCA" w:rsidRDefault="00216117">
      <w:pPr>
        <w:spacing w:before="32"/>
        <w:ind w:left="183"/>
        <w:rPr>
          <w:sz w:val="12"/>
        </w:rPr>
      </w:pPr>
      <w:r>
        <w:rPr>
          <w:color w:val="231F20"/>
          <w:sz w:val="12"/>
        </w:rPr>
        <w:t>19</w:t>
      </w:r>
      <w:r>
        <w:rPr>
          <w:color w:val="231F20"/>
          <w:spacing w:val="-20"/>
          <w:sz w:val="12"/>
        </w:rPr>
        <w:t xml:space="preserve"> </w:t>
      </w:r>
      <w:r>
        <w:rPr>
          <w:color w:val="231F20"/>
          <w:sz w:val="12"/>
        </w:rPr>
        <w:t>%</w:t>
      </w:r>
    </w:p>
    <w:p w14:paraId="18ABA833" w14:textId="77777777" w:rsidR="00F65BCA" w:rsidRDefault="00F65BCA">
      <w:pPr>
        <w:pStyle w:val="Zkladntext"/>
        <w:rPr>
          <w:sz w:val="14"/>
        </w:rPr>
      </w:pPr>
    </w:p>
    <w:p w14:paraId="0C605FEE" w14:textId="77777777" w:rsidR="00F65BCA" w:rsidRDefault="00F65BCA">
      <w:pPr>
        <w:pStyle w:val="Zkladntext"/>
        <w:spacing w:before="4"/>
        <w:rPr>
          <w:sz w:val="18"/>
        </w:rPr>
      </w:pPr>
    </w:p>
    <w:p w14:paraId="684CF82A" w14:textId="77777777" w:rsidR="00F65BCA" w:rsidRDefault="00216117">
      <w:pPr>
        <w:ind w:left="183"/>
        <w:rPr>
          <w:sz w:val="12"/>
        </w:rPr>
      </w:pPr>
      <w:r>
        <w:rPr>
          <w:color w:val="231F20"/>
          <w:sz w:val="12"/>
        </w:rPr>
        <w:t>18</w:t>
      </w:r>
      <w:r>
        <w:rPr>
          <w:color w:val="231F20"/>
          <w:spacing w:val="-20"/>
          <w:sz w:val="12"/>
        </w:rPr>
        <w:t xml:space="preserve"> </w:t>
      </w:r>
      <w:r>
        <w:rPr>
          <w:color w:val="231F20"/>
          <w:sz w:val="12"/>
        </w:rPr>
        <w:t>%</w:t>
      </w:r>
    </w:p>
    <w:p w14:paraId="6BD940C4" w14:textId="77777777" w:rsidR="00F65BCA" w:rsidRDefault="00216117">
      <w:pPr>
        <w:spacing w:before="32"/>
        <w:ind w:left="183"/>
        <w:rPr>
          <w:sz w:val="12"/>
        </w:rPr>
      </w:pPr>
      <w:r>
        <w:rPr>
          <w:color w:val="231F20"/>
          <w:sz w:val="12"/>
        </w:rPr>
        <w:t>16</w:t>
      </w:r>
      <w:r>
        <w:rPr>
          <w:color w:val="231F20"/>
          <w:spacing w:val="-20"/>
          <w:sz w:val="12"/>
        </w:rPr>
        <w:t xml:space="preserve"> </w:t>
      </w:r>
      <w:r>
        <w:rPr>
          <w:color w:val="231F20"/>
          <w:sz w:val="12"/>
        </w:rPr>
        <w:t>%</w:t>
      </w:r>
    </w:p>
    <w:p w14:paraId="0896936C" w14:textId="77777777" w:rsidR="00F65BCA" w:rsidRDefault="00F65BCA">
      <w:pPr>
        <w:pStyle w:val="Zkladntext"/>
        <w:spacing w:before="7"/>
        <w:rPr>
          <w:sz w:val="17"/>
        </w:rPr>
      </w:pPr>
    </w:p>
    <w:p w14:paraId="13A23F39" w14:textId="77777777" w:rsidR="00F65BCA" w:rsidRDefault="00216117">
      <w:pPr>
        <w:ind w:left="183"/>
        <w:rPr>
          <w:sz w:val="12"/>
        </w:rPr>
      </w:pPr>
      <w:r>
        <w:rPr>
          <w:color w:val="231F20"/>
          <w:sz w:val="12"/>
        </w:rPr>
        <w:t>14</w:t>
      </w:r>
      <w:r>
        <w:rPr>
          <w:color w:val="231F20"/>
          <w:spacing w:val="-20"/>
          <w:sz w:val="12"/>
        </w:rPr>
        <w:t xml:space="preserve"> </w:t>
      </w:r>
      <w:r>
        <w:rPr>
          <w:color w:val="231F20"/>
          <w:sz w:val="12"/>
        </w:rPr>
        <w:t>%</w:t>
      </w:r>
    </w:p>
    <w:p w14:paraId="52602EE5" w14:textId="77777777" w:rsidR="00F65BCA" w:rsidRDefault="00216117">
      <w:pPr>
        <w:spacing w:before="32"/>
        <w:ind w:left="183"/>
        <w:rPr>
          <w:sz w:val="12"/>
        </w:rPr>
      </w:pPr>
      <w:r>
        <w:rPr>
          <w:color w:val="231F20"/>
          <w:sz w:val="12"/>
        </w:rPr>
        <w:t>12</w:t>
      </w:r>
      <w:r>
        <w:rPr>
          <w:color w:val="231F20"/>
          <w:spacing w:val="-20"/>
          <w:sz w:val="12"/>
        </w:rPr>
        <w:t xml:space="preserve"> </w:t>
      </w:r>
      <w:r>
        <w:rPr>
          <w:color w:val="231F20"/>
          <w:sz w:val="12"/>
        </w:rPr>
        <w:t>%</w:t>
      </w:r>
    </w:p>
    <w:p w14:paraId="4EF3E214" w14:textId="77777777" w:rsidR="00F65BCA" w:rsidRDefault="00F65BCA">
      <w:pPr>
        <w:pStyle w:val="Zkladntext"/>
        <w:spacing w:before="7"/>
        <w:rPr>
          <w:sz w:val="17"/>
        </w:rPr>
      </w:pPr>
    </w:p>
    <w:p w14:paraId="7D34FFC4" w14:textId="77777777" w:rsidR="00F65BCA" w:rsidRDefault="00216117">
      <w:pPr>
        <w:ind w:left="183"/>
        <w:rPr>
          <w:sz w:val="12"/>
        </w:rPr>
      </w:pPr>
      <w:r>
        <w:rPr>
          <w:color w:val="231F20"/>
          <w:sz w:val="12"/>
        </w:rPr>
        <w:t>12</w:t>
      </w:r>
      <w:r>
        <w:rPr>
          <w:color w:val="231F20"/>
          <w:spacing w:val="-20"/>
          <w:sz w:val="12"/>
        </w:rPr>
        <w:t xml:space="preserve"> </w:t>
      </w:r>
      <w:r>
        <w:rPr>
          <w:color w:val="231F20"/>
          <w:sz w:val="12"/>
        </w:rPr>
        <w:t>%</w:t>
      </w:r>
    </w:p>
    <w:p w14:paraId="7544EE9F" w14:textId="77777777" w:rsidR="00F65BCA" w:rsidRDefault="00216117">
      <w:pPr>
        <w:spacing w:before="32"/>
        <w:ind w:left="183"/>
        <w:rPr>
          <w:sz w:val="12"/>
        </w:rPr>
      </w:pPr>
      <w:r>
        <w:rPr>
          <w:color w:val="231F20"/>
          <w:sz w:val="12"/>
        </w:rPr>
        <w:t>10</w:t>
      </w:r>
      <w:r>
        <w:rPr>
          <w:color w:val="231F20"/>
          <w:spacing w:val="-20"/>
          <w:sz w:val="12"/>
        </w:rPr>
        <w:t xml:space="preserve"> </w:t>
      </w:r>
      <w:r>
        <w:rPr>
          <w:color w:val="231F20"/>
          <w:sz w:val="12"/>
        </w:rPr>
        <w:t>%</w:t>
      </w:r>
    </w:p>
    <w:p w14:paraId="708343AB" w14:textId="77777777" w:rsidR="00F65BCA" w:rsidRDefault="00F65BCA">
      <w:pPr>
        <w:pStyle w:val="Zkladntext"/>
        <w:spacing w:before="6"/>
        <w:rPr>
          <w:sz w:val="17"/>
        </w:rPr>
      </w:pPr>
    </w:p>
    <w:p w14:paraId="76C7E556" w14:textId="77777777" w:rsidR="00F65BCA" w:rsidRDefault="00216117">
      <w:pPr>
        <w:spacing w:before="1"/>
        <w:ind w:left="250"/>
        <w:rPr>
          <w:sz w:val="12"/>
        </w:rPr>
      </w:pPr>
      <w:r>
        <w:rPr>
          <w:color w:val="231F20"/>
          <w:sz w:val="12"/>
        </w:rPr>
        <w:t>9</w:t>
      </w:r>
      <w:r>
        <w:rPr>
          <w:color w:val="231F20"/>
          <w:spacing w:val="-20"/>
          <w:sz w:val="12"/>
        </w:rPr>
        <w:t xml:space="preserve"> </w:t>
      </w:r>
      <w:r>
        <w:rPr>
          <w:color w:val="231F20"/>
          <w:sz w:val="12"/>
        </w:rPr>
        <w:t>%</w:t>
      </w:r>
    </w:p>
    <w:p w14:paraId="6DB61BEF" w14:textId="77777777" w:rsidR="00F65BCA" w:rsidRDefault="00216117">
      <w:pPr>
        <w:spacing w:before="32"/>
        <w:ind w:left="250"/>
        <w:rPr>
          <w:sz w:val="12"/>
        </w:rPr>
      </w:pPr>
      <w:r>
        <w:rPr>
          <w:color w:val="231F20"/>
          <w:sz w:val="12"/>
        </w:rPr>
        <w:t>8</w:t>
      </w:r>
      <w:r>
        <w:rPr>
          <w:color w:val="231F20"/>
          <w:spacing w:val="-20"/>
          <w:sz w:val="12"/>
        </w:rPr>
        <w:t xml:space="preserve"> </w:t>
      </w:r>
      <w:r>
        <w:rPr>
          <w:color w:val="231F20"/>
          <w:sz w:val="12"/>
        </w:rPr>
        <w:t>%</w:t>
      </w:r>
    </w:p>
    <w:p w14:paraId="7E5A9E3A" w14:textId="77777777" w:rsidR="00F65BCA" w:rsidRDefault="00F65BCA">
      <w:pPr>
        <w:pStyle w:val="Zkladntext"/>
        <w:rPr>
          <w:sz w:val="14"/>
        </w:rPr>
      </w:pPr>
    </w:p>
    <w:p w14:paraId="75750164" w14:textId="77777777" w:rsidR="00F65BCA" w:rsidRDefault="00F65BCA">
      <w:pPr>
        <w:pStyle w:val="Zkladntext"/>
        <w:spacing w:before="10"/>
      </w:pPr>
    </w:p>
    <w:p w14:paraId="24C34FF1" w14:textId="77777777" w:rsidR="00F65BCA" w:rsidRDefault="00216117">
      <w:pPr>
        <w:ind w:left="183"/>
        <w:rPr>
          <w:sz w:val="12"/>
        </w:rPr>
      </w:pPr>
      <w:r>
        <w:rPr>
          <w:color w:val="231F20"/>
          <w:sz w:val="12"/>
        </w:rPr>
        <w:t>14</w:t>
      </w:r>
      <w:r>
        <w:rPr>
          <w:color w:val="231F20"/>
          <w:spacing w:val="-20"/>
          <w:sz w:val="12"/>
        </w:rPr>
        <w:t xml:space="preserve"> </w:t>
      </w:r>
      <w:r>
        <w:rPr>
          <w:color w:val="231F20"/>
          <w:sz w:val="12"/>
        </w:rPr>
        <w:t>%</w:t>
      </w:r>
    </w:p>
    <w:p w14:paraId="73DE98B4" w14:textId="77777777" w:rsidR="00F65BCA" w:rsidRDefault="00216117">
      <w:pPr>
        <w:spacing w:before="32"/>
        <w:ind w:left="183"/>
        <w:rPr>
          <w:sz w:val="12"/>
        </w:rPr>
      </w:pPr>
      <w:r>
        <w:rPr>
          <w:color w:val="231F20"/>
          <w:sz w:val="12"/>
        </w:rPr>
        <w:t>12</w:t>
      </w:r>
      <w:r>
        <w:rPr>
          <w:color w:val="231F20"/>
          <w:spacing w:val="-20"/>
          <w:sz w:val="12"/>
        </w:rPr>
        <w:t xml:space="preserve"> </w:t>
      </w:r>
      <w:r>
        <w:rPr>
          <w:color w:val="231F20"/>
          <w:sz w:val="12"/>
        </w:rPr>
        <w:t>%</w:t>
      </w:r>
    </w:p>
    <w:p w14:paraId="3D952E85" w14:textId="77777777" w:rsidR="00F65BCA" w:rsidRDefault="00F65BCA">
      <w:pPr>
        <w:pStyle w:val="Zkladntext"/>
        <w:rPr>
          <w:sz w:val="14"/>
        </w:rPr>
      </w:pPr>
    </w:p>
    <w:p w14:paraId="1F268B58" w14:textId="77777777" w:rsidR="00F65BCA" w:rsidRDefault="00F65BCA">
      <w:pPr>
        <w:pStyle w:val="Zkladntext"/>
        <w:spacing w:before="10"/>
      </w:pPr>
    </w:p>
    <w:p w14:paraId="24BC7F72" w14:textId="77777777" w:rsidR="00F65BCA" w:rsidRDefault="00216117">
      <w:pPr>
        <w:spacing w:before="1"/>
        <w:ind w:left="183"/>
        <w:rPr>
          <w:sz w:val="12"/>
        </w:rPr>
      </w:pPr>
      <w:r>
        <w:rPr>
          <w:color w:val="231F20"/>
          <w:sz w:val="12"/>
        </w:rPr>
        <w:t>17</w:t>
      </w:r>
      <w:r>
        <w:rPr>
          <w:color w:val="231F20"/>
          <w:spacing w:val="-20"/>
          <w:sz w:val="12"/>
        </w:rPr>
        <w:t xml:space="preserve"> </w:t>
      </w:r>
      <w:r>
        <w:rPr>
          <w:color w:val="231F20"/>
          <w:sz w:val="12"/>
        </w:rPr>
        <w:t>%</w:t>
      </w:r>
    </w:p>
    <w:p w14:paraId="6E71EF09" w14:textId="77777777" w:rsidR="00F65BCA" w:rsidRDefault="00216117">
      <w:pPr>
        <w:spacing w:before="32"/>
        <w:ind w:left="183"/>
        <w:rPr>
          <w:sz w:val="12"/>
        </w:rPr>
      </w:pPr>
      <w:r>
        <w:rPr>
          <w:color w:val="231F20"/>
          <w:sz w:val="12"/>
        </w:rPr>
        <w:t>15</w:t>
      </w:r>
      <w:r>
        <w:rPr>
          <w:color w:val="231F20"/>
          <w:spacing w:val="-20"/>
          <w:sz w:val="12"/>
        </w:rPr>
        <w:t xml:space="preserve"> </w:t>
      </w:r>
      <w:r>
        <w:rPr>
          <w:color w:val="231F20"/>
          <w:sz w:val="12"/>
        </w:rPr>
        <w:t>%</w:t>
      </w:r>
    </w:p>
    <w:p w14:paraId="23EC1612" w14:textId="77777777" w:rsidR="00F65BCA" w:rsidRDefault="00F65BCA">
      <w:pPr>
        <w:pStyle w:val="Zkladntext"/>
        <w:rPr>
          <w:sz w:val="14"/>
        </w:rPr>
      </w:pPr>
    </w:p>
    <w:p w14:paraId="3317764C" w14:textId="77777777" w:rsidR="00F65BCA" w:rsidRDefault="00F65BCA">
      <w:pPr>
        <w:pStyle w:val="Zkladntext"/>
        <w:spacing w:before="4"/>
        <w:rPr>
          <w:sz w:val="16"/>
        </w:rPr>
      </w:pPr>
    </w:p>
    <w:p w14:paraId="26221F92" w14:textId="77777777" w:rsidR="00F65BCA" w:rsidRDefault="00216117">
      <w:pPr>
        <w:ind w:left="250"/>
        <w:rPr>
          <w:sz w:val="12"/>
        </w:rPr>
      </w:pPr>
      <w:r>
        <w:rPr>
          <w:color w:val="231F20"/>
          <w:sz w:val="12"/>
        </w:rPr>
        <w:t>2</w:t>
      </w:r>
      <w:r>
        <w:rPr>
          <w:color w:val="231F20"/>
          <w:spacing w:val="-20"/>
          <w:sz w:val="12"/>
        </w:rPr>
        <w:t xml:space="preserve"> </w:t>
      </w:r>
      <w:r>
        <w:rPr>
          <w:color w:val="231F20"/>
          <w:sz w:val="12"/>
        </w:rPr>
        <w:t>%</w:t>
      </w:r>
    </w:p>
    <w:p w14:paraId="0621F557" w14:textId="77777777" w:rsidR="00F65BCA" w:rsidRDefault="00216117">
      <w:pPr>
        <w:spacing w:before="44"/>
        <w:ind w:left="250"/>
        <w:rPr>
          <w:sz w:val="12"/>
        </w:rPr>
      </w:pPr>
      <w:r>
        <w:rPr>
          <w:color w:val="231F20"/>
          <w:sz w:val="12"/>
        </w:rPr>
        <w:t>1</w:t>
      </w:r>
      <w:r>
        <w:rPr>
          <w:color w:val="231F20"/>
          <w:spacing w:val="-20"/>
          <w:sz w:val="12"/>
        </w:rPr>
        <w:t xml:space="preserve"> </w:t>
      </w:r>
      <w:r>
        <w:rPr>
          <w:color w:val="231F20"/>
          <w:sz w:val="12"/>
        </w:rPr>
        <w:t>%</w:t>
      </w:r>
    </w:p>
    <w:p w14:paraId="5FCDC127" w14:textId="77777777" w:rsidR="00F65BCA" w:rsidRDefault="00F65BCA">
      <w:pPr>
        <w:pStyle w:val="Zkladntext"/>
        <w:rPr>
          <w:sz w:val="14"/>
        </w:rPr>
      </w:pPr>
    </w:p>
    <w:p w14:paraId="7377D7FF" w14:textId="77777777" w:rsidR="00F65BCA" w:rsidRDefault="00F65BCA">
      <w:pPr>
        <w:pStyle w:val="Zkladntext"/>
        <w:rPr>
          <w:sz w:val="14"/>
        </w:rPr>
      </w:pPr>
    </w:p>
    <w:p w14:paraId="57A641E1" w14:textId="77777777" w:rsidR="00F65BCA" w:rsidRDefault="00F65BCA">
      <w:pPr>
        <w:pStyle w:val="Zkladntext"/>
        <w:rPr>
          <w:sz w:val="14"/>
        </w:rPr>
      </w:pPr>
    </w:p>
    <w:p w14:paraId="203A327A" w14:textId="77777777" w:rsidR="00F65BCA" w:rsidRDefault="00F65BCA">
      <w:pPr>
        <w:pStyle w:val="Zkladntext"/>
        <w:rPr>
          <w:sz w:val="14"/>
        </w:rPr>
      </w:pPr>
    </w:p>
    <w:p w14:paraId="73AF2EB6" w14:textId="77777777" w:rsidR="00F65BCA" w:rsidRDefault="00F65BCA">
      <w:pPr>
        <w:pStyle w:val="Zkladntext"/>
        <w:rPr>
          <w:sz w:val="14"/>
        </w:rPr>
      </w:pPr>
    </w:p>
    <w:p w14:paraId="229FE565" w14:textId="77777777" w:rsidR="00F65BCA" w:rsidRDefault="00216117">
      <w:pPr>
        <w:spacing w:before="97"/>
        <w:ind w:left="250"/>
        <w:rPr>
          <w:sz w:val="12"/>
        </w:rPr>
      </w:pPr>
      <w:r>
        <w:rPr>
          <w:color w:val="231F20"/>
          <w:sz w:val="12"/>
        </w:rPr>
        <w:t>3</w:t>
      </w:r>
      <w:r>
        <w:rPr>
          <w:color w:val="231F20"/>
          <w:spacing w:val="-20"/>
          <w:sz w:val="12"/>
        </w:rPr>
        <w:t xml:space="preserve"> </w:t>
      </w:r>
      <w:r>
        <w:rPr>
          <w:color w:val="231F20"/>
          <w:sz w:val="12"/>
        </w:rPr>
        <w:t>%</w:t>
      </w:r>
    </w:p>
    <w:p w14:paraId="6B300F1B" w14:textId="77777777" w:rsidR="00F65BCA" w:rsidRDefault="00216117">
      <w:pPr>
        <w:spacing w:before="38"/>
        <w:ind w:left="250"/>
        <w:rPr>
          <w:sz w:val="12"/>
        </w:rPr>
      </w:pPr>
      <w:r>
        <w:rPr>
          <w:color w:val="231F20"/>
          <w:sz w:val="12"/>
        </w:rPr>
        <w:t>2</w:t>
      </w:r>
      <w:r>
        <w:rPr>
          <w:color w:val="231F20"/>
          <w:spacing w:val="-20"/>
          <w:sz w:val="12"/>
        </w:rPr>
        <w:t xml:space="preserve"> </w:t>
      </w:r>
      <w:r>
        <w:rPr>
          <w:color w:val="231F20"/>
          <w:sz w:val="12"/>
        </w:rPr>
        <w:t>%</w:t>
      </w:r>
    </w:p>
    <w:p w14:paraId="2DC08096" w14:textId="77777777" w:rsidR="00F65BCA" w:rsidRDefault="00F65BCA">
      <w:pPr>
        <w:pStyle w:val="Zkladntext"/>
        <w:spacing w:before="6"/>
        <w:rPr>
          <w:sz w:val="18"/>
        </w:rPr>
      </w:pPr>
    </w:p>
    <w:p w14:paraId="4D11C50C" w14:textId="77777777" w:rsidR="00F65BCA" w:rsidRDefault="00216117">
      <w:pPr>
        <w:ind w:left="250"/>
        <w:rPr>
          <w:sz w:val="12"/>
        </w:rPr>
      </w:pPr>
      <w:r>
        <w:rPr>
          <w:color w:val="231F20"/>
          <w:sz w:val="12"/>
        </w:rPr>
        <w:t>5</w:t>
      </w:r>
      <w:r>
        <w:rPr>
          <w:color w:val="231F20"/>
          <w:spacing w:val="-20"/>
          <w:sz w:val="12"/>
        </w:rPr>
        <w:t xml:space="preserve"> </w:t>
      </w:r>
      <w:r>
        <w:rPr>
          <w:color w:val="231F20"/>
          <w:sz w:val="12"/>
        </w:rPr>
        <w:t>%</w:t>
      </w:r>
    </w:p>
    <w:p w14:paraId="3DC12CEF" w14:textId="77777777" w:rsidR="00F65BCA" w:rsidRDefault="00216117">
      <w:pPr>
        <w:spacing w:before="38"/>
        <w:ind w:left="250"/>
        <w:rPr>
          <w:sz w:val="12"/>
        </w:rPr>
      </w:pPr>
      <w:r>
        <w:rPr>
          <w:color w:val="231F20"/>
          <w:sz w:val="12"/>
        </w:rPr>
        <w:t>3</w:t>
      </w:r>
      <w:r>
        <w:rPr>
          <w:color w:val="231F20"/>
          <w:spacing w:val="-20"/>
          <w:sz w:val="12"/>
        </w:rPr>
        <w:t xml:space="preserve"> </w:t>
      </w:r>
      <w:r>
        <w:rPr>
          <w:color w:val="231F20"/>
          <w:sz w:val="12"/>
        </w:rPr>
        <w:t>%</w:t>
      </w:r>
    </w:p>
    <w:p w14:paraId="36E5A2EB" w14:textId="77777777" w:rsidR="00F65BCA" w:rsidRDefault="00F65BCA">
      <w:pPr>
        <w:pStyle w:val="Zkladntext"/>
        <w:spacing w:before="7"/>
        <w:rPr>
          <w:sz w:val="18"/>
        </w:rPr>
      </w:pPr>
    </w:p>
    <w:p w14:paraId="22A7DFE6" w14:textId="77777777" w:rsidR="00F65BCA" w:rsidRDefault="00216117">
      <w:pPr>
        <w:ind w:left="183"/>
        <w:rPr>
          <w:sz w:val="12"/>
        </w:rPr>
      </w:pPr>
      <w:r>
        <w:rPr>
          <w:color w:val="231F20"/>
          <w:sz w:val="12"/>
        </w:rPr>
        <w:t>11</w:t>
      </w:r>
      <w:r>
        <w:rPr>
          <w:color w:val="231F20"/>
          <w:spacing w:val="-20"/>
          <w:sz w:val="12"/>
        </w:rPr>
        <w:t xml:space="preserve"> </w:t>
      </w:r>
      <w:r>
        <w:rPr>
          <w:color w:val="231F20"/>
          <w:sz w:val="12"/>
        </w:rPr>
        <w:t>%</w:t>
      </w:r>
    </w:p>
    <w:p w14:paraId="1D453BD2" w14:textId="77777777" w:rsidR="00F65BCA" w:rsidRDefault="00216117">
      <w:pPr>
        <w:spacing w:before="37"/>
        <w:ind w:left="250"/>
        <w:rPr>
          <w:sz w:val="12"/>
        </w:rPr>
      </w:pPr>
      <w:r>
        <w:rPr>
          <w:color w:val="231F20"/>
          <w:sz w:val="12"/>
        </w:rPr>
        <w:t>8</w:t>
      </w:r>
      <w:r>
        <w:rPr>
          <w:color w:val="231F20"/>
          <w:spacing w:val="-20"/>
          <w:sz w:val="12"/>
        </w:rPr>
        <w:t xml:space="preserve"> </w:t>
      </w:r>
      <w:r>
        <w:rPr>
          <w:color w:val="231F20"/>
          <w:sz w:val="12"/>
        </w:rPr>
        <w:t>%</w:t>
      </w:r>
    </w:p>
    <w:p w14:paraId="0414A2C9" w14:textId="77777777" w:rsidR="00F65BCA" w:rsidRDefault="00F65BCA">
      <w:pPr>
        <w:pStyle w:val="Zkladntext"/>
        <w:spacing w:before="7"/>
        <w:rPr>
          <w:sz w:val="18"/>
        </w:rPr>
      </w:pPr>
    </w:p>
    <w:p w14:paraId="26B5B50A" w14:textId="77777777" w:rsidR="00F65BCA" w:rsidRDefault="00216117">
      <w:pPr>
        <w:ind w:left="183"/>
        <w:rPr>
          <w:sz w:val="12"/>
        </w:rPr>
      </w:pPr>
      <w:r>
        <w:rPr>
          <w:color w:val="231F20"/>
          <w:sz w:val="12"/>
        </w:rPr>
        <w:t>14</w:t>
      </w:r>
      <w:r>
        <w:rPr>
          <w:color w:val="231F20"/>
          <w:spacing w:val="-20"/>
          <w:sz w:val="12"/>
        </w:rPr>
        <w:t xml:space="preserve"> </w:t>
      </w:r>
      <w:r>
        <w:rPr>
          <w:color w:val="231F20"/>
          <w:sz w:val="12"/>
        </w:rPr>
        <w:t>%</w:t>
      </w:r>
    </w:p>
    <w:p w14:paraId="23EF0711" w14:textId="77777777" w:rsidR="00F65BCA" w:rsidRDefault="00216117">
      <w:pPr>
        <w:spacing w:before="38"/>
        <w:ind w:left="183"/>
        <w:rPr>
          <w:sz w:val="12"/>
        </w:rPr>
      </w:pPr>
      <w:r>
        <w:rPr>
          <w:color w:val="231F20"/>
          <w:sz w:val="12"/>
        </w:rPr>
        <w:t>11</w:t>
      </w:r>
      <w:r>
        <w:rPr>
          <w:color w:val="231F20"/>
          <w:spacing w:val="-20"/>
          <w:sz w:val="12"/>
        </w:rPr>
        <w:t xml:space="preserve"> </w:t>
      </w:r>
      <w:r>
        <w:rPr>
          <w:color w:val="231F20"/>
          <w:sz w:val="12"/>
        </w:rPr>
        <w:t>%</w:t>
      </w:r>
    </w:p>
    <w:p w14:paraId="23EEE720" w14:textId="77777777" w:rsidR="00F65BCA" w:rsidRDefault="00F65BCA">
      <w:pPr>
        <w:pStyle w:val="Zkladntext"/>
        <w:rPr>
          <w:sz w:val="14"/>
        </w:rPr>
      </w:pPr>
    </w:p>
    <w:p w14:paraId="1F258933" w14:textId="77777777" w:rsidR="00F65BCA" w:rsidRDefault="00F65BCA">
      <w:pPr>
        <w:pStyle w:val="Zkladntext"/>
        <w:spacing w:before="9"/>
        <w:rPr>
          <w:sz w:val="19"/>
        </w:rPr>
      </w:pPr>
    </w:p>
    <w:p w14:paraId="7E0D2372" w14:textId="77777777" w:rsidR="00F65BCA" w:rsidRDefault="00216117">
      <w:pPr>
        <w:spacing w:before="1"/>
        <w:ind w:left="183"/>
        <w:rPr>
          <w:sz w:val="12"/>
        </w:rPr>
      </w:pPr>
      <w:r>
        <w:rPr>
          <w:color w:val="231F20"/>
          <w:sz w:val="12"/>
        </w:rPr>
        <w:t>11</w:t>
      </w:r>
      <w:r>
        <w:rPr>
          <w:color w:val="231F20"/>
          <w:spacing w:val="-20"/>
          <w:sz w:val="12"/>
        </w:rPr>
        <w:t xml:space="preserve"> </w:t>
      </w:r>
      <w:r>
        <w:rPr>
          <w:color w:val="231F20"/>
          <w:sz w:val="12"/>
        </w:rPr>
        <w:t>%</w:t>
      </w:r>
    </w:p>
    <w:p w14:paraId="5915B5E9" w14:textId="77777777" w:rsidR="00F65BCA" w:rsidRDefault="00216117">
      <w:pPr>
        <w:spacing w:before="37"/>
        <w:ind w:left="250"/>
        <w:rPr>
          <w:sz w:val="12"/>
        </w:rPr>
      </w:pPr>
      <w:r>
        <w:rPr>
          <w:color w:val="231F20"/>
          <w:sz w:val="12"/>
        </w:rPr>
        <w:t>9</w:t>
      </w:r>
      <w:r>
        <w:rPr>
          <w:color w:val="231F20"/>
          <w:spacing w:val="-20"/>
          <w:sz w:val="12"/>
        </w:rPr>
        <w:t xml:space="preserve"> </w:t>
      </w:r>
      <w:r>
        <w:rPr>
          <w:color w:val="231F20"/>
          <w:sz w:val="12"/>
        </w:rPr>
        <w:t>%</w:t>
      </w:r>
    </w:p>
    <w:p w14:paraId="30F0A242" w14:textId="77777777" w:rsidR="00F65BCA" w:rsidRDefault="00F65BCA">
      <w:pPr>
        <w:pStyle w:val="Zkladntext"/>
        <w:spacing w:before="7"/>
        <w:rPr>
          <w:sz w:val="18"/>
        </w:rPr>
      </w:pPr>
    </w:p>
    <w:p w14:paraId="1A8D860F" w14:textId="77777777" w:rsidR="00F65BCA" w:rsidRDefault="00216117">
      <w:pPr>
        <w:ind w:left="250"/>
        <w:rPr>
          <w:sz w:val="12"/>
        </w:rPr>
      </w:pPr>
      <w:r>
        <w:rPr>
          <w:color w:val="231F20"/>
          <w:sz w:val="12"/>
        </w:rPr>
        <w:t>9</w:t>
      </w:r>
      <w:r>
        <w:rPr>
          <w:color w:val="231F20"/>
          <w:spacing w:val="-20"/>
          <w:sz w:val="12"/>
        </w:rPr>
        <w:t xml:space="preserve"> </w:t>
      </w:r>
      <w:r>
        <w:rPr>
          <w:color w:val="231F20"/>
          <w:sz w:val="12"/>
        </w:rPr>
        <w:t>%</w:t>
      </w:r>
    </w:p>
    <w:p w14:paraId="425CBD3F" w14:textId="77777777" w:rsidR="00F65BCA" w:rsidRDefault="00216117">
      <w:pPr>
        <w:spacing w:before="38"/>
        <w:ind w:left="250"/>
        <w:rPr>
          <w:sz w:val="12"/>
        </w:rPr>
      </w:pPr>
      <w:r>
        <w:rPr>
          <w:color w:val="231F20"/>
          <w:sz w:val="12"/>
        </w:rPr>
        <w:t>7</w:t>
      </w:r>
      <w:r>
        <w:rPr>
          <w:color w:val="231F20"/>
          <w:spacing w:val="-20"/>
          <w:sz w:val="12"/>
        </w:rPr>
        <w:t xml:space="preserve"> </w:t>
      </w:r>
      <w:r>
        <w:rPr>
          <w:color w:val="231F20"/>
          <w:sz w:val="12"/>
        </w:rPr>
        <w:t>%</w:t>
      </w:r>
    </w:p>
    <w:p w14:paraId="7AD504E2" w14:textId="77777777" w:rsidR="00F65BCA" w:rsidRDefault="00F65BCA">
      <w:pPr>
        <w:pStyle w:val="Zkladntext"/>
        <w:spacing w:before="6"/>
        <w:rPr>
          <w:sz w:val="18"/>
        </w:rPr>
      </w:pPr>
    </w:p>
    <w:p w14:paraId="59293AA0" w14:textId="77777777" w:rsidR="00F65BCA" w:rsidRDefault="00216117">
      <w:pPr>
        <w:ind w:left="250"/>
        <w:rPr>
          <w:sz w:val="12"/>
        </w:rPr>
      </w:pPr>
      <w:r>
        <w:rPr>
          <w:color w:val="231F20"/>
          <w:sz w:val="12"/>
        </w:rPr>
        <w:t>7</w:t>
      </w:r>
      <w:r>
        <w:rPr>
          <w:color w:val="231F20"/>
          <w:spacing w:val="-20"/>
          <w:sz w:val="12"/>
        </w:rPr>
        <w:t xml:space="preserve"> </w:t>
      </w:r>
      <w:r>
        <w:rPr>
          <w:color w:val="231F20"/>
          <w:sz w:val="12"/>
        </w:rPr>
        <w:t>%</w:t>
      </w:r>
    </w:p>
    <w:p w14:paraId="1DBAF4F4" w14:textId="77777777" w:rsidR="00F65BCA" w:rsidRDefault="00216117">
      <w:pPr>
        <w:spacing w:before="38"/>
        <w:ind w:left="250"/>
        <w:rPr>
          <w:sz w:val="12"/>
        </w:rPr>
      </w:pPr>
      <w:r>
        <w:rPr>
          <w:color w:val="231F20"/>
          <w:sz w:val="12"/>
        </w:rPr>
        <w:t>6</w:t>
      </w:r>
      <w:r>
        <w:rPr>
          <w:color w:val="231F20"/>
          <w:spacing w:val="-20"/>
          <w:sz w:val="12"/>
        </w:rPr>
        <w:t xml:space="preserve"> </w:t>
      </w:r>
      <w:r>
        <w:rPr>
          <w:color w:val="231F20"/>
          <w:sz w:val="12"/>
        </w:rPr>
        <w:t>%</w:t>
      </w:r>
    </w:p>
    <w:p w14:paraId="2853EC8A" w14:textId="77777777" w:rsidR="00F65BCA" w:rsidRDefault="00F65BCA">
      <w:pPr>
        <w:pStyle w:val="Zkladntext"/>
        <w:spacing w:before="6"/>
        <w:rPr>
          <w:sz w:val="18"/>
        </w:rPr>
      </w:pPr>
    </w:p>
    <w:p w14:paraId="36A630F1" w14:textId="77777777" w:rsidR="00F65BCA" w:rsidRDefault="00216117">
      <w:pPr>
        <w:ind w:left="250"/>
        <w:rPr>
          <w:sz w:val="12"/>
        </w:rPr>
      </w:pPr>
      <w:r>
        <w:rPr>
          <w:color w:val="231F20"/>
          <w:sz w:val="12"/>
        </w:rPr>
        <w:t>5</w:t>
      </w:r>
      <w:r>
        <w:rPr>
          <w:color w:val="231F20"/>
          <w:spacing w:val="-20"/>
          <w:sz w:val="12"/>
        </w:rPr>
        <w:t xml:space="preserve"> </w:t>
      </w:r>
      <w:r>
        <w:rPr>
          <w:color w:val="231F20"/>
          <w:sz w:val="12"/>
        </w:rPr>
        <w:t>%</w:t>
      </w:r>
    </w:p>
    <w:p w14:paraId="20B059FB" w14:textId="77777777" w:rsidR="00F65BCA" w:rsidRDefault="00216117">
      <w:pPr>
        <w:spacing w:before="38"/>
        <w:ind w:left="250"/>
        <w:rPr>
          <w:sz w:val="12"/>
        </w:rPr>
      </w:pPr>
      <w:r>
        <w:rPr>
          <w:color w:val="231F20"/>
          <w:sz w:val="12"/>
        </w:rPr>
        <w:t>4</w:t>
      </w:r>
      <w:r>
        <w:rPr>
          <w:color w:val="231F20"/>
          <w:spacing w:val="-20"/>
          <w:sz w:val="12"/>
        </w:rPr>
        <w:t xml:space="preserve"> </w:t>
      </w:r>
      <w:r>
        <w:rPr>
          <w:color w:val="231F20"/>
          <w:sz w:val="12"/>
        </w:rPr>
        <w:t>%</w:t>
      </w:r>
    </w:p>
    <w:p w14:paraId="2878B027" w14:textId="77777777" w:rsidR="00F65BCA" w:rsidRDefault="00F65BCA">
      <w:pPr>
        <w:pStyle w:val="Zkladntext"/>
        <w:rPr>
          <w:sz w:val="14"/>
        </w:rPr>
      </w:pPr>
    </w:p>
    <w:p w14:paraId="390A83F6" w14:textId="77777777" w:rsidR="00F65BCA" w:rsidRDefault="00F65BCA">
      <w:pPr>
        <w:pStyle w:val="Zkladntext"/>
        <w:spacing w:before="10"/>
        <w:rPr>
          <w:sz w:val="18"/>
        </w:rPr>
      </w:pPr>
    </w:p>
    <w:p w14:paraId="63754C42" w14:textId="77777777" w:rsidR="00F65BCA" w:rsidRDefault="00216117">
      <w:pPr>
        <w:ind w:left="183"/>
        <w:rPr>
          <w:sz w:val="12"/>
        </w:rPr>
      </w:pPr>
      <w:r>
        <w:rPr>
          <w:color w:val="231F20"/>
          <w:sz w:val="12"/>
        </w:rPr>
        <w:t>11</w:t>
      </w:r>
      <w:r>
        <w:rPr>
          <w:color w:val="231F20"/>
          <w:spacing w:val="-20"/>
          <w:sz w:val="12"/>
        </w:rPr>
        <w:t xml:space="preserve"> </w:t>
      </w:r>
      <w:r>
        <w:rPr>
          <w:color w:val="231F20"/>
          <w:sz w:val="12"/>
        </w:rPr>
        <w:t>%</w:t>
      </w:r>
    </w:p>
    <w:p w14:paraId="25FB5C4A" w14:textId="77777777" w:rsidR="00F65BCA" w:rsidRDefault="00216117">
      <w:pPr>
        <w:spacing w:before="35"/>
        <w:ind w:left="250"/>
        <w:rPr>
          <w:sz w:val="12"/>
        </w:rPr>
      </w:pPr>
      <w:r>
        <w:rPr>
          <w:color w:val="231F20"/>
          <w:sz w:val="12"/>
        </w:rPr>
        <w:t>9</w:t>
      </w:r>
      <w:r>
        <w:rPr>
          <w:color w:val="231F20"/>
          <w:spacing w:val="-20"/>
          <w:sz w:val="12"/>
        </w:rPr>
        <w:t xml:space="preserve"> </w:t>
      </w:r>
      <w:r>
        <w:rPr>
          <w:color w:val="231F20"/>
          <w:sz w:val="12"/>
        </w:rPr>
        <w:t>%</w:t>
      </w:r>
    </w:p>
    <w:p w14:paraId="37105455" w14:textId="77777777" w:rsidR="00F65BCA" w:rsidRDefault="00F65BCA">
      <w:pPr>
        <w:pStyle w:val="Zkladntext"/>
        <w:rPr>
          <w:sz w:val="14"/>
        </w:rPr>
      </w:pPr>
    </w:p>
    <w:p w14:paraId="0880055E" w14:textId="77777777" w:rsidR="00F65BCA" w:rsidRDefault="00F65BCA">
      <w:pPr>
        <w:pStyle w:val="Zkladntext"/>
        <w:spacing w:before="7"/>
        <w:rPr>
          <w:sz w:val="18"/>
        </w:rPr>
      </w:pPr>
    </w:p>
    <w:p w14:paraId="325A9B60" w14:textId="77777777" w:rsidR="00F65BCA" w:rsidRDefault="00216117">
      <w:pPr>
        <w:ind w:left="250"/>
        <w:rPr>
          <w:sz w:val="12"/>
        </w:rPr>
      </w:pPr>
      <w:r>
        <w:rPr>
          <w:color w:val="231F20"/>
          <w:sz w:val="12"/>
        </w:rPr>
        <w:t>1</w:t>
      </w:r>
      <w:r>
        <w:rPr>
          <w:color w:val="231F20"/>
          <w:spacing w:val="-20"/>
          <w:sz w:val="12"/>
        </w:rPr>
        <w:t xml:space="preserve"> </w:t>
      </w:r>
      <w:r>
        <w:rPr>
          <w:color w:val="231F20"/>
          <w:sz w:val="12"/>
        </w:rPr>
        <w:t>%</w:t>
      </w:r>
    </w:p>
    <w:p w14:paraId="59077C81" w14:textId="77777777" w:rsidR="00F65BCA" w:rsidRDefault="00216117">
      <w:pPr>
        <w:spacing w:before="38"/>
        <w:ind w:left="250"/>
        <w:rPr>
          <w:sz w:val="12"/>
        </w:rPr>
      </w:pPr>
      <w:r>
        <w:rPr>
          <w:color w:val="231F20"/>
          <w:sz w:val="12"/>
        </w:rPr>
        <w:t>1</w:t>
      </w:r>
      <w:r>
        <w:rPr>
          <w:color w:val="231F20"/>
          <w:spacing w:val="-20"/>
          <w:sz w:val="12"/>
        </w:rPr>
        <w:t xml:space="preserve"> </w:t>
      </w:r>
      <w:r>
        <w:rPr>
          <w:color w:val="231F20"/>
          <w:sz w:val="12"/>
        </w:rPr>
        <w:t>%</w:t>
      </w:r>
    </w:p>
    <w:p w14:paraId="0F403769" w14:textId="77777777" w:rsidR="00F65BCA" w:rsidRDefault="00216117">
      <w:pPr>
        <w:pStyle w:val="Odstavecseseznamem"/>
        <w:numPr>
          <w:ilvl w:val="0"/>
          <w:numId w:val="28"/>
        </w:numPr>
        <w:tabs>
          <w:tab w:val="left" w:pos="456"/>
        </w:tabs>
        <w:spacing w:before="106"/>
        <w:ind w:hanging="273"/>
        <w:rPr>
          <w:sz w:val="12"/>
        </w:rPr>
      </w:pPr>
      <w:r>
        <w:rPr>
          <w:color w:val="231F20"/>
          <w:w w:val="96"/>
          <w:sz w:val="12"/>
        </w:rPr>
        <w:br w:type="column"/>
      </w:r>
      <w:r>
        <w:rPr>
          <w:color w:val="231F20"/>
          <w:sz w:val="12"/>
        </w:rPr>
        <w:t>vpravo</w:t>
      </w:r>
    </w:p>
    <w:p w14:paraId="2D9A62C1" w14:textId="77777777" w:rsidR="00F65BCA" w:rsidRDefault="00216117">
      <w:pPr>
        <w:pStyle w:val="Odstavecseseznamem"/>
        <w:numPr>
          <w:ilvl w:val="0"/>
          <w:numId w:val="28"/>
        </w:numPr>
        <w:tabs>
          <w:tab w:val="left" w:pos="456"/>
        </w:tabs>
        <w:spacing w:before="49"/>
        <w:ind w:hanging="273"/>
        <w:rPr>
          <w:sz w:val="12"/>
        </w:rPr>
      </w:pPr>
      <w:r>
        <w:rPr>
          <w:color w:val="231F20"/>
          <w:sz w:val="12"/>
        </w:rPr>
        <w:t>vlevo</w:t>
      </w:r>
    </w:p>
    <w:p w14:paraId="16CB5504" w14:textId="77777777" w:rsidR="00F65BCA" w:rsidRDefault="00216117">
      <w:pPr>
        <w:spacing w:before="39" w:line="249" w:lineRule="auto"/>
        <w:ind w:left="455" w:right="90"/>
        <w:rPr>
          <w:sz w:val="12"/>
        </w:rPr>
      </w:pPr>
      <w:r>
        <w:rPr>
          <w:color w:val="231F20"/>
          <w:sz w:val="12"/>
        </w:rPr>
        <w:t xml:space="preserve">Porucha </w:t>
      </w:r>
      <w:r>
        <w:rPr>
          <w:b/>
          <w:color w:val="231F20"/>
          <w:sz w:val="12"/>
        </w:rPr>
        <w:t xml:space="preserve">všech tří nervů </w:t>
      </w:r>
      <w:r>
        <w:rPr>
          <w:color w:val="231F20"/>
          <w:sz w:val="12"/>
        </w:rPr>
        <w:t>(popř. i celé pleteně pažní)</w:t>
      </w:r>
    </w:p>
    <w:p w14:paraId="11893832" w14:textId="77777777" w:rsidR="00F65BCA" w:rsidRDefault="00216117">
      <w:pPr>
        <w:pStyle w:val="Odstavecseseznamem"/>
        <w:numPr>
          <w:ilvl w:val="0"/>
          <w:numId w:val="28"/>
        </w:numPr>
        <w:tabs>
          <w:tab w:val="left" w:pos="456"/>
        </w:tabs>
        <w:spacing w:before="32"/>
        <w:ind w:hanging="273"/>
        <w:rPr>
          <w:sz w:val="12"/>
        </w:rPr>
      </w:pPr>
      <w:r>
        <w:rPr>
          <w:color w:val="231F20"/>
          <w:sz w:val="12"/>
        </w:rPr>
        <w:t>vpravo</w:t>
      </w:r>
    </w:p>
    <w:p w14:paraId="583DA36A" w14:textId="77777777" w:rsidR="00F65BCA" w:rsidRDefault="00216117">
      <w:pPr>
        <w:pStyle w:val="Odstavecseseznamem"/>
        <w:numPr>
          <w:ilvl w:val="0"/>
          <w:numId w:val="28"/>
        </w:numPr>
        <w:tabs>
          <w:tab w:val="left" w:pos="456"/>
        </w:tabs>
        <w:spacing w:before="43"/>
        <w:ind w:hanging="273"/>
        <w:rPr>
          <w:sz w:val="12"/>
        </w:rPr>
      </w:pPr>
      <w:r>
        <w:rPr>
          <w:color w:val="231F20"/>
          <w:sz w:val="12"/>
        </w:rPr>
        <w:t>vlevo</w:t>
      </w:r>
    </w:p>
    <w:p w14:paraId="4FB2FDC3" w14:textId="77777777" w:rsidR="00F65BCA" w:rsidRDefault="00216117">
      <w:pPr>
        <w:spacing w:before="44"/>
        <w:ind w:left="455"/>
        <w:rPr>
          <w:b/>
          <w:sz w:val="12"/>
        </w:rPr>
      </w:pPr>
      <w:r>
        <w:rPr>
          <w:color w:val="231F20"/>
          <w:sz w:val="12"/>
        </w:rPr>
        <w:t xml:space="preserve">Porucha kmene nervu </w:t>
      </w:r>
      <w:r>
        <w:rPr>
          <w:b/>
          <w:color w:val="231F20"/>
          <w:sz w:val="12"/>
        </w:rPr>
        <w:t>vřetenního</w:t>
      </w:r>
    </w:p>
    <w:p w14:paraId="20BDFD08" w14:textId="77777777" w:rsidR="00F65BCA" w:rsidRDefault="00216117">
      <w:pPr>
        <w:spacing w:before="43"/>
        <w:ind w:left="455"/>
        <w:rPr>
          <w:sz w:val="12"/>
        </w:rPr>
      </w:pPr>
      <w:r>
        <w:rPr>
          <w:color w:val="231F20"/>
          <w:sz w:val="12"/>
        </w:rPr>
        <w:t>s postižením všech inervovaných svalů</w:t>
      </w:r>
    </w:p>
    <w:p w14:paraId="33A0D18E" w14:textId="77777777" w:rsidR="00F65BCA" w:rsidRDefault="00216117">
      <w:pPr>
        <w:pStyle w:val="Odstavecseseznamem"/>
        <w:numPr>
          <w:ilvl w:val="0"/>
          <w:numId w:val="28"/>
        </w:numPr>
        <w:tabs>
          <w:tab w:val="left" w:pos="456"/>
        </w:tabs>
        <w:spacing w:before="43"/>
        <w:ind w:hanging="273"/>
        <w:rPr>
          <w:sz w:val="12"/>
        </w:rPr>
      </w:pPr>
      <w:r>
        <w:rPr>
          <w:color w:val="231F20"/>
          <w:sz w:val="12"/>
        </w:rPr>
        <w:t>vpravo</w:t>
      </w:r>
    </w:p>
    <w:p w14:paraId="3B941086" w14:textId="77777777" w:rsidR="00F65BCA" w:rsidRDefault="00216117">
      <w:pPr>
        <w:pStyle w:val="Odstavecseseznamem"/>
        <w:numPr>
          <w:ilvl w:val="0"/>
          <w:numId w:val="28"/>
        </w:numPr>
        <w:tabs>
          <w:tab w:val="left" w:pos="456"/>
        </w:tabs>
        <w:spacing w:before="44"/>
        <w:ind w:hanging="273"/>
        <w:rPr>
          <w:sz w:val="12"/>
        </w:rPr>
      </w:pPr>
      <w:r>
        <w:rPr>
          <w:color w:val="231F20"/>
          <w:sz w:val="12"/>
        </w:rPr>
        <w:t>vlevo</w:t>
      </w:r>
    </w:p>
    <w:p w14:paraId="3A4AB9A6" w14:textId="77777777" w:rsidR="00F65BCA" w:rsidRDefault="00216117">
      <w:pPr>
        <w:spacing w:before="43"/>
        <w:ind w:left="455"/>
        <w:rPr>
          <w:sz w:val="12"/>
        </w:rPr>
      </w:pPr>
      <w:r>
        <w:rPr>
          <w:color w:val="231F20"/>
          <w:sz w:val="12"/>
        </w:rPr>
        <w:t>se zachováním funkce trojhlavého svalu</w:t>
      </w:r>
    </w:p>
    <w:p w14:paraId="5FC0EE65" w14:textId="77777777" w:rsidR="00F65BCA" w:rsidRDefault="00216117">
      <w:pPr>
        <w:pStyle w:val="Odstavecseseznamem"/>
        <w:numPr>
          <w:ilvl w:val="0"/>
          <w:numId w:val="28"/>
        </w:numPr>
        <w:tabs>
          <w:tab w:val="left" w:pos="456"/>
        </w:tabs>
        <w:spacing w:before="44"/>
        <w:ind w:hanging="273"/>
        <w:rPr>
          <w:sz w:val="12"/>
        </w:rPr>
      </w:pPr>
      <w:r>
        <w:rPr>
          <w:color w:val="231F20"/>
          <w:sz w:val="12"/>
        </w:rPr>
        <w:t>vpravo</w:t>
      </w:r>
    </w:p>
    <w:p w14:paraId="07867169" w14:textId="77777777" w:rsidR="00F65BCA" w:rsidRDefault="00216117">
      <w:pPr>
        <w:pStyle w:val="Odstavecseseznamem"/>
        <w:numPr>
          <w:ilvl w:val="0"/>
          <w:numId w:val="28"/>
        </w:numPr>
        <w:tabs>
          <w:tab w:val="left" w:pos="456"/>
        </w:tabs>
        <w:spacing w:before="43"/>
        <w:ind w:hanging="273"/>
        <w:rPr>
          <w:sz w:val="12"/>
        </w:rPr>
      </w:pPr>
      <w:r>
        <w:rPr>
          <w:color w:val="231F20"/>
          <w:sz w:val="12"/>
        </w:rPr>
        <w:t>vlevo</w:t>
      </w:r>
    </w:p>
    <w:p w14:paraId="4BB97F05" w14:textId="77777777" w:rsidR="00F65BCA" w:rsidRDefault="00216117">
      <w:pPr>
        <w:spacing w:before="51" w:line="249" w:lineRule="auto"/>
        <w:ind w:left="455" w:right="30"/>
        <w:rPr>
          <w:sz w:val="12"/>
        </w:rPr>
      </w:pPr>
      <w:r>
        <w:rPr>
          <w:color w:val="231F20"/>
          <w:sz w:val="12"/>
        </w:rPr>
        <w:t>Obrna</w:t>
      </w:r>
      <w:r>
        <w:rPr>
          <w:color w:val="231F20"/>
          <w:spacing w:val="-14"/>
          <w:sz w:val="12"/>
        </w:rPr>
        <w:t xml:space="preserve"> </w:t>
      </w:r>
      <w:r>
        <w:rPr>
          <w:color w:val="231F20"/>
          <w:sz w:val="12"/>
        </w:rPr>
        <w:t>distální</w:t>
      </w:r>
      <w:r>
        <w:rPr>
          <w:color w:val="231F20"/>
          <w:spacing w:val="-14"/>
          <w:sz w:val="12"/>
        </w:rPr>
        <w:t xml:space="preserve"> </w:t>
      </w:r>
      <w:r>
        <w:rPr>
          <w:color w:val="231F20"/>
          <w:sz w:val="12"/>
        </w:rPr>
        <w:t>části</w:t>
      </w:r>
      <w:r>
        <w:rPr>
          <w:color w:val="231F20"/>
          <w:spacing w:val="-14"/>
          <w:sz w:val="12"/>
        </w:rPr>
        <w:t xml:space="preserve"> </w:t>
      </w:r>
      <w:r>
        <w:rPr>
          <w:color w:val="231F20"/>
          <w:sz w:val="12"/>
        </w:rPr>
        <w:t>vřetenního</w:t>
      </w:r>
      <w:r>
        <w:rPr>
          <w:color w:val="231F20"/>
          <w:spacing w:val="-13"/>
          <w:sz w:val="12"/>
        </w:rPr>
        <w:t xml:space="preserve"> </w:t>
      </w:r>
      <w:r>
        <w:rPr>
          <w:color w:val="231F20"/>
          <w:sz w:val="12"/>
        </w:rPr>
        <w:t>nervu</w:t>
      </w:r>
      <w:r>
        <w:rPr>
          <w:color w:val="231F20"/>
          <w:spacing w:val="-14"/>
          <w:sz w:val="12"/>
        </w:rPr>
        <w:t xml:space="preserve"> </w:t>
      </w:r>
      <w:r>
        <w:rPr>
          <w:color w:val="231F20"/>
          <w:sz w:val="12"/>
        </w:rPr>
        <w:t>s</w:t>
      </w:r>
      <w:r>
        <w:rPr>
          <w:color w:val="231F20"/>
          <w:spacing w:val="-14"/>
          <w:sz w:val="12"/>
        </w:rPr>
        <w:t xml:space="preserve"> </w:t>
      </w:r>
      <w:r>
        <w:rPr>
          <w:color w:val="231F20"/>
          <w:spacing w:val="-3"/>
          <w:sz w:val="12"/>
        </w:rPr>
        <w:t xml:space="preserve">poruchou </w:t>
      </w:r>
      <w:r>
        <w:rPr>
          <w:color w:val="231F20"/>
          <w:sz w:val="12"/>
        </w:rPr>
        <w:t>funkce palcových</w:t>
      </w:r>
      <w:r>
        <w:rPr>
          <w:color w:val="231F20"/>
          <w:spacing w:val="-2"/>
          <w:sz w:val="12"/>
        </w:rPr>
        <w:t xml:space="preserve"> </w:t>
      </w:r>
      <w:r>
        <w:rPr>
          <w:color w:val="231F20"/>
          <w:sz w:val="12"/>
        </w:rPr>
        <w:t>svalů</w:t>
      </w:r>
    </w:p>
    <w:p w14:paraId="264AAD4C" w14:textId="77777777" w:rsidR="00F65BCA" w:rsidRDefault="00216117">
      <w:pPr>
        <w:pStyle w:val="Odstavecseseznamem"/>
        <w:numPr>
          <w:ilvl w:val="0"/>
          <w:numId w:val="28"/>
        </w:numPr>
        <w:tabs>
          <w:tab w:val="left" w:pos="456"/>
        </w:tabs>
        <w:spacing w:before="46"/>
        <w:ind w:hanging="273"/>
        <w:rPr>
          <w:sz w:val="12"/>
        </w:rPr>
      </w:pPr>
      <w:r>
        <w:rPr>
          <w:color w:val="231F20"/>
          <w:sz w:val="12"/>
        </w:rPr>
        <w:t>vpravo</w:t>
      </w:r>
    </w:p>
    <w:p w14:paraId="19E70538" w14:textId="77777777" w:rsidR="00F65BCA" w:rsidRDefault="00216117">
      <w:pPr>
        <w:pStyle w:val="Odstavecseseznamem"/>
        <w:numPr>
          <w:ilvl w:val="0"/>
          <w:numId w:val="28"/>
        </w:numPr>
        <w:tabs>
          <w:tab w:val="left" w:pos="456"/>
        </w:tabs>
        <w:spacing w:before="43"/>
        <w:ind w:hanging="273"/>
        <w:rPr>
          <w:sz w:val="12"/>
        </w:rPr>
      </w:pPr>
      <w:r>
        <w:rPr>
          <w:color w:val="231F20"/>
          <w:sz w:val="12"/>
        </w:rPr>
        <w:t>vlevo</w:t>
      </w:r>
    </w:p>
    <w:p w14:paraId="4EBFE932" w14:textId="77777777" w:rsidR="00F65BCA" w:rsidRDefault="00216117">
      <w:pPr>
        <w:spacing w:before="44"/>
        <w:ind w:left="455"/>
        <w:rPr>
          <w:sz w:val="12"/>
        </w:rPr>
      </w:pPr>
      <w:r>
        <w:rPr>
          <w:color w:val="231F20"/>
          <w:sz w:val="12"/>
        </w:rPr>
        <w:t xml:space="preserve">Porucha </w:t>
      </w:r>
      <w:r>
        <w:rPr>
          <w:b/>
          <w:color w:val="231F20"/>
          <w:sz w:val="12"/>
        </w:rPr>
        <w:t xml:space="preserve">loketního </w:t>
      </w:r>
      <w:r>
        <w:rPr>
          <w:color w:val="231F20"/>
          <w:sz w:val="12"/>
        </w:rPr>
        <w:t>nervu</w:t>
      </w:r>
    </w:p>
    <w:p w14:paraId="3361F151" w14:textId="77777777" w:rsidR="00F65BCA" w:rsidRDefault="00216117">
      <w:pPr>
        <w:spacing w:before="43"/>
        <w:ind w:left="455"/>
        <w:rPr>
          <w:sz w:val="12"/>
        </w:rPr>
      </w:pPr>
      <w:r>
        <w:rPr>
          <w:b/>
          <w:color w:val="231F20"/>
          <w:sz w:val="12"/>
        </w:rPr>
        <w:t xml:space="preserve">kmene </w:t>
      </w:r>
      <w:r>
        <w:rPr>
          <w:color w:val="231F20"/>
          <w:sz w:val="12"/>
        </w:rPr>
        <w:t>s postižením všech inervovaných svalů</w:t>
      </w:r>
    </w:p>
    <w:p w14:paraId="4F737536" w14:textId="77777777" w:rsidR="00F65BCA" w:rsidRDefault="00216117">
      <w:pPr>
        <w:pStyle w:val="Odstavecseseznamem"/>
        <w:numPr>
          <w:ilvl w:val="0"/>
          <w:numId w:val="28"/>
        </w:numPr>
        <w:tabs>
          <w:tab w:val="left" w:pos="456"/>
        </w:tabs>
        <w:spacing w:before="43"/>
        <w:ind w:hanging="273"/>
        <w:rPr>
          <w:sz w:val="12"/>
        </w:rPr>
      </w:pPr>
      <w:r>
        <w:rPr>
          <w:color w:val="231F20"/>
          <w:sz w:val="12"/>
        </w:rPr>
        <w:t>vpravo</w:t>
      </w:r>
    </w:p>
    <w:p w14:paraId="1B6468B8" w14:textId="77777777" w:rsidR="00F65BCA" w:rsidRDefault="00216117">
      <w:pPr>
        <w:pStyle w:val="Odstavecseseznamem"/>
        <w:numPr>
          <w:ilvl w:val="0"/>
          <w:numId w:val="28"/>
        </w:numPr>
        <w:tabs>
          <w:tab w:val="left" w:pos="456"/>
        </w:tabs>
        <w:spacing w:before="44"/>
        <w:ind w:hanging="273"/>
        <w:rPr>
          <w:sz w:val="12"/>
        </w:rPr>
      </w:pPr>
      <w:r>
        <w:rPr>
          <w:color w:val="231F20"/>
          <w:sz w:val="12"/>
        </w:rPr>
        <w:t>vlevo</w:t>
      </w:r>
    </w:p>
    <w:p w14:paraId="761214FC" w14:textId="77777777" w:rsidR="00F65BCA" w:rsidRDefault="00216117">
      <w:pPr>
        <w:spacing w:before="51" w:line="249" w:lineRule="auto"/>
        <w:ind w:left="455" w:right="-10"/>
        <w:rPr>
          <w:sz w:val="12"/>
        </w:rPr>
      </w:pPr>
      <w:r>
        <w:rPr>
          <w:b/>
          <w:color w:val="231F20"/>
          <w:sz w:val="12"/>
        </w:rPr>
        <w:t xml:space="preserve">distální části </w:t>
      </w:r>
      <w:r>
        <w:rPr>
          <w:color w:val="231F20"/>
          <w:sz w:val="12"/>
        </w:rPr>
        <w:t xml:space="preserve">se zachováním funkce ulnárního ohýbače karpu a části hlubokého ohýbače </w:t>
      </w:r>
      <w:r>
        <w:rPr>
          <w:color w:val="231F20"/>
          <w:spacing w:val="-4"/>
          <w:sz w:val="12"/>
        </w:rPr>
        <w:t>prstů</w:t>
      </w:r>
    </w:p>
    <w:p w14:paraId="2EBC05F4" w14:textId="77777777" w:rsidR="00F65BCA" w:rsidRDefault="00216117">
      <w:pPr>
        <w:pStyle w:val="Odstavecseseznamem"/>
        <w:numPr>
          <w:ilvl w:val="0"/>
          <w:numId w:val="28"/>
        </w:numPr>
        <w:tabs>
          <w:tab w:val="left" w:pos="456"/>
        </w:tabs>
        <w:spacing w:before="45"/>
        <w:ind w:hanging="273"/>
        <w:rPr>
          <w:sz w:val="12"/>
        </w:rPr>
      </w:pPr>
      <w:r>
        <w:rPr>
          <w:color w:val="231F20"/>
          <w:sz w:val="12"/>
        </w:rPr>
        <w:t>vpravo</w:t>
      </w:r>
    </w:p>
    <w:p w14:paraId="7E3D2599" w14:textId="77777777" w:rsidR="00F65BCA" w:rsidRDefault="00216117">
      <w:pPr>
        <w:pStyle w:val="Odstavecseseznamem"/>
        <w:numPr>
          <w:ilvl w:val="0"/>
          <w:numId w:val="28"/>
        </w:numPr>
        <w:tabs>
          <w:tab w:val="left" w:pos="456"/>
        </w:tabs>
        <w:spacing w:before="44"/>
        <w:ind w:hanging="273"/>
        <w:rPr>
          <w:sz w:val="12"/>
        </w:rPr>
      </w:pPr>
      <w:r>
        <w:rPr>
          <w:color w:val="231F20"/>
          <w:sz w:val="12"/>
        </w:rPr>
        <w:t>vlevo</w:t>
      </w:r>
    </w:p>
    <w:p w14:paraId="0AD8551F" w14:textId="77777777" w:rsidR="00F65BCA" w:rsidRDefault="00216117">
      <w:pPr>
        <w:spacing w:before="43"/>
        <w:ind w:left="455"/>
        <w:rPr>
          <w:b/>
          <w:sz w:val="12"/>
        </w:rPr>
      </w:pPr>
      <w:r>
        <w:rPr>
          <w:color w:val="231F20"/>
          <w:sz w:val="12"/>
        </w:rPr>
        <w:t xml:space="preserve">Porucha nervu </w:t>
      </w:r>
      <w:r>
        <w:rPr>
          <w:b/>
          <w:color w:val="231F20"/>
          <w:sz w:val="12"/>
        </w:rPr>
        <w:t>muskulokutánního</w:t>
      </w:r>
    </w:p>
    <w:p w14:paraId="28464787" w14:textId="77777777" w:rsidR="00F65BCA" w:rsidRDefault="00216117">
      <w:pPr>
        <w:pStyle w:val="Odstavecseseznamem"/>
        <w:numPr>
          <w:ilvl w:val="0"/>
          <w:numId w:val="28"/>
        </w:numPr>
        <w:tabs>
          <w:tab w:val="left" w:pos="456"/>
        </w:tabs>
        <w:spacing w:before="44"/>
        <w:ind w:hanging="273"/>
        <w:rPr>
          <w:sz w:val="12"/>
        </w:rPr>
      </w:pPr>
      <w:r>
        <w:rPr>
          <w:color w:val="231F20"/>
          <w:sz w:val="12"/>
        </w:rPr>
        <w:t>vpravo</w:t>
      </w:r>
    </w:p>
    <w:p w14:paraId="2B32C18A" w14:textId="77777777" w:rsidR="00F65BCA" w:rsidRDefault="00216117">
      <w:pPr>
        <w:pStyle w:val="Odstavecseseznamem"/>
        <w:numPr>
          <w:ilvl w:val="0"/>
          <w:numId w:val="28"/>
        </w:numPr>
        <w:tabs>
          <w:tab w:val="left" w:pos="456"/>
        </w:tabs>
        <w:spacing w:before="43"/>
        <w:ind w:hanging="273"/>
        <w:rPr>
          <w:sz w:val="12"/>
        </w:rPr>
      </w:pPr>
      <w:r>
        <w:rPr>
          <w:color w:val="231F20"/>
          <w:sz w:val="12"/>
        </w:rPr>
        <w:t>vlevo</w:t>
      </w:r>
    </w:p>
    <w:p w14:paraId="55378726" w14:textId="77777777" w:rsidR="00F65BCA" w:rsidRDefault="00216117">
      <w:pPr>
        <w:spacing w:before="44"/>
        <w:ind w:left="455"/>
        <w:rPr>
          <w:sz w:val="12"/>
        </w:rPr>
      </w:pPr>
      <w:r>
        <w:rPr>
          <w:color w:val="231F20"/>
          <w:sz w:val="12"/>
        </w:rPr>
        <w:t xml:space="preserve">Porucha </w:t>
      </w:r>
      <w:r>
        <w:rPr>
          <w:b/>
          <w:color w:val="231F20"/>
          <w:sz w:val="12"/>
        </w:rPr>
        <w:t xml:space="preserve">středního </w:t>
      </w:r>
      <w:r>
        <w:rPr>
          <w:color w:val="231F20"/>
          <w:sz w:val="12"/>
        </w:rPr>
        <w:t>nervu</w:t>
      </w:r>
    </w:p>
    <w:p w14:paraId="4E48A99A" w14:textId="77777777" w:rsidR="00F65BCA" w:rsidRDefault="00216117">
      <w:pPr>
        <w:spacing w:before="43"/>
        <w:ind w:left="455"/>
        <w:rPr>
          <w:sz w:val="12"/>
        </w:rPr>
      </w:pPr>
      <w:r>
        <w:rPr>
          <w:b/>
          <w:color w:val="231F20"/>
          <w:sz w:val="12"/>
        </w:rPr>
        <w:t xml:space="preserve">kmene </w:t>
      </w:r>
      <w:r>
        <w:rPr>
          <w:color w:val="231F20"/>
          <w:sz w:val="12"/>
        </w:rPr>
        <w:t>s postižením všech inervovaných svalů</w:t>
      </w:r>
    </w:p>
    <w:p w14:paraId="549F48E5" w14:textId="77777777" w:rsidR="00F65BCA" w:rsidRDefault="00216117">
      <w:pPr>
        <w:pStyle w:val="Odstavecseseznamem"/>
        <w:numPr>
          <w:ilvl w:val="0"/>
          <w:numId w:val="28"/>
        </w:numPr>
        <w:tabs>
          <w:tab w:val="left" w:pos="456"/>
        </w:tabs>
        <w:spacing w:before="43"/>
        <w:ind w:hanging="273"/>
        <w:rPr>
          <w:sz w:val="12"/>
        </w:rPr>
      </w:pPr>
      <w:r>
        <w:rPr>
          <w:color w:val="231F20"/>
          <w:sz w:val="12"/>
        </w:rPr>
        <w:t>vpravo</w:t>
      </w:r>
    </w:p>
    <w:p w14:paraId="7DBC4BC2" w14:textId="77777777" w:rsidR="00F65BCA" w:rsidRDefault="00216117">
      <w:pPr>
        <w:pStyle w:val="Odstavecseseznamem"/>
        <w:numPr>
          <w:ilvl w:val="0"/>
          <w:numId w:val="28"/>
        </w:numPr>
        <w:tabs>
          <w:tab w:val="left" w:pos="456"/>
        </w:tabs>
        <w:spacing w:before="44"/>
        <w:ind w:hanging="273"/>
        <w:rPr>
          <w:sz w:val="12"/>
        </w:rPr>
      </w:pPr>
      <w:r>
        <w:rPr>
          <w:color w:val="231F20"/>
          <w:sz w:val="12"/>
        </w:rPr>
        <w:t>vlevo</w:t>
      </w:r>
    </w:p>
    <w:p w14:paraId="3BB35820" w14:textId="77777777" w:rsidR="00F65BCA" w:rsidRDefault="00216117">
      <w:pPr>
        <w:spacing w:before="37" w:line="249" w:lineRule="auto"/>
        <w:ind w:left="455" w:right="151"/>
        <w:rPr>
          <w:sz w:val="12"/>
        </w:rPr>
      </w:pPr>
      <w:r>
        <w:rPr>
          <w:b/>
          <w:color w:val="231F20"/>
          <w:sz w:val="12"/>
        </w:rPr>
        <w:t>distální</w:t>
      </w:r>
      <w:r>
        <w:rPr>
          <w:b/>
          <w:color w:val="231F20"/>
          <w:spacing w:val="-12"/>
          <w:sz w:val="12"/>
        </w:rPr>
        <w:t xml:space="preserve"> </w:t>
      </w:r>
      <w:r>
        <w:rPr>
          <w:b/>
          <w:color w:val="231F20"/>
          <w:sz w:val="12"/>
        </w:rPr>
        <w:t>části</w:t>
      </w:r>
      <w:r>
        <w:rPr>
          <w:b/>
          <w:color w:val="231F20"/>
          <w:spacing w:val="-11"/>
          <w:sz w:val="12"/>
        </w:rPr>
        <w:t xml:space="preserve"> </w:t>
      </w:r>
      <w:r>
        <w:rPr>
          <w:color w:val="231F20"/>
          <w:sz w:val="12"/>
        </w:rPr>
        <w:t>s</w:t>
      </w:r>
      <w:r>
        <w:rPr>
          <w:color w:val="231F20"/>
          <w:spacing w:val="-11"/>
          <w:sz w:val="12"/>
        </w:rPr>
        <w:t xml:space="preserve"> </w:t>
      </w:r>
      <w:r>
        <w:rPr>
          <w:color w:val="231F20"/>
          <w:sz w:val="12"/>
        </w:rPr>
        <w:t>postižením</w:t>
      </w:r>
      <w:r>
        <w:rPr>
          <w:color w:val="231F20"/>
          <w:spacing w:val="-12"/>
          <w:sz w:val="12"/>
        </w:rPr>
        <w:t xml:space="preserve"> </w:t>
      </w:r>
      <w:r>
        <w:rPr>
          <w:color w:val="231F20"/>
          <w:sz w:val="12"/>
        </w:rPr>
        <w:t>převážně</w:t>
      </w:r>
      <w:r>
        <w:rPr>
          <w:color w:val="231F20"/>
          <w:spacing w:val="-11"/>
          <w:sz w:val="12"/>
        </w:rPr>
        <w:t xml:space="preserve"> </w:t>
      </w:r>
      <w:r>
        <w:rPr>
          <w:color w:val="231F20"/>
          <w:spacing w:val="-3"/>
          <w:sz w:val="12"/>
        </w:rPr>
        <w:t xml:space="preserve">thenaro- </w:t>
      </w:r>
      <w:r>
        <w:rPr>
          <w:color w:val="231F20"/>
          <w:sz w:val="12"/>
        </w:rPr>
        <w:t>vého</w:t>
      </w:r>
      <w:r>
        <w:rPr>
          <w:color w:val="231F20"/>
          <w:spacing w:val="-1"/>
          <w:sz w:val="12"/>
        </w:rPr>
        <w:t xml:space="preserve"> </w:t>
      </w:r>
      <w:r>
        <w:rPr>
          <w:color w:val="231F20"/>
          <w:sz w:val="12"/>
        </w:rPr>
        <w:t>svalstva</w:t>
      </w:r>
    </w:p>
    <w:p w14:paraId="6A4886D5" w14:textId="77777777" w:rsidR="00F65BCA" w:rsidRDefault="00216117">
      <w:pPr>
        <w:pStyle w:val="Odstavecseseznamem"/>
        <w:numPr>
          <w:ilvl w:val="0"/>
          <w:numId w:val="28"/>
        </w:numPr>
        <w:tabs>
          <w:tab w:val="left" w:pos="456"/>
        </w:tabs>
        <w:spacing w:before="34"/>
        <w:ind w:hanging="273"/>
        <w:rPr>
          <w:sz w:val="12"/>
        </w:rPr>
      </w:pPr>
      <w:r>
        <w:rPr>
          <w:color w:val="231F20"/>
          <w:sz w:val="12"/>
        </w:rPr>
        <w:t>vpravo</w:t>
      </w:r>
    </w:p>
    <w:p w14:paraId="7B6996F5" w14:textId="77777777" w:rsidR="00F65BCA" w:rsidRDefault="00216117">
      <w:pPr>
        <w:pStyle w:val="Odstavecseseznamem"/>
        <w:numPr>
          <w:ilvl w:val="0"/>
          <w:numId w:val="28"/>
        </w:numPr>
        <w:tabs>
          <w:tab w:val="left" w:pos="456"/>
        </w:tabs>
        <w:spacing w:before="49"/>
        <w:ind w:hanging="273"/>
        <w:rPr>
          <w:sz w:val="12"/>
        </w:rPr>
      </w:pPr>
      <w:r>
        <w:rPr>
          <w:color w:val="231F20"/>
          <w:sz w:val="12"/>
        </w:rPr>
        <w:t>vlevo</w:t>
      </w:r>
    </w:p>
    <w:p w14:paraId="1CD11F54" w14:textId="77777777" w:rsidR="00F65BCA" w:rsidRDefault="00216117">
      <w:pPr>
        <w:spacing w:before="49"/>
        <w:ind w:left="455"/>
        <w:rPr>
          <w:sz w:val="12"/>
        </w:rPr>
      </w:pPr>
      <w:r>
        <w:rPr>
          <w:b/>
          <w:color w:val="231F20"/>
          <w:sz w:val="12"/>
        </w:rPr>
        <w:t>sensitivní</w:t>
      </w:r>
      <w:r>
        <w:rPr>
          <w:b/>
          <w:color w:val="231F20"/>
          <w:spacing w:val="-10"/>
          <w:sz w:val="12"/>
        </w:rPr>
        <w:t xml:space="preserve"> </w:t>
      </w:r>
      <w:r>
        <w:rPr>
          <w:b/>
          <w:color w:val="231F20"/>
          <w:sz w:val="12"/>
        </w:rPr>
        <w:t>větve</w:t>
      </w:r>
      <w:r>
        <w:rPr>
          <w:b/>
          <w:color w:val="231F20"/>
          <w:spacing w:val="-10"/>
          <w:sz w:val="12"/>
        </w:rPr>
        <w:t xml:space="preserve"> </w:t>
      </w:r>
      <w:r>
        <w:rPr>
          <w:color w:val="231F20"/>
          <w:sz w:val="12"/>
        </w:rPr>
        <w:t>na</w:t>
      </w:r>
      <w:r>
        <w:rPr>
          <w:color w:val="231F20"/>
          <w:spacing w:val="-10"/>
          <w:sz w:val="12"/>
        </w:rPr>
        <w:t xml:space="preserve"> </w:t>
      </w:r>
      <w:r>
        <w:rPr>
          <w:color w:val="231F20"/>
          <w:sz w:val="12"/>
        </w:rPr>
        <w:t>zápěstí</w:t>
      </w:r>
      <w:r>
        <w:rPr>
          <w:color w:val="231F20"/>
          <w:spacing w:val="-10"/>
          <w:sz w:val="12"/>
        </w:rPr>
        <w:t xml:space="preserve"> </w:t>
      </w:r>
      <w:r>
        <w:rPr>
          <w:color w:val="231F20"/>
          <w:sz w:val="12"/>
        </w:rPr>
        <w:t>s</w:t>
      </w:r>
      <w:r>
        <w:rPr>
          <w:color w:val="231F20"/>
          <w:spacing w:val="-10"/>
          <w:sz w:val="12"/>
        </w:rPr>
        <w:t xml:space="preserve"> </w:t>
      </w:r>
      <w:r>
        <w:rPr>
          <w:color w:val="231F20"/>
          <w:sz w:val="12"/>
        </w:rPr>
        <w:t>poruchou</w:t>
      </w:r>
      <w:r>
        <w:rPr>
          <w:color w:val="231F20"/>
          <w:spacing w:val="-10"/>
          <w:sz w:val="12"/>
        </w:rPr>
        <w:t xml:space="preserve"> </w:t>
      </w:r>
      <w:r>
        <w:rPr>
          <w:color w:val="231F20"/>
          <w:sz w:val="12"/>
        </w:rPr>
        <w:t>citlivosti</w:t>
      </w:r>
    </w:p>
    <w:p w14:paraId="1DABA9C4" w14:textId="77777777" w:rsidR="00F65BCA" w:rsidRDefault="00216117">
      <w:pPr>
        <w:pStyle w:val="Odstavecseseznamem"/>
        <w:numPr>
          <w:ilvl w:val="0"/>
          <w:numId w:val="28"/>
        </w:numPr>
        <w:tabs>
          <w:tab w:val="left" w:pos="456"/>
        </w:tabs>
        <w:spacing w:before="49"/>
        <w:ind w:hanging="273"/>
        <w:rPr>
          <w:sz w:val="12"/>
        </w:rPr>
      </w:pPr>
      <w:r>
        <w:rPr>
          <w:color w:val="231F20"/>
          <w:sz w:val="12"/>
        </w:rPr>
        <w:t>vpravo</w:t>
      </w:r>
    </w:p>
    <w:p w14:paraId="5D9C8C48" w14:textId="77777777" w:rsidR="00F65BCA" w:rsidRDefault="00216117">
      <w:pPr>
        <w:pStyle w:val="Odstavecseseznamem"/>
        <w:numPr>
          <w:ilvl w:val="0"/>
          <w:numId w:val="28"/>
        </w:numPr>
        <w:tabs>
          <w:tab w:val="left" w:pos="456"/>
        </w:tabs>
        <w:spacing w:before="49"/>
        <w:ind w:hanging="273"/>
        <w:rPr>
          <w:sz w:val="12"/>
        </w:rPr>
      </w:pPr>
      <w:r>
        <w:rPr>
          <w:color w:val="231F20"/>
          <w:sz w:val="12"/>
        </w:rPr>
        <w:t>vlevo</w:t>
      </w:r>
    </w:p>
    <w:p w14:paraId="59BE9C51" w14:textId="77777777" w:rsidR="00F65BCA" w:rsidRDefault="00F65BCA">
      <w:pPr>
        <w:pStyle w:val="Zkladntext"/>
        <w:spacing w:before="10"/>
        <w:rPr>
          <w:sz w:val="14"/>
        </w:rPr>
      </w:pPr>
    </w:p>
    <w:p w14:paraId="007FBA6D" w14:textId="77777777" w:rsidR="00F65BCA" w:rsidRDefault="00216117">
      <w:pPr>
        <w:ind w:left="1046"/>
        <w:rPr>
          <w:b/>
          <w:sz w:val="14"/>
        </w:rPr>
      </w:pPr>
      <w:r>
        <w:rPr>
          <w:b/>
          <w:color w:val="231F20"/>
          <w:sz w:val="14"/>
        </w:rPr>
        <w:t>DOLNÍ KONČETINA</w:t>
      </w:r>
    </w:p>
    <w:p w14:paraId="3F1FA9C2" w14:textId="77777777" w:rsidR="00F65BCA" w:rsidRDefault="00216117">
      <w:pPr>
        <w:pStyle w:val="Odstavecseseznamem"/>
        <w:numPr>
          <w:ilvl w:val="0"/>
          <w:numId w:val="28"/>
        </w:numPr>
        <w:tabs>
          <w:tab w:val="left" w:pos="456"/>
        </w:tabs>
        <w:spacing w:before="52" w:line="249" w:lineRule="auto"/>
        <w:ind w:right="157"/>
        <w:rPr>
          <w:sz w:val="12"/>
        </w:rPr>
      </w:pPr>
      <w:r>
        <w:rPr>
          <w:color w:val="231F20"/>
          <w:sz w:val="12"/>
        </w:rPr>
        <w:t>Ztráta</w:t>
      </w:r>
      <w:r>
        <w:rPr>
          <w:color w:val="231F20"/>
          <w:spacing w:val="-14"/>
          <w:sz w:val="12"/>
        </w:rPr>
        <w:t xml:space="preserve"> </w:t>
      </w:r>
      <w:r>
        <w:rPr>
          <w:color w:val="231F20"/>
          <w:sz w:val="12"/>
        </w:rPr>
        <w:t>jedné</w:t>
      </w:r>
      <w:r>
        <w:rPr>
          <w:color w:val="231F20"/>
          <w:spacing w:val="-13"/>
          <w:sz w:val="12"/>
        </w:rPr>
        <w:t xml:space="preserve"> </w:t>
      </w:r>
      <w:r>
        <w:rPr>
          <w:color w:val="231F20"/>
          <w:sz w:val="12"/>
        </w:rPr>
        <w:t>dolní</w:t>
      </w:r>
      <w:r>
        <w:rPr>
          <w:color w:val="231F20"/>
          <w:spacing w:val="-13"/>
          <w:sz w:val="12"/>
        </w:rPr>
        <w:t xml:space="preserve"> </w:t>
      </w:r>
      <w:r>
        <w:rPr>
          <w:color w:val="231F20"/>
          <w:sz w:val="12"/>
        </w:rPr>
        <w:t>končetiny</w:t>
      </w:r>
      <w:r>
        <w:rPr>
          <w:color w:val="231F20"/>
          <w:spacing w:val="-14"/>
          <w:sz w:val="12"/>
        </w:rPr>
        <w:t xml:space="preserve"> </w:t>
      </w:r>
      <w:r>
        <w:rPr>
          <w:color w:val="231F20"/>
          <w:sz w:val="12"/>
        </w:rPr>
        <w:t>v</w:t>
      </w:r>
      <w:r>
        <w:rPr>
          <w:color w:val="231F20"/>
          <w:spacing w:val="-13"/>
          <w:sz w:val="12"/>
        </w:rPr>
        <w:t xml:space="preserve"> </w:t>
      </w:r>
      <w:r>
        <w:rPr>
          <w:color w:val="231F20"/>
          <w:sz w:val="12"/>
        </w:rPr>
        <w:t>kyčelním</w:t>
      </w:r>
      <w:r>
        <w:rPr>
          <w:color w:val="231F20"/>
          <w:spacing w:val="-13"/>
          <w:sz w:val="12"/>
        </w:rPr>
        <w:t xml:space="preserve"> </w:t>
      </w:r>
      <w:r>
        <w:rPr>
          <w:color w:val="231F20"/>
          <w:spacing w:val="-3"/>
          <w:sz w:val="12"/>
        </w:rPr>
        <w:t xml:space="preserve">kloubu </w:t>
      </w:r>
      <w:r>
        <w:rPr>
          <w:color w:val="231F20"/>
          <w:sz w:val="12"/>
        </w:rPr>
        <w:t>nebo v oblasti mezi kyčelním a kolenním kloubem</w:t>
      </w:r>
    </w:p>
    <w:p w14:paraId="3CC0603A" w14:textId="77777777" w:rsidR="00F65BCA" w:rsidRDefault="00216117">
      <w:pPr>
        <w:pStyle w:val="Odstavecseseznamem"/>
        <w:numPr>
          <w:ilvl w:val="0"/>
          <w:numId w:val="28"/>
        </w:numPr>
        <w:tabs>
          <w:tab w:val="left" w:pos="456"/>
        </w:tabs>
        <w:spacing w:before="37"/>
        <w:ind w:hanging="273"/>
        <w:rPr>
          <w:sz w:val="12"/>
        </w:rPr>
      </w:pPr>
      <w:r>
        <w:rPr>
          <w:color w:val="231F20"/>
          <w:sz w:val="12"/>
        </w:rPr>
        <w:t>Nekrosa hlavice kosti</w:t>
      </w:r>
      <w:r>
        <w:rPr>
          <w:color w:val="231F20"/>
          <w:spacing w:val="-7"/>
          <w:sz w:val="12"/>
        </w:rPr>
        <w:t xml:space="preserve"> </w:t>
      </w:r>
      <w:r>
        <w:rPr>
          <w:color w:val="231F20"/>
          <w:sz w:val="12"/>
        </w:rPr>
        <w:t>stehenní</w:t>
      </w:r>
    </w:p>
    <w:p w14:paraId="3B3873D4" w14:textId="77777777" w:rsidR="00F65BCA" w:rsidRDefault="00216117">
      <w:pPr>
        <w:pStyle w:val="Odstavecseseznamem"/>
        <w:numPr>
          <w:ilvl w:val="0"/>
          <w:numId w:val="28"/>
        </w:numPr>
        <w:tabs>
          <w:tab w:val="left" w:pos="456"/>
        </w:tabs>
        <w:spacing w:before="47" w:line="165" w:lineRule="auto"/>
        <w:ind w:right="366"/>
        <w:rPr>
          <w:sz w:val="12"/>
        </w:rPr>
      </w:pPr>
      <w:r>
        <w:rPr>
          <w:color w:val="231F20"/>
          <w:sz w:val="12"/>
        </w:rPr>
        <w:t>Pakloub</w:t>
      </w:r>
      <w:r>
        <w:rPr>
          <w:color w:val="231F20"/>
          <w:spacing w:val="-15"/>
          <w:sz w:val="12"/>
        </w:rPr>
        <w:t xml:space="preserve"> </w:t>
      </w:r>
      <w:r>
        <w:rPr>
          <w:color w:val="231F20"/>
          <w:sz w:val="12"/>
        </w:rPr>
        <w:t>kosti</w:t>
      </w:r>
      <w:r>
        <w:rPr>
          <w:color w:val="231F20"/>
          <w:spacing w:val="-14"/>
          <w:sz w:val="12"/>
        </w:rPr>
        <w:t xml:space="preserve"> </w:t>
      </w:r>
      <w:r>
        <w:rPr>
          <w:color w:val="231F20"/>
          <w:sz w:val="12"/>
        </w:rPr>
        <w:t>dolní</w:t>
      </w:r>
      <w:r>
        <w:rPr>
          <w:color w:val="231F20"/>
          <w:spacing w:val="-15"/>
          <w:sz w:val="12"/>
        </w:rPr>
        <w:t xml:space="preserve"> </w:t>
      </w:r>
      <w:r>
        <w:rPr>
          <w:color w:val="231F20"/>
          <w:sz w:val="12"/>
        </w:rPr>
        <w:t>končetiny</w:t>
      </w:r>
      <w:r>
        <w:rPr>
          <w:color w:val="231F20"/>
          <w:spacing w:val="-14"/>
          <w:sz w:val="12"/>
        </w:rPr>
        <w:t xml:space="preserve"> </w:t>
      </w:r>
      <w:r>
        <w:rPr>
          <w:color w:val="231F20"/>
          <w:sz w:val="12"/>
        </w:rPr>
        <w:t>bez</w:t>
      </w:r>
      <w:r>
        <w:rPr>
          <w:color w:val="231F20"/>
          <w:spacing w:val="-15"/>
          <w:sz w:val="12"/>
        </w:rPr>
        <w:t xml:space="preserve"> </w:t>
      </w:r>
      <w:r>
        <w:rPr>
          <w:color w:val="231F20"/>
          <w:spacing w:val="-3"/>
          <w:sz w:val="12"/>
        </w:rPr>
        <w:t xml:space="preserve">rozlišení </w:t>
      </w:r>
      <w:r>
        <w:rPr>
          <w:color w:val="231F20"/>
          <w:sz w:val="12"/>
        </w:rPr>
        <w:t>lokality</w:t>
      </w:r>
    </w:p>
    <w:p w14:paraId="7FC04EEC" w14:textId="77777777" w:rsidR="00F65BCA" w:rsidRDefault="00216117">
      <w:pPr>
        <w:spacing w:before="45"/>
        <w:ind w:left="455"/>
        <w:rPr>
          <w:sz w:val="12"/>
        </w:rPr>
      </w:pPr>
      <w:r>
        <w:rPr>
          <w:b/>
          <w:color w:val="231F20"/>
          <w:sz w:val="12"/>
        </w:rPr>
        <w:t xml:space="preserve">Zkrácení </w:t>
      </w:r>
      <w:r>
        <w:rPr>
          <w:color w:val="231F20"/>
          <w:sz w:val="12"/>
        </w:rPr>
        <w:t>jedné dolní končetiny</w:t>
      </w:r>
    </w:p>
    <w:p w14:paraId="0FA0BBCF" w14:textId="77777777" w:rsidR="00F65BCA" w:rsidRDefault="00216117">
      <w:pPr>
        <w:pStyle w:val="Odstavecseseznamem"/>
        <w:numPr>
          <w:ilvl w:val="0"/>
          <w:numId w:val="28"/>
        </w:numPr>
        <w:tabs>
          <w:tab w:val="left" w:pos="456"/>
        </w:tabs>
        <w:spacing w:before="46"/>
        <w:ind w:hanging="273"/>
        <w:rPr>
          <w:sz w:val="12"/>
        </w:rPr>
      </w:pPr>
      <w:r>
        <w:rPr>
          <w:color w:val="231F20"/>
          <w:sz w:val="12"/>
        </w:rPr>
        <w:t>do 2</w:t>
      </w:r>
      <w:r>
        <w:rPr>
          <w:color w:val="231F20"/>
          <w:spacing w:val="-19"/>
          <w:sz w:val="12"/>
        </w:rPr>
        <w:t xml:space="preserve"> </w:t>
      </w:r>
      <w:r>
        <w:rPr>
          <w:color w:val="231F20"/>
          <w:sz w:val="12"/>
        </w:rPr>
        <w:t>cm</w:t>
      </w:r>
    </w:p>
    <w:p w14:paraId="2451A248" w14:textId="77777777" w:rsidR="00F65BCA" w:rsidRDefault="00216117">
      <w:pPr>
        <w:pStyle w:val="Odstavecseseznamem"/>
        <w:numPr>
          <w:ilvl w:val="0"/>
          <w:numId w:val="28"/>
        </w:numPr>
        <w:tabs>
          <w:tab w:val="left" w:pos="456"/>
        </w:tabs>
        <w:spacing w:before="44"/>
        <w:ind w:hanging="273"/>
        <w:rPr>
          <w:sz w:val="12"/>
        </w:rPr>
      </w:pPr>
      <w:r>
        <w:rPr>
          <w:color w:val="231F20"/>
          <w:sz w:val="12"/>
        </w:rPr>
        <w:t>o</w:t>
      </w:r>
      <w:r>
        <w:rPr>
          <w:color w:val="231F20"/>
          <w:spacing w:val="-4"/>
          <w:sz w:val="12"/>
        </w:rPr>
        <w:t xml:space="preserve"> </w:t>
      </w:r>
      <w:r>
        <w:rPr>
          <w:color w:val="231F20"/>
          <w:sz w:val="12"/>
        </w:rPr>
        <w:t>více</w:t>
      </w:r>
      <w:r>
        <w:rPr>
          <w:color w:val="231F20"/>
          <w:spacing w:val="-4"/>
          <w:sz w:val="12"/>
        </w:rPr>
        <w:t xml:space="preserve"> </w:t>
      </w:r>
      <w:r>
        <w:rPr>
          <w:color w:val="231F20"/>
          <w:sz w:val="12"/>
        </w:rPr>
        <w:t>než</w:t>
      </w:r>
      <w:r>
        <w:rPr>
          <w:color w:val="231F20"/>
          <w:spacing w:val="-4"/>
          <w:sz w:val="12"/>
        </w:rPr>
        <w:t xml:space="preserve"> </w:t>
      </w:r>
      <w:r>
        <w:rPr>
          <w:color w:val="231F20"/>
          <w:sz w:val="12"/>
        </w:rPr>
        <w:t>2</w:t>
      </w:r>
      <w:r>
        <w:rPr>
          <w:color w:val="231F20"/>
          <w:spacing w:val="-21"/>
          <w:sz w:val="12"/>
        </w:rPr>
        <w:t xml:space="preserve"> </w:t>
      </w:r>
      <w:r>
        <w:rPr>
          <w:color w:val="231F20"/>
          <w:sz w:val="12"/>
        </w:rPr>
        <w:t>cm</w:t>
      </w:r>
      <w:r>
        <w:rPr>
          <w:color w:val="231F20"/>
          <w:spacing w:val="-3"/>
          <w:sz w:val="12"/>
        </w:rPr>
        <w:t xml:space="preserve"> </w:t>
      </w:r>
      <w:r>
        <w:rPr>
          <w:color w:val="231F20"/>
          <w:sz w:val="12"/>
        </w:rPr>
        <w:t>do</w:t>
      </w:r>
      <w:r>
        <w:rPr>
          <w:color w:val="231F20"/>
          <w:spacing w:val="-4"/>
          <w:sz w:val="12"/>
        </w:rPr>
        <w:t xml:space="preserve"> </w:t>
      </w:r>
      <w:r>
        <w:rPr>
          <w:color w:val="231F20"/>
          <w:sz w:val="12"/>
        </w:rPr>
        <w:t>4</w:t>
      </w:r>
      <w:r>
        <w:rPr>
          <w:color w:val="231F20"/>
          <w:spacing w:val="-21"/>
          <w:sz w:val="12"/>
        </w:rPr>
        <w:t xml:space="preserve"> </w:t>
      </w:r>
      <w:r>
        <w:rPr>
          <w:color w:val="231F20"/>
          <w:sz w:val="12"/>
        </w:rPr>
        <w:t>cm</w:t>
      </w:r>
    </w:p>
    <w:p w14:paraId="6ACB72D4" w14:textId="77777777" w:rsidR="00F65BCA" w:rsidRDefault="00216117">
      <w:pPr>
        <w:pStyle w:val="Odstavecseseznamem"/>
        <w:numPr>
          <w:ilvl w:val="0"/>
          <w:numId w:val="28"/>
        </w:numPr>
        <w:tabs>
          <w:tab w:val="left" w:pos="456"/>
        </w:tabs>
        <w:spacing w:before="43"/>
        <w:ind w:hanging="273"/>
        <w:rPr>
          <w:sz w:val="12"/>
        </w:rPr>
      </w:pPr>
      <w:r>
        <w:rPr>
          <w:color w:val="231F20"/>
          <w:sz w:val="12"/>
        </w:rPr>
        <w:t>o</w:t>
      </w:r>
      <w:r>
        <w:rPr>
          <w:color w:val="231F20"/>
          <w:spacing w:val="-4"/>
          <w:sz w:val="12"/>
        </w:rPr>
        <w:t xml:space="preserve"> </w:t>
      </w:r>
      <w:r>
        <w:rPr>
          <w:color w:val="231F20"/>
          <w:sz w:val="12"/>
        </w:rPr>
        <w:t>více</w:t>
      </w:r>
      <w:r>
        <w:rPr>
          <w:color w:val="231F20"/>
          <w:spacing w:val="-4"/>
          <w:sz w:val="12"/>
        </w:rPr>
        <w:t xml:space="preserve"> </w:t>
      </w:r>
      <w:r>
        <w:rPr>
          <w:color w:val="231F20"/>
          <w:sz w:val="12"/>
        </w:rPr>
        <w:t>než</w:t>
      </w:r>
      <w:r>
        <w:rPr>
          <w:color w:val="231F20"/>
          <w:spacing w:val="-4"/>
          <w:sz w:val="12"/>
        </w:rPr>
        <w:t xml:space="preserve"> </w:t>
      </w:r>
      <w:r>
        <w:rPr>
          <w:color w:val="231F20"/>
          <w:sz w:val="12"/>
        </w:rPr>
        <w:t>4</w:t>
      </w:r>
      <w:r>
        <w:rPr>
          <w:color w:val="231F20"/>
          <w:spacing w:val="-21"/>
          <w:sz w:val="12"/>
        </w:rPr>
        <w:t xml:space="preserve"> </w:t>
      </w:r>
      <w:r>
        <w:rPr>
          <w:color w:val="231F20"/>
          <w:sz w:val="12"/>
        </w:rPr>
        <w:t>cm</w:t>
      </w:r>
      <w:r>
        <w:rPr>
          <w:color w:val="231F20"/>
          <w:spacing w:val="-3"/>
          <w:sz w:val="12"/>
        </w:rPr>
        <w:t xml:space="preserve"> </w:t>
      </w:r>
      <w:r>
        <w:rPr>
          <w:color w:val="231F20"/>
          <w:sz w:val="12"/>
        </w:rPr>
        <w:t>do</w:t>
      </w:r>
      <w:r>
        <w:rPr>
          <w:color w:val="231F20"/>
          <w:spacing w:val="-4"/>
          <w:sz w:val="12"/>
        </w:rPr>
        <w:t xml:space="preserve"> </w:t>
      </w:r>
      <w:r>
        <w:rPr>
          <w:color w:val="231F20"/>
          <w:sz w:val="12"/>
        </w:rPr>
        <w:t>6</w:t>
      </w:r>
      <w:r>
        <w:rPr>
          <w:color w:val="231F20"/>
          <w:spacing w:val="-21"/>
          <w:sz w:val="12"/>
        </w:rPr>
        <w:t xml:space="preserve"> </w:t>
      </w:r>
      <w:r>
        <w:rPr>
          <w:color w:val="231F20"/>
          <w:sz w:val="12"/>
        </w:rPr>
        <w:t>cm</w:t>
      </w:r>
    </w:p>
    <w:p w14:paraId="1A012495" w14:textId="77777777" w:rsidR="00F65BCA" w:rsidRDefault="00216117">
      <w:pPr>
        <w:pStyle w:val="Odstavecseseznamem"/>
        <w:numPr>
          <w:ilvl w:val="0"/>
          <w:numId w:val="28"/>
        </w:numPr>
        <w:tabs>
          <w:tab w:val="left" w:pos="456"/>
        </w:tabs>
        <w:spacing w:before="44"/>
        <w:ind w:hanging="273"/>
        <w:rPr>
          <w:sz w:val="12"/>
        </w:rPr>
      </w:pPr>
      <w:r>
        <w:rPr>
          <w:color w:val="231F20"/>
          <w:sz w:val="12"/>
        </w:rPr>
        <w:t>přes 6</w:t>
      </w:r>
      <w:r>
        <w:rPr>
          <w:color w:val="231F20"/>
          <w:spacing w:val="-20"/>
          <w:sz w:val="12"/>
        </w:rPr>
        <w:t xml:space="preserve"> </w:t>
      </w:r>
      <w:r>
        <w:rPr>
          <w:color w:val="231F20"/>
          <w:sz w:val="12"/>
        </w:rPr>
        <w:t>cm</w:t>
      </w:r>
    </w:p>
    <w:p w14:paraId="38E51B75" w14:textId="77777777" w:rsidR="00F65BCA" w:rsidRDefault="00216117">
      <w:pPr>
        <w:pStyle w:val="Odstavecseseznamem"/>
        <w:numPr>
          <w:ilvl w:val="0"/>
          <w:numId w:val="28"/>
        </w:numPr>
        <w:tabs>
          <w:tab w:val="left" w:pos="456"/>
        </w:tabs>
        <w:spacing w:before="51" w:line="249" w:lineRule="auto"/>
        <w:ind w:right="287"/>
        <w:rPr>
          <w:sz w:val="12"/>
        </w:rPr>
      </w:pPr>
      <w:r>
        <w:rPr>
          <w:color w:val="231F20"/>
          <w:w w:val="95"/>
          <w:sz w:val="12"/>
        </w:rPr>
        <w:t xml:space="preserve">Deformity kosti stehenní (zlomeniny </w:t>
      </w:r>
      <w:r>
        <w:rPr>
          <w:color w:val="231F20"/>
          <w:spacing w:val="-3"/>
          <w:w w:val="95"/>
          <w:sz w:val="12"/>
        </w:rPr>
        <w:t xml:space="preserve">zhojené </w:t>
      </w:r>
      <w:r>
        <w:rPr>
          <w:color w:val="231F20"/>
          <w:sz w:val="12"/>
        </w:rPr>
        <w:t>s úchylkou osovou nebo</w:t>
      </w:r>
      <w:r>
        <w:rPr>
          <w:color w:val="231F20"/>
          <w:spacing w:val="-12"/>
          <w:sz w:val="12"/>
        </w:rPr>
        <w:t xml:space="preserve"> </w:t>
      </w:r>
      <w:r>
        <w:rPr>
          <w:color w:val="231F20"/>
          <w:sz w:val="12"/>
        </w:rPr>
        <w:t>rotační)</w:t>
      </w:r>
    </w:p>
    <w:p w14:paraId="485B1B3D" w14:textId="77777777" w:rsidR="00F65BCA" w:rsidRDefault="00216117">
      <w:pPr>
        <w:pStyle w:val="Odstavecseseznamem"/>
        <w:numPr>
          <w:ilvl w:val="1"/>
          <w:numId w:val="28"/>
        </w:numPr>
        <w:tabs>
          <w:tab w:val="left" w:pos="585"/>
        </w:tabs>
        <w:spacing w:before="1"/>
        <w:ind w:hanging="130"/>
        <w:rPr>
          <w:sz w:val="12"/>
        </w:rPr>
      </w:pPr>
      <w:r>
        <w:rPr>
          <w:color w:val="231F20"/>
          <w:sz w:val="12"/>
        </w:rPr>
        <w:t>musí být prokázány na</w:t>
      </w:r>
      <w:r>
        <w:rPr>
          <w:color w:val="231F20"/>
          <w:spacing w:val="-8"/>
          <w:sz w:val="12"/>
        </w:rPr>
        <w:t xml:space="preserve"> </w:t>
      </w:r>
      <w:r>
        <w:rPr>
          <w:color w:val="231F20"/>
          <w:sz w:val="12"/>
        </w:rPr>
        <w:t>RTG</w:t>
      </w:r>
    </w:p>
    <w:p w14:paraId="6A30D4CA" w14:textId="77777777" w:rsidR="00F65BCA" w:rsidRDefault="00216117">
      <w:pPr>
        <w:pStyle w:val="Odstavecseseznamem"/>
        <w:numPr>
          <w:ilvl w:val="1"/>
          <w:numId w:val="28"/>
        </w:numPr>
        <w:tabs>
          <w:tab w:val="left" w:pos="585"/>
        </w:tabs>
        <w:spacing w:before="6"/>
        <w:ind w:hanging="130"/>
        <w:rPr>
          <w:sz w:val="12"/>
        </w:rPr>
      </w:pPr>
      <w:r>
        <w:rPr>
          <w:color w:val="231F20"/>
          <w:sz w:val="12"/>
        </w:rPr>
        <w:t>hodnotí se až pokud přesahují</w:t>
      </w:r>
      <w:r>
        <w:rPr>
          <w:color w:val="231F20"/>
          <w:spacing w:val="-12"/>
          <w:sz w:val="12"/>
        </w:rPr>
        <w:t xml:space="preserve"> </w:t>
      </w:r>
      <w:r>
        <w:rPr>
          <w:color w:val="231F20"/>
          <w:sz w:val="12"/>
        </w:rPr>
        <w:t>5°</w:t>
      </w:r>
    </w:p>
    <w:p w14:paraId="6E603D38" w14:textId="77777777" w:rsidR="00F65BCA" w:rsidRDefault="00216117">
      <w:pPr>
        <w:pStyle w:val="Odstavecseseznamem"/>
        <w:numPr>
          <w:ilvl w:val="1"/>
          <w:numId w:val="28"/>
        </w:numPr>
        <w:tabs>
          <w:tab w:val="left" w:pos="585"/>
        </w:tabs>
        <w:spacing w:before="6"/>
        <w:ind w:hanging="130"/>
        <w:rPr>
          <w:sz w:val="12"/>
        </w:rPr>
      </w:pPr>
      <w:r>
        <w:rPr>
          <w:color w:val="231F20"/>
          <w:sz w:val="12"/>
        </w:rPr>
        <w:t>za každých 5° úchylky plnění</w:t>
      </w:r>
      <w:r>
        <w:rPr>
          <w:color w:val="231F20"/>
          <w:spacing w:val="-20"/>
          <w:sz w:val="12"/>
        </w:rPr>
        <w:t xml:space="preserve"> </w:t>
      </w:r>
      <w:r>
        <w:rPr>
          <w:color w:val="231F20"/>
          <w:sz w:val="12"/>
        </w:rPr>
        <w:t>náleží</w:t>
      </w:r>
    </w:p>
    <w:p w14:paraId="7D198680" w14:textId="77777777" w:rsidR="00F65BCA" w:rsidRDefault="00216117">
      <w:pPr>
        <w:spacing w:before="82" w:line="249" w:lineRule="auto"/>
        <w:ind w:left="455" w:right="37"/>
        <w:rPr>
          <w:sz w:val="12"/>
        </w:rPr>
      </w:pPr>
      <w:r>
        <w:rPr>
          <w:b/>
          <w:color w:val="231F20"/>
          <w:sz w:val="12"/>
        </w:rPr>
        <w:t xml:space="preserve">Úchylky </w:t>
      </w:r>
      <w:r>
        <w:rPr>
          <w:color w:val="231F20"/>
          <w:sz w:val="12"/>
        </w:rPr>
        <w:t xml:space="preserve">přes 45° se hodnotí jako ztráta končetiny. Při hodnocení </w:t>
      </w:r>
      <w:r>
        <w:rPr>
          <w:b/>
          <w:color w:val="231F20"/>
          <w:sz w:val="12"/>
        </w:rPr>
        <w:t xml:space="preserve">osové úchylky </w:t>
      </w:r>
      <w:r>
        <w:rPr>
          <w:color w:val="231F20"/>
          <w:spacing w:val="-4"/>
          <w:sz w:val="12"/>
        </w:rPr>
        <w:t xml:space="preserve">nelze </w:t>
      </w:r>
      <w:r>
        <w:rPr>
          <w:color w:val="231F20"/>
          <w:sz w:val="12"/>
        </w:rPr>
        <w:t>současně započítávat zkrácení končetiny.</w:t>
      </w:r>
    </w:p>
    <w:p w14:paraId="5749D1C3" w14:textId="77777777" w:rsidR="00F65BCA" w:rsidRDefault="00216117">
      <w:pPr>
        <w:spacing w:before="62"/>
        <w:ind w:right="895"/>
        <w:jc w:val="right"/>
        <w:rPr>
          <w:b/>
          <w:sz w:val="12"/>
        </w:rPr>
      </w:pPr>
      <w:r>
        <w:rPr>
          <w:b/>
          <w:color w:val="231F20"/>
          <w:sz w:val="12"/>
        </w:rPr>
        <w:t>Kyčelní kloub</w:t>
      </w:r>
    </w:p>
    <w:p w14:paraId="46010A05" w14:textId="77777777" w:rsidR="00F65BCA" w:rsidRDefault="00216117">
      <w:pPr>
        <w:spacing w:before="47"/>
        <w:ind w:right="844"/>
        <w:jc w:val="right"/>
        <w:rPr>
          <w:sz w:val="12"/>
        </w:rPr>
      </w:pPr>
      <w:r>
        <w:rPr>
          <w:color w:val="231F20"/>
          <w:sz w:val="12"/>
        </w:rPr>
        <w:t>Úplná</w:t>
      </w:r>
      <w:r>
        <w:rPr>
          <w:color w:val="231F20"/>
          <w:spacing w:val="-17"/>
          <w:sz w:val="12"/>
        </w:rPr>
        <w:t xml:space="preserve"> </w:t>
      </w:r>
      <w:r>
        <w:rPr>
          <w:b/>
          <w:color w:val="231F20"/>
          <w:sz w:val="12"/>
        </w:rPr>
        <w:t>ztuhlost</w:t>
      </w:r>
      <w:r>
        <w:rPr>
          <w:b/>
          <w:color w:val="231F20"/>
          <w:spacing w:val="-16"/>
          <w:sz w:val="12"/>
        </w:rPr>
        <w:t xml:space="preserve"> </w:t>
      </w:r>
      <w:r>
        <w:rPr>
          <w:color w:val="231F20"/>
          <w:sz w:val="12"/>
        </w:rPr>
        <w:t>kyčelního</w:t>
      </w:r>
      <w:r>
        <w:rPr>
          <w:color w:val="231F20"/>
          <w:spacing w:val="-17"/>
          <w:sz w:val="12"/>
        </w:rPr>
        <w:t xml:space="preserve"> </w:t>
      </w:r>
      <w:r>
        <w:rPr>
          <w:color w:val="231F20"/>
          <w:sz w:val="12"/>
        </w:rPr>
        <w:t>kloubu</w:t>
      </w:r>
    </w:p>
    <w:p w14:paraId="30EA3609" w14:textId="77777777" w:rsidR="00F65BCA" w:rsidRDefault="00216117">
      <w:pPr>
        <w:pStyle w:val="Odstavecseseznamem"/>
        <w:numPr>
          <w:ilvl w:val="0"/>
          <w:numId w:val="28"/>
        </w:numPr>
        <w:tabs>
          <w:tab w:val="left" w:pos="456"/>
        </w:tabs>
        <w:spacing w:before="43"/>
        <w:ind w:hanging="273"/>
        <w:rPr>
          <w:sz w:val="12"/>
        </w:rPr>
      </w:pPr>
      <w:r>
        <w:rPr>
          <w:color w:val="231F20"/>
          <w:w w:val="95"/>
          <w:sz w:val="12"/>
        </w:rPr>
        <w:t>v nepříznivém</w:t>
      </w:r>
      <w:r>
        <w:rPr>
          <w:color w:val="231F20"/>
          <w:spacing w:val="-3"/>
          <w:w w:val="95"/>
          <w:sz w:val="12"/>
        </w:rPr>
        <w:t xml:space="preserve"> </w:t>
      </w:r>
      <w:r>
        <w:rPr>
          <w:color w:val="231F20"/>
          <w:w w:val="95"/>
          <w:sz w:val="12"/>
        </w:rPr>
        <w:t>postavení</w:t>
      </w:r>
    </w:p>
    <w:p w14:paraId="2427D768" w14:textId="77777777" w:rsidR="00F65BCA" w:rsidRDefault="00216117">
      <w:pPr>
        <w:pStyle w:val="Odstavecseseznamem"/>
        <w:numPr>
          <w:ilvl w:val="0"/>
          <w:numId w:val="28"/>
        </w:numPr>
        <w:tabs>
          <w:tab w:val="left" w:pos="456"/>
        </w:tabs>
        <w:spacing w:before="44"/>
        <w:ind w:hanging="273"/>
        <w:rPr>
          <w:sz w:val="12"/>
        </w:rPr>
      </w:pPr>
      <w:r>
        <w:rPr>
          <w:color w:val="231F20"/>
          <w:sz w:val="12"/>
        </w:rPr>
        <w:t>v příznivém</w:t>
      </w:r>
      <w:r>
        <w:rPr>
          <w:color w:val="231F20"/>
          <w:spacing w:val="-3"/>
          <w:sz w:val="12"/>
        </w:rPr>
        <w:t xml:space="preserve"> </w:t>
      </w:r>
      <w:r>
        <w:rPr>
          <w:color w:val="231F20"/>
          <w:sz w:val="12"/>
        </w:rPr>
        <w:t>postavení</w:t>
      </w:r>
    </w:p>
    <w:p w14:paraId="277F65FB" w14:textId="77777777" w:rsidR="00F65BCA" w:rsidRDefault="00216117">
      <w:pPr>
        <w:spacing w:before="43"/>
        <w:ind w:left="455"/>
        <w:rPr>
          <w:sz w:val="12"/>
        </w:rPr>
      </w:pPr>
      <w:r>
        <w:rPr>
          <w:b/>
          <w:color w:val="231F20"/>
          <w:sz w:val="12"/>
        </w:rPr>
        <w:t xml:space="preserve">Omezení pohyblivosti </w:t>
      </w:r>
      <w:r>
        <w:rPr>
          <w:color w:val="231F20"/>
          <w:sz w:val="12"/>
        </w:rPr>
        <w:t>kyčelního kloubu</w:t>
      </w:r>
    </w:p>
    <w:p w14:paraId="5D7826AC" w14:textId="77777777" w:rsidR="00F65BCA" w:rsidRDefault="00216117">
      <w:pPr>
        <w:pStyle w:val="Odstavecseseznamem"/>
        <w:numPr>
          <w:ilvl w:val="0"/>
          <w:numId w:val="28"/>
        </w:numPr>
        <w:tabs>
          <w:tab w:val="left" w:pos="456"/>
        </w:tabs>
        <w:spacing w:before="43"/>
        <w:ind w:hanging="273"/>
        <w:rPr>
          <w:sz w:val="12"/>
        </w:rPr>
      </w:pPr>
      <w:r>
        <w:rPr>
          <w:color w:val="231F20"/>
          <w:sz w:val="12"/>
        </w:rPr>
        <w:t>lehkého</w:t>
      </w:r>
      <w:r>
        <w:rPr>
          <w:color w:val="231F20"/>
          <w:spacing w:val="-1"/>
          <w:sz w:val="12"/>
        </w:rPr>
        <w:t xml:space="preserve"> </w:t>
      </w:r>
      <w:r>
        <w:rPr>
          <w:color w:val="231F20"/>
          <w:sz w:val="12"/>
        </w:rPr>
        <w:t>stupně</w:t>
      </w:r>
    </w:p>
    <w:p w14:paraId="6570822D" w14:textId="77777777" w:rsidR="00F65BCA" w:rsidRDefault="00216117">
      <w:pPr>
        <w:pStyle w:val="Odstavecseseznamem"/>
        <w:numPr>
          <w:ilvl w:val="0"/>
          <w:numId w:val="28"/>
        </w:numPr>
        <w:tabs>
          <w:tab w:val="left" w:pos="456"/>
        </w:tabs>
        <w:spacing w:before="44"/>
        <w:ind w:hanging="273"/>
        <w:rPr>
          <w:sz w:val="12"/>
        </w:rPr>
      </w:pPr>
      <w:r>
        <w:rPr>
          <w:color w:val="231F20"/>
          <w:sz w:val="12"/>
        </w:rPr>
        <w:t>středního</w:t>
      </w:r>
      <w:r>
        <w:rPr>
          <w:color w:val="231F20"/>
          <w:spacing w:val="-1"/>
          <w:sz w:val="12"/>
        </w:rPr>
        <w:t xml:space="preserve"> </w:t>
      </w:r>
      <w:r>
        <w:rPr>
          <w:color w:val="231F20"/>
          <w:sz w:val="12"/>
        </w:rPr>
        <w:t>stupně</w:t>
      </w:r>
    </w:p>
    <w:p w14:paraId="283EF58E" w14:textId="77777777" w:rsidR="00F65BCA" w:rsidRDefault="00216117">
      <w:pPr>
        <w:pStyle w:val="Odstavecseseznamem"/>
        <w:numPr>
          <w:ilvl w:val="0"/>
          <w:numId w:val="28"/>
        </w:numPr>
        <w:tabs>
          <w:tab w:val="left" w:pos="456"/>
        </w:tabs>
        <w:spacing w:before="44"/>
        <w:ind w:hanging="273"/>
        <w:rPr>
          <w:sz w:val="12"/>
        </w:rPr>
      </w:pPr>
      <w:r>
        <w:rPr>
          <w:color w:val="231F20"/>
          <w:sz w:val="12"/>
        </w:rPr>
        <w:t>těžkého</w:t>
      </w:r>
      <w:r>
        <w:rPr>
          <w:color w:val="231F20"/>
          <w:spacing w:val="-1"/>
          <w:sz w:val="12"/>
        </w:rPr>
        <w:t xml:space="preserve"> </w:t>
      </w:r>
      <w:r>
        <w:rPr>
          <w:color w:val="231F20"/>
          <w:sz w:val="12"/>
        </w:rPr>
        <w:t>stupně</w:t>
      </w:r>
    </w:p>
    <w:p w14:paraId="125F1012" w14:textId="77777777" w:rsidR="00F65BCA" w:rsidRDefault="00216117">
      <w:pPr>
        <w:spacing w:before="106"/>
        <w:ind w:left="183"/>
        <w:rPr>
          <w:sz w:val="12"/>
        </w:rPr>
      </w:pPr>
      <w:r>
        <w:br w:type="column"/>
      </w:r>
      <w:r>
        <w:rPr>
          <w:color w:val="231F20"/>
          <w:sz w:val="12"/>
        </w:rPr>
        <w:t>do 25</w:t>
      </w:r>
      <w:r>
        <w:rPr>
          <w:color w:val="231F20"/>
          <w:spacing w:val="-17"/>
          <w:sz w:val="12"/>
        </w:rPr>
        <w:t xml:space="preserve"> </w:t>
      </w:r>
      <w:r>
        <w:rPr>
          <w:color w:val="231F20"/>
          <w:sz w:val="12"/>
        </w:rPr>
        <w:t>%</w:t>
      </w:r>
    </w:p>
    <w:p w14:paraId="63F840F4" w14:textId="77777777" w:rsidR="00F65BCA" w:rsidRDefault="00216117">
      <w:pPr>
        <w:spacing w:before="49"/>
        <w:ind w:left="183"/>
        <w:rPr>
          <w:sz w:val="12"/>
        </w:rPr>
      </w:pPr>
      <w:r>
        <w:rPr>
          <w:color w:val="231F20"/>
          <w:sz w:val="12"/>
        </w:rPr>
        <w:t>do 20</w:t>
      </w:r>
      <w:r>
        <w:rPr>
          <w:color w:val="231F20"/>
          <w:spacing w:val="-17"/>
          <w:sz w:val="12"/>
        </w:rPr>
        <w:t xml:space="preserve"> </w:t>
      </w:r>
      <w:r>
        <w:rPr>
          <w:color w:val="231F20"/>
          <w:sz w:val="12"/>
        </w:rPr>
        <w:t>%</w:t>
      </w:r>
    </w:p>
    <w:p w14:paraId="45E0B63E" w14:textId="77777777" w:rsidR="00F65BCA" w:rsidRDefault="00F65BCA">
      <w:pPr>
        <w:pStyle w:val="Zkladntext"/>
        <w:rPr>
          <w:sz w:val="14"/>
        </w:rPr>
      </w:pPr>
    </w:p>
    <w:p w14:paraId="58BC4E0D" w14:textId="77777777" w:rsidR="00F65BCA" w:rsidRDefault="00F65BCA">
      <w:pPr>
        <w:pStyle w:val="Zkladntext"/>
        <w:spacing w:before="1"/>
        <w:rPr>
          <w:sz w:val="17"/>
        </w:rPr>
      </w:pPr>
    </w:p>
    <w:p w14:paraId="4B0B2748" w14:textId="77777777" w:rsidR="00F65BCA" w:rsidRDefault="00216117">
      <w:pPr>
        <w:ind w:left="183"/>
        <w:rPr>
          <w:sz w:val="12"/>
        </w:rPr>
      </w:pPr>
      <w:r>
        <w:rPr>
          <w:color w:val="231F20"/>
          <w:sz w:val="12"/>
        </w:rPr>
        <w:t>do 60</w:t>
      </w:r>
      <w:r>
        <w:rPr>
          <w:color w:val="231F20"/>
          <w:spacing w:val="-17"/>
          <w:sz w:val="12"/>
        </w:rPr>
        <w:t xml:space="preserve"> </w:t>
      </w:r>
      <w:r>
        <w:rPr>
          <w:color w:val="231F20"/>
          <w:sz w:val="12"/>
        </w:rPr>
        <w:t>%</w:t>
      </w:r>
    </w:p>
    <w:p w14:paraId="05EED7D7" w14:textId="77777777" w:rsidR="00F65BCA" w:rsidRDefault="00216117">
      <w:pPr>
        <w:spacing w:before="44"/>
        <w:ind w:left="183"/>
        <w:rPr>
          <w:sz w:val="12"/>
        </w:rPr>
      </w:pPr>
      <w:r>
        <w:rPr>
          <w:color w:val="231F20"/>
          <w:sz w:val="12"/>
        </w:rPr>
        <w:t>do 50</w:t>
      </w:r>
      <w:r>
        <w:rPr>
          <w:color w:val="231F20"/>
          <w:spacing w:val="-17"/>
          <w:sz w:val="12"/>
        </w:rPr>
        <w:t xml:space="preserve"> </w:t>
      </w:r>
      <w:r>
        <w:rPr>
          <w:color w:val="231F20"/>
          <w:sz w:val="12"/>
        </w:rPr>
        <w:t>%</w:t>
      </w:r>
    </w:p>
    <w:p w14:paraId="36DB0F0D" w14:textId="77777777" w:rsidR="00F65BCA" w:rsidRDefault="00F65BCA">
      <w:pPr>
        <w:pStyle w:val="Zkladntext"/>
        <w:rPr>
          <w:sz w:val="14"/>
        </w:rPr>
      </w:pPr>
    </w:p>
    <w:p w14:paraId="0CDD2531" w14:textId="77777777" w:rsidR="00F65BCA" w:rsidRDefault="00F65BCA">
      <w:pPr>
        <w:pStyle w:val="Zkladntext"/>
        <w:rPr>
          <w:sz w:val="14"/>
        </w:rPr>
      </w:pPr>
    </w:p>
    <w:p w14:paraId="1AE87682" w14:textId="77777777" w:rsidR="00F65BCA" w:rsidRDefault="00216117">
      <w:pPr>
        <w:spacing w:before="84"/>
        <w:ind w:left="183"/>
        <w:rPr>
          <w:sz w:val="12"/>
        </w:rPr>
      </w:pPr>
      <w:r>
        <w:rPr>
          <w:color w:val="231F20"/>
          <w:sz w:val="12"/>
        </w:rPr>
        <w:t>do 40</w:t>
      </w:r>
      <w:r>
        <w:rPr>
          <w:color w:val="231F20"/>
          <w:spacing w:val="-17"/>
          <w:sz w:val="12"/>
        </w:rPr>
        <w:t xml:space="preserve"> </w:t>
      </w:r>
      <w:r>
        <w:rPr>
          <w:color w:val="231F20"/>
          <w:sz w:val="12"/>
        </w:rPr>
        <w:t>%</w:t>
      </w:r>
    </w:p>
    <w:p w14:paraId="63172B6C" w14:textId="77777777" w:rsidR="00F65BCA" w:rsidRDefault="00216117">
      <w:pPr>
        <w:spacing w:before="43"/>
        <w:ind w:left="183"/>
        <w:rPr>
          <w:sz w:val="12"/>
        </w:rPr>
      </w:pPr>
      <w:r>
        <w:rPr>
          <w:color w:val="231F20"/>
          <w:sz w:val="12"/>
        </w:rPr>
        <w:t>do 30</w:t>
      </w:r>
      <w:r>
        <w:rPr>
          <w:color w:val="231F20"/>
          <w:spacing w:val="-17"/>
          <w:sz w:val="12"/>
        </w:rPr>
        <w:t xml:space="preserve"> </w:t>
      </w:r>
      <w:r>
        <w:rPr>
          <w:color w:val="231F20"/>
          <w:sz w:val="12"/>
        </w:rPr>
        <w:t>%</w:t>
      </w:r>
    </w:p>
    <w:p w14:paraId="0AE9B20B" w14:textId="77777777" w:rsidR="00F65BCA" w:rsidRDefault="00F65BCA">
      <w:pPr>
        <w:pStyle w:val="Zkladntext"/>
        <w:spacing w:before="7"/>
        <w:rPr>
          <w:sz w:val="19"/>
        </w:rPr>
      </w:pPr>
    </w:p>
    <w:p w14:paraId="42600160" w14:textId="77777777" w:rsidR="00F65BCA" w:rsidRDefault="00216117">
      <w:pPr>
        <w:ind w:left="183"/>
        <w:rPr>
          <w:sz w:val="12"/>
        </w:rPr>
      </w:pPr>
      <w:r>
        <w:rPr>
          <w:color w:val="231F20"/>
          <w:sz w:val="12"/>
        </w:rPr>
        <w:t>do 30</w:t>
      </w:r>
      <w:r>
        <w:rPr>
          <w:color w:val="231F20"/>
          <w:spacing w:val="-17"/>
          <w:sz w:val="12"/>
        </w:rPr>
        <w:t xml:space="preserve"> </w:t>
      </w:r>
      <w:r>
        <w:rPr>
          <w:color w:val="231F20"/>
          <w:sz w:val="12"/>
        </w:rPr>
        <w:t>%</w:t>
      </w:r>
    </w:p>
    <w:p w14:paraId="78218E3F" w14:textId="77777777" w:rsidR="00F65BCA" w:rsidRDefault="00216117">
      <w:pPr>
        <w:spacing w:before="43"/>
        <w:ind w:left="183"/>
        <w:rPr>
          <w:sz w:val="12"/>
        </w:rPr>
      </w:pPr>
      <w:r>
        <w:rPr>
          <w:color w:val="231F20"/>
          <w:sz w:val="12"/>
        </w:rPr>
        <w:t>do 20</w:t>
      </w:r>
      <w:r>
        <w:rPr>
          <w:color w:val="231F20"/>
          <w:spacing w:val="-17"/>
          <w:sz w:val="12"/>
        </w:rPr>
        <w:t xml:space="preserve"> </w:t>
      </w:r>
      <w:r>
        <w:rPr>
          <w:color w:val="231F20"/>
          <w:sz w:val="12"/>
        </w:rPr>
        <w:t>%</w:t>
      </w:r>
    </w:p>
    <w:p w14:paraId="3A5B06F1" w14:textId="77777777" w:rsidR="00F65BCA" w:rsidRDefault="00F65BCA">
      <w:pPr>
        <w:pStyle w:val="Zkladntext"/>
        <w:rPr>
          <w:sz w:val="14"/>
        </w:rPr>
      </w:pPr>
    </w:p>
    <w:p w14:paraId="51260F5C" w14:textId="77777777" w:rsidR="00F65BCA" w:rsidRDefault="00F65BCA">
      <w:pPr>
        <w:pStyle w:val="Zkladntext"/>
        <w:spacing w:before="4"/>
        <w:rPr>
          <w:sz w:val="19"/>
        </w:rPr>
      </w:pPr>
    </w:p>
    <w:p w14:paraId="3C282506" w14:textId="77777777" w:rsidR="00F65BCA" w:rsidRDefault="00216117">
      <w:pPr>
        <w:ind w:left="183"/>
        <w:rPr>
          <w:sz w:val="12"/>
        </w:rPr>
      </w:pPr>
      <w:r>
        <w:rPr>
          <w:color w:val="231F20"/>
          <w:sz w:val="12"/>
        </w:rPr>
        <w:t>do 10</w:t>
      </w:r>
      <w:r>
        <w:rPr>
          <w:color w:val="231F20"/>
          <w:spacing w:val="-17"/>
          <w:sz w:val="12"/>
        </w:rPr>
        <w:t xml:space="preserve"> </w:t>
      </w:r>
      <w:r>
        <w:rPr>
          <w:color w:val="231F20"/>
          <w:sz w:val="12"/>
        </w:rPr>
        <w:t>%</w:t>
      </w:r>
    </w:p>
    <w:p w14:paraId="6B212088" w14:textId="77777777" w:rsidR="00F65BCA" w:rsidRDefault="00216117">
      <w:pPr>
        <w:spacing w:before="44"/>
        <w:ind w:left="250"/>
        <w:rPr>
          <w:sz w:val="12"/>
        </w:rPr>
      </w:pPr>
      <w:r>
        <w:rPr>
          <w:color w:val="231F20"/>
          <w:sz w:val="12"/>
        </w:rPr>
        <w:t>do 8</w:t>
      </w:r>
      <w:r>
        <w:rPr>
          <w:color w:val="231F20"/>
          <w:spacing w:val="-17"/>
          <w:sz w:val="12"/>
        </w:rPr>
        <w:t xml:space="preserve"> </w:t>
      </w:r>
      <w:r>
        <w:rPr>
          <w:color w:val="231F20"/>
          <w:sz w:val="12"/>
        </w:rPr>
        <w:t>%</w:t>
      </w:r>
    </w:p>
    <w:p w14:paraId="70E9FAF0" w14:textId="77777777" w:rsidR="00F65BCA" w:rsidRDefault="00F65BCA">
      <w:pPr>
        <w:pStyle w:val="Zkladntext"/>
        <w:rPr>
          <w:sz w:val="14"/>
        </w:rPr>
      </w:pPr>
    </w:p>
    <w:p w14:paraId="5B4CBB01" w14:textId="77777777" w:rsidR="00F65BCA" w:rsidRDefault="00F65BCA">
      <w:pPr>
        <w:pStyle w:val="Zkladntext"/>
        <w:rPr>
          <w:sz w:val="14"/>
        </w:rPr>
      </w:pPr>
    </w:p>
    <w:p w14:paraId="29AEEBE8" w14:textId="77777777" w:rsidR="00F65BCA" w:rsidRDefault="00216117">
      <w:pPr>
        <w:spacing w:before="84"/>
        <w:ind w:left="183"/>
        <w:rPr>
          <w:sz w:val="12"/>
        </w:rPr>
      </w:pPr>
      <w:r>
        <w:rPr>
          <w:color w:val="231F20"/>
          <w:sz w:val="12"/>
        </w:rPr>
        <w:t>do 30</w:t>
      </w:r>
      <w:r>
        <w:rPr>
          <w:color w:val="231F20"/>
          <w:spacing w:val="-17"/>
          <w:sz w:val="12"/>
        </w:rPr>
        <w:t xml:space="preserve"> </w:t>
      </w:r>
      <w:r>
        <w:rPr>
          <w:color w:val="231F20"/>
          <w:sz w:val="12"/>
        </w:rPr>
        <w:t>%</w:t>
      </w:r>
    </w:p>
    <w:p w14:paraId="369CF541" w14:textId="77777777" w:rsidR="00F65BCA" w:rsidRDefault="00216117">
      <w:pPr>
        <w:spacing w:before="44"/>
        <w:ind w:left="183"/>
        <w:rPr>
          <w:sz w:val="12"/>
        </w:rPr>
      </w:pPr>
      <w:r>
        <w:rPr>
          <w:color w:val="231F20"/>
          <w:sz w:val="12"/>
        </w:rPr>
        <w:t>do 25</w:t>
      </w:r>
      <w:r>
        <w:rPr>
          <w:color w:val="231F20"/>
          <w:spacing w:val="-17"/>
          <w:sz w:val="12"/>
        </w:rPr>
        <w:t xml:space="preserve"> </w:t>
      </w:r>
      <w:r>
        <w:rPr>
          <w:color w:val="231F20"/>
          <w:sz w:val="12"/>
        </w:rPr>
        <w:t>%</w:t>
      </w:r>
    </w:p>
    <w:p w14:paraId="3E798D83" w14:textId="77777777" w:rsidR="00F65BCA" w:rsidRDefault="00F65BCA">
      <w:pPr>
        <w:pStyle w:val="Zkladntext"/>
        <w:rPr>
          <w:sz w:val="14"/>
        </w:rPr>
      </w:pPr>
    </w:p>
    <w:p w14:paraId="5836BEB1" w14:textId="77777777" w:rsidR="00F65BCA" w:rsidRDefault="00F65BCA">
      <w:pPr>
        <w:pStyle w:val="Zkladntext"/>
        <w:spacing w:before="3"/>
        <w:rPr>
          <w:sz w:val="19"/>
        </w:rPr>
      </w:pPr>
    </w:p>
    <w:p w14:paraId="473E7FEA" w14:textId="77777777" w:rsidR="00F65BCA" w:rsidRDefault="00216117">
      <w:pPr>
        <w:spacing w:before="1"/>
        <w:ind w:left="183"/>
        <w:rPr>
          <w:sz w:val="12"/>
        </w:rPr>
      </w:pPr>
      <w:r>
        <w:rPr>
          <w:color w:val="231F20"/>
          <w:sz w:val="12"/>
        </w:rPr>
        <w:t>do 20</w:t>
      </w:r>
      <w:r>
        <w:rPr>
          <w:color w:val="231F20"/>
          <w:spacing w:val="-17"/>
          <w:sz w:val="12"/>
        </w:rPr>
        <w:t xml:space="preserve"> </w:t>
      </w:r>
      <w:r>
        <w:rPr>
          <w:color w:val="231F20"/>
          <w:sz w:val="12"/>
        </w:rPr>
        <w:t>%</w:t>
      </w:r>
    </w:p>
    <w:p w14:paraId="43BE1843" w14:textId="77777777" w:rsidR="00F65BCA" w:rsidRDefault="00216117">
      <w:pPr>
        <w:spacing w:before="43"/>
        <w:ind w:left="183"/>
        <w:rPr>
          <w:sz w:val="12"/>
        </w:rPr>
      </w:pPr>
      <w:r>
        <w:rPr>
          <w:color w:val="231F20"/>
          <w:sz w:val="12"/>
        </w:rPr>
        <w:t>do 15</w:t>
      </w:r>
      <w:r>
        <w:rPr>
          <w:color w:val="231F20"/>
          <w:spacing w:val="-17"/>
          <w:sz w:val="12"/>
        </w:rPr>
        <w:t xml:space="preserve"> </w:t>
      </w:r>
      <w:r>
        <w:rPr>
          <w:color w:val="231F20"/>
          <w:sz w:val="12"/>
        </w:rPr>
        <w:t>%</w:t>
      </w:r>
    </w:p>
    <w:p w14:paraId="6EB59D86" w14:textId="77777777" w:rsidR="00F65BCA" w:rsidRDefault="00F65BCA">
      <w:pPr>
        <w:pStyle w:val="Zkladntext"/>
        <w:spacing w:before="6"/>
        <w:rPr>
          <w:sz w:val="19"/>
        </w:rPr>
      </w:pPr>
    </w:p>
    <w:p w14:paraId="4869200E" w14:textId="77777777" w:rsidR="00F65BCA" w:rsidRDefault="00216117">
      <w:pPr>
        <w:ind w:left="183"/>
        <w:rPr>
          <w:sz w:val="12"/>
        </w:rPr>
      </w:pPr>
      <w:r>
        <w:rPr>
          <w:color w:val="231F20"/>
          <w:sz w:val="12"/>
        </w:rPr>
        <w:t>do 20</w:t>
      </w:r>
      <w:r>
        <w:rPr>
          <w:color w:val="231F20"/>
          <w:spacing w:val="-17"/>
          <w:sz w:val="12"/>
        </w:rPr>
        <w:t xml:space="preserve"> </w:t>
      </w:r>
      <w:r>
        <w:rPr>
          <w:color w:val="231F20"/>
          <w:sz w:val="12"/>
        </w:rPr>
        <w:t>%</w:t>
      </w:r>
    </w:p>
    <w:p w14:paraId="03FF9507" w14:textId="77777777" w:rsidR="00F65BCA" w:rsidRDefault="00216117">
      <w:pPr>
        <w:spacing w:before="44"/>
        <w:ind w:left="183"/>
        <w:rPr>
          <w:sz w:val="12"/>
        </w:rPr>
      </w:pPr>
      <w:r>
        <w:rPr>
          <w:color w:val="231F20"/>
          <w:sz w:val="12"/>
        </w:rPr>
        <w:t>do 10</w:t>
      </w:r>
      <w:r>
        <w:rPr>
          <w:color w:val="231F20"/>
          <w:spacing w:val="-17"/>
          <w:sz w:val="12"/>
        </w:rPr>
        <w:t xml:space="preserve"> </w:t>
      </w:r>
      <w:r>
        <w:rPr>
          <w:color w:val="231F20"/>
          <w:sz w:val="12"/>
        </w:rPr>
        <w:t>%</w:t>
      </w:r>
    </w:p>
    <w:p w14:paraId="7F04DC25" w14:textId="77777777" w:rsidR="00F65BCA" w:rsidRDefault="00F65BCA">
      <w:pPr>
        <w:pStyle w:val="Zkladntext"/>
        <w:rPr>
          <w:sz w:val="14"/>
        </w:rPr>
      </w:pPr>
    </w:p>
    <w:p w14:paraId="787E76E4" w14:textId="77777777" w:rsidR="00F65BCA" w:rsidRDefault="00F65BCA">
      <w:pPr>
        <w:pStyle w:val="Zkladntext"/>
        <w:rPr>
          <w:sz w:val="14"/>
        </w:rPr>
      </w:pPr>
    </w:p>
    <w:p w14:paraId="26A407FC" w14:textId="77777777" w:rsidR="00F65BCA" w:rsidRDefault="00216117">
      <w:pPr>
        <w:spacing w:before="84"/>
        <w:ind w:left="183"/>
        <w:rPr>
          <w:sz w:val="12"/>
        </w:rPr>
      </w:pPr>
      <w:r>
        <w:rPr>
          <w:color w:val="231F20"/>
          <w:sz w:val="12"/>
        </w:rPr>
        <w:t>do 20</w:t>
      </w:r>
      <w:r>
        <w:rPr>
          <w:color w:val="231F20"/>
          <w:spacing w:val="-17"/>
          <w:sz w:val="12"/>
        </w:rPr>
        <w:t xml:space="preserve"> </w:t>
      </w:r>
      <w:r>
        <w:rPr>
          <w:color w:val="231F20"/>
          <w:sz w:val="12"/>
        </w:rPr>
        <w:t>%</w:t>
      </w:r>
    </w:p>
    <w:p w14:paraId="7DD30B76" w14:textId="77777777" w:rsidR="00F65BCA" w:rsidRDefault="00216117">
      <w:pPr>
        <w:spacing w:before="44"/>
        <w:ind w:left="183"/>
        <w:rPr>
          <w:sz w:val="12"/>
        </w:rPr>
      </w:pPr>
      <w:r>
        <w:rPr>
          <w:color w:val="231F20"/>
          <w:sz w:val="12"/>
        </w:rPr>
        <w:t>do 15</w:t>
      </w:r>
      <w:r>
        <w:rPr>
          <w:color w:val="231F20"/>
          <w:spacing w:val="-17"/>
          <w:sz w:val="12"/>
        </w:rPr>
        <w:t xml:space="preserve"> </w:t>
      </w:r>
      <w:r>
        <w:rPr>
          <w:color w:val="231F20"/>
          <w:sz w:val="12"/>
        </w:rPr>
        <w:t>%</w:t>
      </w:r>
    </w:p>
    <w:p w14:paraId="246BA18F" w14:textId="77777777" w:rsidR="00F65BCA" w:rsidRDefault="00F65BCA">
      <w:pPr>
        <w:pStyle w:val="Zkladntext"/>
        <w:rPr>
          <w:sz w:val="14"/>
        </w:rPr>
      </w:pPr>
    </w:p>
    <w:p w14:paraId="5021AFCF" w14:textId="77777777" w:rsidR="00F65BCA" w:rsidRDefault="00F65BCA">
      <w:pPr>
        <w:pStyle w:val="Zkladntext"/>
        <w:spacing w:before="1"/>
        <w:rPr>
          <w:sz w:val="17"/>
        </w:rPr>
      </w:pPr>
    </w:p>
    <w:p w14:paraId="37626F44" w14:textId="77777777" w:rsidR="00F65BCA" w:rsidRDefault="00216117">
      <w:pPr>
        <w:ind w:left="250"/>
        <w:rPr>
          <w:sz w:val="12"/>
        </w:rPr>
      </w:pPr>
      <w:r>
        <w:rPr>
          <w:color w:val="231F20"/>
          <w:sz w:val="12"/>
        </w:rPr>
        <w:t>do 8</w:t>
      </w:r>
      <w:r>
        <w:rPr>
          <w:color w:val="231F20"/>
          <w:spacing w:val="-17"/>
          <w:sz w:val="12"/>
        </w:rPr>
        <w:t xml:space="preserve"> </w:t>
      </w:r>
      <w:r>
        <w:rPr>
          <w:color w:val="231F20"/>
          <w:sz w:val="12"/>
        </w:rPr>
        <w:t>%</w:t>
      </w:r>
    </w:p>
    <w:p w14:paraId="56536017" w14:textId="77777777" w:rsidR="00F65BCA" w:rsidRDefault="00216117">
      <w:pPr>
        <w:spacing w:before="49"/>
        <w:ind w:left="250"/>
        <w:rPr>
          <w:sz w:val="12"/>
        </w:rPr>
      </w:pPr>
      <w:r>
        <w:rPr>
          <w:color w:val="231F20"/>
          <w:sz w:val="12"/>
        </w:rPr>
        <w:t>do 5</w:t>
      </w:r>
      <w:r>
        <w:rPr>
          <w:color w:val="231F20"/>
          <w:spacing w:val="-17"/>
          <w:sz w:val="12"/>
        </w:rPr>
        <w:t xml:space="preserve"> </w:t>
      </w:r>
      <w:r>
        <w:rPr>
          <w:color w:val="231F20"/>
          <w:sz w:val="12"/>
        </w:rPr>
        <w:t>%</w:t>
      </w:r>
    </w:p>
    <w:p w14:paraId="579A2AC5" w14:textId="77777777" w:rsidR="00F65BCA" w:rsidRDefault="00F65BCA">
      <w:pPr>
        <w:pStyle w:val="Zkladntext"/>
        <w:spacing w:before="6"/>
        <w:rPr>
          <w:sz w:val="20"/>
        </w:rPr>
      </w:pPr>
    </w:p>
    <w:p w14:paraId="5067AE4B" w14:textId="77777777" w:rsidR="00F65BCA" w:rsidRDefault="00216117">
      <w:pPr>
        <w:ind w:left="183"/>
        <w:rPr>
          <w:sz w:val="12"/>
        </w:rPr>
      </w:pPr>
      <w:r>
        <w:rPr>
          <w:color w:val="231F20"/>
          <w:sz w:val="12"/>
        </w:rPr>
        <w:t>do 15</w:t>
      </w:r>
      <w:r>
        <w:rPr>
          <w:color w:val="231F20"/>
          <w:spacing w:val="-17"/>
          <w:sz w:val="12"/>
        </w:rPr>
        <w:t xml:space="preserve"> </w:t>
      </w:r>
      <w:r>
        <w:rPr>
          <w:color w:val="231F20"/>
          <w:sz w:val="12"/>
        </w:rPr>
        <w:t>%</w:t>
      </w:r>
    </w:p>
    <w:p w14:paraId="34964E36" w14:textId="77777777" w:rsidR="00F65BCA" w:rsidRDefault="00216117">
      <w:pPr>
        <w:spacing w:before="50"/>
        <w:ind w:left="183"/>
        <w:rPr>
          <w:sz w:val="12"/>
        </w:rPr>
      </w:pPr>
      <w:r>
        <w:rPr>
          <w:color w:val="231F20"/>
          <w:sz w:val="12"/>
        </w:rPr>
        <w:t>do 10</w:t>
      </w:r>
      <w:r>
        <w:rPr>
          <w:color w:val="231F20"/>
          <w:spacing w:val="-17"/>
          <w:sz w:val="12"/>
        </w:rPr>
        <w:t xml:space="preserve"> </w:t>
      </w:r>
      <w:r>
        <w:rPr>
          <w:color w:val="231F20"/>
          <w:sz w:val="12"/>
        </w:rPr>
        <w:t>%</w:t>
      </w:r>
    </w:p>
    <w:p w14:paraId="054334BA" w14:textId="77777777" w:rsidR="00F65BCA" w:rsidRDefault="00F65BCA">
      <w:pPr>
        <w:pStyle w:val="Zkladntext"/>
        <w:rPr>
          <w:sz w:val="14"/>
        </w:rPr>
      </w:pPr>
    </w:p>
    <w:p w14:paraId="7E4A8581" w14:textId="77777777" w:rsidR="00F65BCA" w:rsidRDefault="00F65BCA">
      <w:pPr>
        <w:pStyle w:val="Zkladntext"/>
        <w:rPr>
          <w:sz w:val="14"/>
        </w:rPr>
      </w:pPr>
    </w:p>
    <w:p w14:paraId="0BF0A013" w14:textId="77777777" w:rsidR="00F65BCA" w:rsidRDefault="00F65BCA">
      <w:pPr>
        <w:pStyle w:val="Zkladntext"/>
        <w:spacing w:before="5"/>
        <w:rPr>
          <w:sz w:val="18"/>
        </w:rPr>
      </w:pPr>
    </w:p>
    <w:p w14:paraId="2939B645" w14:textId="77777777" w:rsidR="00F65BCA" w:rsidRDefault="00216117">
      <w:pPr>
        <w:ind w:right="225"/>
        <w:jc w:val="right"/>
        <w:rPr>
          <w:sz w:val="12"/>
        </w:rPr>
      </w:pPr>
      <w:r>
        <w:rPr>
          <w:color w:val="231F20"/>
          <w:sz w:val="12"/>
        </w:rPr>
        <w:t>64</w:t>
      </w:r>
      <w:r>
        <w:rPr>
          <w:color w:val="231F20"/>
          <w:spacing w:val="-20"/>
          <w:sz w:val="12"/>
        </w:rPr>
        <w:t xml:space="preserve"> </w:t>
      </w:r>
      <w:r>
        <w:rPr>
          <w:color w:val="231F20"/>
          <w:sz w:val="12"/>
        </w:rPr>
        <w:t>%</w:t>
      </w:r>
    </w:p>
    <w:p w14:paraId="261245D7" w14:textId="77777777" w:rsidR="00F65BCA" w:rsidRDefault="00F65BCA">
      <w:pPr>
        <w:pStyle w:val="Zkladntext"/>
        <w:spacing w:before="6"/>
      </w:pPr>
    </w:p>
    <w:p w14:paraId="260E1B9A" w14:textId="77777777" w:rsidR="00F65BCA" w:rsidRDefault="00216117">
      <w:pPr>
        <w:ind w:right="225"/>
        <w:jc w:val="right"/>
        <w:rPr>
          <w:sz w:val="12"/>
        </w:rPr>
      </w:pPr>
      <w:r>
        <w:rPr>
          <w:color w:val="231F20"/>
          <w:sz w:val="12"/>
        </w:rPr>
        <w:t>40</w:t>
      </w:r>
      <w:r>
        <w:rPr>
          <w:color w:val="231F20"/>
          <w:spacing w:val="-20"/>
          <w:sz w:val="12"/>
        </w:rPr>
        <w:t xml:space="preserve"> </w:t>
      </w:r>
      <w:r>
        <w:rPr>
          <w:color w:val="231F20"/>
          <w:sz w:val="12"/>
        </w:rPr>
        <w:t>%</w:t>
      </w:r>
    </w:p>
    <w:p w14:paraId="0645BC44" w14:textId="77777777" w:rsidR="00F65BCA" w:rsidRDefault="00216117">
      <w:pPr>
        <w:spacing w:before="106"/>
        <w:ind w:right="225"/>
        <w:jc w:val="right"/>
        <w:rPr>
          <w:sz w:val="12"/>
        </w:rPr>
      </w:pPr>
      <w:r>
        <w:rPr>
          <w:color w:val="231F20"/>
          <w:sz w:val="12"/>
        </w:rPr>
        <w:t>25</w:t>
      </w:r>
      <w:r>
        <w:rPr>
          <w:color w:val="231F20"/>
          <w:spacing w:val="-20"/>
          <w:sz w:val="12"/>
        </w:rPr>
        <w:t xml:space="preserve"> </w:t>
      </w:r>
      <w:r>
        <w:rPr>
          <w:color w:val="231F20"/>
          <w:sz w:val="12"/>
        </w:rPr>
        <w:t>%</w:t>
      </w:r>
    </w:p>
    <w:p w14:paraId="3C541D99" w14:textId="77777777" w:rsidR="00F65BCA" w:rsidRDefault="00F65BCA">
      <w:pPr>
        <w:pStyle w:val="Zkladntext"/>
        <w:rPr>
          <w:sz w:val="14"/>
        </w:rPr>
      </w:pPr>
    </w:p>
    <w:p w14:paraId="02004676" w14:textId="77777777" w:rsidR="00F65BCA" w:rsidRDefault="00F65BCA">
      <w:pPr>
        <w:pStyle w:val="Zkladntext"/>
        <w:spacing w:before="5"/>
        <w:rPr>
          <w:sz w:val="11"/>
        </w:rPr>
      </w:pPr>
    </w:p>
    <w:p w14:paraId="5F9BC21B" w14:textId="77777777" w:rsidR="00F65BCA" w:rsidRDefault="00216117">
      <w:pPr>
        <w:spacing w:before="1"/>
        <w:ind w:right="225"/>
        <w:jc w:val="right"/>
        <w:rPr>
          <w:sz w:val="12"/>
        </w:rPr>
      </w:pPr>
      <w:r>
        <w:rPr>
          <w:color w:val="231F20"/>
          <w:sz w:val="12"/>
        </w:rPr>
        <w:t>0</w:t>
      </w:r>
      <w:r>
        <w:rPr>
          <w:color w:val="231F20"/>
          <w:spacing w:val="-20"/>
          <w:sz w:val="12"/>
        </w:rPr>
        <w:t xml:space="preserve"> </w:t>
      </w:r>
      <w:r>
        <w:rPr>
          <w:color w:val="231F20"/>
          <w:sz w:val="12"/>
        </w:rPr>
        <w:t>%</w:t>
      </w:r>
    </w:p>
    <w:p w14:paraId="75726A36" w14:textId="77777777" w:rsidR="00F65BCA" w:rsidRDefault="00216117">
      <w:pPr>
        <w:spacing w:before="43"/>
        <w:ind w:right="225"/>
        <w:jc w:val="right"/>
        <w:rPr>
          <w:sz w:val="12"/>
        </w:rPr>
      </w:pPr>
      <w:r>
        <w:rPr>
          <w:color w:val="231F20"/>
          <w:sz w:val="12"/>
        </w:rPr>
        <w:t>5</w:t>
      </w:r>
      <w:r>
        <w:rPr>
          <w:color w:val="231F20"/>
          <w:spacing w:val="-20"/>
          <w:sz w:val="12"/>
        </w:rPr>
        <w:t xml:space="preserve"> </w:t>
      </w:r>
      <w:r>
        <w:rPr>
          <w:color w:val="231F20"/>
          <w:sz w:val="12"/>
        </w:rPr>
        <w:t>%</w:t>
      </w:r>
    </w:p>
    <w:p w14:paraId="416199BF" w14:textId="77777777" w:rsidR="00F65BCA" w:rsidRDefault="00216117">
      <w:pPr>
        <w:spacing w:before="43"/>
        <w:ind w:right="225"/>
        <w:jc w:val="right"/>
        <w:rPr>
          <w:sz w:val="12"/>
        </w:rPr>
      </w:pPr>
      <w:r>
        <w:rPr>
          <w:color w:val="231F20"/>
          <w:sz w:val="12"/>
        </w:rPr>
        <w:t>10</w:t>
      </w:r>
      <w:r>
        <w:rPr>
          <w:color w:val="231F20"/>
          <w:spacing w:val="-20"/>
          <w:sz w:val="12"/>
        </w:rPr>
        <w:t xml:space="preserve"> </w:t>
      </w:r>
      <w:r>
        <w:rPr>
          <w:color w:val="231F20"/>
          <w:sz w:val="12"/>
        </w:rPr>
        <w:t>%</w:t>
      </w:r>
    </w:p>
    <w:p w14:paraId="5853FF3D" w14:textId="77777777" w:rsidR="00F65BCA" w:rsidRDefault="00216117">
      <w:pPr>
        <w:spacing w:before="44"/>
        <w:ind w:right="225"/>
        <w:jc w:val="right"/>
        <w:rPr>
          <w:sz w:val="12"/>
        </w:rPr>
      </w:pPr>
      <w:r>
        <w:rPr>
          <w:color w:val="231F20"/>
          <w:sz w:val="12"/>
        </w:rPr>
        <w:t>do 15</w:t>
      </w:r>
      <w:r>
        <w:rPr>
          <w:color w:val="231F20"/>
          <w:spacing w:val="-17"/>
          <w:sz w:val="12"/>
        </w:rPr>
        <w:t xml:space="preserve"> </w:t>
      </w:r>
      <w:r>
        <w:rPr>
          <w:color w:val="231F20"/>
          <w:sz w:val="12"/>
        </w:rPr>
        <w:t>%</w:t>
      </w:r>
    </w:p>
    <w:p w14:paraId="2973B29C" w14:textId="77777777" w:rsidR="00F65BCA" w:rsidRDefault="00F65BCA">
      <w:pPr>
        <w:pStyle w:val="Zkladntext"/>
        <w:rPr>
          <w:sz w:val="14"/>
        </w:rPr>
      </w:pPr>
    </w:p>
    <w:p w14:paraId="5697D047" w14:textId="77777777" w:rsidR="00F65BCA" w:rsidRDefault="00F65BCA">
      <w:pPr>
        <w:pStyle w:val="Zkladntext"/>
        <w:spacing w:before="4"/>
        <w:rPr>
          <w:sz w:val="16"/>
        </w:rPr>
      </w:pPr>
    </w:p>
    <w:p w14:paraId="191E2A2F" w14:textId="77777777" w:rsidR="00F65BCA" w:rsidRDefault="00216117">
      <w:pPr>
        <w:spacing w:before="1"/>
        <w:ind w:right="225"/>
        <w:jc w:val="right"/>
        <w:rPr>
          <w:sz w:val="12"/>
        </w:rPr>
      </w:pPr>
      <w:r>
        <w:rPr>
          <w:color w:val="231F20"/>
          <w:sz w:val="12"/>
        </w:rPr>
        <w:t>5</w:t>
      </w:r>
      <w:r>
        <w:rPr>
          <w:color w:val="231F20"/>
          <w:spacing w:val="-20"/>
          <w:sz w:val="12"/>
        </w:rPr>
        <w:t xml:space="preserve"> </w:t>
      </w:r>
      <w:r>
        <w:rPr>
          <w:color w:val="231F20"/>
          <w:sz w:val="12"/>
        </w:rPr>
        <w:t>%</w:t>
      </w:r>
    </w:p>
    <w:p w14:paraId="35450040" w14:textId="77777777" w:rsidR="00F65BCA" w:rsidRDefault="00F65BCA">
      <w:pPr>
        <w:pStyle w:val="Zkladntext"/>
        <w:rPr>
          <w:sz w:val="14"/>
        </w:rPr>
      </w:pPr>
    </w:p>
    <w:p w14:paraId="3327736A" w14:textId="77777777" w:rsidR="00F65BCA" w:rsidRDefault="00F65BCA">
      <w:pPr>
        <w:pStyle w:val="Zkladntext"/>
        <w:rPr>
          <w:sz w:val="14"/>
        </w:rPr>
      </w:pPr>
    </w:p>
    <w:p w14:paraId="0B836D06" w14:textId="77777777" w:rsidR="00F65BCA" w:rsidRDefault="00F65BCA">
      <w:pPr>
        <w:pStyle w:val="Zkladntext"/>
        <w:rPr>
          <w:sz w:val="14"/>
        </w:rPr>
      </w:pPr>
    </w:p>
    <w:p w14:paraId="4BFA258B" w14:textId="77777777" w:rsidR="00F65BCA" w:rsidRDefault="00F65BCA">
      <w:pPr>
        <w:pStyle w:val="Zkladntext"/>
        <w:rPr>
          <w:sz w:val="14"/>
        </w:rPr>
      </w:pPr>
    </w:p>
    <w:p w14:paraId="567F1F56" w14:textId="77777777" w:rsidR="00F65BCA" w:rsidRDefault="00F65BCA">
      <w:pPr>
        <w:pStyle w:val="Zkladntext"/>
        <w:rPr>
          <w:sz w:val="14"/>
        </w:rPr>
      </w:pPr>
    </w:p>
    <w:p w14:paraId="65E1F7E9" w14:textId="77777777" w:rsidR="00F65BCA" w:rsidRDefault="00F65BCA">
      <w:pPr>
        <w:pStyle w:val="Zkladntext"/>
        <w:rPr>
          <w:sz w:val="14"/>
        </w:rPr>
      </w:pPr>
    </w:p>
    <w:p w14:paraId="28F0A566" w14:textId="77777777" w:rsidR="00F65BCA" w:rsidRDefault="00F65BCA">
      <w:pPr>
        <w:pStyle w:val="Zkladntext"/>
        <w:rPr>
          <w:sz w:val="14"/>
        </w:rPr>
      </w:pPr>
    </w:p>
    <w:p w14:paraId="33060848" w14:textId="77777777" w:rsidR="00F65BCA" w:rsidRDefault="00216117">
      <w:pPr>
        <w:spacing w:before="101"/>
        <w:ind w:left="352"/>
        <w:rPr>
          <w:sz w:val="12"/>
        </w:rPr>
      </w:pPr>
      <w:r>
        <w:rPr>
          <w:color w:val="231F20"/>
          <w:sz w:val="12"/>
        </w:rPr>
        <w:t>45</w:t>
      </w:r>
      <w:r>
        <w:rPr>
          <w:color w:val="231F20"/>
          <w:spacing w:val="-20"/>
          <w:sz w:val="12"/>
        </w:rPr>
        <w:t xml:space="preserve"> </w:t>
      </w:r>
      <w:r>
        <w:rPr>
          <w:color w:val="231F20"/>
          <w:sz w:val="12"/>
        </w:rPr>
        <w:t>%</w:t>
      </w:r>
    </w:p>
    <w:p w14:paraId="09787DEA" w14:textId="77777777" w:rsidR="00F65BCA" w:rsidRDefault="00216117">
      <w:pPr>
        <w:spacing w:before="43"/>
        <w:ind w:left="352"/>
        <w:rPr>
          <w:sz w:val="12"/>
        </w:rPr>
      </w:pPr>
      <w:r>
        <w:rPr>
          <w:color w:val="231F20"/>
          <w:sz w:val="12"/>
        </w:rPr>
        <w:t>36</w:t>
      </w:r>
      <w:r>
        <w:rPr>
          <w:color w:val="231F20"/>
          <w:spacing w:val="-20"/>
          <w:sz w:val="12"/>
        </w:rPr>
        <w:t xml:space="preserve"> </w:t>
      </w:r>
      <w:r>
        <w:rPr>
          <w:color w:val="231F20"/>
          <w:sz w:val="12"/>
        </w:rPr>
        <w:t>%</w:t>
      </w:r>
    </w:p>
    <w:p w14:paraId="6E831F9F" w14:textId="77777777" w:rsidR="00F65BCA" w:rsidRDefault="00F65BCA">
      <w:pPr>
        <w:pStyle w:val="Zkladntext"/>
        <w:spacing w:before="7"/>
        <w:rPr>
          <w:sz w:val="19"/>
        </w:rPr>
      </w:pPr>
    </w:p>
    <w:p w14:paraId="3760F7A5" w14:textId="77777777" w:rsidR="00F65BCA" w:rsidRDefault="00216117">
      <w:pPr>
        <w:ind w:left="250"/>
        <w:rPr>
          <w:sz w:val="12"/>
        </w:rPr>
      </w:pPr>
      <w:r>
        <w:rPr>
          <w:color w:val="231F20"/>
          <w:sz w:val="12"/>
        </w:rPr>
        <w:t>do 8</w:t>
      </w:r>
      <w:r>
        <w:rPr>
          <w:color w:val="231F20"/>
          <w:spacing w:val="-17"/>
          <w:sz w:val="12"/>
        </w:rPr>
        <w:t xml:space="preserve"> </w:t>
      </w:r>
      <w:r>
        <w:rPr>
          <w:color w:val="231F20"/>
          <w:sz w:val="12"/>
        </w:rPr>
        <w:t>%</w:t>
      </w:r>
    </w:p>
    <w:p w14:paraId="1E09498A" w14:textId="77777777" w:rsidR="00F65BCA" w:rsidRDefault="00216117">
      <w:pPr>
        <w:spacing w:before="43"/>
        <w:ind w:left="183"/>
        <w:rPr>
          <w:sz w:val="12"/>
        </w:rPr>
      </w:pPr>
      <w:r>
        <w:rPr>
          <w:color w:val="231F20"/>
          <w:sz w:val="12"/>
        </w:rPr>
        <w:t>do 15</w:t>
      </w:r>
      <w:r>
        <w:rPr>
          <w:color w:val="231F20"/>
          <w:spacing w:val="-17"/>
          <w:sz w:val="12"/>
        </w:rPr>
        <w:t xml:space="preserve"> </w:t>
      </w:r>
      <w:r>
        <w:rPr>
          <w:color w:val="231F20"/>
          <w:sz w:val="12"/>
        </w:rPr>
        <w:t>%</w:t>
      </w:r>
    </w:p>
    <w:p w14:paraId="6556E961" w14:textId="77777777" w:rsidR="00F65BCA" w:rsidRDefault="00216117">
      <w:pPr>
        <w:spacing w:before="45"/>
        <w:ind w:left="183"/>
        <w:rPr>
          <w:sz w:val="12"/>
        </w:rPr>
      </w:pPr>
      <w:r>
        <w:rPr>
          <w:color w:val="231F20"/>
          <w:sz w:val="12"/>
        </w:rPr>
        <w:t>do 25</w:t>
      </w:r>
      <w:r>
        <w:rPr>
          <w:color w:val="231F20"/>
          <w:spacing w:val="-17"/>
          <w:sz w:val="12"/>
        </w:rPr>
        <w:t xml:space="preserve"> </w:t>
      </w:r>
      <w:r>
        <w:rPr>
          <w:color w:val="231F20"/>
          <w:sz w:val="12"/>
        </w:rPr>
        <w:t>%</w:t>
      </w:r>
    </w:p>
    <w:p w14:paraId="52441B8F" w14:textId="77777777" w:rsidR="00F65BCA" w:rsidRDefault="00F65BCA">
      <w:pPr>
        <w:rPr>
          <w:sz w:val="12"/>
        </w:rPr>
        <w:sectPr w:rsidR="00F65BCA">
          <w:type w:val="continuous"/>
          <w:pgSz w:w="11910" w:h="16840"/>
          <w:pgMar w:top="840" w:right="140" w:bottom="280" w:left="140" w:header="708" w:footer="708" w:gutter="0"/>
          <w:cols w:num="6" w:space="708" w:equalWidth="0">
            <w:col w:w="2932" w:space="110"/>
            <w:col w:w="648" w:space="177"/>
            <w:col w:w="2974" w:space="237"/>
            <w:col w:w="479" w:space="191"/>
            <w:col w:w="2987" w:space="55"/>
            <w:col w:w="840"/>
          </w:cols>
        </w:sectPr>
      </w:pPr>
    </w:p>
    <w:p w14:paraId="19E21751" w14:textId="77777777" w:rsidR="00F65BCA" w:rsidRDefault="00000000">
      <w:pPr>
        <w:tabs>
          <w:tab w:val="left" w:pos="1338"/>
          <w:tab w:val="left" w:pos="3282"/>
        </w:tabs>
        <w:spacing w:before="83"/>
        <w:ind w:left="179"/>
        <w:rPr>
          <w:b/>
          <w:sz w:val="12"/>
        </w:rPr>
      </w:pPr>
      <w:r>
        <w:lastRenderedPageBreak/>
        <w:pict w14:anchorId="7094C657">
          <v:group id="_x0000_s1111" style="position:absolute;left:0;text-align:left;margin-left:14.15pt;margin-top:2.25pt;width:566.95pt;height:342pt;z-index:-299218944;mso-position-horizontal-relative:page" coordorigin="283,45" coordsize="11339,6840">
            <v:shape id="_x0000_s1562" style="position:absolute;left:283;top:50;width:3586;height:6804" coordorigin="283,51" coordsize="3586,6804" o:spt="100" adj="0,,0" path="m3138,4513r-2571,l283,4513r,1978l283,6854r284,l3138,6854r,-363l3138,4513t,-3039l567,1474r-284,l283,4161r,352l567,4513r2571,l3138,4161r,-2687m3869,4513r-731,l3138,6491r,363l3869,6854r,-363l3869,4513t,-3039l3138,1474r,2687l3138,4513r731,l3869,4161r,-2687m3869,595r-731,l3138,1122r,352l3869,1474r,-352l3869,595t,-544l3138,51r,227l3138,278r,-227l567,51r,1l283,52r,226l283,420r,175l283,596r,526l283,1474r284,l3138,1474r,-352l3138,595r-2571,l567,595r2571,l3138,420r,l3138,595r731,l3869,420r,-1l3869,419r,-141l3869,278r,-227e" fillcolor="#ededee" stroked="f">
              <v:stroke joinstyle="round"/>
              <v:formulas/>
              <v:path arrowok="t" o:connecttype="segments"/>
            </v:shape>
            <v:shape id="_x0000_s1561" style="position:absolute;left:283;top:262;width:3586;height:30" coordorigin="283,263" coordsize="3586,30" path="m3869,263r-731,l567,263r-284,l283,293r284,l3138,293r731,l3869,263e" fillcolor="#231f20" stroked="f">
              <v:path arrowok="t"/>
            </v:shape>
            <v:line id="_x0000_s1560" style="position:absolute" from="283,1474" to="567,1474" strokecolor="#231f20" strokeweight=".25pt"/>
            <v:line id="_x0000_s1559" style="position:absolute" from="567,1474" to="3138,1474" strokecolor="#231f20" strokeweight=".25pt"/>
            <v:line id="_x0000_s1558" style="position:absolute" from="3138,1474" to="3869,1474" strokecolor="#231f20" strokeweight=".25pt"/>
            <v:line id="_x0000_s1557" style="position:absolute" from="283,419" to="567,419" strokecolor="#231f20" strokeweight=".25pt"/>
            <v:line id="_x0000_s1556" style="position:absolute" from="567,419" to="3138,419" strokecolor="#231f20" strokeweight=".25pt"/>
            <v:line id="_x0000_s1555" style="position:absolute" from="567,593" to="567,422" strokecolor="#231f20" strokeweight=".25pt"/>
            <v:line id="_x0000_s1554" style="position:absolute" from="3138,419" to="3869,419" strokecolor="#231f20" strokeweight=".25pt"/>
            <v:line id="_x0000_s1553" style="position:absolute" from="3138,593" to="3138,422" strokecolor="#231f20" strokeweight=".25pt"/>
            <v:line id="_x0000_s1552" style="position:absolute" from="283,595" to="567,595" strokecolor="#231f20" strokeweight=".25pt"/>
            <v:line id="_x0000_s1551" style="position:absolute" from="567,595" to="3138,595" strokecolor="#231f20" strokeweight=".25pt"/>
            <v:line id="_x0000_s1550" style="position:absolute" from="567,768" to="567,598" strokecolor="#231f20" strokeweight=".25pt"/>
            <v:line id="_x0000_s1549" style="position:absolute" from="3138,595" to="3869,595" strokecolor="#231f20" strokeweight=".25pt"/>
            <v:line id="_x0000_s1548" style="position:absolute" from="3138,768" to="3138,598" strokecolor="#231f20" strokeweight=".25pt"/>
            <v:line id="_x0000_s1547" style="position:absolute" from="283,771" to="567,771" strokecolor="#231f20" strokeweight=".25pt"/>
            <v:line id="_x0000_s1546" style="position:absolute" from="567,771" to="3138,771" strokecolor="#231f20" strokeweight=".25pt"/>
            <v:line id="_x0000_s1545" style="position:absolute" from="567,944" to="567,773" strokecolor="#231f20" strokeweight=".25pt"/>
            <v:line id="_x0000_s1544" style="position:absolute" from="3138,771" to="3869,771" strokecolor="#231f20" strokeweight=".25pt"/>
            <v:line id="_x0000_s1543" style="position:absolute" from="3138,944" to="3138,773" strokecolor="#231f20" strokeweight=".25pt"/>
            <v:line id="_x0000_s1542" style="position:absolute" from="283,947" to="567,947" strokecolor="#231f20" strokeweight=".25pt"/>
            <v:line id="_x0000_s1541" style="position:absolute" from="567,947" to="3138,947" strokecolor="#231f20" strokeweight=".25pt"/>
            <v:line id="_x0000_s1540" style="position:absolute" from="567,1120" to="567,949" strokecolor="#231f20" strokeweight=".25pt"/>
            <v:line id="_x0000_s1539" style="position:absolute" from="3138,947" to="3869,947" strokecolor="#231f20" strokeweight=".25pt"/>
            <v:line id="_x0000_s1538" style="position:absolute" from="3138,1120" to="3138,949" strokecolor="#231f20" strokeweight=".25pt"/>
            <v:line id="_x0000_s1537" style="position:absolute" from="283,1122" to="567,1122" strokecolor="#231f20" strokeweight=".25pt"/>
            <v:line id="_x0000_s1536" style="position:absolute" from="567,1122" to="3138,1122" strokecolor="#231f20" strokeweight=".25pt"/>
            <v:line id="_x0000_s1535" style="position:absolute" from="567,1296" to="567,1125" strokecolor="#231f20" strokeweight=".25pt"/>
            <v:line id="_x0000_s1534" style="position:absolute" from="3138,1122" to="3869,1122" strokecolor="#231f20" strokeweight=".25pt"/>
            <v:line id="_x0000_s1533" style="position:absolute" from="3138,1296" to="3138,1125" strokecolor="#231f20" strokeweight=".25pt"/>
            <v:line id="_x0000_s1532" style="position:absolute" from="283,1298" to="567,1298" strokecolor="#231f20" strokeweight=".25pt"/>
            <v:line id="_x0000_s1531" style="position:absolute" from="567,1298" to="3138,1298" strokecolor="#231f20" strokeweight=".25pt"/>
            <v:line id="_x0000_s1530" style="position:absolute" from="567,1471" to="567,1301" strokecolor="#231f20" strokeweight=".25pt"/>
            <v:line id="_x0000_s1529" style="position:absolute" from="3138,1298" to="3869,1298" strokecolor="#231f20" strokeweight=".25pt"/>
            <v:line id="_x0000_s1528" style="position:absolute" from="3138,1471" to="3138,1301" strokecolor="#231f20" strokeweight=".25pt"/>
            <v:line id="_x0000_s1527" style="position:absolute" from="567,1647" to="567,1476" strokecolor="#231f20" strokeweight=".25pt"/>
            <v:line id="_x0000_s1526" style="position:absolute" from="3138,1647" to="3138,1476" strokecolor="#231f20" strokeweight=".25pt"/>
            <v:line id="_x0000_s1525" style="position:absolute" from="283,1650" to="567,1650" strokecolor="#231f20" strokeweight=".25pt"/>
            <v:line id="_x0000_s1524" style="position:absolute" from="567,1650" to="3138,1650" strokecolor="#231f20" strokeweight=".25pt"/>
            <v:line id="_x0000_s1523" style="position:absolute" from="567,1823" to="567,1652" strokecolor="#231f20" strokeweight=".25pt"/>
            <v:line id="_x0000_s1522" style="position:absolute" from="3138,1650" to="3869,1650" strokecolor="#231f20" strokeweight=".25pt"/>
            <v:line id="_x0000_s1521" style="position:absolute" from="3138,1823" to="3138,1652" strokecolor="#231f20" strokeweight=".25pt"/>
            <v:line id="_x0000_s1520" style="position:absolute" from="283,1825" to="567,1825" strokecolor="#231f20" strokeweight=".25pt"/>
            <v:line id="_x0000_s1519" style="position:absolute" from="567,1825" to="3138,1825" strokecolor="#231f20" strokeweight=".25pt"/>
            <v:line id="_x0000_s1518" style="position:absolute" from="567,1993" to="567,1828" strokecolor="#231f20" strokeweight=".25pt"/>
            <v:line id="_x0000_s1517" style="position:absolute" from="3138,1825" to="3869,1825" strokecolor="#231f20" strokeweight=".25pt"/>
            <v:line id="_x0000_s1516" style="position:absolute" from="3138,1993" to="3138,1828" strokecolor="#231f20" strokeweight=".25pt"/>
            <v:line id="_x0000_s1515" style="position:absolute" from="283,1996" to="567,1996" strokecolor="#231f20" strokeweight=".25pt"/>
            <v:line id="_x0000_s1514" style="position:absolute" from="567,1996" to="3138,1996" strokecolor="#231f20" strokeweight=".25pt"/>
            <v:line id="_x0000_s1513" style="position:absolute" from="567,2163" to="567,1998" strokecolor="#231f20" strokeweight=".25pt"/>
            <v:line id="_x0000_s1512" style="position:absolute" from="3138,1996" to="3869,1996" strokecolor="#231f20" strokeweight=".25pt"/>
            <v:line id="_x0000_s1511" style="position:absolute" from="3138,2163" to="3138,1998" strokecolor="#231f20" strokeweight=".25pt"/>
            <v:line id="_x0000_s1510" style="position:absolute" from="283,2166" to="567,2166" strokecolor="#231f20" strokeweight=".25pt"/>
            <v:line id="_x0000_s1509" style="position:absolute" from="567,2166" to="3138,2166" strokecolor="#231f20" strokeweight=".25pt"/>
            <v:line id="_x0000_s1508" style="position:absolute" from="567,2333" to="567,2168" strokecolor="#231f20" strokeweight=".25pt"/>
            <v:line id="_x0000_s1507" style="position:absolute" from="3138,2166" to="3869,2166" strokecolor="#231f20" strokeweight=".25pt"/>
            <v:line id="_x0000_s1506" style="position:absolute" from="3138,2333" to="3138,2168" strokecolor="#231f20" strokeweight=".25pt"/>
            <v:line id="_x0000_s1505" style="position:absolute" from="283,2336" to="567,2336" strokecolor="#231f20" strokeweight=".25pt"/>
            <v:line id="_x0000_s1504" style="position:absolute" from="567,2336" to="3138,2336" strokecolor="#231f20" strokeweight=".25pt"/>
            <v:line id="_x0000_s1503" style="position:absolute" from="567,2645" to="567,2338" strokecolor="#231f20" strokeweight=".25pt"/>
            <v:line id="_x0000_s1502" style="position:absolute" from="3138,2336" to="3869,2336" strokecolor="#231f20" strokeweight=".25pt"/>
            <v:line id="_x0000_s1501" style="position:absolute" from="3138,2645" to="3138,2338" strokecolor="#231f20" strokeweight=".25pt"/>
            <v:line id="_x0000_s1500" style="position:absolute" from="283,2647" to="567,2647" strokecolor="#231f20" strokeweight=".25pt"/>
            <v:line id="_x0000_s1499" style="position:absolute" from="567,2647" to="3138,2647" strokecolor="#231f20" strokeweight=".25pt"/>
            <v:line id="_x0000_s1498" style="position:absolute" from="567,2815" to="567,2650" strokecolor="#231f20" strokeweight=".25pt"/>
            <v:line id="_x0000_s1497" style="position:absolute" from="3138,2647" to="3869,2647" strokecolor="#231f20" strokeweight=".25pt"/>
            <v:line id="_x0000_s1496" style="position:absolute" from="3138,2815" to="3138,2650" strokecolor="#231f20" strokeweight=".25pt"/>
            <v:line id="_x0000_s1495" style="position:absolute" from="283,2818" to="567,2818" strokecolor="#231f20" strokeweight=".25pt"/>
            <v:line id="_x0000_s1494" style="position:absolute" from="567,2818" to="3138,2818" strokecolor="#231f20" strokeweight=".25pt"/>
            <v:line id="_x0000_s1493" style="position:absolute" from="567,2985" to="567,2820" strokecolor="#231f20" strokeweight=".25pt"/>
            <v:line id="_x0000_s1492" style="position:absolute" from="3138,2818" to="3869,2818" strokecolor="#231f20" strokeweight=".25pt"/>
            <v:line id="_x0000_s1491" style="position:absolute" from="3138,2985" to="3138,2820" strokecolor="#231f20" strokeweight=".25pt"/>
            <v:line id="_x0000_s1490" style="position:absolute" from="283,2988" to="567,2988" strokecolor="#231f20" strokeweight=".25pt"/>
            <v:line id="_x0000_s1489" style="position:absolute" from="567,2988" to="3138,2988" strokecolor="#231f20" strokeweight=".25pt"/>
            <v:line id="_x0000_s1488" style="position:absolute" from="567,3155" to="567,2990" strokecolor="#231f20" strokeweight=".25pt"/>
            <v:line id="_x0000_s1487" style="position:absolute" from="3138,2988" to="3869,2988" strokecolor="#231f20" strokeweight=".25pt"/>
            <v:line id="_x0000_s1486" style="position:absolute" from="3138,3155" to="3138,2990" strokecolor="#231f20" strokeweight=".25pt"/>
            <v:line id="_x0000_s1485" style="position:absolute" from="283,3158" to="567,3158" strokecolor="#231f20" strokeweight=".25pt"/>
            <v:line id="_x0000_s1484" style="position:absolute" from="567,3158" to="3138,3158" strokecolor="#231f20" strokeweight=".25pt"/>
            <v:line id="_x0000_s1483" style="position:absolute" from="567,3325" to="567,3160" strokecolor="#231f20" strokeweight=".25pt"/>
            <v:line id="_x0000_s1482" style="position:absolute" from="3138,3158" to="3869,3158" strokecolor="#231f20" strokeweight=".25pt"/>
            <v:line id="_x0000_s1481" style="position:absolute" from="3138,3325" to="3138,3160" strokecolor="#231f20" strokeweight=".25pt"/>
            <v:line id="_x0000_s1480" style="position:absolute" from="283,3328" to="567,3328" strokecolor="#231f20" strokeweight=".25pt"/>
            <v:line id="_x0000_s1479" style="position:absolute" from="567,3328" to="3138,3328" strokecolor="#231f20" strokeweight=".25pt"/>
            <v:line id="_x0000_s1478" style="position:absolute" from="567,3495" to="567,3330" strokecolor="#231f20" strokeweight=".25pt"/>
            <v:line id="_x0000_s1477" style="position:absolute" from="3138,3328" to="3869,3328" strokecolor="#231f20" strokeweight=".25pt"/>
            <v:line id="_x0000_s1476" style="position:absolute" from="3138,3495" to="3138,3330" strokecolor="#231f20" strokeweight=".25pt"/>
            <v:line id="_x0000_s1475" style="position:absolute" from="283,3498" to="567,3498" strokecolor="#231f20" strokeweight=".25pt"/>
            <v:line id="_x0000_s1474" style="position:absolute" from="567,3498" to="3138,3498" strokecolor="#231f20" strokeweight=".25pt"/>
            <v:line id="_x0000_s1473" style="position:absolute" from="567,3807" to="567,3500" strokecolor="#231f20" strokeweight=".25pt"/>
            <v:line id="_x0000_s1472" style="position:absolute" from="3138,3498" to="3869,3498" strokecolor="#231f20" strokeweight=".25pt"/>
            <v:line id="_x0000_s1471" style="position:absolute" from="3138,3807" to="3138,3500" strokecolor="#231f20" strokeweight=".25pt"/>
            <v:line id="_x0000_s1470" style="position:absolute" from="283,3810" to="567,3810" strokecolor="#231f20" strokeweight=".25pt"/>
            <v:line id="_x0000_s1469" style="position:absolute" from="567,3810" to="3138,3810" strokecolor="#231f20" strokeweight=".25pt"/>
            <v:line id="_x0000_s1468" style="position:absolute" from="567,3983" to="567,3812" strokecolor="#231f20" strokeweight=".25pt"/>
            <v:line id="_x0000_s1467" style="position:absolute" from="3138,3810" to="3869,3810" strokecolor="#231f20" strokeweight=".25pt"/>
            <v:line id="_x0000_s1466" style="position:absolute" from="3138,3983" to="3138,3812" strokecolor="#231f20" strokeweight=".25pt"/>
            <v:line id="_x0000_s1465" style="position:absolute" from="283,3985" to="567,3985" strokecolor="#231f20" strokeweight=".25pt"/>
            <v:line id="_x0000_s1464" style="position:absolute" from="567,3985" to="3138,3985" strokecolor="#231f20" strokeweight=".25pt"/>
            <v:line id="_x0000_s1463" style="position:absolute" from="567,4159" to="567,3988" strokecolor="#231f20" strokeweight=".25pt"/>
            <v:line id="_x0000_s1462" style="position:absolute" from="3138,3985" to="3869,3985" strokecolor="#231f20" strokeweight=".25pt"/>
            <v:line id="_x0000_s1461" style="position:absolute" from="3138,4159" to="3138,3988" strokecolor="#231f20" strokeweight=".25pt"/>
            <v:line id="_x0000_s1460" style="position:absolute" from="283,4161" to="567,4161" strokecolor="#231f20" strokeweight=".25pt"/>
            <v:line id="_x0000_s1459" style="position:absolute" from="567,4161" to="3138,4161" strokecolor="#231f20" strokeweight=".25pt"/>
            <v:line id="_x0000_s1458" style="position:absolute" from="567,4334" to="567,4164" strokecolor="#231f20" strokeweight=".25pt"/>
            <v:line id="_x0000_s1457" style="position:absolute" from="3138,4161" to="3869,4161" strokecolor="#231f20" strokeweight=".25pt"/>
            <v:line id="_x0000_s1456" style="position:absolute" from="3138,4334" to="3138,4164" strokecolor="#231f20" strokeweight=".25pt"/>
            <v:line id="_x0000_s1455" style="position:absolute" from="283,4337" to="567,4337" strokecolor="#231f20" strokeweight=".25pt"/>
            <v:line id="_x0000_s1454" style="position:absolute" from="567,4337" to="3138,4337" strokecolor="#231f20" strokeweight=".25pt"/>
            <v:line id="_x0000_s1453" style="position:absolute" from="567,4510" to="567,4339" strokecolor="#231f20" strokeweight=".25pt"/>
            <v:line id="_x0000_s1452" style="position:absolute" from="3138,4337" to="3869,4337" strokecolor="#231f20" strokeweight=".25pt"/>
            <v:line id="_x0000_s1451" style="position:absolute" from="3138,4510" to="3138,4339" strokecolor="#231f20" strokeweight=".25pt"/>
            <v:line id="_x0000_s1450" style="position:absolute" from="283,4513" to="567,4513" strokecolor="#231f20" strokeweight=".25pt"/>
            <v:line id="_x0000_s1449" style="position:absolute" from="567,4513" to="3138,4513" strokecolor="#231f20" strokeweight=".25pt"/>
            <v:line id="_x0000_s1448" style="position:absolute" from="567,5293" to="567,4515" strokecolor="#231f20" strokeweight=".25pt"/>
            <v:line id="_x0000_s1447" style="position:absolute" from="3138,4513" to="3869,4513" strokecolor="#231f20" strokeweight=".25pt"/>
            <v:line id="_x0000_s1446" style="position:absolute" from="3138,5293" to="3138,4515" strokecolor="#231f20" strokeweight=".25pt"/>
            <v:line id="_x0000_s1445" style="position:absolute" from="283,5295" to="567,5295" strokecolor="#231f20" strokeweight=".25pt"/>
            <v:line id="_x0000_s1444" style="position:absolute" from="567,5295" to="3138,5295" strokecolor="#231f20" strokeweight=".25pt"/>
            <v:line id="_x0000_s1443" style="position:absolute" from="567,5763" to="567,5298" strokecolor="#231f20" strokeweight=".25pt"/>
            <v:line id="_x0000_s1442" style="position:absolute" from="3138,5295" to="3869,5295" strokecolor="#231f20" strokeweight=".25pt"/>
            <v:line id="_x0000_s1441" style="position:absolute" from="3138,5763" to="3138,5298" strokecolor="#231f20" strokeweight=".25pt"/>
            <v:line id="_x0000_s1440" style="position:absolute" from="283,5766" to="567,5766" strokecolor="#231f20" strokeweight=".25pt"/>
            <v:line id="_x0000_s1439" style="position:absolute" from="567,5766" to="3138,5766" strokecolor="#231f20" strokeweight=".25pt"/>
            <v:line id="_x0000_s1438" style="position:absolute" from="567,5945" to="567,5768" strokecolor="#231f20" strokeweight=".25pt"/>
            <v:line id="_x0000_s1437" style="position:absolute" from="3138,5766" to="3869,5766" strokecolor="#231f20" strokeweight=".25pt"/>
            <v:line id="_x0000_s1436" style="position:absolute" from="3138,5945" to="3138,5768" strokecolor="#231f20" strokeweight=".25pt"/>
            <v:line id="_x0000_s1435" style="position:absolute" from="283,5947" to="567,5947" strokecolor="#231f20" strokeweight=".25pt"/>
            <v:line id="_x0000_s1434" style="position:absolute" from="567,5947" to="3138,5947" strokecolor="#231f20" strokeweight=".25pt"/>
            <v:line id="_x0000_s1433" style="position:absolute" from="567,6126" to="567,5950" strokecolor="#231f20" strokeweight=".25pt"/>
            <v:line id="_x0000_s1432" style="position:absolute" from="3138,5947" to="3869,5947" strokecolor="#231f20" strokeweight=".25pt"/>
            <v:line id="_x0000_s1431" style="position:absolute" from="3138,6126" to="3138,5950" strokecolor="#231f20" strokeweight=".25pt"/>
            <v:line id="_x0000_s1430" style="position:absolute" from="283,6128" to="567,6128" strokecolor="#231f20" strokeweight=".25pt"/>
            <v:line id="_x0000_s1429" style="position:absolute" from="567,6128" to="3138,6128" strokecolor="#231f20" strokeweight=".25pt"/>
            <v:line id="_x0000_s1428" style="position:absolute" from="567,6307" to="567,6131" strokecolor="#231f20" strokeweight=".25pt"/>
            <v:line id="_x0000_s1427" style="position:absolute" from="3138,6128" to="3869,6128" strokecolor="#231f20" strokeweight=".25pt"/>
            <v:line id="_x0000_s1426" style="position:absolute" from="3138,6307" to="3138,6131" strokecolor="#231f20" strokeweight=".25pt"/>
            <v:line id="_x0000_s1425" style="position:absolute" from="283,6310" to="567,6310" strokecolor="#231f20" strokeweight=".25pt"/>
            <v:line id="_x0000_s1424" style="position:absolute" from="567,6310" to="3138,6310" strokecolor="#231f20" strokeweight=".25pt"/>
            <v:line id="_x0000_s1423" style="position:absolute" from="567,6489" to="567,6312" strokecolor="#231f20" strokeweight=".25pt"/>
            <v:line id="_x0000_s1422" style="position:absolute" from="3138,6310" to="3869,6310" strokecolor="#231f20" strokeweight=".25pt"/>
            <v:line id="_x0000_s1421" style="position:absolute" from="3138,6489" to="3138,6312" strokecolor="#231f20" strokeweight=".25pt"/>
            <v:line id="_x0000_s1420" style="position:absolute" from="283,6491" to="567,6491" strokecolor="#231f20" strokeweight=".25pt"/>
            <v:line id="_x0000_s1419" style="position:absolute" from="567,6491" to="3138,6491" strokecolor="#231f20" strokeweight=".25pt"/>
            <v:line id="_x0000_s1418" style="position:absolute" from="567,6670" to="567,6494" strokecolor="#231f20" strokeweight=".25pt"/>
            <v:line id="_x0000_s1417" style="position:absolute" from="3138,6491" to="3869,6491" strokecolor="#231f20" strokeweight=".25pt"/>
            <v:line id="_x0000_s1416" style="position:absolute" from="3138,6670" to="3138,6494" strokecolor="#231f20" strokeweight=".25pt"/>
            <v:line id="_x0000_s1415" style="position:absolute" from="283,6673" to="567,6673" strokecolor="#231f20" strokeweight=".25pt"/>
            <v:line id="_x0000_s1414" style="position:absolute" from="567,6673" to="3138,6673" strokecolor="#231f20" strokeweight=".25pt"/>
            <v:line id="_x0000_s1413" style="position:absolute" from="567,6854" to="567,6675" strokecolor="#231f20" strokeweight=".25pt"/>
            <v:line id="_x0000_s1412" style="position:absolute" from="3138,6673" to="3869,6673" strokecolor="#231f20" strokeweight=".25pt"/>
            <v:line id="_x0000_s1411" style="position:absolute" from="3138,6854" to="3138,6675" strokecolor="#231f20" strokeweight=".25pt"/>
            <v:shape id="_x0000_s1410" style="position:absolute;left:4158;top:50;width:3586;height:6803" coordorigin="4158,51" coordsize="3586,6803" o:spt="100" adj="0,,0" path="m7013,6313r-2571,l4158,6313r,541l4442,6854r2571,l7013,6313t,-1082l4442,5231r-284,l4158,6313r284,l7013,6313r,-1082m7013,4695r-2571,l4158,4695r,536l4442,5231r2571,l7013,4695t,-527l4442,4168r-284,l4158,4695r284,l7013,4695r,-527m7013,3022r-2571,l4158,3022r,488l4158,4168r284,l7013,4168r,-658l7013,3022t,-351l4442,2671r-284,l4158,3022r284,l7013,3022r,-351m7013,2144r-2571,l4158,2144r,527l4442,2671r2571,l7013,2144t,-879l4442,1265r-284,l4158,1792r,352l4442,2144r2571,l7013,1792r,-527m7744,6313r-731,l7013,6854r731,l7744,6313t,-1082l7013,5231r,1082l7744,6313r,-1082m7744,4695r-731,l7013,5231r731,l7744,4695t,-527l7013,4168r,527l7744,4695r,-527m7744,3022r-731,l7013,3510r,658l7744,4168r,-658l7744,3022t,-351l7013,2671r,351l7744,3022r,-351m7744,2144r-731,l7013,2671r731,l7744,2144t,-879l7013,1265r,527l7013,2144r731,l7744,1792r,-527m7744,51r-731,l7013,278r,l7013,51r-2571,l4442,52r-284,l4158,278r,156l4158,602r284,l4442,602r-284,l4158,1265r284,l7013,1265r,-663l7013,434r,l7013,602r,663l7744,1265r,-663l7744,434r,l7744,434r,l7013,434r,l4442,434r,l7744,434r,-156l7744,278r,-227e" fillcolor="#ededee" stroked="f">
              <v:stroke joinstyle="round"/>
              <v:formulas/>
              <v:path arrowok="t" o:connecttype="segments"/>
            </v:shape>
            <v:shape id="_x0000_s1409" style="position:absolute;left:4158;top:262;width:3586;height:30" coordorigin="4158,263" coordsize="3586,30" path="m7744,263r-731,l4442,263r-284,l4158,293r284,l7013,293r731,l7744,263e" fillcolor="#231f20" stroked="f">
              <v:path arrowok="t"/>
            </v:shape>
            <v:line id="_x0000_s1408" style="position:absolute" from="4158,1089" to="4442,1089" strokecolor="#231f20" strokeweight=".25pt"/>
            <v:line id="_x0000_s1407" style="position:absolute" from="4442,1089" to="7013,1089" strokecolor="#231f20" strokeweight=".25pt"/>
            <v:line id="_x0000_s1406" style="position:absolute" from="7013,1089" to="7744,1089" strokecolor="#231f20" strokeweight=".25pt"/>
            <v:line id="_x0000_s1405" style="position:absolute" from="4158,434" to="4442,434" strokecolor="#231f20" strokeweight=".25pt"/>
            <v:line id="_x0000_s1404" style="position:absolute" from="4442,434" to="7013,434" strokecolor="#231f20" strokeweight=".25pt"/>
            <v:line id="_x0000_s1403" style="position:absolute" from="4442,599" to="4442,437" strokecolor="#231f20" strokeweight=".25pt"/>
            <v:line id="_x0000_s1402" style="position:absolute" from="7013,434" to="7744,434" strokecolor="#231f20" strokeweight=".25pt"/>
            <v:line id="_x0000_s1401" style="position:absolute" from="7013,599" to="7013,437" strokecolor="#231f20" strokeweight=".25pt"/>
            <v:line id="_x0000_s1400" style="position:absolute" from="4158,602" to="4442,602" strokecolor="#231f20" strokeweight=".25pt"/>
            <v:line id="_x0000_s1399" style="position:absolute" from="4442,602" to="7013,602" strokecolor="#231f20" strokeweight=".25pt"/>
            <v:line id="_x0000_s1398" style="position:absolute" from="4442,911" to="4442,604" strokecolor="#231f20" strokeweight=".25pt"/>
            <v:line id="_x0000_s1397" style="position:absolute" from="7013,602" to="7744,602" strokecolor="#231f20" strokeweight=".25pt"/>
            <v:line id="_x0000_s1396" style="position:absolute" from="7013,911" to="7013,604" strokecolor="#231f20" strokeweight=".25pt"/>
            <v:line id="_x0000_s1395" style="position:absolute" from="4158,914" to="4442,914" strokecolor="#231f20" strokeweight=".25pt"/>
            <v:line id="_x0000_s1394" style="position:absolute" from="4442,914" to="7013,914" strokecolor="#231f20" strokeweight=".25pt"/>
            <v:line id="_x0000_s1393" style="position:absolute" from="4442,1087" to="4442,916" strokecolor="#231f20" strokeweight=".25pt"/>
            <v:line id="_x0000_s1392" style="position:absolute" from="7013,914" to="7744,914" strokecolor="#231f20" strokeweight=".25pt"/>
            <v:line id="_x0000_s1391" style="position:absolute" from="7013,1087" to="7013,916" strokecolor="#231f20" strokeweight=".25pt"/>
            <v:line id="_x0000_s1390" style="position:absolute" from="4442,1263" to="4442,1092" strokecolor="#231f20" strokeweight=".25pt"/>
            <v:line id="_x0000_s1389" style="position:absolute" from="7013,1263" to="7013,1092" strokecolor="#231f20" strokeweight=".25pt"/>
            <v:line id="_x0000_s1388" style="position:absolute" from="4158,1265" to="4442,1265" strokecolor="#231f20" strokeweight=".25pt"/>
            <v:line id="_x0000_s1387" style="position:absolute" from="4442,1265" to="7013,1265" strokecolor="#231f20" strokeweight=".25pt"/>
            <v:line id="_x0000_s1386" style="position:absolute" from="4442,1438" to="4442,1268" strokecolor="#231f20" strokeweight=".25pt"/>
            <v:line id="_x0000_s1385" style="position:absolute" from="7013,1265" to="7744,1265" strokecolor="#231f20" strokeweight=".25pt"/>
            <v:line id="_x0000_s1384" style="position:absolute" from="7013,1438" to="7013,1268" strokecolor="#231f20" strokeweight=".25pt"/>
            <v:line id="_x0000_s1383" style="position:absolute" from="4158,1441" to="4442,1441" strokecolor="#231f20" strokeweight=".25pt"/>
            <v:line id="_x0000_s1382" style="position:absolute" from="4442,1441" to="7013,1441" strokecolor="#231f20" strokeweight=".25pt"/>
            <v:line id="_x0000_s1381" style="position:absolute" from="4442,1614" to="4442,1443" strokecolor="#231f20" strokeweight=".25pt"/>
            <v:line id="_x0000_s1380" style="position:absolute" from="7013,1441" to="7744,1441" strokecolor="#231f20" strokeweight=".25pt"/>
            <v:line id="_x0000_s1379" style="position:absolute" from="7013,1614" to="7013,1443" strokecolor="#231f20" strokeweight=".25pt"/>
            <v:line id="_x0000_s1378" style="position:absolute" from="4158,1617" to="4442,1617" strokecolor="#231f20" strokeweight=".25pt"/>
            <v:line id="_x0000_s1377" style="position:absolute" from="4442,1617" to="7013,1617" strokecolor="#231f20" strokeweight=".25pt"/>
            <v:line id="_x0000_s1376" style="position:absolute" from="4442,1790" to="4442,1619" strokecolor="#231f20" strokeweight=".25pt"/>
            <v:line id="_x0000_s1375" style="position:absolute" from="7013,1617" to="7744,1617" strokecolor="#231f20" strokeweight=".25pt"/>
            <v:line id="_x0000_s1374" style="position:absolute" from="7013,1790" to="7013,1619" strokecolor="#231f20" strokeweight=".25pt"/>
            <v:line id="_x0000_s1373" style="position:absolute" from="4158,1792" to="4442,1792" strokecolor="#231f20" strokeweight=".25pt"/>
            <v:line id="_x0000_s1372" style="position:absolute" from="4442,1792" to="7013,1792" strokecolor="#231f20" strokeweight=".25pt"/>
            <v:line id="_x0000_s1371" style="position:absolute" from="4442,1965" to="4442,1795" strokecolor="#231f20" strokeweight=".25pt"/>
            <v:line id="_x0000_s1370" style="position:absolute" from="7013,1792" to="7744,1792" strokecolor="#231f20" strokeweight=".25pt"/>
            <v:line id="_x0000_s1369" style="position:absolute" from="7013,1965" to="7013,1795" strokecolor="#231f20" strokeweight=".25pt"/>
            <v:line id="_x0000_s1368" style="position:absolute" from="4158,1968" to="4442,1968" strokecolor="#231f20" strokeweight=".25pt"/>
            <v:line id="_x0000_s1367" style="position:absolute" from="4442,1968" to="7013,1968" strokecolor="#231f20" strokeweight=".25pt"/>
            <v:line id="_x0000_s1366" style="position:absolute" from="4442,2141" to="4442,1971" strokecolor="#231f20" strokeweight=".25pt"/>
            <v:line id="_x0000_s1365" style="position:absolute" from="7013,1968" to="7744,1968" strokecolor="#231f20" strokeweight=".25pt"/>
            <v:line id="_x0000_s1364" style="position:absolute" from="7013,2141" to="7013,1971" strokecolor="#231f20" strokeweight=".25pt"/>
            <v:line id="_x0000_s1363" style="position:absolute" from="4158,2144" to="4442,2144" strokecolor="#231f20" strokeweight=".25pt"/>
            <v:line id="_x0000_s1362" style="position:absolute" from="4442,2144" to="7013,2144" strokecolor="#231f20" strokeweight=".25pt"/>
            <v:line id="_x0000_s1361" style="position:absolute" from="4442,2317" to="4442,2146" strokecolor="#231f20" strokeweight=".25pt"/>
            <v:line id="_x0000_s1360" style="position:absolute" from="7013,2144" to="7744,2144" strokecolor="#231f20" strokeweight=".25pt"/>
            <v:line id="_x0000_s1359" style="position:absolute" from="7013,2317" to="7013,2146" strokecolor="#231f20" strokeweight=".25pt"/>
            <v:line id="_x0000_s1358" style="position:absolute" from="4158,2319" to="4442,2319" strokecolor="#231f20" strokeweight=".25pt"/>
            <v:line id="_x0000_s1357" style="position:absolute" from="4442,2319" to="7013,2319" strokecolor="#231f20" strokeweight=".25pt"/>
            <v:line id="_x0000_s1356" style="position:absolute" from="4442,2493" to="4442,2322" strokecolor="#231f20" strokeweight=".25pt"/>
            <v:line id="_x0000_s1355" style="position:absolute" from="7013,2319" to="7744,2319" strokecolor="#231f20" strokeweight=".25pt"/>
            <v:line id="_x0000_s1354" style="position:absolute" from="7013,2493" to="7013,2322" strokecolor="#231f20" strokeweight=".25pt"/>
            <v:line id="_x0000_s1353" style="position:absolute" from="4158,2495" to="4442,2495" strokecolor="#231f20" strokeweight=".25pt"/>
            <v:line id="_x0000_s1352" style="position:absolute" from="4442,2495" to="7013,2495" strokecolor="#231f20" strokeweight=".25pt"/>
            <v:line id="_x0000_s1351" style="position:absolute" from="4442,2668" to="4442,2498" strokecolor="#231f20" strokeweight=".25pt"/>
            <v:line id="_x0000_s1350" style="position:absolute" from="7013,2495" to="7744,2495" strokecolor="#231f20" strokeweight=".25pt"/>
            <v:line id="_x0000_s1349" style="position:absolute" from="7013,2668" to="7013,2498" strokecolor="#231f20" strokeweight=".25pt"/>
            <v:line id="_x0000_s1348" style="position:absolute" from="4158,2671" to="4442,2671" strokecolor="#231f20" strokeweight=".25pt"/>
            <v:line id="_x0000_s1347" style="position:absolute" from="4442,2671" to="7013,2671" strokecolor="#231f20" strokeweight=".25pt"/>
            <v:line id="_x0000_s1346" style="position:absolute" from="4442,2844" to="4442,2673" strokecolor="#231f20" strokeweight=".25pt"/>
            <v:line id="_x0000_s1345" style="position:absolute" from="7013,2671" to="7744,2671" strokecolor="#231f20" strokeweight=".25pt"/>
            <v:line id="_x0000_s1344" style="position:absolute" from="7013,2844" to="7013,2673" strokecolor="#231f20" strokeweight=".25pt"/>
            <v:line id="_x0000_s1343" style="position:absolute" from="4158,2847" to="4442,2847" strokecolor="#231f20" strokeweight=".25pt"/>
            <v:line id="_x0000_s1342" style="position:absolute" from="4442,2847" to="7013,2847" strokecolor="#231f20" strokeweight=".25pt"/>
            <v:line id="_x0000_s1341" style="position:absolute" from="4442,3020" to="4442,2849" strokecolor="#231f20" strokeweight=".25pt"/>
            <v:line id="_x0000_s1340" style="position:absolute" from="7013,2847" to="7744,2847" strokecolor="#231f20" strokeweight=".25pt"/>
            <v:line id="_x0000_s1339" style="position:absolute" from="7013,3020" to="7013,2849" strokecolor="#231f20" strokeweight=".25pt"/>
            <v:line id="_x0000_s1338" style="position:absolute" from="4158,3022" to="4442,3022" strokecolor="#231f20" strokeweight=".25pt"/>
            <v:line id="_x0000_s1337" style="position:absolute" from="4442,3022" to="7013,3022" strokecolor="#231f20" strokeweight=".25pt"/>
            <v:line id="_x0000_s1336" style="position:absolute" from="4442,3332" to="4442,3025" strokecolor="#231f20" strokeweight=".25pt"/>
            <v:line id="_x0000_s1335" style="position:absolute" from="7013,3022" to="7744,3022" strokecolor="#231f20" strokeweight=".25pt"/>
            <v:line id="_x0000_s1334" style="position:absolute" from="7013,3332" to="7013,3025" strokecolor="#231f20" strokeweight=".25pt"/>
            <v:line id="_x0000_s1333" style="position:absolute" from="4158,3334" to="4442,3334" strokecolor="#231f20" strokeweight=".25pt"/>
            <v:line id="_x0000_s1332" style="position:absolute" from="4442,3334" to="7013,3334" strokecolor="#231f20" strokeweight=".25pt"/>
            <v:line id="_x0000_s1331" style="position:absolute" from="4442,3508" to="4442,3337" strokecolor="#231f20" strokeweight=".25pt"/>
            <v:line id="_x0000_s1330" style="position:absolute" from="7013,3334" to="7744,3334" strokecolor="#231f20" strokeweight=".25pt"/>
            <v:line id="_x0000_s1329" style="position:absolute" from="7013,3508" to="7013,3337" strokecolor="#231f20" strokeweight=".25pt"/>
            <v:line id="_x0000_s1328" style="position:absolute" from="4158,3510" to="4442,3510" strokecolor="#231f20" strokeweight=".25pt"/>
            <v:line id="_x0000_s1327" style="position:absolute" from="4442,3510" to="7013,3510" strokecolor="#231f20" strokeweight=".25pt"/>
            <v:line id="_x0000_s1326" style="position:absolute" from="4442,3683" to="4442,3513" strokecolor="#231f20" strokeweight=".25pt"/>
            <v:line id="_x0000_s1325" style="position:absolute" from="7013,3510" to="7744,3510" strokecolor="#231f20" strokeweight=".25pt"/>
            <v:line id="_x0000_s1324" style="position:absolute" from="7013,3683" to="7013,3513" strokecolor="#231f20" strokeweight=".25pt"/>
            <v:line id="_x0000_s1323" style="position:absolute" from="4158,3686" to="4442,3686" strokecolor="#231f20" strokeweight=".25pt"/>
            <v:line id="_x0000_s1322" style="position:absolute" from="4442,3686" to="7013,3686" strokecolor="#231f20" strokeweight=".25pt"/>
            <v:line id="_x0000_s1321" style="position:absolute" from="4442,3989" to="4442,3688" strokecolor="#231f20" strokeweight=".25pt"/>
            <v:line id="_x0000_s1320" style="position:absolute" from="7013,3686" to="7744,3686" strokecolor="#231f20" strokeweight=".25pt"/>
            <v:line id="_x0000_s1319" style="position:absolute" from="7013,3989" to="7013,3688" strokecolor="#231f20" strokeweight=".25pt"/>
            <v:line id="_x0000_s1318" style="position:absolute" from="4158,3992" to="4442,3992" strokecolor="#231f20" strokeweight=".25pt"/>
            <v:line id="_x0000_s1317" style="position:absolute" from="4442,3992" to="7013,3992" strokecolor="#231f20" strokeweight=".25pt"/>
            <v:line id="_x0000_s1316" style="position:absolute" from="4442,4165" to="4442,3994" strokecolor="#231f20" strokeweight=".25pt"/>
            <v:line id="_x0000_s1315" style="position:absolute" from="7013,3992" to="7744,3992" strokecolor="#231f20" strokeweight=".25pt"/>
            <v:line id="_x0000_s1314" style="position:absolute" from="7013,4165" to="7013,3994" strokecolor="#231f20" strokeweight=".25pt"/>
            <v:line id="_x0000_s1313" style="position:absolute" from="4158,4168" to="4442,4168" strokecolor="#231f20" strokeweight=".25pt"/>
            <v:line id="_x0000_s1312" style="position:absolute" from="4442,4168" to="7013,4168" strokecolor="#231f20" strokeweight=".25pt"/>
            <v:line id="_x0000_s1311" style="position:absolute" from="4442,4341" to="4442,4170" strokecolor="#231f20" strokeweight=".25pt"/>
            <v:line id="_x0000_s1310" style="position:absolute" from="7013,4168" to="7744,4168" strokecolor="#231f20" strokeweight=".25pt"/>
            <v:line id="_x0000_s1309" style="position:absolute" from="7013,4341" to="7013,4170" strokecolor="#231f20" strokeweight=".25pt"/>
            <v:line id="_x0000_s1308" style="position:absolute" from="4158,4343" to="4442,4343" strokecolor="#231f20" strokeweight=".25pt"/>
            <v:line id="_x0000_s1307" style="position:absolute" from="4442,4343" to="7013,4343" strokecolor="#231f20" strokeweight=".25pt"/>
            <v:line id="_x0000_s1306" style="position:absolute" from="4442,4517" to="4442,4346" strokecolor="#231f20" strokeweight=".25pt"/>
            <v:line id="_x0000_s1305" style="position:absolute" from="7013,4343" to="7744,4343" strokecolor="#231f20" strokeweight=".25pt"/>
            <v:line id="_x0000_s1304" style="position:absolute" from="7013,4517" to="7013,4346" strokecolor="#231f20" strokeweight=".25pt"/>
            <v:line id="_x0000_s1303" style="position:absolute" from="4158,4519" to="4442,4519" strokecolor="#231f20" strokeweight=".25pt"/>
            <v:line id="_x0000_s1302" style="position:absolute" from="4442,4519" to="7013,4519" strokecolor="#231f20" strokeweight=".25pt"/>
            <v:line id="_x0000_s1301" style="position:absolute" from="4442,4692" to="4442,4522" strokecolor="#231f20" strokeweight=".25pt"/>
            <v:line id="_x0000_s1300" style="position:absolute" from="7013,4519" to="7744,4519" strokecolor="#231f20" strokeweight=".25pt"/>
            <v:line id="_x0000_s1299" style="position:absolute" from="7013,4692" to="7013,4522" strokecolor="#231f20" strokeweight=".25pt"/>
            <v:line id="_x0000_s1298" style="position:absolute" from="4158,4695" to="4442,4695" strokecolor="#231f20" strokeweight=".25pt"/>
            <v:line id="_x0000_s1297" style="position:absolute" from="4442,4695" to="7013,4695" strokecolor="#231f20" strokeweight=".25pt"/>
            <v:line id="_x0000_s1296" style="position:absolute" from="4442,4868" to="4442,4697" strokecolor="#231f20" strokeweight=".25pt"/>
            <v:line id="_x0000_s1295" style="position:absolute" from="7013,4695" to="7744,4695" strokecolor="#231f20" strokeweight=".25pt"/>
            <v:line id="_x0000_s1294" style="position:absolute" from="7013,4868" to="7013,4697" strokecolor="#231f20" strokeweight=".25pt"/>
            <v:line id="_x0000_s1293" style="position:absolute" from="4158,4871" to="4442,4871" strokecolor="#231f20" strokeweight=".25pt"/>
            <v:line id="_x0000_s1292" style="position:absolute" from="4442,4871" to="7013,4871" strokecolor="#231f20" strokeweight=".25pt"/>
            <v:line id="_x0000_s1291" style="position:absolute" from="4442,5048" to="4442,4873" strokecolor="#231f20" strokeweight=".25pt"/>
            <v:line id="_x0000_s1290" style="position:absolute" from="7013,4871" to="7744,4871" strokecolor="#231f20" strokeweight=".25pt"/>
            <v:line id="_x0000_s1289" style="position:absolute" from="7013,5048" to="7013,4873" strokecolor="#231f20" strokeweight=".25pt"/>
            <v:line id="_x0000_s1288" style="position:absolute" from="4158,5051" to="4442,5051" strokecolor="#231f20" strokeweight=".25pt"/>
            <v:line id="_x0000_s1287" style="position:absolute" from="4442,5051" to="7013,5051" strokecolor="#231f20" strokeweight=".25pt"/>
            <v:line id="_x0000_s1286" style="position:absolute" from="4442,5229" to="4442,5053" strokecolor="#231f20" strokeweight=".25pt"/>
            <v:line id="_x0000_s1285" style="position:absolute" from="7013,5051" to="7744,5051" strokecolor="#231f20" strokeweight=".25pt"/>
            <v:line id="_x0000_s1284" style="position:absolute" from="7013,5229" to="7013,5053" strokecolor="#231f20" strokeweight=".25pt"/>
            <v:line id="_x0000_s1283" style="position:absolute" from="4158,5231" to="4442,5231" strokecolor="#231f20" strokeweight=".25pt"/>
            <v:line id="_x0000_s1282" style="position:absolute" from="4442,5231" to="7013,5231" strokecolor="#231f20" strokeweight=".25pt"/>
            <v:line id="_x0000_s1281" style="position:absolute" from="4442,5409" to="4442,5234" strokecolor="#231f20" strokeweight=".25pt"/>
            <v:line id="_x0000_s1280" style="position:absolute" from="7013,5231" to="7744,5231" strokecolor="#231f20" strokeweight=".25pt"/>
            <v:line id="_x0000_s1279" style="position:absolute" from="7013,5409" to="7013,5234" strokecolor="#231f20" strokeweight=".25pt"/>
            <v:line id="_x0000_s1278" style="position:absolute" from="4158,5412" to="4442,5412" strokecolor="#231f20" strokeweight=".25pt"/>
            <v:line id="_x0000_s1277" style="position:absolute" from="4442,5412" to="7013,5412" strokecolor="#231f20" strokeweight=".25pt"/>
            <v:line id="_x0000_s1276" style="position:absolute" from="4442,5589" to="4442,5414" strokecolor="#231f20" strokeweight=".25pt"/>
            <v:line id="_x0000_s1275" style="position:absolute" from="7013,5412" to="7744,5412" strokecolor="#231f20" strokeweight=".25pt"/>
            <v:line id="_x0000_s1274" style="position:absolute" from="7013,5589" to="7013,5414" strokecolor="#231f20" strokeweight=".25pt"/>
            <v:line id="_x0000_s1273" style="position:absolute" from="4158,5592" to="4442,5592" strokecolor="#231f20" strokeweight=".25pt"/>
            <v:line id="_x0000_s1272" style="position:absolute" from="4442,5592" to="7013,5592" strokecolor="#231f20" strokeweight=".25pt"/>
            <v:line id="_x0000_s1271" style="position:absolute" from="4442,5770" to="4442,5594" strokecolor="#231f20" strokeweight=".25pt"/>
            <v:line id="_x0000_s1270" style="position:absolute" from="7013,5592" to="7744,5592" strokecolor="#231f20" strokeweight=".25pt"/>
            <v:line id="_x0000_s1269" style="position:absolute" from="7013,5770" to="7013,5594" strokecolor="#231f20" strokeweight=".25pt"/>
            <v:line id="_x0000_s1268" style="position:absolute" from="4158,5772" to="4442,5772" strokecolor="#231f20" strokeweight=".25pt"/>
            <v:line id="_x0000_s1267" style="position:absolute" from="4442,5772" to="7013,5772" strokecolor="#231f20" strokeweight=".25pt"/>
            <v:line id="_x0000_s1266" style="position:absolute" from="4442,5950" to="4442,5775" strokecolor="#231f20" strokeweight=".25pt"/>
            <v:line id="_x0000_s1265" style="position:absolute" from="7013,5772" to="7744,5772" strokecolor="#231f20" strokeweight=".25pt"/>
            <v:line id="_x0000_s1264" style="position:absolute" from="7013,5950" to="7013,5775" strokecolor="#231f20" strokeweight=".25pt"/>
            <v:line id="_x0000_s1263" style="position:absolute" from="4158,5952" to="4442,5952" strokecolor="#231f20" strokeweight=".25pt"/>
            <v:line id="_x0000_s1262" style="position:absolute" from="4442,5952" to="7013,5952" strokecolor="#231f20" strokeweight=".25pt"/>
            <v:line id="_x0000_s1261" style="position:absolute" from="4442,6130" to="4442,5955" strokecolor="#231f20" strokeweight=".25pt"/>
            <v:line id="_x0000_s1260" style="position:absolute" from="7013,5952" to="7744,5952" strokecolor="#231f20" strokeweight=".25pt"/>
            <v:line id="_x0000_s1259" style="position:absolute" from="7013,6130" to="7013,5955" strokecolor="#231f20" strokeweight=".25pt"/>
            <v:line id="_x0000_s1258" style="position:absolute" from="4158,6133" to="4442,6133" strokecolor="#231f20" strokeweight=".25pt"/>
            <v:line id="_x0000_s1257" style="position:absolute" from="4442,6133" to="7013,6133" strokecolor="#231f20" strokeweight=".25pt"/>
            <v:line id="_x0000_s1256" style="position:absolute" from="4442,6310" to="4442,6135" strokecolor="#231f20" strokeweight=".25pt"/>
            <v:line id="_x0000_s1255" style="position:absolute" from="7013,6133" to="7744,6133" strokecolor="#231f20" strokeweight=".25pt"/>
            <v:line id="_x0000_s1254" style="position:absolute" from="7013,6310" to="7013,6135" strokecolor="#231f20" strokeweight=".25pt"/>
            <v:line id="_x0000_s1253" style="position:absolute" from="4158,6313" to="4442,6313" strokecolor="#231f20" strokeweight=".25pt"/>
            <v:line id="_x0000_s1252" style="position:absolute" from="4442,6313" to="7013,6313" strokecolor="#231f20" strokeweight=".25pt"/>
            <v:line id="_x0000_s1251" style="position:absolute" from="4442,6491" to="4442,6315" strokecolor="#231f20" strokeweight=".25pt"/>
            <v:line id="_x0000_s1250" style="position:absolute" from="7013,6313" to="7744,6313" strokecolor="#231f20" strokeweight=".25pt"/>
            <v:line id="_x0000_s1249" style="position:absolute" from="7013,6491" to="7013,6315" strokecolor="#231f20" strokeweight=".25pt"/>
            <v:line id="_x0000_s1248" style="position:absolute" from="4158,6493" to="4442,6493" strokecolor="#231f20" strokeweight=".25pt"/>
            <v:line id="_x0000_s1247" style="position:absolute" from="4442,6493" to="7013,6493" strokecolor="#231f20" strokeweight=".25pt"/>
            <v:line id="_x0000_s1246" style="position:absolute" from="4442,6671" to="4442,6496" strokecolor="#231f20" strokeweight=".25pt"/>
            <v:line id="_x0000_s1245" style="position:absolute" from="7013,6493" to="7744,6493" strokecolor="#231f20" strokeweight=".25pt"/>
            <v:line id="_x0000_s1244" style="position:absolute" from="7013,6671" to="7013,6496" strokecolor="#231f20" strokeweight=".25pt"/>
            <v:line id="_x0000_s1243" style="position:absolute" from="4158,6674" to="4442,6674" strokecolor="#231f20" strokeweight=".25pt"/>
            <v:line id="_x0000_s1242" style="position:absolute" from="4442,6674" to="7013,6674" strokecolor="#231f20" strokeweight=".25pt"/>
            <v:line id="_x0000_s1241" style="position:absolute" from="4442,6854" to="4442,6676" strokecolor="#231f20" strokeweight=".25pt"/>
            <v:line id="_x0000_s1240" style="position:absolute" from="7013,6674" to="7744,6674" strokecolor="#231f20" strokeweight=".25pt"/>
            <v:line id="_x0000_s1239" style="position:absolute" from="7013,6854" to="7013,6676" strokecolor="#231f20" strokeweight=".25pt"/>
            <v:shape id="_x0000_s1238" style="position:absolute;left:8033;top:64;width:3586;height:6788" coordorigin="8033,65" coordsize="3586,6788" o:spt="100" adj="0,,0" path="m11619,445r,l11619,286r-3302,l8317,285r2571,l10888,65r-2571,l8317,66r-284,l8033,286r,160l8033,2166r,220l8033,5605r,1l8033,6852r284,l10888,6852r,-1247l10888,2386r,l10888,5605r,1247l11619,6852r,-1247l11619,2385r,l11619,2166r-3302,l8317,2165r2571,l10888,446r,l10888,2165r731,l11619,445t,-380l10888,65r,220l11619,285r,-220e" fillcolor="#ededee" stroked="f">
              <v:stroke joinstyle="round"/>
              <v:formulas/>
              <v:path arrowok="t" o:connecttype="segments"/>
            </v:shape>
            <v:shape id="_x0000_s1237" style="position:absolute;left:8033;top:262;width:3586;height:30" coordorigin="8033,263" coordsize="3586,30" path="m11619,263r-731,l8317,263r-284,l8033,293r284,l10888,293r731,l11619,263e" fillcolor="#231f20" stroked="f">
              <v:path arrowok="t"/>
            </v:shape>
            <v:line id="_x0000_s1236" style="position:absolute" from="8033,1058" to="8317,1058" strokecolor="#231f20" strokeweight=".25pt"/>
            <v:line id="_x0000_s1235" style="position:absolute" from="8317,1058" to="10888,1058" strokecolor="#231f20" strokeweight=".25pt"/>
            <v:line id="_x0000_s1234" style="position:absolute" from="10888,1058" to="11619,1058" strokecolor="#231f20" strokeweight=".25pt"/>
            <v:line id="_x0000_s1233" style="position:absolute" from="8033,434" to="8317,434" strokecolor="#231f20" strokeweight=".25pt"/>
            <v:line id="_x0000_s1232" style="position:absolute" from="8317,434" to="10888,434" strokecolor="#231f20" strokeweight=".25pt"/>
            <v:line id="_x0000_s1231" style="position:absolute" from="8317,744" to="8317,437" strokecolor="#231f20" strokeweight=".25pt"/>
            <v:line id="_x0000_s1230" style="position:absolute" from="10888,434" to="11619,434" strokecolor="#231f20" strokeweight=".25pt"/>
            <v:line id="_x0000_s1229" style="position:absolute" from="10888,744" to="10888,437" strokecolor="#231f20" strokeweight=".25pt"/>
            <v:line id="_x0000_s1228" style="position:absolute" from="8033,746" to="8317,746" strokecolor="#231f20" strokeweight=".25pt"/>
            <v:line id="_x0000_s1227" style="position:absolute" from="8317,746" to="10888,746" strokecolor="#231f20" strokeweight=".25pt"/>
            <v:line id="_x0000_s1226" style="position:absolute" from="8317,1056" to="8317,749" strokecolor="#231f20" strokeweight=".25pt"/>
            <v:line id="_x0000_s1225" style="position:absolute" from="10888,746" to="11619,746" strokecolor="#231f20" strokeweight=".25pt"/>
            <v:line id="_x0000_s1224" style="position:absolute" from="10888,1056" to="10888,749" strokecolor="#231f20" strokeweight=".25pt"/>
            <v:line id="_x0000_s1223" style="position:absolute" from="8317,1226" to="8317,1061" strokecolor="#231f20" strokeweight=".25pt"/>
            <v:line id="_x0000_s1222" style="position:absolute" from="10888,1226" to="10888,1061" strokecolor="#231f20" strokeweight=".25pt"/>
            <v:line id="_x0000_s1221" style="position:absolute" from="8033,1228" to="8317,1228" strokecolor="#231f20" strokeweight=".25pt"/>
            <v:line id="_x0000_s1220" style="position:absolute" from="8317,1228" to="10888,1228" strokecolor="#231f20" strokeweight=".25pt"/>
            <v:line id="_x0000_s1219" style="position:absolute" from="8317,1396" to="8317,1231" strokecolor="#231f20" strokeweight=".25pt"/>
            <v:line id="_x0000_s1218" style="position:absolute" from="10888,1228" to="11619,1228" strokecolor="#231f20" strokeweight=".25pt"/>
            <v:line id="_x0000_s1217" style="position:absolute" from="10888,1396" to="10888,1231" strokecolor="#231f20" strokeweight=".25pt"/>
            <v:line id="_x0000_s1216" style="position:absolute" from="8033,1398" to="8317,1398" strokecolor="#231f20" strokeweight=".25pt"/>
            <v:line id="_x0000_s1215" style="position:absolute" from="8317,1398" to="10888,1398" strokecolor="#231f20" strokeweight=".25pt"/>
            <v:line id="_x0000_s1214" style="position:absolute" from="8317,1702" to="8317,1401" strokecolor="#231f20" strokeweight=".25pt"/>
            <v:line id="_x0000_s1213" style="position:absolute" from="10888,1398" to="11619,1398" strokecolor="#231f20" strokeweight=".25pt"/>
            <v:line id="_x0000_s1212" style="position:absolute" from="10888,1702" to="10888,1401" strokecolor="#231f20" strokeweight=".25pt"/>
            <v:line id="_x0000_s1211" style="position:absolute" from="8033,1704" to="8317,1704" strokecolor="#231f20" strokeweight=".25pt"/>
            <v:line id="_x0000_s1210" style="position:absolute" from="8317,1704" to="10888,1704" strokecolor="#231f20" strokeweight=".25pt"/>
            <v:line id="_x0000_s1209" style="position:absolute" from="8317,1872" to="8317,1707" strokecolor="#231f20" strokeweight=".25pt"/>
            <v:line id="_x0000_s1208" style="position:absolute" from="10888,1704" to="11619,1704" strokecolor="#231f20" strokeweight=".25pt"/>
            <v:line id="_x0000_s1207" style="position:absolute" from="10888,1872" to="10888,1707" strokecolor="#231f20" strokeweight=".25pt"/>
            <v:line id="_x0000_s1206" style="position:absolute" from="8033,1874" to="8317,1874" strokecolor="#231f20" strokeweight=".25pt"/>
            <v:line id="_x0000_s1205" style="position:absolute" from="8317,1874" to="10888,1874" strokecolor="#231f20" strokeweight=".25pt"/>
            <v:line id="_x0000_s1204" style="position:absolute" from="8317,2042" to="8317,1877" strokecolor="#231f20" strokeweight=".25pt"/>
            <v:line id="_x0000_s1203" style="position:absolute" from="10888,1874" to="11619,1874" strokecolor="#231f20" strokeweight=".25pt"/>
            <v:line id="_x0000_s1202" style="position:absolute" from="10888,2042" to="10888,1877" strokecolor="#231f20" strokeweight=".25pt"/>
            <v:line id="_x0000_s1201" style="position:absolute" from="8033,2045" to="8317,2045" strokecolor="#231f20" strokeweight=".25pt"/>
            <v:line id="_x0000_s1200" style="position:absolute" from="8317,2045" to="10888,2045" strokecolor="#231f20" strokeweight=".25pt"/>
            <v:line id="_x0000_s1199" style="position:absolute" from="10888,2045" to="11619,2045" strokecolor="#231f20" strokeweight=".25pt"/>
            <v:line id="_x0000_s1198" style="position:absolute" from="8317,2864" to="8317,2400" strokecolor="#231f20" strokeweight=".25pt"/>
            <v:line id="_x0000_s1197" style="position:absolute" from="10888,2864" to="10888,2400" strokecolor="#231f20" strokeweight=".25pt"/>
            <v:line id="_x0000_s1196" style="position:absolute" from="8033,2867" to="8317,2867" strokecolor="#231f20" strokeweight=".25pt"/>
            <v:line id="_x0000_s1195" style="position:absolute" from="8317,2867" to="10888,2867" strokecolor="#231f20" strokeweight=".25pt"/>
            <v:line id="_x0000_s1194" style="position:absolute" from="8317,3034" to="8317,2869" strokecolor="#231f20" strokeweight=".25pt"/>
            <v:line id="_x0000_s1193" style="position:absolute" from="10888,2867" to="11619,2867" strokecolor="#231f20" strokeweight=".25pt"/>
            <v:line id="_x0000_s1192" style="position:absolute" from="10888,3034" to="10888,2869" strokecolor="#231f20" strokeweight=".25pt"/>
            <v:line id="_x0000_s1191" style="position:absolute" from="8033,3037" to="8317,3037" strokecolor="#231f20" strokeweight=".25pt"/>
            <v:line id="_x0000_s1190" style="position:absolute" from="8317,3037" to="10888,3037" strokecolor="#231f20" strokeweight=".25pt"/>
            <v:line id="_x0000_s1189" style="position:absolute" from="8317,3204" to="8317,3039" strokecolor="#231f20" strokeweight=".25pt"/>
            <v:line id="_x0000_s1188" style="position:absolute" from="10888,3037" to="11619,3037" strokecolor="#231f20" strokeweight=".25pt"/>
            <v:line id="_x0000_s1187" style="position:absolute" from="10888,3204" to="10888,3039" strokecolor="#231f20" strokeweight=".25pt"/>
            <v:line id="_x0000_s1186" style="position:absolute" from="8033,3207" to="8317,3207" strokecolor="#231f20" strokeweight=".25pt"/>
            <v:line id="_x0000_s1185" style="position:absolute" from="8317,3207" to="10888,3207" strokecolor="#231f20" strokeweight=".25pt"/>
            <v:line id="_x0000_s1184" style="position:absolute" from="8317,3374" to="8317,3209" strokecolor="#231f20" strokeweight=".25pt"/>
            <v:line id="_x0000_s1183" style="position:absolute" from="10888,3207" to="11619,3207" strokecolor="#231f20" strokeweight=".25pt"/>
            <v:line id="_x0000_s1182" style="position:absolute" from="10888,3374" to="10888,3209" strokecolor="#231f20" strokeweight=".25pt"/>
            <v:line id="_x0000_s1181" style="position:absolute" from="8033,3377" to="8317,3377" strokecolor="#231f20" strokeweight=".25pt"/>
            <v:line id="_x0000_s1180" style="position:absolute" from="8317,3377" to="10888,3377" strokecolor="#231f20" strokeweight=".25pt"/>
            <v:line id="_x0000_s1179" style="position:absolute" from="8317,3544" to="8317,3379" strokecolor="#231f20" strokeweight=".25pt"/>
            <v:line id="_x0000_s1178" style="position:absolute" from="10888,3377" to="11619,3377" strokecolor="#231f20" strokeweight=".25pt"/>
            <v:line id="_x0000_s1177" style="position:absolute" from="10888,3544" to="10888,3379" strokecolor="#231f20" strokeweight=".25pt"/>
            <v:line id="_x0000_s1176" style="position:absolute" from="8033,3547" to="8317,3547" strokecolor="#231f20" strokeweight=".25pt"/>
            <v:line id="_x0000_s1175" style="position:absolute" from="8317,3547" to="10888,3547" strokecolor="#231f20" strokeweight=".25pt"/>
            <v:line id="_x0000_s1174" style="position:absolute" from="8317,3714" to="8317,3549" strokecolor="#231f20" strokeweight=".25pt"/>
            <v:line id="_x0000_s1173" style="position:absolute" from="10888,3547" to="11619,3547" strokecolor="#231f20" strokeweight=".25pt"/>
            <v:line id="_x0000_s1172" style="position:absolute" from="10888,3714" to="10888,3549" strokecolor="#231f20" strokeweight=".25pt"/>
            <v:line id="_x0000_s1171" style="position:absolute" from="8033,3717" to="8317,3717" strokecolor="#231f20" strokeweight=".25pt"/>
            <v:line id="_x0000_s1170" style="position:absolute" from="8317,3717" to="10888,3717" strokecolor="#231f20" strokeweight=".25pt"/>
            <v:line id="_x0000_s1169" style="position:absolute" from="8317,3885" to="8317,3719" strokecolor="#231f20" strokeweight=".25pt"/>
            <v:line id="_x0000_s1168" style="position:absolute" from="10888,3717" to="11619,3717" strokecolor="#231f20" strokeweight=".25pt"/>
            <v:line id="_x0000_s1167" style="position:absolute" from="10888,3885" to="10888,3719" strokecolor="#231f20" strokeweight=".25pt"/>
            <v:line id="_x0000_s1166" style="position:absolute" from="8033,3887" to="8317,3887" strokecolor="#231f20" strokeweight=".25pt"/>
            <v:line id="_x0000_s1165" style="position:absolute" from="8317,3887" to="10888,3887" strokecolor="#231f20" strokeweight=".25pt"/>
            <v:line id="_x0000_s1164" style="position:absolute" from="8317,4055" to="8317,3890" strokecolor="#231f20" strokeweight=".25pt"/>
            <v:line id="_x0000_s1163" style="position:absolute" from="10888,3887" to="11619,3887" strokecolor="#231f20" strokeweight=".25pt"/>
            <v:line id="_x0000_s1162" style="position:absolute" from="10888,4055" to="10888,3890" strokecolor="#231f20" strokeweight=".25pt"/>
            <v:line id="_x0000_s1161" style="position:absolute" from="8033,4057" to="8317,4057" strokecolor="#231f20" strokeweight=".25pt"/>
            <v:line id="_x0000_s1160" style="position:absolute" from="8317,4057" to="10888,4057" strokecolor="#231f20" strokeweight=".25pt"/>
            <v:line id="_x0000_s1159" style="position:absolute" from="8317,4225" to="8317,4060" strokecolor="#231f20" strokeweight=".25pt"/>
            <v:line id="_x0000_s1158" style="position:absolute" from="10888,4057" to="11619,4057" strokecolor="#231f20" strokeweight=".25pt"/>
            <v:line id="_x0000_s1157" style="position:absolute" from="10888,4225" to="10888,4060" strokecolor="#231f20" strokeweight=".25pt"/>
            <v:line id="_x0000_s1156" style="position:absolute" from="8033,4227" to="8317,4227" strokecolor="#231f20" strokeweight=".25pt"/>
            <v:line id="_x0000_s1155" style="position:absolute" from="8317,4227" to="10888,4227" strokecolor="#231f20" strokeweight=".25pt"/>
            <v:line id="_x0000_s1154" style="position:absolute" from="8317,4395" to="8317,4230" strokecolor="#231f20" strokeweight=".25pt"/>
            <v:line id="_x0000_s1153" style="position:absolute" from="10888,4227" to="11619,4227" strokecolor="#231f20" strokeweight=".25pt"/>
            <v:line id="_x0000_s1152" style="position:absolute" from="10888,4395" to="10888,4230" strokecolor="#231f20" strokeweight=".25pt"/>
            <v:line id="_x0000_s1151" style="position:absolute" from="8033,4397" to="8317,4397" strokecolor="#231f20" strokeweight=".25pt"/>
            <v:line id="_x0000_s1150" style="position:absolute" from="8317,4397" to="10888,4397" strokecolor="#231f20" strokeweight=".25pt"/>
            <v:line id="_x0000_s1149" style="position:absolute" from="8317,4565" to="8317,4400" strokecolor="#231f20" strokeweight=".25pt"/>
            <v:line id="_x0000_s1148" style="position:absolute" from="10888,4397" to="11619,4397" strokecolor="#231f20" strokeweight=".25pt"/>
            <v:line id="_x0000_s1147" style="position:absolute" from="10888,4565" to="10888,4400" strokecolor="#231f20" strokeweight=".25pt"/>
            <v:line id="_x0000_s1146" style="position:absolute" from="8033,4567" to="8317,4567" strokecolor="#231f20" strokeweight=".25pt"/>
            <v:line id="_x0000_s1145" style="position:absolute" from="8317,4567" to="10888,4567" strokecolor="#231f20" strokeweight=".25pt"/>
            <v:line id="_x0000_s1144" style="position:absolute" from="8317,4735" to="8317,4570" strokecolor="#231f20" strokeweight=".25pt"/>
            <v:line id="_x0000_s1143" style="position:absolute" from="10888,4567" to="11619,4567" strokecolor="#231f20" strokeweight=".25pt"/>
            <v:line id="_x0000_s1142" style="position:absolute" from="10888,4735" to="10888,4570" strokecolor="#231f20" strokeweight=".25pt"/>
            <v:line id="_x0000_s1141" style="position:absolute" from="8033,4737" to="8317,4737" strokecolor="#231f20" strokeweight=".25pt"/>
            <v:line id="_x0000_s1140" style="position:absolute" from="8317,4737" to="10888,4737" strokecolor="#231f20" strokeweight=".25pt"/>
            <v:line id="_x0000_s1139" style="position:absolute" from="10888,4737" to="11619,4737" strokecolor="#231f20" strokeweight=".25pt"/>
            <v:line id="_x0000_s1138" style="position:absolute" from="8317,5251" to="8317,5093" strokecolor="#231f20" strokeweight=".25pt"/>
            <v:line id="_x0000_s1137" style="position:absolute" from="10888,5251" to="10888,5093" strokecolor="#231f20" strokeweight=".25pt"/>
            <v:line id="_x0000_s1136" style="position:absolute" from="8033,5253" to="8317,5253" strokecolor="#231f20" strokeweight=".25pt"/>
            <v:line id="_x0000_s1135" style="position:absolute" from="8317,5253" to="10888,5253" strokecolor="#231f20" strokeweight=".25pt"/>
            <v:line id="_x0000_s1134" style="position:absolute" from="8317,5427" to="8317,5256" strokecolor="#231f20" strokeweight=".25pt"/>
            <v:line id="_x0000_s1133" style="position:absolute" from="10888,5253" to="11619,5253" strokecolor="#231f20" strokeweight=".25pt"/>
            <v:line id="_x0000_s1132" style="position:absolute" from="10888,5427" to="10888,5256" strokecolor="#231f20" strokeweight=".25pt"/>
            <v:line id="_x0000_s1131" style="position:absolute" from="8033,5429" to="8317,5429" strokecolor="#231f20" strokeweight=".25pt"/>
            <v:line id="_x0000_s1130" style="position:absolute" from="8317,5429" to="10888,5429" strokecolor="#231f20" strokeweight=".25pt"/>
            <v:line id="_x0000_s1129" style="position:absolute" from="8317,5602" to="8317,5432" strokecolor="#231f20" strokeweight=".25pt"/>
            <v:line id="_x0000_s1128" style="position:absolute" from="10888,5429" to="11619,5429" strokecolor="#231f20" strokeweight=".25pt"/>
            <v:line id="_x0000_s1127" style="position:absolute" from="10888,5602" to="10888,5432" strokecolor="#231f20" strokeweight=".25pt"/>
            <v:line id="_x0000_s1126" style="position:absolute" from="8033,5605" to="8317,5605" strokecolor="#231f20" strokeweight=".25pt"/>
            <v:line id="_x0000_s1125" style="position:absolute" from="8317,5605" to="10888,5605" strokecolor="#231f20" strokeweight=".25pt"/>
            <v:line id="_x0000_s1124" style="position:absolute" from="8317,6226" to="8317,5607" strokecolor="#231f20" strokeweight=".25pt"/>
            <v:line id="_x0000_s1123" style="position:absolute" from="10888,5605" to="11619,5605" strokecolor="#231f20" strokeweight=".25pt"/>
            <v:line id="_x0000_s1122" style="position:absolute" from="10888,6226" to="10888,5607" strokecolor="#231f20" strokeweight=".25pt"/>
            <v:line id="_x0000_s1121" style="position:absolute" from="8033,6228" to="8317,6228" strokecolor="#231f20" strokeweight=".25pt"/>
            <v:line id="_x0000_s1120" style="position:absolute" from="8317,6228" to="10888,6228" strokecolor="#231f20" strokeweight=".25pt"/>
            <v:line id="_x0000_s1119" style="position:absolute" from="8317,6852" to="8317,6231" strokecolor="#231f20" strokeweight=".25pt"/>
            <v:line id="_x0000_s1118" style="position:absolute" from="10888,6228" to="11619,6228" strokecolor="#231f20" strokeweight=".25pt"/>
            <v:line id="_x0000_s1117" style="position:absolute" from="10888,6852" to="10888,6231" strokecolor="#231f20" strokeweight=".25pt"/>
            <v:shape id="_x0000_s1116" style="position:absolute;left:8033;top:2142;width:3586;height:30" coordorigin="8033,2143" coordsize="3586,30" path="m11619,2143r-731,l8317,2143r-284,l8033,2173r284,l10888,2173r731,l11619,2143e" fillcolor="#231f20" stroked="f">
              <v:path arrowok="t"/>
            </v:shape>
            <v:line id="_x0000_s1115" style="position:absolute" from="8033,2385" to="8317,2385" strokecolor="#231f20" strokeweight="1.5pt"/>
            <v:shape id="_x0000_s1114" style="position:absolute;left:8033;top:2369;width:3586;height:2723" coordorigin="8033,2370" coordsize="3586,2723" o:spt="100" adj="0,,0" path="m11619,5063r-731,l8317,5063r-284,l8033,5093r284,l10888,5093r731,l11619,5063t,-227l10888,4836r-2571,l8033,4836r,30l8317,4866r2571,l11619,4866r,-30m11619,2370r-731,l8317,2370r,30l10888,2400r731,l11619,2370e" fillcolor="#231f20" stroked="f">
              <v:stroke joinstyle="round"/>
              <v:formulas/>
              <v:path arrowok="t" o:connecttype="segments"/>
            </v:shape>
            <v:line id="_x0000_s1113" style="position:absolute" from="283,6870" to="11622,6870" strokecolor="#231f20" strokeweight="1.5pt"/>
            <v:line id="_x0000_s1112" style="position:absolute" from="283,60" to="11622,60" strokecolor="#231f20" strokeweight="1.5pt"/>
            <w10:wrap anchorx="page"/>
          </v:group>
        </w:pict>
      </w:r>
      <w:r w:rsidR="00216117">
        <w:rPr>
          <w:b/>
          <w:color w:val="231F20"/>
          <w:position w:val="1"/>
          <w:sz w:val="12"/>
        </w:rPr>
        <w:t>pol.</w:t>
      </w:r>
      <w:r w:rsidR="00216117">
        <w:rPr>
          <w:b/>
          <w:color w:val="231F20"/>
          <w:position w:val="1"/>
          <w:sz w:val="12"/>
        </w:rPr>
        <w:tab/>
      </w:r>
      <w:r w:rsidR="00216117">
        <w:rPr>
          <w:b/>
          <w:color w:val="231F20"/>
          <w:sz w:val="14"/>
        </w:rPr>
        <w:t>DIAGNÓZA</w:t>
      </w:r>
      <w:r w:rsidR="00216117">
        <w:rPr>
          <w:b/>
          <w:color w:val="231F20"/>
          <w:sz w:val="14"/>
        </w:rPr>
        <w:tab/>
      </w:r>
      <w:r w:rsidR="00216117">
        <w:rPr>
          <w:b/>
          <w:color w:val="231F20"/>
          <w:position w:val="1"/>
          <w:sz w:val="12"/>
        </w:rPr>
        <w:t>TN</w:t>
      </w:r>
    </w:p>
    <w:p w14:paraId="11A53427" w14:textId="77777777" w:rsidR="00F65BCA" w:rsidRDefault="00216117">
      <w:pPr>
        <w:tabs>
          <w:tab w:val="left" w:pos="1338"/>
          <w:tab w:val="left" w:pos="3282"/>
        </w:tabs>
        <w:spacing w:before="83"/>
        <w:ind w:left="179"/>
        <w:rPr>
          <w:b/>
          <w:sz w:val="12"/>
        </w:rPr>
      </w:pPr>
      <w:r>
        <w:br w:type="column"/>
      </w: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TN</w:t>
      </w:r>
    </w:p>
    <w:p w14:paraId="09CE78B7" w14:textId="77777777" w:rsidR="00F65BCA" w:rsidRDefault="00216117">
      <w:pPr>
        <w:tabs>
          <w:tab w:val="left" w:pos="1338"/>
          <w:tab w:val="left" w:pos="3282"/>
        </w:tabs>
        <w:spacing w:before="83"/>
        <w:ind w:left="179"/>
        <w:rPr>
          <w:b/>
          <w:sz w:val="12"/>
        </w:rPr>
      </w:pPr>
      <w:r>
        <w:br w:type="column"/>
      </w:r>
      <w:r>
        <w:rPr>
          <w:b/>
          <w:color w:val="231F20"/>
          <w:position w:val="1"/>
          <w:sz w:val="12"/>
        </w:rPr>
        <w:t>pol.</w:t>
      </w:r>
      <w:r>
        <w:rPr>
          <w:b/>
          <w:color w:val="231F20"/>
          <w:position w:val="1"/>
          <w:sz w:val="12"/>
        </w:rPr>
        <w:tab/>
      </w:r>
      <w:r>
        <w:rPr>
          <w:b/>
          <w:color w:val="231F20"/>
          <w:sz w:val="14"/>
        </w:rPr>
        <w:t>DIAGNÓZA</w:t>
      </w:r>
      <w:r>
        <w:rPr>
          <w:b/>
          <w:color w:val="231F20"/>
          <w:sz w:val="14"/>
        </w:rPr>
        <w:tab/>
      </w:r>
      <w:r>
        <w:rPr>
          <w:b/>
          <w:color w:val="231F20"/>
          <w:position w:val="1"/>
          <w:sz w:val="12"/>
        </w:rPr>
        <w:t>TN</w:t>
      </w:r>
    </w:p>
    <w:p w14:paraId="50F9AEF7" w14:textId="77777777" w:rsidR="00F65BCA" w:rsidRDefault="00F65BCA">
      <w:pPr>
        <w:rPr>
          <w:sz w:val="12"/>
        </w:rPr>
        <w:sectPr w:rsidR="00F65BCA">
          <w:pgSz w:w="11910" w:h="16840"/>
          <w:pgMar w:top="220" w:right="140" w:bottom="0" w:left="140" w:header="708" w:footer="708" w:gutter="0"/>
          <w:cols w:num="3" w:space="708" w:equalWidth="0">
            <w:col w:w="3485" w:space="390"/>
            <w:col w:w="3485" w:space="390"/>
            <w:col w:w="3880"/>
          </w:cols>
        </w:sectPr>
      </w:pPr>
    </w:p>
    <w:p w14:paraId="15BA1333" w14:textId="77777777" w:rsidR="00F65BCA" w:rsidRDefault="00F65BCA">
      <w:pPr>
        <w:pStyle w:val="Zkladntext"/>
        <w:spacing w:before="10"/>
        <w:rPr>
          <w:b/>
          <w:sz w:val="16"/>
        </w:rPr>
      </w:pPr>
    </w:p>
    <w:p w14:paraId="1E7F3A5C" w14:textId="77777777" w:rsidR="00F65BCA" w:rsidRDefault="00216117">
      <w:pPr>
        <w:ind w:right="748"/>
        <w:jc w:val="right"/>
        <w:rPr>
          <w:b/>
          <w:sz w:val="12"/>
        </w:rPr>
      </w:pPr>
      <w:r>
        <w:rPr>
          <w:b/>
          <w:color w:val="231F20"/>
          <w:sz w:val="12"/>
        </w:rPr>
        <w:t>Kolenní kloub</w:t>
      </w:r>
    </w:p>
    <w:p w14:paraId="11EEA30E" w14:textId="77777777" w:rsidR="00F65BCA" w:rsidRDefault="00216117">
      <w:pPr>
        <w:spacing w:before="37"/>
        <w:ind w:right="691"/>
        <w:jc w:val="right"/>
        <w:rPr>
          <w:sz w:val="12"/>
        </w:rPr>
      </w:pPr>
      <w:r>
        <w:rPr>
          <w:color w:val="231F20"/>
          <w:sz w:val="12"/>
        </w:rPr>
        <w:t>Úplná</w:t>
      </w:r>
      <w:r>
        <w:rPr>
          <w:color w:val="231F20"/>
          <w:spacing w:val="-17"/>
          <w:sz w:val="12"/>
        </w:rPr>
        <w:t xml:space="preserve"> </w:t>
      </w:r>
      <w:r>
        <w:rPr>
          <w:b/>
          <w:color w:val="231F20"/>
          <w:sz w:val="12"/>
        </w:rPr>
        <w:t>ztuhlost</w:t>
      </w:r>
      <w:r>
        <w:rPr>
          <w:b/>
          <w:color w:val="231F20"/>
          <w:spacing w:val="-17"/>
          <w:sz w:val="12"/>
        </w:rPr>
        <w:t xml:space="preserve"> </w:t>
      </w:r>
      <w:r>
        <w:rPr>
          <w:color w:val="231F20"/>
          <w:sz w:val="12"/>
        </w:rPr>
        <w:t>kolenního</w:t>
      </w:r>
      <w:r>
        <w:rPr>
          <w:color w:val="231F20"/>
          <w:spacing w:val="-16"/>
          <w:sz w:val="12"/>
        </w:rPr>
        <w:t xml:space="preserve"> </w:t>
      </w:r>
      <w:r>
        <w:rPr>
          <w:color w:val="231F20"/>
          <w:sz w:val="12"/>
        </w:rPr>
        <w:t>kloubu</w:t>
      </w:r>
    </w:p>
    <w:p w14:paraId="0AF21C71" w14:textId="77777777" w:rsidR="00F65BCA" w:rsidRDefault="00216117">
      <w:pPr>
        <w:pStyle w:val="Odstavecseseznamem"/>
        <w:numPr>
          <w:ilvl w:val="0"/>
          <w:numId w:val="28"/>
        </w:numPr>
        <w:tabs>
          <w:tab w:val="left" w:pos="456"/>
        </w:tabs>
        <w:spacing w:before="38"/>
        <w:ind w:hanging="273"/>
        <w:rPr>
          <w:sz w:val="12"/>
        </w:rPr>
      </w:pPr>
      <w:r>
        <w:rPr>
          <w:color w:val="231F20"/>
          <w:w w:val="95"/>
          <w:sz w:val="12"/>
        </w:rPr>
        <w:t>v nepříznivém</w:t>
      </w:r>
      <w:r>
        <w:rPr>
          <w:color w:val="231F20"/>
          <w:spacing w:val="-3"/>
          <w:w w:val="95"/>
          <w:sz w:val="12"/>
        </w:rPr>
        <w:t xml:space="preserve"> </w:t>
      </w:r>
      <w:r>
        <w:rPr>
          <w:color w:val="231F20"/>
          <w:w w:val="95"/>
          <w:sz w:val="12"/>
        </w:rPr>
        <w:t>postavení</w:t>
      </w:r>
    </w:p>
    <w:p w14:paraId="0539D20D" w14:textId="77777777" w:rsidR="00F65BCA" w:rsidRDefault="00216117">
      <w:pPr>
        <w:pStyle w:val="Odstavecseseznamem"/>
        <w:numPr>
          <w:ilvl w:val="0"/>
          <w:numId w:val="28"/>
        </w:numPr>
        <w:tabs>
          <w:tab w:val="left" w:pos="456"/>
        </w:tabs>
        <w:spacing w:before="38"/>
        <w:ind w:hanging="273"/>
        <w:rPr>
          <w:sz w:val="12"/>
        </w:rPr>
      </w:pPr>
      <w:r>
        <w:rPr>
          <w:color w:val="231F20"/>
          <w:sz w:val="12"/>
        </w:rPr>
        <w:t>v příznivém</w:t>
      </w:r>
      <w:r>
        <w:rPr>
          <w:color w:val="231F20"/>
          <w:spacing w:val="-3"/>
          <w:sz w:val="12"/>
        </w:rPr>
        <w:t xml:space="preserve"> </w:t>
      </w:r>
      <w:r>
        <w:rPr>
          <w:color w:val="231F20"/>
          <w:sz w:val="12"/>
        </w:rPr>
        <w:t>postavení</w:t>
      </w:r>
    </w:p>
    <w:p w14:paraId="163BFCA4" w14:textId="77777777" w:rsidR="00F65BCA" w:rsidRDefault="00216117">
      <w:pPr>
        <w:spacing w:before="38"/>
        <w:ind w:left="455"/>
        <w:rPr>
          <w:sz w:val="12"/>
        </w:rPr>
      </w:pPr>
      <w:r>
        <w:rPr>
          <w:b/>
          <w:color w:val="231F20"/>
          <w:sz w:val="12"/>
        </w:rPr>
        <w:t xml:space="preserve">Omezení pohyblivosti </w:t>
      </w:r>
      <w:r>
        <w:rPr>
          <w:color w:val="231F20"/>
          <w:sz w:val="12"/>
        </w:rPr>
        <w:t>kolenního kloubu</w:t>
      </w:r>
    </w:p>
    <w:p w14:paraId="1657D0BC" w14:textId="77777777" w:rsidR="00F65BCA" w:rsidRDefault="00216117">
      <w:pPr>
        <w:pStyle w:val="Odstavecseseznamem"/>
        <w:numPr>
          <w:ilvl w:val="0"/>
          <w:numId w:val="28"/>
        </w:numPr>
        <w:tabs>
          <w:tab w:val="left" w:pos="456"/>
        </w:tabs>
        <w:spacing w:before="38"/>
        <w:ind w:hanging="273"/>
        <w:rPr>
          <w:sz w:val="12"/>
        </w:rPr>
      </w:pPr>
      <w:r>
        <w:rPr>
          <w:color w:val="231F20"/>
          <w:sz w:val="12"/>
        </w:rPr>
        <w:t>lehkého</w:t>
      </w:r>
      <w:r>
        <w:rPr>
          <w:color w:val="231F20"/>
          <w:spacing w:val="-1"/>
          <w:sz w:val="12"/>
        </w:rPr>
        <w:t xml:space="preserve"> </w:t>
      </w:r>
      <w:r>
        <w:rPr>
          <w:color w:val="231F20"/>
          <w:sz w:val="12"/>
        </w:rPr>
        <w:t>stupně</w:t>
      </w:r>
    </w:p>
    <w:p w14:paraId="41EF75C4" w14:textId="77777777" w:rsidR="00F65BCA" w:rsidRDefault="00216117">
      <w:pPr>
        <w:pStyle w:val="Odstavecseseznamem"/>
        <w:numPr>
          <w:ilvl w:val="0"/>
          <w:numId w:val="28"/>
        </w:numPr>
        <w:tabs>
          <w:tab w:val="left" w:pos="456"/>
        </w:tabs>
        <w:spacing w:before="37"/>
        <w:ind w:hanging="273"/>
        <w:rPr>
          <w:sz w:val="12"/>
        </w:rPr>
      </w:pPr>
      <w:r>
        <w:rPr>
          <w:color w:val="231F20"/>
          <w:sz w:val="12"/>
        </w:rPr>
        <w:t>středního</w:t>
      </w:r>
      <w:r>
        <w:rPr>
          <w:color w:val="231F20"/>
          <w:spacing w:val="-1"/>
          <w:sz w:val="12"/>
        </w:rPr>
        <w:t xml:space="preserve"> </w:t>
      </w:r>
      <w:r>
        <w:rPr>
          <w:color w:val="231F20"/>
          <w:sz w:val="12"/>
        </w:rPr>
        <w:t>stupně</w:t>
      </w:r>
    </w:p>
    <w:p w14:paraId="1A85C642" w14:textId="77777777" w:rsidR="00F65BCA" w:rsidRDefault="00216117">
      <w:pPr>
        <w:pStyle w:val="Odstavecseseznamem"/>
        <w:numPr>
          <w:ilvl w:val="0"/>
          <w:numId w:val="28"/>
        </w:numPr>
        <w:tabs>
          <w:tab w:val="left" w:pos="456"/>
        </w:tabs>
        <w:spacing w:before="38"/>
        <w:ind w:hanging="273"/>
        <w:rPr>
          <w:sz w:val="12"/>
        </w:rPr>
      </w:pPr>
      <w:r>
        <w:rPr>
          <w:color w:val="231F20"/>
          <w:sz w:val="12"/>
        </w:rPr>
        <w:t>těžkého</w:t>
      </w:r>
      <w:r>
        <w:rPr>
          <w:color w:val="231F20"/>
          <w:spacing w:val="-1"/>
          <w:sz w:val="12"/>
        </w:rPr>
        <w:t xml:space="preserve"> </w:t>
      </w:r>
      <w:r>
        <w:rPr>
          <w:color w:val="231F20"/>
          <w:sz w:val="12"/>
        </w:rPr>
        <w:t>stupně</w:t>
      </w:r>
    </w:p>
    <w:p w14:paraId="19139497" w14:textId="77777777" w:rsidR="00F65BCA" w:rsidRDefault="00216117">
      <w:pPr>
        <w:spacing w:before="35"/>
        <w:ind w:left="455"/>
        <w:rPr>
          <w:sz w:val="12"/>
        </w:rPr>
      </w:pPr>
      <w:r>
        <w:rPr>
          <w:b/>
          <w:color w:val="231F20"/>
          <w:sz w:val="12"/>
        </w:rPr>
        <w:t xml:space="preserve">Viklavost </w:t>
      </w:r>
      <w:r>
        <w:rPr>
          <w:color w:val="231F20"/>
          <w:sz w:val="12"/>
        </w:rPr>
        <w:t>kolenního kloubu</w:t>
      </w:r>
    </w:p>
    <w:p w14:paraId="1F382AB1" w14:textId="77777777" w:rsidR="00F65BCA" w:rsidRDefault="00216117">
      <w:pPr>
        <w:pStyle w:val="Odstavecseseznamem"/>
        <w:numPr>
          <w:ilvl w:val="0"/>
          <w:numId w:val="28"/>
        </w:numPr>
        <w:tabs>
          <w:tab w:val="left" w:pos="456"/>
        </w:tabs>
        <w:spacing w:before="32"/>
        <w:ind w:hanging="273"/>
        <w:rPr>
          <w:sz w:val="12"/>
        </w:rPr>
      </w:pPr>
      <w:r>
        <w:rPr>
          <w:color w:val="231F20"/>
          <w:sz w:val="12"/>
        </w:rPr>
        <w:t>při</w:t>
      </w:r>
      <w:r>
        <w:rPr>
          <w:color w:val="231F20"/>
          <w:spacing w:val="-14"/>
          <w:sz w:val="12"/>
        </w:rPr>
        <w:t xml:space="preserve"> </w:t>
      </w:r>
      <w:r>
        <w:rPr>
          <w:color w:val="231F20"/>
          <w:sz w:val="12"/>
        </w:rPr>
        <w:t>nedostatečnosti</w:t>
      </w:r>
      <w:r>
        <w:rPr>
          <w:color w:val="231F20"/>
          <w:spacing w:val="-13"/>
          <w:sz w:val="12"/>
        </w:rPr>
        <w:t xml:space="preserve"> </w:t>
      </w:r>
      <w:r>
        <w:rPr>
          <w:color w:val="231F20"/>
          <w:sz w:val="12"/>
        </w:rPr>
        <w:t>jednoho</w:t>
      </w:r>
      <w:r>
        <w:rPr>
          <w:color w:val="231F20"/>
          <w:spacing w:val="-14"/>
          <w:sz w:val="12"/>
        </w:rPr>
        <w:t xml:space="preserve"> </w:t>
      </w:r>
      <w:r>
        <w:rPr>
          <w:color w:val="231F20"/>
          <w:sz w:val="12"/>
        </w:rPr>
        <w:t>postranního</w:t>
      </w:r>
      <w:r>
        <w:rPr>
          <w:color w:val="231F20"/>
          <w:spacing w:val="-13"/>
          <w:sz w:val="12"/>
        </w:rPr>
        <w:t xml:space="preserve"> </w:t>
      </w:r>
      <w:r>
        <w:rPr>
          <w:color w:val="231F20"/>
          <w:sz w:val="12"/>
        </w:rPr>
        <w:t>vazu</w:t>
      </w:r>
    </w:p>
    <w:p w14:paraId="48CA86DE" w14:textId="77777777" w:rsidR="00F65BCA" w:rsidRDefault="00216117">
      <w:pPr>
        <w:pStyle w:val="Zkladntext"/>
        <w:rPr>
          <w:sz w:val="14"/>
        </w:rPr>
      </w:pPr>
      <w:r>
        <w:br w:type="column"/>
      </w:r>
    </w:p>
    <w:p w14:paraId="1CA4BFD4" w14:textId="77777777" w:rsidR="00F65BCA" w:rsidRDefault="00F65BCA">
      <w:pPr>
        <w:pStyle w:val="Zkladntext"/>
        <w:rPr>
          <w:sz w:val="14"/>
        </w:rPr>
      </w:pPr>
    </w:p>
    <w:p w14:paraId="775FDEEF" w14:textId="77777777" w:rsidR="00F65BCA" w:rsidRDefault="00F65BCA">
      <w:pPr>
        <w:pStyle w:val="Zkladntext"/>
        <w:spacing w:before="5"/>
        <w:rPr>
          <w:sz w:val="19"/>
        </w:rPr>
      </w:pPr>
    </w:p>
    <w:p w14:paraId="33F87C7F" w14:textId="77777777" w:rsidR="00F65BCA" w:rsidRDefault="00216117">
      <w:pPr>
        <w:ind w:left="352"/>
        <w:rPr>
          <w:sz w:val="12"/>
        </w:rPr>
      </w:pPr>
      <w:r>
        <w:rPr>
          <w:color w:val="231F20"/>
          <w:sz w:val="12"/>
        </w:rPr>
        <w:t>45</w:t>
      </w:r>
      <w:r>
        <w:rPr>
          <w:color w:val="231F20"/>
          <w:spacing w:val="-20"/>
          <w:sz w:val="12"/>
        </w:rPr>
        <w:t xml:space="preserve"> </w:t>
      </w:r>
      <w:r>
        <w:rPr>
          <w:color w:val="231F20"/>
          <w:sz w:val="12"/>
        </w:rPr>
        <w:t>%</w:t>
      </w:r>
    </w:p>
    <w:p w14:paraId="5ECCEFC6" w14:textId="77777777" w:rsidR="00F65BCA" w:rsidRDefault="00216117">
      <w:pPr>
        <w:spacing w:before="38"/>
        <w:ind w:left="352"/>
        <w:rPr>
          <w:sz w:val="12"/>
        </w:rPr>
      </w:pPr>
      <w:r>
        <w:rPr>
          <w:color w:val="231F20"/>
          <w:sz w:val="12"/>
        </w:rPr>
        <w:t>36</w:t>
      </w:r>
      <w:r>
        <w:rPr>
          <w:color w:val="231F20"/>
          <w:spacing w:val="-20"/>
          <w:sz w:val="12"/>
        </w:rPr>
        <w:t xml:space="preserve"> </w:t>
      </w:r>
      <w:r>
        <w:rPr>
          <w:color w:val="231F20"/>
          <w:sz w:val="12"/>
        </w:rPr>
        <w:t>%</w:t>
      </w:r>
    </w:p>
    <w:p w14:paraId="77175E63" w14:textId="77777777" w:rsidR="00F65BCA" w:rsidRDefault="00F65BCA">
      <w:pPr>
        <w:pStyle w:val="Zkladntext"/>
        <w:spacing w:before="6"/>
        <w:rPr>
          <w:sz w:val="18"/>
        </w:rPr>
      </w:pPr>
    </w:p>
    <w:p w14:paraId="568CE58A" w14:textId="77777777" w:rsidR="00F65BCA" w:rsidRDefault="00216117">
      <w:pPr>
        <w:ind w:left="250"/>
        <w:rPr>
          <w:sz w:val="12"/>
        </w:rPr>
      </w:pPr>
      <w:r>
        <w:rPr>
          <w:color w:val="231F20"/>
          <w:sz w:val="12"/>
        </w:rPr>
        <w:t>do 5</w:t>
      </w:r>
      <w:r>
        <w:rPr>
          <w:color w:val="231F20"/>
          <w:spacing w:val="-17"/>
          <w:sz w:val="12"/>
        </w:rPr>
        <w:t xml:space="preserve"> </w:t>
      </w:r>
      <w:r>
        <w:rPr>
          <w:color w:val="231F20"/>
          <w:sz w:val="12"/>
        </w:rPr>
        <w:t>%</w:t>
      </w:r>
    </w:p>
    <w:p w14:paraId="764EB66C" w14:textId="77777777" w:rsidR="00F65BCA" w:rsidRDefault="00216117">
      <w:pPr>
        <w:spacing w:before="38"/>
        <w:ind w:left="183"/>
        <w:rPr>
          <w:sz w:val="12"/>
        </w:rPr>
      </w:pPr>
      <w:r>
        <w:rPr>
          <w:color w:val="231F20"/>
          <w:sz w:val="12"/>
        </w:rPr>
        <w:t>do 10</w:t>
      </w:r>
      <w:r>
        <w:rPr>
          <w:color w:val="231F20"/>
          <w:spacing w:val="-17"/>
          <w:sz w:val="12"/>
        </w:rPr>
        <w:t xml:space="preserve"> </w:t>
      </w:r>
      <w:r>
        <w:rPr>
          <w:color w:val="231F20"/>
          <w:sz w:val="12"/>
        </w:rPr>
        <w:t>%</w:t>
      </w:r>
    </w:p>
    <w:p w14:paraId="44B93E87" w14:textId="77777777" w:rsidR="00F65BCA" w:rsidRDefault="00216117">
      <w:pPr>
        <w:spacing w:before="38"/>
        <w:ind w:left="183"/>
        <w:rPr>
          <w:sz w:val="12"/>
        </w:rPr>
      </w:pPr>
      <w:r>
        <w:rPr>
          <w:color w:val="231F20"/>
          <w:sz w:val="12"/>
        </w:rPr>
        <w:t>do 20</w:t>
      </w:r>
      <w:r>
        <w:rPr>
          <w:color w:val="231F20"/>
          <w:spacing w:val="-17"/>
          <w:sz w:val="12"/>
        </w:rPr>
        <w:t xml:space="preserve"> </w:t>
      </w:r>
      <w:r>
        <w:rPr>
          <w:color w:val="231F20"/>
          <w:sz w:val="12"/>
        </w:rPr>
        <w:t>%</w:t>
      </w:r>
    </w:p>
    <w:p w14:paraId="11A08D19" w14:textId="77777777" w:rsidR="00F65BCA" w:rsidRDefault="00F65BCA">
      <w:pPr>
        <w:pStyle w:val="Zkladntext"/>
        <w:spacing w:before="9"/>
        <w:rPr>
          <w:sz w:val="17"/>
        </w:rPr>
      </w:pPr>
    </w:p>
    <w:p w14:paraId="5751B991" w14:textId="77777777" w:rsidR="00F65BCA" w:rsidRDefault="00216117">
      <w:pPr>
        <w:ind w:left="250"/>
        <w:rPr>
          <w:sz w:val="12"/>
        </w:rPr>
      </w:pPr>
      <w:r>
        <w:rPr>
          <w:color w:val="231F20"/>
          <w:sz w:val="12"/>
        </w:rPr>
        <w:t>do 5</w:t>
      </w:r>
      <w:r>
        <w:rPr>
          <w:color w:val="231F20"/>
          <w:spacing w:val="-17"/>
          <w:sz w:val="12"/>
        </w:rPr>
        <w:t xml:space="preserve"> </w:t>
      </w:r>
      <w:r>
        <w:rPr>
          <w:color w:val="231F20"/>
          <w:sz w:val="12"/>
        </w:rPr>
        <w:t>%</w:t>
      </w:r>
    </w:p>
    <w:p w14:paraId="7548E66F" w14:textId="77777777" w:rsidR="00F65BCA" w:rsidRDefault="00216117">
      <w:pPr>
        <w:pStyle w:val="Zkladntext"/>
        <w:spacing w:before="9"/>
        <w:rPr>
          <w:sz w:val="17"/>
        </w:rPr>
      </w:pPr>
      <w:r>
        <w:br w:type="column"/>
      </w:r>
    </w:p>
    <w:p w14:paraId="08BD2CB5" w14:textId="77777777" w:rsidR="00F65BCA" w:rsidRDefault="00216117">
      <w:pPr>
        <w:ind w:left="455"/>
        <w:rPr>
          <w:sz w:val="12"/>
        </w:rPr>
      </w:pPr>
      <w:r>
        <w:rPr>
          <w:color w:val="231F20"/>
          <w:sz w:val="12"/>
        </w:rPr>
        <w:t xml:space="preserve">Úplná </w:t>
      </w:r>
      <w:r>
        <w:rPr>
          <w:b/>
          <w:color w:val="231F20"/>
          <w:sz w:val="12"/>
        </w:rPr>
        <w:t xml:space="preserve">ztuhlost </w:t>
      </w:r>
      <w:r>
        <w:rPr>
          <w:color w:val="231F20"/>
          <w:sz w:val="12"/>
        </w:rPr>
        <w:t>hlezenného kloubu</w:t>
      </w:r>
    </w:p>
    <w:p w14:paraId="5C68E34F" w14:textId="77777777" w:rsidR="00F65BCA" w:rsidRDefault="00216117">
      <w:pPr>
        <w:pStyle w:val="Odstavecseseznamem"/>
        <w:numPr>
          <w:ilvl w:val="0"/>
          <w:numId w:val="27"/>
        </w:numPr>
        <w:tabs>
          <w:tab w:val="left" w:pos="456"/>
        </w:tabs>
        <w:spacing w:before="33" w:line="223" w:lineRule="auto"/>
        <w:rPr>
          <w:sz w:val="12"/>
        </w:rPr>
      </w:pPr>
      <w:r>
        <w:rPr>
          <w:color w:val="231F20"/>
          <w:position w:val="2"/>
          <w:sz w:val="12"/>
        </w:rPr>
        <w:t>v</w:t>
      </w:r>
      <w:r>
        <w:rPr>
          <w:color w:val="231F20"/>
          <w:spacing w:val="-22"/>
          <w:position w:val="2"/>
          <w:sz w:val="12"/>
        </w:rPr>
        <w:t xml:space="preserve"> </w:t>
      </w:r>
      <w:r>
        <w:rPr>
          <w:color w:val="231F20"/>
          <w:position w:val="2"/>
          <w:sz w:val="12"/>
        </w:rPr>
        <w:t>nepříznivém</w:t>
      </w:r>
      <w:r>
        <w:rPr>
          <w:color w:val="231F20"/>
          <w:spacing w:val="-22"/>
          <w:position w:val="2"/>
          <w:sz w:val="12"/>
        </w:rPr>
        <w:t xml:space="preserve"> </w:t>
      </w:r>
      <w:r>
        <w:rPr>
          <w:color w:val="231F20"/>
          <w:position w:val="2"/>
          <w:sz w:val="12"/>
        </w:rPr>
        <w:t>postavení</w:t>
      </w:r>
      <w:r>
        <w:rPr>
          <w:color w:val="231F20"/>
          <w:spacing w:val="-22"/>
          <w:position w:val="2"/>
          <w:sz w:val="12"/>
        </w:rPr>
        <w:t xml:space="preserve"> </w:t>
      </w:r>
      <w:r>
        <w:rPr>
          <w:color w:val="231F20"/>
          <w:position w:val="2"/>
          <w:sz w:val="12"/>
        </w:rPr>
        <w:t>(dorsální</w:t>
      </w:r>
      <w:r>
        <w:rPr>
          <w:color w:val="231F20"/>
          <w:spacing w:val="-22"/>
          <w:position w:val="2"/>
          <w:sz w:val="12"/>
        </w:rPr>
        <w:t xml:space="preserve"> </w:t>
      </w:r>
      <w:r>
        <w:rPr>
          <w:color w:val="231F20"/>
          <w:position w:val="2"/>
          <w:sz w:val="12"/>
        </w:rPr>
        <w:t>flexe</w:t>
      </w:r>
      <w:r>
        <w:rPr>
          <w:color w:val="231F20"/>
          <w:spacing w:val="-22"/>
          <w:position w:val="2"/>
          <w:sz w:val="12"/>
        </w:rPr>
        <w:t xml:space="preserve"> </w:t>
      </w:r>
      <w:r>
        <w:rPr>
          <w:color w:val="231F20"/>
          <w:position w:val="2"/>
          <w:sz w:val="12"/>
        </w:rPr>
        <w:t>nebo</w:t>
      </w:r>
      <w:r>
        <w:rPr>
          <w:color w:val="231F20"/>
          <w:spacing w:val="-22"/>
          <w:position w:val="2"/>
          <w:sz w:val="12"/>
        </w:rPr>
        <w:t xml:space="preserve"> </w:t>
      </w:r>
      <w:r>
        <w:rPr>
          <w:color w:val="231F20"/>
          <w:spacing w:val="-4"/>
          <w:position w:val="2"/>
          <w:sz w:val="12"/>
        </w:rPr>
        <w:t>větší</w:t>
      </w:r>
      <w:r>
        <w:rPr>
          <w:color w:val="231F20"/>
          <w:spacing w:val="-4"/>
          <w:sz w:val="12"/>
        </w:rPr>
        <w:t xml:space="preserve"> </w:t>
      </w:r>
      <w:r>
        <w:rPr>
          <w:color w:val="231F20"/>
          <w:sz w:val="12"/>
        </w:rPr>
        <w:t>stupeň plantární</w:t>
      </w:r>
      <w:r>
        <w:rPr>
          <w:color w:val="231F20"/>
          <w:spacing w:val="-3"/>
          <w:sz w:val="12"/>
        </w:rPr>
        <w:t xml:space="preserve"> </w:t>
      </w:r>
      <w:r>
        <w:rPr>
          <w:color w:val="231F20"/>
          <w:sz w:val="12"/>
        </w:rPr>
        <w:t>flexe)</w:t>
      </w:r>
    </w:p>
    <w:p w14:paraId="3EE53972" w14:textId="77777777" w:rsidR="00F65BCA" w:rsidRDefault="00216117">
      <w:pPr>
        <w:pStyle w:val="Odstavecseseznamem"/>
        <w:numPr>
          <w:ilvl w:val="0"/>
          <w:numId w:val="27"/>
        </w:numPr>
        <w:tabs>
          <w:tab w:val="left" w:pos="456"/>
        </w:tabs>
        <w:spacing w:before="36"/>
        <w:ind w:hanging="273"/>
        <w:rPr>
          <w:sz w:val="12"/>
        </w:rPr>
      </w:pPr>
      <w:r>
        <w:rPr>
          <w:color w:val="231F20"/>
          <w:w w:val="95"/>
          <w:sz w:val="12"/>
        </w:rPr>
        <w:t>v pravoúhlém</w:t>
      </w:r>
      <w:r>
        <w:rPr>
          <w:color w:val="231F20"/>
          <w:spacing w:val="12"/>
          <w:w w:val="95"/>
          <w:sz w:val="12"/>
        </w:rPr>
        <w:t xml:space="preserve"> </w:t>
      </w:r>
      <w:r>
        <w:rPr>
          <w:color w:val="231F20"/>
          <w:w w:val="95"/>
          <w:sz w:val="12"/>
        </w:rPr>
        <w:t>postavení</w:t>
      </w:r>
    </w:p>
    <w:p w14:paraId="7AD9ABE4" w14:textId="77777777" w:rsidR="00F65BCA" w:rsidRDefault="00216117">
      <w:pPr>
        <w:pStyle w:val="Odstavecseseznamem"/>
        <w:numPr>
          <w:ilvl w:val="0"/>
          <w:numId w:val="27"/>
        </w:numPr>
        <w:tabs>
          <w:tab w:val="left" w:pos="456"/>
        </w:tabs>
        <w:spacing w:before="37"/>
        <w:ind w:hanging="273"/>
        <w:rPr>
          <w:sz w:val="12"/>
        </w:rPr>
      </w:pPr>
      <w:r>
        <w:rPr>
          <w:color w:val="231F20"/>
          <w:sz w:val="12"/>
        </w:rPr>
        <w:t>v</w:t>
      </w:r>
      <w:r>
        <w:rPr>
          <w:color w:val="231F20"/>
          <w:spacing w:val="-24"/>
          <w:sz w:val="12"/>
        </w:rPr>
        <w:t xml:space="preserve"> </w:t>
      </w:r>
      <w:r>
        <w:rPr>
          <w:color w:val="231F20"/>
          <w:sz w:val="12"/>
        </w:rPr>
        <w:t>příznivém</w:t>
      </w:r>
      <w:r>
        <w:rPr>
          <w:color w:val="231F20"/>
          <w:spacing w:val="-23"/>
          <w:sz w:val="12"/>
        </w:rPr>
        <w:t xml:space="preserve"> </w:t>
      </w:r>
      <w:r>
        <w:rPr>
          <w:color w:val="231F20"/>
          <w:sz w:val="12"/>
        </w:rPr>
        <w:t>postavení</w:t>
      </w:r>
      <w:r>
        <w:rPr>
          <w:color w:val="231F20"/>
          <w:spacing w:val="-23"/>
          <w:sz w:val="12"/>
        </w:rPr>
        <w:t xml:space="preserve"> </w:t>
      </w:r>
      <w:r>
        <w:rPr>
          <w:color w:val="231F20"/>
          <w:sz w:val="12"/>
        </w:rPr>
        <w:t>(ohnutí</w:t>
      </w:r>
      <w:r>
        <w:rPr>
          <w:color w:val="231F20"/>
          <w:spacing w:val="-23"/>
          <w:sz w:val="12"/>
        </w:rPr>
        <w:t xml:space="preserve"> </w:t>
      </w:r>
      <w:r>
        <w:rPr>
          <w:color w:val="231F20"/>
          <w:sz w:val="12"/>
        </w:rPr>
        <w:t>do</w:t>
      </w:r>
      <w:r>
        <w:rPr>
          <w:color w:val="231F20"/>
          <w:spacing w:val="-23"/>
          <w:sz w:val="12"/>
        </w:rPr>
        <w:t xml:space="preserve"> </w:t>
      </w:r>
      <w:r>
        <w:rPr>
          <w:color w:val="231F20"/>
          <w:sz w:val="12"/>
        </w:rPr>
        <w:t>plošky</w:t>
      </w:r>
      <w:r>
        <w:rPr>
          <w:color w:val="231F20"/>
          <w:spacing w:val="-23"/>
          <w:sz w:val="12"/>
        </w:rPr>
        <w:t xml:space="preserve"> </w:t>
      </w:r>
      <w:r>
        <w:rPr>
          <w:color w:val="231F20"/>
          <w:sz w:val="12"/>
        </w:rPr>
        <w:t>kolem</w:t>
      </w:r>
      <w:r>
        <w:rPr>
          <w:color w:val="231F20"/>
          <w:spacing w:val="-24"/>
          <w:sz w:val="12"/>
        </w:rPr>
        <w:t xml:space="preserve"> </w:t>
      </w:r>
      <w:r>
        <w:rPr>
          <w:color w:val="231F20"/>
          <w:spacing w:val="-2"/>
          <w:sz w:val="12"/>
        </w:rPr>
        <w:t>5°)</w:t>
      </w:r>
    </w:p>
    <w:p w14:paraId="0BA45619" w14:textId="77777777" w:rsidR="00F65BCA" w:rsidRDefault="00216117">
      <w:pPr>
        <w:spacing w:before="38"/>
        <w:ind w:left="455"/>
        <w:rPr>
          <w:sz w:val="12"/>
        </w:rPr>
      </w:pPr>
      <w:r>
        <w:rPr>
          <w:b/>
          <w:color w:val="231F20"/>
          <w:sz w:val="12"/>
        </w:rPr>
        <w:t xml:space="preserve">Omezení </w:t>
      </w:r>
      <w:r>
        <w:rPr>
          <w:color w:val="231F20"/>
          <w:sz w:val="12"/>
        </w:rPr>
        <w:t>pohyblivosti hlezenného kloubu</w:t>
      </w:r>
    </w:p>
    <w:p w14:paraId="3A87B1C2" w14:textId="77777777" w:rsidR="00F65BCA" w:rsidRDefault="00216117">
      <w:pPr>
        <w:pStyle w:val="Odstavecseseznamem"/>
        <w:numPr>
          <w:ilvl w:val="0"/>
          <w:numId w:val="27"/>
        </w:numPr>
        <w:tabs>
          <w:tab w:val="left" w:pos="456"/>
        </w:tabs>
        <w:spacing w:before="38"/>
        <w:ind w:hanging="273"/>
        <w:rPr>
          <w:sz w:val="12"/>
        </w:rPr>
      </w:pPr>
      <w:r>
        <w:rPr>
          <w:color w:val="231F20"/>
          <w:sz w:val="12"/>
        </w:rPr>
        <w:t>lehkého</w:t>
      </w:r>
      <w:r>
        <w:rPr>
          <w:color w:val="231F20"/>
          <w:spacing w:val="-1"/>
          <w:sz w:val="12"/>
        </w:rPr>
        <w:t xml:space="preserve"> </w:t>
      </w:r>
      <w:r>
        <w:rPr>
          <w:color w:val="231F20"/>
          <w:sz w:val="12"/>
        </w:rPr>
        <w:t>stupně</w:t>
      </w:r>
    </w:p>
    <w:p w14:paraId="02BB2D8E" w14:textId="77777777" w:rsidR="00F65BCA" w:rsidRDefault="00216117">
      <w:pPr>
        <w:pStyle w:val="Odstavecseseznamem"/>
        <w:numPr>
          <w:ilvl w:val="0"/>
          <w:numId w:val="27"/>
        </w:numPr>
        <w:tabs>
          <w:tab w:val="left" w:pos="456"/>
        </w:tabs>
        <w:spacing w:before="38"/>
        <w:ind w:hanging="273"/>
        <w:rPr>
          <w:sz w:val="12"/>
        </w:rPr>
      </w:pPr>
      <w:r>
        <w:rPr>
          <w:color w:val="231F20"/>
          <w:sz w:val="12"/>
        </w:rPr>
        <w:t>středního</w:t>
      </w:r>
      <w:r>
        <w:rPr>
          <w:color w:val="231F20"/>
          <w:spacing w:val="-1"/>
          <w:sz w:val="12"/>
        </w:rPr>
        <w:t xml:space="preserve"> </w:t>
      </w:r>
      <w:r>
        <w:rPr>
          <w:color w:val="231F20"/>
          <w:sz w:val="12"/>
        </w:rPr>
        <w:t>stupně</w:t>
      </w:r>
    </w:p>
    <w:p w14:paraId="61CF5E66" w14:textId="77777777" w:rsidR="00F65BCA" w:rsidRDefault="00216117">
      <w:pPr>
        <w:pStyle w:val="Odstavecseseznamem"/>
        <w:numPr>
          <w:ilvl w:val="0"/>
          <w:numId w:val="27"/>
        </w:numPr>
        <w:tabs>
          <w:tab w:val="left" w:pos="456"/>
        </w:tabs>
        <w:spacing w:before="37"/>
        <w:ind w:hanging="273"/>
        <w:rPr>
          <w:sz w:val="12"/>
        </w:rPr>
      </w:pPr>
      <w:r>
        <w:rPr>
          <w:color w:val="231F20"/>
          <w:sz w:val="12"/>
        </w:rPr>
        <w:t>těžkého</w:t>
      </w:r>
      <w:r>
        <w:rPr>
          <w:color w:val="231F20"/>
          <w:spacing w:val="-1"/>
          <w:sz w:val="12"/>
        </w:rPr>
        <w:t xml:space="preserve"> </w:t>
      </w:r>
      <w:r>
        <w:rPr>
          <w:color w:val="231F20"/>
          <w:sz w:val="12"/>
        </w:rPr>
        <w:t>stupně</w:t>
      </w:r>
    </w:p>
    <w:p w14:paraId="6B6569A3" w14:textId="77777777" w:rsidR="00F65BCA" w:rsidRDefault="00216117">
      <w:pPr>
        <w:spacing w:before="38"/>
        <w:ind w:left="455"/>
        <w:rPr>
          <w:sz w:val="12"/>
        </w:rPr>
      </w:pPr>
      <w:r>
        <w:rPr>
          <w:b/>
          <w:color w:val="231F20"/>
          <w:sz w:val="12"/>
        </w:rPr>
        <w:t xml:space="preserve">Viklavost </w:t>
      </w:r>
      <w:r>
        <w:rPr>
          <w:color w:val="231F20"/>
          <w:sz w:val="12"/>
        </w:rPr>
        <w:t>hlezenného kloubu</w:t>
      </w:r>
    </w:p>
    <w:p w14:paraId="2C92895A" w14:textId="77777777" w:rsidR="00F65BCA" w:rsidRDefault="00216117">
      <w:pPr>
        <w:pStyle w:val="Zkladntext"/>
        <w:rPr>
          <w:sz w:val="14"/>
        </w:rPr>
      </w:pPr>
      <w:r>
        <w:br w:type="column"/>
      </w:r>
    </w:p>
    <w:p w14:paraId="0CAC1458" w14:textId="77777777" w:rsidR="00F65BCA" w:rsidRDefault="00F65BCA">
      <w:pPr>
        <w:pStyle w:val="Zkladntext"/>
        <w:rPr>
          <w:sz w:val="14"/>
        </w:rPr>
      </w:pPr>
    </w:p>
    <w:p w14:paraId="409534DB" w14:textId="77777777" w:rsidR="00F65BCA" w:rsidRDefault="00216117">
      <w:pPr>
        <w:spacing w:before="122"/>
        <w:ind w:left="352"/>
        <w:rPr>
          <w:sz w:val="12"/>
        </w:rPr>
      </w:pPr>
      <w:r>
        <w:rPr>
          <w:color w:val="231F20"/>
          <w:sz w:val="12"/>
        </w:rPr>
        <w:t>36</w:t>
      </w:r>
      <w:r>
        <w:rPr>
          <w:color w:val="231F20"/>
          <w:spacing w:val="-20"/>
          <w:sz w:val="12"/>
        </w:rPr>
        <w:t xml:space="preserve"> </w:t>
      </w:r>
      <w:r>
        <w:rPr>
          <w:color w:val="231F20"/>
          <w:sz w:val="12"/>
        </w:rPr>
        <w:t>%</w:t>
      </w:r>
    </w:p>
    <w:p w14:paraId="37199AF0" w14:textId="77777777" w:rsidR="00F65BCA" w:rsidRDefault="00216117">
      <w:pPr>
        <w:spacing w:before="106"/>
        <w:ind w:left="352"/>
        <w:rPr>
          <w:sz w:val="12"/>
        </w:rPr>
      </w:pPr>
      <w:r>
        <w:rPr>
          <w:color w:val="231F20"/>
          <w:sz w:val="12"/>
        </w:rPr>
        <w:t>30</w:t>
      </w:r>
      <w:r>
        <w:rPr>
          <w:color w:val="231F20"/>
          <w:spacing w:val="-20"/>
          <w:sz w:val="12"/>
        </w:rPr>
        <w:t xml:space="preserve"> </w:t>
      </w:r>
      <w:r>
        <w:rPr>
          <w:color w:val="231F20"/>
          <w:sz w:val="12"/>
        </w:rPr>
        <w:t>%</w:t>
      </w:r>
    </w:p>
    <w:p w14:paraId="6C59B9CF" w14:textId="77777777" w:rsidR="00F65BCA" w:rsidRDefault="00216117">
      <w:pPr>
        <w:spacing w:before="38"/>
        <w:ind w:left="352"/>
        <w:rPr>
          <w:sz w:val="12"/>
        </w:rPr>
      </w:pPr>
      <w:r>
        <w:rPr>
          <w:color w:val="231F20"/>
          <w:sz w:val="12"/>
        </w:rPr>
        <w:t>25</w:t>
      </w:r>
      <w:r>
        <w:rPr>
          <w:color w:val="231F20"/>
          <w:spacing w:val="-20"/>
          <w:sz w:val="12"/>
        </w:rPr>
        <w:t xml:space="preserve"> </w:t>
      </w:r>
      <w:r>
        <w:rPr>
          <w:color w:val="231F20"/>
          <w:sz w:val="12"/>
        </w:rPr>
        <w:t>%</w:t>
      </w:r>
    </w:p>
    <w:p w14:paraId="493A251F" w14:textId="77777777" w:rsidR="00F65BCA" w:rsidRDefault="00F65BCA">
      <w:pPr>
        <w:pStyle w:val="Zkladntext"/>
        <w:spacing w:before="6"/>
        <w:rPr>
          <w:sz w:val="18"/>
        </w:rPr>
      </w:pPr>
    </w:p>
    <w:p w14:paraId="56AEF7E4" w14:textId="77777777" w:rsidR="00F65BCA" w:rsidRDefault="00216117">
      <w:pPr>
        <w:ind w:left="250"/>
        <w:rPr>
          <w:sz w:val="12"/>
        </w:rPr>
      </w:pPr>
      <w:r>
        <w:rPr>
          <w:color w:val="231F20"/>
          <w:sz w:val="12"/>
        </w:rPr>
        <w:t>do 4</w:t>
      </w:r>
      <w:r>
        <w:rPr>
          <w:color w:val="231F20"/>
          <w:spacing w:val="-17"/>
          <w:sz w:val="12"/>
        </w:rPr>
        <w:t xml:space="preserve"> </w:t>
      </w:r>
      <w:r>
        <w:rPr>
          <w:color w:val="231F20"/>
          <w:sz w:val="12"/>
        </w:rPr>
        <w:t>%</w:t>
      </w:r>
    </w:p>
    <w:p w14:paraId="1168D9AC" w14:textId="77777777" w:rsidR="00F65BCA" w:rsidRDefault="00216117">
      <w:pPr>
        <w:spacing w:before="38"/>
        <w:ind w:left="183"/>
        <w:rPr>
          <w:sz w:val="12"/>
        </w:rPr>
      </w:pPr>
      <w:r>
        <w:rPr>
          <w:color w:val="231F20"/>
          <w:sz w:val="12"/>
        </w:rPr>
        <w:t>do 10</w:t>
      </w:r>
      <w:r>
        <w:rPr>
          <w:color w:val="231F20"/>
          <w:spacing w:val="-17"/>
          <w:sz w:val="12"/>
        </w:rPr>
        <w:t xml:space="preserve"> </w:t>
      </w:r>
      <w:r>
        <w:rPr>
          <w:color w:val="231F20"/>
          <w:sz w:val="12"/>
        </w:rPr>
        <w:t>%</w:t>
      </w:r>
    </w:p>
    <w:p w14:paraId="7E7347EA" w14:textId="77777777" w:rsidR="00F65BCA" w:rsidRDefault="00216117">
      <w:pPr>
        <w:spacing w:before="38"/>
        <w:ind w:left="183"/>
        <w:rPr>
          <w:sz w:val="12"/>
        </w:rPr>
      </w:pPr>
      <w:r>
        <w:rPr>
          <w:color w:val="231F20"/>
          <w:sz w:val="12"/>
        </w:rPr>
        <w:t>do 15</w:t>
      </w:r>
      <w:r>
        <w:rPr>
          <w:color w:val="231F20"/>
          <w:spacing w:val="-17"/>
          <w:sz w:val="12"/>
        </w:rPr>
        <w:t xml:space="preserve"> </w:t>
      </w:r>
      <w:r>
        <w:rPr>
          <w:color w:val="231F20"/>
          <w:sz w:val="12"/>
        </w:rPr>
        <w:t>%</w:t>
      </w:r>
    </w:p>
    <w:p w14:paraId="279AD133" w14:textId="77777777" w:rsidR="00F65BCA" w:rsidRDefault="00216117">
      <w:pPr>
        <w:pStyle w:val="Zkladntext"/>
        <w:spacing w:before="1"/>
        <w:rPr>
          <w:sz w:val="18"/>
        </w:rPr>
      </w:pPr>
      <w:r>
        <w:br w:type="column"/>
      </w:r>
    </w:p>
    <w:p w14:paraId="7958484C" w14:textId="77777777" w:rsidR="00F65BCA" w:rsidRDefault="00216117">
      <w:pPr>
        <w:pStyle w:val="Odstavecseseznamem"/>
        <w:numPr>
          <w:ilvl w:val="0"/>
          <w:numId w:val="26"/>
        </w:numPr>
        <w:tabs>
          <w:tab w:val="left" w:pos="456"/>
        </w:tabs>
        <w:spacing w:line="223" w:lineRule="auto"/>
        <w:ind w:right="142"/>
        <w:rPr>
          <w:sz w:val="12"/>
        </w:rPr>
      </w:pPr>
      <w:r>
        <w:rPr>
          <w:color w:val="231F20"/>
          <w:position w:val="2"/>
          <w:sz w:val="12"/>
        </w:rPr>
        <w:t>Porucha</w:t>
      </w:r>
      <w:r>
        <w:rPr>
          <w:color w:val="231F20"/>
          <w:spacing w:val="-15"/>
          <w:position w:val="2"/>
          <w:sz w:val="12"/>
        </w:rPr>
        <w:t xml:space="preserve"> </w:t>
      </w:r>
      <w:r>
        <w:rPr>
          <w:color w:val="231F20"/>
          <w:position w:val="2"/>
          <w:sz w:val="12"/>
        </w:rPr>
        <w:t>funkce</w:t>
      </w:r>
      <w:r>
        <w:rPr>
          <w:color w:val="231F20"/>
          <w:spacing w:val="-14"/>
          <w:position w:val="2"/>
          <w:sz w:val="12"/>
        </w:rPr>
        <w:t xml:space="preserve"> </w:t>
      </w:r>
      <w:r>
        <w:rPr>
          <w:color w:val="231F20"/>
          <w:position w:val="2"/>
          <w:sz w:val="12"/>
        </w:rPr>
        <w:t>kteréhokoliv</w:t>
      </w:r>
      <w:r>
        <w:rPr>
          <w:color w:val="231F20"/>
          <w:spacing w:val="-14"/>
          <w:position w:val="2"/>
          <w:sz w:val="12"/>
        </w:rPr>
        <w:t xml:space="preserve"> </w:t>
      </w:r>
      <w:r>
        <w:rPr>
          <w:color w:val="231F20"/>
          <w:position w:val="2"/>
          <w:sz w:val="12"/>
        </w:rPr>
        <w:t>jiného</w:t>
      </w:r>
      <w:r>
        <w:rPr>
          <w:color w:val="231F20"/>
          <w:spacing w:val="-14"/>
          <w:position w:val="2"/>
          <w:sz w:val="12"/>
        </w:rPr>
        <w:t xml:space="preserve"> </w:t>
      </w:r>
      <w:r>
        <w:rPr>
          <w:color w:val="231F20"/>
          <w:position w:val="2"/>
          <w:sz w:val="12"/>
        </w:rPr>
        <w:t>prstu</w:t>
      </w:r>
      <w:r>
        <w:rPr>
          <w:color w:val="231F20"/>
          <w:spacing w:val="-14"/>
          <w:position w:val="2"/>
          <w:sz w:val="12"/>
        </w:rPr>
        <w:t xml:space="preserve"> </w:t>
      </w:r>
      <w:r>
        <w:rPr>
          <w:color w:val="231F20"/>
          <w:spacing w:val="-4"/>
          <w:position w:val="2"/>
          <w:sz w:val="12"/>
        </w:rPr>
        <w:t>nohy</w:t>
      </w:r>
      <w:r>
        <w:rPr>
          <w:color w:val="231F20"/>
          <w:spacing w:val="-4"/>
          <w:sz w:val="12"/>
        </w:rPr>
        <w:t xml:space="preserve"> </w:t>
      </w:r>
      <w:r>
        <w:rPr>
          <w:color w:val="231F20"/>
          <w:sz w:val="12"/>
        </w:rPr>
        <w:t>než palce, za každý</w:t>
      </w:r>
      <w:r>
        <w:rPr>
          <w:color w:val="231F20"/>
          <w:spacing w:val="-5"/>
          <w:sz w:val="12"/>
        </w:rPr>
        <w:t xml:space="preserve"> </w:t>
      </w:r>
      <w:r>
        <w:rPr>
          <w:color w:val="231F20"/>
          <w:sz w:val="12"/>
        </w:rPr>
        <w:t>prst</w:t>
      </w:r>
    </w:p>
    <w:p w14:paraId="4ADA8358" w14:textId="77777777" w:rsidR="00F65BCA" w:rsidRDefault="00216117">
      <w:pPr>
        <w:spacing w:before="32" w:line="249" w:lineRule="auto"/>
        <w:ind w:left="455" w:right="5"/>
        <w:rPr>
          <w:sz w:val="12"/>
        </w:rPr>
      </w:pPr>
      <w:r>
        <w:rPr>
          <w:b/>
          <w:color w:val="231F20"/>
          <w:sz w:val="12"/>
        </w:rPr>
        <w:t xml:space="preserve">Atrofie svalstva </w:t>
      </w:r>
      <w:r>
        <w:rPr>
          <w:color w:val="231F20"/>
          <w:sz w:val="12"/>
        </w:rPr>
        <w:t xml:space="preserve">dolních končetin při </w:t>
      </w:r>
      <w:r>
        <w:rPr>
          <w:color w:val="231F20"/>
          <w:spacing w:val="-4"/>
          <w:sz w:val="12"/>
        </w:rPr>
        <w:t xml:space="preserve">neomeze- </w:t>
      </w:r>
      <w:r>
        <w:rPr>
          <w:color w:val="231F20"/>
          <w:sz w:val="12"/>
        </w:rPr>
        <w:t>ném rozsahu pohybu v kloubu</w:t>
      </w:r>
    </w:p>
    <w:p w14:paraId="3BEDAB00" w14:textId="77777777" w:rsidR="00F65BCA" w:rsidRDefault="00216117">
      <w:pPr>
        <w:pStyle w:val="Odstavecseseznamem"/>
        <w:numPr>
          <w:ilvl w:val="0"/>
          <w:numId w:val="26"/>
        </w:numPr>
        <w:tabs>
          <w:tab w:val="left" w:pos="456"/>
        </w:tabs>
        <w:spacing w:before="26"/>
        <w:ind w:hanging="273"/>
        <w:rPr>
          <w:sz w:val="12"/>
        </w:rPr>
      </w:pPr>
      <w:r>
        <w:rPr>
          <w:color w:val="231F20"/>
          <w:sz w:val="12"/>
        </w:rPr>
        <w:t>na</w:t>
      </w:r>
      <w:r>
        <w:rPr>
          <w:color w:val="231F20"/>
          <w:spacing w:val="-1"/>
          <w:sz w:val="12"/>
        </w:rPr>
        <w:t xml:space="preserve"> </w:t>
      </w:r>
      <w:r>
        <w:rPr>
          <w:color w:val="231F20"/>
          <w:sz w:val="12"/>
        </w:rPr>
        <w:t>stehně</w:t>
      </w:r>
    </w:p>
    <w:p w14:paraId="27C5E549" w14:textId="77777777" w:rsidR="00F65BCA" w:rsidRDefault="00216117">
      <w:pPr>
        <w:pStyle w:val="Odstavecseseznamem"/>
        <w:numPr>
          <w:ilvl w:val="0"/>
          <w:numId w:val="26"/>
        </w:numPr>
        <w:tabs>
          <w:tab w:val="left" w:pos="456"/>
        </w:tabs>
        <w:spacing w:before="32"/>
        <w:ind w:hanging="273"/>
        <w:rPr>
          <w:sz w:val="12"/>
        </w:rPr>
      </w:pPr>
      <w:r>
        <w:rPr>
          <w:color w:val="231F20"/>
          <w:sz w:val="12"/>
        </w:rPr>
        <w:t>na</w:t>
      </w:r>
      <w:r>
        <w:rPr>
          <w:color w:val="231F20"/>
          <w:spacing w:val="-1"/>
          <w:sz w:val="12"/>
        </w:rPr>
        <w:t xml:space="preserve"> </w:t>
      </w:r>
      <w:r>
        <w:rPr>
          <w:color w:val="231F20"/>
          <w:sz w:val="12"/>
        </w:rPr>
        <w:t>bérci</w:t>
      </w:r>
    </w:p>
    <w:p w14:paraId="6DF9E387" w14:textId="77777777" w:rsidR="00F65BCA" w:rsidRDefault="00216117">
      <w:pPr>
        <w:spacing w:before="28" w:line="249" w:lineRule="auto"/>
        <w:ind w:left="455" w:right="6"/>
        <w:rPr>
          <w:b/>
          <w:sz w:val="12"/>
        </w:rPr>
      </w:pPr>
      <w:r>
        <w:rPr>
          <w:b/>
          <w:color w:val="231F20"/>
          <w:sz w:val="12"/>
        </w:rPr>
        <w:t xml:space="preserve">Oběhové a trofické </w:t>
      </w:r>
      <w:r>
        <w:rPr>
          <w:color w:val="231F20"/>
          <w:sz w:val="12"/>
        </w:rPr>
        <w:t xml:space="preserve">poruchy, </w:t>
      </w:r>
      <w:r>
        <w:rPr>
          <w:b/>
          <w:color w:val="231F20"/>
          <w:sz w:val="12"/>
        </w:rPr>
        <w:t>algodystrofický syndrom</w:t>
      </w:r>
    </w:p>
    <w:p w14:paraId="269AB339" w14:textId="77777777" w:rsidR="00F65BCA" w:rsidRDefault="00216117">
      <w:pPr>
        <w:pStyle w:val="Odstavecseseznamem"/>
        <w:numPr>
          <w:ilvl w:val="0"/>
          <w:numId w:val="26"/>
        </w:numPr>
        <w:tabs>
          <w:tab w:val="left" w:pos="456"/>
        </w:tabs>
        <w:spacing w:before="23"/>
        <w:ind w:hanging="273"/>
        <w:rPr>
          <w:sz w:val="12"/>
        </w:rPr>
      </w:pPr>
      <w:r>
        <w:rPr>
          <w:color w:val="231F20"/>
          <w:sz w:val="12"/>
        </w:rPr>
        <w:t>na jedné dolní</w:t>
      </w:r>
      <w:r>
        <w:rPr>
          <w:color w:val="231F20"/>
          <w:spacing w:val="-4"/>
          <w:sz w:val="12"/>
        </w:rPr>
        <w:t xml:space="preserve"> </w:t>
      </w:r>
      <w:r>
        <w:rPr>
          <w:color w:val="231F20"/>
          <w:sz w:val="12"/>
        </w:rPr>
        <w:t>končetině</w:t>
      </w:r>
    </w:p>
    <w:p w14:paraId="17DA4AE1" w14:textId="77777777" w:rsidR="00F65BCA" w:rsidRDefault="00216117">
      <w:pPr>
        <w:pStyle w:val="Odstavecseseznamem"/>
        <w:numPr>
          <w:ilvl w:val="0"/>
          <w:numId w:val="26"/>
        </w:numPr>
        <w:tabs>
          <w:tab w:val="left" w:pos="456"/>
        </w:tabs>
        <w:spacing w:before="32"/>
        <w:ind w:hanging="273"/>
        <w:rPr>
          <w:sz w:val="12"/>
        </w:rPr>
      </w:pPr>
      <w:r>
        <w:rPr>
          <w:color w:val="231F20"/>
          <w:sz w:val="12"/>
        </w:rPr>
        <w:t>na obou dolních</w:t>
      </w:r>
      <w:r>
        <w:rPr>
          <w:color w:val="231F20"/>
          <w:spacing w:val="-4"/>
          <w:sz w:val="12"/>
        </w:rPr>
        <w:t xml:space="preserve"> </w:t>
      </w:r>
      <w:r>
        <w:rPr>
          <w:color w:val="231F20"/>
          <w:sz w:val="12"/>
        </w:rPr>
        <w:t>končetinách</w:t>
      </w:r>
    </w:p>
    <w:p w14:paraId="2C7763EB" w14:textId="77777777" w:rsidR="00F65BCA" w:rsidRDefault="00216117">
      <w:pPr>
        <w:pStyle w:val="Zkladntext"/>
        <w:rPr>
          <w:sz w:val="14"/>
        </w:rPr>
      </w:pPr>
      <w:r>
        <w:br w:type="column"/>
      </w:r>
    </w:p>
    <w:p w14:paraId="7B410177" w14:textId="77777777" w:rsidR="00F65BCA" w:rsidRDefault="00216117">
      <w:pPr>
        <w:spacing w:before="116"/>
        <w:ind w:left="252"/>
        <w:rPr>
          <w:sz w:val="12"/>
        </w:rPr>
      </w:pPr>
      <w:r>
        <w:rPr>
          <w:color w:val="231F20"/>
          <w:sz w:val="12"/>
        </w:rPr>
        <w:t>0,50</w:t>
      </w:r>
      <w:r>
        <w:rPr>
          <w:color w:val="231F20"/>
          <w:spacing w:val="-20"/>
          <w:sz w:val="12"/>
        </w:rPr>
        <w:t xml:space="preserve"> </w:t>
      </w:r>
      <w:r>
        <w:rPr>
          <w:color w:val="231F20"/>
          <w:sz w:val="12"/>
        </w:rPr>
        <w:t>%</w:t>
      </w:r>
    </w:p>
    <w:p w14:paraId="07E21CEF" w14:textId="77777777" w:rsidR="00F65BCA" w:rsidRDefault="00F65BCA">
      <w:pPr>
        <w:pStyle w:val="Zkladntext"/>
        <w:rPr>
          <w:sz w:val="14"/>
        </w:rPr>
      </w:pPr>
    </w:p>
    <w:p w14:paraId="087CA31E" w14:textId="77777777" w:rsidR="00F65BCA" w:rsidRDefault="00F65BCA">
      <w:pPr>
        <w:pStyle w:val="Zkladntext"/>
        <w:rPr>
          <w:sz w:val="14"/>
        </w:rPr>
      </w:pPr>
    </w:p>
    <w:p w14:paraId="308A6268" w14:textId="77777777" w:rsidR="00F65BCA" w:rsidRDefault="00216117">
      <w:pPr>
        <w:spacing w:before="93"/>
        <w:ind w:left="250"/>
        <w:rPr>
          <w:sz w:val="12"/>
        </w:rPr>
      </w:pPr>
      <w:r>
        <w:rPr>
          <w:color w:val="231F20"/>
          <w:sz w:val="12"/>
        </w:rPr>
        <w:t>do 5</w:t>
      </w:r>
      <w:r>
        <w:rPr>
          <w:color w:val="231F20"/>
          <w:spacing w:val="-17"/>
          <w:sz w:val="12"/>
        </w:rPr>
        <w:t xml:space="preserve"> </w:t>
      </w:r>
      <w:r>
        <w:rPr>
          <w:color w:val="231F20"/>
          <w:sz w:val="12"/>
        </w:rPr>
        <w:t>%</w:t>
      </w:r>
    </w:p>
    <w:p w14:paraId="47EE0593" w14:textId="77777777" w:rsidR="00F65BCA" w:rsidRDefault="00216117">
      <w:pPr>
        <w:spacing w:before="32"/>
        <w:ind w:left="250"/>
        <w:rPr>
          <w:sz w:val="12"/>
        </w:rPr>
      </w:pPr>
      <w:r>
        <w:rPr>
          <w:color w:val="231F20"/>
          <w:sz w:val="12"/>
        </w:rPr>
        <w:t>do 3</w:t>
      </w:r>
      <w:r>
        <w:rPr>
          <w:color w:val="231F20"/>
          <w:spacing w:val="-17"/>
          <w:sz w:val="12"/>
        </w:rPr>
        <w:t xml:space="preserve"> </w:t>
      </w:r>
      <w:r>
        <w:rPr>
          <w:color w:val="231F20"/>
          <w:sz w:val="12"/>
        </w:rPr>
        <w:t>%</w:t>
      </w:r>
    </w:p>
    <w:p w14:paraId="1158B16C" w14:textId="77777777" w:rsidR="00F65BCA" w:rsidRDefault="00F65BCA">
      <w:pPr>
        <w:pStyle w:val="Zkladntext"/>
        <w:rPr>
          <w:sz w:val="14"/>
        </w:rPr>
      </w:pPr>
    </w:p>
    <w:p w14:paraId="129B279F" w14:textId="77777777" w:rsidR="00F65BCA" w:rsidRDefault="00F65BCA">
      <w:pPr>
        <w:pStyle w:val="Zkladntext"/>
        <w:spacing w:before="4"/>
      </w:pPr>
    </w:p>
    <w:p w14:paraId="654BB8C1" w14:textId="77777777" w:rsidR="00F65BCA" w:rsidRDefault="00216117">
      <w:pPr>
        <w:ind w:left="183"/>
        <w:rPr>
          <w:sz w:val="12"/>
        </w:rPr>
      </w:pPr>
      <w:r>
        <w:rPr>
          <w:color w:val="231F20"/>
          <w:sz w:val="12"/>
        </w:rPr>
        <w:t>do 10</w:t>
      </w:r>
      <w:r>
        <w:rPr>
          <w:color w:val="231F20"/>
          <w:spacing w:val="-17"/>
          <w:sz w:val="12"/>
        </w:rPr>
        <w:t xml:space="preserve"> </w:t>
      </w:r>
      <w:r>
        <w:rPr>
          <w:color w:val="231F20"/>
          <w:sz w:val="12"/>
        </w:rPr>
        <w:t>%</w:t>
      </w:r>
    </w:p>
    <w:p w14:paraId="24FBB495" w14:textId="77777777" w:rsidR="00F65BCA" w:rsidRDefault="00216117">
      <w:pPr>
        <w:spacing w:before="32"/>
        <w:ind w:left="183"/>
        <w:rPr>
          <w:sz w:val="12"/>
        </w:rPr>
      </w:pPr>
      <w:r>
        <w:rPr>
          <w:color w:val="231F20"/>
          <w:sz w:val="12"/>
        </w:rPr>
        <w:t>do 20</w:t>
      </w:r>
      <w:r>
        <w:rPr>
          <w:color w:val="231F20"/>
          <w:spacing w:val="-17"/>
          <w:sz w:val="12"/>
        </w:rPr>
        <w:t xml:space="preserve"> </w:t>
      </w:r>
      <w:r>
        <w:rPr>
          <w:color w:val="231F20"/>
          <w:sz w:val="12"/>
        </w:rPr>
        <w:t>%</w:t>
      </w:r>
    </w:p>
    <w:p w14:paraId="674B8441" w14:textId="77777777" w:rsidR="00F65BCA" w:rsidRDefault="00F65BCA">
      <w:pPr>
        <w:rPr>
          <w:sz w:val="12"/>
        </w:rPr>
        <w:sectPr w:rsidR="00F65BCA">
          <w:type w:val="continuous"/>
          <w:pgSz w:w="11910" w:h="16840"/>
          <w:pgMar w:top="840" w:right="140" w:bottom="280" w:left="140" w:header="708" w:footer="708" w:gutter="0"/>
          <w:cols w:num="6" w:space="708" w:equalWidth="0">
            <w:col w:w="2847" w:space="195"/>
            <w:col w:w="648" w:space="185"/>
            <w:col w:w="2985" w:space="57"/>
            <w:col w:w="648" w:space="184"/>
            <w:col w:w="2976" w:space="67"/>
            <w:col w:w="838"/>
          </w:cols>
        </w:sectPr>
      </w:pPr>
    </w:p>
    <w:p w14:paraId="571DA06E" w14:textId="77777777" w:rsidR="00F65BCA" w:rsidRDefault="00216117">
      <w:pPr>
        <w:pStyle w:val="Odstavecseseznamem"/>
        <w:numPr>
          <w:ilvl w:val="0"/>
          <w:numId w:val="25"/>
        </w:numPr>
        <w:tabs>
          <w:tab w:val="left" w:pos="456"/>
        </w:tabs>
        <w:spacing w:before="32"/>
        <w:ind w:hanging="273"/>
        <w:rPr>
          <w:sz w:val="12"/>
        </w:rPr>
      </w:pPr>
      <w:r>
        <w:rPr>
          <w:color w:val="231F20"/>
          <w:sz w:val="12"/>
        </w:rPr>
        <w:t>při</w:t>
      </w:r>
      <w:r>
        <w:rPr>
          <w:color w:val="231F20"/>
          <w:spacing w:val="-12"/>
          <w:sz w:val="12"/>
        </w:rPr>
        <w:t xml:space="preserve"> </w:t>
      </w:r>
      <w:r>
        <w:rPr>
          <w:color w:val="231F20"/>
          <w:sz w:val="12"/>
        </w:rPr>
        <w:t>nedostatečnosti</w:t>
      </w:r>
      <w:r>
        <w:rPr>
          <w:color w:val="231F20"/>
          <w:spacing w:val="-11"/>
          <w:sz w:val="12"/>
        </w:rPr>
        <w:t xml:space="preserve"> </w:t>
      </w:r>
      <w:r>
        <w:rPr>
          <w:color w:val="231F20"/>
          <w:sz w:val="12"/>
        </w:rPr>
        <w:t>předního</w:t>
      </w:r>
      <w:r>
        <w:rPr>
          <w:color w:val="231F20"/>
          <w:spacing w:val="-12"/>
          <w:sz w:val="12"/>
        </w:rPr>
        <w:t xml:space="preserve"> </w:t>
      </w:r>
      <w:r>
        <w:rPr>
          <w:color w:val="231F20"/>
          <w:sz w:val="12"/>
        </w:rPr>
        <w:t>zkříženého</w:t>
      </w:r>
      <w:r>
        <w:rPr>
          <w:color w:val="231F20"/>
          <w:spacing w:val="-11"/>
          <w:sz w:val="12"/>
        </w:rPr>
        <w:t xml:space="preserve"> </w:t>
      </w:r>
      <w:r>
        <w:rPr>
          <w:color w:val="231F20"/>
          <w:sz w:val="12"/>
        </w:rPr>
        <w:t>vazu</w:t>
      </w:r>
    </w:p>
    <w:p w14:paraId="26A08E9A" w14:textId="77777777" w:rsidR="00F65BCA" w:rsidRDefault="00216117">
      <w:pPr>
        <w:pStyle w:val="Odstavecseseznamem"/>
        <w:numPr>
          <w:ilvl w:val="0"/>
          <w:numId w:val="25"/>
        </w:numPr>
        <w:tabs>
          <w:tab w:val="left" w:pos="456"/>
        </w:tabs>
        <w:spacing w:before="24" w:line="249" w:lineRule="auto"/>
        <w:ind w:right="126"/>
        <w:rPr>
          <w:sz w:val="12"/>
        </w:rPr>
      </w:pPr>
      <w:r>
        <w:rPr>
          <w:color w:val="231F20"/>
          <w:sz w:val="12"/>
        </w:rPr>
        <w:t>při</w:t>
      </w:r>
      <w:r>
        <w:rPr>
          <w:color w:val="231F20"/>
          <w:spacing w:val="-15"/>
          <w:sz w:val="12"/>
        </w:rPr>
        <w:t xml:space="preserve"> </w:t>
      </w:r>
      <w:r>
        <w:rPr>
          <w:color w:val="231F20"/>
          <w:sz w:val="12"/>
        </w:rPr>
        <w:t>nedostatečnosti</w:t>
      </w:r>
      <w:r>
        <w:rPr>
          <w:color w:val="231F20"/>
          <w:spacing w:val="-14"/>
          <w:sz w:val="12"/>
        </w:rPr>
        <w:t xml:space="preserve"> </w:t>
      </w:r>
      <w:r>
        <w:rPr>
          <w:color w:val="231F20"/>
          <w:sz w:val="12"/>
        </w:rPr>
        <w:t>předního</w:t>
      </w:r>
      <w:r>
        <w:rPr>
          <w:color w:val="231F20"/>
          <w:spacing w:val="-14"/>
          <w:sz w:val="12"/>
        </w:rPr>
        <w:t xml:space="preserve"> </w:t>
      </w:r>
      <w:r>
        <w:rPr>
          <w:color w:val="231F20"/>
          <w:sz w:val="12"/>
        </w:rPr>
        <w:t>i</w:t>
      </w:r>
      <w:r>
        <w:rPr>
          <w:color w:val="231F20"/>
          <w:spacing w:val="-14"/>
          <w:sz w:val="12"/>
        </w:rPr>
        <w:t xml:space="preserve"> </w:t>
      </w:r>
      <w:r>
        <w:rPr>
          <w:color w:val="231F20"/>
          <w:sz w:val="12"/>
        </w:rPr>
        <w:t>zadního</w:t>
      </w:r>
      <w:r>
        <w:rPr>
          <w:color w:val="231F20"/>
          <w:spacing w:val="-14"/>
          <w:sz w:val="12"/>
        </w:rPr>
        <w:t xml:space="preserve"> </w:t>
      </w:r>
      <w:r>
        <w:rPr>
          <w:color w:val="231F20"/>
          <w:spacing w:val="-4"/>
          <w:sz w:val="12"/>
        </w:rPr>
        <w:t xml:space="preserve">zkříže- </w:t>
      </w:r>
      <w:r>
        <w:rPr>
          <w:color w:val="231F20"/>
          <w:sz w:val="12"/>
        </w:rPr>
        <w:t>ného</w:t>
      </w:r>
      <w:r>
        <w:rPr>
          <w:color w:val="231F20"/>
          <w:spacing w:val="-1"/>
          <w:sz w:val="12"/>
        </w:rPr>
        <w:t xml:space="preserve"> </w:t>
      </w:r>
      <w:r>
        <w:rPr>
          <w:color w:val="231F20"/>
          <w:sz w:val="12"/>
        </w:rPr>
        <w:t>vazu</w:t>
      </w:r>
    </w:p>
    <w:p w14:paraId="788B8056" w14:textId="77777777" w:rsidR="00F65BCA" w:rsidRDefault="00216117">
      <w:pPr>
        <w:spacing w:before="33"/>
        <w:ind w:left="455"/>
        <w:rPr>
          <w:b/>
          <w:sz w:val="12"/>
        </w:rPr>
      </w:pPr>
      <w:r>
        <w:rPr>
          <w:b/>
          <w:color w:val="231F20"/>
          <w:sz w:val="12"/>
        </w:rPr>
        <w:t>Odstranění menisku</w:t>
      </w:r>
    </w:p>
    <w:p w14:paraId="1AC74DA5" w14:textId="77777777" w:rsidR="00F65BCA" w:rsidRDefault="00216117">
      <w:pPr>
        <w:pStyle w:val="Odstavecseseznamem"/>
        <w:numPr>
          <w:ilvl w:val="0"/>
          <w:numId w:val="25"/>
        </w:numPr>
        <w:tabs>
          <w:tab w:val="left" w:pos="456"/>
        </w:tabs>
        <w:spacing w:before="32"/>
        <w:ind w:hanging="273"/>
        <w:rPr>
          <w:sz w:val="12"/>
        </w:rPr>
      </w:pPr>
      <w:r>
        <w:rPr>
          <w:color w:val="231F20"/>
          <w:sz w:val="12"/>
        </w:rPr>
        <w:t>části jednoho</w:t>
      </w:r>
      <w:r>
        <w:rPr>
          <w:color w:val="231F20"/>
          <w:spacing w:val="-2"/>
          <w:sz w:val="12"/>
        </w:rPr>
        <w:t xml:space="preserve"> </w:t>
      </w:r>
      <w:r>
        <w:rPr>
          <w:color w:val="231F20"/>
          <w:sz w:val="12"/>
        </w:rPr>
        <w:t>menisku</w:t>
      </w:r>
    </w:p>
    <w:p w14:paraId="6AFA63B8" w14:textId="77777777" w:rsidR="00F65BCA" w:rsidRDefault="00216117">
      <w:pPr>
        <w:pStyle w:val="Odstavecseseznamem"/>
        <w:numPr>
          <w:ilvl w:val="0"/>
          <w:numId w:val="25"/>
        </w:numPr>
        <w:tabs>
          <w:tab w:val="left" w:pos="456"/>
        </w:tabs>
        <w:spacing w:before="32"/>
        <w:ind w:hanging="273"/>
        <w:rPr>
          <w:sz w:val="12"/>
        </w:rPr>
      </w:pPr>
      <w:r>
        <w:rPr>
          <w:color w:val="231F20"/>
          <w:sz w:val="12"/>
        </w:rPr>
        <w:t>jednoho</w:t>
      </w:r>
      <w:r>
        <w:rPr>
          <w:color w:val="231F20"/>
          <w:spacing w:val="-1"/>
          <w:sz w:val="12"/>
        </w:rPr>
        <w:t xml:space="preserve"> </w:t>
      </w:r>
      <w:r>
        <w:rPr>
          <w:color w:val="231F20"/>
          <w:sz w:val="12"/>
        </w:rPr>
        <w:t>menisku</w:t>
      </w:r>
    </w:p>
    <w:p w14:paraId="22D06D33" w14:textId="77777777" w:rsidR="00F65BCA" w:rsidRDefault="00216117">
      <w:pPr>
        <w:pStyle w:val="Odstavecseseznamem"/>
        <w:numPr>
          <w:ilvl w:val="0"/>
          <w:numId w:val="25"/>
        </w:numPr>
        <w:tabs>
          <w:tab w:val="left" w:pos="456"/>
        </w:tabs>
        <w:spacing w:before="32"/>
        <w:ind w:hanging="273"/>
        <w:rPr>
          <w:sz w:val="12"/>
        </w:rPr>
      </w:pPr>
      <w:r>
        <w:rPr>
          <w:color w:val="231F20"/>
          <w:sz w:val="12"/>
        </w:rPr>
        <w:t>části obou</w:t>
      </w:r>
      <w:r>
        <w:rPr>
          <w:color w:val="231F20"/>
          <w:spacing w:val="-1"/>
          <w:sz w:val="12"/>
        </w:rPr>
        <w:t xml:space="preserve"> </w:t>
      </w:r>
      <w:r>
        <w:rPr>
          <w:color w:val="231F20"/>
          <w:sz w:val="12"/>
        </w:rPr>
        <w:t>menisků</w:t>
      </w:r>
    </w:p>
    <w:p w14:paraId="30FA11F9" w14:textId="77777777" w:rsidR="00F65BCA" w:rsidRDefault="00216117">
      <w:pPr>
        <w:pStyle w:val="Odstavecseseznamem"/>
        <w:numPr>
          <w:ilvl w:val="0"/>
          <w:numId w:val="25"/>
        </w:numPr>
        <w:tabs>
          <w:tab w:val="left" w:pos="456"/>
        </w:tabs>
        <w:spacing w:before="32"/>
        <w:ind w:hanging="273"/>
        <w:rPr>
          <w:sz w:val="12"/>
        </w:rPr>
      </w:pPr>
      <w:r>
        <w:rPr>
          <w:color w:val="231F20"/>
          <w:sz w:val="12"/>
        </w:rPr>
        <w:t>obou</w:t>
      </w:r>
      <w:r>
        <w:rPr>
          <w:color w:val="231F20"/>
          <w:spacing w:val="-1"/>
          <w:sz w:val="12"/>
        </w:rPr>
        <w:t xml:space="preserve"> </w:t>
      </w:r>
      <w:r>
        <w:rPr>
          <w:color w:val="231F20"/>
          <w:sz w:val="12"/>
        </w:rPr>
        <w:t>menisků</w:t>
      </w:r>
    </w:p>
    <w:p w14:paraId="04904C23" w14:textId="77777777" w:rsidR="00F65BCA" w:rsidRDefault="00216117">
      <w:pPr>
        <w:pStyle w:val="Odstavecseseznamem"/>
        <w:numPr>
          <w:ilvl w:val="0"/>
          <w:numId w:val="25"/>
        </w:numPr>
        <w:tabs>
          <w:tab w:val="left" w:pos="456"/>
        </w:tabs>
        <w:spacing w:before="35" w:line="223" w:lineRule="auto"/>
        <w:ind w:right="39"/>
        <w:rPr>
          <w:sz w:val="12"/>
        </w:rPr>
      </w:pPr>
      <w:r>
        <w:rPr>
          <w:color w:val="231F20"/>
          <w:position w:val="2"/>
          <w:sz w:val="12"/>
        </w:rPr>
        <w:t>Odstranění</w:t>
      </w:r>
      <w:r>
        <w:rPr>
          <w:color w:val="231F20"/>
          <w:spacing w:val="-18"/>
          <w:position w:val="2"/>
          <w:sz w:val="12"/>
        </w:rPr>
        <w:t xml:space="preserve"> </w:t>
      </w:r>
      <w:r>
        <w:rPr>
          <w:color w:val="231F20"/>
          <w:position w:val="2"/>
          <w:sz w:val="12"/>
        </w:rPr>
        <w:t>čéšky</w:t>
      </w:r>
      <w:r>
        <w:rPr>
          <w:color w:val="231F20"/>
          <w:spacing w:val="-18"/>
          <w:position w:val="2"/>
          <w:sz w:val="12"/>
        </w:rPr>
        <w:t xml:space="preserve"> </w:t>
      </w:r>
      <w:r>
        <w:rPr>
          <w:color w:val="231F20"/>
          <w:position w:val="2"/>
          <w:sz w:val="12"/>
        </w:rPr>
        <w:t>včetně</w:t>
      </w:r>
      <w:r>
        <w:rPr>
          <w:color w:val="231F20"/>
          <w:spacing w:val="-17"/>
          <w:position w:val="2"/>
          <w:sz w:val="12"/>
        </w:rPr>
        <w:t xml:space="preserve"> </w:t>
      </w:r>
      <w:r>
        <w:rPr>
          <w:color w:val="231F20"/>
          <w:position w:val="2"/>
          <w:sz w:val="12"/>
        </w:rPr>
        <w:t>vychudnutí</w:t>
      </w:r>
      <w:r>
        <w:rPr>
          <w:color w:val="231F20"/>
          <w:spacing w:val="-18"/>
          <w:position w:val="2"/>
          <w:sz w:val="12"/>
        </w:rPr>
        <w:t xml:space="preserve"> </w:t>
      </w:r>
      <w:r>
        <w:rPr>
          <w:color w:val="231F20"/>
          <w:position w:val="2"/>
          <w:sz w:val="12"/>
        </w:rPr>
        <w:t>a</w:t>
      </w:r>
      <w:r>
        <w:rPr>
          <w:color w:val="231F20"/>
          <w:spacing w:val="-17"/>
          <w:position w:val="2"/>
          <w:sz w:val="12"/>
        </w:rPr>
        <w:t xml:space="preserve"> </w:t>
      </w:r>
      <w:r>
        <w:rPr>
          <w:color w:val="231F20"/>
          <w:spacing w:val="-3"/>
          <w:position w:val="2"/>
          <w:sz w:val="12"/>
        </w:rPr>
        <w:t>omezení</w:t>
      </w:r>
      <w:r>
        <w:rPr>
          <w:color w:val="231F20"/>
          <w:spacing w:val="-3"/>
          <w:sz w:val="12"/>
        </w:rPr>
        <w:t xml:space="preserve"> </w:t>
      </w:r>
      <w:r>
        <w:rPr>
          <w:color w:val="231F20"/>
          <w:sz w:val="12"/>
        </w:rPr>
        <w:t>funkce čtyřhlavého svalu</w:t>
      </w:r>
      <w:r>
        <w:rPr>
          <w:color w:val="231F20"/>
          <w:spacing w:val="-13"/>
          <w:sz w:val="12"/>
        </w:rPr>
        <w:t xml:space="preserve"> </w:t>
      </w:r>
      <w:r>
        <w:rPr>
          <w:color w:val="231F20"/>
          <w:sz w:val="12"/>
        </w:rPr>
        <w:t>stehenního</w:t>
      </w:r>
    </w:p>
    <w:p w14:paraId="2EC5838D" w14:textId="77777777" w:rsidR="00F65BCA" w:rsidRDefault="00216117">
      <w:pPr>
        <w:spacing w:before="35" w:line="304" w:lineRule="auto"/>
        <w:ind w:left="455" w:right="741" w:firstLine="1079"/>
        <w:rPr>
          <w:sz w:val="12"/>
        </w:rPr>
      </w:pPr>
      <w:r>
        <w:rPr>
          <w:b/>
          <w:color w:val="231F20"/>
          <w:sz w:val="12"/>
        </w:rPr>
        <w:t xml:space="preserve">Bérec Ztráta </w:t>
      </w:r>
      <w:r>
        <w:rPr>
          <w:color w:val="231F20"/>
          <w:sz w:val="12"/>
        </w:rPr>
        <w:t>dolní končetiny v bérci</w:t>
      </w:r>
    </w:p>
    <w:p w14:paraId="6A5491D6" w14:textId="77777777" w:rsidR="00F65BCA" w:rsidRDefault="00216117">
      <w:pPr>
        <w:pStyle w:val="Odstavecseseznamem"/>
        <w:numPr>
          <w:ilvl w:val="0"/>
          <w:numId w:val="25"/>
        </w:numPr>
        <w:tabs>
          <w:tab w:val="left" w:pos="456"/>
        </w:tabs>
        <w:spacing w:before="3"/>
        <w:ind w:hanging="273"/>
        <w:rPr>
          <w:sz w:val="12"/>
        </w:rPr>
      </w:pPr>
      <w:r>
        <w:rPr>
          <w:color w:val="231F20"/>
          <w:position w:val="1"/>
          <w:sz w:val="12"/>
        </w:rPr>
        <w:t>se zachovaným kolenním</w:t>
      </w:r>
      <w:r>
        <w:rPr>
          <w:color w:val="231F20"/>
          <w:spacing w:val="-9"/>
          <w:position w:val="1"/>
          <w:sz w:val="12"/>
        </w:rPr>
        <w:t xml:space="preserve"> </w:t>
      </w:r>
      <w:r>
        <w:rPr>
          <w:color w:val="231F20"/>
          <w:position w:val="1"/>
          <w:sz w:val="12"/>
        </w:rPr>
        <w:t>kloubem</w:t>
      </w:r>
    </w:p>
    <w:p w14:paraId="496BA1DF" w14:textId="77777777" w:rsidR="00F65BCA" w:rsidRDefault="00216117">
      <w:pPr>
        <w:pStyle w:val="Odstavecseseznamem"/>
        <w:numPr>
          <w:ilvl w:val="0"/>
          <w:numId w:val="25"/>
        </w:numPr>
        <w:tabs>
          <w:tab w:val="left" w:pos="456"/>
        </w:tabs>
        <w:spacing w:before="26"/>
        <w:ind w:hanging="273"/>
        <w:rPr>
          <w:sz w:val="12"/>
        </w:rPr>
      </w:pPr>
      <w:r>
        <w:rPr>
          <w:color w:val="231F20"/>
          <w:sz w:val="12"/>
        </w:rPr>
        <w:t>se ztuhlým kolenním</w:t>
      </w:r>
      <w:r>
        <w:rPr>
          <w:color w:val="231F20"/>
          <w:spacing w:val="-6"/>
          <w:sz w:val="12"/>
        </w:rPr>
        <w:t xml:space="preserve"> </w:t>
      </w:r>
      <w:r>
        <w:rPr>
          <w:color w:val="231F20"/>
          <w:sz w:val="12"/>
        </w:rPr>
        <w:t>kloubem</w:t>
      </w:r>
    </w:p>
    <w:p w14:paraId="412DCDC4" w14:textId="77777777" w:rsidR="00F65BCA" w:rsidRDefault="00216117">
      <w:pPr>
        <w:pStyle w:val="Odstavecseseznamem"/>
        <w:numPr>
          <w:ilvl w:val="0"/>
          <w:numId w:val="25"/>
        </w:numPr>
        <w:tabs>
          <w:tab w:val="left" w:pos="456"/>
        </w:tabs>
        <w:spacing w:before="53" w:line="249" w:lineRule="auto"/>
        <w:ind w:right="228"/>
        <w:rPr>
          <w:sz w:val="12"/>
        </w:rPr>
      </w:pPr>
      <w:r>
        <w:rPr>
          <w:color w:val="231F20"/>
          <w:w w:val="95"/>
          <w:sz w:val="12"/>
        </w:rPr>
        <w:t xml:space="preserve">Poúrazové deformity kostí bérce (zlomeniny </w:t>
      </w:r>
      <w:r>
        <w:rPr>
          <w:color w:val="231F20"/>
          <w:sz w:val="12"/>
        </w:rPr>
        <w:t>zhojené</w:t>
      </w:r>
      <w:r>
        <w:rPr>
          <w:color w:val="231F20"/>
          <w:spacing w:val="-9"/>
          <w:sz w:val="12"/>
        </w:rPr>
        <w:t xml:space="preserve"> </w:t>
      </w:r>
      <w:r>
        <w:rPr>
          <w:color w:val="231F20"/>
          <w:sz w:val="12"/>
        </w:rPr>
        <w:t>s</w:t>
      </w:r>
      <w:r>
        <w:rPr>
          <w:color w:val="231F20"/>
          <w:spacing w:val="-9"/>
          <w:sz w:val="12"/>
        </w:rPr>
        <w:t xml:space="preserve"> </w:t>
      </w:r>
      <w:r>
        <w:rPr>
          <w:color w:val="231F20"/>
          <w:sz w:val="12"/>
        </w:rPr>
        <w:t>úchylkou</w:t>
      </w:r>
      <w:r>
        <w:rPr>
          <w:color w:val="231F20"/>
          <w:spacing w:val="-9"/>
          <w:sz w:val="12"/>
        </w:rPr>
        <w:t xml:space="preserve"> </w:t>
      </w:r>
      <w:r>
        <w:rPr>
          <w:color w:val="231F20"/>
          <w:sz w:val="12"/>
        </w:rPr>
        <w:t>osovou</w:t>
      </w:r>
      <w:r>
        <w:rPr>
          <w:color w:val="231F20"/>
          <w:spacing w:val="-9"/>
          <w:sz w:val="12"/>
        </w:rPr>
        <w:t xml:space="preserve"> </w:t>
      </w:r>
      <w:r>
        <w:rPr>
          <w:color w:val="231F20"/>
          <w:sz w:val="12"/>
        </w:rPr>
        <w:t>nebo</w:t>
      </w:r>
      <w:r>
        <w:rPr>
          <w:color w:val="231F20"/>
          <w:spacing w:val="-9"/>
          <w:sz w:val="12"/>
        </w:rPr>
        <w:t xml:space="preserve"> </w:t>
      </w:r>
      <w:r>
        <w:rPr>
          <w:color w:val="231F20"/>
          <w:sz w:val="12"/>
        </w:rPr>
        <w:t>rotační)</w:t>
      </w:r>
    </w:p>
    <w:p w14:paraId="153BA54F" w14:textId="77777777" w:rsidR="00F65BCA" w:rsidRDefault="00216117">
      <w:pPr>
        <w:pStyle w:val="Odstavecseseznamem"/>
        <w:numPr>
          <w:ilvl w:val="1"/>
          <w:numId w:val="25"/>
        </w:numPr>
        <w:tabs>
          <w:tab w:val="left" w:pos="585"/>
        </w:tabs>
        <w:spacing w:before="1"/>
        <w:ind w:hanging="130"/>
        <w:rPr>
          <w:sz w:val="12"/>
        </w:rPr>
      </w:pPr>
      <w:r>
        <w:rPr>
          <w:color w:val="231F20"/>
          <w:sz w:val="12"/>
        </w:rPr>
        <w:t>musí být prokázány na</w:t>
      </w:r>
      <w:r>
        <w:rPr>
          <w:color w:val="231F20"/>
          <w:spacing w:val="-9"/>
          <w:sz w:val="12"/>
        </w:rPr>
        <w:t xml:space="preserve"> </w:t>
      </w:r>
      <w:r>
        <w:rPr>
          <w:color w:val="231F20"/>
          <w:sz w:val="12"/>
        </w:rPr>
        <w:t>RTG</w:t>
      </w:r>
    </w:p>
    <w:p w14:paraId="2C4177A8" w14:textId="77777777" w:rsidR="00F65BCA" w:rsidRDefault="00216117">
      <w:pPr>
        <w:pStyle w:val="Odstavecseseznamem"/>
        <w:numPr>
          <w:ilvl w:val="1"/>
          <w:numId w:val="25"/>
        </w:numPr>
        <w:tabs>
          <w:tab w:val="left" w:pos="585"/>
        </w:tabs>
        <w:spacing w:before="6"/>
        <w:ind w:hanging="130"/>
        <w:rPr>
          <w:sz w:val="12"/>
        </w:rPr>
      </w:pPr>
      <w:r>
        <w:rPr>
          <w:color w:val="231F20"/>
          <w:sz w:val="12"/>
        </w:rPr>
        <w:t>hodnotí se až pokud přesahují</w:t>
      </w:r>
      <w:r>
        <w:rPr>
          <w:color w:val="231F20"/>
          <w:spacing w:val="-13"/>
          <w:sz w:val="12"/>
        </w:rPr>
        <w:t xml:space="preserve"> </w:t>
      </w:r>
      <w:r>
        <w:rPr>
          <w:color w:val="231F20"/>
          <w:sz w:val="12"/>
        </w:rPr>
        <w:t>5°</w:t>
      </w:r>
    </w:p>
    <w:p w14:paraId="66982519" w14:textId="77777777" w:rsidR="00F65BCA" w:rsidRDefault="00216117">
      <w:pPr>
        <w:pStyle w:val="Odstavecseseznamem"/>
        <w:numPr>
          <w:ilvl w:val="1"/>
          <w:numId w:val="25"/>
        </w:numPr>
        <w:tabs>
          <w:tab w:val="left" w:pos="585"/>
        </w:tabs>
        <w:spacing w:before="6"/>
        <w:ind w:hanging="130"/>
        <w:rPr>
          <w:sz w:val="12"/>
        </w:rPr>
      </w:pPr>
      <w:r>
        <w:rPr>
          <w:color w:val="231F20"/>
          <w:sz w:val="12"/>
        </w:rPr>
        <w:t>za</w:t>
      </w:r>
      <w:r>
        <w:rPr>
          <w:color w:val="231F20"/>
          <w:spacing w:val="-6"/>
          <w:sz w:val="12"/>
        </w:rPr>
        <w:t xml:space="preserve"> </w:t>
      </w:r>
      <w:r>
        <w:rPr>
          <w:color w:val="231F20"/>
          <w:sz w:val="12"/>
        </w:rPr>
        <w:t>každých</w:t>
      </w:r>
      <w:r>
        <w:rPr>
          <w:color w:val="231F20"/>
          <w:spacing w:val="-6"/>
          <w:sz w:val="12"/>
        </w:rPr>
        <w:t xml:space="preserve"> </w:t>
      </w:r>
      <w:r>
        <w:rPr>
          <w:color w:val="231F20"/>
          <w:sz w:val="12"/>
        </w:rPr>
        <w:t>5°</w:t>
      </w:r>
      <w:r>
        <w:rPr>
          <w:color w:val="231F20"/>
          <w:spacing w:val="-6"/>
          <w:sz w:val="12"/>
        </w:rPr>
        <w:t xml:space="preserve"> </w:t>
      </w:r>
      <w:r>
        <w:rPr>
          <w:color w:val="231F20"/>
          <w:sz w:val="12"/>
        </w:rPr>
        <w:t>úchylky</w:t>
      </w:r>
      <w:r>
        <w:rPr>
          <w:color w:val="231F20"/>
          <w:spacing w:val="-5"/>
          <w:sz w:val="12"/>
        </w:rPr>
        <w:t xml:space="preserve"> </w:t>
      </w:r>
      <w:r>
        <w:rPr>
          <w:color w:val="231F20"/>
          <w:sz w:val="12"/>
        </w:rPr>
        <w:t>plnění</w:t>
      </w:r>
      <w:r>
        <w:rPr>
          <w:color w:val="231F20"/>
          <w:spacing w:val="-6"/>
          <w:sz w:val="12"/>
        </w:rPr>
        <w:t xml:space="preserve"> </w:t>
      </w:r>
      <w:r>
        <w:rPr>
          <w:color w:val="231F20"/>
          <w:sz w:val="12"/>
        </w:rPr>
        <w:t>náleží</w:t>
      </w:r>
      <w:r>
        <w:rPr>
          <w:color w:val="231F20"/>
          <w:spacing w:val="-6"/>
          <w:sz w:val="12"/>
        </w:rPr>
        <w:t xml:space="preserve"> </w:t>
      </w:r>
      <w:r>
        <w:rPr>
          <w:color w:val="231F20"/>
          <w:sz w:val="12"/>
        </w:rPr>
        <w:t>5</w:t>
      </w:r>
      <w:r>
        <w:rPr>
          <w:color w:val="231F20"/>
          <w:spacing w:val="-21"/>
          <w:sz w:val="12"/>
        </w:rPr>
        <w:t xml:space="preserve"> </w:t>
      </w:r>
      <w:r>
        <w:rPr>
          <w:color w:val="231F20"/>
          <w:sz w:val="12"/>
        </w:rPr>
        <w:t>%</w:t>
      </w:r>
    </w:p>
    <w:p w14:paraId="75D40B57" w14:textId="77777777" w:rsidR="00F65BCA" w:rsidRDefault="00216117">
      <w:pPr>
        <w:spacing w:before="57" w:line="249" w:lineRule="auto"/>
        <w:ind w:left="455" w:right="-19"/>
        <w:rPr>
          <w:sz w:val="12"/>
        </w:rPr>
      </w:pPr>
      <w:r>
        <w:rPr>
          <w:b/>
          <w:color w:val="231F20"/>
          <w:sz w:val="12"/>
        </w:rPr>
        <w:t xml:space="preserve">Úchylky </w:t>
      </w:r>
      <w:r>
        <w:rPr>
          <w:color w:val="231F20"/>
          <w:sz w:val="12"/>
        </w:rPr>
        <w:t xml:space="preserve">přes 45° se hodnotí jako ztráta </w:t>
      </w:r>
      <w:r>
        <w:rPr>
          <w:color w:val="231F20"/>
          <w:spacing w:val="-4"/>
          <w:sz w:val="12"/>
        </w:rPr>
        <w:t xml:space="preserve">bérce. </w:t>
      </w:r>
      <w:r>
        <w:rPr>
          <w:color w:val="231F20"/>
          <w:sz w:val="12"/>
        </w:rPr>
        <w:t>Při hodnocení osové úchylky nelze současně započítávat zkrácení končetiny.</w:t>
      </w:r>
    </w:p>
    <w:p w14:paraId="62C411F2" w14:textId="77777777" w:rsidR="00F65BCA" w:rsidRDefault="00216117">
      <w:pPr>
        <w:spacing w:before="32"/>
        <w:ind w:right="38"/>
        <w:jc w:val="right"/>
        <w:rPr>
          <w:sz w:val="12"/>
        </w:rPr>
      </w:pPr>
      <w:r>
        <w:br w:type="column"/>
      </w:r>
      <w:r>
        <w:rPr>
          <w:color w:val="231F20"/>
          <w:sz w:val="12"/>
        </w:rPr>
        <w:t>do 15</w:t>
      </w:r>
      <w:r>
        <w:rPr>
          <w:color w:val="231F20"/>
          <w:spacing w:val="-17"/>
          <w:sz w:val="12"/>
        </w:rPr>
        <w:t xml:space="preserve"> </w:t>
      </w:r>
      <w:r>
        <w:rPr>
          <w:color w:val="231F20"/>
          <w:sz w:val="12"/>
        </w:rPr>
        <w:t>%</w:t>
      </w:r>
    </w:p>
    <w:p w14:paraId="16F16F2C" w14:textId="77777777" w:rsidR="00F65BCA" w:rsidRDefault="00216117">
      <w:pPr>
        <w:spacing w:before="103"/>
        <w:ind w:right="38"/>
        <w:jc w:val="right"/>
        <w:rPr>
          <w:sz w:val="12"/>
        </w:rPr>
      </w:pPr>
      <w:r>
        <w:rPr>
          <w:color w:val="231F20"/>
          <w:sz w:val="12"/>
        </w:rPr>
        <w:t>do 25</w:t>
      </w:r>
      <w:r>
        <w:rPr>
          <w:color w:val="231F20"/>
          <w:spacing w:val="-17"/>
          <w:sz w:val="12"/>
        </w:rPr>
        <w:t xml:space="preserve"> </w:t>
      </w:r>
      <w:r>
        <w:rPr>
          <w:color w:val="231F20"/>
          <w:sz w:val="12"/>
        </w:rPr>
        <w:t>%</w:t>
      </w:r>
    </w:p>
    <w:p w14:paraId="4742A0EF" w14:textId="77777777" w:rsidR="00F65BCA" w:rsidRDefault="00F65BCA">
      <w:pPr>
        <w:pStyle w:val="Zkladntext"/>
        <w:rPr>
          <w:sz w:val="14"/>
        </w:rPr>
      </w:pPr>
    </w:p>
    <w:p w14:paraId="6224C245" w14:textId="77777777" w:rsidR="00F65BCA" w:rsidRDefault="00216117">
      <w:pPr>
        <w:spacing w:before="112"/>
        <w:ind w:right="38"/>
        <w:jc w:val="right"/>
        <w:rPr>
          <w:sz w:val="12"/>
        </w:rPr>
      </w:pPr>
      <w:r>
        <w:rPr>
          <w:color w:val="231F20"/>
          <w:sz w:val="12"/>
        </w:rPr>
        <w:t>2,5</w:t>
      </w:r>
      <w:r>
        <w:rPr>
          <w:color w:val="231F20"/>
          <w:spacing w:val="-20"/>
          <w:sz w:val="12"/>
        </w:rPr>
        <w:t xml:space="preserve"> </w:t>
      </w:r>
      <w:r>
        <w:rPr>
          <w:color w:val="231F20"/>
          <w:sz w:val="12"/>
        </w:rPr>
        <w:t>%</w:t>
      </w:r>
    </w:p>
    <w:p w14:paraId="373DBBEA" w14:textId="77777777" w:rsidR="00F65BCA" w:rsidRDefault="00216117">
      <w:pPr>
        <w:spacing w:before="32"/>
        <w:ind w:right="38"/>
        <w:jc w:val="right"/>
        <w:rPr>
          <w:sz w:val="12"/>
        </w:rPr>
      </w:pPr>
      <w:r>
        <w:rPr>
          <w:color w:val="231F20"/>
          <w:sz w:val="12"/>
        </w:rPr>
        <w:t>5</w:t>
      </w:r>
      <w:r>
        <w:rPr>
          <w:color w:val="231F20"/>
          <w:spacing w:val="-20"/>
          <w:sz w:val="12"/>
        </w:rPr>
        <w:t xml:space="preserve"> </w:t>
      </w:r>
      <w:r>
        <w:rPr>
          <w:color w:val="231F20"/>
          <w:sz w:val="12"/>
        </w:rPr>
        <w:t>%</w:t>
      </w:r>
    </w:p>
    <w:p w14:paraId="565EDA98" w14:textId="77777777" w:rsidR="00F65BCA" w:rsidRDefault="00216117">
      <w:pPr>
        <w:spacing w:before="32"/>
        <w:ind w:right="38"/>
        <w:jc w:val="right"/>
        <w:rPr>
          <w:sz w:val="12"/>
        </w:rPr>
      </w:pPr>
      <w:r>
        <w:rPr>
          <w:color w:val="231F20"/>
          <w:sz w:val="12"/>
        </w:rPr>
        <w:t>5</w:t>
      </w:r>
      <w:r>
        <w:rPr>
          <w:color w:val="231F20"/>
          <w:spacing w:val="-20"/>
          <w:sz w:val="12"/>
        </w:rPr>
        <w:t xml:space="preserve"> </w:t>
      </w:r>
      <w:r>
        <w:rPr>
          <w:color w:val="231F20"/>
          <w:sz w:val="12"/>
        </w:rPr>
        <w:t>%</w:t>
      </w:r>
    </w:p>
    <w:p w14:paraId="0FF4EA37" w14:textId="77777777" w:rsidR="00F65BCA" w:rsidRDefault="00216117">
      <w:pPr>
        <w:spacing w:before="32"/>
        <w:ind w:right="38"/>
        <w:jc w:val="right"/>
        <w:rPr>
          <w:sz w:val="12"/>
        </w:rPr>
      </w:pPr>
      <w:r>
        <w:rPr>
          <w:color w:val="231F20"/>
          <w:sz w:val="12"/>
        </w:rPr>
        <w:t>10</w:t>
      </w:r>
      <w:r>
        <w:rPr>
          <w:color w:val="231F20"/>
          <w:spacing w:val="-20"/>
          <w:sz w:val="12"/>
        </w:rPr>
        <w:t xml:space="preserve"> </w:t>
      </w:r>
      <w:r>
        <w:rPr>
          <w:color w:val="231F20"/>
          <w:sz w:val="12"/>
        </w:rPr>
        <w:t>%</w:t>
      </w:r>
    </w:p>
    <w:p w14:paraId="41C9F029" w14:textId="77777777" w:rsidR="00F65BCA" w:rsidRDefault="00216117">
      <w:pPr>
        <w:spacing w:before="103"/>
        <w:ind w:right="38"/>
        <w:jc w:val="right"/>
        <w:rPr>
          <w:sz w:val="12"/>
        </w:rPr>
      </w:pPr>
      <w:r>
        <w:rPr>
          <w:color w:val="231F20"/>
          <w:sz w:val="12"/>
        </w:rPr>
        <w:t>10</w:t>
      </w:r>
      <w:r>
        <w:rPr>
          <w:color w:val="231F20"/>
          <w:spacing w:val="-20"/>
          <w:sz w:val="12"/>
        </w:rPr>
        <w:t xml:space="preserve"> </w:t>
      </w:r>
      <w:r>
        <w:rPr>
          <w:color w:val="231F20"/>
          <w:sz w:val="12"/>
        </w:rPr>
        <w:t>%</w:t>
      </w:r>
    </w:p>
    <w:p w14:paraId="7B0F26DD" w14:textId="77777777" w:rsidR="00F65BCA" w:rsidRDefault="00F65BCA">
      <w:pPr>
        <w:pStyle w:val="Zkladntext"/>
        <w:rPr>
          <w:sz w:val="14"/>
        </w:rPr>
      </w:pPr>
    </w:p>
    <w:p w14:paraId="0F52E18D" w14:textId="77777777" w:rsidR="00F65BCA" w:rsidRDefault="00F65BCA">
      <w:pPr>
        <w:pStyle w:val="Zkladntext"/>
        <w:rPr>
          <w:sz w:val="14"/>
        </w:rPr>
      </w:pPr>
    </w:p>
    <w:p w14:paraId="79A39C09" w14:textId="77777777" w:rsidR="00F65BCA" w:rsidRDefault="00F65BCA">
      <w:pPr>
        <w:pStyle w:val="Zkladntext"/>
        <w:spacing w:before="9"/>
        <w:rPr>
          <w:sz w:val="11"/>
        </w:rPr>
      </w:pPr>
    </w:p>
    <w:p w14:paraId="14A5FFDB" w14:textId="77777777" w:rsidR="00F65BCA" w:rsidRDefault="00216117">
      <w:pPr>
        <w:ind w:left="371"/>
        <w:rPr>
          <w:sz w:val="12"/>
        </w:rPr>
      </w:pPr>
      <w:r>
        <w:rPr>
          <w:color w:val="231F20"/>
          <w:sz w:val="12"/>
        </w:rPr>
        <w:t>53</w:t>
      </w:r>
      <w:r>
        <w:rPr>
          <w:color w:val="231F20"/>
          <w:spacing w:val="-20"/>
          <w:sz w:val="12"/>
        </w:rPr>
        <w:t xml:space="preserve"> </w:t>
      </w:r>
      <w:r>
        <w:rPr>
          <w:color w:val="231F20"/>
          <w:sz w:val="12"/>
        </w:rPr>
        <w:t>%</w:t>
      </w:r>
    </w:p>
    <w:p w14:paraId="3F552E54" w14:textId="77777777" w:rsidR="00F65BCA" w:rsidRDefault="00216117">
      <w:pPr>
        <w:spacing w:before="38"/>
        <w:ind w:left="371"/>
        <w:rPr>
          <w:sz w:val="12"/>
        </w:rPr>
      </w:pPr>
      <w:r>
        <w:rPr>
          <w:color w:val="231F20"/>
          <w:sz w:val="12"/>
        </w:rPr>
        <w:t>58</w:t>
      </w:r>
      <w:r>
        <w:rPr>
          <w:color w:val="231F20"/>
          <w:spacing w:val="-20"/>
          <w:sz w:val="12"/>
        </w:rPr>
        <w:t xml:space="preserve"> </w:t>
      </w:r>
      <w:r>
        <w:rPr>
          <w:color w:val="231F20"/>
          <w:sz w:val="12"/>
        </w:rPr>
        <w:t>%</w:t>
      </w:r>
    </w:p>
    <w:p w14:paraId="41DF2814" w14:textId="77777777" w:rsidR="00F65BCA" w:rsidRDefault="00F65BCA">
      <w:pPr>
        <w:pStyle w:val="Zkladntext"/>
        <w:rPr>
          <w:sz w:val="14"/>
        </w:rPr>
      </w:pPr>
    </w:p>
    <w:p w14:paraId="29115FC2" w14:textId="77777777" w:rsidR="00F65BCA" w:rsidRDefault="00F65BCA">
      <w:pPr>
        <w:pStyle w:val="Zkladntext"/>
        <w:spacing w:before="7"/>
      </w:pPr>
    </w:p>
    <w:p w14:paraId="1A935CD0" w14:textId="77777777" w:rsidR="00F65BCA" w:rsidRDefault="00216117">
      <w:pPr>
        <w:spacing w:before="1"/>
        <w:ind w:right="38"/>
        <w:jc w:val="right"/>
        <w:rPr>
          <w:sz w:val="12"/>
        </w:rPr>
      </w:pPr>
      <w:r>
        <w:rPr>
          <w:color w:val="231F20"/>
          <w:sz w:val="12"/>
        </w:rPr>
        <w:t>do 40</w:t>
      </w:r>
      <w:r>
        <w:rPr>
          <w:color w:val="231F20"/>
          <w:spacing w:val="2"/>
          <w:sz w:val="12"/>
        </w:rPr>
        <w:t xml:space="preserve"> </w:t>
      </w:r>
      <w:r>
        <w:rPr>
          <w:color w:val="231F20"/>
          <w:sz w:val="12"/>
        </w:rPr>
        <w:t>%</w:t>
      </w:r>
    </w:p>
    <w:p w14:paraId="225C480B" w14:textId="77777777" w:rsidR="00F65BCA" w:rsidRDefault="00216117">
      <w:pPr>
        <w:pStyle w:val="Odstavecseseznamem"/>
        <w:numPr>
          <w:ilvl w:val="0"/>
          <w:numId w:val="24"/>
        </w:numPr>
        <w:tabs>
          <w:tab w:val="left" w:pos="456"/>
        </w:tabs>
        <w:spacing w:before="13"/>
        <w:ind w:hanging="273"/>
        <w:rPr>
          <w:sz w:val="12"/>
        </w:rPr>
      </w:pPr>
      <w:r>
        <w:rPr>
          <w:color w:val="231F20"/>
          <w:w w:val="94"/>
          <w:sz w:val="12"/>
        </w:rPr>
        <w:br w:type="column"/>
      </w:r>
      <w:r>
        <w:rPr>
          <w:color w:val="231F20"/>
          <w:sz w:val="12"/>
        </w:rPr>
        <w:t>na</w:t>
      </w:r>
      <w:r>
        <w:rPr>
          <w:color w:val="231F20"/>
          <w:spacing w:val="-8"/>
          <w:sz w:val="12"/>
        </w:rPr>
        <w:t xml:space="preserve"> </w:t>
      </w:r>
      <w:r>
        <w:rPr>
          <w:color w:val="231F20"/>
          <w:sz w:val="12"/>
        </w:rPr>
        <w:t>podkladě</w:t>
      </w:r>
      <w:r>
        <w:rPr>
          <w:color w:val="231F20"/>
          <w:spacing w:val="-7"/>
          <w:sz w:val="12"/>
        </w:rPr>
        <w:t xml:space="preserve"> </w:t>
      </w:r>
      <w:r>
        <w:rPr>
          <w:color w:val="231F20"/>
          <w:sz w:val="12"/>
        </w:rPr>
        <w:t>nedostatečnosti</w:t>
      </w:r>
      <w:r>
        <w:rPr>
          <w:color w:val="231F20"/>
          <w:spacing w:val="-7"/>
          <w:sz w:val="12"/>
        </w:rPr>
        <w:t xml:space="preserve"> </w:t>
      </w:r>
      <w:r>
        <w:rPr>
          <w:color w:val="231F20"/>
          <w:sz w:val="12"/>
        </w:rPr>
        <w:t>předního</w:t>
      </w:r>
      <w:r>
        <w:rPr>
          <w:color w:val="231F20"/>
          <w:spacing w:val="-7"/>
          <w:sz w:val="12"/>
        </w:rPr>
        <w:t xml:space="preserve"> </w:t>
      </w:r>
      <w:r>
        <w:rPr>
          <w:color w:val="231F20"/>
          <w:sz w:val="12"/>
        </w:rPr>
        <w:t>vazu</w:t>
      </w:r>
    </w:p>
    <w:p w14:paraId="4944957A" w14:textId="77777777" w:rsidR="00F65BCA" w:rsidRDefault="00216117">
      <w:pPr>
        <w:pStyle w:val="Odstavecseseznamem"/>
        <w:numPr>
          <w:ilvl w:val="0"/>
          <w:numId w:val="24"/>
        </w:numPr>
        <w:tabs>
          <w:tab w:val="left" w:pos="456"/>
        </w:tabs>
        <w:spacing w:before="38"/>
        <w:ind w:hanging="273"/>
        <w:rPr>
          <w:sz w:val="12"/>
        </w:rPr>
      </w:pPr>
      <w:r>
        <w:rPr>
          <w:color w:val="231F20"/>
          <w:sz w:val="12"/>
        </w:rPr>
        <w:t>na podkladě nedostatečnosti zadního</w:t>
      </w:r>
      <w:r>
        <w:rPr>
          <w:color w:val="231F20"/>
          <w:spacing w:val="-26"/>
          <w:sz w:val="12"/>
        </w:rPr>
        <w:t xml:space="preserve"> </w:t>
      </w:r>
      <w:r>
        <w:rPr>
          <w:color w:val="231F20"/>
          <w:sz w:val="12"/>
        </w:rPr>
        <w:t>vazu</w:t>
      </w:r>
    </w:p>
    <w:p w14:paraId="67274E19" w14:textId="77777777" w:rsidR="00F65BCA" w:rsidRDefault="00216117">
      <w:pPr>
        <w:spacing w:before="38"/>
        <w:ind w:left="455"/>
        <w:rPr>
          <w:sz w:val="12"/>
        </w:rPr>
      </w:pPr>
      <w:r>
        <w:rPr>
          <w:b/>
          <w:color w:val="231F20"/>
          <w:sz w:val="12"/>
        </w:rPr>
        <w:t xml:space="preserve">Pronace a supinace </w:t>
      </w:r>
      <w:r>
        <w:rPr>
          <w:color w:val="231F20"/>
          <w:sz w:val="12"/>
        </w:rPr>
        <w:t>nohy</w:t>
      </w:r>
    </w:p>
    <w:p w14:paraId="69EBFAAF" w14:textId="77777777" w:rsidR="00F65BCA" w:rsidRDefault="00216117">
      <w:pPr>
        <w:pStyle w:val="Odstavecseseznamem"/>
        <w:numPr>
          <w:ilvl w:val="0"/>
          <w:numId w:val="24"/>
        </w:numPr>
        <w:tabs>
          <w:tab w:val="left" w:pos="456"/>
        </w:tabs>
        <w:spacing w:before="37"/>
        <w:ind w:hanging="273"/>
        <w:rPr>
          <w:sz w:val="12"/>
        </w:rPr>
      </w:pPr>
      <w:r>
        <w:rPr>
          <w:color w:val="231F20"/>
          <w:sz w:val="12"/>
        </w:rPr>
        <w:t>úplná</w:t>
      </w:r>
      <w:r>
        <w:rPr>
          <w:color w:val="231F20"/>
          <w:spacing w:val="-1"/>
          <w:sz w:val="12"/>
        </w:rPr>
        <w:t xml:space="preserve"> </w:t>
      </w:r>
      <w:r>
        <w:rPr>
          <w:color w:val="231F20"/>
          <w:sz w:val="12"/>
        </w:rPr>
        <w:t>ztráta</w:t>
      </w:r>
    </w:p>
    <w:p w14:paraId="1CFCF11B" w14:textId="77777777" w:rsidR="00F65BCA" w:rsidRDefault="00216117">
      <w:pPr>
        <w:pStyle w:val="Odstavecseseznamem"/>
        <w:numPr>
          <w:ilvl w:val="0"/>
          <w:numId w:val="24"/>
        </w:numPr>
        <w:tabs>
          <w:tab w:val="left" w:pos="456"/>
        </w:tabs>
        <w:spacing w:before="38"/>
        <w:ind w:hanging="273"/>
        <w:rPr>
          <w:sz w:val="12"/>
        </w:rPr>
      </w:pPr>
      <w:r>
        <w:rPr>
          <w:color w:val="231F20"/>
          <w:sz w:val="12"/>
        </w:rPr>
        <w:t>omezení dle</w:t>
      </w:r>
      <w:r>
        <w:rPr>
          <w:color w:val="231F20"/>
          <w:spacing w:val="-3"/>
          <w:sz w:val="12"/>
        </w:rPr>
        <w:t xml:space="preserve"> </w:t>
      </w:r>
      <w:r>
        <w:rPr>
          <w:color w:val="231F20"/>
          <w:sz w:val="12"/>
        </w:rPr>
        <w:t>rozsahu</w:t>
      </w:r>
    </w:p>
    <w:p w14:paraId="2EBA5102" w14:textId="77777777" w:rsidR="00F65BCA" w:rsidRDefault="00216117">
      <w:pPr>
        <w:pStyle w:val="Odstavecseseznamem"/>
        <w:numPr>
          <w:ilvl w:val="0"/>
          <w:numId w:val="24"/>
        </w:numPr>
        <w:tabs>
          <w:tab w:val="left" w:pos="456"/>
        </w:tabs>
        <w:spacing w:before="37" w:line="223" w:lineRule="auto"/>
        <w:ind w:right="229"/>
        <w:rPr>
          <w:sz w:val="12"/>
        </w:rPr>
      </w:pPr>
      <w:r>
        <w:rPr>
          <w:color w:val="231F20"/>
          <w:position w:val="2"/>
          <w:sz w:val="12"/>
        </w:rPr>
        <w:t>Deformity</w:t>
      </w:r>
      <w:r>
        <w:rPr>
          <w:color w:val="231F20"/>
          <w:spacing w:val="-11"/>
          <w:position w:val="2"/>
          <w:sz w:val="12"/>
        </w:rPr>
        <w:t xml:space="preserve"> </w:t>
      </w:r>
      <w:r>
        <w:rPr>
          <w:color w:val="231F20"/>
          <w:position w:val="2"/>
          <w:sz w:val="12"/>
        </w:rPr>
        <w:t>v</w:t>
      </w:r>
      <w:r>
        <w:rPr>
          <w:color w:val="231F20"/>
          <w:spacing w:val="-11"/>
          <w:position w:val="2"/>
          <w:sz w:val="12"/>
        </w:rPr>
        <w:t xml:space="preserve"> </w:t>
      </w:r>
      <w:r>
        <w:rPr>
          <w:color w:val="231F20"/>
          <w:position w:val="2"/>
          <w:sz w:val="12"/>
        </w:rPr>
        <w:t>oblasti</w:t>
      </w:r>
      <w:r>
        <w:rPr>
          <w:color w:val="231F20"/>
          <w:spacing w:val="-10"/>
          <w:position w:val="2"/>
          <w:sz w:val="12"/>
        </w:rPr>
        <w:t xml:space="preserve"> </w:t>
      </w:r>
      <w:r>
        <w:rPr>
          <w:color w:val="231F20"/>
          <w:position w:val="2"/>
          <w:sz w:val="12"/>
        </w:rPr>
        <w:t>hlezna</w:t>
      </w:r>
      <w:r>
        <w:rPr>
          <w:color w:val="231F20"/>
          <w:spacing w:val="-11"/>
          <w:position w:val="2"/>
          <w:sz w:val="12"/>
        </w:rPr>
        <w:t xml:space="preserve"> </w:t>
      </w:r>
      <w:r>
        <w:rPr>
          <w:color w:val="231F20"/>
          <w:position w:val="2"/>
          <w:sz w:val="12"/>
        </w:rPr>
        <w:t>a</w:t>
      </w:r>
      <w:r>
        <w:rPr>
          <w:color w:val="231F20"/>
          <w:spacing w:val="-11"/>
          <w:position w:val="2"/>
          <w:sz w:val="12"/>
        </w:rPr>
        <w:t xml:space="preserve"> </w:t>
      </w:r>
      <w:r>
        <w:rPr>
          <w:color w:val="231F20"/>
          <w:position w:val="2"/>
          <w:sz w:val="12"/>
        </w:rPr>
        <w:t>nohy</w:t>
      </w:r>
      <w:r>
        <w:rPr>
          <w:color w:val="231F20"/>
          <w:spacing w:val="-10"/>
          <w:position w:val="2"/>
          <w:sz w:val="12"/>
        </w:rPr>
        <w:t xml:space="preserve"> </w:t>
      </w:r>
      <w:r>
        <w:rPr>
          <w:color w:val="231F20"/>
          <w:position w:val="2"/>
          <w:sz w:val="12"/>
        </w:rPr>
        <w:t>–</w:t>
      </w:r>
      <w:r>
        <w:rPr>
          <w:color w:val="231F20"/>
          <w:spacing w:val="-11"/>
          <w:position w:val="2"/>
          <w:sz w:val="12"/>
        </w:rPr>
        <w:t xml:space="preserve"> </w:t>
      </w:r>
      <w:r>
        <w:rPr>
          <w:color w:val="231F20"/>
          <w:spacing w:val="-3"/>
          <w:position w:val="2"/>
          <w:sz w:val="12"/>
        </w:rPr>
        <w:t>plochá,</w:t>
      </w:r>
      <w:r>
        <w:rPr>
          <w:color w:val="231F20"/>
          <w:spacing w:val="-3"/>
          <w:sz w:val="12"/>
        </w:rPr>
        <w:t xml:space="preserve"> </w:t>
      </w:r>
      <w:r>
        <w:rPr>
          <w:color w:val="231F20"/>
          <w:sz w:val="12"/>
        </w:rPr>
        <w:t>vbočená, vybočená</w:t>
      </w:r>
      <w:r>
        <w:rPr>
          <w:color w:val="231F20"/>
          <w:spacing w:val="-2"/>
          <w:sz w:val="12"/>
        </w:rPr>
        <w:t xml:space="preserve"> </w:t>
      </w:r>
      <w:r>
        <w:rPr>
          <w:color w:val="231F20"/>
          <w:sz w:val="12"/>
        </w:rPr>
        <w:t>apod.</w:t>
      </w:r>
    </w:p>
    <w:p w14:paraId="3CC2760B" w14:textId="77777777" w:rsidR="00F65BCA" w:rsidRDefault="00216117">
      <w:pPr>
        <w:spacing w:before="36"/>
        <w:ind w:left="1552"/>
        <w:rPr>
          <w:b/>
          <w:sz w:val="12"/>
        </w:rPr>
      </w:pPr>
      <w:r>
        <w:rPr>
          <w:b/>
          <w:color w:val="231F20"/>
          <w:sz w:val="12"/>
        </w:rPr>
        <w:t>Noha</w:t>
      </w:r>
    </w:p>
    <w:p w14:paraId="0B37664E" w14:textId="77777777" w:rsidR="00F65BCA" w:rsidRDefault="00216117">
      <w:pPr>
        <w:spacing w:before="38"/>
        <w:ind w:left="455"/>
        <w:rPr>
          <w:b/>
          <w:sz w:val="12"/>
        </w:rPr>
      </w:pPr>
      <w:r>
        <w:rPr>
          <w:b/>
          <w:color w:val="231F20"/>
          <w:w w:val="105"/>
          <w:sz w:val="12"/>
        </w:rPr>
        <w:t>Ztráta</w:t>
      </w:r>
    </w:p>
    <w:p w14:paraId="675C7DCC" w14:textId="77777777" w:rsidR="00F65BCA" w:rsidRDefault="00216117">
      <w:pPr>
        <w:pStyle w:val="Odstavecseseznamem"/>
        <w:numPr>
          <w:ilvl w:val="0"/>
          <w:numId w:val="24"/>
        </w:numPr>
        <w:tabs>
          <w:tab w:val="left" w:pos="456"/>
        </w:tabs>
        <w:spacing w:before="39" w:line="218" w:lineRule="auto"/>
        <w:ind w:right="38"/>
        <w:rPr>
          <w:sz w:val="12"/>
        </w:rPr>
      </w:pPr>
      <w:r>
        <w:rPr>
          <w:color w:val="231F20"/>
          <w:position w:val="2"/>
          <w:sz w:val="12"/>
        </w:rPr>
        <w:t>obou</w:t>
      </w:r>
      <w:r>
        <w:rPr>
          <w:color w:val="231F20"/>
          <w:spacing w:val="-10"/>
          <w:position w:val="2"/>
          <w:sz w:val="12"/>
        </w:rPr>
        <w:t xml:space="preserve"> </w:t>
      </w:r>
      <w:r>
        <w:rPr>
          <w:color w:val="231F20"/>
          <w:position w:val="2"/>
          <w:sz w:val="12"/>
        </w:rPr>
        <w:t>článků</w:t>
      </w:r>
      <w:r>
        <w:rPr>
          <w:color w:val="231F20"/>
          <w:spacing w:val="-9"/>
          <w:position w:val="2"/>
          <w:sz w:val="12"/>
        </w:rPr>
        <w:t xml:space="preserve"> </w:t>
      </w:r>
      <w:r>
        <w:rPr>
          <w:color w:val="231F20"/>
          <w:position w:val="2"/>
          <w:sz w:val="12"/>
        </w:rPr>
        <w:t>palce</w:t>
      </w:r>
      <w:r>
        <w:rPr>
          <w:color w:val="231F20"/>
          <w:spacing w:val="-10"/>
          <w:position w:val="2"/>
          <w:sz w:val="12"/>
        </w:rPr>
        <w:t xml:space="preserve"> </w:t>
      </w:r>
      <w:r>
        <w:rPr>
          <w:color w:val="231F20"/>
          <w:position w:val="2"/>
          <w:sz w:val="12"/>
        </w:rPr>
        <w:t>nohy</w:t>
      </w:r>
      <w:r>
        <w:rPr>
          <w:color w:val="231F20"/>
          <w:spacing w:val="-9"/>
          <w:position w:val="2"/>
          <w:sz w:val="12"/>
        </w:rPr>
        <w:t xml:space="preserve"> </w:t>
      </w:r>
      <w:r>
        <w:rPr>
          <w:color w:val="231F20"/>
          <w:position w:val="2"/>
          <w:sz w:val="12"/>
        </w:rPr>
        <w:t>se</w:t>
      </w:r>
      <w:r>
        <w:rPr>
          <w:color w:val="231F20"/>
          <w:spacing w:val="-9"/>
          <w:position w:val="2"/>
          <w:sz w:val="12"/>
        </w:rPr>
        <w:t xml:space="preserve"> </w:t>
      </w:r>
      <w:r>
        <w:rPr>
          <w:color w:val="231F20"/>
          <w:position w:val="2"/>
          <w:sz w:val="12"/>
        </w:rPr>
        <w:t>záprstní</w:t>
      </w:r>
      <w:r>
        <w:rPr>
          <w:color w:val="231F20"/>
          <w:spacing w:val="-10"/>
          <w:position w:val="2"/>
          <w:sz w:val="12"/>
        </w:rPr>
        <w:t xml:space="preserve"> </w:t>
      </w:r>
      <w:r>
        <w:rPr>
          <w:color w:val="231F20"/>
          <w:position w:val="2"/>
          <w:sz w:val="12"/>
        </w:rPr>
        <w:t>kostí</w:t>
      </w:r>
      <w:r>
        <w:rPr>
          <w:color w:val="231F20"/>
          <w:spacing w:val="-9"/>
          <w:position w:val="2"/>
          <w:sz w:val="12"/>
        </w:rPr>
        <w:t xml:space="preserve"> </w:t>
      </w:r>
      <w:r>
        <w:rPr>
          <w:color w:val="231F20"/>
          <w:spacing w:val="-5"/>
          <w:position w:val="2"/>
          <w:sz w:val="12"/>
        </w:rPr>
        <w:t>nebo</w:t>
      </w:r>
      <w:r>
        <w:rPr>
          <w:color w:val="231F20"/>
          <w:spacing w:val="-5"/>
          <w:sz w:val="12"/>
        </w:rPr>
        <w:t xml:space="preserve"> </w:t>
      </w:r>
      <w:r>
        <w:rPr>
          <w:color w:val="231F20"/>
          <w:sz w:val="12"/>
        </w:rPr>
        <w:t>s její</w:t>
      </w:r>
      <w:r>
        <w:rPr>
          <w:color w:val="231F20"/>
          <w:spacing w:val="-2"/>
          <w:sz w:val="12"/>
        </w:rPr>
        <w:t xml:space="preserve"> </w:t>
      </w:r>
      <w:r>
        <w:rPr>
          <w:color w:val="231F20"/>
          <w:sz w:val="12"/>
        </w:rPr>
        <w:t>částí</w:t>
      </w:r>
    </w:p>
    <w:p w14:paraId="6252F58A" w14:textId="77777777" w:rsidR="00F65BCA" w:rsidRDefault="00216117">
      <w:pPr>
        <w:pStyle w:val="Odstavecseseznamem"/>
        <w:numPr>
          <w:ilvl w:val="0"/>
          <w:numId w:val="24"/>
        </w:numPr>
        <w:tabs>
          <w:tab w:val="left" w:pos="456"/>
        </w:tabs>
        <w:spacing w:before="34"/>
        <w:ind w:hanging="273"/>
        <w:rPr>
          <w:sz w:val="12"/>
        </w:rPr>
      </w:pPr>
      <w:r>
        <w:rPr>
          <w:color w:val="231F20"/>
          <w:sz w:val="12"/>
        </w:rPr>
        <w:t>obou článků palce</w:t>
      </w:r>
      <w:r>
        <w:rPr>
          <w:color w:val="231F20"/>
          <w:spacing w:val="-3"/>
          <w:sz w:val="12"/>
        </w:rPr>
        <w:t xml:space="preserve"> </w:t>
      </w:r>
      <w:r>
        <w:rPr>
          <w:color w:val="231F20"/>
          <w:sz w:val="12"/>
        </w:rPr>
        <w:t>nohy</w:t>
      </w:r>
    </w:p>
    <w:p w14:paraId="23A2A7B2" w14:textId="77777777" w:rsidR="00F65BCA" w:rsidRDefault="00216117">
      <w:pPr>
        <w:pStyle w:val="Odstavecseseznamem"/>
        <w:numPr>
          <w:ilvl w:val="0"/>
          <w:numId w:val="24"/>
        </w:numPr>
        <w:tabs>
          <w:tab w:val="left" w:pos="456"/>
        </w:tabs>
        <w:spacing w:before="37"/>
        <w:ind w:hanging="273"/>
        <w:rPr>
          <w:sz w:val="12"/>
        </w:rPr>
      </w:pPr>
      <w:r>
        <w:rPr>
          <w:color w:val="231F20"/>
          <w:sz w:val="12"/>
        </w:rPr>
        <w:t>koncového článku palce</w:t>
      </w:r>
      <w:r>
        <w:rPr>
          <w:color w:val="231F20"/>
          <w:spacing w:val="-5"/>
          <w:sz w:val="12"/>
        </w:rPr>
        <w:t xml:space="preserve"> </w:t>
      </w:r>
      <w:r>
        <w:rPr>
          <w:color w:val="231F20"/>
          <w:sz w:val="12"/>
        </w:rPr>
        <w:t>nohy</w:t>
      </w:r>
    </w:p>
    <w:p w14:paraId="3208151B" w14:textId="77777777" w:rsidR="00F65BCA" w:rsidRDefault="00216117">
      <w:pPr>
        <w:pStyle w:val="Odstavecseseznamem"/>
        <w:numPr>
          <w:ilvl w:val="0"/>
          <w:numId w:val="24"/>
        </w:numPr>
        <w:tabs>
          <w:tab w:val="left" w:pos="456"/>
        </w:tabs>
        <w:spacing w:before="38"/>
        <w:ind w:hanging="273"/>
        <w:rPr>
          <w:sz w:val="12"/>
        </w:rPr>
      </w:pPr>
      <w:r>
        <w:rPr>
          <w:color w:val="231F20"/>
          <w:sz w:val="12"/>
        </w:rPr>
        <w:t>jiného prstu nohy za každý</w:t>
      </w:r>
      <w:r>
        <w:rPr>
          <w:color w:val="231F20"/>
          <w:spacing w:val="-9"/>
          <w:sz w:val="12"/>
        </w:rPr>
        <w:t xml:space="preserve"> </w:t>
      </w:r>
      <w:r>
        <w:rPr>
          <w:color w:val="231F20"/>
          <w:sz w:val="12"/>
        </w:rPr>
        <w:t>prst</w:t>
      </w:r>
    </w:p>
    <w:p w14:paraId="7B1E848C" w14:textId="77777777" w:rsidR="00F65BCA" w:rsidRDefault="00216117">
      <w:pPr>
        <w:pStyle w:val="Odstavecseseznamem"/>
        <w:numPr>
          <w:ilvl w:val="0"/>
          <w:numId w:val="24"/>
        </w:numPr>
        <w:tabs>
          <w:tab w:val="left" w:pos="456"/>
        </w:tabs>
        <w:spacing w:before="38"/>
        <w:ind w:hanging="273"/>
        <w:rPr>
          <w:sz w:val="12"/>
        </w:rPr>
      </w:pPr>
      <w:r>
        <w:rPr>
          <w:color w:val="231F20"/>
          <w:sz w:val="12"/>
        </w:rPr>
        <w:t>malíku</w:t>
      </w:r>
      <w:r>
        <w:rPr>
          <w:color w:val="231F20"/>
          <w:spacing w:val="-10"/>
          <w:sz w:val="12"/>
        </w:rPr>
        <w:t xml:space="preserve"> </w:t>
      </w:r>
      <w:r>
        <w:rPr>
          <w:color w:val="231F20"/>
          <w:sz w:val="12"/>
        </w:rPr>
        <w:t>nohy</w:t>
      </w:r>
      <w:r>
        <w:rPr>
          <w:color w:val="231F20"/>
          <w:spacing w:val="-10"/>
          <w:sz w:val="12"/>
        </w:rPr>
        <w:t xml:space="preserve"> </w:t>
      </w:r>
      <w:r>
        <w:rPr>
          <w:color w:val="231F20"/>
          <w:sz w:val="12"/>
        </w:rPr>
        <w:t>se</w:t>
      </w:r>
      <w:r>
        <w:rPr>
          <w:color w:val="231F20"/>
          <w:spacing w:val="-10"/>
          <w:sz w:val="12"/>
        </w:rPr>
        <w:t xml:space="preserve"> </w:t>
      </w:r>
      <w:r>
        <w:rPr>
          <w:color w:val="231F20"/>
          <w:sz w:val="12"/>
        </w:rPr>
        <w:t>záprstní</w:t>
      </w:r>
      <w:r>
        <w:rPr>
          <w:color w:val="231F20"/>
          <w:spacing w:val="-10"/>
          <w:sz w:val="12"/>
        </w:rPr>
        <w:t xml:space="preserve"> </w:t>
      </w:r>
      <w:r>
        <w:rPr>
          <w:color w:val="231F20"/>
          <w:sz w:val="12"/>
        </w:rPr>
        <w:t>kostí</w:t>
      </w:r>
      <w:r>
        <w:rPr>
          <w:color w:val="231F20"/>
          <w:spacing w:val="-9"/>
          <w:sz w:val="12"/>
        </w:rPr>
        <w:t xml:space="preserve"> </w:t>
      </w:r>
      <w:r>
        <w:rPr>
          <w:color w:val="231F20"/>
          <w:sz w:val="12"/>
        </w:rPr>
        <w:t>nebo</w:t>
      </w:r>
      <w:r>
        <w:rPr>
          <w:color w:val="231F20"/>
          <w:spacing w:val="-10"/>
          <w:sz w:val="12"/>
        </w:rPr>
        <w:t xml:space="preserve"> </w:t>
      </w:r>
      <w:r>
        <w:rPr>
          <w:color w:val="231F20"/>
          <w:sz w:val="12"/>
        </w:rPr>
        <w:t>s</w:t>
      </w:r>
      <w:r>
        <w:rPr>
          <w:color w:val="231F20"/>
          <w:spacing w:val="-10"/>
          <w:sz w:val="12"/>
        </w:rPr>
        <w:t xml:space="preserve"> </w:t>
      </w:r>
      <w:r>
        <w:rPr>
          <w:color w:val="231F20"/>
          <w:sz w:val="12"/>
        </w:rPr>
        <w:t>její</w:t>
      </w:r>
      <w:r>
        <w:rPr>
          <w:color w:val="231F20"/>
          <w:spacing w:val="-10"/>
          <w:sz w:val="12"/>
        </w:rPr>
        <w:t xml:space="preserve"> </w:t>
      </w:r>
      <w:r>
        <w:rPr>
          <w:color w:val="231F20"/>
          <w:sz w:val="12"/>
        </w:rPr>
        <w:t>částí</w:t>
      </w:r>
    </w:p>
    <w:p w14:paraId="5CCFE399" w14:textId="77777777" w:rsidR="00F65BCA" w:rsidRDefault="00216117">
      <w:pPr>
        <w:pStyle w:val="Odstavecseseznamem"/>
        <w:numPr>
          <w:ilvl w:val="0"/>
          <w:numId w:val="24"/>
        </w:numPr>
        <w:tabs>
          <w:tab w:val="left" w:pos="456"/>
        </w:tabs>
        <w:spacing w:before="38"/>
        <w:ind w:hanging="273"/>
        <w:rPr>
          <w:sz w:val="12"/>
        </w:rPr>
      </w:pPr>
      <w:r>
        <w:rPr>
          <w:color w:val="231F20"/>
          <w:sz w:val="12"/>
        </w:rPr>
        <w:t>všech prstů</w:t>
      </w:r>
      <w:r>
        <w:rPr>
          <w:color w:val="231F20"/>
          <w:spacing w:val="-1"/>
          <w:sz w:val="12"/>
        </w:rPr>
        <w:t xml:space="preserve"> </w:t>
      </w:r>
      <w:r>
        <w:rPr>
          <w:color w:val="231F20"/>
          <w:sz w:val="12"/>
        </w:rPr>
        <w:t>nohy</w:t>
      </w:r>
    </w:p>
    <w:p w14:paraId="2E5B3E6C" w14:textId="77777777" w:rsidR="00F65BCA" w:rsidRDefault="00216117">
      <w:pPr>
        <w:spacing w:before="40"/>
        <w:ind w:left="455"/>
        <w:rPr>
          <w:b/>
          <w:sz w:val="12"/>
        </w:rPr>
      </w:pPr>
      <w:r>
        <w:rPr>
          <w:b/>
          <w:color w:val="231F20"/>
          <w:sz w:val="12"/>
        </w:rPr>
        <w:t>Úplná ztuhlost</w:t>
      </w:r>
    </w:p>
    <w:p w14:paraId="7D7686E7" w14:textId="77777777" w:rsidR="00F65BCA" w:rsidRDefault="00216117">
      <w:pPr>
        <w:spacing w:before="42"/>
        <w:ind w:left="455"/>
        <w:rPr>
          <w:sz w:val="12"/>
        </w:rPr>
      </w:pPr>
      <w:r>
        <w:rPr>
          <w:color w:val="231F20"/>
          <w:sz w:val="12"/>
        </w:rPr>
        <w:t>mezičlánkového kloubu palce nohy</w:t>
      </w:r>
    </w:p>
    <w:p w14:paraId="47224BAC" w14:textId="77777777" w:rsidR="00F65BCA" w:rsidRDefault="00216117">
      <w:pPr>
        <w:pStyle w:val="Odstavecseseznamem"/>
        <w:numPr>
          <w:ilvl w:val="0"/>
          <w:numId w:val="24"/>
        </w:numPr>
        <w:tabs>
          <w:tab w:val="left" w:pos="456"/>
        </w:tabs>
        <w:spacing w:before="42"/>
        <w:ind w:hanging="273"/>
        <w:rPr>
          <w:sz w:val="12"/>
        </w:rPr>
      </w:pPr>
      <w:r>
        <w:rPr>
          <w:color w:val="231F20"/>
          <w:sz w:val="12"/>
        </w:rPr>
        <w:t>v základním</w:t>
      </w:r>
      <w:r>
        <w:rPr>
          <w:color w:val="231F20"/>
          <w:spacing w:val="-3"/>
          <w:sz w:val="12"/>
        </w:rPr>
        <w:t xml:space="preserve"> </w:t>
      </w:r>
      <w:r>
        <w:rPr>
          <w:color w:val="231F20"/>
          <w:sz w:val="12"/>
        </w:rPr>
        <w:t>postavení</w:t>
      </w:r>
    </w:p>
    <w:p w14:paraId="09BDD3CA" w14:textId="77777777" w:rsidR="00F65BCA" w:rsidRDefault="00216117">
      <w:pPr>
        <w:pStyle w:val="Odstavecseseznamem"/>
        <w:numPr>
          <w:ilvl w:val="0"/>
          <w:numId w:val="24"/>
        </w:numPr>
        <w:tabs>
          <w:tab w:val="left" w:pos="456"/>
        </w:tabs>
        <w:spacing w:before="43"/>
        <w:ind w:hanging="273"/>
        <w:rPr>
          <w:sz w:val="12"/>
        </w:rPr>
      </w:pPr>
      <w:r>
        <w:rPr>
          <w:color w:val="231F20"/>
          <w:sz w:val="12"/>
        </w:rPr>
        <w:t>ve</w:t>
      </w:r>
      <w:r>
        <w:rPr>
          <w:color w:val="231F20"/>
          <w:spacing w:val="-1"/>
          <w:sz w:val="12"/>
        </w:rPr>
        <w:t xml:space="preserve"> </w:t>
      </w:r>
      <w:r>
        <w:rPr>
          <w:color w:val="231F20"/>
          <w:sz w:val="12"/>
        </w:rPr>
        <w:t>flexi</w:t>
      </w:r>
    </w:p>
    <w:p w14:paraId="527298BD" w14:textId="77777777" w:rsidR="00F65BCA" w:rsidRDefault="00216117">
      <w:pPr>
        <w:spacing w:before="42"/>
        <w:ind w:left="455"/>
        <w:rPr>
          <w:sz w:val="12"/>
        </w:rPr>
      </w:pPr>
      <w:r>
        <w:rPr>
          <w:color w:val="231F20"/>
          <w:sz w:val="12"/>
        </w:rPr>
        <w:t>základního kloubu palce nohy</w:t>
      </w:r>
    </w:p>
    <w:p w14:paraId="115A78E2" w14:textId="77777777" w:rsidR="00F65BCA" w:rsidRDefault="00216117">
      <w:pPr>
        <w:spacing w:before="13"/>
        <w:ind w:left="250"/>
        <w:rPr>
          <w:sz w:val="12"/>
        </w:rPr>
      </w:pPr>
      <w:r>
        <w:br w:type="column"/>
      </w:r>
      <w:r>
        <w:rPr>
          <w:color w:val="231F20"/>
          <w:sz w:val="12"/>
        </w:rPr>
        <w:t>do 5</w:t>
      </w:r>
      <w:r>
        <w:rPr>
          <w:color w:val="231F20"/>
          <w:spacing w:val="-17"/>
          <w:sz w:val="12"/>
        </w:rPr>
        <w:t xml:space="preserve"> </w:t>
      </w:r>
      <w:r>
        <w:rPr>
          <w:color w:val="231F20"/>
          <w:sz w:val="12"/>
        </w:rPr>
        <w:t>%</w:t>
      </w:r>
    </w:p>
    <w:p w14:paraId="56DC30FE" w14:textId="77777777" w:rsidR="00F65BCA" w:rsidRDefault="00216117">
      <w:pPr>
        <w:spacing w:before="38"/>
        <w:ind w:left="183"/>
        <w:rPr>
          <w:sz w:val="12"/>
        </w:rPr>
      </w:pPr>
      <w:r>
        <w:rPr>
          <w:color w:val="231F20"/>
          <w:sz w:val="12"/>
        </w:rPr>
        <w:t>do 10</w:t>
      </w:r>
      <w:r>
        <w:rPr>
          <w:color w:val="231F20"/>
          <w:spacing w:val="-17"/>
          <w:sz w:val="12"/>
        </w:rPr>
        <w:t xml:space="preserve"> </w:t>
      </w:r>
      <w:r>
        <w:rPr>
          <w:color w:val="231F20"/>
          <w:sz w:val="12"/>
        </w:rPr>
        <w:t>%</w:t>
      </w:r>
    </w:p>
    <w:p w14:paraId="585077A2" w14:textId="77777777" w:rsidR="00F65BCA" w:rsidRDefault="00F65BCA">
      <w:pPr>
        <w:pStyle w:val="Zkladntext"/>
        <w:spacing w:before="6"/>
        <w:rPr>
          <w:sz w:val="18"/>
        </w:rPr>
      </w:pPr>
    </w:p>
    <w:p w14:paraId="220A6941" w14:textId="77777777" w:rsidR="00F65BCA" w:rsidRDefault="00216117">
      <w:pPr>
        <w:ind w:right="38"/>
        <w:jc w:val="right"/>
        <w:rPr>
          <w:sz w:val="12"/>
        </w:rPr>
      </w:pPr>
      <w:r>
        <w:rPr>
          <w:color w:val="231F20"/>
          <w:sz w:val="12"/>
        </w:rPr>
        <w:t>15</w:t>
      </w:r>
      <w:r>
        <w:rPr>
          <w:color w:val="231F20"/>
          <w:spacing w:val="-20"/>
          <w:sz w:val="12"/>
        </w:rPr>
        <w:t xml:space="preserve"> </w:t>
      </w:r>
      <w:r>
        <w:rPr>
          <w:color w:val="231F20"/>
          <w:sz w:val="12"/>
        </w:rPr>
        <w:t>%</w:t>
      </w:r>
    </w:p>
    <w:p w14:paraId="0474AF92" w14:textId="77777777" w:rsidR="00F65BCA" w:rsidRDefault="00216117">
      <w:pPr>
        <w:spacing w:before="38"/>
        <w:ind w:right="38"/>
        <w:jc w:val="right"/>
        <w:rPr>
          <w:sz w:val="12"/>
        </w:rPr>
      </w:pPr>
      <w:r>
        <w:rPr>
          <w:color w:val="231F20"/>
          <w:sz w:val="12"/>
        </w:rPr>
        <w:t>do 5</w:t>
      </w:r>
      <w:r>
        <w:rPr>
          <w:color w:val="231F20"/>
          <w:spacing w:val="-17"/>
          <w:sz w:val="12"/>
        </w:rPr>
        <w:t xml:space="preserve"> </w:t>
      </w:r>
      <w:r>
        <w:rPr>
          <w:color w:val="231F20"/>
          <w:sz w:val="12"/>
        </w:rPr>
        <w:t>%</w:t>
      </w:r>
    </w:p>
    <w:p w14:paraId="0B80160F" w14:textId="77777777" w:rsidR="00F65BCA" w:rsidRDefault="00216117">
      <w:pPr>
        <w:spacing w:before="106"/>
        <w:ind w:right="38"/>
        <w:jc w:val="right"/>
        <w:rPr>
          <w:sz w:val="12"/>
        </w:rPr>
      </w:pPr>
      <w:r>
        <w:rPr>
          <w:color w:val="231F20"/>
          <w:sz w:val="12"/>
        </w:rPr>
        <w:t>do 15</w:t>
      </w:r>
      <w:r>
        <w:rPr>
          <w:color w:val="231F20"/>
          <w:spacing w:val="-17"/>
          <w:sz w:val="12"/>
        </w:rPr>
        <w:t xml:space="preserve"> </w:t>
      </w:r>
      <w:r>
        <w:rPr>
          <w:color w:val="231F20"/>
          <w:sz w:val="12"/>
        </w:rPr>
        <w:t>%</w:t>
      </w:r>
    </w:p>
    <w:p w14:paraId="4BDB02C2" w14:textId="77777777" w:rsidR="00F65BCA" w:rsidRDefault="00F65BCA">
      <w:pPr>
        <w:pStyle w:val="Zkladntext"/>
        <w:rPr>
          <w:sz w:val="14"/>
        </w:rPr>
      </w:pPr>
    </w:p>
    <w:p w14:paraId="2C05A6FE" w14:textId="77777777" w:rsidR="00F65BCA" w:rsidRDefault="00F65BCA">
      <w:pPr>
        <w:pStyle w:val="Zkladntext"/>
        <w:rPr>
          <w:sz w:val="14"/>
        </w:rPr>
      </w:pPr>
    </w:p>
    <w:p w14:paraId="6FE421EE" w14:textId="77777777" w:rsidR="00F65BCA" w:rsidRDefault="00F65BCA">
      <w:pPr>
        <w:pStyle w:val="Zkladntext"/>
        <w:spacing w:before="5"/>
        <w:rPr>
          <w:sz w:val="17"/>
        </w:rPr>
      </w:pPr>
    </w:p>
    <w:p w14:paraId="1DF6A87D" w14:textId="77777777" w:rsidR="00F65BCA" w:rsidRDefault="00216117">
      <w:pPr>
        <w:ind w:right="38"/>
        <w:jc w:val="right"/>
        <w:rPr>
          <w:sz w:val="12"/>
        </w:rPr>
      </w:pPr>
      <w:r>
        <w:rPr>
          <w:color w:val="231F20"/>
          <w:sz w:val="12"/>
        </w:rPr>
        <w:t>20</w:t>
      </w:r>
      <w:r>
        <w:rPr>
          <w:color w:val="231F20"/>
          <w:spacing w:val="-20"/>
          <w:sz w:val="12"/>
        </w:rPr>
        <w:t xml:space="preserve"> </w:t>
      </w:r>
      <w:r>
        <w:rPr>
          <w:color w:val="231F20"/>
          <w:sz w:val="12"/>
        </w:rPr>
        <w:t>%</w:t>
      </w:r>
    </w:p>
    <w:p w14:paraId="1AAA9529" w14:textId="77777777" w:rsidR="00F65BCA" w:rsidRDefault="00216117">
      <w:pPr>
        <w:spacing w:before="103"/>
        <w:ind w:left="352"/>
        <w:rPr>
          <w:sz w:val="12"/>
        </w:rPr>
      </w:pPr>
      <w:r>
        <w:rPr>
          <w:color w:val="231F20"/>
          <w:sz w:val="12"/>
        </w:rPr>
        <w:t>10</w:t>
      </w:r>
      <w:r>
        <w:rPr>
          <w:color w:val="231F20"/>
          <w:spacing w:val="-20"/>
          <w:sz w:val="12"/>
        </w:rPr>
        <w:t xml:space="preserve"> </w:t>
      </w:r>
      <w:r>
        <w:rPr>
          <w:color w:val="231F20"/>
          <w:sz w:val="12"/>
        </w:rPr>
        <w:t>%</w:t>
      </w:r>
    </w:p>
    <w:p w14:paraId="1D28FFE4" w14:textId="77777777" w:rsidR="00F65BCA" w:rsidRDefault="00216117">
      <w:pPr>
        <w:spacing w:before="38"/>
        <w:ind w:left="419"/>
        <w:rPr>
          <w:sz w:val="12"/>
        </w:rPr>
      </w:pPr>
      <w:r>
        <w:rPr>
          <w:color w:val="231F20"/>
          <w:sz w:val="12"/>
        </w:rPr>
        <w:t>5</w:t>
      </w:r>
      <w:r>
        <w:rPr>
          <w:color w:val="231F20"/>
          <w:spacing w:val="-20"/>
          <w:sz w:val="12"/>
        </w:rPr>
        <w:t xml:space="preserve"> </w:t>
      </w:r>
      <w:r>
        <w:rPr>
          <w:color w:val="231F20"/>
          <w:sz w:val="12"/>
        </w:rPr>
        <w:t>%</w:t>
      </w:r>
    </w:p>
    <w:p w14:paraId="48ED97EF" w14:textId="77777777" w:rsidR="00F65BCA" w:rsidRDefault="00216117">
      <w:pPr>
        <w:spacing w:before="37"/>
        <w:ind w:left="419"/>
        <w:rPr>
          <w:sz w:val="12"/>
        </w:rPr>
      </w:pPr>
      <w:r>
        <w:rPr>
          <w:color w:val="231F20"/>
          <w:sz w:val="12"/>
        </w:rPr>
        <w:t>2</w:t>
      </w:r>
      <w:r>
        <w:rPr>
          <w:color w:val="231F20"/>
          <w:spacing w:val="-20"/>
          <w:sz w:val="12"/>
        </w:rPr>
        <w:t xml:space="preserve"> </w:t>
      </w:r>
      <w:r>
        <w:rPr>
          <w:color w:val="231F20"/>
          <w:sz w:val="12"/>
        </w:rPr>
        <w:t>%</w:t>
      </w:r>
    </w:p>
    <w:p w14:paraId="5DEA77F3" w14:textId="77777777" w:rsidR="00F65BCA" w:rsidRDefault="00216117">
      <w:pPr>
        <w:spacing w:before="38"/>
        <w:ind w:left="352"/>
        <w:rPr>
          <w:sz w:val="12"/>
        </w:rPr>
      </w:pPr>
      <w:r>
        <w:rPr>
          <w:color w:val="231F20"/>
          <w:sz w:val="12"/>
        </w:rPr>
        <w:t>12</w:t>
      </w:r>
      <w:r>
        <w:rPr>
          <w:color w:val="231F20"/>
          <w:spacing w:val="-20"/>
          <w:sz w:val="12"/>
        </w:rPr>
        <w:t xml:space="preserve"> </w:t>
      </w:r>
      <w:r>
        <w:rPr>
          <w:color w:val="231F20"/>
          <w:sz w:val="12"/>
        </w:rPr>
        <w:t>%</w:t>
      </w:r>
    </w:p>
    <w:p w14:paraId="0708941A" w14:textId="77777777" w:rsidR="00F65BCA" w:rsidRDefault="00216117">
      <w:pPr>
        <w:spacing w:before="38"/>
        <w:ind w:left="352"/>
        <w:rPr>
          <w:sz w:val="12"/>
        </w:rPr>
      </w:pPr>
      <w:r>
        <w:rPr>
          <w:color w:val="231F20"/>
          <w:sz w:val="12"/>
        </w:rPr>
        <w:t>18</w:t>
      </w:r>
      <w:r>
        <w:rPr>
          <w:color w:val="231F20"/>
          <w:spacing w:val="-20"/>
          <w:sz w:val="12"/>
        </w:rPr>
        <w:t xml:space="preserve"> </w:t>
      </w:r>
      <w:r>
        <w:rPr>
          <w:color w:val="231F20"/>
          <w:sz w:val="12"/>
        </w:rPr>
        <w:t>%</w:t>
      </w:r>
    </w:p>
    <w:p w14:paraId="6F264F5B" w14:textId="77777777" w:rsidR="00F65BCA" w:rsidRDefault="00F65BCA">
      <w:pPr>
        <w:pStyle w:val="Zkladntext"/>
        <w:rPr>
          <w:sz w:val="14"/>
        </w:rPr>
      </w:pPr>
    </w:p>
    <w:p w14:paraId="2BBF52D1" w14:textId="77777777" w:rsidR="00F65BCA" w:rsidRDefault="00F65BCA">
      <w:pPr>
        <w:pStyle w:val="Zkladntext"/>
        <w:spacing w:before="9"/>
        <w:rPr>
          <w:sz w:val="20"/>
        </w:rPr>
      </w:pPr>
    </w:p>
    <w:p w14:paraId="65D8E009" w14:textId="77777777" w:rsidR="00F65BCA" w:rsidRDefault="00216117">
      <w:pPr>
        <w:spacing w:before="1"/>
        <w:ind w:left="419"/>
        <w:rPr>
          <w:sz w:val="12"/>
        </w:rPr>
      </w:pPr>
      <w:r>
        <w:rPr>
          <w:color w:val="231F20"/>
          <w:sz w:val="12"/>
        </w:rPr>
        <w:t>3</w:t>
      </w:r>
      <w:r>
        <w:rPr>
          <w:color w:val="231F20"/>
          <w:spacing w:val="-20"/>
          <w:sz w:val="12"/>
        </w:rPr>
        <w:t xml:space="preserve"> </w:t>
      </w:r>
      <w:r>
        <w:rPr>
          <w:color w:val="231F20"/>
          <w:sz w:val="12"/>
        </w:rPr>
        <w:t>%</w:t>
      </w:r>
    </w:p>
    <w:p w14:paraId="4C179761" w14:textId="77777777" w:rsidR="00F65BCA" w:rsidRDefault="00216117">
      <w:pPr>
        <w:spacing w:before="42"/>
        <w:ind w:left="419"/>
        <w:rPr>
          <w:sz w:val="12"/>
        </w:rPr>
      </w:pPr>
      <w:r>
        <w:rPr>
          <w:color w:val="231F20"/>
          <w:sz w:val="12"/>
        </w:rPr>
        <w:t>4</w:t>
      </w:r>
      <w:r>
        <w:rPr>
          <w:color w:val="231F20"/>
          <w:spacing w:val="-20"/>
          <w:sz w:val="12"/>
        </w:rPr>
        <w:t xml:space="preserve"> </w:t>
      </w:r>
      <w:r>
        <w:rPr>
          <w:color w:val="231F20"/>
          <w:sz w:val="12"/>
        </w:rPr>
        <w:t>%</w:t>
      </w:r>
    </w:p>
    <w:p w14:paraId="40174379" w14:textId="77777777" w:rsidR="00F65BCA" w:rsidRDefault="00216117">
      <w:pPr>
        <w:spacing w:before="41"/>
        <w:ind w:left="584"/>
        <w:rPr>
          <w:b/>
          <w:sz w:val="14"/>
        </w:rPr>
      </w:pPr>
      <w:r>
        <w:br w:type="column"/>
      </w:r>
      <w:r>
        <w:rPr>
          <w:b/>
          <w:color w:val="231F20"/>
          <w:sz w:val="14"/>
        </w:rPr>
        <w:t>Dolní končetina – neurologická postižení</w:t>
      </w:r>
    </w:p>
    <w:p w14:paraId="57844DA0" w14:textId="77777777" w:rsidR="00F65BCA" w:rsidRDefault="00216117">
      <w:pPr>
        <w:spacing w:before="61" w:line="249" w:lineRule="auto"/>
        <w:ind w:left="455" w:right="912"/>
        <w:rPr>
          <w:b/>
          <w:sz w:val="12"/>
        </w:rPr>
      </w:pPr>
      <w:r>
        <w:rPr>
          <w:b/>
          <w:color w:val="231F20"/>
          <w:sz w:val="12"/>
        </w:rPr>
        <w:t>Rozsah postižení se hodnotí dle výsledku EMG. Do plnění jsou již zahrnuty vazomoto- rické a trofické poruchy.</w:t>
      </w:r>
    </w:p>
    <w:p w14:paraId="09A2D6B5" w14:textId="77777777" w:rsidR="00F65BCA" w:rsidRDefault="00216117">
      <w:pPr>
        <w:spacing w:before="40"/>
        <w:ind w:left="455"/>
        <w:rPr>
          <w:sz w:val="12"/>
        </w:rPr>
      </w:pPr>
      <w:r>
        <w:rPr>
          <w:color w:val="231F20"/>
          <w:sz w:val="12"/>
        </w:rPr>
        <w:t>Porucha nervu</w:t>
      </w:r>
    </w:p>
    <w:p w14:paraId="4713A097" w14:textId="77777777" w:rsidR="00F65BCA" w:rsidRDefault="00216117">
      <w:pPr>
        <w:pStyle w:val="Odstavecseseznamem"/>
        <w:numPr>
          <w:ilvl w:val="0"/>
          <w:numId w:val="23"/>
        </w:numPr>
        <w:tabs>
          <w:tab w:val="left" w:pos="456"/>
          <w:tab w:val="left" w:pos="3225"/>
        </w:tabs>
        <w:spacing w:before="32"/>
        <w:ind w:hanging="273"/>
        <w:rPr>
          <w:sz w:val="12"/>
        </w:rPr>
      </w:pPr>
      <w:r>
        <w:rPr>
          <w:color w:val="231F20"/>
          <w:sz w:val="12"/>
        </w:rPr>
        <w:t>sedacího</w:t>
      </w:r>
      <w:r>
        <w:rPr>
          <w:color w:val="231F20"/>
          <w:sz w:val="12"/>
        </w:rPr>
        <w:tab/>
        <w:t>do 40</w:t>
      </w:r>
      <w:r>
        <w:rPr>
          <w:color w:val="231F20"/>
          <w:spacing w:val="-17"/>
          <w:sz w:val="12"/>
        </w:rPr>
        <w:t xml:space="preserve"> </w:t>
      </w:r>
      <w:r>
        <w:rPr>
          <w:color w:val="231F20"/>
          <w:sz w:val="12"/>
        </w:rPr>
        <w:t>%</w:t>
      </w:r>
    </w:p>
    <w:p w14:paraId="57049B98" w14:textId="77777777" w:rsidR="00F65BCA" w:rsidRDefault="00216117">
      <w:pPr>
        <w:pStyle w:val="Odstavecseseznamem"/>
        <w:numPr>
          <w:ilvl w:val="0"/>
          <w:numId w:val="23"/>
        </w:numPr>
        <w:tabs>
          <w:tab w:val="left" w:pos="456"/>
          <w:tab w:val="left" w:pos="3225"/>
        </w:tabs>
        <w:spacing w:before="32"/>
        <w:ind w:hanging="273"/>
        <w:rPr>
          <w:sz w:val="12"/>
        </w:rPr>
      </w:pPr>
      <w:r>
        <w:rPr>
          <w:color w:val="231F20"/>
          <w:sz w:val="12"/>
        </w:rPr>
        <w:t>stehenního</w:t>
      </w:r>
      <w:r>
        <w:rPr>
          <w:color w:val="231F20"/>
          <w:sz w:val="12"/>
        </w:rPr>
        <w:tab/>
        <w:t>do 25</w:t>
      </w:r>
      <w:r>
        <w:rPr>
          <w:color w:val="231F20"/>
          <w:spacing w:val="-17"/>
          <w:sz w:val="12"/>
        </w:rPr>
        <w:t xml:space="preserve"> </w:t>
      </w:r>
      <w:r>
        <w:rPr>
          <w:color w:val="231F20"/>
          <w:sz w:val="12"/>
        </w:rPr>
        <w:t>%</w:t>
      </w:r>
    </w:p>
    <w:p w14:paraId="66D1EEC8" w14:textId="77777777" w:rsidR="00F65BCA" w:rsidRDefault="00216117">
      <w:pPr>
        <w:pStyle w:val="Odstavecseseznamem"/>
        <w:numPr>
          <w:ilvl w:val="0"/>
          <w:numId w:val="23"/>
        </w:numPr>
        <w:tabs>
          <w:tab w:val="left" w:pos="456"/>
          <w:tab w:val="left" w:pos="3225"/>
        </w:tabs>
        <w:spacing w:before="32"/>
        <w:ind w:hanging="273"/>
        <w:rPr>
          <w:sz w:val="12"/>
        </w:rPr>
      </w:pPr>
      <w:r>
        <w:rPr>
          <w:color w:val="231F20"/>
          <w:sz w:val="12"/>
        </w:rPr>
        <w:t>obturatorii</w:t>
      </w:r>
      <w:r>
        <w:rPr>
          <w:color w:val="231F20"/>
          <w:sz w:val="12"/>
        </w:rPr>
        <w:tab/>
        <w:t>do 10</w:t>
      </w:r>
      <w:r>
        <w:rPr>
          <w:color w:val="231F20"/>
          <w:spacing w:val="-17"/>
          <w:sz w:val="12"/>
        </w:rPr>
        <w:t xml:space="preserve"> </w:t>
      </w:r>
      <w:r>
        <w:rPr>
          <w:color w:val="231F20"/>
          <w:sz w:val="12"/>
        </w:rPr>
        <w:t>%</w:t>
      </w:r>
    </w:p>
    <w:p w14:paraId="1EC26352" w14:textId="77777777" w:rsidR="00F65BCA" w:rsidRDefault="00216117">
      <w:pPr>
        <w:spacing w:before="32"/>
        <w:ind w:left="455"/>
        <w:rPr>
          <w:b/>
          <w:sz w:val="12"/>
        </w:rPr>
      </w:pPr>
      <w:r>
        <w:rPr>
          <w:b/>
          <w:color w:val="231F20"/>
          <w:sz w:val="12"/>
        </w:rPr>
        <w:t>holenního</w:t>
      </w:r>
    </w:p>
    <w:p w14:paraId="22691383" w14:textId="77777777" w:rsidR="00F65BCA" w:rsidRDefault="00216117">
      <w:pPr>
        <w:pStyle w:val="Odstavecseseznamem"/>
        <w:numPr>
          <w:ilvl w:val="0"/>
          <w:numId w:val="23"/>
        </w:numPr>
        <w:tabs>
          <w:tab w:val="left" w:pos="456"/>
          <w:tab w:val="left" w:pos="3225"/>
        </w:tabs>
        <w:spacing w:before="32"/>
        <w:ind w:hanging="273"/>
        <w:rPr>
          <w:sz w:val="12"/>
        </w:rPr>
      </w:pPr>
      <w:r>
        <w:rPr>
          <w:color w:val="231F20"/>
          <w:sz w:val="12"/>
        </w:rPr>
        <w:t>kmene</w:t>
      </w:r>
      <w:r>
        <w:rPr>
          <w:color w:val="231F20"/>
          <w:spacing w:val="-15"/>
          <w:sz w:val="12"/>
        </w:rPr>
        <w:t xml:space="preserve"> </w:t>
      </w:r>
      <w:r>
        <w:rPr>
          <w:color w:val="231F20"/>
          <w:sz w:val="12"/>
        </w:rPr>
        <w:t>s</w:t>
      </w:r>
      <w:r>
        <w:rPr>
          <w:color w:val="231F20"/>
          <w:spacing w:val="-14"/>
          <w:sz w:val="12"/>
        </w:rPr>
        <w:t xml:space="preserve"> </w:t>
      </w:r>
      <w:r>
        <w:rPr>
          <w:color w:val="231F20"/>
          <w:sz w:val="12"/>
        </w:rPr>
        <w:t>postižením</w:t>
      </w:r>
      <w:r>
        <w:rPr>
          <w:color w:val="231F20"/>
          <w:spacing w:val="-14"/>
          <w:sz w:val="12"/>
        </w:rPr>
        <w:t xml:space="preserve"> </w:t>
      </w:r>
      <w:r>
        <w:rPr>
          <w:color w:val="231F20"/>
          <w:sz w:val="12"/>
        </w:rPr>
        <w:t>všech</w:t>
      </w:r>
      <w:r>
        <w:rPr>
          <w:color w:val="231F20"/>
          <w:spacing w:val="-15"/>
          <w:sz w:val="12"/>
        </w:rPr>
        <w:t xml:space="preserve"> </w:t>
      </w:r>
      <w:r>
        <w:rPr>
          <w:color w:val="231F20"/>
          <w:sz w:val="12"/>
        </w:rPr>
        <w:t>inervovaných</w:t>
      </w:r>
      <w:r>
        <w:rPr>
          <w:color w:val="231F20"/>
          <w:spacing w:val="-14"/>
          <w:sz w:val="12"/>
        </w:rPr>
        <w:t xml:space="preserve"> </w:t>
      </w:r>
      <w:r>
        <w:rPr>
          <w:color w:val="231F20"/>
          <w:sz w:val="12"/>
        </w:rPr>
        <w:t>svalů</w:t>
      </w:r>
      <w:r>
        <w:rPr>
          <w:color w:val="231F20"/>
          <w:sz w:val="12"/>
        </w:rPr>
        <w:tab/>
        <w:t>do 25</w:t>
      </w:r>
      <w:r>
        <w:rPr>
          <w:color w:val="231F20"/>
          <w:spacing w:val="-18"/>
          <w:sz w:val="12"/>
        </w:rPr>
        <w:t xml:space="preserve"> </w:t>
      </w:r>
      <w:r>
        <w:rPr>
          <w:color w:val="231F20"/>
          <w:sz w:val="12"/>
        </w:rPr>
        <w:t>%</w:t>
      </w:r>
    </w:p>
    <w:p w14:paraId="341E5072" w14:textId="77777777" w:rsidR="00F65BCA" w:rsidRDefault="00216117">
      <w:pPr>
        <w:pStyle w:val="Odstavecseseznamem"/>
        <w:numPr>
          <w:ilvl w:val="0"/>
          <w:numId w:val="23"/>
        </w:numPr>
        <w:tabs>
          <w:tab w:val="left" w:pos="456"/>
          <w:tab w:val="left" w:pos="3292"/>
        </w:tabs>
        <w:spacing w:before="32"/>
        <w:ind w:hanging="273"/>
        <w:rPr>
          <w:sz w:val="12"/>
        </w:rPr>
      </w:pPr>
      <w:r>
        <w:rPr>
          <w:color w:val="231F20"/>
          <w:sz w:val="12"/>
        </w:rPr>
        <w:t>distální</w:t>
      </w:r>
      <w:r>
        <w:rPr>
          <w:color w:val="231F20"/>
          <w:spacing w:val="-10"/>
          <w:sz w:val="12"/>
        </w:rPr>
        <w:t xml:space="preserve"> </w:t>
      </w:r>
      <w:r>
        <w:rPr>
          <w:color w:val="231F20"/>
          <w:sz w:val="12"/>
        </w:rPr>
        <w:t>části</w:t>
      </w:r>
      <w:r>
        <w:rPr>
          <w:color w:val="231F20"/>
          <w:spacing w:val="-10"/>
          <w:sz w:val="12"/>
        </w:rPr>
        <w:t xml:space="preserve"> </w:t>
      </w:r>
      <w:r>
        <w:rPr>
          <w:color w:val="231F20"/>
          <w:sz w:val="12"/>
        </w:rPr>
        <w:t>s</w:t>
      </w:r>
      <w:r>
        <w:rPr>
          <w:color w:val="231F20"/>
          <w:spacing w:val="-10"/>
          <w:sz w:val="12"/>
        </w:rPr>
        <w:t xml:space="preserve"> </w:t>
      </w:r>
      <w:r>
        <w:rPr>
          <w:color w:val="231F20"/>
          <w:sz w:val="12"/>
        </w:rPr>
        <w:t>postižením</w:t>
      </w:r>
      <w:r>
        <w:rPr>
          <w:color w:val="231F20"/>
          <w:spacing w:val="-10"/>
          <w:sz w:val="12"/>
        </w:rPr>
        <w:t xml:space="preserve"> </w:t>
      </w:r>
      <w:r>
        <w:rPr>
          <w:color w:val="231F20"/>
          <w:sz w:val="12"/>
        </w:rPr>
        <w:t>funkce</w:t>
      </w:r>
      <w:r>
        <w:rPr>
          <w:color w:val="231F20"/>
          <w:spacing w:val="-10"/>
          <w:sz w:val="12"/>
        </w:rPr>
        <w:t xml:space="preserve"> </w:t>
      </w:r>
      <w:r>
        <w:rPr>
          <w:color w:val="231F20"/>
          <w:sz w:val="12"/>
        </w:rPr>
        <w:t>prstů</w:t>
      </w:r>
      <w:r>
        <w:rPr>
          <w:color w:val="231F20"/>
          <w:sz w:val="12"/>
        </w:rPr>
        <w:tab/>
        <w:t>do 5</w:t>
      </w:r>
      <w:r>
        <w:rPr>
          <w:color w:val="231F20"/>
          <w:spacing w:val="-19"/>
          <w:sz w:val="12"/>
        </w:rPr>
        <w:t xml:space="preserve"> </w:t>
      </w:r>
      <w:r>
        <w:rPr>
          <w:color w:val="231F20"/>
          <w:sz w:val="12"/>
        </w:rPr>
        <w:t>%</w:t>
      </w:r>
    </w:p>
    <w:p w14:paraId="0A0106AD" w14:textId="77777777" w:rsidR="00F65BCA" w:rsidRDefault="00216117">
      <w:pPr>
        <w:spacing w:before="32"/>
        <w:ind w:left="455"/>
        <w:rPr>
          <w:b/>
          <w:sz w:val="12"/>
        </w:rPr>
      </w:pPr>
      <w:r>
        <w:rPr>
          <w:b/>
          <w:color w:val="231F20"/>
          <w:sz w:val="12"/>
        </w:rPr>
        <w:t>lýtkového</w:t>
      </w:r>
    </w:p>
    <w:p w14:paraId="6469C57B" w14:textId="77777777" w:rsidR="00F65BCA" w:rsidRDefault="00216117">
      <w:pPr>
        <w:pStyle w:val="Odstavecseseznamem"/>
        <w:numPr>
          <w:ilvl w:val="0"/>
          <w:numId w:val="23"/>
        </w:numPr>
        <w:tabs>
          <w:tab w:val="left" w:pos="456"/>
          <w:tab w:val="left" w:pos="3225"/>
        </w:tabs>
        <w:spacing w:before="32"/>
        <w:ind w:hanging="273"/>
        <w:rPr>
          <w:sz w:val="12"/>
        </w:rPr>
      </w:pPr>
      <w:r>
        <w:rPr>
          <w:color w:val="231F20"/>
          <w:sz w:val="12"/>
        </w:rPr>
        <w:t>kmene</w:t>
      </w:r>
      <w:r>
        <w:rPr>
          <w:color w:val="231F20"/>
          <w:spacing w:val="-15"/>
          <w:sz w:val="12"/>
        </w:rPr>
        <w:t xml:space="preserve"> </w:t>
      </w:r>
      <w:r>
        <w:rPr>
          <w:color w:val="231F20"/>
          <w:sz w:val="12"/>
        </w:rPr>
        <w:t>s</w:t>
      </w:r>
      <w:r>
        <w:rPr>
          <w:color w:val="231F20"/>
          <w:spacing w:val="-14"/>
          <w:sz w:val="12"/>
        </w:rPr>
        <w:t xml:space="preserve"> </w:t>
      </w:r>
      <w:r>
        <w:rPr>
          <w:color w:val="231F20"/>
          <w:sz w:val="12"/>
        </w:rPr>
        <w:t>postižením</w:t>
      </w:r>
      <w:r>
        <w:rPr>
          <w:color w:val="231F20"/>
          <w:spacing w:val="-14"/>
          <w:sz w:val="12"/>
        </w:rPr>
        <w:t xml:space="preserve"> </w:t>
      </w:r>
      <w:r>
        <w:rPr>
          <w:color w:val="231F20"/>
          <w:sz w:val="12"/>
        </w:rPr>
        <w:t>všech</w:t>
      </w:r>
      <w:r>
        <w:rPr>
          <w:color w:val="231F20"/>
          <w:spacing w:val="-15"/>
          <w:sz w:val="12"/>
        </w:rPr>
        <w:t xml:space="preserve"> </w:t>
      </w:r>
      <w:r>
        <w:rPr>
          <w:color w:val="231F20"/>
          <w:sz w:val="12"/>
        </w:rPr>
        <w:t>inervovaných</w:t>
      </w:r>
      <w:r>
        <w:rPr>
          <w:color w:val="231F20"/>
          <w:spacing w:val="-14"/>
          <w:sz w:val="12"/>
        </w:rPr>
        <w:t xml:space="preserve"> </w:t>
      </w:r>
      <w:r>
        <w:rPr>
          <w:color w:val="231F20"/>
          <w:sz w:val="12"/>
        </w:rPr>
        <w:t>svalů</w:t>
      </w:r>
      <w:r>
        <w:rPr>
          <w:color w:val="231F20"/>
          <w:sz w:val="12"/>
        </w:rPr>
        <w:tab/>
        <w:t>do 20</w:t>
      </w:r>
      <w:r>
        <w:rPr>
          <w:color w:val="231F20"/>
          <w:spacing w:val="-18"/>
          <w:sz w:val="12"/>
        </w:rPr>
        <w:t xml:space="preserve"> </w:t>
      </w:r>
      <w:r>
        <w:rPr>
          <w:color w:val="231F20"/>
          <w:sz w:val="12"/>
        </w:rPr>
        <w:t>%</w:t>
      </w:r>
    </w:p>
    <w:p w14:paraId="48C9E716" w14:textId="77777777" w:rsidR="00F65BCA" w:rsidRDefault="00216117">
      <w:pPr>
        <w:pStyle w:val="Odstavecseseznamem"/>
        <w:numPr>
          <w:ilvl w:val="0"/>
          <w:numId w:val="23"/>
        </w:numPr>
        <w:tabs>
          <w:tab w:val="left" w:pos="456"/>
          <w:tab w:val="left" w:pos="3225"/>
        </w:tabs>
        <w:spacing w:before="32"/>
        <w:ind w:hanging="273"/>
        <w:rPr>
          <w:sz w:val="12"/>
        </w:rPr>
      </w:pPr>
      <w:r>
        <w:rPr>
          <w:color w:val="231F20"/>
          <w:sz w:val="12"/>
        </w:rPr>
        <w:t>hluboké</w:t>
      </w:r>
      <w:r>
        <w:rPr>
          <w:color w:val="231F20"/>
          <w:spacing w:val="-9"/>
          <w:sz w:val="12"/>
        </w:rPr>
        <w:t xml:space="preserve"> </w:t>
      </w:r>
      <w:r>
        <w:rPr>
          <w:color w:val="231F20"/>
          <w:sz w:val="12"/>
        </w:rPr>
        <w:t>větve</w:t>
      </w:r>
      <w:r>
        <w:rPr>
          <w:color w:val="231F20"/>
          <w:sz w:val="12"/>
        </w:rPr>
        <w:tab/>
        <w:t>do 15</w:t>
      </w:r>
      <w:r>
        <w:rPr>
          <w:color w:val="231F20"/>
          <w:spacing w:val="-17"/>
          <w:sz w:val="12"/>
        </w:rPr>
        <w:t xml:space="preserve"> </w:t>
      </w:r>
      <w:r>
        <w:rPr>
          <w:color w:val="231F20"/>
          <w:sz w:val="12"/>
        </w:rPr>
        <w:t>%</w:t>
      </w:r>
    </w:p>
    <w:p w14:paraId="04B303F3" w14:textId="77777777" w:rsidR="00F65BCA" w:rsidRDefault="00216117">
      <w:pPr>
        <w:pStyle w:val="Odstavecseseznamem"/>
        <w:numPr>
          <w:ilvl w:val="0"/>
          <w:numId w:val="23"/>
        </w:numPr>
        <w:tabs>
          <w:tab w:val="left" w:pos="456"/>
          <w:tab w:val="left" w:pos="3292"/>
        </w:tabs>
        <w:spacing w:before="33"/>
        <w:ind w:hanging="273"/>
        <w:rPr>
          <w:sz w:val="12"/>
        </w:rPr>
      </w:pPr>
      <w:r>
        <w:rPr>
          <w:color w:val="231F20"/>
          <w:sz w:val="12"/>
        </w:rPr>
        <w:t>povrchové</w:t>
      </w:r>
      <w:r>
        <w:rPr>
          <w:color w:val="231F20"/>
          <w:spacing w:val="-11"/>
          <w:sz w:val="12"/>
        </w:rPr>
        <w:t xml:space="preserve"> </w:t>
      </w:r>
      <w:r>
        <w:rPr>
          <w:color w:val="231F20"/>
          <w:sz w:val="12"/>
        </w:rPr>
        <w:t>větve</w:t>
      </w:r>
      <w:r>
        <w:rPr>
          <w:color w:val="231F20"/>
          <w:sz w:val="12"/>
        </w:rPr>
        <w:tab/>
        <w:t>do 5</w:t>
      </w:r>
      <w:r>
        <w:rPr>
          <w:color w:val="231F20"/>
          <w:spacing w:val="-17"/>
          <w:sz w:val="12"/>
        </w:rPr>
        <w:t xml:space="preserve"> </w:t>
      </w:r>
      <w:r>
        <w:rPr>
          <w:color w:val="231F20"/>
          <w:sz w:val="12"/>
        </w:rPr>
        <w:t>%</w:t>
      </w:r>
    </w:p>
    <w:p w14:paraId="62AB234B" w14:textId="77777777" w:rsidR="00F65BCA" w:rsidRDefault="00F65BCA">
      <w:pPr>
        <w:pStyle w:val="Zkladntext"/>
        <w:spacing w:before="1"/>
        <w:rPr>
          <w:sz w:val="14"/>
        </w:rPr>
      </w:pPr>
    </w:p>
    <w:p w14:paraId="5A75DFEB" w14:textId="77777777" w:rsidR="00F65BCA" w:rsidRDefault="00216117">
      <w:pPr>
        <w:ind w:left="1387" w:right="1854"/>
        <w:jc w:val="center"/>
        <w:rPr>
          <w:b/>
          <w:sz w:val="14"/>
        </w:rPr>
      </w:pPr>
      <w:r>
        <w:rPr>
          <w:b/>
          <w:color w:val="231F20"/>
          <w:sz w:val="14"/>
        </w:rPr>
        <w:t>OBECNÉ</w:t>
      </w:r>
    </w:p>
    <w:p w14:paraId="771C14E2" w14:textId="77777777" w:rsidR="00F65BCA" w:rsidRDefault="00216117">
      <w:pPr>
        <w:spacing w:before="52"/>
        <w:ind w:left="455"/>
        <w:rPr>
          <w:sz w:val="12"/>
        </w:rPr>
      </w:pPr>
      <w:r>
        <w:rPr>
          <w:color w:val="231F20"/>
          <w:sz w:val="12"/>
        </w:rPr>
        <w:t xml:space="preserve">Rozsáhlé </w:t>
      </w:r>
      <w:r>
        <w:rPr>
          <w:b/>
          <w:color w:val="231F20"/>
          <w:sz w:val="12"/>
        </w:rPr>
        <w:t xml:space="preserve">plošné jizvy </w:t>
      </w:r>
      <w:r>
        <w:rPr>
          <w:color w:val="231F20"/>
          <w:sz w:val="12"/>
        </w:rPr>
        <w:t>(mimo poruchy funkce)</w:t>
      </w:r>
    </w:p>
    <w:p w14:paraId="0B5A0C21" w14:textId="77777777" w:rsidR="00F65BCA" w:rsidRDefault="00216117">
      <w:pPr>
        <w:pStyle w:val="Odstavecseseznamem"/>
        <w:numPr>
          <w:ilvl w:val="0"/>
          <w:numId w:val="23"/>
        </w:numPr>
        <w:tabs>
          <w:tab w:val="left" w:pos="456"/>
          <w:tab w:val="left" w:pos="3225"/>
        </w:tabs>
        <w:spacing w:before="37"/>
        <w:ind w:hanging="273"/>
        <w:rPr>
          <w:sz w:val="12"/>
        </w:rPr>
      </w:pPr>
      <w:r>
        <w:rPr>
          <w:color w:val="231F20"/>
          <w:sz w:val="12"/>
        </w:rPr>
        <w:t>od</w:t>
      </w:r>
      <w:r>
        <w:rPr>
          <w:color w:val="231F20"/>
          <w:spacing w:val="-4"/>
          <w:sz w:val="12"/>
        </w:rPr>
        <w:t xml:space="preserve"> </w:t>
      </w:r>
      <w:r>
        <w:rPr>
          <w:color w:val="231F20"/>
          <w:sz w:val="12"/>
        </w:rPr>
        <w:t>0,5</w:t>
      </w:r>
      <w:r>
        <w:rPr>
          <w:color w:val="231F20"/>
          <w:spacing w:val="-21"/>
          <w:sz w:val="12"/>
        </w:rPr>
        <w:t xml:space="preserve"> </w:t>
      </w:r>
      <w:r>
        <w:rPr>
          <w:color w:val="231F20"/>
          <w:sz w:val="12"/>
        </w:rPr>
        <w:t>%</w:t>
      </w:r>
      <w:r>
        <w:rPr>
          <w:color w:val="231F20"/>
          <w:spacing w:val="-3"/>
          <w:sz w:val="12"/>
        </w:rPr>
        <w:t xml:space="preserve"> </w:t>
      </w:r>
      <w:r>
        <w:rPr>
          <w:color w:val="231F20"/>
          <w:sz w:val="12"/>
        </w:rPr>
        <w:t>do</w:t>
      </w:r>
      <w:r>
        <w:rPr>
          <w:color w:val="231F20"/>
          <w:spacing w:val="-4"/>
          <w:sz w:val="12"/>
        </w:rPr>
        <w:t xml:space="preserve"> </w:t>
      </w:r>
      <w:r>
        <w:rPr>
          <w:color w:val="231F20"/>
          <w:sz w:val="12"/>
        </w:rPr>
        <w:t>15</w:t>
      </w:r>
      <w:r>
        <w:rPr>
          <w:color w:val="231F20"/>
          <w:spacing w:val="-20"/>
          <w:sz w:val="12"/>
        </w:rPr>
        <w:t xml:space="preserve"> </w:t>
      </w:r>
      <w:r>
        <w:rPr>
          <w:color w:val="231F20"/>
          <w:sz w:val="12"/>
        </w:rPr>
        <w:t>%</w:t>
      </w:r>
      <w:r>
        <w:rPr>
          <w:color w:val="231F20"/>
          <w:spacing w:val="-4"/>
          <w:sz w:val="12"/>
        </w:rPr>
        <w:t xml:space="preserve"> </w:t>
      </w:r>
      <w:r>
        <w:rPr>
          <w:color w:val="231F20"/>
          <w:sz w:val="12"/>
        </w:rPr>
        <w:t>tělesného</w:t>
      </w:r>
      <w:r>
        <w:rPr>
          <w:color w:val="231F20"/>
          <w:spacing w:val="-3"/>
          <w:sz w:val="12"/>
        </w:rPr>
        <w:t xml:space="preserve"> </w:t>
      </w:r>
      <w:r>
        <w:rPr>
          <w:color w:val="231F20"/>
          <w:sz w:val="12"/>
        </w:rPr>
        <w:t>povrchu</w:t>
      </w:r>
      <w:r>
        <w:rPr>
          <w:color w:val="231F20"/>
          <w:sz w:val="12"/>
        </w:rPr>
        <w:tab/>
        <w:t>do 10</w:t>
      </w:r>
      <w:r>
        <w:rPr>
          <w:color w:val="231F20"/>
          <w:spacing w:val="-17"/>
          <w:sz w:val="12"/>
        </w:rPr>
        <w:t xml:space="preserve"> </w:t>
      </w:r>
      <w:r>
        <w:rPr>
          <w:color w:val="231F20"/>
          <w:sz w:val="12"/>
        </w:rPr>
        <w:t>%</w:t>
      </w:r>
    </w:p>
    <w:p w14:paraId="1890025E" w14:textId="77777777" w:rsidR="00F65BCA" w:rsidRDefault="00216117">
      <w:pPr>
        <w:pStyle w:val="Odstavecseseznamem"/>
        <w:numPr>
          <w:ilvl w:val="0"/>
          <w:numId w:val="23"/>
        </w:numPr>
        <w:tabs>
          <w:tab w:val="left" w:pos="456"/>
          <w:tab w:val="left" w:pos="3225"/>
        </w:tabs>
        <w:spacing w:before="38"/>
        <w:ind w:hanging="273"/>
        <w:rPr>
          <w:sz w:val="12"/>
        </w:rPr>
      </w:pPr>
      <w:r>
        <w:rPr>
          <w:color w:val="231F20"/>
          <w:sz w:val="12"/>
        </w:rPr>
        <w:t>nad</w:t>
      </w:r>
      <w:r>
        <w:rPr>
          <w:color w:val="231F20"/>
          <w:spacing w:val="-7"/>
          <w:sz w:val="12"/>
        </w:rPr>
        <w:t xml:space="preserve"> </w:t>
      </w:r>
      <w:r>
        <w:rPr>
          <w:color w:val="231F20"/>
          <w:sz w:val="12"/>
        </w:rPr>
        <w:t>15</w:t>
      </w:r>
      <w:r>
        <w:rPr>
          <w:color w:val="231F20"/>
          <w:spacing w:val="-22"/>
          <w:sz w:val="12"/>
        </w:rPr>
        <w:t xml:space="preserve"> </w:t>
      </w:r>
      <w:r>
        <w:rPr>
          <w:color w:val="231F20"/>
          <w:sz w:val="12"/>
        </w:rPr>
        <w:t>%</w:t>
      </w:r>
      <w:r>
        <w:rPr>
          <w:color w:val="231F20"/>
          <w:spacing w:val="-7"/>
          <w:sz w:val="12"/>
        </w:rPr>
        <w:t xml:space="preserve"> </w:t>
      </w:r>
      <w:r>
        <w:rPr>
          <w:color w:val="231F20"/>
          <w:sz w:val="12"/>
        </w:rPr>
        <w:t>tělesného</w:t>
      </w:r>
      <w:r>
        <w:rPr>
          <w:color w:val="231F20"/>
          <w:spacing w:val="-7"/>
          <w:sz w:val="12"/>
        </w:rPr>
        <w:t xml:space="preserve"> </w:t>
      </w:r>
      <w:r>
        <w:rPr>
          <w:color w:val="231F20"/>
          <w:sz w:val="12"/>
        </w:rPr>
        <w:t>povrchu</w:t>
      </w:r>
      <w:r>
        <w:rPr>
          <w:color w:val="231F20"/>
          <w:sz w:val="12"/>
        </w:rPr>
        <w:tab/>
        <w:t>do 40</w:t>
      </w:r>
      <w:r>
        <w:rPr>
          <w:color w:val="231F20"/>
          <w:spacing w:val="-17"/>
          <w:sz w:val="12"/>
        </w:rPr>
        <w:t xml:space="preserve"> </w:t>
      </w:r>
      <w:r>
        <w:rPr>
          <w:color w:val="231F20"/>
          <w:sz w:val="12"/>
        </w:rPr>
        <w:t>%</w:t>
      </w:r>
    </w:p>
    <w:p w14:paraId="67B78259" w14:textId="77777777" w:rsidR="00F65BCA" w:rsidRDefault="00216117">
      <w:pPr>
        <w:pStyle w:val="Odstavecseseznamem"/>
        <w:numPr>
          <w:ilvl w:val="0"/>
          <w:numId w:val="23"/>
        </w:numPr>
        <w:tabs>
          <w:tab w:val="left" w:pos="456"/>
        </w:tabs>
        <w:spacing w:before="50" w:line="137" w:lineRule="exact"/>
        <w:ind w:hanging="273"/>
        <w:rPr>
          <w:sz w:val="12"/>
        </w:rPr>
      </w:pPr>
      <w:r>
        <w:rPr>
          <w:color w:val="231F20"/>
          <w:sz w:val="12"/>
        </w:rPr>
        <w:t>Chronický zánět kostní dřeně v jakékoliv</w:t>
      </w:r>
      <w:r>
        <w:rPr>
          <w:color w:val="231F20"/>
          <w:spacing w:val="-19"/>
          <w:sz w:val="12"/>
        </w:rPr>
        <w:t xml:space="preserve"> </w:t>
      </w:r>
      <w:r>
        <w:rPr>
          <w:color w:val="231F20"/>
          <w:sz w:val="12"/>
        </w:rPr>
        <w:t>lokalitě</w:t>
      </w:r>
    </w:p>
    <w:p w14:paraId="06108500" w14:textId="77777777" w:rsidR="00F65BCA" w:rsidRDefault="00F65BCA">
      <w:pPr>
        <w:spacing w:line="137" w:lineRule="exact"/>
        <w:rPr>
          <w:sz w:val="12"/>
        </w:rPr>
        <w:sectPr w:rsidR="00F65BCA">
          <w:type w:val="continuous"/>
          <w:pgSz w:w="11910" w:h="16840"/>
          <w:pgMar w:top="840" w:right="140" w:bottom="280" w:left="140" w:header="708" w:footer="708" w:gutter="0"/>
          <w:cols w:num="5" w:space="708" w:equalWidth="0">
            <w:col w:w="2922" w:space="101"/>
            <w:col w:w="667" w:space="185"/>
            <w:col w:w="2890" w:space="152"/>
            <w:col w:w="648" w:space="184"/>
            <w:col w:w="3881"/>
          </w:cols>
        </w:sectPr>
      </w:pPr>
    </w:p>
    <w:p w14:paraId="42CAFD5C" w14:textId="77777777" w:rsidR="00F65BCA" w:rsidRDefault="00000000">
      <w:pPr>
        <w:spacing w:before="15"/>
        <w:ind w:left="1266"/>
        <w:rPr>
          <w:b/>
          <w:sz w:val="12"/>
        </w:rPr>
      </w:pPr>
      <w:r>
        <w:pict w14:anchorId="1689DE8F">
          <v:shape id="_x0000_s1110" type="#_x0000_t202" style="position:absolute;left:0;text-align:left;margin-left:39.7pt;margin-top:821.05pt;width:87.4pt;height:11.7pt;z-index:-299222016;mso-position-horizontal-relative:page;mso-position-vertical-relative:page" filled="f" stroked="f">
            <v:textbox inset="0,0,0,0">
              <w:txbxContent>
                <w:p w14:paraId="69151360" w14:textId="77777777" w:rsidR="00F65BCA" w:rsidRDefault="00216117">
                  <w:pPr>
                    <w:spacing w:before="3"/>
                    <w:rPr>
                      <w:sz w:val="16"/>
                    </w:rPr>
                  </w:pPr>
                  <w:r>
                    <w:rPr>
                      <w:color w:val="231F20"/>
                      <w:sz w:val="16"/>
                    </w:rPr>
                    <w:t xml:space="preserve">40 </w:t>
                  </w:r>
                  <w:r>
                    <w:rPr>
                      <w:color w:val="6D6E71"/>
                      <w:sz w:val="20"/>
                    </w:rPr>
                    <w:t xml:space="preserve">| </w:t>
                  </w:r>
                  <w:r>
                    <w:rPr>
                      <w:color w:val="231F20"/>
                      <w:sz w:val="16"/>
                    </w:rPr>
                    <w:t>Oceňovací tabulky</w:t>
                  </w:r>
                </w:p>
              </w:txbxContent>
            </v:textbox>
            <w10:wrap anchorx="page" anchory="page"/>
          </v:shape>
        </w:pict>
      </w:r>
      <w:r>
        <w:pict w14:anchorId="422BDD9B">
          <v:group id="_x0000_s1107" style="position:absolute;left:0;text-align:left;margin-left:0;margin-top:807.85pt;width:595.3pt;height:34.05pt;z-index:252010496;mso-position-horizontal-relative:page;mso-position-vertical-relative:page" coordorigin=",16157" coordsize="11906,681">
            <v:rect id="_x0000_s1109" style="position:absolute;top:16157;width:11906;height:681" fillcolor="#dcddde" stroked="f"/>
            <v:shape id="_x0000_s1108" type="#_x0000_t202" style="position:absolute;left:9491;top:16477;width:1414;height:164" filled="f" stroked="f">
              <v:textbox inset="0,0,0,0">
                <w:txbxContent>
                  <w:p w14:paraId="3FEC0E19" w14:textId="77777777" w:rsidR="00F65BCA" w:rsidRDefault="00216117">
                    <w:pPr>
                      <w:spacing w:before="2"/>
                      <w:rPr>
                        <w:sz w:val="14"/>
                      </w:rPr>
                    </w:pPr>
                    <w:r>
                      <w:rPr>
                        <w:color w:val="231F20"/>
                        <w:sz w:val="14"/>
                      </w:rPr>
                      <w:t>6.20.012 05.2025 v04</w:t>
                    </w:r>
                  </w:p>
                </w:txbxContent>
              </v:textbox>
            </v:shape>
            <w10:wrap anchorx="page" anchory="page"/>
          </v:group>
        </w:pict>
      </w:r>
      <w:r w:rsidR="00216117">
        <w:rPr>
          <w:b/>
          <w:color w:val="231F20"/>
          <w:sz w:val="12"/>
        </w:rPr>
        <w:t>Hlezenný kloub</w:t>
      </w:r>
    </w:p>
    <w:p w14:paraId="00667A48" w14:textId="77777777" w:rsidR="00F65BCA" w:rsidRDefault="00216117">
      <w:pPr>
        <w:pStyle w:val="Odstavecseseznamem"/>
        <w:numPr>
          <w:ilvl w:val="0"/>
          <w:numId w:val="22"/>
        </w:numPr>
        <w:tabs>
          <w:tab w:val="left" w:pos="456"/>
        </w:tabs>
        <w:spacing w:before="43" w:line="314" w:lineRule="auto"/>
        <w:ind w:right="114"/>
        <w:rPr>
          <w:sz w:val="12"/>
        </w:rPr>
      </w:pPr>
      <w:r>
        <w:rPr>
          <w:color w:val="231F20"/>
          <w:sz w:val="12"/>
        </w:rPr>
        <w:t>Ztráta</w:t>
      </w:r>
      <w:r>
        <w:rPr>
          <w:color w:val="231F20"/>
          <w:spacing w:val="-10"/>
          <w:sz w:val="12"/>
        </w:rPr>
        <w:t xml:space="preserve"> </w:t>
      </w:r>
      <w:r>
        <w:rPr>
          <w:color w:val="231F20"/>
          <w:sz w:val="12"/>
        </w:rPr>
        <w:t>nohy</w:t>
      </w:r>
      <w:r>
        <w:rPr>
          <w:color w:val="231F20"/>
          <w:spacing w:val="-10"/>
          <w:sz w:val="12"/>
        </w:rPr>
        <w:t xml:space="preserve"> </w:t>
      </w:r>
      <w:r>
        <w:rPr>
          <w:color w:val="231F20"/>
          <w:sz w:val="12"/>
        </w:rPr>
        <w:t>v</w:t>
      </w:r>
      <w:r>
        <w:rPr>
          <w:color w:val="231F20"/>
          <w:spacing w:val="-9"/>
          <w:sz w:val="12"/>
        </w:rPr>
        <w:t xml:space="preserve"> </w:t>
      </w:r>
      <w:r>
        <w:rPr>
          <w:color w:val="231F20"/>
          <w:sz w:val="12"/>
        </w:rPr>
        <w:t>hlezenném</w:t>
      </w:r>
      <w:r>
        <w:rPr>
          <w:color w:val="231F20"/>
          <w:spacing w:val="-10"/>
          <w:sz w:val="12"/>
        </w:rPr>
        <w:t xml:space="preserve"> </w:t>
      </w:r>
      <w:r>
        <w:rPr>
          <w:color w:val="231F20"/>
          <w:sz w:val="12"/>
        </w:rPr>
        <w:t>kloubu</w:t>
      </w:r>
      <w:r>
        <w:rPr>
          <w:color w:val="231F20"/>
          <w:spacing w:val="-9"/>
          <w:sz w:val="12"/>
        </w:rPr>
        <w:t xml:space="preserve"> </w:t>
      </w:r>
      <w:r>
        <w:rPr>
          <w:color w:val="231F20"/>
          <w:sz w:val="12"/>
        </w:rPr>
        <w:t>nebo</w:t>
      </w:r>
      <w:r>
        <w:rPr>
          <w:color w:val="231F20"/>
          <w:spacing w:val="-10"/>
          <w:sz w:val="12"/>
        </w:rPr>
        <w:t xml:space="preserve"> </w:t>
      </w:r>
      <w:r>
        <w:rPr>
          <w:color w:val="231F20"/>
          <w:sz w:val="12"/>
        </w:rPr>
        <w:t>pod</w:t>
      </w:r>
      <w:r>
        <w:rPr>
          <w:color w:val="231F20"/>
          <w:spacing w:val="-9"/>
          <w:sz w:val="12"/>
        </w:rPr>
        <w:t xml:space="preserve"> </w:t>
      </w:r>
      <w:r>
        <w:rPr>
          <w:color w:val="231F20"/>
          <w:spacing w:val="-6"/>
          <w:sz w:val="12"/>
        </w:rPr>
        <w:t xml:space="preserve">ním </w:t>
      </w:r>
      <w:r>
        <w:rPr>
          <w:color w:val="231F20"/>
          <w:sz w:val="12"/>
        </w:rPr>
        <w:t>Ztráta chodidla v Chopartově</w:t>
      </w:r>
      <w:r>
        <w:rPr>
          <w:color w:val="231F20"/>
          <w:spacing w:val="-10"/>
          <w:sz w:val="12"/>
        </w:rPr>
        <w:t xml:space="preserve"> </w:t>
      </w:r>
      <w:r>
        <w:rPr>
          <w:color w:val="231F20"/>
          <w:sz w:val="12"/>
        </w:rPr>
        <w:t>kloubu</w:t>
      </w:r>
    </w:p>
    <w:p w14:paraId="766DD70C" w14:textId="77777777" w:rsidR="00F65BCA" w:rsidRDefault="00216117">
      <w:pPr>
        <w:pStyle w:val="Odstavecseseznamem"/>
        <w:numPr>
          <w:ilvl w:val="0"/>
          <w:numId w:val="22"/>
        </w:numPr>
        <w:tabs>
          <w:tab w:val="left" w:pos="456"/>
        </w:tabs>
        <w:spacing w:before="1"/>
        <w:ind w:hanging="273"/>
        <w:rPr>
          <w:sz w:val="12"/>
        </w:rPr>
      </w:pPr>
      <w:r>
        <w:rPr>
          <w:color w:val="231F20"/>
          <w:sz w:val="12"/>
        </w:rPr>
        <w:t>s artrodezou</w:t>
      </w:r>
      <w:r>
        <w:rPr>
          <w:color w:val="231F20"/>
          <w:spacing w:val="-2"/>
          <w:sz w:val="12"/>
        </w:rPr>
        <w:t xml:space="preserve"> </w:t>
      </w:r>
      <w:r>
        <w:rPr>
          <w:color w:val="231F20"/>
          <w:sz w:val="12"/>
        </w:rPr>
        <w:t>hlezna</w:t>
      </w:r>
    </w:p>
    <w:p w14:paraId="6EDFDEB8" w14:textId="77777777" w:rsidR="00F65BCA" w:rsidRDefault="00216117">
      <w:pPr>
        <w:pStyle w:val="Odstavecseseznamem"/>
        <w:numPr>
          <w:ilvl w:val="0"/>
          <w:numId w:val="22"/>
        </w:numPr>
        <w:tabs>
          <w:tab w:val="left" w:pos="456"/>
        </w:tabs>
        <w:spacing w:before="44"/>
        <w:ind w:hanging="273"/>
        <w:rPr>
          <w:sz w:val="12"/>
        </w:rPr>
      </w:pPr>
      <w:r>
        <w:rPr>
          <w:color w:val="231F20"/>
          <w:sz w:val="12"/>
        </w:rPr>
        <w:t>s pahýlem v plantární</w:t>
      </w:r>
      <w:r>
        <w:rPr>
          <w:color w:val="231F20"/>
          <w:spacing w:val="-7"/>
          <w:sz w:val="12"/>
        </w:rPr>
        <w:t xml:space="preserve"> </w:t>
      </w:r>
      <w:r>
        <w:rPr>
          <w:color w:val="231F20"/>
          <w:sz w:val="12"/>
        </w:rPr>
        <w:t>flexi</w:t>
      </w:r>
    </w:p>
    <w:p w14:paraId="1D702EB5" w14:textId="77777777" w:rsidR="00F65BCA" w:rsidRDefault="00216117">
      <w:pPr>
        <w:pStyle w:val="Odstavecseseznamem"/>
        <w:numPr>
          <w:ilvl w:val="0"/>
          <w:numId w:val="22"/>
        </w:numPr>
        <w:tabs>
          <w:tab w:val="left" w:pos="456"/>
        </w:tabs>
        <w:spacing w:before="45"/>
        <w:ind w:hanging="273"/>
        <w:rPr>
          <w:sz w:val="12"/>
        </w:rPr>
      </w:pPr>
      <w:r>
        <w:rPr>
          <w:color w:val="231F20"/>
          <w:w w:val="95"/>
          <w:sz w:val="12"/>
        </w:rPr>
        <w:t>Ztráta</w:t>
      </w:r>
      <w:r>
        <w:rPr>
          <w:color w:val="231F20"/>
          <w:spacing w:val="-11"/>
          <w:w w:val="95"/>
          <w:sz w:val="12"/>
        </w:rPr>
        <w:t xml:space="preserve"> </w:t>
      </w:r>
      <w:r>
        <w:rPr>
          <w:color w:val="231F20"/>
          <w:w w:val="95"/>
          <w:sz w:val="12"/>
        </w:rPr>
        <w:t>chodidla</w:t>
      </w:r>
      <w:r>
        <w:rPr>
          <w:color w:val="231F20"/>
          <w:spacing w:val="-10"/>
          <w:w w:val="95"/>
          <w:sz w:val="12"/>
        </w:rPr>
        <w:t xml:space="preserve"> </w:t>
      </w:r>
      <w:r>
        <w:rPr>
          <w:color w:val="231F20"/>
          <w:w w:val="95"/>
          <w:sz w:val="12"/>
        </w:rPr>
        <w:t>v</w:t>
      </w:r>
      <w:r>
        <w:rPr>
          <w:color w:val="231F20"/>
          <w:spacing w:val="-10"/>
          <w:w w:val="95"/>
          <w:sz w:val="12"/>
        </w:rPr>
        <w:t xml:space="preserve"> </w:t>
      </w:r>
      <w:r>
        <w:rPr>
          <w:color w:val="231F20"/>
          <w:w w:val="95"/>
          <w:sz w:val="12"/>
        </w:rPr>
        <w:t>Lisfrancově</w:t>
      </w:r>
      <w:r>
        <w:rPr>
          <w:color w:val="231F20"/>
          <w:spacing w:val="-10"/>
          <w:w w:val="95"/>
          <w:sz w:val="12"/>
        </w:rPr>
        <w:t xml:space="preserve"> </w:t>
      </w:r>
      <w:r>
        <w:rPr>
          <w:color w:val="231F20"/>
          <w:w w:val="95"/>
          <w:sz w:val="12"/>
        </w:rPr>
        <w:t>kloubu</w:t>
      </w:r>
      <w:r>
        <w:rPr>
          <w:color w:val="231F20"/>
          <w:spacing w:val="-10"/>
          <w:w w:val="95"/>
          <w:sz w:val="12"/>
        </w:rPr>
        <w:t xml:space="preserve"> </w:t>
      </w:r>
      <w:r>
        <w:rPr>
          <w:color w:val="231F20"/>
          <w:w w:val="95"/>
          <w:sz w:val="12"/>
        </w:rPr>
        <w:t>nebo</w:t>
      </w:r>
      <w:r>
        <w:rPr>
          <w:color w:val="231F20"/>
          <w:spacing w:val="-11"/>
          <w:w w:val="95"/>
          <w:sz w:val="12"/>
        </w:rPr>
        <w:t xml:space="preserve"> </w:t>
      </w:r>
      <w:r>
        <w:rPr>
          <w:color w:val="231F20"/>
          <w:w w:val="95"/>
          <w:sz w:val="12"/>
        </w:rPr>
        <w:t>pod</w:t>
      </w:r>
      <w:r>
        <w:rPr>
          <w:color w:val="231F20"/>
          <w:spacing w:val="-10"/>
          <w:w w:val="95"/>
          <w:sz w:val="12"/>
        </w:rPr>
        <w:t xml:space="preserve"> </w:t>
      </w:r>
      <w:r>
        <w:rPr>
          <w:color w:val="231F20"/>
          <w:spacing w:val="-2"/>
          <w:w w:val="95"/>
          <w:sz w:val="12"/>
        </w:rPr>
        <w:t>ním</w:t>
      </w:r>
    </w:p>
    <w:p w14:paraId="73BCA4F3" w14:textId="77777777" w:rsidR="00F65BCA" w:rsidRDefault="00216117">
      <w:pPr>
        <w:pStyle w:val="Zkladntext"/>
        <w:rPr>
          <w:sz w:val="17"/>
        </w:rPr>
      </w:pPr>
      <w:r>
        <w:br w:type="column"/>
      </w:r>
    </w:p>
    <w:p w14:paraId="2710FE42" w14:textId="77777777" w:rsidR="00F65BCA" w:rsidRDefault="00216117">
      <w:pPr>
        <w:spacing w:before="1"/>
        <w:ind w:left="183"/>
        <w:rPr>
          <w:sz w:val="12"/>
        </w:rPr>
      </w:pPr>
      <w:r>
        <w:rPr>
          <w:color w:val="231F20"/>
          <w:sz w:val="12"/>
        </w:rPr>
        <w:t>50</w:t>
      </w:r>
      <w:r>
        <w:rPr>
          <w:color w:val="231F20"/>
          <w:spacing w:val="-20"/>
          <w:sz w:val="12"/>
        </w:rPr>
        <w:t xml:space="preserve"> </w:t>
      </w:r>
      <w:r>
        <w:rPr>
          <w:color w:val="231F20"/>
          <w:sz w:val="12"/>
        </w:rPr>
        <w:t>%</w:t>
      </w:r>
    </w:p>
    <w:p w14:paraId="51F6E6BE" w14:textId="77777777" w:rsidR="00F65BCA" w:rsidRDefault="00F65BCA">
      <w:pPr>
        <w:pStyle w:val="Zkladntext"/>
        <w:spacing w:before="6"/>
        <w:rPr>
          <w:sz w:val="19"/>
        </w:rPr>
      </w:pPr>
    </w:p>
    <w:p w14:paraId="07FEECC8" w14:textId="77777777" w:rsidR="00F65BCA" w:rsidRDefault="00216117">
      <w:pPr>
        <w:ind w:left="183"/>
        <w:rPr>
          <w:sz w:val="12"/>
        </w:rPr>
      </w:pPr>
      <w:r>
        <w:rPr>
          <w:color w:val="231F20"/>
          <w:sz w:val="12"/>
        </w:rPr>
        <w:t>40</w:t>
      </w:r>
      <w:r>
        <w:rPr>
          <w:color w:val="231F20"/>
          <w:spacing w:val="-20"/>
          <w:sz w:val="12"/>
        </w:rPr>
        <w:t xml:space="preserve"> </w:t>
      </w:r>
      <w:r>
        <w:rPr>
          <w:color w:val="231F20"/>
          <w:sz w:val="12"/>
        </w:rPr>
        <w:t>%</w:t>
      </w:r>
    </w:p>
    <w:p w14:paraId="59CE5B65" w14:textId="77777777" w:rsidR="00F65BCA" w:rsidRDefault="00216117">
      <w:pPr>
        <w:spacing w:before="43"/>
        <w:ind w:left="183"/>
        <w:rPr>
          <w:sz w:val="12"/>
        </w:rPr>
      </w:pPr>
      <w:r>
        <w:rPr>
          <w:color w:val="231F20"/>
          <w:sz w:val="12"/>
        </w:rPr>
        <w:t>50</w:t>
      </w:r>
      <w:r>
        <w:rPr>
          <w:color w:val="231F20"/>
          <w:spacing w:val="-20"/>
          <w:sz w:val="12"/>
        </w:rPr>
        <w:t xml:space="preserve"> </w:t>
      </w:r>
      <w:r>
        <w:rPr>
          <w:color w:val="231F20"/>
          <w:sz w:val="12"/>
        </w:rPr>
        <w:t>%</w:t>
      </w:r>
    </w:p>
    <w:p w14:paraId="5C950802" w14:textId="77777777" w:rsidR="00F65BCA" w:rsidRDefault="00216117">
      <w:pPr>
        <w:spacing w:before="45"/>
        <w:ind w:left="183"/>
        <w:rPr>
          <w:sz w:val="12"/>
        </w:rPr>
      </w:pPr>
      <w:r>
        <w:rPr>
          <w:color w:val="231F20"/>
          <w:sz w:val="12"/>
        </w:rPr>
        <w:t>35</w:t>
      </w:r>
      <w:r>
        <w:rPr>
          <w:color w:val="231F20"/>
          <w:spacing w:val="-20"/>
          <w:sz w:val="12"/>
        </w:rPr>
        <w:t xml:space="preserve"> </w:t>
      </w:r>
      <w:r>
        <w:rPr>
          <w:color w:val="231F20"/>
          <w:sz w:val="12"/>
        </w:rPr>
        <w:t>%</w:t>
      </w:r>
    </w:p>
    <w:p w14:paraId="5C611828" w14:textId="77777777" w:rsidR="00F65BCA" w:rsidRDefault="00216117">
      <w:pPr>
        <w:pStyle w:val="Odstavecseseznamem"/>
        <w:numPr>
          <w:ilvl w:val="0"/>
          <w:numId w:val="21"/>
        </w:numPr>
        <w:tabs>
          <w:tab w:val="left" w:pos="456"/>
        </w:tabs>
        <w:spacing w:before="21"/>
        <w:ind w:hanging="273"/>
        <w:rPr>
          <w:sz w:val="12"/>
        </w:rPr>
      </w:pPr>
      <w:r>
        <w:rPr>
          <w:color w:val="231F20"/>
          <w:w w:val="92"/>
          <w:sz w:val="12"/>
        </w:rPr>
        <w:br w:type="column"/>
      </w:r>
      <w:r>
        <w:rPr>
          <w:color w:val="231F20"/>
          <w:sz w:val="12"/>
        </w:rPr>
        <w:t>v základním</w:t>
      </w:r>
      <w:r>
        <w:rPr>
          <w:color w:val="231F20"/>
          <w:spacing w:val="-6"/>
          <w:sz w:val="12"/>
        </w:rPr>
        <w:t xml:space="preserve"> </w:t>
      </w:r>
      <w:r>
        <w:rPr>
          <w:color w:val="231F20"/>
          <w:sz w:val="12"/>
        </w:rPr>
        <w:t>postavení</w:t>
      </w:r>
    </w:p>
    <w:p w14:paraId="13E891CC" w14:textId="77777777" w:rsidR="00F65BCA" w:rsidRDefault="00216117">
      <w:pPr>
        <w:pStyle w:val="Odstavecseseznamem"/>
        <w:numPr>
          <w:ilvl w:val="0"/>
          <w:numId w:val="21"/>
        </w:numPr>
        <w:tabs>
          <w:tab w:val="left" w:pos="456"/>
        </w:tabs>
        <w:spacing w:before="42"/>
        <w:ind w:hanging="273"/>
        <w:rPr>
          <w:sz w:val="12"/>
        </w:rPr>
      </w:pPr>
      <w:r>
        <w:rPr>
          <w:color w:val="231F20"/>
          <w:sz w:val="12"/>
        </w:rPr>
        <w:t>v</w:t>
      </w:r>
      <w:r>
        <w:rPr>
          <w:color w:val="231F20"/>
          <w:spacing w:val="-1"/>
          <w:sz w:val="12"/>
        </w:rPr>
        <w:t xml:space="preserve"> </w:t>
      </w:r>
      <w:r>
        <w:rPr>
          <w:color w:val="231F20"/>
          <w:sz w:val="12"/>
        </w:rPr>
        <w:t>extenzi</w:t>
      </w:r>
    </w:p>
    <w:p w14:paraId="5C2DFBBA" w14:textId="77777777" w:rsidR="00F65BCA" w:rsidRDefault="00216117">
      <w:pPr>
        <w:pStyle w:val="Odstavecseseznamem"/>
        <w:numPr>
          <w:ilvl w:val="0"/>
          <w:numId w:val="21"/>
        </w:numPr>
        <w:tabs>
          <w:tab w:val="left" w:pos="456"/>
        </w:tabs>
        <w:spacing w:before="42"/>
        <w:ind w:hanging="273"/>
        <w:rPr>
          <w:sz w:val="12"/>
        </w:rPr>
      </w:pPr>
      <w:r>
        <w:rPr>
          <w:color w:val="231F20"/>
          <w:sz w:val="12"/>
        </w:rPr>
        <w:t>obou kloubů palce</w:t>
      </w:r>
      <w:r>
        <w:rPr>
          <w:color w:val="231F20"/>
          <w:spacing w:val="-4"/>
          <w:sz w:val="12"/>
        </w:rPr>
        <w:t xml:space="preserve"> </w:t>
      </w:r>
      <w:r>
        <w:rPr>
          <w:color w:val="231F20"/>
          <w:sz w:val="12"/>
        </w:rPr>
        <w:t>nohy</w:t>
      </w:r>
    </w:p>
    <w:p w14:paraId="6B1EE662" w14:textId="77777777" w:rsidR="00F65BCA" w:rsidRDefault="00216117">
      <w:pPr>
        <w:spacing w:before="43"/>
        <w:ind w:left="455"/>
        <w:rPr>
          <w:b/>
          <w:sz w:val="12"/>
        </w:rPr>
      </w:pPr>
      <w:r>
        <w:rPr>
          <w:b/>
          <w:color w:val="231F20"/>
          <w:sz w:val="12"/>
        </w:rPr>
        <w:t>Omezení pohyblivosti</w:t>
      </w:r>
    </w:p>
    <w:p w14:paraId="1B793950" w14:textId="77777777" w:rsidR="00F65BCA" w:rsidRDefault="00216117">
      <w:pPr>
        <w:pStyle w:val="Odstavecseseznamem"/>
        <w:numPr>
          <w:ilvl w:val="0"/>
          <w:numId w:val="21"/>
        </w:numPr>
        <w:tabs>
          <w:tab w:val="left" w:pos="456"/>
        </w:tabs>
        <w:spacing w:before="42"/>
        <w:ind w:hanging="273"/>
        <w:rPr>
          <w:sz w:val="12"/>
        </w:rPr>
      </w:pPr>
      <w:r>
        <w:rPr>
          <w:color w:val="231F20"/>
          <w:sz w:val="12"/>
        </w:rPr>
        <w:t>mezičlánkového</w:t>
      </w:r>
      <w:r>
        <w:rPr>
          <w:color w:val="231F20"/>
          <w:spacing w:val="-14"/>
          <w:sz w:val="12"/>
        </w:rPr>
        <w:t xml:space="preserve"> </w:t>
      </w:r>
      <w:r>
        <w:rPr>
          <w:color w:val="231F20"/>
          <w:sz w:val="12"/>
        </w:rPr>
        <w:t>kloubu</w:t>
      </w:r>
      <w:r>
        <w:rPr>
          <w:color w:val="231F20"/>
          <w:spacing w:val="-14"/>
          <w:sz w:val="12"/>
        </w:rPr>
        <w:t xml:space="preserve"> </w:t>
      </w:r>
      <w:r>
        <w:rPr>
          <w:color w:val="231F20"/>
          <w:sz w:val="12"/>
        </w:rPr>
        <w:t>palce</w:t>
      </w:r>
      <w:r>
        <w:rPr>
          <w:color w:val="231F20"/>
          <w:spacing w:val="-14"/>
          <w:sz w:val="12"/>
        </w:rPr>
        <w:t xml:space="preserve"> </w:t>
      </w:r>
      <w:r>
        <w:rPr>
          <w:color w:val="231F20"/>
          <w:sz w:val="12"/>
        </w:rPr>
        <w:t>nohy</w:t>
      </w:r>
    </w:p>
    <w:p w14:paraId="14986158" w14:textId="77777777" w:rsidR="00F65BCA" w:rsidRDefault="00216117">
      <w:pPr>
        <w:pStyle w:val="Odstavecseseznamem"/>
        <w:numPr>
          <w:ilvl w:val="0"/>
          <w:numId w:val="21"/>
        </w:numPr>
        <w:tabs>
          <w:tab w:val="left" w:pos="456"/>
        </w:tabs>
        <w:spacing w:before="43"/>
        <w:ind w:hanging="273"/>
        <w:rPr>
          <w:sz w:val="12"/>
        </w:rPr>
      </w:pPr>
      <w:r>
        <w:rPr>
          <w:color w:val="231F20"/>
          <w:sz w:val="12"/>
        </w:rPr>
        <w:t>základního článku palce</w:t>
      </w:r>
      <w:r>
        <w:rPr>
          <w:color w:val="231F20"/>
          <w:spacing w:val="-15"/>
          <w:sz w:val="12"/>
        </w:rPr>
        <w:t xml:space="preserve"> </w:t>
      </w:r>
      <w:r>
        <w:rPr>
          <w:color w:val="231F20"/>
          <w:sz w:val="12"/>
        </w:rPr>
        <w:t>nohy</w:t>
      </w:r>
    </w:p>
    <w:p w14:paraId="34DB380C" w14:textId="77777777" w:rsidR="00F65BCA" w:rsidRDefault="00216117">
      <w:pPr>
        <w:spacing w:before="21"/>
        <w:ind w:left="352"/>
        <w:rPr>
          <w:sz w:val="12"/>
        </w:rPr>
      </w:pPr>
      <w:r>
        <w:br w:type="column"/>
      </w:r>
      <w:r>
        <w:rPr>
          <w:color w:val="231F20"/>
          <w:sz w:val="12"/>
        </w:rPr>
        <w:t>7</w:t>
      </w:r>
      <w:r>
        <w:rPr>
          <w:color w:val="231F20"/>
          <w:spacing w:val="-20"/>
          <w:sz w:val="12"/>
        </w:rPr>
        <w:t xml:space="preserve"> </w:t>
      </w:r>
      <w:r>
        <w:rPr>
          <w:color w:val="231F20"/>
          <w:sz w:val="12"/>
        </w:rPr>
        <w:t>%</w:t>
      </w:r>
    </w:p>
    <w:p w14:paraId="5901FE59" w14:textId="77777777" w:rsidR="00F65BCA" w:rsidRDefault="00216117">
      <w:pPr>
        <w:spacing w:before="42"/>
        <w:ind w:left="352"/>
        <w:rPr>
          <w:sz w:val="12"/>
        </w:rPr>
      </w:pPr>
      <w:r>
        <w:rPr>
          <w:color w:val="231F20"/>
          <w:sz w:val="12"/>
        </w:rPr>
        <w:t>8</w:t>
      </w:r>
      <w:r>
        <w:rPr>
          <w:color w:val="231F20"/>
          <w:spacing w:val="-20"/>
          <w:sz w:val="12"/>
        </w:rPr>
        <w:t xml:space="preserve"> </w:t>
      </w:r>
      <w:r>
        <w:rPr>
          <w:color w:val="231F20"/>
          <w:sz w:val="12"/>
        </w:rPr>
        <w:t>%</w:t>
      </w:r>
    </w:p>
    <w:p w14:paraId="3C877BF1" w14:textId="77777777" w:rsidR="00F65BCA" w:rsidRDefault="00216117">
      <w:pPr>
        <w:spacing w:before="42"/>
        <w:ind w:left="267"/>
        <w:rPr>
          <w:sz w:val="12"/>
        </w:rPr>
      </w:pPr>
      <w:r>
        <w:rPr>
          <w:color w:val="231F20"/>
          <w:sz w:val="12"/>
        </w:rPr>
        <w:t>10</w:t>
      </w:r>
      <w:r>
        <w:rPr>
          <w:color w:val="231F20"/>
          <w:spacing w:val="-1"/>
          <w:sz w:val="12"/>
        </w:rPr>
        <w:t xml:space="preserve"> </w:t>
      </w:r>
      <w:r>
        <w:rPr>
          <w:color w:val="231F20"/>
          <w:sz w:val="12"/>
        </w:rPr>
        <w:t>%</w:t>
      </w:r>
    </w:p>
    <w:p w14:paraId="34AA9DB3" w14:textId="77777777" w:rsidR="00F65BCA" w:rsidRDefault="00F65BCA">
      <w:pPr>
        <w:pStyle w:val="Zkladntext"/>
        <w:spacing w:before="4"/>
        <w:rPr>
          <w:sz w:val="19"/>
        </w:rPr>
      </w:pPr>
    </w:p>
    <w:p w14:paraId="1070AB01" w14:textId="77777777" w:rsidR="00F65BCA" w:rsidRDefault="00216117">
      <w:pPr>
        <w:ind w:right="38"/>
        <w:jc w:val="right"/>
        <w:rPr>
          <w:sz w:val="12"/>
        </w:rPr>
      </w:pPr>
      <w:r>
        <w:rPr>
          <w:color w:val="231F20"/>
          <w:sz w:val="12"/>
        </w:rPr>
        <w:t>1</w:t>
      </w:r>
      <w:r>
        <w:rPr>
          <w:color w:val="231F20"/>
          <w:spacing w:val="-20"/>
          <w:sz w:val="12"/>
        </w:rPr>
        <w:t xml:space="preserve"> </w:t>
      </w:r>
      <w:r>
        <w:rPr>
          <w:color w:val="231F20"/>
          <w:sz w:val="12"/>
        </w:rPr>
        <w:t>%</w:t>
      </w:r>
    </w:p>
    <w:p w14:paraId="4D5D0A12" w14:textId="77777777" w:rsidR="00F65BCA" w:rsidRDefault="00216117">
      <w:pPr>
        <w:spacing w:before="44"/>
        <w:ind w:right="38"/>
        <w:jc w:val="right"/>
        <w:rPr>
          <w:sz w:val="12"/>
        </w:rPr>
      </w:pPr>
      <w:r>
        <w:rPr>
          <w:color w:val="231F20"/>
          <w:sz w:val="12"/>
        </w:rPr>
        <w:t>do 4</w:t>
      </w:r>
      <w:r>
        <w:rPr>
          <w:color w:val="231F20"/>
          <w:spacing w:val="-17"/>
          <w:sz w:val="12"/>
        </w:rPr>
        <w:t xml:space="preserve"> </w:t>
      </w:r>
      <w:r>
        <w:rPr>
          <w:color w:val="231F20"/>
          <w:sz w:val="12"/>
        </w:rPr>
        <w:t>%</w:t>
      </w:r>
    </w:p>
    <w:p w14:paraId="05584409" w14:textId="77777777" w:rsidR="00F65BCA" w:rsidRDefault="00216117">
      <w:pPr>
        <w:spacing w:before="3" w:line="249" w:lineRule="auto"/>
        <w:ind w:left="455" w:right="49"/>
        <w:rPr>
          <w:sz w:val="12"/>
        </w:rPr>
      </w:pPr>
      <w:r>
        <w:br w:type="column"/>
      </w:r>
      <w:r>
        <w:rPr>
          <w:color w:val="231F20"/>
          <w:sz w:val="12"/>
        </w:rPr>
        <w:t>po otevřených zraněních nebo po operativních zákrocích nutných k léčení následků úrazu (osteomyelitida)</w:t>
      </w:r>
    </w:p>
    <w:p w14:paraId="2636CB89" w14:textId="77777777" w:rsidR="00F65BCA" w:rsidRDefault="00216117">
      <w:pPr>
        <w:spacing w:before="43"/>
        <w:ind w:left="455" w:right="33" w:hanging="272"/>
        <w:rPr>
          <w:sz w:val="12"/>
        </w:rPr>
      </w:pPr>
      <w:r>
        <w:rPr>
          <w:b/>
          <w:color w:val="231F20"/>
          <w:sz w:val="12"/>
        </w:rPr>
        <w:t xml:space="preserve">328 </w:t>
      </w:r>
      <w:r>
        <w:rPr>
          <w:color w:val="231F20"/>
          <w:position w:val="1"/>
          <w:sz w:val="12"/>
        </w:rPr>
        <w:t xml:space="preserve">U omezení pohyblivosti ramenního </w:t>
      </w:r>
      <w:r>
        <w:rPr>
          <w:color w:val="231F20"/>
          <w:spacing w:val="-2"/>
          <w:position w:val="1"/>
          <w:sz w:val="12"/>
        </w:rPr>
        <w:t>kloubu</w:t>
      </w:r>
      <w:r>
        <w:rPr>
          <w:color w:val="231F20"/>
          <w:spacing w:val="-2"/>
          <w:sz w:val="12"/>
        </w:rPr>
        <w:t xml:space="preserve"> </w:t>
      </w:r>
      <w:r>
        <w:rPr>
          <w:color w:val="231F20"/>
          <w:sz w:val="12"/>
        </w:rPr>
        <w:t xml:space="preserve">lehkého, středního nebo těžkého stupně se </w:t>
      </w:r>
      <w:r>
        <w:rPr>
          <w:color w:val="231F20"/>
          <w:spacing w:val="-2"/>
          <w:sz w:val="12"/>
        </w:rPr>
        <w:t xml:space="preserve">při </w:t>
      </w:r>
      <w:r>
        <w:rPr>
          <w:color w:val="231F20"/>
          <w:w w:val="95"/>
          <w:sz w:val="12"/>
        </w:rPr>
        <w:t xml:space="preserve">současném omezení pohybů </w:t>
      </w:r>
      <w:r>
        <w:rPr>
          <w:color w:val="231F20"/>
          <w:spacing w:val="-2"/>
          <w:w w:val="95"/>
          <w:sz w:val="12"/>
        </w:rPr>
        <w:t xml:space="preserve">rotačních </w:t>
      </w:r>
      <w:r>
        <w:rPr>
          <w:color w:val="231F20"/>
          <w:w w:val="95"/>
          <w:sz w:val="12"/>
        </w:rPr>
        <w:t xml:space="preserve">hodnoce- </w:t>
      </w:r>
      <w:r>
        <w:rPr>
          <w:color w:val="231F20"/>
          <w:sz w:val="12"/>
        </w:rPr>
        <w:t>ní</w:t>
      </w:r>
      <w:r>
        <w:rPr>
          <w:color w:val="231F20"/>
          <w:spacing w:val="-15"/>
          <w:sz w:val="12"/>
        </w:rPr>
        <w:t xml:space="preserve"> </w:t>
      </w:r>
      <w:r>
        <w:rPr>
          <w:color w:val="231F20"/>
          <w:sz w:val="12"/>
        </w:rPr>
        <w:t>zvyšuje</w:t>
      </w:r>
      <w:r>
        <w:rPr>
          <w:color w:val="231F20"/>
          <w:spacing w:val="-15"/>
          <w:sz w:val="12"/>
        </w:rPr>
        <w:t xml:space="preserve"> </w:t>
      </w:r>
      <w:r>
        <w:rPr>
          <w:color w:val="231F20"/>
          <w:sz w:val="12"/>
        </w:rPr>
        <w:t>podle</w:t>
      </w:r>
      <w:r>
        <w:rPr>
          <w:color w:val="231F20"/>
          <w:spacing w:val="-15"/>
          <w:sz w:val="12"/>
        </w:rPr>
        <w:t xml:space="preserve"> </w:t>
      </w:r>
      <w:r>
        <w:rPr>
          <w:color w:val="231F20"/>
          <w:sz w:val="12"/>
        </w:rPr>
        <w:t>bodů</w:t>
      </w:r>
      <w:r>
        <w:rPr>
          <w:color w:val="231F20"/>
          <w:spacing w:val="-15"/>
          <w:sz w:val="12"/>
        </w:rPr>
        <w:t xml:space="preserve"> </w:t>
      </w:r>
      <w:r>
        <w:rPr>
          <w:color w:val="231F20"/>
          <w:sz w:val="12"/>
        </w:rPr>
        <w:t>117</w:t>
      </w:r>
      <w:r>
        <w:rPr>
          <w:color w:val="231F20"/>
          <w:spacing w:val="-14"/>
          <w:sz w:val="12"/>
        </w:rPr>
        <w:t xml:space="preserve"> </w:t>
      </w:r>
      <w:r>
        <w:rPr>
          <w:color w:val="231F20"/>
          <w:sz w:val="12"/>
        </w:rPr>
        <w:t>až</w:t>
      </w:r>
      <w:r>
        <w:rPr>
          <w:color w:val="231F20"/>
          <w:spacing w:val="-15"/>
          <w:sz w:val="12"/>
        </w:rPr>
        <w:t xml:space="preserve"> </w:t>
      </w:r>
      <w:r>
        <w:rPr>
          <w:color w:val="231F20"/>
          <w:sz w:val="12"/>
        </w:rPr>
        <w:t>122</w:t>
      </w:r>
      <w:r>
        <w:rPr>
          <w:color w:val="231F20"/>
          <w:spacing w:val="-15"/>
          <w:sz w:val="12"/>
        </w:rPr>
        <w:t xml:space="preserve"> </w:t>
      </w:r>
      <w:r>
        <w:rPr>
          <w:color w:val="231F20"/>
          <w:sz w:val="12"/>
        </w:rPr>
        <w:t>o</w:t>
      </w:r>
      <w:r>
        <w:rPr>
          <w:color w:val="231F20"/>
          <w:spacing w:val="-13"/>
          <w:sz w:val="12"/>
        </w:rPr>
        <w:t xml:space="preserve"> </w:t>
      </w:r>
      <w:r>
        <w:rPr>
          <w:color w:val="231F20"/>
          <w:sz w:val="12"/>
        </w:rPr>
        <w:t>jednu</w:t>
      </w:r>
      <w:r>
        <w:rPr>
          <w:color w:val="231F20"/>
          <w:spacing w:val="-14"/>
          <w:sz w:val="12"/>
        </w:rPr>
        <w:t xml:space="preserve"> </w:t>
      </w:r>
      <w:r>
        <w:rPr>
          <w:color w:val="231F20"/>
          <w:sz w:val="12"/>
        </w:rPr>
        <w:t>třetinu.</w:t>
      </w:r>
    </w:p>
    <w:p w14:paraId="1F2B1E70" w14:textId="77777777" w:rsidR="00F65BCA" w:rsidRDefault="00216117">
      <w:pPr>
        <w:spacing w:before="75"/>
        <w:ind w:right="223"/>
        <w:jc w:val="right"/>
        <w:rPr>
          <w:sz w:val="12"/>
        </w:rPr>
      </w:pPr>
      <w:r>
        <w:br w:type="column"/>
      </w:r>
      <w:r>
        <w:rPr>
          <w:color w:val="231F20"/>
          <w:sz w:val="12"/>
        </w:rPr>
        <w:t>15</w:t>
      </w:r>
      <w:r>
        <w:rPr>
          <w:color w:val="231F20"/>
          <w:spacing w:val="-20"/>
          <w:sz w:val="12"/>
        </w:rPr>
        <w:t xml:space="preserve"> </w:t>
      </w:r>
      <w:r>
        <w:rPr>
          <w:color w:val="231F20"/>
          <w:sz w:val="12"/>
        </w:rPr>
        <w:t>%</w:t>
      </w:r>
    </w:p>
    <w:p w14:paraId="543B7618" w14:textId="77777777" w:rsidR="00F65BCA" w:rsidRDefault="00F65BCA">
      <w:pPr>
        <w:pStyle w:val="Zkladntext"/>
        <w:rPr>
          <w:sz w:val="14"/>
        </w:rPr>
      </w:pPr>
    </w:p>
    <w:p w14:paraId="082E5488" w14:textId="77777777" w:rsidR="00F65BCA" w:rsidRDefault="00F65BCA">
      <w:pPr>
        <w:pStyle w:val="Zkladntext"/>
        <w:rPr>
          <w:sz w:val="14"/>
        </w:rPr>
      </w:pPr>
    </w:p>
    <w:p w14:paraId="746DA8C4" w14:textId="77777777" w:rsidR="00F65BCA" w:rsidRDefault="00F65BCA">
      <w:pPr>
        <w:pStyle w:val="Zkladntext"/>
        <w:spacing w:before="4"/>
        <w:rPr>
          <w:sz w:val="14"/>
        </w:rPr>
      </w:pPr>
    </w:p>
    <w:p w14:paraId="2DF04C5C" w14:textId="77777777" w:rsidR="00F65BCA" w:rsidRDefault="00216117">
      <w:pPr>
        <w:ind w:right="223"/>
        <w:jc w:val="right"/>
        <w:rPr>
          <w:sz w:val="12"/>
        </w:rPr>
      </w:pPr>
      <w:r>
        <w:rPr>
          <w:color w:val="231F20"/>
          <w:sz w:val="12"/>
        </w:rPr>
        <w:t>do 5</w:t>
      </w:r>
      <w:r>
        <w:rPr>
          <w:color w:val="231F20"/>
          <w:spacing w:val="-17"/>
          <w:sz w:val="12"/>
        </w:rPr>
        <w:t xml:space="preserve"> </w:t>
      </w:r>
      <w:r>
        <w:rPr>
          <w:color w:val="231F20"/>
          <w:sz w:val="12"/>
        </w:rPr>
        <w:t>%</w:t>
      </w:r>
    </w:p>
    <w:p w14:paraId="76AE2149" w14:textId="77777777" w:rsidR="00F65BCA" w:rsidRDefault="00F65BCA">
      <w:pPr>
        <w:jc w:val="right"/>
        <w:rPr>
          <w:sz w:val="12"/>
        </w:rPr>
        <w:sectPr w:rsidR="00F65BCA">
          <w:type w:val="continuous"/>
          <w:pgSz w:w="11910" w:h="16840"/>
          <w:pgMar w:top="840" w:right="140" w:bottom="280" w:left="140" w:header="708" w:footer="708" w:gutter="0"/>
          <w:cols w:num="6" w:space="708" w:equalWidth="0">
            <w:col w:w="2973" w:space="238"/>
            <w:col w:w="479" w:space="184"/>
            <w:col w:w="2299" w:space="811"/>
            <w:col w:w="582" w:space="184"/>
            <w:col w:w="2993" w:space="116"/>
            <w:col w:w="771"/>
          </w:cols>
        </w:sectPr>
      </w:pPr>
    </w:p>
    <w:p w14:paraId="113FF2BF" w14:textId="77777777" w:rsidR="00F65BCA" w:rsidRDefault="00216117">
      <w:pPr>
        <w:tabs>
          <w:tab w:val="left" w:pos="4564"/>
          <w:tab w:val="left" w:pos="11198"/>
        </w:tabs>
        <w:spacing w:before="88"/>
        <w:ind w:left="426"/>
        <w:rPr>
          <w:b/>
          <w:sz w:val="24"/>
        </w:rPr>
      </w:pPr>
      <w:r>
        <w:rPr>
          <w:b/>
          <w:color w:val="FFFFFF"/>
          <w:sz w:val="24"/>
          <w:shd w:val="clear" w:color="auto" w:fill="808285"/>
        </w:rPr>
        <w:lastRenderedPageBreak/>
        <w:t xml:space="preserve"> </w:t>
      </w:r>
      <w:r>
        <w:rPr>
          <w:b/>
          <w:color w:val="FFFFFF"/>
          <w:sz w:val="24"/>
          <w:shd w:val="clear" w:color="auto" w:fill="808285"/>
        </w:rPr>
        <w:tab/>
        <w:t>POMOCNÉ</w:t>
      </w:r>
      <w:r>
        <w:rPr>
          <w:b/>
          <w:color w:val="FFFFFF"/>
          <w:spacing w:val="37"/>
          <w:sz w:val="24"/>
          <w:shd w:val="clear" w:color="auto" w:fill="808285"/>
        </w:rPr>
        <w:t xml:space="preserve"> </w:t>
      </w:r>
      <w:r>
        <w:rPr>
          <w:b/>
          <w:color w:val="FFFFFF"/>
          <w:sz w:val="24"/>
          <w:shd w:val="clear" w:color="auto" w:fill="808285"/>
        </w:rPr>
        <w:t>TABULKY</w:t>
      </w:r>
      <w:r>
        <w:rPr>
          <w:b/>
          <w:color w:val="FFFFFF"/>
          <w:sz w:val="24"/>
          <w:shd w:val="clear" w:color="auto" w:fill="808285"/>
        </w:rPr>
        <w:tab/>
      </w:r>
    </w:p>
    <w:p w14:paraId="5D503B5D" w14:textId="77777777" w:rsidR="00F65BCA" w:rsidRDefault="00216117">
      <w:pPr>
        <w:tabs>
          <w:tab w:val="left" w:pos="2785"/>
          <w:tab w:val="left" w:pos="11198"/>
        </w:tabs>
        <w:spacing w:before="244"/>
        <w:ind w:left="426"/>
        <w:rPr>
          <w:sz w:val="24"/>
        </w:rPr>
      </w:pPr>
      <w:r>
        <w:rPr>
          <w:color w:val="231F20"/>
          <w:sz w:val="24"/>
          <w:shd w:val="clear" w:color="auto" w:fill="DCDDDE"/>
        </w:rPr>
        <w:t xml:space="preserve"> </w:t>
      </w:r>
      <w:r>
        <w:rPr>
          <w:color w:val="231F20"/>
          <w:sz w:val="24"/>
          <w:shd w:val="clear" w:color="auto" w:fill="DCDDDE"/>
        </w:rPr>
        <w:tab/>
      </w:r>
      <w:r>
        <w:rPr>
          <w:color w:val="231F20"/>
          <w:spacing w:val="8"/>
          <w:sz w:val="24"/>
          <w:shd w:val="clear" w:color="auto" w:fill="DCDDDE"/>
        </w:rPr>
        <w:t>PRO</w:t>
      </w:r>
      <w:r>
        <w:rPr>
          <w:color w:val="231F20"/>
          <w:spacing w:val="-10"/>
          <w:sz w:val="24"/>
          <w:shd w:val="clear" w:color="auto" w:fill="DCDDDE"/>
        </w:rPr>
        <w:t xml:space="preserve"> </w:t>
      </w:r>
      <w:r>
        <w:rPr>
          <w:color w:val="231F20"/>
          <w:spacing w:val="10"/>
          <w:sz w:val="24"/>
          <w:shd w:val="clear" w:color="auto" w:fill="DCDDDE"/>
        </w:rPr>
        <w:t>HODNOCENÍ</w:t>
      </w:r>
      <w:r>
        <w:rPr>
          <w:color w:val="231F20"/>
          <w:spacing w:val="-9"/>
          <w:sz w:val="24"/>
          <w:shd w:val="clear" w:color="auto" w:fill="DCDDDE"/>
        </w:rPr>
        <w:t xml:space="preserve"> </w:t>
      </w:r>
      <w:r>
        <w:rPr>
          <w:color w:val="231F20"/>
          <w:spacing w:val="10"/>
          <w:sz w:val="24"/>
          <w:shd w:val="clear" w:color="auto" w:fill="DCDDDE"/>
        </w:rPr>
        <w:t>TRVALÉHO</w:t>
      </w:r>
      <w:r>
        <w:rPr>
          <w:color w:val="231F20"/>
          <w:spacing w:val="-9"/>
          <w:sz w:val="24"/>
          <w:shd w:val="clear" w:color="auto" w:fill="DCDDDE"/>
        </w:rPr>
        <w:t xml:space="preserve"> </w:t>
      </w:r>
      <w:r>
        <w:rPr>
          <w:color w:val="231F20"/>
          <w:spacing w:val="10"/>
          <w:sz w:val="24"/>
          <w:shd w:val="clear" w:color="auto" w:fill="DCDDDE"/>
        </w:rPr>
        <w:t>POŠKOZENÍ</w:t>
      </w:r>
      <w:r>
        <w:rPr>
          <w:color w:val="231F20"/>
          <w:spacing w:val="-9"/>
          <w:sz w:val="24"/>
          <w:shd w:val="clear" w:color="auto" w:fill="DCDDDE"/>
        </w:rPr>
        <w:t xml:space="preserve"> </w:t>
      </w:r>
      <w:r>
        <w:rPr>
          <w:color w:val="231F20"/>
          <w:spacing w:val="9"/>
          <w:sz w:val="24"/>
          <w:shd w:val="clear" w:color="auto" w:fill="DCDDDE"/>
        </w:rPr>
        <w:t>ZRAKU</w:t>
      </w:r>
      <w:r>
        <w:rPr>
          <w:color w:val="231F20"/>
          <w:spacing w:val="9"/>
          <w:sz w:val="24"/>
          <w:shd w:val="clear" w:color="auto" w:fill="DCDDDE"/>
        </w:rPr>
        <w:tab/>
      </w:r>
    </w:p>
    <w:p w14:paraId="6A023E8B" w14:textId="77777777" w:rsidR="00F65BCA" w:rsidRDefault="00F65BCA">
      <w:pPr>
        <w:pStyle w:val="Zkladntext"/>
        <w:spacing w:before="1"/>
        <w:rPr>
          <w:sz w:val="21"/>
        </w:rPr>
      </w:pPr>
    </w:p>
    <w:p w14:paraId="73263994" w14:textId="77777777" w:rsidR="00F65BCA" w:rsidRDefault="00000000">
      <w:pPr>
        <w:tabs>
          <w:tab w:val="left" w:pos="6188"/>
        </w:tabs>
        <w:spacing w:line="24" w:lineRule="exact"/>
        <w:ind w:left="439"/>
        <w:rPr>
          <w:sz w:val="2"/>
        </w:rPr>
      </w:pPr>
      <w:r>
        <w:rPr>
          <w:sz w:val="2"/>
        </w:rPr>
      </w:r>
      <w:r>
        <w:rPr>
          <w:sz w:val="2"/>
        </w:rPr>
        <w:pict w14:anchorId="092D0A19">
          <v:group id="_x0000_s1093" style="width:261.65pt;height:1pt;mso-position-horizontal-relative:char;mso-position-vertical-relative:line" coordsize="5233,20">
            <v:line id="_x0000_s1106" style="position:absolute" from="0,10" to="403,10" strokecolor="#231f20" strokeweight="1pt"/>
            <v:line id="_x0000_s1105" style="position:absolute" from="403,10" to="805,10" strokecolor="#231f20" strokeweight="1pt"/>
            <v:line id="_x0000_s1104" style="position:absolute" from="805,10" to="1208,10" strokecolor="#231f20" strokeweight="1pt"/>
            <v:line id="_x0000_s1103" style="position:absolute" from="1208,10" to="1610,10" strokecolor="#231f20" strokeweight="1pt"/>
            <v:line id="_x0000_s1102" style="position:absolute" from="1610,10" to="2013,10" strokecolor="#231f20" strokeweight="1pt"/>
            <v:line id="_x0000_s1101" style="position:absolute" from="2013,10" to="2415,10" strokecolor="#231f20" strokeweight="1pt"/>
            <v:line id="_x0000_s1100" style="position:absolute" from="2415,10" to="2818,10" strokecolor="#231f20" strokeweight="1pt"/>
            <v:line id="_x0000_s1099" style="position:absolute" from="2818,10" to="3220,10" strokecolor="#231f20" strokeweight="1pt"/>
            <v:line id="_x0000_s1098" style="position:absolute" from="3220,10" to="3623,10" strokecolor="#231f20" strokeweight="1pt"/>
            <v:line id="_x0000_s1097" style="position:absolute" from="3623,10" to="4025,10" strokecolor="#231f20" strokeweight="1pt"/>
            <v:line id="_x0000_s1096" style="position:absolute" from="4025,10" to="4428,10" strokecolor="#231f20" strokeweight="1pt"/>
            <v:line id="_x0000_s1095" style="position:absolute" from="4428,10" to="4830,10" strokecolor="#231f20" strokeweight="1pt"/>
            <v:line id="_x0000_s1094" style="position:absolute" from="4830,10" to="5233,10" strokecolor="#231f20" strokeweight="1pt"/>
            <w10:anchorlock/>
          </v:group>
        </w:pict>
      </w:r>
      <w:r w:rsidR="00216117">
        <w:rPr>
          <w:sz w:val="2"/>
        </w:rPr>
        <w:tab/>
      </w:r>
      <w:r>
        <w:rPr>
          <w:sz w:val="2"/>
        </w:rPr>
      </w:r>
      <w:r>
        <w:rPr>
          <w:sz w:val="2"/>
        </w:rPr>
        <w:pict w14:anchorId="4967FEE9">
          <v:group id="_x0000_s1085" style="width:248.9pt;height:1pt;mso-position-horizontal-relative:char;mso-position-vertical-relative:line" coordsize="4978,20">
            <v:line id="_x0000_s1092" style="position:absolute" from="0,10" to="1151,10" strokecolor="#231f20" strokeweight="1pt"/>
            <v:line id="_x0000_s1091" style="position:absolute" from="1151,10" to="1349,10" strokecolor="#231f20" strokeweight="1pt"/>
            <v:line id="_x0000_s1090" style="position:absolute" from="1349,10" to="2426,10" strokecolor="#231f20" strokeweight="1pt"/>
            <v:line id="_x0000_s1089" style="position:absolute" from="2426,10" to="2625,10" strokecolor="#231f20" strokeweight="1pt"/>
            <v:line id="_x0000_s1088" style="position:absolute" from="2625,10" to="3702,10" strokecolor="#231f20" strokeweight="1pt"/>
            <v:line id="_x0000_s1087" style="position:absolute" from="3702,10" to="3900,10" strokecolor="#231f20" strokeweight="1pt"/>
            <v:line id="_x0000_s1086" style="position:absolute" from="3900,10" to="4978,10" strokecolor="#231f20" strokeweight="1pt"/>
            <w10:anchorlock/>
          </v:group>
        </w:pict>
      </w:r>
    </w:p>
    <w:p w14:paraId="1C7BCFDD" w14:textId="77777777" w:rsidR="00F65BCA" w:rsidRDefault="00F65BCA">
      <w:pPr>
        <w:spacing w:line="24" w:lineRule="exact"/>
        <w:rPr>
          <w:sz w:val="2"/>
        </w:rPr>
        <w:sectPr w:rsidR="00F65BCA">
          <w:pgSz w:w="11910" w:h="16840"/>
          <w:pgMar w:top="520" w:right="140" w:bottom="0" w:left="140" w:header="708" w:footer="708" w:gutter="0"/>
          <w:cols w:space="708"/>
        </w:sectPr>
      </w:pPr>
    </w:p>
    <w:p w14:paraId="54E216BE" w14:textId="77777777" w:rsidR="00F65BCA" w:rsidRDefault="00216117">
      <w:pPr>
        <w:spacing w:before="43"/>
        <w:ind w:left="641" w:right="220"/>
        <w:jc w:val="center"/>
        <w:rPr>
          <w:sz w:val="14"/>
        </w:rPr>
      </w:pPr>
      <w:r>
        <w:rPr>
          <w:b/>
          <w:color w:val="231F20"/>
          <w:sz w:val="15"/>
        </w:rPr>
        <w:t xml:space="preserve">TABULKA Č. 1 </w:t>
      </w:r>
      <w:r>
        <w:rPr>
          <w:color w:val="231F20"/>
          <w:sz w:val="14"/>
        </w:rPr>
        <w:t>(hodnocení dle položky 011)</w:t>
      </w:r>
    </w:p>
    <w:p w14:paraId="008F5F7A" w14:textId="77777777" w:rsidR="00F65BCA" w:rsidRDefault="00F65BCA">
      <w:pPr>
        <w:pStyle w:val="Zkladntext"/>
        <w:spacing w:before="2"/>
        <w:rPr>
          <w:sz w:val="4"/>
        </w:rPr>
      </w:pPr>
    </w:p>
    <w:p w14:paraId="174E86BE" w14:textId="77777777" w:rsidR="00F65BCA" w:rsidRDefault="00000000">
      <w:pPr>
        <w:pStyle w:val="Zkladntext"/>
        <w:spacing w:line="20" w:lineRule="exact"/>
        <w:ind w:left="444" w:right="-44"/>
        <w:rPr>
          <w:sz w:val="2"/>
        </w:rPr>
      </w:pPr>
      <w:r>
        <w:rPr>
          <w:sz w:val="2"/>
        </w:rPr>
      </w:r>
      <w:r>
        <w:rPr>
          <w:sz w:val="2"/>
        </w:rPr>
        <w:pict w14:anchorId="7BC13F9B">
          <v:group id="_x0000_s1071" style="width:261.65pt;height:.5pt;mso-position-horizontal-relative:char;mso-position-vertical-relative:line" coordsize="5233,10">
            <v:line id="_x0000_s1084" style="position:absolute" from="0,5" to="403,5" strokecolor="#231f20" strokeweight=".5pt"/>
            <v:line id="_x0000_s1083" style="position:absolute" from="403,5" to="805,5" strokecolor="#231f20" strokeweight=".5pt"/>
            <v:line id="_x0000_s1082" style="position:absolute" from="805,5" to="1208,5" strokecolor="#231f20" strokeweight=".5pt"/>
            <v:line id="_x0000_s1081" style="position:absolute" from="1208,5" to="1610,5" strokecolor="#231f20" strokeweight=".5pt"/>
            <v:line id="_x0000_s1080" style="position:absolute" from="1610,5" to="2013,5" strokecolor="#231f20" strokeweight=".5pt"/>
            <v:line id="_x0000_s1079" style="position:absolute" from="2013,5" to="2415,5" strokecolor="#231f20" strokeweight=".5pt"/>
            <v:line id="_x0000_s1078" style="position:absolute" from="2415,5" to="2818,5" strokecolor="#231f20" strokeweight=".5pt"/>
            <v:line id="_x0000_s1077" style="position:absolute" from="2818,5" to="3220,5" strokecolor="#231f20" strokeweight=".5pt"/>
            <v:line id="_x0000_s1076" style="position:absolute" from="3220,5" to="3623,5" strokecolor="#231f20" strokeweight=".5pt"/>
            <v:line id="_x0000_s1075" style="position:absolute" from="3623,5" to="4025,5" strokecolor="#231f20" strokeweight=".5pt"/>
            <v:line id="_x0000_s1074" style="position:absolute" from="4025,5" to="4428,5" strokecolor="#231f20" strokeweight=".5pt"/>
            <v:line id="_x0000_s1073" style="position:absolute" from="4428,5" to="4830,5" strokecolor="#231f20" strokeweight=".5pt"/>
            <v:line id="_x0000_s1072" style="position:absolute" from="4830,5" to="5233,5" strokecolor="#231f20" strokeweight=".5pt"/>
            <w10:anchorlock/>
          </v:group>
        </w:pict>
      </w:r>
    </w:p>
    <w:p w14:paraId="3A93DC13" w14:textId="77777777" w:rsidR="00F65BCA" w:rsidRDefault="00216117">
      <w:pPr>
        <w:spacing w:before="19"/>
        <w:ind w:left="641" w:right="220"/>
        <w:jc w:val="center"/>
        <w:rPr>
          <w:sz w:val="12"/>
        </w:rPr>
      </w:pPr>
      <w:r>
        <w:rPr>
          <w:color w:val="231F20"/>
          <w:sz w:val="12"/>
        </w:rPr>
        <w:t>Plnění za trvalé tělesné poškození při snížení zrakové ostrosti s optimální brýlovou korekcí</w:t>
      </w:r>
    </w:p>
    <w:p w14:paraId="556E9AF5" w14:textId="77777777" w:rsidR="00F65BCA" w:rsidRDefault="00F65BCA">
      <w:pPr>
        <w:pStyle w:val="Zkladntext"/>
        <w:spacing w:before="7"/>
        <w:rPr>
          <w:sz w:val="2"/>
        </w:rPr>
      </w:pPr>
    </w:p>
    <w:tbl>
      <w:tblPr>
        <w:tblStyle w:val="TableNormal"/>
        <w:tblW w:w="0" w:type="auto"/>
        <w:tblInd w:w="45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03"/>
        <w:gridCol w:w="403"/>
        <w:gridCol w:w="403"/>
        <w:gridCol w:w="403"/>
        <w:gridCol w:w="403"/>
        <w:gridCol w:w="403"/>
        <w:gridCol w:w="403"/>
        <w:gridCol w:w="403"/>
        <w:gridCol w:w="403"/>
        <w:gridCol w:w="403"/>
        <w:gridCol w:w="403"/>
        <w:gridCol w:w="403"/>
        <w:gridCol w:w="403"/>
      </w:tblGrid>
      <w:tr w:rsidR="00F65BCA" w14:paraId="0BF1035F" w14:textId="77777777">
        <w:trPr>
          <w:trHeight w:val="216"/>
        </w:trPr>
        <w:tc>
          <w:tcPr>
            <w:tcW w:w="403" w:type="dxa"/>
            <w:tcBorders>
              <w:left w:val="nil"/>
            </w:tcBorders>
          </w:tcPr>
          <w:p w14:paraId="0F3B8744" w14:textId="77777777" w:rsidR="00F65BCA" w:rsidRDefault="00F65BCA">
            <w:pPr>
              <w:pStyle w:val="TableParagraph"/>
              <w:rPr>
                <w:rFonts w:ascii="Times New Roman"/>
                <w:sz w:val="12"/>
              </w:rPr>
            </w:pPr>
          </w:p>
        </w:tc>
        <w:tc>
          <w:tcPr>
            <w:tcW w:w="403" w:type="dxa"/>
          </w:tcPr>
          <w:p w14:paraId="79C10282" w14:textId="77777777" w:rsidR="00F65BCA" w:rsidRDefault="00216117">
            <w:pPr>
              <w:pStyle w:val="TableParagraph"/>
              <w:spacing w:before="38"/>
              <w:ind w:left="109"/>
              <w:rPr>
                <w:sz w:val="12"/>
              </w:rPr>
            </w:pPr>
            <w:r>
              <w:rPr>
                <w:color w:val="231F20"/>
                <w:w w:val="105"/>
                <w:sz w:val="12"/>
              </w:rPr>
              <w:t>6/6</w:t>
            </w:r>
          </w:p>
        </w:tc>
        <w:tc>
          <w:tcPr>
            <w:tcW w:w="403" w:type="dxa"/>
          </w:tcPr>
          <w:p w14:paraId="7C8A2803" w14:textId="77777777" w:rsidR="00F65BCA" w:rsidRDefault="00216117">
            <w:pPr>
              <w:pStyle w:val="TableParagraph"/>
              <w:spacing w:before="38"/>
              <w:ind w:left="108"/>
              <w:rPr>
                <w:sz w:val="12"/>
              </w:rPr>
            </w:pPr>
            <w:r>
              <w:rPr>
                <w:color w:val="231F20"/>
                <w:w w:val="105"/>
                <w:sz w:val="12"/>
              </w:rPr>
              <w:t>6/9</w:t>
            </w:r>
          </w:p>
        </w:tc>
        <w:tc>
          <w:tcPr>
            <w:tcW w:w="403" w:type="dxa"/>
          </w:tcPr>
          <w:p w14:paraId="5B2E05C8" w14:textId="77777777" w:rsidR="00F65BCA" w:rsidRDefault="00216117">
            <w:pPr>
              <w:pStyle w:val="TableParagraph"/>
              <w:spacing w:before="38"/>
              <w:ind w:left="51" w:right="52"/>
              <w:jc w:val="center"/>
              <w:rPr>
                <w:sz w:val="12"/>
              </w:rPr>
            </w:pPr>
            <w:r>
              <w:rPr>
                <w:color w:val="231F20"/>
                <w:w w:val="105"/>
                <w:sz w:val="12"/>
              </w:rPr>
              <w:t>6/12</w:t>
            </w:r>
          </w:p>
        </w:tc>
        <w:tc>
          <w:tcPr>
            <w:tcW w:w="403" w:type="dxa"/>
          </w:tcPr>
          <w:p w14:paraId="0FA0ABE4" w14:textId="77777777" w:rsidR="00F65BCA" w:rsidRDefault="00216117">
            <w:pPr>
              <w:pStyle w:val="TableParagraph"/>
              <w:spacing w:before="38"/>
              <w:ind w:left="74"/>
              <w:rPr>
                <w:sz w:val="12"/>
              </w:rPr>
            </w:pPr>
            <w:r>
              <w:rPr>
                <w:color w:val="231F20"/>
                <w:w w:val="105"/>
                <w:sz w:val="12"/>
              </w:rPr>
              <w:t>6/15</w:t>
            </w:r>
          </w:p>
        </w:tc>
        <w:tc>
          <w:tcPr>
            <w:tcW w:w="403" w:type="dxa"/>
          </w:tcPr>
          <w:p w14:paraId="21EF0254" w14:textId="77777777" w:rsidR="00F65BCA" w:rsidRDefault="00216117">
            <w:pPr>
              <w:pStyle w:val="TableParagraph"/>
              <w:spacing w:before="38"/>
              <w:ind w:left="51" w:right="54"/>
              <w:jc w:val="center"/>
              <w:rPr>
                <w:sz w:val="12"/>
              </w:rPr>
            </w:pPr>
            <w:r>
              <w:rPr>
                <w:color w:val="231F20"/>
                <w:w w:val="105"/>
                <w:sz w:val="12"/>
              </w:rPr>
              <w:t>6/18</w:t>
            </w:r>
          </w:p>
        </w:tc>
        <w:tc>
          <w:tcPr>
            <w:tcW w:w="403" w:type="dxa"/>
          </w:tcPr>
          <w:p w14:paraId="69390257" w14:textId="77777777" w:rsidR="00F65BCA" w:rsidRDefault="00216117">
            <w:pPr>
              <w:pStyle w:val="TableParagraph"/>
              <w:spacing w:before="38"/>
              <w:ind w:left="50" w:right="54"/>
              <w:jc w:val="center"/>
              <w:rPr>
                <w:sz w:val="12"/>
              </w:rPr>
            </w:pPr>
            <w:r>
              <w:rPr>
                <w:color w:val="231F20"/>
                <w:w w:val="105"/>
                <w:sz w:val="12"/>
              </w:rPr>
              <w:t>6/24</w:t>
            </w:r>
          </w:p>
        </w:tc>
        <w:tc>
          <w:tcPr>
            <w:tcW w:w="403" w:type="dxa"/>
          </w:tcPr>
          <w:p w14:paraId="4B1BBBCA" w14:textId="77777777" w:rsidR="00F65BCA" w:rsidRDefault="00216117">
            <w:pPr>
              <w:pStyle w:val="TableParagraph"/>
              <w:spacing w:before="38"/>
              <w:ind w:left="49" w:right="54"/>
              <w:jc w:val="center"/>
              <w:rPr>
                <w:sz w:val="12"/>
              </w:rPr>
            </w:pPr>
            <w:r>
              <w:rPr>
                <w:color w:val="231F20"/>
                <w:w w:val="105"/>
                <w:sz w:val="12"/>
              </w:rPr>
              <w:t>6/30</w:t>
            </w:r>
          </w:p>
        </w:tc>
        <w:tc>
          <w:tcPr>
            <w:tcW w:w="403" w:type="dxa"/>
          </w:tcPr>
          <w:p w14:paraId="02001BB7" w14:textId="77777777" w:rsidR="00F65BCA" w:rsidRDefault="00216117">
            <w:pPr>
              <w:pStyle w:val="TableParagraph"/>
              <w:spacing w:before="38"/>
              <w:ind w:left="72"/>
              <w:rPr>
                <w:sz w:val="12"/>
              </w:rPr>
            </w:pPr>
            <w:r>
              <w:rPr>
                <w:color w:val="231F20"/>
                <w:w w:val="105"/>
                <w:sz w:val="12"/>
              </w:rPr>
              <w:t>6/36</w:t>
            </w:r>
          </w:p>
        </w:tc>
        <w:tc>
          <w:tcPr>
            <w:tcW w:w="403" w:type="dxa"/>
          </w:tcPr>
          <w:p w14:paraId="5933DB19" w14:textId="77777777" w:rsidR="00F65BCA" w:rsidRDefault="00216117">
            <w:pPr>
              <w:pStyle w:val="TableParagraph"/>
              <w:spacing w:before="38"/>
              <w:ind w:left="71"/>
              <w:rPr>
                <w:sz w:val="12"/>
              </w:rPr>
            </w:pPr>
            <w:r>
              <w:rPr>
                <w:color w:val="231F20"/>
                <w:w w:val="105"/>
                <w:sz w:val="12"/>
              </w:rPr>
              <w:t>6/60</w:t>
            </w:r>
          </w:p>
        </w:tc>
        <w:tc>
          <w:tcPr>
            <w:tcW w:w="403" w:type="dxa"/>
          </w:tcPr>
          <w:p w14:paraId="356940F3" w14:textId="77777777" w:rsidR="00F65BCA" w:rsidRDefault="00216117">
            <w:pPr>
              <w:pStyle w:val="TableParagraph"/>
              <w:spacing w:before="38"/>
              <w:ind w:left="71"/>
              <w:rPr>
                <w:sz w:val="12"/>
              </w:rPr>
            </w:pPr>
            <w:r>
              <w:rPr>
                <w:color w:val="231F20"/>
                <w:w w:val="105"/>
                <w:sz w:val="12"/>
              </w:rPr>
              <w:t>3/60</w:t>
            </w:r>
          </w:p>
        </w:tc>
        <w:tc>
          <w:tcPr>
            <w:tcW w:w="403" w:type="dxa"/>
          </w:tcPr>
          <w:p w14:paraId="21ED8637" w14:textId="77777777" w:rsidR="00F65BCA" w:rsidRDefault="00216117">
            <w:pPr>
              <w:pStyle w:val="TableParagraph"/>
              <w:spacing w:before="38"/>
              <w:ind w:left="70"/>
              <w:rPr>
                <w:sz w:val="12"/>
              </w:rPr>
            </w:pPr>
            <w:r>
              <w:rPr>
                <w:color w:val="231F20"/>
                <w:w w:val="105"/>
                <w:sz w:val="12"/>
              </w:rPr>
              <w:t>1/60</w:t>
            </w:r>
          </w:p>
        </w:tc>
        <w:tc>
          <w:tcPr>
            <w:tcW w:w="403" w:type="dxa"/>
            <w:tcBorders>
              <w:right w:val="nil"/>
            </w:tcBorders>
          </w:tcPr>
          <w:p w14:paraId="3042C0F3" w14:textId="77777777" w:rsidR="00F65BCA" w:rsidRDefault="00216117">
            <w:pPr>
              <w:pStyle w:val="TableParagraph"/>
              <w:spacing w:before="38"/>
              <w:ind w:left="159"/>
              <w:rPr>
                <w:sz w:val="12"/>
              </w:rPr>
            </w:pPr>
            <w:r>
              <w:rPr>
                <w:color w:val="231F20"/>
                <w:w w:val="99"/>
                <w:sz w:val="12"/>
              </w:rPr>
              <w:t>0</w:t>
            </w:r>
          </w:p>
        </w:tc>
      </w:tr>
      <w:tr w:rsidR="00F65BCA" w14:paraId="26686DC6" w14:textId="77777777">
        <w:trPr>
          <w:trHeight w:val="216"/>
        </w:trPr>
        <w:tc>
          <w:tcPr>
            <w:tcW w:w="403" w:type="dxa"/>
            <w:tcBorders>
              <w:left w:val="nil"/>
            </w:tcBorders>
          </w:tcPr>
          <w:p w14:paraId="381B05DD" w14:textId="77777777" w:rsidR="00F65BCA" w:rsidRDefault="00216117">
            <w:pPr>
              <w:pStyle w:val="TableParagraph"/>
              <w:spacing w:before="38"/>
              <w:ind w:left="56" w:right="56"/>
              <w:jc w:val="center"/>
              <w:rPr>
                <w:sz w:val="12"/>
              </w:rPr>
            </w:pPr>
            <w:r>
              <w:rPr>
                <w:color w:val="231F20"/>
                <w:w w:val="105"/>
                <w:sz w:val="12"/>
              </w:rPr>
              <w:t>6/6</w:t>
            </w:r>
          </w:p>
        </w:tc>
        <w:tc>
          <w:tcPr>
            <w:tcW w:w="403" w:type="dxa"/>
          </w:tcPr>
          <w:p w14:paraId="7FBCCB85" w14:textId="77777777" w:rsidR="00F65BCA" w:rsidRDefault="00216117">
            <w:pPr>
              <w:pStyle w:val="TableParagraph"/>
              <w:spacing w:before="38"/>
              <w:ind w:left="162"/>
              <w:rPr>
                <w:sz w:val="12"/>
              </w:rPr>
            </w:pPr>
            <w:r>
              <w:rPr>
                <w:color w:val="231F20"/>
                <w:w w:val="99"/>
                <w:sz w:val="12"/>
              </w:rPr>
              <w:t>0</w:t>
            </w:r>
          </w:p>
        </w:tc>
        <w:tc>
          <w:tcPr>
            <w:tcW w:w="403" w:type="dxa"/>
          </w:tcPr>
          <w:p w14:paraId="08D89E2A" w14:textId="77777777" w:rsidR="00F65BCA" w:rsidRDefault="00216117">
            <w:pPr>
              <w:pStyle w:val="TableParagraph"/>
              <w:spacing w:before="38"/>
              <w:ind w:left="161"/>
              <w:rPr>
                <w:sz w:val="12"/>
              </w:rPr>
            </w:pPr>
            <w:r>
              <w:rPr>
                <w:color w:val="231F20"/>
                <w:w w:val="99"/>
                <w:sz w:val="12"/>
              </w:rPr>
              <w:t>1</w:t>
            </w:r>
          </w:p>
        </w:tc>
        <w:tc>
          <w:tcPr>
            <w:tcW w:w="403" w:type="dxa"/>
          </w:tcPr>
          <w:p w14:paraId="793853A6" w14:textId="77777777" w:rsidR="00F65BCA" w:rsidRDefault="00216117">
            <w:pPr>
              <w:pStyle w:val="TableParagraph"/>
              <w:spacing w:before="38"/>
              <w:ind w:right="1"/>
              <w:jc w:val="center"/>
              <w:rPr>
                <w:sz w:val="12"/>
              </w:rPr>
            </w:pPr>
            <w:r>
              <w:rPr>
                <w:color w:val="231F20"/>
                <w:w w:val="99"/>
                <w:sz w:val="12"/>
              </w:rPr>
              <w:t>3</w:t>
            </w:r>
          </w:p>
        </w:tc>
        <w:tc>
          <w:tcPr>
            <w:tcW w:w="403" w:type="dxa"/>
          </w:tcPr>
          <w:p w14:paraId="00EDEF76" w14:textId="77777777" w:rsidR="00F65BCA" w:rsidRDefault="00216117">
            <w:pPr>
              <w:pStyle w:val="TableParagraph"/>
              <w:spacing w:before="38"/>
              <w:ind w:left="160"/>
              <w:rPr>
                <w:sz w:val="12"/>
              </w:rPr>
            </w:pPr>
            <w:r>
              <w:rPr>
                <w:color w:val="231F20"/>
                <w:w w:val="99"/>
                <w:sz w:val="12"/>
              </w:rPr>
              <w:t>6</w:t>
            </w:r>
          </w:p>
        </w:tc>
        <w:tc>
          <w:tcPr>
            <w:tcW w:w="403" w:type="dxa"/>
          </w:tcPr>
          <w:p w14:paraId="43082190" w14:textId="77777777" w:rsidR="00F65BCA" w:rsidRDefault="00216117">
            <w:pPr>
              <w:pStyle w:val="TableParagraph"/>
              <w:spacing w:before="38"/>
              <w:ind w:left="51" w:right="54"/>
              <w:jc w:val="center"/>
              <w:rPr>
                <w:sz w:val="12"/>
              </w:rPr>
            </w:pPr>
            <w:r>
              <w:rPr>
                <w:color w:val="231F20"/>
                <w:sz w:val="12"/>
              </w:rPr>
              <w:t>10</w:t>
            </w:r>
          </w:p>
        </w:tc>
        <w:tc>
          <w:tcPr>
            <w:tcW w:w="403" w:type="dxa"/>
          </w:tcPr>
          <w:p w14:paraId="29FC64C9" w14:textId="77777777" w:rsidR="00F65BCA" w:rsidRDefault="00216117">
            <w:pPr>
              <w:pStyle w:val="TableParagraph"/>
              <w:spacing w:before="38"/>
              <w:ind w:left="50" w:right="54"/>
              <w:jc w:val="center"/>
              <w:rPr>
                <w:sz w:val="12"/>
              </w:rPr>
            </w:pPr>
            <w:r>
              <w:rPr>
                <w:color w:val="231F20"/>
                <w:sz w:val="12"/>
              </w:rPr>
              <w:t>14</w:t>
            </w:r>
          </w:p>
        </w:tc>
        <w:tc>
          <w:tcPr>
            <w:tcW w:w="403" w:type="dxa"/>
          </w:tcPr>
          <w:p w14:paraId="52B33F4C" w14:textId="77777777" w:rsidR="00F65BCA" w:rsidRDefault="00216117">
            <w:pPr>
              <w:pStyle w:val="TableParagraph"/>
              <w:spacing w:before="38"/>
              <w:ind w:left="49" w:right="54"/>
              <w:jc w:val="center"/>
              <w:rPr>
                <w:sz w:val="12"/>
              </w:rPr>
            </w:pPr>
            <w:r>
              <w:rPr>
                <w:color w:val="231F20"/>
                <w:sz w:val="12"/>
              </w:rPr>
              <w:t>18</w:t>
            </w:r>
          </w:p>
        </w:tc>
        <w:tc>
          <w:tcPr>
            <w:tcW w:w="403" w:type="dxa"/>
          </w:tcPr>
          <w:p w14:paraId="41901D00" w14:textId="77777777" w:rsidR="00F65BCA" w:rsidRDefault="00216117">
            <w:pPr>
              <w:pStyle w:val="TableParagraph"/>
              <w:spacing w:before="38"/>
              <w:ind w:left="125"/>
              <w:rPr>
                <w:sz w:val="12"/>
              </w:rPr>
            </w:pPr>
            <w:r>
              <w:rPr>
                <w:color w:val="231F20"/>
                <w:sz w:val="12"/>
              </w:rPr>
              <w:t>22</w:t>
            </w:r>
          </w:p>
        </w:tc>
        <w:tc>
          <w:tcPr>
            <w:tcW w:w="403" w:type="dxa"/>
          </w:tcPr>
          <w:p w14:paraId="50B57366" w14:textId="77777777" w:rsidR="00F65BCA" w:rsidRDefault="00216117">
            <w:pPr>
              <w:pStyle w:val="TableParagraph"/>
              <w:spacing w:before="38"/>
              <w:ind w:left="125"/>
              <w:rPr>
                <w:sz w:val="12"/>
              </w:rPr>
            </w:pPr>
            <w:r>
              <w:rPr>
                <w:color w:val="231F20"/>
                <w:sz w:val="12"/>
              </w:rPr>
              <w:t>24</w:t>
            </w:r>
          </w:p>
        </w:tc>
        <w:tc>
          <w:tcPr>
            <w:tcW w:w="403" w:type="dxa"/>
          </w:tcPr>
          <w:p w14:paraId="5C18E732" w14:textId="77777777" w:rsidR="00F65BCA" w:rsidRDefault="00216117">
            <w:pPr>
              <w:pStyle w:val="TableParagraph"/>
              <w:spacing w:before="38"/>
              <w:ind w:left="124"/>
              <w:rPr>
                <w:sz w:val="12"/>
              </w:rPr>
            </w:pPr>
            <w:r>
              <w:rPr>
                <w:color w:val="231F20"/>
                <w:sz w:val="12"/>
              </w:rPr>
              <w:t>26</w:t>
            </w:r>
          </w:p>
        </w:tc>
        <w:tc>
          <w:tcPr>
            <w:tcW w:w="403" w:type="dxa"/>
          </w:tcPr>
          <w:p w14:paraId="426A4C85" w14:textId="77777777" w:rsidR="00F65BCA" w:rsidRDefault="00216117">
            <w:pPr>
              <w:pStyle w:val="TableParagraph"/>
              <w:spacing w:before="38"/>
              <w:ind w:left="124"/>
              <w:rPr>
                <w:sz w:val="12"/>
              </w:rPr>
            </w:pPr>
            <w:r>
              <w:rPr>
                <w:color w:val="231F20"/>
                <w:sz w:val="12"/>
              </w:rPr>
              <w:t>28</w:t>
            </w:r>
          </w:p>
        </w:tc>
        <w:tc>
          <w:tcPr>
            <w:tcW w:w="403" w:type="dxa"/>
            <w:tcBorders>
              <w:right w:val="nil"/>
            </w:tcBorders>
          </w:tcPr>
          <w:p w14:paraId="03065E9D" w14:textId="77777777" w:rsidR="00F65BCA" w:rsidRDefault="00216117">
            <w:pPr>
              <w:pStyle w:val="TableParagraph"/>
              <w:spacing w:before="38"/>
              <w:ind w:left="126"/>
              <w:rPr>
                <w:sz w:val="12"/>
              </w:rPr>
            </w:pPr>
            <w:r>
              <w:rPr>
                <w:color w:val="231F20"/>
                <w:sz w:val="12"/>
              </w:rPr>
              <w:t>30</w:t>
            </w:r>
          </w:p>
        </w:tc>
      </w:tr>
      <w:tr w:rsidR="00F65BCA" w14:paraId="43475FD5" w14:textId="77777777">
        <w:trPr>
          <w:trHeight w:val="216"/>
        </w:trPr>
        <w:tc>
          <w:tcPr>
            <w:tcW w:w="403" w:type="dxa"/>
            <w:tcBorders>
              <w:left w:val="nil"/>
            </w:tcBorders>
          </w:tcPr>
          <w:p w14:paraId="0F481C60" w14:textId="77777777" w:rsidR="00F65BCA" w:rsidRDefault="00216117">
            <w:pPr>
              <w:pStyle w:val="TableParagraph"/>
              <w:spacing w:before="38"/>
              <w:ind w:left="56" w:right="56"/>
              <w:jc w:val="center"/>
              <w:rPr>
                <w:sz w:val="12"/>
              </w:rPr>
            </w:pPr>
            <w:r>
              <w:rPr>
                <w:color w:val="231F20"/>
                <w:w w:val="105"/>
                <w:sz w:val="12"/>
              </w:rPr>
              <w:t>6/9</w:t>
            </w:r>
          </w:p>
        </w:tc>
        <w:tc>
          <w:tcPr>
            <w:tcW w:w="403" w:type="dxa"/>
          </w:tcPr>
          <w:p w14:paraId="5C755861" w14:textId="77777777" w:rsidR="00F65BCA" w:rsidRDefault="00216117">
            <w:pPr>
              <w:pStyle w:val="TableParagraph"/>
              <w:spacing w:before="38"/>
              <w:ind w:left="162"/>
              <w:rPr>
                <w:sz w:val="12"/>
              </w:rPr>
            </w:pPr>
            <w:r>
              <w:rPr>
                <w:color w:val="231F20"/>
                <w:w w:val="99"/>
                <w:sz w:val="12"/>
              </w:rPr>
              <w:t>1</w:t>
            </w:r>
          </w:p>
        </w:tc>
        <w:tc>
          <w:tcPr>
            <w:tcW w:w="403" w:type="dxa"/>
          </w:tcPr>
          <w:p w14:paraId="1CCC6259" w14:textId="77777777" w:rsidR="00F65BCA" w:rsidRDefault="00216117">
            <w:pPr>
              <w:pStyle w:val="TableParagraph"/>
              <w:spacing w:before="38"/>
              <w:ind w:left="161"/>
              <w:rPr>
                <w:sz w:val="12"/>
              </w:rPr>
            </w:pPr>
            <w:r>
              <w:rPr>
                <w:color w:val="231F20"/>
                <w:w w:val="99"/>
                <w:sz w:val="12"/>
              </w:rPr>
              <w:t>3</w:t>
            </w:r>
          </w:p>
        </w:tc>
        <w:tc>
          <w:tcPr>
            <w:tcW w:w="403" w:type="dxa"/>
          </w:tcPr>
          <w:p w14:paraId="67E5B364" w14:textId="77777777" w:rsidR="00F65BCA" w:rsidRDefault="00216117">
            <w:pPr>
              <w:pStyle w:val="TableParagraph"/>
              <w:spacing w:before="38"/>
              <w:ind w:right="1"/>
              <w:jc w:val="center"/>
              <w:rPr>
                <w:sz w:val="12"/>
              </w:rPr>
            </w:pPr>
            <w:r>
              <w:rPr>
                <w:color w:val="231F20"/>
                <w:w w:val="99"/>
                <w:sz w:val="12"/>
              </w:rPr>
              <w:t>5</w:t>
            </w:r>
          </w:p>
        </w:tc>
        <w:tc>
          <w:tcPr>
            <w:tcW w:w="403" w:type="dxa"/>
          </w:tcPr>
          <w:p w14:paraId="721FF2F8" w14:textId="77777777" w:rsidR="00F65BCA" w:rsidRDefault="00216117">
            <w:pPr>
              <w:pStyle w:val="TableParagraph"/>
              <w:spacing w:before="38"/>
              <w:ind w:left="160"/>
              <w:rPr>
                <w:sz w:val="12"/>
              </w:rPr>
            </w:pPr>
            <w:r>
              <w:rPr>
                <w:color w:val="231F20"/>
                <w:w w:val="99"/>
                <w:sz w:val="12"/>
              </w:rPr>
              <w:t>8</w:t>
            </w:r>
          </w:p>
        </w:tc>
        <w:tc>
          <w:tcPr>
            <w:tcW w:w="403" w:type="dxa"/>
          </w:tcPr>
          <w:p w14:paraId="4EB906A9" w14:textId="77777777" w:rsidR="00F65BCA" w:rsidRDefault="00216117">
            <w:pPr>
              <w:pStyle w:val="TableParagraph"/>
              <w:spacing w:before="38"/>
              <w:ind w:left="51" w:right="54"/>
              <w:jc w:val="center"/>
              <w:rPr>
                <w:sz w:val="12"/>
              </w:rPr>
            </w:pPr>
            <w:r>
              <w:rPr>
                <w:color w:val="231F20"/>
                <w:sz w:val="12"/>
              </w:rPr>
              <w:t>12</w:t>
            </w:r>
          </w:p>
        </w:tc>
        <w:tc>
          <w:tcPr>
            <w:tcW w:w="403" w:type="dxa"/>
          </w:tcPr>
          <w:p w14:paraId="2B4150E5" w14:textId="77777777" w:rsidR="00F65BCA" w:rsidRDefault="00216117">
            <w:pPr>
              <w:pStyle w:val="TableParagraph"/>
              <w:spacing w:before="38"/>
              <w:ind w:left="50" w:right="54"/>
              <w:jc w:val="center"/>
              <w:rPr>
                <w:sz w:val="12"/>
              </w:rPr>
            </w:pPr>
            <w:r>
              <w:rPr>
                <w:color w:val="231F20"/>
                <w:sz w:val="12"/>
              </w:rPr>
              <w:t>16</w:t>
            </w:r>
          </w:p>
        </w:tc>
        <w:tc>
          <w:tcPr>
            <w:tcW w:w="403" w:type="dxa"/>
          </w:tcPr>
          <w:p w14:paraId="03C93052" w14:textId="77777777" w:rsidR="00F65BCA" w:rsidRDefault="00216117">
            <w:pPr>
              <w:pStyle w:val="TableParagraph"/>
              <w:spacing w:before="38"/>
              <w:ind w:left="49" w:right="54"/>
              <w:jc w:val="center"/>
              <w:rPr>
                <w:sz w:val="12"/>
              </w:rPr>
            </w:pPr>
            <w:r>
              <w:rPr>
                <w:color w:val="231F20"/>
                <w:sz w:val="12"/>
              </w:rPr>
              <w:t>20</w:t>
            </w:r>
          </w:p>
        </w:tc>
        <w:tc>
          <w:tcPr>
            <w:tcW w:w="403" w:type="dxa"/>
          </w:tcPr>
          <w:p w14:paraId="584F6612" w14:textId="77777777" w:rsidR="00F65BCA" w:rsidRDefault="00216117">
            <w:pPr>
              <w:pStyle w:val="TableParagraph"/>
              <w:spacing w:before="38"/>
              <w:ind w:left="125"/>
              <w:rPr>
                <w:sz w:val="12"/>
              </w:rPr>
            </w:pPr>
            <w:r>
              <w:rPr>
                <w:color w:val="231F20"/>
                <w:sz w:val="12"/>
              </w:rPr>
              <w:t>24</w:t>
            </w:r>
          </w:p>
        </w:tc>
        <w:tc>
          <w:tcPr>
            <w:tcW w:w="403" w:type="dxa"/>
          </w:tcPr>
          <w:p w14:paraId="790BA7C9" w14:textId="77777777" w:rsidR="00F65BCA" w:rsidRDefault="00216117">
            <w:pPr>
              <w:pStyle w:val="TableParagraph"/>
              <w:spacing w:before="38"/>
              <w:ind w:left="125"/>
              <w:rPr>
                <w:sz w:val="12"/>
              </w:rPr>
            </w:pPr>
            <w:r>
              <w:rPr>
                <w:color w:val="231F20"/>
                <w:sz w:val="12"/>
              </w:rPr>
              <w:t>28</w:t>
            </w:r>
          </w:p>
        </w:tc>
        <w:tc>
          <w:tcPr>
            <w:tcW w:w="403" w:type="dxa"/>
          </w:tcPr>
          <w:p w14:paraId="4F30D5C3" w14:textId="77777777" w:rsidR="00F65BCA" w:rsidRDefault="00216117">
            <w:pPr>
              <w:pStyle w:val="TableParagraph"/>
              <w:spacing w:before="38"/>
              <w:ind w:left="124"/>
              <w:rPr>
                <w:sz w:val="12"/>
              </w:rPr>
            </w:pPr>
            <w:r>
              <w:rPr>
                <w:color w:val="231F20"/>
                <w:sz w:val="12"/>
              </w:rPr>
              <w:t>32</w:t>
            </w:r>
          </w:p>
        </w:tc>
        <w:tc>
          <w:tcPr>
            <w:tcW w:w="403" w:type="dxa"/>
          </w:tcPr>
          <w:p w14:paraId="1F856A8A" w14:textId="77777777" w:rsidR="00F65BCA" w:rsidRDefault="00216117">
            <w:pPr>
              <w:pStyle w:val="TableParagraph"/>
              <w:spacing w:before="38"/>
              <w:ind w:left="124"/>
              <w:rPr>
                <w:sz w:val="12"/>
              </w:rPr>
            </w:pPr>
            <w:r>
              <w:rPr>
                <w:color w:val="231F20"/>
                <w:sz w:val="12"/>
              </w:rPr>
              <w:t>34</w:t>
            </w:r>
          </w:p>
        </w:tc>
        <w:tc>
          <w:tcPr>
            <w:tcW w:w="403" w:type="dxa"/>
            <w:tcBorders>
              <w:right w:val="nil"/>
            </w:tcBorders>
          </w:tcPr>
          <w:p w14:paraId="5C54FBA9" w14:textId="77777777" w:rsidR="00F65BCA" w:rsidRDefault="00216117">
            <w:pPr>
              <w:pStyle w:val="TableParagraph"/>
              <w:spacing w:before="38"/>
              <w:ind w:left="126"/>
              <w:rPr>
                <w:sz w:val="12"/>
              </w:rPr>
            </w:pPr>
            <w:r>
              <w:rPr>
                <w:color w:val="231F20"/>
                <w:sz w:val="12"/>
              </w:rPr>
              <w:t>36</w:t>
            </w:r>
          </w:p>
        </w:tc>
      </w:tr>
      <w:tr w:rsidR="00F65BCA" w14:paraId="44FA5924" w14:textId="77777777">
        <w:trPr>
          <w:trHeight w:val="216"/>
        </w:trPr>
        <w:tc>
          <w:tcPr>
            <w:tcW w:w="403" w:type="dxa"/>
            <w:tcBorders>
              <w:left w:val="nil"/>
            </w:tcBorders>
          </w:tcPr>
          <w:p w14:paraId="24343543" w14:textId="77777777" w:rsidR="00F65BCA" w:rsidRDefault="00216117">
            <w:pPr>
              <w:pStyle w:val="TableParagraph"/>
              <w:spacing w:before="38"/>
              <w:ind w:left="56" w:right="56"/>
              <w:jc w:val="center"/>
              <w:rPr>
                <w:sz w:val="12"/>
              </w:rPr>
            </w:pPr>
            <w:r>
              <w:rPr>
                <w:color w:val="231F20"/>
                <w:w w:val="105"/>
                <w:sz w:val="12"/>
              </w:rPr>
              <w:t>6/12</w:t>
            </w:r>
          </w:p>
        </w:tc>
        <w:tc>
          <w:tcPr>
            <w:tcW w:w="403" w:type="dxa"/>
          </w:tcPr>
          <w:p w14:paraId="01EC1EBD" w14:textId="77777777" w:rsidR="00F65BCA" w:rsidRDefault="00216117">
            <w:pPr>
              <w:pStyle w:val="TableParagraph"/>
              <w:spacing w:before="38"/>
              <w:ind w:left="162"/>
              <w:rPr>
                <w:sz w:val="12"/>
              </w:rPr>
            </w:pPr>
            <w:r>
              <w:rPr>
                <w:color w:val="231F20"/>
                <w:w w:val="99"/>
                <w:sz w:val="12"/>
              </w:rPr>
              <w:t>3</w:t>
            </w:r>
          </w:p>
        </w:tc>
        <w:tc>
          <w:tcPr>
            <w:tcW w:w="403" w:type="dxa"/>
          </w:tcPr>
          <w:p w14:paraId="5A63F281" w14:textId="77777777" w:rsidR="00F65BCA" w:rsidRDefault="00216117">
            <w:pPr>
              <w:pStyle w:val="TableParagraph"/>
              <w:spacing w:before="38"/>
              <w:ind w:left="161"/>
              <w:rPr>
                <w:sz w:val="12"/>
              </w:rPr>
            </w:pPr>
            <w:r>
              <w:rPr>
                <w:color w:val="231F20"/>
                <w:w w:val="99"/>
                <w:sz w:val="12"/>
              </w:rPr>
              <w:t>5</w:t>
            </w:r>
          </w:p>
        </w:tc>
        <w:tc>
          <w:tcPr>
            <w:tcW w:w="403" w:type="dxa"/>
          </w:tcPr>
          <w:p w14:paraId="475B2165" w14:textId="77777777" w:rsidR="00F65BCA" w:rsidRDefault="00216117">
            <w:pPr>
              <w:pStyle w:val="TableParagraph"/>
              <w:spacing w:before="38"/>
              <w:ind w:right="1"/>
              <w:jc w:val="center"/>
              <w:rPr>
                <w:sz w:val="12"/>
              </w:rPr>
            </w:pPr>
            <w:r>
              <w:rPr>
                <w:color w:val="231F20"/>
                <w:w w:val="99"/>
                <w:sz w:val="12"/>
              </w:rPr>
              <w:t>7</w:t>
            </w:r>
          </w:p>
        </w:tc>
        <w:tc>
          <w:tcPr>
            <w:tcW w:w="403" w:type="dxa"/>
          </w:tcPr>
          <w:p w14:paraId="0E1D0B11" w14:textId="77777777" w:rsidR="00F65BCA" w:rsidRDefault="00216117">
            <w:pPr>
              <w:pStyle w:val="TableParagraph"/>
              <w:spacing w:before="38"/>
              <w:ind w:left="127"/>
              <w:rPr>
                <w:sz w:val="12"/>
              </w:rPr>
            </w:pPr>
            <w:r>
              <w:rPr>
                <w:color w:val="231F20"/>
                <w:sz w:val="12"/>
              </w:rPr>
              <w:t>11</w:t>
            </w:r>
          </w:p>
        </w:tc>
        <w:tc>
          <w:tcPr>
            <w:tcW w:w="403" w:type="dxa"/>
          </w:tcPr>
          <w:p w14:paraId="0B3E49D2" w14:textId="77777777" w:rsidR="00F65BCA" w:rsidRDefault="00216117">
            <w:pPr>
              <w:pStyle w:val="TableParagraph"/>
              <w:spacing w:before="38"/>
              <w:ind w:left="51" w:right="54"/>
              <w:jc w:val="center"/>
              <w:rPr>
                <w:sz w:val="12"/>
              </w:rPr>
            </w:pPr>
            <w:r>
              <w:rPr>
                <w:color w:val="231F20"/>
                <w:sz w:val="12"/>
              </w:rPr>
              <w:t>15</w:t>
            </w:r>
          </w:p>
        </w:tc>
        <w:tc>
          <w:tcPr>
            <w:tcW w:w="403" w:type="dxa"/>
          </w:tcPr>
          <w:p w14:paraId="6FA2AB11" w14:textId="77777777" w:rsidR="00F65BCA" w:rsidRDefault="00216117">
            <w:pPr>
              <w:pStyle w:val="TableParagraph"/>
              <w:spacing w:before="38"/>
              <w:ind w:left="50" w:right="54"/>
              <w:jc w:val="center"/>
              <w:rPr>
                <w:sz w:val="12"/>
              </w:rPr>
            </w:pPr>
            <w:r>
              <w:rPr>
                <w:color w:val="231F20"/>
                <w:sz w:val="12"/>
              </w:rPr>
              <w:t>19</w:t>
            </w:r>
          </w:p>
        </w:tc>
        <w:tc>
          <w:tcPr>
            <w:tcW w:w="403" w:type="dxa"/>
          </w:tcPr>
          <w:p w14:paraId="4E89AAB4" w14:textId="77777777" w:rsidR="00F65BCA" w:rsidRDefault="00216117">
            <w:pPr>
              <w:pStyle w:val="TableParagraph"/>
              <w:spacing w:before="38"/>
              <w:ind w:left="49" w:right="54"/>
              <w:jc w:val="center"/>
              <w:rPr>
                <w:sz w:val="12"/>
              </w:rPr>
            </w:pPr>
            <w:r>
              <w:rPr>
                <w:color w:val="231F20"/>
                <w:sz w:val="12"/>
              </w:rPr>
              <w:t>23</w:t>
            </w:r>
          </w:p>
        </w:tc>
        <w:tc>
          <w:tcPr>
            <w:tcW w:w="403" w:type="dxa"/>
          </w:tcPr>
          <w:p w14:paraId="12669B3A" w14:textId="77777777" w:rsidR="00F65BCA" w:rsidRDefault="00216117">
            <w:pPr>
              <w:pStyle w:val="TableParagraph"/>
              <w:spacing w:before="38"/>
              <w:ind w:left="125"/>
              <w:rPr>
                <w:sz w:val="12"/>
              </w:rPr>
            </w:pPr>
            <w:r>
              <w:rPr>
                <w:color w:val="231F20"/>
                <w:sz w:val="12"/>
              </w:rPr>
              <w:t>27</w:t>
            </w:r>
          </w:p>
        </w:tc>
        <w:tc>
          <w:tcPr>
            <w:tcW w:w="403" w:type="dxa"/>
          </w:tcPr>
          <w:p w14:paraId="055DBFC3" w14:textId="77777777" w:rsidR="00F65BCA" w:rsidRDefault="00216117">
            <w:pPr>
              <w:pStyle w:val="TableParagraph"/>
              <w:spacing w:before="38"/>
              <w:ind w:left="125"/>
              <w:rPr>
                <w:sz w:val="12"/>
              </w:rPr>
            </w:pPr>
            <w:r>
              <w:rPr>
                <w:color w:val="231F20"/>
                <w:sz w:val="12"/>
              </w:rPr>
              <w:t>31</w:t>
            </w:r>
          </w:p>
        </w:tc>
        <w:tc>
          <w:tcPr>
            <w:tcW w:w="403" w:type="dxa"/>
          </w:tcPr>
          <w:p w14:paraId="78925E73" w14:textId="77777777" w:rsidR="00F65BCA" w:rsidRDefault="00216117">
            <w:pPr>
              <w:pStyle w:val="TableParagraph"/>
              <w:spacing w:before="38"/>
              <w:ind w:left="124"/>
              <w:rPr>
                <w:sz w:val="12"/>
              </w:rPr>
            </w:pPr>
            <w:r>
              <w:rPr>
                <w:color w:val="231F20"/>
                <w:sz w:val="12"/>
              </w:rPr>
              <w:t>35</w:t>
            </w:r>
          </w:p>
        </w:tc>
        <w:tc>
          <w:tcPr>
            <w:tcW w:w="403" w:type="dxa"/>
          </w:tcPr>
          <w:p w14:paraId="223E4DFA" w14:textId="77777777" w:rsidR="00F65BCA" w:rsidRDefault="00216117">
            <w:pPr>
              <w:pStyle w:val="TableParagraph"/>
              <w:spacing w:before="38"/>
              <w:ind w:left="124"/>
              <w:rPr>
                <w:sz w:val="12"/>
              </w:rPr>
            </w:pPr>
            <w:r>
              <w:rPr>
                <w:color w:val="231F20"/>
                <w:sz w:val="12"/>
              </w:rPr>
              <w:t>39</w:t>
            </w:r>
          </w:p>
        </w:tc>
        <w:tc>
          <w:tcPr>
            <w:tcW w:w="403" w:type="dxa"/>
            <w:tcBorders>
              <w:right w:val="nil"/>
            </w:tcBorders>
          </w:tcPr>
          <w:p w14:paraId="4B422E63" w14:textId="77777777" w:rsidR="00F65BCA" w:rsidRDefault="00216117">
            <w:pPr>
              <w:pStyle w:val="TableParagraph"/>
              <w:spacing w:before="38"/>
              <w:ind w:left="126"/>
              <w:rPr>
                <w:sz w:val="12"/>
              </w:rPr>
            </w:pPr>
            <w:r>
              <w:rPr>
                <w:color w:val="231F20"/>
                <w:sz w:val="12"/>
              </w:rPr>
              <w:t>42</w:t>
            </w:r>
          </w:p>
        </w:tc>
      </w:tr>
      <w:tr w:rsidR="00F65BCA" w14:paraId="7DC8785F" w14:textId="77777777">
        <w:trPr>
          <w:trHeight w:val="216"/>
        </w:trPr>
        <w:tc>
          <w:tcPr>
            <w:tcW w:w="403" w:type="dxa"/>
            <w:tcBorders>
              <w:left w:val="nil"/>
            </w:tcBorders>
          </w:tcPr>
          <w:p w14:paraId="533A975D" w14:textId="77777777" w:rsidR="00F65BCA" w:rsidRDefault="00216117">
            <w:pPr>
              <w:pStyle w:val="TableParagraph"/>
              <w:spacing w:before="38"/>
              <w:ind w:left="56" w:right="56"/>
              <w:jc w:val="center"/>
              <w:rPr>
                <w:sz w:val="12"/>
              </w:rPr>
            </w:pPr>
            <w:r>
              <w:rPr>
                <w:color w:val="231F20"/>
                <w:w w:val="105"/>
                <w:sz w:val="12"/>
              </w:rPr>
              <w:t>6/15</w:t>
            </w:r>
          </w:p>
        </w:tc>
        <w:tc>
          <w:tcPr>
            <w:tcW w:w="403" w:type="dxa"/>
          </w:tcPr>
          <w:p w14:paraId="09CDAA19" w14:textId="77777777" w:rsidR="00F65BCA" w:rsidRDefault="00216117">
            <w:pPr>
              <w:pStyle w:val="TableParagraph"/>
              <w:spacing w:before="38"/>
              <w:ind w:left="162"/>
              <w:rPr>
                <w:sz w:val="12"/>
              </w:rPr>
            </w:pPr>
            <w:r>
              <w:rPr>
                <w:color w:val="231F20"/>
                <w:w w:val="99"/>
                <w:sz w:val="12"/>
              </w:rPr>
              <w:t>6</w:t>
            </w:r>
          </w:p>
        </w:tc>
        <w:tc>
          <w:tcPr>
            <w:tcW w:w="403" w:type="dxa"/>
          </w:tcPr>
          <w:p w14:paraId="3203365B" w14:textId="77777777" w:rsidR="00F65BCA" w:rsidRDefault="00216117">
            <w:pPr>
              <w:pStyle w:val="TableParagraph"/>
              <w:spacing w:before="38"/>
              <w:ind w:left="128"/>
              <w:rPr>
                <w:sz w:val="12"/>
              </w:rPr>
            </w:pPr>
            <w:r>
              <w:rPr>
                <w:color w:val="231F20"/>
                <w:sz w:val="12"/>
              </w:rPr>
              <w:t>10</w:t>
            </w:r>
          </w:p>
        </w:tc>
        <w:tc>
          <w:tcPr>
            <w:tcW w:w="403" w:type="dxa"/>
          </w:tcPr>
          <w:p w14:paraId="40492084" w14:textId="77777777" w:rsidR="00F65BCA" w:rsidRDefault="00216117">
            <w:pPr>
              <w:pStyle w:val="TableParagraph"/>
              <w:spacing w:before="38"/>
              <w:ind w:left="51" w:right="52"/>
              <w:jc w:val="center"/>
              <w:rPr>
                <w:sz w:val="12"/>
              </w:rPr>
            </w:pPr>
            <w:r>
              <w:rPr>
                <w:color w:val="231F20"/>
                <w:sz w:val="12"/>
              </w:rPr>
              <w:t>14</w:t>
            </w:r>
          </w:p>
        </w:tc>
        <w:tc>
          <w:tcPr>
            <w:tcW w:w="403" w:type="dxa"/>
          </w:tcPr>
          <w:p w14:paraId="50715187" w14:textId="77777777" w:rsidR="00F65BCA" w:rsidRDefault="00216117">
            <w:pPr>
              <w:pStyle w:val="TableParagraph"/>
              <w:spacing w:before="38"/>
              <w:ind w:left="127"/>
              <w:rPr>
                <w:sz w:val="12"/>
              </w:rPr>
            </w:pPr>
            <w:r>
              <w:rPr>
                <w:color w:val="231F20"/>
                <w:sz w:val="12"/>
              </w:rPr>
              <w:t>18</w:t>
            </w:r>
          </w:p>
        </w:tc>
        <w:tc>
          <w:tcPr>
            <w:tcW w:w="403" w:type="dxa"/>
          </w:tcPr>
          <w:p w14:paraId="26517F43" w14:textId="77777777" w:rsidR="00F65BCA" w:rsidRDefault="00216117">
            <w:pPr>
              <w:pStyle w:val="TableParagraph"/>
              <w:spacing w:before="38"/>
              <w:ind w:left="51" w:right="54"/>
              <w:jc w:val="center"/>
              <w:rPr>
                <w:sz w:val="12"/>
              </w:rPr>
            </w:pPr>
            <w:r>
              <w:rPr>
                <w:color w:val="231F20"/>
                <w:sz w:val="12"/>
              </w:rPr>
              <w:t>22</w:t>
            </w:r>
          </w:p>
        </w:tc>
        <w:tc>
          <w:tcPr>
            <w:tcW w:w="403" w:type="dxa"/>
          </w:tcPr>
          <w:p w14:paraId="1F8BF14D" w14:textId="77777777" w:rsidR="00F65BCA" w:rsidRDefault="00216117">
            <w:pPr>
              <w:pStyle w:val="TableParagraph"/>
              <w:spacing w:before="38"/>
              <w:ind w:left="50" w:right="54"/>
              <w:jc w:val="center"/>
              <w:rPr>
                <w:sz w:val="12"/>
              </w:rPr>
            </w:pPr>
            <w:r>
              <w:rPr>
                <w:color w:val="231F20"/>
                <w:sz w:val="12"/>
              </w:rPr>
              <w:t>26</w:t>
            </w:r>
          </w:p>
        </w:tc>
        <w:tc>
          <w:tcPr>
            <w:tcW w:w="403" w:type="dxa"/>
          </w:tcPr>
          <w:p w14:paraId="56B4E725" w14:textId="77777777" w:rsidR="00F65BCA" w:rsidRDefault="00216117">
            <w:pPr>
              <w:pStyle w:val="TableParagraph"/>
              <w:spacing w:before="38"/>
              <w:ind w:left="49" w:right="54"/>
              <w:jc w:val="center"/>
              <w:rPr>
                <w:sz w:val="12"/>
              </w:rPr>
            </w:pPr>
            <w:r>
              <w:rPr>
                <w:color w:val="231F20"/>
                <w:sz w:val="12"/>
              </w:rPr>
              <w:t>32</w:t>
            </w:r>
          </w:p>
        </w:tc>
        <w:tc>
          <w:tcPr>
            <w:tcW w:w="403" w:type="dxa"/>
          </w:tcPr>
          <w:p w14:paraId="75145DEA" w14:textId="77777777" w:rsidR="00F65BCA" w:rsidRDefault="00216117">
            <w:pPr>
              <w:pStyle w:val="TableParagraph"/>
              <w:spacing w:before="38"/>
              <w:ind w:left="125"/>
              <w:rPr>
                <w:sz w:val="12"/>
              </w:rPr>
            </w:pPr>
            <w:r>
              <w:rPr>
                <w:color w:val="231F20"/>
                <w:sz w:val="12"/>
              </w:rPr>
              <w:t>34</w:t>
            </w:r>
          </w:p>
        </w:tc>
        <w:tc>
          <w:tcPr>
            <w:tcW w:w="403" w:type="dxa"/>
          </w:tcPr>
          <w:p w14:paraId="2963D44B" w14:textId="77777777" w:rsidR="00F65BCA" w:rsidRDefault="00216117">
            <w:pPr>
              <w:pStyle w:val="TableParagraph"/>
              <w:spacing w:before="38"/>
              <w:ind w:left="125"/>
              <w:rPr>
                <w:sz w:val="12"/>
              </w:rPr>
            </w:pPr>
            <w:r>
              <w:rPr>
                <w:color w:val="231F20"/>
                <w:sz w:val="12"/>
              </w:rPr>
              <w:t>38</w:t>
            </w:r>
          </w:p>
        </w:tc>
        <w:tc>
          <w:tcPr>
            <w:tcW w:w="403" w:type="dxa"/>
          </w:tcPr>
          <w:p w14:paraId="75D40581" w14:textId="77777777" w:rsidR="00F65BCA" w:rsidRDefault="00216117">
            <w:pPr>
              <w:pStyle w:val="TableParagraph"/>
              <w:spacing w:before="38"/>
              <w:ind w:left="124"/>
              <w:rPr>
                <w:sz w:val="12"/>
              </w:rPr>
            </w:pPr>
            <w:r>
              <w:rPr>
                <w:color w:val="231F20"/>
                <w:sz w:val="12"/>
              </w:rPr>
              <w:t>42</w:t>
            </w:r>
          </w:p>
        </w:tc>
        <w:tc>
          <w:tcPr>
            <w:tcW w:w="403" w:type="dxa"/>
          </w:tcPr>
          <w:p w14:paraId="61E411E8" w14:textId="77777777" w:rsidR="00F65BCA" w:rsidRDefault="00216117">
            <w:pPr>
              <w:pStyle w:val="TableParagraph"/>
              <w:spacing w:before="38"/>
              <w:ind w:left="124"/>
              <w:rPr>
                <w:sz w:val="12"/>
              </w:rPr>
            </w:pPr>
            <w:r>
              <w:rPr>
                <w:color w:val="231F20"/>
                <w:sz w:val="12"/>
              </w:rPr>
              <w:t>46</w:t>
            </w:r>
          </w:p>
        </w:tc>
        <w:tc>
          <w:tcPr>
            <w:tcW w:w="403" w:type="dxa"/>
            <w:tcBorders>
              <w:right w:val="nil"/>
            </w:tcBorders>
          </w:tcPr>
          <w:p w14:paraId="058FEECA" w14:textId="77777777" w:rsidR="00F65BCA" w:rsidRDefault="00216117">
            <w:pPr>
              <w:pStyle w:val="TableParagraph"/>
              <w:spacing w:before="38"/>
              <w:ind w:left="126"/>
              <w:rPr>
                <w:sz w:val="12"/>
              </w:rPr>
            </w:pPr>
            <w:r>
              <w:rPr>
                <w:color w:val="231F20"/>
                <w:sz w:val="12"/>
              </w:rPr>
              <w:t>50</w:t>
            </w:r>
          </w:p>
        </w:tc>
      </w:tr>
      <w:tr w:rsidR="00F65BCA" w14:paraId="013B21C6" w14:textId="77777777">
        <w:trPr>
          <w:trHeight w:val="216"/>
        </w:trPr>
        <w:tc>
          <w:tcPr>
            <w:tcW w:w="403" w:type="dxa"/>
            <w:tcBorders>
              <w:left w:val="nil"/>
            </w:tcBorders>
          </w:tcPr>
          <w:p w14:paraId="0EBECF2C" w14:textId="77777777" w:rsidR="00F65BCA" w:rsidRDefault="00216117">
            <w:pPr>
              <w:pStyle w:val="TableParagraph"/>
              <w:spacing w:before="38"/>
              <w:ind w:left="56" w:right="56"/>
              <w:jc w:val="center"/>
              <w:rPr>
                <w:sz w:val="12"/>
              </w:rPr>
            </w:pPr>
            <w:r>
              <w:rPr>
                <w:color w:val="231F20"/>
                <w:w w:val="105"/>
                <w:sz w:val="12"/>
              </w:rPr>
              <w:t>6/18</w:t>
            </w:r>
          </w:p>
        </w:tc>
        <w:tc>
          <w:tcPr>
            <w:tcW w:w="403" w:type="dxa"/>
          </w:tcPr>
          <w:p w14:paraId="491E8BCC" w14:textId="77777777" w:rsidR="00F65BCA" w:rsidRDefault="00216117">
            <w:pPr>
              <w:pStyle w:val="TableParagraph"/>
              <w:spacing w:before="38"/>
              <w:ind w:left="128"/>
              <w:rPr>
                <w:sz w:val="12"/>
              </w:rPr>
            </w:pPr>
            <w:r>
              <w:rPr>
                <w:color w:val="231F20"/>
                <w:sz w:val="12"/>
              </w:rPr>
              <w:t>10</w:t>
            </w:r>
          </w:p>
        </w:tc>
        <w:tc>
          <w:tcPr>
            <w:tcW w:w="403" w:type="dxa"/>
          </w:tcPr>
          <w:p w14:paraId="33E5EF85" w14:textId="77777777" w:rsidR="00F65BCA" w:rsidRDefault="00216117">
            <w:pPr>
              <w:pStyle w:val="TableParagraph"/>
              <w:spacing w:before="38"/>
              <w:ind w:left="128"/>
              <w:rPr>
                <w:sz w:val="12"/>
              </w:rPr>
            </w:pPr>
            <w:r>
              <w:rPr>
                <w:color w:val="231F20"/>
                <w:sz w:val="12"/>
              </w:rPr>
              <w:t>14</w:t>
            </w:r>
          </w:p>
        </w:tc>
        <w:tc>
          <w:tcPr>
            <w:tcW w:w="403" w:type="dxa"/>
          </w:tcPr>
          <w:p w14:paraId="17229610" w14:textId="77777777" w:rsidR="00F65BCA" w:rsidRDefault="00216117">
            <w:pPr>
              <w:pStyle w:val="TableParagraph"/>
              <w:spacing w:before="38"/>
              <w:ind w:left="51" w:right="52"/>
              <w:jc w:val="center"/>
              <w:rPr>
                <w:sz w:val="12"/>
              </w:rPr>
            </w:pPr>
            <w:r>
              <w:rPr>
                <w:color w:val="231F20"/>
                <w:sz w:val="12"/>
              </w:rPr>
              <w:t>18</w:t>
            </w:r>
          </w:p>
        </w:tc>
        <w:tc>
          <w:tcPr>
            <w:tcW w:w="403" w:type="dxa"/>
          </w:tcPr>
          <w:p w14:paraId="24E3A800" w14:textId="77777777" w:rsidR="00F65BCA" w:rsidRDefault="00216117">
            <w:pPr>
              <w:pStyle w:val="TableParagraph"/>
              <w:spacing w:before="38"/>
              <w:ind w:left="127"/>
              <w:rPr>
                <w:sz w:val="12"/>
              </w:rPr>
            </w:pPr>
            <w:r>
              <w:rPr>
                <w:color w:val="231F20"/>
                <w:sz w:val="12"/>
              </w:rPr>
              <w:t>23</w:t>
            </w:r>
          </w:p>
        </w:tc>
        <w:tc>
          <w:tcPr>
            <w:tcW w:w="403" w:type="dxa"/>
          </w:tcPr>
          <w:p w14:paraId="4CB0C6B7" w14:textId="77777777" w:rsidR="00F65BCA" w:rsidRDefault="00216117">
            <w:pPr>
              <w:pStyle w:val="TableParagraph"/>
              <w:spacing w:before="38"/>
              <w:ind w:left="51" w:right="52"/>
              <w:jc w:val="center"/>
              <w:rPr>
                <w:sz w:val="12"/>
              </w:rPr>
            </w:pPr>
            <w:r>
              <w:rPr>
                <w:color w:val="231F20"/>
                <w:sz w:val="12"/>
              </w:rPr>
              <w:t>28</w:t>
            </w:r>
          </w:p>
        </w:tc>
        <w:tc>
          <w:tcPr>
            <w:tcW w:w="403" w:type="dxa"/>
          </w:tcPr>
          <w:p w14:paraId="34C43598" w14:textId="77777777" w:rsidR="00F65BCA" w:rsidRDefault="00216117">
            <w:pPr>
              <w:pStyle w:val="TableParagraph"/>
              <w:spacing w:before="38"/>
              <w:ind w:left="51" w:right="53"/>
              <w:jc w:val="center"/>
              <w:rPr>
                <w:sz w:val="12"/>
              </w:rPr>
            </w:pPr>
            <w:r>
              <w:rPr>
                <w:color w:val="231F20"/>
                <w:sz w:val="12"/>
              </w:rPr>
              <w:t>33</w:t>
            </w:r>
          </w:p>
        </w:tc>
        <w:tc>
          <w:tcPr>
            <w:tcW w:w="403" w:type="dxa"/>
          </w:tcPr>
          <w:p w14:paraId="6648DD43" w14:textId="77777777" w:rsidR="00F65BCA" w:rsidRDefault="00216117">
            <w:pPr>
              <w:pStyle w:val="TableParagraph"/>
              <w:spacing w:before="38"/>
              <w:ind w:left="51" w:right="54"/>
              <w:jc w:val="center"/>
              <w:rPr>
                <w:sz w:val="12"/>
              </w:rPr>
            </w:pPr>
            <w:r>
              <w:rPr>
                <w:color w:val="231F20"/>
                <w:sz w:val="12"/>
              </w:rPr>
              <w:t>38</w:t>
            </w:r>
          </w:p>
        </w:tc>
        <w:tc>
          <w:tcPr>
            <w:tcW w:w="403" w:type="dxa"/>
          </w:tcPr>
          <w:p w14:paraId="145D3367" w14:textId="77777777" w:rsidR="00F65BCA" w:rsidRDefault="00216117">
            <w:pPr>
              <w:pStyle w:val="TableParagraph"/>
              <w:spacing w:before="38"/>
              <w:ind w:left="124"/>
              <w:rPr>
                <w:sz w:val="12"/>
              </w:rPr>
            </w:pPr>
            <w:r>
              <w:rPr>
                <w:color w:val="231F20"/>
                <w:sz w:val="12"/>
              </w:rPr>
              <w:t>42</w:t>
            </w:r>
          </w:p>
        </w:tc>
        <w:tc>
          <w:tcPr>
            <w:tcW w:w="403" w:type="dxa"/>
          </w:tcPr>
          <w:p w14:paraId="5689A4A6" w14:textId="77777777" w:rsidR="00F65BCA" w:rsidRDefault="00216117">
            <w:pPr>
              <w:pStyle w:val="TableParagraph"/>
              <w:spacing w:before="38"/>
              <w:ind w:left="124"/>
              <w:rPr>
                <w:sz w:val="12"/>
              </w:rPr>
            </w:pPr>
            <w:r>
              <w:rPr>
                <w:color w:val="231F20"/>
                <w:sz w:val="12"/>
              </w:rPr>
              <w:t>46</w:t>
            </w:r>
          </w:p>
        </w:tc>
        <w:tc>
          <w:tcPr>
            <w:tcW w:w="403" w:type="dxa"/>
          </w:tcPr>
          <w:p w14:paraId="797E50EA" w14:textId="77777777" w:rsidR="00F65BCA" w:rsidRDefault="00216117">
            <w:pPr>
              <w:pStyle w:val="TableParagraph"/>
              <w:spacing w:before="38"/>
              <w:ind w:left="123"/>
              <w:rPr>
                <w:sz w:val="12"/>
              </w:rPr>
            </w:pPr>
            <w:r>
              <w:rPr>
                <w:color w:val="231F20"/>
                <w:sz w:val="12"/>
              </w:rPr>
              <w:t>50</w:t>
            </w:r>
          </w:p>
        </w:tc>
        <w:tc>
          <w:tcPr>
            <w:tcW w:w="403" w:type="dxa"/>
          </w:tcPr>
          <w:p w14:paraId="7DF30E53" w14:textId="77777777" w:rsidR="00F65BCA" w:rsidRDefault="00216117">
            <w:pPr>
              <w:pStyle w:val="TableParagraph"/>
              <w:spacing w:before="38"/>
              <w:ind w:left="123"/>
              <w:rPr>
                <w:sz w:val="12"/>
              </w:rPr>
            </w:pPr>
            <w:r>
              <w:rPr>
                <w:color w:val="231F20"/>
                <w:sz w:val="12"/>
              </w:rPr>
              <w:t>54</w:t>
            </w:r>
          </w:p>
        </w:tc>
        <w:tc>
          <w:tcPr>
            <w:tcW w:w="403" w:type="dxa"/>
            <w:tcBorders>
              <w:right w:val="nil"/>
            </w:tcBorders>
          </w:tcPr>
          <w:p w14:paraId="707986F4" w14:textId="77777777" w:rsidR="00F65BCA" w:rsidRDefault="00216117">
            <w:pPr>
              <w:pStyle w:val="TableParagraph"/>
              <w:spacing w:before="38"/>
              <w:ind w:left="125"/>
              <w:rPr>
                <w:sz w:val="12"/>
              </w:rPr>
            </w:pPr>
            <w:r>
              <w:rPr>
                <w:color w:val="231F20"/>
                <w:sz w:val="12"/>
              </w:rPr>
              <w:t>58</w:t>
            </w:r>
          </w:p>
        </w:tc>
      </w:tr>
      <w:tr w:rsidR="00F65BCA" w14:paraId="15CC06A2" w14:textId="77777777">
        <w:trPr>
          <w:trHeight w:val="216"/>
        </w:trPr>
        <w:tc>
          <w:tcPr>
            <w:tcW w:w="403" w:type="dxa"/>
            <w:tcBorders>
              <w:left w:val="nil"/>
            </w:tcBorders>
          </w:tcPr>
          <w:p w14:paraId="548B6865" w14:textId="77777777" w:rsidR="00F65BCA" w:rsidRDefault="00216117">
            <w:pPr>
              <w:pStyle w:val="TableParagraph"/>
              <w:spacing w:before="38"/>
              <w:ind w:left="56" w:right="56"/>
              <w:jc w:val="center"/>
              <w:rPr>
                <w:sz w:val="12"/>
              </w:rPr>
            </w:pPr>
            <w:r>
              <w:rPr>
                <w:color w:val="231F20"/>
                <w:w w:val="105"/>
                <w:sz w:val="12"/>
              </w:rPr>
              <w:t>6/24</w:t>
            </w:r>
          </w:p>
        </w:tc>
        <w:tc>
          <w:tcPr>
            <w:tcW w:w="403" w:type="dxa"/>
          </w:tcPr>
          <w:p w14:paraId="0330BEC4" w14:textId="77777777" w:rsidR="00F65BCA" w:rsidRDefault="00216117">
            <w:pPr>
              <w:pStyle w:val="TableParagraph"/>
              <w:spacing w:before="38"/>
              <w:ind w:left="129"/>
              <w:rPr>
                <w:sz w:val="12"/>
              </w:rPr>
            </w:pPr>
            <w:r>
              <w:rPr>
                <w:color w:val="231F20"/>
                <w:sz w:val="12"/>
              </w:rPr>
              <w:t>14</w:t>
            </w:r>
          </w:p>
        </w:tc>
        <w:tc>
          <w:tcPr>
            <w:tcW w:w="403" w:type="dxa"/>
          </w:tcPr>
          <w:p w14:paraId="00131C81" w14:textId="77777777" w:rsidR="00F65BCA" w:rsidRDefault="00216117">
            <w:pPr>
              <w:pStyle w:val="TableParagraph"/>
              <w:spacing w:before="38"/>
              <w:ind w:left="128"/>
              <w:rPr>
                <w:sz w:val="12"/>
              </w:rPr>
            </w:pPr>
            <w:r>
              <w:rPr>
                <w:color w:val="231F20"/>
                <w:sz w:val="12"/>
              </w:rPr>
              <w:t>19</w:t>
            </w:r>
          </w:p>
        </w:tc>
        <w:tc>
          <w:tcPr>
            <w:tcW w:w="403" w:type="dxa"/>
          </w:tcPr>
          <w:p w14:paraId="78393649" w14:textId="77777777" w:rsidR="00F65BCA" w:rsidRDefault="00216117">
            <w:pPr>
              <w:pStyle w:val="TableParagraph"/>
              <w:spacing w:before="38"/>
              <w:ind w:left="51" w:right="52"/>
              <w:jc w:val="center"/>
              <w:rPr>
                <w:sz w:val="12"/>
              </w:rPr>
            </w:pPr>
            <w:r>
              <w:rPr>
                <w:color w:val="231F20"/>
                <w:sz w:val="12"/>
              </w:rPr>
              <w:t>24</w:t>
            </w:r>
          </w:p>
        </w:tc>
        <w:tc>
          <w:tcPr>
            <w:tcW w:w="403" w:type="dxa"/>
          </w:tcPr>
          <w:p w14:paraId="45E492EA" w14:textId="77777777" w:rsidR="00F65BCA" w:rsidRDefault="00216117">
            <w:pPr>
              <w:pStyle w:val="TableParagraph"/>
              <w:spacing w:before="38"/>
              <w:ind w:left="127"/>
              <w:rPr>
                <w:sz w:val="12"/>
              </w:rPr>
            </w:pPr>
            <w:r>
              <w:rPr>
                <w:color w:val="231F20"/>
                <w:sz w:val="12"/>
              </w:rPr>
              <w:t>29</w:t>
            </w:r>
          </w:p>
        </w:tc>
        <w:tc>
          <w:tcPr>
            <w:tcW w:w="403" w:type="dxa"/>
          </w:tcPr>
          <w:p w14:paraId="6CE4E269" w14:textId="77777777" w:rsidR="00F65BCA" w:rsidRDefault="00216117">
            <w:pPr>
              <w:pStyle w:val="TableParagraph"/>
              <w:spacing w:before="38"/>
              <w:ind w:left="51" w:right="54"/>
              <w:jc w:val="center"/>
              <w:rPr>
                <w:sz w:val="12"/>
              </w:rPr>
            </w:pPr>
            <w:r>
              <w:rPr>
                <w:color w:val="231F20"/>
                <w:sz w:val="12"/>
              </w:rPr>
              <w:t>34</w:t>
            </w:r>
          </w:p>
        </w:tc>
        <w:tc>
          <w:tcPr>
            <w:tcW w:w="403" w:type="dxa"/>
          </w:tcPr>
          <w:p w14:paraId="23CEDA52" w14:textId="77777777" w:rsidR="00F65BCA" w:rsidRDefault="00216117">
            <w:pPr>
              <w:pStyle w:val="TableParagraph"/>
              <w:spacing w:before="38"/>
              <w:ind w:left="50" w:right="54"/>
              <w:jc w:val="center"/>
              <w:rPr>
                <w:sz w:val="12"/>
              </w:rPr>
            </w:pPr>
            <w:r>
              <w:rPr>
                <w:color w:val="231F20"/>
                <w:sz w:val="12"/>
              </w:rPr>
              <w:t>39</w:t>
            </w:r>
          </w:p>
        </w:tc>
        <w:tc>
          <w:tcPr>
            <w:tcW w:w="403" w:type="dxa"/>
          </w:tcPr>
          <w:p w14:paraId="519A3F26" w14:textId="77777777" w:rsidR="00F65BCA" w:rsidRDefault="00216117">
            <w:pPr>
              <w:pStyle w:val="TableParagraph"/>
              <w:spacing w:before="38"/>
              <w:ind w:left="49" w:right="54"/>
              <w:jc w:val="center"/>
              <w:rPr>
                <w:sz w:val="12"/>
              </w:rPr>
            </w:pPr>
            <w:r>
              <w:rPr>
                <w:color w:val="231F20"/>
                <w:sz w:val="12"/>
              </w:rPr>
              <w:t>44</w:t>
            </w:r>
          </w:p>
        </w:tc>
        <w:tc>
          <w:tcPr>
            <w:tcW w:w="403" w:type="dxa"/>
          </w:tcPr>
          <w:p w14:paraId="257579F6" w14:textId="77777777" w:rsidR="00F65BCA" w:rsidRDefault="00216117">
            <w:pPr>
              <w:pStyle w:val="TableParagraph"/>
              <w:spacing w:before="38"/>
              <w:ind w:left="125"/>
              <w:rPr>
                <w:sz w:val="12"/>
              </w:rPr>
            </w:pPr>
            <w:r>
              <w:rPr>
                <w:color w:val="231F20"/>
                <w:sz w:val="12"/>
              </w:rPr>
              <w:t>49</w:t>
            </w:r>
          </w:p>
        </w:tc>
        <w:tc>
          <w:tcPr>
            <w:tcW w:w="403" w:type="dxa"/>
          </w:tcPr>
          <w:p w14:paraId="26D48E16" w14:textId="77777777" w:rsidR="00F65BCA" w:rsidRDefault="00216117">
            <w:pPr>
              <w:pStyle w:val="TableParagraph"/>
              <w:spacing w:before="38"/>
              <w:ind w:left="125"/>
              <w:rPr>
                <w:sz w:val="12"/>
              </w:rPr>
            </w:pPr>
            <w:r>
              <w:rPr>
                <w:color w:val="231F20"/>
                <w:sz w:val="12"/>
              </w:rPr>
              <w:t>54</w:t>
            </w:r>
          </w:p>
        </w:tc>
        <w:tc>
          <w:tcPr>
            <w:tcW w:w="403" w:type="dxa"/>
          </w:tcPr>
          <w:p w14:paraId="435BB2EA" w14:textId="77777777" w:rsidR="00F65BCA" w:rsidRDefault="00216117">
            <w:pPr>
              <w:pStyle w:val="TableParagraph"/>
              <w:spacing w:before="38"/>
              <w:ind w:left="124"/>
              <w:rPr>
                <w:sz w:val="12"/>
              </w:rPr>
            </w:pPr>
            <w:r>
              <w:rPr>
                <w:color w:val="231F20"/>
                <w:sz w:val="12"/>
              </w:rPr>
              <w:t>58</w:t>
            </w:r>
          </w:p>
        </w:tc>
        <w:tc>
          <w:tcPr>
            <w:tcW w:w="403" w:type="dxa"/>
          </w:tcPr>
          <w:p w14:paraId="2FEB9B71" w14:textId="77777777" w:rsidR="00F65BCA" w:rsidRDefault="00216117">
            <w:pPr>
              <w:pStyle w:val="TableParagraph"/>
              <w:spacing w:before="38"/>
              <w:ind w:left="124"/>
              <w:rPr>
                <w:sz w:val="12"/>
              </w:rPr>
            </w:pPr>
            <w:r>
              <w:rPr>
                <w:color w:val="231F20"/>
                <w:sz w:val="12"/>
              </w:rPr>
              <w:t>62</w:t>
            </w:r>
          </w:p>
        </w:tc>
        <w:tc>
          <w:tcPr>
            <w:tcW w:w="403" w:type="dxa"/>
            <w:tcBorders>
              <w:right w:val="nil"/>
            </w:tcBorders>
          </w:tcPr>
          <w:p w14:paraId="7CB70F1F" w14:textId="77777777" w:rsidR="00F65BCA" w:rsidRDefault="00216117">
            <w:pPr>
              <w:pStyle w:val="TableParagraph"/>
              <w:spacing w:before="38"/>
              <w:ind w:left="126"/>
              <w:rPr>
                <w:sz w:val="12"/>
              </w:rPr>
            </w:pPr>
            <w:r>
              <w:rPr>
                <w:color w:val="231F20"/>
                <w:sz w:val="12"/>
              </w:rPr>
              <w:t>66</w:t>
            </w:r>
          </w:p>
        </w:tc>
      </w:tr>
      <w:tr w:rsidR="00F65BCA" w14:paraId="51613F16" w14:textId="77777777">
        <w:trPr>
          <w:trHeight w:val="216"/>
        </w:trPr>
        <w:tc>
          <w:tcPr>
            <w:tcW w:w="403" w:type="dxa"/>
            <w:tcBorders>
              <w:left w:val="nil"/>
            </w:tcBorders>
          </w:tcPr>
          <w:p w14:paraId="4F273DC2" w14:textId="77777777" w:rsidR="00F65BCA" w:rsidRDefault="00216117">
            <w:pPr>
              <w:pStyle w:val="TableParagraph"/>
              <w:spacing w:before="38"/>
              <w:ind w:left="56" w:right="56"/>
              <w:jc w:val="center"/>
              <w:rPr>
                <w:sz w:val="12"/>
              </w:rPr>
            </w:pPr>
            <w:r>
              <w:rPr>
                <w:color w:val="231F20"/>
                <w:w w:val="105"/>
                <w:sz w:val="12"/>
              </w:rPr>
              <w:t>6/30</w:t>
            </w:r>
          </w:p>
        </w:tc>
        <w:tc>
          <w:tcPr>
            <w:tcW w:w="403" w:type="dxa"/>
          </w:tcPr>
          <w:p w14:paraId="2F790B34" w14:textId="77777777" w:rsidR="00F65BCA" w:rsidRDefault="00216117">
            <w:pPr>
              <w:pStyle w:val="TableParagraph"/>
              <w:spacing w:before="38"/>
              <w:ind w:left="129"/>
              <w:rPr>
                <w:sz w:val="12"/>
              </w:rPr>
            </w:pPr>
            <w:r>
              <w:rPr>
                <w:color w:val="231F20"/>
                <w:sz w:val="12"/>
              </w:rPr>
              <w:t>18</w:t>
            </w:r>
          </w:p>
        </w:tc>
        <w:tc>
          <w:tcPr>
            <w:tcW w:w="403" w:type="dxa"/>
          </w:tcPr>
          <w:p w14:paraId="51AF878E" w14:textId="77777777" w:rsidR="00F65BCA" w:rsidRDefault="00216117">
            <w:pPr>
              <w:pStyle w:val="TableParagraph"/>
              <w:spacing w:before="38"/>
              <w:ind w:left="128"/>
              <w:rPr>
                <w:sz w:val="12"/>
              </w:rPr>
            </w:pPr>
            <w:r>
              <w:rPr>
                <w:color w:val="231F20"/>
                <w:sz w:val="12"/>
              </w:rPr>
              <w:t>23</w:t>
            </w:r>
          </w:p>
        </w:tc>
        <w:tc>
          <w:tcPr>
            <w:tcW w:w="403" w:type="dxa"/>
          </w:tcPr>
          <w:p w14:paraId="55F03F3B" w14:textId="77777777" w:rsidR="00F65BCA" w:rsidRDefault="00216117">
            <w:pPr>
              <w:pStyle w:val="TableParagraph"/>
              <w:spacing w:before="38"/>
              <w:ind w:left="51" w:right="52"/>
              <w:jc w:val="center"/>
              <w:rPr>
                <w:sz w:val="12"/>
              </w:rPr>
            </w:pPr>
            <w:r>
              <w:rPr>
                <w:color w:val="231F20"/>
                <w:sz w:val="12"/>
              </w:rPr>
              <w:t>28</w:t>
            </w:r>
          </w:p>
        </w:tc>
        <w:tc>
          <w:tcPr>
            <w:tcW w:w="403" w:type="dxa"/>
          </w:tcPr>
          <w:p w14:paraId="7CB6A2CE" w14:textId="77777777" w:rsidR="00F65BCA" w:rsidRDefault="00216117">
            <w:pPr>
              <w:pStyle w:val="TableParagraph"/>
              <w:spacing w:before="38"/>
              <w:ind w:left="127"/>
              <w:rPr>
                <w:sz w:val="12"/>
              </w:rPr>
            </w:pPr>
            <w:r>
              <w:rPr>
                <w:color w:val="231F20"/>
                <w:sz w:val="12"/>
              </w:rPr>
              <w:t>33</w:t>
            </w:r>
          </w:p>
        </w:tc>
        <w:tc>
          <w:tcPr>
            <w:tcW w:w="403" w:type="dxa"/>
          </w:tcPr>
          <w:p w14:paraId="0590BA04" w14:textId="77777777" w:rsidR="00F65BCA" w:rsidRDefault="00216117">
            <w:pPr>
              <w:pStyle w:val="TableParagraph"/>
              <w:spacing w:before="38"/>
              <w:ind w:left="51" w:right="54"/>
              <w:jc w:val="center"/>
              <w:rPr>
                <w:sz w:val="12"/>
              </w:rPr>
            </w:pPr>
            <w:r>
              <w:rPr>
                <w:color w:val="231F20"/>
                <w:sz w:val="12"/>
              </w:rPr>
              <w:t>38</w:t>
            </w:r>
          </w:p>
        </w:tc>
        <w:tc>
          <w:tcPr>
            <w:tcW w:w="403" w:type="dxa"/>
          </w:tcPr>
          <w:p w14:paraId="1C3CE4A0" w14:textId="77777777" w:rsidR="00F65BCA" w:rsidRDefault="00216117">
            <w:pPr>
              <w:pStyle w:val="TableParagraph"/>
              <w:spacing w:before="38"/>
              <w:ind w:left="50" w:right="54"/>
              <w:jc w:val="center"/>
              <w:rPr>
                <w:sz w:val="12"/>
              </w:rPr>
            </w:pPr>
            <w:r>
              <w:rPr>
                <w:color w:val="231F20"/>
                <w:sz w:val="12"/>
              </w:rPr>
              <w:t>43</w:t>
            </w:r>
          </w:p>
        </w:tc>
        <w:tc>
          <w:tcPr>
            <w:tcW w:w="403" w:type="dxa"/>
          </w:tcPr>
          <w:p w14:paraId="671B984D" w14:textId="77777777" w:rsidR="00F65BCA" w:rsidRDefault="00216117">
            <w:pPr>
              <w:pStyle w:val="TableParagraph"/>
              <w:spacing w:before="38"/>
              <w:ind w:left="49" w:right="54"/>
              <w:jc w:val="center"/>
              <w:rPr>
                <w:sz w:val="12"/>
              </w:rPr>
            </w:pPr>
            <w:r>
              <w:rPr>
                <w:color w:val="231F20"/>
                <w:sz w:val="12"/>
              </w:rPr>
              <w:t>48</w:t>
            </w:r>
          </w:p>
        </w:tc>
        <w:tc>
          <w:tcPr>
            <w:tcW w:w="403" w:type="dxa"/>
          </w:tcPr>
          <w:p w14:paraId="28AEBB6F" w14:textId="77777777" w:rsidR="00F65BCA" w:rsidRDefault="00216117">
            <w:pPr>
              <w:pStyle w:val="TableParagraph"/>
              <w:spacing w:before="38"/>
              <w:ind w:left="125"/>
              <w:rPr>
                <w:sz w:val="12"/>
              </w:rPr>
            </w:pPr>
            <w:r>
              <w:rPr>
                <w:color w:val="231F20"/>
                <w:sz w:val="12"/>
              </w:rPr>
              <w:t>53</w:t>
            </w:r>
          </w:p>
        </w:tc>
        <w:tc>
          <w:tcPr>
            <w:tcW w:w="403" w:type="dxa"/>
          </w:tcPr>
          <w:p w14:paraId="525955A8" w14:textId="77777777" w:rsidR="00F65BCA" w:rsidRDefault="00216117">
            <w:pPr>
              <w:pStyle w:val="TableParagraph"/>
              <w:spacing w:before="38"/>
              <w:ind w:left="125"/>
              <w:rPr>
                <w:sz w:val="12"/>
              </w:rPr>
            </w:pPr>
            <w:r>
              <w:rPr>
                <w:color w:val="231F20"/>
                <w:sz w:val="12"/>
              </w:rPr>
              <w:t>58</w:t>
            </w:r>
          </w:p>
        </w:tc>
        <w:tc>
          <w:tcPr>
            <w:tcW w:w="403" w:type="dxa"/>
          </w:tcPr>
          <w:p w14:paraId="4838010C" w14:textId="77777777" w:rsidR="00F65BCA" w:rsidRDefault="00216117">
            <w:pPr>
              <w:pStyle w:val="TableParagraph"/>
              <w:spacing w:before="38"/>
              <w:ind w:left="124"/>
              <w:rPr>
                <w:sz w:val="12"/>
              </w:rPr>
            </w:pPr>
            <w:r>
              <w:rPr>
                <w:color w:val="231F20"/>
                <w:sz w:val="12"/>
              </w:rPr>
              <w:t>63</w:t>
            </w:r>
          </w:p>
        </w:tc>
        <w:tc>
          <w:tcPr>
            <w:tcW w:w="403" w:type="dxa"/>
          </w:tcPr>
          <w:p w14:paraId="278CFC3B" w14:textId="77777777" w:rsidR="00F65BCA" w:rsidRDefault="00216117">
            <w:pPr>
              <w:pStyle w:val="TableParagraph"/>
              <w:spacing w:before="38"/>
              <w:ind w:left="124"/>
              <w:rPr>
                <w:sz w:val="12"/>
              </w:rPr>
            </w:pPr>
            <w:r>
              <w:rPr>
                <w:color w:val="231F20"/>
                <w:sz w:val="12"/>
              </w:rPr>
              <w:t>68</w:t>
            </w:r>
          </w:p>
        </w:tc>
        <w:tc>
          <w:tcPr>
            <w:tcW w:w="403" w:type="dxa"/>
            <w:tcBorders>
              <w:right w:val="nil"/>
            </w:tcBorders>
          </w:tcPr>
          <w:p w14:paraId="66B53939" w14:textId="77777777" w:rsidR="00F65BCA" w:rsidRDefault="00216117">
            <w:pPr>
              <w:pStyle w:val="TableParagraph"/>
              <w:spacing w:before="38"/>
              <w:ind w:left="126"/>
              <w:rPr>
                <w:sz w:val="12"/>
              </w:rPr>
            </w:pPr>
            <w:r>
              <w:rPr>
                <w:color w:val="231F20"/>
                <w:sz w:val="12"/>
              </w:rPr>
              <w:t>73</w:t>
            </w:r>
          </w:p>
        </w:tc>
      </w:tr>
      <w:tr w:rsidR="00F65BCA" w14:paraId="09694F16" w14:textId="77777777">
        <w:trPr>
          <w:trHeight w:val="216"/>
        </w:trPr>
        <w:tc>
          <w:tcPr>
            <w:tcW w:w="403" w:type="dxa"/>
            <w:tcBorders>
              <w:left w:val="nil"/>
            </w:tcBorders>
          </w:tcPr>
          <w:p w14:paraId="1ABE00BE" w14:textId="77777777" w:rsidR="00F65BCA" w:rsidRDefault="00216117">
            <w:pPr>
              <w:pStyle w:val="TableParagraph"/>
              <w:spacing w:before="38"/>
              <w:ind w:left="56" w:right="56"/>
              <w:jc w:val="center"/>
              <w:rPr>
                <w:sz w:val="12"/>
              </w:rPr>
            </w:pPr>
            <w:r>
              <w:rPr>
                <w:color w:val="231F20"/>
                <w:w w:val="105"/>
                <w:sz w:val="12"/>
              </w:rPr>
              <w:t>6/36</w:t>
            </w:r>
          </w:p>
        </w:tc>
        <w:tc>
          <w:tcPr>
            <w:tcW w:w="403" w:type="dxa"/>
          </w:tcPr>
          <w:p w14:paraId="062F3306" w14:textId="77777777" w:rsidR="00F65BCA" w:rsidRDefault="00216117">
            <w:pPr>
              <w:pStyle w:val="TableParagraph"/>
              <w:spacing w:before="38"/>
              <w:ind w:left="129"/>
              <w:rPr>
                <w:sz w:val="12"/>
              </w:rPr>
            </w:pPr>
            <w:r>
              <w:rPr>
                <w:color w:val="231F20"/>
                <w:sz w:val="12"/>
              </w:rPr>
              <w:t>22</w:t>
            </w:r>
          </w:p>
        </w:tc>
        <w:tc>
          <w:tcPr>
            <w:tcW w:w="403" w:type="dxa"/>
          </w:tcPr>
          <w:p w14:paraId="5BC510EB" w14:textId="77777777" w:rsidR="00F65BCA" w:rsidRDefault="00216117">
            <w:pPr>
              <w:pStyle w:val="TableParagraph"/>
              <w:spacing w:before="38"/>
              <w:ind w:left="128"/>
              <w:rPr>
                <w:sz w:val="12"/>
              </w:rPr>
            </w:pPr>
            <w:r>
              <w:rPr>
                <w:color w:val="231F20"/>
                <w:sz w:val="12"/>
              </w:rPr>
              <w:t>27</w:t>
            </w:r>
          </w:p>
        </w:tc>
        <w:tc>
          <w:tcPr>
            <w:tcW w:w="403" w:type="dxa"/>
          </w:tcPr>
          <w:p w14:paraId="3226F9DD" w14:textId="77777777" w:rsidR="00F65BCA" w:rsidRDefault="00216117">
            <w:pPr>
              <w:pStyle w:val="TableParagraph"/>
              <w:spacing w:before="38"/>
              <w:ind w:left="51" w:right="52"/>
              <w:jc w:val="center"/>
              <w:rPr>
                <w:sz w:val="12"/>
              </w:rPr>
            </w:pPr>
            <w:r>
              <w:rPr>
                <w:color w:val="231F20"/>
                <w:sz w:val="12"/>
              </w:rPr>
              <w:t>32</w:t>
            </w:r>
          </w:p>
        </w:tc>
        <w:tc>
          <w:tcPr>
            <w:tcW w:w="403" w:type="dxa"/>
          </w:tcPr>
          <w:p w14:paraId="1C4C5BBE" w14:textId="77777777" w:rsidR="00F65BCA" w:rsidRDefault="00216117">
            <w:pPr>
              <w:pStyle w:val="TableParagraph"/>
              <w:spacing w:before="38"/>
              <w:ind w:left="127"/>
              <w:rPr>
                <w:sz w:val="12"/>
              </w:rPr>
            </w:pPr>
            <w:r>
              <w:rPr>
                <w:color w:val="231F20"/>
                <w:sz w:val="12"/>
              </w:rPr>
              <w:t>37</w:t>
            </w:r>
          </w:p>
        </w:tc>
        <w:tc>
          <w:tcPr>
            <w:tcW w:w="403" w:type="dxa"/>
          </w:tcPr>
          <w:p w14:paraId="3868544D" w14:textId="77777777" w:rsidR="00F65BCA" w:rsidRDefault="00216117">
            <w:pPr>
              <w:pStyle w:val="TableParagraph"/>
              <w:spacing w:before="38"/>
              <w:ind w:left="51" w:right="54"/>
              <w:jc w:val="center"/>
              <w:rPr>
                <w:sz w:val="12"/>
              </w:rPr>
            </w:pPr>
            <w:r>
              <w:rPr>
                <w:color w:val="231F20"/>
                <w:sz w:val="12"/>
              </w:rPr>
              <w:t>43</w:t>
            </w:r>
          </w:p>
        </w:tc>
        <w:tc>
          <w:tcPr>
            <w:tcW w:w="403" w:type="dxa"/>
          </w:tcPr>
          <w:p w14:paraId="1576E45E" w14:textId="77777777" w:rsidR="00F65BCA" w:rsidRDefault="00216117">
            <w:pPr>
              <w:pStyle w:val="TableParagraph"/>
              <w:spacing w:before="38"/>
              <w:ind w:left="50" w:right="54"/>
              <w:jc w:val="center"/>
              <w:rPr>
                <w:sz w:val="12"/>
              </w:rPr>
            </w:pPr>
            <w:r>
              <w:rPr>
                <w:color w:val="231F20"/>
                <w:sz w:val="12"/>
              </w:rPr>
              <w:t>49</w:t>
            </w:r>
          </w:p>
        </w:tc>
        <w:tc>
          <w:tcPr>
            <w:tcW w:w="403" w:type="dxa"/>
          </w:tcPr>
          <w:p w14:paraId="0D23AE30" w14:textId="77777777" w:rsidR="00F65BCA" w:rsidRDefault="00216117">
            <w:pPr>
              <w:pStyle w:val="TableParagraph"/>
              <w:spacing w:before="38"/>
              <w:ind w:left="49" w:right="54"/>
              <w:jc w:val="center"/>
              <w:rPr>
                <w:sz w:val="12"/>
              </w:rPr>
            </w:pPr>
            <w:r>
              <w:rPr>
                <w:color w:val="231F20"/>
                <w:sz w:val="12"/>
              </w:rPr>
              <w:t>55</w:t>
            </w:r>
          </w:p>
        </w:tc>
        <w:tc>
          <w:tcPr>
            <w:tcW w:w="403" w:type="dxa"/>
          </w:tcPr>
          <w:p w14:paraId="2CDE1838" w14:textId="77777777" w:rsidR="00F65BCA" w:rsidRDefault="00216117">
            <w:pPr>
              <w:pStyle w:val="TableParagraph"/>
              <w:spacing w:before="38"/>
              <w:ind w:left="125"/>
              <w:rPr>
                <w:sz w:val="12"/>
              </w:rPr>
            </w:pPr>
            <w:r>
              <w:rPr>
                <w:color w:val="231F20"/>
                <w:sz w:val="12"/>
              </w:rPr>
              <w:t>61</w:t>
            </w:r>
          </w:p>
        </w:tc>
        <w:tc>
          <w:tcPr>
            <w:tcW w:w="403" w:type="dxa"/>
          </w:tcPr>
          <w:p w14:paraId="5F53D955" w14:textId="77777777" w:rsidR="00F65BCA" w:rsidRDefault="00216117">
            <w:pPr>
              <w:pStyle w:val="TableParagraph"/>
              <w:spacing w:before="38"/>
              <w:ind w:left="125"/>
              <w:rPr>
                <w:sz w:val="12"/>
              </w:rPr>
            </w:pPr>
            <w:r>
              <w:rPr>
                <w:color w:val="231F20"/>
                <w:sz w:val="12"/>
              </w:rPr>
              <w:t>66</w:t>
            </w:r>
          </w:p>
        </w:tc>
        <w:tc>
          <w:tcPr>
            <w:tcW w:w="403" w:type="dxa"/>
          </w:tcPr>
          <w:p w14:paraId="2EC58C8A" w14:textId="77777777" w:rsidR="00F65BCA" w:rsidRDefault="00216117">
            <w:pPr>
              <w:pStyle w:val="TableParagraph"/>
              <w:spacing w:before="38"/>
              <w:ind w:left="124"/>
              <w:rPr>
                <w:sz w:val="12"/>
              </w:rPr>
            </w:pPr>
            <w:r>
              <w:rPr>
                <w:color w:val="231F20"/>
                <w:sz w:val="12"/>
              </w:rPr>
              <w:t>71</w:t>
            </w:r>
          </w:p>
        </w:tc>
        <w:tc>
          <w:tcPr>
            <w:tcW w:w="403" w:type="dxa"/>
          </w:tcPr>
          <w:p w14:paraId="6BAD4ADE" w14:textId="77777777" w:rsidR="00F65BCA" w:rsidRDefault="00216117">
            <w:pPr>
              <w:pStyle w:val="TableParagraph"/>
              <w:spacing w:before="38"/>
              <w:ind w:left="124"/>
              <w:rPr>
                <w:sz w:val="12"/>
              </w:rPr>
            </w:pPr>
            <w:r>
              <w:rPr>
                <w:color w:val="231F20"/>
                <w:sz w:val="12"/>
              </w:rPr>
              <w:t>76</w:t>
            </w:r>
          </w:p>
        </w:tc>
        <w:tc>
          <w:tcPr>
            <w:tcW w:w="403" w:type="dxa"/>
            <w:tcBorders>
              <w:right w:val="nil"/>
            </w:tcBorders>
          </w:tcPr>
          <w:p w14:paraId="721E2473" w14:textId="77777777" w:rsidR="00F65BCA" w:rsidRDefault="00216117">
            <w:pPr>
              <w:pStyle w:val="TableParagraph"/>
              <w:spacing w:before="38"/>
              <w:ind w:left="126"/>
              <w:rPr>
                <w:sz w:val="12"/>
              </w:rPr>
            </w:pPr>
            <w:r>
              <w:rPr>
                <w:color w:val="231F20"/>
                <w:sz w:val="12"/>
              </w:rPr>
              <w:t>81</w:t>
            </w:r>
          </w:p>
        </w:tc>
      </w:tr>
      <w:tr w:rsidR="00F65BCA" w14:paraId="3BA93BC6" w14:textId="77777777">
        <w:trPr>
          <w:trHeight w:val="216"/>
        </w:trPr>
        <w:tc>
          <w:tcPr>
            <w:tcW w:w="403" w:type="dxa"/>
            <w:tcBorders>
              <w:left w:val="nil"/>
            </w:tcBorders>
          </w:tcPr>
          <w:p w14:paraId="280BA37C" w14:textId="77777777" w:rsidR="00F65BCA" w:rsidRDefault="00216117">
            <w:pPr>
              <w:pStyle w:val="TableParagraph"/>
              <w:spacing w:before="38"/>
              <w:ind w:left="56" w:right="56"/>
              <w:jc w:val="center"/>
              <w:rPr>
                <w:sz w:val="12"/>
              </w:rPr>
            </w:pPr>
            <w:r>
              <w:rPr>
                <w:color w:val="231F20"/>
                <w:w w:val="105"/>
                <w:sz w:val="12"/>
              </w:rPr>
              <w:t>6/60</w:t>
            </w:r>
          </w:p>
        </w:tc>
        <w:tc>
          <w:tcPr>
            <w:tcW w:w="403" w:type="dxa"/>
          </w:tcPr>
          <w:p w14:paraId="618B9121" w14:textId="77777777" w:rsidR="00F65BCA" w:rsidRDefault="00216117">
            <w:pPr>
              <w:pStyle w:val="TableParagraph"/>
              <w:spacing w:before="38"/>
              <w:ind w:left="129"/>
              <w:rPr>
                <w:sz w:val="12"/>
              </w:rPr>
            </w:pPr>
            <w:r>
              <w:rPr>
                <w:color w:val="231F20"/>
                <w:sz w:val="12"/>
              </w:rPr>
              <w:t>24</w:t>
            </w:r>
          </w:p>
        </w:tc>
        <w:tc>
          <w:tcPr>
            <w:tcW w:w="403" w:type="dxa"/>
          </w:tcPr>
          <w:p w14:paraId="424B8AF6" w14:textId="77777777" w:rsidR="00F65BCA" w:rsidRDefault="00216117">
            <w:pPr>
              <w:pStyle w:val="TableParagraph"/>
              <w:spacing w:before="38"/>
              <w:ind w:left="128"/>
              <w:rPr>
                <w:sz w:val="12"/>
              </w:rPr>
            </w:pPr>
            <w:r>
              <w:rPr>
                <w:color w:val="231F20"/>
                <w:sz w:val="12"/>
              </w:rPr>
              <w:t>29</w:t>
            </w:r>
          </w:p>
        </w:tc>
        <w:tc>
          <w:tcPr>
            <w:tcW w:w="403" w:type="dxa"/>
          </w:tcPr>
          <w:p w14:paraId="671ECF63" w14:textId="77777777" w:rsidR="00F65BCA" w:rsidRDefault="00216117">
            <w:pPr>
              <w:pStyle w:val="TableParagraph"/>
              <w:spacing w:before="38"/>
              <w:ind w:left="51" w:right="52"/>
              <w:jc w:val="center"/>
              <w:rPr>
                <w:sz w:val="12"/>
              </w:rPr>
            </w:pPr>
            <w:r>
              <w:rPr>
                <w:color w:val="231F20"/>
                <w:sz w:val="12"/>
              </w:rPr>
              <w:t>34</w:t>
            </w:r>
          </w:p>
        </w:tc>
        <w:tc>
          <w:tcPr>
            <w:tcW w:w="403" w:type="dxa"/>
          </w:tcPr>
          <w:p w14:paraId="240708DF" w14:textId="77777777" w:rsidR="00F65BCA" w:rsidRDefault="00216117">
            <w:pPr>
              <w:pStyle w:val="TableParagraph"/>
              <w:spacing w:before="38"/>
              <w:ind w:left="127"/>
              <w:rPr>
                <w:sz w:val="12"/>
              </w:rPr>
            </w:pPr>
            <w:r>
              <w:rPr>
                <w:color w:val="231F20"/>
                <w:sz w:val="12"/>
              </w:rPr>
              <w:t>40</w:t>
            </w:r>
          </w:p>
        </w:tc>
        <w:tc>
          <w:tcPr>
            <w:tcW w:w="403" w:type="dxa"/>
          </w:tcPr>
          <w:p w14:paraId="3CEC08D0" w14:textId="77777777" w:rsidR="00F65BCA" w:rsidRDefault="00216117">
            <w:pPr>
              <w:pStyle w:val="TableParagraph"/>
              <w:spacing w:before="38"/>
              <w:ind w:left="51" w:right="54"/>
              <w:jc w:val="center"/>
              <w:rPr>
                <w:sz w:val="12"/>
              </w:rPr>
            </w:pPr>
            <w:r>
              <w:rPr>
                <w:color w:val="231F20"/>
                <w:sz w:val="12"/>
              </w:rPr>
              <w:t>46</w:t>
            </w:r>
          </w:p>
        </w:tc>
        <w:tc>
          <w:tcPr>
            <w:tcW w:w="403" w:type="dxa"/>
          </w:tcPr>
          <w:p w14:paraId="461AD713" w14:textId="77777777" w:rsidR="00F65BCA" w:rsidRDefault="00216117">
            <w:pPr>
              <w:pStyle w:val="TableParagraph"/>
              <w:spacing w:before="38"/>
              <w:ind w:left="50" w:right="54"/>
              <w:jc w:val="center"/>
              <w:rPr>
                <w:sz w:val="12"/>
              </w:rPr>
            </w:pPr>
            <w:r>
              <w:rPr>
                <w:color w:val="231F20"/>
                <w:sz w:val="12"/>
              </w:rPr>
              <w:t>52</w:t>
            </w:r>
          </w:p>
        </w:tc>
        <w:tc>
          <w:tcPr>
            <w:tcW w:w="403" w:type="dxa"/>
          </w:tcPr>
          <w:p w14:paraId="0EB9C0A2" w14:textId="77777777" w:rsidR="00F65BCA" w:rsidRDefault="00216117">
            <w:pPr>
              <w:pStyle w:val="TableParagraph"/>
              <w:spacing w:before="38"/>
              <w:ind w:left="49" w:right="54"/>
              <w:jc w:val="center"/>
              <w:rPr>
                <w:sz w:val="12"/>
              </w:rPr>
            </w:pPr>
            <w:r>
              <w:rPr>
                <w:color w:val="231F20"/>
                <w:sz w:val="12"/>
              </w:rPr>
              <w:t>58</w:t>
            </w:r>
          </w:p>
        </w:tc>
        <w:tc>
          <w:tcPr>
            <w:tcW w:w="403" w:type="dxa"/>
          </w:tcPr>
          <w:p w14:paraId="071FBA55" w14:textId="77777777" w:rsidR="00F65BCA" w:rsidRDefault="00216117">
            <w:pPr>
              <w:pStyle w:val="TableParagraph"/>
              <w:spacing w:before="38"/>
              <w:ind w:left="125"/>
              <w:rPr>
                <w:sz w:val="12"/>
              </w:rPr>
            </w:pPr>
            <w:r>
              <w:rPr>
                <w:color w:val="231F20"/>
                <w:sz w:val="12"/>
              </w:rPr>
              <w:t>64</w:t>
            </w:r>
          </w:p>
        </w:tc>
        <w:tc>
          <w:tcPr>
            <w:tcW w:w="403" w:type="dxa"/>
          </w:tcPr>
          <w:p w14:paraId="673BFA2F" w14:textId="77777777" w:rsidR="00F65BCA" w:rsidRDefault="00216117">
            <w:pPr>
              <w:pStyle w:val="TableParagraph"/>
              <w:spacing w:before="38"/>
              <w:ind w:left="125"/>
              <w:rPr>
                <w:sz w:val="12"/>
              </w:rPr>
            </w:pPr>
            <w:r>
              <w:rPr>
                <w:color w:val="231F20"/>
                <w:sz w:val="12"/>
              </w:rPr>
              <w:t>70</w:t>
            </w:r>
          </w:p>
        </w:tc>
        <w:tc>
          <w:tcPr>
            <w:tcW w:w="403" w:type="dxa"/>
          </w:tcPr>
          <w:p w14:paraId="02F9DCD5" w14:textId="77777777" w:rsidR="00F65BCA" w:rsidRDefault="00216117">
            <w:pPr>
              <w:pStyle w:val="TableParagraph"/>
              <w:spacing w:before="38"/>
              <w:ind w:left="124"/>
              <w:rPr>
                <w:sz w:val="12"/>
              </w:rPr>
            </w:pPr>
            <w:r>
              <w:rPr>
                <w:color w:val="231F20"/>
                <w:sz w:val="12"/>
              </w:rPr>
              <w:t>76</w:t>
            </w:r>
          </w:p>
        </w:tc>
        <w:tc>
          <w:tcPr>
            <w:tcW w:w="403" w:type="dxa"/>
          </w:tcPr>
          <w:p w14:paraId="46997F3E" w14:textId="77777777" w:rsidR="00F65BCA" w:rsidRDefault="00216117">
            <w:pPr>
              <w:pStyle w:val="TableParagraph"/>
              <w:spacing w:before="38"/>
              <w:ind w:left="124"/>
              <w:rPr>
                <w:sz w:val="12"/>
              </w:rPr>
            </w:pPr>
            <w:r>
              <w:rPr>
                <w:color w:val="231F20"/>
                <w:sz w:val="12"/>
              </w:rPr>
              <w:t>82</w:t>
            </w:r>
          </w:p>
        </w:tc>
        <w:tc>
          <w:tcPr>
            <w:tcW w:w="403" w:type="dxa"/>
            <w:tcBorders>
              <w:right w:val="nil"/>
            </w:tcBorders>
          </w:tcPr>
          <w:p w14:paraId="09B33948" w14:textId="77777777" w:rsidR="00F65BCA" w:rsidRDefault="00216117">
            <w:pPr>
              <w:pStyle w:val="TableParagraph"/>
              <w:spacing w:before="38"/>
              <w:ind w:left="126"/>
              <w:rPr>
                <w:sz w:val="12"/>
              </w:rPr>
            </w:pPr>
            <w:r>
              <w:rPr>
                <w:color w:val="231F20"/>
                <w:sz w:val="12"/>
              </w:rPr>
              <w:t>88</w:t>
            </w:r>
          </w:p>
        </w:tc>
      </w:tr>
      <w:tr w:rsidR="00F65BCA" w14:paraId="65F64CAE" w14:textId="77777777">
        <w:trPr>
          <w:trHeight w:val="216"/>
        </w:trPr>
        <w:tc>
          <w:tcPr>
            <w:tcW w:w="403" w:type="dxa"/>
            <w:tcBorders>
              <w:left w:val="nil"/>
            </w:tcBorders>
          </w:tcPr>
          <w:p w14:paraId="6666F2BE" w14:textId="77777777" w:rsidR="00F65BCA" w:rsidRDefault="00216117">
            <w:pPr>
              <w:pStyle w:val="TableParagraph"/>
              <w:spacing w:before="38"/>
              <w:ind w:left="56" w:right="56"/>
              <w:jc w:val="center"/>
              <w:rPr>
                <w:sz w:val="12"/>
              </w:rPr>
            </w:pPr>
            <w:r>
              <w:rPr>
                <w:color w:val="231F20"/>
                <w:w w:val="105"/>
                <w:sz w:val="12"/>
              </w:rPr>
              <w:t>3/60</w:t>
            </w:r>
          </w:p>
        </w:tc>
        <w:tc>
          <w:tcPr>
            <w:tcW w:w="403" w:type="dxa"/>
          </w:tcPr>
          <w:p w14:paraId="167B5EBC" w14:textId="77777777" w:rsidR="00F65BCA" w:rsidRDefault="00216117">
            <w:pPr>
              <w:pStyle w:val="TableParagraph"/>
              <w:spacing w:before="38"/>
              <w:ind w:left="129"/>
              <w:rPr>
                <w:sz w:val="12"/>
              </w:rPr>
            </w:pPr>
            <w:r>
              <w:rPr>
                <w:color w:val="231F20"/>
                <w:sz w:val="12"/>
              </w:rPr>
              <w:t>26</w:t>
            </w:r>
          </w:p>
        </w:tc>
        <w:tc>
          <w:tcPr>
            <w:tcW w:w="403" w:type="dxa"/>
          </w:tcPr>
          <w:p w14:paraId="15EE0181" w14:textId="77777777" w:rsidR="00F65BCA" w:rsidRDefault="00216117">
            <w:pPr>
              <w:pStyle w:val="TableParagraph"/>
              <w:spacing w:before="38"/>
              <w:ind w:left="128"/>
              <w:rPr>
                <w:sz w:val="12"/>
              </w:rPr>
            </w:pPr>
            <w:r>
              <w:rPr>
                <w:color w:val="231F20"/>
                <w:sz w:val="12"/>
              </w:rPr>
              <w:t>32</w:t>
            </w:r>
          </w:p>
        </w:tc>
        <w:tc>
          <w:tcPr>
            <w:tcW w:w="403" w:type="dxa"/>
          </w:tcPr>
          <w:p w14:paraId="66BC75F9" w14:textId="77777777" w:rsidR="00F65BCA" w:rsidRDefault="00216117">
            <w:pPr>
              <w:pStyle w:val="TableParagraph"/>
              <w:spacing w:before="38"/>
              <w:ind w:left="51" w:right="52"/>
              <w:jc w:val="center"/>
              <w:rPr>
                <w:sz w:val="12"/>
              </w:rPr>
            </w:pPr>
            <w:r>
              <w:rPr>
                <w:color w:val="231F20"/>
                <w:sz w:val="12"/>
              </w:rPr>
              <w:t>38</w:t>
            </w:r>
          </w:p>
        </w:tc>
        <w:tc>
          <w:tcPr>
            <w:tcW w:w="403" w:type="dxa"/>
          </w:tcPr>
          <w:p w14:paraId="6706AF91" w14:textId="77777777" w:rsidR="00F65BCA" w:rsidRDefault="00216117">
            <w:pPr>
              <w:pStyle w:val="TableParagraph"/>
              <w:spacing w:before="38"/>
              <w:ind w:left="127"/>
              <w:rPr>
                <w:sz w:val="12"/>
              </w:rPr>
            </w:pPr>
            <w:r>
              <w:rPr>
                <w:color w:val="231F20"/>
                <w:sz w:val="12"/>
              </w:rPr>
              <w:t>44</w:t>
            </w:r>
          </w:p>
        </w:tc>
        <w:tc>
          <w:tcPr>
            <w:tcW w:w="403" w:type="dxa"/>
          </w:tcPr>
          <w:p w14:paraId="068A2CEA" w14:textId="77777777" w:rsidR="00F65BCA" w:rsidRDefault="00216117">
            <w:pPr>
              <w:pStyle w:val="TableParagraph"/>
              <w:spacing w:before="38"/>
              <w:ind w:left="51" w:right="54"/>
              <w:jc w:val="center"/>
              <w:rPr>
                <w:sz w:val="12"/>
              </w:rPr>
            </w:pPr>
            <w:r>
              <w:rPr>
                <w:color w:val="231F20"/>
                <w:sz w:val="12"/>
              </w:rPr>
              <w:t>50</w:t>
            </w:r>
          </w:p>
        </w:tc>
        <w:tc>
          <w:tcPr>
            <w:tcW w:w="403" w:type="dxa"/>
          </w:tcPr>
          <w:p w14:paraId="7DE9BB4F" w14:textId="77777777" w:rsidR="00F65BCA" w:rsidRDefault="00216117">
            <w:pPr>
              <w:pStyle w:val="TableParagraph"/>
              <w:spacing w:before="38"/>
              <w:ind w:left="50" w:right="54"/>
              <w:jc w:val="center"/>
              <w:rPr>
                <w:sz w:val="12"/>
              </w:rPr>
            </w:pPr>
            <w:r>
              <w:rPr>
                <w:color w:val="231F20"/>
                <w:sz w:val="12"/>
              </w:rPr>
              <w:t>56</w:t>
            </w:r>
          </w:p>
        </w:tc>
        <w:tc>
          <w:tcPr>
            <w:tcW w:w="403" w:type="dxa"/>
          </w:tcPr>
          <w:p w14:paraId="0AC3CFA5" w14:textId="77777777" w:rsidR="00F65BCA" w:rsidRDefault="00216117">
            <w:pPr>
              <w:pStyle w:val="TableParagraph"/>
              <w:spacing w:before="38"/>
              <w:ind w:left="49" w:right="54"/>
              <w:jc w:val="center"/>
              <w:rPr>
                <w:sz w:val="12"/>
              </w:rPr>
            </w:pPr>
            <w:r>
              <w:rPr>
                <w:color w:val="231F20"/>
                <w:sz w:val="12"/>
              </w:rPr>
              <w:t>62</w:t>
            </w:r>
          </w:p>
        </w:tc>
        <w:tc>
          <w:tcPr>
            <w:tcW w:w="403" w:type="dxa"/>
          </w:tcPr>
          <w:p w14:paraId="1501AFDB" w14:textId="77777777" w:rsidR="00F65BCA" w:rsidRDefault="00216117">
            <w:pPr>
              <w:pStyle w:val="TableParagraph"/>
              <w:spacing w:before="38"/>
              <w:ind w:left="125"/>
              <w:rPr>
                <w:sz w:val="12"/>
              </w:rPr>
            </w:pPr>
            <w:r>
              <w:rPr>
                <w:color w:val="231F20"/>
                <w:sz w:val="12"/>
              </w:rPr>
              <w:t>68</w:t>
            </w:r>
          </w:p>
        </w:tc>
        <w:tc>
          <w:tcPr>
            <w:tcW w:w="403" w:type="dxa"/>
          </w:tcPr>
          <w:p w14:paraId="7CC41FE6" w14:textId="77777777" w:rsidR="00F65BCA" w:rsidRDefault="00216117">
            <w:pPr>
              <w:pStyle w:val="TableParagraph"/>
              <w:spacing w:before="38"/>
              <w:ind w:left="125"/>
              <w:rPr>
                <w:sz w:val="12"/>
              </w:rPr>
            </w:pPr>
            <w:r>
              <w:rPr>
                <w:color w:val="231F20"/>
                <w:sz w:val="12"/>
              </w:rPr>
              <w:t>74</w:t>
            </w:r>
          </w:p>
        </w:tc>
        <w:tc>
          <w:tcPr>
            <w:tcW w:w="403" w:type="dxa"/>
          </w:tcPr>
          <w:p w14:paraId="0B08B55E" w14:textId="77777777" w:rsidR="00F65BCA" w:rsidRDefault="00216117">
            <w:pPr>
              <w:pStyle w:val="TableParagraph"/>
              <w:spacing w:before="38"/>
              <w:ind w:left="124"/>
              <w:rPr>
                <w:sz w:val="12"/>
              </w:rPr>
            </w:pPr>
            <w:r>
              <w:rPr>
                <w:color w:val="231F20"/>
                <w:sz w:val="12"/>
              </w:rPr>
              <w:t>80</w:t>
            </w:r>
          </w:p>
        </w:tc>
        <w:tc>
          <w:tcPr>
            <w:tcW w:w="403" w:type="dxa"/>
          </w:tcPr>
          <w:p w14:paraId="68227F88" w14:textId="77777777" w:rsidR="00F65BCA" w:rsidRDefault="00216117">
            <w:pPr>
              <w:pStyle w:val="TableParagraph"/>
              <w:spacing w:before="38"/>
              <w:ind w:left="124"/>
              <w:rPr>
                <w:sz w:val="12"/>
              </w:rPr>
            </w:pPr>
            <w:r>
              <w:rPr>
                <w:color w:val="231F20"/>
                <w:sz w:val="12"/>
              </w:rPr>
              <w:t>86</w:t>
            </w:r>
          </w:p>
        </w:tc>
        <w:tc>
          <w:tcPr>
            <w:tcW w:w="403" w:type="dxa"/>
            <w:tcBorders>
              <w:right w:val="nil"/>
            </w:tcBorders>
          </w:tcPr>
          <w:p w14:paraId="0E8380F1" w14:textId="77777777" w:rsidR="00F65BCA" w:rsidRDefault="00216117">
            <w:pPr>
              <w:pStyle w:val="TableParagraph"/>
              <w:spacing w:before="38"/>
              <w:ind w:left="126"/>
              <w:rPr>
                <w:sz w:val="12"/>
              </w:rPr>
            </w:pPr>
            <w:r>
              <w:rPr>
                <w:color w:val="231F20"/>
                <w:sz w:val="12"/>
              </w:rPr>
              <w:t>92</w:t>
            </w:r>
          </w:p>
        </w:tc>
      </w:tr>
      <w:tr w:rsidR="00F65BCA" w14:paraId="1F963105" w14:textId="77777777">
        <w:trPr>
          <w:trHeight w:val="216"/>
        </w:trPr>
        <w:tc>
          <w:tcPr>
            <w:tcW w:w="403" w:type="dxa"/>
            <w:tcBorders>
              <w:left w:val="nil"/>
            </w:tcBorders>
          </w:tcPr>
          <w:p w14:paraId="34E892B7" w14:textId="77777777" w:rsidR="00F65BCA" w:rsidRDefault="00216117">
            <w:pPr>
              <w:pStyle w:val="TableParagraph"/>
              <w:spacing w:before="38"/>
              <w:ind w:left="56" w:right="56"/>
              <w:jc w:val="center"/>
              <w:rPr>
                <w:sz w:val="12"/>
              </w:rPr>
            </w:pPr>
            <w:r>
              <w:rPr>
                <w:color w:val="231F20"/>
                <w:w w:val="105"/>
                <w:sz w:val="12"/>
              </w:rPr>
              <w:t>1/60</w:t>
            </w:r>
          </w:p>
        </w:tc>
        <w:tc>
          <w:tcPr>
            <w:tcW w:w="403" w:type="dxa"/>
          </w:tcPr>
          <w:p w14:paraId="595158B6" w14:textId="77777777" w:rsidR="00F65BCA" w:rsidRDefault="00216117">
            <w:pPr>
              <w:pStyle w:val="TableParagraph"/>
              <w:spacing w:before="38"/>
              <w:ind w:left="129"/>
              <w:rPr>
                <w:sz w:val="12"/>
              </w:rPr>
            </w:pPr>
            <w:r>
              <w:rPr>
                <w:color w:val="231F20"/>
                <w:sz w:val="12"/>
              </w:rPr>
              <w:t>28</w:t>
            </w:r>
          </w:p>
        </w:tc>
        <w:tc>
          <w:tcPr>
            <w:tcW w:w="403" w:type="dxa"/>
          </w:tcPr>
          <w:p w14:paraId="20C51CFB" w14:textId="77777777" w:rsidR="00F65BCA" w:rsidRDefault="00216117">
            <w:pPr>
              <w:pStyle w:val="TableParagraph"/>
              <w:spacing w:before="38"/>
              <w:ind w:left="128"/>
              <w:rPr>
                <w:sz w:val="12"/>
              </w:rPr>
            </w:pPr>
            <w:r>
              <w:rPr>
                <w:color w:val="231F20"/>
                <w:sz w:val="12"/>
              </w:rPr>
              <w:t>34</w:t>
            </w:r>
          </w:p>
        </w:tc>
        <w:tc>
          <w:tcPr>
            <w:tcW w:w="403" w:type="dxa"/>
          </w:tcPr>
          <w:p w14:paraId="44F57B03" w14:textId="77777777" w:rsidR="00F65BCA" w:rsidRDefault="00216117">
            <w:pPr>
              <w:pStyle w:val="TableParagraph"/>
              <w:spacing w:before="38"/>
              <w:ind w:left="51" w:right="52"/>
              <w:jc w:val="center"/>
              <w:rPr>
                <w:sz w:val="12"/>
              </w:rPr>
            </w:pPr>
            <w:r>
              <w:rPr>
                <w:color w:val="231F20"/>
                <w:sz w:val="12"/>
              </w:rPr>
              <w:t>40</w:t>
            </w:r>
          </w:p>
        </w:tc>
        <w:tc>
          <w:tcPr>
            <w:tcW w:w="403" w:type="dxa"/>
          </w:tcPr>
          <w:p w14:paraId="187CF3EA" w14:textId="77777777" w:rsidR="00F65BCA" w:rsidRDefault="00216117">
            <w:pPr>
              <w:pStyle w:val="TableParagraph"/>
              <w:spacing w:before="38"/>
              <w:ind w:left="127"/>
              <w:rPr>
                <w:sz w:val="12"/>
              </w:rPr>
            </w:pPr>
            <w:r>
              <w:rPr>
                <w:color w:val="231F20"/>
                <w:sz w:val="12"/>
              </w:rPr>
              <w:t>47</w:t>
            </w:r>
          </w:p>
        </w:tc>
        <w:tc>
          <w:tcPr>
            <w:tcW w:w="403" w:type="dxa"/>
          </w:tcPr>
          <w:p w14:paraId="0CA618F9" w14:textId="77777777" w:rsidR="00F65BCA" w:rsidRDefault="00216117">
            <w:pPr>
              <w:pStyle w:val="TableParagraph"/>
              <w:spacing w:before="38"/>
              <w:ind w:left="51" w:right="54"/>
              <w:jc w:val="center"/>
              <w:rPr>
                <w:sz w:val="12"/>
              </w:rPr>
            </w:pPr>
            <w:r>
              <w:rPr>
                <w:color w:val="231F20"/>
                <w:sz w:val="12"/>
              </w:rPr>
              <w:t>54</w:t>
            </w:r>
          </w:p>
        </w:tc>
        <w:tc>
          <w:tcPr>
            <w:tcW w:w="403" w:type="dxa"/>
          </w:tcPr>
          <w:p w14:paraId="5B18CE70" w14:textId="77777777" w:rsidR="00F65BCA" w:rsidRDefault="00216117">
            <w:pPr>
              <w:pStyle w:val="TableParagraph"/>
              <w:spacing w:before="38"/>
              <w:ind w:left="50" w:right="54"/>
              <w:jc w:val="center"/>
              <w:rPr>
                <w:sz w:val="12"/>
              </w:rPr>
            </w:pPr>
            <w:r>
              <w:rPr>
                <w:color w:val="231F20"/>
                <w:sz w:val="12"/>
              </w:rPr>
              <w:t>61</w:t>
            </w:r>
          </w:p>
        </w:tc>
        <w:tc>
          <w:tcPr>
            <w:tcW w:w="403" w:type="dxa"/>
          </w:tcPr>
          <w:p w14:paraId="61B4918D" w14:textId="77777777" w:rsidR="00F65BCA" w:rsidRDefault="00216117">
            <w:pPr>
              <w:pStyle w:val="TableParagraph"/>
              <w:spacing w:before="38"/>
              <w:ind w:left="49" w:right="54"/>
              <w:jc w:val="center"/>
              <w:rPr>
                <w:sz w:val="12"/>
              </w:rPr>
            </w:pPr>
            <w:r>
              <w:rPr>
                <w:color w:val="231F20"/>
                <w:sz w:val="12"/>
              </w:rPr>
              <w:t>68</w:t>
            </w:r>
          </w:p>
        </w:tc>
        <w:tc>
          <w:tcPr>
            <w:tcW w:w="403" w:type="dxa"/>
          </w:tcPr>
          <w:p w14:paraId="6740B985" w14:textId="77777777" w:rsidR="00F65BCA" w:rsidRDefault="00216117">
            <w:pPr>
              <w:pStyle w:val="TableParagraph"/>
              <w:spacing w:before="38"/>
              <w:ind w:left="125"/>
              <w:rPr>
                <w:sz w:val="12"/>
              </w:rPr>
            </w:pPr>
            <w:r>
              <w:rPr>
                <w:color w:val="231F20"/>
                <w:sz w:val="12"/>
              </w:rPr>
              <w:t>74</w:t>
            </w:r>
          </w:p>
        </w:tc>
        <w:tc>
          <w:tcPr>
            <w:tcW w:w="403" w:type="dxa"/>
          </w:tcPr>
          <w:p w14:paraId="391A015A" w14:textId="77777777" w:rsidR="00F65BCA" w:rsidRDefault="00216117">
            <w:pPr>
              <w:pStyle w:val="TableParagraph"/>
              <w:spacing w:before="38"/>
              <w:ind w:left="125"/>
              <w:rPr>
                <w:sz w:val="12"/>
              </w:rPr>
            </w:pPr>
            <w:r>
              <w:rPr>
                <w:color w:val="231F20"/>
                <w:sz w:val="12"/>
              </w:rPr>
              <w:t>80</w:t>
            </w:r>
          </w:p>
        </w:tc>
        <w:tc>
          <w:tcPr>
            <w:tcW w:w="403" w:type="dxa"/>
          </w:tcPr>
          <w:p w14:paraId="35B2B1F6" w14:textId="77777777" w:rsidR="00F65BCA" w:rsidRDefault="00216117">
            <w:pPr>
              <w:pStyle w:val="TableParagraph"/>
              <w:spacing w:before="38"/>
              <w:ind w:left="124"/>
              <w:rPr>
                <w:sz w:val="12"/>
              </w:rPr>
            </w:pPr>
            <w:r>
              <w:rPr>
                <w:color w:val="231F20"/>
                <w:sz w:val="12"/>
              </w:rPr>
              <w:t>88</w:t>
            </w:r>
          </w:p>
        </w:tc>
        <w:tc>
          <w:tcPr>
            <w:tcW w:w="403" w:type="dxa"/>
          </w:tcPr>
          <w:p w14:paraId="23620329" w14:textId="77777777" w:rsidR="00F65BCA" w:rsidRDefault="00216117">
            <w:pPr>
              <w:pStyle w:val="TableParagraph"/>
              <w:spacing w:before="38"/>
              <w:ind w:left="124"/>
              <w:rPr>
                <w:sz w:val="12"/>
              </w:rPr>
            </w:pPr>
            <w:r>
              <w:rPr>
                <w:color w:val="231F20"/>
                <w:sz w:val="12"/>
              </w:rPr>
              <w:t>94</w:t>
            </w:r>
          </w:p>
        </w:tc>
        <w:tc>
          <w:tcPr>
            <w:tcW w:w="403" w:type="dxa"/>
            <w:tcBorders>
              <w:right w:val="nil"/>
            </w:tcBorders>
          </w:tcPr>
          <w:p w14:paraId="021FF8BE" w14:textId="77777777" w:rsidR="00F65BCA" w:rsidRDefault="00216117">
            <w:pPr>
              <w:pStyle w:val="TableParagraph"/>
              <w:spacing w:before="38"/>
              <w:ind w:left="92"/>
              <w:rPr>
                <w:sz w:val="12"/>
              </w:rPr>
            </w:pPr>
            <w:r>
              <w:rPr>
                <w:color w:val="231F20"/>
                <w:sz w:val="12"/>
              </w:rPr>
              <w:t>100</w:t>
            </w:r>
          </w:p>
        </w:tc>
      </w:tr>
      <w:tr w:rsidR="00F65BCA" w14:paraId="25522976" w14:textId="77777777">
        <w:trPr>
          <w:trHeight w:val="211"/>
        </w:trPr>
        <w:tc>
          <w:tcPr>
            <w:tcW w:w="403" w:type="dxa"/>
            <w:tcBorders>
              <w:left w:val="nil"/>
              <w:bottom w:val="single" w:sz="8" w:space="0" w:color="231F20"/>
            </w:tcBorders>
          </w:tcPr>
          <w:p w14:paraId="5FE355CC" w14:textId="77777777" w:rsidR="00F65BCA" w:rsidRDefault="00216117">
            <w:pPr>
              <w:pStyle w:val="TableParagraph"/>
              <w:spacing w:before="36"/>
              <w:jc w:val="center"/>
              <w:rPr>
                <w:sz w:val="12"/>
              </w:rPr>
            </w:pPr>
            <w:r>
              <w:rPr>
                <w:color w:val="231F20"/>
                <w:w w:val="99"/>
                <w:sz w:val="12"/>
              </w:rPr>
              <w:t>0</w:t>
            </w:r>
          </w:p>
        </w:tc>
        <w:tc>
          <w:tcPr>
            <w:tcW w:w="403" w:type="dxa"/>
            <w:tcBorders>
              <w:bottom w:val="single" w:sz="8" w:space="0" w:color="231F20"/>
            </w:tcBorders>
          </w:tcPr>
          <w:p w14:paraId="2F5F60CE" w14:textId="77777777" w:rsidR="00F65BCA" w:rsidRDefault="00216117">
            <w:pPr>
              <w:pStyle w:val="TableParagraph"/>
              <w:spacing w:before="36"/>
              <w:ind w:left="128"/>
              <w:rPr>
                <w:sz w:val="12"/>
              </w:rPr>
            </w:pPr>
            <w:r>
              <w:rPr>
                <w:color w:val="231F20"/>
                <w:sz w:val="12"/>
              </w:rPr>
              <w:t>30</w:t>
            </w:r>
          </w:p>
        </w:tc>
        <w:tc>
          <w:tcPr>
            <w:tcW w:w="403" w:type="dxa"/>
            <w:tcBorders>
              <w:bottom w:val="single" w:sz="8" w:space="0" w:color="231F20"/>
            </w:tcBorders>
          </w:tcPr>
          <w:p w14:paraId="791195AD" w14:textId="77777777" w:rsidR="00F65BCA" w:rsidRDefault="00216117">
            <w:pPr>
              <w:pStyle w:val="TableParagraph"/>
              <w:spacing w:before="36"/>
              <w:ind w:left="128"/>
              <w:rPr>
                <w:sz w:val="12"/>
              </w:rPr>
            </w:pPr>
            <w:r>
              <w:rPr>
                <w:color w:val="231F20"/>
                <w:sz w:val="12"/>
              </w:rPr>
              <w:t>36</w:t>
            </w:r>
          </w:p>
        </w:tc>
        <w:tc>
          <w:tcPr>
            <w:tcW w:w="403" w:type="dxa"/>
            <w:tcBorders>
              <w:bottom w:val="single" w:sz="8" w:space="0" w:color="231F20"/>
            </w:tcBorders>
          </w:tcPr>
          <w:p w14:paraId="32A7FBB2" w14:textId="77777777" w:rsidR="00F65BCA" w:rsidRDefault="00216117">
            <w:pPr>
              <w:pStyle w:val="TableParagraph"/>
              <w:spacing w:before="36"/>
              <w:ind w:left="51" w:right="52"/>
              <w:jc w:val="center"/>
              <w:rPr>
                <w:sz w:val="12"/>
              </w:rPr>
            </w:pPr>
            <w:r>
              <w:rPr>
                <w:color w:val="231F20"/>
                <w:sz w:val="12"/>
              </w:rPr>
              <w:t>42</w:t>
            </w:r>
          </w:p>
        </w:tc>
        <w:tc>
          <w:tcPr>
            <w:tcW w:w="403" w:type="dxa"/>
            <w:tcBorders>
              <w:bottom w:val="single" w:sz="8" w:space="0" w:color="231F20"/>
            </w:tcBorders>
          </w:tcPr>
          <w:p w14:paraId="716F9A3A" w14:textId="77777777" w:rsidR="00F65BCA" w:rsidRDefault="00216117">
            <w:pPr>
              <w:pStyle w:val="TableParagraph"/>
              <w:spacing w:before="36"/>
              <w:ind w:left="127"/>
              <w:rPr>
                <w:sz w:val="12"/>
              </w:rPr>
            </w:pPr>
            <w:r>
              <w:rPr>
                <w:color w:val="231F20"/>
                <w:sz w:val="12"/>
              </w:rPr>
              <w:t>49</w:t>
            </w:r>
          </w:p>
        </w:tc>
        <w:tc>
          <w:tcPr>
            <w:tcW w:w="403" w:type="dxa"/>
            <w:tcBorders>
              <w:bottom w:val="single" w:sz="8" w:space="0" w:color="231F20"/>
            </w:tcBorders>
          </w:tcPr>
          <w:p w14:paraId="617C969C" w14:textId="77777777" w:rsidR="00F65BCA" w:rsidRDefault="00216117">
            <w:pPr>
              <w:pStyle w:val="TableParagraph"/>
              <w:spacing w:before="36"/>
              <w:ind w:left="51" w:right="52"/>
              <w:jc w:val="center"/>
              <w:rPr>
                <w:sz w:val="12"/>
              </w:rPr>
            </w:pPr>
            <w:r>
              <w:rPr>
                <w:color w:val="231F20"/>
                <w:sz w:val="12"/>
              </w:rPr>
              <w:t>56</w:t>
            </w:r>
          </w:p>
        </w:tc>
        <w:tc>
          <w:tcPr>
            <w:tcW w:w="403" w:type="dxa"/>
            <w:tcBorders>
              <w:bottom w:val="single" w:sz="8" w:space="0" w:color="231F20"/>
            </w:tcBorders>
          </w:tcPr>
          <w:p w14:paraId="03AABC1D" w14:textId="77777777" w:rsidR="00F65BCA" w:rsidRDefault="00216117">
            <w:pPr>
              <w:pStyle w:val="TableParagraph"/>
              <w:spacing w:before="36"/>
              <w:ind w:left="51" w:right="53"/>
              <w:jc w:val="center"/>
              <w:rPr>
                <w:sz w:val="12"/>
              </w:rPr>
            </w:pPr>
            <w:r>
              <w:rPr>
                <w:color w:val="231F20"/>
                <w:sz w:val="12"/>
              </w:rPr>
              <w:t>63</w:t>
            </w:r>
          </w:p>
        </w:tc>
        <w:tc>
          <w:tcPr>
            <w:tcW w:w="403" w:type="dxa"/>
            <w:tcBorders>
              <w:bottom w:val="single" w:sz="8" w:space="0" w:color="231F20"/>
            </w:tcBorders>
          </w:tcPr>
          <w:p w14:paraId="47FF450E" w14:textId="77777777" w:rsidR="00F65BCA" w:rsidRDefault="00216117">
            <w:pPr>
              <w:pStyle w:val="TableParagraph"/>
              <w:spacing w:before="36"/>
              <w:ind w:left="51" w:right="54"/>
              <w:jc w:val="center"/>
              <w:rPr>
                <w:sz w:val="12"/>
              </w:rPr>
            </w:pPr>
            <w:r>
              <w:rPr>
                <w:color w:val="231F20"/>
                <w:sz w:val="12"/>
              </w:rPr>
              <w:t>70</w:t>
            </w:r>
          </w:p>
        </w:tc>
        <w:tc>
          <w:tcPr>
            <w:tcW w:w="403" w:type="dxa"/>
            <w:tcBorders>
              <w:bottom w:val="single" w:sz="8" w:space="0" w:color="231F20"/>
            </w:tcBorders>
          </w:tcPr>
          <w:p w14:paraId="2708FD7C" w14:textId="77777777" w:rsidR="00F65BCA" w:rsidRDefault="00216117">
            <w:pPr>
              <w:pStyle w:val="TableParagraph"/>
              <w:spacing w:before="36"/>
              <w:ind w:left="124"/>
              <w:rPr>
                <w:sz w:val="12"/>
              </w:rPr>
            </w:pPr>
            <w:r>
              <w:rPr>
                <w:color w:val="231F20"/>
                <w:sz w:val="12"/>
              </w:rPr>
              <w:t>77</w:t>
            </w:r>
          </w:p>
        </w:tc>
        <w:tc>
          <w:tcPr>
            <w:tcW w:w="403" w:type="dxa"/>
            <w:tcBorders>
              <w:bottom w:val="single" w:sz="8" w:space="0" w:color="231F20"/>
            </w:tcBorders>
          </w:tcPr>
          <w:p w14:paraId="1EF137E5" w14:textId="77777777" w:rsidR="00F65BCA" w:rsidRDefault="00216117">
            <w:pPr>
              <w:pStyle w:val="TableParagraph"/>
              <w:spacing w:before="36"/>
              <w:ind w:left="124"/>
              <w:rPr>
                <w:sz w:val="12"/>
              </w:rPr>
            </w:pPr>
            <w:r>
              <w:rPr>
                <w:color w:val="231F20"/>
                <w:sz w:val="12"/>
              </w:rPr>
              <w:t>84</w:t>
            </w:r>
          </w:p>
        </w:tc>
        <w:tc>
          <w:tcPr>
            <w:tcW w:w="403" w:type="dxa"/>
            <w:tcBorders>
              <w:bottom w:val="single" w:sz="8" w:space="0" w:color="231F20"/>
            </w:tcBorders>
          </w:tcPr>
          <w:p w14:paraId="26FA085C" w14:textId="77777777" w:rsidR="00F65BCA" w:rsidRDefault="00216117">
            <w:pPr>
              <w:pStyle w:val="TableParagraph"/>
              <w:spacing w:before="36"/>
              <w:ind w:left="123"/>
              <w:rPr>
                <w:sz w:val="12"/>
              </w:rPr>
            </w:pPr>
            <w:r>
              <w:rPr>
                <w:color w:val="231F20"/>
                <w:sz w:val="12"/>
              </w:rPr>
              <w:t>92</w:t>
            </w:r>
          </w:p>
        </w:tc>
        <w:tc>
          <w:tcPr>
            <w:tcW w:w="403" w:type="dxa"/>
            <w:tcBorders>
              <w:bottom w:val="single" w:sz="8" w:space="0" w:color="231F20"/>
            </w:tcBorders>
          </w:tcPr>
          <w:p w14:paraId="611F85CA" w14:textId="77777777" w:rsidR="00F65BCA" w:rsidRDefault="00216117">
            <w:pPr>
              <w:pStyle w:val="TableParagraph"/>
              <w:spacing w:before="36"/>
              <w:ind w:left="88"/>
              <w:rPr>
                <w:sz w:val="12"/>
              </w:rPr>
            </w:pPr>
            <w:r>
              <w:rPr>
                <w:color w:val="231F20"/>
                <w:sz w:val="12"/>
              </w:rPr>
              <w:t>100</w:t>
            </w:r>
          </w:p>
        </w:tc>
        <w:tc>
          <w:tcPr>
            <w:tcW w:w="403" w:type="dxa"/>
            <w:tcBorders>
              <w:bottom w:val="single" w:sz="8" w:space="0" w:color="231F20"/>
              <w:right w:val="nil"/>
            </w:tcBorders>
          </w:tcPr>
          <w:p w14:paraId="115C8475" w14:textId="77777777" w:rsidR="00F65BCA" w:rsidRDefault="00216117">
            <w:pPr>
              <w:pStyle w:val="TableParagraph"/>
              <w:spacing w:before="36"/>
              <w:ind w:left="90"/>
              <w:rPr>
                <w:sz w:val="12"/>
              </w:rPr>
            </w:pPr>
            <w:r>
              <w:rPr>
                <w:color w:val="231F20"/>
                <w:sz w:val="12"/>
              </w:rPr>
              <w:t>100</w:t>
            </w:r>
          </w:p>
        </w:tc>
      </w:tr>
    </w:tbl>
    <w:p w14:paraId="5C0D6D1B" w14:textId="77777777" w:rsidR="00F65BCA" w:rsidRDefault="00000000">
      <w:pPr>
        <w:pStyle w:val="Zkladntext"/>
        <w:spacing w:before="1"/>
        <w:rPr>
          <w:sz w:val="13"/>
        </w:rPr>
      </w:pPr>
      <w:r>
        <w:pict w14:anchorId="3FB21D96">
          <v:shape id="_x0000_s1070" type="#_x0000_t202" style="position:absolute;margin-left:28.35pt;margin-top:8.75pt;width:264.2pt;height:49.95pt;z-index:-251300864;mso-wrap-distance-left:0;mso-wrap-distance-right:0;mso-position-horizontal-relative:page;mso-position-vertical-relative:text" fillcolor="#dcddde" stroked="f">
            <v:textbox inset="0,0,0,0">
              <w:txbxContent>
                <w:p w14:paraId="4CD98369" w14:textId="77777777" w:rsidR="00F65BCA" w:rsidRDefault="00216117">
                  <w:pPr>
                    <w:pStyle w:val="Zkladntext"/>
                    <w:spacing w:before="115" w:line="276" w:lineRule="auto"/>
                    <w:ind w:left="170" w:right="111"/>
                    <w:jc w:val="both"/>
                  </w:pPr>
                  <w:r>
                    <w:rPr>
                      <w:color w:val="231F20"/>
                    </w:rPr>
                    <w:t>Byla-li</w:t>
                  </w:r>
                  <w:r>
                    <w:rPr>
                      <w:color w:val="231F20"/>
                      <w:spacing w:val="-28"/>
                    </w:rPr>
                    <w:t xml:space="preserve"> </w:t>
                  </w:r>
                  <w:r>
                    <w:rPr>
                      <w:color w:val="231F20"/>
                    </w:rPr>
                    <w:t>před</w:t>
                  </w:r>
                  <w:r>
                    <w:rPr>
                      <w:color w:val="231F20"/>
                      <w:spacing w:val="-28"/>
                    </w:rPr>
                    <w:t xml:space="preserve"> </w:t>
                  </w:r>
                  <w:r>
                    <w:rPr>
                      <w:color w:val="231F20"/>
                    </w:rPr>
                    <w:t>úrazem</w:t>
                  </w:r>
                  <w:r>
                    <w:rPr>
                      <w:color w:val="231F20"/>
                      <w:spacing w:val="-28"/>
                    </w:rPr>
                    <w:t xml:space="preserve"> </w:t>
                  </w:r>
                  <w:r>
                    <w:rPr>
                      <w:color w:val="231F20"/>
                    </w:rPr>
                    <w:t>zraková</w:t>
                  </w:r>
                  <w:r>
                    <w:rPr>
                      <w:color w:val="231F20"/>
                      <w:spacing w:val="-28"/>
                    </w:rPr>
                    <w:t xml:space="preserve"> </w:t>
                  </w:r>
                  <w:r>
                    <w:rPr>
                      <w:color w:val="231F20"/>
                    </w:rPr>
                    <w:t>ostrost</w:t>
                  </w:r>
                  <w:r>
                    <w:rPr>
                      <w:color w:val="231F20"/>
                      <w:spacing w:val="-28"/>
                    </w:rPr>
                    <w:t xml:space="preserve"> </w:t>
                  </w:r>
                  <w:r>
                    <w:rPr>
                      <w:color w:val="231F20"/>
                    </w:rPr>
                    <w:t>snížena</w:t>
                  </w:r>
                  <w:r>
                    <w:rPr>
                      <w:color w:val="231F20"/>
                      <w:spacing w:val="-28"/>
                    </w:rPr>
                    <w:t xml:space="preserve"> </w:t>
                  </w:r>
                  <w:r>
                    <w:rPr>
                      <w:color w:val="231F20"/>
                    </w:rPr>
                    <w:t>natolik,</w:t>
                  </w:r>
                  <w:r>
                    <w:rPr>
                      <w:color w:val="231F20"/>
                      <w:spacing w:val="-28"/>
                    </w:rPr>
                    <w:t xml:space="preserve"> </w:t>
                  </w:r>
                  <w:r>
                    <w:rPr>
                      <w:color w:val="231F20"/>
                    </w:rPr>
                    <w:t>že</w:t>
                  </w:r>
                  <w:r>
                    <w:rPr>
                      <w:color w:val="231F20"/>
                      <w:spacing w:val="-28"/>
                    </w:rPr>
                    <w:t xml:space="preserve"> </w:t>
                  </w:r>
                  <w:r>
                    <w:rPr>
                      <w:color w:val="231F20"/>
                    </w:rPr>
                    <w:t>odpovídá</w:t>
                  </w:r>
                  <w:r>
                    <w:rPr>
                      <w:color w:val="231F20"/>
                      <w:spacing w:val="-28"/>
                    </w:rPr>
                    <w:t xml:space="preserve"> </w:t>
                  </w:r>
                  <w:r>
                    <w:rPr>
                      <w:color w:val="231F20"/>
                    </w:rPr>
                    <w:t>invaliditě</w:t>
                  </w:r>
                  <w:r>
                    <w:rPr>
                      <w:color w:val="231F20"/>
                      <w:spacing w:val="-28"/>
                    </w:rPr>
                    <w:t xml:space="preserve"> </w:t>
                  </w:r>
                  <w:r>
                    <w:rPr>
                      <w:color w:val="231F20"/>
                    </w:rPr>
                    <w:t>větší než</w:t>
                  </w:r>
                  <w:r>
                    <w:rPr>
                      <w:color w:val="231F20"/>
                      <w:spacing w:val="-9"/>
                    </w:rPr>
                    <w:t xml:space="preserve"> </w:t>
                  </w:r>
                  <w:r>
                    <w:rPr>
                      <w:color w:val="231F20"/>
                    </w:rPr>
                    <w:t>75</w:t>
                  </w:r>
                  <w:r>
                    <w:rPr>
                      <w:color w:val="231F20"/>
                      <w:spacing w:val="-29"/>
                    </w:rPr>
                    <w:t xml:space="preserve"> </w:t>
                  </w:r>
                  <w:r>
                    <w:rPr>
                      <w:color w:val="231F20"/>
                    </w:rPr>
                    <w:t>%,</w:t>
                  </w:r>
                  <w:r>
                    <w:rPr>
                      <w:color w:val="231F20"/>
                      <w:spacing w:val="-8"/>
                    </w:rPr>
                    <w:t xml:space="preserve"> </w:t>
                  </w:r>
                  <w:r>
                    <w:rPr>
                      <w:color w:val="231F20"/>
                    </w:rPr>
                    <w:t>a</w:t>
                  </w:r>
                  <w:r>
                    <w:rPr>
                      <w:color w:val="231F20"/>
                      <w:spacing w:val="-8"/>
                    </w:rPr>
                    <w:t xml:space="preserve"> </w:t>
                  </w:r>
                  <w:r>
                    <w:rPr>
                      <w:color w:val="231F20"/>
                    </w:rPr>
                    <w:t>nastala-li</w:t>
                  </w:r>
                  <w:r>
                    <w:rPr>
                      <w:color w:val="231F20"/>
                      <w:spacing w:val="-9"/>
                    </w:rPr>
                    <w:t xml:space="preserve"> </w:t>
                  </w:r>
                  <w:r>
                    <w:rPr>
                      <w:color w:val="231F20"/>
                    </w:rPr>
                    <w:t>úrazem</w:t>
                  </w:r>
                  <w:r>
                    <w:rPr>
                      <w:color w:val="231F20"/>
                      <w:spacing w:val="-8"/>
                    </w:rPr>
                    <w:t xml:space="preserve"> </w:t>
                  </w:r>
                  <w:r>
                    <w:rPr>
                      <w:color w:val="231F20"/>
                    </w:rPr>
                    <w:t>slepota</w:t>
                  </w:r>
                  <w:r>
                    <w:rPr>
                      <w:color w:val="231F20"/>
                      <w:spacing w:val="-9"/>
                    </w:rPr>
                    <w:t xml:space="preserve"> </w:t>
                  </w:r>
                  <w:r>
                    <w:rPr>
                      <w:color w:val="231F20"/>
                    </w:rPr>
                    <w:t>lepšího</w:t>
                  </w:r>
                  <w:r>
                    <w:rPr>
                      <w:color w:val="231F20"/>
                      <w:spacing w:val="-8"/>
                    </w:rPr>
                    <w:t xml:space="preserve"> </w:t>
                  </w:r>
                  <w:r>
                    <w:rPr>
                      <w:color w:val="231F20"/>
                    </w:rPr>
                    <w:t>oka,</w:t>
                  </w:r>
                  <w:r>
                    <w:rPr>
                      <w:color w:val="231F20"/>
                      <w:spacing w:val="-8"/>
                    </w:rPr>
                    <w:t xml:space="preserve"> </w:t>
                  </w:r>
                  <w:r>
                    <w:rPr>
                      <w:color w:val="231F20"/>
                    </w:rPr>
                    <w:t>anebo</w:t>
                  </w:r>
                  <w:r>
                    <w:rPr>
                      <w:color w:val="231F20"/>
                      <w:spacing w:val="-9"/>
                    </w:rPr>
                    <w:t xml:space="preserve"> </w:t>
                  </w:r>
                  <w:r>
                    <w:rPr>
                      <w:color w:val="231F20"/>
                    </w:rPr>
                    <w:t>bylo-li</w:t>
                  </w:r>
                  <w:r>
                    <w:rPr>
                      <w:color w:val="231F20"/>
                      <w:spacing w:val="-8"/>
                    </w:rPr>
                    <w:t xml:space="preserve"> </w:t>
                  </w:r>
                  <w:r>
                    <w:rPr>
                      <w:color w:val="231F20"/>
                    </w:rPr>
                    <w:t>před</w:t>
                  </w:r>
                  <w:r>
                    <w:rPr>
                      <w:color w:val="231F20"/>
                      <w:spacing w:val="-8"/>
                    </w:rPr>
                    <w:t xml:space="preserve"> </w:t>
                  </w:r>
                  <w:r>
                    <w:rPr>
                      <w:color w:val="231F20"/>
                      <w:spacing w:val="-3"/>
                    </w:rPr>
                    <w:t xml:space="preserve">úrazem </w:t>
                  </w:r>
                  <w:r>
                    <w:rPr>
                      <w:color w:val="231F20"/>
                    </w:rPr>
                    <w:t>jedno</w:t>
                  </w:r>
                  <w:r>
                    <w:rPr>
                      <w:color w:val="231F20"/>
                      <w:spacing w:val="-8"/>
                    </w:rPr>
                    <w:t xml:space="preserve"> </w:t>
                  </w:r>
                  <w:r>
                    <w:rPr>
                      <w:color w:val="231F20"/>
                    </w:rPr>
                    <w:t>oko</w:t>
                  </w:r>
                  <w:r>
                    <w:rPr>
                      <w:color w:val="231F20"/>
                      <w:spacing w:val="-7"/>
                    </w:rPr>
                    <w:t xml:space="preserve"> </w:t>
                  </w:r>
                  <w:r>
                    <w:rPr>
                      <w:color w:val="231F20"/>
                    </w:rPr>
                    <w:t>slepé</w:t>
                  </w:r>
                  <w:r>
                    <w:rPr>
                      <w:color w:val="231F20"/>
                      <w:spacing w:val="-8"/>
                    </w:rPr>
                    <w:t xml:space="preserve"> </w:t>
                  </w:r>
                  <w:r>
                    <w:rPr>
                      <w:color w:val="231F20"/>
                    </w:rPr>
                    <w:t>a</w:t>
                  </w:r>
                  <w:r>
                    <w:rPr>
                      <w:color w:val="231F20"/>
                      <w:spacing w:val="-7"/>
                    </w:rPr>
                    <w:t xml:space="preserve"> </w:t>
                  </w:r>
                  <w:r>
                    <w:rPr>
                      <w:color w:val="231F20"/>
                    </w:rPr>
                    <w:t>druhé,</w:t>
                  </w:r>
                  <w:r>
                    <w:rPr>
                      <w:color w:val="231F20"/>
                      <w:spacing w:val="-8"/>
                    </w:rPr>
                    <w:t xml:space="preserve"> </w:t>
                  </w:r>
                  <w:r>
                    <w:rPr>
                      <w:color w:val="231F20"/>
                    </w:rPr>
                    <w:t>u</w:t>
                  </w:r>
                  <w:r>
                    <w:rPr>
                      <w:color w:val="231F20"/>
                      <w:spacing w:val="-7"/>
                    </w:rPr>
                    <w:t xml:space="preserve"> </w:t>
                  </w:r>
                  <w:r>
                    <w:rPr>
                      <w:color w:val="231F20"/>
                    </w:rPr>
                    <w:t>kterého</w:t>
                  </w:r>
                  <w:r>
                    <w:rPr>
                      <w:color w:val="231F20"/>
                      <w:spacing w:val="-8"/>
                    </w:rPr>
                    <w:t xml:space="preserve"> </w:t>
                  </w:r>
                  <w:r>
                    <w:rPr>
                      <w:color w:val="231F20"/>
                    </w:rPr>
                    <w:t>došlo</w:t>
                  </w:r>
                  <w:r>
                    <w:rPr>
                      <w:color w:val="231F20"/>
                      <w:spacing w:val="-7"/>
                    </w:rPr>
                    <w:t xml:space="preserve"> </w:t>
                  </w:r>
                  <w:r>
                    <w:rPr>
                      <w:color w:val="231F20"/>
                    </w:rPr>
                    <w:t>úrazem</w:t>
                  </w:r>
                  <w:r>
                    <w:rPr>
                      <w:color w:val="231F20"/>
                      <w:spacing w:val="-8"/>
                    </w:rPr>
                    <w:t xml:space="preserve"> </w:t>
                  </w:r>
                  <w:r>
                    <w:rPr>
                      <w:color w:val="231F20"/>
                    </w:rPr>
                    <w:t>k</w:t>
                  </w:r>
                  <w:r>
                    <w:rPr>
                      <w:color w:val="231F20"/>
                      <w:spacing w:val="-7"/>
                    </w:rPr>
                    <w:t xml:space="preserve"> </w:t>
                  </w:r>
                  <w:r>
                    <w:rPr>
                      <w:color w:val="231F20"/>
                    </w:rPr>
                    <w:t>oslepnutí,</w:t>
                  </w:r>
                  <w:r>
                    <w:rPr>
                      <w:color w:val="231F20"/>
                      <w:spacing w:val="-8"/>
                    </w:rPr>
                    <w:t xml:space="preserve"> </w:t>
                  </w:r>
                  <w:r>
                    <w:rPr>
                      <w:color w:val="231F20"/>
                    </w:rPr>
                    <w:t>mělo</w:t>
                  </w:r>
                  <w:r>
                    <w:rPr>
                      <w:color w:val="231F20"/>
                      <w:spacing w:val="-7"/>
                    </w:rPr>
                    <w:t xml:space="preserve"> </w:t>
                  </w:r>
                  <w:r>
                    <w:rPr>
                      <w:color w:val="231F20"/>
                    </w:rPr>
                    <w:t>zrakovou ostrost</w:t>
                  </w:r>
                  <w:r>
                    <w:rPr>
                      <w:color w:val="231F20"/>
                      <w:spacing w:val="-17"/>
                    </w:rPr>
                    <w:t xml:space="preserve"> </w:t>
                  </w:r>
                  <w:r>
                    <w:rPr>
                      <w:color w:val="231F20"/>
                    </w:rPr>
                    <w:t>horší</w:t>
                  </w:r>
                  <w:r>
                    <w:rPr>
                      <w:color w:val="231F20"/>
                      <w:spacing w:val="-16"/>
                    </w:rPr>
                    <w:t xml:space="preserve"> </w:t>
                  </w:r>
                  <w:r>
                    <w:rPr>
                      <w:color w:val="231F20"/>
                    </w:rPr>
                    <w:t>než</w:t>
                  </w:r>
                  <w:r>
                    <w:rPr>
                      <w:color w:val="231F20"/>
                      <w:spacing w:val="-16"/>
                    </w:rPr>
                    <w:t xml:space="preserve"> </w:t>
                  </w:r>
                  <w:r>
                    <w:rPr>
                      <w:color w:val="231F20"/>
                    </w:rPr>
                    <w:t>odpovídá</w:t>
                  </w:r>
                  <w:r>
                    <w:rPr>
                      <w:color w:val="231F20"/>
                      <w:spacing w:val="-16"/>
                    </w:rPr>
                    <w:t xml:space="preserve"> </w:t>
                  </w:r>
                  <w:r>
                    <w:rPr>
                      <w:color w:val="231F20"/>
                    </w:rPr>
                    <w:t>75</w:t>
                  </w:r>
                  <w:r>
                    <w:rPr>
                      <w:color w:val="231F20"/>
                      <w:spacing w:val="-30"/>
                    </w:rPr>
                    <w:t xml:space="preserve"> </w:t>
                  </w:r>
                  <w:r>
                    <w:rPr>
                      <w:color w:val="231F20"/>
                    </w:rPr>
                    <w:t>%</w:t>
                  </w:r>
                  <w:r>
                    <w:rPr>
                      <w:color w:val="231F20"/>
                      <w:spacing w:val="-16"/>
                    </w:rPr>
                    <w:t xml:space="preserve"> </w:t>
                  </w:r>
                  <w:r>
                    <w:rPr>
                      <w:color w:val="231F20"/>
                    </w:rPr>
                    <w:t>invalidity,</w:t>
                  </w:r>
                  <w:r>
                    <w:rPr>
                      <w:color w:val="231F20"/>
                      <w:spacing w:val="-16"/>
                    </w:rPr>
                    <w:t xml:space="preserve"> </w:t>
                  </w:r>
                  <w:r>
                    <w:rPr>
                      <w:color w:val="231F20"/>
                    </w:rPr>
                    <w:t>náleží</w:t>
                  </w:r>
                  <w:r>
                    <w:rPr>
                      <w:color w:val="231F20"/>
                      <w:spacing w:val="-16"/>
                    </w:rPr>
                    <w:t xml:space="preserve"> </w:t>
                  </w:r>
                  <w:r>
                    <w:rPr>
                      <w:color w:val="231F20"/>
                    </w:rPr>
                    <w:t>pojistné</w:t>
                  </w:r>
                  <w:r>
                    <w:rPr>
                      <w:color w:val="231F20"/>
                      <w:spacing w:val="-16"/>
                    </w:rPr>
                    <w:t xml:space="preserve"> </w:t>
                  </w:r>
                  <w:r>
                    <w:rPr>
                      <w:color w:val="231F20"/>
                    </w:rPr>
                    <w:t>plnění</w:t>
                  </w:r>
                  <w:r>
                    <w:rPr>
                      <w:color w:val="231F20"/>
                      <w:spacing w:val="-16"/>
                    </w:rPr>
                    <w:t xml:space="preserve"> </w:t>
                  </w:r>
                  <w:r>
                    <w:rPr>
                      <w:color w:val="231F20"/>
                    </w:rPr>
                    <w:t>ve</w:t>
                  </w:r>
                  <w:r>
                    <w:rPr>
                      <w:color w:val="231F20"/>
                      <w:spacing w:val="-16"/>
                    </w:rPr>
                    <w:t xml:space="preserve"> </w:t>
                  </w:r>
                  <w:r>
                    <w:rPr>
                      <w:color w:val="231F20"/>
                    </w:rPr>
                    <w:t>výši</w:t>
                  </w:r>
                  <w:r>
                    <w:rPr>
                      <w:color w:val="231F20"/>
                      <w:spacing w:val="-16"/>
                    </w:rPr>
                    <w:t xml:space="preserve"> </w:t>
                  </w:r>
                  <w:r>
                    <w:rPr>
                      <w:color w:val="231F20"/>
                    </w:rPr>
                    <w:t>30</w:t>
                  </w:r>
                  <w:r>
                    <w:rPr>
                      <w:color w:val="231F20"/>
                      <w:spacing w:val="-31"/>
                    </w:rPr>
                    <w:t xml:space="preserve"> </w:t>
                  </w:r>
                  <w:r>
                    <w:rPr>
                      <w:color w:val="231F20"/>
                    </w:rPr>
                    <w:t>%.</w:t>
                  </w:r>
                </w:p>
              </w:txbxContent>
            </v:textbox>
            <w10:wrap type="topAndBottom" anchorx="page"/>
          </v:shape>
        </w:pict>
      </w:r>
    </w:p>
    <w:p w14:paraId="0A1F8B77" w14:textId="77777777" w:rsidR="00F65BCA" w:rsidRDefault="00F65BCA">
      <w:pPr>
        <w:pStyle w:val="Zkladntext"/>
        <w:spacing w:before="1"/>
        <w:rPr>
          <w:sz w:val="20"/>
        </w:rPr>
      </w:pPr>
    </w:p>
    <w:p w14:paraId="773601DC" w14:textId="77777777" w:rsidR="00F65BCA" w:rsidRDefault="00216117">
      <w:pPr>
        <w:pStyle w:val="Zkladntext"/>
        <w:ind w:left="426"/>
        <w:jc w:val="both"/>
      </w:pPr>
      <w:r>
        <w:rPr>
          <w:color w:val="231F20"/>
          <w:w w:val="105"/>
        </w:rPr>
        <w:t>TN – trvalé následky úrazu</w:t>
      </w:r>
    </w:p>
    <w:p w14:paraId="6DF24683" w14:textId="77777777" w:rsidR="00F65BCA" w:rsidRDefault="00216117">
      <w:pPr>
        <w:pStyle w:val="Zkladntext"/>
        <w:spacing w:before="26" w:line="276" w:lineRule="auto"/>
        <w:ind w:left="426"/>
        <w:jc w:val="both"/>
      </w:pPr>
      <w:r>
        <w:rPr>
          <w:color w:val="231F20"/>
        </w:rPr>
        <w:t>Je-li</w:t>
      </w:r>
      <w:r>
        <w:rPr>
          <w:color w:val="231F20"/>
          <w:spacing w:val="-8"/>
        </w:rPr>
        <w:t xml:space="preserve"> </w:t>
      </w:r>
      <w:r>
        <w:rPr>
          <w:color w:val="231F20"/>
        </w:rPr>
        <w:t>sjednáno</w:t>
      </w:r>
      <w:r>
        <w:rPr>
          <w:color w:val="231F20"/>
          <w:spacing w:val="-8"/>
        </w:rPr>
        <w:t xml:space="preserve"> </w:t>
      </w:r>
      <w:r>
        <w:rPr>
          <w:color w:val="231F20"/>
        </w:rPr>
        <w:t>progresivní</w:t>
      </w:r>
      <w:r>
        <w:rPr>
          <w:color w:val="231F20"/>
          <w:spacing w:val="-8"/>
        </w:rPr>
        <w:t xml:space="preserve"> </w:t>
      </w:r>
      <w:r>
        <w:rPr>
          <w:color w:val="231F20"/>
        </w:rPr>
        <w:t>plnění</w:t>
      </w:r>
      <w:r>
        <w:rPr>
          <w:color w:val="231F20"/>
          <w:spacing w:val="-8"/>
        </w:rPr>
        <w:t xml:space="preserve"> </w:t>
      </w:r>
      <w:r>
        <w:rPr>
          <w:color w:val="231F20"/>
        </w:rPr>
        <w:t>za</w:t>
      </w:r>
      <w:r>
        <w:rPr>
          <w:color w:val="231F20"/>
          <w:spacing w:val="-8"/>
        </w:rPr>
        <w:t xml:space="preserve"> </w:t>
      </w:r>
      <w:r>
        <w:rPr>
          <w:color w:val="231F20"/>
        </w:rPr>
        <w:t>trvalé</w:t>
      </w:r>
      <w:r>
        <w:rPr>
          <w:color w:val="231F20"/>
          <w:spacing w:val="-7"/>
        </w:rPr>
        <w:t xml:space="preserve"> </w:t>
      </w:r>
      <w:r>
        <w:rPr>
          <w:color w:val="231F20"/>
        </w:rPr>
        <w:t>následky</w:t>
      </w:r>
      <w:r>
        <w:rPr>
          <w:color w:val="231F20"/>
          <w:spacing w:val="-8"/>
        </w:rPr>
        <w:t xml:space="preserve"> </w:t>
      </w:r>
      <w:r>
        <w:rPr>
          <w:color w:val="231F20"/>
        </w:rPr>
        <w:t>úrazu,</w:t>
      </w:r>
      <w:r>
        <w:rPr>
          <w:color w:val="231F20"/>
          <w:spacing w:val="-8"/>
        </w:rPr>
        <w:t xml:space="preserve"> </w:t>
      </w:r>
      <w:r>
        <w:rPr>
          <w:color w:val="231F20"/>
        </w:rPr>
        <w:t>pojistitel</w:t>
      </w:r>
      <w:r>
        <w:rPr>
          <w:color w:val="231F20"/>
          <w:spacing w:val="-8"/>
        </w:rPr>
        <w:t xml:space="preserve"> </w:t>
      </w:r>
      <w:r>
        <w:rPr>
          <w:color w:val="231F20"/>
        </w:rPr>
        <w:t>vyplatí</w:t>
      </w:r>
      <w:r>
        <w:rPr>
          <w:color w:val="231F20"/>
          <w:spacing w:val="-8"/>
        </w:rPr>
        <w:t xml:space="preserve"> </w:t>
      </w:r>
      <w:r>
        <w:rPr>
          <w:color w:val="231F20"/>
          <w:spacing w:val="-3"/>
        </w:rPr>
        <w:t xml:space="preserve">plnění </w:t>
      </w:r>
      <w:r>
        <w:rPr>
          <w:color w:val="231F20"/>
        </w:rPr>
        <w:t>za</w:t>
      </w:r>
      <w:r>
        <w:rPr>
          <w:color w:val="231F20"/>
          <w:spacing w:val="-25"/>
        </w:rPr>
        <w:t xml:space="preserve"> </w:t>
      </w:r>
      <w:r>
        <w:rPr>
          <w:color w:val="231F20"/>
        </w:rPr>
        <w:t>trvalé</w:t>
      </w:r>
      <w:r>
        <w:rPr>
          <w:color w:val="231F20"/>
          <w:spacing w:val="-24"/>
        </w:rPr>
        <w:t xml:space="preserve"> </w:t>
      </w:r>
      <w:r>
        <w:rPr>
          <w:color w:val="231F20"/>
        </w:rPr>
        <w:t>následky</w:t>
      </w:r>
      <w:r>
        <w:rPr>
          <w:color w:val="231F20"/>
          <w:spacing w:val="-24"/>
        </w:rPr>
        <w:t xml:space="preserve"> </w:t>
      </w:r>
      <w:r>
        <w:rPr>
          <w:color w:val="231F20"/>
        </w:rPr>
        <w:t>úrazu</w:t>
      </w:r>
      <w:r>
        <w:rPr>
          <w:color w:val="231F20"/>
          <w:spacing w:val="-24"/>
        </w:rPr>
        <w:t xml:space="preserve"> </w:t>
      </w:r>
      <w:r>
        <w:rPr>
          <w:color w:val="231F20"/>
        </w:rPr>
        <w:t>v</w:t>
      </w:r>
      <w:r>
        <w:rPr>
          <w:color w:val="231F20"/>
          <w:spacing w:val="-25"/>
        </w:rPr>
        <w:t xml:space="preserve"> </w:t>
      </w:r>
      <w:r>
        <w:rPr>
          <w:color w:val="231F20"/>
        </w:rPr>
        <w:t>závislosti</w:t>
      </w:r>
      <w:r>
        <w:rPr>
          <w:color w:val="231F20"/>
          <w:spacing w:val="-24"/>
        </w:rPr>
        <w:t xml:space="preserve"> </w:t>
      </w:r>
      <w:r>
        <w:rPr>
          <w:color w:val="231F20"/>
        </w:rPr>
        <w:t>na</w:t>
      </w:r>
      <w:r>
        <w:rPr>
          <w:color w:val="231F20"/>
          <w:spacing w:val="-24"/>
        </w:rPr>
        <w:t xml:space="preserve"> </w:t>
      </w:r>
      <w:r>
        <w:rPr>
          <w:color w:val="231F20"/>
        </w:rPr>
        <w:t>jejich</w:t>
      </w:r>
      <w:r>
        <w:rPr>
          <w:color w:val="231F20"/>
          <w:spacing w:val="-24"/>
        </w:rPr>
        <w:t xml:space="preserve"> </w:t>
      </w:r>
      <w:r>
        <w:rPr>
          <w:color w:val="231F20"/>
        </w:rPr>
        <w:t>rozsahu</w:t>
      </w:r>
      <w:r>
        <w:rPr>
          <w:color w:val="231F20"/>
          <w:spacing w:val="-25"/>
        </w:rPr>
        <w:t xml:space="preserve"> </w:t>
      </w:r>
      <w:r>
        <w:rPr>
          <w:color w:val="231F20"/>
        </w:rPr>
        <w:t>stanoveném</w:t>
      </w:r>
      <w:r>
        <w:rPr>
          <w:color w:val="231F20"/>
          <w:spacing w:val="-24"/>
        </w:rPr>
        <w:t xml:space="preserve"> </w:t>
      </w:r>
      <w:r>
        <w:rPr>
          <w:color w:val="231F20"/>
        </w:rPr>
        <w:t>v</w:t>
      </w:r>
      <w:r>
        <w:rPr>
          <w:color w:val="231F20"/>
          <w:spacing w:val="-24"/>
        </w:rPr>
        <w:t xml:space="preserve"> </w:t>
      </w:r>
      <w:r>
        <w:rPr>
          <w:color w:val="231F20"/>
        </w:rPr>
        <w:t>procentech</w:t>
      </w:r>
      <w:r>
        <w:rPr>
          <w:color w:val="231F20"/>
          <w:spacing w:val="-24"/>
        </w:rPr>
        <w:t xml:space="preserve"> </w:t>
      </w:r>
      <w:r>
        <w:rPr>
          <w:color w:val="231F20"/>
        </w:rPr>
        <w:t>po- dle</w:t>
      </w:r>
      <w:r>
        <w:rPr>
          <w:color w:val="231F20"/>
          <w:spacing w:val="-27"/>
        </w:rPr>
        <w:t xml:space="preserve"> </w:t>
      </w:r>
      <w:r>
        <w:rPr>
          <w:color w:val="231F20"/>
        </w:rPr>
        <w:t>oceňovací</w:t>
      </w:r>
      <w:r>
        <w:rPr>
          <w:color w:val="231F20"/>
          <w:spacing w:val="-26"/>
        </w:rPr>
        <w:t xml:space="preserve"> </w:t>
      </w:r>
      <w:r>
        <w:rPr>
          <w:color w:val="231F20"/>
        </w:rPr>
        <w:t>tabulky</w:t>
      </w:r>
      <w:r>
        <w:rPr>
          <w:color w:val="231F20"/>
          <w:spacing w:val="-27"/>
        </w:rPr>
        <w:t xml:space="preserve"> </w:t>
      </w:r>
      <w:r>
        <w:rPr>
          <w:color w:val="231F20"/>
        </w:rPr>
        <w:t>B,</w:t>
      </w:r>
      <w:r>
        <w:rPr>
          <w:color w:val="231F20"/>
          <w:spacing w:val="-27"/>
        </w:rPr>
        <w:t xml:space="preserve"> </w:t>
      </w:r>
      <w:r>
        <w:rPr>
          <w:color w:val="231F20"/>
        </w:rPr>
        <w:t>podrobněji</w:t>
      </w:r>
      <w:r>
        <w:rPr>
          <w:color w:val="231F20"/>
          <w:spacing w:val="-26"/>
        </w:rPr>
        <w:t xml:space="preserve"> </w:t>
      </w:r>
      <w:r>
        <w:rPr>
          <w:color w:val="231F20"/>
        </w:rPr>
        <w:t>v</w:t>
      </w:r>
      <w:r>
        <w:rPr>
          <w:color w:val="231F20"/>
          <w:spacing w:val="-23"/>
        </w:rPr>
        <w:t xml:space="preserve"> </w:t>
      </w:r>
      <w:r>
        <w:rPr>
          <w:color w:val="231F20"/>
        </w:rPr>
        <w:t>pojistných</w:t>
      </w:r>
      <w:r>
        <w:rPr>
          <w:color w:val="231F20"/>
          <w:spacing w:val="-27"/>
        </w:rPr>
        <w:t xml:space="preserve"> </w:t>
      </w:r>
      <w:r>
        <w:rPr>
          <w:color w:val="231F20"/>
        </w:rPr>
        <w:t>podmínkách</w:t>
      </w:r>
      <w:r>
        <w:rPr>
          <w:color w:val="231F20"/>
          <w:spacing w:val="-26"/>
        </w:rPr>
        <w:t xml:space="preserve"> </w:t>
      </w:r>
      <w:r>
        <w:rPr>
          <w:color w:val="231F20"/>
        </w:rPr>
        <w:t>příslušného</w:t>
      </w:r>
      <w:r>
        <w:rPr>
          <w:color w:val="231F20"/>
          <w:spacing w:val="-27"/>
        </w:rPr>
        <w:t xml:space="preserve"> </w:t>
      </w:r>
      <w:r>
        <w:rPr>
          <w:color w:val="231F20"/>
        </w:rPr>
        <w:t>pojištění.</w:t>
      </w:r>
    </w:p>
    <w:p w14:paraId="0287F785" w14:textId="77777777" w:rsidR="00F65BCA" w:rsidRDefault="00216117">
      <w:pPr>
        <w:spacing w:before="47"/>
        <w:ind w:left="941" w:right="961"/>
        <w:jc w:val="center"/>
        <w:rPr>
          <w:sz w:val="14"/>
        </w:rPr>
      </w:pPr>
      <w:r>
        <w:br w:type="column"/>
      </w:r>
      <w:r>
        <w:rPr>
          <w:b/>
          <w:color w:val="231F20"/>
          <w:sz w:val="15"/>
        </w:rPr>
        <w:t xml:space="preserve">TABULKA Č. 2 </w:t>
      </w:r>
      <w:r>
        <w:rPr>
          <w:color w:val="231F20"/>
          <w:sz w:val="14"/>
        </w:rPr>
        <w:t>(hodnocení dle položky 016)</w:t>
      </w:r>
    </w:p>
    <w:p w14:paraId="352F5A65" w14:textId="77777777" w:rsidR="00F65BCA" w:rsidRDefault="00F65BCA">
      <w:pPr>
        <w:pStyle w:val="Zkladntext"/>
        <w:spacing w:before="3"/>
        <w:rPr>
          <w:sz w:val="4"/>
        </w:rPr>
      </w:pPr>
    </w:p>
    <w:p w14:paraId="74ABAD8E" w14:textId="77777777" w:rsidR="00F65BCA" w:rsidRDefault="00000000">
      <w:pPr>
        <w:pStyle w:val="Zkladntext"/>
        <w:spacing w:line="20" w:lineRule="exact"/>
        <w:ind w:left="421"/>
        <w:rPr>
          <w:sz w:val="2"/>
        </w:rPr>
      </w:pPr>
      <w:r>
        <w:rPr>
          <w:sz w:val="2"/>
        </w:rPr>
      </w:r>
      <w:r>
        <w:rPr>
          <w:sz w:val="2"/>
        </w:rPr>
        <w:pict w14:anchorId="5A7AD99E">
          <v:group id="_x0000_s1062" style="width:248.9pt;height:.5pt;mso-position-horizontal-relative:char;mso-position-vertical-relative:line" coordsize="4978,10">
            <v:line id="_x0000_s1069" style="position:absolute" from="0,5" to="1151,5" strokecolor="#231f20" strokeweight=".5pt"/>
            <v:line id="_x0000_s1068" style="position:absolute" from="1151,5" to="1349,5" strokecolor="#231f20" strokeweight=".5pt"/>
            <v:line id="_x0000_s1067" style="position:absolute" from="1349,5" to="2426,5" strokecolor="#231f20" strokeweight=".5pt"/>
            <v:line id="_x0000_s1066" style="position:absolute" from="2426,5" to="2625,5" strokecolor="#231f20" strokeweight=".5pt"/>
            <v:line id="_x0000_s1065" style="position:absolute" from="2625,5" to="3702,5" strokecolor="#231f20" strokeweight=".5pt"/>
            <v:line id="_x0000_s1064" style="position:absolute" from="3702,5" to="3900,5" strokecolor="#231f20" strokeweight=".5pt"/>
            <v:line id="_x0000_s1063" style="position:absolute" from="3900,5" to="4978,5" strokecolor="#231f20" strokeweight=".5pt"/>
            <w10:anchorlock/>
          </v:group>
        </w:pict>
      </w:r>
    </w:p>
    <w:p w14:paraId="792E21C2" w14:textId="77777777" w:rsidR="00F65BCA" w:rsidRDefault="00216117">
      <w:pPr>
        <w:spacing w:before="57"/>
        <w:ind w:left="941" w:right="961"/>
        <w:jc w:val="center"/>
        <w:rPr>
          <w:sz w:val="12"/>
        </w:rPr>
      </w:pPr>
      <w:r>
        <w:rPr>
          <w:color w:val="231F20"/>
          <w:sz w:val="12"/>
        </w:rPr>
        <w:t>Plnění za trvalé tělesné poškození při koncentrickém zúžení zorného pole</w:t>
      </w:r>
    </w:p>
    <w:p w14:paraId="79D2155F" w14:textId="77777777" w:rsidR="00F65BCA" w:rsidRDefault="00F65BCA">
      <w:pPr>
        <w:pStyle w:val="Zkladntext"/>
        <w:rPr>
          <w:sz w:val="6"/>
        </w:rPr>
      </w:pPr>
    </w:p>
    <w:tbl>
      <w:tblPr>
        <w:tblStyle w:val="TableNormal"/>
        <w:tblW w:w="0" w:type="auto"/>
        <w:tblInd w:w="4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56"/>
        <w:gridCol w:w="189"/>
        <w:gridCol w:w="1088"/>
        <w:gridCol w:w="189"/>
        <w:gridCol w:w="1088"/>
        <w:gridCol w:w="189"/>
        <w:gridCol w:w="1083"/>
      </w:tblGrid>
      <w:tr w:rsidR="00F65BCA" w14:paraId="4F981691" w14:textId="77777777">
        <w:trPr>
          <w:trHeight w:val="338"/>
        </w:trPr>
        <w:tc>
          <w:tcPr>
            <w:tcW w:w="1156" w:type="dxa"/>
            <w:tcBorders>
              <w:left w:val="nil"/>
            </w:tcBorders>
          </w:tcPr>
          <w:p w14:paraId="0B8ACE22" w14:textId="77777777" w:rsidR="00F65BCA" w:rsidRDefault="00216117">
            <w:pPr>
              <w:pStyle w:val="TableParagraph"/>
              <w:spacing w:before="99"/>
              <w:ind w:left="208"/>
              <w:rPr>
                <w:sz w:val="12"/>
              </w:rPr>
            </w:pPr>
            <w:r>
              <w:rPr>
                <w:color w:val="231F20"/>
                <w:sz w:val="12"/>
              </w:rPr>
              <w:t>Stupeň zúžení</w:t>
            </w:r>
          </w:p>
        </w:tc>
        <w:tc>
          <w:tcPr>
            <w:tcW w:w="189" w:type="dxa"/>
            <w:vMerge w:val="restart"/>
            <w:tcBorders>
              <w:bottom w:val="nil"/>
            </w:tcBorders>
          </w:tcPr>
          <w:p w14:paraId="6712A220" w14:textId="77777777" w:rsidR="00F65BCA" w:rsidRDefault="00F65BCA">
            <w:pPr>
              <w:pStyle w:val="TableParagraph"/>
              <w:rPr>
                <w:rFonts w:ascii="Times New Roman"/>
                <w:sz w:val="12"/>
              </w:rPr>
            </w:pPr>
          </w:p>
        </w:tc>
        <w:tc>
          <w:tcPr>
            <w:tcW w:w="1088" w:type="dxa"/>
          </w:tcPr>
          <w:p w14:paraId="50E2932B" w14:textId="77777777" w:rsidR="00F65BCA" w:rsidRDefault="00216117">
            <w:pPr>
              <w:pStyle w:val="TableParagraph"/>
              <w:spacing w:before="29" w:line="242" w:lineRule="auto"/>
              <w:ind w:left="443" w:right="323" w:hanging="114"/>
              <w:rPr>
                <w:sz w:val="12"/>
              </w:rPr>
            </w:pPr>
            <w:r>
              <w:rPr>
                <w:color w:val="231F20"/>
                <w:w w:val="95"/>
                <w:sz w:val="12"/>
              </w:rPr>
              <w:t xml:space="preserve">jednoho </w:t>
            </w:r>
            <w:r>
              <w:rPr>
                <w:color w:val="231F20"/>
                <w:sz w:val="12"/>
              </w:rPr>
              <w:t>oka</w:t>
            </w:r>
          </w:p>
        </w:tc>
        <w:tc>
          <w:tcPr>
            <w:tcW w:w="189" w:type="dxa"/>
            <w:vMerge w:val="restart"/>
          </w:tcPr>
          <w:p w14:paraId="1F34C7E4" w14:textId="77777777" w:rsidR="00F65BCA" w:rsidRDefault="00F65BCA">
            <w:pPr>
              <w:pStyle w:val="TableParagraph"/>
              <w:rPr>
                <w:rFonts w:ascii="Times New Roman"/>
                <w:sz w:val="12"/>
              </w:rPr>
            </w:pPr>
          </w:p>
        </w:tc>
        <w:tc>
          <w:tcPr>
            <w:tcW w:w="1088" w:type="dxa"/>
          </w:tcPr>
          <w:p w14:paraId="46E5458D" w14:textId="77777777" w:rsidR="00F65BCA" w:rsidRDefault="00216117">
            <w:pPr>
              <w:pStyle w:val="TableParagraph"/>
              <w:spacing w:before="29" w:line="242" w:lineRule="auto"/>
              <w:ind w:left="384" w:right="7" w:hanging="74"/>
              <w:rPr>
                <w:sz w:val="12"/>
              </w:rPr>
            </w:pPr>
            <w:r>
              <w:rPr>
                <w:color w:val="231F20"/>
                <w:sz w:val="12"/>
              </w:rPr>
              <w:t>obou očí stejně</w:t>
            </w:r>
          </w:p>
        </w:tc>
        <w:tc>
          <w:tcPr>
            <w:tcW w:w="189" w:type="dxa"/>
            <w:vMerge w:val="restart"/>
          </w:tcPr>
          <w:p w14:paraId="64AA1640" w14:textId="77777777" w:rsidR="00F65BCA" w:rsidRDefault="00F65BCA">
            <w:pPr>
              <w:pStyle w:val="TableParagraph"/>
              <w:rPr>
                <w:rFonts w:ascii="Times New Roman"/>
                <w:sz w:val="12"/>
              </w:rPr>
            </w:pPr>
          </w:p>
        </w:tc>
        <w:tc>
          <w:tcPr>
            <w:tcW w:w="1083" w:type="dxa"/>
            <w:tcBorders>
              <w:right w:val="nil"/>
            </w:tcBorders>
          </w:tcPr>
          <w:p w14:paraId="6C2481E5" w14:textId="77777777" w:rsidR="00F65BCA" w:rsidRDefault="00216117">
            <w:pPr>
              <w:pStyle w:val="TableParagraph"/>
              <w:spacing w:before="29" w:line="242" w:lineRule="auto"/>
              <w:ind w:left="118" w:right="7" w:firstLine="18"/>
              <w:rPr>
                <w:sz w:val="12"/>
              </w:rPr>
            </w:pPr>
            <w:r>
              <w:rPr>
                <w:color w:val="231F20"/>
                <w:sz w:val="12"/>
              </w:rPr>
              <w:t>jednoho oka při slepotě druhého</w:t>
            </w:r>
          </w:p>
        </w:tc>
      </w:tr>
      <w:tr w:rsidR="00F65BCA" w14:paraId="47AC6328" w14:textId="77777777">
        <w:trPr>
          <w:trHeight w:val="188"/>
        </w:trPr>
        <w:tc>
          <w:tcPr>
            <w:tcW w:w="1156" w:type="dxa"/>
            <w:tcBorders>
              <w:left w:val="nil"/>
            </w:tcBorders>
          </w:tcPr>
          <w:p w14:paraId="18A69391" w14:textId="77777777" w:rsidR="00F65BCA" w:rsidRDefault="00216117">
            <w:pPr>
              <w:pStyle w:val="TableParagraph"/>
              <w:spacing w:before="24"/>
              <w:ind w:left="535"/>
              <w:rPr>
                <w:sz w:val="12"/>
              </w:rPr>
            </w:pPr>
            <w:r>
              <w:rPr>
                <w:color w:val="231F20"/>
                <w:sz w:val="12"/>
              </w:rPr>
              <w:t>k 60°</w:t>
            </w:r>
          </w:p>
        </w:tc>
        <w:tc>
          <w:tcPr>
            <w:tcW w:w="189" w:type="dxa"/>
            <w:vMerge/>
            <w:tcBorders>
              <w:top w:val="nil"/>
              <w:bottom w:val="nil"/>
            </w:tcBorders>
          </w:tcPr>
          <w:p w14:paraId="4977E1D0" w14:textId="77777777" w:rsidR="00F65BCA" w:rsidRDefault="00F65BCA">
            <w:pPr>
              <w:rPr>
                <w:sz w:val="2"/>
                <w:szCs w:val="2"/>
              </w:rPr>
            </w:pPr>
          </w:p>
        </w:tc>
        <w:tc>
          <w:tcPr>
            <w:tcW w:w="1088" w:type="dxa"/>
          </w:tcPr>
          <w:p w14:paraId="171ED4FD" w14:textId="77777777" w:rsidR="00F65BCA" w:rsidRDefault="00216117">
            <w:pPr>
              <w:pStyle w:val="TableParagraph"/>
              <w:spacing w:before="24"/>
              <w:ind w:left="462"/>
              <w:rPr>
                <w:sz w:val="12"/>
              </w:rPr>
            </w:pPr>
            <w:r>
              <w:rPr>
                <w:color w:val="231F20"/>
                <w:sz w:val="12"/>
              </w:rPr>
              <w:t>0 %</w:t>
            </w:r>
          </w:p>
        </w:tc>
        <w:tc>
          <w:tcPr>
            <w:tcW w:w="189" w:type="dxa"/>
            <w:vMerge/>
            <w:tcBorders>
              <w:top w:val="nil"/>
            </w:tcBorders>
          </w:tcPr>
          <w:p w14:paraId="14DD9B05" w14:textId="77777777" w:rsidR="00F65BCA" w:rsidRDefault="00F65BCA">
            <w:pPr>
              <w:rPr>
                <w:sz w:val="2"/>
                <w:szCs w:val="2"/>
              </w:rPr>
            </w:pPr>
          </w:p>
        </w:tc>
        <w:tc>
          <w:tcPr>
            <w:tcW w:w="1088" w:type="dxa"/>
          </w:tcPr>
          <w:p w14:paraId="1490CFA2" w14:textId="77777777" w:rsidR="00F65BCA" w:rsidRDefault="00216117">
            <w:pPr>
              <w:pStyle w:val="TableParagraph"/>
              <w:spacing w:before="24"/>
              <w:ind w:left="394"/>
              <w:rPr>
                <w:sz w:val="12"/>
              </w:rPr>
            </w:pPr>
            <w:r>
              <w:rPr>
                <w:color w:val="231F20"/>
                <w:sz w:val="12"/>
              </w:rPr>
              <w:t>10 %</w:t>
            </w:r>
          </w:p>
        </w:tc>
        <w:tc>
          <w:tcPr>
            <w:tcW w:w="189" w:type="dxa"/>
            <w:vMerge/>
            <w:tcBorders>
              <w:top w:val="nil"/>
            </w:tcBorders>
          </w:tcPr>
          <w:p w14:paraId="127A31E7" w14:textId="77777777" w:rsidR="00F65BCA" w:rsidRDefault="00F65BCA">
            <w:pPr>
              <w:rPr>
                <w:sz w:val="2"/>
                <w:szCs w:val="2"/>
              </w:rPr>
            </w:pPr>
          </w:p>
        </w:tc>
        <w:tc>
          <w:tcPr>
            <w:tcW w:w="1083" w:type="dxa"/>
            <w:tcBorders>
              <w:right w:val="nil"/>
            </w:tcBorders>
          </w:tcPr>
          <w:p w14:paraId="74D9194C" w14:textId="77777777" w:rsidR="00F65BCA" w:rsidRDefault="00216117">
            <w:pPr>
              <w:pStyle w:val="TableParagraph"/>
              <w:spacing w:before="24"/>
              <w:ind w:left="393"/>
              <w:rPr>
                <w:sz w:val="12"/>
              </w:rPr>
            </w:pPr>
            <w:r>
              <w:rPr>
                <w:color w:val="231F20"/>
                <w:sz w:val="12"/>
              </w:rPr>
              <w:t>40 %</w:t>
            </w:r>
          </w:p>
        </w:tc>
      </w:tr>
      <w:tr w:rsidR="00F65BCA" w14:paraId="15C41F47" w14:textId="77777777">
        <w:trPr>
          <w:trHeight w:val="330"/>
        </w:trPr>
        <w:tc>
          <w:tcPr>
            <w:tcW w:w="1156" w:type="dxa"/>
            <w:tcBorders>
              <w:left w:val="nil"/>
            </w:tcBorders>
          </w:tcPr>
          <w:p w14:paraId="3B64DAC3" w14:textId="77777777" w:rsidR="00F65BCA" w:rsidRDefault="00216117">
            <w:pPr>
              <w:pStyle w:val="TableParagraph"/>
              <w:spacing w:line="160" w:lineRule="exact"/>
              <w:ind w:left="410" w:hanging="165"/>
              <w:rPr>
                <w:sz w:val="12"/>
              </w:rPr>
            </w:pPr>
            <w:r>
              <w:rPr>
                <w:color w:val="231F20"/>
                <w:sz w:val="12"/>
              </w:rPr>
              <w:t>St. koncentr. zúžení</w:t>
            </w:r>
          </w:p>
        </w:tc>
        <w:tc>
          <w:tcPr>
            <w:tcW w:w="189" w:type="dxa"/>
            <w:vMerge/>
            <w:tcBorders>
              <w:top w:val="nil"/>
              <w:bottom w:val="nil"/>
            </w:tcBorders>
          </w:tcPr>
          <w:p w14:paraId="27292D87" w14:textId="77777777" w:rsidR="00F65BCA" w:rsidRDefault="00F65BCA">
            <w:pPr>
              <w:rPr>
                <w:sz w:val="2"/>
                <w:szCs w:val="2"/>
              </w:rPr>
            </w:pPr>
          </w:p>
        </w:tc>
        <w:tc>
          <w:tcPr>
            <w:tcW w:w="3637" w:type="dxa"/>
            <w:gridSpan w:val="5"/>
            <w:tcBorders>
              <w:right w:val="nil"/>
            </w:tcBorders>
          </w:tcPr>
          <w:p w14:paraId="71C460D7" w14:textId="77777777" w:rsidR="00F65BCA" w:rsidRDefault="00216117">
            <w:pPr>
              <w:pStyle w:val="TableParagraph"/>
              <w:spacing w:before="95"/>
              <w:ind w:left="661"/>
              <w:rPr>
                <w:sz w:val="12"/>
              </w:rPr>
            </w:pPr>
            <w:r>
              <w:rPr>
                <w:color w:val="231F20"/>
                <w:sz w:val="12"/>
              </w:rPr>
              <w:t>Procenta plnění trvalých tělesných poškození</w:t>
            </w:r>
          </w:p>
        </w:tc>
      </w:tr>
      <w:tr w:rsidR="00F65BCA" w14:paraId="77B808AC" w14:textId="77777777">
        <w:trPr>
          <w:trHeight w:val="188"/>
        </w:trPr>
        <w:tc>
          <w:tcPr>
            <w:tcW w:w="1156" w:type="dxa"/>
            <w:tcBorders>
              <w:left w:val="nil"/>
            </w:tcBorders>
          </w:tcPr>
          <w:p w14:paraId="1FF0B459" w14:textId="77777777" w:rsidR="00F65BCA" w:rsidRDefault="00216117">
            <w:pPr>
              <w:pStyle w:val="TableParagraph"/>
              <w:spacing w:before="24"/>
              <w:ind w:left="535"/>
              <w:rPr>
                <w:sz w:val="12"/>
              </w:rPr>
            </w:pPr>
            <w:r>
              <w:rPr>
                <w:color w:val="231F20"/>
                <w:sz w:val="12"/>
              </w:rPr>
              <w:t>k 50°</w:t>
            </w:r>
          </w:p>
        </w:tc>
        <w:tc>
          <w:tcPr>
            <w:tcW w:w="189" w:type="dxa"/>
            <w:vMerge/>
            <w:tcBorders>
              <w:top w:val="nil"/>
              <w:bottom w:val="nil"/>
            </w:tcBorders>
          </w:tcPr>
          <w:p w14:paraId="70436DBB" w14:textId="77777777" w:rsidR="00F65BCA" w:rsidRDefault="00F65BCA">
            <w:pPr>
              <w:rPr>
                <w:sz w:val="2"/>
                <w:szCs w:val="2"/>
              </w:rPr>
            </w:pPr>
          </w:p>
        </w:tc>
        <w:tc>
          <w:tcPr>
            <w:tcW w:w="1088" w:type="dxa"/>
          </w:tcPr>
          <w:p w14:paraId="65D59000" w14:textId="77777777" w:rsidR="00F65BCA" w:rsidRDefault="00216117">
            <w:pPr>
              <w:pStyle w:val="TableParagraph"/>
              <w:spacing w:before="24"/>
              <w:ind w:left="462"/>
              <w:rPr>
                <w:sz w:val="12"/>
              </w:rPr>
            </w:pPr>
            <w:r>
              <w:rPr>
                <w:color w:val="231F20"/>
                <w:sz w:val="12"/>
              </w:rPr>
              <w:t>5 %</w:t>
            </w:r>
          </w:p>
        </w:tc>
        <w:tc>
          <w:tcPr>
            <w:tcW w:w="189" w:type="dxa"/>
            <w:vMerge w:val="restart"/>
            <w:tcBorders>
              <w:bottom w:val="nil"/>
            </w:tcBorders>
          </w:tcPr>
          <w:p w14:paraId="4D022D96" w14:textId="77777777" w:rsidR="00F65BCA" w:rsidRDefault="00F65BCA">
            <w:pPr>
              <w:pStyle w:val="TableParagraph"/>
              <w:rPr>
                <w:rFonts w:ascii="Times New Roman"/>
                <w:sz w:val="12"/>
              </w:rPr>
            </w:pPr>
          </w:p>
        </w:tc>
        <w:tc>
          <w:tcPr>
            <w:tcW w:w="1088" w:type="dxa"/>
          </w:tcPr>
          <w:p w14:paraId="679BA84F" w14:textId="77777777" w:rsidR="00F65BCA" w:rsidRDefault="00216117">
            <w:pPr>
              <w:pStyle w:val="TableParagraph"/>
              <w:spacing w:before="24"/>
              <w:ind w:left="394"/>
              <w:rPr>
                <w:sz w:val="12"/>
              </w:rPr>
            </w:pPr>
            <w:r>
              <w:rPr>
                <w:color w:val="231F20"/>
                <w:sz w:val="12"/>
              </w:rPr>
              <w:t>25 %</w:t>
            </w:r>
          </w:p>
        </w:tc>
        <w:tc>
          <w:tcPr>
            <w:tcW w:w="189" w:type="dxa"/>
            <w:vMerge w:val="restart"/>
            <w:tcBorders>
              <w:bottom w:val="nil"/>
            </w:tcBorders>
          </w:tcPr>
          <w:p w14:paraId="5994D037" w14:textId="77777777" w:rsidR="00F65BCA" w:rsidRDefault="00F65BCA">
            <w:pPr>
              <w:pStyle w:val="TableParagraph"/>
              <w:rPr>
                <w:rFonts w:ascii="Times New Roman"/>
                <w:sz w:val="12"/>
              </w:rPr>
            </w:pPr>
          </w:p>
        </w:tc>
        <w:tc>
          <w:tcPr>
            <w:tcW w:w="1083" w:type="dxa"/>
            <w:tcBorders>
              <w:right w:val="nil"/>
            </w:tcBorders>
          </w:tcPr>
          <w:p w14:paraId="3D04AEF0" w14:textId="77777777" w:rsidR="00F65BCA" w:rsidRDefault="00216117">
            <w:pPr>
              <w:pStyle w:val="TableParagraph"/>
              <w:spacing w:before="24"/>
              <w:ind w:left="393"/>
              <w:rPr>
                <w:sz w:val="12"/>
              </w:rPr>
            </w:pPr>
            <w:r>
              <w:rPr>
                <w:color w:val="231F20"/>
                <w:sz w:val="12"/>
              </w:rPr>
              <w:t>50 %</w:t>
            </w:r>
          </w:p>
        </w:tc>
      </w:tr>
      <w:tr w:rsidR="00F65BCA" w14:paraId="611FD761" w14:textId="77777777">
        <w:trPr>
          <w:trHeight w:val="188"/>
        </w:trPr>
        <w:tc>
          <w:tcPr>
            <w:tcW w:w="1156" w:type="dxa"/>
            <w:tcBorders>
              <w:left w:val="nil"/>
            </w:tcBorders>
          </w:tcPr>
          <w:p w14:paraId="6A31A65E" w14:textId="77777777" w:rsidR="00F65BCA" w:rsidRDefault="00216117">
            <w:pPr>
              <w:pStyle w:val="TableParagraph"/>
              <w:spacing w:before="24"/>
              <w:ind w:left="473"/>
              <w:rPr>
                <w:sz w:val="12"/>
              </w:rPr>
            </w:pPr>
            <w:r>
              <w:rPr>
                <w:color w:val="231F20"/>
                <w:sz w:val="12"/>
              </w:rPr>
              <w:t>ke 40°</w:t>
            </w:r>
          </w:p>
        </w:tc>
        <w:tc>
          <w:tcPr>
            <w:tcW w:w="189" w:type="dxa"/>
            <w:vMerge/>
            <w:tcBorders>
              <w:top w:val="nil"/>
              <w:bottom w:val="nil"/>
            </w:tcBorders>
          </w:tcPr>
          <w:p w14:paraId="0DC855F8" w14:textId="77777777" w:rsidR="00F65BCA" w:rsidRDefault="00F65BCA">
            <w:pPr>
              <w:rPr>
                <w:sz w:val="2"/>
                <w:szCs w:val="2"/>
              </w:rPr>
            </w:pPr>
          </w:p>
        </w:tc>
        <w:tc>
          <w:tcPr>
            <w:tcW w:w="1088" w:type="dxa"/>
          </w:tcPr>
          <w:p w14:paraId="5996BB32" w14:textId="77777777" w:rsidR="00F65BCA" w:rsidRDefault="00216117">
            <w:pPr>
              <w:pStyle w:val="TableParagraph"/>
              <w:spacing w:before="24"/>
              <w:ind w:left="396"/>
              <w:rPr>
                <w:sz w:val="12"/>
              </w:rPr>
            </w:pPr>
            <w:r>
              <w:rPr>
                <w:color w:val="231F20"/>
                <w:sz w:val="12"/>
              </w:rPr>
              <w:t>10 %</w:t>
            </w:r>
          </w:p>
        </w:tc>
        <w:tc>
          <w:tcPr>
            <w:tcW w:w="189" w:type="dxa"/>
            <w:vMerge/>
            <w:tcBorders>
              <w:top w:val="nil"/>
              <w:bottom w:val="nil"/>
            </w:tcBorders>
          </w:tcPr>
          <w:p w14:paraId="06985E89" w14:textId="77777777" w:rsidR="00F65BCA" w:rsidRDefault="00F65BCA">
            <w:pPr>
              <w:rPr>
                <w:sz w:val="2"/>
                <w:szCs w:val="2"/>
              </w:rPr>
            </w:pPr>
          </w:p>
        </w:tc>
        <w:tc>
          <w:tcPr>
            <w:tcW w:w="1088" w:type="dxa"/>
          </w:tcPr>
          <w:p w14:paraId="1E6F5A6E" w14:textId="77777777" w:rsidR="00F65BCA" w:rsidRDefault="00216117">
            <w:pPr>
              <w:pStyle w:val="TableParagraph"/>
              <w:spacing w:before="24"/>
              <w:ind w:left="394"/>
              <w:rPr>
                <w:sz w:val="12"/>
              </w:rPr>
            </w:pPr>
            <w:r>
              <w:rPr>
                <w:color w:val="231F20"/>
                <w:sz w:val="12"/>
              </w:rPr>
              <w:t>35 %</w:t>
            </w:r>
          </w:p>
        </w:tc>
        <w:tc>
          <w:tcPr>
            <w:tcW w:w="189" w:type="dxa"/>
            <w:vMerge/>
            <w:tcBorders>
              <w:top w:val="nil"/>
              <w:bottom w:val="nil"/>
            </w:tcBorders>
          </w:tcPr>
          <w:p w14:paraId="30ECEB54" w14:textId="77777777" w:rsidR="00F65BCA" w:rsidRDefault="00F65BCA">
            <w:pPr>
              <w:rPr>
                <w:sz w:val="2"/>
                <w:szCs w:val="2"/>
              </w:rPr>
            </w:pPr>
          </w:p>
        </w:tc>
        <w:tc>
          <w:tcPr>
            <w:tcW w:w="1083" w:type="dxa"/>
            <w:tcBorders>
              <w:right w:val="nil"/>
            </w:tcBorders>
          </w:tcPr>
          <w:p w14:paraId="0C0CC64B" w14:textId="77777777" w:rsidR="00F65BCA" w:rsidRDefault="00216117">
            <w:pPr>
              <w:pStyle w:val="TableParagraph"/>
              <w:spacing w:before="24"/>
              <w:ind w:left="393"/>
              <w:rPr>
                <w:sz w:val="12"/>
              </w:rPr>
            </w:pPr>
            <w:r>
              <w:rPr>
                <w:color w:val="231F20"/>
                <w:sz w:val="12"/>
              </w:rPr>
              <w:t>60 %</w:t>
            </w:r>
          </w:p>
        </w:tc>
      </w:tr>
      <w:tr w:rsidR="00F65BCA" w14:paraId="68C2F695" w14:textId="77777777">
        <w:trPr>
          <w:trHeight w:val="188"/>
        </w:trPr>
        <w:tc>
          <w:tcPr>
            <w:tcW w:w="1156" w:type="dxa"/>
            <w:tcBorders>
              <w:left w:val="nil"/>
            </w:tcBorders>
          </w:tcPr>
          <w:p w14:paraId="1D967D8E" w14:textId="77777777" w:rsidR="00F65BCA" w:rsidRDefault="00216117">
            <w:pPr>
              <w:pStyle w:val="TableParagraph"/>
              <w:spacing w:before="24"/>
              <w:ind w:left="473"/>
              <w:rPr>
                <w:sz w:val="12"/>
              </w:rPr>
            </w:pPr>
            <w:r>
              <w:rPr>
                <w:color w:val="231F20"/>
                <w:sz w:val="12"/>
              </w:rPr>
              <w:t>ke 30°</w:t>
            </w:r>
          </w:p>
        </w:tc>
        <w:tc>
          <w:tcPr>
            <w:tcW w:w="189" w:type="dxa"/>
            <w:vMerge/>
            <w:tcBorders>
              <w:top w:val="nil"/>
              <w:bottom w:val="nil"/>
            </w:tcBorders>
          </w:tcPr>
          <w:p w14:paraId="315B77D8" w14:textId="77777777" w:rsidR="00F65BCA" w:rsidRDefault="00F65BCA">
            <w:pPr>
              <w:rPr>
                <w:sz w:val="2"/>
                <w:szCs w:val="2"/>
              </w:rPr>
            </w:pPr>
          </w:p>
        </w:tc>
        <w:tc>
          <w:tcPr>
            <w:tcW w:w="1088" w:type="dxa"/>
          </w:tcPr>
          <w:p w14:paraId="1D116958" w14:textId="77777777" w:rsidR="00F65BCA" w:rsidRDefault="00216117">
            <w:pPr>
              <w:pStyle w:val="TableParagraph"/>
              <w:spacing w:before="24"/>
              <w:ind w:left="390"/>
              <w:rPr>
                <w:sz w:val="12"/>
              </w:rPr>
            </w:pPr>
            <w:r>
              <w:rPr>
                <w:color w:val="231F20"/>
                <w:sz w:val="12"/>
              </w:rPr>
              <w:t>15 %</w:t>
            </w:r>
          </w:p>
        </w:tc>
        <w:tc>
          <w:tcPr>
            <w:tcW w:w="189" w:type="dxa"/>
            <w:vMerge/>
            <w:tcBorders>
              <w:top w:val="nil"/>
              <w:bottom w:val="nil"/>
            </w:tcBorders>
          </w:tcPr>
          <w:p w14:paraId="40032092" w14:textId="77777777" w:rsidR="00F65BCA" w:rsidRDefault="00F65BCA">
            <w:pPr>
              <w:rPr>
                <w:sz w:val="2"/>
                <w:szCs w:val="2"/>
              </w:rPr>
            </w:pPr>
          </w:p>
        </w:tc>
        <w:tc>
          <w:tcPr>
            <w:tcW w:w="1088" w:type="dxa"/>
          </w:tcPr>
          <w:p w14:paraId="53056571" w14:textId="77777777" w:rsidR="00F65BCA" w:rsidRDefault="00216117">
            <w:pPr>
              <w:pStyle w:val="TableParagraph"/>
              <w:spacing w:before="24"/>
              <w:ind w:left="388"/>
              <w:rPr>
                <w:sz w:val="12"/>
              </w:rPr>
            </w:pPr>
            <w:r>
              <w:rPr>
                <w:color w:val="231F20"/>
                <w:sz w:val="12"/>
              </w:rPr>
              <w:t>45 %</w:t>
            </w:r>
          </w:p>
        </w:tc>
        <w:tc>
          <w:tcPr>
            <w:tcW w:w="189" w:type="dxa"/>
            <w:vMerge/>
            <w:tcBorders>
              <w:top w:val="nil"/>
              <w:bottom w:val="nil"/>
            </w:tcBorders>
          </w:tcPr>
          <w:p w14:paraId="1111892E" w14:textId="77777777" w:rsidR="00F65BCA" w:rsidRDefault="00F65BCA">
            <w:pPr>
              <w:rPr>
                <w:sz w:val="2"/>
                <w:szCs w:val="2"/>
              </w:rPr>
            </w:pPr>
          </w:p>
        </w:tc>
        <w:tc>
          <w:tcPr>
            <w:tcW w:w="1083" w:type="dxa"/>
            <w:tcBorders>
              <w:right w:val="nil"/>
            </w:tcBorders>
          </w:tcPr>
          <w:p w14:paraId="68C8571E" w14:textId="77777777" w:rsidR="00F65BCA" w:rsidRDefault="00216117">
            <w:pPr>
              <w:pStyle w:val="TableParagraph"/>
              <w:spacing w:before="24"/>
              <w:ind w:left="387"/>
              <w:rPr>
                <w:sz w:val="12"/>
              </w:rPr>
            </w:pPr>
            <w:r>
              <w:rPr>
                <w:color w:val="231F20"/>
                <w:sz w:val="12"/>
              </w:rPr>
              <w:t>70 %</w:t>
            </w:r>
          </w:p>
        </w:tc>
      </w:tr>
      <w:tr w:rsidR="00F65BCA" w14:paraId="1C60614A" w14:textId="77777777">
        <w:trPr>
          <w:trHeight w:val="188"/>
        </w:trPr>
        <w:tc>
          <w:tcPr>
            <w:tcW w:w="1156" w:type="dxa"/>
            <w:tcBorders>
              <w:left w:val="nil"/>
            </w:tcBorders>
          </w:tcPr>
          <w:p w14:paraId="1A7AA66C" w14:textId="77777777" w:rsidR="00F65BCA" w:rsidRDefault="00216117">
            <w:pPr>
              <w:pStyle w:val="TableParagraph"/>
              <w:spacing w:before="24"/>
              <w:ind w:left="473"/>
              <w:rPr>
                <w:sz w:val="12"/>
              </w:rPr>
            </w:pPr>
            <w:r>
              <w:rPr>
                <w:color w:val="231F20"/>
                <w:sz w:val="12"/>
              </w:rPr>
              <w:t>ke 20°</w:t>
            </w:r>
          </w:p>
        </w:tc>
        <w:tc>
          <w:tcPr>
            <w:tcW w:w="189" w:type="dxa"/>
            <w:vMerge/>
            <w:tcBorders>
              <w:top w:val="nil"/>
              <w:bottom w:val="nil"/>
            </w:tcBorders>
          </w:tcPr>
          <w:p w14:paraId="6E4F2D1C" w14:textId="77777777" w:rsidR="00F65BCA" w:rsidRDefault="00F65BCA">
            <w:pPr>
              <w:rPr>
                <w:sz w:val="2"/>
                <w:szCs w:val="2"/>
              </w:rPr>
            </w:pPr>
          </w:p>
        </w:tc>
        <w:tc>
          <w:tcPr>
            <w:tcW w:w="1088" w:type="dxa"/>
          </w:tcPr>
          <w:p w14:paraId="6E828DFF" w14:textId="77777777" w:rsidR="00F65BCA" w:rsidRDefault="00216117">
            <w:pPr>
              <w:pStyle w:val="TableParagraph"/>
              <w:spacing w:before="24"/>
              <w:ind w:left="396"/>
              <w:rPr>
                <w:sz w:val="12"/>
              </w:rPr>
            </w:pPr>
            <w:r>
              <w:rPr>
                <w:color w:val="231F20"/>
                <w:sz w:val="12"/>
              </w:rPr>
              <w:t>20 %</w:t>
            </w:r>
          </w:p>
        </w:tc>
        <w:tc>
          <w:tcPr>
            <w:tcW w:w="189" w:type="dxa"/>
            <w:vMerge/>
            <w:tcBorders>
              <w:top w:val="nil"/>
              <w:bottom w:val="nil"/>
            </w:tcBorders>
          </w:tcPr>
          <w:p w14:paraId="218E4F2C" w14:textId="77777777" w:rsidR="00F65BCA" w:rsidRDefault="00F65BCA">
            <w:pPr>
              <w:rPr>
                <w:sz w:val="2"/>
                <w:szCs w:val="2"/>
              </w:rPr>
            </w:pPr>
          </w:p>
        </w:tc>
        <w:tc>
          <w:tcPr>
            <w:tcW w:w="1088" w:type="dxa"/>
          </w:tcPr>
          <w:p w14:paraId="6B80153C" w14:textId="77777777" w:rsidR="00F65BCA" w:rsidRDefault="00216117">
            <w:pPr>
              <w:pStyle w:val="TableParagraph"/>
              <w:spacing w:before="24"/>
              <w:ind w:left="394"/>
              <w:rPr>
                <w:sz w:val="12"/>
              </w:rPr>
            </w:pPr>
            <w:r>
              <w:rPr>
                <w:color w:val="231F20"/>
                <w:sz w:val="12"/>
              </w:rPr>
              <w:t>55 %</w:t>
            </w:r>
          </w:p>
        </w:tc>
        <w:tc>
          <w:tcPr>
            <w:tcW w:w="189" w:type="dxa"/>
            <w:vMerge/>
            <w:tcBorders>
              <w:top w:val="nil"/>
              <w:bottom w:val="nil"/>
            </w:tcBorders>
          </w:tcPr>
          <w:p w14:paraId="2BBB9F3A" w14:textId="77777777" w:rsidR="00F65BCA" w:rsidRDefault="00F65BCA">
            <w:pPr>
              <w:rPr>
                <w:sz w:val="2"/>
                <w:szCs w:val="2"/>
              </w:rPr>
            </w:pPr>
          </w:p>
        </w:tc>
        <w:tc>
          <w:tcPr>
            <w:tcW w:w="1083" w:type="dxa"/>
            <w:tcBorders>
              <w:right w:val="nil"/>
            </w:tcBorders>
          </w:tcPr>
          <w:p w14:paraId="57D8346F" w14:textId="77777777" w:rsidR="00F65BCA" w:rsidRDefault="00216117">
            <w:pPr>
              <w:pStyle w:val="TableParagraph"/>
              <w:spacing w:before="24"/>
              <w:ind w:left="393"/>
              <w:rPr>
                <w:sz w:val="12"/>
              </w:rPr>
            </w:pPr>
            <w:r>
              <w:rPr>
                <w:color w:val="231F20"/>
                <w:sz w:val="12"/>
              </w:rPr>
              <w:t>80 %</w:t>
            </w:r>
          </w:p>
        </w:tc>
      </w:tr>
      <w:tr w:rsidR="00F65BCA" w14:paraId="781C8FB1" w14:textId="77777777">
        <w:trPr>
          <w:trHeight w:val="188"/>
        </w:trPr>
        <w:tc>
          <w:tcPr>
            <w:tcW w:w="1156" w:type="dxa"/>
            <w:tcBorders>
              <w:left w:val="nil"/>
            </w:tcBorders>
          </w:tcPr>
          <w:p w14:paraId="38811AFE" w14:textId="77777777" w:rsidR="00F65BCA" w:rsidRDefault="00216117">
            <w:pPr>
              <w:pStyle w:val="TableParagraph"/>
              <w:spacing w:before="24"/>
              <w:ind w:left="535"/>
              <w:rPr>
                <w:sz w:val="12"/>
              </w:rPr>
            </w:pPr>
            <w:r>
              <w:rPr>
                <w:color w:val="231F20"/>
                <w:sz w:val="12"/>
              </w:rPr>
              <w:t>k 10°</w:t>
            </w:r>
          </w:p>
        </w:tc>
        <w:tc>
          <w:tcPr>
            <w:tcW w:w="189" w:type="dxa"/>
            <w:vMerge/>
            <w:tcBorders>
              <w:top w:val="nil"/>
              <w:bottom w:val="nil"/>
            </w:tcBorders>
          </w:tcPr>
          <w:p w14:paraId="4BF54436" w14:textId="77777777" w:rsidR="00F65BCA" w:rsidRDefault="00F65BCA">
            <w:pPr>
              <w:rPr>
                <w:sz w:val="2"/>
                <w:szCs w:val="2"/>
              </w:rPr>
            </w:pPr>
          </w:p>
        </w:tc>
        <w:tc>
          <w:tcPr>
            <w:tcW w:w="1088" w:type="dxa"/>
          </w:tcPr>
          <w:p w14:paraId="1B469F77" w14:textId="77777777" w:rsidR="00F65BCA" w:rsidRDefault="00216117">
            <w:pPr>
              <w:pStyle w:val="TableParagraph"/>
              <w:spacing w:before="24"/>
              <w:ind w:left="396"/>
              <w:rPr>
                <w:sz w:val="12"/>
              </w:rPr>
            </w:pPr>
            <w:r>
              <w:rPr>
                <w:color w:val="231F20"/>
                <w:sz w:val="12"/>
              </w:rPr>
              <w:t>23 %</w:t>
            </w:r>
          </w:p>
        </w:tc>
        <w:tc>
          <w:tcPr>
            <w:tcW w:w="189" w:type="dxa"/>
            <w:vMerge/>
            <w:tcBorders>
              <w:top w:val="nil"/>
              <w:bottom w:val="nil"/>
            </w:tcBorders>
          </w:tcPr>
          <w:p w14:paraId="7F605585" w14:textId="77777777" w:rsidR="00F65BCA" w:rsidRDefault="00F65BCA">
            <w:pPr>
              <w:rPr>
                <w:sz w:val="2"/>
                <w:szCs w:val="2"/>
              </w:rPr>
            </w:pPr>
          </w:p>
        </w:tc>
        <w:tc>
          <w:tcPr>
            <w:tcW w:w="1088" w:type="dxa"/>
          </w:tcPr>
          <w:p w14:paraId="2DBDBF7C" w14:textId="77777777" w:rsidR="00F65BCA" w:rsidRDefault="00216117">
            <w:pPr>
              <w:pStyle w:val="TableParagraph"/>
              <w:spacing w:before="24"/>
              <w:ind w:left="394"/>
              <w:rPr>
                <w:sz w:val="12"/>
              </w:rPr>
            </w:pPr>
            <w:r>
              <w:rPr>
                <w:color w:val="231F20"/>
                <w:sz w:val="12"/>
              </w:rPr>
              <w:t>75 %</w:t>
            </w:r>
          </w:p>
        </w:tc>
        <w:tc>
          <w:tcPr>
            <w:tcW w:w="189" w:type="dxa"/>
            <w:vMerge/>
            <w:tcBorders>
              <w:top w:val="nil"/>
              <w:bottom w:val="nil"/>
            </w:tcBorders>
          </w:tcPr>
          <w:p w14:paraId="6367CEBD" w14:textId="77777777" w:rsidR="00F65BCA" w:rsidRDefault="00F65BCA">
            <w:pPr>
              <w:rPr>
                <w:sz w:val="2"/>
                <w:szCs w:val="2"/>
              </w:rPr>
            </w:pPr>
          </w:p>
        </w:tc>
        <w:tc>
          <w:tcPr>
            <w:tcW w:w="1083" w:type="dxa"/>
            <w:tcBorders>
              <w:right w:val="nil"/>
            </w:tcBorders>
          </w:tcPr>
          <w:p w14:paraId="20730892" w14:textId="77777777" w:rsidR="00F65BCA" w:rsidRDefault="00216117">
            <w:pPr>
              <w:pStyle w:val="TableParagraph"/>
              <w:spacing w:before="24"/>
              <w:ind w:left="393"/>
              <w:rPr>
                <w:sz w:val="12"/>
              </w:rPr>
            </w:pPr>
            <w:r>
              <w:rPr>
                <w:color w:val="231F20"/>
                <w:sz w:val="12"/>
              </w:rPr>
              <w:t>90 %</w:t>
            </w:r>
          </w:p>
        </w:tc>
      </w:tr>
      <w:tr w:rsidR="00F65BCA" w14:paraId="6901BA36" w14:textId="77777777">
        <w:trPr>
          <w:trHeight w:val="211"/>
        </w:trPr>
        <w:tc>
          <w:tcPr>
            <w:tcW w:w="1156" w:type="dxa"/>
            <w:tcBorders>
              <w:left w:val="nil"/>
              <w:bottom w:val="single" w:sz="8" w:space="0" w:color="231F20"/>
            </w:tcBorders>
          </w:tcPr>
          <w:p w14:paraId="7AC18484" w14:textId="77777777" w:rsidR="00F65BCA" w:rsidRDefault="00216117">
            <w:pPr>
              <w:pStyle w:val="TableParagraph"/>
              <w:spacing w:before="36"/>
              <w:ind w:left="602"/>
              <w:rPr>
                <w:sz w:val="12"/>
              </w:rPr>
            </w:pPr>
            <w:r>
              <w:rPr>
                <w:color w:val="231F20"/>
                <w:sz w:val="12"/>
              </w:rPr>
              <w:t>k 5°</w:t>
            </w:r>
          </w:p>
        </w:tc>
        <w:tc>
          <w:tcPr>
            <w:tcW w:w="189" w:type="dxa"/>
            <w:vMerge/>
            <w:tcBorders>
              <w:top w:val="nil"/>
              <w:bottom w:val="nil"/>
            </w:tcBorders>
          </w:tcPr>
          <w:p w14:paraId="6D05A8AC" w14:textId="77777777" w:rsidR="00F65BCA" w:rsidRDefault="00F65BCA">
            <w:pPr>
              <w:rPr>
                <w:sz w:val="2"/>
                <w:szCs w:val="2"/>
              </w:rPr>
            </w:pPr>
          </w:p>
        </w:tc>
        <w:tc>
          <w:tcPr>
            <w:tcW w:w="1088" w:type="dxa"/>
            <w:tcBorders>
              <w:bottom w:val="single" w:sz="8" w:space="0" w:color="231F20"/>
            </w:tcBorders>
          </w:tcPr>
          <w:p w14:paraId="0D24BDE8" w14:textId="77777777" w:rsidR="00F65BCA" w:rsidRDefault="00216117">
            <w:pPr>
              <w:pStyle w:val="TableParagraph"/>
              <w:spacing w:before="36"/>
              <w:ind w:left="396"/>
              <w:rPr>
                <w:sz w:val="12"/>
              </w:rPr>
            </w:pPr>
            <w:r>
              <w:rPr>
                <w:color w:val="231F20"/>
                <w:sz w:val="12"/>
              </w:rPr>
              <w:t>25 %</w:t>
            </w:r>
          </w:p>
        </w:tc>
        <w:tc>
          <w:tcPr>
            <w:tcW w:w="189" w:type="dxa"/>
            <w:vMerge/>
            <w:tcBorders>
              <w:top w:val="nil"/>
              <w:bottom w:val="nil"/>
            </w:tcBorders>
          </w:tcPr>
          <w:p w14:paraId="559624A7" w14:textId="77777777" w:rsidR="00F65BCA" w:rsidRDefault="00F65BCA">
            <w:pPr>
              <w:rPr>
                <w:sz w:val="2"/>
                <w:szCs w:val="2"/>
              </w:rPr>
            </w:pPr>
          </w:p>
        </w:tc>
        <w:tc>
          <w:tcPr>
            <w:tcW w:w="1088" w:type="dxa"/>
            <w:tcBorders>
              <w:bottom w:val="single" w:sz="8" w:space="0" w:color="231F20"/>
            </w:tcBorders>
          </w:tcPr>
          <w:p w14:paraId="7C08FD6C" w14:textId="77777777" w:rsidR="00F65BCA" w:rsidRDefault="00216117">
            <w:pPr>
              <w:pStyle w:val="TableParagraph"/>
              <w:spacing w:before="36"/>
              <w:ind w:left="328"/>
              <w:rPr>
                <w:sz w:val="12"/>
              </w:rPr>
            </w:pPr>
            <w:r>
              <w:rPr>
                <w:color w:val="231F20"/>
                <w:sz w:val="12"/>
              </w:rPr>
              <w:t>100 %</w:t>
            </w:r>
          </w:p>
        </w:tc>
        <w:tc>
          <w:tcPr>
            <w:tcW w:w="189" w:type="dxa"/>
            <w:vMerge/>
            <w:tcBorders>
              <w:top w:val="nil"/>
              <w:bottom w:val="nil"/>
            </w:tcBorders>
          </w:tcPr>
          <w:p w14:paraId="7FEF0181" w14:textId="77777777" w:rsidR="00F65BCA" w:rsidRDefault="00F65BCA">
            <w:pPr>
              <w:rPr>
                <w:sz w:val="2"/>
                <w:szCs w:val="2"/>
              </w:rPr>
            </w:pPr>
          </w:p>
        </w:tc>
        <w:tc>
          <w:tcPr>
            <w:tcW w:w="1083" w:type="dxa"/>
            <w:tcBorders>
              <w:bottom w:val="single" w:sz="8" w:space="0" w:color="231F20"/>
              <w:right w:val="nil"/>
            </w:tcBorders>
          </w:tcPr>
          <w:p w14:paraId="0F19BA03" w14:textId="77777777" w:rsidR="00F65BCA" w:rsidRDefault="00216117">
            <w:pPr>
              <w:pStyle w:val="TableParagraph"/>
              <w:spacing w:before="36"/>
              <w:ind w:left="326"/>
              <w:rPr>
                <w:sz w:val="12"/>
              </w:rPr>
            </w:pPr>
            <w:r>
              <w:rPr>
                <w:color w:val="231F20"/>
                <w:sz w:val="12"/>
              </w:rPr>
              <w:t>100 %</w:t>
            </w:r>
          </w:p>
        </w:tc>
      </w:tr>
    </w:tbl>
    <w:p w14:paraId="0251A182" w14:textId="77777777" w:rsidR="00F65BCA" w:rsidRDefault="00000000">
      <w:pPr>
        <w:pStyle w:val="Zkladntext"/>
        <w:spacing w:before="3"/>
        <w:rPr>
          <w:sz w:val="12"/>
        </w:rPr>
      </w:pPr>
      <w:r>
        <w:pict w14:anchorId="35FB775D">
          <v:shape id="_x0000_s1061" type="#_x0000_t202" style="position:absolute;margin-left:315.5pt;margin-top:8.25pt;width:251.45pt;height:38.3pt;z-index:-251298816;mso-wrap-distance-left:0;mso-wrap-distance-right:0;mso-position-horizontal-relative:page;mso-position-vertical-relative:text" fillcolor="#dcddde" stroked="f">
            <v:textbox inset="0,0,0,0">
              <w:txbxContent>
                <w:p w14:paraId="5BAD572B" w14:textId="77777777" w:rsidR="00F65BCA" w:rsidRDefault="00216117">
                  <w:pPr>
                    <w:pStyle w:val="Zkladntext"/>
                    <w:spacing w:before="97" w:line="276" w:lineRule="auto"/>
                    <w:ind w:left="170" w:right="111"/>
                    <w:jc w:val="both"/>
                  </w:pPr>
                  <w:r>
                    <w:rPr>
                      <w:color w:val="231F20"/>
                    </w:rPr>
                    <w:t>Bylo-li</w:t>
                  </w:r>
                  <w:r>
                    <w:rPr>
                      <w:color w:val="231F20"/>
                      <w:spacing w:val="-20"/>
                    </w:rPr>
                    <w:t xml:space="preserve"> </w:t>
                  </w:r>
                  <w:r>
                    <w:rPr>
                      <w:color w:val="231F20"/>
                    </w:rPr>
                    <w:t>před</w:t>
                  </w:r>
                  <w:r>
                    <w:rPr>
                      <w:color w:val="231F20"/>
                      <w:spacing w:val="-19"/>
                    </w:rPr>
                    <w:t xml:space="preserve"> </w:t>
                  </w:r>
                  <w:r>
                    <w:rPr>
                      <w:color w:val="231F20"/>
                    </w:rPr>
                    <w:t>úrazem</w:t>
                  </w:r>
                  <w:r>
                    <w:rPr>
                      <w:color w:val="231F20"/>
                      <w:spacing w:val="-19"/>
                    </w:rPr>
                    <w:t xml:space="preserve"> </w:t>
                  </w:r>
                  <w:r>
                    <w:rPr>
                      <w:color w:val="231F20"/>
                    </w:rPr>
                    <w:t>jedno</w:t>
                  </w:r>
                  <w:r>
                    <w:rPr>
                      <w:color w:val="231F20"/>
                      <w:spacing w:val="-19"/>
                    </w:rPr>
                    <w:t xml:space="preserve"> </w:t>
                  </w:r>
                  <w:r>
                    <w:rPr>
                      <w:color w:val="231F20"/>
                    </w:rPr>
                    <w:t>oko</w:t>
                  </w:r>
                  <w:r>
                    <w:rPr>
                      <w:color w:val="231F20"/>
                      <w:spacing w:val="-19"/>
                    </w:rPr>
                    <w:t xml:space="preserve"> </w:t>
                  </w:r>
                  <w:r>
                    <w:rPr>
                      <w:color w:val="231F20"/>
                    </w:rPr>
                    <w:t>slepé</w:t>
                  </w:r>
                  <w:r>
                    <w:rPr>
                      <w:color w:val="231F20"/>
                      <w:spacing w:val="-20"/>
                    </w:rPr>
                    <w:t xml:space="preserve"> </w:t>
                  </w:r>
                  <w:r>
                    <w:rPr>
                      <w:color w:val="231F20"/>
                    </w:rPr>
                    <w:t>a</w:t>
                  </w:r>
                  <w:r>
                    <w:rPr>
                      <w:color w:val="231F20"/>
                      <w:spacing w:val="-19"/>
                    </w:rPr>
                    <w:t xml:space="preserve"> </w:t>
                  </w:r>
                  <w:r>
                    <w:rPr>
                      <w:color w:val="231F20"/>
                    </w:rPr>
                    <w:t>na</w:t>
                  </w:r>
                  <w:r>
                    <w:rPr>
                      <w:color w:val="231F20"/>
                      <w:spacing w:val="-19"/>
                    </w:rPr>
                    <w:t xml:space="preserve"> </w:t>
                  </w:r>
                  <w:r>
                    <w:rPr>
                      <w:color w:val="231F20"/>
                    </w:rPr>
                    <w:t>druhém</w:t>
                  </w:r>
                  <w:r>
                    <w:rPr>
                      <w:color w:val="231F20"/>
                      <w:spacing w:val="-19"/>
                    </w:rPr>
                    <w:t xml:space="preserve"> </w:t>
                  </w:r>
                  <w:r>
                    <w:rPr>
                      <w:color w:val="231F20"/>
                    </w:rPr>
                    <w:t>bylo</w:t>
                  </w:r>
                  <w:r>
                    <w:rPr>
                      <w:color w:val="231F20"/>
                      <w:spacing w:val="-19"/>
                    </w:rPr>
                    <w:t xml:space="preserve"> </w:t>
                  </w:r>
                  <w:r>
                    <w:rPr>
                      <w:color w:val="231F20"/>
                    </w:rPr>
                    <w:t>koncentrické</w:t>
                  </w:r>
                  <w:r>
                    <w:rPr>
                      <w:color w:val="231F20"/>
                      <w:spacing w:val="-20"/>
                    </w:rPr>
                    <w:t xml:space="preserve"> </w:t>
                  </w:r>
                  <w:r>
                    <w:rPr>
                      <w:color w:val="231F20"/>
                    </w:rPr>
                    <w:t>zúžení na 25° nebo více a na tomto oku nastala úplná nebo praktická slepota nebo</w:t>
                  </w:r>
                  <w:r>
                    <w:rPr>
                      <w:color w:val="231F20"/>
                      <w:spacing w:val="-8"/>
                    </w:rPr>
                    <w:t xml:space="preserve"> </w:t>
                  </w:r>
                  <w:r>
                    <w:rPr>
                      <w:color w:val="231F20"/>
                    </w:rPr>
                    <w:t>zúžení</w:t>
                  </w:r>
                  <w:r>
                    <w:rPr>
                      <w:color w:val="231F20"/>
                      <w:spacing w:val="-8"/>
                    </w:rPr>
                    <w:t xml:space="preserve"> </w:t>
                  </w:r>
                  <w:r>
                    <w:rPr>
                      <w:color w:val="231F20"/>
                    </w:rPr>
                    <w:t>zorného</w:t>
                  </w:r>
                  <w:r>
                    <w:rPr>
                      <w:color w:val="231F20"/>
                      <w:spacing w:val="-8"/>
                    </w:rPr>
                    <w:t xml:space="preserve"> </w:t>
                  </w:r>
                  <w:r>
                    <w:rPr>
                      <w:color w:val="231F20"/>
                    </w:rPr>
                    <w:t>pole</w:t>
                  </w:r>
                  <w:r>
                    <w:rPr>
                      <w:color w:val="231F20"/>
                      <w:spacing w:val="-7"/>
                    </w:rPr>
                    <w:t xml:space="preserve"> </w:t>
                  </w:r>
                  <w:r>
                    <w:rPr>
                      <w:color w:val="231F20"/>
                    </w:rPr>
                    <w:t>k</w:t>
                  </w:r>
                  <w:r>
                    <w:rPr>
                      <w:color w:val="231F20"/>
                      <w:spacing w:val="-8"/>
                    </w:rPr>
                    <w:t xml:space="preserve"> </w:t>
                  </w:r>
                  <w:r>
                    <w:rPr>
                      <w:color w:val="231F20"/>
                    </w:rPr>
                    <w:t>5°,</w:t>
                  </w:r>
                  <w:r>
                    <w:rPr>
                      <w:color w:val="231F20"/>
                      <w:spacing w:val="-8"/>
                    </w:rPr>
                    <w:t xml:space="preserve"> </w:t>
                  </w:r>
                  <w:r>
                    <w:rPr>
                      <w:color w:val="231F20"/>
                    </w:rPr>
                    <w:t>náleží</w:t>
                  </w:r>
                  <w:r>
                    <w:rPr>
                      <w:color w:val="231F20"/>
                      <w:spacing w:val="-8"/>
                    </w:rPr>
                    <w:t xml:space="preserve"> </w:t>
                  </w:r>
                  <w:r>
                    <w:rPr>
                      <w:color w:val="231F20"/>
                    </w:rPr>
                    <w:t>pojistné</w:t>
                  </w:r>
                  <w:r>
                    <w:rPr>
                      <w:color w:val="231F20"/>
                      <w:spacing w:val="-7"/>
                    </w:rPr>
                    <w:t xml:space="preserve"> </w:t>
                  </w:r>
                  <w:r>
                    <w:rPr>
                      <w:color w:val="231F20"/>
                    </w:rPr>
                    <w:t>plnění</w:t>
                  </w:r>
                  <w:r>
                    <w:rPr>
                      <w:color w:val="231F20"/>
                      <w:spacing w:val="-8"/>
                    </w:rPr>
                    <w:t xml:space="preserve"> </w:t>
                  </w:r>
                  <w:r>
                    <w:rPr>
                      <w:color w:val="231F20"/>
                    </w:rPr>
                    <w:t>ve</w:t>
                  </w:r>
                  <w:r>
                    <w:rPr>
                      <w:color w:val="231F20"/>
                      <w:spacing w:val="-8"/>
                    </w:rPr>
                    <w:t xml:space="preserve"> </w:t>
                  </w:r>
                  <w:r>
                    <w:rPr>
                      <w:color w:val="231F20"/>
                    </w:rPr>
                    <w:t>výši</w:t>
                  </w:r>
                  <w:r>
                    <w:rPr>
                      <w:color w:val="231F20"/>
                      <w:spacing w:val="-8"/>
                    </w:rPr>
                    <w:t xml:space="preserve"> </w:t>
                  </w:r>
                  <w:r>
                    <w:rPr>
                      <w:color w:val="231F20"/>
                    </w:rPr>
                    <w:t>25</w:t>
                  </w:r>
                  <w:r>
                    <w:rPr>
                      <w:color w:val="231F20"/>
                      <w:spacing w:val="-26"/>
                    </w:rPr>
                    <w:t xml:space="preserve"> </w:t>
                  </w:r>
                  <w:r>
                    <w:rPr>
                      <w:color w:val="231F20"/>
                    </w:rPr>
                    <w:t>%.</w:t>
                  </w:r>
                </w:p>
              </w:txbxContent>
            </v:textbox>
            <w10:wrap type="topAndBottom" anchorx="page"/>
          </v:shape>
        </w:pict>
      </w:r>
    </w:p>
    <w:p w14:paraId="10AD9D52" w14:textId="77777777" w:rsidR="00F65BCA" w:rsidRDefault="00F65BCA">
      <w:pPr>
        <w:pStyle w:val="Zkladntext"/>
        <w:rPr>
          <w:sz w:val="20"/>
        </w:rPr>
      </w:pPr>
    </w:p>
    <w:p w14:paraId="6F7902E5" w14:textId="77777777" w:rsidR="00F65BCA" w:rsidRDefault="00000000">
      <w:pPr>
        <w:pStyle w:val="Zkladntext"/>
        <w:spacing w:before="4"/>
        <w:rPr>
          <w:sz w:val="10"/>
        </w:rPr>
      </w:pPr>
      <w:r>
        <w:pict w14:anchorId="0B1EF305">
          <v:group id="_x0000_s1058" style="position:absolute;margin-left:317.4pt;margin-top:7.9pt;width:249.95pt;height:1pt;z-index:-251297792;mso-wrap-distance-left:0;mso-wrap-distance-right:0;mso-position-horizontal-relative:page" coordorigin="6348,158" coordsize="4999,20">
            <v:line id="_x0000_s1060" style="position:absolute" from="6348,168" to="9921,168" strokecolor="#231f20" strokeweight="1pt"/>
            <v:line id="_x0000_s1059" style="position:absolute" from="9921,168" to="11347,168" strokecolor="#231f20" strokeweight="1pt"/>
            <w10:wrap type="topAndBottom" anchorx="page"/>
          </v:group>
        </w:pict>
      </w:r>
    </w:p>
    <w:p w14:paraId="1070ED33" w14:textId="77777777" w:rsidR="00F65BCA" w:rsidRDefault="00216117">
      <w:pPr>
        <w:spacing w:before="18"/>
        <w:ind w:left="941" w:right="923"/>
        <w:jc w:val="center"/>
        <w:rPr>
          <w:sz w:val="14"/>
        </w:rPr>
      </w:pPr>
      <w:r>
        <w:rPr>
          <w:b/>
          <w:color w:val="231F20"/>
          <w:sz w:val="15"/>
        </w:rPr>
        <w:t xml:space="preserve">TABULKA Č. 3 </w:t>
      </w:r>
      <w:r>
        <w:rPr>
          <w:color w:val="231F20"/>
          <w:sz w:val="14"/>
        </w:rPr>
        <w:t>(hodnocení dle položky 017)</w:t>
      </w:r>
    </w:p>
    <w:p w14:paraId="5748877B" w14:textId="77777777" w:rsidR="00F65BCA" w:rsidRDefault="00F65BCA">
      <w:pPr>
        <w:pStyle w:val="Zkladntext"/>
        <w:spacing w:before="2"/>
        <w:rPr>
          <w:sz w:val="4"/>
        </w:rPr>
      </w:pPr>
    </w:p>
    <w:p w14:paraId="14825E3E" w14:textId="77777777" w:rsidR="00F65BCA" w:rsidRDefault="00000000">
      <w:pPr>
        <w:pStyle w:val="Zkladntext"/>
        <w:spacing w:line="20" w:lineRule="exact"/>
        <w:ind w:left="431"/>
        <w:rPr>
          <w:sz w:val="2"/>
        </w:rPr>
      </w:pPr>
      <w:r>
        <w:rPr>
          <w:sz w:val="2"/>
        </w:rPr>
      </w:r>
      <w:r>
        <w:rPr>
          <w:sz w:val="2"/>
        </w:rPr>
        <w:pict w14:anchorId="50561A31">
          <v:group id="_x0000_s1055" style="width:249.95pt;height:.5pt;mso-position-horizontal-relative:char;mso-position-vertical-relative:line" coordsize="4999,10">
            <v:line id="_x0000_s1057" style="position:absolute" from="0,5" to="3573,5" strokecolor="#231f20" strokeweight=".5pt"/>
            <v:line id="_x0000_s1056" style="position:absolute" from="3573,5" to="4999,5" strokecolor="#231f20" strokeweight=".5pt"/>
            <w10:anchorlock/>
          </v:group>
        </w:pict>
      </w:r>
    </w:p>
    <w:p w14:paraId="68661ADB" w14:textId="77777777" w:rsidR="00F65BCA" w:rsidRDefault="00000000">
      <w:pPr>
        <w:spacing w:before="91"/>
        <w:ind w:left="550"/>
        <w:rPr>
          <w:sz w:val="12"/>
        </w:rPr>
      </w:pPr>
      <w:r>
        <w:pict w14:anchorId="1237B314">
          <v:shape id="_x0000_s1054" type="#_x0000_t202" style="position:absolute;left:0;text-align:left;margin-left:317.4pt;margin-top:16.55pt;width:249.95pt;height:151.9pt;z-index:252024832;mso-position-horizontal-relative:page" filled="f" stroked="f">
            <v:textbox inset="0,0,0,0">
              <w:txbxContent>
                <w:tbl>
                  <w:tblPr>
                    <w:tblStyle w:val="TableNormal"/>
                    <w:tblW w:w="0" w:type="auto"/>
                    <w:tblInd w:w="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573"/>
                    <w:gridCol w:w="1426"/>
                  </w:tblGrid>
                  <w:tr w:rsidR="00F65BCA" w14:paraId="2A8DA49B" w14:textId="77777777">
                    <w:trPr>
                      <w:trHeight w:val="234"/>
                    </w:trPr>
                    <w:tc>
                      <w:tcPr>
                        <w:tcW w:w="3573" w:type="dxa"/>
                        <w:tcBorders>
                          <w:left w:val="nil"/>
                        </w:tcBorders>
                      </w:tcPr>
                      <w:p w14:paraId="2B2F9332" w14:textId="77777777" w:rsidR="00F65BCA" w:rsidRDefault="00216117">
                        <w:pPr>
                          <w:pStyle w:val="TableParagraph"/>
                          <w:spacing w:before="47"/>
                          <w:ind w:left="113"/>
                          <w:rPr>
                            <w:sz w:val="12"/>
                          </w:rPr>
                        </w:pPr>
                        <w:r>
                          <w:rPr>
                            <w:color w:val="231F20"/>
                            <w:sz w:val="12"/>
                          </w:rPr>
                          <w:t>Hemianopsie homonymní</w:t>
                        </w:r>
                      </w:p>
                    </w:tc>
                    <w:tc>
                      <w:tcPr>
                        <w:tcW w:w="1426" w:type="dxa"/>
                        <w:tcBorders>
                          <w:right w:val="nil"/>
                        </w:tcBorders>
                      </w:tcPr>
                      <w:p w14:paraId="5B2EB975" w14:textId="77777777" w:rsidR="00F65BCA" w:rsidRDefault="00216117">
                        <w:pPr>
                          <w:pStyle w:val="TableParagraph"/>
                          <w:spacing w:before="47"/>
                          <w:ind w:left="306"/>
                          <w:rPr>
                            <w:sz w:val="12"/>
                          </w:rPr>
                        </w:pPr>
                        <w:r>
                          <w:rPr>
                            <w:color w:val="231F20"/>
                            <w:sz w:val="12"/>
                          </w:rPr>
                          <w:t>Procento plnění</w:t>
                        </w:r>
                      </w:p>
                    </w:tc>
                  </w:tr>
                  <w:tr w:rsidR="00F65BCA" w14:paraId="6E796435" w14:textId="77777777">
                    <w:trPr>
                      <w:trHeight w:val="188"/>
                    </w:trPr>
                    <w:tc>
                      <w:tcPr>
                        <w:tcW w:w="3573" w:type="dxa"/>
                        <w:tcBorders>
                          <w:left w:val="nil"/>
                        </w:tcBorders>
                      </w:tcPr>
                      <w:p w14:paraId="16F0A5C1" w14:textId="77777777" w:rsidR="00F65BCA" w:rsidRDefault="00216117">
                        <w:pPr>
                          <w:pStyle w:val="TableParagraph"/>
                          <w:spacing w:before="24"/>
                          <w:ind w:left="113"/>
                          <w:rPr>
                            <w:sz w:val="12"/>
                          </w:rPr>
                        </w:pPr>
                        <w:r>
                          <w:rPr>
                            <w:color w:val="231F20"/>
                            <w:sz w:val="12"/>
                          </w:rPr>
                          <w:t>levostranná</w:t>
                        </w:r>
                      </w:p>
                    </w:tc>
                    <w:tc>
                      <w:tcPr>
                        <w:tcW w:w="1426" w:type="dxa"/>
                        <w:tcBorders>
                          <w:right w:val="nil"/>
                        </w:tcBorders>
                      </w:tcPr>
                      <w:p w14:paraId="29138F9E" w14:textId="77777777" w:rsidR="00F65BCA" w:rsidRDefault="00216117">
                        <w:pPr>
                          <w:pStyle w:val="TableParagraph"/>
                          <w:spacing w:before="24"/>
                          <w:ind w:right="168"/>
                          <w:jc w:val="right"/>
                          <w:rPr>
                            <w:sz w:val="12"/>
                          </w:rPr>
                        </w:pPr>
                        <w:r>
                          <w:rPr>
                            <w:color w:val="231F20"/>
                            <w:sz w:val="12"/>
                          </w:rPr>
                          <w:t>35 %</w:t>
                        </w:r>
                      </w:p>
                    </w:tc>
                  </w:tr>
                  <w:tr w:rsidR="00F65BCA" w14:paraId="38AF2B2E" w14:textId="77777777">
                    <w:trPr>
                      <w:trHeight w:val="188"/>
                    </w:trPr>
                    <w:tc>
                      <w:tcPr>
                        <w:tcW w:w="3573" w:type="dxa"/>
                        <w:tcBorders>
                          <w:left w:val="nil"/>
                        </w:tcBorders>
                      </w:tcPr>
                      <w:p w14:paraId="42062DDB" w14:textId="77777777" w:rsidR="00F65BCA" w:rsidRDefault="00216117">
                        <w:pPr>
                          <w:pStyle w:val="TableParagraph"/>
                          <w:spacing w:before="24"/>
                          <w:ind w:left="113"/>
                          <w:rPr>
                            <w:sz w:val="12"/>
                          </w:rPr>
                        </w:pPr>
                        <w:r>
                          <w:rPr>
                            <w:color w:val="231F20"/>
                            <w:sz w:val="12"/>
                          </w:rPr>
                          <w:t>pravostranná</w:t>
                        </w:r>
                      </w:p>
                    </w:tc>
                    <w:tc>
                      <w:tcPr>
                        <w:tcW w:w="1426" w:type="dxa"/>
                        <w:tcBorders>
                          <w:right w:val="nil"/>
                        </w:tcBorders>
                      </w:tcPr>
                      <w:p w14:paraId="0219F3EB" w14:textId="77777777" w:rsidR="00F65BCA" w:rsidRDefault="00216117">
                        <w:pPr>
                          <w:pStyle w:val="TableParagraph"/>
                          <w:spacing w:before="24"/>
                          <w:ind w:right="168"/>
                          <w:jc w:val="right"/>
                          <w:rPr>
                            <w:sz w:val="12"/>
                          </w:rPr>
                        </w:pPr>
                        <w:r>
                          <w:rPr>
                            <w:color w:val="231F20"/>
                            <w:sz w:val="12"/>
                          </w:rPr>
                          <w:t>45 %</w:t>
                        </w:r>
                      </w:p>
                    </w:tc>
                  </w:tr>
                  <w:tr w:rsidR="00F65BCA" w14:paraId="70505316" w14:textId="77777777">
                    <w:trPr>
                      <w:trHeight w:val="188"/>
                    </w:trPr>
                    <w:tc>
                      <w:tcPr>
                        <w:tcW w:w="3573" w:type="dxa"/>
                        <w:tcBorders>
                          <w:left w:val="nil"/>
                        </w:tcBorders>
                      </w:tcPr>
                      <w:p w14:paraId="33184F04" w14:textId="77777777" w:rsidR="00F65BCA" w:rsidRDefault="00216117">
                        <w:pPr>
                          <w:pStyle w:val="TableParagraph"/>
                          <w:spacing w:before="24"/>
                          <w:ind w:left="113"/>
                          <w:rPr>
                            <w:sz w:val="12"/>
                          </w:rPr>
                        </w:pPr>
                        <w:r>
                          <w:rPr>
                            <w:color w:val="231F20"/>
                            <w:sz w:val="12"/>
                          </w:rPr>
                          <w:t>binasální</w:t>
                        </w:r>
                      </w:p>
                    </w:tc>
                    <w:tc>
                      <w:tcPr>
                        <w:tcW w:w="1426" w:type="dxa"/>
                        <w:tcBorders>
                          <w:right w:val="nil"/>
                        </w:tcBorders>
                      </w:tcPr>
                      <w:p w14:paraId="469C2BFD" w14:textId="77777777" w:rsidR="00F65BCA" w:rsidRDefault="00216117">
                        <w:pPr>
                          <w:pStyle w:val="TableParagraph"/>
                          <w:spacing w:before="24"/>
                          <w:ind w:right="168"/>
                          <w:jc w:val="right"/>
                          <w:rPr>
                            <w:sz w:val="12"/>
                          </w:rPr>
                        </w:pPr>
                        <w:r>
                          <w:rPr>
                            <w:color w:val="231F20"/>
                            <w:sz w:val="12"/>
                          </w:rPr>
                          <w:t>10 %</w:t>
                        </w:r>
                      </w:p>
                    </w:tc>
                  </w:tr>
                  <w:tr w:rsidR="00F65BCA" w14:paraId="07DA8ED9" w14:textId="77777777">
                    <w:trPr>
                      <w:trHeight w:val="188"/>
                    </w:trPr>
                    <w:tc>
                      <w:tcPr>
                        <w:tcW w:w="3573" w:type="dxa"/>
                        <w:tcBorders>
                          <w:left w:val="nil"/>
                        </w:tcBorders>
                      </w:tcPr>
                      <w:p w14:paraId="54906C73" w14:textId="77777777" w:rsidR="00F65BCA" w:rsidRDefault="00216117">
                        <w:pPr>
                          <w:pStyle w:val="TableParagraph"/>
                          <w:spacing w:before="24"/>
                          <w:ind w:left="113"/>
                          <w:rPr>
                            <w:sz w:val="12"/>
                          </w:rPr>
                        </w:pPr>
                        <w:r>
                          <w:rPr>
                            <w:color w:val="231F20"/>
                            <w:sz w:val="12"/>
                          </w:rPr>
                          <w:t>bitemporální</w:t>
                        </w:r>
                      </w:p>
                    </w:tc>
                    <w:tc>
                      <w:tcPr>
                        <w:tcW w:w="1426" w:type="dxa"/>
                        <w:tcBorders>
                          <w:right w:val="nil"/>
                        </w:tcBorders>
                      </w:tcPr>
                      <w:p w14:paraId="439D628D" w14:textId="77777777" w:rsidR="00F65BCA" w:rsidRDefault="00216117">
                        <w:pPr>
                          <w:pStyle w:val="TableParagraph"/>
                          <w:spacing w:before="24"/>
                          <w:ind w:right="168"/>
                          <w:jc w:val="right"/>
                          <w:rPr>
                            <w:sz w:val="12"/>
                          </w:rPr>
                        </w:pPr>
                        <w:r>
                          <w:rPr>
                            <w:color w:val="231F20"/>
                            <w:sz w:val="12"/>
                          </w:rPr>
                          <w:t>60 % – 70 %</w:t>
                        </w:r>
                      </w:p>
                    </w:tc>
                  </w:tr>
                  <w:tr w:rsidR="00F65BCA" w14:paraId="4C58A415" w14:textId="77777777">
                    <w:trPr>
                      <w:trHeight w:val="188"/>
                    </w:trPr>
                    <w:tc>
                      <w:tcPr>
                        <w:tcW w:w="3573" w:type="dxa"/>
                        <w:tcBorders>
                          <w:left w:val="nil"/>
                        </w:tcBorders>
                      </w:tcPr>
                      <w:p w14:paraId="66A6C337" w14:textId="77777777" w:rsidR="00F65BCA" w:rsidRDefault="00216117">
                        <w:pPr>
                          <w:pStyle w:val="TableParagraph"/>
                          <w:spacing w:before="24"/>
                          <w:ind w:left="113"/>
                          <w:rPr>
                            <w:sz w:val="12"/>
                          </w:rPr>
                        </w:pPr>
                        <w:r>
                          <w:rPr>
                            <w:color w:val="231F20"/>
                            <w:sz w:val="12"/>
                          </w:rPr>
                          <w:t>oboustranná horní</w:t>
                        </w:r>
                      </w:p>
                    </w:tc>
                    <w:tc>
                      <w:tcPr>
                        <w:tcW w:w="1426" w:type="dxa"/>
                        <w:tcBorders>
                          <w:right w:val="nil"/>
                        </w:tcBorders>
                      </w:tcPr>
                      <w:p w14:paraId="269C1183" w14:textId="77777777" w:rsidR="00F65BCA" w:rsidRDefault="00216117">
                        <w:pPr>
                          <w:pStyle w:val="TableParagraph"/>
                          <w:spacing w:before="24"/>
                          <w:ind w:right="168"/>
                          <w:jc w:val="right"/>
                          <w:rPr>
                            <w:sz w:val="12"/>
                          </w:rPr>
                        </w:pPr>
                        <w:r>
                          <w:rPr>
                            <w:color w:val="231F20"/>
                            <w:sz w:val="12"/>
                          </w:rPr>
                          <w:t>10 % – 15 %</w:t>
                        </w:r>
                      </w:p>
                    </w:tc>
                  </w:tr>
                  <w:tr w:rsidR="00F65BCA" w14:paraId="52DE4A10" w14:textId="77777777">
                    <w:trPr>
                      <w:trHeight w:val="188"/>
                    </w:trPr>
                    <w:tc>
                      <w:tcPr>
                        <w:tcW w:w="3573" w:type="dxa"/>
                        <w:tcBorders>
                          <w:left w:val="nil"/>
                        </w:tcBorders>
                      </w:tcPr>
                      <w:p w14:paraId="7F9B9D21" w14:textId="77777777" w:rsidR="00F65BCA" w:rsidRDefault="00216117">
                        <w:pPr>
                          <w:pStyle w:val="TableParagraph"/>
                          <w:spacing w:before="24"/>
                          <w:ind w:left="113"/>
                          <w:rPr>
                            <w:sz w:val="12"/>
                          </w:rPr>
                        </w:pPr>
                        <w:r>
                          <w:rPr>
                            <w:color w:val="231F20"/>
                            <w:sz w:val="12"/>
                          </w:rPr>
                          <w:t>oboustranná dolní</w:t>
                        </w:r>
                      </w:p>
                    </w:tc>
                    <w:tc>
                      <w:tcPr>
                        <w:tcW w:w="1426" w:type="dxa"/>
                        <w:tcBorders>
                          <w:right w:val="nil"/>
                        </w:tcBorders>
                      </w:tcPr>
                      <w:p w14:paraId="0FE80396" w14:textId="77777777" w:rsidR="00F65BCA" w:rsidRDefault="00216117">
                        <w:pPr>
                          <w:pStyle w:val="TableParagraph"/>
                          <w:spacing w:before="24"/>
                          <w:ind w:right="168"/>
                          <w:jc w:val="right"/>
                          <w:rPr>
                            <w:sz w:val="12"/>
                          </w:rPr>
                        </w:pPr>
                        <w:r>
                          <w:rPr>
                            <w:color w:val="231F20"/>
                            <w:sz w:val="12"/>
                          </w:rPr>
                          <w:t>30 % – 50 %</w:t>
                        </w:r>
                      </w:p>
                    </w:tc>
                  </w:tr>
                  <w:tr w:rsidR="00F65BCA" w14:paraId="7313A23B" w14:textId="77777777">
                    <w:trPr>
                      <w:trHeight w:val="188"/>
                    </w:trPr>
                    <w:tc>
                      <w:tcPr>
                        <w:tcW w:w="3573" w:type="dxa"/>
                        <w:tcBorders>
                          <w:left w:val="nil"/>
                        </w:tcBorders>
                      </w:tcPr>
                      <w:p w14:paraId="34CC26F9" w14:textId="77777777" w:rsidR="00F65BCA" w:rsidRDefault="00216117">
                        <w:pPr>
                          <w:pStyle w:val="TableParagraph"/>
                          <w:spacing w:before="24"/>
                          <w:ind w:left="113"/>
                          <w:rPr>
                            <w:sz w:val="12"/>
                          </w:rPr>
                        </w:pPr>
                        <w:r>
                          <w:rPr>
                            <w:color w:val="231F20"/>
                            <w:sz w:val="12"/>
                          </w:rPr>
                          <w:t>jednostranná nasální</w:t>
                        </w:r>
                      </w:p>
                    </w:tc>
                    <w:tc>
                      <w:tcPr>
                        <w:tcW w:w="1426" w:type="dxa"/>
                        <w:tcBorders>
                          <w:right w:val="nil"/>
                        </w:tcBorders>
                      </w:tcPr>
                      <w:p w14:paraId="16FFEC29" w14:textId="77777777" w:rsidR="00F65BCA" w:rsidRDefault="00216117">
                        <w:pPr>
                          <w:pStyle w:val="TableParagraph"/>
                          <w:spacing w:before="24"/>
                          <w:ind w:right="168"/>
                          <w:jc w:val="right"/>
                          <w:rPr>
                            <w:sz w:val="12"/>
                          </w:rPr>
                        </w:pPr>
                        <w:r>
                          <w:rPr>
                            <w:color w:val="231F20"/>
                            <w:sz w:val="12"/>
                          </w:rPr>
                          <w:t>6 %</w:t>
                        </w:r>
                      </w:p>
                    </w:tc>
                  </w:tr>
                  <w:tr w:rsidR="00F65BCA" w14:paraId="01EF2ED8" w14:textId="77777777">
                    <w:trPr>
                      <w:trHeight w:val="188"/>
                    </w:trPr>
                    <w:tc>
                      <w:tcPr>
                        <w:tcW w:w="3573" w:type="dxa"/>
                        <w:tcBorders>
                          <w:left w:val="nil"/>
                        </w:tcBorders>
                      </w:tcPr>
                      <w:p w14:paraId="53439A42" w14:textId="77777777" w:rsidR="00F65BCA" w:rsidRDefault="00216117">
                        <w:pPr>
                          <w:pStyle w:val="TableParagraph"/>
                          <w:spacing w:before="24"/>
                          <w:ind w:left="113"/>
                          <w:rPr>
                            <w:sz w:val="12"/>
                          </w:rPr>
                        </w:pPr>
                        <w:r>
                          <w:rPr>
                            <w:color w:val="231F20"/>
                            <w:sz w:val="12"/>
                          </w:rPr>
                          <w:t>jednostranná temporální</w:t>
                        </w:r>
                      </w:p>
                    </w:tc>
                    <w:tc>
                      <w:tcPr>
                        <w:tcW w:w="1426" w:type="dxa"/>
                        <w:tcBorders>
                          <w:right w:val="nil"/>
                        </w:tcBorders>
                      </w:tcPr>
                      <w:p w14:paraId="6381B44F" w14:textId="77777777" w:rsidR="00F65BCA" w:rsidRDefault="00216117">
                        <w:pPr>
                          <w:pStyle w:val="TableParagraph"/>
                          <w:spacing w:before="24"/>
                          <w:ind w:right="168"/>
                          <w:jc w:val="right"/>
                          <w:rPr>
                            <w:sz w:val="12"/>
                          </w:rPr>
                        </w:pPr>
                        <w:r>
                          <w:rPr>
                            <w:color w:val="231F20"/>
                            <w:sz w:val="12"/>
                          </w:rPr>
                          <w:t>15 % – 20 %</w:t>
                        </w:r>
                      </w:p>
                    </w:tc>
                  </w:tr>
                  <w:tr w:rsidR="00F65BCA" w14:paraId="13448079" w14:textId="77777777">
                    <w:trPr>
                      <w:trHeight w:val="188"/>
                    </w:trPr>
                    <w:tc>
                      <w:tcPr>
                        <w:tcW w:w="3573" w:type="dxa"/>
                        <w:tcBorders>
                          <w:left w:val="nil"/>
                        </w:tcBorders>
                      </w:tcPr>
                      <w:p w14:paraId="4FE4B669" w14:textId="77777777" w:rsidR="00F65BCA" w:rsidRDefault="00216117">
                        <w:pPr>
                          <w:pStyle w:val="TableParagraph"/>
                          <w:spacing w:before="24"/>
                          <w:ind w:left="113"/>
                          <w:rPr>
                            <w:sz w:val="12"/>
                          </w:rPr>
                        </w:pPr>
                        <w:r>
                          <w:rPr>
                            <w:color w:val="231F20"/>
                            <w:sz w:val="12"/>
                          </w:rPr>
                          <w:t>jednostranná horní</w:t>
                        </w:r>
                      </w:p>
                    </w:tc>
                    <w:tc>
                      <w:tcPr>
                        <w:tcW w:w="1426" w:type="dxa"/>
                        <w:tcBorders>
                          <w:right w:val="nil"/>
                        </w:tcBorders>
                      </w:tcPr>
                      <w:p w14:paraId="1436BEDA" w14:textId="77777777" w:rsidR="00F65BCA" w:rsidRDefault="00216117">
                        <w:pPr>
                          <w:pStyle w:val="TableParagraph"/>
                          <w:spacing w:before="24"/>
                          <w:ind w:right="168"/>
                          <w:jc w:val="right"/>
                          <w:rPr>
                            <w:sz w:val="12"/>
                          </w:rPr>
                        </w:pPr>
                        <w:r>
                          <w:rPr>
                            <w:color w:val="231F20"/>
                            <w:sz w:val="12"/>
                          </w:rPr>
                          <w:t>5 % – 10 %</w:t>
                        </w:r>
                      </w:p>
                    </w:tc>
                  </w:tr>
                  <w:tr w:rsidR="00F65BCA" w14:paraId="7685CE2F" w14:textId="77777777">
                    <w:trPr>
                      <w:trHeight w:val="188"/>
                    </w:trPr>
                    <w:tc>
                      <w:tcPr>
                        <w:tcW w:w="3573" w:type="dxa"/>
                        <w:tcBorders>
                          <w:left w:val="nil"/>
                        </w:tcBorders>
                      </w:tcPr>
                      <w:p w14:paraId="46015C2D" w14:textId="77777777" w:rsidR="00F65BCA" w:rsidRDefault="00216117">
                        <w:pPr>
                          <w:pStyle w:val="TableParagraph"/>
                          <w:spacing w:before="24"/>
                          <w:ind w:left="113"/>
                          <w:rPr>
                            <w:sz w:val="12"/>
                          </w:rPr>
                        </w:pPr>
                        <w:r>
                          <w:rPr>
                            <w:color w:val="231F20"/>
                            <w:sz w:val="12"/>
                          </w:rPr>
                          <w:t>jednostranná dolní</w:t>
                        </w:r>
                      </w:p>
                    </w:tc>
                    <w:tc>
                      <w:tcPr>
                        <w:tcW w:w="1426" w:type="dxa"/>
                        <w:tcBorders>
                          <w:right w:val="nil"/>
                        </w:tcBorders>
                      </w:tcPr>
                      <w:p w14:paraId="3D3A095B" w14:textId="77777777" w:rsidR="00F65BCA" w:rsidRDefault="00216117">
                        <w:pPr>
                          <w:pStyle w:val="TableParagraph"/>
                          <w:spacing w:before="24"/>
                          <w:ind w:right="168"/>
                          <w:jc w:val="right"/>
                          <w:rPr>
                            <w:sz w:val="12"/>
                          </w:rPr>
                        </w:pPr>
                        <w:r>
                          <w:rPr>
                            <w:color w:val="231F20"/>
                            <w:sz w:val="12"/>
                          </w:rPr>
                          <w:t>10 % – 20 %</w:t>
                        </w:r>
                      </w:p>
                    </w:tc>
                  </w:tr>
                  <w:tr w:rsidR="00F65BCA" w14:paraId="5BC0D616" w14:textId="77777777">
                    <w:trPr>
                      <w:trHeight w:val="188"/>
                    </w:trPr>
                    <w:tc>
                      <w:tcPr>
                        <w:tcW w:w="3573" w:type="dxa"/>
                        <w:tcBorders>
                          <w:left w:val="nil"/>
                        </w:tcBorders>
                      </w:tcPr>
                      <w:p w14:paraId="0643D105" w14:textId="77777777" w:rsidR="00F65BCA" w:rsidRDefault="00216117">
                        <w:pPr>
                          <w:pStyle w:val="TableParagraph"/>
                          <w:spacing w:before="24"/>
                          <w:ind w:left="113"/>
                          <w:rPr>
                            <w:sz w:val="12"/>
                          </w:rPr>
                        </w:pPr>
                        <w:r>
                          <w:rPr>
                            <w:color w:val="231F20"/>
                            <w:sz w:val="12"/>
                          </w:rPr>
                          <w:t>kvadrantová nasální horní</w:t>
                        </w:r>
                      </w:p>
                    </w:tc>
                    <w:tc>
                      <w:tcPr>
                        <w:tcW w:w="1426" w:type="dxa"/>
                        <w:tcBorders>
                          <w:right w:val="nil"/>
                        </w:tcBorders>
                      </w:tcPr>
                      <w:p w14:paraId="72B66EAD" w14:textId="77777777" w:rsidR="00F65BCA" w:rsidRDefault="00216117">
                        <w:pPr>
                          <w:pStyle w:val="TableParagraph"/>
                          <w:spacing w:before="24"/>
                          <w:ind w:right="168"/>
                          <w:jc w:val="right"/>
                          <w:rPr>
                            <w:sz w:val="12"/>
                          </w:rPr>
                        </w:pPr>
                        <w:r>
                          <w:rPr>
                            <w:color w:val="231F20"/>
                            <w:sz w:val="12"/>
                          </w:rPr>
                          <w:t>4 %</w:t>
                        </w:r>
                      </w:p>
                    </w:tc>
                  </w:tr>
                  <w:tr w:rsidR="00F65BCA" w14:paraId="3405738F" w14:textId="77777777">
                    <w:trPr>
                      <w:trHeight w:val="188"/>
                    </w:trPr>
                    <w:tc>
                      <w:tcPr>
                        <w:tcW w:w="3573" w:type="dxa"/>
                        <w:tcBorders>
                          <w:left w:val="nil"/>
                        </w:tcBorders>
                      </w:tcPr>
                      <w:p w14:paraId="0FE1F1EC" w14:textId="77777777" w:rsidR="00F65BCA" w:rsidRDefault="00216117">
                        <w:pPr>
                          <w:pStyle w:val="TableParagraph"/>
                          <w:spacing w:before="24"/>
                          <w:ind w:left="850"/>
                          <w:rPr>
                            <w:sz w:val="12"/>
                          </w:rPr>
                        </w:pPr>
                        <w:r>
                          <w:rPr>
                            <w:color w:val="231F20"/>
                            <w:sz w:val="12"/>
                          </w:rPr>
                          <w:t>nasální dolní</w:t>
                        </w:r>
                      </w:p>
                    </w:tc>
                    <w:tc>
                      <w:tcPr>
                        <w:tcW w:w="1426" w:type="dxa"/>
                        <w:tcBorders>
                          <w:right w:val="nil"/>
                        </w:tcBorders>
                      </w:tcPr>
                      <w:p w14:paraId="6A0A9BBC" w14:textId="77777777" w:rsidR="00F65BCA" w:rsidRDefault="00216117">
                        <w:pPr>
                          <w:pStyle w:val="TableParagraph"/>
                          <w:spacing w:before="24"/>
                          <w:ind w:right="168"/>
                          <w:jc w:val="right"/>
                          <w:rPr>
                            <w:sz w:val="12"/>
                          </w:rPr>
                        </w:pPr>
                        <w:r>
                          <w:rPr>
                            <w:color w:val="231F20"/>
                            <w:sz w:val="12"/>
                          </w:rPr>
                          <w:t>6 %</w:t>
                        </w:r>
                      </w:p>
                    </w:tc>
                  </w:tr>
                  <w:tr w:rsidR="00F65BCA" w14:paraId="0FAB6F9C" w14:textId="77777777">
                    <w:trPr>
                      <w:trHeight w:val="188"/>
                    </w:trPr>
                    <w:tc>
                      <w:tcPr>
                        <w:tcW w:w="3573" w:type="dxa"/>
                        <w:tcBorders>
                          <w:left w:val="nil"/>
                        </w:tcBorders>
                      </w:tcPr>
                      <w:p w14:paraId="502EFCE1" w14:textId="77777777" w:rsidR="00F65BCA" w:rsidRDefault="00216117">
                        <w:pPr>
                          <w:pStyle w:val="TableParagraph"/>
                          <w:spacing w:before="24"/>
                          <w:ind w:right="1882"/>
                          <w:jc w:val="right"/>
                          <w:rPr>
                            <w:sz w:val="12"/>
                          </w:rPr>
                        </w:pPr>
                        <w:r>
                          <w:rPr>
                            <w:color w:val="231F20"/>
                            <w:w w:val="95"/>
                            <w:sz w:val="12"/>
                          </w:rPr>
                          <w:t>temporální horní</w:t>
                        </w:r>
                      </w:p>
                    </w:tc>
                    <w:tc>
                      <w:tcPr>
                        <w:tcW w:w="1426" w:type="dxa"/>
                        <w:tcBorders>
                          <w:right w:val="nil"/>
                        </w:tcBorders>
                      </w:tcPr>
                      <w:p w14:paraId="35A82BF7" w14:textId="77777777" w:rsidR="00F65BCA" w:rsidRDefault="00216117">
                        <w:pPr>
                          <w:pStyle w:val="TableParagraph"/>
                          <w:spacing w:before="24"/>
                          <w:ind w:right="168"/>
                          <w:jc w:val="right"/>
                          <w:rPr>
                            <w:sz w:val="12"/>
                          </w:rPr>
                        </w:pPr>
                        <w:r>
                          <w:rPr>
                            <w:color w:val="231F20"/>
                            <w:sz w:val="12"/>
                          </w:rPr>
                          <w:t>6 %</w:t>
                        </w:r>
                      </w:p>
                    </w:tc>
                  </w:tr>
                  <w:tr w:rsidR="00F65BCA" w14:paraId="679C875F" w14:textId="77777777">
                    <w:trPr>
                      <w:trHeight w:val="183"/>
                    </w:trPr>
                    <w:tc>
                      <w:tcPr>
                        <w:tcW w:w="3573" w:type="dxa"/>
                        <w:tcBorders>
                          <w:left w:val="nil"/>
                          <w:bottom w:val="single" w:sz="8" w:space="0" w:color="231F20"/>
                        </w:tcBorders>
                      </w:tcPr>
                      <w:p w14:paraId="3EE57516" w14:textId="77777777" w:rsidR="00F65BCA" w:rsidRDefault="00216117">
                        <w:pPr>
                          <w:pStyle w:val="TableParagraph"/>
                          <w:spacing w:before="22"/>
                          <w:ind w:right="1895"/>
                          <w:jc w:val="right"/>
                          <w:rPr>
                            <w:sz w:val="12"/>
                          </w:rPr>
                        </w:pPr>
                        <w:r>
                          <w:rPr>
                            <w:color w:val="231F20"/>
                            <w:w w:val="95"/>
                            <w:sz w:val="12"/>
                          </w:rPr>
                          <w:t>temporální dolní</w:t>
                        </w:r>
                      </w:p>
                    </w:tc>
                    <w:tc>
                      <w:tcPr>
                        <w:tcW w:w="1426" w:type="dxa"/>
                        <w:tcBorders>
                          <w:bottom w:val="single" w:sz="8" w:space="0" w:color="231F20"/>
                          <w:right w:val="nil"/>
                        </w:tcBorders>
                      </w:tcPr>
                      <w:p w14:paraId="03C9966D" w14:textId="77777777" w:rsidR="00F65BCA" w:rsidRDefault="00216117">
                        <w:pPr>
                          <w:pStyle w:val="TableParagraph"/>
                          <w:spacing w:before="22"/>
                          <w:ind w:right="168"/>
                          <w:jc w:val="right"/>
                          <w:rPr>
                            <w:sz w:val="12"/>
                          </w:rPr>
                        </w:pPr>
                        <w:r>
                          <w:rPr>
                            <w:color w:val="231F20"/>
                            <w:sz w:val="12"/>
                          </w:rPr>
                          <w:t>12 %</w:t>
                        </w:r>
                      </w:p>
                    </w:tc>
                  </w:tr>
                </w:tbl>
                <w:p w14:paraId="7B02350E" w14:textId="77777777" w:rsidR="00F65BCA" w:rsidRDefault="00F65BCA">
                  <w:pPr>
                    <w:pStyle w:val="Zkladntext"/>
                  </w:pPr>
                </w:p>
              </w:txbxContent>
            </v:textbox>
            <w10:wrap anchorx="page"/>
          </v:shape>
        </w:pict>
      </w:r>
      <w:r w:rsidR="00216117">
        <w:rPr>
          <w:color w:val="231F20"/>
          <w:sz w:val="12"/>
        </w:rPr>
        <w:t>Plnění za trvalé tělesné poškození při nekoncentrickém zúžení zorného pole</w:t>
      </w:r>
    </w:p>
    <w:p w14:paraId="30213573" w14:textId="77777777" w:rsidR="00F65BCA" w:rsidRDefault="00F65BCA">
      <w:pPr>
        <w:rPr>
          <w:sz w:val="12"/>
        </w:rPr>
        <w:sectPr w:rsidR="00F65BCA">
          <w:type w:val="continuous"/>
          <w:pgSz w:w="11910" w:h="16840"/>
          <w:pgMar w:top="840" w:right="140" w:bottom="280" w:left="140" w:header="708" w:footer="708" w:gutter="0"/>
          <w:cols w:num="2" w:space="708" w:equalWidth="0">
            <w:col w:w="5711" w:space="60"/>
            <w:col w:w="5859"/>
          </w:cols>
        </w:sectPr>
      </w:pPr>
    </w:p>
    <w:p w14:paraId="050C5A38" w14:textId="77777777" w:rsidR="00F65BCA" w:rsidRDefault="00000000">
      <w:pPr>
        <w:pStyle w:val="Zkladntext"/>
        <w:rPr>
          <w:sz w:val="20"/>
        </w:rPr>
      </w:pPr>
      <w:r>
        <w:pict w14:anchorId="7DDDC19B">
          <v:shape id="_x0000_s1053" type="#_x0000_t202" style="position:absolute;margin-left:469.35pt;margin-top:821.05pt;width:86.3pt;height:11.7pt;z-index:-299208704;mso-position-horizontal-relative:page;mso-position-vertical-relative:page" filled="f" stroked="f">
            <v:textbox inset="0,0,0,0">
              <w:txbxContent>
                <w:p w14:paraId="6B9CF7DB" w14:textId="77777777" w:rsidR="00F65BCA" w:rsidRDefault="00216117">
                  <w:pPr>
                    <w:spacing w:before="3"/>
                    <w:rPr>
                      <w:sz w:val="16"/>
                    </w:rPr>
                  </w:pPr>
                  <w:r>
                    <w:rPr>
                      <w:color w:val="231F20"/>
                      <w:sz w:val="16"/>
                    </w:rPr>
                    <w:t xml:space="preserve">Oceňovací tabulky </w:t>
                  </w:r>
                  <w:r>
                    <w:rPr>
                      <w:color w:val="6D6E71"/>
                      <w:sz w:val="20"/>
                    </w:rPr>
                    <w:t xml:space="preserve">| </w:t>
                  </w:r>
                  <w:r>
                    <w:rPr>
                      <w:color w:val="231F20"/>
                      <w:sz w:val="16"/>
                    </w:rPr>
                    <w:t>41</w:t>
                  </w:r>
                </w:p>
              </w:txbxContent>
            </v:textbox>
            <w10:wrap anchorx="page" anchory="page"/>
          </v:shape>
        </w:pict>
      </w:r>
      <w:r>
        <w:pict w14:anchorId="3F59521E">
          <v:group id="_x0000_s1050" style="position:absolute;margin-left:0;margin-top:807.85pt;width:595.3pt;height:34.05pt;z-index:252023808;mso-position-horizontal-relative:page;mso-position-vertical-relative:page" coordorigin=",16157" coordsize="11906,681">
            <v:rect id="_x0000_s1052" style="position:absolute;top:16157;width:11906;height:681" fillcolor="#dcddde" stroked="f"/>
            <v:shape id="_x0000_s1051" type="#_x0000_t202" style="position:absolute;left:1020;top:16477;width:1414;height:164" filled="f" stroked="f">
              <v:textbox inset="0,0,0,0">
                <w:txbxContent>
                  <w:p w14:paraId="6E406B1C" w14:textId="77777777" w:rsidR="00F65BCA" w:rsidRDefault="00216117">
                    <w:pPr>
                      <w:spacing w:before="2"/>
                      <w:rPr>
                        <w:sz w:val="14"/>
                      </w:rPr>
                    </w:pPr>
                    <w:r>
                      <w:rPr>
                        <w:color w:val="231F20"/>
                        <w:sz w:val="14"/>
                      </w:rPr>
                      <w:t>6.20.012 05.2025 v04</w:t>
                    </w:r>
                  </w:p>
                </w:txbxContent>
              </v:textbox>
            </v:shape>
            <w10:wrap anchorx="page" anchory="page"/>
          </v:group>
        </w:pict>
      </w:r>
    </w:p>
    <w:p w14:paraId="45EDB6DD" w14:textId="77777777" w:rsidR="00F65BCA" w:rsidRDefault="00F65BCA">
      <w:pPr>
        <w:pStyle w:val="Zkladntext"/>
        <w:rPr>
          <w:sz w:val="20"/>
        </w:rPr>
      </w:pPr>
    </w:p>
    <w:p w14:paraId="4B8D0FAE" w14:textId="77777777" w:rsidR="00F65BCA" w:rsidRDefault="00F65BCA">
      <w:pPr>
        <w:pStyle w:val="Zkladntext"/>
        <w:rPr>
          <w:sz w:val="20"/>
        </w:rPr>
      </w:pPr>
    </w:p>
    <w:p w14:paraId="7D9F666A" w14:textId="77777777" w:rsidR="00F65BCA" w:rsidRDefault="00F65BCA">
      <w:pPr>
        <w:pStyle w:val="Zkladntext"/>
        <w:rPr>
          <w:sz w:val="20"/>
        </w:rPr>
      </w:pPr>
    </w:p>
    <w:p w14:paraId="6728F966" w14:textId="77777777" w:rsidR="00F65BCA" w:rsidRDefault="00F65BCA">
      <w:pPr>
        <w:pStyle w:val="Zkladntext"/>
        <w:rPr>
          <w:sz w:val="20"/>
        </w:rPr>
      </w:pPr>
    </w:p>
    <w:p w14:paraId="29F4B8DD" w14:textId="77777777" w:rsidR="00F65BCA" w:rsidRDefault="00F65BCA">
      <w:pPr>
        <w:pStyle w:val="Zkladntext"/>
        <w:rPr>
          <w:sz w:val="20"/>
        </w:rPr>
      </w:pPr>
    </w:p>
    <w:p w14:paraId="2C64C4F6" w14:textId="77777777" w:rsidR="00F65BCA" w:rsidRDefault="00F65BCA">
      <w:pPr>
        <w:pStyle w:val="Zkladntext"/>
        <w:rPr>
          <w:sz w:val="20"/>
        </w:rPr>
      </w:pPr>
    </w:p>
    <w:p w14:paraId="30E4E091" w14:textId="77777777" w:rsidR="00F65BCA" w:rsidRDefault="00F65BCA">
      <w:pPr>
        <w:pStyle w:val="Zkladntext"/>
        <w:rPr>
          <w:sz w:val="20"/>
        </w:rPr>
      </w:pPr>
    </w:p>
    <w:p w14:paraId="5787F44A" w14:textId="77777777" w:rsidR="00F65BCA" w:rsidRDefault="00F65BCA">
      <w:pPr>
        <w:pStyle w:val="Zkladntext"/>
        <w:rPr>
          <w:sz w:val="20"/>
        </w:rPr>
      </w:pPr>
    </w:p>
    <w:p w14:paraId="15B39E04" w14:textId="77777777" w:rsidR="00F65BCA" w:rsidRDefault="00F65BCA">
      <w:pPr>
        <w:pStyle w:val="Zkladntext"/>
        <w:spacing w:before="4"/>
        <w:rPr>
          <w:sz w:val="10"/>
        </w:rPr>
      </w:pPr>
    </w:p>
    <w:p w14:paraId="26C1BED8" w14:textId="77777777" w:rsidR="00F65BCA" w:rsidRDefault="00000000">
      <w:pPr>
        <w:pStyle w:val="Zkladntext"/>
        <w:ind w:left="6169"/>
        <w:rPr>
          <w:sz w:val="20"/>
        </w:rPr>
      </w:pPr>
      <w:r>
        <w:rPr>
          <w:sz w:val="20"/>
        </w:rPr>
      </w:r>
      <w:r>
        <w:rPr>
          <w:sz w:val="20"/>
        </w:rPr>
        <w:pict w14:anchorId="5E881178">
          <v:shape id="_x0000_s2572" type="#_x0000_t202" style="width:251.45pt;height:27.5pt;mso-left-percent:-10001;mso-top-percent:-10001;mso-position-horizontal:absolute;mso-position-horizontal-relative:char;mso-position-vertical:absolute;mso-position-vertical-relative:line;mso-left-percent:-10001;mso-top-percent:-10001" fillcolor="#dcddde" stroked="f">
            <v:textbox inset="0,0,0,0">
              <w:txbxContent>
                <w:p w14:paraId="6ED889F8" w14:textId="77777777" w:rsidR="00F65BCA" w:rsidRDefault="00216117">
                  <w:pPr>
                    <w:pStyle w:val="Zkladntext"/>
                    <w:spacing w:before="89" w:line="276" w:lineRule="auto"/>
                    <w:ind w:left="170"/>
                  </w:pPr>
                  <w:r>
                    <w:rPr>
                      <w:color w:val="231F20"/>
                    </w:rPr>
                    <w:t xml:space="preserve">Centrální </w:t>
                  </w:r>
                  <w:r>
                    <w:rPr>
                      <w:color w:val="231F20"/>
                    </w:rPr>
                    <w:t>scotom jednostranný i oboustranný se hodnotí podle hodnoty zrakové ostrosti.</w:t>
                  </w:r>
                </w:p>
              </w:txbxContent>
            </v:textbox>
            <w10:anchorlock/>
          </v:shape>
        </w:pict>
      </w:r>
    </w:p>
    <w:p w14:paraId="71C33191" w14:textId="77777777" w:rsidR="00F65BCA" w:rsidRDefault="00F65BCA">
      <w:pPr>
        <w:rPr>
          <w:sz w:val="20"/>
        </w:rPr>
        <w:sectPr w:rsidR="00F65BCA">
          <w:type w:val="continuous"/>
          <w:pgSz w:w="11910" w:h="16840"/>
          <w:pgMar w:top="840" w:right="140" w:bottom="280" w:left="140" w:header="708" w:footer="708" w:gutter="0"/>
          <w:cols w:space="708"/>
        </w:sectPr>
      </w:pPr>
    </w:p>
    <w:p w14:paraId="6851845B" w14:textId="77777777" w:rsidR="00F65BCA" w:rsidRDefault="00000000">
      <w:pPr>
        <w:tabs>
          <w:tab w:val="left" w:pos="5143"/>
          <w:tab w:val="left" w:pos="11198"/>
        </w:tabs>
        <w:spacing w:before="89"/>
        <w:ind w:left="426"/>
        <w:rPr>
          <w:sz w:val="24"/>
        </w:rPr>
      </w:pPr>
      <w:r>
        <w:lastRenderedPageBreak/>
        <w:pict w14:anchorId="25132474">
          <v:group id="_x0000_s1045" style="position:absolute;left:0;text-align:left;margin-left:0;margin-top:807.85pt;width:595.3pt;height:34.05pt;z-index:252027904;mso-position-horizontal-relative:page;mso-position-vertical-relative:page" coordorigin=",16157" coordsize="11906,681">
            <v:rect id="_x0000_s1048" style="position:absolute;top:16157;width:11906;height:681" fillcolor="#dcddde" stroked="f"/>
            <v:shape id="_x0000_s1047" type="#_x0000_t202" style="position:absolute;left:566;top:16420;width:1167;height:234" filled="f" stroked="f">
              <v:textbox inset="0,0,0,0">
                <w:txbxContent>
                  <w:p w14:paraId="08E73D42" w14:textId="77777777" w:rsidR="00F65BCA" w:rsidRDefault="00216117">
                    <w:pPr>
                      <w:spacing w:before="3"/>
                      <w:rPr>
                        <w:sz w:val="16"/>
                      </w:rPr>
                    </w:pPr>
                    <w:r>
                      <w:rPr>
                        <w:color w:val="231F20"/>
                        <w:sz w:val="16"/>
                      </w:rPr>
                      <w:t xml:space="preserve">42 </w:t>
                    </w:r>
                    <w:r>
                      <w:rPr>
                        <w:color w:val="6D6E71"/>
                        <w:sz w:val="20"/>
                      </w:rPr>
                      <w:t xml:space="preserve">| </w:t>
                    </w:r>
                    <w:r>
                      <w:rPr>
                        <w:color w:val="231F20"/>
                        <w:sz w:val="16"/>
                      </w:rPr>
                      <w:t>Poznámky</w:t>
                    </w:r>
                  </w:p>
                </w:txbxContent>
              </v:textbox>
            </v:shape>
            <v:shape id="_x0000_s1046" type="#_x0000_t202" style="position:absolute;left:9491;top:16477;width:1414;height:164" filled="f" stroked="f">
              <v:textbox inset="0,0,0,0">
                <w:txbxContent>
                  <w:p w14:paraId="034CAB39" w14:textId="77777777" w:rsidR="00F65BCA" w:rsidRDefault="00216117">
                    <w:pPr>
                      <w:spacing w:before="2"/>
                      <w:rPr>
                        <w:sz w:val="14"/>
                      </w:rPr>
                    </w:pPr>
                    <w:r>
                      <w:rPr>
                        <w:color w:val="231F20"/>
                        <w:sz w:val="14"/>
                      </w:rPr>
                      <w:t>6.20.012 05.2025 v04</w:t>
                    </w:r>
                  </w:p>
                </w:txbxContent>
              </v:textbox>
            </v:shape>
            <w10:wrap anchorx="page" anchory="page"/>
          </v:group>
        </w:pict>
      </w:r>
      <w:r w:rsidR="00216117">
        <w:rPr>
          <w:color w:val="231F20"/>
          <w:sz w:val="24"/>
          <w:shd w:val="clear" w:color="auto" w:fill="DCDDDE"/>
        </w:rPr>
        <w:t xml:space="preserve"> </w:t>
      </w:r>
      <w:r w:rsidR="00216117">
        <w:rPr>
          <w:color w:val="231F20"/>
          <w:sz w:val="24"/>
          <w:shd w:val="clear" w:color="auto" w:fill="DCDDDE"/>
        </w:rPr>
        <w:tab/>
        <w:t>POZNÁMKY</w:t>
      </w:r>
      <w:r w:rsidR="00216117">
        <w:rPr>
          <w:color w:val="231F20"/>
          <w:sz w:val="24"/>
          <w:shd w:val="clear" w:color="auto" w:fill="DCDDDE"/>
        </w:rPr>
        <w:tab/>
      </w:r>
    </w:p>
    <w:p w14:paraId="1A4F7A7E" w14:textId="77777777" w:rsidR="00F65BCA" w:rsidRDefault="00F65BCA">
      <w:pPr>
        <w:rPr>
          <w:sz w:val="24"/>
        </w:rPr>
        <w:sectPr w:rsidR="00F65BCA">
          <w:pgSz w:w="11910" w:h="16840"/>
          <w:pgMar w:top="500" w:right="140" w:bottom="0" w:left="140" w:header="708" w:footer="708" w:gutter="0"/>
          <w:cols w:space="708"/>
        </w:sectPr>
      </w:pPr>
    </w:p>
    <w:p w14:paraId="761AE8AB" w14:textId="77777777" w:rsidR="00F65BCA" w:rsidRDefault="00000000">
      <w:pPr>
        <w:tabs>
          <w:tab w:val="left" w:pos="5143"/>
          <w:tab w:val="left" w:pos="11198"/>
        </w:tabs>
        <w:spacing w:before="89"/>
        <w:ind w:left="426"/>
        <w:rPr>
          <w:sz w:val="24"/>
        </w:rPr>
      </w:pPr>
      <w:r>
        <w:lastRenderedPageBreak/>
        <w:pict w14:anchorId="6A6A3348">
          <v:group id="_x0000_s1041" style="position:absolute;left:0;text-align:left;margin-left:0;margin-top:807.85pt;width:595.3pt;height:34.05pt;z-index:252030976;mso-position-horizontal-relative:page;mso-position-vertical-relative:page" coordorigin=",16157" coordsize="11906,681">
            <v:rect id="_x0000_s1044" style="position:absolute;top:16157;width:11906;height:681" fillcolor="#dcddde" stroked="f"/>
            <v:shape id="_x0000_s1043" type="#_x0000_t202" style="position:absolute;left:1020;top:16477;width:1414;height:164" filled="f" stroked="f">
              <v:textbox inset="0,0,0,0">
                <w:txbxContent>
                  <w:p w14:paraId="61EBE92A" w14:textId="77777777" w:rsidR="00F65BCA" w:rsidRDefault="00216117">
                    <w:pPr>
                      <w:spacing w:before="2"/>
                      <w:rPr>
                        <w:sz w:val="14"/>
                      </w:rPr>
                    </w:pPr>
                    <w:r>
                      <w:rPr>
                        <w:color w:val="231F20"/>
                        <w:sz w:val="14"/>
                      </w:rPr>
                      <w:t>6.20.012 05.2025 v04</w:t>
                    </w:r>
                  </w:p>
                </w:txbxContent>
              </v:textbox>
            </v:shape>
            <v:shape id="_x0000_s1042" type="#_x0000_t202" style="position:absolute;left:10191;top:16420;width:1167;height:234" filled="f" stroked="f">
              <v:textbox inset="0,0,0,0">
                <w:txbxContent>
                  <w:p w14:paraId="31A17AA1" w14:textId="77777777" w:rsidR="00F65BCA" w:rsidRDefault="00216117">
                    <w:pPr>
                      <w:spacing w:before="3"/>
                      <w:rPr>
                        <w:sz w:val="16"/>
                      </w:rPr>
                    </w:pPr>
                    <w:r>
                      <w:rPr>
                        <w:color w:val="231F20"/>
                        <w:sz w:val="16"/>
                      </w:rPr>
                      <w:t xml:space="preserve">Poznámky </w:t>
                    </w:r>
                    <w:r>
                      <w:rPr>
                        <w:color w:val="6D6E71"/>
                        <w:sz w:val="20"/>
                      </w:rPr>
                      <w:t xml:space="preserve">| </w:t>
                    </w:r>
                    <w:r>
                      <w:rPr>
                        <w:color w:val="231F20"/>
                        <w:sz w:val="16"/>
                      </w:rPr>
                      <w:t>43</w:t>
                    </w:r>
                  </w:p>
                </w:txbxContent>
              </v:textbox>
            </v:shape>
            <w10:wrap anchorx="page" anchory="page"/>
          </v:group>
        </w:pict>
      </w:r>
      <w:r w:rsidR="00216117">
        <w:rPr>
          <w:color w:val="231F20"/>
          <w:sz w:val="24"/>
          <w:shd w:val="clear" w:color="auto" w:fill="DCDDDE"/>
        </w:rPr>
        <w:t xml:space="preserve"> </w:t>
      </w:r>
      <w:r w:rsidR="00216117">
        <w:rPr>
          <w:color w:val="231F20"/>
          <w:sz w:val="24"/>
          <w:shd w:val="clear" w:color="auto" w:fill="DCDDDE"/>
        </w:rPr>
        <w:tab/>
        <w:t>POZNÁMKY</w:t>
      </w:r>
      <w:r w:rsidR="00216117">
        <w:rPr>
          <w:color w:val="231F20"/>
          <w:sz w:val="24"/>
          <w:shd w:val="clear" w:color="auto" w:fill="DCDDDE"/>
        </w:rPr>
        <w:tab/>
      </w:r>
    </w:p>
    <w:p w14:paraId="015CF178" w14:textId="77777777" w:rsidR="00F65BCA" w:rsidRDefault="00F65BCA">
      <w:pPr>
        <w:rPr>
          <w:sz w:val="24"/>
        </w:rPr>
        <w:sectPr w:rsidR="00F65BCA">
          <w:pgSz w:w="11910" w:h="16840"/>
          <w:pgMar w:top="500" w:right="140" w:bottom="0" w:left="140" w:header="708" w:footer="708" w:gutter="0"/>
          <w:cols w:space="708"/>
        </w:sectPr>
      </w:pPr>
    </w:p>
    <w:p w14:paraId="65A83A1F" w14:textId="77777777" w:rsidR="00F65BCA" w:rsidRDefault="00F65BCA">
      <w:pPr>
        <w:pStyle w:val="Zkladntext"/>
        <w:spacing w:before="4"/>
        <w:rPr>
          <w:sz w:val="17"/>
        </w:rPr>
      </w:pPr>
    </w:p>
    <w:p w14:paraId="01CA9394" w14:textId="77777777" w:rsidR="00F65BCA" w:rsidRDefault="00F65BCA">
      <w:pPr>
        <w:rPr>
          <w:sz w:val="17"/>
        </w:rPr>
        <w:sectPr w:rsidR="00F65BCA">
          <w:pgSz w:w="11910" w:h="16840"/>
          <w:pgMar w:top="1580" w:right="140" w:bottom="280" w:left="140" w:header="708" w:footer="708" w:gutter="0"/>
          <w:cols w:space="708"/>
        </w:sectPr>
      </w:pPr>
    </w:p>
    <w:p w14:paraId="538C4B50" w14:textId="77777777" w:rsidR="00F65BCA" w:rsidRDefault="00216117">
      <w:pPr>
        <w:pStyle w:val="Zkladntext"/>
        <w:ind w:left="117"/>
        <w:rPr>
          <w:sz w:val="20"/>
        </w:rPr>
      </w:pPr>
      <w:r>
        <w:rPr>
          <w:noProof/>
          <w:sz w:val="20"/>
        </w:rPr>
        <w:lastRenderedPageBreak/>
        <w:drawing>
          <wp:inline distT="0" distB="0" distL="0" distR="0" wp14:anchorId="073E3364" wp14:editId="78463BD2">
            <wp:extent cx="1574174" cy="798480"/>
            <wp:effectExtent l="0" t="0" r="0" b="0"/>
            <wp:docPr id="29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46.jpeg"/>
                    <pic:cNvPicPr/>
                  </pic:nvPicPr>
                  <pic:blipFill>
                    <a:blip r:embed="rId62" cstate="print"/>
                    <a:stretch>
                      <a:fillRect/>
                    </a:stretch>
                  </pic:blipFill>
                  <pic:spPr>
                    <a:xfrm>
                      <a:off x="0" y="0"/>
                      <a:ext cx="1574174" cy="798480"/>
                    </a:xfrm>
                    <a:prstGeom prst="rect">
                      <a:avLst/>
                    </a:prstGeom>
                  </pic:spPr>
                </pic:pic>
              </a:graphicData>
            </a:graphic>
          </wp:inline>
        </w:drawing>
      </w:r>
    </w:p>
    <w:p w14:paraId="48321EE5" w14:textId="77777777" w:rsidR="00F65BCA" w:rsidRDefault="00F65BCA">
      <w:pPr>
        <w:pStyle w:val="Zkladntext"/>
        <w:spacing w:before="8"/>
        <w:rPr>
          <w:sz w:val="8"/>
        </w:rPr>
      </w:pPr>
    </w:p>
    <w:p w14:paraId="45D81813" w14:textId="77777777" w:rsidR="00F65BCA" w:rsidRDefault="00216117">
      <w:pPr>
        <w:pStyle w:val="Nadpis3"/>
        <w:spacing w:before="93"/>
        <w:ind w:left="0" w:right="114"/>
        <w:jc w:val="right"/>
      </w:pPr>
      <w:r>
        <w:rPr>
          <w:color w:val="231F20"/>
        </w:rPr>
        <w:t>SZ ZCU 074205/2025</w:t>
      </w:r>
    </w:p>
    <w:p w14:paraId="0E20656D" w14:textId="77777777" w:rsidR="00F65BCA" w:rsidRDefault="00216117">
      <w:pPr>
        <w:pStyle w:val="Nadpis3"/>
        <w:spacing w:before="199"/>
        <w:ind w:left="117" w:right="107" w:hanging="1"/>
        <w:jc w:val="left"/>
      </w:pPr>
      <w:r>
        <w:rPr>
          <w:color w:val="231F20"/>
        </w:rPr>
        <w:t>Zadání nadlimitní veřejné zakázky na služby v otevřeném řízení podle ustanovení § 56 zákona č. 134/2016 Sb., o zadávání veřejných zakázek (dále jen „ZZVZ“) pod názvem:</w:t>
      </w:r>
    </w:p>
    <w:p w14:paraId="0BDFB5E2" w14:textId="77777777" w:rsidR="00F65BCA" w:rsidRDefault="00216117">
      <w:pPr>
        <w:spacing w:before="120" w:line="297" w:lineRule="auto"/>
        <w:ind w:left="1463" w:right="1033"/>
        <w:jc w:val="center"/>
        <w:rPr>
          <w:b/>
          <w:sz w:val="44"/>
        </w:rPr>
      </w:pPr>
      <w:r>
        <w:rPr>
          <w:b/>
          <w:color w:val="231F20"/>
          <w:sz w:val="44"/>
        </w:rPr>
        <w:t>„Komplexní pojištění ZČU v Plzni (2026-2028)“</w:t>
      </w:r>
    </w:p>
    <w:p w14:paraId="205143D2" w14:textId="77777777" w:rsidR="00F65BCA" w:rsidRDefault="00216117">
      <w:pPr>
        <w:spacing w:before="57"/>
        <w:ind w:left="1459" w:right="1033"/>
        <w:jc w:val="center"/>
        <w:rPr>
          <w:b/>
          <w:i/>
          <w:sz w:val="48"/>
        </w:rPr>
      </w:pPr>
      <w:r>
        <w:rPr>
          <w:b/>
          <w:i/>
          <w:color w:val="231F20"/>
          <w:sz w:val="48"/>
          <w:u w:val="thick" w:color="231F20"/>
        </w:rPr>
        <w:t>Zadávací dokumentace</w:t>
      </w:r>
    </w:p>
    <w:p w14:paraId="68A382EA" w14:textId="77777777" w:rsidR="00F65BCA" w:rsidRDefault="00216117">
      <w:pPr>
        <w:spacing w:before="100"/>
        <w:ind w:left="1461" w:right="1033"/>
        <w:jc w:val="center"/>
        <w:rPr>
          <w:b/>
          <w:sz w:val="24"/>
        </w:rPr>
      </w:pPr>
      <w:r>
        <w:rPr>
          <w:b/>
          <w:color w:val="231F20"/>
          <w:sz w:val="24"/>
        </w:rPr>
        <w:t xml:space="preserve">(dále jen „ZD“) </w:t>
      </w:r>
      <w:r>
        <w:rPr>
          <w:b/>
          <w:color w:val="231F20"/>
          <w:sz w:val="24"/>
          <w:shd w:val="clear" w:color="auto" w:fill="ED2124"/>
        </w:rPr>
        <w:t>ve znění změn k 12.9.2025</w:t>
      </w:r>
    </w:p>
    <w:p w14:paraId="63E22A9D" w14:textId="77777777" w:rsidR="00F65BCA" w:rsidRDefault="00216117">
      <w:pPr>
        <w:spacing w:before="121"/>
        <w:ind w:left="117"/>
        <w:rPr>
          <w:b/>
          <w:sz w:val="28"/>
        </w:rPr>
      </w:pPr>
      <w:r>
        <w:rPr>
          <w:b/>
          <w:color w:val="345F91"/>
          <w:sz w:val="28"/>
        </w:rPr>
        <w:t>Obsah</w:t>
      </w:r>
    </w:p>
    <w:sdt>
      <w:sdtPr>
        <w:id w:val="1585415773"/>
        <w:docPartObj>
          <w:docPartGallery w:val="Table of Contents"/>
          <w:docPartUnique/>
        </w:docPartObj>
      </w:sdtPr>
      <w:sdtContent>
        <w:p w14:paraId="7689C08B" w14:textId="77777777" w:rsidR="00F65BCA" w:rsidRDefault="00216117">
          <w:pPr>
            <w:pStyle w:val="Obsah1"/>
            <w:numPr>
              <w:ilvl w:val="0"/>
              <w:numId w:val="20"/>
            </w:numPr>
            <w:tabs>
              <w:tab w:val="left" w:pos="558"/>
              <w:tab w:val="left" w:pos="559"/>
              <w:tab w:val="right" w:leader="dot" w:pos="9317"/>
            </w:tabs>
            <w:spacing w:before="168"/>
            <w:ind w:hanging="442"/>
          </w:pPr>
          <w:hyperlink w:anchor="_TOC_250023" w:history="1">
            <w:r>
              <w:rPr>
                <w:color w:val="231F20"/>
              </w:rPr>
              <w:t>Zadavatel</w:t>
            </w:r>
            <w:r>
              <w:rPr>
                <w:rFonts w:ascii="Times New Roman"/>
                <w:color w:val="231F20"/>
              </w:rPr>
              <w:tab/>
            </w:r>
            <w:r>
              <w:rPr>
                <w:color w:val="231F20"/>
              </w:rPr>
              <w:t>2</w:t>
            </w:r>
          </w:hyperlink>
        </w:p>
        <w:p w14:paraId="1DAC89D6" w14:textId="77777777" w:rsidR="00F65BCA" w:rsidRDefault="00216117">
          <w:pPr>
            <w:pStyle w:val="Obsah1"/>
            <w:numPr>
              <w:ilvl w:val="0"/>
              <w:numId w:val="20"/>
            </w:numPr>
            <w:tabs>
              <w:tab w:val="left" w:pos="558"/>
              <w:tab w:val="left" w:pos="559"/>
              <w:tab w:val="right" w:leader="dot" w:pos="9316"/>
            </w:tabs>
            <w:ind w:hanging="442"/>
          </w:pPr>
          <w:hyperlink w:anchor="_TOC_250022" w:history="1">
            <w:r>
              <w:rPr>
                <w:color w:val="231F20"/>
              </w:rPr>
              <w:t>Zadávací dokumentace a</w:t>
            </w:r>
            <w:r>
              <w:rPr>
                <w:color w:val="231F20"/>
                <w:spacing w:val="-4"/>
              </w:rPr>
              <w:t xml:space="preserve"> </w:t>
            </w:r>
            <w:r>
              <w:rPr>
                <w:color w:val="231F20"/>
              </w:rPr>
              <w:t>její</w:t>
            </w:r>
            <w:r>
              <w:rPr>
                <w:color w:val="231F20"/>
                <w:spacing w:val="-1"/>
              </w:rPr>
              <w:t xml:space="preserve"> </w:t>
            </w:r>
            <w:r>
              <w:rPr>
                <w:color w:val="231F20"/>
              </w:rPr>
              <w:t>poskytování</w:t>
            </w:r>
            <w:r>
              <w:rPr>
                <w:rFonts w:ascii="Times New Roman" w:hAnsi="Times New Roman"/>
                <w:color w:val="231F20"/>
              </w:rPr>
              <w:tab/>
            </w:r>
            <w:r>
              <w:rPr>
                <w:color w:val="231F20"/>
              </w:rPr>
              <w:t>2</w:t>
            </w:r>
          </w:hyperlink>
        </w:p>
        <w:p w14:paraId="7F309B99" w14:textId="77777777" w:rsidR="00F65BCA" w:rsidRDefault="00216117">
          <w:pPr>
            <w:pStyle w:val="Obsah1"/>
            <w:numPr>
              <w:ilvl w:val="0"/>
              <w:numId w:val="20"/>
            </w:numPr>
            <w:tabs>
              <w:tab w:val="left" w:pos="558"/>
              <w:tab w:val="left" w:pos="559"/>
              <w:tab w:val="right" w:leader="dot" w:pos="9316"/>
            </w:tabs>
            <w:ind w:hanging="442"/>
          </w:pPr>
          <w:hyperlink w:anchor="_TOC_250021" w:history="1">
            <w:r>
              <w:rPr>
                <w:color w:val="231F20"/>
              </w:rPr>
              <w:t>Předmět</w:t>
            </w:r>
            <w:r>
              <w:rPr>
                <w:color w:val="231F20"/>
                <w:spacing w:val="-3"/>
              </w:rPr>
              <w:t xml:space="preserve"> </w:t>
            </w:r>
            <w:r>
              <w:rPr>
                <w:color w:val="231F20"/>
              </w:rPr>
              <w:t>veřejné</w:t>
            </w:r>
            <w:r>
              <w:rPr>
                <w:color w:val="231F20"/>
                <w:spacing w:val="-1"/>
              </w:rPr>
              <w:t xml:space="preserve"> </w:t>
            </w:r>
            <w:r>
              <w:rPr>
                <w:color w:val="231F20"/>
              </w:rPr>
              <w:t>zakázky</w:t>
            </w:r>
            <w:r>
              <w:rPr>
                <w:rFonts w:ascii="Times New Roman" w:hAnsi="Times New Roman"/>
                <w:color w:val="231F20"/>
              </w:rPr>
              <w:tab/>
            </w:r>
            <w:r>
              <w:rPr>
                <w:color w:val="231F20"/>
              </w:rPr>
              <w:t>2</w:t>
            </w:r>
          </w:hyperlink>
        </w:p>
        <w:p w14:paraId="06CE3A04" w14:textId="77777777" w:rsidR="00F65BCA" w:rsidRDefault="00216117">
          <w:pPr>
            <w:pStyle w:val="Obsah1"/>
            <w:numPr>
              <w:ilvl w:val="0"/>
              <w:numId w:val="20"/>
            </w:numPr>
            <w:tabs>
              <w:tab w:val="left" w:pos="558"/>
              <w:tab w:val="left" w:pos="559"/>
              <w:tab w:val="right" w:leader="dot" w:pos="9316"/>
            </w:tabs>
            <w:ind w:hanging="442"/>
          </w:pPr>
          <w:hyperlink w:anchor="_TOC_250020" w:history="1">
            <w:r>
              <w:rPr>
                <w:color w:val="231F20"/>
              </w:rPr>
              <w:t>Předpokládaná hodnota VZ a limitace</w:t>
            </w:r>
            <w:r>
              <w:rPr>
                <w:color w:val="231F20"/>
                <w:spacing w:val="-6"/>
              </w:rPr>
              <w:t xml:space="preserve"> </w:t>
            </w:r>
            <w:r>
              <w:rPr>
                <w:color w:val="231F20"/>
              </w:rPr>
              <w:t>nabídkové</w:t>
            </w:r>
            <w:r>
              <w:rPr>
                <w:color w:val="231F20"/>
                <w:spacing w:val="-1"/>
              </w:rPr>
              <w:t xml:space="preserve"> </w:t>
            </w:r>
            <w:r>
              <w:rPr>
                <w:color w:val="231F20"/>
              </w:rPr>
              <w:t>ceny</w:t>
            </w:r>
            <w:r>
              <w:rPr>
                <w:rFonts w:ascii="Times New Roman" w:hAnsi="Times New Roman"/>
                <w:color w:val="231F20"/>
              </w:rPr>
              <w:tab/>
            </w:r>
            <w:r>
              <w:rPr>
                <w:color w:val="231F20"/>
              </w:rPr>
              <w:t>3</w:t>
            </w:r>
          </w:hyperlink>
        </w:p>
        <w:p w14:paraId="309461A1" w14:textId="77777777" w:rsidR="00F65BCA" w:rsidRDefault="00216117">
          <w:pPr>
            <w:pStyle w:val="Obsah1"/>
            <w:numPr>
              <w:ilvl w:val="0"/>
              <w:numId w:val="20"/>
            </w:numPr>
            <w:tabs>
              <w:tab w:val="left" w:pos="558"/>
              <w:tab w:val="left" w:pos="559"/>
              <w:tab w:val="right" w:leader="dot" w:pos="9316"/>
            </w:tabs>
            <w:ind w:hanging="442"/>
          </w:pPr>
          <w:hyperlink w:anchor="_TOC_250019" w:history="1">
            <w:r>
              <w:rPr>
                <w:color w:val="231F20"/>
              </w:rPr>
              <w:t>Lhůta pro</w:t>
            </w:r>
            <w:r>
              <w:rPr>
                <w:color w:val="231F20"/>
                <w:spacing w:val="-2"/>
              </w:rPr>
              <w:t xml:space="preserve"> </w:t>
            </w:r>
            <w:r>
              <w:rPr>
                <w:color w:val="231F20"/>
              </w:rPr>
              <w:t>podání</w:t>
            </w:r>
            <w:r>
              <w:rPr>
                <w:color w:val="231F20"/>
                <w:spacing w:val="-1"/>
              </w:rPr>
              <w:t xml:space="preserve"> </w:t>
            </w:r>
            <w:r>
              <w:rPr>
                <w:color w:val="231F20"/>
              </w:rPr>
              <w:t>nabídek</w:t>
            </w:r>
            <w:r>
              <w:rPr>
                <w:rFonts w:ascii="Times New Roman" w:hAnsi="Times New Roman"/>
                <w:color w:val="231F20"/>
              </w:rPr>
              <w:tab/>
            </w:r>
            <w:r>
              <w:rPr>
                <w:color w:val="231F20"/>
              </w:rPr>
              <w:t>3</w:t>
            </w:r>
          </w:hyperlink>
        </w:p>
        <w:p w14:paraId="47721D7A" w14:textId="77777777" w:rsidR="00F65BCA" w:rsidRDefault="00216117">
          <w:pPr>
            <w:pStyle w:val="Obsah1"/>
            <w:numPr>
              <w:ilvl w:val="0"/>
              <w:numId w:val="20"/>
            </w:numPr>
            <w:tabs>
              <w:tab w:val="left" w:pos="558"/>
              <w:tab w:val="left" w:pos="559"/>
              <w:tab w:val="right" w:leader="dot" w:pos="9316"/>
            </w:tabs>
            <w:spacing w:before="99"/>
            <w:ind w:hanging="442"/>
          </w:pPr>
          <w:hyperlink w:anchor="_TOC_250018" w:history="1">
            <w:r>
              <w:rPr>
                <w:color w:val="231F20"/>
              </w:rPr>
              <w:t>Technické</w:t>
            </w:r>
            <w:r>
              <w:rPr>
                <w:color w:val="231F20"/>
                <w:spacing w:val="-1"/>
              </w:rPr>
              <w:t xml:space="preserve"> </w:t>
            </w:r>
            <w:r>
              <w:rPr>
                <w:color w:val="231F20"/>
              </w:rPr>
              <w:t>podmínky</w:t>
            </w:r>
            <w:r>
              <w:rPr>
                <w:rFonts w:ascii="Times New Roman" w:hAnsi="Times New Roman"/>
                <w:color w:val="231F20"/>
              </w:rPr>
              <w:tab/>
            </w:r>
            <w:r>
              <w:rPr>
                <w:color w:val="231F20"/>
              </w:rPr>
              <w:t>4</w:t>
            </w:r>
          </w:hyperlink>
        </w:p>
        <w:p w14:paraId="7FE1AFCD" w14:textId="77777777" w:rsidR="00F65BCA" w:rsidRDefault="00216117">
          <w:pPr>
            <w:pStyle w:val="Obsah1"/>
            <w:numPr>
              <w:ilvl w:val="0"/>
              <w:numId w:val="20"/>
            </w:numPr>
            <w:tabs>
              <w:tab w:val="left" w:pos="558"/>
              <w:tab w:val="left" w:pos="559"/>
              <w:tab w:val="right" w:leader="dot" w:pos="9316"/>
            </w:tabs>
            <w:ind w:hanging="442"/>
          </w:pPr>
          <w:hyperlink w:anchor="_TOC_250017" w:history="1">
            <w:r>
              <w:rPr>
                <w:color w:val="231F20"/>
              </w:rPr>
              <w:t>Místo</w:t>
            </w:r>
            <w:r>
              <w:rPr>
                <w:color w:val="231F20"/>
                <w:spacing w:val="-1"/>
              </w:rPr>
              <w:t xml:space="preserve"> </w:t>
            </w:r>
            <w:r>
              <w:rPr>
                <w:color w:val="231F20"/>
              </w:rPr>
              <w:t>plnění</w:t>
            </w:r>
            <w:r>
              <w:rPr>
                <w:rFonts w:ascii="Times New Roman" w:hAnsi="Times New Roman"/>
                <w:color w:val="231F20"/>
              </w:rPr>
              <w:tab/>
            </w:r>
            <w:r>
              <w:rPr>
                <w:color w:val="231F20"/>
              </w:rPr>
              <w:t>4</w:t>
            </w:r>
          </w:hyperlink>
        </w:p>
        <w:p w14:paraId="10224D8D" w14:textId="77777777" w:rsidR="00F65BCA" w:rsidRDefault="00216117">
          <w:pPr>
            <w:pStyle w:val="Obsah1"/>
            <w:numPr>
              <w:ilvl w:val="0"/>
              <w:numId w:val="20"/>
            </w:numPr>
            <w:tabs>
              <w:tab w:val="left" w:pos="558"/>
              <w:tab w:val="left" w:pos="559"/>
              <w:tab w:val="right" w:leader="dot" w:pos="9316"/>
            </w:tabs>
            <w:ind w:hanging="442"/>
          </w:pPr>
          <w:hyperlink w:anchor="_TOC_250016" w:history="1">
            <w:r>
              <w:rPr>
                <w:color w:val="231F20"/>
              </w:rPr>
              <w:t>Prohlídka místa</w:t>
            </w:r>
            <w:r>
              <w:rPr>
                <w:color w:val="231F20"/>
                <w:spacing w:val="-2"/>
              </w:rPr>
              <w:t xml:space="preserve"> </w:t>
            </w:r>
            <w:r>
              <w:rPr>
                <w:color w:val="231F20"/>
              </w:rPr>
              <w:t>plnění</w:t>
            </w:r>
            <w:r>
              <w:rPr>
                <w:rFonts w:ascii="Times New Roman" w:hAnsi="Times New Roman"/>
                <w:color w:val="231F20"/>
              </w:rPr>
              <w:tab/>
            </w:r>
            <w:r>
              <w:rPr>
                <w:color w:val="231F20"/>
              </w:rPr>
              <w:t>4</w:t>
            </w:r>
          </w:hyperlink>
        </w:p>
        <w:p w14:paraId="0F05DA4A" w14:textId="77777777" w:rsidR="00F65BCA" w:rsidRDefault="00216117">
          <w:pPr>
            <w:pStyle w:val="Obsah1"/>
            <w:numPr>
              <w:ilvl w:val="0"/>
              <w:numId w:val="20"/>
            </w:numPr>
            <w:tabs>
              <w:tab w:val="left" w:pos="558"/>
              <w:tab w:val="left" w:pos="559"/>
              <w:tab w:val="right" w:leader="dot" w:pos="9316"/>
            </w:tabs>
            <w:ind w:hanging="442"/>
          </w:pPr>
          <w:hyperlink w:anchor="_TOC_250015" w:history="1">
            <w:r>
              <w:rPr>
                <w:color w:val="231F20"/>
              </w:rPr>
              <w:t>Doba</w:t>
            </w:r>
            <w:r>
              <w:rPr>
                <w:color w:val="231F20"/>
                <w:spacing w:val="-1"/>
              </w:rPr>
              <w:t xml:space="preserve"> </w:t>
            </w:r>
            <w:r>
              <w:rPr>
                <w:color w:val="231F20"/>
              </w:rPr>
              <w:t>plnění</w:t>
            </w:r>
            <w:r>
              <w:rPr>
                <w:rFonts w:ascii="Times New Roman" w:hAnsi="Times New Roman"/>
                <w:color w:val="231F20"/>
              </w:rPr>
              <w:tab/>
            </w:r>
            <w:r>
              <w:rPr>
                <w:color w:val="231F20"/>
              </w:rPr>
              <w:t>4</w:t>
            </w:r>
          </w:hyperlink>
        </w:p>
        <w:p w14:paraId="6E9407F8" w14:textId="77777777" w:rsidR="00F65BCA" w:rsidRDefault="00216117">
          <w:pPr>
            <w:pStyle w:val="Obsah1"/>
            <w:numPr>
              <w:ilvl w:val="0"/>
              <w:numId w:val="20"/>
            </w:numPr>
            <w:tabs>
              <w:tab w:val="left" w:pos="559"/>
              <w:tab w:val="right" w:leader="dot" w:pos="9316"/>
            </w:tabs>
            <w:ind w:hanging="442"/>
          </w:pPr>
          <w:hyperlink w:anchor="_TOC_250014" w:history="1">
            <w:r>
              <w:rPr>
                <w:color w:val="231F20"/>
              </w:rPr>
              <w:t>Zadávací</w:t>
            </w:r>
            <w:r>
              <w:rPr>
                <w:color w:val="231F20"/>
                <w:spacing w:val="-2"/>
              </w:rPr>
              <w:t xml:space="preserve"> </w:t>
            </w:r>
            <w:r>
              <w:rPr>
                <w:color w:val="231F20"/>
              </w:rPr>
              <w:t>lhůta</w:t>
            </w:r>
            <w:r>
              <w:rPr>
                <w:rFonts w:ascii="Times New Roman" w:hAnsi="Times New Roman"/>
                <w:color w:val="231F20"/>
              </w:rPr>
              <w:tab/>
            </w:r>
            <w:r>
              <w:rPr>
                <w:color w:val="231F20"/>
              </w:rPr>
              <w:t>4</w:t>
            </w:r>
          </w:hyperlink>
        </w:p>
        <w:p w14:paraId="4002B30C" w14:textId="77777777" w:rsidR="00F65BCA" w:rsidRDefault="00216117">
          <w:pPr>
            <w:pStyle w:val="Obsah1"/>
            <w:numPr>
              <w:ilvl w:val="0"/>
              <w:numId w:val="20"/>
            </w:numPr>
            <w:tabs>
              <w:tab w:val="left" w:pos="559"/>
              <w:tab w:val="right" w:leader="dot" w:pos="9315"/>
            </w:tabs>
            <w:ind w:hanging="442"/>
          </w:pPr>
          <w:hyperlink w:anchor="_TOC_250013" w:history="1">
            <w:r>
              <w:rPr>
                <w:color w:val="231F20"/>
              </w:rPr>
              <w:t>Jistota</w:t>
            </w:r>
            <w:r>
              <w:rPr>
                <w:rFonts w:ascii="Times New Roman"/>
                <w:color w:val="231F20"/>
              </w:rPr>
              <w:tab/>
            </w:r>
            <w:r>
              <w:rPr>
                <w:color w:val="231F20"/>
              </w:rPr>
              <w:t>4</w:t>
            </w:r>
          </w:hyperlink>
        </w:p>
        <w:p w14:paraId="429BBA3C" w14:textId="77777777" w:rsidR="00F65BCA" w:rsidRDefault="00216117">
          <w:pPr>
            <w:pStyle w:val="Obsah1"/>
            <w:numPr>
              <w:ilvl w:val="0"/>
              <w:numId w:val="20"/>
            </w:numPr>
            <w:tabs>
              <w:tab w:val="left" w:pos="559"/>
              <w:tab w:val="right" w:leader="dot" w:pos="9316"/>
            </w:tabs>
            <w:ind w:hanging="442"/>
          </w:pPr>
          <w:hyperlink w:anchor="_TOC_250012" w:history="1">
            <w:r>
              <w:rPr>
                <w:color w:val="231F20"/>
              </w:rPr>
              <w:t>Způsob</w:t>
            </w:r>
            <w:r>
              <w:rPr>
                <w:color w:val="231F20"/>
                <w:spacing w:val="-1"/>
              </w:rPr>
              <w:t xml:space="preserve"> </w:t>
            </w:r>
            <w:r>
              <w:rPr>
                <w:color w:val="231F20"/>
              </w:rPr>
              <w:t>podání</w:t>
            </w:r>
            <w:r>
              <w:rPr>
                <w:color w:val="231F20"/>
                <w:spacing w:val="-2"/>
              </w:rPr>
              <w:t xml:space="preserve"> </w:t>
            </w:r>
            <w:r>
              <w:rPr>
                <w:color w:val="231F20"/>
              </w:rPr>
              <w:t>nabídky</w:t>
            </w:r>
            <w:r>
              <w:rPr>
                <w:rFonts w:ascii="Times New Roman" w:hAnsi="Times New Roman"/>
                <w:color w:val="231F20"/>
              </w:rPr>
              <w:tab/>
            </w:r>
            <w:r>
              <w:rPr>
                <w:color w:val="231F20"/>
              </w:rPr>
              <w:t>4</w:t>
            </w:r>
          </w:hyperlink>
        </w:p>
        <w:p w14:paraId="6B4478B2" w14:textId="77777777" w:rsidR="00F65BCA" w:rsidRDefault="00216117">
          <w:pPr>
            <w:pStyle w:val="Obsah1"/>
            <w:numPr>
              <w:ilvl w:val="0"/>
              <w:numId w:val="20"/>
            </w:numPr>
            <w:tabs>
              <w:tab w:val="left" w:pos="559"/>
              <w:tab w:val="right" w:leader="dot" w:pos="9316"/>
            </w:tabs>
            <w:ind w:hanging="442"/>
          </w:pPr>
          <w:hyperlink w:anchor="_TOC_250011" w:history="1">
            <w:r>
              <w:rPr>
                <w:color w:val="231F20"/>
              </w:rPr>
              <w:t>Požadavky na jednotný způsob</w:t>
            </w:r>
            <w:r>
              <w:rPr>
                <w:color w:val="231F20"/>
                <w:spacing w:val="-4"/>
              </w:rPr>
              <w:t xml:space="preserve"> </w:t>
            </w:r>
            <w:r>
              <w:rPr>
                <w:color w:val="231F20"/>
              </w:rPr>
              <w:t>zpracování</w:t>
            </w:r>
            <w:r>
              <w:rPr>
                <w:color w:val="231F20"/>
                <w:spacing w:val="-1"/>
              </w:rPr>
              <w:t xml:space="preserve"> </w:t>
            </w:r>
            <w:r>
              <w:rPr>
                <w:color w:val="231F20"/>
              </w:rPr>
              <w:t>nabídky</w:t>
            </w:r>
            <w:r>
              <w:rPr>
                <w:rFonts w:ascii="Times New Roman" w:hAnsi="Times New Roman"/>
                <w:color w:val="231F20"/>
              </w:rPr>
              <w:tab/>
            </w:r>
            <w:r>
              <w:rPr>
                <w:color w:val="231F20"/>
              </w:rPr>
              <w:t>4</w:t>
            </w:r>
          </w:hyperlink>
        </w:p>
        <w:p w14:paraId="3CD729E5" w14:textId="77777777" w:rsidR="00F65BCA" w:rsidRDefault="00216117">
          <w:pPr>
            <w:pStyle w:val="Obsah1"/>
            <w:numPr>
              <w:ilvl w:val="0"/>
              <w:numId w:val="20"/>
            </w:numPr>
            <w:tabs>
              <w:tab w:val="left" w:pos="559"/>
              <w:tab w:val="right" w:leader="dot" w:pos="9315"/>
            </w:tabs>
            <w:ind w:hanging="442"/>
          </w:pPr>
          <w:hyperlink w:anchor="_TOC_250010" w:history="1">
            <w:r>
              <w:rPr>
                <w:color w:val="231F20"/>
              </w:rPr>
              <w:t>Způsob</w:t>
            </w:r>
            <w:r>
              <w:rPr>
                <w:color w:val="231F20"/>
                <w:spacing w:val="-1"/>
              </w:rPr>
              <w:t xml:space="preserve"> </w:t>
            </w:r>
            <w:r>
              <w:rPr>
                <w:color w:val="231F20"/>
              </w:rPr>
              <w:t>hodnocení</w:t>
            </w:r>
            <w:r>
              <w:rPr>
                <w:color w:val="231F20"/>
                <w:spacing w:val="-2"/>
              </w:rPr>
              <w:t xml:space="preserve"> </w:t>
            </w:r>
            <w:r>
              <w:rPr>
                <w:color w:val="231F20"/>
              </w:rPr>
              <w:t>nabídek</w:t>
            </w:r>
            <w:r>
              <w:rPr>
                <w:rFonts w:ascii="Times New Roman" w:hAnsi="Times New Roman"/>
                <w:color w:val="231F20"/>
              </w:rPr>
              <w:tab/>
            </w:r>
            <w:r>
              <w:rPr>
                <w:color w:val="231F20"/>
              </w:rPr>
              <w:t>5</w:t>
            </w:r>
          </w:hyperlink>
        </w:p>
        <w:p w14:paraId="256EF8F4" w14:textId="77777777" w:rsidR="00F65BCA" w:rsidRDefault="00216117">
          <w:pPr>
            <w:pStyle w:val="Obsah1"/>
            <w:numPr>
              <w:ilvl w:val="0"/>
              <w:numId w:val="20"/>
            </w:numPr>
            <w:tabs>
              <w:tab w:val="left" w:pos="559"/>
              <w:tab w:val="right" w:leader="dot" w:pos="9317"/>
            </w:tabs>
            <w:spacing w:before="99"/>
            <w:ind w:hanging="442"/>
          </w:pPr>
          <w:hyperlink w:anchor="_TOC_250009" w:history="1">
            <w:r>
              <w:rPr>
                <w:color w:val="231F20"/>
              </w:rPr>
              <w:t>Způsob zpracování</w:t>
            </w:r>
            <w:r>
              <w:rPr>
                <w:color w:val="231F20"/>
                <w:spacing w:val="-3"/>
              </w:rPr>
              <w:t xml:space="preserve"> </w:t>
            </w:r>
            <w:r>
              <w:rPr>
                <w:color w:val="231F20"/>
              </w:rPr>
              <w:t>nabídkové</w:t>
            </w:r>
            <w:r>
              <w:rPr>
                <w:color w:val="231F20"/>
                <w:spacing w:val="-2"/>
              </w:rPr>
              <w:t xml:space="preserve"> </w:t>
            </w:r>
            <w:r>
              <w:rPr>
                <w:color w:val="231F20"/>
              </w:rPr>
              <w:t>ceny</w:t>
            </w:r>
            <w:r>
              <w:rPr>
                <w:rFonts w:ascii="Times New Roman" w:hAnsi="Times New Roman"/>
                <w:color w:val="231F20"/>
              </w:rPr>
              <w:tab/>
            </w:r>
            <w:r>
              <w:rPr>
                <w:color w:val="231F20"/>
              </w:rPr>
              <w:t>5</w:t>
            </w:r>
          </w:hyperlink>
        </w:p>
        <w:p w14:paraId="2D517C69" w14:textId="77777777" w:rsidR="00F65BCA" w:rsidRDefault="00216117">
          <w:pPr>
            <w:pStyle w:val="Obsah1"/>
            <w:numPr>
              <w:ilvl w:val="0"/>
              <w:numId w:val="20"/>
            </w:numPr>
            <w:tabs>
              <w:tab w:val="left" w:pos="559"/>
              <w:tab w:val="right" w:leader="dot" w:pos="9316"/>
            </w:tabs>
            <w:ind w:hanging="442"/>
          </w:pPr>
          <w:hyperlink w:anchor="_TOC_250008" w:history="1">
            <w:r>
              <w:rPr>
                <w:color w:val="231F20"/>
              </w:rPr>
              <w:t>Kvalifikace</w:t>
            </w:r>
            <w:r>
              <w:rPr>
                <w:rFonts w:ascii="Times New Roman"/>
                <w:color w:val="231F20"/>
              </w:rPr>
              <w:tab/>
            </w:r>
            <w:r>
              <w:rPr>
                <w:color w:val="231F20"/>
              </w:rPr>
              <w:t>6</w:t>
            </w:r>
          </w:hyperlink>
        </w:p>
        <w:p w14:paraId="2A1EA4D5" w14:textId="77777777" w:rsidR="00F65BCA" w:rsidRDefault="00216117">
          <w:pPr>
            <w:pStyle w:val="Obsah1"/>
            <w:numPr>
              <w:ilvl w:val="0"/>
              <w:numId w:val="20"/>
            </w:numPr>
            <w:tabs>
              <w:tab w:val="left" w:pos="559"/>
              <w:tab w:val="right" w:leader="dot" w:pos="9316"/>
            </w:tabs>
            <w:ind w:hanging="442"/>
          </w:pPr>
          <w:hyperlink w:anchor="_TOC_250007" w:history="1">
            <w:r>
              <w:rPr>
                <w:color w:val="231F20"/>
              </w:rPr>
              <w:t>Poddodavatelé</w:t>
            </w:r>
            <w:r>
              <w:rPr>
                <w:rFonts w:ascii="Times New Roman" w:hAnsi="Times New Roman"/>
                <w:color w:val="231F20"/>
              </w:rPr>
              <w:tab/>
            </w:r>
            <w:r>
              <w:rPr>
                <w:color w:val="231F20"/>
              </w:rPr>
              <w:t>8</w:t>
            </w:r>
          </w:hyperlink>
        </w:p>
        <w:p w14:paraId="74A64D4D" w14:textId="77777777" w:rsidR="00F65BCA" w:rsidRDefault="00216117">
          <w:pPr>
            <w:pStyle w:val="Obsah1"/>
            <w:numPr>
              <w:ilvl w:val="0"/>
              <w:numId w:val="20"/>
            </w:numPr>
            <w:tabs>
              <w:tab w:val="left" w:pos="559"/>
              <w:tab w:val="right" w:leader="dot" w:pos="9316"/>
            </w:tabs>
            <w:ind w:hanging="442"/>
          </w:pPr>
          <w:hyperlink w:anchor="_TOC_250006" w:history="1">
            <w:r>
              <w:rPr>
                <w:color w:val="231F20"/>
              </w:rPr>
              <w:t>Obchodní podmínky, platební podmínky a další</w:t>
            </w:r>
            <w:r>
              <w:rPr>
                <w:color w:val="231F20"/>
                <w:spacing w:val="-10"/>
              </w:rPr>
              <w:t xml:space="preserve"> </w:t>
            </w:r>
            <w:r>
              <w:rPr>
                <w:color w:val="231F20"/>
              </w:rPr>
              <w:t>požadavky</w:t>
            </w:r>
            <w:r>
              <w:rPr>
                <w:color w:val="231F20"/>
                <w:spacing w:val="-2"/>
              </w:rPr>
              <w:t xml:space="preserve"> </w:t>
            </w:r>
            <w:r>
              <w:rPr>
                <w:color w:val="231F20"/>
              </w:rPr>
              <w:t>Zadavatele</w:t>
            </w:r>
            <w:r>
              <w:rPr>
                <w:rFonts w:ascii="Times New Roman" w:hAnsi="Times New Roman"/>
                <w:color w:val="231F20"/>
              </w:rPr>
              <w:tab/>
            </w:r>
            <w:r>
              <w:rPr>
                <w:color w:val="231F20"/>
              </w:rPr>
              <w:t>8</w:t>
            </w:r>
          </w:hyperlink>
        </w:p>
        <w:p w14:paraId="2AF07F94" w14:textId="77777777" w:rsidR="00F65BCA" w:rsidRDefault="00216117">
          <w:pPr>
            <w:pStyle w:val="Obsah1"/>
            <w:numPr>
              <w:ilvl w:val="0"/>
              <w:numId w:val="20"/>
            </w:numPr>
            <w:tabs>
              <w:tab w:val="left" w:pos="559"/>
              <w:tab w:val="right" w:leader="dot" w:pos="9317"/>
            </w:tabs>
            <w:ind w:hanging="442"/>
          </w:pPr>
          <w:hyperlink w:anchor="_TOC_250005" w:history="1">
            <w:r>
              <w:rPr>
                <w:color w:val="231F20"/>
              </w:rPr>
              <w:t>Platební</w:t>
            </w:r>
            <w:r>
              <w:rPr>
                <w:color w:val="231F20"/>
                <w:spacing w:val="-1"/>
              </w:rPr>
              <w:t xml:space="preserve"> </w:t>
            </w:r>
            <w:r>
              <w:rPr>
                <w:color w:val="231F20"/>
              </w:rPr>
              <w:t>podmínky</w:t>
            </w:r>
            <w:r>
              <w:rPr>
                <w:rFonts w:ascii="Times New Roman" w:hAnsi="Times New Roman"/>
                <w:color w:val="231F20"/>
              </w:rPr>
              <w:tab/>
            </w:r>
            <w:r>
              <w:rPr>
                <w:color w:val="231F20"/>
              </w:rPr>
              <w:t>11</w:t>
            </w:r>
          </w:hyperlink>
        </w:p>
        <w:p w14:paraId="675B2D4D" w14:textId="77777777" w:rsidR="00F65BCA" w:rsidRDefault="00216117">
          <w:pPr>
            <w:pStyle w:val="Obsah1"/>
            <w:numPr>
              <w:ilvl w:val="0"/>
              <w:numId w:val="19"/>
            </w:numPr>
            <w:tabs>
              <w:tab w:val="left" w:pos="559"/>
              <w:tab w:val="right" w:leader="dot" w:pos="9317"/>
            </w:tabs>
            <w:ind w:hanging="442"/>
          </w:pPr>
          <w:hyperlink w:anchor="_TOC_250004" w:history="1">
            <w:r>
              <w:rPr>
                <w:color w:val="231F20"/>
              </w:rPr>
              <w:t>Součinnost vybraného dodavatele – kvalifikace</w:t>
            </w:r>
            <w:r>
              <w:rPr>
                <w:color w:val="231F20"/>
                <w:spacing w:val="-5"/>
              </w:rPr>
              <w:t xml:space="preserve"> </w:t>
            </w:r>
            <w:r>
              <w:rPr>
                <w:color w:val="231F20"/>
              </w:rPr>
              <w:t>a</w:t>
            </w:r>
            <w:r>
              <w:rPr>
                <w:color w:val="231F20"/>
                <w:spacing w:val="-1"/>
              </w:rPr>
              <w:t xml:space="preserve"> </w:t>
            </w:r>
            <w:r>
              <w:rPr>
                <w:color w:val="231F20"/>
              </w:rPr>
              <w:t>ostatní</w:t>
            </w:r>
            <w:r>
              <w:rPr>
                <w:rFonts w:ascii="Times New Roman" w:hAnsi="Times New Roman"/>
                <w:color w:val="231F20"/>
              </w:rPr>
              <w:tab/>
            </w:r>
            <w:r>
              <w:rPr>
                <w:color w:val="231F20"/>
              </w:rPr>
              <w:t>13</w:t>
            </w:r>
          </w:hyperlink>
        </w:p>
        <w:p w14:paraId="2FE5C953" w14:textId="77777777" w:rsidR="00F65BCA" w:rsidRDefault="00216117">
          <w:pPr>
            <w:pStyle w:val="Obsah1"/>
            <w:numPr>
              <w:ilvl w:val="0"/>
              <w:numId w:val="19"/>
            </w:numPr>
            <w:tabs>
              <w:tab w:val="left" w:pos="559"/>
              <w:tab w:val="right" w:leader="dot" w:pos="9318"/>
            </w:tabs>
            <w:ind w:hanging="442"/>
          </w:pPr>
          <w:hyperlink w:anchor="_TOC_250003" w:history="1">
            <w:r>
              <w:rPr>
                <w:color w:val="231F20"/>
              </w:rPr>
              <w:t>Jiné požadavky Zadavatele na plnění veřejné zakázky (§</w:t>
            </w:r>
            <w:r>
              <w:rPr>
                <w:color w:val="231F20"/>
                <w:spacing w:val="-10"/>
              </w:rPr>
              <w:t xml:space="preserve"> </w:t>
            </w:r>
            <w:r>
              <w:rPr>
                <w:color w:val="231F20"/>
              </w:rPr>
              <w:t>104</w:t>
            </w:r>
            <w:r>
              <w:rPr>
                <w:color w:val="231F20"/>
                <w:spacing w:val="-1"/>
              </w:rPr>
              <w:t xml:space="preserve"> </w:t>
            </w:r>
            <w:r>
              <w:rPr>
                <w:color w:val="231F20"/>
              </w:rPr>
              <w:t>ZZVZ)</w:t>
            </w:r>
            <w:r>
              <w:rPr>
                <w:rFonts w:ascii="Times New Roman" w:hAnsi="Times New Roman"/>
                <w:color w:val="231F20"/>
              </w:rPr>
              <w:tab/>
            </w:r>
            <w:r>
              <w:rPr>
                <w:color w:val="231F20"/>
              </w:rPr>
              <w:t>13</w:t>
            </w:r>
          </w:hyperlink>
        </w:p>
        <w:p w14:paraId="1D6953A4" w14:textId="77777777" w:rsidR="00F65BCA" w:rsidRDefault="00216117">
          <w:pPr>
            <w:pStyle w:val="Obsah1"/>
            <w:numPr>
              <w:ilvl w:val="0"/>
              <w:numId w:val="19"/>
            </w:numPr>
            <w:tabs>
              <w:tab w:val="left" w:pos="558"/>
              <w:tab w:val="right" w:leader="dot" w:pos="9317"/>
            </w:tabs>
            <w:spacing w:before="99"/>
          </w:pPr>
          <w:hyperlink w:anchor="_TOC_250002" w:history="1">
            <w:r>
              <w:rPr>
                <w:color w:val="231F20"/>
              </w:rPr>
              <w:t>Vyhrazené změny závazku dle §</w:t>
            </w:r>
            <w:r>
              <w:rPr>
                <w:color w:val="231F20"/>
                <w:spacing w:val="-7"/>
              </w:rPr>
              <w:t xml:space="preserve"> </w:t>
            </w:r>
            <w:r>
              <w:rPr>
                <w:color w:val="231F20"/>
              </w:rPr>
              <w:t>100</w:t>
            </w:r>
            <w:r>
              <w:rPr>
                <w:color w:val="231F20"/>
                <w:spacing w:val="-1"/>
              </w:rPr>
              <w:t xml:space="preserve"> </w:t>
            </w:r>
            <w:r>
              <w:rPr>
                <w:color w:val="231F20"/>
              </w:rPr>
              <w:t>ZZVZ</w:t>
            </w:r>
            <w:r>
              <w:rPr>
                <w:rFonts w:ascii="Times New Roman" w:hAnsi="Times New Roman"/>
                <w:color w:val="231F20"/>
              </w:rPr>
              <w:tab/>
            </w:r>
            <w:r>
              <w:rPr>
                <w:color w:val="231F20"/>
              </w:rPr>
              <w:t>13</w:t>
            </w:r>
          </w:hyperlink>
        </w:p>
        <w:p w14:paraId="6CBA6FED" w14:textId="77777777" w:rsidR="00F65BCA" w:rsidRDefault="00216117">
          <w:pPr>
            <w:pStyle w:val="Obsah1"/>
            <w:numPr>
              <w:ilvl w:val="0"/>
              <w:numId w:val="19"/>
            </w:numPr>
            <w:tabs>
              <w:tab w:val="left" w:pos="558"/>
              <w:tab w:val="right" w:leader="dot" w:pos="9317"/>
            </w:tabs>
          </w:pPr>
          <w:hyperlink w:anchor="_TOC_250001" w:history="1">
            <w:r>
              <w:rPr>
                <w:color w:val="231F20"/>
              </w:rPr>
              <w:t>Ostatní údaje týkající se</w:t>
            </w:r>
            <w:r>
              <w:rPr>
                <w:color w:val="231F20"/>
                <w:spacing w:val="-7"/>
              </w:rPr>
              <w:t xml:space="preserve"> </w:t>
            </w:r>
            <w:r>
              <w:rPr>
                <w:color w:val="231F20"/>
              </w:rPr>
              <w:t>zadávacího</w:t>
            </w:r>
            <w:r>
              <w:rPr>
                <w:color w:val="231F20"/>
                <w:spacing w:val="-1"/>
              </w:rPr>
              <w:t xml:space="preserve"> </w:t>
            </w:r>
            <w:r>
              <w:rPr>
                <w:color w:val="231F20"/>
              </w:rPr>
              <w:t>řízení</w:t>
            </w:r>
            <w:r>
              <w:rPr>
                <w:rFonts w:ascii="Times New Roman" w:hAnsi="Times New Roman"/>
                <w:color w:val="231F20"/>
              </w:rPr>
              <w:tab/>
            </w:r>
            <w:r>
              <w:rPr>
                <w:color w:val="231F20"/>
              </w:rPr>
              <w:t>15</w:t>
            </w:r>
          </w:hyperlink>
        </w:p>
        <w:p w14:paraId="4764BD86" w14:textId="77777777" w:rsidR="00F65BCA" w:rsidRDefault="00216117">
          <w:pPr>
            <w:pStyle w:val="Obsah1"/>
            <w:tabs>
              <w:tab w:val="right" w:leader="dot" w:pos="9316"/>
            </w:tabs>
            <w:spacing w:before="99"/>
            <w:ind w:left="117" w:firstLine="0"/>
          </w:pPr>
          <w:hyperlink w:anchor="_TOC_250000" w:history="1">
            <w:r>
              <w:rPr>
                <w:color w:val="231F20"/>
              </w:rPr>
              <w:t>Přílohy</w:t>
            </w:r>
            <w:r>
              <w:rPr>
                <w:rFonts w:ascii="Times New Roman" w:hAnsi="Times New Roman"/>
                <w:color w:val="231F20"/>
              </w:rPr>
              <w:tab/>
            </w:r>
            <w:r>
              <w:rPr>
                <w:color w:val="231F20"/>
              </w:rPr>
              <w:t>15</w:t>
            </w:r>
          </w:hyperlink>
        </w:p>
      </w:sdtContent>
    </w:sdt>
    <w:p w14:paraId="7EC7A334" w14:textId="77777777" w:rsidR="00F65BCA" w:rsidRDefault="00F65BCA">
      <w:pPr>
        <w:sectPr w:rsidR="00F65BCA">
          <w:pgSz w:w="11900" w:h="16840"/>
          <w:pgMar w:top="720" w:right="1160" w:bottom="280" w:left="1300" w:header="708" w:footer="708" w:gutter="0"/>
          <w:cols w:space="708"/>
        </w:sectPr>
      </w:pPr>
    </w:p>
    <w:p w14:paraId="4BCD06D0" w14:textId="77777777" w:rsidR="00F65BCA" w:rsidRDefault="00216117">
      <w:pPr>
        <w:pStyle w:val="Nadpis1"/>
        <w:numPr>
          <w:ilvl w:val="0"/>
          <w:numId w:val="18"/>
        </w:numPr>
        <w:tabs>
          <w:tab w:val="left" w:pos="685"/>
          <w:tab w:val="left" w:pos="686"/>
        </w:tabs>
        <w:spacing w:before="78"/>
        <w:ind w:hanging="569"/>
      </w:pPr>
      <w:bookmarkStart w:id="0" w:name="_TOC_250023"/>
      <w:bookmarkEnd w:id="0"/>
      <w:r>
        <w:rPr>
          <w:color w:val="231F20"/>
        </w:rPr>
        <w:lastRenderedPageBreak/>
        <w:t>Zadavatel</w:t>
      </w:r>
    </w:p>
    <w:p w14:paraId="138B3C65" w14:textId="77777777" w:rsidR="00F65BCA" w:rsidRDefault="00216117">
      <w:pPr>
        <w:spacing w:before="120" w:line="352" w:lineRule="auto"/>
        <w:ind w:left="117" w:right="2701" w:hanging="1"/>
      </w:pPr>
      <w:r>
        <w:rPr>
          <w:b/>
          <w:color w:val="231F20"/>
        </w:rPr>
        <w:t xml:space="preserve">Západočeská univerzita v Plzni </w:t>
      </w:r>
      <w:r>
        <w:rPr>
          <w:color w:val="231F20"/>
        </w:rPr>
        <w:t>(dále jen „ZČU“ nebo „Zadavatel“) se sídlem: Univerzitní 8, 301 00 Plzeň</w:t>
      </w:r>
    </w:p>
    <w:p w14:paraId="5F98B892" w14:textId="77777777" w:rsidR="00F65BCA" w:rsidRDefault="00216117">
      <w:pPr>
        <w:pStyle w:val="Nadpis3"/>
        <w:tabs>
          <w:tab w:val="left" w:pos="1818"/>
        </w:tabs>
        <w:spacing w:before="2"/>
        <w:ind w:left="117"/>
        <w:jc w:val="left"/>
      </w:pPr>
      <w:r>
        <w:rPr>
          <w:color w:val="231F20"/>
        </w:rPr>
        <w:t>IČO:</w:t>
      </w:r>
      <w:r>
        <w:rPr>
          <w:color w:val="231F20"/>
          <w:spacing w:val="-3"/>
        </w:rPr>
        <w:t xml:space="preserve"> </w:t>
      </w:r>
      <w:r>
        <w:rPr>
          <w:color w:val="231F20"/>
        </w:rPr>
        <w:t>49777513</w:t>
      </w:r>
      <w:r>
        <w:rPr>
          <w:rFonts w:ascii="Times New Roman" w:hAnsi="Times New Roman"/>
          <w:color w:val="231F20"/>
        </w:rPr>
        <w:tab/>
      </w:r>
      <w:r>
        <w:rPr>
          <w:color w:val="231F20"/>
        </w:rPr>
        <w:t>DIČ:</w:t>
      </w:r>
      <w:r>
        <w:rPr>
          <w:color w:val="231F20"/>
          <w:spacing w:val="-1"/>
        </w:rPr>
        <w:t xml:space="preserve"> </w:t>
      </w:r>
      <w:r>
        <w:rPr>
          <w:color w:val="231F20"/>
        </w:rPr>
        <w:t>CZ49777513</w:t>
      </w:r>
    </w:p>
    <w:p w14:paraId="00ED96A1" w14:textId="77777777" w:rsidR="00F65BCA" w:rsidRDefault="00216117">
      <w:pPr>
        <w:pStyle w:val="Nadpis3"/>
        <w:spacing w:before="119"/>
        <w:ind w:left="117"/>
        <w:jc w:val="left"/>
      </w:pPr>
      <w:r>
        <w:rPr>
          <w:color w:val="231F20"/>
        </w:rPr>
        <w:t>zastoupená: prof. RNDr. Miroslavem Lávičkou, Ph.D., rektorem</w:t>
      </w:r>
    </w:p>
    <w:p w14:paraId="35B84CF2" w14:textId="77777777" w:rsidR="00F65BCA" w:rsidRDefault="00216117">
      <w:pPr>
        <w:pStyle w:val="Nadpis3"/>
        <w:ind w:left="117"/>
        <w:jc w:val="left"/>
      </w:pPr>
      <w:r>
        <w:rPr>
          <w:color w:val="231F20"/>
        </w:rPr>
        <w:t>datová schránka: zqfj9hj</w:t>
      </w:r>
    </w:p>
    <w:p w14:paraId="7A6CAB11" w14:textId="77777777" w:rsidR="00F65BCA" w:rsidRDefault="00216117">
      <w:pPr>
        <w:pStyle w:val="Nadpis3"/>
        <w:ind w:left="117"/>
        <w:jc w:val="left"/>
      </w:pPr>
      <w:r>
        <w:rPr>
          <w:color w:val="231F20"/>
        </w:rPr>
        <w:t xml:space="preserve">profil zadavatele: </w:t>
      </w:r>
      <w:r>
        <w:rPr>
          <w:color w:val="3453A4"/>
          <w:u w:val="single" w:color="3453A4"/>
        </w:rPr>
        <w:t>https://zakazky.zcu.cz</w:t>
      </w:r>
    </w:p>
    <w:p w14:paraId="35EB9799" w14:textId="77777777" w:rsidR="00F65BCA" w:rsidRDefault="00216117">
      <w:pPr>
        <w:spacing w:before="120"/>
        <w:ind w:left="117"/>
        <w:rPr>
          <w:b/>
        </w:rPr>
      </w:pPr>
      <w:r>
        <w:rPr>
          <w:b/>
          <w:color w:val="231F20"/>
        </w:rPr>
        <w:t>Kontaktní údaje Zadavatele pro účely zadávacího řízení</w:t>
      </w:r>
    </w:p>
    <w:p w14:paraId="2A239C21" w14:textId="77777777" w:rsidR="00F65BCA" w:rsidRDefault="00216117">
      <w:pPr>
        <w:pStyle w:val="Nadpis3"/>
        <w:ind w:left="117"/>
        <w:jc w:val="left"/>
      </w:pPr>
      <w:r>
        <w:rPr>
          <w:color w:val="231F20"/>
        </w:rPr>
        <w:t>Kontaktní osoba ve věcech zadávacího řízení:</w:t>
      </w:r>
    </w:p>
    <w:p w14:paraId="332965C5" w14:textId="10DD6CD2" w:rsidR="00F65BCA" w:rsidRDefault="00216117">
      <w:pPr>
        <w:pStyle w:val="Nadpis3"/>
        <w:ind w:left="117"/>
        <w:jc w:val="left"/>
      </w:pPr>
      <w:r>
        <w:rPr>
          <w:color w:val="231F20"/>
        </w:rPr>
        <w:t>xxxx</w:t>
      </w:r>
    </w:p>
    <w:p w14:paraId="563210DB" w14:textId="77777777" w:rsidR="00F65BCA" w:rsidRDefault="00216117">
      <w:pPr>
        <w:pStyle w:val="Nadpis3"/>
        <w:spacing w:before="119"/>
        <w:ind w:left="117"/>
        <w:jc w:val="left"/>
      </w:pPr>
      <w:r>
        <w:rPr>
          <w:color w:val="231F20"/>
        </w:rPr>
        <w:t>Odkaz na veřejnou zakázku na profilu</w:t>
      </w:r>
      <w:r>
        <w:rPr>
          <w:color w:val="231F20"/>
          <w:spacing w:val="-30"/>
        </w:rPr>
        <w:t xml:space="preserve"> </w:t>
      </w:r>
      <w:r>
        <w:rPr>
          <w:color w:val="231F20"/>
        </w:rPr>
        <w:t>zadavatele:</w:t>
      </w:r>
    </w:p>
    <w:p w14:paraId="59BD76AD" w14:textId="77777777" w:rsidR="00F65BCA" w:rsidRDefault="00216117">
      <w:pPr>
        <w:pStyle w:val="Nadpis3"/>
        <w:ind w:left="117"/>
        <w:jc w:val="left"/>
      </w:pPr>
      <w:r>
        <w:rPr>
          <w:color w:val="3453A4"/>
          <w:u w:val="single" w:color="3453A4"/>
        </w:rPr>
        <w:t>https://zakazky.zcu.cz/contract_display_7632.html</w:t>
      </w:r>
    </w:p>
    <w:p w14:paraId="547EB1E0" w14:textId="77777777" w:rsidR="00F65BCA" w:rsidRDefault="00F65BCA">
      <w:pPr>
        <w:pStyle w:val="Zkladntext"/>
        <w:spacing w:before="10"/>
        <w:rPr>
          <w:sz w:val="20"/>
        </w:rPr>
      </w:pPr>
    </w:p>
    <w:p w14:paraId="1B7AAEDA" w14:textId="77777777" w:rsidR="00F65BCA" w:rsidRDefault="00216117">
      <w:pPr>
        <w:pStyle w:val="Nadpis1"/>
        <w:numPr>
          <w:ilvl w:val="0"/>
          <w:numId w:val="18"/>
        </w:numPr>
        <w:tabs>
          <w:tab w:val="left" w:pos="685"/>
          <w:tab w:val="left" w:pos="686"/>
        </w:tabs>
        <w:spacing w:before="1"/>
        <w:ind w:hanging="569"/>
      </w:pPr>
      <w:bookmarkStart w:id="1" w:name="_TOC_250022"/>
      <w:r>
        <w:rPr>
          <w:color w:val="231F20"/>
        </w:rPr>
        <w:t>Zadávací dokumentace a její</w:t>
      </w:r>
      <w:r>
        <w:rPr>
          <w:color w:val="231F20"/>
          <w:spacing w:val="-2"/>
        </w:rPr>
        <w:t xml:space="preserve"> </w:t>
      </w:r>
      <w:bookmarkEnd w:id="1"/>
      <w:r>
        <w:rPr>
          <w:color w:val="231F20"/>
        </w:rPr>
        <w:t>poskytování</w:t>
      </w:r>
    </w:p>
    <w:p w14:paraId="4C9297D1" w14:textId="77777777" w:rsidR="00F65BCA" w:rsidRDefault="00216117">
      <w:pPr>
        <w:pStyle w:val="Nadpis3"/>
        <w:numPr>
          <w:ilvl w:val="1"/>
          <w:numId w:val="18"/>
        </w:numPr>
        <w:tabs>
          <w:tab w:val="left" w:pos="685"/>
          <w:tab w:val="left" w:pos="686"/>
        </w:tabs>
        <w:spacing w:before="119"/>
        <w:ind w:hanging="569"/>
      </w:pPr>
      <w:r>
        <w:rPr>
          <w:color w:val="231F20"/>
        </w:rPr>
        <w:t>Zadávací dokumentaci tvoří pouze tento text ZD vč.</w:t>
      </w:r>
      <w:r>
        <w:rPr>
          <w:color w:val="231F20"/>
          <w:spacing w:val="-6"/>
        </w:rPr>
        <w:t xml:space="preserve"> </w:t>
      </w:r>
      <w:r>
        <w:rPr>
          <w:color w:val="231F20"/>
        </w:rPr>
        <w:t>příloh.</w:t>
      </w:r>
    </w:p>
    <w:p w14:paraId="2ED716BA" w14:textId="77777777" w:rsidR="00F65BCA" w:rsidRDefault="00216117">
      <w:pPr>
        <w:pStyle w:val="Nadpis3"/>
        <w:numPr>
          <w:ilvl w:val="1"/>
          <w:numId w:val="18"/>
        </w:numPr>
        <w:tabs>
          <w:tab w:val="left" w:pos="685"/>
          <w:tab w:val="left" w:pos="686"/>
        </w:tabs>
        <w:ind w:hanging="569"/>
      </w:pPr>
      <w:r>
        <w:rPr>
          <w:color w:val="231F20"/>
        </w:rPr>
        <w:t>ZD</w:t>
      </w:r>
      <w:r>
        <w:rPr>
          <w:color w:val="231F20"/>
          <w:spacing w:val="-4"/>
        </w:rPr>
        <w:t xml:space="preserve"> </w:t>
      </w:r>
      <w:r>
        <w:rPr>
          <w:color w:val="231F20"/>
        </w:rPr>
        <w:t>vč.</w:t>
      </w:r>
      <w:r>
        <w:rPr>
          <w:color w:val="231F20"/>
          <w:spacing w:val="-3"/>
        </w:rPr>
        <w:t xml:space="preserve"> </w:t>
      </w:r>
      <w:r>
        <w:rPr>
          <w:color w:val="231F20"/>
        </w:rPr>
        <w:t>příloh</w:t>
      </w:r>
      <w:r>
        <w:rPr>
          <w:color w:val="231F20"/>
          <w:spacing w:val="-3"/>
        </w:rPr>
        <w:t xml:space="preserve"> </w:t>
      </w:r>
      <w:r>
        <w:rPr>
          <w:color w:val="231F20"/>
        </w:rPr>
        <w:t>je</w:t>
      </w:r>
      <w:r>
        <w:rPr>
          <w:color w:val="231F20"/>
          <w:spacing w:val="-3"/>
        </w:rPr>
        <w:t xml:space="preserve"> </w:t>
      </w:r>
      <w:r>
        <w:rPr>
          <w:color w:val="231F20"/>
        </w:rPr>
        <w:t>uveřejněna</w:t>
      </w:r>
      <w:r>
        <w:rPr>
          <w:color w:val="231F20"/>
          <w:spacing w:val="-3"/>
        </w:rPr>
        <w:t xml:space="preserve"> </w:t>
      </w:r>
      <w:r>
        <w:rPr>
          <w:color w:val="231F20"/>
        </w:rPr>
        <w:t>a</w:t>
      </w:r>
      <w:r>
        <w:rPr>
          <w:color w:val="231F20"/>
          <w:spacing w:val="-3"/>
        </w:rPr>
        <w:t xml:space="preserve"> </w:t>
      </w:r>
      <w:r>
        <w:rPr>
          <w:color w:val="231F20"/>
        </w:rPr>
        <w:t>lze</w:t>
      </w:r>
      <w:r>
        <w:rPr>
          <w:color w:val="231F20"/>
          <w:spacing w:val="-3"/>
        </w:rPr>
        <w:t xml:space="preserve"> </w:t>
      </w:r>
      <w:r>
        <w:rPr>
          <w:color w:val="231F20"/>
        </w:rPr>
        <w:t>ji</w:t>
      </w:r>
      <w:r>
        <w:rPr>
          <w:color w:val="231F20"/>
          <w:spacing w:val="-4"/>
        </w:rPr>
        <w:t xml:space="preserve"> </w:t>
      </w:r>
      <w:r>
        <w:rPr>
          <w:color w:val="231F20"/>
        </w:rPr>
        <w:t>stáhnout</w:t>
      </w:r>
      <w:r>
        <w:rPr>
          <w:color w:val="231F20"/>
          <w:spacing w:val="-2"/>
        </w:rPr>
        <w:t xml:space="preserve"> </w:t>
      </w:r>
      <w:r>
        <w:rPr>
          <w:color w:val="231F20"/>
        </w:rPr>
        <w:t>z</w:t>
      </w:r>
      <w:r>
        <w:rPr>
          <w:color w:val="231F20"/>
          <w:spacing w:val="-3"/>
        </w:rPr>
        <w:t xml:space="preserve"> </w:t>
      </w:r>
      <w:r>
        <w:rPr>
          <w:color w:val="231F20"/>
        </w:rPr>
        <w:t>profilu</w:t>
      </w:r>
      <w:r>
        <w:rPr>
          <w:color w:val="231F20"/>
          <w:spacing w:val="-3"/>
        </w:rPr>
        <w:t xml:space="preserve"> </w:t>
      </w:r>
      <w:r>
        <w:rPr>
          <w:color w:val="231F20"/>
        </w:rPr>
        <w:t>zadavatele,</w:t>
      </w:r>
      <w:r>
        <w:rPr>
          <w:color w:val="231F20"/>
          <w:spacing w:val="-2"/>
        </w:rPr>
        <w:t xml:space="preserve"> </w:t>
      </w:r>
      <w:r>
        <w:rPr>
          <w:color w:val="231F20"/>
        </w:rPr>
        <w:t>odkaz</w:t>
      </w:r>
      <w:r>
        <w:rPr>
          <w:color w:val="231F20"/>
          <w:spacing w:val="-3"/>
        </w:rPr>
        <w:t xml:space="preserve"> </w:t>
      </w:r>
      <w:r>
        <w:rPr>
          <w:color w:val="231F20"/>
        </w:rPr>
        <w:t>dle</w:t>
      </w:r>
      <w:r>
        <w:rPr>
          <w:color w:val="231F20"/>
          <w:spacing w:val="-2"/>
        </w:rPr>
        <w:t xml:space="preserve"> </w:t>
      </w:r>
      <w:r>
        <w:rPr>
          <w:color w:val="231F20"/>
        </w:rPr>
        <w:t>čl.</w:t>
      </w:r>
      <w:r>
        <w:rPr>
          <w:color w:val="231F20"/>
          <w:spacing w:val="-3"/>
        </w:rPr>
        <w:t xml:space="preserve"> </w:t>
      </w:r>
      <w:r>
        <w:rPr>
          <w:color w:val="231F20"/>
        </w:rPr>
        <w:t>1.</w:t>
      </w:r>
      <w:r>
        <w:rPr>
          <w:color w:val="231F20"/>
          <w:spacing w:val="-2"/>
        </w:rPr>
        <w:t xml:space="preserve"> </w:t>
      </w:r>
      <w:r>
        <w:rPr>
          <w:color w:val="231F20"/>
        </w:rPr>
        <w:t>této</w:t>
      </w:r>
      <w:r>
        <w:rPr>
          <w:color w:val="231F20"/>
          <w:spacing w:val="-4"/>
        </w:rPr>
        <w:t xml:space="preserve"> </w:t>
      </w:r>
      <w:r>
        <w:rPr>
          <w:color w:val="231F20"/>
        </w:rPr>
        <w:t>ZD.</w:t>
      </w:r>
    </w:p>
    <w:p w14:paraId="0C8FA355" w14:textId="77777777" w:rsidR="00F65BCA" w:rsidRDefault="00216117">
      <w:pPr>
        <w:pStyle w:val="Nadpis3"/>
        <w:numPr>
          <w:ilvl w:val="1"/>
          <w:numId w:val="18"/>
        </w:numPr>
        <w:tabs>
          <w:tab w:val="left" w:pos="685"/>
          <w:tab w:val="left" w:pos="686"/>
        </w:tabs>
        <w:spacing w:before="119"/>
        <w:ind w:right="115"/>
      </w:pPr>
      <w:r>
        <w:rPr>
          <w:color w:val="231F20"/>
        </w:rPr>
        <w:t>Na zpracování zadávacích podmínek se podílela společnost OK Group a. s., IČO: 25561804,</w:t>
      </w:r>
      <w:r>
        <w:rPr>
          <w:color w:val="231F20"/>
          <w:spacing w:val="33"/>
        </w:rPr>
        <w:t xml:space="preserve"> </w:t>
      </w:r>
      <w:r>
        <w:rPr>
          <w:color w:val="231F20"/>
        </w:rPr>
        <w:t>se</w:t>
      </w:r>
      <w:r>
        <w:rPr>
          <w:color w:val="231F20"/>
          <w:spacing w:val="34"/>
        </w:rPr>
        <w:t xml:space="preserve"> </w:t>
      </w:r>
      <w:r>
        <w:rPr>
          <w:color w:val="231F20"/>
        </w:rPr>
        <w:t>sídlem</w:t>
      </w:r>
      <w:r>
        <w:rPr>
          <w:color w:val="231F20"/>
          <w:spacing w:val="33"/>
        </w:rPr>
        <w:t xml:space="preserve"> </w:t>
      </w:r>
      <w:r>
        <w:rPr>
          <w:color w:val="231F20"/>
        </w:rPr>
        <w:t>Mánesova</w:t>
      </w:r>
      <w:r>
        <w:rPr>
          <w:color w:val="231F20"/>
          <w:spacing w:val="35"/>
        </w:rPr>
        <w:t xml:space="preserve"> </w:t>
      </w:r>
      <w:r>
        <w:rPr>
          <w:color w:val="231F20"/>
        </w:rPr>
        <w:t>3014/16,</w:t>
      </w:r>
      <w:r>
        <w:rPr>
          <w:color w:val="231F20"/>
          <w:spacing w:val="34"/>
        </w:rPr>
        <w:t xml:space="preserve"> </w:t>
      </w:r>
      <w:r>
        <w:rPr>
          <w:color w:val="231F20"/>
        </w:rPr>
        <w:t>Královo</w:t>
      </w:r>
      <w:r>
        <w:rPr>
          <w:color w:val="231F20"/>
          <w:spacing w:val="34"/>
        </w:rPr>
        <w:t xml:space="preserve"> </w:t>
      </w:r>
      <w:r>
        <w:rPr>
          <w:color w:val="231F20"/>
        </w:rPr>
        <w:t>Pole,</w:t>
      </w:r>
      <w:r>
        <w:rPr>
          <w:color w:val="231F20"/>
          <w:spacing w:val="34"/>
        </w:rPr>
        <w:t xml:space="preserve"> </w:t>
      </w:r>
      <w:r>
        <w:rPr>
          <w:color w:val="231F20"/>
        </w:rPr>
        <w:t>612</w:t>
      </w:r>
      <w:r>
        <w:rPr>
          <w:color w:val="231F20"/>
          <w:spacing w:val="33"/>
        </w:rPr>
        <w:t xml:space="preserve"> </w:t>
      </w:r>
      <w:r>
        <w:rPr>
          <w:color w:val="231F20"/>
        </w:rPr>
        <w:t>00</w:t>
      </w:r>
      <w:r>
        <w:rPr>
          <w:color w:val="231F20"/>
          <w:spacing w:val="34"/>
        </w:rPr>
        <w:t xml:space="preserve"> </w:t>
      </w:r>
      <w:r>
        <w:rPr>
          <w:color w:val="231F20"/>
        </w:rPr>
        <w:t>Brno</w:t>
      </w:r>
      <w:r>
        <w:rPr>
          <w:color w:val="231F20"/>
          <w:spacing w:val="37"/>
        </w:rPr>
        <w:t xml:space="preserve"> </w:t>
      </w:r>
      <w:r>
        <w:rPr>
          <w:color w:val="231F20"/>
        </w:rPr>
        <w:t>(dále</w:t>
      </w:r>
      <w:r>
        <w:rPr>
          <w:color w:val="231F20"/>
          <w:spacing w:val="34"/>
        </w:rPr>
        <w:t xml:space="preserve"> </w:t>
      </w:r>
      <w:r>
        <w:rPr>
          <w:color w:val="231F20"/>
        </w:rPr>
        <w:t>jen</w:t>
      </w:r>
    </w:p>
    <w:p w14:paraId="7D79AB79" w14:textId="77777777" w:rsidR="00F65BCA" w:rsidRDefault="00216117">
      <w:pPr>
        <w:pStyle w:val="Nadpis3"/>
        <w:spacing w:before="0"/>
        <w:jc w:val="left"/>
      </w:pPr>
      <w:r>
        <w:rPr>
          <w:color w:val="231F20"/>
        </w:rPr>
        <w:t>„Samostatný zprostředkovatel“), a to konkrétně vypracováním následujících částí ZD:</w:t>
      </w:r>
    </w:p>
    <w:p w14:paraId="3FB4389E" w14:textId="77777777" w:rsidR="00F65BCA" w:rsidRDefault="00216117">
      <w:pPr>
        <w:pStyle w:val="Nadpis3"/>
        <w:numPr>
          <w:ilvl w:val="2"/>
          <w:numId w:val="18"/>
        </w:numPr>
        <w:tabs>
          <w:tab w:val="left" w:pos="1046"/>
        </w:tabs>
        <w:ind w:hanging="361"/>
      </w:pPr>
      <w:r>
        <w:rPr>
          <w:color w:val="231F20"/>
        </w:rPr>
        <w:t>Technické podmínky pro poskytování služeb (všechny části</w:t>
      </w:r>
      <w:r>
        <w:rPr>
          <w:color w:val="231F20"/>
          <w:spacing w:val="-9"/>
        </w:rPr>
        <w:t xml:space="preserve"> </w:t>
      </w:r>
      <w:r>
        <w:rPr>
          <w:color w:val="231F20"/>
        </w:rPr>
        <w:t>VZ)</w:t>
      </w:r>
    </w:p>
    <w:p w14:paraId="7FECE262" w14:textId="77777777" w:rsidR="00F65BCA" w:rsidRDefault="00216117">
      <w:pPr>
        <w:pStyle w:val="Nadpis3"/>
        <w:numPr>
          <w:ilvl w:val="2"/>
          <w:numId w:val="18"/>
        </w:numPr>
        <w:tabs>
          <w:tab w:val="left" w:pos="1046"/>
        </w:tabs>
        <w:spacing w:before="37"/>
        <w:ind w:hanging="361"/>
      </w:pPr>
      <w:r>
        <w:rPr>
          <w:color w:val="231F20"/>
        </w:rPr>
        <w:t>Škodní průběh Zadavatele (všechny části</w:t>
      </w:r>
      <w:r>
        <w:rPr>
          <w:color w:val="231F20"/>
          <w:spacing w:val="-4"/>
        </w:rPr>
        <w:t xml:space="preserve"> </w:t>
      </w:r>
      <w:r>
        <w:rPr>
          <w:color w:val="231F20"/>
        </w:rPr>
        <w:t>VZ)</w:t>
      </w:r>
    </w:p>
    <w:p w14:paraId="3DB5B367" w14:textId="77777777" w:rsidR="00F65BCA" w:rsidRDefault="00216117">
      <w:pPr>
        <w:pStyle w:val="Nadpis3"/>
        <w:numPr>
          <w:ilvl w:val="2"/>
          <w:numId w:val="18"/>
        </w:numPr>
        <w:tabs>
          <w:tab w:val="left" w:pos="1046"/>
        </w:tabs>
        <w:spacing w:before="39"/>
        <w:ind w:hanging="361"/>
      </w:pPr>
      <w:r>
        <w:rPr>
          <w:color w:val="231F20"/>
        </w:rPr>
        <w:t>Riziková zpráva (pro část 1</w:t>
      </w:r>
      <w:r>
        <w:rPr>
          <w:color w:val="231F20"/>
          <w:spacing w:val="-5"/>
        </w:rPr>
        <w:t xml:space="preserve"> </w:t>
      </w:r>
      <w:r>
        <w:rPr>
          <w:color w:val="231F20"/>
        </w:rPr>
        <w:t>VZ)</w:t>
      </w:r>
    </w:p>
    <w:p w14:paraId="7EB03C2C" w14:textId="77777777" w:rsidR="00F65BCA" w:rsidRDefault="00F65BCA">
      <w:pPr>
        <w:pStyle w:val="Zkladntext"/>
        <w:spacing w:before="2"/>
        <w:rPr>
          <w:sz w:val="24"/>
        </w:rPr>
      </w:pPr>
    </w:p>
    <w:p w14:paraId="4A01684F" w14:textId="77777777" w:rsidR="00F65BCA" w:rsidRDefault="00216117">
      <w:pPr>
        <w:pStyle w:val="Nadpis1"/>
        <w:numPr>
          <w:ilvl w:val="0"/>
          <w:numId w:val="18"/>
        </w:numPr>
        <w:tabs>
          <w:tab w:val="left" w:pos="685"/>
          <w:tab w:val="left" w:pos="686"/>
        </w:tabs>
        <w:ind w:hanging="569"/>
      </w:pPr>
      <w:bookmarkStart w:id="2" w:name="_TOC_250021"/>
      <w:r>
        <w:rPr>
          <w:color w:val="231F20"/>
        </w:rPr>
        <w:t>Předmět veřejné</w:t>
      </w:r>
      <w:r>
        <w:rPr>
          <w:color w:val="231F20"/>
          <w:spacing w:val="-2"/>
        </w:rPr>
        <w:t xml:space="preserve"> </w:t>
      </w:r>
      <w:bookmarkEnd w:id="2"/>
      <w:r>
        <w:rPr>
          <w:color w:val="231F20"/>
        </w:rPr>
        <w:t>zakázky</w:t>
      </w:r>
    </w:p>
    <w:p w14:paraId="330B7026" w14:textId="77777777" w:rsidR="00F65BCA" w:rsidRDefault="00216117">
      <w:pPr>
        <w:pStyle w:val="Nadpis3"/>
        <w:numPr>
          <w:ilvl w:val="1"/>
          <w:numId w:val="18"/>
        </w:numPr>
        <w:tabs>
          <w:tab w:val="left" w:pos="685"/>
          <w:tab w:val="left" w:pos="686"/>
        </w:tabs>
        <w:spacing w:before="119"/>
        <w:ind w:hanging="569"/>
      </w:pPr>
      <w:r>
        <w:rPr>
          <w:color w:val="231F20"/>
        </w:rPr>
        <w:t>Předmětem plnění veřejné zakázky je pojištění dle jednotlivých níže uvedených částí</w:t>
      </w:r>
      <w:r>
        <w:rPr>
          <w:color w:val="231F20"/>
          <w:spacing w:val="24"/>
        </w:rPr>
        <w:t xml:space="preserve"> </w:t>
      </w:r>
      <w:r>
        <w:rPr>
          <w:color w:val="231F20"/>
        </w:rPr>
        <w:t>VZ</w:t>
      </w:r>
    </w:p>
    <w:p w14:paraId="58DA264A" w14:textId="77777777" w:rsidR="00F65BCA" w:rsidRDefault="00216117">
      <w:pPr>
        <w:pStyle w:val="Nadpis3"/>
        <w:spacing w:before="39"/>
        <w:jc w:val="left"/>
      </w:pPr>
      <w:r>
        <w:rPr>
          <w:color w:val="231F20"/>
        </w:rPr>
        <w:t>v rozsahu a za podmínek stanovených v této ZD včetně jejích příloh.</w:t>
      </w:r>
    </w:p>
    <w:p w14:paraId="43FBBF79" w14:textId="77777777" w:rsidR="00F65BCA" w:rsidRDefault="00216117">
      <w:pPr>
        <w:pStyle w:val="Nadpis3"/>
        <w:numPr>
          <w:ilvl w:val="1"/>
          <w:numId w:val="18"/>
        </w:numPr>
        <w:tabs>
          <w:tab w:val="left" w:pos="685"/>
          <w:tab w:val="left" w:pos="686"/>
        </w:tabs>
        <w:spacing w:before="157"/>
        <w:ind w:hanging="569"/>
      </w:pPr>
      <w:r>
        <w:rPr>
          <w:color w:val="231F20"/>
        </w:rPr>
        <w:t>Veřejná zakázka je ve smyslu ust. § 35 ZZVZ rozdělena na čtyři (4) samostatné části</w:t>
      </w:r>
      <w:r>
        <w:rPr>
          <w:color w:val="231F20"/>
          <w:spacing w:val="-33"/>
        </w:rPr>
        <w:t xml:space="preserve"> </w:t>
      </w:r>
      <w:r>
        <w:rPr>
          <w:color w:val="231F20"/>
        </w:rPr>
        <w:t>tj.:</w:t>
      </w:r>
    </w:p>
    <w:p w14:paraId="2BED4F96" w14:textId="77777777" w:rsidR="00F65BCA" w:rsidRDefault="00216117">
      <w:pPr>
        <w:pStyle w:val="Nadpis3"/>
        <w:numPr>
          <w:ilvl w:val="2"/>
          <w:numId w:val="18"/>
        </w:numPr>
        <w:tabs>
          <w:tab w:val="left" w:pos="1046"/>
        </w:tabs>
        <w:spacing w:before="158" w:line="276" w:lineRule="auto"/>
        <w:ind w:right="114"/>
      </w:pPr>
      <w:r>
        <w:rPr>
          <w:color w:val="231F20"/>
        </w:rPr>
        <w:t>část</w:t>
      </w:r>
      <w:r>
        <w:rPr>
          <w:color w:val="231F20"/>
          <w:spacing w:val="-11"/>
        </w:rPr>
        <w:t xml:space="preserve"> </w:t>
      </w:r>
      <w:r>
        <w:rPr>
          <w:color w:val="231F20"/>
        </w:rPr>
        <w:t>1</w:t>
      </w:r>
      <w:r>
        <w:rPr>
          <w:color w:val="231F20"/>
          <w:spacing w:val="-10"/>
        </w:rPr>
        <w:t xml:space="preserve"> </w:t>
      </w:r>
      <w:r>
        <w:rPr>
          <w:color w:val="231F20"/>
        </w:rPr>
        <w:t>VZ</w:t>
      </w:r>
      <w:r>
        <w:rPr>
          <w:color w:val="231F20"/>
          <w:spacing w:val="-10"/>
        </w:rPr>
        <w:t xml:space="preserve"> </w:t>
      </w:r>
      <w:r>
        <w:rPr>
          <w:color w:val="231F20"/>
        </w:rPr>
        <w:t>–</w:t>
      </w:r>
      <w:r>
        <w:rPr>
          <w:color w:val="231F20"/>
          <w:spacing w:val="-11"/>
        </w:rPr>
        <w:t xml:space="preserve"> </w:t>
      </w:r>
      <w:r>
        <w:rPr>
          <w:color w:val="231F20"/>
        </w:rPr>
        <w:t>Pojištění</w:t>
      </w:r>
      <w:r>
        <w:rPr>
          <w:color w:val="231F20"/>
          <w:spacing w:val="-10"/>
        </w:rPr>
        <w:t xml:space="preserve"> </w:t>
      </w:r>
      <w:r>
        <w:rPr>
          <w:color w:val="231F20"/>
        </w:rPr>
        <w:t>majetku</w:t>
      </w:r>
      <w:r>
        <w:rPr>
          <w:color w:val="231F20"/>
          <w:spacing w:val="-10"/>
        </w:rPr>
        <w:t xml:space="preserve"> </w:t>
      </w:r>
      <w:r>
        <w:rPr>
          <w:color w:val="231F20"/>
        </w:rPr>
        <w:t>a</w:t>
      </w:r>
      <w:r>
        <w:rPr>
          <w:color w:val="231F20"/>
          <w:spacing w:val="-10"/>
        </w:rPr>
        <w:t xml:space="preserve"> </w:t>
      </w:r>
      <w:r>
        <w:rPr>
          <w:color w:val="231F20"/>
        </w:rPr>
        <w:t>odpovědnosti</w:t>
      </w:r>
      <w:r>
        <w:rPr>
          <w:color w:val="231F20"/>
          <w:spacing w:val="-7"/>
        </w:rPr>
        <w:t xml:space="preserve"> </w:t>
      </w:r>
      <w:r>
        <w:rPr>
          <w:color w:val="231F20"/>
        </w:rPr>
        <w:t>–</w:t>
      </w:r>
      <w:r>
        <w:rPr>
          <w:color w:val="231F20"/>
          <w:spacing w:val="-11"/>
        </w:rPr>
        <w:t xml:space="preserve"> </w:t>
      </w:r>
      <w:r>
        <w:rPr>
          <w:color w:val="231F20"/>
        </w:rPr>
        <w:t>tj.</w:t>
      </w:r>
      <w:r>
        <w:rPr>
          <w:color w:val="231F20"/>
          <w:spacing w:val="-11"/>
        </w:rPr>
        <w:t xml:space="preserve"> </w:t>
      </w:r>
      <w:r>
        <w:rPr>
          <w:color w:val="231F20"/>
        </w:rPr>
        <w:t>pojištění</w:t>
      </w:r>
      <w:r>
        <w:rPr>
          <w:color w:val="231F20"/>
          <w:spacing w:val="-10"/>
        </w:rPr>
        <w:t xml:space="preserve"> </w:t>
      </w:r>
      <w:r>
        <w:rPr>
          <w:color w:val="231F20"/>
        </w:rPr>
        <w:t>majetku</w:t>
      </w:r>
      <w:r>
        <w:rPr>
          <w:color w:val="231F20"/>
          <w:spacing w:val="-10"/>
        </w:rPr>
        <w:t xml:space="preserve"> </w:t>
      </w:r>
      <w:r>
        <w:rPr>
          <w:color w:val="231F20"/>
        </w:rPr>
        <w:t>a</w:t>
      </w:r>
      <w:r>
        <w:rPr>
          <w:color w:val="231F20"/>
          <w:spacing w:val="-1"/>
        </w:rPr>
        <w:t xml:space="preserve"> </w:t>
      </w:r>
      <w:r>
        <w:rPr>
          <w:color w:val="231F20"/>
        </w:rPr>
        <w:t>odpovědnosti</w:t>
      </w:r>
      <w:r>
        <w:rPr>
          <w:color w:val="231F20"/>
          <w:spacing w:val="-12"/>
        </w:rPr>
        <w:t xml:space="preserve"> </w:t>
      </w:r>
      <w:r>
        <w:rPr>
          <w:color w:val="231F20"/>
        </w:rPr>
        <w:t>za újmu způsobenou Zadavatelem,</w:t>
      </w:r>
    </w:p>
    <w:p w14:paraId="4A130409" w14:textId="77777777" w:rsidR="00F65BCA" w:rsidRDefault="00216117">
      <w:pPr>
        <w:pStyle w:val="Nadpis3"/>
        <w:numPr>
          <w:ilvl w:val="2"/>
          <w:numId w:val="18"/>
        </w:numPr>
        <w:tabs>
          <w:tab w:val="left" w:pos="1046"/>
        </w:tabs>
        <w:spacing w:before="0"/>
        <w:ind w:hanging="361"/>
      </w:pPr>
      <w:r>
        <w:rPr>
          <w:color w:val="231F20"/>
        </w:rPr>
        <w:t>část</w:t>
      </w:r>
      <w:r>
        <w:rPr>
          <w:color w:val="231F20"/>
          <w:spacing w:val="19"/>
        </w:rPr>
        <w:t xml:space="preserve"> </w:t>
      </w:r>
      <w:r>
        <w:rPr>
          <w:color w:val="231F20"/>
        </w:rPr>
        <w:t>2</w:t>
      </w:r>
      <w:r>
        <w:rPr>
          <w:color w:val="231F20"/>
          <w:spacing w:val="20"/>
        </w:rPr>
        <w:t xml:space="preserve"> </w:t>
      </w:r>
      <w:r>
        <w:rPr>
          <w:color w:val="231F20"/>
        </w:rPr>
        <w:t>VZ</w:t>
      </w:r>
      <w:r>
        <w:rPr>
          <w:color w:val="231F20"/>
          <w:spacing w:val="20"/>
        </w:rPr>
        <w:t xml:space="preserve"> </w:t>
      </w:r>
      <w:r>
        <w:rPr>
          <w:color w:val="231F20"/>
        </w:rPr>
        <w:t>–</w:t>
      </w:r>
      <w:r>
        <w:rPr>
          <w:color w:val="231F20"/>
          <w:spacing w:val="20"/>
        </w:rPr>
        <w:t xml:space="preserve"> </w:t>
      </w:r>
      <w:r>
        <w:rPr>
          <w:color w:val="231F20"/>
        </w:rPr>
        <w:t>Pojištění</w:t>
      </w:r>
      <w:r>
        <w:rPr>
          <w:color w:val="231F20"/>
          <w:spacing w:val="20"/>
        </w:rPr>
        <w:t xml:space="preserve"> </w:t>
      </w:r>
      <w:r>
        <w:rPr>
          <w:color w:val="231F20"/>
        </w:rPr>
        <w:t>vozidel</w:t>
      </w:r>
      <w:r>
        <w:rPr>
          <w:color w:val="231F20"/>
          <w:spacing w:val="21"/>
        </w:rPr>
        <w:t xml:space="preserve"> </w:t>
      </w:r>
      <w:r>
        <w:rPr>
          <w:color w:val="231F20"/>
        </w:rPr>
        <w:t>–</w:t>
      </w:r>
      <w:r>
        <w:rPr>
          <w:color w:val="231F20"/>
          <w:spacing w:val="20"/>
        </w:rPr>
        <w:t xml:space="preserve"> </w:t>
      </w:r>
      <w:r>
        <w:rPr>
          <w:color w:val="231F20"/>
        </w:rPr>
        <w:t>tj.</w:t>
      </w:r>
      <w:r>
        <w:rPr>
          <w:color w:val="231F20"/>
          <w:spacing w:val="19"/>
        </w:rPr>
        <w:t xml:space="preserve"> </w:t>
      </w:r>
      <w:r>
        <w:rPr>
          <w:color w:val="231F20"/>
        </w:rPr>
        <w:t>pojištění</w:t>
      </w:r>
      <w:r>
        <w:rPr>
          <w:color w:val="231F20"/>
          <w:spacing w:val="19"/>
        </w:rPr>
        <w:t xml:space="preserve"> </w:t>
      </w:r>
      <w:r>
        <w:rPr>
          <w:color w:val="231F20"/>
        </w:rPr>
        <w:t>(povinné</w:t>
      </w:r>
      <w:r>
        <w:rPr>
          <w:color w:val="231F20"/>
          <w:spacing w:val="20"/>
        </w:rPr>
        <w:t xml:space="preserve"> </w:t>
      </w:r>
      <w:r>
        <w:rPr>
          <w:color w:val="231F20"/>
        </w:rPr>
        <w:t>ručení</w:t>
      </w:r>
      <w:r>
        <w:rPr>
          <w:color w:val="231F20"/>
          <w:spacing w:val="19"/>
        </w:rPr>
        <w:t xml:space="preserve"> </w:t>
      </w:r>
      <w:r>
        <w:rPr>
          <w:color w:val="231F20"/>
        </w:rPr>
        <w:t>a</w:t>
      </w:r>
      <w:r>
        <w:rPr>
          <w:color w:val="231F20"/>
          <w:spacing w:val="20"/>
        </w:rPr>
        <w:t xml:space="preserve"> </w:t>
      </w:r>
      <w:r>
        <w:rPr>
          <w:color w:val="231F20"/>
        </w:rPr>
        <w:t>havarijní)</w:t>
      </w:r>
      <w:r>
        <w:rPr>
          <w:color w:val="231F20"/>
          <w:spacing w:val="22"/>
        </w:rPr>
        <w:t xml:space="preserve"> </w:t>
      </w:r>
      <w:r>
        <w:rPr>
          <w:color w:val="231F20"/>
        </w:rPr>
        <w:t>motorových</w:t>
      </w:r>
    </w:p>
    <w:p w14:paraId="568E9F3D" w14:textId="77777777" w:rsidR="00F65BCA" w:rsidRDefault="00216117">
      <w:pPr>
        <w:pStyle w:val="Nadpis3"/>
        <w:spacing w:before="38"/>
        <w:ind w:left="1045"/>
        <w:jc w:val="left"/>
      </w:pPr>
      <w:r>
        <w:rPr>
          <w:color w:val="231F20"/>
        </w:rPr>
        <w:t>vozidel ve vlastnictví Zadavatele</w:t>
      </w:r>
    </w:p>
    <w:p w14:paraId="387FDC6C" w14:textId="77777777" w:rsidR="00F65BCA" w:rsidRDefault="00216117">
      <w:pPr>
        <w:pStyle w:val="Nadpis3"/>
        <w:numPr>
          <w:ilvl w:val="2"/>
          <w:numId w:val="18"/>
        </w:numPr>
        <w:tabs>
          <w:tab w:val="left" w:pos="1046"/>
        </w:tabs>
        <w:spacing w:before="37"/>
        <w:ind w:hanging="361"/>
      </w:pPr>
      <w:r>
        <w:rPr>
          <w:color w:val="231F20"/>
        </w:rPr>
        <w:t>část 3 VZ – Cestovní</w:t>
      </w:r>
      <w:r>
        <w:rPr>
          <w:color w:val="231F20"/>
          <w:spacing w:val="-2"/>
        </w:rPr>
        <w:t xml:space="preserve"> </w:t>
      </w:r>
      <w:r>
        <w:rPr>
          <w:color w:val="231F20"/>
        </w:rPr>
        <w:t>pojištění,</w:t>
      </w:r>
    </w:p>
    <w:p w14:paraId="1C37FF57" w14:textId="77777777" w:rsidR="00F65BCA" w:rsidRDefault="00216117">
      <w:pPr>
        <w:pStyle w:val="Nadpis3"/>
        <w:numPr>
          <w:ilvl w:val="2"/>
          <w:numId w:val="18"/>
        </w:numPr>
        <w:tabs>
          <w:tab w:val="left" w:pos="1046"/>
        </w:tabs>
        <w:spacing w:before="38"/>
        <w:ind w:hanging="361"/>
      </w:pPr>
      <w:r>
        <w:rPr>
          <w:color w:val="231F20"/>
        </w:rPr>
        <w:t>část</w:t>
      </w:r>
      <w:r>
        <w:rPr>
          <w:color w:val="231F20"/>
          <w:spacing w:val="-13"/>
        </w:rPr>
        <w:t xml:space="preserve"> </w:t>
      </w:r>
      <w:r>
        <w:rPr>
          <w:color w:val="231F20"/>
        </w:rPr>
        <w:t>4</w:t>
      </w:r>
      <w:r>
        <w:rPr>
          <w:color w:val="231F20"/>
          <w:spacing w:val="-14"/>
        </w:rPr>
        <w:t xml:space="preserve"> </w:t>
      </w:r>
      <w:r>
        <w:rPr>
          <w:color w:val="231F20"/>
        </w:rPr>
        <w:t>VZ</w:t>
      </w:r>
      <w:r>
        <w:rPr>
          <w:color w:val="231F20"/>
          <w:spacing w:val="-13"/>
        </w:rPr>
        <w:t xml:space="preserve"> </w:t>
      </w:r>
      <w:r>
        <w:rPr>
          <w:color w:val="231F20"/>
        </w:rPr>
        <w:t>–</w:t>
      </w:r>
      <w:r>
        <w:rPr>
          <w:color w:val="231F20"/>
          <w:spacing w:val="-15"/>
        </w:rPr>
        <w:t xml:space="preserve"> </w:t>
      </w:r>
      <w:r>
        <w:rPr>
          <w:color w:val="231F20"/>
        </w:rPr>
        <w:t>Pojištění</w:t>
      </w:r>
      <w:r>
        <w:rPr>
          <w:color w:val="231F20"/>
          <w:spacing w:val="-14"/>
        </w:rPr>
        <w:t xml:space="preserve"> </w:t>
      </w:r>
      <w:r>
        <w:rPr>
          <w:color w:val="231F20"/>
        </w:rPr>
        <w:t>dronů</w:t>
      </w:r>
      <w:r>
        <w:rPr>
          <w:color w:val="231F20"/>
          <w:spacing w:val="-13"/>
        </w:rPr>
        <w:t xml:space="preserve"> </w:t>
      </w:r>
      <w:r>
        <w:rPr>
          <w:color w:val="231F20"/>
        </w:rPr>
        <w:t>–</w:t>
      </w:r>
      <w:r>
        <w:rPr>
          <w:color w:val="231F20"/>
          <w:spacing w:val="-12"/>
        </w:rPr>
        <w:t xml:space="preserve"> </w:t>
      </w:r>
      <w:r>
        <w:rPr>
          <w:color w:val="231F20"/>
        </w:rPr>
        <w:t>tj.</w:t>
      </w:r>
      <w:r>
        <w:rPr>
          <w:color w:val="231F20"/>
          <w:spacing w:val="-13"/>
        </w:rPr>
        <w:t xml:space="preserve"> </w:t>
      </w:r>
      <w:r>
        <w:rPr>
          <w:color w:val="231F20"/>
        </w:rPr>
        <w:t>pojištění</w:t>
      </w:r>
      <w:r>
        <w:rPr>
          <w:color w:val="231F20"/>
          <w:spacing w:val="-14"/>
        </w:rPr>
        <w:t xml:space="preserve"> </w:t>
      </w:r>
      <w:r>
        <w:rPr>
          <w:color w:val="231F20"/>
        </w:rPr>
        <w:t>odpovědnosti</w:t>
      </w:r>
      <w:r>
        <w:rPr>
          <w:color w:val="231F20"/>
          <w:spacing w:val="-14"/>
        </w:rPr>
        <w:t xml:space="preserve"> </w:t>
      </w:r>
      <w:r>
        <w:rPr>
          <w:color w:val="231F20"/>
        </w:rPr>
        <w:t>za</w:t>
      </w:r>
      <w:r>
        <w:rPr>
          <w:color w:val="231F20"/>
          <w:spacing w:val="-15"/>
        </w:rPr>
        <w:t xml:space="preserve"> </w:t>
      </w:r>
      <w:r>
        <w:rPr>
          <w:color w:val="231F20"/>
        </w:rPr>
        <w:t>újmu</w:t>
      </w:r>
      <w:r>
        <w:rPr>
          <w:color w:val="231F20"/>
          <w:spacing w:val="-14"/>
        </w:rPr>
        <w:t xml:space="preserve"> </w:t>
      </w:r>
      <w:r>
        <w:rPr>
          <w:color w:val="231F20"/>
        </w:rPr>
        <w:t>způsobenou</w:t>
      </w:r>
      <w:r>
        <w:rPr>
          <w:color w:val="231F20"/>
          <w:spacing w:val="-13"/>
        </w:rPr>
        <w:t xml:space="preserve"> </w:t>
      </w:r>
      <w:r>
        <w:rPr>
          <w:color w:val="231F20"/>
        </w:rPr>
        <w:t>provozem</w:t>
      </w:r>
    </w:p>
    <w:p w14:paraId="2B4B79DC" w14:textId="77777777" w:rsidR="00F65BCA" w:rsidRDefault="00216117">
      <w:pPr>
        <w:pStyle w:val="Nadpis3"/>
        <w:spacing w:before="38"/>
        <w:ind w:left="1045"/>
        <w:jc w:val="left"/>
      </w:pPr>
      <w:r>
        <w:rPr>
          <w:color w:val="231F20"/>
        </w:rPr>
        <w:t>letadla - dronu</w:t>
      </w:r>
    </w:p>
    <w:p w14:paraId="098EAAD1" w14:textId="77777777" w:rsidR="00F65BCA" w:rsidRDefault="00216117">
      <w:pPr>
        <w:pStyle w:val="Nadpis3"/>
        <w:numPr>
          <w:ilvl w:val="1"/>
          <w:numId w:val="18"/>
        </w:numPr>
        <w:tabs>
          <w:tab w:val="left" w:pos="686"/>
        </w:tabs>
        <w:spacing w:before="158" w:line="276" w:lineRule="auto"/>
        <w:ind w:right="113"/>
        <w:jc w:val="both"/>
      </w:pPr>
      <w:r>
        <w:rPr>
          <w:color w:val="231F20"/>
        </w:rPr>
        <w:t>Plnění</w:t>
      </w:r>
      <w:r>
        <w:rPr>
          <w:color w:val="231F20"/>
          <w:spacing w:val="-6"/>
        </w:rPr>
        <w:t xml:space="preserve"> </w:t>
      </w:r>
      <w:r>
        <w:rPr>
          <w:color w:val="231F20"/>
        </w:rPr>
        <w:t>jednotlivých</w:t>
      </w:r>
      <w:r>
        <w:rPr>
          <w:color w:val="231F20"/>
          <w:spacing w:val="-5"/>
        </w:rPr>
        <w:t xml:space="preserve"> </w:t>
      </w:r>
      <w:r>
        <w:rPr>
          <w:color w:val="231F20"/>
        </w:rPr>
        <w:t>částí</w:t>
      </w:r>
      <w:r>
        <w:rPr>
          <w:color w:val="231F20"/>
          <w:spacing w:val="-7"/>
        </w:rPr>
        <w:t xml:space="preserve"> </w:t>
      </w:r>
      <w:r>
        <w:rPr>
          <w:color w:val="231F20"/>
        </w:rPr>
        <w:t>veřejné</w:t>
      </w:r>
      <w:r>
        <w:rPr>
          <w:color w:val="231F20"/>
          <w:spacing w:val="-5"/>
        </w:rPr>
        <w:t xml:space="preserve"> </w:t>
      </w:r>
      <w:r>
        <w:rPr>
          <w:color w:val="231F20"/>
        </w:rPr>
        <w:t>zakázky</w:t>
      </w:r>
      <w:r>
        <w:rPr>
          <w:color w:val="231F20"/>
          <w:spacing w:val="-5"/>
        </w:rPr>
        <w:t xml:space="preserve"> </w:t>
      </w:r>
      <w:r>
        <w:rPr>
          <w:color w:val="231F20"/>
        </w:rPr>
        <w:t>nejsou</w:t>
      </w:r>
      <w:r>
        <w:rPr>
          <w:color w:val="231F20"/>
          <w:spacing w:val="-7"/>
        </w:rPr>
        <w:t xml:space="preserve"> </w:t>
      </w:r>
      <w:r>
        <w:rPr>
          <w:color w:val="231F20"/>
        </w:rPr>
        <w:t>na</w:t>
      </w:r>
      <w:r>
        <w:rPr>
          <w:color w:val="231F20"/>
          <w:spacing w:val="-5"/>
        </w:rPr>
        <w:t xml:space="preserve"> </w:t>
      </w:r>
      <w:r>
        <w:rPr>
          <w:color w:val="231F20"/>
        </w:rPr>
        <w:t>sobě</w:t>
      </w:r>
      <w:r>
        <w:rPr>
          <w:color w:val="231F20"/>
          <w:spacing w:val="-6"/>
        </w:rPr>
        <w:t xml:space="preserve"> </w:t>
      </w:r>
      <w:r>
        <w:rPr>
          <w:color w:val="231F20"/>
        </w:rPr>
        <w:t>závislá</w:t>
      </w:r>
      <w:r>
        <w:rPr>
          <w:color w:val="231F20"/>
          <w:spacing w:val="-5"/>
        </w:rPr>
        <w:t xml:space="preserve"> </w:t>
      </w:r>
      <w:r>
        <w:rPr>
          <w:color w:val="231F20"/>
        </w:rPr>
        <w:t>ani</w:t>
      </w:r>
      <w:r>
        <w:rPr>
          <w:color w:val="231F20"/>
          <w:spacing w:val="-5"/>
        </w:rPr>
        <w:t xml:space="preserve"> </w:t>
      </w:r>
      <w:r>
        <w:rPr>
          <w:color w:val="231F20"/>
        </w:rPr>
        <w:t>na</w:t>
      </w:r>
      <w:r>
        <w:rPr>
          <w:color w:val="231F20"/>
          <w:spacing w:val="-5"/>
        </w:rPr>
        <w:t xml:space="preserve"> </w:t>
      </w:r>
      <w:r>
        <w:rPr>
          <w:color w:val="231F20"/>
        </w:rPr>
        <w:t>sebe</w:t>
      </w:r>
      <w:r>
        <w:rPr>
          <w:color w:val="231F20"/>
          <w:spacing w:val="-5"/>
        </w:rPr>
        <w:t xml:space="preserve"> </w:t>
      </w:r>
      <w:r>
        <w:rPr>
          <w:color w:val="231F20"/>
        </w:rPr>
        <w:t>nenavazují, každá část veřejné zakázky může být plněna</w:t>
      </w:r>
      <w:r>
        <w:rPr>
          <w:color w:val="231F20"/>
          <w:spacing w:val="-6"/>
        </w:rPr>
        <w:t xml:space="preserve"> </w:t>
      </w:r>
      <w:r>
        <w:rPr>
          <w:color w:val="231F20"/>
        </w:rPr>
        <w:t>samostatně.</w:t>
      </w:r>
    </w:p>
    <w:p w14:paraId="413BC8C0" w14:textId="77777777" w:rsidR="00F65BCA" w:rsidRDefault="00216117">
      <w:pPr>
        <w:pStyle w:val="Nadpis3"/>
        <w:numPr>
          <w:ilvl w:val="1"/>
          <w:numId w:val="18"/>
        </w:numPr>
        <w:tabs>
          <w:tab w:val="left" w:pos="685"/>
          <w:tab w:val="left" w:pos="686"/>
        </w:tabs>
        <w:ind w:hanging="569"/>
      </w:pPr>
      <w:r>
        <w:rPr>
          <w:color w:val="231F20"/>
        </w:rPr>
        <w:t>Dodavatel může podat svoji nabídku na libovolný počet částí veřejné</w:t>
      </w:r>
      <w:r>
        <w:rPr>
          <w:color w:val="231F20"/>
          <w:spacing w:val="-11"/>
        </w:rPr>
        <w:t xml:space="preserve"> </w:t>
      </w:r>
      <w:r>
        <w:rPr>
          <w:color w:val="231F20"/>
        </w:rPr>
        <w:t>zakázky.</w:t>
      </w:r>
    </w:p>
    <w:p w14:paraId="2D9149C3" w14:textId="77777777" w:rsidR="00F65BCA" w:rsidRDefault="00216117">
      <w:pPr>
        <w:pStyle w:val="Nadpis3"/>
        <w:numPr>
          <w:ilvl w:val="1"/>
          <w:numId w:val="18"/>
        </w:numPr>
        <w:tabs>
          <w:tab w:val="left" w:pos="686"/>
        </w:tabs>
        <w:spacing w:before="157" w:line="276" w:lineRule="auto"/>
        <w:ind w:right="113"/>
        <w:jc w:val="both"/>
      </w:pPr>
      <w:r>
        <w:rPr>
          <w:color w:val="231F20"/>
        </w:rPr>
        <w:t>Pojišťovaný majetek se nachází zpravidla na území České republiky (zejména Plzeň, Cheb, Hrad Nečtiny). Mezi pojišťovaný majetek patří i majetek, který není ve vlastnictví Zadavatele,  ale  Zadavatel  jej  užívá  (např.  na  základě  nájemní  smlouvy,  smlouvy  o</w:t>
      </w:r>
      <w:r>
        <w:rPr>
          <w:color w:val="231F20"/>
          <w:spacing w:val="-1"/>
        </w:rPr>
        <w:t xml:space="preserve"> </w:t>
      </w:r>
      <w:r>
        <w:rPr>
          <w:color w:val="231F20"/>
        </w:rPr>
        <w:t>výpůjčce).</w:t>
      </w:r>
    </w:p>
    <w:p w14:paraId="39C799C7" w14:textId="77777777" w:rsidR="00F65BCA" w:rsidRDefault="00216117">
      <w:pPr>
        <w:pStyle w:val="Nadpis3"/>
        <w:numPr>
          <w:ilvl w:val="1"/>
          <w:numId w:val="18"/>
        </w:numPr>
        <w:tabs>
          <w:tab w:val="left" w:pos="686"/>
        </w:tabs>
        <w:ind w:hanging="569"/>
        <w:jc w:val="both"/>
      </w:pPr>
      <w:r>
        <w:rPr>
          <w:color w:val="231F20"/>
        </w:rPr>
        <w:t>Cestovní pojištění bude sjednáno bez územního</w:t>
      </w:r>
      <w:r>
        <w:rPr>
          <w:color w:val="231F20"/>
          <w:spacing w:val="-6"/>
        </w:rPr>
        <w:t xml:space="preserve"> </w:t>
      </w:r>
      <w:r>
        <w:rPr>
          <w:color w:val="231F20"/>
        </w:rPr>
        <w:t>omezení.</w:t>
      </w:r>
    </w:p>
    <w:p w14:paraId="39633C43" w14:textId="77777777" w:rsidR="00F65BCA" w:rsidRDefault="00F65BCA">
      <w:pPr>
        <w:pStyle w:val="Zkladntext"/>
        <w:rPr>
          <w:sz w:val="20"/>
        </w:rPr>
      </w:pPr>
    </w:p>
    <w:p w14:paraId="2F0BAF6E" w14:textId="77777777" w:rsidR="00F65BCA" w:rsidRDefault="00F65BCA">
      <w:pPr>
        <w:pStyle w:val="Zkladntext"/>
        <w:rPr>
          <w:sz w:val="20"/>
        </w:rPr>
      </w:pPr>
    </w:p>
    <w:p w14:paraId="6E55E7AC" w14:textId="77777777" w:rsidR="00F65BCA" w:rsidRDefault="00F65BCA">
      <w:pPr>
        <w:pStyle w:val="Zkladntext"/>
        <w:spacing w:before="4"/>
        <w:rPr>
          <w:sz w:val="16"/>
        </w:rPr>
      </w:pPr>
    </w:p>
    <w:p w14:paraId="70A5B415" w14:textId="77777777" w:rsidR="00F65BCA" w:rsidRDefault="00216117">
      <w:pPr>
        <w:spacing w:before="95"/>
        <w:ind w:left="1459" w:right="1033"/>
        <w:jc w:val="center"/>
        <w:rPr>
          <w:sz w:val="16"/>
        </w:rPr>
      </w:pPr>
      <w:r>
        <w:rPr>
          <w:color w:val="231F20"/>
          <w:sz w:val="16"/>
        </w:rPr>
        <w:t>Stránka 2 z 15</w:t>
      </w:r>
    </w:p>
    <w:p w14:paraId="1FFA7A8C" w14:textId="77777777" w:rsidR="00F65BCA" w:rsidRDefault="00F65BCA">
      <w:pPr>
        <w:jc w:val="center"/>
        <w:rPr>
          <w:sz w:val="16"/>
        </w:rPr>
        <w:sectPr w:rsidR="00F65BCA">
          <w:pgSz w:w="11900" w:h="16840"/>
          <w:pgMar w:top="1060" w:right="1160" w:bottom="280" w:left="1300" w:header="708" w:footer="708" w:gutter="0"/>
          <w:cols w:space="708"/>
        </w:sectPr>
      </w:pPr>
    </w:p>
    <w:p w14:paraId="673C1C82" w14:textId="77777777" w:rsidR="00F65BCA" w:rsidRDefault="00216117">
      <w:pPr>
        <w:pStyle w:val="Nadpis3"/>
        <w:numPr>
          <w:ilvl w:val="1"/>
          <w:numId w:val="18"/>
        </w:numPr>
        <w:tabs>
          <w:tab w:val="left" w:pos="685"/>
          <w:tab w:val="left" w:pos="686"/>
        </w:tabs>
        <w:spacing w:before="78"/>
        <w:ind w:hanging="569"/>
      </w:pPr>
      <w:r>
        <w:rPr>
          <w:color w:val="231F20"/>
        </w:rPr>
        <w:lastRenderedPageBreak/>
        <w:t>Klasifikace předmětu dle</w:t>
      </w:r>
      <w:r>
        <w:rPr>
          <w:color w:val="231F20"/>
          <w:spacing w:val="-3"/>
        </w:rPr>
        <w:t xml:space="preserve"> </w:t>
      </w:r>
      <w:r>
        <w:rPr>
          <w:color w:val="231F20"/>
        </w:rPr>
        <w:t>CPV:</w:t>
      </w:r>
    </w:p>
    <w:p w14:paraId="081E844B" w14:textId="77777777" w:rsidR="00F65BCA" w:rsidRDefault="00216117">
      <w:pPr>
        <w:pStyle w:val="Nadpis3"/>
        <w:numPr>
          <w:ilvl w:val="2"/>
          <w:numId w:val="18"/>
        </w:numPr>
        <w:tabs>
          <w:tab w:val="left" w:pos="1046"/>
        </w:tabs>
        <w:spacing w:before="157"/>
        <w:ind w:hanging="361"/>
      </w:pPr>
      <w:r>
        <w:rPr>
          <w:color w:val="231F20"/>
        </w:rPr>
        <w:t>66510000-8</w:t>
      </w:r>
      <w:r>
        <w:rPr>
          <w:color w:val="231F20"/>
          <w:spacing w:val="-2"/>
        </w:rPr>
        <w:t xml:space="preserve"> </w:t>
      </w:r>
      <w:r>
        <w:rPr>
          <w:color w:val="231F20"/>
        </w:rPr>
        <w:t>Pojištění</w:t>
      </w:r>
    </w:p>
    <w:p w14:paraId="15C5D54A" w14:textId="77777777" w:rsidR="00F65BCA" w:rsidRDefault="00216117">
      <w:pPr>
        <w:pStyle w:val="Nadpis3"/>
        <w:numPr>
          <w:ilvl w:val="2"/>
          <w:numId w:val="18"/>
        </w:numPr>
        <w:tabs>
          <w:tab w:val="left" w:pos="1046"/>
        </w:tabs>
        <w:spacing w:before="99"/>
        <w:ind w:hanging="361"/>
      </w:pPr>
      <w:r>
        <w:rPr>
          <w:color w:val="231F20"/>
        </w:rPr>
        <w:t>66514110-0 Pojištění motorových</w:t>
      </w:r>
      <w:r>
        <w:rPr>
          <w:color w:val="231F20"/>
          <w:spacing w:val="-3"/>
        </w:rPr>
        <w:t xml:space="preserve"> </w:t>
      </w:r>
      <w:r>
        <w:rPr>
          <w:color w:val="231F20"/>
        </w:rPr>
        <w:t>vozidel</w:t>
      </w:r>
    </w:p>
    <w:p w14:paraId="61943985" w14:textId="77777777" w:rsidR="00F65BCA" w:rsidRDefault="00216117">
      <w:pPr>
        <w:pStyle w:val="Nadpis3"/>
        <w:numPr>
          <w:ilvl w:val="2"/>
          <w:numId w:val="18"/>
        </w:numPr>
        <w:tabs>
          <w:tab w:val="left" w:pos="1046"/>
        </w:tabs>
        <w:spacing w:before="97"/>
        <w:ind w:hanging="361"/>
      </w:pPr>
      <w:r>
        <w:rPr>
          <w:color w:val="231F20"/>
        </w:rPr>
        <w:t>66515000-3 Pojištění proti poškození nebo</w:t>
      </w:r>
      <w:r>
        <w:rPr>
          <w:color w:val="231F20"/>
          <w:spacing w:val="-4"/>
        </w:rPr>
        <w:t xml:space="preserve"> </w:t>
      </w:r>
      <w:r>
        <w:rPr>
          <w:color w:val="231F20"/>
        </w:rPr>
        <w:t>ztrátě</w:t>
      </w:r>
    </w:p>
    <w:p w14:paraId="0E6F81A8" w14:textId="77777777" w:rsidR="00F65BCA" w:rsidRDefault="00216117">
      <w:pPr>
        <w:pStyle w:val="Nadpis3"/>
        <w:numPr>
          <w:ilvl w:val="2"/>
          <w:numId w:val="18"/>
        </w:numPr>
        <w:tabs>
          <w:tab w:val="left" w:pos="1046"/>
        </w:tabs>
        <w:spacing w:before="99"/>
        <w:ind w:hanging="361"/>
      </w:pPr>
      <w:r>
        <w:rPr>
          <w:color w:val="231F20"/>
        </w:rPr>
        <w:t>66515200-5 Pojištění</w:t>
      </w:r>
      <w:r>
        <w:rPr>
          <w:color w:val="231F20"/>
          <w:spacing w:val="-2"/>
        </w:rPr>
        <w:t xml:space="preserve"> </w:t>
      </w:r>
      <w:r>
        <w:rPr>
          <w:color w:val="231F20"/>
        </w:rPr>
        <w:t>majetku</w:t>
      </w:r>
    </w:p>
    <w:p w14:paraId="66CDB171" w14:textId="77777777" w:rsidR="00F65BCA" w:rsidRDefault="00216117">
      <w:pPr>
        <w:pStyle w:val="Nadpis3"/>
        <w:numPr>
          <w:ilvl w:val="2"/>
          <w:numId w:val="18"/>
        </w:numPr>
        <w:tabs>
          <w:tab w:val="left" w:pos="1046"/>
        </w:tabs>
        <w:spacing w:before="97"/>
        <w:ind w:hanging="361"/>
      </w:pPr>
      <w:r>
        <w:rPr>
          <w:color w:val="231F20"/>
        </w:rPr>
        <w:t>66516000-0 Pojištění odpovědnosti za</w:t>
      </w:r>
      <w:r>
        <w:rPr>
          <w:color w:val="231F20"/>
          <w:spacing w:val="-4"/>
        </w:rPr>
        <w:t xml:space="preserve"> </w:t>
      </w:r>
      <w:r>
        <w:rPr>
          <w:color w:val="231F20"/>
        </w:rPr>
        <w:t>škodu</w:t>
      </w:r>
    </w:p>
    <w:p w14:paraId="7C1D2AB7" w14:textId="77777777" w:rsidR="00F65BCA" w:rsidRDefault="00216117">
      <w:pPr>
        <w:pStyle w:val="Nadpis3"/>
        <w:numPr>
          <w:ilvl w:val="2"/>
          <w:numId w:val="18"/>
        </w:numPr>
        <w:tabs>
          <w:tab w:val="left" w:pos="1045"/>
          <w:tab w:val="left" w:pos="1046"/>
        </w:tabs>
        <w:spacing w:before="98"/>
        <w:ind w:hanging="361"/>
      </w:pPr>
      <w:r>
        <w:rPr>
          <w:color w:val="231F20"/>
        </w:rPr>
        <w:t>66516200-2 - Pojištění odpovědnosti za škodu způsobenou provozem</w:t>
      </w:r>
      <w:r>
        <w:rPr>
          <w:color w:val="231F20"/>
          <w:spacing w:val="-18"/>
        </w:rPr>
        <w:t xml:space="preserve"> </w:t>
      </w:r>
      <w:r>
        <w:rPr>
          <w:color w:val="231F20"/>
        </w:rPr>
        <w:t>letadla</w:t>
      </w:r>
    </w:p>
    <w:p w14:paraId="05FCB98D" w14:textId="77777777" w:rsidR="00F65BCA" w:rsidRDefault="00216117">
      <w:pPr>
        <w:pStyle w:val="Nadpis3"/>
        <w:numPr>
          <w:ilvl w:val="2"/>
          <w:numId w:val="18"/>
        </w:numPr>
        <w:tabs>
          <w:tab w:val="left" w:pos="969"/>
        </w:tabs>
        <w:spacing w:before="98"/>
        <w:ind w:left="968" w:hanging="284"/>
      </w:pPr>
      <w:r>
        <w:rPr>
          <w:color w:val="231F20"/>
        </w:rPr>
        <w:t>66518300-7 Likvidace pojistných</w:t>
      </w:r>
      <w:r>
        <w:rPr>
          <w:color w:val="231F20"/>
          <w:spacing w:val="-3"/>
        </w:rPr>
        <w:t xml:space="preserve"> </w:t>
      </w:r>
      <w:r>
        <w:rPr>
          <w:color w:val="231F20"/>
        </w:rPr>
        <w:t>událostí</w:t>
      </w:r>
    </w:p>
    <w:p w14:paraId="4B670E7E" w14:textId="77777777" w:rsidR="00F65BCA" w:rsidRDefault="00F65BCA">
      <w:pPr>
        <w:pStyle w:val="Zkladntext"/>
        <w:spacing w:before="2"/>
        <w:rPr>
          <w:sz w:val="24"/>
        </w:rPr>
      </w:pPr>
    </w:p>
    <w:p w14:paraId="4BA3E16C" w14:textId="77777777" w:rsidR="00F65BCA" w:rsidRDefault="00216117">
      <w:pPr>
        <w:pStyle w:val="Nadpis1"/>
        <w:numPr>
          <w:ilvl w:val="0"/>
          <w:numId w:val="18"/>
        </w:numPr>
        <w:tabs>
          <w:tab w:val="left" w:pos="685"/>
          <w:tab w:val="left" w:pos="686"/>
        </w:tabs>
        <w:ind w:hanging="569"/>
      </w:pPr>
      <w:bookmarkStart w:id="3" w:name="_TOC_250020"/>
      <w:r>
        <w:rPr>
          <w:color w:val="231F20"/>
        </w:rPr>
        <w:t>Předpokládaná hodnota VZ a limitace nabídkové</w:t>
      </w:r>
      <w:r>
        <w:rPr>
          <w:color w:val="231F20"/>
          <w:spacing w:val="-5"/>
        </w:rPr>
        <w:t xml:space="preserve"> </w:t>
      </w:r>
      <w:bookmarkEnd w:id="3"/>
      <w:r>
        <w:rPr>
          <w:color w:val="231F20"/>
        </w:rPr>
        <w:t>ceny</w:t>
      </w:r>
    </w:p>
    <w:p w14:paraId="690BCA6B" w14:textId="77777777" w:rsidR="00F65BCA" w:rsidRDefault="00216117">
      <w:pPr>
        <w:pStyle w:val="Nadpis3"/>
        <w:numPr>
          <w:ilvl w:val="1"/>
          <w:numId w:val="18"/>
        </w:numPr>
        <w:tabs>
          <w:tab w:val="left" w:pos="685"/>
          <w:tab w:val="left" w:pos="686"/>
        </w:tabs>
        <w:spacing w:before="119"/>
        <w:ind w:hanging="569"/>
      </w:pPr>
      <w:r>
        <w:rPr>
          <w:color w:val="231F20"/>
        </w:rPr>
        <w:t xml:space="preserve">Předpokládaná hodnota veřejné zakázky činí </w:t>
      </w:r>
      <w:r>
        <w:rPr>
          <w:color w:val="231F20"/>
          <w:shd w:val="clear" w:color="auto" w:fill="ED2124"/>
        </w:rPr>
        <w:t>bez vyhrazených změn: 22 314 200</w:t>
      </w:r>
      <w:r>
        <w:rPr>
          <w:color w:val="231F20"/>
          <w:spacing w:val="-20"/>
        </w:rPr>
        <w:t xml:space="preserve"> </w:t>
      </w:r>
      <w:r>
        <w:rPr>
          <w:color w:val="231F20"/>
        </w:rPr>
        <w:t>Kč</w:t>
      </w:r>
    </w:p>
    <w:p w14:paraId="04615114" w14:textId="77777777" w:rsidR="00F65BCA" w:rsidRDefault="00216117">
      <w:pPr>
        <w:pStyle w:val="Nadpis3"/>
        <w:spacing w:before="38"/>
        <w:jc w:val="left"/>
      </w:pPr>
      <w:r>
        <w:rPr>
          <w:color w:val="231F20"/>
        </w:rPr>
        <w:t>bez DPH.</w:t>
      </w:r>
    </w:p>
    <w:p w14:paraId="24701674" w14:textId="77777777" w:rsidR="00F65BCA" w:rsidRDefault="00216117">
      <w:pPr>
        <w:pStyle w:val="Nadpis3"/>
        <w:numPr>
          <w:ilvl w:val="1"/>
          <w:numId w:val="18"/>
        </w:numPr>
        <w:tabs>
          <w:tab w:val="left" w:pos="685"/>
          <w:tab w:val="left" w:pos="686"/>
        </w:tabs>
        <w:spacing w:before="157" w:line="276" w:lineRule="auto"/>
        <w:ind w:right="380"/>
      </w:pPr>
      <w:r>
        <w:rPr>
          <w:color w:val="231F20"/>
        </w:rPr>
        <w:t>Předpokládaná hodnota finančního plnění veřejné zakázky (za 3 roky vč.</w:t>
      </w:r>
      <w:r>
        <w:rPr>
          <w:color w:val="231F20"/>
          <w:spacing w:val="-37"/>
        </w:rPr>
        <w:t xml:space="preserve"> </w:t>
      </w:r>
      <w:r>
        <w:rPr>
          <w:color w:val="231F20"/>
        </w:rPr>
        <w:t xml:space="preserve">vyhrazených změn závazku) ze strany Zadavatele činí: </w:t>
      </w:r>
      <w:r>
        <w:rPr>
          <w:color w:val="231F20"/>
          <w:shd w:val="clear" w:color="auto" w:fill="ED2124"/>
        </w:rPr>
        <w:t>24 269 200</w:t>
      </w:r>
      <w:r>
        <w:rPr>
          <w:color w:val="231F20"/>
        </w:rPr>
        <w:t xml:space="preserve"> Kč, přičemž z toho</w:t>
      </w:r>
      <w:r>
        <w:rPr>
          <w:color w:val="231F20"/>
          <w:spacing w:val="-15"/>
        </w:rPr>
        <w:t xml:space="preserve"> </w:t>
      </w:r>
      <w:r>
        <w:rPr>
          <w:color w:val="231F20"/>
        </w:rPr>
        <w:t>činí:</w:t>
      </w:r>
    </w:p>
    <w:p w14:paraId="7B1A1DBA" w14:textId="77777777" w:rsidR="00F65BCA" w:rsidRDefault="00216117">
      <w:pPr>
        <w:pStyle w:val="Nadpis3"/>
        <w:numPr>
          <w:ilvl w:val="2"/>
          <w:numId w:val="18"/>
        </w:numPr>
        <w:tabs>
          <w:tab w:val="left" w:pos="969"/>
          <w:tab w:val="left" w:pos="6919"/>
        </w:tabs>
        <w:ind w:left="968" w:hanging="284"/>
      </w:pPr>
      <w:r>
        <w:rPr>
          <w:color w:val="231F20"/>
        </w:rPr>
        <w:t>předpokládaná hodnota Pojištění majetku</w:t>
      </w:r>
      <w:r>
        <w:rPr>
          <w:color w:val="231F20"/>
          <w:spacing w:val="-19"/>
        </w:rPr>
        <w:t xml:space="preserve"> </w:t>
      </w:r>
      <w:r>
        <w:rPr>
          <w:color w:val="231F20"/>
        </w:rPr>
        <w:t>a</w:t>
      </w:r>
      <w:r>
        <w:rPr>
          <w:color w:val="231F20"/>
          <w:spacing w:val="-5"/>
        </w:rPr>
        <w:t xml:space="preserve"> </w:t>
      </w:r>
      <w:r>
        <w:rPr>
          <w:color w:val="231F20"/>
        </w:rPr>
        <w:t>odpovědnosti:</w:t>
      </w:r>
      <w:r>
        <w:rPr>
          <w:rFonts w:ascii="Times New Roman" w:hAnsi="Times New Roman"/>
          <w:color w:val="231F20"/>
        </w:rPr>
        <w:tab/>
      </w:r>
      <w:r>
        <w:rPr>
          <w:color w:val="231F20"/>
        </w:rPr>
        <w:t>18 900 000</w:t>
      </w:r>
      <w:r>
        <w:rPr>
          <w:color w:val="231F20"/>
          <w:spacing w:val="-1"/>
        </w:rPr>
        <w:t xml:space="preserve"> </w:t>
      </w:r>
      <w:r>
        <w:rPr>
          <w:color w:val="231F20"/>
        </w:rPr>
        <w:t>Kč;</w:t>
      </w:r>
    </w:p>
    <w:p w14:paraId="33F3749D" w14:textId="77777777" w:rsidR="00F65BCA" w:rsidRDefault="00216117">
      <w:pPr>
        <w:pStyle w:val="Nadpis3"/>
        <w:numPr>
          <w:ilvl w:val="2"/>
          <w:numId w:val="18"/>
        </w:numPr>
        <w:tabs>
          <w:tab w:val="left" w:pos="969"/>
          <w:tab w:val="left" w:pos="7041"/>
        </w:tabs>
        <w:spacing w:before="98"/>
        <w:ind w:left="968" w:hanging="284"/>
      </w:pPr>
      <w:r>
        <w:rPr>
          <w:color w:val="231F20"/>
        </w:rPr>
        <w:t>předpokládaná hodnota</w:t>
      </w:r>
      <w:r>
        <w:rPr>
          <w:color w:val="231F20"/>
          <w:spacing w:val="-10"/>
        </w:rPr>
        <w:t xml:space="preserve"> </w:t>
      </w:r>
      <w:r>
        <w:rPr>
          <w:color w:val="231F20"/>
        </w:rPr>
        <w:t>Pojištění</w:t>
      </w:r>
      <w:r>
        <w:rPr>
          <w:color w:val="231F20"/>
          <w:spacing w:val="-5"/>
        </w:rPr>
        <w:t xml:space="preserve"> </w:t>
      </w:r>
      <w:r>
        <w:rPr>
          <w:color w:val="231F20"/>
        </w:rPr>
        <w:t>vozidel:</w:t>
      </w:r>
      <w:r>
        <w:rPr>
          <w:rFonts w:ascii="Times New Roman" w:hAnsi="Times New Roman"/>
          <w:color w:val="231F20"/>
        </w:rPr>
        <w:tab/>
      </w:r>
      <w:r>
        <w:rPr>
          <w:color w:val="231F20"/>
          <w:shd w:val="clear" w:color="auto" w:fill="ED2124"/>
        </w:rPr>
        <w:t>1 740 000</w:t>
      </w:r>
      <w:r>
        <w:rPr>
          <w:color w:val="231F20"/>
          <w:spacing w:val="-5"/>
          <w:shd w:val="clear" w:color="auto" w:fill="ED2124"/>
        </w:rPr>
        <w:t xml:space="preserve"> </w:t>
      </w:r>
      <w:r>
        <w:rPr>
          <w:color w:val="231F20"/>
          <w:shd w:val="clear" w:color="auto" w:fill="ED2124"/>
        </w:rPr>
        <w:t>Kč</w:t>
      </w:r>
      <w:r>
        <w:rPr>
          <w:color w:val="231F20"/>
        </w:rPr>
        <w:t>;</w:t>
      </w:r>
    </w:p>
    <w:p w14:paraId="1DCD713F" w14:textId="77777777" w:rsidR="00F65BCA" w:rsidRDefault="00216117">
      <w:pPr>
        <w:pStyle w:val="Nadpis3"/>
        <w:numPr>
          <w:ilvl w:val="2"/>
          <w:numId w:val="18"/>
        </w:numPr>
        <w:tabs>
          <w:tab w:val="left" w:pos="969"/>
          <w:tab w:val="left" w:pos="7041"/>
        </w:tabs>
        <w:spacing w:before="98"/>
        <w:ind w:left="968" w:hanging="284"/>
      </w:pPr>
      <w:r>
        <w:rPr>
          <w:color w:val="231F20"/>
        </w:rPr>
        <w:t>předpokládaná hodnota</w:t>
      </w:r>
      <w:r>
        <w:rPr>
          <w:color w:val="231F20"/>
          <w:spacing w:val="-12"/>
        </w:rPr>
        <w:t xml:space="preserve"> </w:t>
      </w:r>
      <w:r>
        <w:rPr>
          <w:color w:val="231F20"/>
        </w:rPr>
        <w:t>Cestovního</w:t>
      </w:r>
      <w:r>
        <w:rPr>
          <w:color w:val="231F20"/>
          <w:spacing w:val="-6"/>
        </w:rPr>
        <w:t xml:space="preserve"> </w:t>
      </w:r>
      <w:r>
        <w:rPr>
          <w:color w:val="231F20"/>
        </w:rPr>
        <w:t>pojištění:</w:t>
      </w:r>
      <w:r>
        <w:rPr>
          <w:rFonts w:ascii="Times New Roman" w:hAnsi="Times New Roman"/>
          <w:color w:val="231F20"/>
        </w:rPr>
        <w:tab/>
      </w:r>
      <w:r>
        <w:rPr>
          <w:color w:val="231F20"/>
        </w:rPr>
        <w:t>1 379 000</w:t>
      </w:r>
      <w:r>
        <w:rPr>
          <w:color w:val="231F20"/>
          <w:spacing w:val="-4"/>
        </w:rPr>
        <w:t xml:space="preserve"> </w:t>
      </w:r>
      <w:r>
        <w:rPr>
          <w:color w:val="231F20"/>
        </w:rPr>
        <w:t>Kč;</w:t>
      </w:r>
    </w:p>
    <w:p w14:paraId="6D7E38EE" w14:textId="77777777" w:rsidR="00F65BCA" w:rsidRDefault="00216117">
      <w:pPr>
        <w:pStyle w:val="Nadpis3"/>
        <w:numPr>
          <w:ilvl w:val="2"/>
          <w:numId w:val="18"/>
        </w:numPr>
        <w:tabs>
          <w:tab w:val="left" w:pos="969"/>
          <w:tab w:val="left" w:pos="7225"/>
        </w:tabs>
        <w:spacing w:before="98"/>
        <w:ind w:left="968" w:hanging="284"/>
      </w:pPr>
      <w:r>
        <w:rPr>
          <w:color w:val="231F20"/>
        </w:rPr>
        <w:t>předpokládaná hodnota</w:t>
      </w:r>
      <w:r>
        <w:rPr>
          <w:color w:val="231F20"/>
          <w:spacing w:val="-12"/>
        </w:rPr>
        <w:t xml:space="preserve"> </w:t>
      </w:r>
      <w:r>
        <w:rPr>
          <w:color w:val="231F20"/>
        </w:rPr>
        <w:t>Pojištění</w:t>
      </w:r>
      <w:r>
        <w:rPr>
          <w:color w:val="231F20"/>
          <w:spacing w:val="-5"/>
        </w:rPr>
        <w:t xml:space="preserve"> </w:t>
      </w:r>
      <w:r>
        <w:rPr>
          <w:color w:val="231F20"/>
        </w:rPr>
        <w:t>dronů:</w:t>
      </w:r>
      <w:r>
        <w:rPr>
          <w:rFonts w:ascii="Times New Roman" w:hAnsi="Times New Roman"/>
          <w:color w:val="231F20"/>
        </w:rPr>
        <w:tab/>
      </w:r>
      <w:r>
        <w:rPr>
          <w:color w:val="231F20"/>
        </w:rPr>
        <w:t>295 200</w:t>
      </w:r>
      <w:r>
        <w:rPr>
          <w:color w:val="231F20"/>
          <w:spacing w:val="-6"/>
        </w:rPr>
        <w:t xml:space="preserve"> </w:t>
      </w:r>
      <w:r>
        <w:rPr>
          <w:color w:val="231F20"/>
        </w:rPr>
        <w:t>Kč;</w:t>
      </w:r>
    </w:p>
    <w:p w14:paraId="1E5AE166" w14:textId="77777777" w:rsidR="00F65BCA" w:rsidRDefault="00216117">
      <w:pPr>
        <w:pStyle w:val="Nadpis3"/>
        <w:numPr>
          <w:ilvl w:val="2"/>
          <w:numId w:val="18"/>
        </w:numPr>
        <w:tabs>
          <w:tab w:val="left" w:pos="969"/>
        </w:tabs>
        <w:spacing w:before="97"/>
        <w:ind w:left="968" w:hanging="284"/>
      </w:pPr>
      <w:r>
        <w:rPr>
          <w:color w:val="231F20"/>
        </w:rPr>
        <w:t>hodnota</w:t>
      </w:r>
      <w:r>
        <w:rPr>
          <w:color w:val="231F20"/>
          <w:spacing w:val="-15"/>
        </w:rPr>
        <w:t xml:space="preserve"> </w:t>
      </w:r>
      <w:r>
        <w:rPr>
          <w:color w:val="231F20"/>
        </w:rPr>
        <w:t>vyhrazené</w:t>
      </w:r>
      <w:r>
        <w:rPr>
          <w:color w:val="231F20"/>
          <w:spacing w:val="-15"/>
        </w:rPr>
        <w:t xml:space="preserve"> </w:t>
      </w:r>
      <w:r>
        <w:rPr>
          <w:color w:val="231F20"/>
        </w:rPr>
        <w:t>změny</w:t>
      </w:r>
      <w:r>
        <w:rPr>
          <w:color w:val="231F20"/>
          <w:spacing w:val="-14"/>
        </w:rPr>
        <w:t xml:space="preserve"> </w:t>
      </w:r>
      <w:r>
        <w:rPr>
          <w:color w:val="231F20"/>
        </w:rPr>
        <w:t>závazku</w:t>
      </w:r>
      <w:r>
        <w:rPr>
          <w:color w:val="231F20"/>
          <w:spacing w:val="-16"/>
        </w:rPr>
        <w:t xml:space="preserve"> </w:t>
      </w:r>
      <w:r>
        <w:rPr>
          <w:color w:val="231F20"/>
        </w:rPr>
        <w:t>ve</w:t>
      </w:r>
      <w:r>
        <w:rPr>
          <w:color w:val="231F20"/>
          <w:spacing w:val="-14"/>
        </w:rPr>
        <w:t xml:space="preserve"> </w:t>
      </w:r>
      <w:r>
        <w:rPr>
          <w:color w:val="231F20"/>
        </w:rPr>
        <w:t>smyslu</w:t>
      </w:r>
      <w:r>
        <w:rPr>
          <w:color w:val="231F20"/>
          <w:spacing w:val="-15"/>
        </w:rPr>
        <w:t xml:space="preserve"> </w:t>
      </w:r>
      <w:r>
        <w:rPr>
          <w:color w:val="231F20"/>
        </w:rPr>
        <w:t>§</w:t>
      </w:r>
      <w:r>
        <w:rPr>
          <w:color w:val="231F20"/>
          <w:spacing w:val="-15"/>
        </w:rPr>
        <w:t xml:space="preserve"> </w:t>
      </w:r>
      <w:r>
        <w:rPr>
          <w:color w:val="231F20"/>
        </w:rPr>
        <w:t>100</w:t>
      </w:r>
      <w:r>
        <w:rPr>
          <w:color w:val="231F20"/>
          <w:spacing w:val="-15"/>
        </w:rPr>
        <w:t xml:space="preserve"> </w:t>
      </w:r>
      <w:r>
        <w:rPr>
          <w:color w:val="231F20"/>
        </w:rPr>
        <w:t>odst.</w:t>
      </w:r>
      <w:r>
        <w:rPr>
          <w:color w:val="231F20"/>
          <w:spacing w:val="-14"/>
        </w:rPr>
        <w:t xml:space="preserve"> </w:t>
      </w:r>
      <w:r>
        <w:rPr>
          <w:color w:val="231F20"/>
        </w:rPr>
        <w:t>1</w:t>
      </w:r>
      <w:r>
        <w:rPr>
          <w:color w:val="231F20"/>
          <w:spacing w:val="-17"/>
        </w:rPr>
        <w:t xml:space="preserve"> </w:t>
      </w:r>
      <w:r>
        <w:rPr>
          <w:color w:val="231F20"/>
        </w:rPr>
        <w:t>a</w:t>
      </w:r>
      <w:r>
        <w:rPr>
          <w:color w:val="231F20"/>
          <w:spacing w:val="-14"/>
        </w:rPr>
        <w:t xml:space="preserve"> </w:t>
      </w:r>
      <w:r>
        <w:rPr>
          <w:color w:val="231F20"/>
        </w:rPr>
        <w:t>3</w:t>
      </w:r>
      <w:r>
        <w:rPr>
          <w:color w:val="231F20"/>
          <w:spacing w:val="-15"/>
        </w:rPr>
        <w:t xml:space="preserve"> </w:t>
      </w:r>
      <w:r>
        <w:rPr>
          <w:color w:val="231F20"/>
        </w:rPr>
        <w:t>ZZVZ</w:t>
      </w:r>
      <w:r>
        <w:rPr>
          <w:color w:val="231F20"/>
          <w:spacing w:val="-14"/>
        </w:rPr>
        <w:t xml:space="preserve"> </w:t>
      </w:r>
      <w:r>
        <w:rPr>
          <w:color w:val="231F20"/>
        </w:rPr>
        <w:t>(tzv.</w:t>
      </w:r>
      <w:r>
        <w:rPr>
          <w:color w:val="231F20"/>
          <w:spacing w:val="-15"/>
        </w:rPr>
        <w:t xml:space="preserve"> </w:t>
      </w:r>
      <w:r>
        <w:rPr>
          <w:color w:val="231F20"/>
        </w:rPr>
        <w:t>opční</w:t>
      </w:r>
      <w:r>
        <w:rPr>
          <w:color w:val="231F20"/>
          <w:spacing w:val="-14"/>
        </w:rPr>
        <w:t xml:space="preserve"> </w:t>
      </w:r>
      <w:r>
        <w:rPr>
          <w:color w:val="231F20"/>
        </w:rPr>
        <w:t>právo)</w:t>
      </w:r>
    </w:p>
    <w:p w14:paraId="1F85BEED" w14:textId="77777777" w:rsidR="00F65BCA" w:rsidRDefault="00216117">
      <w:pPr>
        <w:pStyle w:val="Nadpis3"/>
        <w:numPr>
          <w:ilvl w:val="3"/>
          <w:numId w:val="18"/>
        </w:numPr>
        <w:tabs>
          <w:tab w:val="left" w:pos="1152"/>
        </w:tabs>
        <w:spacing w:before="38"/>
        <w:jc w:val="left"/>
      </w:pPr>
      <w:r>
        <w:rPr>
          <w:color w:val="231F20"/>
        </w:rPr>
        <w:t>955 000 Kč (blíže viz čl. 23 této</w:t>
      </w:r>
      <w:r>
        <w:rPr>
          <w:color w:val="231F20"/>
          <w:spacing w:val="-4"/>
        </w:rPr>
        <w:t xml:space="preserve"> </w:t>
      </w:r>
      <w:r>
        <w:rPr>
          <w:color w:val="231F20"/>
        </w:rPr>
        <w:t>ZD).</w:t>
      </w:r>
    </w:p>
    <w:p w14:paraId="68FA5EC4" w14:textId="77777777" w:rsidR="00F65BCA" w:rsidRDefault="00216117">
      <w:pPr>
        <w:pStyle w:val="Nadpis3"/>
        <w:numPr>
          <w:ilvl w:val="1"/>
          <w:numId w:val="18"/>
        </w:numPr>
        <w:tabs>
          <w:tab w:val="left" w:pos="685"/>
          <w:tab w:val="left" w:pos="686"/>
        </w:tabs>
        <w:spacing w:before="158"/>
        <w:ind w:hanging="569"/>
      </w:pPr>
      <w:r>
        <w:rPr>
          <w:color w:val="231F20"/>
        </w:rPr>
        <w:t>Zadavatel limituje nabídkovou cenu</w:t>
      </w:r>
      <w:r>
        <w:rPr>
          <w:color w:val="231F20"/>
          <w:spacing w:val="-5"/>
        </w:rPr>
        <w:t xml:space="preserve"> </w:t>
      </w:r>
      <w:r>
        <w:rPr>
          <w:color w:val="231F20"/>
        </w:rPr>
        <w:t>pro:</w:t>
      </w:r>
    </w:p>
    <w:p w14:paraId="681268C8" w14:textId="77777777" w:rsidR="00F65BCA" w:rsidRDefault="00216117">
      <w:pPr>
        <w:pStyle w:val="Nadpis3"/>
        <w:numPr>
          <w:ilvl w:val="2"/>
          <w:numId w:val="18"/>
        </w:numPr>
        <w:tabs>
          <w:tab w:val="left" w:pos="969"/>
        </w:tabs>
        <w:spacing w:before="157"/>
        <w:ind w:left="968" w:hanging="284"/>
      </w:pPr>
      <w:r>
        <w:rPr>
          <w:color w:val="231F20"/>
        </w:rPr>
        <w:t>část 1 VZ – Pojištění majetku a odpovědnosti částkou dle čl. 4.2 písm. a) této</w:t>
      </w:r>
      <w:r>
        <w:rPr>
          <w:color w:val="231F20"/>
          <w:spacing w:val="-25"/>
        </w:rPr>
        <w:t xml:space="preserve"> </w:t>
      </w:r>
      <w:r>
        <w:rPr>
          <w:color w:val="231F20"/>
        </w:rPr>
        <w:t>ZD;</w:t>
      </w:r>
    </w:p>
    <w:p w14:paraId="254AA9DC" w14:textId="77777777" w:rsidR="00F65BCA" w:rsidRDefault="00216117">
      <w:pPr>
        <w:pStyle w:val="Nadpis3"/>
        <w:numPr>
          <w:ilvl w:val="2"/>
          <w:numId w:val="18"/>
        </w:numPr>
        <w:tabs>
          <w:tab w:val="left" w:pos="969"/>
        </w:tabs>
        <w:spacing w:before="61"/>
        <w:ind w:left="968" w:hanging="284"/>
      </w:pPr>
      <w:r>
        <w:rPr>
          <w:color w:val="231F20"/>
        </w:rPr>
        <w:t>část 2 VZ – Pojištění vozidel částkou dle čl. 4.2 písm. b) této</w:t>
      </w:r>
      <w:r>
        <w:rPr>
          <w:color w:val="231F20"/>
          <w:spacing w:val="-8"/>
        </w:rPr>
        <w:t xml:space="preserve"> </w:t>
      </w:r>
      <w:r>
        <w:rPr>
          <w:color w:val="231F20"/>
        </w:rPr>
        <w:t>ZD;</w:t>
      </w:r>
    </w:p>
    <w:p w14:paraId="3C63114C" w14:textId="77777777" w:rsidR="00F65BCA" w:rsidRDefault="00216117">
      <w:pPr>
        <w:pStyle w:val="Nadpis3"/>
        <w:numPr>
          <w:ilvl w:val="2"/>
          <w:numId w:val="18"/>
        </w:numPr>
        <w:tabs>
          <w:tab w:val="left" w:pos="969"/>
        </w:tabs>
        <w:spacing w:before="60"/>
        <w:ind w:left="968" w:hanging="284"/>
      </w:pPr>
      <w:r>
        <w:rPr>
          <w:color w:val="231F20"/>
        </w:rPr>
        <w:t>část 4 VZ – Pojištění dronů částkou dle čl. 4.2 písm. d) této</w:t>
      </w:r>
      <w:r>
        <w:rPr>
          <w:color w:val="231F20"/>
          <w:spacing w:val="-10"/>
        </w:rPr>
        <w:t xml:space="preserve"> </w:t>
      </w:r>
      <w:r>
        <w:rPr>
          <w:color w:val="231F20"/>
        </w:rPr>
        <w:t>ZD.</w:t>
      </w:r>
    </w:p>
    <w:p w14:paraId="3F9B692D" w14:textId="77777777" w:rsidR="00F65BCA" w:rsidRDefault="00216117">
      <w:pPr>
        <w:pStyle w:val="Nadpis3"/>
        <w:numPr>
          <w:ilvl w:val="1"/>
          <w:numId w:val="18"/>
        </w:numPr>
        <w:tabs>
          <w:tab w:val="left" w:pos="685"/>
          <w:tab w:val="left" w:pos="686"/>
        </w:tabs>
        <w:spacing w:line="276" w:lineRule="auto"/>
        <w:ind w:right="112"/>
      </w:pPr>
      <w:r>
        <w:rPr>
          <w:color w:val="231F20"/>
        </w:rPr>
        <w:t>Zadavatel dále limituje následující jednotkové nabídkové ceny pro část 3 VZ - Cestovní pojištění maximální částkou, která</w:t>
      </w:r>
      <w:r>
        <w:rPr>
          <w:color w:val="231F20"/>
          <w:spacing w:val="-2"/>
        </w:rPr>
        <w:t xml:space="preserve"> </w:t>
      </w:r>
      <w:r>
        <w:rPr>
          <w:color w:val="231F20"/>
        </w:rPr>
        <w:t>činí:</w:t>
      </w:r>
    </w:p>
    <w:p w14:paraId="481EB1A6" w14:textId="77777777" w:rsidR="00F65BCA" w:rsidRDefault="00216117">
      <w:pPr>
        <w:pStyle w:val="Nadpis3"/>
        <w:numPr>
          <w:ilvl w:val="2"/>
          <w:numId w:val="18"/>
        </w:numPr>
        <w:tabs>
          <w:tab w:val="left" w:pos="969"/>
          <w:tab w:val="left" w:pos="5785"/>
        </w:tabs>
        <w:ind w:left="968" w:hanging="284"/>
      </w:pPr>
      <w:r>
        <w:rPr>
          <w:color w:val="231F20"/>
        </w:rPr>
        <w:t>pro cestovní pojištění EVROPA</w:t>
      </w:r>
      <w:r>
        <w:rPr>
          <w:color w:val="231F20"/>
          <w:spacing w:val="-14"/>
        </w:rPr>
        <w:t xml:space="preserve"> </w:t>
      </w:r>
      <w:r>
        <w:rPr>
          <w:color w:val="231F20"/>
        </w:rPr>
        <w:t>(bez</w:t>
      </w:r>
      <w:r>
        <w:rPr>
          <w:color w:val="231F20"/>
          <w:spacing w:val="-3"/>
        </w:rPr>
        <w:t xml:space="preserve"> </w:t>
      </w:r>
      <w:r>
        <w:rPr>
          <w:color w:val="231F20"/>
        </w:rPr>
        <w:t>storna):</w:t>
      </w:r>
      <w:r>
        <w:rPr>
          <w:rFonts w:ascii="Times New Roman" w:hAnsi="Times New Roman"/>
          <w:color w:val="231F20"/>
        </w:rPr>
        <w:tab/>
      </w:r>
      <w:r>
        <w:rPr>
          <w:color w:val="231F20"/>
        </w:rPr>
        <w:t>40</w:t>
      </w:r>
      <w:r>
        <w:rPr>
          <w:color w:val="231F20"/>
          <w:spacing w:val="-1"/>
        </w:rPr>
        <w:t xml:space="preserve"> </w:t>
      </w:r>
      <w:r>
        <w:rPr>
          <w:color w:val="231F20"/>
        </w:rPr>
        <w:t>Kč/osoboden;</w:t>
      </w:r>
    </w:p>
    <w:p w14:paraId="5C920006" w14:textId="77777777" w:rsidR="00F65BCA" w:rsidRDefault="00216117">
      <w:pPr>
        <w:pStyle w:val="Nadpis3"/>
        <w:numPr>
          <w:ilvl w:val="2"/>
          <w:numId w:val="18"/>
        </w:numPr>
        <w:tabs>
          <w:tab w:val="left" w:pos="969"/>
          <w:tab w:val="left" w:pos="5785"/>
        </w:tabs>
        <w:spacing w:before="97"/>
        <w:ind w:left="968" w:hanging="284"/>
      </w:pPr>
      <w:r>
        <w:rPr>
          <w:color w:val="231F20"/>
        </w:rPr>
        <w:t>pro cestovní pojištění SVĚT</w:t>
      </w:r>
      <w:r>
        <w:rPr>
          <w:color w:val="231F20"/>
          <w:spacing w:val="-14"/>
        </w:rPr>
        <w:t xml:space="preserve"> </w:t>
      </w:r>
      <w:r>
        <w:rPr>
          <w:color w:val="231F20"/>
        </w:rPr>
        <w:t>(bez</w:t>
      </w:r>
      <w:r>
        <w:rPr>
          <w:color w:val="231F20"/>
          <w:spacing w:val="-3"/>
        </w:rPr>
        <w:t xml:space="preserve"> </w:t>
      </w:r>
      <w:r>
        <w:rPr>
          <w:color w:val="231F20"/>
        </w:rPr>
        <w:t>storna):</w:t>
      </w:r>
      <w:r>
        <w:rPr>
          <w:rFonts w:ascii="Times New Roman" w:hAnsi="Times New Roman"/>
          <w:color w:val="231F20"/>
        </w:rPr>
        <w:tab/>
      </w:r>
      <w:r>
        <w:rPr>
          <w:color w:val="231F20"/>
        </w:rPr>
        <w:t>80 Kč/osoboden;</w:t>
      </w:r>
    </w:p>
    <w:p w14:paraId="6817D466" w14:textId="77777777" w:rsidR="00F65BCA" w:rsidRDefault="00216117">
      <w:pPr>
        <w:pStyle w:val="Nadpis3"/>
        <w:numPr>
          <w:ilvl w:val="2"/>
          <w:numId w:val="18"/>
        </w:numPr>
        <w:tabs>
          <w:tab w:val="left" w:pos="969"/>
          <w:tab w:val="left" w:pos="5785"/>
        </w:tabs>
        <w:spacing w:before="98"/>
        <w:ind w:left="968" w:hanging="284"/>
      </w:pPr>
      <w:r>
        <w:rPr>
          <w:color w:val="231F20"/>
        </w:rPr>
        <w:t>pro cestovní pojištění EVROPA</w:t>
      </w:r>
      <w:r>
        <w:rPr>
          <w:color w:val="231F20"/>
          <w:spacing w:val="-13"/>
        </w:rPr>
        <w:t xml:space="preserve"> </w:t>
      </w:r>
      <w:r>
        <w:rPr>
          <w:color w:val="231F20"/>
        </w:rPr>
        <w:t>(se</w:t>
      </w:r>
      <w:r>
        <w:rPr>
          <w:color w:val="231F20"/>
          <w:spacing w:val="-4"/>
        </w:rPr>
        <w:t xml:space="preserve"> </w:t>
      </w:r>
      <w:r>
        <w:rPr>
          <w:color w:val="231F20"/>
        </w:rPr>
        <w:t>stornem):</w:t>
      </w:r>
      <w:r>
        <w:rPr>
          <w:rFonts w:ascii="Times New Roman" w:hAnsi="Times New Roman"/>
          <w:color w:val="231F20"/>
        </w:rPr>
        <w:tab/>
      </w:r>
      <w:r>
        <w:rPr>
          <w:color w:val="231F20"/>
        </w:rPr>
        <w:t>45 Kč/osoboden;</w:t>
      </w:r>
    </w:p>
    <w:p w14:paraId="753C2E4F" w14:textId="77777777" w:rsidR="00F65BCA" w:rsidRDefault="00216117">
      <w:pPr>
        <w:pStyle w:val="Nadpis3"/>
        <w:numPr>
          <w:ilvl w:val="2"/>
          <w:numId w:val="18"/>
        </w:numPr>
        <w:tabs>
          <w:tab w:val="left" w:pos="969"/>
          <w:tab w:val="left" w:pos="5785"/>
        </w:tabs>
        <w:spacing w:before="98"/>
        <w:ind w:left="968" w:hanging="284"/>
      </w:pPr>
      <w:r>
        <w:rPr>
          <w:color w:val="231F20"/>
        </w:rPr>
        <w:t>pro cestovní pojištění SVĚT</w:t>
      </w:r>
      <w:r>
        <w:rPr>
          <w:color w:val="231F20"/>
          <w:spacing w:val="-13"/>
        </w:rPr>
        <w:t xml:space="preserve"> </w:t>
      </w:r>
      <w:r>
        <w:rPr>
          <w:color w:val="231F20"/>
        </w:rPr>
        <w:t>(se</w:t>
      </w:r>
      <w:r>
        <w:rPr>
          <w:color w:val="231F20"/>
          <w:spacing w:val="-4"/>
        </w:rPr>
        <w:t xml:space="preserve"> </w:t>
      </w:r>
      <w:r>
        <w:rPr>
          <w:color w:val="231F20"/>
        </w:rPr>
        <w:t>stornem):</w:t>
      </w:r>
      <w:r>
        <w:rPr>
          <w:rFonts w:ascii="Times New Roman" w:hAnsi="Times New Roman"/>
          <w:color w:val="231F20"/>
        </w:rPr>
        <w:tab/>
      </w:r>
      <w:r>
        <w:rPr>
          <w:color w:val="231F20"/>
        </w:rPr>
        <w:t>85 Kč/osoboden.</w:t>
      </w:r>
    </w:p>
    <w:p w14:paraId="20C98410" w14:textId="77777777" w:rsidR="00F65BCA" w:rsidRDefault="00216117">
      <w:pPr>
        <w:pStyle w:val="Nadpis3"/>
        <w:numPr>
          <w:ilvl w:val="1"/>
          <w:numId w:val="18"/>
        </w:numPr>
        <w:tabs>
          <w:tab w:val="left" w:pos="685"/>
          <w:tab w:val="left" w:pos="686"/>
        </w:tabs>
        <w:spacing w:before="157" w:line="276" w:lineRule="auto"/>
        <w:ind w:right="113"/>
      </w:pPr>
      <w:r>
        <w:rPr>
          <w:color w:val="231F20"/>
        </w:rPr>
        <w:t>V</w:t>
      </w:r>
      <w:r>
        <w:rPr>
          <w:color w:val="231F20"/>
          <w:spacing w:val="-4"/>
        </w:rPr>
        <w:t xml:space="preserve"> </w:t>
      </w:r>
      <w:r>
        <w:rPr>
          <w:color w:val="231F20"/>
        </w:rPr>
        <w:t>případě,</w:t>
      </w:r>
      <w:r>
        <w:rPr>
          <w:color w:val="231F20"/>
          <w:spacing w:val="-4"/>
        </w:rPr>
        <w:t xml:space="preserve"> </w:t>
      </w:r>
      <w:r>
        <w:rPr>
          <w:color w:val="231F20"/>
        </w:rPr>
        <w:t>že</w:t>
      </w:r>
      <w:r>
        <w:rPr>
          <w:color w:val="231F20"/>
          <w:spacing w:val="-4"/>
        </w:rPr>
        <w:t xml:space="preserve"> </w:t>
      </w:r>
      <w:r>
        <w:rPr>
          <w:color w:val="231F20"/>
        </w:rPr>
        <w:t>dodavatel</w:t>
      </w:r>
      <w:r>
        <w:rPr>
          <w:color w:val="231F20"/>
          <w:spacing w:val="-6"/>
        </w:rPr>
        <w:t xml:space="preserve"> </w:t>
      </w:r>
      <w:r>
        <w:rPr>
          <w:color w:val="231F20"/>
        </w:rPr>
        <w:t>nabídne</w:t>
      </w:r>
      <w:r>
        <w:rPr>
          <w:color w:val="231F20"/>
          <w:spacing w:val="-2"/>
        </w:rPr>
        <w:t xml:space="preserve"> </w:t>
      </w:r>
      <w:r>
        <w:rPr>
          <w:color w:val="231F20"/>
        </w:rPr>
        <w:t>pro</w:t>
      </w:r>
      <w:r>
        <w:rPr>
          <w:color w:val="231F20"/>
          <w:spacing w:val="-4"/>
        </w:rPr>
        <w:t xml:space="preserve"> </w:t>
      </w:r>
      <w:r>
        <w:rPr>
          <w:color w:val="231F20"/>
        </w:rPr>
        <w:t>příslušnou</w:t>
      </w:r>
      <w:r>
        <w:rPr>
          <w:color w:val="231F20"/>
          <w:spacing w:val="-6"/>
        </w:rPr>
        <w:t xml:space="preserve"> </w:t>
      </w:r>
      <w:r>
        <w:rPr>
          <w:color w:val="231F20"/>
        </w:rPr>
        <w:t>část</w:t>
      </w:r>
      <w:r>
        <w:rPr>
          <w:color w:val="231F20"/>
          <w:spacing w:val="-4"/>
        </w:rPr>
        <w:t xml:space="preserve"> </w:t>
      </w:r>
      <w:r>
        <w:rPr>
          <w:color w:val="231F20"/>
        </w:rPr>
        <w:t>VZ</w:t>
      </w:r>
      <w:r>
        <w:rPr>
          <w:color w:val="231F20"/>
          <w:spacing w:val="-3"/>
        </w:rPr>
        <w:t xml:space="preserve"> </w:t>
      </w:r>
      <w:r>
        <w:rPr>
          <w:color w:val="231F20"/>
        </w:rPr>
        <w:t>vyšší</w:t>
      </w:r>
      <w:r>
        <w:rPr>
          <w:color w:val="231F20"/>
          <w:spacing w:val="-4"/>
        </w:rPr>
        <w:t xml:space="preserve"> </w:t>
      </w:r>
      <w:r>
        <w:rPr>
          <w:color w:val="231F20"/>
        </w:rPr>
        <w:t>nabídkové</w:t>
      </w:r>
      <w:r>
        <w:rPr>
          <w:color w:val="231F20"/>
          <w:spacing w:val="-6"/>
        </w:rPr>
        <w:t xml:space="preserve"> </w:t>
      </w:r>
      <w:r>
        <w:rPr>
          <w:color w:val="231F20"/>
        </w:rPr>
        <w:t>ceny</w:t>
      </w:r>
      <w:r>
        <w:rPr>
          <w:color w:val="231F20"/>
          <w:spacing w:val="-4"/>
        </w:rPr>
        <w:t xml:space="preserve"> </w:t>
      </w:r>
      <w:r>
        <w:rPr>
          <w:color w:val="231F20"/>
        </w:rPr>
        <w:t>než</w:t>
      </w:r>
      <w:r>
        <w:rPr>
          <w:color w:val="231F20"/>
          <w:spacing w:val="-5"/>
        </w:rPr>
        <w:t xml:space="preserve"> </w:t>
      </w:r>
      <w:r>
        <w:rPr>
          <w:color w:val="231F20"/>
        </w:rPr>
        <w:t>limitní ceny dle čl. 4.3 a 4.4 této ZD, bude ze zadávacího řízení</w:t>
      </w:r>
      <w:r>
        <w:rPr>
          <w:color w:val="231F20"/>
          <w:spacing w:val="-9"/>
        </w:rPr>
        <w:t xml:space="preserve"> </w:t>
      </w:r>
      <w:r>
        <w:rPr>
          <w:color w:val="231F20"/>
        </w:rPr>
        <w:t>vyloučen.</w:t>
      </w:r>
    </w:p>
    <w:p w14:paraId="6DDC1AEC" w14:textId="77777777" w:rsidR="00F65BCA" w:rsidRDefault="00216117">
      <w:pPr>
        <w:pStyle w:val="Nadpis3"/>
        <w:numPr>
          <w:ilvl w:val="1"/>
          <w:numId w:val="18"/>
        </w:numPr>
        <w:tabs>
          <w:tab w:val="left" w:pos="685"/>
          <w:tab w:val="left" w:pos="686"/>
        </w:tabs>
        <w:spacing w:line="276" w:lineRule="auto"/>
        <w:ind w:right="112"/>
      </w:pPr>
      <w:r>
        <w:rPr>
          <w:color w:val="231F20"/>
        </w:rPr>
        <w:t>Nabídkové ceny pojistného za jednotlivá pojistná období (kalendářní rok) pro dané pojištění musí být shodné pro všechna tři (3) pojistná</w:t>
      </w:r>
      <w:r>
        <w:rPr>
          <w:color w:val="231F20"/>
          <w:spacing w:val="-6"/>
        </w:rPr>
        <w:t xml:space="preserve"> </w:t>
      </w:r>
      <w:r>
        <w:rPr>
          <w:color w:val="231F20"/>
        </w:rPr>
        <w:t>období.</w:t>
      </w:r>
    </w:p>
    <w:p w14:paraId="3001CA05" w14:textId="77777777" w:rsidR="00F65BCA" w:rsidRDefault="00F65BCA">
      <w:pPr>
        <w:pStyle w:val="Zkladntext"/>
        <w:spacing w:before="10"/>
        <w:rPr>
          <w:sz w:val="20"/>
        </w:rPr>
      </w:pPr>
    </w:p>
    <w:p w14:paraId="4FAFE613" w14:textId="77777777" w:rsidR="00F65BCA" w:rsidRDefault="00216117">
      <w:pPr>
        <w:pStyle w:val="Nadpis1"/>
        <w:numPr>
          <w:ilvl w:val="0"/>
          <w:numId w:val="18"/>
        </w:numPr>
        <w:tabs>
          <w:tab w:val="left" w:pos="685"/>
          <w:tab w:val="left" w:pos="686"/>
        </w:tabs>
        <w:ind w:hanging="569"/>
      </w:pPr>
      <w:bookmarkStart w:id="4" w:name="_TOC_250019"/>
      <w:r>
        <w:rPr>
          <w:color w:val="231F20"/>
        </w:rPr>
        <w:t>Lhůta pro podání</w:t>
      </w:r>
      <w:r>
        <w:rPr>
          <w:color w:val="231F20"/>
          <w:spacing w:val="-3"/>
        </w:rPr>
        <w:t xml:space="preserve"> </w:t>
      </w:r>
      <w:bookmarkEnd w:id="4"/>
      <w:r>
        <w:rPr>
          <w:color w:val="231F20"/>
        </w:rPr>
        <w:t>nabídek</w:t>
      </w:r>
    </w:p>
    <w:p w14:paraId="2A1A52F3" w14:textId="77777777" w:rsidR="00F65BCA" w:rsidRDefault="00216117">
      <w:pPr>
        <w:pStyle w:val="Nadpis3"/>
        <w:numPr>
          <w:ilvl w:val="1"/>
          <w:numId w:val="18"/>
        </w:numPr>
        <w:tabs>
          <w:tab w:val="left" w:pos="685"/>
          <w:tab w:val="left" w:pos="686"/>
        </w:tabs>
        <w:spacing w:before="119"/>
        <w:ind w:hanging="569"/>
      </w:pPr>
      <w:r>
        <w:rPr>
          <w:color w:val="231F20"/>
        </w:rPr>
        <w:t xml:space="preserve">Lhůta pro podání nabídek je stanovena do 10:00 hod </w:t>
      </w:r>
      <w:r>
        <w:rPr>
          <w:color w:val="231F20"/>
          <w:shd w:val="clear" w:color="auto" w:fill="ED2124"/>
        </w:rPr>
        <w:t>dne 26. 9.</w:t>
      </w:r>
      <w:r>
        <w:rPr>
          <w:color w:val="231F20"/>
          <w:spacing w:val="-8"/>
          <w:shd w:val="clear" w:color="auto" w:fill="ED2124"/>
        </w:rPr>
        <w:t xml:space="preserve"> </w:t>
      </w:r>
      <w:r>
        <w:rPr>
          <w:color w:val="231F20"/>
          <w:shd w:val="clear" w:color="auto" w:fill="ED2124"/>
        </w:rPr>
        <w:t>2025.</w:t>
      </w:r>
    </w:p>
    <w:p w14:paraId="4EED0B45" w14:textId="77777777" w:rsidR="00F65BCA" w:rsidRDefault="00216117">
      <w:pPr>
        <w:pStyle w:val="Nadpis3"/>
        <w:numPr>
          <w:ilvl w:val="1"/>
          <w:numId w:val="18"/>
        </w:numPr>
        <w:tabs>
          <w:tab w:val="left" w:pos="685"/>
          <w:tab w:val="left" w:pos="686"/>
        </w:tabs>
        <w:ind w:hanging="569"/>
      </w:pPr>
      <w:r>
        <w:rPr>
          <w:color w:val="231F20"/>
        </w:rPr>
        <w:t>Otevírání nabídek v elektronické podobě je</w:t>
      </w:r>
      <w:r>
        <w:rPr>
          <w:color w:val="231F20"/>
          <w:spacing w:val="-5"/>
        </w:rPr>
        <w:t xml:space="preserve"> </w:t>
      </w:r>
      <w:r>
        <w:rPr>
          <w:color w:val="231F20"/>
        </w:rPr>
        <w:t>neveřejné.</w:t>
      </w:r>
    </w:p>
    <w:p w14:paraId="76D62B7B" w14:textId="77777777" w:rsidR="00F65BCA" w:rsidRDefault="00216117">
      <w:pPr>
        <w:pStyle w:val="Nadpis3"/>
        <w:numPr>
          <w:ilvl w:val="1"/>
          <w:numId w:val="18"/>
        </w:numPr>
        <w:tabs>
          <w:tab w:val="left" w:pos="686"/>
        </w:tabs>
        <w:ind w:right="117"/>
        <w:jc w:val="both"/>
      </w:pPr>
      <w:r>
        <w:rPr>
          <w:color w:val="231F20"/>
        </w:rPr>
        <w:t>Zadavatel do pěti (5) pracovních dnů od skončení lhůty pro podání nabídek uveřejní na profilu</w:t>
      </w:r>
      <w:r>
        <w:rPr>
          <w:color w:val="231F20"/>
          <w:spacing w:val="-10"/>
        </w:rPr>
        <w:t xml:space="preserve"> </w:t>
      </w:r>
      <w:r>
        <w:rPr>
          <w:color w:val="231F20"/>
        </w:rPr>
        <w:t>zadavatele</w:t>
      </w:r>
      <w:r>
        <w:rPr>
          <w:color w:val="231F20"/>
          <w:spacing w:val="-8"/>
        </w:rPr>
        <w:t xml:space="preserve"> </w:t>
      </w:r>
      <w:r>
        <w:rPr>
          <w:color w:val="231F20"/>
        </w:rPr>
        <w:t>u</w:t>
      </w:r>
      <w:r>
        <w:rPr>
          <w:color w:val="231F20"/>
          <w:spacing w:val="-9"/>
        </w:rPr>
        <w:t xml:space="preserve"> </w:t>
      </w:r>
      <w:r>
        <w:rPr>
          <w:color w:val="231F20"/>
        </w:rPr>
        <w:t>odkazu</w:t>
      </w:r>
      <w:r>
        <w:rPr>
          <w:color w:val="231F20"/>
          <w:spacing w:val="-8"/>
        </w:rPr>
        <w:t xml:space="preserve"> </w:t>
      </w:r>
      <w:r>
        <w:rPr>
          <w:color w:val="231F20"/>
        </w:rPr>
        <w:t>dle</w:t>
      </w:r>
      <w:r>
        <w:rPr>
          <w:color w:val="231F20"/>
          <w:spacing w:val="-10"/>
        </w:rPr>
        <w:t xml:space="preserve"> </w:t>
      </w:r>
      <w:r>
        <w:rPr>
          <w:color w:val="231F20"/>
        </w:rPr>
        <w:t>čl.</w:t>
      </w:r>
      <w:r>
        <w:rPr>
          <w:color w:val="231F20"/>
          <w:spacing w:val="-8"/>
        </w:rPr>
        <w:t xml:space="preserve"> </w:t>
      </w:r>
      <w:r>
        <w:rPr>
          <w:color w:val="231F20"/>
        </w:rPr>
        <w:t>1</w:t>
      </w:r>
      <w:r>
        <w:rPr>
          <w:color w:val="231F20"/>
          <w:spacing w:val="-11"/>
        </w:rPr>
        <w:t xml:space="preserve"> </w:t>
      </w:r>
      <w:r>
        <w:rPr>
          <w:color w:val="231F20"/>
        </w:rPr>
        <w:t>této</w:t>
      </w:r>
      <w:r>
        <w:rPr>
          <w:color w:val="231F20"/>
          <w:spacing w:val="-7"/>
        </w:rPr>
        <w:t xml:space="preserve"> </w:t>
      </w:r>
      <w:r>
        <w:rPr>
          <w:color w:val="231F20"/>
        </w:rPr>
        <w:t>ZD</w:t>
      </w:r>
      <w:r>
        <w:rPr>
          <w:color w:val="231F20"/>
          <w:spacing w:val="-9"/>
        </w:rPr>
        <w:t xml:space="preserve"> </w:t>
      </w:r>
      <w:r>
        <w:rPr>
          <w:color w:val="231F20"/>
        </w:rPr>
        <w:t>protokol</w:t>
      </w:r>
      <w:r>
        <w:rPr>
          <w:color w:val="231F20"/>
          <w:spacing w:val="-8"/>
        </w:rPr>
        <w:t xml:space="preserve"> </w:t>
      </w:r>
      <w:r>
        <w:rPr>
          <w:color w:val="231F20"/>
        </w:rPr>
        <w:t>o</w:t>
      </w:r>
      <w:r>
        <w:rPr>
          <w:color w:val="231F20"/>
          <w:spacing w:val="-9"/>
        </w:rPr>
        <w:t xml:space="preserve"> </w:t>
      </w:r>
      <w:r>
        <w:rPr>
          <w:color w:val="231F20"/>
        </w:rPr>
        <w:t>otevírání</w:t>
      </w:r>
      <w:r>
        <w:rPr>
          <w:color w:val="231F20"/>
          <w:spacing w:val="-9"/>
        </w:rPr>
        <w:t xml:space="preserve"> </w:t>
      </w:r>
      <w:r>
        <w:rPr>
          <w:color w:val="231F20"/>
        </w:rPr>
        <w:t>nabídek</w:t>
      </w:r>
      <w:r>
        <w:rPr>
          <w:color w:val="231F20"/>
          <w:spacing w:val="-10"/>
        </w:rPr>
        <w:t xml:space="preserve"> </w:t>
      </w:r>
      <w:r>
        <w:rPr>
          <w:color w:val="231F20"/>
        </w:rPr>
        <w:t>(bez</w:t>
      </w:r>
      <w:r>
        <w:rPr>
          <w:color w:val="231F20"/>
          <w:spacing w:val="-10"/>
        </w:rPr>
        <w:t xml:space="preserve"> </w:t>
      </w:r>
      <w:r>
        <w:rPr>
          <w:color w:val="231F20"/>
        </w:rPr>
        <w:t>identifikace konkrétních účastníků zadávacího</w:t>
      </w:r>
      <w:r>
        <w:rPr>
          <w:color w:val="231F20"/>
          <w:spacing w:val="-4"/>
        </w:rPr>
        <w:t xml:space="preserve"> </w:t>
      </w:r>
      <w:r>
        <w:rPr>
          <w:color w:val="231F20"/>
        </w:rPr>
        <w:t>řízení).</w:t>
      </w:r>
    </w:p>
    <w:p w14:paraId="114F1096" w14:textId="77777777" w:rsidR="00F65BCA" w:rsidRDefault="00F65BCA">
      <w:pPr>
        <w:pStyle w:val="Zkladntext"/>
        <w:rPr>
          <w:sz w:val="20"/>
        </w:rPr>
      </w:pPr>
    </w:p>
    <w:p w14:paraId="213C0A8F" w14:textId="77777777" w:rsidR="00F65BCA" w:rsidRDefault="00F65BCA">
      <w:pPr>
        <w:pStyle w:val="Zkladntext"/>
        <w:rPr>
          <w:sz w:val="20"/>
        </w:rPr>
      </w:pPr>
    </w:p>
    <w:p w14:paraId="176DCF0B" w14:textId="77777777" w:rsidR="00F65BCA" w:rsidRDefault="00F65BCA">
      <w:pPr>
        <w:pStyle w:val="Zkladntext"/>
        <w:spacing w:before="4"/>
        <w:rPr>
          <w:sz w:val="26"/>
        </w:rPr>
      </w:pPr>
    </w:p>
    <w:p w14:paraId="6AAC8A39" w14:textId="77777777" w:rsidR="00F65BCA" w:rsidRDefault="00216117">
      <w:pPr>
        <w:spacing w:before="94"/>
        <w:ind w:left="1459" w:right="1033"/>
        <w:jc w:val="center"/>
        <w:rPr>
          <w:sz w:val="16"/>
        </w:rPr>
      </w:pPr>
      <w:r>
        <w:rPr>
          <w:color w:val="231F20"/>
          <w:sz w:val="16"/>
        </w:rPr>
        <w:t>Stránka 3 z 15</w:t>
      </w:r>
    </w:p>
    <w:p w14:paraId="783F9381" w14:textId="77777777" w:rsidR="00F65BCA" w:rsidRDefault="00F65BCA">
      <w:pPr>
        <w:jc w:val="center"/>
        <w:rPr>
          <w:sz w:val="16"/>
        </w:rPr>
        <w:sectPr w:rsidR="00F65BCA">
          <w:pgSz w:w="11900" w:h="16840"/>
          <w:pgMar w:top="1060" w:right="1160" w:bottom="280" w:left="1300" w:header="708" w:footer="708" w:gutter="0"/>
          <w:cols w:space="708"/>
        </w:sectPr>
      </w:pPr>
    </w:p>
    <w:p w14:paraId="3A0AC429" w14:textId="77777777" w:rsidR="00F65BCA" w:rsidRDefault="00216117">
      <w:pPr>
        <w:pStyle w:val="Nadpis1"/>
        <w:numPr>
          <w:ilvl w:val="0"/>
          <w:numId w:val="18"/>
        </w:numPr>
        <w:tabs>
          <w:tab w:val="left" w:pos="686"/>
        </w:tabs>
        <w:spacing w:before="78"/>
        <w:ind w:hanging="569"/>
        <w:jc w:val="both"/>
      </w:pPr>
      <w:bookmarkStart w:id="5" w:name="_TOC_250018"/>
      <w:r>
        <w:rPr>
          <w:color w:val="231F20"/>
        </w:rPr>
        <w:lastRenderedPageBreak/>
        <w:t>Technické</w:t>
      </w:r>
      <w:r>
        <w:rPr>
          <w:color w:val="231F20"/>
          <w:spacing w:val="-1"/>
        </w:rPr>
        <w:t xml:space="preserve"> </w:t>
      </w:r>
      <w:bookmarkEnd w:id="5"/>
      <w:r>
        <w:rPr>
          <w:color w:val="231F20"/>
        </w:rPr>
        <w:t>podmínky</w:t>
      </w:r>
    </w:p>
    <w:p w14:paraId="4A141BF4" w14:textId="77777777" w:rsidR="00F65BCA" w:rsidRDefault="00216117">
      <w:pPr>
        <w:pStyle w:val="Nadpis3"/>
        <w:ind w:left="117" w:right="112"/>
      </w:pPr>
      <w:r>
        <w:rPr>
          <w:color w:val="231F20"/>
        </w:rPr>
        <w:t>Předmět</w:t>
      </w:r>
      <w:r>
        <w:rPr>
          <w:color w:val="231F20"/>
          <w:spacing w:val="-7"/>
        </w:rPr>
        <w:t xml:space="preserve"> </w:t>
      </w:r>
      <w:r>
        <w:rPr>
          <w:color w:val="231F20"/>
        </w:rPr>
        <w:t>plnění</w:t>
      </w:r>
      <w:r>
        <w:rPr>
          <w:color w:val="231F20"/>
          <w:spacing w:val="-7"/>
        </w:rPr>
        <w:t xml:space="preserve"> </w:t>
      </w:r>
      <w:r>
        <w:rPr>
          <w:color w:val="231F20"/>
        </w:rPr>
        <w:t>veřejné</w:t>
      </w:r>
      <w:r>
        <w:rPr>
          <w:color w:val="231F20"/>
          <w:spacing w:val="-7"/>
        </w:rPr>
        <w:t xml:space="preserve"> </w:t>
      </w:r>
      <w:r>
        <w:rPr>
          <w:color w:val="231F20"/>
        </w:rPr>
        <w:t>zakázky</w:t>
      </w:r>
      <w:r>
        <w:rPr>
          <w:color w:val="231F20"/>
          <w:spacing w:val="-6"/>
        </w:rPr>
        <w:t xml:space="preserve"> </w:t>
      </w:r>
      <w:r>
        <w:rPr>
          <w:color w:val="231F20"/>
        </w:rPr>
        <w:t>musí</w:t>
      </w:r>
      <w:r>
        <w:rPr>
          <w:color w:val="231F20"/>
          <w:spacing w:val="-7"/>
        </w:rPr>
        <w:t xml:space="preserve"> </w:t>
      </w:r>
      <w:r>
        <w:rPr>
          <w:color w:val="231F20"/>
        </w:rPr>
        <w:t>splňovat</w:t>
      </w:r>
      <w:r>
        <w:rPr>
          <w:color w:val="231F20"/>
          <w:spacing w:val="-7"/>
        </w:rPr>
        <w:t xml:space="preserve"> </w:t>
      </w:r>
      <w:r>
        <w:rPr>
          <w:color w:val="231F20"/>
        </w:rPr>
        <w:t>požadavky</w:t>
      </w:r>
      <w:r>
        <w:rPr>
          <w:color w:val="231F20"/>
          <w:spacing w:val="-6"/>
        </w:rPr>
        <w:t xml:space="preserve"> </w:t>
      </w:r>
      <w:r>
        <w:rPr>
          <w:color w:val="231F20"/>
        </w:rPr>
        <w:t>uvedené</w:t>
      </w:r>
      <w:r>
        <w:rPr>
          <w:color w:val="231F20"/>
          <w:spacing w:val="-7"/>
        </w:rPr>
        <w:t xml:space="preserve"> </w:t>
      </w:r>
      <w:r>
        <w:rPr>
          <w:color w:val="231F20"/>
        </w:rPr>
        <w:t>v</w:t>
      </w:r>
      <w:r>
        <w:rPr>
          <w:color w:val="231F20"/>
          <w:spacing w:val="-4"/>
        </w:rPr>
        <w:t xml:space="preserve"> </w:t>
      </w:r>
      <w:r>
        <w:rPr>
          <w:color w:val="231F20"/>
        </w:rPr>
        <w:t>příslušné</w:t>
      </w:r>
      <w:r>
        <w:rPr>
          <w:color w:val="231F20"/>
          <w:spacing w:val="-7"/>
        </w:rPr>
        <w:t xml:space="preserve"> </w:t>
      </w:r>
      <w:r>
        <w:rPr>
          <w:color w:val="231F20"/>
        </w:rPr>
        <w:t>příloze</w:t>
      </w:r>
      <w:r>
        <w:rPr>
          <w:color w:val="231F20"/>
          <w:spacing w:val="-7"/>
        </w:rPr>
        <w:t xml:space="preserve"> </w:t>
      </w:r>
      <w:r>
        <w:rPr>
          <w:color w:val="231F20"/>
        </w:rPr>
        <w:t>č.</w:t>
      </w:r>
      <w:r>
        <w:rPr>
          <w:color w:val="231F20"/>
          <w:spacing w:val="-5"/>
        </w:rPr>
        <w:t xml:space="preserve"> </w:t>
      </w:r>
      <w:r>
        <w:rPr>
          <w:color w:val="231F20"/>
        </w:rPr>
        <w:t>3</w:t>
      </w:r>
      <w:r>
        <w:rPr>
          <w:color w:val="231F20"/>
          <w:spacing w:val="-8"/>
        </w:rPr>
        <w:t xml:space="preserve"> </w:t>
      </w:r>
      <w:r>
        <w:rPr>
          <w:color w:val="231F20"/>
        </w:rPr>
        <w:t>této ZD. Dodavatel podáním nabídky potvrzuje, že zcela přijímá a zahrnuje do návrhu pojistných smluv (jež budou součástí nabídky) Zadavatelem požadovaný rozsah a podmínky pojištění (uvedené v této ZD a jejích příslušných přílohách). Současně dodavatel podáním nabídky výslovně souhlasí s tím, že Zadavatelem požadovaný rozsah a podmínky pojištění (uvedené v této ZD a jejích příslušných přílohách) jsou nadřazeny veškerým pojistným podmínkám a smluvním</w:t>
      </w:r>
      <w:r>
        <w:rPr>
          <w:color w:val="231F20"/>
          <w:spacing w:val="-10"/>
        </w:rPr>
        <w:t xml:space="preserve"> </w:t>
      </w:r>
      <w:r>
        <w:rPr>
          <w:color w:val="231F20"/>
        </w:rPr>
        <w:t>ujednáním</w:t>
      </w:r>
      <w:r>
        <w:rPr>
          <w:color w:val="231F20"/>
          <w:spacing w:val="-11"/>
        </w:rPr>
        <w:t xml:space="preserve"> </w:t>
      </w:r>
      <w:r>
        <w:rPr>
          <w:color w:val="231F20"/>
        </w:rPr>
        <w:t>uvedeným</w:t>
      </w:r>
      <w:r>
        <w:rPr>
          <w:color w:val="231F20"/>
          <w:spacing w:val="-10"/>
        </w:rPr>
        <w:t xml:space="preserve"> </w:t>
      </w:r>
      <w:r>
        <w:rPr>
          <w:color w:val="231F20"/>
        </w:rPr>
        <w:t>v</w:t>
      </w:r>
      <w:r>
        <w:rPr>
          <w:color w:val="231F20"/>
          <w:spacing w:val="-9"/>
        </w:rPr>
        <w:t xml:space="preserve"> </w:t>
      </w:r>
      <w:r>
        <w:rPr>
          <w:color w:val="231F20"/>
        </w:rPr>
        <w:t>návrhu</w:t>
      </w:r>
      <w:r>
        <w:rPr>
          <w:color w:val="231F20"/>
          <w:spacing w:val="-10"/>
        </w:rPr>
        <w:t xml:space="preserve"> </w:t>
      </w:r>
      <w:r>
        <w:rPr>
          <w:color w:val="231F20"/>
        </w:rPr>
        <w:t>smlouvy</w:t>
      </w:r>
      <w:r>
        <w:rPr>
          <w:color w:val="231F20"/>
          <w:spacing w:val="-9"/>
        </w:rPr>
        <w:t xml:space="preserve"> </w:t>
      </w:r>
      <w:r>
        <w:rPr>
          <w:color w:val="231F20"/>
        </w:rPr>
        <w:t>pojistitele</w:t>
      </w:r>
      <w:r>
        <w:rPr>
          <w:color w:val="231F20"/>
          <w:spacing w:val="-10"/>
        </w:rPr>
        <w:t xml:space="preserve"> </w:t>
      </w:r>
      <w:r>
        <w:rPr>
          <w:color w:val="231F20"/>
        </w:rPr>
        <w:t>(dodavatele).</w:t>
      </w:r>
      <w:r>
        <w:rPr>
          <w:color w:val="231F20"/>
          <w:spacing w:val="-10"/>
        </w:rPr>
        <w:t xml:space="preserve"> </w:t>
      </w:r>
      <w:r>
        <w:rPr>
          <w:color w:val="231F20"/>
        </w:rPr>
        <w:t>Pokud</w:t>
      </w:r>
      <w:r>
        <w:rPr>
          <w:color w:val="231F20"/>
          <w:spacing w:val="-10"/>
        </w:rPr>
        <w:t xml:space="preserve"> </w:t>
      </w:r>
      <w:r>
        <w:rPr>
          <w:color w:val="231F20"/>
        </w:rPr>
        <w:t>jsou</w:t>
      </w:r>
      <w:r>
        <w:rPr>
          <w:color w:val="231F20"/>
          <w:spacing w:val="-9"/>
        </w:rPr>
        <w:t xml:space="preserve"> </w:t>
      </w:r>
      <w:r>
        <w:rPr>
          <w:color w:val="231F20"/>
        </w:rPr>
        <w:t>jakákoliv ujednání pojistitele (např. ujednání uvedená v návrhu smlouvy, všeobecné pojistné podmínky, zvláštní</w:t>
      </w:r>
      <w:r>
        <w:rPr>
          <w:color w:val="231F20"/>
          <w:spacing w:val="-18"/>
        </w:rPr>
        <w:t xml:space="preserve"> </w:t>
      </w:r>
      <w:r>
        <w:rPr>
          <w:color w:val="231F20"/>
        </w:rPr>
        <w:t>pojistné</w:t>
      </w:r>
      <w:r>
        <w:rPr>
          <w:color w:val="231F20"/>
          <w:spacing w:val="-16"/>
        </w:rPr>
        <w:t xml:space="preserve"> </w:t>
      </w:r>
      <w:r>
        <w:rPr>
          <w:color w:val="231F20"/>
        </w:rPr>
        <w:t>podmínky,</w:t>
      </w:r>
      <w:r>
        <w:rPr>
          <w:color w:val="231F20"/>
          <w:spacing w:val="-16"/>
        </w:rPr>
        <w:t xml:space="preserve"> </w:t>
      </w:r>
      <w:r>
        <w:rPr>
          <w:color w:val="231F20"/>
        </w:rPr>
        <w:t>doplňkové</w:t>
      </w:r>
      <w:r>
        <w:rPr>
          <w:color w:val="231F20"/>
          <w:spacing w:val="-16"/>
        </w:rPr>
        <w:t xml:space="preserve"> </w:t>
      </w:r>
      <w:r>
        <w:rPr>
          <w:color w:val="231F20"/>
        </w:rPr>
        <w:t>pojistné</w:t>
      </w:r>
      <w:r>
        <w:rPr>
          <w:color w:val="231F20"/>
          <w:spacing w:val="-16"/>
        </w:rPr>
        <w:t xml:space="preserve"> </w:t>
      </w:r>
      <w:r>
        <w:rPr>
          <w:color w:val="231F20"/>
        </w:rPr>
        <w:t>podmínky,</w:t>
      </w:r>
      <w:r>
        <w:rPr>
          <w:color w:val="231F20"/>
          <w:spacing w:val="-15"/>
        </w:rPr>
        <w:t xml:space="preserve"> </w:t>
      </w:r>
      <w:r>
        <w:rPr>
          <w:color w:val="231F20"/>
        </w:rPr>
        <w:t>zvláštní</w:t>
      </w:r>
      <w:r>
        <w:rPr>
          <w:color w:val="231F20"/>
          <w:spacing w:val="-16"/>
        </w:rPr>
        <w:t xml:space="preserve"> </w:t>
      </w:r>
      <w:r>
        <w:rPr>
          <w:color w:val="231F20"/>
        </w:rPr>
        <w:t>ujednání</w:t>
      </w:r>
      <w:r>
        <w:rPr>
          <w:color w:val="231F20"/>
          <w:spacing w:val="-17"/>
        </w:rPr>
        <w:t xml:space="preserve"> </w:t>
      </w:r>
      <w:r>
        <w:rPr>
          <w:color w:val="231F20"/>
        </w:rPr>
        <w:t>atp.)</w:t>
      </w:r>
      <w:r>
        <w:rPr>
          <w:color w:val="231F20"/>
          <w:spacing w:val="-16"/>
        </w:rPr>
        <w:t xml:space="preserve"> </w:t>
      </w:r>
      <w:r>
        <w:rPr>
          <w:color w:val="231F20"/>
        </w:rPr>
        <w:t>méně</w:t>
      </w:r>
      <w:r>
        <w:rPr>
          <w:color w:val="231F20"/>
          <w:spacing w:val="-16"/>
        </w:rPr>
        <w:t xml:space="preserve"> </w:t>
      </w:r>
      <w:r>
        <w:rPr>
          <w:color w:val="231F20"/>
        </w:rPr>
        <w:t>výhodné pro Zadavatele, popř. v rozporu se zadávacími podmínkami dle této ZD nebo její příslušné přílohy, mají přednost tyto zadávací</w:t>
      </w:r>
      <w:r>
        <w:rPr>
          <w:color w:val="231F20"/>
          <w:spacing w:val="-5"/>
        </w:rPr>
        <w:t xml:space="preserve"> </w:t>
      </w:r>
      <w:r>
        <w:rPr>
          <w:color w:val="231F20"/>
        </w:rPr>
        <w:t>podmínky.</w:t>
      </w:r>
    </w:p>
    <w:p w14:paraId="00814F4A" w14:textId="77777777" w:rsidR="00F65BCA" w:rsidRDefault="00F65BCA">
      <w:pPr>
        <w:pStyle w:val="Zkladntext"/>
        <w:spacing w:before="9"/>
        <w:rPr>
          <w:sz w:val="20"/>
        </w:rPr>
      </w:pPr>
    </w:p>
    <w:p w14:paraId="7BCB6FB8" w14:textId="77777777" w:rsidR="00F65BCA" w:rsidRDefault="00216117">
      <w:pPr>
        <w:pStyle w:val="Nadpis1"/>
        <w:numPr>
          <w:ilvl w:val="0"/>
          <w:numId w:val="18"/>
        </w:numPr>
        <w:tabs>
          <w:tab w:val="left" w:pos="685"/>
          <w:tab w:val="left" w:pos="686"/>
        </w:tabs>
        <w:ind w:hanging="569"/>
      </w:pPr>
      <w:bookmarkStart w:id="6" w:name="_TOC_250017"/>
      <w:r>
        <w:rPr>
          <w:color w:val="231F20"/>
        </w:rPr>
        <w:t>Místo</w:t>
      </w:r>
      <w:r>
        <w:rPr>
          <w:color w:val="231F20"/>
          <w:spacing w:val="-1"/>
        </w:rPr>
        <w:t xml:space="preserve"> </w:t>
      </w:r>
      <w:bookmarkEnd w:id="6"/>
      <w:r>
        <w:rPr>
          <w:color w:val="231F20"/>
        </w:rPr>
        <w:t>plnění</w:t>
      </w:r>
    </w:p>
    <w:p w14:paraId="4689DBA2" w14:textId="77777777" w:rsidR="00F65BCA" w:rsidRDefault="00216117">
      <w:pPr>
        <w:pStyle w:val="Nadpis3"/>
        <w:spacing w:before="119"/>
        <w:ind w:left="117"/>
        <w:jc w:val="left"/>
      </w:pPr>
      <w:r>
        <w:rPr>
          <w:color w:val="231F20"/>
        </w:rPr>
        <w:t>Místa plnění předmětu veřejné zakázky jsou uvedena v přílohách této ZD příslušných</w:t>
      </w:r>
    </w:p>
    <w:p w14:paraId="31BBA98C" w14:textId="77777777" w:rsidR="00F65BCA" w:rsidRDefault="00216117">
      <w:pPr>
        <w:pStyle w:val="Nadpis3"/>
        <w:spacing w:before="1"/>
        <w:ind w:left="117"/>
        <w:jc w:val="left"/>
      </w:pPr>
      <w:r>
        <w:rPr>
          <w:color w:val="231F20"/>
        </w:rPr>
        <w:t>k jednotlivým pojištěním.</w:t>
      </w:r>
    </w:p>
    <w:p w14:paraId="07643595" w14:textId="77777777" w:rsidR="00F65BCA" w:rsidRDefault="00F65BCA">
      <w:pPr>
        <w:pStyle w:val="Zkladntext"/>
        <w:spacing w:before="10"/>
        <w:rPr>
          <w:sz w:val="20"/>
        </w:rPr>
      </w:pPr>
    </w:p>
    <w:p w14:paraId="2A6840D0" w14:textId="77777777" w:rsidR="00F65BCA" w:rsidRDefault="00216117">
      <w:pPr>
        <w:pStyle w:val="Nadpis1"/>
        <w:numPr>
          <w:ilvl w:val="0"/>
          <w:numId w:val="18"/>
        </w:numPr>
        <w:tabs>
          <w:tab w:val="left" w:pos="685"/>
          <w:tab w:val="left" w:pos="686"/>
        </w:tabs>
        <w:ind w:hanging="569"/>
      </w:pPr>
      <w:bookmarkStart w:id="7" w:name="_TOC_250016"/>
      <w:r>
        <w:rPr>
          <w:color w:val="231F20"/>
        </w:rPr>
        <w:t>Prohlídka místa</w:t>
      </w:r>
      <w:r>
        <w:rPr>
          <w:color w:val="231F20"/>
          <w:spacing w:val="-3"/>
        </w:rPr>
        <w:t xml:space="preserve"> </w:t>
      </w:r>
      <w:bookmarkEnd w:id="7"/>
      <w:r>
        <w:rPr>
          <w:color w:val="231F20"/>
        </w:rPr>
        <w:t>plnění</w:t>
      </w:r>
    </w:p>
    <w:p w14:paraId="7C8B416D" w14:textId="77777777" w:rsidR="00F65BCA" w:rsidRDefault="00216117">
      <w:pPr>
        <w:pStyle w:val="Nadpis3"/>
        <w:spacing w:before="119"/>
        <w:ind w:left="117"/>
        <w:jc w:val="left"/>
      </w:pPr>
      <w:r>
        <w:rPr>
          <w:color w:val="231F20"/>
        </w:rPr>
        <w:t>S ohledem na povahu předmětu plnění se prohlídka místa plnění neuskuteční.</w:t>
      </w:r>
    </w:p>
    <w:p w14:paraId="0559F8F3" w14:textId="77777777" w:rsidR="00F65BCA" w:rsidRDefault="00F65BCA">
      <w:pPr>
        <w:pStyle w:val="Zkladntext"/>
        <w:spacing w:before="9"/>
        <w:rPr>
          <w:sz w:val="20"/>
        </w:rPr>
      </w:pPr>
    </w:p>
    <w:p w14:paraId="67B0299D" w14:textId="77777777" w:rsidR="00F65BCA" w:rsidRDefault="00216117">
      <w:pPr>
        <w:pStyle w:val="Nadpis1"/>
        <w:numPr>
          <w:ilvl w:val="0"/>
          <w:numId w:val="18"/>
        </w:numPr>
        <w:tabs>
          <w:tab w:val="left" w:pos="685"/>
          <w:tab w:val="left" w:pos="686"/>
        </w:tabs>
        <w:spacing w:before="1"/>
        <w:ind w:hanging="569"/>
      </w:pPr>
      <w:bookmarkStart w:id="8" w:name="_TOC_250015"/>
      <w:r>
        <w:rPr>
          <w:color w:val="231F20"/>
        </w:rPr>
        <w:t>Doba</w:t>
      </w:r>
      <w:r>
        <w:rPr>
          <w:color w:val="231F20"/>
          <w:spacing w:val="-1"/>
        </w:rPr>
        <w:t xml:space="preserve"> </w:t>
      </w:r>
      <w:bookmarkEnd w:id="8"/>
      <w:r>
        <w:rPr>
          <w:color w:val="231F20"/>
        </w:rPr>
        <w:t>plnění</w:t>
      </w:r>
    </w:p>
    <w:p w14:paraId="6C3953BC" w14:textId="77777777" w:rsidR="00F65BCA" w:rsidRDefault="00216117">
      <w:pPr>
        <w:pStyle w:val="Nadpis3"/>
        <w:spacing w:before="119"/>
        <w:ind w:left="117" w:right="107"/>
        <w:jc w:val="left"/>
      </w:pPr>
      <w:r>
        <w:rPr>
          <w:color w:val="231F20"/>
        </w:rPr>
        <w:t>Všechny</w:t>
      </w:r>
      <w:r>
        <w:rPr>
          <w:color w:val="231F20"/>
          <w:spacing w:val="-14"/>
        </w:rPr>
        <w:t xml:space="preserve"> </w:t>
      </w:r>
      <w:r>
        <w:rPr>
          <w:color w:val="231F20"/>
        </w:rPr>
        <w:t>pojistné</w:t>
      </w:r>
      <w:r>
        <w:rPr>
          <w:color w:val="231F20"/>
          <w:spacing w:val="-15"/>
        </w:rPr>
        <w:t xml:space="preserve"> </w:t>
      </w:r>
      <w:r>
        <w:rPr>
          <w:color w:val="231F20"/>
        </w:rPr>
        <w:t>smlouvy</w:t>
      </w:r>
      <w:r>
        <w:rPr>
          <w:color w:val="231F20"/>
          <w:spacing w:val="-14"/>
        </w:rPr>
        <w:t xml:space="preserve"> </w:t>
      </w:r>
      <w:r>
        <w:rPr>
          <w:color w:val="231F20"/>
        </w:rPr>
        <w:t>se</w:t>
      </w:r>
      <w:r>
        <w:rPr>
          <w:color w:val="231F20"/>
          <w:spacing w:val="-14"/>
        </w:rPr>
        <w:t xml:space="preserve"> </w:t>
      </w:r>
      <w:r>
        <w:rPr>
          <w:color w:val="231F20"/>
        </w:rPr>
        <w:t>uzavírají</w:t>
      </w:r>
      <w:r>
        <w:rPr>
          <w:color w:val="231F20"/>
          <w:spacing w:val="-14"/>
        </w:rPr>
        <w:t xml:space="preserve"> </w:t>
      </w:r>
      <w:r>
        <w:rPr>
          <w:color w:val="231F20"/>
        </w:rPr>
        <w:t>na</w:t>
      </w:r>
      <w:r>
        <w:rPr>
          <w:color w:val="231F20"/>
          <w:spacing w:val="-14"/>
        </w:rPr>
        <w:t xml:space="preserve"> </w:t>
      </w:r>
      <w:r>
        <w:rPr>
          <w:color w:val="231F20"/>
        </w:rPr>
        <w:t>dobu</w:t>
      </w:r>
      <w:r>
        <w:rPr>
          <w:color w:val="231F20"/>
          <w:spacing w:val="-16"/>
        </w:rPr>
        <w:t xml:space="preserve"> </w:t>
      </w:r>
      <w:r>
        <w:rPr>
          <w:color w:val="231F20"/>
        </w:rPr>
        <w:t>od</w:t>
      </w:r>
      <w:r>
        <w:rPr>
          <w:color w:val="231F20"/>
          <w:spacing w:val="-15"/>
        </w:rPr>
        <w:t xml:space="preserve"> </w:t>
      </w:r>
      <w:r>
        <w:rPr>
          <w:color w:val="231F20"/>
        </w:rPr>
        <w:t>1.</w:t>
      </w:r>
      <w:r>
        <w:rPr>
          <w:color w:val="231F20"/>
          <w:spacing w:val="-13"/>
        </w:rPr>
        <w:t xml:space="preserve"> </w:t>
      </w:r>
      <w:r>
        <w:rPr>
          <w:color w:val="231F20"/>
        </w:rPr>
        <w:t>1.</w:t>
      </w:r>
      <w:r>
        <w:rPr>
          <w:color w:val="231F20"/>
          <w:spacing w:val="-15"/>
        </w:rPr>
        <w:t xml:space="preserve"> </w:t>
      </w:r>
      <w:r>
        <w:rPr>
          <w:color w:val="231F20"/>
        </w:rPr>
        <w:t>2026</w:t>
      </w:r>
      <w:r>
        <w:rPr>
          <w:color w:val="231F20"/>
          <w:spacing w:val="-14"/>
        </w:rPr>
        <w:t xml:space="preserve"> </w:t>
      </w:r>
      <w:r>
        <w:rPr>
          <w:color w:val="231F20"/>
        </w:rPr>
        <w:t>do</w:t>
      </w:r>
      <w:r>
        <w:rPr>
          <w:color w:val="231F20"/>
          <w:spacing w:val="-14"/>
        </w:rPr>
        <w:t xml:space="preserve"> </w:t>
      </w:r>
      <w:r>
        <w:rPr>
          <w:color w:val="231F20"/>
        </w:rPr>
        <w:t>31.</w:t>
      </w:r>
      <w:r>
        <w:rPr>
          <w:color w:val="231F20"/>
          <w:spacing w:val="-14"/>
        </w:rPr>
        <w:t xml:space="preserve"> </w:t>
      </w:r>
      <w:r>
        <w:rPr>
          <w:color w:val="231F20"/>
        </w:rPr>
        <w:t>12.</w:t>
      </w:r>
      <w:r>
        <w:rPr>
          <w:color w:val="231F20"/>
          <w:spacing w:val="-14"/>
        </w:rPr>
        <w:t xml:space="preserve"> </w:t>
      </w:r>
      <w:r>
        <w:rPr>
          <w:color w:val="231F20"/>
        </w:rPr>
        <w:t>2028,</w:t>
      </w:r>
      <w:r>
        <w:rPr>
          <w:color w:val="231F20"/>
          <w:spacing w:val="-14"/>
        </w:rPr>
        <w:t xml:space="preserve"> </w:t>
      </w:r>
      <w:r>
        <w:rPr>
          <w:color w:val="231F20"/>
        </w:rPr>
        <w:t>přičemž</w:t>
      </w:r>
      <w:r>
        <w:rPr>
          <w:color w:val="231F20"/>
          <w:spacing w:val="-15"/>
        </w:rPr>
        <w:t xml:space="preserve"> </w:t>
      </w:r>
      <w:r>
        <w:rPr>
          <w:color w:val="231F20"/>
        </w:rPr>
        <w:t>jednotlivá pojistná období budou odpovídat požadavku Zadavatele uvedeného v čl. 18.5 této</w:t>
      </w:r>
      <w:r>
        <w:rPr>
          <w:color w:val="231F20"/>
          <w:spacing w:val="-22"/>
        </w:rPr>
        <w:t xml:space="preserve"> </w:t>
      </w:r>
      <w:r>
        <w:rPr>
          <w:color w:val="231F20"/>
        </w:rPr>
        <w:t>ZD.</w:t>
      </w:r>
    </w:p>
    <w:p w14:paraId="6E4E3C1E" w14:textId="77777777" w:rsidR="00F65BCA" w:rsidRDefault="00F65BCA">
      <w:pPr>
        <w:pStyle w:val="Zkladntext"/>
        <w:spacing w:before="10"/>
        <w:rPr>
          <w:sz w:val="20"/>
        </w:rPr>
      </w:pPr>
    </w:p>
    <w:p w14:paraId="4A654F99" w14:textId="77777777" w:rsidR="00F65BCA" w:rsidRDefault="00216117">
      <w:pPr>
        <w:pStyle w:val="Nadpis1"/>
        <w:numPr>
          <w:ilvl w:val="0"/>
          <w:numId w:val="18"/>
        </w:numPr>
        <w:tabs>
          <w:tab w:val="left" w:pos="685"/>
          <w:tab w:val="left" w:pos="686"/>
        </w:tabs>
        <w:spacing w:before="1"/>
        <w:ind w:hanging="569"/>
      </w:pPr>
      <w:bookmarkStart w:id="9" w:name="_TOC_250014"/>
      <w:bookmarkEnd w:id="9"/>
      <w:r>
        <w:rPr>
          <w:color w:val="231F20"/>
        </w:rPr>
        <w:t>Zadávací lhůta</w:t>
      </w:r>
    </w:p>
    <w:p w14:paraId="2BAB6E6F" w14:textId="77777777" w:rsidR="00F65BCA" w:rsidRDefault="00216117">
      <w:pPr>
        <w:pStyle w:val="Nadpis3"/>
        <w:spacing w:before="119"/>
        <w:ind w:left="117"/>
        <w:jc w:val="left"/>
      </w:pPr>
      <w:r>
        <w:rPr>
          <w:color w:val="231F20"/>
        </w:rPr>
        <w:t>Zadávací lhůta ve smyslu § 40 ZZVZ není stanovena.</w:t>
      </w:r>
    </w:p>
    <w:p w14:paraId="6AB86799" w14:textId="77777777" w:rsidR="00F65BCA" w:rsidRDefault="00F65BCA">
      <w:pPr>
        <w:pStyle w:val="Zkladntext"/>
        <w:spacing w:before="11"/>
        <w:rPr>
          <w:sz w:val="20"/>
        </w:rPr>
      </w:pPr>
    </w:p>
    <w:p w14:paraId="3F6B392A" w14:textId="77777777" w:rsidR="00F65BCA" w:rsidRDefault="00216117">
      <w:pPr>
        <w:pStyle w:val="Nadpis1"/>
        <w:numPr>
          <w:ilvl w:val="0"/>
          <w:numId w:val="18"/>
        </w:numPr>
        <w:tabs>
          <w:tab w:val="left" w:pos="685"/>
          <w:tab w:val="left" w:pos="686"/>
        </w:tabs>
        <w:ind w:hanging="569"/>
      </w:pPr>
      <w:bookmarkStart w:id="10" w:name="_TOC_250013"/>
      <w:bookmarkEnd w:id="10"/>
      <w:r>
        <w:rPr>
          <w:color w:val="231F20"/>
        </w:rPr>
        <w:t>Jistota</w:t>
      </w:r>
    </w:p>
    <w:p w14:paraId="0F7CDF45" w14:textId="77777777" w:rsidR="00F65BCA" w:rsidRDefault="00216117">
      <w:pPr>
        <w:pStyle w:val="Nadpis3"/>
        <w:spacing w:before="119"/>
        <w:ind w:left="117"/>
        <w:jc w:val="left"/>
      </w:pPr>
      <w:r>
        <w:rPr>
          <w:color w:val="231F20"/>
        </w:rPr>
        <w:t>Zadavatel nepožaduje poskytnutí jistoty.</w:t>
      </w:r>
    </w:p>
    <w:p w14:paraId="448E19D5" w14:textId="77777777" w:rsidR="00F65BCA" w:rsidRDefault="00F65BCA">
      <w:pPr>
        <w:pStyle w:val="Zkladntext"/>
        <w:spacing w:before="10"/>
        <w:rPr>
          <w:sz w:val="20"/>
        </w:rPr>
      </w:pPr>
    </w:p>
    <w:p w14:paraId="1A81C9F6" w14:textId="77777777" w:rsidR="00F65BCA" w:rsidRDefault="00216117">
      <w:pPr>
        <w:pStyle w:val="Nadpis1"/>
        <w:numPr>
          <w:ilvl w:val="0"/>
          <w:numId w:val="18"/>
        </w:numPr>
        <w:tabs>
          <w:tab w:val="left" w:pos="686"/>
        </w:tabs>
        <w:spacing w:before="1"/>
        <w:ind w:hanging="569"/>
        <w:jc w:val="both"/>
      </w:pPr>
      <w:bookmarkStart w:id="11" w:name="_TOC_250012"/>
      <w:r>
        <w:rPr>
          <w:color w:val="231F20"/>
        </w:rPr>
        <w:t>Způsob podání</w:t>
      </w:r>
      <w:r>
        <w:rPr>
          <w:color w:val="231F20"/>
          <w:spacing w:val="-1"/>
        </w:rPr>
        <w:t xml:space="preserve"> </w:t>
      </w:r>
      <w:bookmarkEnd w:id="11"/>
      <w:r>
        <w:rPr>
          <w:color w:val="231F20"/>
        </w:rPr>
        <w:t>nabídky</w:t>
      </w:r>
    </w:p>
    <w:p w14:paraId="002DA415" w14:textId="77777777" w:rsidR="00F65BCA" w:rsidRDefault="00216117">
      <w:pPr>
        <w:pStyle w:val="Nadpis3"/>
        <w:numPr>
          <w:ilvl w:val="1"/>
          <w:numId w:val="17"/>
        </w:numPr>
        <w:tabs>
          <w:tab w:val="left" w:pos="686"/>
        </w:tabs>
        <w:spacing w:before="118"/>
        <w:ind w:right="114"/>
        <w:jc w:val="both"/>
      </w:pPr>
      <w:r>
        <w:rPr>
          <w:color w:val="231F20"/>
        </w:rPr>
        <w:t>Nabídku lze podat ve lhůtě pro podání nabídek výhradně v elektronické podobě prostřednictvím elektronického nástroje (portálu) E-ZAK – příslušného odkazu dle čl. 1 této ZD, a to po předchozí</w:t>
      </w:r>
      <w:r>
        <w:rPr>
          <w:color w:val="231F20"/>
          <w:spacing w:val="-2"/>
        </w:rPr>
        <w:t xml:space="preserve"> </w:t>
      </w:r>
      <w:r>
        <w:rPr>
          <w:color w:val="231F20"/>
        </w:rPr>
        <w:t>registraci.</w:t>
      </w:r>
    </w:p>
    <w:p w14:paraId="71FC7891" w14:textId="77777777" w:rsidR="00F65BCA" w:rsidRDefault="00216117">
      <w:pPr>
        <w:pStyle w:val="Nadpis3"/>
        <w:numPr>
          <w:ilvl w:val="1"/>
          <w:numId w:val="17"/>
        </w:numPr>
        <w:tabs>
          <w:tab w:val="left" w:pos="686"/>
        </w:tabs>
        <w:ind w:right="112"/>
        <w:jc w:val="both"/>
      </w:pPr>
      <w:r>
        <w:rPr>
          <w:color w:val="231F20"/>
        </w:rPr>
        <w:t>Registraci dodavatele (pokud dodavatel dosud není v E-ZAK registrován) lze provést     v elektronickém nástroji E-ZAK na adrese</w:t>
      </w:r>
      <w:r>
        <w:rPr>
          <w:color w:val="3453A4"/>
        </w:rPr>
        <w:t xml:space="preserve"> </w:t>
      </w:r>
      <w:r>
        <w:rPr>
          <w:color w:val="3453A4"/>
          <w:u w:val="single" w:color="3453A4"/>
        </w:rPr>
        <w:t>https://zakazky.zcu.cz/registrace.html</w:t>
      </w:r>
      <w:r>
        <w:rPr>
          <w:color w:val="231F20"/>
        </w:rPr>
        <w:t>, resp. prostřednictvím</w:t>
      </w:r>
      <w:r>
        <w:rPr>
          <w:color w:val="231F20"/>
          <w:spacing w:val="-9"/>
        </w:rPr>
        <w:t xml:space="preserve"> </w:t>
      </w:r>
      <w:r>
        <w:rPr>
          <w:color w:val="231F20"/>
        </w:rPr>
        <w:t>FEN</w:t>
      </w:r>
      <w:r>
        <w:rPr>
          <w:color w:val="231F20"/>
          <w:spacing w:val="-8"/>
        </w:rPr>
        <w:t xml:space="preserve"> </w:t>
      </w:r>
      <w:r>
        <w:rPr>
          <w:color w:val="231F20"/>
        </w:rPr>
        <w:t>na</w:t>
      </w:r>
      <w:r>
        <w:rPr>
          <w:color w:val="231F20"/>
          <w:spacing w:val="-7"/>
        </w:rPr>
        <w:t xml:space="preserve"> </w:t>
      </w:r>
      <w:r>
        <w:rPr>
          <w:color w:val="231F20"/>
        </w:rPr>
        <w:t>adrese</w:t>
      </w:r>
      <w:r>
        <w:rPr>
          <w:color w:val="3453A4"/>
          <w:spacing w:val="-6"/>
        </w:rPr>
        <w:t xml:space="preserve"> </w:t>
      </w:r>
      <w:r>
        <w:rPr>
          <w:color w:val="3453A4"/>
          <w:u w:val="single" w:color="3453A4"/>
        </w:rPr>
        <w:t>https://fen.cz/#/registrace</w:t>
      </w:r>
      <w:r>
        <w:rPr>
          <w:color w:val="231F20"/>
        </w:rPr>
        <w:t>.V</w:t>
      </w:r>
      <w:r>
        <w:rPr>
          <w:color w:val="231F20"/>
          <w:spacing w:val="-6"/>
        </w:rPr>
        <w:t xml:space="preserve"> </w:t>
      </w:r>
      <w:r>
        <w:rPr>
          <w:color w:val="231F20"/>
        </w:rPr>
        <w:t>případě</w:t>
      </w:r>
      <w:r>
        <w:rPr>
          <w:color w:val="231F20"/>
          <w:spacing w:val="-7"/>
        </w:rPr>
        <w:t xml:space="preserve"> </w:t>
      </w:r>
      <w:r>
        <w:rPr>
          <w:color w:val="231F20"/>
        </w:rPr>
        <w:t>jakýchkoli</w:t>
      </w:r>
      <w:r>
        <w:rPr>
          <w:color w:val="231F20"/>
          <w:spacing w:val="-8"/>
        </w:rPr>
        <w:t xml:space="preserve"> </w:t>
      </w:r>
      <w:r>
        <w:rPr>
          <w:color w:val="231F20"/>
        </w:rPr>
        <w:t>nejasností či</w:t>
      </w:r>
      <w:r>
        <w:rPr>
          <w:color w:val="231F20"/>
          <w:spacing w:val="-9"/>
        </w:rPr>
        <w:t xml:space="preserve"> </w:t>
      </w:r>
      <w:r>
        <w:rPr>
          <w:color w:val="231F20"/>
        </w:rPr>
        <w:t>problému</w:t>
      </w:r>
      <w:r>
        <w:rPr>
          <w:color w:val="231F20"/>
          <w:spacing w:val="-9"/>
        </w:rPr>
        <w:t xml:space="preserve"> </w:t>
      </w:r>
      <w:r>
        <w:rPr>
          <w:color w:val="231F20"/>
        </w:rPr>
        <w:t>při</w:t>
      </w:r>
      <w:r>
        <w:rPr>
          <w:color w:val="231F20"/>
          <w:spacing w:val="-9"/>
        </w:rPr>
        <w:t xml:space="preserve"> </w:t>
      </w:r>
      <w:r>
        <w:rPr>
          <w:color w:val="231F20"/>
        </w:rPr>
        <w:t>registraci</w:t>
      </w:r>
      <w:r>
        <w:rPr>
          <w:color w:val="231F20"/>
          <w:spacing w:val="-10"/>
        </w:rPr>
        <w:t xml:space="preserve"> </w:t>
      </w:r>
      <w:r>
        <w:rPr>
          <w:color w:val="231F20"/>
        </w:rPr>
        <w:t>či</w:t>
      </w:r>
      <w:r>
        <w:rPr>
          <w:color w:val="231F20"/>
          <w:spacing w:val="-9"/>
        </w:rPr>
        <w:t xml:space="preserve"> </w:t>
      </w:r>
      <w:r>
        <w:rPr>
          <w:color w:val="231F20"/>
        </w:rPr>
        <w:t>podání</w:t>
      </w:r>
      <w:r>
        <w:rPr>
          <w:color w:val="231F20"/>
          <w:spacing w:val="-9"/>
        </w:rPr>
        <w:t xml:space="preserve"> </w:t>
      </w:r>
      <w:r>
        <w:rPr>
          <w:color w:val="231F20"/>
        </w:rPr>
        <w:t>nabídky</w:t>
      </w:r>
      <w:r>
        <w:rPr>
          <w:color w:val="231F20"/>
          <w:spacing w:val="-8"/>
        </w:rPr>
        <w:t xml:space="preserve"> </w:t>
      </w:r>
      <w:r>
        <w:rPr>
          <w:color w:val="231F20"/>
        </w:rPr>
        <w:t>doporučuje</w:t>
      </w:r>
      <w:r>
        <w:rPr>
          <w:color w:val="231F20"/>
          <w:spacing w:val="-10"/>
        </w:rPr>
        <w:t xml:space="preserve"> </w:t>
      </w:r>
      <w:r>
        <w:rPr>
          <w:color w:val="231F20"/>
        </w:rPr>
        <w:t>Zadavatel</w:t>
      </w:r>
      <w:r>
        <w:rPr>
          <w:color w:val="231F20"/>
          <w:spacing w:val="-8"/>
        </w:rPr>
        <w:t xml:space="preserve"> </w:t>
      </w:r>
      <w:r>
        <w:rPr>
          <w:color w:val="231F20"/>
        </w:rPr>
        <w:t>kontaktovat</w:t>
      </w:r>
      <w:r>
        <w:rPr>
          <w:color w:val="231F20"/>
          <w:spacing w:val="-10"/>
        </w:rPr>
        <w:t xml:space="preserve"> </w:t>
      </w:r>
      <w:r>
        <w:rPr>
          <w:color w:val="231F20"/>
        </w:rPr>
        <w:t>podporu</w:t>
      </w:r>
      <w:r>
        <w:rPr>
          <w:color w:val="231F20"/>
          <w:spacing w:val="-9"/>
        </w:rPr>
        <w:t xml:space="preserve"> </w:t>
      </w:r>
      <w:r>
        <w:rPr>
          <w:color w:val="231F20"/>
          <w:spacing w:val="3"/>
        </w:rPr>
        <w:t xml:space="preserve">E- </w:t>
      </w:r>
      <w:r>
        <w:rPr>
          <w:color w:val="231F20"/>
        </w:rPr>
        <w:t xml:space="preserve">ZAK </w:t>
      </w:r>
      <w:hyperlink r:id="rId63">
        <w:r>
          <w:rPr>
            <w:color w:val="231F20"/>
          </w:rPr>
          <w:t>(</w:t>
        </w:r>
        <w:r>
          <w:rPr>
            <w:color w:val="3453A4"/>
            <w:u w:val="single" w:color="3453A4"/>
          </w:rPr>
          <w:t>podpora@ezak.cz</w:t>
        </w:r>
        <w:r>
          <w:rPr>
            <w:color w:val="231F20"/>
          </w:rPr>
          <w:t xml:space="preserve">, </w:t>
        </w:r>
      </w:hyperlink>
      <w:r>
        <w:rPr>
          <w:color w:val="231F20"/>
        </w:rPr>
        <w:t>tel.: +420 538 702</w:t>
      </w:r>
      <w:r>
        <w:rPr>
          <w:color w:val="231F20"/>
          <w:spacing w:val="-2"/>
        </w:rPr>
        <w:t xml:space="preserve"> </w:t>
      </w:r>
      <w:r>
        <w:rPr>
          <w:color w:val="231F20"/>
        </w:rPr>
        <w:t>719).</w:t>
      </w:r>
    </w:p>
    <w:p w14:paraId="7DAA42B1" w14:textId="77777777" w:rsidR="00F65BCA" w:rsidRDefault="00F65BCA">
      <w:pPr>
        <w:pStyle w:val="Zkladntext"/>
        <w:spacing w:before="9"/>
        <w:rPr>
          <w:sz w:val="20"/>
        </w:rPr>
      </w:pPr>
    </w:p>
    <w:p w14:paraId="07CD7DCF" w14:textId="77777777" w:rsidR="00F65BCA" w:rsidRDefault="00216117">
      <w:pPr>
        <w:pStyle w:val="Nadpis1"/>
        <w:numPr>
          <w:ilvl w:val="0"/>
          <w:numId w:val="18"/>
        </w:numPr>
        <w:tabs>
          <w:tab w:val="left" w:pos="685"/>
          <w:tab w:val="left" w:pos="686"/>
        </w:tabs>
        <w:spacing w:before="1"/>
        <w:ind w:hanging="569"/>
      </w:pPr>
      <w:bookmarkStart w:id="12" w:name="_TOC_250011"/>
      <w:r>
        <w:rPr>
          <w:color w:val="231F20"/>
        </w:rPr>
        <w:t>Požadavky na jednotný způsob zpracování</w:t>
      </w:r>
      <w:r>
        <w:rPr>
          <w:color w:val="231F20"/>
          <w:spacing w:val="-5"/>
        </w:rPr>
        <w:t xml:space="preserve"> </w:t>
      </w:r>
      <w:bookmarkEnd w:id="12"/>
      <w:r>
        <w:rPr>
          <w:color w:val="231F20"/>
        </w:rPr>
        <w:t>nabídky</w:t>
      </w:r>
    </w:p>
    <w:p w14:paraId="71602B43" w14:textId="77777777" w:rsidR="00F65BCA" w:rsidRDefault="00216117">
      <w:pPr>
        <w:pStyle w:val="Nadpis3"/>
        <w:numPr>
          <w:ilvl w:val="1"/>
          <w:numId w:val="18"/>
        </w:numPr>
        <w:tabs>
          <w:tab w:val="left" w:pos="686"/>
        </w:tabs>
        <w:spacing w:before="119"/>
        <w:ind w:hanging="569"/>
      </w:pPr>
      <w:r>
        <w:rPr>
          <w:color w:val="231F20"/>
        </w:rPr>
        <w:t>Nabídka bude podána písemně v elektronické podobě a v českém</w:t>
      </w:r>
      <w:r>
        <w:rPr>
          <w:color w:val="231F20"/>
          <w:spacing w:val="-10"/>
        </w:rPr>
        <w:t xml:space="preserve"> </w:t>
      </w:r>
      <w:r>
        <w:rPr>
          <w:color w:val="231F20"/>
        </w:rPr>
        <w:t>jazyce.</w:t>
      </w:r>
    </w:p>
    <w:p w14:paraId="1168AAF8" w14:textId="77777777" w:rsidR="00F65BCA" w:rsidRDefault="00216117">
      <w:pPr>
        <w:pStyle w:val="Nadpis3"/>
        <w:numPr>
          <w:ilvl w:val="1"/>
          <w:numId w:val="18"/>
        </w:numPr>
        <w:tabs>
          <w:tab w:val="left" w:pos="686"/>
        </w:tabs>
        <w:ind w:hanging="569"/>
      </w:pPr>
      <w:r>
        <w:rPr>
          <w:color w:val="231F20"/>
        </w:rPr>
        <w:t>Varianty nabídky se</w:t>
      </w:r>
      <w:r>
        <w:rPr>
          <w:color w:val="231F20"/>
          <w:spacing w:val="-1"/>
        </w:rPr>
        <w:t xml:space="preserve"> </w:t>
      </w:r>
      <w:r>
        <w:rPr>
          <w:color w:val="231F20"/>
        </w:rPr>
        <w:t>nepřipouští.</w:t>
      </w:r>
    </w:p>
    <w:p w14:paraId="7773A8DC" w14:textId="77777777" w:rsidR="00F65BCA" w:rsidRDefault="00216117">
      <w:pPr>
        <w:pStyle w:val="Nadpis3"/>
        <w:numPr>
          <w:ilvl w:val="1"/>
          <w:numId w:val="18"/>
        </w:numPr>
        <w:tabs>
          <w:tab w:val="left" w:pos="686"/>
        </w:tabs>
        <w:ind w:hanging="569"/>
      </w:pPr>
      <w:r>
        <w:rPr>
          <w:color w:val="231F20"/>
        </w:rPr>
        <w:t>Součástí zadávacích podmínek není návrh</w:t>
      </w:r>
      <w:r>
        <w:rPr>
          <w:color w:val="231F20"/>
          <w:spacing w:val="-4"/>
        </w:rPr>
        <w:t xml:space="preserve"> </w:t>
      </w:r>
      <w:r>
        <w:rPr>
          <w:color w:val="231F20"/>
        </w:rPr>
        <w:t>smlouvy.</w:t>
      </w:r>
    </w:p>
    <w:p w14:paraId="2B21E5AD" w14:textId="77777777" w:rsidR="00F65BCA" w:rsidRDefault="00216117">
      <w:pPr>
        <w:pStyle w:val="Nadpis3"/>
        <w:numPr>
          <w:ilvl w:val="1"/>
          <w:numId w:val="18"/>
        </w:numPr>
        <w:tabs>
          <w:tab w:val="left" w:pos="686"/>
        </w:tabs>
        <w:spacing w:before="119"/>
        <w:ind w:right="111"/>
        <w:jc w:val="both"/>
      </w:pPr>
      <w:r>
        <w:rPr>
          <w:color w:val="231F20"/>
        </w:rPr>
        <w:t>Návrh smlouvy, jenž bude v souladu s podmínkami uvedenými v této ZD a jejích příslušných přílohách, předloží dodavatel jako součást své nabídky, a to pro každou část VZ</w:t>
      </w:r>
      <w:r>
        <w:rPr>
          <w:color w:val="231F20"/>
          <w:spacing w:val="-9"/>
        </w:rPr>
        <w:t xml:space="preserve"> </w:t>
      </w:r>
      <w:r>
        <w:rPr>
          <w:color w:val="231F20"/>
        </w:rPr>
        <w:t>samostatně</w:t>
      </w:r>
      <w:r>
        <w:rPr>
          <w:color w:val="231F20"/>
          <w:spacing w:val="-9"/>
        </w:rPr>
        <w:t xml:space="preserve"> </w:t>
      </w:r>
      <w:r>
        <w:rPr>
          <w:color w:val="231F20"/>
        </w:rPr>
        <w:t>(tj.</w:t>
      </w:r>
      <w:r>
        <w:rPr>
          <w:color w:val="231F20"/>
          <w:spacing w:val="-9"/>
        </w:rPr>
        <w:t xml:space="preserve"> </w:t>
      </w:r>
      <w:r>
        <w:rPr>
          <w:color w:val="231F20"/>
        </w:rPr>
        <w:t>bude-li</w:t>
      </w:r>
      <w:r>
        <w:rPr>
          <w:color w:val="231F20"/>
          <w:spacing w:val="-8"/>
        </w:rPr>
        <w:t xml:space="preserve"> </w:t>
      </w:r>
      <w:r>
        <w:rPr>
          <w:color w:val="231F20"/>
        </w:rPr>
        <w:t>dodavatel</w:t>
      </w:r>
      <w:r>
        <w:rPr>
          <w:color w:val="231F20"/>
          <w:spacing w:val="-10"/>
        </w:rPr>
        <w:t xml:space="preserve"> </w:t>
      </w:r>
      <w:r>
        <w:rPr>
          <w:color w:val="231F20"/>
        </w:rPr>
        <w:t>podávat</w:t>
      </w:r>
      <w:r>
        <w:rPr>
          <w:color w:val="231F20"/>
          <w:spacing w:val="-8"/>
        </w:rPr>
        <w:t xml:space="preserve"> </w:t>
      </w:r>
      <w:r>
        <w:rPr>
          <w:color w:val="231F20"/>
        </w:rPr>
        <w:t>nabídku</w:t>
      </w:r>
      <w:r>
        <w:rPr>
          <w:color w:val="231F20"/>
          <w:spacing w:val="-9"/>
        </w:rPr>
        <w:t xml:space="preserve"> </w:t>
      </w:r>
      <w:r>
        <w:rPr>
          <w:color w:val="231F20"/>
        </w:rPr>
        <w:t>např.</w:t>
      </w:r>
      <w:r>
        <w:rPr>
          <w:color w:val="231F20"/>
          <w:spacing w:val="-10"/>
        </w:rPr>
        <w:t xml:space="preserve"> </w:t>
      </w:r>
      <w:r>
        <w:rPr>
          <w:color w:val="231F20"/>
        </w:rPr>
        <w:t>na</w:t>
      </w:r>
      <w:r>
        <w:rPr>
          <w:color w:val="231F20"/>
          <w:spacing w:val="-9"/>
        </w:rPr>
        <w:t xml:space="preserve"> </w:t>
      </w:r>
      <w:r>
        <w:rPr>
          <w:color w:val="231F20"/>
        </w:rPr>
        <w:t>všechny</w:t>
      </w:r>
      <w:r>
        <w:rPr>
          <w:color w:val="231F20"/>
          <w:spacing w:val="-10"/>
        </w:rPr>
        <w:t xml:space="preserve"> </w:t>
      </w:r>
      <w:r>
        <w:rPr>
          <w:color w:val="231F20"/>
        </w:rPr>
        <w:t>části</w:t>
      </w:r>
      <w:r>
        <w:rPr>
          <w:color w:val="231F20"/>
          <w:spacing w:val="-8"/>
        </w:rPr>
        <w:t xml:space="preserve"> </w:t>
      </w:r>
      <w:r>
        <w:rPr>
          <w:color w:val="231F20"/>
        </w:rPr>
        <w:t>VZ,</w:t>
      </w:r>
      <w:r>
        <w:rPr>
          <w:color w:val="231F20"/>
          <w:spacing w:val="-8"/>
        </w:rPr>
        <w:t xml:space="preserve"> </w:t>
      </w:r>
      <w:r>
        <w:rPr>
          <w:color w:val="231F20"/>
        </w:rPr>
        <w:t>předloží čtyři (4) samostatné návrhy</w:t>
      </w:r>
      <w:r>
        <w:rPr>
          <w:color w:val="231F20"/>
          <w:spacing w:val="-4"/>
        </w:rPr>
        <w:t xml:space="preserve"> </w:t>
      </w:r>
      <w:r>
        <w:rPr>
          <w:color w:val="231F20"/>
        </w:rPr>
        <w:t>smluv).</w:t>
      </w:r>
    </w:p>
    <w:p w14:paraId="4E74EB19" w14:textId="77777777" w:rsidR="00F65BCA" w:rsidRDefault="00216117">
      <w:pPr>
        <w:pStyle w:val="Nadpis3"/>
        <w:numPr>
          <w:ilvl w:val="1"/>
          <w:numId w:val="18"/>
        </w:numPr>
        <w:tabs>
          <w:tab w:val="left" w:pos="686"/>
        </w:tabs>
        <w:spacing w:before="121"/>
        <w:ind w:hanging="569"/>
        <w:jc w:val="both"/>
      </w:pPr>
      <w:r>
        <w:rPr>
          <w:color w:val="231F20"/>
        </w:rPr>
        <w:t>Součástí</w:t>
      </w:r>
      <w:r>
        <w:rPr>
          <w:color w:val="231F20"/>
          <w:spacing w:val="-13"/>
        </w:rPr>
        <w:t xml:space="preserve"> </w:t>
      </w:r>
      <w:r>
        <w:rPr>
          <w:color w:val="231F20"/>
        </w:rPr>
        <w:t>návrhu</w:t>
      </w:r>
      <w:r>
        <w:rPr>
          <w:color w:val="231F20"/>
          <w:spacing w:val="-12"/>
        </w:rPr>
        <w:t xml:space="preserve"> </w:t>
      </w:r>
      <w:r>
        <w:rPr>
          <w:color w:val="231F20"/>
        </w:rPr>
        <w:t>smlouvy</w:t>
      </w:r>
      <w:r>
        <w:rPr>
          <w:color w:val="231F20"/>
          <w:spacing w:val="-12"/>
        </w:rPr>
        <w:t xml:space="preserve"> </w:t>
      </w:r>
      <w:r>
        <w:rPr>
          <w:color w:val="231F20"/>
        </w:rPr>
        <w:t>na</w:t>
      </w:r>
      <w:r>
        <w:rPr>
          <w:color w:val="231F20"/>
          <w:spacing w:val="-11"/>
        </w:rPr>
        <w:t xml:space="preserve"> </w:t>
      </w:r>
      <w:r>
        <w:rPr>
          <w:color w:val="231F20"/>
        </w:rPr>
        <w:t>část</w:t>
      </w:r>
      <w:r>
        <w:rPr>
          <w:color w:val="231F20"/>
          <w:spacing w:val="-13"/>
        </w:rPr>
        <w:t xml:space="preserve"> </w:t>
      </w:r>
      <w:r>
        <w:rPr>
          <w:color w:val="231F20"/>
        </w:rPr>
        <w:t>2</w:t>
      </w:r>
      <w:r>
        <w:rPr>
          <w:color w:val="231F20"/>
          <w:spacing w:val="-14"/>
        </w:rPr>
        <w:t xml:space="preserve"> </w:t>
      </w:r>
      <w:r>
        <w:rPr>
          <w:color w:val="231F20"/>
        </w:rPr>
        <w:t>VZ</w:t>
      </w:r>
      <w:r>
        <w:rPr>
          <w:color w:val="231F20"/>
          <w:spacing w:val="-12"/>
        </w:rPr>
        <w:t xml:space="preserve"> </w:t>
      </w:r>
      <w:r>
        <w:rPr>
          <w:color w:val="231F20"/>
        </w:rPr>
        <w:t>–</w:t>
      </w:r>
      <w:r>
        <w:rPr>
          <w:color w:val="231F20"/>
          <w:spacing w:val="-12"/>
        </w:rPr>
        <w:t xml:space="preserve"> </w:t>
      </w:r>
      <w:r>
        <w:rPr>
          <w:color w:val="231F20"/>
        </w:rPr>
        <w:t>Pojištění</w:t>
      </w:r>
      <w:r>
        <w:rPr>
          <w:color w:val="231F20"/>
          <w:spacing w:val="-12"/>
        </w:rPr>
        <w:t xml:space="preserve"> </w:t>
      </w:r>
      <w:r>
        <w:rPr>
          <w:color w:val="231F20"/>
        </w:rPr>
        <w:t>vozidel</w:t>
      </w:r>
      <w:r>
        <w:rPr>
          <w:color w:val="231F20"/>
          <w:spacing w:val="-12"/>
        </w:rPr>
        <w:t xml:space="preserve"> </w:t>
      </w:r>
      <w:r>
        <w:rPr>
          <w:color w:val="231F20"/>
        </w:rPr>
        <w:t>bude</w:t>
      </w:r>
      <w:r>
        <w:rPr>
          <w:color w:val="231F20"/>
          <w:spacing w:val="-13"/>
        </w:rPr>
        <w:t xml:space="preserve"> </w:t>
      </w:r>
      <w:r>
        <w:rPr>
          <w:color w:val="231F20"/>
        </w:rPr>
        <w:t>i</w:t>
      </w:r>
      <w:r>
        <w:rPr>
          <w:color w:val="231F20"/>
          <w:spacing w:val="-12"/>
        </w:rPr>
        <w:t xml:space="preserve"> </w:t>
      </w:r>
      <w:r>
        <w:rPr>
          <w:color w:val="231F20"/>
        </w:rPr>
        <w:t>kompletní</w:t>
      </w:r>
      <w:r>
        <w:rPr>
          <w:color w:val="231F20"/>
          <w:spacing w:val="-13"/>
        </w:rPr>
        <w:t xml:space="preserve"> </w:t>
      </w:r>
      <w:r>
        <w:rPr>
          <w:color w:val="231F20"/>
        </w:rPr>
        <w:t>tabulka</w:t>
      </w:r>
      <w:r>
        <w:rPr>
          <w:color w:val="231F20"/>
          <w:spacing w:val="-13"/>
        </w:rPr>
        <w:t xml:space="preserve"> </w:t>
      </w:r>
      <w:r>
        <w:rPr>
          <w:color w:val="231F20"/>
        </w:rPr>
        <w:t>vozidel</w:t>
      </w:r>
    </w:p>
    <w:p w14:paraId="766C0255" w14:textId="77777777" w:rsidR="00F65BCA" w:rsidRDefault="00216117">
      <w:pPr>
        <w:pStyle w:val="Nadpis3"/>
        <w:spacing w:before="0"/>
      </w:pPr>
      <w:r>
        <w:rPr>
          <w:color w:val="231F20"/>
        </w:rPr>
        <w:t>s ročními cenami pojistného ke každému</w:t>
      </w:r>
      <w:r>
        <w:rPr>
          <w:color w:val="231F20"/>
          <w:spacing w:val="-30"/>
        </w:rPr>
        <w:t xml:space="preserve"> </w:t>
      </w:r>
      <w:r>
        <w:rPr>
          <w:color w:val="231F20"/>
        </w:rPr>
        <w:t>vozidlu.</w:t>
      </w:r>
    </w:p>
    <w:p w14:paraId="28A2786F" w14:textId="77777777" w:rsidR="00F65BCA" w:rsidRDefault="00F65BCA">
      <w:pPr>
        <w:pStyle w:val="Zkladntext"/>
        <w:rPr>
          <w:sz w:val="20"/>
        </w:rPr>
      </w:pPr>
    </w:p>
    <w:p w14:paraId="7BF2F00B" w14:textId="77777777" w:rsidR="00F65BCA" w:rsidRDefault="00F65BCA">
      <w:pPr>
        <w:pStyle w:val="Zkladntext"/>
        <w:spacing w:before="10"/>
      </w:pPr>
    </w:p>
    <w:p w14:paraId="31EFDF44" w14:textId="77777777" w:rsidR="00F65BCA" w:rsidRDefault="00216117">
      <w:pPr>
        <w:spacing w:before="95"/>
        <w:ind w:left="1459" w:right="1033"/>
        <w:jc w:val="center"/>
        <w:rPr>
          <w:sz w:val="16"/>
        </w:rPr>
      </w:pPr>
      <w:r>
        <w:rPr>
          <w:color w:val="231F20"/>
          <w:sz w:val="16"/>
        </w:rPr>
        <w:t>Stránka 4 z</w:t>
      </w:r>
      <w:r>
        <w:rPr>
          <w:color w:val="231F20"/>
          <w:spacing w:val="-6"/>
          <w:sz w:val="16"/>
        </w:rPr>
        <w:t xml:space="preserve"> </w:t>
      </w:r>
      <w:r>
        <w:rPr>
          <w:color w:val="231F20"/>
          <w:sz w:val="16"/>
        </w:rPr>
        <w:t>15</w:t>
      </w:r>
    </w:p>
    <w:p w14:paraId="5A55048D" w14:textId="77777777" w:rsidR="00F65BCA" w:rsidRDefault="00F65BCA">
      <w:pPr>
        <w:jc w:val="center"/>
        <w:rPr>
          <w:sz w:val="16"/>
        </w:rPr>
        <w:sectPr w:rsidR="00F65BCA">
          <w:pgSz w:w="11900" w:h="16840"/>
          <w:pgMar w:top="1060" w:right="1160" w:bottom="280" w:left="1300" w:header="708" w:footer="708" w:gutter="0"/>
          <w:cols w:space="708"/>
        </w:sectPr>
      </w:pPr>
    </w:p>
    <w:p w14:paraId="0A9C6EB1" w14:textId="77777777" w:rsidR="00F65BCA" w:rsidRDefault="00216117">
      <w:pPr>
        <w:pStyle w:val="Nadpis3"/>
        <w:numPr>
          <w:ilvl w:val="1"/>
          <w:numId w:val="18"/>
        </w:numPr>
        <w:tabs>
          <w:tab w:val="left" w:pos="686"/>
        </w:tabs>
        <w:spacing w:before="78"/>
        <w:ind w:hanging="569"/>
        <w:jc w:val="both"/>
      </w:pPr>
      <w:r>
        <w:rPr>
          <w:color w:val="231F20"/>
        </w:rPr>
        <w:lastRenderedPageBreak/>
        <w:t>Součástí</w:t>
      </w:r>
      <w:r>
        <w:rPr>
          <w:color w:val="231F20"/>
          <w:spacing w:val="13"/>
        </w:rPr>
        <w:t xml:space="preserve"> </w:t>
      </w:r>
      <w:r>
        <w:rPr>
          <w:color w:val="231F20"/>
        </w:rPr>
        <w:t>návrhu</w:t>
      </w:r>
      <w:r>
        <w:rPr>
          <w:color w:val="231F20"/>
          <w:spacing w:val="14"/>
        </w:rPr>
        <w:t xml:space="preserve"> </w:t>
      </w:r>
      <w:r>
        <w:rPr>
          <w:color w:val="231F20"/>
        </w:rPr>
        <w:t>smlouvy</w:t>
      </w:r>
      <w:r>
        <w:rPr>
          <w:color w:val="231F20"/>
          <w:spacing w:val="14"/>
        </w:rPr>
        <w:t xml:space="preserve"> </w:t>
      </w:r>
      <w:r>
        <w:rPr>
          <w:color w:val="231F20"/>
        </w:rPr>
        <w:t>na</w:t>
      </w:r>
      <w:r>
        <w:rPr>
          <w:color w:val="231F20"/>
          <w:spacing w:val="14"/>
        </w:rPr>
        <w:t xml:space="preserve"> </w:t>
      </w:r>
      <w:r>
        <w:rPr>
          <w:color w:val="231F20"/>
        </w:rPr>
        <w:t>část</w:t>
      </w:r>
      <w:r>
        <w:rPr>
          <w:color w:val="231F20"/>
          <w:spacing w:val="13"/>
        </w:rPr>
        <w:t xml:space="preserve"> </w:t>
      </w:r>
      <w:r>
        <w:rPr>
          <w:color w:val="231F20"/>
        </w:rPr>
        <w:t>4</w:t>
      </w:r>
      <w:r>
        <w:rPr>
          <w:color w:val="231F20"/>
          <w:spacing w:val="12"/>
        </w:rPr>
        <w:t xml:space="preserve"> </w:t>
      </w:r>
      <w:r>
        <w:rPr>
          <w:color w:val="231F20"/>
        </w:rPr>
        <w:t>VZ</w:t>
      </w:r>
      <w:r>
        <w:rPr>
          <w:color w:val="231F20"/>
          <w:spacing w:val="17"/>
        </w:rPr>
        <w:t xml:space="preserve"> </w:t>
      </w:r>
      <w:r>
        <w:rPr>
          <w:color w:val="231F20"/>
        </w:rPr>
        <w:t>–</w:t>
      </w:r>
      <w:r>
        <w:rPr>
          <w:color w:val="231F20"/>
          <w:spacing w:val="14"/>
        </w:rPr>
        <w:t xml:space="preserve"> </w:t>
      </w:r>
      <w:r>
        <w:rPr>
          <w:color w:val="231F20"/>
        </w:rPr>
        <w:t>Pojištění</w:t>
      </w:r>
      <w:r>
        <w:rPr>
          <w:color w:val="231F20"/>
          <w:spacing w:val="14"/>
        </w:rPr>
        <w:t xml:space="preserve"> </w:t>
      </w:r>
      <w:r>
        <w:rPr>
          <w:color w:val="231F20"/>
        </w:rPr>
        <w:t>dronů</w:t>
      </w:r>
      <w:r>
        <w:rPr>
          <w:color w:val="231F20"/>
          <w:spacing w:val="13"/>
        </w:rPr>
        <w:t xml:space="preserve"> </w:t>
      </w:r>
      <w:r>
        <w:rPr>
          <w:color w:val="231F20"/>
        </w:rPr>
        <w:t>bude</w:t>
      </w:r>
      <w:r>
        <w:rPr>
          <w:color w:val="231F20"/>
          <w:spacing w:val="14"/>
        </w:rPr>
        <w:t xml:space="preserve"> </w:t>
      </w:r>
      <w:r>
        <w:rPr>
          <w:color w:val="231F20"/>
        </w:rPr>
        <w:t>kompletní</w:t>
      </w:r>
      <w:r>
        <w:rPr>
          <w:color w:val="231F20"/>
          <w:spacing w:val="14"/>
        </w:rPr>
        <w:t xml:space="preserve"> </w:t>
      </w:r>
      <w:r>
        <w:rPr>
          <w:color w:val="231F20"/>
        </w:rPr>
        <w:t>tabulka</w:t>
      </w:r>
      <w:r>
        <w:rPr>
          <w:color w:val="231F20"/>
          <w:spacing w:val="14"/>
        </w:rPr>
        <w:t xml:space="preserve"> </w:t>
      </w:r>
      <w:r>
        <w:rPr>
          <w:color w:val="231F20"/>
        </w:rPr>
        <w:t>dronů</w:t>
      </w:r>
    </w:p>
    <w:p w14:paraId="2E4F2B22" w14:textId="77777777" w:rsidR="00F65BCA" w:rsidRDefault="00216117">
      <w:pPr>
        <w:pStyle w:val="Nadpis3"/>
        <w:spacing w:before="0"/>
      </w:pPr>
      <w:r>
        <w:rPr>
          <w:color w:val="231F20"/>
        </w:rPr>
        <w:t>s ročními cenami pojistného ke každému dronu.</w:t>
      </w:r>
    </w:p>
    <w:p w14:paraId="2E367EFC" w14:textId="77777777" w:rsidR="00F65BCA" w:rsidRDefault="00216117">
      <w:pPr>
        <w:pStyle w:val="Nadpis3"/>
        <w:numPr>
          <w:ilvl w:val="1"/>
          <w:numId w:val="18"/>
        </w:numPr>
        <w:tabs>
          <w:tab w:val="left" w:pos="686"/>
        </w:tabs>
        <w:ind w:hanging="569"/>
        <w:jc w:val="both"/>
      </w:pPr>
      <w:r>
        <w:rPr>
          <w:color w:val="231F20"/>
        </w:rPr>
        <w:t>Nabídka bude obsahovat:</w:t>
      </w:r>
    </w:p>
    <w:p w14:paraId="7BB255E5" w14:textId="77777777" w:rsidR="00F65BCA" w:rsidRDefault="00216117">
      <w:pPr>
        <w:pStyle w:val="Nadpis3"/>
        <w:numPr>
          <w:ilvl w:val="0"/>
          <w:numId w:val="16"/>
        </w:numPr>
        <w:tabs>
          <w:tab w:val="left" w:pos="903"/>
        </w:tabs>
        <w:spacing w:before="119"/>
        <w:ind w:hanging="361"/>
        <w:jc w:val="both"/>
      </w:pPr>
      <w:r>
        <w:rPr>
          <w:color w:val="231F20"/>
        </w:rPr>
        <w:t>krycí list nabídky (vzor v příloze č. 1 této</w:t>
      </w:r>
      <w:r>
        <w:rPr>
          <w:color w:val="231F20"/>
          <w:spacing w:val="-4"/>
        </w:rPr>
        <w:t xml:space="preserve"> </w:t>
      </w:r>
      <w:r>
        <w:rPr>
          <w:color w:val="231F20"/>
        </w:rPr>
        <w:t>ZD)</w:t>
      </w:r>
    </w:p>
    <w:p w14:paraId="039635EB" w14:textId="77777777" w:rsidR="00F65BCA" w:rsidRDefault="00216117">
      <w:pPr>
        <w:pStyle w:val="Nadpis3"/>
        <w:numPr>
          <w:ilvl w:val="0"/>
          <w:numId w:val="16"/>
        </w:numPr>
        <w:tabs>
          <w:tab w:val="left" w:pos="903"/>
        </w:tabs>
        <w:spacing w:before="38" w:line="276" w:lineRule="auto"/>
        <w:ind w:right="112"/>
        <w:jc w:val="both"/>
      </w:pPr>
      <w:r>
        <w:rPr>
          <w:color w:val="231F20"/>
        </w:rPr>
        <w:t>čestné prohlášení o kvalifikaci (vzor v příloze č. 1 této ZD), nebo fakultativně jiné doklady k prokázání kvalifikace (ty však nutně nemusí být součástí nabídky, budou vyžadovány až ve lhůtě pro součinnost od vybraného</w:t>
      </w:r>
      <w:r>
        <w:rPr>
          <w:color w:val="231F20"/>
          <w:spacing w:val="-11"/>
        </w:rPr>
        <w:t xml:space="preserve"> </w:t>
      </w:r>
      <w:r>
        <w:rPr>
          <w:color w:val="231F20"/>
        </w:rPr>
        <w:t>dodavatele)</w:t>
      </w:r>
    </w:p>
    <w:p w14:paraId="349F3870" w14:textId="77777777" w:rsidR="00F65BCA" w:rsidRDefault="00216117">
      <w:pPr>
        <w:pStyle w:val="Nadpis3"/>
        <w:numPr>
          <w:ilvl w:val="0"/>
          <w:numId w:val="16"/>
        </w:numPr>
        <w:tabs>
          <w:tab w:val="left" w:pos="903"/>
        </w:tabs>
        <w:spacing w:before="0" w:line="276" w:lineRule="auto"/>
        <w:ind w:right="113"/>
        <w:jc w:val="both"/>
      </w:pPr>
      <w:r>
        <w:rPr>
          <w:color w:val="231F20"/>
        </w:rPr>
        <w:t>návrh smlouvy ve formátu kompatibilním s MS Word (needitovatelné přílohy – např. všeobecné podmínky apod. mohou být v PDF se zachovanou textovou</w:t>
      </w:r>
      <w:r>
        <w:rPr>
          <w:color w:val="231F20"/>
          <w:spacing w:val="-19"/>
        </w:rPr>
        <w:t xml:space="preserve"> </w:t>
      </w:r>
      <w:r>
        <w:rPr>
          <w:color w:val="231F20"/>
        </w:rPr>
        <w:t>vrstvou)</w:t>
      </w:r>
    </w:p>
    <w:p w14:paraId="5B44DFC7" w14:textId="77777777" w:rsidR="00F65BCA" w:rsidRDefault="00216117">
      <w:pPr>
        <w:pStyle w:val="Nadpis3"/>
        <w:numPr>
          <w:ilvl w:val="0"/>
          <w:numId w:val="16"/>
        </w:numPr>
        <w:tabs>
          <w:tab w:val="left" w:pos="903"/>
        </w:tabs>
        <w:spacing w:before="0"/>
        <w:ind w:hanging="361"/>
        <w:jc w:val="both"/>
      </w:pPr>
      <w:r>
        <w:rPr>
          <w:color w:val="231F20"/>
        </w:rPr>
        <w:t>vyplněná</w:t>
      </w:r>
      <w:r>
        <w:rPr>
          <w:color w:val="231F20"/>
          <w:spacing w:val="-9"/>
        </w:rPr>
        <w:t xml:space="preserve"> </w:t>
      </w:r>
      <w:r>
        <w:rPr>
          <w:color w:val="231F20"/>
        </w:rPr>
        <w:t>tabulka</w:t>
      </w:r>
      <w:r>
        <w:rPr>
          <w:color w:val="231F20"/>
          <w:spacing w:val="-7"/>
        </w:rPr>
        <w:t xml:space="preserve"> </w:t>
      </w:r>
      <w:r>
        <w:rPr>
          <w:color w:val="231F20"/>
        </w:rPr>
        <w:t>pro</w:t>
      </w:r>
      <w:r>
        <w:rPr>
          <w:color w:val="231F20"/>
          <w:spacing w:val="-8"/>
        </w:rPr>
        <w:t xml:space="preserve"> </w:t>
      </w:r>
      <w:r>
        <w:rPr>
          <w:color w:val="231F20"/>
        </w:rPr>
        <w:t>výpočet</w:t>
      </w:r>
      <w:r>
        <w:rPr>
          <w:color w:val="231F20"/>
          <w:spacing w:val="-6"/>
        </w:rPr>
        <w:t xml:space="preserve"> </w:t>
      </w:r>
      <w:r>
        <w:rPr>
          <w:color w:val="231F20"/>
        </w:rPr>
        <w:t>nabídkové</w:t>
      </w:r>
      <w:r>
        <w:rPr>
          <w:color w:val="231F20"/>
          <w:spacing w:val="-8"/>
        </w:rPr>
        <w:t xml:space="preserve"> </w:t>
      </w:r>
      <w:r>
        <w:rPr>
          <w:color w:val="231F20"/>
        </w:rPr>
        <w:t>ceny</w:t>
      </w:r>
      <w:r>
        <w:rPr>
          <w:color w:val="231F20"/>
          <w:spacing w:val="-7"/>
        </w:rPr>
        <w:t xml:space="preserve"> </w:t>
      </w:r>
      <w:r>
        <w:rPr>
          <w:color w:val="231F20"/>
        </w:rPr>
        <w:t>(příloha</w:t>
      </w:r>
      <w:r>
        <w:rPr>
          <w:color w:val="231F20"/>
          <w:spacing w:val="-6"/>
        </w:rPr>
        <w:t xml:space="preserve"> </w:t>
      </w:r>
      <w:r>
        <w:rPr>
          <w:color w:val="231F20"/>
        </w:rPr>
        <w:t>č.</w:t>
      </w:r>
      <w:r>
        <w:rPr>
          <w:color w:val="231F20"/>
          <w:spacing w:val="-9"/>
        </w:rPr>
        <w:t xml:space="preserve"> </w:t>
      </w:r>
      <w:r>
        <w:rPr>
          <w:color w:val="231F20"/>
        </w:rPr>
        <w:t>2</w:t>
      </w:r>
      <w:r>
        <w:rPr>
          <w:color w:val="231F20"/>
          <w:spacing w:val="-7"/>
        </w:rPr>
        <w:t xml:space="preserve"> </w:t>
      </w:r>
      <w:r>
        <w:rPr>
          <w:color w:val="231F20"/>
        </w:rPr>
        <w:t>této</w:t>
      </w:r>
      <w:r>
        <w:rPr>
          <w:color w:val="231F20"/>
          <w:spacing w:val="-7"/>
        </w:rPr>
        <w:t xml:space="preserve"> </w:t>
      </w:r>
      <w:r>
        <w:rPr>
          <w:color w:val="231F20"/>
        </w:rPr>
        <w:t>ZD)</w:t>
      </w:r>
      <w:r>
        <w:rPr>
          <w:color w:val="231F20"/>
          <w:spacing w:val="-7"/>
        </w:rPr>
        <w:t xml:space="preserve"> </w:t>
      </w:r>
      <w:r>
        <w:rPr>
          <w:color w:val="231F20"/>
        </w:rPr>
        <w:t>–</w:t>
      </w:r>
      <w:r>
        <w:rPr>
          <w:color w:val="231F20"/>
          <w:spacing w:val="-8"/>
        </w:rPr>
        <w:t xml:space="preserve"> </w:t>
      </w:r>
      <w:r>
        <w:rPr>
          <w:color w:val="231F20"/>
        </w:rPr>
        <w:t>v</w:t>
      </w:r>
      <w:r>
        <w:rPr>
          <w:color w:val="231F20"/>
          <w:spacing w:val="-3"/>
        </w:rPr>
        <w:t xml:space="preserve"> </w:t>
      </w:r>
      <w:r>
        <w:rPr>
          <w:color w:val="231F20"/>
        </w:rPr>
        <w:t>nabídce</w:t>
      </w:r>
      <w:r>
        <w:rPr>
          <w:color w:val="231F20"/>
          <w:spacing w:val="-8"/>
        </w:rPr>
        <w:t xml:space="preserve"> </w:t>
      </w:r>
      <w:r>
        <w:rPr>
          <w:color w:val="231F20"/>
        </w:rPr>
        <w:t>na</w:t>
      </w:r>
      <w:r>
        <w:rPr>
          <w:color w:val="231F20"/>
          <w:spacing w:val="-9"/>
        </w:rPr>
        <w:t xml:space="preserve"> </w:t>
      </w:r>
      <w:r>
        <w:rPr>
          <w:color w:val="231F20"/>
        </w:rPr>
        <w:t>část</w:t>
      </w:r>
    </w:p>
    <w:p w14:paraId="7C49ACE1" w14:textId="77777777" w:rsidR="00F65BCA" w:rsidRDefault="00216117">
      <w:pPr>
        <w:pStyle w:val="Nadpis3"/>
        <w:numPr>
          <w:ilvl w:val="3"/>
          <w:numId w:val="18"/>
        </w:numPr>
        <w:tabs>
          <w:tab w:val="left" w:pos="1079"/>
        </w:tabs>
        <w:spacing w:before="38"/>
        <w:ind w:left="1078" w:hanging="177"/>
        <w:jc w:val="both"/>
      </w:pPr>
      <w:r>
        <w:rPr>
          <w:color w:val="231F20"/>
        </w:rPr>
        <w:t>VZ</w:t>
      </w:r>
      <w:r>
        <w:rPr>
          <w:color w:val="231F20"/>
          <w:spacing w:val="-10"/>
        </w:rPr>
        <w:t xml:space="preserve"> </w:t>
      </w:r>
      <w:r>
        <w:rPr>
          <w:color w:val="231F20"/>
        </w:rPr>
        <w:t>–</w:t>
      </w:r>
      <w:r>
        <w:rPr>
          <w:color w:val="231F20"/>
          <w:spacing w:val="-9"/>
        </w:rPr>
        <w:t xml:space="preserve"> </w:t>
      </w:r>
      <w:r>
        <w:rPr>
          <w:color w:val="231F20"/>
        </w:rPr>
        <w:t>Pojištění</w:t>
      </w:r>
      <w:r>
        <w:rPr>
          <w:color w:val="231F20"/>
          <w:spacing w:val="-9"/>
        </w:rPr>
        <w:t xml:space="preserve"> </w:t>
      </w:r>
      <w:r>
        <w:rPr>
          <w:color w:val="231F20"/>
        </w:rPr>
        <w:t>vozidel,</w:t>
      </w:r>
      <w:r>
        <w:rPr>
          <w:color w:val="231F20"/>
          <w:spacing w:val="-10"/>
        </w:rPr>
        <w:t xml:space="preserve"> </w:t>
      </w:r>
      <w:r>
        <w:rPr>
          <w:color w:val="231F20"/>
        </w:rPr>
        <w:t>na</w:t>
      </w:r>
      <w:r>
        <w:rPr>
          <w:color w:val="231F20"/>
          <w:spacing w:val="-9"/>
        </w:rPr>
        <w:t xml:space="preserve"> </w:t>
      </w:r>
      <w:r>
        <w:rPr>
          <w:color w:val="231F20"/>
        </w:rPr>
        <w:t>část</w:t>
      </w:r>
      <w:r>
        <w:rPr>
          <w:color w:val="231F20"/>
          <w:spacing w:val="-10"/>
        </w:rPr>
        <w:t xml:space="preserve"> </w:t>
      </w:r>
      <w:r>
        <w:rPr>
          <w:color w:val="231F20"/>
        </w:rPr>
        <w:t>3</w:t>
      </w:r>
      <w:r>
        <w:rPr>
          <w:color w:val="231F20"/>
          <w:spacing w:val="-10"/>
        </w:rPr>
        <w:t xml:space="preserve"> </w:t>
      </w:r>
      <w:r>
        <w:rPr>
          <w:color w:val="231F20"/>
        </w:rPr>
        <w:t>VZ</w:t>
      </w:r>
      <w:r>
        <w:rPr>
          <w:color w:val="231F20"/>
          <w:spacing w:val="-9"/>
        </w:rPr>
        <w:t xml:space="preserve"> </w:t>
      </w:r>
      <w:r>
        <w:rPr>
          <w:color w:val="231F20"/>
        </w:rPr>
        <w:t>–</w:t>
      </w:r>
      <w:r>
        <w:rPr>
          <w:color w:val="231F20"/>
          <w:spacing w:val="-9"/>
        </w:rPr>
        <w:t xml:space="preserve"> </w:t>
      </w:r>
      <w:r>
        <w:rPr>
          <w:color w:val="231F20"/>
        </w:rPr>
        <w:t>Cestovní</w:t>
      </w:r>
      <w:r>
        <w:rPr>
          <w:color w:val="231F20"/>
          <w:spacing w:val="-10"/>
        </w:rPr>
        <w:t xml:space="preserve"> </w:t>
      </w:r>
      <w:r>
        <w:rPr>
          <w:color w:val="231F20"/>
        </w:rPr>
        <w:t>pojištění</w:t>
      </w:r>
      <w:r>
        <w:rPr>
          <w:color w:val="231F20"/>
          <w:spacing w:val="-10"/>
        </w:rPr>
        <w:t xml:space="preserve"> </w:t>
      </w:r>
      <w:r>
        <w:rPr>
          <w:color w:val="231F20"/>
        </w:rPr>
        <w:t>a</w:t>
      </w:r>
      <w:r>
        <w:rPr>
          <w:color w:val="231F20"/>
          <w:spacing w:val="-9"/>
        </w:rPr>
        <w:t xml:space="preserve"> </w:t>
      </w:r>
      <w:r>
        <w:rPr>
          <w:color w:val="231F20"/>
        </w:rPr>
        <w:t>na</w:t>
      </w:r>
      <w:r>
        <w:rPr>
          <w:color w:val="231F20"/>
          <w:spacing w:val="-9"/>
        </w:rPr>
        <w:t xml:space="preserve"> </w:t>
      </w:r>
      <w:r>
        <w:rPr>
          <w:color w:val="231F20"/>
        </w:rPr>
        <w:t>část</w:t>
      </w:r>
      <w:r>
        <w:rPr>
          <w:color w:val="231F20"/>
          <w:spacing w:val="-9"/>
        </w:rPr>
        <w:t xml:space="preserve"> </w:t>
      </w:r>
      <w:r>
        <w:rPr>
          <w:color w:val="231F20"/>
        </w:rPr>
        <w:t>4</w:t>
      </w:r>
      <w:r>
        <w:rPr>
          <w:color w:val="231F20"/>
          <w:spacing w:val="-9"/>
        </w:rPr>
        <w:t xml:space="preserve"> </w:t>
      </w:r>
      <w:r>
        <w:rPr>
          <w:color w:val="231F20"/>
        </w:rPr>
        <w:t>–</w:t>
      </w:r>
      <w:r>
        <w:rPr>
          <w:color w:val="231F20"/>
          <w:spacing w:val="-10"/>
        </w:rPr>
        <w:t xml:space="preserve"> </w:t>
      </w:r>
      <w:r>
        <w:rPr>
          <w:color w:val="231F20"/>
        </w:rPr>
        <w:t>Pojištění</w:t>
      </w:r>
      <w:r>
        <w:rPr>
          <w:color w:val="231F20"/>
          <w:spacing w:val="-9"/>
        </w:rPr>
        <w:t xml:space="preserve"> </w:t>
      </w:r>
      <w:r>
        <w:rPr>
          <w:color w:val="231F20"/>
        </w:rPr>
        <w:t>dronů.</w:t>
      </w:r>
    </w:p>
    <w:p w14:paraId="317A40E8" w14:textId="77777777" w:rsidR="00F65BCA" w:rsidRDefault="00216117">
      <w:pPr>
        <w:pStyle w:val="Nadpis3"/>
        <w:numPr>
          <w:ilvl w:val="1"/>
          <w:numId w:val="18"/>
        </w:numPr>
        <w:tabs>
          <w:tab w:val="left" w:pos="686"/>
        </w:tabs>
        <w:spacing w:before="157"/>
        <w:ind w:right="115"/>
        <w:jc w:val="both"/>
      </w:pPr>
      <w:r>
        <w:rPr>
          <w:color w:val="231F20"/>
        </w:rPr>
        <w:t>Podává-li více  dodavatelů  společnou  nabídku,  uvedou  ve  společné  nabídce,  který  z</w:t>
      </w:r>
      <w:r>
        <w:rPr>
          <w:color w:val="231F20"/>
          <w:spacing w:val="-5"/>
        </w:rPr>
        <w:t xml:space="preserve"> </w:t>
      </w:r>
      <w:r>
        <w:rPr>
          <w:color w:val="231F20"/>
        </w:rPr>
        <w:t>účastníků</w:t>
      </w:r>
      <w:r>
        <w:rPr>
          <w:color w:val="231F20"/>
          <w:spacing w:val="-17"/>
        </w:rPr>
        <w:t xml:space="preserve"> </w:t>
      </w:r>
      <w:r>
        <w:rPr>
          <w:color w:val="231F20"/>
        </w:rPr>
        <w:t>společné</w:t>
      </w:r>
      <w:r>
        <w:rPr>
          <w:color w:val="231F20"/>
          <w:spacing w:val="-17"/>
        </w:rPr>
        <w:t xml:space="preserve"> </w:t>
      </w:r>
      <w:r>
        <w:rPr>
          <w:color w:val="231F20"/>
        </w:rPr>
        <w:t>nabídky</w:t>
      </w:r>
      <w:r>
        <w:rPr>
          <w:color w:val="231F20"/>
          <w:spacing w:val="-16"/>
        </w:rPr>
        <w:t xml:space="preserve"> </w:t>
      </w:r>
      <w:r>
        <w:rPr>
          <w:color w:val="231F20"/>
        </w:rPr>
        <w:t>je</w:t>
      </w:r>
      <w:r>
        <w:rPr>
          <w:color w:val="231F20"/>
          <w:spacing w:val="-15"/>
        </w:rPr>
        <w:t xml:space="preserve"> </w:t>
      </w:r>
      <w:r>
        <w:rPr>
          <w:color w:val="231F20"/>
        </w:rPr>
        <w:t>v</w:t>
      </w:r>
      <w:r>
        <w:rPr>
          <w:color w:val="231F20"/>
          <w:spacing w:val="-5"/>
        </w:rPr>
        <w:t xml:space="preserve"> </w:t>
      </w:r>
      <w:r>
        <w:rPr>
          <w:color w:val="231F20"/>
        </w:rPr>
        <w:t>zadávacím</w:t>
      </w:r>
      <w:r>
        <w:rPr>
          <w:color w:val="231F20"/>
          <w:spacing w:val="-17"/>
        </w:rPr>
        <w:t xml:space="preserve"> </w:t>
      </w:r>
      <w:r>
        <w:rPr>
          <w:color w:val="231F20"/>
        </w:rPr>
        <w:t>řízení</w:t>
      </w:r>
      <w:r>
        <w:rPr>
          <w:color w:val="231F20"/>
          <w:spacing w:val="-15"/>
        </w:rPr>
        <w:t xml:space="preserve"> </w:t>
      </w:r>
      <w:r>
        <w:rPr>
          <w:color w:val="231F20"/>
        </w:rPr>
        <w:t>oprávněn</w:t>
      </w:r>
      <w:r>
        <w:rPr>
          <w:color w:val="231F20"/>
          <w:spacing w:val="-16"/>
        </w:rPr>
        <w:t xml:space="preserve"> </w:t>
      </w:r>
      <w:r>
        <w:rPr>
          <w:color w:val="231F20"/>
        </w:rPr>
        <w:t>jednat.</w:t>
      </w:r>
      <w:r>
        <w:rPr>
          <w:color w:val="231F20"/>
          <w:spacing w:val="-16"/>
        </w:rPr>
        <w:t xml:space="preserve"> </w:t>
      </w:r>
      <w:r>
        <w:rPr>
          <w:color w:val="231F20"/>
        </w:rPr>
        <w:t>Odeslání</w:t>
      </w:r>
      <w:r>
        <w:rPr>
          <w:color w:val="231F20"/>
          <w:spacing w:val="-16"/>
        </w:rPr>
        <w:t xml:space="preserve"> </w:t>
      </w:r>
      <w:r>
        <w:rPr>
          <w:color w:val="231F20"/>
        </w:rPr>
        <w:t>a</w:t>
      </w:r>
      <w:r>
        <w:rPr>
          <w:color w:val="231F20"/>
          <w:spacing w:val="-17"/>
        </w:rPr>
        <w:t xml:space="preserve"> </w:t>
      </w:r>
      <w:r>
        <w:rPr>
          <w:color w:val="231F20"/>
        </w:rPr>
        <w:t>doručení písemnosti tomuto dodavateli se považuje za odeslání a doručení každému účastníkovi společné</w:t>
      </w:r>
      <w:r>
        <w:rPr>
          <w:color w:val="231F20"/>
          <w:spacing w:val="-1"/>
        </w:rPr>
        <w:t xml:space="preserve"> </w:t>
      </w:r>
      <w:r>
        <w:rPr>
          <w:color w:val="231F20"/>
        </w:rPr>
        <w:t>nabídky.</w:t>
      </w:r>
    </w:p>
    <w:p w14:paraId="3A18BFDA" w14:textId="77777777" w:rsidR="00F65BCA" w:rsidRDefault="00F65BCA">
      <w:pPr>
        <w:pStyle w:val="Zkladntext"/>
        <w:spacing w:before="10"/>
        <w:rPr>
          <w:sz w:val="20"/>
        </w:rPr>
      </w:pPr>
    </w:p>
    <w:p w14:paraId="6284D12E" w14:textId="77777777" w:rsidR="00F65BCA" w:rsidRDefault="00216117">
      <w:pPr>
        <w:pStyle w:val="Nadpis1"/>
        <w:numPr>
          <w:ilvl w:val="0"/>
          <w:numId w:val="18"/>
        </w:numPr>
        <w:tabs>
          <w:tab w:val="left" w:pos="686"/>
        </w:tabs>
        <w:ind w:hanging="569"/>
        <w:jc w:val="both"/>
      </w:pPr>
      <w:bookmarkStart w:id="13" w:name="_TOC_250010"/>
      <w:r>
        <w:rPr>
          <w:color w:val="231F20"/>
        </w:rPr>
        <w:t>Způsob hodnocení</w:t>
      </w:r>
      <w:r>
        <w:rPr>
          <w:color w:val="231F20"/>
          <w:spacing w:val="-2"/>
        </w:rPr>
        <w:t xml:space="preserve"> </w:t>
      </w:r>
      <w:bookmarkEnd w:id="13"/>
      <w:r>
        <w:rPr>
          <w:color w:val="231F20"/>
        </w:rPr>
        <w:t>nabídek</w:t>
      </w:r>
    </w:p>
    <w:p w14:paraId="1C59BA63" w14:textId="77777777" w:rsidR="00F65BCA" w:rsidRDefault="00216117">
      <w:pPr>
        <w:pStyle w:val="Nadpis3"/>
        <w:spacing w:before="119"/>
        <w:ind w:left="117" w:right="111"/>
      </w:pPr>
      <w:r>
        <w:rPr>
          <w:color w:val="231F20"/>
        </w:rPr>
        <w:t>Hodnotícím kritériem pro každou z částí VZ je ekonomická výhodnost nabídky, přičemž bude hodnocena podle nejnižší nabídkové ceny, tj. celkové nabídkové ceny v Kč (v souhrnu za všechna</w:t>
      </w:r>
      <w:r>
        <w:rPr>
          <w:color w:val="231F20"/>
          <w:spacing w:val="-5"/>
        </w:rPr>
        <w:t xml:space="preserve"> </w:t>
      </w:r>
      <w:r>
        <w:rPr>
          <w:color w:val="231F20"/>
        </w:rPr>
        <w:t>pojištění</w:t>
      </w:r>
      <w:r>
        <w:rPr>
          <w:color w:val="231F20"/>
          <w:spacing w:val="-2"/>
        </w:rPr>
        <w:t xml:space="preserve"> </w:t>
      </w:r>
      <w:r>
        <w:rPr>
          <w:color w:val="231F20"/>
        </w:rPr>
        <w:t>v</w:t>
      </w:r>
      <w:r>
        <w:rPr>
          <w:color w:val="231F20"/>
          <w:spacing w:val="-3"/>
        </w:rPr>
        <w:t xml:space="preserve"> </w:t>
      </w:r>
      <w:r>
        <w:rPr>
          <w:color w:val="231F20"/>
        </w:rPr>
        <w:t>dané</w:t>
      </w:r>
      <w:r>
        <w:rPr>
          <w:color w:val="231F20"/>
          <w:spacing w:val="-5"/>
        </w:rPr>
        <w:t xml:space="preserve"> </w:t>
      </w:r>
      <w:r>
        <w:rPr>
          <w:color w:val="231F20"/>
        </w:rPr>
        <w:t>části</w:t>
      </w:r>
      <w:r>
        <w:rPr>
          <w:color w:val="231F20"/>
          <w:spacing w:val="-4"/>
        </w:rPr>
        <w:t xml:space="preserve"> </w:t>
      </w:r>
      <w:r>
        <w:rPr>
          <w:color w:val="231F20"/>
        </w:rPr>
        <w:t>VZ</w:t>
      </w:r>
      <w:r>
        <w:rPr>
          <w:color w:val="231F20"/>
          <w:spacing w:val="-3"/>
        </w:rPr>
        <w:t xml:space="preserve"> </w:t>
      </w:r>
      <w:r>
        <w:rPr>
          <w:color w:val="231F20"/>
        </w:rPr>
        <w:t>za</w:t>
      </w:r>
      <w:r>
        <w:rPr>
          <w:color w:val="231F20"/>
          <w:spacing w:val="-4"/>
        </w:rPr>
        <w:t xml:space="preserve"> </w:t>
      </w:r>
      <w:r>
        <w:rPr>
          <w:color w:val="231F20"/>
        </w:rPr>
        <w:t>3</w:t>
      </w:r>
      <w:r>
        <w:rPr>
          <w:color w:val="231F20"/>
          <w:spacing w:val="-4"/>
        </w:rPr>
        <w:t xml:space="preserve"> </w:t>
      </w:r>
      <w:r>
        <w:rPr>
          <w:color w:val="231F20"/>
        </w:rPr>
        <w:t>roky).</w:t>
      </w:r>
      <w:r>
        <w:rPr>
          <w:color w:val="231F20"/>
          <w:spacing w:val="-4"/>
        </w:rPr>
        <w:t xml:space="preserve"> </w:t>
      </w:r>
      <w:r>
        <w:rPr>
          <w:color w:val="231F20"/>
        </w:rPr>
        <w:t>Za</w:t>
      </w:r>
      <w:r>
        <w:rPr>
          <w:color w:val="231F20"/>
          <w:spacing w:val="-4"/>
        </w:rPr>
        <w:t xml:space="preserve"> </w:t>
      </w:r>
      <w:r>
        <w:rPr>
          <w:color w:val="231F20"/>
        </w:rPr>
        <w:t>výhodnější</w:t>
      </w:r>
      <w:r>
        <w:rPr>
          <w:color w:val="231F20"/>
          <w:spacing w:val="-4"/>
        </w:rPr>
        <w:t xml:space="preserve"> </w:t>
      </w:r>
      <w:r>
        <w:rPr>
          <w:color w:val="231F20"/>
        </w:rPr>
        <w:t>se</w:t>
      </w:r>
      <w:r>
        <w:rPr>
          <w:color w:val="231F20"/>
          <w:spacing w:val="-5"/>
        </w:rPr>
        <w:t xml:space="preserve"> </w:t>
      </w:r>
      <w:r>
        <w:rPr>
          <w:color w:val="231F20"/>
        </w:rPr>
        <w:t>považuje</w:t>
      </w:r>
      <w:r>
        <w:rPr>
          <w:color w:val="231F20"/>
          <w:spacing w:val="-4"/>
        </w:rPr>
        <w:t xml:space="preserve"> </w:t>
      </w:r>
      <w:r>
        <w:rPr>
          <w:color w:val="231F20"/>
        </w:rPr>
        <w:t>nižší</w:t>
      </w:r>
      <w:r>
        <w:rPr>
          <w:color w:val="231F20"/>
          <w:spacing w:val="-4"/>
        </w:rPr>
        <w:t xml:space="preserve"> </w:t>
      </w:r>
      <w:r>
        <w:rPr>
          <w:color w:val="231F20"/>
        </w:rPr>
        <w:t>nabídková</w:t>
      </w:r>
      <w:r>
        <w:rPr>
          <w:color w:val="231F20"/>
          <w:spacing w:val="-4"/>
        </w:rPr>
        <w:t xml:space="preserve"> </w:t>
      </w:r>
      <w:r>
        <w:rPr>
          <w:color w:val="231F20"/>
        </w:rPr>
        <w:t xml:space="preserve">cena. V případě rovnosti celkové nabídkové ceny více dodavatelů (dále jen „shodné nabídky“) </w:t>
      </w:r>
      <w:r>
        <w:rPr>
          <w:color w:val="231F20"/>
          <w:spacing w:val="3"/>
        </w:rPr>
        <w:t xml:space="preserve">se </w:t>
      </w:r>
      <w:r>
        <w:rPr>
          <w:color w:val="231F20"/>
        </w:rPr>
        <w:t>rozhodne</w:t>
      </w:r>
      <w:r>
        <w:rPr>
          <w:color w:val="231F20"/>
          <w:spacing w:val="-12"/>
        </w:rPr>
        <w:t xml:space="preserve"> </w:t>
      </w:r>
      <w:r>
        <w:rPr>
          <w:color w:val="231F20"/>
        </w:rPr>
        <w:t>o</w:t>
      </w:r>
      <w:r>
        <w:rPr>
          <w:color w:val="231F20"/>
          <w:spacing w:val="-12"/>
        </w:rPr>
        <w:t xml:space="preserve"> </w:t>
      </w:r>
      <w:r>
        <w:rPr>
          <w:color w:val="231F20"/>
        </w:rPr>
        <w:t>pořadí</w:t>
      </w:r>
      <w:r>
        <w:rPr>
          <w:color w:val="231F20"/>
          <w:spacing w:val="-12"/>
        </w:rPr>
        <w:t xml:space="preserve"> </w:t>
      </w:r>
      <w:r>
        <w:rPr>
          <w:color w:val="231F20"/>
        </w:rPr>
        <w:t>shodných</w:t>
      </w:r>
      <w:r>
        <w:rPr>
          <w:color w:val="231F20"/>
          <w:spacing w:val="-11"/>
        </w:rPr>
        <w:t xml:space="preserve"> </w:t>
      </w:r>
      <w:r>
        <w:rPr>
          <w:color w:val="231F20"/>
        </w:rPr>
        <w:t>nabídek</w:t>
      </w:r>
      <w:r>
        <w:rPr>
          <w:color w:val="231F20"/>
          <w:spacing w:val="-12"/>
        </w:rPr>
        <w:t xml:space="preserve"> </w:t>
      </w:r>
      <w:r>
        <w:rPr>
          <w:color w:val="231F20"/>
        </w:rPr>
        <w:t>losem</w:t>
      </w:r>
      <w:r>
        <w:rPr>
          <w:color w:val="231F20"/>
          <w:spacing w:val="-12"/>
        </w:rPr>
        <w:t xml:space="preserve"> </w:t>
      </w:r>
      <w:r>
        <w:rPr>
          <w:color w:val="231F20"/>
        </w:rPr>
        <w:t>za</w:t>
      </w:r>
      <w:r>
        <w:rPr>
          <w:color w:val="231F20"/>
          <w:spacing w:val="-12"/>
        </w:rPr>
        <w:t xml:space="preserve"> </w:t>
      </w:r>
      <w:r>
        <w:rPr>
          <w:color w:val="231F20"/>
        </w:rPr>
        <w:t>účasti</w:t>
      </w:r>
      <w:r>
        <w:rPr>
          <w:color w:val="231F20"/>
          <w:spacing w:val="-13"/>
        </w:rPr>
        <w:t xml:space="preserve"> </w:t>
      </w:r>
      <w:r>
        <w:rPr>
          <w:color w:val="231F20"/>
        </w:rPr>
        <w:t>zástupců</w:t>
      </w:r>
      <w:r>
        <w:rPr>
          <w:color w:val="231F20"/>
          <w:spacing w:val="-11"/>
        </w:rPr>
        <w:t xml:space="preserve"> </w:t>
      </w:r>
      <w:r>
        <w:rPr>
          <w:color w:val="231F20"/>
        </w:rPr>
        <w:t>dotčených</w:t>
      </w:r>
      <w:r>
        <w:rPr>
          <w:color w:val="231F20"/>
          <w:spacing w:val="-11"/>
        </w:rPr>
        <w:t xml:space="preserve"> </w:t>
      </w:r>
      <w:r>
        <w:rPr>
          <w:color w:val="231F20"/>
        </w:rPr>
        <w:t>dodavatelů.</w:t>
      </w:r>
      <w:r>
        <w:rPr>
          <w:color w:val="231F20"/>
          <w:spacing w:val="-12"/>
        </w:rPr>
        <w:t xml:space="preserve"> </w:t>
      </w:r>
      <w:r>
        <w:rPr>
          <w:color w:val="231F20"/>
        </w:rPr>
        <w:t>Nabídka vylosovaného dodavatele bude považována za výhodnější ze shodných nabídek. Losování proběhne pouze v případě, že bude jeho provedení nezbytné s ohledem na předpokládaný průběh zadávacího řízení, tj. zejm. pokud bude shoda u nabídek, jež by byly po provedeném hodnocení</w:t>
      </w:r>
      <w:r>
        <w:rPr>
          <w:color w:val="231F20"/>
          <w:spacing w:val="-16"/>
        </w:rPr>
        <w:t xml:space="preserve"> </w:t>
      </w:r>
      <w:r>
        <w:rPr>
          <w:color w:val="231F20"/>
        </w:rPr>
        <w:t>nabídkami</w:t>
      </w:r>
      <w:r>
        <w:rPr>
          <w:color w:val="231F20"/>
          <w:spacing w:val="-17"/>
        </w:rPr>
        <w:t xml:space="preserve"> </w:t>
      </w:r>
      <w:r>
        <w:rPr>
          <w:color w:val="231F20"/>
        </w:rPr>
        <w:t>nejvýhodnějšími,</w:t>
      </w:r>
      <w:r>
        <w:rPr>
          <w:color w:val="231F20"/>
          <w:spacing w:val="-15"/>
        </w:rPr>
        <w:t xml:space="preserve"> </w:t>
      </w:r>
      <w:r>
        <w:rPr>
          <w:color w:val="231F20"/>
        </w:rPr>
        <w:t>případně</w:t>
      </w:r>
      <w:r>
        <w:rPr>
          <w:color w:val="231F20"/>
          <w:spacing w:val="-17"/>
        </w:rPr>
        <w:t xml:space="preserve"> </w:t>
      </w:r>
      <w:r>
        <w:rPr>
          <w:color w:val="231F20"/>
        </w:rPr>
        <w:t>pokud</w:t>
      </w:r>
      <w:r>
        <w:rPr>
          <w:color w:val="231F20"/>
          <w:spacing w:val="-16"/>
        </w:rPr>
        <w:t xml:space="preserve"> </w:t>
      </w:r>
      <w:r>
        <w:rPr>
          <w:color w:val="231F20"/>
        </w:rPr>
        <w:t>bude</w:t>
      </w:r>
      <w:r>
        <w:rPr>
          <w:color w:val="231F20"/>
          <w:spacing w:val="-18"/>
        </w:rPr>
        <w:t xml:space="preserve"> </w:t>
      </w:r>
      <w:r>
        <w:rPr>
          <w:color w:val="231F20"/>
        </w:rPr>
        <w:t>shoda</w:t>
      </w:r>
      <w:r>
        <w:rPr>
          <w:color w:val="231F20"/>
          <w:spacing w:val="-16"/>
        </w:rPr>
        <w:t xml:space="preserve"> </w:t>
      </w:r>
      <w:r>
        <w:rPr>
          <w:color w:val="231F20"/>
        </w:rPr>
        <w:t>u</w:t>
      </w:r>
      <w:r>
        <w:rPr>
          <w:color w:val="231F20"/>
          <w:spacing w:val="-16"/>
        </w:rPr>
        <w:t xml:space="preserve"> </w:t>
      </w:r>
      <w:r>
        <w:rPr>
          <w:color w:val="231F20"/>
        </w:rPr>
        <w:t>nabídek</w:t>
      </w:r>
      <w:r>
        <w:rPr>
          <w:color w:val="231F20"/>
          <w:spacing w:val="-16"/>
        </w:rPr>
        <w:t xml:space="preserve"> </w:t>
      </w:r>
      <w:r>
        <w:rPr>
          <w:color w:val="231F20"/>
        </w:rPr>
        <w:t>dodavatelů,</w:t>
      </w:r>
      <w:r>
        <w:rPr>
          <w:color w:val="231F20"/>
          <w:spacing w:val="-15"/>
        </w:rPr>
        <w:t xml:space="preserve"> </w:t>
      </w:r>
      <w:r>
        <w:rPr>
          <w:color w:val="231F20"/>
        </w:rPr>
        <w:t xml:space="preserve">kteří by ve smyslu § 125 ZZVZ měli být považováni za vybraného dodavatele </w:t>
      </w:r>
      <w:r>
        <w:rPr>
          <w:color w:val="231F20"/>
          <w:spacing w:val="2"/>
        </w:rPr>
        <w:t xml:space="preserve">(po </w:t>
      </w:r>
      <w:r>
        <w:rPr>
          <w:color w:val="231F20"/>
        </w:rPr>
        <w:t>vyloučení vybraného</w:t>
      </w:r>
      <w:r>
        <w:rPr>
          <w:color w:val="231F20"/>
          <w:spacing w:val="-2"/>
        </w:rPr>
        <w:t xml:space="preserve"> </w:t>
      </w:r>
      <w:r>
        <w:rPr>
          <w:color w:val="231F20"/>
        </w:rPr>
        <w:t>dodavatele).</w:t>
      </w:r>
    </w:p>
    <w:p w14:paraId="3950384A" w14:textId="77777777" w:rsidR="00F65BCA" w:rsidRDefault="00F65BCA">
      <w:pPr>
        <w:pStyle w:val="Zkladntext"/>
        <w:spacing w:before="10"/>
        <w:rPr>
          <w:sz w:val="20"/>
        </w:rPr>
      </w:pPr>
    </w:p>
    <w:p w14:paraId="558C3DEE" w14:textId="77777777" w:rsidR="00F65BCA" w:rsidRDefault="00216117">
      <w:pPr>
        <w:pStyle w:val="Nadpis1"/>
        <w:numPr>
          <w:ilvl w:val="0"/>
          <w:numId w:val="18"/>
        </w:numPr>
        <w:tabs>
          <w:tab w:val="left" w:pos="685"/>
          <w:tab w:val="left" w:pos="686"/>
        </w:tabs>
        <w:ind w:hanging="569"/>
      </w:pPr>
      <w:bookmarkStart w:id="14" w:name="_TOC_250009"/>
      <w:r>
        <w:rPr>
          <w:color w:val="231F20"/>
        </w:rPr>
        <w:t>Způsob zpracování nabídkové</w:t>
      </w:r>
      <w:r>
        <w:rPr>
          <w:color w:val="231F20"/>
          <w:spacing w:val="-1"/>
        </w:rPr>
        <w:t xml:space="preserve"> </w:t>
      </w:r>
      <w:bookmarkEnd w:id="14"/>
      <w:r>
        <w:rPr>
          <w:color w:val="231F20"/>
        </w:rPr>
        <w:t>ceny</w:t>
      </w:r>
    </w:p>
    <w:p w14:paraId="0030C582" w14:textId="77777777" w:rsidR="00F65BCA" w:rsidRDefault="00216117">
      <w:pPr>
        <w:pStyle w:val="Nadpis3"/>
        <w:numPr>
          <w:ilvl w:val="1"/>
          <w:numId w:val="18"/>
        </w:numPr>
        <w:tabs>
          <w:tab w:val="left" w:pos="686"/>
        </w:tabs>
        <w:spacing w:before="119"/>
        <w:ind w:hanging="569"/>
      </w:pPr>
      <w:r>
        <w:rPr>
          <w:color w:val="231F20"/>
        </w:rPr>
        <w:t>Pro</w:t>
      </w:r>
      <w:r>
        <w:rPr>
          <w:color w:val="231F20"/>
          <w:spacing w:val="-11"/>
        </w:rPr>
        <w:t xml:space="preserve"> </w:t>
      </w:r>
      <w:r>
        <w:rPr>
          <w:color w:val="231F20"/>
        </w:rPr>
        <w:t>část</w:t>
      </w:r>
      <w:r>
        <w:rPr>
          <w:color w:val="231F20"/>
          <w:spacing w:val="-11"/>
        </w:rPr>
        <w:t xml:space="preserve"> </w:t>
      </w:r>
      <w:r>
        <w:rPr>
          <w:color w:val="231F20"/>
        </w:rPr>
        <w:t>1</w:t>
      </w:r>
      <w:r>
        <w:rPr>
          <w:color w:val="231F20"/>
          <w:spacing w:val="-10"/>
        </w:rPr>
        <w:t xml:space="preserve"> </w:t>
      </w:r>
      <w:r>
        <w:rPr>
          <w:color w:val="231F20"/>
        </w:rPr>
        <w:t>VZ</w:t>
      </w:r>
      <w:r>
        <w:rPr>
          <w:color w:val="231F20"/>
          <w:spacing w:val="-12"/>
        </w:rPr>
        <w:t xml:space="preserve"> </w:t>
      </w:r>
      <w:r>
        <w:rPr>
          <w:color w:val="231F20"/>
        </w:rPr>
        <w:t>bude</w:t>
      </w:r>
      <w:r>
        <w:rPr>
          <w:color w:val="231F20"/>
          <w:spacing w:val="-11"/>
        </w:rPr>
        <w:t xml:space="preserve"> </w:t>
      </w:r>
      <w:r>
        <w:rPr>
          <w:color w:val="231F20"/>
        </w:rPr>
        <w:t>nabídková</w:t>
      </w:r>
      <w:r>
        <w:rPr>
          <w:color w:val="231F20"/>
          <w:spacing w:val="-10"/>
        </w:rPr>
        <w:t xml:space="preserve"> </w:t>
      </w:r>
      <w:r>
        <w:rPr>
          <w:color w:val="231F20"/>
        </w:rPr>
        <w:t>cena</w:t>
      </w:r>
      <w:r>
        <w:rPr>
          <w:color w:val="231F20"/>
          <w:spacing w:val="-12"/>
        </w:rPr>
        <w:t xml:space="preserve"> </w:t>
      </w:r>
      <w:r>
        <w:rPr>
          <w:color w:val="231F20"/>
        </w:rPr>
        <w:t>(za</w:t>
      </w:r>
      <w:r>
        <w:rPr>
          <w:color w:val="231F20"/>
          <w:spacing w:val="-11"/>
        </w:rPr>
        <w:t xml:space="preserve"> </w:t>
      </w:r>
      <w:r>
        <w:rPr>
          <w:color w:val="231F20"/>
        </w:rPr>
        <w:t>všechna</w:t>
      </w:r>
      <w:r>
        <w:rPr>
          <w:color w:val="231F20"/>
          <w:spacing w:val="-11"/>
        </w:rPr>
        <w:t xml:space="preserve"> </w:t>
      </w:r>
      <w:r>
        <w:rPr>
          <w:color w:val="231F20"/>
        </w:rPr>
        <w:t>tři</w:t>
      </w:r>
      <w:r>
        <w:rPr>
          <w:color w:val="231F20"/>
          <w:spacing w:val="-11"/>
        </w:rPr>
        <w:t xml:space="preserve"> </w:t>
      </w:r>
      <w:r>
        <w:rPr>
          <w:color w:val="231F20"/>
        </w:rPr>
        <w:t>(3)</w:t>
      </w:r>
      <w:r>
        <w:rPr>
          <w:color w:val="231F20"/>
          <w:spacing w:val="-11"/>
        </w:rPr>
        <w:t xml:space="preserve"> </w:t>
      </w:r>
      <w:r>
        <w:rPr>
          <w:color w:val="231F20"/>
        </w:rPr>
        <w:t>pojistná</w:t>
      </w:r>
      <w:r>
        <w:rPr>
          <w:color w:val="231F20"/>
          <w:spacing w:val="-10"/>
        </w:rPr>
        <w:t xml:space="preserve"> </w:t>
      </w:r>
      <w:r>
        <w:rPr>
          <w:color w:val="231F20"/>
        </w:rPr>
        <w:t>období)</w:t>
      </w:r>
      <w:r>
        <w:rPr>
          <w:color w:val="231F20"/>
          <w:spacing w:val="-12"/>
        </w:rPr>
        <w:t xml:space="preserve"> </w:t>
      </w:r>
      <w:r>
        <w:rPr>
          <w:color w:val="231F20"/>
        </w:rPr>
        <w:t>uvedena</w:t>
      </w:r>
      <w:r>
        <w:rPr>
          <w:color w:val="231F20"/>
          <w:spacing w:val="-11"/>
        </w:rPr>
        <w:t xml:space="preserve"> </w:t>
      </w:r>
      <w:r>
        <w:rPr>
          <w:color w:val="231F20"/>
        </w:rPr>
        <w:t>v</w:t>
      </w:r>
      <w:r>
        <w:rPr>
          <w:color w:val="231F20"/>
          <w:spacing w:val="2"/>
        </w:rPr>
        <w:t xml:space="preserve"> </w:t>
      </w:r>
      <w:r>
        <w:rPr>
          <w:color w:val="231F20"/>
        </w:rPr>
        <w:t>návrhu</w:t>
      </w:r>
    </w:p>
    <w:p w14:paraId="6A15AADF" w14:textId="77777777" w:rsidR="00F65BCA" w:rsidRDefault="00216117">
      <w:pPr>
        <w:pStyle w:val="Nadpis3"/>
        <w:spacing w:before="0"/>
        <w:jc w:val="left"/>
      </w:pPr>
      <w:r>
        <w:rPr>
          <w:color w:val="231F20"/>
        </w:rPr>
        <w:t>smlouvy.</w:t>
      </w:r>
    </w:p>
    <w:p w14:paraId="5C491204" w14:textId="77777777" w:rsidR="00F65BCA" w:rsidRDefault="00216117">
      <w:pPr>
        <w:pStyle w:val="Nadpis3"/>
        <w:numPr>
          <w:ilvl w:val="1"/>
          <w:numId w:val="18"/>
        </w:numPr>
        <w:tabs>
          <w:tab w:val="left" w:pos="686"/>
        </w:tabs>
        <w:ind w:right="112"/>
        <w:jc w:val="both"/>
      </w:pPr>
      <w:r>
        <w:rPr>
          <w:color w:val="231F20"/>
        </w:rPr>
        <w:t>Nabídková cena (pro všechna tři (3) pojistná období) pro část 2, 3 a 4 VZ bude stejná    a</w:t>
      </w:r>
      <w:r>
        <w:rPr>
          <w:color w:val="231F20"/>
          <w:spacing w:val="-4"/>
        </w:rPr>
        <w:t xml:space="preserve"> </w:t>
      </w:r>
      <w:r>
        <w:rPr>
          <w:color w:val="231F20"/>
        </w:rPr>
        <w:t>bude</w:t>
      </w:r>
      <w:r>
        <w:rPr>
          <w:color w:val="231F20"/>
          <w:spacing w:val="-10"/>
        </w:rPr>
        <w:t xml:space="preserve"> </w:t>
      </w:r>
      <w:r>
        <w:rPr>
          <w:color w:val="231F20"/>
        </w:rPr>
        <w:t>uvedena</w:t>
      </w:r>
      <w:r>
        <w:rPr>
          <w:color w:val="231F20"/>
          <w:spacing w:val="-11"/>
        </w:rPr>
        <w:t xml:space="preserve"> </w:t>
      </w:r>
      <w:r>
        <w:rPr>
          <w:color w:val="231F20"/>
        </w:rPr>
        <w:t>v</w:t>
      </w:r>
      <w:r>
        <w:rPr>
          <w:color w:val="231F20"/>
          <w:spacing w:val="-2"/>
        </w:rPr>
        <w:t xml:space="preserve"> </w:t>
      </w:r>
      <w:r>
        <w:rPr>
          <w:color w:val="231F20"/>
        </w:rPr>
        <w:t>příslušném</w:t>
      </w:r>
      <w:r>
        <w:rPr>
          <w:color w:val="231F20"/>
          <w:spacing w:val="-12"/>
        </w:rPr>
        <w:t xml:space="preserve"> </w:t>
      </w:r>
      <w:r>
        <w:rPr>
          <w:color w:val="231F20"/>
        </w:rPr>
        <w:t>návrhu</w:t>
      </w:r>
      <w:r>
        <w:rPr>
          <w:color w:val="231F20"/>
          <w:spacing w:val="-10"/>
        </w:rPr>
        <w:t xml:space="preserve"> </w:t>
      </w:r>
      <w:r>
        <w:rPr>
          <w:color w:val="231F20"/>
        </w:rPr>
        <w:t>smlouvy,</w:t>
      </w:r>
      <w:r>
        <w:rPr>
          <w:color w:val="231F20"/>
          <w:spacing w:val="-10"/>
        </w:rPr>
        <w:t xml:space="preserve"> </w:t>
      </w:r>
      <w:r>
        <w:rPr>
          <w:color w:val="231F20"/>
        </w:rPr>
        <w:t>nebo</w:t>
      </w:r>
      <w:r>
        <w:rPr>
          <w:color w:val="231F20"/>
          <w:spacing w:val="-10"/>
        </w:rPr>
        <w:t xml:space="preserve"> </w:t>
      </w:r>
      <w:r>
        <w:rPr>
          <w:color w:val="231F20"/>
        </w:rPr>
        <w:t>jako</w:t>
      </w:r>
      <w:r>
        <w:rPr>
          <w:color w:val="231F20"/>
          <w:spacing w:val="-11"/>
        </w:rPr>
        <w:t xml:space="preserve"> </w:t>
      </w:r>
      <w:r>
        <w:rPr>
          <w:color w:val="231F20"/>
        </w:rPr>
        <w:t>její</w:t>
      </w:r>
      <w:r>
        <w:rPr>
          <w:color w:val="231F20"/>
          <w:spacing w:val="-11"/>
        </w:rPr>
        <w:t xml:space="preserve"> </w:t>
      </w:r>
      <w:r>
        <w:rPr>
          <w:color w:val="231F20"/>
        </w:rPr>
        <w:t>příloha</w:t>
      </w:r>
      <w:r>
        <w:rPr>
          <w:color w:val="231F20"/>
          <w:spacing w:val="-10"/>
        </w:rPr>
        <w:t xml:space="preserve"> </w:t>
      </w:r>
      <w:r>
        <w:rPr>
          <w:color w:val="231F20"/>
        </w:rPr>
        <w:t>v</w:t>
      </w:r>
      <w:r>
        <w:rPr>
          <w:color w:val="231F20"/>
          <w:spacing w:val="1"/>
        </w:rPr>
        <w:t xml:space="preserve"> </w:t>
      </w:r>
      <w:r>
        <w:rPr>
          <w:color w:val="231F20"/>
        </w:rPr>
        <w:t>podobě</w:t>
      </w:r>
      <w:r>
        <w:rPr>
          <w:color w:val="231F20"/>
          <w:spacing w:val="-10"/>
        </w:rPr>
        <w:t xml:space="preserve"> </w:t>
      </w:r>
      <w:r>
        <w:rPr>
          <w:color w:val="231F20"/>
        </w:rPr>
        <w:t>dle</w:t>
      </w:r>
      <w:r>
        <w:rPr>
          <w:color w:val="231F20"/>
          <w:spacing w:val="-11"/>
        </w:rPr>
        <w:t xml:space="preserve"> </w:t>
      </w:r>
      <w:r>
        <w:rPr>
          <w:color w:val="231F20"/>
        </w:rPr>
        <w:t>čl.</w:t>
      </w:r>
      <w:r>
        <w:rPr>
          <w:color w:val="231F20"/>
          <w:spacing w:val="-12"/>
        </w:rPr>
        <w:t xml:space="preserve"> </w:t>
      </w:r>
      <w:r>
        <w:rPr>
          <w:color w:val="231F20"/>
        </w:rPr>
        <w:t>15.3 až 15.5 (tabulka s dílčími</w:t>
      </w:r>
      <w:r>
        <w:rPr>
          <w:color w:val="231F20"/>
          <w:spacing w:val="-2"/>
        </w:rPr>
        <w:t xml:space="preserve"> </w:t>
      </w:r>
      <w:r>
        <w:rPr>
          <w:color w:val="231F20"/>
        </w:rPr>
        <w:t>cenami).</w:t>
      </w:r>
    </w:p>
    <w:p w14:paraId="7A4505FB" w14:textId="77777777" w:rsidR="00F65BCA" w:rsidRDefault="00216117">
      <w:pPr>
        <w:pStyle w:val="Nadpis3"/>
        <w:numPr>
          <w:ilvl w:val="1"/>
          <w:numId w:val="18"/>
        </w:numPr>
        <w:tabs>
          <w:tab w:val="left" w:pos="686"/>
        </w:tabs>
        <w:spacing w:before="119"/>
        <w:ind w:right="111"/>
        <w:jc w:val="both"/>
      </w:pPr>
      <w:r>
        <w:rPr>
          <w:color w:val="231F20"/>
        </w:rPr>
        <w:t>Pro část 2 VZ – Pojištění vozidel bude nabídková cena (jež bude předmětem hodnocení) stanovena podle ocenění pojistného pro jednotlivá vozidla dle přílohy č. 2-2 této ZD. Účastník zadávacího řízení je povinen prokázat nabídkovou cenu na část 2 VZ předložením vyplněné tabulky, tj. s doplněním jednotlivých cen v Kč. Celková nabídková cena na část 2 VZ se dopočte automaticky po doplnění dílčích</w:t>
      </w:r>
      <w:r>
        <w:rPr>
          <w:color w:val="231F20"/>
          <w:spacing w:val="-7"/>
        </w:rPr>
        <w:t xml:space="preserve"> </w:t>
      </w:r>
      <w:r>
        <w:rPr>
          <w:color w:val="231F20"/>
        </w:rPr>
        <w:t>cen.</w:t>
      </w:r>
    </w:p>
    <w:p w14:paraId="450368EB" w14:textId="77777777" w:rsidR="00F65BCA" w:rsidRDefault="00216117">
      <w:pPr>
        <w:pStyle w:val="Nadpis3"/>
        <w:numPr>
          <w:ilvl w:val="1"/>
          <w:numId w:val="18"/>
        </w:numPr>
        <w:tabs>
          <w:tab w:val="left" w:pos="686"/>
        </w:tabs>
        <w:spacing w:before="119"/>
        <w:ind w:right="112"/>
        <w:jc w:val="both"/>
      </w:pPr>
      <w:r>
        <w:rPr>
          <w:color w:val="231F20"/>
        </w:rPr>
        <w:t xml:space="preserve">Pro část 4 VZ – Pojištění dronů bude nabídková cena (jež bude předmětem hodnocení) stanovena podle ocenění pojistného pro jednotlivé drony dle příslušné přílohy č. </w:t>
      </w:r>
      <w:r>
        <w:rPr>
          <w:color w:val="231F20"/>
          <w:spacing w:val="2"/>
        </w:rPr>
        <w:t xml:space="preserve">2-4 </w:t>
      </w:r>
      <w:r>
        <w:rPr>
          <w:color w:val="231F20"/>
        </w:rPr>
        <w:t xml:space="preserve">této ZD. Účastník zadávacího řízení je povinen prokázat nabídkovou cenu na část 4 VZ předložením kompletně vyplněné tabulky, tj. s doplněním jednotlivých cen v Kč do </w:t>
      </w:r>
      <w:r>
        <w:rPr>
          <w:color w:val="231F20"/>
          <w:shd w:val="clear" w:color="auto" w:fill="F6EB00"/>
        </w:rPr>
        <w:t>žlutě</w:t>
      </w:r>
      <w:r>
        <w:rPr>
          <w:color w:val="231F20"/>
        </w:rPr>
        <w:t xml:space="preserve"> zvýrazněných buněk. Celková nabídková cena na část 4 VZ se dopočte automaticky po doplnění dílčích</w:t>
      </w:r>
      <w:r>
        <w:rPr>
          <w:color w:val="231F20"/>
          <w:spacing w:val="-1"/>
        </w:rPr>
        <w:t xml:space="preserve"> </w:t>
      </w:r>
      <w:r>
        <w:rPr>
          <w:color w:val="231F20"/>
        </w:rPr>
        <w:t>cen.</w:t>
      </w:r>
    </w:p>
    <w:p w14:paraId="2EDCC73B" w14:textId="77777777" w:rsidR="00F65BCA" w:rsidRDefault="00216117">
      <w:pPr>
        <w:pStyle w:val="Nadpis3"/>
        <w:numPr>
          <w:ilvl w:val="1"/>
          <w:numId w:val="18"/>
        </w:numPr>
        <w:tabs>
          <w:tab w:val="left" w:pos="686"/>
        </w:tabs>
        <w:ind w:right="112"/>
        <w:jc w:val="both"/>
      </w:pPr>
      <w:r>
        <w:rPr>
          <w:color w:val="231F20"/>
        </w:rPr>
        <w:t>Pro</w:t>
      </w:r>
      <w:r>
        <w:rPr>
          <w:color w:val="231F20"/>
          <w:spacing w:val="-16"/>
        </w:rPr>
        <w:t xml:space="preserve"> </w:t>
      </w:r>
      <w:r>
        <w:rPr>
          <w:color w:val="231F20"/>
        </w:rPr>
        <w:t>část</w:t>
      </w:r>
      <w:r>
        <w:rPr>
          <w:color w:val="231F20"/>
          <w:spacing w:val="-14"/>
        </w:rPr>
        <w:t xml:space="preserve"> </w:t>
      </w:r>
      <w:r>
        <w:rPr>
          <w:color w:val="231F20"/>
        </w:rPr>
        <w:t>3</w:t>
      </w:r>
      <w:r>
        <w:rPr>
          <w:color w:val="231F20"/>
          <w:spacing w:val="-15"/>
        </w:rPr>
        <w:t xml:space="preserve"> </w:t>
      </w:r>
      <w:r>
        <w:rPr>
          <w:color w:val="231F20"/>
        </w:rPr>
        <w:t>VZ</w:t>
      </w:r>
      <w:r>
        <w:rPr>
          <w:color w:val="231F20"/>
          <w:spacing w:val="-15"/>
        </w:rPr>
        <w:t xml:space="preserve"> </w:t>
      </w:r>
      <w:r>
        <w:rPr>
          <w:color w:val="231F20"/>
        </w:rPr>
        <w:t>–</w:t>
      </w:r>
      <w:r>
        <w:rPr>
          <w:color w:val="231F20"/>
          <w:spacing w:val="-15"/>
        </w:rPr>
        <w:t xml:space="preserve"> </w:t>
      </w:r>
      <w:r>
        <w:rPr>
          <w:color w:val="231F20"/>
        </w:rPr>
        <w:t>Cestovní</w:t>
      </w:r>
      <w:r>
        <w:rPr>
          <w:color w:val="231F20"/>
          <w:spacing w:val="-15"/>
        </w:rPr>
        <w:t xml:space="preserve"> </w:t>
      </w:r>
      <w:r>
        <w:rPr>
          <w:color w:val="231F20"/>
        </w:rPr>
        <w:t>pojištění</w:t>
      </w:r>
      <w:r>
        <w:rPr>
          <w:color w:val="231F20"/>
          <w:spacing w:val="-15"/>
        </w:rPr>
        <w:t xml:space="preserve"> </w:t>
      </w:r>
      <w:r>
        <w:rPr>
          <w:color w:val="231F20"/>
        </w:rPr>
        <w:t>bude</w:t>
      </w:r>
      <w:r>
        <w:rPr>
          <w:color w:val="231F20"/>
          <w:spacing w:val="-15"/>
        </w:rPr>
        <w:t xml:space="preserve"> </w:t>
      </w:r>
      <w:r>
        <w:rPr>
          <w:color w:val="231F20"/>
        </w:rPr>
        <w:t>nabídková</w:t>
      </w:r>
      <w:r>
        <w:rPr>
          <w:color w:val="231F20"/>
          <w:spacing w:val="-15"/>
        </w:rPr>
        <w:t xml:space="preserve"> </w:t>
      </w:r>
      <w:r>
        <w:rPr>
          <w:color w:val="231F20"/>
        </w:rPr>
        <w:t>cena</w:t>
      </w:r>
      <w:r>
        <w:rPr>
          <w:color w:val="231F20"/>
          <w:spacing w:val="-15"/>
        </w:rPr>
        <w:t xml:space="preserve"> </w:t>
      </w:r>
      <w:r>
        <w:rPr>
          <w:color w:val="231F20"/>
        </w:rPr>
        <w:t>(jež</w:t>
      </w:r>
      <w:r>
        <w:rPr>
          <w:color w:val="231F20"/>
          <w:spacing w:val="-15"/>
        </w:rPr>
        <w:t xml:space="preserve"> </w:t>
      </w:r>
      <w:r>
        <w:rPr>
          <w:color w:val="231F20"/>
        </w:rPr>
        <w:t>bude</w:t>
      </w:r>
      <w:r>
        <w:rPr>
          <w:color w:val="231F20"/>
          <w:spacing w:val="-16"/>
        </w:rPr>
        <w:t xml:space="preserve"> </w:t>
      </w:r>
      <w:r>
        <w:rPr>
          <w:color w:val="231F20"/>
        </w:rPr>
        <w:t>předmětem</w:t>
      </w:r>
      <w:r>
        <w:rPr>
          <w:color w:val="231F20"/>
          <w:spacing w:val="-16"/>
        </w:rPr>
        <w:t xml:space="preserve"> </w:t>
      </w:r>
      <w:r>
        <w:rPr>
          <w:color w:val="231F20"/>
        </w:rPr>
        <w:t>hodnocení) stanovena podle jednotkových cen pojištění a Zadavatelem předpokládaného rozsahu pojištění.</w:t>
      </w:r>
      <w:r>
        <w:rPr>
          <w:color w:val="231F20"/>
          <w:spacing w:val="-16"/>
        </w:rPr>
        <w:t xml:space="preserve"> </w:t>
      </w:r>
      <w:r>
        <w:rPr>
          <w:color w:val="231F20"/>
        </w:rPr>
        <w:t>Jednotkové</w:t>
      </w:r>
      <w:r>
        <w:rPr>
          <w:color w:val="231F20"/>
          <w:spacing w:val="-14"/>
        </w:rPr>
        <w:t xml:space="preserve"> </w:t>
      </w:r>
      <w:r>
        <w:rPr>
          <w:color w:val="231F20"/>
        </w:rPr>
        <w:t>ceny</w:t>
      </w:r>
      <w:r>
        <w:rPr>
          <w:color w:val="231F20"/>
          <w:spacing w:val="-13"/>
        </w:rPr>
        <w:t xml:space="preserve"> </w:t>
      </w:r>
      <w:r>
        <w:rPr>
          <w:color w:val="231F20"/>
        </w:rPr>
        <w:t>cestovního</w:t>
      </w:r>
      <w:r>
        <w:rPr>
          <w:color w:val="231F20"/>
          <w:spacing w:val="-15"/>
        </w:rPr>
        <w:t xml:space="preserve"> </w:t>
      </w:r>
      <w:r>
        <w:rPr>
          <w:color w:val="231F20"/>
        </w:rPr>
        <w:t>pojištění</w:t>
      </w:r>
      <w:r>
        <w:rPr>
          <w:color w:val="231F20"/>
          <w:spacing w:val="-13"/>
        </w:rPr>
        <w:t xml:space="preserve"> </w:t>
      </w:r>
      <w:r>
        <w:rPr>
          <w:color w:val="231F20"/>
        </w:rPr>
        <w:t>budou</w:t>
      </w:r>
      <w:r>
        <w:rPr>
          <w:color w:val="231F20"/>
          <w:spacing w:val="-14"/>
        </w:rPr>
        <w:t xml:space="preserve"> </w:t>
      </w:r>
      <w:r>
        <w:rPr>
          <w:color w:val="231F20"/>
        </w:rPr>
        <w:t>uvedeny</w:t>
      </w:r>
      <w:r>
        <w:rPr>
          <w:color w:val="231F20"/>
          <w:spacing w:val="-14"/>
        </w:rPr>
        <w:t xml:space="preserve"> </w:t>
      </w:r>
      <w:r>
        <w:rPr>
          <w:color w:val="231F20"/>
        </w:rPr>
        <w:t>v</w:t>
      </w:r>
      <w:r>
        <w:rPr>
          <w:color w:val="231F20"/>
          <w:spacing w:val="-1"/>
        </w:rPr>
        <w:t xml:space="preserve"> </w:t>
      </w:r>
      <w:r>
        <w:rPr>
          <w:color w:val="231F20"/>
        </w:rPr>
        <w:t>Návrhu</w:t>
      </w:r>
      <w:r>
        <w:rPr>
          <w:color w:val="231F20"/>
          <w:spacing w:val="-16"/>
        </w:rPr>
        <w:t xml:space="preserve"> </w:t>
      </w:r>
      <w:r>
        <w:rPr>
          <w:color w:val="231F20"/>
        </w:rPr>
        <w:t>smlouvy</w:t>
      </w:r>
      <w:r>
        <w:rPr>
          <w:color w:val="231F20"/>
          <w:spacing w:val="-14"/>
        </w:rPr>
        <w:t xml:space="preserve"> </w:t>
      </w:r>
      <w:r>
        <w:rPr>
          <w:color w:val="231F20"/>
        </w:rPr>
        <w:t>na</w:t>
      </w:r>
      <w:r>
        <w:rPr>
          <w:color w:val="231F20"/>
          <w:spacing w:val="-16"/>
        </w:rPr>
        <w:t xml:space="preserve"> </w:t>
      </w:r>
      <w:r>
        <w:rPr>
          <w:color w:val="231F20"/>
        </w:rPr>
        <w:t>část na 3 VZ. Zadavatel jako součást  ZD (příloha č. 2-3 ZD) předkládá tabulku k ocenění     a</w:t>
      </w:r>
      <w:r>
        <w:rPr>
          <w:color w:val="231F20"/>
          <w:spacing w:val="-4"/>
        </w:rPr>
        <w:t xml:space="preserve"> </w:t>
      </w:r>
      <w:r>
        <w:rPr>
          <w:color w:val="231F20"/>
        </w:rPr>
        <w:t>výpočtu</w:t>
      </w:r>
      <w:r>
        <w:rPr>
          <w:color w:val="231F20"/>
          <w:spacing w:val="-4"/>
        </w:rPr>
        <w:t xml:space="preserve"> </w:t>
      </w:r>
      <w:r>
        <w:rPr>
          <w:color w:val="231F20"/>
        </w:rPr>
        <w:t>nabídkové</w:t>
      </w:r>
      <w:r>
        <w:rPr>
          <w:color w:val="231F20"/>
          <w:spacing w:val="-5"/>
        </w:rPr>
        <w:t xml:space="preserve"> </w:t>
      </w:r>
      <w:r>
        <w:rPr>
          <w:color w:val="231F20"/>
        </w:rPr>
        <w:t>ceny</w:t>
      </w:r>
      <w:r>
        <w:rPr>
          <w:color w:val="231F20"/>
          <w:spacing w:val="-3"/>
        </w:rPr>
        <w:t xml:space="preserve"> </w:t>
      </w:r>
      <w:r>
        <w:rPr>
          <w:color w:val="231F20"/>
        </w:rPr>
        <w:t>pro</w:t>
      </w:r>
      <w:r>
        <w:rPr>
          <w:color w:val="231F20"/>
          <w:spacing w:val="-4"/>
        </w:rPr>
        <w:t xml:space="preserve"> </w:t>
      </w:r>
      <w:r>
        <w:rPr>
          <w:color w:val="231F20"/>
        </w:rPr>
        <w:t>část</w:t>
      </w:r>
      <w:r>
        <w:rPr>
          <w:color w:val="231F20"/>
          <w:spacing w:val="-4"/>
        </w:rPr>
        <w:t xml:space="preserve"> </w:t>
      </w:r>
      <w:r>
        <w:rPr>
          <w:color w:val="231F20"/>
        </w:rPr>
        <w:t>3</w:t>
      </w:r>
      <w:r>
        <w:rPr>
          <w:color w:val="231F20"/>
          <w:spacing w:val="-4"/>
        </w:rPr>
        <w:t xml:space="preserve"> </w:t>
      </w:r>
      <w:r>
        <w:rPr>
          <w:color w:val="231F20"/>
        </w:rPr>
        <w:t>VZ.</w:t>
      </w:r>
      <w:r>
        <w:rPr>
          <w:color w:val="231F20"/>
          <w:spacing w:val="-4"/>
        </w:rPr>
        <w:t xml:space="preserve"> </w:t>
      </w:r>
      <w:r>
        <w:rPr>
          <w:color w:val="231F20"/>
        </w:rPr>
        <w:t>Účastník</w:t>
      </w:r>
      <w:r>
        <w:rPr>
          <w:color w:val="231F20"/>
          <w:spacing w:val="-5"/>
        </w:rPr>
        <w:t xml:space="preserve"> </w:t>
      </w:r>
      <w:r>
        <w:rPr>
          <w:color w:val="231F20"/>
        </w:rPr>
        <w:t>zadávacího</w:t>
      </w:r>
      <w:r>
        <w:rPr>
          <w:color w:val="231F20"/>
          <w:spacing w:val="-4"/>
        </w:rPr>
        <w:t xml:space="preserve"> </w:t>
      </w:r>
      <w:r>
        <w:rPr>
          <w:color w:val="231F20"/>
        </w:rPr>
        <w:t>řízení</w:t>
      </w:r>
      <w:r>
        <w:rPr>
          <w:color w:val="231F20"/>
          <w:spacing w:val="-4"/>
        </w:rPr>
        <w:t xml:space="preserve"> </w:t>
      </w:r>
      <w:r>
        <w:rPr>
          <w:color w:val="231F20"/>
        </w:rPr>
        <w:t>je</w:t>
      </w:r>
      <w:r>
        <w:rPr>
          <w:color w:val="231F20"/>
          <w:spacing w:val="-6"/>
        </w:rPr>
        <w:t xml:space="preserve"> </w:t>
      </w:r>
      <w:r>
        <w:rPr>
          <w:color w:val="231F20"/>
        </w:rPr>
        <w:t>povinen</w:t>
      </w:r>
      <w:r>
        <w:rPr>
          <w:color w:val="231F20"/>
          <w:spacing w:val="-4"/>
        </w:rPr>
        <w:t xml:space="preserve"> </w:t>
      </w:r>
      <w:r>
        <w:rPr>
          <w:color w:val="231F20"/>
        </w:rPr>
        <w:t>prokázat</w:t>
      </w:r>
    </w:p>
    <w:p w14:paraId="66D3DD53" w14:textId="77777777" w:rsidR="00F65BCA" w:rsidRDefault="00F65BCA">
      <w:pPr>
        <w:pStyle w:val="Zkladntext"/>
        <w:rPr>
          <w:sz w:val="20"/>
        </w:rPr>
      </w:pPr>
    </w:p>
    <w:p w14:paraId="68DEB083" w14:textId="77777777" w:rsidR="00F65BCA" w:rsidRDefault="00F65BCA">
      <w:pPr>
        <w:pStyle w:val="Zkladntext"/>
        <w:spacing w:before="7"/>
      </w:pPr>
    </w:p>
    <w:p w14:paraId="422678FE" w14:textId="77777777" w:rsidR="00F65BCA" w:rsidRDefault="00216117">
      <w:pPr>
        <w:spacing w:before="95"/>
        <w:ind w:left="1459" w:right="1033"/>
        <w:jc w:val="center"/>
        <w:rPr>
          <w:sz w:val="16"/>
        </w:rPr>
      </w:pPr>
      <w:r>
        <w:rPr>
          <w:color w:val="231F20"/>
          <w:sz w:val="16"/>
        </w:rPr>
        <w:t>Stránka 5 z 15</w:t>
      </w:r>
    </w:p>
    <w:p w14:paraId="58FC7539" w14:textId="77777777" w:rsidR="00F65BCA" w:rsidRDefault="00F65BCA">
      <w:pPr>
        <w:jc w:val="center"/>
        <w:rPr>
          <w:sz w:val="16"/>
        </w:rPr>
        <w:sectPr w:rsidR="00F65BCA">
          <w:pgSz w:w="11900" w:h="16840"/>
          <w:pgMar w:top="1060" w:right="1160" w:bottom="280" w:left="1300" w:header="708" w:footer="708" w:gutter="0"/>
          <w:cols w:space="708"/>
        </w:sectPr>
      </w:pPr>
    </w:p>
    <w:p w14:paraId="6829FA73" w14:textId="77777777" w:rsidR="00F65BCA" w:rsidRDefault="00216117">
      <w:pPr>
        <w:pStyle w:val="Nadpis3"/>
        <w:spacing w:before="78"/>
        <w:ind w:right="111"/>
      </w:pPr>
      <w:r>
        <w:rPr>
          <w:color w:val="231F20"/>
        </w:rPr>
        <w:lastRenderedPageBreak/>
        <w:t xml:space="preserve">nabídkovou cenu na část 3 VZ předložením kompletně vyplněné tabulky, tj. s doplněním jednotkových cen v Kč do </w:t>
      </w:r>
      <w:r>
        <w:rPr>
          <w:color w:val="231F20"/>
          <w:shd w:val="clear" w:color="auto" w:fill="F6EB00"/>
        </w:rPr>
        <w:t>žlutě</w:t>
      </w:r>
      <w:r>
        <w:rPr>
          <w:color w:val="231F20"/>
        </w:rPr>
        <w:t xml:space="preserve"> zvýrazněných buněk. Celková nabídková cena na část 3 VZ se dopočte automaticky po doplnění jednotkových cen.</w:t>
      </w:r>
    </w:p>
    <w:p w14:paraId="2D79F973" w14:textId="77777777" w:rsidR="00F65BCA" w:rsidRDefault="00216117">
      <w:pPr>
        <w:pStyle w:val="Nadpis3"/>
        <w:numPr>
          <w:ilvl w:val="1"/>
          <w:numId w:val="18"/>
        </w:numPr>
        <w:tabs>
          <w:tab w:val="left" w:pos="686"/>
        </w:tabs>
        <w:spacing w:before="119"/>
        <w:ind w:right="120"/>
        <w:jc w:val="both"/>
      </w:pPr>
      <w:r>
        <w:rPr>
          <w:color w:val="231F20"/>
        </w:rPr>
        <w:t>Zadavatel nestanoví ve smyslu ust. § 113 ZZVZ způsob určení mimořádně nízké nabídkové ceny ani cenu, jež bude považovat za mimořádně nízkou nabídkovou</w:t>
      </w:r>
      <w:r>
        <w:rPr>
          <w:color w:val="231F20"/>
          <w:spacing w:val="-35"/>
        </w:rPr>
        <w:t xml:space="preserve"> </w:t>
      </w:r>
      <w:r>
        <w:rPr>
          <w:color w:val="231F20"/>
        </w:rPr>
        <w:t>cenu.</w:t>
      </w:r>
    </w:p>
    <w:p w14:paraId="3B638B4B" w14:textId="77777777" w:rsidR="00F65BCA" w:rsidRDefault="00F65BCA">
      <w:pPr>
        <w:pStyle w:val="Zkladntext"/>
        <w:spacing w:before="11"/>
        <w:rPr>
          <w:sz w:val="20"/>
        </w:rPr>
      </w:pPr>
    </w:p>
    <w:p w14:paraId="74E37FE7" w14:textId="77777777" w:rsidR="00F65BCA" w:rsidRDefault="00216117">
      <w:pPr>
        <w:pStyle w:val="Nadpis1"/>
        <w:numPr>
          <w:ilvl w:val="0"/>
          <w:numId w:val="18"/>
        </w:numPr>
        <w:tabs>
          <w:tab w:val="left" w:pos="686"/>
        </w:tabs>
        <w:ind w:hanging="569"/>
        <w:jc w:val="both"/>
      </w:pPr>
      <w:bookmarkStart w:id="15" w:name="_TOC_250008"/>
      <w:bookmarkEnd w:id="15"/>
      <w:r>
        <w:rPr>
          <w:color w:val="231F20"/>
        </w:rPr>
        <w:t>Kvalifikace</w:t>
      </w:r>
    </w:p>
    <w:p w14:paraId="56AEC1F2" w14:textId="77777777" w:rsidR="00F65BCA" w:rsidRDefault="00216117">
      <w:pPr>
        <w:spacing w:before="119"/>
        <w:ind w:left="117" w:right="113"/>
        <w:jc w:val="both"/>
      </w:pPr>
      <w:r>
        <w:rPr>
          <w:b/>
          <w:color w:val="231F20"/>
        </w:rPr>
        <w:t>V nabídce prokazuje dodavatel splnění kvalifikace</w:t>
      </w:r>
      <w:r>
        <w:rPr>
          <w:color w:val="231F20"/>
        </w:rPr>
        <w:t xml:space="preserve">, tj. základní způsobilost a Zadavatelem požadovanou profesní způsobilost  (v rozsahu dle čl. 16.2 této ZD), ekonomickou kvalifikaci   (v rozsahu dle čl. 16.3 této ZD) a technickou kvalifikaci (v rozsahu dle čl. 16.4 této ZD) </w:t>
      </w:r>
      <w:r>
        <w:rPr>
          <w:b/>
          <w:color w:val="231F20"/>
        </w:rPr>
        <w:t xml:space="preserve">předložením Čestného prohlášení </w:t>
      </w:r>
      <w:r>
        <w:rPr>
          <w:color w:val="231F20"/>
        </w:rPr>
        <w:t>(vzor v příloze č. 1 této</w:t>
      </w:r>
      <w:r>
        <w:rPr>
          <w:color w:val="231F20"/>
          <w:spacing w:val="-5"/>
        </w:rPr>
        <w:t xml:space="preserve"> </w:t>
      </w:r>
      <w:r>
        <w:rPr>
          <w:color w:val="231F20"/>
        </w:rPr>
        <w:t>ZD).</w:t>
      </w:r>
    </w:p>
    <w:p w14:paraId="095332AA" w14:textId="77777777" w:rsidR="00F65BCA" w:rsidRDefault="00216117">
      <w:pPr>
        <w:pStyle w:val="Nadpis3"/>
        <w:spacing w:before="119"/>
        <w:ind w:left="117" w:right="112" w:hanging="1"/>
      </w:pPr>
      <w:r>
        <w:rPr>
          <w:color w:val="231F20"/>
        </w:rPr>
        <w:t>Nejpozději před uzavřením smlouvy (resp. ve lhůtě pro součinnost dle čl. 19 této ZD) předloží vybraný dodavatel doklady podle § 75 odst. 1 ZZVZ a další požadované kvalifikační doklady,  a to v prostých kopiích, nestanoví-li zadavatel jinak (viz další</w:t>
      </w:r>
      <w:r>
        <w:rPr>
          <w:color w:val="231F20"/>
          <w:spacing w:val="-13"/>
        </w:rPr>
        <w:t xml:space="preserve"> </w:t>
      </w:r>
      <w:r>
        <w:rPr>
          <w:color w:val="231F20"/>
        </w:rPr>
        <w:t>odstavec).</w:t>
      </w:r>
    </w:p>
    <w:p w14:paraId="57CB5DC0" w14:textId="77777777" w:rsidR="00F65BCA" w:rsidRDefault="00216117">
      <w:pPr>
        <w:pStyle w:val="Nadpis3"/>
        <w:spacing w:before="121"/>
        <w:ind w:left="117" w:right="114"/>
      </w:pPr>
      <w:r>
        <w:rPr>
          <w:color w:val="231F20"/>
        </w:rPr>
        <w:t>Zadavatel si vyhrazuje právo vyzvat vybraného dodavatele (za „vybraného dodavatele“ se pro účely této ZD považuje i dodavatel, který se v rámci hodnocení nabídek umístil jako první        v pořadí) podle § 46 odst. 1 ZZVZ za účelem zajištění efektivního průběhu zadávacího řízení nebo</w:t>
      </w:r>
      <w:r>
        <w:rPr>
          <w:color w:val="231F20"/>
          <w:spacing w:val="-17"/>
        </w:rPr>
        <w:t xml:space="preserve"> </w:t>
      </w:r>
      <w:r>
        <w:rPr>
          <w:color w:val="231F20"/>
        </w:rPr>
        <w:t>před</w:t>
      </w:r>
      <w:r>
        <w:rPr>
          <w:color w:val="231F20"/>
          <w:spacing w:val="-18"/>
        </w:rPr>
        <w:t xml:space="preserve"> </w:t>
      </w:r>
      <w:r>
        <w:rPr>
          <w:color w:val="231F20"/>
        </w:rPr>
        <w:t>uzavřením</w:t>
      </w:r>
      <w:r>
        <w:rPr>
          <w:color w:val="231F20"/>
          <w:spacing w:val="-18"/>
        </w:rPr>
        <w:t xml:space="preserve"> </w:t>
      </w:r>
      <w:r>
        <w:rPr>
          <w:color w:val="231F20"/>
        </w:rPr>
        <w:t>smlouvy</w:t>
      </w:r>
      <w:r>
        <w:rPr>
          <w:color w:val="231F20"/>
          <w:spacing w:val="-17"/>
        </w:rPr>
        <w:t xml:space="preserve"> </w:t>
      </w:r>
      <w:r>
        <w:rPr>
          <w:color w:val="231F20"/>
        </w:rPr>
        <w:t>ve</w:t>
      </w:r>
      <w:r>
        <w:rPr>
          <w:color w:val="231F20"/>
          <w:spacing w:val="-17"/>
        </w:rPr>
        <w:t xml:space="preserve"> </w:t>
      </w:r>
      <w:r>
        <w:rPr>
          <w:color w:val="231F20"/>
        </w:rPr>
        <w:t>smyslu</w:t>
      </w:r>
      <w:r>
        <w:rPr>
          <w:color w:val="231F20"/>
          <w:spacing w:val="-18"/>
        </w:rPr>
        <w:t xml:space="preserve"> </w:t>
      </w:r>
      <w:r>
        <w:rPr>
          <w:color w:val="231F20"/>
        </w:rPr>
        <w:t>§</w:t>
      </w:r>
      <w:r>
        <w:rPr>
          <w:color w:val="231F20"/>
          <w:spacing w:val="-18"/>
        </w:rPr>
        <w:t xml:space="preserve"> </w:t>
      </w:r>
      <w:r>
        <w:rPr>
          <w:color w:val="231F20"/>
        </w:rPr>
        <w:t>122</w:t>
      </w:r>
      <w:r>
        <w:rPr>
          <w:color w:val="231F20"/>
          <w:spacing w:val="-16"/>
        </w:rPr>
        <w:t xml:space="preserve"> </w:t>
      </w:r>
      <w:r>
        <w:rPr>
          <w:color w:val="231F20"/>
        </w:rPr>
        <w:t>odst.</w:t>
      </w:r>
      <w:r>
        <w:rPr>
          <w:color w:val="231F20"/>
          <w:spacing w:val="-17"/>
        </w:rPr>
        <w:t xml:space="preserve"> </w:t>
      </w:r>
      <w:r>
        <w:rPr>
          <w:color w:val="231F20"/>
        </w:rPr>
        <w:t>4</w:t>
      </w:r>
      <w:r>
        <w:rPr>
          <w:color w:val="231F20"/>
          <w:spacing w:val="-18"/>
        </w:rPr>
        <w:t xml:space="preserve"> </w:t>
      </w:r>
      <w:r>
        <w:rPr>
          <w:color w:val="231F20"/>
        </w:rPr>
        <w:t>ZZVZ</w:t>
      </w:r>
      <w:r>
        <w:rPr>
          <w:color w:val="231F20"/>
          <w:spacing w:val="-14"/>
        </w:rPr>
        <w:t xml:space="preserve"> </w:t>
      </w:r>
      <w:r>
        <w:rPr>
          <w:color w:val="231F20"/>
        </w:rPr>
        <w:t>k</w:t>
      </w:r>
      <w:r>
        <w:rPr>
          <w:color w:val="231F20"/>
          <w:spacing w:val="-3"/>
        </w:rPr>
        <w:t xml:space="preserve"> </w:t>
      </w:r>
      <w:r>
        <w:rPr>
          <w:color w:val="231F20"/>
        </w:rPr>
        <w:t>předložení</w:t>
      </w:r>
      <w:r>
        <w:rPr>
          <w:color w:val="231F20"/>
          <w:spacing w:val="-17"/>
        </w:rPr>
        <w:t xml:space="preserve"> </w:t>
      </w:r>
      <w:r>
        <w:rPr>
          <w:color w:val="231F20"/>
        </w:rPr>
        <w:t>kvalifikačních</w:t>
      </w:r>
      <w:r>
        <w:rPr>
          <w:color w:val="231F20"/>
          <w:spacing w:val="-15"/>
        </w:rPr>
        <w:t xml:space="preserve"> </w:t>
      </w:r>
      <w:r>
        <w:rPr>
          <w:color w:val="231F20"/>
        </w:rPr>
        <w:t>dokladů i ve formě elektronického originálu či úředně ověřené kopii (resp. v elektronické podobě, jež vznikla na základě autorizované konverze (síť Czech point) z originálu nebo ověřené kopie dokumentu v listinné podobě).</w:t>
      </w:r>
    </w:p>
    <w:p w14:paraId="2FD87F38" w14:textId="77777777" w:rsidR="00F65BCA" w:rsidRDefault="00216117">
      <w:pPr>
        <w:pStyle w:val="Nadpis3"/>
        <w:spacing w:before="118"/>
        <w:ind w:left="117" w:right="115"/>
      </w:pPr>
      <w:r>
        <w:rPr>
          <w:color w:val="231F20"/>
        </w:rPr>
        <w:t>Doklady prokazující splnění kvalifikace se předkládají v souladu s § 45 ZZVZ v českém či slovenském jazyce, případně v jiném jazyce doplněném překladem do českého jazyka.</w:t>
      </w:r>
    </w:p>
    <w:p w14:paraId="1F955379" w14:textId="77777777" w:rsidR="00F65BCA" w:rsidRDefault="00216117">
      <w:pPr>
        <w:pStyle w:val="Nadpis3"/>
        <w:ind w:left="117"/>
      </w:pPr>
      <w:r>
        <w:rPr>
          <w:color w:val="231F20"/>
        </w:rPr>
        <w:t>Kvalifikaci lze prokazovat rovněž ve smyslu § 87 ZZVZ, § 228 ZZVZ a § 234 ZZVZ.</w:t>
      </w:r>
    </w:p>
    <w:p w14:paraId="3EB0116A" w14:textId="77777777" w:rsidR="00F65BCA" w:rsidRDefault="00216117">
      <w:pPr>
        <w:pStyle w:val="Odstavecseseznamem"/>
        <w:numPr>
          <w:ilvl w:val="1"/>
          <w:numId w:val="18"/>
        </w:numPr>
        <w:tabs>
          <w:tab w:val="left" w:pos="686"/>
        </w:tabs>
        <w:spacing w:before="120"/>
        <w:ind w:hanging="569"/>
        <w:jc w:val="both"/>
        <w:rPr>
          <w:b/>
        </w:rPr>
      </w:pPr>
      <w:r>
        <w:rPr>
          <w:b/>
          <w:color w:val="231F20"/>
        </w:rPr>
        <w:t>Základní</w:t>
      </w:r>
      <w:r>
        <w:rPr>
          <w:b/>
          <w:color w:val="231F20"/>
          <w:spacing w:val="-1"/>
        </w:rPr>
        <w:t xml:space="preserve"> </w:t>
      </w:r>
      <w:r>
        <w:rPr>
          <w:b/>
          <w:color w:val="231F20"/>
        </w:rPr>
        <w:t>způsobilost</w:t>
      </w:r>
    </w:p>
    <w:p w14:paraId="0398DBCA" w14:textId="77777777" w:rsidR="00F65BCA" w:rsidRDefault="00216117">
      <w:pPr>
        <w:pStyle w:val="Nadpis3"/>
        <w:spacing w:before="157"/>
        <w:ind w:left="117" w:right="113"/>
      </w:pPr>
      <w:r>
        <w:rPr>
          <w:color w:val="231F20"/>
        </w:rPr>
        <w:t>Vybraný dodavatel prokáže splnění základní způsobilosti dle § 74 ZZVZ způsobem dle § 75 ZZVZ (vzor prohlášení dle § 75 odst. 1 písm. c)  a d) (popř. i dle písm. f)) ZZVZ je uveden       v příloze č. 1 této</w:t>
      </w:r>
      <w:r>
        <w:rPr>
          <w:color w:val="231F20"/>
          <w:spacing w:val="-2"/>
        </w:rPr>
        <w:t xml:space="preserve"> </w:t>
      </w:r>
      <w:r>
        <w:rPr>
          <w:color w:val="231F20"/>
        </w:rPr>
        <w:t>ZD).</w:t>
      </w:r>
    </w:p>
    <w:p w14:paraId="1A34846A" w14:textId="77777777" w:rsidR="00F65BCA" w:rsidRDefault="00216117">
      <w:pPr>
        <w:pStyle w:val="Odstavecseseznamem"/>
        <w:numPr>
          <w:ilvl w:val="1"/>
          <w:numId w:val="18"/>
        </w:numPr>
        <w:tabs>
          <w:tab w:val="left" w:pos="686"/>
        </w:tabs>
        <w:spacing w:before="121"/>
        <w:ind w:hanging="569"/>
        <w:jc w:val="both"/>
        <w:rPr>
          <w:b/>
        </w:rPr>
      </w:pPr>
      <w:r>
        <w:rPr>
          <w:b/>
          <w:color w:val="231F20"/>
        </w:rPr>
        <w:t>Profesní</w:t>
      </w:r>
      <w:r>
        <w:rPr>
          <w:b/>
          <w:color w:val="231F20"/>
          <w:spacing w:val="-1"/>
        </w:rPr>
        <w:t xml:space="preserve"> </w:t>
      </w:r>
      <w:r>
        <w:rPr>
          <w:b/>
          <w:color w:val="231F20"/>
        </w:rPr>
        <w:t>způsobilost</w:t>
      </w:r>
    </w:p>
    <w:p w14:paraId="6BC89A8A" w14:textId="77777777" w:rsidR="00F65BCA" w:rsidRDefault="00216117">
      <w:pPr>
        <w:pStyle w:val="Nadpis3"/>
        <w:spacing w:before="157"/>
        <w:ind w:left="117"/>
      </w:pPr>
      <w:r>
        <w:rPr>
          <w:color w:val="231F20"/>
        </w:rPr>
        <w:t>Zadavatel požaduje prokázání splnění profesní způsobilosti podle § 77 odst. 1 a odst. 2</w:t>
      </w:r>
      <w:r>
        <w:rPr>
          <w:color w:val="231F20"/>
          <w:spacing w:val="57"/>
        </w:rPr>
        <w:t xml:space="preserve"> </w:t>
      </w:r>
      <w:r>
        <w:rPr>
          <w:color w:val="231F20"/>
        </w:rPr>
        <w:t>písm.</w:t>
      </w:r>
    </w:p>
    <w:p w14:paraId="09DD9DA4" w14:textId="77777777" w:rsidR="00F65BCA" w:rsidRDefault="00216117">
      <w:pPr>
        <w:pStyle w:val="Nadpis3"/>
        <w:numPr>
          <w:ilvl w:val="0"/>
          <w:numId w:val="15"/>
        </w:numPr>
        <w:tabs>
          <w:tab w:val="left" w:pos="374"/>
        </w:tabs>
        <w:spacing w:before="0"/>
        <w:jc w:val="both"/>
      </w:pPr>
      <w:r>
        <w:rPr>
          <w:color w:val="231F20"/>
        </w:rPr>
        <w:t>ZZVZ.</w:t>
      </w:r>
    </w:p>
    <w:p w14:paraId="15F559A6" w14:textId="77777777" w:rsidR="00F65BCA" w:rsidRDefault="00216117">
      <w:pPr>
        <w:pStyle w:val="Nadpis3"/>
        <w:numPr>
          <w:ilvl w:val="2"/>
          <w:numId w:val="14"/>
        </w:numPr>
        <w:tabs>
          <w:tab w:val="left" w:pos="838"/>
        </w:tabs>
        <w:jc w:val="both"/>
      </w:pPr>
      <w:r>
        <w:rPr>
          <w:color w:val="231F20"/>
        </w:rPr>
        <w:t>Vybraný dodavatel prokáže splnění profesní způsobilosti dle § 77 odst. 1</w:t>
      </w:r>
      <w:r>
        <w:rPr>
          <w:color w:val="231F20"/>
          <w:spacing w:val="-18"/>
        </w:rPr>
        <w:t xml:space="preserve"> </w:t>
      </w:r>
      <w:r>
        <w:rPr>
          <w:color w:val="231F20"/>
        </w:rPr>
        <w:t>ZZVZ:</w:t>
      </w:r>
    </w:p>
    <w:p w14:paraId="007CEA35" w14:textId="77777777" w:rsidR="00F65BCA" w:rsidRDefault="00216117">
      <w:pPr>
        <w:pStyle w:val="Nadpis3"/>
        <w:spacing w:before="157"/>
        <w:ind w:left="968" w:right="117"/>
      </w:pPr>
      <w:r>
        <w:rPr>
          <w:color w:val="231F20"/>
        </w:rPr>
        <w:t>výpisem</w:t>
      </w:r>
      <w:r>
        <w:rPr>
          <w:color w:val="231F20"/>
          <w:spacing w:val="-17"/>
        </w:rPr>
        <w:t xml:space="preserve"> </w:t>
      </w:r>
      <w:r>
        <w:rPr>
          <w:color w:val="231F20"/>
        </w:rPr>
        <w:t>z</w:t>
      </w:r>
      <w:r>
        <w:rPr>
          <w:color w:val="231F20"/>
          <w:spacing w:val="-5"/>
        </w:rPr>
        <w:t xml:space="preserve"> </w:t>
      </w:r>
      <w:r>
        <w:rPr>
          <w:color w:val="231F20"/>
        </w:rPr>
        <w:t>obchodního</w:t>
      </w:r>
      <w:r>
        <w:rPr>
          <w:color w:val="231F20"/>
          <w:spacing w:val="-16"/>
        </w:rPr>
        <w:t xml:space="preserve"> </w:t>
      </w:r>
      <w:r>
        <w:rPr>
          <w:color w:val="231F20"/>
        </w:rPr>
        <w:t>rejstříku,</w:t>
      </w:r>
      <w:r>
        <w:rPr>
          <w:color w:val="231F20"/>
          <w:spacing w:val="-16"/>
        </w:rPr>
        <w:t xml:space="preserve"> </w:t>
      </w:r>
      <w:r>
        <w:rPr>
          <w:color w:val="231F20"/>
        </w:rPr>
        <w:t>nebo</w:t>
      </w:r>
      <w:r>
        <w:rPr>
          <w:color w:val="231F20"/>
          <w:spacing w:val="-14"/>
        </w:rPr>
        <w:t xml:space="preserve"> </w:t>
      </w:r>
      <w:r>
        <w:rPr>
          <w:color w:val="231F20"/>
        </w:rPr>
        <w:t>jiné</w:t>
      </w:r>
      <w:r>
        <w:rPr>
          <w:color w:val="231F20"/>
          <w:spacing w:val="-16"/>
        </w:rPr>
        <w:t xml:space="preserve"> </w:t>
      </w:r>
      <w:r>
        <w:rPr>
          <w:color w:val="231F20"/>
        </w:rPr>
        <w:t>obdobné</w:t>
      </w:r>
      <w:r>
        <w:rPr>
          <w:color w:val="231F20"/>
          <w:spacing w:val="-16"/>
        </w:rPr>
        <w:t xml:space="preserve"> </w:t>
      </w:r>
      <w:r>
        <w:rPr>
          <w:color w:val="231F20"/>
        </w:rPr>
        <w:t>evidence,</w:t>
      </w:r>
      <w:r>
        <w:rPr>
          <w:color w:val="231F20"/>
          <w:spacing w:val="-16"/>
        </w:rPr>
        <w:t xml:space="preserve"> </w:t>
      </w:r>
      <w:r>
        <w:rPr>
          <w:color w:val="231F20"/>
        </w:rPr>
        <w:t>pokud</w:t>
      </w:r>
      <w:r>
        <w:rPr>
          <w:color w:val="231F20"/>
          <w:spacing w:val="-16"/>
        </w:rPr>
        <w:t xml:space="preserve"> </w:t>
      </w:r>
      <w:r>
        <w:rPr>
          <w:color w:val="231F20"/>
        </w:rPr>
        <w:t>jiný</w:t>
      </w:r>
      <w:r>
        <w:rPr>
          <w:color w:val="231F20"/>
          <w:spacing w:val="-16"/>
        </w:rPr>
        <w:t xml:space="preserve"> </w:t>
      </w:r>
      <w:r>
        <w:rPr>
          <w:color w:val="231F20"/>
        </w:rPr>
        <w:t>právní</w:t>
      </w:r>
      <w:r>
        <w:rPr>
          <w:color w:val="231F20"/>
          <w:spacing w:val="-16"/>
        </w:rPr>
        <w:t xml:space="preserve"> </w:t>
      </w:r>
      <w:r>
        <w:rPr>
          <w:color w:val="231F20"/>
        </w:rPr>
        <w:t>předpis zápis do takové evidence</w:t>
      </w:r>
      <w:r>
        <w:rPr>
          <w:color w:val="231F20"/>
          <w:spacing w:val="-3"/>
        </w:rPr>
        <w:t xml:space="preserve"> </w:t>
      </w:r>
      <w:r>
        <w:rPr>
          <w:color w:val="231F20"/>
        </w:rPr>
        <w:t>vyžaduje.</w:t>
      </w:r>
    </w:p>
    <w:p w14:paraId="5331AFDF" w14:textId="77777777" w:rsidR="00F65BCA" w:rsidRDefault="00216117">
      <w:pPr>
        <w:pStyle w:val="Nadpis3"/>
        <w:numPr>
          <w:ilvl w:val="2"/>
          <w:numId w:val="14"/>
        </w:numPr>
        <w:tabs>
          <w:tab w:val="left" w:pos="838"/>
        </w:tabs>
        <w:jc w:val="both"/>
      </w:pPr>
      <w:r>
        <w:rPr>
          <w:color w:val="231F20"/>
        </w:rPr>
        <w:t>Vybraný dodavatel prokáže splnění profesní způsobilosti dle § 77 odst. 2 písm.</w:t>
      </w:r>
      <w:r>
        <w:rPr>
          <w:color w:val="231F20"/>
          <w:spacing w:val="-22"/>
        </w:rPr>
        <w:t xml:space="preserve"> </w:t>
      </w:r>
      <w:r>
        <w:rPr>
          <w:color w:val="231F20"/>
        </w:rPr>
        <w:t>a)</w:t>
      </w:r>
    </w:p>
    <w:p w14:paraId="3434D5D4" w14:textId="77777777" w:rsidR="00F65BCA" w:rsidRDefault="00216117">
      <w:pPr>
        <w:pStyle w:val="Nadpis3"/>
        <w:spacing w:before="38"/>
        <w:ind w:left="837"/>
        <w:jc w:val="left"/>
      </w:pPr>
      <w:r>
        <w:rPr>
          <w:color w:val="231F20"/>
        </w:rPr>
        <w:t>ZZVZ:</w:t>
      </w:r>
    </w:p>
    <w:p w14:paraId="69FC06D2" w14:textId="77777777" w:rsidR="00F65BCA" w:rsidRDefault="00216117">
      <w:pPr>
        <w:pStyle w:val="Nadpis3"/>
        <w:spacing w:before="158"/>
        <w:ind w:left="968" w:right="115"/>
      </w:pPr>
      <w:r>
        <w:rPr>
          <w:color w:val="231F20"/>
        </w:rPr>
        <w:t>dokladem o oprávnění k podnikání podle zvláštních právních předpisů (zejm. doklad prokazující příslušné živnostenské oprávnění či licenci) v rozsahu odpovídajícím předmětu</w:t>
      </w:r>
      <w:r>
        <w:rPr>
          <w:color w:val="231F20"/>
          <w:spacing w:val="-17"/>
        </w:rPr>
        <w:t xml:space="preserve"> </w:t>
      </w:r>
      <w:r>
        <w:rPr>
          <w:color w:val="231F20"/>
        </w:rPr>
        <w:t>veřejné</w:t>
      </w:r>
      <w:r>
        <w:rPr>
          <w:color w:val="231F20"/>
          <w:spacing w:val="-17"/>
        </w:rPr>
        <w:t xml:space="preserve"> </w:t>
      </w:r>
      <w:r>
        <w:rPr>
          <w:color w:val="231F20"/>
        </w:rPr>
        <w:t>zakázky,</w:t>
      </w:r>
      <w:r>
        <w:rPr>
          <w:color w:val="231F20"/>
          <w:spacing w:val="-17"/>
        </w:rPr>
        <w:t xml:space="preserve"> </w:t>
      </w:r>
      <w:r>
        <w:rPr>
          <w:color w:val="231F20"/>
        </w:rPr>
        <w:t>tj.</w:t>
      </w:r>
      <w:r>
        <w:rPr>
          <w:color w:val="231F20"/>
          <w:spacing w:val="-16"/>
        </w:rPr>
        <w:t xml:space="preserve"> </w:t>
      </w:r>
      <w:r>
        <w:rPr>
          <w:color w:val="231F20"/>
        </w:rPr>
        <w:t>povolení</w:t>
      </w:r>
      <w:r>
        <w:rPr>
          <w:color w:val="231F20"/>
          <w:spacing w:val="-17"/>
        </w:rPr>
        <w:t xml:space="preserve"> </w:t>
      </w:r>
      <w:r>
        <w:rPr>
          <w:color w:val="231F20"/>
        </w:rPr>
        <w:t>k</w:t>
      </w:r>
      <w:r>
        <w:rPr>
          <w:color w:val="231F20"/>
          <w:spacing w:val="-17"/>
        </w:rPr>
        <w:t xml:space="preserve"> </w:t>
      </w:r>
      <w:r>
        <w:rPr>
          <w:color w:val="231F20"/>
        </w:rPr>
        <w:t>provozování</w:t>
      </w:r>
      <w:r>
        <w:rPr>
          <w:color w:val="231F20"/>
          <w:spacing w:val="-17"/>
        </w:rPr>
        <w:t xml:space="preserve"> </w:t>
      </w:r>
      <w:r>
        <w:rPr>
          <w:color w:val="231F20"/>
        </w:rPr>
        <w:t>pojišťovací</w:t>
      </w:r>
      <w:r>
        <w:rPr>
          <w:color w:val="231F20"/>
          <w:spacing w:val="-16"/>
        </w:rPr>
        <w:t xml:space="preserve"> </w:t>
      </w:r>
      <w:r>
        <w:rPr>
          <w:color w:val="231F20"/>
        </w:rPr>
        <w:t>činnosti</w:t>
      </w:r>
      <w:r>
        <w:rPr>
          <w:color w:val="231F20"/>
          <w:spacing w:val="-19"/>
        </w:rPr>
        <w:t xml:space="preserve"> </w:t>
      </w:r>
      <w:r>
        <w:rPr>
          <w:color w:val="231F20"/>
        </w:rPr>
        <w:t>podle</w:t>
      </w:r>
      <w:r>
        <w:rPr>
          <w:color w:val="231F20"/>
          <w:spacing w:val="-17"/>
        </w:rPr>
        <w:t xml:space="preserve"> </w:t>
      </w:r>
      <w:r>
        <w:rPr>
          <w:color w:val="231F20"/>
        </w:rPr>
        <w:t>zákona č. 277/2009 Sb., o pojišťovnictví, ve znění pozdějších předpisů, vydaného Českou národní</w:t>
      </w:r>
      <w:r>
        <w:rPr>
          <w:color w:val="231F20"/>
          <w:spacing w:val="-1"/>
        </w:rPr>
        <w:t xml:space="preserve"> </w:t>
      </w:r>
      <w:r>
        <w:rPr>
          <w:color w:val="231F20"/>
        </w:rPr>
        <w:t>bankou.</w:t>
      </w:r>
    </w:p>
    <w:p w14:paraId="049E9A35" w14:textId="77777777" w:rsidR="00F65BCA" w:rsidRDefault="00216117">
      <w:pPr>
        <w:pStyle w:val="Odstavecseseznamem"/>
        <w:numPr>
          <w:ilvl w:val="1"/>
          <w:numId w:val="18"/>
        </w:numPr>
        <w:tabs>
          <w:tab w:val="left" w:pos="686"/>
        </w:tabs>
        <w:spacing w:before="119"/>
        <w:ind w:hanging="569"/>
        <w:jc w:val="both"/>
        <w:rPr>
          <w:b/>
        </w:rPr>
      </w:pPr>
      <w:r>
        <w:rPr>
          <w:b/>
          <w:color w:val="231F20"/>
        </w:rPr>
        <w:t>Ekonomická</w:t>
      </w:r>
      <w:r>
        <w:rPr>
          <w:b/>
          <w:color w:val="231F20"/>
          <w:spacing w:val="-1"/>
        </w:rPr>
        <w:t xml:space="preserve"> </w:t>
      </w:r>
      <w:r>
        <w:rPr>
          <w:b/>
          <w:color w:val="231F20"/>
        </w:rPr>
        <w:t>kvalifikace</w:t>
      </w:r>
    </w:p>
    <w:p w14:paraId="538E96A7" w14:textId="77777777" w:rsidR="00F65BCA" w:rsidRDefault="00216117">
      <w:pPr>
        <w:pStyle w:val="Nadpis3"/>
        <w:spacing w:before="158"/>
        <w:ind w:left="117"/>
      </w:pPr>
      <w:r>
        <w:rPr>
          <w:color w:val="231F20"/>
        </w:rPr>
        <w:t>Zadavatel nepožaduje.</w:t>
      </w:r>
    </w:p>
    <w:p w14:paraId="203675BD" w14:textId="77777777" w:rsidR="00F65BCA" w:rsidRDefault="00F65BCA">
      <w:pPr>
        <w:pStyle w:val="Zkladntext"/>
        <w:rPr>
          <w:sz w:val="24"/>
        </w:rPr>
      </w:pPr>
    </w:p>
    <w:p w14:paraId="644F8ACE" w14:textId="77777777" w:rsidR="00F65BCA" w:rsidRDefault="00F65BCA">
      <w:pPr>
        <w:pStyle w:val="Zkladntext"/>
        <w:spacing w:before="10"/>
        <w:rPr>
          <w:sz w:val="18"/>
        </w:rPr>
      </w:pPr>
    </w:p>
    <w:p w14:paraId="5A8CF50C" w14:textId="77777777" w:rsidR="00F65BCA" w:rsidRDefault="00216117">
      <w:pPr>
        <w:pStyle w:val="Odstavecseseznamem"/>
        <w:numPr>
          <w:ilvl w:val="1"/>
          <w:numId w:val="18"/>
        </w:numPr>
        <w:tabs>
          <w:tab w:val="left" w:pos="686"/>
        </w:tabs>
        <w:ind w:hanging="569"/>
        <w:jc w:val="both"/>
        <w:rPr>
          <w:b/>
        </w:rPr>
      </w:pPr>
      <w:r>
        <w:rPr>
          <w:b/>
          <w:color w:val="231F20"/>
        </w:rPr>
        <w:t>Technická</w:t>
      </w:r>
      <w:r>
        <w:rPr>
          <w:b/>
          <w:color w:val="231F20"/>
          <w:spacing w:val="-2"/>
        </w:rPr>
        <w:t xml:space="preserve"> </w:t>
      </w:r>
      <w:r>
        <w:rPr>
          <w:b/>
          <w:color w:val="231F20"/>
        </w:rPr>
        <w:t>kvalifikace</w:t>
      </w:r>
    </w:p>
    <w:p w14:paraId="6CA1C2FF" w14:textId="77777777" w:rsidR="00F65BCA" w:rsidRDefault="00216117">
      <w:pPr>
        <w:pStyle w:val="Nadpis3"/>
        <w:numPr>
          <w:ilvl w:val="2"/>
          <w:numId w:val="13"/>
        </w:numPr>
        <w:tabs>
          <w:tab w:val="left" w:pos="900"/>
        </w:tabs>
        <w:spacing w:before="157"/>
        <w:ind w:hanging="783"/>
        <w:jc w:val="left"/>
      </w:pPr>
      <w:r>
        <w:rPr>
          <w:color w:val="231F20"/>
        </w:rPr>
        <w:t>Zadavatel požaduje prokázání technické kvalifikace dle § 79 odst. 2 písm. b)</w:t>
      </w:r>
      <w:r>
        <w:rPr>
          <w:color w:val="231F20"/>
          <w:spacing w:val="-26"/>
        </w:rPr>
        <w:t xml:space="preserve"> </w:t>
      </w:r>
      <w:r>
        <w:rPr>
          <w:color w:val="231F20"/>
        </w:rPr>
        <w:t>ZZVZ.</w:t>
      </w:r>
    </w:p>
    <w:p w14:paraId="14C29139" w14:textId="77777777" w:rsidR="00F65BCA" w:rsidRDefault="00F65BCA">
      <w:pPr>
        <w:pStyle w:val="Zkladntext"/>
        <w:rPr>
          <w:sz w:val="20"/>
        </w:rPr>
      </w:pPr>
    </w:p>
    <w:p w14:paraId="0749F06E" w14:textId="77777777" w:rsidR="00F65BCA" w:rsidRDefault="00F65BCA">
      <w:pPr>
        <w:pStyle w:val="Zkladntext"/>
        <w:spacing w:before="6"/>
        <w:rPr>
          <w:sz w:val="25"/>
        </w:rPr>
      </w:pPr>
    </w:p>
    <w:p w14:paraId="3A9972B2" w14:textId="77777777" w:rsidR="00F65BCA" w:rsidRDefault="00216117">
      <w:pPr>
        <w:spacing w:before="94"/>
        <w:ind w:left="1459" w:right="1033"/>
        <w:jc w:val="center"/>
        <w:rPr>
          <w:sz w:val="16"/>
        </w:rPr>
      </w:pPr>
      <w:r>
        <w:rPr>
          <w:color w:val="231F20"/>
          <w:sz w:val="16"/>
        </w:rPr>
        <w:t>Stránka 6 z 15</w:t>
      </w:r>
    </w:p>
    <w:p w14:paraId="2BD1DC20" w14:textId="77777777" w:rsidR="00F65BCA" w:rsidRDefault="00F65BCA">
      <w:pPr>
        <w:jc w:val="center"/>
        <w:rPr>
          <w:sz w:val="16"/>
        </w:rPr>
        <w:sectPr w:rsidR="00F65BCA">
          <w:pgSz w:w="11900" w:h="16840"/>
          <w:pgMar w:top="1060" w:right="1160" w:bottom="280" w:left="1300" w:header="708" w:footer="708" w:gutter="0"/>
          <w:cols w:space="708"/>
        </w:sectPr>
      </w:pPr>
    </w:p>
    <w:p w14:paraId="2CF679B7" w14:textId="77777777" w:rsidR="00F65BCA" w:rsidRDefault="00216117">
      <w:pPr>
        <w:pStyle w:val="Nadpis3"/>
        <w:spacing w:before="78"/>
        <w:ind w:right="112"/>
      </w:pPr>
      <w:r>
        <w:rPr>
          <w:color w:val="231F20"/>
        </w:rPr>
        <w:lastRenderedPageBreak/>
        <w:t>Vybraný</w:t>
      </w:r>
      <w:r>
        <w:rPr>
          <w:color w:val="231F20"/>
          <w:spacing w:val="-17"/>
        </w:rPr>
        <w:t xml:space="preserve"> </w:t>
      </w:r>
      <w:r>
        <w:rPr>
          <w:color w:val="231F20"/>
        </w:rPr>
        <w:t>dodavatel</w:t>
      </w:r>
      <w:r>
        <w:rPr>
          <w:color w:val="231F20"/>
          <w:spacing w:val="-16"/>
        </w:rPr>
        <w:t xml:space="preserve"> </w:t>
      </w:r>
      <w:r>
        <w:rPr>
          <w:color w:val="231F20"/>
        </w:rPr>
        <w:t>prokáže</w:t>
      </w:r>
      <w:r>
        <w:rPr>
          <w:color w:val="231F20"/>
          <w:spacing w:val="-16"/>
        </w:rPr>
        <w:t xml:space="preserve"> </w:t>
      </w:r>
      <w:r>
        <w:rPr>
          <w:color w:val="231F20"/>
        </w:rPr>
        <w:t>splnění</w:t>
      </w:r>
      <w:r>
        <w:rPr>
          <w:color w:val="231F20"/>
          <w:spacing w:val="-17"/>
        </w:rPr>
        <w:t xml:space="preserve"> </w:t>
      </w:r>
      <w:r>
        <w:rPr>
          <w:color w:val="231F20"/>
        </w:rPr>
        <w:t>kvalifikace</w:t>
      </w:r>
      <w:r>
        <w:rPr>
          <w:color w:val="231F20"/>
          <w:spacing w:val="-16"/>
        </w:rPr>
        <w:t xml:space="preserve"> </w:t>
      </w:r>
      <w:r>
        <w:rPr>
          <w:color w:val="231F20"/>
        </w:rPr>
        <w:t>dle</w:t>
      </w:r>
      <w:r>
        <w:rPr>
          <w:color w:val="231F20"/>
          <w:spacing w:val="-18"/>
        </w:rPr>
        <w:t xml:space="preserve"> </w:t>
      </w:r>
      <w:r>
        <w:rPr>
          <w:color w:val="231F20"/>
        </w:rPr>
        <w:t>§</w:t>
      </w:r>
      <w:r>
        <w:rPr>
          <w:color w:val="231F20"/>
          <w:spacing w:val="-16"/>
        </w:rPr>
        <w:t xml:space="preserve"> </w:t>
      </w:r>
      <w:r>
        <w:rPr>
          <w:color w:val="231F20"/>
        </w:rPr>
        <w:t>79</w:t>
      </w:r>
      <w:r>
        <w:rPr>
          <w:color w:val="231F20"/>
          <w:spacing w:val="-16"/>
        </w:rPr>
        <w:t xml:space="preserve"> </w:t>
      </w:r>
      <w:r>
        <w:rPr>
          <w:color w:val="231F20"/>
        </w:rPr>
        <w:t>odst.</w:t>
      </w:r>
      <w:r>
        <w:rPr>
          <w:color w:val="231F20"/>
          <w:spacing w:val="-17"/>
        </w:rPr>
        <w:t xml:space="preserve"> </w:t>
      </w:r>
      <w:r>
        <w:rPr>
          <w:color w:val="231F20"/>
        </w:rPr>
        <w:t>2</w:t>
      </w:r>
      <w:r>
        <w:rPr>
          <w:color w:val="231F20"/>
          <w:spacing w:val="-16"/>
        </w:rPr>
        <w:t xml:space="preserve"> </w:t>
      </w:r>
      <w:r>
        <w:rPr>
          <w:color w:val="231F20"/>
        </w:rPr>
        <w:t>písm.</w:t>
      </w:r>
      <w:r>
        <w:rPr>
          <w:color w:val="231F20"/>
          <w:spacing w:val="-17"/>
        </w:rPr>
        <w:t xml:space="preserve"> </w:t>
      </w:r>
      <w:r>
        <w:rPr>
          <w:color w:val="231F20"/>
        </w:rPr>
        <w:t>b)</w:t>
      </w:r>
      <w:r>
        <w:rPr>
          <w:color w:val="231F20"/>
          <w:spacing w:val="-17"/>
        </w:rPr>
        <w:t xml:space="preserve"> </w:t>
      </w:r>
      <w:r>
        <w:rPr>
          <w:color w:val="231F20"/>
        </w:rPr>
        <w:t>ZZVZ</w:t>
      </w:r>
      <w:r>
        <w:rPr>
          <w:color w:val="231F20"/>
          <w:spacing w:val="-12"/>
        </w:rPr>
        <w:t xml:space="preserve"> </w:t>
      </w:r>
      <w:r>
        <w:rPr>
          <w:color w:val="231F20"/>
        </w:rPr>
        <w:t>předložením seznamu významných služeb poskytnutých dodavatelem za poslední tři (3) roky (není-li níže stanovena pro konkrétní referenční službu lhůta delší) před zahájením zadávacího řízení, a to</w:t>
      </w:r>
      <w:r>
        <w:rPr>
          <w:color w:val="231F20"/>
          <w:spacing w:val="-1"/>
        </w:rPr>
        <w:t xml:space="preserve"> </w:t>
      </w:r>
      <w:r>
        <w:rPr>
          <w:color w:val="231F20"/>
        </w:rPr>
        <w:t>pro:</w:t>
      </w:r>
    </w:p>
    <w:p w14:paraId="06A81CE7" w14:textId="77777777" w:rsidR="00F65BCA" w:rsidRDefault="00216117">
      <w:pPr>
        <w:pStyle w:val="Nadpis3"/>
        <w:numPr>
          <w:ilvl w:val="3"/>
          <w:numId w:val="13"/>
        </w:numPr>
        <w:tabs>
          <w:tab w:val="left" w:pos="1252"/>
        </w:tabs>
        <w:spacing w:before="119" w:line="276" w:lineRule="auto"/>
        <w:ind w:right="114"/>
        <w:jc w:val="both"/>
      </w:pPr>
      <w:r>
        <w:rPr>
          <w:color w:val="231F20"/>
        </w:rPr>
        <w:t>část 1 VZ – Pojištění majetku a odpovědnosti: nejméně v rozsahu jedné (1) významné služby dle čl. 16.4.2 písm. a) této ZD a nejméně jedné (1) významné služby</w:t>
      </w:r>
      <w:r>
        <w:rPr>
          <w:color w:val="231F20"/>
          <w:spacing w:val="-7"/>
        </w:rPr>
        <w:t xml:space="preserve"> </w:t>
      </w:r>
      <w:r>
        <w:rPr>
          <w:color w:val="231F20"/>
        </w:rPr>
        <w:t>dle</w:t>
      </w:r>
      <w:r>
        <w:rPr>
          <w:color w:val="231F20"/>
          <w:spacing w:val="-8"/>
        </w:rPr>
        <w:t xml:space="preserve"> </w:t>
      </w:r>
      <w:r>
        <w:rPr>
          <w:color w:val="231F20"/>
        </w:rPr>
        <w:t>čl.</w:t>
      </w:r>
      <w:r>
        <w:rPr>
          <w:color w:val="231F20"/>
          <w:spacing w:val="-8"/>
        </w:rPr>
        <w:t xml:space="preserve"> </w:t>
      </w:r>
      <w:r>
        <w:rPr>
          <w:color w:val="231F20"/>
        </w:rPr>
        <w:t>16.4.2</w:t>
      </w:r>
      <w:r>
        <w:rPr>
          <w:color w:val="231F20"/>
          <w:spacing w:val="-7"/>
        </w:rPr>
        <w:t xml:space="preserve"> </w:t>
      </w:r>
      <w:r>
        <w:rPr>
          <w:color w:val="231F20"/>
        </w:rPr>
        <w:t>písm.</w:t>
      </w:r>
      <w:r>
        <w:rPr>
          <w:color w:val="231F20"/>
          <w:spacing w:val="-8"/>
        </w:rPr>
        <w:t xml:space="preserve"> </w:t>
      </w:r>
      <w:r>
        <w:rPr>
          <w:color w:val="231F20"/>
        </w:rPr>
        <w:t>b)</w:t>
      </w:r>
      <w:r>
        <w:rPr>
          <w:color w:val="231F20"/>
          <w:spacing w:val="-8"/>
        </w:rPr>
        <w:t xml:space="preserve"> </w:t>
      </w:r>
      <w:r>
        <w:rPr>
          <w:color w:val="231F20"/>
        </w:rPr>
        <w:t>této</w:t>
      </w:r>
      <w:r>
        <w:rPr>
          <w:color w:val="231F20"/>
          <w:spacing w:val="-6"/>
        </w:rPr>
        <w:t xml:space="preserve"> </w:t>
      </w:r>
      <w:r>
        <w:rPr>
          <w:color w:val="231F20"/>
        </w:rPr>
        <w:t>ZD</w:t>
      </w:r>
      <w:r>
        <w:rPr>
          <w:color w:val="231F20"/>
          <w:spacing w:val="-8"/>
        </w:rPr>
        <w:t xml:space="preserve"> </w:t>
      </w:r>
      <w:r>
        <w:rPr>
          <w:color w:val="231F20"/>
        </w:rPr>
        <w:t>(lze</w:t>
      </w:r>
      <w:r>
        <w:rPr>
          <w:color w:val="231F20"/>
          <w:spacing w:val="-8"/>
        </w:rPr>
        <w:t xml:space="preserve"> </w:t>
      </w:r>
      <w:r>
        <w:rPr>
          <w:color w:val="231F20"/>
        </w:rPr>
        <w:t>prokázat</w:t>
      </w:r>
      <w:r>
        <w:rPr>
          <w:color w:val="231F20"/>
          <w:spacing w:val="-8"/>
        </w:rPr>
        <w:t xml:space="preserve"> </w:t>
      </w:r>
      <w:r>
        <w:rPr>
          <w:color w:val="231F20"/>
        </w:rPr>
        <w:t>i</w:t>
      </w:r>
      <w:r>
        <w:rPr>
          <w:color w:val="231F20"/>
          <w:spacing w:val="-8"/>
        </w:rPr>
        <w:t xml:space="preserve"> </w:t>
      </w:r>
      <w:r>
        <w:rPr>
          <w:color w:val="231F20"/>
        </w:rPr>
        <w:t>jen</w:t>
      </w:r>
      <w:r>
        <w:rPr>
          <w:color w:val="231F20"/>
          <w:spacing w:val="-9"/>
        </w:rPr>
        <w:t xml:space="preserve"> </w:t>
      </w:r>
      <w:r>
        <w:rPr>
          <w:color w:val="231F20"/>
        </w:rPr>
        <w:t>jednou</w:t>
      </w:r>
      <w:r>
        <w:rPr>
          <w:color w:val="231F20"/>
          <w:spacing w:val="-7"/>
        </w:rPr>
        <w:t xml:space="preserve"> </w:t>
      </w:r>
      <w:r>
        <w:rPr>
          <w:color w:val="231F20"/>
        </w:rPr>
        <w:t>významnou</w:t>
      </w:r>
      <w:r>
        <w:rPr>
          <w:color w:val="231F20"/>
          <w:spacing w:val="-7"/>
        </w:rPr>
        <w:t xml:space="preserve"> </w:t>
      </w:r>
      <w:r>
        <w:rPr>
          <w:color w:val="231F20"/>
        </w:rPr>
        <w:t>službou, která splňuje obě podmínky dle čl. 16.4.2 písm. a) a b)</w:t>
      </w:r>
      <w:r>
        <w:rPr>
          <w:color w:val="231F20"/>
          <w:spacing w:val="-9"/>
        </w:rPr>
        <w:t xml:space="preserve"> </w:t>
      </w:r>
      <w:r>
        <w:rPr>
          <w:color w:val="231F20"/>
        </w:rPr>
        <w:t>ZD);</w:t>
      </w:r>
    </w:p>
    <w:p w14:paraId="7A697EF7" w14:textId="77777777" w:rsidR="00F65BCA" w:rsidRDefault="00216117">
      <w:pPr>
        <w:pStyle w:val="Nadpis3"/>
        <w:numPr>
          <w:ilvl w:val="3"/>
          <w:numId w:val="13"/>
        </w:numPr>
        <w:tabs>
          <w:tab w:val="left" w:pos="1252"/>
        </w:tabs>
        <w:jc w:val="both"/>
      </w:pPr>
      <w:r>
        <w:rPr>
          <w:color w:val="231F20"/>
        </w:rPr>
        <w:t>část 2 VZ – Pojištění vozidel: nejméně v rozsahu jedné (1) významné služby dle</w:t>
      </w:r>
      <w:r>
        <w:rPr>
          <w:color w:val="231F20"/>
          <w:spacing w:val="-19"/>
        </w:rPr>
        <w:t xml:space="preserve"> </w:t>
      </w:r>
      <w:r>
        <w:rPr>
          <w:color w:val="231F20"/>
        </w:rPr>
        <w:t>čl.</w:t>
      </w:r>
    </w:p>
    <w:p w14:paraId="3C38BAA6" w14:textId="77777777" w:rsidR="00F65BCA" w:rsidRDefault="00216117">
      <w:pPr>
        <w:pStyle w:val="Nadpis3"/>
        <w:numPr>
          <w:ilvl w:val="2"/>
          <w:numId w:val="13"/>
        </w:numPr>
        <w:tabs>
          <w:tab w:val="left" w:pos="1925"/>
        </w:tabs>
        <w:spacing w:before="37"/>
        <w:ind w:left="1924" w:hanging="674"/>
        <w:jc w:val="both"/>
      </w:pPr>
      <w:r>
        <w:rPr>
          <w:color w:val="231F20"/>
        </w:rPr>
        <w:t>písm. c) této</w:t>
      </w:r>
      <w:r>
        <w:rPr>
          <w:color w:val="231F20"/>
          <w:spacing w:val="-1"/>
        </w:rPr>
        <w:t xml:space="preserve"> </w:t>
      </w:r>
      <w:r>
        <w:rPr>
          <w:color w:val="231F20"/>
        </w:rPr>
        <w:t>ZD;</w:t>
      </w:r>
    </w:p>
    <w:p w14:paraId="675D41F4" w14:textId="77777777" w:rsidR="00F65BCA" w:rsidRDefault="00216117">
      <w:pPr>
        <w:pStyle w:val="Nadpis3"/>
        <w:numPr>
          <w:ilvl w:val="1"/>
          <w:numId w:val="15"/>
        </w:numPr>
        <w:tabs>
          <w:tab w:val="left" w:pos="1252"/>
        </w:tabs>
        <w:spacing w:before="159" w:line="276" w:lineRule="auto"/>
        <w:ind w:right="113"/>
        <w:jc w:val="both"/>
      </w:pPr>
      <w:r>
        <w:rPr>
          <w:color w:val="231F20"/>
        </w:rPr>
        <w:t>část 3 VZ – Cestovní pojištění: poskytnutých dodavatelem za poslední tři (3) roky před zahájením zadávacího řízení, a to nejméně v rozsahu jedné (1) významné služby dle čl. 16.4.2 písm. d) této</w:t>
      </w:r>
      <w:r>
        <w:rPr>
          <w:color w:val="231F20"/>
          <w:spacing w:val="-2"/>
        </w:rPr>
        <w:t xml:space="preserve"> </w:t>
      </w:r>
      <w:r>
        <w:rPr>
          <w:color w:val="231F20"/>
        </w:rPr>
        <w:t>ZD;</w:t>
      </w:r>
    </w:p>
    <w:p w14:paraId="7FB80AB3" w14:textId="77777777" w:rsidR="00F65BCA" w:rsidRDefault="00216117">
      <w:pPr>
        <w:pStyle w:val="Nadpis3"/>
        <w:numPr>
          <w:ilvl w:val="1"/>
          <w:numId w:val="15"/>
        </w:numPr>
        <w:tabs>
          <w:tab w:val="left" w:pos="1252"/>
        </w:tabs>
        <w:spacing w:before="119"/>
        <w:jc w:val="both"/>
      </w:pPr>
      <w:r>
        <w:rPr>
          <w:color w:val="231F20"/>
        </w:rPr>
        <w:t>část 4 VZ – Pojištění dronů: nejméně v</w:t>
      </w:r>
      <w:r>
        <w:rPr>
          <w:color w:val="231F20"/>
          <w:spacing w:val="45"/>
        </w:rPr>
        <w:t xml:space="preserve"> </w:t>
      </w:r>
      <w:r>
        <w:rPr>
          <w:color w:val="231F20"/>
        </w:rPr>
        <w:t>rozsahu jedné (1) významné služby dle čl.</w:t>
      </w:r>
    </w:p>
    <w:p w14:paraId="527F65CB" w14:textId="77777777" w:rsidR="00F65BCA" w:rsidRDefault="00216117">
      <w:pPr>
        <w:pStyle w:val="Nadpis3"/>
        <w:spacing w:before="38"/>
        <w:ind w:left="1251"/>
      </w:pPr>
      <w:r>
        <w:rPr>
          <w:color w:val="231F20"/>
        </w:rPr>
        <w:t>16.4.2 písm. e) této ZD;</w:t>
      </w:r>
    </w:p>
    <w:p w14:paraId="7C7104D1" w14:textId="77777777" w:rsidR="00F65BCA" w:rsidRDefault="00216117">
      <w:pPr>
        <w:pStyle w:val="Nadpis3"/>
        <w:numPr>
          <w:ilvl w:val="2"/>
          <w:numId w:val="12"/>
        </w:numPr>
        <w:tabs>
          <w:tab w:val="left" w:pos="838"/>
        </w:tabs>
        <w:spacing w:before="158"/>
      </w:pPr>
      <w:r>
        <w:rPr>
          <w:color w:val="231F20"/>
        </w:rPr>
        <w:t>Významnou službou se pro účely tohoto zadávacího řízení</w:t>
      </w:r>
      <w:r>
        <w:rPr>
          <w:color w:val="231F20"/>
          <w:spacing w:val="-11"/>
        </w:rPr>
        <w:t xml:space="preserve"> </w:t>
      </w:r>
      <w:r>
        <w:rPr>
          <w:color w:val="231F20"/>
        </w:rPr>
        <w:t>rozumí:</w:t>
      </w:r>
    </w:p>
    <w:p w14:paraId="16D2D198" w14:textId="77777777" w:rsidR="00F65BCA" w:rsidRDefault="00216117">
      <w:pPr>
        <w:pStyle w:val="Nadpis3"/>
        <w:numPr>
          <w:ilvl w:val="3"/>
          <w:numId w:val="12"/>
        </w:numPr>
        <w:tabs>
          <w:tab w:val="left" w:pos="1252"/>
        </w:tabs>
        <w:spacing w:before="157"/>
        <w:ind w:right="113"/>
        <w:jc w:val="both"/>
      </w:pPr>
      <w:r>
        <w:rPr>
          <w:color w:val="231F20"/>
        </w:rPr>
        <w:t>pojištění   majetku  (nemovitého   i  movitého)  v  souhrnné pojistné  částce  min.   3 000 000 000</w:t>
      </w:r>
      <w:r>
        <w:rPr>
          <w:color w:val="231F20"/>
          <w:spacing w:val="-1"/>
        </w:rPr>
        <w:t xml:space="preserve"> </w:t>
      </w:r>
      <w:r>
        <w:rPr>
          <w:color w:val="231F20"/>
        </w:rPr>
        <w:t>Kč;</w:t>
      </w:r>
    </w:p>
    <w:p w14:paraId="30BF7DE0" w14:textId="77777777" w:rsidR="00F65BCA" w:rsidRDefault="00216117">
      <w:pPr>
        <w:pStyle w:val="Nadpis3"/>
        <w:numPr>
          <w:ilvl w:val="3"/>
          <w:numId w:val="12"/>
        </w:numPr>
        <w:tabs>
          <w:tab w:val="left" w:pos="1252"/>
        </w:tabs>
        <w:jc w:val="both"/>
      </w:pPr>
      <w:r>
        <w:rPr>
          <w:color w:val="231F20"/>
        </w:rPr>
        <w:t>pojištění</w:t>
      </w:r>
      <w:r>
        <w:rPr>
          <w:color w:val="231F20"/>
          <w:spacing w:val="16"/>
        </w:rPr>
        <w:t xml:space="preserve"> </w:t>
      </w:r>
      <w:r>
        <w:rPr>
          <w:color w:val="231F20"/>
        </w:rPr>
        <w:t>odpovědnosti</w:t>
      </w:r>
      <w:r>
        <w:rPr>
          <w:color w:val="231F20"/>
          <w:spacing w:val="15"/>
        </w:rPr>
        <w:t xml:space="preserve"> </w:t>
      </w:r>
      <w:r>
        <w:rPr>
          <w:color w:val="231F20"/>
        </w:rPr>
        <w:t>za</w:t>
      </w:r>
      <w:r>
        <w:rPr>
          <w:color w:val="231F20"/>
          <w:spacing w:val="17"/>
        </w:rPr>
        <w:t xml:space="preserve"> </w:t>
      </w:r>
      <w:r>
        <w:rPr>
          <w:color w:val="231F20"/>
        </w:rPr>
        <w:t>újmu</w:t>
      </w:r>
      <w:r>
        <w:rPr>
          <w:color w:val="231F20"/>
          <w:spacing w:val="16"/>
        </w:rPr>
        <w:t xml:space="preserve"> </w:t>
      </w:r>
      <w:r>
        <w:rPr>
          <w:color w:val="231F20"/>
        </w:rPr>
        <w:t>s</w:t>
      </w:r>
      <w:r>
        <w:rPr>
          <w:color w:val="231F20"/>
          <w:spacing w:val="2"/>
        </w:rPr>
        <w:t xml:space="preserve"> </w:t>
      </w:r>
      <w:r>
        <w:rPr>
          <w:color w:val="231F20"/>
        </w:rPr>
        <w:t>hlavním</w:t>
      </w:r>
      <w:r>
        <w:rPr>
          <w:color w:val="231F20"/>
          <w:spacing w:val="17"/>
        </w:rPr>
        <w:t xml:space="preserve"> </w:t>
      </w:r>
      <w:r>
        <w:rPr>
          <w:color w:val="231F20"/>
        </w:rPr>
        <w:t>limitem</w:t>
      </w:r>
      <w:r>
        <w:rPr>
          <w:color w:val="231F20"/>
          <w:spacing w:val="16"/>
        </w:rPr>
        <w:t xml:space="preserve"> </w:t>
      </w:r>
      <w:r>
        <w:rPr>
          <w:color w:val="231F20"/>
        </w:rPr>
        <w:t>pojistného</w:t>
      </w:r>
      <w:r>
        <w:rPr>
          <w:color w:val="231F20"/>
          <w:spacing w:val="17"/>
        </w:rPr>
        <w:t xml:space="preserve"> </w:t>
      </w:r>
      <w:r>
        <w:rPr>
          <w:color w:val="231F20"/>
        </w:rPr>
        <w:t>plnění</w:t>
      </w:r>
      <w:r>
        <w:rPr>
          <w:color w:val="231F20"/>
          <w:spacing w:val="16"/>
        </w:rPr>
        <w:t xml:space="preserve"> </w:t>
      </w:r>
      <w:r>
        <w:rPr>
          <w:color w:val="231F20"/>
        </w:rPr>
        <w:t>nejméně</w:t>
      </w:r>
    </w:p>
    <w:p w14:paraId="3D4CC30E" w14:textId="77777777" w:rsidR="00F65BCA" w:rsidRDefault="00216117">
      <w:pPr>
        <w:pStyle w:val="Nadpis3"/>
        <w:spacing w:before="0"/>
        <w:ind w:left="1251"/>
      </w:pPr>
      <w:r>
        <w:rPr>
          <w:color w:val="231F20"/>
        </w:rPr>
        <w:t>20 000 000 Kč;</w:t>
      </w:r>
    </w:p>
    <w:p w14:paraId="44E3D145" w14:textId="77777777" w:rsidR="00F65BCA" w:rsidRDefault="00216117">
      <w:pPr>
        <w:pStyle w:val="Nadpis3"/>
        <w:numPr>
          <w:ilvl w:val="3"/>
          <w:numId w:val="12"/>
        </w:numPr>
        <w:tabs>
          <w:tab w:val="left" w:pos="1252"/>
        </w:tabs>
        <w:ind w:right="112"/>
        <w:jc w:val="both"/>
      </w:pPr>
      <w:r>
        <w:rPr>
          <w:color w:val="231F20"/>
        </w:rPr>
        <w:t>povinné ručení nebo havarijní pojištění vozidel, nebo kombinace obou v souhrnné částce 400 000 Kč za jeden</w:t>
      </w:r>
      <w:r>
        <w:rPr>
          <w:color w:val="231F20"/>
          <w:spacing w:val="-3"/>
        </w:rPr>
        <w:t xml:space="preserve"> </w:t>
      </w:r>
      <w:r>
        <w:rPr>
          <w:color w:val="231F20"/>
        </w:rPr>
        <w:t>rok;</w:t>
      </w:r>
    </w:p>
    <w:p w14:paraId="72E00E18" w14:textId="77777777" w:rsidR="00F65BCA" w:rsidRDefault="00216117">
      <w:pPr>
        <w:pStyle w:val="Nadpis3"/>
        <w:numPr>
          <w:ilvl w:val="3"/>
          <w:numId w:val="12"/>
        </w:numPr>
        <w:tabs>
          <w:tab w:val="left" w:pos="1252"/>
        </w:tabs>
        <w:spacing w:before="119"/>
        <w:jc w:val="both"/>
      </w:pPr>
      <w:r>
        <w:rPr>
          <w:color w:val="231F20"/>
        </w:rPr>
        <w:t>cestovní pojištění v rozsahu min. 3 000 osobodnů za jeden</w:t>
      </w:r>
      <w:r>
        <w:rPr>
          <w:color w:val="231F20"/>
          <w:spacing w:val="-6"/>
        </w:rPr>
        <w:t xml:space="preserve"> </w:t>
      </w:r>
      <w:r>
        <w:rPr>
          <w:color w:val="231F20"/>
        </w:rPr>
        <w:t>rok;</w:t>
      </w:r>
    </w:p>
    <w:p w14:paraId="18899A3E" w14:textId="77777777" w:rsidR="00F65BCA" w:rsidRDefault="00216117">
      <w:pPr>
        <w:pStyle w:val="Nadpis3"/>
        <w:numPr>
          <w:ilvl w:val="3"/>
          <w:numId w:val="12"/>
        </w:numPr>
        <w:tabs>
          <w:tab w:val="left" w:pos="1252"/>
        </w:tabs>
        <w:ind w:right="114"/>
        <w:jc w:val="both"/>
      </w:pPr>
      <w:r>
        <w:rPr>
          <w:color w:val="231F20"/>
        </w:rPr>
        <w:t>pojištění odpovědnosti za újmu způsobenou třetím osobám provozem dronu nebo letadla v hodnotě nejméně 30 000 Kč za jeden</w:t>
      </w:r>
      <w:r>
        <w:rPr>
          <w:color w:val="231F20"/>
          <w:spacing w:val="-2"/>
        </w:rPr>
        <w:t xml:space="preserve"> </w:t>
      </w:r>
      <w:r>
        <w:rPr>
          <w:color w:val="231F20"/>
        </w:rPr>
        <w:t>rok;</w:t>
      </w:r>
    </w:p>
    <w:p w14:paraId="71EF092C" w14:textId="77777777" w:rsidR="00F65BCA" w:rsidRDefault="00216117">
      <w:pPr>
        <w:pStyle w:val="Nadpis3"/>
        <w:numPr>
          <w:ilvl w:val="2"/>
          <w:numId w:val="12"/>
        </w:numPr>
        <w:tabs>
          <w:tab w:val="left" w:pos="838"/>
        </w:tabs>
        <w:spacing w:before="121" w:line="276" w:lineRule="auto"/>
        <w:ind w:right="112"/>
        <w:jc w:val="both"/>
      </w:pPr>
      <w:r>
        <w:rPr>
          <w:color w:val="231F20"/>
        </w:rPr>
        <w:t>Seznam</w:t>
      </w:r>
      <w:r>
        <w:rPr>
          <w:color w:val="231F20"/>
          <w:spacing w:val="-8"/>
        </w:rPr>
        <w:t xml:space="preserve"> </w:t>
      </w:r>
      <w:r>
        <w:rPr>
          <w:color w:val="231F20"/>
        </w:rPr>
        <w:t>významných</w:t>
      </w:r>
      <w:r>
        <w:rPr>
          <w:color w:val="231F20"/>
          <w:spacing w:val="-6"/>
        </w:rPr>
        <w:t xml:space="preserve"> </w:t>
      </w:r>
      <w:r>
        <w:rPr>
          <w:color w:val="231F20"/>
        </w:rPr>
        <w:t>služeb</w:t>
      </w:r>
      <w:r>
        <w:rPr>
          <w:color w:val="231F20"/>
          <w:spacing w:val="-7"/>
        </w:rPr>
        <w:t xml:space="preserve"> </w:t>
      </w:r>
      <w:r>
        <w:rPr>
          <w:color w:val="231F20"/>
        </w:rPr>
        <w:t>ve</w:t>
      </w:r>
      <w:r>
        <w:rPr>
          <w:color w:val="231F20"/>
          <w:spacing w:val="-6"/>
        </w:rPr>
        <w:t xml:space="preserve"> </w:t>
      </w:r>
      <w:r>
        <w:rPr>
          <w:color w:val="231F20"/>
        </w:rPr>
        <w:t>formě</w:t>
      </w:r>
      <w:r>
        <w:rPr>
          <w:color w:val="231F20"/>
          <w:spacing w:val="-7"/>
        </w:rPr>
        <w:t xml:space="preserve"> </w:t>
      </w:r>
      <w:r>
        <w:rPr>
          <w:color w:val="231F20"/>
        </w:rPr>
        <w:t>čestného</w:t>
      </w:r>
      <w:r>
        <w:rPr>
          <w:color w:val="231F20"/>
          <w:spacing w:val="-7"/>
        </w:rPr>
        <w:t xml:space="preserve"> </w:t>
      </w:r>
      <w:r>
        <w:rPr>
          <w:color w:val="231F20"/>
        </w:rPr>
        <w:t>prohlášení</w:t>
      </w:r>
      <w:r>
        <w:rPr>
          <w:color w:val="231F20"/>
          <w:spacing w:val="-7"/>
        </w:rPr>
        <w:t xml:space="preserve"> </w:t>
      </w:r>
      <w:r>
        <w:rPr>
          <w:color w:val="231F20"/>
        </w:rPr>
        <w:t>dodavatele</w:t>
      </w:r>
      <w:r>
        <w:rPr>
          <w:color w:val="231F20"/>
          <w:spacing w:val="-8"/>
        </w:rPr>
        <w:t xml:space="preserve"> </w:t>
      </w:r>
      <w:r>
        <w:rPr>
          <w:color w:val="231F20"/>
        </w:rPr>
        <w:t>bude</w:t>
      </w:r>
      <w:r>
        <w:rPr>
          <w:color w:val="231F20"/>
          <w:spacing w:val="-7"/>
        </w:rPr>
        <w:t xml:space="preserve"> </w:t>
      </w:r>
      <w:r>
        <w:rPr>
          <w:color w:val="231F20"/>
        </w:rPr>
        <w:t>obsahovat zejm. popis předmětu plnění, příslušnou hodnotu významné služby (pojistnou částku / limit</w:t>
      </w:r>
      <w:r>
        <w:rPr>
          <w:color w:val="231F20"/>
          <w:spacing w:val="-15"/>
        </w:rPr>
        <w:t xml:space="preserve"> </w:t>
      </w:r>
      <w:r>
        <w:rPr>
          <w:color w:val="231F20"/>
        </w:rPr>
        <w:t>pojistného</w:t>
      </w:r>
      <w:r>
        <w:rPr>
          <w:color w:val="231F20"/>
          <w:spacing w:val="-14"/>
        </w:rPr>
        <w:t xml:space="preserve"> </w:t>
      </w:r>
      <w:r>
        <w:rPr>
          <w:color w:val="231F20"/>
        </w:rPr>
        <w:t>plnění</w:t>
      </w:r>
      <w:r>
        <w:rPr>
          <w:color w:val="231F20"/>
          <w:spacing w:val="-14"/>
        </w:rPr>
        <w:t xml:space="preserve"> </w:t>
      </w:r>
      <w:r>
        <w:rPr>
          <w:color w:val="231F20"/>
        </w:rPr>
        <w:t>/</w:t>
      </w:r>
      <w:r>
        <w:rPr>
          <w:color w:val="231F20"/>
          <w:spacing w:val="-15"/>
        </w:rPr>
        <w:t xml:space="preserve"> </w:t>
      </w:r>
      <w:r>
        <w:rPr>
          <w:color w:val="231F20"/>
        </w:rPr>
        <w:t>počet</w:t>
      </w:r>
      <w:r>
        <w:rPr>
          <w:color w:val="231F20"/>
          <w:spacing w:val="-13"/>
        </w:rPr>
        <w:t xml:space="preserve"> </w:t>
      </w:r>
      <w:r>
        <w:rPr>
          <w:color w:val="231F20"/>
        </w:rPr>
        <w:t>osobodnů/rok),</w:t>
      </w:r>
      <w:r>
        <w:rPr>
          <w:color w:val="231F20"/>
          <w:spacing w:val="-14"/>
        </w:rPr>
        <w:t xml:space="preserve"> </w:t>
      </w:r>
      <w:r>
        <w:rPr>
          <w:color w:val="231F20"/>
        </w:rPr>
        <w:t>dobu</w:t>
      </w:r>
      <w:r>
        <w:rPr>
          <w:color w:val="231F20"/>
          <w:spacing w:val="-15"/>
        </w:rPr>
        <w:t xml:space="preserve"> </w:t>
      </w:r>
      <w:r>
        <w:rPr>
          <w:color w:val="231F20"/>
        </w:rPr>
        <w:t>jejich</w:t>
      </w:r>
      <w:r>
        <w:rPr>
          <w:color w:val="231F20"/>
          <w:spacing w:val="-14"/>
        </w:rPr>
        <w:t xml:space="preserve"> </w:t>
      </w:r>
      <w:r>
        <w:rPr>
          <w:color w:val="231F20"/>
        </w:rPr>
        <w:t>poskytnutí</w:t>
      </w:r>
      <w:r>
        <w:rPr>
          <w:color w:val="231F20"/>
          <w:spacing w:val="-14"/>
        </w:rPr>
        <w:t xml:space="preserve"> </w:t>
      </w:r>
      <w:r>
        <w:rPr>
          <w:color w:val="231F20"/>
        </w:rPr>
        <w:t>a</w:t>
      </w:r>
      <w:r>
        <w:rPr>
          <w:color w:val="231F20"/>
          <w:spacing w:val="-14"/>
        </w:rPr>
        <w:t xml:space="preserve"> </w:t>
      </w:r>
      <w:r>
        <w:rPr>
          <w:color w:val="231F20"/>
        </w:rPr>
        <w:t>identifikaci</w:t>
      </w:r>
      <w:r>
        <w:rPr>
          <w:color w:val="231F20"/>
          <w:spacing w:val="-12"/>
        </w:rPr>
        <w:t xml:space="preserve"> </w:t>
      </w:r>
      <w:r>
        <w:rPr>
          <w:color w:val="231F20"/>
        </w:rPr>
        <w:t>(název, IČO) objednatele (vzor seznamu je uveden v příloze č. 1 této</w:t>
      </w:r>
      <w:r>
        <w:rPr>
          <w:color w:val="231F20"/>
          <w:spacing w:val="-11"/>
        </w:rPr>
        <w:t xml:space="preserve"> </w:t>
      </w:r>
      <w:r>
        <w:rPr>
          <w:color w:val="231F20"/>
        </w:rPr>
        <w:t>ZD).</w:t>
      </w:r>
    </w:p>
    <w:p w14:paraId="7A3FD637" w14:textId="77777777" w:rsidR="00F65BCA" w:rsidRDefault="00216117">
      <w:pPr>
        <w:pStyle w:val="Nadpis3"/>
        <w:numPr>
          <w:ilvl w:val="2"/>
          <w:numId w:val="12"/>
        </w:numPr>
        <w:tabs>
          <w:tab w:val="left" w:pos="838"/>
        </w:tabs>
        <w:spacing w:before="119" w:line="276" w:lineRule="auto"/>
        <w:ind w:right="113"/>
        <w:jc w:val="both"/>
      </w:pPr>
      <w:r>
        <w:rPr>
          <w:color w:val="231F20"/>
        </w:rPr>
        <w:t>Pro vyloučení pochybností se stanoví, že minimální rozsah každé významné služby uvedený</w:t>
      </w:r>
      <w:r>
        <w:rPr>
          <w:color w:val="231F20"/>
          <w:spacing w:val="-11"/>
        </w:rPr>
        <w:t xml:space="preserve"> </w:t>
      </w:r>
      <w:r>
        <w:rPr>
          <w:color w:val="231F20"/>
        </w:rPr>
        <w:t>v</w:t>
      </w:r>
      <w:r>
        <w:rPr>
          <w:color w:val="231F20"/>
          <w:spacing w:val="-3"/>
        </w:rPr>
        <w:t xml:space="preserve"> </w:t>
      </w:r>
      <w:r>
        <w:rPr>
          <w:color w:val="231F20"/>
        </w:rPr>
        <w:t>čl.</w:t>
      </w:r>
      <w:r>
        <w:rPr>
          <w:color w:val="231F20"/>
          <w:spacing w:val="-12"/>
        </w:rPr>
        <w:t xml:space="preserve"> </w:t>
      </w:r>
      <w:r>
        <w:rPr>
          <w:color w:val="231F20"/>
        </w:rPr>
        <w:t>16.4.2</w:t>
      </w:r>
      <w:r>
        <w:rPr>
          <w:color w:val="231F20"/>
          <w:spacing w:val="-10"/>
        </w:rPr>
        <w:t xml:space="preserve"> </w:t>
      </w:r>
      <w:r>
        <w:rPr>
          <w:color w:val="231F20"/>
        </w:rPr>
        <w:t>písm.</w:t>
      </w:r>
      <w:r>
        <w:rPr>
          <w:color w:val="231F20"/>
          <w:spacing w:val="-11"/>
        </w:rPr>
        <w:t xml:space="preserve"> </w:t>
      </w:r>
      <w:r>
        <w:rPr>
          <w:color w:val="231F20"/>
        </w:rPr>
        <w:t>a)</w:t>
      </w:r>
      <w:r>
        <w:rPr>
          <w:color w:val="231F20"/>
          <w:spacing w:val="-10"/>
        </w:rPr>
        <w:t xml:space="preserve"> </w:t>
      </w:r>
      <w:r>
        <w:rPr>
          <w:color w:val="231F20"/>
        </w:rPr>
        <w:t>až</w:t>
      </w:r>
      <w:r>
        <w:rPr>
          <w:color w:val="231F20"/>
          <w:spacing w:val="-10"/>
        </w:rPr>
        <w:t xml:space="preserve"> </w:t>
      </w:r>
      <w:r>
        <w:rPr>
          <w:color w:val="231F20"/>
        </w:rPr>
        <w:t>e)</w:t>
      </w:r>
      <w:r>
        <w:rPr>
          <w:color w:val="231F20"/>
          <w:spacing w:val="-11"/>
        </w:rPr>
        <w:t xml:space="preserve"> </w:t>
      </w:r>
      <w:r>
        <w:rPr>
          <w:color w:val="231F20"/>
        </w:rPr>
        <w:t>této</w:t>
      </w:r>
      <w:r>
        <w:rPr>
          <w:color w:val="231F20"/>
          <w:spacing w:val="-11"/>
        </w:rPr>
        <w:t xml:space="preserve"> </w:t>
      </w:r>
      <w:r>
        <w:rPr>
          <w:color w:val="231F20"/>
        </w:rPr>
        <w:t>ZD</w:t>
      </w:r>
      <w:r>
        <w:rPr>
          <w:color w:val="231F20"/>
          <w:spacing w:val="-12"/>
        </w:rPr>
        <w:t xml:space="preserve"> </w:t>
      </w:r>
      <w:r>
        <w:rPr>
          <w:color w:val="231F20"/>
        </w:rPr>
        <w:t>musí</w:t>
      </w:r>
      <w:r>
        <w:rPr>
          <w:color w:val="231F20"/>
          <w:spacing w:val="-10"/>
        </w:rPr>
        <w:t xml:space="preserve"> </w:t>
      </w:r>
      <w:r>
        <w:rPr>
          <w:color w:val="231F20"/>
        </w:rPr>
        <w:t>být</w:t>
      </w:r>
      <w:r>
        <w:rPr>
          <w:color w:val="231F20"/>
          <w:spacing w:val="-11"/>
        </w:rPr>
        <w:t xml:space="preserve"> </w:t>
      </w:r>
      <w:r>
        <w:rPr>
          <w:color w:val="231F20"/>
        </w:rPr>
        <w:t>dosažen</w:t>
      </w:r>
      <w:r>
        <w:rPr>
          <w:color w:val="231F20"/>
          <w:spacing w:val="-10"/>
        </w:rPr>
        <w:t xml:space="preserve"> </w:t>
      </w:r>
      <w:r>
        <w:rPr>
          <w:color w:val="231F20"/>
        </w:rPr>
        <w:t>v</w:t>
      </w:r>
      <w:r>
        <w:rPr>
          <w:color w:val="231F20"/>
          <w:spacing w:val="-2"/>
        </w:rPr>
        <w:t xml:space="preserve"> </w:t>
      </w:r>
      <w:r>
        <w:rPr>
          <w:color w:val="231F20"/>
        </w:rPr>
        <w:t>rámci</w:t>
      </w:r>
      <w:r>
        <w:rPr>
          <w:color w:val="231F20"/>
          <w:spacing w:val="-11"/>
        </w:rPr>
        <w:t xml:space="preserve"> </w:t>
      </w:r>
      <w:r>
        <w:rPr>
          <w:color w:val="231F20"/>
        </w:rPr>
        <w:t>jednoho</w:t>
      </w:r>
      <w:r>
        <w:rPr>
          <w:color w:val="231F20"/>
          <w:spacing w:val="-10"/>
        </w:rPr>
        <w:t xml:space="preserve"> </w:t>
      </w:r>
      <w:r>
        <w:rPr>
          <w:color w:val="231F20"/>
        </w:rPr>
        <w:t>smluvního vztahu (tj. typicky pro jednoho klienta). Sčítání více služeb pro dosažení stanoveného min.</w:t>
      </w:r>
      <w:r>
        <w:rPr>
          <w:color w:val="231F20"/>
          <w:spacing w:val="-10"/>
        </w:rPr>
        <w:t xml:space="preserve"> </w:t>
      </w:r>
      <w:r>
        <w:rPr>
          <w:color w:val="231F20"/>
        </w:rPr>
        <w:t>rozsahu</w:t>
      </w:r>
      <w:r>
        <w:rPr>
          <w:color w:val="231F20"/>
          <w:spacing w:val="-9"/>
        </w:rPr>
        <w:t xml:space="preserve"> </w:t>
      </w:r>
      <w:r>
        <w:rPr>
          <w:color w:val="231F20"/>
        </w:rPr>
        <w:t>se</w:t>
      </w:r>
      <w:r>
        <w:rPr>
          <w:color w:val="231F20"/>
          <w:spacing w:val="-8"/>
        </w:rPr>
        <w:t xml:space="preserve"> </w:t>
      </w:r>
      <w:r>
        <w:rPr>
          <w:color w:val="231F20"/>
        </w:rPr>
        <w:t>nepřipouští</w:t>
      </w:r>
      <w:r>
        <w:rPr>
          <w:color w:val="231F20"/>
          <w:spacing w:val="-8"/>
        </w:rPr>
        <w:t xml:space="preserve"> </w:t>
      </w:r>
      <w:r>
        <w:rPr>
          <w:color w:val="231F20"/>
        </w:rPr>
        <w:t>(např.</w:t>
      </w:r>
      <w:r>
        <w:rPr>
          <w:color w:val="231F20"/>
          <w:spacing w:val="-10"/>
        </w:rPr>
        <w:t xml:space="preserve"> </w:t>
      </w:r>
      <w:r>
        <w:rPr>
          <w:color w:val="231F20"/>
        </w:rPr>
        <w:t>kvalifikaci</w:t>
      </w:r>
      <w:r>
        <w:rPr>
          <w:color w:val="231F20"/>
          <w:spacing w:val="-9"/>
        </w:rPr>
        <w:t xml:space="preserve"> </w:t>
      </w:r>
      <w:r>
        <w:rPr>
          <w:color w:val="231F20"/>
        </w:rPr>
        <w:t>na</w:t>
      </w:r>
      <w:r>
        <w:rPr>
          <w:color w:val="231F20"/>
          <w:spacing w:val="-10"/>
        </w:rPr>
        <w:t xml:space="preserve"> </w:t>
      </w:r>
      <w:r>
        <w:rPr>
          <w:color w:val="231F20"/>
        </w:rPr>
        <w:t>cestovní</w:t>
      </w:r>
      <w:r>
        <w:rPr>
          <w:color w:val="231F20"/>
          <w:spacing w:val="-10"/>
        </w:rPr>
        <w:t xml:space="preserve"> </w:t>
      </w:r>
      <w:r>
        <w:rPr>
          <w:color w:val="231F20"/>
        </w:rPr>
        <w:t>pojištění</w:t>
      </w:r>
      <w:r>
        <w:rPr>
          <w:color w:val="231F20"/>
          <w:spacing w:val="-10"/>
        </w:rPr>
        <w:t xml:space="preserve"> </w:t>
      </w:r>
      <w:r>
        <w:rPr>
          <w:color w:val="231F20"/>
        </w:rPr>
        <w:t>nelze</w:t>
      </w:r>
      <w:r>
        <w:rPr>
          <w:color w:val="231F20"/>
          <w:spacing w:val="-10"/>
        </w:rPr>
        <w:t xml:space="preserve"> </w:t>
      </w:r>
      <w:r>
        <w:rPr>
          <w:color w:val="231F20"/>
        </w:rPr>
        <w:t>prokazovat</w:t>
      </w:r>
      <w:r>
        <w:rPr>
          <w:color w:val="231F20"/>
          <w:spacing w:val="-10"/>
        </w:rPr>
        <w:t xml:space="preserve"> </w:t>
      </w:r>
      <w:r>
        <w:rPr>
          <w:color w:val="231F20"/>
        </w:rPr>
        <w:t>tak, že budou doloženy dvě referenční služby, tj. jedna v rozsahu 1500 osobodnů/v roce 2024 poskytnutá pro jednoho klienta a druhá služba v rozsahu 1500 osobodnů/v roce 2024 pro jiného</w:t>
      </w:r>
      <w:r>
        <w:rPr>
          <w:color w:val="231F20"/>
          <w:spacing w:val="-3"/>
        </w:rPr>
        <w:t xml:space="preserve"> </w:t>
      </w:r>
      <w:r>
        <w:rPr>
          <w:color w:val="231F20"/>
        </w:rPr>
        <w:t>klienta).</w:t>
      </w:r>
    </w:p>
    <w:p w14:paraId="7E09F848" w14:textId="77777777" w:rsidR="00F65BCA" w:rsidRDefault="00216117">
      <w:pPr>
        <w:pStyle w:val="Nadpis3"/>
        <w:numPr>
          <w:ilvl w:val="2"/>
          <w:numId w:val="12"/>
        </w:numPr>
        <w:tabs>
          <w:tab w:val="left" w:pos="838"/>
        </w:tabs>
        <w:spacing w:before="119" w:line="276" w:lineRule="auto"/>
        <w:ind w:right="114" w:hanging="720"/>
        <w:jc w:val="both"/>
      </w:pPr>
      <w:r>
        <w:rPr>
          <w:color w:val="231F20"/>
        </w:rPr>
        <w:t>Pro vyloučení pochybností se dále stanoví, že obě významné služby pro část 1 VZ, tj. významná služba dle čl. 16.4.2 písm. a) a významná služba dle čl. 16.4.2 písm. b) této ZD nemusí být nutně poskytnuty jednou osobou (tj. např. se připouští, že významná služba  dle čl. 16.4.2 písm. a)  této  ZD je  poskytnuta  účastníkem zadávacího  řízení  a významná služba dle čl. 16.4.2 písm. b) této ZD je poskytnuta např. jeho poddodavatelem (při postupu v souladu s § 83</w:t>
      </w:r>
      <w:r>
        <w:rPr>
          <w:color w:val="231F20"/>
          <w:spacing w:val="-4"/>
        </w:rPr>
        <w:t xml:space="preserve"> </w:t>
      </w:r>
      <w:r>
        <w:rPr>
          <w:color w:val="231F20"/>
        </w:rPr>
        <w:t>ZZVZ)).</w:t>
      </w:r>
    </w:p>
    <w:p w14:paraId="5F86EF8B" w14:textId="77777777" w:rsidR="00F65BCA" w:rsidRDefault="00216117">
      <w:pPr>
        <w:pStyle w:val="Nadpis3"/>
        <w:numPr>
          <w:ilvl w:val="2"/>
          <w:numId w:val="12"/>
        </w:numPr>
        <w:tabs>
          <w:tab w:val="left" w:pos="838"/>
        </w:tabs>
        <w:spacing w:before="119" w:line="276" w:lineRule="auto"/>
        <w:ind w:right="115"/>
        <w:jc w:val="both"/>
      </w:pPr>
      <w:r>
        <w:rPr>
          <w:color w:val="231F20"/>
        </w:rPr>
        <w:t>Zadavatel dále stanoví, že jako referenční služby k prokázání kvalifikace mohou sloužit i</w:t>
      </w:r>
      <w:r>
        <w:rPr>
          <w:color w:val="231F20"/>
          <w:spacing w:val="15"/>
        </w:rPr>
        <w:t xml:space="preserve"> </w:t>
      </w:r>
      <w:r>
        <w:rPr>
          <w:color w:val="231F20"/>
        </w:rPr>
        <w:t>služby</w:t>
      </w:r>
      <w:r>
        <w:rPr>
          <w:color w:val="231F20"/>
          <w:spacing w:val="14"/>
        </w:rPr>
        <w:t xml:space="preserve"> </w:t>
      </w:r>
      <w:r>
        <w:rPr>
          <w:color w:val="231F20"/>
        </w:rPr>
        <w:t>poskytnuté</w:t>
      </w:r>
      <w:r>
        <w:rPr>
          <w:color w:val="231F20"/>
          <w:spacing w:val="18"/>
        </w:rPr>
        <w:t xml:space="preserve"> </w:t>
      </w:r>
      <w:r>
        <w:rPr>
          <w:color w:val="231F20"/>
        </w:rPr>
        <w:t>(resp.</w:t>
      </w:r>
      <w:r>
        <w:rPr>
          <w:color w:val="231F20"/>
          <w:spacing w:val="15"/>
        </w:rPr>
        <w:t xml:space="preserve"> </w:t>
      </w:r>
      <w:r>
        <w:rPr>
          <w:color w:val="231F20"/>
        </w:rPr>
        <w:t>smlouvy</w:t>
      </w:r>
      <w:r>
        <w:rPr>
          <w:color w:val="231F20"/>
          <w:spacing w:val="14"/>
        </w:rPr>
        <w:t xml:space="preserve"> </w:t>
      </w:r>
      <w:r>
        <w:rPr>
          <w:color w:val="231F20"/>
        </w:rPr>
        <w:t>na</w:t>
      </w:r>
      <w:r>
        <w:rPr>
          <w:color w:val="231F20"/>
          <w:spacing w:val="15"/>
        </w:rPr>
        <w:t xml:space="preserve"> </w:t>
      </w:r>
      <w:r>
        <w:rPr>
          <w:color w:val="231F20"/>
        </w:rPr>
        <w:t>ně</w:t>
      </w:r>
      <w:r>
        <w:rPr>
          <w:color w:val="231F20"/>
          <w:spacing w:val="16"/>
        </w:rPr>
        <w:t xml:space="preserve"> </w:t>
      </w:r>
      <w:r>
        <w:rPr>
          <w:color w:val="231F20"/>
        </w:rPr>
        <w:t>uzavřené</w:t>
      </w:r>
      <w:r>
        <w:rPr>
          <w:color w:val="231F20"/>
          <w:spacing w:val="17"/>
        </w:rPr>
        <w:t xml:space="preserve"> </w:t>
      </w:r>
      <w:r>
        <w:rPr>
          <w:color w:val="231F20"/>
        </w:rPr>
        <w:t>–</w:t>
      </w:r>
      <w:r>
        <w:rPr>
          <w:color w:val="231F20"/>
          <w:spacing w:val="16"/>
        </w:rPr>
        <w:t xml:space="preserve"> </w:t>
      </w:r>
      <w:r>
        <w:rPr>
          <w:color w:val="231F20"/>
        </w:rPr>
        <w:t>služby</w:t>
      </w:r>
      <w:r>
        <w:rPr>
          <w:color w:val="231F20"/>
          <w:spacing w:val="15"/>
        </w:rPr>
        <w:t xml:space="preserve"> </w:t>
      </w:r>
      <w:r>
        <w:rPr>
          <w:color w:val="231F20"/>
        </w:rPr>
        <w:t>nemusí</w:t>
      </w:r>
      <w:r>
        <w:rPr>
          <w:color w:val="231F20"/>
          <w:spacing w:val="16"/>
        </w:rPr>
        <w:t xml:space="preserve"> </w:t>
      </w:r>
      <w:r>
        <w:rPr>
          <w:color w:val="231F20"/>
        </w:rPr>
        <w:t>být</w:t>
      </w:r>
      <w:r>
        <w:rPr>
          <w:color w:val="231F20"/>
          <w:spacing w:val="14"/>
        </w:rPr>
        <w:t xml:space="preserve"> </w:t>
      </w:r>
      <w:r>
        <w:rPr>
          <w:color w:val="231F20"/>
        </w:rPr>
        <w:t>„dokončeny“,</w:t>
      </w:r>
    </w:p>
    <w:p w14:paraId="56A09E68" w14:textId="77777777" w:rsidR="00F65BCA" w:rsidRDefault="00F65BCA">
      <w:pPr>
        <w:pStyle w:val="Zkladntext"/>
        <w:rPr>
          <w:sz w:val="20"/>
        </w:rPr>
      </w:pPr>
    </w:p>
    <w:p w14:paraId="6AE9DFBC" w14:textId="77777777" w:rsidR="00F65BCA" w:rsidRDefault="00F65BCA">
      <w:pPr>
        <w:pStyle w:val="Zkladntext"/>
        <w:rPr>
          <w:sz w:val="20"/>
        </w:rPr>
      </w:pPr>
    </w:p>
    <w:p w14:paraId="293914FA" w14:textId="77777777" w:rsidR="00F65BCA" w:rsidRDefault="00F65BCA">
      <w:pPr>
        <w:pStyle w:val="Zkladntext"/>
        <w:spacing w:before="3"/>
        <w:rPr>
          <w:sz w:val="23"/>
        </w:rPr>
      </w:pPr>
    </w:p>
    <w:p w14:paraId="0DE68108" w14:textId="77777777" w:rsidR="00F65BCA" w:rsidRDefault="00216117">
      <w:pPr>
        <w:spacing w:before="95"/>
        <w:ind w:left="1459" w:right="1033"/>
        <w:jc w:val="center"/>
        <w:rPr>
          <w:sz w:val="16"/>
        </w:rPr>
      </w:pPr>
      <w:r>
        <w:rPr>
          <w:color w:val="231F20"/>
          <w:sz w:val="16"/>
        </w:rPr>
        <w:t>Stránka 7 z 15</w:t>
      </w:r>
    </w:p>
    <w:p w14:paraId="5EF0CAF3" w14:textId="77777777" w:rsidR="00F65BCA" w:rsidRDefault="00F65BCA">
      <w:pPr>
        <w:jc w:val="center"/>
        <w:rPr>
          <w:sz w:val="16"/>
        </w:rPr>
        <w:sectPr w:rsidR="00F65BCA">
          <w:pgSz w:w="11900" w:h="16840"/>
          <w:pgMar w:top="1060" w:right="1160" w:bottom="280" w:left="1300" w:header="708" w:footer="708" w:gutter="0"/>
          <w:cols w:space="708"/>
        </w:sectPr>
      </w:pPr>
    </w:p>
    <w:p w14:paraId="56A6AB36" w14:textId="77777777" w:rsidR="00F65BCA" w:rsidRDefault="00216117">
      <w:pPr>
        <w:pStyle w:val="Nadpis3"/>
        <w:spacing w:before="78" w:line="276" w:lineRule="auto"/>
        <w:ind w:left="837" w:right="107"/>
        <w:jc w:val="left"/>
      </w:pPr>
      <w:r>
        <w:rPr>
          <w:color w:val="231F20"/>
        </w:rPr>
        <w:lastRenderedPageBreak/>
        <w:t>postačí jejich zasmluvnění v prokazatelné výši či rozsahu) i po zahájení zadávacího řízení.</w:t>
      </w:r>
    </w:p>
    <w:p w14:paraId="530315C6" w14:textId="77777777" w:rsidR="00F65BCA" w:rsidRDefault="00F65BCA">
      <w:pPr>
        <w:pStyle w:val="Zkladntext"/>
        <w:spacing w:before="10"/>
        <w:rPr>
          <w:sz w:val="20"/>
        </w:rPr>
      </w:pPr>
    </w:p>
    <w:p w14:paraId="386740FF" w14:textId="77777777" w:rsidR="00F65BCA" w:rsidRDefault="00216117">
      <w:pPr>
        <w:pStyle w:val="Nadpis1"/>
        <w:numPr>
          <w:ilvl w:val="0"/>
          <w:numId w:val="18"/>
        </w:numPr>
        <w:tabs>
          <w:tab w:val="left" w:pos="686"/>
        </w:tabs>
        <w:ind w:hanging="569"/>
        <w:jc w:val="both"/>
      </w:pPr>
      <w:bookmarkStart w:id="16" w:name="_TOC_250007"/>
      <w:bookmarkEnd w:id="16"/>
      <w:r>
        <w:rPr>
          <w:color w:val="231F20"/>
        </w:rPr>
        <w:t>Poddodavatelé</w:t>
      </w:r>
    </w:p>
    <w:p w14:paraId="6C3537F9" w14:textId="77777777" w:rsidR="00F65BCA" w:rsidRDefault="00216117">
      <w:pPr>
        <w:pStyle w:val="Nadpis3"/>
        <w:numPr>
          <w:ilvl w:val="1"/>
          <w:numId w:val="18"/>
        </w:numPr>
        <w:tabs>
          <w:tab w:val="left" w:pos="686"/>
        </w:tabs>
        <w:spacing w:before="119"/>
        <w:ind w:right="114"/>
        <w:jc w:val="both"/>
      </w:pPr>
      <w:r>
        <w:rPr>
          <w:color w:val="231F20"/>
        </w:rPr>
        <w:t>Zadavatel ve smyslu § 105 odst. 1 ZZVZ požaduje, aby vybraný dodavatel nejpozději ve lhůtě</w:t>
      </w:r>
      <w:r>
        <w:rPr>
          <w:color w:val="231F20"/>
          <w:spacing w:val="-8"/>
        </w:rPr>
        <w:t xml:space="preserve"> </w:t>
      </w:r>
      <w:r>
        <w:rPr>
          <w:color w:val="231F20"/>
        </w:rPr>
        <w:t>pro</w:t>
      </w:r>
      <w:r>
        <w:rPr>
          <w:color w:val="231F20"/>
          <w:spacing w:val="-9"/>
        </w:rPr>
        <w:t xml:space="preserve"> </w:t>
      </w:r>
      <w:r>
        <w:rPr>
          <w:color w:val="231F20"/>
        </w:rPr>
        <w:t>součinnost</w:t>
      </w:r>
      <w:r>
        <w:rPr>
          <w:color w:val="231F20"/>
          <w:spacing w:val="-8"/>
        </w:rPr>
        <w:t xml:space="preserve"> </w:t>
      </w:r>
      <w:r>
        <w:rPr>
          <w:color w:val="231F20"/>
        </w:rPr>
        <w:t>dle</w:t>
      </w:r>
      <w:r>
        <w:rPr>
          <w:color w:val="231F20"/>
          <w:spacing w:val="-10"/>
        </w:rPr>
        <w:t xml:space="preserve"> </w:t>
      </w:r>
      <w:r>
        <w:rPr>
          <w:color w:val="231F20"/>
        </w:rPr>
        <w:t>čl.</w:t>
      </w:r>
      <w:r>
        <w:rPr>
          <w:color w:val="231F20"/>
          <w:spacing w:val="-6"/>
        </w:rPr>
        <w:t xml:space="preserve"> </w:t>
      </w:r>
      <w:r>
        <w:rPr>
          <w:color w:val="231F20"/>
        </w:rPr>
        <w:t>21</w:t>
      </w:r>
      <w:r>
        <w:rPr>
          <w:color w:val="231F20"/>
          <w:spacing w:val="-9"/>
        </w:rPr>
        <w:t xml:space="preserve"> </w:t>
      </w:r>
      <w:r>
        <w:rPr>
          <w:color w:val="231F20"/>
        </w:rPr>
        <w:t>této</w:t>
      </w:r>
      <w:r>
        <w:rPr>
          <w:color w:val="231F20"/>
          <w:spacing w:val="-9"/>
        </w:rPr>
        <w:t xml:space="preserve"> </w:t>
      </w:r>
      <w:r>
        <w:rPr>
          <w:color w:val="231F20"/>
        </w:rPr>
        <w:t>ZD</w:t>
      </w:r>
      <w:r>
        <w:rPr>
          <w:color w:val="231F20"/>
          <w:spacing w:val="-8"/>
        </w:rPr>
        <w:t xml:space="preserve"> </w:t>
      </w:r>
      <w:r>
        <w:rPr>
          <w:color w:val="231F20"/>
        </w:rPr>
        <w:t>specifikoval</w:t>
      </w:r>
      <w:r>
        <w:rPr>
          <w:color w:val="231F20"/>
          <w:spacing w:val="-8"/>
        </w:rPr>
        <w:t xml:space="preserve"> </w:t>
      </w:r>
      <w:r>
        <w:rPr>
          <w:color w:val="231F20"/>
        </w:rPr>
        <w:t>části</w:t>
      </w:r>
      <w:r>
        <w:rPr>
          <w:color w:val="231F20"/>
          <w:spacing w:val="-9"/>
        </w:rPr>
        <w:t xml:space="preserve"> </w:t>
      </w:r>
      <w:r>
        <w:rPr>
          <w:color w:val="231F20"/>
        </w:rPr>
        <w:t>veřejné</w:t>
      </w:r>
      <w:r>
        <w:rPr>
          <w:color w:val="231F20"/>
          <w:spacing w:val="-8"/>
        </w:rPr>
        <w:t xml:space="preserve"> </w:t>
      </w:r>
      <w:r>
        <w:rPr>
          <w:color w:val="231F20"/>
        </w:rPr>
        <w:t>zakázky,</w:t>
      </w:r>
      <w:r>
        <w:rPr>
          <w:color w:val="231F20"/>
          <w:spacing w:val="-10"/>
        </w:rPr>
        <w:t xml:space="preserve"> </w:t>
      </w:r>
      <w:r>
        <w:rPr>
          <w:color w:val="231F20"/>
        </w:rPr>
        <w:t>které</w:t>
      </w:r>
      <w:r>
        <w:rPr>
          <w:color w:val="231F20"/>
          <w:spacing w:val="-8"/>
        </w:rPr>
        <w:t xml:space="preserve"> </w:t>
      </w:r>
      <w:r>
        <w:rPr>
          <w:color w:val="231F20"/>
        </w:rPr>
        <w:t>hodlá</w:t>
      </w:r>
      <w:r>
        <w:rPr>
          <w:color w:val="231F20"/>
          <w:spacing w:val="-10"/>
        </w:rPr>
        <w:t xml:space="preserve"> </w:t>
      </w:r>
      <w:r>
        <w:rPr>
          <w:color w:val="231F20"/>
        </w:rPr>
        <w:t>plnit prostřednictvím poddodavatele a aby předložil seznam takových poddodavatelů (název poddodavatele a IČO), pokud jsou mu známi vč. uvedení části (resp. druhu a rozsahu plnění, jež má být plněno poddodavatelem), kterou bude každý z poddodavatelů plnit (vzor seznamu poddodavatelů je uveden v příloze č. 1 této ZD). Seznam poddodavatelů předloží vybraný dodavatel formou čestného</w:t>
      </w:r>
      <w:r>
        <w:rPr>
          <w:color w:val="231F20"/>
          <w:spacing w:val="-5"/>
        </w:rPr>
        <w:t xml:space="preserve"> </w:t>
      </w:r>
      <w:r>
        <w:rPr>
          <w:color w:val="231F20"/>
        </w:rPr>
        <w:t>prohlášení.</w:t>
      </w:r>
    </w:p>
    <w:p w14:paraId="50B13448" w14:textId="77777777" w:rsidR="00F65BCA" w:rsidRDefault="00216117">
      <w:pPr>
        <w:pStyle w:val="Nadpis3"/>
        <w:numPr>
          <w:ilvl w:val="1"/>
          <w:numId w:val="18"/>
        </w:numPr>
        <w:tabs>
          <w:tab w:val="left" w:pos="686"/>
        </w:tabs>
        <w:spacing w:before="119"/>
        <w:ind w:right="113"/>
        <w:jc w:val="both"/>
      </w:pPr>
      <w:r>
        <w:rPr>
          <w:color w:val="231F20"/>
        </w:rPr>
        <w:t>V případě, že vybraný dodavatel nepředpokládá plnění formou poddodávek, předloží čestné prohlášení o tom, že nemá v úmyslu zadat žádnou část veřejné zakázky jiným osobám. Prázdný vzor seznamu poddodavatelů dle přílohy č. 1 této ZD, podepsaný oprávněnou osobou, se považuje za čestné prohlášení vybraného dodavatele o tom, že nehodlá plnit veřejnou zakázku za pomoci</w:t>
      </w:r>
      <w:r>
        <w:rPr>
          <w:color w:val="231F20"/>
          <w:spacing w:val="-4"/>
        </w:rPr>
        <w:t xml:space="preserve"> </w:t>
      </w:r>
      <w:r>
        <w:rPr>
          <w:color w:val="231F20"/>
        </w:rPr>
        <w:t>poddodavatele.</w:t>
      </w:r>
    </w:p>
    <w:p w14:paraId="392F8C7E" w14:textId="77777777" w:rsidR="00F65BCA" w:rsidRDefault="00216117">
      <w:pPr>
        <w:pStyle w:val="Nadpis3"/>
        <w:numPr>
          <w:ilvl w:val="1"/>
          <w:numId w:val="18"/>
        </w:numPr>
        <w:tabs>
          <w:tab w:val="left" w:pos="686"/>
        </w:tabs>
        <w:spacing w:before="119"/>
        <w:ind w:right="113"/>
        <w:jc w:val="both"/>
      </w:pPr>
      <w:r>
        <w:rPr>
          <w:color w:val="231F20"/>
        </w:rPr>
        <w:t>Zadavatel upozorňuje, že změny poddodavatele nebo rozšíření částí veřejné zakázky, které budou plněny poddodavatelem, oproti seznamu dle čl. 17.1. této ZD, musí vybraný dodavatel</w:t>
      </w:r>
      <w:r>
        <w:rPr>
          <w:color w:val="231F20"/>
          <w:spacing w:val="-15"/>
        </w:rPr>
        <w:t xml:space="preserve"> </w:t>
      </w:r>
      <w:r>
        <w:rPr>
          <w:color w:val="231F20"/>
        </w:rPr>
        <w:t>Zadavateli</w:t>
      </w:r>
      <w:r>
        <w:rPr>
          <w:color w:val="231F20"/>
          <w:spacing w:val="-15"/>
        </w:rPr>
        <w:t xml:space="preserve"> </w:t>
      </w:r>
      <w:r>
        <w:rPr>
          <w:color w:val="231F20"/>
        </w:rPr>
        <w:t>předem</w:t>
      </w:r>
      <w:r>
        <w:rPr>
          <w:color w:val="231F20"/>
          <w:spacing w:val="-16"/>
        </w:rPr>
        <w:t xml:space="preserve"> </w:t>
      </w:r>
      <w:r>
        <w:rPr>
          <w:color w:val="231F20"/>
        </w:rPr>
        <w:t>oznámit.</w:t>
      </w:r>
      <w:r>
        <w:rPr>
          <w:color w:val="231F20"/>
          <w:spacing w:val="-13"/>
        </w:rPr>
        <w:t xml:space="preserve"> </w:t>
      </w:r>
      <w:r>
        <w:rPr>
          <w:color w:val="231F20"/>
        </w:rPr>
        <w:t>Zadavatel</w:t>
      </w:r>
      <w:r>
        <w:rPr>
          <w:color w:val="231F20"/>
          <w:spacing w:val="-16"/>
        </w:rPr>
        <w:t xml:space="preserve"> </w:t>
      </w:r>
      <w:r>
        <w:rPr>
          <w:color w:val="231F20"/>
        </w:rPr>
        <w:t>si</w:t>
      </w:r>
      <w:r>
        <w:rPr>
          <w:color w:val="231F20"/>
          <w:spacing w:val="-15"/>
        </w:rPr>
        <w:t xml:space="preserve"> </w:t>
      </w:r>
      <w:r>
        <w:rPr>
          <w:color w:val="231F20"/>
        </w:rPr>
        <w:t>vyhrazuje</w:t>
      </w:r>
      <w:r>
        <w:rPr>
          <w:color w:val="231F20"/>
          <w:spacing w:val="-15"/>
        </w:rPr>
        <w:t xml:space="preserve"> </w:t>
      </w:r>
      <w:r>
        <w:rPr>
          <w:color w:val="231F20"/>
        </w:rPr>
        <w:t>právo</w:t>
      </w:r>
      <w:r>
        <w:rPr>
          <w:color w:val="231F20"/>
          <w:spacing w:val="-15"/>
        </w:rPr>
        <w:t xml:space="preserve"> </w:t>
      </w:r>
      <w:r>
        <w:rPr>
          <w:color w:val="231F20"/>
        </w:rPr>
        <w:t>neodsouhlasit</w:t>
      </w:r>
      <w:r>
        <w:rPr>
          <w:color w:val="231F20"/>
          <w:spacing w:val="-15"/>
        </w:rPr>
        <w:t xml:space="preserve"> </w:t>
      </w:r>
      <w:r>
        <w:rPr>
          <w:color w:val="231F20"/>
        </w:rPr>
        <w:t>změnu poddodavatele, resp. nepřipustit změnu poddodavatele, pokud by u takového nového poddodavatele</w:t>
      </w:r>
      <w:r>
        <w:rPr>
          <w:color w:val="231F20"/>
          <w:spacing w:val="20"/>
        </w:rPr>
        <w:t xml:space="preserve"> </w:t>
      </w:r>
      <w:r>
        <w:rPr>
          <w:color w:val="231F20"/>
        </w:rPr>
        <w:t>byly</w:t>
      </w:r>
      <w:r>
        <w:rPr>
          <w:color w:val="231F20"/>
          <w:spacing w:val="20"/>
        </w:rPr>
        <w:t xml:space="preserve"> </w:t>
      </w:r>
      <w:r>
        <w:rPr>
          <w:color w:val="231F20"/>
        </w:rPr>
        <w:t>dány</w:t>
      </w:r>
      <w:r>
        <w:rPr>
          <w:color w:val="231F20"/>
          <w:spacing w:val="21"/>
        </w:rPr>
        <w:t xml:space="preserve"> </w:t>
      </w:r>
      <w:r>
        <w:rPr>
          <w:color w:val="231F20"/>
        </w:rPr>
        <w:t>důvody</w:t>
      </w:r>
      <w:r>
        <w:rPr>
          <w:color w:val="231F20"/>
          <w:spacing w:val="20"/>
        </w:rPr>
        <w:t xml:space="preserve"> </w:t>
      </w:r>
      <w:r>
        <w:rPr>
          <w:color w:val="231F20"/>
        </w:rPr>
        <w:t>pro</w:t>
      </w:r>
      <w:r>
        <w:rPr>
          <w:color w:val="231F20"/>
          <w:spacing w:val="20"/>
        </w:rPr>
        <w:t xml:space="preserve"> </w:t>
      </w:r>
      <w:r>
        <w:rPr>
          <w:color w:val="231F20"/>
        </w:rPr>
        <w:t>vyloučení</w:t>
      </w:r>
      <w:r>
        <w:rPr>
          <w:color w:val="231F20"/>
          <w:spacing w:val="19"/>
        </w:rPr>
        <w:t xml:space="preserve"> </w:t>
      </w:r>
      <w:r>
        <w:rPr>
          <w:color w:val="231F20"/>
        </w:rPr>
        <w:t>účastníka</w:t>
      </w:r>
      <w:r>
        <w:rPr>
          <w:color w:val="231F20"/>
          <w:spacing w:val="20"/>
        </w:rPr>
        <w:t xml:space="preserve"> </w:t>
      </w:r>
      <w:r>
        <w:rPr>
          <w:color w:val="231F20"/>
        </w:rPr>
        <w:t>zadávacího</w:t>
      </w:r>
      <w:r>
        <w:rPr>
          <w:color w:val="231F20"/>
          <w:spacing w:val="20"/>
        </w:rPr>
        <w:t xml:space="preserve"> </w:t>
      </w:r>
      <w:r>
        <w:rPr>
          <w:color w:val="231F20"/>
        </w:rPr>
        <w:t>řízení</w:t>
      </w:r>
      <w:r>
        <w:rPr>
          <w:color w:val="231F20"/>
          <w:spacing w:val="21"/>
        </w:rPr>
        <w:t xml:space="preserve"> </w:t>
      </w:r>
      <w:r>
        <w:rPr>
          <w:color w:val="231F20"/>
        </w:rPr>
        <w:t>ve</w:t>
      </w:r>
      <w:r>
        <w:rPr>
          <w:color w:val="231F20"/>
          <w:spacing w:val="20"/>
        </w:rPr>
        <w:t xml:space="preserve"> </w:t>
      </w:r>
      <w:r>
        <w:rPr>
          <w:color w:val="231F20"/>
        </w:rPr>
        <w:t>smyslu</w:t>
      </w:r>
    </w:p>
    <w:p w14:paraId="702D8B8C" w14:textId="77777777" w:rsidR="00F65BCA" w:rsidRDefault="00216117">
      <w:pPr>
        <w:pStyle w:val="Nadpis3"/>
        <w:spacing w:before="1"/>
        <w:ind w:right="112"/>
      </w:pPr>
      <w:r>
        <w:rPr>
          <w:color w:val="231F20"/>
        </w:rPr>
        <w:t>§ 48 odst. 5 a 6 ZZVZ nebo 48aZZVZ nebo důvody pro vyloučení podle jiného právního předpisu (zejm. ust. § 4b zák. č. 159/2006 Sb., o střetu zájmů) nebo pokud měl být nahrazován poddodavatel, jímž vybraný dodavatel v zadávacím řízení prokazoval kvalifikaci či měl nahrazovaný dodavatel vliv na výsledek hodnocení v zadávacím řízení a nový dodavatel nemá kvalifikaci v min. stejném rozsahu jako nahrazovaný poddodavatel, nebo by změnou poddodavatele došlo ke změně pořadí nabídek v rámci původního hodnocení v zadávacím</w:t>
      </w:r>
      <w:r>
        <w:rPr>
          <w:color w:val="231F20"/>
          <w:spacing w:val="-1"/>
        </w:rPr>
        <w:t xml:space="preserve"> </w:t>
      </w:r>
      <w:r>
        <w:rPr>
          <w:color w:val="231F20"/>
        </w:rPr>
        <w:t>řízení.</w:t>
      </w:r>
    </w:p>
    <w:p w14:paraId="1E4F6888" w14:textId="77777777" w:rsidR="00F65BCA" w:rsidRDefault="00F65BCA">
      <w:pPr>
        <w:pStyle w:val="Zkladntext"/>
        <w:spacing w:before="9"/>
        <w:rPr>
          <w:sz w:val="20"/>
        </w:rPr>
      </w:pPr>
    </w:p>
    <w:p w14:paraId="6769E7D2" w14:textId="77777777" w:rsidR="00F65BCA" w:rsidRDefault="00216117">
      <w:pPr>
        <w:pStyle w:val="Nadpis1"/>
        <w:numPr>
          <w:ilvl w:val="0"/>
          <w:numId w:val="18"/>
        </w:numPr>
        <w:tabs>
          <w:tab w:val="left" w:pos="685"/>
          <w:tab w:val="left" w:pos="686"/>
        </w:tabs>
        <w:ind w:hanging="569"/>
      </w:pPr>
      <w:bookmarkStart w:id="17" w:name="_TOC_250006"/>
      <w:r>
        <w:rPr>
          <w:color w:val="231F20"/>
        </w:rPr>
        <w:t>Obchodní podmínky, platební podmínky a další požadavky</w:t>
      </w:r>
      <w:r>
        <w:rPr>
          <w:color w:val="231F20"/>
          <w:spacing w:val="-9"/>
        </w:rPr>
        <w:t xml:space="preserve"> </w:t>
      </w:r>
      <w:bookmarkEnd w:id="17"/>
      <w:r>
        <w:rPr>
          <w:color w:val="231F20"/>
        </w:rPr>
        <w:t>Zadavatele</w:t>
      </w:r>
    </w:p>
    <w:p w14:paraId="64EF48E4" w14:textId="77777777" w:rsidR="00F65BCA" w:rsidRDefault="00216117">
      <w:pPr>
        <w:pStyle w:val="Nadpis3"/>
        <w:numPr>
          <w:ilvl w:val="1"/>
          <w:numId w:val="11"/>
        </w:numPr>
        <w:tabs>
          <w:tab w:val="left" w:pos="686"/>
        </w:tabs>
        <w:spacing w:before="119"/>
        <w:ind w:hanging="569"/>
      </w:pPr>
      <w:r>
        <w:rPr>
          <w:color w:val="231F20"/>
        </w:rPr>
        <w:t>Nedílnou součástí nabídky dodavatele musí být příslušný návrh pojistné smlouvy (viz</w:t>
      </w:r>
      <w:r>
        <w:rPr>
          <w:color w:val="231F20"/>
          <w:spacing w:val="50"/>
        </w:rPr>
        <w:t xml:space="preserve"> </w:t>
      </w:r>
      <w:r>
        <w:rPr>
          <w:color w:val="231F20"/>
        </w:rPr>
        <w:t>čl.</w:t>
      </w:r>
    </w:p>
    <w:p w14:paraId="4ACC385B" w14:textId="77777777" w:rsidR="00F65BCA" w:rsidRDefault="00216117">
      <w:pPr>
        <w:pStyle w:val="Nadpis3"/>
        <w:spacing w:before="39"/>
        <w:jc w:val="left"/>
      </w:pPr>
      <w:r>
        <w:rPr>
          <w:color w:val="231F20"/>
        </w:rPr>
        <w:t>13.4 a 13.5 této ZD).</w:t>
      </w:r>
    </w:p>
    <w:p w14:paraId="179AD99F" w14:textId="77777777" w:rsidR="00F65BCA" w:rsidRDefault="00216117">
      <w:pPr>
        <w:pStyle w:val="Nadpis3"/>
        <w:numPr>
          <w:ilvl w:val="1"/>
          <w:numId w:val="11"/>
        </w:numPr>
        <w:tabs>
          <w:tab w:val="left" w:pos="686"/>
        </w:tabs>
        <w:spacing w:before="157" w:line="276" w:lineRule="auto"/>
        <w:ind w:right="112"/>
        <w:jc w:val="both"/>
      </w:pPr>
      <w:r>
        <w:rPr>
          <w:color w:val="231F20"/>
        </w:rPr>
        <w:t>Návrh smlouvy musí plně akceptovat veškeré požadavky stanovené Zadavatelem v této ZD, a to jak požadavky věcné a technické, tak požadavky právní, finanční a smluvní. Rozsahy pojistného krytí musí být rovněž dodrženy. Návrh smlouvy musí dále</w:t>
      </w:r>
      <w:r>
        <w:rPr>
          <w:color w:val="231F20"/>
          <w:spacing w:val="-43"/>
        </w:rPr>
        <w:t xml:space="preserve"> </w:t>
      </w:r>
      <w:r>
        <w:rPr>
          <w:color w:val="231F20"/>
        </w:rPr>
        <w:t>obsahovat podmínky, za nichž dodavatel nabízí plnění veřejné</w:t>
      </w:r>
      <w:r>
        <w:rPr>
          <w:color w:val="231F20"/>
          <w:spacing w:val="-5"/>
        </w:rPr>
        <w:t xml:space="preserve"> </w:t>
      </w:r>
      <w:r>
        <w:rPr>
          <w:color w:val="231F20"/>
        </w:rPr>
        <w:t>zakázky.</w:t>
      </w:r>
    </w:p>
    <w:p w14:paraId="2A9B6515" w14:textId="77777777" w:rsidR="00F65BCA" w:rsidRDefault="00216117">
      <w:pPr>
        <w:pStyle w:val="Nadpis3"/>
        <w:numPr>
          <w:ilvl w:val="1"/>
          <w:numId w:val="11"/>
        </w:numPr>
        <w:tabs>
          <w:tab w:val="left" w:pos="686"/>
        </w:tabs>
        <w:spacing w:before="119" w:line="276" w:lineRule="auto"/>
        <w:ind w:right="114"/>
        <w:jc w:val="both"/>
      </w:pPr>
      <w:r>
        <w:rPr>
          <w:color w:val="231F20"/>
        </w:rPr>
        <w:t>Návrh smlouvy nesmí vyloučit či žádným způsobem omezovat oprávnění či požadavky Zadavatele uvedené v této</w:t>
      </w:r>
      <w:r>
        <w:rPr>
          <w:color w:val="231F20"/>
          <w:spacing w:val="-1"/>
        </w:rPr>
        <w:t xml:space="preserve"> </w:t>
      </w:r>
      <w:r>
        <w:rPr>
          <w:color w:val="231F20"/>
        </w:rPr>
        <w:t>ZD.</w:t>
      </w:r>
    </w:p>
    <w:p w14:paraId="26819293" w14:textId="77777777" w:rsidR="00F65BCA" w:rsidRDefault="00216117">
      <w:pPr>
        <w:pStyle w:val="Nadpis3"/>
        <w:numPr>
          <w:ilvl w:val="1"/>
          <w:numId w:val="11"/>
        </w:numPr>
        <w:tabs>
          <w:tab w:val="left" w:pos="686"/>
        </w:tabs>
        <w:ind w:hanging="569"/>
        <w:jc w:val="both"/>
      </w:pPr>
      <w:r>
        <w:rPr>
          <w:color w:val="231F20"/>
        </w:rPr>
        <w:t>Návrh</w:t>
      </w:r>
      <w:r>
        <w:rPr>
          <w:color w:val="231F20"/>
          <w:spacing w:val="-16"/>
        </w:rPr>
        <w:t xml:space="preserve"> </w:t>
      </w:r>
      <w:r>
        <w:rPr>
          <w:color w:val="231F20"/>
        </w:rPr>
        <w:t>smlouvy</w:t>
      </w:r>
      <w:r>
        <w:rPr>
          <w:color w:val="231F20"/>
          <w:spacing w:val="-15"/>
        </w:rPr>
        <w:t xml:space="preserve"> </w:t>
      </w:r>
      <w:r>
        <w:rPr>
          <w:color w:val="231F20"/>
        </w:rPr>
        <w:t>bude</w:t>
      </w:r>
      <w:r>
        <w:rPr>
          <w:color w:val="231F20"/>
          <w:spacing w:val="-16"/>
        </w:rPr>
        <w:t xml:space="preserve"> </w:t>
      </w:r>
      <w:r>
        <w:rPr>
          <w:color w:val="231F20"/>
        </w:rPr>
        <w:t>obsahovat</w:t>
      </w:r>
      <w:r>
        <w:rPr>
          <w:color w:val="231F20"/>
          <w:spacing w:val="-15"/>
        </w:rPr>
        <w:t xml:space="preserve"> </w:t>
      </w:r>
      <w:r>
        <w:rPr>
          <w:color w:val="231F20"/>
        </w:rPr>
        <w:t>rovněž</w:t>
      </w:r>
      <w:r>
        <w:rPr>
          <w:color w:val="231F20"/>
          <w:spacing w:val="-16"/>
        </w:rPr>
        <w:t xml:space="preserve"> </w:t>
      </w:r>
      <w:r>
        <w:rPr>
          <w:color w:val="231F20"/>
        </w:rPr>
        <w:t>obecné</w:t>
      </w:r>
      <w:r>
        <w:rPr>
          <w:color w:val="231F20"/>
          <w:spacing w:val="-16"/>
        </w:rPr>
        <w:t xml:space="preserve"> </w:t>
      </w:r>
      <w:r>
        <w:rPr>
          <w:color w:val="231F20"/>
        </w:rPr>
        <w:t>náležitosti</w:t>
      </w:r>
      <w:r>
        <w:rPr>
          <w:color w:val="231F20"/>
          <w:spacing w:val="-16"/>
        </w:rPr>
        <w:t xml:space="preserve"> </w:t>
      </w:r>
      <w:r>
        <w:rPr>
          <w:color w:val="231F20"/>
        </w:rPr>
        <w:t>vyplývající</w:t>
      </w:r>
      <w:r>
        <w:rPr>
          <w:color w:val="231F20"/>
          <w:spacing w:val="-15"/>
        </w:rPr>
        <w:t xml:space="preserve"> </w:t>
      </w:r>
      <w:r>
        <w:rPr>
          <w:color w:val="231F20"/>
        </w:rPr>
        <w:t>ze</w:t>
      </w:r>
      <w:r>
        <w:rPr>
          <w:color w:val="231F20"/>
          <w:spacing w:val="-18"/>
        </w:rPr>
        <w:t xml:space="preserve"> </w:t>
      </w:r>
      <w:r>
        <w:rPr>
          <w:color w:val="231F20"/>
        </w:rPr>
        <w:t>smluvního</w:t>
      </w:r>
      <w:r>
        <w:rPr>
          <w:color w:val="231F20"/>
          <w:spacing w:val="-15"/>
        </w:rPr>
        <w:t xml:space="preserve"> </w:t>
      </w:r>
      <w:r>
        <w:rPr>
          <w:color w:val="231F20"/>
        </w:rPr>
        <w:t>vztahu</w:t>
      </w:r>
    </w:p>
    <w:p w14:paraId="53E0D0DE" w14:textId="77777777" w:rsidR="00F65BCA" w:rsidRDefault="00216117">
      <w:pPr>
        <w:pStyle w:val="Nadpis3"/>
        <w:spacing w:before="38"/>
      </w:pPr>
      <w:r>
        <w:rPr>
          <w:color w:val="231F20"/>
        </w:rPr>
        <w:t>mezi Zadavatelem a dodavatelem.</w:t>
      </w:r>
    </w:p>
    <w:p w14:paraId="72B9A8B7" w14:textId="77777777" w:rsidR="00F65BCA" w:rsidRDefault="00216117">
      <w:pPr>
        <w:pStyle w:val="Nadpis3"/>
        <w:numPr>
          <w:ilvl w:val="1"/>
          <w:numId w:val="11"/>
        </w:numPr>
        <w:tabs>
          <w:tab w:val="left" w:pos="686"/>
        </w:tabs>
        <w:spacing w:before="158" w:line="276" w:lineRule="auto"/>
        <w:ind w:right="111"/>
      </w:pPr>
      <w:r>
        <w:rPr>
          <w:color w:val="231F20"/>
        </w:rPr>
        <w:t>Všechny pojistné smlouvy se uzavírají na dobu od 1. 1. 2026 do 31. 12. 2028, přičemž jednotlivá pojistná období budou</w:t>
      </w:r>
      <w:r>
        <w:rPr>
          <w:color w:val="231F20"/>
          <w:spacing w:val="-3"/>
        </w:rPr>
        <w:t xml:space="preserve"> </w:t>
      </w:r>
      <w:r>
        <w:rPr>
          <w:color w:val="231F20"/>
        </w:rPr>
        <w:t>trvat:</w:t>
      </w:r>
    </w:p>
    <w:p w14:paraId="578A6D0A" w14:textId="77777777" w:rsidR="00F65BCA" w:rsidRDefault="00216117">
      <w:pPr>
        <w:pStyle w:val="Nadpis3"/>
        <w:ind w:left="968"/>
        <w:jc w:val="left"/>
      </w:pPr>
      <w:r>
        <w:rPr>
          <w:color w:val="231F20"/>
        </w:rPr>
        <w:t>a) od 1. 1. 2026 do 31. 12.</w:t>
      </w:r>
      <w:r>
        <w:rPr>
          <w:color w:val="231F20"/>
          <w:spacing w:val="14"/>
        </w:rPr>
        <w:t xml:space="preserve"> </w:t>
      </w:r>
      <w:r>
        <w:rPr>
          <w:color w:val="231F20"/>
        </w:rPr>
        <w:t>2026,</w:t>
      </w:r>
    </w:p>
    <w:p w14:paraId="7485FC82" w14:textId="77777777" w:rsidR="00F65BCA" w:rsidRDefault="00216117">
      <w:pPr>
        <w:pStyle w:val="Nadpis3"/>
        <w:spacing w:before="37"/>
        <w:ind w:left="968"/>
        <w:jc w:val="left"/>
      </w:pPr>
      <w:r>
        <w:rPr>
          <w:color w:val="231F20"/>
        </w:rPr>
        <w:t>b) od 1. 1. 2027 do 31. 12.</w:t>
      </w:r>
      <w:r>
        <w:rPr>
          <w:color w:val="231F20"/>
          <w:spacing w:val="14"/>
        </w:rPr>
        <w:t xml:space="preserve"> </w:t>
      </w:r>
      <w:r>
        <w:rPr>
          <w:color w:val="231F20"/>
        </w:rPr>
        <w:t>2027,</w:t>
      </w:r>
    </w:p>
    <w:p w14:paraId="53350C4C" w14:textId="77777777" w:rsidR="00F65BCA" w:rsidRDefault="00216117">
      <w:pPr>
        <w:pStyle w:val="Nadpis3"/>
        <w:spacing w:before="39"/>
        <w:ind w:left="968"/>
        <w:jc w:val="left"/>
      </w:pPr>
      <w:r>
        <w:rPr>
          <w:color w:val="231F20"/>
        </w:rPr>
        <w:t>c)  od 1. 1. 2028 do 31. 12.</w:t>
      </w:r>
      <w:r>
        <w:rPr>
          <w:color w:val="231F20"/>
          <w:spacing w:val="-35"/>
        </w:rPr>
        <w:t xml:space="preserve"> </w:t>
      </w:r>
      <w:r>
        <w:rPr>
          <w:color w:val="231F20"/>
        </w:rPr>
        <w:t>2028.</w:t>
      </w:r>
    </w:p>
    <w:p w14:paraId="3525B03A" w14:textId="77777777" w:rsidR="00F65BCA" w:rsidRDefault="00216117">
      <w:pPr>
        <w:pStyle w:val="Nadpis3"/>
        <w:numPr>
          <w:ilvl w:val="1"/>
          <w:numId w:val="11"/>
        </w:numPr>
        <w:tabs>
          <w:tab w:val="left" w:pos="686"/>
        </w:tabs>
        <w:spacing w:before="157"/>
        <w:ind w:hanging="569"/>
      </w:pPr>
      <w:r>
        <w:rPr>
          <w:color w:val="231F20"/>
        </w:rPr>
        <w:t>Návrh smlouvy musí obsahovat</w:t>
      </w:r>
      <w:r>
        <w:rPr>
          <w:color w:val="231F20"/>
          <w:spacing w:val="-2"/>
        </w:rPr>
        <w:t xml:space="preserve"> </w:t>
      </w:r>
      <w:r>
        <w:rPr>
          <w:color w:val="231F20"/>
        </w:rPr>
        <w:t>zejména:</w:t>
      </w:r>
    </w:p>
    <w:p w14:paraId="01E67B23" w14:textId="77777777" w:rsidR="00F65BCA" w:rsidRDefault="00216117">
      <w:pPr>
        <w:pStyle w:val="Nadpis3"/>
        <w:numPr>
          <w:ilvl w:val="2"/>
          <w:numId w:val="11"/>
        </w:numPr>
        <w:tabs>
          <w:tab w:val="left" w:pos="1252"/>
        </w:tabs>
        <w:spacing w:before="157"/>
      </w:pPr>
      <w:r>
        <w:rPr>
          <w:color w:val="231F20"/>
        </w:rPr>
        <w:t>označení smluvních</w:t>
      </w:r>
      <w:r>
        <w:rPr>
          <w:color w:val="231F20"/>
          <w:spacing w:val="-2"/>
        </w:rPr>
        <w:t xml:space="preserve"> </w:t>
      </w:r>
      <w:r>
        <w:rPr>
          <w:color w:val="231F20"/>
        </w:rPr>
        <w:t>stran,</w:t>
      </w:r>
    </w:p>
    <w:p w14:paraId="020EADEF" w14:textId="77777777" w:rsidR="00F65BCA" w:rsidRDefault="00216117">
      <w:pPr>
        <w:pStyle w:val="Nadpis3"/>
        <w:numPr>
          <w:ilvl w:val="2"/>
          <w:numId w:val="11"/>
        </w:numPr>
        <w:tabs>
          <w:tab w:val="left" w:pos="1252"/>
        </w:tabs>
        <w:spacing w:before="39"/>
      </w:pPr>
      <w:r>
        <w:rPr>
          <w:color w:val="231F20"/>
        </w:rPr>
        <w:t>vymezení předmětu pojistné</w:t>
      </w:r>
      <w:r>
        <w:rPr>
          <w:color w:val="231F20"/>
          <w:spacing w:val="-2"/>
        </w:rPr>
        <w:t xml:space="preserve"> </w:t>
      </w:r>
      <w:r>
        <w:rPr>
          <w:color w:val="231F20"/>
        </w:rPr>
        <w:t>smlouvy,</w:t>
      </w:r>
    </w:p>
    <w:p w14:paraId="0833507E" w14:textId="77777777" w:rsidR="00F65BCA" w:rsidRDefault="00F65BCA">
      <w:pPr>
        <w:pStyle w:val="Zkladntext"/>
        <w:rPr>
          <w:sz w:val="20"/>
        </w:rPr>
      </w:pPr>
    </w:p>
    <w:p w14:paraId="33A3B1C2" w14:textId="77777777" w:rsidR="00F65BCA" w:rsidRDefault="00F65BCA">
      <w:pPr>
        <w:pStyle w:val="Zkladntext"/>
        <w:spacing w:before="5"/>
        <w:rPr>
          <w:sz w:val="24"/>
        </w:rPr>
      </w:pPr>
    </w:p>
    <w:p w14:paraId="29E73657" w14:textId="77777777" w:rsidR="00F65BCA" w:rsidRDefault="00216117">
      <w:pPr>
        <w:spacing w:before="95"/>
        <w:ind w:left="1459" w:right="1033"/>
        <w:jc w:val="center"/>
        <w:rPr>
          <w:sz w:val="16"/>
        </w:rPr>
      </w:pPr>
      <w:r>
        <w:rPr>
          <w:color w:val="231F20"/>
          <w:sz w:val="16"/>
        </w:rPr>
        <w:t>Stránka 8 z 15</w:t>
      </w:r>
    </w:p>
    <w:p w14:paraId="261C6739" w14:textId="77777777" w:rsidR="00F65BCA" w:rsidRDefault="00F65BCA">
      <w:pPr>
        <w:jc w:val="center"/>
        <w:rPr>
          <w:sz w:val="16"/>
        </w:rPr>
        <w:sectPr w:rsidR="00F65BCA">
          <w:pgSz w:w="11900" w:h="16840"/>
          <w:pgMar w:top="1060" w:right="1160" w:bottom="280" w:left="1300" w:header="708" w:footer="708" w:gutter="0"/>
          <w:cols w:space="708"/>
        </w:sectPr>
      </w:pPr>
    </w:p>
    <w:p w14:paraId="2AB0B15A" w14:textId="77777777" w:rsidR="00F65BCA" w:rsidRDefault="00216117">
      <w:pPr>
        <w:pStyle w:val="Nadpis3"/>
        <w:numPr>
          <w:ilvl w:val="2"/>
          <w:numId w:val="11"/>
        </w:numPr>
        <w:tabs>
          <w:tab w:val="left" w:pos="1252"/>
        </w:tabs>
        <w:spacing w:before="78"/>
        <w:jc w:val="both"/>
      </w:pPr>
      <w:r>
        <w:rPr>
          <w:color w:val="231F20"/>
        </w:rPr>
        <w:lastRenderedPageBreak/>
        <w:t>pojistná</w:t>
      </w:r>
      <w:r>
        <w:rPr>
          <w:color w:val="231F20"/>
          <w:spacing w:val="-1"/>
        </w:rPr>
        <w:t xml:space="preserve"> </w:t>
      </w:r>
      <w:r>
        <w:rPr>
          <w:color w:val="231F20"/>
        </w:rPr>
        <w:t>období,</w:t>
      </w:r>
    </w:p>
    <w:p w14:paraId="579093A6" w14:textId="77777777" w:rsidR="00F65BCA" w:rsidRDefault="00216117">
      <w:pPr>
        <w:pStyle w:val="Nadpis3"/>
        <w:numPr>
          <w:ilvl w:val="2"/>
          <w:numId w:val="11"/>
        </w:numPr>
        <w:tabs>
          <w:tab w:val="left" w:pos="1252"/>
        </w:tabs>
        <w:spacing w:before="37" w:line="276" w:lineRule="auto"/>
        <w:ind w:right="112" w:hanging="283"/>
        <w:jc w:val="both"/>
      </w:pPr>
      <w:r>
        <w:rPr>
          <w:color w:val="231F20"/>
        </w:rPr>
        <w:t>smluvní cenu (tj. pro část 1, 2 a 4 VZ ceny za jednotlivá pojistná období – pro část 2 a 4 VZ ve formě oceněné tabulky (</w:t>
      </w:r>
      <w:r>
        <w:rPr>
          <w:color w:val="231F20"/>
          <w:u w:val="single" w:color="231F20"/>
        </w:rPr>
        <w:t>příloha č. 2-2 resp. 2-4 této ZD</w:t>
      </w:r>
      <w:r>
        <w:rPr>
          <w:color w:val="231F20"/>
        </w:rPr>
        <w:t>), pro část 3 VZ jednotkové</w:t>
      </w:r>
      <w:r>
        <w:rPr>
          <w:color w:val="231F20"/>
          <w:spacing w:val="-2"/>
        </w:rPr>
        <w:t xml:space="preserve"> </w:t>
      </w:r>
      <w:r>
        <w:rPr>
          <w:color w:val="231F20"/>
        </w:rPr>
        <w:t>ceny),</w:t>
      </w:r>
    </w:p>
    <w:p w14:paraId="607D2BDB" w14:textId="77777777" w:rsidR="00F65BCA" w:rsidRDefault="00216117">
      <w:pPr>
        <w:pStyle w:val="Nadpis3"/>
        <w:numPr>
          <w:ilvl w:val="2"/>
          <w:numId w:val="11"/>
        </w:numPr>
        <w:tabs>
          <w:tab w:val="left" w:pos="1252"/>
        </w:tabs>
        <w:spacing w:before="1"/>
        <w:jc w:val="both"/>
      </w:pPr>
      <w:r>
        <w:rPr>
          <w:color w:val="231F20"/>
        </w:rPr>
        <w:t>platební podmínky v souladu s čl. 19 této</w:t>
      </w:r>
      <w:r>
        <w:rPr>
          <w:color w:val="231F20"/>
          <w:spacing w:val="-3"/>
        </w:rPr>
        <w:t xml:space="preserve"> </w:t>
      </w:r>
      <w:r>
        <w:rPr>
          <w:color w:val="231F20"/>
        </w:rPr>
        <w:t>ZD.</w:t>
      </w:r>
    </w:p>
    <w:p w14:paraId="3D08679F" w14:textId="77777777" w:rsidR="00F65BCA" w:rsidRDefault="00216117">
      <w:pPr>
        <w:pStyle w:val="Nadpis3"/>
        <w:numPr>
          <w:ilvl w:val="1"/>
          <w:numId w:val="11"/>
        </w:numPr>
        <w:tabs>
          <w:tab w:val="left" w:pos="686"/>
        </w:tabs>
        <w:spacing w:before="157" w:line="276" w:lineRule="auto"/>
        <w:ind w:right="112"/>
        <w:jc w:val="both"/>
      </w:pPr>
      <w:r>
        <w:rPr>
          <w:color w:val="231F20"/>
        </w:rPr>
        <w:t>Dodavatel</w:t>
      </w:r>
      <w:r>
        <w:rPr>
          <w:color w:val="231F20"/>
          <w:spacing w:val="-11"/>
        </w:rPr>
        <w:t xml:space="preserve"> </w:t>
      </w:r>
      <w:r>
        <w:rPr>
          <w:color w:val="231F20"/>
        </w:rPr>
        <w:t>je</w:t>
      </w:r>
      <w:r>
        <w:rPr>
          <w:color w:val="231F20"/>
          <w:spacing w:val="-11"/>
        </w:rPr>
        <w:t xml:space="preserve"> </w:t>
      </w:r>
      <w:r>
        <w:rPr>
          <w:color w:val="231F20"/>
        </w:rPr>
        <w:t>oprávněn</w:t>
      </w:r>
      <w:r>
        <w:rPr>
          <w:color w:val="231F20"/>
          <w:spacing w:val="-11"/>
        </w:rPr>
        <w:t xml:space="preserve"> </w:t>
      </w:r>
      <w:r>
        <w:rPr>
          <w:color w:val="231F20"/>
        </w:rPr>
        <w:t>doplnit</w:t>
      </w:r>
      <w:r>
        <w:rPr>
          <w:color w:val="231F20"/>
          <w:spacing w:val="-9"/>
        </w:rPr>
        <w:t xml:space="preserve"> </w:t>
      </w:r>
      <w:r>
        <w:rPr>
          <w:color w:val="231F20"/>
        </w:rPr>
        <w:t>návrh</w:t>
      </w:r>
      <w:r>
        <w:rPr>
          <w:color w:val="231F20"/>
          <w:spacing w:val="-12"/>
        </w:rPr>
        <w:t xml:space="preserve"> </w:t>
      </w:r>
      <w:r>
        <w:rPr>
          <w:color w:val="231F20"/>
        </w:rPr>
        <w:t>smlouvy</w:t>
      </w:r>
      <w:r>
        <w:rPr>
          <w:color w:val="231F20"/>
          <w:spacing w:val="-10"/>
        </w:rPr>
        <w:t xml:space="preserve"> </w:t>
      </w:r>
      <w:r>
        <w:rPr>
          <w:color w:val="231F20"/>
        </w:rPr>
        <w:t>o</w:t>
      </w:r>
      <w:r>
        <w:rPr>
          <w:color w:val="231F20"/>
          <w:spacing w:val="-11"/>
        </w:rPr>
        <w:t xml:space="preserve"> </w:t>
      </w:r>
      <w:r>
        <w:rPr>
          <w:color w:val="231F20"/>
        </w:rPr>
        <w:t>přílohy</w:t>
      </w:r>
      <w:r>
        <w:rPr>
          <w:color w:val="231F20"/>
          <w:spacing w:val="-10"/>
        </w:rPr>
        <w:t xml:space="preserve"> </w:t>
      </w:r>
      <w:r>
        <w:rPr>
          <w:color w:val="231F20"/>
        </w:rPr>
        <w:t>s</w:t>
      </w:r>
      <w:r>
        <w:rPr>
          <w:color w:val="231F20"/>
          <w:spacing w:val="-3"/>
        </w:rPr>
        <w:t xml:space="preserve"> </w:t>
      </w:r>
      <w:r>
        <w:rPr>
          <w:color w:val="231F20"/>
        </w:rPr>
        <w:t>tím,</w:t>
      </w:r>
      <w:r>
        <w:rPr>
          <w:color w:val="231F20"/>
          <w:spacing w:val="-12"/>
        </w:rPr>
        <w:t xml:space="preserve"> </w:t>
      </w:r>
      <w:r>
        <w:rPr>
          <w:color w:val="231F20"/>
        </w:rPr>
        <w:t>že</w:t>
      </w:r>
      <w:r>
        <w:rPr>
          <w:color w:val="231F20"/>
          <w:spacing w:val="-11"/>
        </w:rPr>
        <w:t xml:space="preserve"> </w:t>
      </w:r>
      <w:r>
        <w:rPr>
          <w:color w:val="231F20"/>
          <w:u w:val="single" w:color="231F20"/>
        </w:rPr>
        <w:t>povinnou</w:t>
      </w:r>
      <w:r>
        <w:rPr>
          <w:color w:val="231F20"/>
          <w:spacing w:val="-11"/>
          <w:u w:val="single" w:color="231F20"/>
        </w:rPr>
        <w:t xml:space="preserve"> </w:t>
      </w:r>
      <w:r>
        <w:rPr>
          <w:color w:val="231F20"/>
          <w:u w:val="single" w:color="231F20"/>
        </w:rPr>
        <w:t>přílohou</w:t>
      </w:r>
      <w:r>
        <w:rPr>
          <w:color w:val="231F20"/>
          <w:spacing w:val="-10"/>
          <w:u w:val="single" w:color="231F20"/>
        </w:rPr>
        <w:t xml:space="preserve"> </w:t>
      </w:r>
      <w:r>
        <w:rPr>
          <w:color w:val="231F20"/>
          <w:u w:val="single" w:color="231F20"/>
        </w:rPr>
        <w:t>návrhu smlouvy bude tato ZD a její relevantní přílohy, tj. zejm. oceněné přílohy č. 2-2 nebo 2-4</w:t>
      </w:r>
      <w:r>
        <w:rPr>
          <w:color w:val="231F20"/>
        </w:rPr>
        <w:t xml:space="preserve"> a přílohy ve kterých jsou popsány podmínky pro poskytování služeb, tj. přílohy č. 3 této ZD),</w:t>
      </w:r>
      <w:r>
        <w:rPr>
          <w:color w:val="231F20"/>
          <w:spacing w:val="-13"/>
        </w:rPr>
        <w:t xml:space="preserve"> </w:t>
      </w:r>
      <w:r>
        <w:rPr>
          <w:color w:val="231F20"/>
        </w:rPr>
        <w:t>a</w:t>
      </w:r>
      <w:r>
        <w:rPr>
          <w:color w:val="231F20"/>
          <w:spacing w:val="-12"/>
        </w:rPr>
        <w:t xml:space="preserve"> </w:t>
      </w:r>
      <w:r>
        <w:rPr>
          <w:color w:val="231F20"/>
        </w:rPr>
        <w:t>dále</w:t>
      </w:r>
      <w:r>
        <w:rPr>
          <w:color w:val="231F20"/>
          <w:spacing w:val="-12"/>
        </w:rPr>
        <w:t xml:space="preserve"> </w:t>
      </w:r>
      <w:r>
        <w:rPr>
          <w:color w:val="231F20"/>
        </w:rPr>
        <w:t>i</w:t>
      </w:r>
      <w:r>
        <w:rPr>
          <w:color w:val="231F20"/>
          <w:spacing w:val="-11"/>
        </w:rPr>
        <w:t xml:space="preserve"> </w:t>
      </w:r>
      <w:r>
        <w:rPr>
          <w:color w:val="231F20"/>
        </w:rPr>
        <w:t>všechna</w:t>
      </w:r>
      <w:r>
        <w:rPr>
          <w:color w:val="231F20"/>
          <w:spacing w:val="-11"/>
        </w:rPr>
        <w:t xml:space="preserve"> </w:t>
      </w:r>
      <w:r>
        <w:rPr>
          <w:color w:val="231F20"/>
        </w:rPr>
        <w:t>případně</w:t>
      </w:r>
      <w:r>
        <w:rPr>
          <w:color w:val="231F20"/>
          <w:spacing w:val="-12"/>
        </w:rPr>
        <w:t xml:space="preserve"> </w:t>
      </w:r>
      <w:r>
        <w:rPr>
          <w:color w:val="231F20"/>
        </w:rPr>
        <w:t>Zadavatelem</w:t>
      </w:r>
      <w:r>
        <w:rPr>
          <w:color w:val="231F20"/>
          <w:spacing w:val="-13"/>
        </w:rPr>
        <w:t xml:space="preserve"> </w:t>
      </w:r>
      <w:r>
        <w:rPr>
          <w:color w:val="231F20"/>
        </w:rPr>
        <w:t>v rámci</w:t>
      </w:r>
      <w:r>
        <w:rPr>
          <w:color w:val="231F20"/>
          <w:spacing w:val="-12"/>
        </w:rPr>
        <w:t xml:space="preserve"> </w:t>
      </w:r>
      <w:r>
        <w:rPr>
          <w:color w:val="231F20"/>
        </w:rPr>
        <w:t>tohoto</w:t>
      </w:r>
      <w:r>
        <w:rPr>
          <w:color w:val="231F20"/>
          <w:spacing w:val="-12"/>
        </w:rPr>
        <w:t xml:space="preserve"> </w:t>
      </w:r>
      <w:r>
        <w:rPr>
          <w:color w:val="231F20"/>
        </w:rPr>
        <w:t>zadávacího</w:t>
      </w:r>
      <w:r>
        <w:rPr>
          <w:color w:val="231F20"/>
          <w:spacing w:val="-12"/>
        </w:rPr>
        <w:t xml:space="preserve"> </w:t>
      </w:r>
      <w:r>
        <w:rPr>
          <w:color w:val="231F20"/>
        </w:rPr>
        <w:t>řízení</w:t>
      </w:r>
      <w:r>
        <w:rPr>
          <w:color w:val="231F20"/>
          <w:spacing w:val="-11"/>
        </w:rPr>
        <w:t xml:space="preserve"> </w:t>
      </w:r>
      <w:r>
        <w:rPr>
          <w:color w:val="231F20"/>
        </w:rPr>
        <w:t>uveřejněná vysvětlení ZD (ZD a všechna její vysvětlení nemusí být nutně součástí podané nabídky, resp. návrhu smlouvy, jež bude součástí nabídky, nicméně dodavatel podáním nabídky bez výhrad akceptuje, že ZD a její relevantní přílohy budou součástí finálního znění smlouvy, která bude uzavřena s vybraným dodavatelem v souladu s čl. 20 této</w:t>
      </w:r>
      <w:r>
        <w:rPr>
          <w:color w:val="231F20"/>
          <w:spacing w:val="-21"/>
        </w:rPr>
        <w:t xml:space="preserve"> </w:t>
      </w:r>
      <w:r>
        <w:rPr>
          <w:color w:val="231F20"/>
        </w:rPr>
        <w:t>ZD).</w:t>
      </w:r>
    </w:p>
    <w:p w14:paraId="067C0A4B" w14:textId="77777777" w:rsidR="00F65BCA" w:rsidRDefault="00216117">
      <w:pPr>
        <w:pStyle w:val="Nadpis3"/>
        <w:numPr>
          <w:ilvl w:val="1"/>
          <w:numId w:val="11"/>
        </w:numPr>
        <w:tabs>
          <w:tab w:val="left" w:pos="686"/>
        </w:tabs>
        <w:spacing w:line="276" w:lineRule="auto"/>
        <w:ind w:right="115"/>
        <w:jc w:val="both"/>
      </w:pPr>
      <w:r>
        <w:rPr>
          <w:color w:val="231F20"/>
        </w:rPr>
        <w:t>Dodavatel  je oprávněn využít při plnění veřejné zakázky pouze těch poddodavatelů       a pouze v rozsahu, který uvedl v jím předložené nabídce. Plnění pomocí jiných poddodavatelů či plnění nad rámec činností uvedených v nabídce je podmíněno předchozím písemným souhlasem Zadavatele.</w:t>
      </w:r>
    </w:p>
    <w:p w14:paraId="5FA39651" w14:textId="77777777" w:rsidR="00F65BCA" w:rsidRDefault="00216117">
      <w:pPr>
        <w:pStyle w:val="Nadpis3"/>
        <w:numPr>
          <w:ilvl w:val="1"/>
          <w:numId w:val="11"/>
        </w:numPr>
        <w:tabs>
          <w:tab w:val="left" w:pos="686"/>
        </w:tabs>
        <w:spacing w:before="118" w:line="276" w:lineRule="auto"/>
        <w:ind w:right="119"/>
        <w:jc w:val="both"/>
      </w:pPr>
      <w:r>
        <w:rPr>
          <w:color w:val="231F20"/>
        </w:rPr>
        <w:t>Smluvní cena sjednaná v pojistné smlouvě je stanovena jako nejvýše přípustná a nesmí být v průběhu jejího plnění zvýšena jinak něž písemnou dohodou smluvních</w:t>
      </w:r>
      <w:r>
        <w:rPr>
          <w:color w:val="231F20"/>
          <w:spacing w:val="-19"/>
        </w:rPr>
        <w:t xml:space="preserve"> </w:t>
      </w:r>
      <w:r>
        <w:rPr>
          <w:color w:val="231F20"/>
        </w:rPr>
        <w:t>stran.</w:t>
      </w:r>
    </w:p>
    <w:p w14:paraId="21CA8EAC" w14:textId="77777777" w:rsidR="00F65BCA" w:rsidRDefault="00216117">
      <w:pPr>
        <w:pStyle w:val="Nadpis3"/>
        <w:numPr>
          <w:ilvl w:val="1"/>
          <w:numId w:val="11"/>
        </w:numPr>
        <w:tabs>
          <w:tab w:val="left" w:pos="827"/>
        </w:tabs>
        <w:spacing w:line="276" w:lineRule="auto"/>
        <w:ind w:left="826" w:right="112" w:hanging="710"/>
        <w:jc w:val="both"/>
      </w:pPr>
      <w:r>
        <w:rPr>
          <w:color w:val="231F20"/>
        </w:rPr>
        <w:t>Pojistné</w:t>
      </w:r>
      <w:r>
        <w:rPr>
          <w:color w:val="231F20"/>
          <w:spacing w:val="-8"/>
        </w:rPr>
        <w:t xml:space="preserve"> </w:t>
      </w:r>
      <w:r>
        <w:rPr>
          <w:color w:val="231F20"/>
        </w:rPr>
        <w:t>smlouvy</w:t>
      </w:r>
      <w:r>
        <w:rPr>
          <w:color w:val="231F20"/>
          <w:spacing w:val="-7"/>
        </w:rPr>
        <w:t xml:space="preserve"> </w:t>
      </w:r>
      <w:r>
        <w:rPr>
          <w:color w:val="231F20"/>
        </w:rPr>
        <w:t>se</w:t>
      </w:r>
      <w:r>
        <w:rPr>
          <w:color w:val="231F20"/>
          <w:spacing w:val="-7"/>
        </w:rPr>
        <w:t xml:space="preserve"> </w:t>
      </w:r>
      <w:r>
        <w:rPr>
          <w:color w:val="231F20"/>
        </w:rPr>
        <w:t>uzavírají</w:t>
      </w:r>
      <w:r>
        <w:rPr>
          <w:color w:val="231F20"/>
          <w:spacing w:val="-6"/>
        </w:rPr>
        <w:t xml:space="preserve"> </w:t>
      </w:r>
      <w:r>
        <w:rPr>
          <w:color w:val="231F20"/>
        </w:rPr>
        <w:t>na</w:t>
      </w:r>
      <w:r>
        <w:rPr>
          <w:color w:val="231F20"/>
          <w:spacing w:val="-7"/>
        </w:rPr>
        <w:t xml:space="preserve"> </w:t>
      </w:r>
      <w:r>
        <w:rPr>
          <w:color w:val="231F20"/>
        </w:rPr>
        <w:t>dobu</w:t>
      </w:r>
      <w:r>
        <w:rPr>
          <w:color w:val="231F20"/>
          <w:spacing w:val="-7"/>
        </w:rPr>
        <w:t xml:space="preserve"> </w:t>
      </w:r>
      <w:r>
        <w:rPr>
          <w:color w:val="231F20"/>
        </w:rPr>
        <w:t>3</w:t>
      </w:r>
      <w:r>
        <w:rPr>
          <w:color w:val="231F20"/>
          <w:spacing w:val="-7"/>
        </w:rPr>
        <w:t xml:space="preserve"> </w:t>
      </w:r>
      <w:r>
        <w:rPr>
          <w:color w:val="231F20"/>
        </w:rPr>
        <w:t>(tří)</w:t>
      </w:r>
      <w:r>
        <w:rPr>
          <w:color w:val="231F20"/>
          <w:spacing w:val="-8"/>
        </w:rPr>
        <w:t xml:space="preserve"> </w:t>
      </w:r>
      <w:r>
        <w:rPr>
          <w:color w:val="231F20"/>
        </w:rPr>
        <w:t>let,</w:t>
      </w:r>
      <w:r>
        <w:rPr>
          <w:color w:val="231F20"/>
          <w:spacing w:val="-9"/>
        </w:rPr>
        <w:t xml:space="preserve"> </w:t>
      </w:r>
      <w:r>
        <w:rPr>
          <w:color w:val="231F20"/>
        </w:rPr>
        <w:t>přičemž</w:t>
      </w:r>
      <w:r>
        <w:rPr>
          <w:color w:val="231F20"/>
          <w:spacing w:val="-7"/>
        </w:rPr>
        <w:t xml:space="preserve"> </w:t>
      </w:r>
      <w:r>
        <w:rPr>
          <w:color w:val="231F20"/>
        </w:rPr>
        <w:t>pojistné</w:t>
      </w:r>
      <w:r>
        <w:rPr>
          <w:color w:val="231F20"/>
          <w:spacing w:val="-6"/>
        </w:rPr>
        <w:t xml:space="preserve"> </w:t>
      </w:r>
      <w:r>
        <w:rPr>
          <w:color w:val="231F20"/>
        </w:rPr>
        <w:t>období</w:t>
      </w:r>
      <w:r>
        <w:rPr>
          <w:color w:val="231F20"/>
          <w:spacing w:val="-8"/>
        </w:rPr>
        <w:t xml:space="preserve"> </w:t>
      </w:r>
      <w:r>
        <w:rPr>
          <w:color w:val="231F20"/>
        </w:rPr>
        <w:t>se</w:t>
      </w:r>
      <w:r>
        <w:rPr>
          <w:color w:val="231F20"/>
          <w:spacing w:val="-3"/>
        </w:rPr>
        <w:t xml:space="preserve"> </w:t>
      </w:r>
      <w:r>
        <w:rPr>
          <w:color w:val="231F20"/>
        </w:rPr>
        <w:t>sjednává</w:t>
      </w:r>
      <w:r>
        <w:rPr>
          <w:color w:val="231F20"/>
          <w:spacing w:val="-9"/>
        </w:rPr>
        <w:t xml:space="preserve"> </w:t>
      </w:r>
      <w:r>
        <w:rPr>
          <w:color w:val="231F20"/>
        </w:rPr>
        <w:t>na dobu 1 (jednoho) kalendářního roku. Ze strany dodavatele je možné pojistnou smlouvu vypovědět</w:t>
      </w:r>
      <w:r>
        <w:rPr>
          <w:color w:val="231F20"/>
          <w:spacing w:val="-4"/>
        </w:rPr>
        <w:t xml:space="preserve"> </w:t>
      </w:r>
      <w:r>
        <w:rPr>
          <w:color w:val="231F20"/>
        </w:rPr>
        <w:t>pouze</w:t>
      </w:r>
      <w:r>
        <w:rPr>
          <w:color w:val="231F20"/>
          <w:spacing w:val="-4"/>
        </w:rPr>
        <w:t xml:space="preserve"> </w:t>
      </w:r>
      <w:r>
        <w:rPr>
          <w:color w:val="231F20"/>
        </w:rPr>
        <w:t>ke</w:t>
      </w:r>
      <w:r>
        <w:rPr>
          <w:color w:val="231F20"/>
          <w:spacing w:val="-5"/>
        </w:rPr>
        <w:t xml:space="preserve"> </w:t>
      </w:r>
      <w:r>
        <w:rPr>
          <w:color w:val="231F20"/>
        </w:rPr>
        <w:t>konci</w:t>
      </w:r>
      <w:r>
        <w:rPr>
          <w:color w:val="231F20"/>
          <w:spacing w:val="-4"/>
        </w:rPr>
        <w:t xml:space="preserve"> </w:t>
      </w:r>
      <w:r>
        <w:rPr>
          <w:color w:val="231F20"/>
        </w:rPr>
        <w:t>každého</w:t>
      </w:r>
      <w:r>
        <w:rPr>
          <w:color w:val="231F20"/>
          <w:spacing w:val="-5"/>
        </w:rPr>
        <w:t xml:space="preserve"> </w:t>
      </w:r>
      <w:r>
        <w:rPr>
          <w:color w:val="231F20"/>
        </w:rPr>
        <w:t>ročního pojistného</w:t>
      </w:r>
      <w:r>
        <w:rPr>
          <w:color w:val="231F20"/>
          <w:spacing w:val="-4"/>
        </w:rPr>
        <w:t xml:space="preserve"> </w:t>
      </w:r>
      <w:r>
        <w:rPr>
          <w:color w:val="231F20"/>
        </w:rPr>
        <w:t>období,</w:t>
      </w:r>
      <w:r>
        <w:rPr>
          <w:color w:val="231F20"/>
          <w:spacing w:val="-4"/>
        </w:rPr>
        <w:t xml:space="preserve"> </w:t>
      </w:r>
      <w:r>
        <w:rPr>
          <w:color w:val="231F20"/>
        </w:rPr>
        <w:t>tedy</w:t>
      </w:r>
      <w:r>
        <w:rPr>
          <w:color w:val="231F20"/>
          <w:spacing w:val="-4"/>
        </w:rPr>
        <w:t xml:space="preserve"> </w:t>
      </w:r>
      <w:r>
        <w:rPr>
          <w:color w:val="231F20"/>
        </w:rPr>
        <w:t>vždy</w:t>
      </w:r>
      <w:r>
        <w:rPr>
          <w:color w:val="231F20"/>
          <w:spacing w:val="-4"/>
        </w:rPr>
        <w:t xml:space="preserve"> </w:t>
      </w:r>
      <w:r>
        <w:rPr>
          <w:color w:val="231F20"/>
        </w:rPr>
        <w:t>až</w:t>
      </w:r>
      <w:r>
        <w:rPr>
          <w:color w:val="231F20"/>
          <w:spacing w:val="-4"/>
        </w:rPr>
        <w:t xml:space="preserve"> </w:t>
      </w:r>
      <w:r>
        <w:rPr>
          <w:color w:val="231F20"/>
        </w:rPr>
        <w:t>po</w:t>
      </w:r>
      <w:r>
        <w:rPr>
          <w:color w:val="231F20"/>
          <w:spacing w:val="-4"/>
        </w:rPr>
        <w:t xml:space="preserve"> </w:t>
      </w:r>
      <w:r>
        <w:rPr>
          <w:color w:val="231F20"/>
        </w:rPr>
        <w:t>uplynutí 12</w:t>
      </w:r>
      <w:r>
        <w:rPr>
          <w:color w:val="231F20"/>
          <w:spacing w:val="-12"/>
        </w:rPr>
        <w:t xml:space="preserve"> </w:t>
      </w:r>
      <w:r>
        <w:rPr>
          <w:color w:val="231F20"/>
        </w:rPr>
        <w:t>(dvanácti)</w:t>
      </w:r>
      <w:r>
        <w:rPr>
          <w:color w:val="231F20"/>
          <w:spacing w:val="-13"/>
        </w:rPr>
        <w:t xml:space="preserve"> </w:t>
      </w:r>
      <w:r>
        <w:rPr>
          <w:color w:val="231F20"/>
        </w:rPr>
        <w:t>měsíců.</w:t>
      </w:r>
      <w:r>
        <w:rPr>
          <w:color w:val="231F20"/>
          <w:spacing w:val="-12"/>
        </w:rPr>
        <w:t xml:space="preserve"> </w:t>
      </w:r>
      <w:r>
        <w:rPr>
          <w:color w:val="231F20"/>
        </w:rPr>
        <w:t>Výpověď</w:t>
      </w:r>
      <w:r>
        <w:rPr>
          <w:color w:val="231F20"/>
          <w:spacing w:val="-12"/>
        </w:rPr>
        <w:t xml:space="preserve"> </w:t>
      </w:r>
      <w:r>
        <w:rPr>
          <w:color w:val="231F20"/>
        </w:rPr>
        <w:t>musí</w:t>
      </w:r>
      <w:r>
        <w:rPr>
          <w:color w:val="231F20"/>
          <w:spacing w:val="-12"/>
        </w:rPr>
        <w:t xml:space="preserve"> </w:t>
      </w:r>
      <w:r>
        <w:rPr>
          <w:color w:val="231F20"/>
        </w:rPr>
        <w:t>být</w:t>
      </w:r>
      <w:r>
        <w:rPr>
          <w:color w:val="231F20"/>
          <w:spacing w:val="-12"/>
        </w:rPr>
        <w:t xml:space="preserve"> </w:t>
      </w:r>
      <w:r>
        <w:rPr>
          <w:color w:val="231F20"/>
        </w:rPr>
        <w:t>doručena</w:t>
      </w:r>
      <w:r>
        <w:rPr>
          <w:color w:val="231F20"/>
          <w:spacing w:val="-13"/>
        </w:rPr>
        <w:t xml:space="preserve"> </w:t>
      </w:r>
      <w:r>
        <w:rPr>
          <w:color w:val="231F20"/>
        </w:rPr>
        <w:t>Zadavateli</w:t>
      </w:r>
      <w:r>
        <w:rPr>
          <w:color w:val="231F20"/>
          <w:spacing w:val="-13"/>
        </w:rPr>
        <w:t xml:space="preserve"> </w:t>
      </w:r>
      <w:r>
        <w:rPr>
          <w:color w:val="231F20"/>
        </w:rPr>
        <w:t>nejpozději</w:t>
      </w:r>
      <w:r>
        <w:rPr>
          <w:color w:val="231F20"/>
          <w:spacing w:val="-12"/>
        </w:rPr>
        <w:t xml:space="preserve"> </w:t>
      </w:r>
      <w:r>
        <w:rPr>
          <w:color w:val="231F20"/>
        </w:rPr>
        <w:t>6</w:t>
      </w:r>
      <w:r>
        <w:rPr>
          <w:color w:val="231F20"/>
          <w:spacing w:val="-13"/>
        </w:rPr>
        <w:t xml:space="preserve"> </w:t>
      </w:r>
      <w:r>
        <w:rPr>
          <w:color w:val="231F20"/>
        </w:rPr>
        <w:t>(šest)</w:t>
      </w:r>
      <w:r>
        <w:rPr>
          <w:color w:val="231F20"/>
          <w:spacing w:val="-13"/>
        </w:rPr>
        <w:t xml:space="preserve"> </w:t>
      </w:r>
      <w:r>
        <w:rPr>
          <w:color w:val="231F20"/>
        </w:rPr>
        <w:t>měsíců přede dnem, ve kterém uplyne pojistné období. Zadavatel má právo pojistnou smlouvu vypovědět</w:t>
      </w:r>
      <w:r>
        <w:rPr>
          <w:color w:val="231F20"/>
          <w:spacing w:val="-10"/>
        </w:rPr>
        <w:t xml:space="preserve"> </w:t>
      </w:r>
      <w:r>
        <w:rPr>
          <w:color w:val="231F20"/>
        </w:rPr>
        <w:t>kdykoliv,</w:t>
      </w:r>
      <w:r>
        <w:rPr>
          <w:color w:val="231F20"/>
          <w:spacing w:val="-9"/>
        </w:rPr>
        <w:t xml:space="preserve"> </w:t>
      </w:r>
      <w:r>
        <w:rPr>
          <w:color w:val="231F20"/>
        </w:rPr>
        <w:t>pokud</w:t>
      </w:r>
      <w:r>
        <w:rPr>
          <w:color w:val="231F20"/>
          <w:spacing w:val="-8"/>
        </w:rPr>
        <w:t xml:space="preserve"> </w:t>
      </w:r>
      <w:r>
        <w:rPr>
          <w:color w:val="231F20"/>
        </w:rPr>
        <w:t>k</w:t>
      </w:r>
      <w:r>
        <w:rPr>
          <w:color w:val="231F20"/>
          <w:spacing w:val="-8"/>
        </w:rPr>
        <w:t xml:space="preserve"> </w:t>
      </w:r>
      <w:r>
        <w:rPr>
          <w:color w:val="231F20"/>
        </w:rPr>
        <w:t>její</w:t>
      </w:r>
      <w:r>
        <w:rPr>
          <w:color w:val="231F20"/>
          <w:spacing w:val="-8"/>
        </w:rPr>
        <w:t xml:space="preserve"> </w:t>
      </w:r>
      <w:r>
        <w:rPr>
          <w:color w:val="231F20"/>
        </w:rPr>
        <w:t>výpovědi</w:t>
      </w:r>
      <w:r>
        <w:rPr>
          <w:color w:val="231F20"/>
          <w:spacing w:val="-8"/>
        </w:rPr>
        <w:t xml:space="preserve"> </w:t>
      </w:r>
      <w:r>
        <w:rPr>
          <w:color w:val="231F20"/>
        </w:rPr>
        <w:t>budou</w:t>
      </w:r>
      <w:r>
        <w:rPr>
          <w:color w:val="231F20"/>
          <w:spacing w:val="-10"/>
        </w:rPr>
        <w:t xml:space="preserve"> </w:t>
      </w:r>
      <w:r>
        <w:rPr>
          <w:color w:val="231F20"/>
        </w:rPr>
        <w:t>dány</w:t>
      </w:r>
      <w:r>
        <w:rPr>
          <w:color w:val="231F20"/>
          <w:spacing w:val="-8"/>
        </w:rPr>
        <w:t xml:space="preserve"> </w:t>
      </w:r>
      <w:r>
        <w:rPr>
          <w:color w:val="231F20"/>
        </w:rPr>
        <w:t>zákonné</w:t>
      </w:r>
      <w:r>
        <w:rPr>
          <w:color w:val="231F20"/>
          <w:spacing w:val="-8"/>
        </w:rPr>
        <w:t xml:space="preserve"> </w:t>
      </w:r>
      <w:r>
        <w:rPr>
          <w:color w:val="231F20"/>
        </w:rPr>
        <w:t>nebo</w:t>
      </w:r>
      <w:r>
        <w:rPr>
          <w:color w:val="231F20"/>
          <w:spacing w:val="-9"/>
        </w:rPr>
        <w:t xml:space="preserve"> </w:t>
      </w:r>
      <w:r>
        <w:rPr>
          <w:color w:val="231F20"/>
        </w:rPr>
        <w:t>smluvní</w:t>
      </w:r>
      <w:r>
        <w:rPr>
          <w:color w:val="231F20"/>
          <w:spacing w:val="-9"/>
        </w:rPr>
        <w:t xml:space="preserve"> </w:t>
      </w:r>
      <w:r>
        <w:rPr>
          <w:color w:val="231F20"/>
        </w:rPr>
        <w:t>výpovědní důvody.</w:t>
      </w:r>
      <w:r>
        <w:rPr>
          <w:color w:val="231F20"/>
          <w:spacing w:val="-5"/>
        </w:rPr>
        <w:t xml:space="preserve"> </w:t>
      </w:r>
      <w:r>
        <w:rPr>
          <w:color w:val="231F20"/>
        </w:rPr>
        <w:t>Smluvními</w:t>
      </w:r>
      <w:r>
        <w:rPr>
          <w:color w:val="231F20"/>
          <w:spacing w:val="-5"/>
        </w:rPr>
        <w:t xml:space="preserve"> </w:t>
      </w:r>
      <w:r>
        <w:rPr>
          <w:color w:val="231F20"/>
        </w:rPr>
        <w:t>výpovědními</w:t>
      </w:r>
      <w:r>
        <w:rPr>
          <w:color w:val="231F20"/>
          <w:spacing w:val="-5"/>
        </w:rPr>
        <w:t xml:space="preserve"> </w:t>
      </w:r>
      <w:r>
        <w:rPr>
          <w:color w:val="231F20"/>
        </w:rPr>
        <w:t>důvody,</w:t>
      </w:r>
      <w:r>
        <w:rPr>
          <w:color w:val="231F20"/>
          <w:spacing w:val="-5"/>
        </w:rPr>
        <w:t xml:space="preserve"> </w:t>
      </w:r>
      <w:r>
        <w:rPr>
          <w:color w:val="231F20"/>
        </w:rPr>
        <w:t>pro</w:t>
      </w:r>
      <w:r>
        <w:rPr>
          <w:color w:val="231F20"/>
          <w:spacing w:val="-5"/>
        </w:rPr>
        <w:t xml:space="preserve"> </w:t>
      </w:r>
      <w:r>
        <w:rPr>
          <w:color w:val="231F20"/>
        </w:rPr>
        <w:t>které</w:t>
      </w:r>
      <w:r>
        <w:rPr>
          <w:color w:val="231F20"/>
          <w:spacing w:val="-5"/>
        </w:rPr>
        <w:t xml:space="preserve"> </w:t>
      </w:r>
      <w:r>
        <w:rPr>
          <w:color w:val="231F20"/>
        </w:rPr>
        <w:t>může</w:t>
      </w:r>
      <w:r>
        <w:rPr>
          <w:color w:val="231F20"/>
          <w:spacing w:val="-5"/>
        </w:rPr>
        <w:t xml:space="preserve"> </w:t>
      </w:r>
      <w:r>
        <w:rPr>
          <w:color w:val="231F20"/>
        </w:rPr>
        <w:t>být</w:t>
      </w:r>
      <w:r>
        <w:rPr>
          <w:color w:val="231F20"/>
          <w:spacing w:val="-5"/>
        </w:rPr>
        <w:t xml:space="preserve"> </w:t>
      </w:r>
      <w:r>
        <w:rPr>
          <w:color w:val="231F20"/>
        </w:rPr>
        <w:t>smlouva</w:t>
      </w:r>
      <w:r>
        <w:rPr>
          <w:color w:val="231F20"/>
          <w:spacing w:val="-5"/>
        </w:rPr>
        <w:t xml:space="preserve"> </w:t>
      </w:r>
      <w:r>
        <w:rPr>
          <w:color w:val="231F20"/>
        </w:rPr>
        <w:t>vypovězena,</w:t>
      </w:r>
      <w:r>
        <w:rPr>
          <w:color w:val="231F20"/>
          <w:spacing w:val="-5"/>
        </w:rPr>
        <w:t xml:space="preserve"> </w:t>
      </w:r>
      <w:r>
        <w:rPr>
          <w:color w:val="231F20"/>
        </w:rPr>
        <w:t>jsou zejména opakovaná porušení smlouvy a smluvních podmínek ze strany dodavatele. Výpovědní</w:t>
      </w:r>
      <w:r>
        <w:rPr>
          <w:color w:val="231F20"/>
          <w:spacing w:val="-8"/>
        </w:rPr>
        <w:t xml:space="preserve"> </w:t>
      </w:r>
      <w:r>
        <w:rPr>
          <w:color w:val="231F20"/>
        </w:rPr>
        <w:t>lhůta</w:t>
      </w:r>
      <w:r>
        <w:rPr>
          <w:color w:val="231F20"/>
          <w:spacing w:val="-8"/>
        </w:rPr>
        <w:t xml:space="preserve"> </w:t>
      </w:r>
      <w:r>
        <w:rPr>
          <w:color w:val="231F20"/>
        </w:rPr>
        <w:t>(v</w:t>
      </w:r>
      <w:r>
        <w:rPr>
          <w:color w:val="231F20"/>
          <w:spacing w:val="-8"/>
        </w:rPr>
        <w:t xml:space="preserve"> </w:t>
      </w:r>
      <w:r>
        <w:rPr>
          <w:color w:val="231F20"/>
        </w:rPr>
        <w:t>případě</w:t>
      </w:r>
      <w:r>
        <w:rPr>
          <w:color w:val="231F20"/>
          <w:spacing w:val="-7"/>
        </w:rPr>
        <w:t xml:space="preserve"> </w:t>
      </w:r>
      <w:r>
        <w:rPr>
          <w:color w:val="231F20"/>
        </w:rPr>
        <w:t>výpovědi</w:t>
      </w:r>
      <w:r>
        <w:rPr>
          <w:color w:val="231F20"/>
          <w:spacing w:val="-8"/>
        </w:rPr>
        <w:t xml:space="preserve"> </w:t>
      </w:r>
      <w:r>
        <w:rPr>
          <w:color w:val="231F20"/>
        </w:rPr>
        <w:t>ze</w:t>
      </w:r>
      <w:r>
        <w:rPr>
          <w:color w:val="231F20"/>
          <w:spacing w:val="-7"/>
        </w:rPr>
        <w:t xml:space="preserve"> </w:t>
      </w:r>
      <w:r>
        <w:rPr>
          <w:color w:val="231F20"/>
        </w:rPr>
        <w:t>strany</w:t>
      </w:r>
      <w:r>
        <w:rPr>
          <w:color w:val="231F20"/>
          <w:spacing w:val="-8"/>
        </w:rPr>
        <w:t xml:space="preserve"> </w:t>
      </w:r>
      <w:r>
        <w:rPr>
          <w:color w:val="231F20"/>
        </w:rPr>
        <w:t>Zadavatele)</w:t>
      </w:r>
      <w:r>
        <w:rPr>
          <w:color w:val="231F20"/>
          <w:spacing w:val="-8"/>
        </w:rPr>
        <w:t xml:space="preserve"> </w:t>
      </w:r>
      <w:r>
        <w:rPr>
          <w:color w:val="231F20"/>
        </w:rPr>
        <w:t>činí</w:t>
      </w:r>
      <w:r>
        <w:rPr>
          <w:color w:val="231F20"/>
          <w:spacing w:val="-7"/>
        </w:rPr>
        <w:t xml:space="preserve"> </w:t>
      </w:r>
      <w:r>
        <w:rPr>
          <w:color w:val="231F20"/>
        </w:rPr>
        <w:t>minimálně</w:t>
      </w:r>
      <w:r>
        <w:rPr>
          <w:color w:val="231F20"/>
          <w:spacing w:val="-6"/>
        </w:rPr>
        <w:t xml:space="preserve"> </w:t>
      </w:r>
      <w:r>
        <w:rPr>
          <w:color w:val="231F20"/>
        </w:rPr>
        <w:t>3</w:t>
      </w:r>
      <w:r>
        <w:rPr>
          <w:color w:val="231F20"/>
          <w:spacing w:val="-8"/>
        </w:rPr>
        <w:t xml:space="preserve"> </w:t>
      </w:r>
      <w:r>
        <w:rPr>
          <w:color w:val="231F20"/>
        </w:rPr>
        <w:t>(tři)</w:t>
      </w:r>
      <w:r>
        <w:rPr>
          <w:color w:val="231F20"/>
          <w:spacing w:val="-8"/>
        </w:rPr>
        <w:t xml:space="preserve"> </w:t>
      </w:r>
      <w:r>
        <w:rPr>
          <w:color w:val="231F20"/>
        </w:rPr>
        <w:t>měsíce a začíná běžet první den následujícího kalendářního měsíce po doručení výpovědi dodavateli.</w:t>
      </w:r>
      <w:r>
        <w:rPr>
          <w:color w:val="231F20"/>
          <w:spacing w:val="44"/>
        </w:rPr>
        <w:t xml:space="preserve"> </w:t>
      </w:r>
      <w:r>
        <w:rPr>
          <w:color w:val="231F20"/>
        </w:rPr>
        <w:t>Obě</w:t>
      </w:r>
      <w:r>
        <w:rPr>
          <w:color w:val="231F20"/>
          <w:spacing w:val="46"/>
        </w:rPr>
        <w:t xml:space="preserve"> </w:t>
      </w:r>
      <w:r>
        <w:rPr>
          <w:color w:val="231F20"/>
        </w:rPr>
        <w:t>smluvní</w:t>
      </w:r>
      <w:r>
        <w:rPr>
          <w:color w:val="231F20"/>
          <w:spacing w:val="45"/>
        </w:rPr>
        <w:t xml:space="preserve"> </w:t>
      </w:r>
      <w:r>
        <w:rPr>
          <w:color w:val="231F20"/>
        </w:rPr>
        <w:t>strany</w:t>
      </w:r>
      <w:r>
        <w:rPr>
          <w:color w:val="231F20"/>
          <w:spacing w:val="46"/>
        </w:rPr>
        <w:t xml:space="preserve"> </w:t>
      </w:r>
      <w:r>
        <w:rPr>
          <w:color w:val="231F20"/>
        </w:rPr>
        <w:t>vylučují</w:t>
      </w:r>
      <w:r>
        <w:rPr>
          <w:color w:val="231F20"/>
          <w:spacing w:val="45"/>
        </w:rPr>
        <w:t xml:space="preserve"> </w:t>
      </w:r>
      <w:r>
        <w:rPr>
          <w:color w:val="231F20"/>
        </w:rPr>
        <w:t>aplikaci</w:t>
      </w:r>
      <w:r>
        <w:rPr>
          <w:color w:val="231F20"/>
          <w:spacing w:val="46"/>
        </w:rPr>
        <w:t xml:space="preserve"> </w:t>
      </w:r>
      <w:r>
        <w:rPr>
          <w:color w:val="231F20"/>
        </w:rPr>
        <w:t>výpovědi</w:t>
      </w:r>
      <w:r>
        <w:rPr>
          <w:color w:val="231F20"/>
          <w:spacing w:val="45"/>
        </w:rPr>
        <w:t xml:space="preserve"> </w:t>
      </w:r>
      <w:r>
        <w:rPr>
          <w:color w:val="231F20"/>
        </w:rPr>
        <w:t>pojistné</w:t>
      </w:r>
      <w:r>
        <w:rPr>
          <w:color w:val="231F20"/>
          <w:spacing w:val="46"/>
        </w:rPr>
        <w:t xml:space="preserve"> </w:t>
      </w:r>
      <w:r>
        <w:rPr>
          <w:color w:val="231F20"/>
        </w:rPr>
        <w:t>smlouvy</w:t>
      </w:r>
      <w:r>
        <w:rPr>
          <w:color w:val="231F20"/>
          <w:spacing w:val="46"/>
        </w:rPr>
        <w:t xml:space="preserve"> </w:t>
      </w:r>
      <w:r>
        <w:rPr>
          <w:color w:val="231F20"/>
        </w:rPr>
        <w:t>dle</w:t>
      </w:r>
      <w:r>
        <w:rPr>
          <w:color w:val="231F20"/>
          <w:spacing w:val="44"/>
        </w:rPr>
        <w:t xml:space="preserve"> </w:t>
      </w:r>
      <w:r>
        <w:rPr>
          <w:color w:val="231F20"/>
        </w:rPr>
        <w:t>ust.</w:t>
      </w:r>
    </w:p>
    <w:p w14:paraId="72D02FE0" w14:textId="77777777" w:rsidR="00F65BCA" w:rsidRDefault="00216117">
      <w:pPr>
        <w:pStyle w:val="Nadpis3"/>
        <w:spacing w:before="0" w:line="276" w:lineRule="auto"/>
        <w:ind w:left="826" w:right="115"/>
      </w:pPr>
      <w:r>
        <w:rPr>
          <w:color w:val="231F20"/>
        </w:rPr>
        <w:t>§</w:t>
      </w:r>
      <w:r>
        <w:rPr>
          <w:color w:val="231F20"/>
          <w:spacing w:val="-5"/>
        </w:rPr>
        <w:t xml:space="preserve"> </w:t>
      </w:r>
      <w:r>
        <w:rPr>
          <w:color w:val="231F20"/>
        </w:rPr>
        <w:t>2805</w:t>
      </w:r>
      <w:r>
        <w:rPr>
          <w:color w:val="231F20"/>
          <w:spacing w:val="-13"/>
        </w:rPr>
        <w:t xml:space="preserve"> </w:t>
      </w:r>
      <w:r>
        <w:rPr>
          <w:color w:val="231F20"/>
        </w:rPr>
        <w:t>zákona</w:t>
      </w:r>
      <w:r>
        <w:rPr>
          <w:color w:val="231F20"/>
          <w:spacing w:val="-14"/>
        </w:rPr>
        <w:t xml:space="preserve"> </w:t>
      </w:r>
      <w:r>
        <w:rPr>
          <w:color w:val="231F20"/>
        </w:rPr>
        <w:t>č.</w:t>
      </w:r>
      <w:r>
        <w:rPr>
          <w:color w:val="231F20"/>
          <w:spacing w:val="-12"/>
        </w:rPr>
        <w:t xml:space="preserve"> </w:t>
      </w:r>
      <w:r>
        <w:rPr>
          <w:color w:val="231F20"/>
        </w:rPr>
        <w:t>89/2012</w:t>
      </w:r>
      <w:r>
        <w:rPr>
          <w:color w:val="231F20"/>
          <w:spacing w:val="-14"/>
        </w:rPr>
        <w:t xml:space="preserve"> </w:t>
      </w:r>
      <w:r>
        <w:rPr>
          <w:color w:val="231F20"/>
        </w:rPr>
        <w:t>Sb.,</w:t>
      </w:r>
      <w:r>
        <w:rPr>
          <w:color w:val="231F20"/>
          <w:spacing w:val="-12"/>
        </w:rPr>
        <w:t xml:space="preserve"> </w:t>
      </w:r>
      <w:r>
        <w:rPr>
          <w:color w:val="231F20"/>
        </w:rPr>
        <w:t>občanský</w:t>
      </w:r>
      <w:r>
        <w:rPr>
          <w:color w:val="231F20"/>
          <w:spacing w:val="-14"/>
        </w:rPr>
        <w:t xml:space="preserve"> </w:t>
      </w:r>
      <w:r>
        <w:rPr>
          <w:color w:val="231F20"/>
        </w:rPr>
        <w:t>zákoník.</w:t>
      </w:r>
      <w:r>
        <w:rPr>
          <w:color w:val="231F20"/>
          <w:spacing w:val="-14"/>
        </w:rPr>
        <w:t xml:space="preserve"> </w:t>
      </w:r>
      <w:r>
        <w:rPr>
          <w:color w:val="231F20"/>
        </w:rPr>
        <w:t>Zadavatel</w:t>
      </w:r>
      <w:r>
        <w:rPr>
          <w:color w:val="231F20"/>
          <w:spacing w:val="-15"/>
        </w:rPr>
        <w:t xml:space="preserve"> </w:t>
      </w:r>
      <w:r>
        <w:rPr>
          <w:color w:val="231F20"/>
        </w:rPr>
        <w:t>může</w:t>
      </w:r>
      <w:r>
        <w:rPr>
          <w:color w:val="231F20"/>
          <w:spacing w:val="-12"/>
        </w:rPr>
        <w:t xml:space="preserve"> </w:t>
      </w:r>
      <w:r>
        <w:rPr>
          <w:color w:val="231F20"/>
        </w:rPr>
        <w:t>odstoupit</w:t>
      </w:r>
      <w:r>
        <w:rPr>
          <w:color w:val="231F20"/>
          <w:spacing w:val="-14"/>
        </w:rPr>
        <w:t xml:space="preserve"> </w:t>
      </w:r>
      <w:r>
        <w:rPr>
          <w:color w:val="231F20"/>
        </w:rPr>
        <w:t>od</w:t>
      </w:r>
      <w:r>
        <w:rPr>
          <w:color w:val="231F20"/>
          <w:spacing w:val="-12"/>
        </w:rPr>
        <w:t xml:space="preserve"> </w:t>
      </w:r>
      <w:r>
        <w:rPr>
          <w:color w:val="231F20"/>
        </w:rPr>
        <w:t>smlouvy z důvodů závažného porušení smluvní povinnosti stanovené v jednotlivých smlouvách nebo z důvodů stanovených v zákoně. Dodavatel může odstoupit od smlouvy pouze    z důvodů stanovených v</w:t>
      </w:r>
      <w:r>
        <w:rPr>
          <w:color w:val="231F20"/>
          <w:spacing w:val="-1"/>
        </w:rPr>
        <w:t xml:space="preserve"> </w:t>
      </w:r>
      <w:r>
        <w:rPr>
          <w:color w:val="231F20"/>
        </w:rPr>
        <w:t>zákoně.</w:t>
      </w:r>
    </w:p>
    <w:p w14:paraId="37C9AAF2" w14:textId="77777777" w:rsidR="00F65BCA" w:rsidRDefault="00216117">
      <w:pPr>
        <w:pStyle w:val="Nadpis3"/>
        <w:numPr>
          <w:ilvl w:val="1"/>
          <w:numId w:val="11"/>
        </w:numPr>
        <w:tabs>
          <w:tab w:val="left" w:pos="827"/>
        </w:tabs>
        <w:spacing w:before="118" w:line="276" w:lineRule="auto"/>
        <w:ind w:left="826" w:right="114" w:hanging="710"/>
        <w:jc w:val="both"/>
      </w:pPr>
      <w:r>
        <w:rPr>
          <w:color w:val="231F20"/>
        </w:rPr>
        <w:t>Smlouvy na plnění  veřejné  zakázky,  jakož  i  případné  spory  z nich,  budou  řešeny v</w:t>
      </w:r>
      <w:r>
        <w:rPr>
          <w:color w:val="231F20"/>
          <w:spacing w:val="-5"/>
        </w:rPr>
        <w:t xml:space="preserve"> </w:t>
      </w:r>
      <w:r>
        <w:rPr>
          <w:color w:val="231F20"/>
        </w:rPr>
        <w:t>souladu</w:t>
      </w:r>
      <w:r>
        <w:rPr>
          <w:color w:val="231F20"/>
          <w:spacing w:val="-17"/>
        </w:rPr>
        <w:t xml:space="preserve"> </w:t>
      </w:r>
      <w:r>
        <w:rPr>
          <w:color w:val="231F20"/>
        </w:rPr>
        <w:t>s</w:t>
      </w:r>
      <w:r>
        <w:rPr>
          <w:color w:val="231F20"/>
          <w:spacing w:val="-4"/>
        </w:rPr>
        <w:t xml:space="preserve"> </w:t>
      </w:r>
      <w:r>
        <w:rPr>
          <w:color w:val="231F20"/>
        </w:rPr>
        <w:t>právním</w:t>
      </w:r>
      <w:r>
        <w:rPr>
          <w:color w:val="231F20"/>
          <w:spacing w:val="-18"/>
        </w:rPr>
        <w:t xml:space="preserve"> </w:t>
      </w:r>
      <w:r>
        <w:rPr>
          <w:color w:val="231F20"/>
        </w:rPr>
        <w:t>řádem</w:t>
      </w:r>
      <w:r>
        <w:rPr>
          <w:color w:val="231F20"/>
          <w:spacing w:val="-17"/>
        </w:rPr>
        <w:t xml:space="preserve"> </w:t>
      </w:r>
      <w:r>
        <w:rPr>
          <w:color w:val="231F20"/>
        </w:rPr>
        <w:t>České</w:t>
      </w:r>
      <w:r>
        <w:rPr>
          <w:color w:val="231F20"/>
          <w:spacing w:val="-16"/>
        </w:rPr>
        <w:t xml:space="preserve"> </w:t>
      </w:r>
      <w:r>
        <w:rPr>
          <w:color w:val="231F20"/>
        </w:rPr>
        <w:t>republiky.</w:t>
      </w:r>
      <w:r>
        <w:rPr>
          <w:color w:val="231F20"/>
          <w:spacing w:val="-15"/>
        </w:rPr>
        <w:t xml:space="preserve"> </w:t>
      </w:r>
      <w:r>
        <w:rPr>
          <w:color w:val="231F20"/>
        </w:rPr>
        <w:t>Místní</w:t>
      </w:r>
      <w:r>
        <w:rPr>
          <w:color w:val="231F20"/>
          <w:spacing w:val="-16"/>
        </w:rPr>
        <w:t xml:space="preserve"> </w:t>
      </w:r>
      <w:r>
        <w:rPr>
          <w:color w:val="231F20"/>
        </w:rPr>
        <w:t>příslušnost</w:t>
      </w:r>
      <w:r>
        <w:rPr>
          <w:color w:val="231F20"/>
          <w:spacing w:val="-16"/>
        </w:rPr>
        <w:t xml:space="preserve"> </w:t>
      </w:r>
      <w:r>
        <w:rPr>
          <w:color w:val="231F20"/>
        </w:rPr>
        <w:t>soudu</w:t>
      </w:r>
      <w:r>
        <w:rPr>
          <w:color w:val="231F20"/>
          <w:spacing w:val="-17"/>
        </w:rPr>
        <w:t xml:space="preserve"> </w:t>
      </w:r>
      <w:r>
        <w:rPr>
          <w:color w:val="231F20"/>
        </w:rPr>
        <w:t>pro</w:t>
      </w:r>
      <w:r>
        <w:rPr>
          <w:color w:val="231F20"/>
          <w:spacing w:val="-17"/>
        </w:rPr>
        <w:t xml:space="preserve"> </w:t>
      </w:r>
      <w:r>
        <w:rPr>
          <w:color w:val="231F20"/>
        </w:rPr>
        <w:t>všechny</w:t>
      </w:r>
      <w:r>
        <w:rPr>
          <w:color w:val="231F20"/>
          <w:spacing w:val="-16"/>
        </w:rPr>
        <w:t xml:space="preserve"> </w:t>
      </w:r>
      <w:r>
        <w:rPr>
          <w:color w:val="231F20"/>
        </w:rPr>
        <w:t>spory vzniklé z uzavřené pojistné smlouvy se bude řídit podle sídla Zadavatele. Rozhodčí řízení je</w:t>
      </w:r>
      <w:r>
        <w:rPr>
          <w:color w:val="231F20"/>
          <w:spacing w:val="-1"/>
        </w:rPr>
        <w:t xml:space="preserve"> </w:t>
      </w:r>
      <w:r>
        <w:rPr>
          <w:color w:val="231F20"/>
        </w:rPr>
        <w:t>vyloučeno.</w:t>
      </w:r>
    </w:p>
    <w:p w14:paraId="4EAFE872" w14:textId="77777777" w:rsidR="00F65BCA" w:rsidRDefault="00216117">
      <w:pPr>
        <w:pStyle w:val="Nadpis3"/>
        <w:numPr>
          <w:ilvl w:val="1"/>
          <w:numId w:val="11"/>
        </w:numPr>
        <w:tabs>
          <w:tab w:val="left" w:pos="827"/>
        </w:tabs>
        <w:spacing w:line="276" w:lineRule="auto"/>
        <w:ind w:left="826" w:right="115" w:hanging="710"/>
        <w:jc w:val="both"/>
      </w:pPr>
      <w:r>
        <w:rPr>
          <w:color w:val="231F20"/>
        </w:rPr>
        <w:t>Dodavatel bere na vědomí, že Zadavatel je subjektem povinným zveřejňovat smlouvy dle zákona č. 340/2015 Sb., o zvláštních podmínkách účinnosti některých smluv, uveřejňování těchto smluv a o registru smluv, a že Zadavatel tyto smlouvy uveřejní      v registru</w:t>
      </w:r>
      <w:r>
        <w:rPr>
          <w:color w:val="231F20"/>
          <w:spacing w:val="-1"/>
        </w:rPr>
        <w:t xml:space="preserve"> </w:t>
      </w:r>
      <w:r>
        <w:rPr>
          <w:color w:val="231F20"/>
        </w:rPr>
        <w:t>smluv.</w:t>
      </w:r>
    </w:p>
    <w:p w14:paraId="4D7531C8" w14:textId="77777777" w:rsidR="00F65BCA" w:rsidRDefault="00216117">
      <w:pPr>
        <w:pStyle w:val="Nadpis3"/>
        <w:numPr>
          <w:ilvl w:val="1"/>
          <w:numId w:val="11"/>
        </w:numPr>
        <w:tabs>
          <w:tab w:val="left" w:pos="827"/>
        </w:tabs>
        <w:spacing w:before="119" w:line="276" w:lineRule="auto"/>
        <w:ind w:left="826" w:right="114" w:hanging="710"/>
        <w:jc w:val="both"/>
      </w:pPr>
      <w:r>
        <w:rPr>
          <w:color w:val="231F20"/>
        </w:rPr>
        <w:t>Smluvní vztah mezi Zadavatelem a dodavatelem se dále bude řídit ustanoveními obchodních podmínek dodavatele (za předpokladu jejich existence). V případě, že smlouva bude odkazovat na všeobecné obchodní podmínky dodavatele, musí být tyto součástí návrhu smlouvy v nabídce dodavatele, přičemž ustanovení smlouvy bude</w:t>
      </w:r>
      <w:r>
        <w:rPr>
          <w:color w:val="231F20"/>
          <w:spacing w:val="5"/>
        </w:rPr>
        <w:t xml:space="preserve"> </w:t>
      </w:r>
      <w:r>
        <w:rPr>
          <w:color w:val="231F20"/>
        </w:rPr>
        <w:t>mít</w:t>
      </w:r>
    </w:p>
    <w:p w14:paraId="2403B3BA" w14:textId="77777777" w:rsidR="00F65BCA" w:rsidRDefault="00F65BCA">
      <w:pPr>
        <w:pStyle w:val="Zkladntext"/>
        <w:rPr>
          <w:sz w:val="20"/>
        </w:rPr>
      </w:pPr>
    </w:p>
    <w:p w14:paraId="3D12B9E4" w14:textId="77777777" w:rsidR="00F65BCA" w:rsidRDefault="00F65BCA">
      <w:pPr>
        <w:pStyle w:val="Zkladntext"/>
        <w:spacing w:before="10"/>
        <w:rPr>
          <w:sz w:val="22"/>
        </w:rPr>
      </w:pPr>
    </w:p>
    <w:p w14:paraId="12723912" w14:textId="77777777" w:rsidR="00F65BCA" w:rsidRDefault="00216117">
      <w:pPr>
        <w:spacing w:before="94"/>
        <w:ind w:left="1459" w:right="1033"/>
        <w:jc w:val="center"/>
        <w:rPr>
          <w:sz w:val="16"/>
        </w:rPr>
      </w:pPr>
      <w:r>
        <w:rPr>
          <w:color w:val="231F20"/>
          <w:sz w:val="16"/>
        </w:rPr>
        <w:t>Stránka 9 z 15</w:t>
      </w:r>
    </w:p>
    <w:p w14:paraId="430427D4" w14:textId="77777777" w:rsidR="00F65BCA" w:rsidRDefault="00F65BCA">
      <w:pPr>
        <w:jc w:val="center"/>
        <w:rPr>
          <w:sz w:val="16"/>
        </w:rPr>
        <w:sectPr w:rsidR="00F65BCA">
          <w:pgSz w:w="11900" w:h="16840"/>
          <w:pgMar w:top="1060" w:right="1160" w:bottom="280" w:left="1300" w:header="708" w:footer="708" w:gutter="0"/>
          <w:cols w:space="708"/>
        </w:sectPr>
      </w:pPr>
    </w:p>
    <w:p w14:paraId="1178C403" w14:textId="77777777" w:rsidR="00F65BCA" w:rsidRDefault="00216117">
      <w:pPr>
        <w:spacing w:before="78" w:line="276" w:lineRule="auto"/>
        <w:ind w:left="826" w:right="111"/>
        <w:jc w:val="both"/>
      </w:pPr>
      <w:r>
        <w:rPr>
          <w:color w:val="231F20"/>
        </w:rPr>
        <w:lastRenderedPageBreak/>
        <w:t xml:space="preserve">vždy přednost před ustanoveními obsaženými ve všeobecných obchodních podmínkách. </w:t>
      </w:r>
      <w:r>
        <w:rPr>
          <w:b/>
          <w:color w:val="231F20"/>
          <w:u w:val="thick" w:color="231F20"/>
        </w:rPr>
        <w:t>V případě nejasnosti, neurčitosti či vzájemného rozporu</w:t>
      </w:r>
      <w:r>
        <w:rPr>
          <w:b/>
          <w:color w:val="231F20"/>
          <w:spacing w:val="-44"/>
          <w:u w:val="thick" w:color="231F20"/>
        </w:rPr>
        <w:t xml:space="preserve"> </w:t>
      </w:r>
      <w:r>
        <w:rPr>
          <w:b/>
          <w:color w:val="231F20"/>
          <w:u w:val="thick" w:color="231F20"/>
        </w:rPr>
        <w:t>jednotlivých</w:t>
      </w:r>
      <w:r>
        <w:rPr>
          <w:b/>
          <w:color w:val="231F20"/>
        </w:rPr>
        <w:t xml:space="preserve"> </w:t>
      </w:r>
      <w:r>
        <w:rPr>
          <w:b/>
          <w:color w:val="231F20"/>
          <w:u w:val="thick" w:color="231F20"/>
        </w:rPr>
        <w:t>dokumentů, které jsou součástí smlouvy, mají při výkladu přednost, a to v tomto</w:t>
      </w:r>
      <w:r>
        <w:rPr>
          <w:b/>
          <w:color w:val="231F20"/>
        </w:rPr>
        <w:t xml:space="preserve"> </w:t>
      </w:r>
      <w:r>
        <w:rPr>
          <w:b/>
          <w:color w:val="231F20"/>
          <w:u w:val="thick" w:color="231F20"/>
        </w:rPr>
        <w:t>pořadí: zadávací dokumentace, která je nedílnou součástí smlouvy jako jedna</w:t>
      </w:r>
      <w:r>
        <w:rPr>
          <w:b/>
          <w:color w:val="231F20"/>
        </w:rPr>
        <w:t xml:space="preserve">     </w:t>
      </w:r>
      <w:r>
        <w:rPr>
          <w:b/>
          <w:color w:val="231F20"/>
          <w:u w:val="thick" w:color="231F20"/>
        </w:rPr>
        <w:t>z jejích příloh,  pojistná  smlouva,  všeobecné  pojistné  či  obchodní  podmínky</w:t>
      </w:r>
      <w:r>
        <w:rPr>
          <w:b/>
          <w:color w:val="231F20"/>
        </w:rPr>
        <w:t xml:space="preserve">  </w:t>
      </w:r>
      <w:r>
        <w:rPr>
          <w:b/>
          <w:color w:val="231F20"/>
          <w:u w:val="thick" w:color="231F20"/>
        </w:rPr>
        <w:t>a ostatní dokumenty</w:t>
      </w:r>
      <w:r>
        <w:rPr>
          <w:b/>
          <w:color w:val="231F20"/>
        </w:rPr>
        <w:t xml:space="preserve">. </w:t>
      </w:r>
      <w:r>
        <w:rPr>
          <w:color w:val="231F20"/>
        </w:rPr>
        <w:t>V případě změny všeobecných obchodních podmínek dodavatele je dodavatel povinen změny oznámit Zadavateli bez zbytečného odkladu před nabytím účinnosti aktualizace nebo změny. Jakákoliv změna všeobecných obchodních podmínek dodavatele, která zhorší postavení Zadavatele, je</w:t>
      </w:r>
      <w:r>
        <w:rPr>
          <w:color w:val="231F20"/>
          <w:spacing w:val="-25"/>
        </w:rPr>
        <w:t xml:space="preserve"> </w:t>
      </w:r>
      <w:r>
        <w:rPr>
          <w:color w:val="231F20"/>
        </w:rPr>
        <w:t>neúčinná.</w:t>
      </w:r>
    </w:p>
    <w:p w14:paraId="61047251" w14:textId="77777777" w:rsidR="00F65BCA" w:rsidRDefault="00216117">
      <w:pPr>
        <w:pStyle w:val="Nadpis3"/>
        <w:numPr>
          <w:ilvl w:val="1"/>
          <w:numId w:val="11"/>
        </w:numPr>
        <w:tabs>
          <w:tab w:val="left" w:pos="827"/>
        </w:tabs>
        <w:spacing w:before="119" w:line="276" w:lineRule="auto"/>
        <w:ind w:left="826" w:right="112" w:hanging="710"/>
        <w:jc w:val="both"/>
      </w:pPr>
      <w:r>
        <w:rPr>
          <w:color w:val="231F20"/>
        </w:rPr>
        <w:t>Dodavatel se zavazuje během plnění smlouvy i po jejím ukončení zachovávat mlčenlivost o všech  skutečnostech,  o  kterých  se  dozví  od  pojistníka  (Zadavatele) v souvislosti s jejím plněním. Tím není dotčena možnost pojistitele (dodavatele) uvádět činnost podle této smlouvy jako svou referenci ve svých nabídkách v rozsahu stanoveném právními předpisy (zejm. ZZVZ), popřípadě v rozsahu stanoveném pojistníkem či organizátorem konkrétního poptávkového, výběrového nebo zadávacího řízení.</w:t>
      </w:r>
    </w:p>
    <w:p w14:paraId="02A2755B" w14:textId="77777777" w:rsidR="00F65BCA" w:rsidRDefault="00216117">
      <w:pPr>
        <w:pStyle w:val="Nadpis3"/>
        <w:numPr>
          <w:ilvl w:val="1"/>
          <w:numId w:val="11"/>
        </w:numPr>
        <w:tabs>
          <w:tab w:val="left" w:pos="827"/>
        </w:tabs>
        <w:spacing w:before="119" w:line="276" w:lineRule="auto"/>
        <w:ind w:left="826" w:right="114" w:hanging="710"/>
        <w:jc w:val="both"/>
      </w:pPr>
      <w:r>
        <w:rPr>
          <w:color w:val="231F20"/>
        </w:rPr>
        <w:t>Pojistitel se zavazuje, že pokud v souvislosti s plněním této veřejné zakázky při plnění svých povinností přijdou jeho pověření poddodavatelé, zaměstnanci či jiní zástupci do styku  s osobními,  citlivými   nebo   citlivými   osobními   údaji   ve   smyslu   zákona   č.</w:t>
      </w:r>
      <w:r>
        <w:rPr>
          <w:color w:val="231F20"/>
          <w:spacing w:val="-4"/>
        </w:rPr>
        <w:t xml:space="preserve"> </w:t>
      </w:r>
      <w:r>
        <w:rPr>
          <w:color w:val="231F20"/>
        </w:rPr>
        <w:t>110/2019</w:t>
      </w:r>
      <w:r>
        <w:rPr>
          <w:color w:val="231F20"/>
          <w:spacing w:val="-5"/>
        </w:rPr>
        <w:t xml:space="preserve"> </w:t>
      </w:r>
      <w:r>
        <w:rPr>
          <w:color w:val="231F20"/>
        </w:rPr>
        <w:t>Sb.,</w:t>
      </w:r>
      <w:r>
        <w:rPr>
          <w:color w:val="231F20"/>
          <w:spacing w:val="-10"/>
        </w:rPr>
        <w:t xml:space="preserve"> </w:t>
      </w:r>
      <w:r>
        <w:rPr>
          <w:color w:val="231F20"/>
        </w:rPr>
        <w:t>o</w:t>
      </w:r>
      <w:r>
        <w:rPr>
          <w:color w:val="231F20"/>
          <w:spacing w:val="-9"/>
        </w:rPr>
        <w:t xml:space="preserve"> </w:t>
      </w:r>
      <w:r>
        <w:rPr>
          <w:color w:val="231F20"/>
        </w:rPr>
        <w:t>zpracování</w:t>
      </w:r>
      <w:r>
        <w:rPr>
          <w:color w:val="231F20"/>
          <w:spacing w:val="-10"/>
        </w:rPr>
        <w:t xml:space="preserve"> </w:t>
      </w:r>
      <w:r>
        <w:rPr>
          <w:color w:val="231F20"/>
        </w:rPr>
        <w:t>osobních</w:t>
      </w:r>
      <w:r>
        <w:rPr>
          <w:color w:val="231F20"/>
          <w:spacing w:val="-9"/>
        </w:rPr>
        <w:t xml:space="preserve"> </w:t>
      </w:r>
      <w:r>
        <w:rPr>
          <w:color w:val="231F20"/>
        </w:rPr>
        <w:t>údajů,</w:t>
      </w:r>
      <w:r>
        <w:rPr>
          <w:color w:val="231F20"/>
          <w:spacing w:val="-11"/>
        </w:rPr>
        <w:t xml:space="preserve"> </w:t>
      </w:r>
      <w:r>
        <w:rPr>
          <w:color w:val="231F20"/>
        </w:rPr>
        <w:t>a</w:t>
      </w:r>
      <w:r>
        <w:rPr>
          <w:color w:val="231F20"/>
          <w:spacing w:val="-11"/>
        </w:rPr>
        <w:t xml:space="preserve"> </w:t>
      </w:r>
      <w:r>
        <w:rPr>
          <w:color w:val="231F20"/>
        </w:rPr>
        <w:t>podle</w:t>
      </w:r>
      <w:r>
        <w:rPr>
          <w:color w:val="231F20"/>
          <w:spacing w:val="-10"/>
        </w:rPr>
        <w:t xml:space="preserve"> </w:t>
      </w:r>
      <w:r>
        <w:rPr>
          <w:color w:val="231F20"/>
        </w:rPr>
        <w:t>nařízení</w:t>
      </w:r>
      <w:r>
        <w:rPr>
          <w:color w:val="231F20"/>
          <w:spacing w:val="-9"/>
        </w:rPr>
        <w:t xml:space="preserve"> </w:t>
      </w:r>
      <w:r>
        <w:rPr>
          <w:color w:val="231F20"/>
        </w:rPr>
        <w:t>Evropského</w:t>
      </w:r>
      <w:r>
        <w:rPr>
          <w:color w:val="231F20"/>
          <w:spacing w:val="-10"/>
        </w:rPr>
        <w:t xml:space="preserve"> </w:t>
      </w:r>
      <w:r>
        <w:rPr>
          <w:color w:val="231F20"/>
        </w:rPr>
        <w:t>parlamentu a Rady EU 2016/679 o ochraně fyzických osob v souvislosti se zpracováním osobních údajů „nařízení GDPR“, učiní veškerá opatření, aby nedošlo k neoprávněnému nebo nahodilému přístupu k těmto údajům, k jejich změně, zničení či ztrátě, neoprávněným přenosům, k jejich jinému neoprávněnému zpracování, ani jinému porušení tohoto zákona. Pojistitel nese plnou odpovědnost a právní důsledky za případné porušení zákona a sjednané povinnosti mlčenlivosti z jeho</w:t>
      </w:r>
      <w:r>
        <w:rPr>
          <w:color w:val="231F20"/>
          <w:spacing w:val="-4"/>
        </w:rPr>
        <w:t xml:space="preserve"> </w:t>
      </w:r>
      <w:r>
        <w:rPr>
          <w:color w:val="231F20"/>
        </w:rPr>
        <w:t>strany.</w:t>
      </w:r>
    </w:p>
    <w:p w14:paraId="2D7CD510" w14:textId="77777777" w:rsidR="00F65BCA" w:rsidRDefault="00216117">
      <w:pPr>
        <w:pStyle w:val="Nadpis3"/>
        <w:numPr>
          <w:ilvl w:val="1"/>
          <w:numId w:val="11"/>
        </w:numPr>
        <w:tabs>
          <w:tab w:val="left" w:pos="827"/>
        </w:tabs>
        <w:spacing w:before="118" w:line="276" w:lineRule="auto"/>
        <w:ind w:left="826" w:right="113" w:hanging="710"/>
        <w:jc w:val="both"/>
      </w:pPr>
      <w:r>
        <w:rPr>
          <w:color w:val="231F20"/>
        </w:rPr>
        <w:t>Pokud se dodavatel při plnění veřejné zakázky dostane do kontaktu s osobními údaji, citlivými a citlivými osobními údaji je povinen o nich zachovávat naprostou mlčenlivost, a to i po ukončení plnění smlouvy, v případě jejího zrušení, odstoupení od ní či její výpovědi. V případě porušení této povinnosti je Zadavatel oprávněn uplatnit na dodavateli smluvní pokutu ve výši 1 000 000 Kč (slovy: jeden milion korun českých) se splatností do 30 kalendářních dní od doručení výzvy Zadavatele dodavateli. Sjednáním ani zaplacením smluvní pokuty dle předchozí věty není dotčen nárok Zadavatele na náhradu škody v celém</w:t>
      </w:r>
      <w:r>
        <w:rPr>
          <w:color w:val="231F20"/>
          <w:spacing w:val="-2"/>
        </w:rPr>
        <w:t xml:space="preserve"> </w:t>
      </w:r>
      <w:r>
        <w:rPr>
          <w:color w:val="231F20"/>
        </w:rPr>
        <w:t>rozsahu.</w:t>
      </w:r>
    </w:p>
    <w:p w14:paraId="290698B7" w14:textId="77777777" w:rsidR="00F65BCA" w:rsidRDefault="00216117">
      <w:pPr>
        <w:pStyle w:val="Nadpis3"/>
        <w:numPr>
          <w:ilvl w:val="1"/>
          <w:numId w:val="11"/>
        </w:numPr>
        <w:tabs>
          <w:tab w:val="left" w:pos="827"/>
        </w:tabs>
        <w:spacing w:line="276" w:lineRule="auto"/>
        <w:ind w:left="826" w:right="113" w:hanging="710"/>
        <w:jc w:val="both"/>
      </w:pPr>
      <w:r>
        <w:rPr>
          <w:color w:val="231F20"/>
        </w:rPr>
        <w:t>Jakékoliv změny či doplnění uzavřené pojistné smlouvy, včetně změny cen (s výjimkou případné</w:t>
      </w:r>
      <w:r>
        <w:rPr>
          <w:color w:val="231F20"/>
          <w:spacing w:val="-9"/>
        </w:rPr>
        <w:t xml:space="preserve"> </w:t>
      </w:r>
      <w:r>
        <w:rPr>
          <w:color w:val="231F20"/>
        </w:rPr>
        <w:t>bonifikace</w:t>
      </w:r>
      <w:r>
        <w:rPr>
          <w:color w:val="231F20"/>
          <w:spacing w:val="-8"/>
        </w:rPr>
        <w:t xml:space="preserve"> </w:t>
      </w:r>
      <w:r>
        <w:rPr>
          <w:color w:val="231F20"/>
        </w:rPr>
        <w:t>(viz</w:t>
      </w:r>
      <w:r>
        <w:rPr>
          <w:color w:val="231F20"/>
          <w:spacing w:val="-10"/>
        </w:rPr>
        <w:t xml:space="preserve"> </w:t>
      </w:r>
      <w:r>
        <w:rPr>
          <w:color w:val="231F20"/>
        </w:rPr>
        <w:t>čl.</w:t>
      </w:r>
      <w:r>
        <w:rPr>
          <w:color w:val="231F20"/>
          <w:spacing w:val="-8"/>
        </w:rPr>
        <w:t xml:space="preserve"> </w:t>
      </w:r>
      <w:r>
        <w:rPr>
          <w:color w:val="231F20"/>
        </w:rPr>
        <w:t>19.6</w:t>
      </w:r>
      <w:r>
        <w:rPr>
          <w:color w:val="231F20"/>
          <w:spacing w:val="-9"/>
        </w:rPr>
        <w:t xml:space="preserve"> </w:t>
      </w:r>
      <w:r>
        <w:rPr>
          <w:color w:val="231F20"/>
        </w:rPr>
        <w:t>až</w:t>
      </w:r>
      <w:r>
        <w:rPr>
          <w:color w:val="231F20"/>
          <w:spacing w:val="-8"/>
        </w:rPr>
        <w:t xml:space="preserve"> </w:t>
      </w:r>
      <w:r>
        <w:rPr>
          <w:color w:val="231F20"/>
        </w:rPr>
        <w:t>19.8</w:t>
      </w:r>
      <w:r>
        <w:rPr>
          <w:color w:val="231F20"/>
          <w:spacing w:val="-9"/>
        </w:rPr>
        <w:t xml:space="preserve"> </w:t>
      </w:r>
      <w:r>
        <w:rPr>
          <w:color w:val="231F20"/>
        </w:rPr>
        <w:t>této</w:t>
      </w:r>
      <w:r>
        <w:rPr>
          <w:color w:val="231F20"/>
          <w:spacing w:val="-8"/>
        </w:rPr>
        <w:t xml:space="preserve"> </w:t>
      </w:r>
      <w:r>
        <w:rPr>
          <w:color w:val="231F20"/>
        </w:rPr>
        <w:t>ZD)</w:t>
      </w:r>
      <w:r>
        <w:rPr>
          <w:color w:val="231F20"/>
          <w:spacing w:val="-9"/>
        </w:rPr>
        <w:t xml:space="preserve"> </w:t>
      </w:r>
      <w:r>
        <w:rPr>
          <w:color w:val="231F20"/>
        </w:rPr>
        <w:t>či</w:t>
      </w:r>
      <w:r>
        <w:rPr>
          <w:color w:val="231F20"/>
          <w:spacing w:val="-8"/>
        </w:rPr>
        <w:t xml:space="preserve"> </w:t>
      </w:r>
      <w:r>
        <w:rPr>
          <w:color w:val="231F20"/>
        </w:rPr>
        <w:t>jiných</w:t>
      </w:r>
      <w:r>
        <w:rPr>
          <w:color w:val="231F20"/>
          <w:spacing w:val="-9"/>
        </w:rPr>
        <w:t xml:space="preserve"> </w:t>
      </w:r>
      <w:r>
        <w:rPr>
          <w:color w:val="231F20"/>
        </w:rPr>
        <w:t>změn,</w:t>
      </w:r>
      <w:r>
        <w:rPr>
          <w:color w:val="231F20"/>
          <w:spacing w:val="-8"/>
        </w:rPr>
        <w:t xml:space="preserve"> </w:t>
      </w:r>
      <w:r>
        <w:rPr>
          <w:color w:val="231F20"/>
        </w:rPr>
        <w:t>které</w:t>
      </w:r>
      <w:r>
        <w:rPr>
          <w:color w:val="231F20"/>
          <w:spacing w:val="-9"/>
        </w:rPr>
        <w:t xml:space="preserve"> </w:t>
      </w:r>
      <w:r>
        <w:rPr>
          <w:color w:val="231F20"/>
        </w:rPr>
        <w:t>smlouva</w:t>
      </w:r>
      <w:r>
        <w:rPr>
          <w:color w:val="231F20"/>
          <w:spacing w:val="-8"/>
        </w:rPr>
        <w:t xml:space="preserve"> </w:t>
      </w:r>
      <w:r>
        <w:rPr>
          <w:color w:val="231F20"/>
        </w:rPr>
        <w:t>výslovně upravuje), mohou být učiněny výhradně písemnými dodatky k pojistným smlouvám schválenými oběma smluvními stranami. Takové změny či doplnění však musí být       v souladu s relevantními ustanoveními</w:t>
      </w:r>
      <w:r>
        <w:rPr>
          <w:color w:val="231F20"/>
          <w:spacing w:val="-2"/>
        </w:rPr>
        <w:t xml:space="preserve"> </w:t>
      </w:r>
      <w:r>
        <w:rPr>
          <w:color w:val="231F20"/>
        </w:rPr>
        <w:t>ZZVZ.</w:t>
      </w:r>
    </w:p>
    <w:p w14:paraId="7D1D5D0C" w14:textId="77777777" w:rsidR="00F65BCA" w:rsidRDefault="00216117">
      <w:pPr>
        <w:pStyle w:val="Nadpis3"/>
        <w:numPr>
          <w:ilvl w:val="1"/>
          <w:numId w:val="11"/>
        </w:numPr>
        <w:tabs>
          <w:tab w:val="left" w:pos="827"/>
        </w:tabs>
        <w:spacing w:before="119" w:line="276" w:lineRule="auto"/>
        <w:ind w:left="826" w:right="116" w:hanging="710"/>
        <w:jc w:val="both"/>
      </w:pPr>
      <w:r>
        <w:rPr>
          <w:color w:val="231F20"/>
        </w:rPr>
        <w:t>Návrh</w:t>
      </w:r>
      <w:r>
        <w:rPr>
          <w:color w:val="231F20"/>
          <w:spacing w:val="-16"/>
        </w:rPr>
        <w:t xml:space="preserve"> </w:t>
      </w:r>
      <w:r>
        <w:rPr>
          <w:color w:val="231F20"/>
        </w:rPr>
        <w:t>smlouvy</w:t>
      </w:r>
      <w:r>
        <w:rPr>
          <w:color w:val="231F20"/>
          <w:spacing w:val="-15"/>
        </w:rPr>
        <w:t xml:space="preserve"> </w:t>
      </w:r>
      <w:r>
        <w:rPr>
          <w:color w:val="231F20"/>
        </w:rPr>
        <w:t>musí</w:t>
      </w:r>
      <w:r>
        <w:rPr>
          <w:color w:val="231F20"/>
          <w:spacing w:val="-15"/>
        </w:rPr>
        <w:t xml:space="preserve"> </w:t>
      </w:r>
      <w:r>
        <w:rPr>
          <w:color w:val="231F20"/>
        </w:rPr>
        <w:t>být</w:t>
      </w:r>
      <w:r>
        <w:rPr>
          <w:color w:val="231F20"/>
          <w:spacing w:val="-17"/>
        </w:rPr>
        <w:t xml:space="preserve"> </w:t>
      </w:r>
      <w:r>
        <w:rPr>
          <w:color w:val="231F20"/>
        </w:rPr>
        <w:t>ze</w:t>
      </w:r>
      <w:r>
        <w:rPr>
          <w:color w:val="231F20"/>
          <w:spacing w:val="-15"/>
        </w:rPr>
        <w:t xml:space="preserve"> </w:t>
      </w:r>
      <w:r>
        <w:rPr>
          <w:color w:val="231F20"/>
        </w:rPr>
        <w:t>strany</w:t>
      </w:r>
      <w:r>
        <w:rPr>
          <w:color w:val="231F20"/>
          <w:spacing w:val="-16"/>
        </w:rPr>
        <w:t xml:space="preserve"> </w:t>
      </w:r>
      <w:r>
        <w:rPr>
          <w:color w:val="231F20"/>
        </w:rPr>
        <w:t>dodavatele</w:t>
      </w:r>
      <w:r>
        <w:rPr>
          <w:color w:val="231F20"/>
          <w:spacing w:val="-16"/>
        </w:rPr>
        <w:t xml:space="preserve"> </w:t>
      </w:r>
      <w:r>
        <w:rPr>
          <w:color w:val="231F20"/>
        </w:rPr>
        <w:t>podepsán</w:t>
      </w:r>
      <w:r>
        <w:rPr>
          <w:color w:val="231F20"/>
          <w:spacing w:val="-16"/>
        </w:rPr>
        <w:t xml:space="preserve"> </w:t>
      </w:r>
      <w:r>
        <w:rPr>
          <w:color w:val="231F20"/>
        </w:rPr>
        <w:t>osobou</w:t>
      </w:r>
      <w:r>
        <w:rPr>
          <w:color w:val="231F20"/>
          <w:spacing w:val="-15"/>
        </w:rPr>
        <w:t xml:space="preserve"> </w:t>
      </w:r>
      <w:r>
        <w:rPr>
          <w:color w:val="231F20"/>
        </w:rPr>
        <w:t>oprávněnou</w:t>
      </w:r>
      <w:r>
        <w:rPr>
          <w:color w:val="231F20"/>
          <w:spacing w:val="-16"/>
        </w:rPr>
        <w:t xml:space="preserve"> </w:t>
      </w:r>
      <w:r>
        <w:rPr>
          <w:color w:val="231F20"/>
        </w:rPr>
        <w:t>dodavatele zastupovat. Součástí nabídky musí být i doklad, z nějž plyne právo oprávněné osoby zastupovat</w:t>
      </w:r>
      <w:r>
        <w:rPr>
          <w:color w:val="231F20"/>
          <w:spacing w:val="-2"/>
        </w:rPr>
        <w:t xml:space="preserve"> </w:t>
      </w:r>
      <w:r>
        <w:rPr>
          <w:color w:val="231F20"/>
        </w:rPr>
        <w:t>dodavatele.</w:t>
      </w:r>
    </w:p>
    <w:p w14:paraId="6A879AE1" w14:textId="77777777" w:rsidR="00F65BCA" w:rsidRDefault="00216117">
      <w:pPr>
        <w:pStyle w:val="Nadpis3"/>
        <w:numPr>
          <w:ilvl w:val="1"/>
          <w:numId w:val="11"/>
        </w:numPr>
        <w:tabs>
          <w:tab w:val="left" w:pos="827"/>
        </w:tabs>
        <w:spacing w:before="119" w:line="276" w:lineRule="auto"/>
        <w:ind w:left="826" w:right="112" w:hanging="710"/>
        <w:jc w:val="both"/>
      </w:pPr>
      <w:r>
        <w:rPr>
          <w:color w:val="231F20"/>
        </w:rPr>
        <w:t>Dodavatel se zavazuje jednat ve věci plnění uzavřené pojistné smlouvy po nabytí její účinnosti se samostatným zprostředkovatelem Zadavatele. Dodavatel bere na vědomí, že samostatným zprostředkovatelem Zadavatele je subjekt uvedený v čl. 2.3 této ZD, případnou změnu samostatného zprostředkovatele oznámí Zadavatel smluvnímu dodavateli</w:t>
      </w:r>
      <w:r>
        <w:rPr>
          <w:color w:val="231F20"/>
          <w:spacing w:val="-2"/>
        </w:rPr>
        <w:t xml:space="preserve"> </w:t>
      </w:r>
      <w:r>
        <w:rPr>
          <w:color w:val="231F20"/>
        </w:rPr>
        <w:t>předem.</w:t>
      </w:r>
    </w:p>
    <w:p w14:paraId="6F4D9DF3" w14:textId="77777777" w:rsidR="00F65BCA" w:rsidRDefault="00F65BCA">
      <w:pPr>
        <w:pStyle w:val="Zkladntext"/>
        <w:rPr>
          <w:sz w:val="28"/>
        </w:rPr>
      </w:pPr>
    </w:p>
    <w:p w14:paraId="0FB168EB" w14:textId="77777777" w:rsidR="00F65BCA" w:rsidRDefault="00216117">
      <w:pPr>
        <w:spacing w:before="94"/>
        <w:ind w:left="1459" w:right="1033"/>
        <w:jc w:val="center"/>
        <w:rPr>
          <w:sz w:val="16"/>
        </w:rPr>
      </w:pPr>
      <w:r>
        <w:rPr>
          <w:color w:val="231F20"/>
          <w:sz w:val="16"/>
        </w:rPr>
        <w:t>Stránka 10 z 15</w:t>
      </w:r>
    </w:p>
    <w:p w14:paraId="2412B9BE" w14:textId="77777777" w:rsidR="00F65BCA" w:rsidRDefault="00F65BCA">
      <w:pPr>
        <w:jc w:val="center"/>
        <w:rPr>
          <w:sz w:val="16"/>
        </w:rPr>
        <w:sectPr w:rsidR="00F65BCA">
          <w:pgSz w:w="11900" w:h="16840"/>
          <w:pgMar w:top="1060" w:right="1160" w:bottom="280" w:left="1300" w:header="708" w:footer="708" w:gutter="0"/>
          <w:cols w:space="708"/>
        </w:sectPr>
      </w:pPr>
    </w:p>
    <w:p w14:paraId="7D6C749A" w14:textId="77777777" w:rsidR="00F65BCA" w:rsidRDefault="00216117">
      <w:pPr>
        <w:pStyle w:val="Nadpis3"/>
        <w:numPr>
          <w:ilvl w:val="1"/>
          <w:numId w:val="11"/>
        </w:numPr>
        <w:tabs>
          <w:tab w:val="left" w:pos="827"/>
        </w:tabs>
        <w:spacing w:before="78" w:line="276" w:lineRule="auto"/>
        <w:ind w:left="826" w:right="112" w:hanging="710"/>
        <w:jc w:val="both"/>
      </w:pPr>
      <w:r>
        <w:rPr>
          <w:color w:val="231F20"/>
        </w:rPr>
        <w:lastRenderedPageBreak/>
        <w:t>Dodavatel je povinen sdělit Zadavateli ve lhůtě nejpozději 30 dnů po skončení kalendářního roku, v němž trvala účinnost smlouvy na plnění veřejné zakázky, v jaké souhrnné výši byla z jeho strany poskytnuta úplata samostatnému zprostředkovateli Zadavatele za plnění přímo související s plněním této veřejné zakázky (resp. příslušné části</w:t>
      </w:r>
      <w:r>
        <w:rPr>
          <w:color w:val="231F20"/>
          <w:spacing w:val="-15"/>
        </w:rPr>
        <w:t xml:space="preserve"> </w:t>
      </w:r>
      <w:r>
        <w:rPr>
          <w:color w:val="231F20"/>
        </w:rPr>
        <w:t>VZ),</w:t>
      </w:r>
      <w:r>
        <w:rPr>
          <w:color w:val="231F20"/>
          <w:spacing w:val="-15"/>
        </w:rPr>
        <w:t xml:space="preserve"> </w:t>
      </w:r>
      <w:r>
        <w:rPr>
          <w:color w:val="231F20"/>
        </w:rPr>
        <w:t>resp.</w:t>
      </w:r>
      <w:r>
        <w:rPr>
          <w:color w:val="231F20"/>
          <w:spacing w:val="-15"/>
        </w:rPr>
        <w:t xml:space="preserve"> </w:t>
      </w:r>
      <w:r>
        <w:rPr>
          <w:color w:val="231F20"/>
        </w:rPr>
        <w:t>všech</w:t>
      </w:r>
      <w:r>
        <w:rPr>
          <w:color w:val="231F20"/>
          <w:spacing w:val="-14"/>
        </w:rPr>
        <w:t xml:space="preserve"> </w:t>
      </w:r>
      <w:r>
        <w:rPr>
          <w:color w:val="231F20"/>
        </w:rPr>
        <w:t>pojistných</w:t>
      </w:r>
      <w:r>
        <w:rPr>
          <w:color w:val="231F20"/>
          <w:spacing w:val="-15"/>
        </w:rPr>
        <w:t xml:space="preserve"> </w:t>
      </w:r>
      <w:r>
        <w:rPr>
          <w:color w:val="231F20"/>
        </w:rPr>
        <w:t>smluv</w:t>
      </w:r>
      <w:r>
        <w:rPr>
          <w:color w:val="231F20"/>
          <w:spacing w:val="-14"/>
        </w:rPr>
        <w:t xml:space="preserve"> </w:t>
      </w:r>
      <w:r>
        <w:rPr>
          <w:color w:val="231F20"/>
        </w:rPr>
        <w:t>uzavřených</w:t>
      </w:r>
      <w:r>
        <w:rPr>
          <w:color w:val="231F20"/>
          <w:spacing w:val="-14"/>
        </w:rPr>
        <w:t xml:space="preserve"> </w:t>
      </w:r>
      <w:r>
        <w:rPr>
          <w:color w:val="231F20"/>
        </w:rPr>
        <w:t>za</w:t>
      </w:r>
      <w:r>
        <w:rPr>
          <w:color w:val="231F20"/>
          <w:spacing w:val="-13"/>
        </w:rPr>
        <w:t xml:space="preserve"> </w:t>
      </w:r>
      <w:r>
        <w:rPr>
          <w:color w:val="231F20"/>
        </w:rPr>
        <w:t>předcházející</w:t>
      </w:r>
      <w:r>
        <w:rPr>
          <w:color w:val="231F20"/>
          <w:spacing w:val="-16"/>
        </w:rPr>
        <w:t xml:space="preserve"> </w:t>
      </w:r>
      <w:r>
        <w:rPr>
          <w:color w:val="231F20"/>
        </w:rPr>
        <w:t>kalendářní</w:t>
      </w:r>
      <w:r>
        <w:rPr>
          <w:color w:val="231F20"/>
          <w:spacing w:val="-15"/>
        </w:rPr>
        <w:t xml:space="preserve"> </w:t>
      </w:r>
      <w:r>
        <w:rPr>
          <w:color w:val="231F20"/>
        </w:rPr>
        <w:t>rok</w:t>
      </w:r>
      <w:r>
        <w:rPr>
          <w:color w:val="231F20"/>
          <w:spacing w:val="-10"/>
        </w:rPr>
        <w:t xml:space="preserve"> </w:t>
      </w:r>
      <w:r>
        <w:rPr>
          <w:color w:val="231F20"/>
        </w:rPr>
        <w:t>mezi Zadavatelem a</w:t>
      </w:r>
      <w:r>
        <w:rPr>
          <w:color w:val="231F20"/>
          <w:spacing w:val="-3"/>
        </w:rPr>
        <w:t xml:space="preserve"> </w:t>
      </w:r>
      <w:r>
        <w:rPr>
          <w:color w:val="231F20"/>
        </w:rPr>
        <w:t>dodavatelem.</w:t>
      </w:r>
    </w:p>
    <w:p w14:paraId="44C23C32" w14:textId="77777777" w:rsidR="00F65BCA" w:rsidRDefault="00216117">
      <w:pPr>
        <w:pStyle w:val="Nadpis3"/>
        <w:numPr>
          <w:ilvl w:val="1"/>
          <w:numId w:val="11"/>
        </w:numPr>
        <w:tabs>
          <w:tab w:val="left" w:pos="827"/>
        </w:tabs>
        <w:spacing w:line="276" w:lineRule="auto"/>
        <w:ind w:left="826" w:right="113" w:hanging="710"/>
        <w:jc w:val="both"/>
      </w:pPr>
      <w:r>
        <w:rPr>
          <w:color w:val="231F20"/>
        </w:rPr>
        <w:t>Vznik škodné události bude Zadavatelem dodavateli oznamován prostřednictvím samostatného zprostředkovatele Zadavatele bez zbytečného odkladu na příslušném tiskopisu, elektronicky, dopisem, popř.</w:t>
      </w:r>
      <w:r>
        <w:rPr>
          <w:color w:val="231F20"/>
          <w:spacing w:val="-4"/>
        </w:rPr>
        <w:t xml:space="preserve"> </w:t>
      </w:r>
      <w:r>
        <w:rPr>
          <w:color w:val="231F20"/>
        </w:rPr>
        <w:t>telefonem.</w:t>
      </w:r>
    </w:p>
    <w:p w14:paraId="6A8C1491" w14:textId="77777777" w:rsidR="00F65BCA" w:rsidRDefault="00216117">
      <w:pPr>
        <w:pStyle w:val="Nadpis3"/>
        <w:numPr>
          <w:ilvl w:val="1"/>
          <w:numId w:val="11"/>
        </w:numPr>
        <w:tabs>
          <w:tab w:val="left" w:pos="827"/>
        </w:tabs>
        <w:spacing w:before="119" w:line="276" w:lineRule="auto"/>
        <w:ind w:left="826" w:right="120" w:hanging="710"/>
        <w:jc w:val="both"/>
      </w:pPr>
      <w:r>
        <w:rPr>
          <w:color w:val="231F20"/>
        </w:rPr>
        <w:t>Smlouvy</w:t>
      </w:r>
      <w:r>
        <w:rPr>
          <w:color w:val="231F20"/>
          <w:spacing w:val="-4"/>
        </w:rPr>
        <w:t xml:space="preserve"> </w:t>
      </w:r>
      <w:r>
        <w:rPr>
          <w:color w:val="231F20"/>
        </w:rPr>
        <w:t>uzavřené</w:t>
      </w:r>
      <w:r>
        <w:rPr>
          <w:color w:val="231F20"/>
          <w:spacing w:val="-5"/>
        </w:rPr>
        <w:t xml:space="preserve"> </w:t>
      </w:r>
      <w:r>
        <w:rPr>
          <w:color w:val="231F20"/>
        </w:rPr>
        <w:t>mezi</w:t>
      </w:r>
      <w:r>
        <w:rPr>
          <w:color w:val="231F20"/>
          <w:spacing w:val="-5"/>
        </w:rPr>
        <w:t xml:space="preserve"> </w:t>
      </w:r>
      <w:r>
        <w:rPr>
          <w:color w:val="231F20"/>
        </w:rPr>
        <w:t>Zadavatelem</w:t>
      </w:r>
      <w:r>
        <w:rPr>
          <w:color w:val="231F20"/>
          <w:spacing w:val="-3"/>
        </w:rPr>
        <w:t xml:space="preserve"> </w:t>
      </w:r>
      <w:r>
        <w:rPr>
          <w:color w:val="231F20"/>
        </w:rPr>
        <w:t>a</w:t>
      </w:r>
      <w:r>
        <w:rPr>
          <w:color w:val="231F20"/>
          <w:spacing w:val="-5"/>
        </w:rPr>
        <w:t xml:space="preserve"> </w:t>
      </w:r>
      <w:r>
        <w:rPr>
          <w:color w:val="231F20"/>
        </w:rPr>
        <w:t>dodavatelem</w:t>
      </w:r>
      <w:r>
        <w:rPr>
          <w:color w:val="231F20"/>
          <w:spacing w:val="-4"/>
        </w:rPr>
        <w:t xml:space="preserve"> </w:t>
      </w:r>
      <w:r>
        <w:rPr>
          <w:color w:val="231F20"/>
        </w:rPr>
        <w:t>na</w:t>
      </w:r>
      <w:r>
        <w:rPr>
          <w:color w:val="231F20"/>
          <w:spacing w:val="-4"/>
        </w:rPr>
        <w:t xml:space="preserve"> </w:t>
      </w:r>
      <w:r>
        <w:rPr>
          <w:color w:val="231F20"/>
        </w:rPr>
        <w:t>plnění</w:t>
      </w:r>
      <w:r>
        <w:rPr>
          <w:color w:val="231F20"/>
          <w:spacing w:val="-4"/>
        </w:rPr>
        <w:t xml:space="preserve"> </w:t>
      </w:r>
      <w:r>
        <w:rPr>
          <w:color w:val="231F20"/>
        </w:rPr>
        <w:t>této</w:t>
      </w:r>
      <w:r>
        <w:rPr>
          <w:color w:val="231F20"/>
          <w:spacing w:val="-5"/>
        </w:rPr>
        <w:t xml:space="preserve"> </w:t>
      </w:r>
      <w:r>
        <w:rPr>
          <w:color w:val="231F20"/>
        </w:rPr>
        <w:t>veřejné</w:t>
      </w:r>
      <w:r>
        <w:rPr>
          <w:color w:val="231F20"/>
          <w:spacing w:val="-5"/>
        </w:rPr>
        <w:t xml:space="preserve"> </w:t>
      </w:r>
      <w:r>
        <w:rPr>
          <w:color w:val="231F20"/>
        </w:rPr>
        <w:t>zakázky</w:t>
      </w:r>
      <w:r>
        <w:rPr>
          <w:color w:val="231F20"/>
          <w:spacing w:val="-4"/>
        </w:rPr>
        <w:t xml:space="preserve"> </w:t>
      </w:r>
      <w:r>
        <w:rPr>
          <w:color w:val="231F20"/>
        </w:rPr>
        <w:t>se po uplynutí sjednané doby účinnosti nebudou</w:t>
      </w:r>
      <w:r>
        <w:rPr>
          <w:color w:val="231F20"/>
          <w:spacing w:val="-6"/>
        </w:rPr>
        <w:t xml:space="preserve"> </w:t>
      </w:r>
      <w:r>
        <w:rPr>
          <w:color w:val="231F20"/>
        </w:rPr>
        <w:t>prodlužovat.</w:t>
      </w:r>
    </w:p>
    <w:p w14:paraId="1AFDE6AE" w14:textId="77777777" w:rsidR="00F65BCA" w:rsidRDefault="00216117">
      <w:pPr>
        <w:pStyle w:val="Nadpis3"/>
        <w:numPr>
          <w:ilvl w:val="1"/>
          <w:numId w:val="11"/>
        </w:numPr>
        <w:tabs>
          <w:tab w:val="left" w:pos="827"/>
        </w:tabs>
        <w:ind w:left="826" w:hanging="710"/>
        <w:jc w:val="both"/>
      </w:pPr>
      <w:r>
        <w:rPr>
          <w:color w:val="231F20"/>
        </w:rPr>
        <w:t>Způsob likvidace pojistných událostí, bude probíhat následujícím</w:t>
      </w:r>
      <w:r>
        <w:rPr>
          <w:color w:val="231F20"/>
          <w:spacing w:val="-16"/>
        </w:rPr>
        <w:t xml:space="preserve"> </w:t>
      </w:r>
      <w:r>
        <w:rPr>
          <w:color w:val="231F20"/>
        </w:rPr>
        <w:t>způsobem:</w:t>
      </w:r>
    </w:p>
    <w:p w14:paraId="1987592F" w14:textId="77777777" w:rsidR="00F65BCA" w:rsidRDefault="00216117">
      <w:pPr>
        <w:pStyle w:val="Nadpis3"/>
        <w:numPr>
          <w:ilvl w:val="2"/>
          <w:numId w:val="11"/>
        </w:numPr>
        <w:tabs>
          <w:tab w:val="left" w:pos="1046"/>
        </w:tabs>
        <w:spacing w:before="157" w:line="276" w:lineRule="auto"/>
        <w:ind w:left="1045" w:right="113" w:hanging="360"/>
        <w:jc w:val="both"/>
      </w:pPr>
      <w:r>
        <w:rPr>
          <w:color w:val="231F20"/>
        </w:rPr>
        <w:t>Prohlídky věcí postižených pojistnou událostí musí ze strany dodavatele (pojistitele) proběhnout tak, aby mohly být co nejdříve zahájeny práce s opravou poškozené věci s cílem zabránění šíření vzniklé</w:t>
      </w:r>
      <w:r>
        <w:rPr>
          <w:color w:val="231F20"/>
          <w:spacing w:val="-4"/>
        </w:rPr>
        <w:t xml:space="preserve"> </w:t>
      </w:r>
      <w:r>
        <w:rPr>
          <w:color w:val="231F20"/>
        </w:rPr>
        <w:t>újmy.</w:t>
      </w:r>
    </w:p>
    <w:p w14:paraId="78752DD9" w14:textId="77777777" w:rsidR="00F65BCA" w:rsidRDefault="00216117">
      <w:pPr>
        <w:pStyle w:val="Nadpis3"/>
        <w:numPr>
          <w:ilvl w:val="2"/>
          <w:numId w:val="11"/>
        </w:numPr>
        <w:tabs>
          <w:tab w:val="left" w:pos="1046"/>
        </w:tabs>
        <w:spacing w:before="0" w:line="276" w:lineRule="auto"/>
        <w:ind w:left="1045" w:right="113" w:hanging="360"/>
        <w:jc w:val="both"/>
      </w:pPr>
      <w:r>
        <w:rPr>
          <w:color w:val="231F20"/>
        </w:rPr>
        <w:t>V případě nesplnění podmínky uvedené v čl. 18.23 písm. a) této ZD nebo v případě, kdy to vyžaduje situace, je Zadavatel oprávněn si k provedení prohlídky najmout jím zvolenou třetí osobu, ale pouze takovou, která disponuje příslušnou licencí (SLPU) vydanou Českou národní</w:t>
      </w:r>
      <w:r>
        <w:rPr>
          <w:color w:val="231F20"/>
          <w:spacing w:val="-2"/>
        </w:rPr>
        <w:t xml:space="preserve"> </w:t>
      </w:r>
      <w:r>
        <w:rPr>
          <w:color w:val="231F20"/>
        </w:rPr>
        <w:t>bankou.</w:t>
      </w:r>
    </w:p>
    <w:p w14:paraId="426CCC80" w14:textId="77777777" w:rsidR="00F65BCA" w:rsidRDefault="00216117">
      <w:pPr>
        <w:pStyle w:val="Nadpis3"/>
        <w:numPr>
          <w:ilvl w:val="2"/>
          <w:numId w:val="11"/>
        </w:numPr>
        <w:tabs>
          <w:tab w:val="left" w:pos="1046"/>
        </w:tabs>
        <w:spacing w:before="0" w:line="276" w:lineRule="auto"/>
        <w:ind w:left="1045" w:right="119" w:hanging="360"/>
        <w:jc w:val="both"/>
      </w:pPr>
      <w:r>
        <w:rPr>
          <w:color w:val="231F20"/>
        </w:rPr>
        <w:t>Po nabytí účinnosti pojistných smluv sdělí dodavatel (pojistitel) Zadavateli rozsah oprávnění svého pracoviště, které bude oprávněno provádět prohlídky pojistných událostí. Pokud si pro provádění prohlídek najme pojistitel externí společnost, sdělí dodavatel její identifikační údaje, tj. adresu pracoviště a jména konkrétních techniků likvidace, kteří budou prohlídky případných pojistných událostí</w:t>
      </w:r>
      <w:r>
        <w:rPr>
          <w:color w:val="231F20"/>
          <w:spacing w:val="-12"/>
        </w:rPr>
        <w:t xml:space="preserve"> </w:t>
      </w:r>
      <w:r>
        <w:rPr>
          <w:color w:val="231F20"/>
        </w:rPr>
        <w:t>provádět.</w:t>
      </w:r>
    </w:p>
    <w:p w14:paraId="62EE2F47" w14:textId="77777777" w:rsidR="00F65BCA" w:rsidRDefault="00216117">
      <w:pPr>
        <w:pStyle w:val="Nadpis3"/>
        <w:numPr>
          <w:ilvl w:val="2"/>
          <w:numId w:val="11"/>
        </w:numPr>
        <w:tabs>
          <w:tab w:val="left" w:pos="1046"/>
        </w:tabs>
        <w:spacing w:before="0" w:line="276" w:lineRule="auto"/>
        <w:ind w:left="1045" w:right="112" w:hanging="360"/>
        <w:jc w:val="both"/>
      </w:pPr>
      <w:r>
        <w:rPr>
          <w:color w:val="231F20"/>
        </w:rPr>
        <w:t>Asistenční</w:t>
      </w:r>
      <w:r>
        <w:rPr>
          <w:color w:val="231F20"/>
          <w:spacing w:val="-9"/>
        </w:rPr>
        <w:t xml:space="preserve"> </w:t>
      </w:r>
      <w:r>
        <w:rPr>
          <w:color w:val="231F20"/>
        </w:rPr>
        <w:t>služba</w:t>
      </w:r>
      <w:r>
        <w:rPr>
          <w:color w:val="231F20"/>
          <w:spacing w:val="-6"/>
        </w:rPr>
        <w:t xml:space="preserve"> </w:t>
      </w:r>
      <w:r>
        <w:rPr>
          <w:color w:val="231F20"/>
        </w:rPr>
        <w:t>pro</w:t>
      </w:r>
      <w:r>
        <w:rPr>
          <w:color w:val="231F20"/>
          <w:spacing w:val="-8"/>
        </w:rPr>
        <w:t xml:space="preserve"> </w:t>
      </w:r>
      <w:r>
        <w:rPr>
          <w:color w:val="231F20"/>
        </w:rPr>
        <w:t>případ</w:t>
      </w:r>
      <w:r>
        <w:rPr>
          <w:color w:val="231F20"/>
          <w:spacing w:val="-6"/>
        </w:rPr>
        <w:t xml:space="preserve"> </w:t>
      </w:r>
      <w:r>
        <w:rPr>
          <w:color w:val="231F20"/>
        </w:rPr>
        <w:t>pomoci</w:t>
      </w:r>
      <w:r>
        <w:rPr>
          <w:color w:val="231F20"/>
          <w:spacing w:val="-8"/>
        </w:rPr>
        <w:t xml:space="preserve"> </w:t>
      </w:r>
      <w:r>
        <w:rPr>
          <w:color w:val="231F20"/>
        </w:rPr>
        <w:t>bude</w:t>
      </w:r>
      <w:r>
        <w:rPr>
          <w:color w:val="231F20"/>
          <w:spacing w:val="-7"/>
        </w:rPr>
        <w:t xml:space="preserve"> </w:t>
      </w:r>
      <w:r>
        <w:rPr>
          <w:color w:val="231F20"/>
        </w:rPr>
        <w:t>dostupná</w:t>
      </w:r>
      <w:r>
        <w:rPr>
          <w:color w:val="231F20"/>
          <w:spacing w:val="-7"/>
        </w:rPr>
        <w:t xml:space="preserve"> </w:t>
      </w:r>
      <w:r>
        <w:rPr>
          <w:color w:val="231F20"/>
        </w:rPr>
        <w:t>24</w:t>
      </w:r>
      <w:r>
        <w:rPr>
          <w:color w:val="231F20"/>
          <w:spacing w:val="-7"/>
        </w:rPr>
        <w:t xml:space="preserve"> </w:t>
      </w:r>
      <w:r>
        <w:rPr>
          <w:color w:val="231F20"/>
        </w:rPr>
        <w:t>hodin</w:t>
      </w:r>
      <w:r>
        <w:rPr>
          <w:color w:val="231F20"/>
          <w:spacing w:val="-6"/>
        </w:rPr>
        <w:t xml:space="preserve"> </w:t>
      </w:r>
      <w:r>
        <w:rPr>
          <w:color w:val="231F20"/>
        </w:rPr>
        <w:t>denně,</w:t>
      </w:r>
      <w:r>
        <w:rPr>
          <w:color w:val="231F20"/>
          <w:spacing w:val="-7"/>
        </w:rPr>
        <w:t xml:space="preserve"> </w:t>
      </w:r>
      <w:r>
        <w:rPr>
          <w:color w:val="231F20"/>
        </w:rPr>
        <w:t>7</w:t>
      </w:r>
      <w:r>
        <w:rPr>
          <w:color w:val="231F20"/>
          <w:spacing w:val="-7"/>
        </w:rPr>
        <w:t xml:space="preserve"> </w:t>
      </w:r>
      <w:r>
        <w:rPr>
          <w:color w:val="231F20"/>
        </w:rPr>
        <w:t>dní</w:t>
      </w:r>
      <w:r>
        <w:rPr>
          <w:color w:val="231F20"/>
          <w:spacing w:val="-7"/>
        </w:rPr>
        <w:t xml:space="preserve"> </w:t>
      </w:r>
      <w:r>
        <w:rPr>
          <w:color w:val="231F20"/>
        </w:rPr>
        <w:t>v</w:t>
      </w:r>
      <w:r>
        <w:rPr>
          <w:color w:val="231F20"/>
          <w:spacing w:val="1"/>
        </w:rPr>
        <w:t xml:space="preserve"> </w:t>
      </w:r>
      <w:r>
        <w:rPr>
          <w:color w:val="231F20"/>
        </w:rPr>
        <w:t>týdnu</w:t>
      </w:r>
      <w:r>
        <w:rPr>
          <w:color w:val="231F20"/>
          <w:spacing w:val="-7"/>
        </w:rPr>
        <w:t xml:space="preserve"> </w:t>
      </w:r>
      <w:r>
        <w:rPr>
          <w:color w:val="231F20"/>
        </w:rPr>
        <w:t>na území celého</w:t>
      </w:r>
      <w:r>
        <w:rPr>
          <w:color w:val="231F20"/>
          <w:spacing w:val="-2"/>
        </w:rPr>
        <w:t xml:space="preserve"> </w:t>
      </w:r>
      <w:r>
        <w:rPr>
          <w:color w:val="231F20"/>
        </w:rPr>
        <w:t>světa.</w:t>
      </w:r>
    </w:p>
    <w:p w14:paraId="66989C65" w14:textId="77777777" w:rsidR="00F65BCA" w:rsidRDefault="00216117">
      <w:pPr>
        <w:pStyle w:val="Nadpis3"/>
        <w:numPr>
          <w:ilvl w:val="2"/>
          <w:numId w:val="11"/>
        </w:numPr>
        <w:tabs>
          <w:tab w:val="left" w:pos="1046"/>
        </w:tabs>
        <w:spacing w:before="0" w:line="276" w:lineRule="auto"/>
        <w:ind w:left="1045" w:right="113" w:hanging="360"/>
        <w:jc w:val="both"/>
      </w:pPr>
      <w:r>
        <w:rPr>
          <w:color w:val="231F20"/>
        </w:rPr>
        <w:t>Pojistné události se budou nahlašovat zpravidla on-line na internetových stránkách dodavatele, popř. e-mailem, prostřednictvím mobilní aplikace či jiným vhodným způsobem. Automaticky po nahlášení bude Zadavateli, případně samostatnému zprostředkovateli Zadavatele elektronicky oznámeno přidělené číslo pojistné události a požadované doklady. Dokumenty ke škodě se přikládají</w:t>
      </w:r>
      <w:r>
        <w:rPr>
          <w:color w:val="231F20"/>
          <w:spacing w:val="-17"/>
        </w:rPr>
        <w:t xml:space="preserve"> </w:t>
      </w:r>
      <w:r>
        <w:rPr>
          <w:color w:val="231F20"/>
        </w:rPr>
        <w:t>elektronicky.</w:t>
      </w:r>
    </w:p>
    <w:p w14:paraId="07B4B439" w14:textId="77777777" w:rsidR="00F65BCA" w:rsidRDefault="00216117">
      <w:pPr>
        <w:pStyle w:val="Nadpis3"/>
        <w:numPr>
          <w:ilvl w:val="2"/>
          <w:numId w:val="11"/>
        </w:numPr>
        <w:tabs>
          <w:tab w:val="left" w:pos="1046"/>
        </w:tabs>
        <w:spacing w:before="0" w:line="276" w:lineRule="auto"/>
        <w:ind w:left="1045" w:right="114" w:hanging="360"/>
        <w:jc w:val="both"/>
      </w:pPr>
      <w:r>
        <w:rPr>
          <w:color w:val="231F20"/>
        </w:rPr>
        <w:t>Pojistná událost bude vyřízena a uhrazena na účet Zadavatele nejpozději do 15 (patnácti) pracovních dnů od dodání všech</w:t>
      </w:r>
      <w:r>
        <w:rPr>
          <w:color w:val="231F20"/>
          <w:spacing w:val="-7"/>
        </w:rPr>
        <w:t xml:space="preserve"> </w:t>
      </w:r>
      <w:r>
        <w:rPr>
          <w:color w:val="231F20"/>
        </w:rPr>
        <w:t>dokumentů.</w:t>
      </w:r>
    </w:p>
    <w:p w14:paraId="3A72A6E7" w14:textId="77777777" w:rsidR="00F65BCA" w:rsidRDefault="00F65BCA">
      <w:pPr>
        <w:pStyle w:val="Zkladntext"/>
        <w:spacing w:before="8"/>
        <w:rPr>
          <w:sz w:val="20"/>
        </w:rPr>
      </w:pPr>
    </w:p>
    <w:p w14:paraId="5B79CE99" w14:textId="77777777" w:rsidR="00F65BCA" w:rsidRDefault="00216117">
      <w:pPr>
        <w:pStyle w:val="Nadpis1"/>
        <w:numPr>
          <w:ilvl w:val="0"/>
          <w:numId w:val="18"/>
        </w:numPr>
        <w:tabs>
          <w:tab w:val="left" w:pos="686"/>
        </w:tabs>
        <w:spacing w:before="1"/>
        <w:ind w:hanging="569"/>
        <w:jc w:val="both"/>
      </w:pPr>
      <w:bookmarkStart w:id="18" w:name="_TOC_250005"/>
      <w:r>
        <w:rPr>
          <w:color w:val="231F20"/>
        </w:rPr>
        <w:t>Platební</w:t>
      </w:r>
      <w:r>
        <w:rPr>
          <w:color w:val="231F20"/>
          <w:spacing w:val="-1"/>
        </w:rPr>
        <w:t xml:space="preserve"> </w:t>
      </w:r>
      <w:bookmarkEnd w:id="18"/>
      <w:r>
        <w:rPr>
          <w:color w:val="231F20"/>
        </w:rPr>
        <w:t>podmínky</w:t>
      </w:r>
    </w:p>
    <w:p w14:paraId="6AF7A5E3" w14:textId="77777777" w:rsidR="00F65BCA" w:rsidRDefault="00216117">
      <w:pPr>
        <w:pStyle w:val="Nadpis3"/>
        <w:numPr>
          <w:ilvl w:val="1"/>
          <w:numId w:val="18"/>
        </w:numPr>
        <w:tabs>
          <w:tab w:val="left" w:pos="827"/>
        </w:tabs>
        <w:spacing w:before="118" w:line="276" w:lineRule="auto"/>
        <w:ind w:left="826" w:right="119" w:hanging="710"/>
        <w:jc w:val="both"/>
      </w:pPr>
      <w:r>
        <w:rPr>
          <w:color w:val="231F20"/>
        </w:rPr>
        <w:t>Zadavatel nebude poskytovat dodavateli jakékoli zálohy. Pojistné bude sjednáno jako běžné. Platby budou probíhat výhradně v korunách českých (Kč). Rovněž veškeré cenové údaje budou uváděny v korunách českých</w:t>
      </w:r>
      <w:r>
        <w:rPr>
          <w:color w:val="231F20"/>
          <w:spacing w:val="-8"/>
        </w:rPr>
        <w:t xml:space="preserve"> </w:t>
      </w:r>
      <w:r>
        <w:rPr>
          <w:color w:val="231F20"/>
        </w:rPr>
        <w:t>(Kč).</w:t>
      </w:r>
    </w:p>
    <w:p w14:paraId="39A3DB4B" w14:textId="77777777" w:rsidR="00F65BCA" w:rsidRDefault="00216117">
      <w:pPr>
        <w:pStyle w:val="Nadpis3"/>
        <w:numPr>
          <w:ilvl w:val="1"/>
          <w:numId w:val="18"/>
        </w:numPr>
        <w:tabs>
          <w:tab w:val="left" w:pos="827"/>
        </w:tabs>
        <w:spacing w:line="276" w:lineRule="auto"/>
        <w:ind w:left="826" w:right="113" w:hanging="710"/>
        <w:jc w:val="both"/>
      </w:pPr>
      <w:r>
        <w:rPr>
          <w:color w:val="231F20"/>
        </w:rPr>
        <w:t>Cena - pojistné za pojištění dle části 1 VZ – Pojištění majetku a odpovědnosti, části 2 VZ – Pojištění vozidel a části 4 VZ – Pojištění dronů bude uhrazena Zadavatelem ve třech</w:t>
      </w:r>
      <w:r>
        <w:rPr>
          <w:color w:val="231F20"/>
          <w:spacing w:val="-15"/>
        </w:rPr>
        <w:t xml:space="preserve"> </w:t>
      </w:r>
      <w:r>
        <w:rPr>
          <w:color w:val="231F20"/>
        </w:rPr>
        <w:t>(3)</w:t>
      </w:r>
      <w:r>
        <w:rPr>
          <w:color w:val="231F20"/>
          <w:spacing w:val="-15"/>
        </w:rPr>
        <w:t xml:space="preserve"> </w:t>
      </w:r>
      <w:r>
        <w:rPr>
          <w:color w:val="231F20"/>
        </w:rPr>
        <w:t>splátkách,</w:t>
      </w:r>
      <w:r>
        <w:rPr>
          <w:color w:val="231F20"/>
          <w:spacing w:val="-14"/>
        </w:rPr>
        <w:t xml:space="preserve"> </w:t>
      </w:r>
      <w:r>
        <w:rPr>
          <w:color w:val="231F20"/>
        </w:rPr>
        <w:t>vždy</w:t>
      </w:r>
      <w:r>
        <w:rPr>
          <w:color w:val="231F20"/>
          <w:spacing w:val="-15"/>
        </w:rPr>
        <w:t xml:space="preserve"> </w:t>
      </w:r>
      <w:r>
        <w:rPr>
          <w:color w:val="231F20"/>
        </w:rPr>
        <w:t>za</w:t>
      </w:r>
      <w:r>
        <w:rPr>
          <w:color w:val="231F20"/>
          <w:spacing w:val="-14"/>
        </w:rPr>
        <w:t xml:space="preserve"> </w:t>
      </w:r>
      <w:r>
        <w:rPr>
          <w:color w:val="231F20"/>
        </w:rPr>
        <w:t>příslušné</w:t>
      </w:r>
      <w:r>
        <w:rPr>
          <w:color w:val="231F20"/>
          <w:spacing w:val="-16"/>
        </w:rPr>
        <w:t xml:space="preserve"> </w:t>
      </w:r>
      <w:r>
        <w:rPr>
          <w:color w:val="231F20"/>
        </w:rPr>
        <w:t>pojistné</w:t>
      </w:r>
      <w:r>
        <w:rPr>
          <w:color w:val="231F20"/>
          <w:spacing w:val="-14"/>
        </w:rPr>
        <w:t xml:space="preserve"> </w:t>
      </w:r>
      <w:r>
        <w:rPr>
          <w:color w:val="231F20"/>
        </w:rPr>
        <w:t>období</w:t>
      </w:r>
      <w:r>
        <w:rPr>
          <w:color w:val="231F20"/>
          <w:spacing w:val="-15"/>
        </w:rPr>
        <w:t xml:space="preserve"> </w:t>
      </w:r>
      <w:r>
        <w:rPr>
          <w:color w:val="231F20"/>
        </w:rPr>
        <w:t>(rok).</w:t>
      </w:r>
      <w:r>
        <w:rPr>
          <w:color w:val="231F20"/>
          <w:spacing w:val="-15"/>
        </w:rPr>
        <w:t xml:space="preserve"> </w:t>
      </w:r>
      <w:r>
        <w:rPr>
          <w:color w:val="231F20"/>
        </w:rPr>
        <w:t>Výše</w:t>
      </w:r>
      <w:r>
        <w:rPr>
          <w:color w:val="231F20"/>
          <w:spacing w:val="-14"/>
        </w:rPr>
        <w:t xml:space="preserve"> </w:t>
      </w:r>
      <w:r>
        <w:rPr>
          <w:color w:val="231F20"/>
        </w:rPr>
        <w:t>splátek</w:t>
      </w:r>
      <w:r>
        <w:rPr>
          <w:color w:val="231F20"/>
          <w:spacing w:val="-15"/>
        </w:rPr>
        <w:t xml:space="preserve"> </w:t>
      </w:r>
      <w:r>
        <w:rPr>
          <w:color w:val="231F20"/>
        </w:rPr>
        <w:t>musí</w:t>
      </w:r>
      <w:r>
        <w:rPr>
          <w:color w:val="231F20"/>
          <w:spacing w:val="-14"/>
        </w:rPr>
        <w:t xml:space="preserve"> </w:t>
      </w:r>
      <w:r>
        <w:rPr>
          <w:color w:val="231F20"/>
        </w:rPr>
        <w:t>odpovídat délce jednotlivých pojistných období. Pojistné bude uhrazeno vždy na začátku příslušného pojistného období. Předpis pojistného musí být Zadavateli doručen nejpozději do konce předchozího pojistného období, resp. kalendářního</w:t>
      </w:r>
      <w:r>
        <w:rPr>
          <w:color w:val="231F20"/>
          <w:spacing w:val="-21"/>
        </w:rPr>
        <w:t xml:space="preserve"> </w:t>
      </w:r>
      <w:r>
        <w:rPr>
          <w:color w:val="231F20"/>
        </w:rPr>
        <w:t>roku.</w:t>
      </w:r>
    </w:p>
    <w:p w14:paraId="5E20A064" w14:textId="77777777" w:rsidR="00F65BCA" w:rsidRDefault="00216117">
      <w:pPr>
        <w:pStyle w:val="Nadpis3"/>
        <w:numPr>
          <w:ilvl w:val="1"/>
          <w:numId w:val="18"/>
        </w:numPr>
        <w:tabs>
          <w:tab w:val="left" w:pos="827"/>
        </w:tabs>
        <w:spacing w:before="119"/>
        <w:ind w:left="826" w:hanging="710"/>
        <w:jc w:val="both"/>
      </w:pPr>
      <w:r>
        <w:rPr>
          <w:color w:val="231F20"/>
        </w:rPr>
        <w:t>Cena</w:t>
      </w:r>
      <w:r>
        <w:rPr>
          <w:color w:val="231F20"/>
          <w:spacing w:val="-16"/>
        </w:rPr>
        <w:t xml:space="preserve"> </w:t>
      </w:r>
      <w:r>
        <w:rPr>
          <w:color w:val="231F20"/>
        </w:rPr>
        <w:t>za</w:t>
      </w:r>
      <w:r>
        <w:rPr>
          <w:color w:val="231F20"/>
          <w:spacing w:val="-14"/>
        </w:rPr>
        <w:t xml:space="preserve"> </w:t>
      </w:r>
      <w:r>
        <w:rPr>
          <w:color w:val="231F20"/>
        </w:rPr>
        <w:t>část</w:t>
      </w:r>
      <w:r>
        <w:rPr>
          <w:color w:val="231F20"/>
          <w:spacing w:val="-16"/>
        </w:rPr>
        <w:t xml:space="preserve"> </w:t>
      </w:r>
      <w:r>
        <w:rPr>
          <w:color w:val="231F20"/>
        </w:rPr>
        <w:t>3</w:t>
      </w:r>
      <w:r>
        <w:rPr>
          <w:color w:val="231F20"/>
          <w:spacing w:val="-15"/>
        </w:rPr>
        <w:t xml:space="preserve"> </w:t>
      </w:r>
      <w:r>
        <w:rPr>
          <w:color w:val="231F20"/>
        </w:rPr>
        <w:t>VZ</w:t>
      </w:r>
      <w:r>
        <w:rPr>
          <w:color w:val="231F20"/>
          <w:spacing w:val="-16"/>
        </w:rPr>
        <w:t xml:space="preserve"> </w:t>
      </w:r>
      <w:r>
        <w:rPr>
          <w:color w:val="231F20"/>
        </w:rPr>
        <w:t>–</w:t>
      </w:r>
      <w:r>
        <w:rPr>
          <w:color w:val="231F20"/>
          <w:spacing w:val="-15"/>
        </w:rPr>
        <w:t xml:space="preserve"> </w:t>
      </w:r>
      <w:r>
        <w:rPr>
          <w:color w:val="231F20"/>
        </w:rPr>
        <w:t>Cestovní</w:t>
      </w:r>
      <w:r>
        <w:rPr>
          <w:color w:val="231F20"/>
          <w:spacing w:val="-15"/>
        </w:rPr>
        <w:t xml:space="preserve"> </w:t>
      </w:r>
      <w:r>
        <w:rPr>
          <w:color w:val="231F20"/>
        </w:rPr>
        <w:t>pojištění</w:t>
      </w:r>
      <w:r>
        <w:rPr>
          <w:color w:val="231F20"/>
          <w:spacing w:val="-15"/>
        </w:rPr>
        <w:t xml:space="preserve"> </w:t>
      </w:r>
      <w:r>
        <w:rPr>
          <w:color w:val="231F20"/>
        </w:rPr>
        <w:t>bude</w:t>
      </w:r>
      <w:r>
        <w:rPr>
          <w:color w:val="231F20"/>
          <w:spacing w:val="-15"/>
        </w:rPr>
        <w:t xml:space="preserve"> </w:t>
      </w:r>
      <w:r>
        <w:rPr>
          <w:color w:val="231F20"/>
        </w:rPr>
        <w:t>Zadavatelem</w:t>
      </w:r>
      <w:r>
        <w:rPr>
          <w:color w:val="231F20"/>
          <w:spacing w:val="-17"/>
        </w:rPr>
        <w:t xml:space="preserve"> </w:t>
      </w:r>
      <w:r>
        <w:rPr>
          <w:color w:val="231F20"/>
        </w:rPr>
        <w:t>hrazena</w:t>
      </w:r>
      <w:r>
        <w:rPr>
          <w:color w:val="231F20"/>
          <w:spacing w:val="-12"/>
        </w:rPr>
        <w:t xml:space="preserve"> </w:t>
      </w:r>
      <w:r>
        <w:rPr>
          <w:color w:val="231F20"/>
        </w:rPr>
        <w:t>postupem</w:t>
      </w:r>
      <w:r>
        <w:rPr>
          <w:color w:val="231F20"/>
          <w:spacing w:val="-15"/>
        </w:rPr>
        <w:t xml:space="preserve"> </w:t>
      </w:r>
      <w:r>
        <w:rPr>
          <w:color w:val="231F20"/>
        </w:rPr>
        <w:t>uvedeným</w:t>
      </w:r>
    </w:p>
    <w:p w14:paraId="24B5F57F" w14:textId="77777777" w:rsidR="00F65BCA" w:rsidRDefault="00216117">
      <w:pPr>
        <w:pStyle w:val="Nadpis3"/>
        <w:spacing w:before="38"/>
        <w:ind w:left="826"/>
      </w:pPr>
      <w:r>
        <w:rPr>
          <w:color w:val="231F20"/>
        </w:rPr>
        <w:t>v příloze č. 3-3 této ZD.</w:t>
      </w:r>
    </w:p>
    <w:p w14:paraId="7397C274" w14:textId="77777777" w:rsidR="00F65BCA" w:rsidRDefault="00F65BCA">
      <w:pPr>
        <w:pStyle w:val="Zkladntext"/>
        <w:rPr>
          <w:sz w:val="20"/>
        </w:rPr>
      </w:pPr>
    </w:p>
    <w:p w14:paraId="200BDA9F" w14:textId="77777777" w:rsidR="00F65BCA" w:rsidRDefault="00F65BCA">
      <w:pPr>
        <w:pStyle w:val="Zkladntext"/>
        <w:rPr>
          <w:sz w:val="20"/>
        </w:rPr>
      </w:pPr>
    </w:p>
    <w:p w14:paraId="01CED09F" w14:textId="77777777" w:rsidR="00F65BCA" w:rsidRDefault="00F65BCA">
      <w:pPr>
        <w:pStyle w:val="Zkladntext"/>
        <w:spacing w:before="1"/>
        <w:rPr>
          <w:sz w:val="20"/>
        </w:rPr>
      </w:pPr>
    </w:p>
    <w:p w14:paraId="7626027B" w14:textId="77777777" w:rsidR="00F65BCA" w:rsidRDefault="00216117">
      <w:pPr>
        <w:ind w:left="1459" w:right="1033"/>
        <w:jc w:val="center"/>
        <w:rPr>
          <w:sz w:val="16"/>
        </w:rPr>
      </w:pPr>
      <w:r>
        <w:rPr>
          <w:color w:val="231F20"/>
          <w:sz w:val="16"/>
        </w:rPr>
        <w:t>Stránka 11 z 15</w:t>
      </w:r>
    </w:p>
    <w:p w14:paraId="2B3A14A9" w14:textId="77777777" w:rsidR="00F65BCA" w:rsidRDefault="00F65BCA">
      <w:pPr>
        <w:jc w:val="center"/>
        <w:rPr>
          <w:sz w:val="16"/>
        </w:rPr>
        <w:sectPr w:rsidR="00F65BCA">
          <w:pgSz w:w="11900" w:h="16840"/>
          <w:pgMar w:top="1060" w:right="1160" w:bottom="280" w:left="1300" w:header="708" w:footer="708" w:gutter="0"/>
          <w:cols w:space="708"/>
        </w:sectPr>
      </w:pPr>
    </w:p>
    <w:p w14:paraId="6E37580E" w14:textId="77777777" w:rsidR="00F65BCA" w:rsidRDefault="00216117">
      <w:pPr>
        <w:pStyle w:val="Nadpis3"/>
        <w:numPr>
          <w:ilvl w:val="1"/>
          <w:numId w:val="18"/>
        </w:numPr>
        <w:tabs>
          <w:tab w:val="left" w:pos="827"/>
        </w:tabs>
        <w:spacing w:before="78" w:line="276" w:lineRule="auto"/>
        <w:ind w:left="826" w:right="112" w:hanging="710"/>
        <w:jc w:val="both"/>
      </w:pPr>
      <w:r>
        <w:rPr>
          <w:color w:val="231F20"/>
        </w:rPr>
        <w:lastRenderedPageBreak/>
        <w:t>Všechny daňové doklady a předpisy pojistného musí obsahovat náležitosti řádného účetního</w:t>
      </w:r>
      <w:r>
        <w:rPr>
          <w:color w:val="231F20"/>
          <w:spacing w:val="-17"/>
        </w:rPr>
        <w:t xml:space="preserve"> </w:t>
      </w:r>
      <w:r>
        <w:rPr>
          <w:color w:val="231F20"/>
        </w:rPr>
        <w:t>a</w:t>
      </w:r>
      <w:r>
        <w:rPr>
          <w:color w:val="231F20"/>
          <w:spacing w:val="-17"/>
        </w:rPr>
        <w:t xml:space="preserve"> </w:t>
      </w:r>
      <w:r>
        <w:rPr>
          <w:color w:val="231F20"/>
        </w:rPr>
        <w:t>daňového</w:t>
      </w:r>
      <w:r>
        <w:rPr>
          <w:color w:val="231F20"/>
          <w:spacing w:val="-17"/>
        </w:rPr>
        <w:t xml:space="preserve"> </w:t>
      </w:r>
      <w:r>
        <w:rPr>
          <w:color w:val="231F20"/>
        </w:rPr>
        <w:t>dokladu</w:t>
      </w:r>
      <w:r>
        <w:rPr>
          <w:color w:val="231F20"/>
          <w:spacing w:val="-17"/>
        </w:rPr>
        <w:t xml:space="preserve"> </w:t>
      </w:r>
      <w:r>
        <w:rPr>
          <w:color w:val="231F20"/>
        </w:rPr>
        <w:t>ve</w:t>
      </w:r>
      <w:r>
        <w:rPr>
          <w:color w:val="231F20"/>
          <w:spacing w:val="-18"/>
        </w:rPr>
        <w:t xml:space="preserve"> </w:t>
      </w:r>
      <w:r>
        <w:rPr>
          <w:color w:val="231F20"/>
        </w:rPr>
        <w:t>smyslu</w:t>
      </w:r>
      <w:r>
        <w:rPr>
          <w:color w:val="231F20"/>
          <w:spacing w:val="-17"/>
        </w:rPr>
        <w:t xml:space="preserve"> </w:t>
      </w:r>
      <w:r>
        <w:rPr>
          <w:color w:val="231F20"/>
        </w:rPr>
        <w:t>příslušných</w:t>
      </w:r>
      <w:r>
        <w:rPr>
          <w:color w:val="231F20"/>
          <w:spacing w:val="-17"/>
        </w:rPr>
        <w:t xml:space="preserve"> </w:t>
      </w:r>
      <w:r>
        <w:rPr>
          <w:color w:val="231F20"/>
        </w:rPr>
        <w:t>právních</w:t>
      </w:r>
      <w:r>
        <w:rPr>
          <w:color w:val="231F20"/>
          <w:spacing w:val="-18"/>
        </w:rPr>
        <w:t xml:space="preserve"> </w:t>
      </w:r>
      <w:r>
        <w:rPr>
          <w:color w:val="231F20"/>
        </w:rPr>
        <w:t>předpisů,</w:t>
      </w:r>
      <w:r>
        <w:rPr>
          <w:color w:val="231F20"/>
          <w:spacing w:val="-18"/>
        </w:rPr>
        <w:t xml:space="preserve"> </w:t>
      </w:r>
      <w:r>
        <w:rPr>
          <w:color w:val="231F20"/>
        </w:rPr>
        <w:t>zejména</w:t>
      </w:r>
      <w:r>
        <w:rPr>
          <w:color w:val="231F20"/>
          <w:spacing w:val="-17"/>
        </w:rPr>
        <w:t xml:space="preserve"> </w:t>
      </w:r>
      <w:r>
        <w:rPr>
          <w:color w:val="231F20"/>
        </w:rPr>
        <w:t>zákona č. 235/2004 Sb., o dani z přidané hodnoty. Splatnost daňových dokladů vč. předpisu pojistného se sjednává  na  30  kalendářních  dnů  od  jejich  obdržení  Zadavatelem.  V případě, že daňový doklad nebo předpis pojistného nebude mít odpovídající náležitosti,</w:t>
      </w:r>
      <w:r>
        <w:rPr>
          <w:color w:val="231F20"/>
          <w:spacing w:val="-8"/>
        </w:rPr>
        <w:t xml:space="preserve"> </w:t>
      </w:r>
      <w:r>
        <w:rPr>
          <w:color w:val="231F20"/>
        </w:rPr>
        <w:t>je</w:t>
      </w:r>
      <w:r>
        <w:rPr>
          <w:color w:val="231F20"/>
          <w:spacing w:val="-8"/>
        </w:rPr>
        <w:t xml:space="preserve"> </w:t>
      </w:r>
      <w:r>
        <w:rPr>
          <w:color w:val="231F20"/>
        </w:rPr>
        <w:t>Zadavatel</w:t>
      </w:r>
      <w:r>
        <w:rPr>
          <w:color w:val="231F20"/>
          <w:spacing w:val="-8"/>
        </w:rPr>
        <w:t xml:space="preserve"> </w:t>
      </w:r>
      <w:r>
        <w:rPr>
          <w:color w:val="231F20"/>
        </w:rPr>
        <w:t>oprávněn</w:t>
      </w:r>
      <w:r>
        <w:rPr>
          <w:color w:val="231F20"/>
          <w:spacing w:val="-7"/>
        </w:rPr>
        <w:t xml:space="preserve"> </w:t>
      </w:r>
      <w:r>
        <w:rPr>
          <w:color w:val="231F20"/>
        </w:rPr>
        <w:t>jej</w:t>
      </w:r>
      <w:r>
        <w:rPr>
          <w:color w:val="231F20"/>
          <w:spacing w:val="-9"/>
        </w:rPr>
        <w:t xml:space="preserve"> </w:t>
      </w:r>
      <w:r>
        <w:rPr>
          <w:color w:val="231F20"/>
        </w:rPr>
        <w:t>vrátit</w:t>
      </w:r>
      <w:r>
        <w:rPr>
          <w:color w:val="231F20"/>
          <w:spacing w:val="-8"/>
        </w:rPr>
        <w:t xml:space="preserve"> </w:t>
      </w:r>
      <w:r>
        <w:rPr>
          <w:color w:val="231F20"/>
        </w:rPr>
        <w:t>ve</w:t>
      </w:r>
      <w:r>
        <w:rPr>
          <w:color w:val="231F20"/>
          <w:spacing w:val="-7"/>
        </w:rPr>
        <w:t xml:space="preserve"> </w:t>
      </w:r>
      <w:r>
        <w:rPr>
          <w:color w:val="231F20"/>
        </w:rPr>
        <w:t>lhůtě</w:t>
      </w:r>
      <w:r>
        <w:rPr>
          <w:color w:val="231F20"/>
          <w:spacing w:val="-7"/>
        </w:rPr>
        <w:t xml:space="preserve"> </w:t>
      </w:r>
      <w:r>
        <w:rPr>
          <w:color w:val="231F20"/>
        </w:rPr>
        <w:t>splatnosti</w:t>
      </w:r>
      <w:r>
        <w:rPr>
          <w:color w:val="231F20"/>
          <w:spacing w:val="-8"/>
        </w:rPr>
        <w:t xml:space="preserve"> </w:t>
      </w:r>
      <w:r>
        <w:rPr>
          <w:color w:val="231F20"/>
        </w:rPr>
        <w:t>zpět</w:t>
      </w:r>
      <w:r>
        <w:rPr>
          <w:color w:val="231F20"/>
          <w:spacing w:val="-7"/>
        </w:rPr>
        <w:t xml:space="preserve"> </w:t>
      </w:r>
      <w:r>
        <w:rPr>
          <w:color w:val="231F20"/>
        </w:rPr>
        <w:t>dodavateli</w:t>
      </w:r>
      <w:r>
        <w:rPr>
          <w:color w:val="231F20"/>
          <w:spacing w:val="-7"/>
        </w:rPr>
        <w:t xml:space="preserve"> </w:t>
      </w:r>
      <w:r>
        <w:rPr>
          <w:color w:val="231F20"/>
        </w:rPr>
        <w:t>k</w:t>
      </w:r>
      <w:r>
        <w:rPr>
          <w:color w:val="231F20"/>
          <w:spacing w:val="3"/>
        </w:rPr>
        <w:t xml:space="preserve"> </w:t>
      </w:r>
      <w:r>
        <w:rPr>
          <w:color w:val="231F20"/>
        </w:rPr>
        <w:t>doplnění či opravě, aniž se tak dostane do prodlení se splatností. Lhůta splatnosti počíná běžet znovu od zaslání náležitě doplněného či opraveného předpisu</w:t>
      </w:r>
      <w:r>
        <w:rPr>
          <w:color w:val="231F20"/>
          <w:spacing w:val="-17"/>
        </w:rPr>
        <w:t xml:space="preserve"> </w:t>
      </w:r>
      <w:r>
        <w:rPr>
          <w:color w:val="231F20"/>
        </w:rPr>
        <w:t>pojistného.</w:t>
      </w:r>
    </w:p>
    <w:p w14:paraId="5C3A07EC" w14:textId="77777777" w:rsidR="00F65BCA" w:rsidRDefault="00216117">
      <w:pPr>
        <w:pStyle w:val="Nadpis3"/>
        <w:numPr>
          <w:ilvl w:val="1"/>
          <w:numId w:val="18"/>
        </w:numPr>
        <w:tabs>
          <w:tab w:val="left" w:pos="827"/>
        </w:tabs>
        <w:spacing w:line="276" w:lineRule="auto"/>
        <w:ind w:left="826" w:right="115" w:hanging="710"/>
        <w:jc w:val="both"/>
      </w:pPr>
      <w:r>
        <w:rPr>
          <w:color w:val="231F20"/>
        </w:rPr>
        <w:t>Cena nebude měněna v souvislosti s hodnotou kurzu české koruny vůči zahraničním měnám či jinými faktory s vlivem na měnový kurz a stabilitu</w:t>
      </w:r>
      <w:r>
        <w:rPr>
          <w:color w:val="231F20"/>
          <w:spacing w:val="-11"/>
        </w:rPr>
        <w:t xml:space="preserve"> </w:t>
      </w:r>
      <w:r>
        <w:rPr>
          <w:color w:val="231F20"/>
        </w:rPr>
        <w:t>měny.</w:t>
      </w:r>
    </w:p>
    <w:p w14:paraId="394EC5DF" w14:textId="77777777" w:rsidR="00F65BCA" w:rsidRDefault="00216117">
      <w:pPr>
        <w:pStyle w:val="Nadpis3"/>
        <w:numPr>
          <w:ilvl w:val="1"/>
          <w:numId w:val="18"/>
        </w:numPr>
        <w:tabs>
          <w:tab w:val="left" w:pos="827"/>
        </w:tabs>
        <w:spacing w:before="118" w:line="276" w:lineRule="auto"/>
        <w:ind w:left="826" w:right="112" w:hanging="710"/>
        <w:jc w:val="both"/>
      </w:pPr>
      <w:r>
        <w:rPr>
          <w:color w:val="231F20"/>
        </w:rPr>
        <w:t>Za</w:t>
      </w:r>
      <w:r>
        <w:rPr>
          <w:color w:val="231F20"/>
          <w:spacing w:val="-5"/>
        </w:rPr>
        <w:t xml:space="preserve"> </w:t>
      </w:r>
      <w:r>
        <w:rPr>
          <w:color w:val="231F20"/>
        </w:rPr>
        <w:t>příznivý</w:t>
      </w:r>
      <w:r>
        <w:rPr>
          <w:color w:val="231F20"/>
          <w:spacing w:val="-5"/>
        </w:rPr>
        <w:t xml:space="preserve"> </w:t>
      </w:r>
      <w:r>
        <w:rPr>
          <w:color w:val="231F20"/>
        </w:rPr>
        <w:t>škodní</w:t>
      </w:r>
      <w:r>
        <w:rPr>
          <w:color w:val="231F20"/>
          <w:spacing w:val="-3"/>
        </w:rPr>
        <w:t xml:space="preserve"> </w:t>
      </w:r>
      <w:r>
        <w:rPr>
          <w:color w:val="231F20"/>
        </w:rPr>
        <w:t>průběh</w:t>
      </w:r>
      <w:r>
        <w:rPr>
          <w:color w:val="231F20"/>
          <w:spacing w:val="-4"/>
        </w:rPr>
        <w:t xml:space="preserve"> </w:t>
      </w:r>
      <w:r>
        <w:rPr>
          <w:color w:val="231F20"/>
        </w:rPr>
        <w:t>u</w:t>
      </w:r>
      <w:r>
        <w:rPr>
          <w:color w:val="231F20"/>
          <w:spacing w:val="-4"/>
        </w:rPr>
        <w:t xml:space="preserve"> </w:t>
      </w:r>
      <w:r>
        <w:rPr>
          <w:color w:val="231F20"/>
        </w:rPr>
        <w:t>Pojištění</w:t>
      </w:r>
      <w:r>
        <w:rPr>
          <w:color w:val="231F20"/>
          <w:spacing w:val="-4"/>
        </w:rPr>
        <w:t xml:space="preserve"> </w:t>
      </w:r>
      <w:r>
        <w:rPr>
          <w:color w:val="231F20"/>
        </w:rPr>
        <w:t>majetku</w:t>
      </w:r>
      <w:r>
        <w:rPr>
          <w:color w:val="231F20"/>
          <w:spacing w:val="-4"/>
        </w:rPr>
        <w:t xml:space="preserve"> </w:t>
      </w:r>
      <w:r>
        <w:rPr>
          <w:color w:val="231F20"/>
        </w:rPr>
        <w:t>a</w:t>
      </w:r>
      <w:r>
        <w:rPr>
          <w:color w:val="231F20"/>
          <w:spacing w:val="-5"/>
        </w:rPr>
        <w:t xml:space="preserve"> </w:t>
      </w:r>
      <w:r>
        <w:rPr>
          <w:color w:val="231F20"/>
        </w:rPr>
        <w:t>odpovědnosti</w:t>
      </w:r>
      <w:r>
        <w:rPr>
          <w:color w:val="231F20"/>
          <w:spacing w:val="-4"/>
        </w:rPr>
        <w:t xml:space="preserve"> </w:t>
      </w:r>
      <w:r>
        <w:rPr>
          <w:color w:val="231F20"/>
        </w:rPr>
        <w:t>za</w:t>
      </w:r>
      <w:r>
        <w:rPr>
          <w:color w:val="231F20"/>
          <w:spacing w:val="-5"/>
        </w:rPr>
        <w:t xml:space="preserve"> </w:t>
      </w:r>
      <w:r>
        <w:rPr>
          <w:color w:val="231F20"/>
        </w:rPr>
        <w:t>újmu</w:t>
      </w:r>
      <w:r>
        <w:rPr>
          <w:color w:val="231F20"/>
          <w:spacing w:val="-3"/>
        </w:rPr>
        <w:t xml:space="preserve"> </w:t>
      </w:r>
      <w:r>
        <w:rPr>
          <w:color w:val="231F20"/>
        </w:rPr>
        <w:t>(část</w:t>
      </w:r>
      <w:r>
        <w:rPr>
          <w:color w:val="231F20"/>
          <w:spacing w:val="-4"/>
        </w:rPr>
        <w:t xml:space="preserve"> </w:t>
      </w:r>
      <w:r>
        <w:rPr>
          <w:color w:val="231F20"/>
        </w:rPr>
        <w:t>1</w:t>
      </w:r>
      <w:r>
        <w:rPr>
          <w:color w:val="231F20"/>
          <w:spacing w:val="-5"/>
        </w:rPr>
        <w:t xml:space="preserve"> </w:t>
      </w:r>
      <w:r>
        <w:rPr>
          <w:color w:val="231F20"/>
        </w:rPr>
        <w:t>VZ)</w:t>
      </w:r>
      <w:r>
        <w:rPr>
          <w:color w:val="231F20"/>
          <w:spacing w:val="-3"/>
        </w:rPr>
        <w:t xml:space="preserve"> </w:t>
      </w:r>
      <w:r>
        <w:rPr>
          <w:color w:val="231F20"/>
        </w:rPr>
        <w:t>bude Zadavateli dodavatelem poskytnuta sleva na pojistném (tzv. bonifikace). Bonifikace (sleva)</w:t>
      </w:r>
      <w:r>
        <w:rPr>
          <w:color w:val="231F20"/>
          <w:spacing w:val="-17"/>
        </w:rPr>
        <w:t xml:space="preserve"> </w:t>
      </w:r>
      <w:r>
        <w:rPr>
          <w:color w:val="231F20"/>
        </w:rPr>
        <w:t>bude</w:t>
      </w:r>
      <w:r>
        <w:rPr>
          <w:color w:val="231F20"/>
          <w:spacing w:val="-18"/>
        </w:rPr>
        <w:t xml:space="preserve"> </w:t>
      </w:r>
      <w:r>
        <w:rPr>
          <w:color w:val="231F20"/>
        </w:rPr>
        <w:t>poskytnuta</w:t>
      </w:r>
      <w:r>
        <w:rPr>
          <w:color w:val="231F20"/>
          <w:spacing w:val="-18"/>
        </w:rPr>
        <w:t xml:space="preserve"> </w:t>
      </w:r>
      <w:r>
        <w:rPr>
          <w:color w:val="231F20"/>
        </w:rPr>
        <w:t>v</w:t>
      </w:r>
      <w:r>
        <w:rPr>
          <w:color w:val="231F20"/>
          <w:spacing w:val="-3"/>
        </w:rPr>
        <w:t xml:space="preserve"> </w:t>
      </w:r>
      <w:r>
        <w:rPr>
          <w:color w:val="231F20"/>
        </w:rPr>
        <w:t>níže</w:t>
      </w:r>
      <w:r>
        <w:rPr>
          <w:color w:val="231F20"/>
          <w:spacing w:val="-17"/>
        </w:rPr>
        <w:t xml:space="preserve"> </w:t>
      </w:r>
      <w:r>
        <w:rPr>
          <w:color w:val="231F20"/>
        </w:rPr>
        <w:t>uvedené</w:t>
      </w:r>
      <w:r>
        <w:rPr>
          <w:color w:val="231F20"/>
          <w:spacing w:val="-16"/>
        </w:rPr>
        <w:t xml:space="preserve"> </w:t>
      </w:r>
      <w:r>
        <w:rPr>
          <w:color w:val="231F20"/>
        </w:rPr>
        <w:t>výši,</w:t>
      </w:r>
      <w:r>
        <w:rPr>
          <w:color w:val="231F20"/>
          <w:spacing w:val="-17"/>
        </w:rPr>
        <w:t xml:space="preserve"> </w:t>
      </w:r>
      <w:r>
        <w:rPr>
          <w:color w:val="231F20"/>
        </w:rPr>
        <w:t>pokud</w:t>
      </w:r>
      <w:r>
        <w:rPr>
          <w:color w:val="231F20"/>
          <w:spacing w:val="-17"/>
        </w:rPr>
        <w:t xml:space="preserve"> </w:t>
      </w:r>
      <w:r>
        <w:rPr>
          <w:color w:val="231F20"/>
        </w:rPr>
        <w:t>plnění</w:t>
      </w:r>
      <w:r>
        <w:rPr>
          <w:color w:val="231F20"/>
          <w:spacing w:val="-17"/>
        </w:rPr>
        <w:t xml:space="preserve"> </w:t>
      </w:r>
      <w:r>
        <w:rPr>
          <w:color w:val="231F20"/>
        </w:rPr>
        <w:t>pojistitele</w:t>
      </w:r>
      <w:r>
        <w:rPr>
          <w:color w:val="231F20"/>
          <w:spacing w:val="-17"/>
        </w:rPr>
        <w:t xml:space="preserve"> </w:t>
      </w:r>
      <w:r>
        <w:rPr>
          <w:color w:val="231F20"/>
        </w:rPr>
        <w:t>z</w:t>
      </w:r>
      <w:r>
        <w:rPr>
          <w:color w:val="231F20"/>
          <w:spacing w:val="-1"/>
        </w:rPr>
        <w:t xml:space="preserve"> </w:t>
      </w:r>
      <w:r>
        <w:rPr>
          <w:color w:val="231F20"/>
        </w:rPr>
        <w:t>příslušné</w:t>
      </w:r>
      <w:r>
        <w:rPr>
          <w:color w:val="231F20"/>
          <w:spacing w:val="-17"/>
        </w:rPr>
        <w:t xml:space="preserve"> </w:t>
      </w:r>
      <w:r>
        <w:rPr>
          <w:color w:val="231F20"/>
        </w:rPr>
        <w:t>pojistné smlouvy nepřesáhne stanovený poměr z celkového ročního</w:t>
      </w:r>
      <w:r>
        <w:rPr>
          <w:color w:val="231F20"/>
          <w:spacing w:val="-9"/>
        </w:rPr>
        <w:t xml:space="preserve"> </w:t>
      </w:r>
      <w:r>
        <w:rPr>
          <w:color w:val="231F20"/>
        </w:rPr>
        <w:t>pojistného:</w:t>
      </w:r>
    </w:p>
    <w:p w14:paraId="1E09CD63" w14:textId="77777777" w:rsidR="00F65BCA" w:rsidRDefault="00F65BCA">
      <w:pPr>
        <w:pStyle w:val="Zkladntext"/>
        <w:spacing w:before="1"/>
        <w:rPr>
          <w:sz w:val="11"/>
        </w:rPr>
      </w:pPr>
    </w:p>
    <w:tbl>
      <w:tblPr>
        <w:tblStyle w:val="TableNormal"/>
        <w:tblW w:w="0" w:type="auto"/>
        <w:tblInd w:w="1209" w:type="dxa"/>
        <w:tblLayout w:type="fixed"/>
        <w:tblLook w:val="01E0" w:firstRow="1" w:lastRow="1" w:firstColumn="1" w:lastColumn="1" w:noHBand="0" w:noVBand="0"/>
      </w:tblPr>
      <w:tblGrid>
        <w:gridCol w:w="1597"/>
        <w:gridCol w:w="1408"/>
        <w:gridCol w:w="1572"/>
      </w:tblGrid>
      <w:tr w:rsidR="00F65BCA" w14:paraId="46A78AFA" w14:textId="77777777">
        <w:trPr>
          <w:trHeight w:val="268"/>
        </w:trPr>
        <w:tc>
          <w:tcPr>
            <w:tcW w:w="1597" w:type="dxa"/>
          </w:tcPr>
          <w:p w14:paraId="79190C7A" w14:textId="77777777" w:rsidR="00F65BCA" w:rsidRDefault="00216117">
            <w:pPr>
              <w:pStyle w:val="TableParagraph"/>
              <w:spacing w:line="245" w:lineRule="exact"/>
              <w:ind w:left="50"/>
            </w:pPr>
            <w:r>
              <w:rPr>
                <w:color w:val="231F20"/>
              </w:rPr>
              <w:t>škodní průběh</w:t>
            </w:r>
          </w:p>
        </w:tc>
        <w:tc>
          <w:tcPr>
            <w:tcW w:w="1408" w:type="dxa"/>
          </w:tcPr>
          <w:p w14:paraId="5100A964" w14:textId="77777777" w:rsidR="00F65BCA" w:rsidRDefault="00216117">
            <w:pPr>
              <w:pStyle w:val="TableParagraph"/>
              <w:spacing w:line="245" w:lineRule="exact"/>
              <w:ind w:left="153"/>
            </w:pPr>
            <w:r>
              <w:rPr>
                <w:color w:val="231F20"/>
              </w:rPr>
              <w:t>do 10 %</w:t>
            </w:r>
          </w:p>
        </w:tc>
        <w:tc>
          <w:tcPr>
            <w:tcW w:w="1572" w:type="dxa"/>
          </w:tcPr>
          <w:p w14:paraId="216F51F3" w14:textId="77777777" w:rsidR="00F65BCA" w:rsidRDefault="00216117">
            <w:pPr>
              <w:pStyle w:val="TableParagraph"/>
              <w:spacing w:line="245" w:lineRule="exact"/>
              <w:ind w:left="445"/>
            </w:pPr>
            <w:r>
              <w:rPr>
                <w:color w:val="231F20"/>
              </w:rPr>
              <w:t>sleva 25 %</w:t>
            </w:r>
          </w:p>
        </w:tc>
      </w:tr>
      <w:tr w:rsidR="00F65BCA" w14:paraId="1C72C360" w14:textId="77777777">
        <w:trPr>
          <w:trHeight w:val="290"/>
        </w:trPr>
        <w:tc>
          <w:tcPr>
            <w:tcW w:w="1597" w:type="dxa"/>
          </w:tcPr>
          <w:p w14:paraId="248B7F66" w14:textId="77777777" w:rsidR="00F65BCA" w:rsidRDefault="00F65BCA">
            <w:pPr>
              <w:pStyle w:val="TableParagraph"/>
              <w:rPr>
                <w:rFonts w:ascii="Times New Roman"/>
                <w:sz w:val="20"/>
              </w:rPr>
            </w:pPr>
          </w:p>
        </w:tc>
        <w:tc>
          <w:tcPr>
            <w:tcW w:w="1408" w:type="dxa"/>
          </w:tcPr>
          <w:p w14:paraId="16A33915" w14:textId="77777777" w:rsidR="00F65BCA" w:rsidRDefault="00216117">
            <w:pPr>
              <w:pStyle w:val="TableParagraph"/>
              <w:spacing w:before="15"/>
              <w:ind w:left="153"/>
            </w:pPr>
            <w:r>
              <w:rPr>
                <w:color w:val="231F20"/>
              </w:rPr>
              <w:t>do 20 %</w:t>
            </w:r>
          </w:p>
        </w:tc>
        <w:tc>
          <w:tcPr>
            <w:tcW w:w="1572" w:type="dxa"/>
          </w:tcPr>
          <w:p w14:paraId="0ED1A9FB" w14:textId="77777777" w:rsidR="00F65BCA" w:rsidRDefault="00216117">
            <w:pPr>
              <w:pStyle w:val="TableParagraph"/>
              <w:spacing w:before="15"/>
              <w:ind w:left="445"/>
            </w:pPr>
            <w:r>
              <w:rPr>
                <w:color w:val="231F20"/>
              </w:rPr>
              <w:t>sleva 15 %</w:t>
            </w:r>
          </w:p>
        </w:tc>
      </w:tr>
      <w:tr w:rsidR="00F65BCA" w14:paraId="1FAB9133" w14:textId="77777777">
        <w:trPr>
          <w:trHeight w:val="267"/>
        </w:trPr>
        <w:tc>
          <w:tcPr>
            <w:tcW w:w="1597" w:type="dxa"/>
          </w:tcPr>
          <w:p w14:paraId="79BDEE66" w14:textId="77777777" w:rsidR="00F65BCA" w:rsidRDefault="00F65BCA">
            <w:pPr>
              <w:pStyle w:val="TableParagraph"/>
              <w:rPr>
                <w:rFonts w:ascii="Times New Roman"/>
                <w:sz w:val="18"/>
              </w:rPr>
            </w:pPr>
          </w:p>
        </w:tc>
        <w:tc>
          <w:tcPr>
            <w:tcW w:w="1408" w:type="dxa"/>
          </w:tcPr>
          <w:p w14:paraId="066FA58F" w14:textId="77777777" w:rsidR="00F65BCA" w:rsidRDefault="00216117">
            <w:pPr>
              <w:pStyle w:val="TableParagraph"/>
              <w:spacing w:before="15" w:line="233" w:lineRule="exact"/>
              <w:ind w:left="153"/>
            </w:pPr>
            <w:r>
              <w:rPr>
                <w:color w:val="231F20"/>
              </w:rPr>
              <w:t>do 30 %</w:t>
            </w:r>
          </w:p>
        </w:tc>
        <w:tc>
          <w:tcPr>
            <w:tcW w:w="1572" w:type="dxa"/>
          </w:tcPr>
          <w:p w14:paraId="042F2503" w14:textId="77777777" w:rsidR="00F65BCA" w:rsidRDefault="00216117">
            <w:pPr>
              <w:pStyle w:val="TableParagraph"/>
              <w:spacing w:before="15" w:line="233" w:lineRule="exact"/>
              <w:ind w:left="445"/>
            </w:pPr>
            <w:r>
              <w:rPr>
                <w:color w:val="231F20"/>
              </w:rPr>
              <w:t>sleva 5 %</w:t>
            </w:r>
          </w:p>
        </w:tc>
      </w:tr>
    </w:tbl>
    <w:p w14:paraId="13EE1258" w14:textId="77777777" w:rsidR="00F65BCA" w:rsidRDefault="00216117">
      <w:pPr>
        <w:pStyle w:val="Nadpis3"/>
        <w:numPr>
          <w:ilvl w:val="1"/>
          <w:numId w:val="18"/>
        </w:numPr>
        <w:tabs>
          <w:tab w:val="left" w:pos="827"/>
        </w:tabs>
        <w:spacing w:before="157" w:line="276" w:lineRule="auto"/>
        <w:ind w:left="826" w:right="113" w:hanging="710"/>
        <w:jc w:val="both"/>
      </w:pPr>
      <w:r>
        <w:rPr>
          <w:color w:val="231F20"/>
        </w:rPr>
        <w:t>Za příznivý škodní průběh u havarijního pojištění motorových vozidel (část 2 VZ) bude Zadavateli dodavatelem poskytnuta sleva na pojistném (tzv. bonifikace). Bonifikace (sleva) bude poskytnuta v níže uvedené výši, pokud plnění pojistitele z havarijního pojištění motorových vozidel nepřesáhne stanovený poměr z celkového ročního havarijního</w:t>
      </w:r>
      <w:r>
        <w:rPr>
          <w:color w:val="231F20"/>
          <w:spacing w:val="-2"/>
        </w:rPr>
        <w:t xml:space="preserve"> </w:t>
      </w:r>
      <w:r>
        <w:rPr>
          <w:color w:val="231F20"/>
        </w:rPr>
        <w:t>pojistného:</w:t>
      </w:r>
    </w:p>
    <w:p w14:paraId="2F427204" w14:textId="77777777" w:rsidR="00F65BCA" w:rsidRDefault="00F65BCA">
      <w:pPr>
        <w:pStyle w:val="Zkladntext"/>
        <w:spacing w:before="1"/>
        <w:rPr>
          <w:sz w:val="11"/>
        </w:rPr>
      </w:pPr>
    </w:p>
    <w:tbl>
      <w:tblPr>
        <w:tblStyle w:val="TableNormal"/>
        <w:tblW w:w="0" w:type="auto"/>
        <w:tblInd w:w="1209" w:type="dxa"/>
        <w:tblLayout w:type="fixed"/>
        <w:tblLook w:val="01E0" w:firstRow="1" w:lastRow="1" w:firstColumn="1" w:lastColumn="1" w:noHBand="0" w:noVBand="0"/>
      </w:tblPr>
      <w:tblGrid>
        <w:gridCol w:w="1597"/>
        <w:gridCol w:w="1408"/>
        <w:gridCol w:w="1574"/>
      </w:tblGrid>
      <w:tr w:rsidR="00F65BCA" w14:paraId="1B2BD848" w14:textId="77777777">
        <w:trPr>
          <w:trHeight w:val="267"/>
        </w:trPr>
        <w:tc>
          <w:tcPr>
            <w:tcW w:w="1597" w:type="dxa"/>
          </w:tcPr>
          <w:p w14:paraId="231CD833" w14:textId="77777777" w:rsidR="00F65BCA" w:rsidRDefault="00216117">
            <w:pPr>
              <w:pStyle w:val="TableParagraph"/>
              <w:spacing w:line="245" w:lineRule="exact"/>
              <w:ind w:left="50"/>
            </w:pPr>
            <w:r>
              <w:rPr>
                <w:color w:val="231F20"/>
              </w:rPr>
              <w:t>škodní průběh</w:t>
            </w:r>
          </w:p>
        </w:tc>
        <w:tc>
          <w:tcPr>
            <w:tcW w:w="1408" w:type="dxa"/>
          </w:tcPr>
          <w:p w14:paraId="249EE0B7" w14:textId="77777777" w:rsidR="00F65BCA" w:rsidRDefault="00216117">
            <w:pPr>
              <w:pStyle w:val="TableParagraph"/>
              <w:spacing w:line="245" w:lineRule="exact"/>
              <w:ind w:left="153"/>
            </w:pPr>
            <w:r>
              <w:rPr>
                <w:color w:val="231F20"/>
              </w:rPr>
              <w:t>do 10 %</w:t>
            </w:r>
          </w:p>
        </w:tc>
        <w:tc>
          <w:tcPr>
            <w:tcW w:w="1574" w:type="dxa"/>
          </w:tcPr>
          <w:p w14:paraId="7E1F8B31" w14:textId="77777777" w:rsidR="00F65BCA" w:rsidRDefault="00216117">
            <w:pPr>
              <w:pStyle w:val="TableParagraph"/>
              <w:spacing w:line="245" w:lineRule="exact"/>
              <w:ind w:left="445"/>
            </w:pPr>
            <w:r>
              <w:rPr>
                <w:color w:val="231F20"/>
              </w:rPr>
              <w:t>sleva 15 %</w:t>
            </w:r>
          </w:p>
        </w:tc>
      </w:tr>
      <w:tr w:rsidR="00F65BCA" w14:paraId="5BF44A87" w14:textId="77777777">
        <w:trPr>
          <w:trHeight w:val="291"/>
        </w:trPr>
        <w:tc>
          <w:tcPr>
            <w:tcW w:w="1597" w:type="dxa"/>
          </w:tcPr>
          <w:p w14:paraId="7C14F0D5" w14:textId="77777777" w:rsidR="00F65BCA" w:rsidRDefault="00F65BCA">
            <w:pPr>
              <w:pStyle w:val="TableParagraph"/>
              <w:rPr>
                <w:rFonts w:ascii="Times New Roman"/>
                <w:sz w:val="20"/>
              </w:rPr>
            </w:pPr>
          </w:p>
        </w:tc>
        <w:tc>
          <w:tcPr>
            <w:tcW w:w="1408" w:type="dxa"/>
          </w:tcPr>
          <w:p w14:paraId="4A6821CD" w14:textId="77777777" w:rsidR="00F65BCA" w:rsidRDefault="00216117">
            <w:pPr>
              <w:pStyle w:val="TableParagraph"/>
              <w:spacing w:before="15"/>
              <w:ind w:left="153"/>
            </w:pPr>
            <w:r>
              <w:rPr>
                <w:color w:val="231F20"/>
              </w:rPr>
              <w:t>do 20 %</w:t>
            </w:r>
          </w:p>
        </w:tc>
        <w:tc>
          <w:tcPr>
            <w:tcW w:w="1574" w:type="dxa"/>
          </w:tcPr>
          <w:p w14:paraId="17E58A38" w14:textId="77777777" w:rsidR="00F65BCA" w:rsidRDefault="00216117">
            <w:pPr>
              <w:pStyle w:val="TableParagraph"/>
              <w:spacing w:before="15"/>
              <w:ind w:left="445"/>
            </w:pPr>
            <w:r>
              <w:rPr>
                <w:color w:val="231F20"/>
              </w:rPr>
              <w:t>sleva 10 %</w:t>
            </w:r>
          </w:p>
        </w:tc>
      </w:tr>
      <w:tr w:rsidR="00F65BCA" w14:paraId="0F569C6F" w14:textId="77777777">
        <w:trPr>
          <w:trHeight w:val="268"/>
        </w:trPr>
        <w:tc>
          <w:tcPr>
            <w:tcW w:w="1597" w:type="dxa"/>
          </w:tcPr>
          <w:p w14:paraId="45DC021F" w14:textId="77777777" w:rsidR="00F65BCA" w:rsidRDefault="00F65BCA">
            <w:pPr>
              <w:pStyle w:val="TableParagraph"/>
              <w:rPr>
                <w:rFonts w:ascii="Times New Roman"/>
                <w:sz w:val="18"/>
              </w:rPr>
            </w:pPr>
          </w:p>
        </w:tc>
        <w:tc>
          <w:tcPr>
            <w:tcW w:w="1408" w:type="dxa"/>
          </w:tcPr>
          <w:p w14:paraId="244A3A60" w14:textId="77777777" w:rsidR="00F65BCA" w:rsidRDefault="00216117">
            <w:pPr>
              <w:pStyle w:val="TableParagraph"/>
              <w:spacing w:before="15" w:line="233" w:lineRule="exact"/>
              <w:ind w:left="153"/>
            </w:pPr>
            <w:r>
              <w:rPr>
                <w:color w:val="231F20"/>
              </w:rPr>
              <w:t>do 30 %</w:t>
            </w:r>
          </w:p>
        </w:tc>
        <w:tc>
          <w:tcPr>
            <w:tcW w:w="1574" w:type="dxa"/>
          </w:tcPr>
          <w:p w14:paraId="4EAE49EB" w14:textId="77777777" w:rsidR="00F65BCA" w:rsidRDefault="00216117">
            <w:pPr>
              <w:pStyle w:val="TableParagraph"/>
              <w:spacing w:before="15" w:line="233" w:lineRule="exact"/>
              <w:ind w:left="445"/>
            </w:pPr>
            <w:r>
              <w:rPr>
                <w:color w:val="231F20"/>
              </w:rPr>
              <w:t>sleva 5 %</w:t>
            </w:r>
          </w:p>
        </w:tc>
      </w:tr>
    </w:tbl>
    <w:p w14:paraId="08BBFC8F" w14:textId="77777777" w:rsidR="00F65BCA" w:rsidRDefault="00216117">
      <w:pPr>
        <w:pStyle w:val="Nadpis3"/>
        <w:numPr>
          <w:ilvl w:val="1"/>
          <w:numId w:val="18"/>
        </w:numPr>
        <w:tabs>
          <w:tab w:val="left" w:pos="827"/>
        </w:tabs>
        <w:spacing w:before="157" w:line="276" w:lineRule="auto"/>
        <w:ind w:left="826" w:right="111" w:hanging="710"/>
        <w:jc w:val="both"/>
      </w:pPr>
      <w:r>
        <w:rPr>
          <w:color w:val="231F20"/>
        </w:rPr>
        <w:t>Dodavatel provede vyhodnocení škodného průběhu pojistné smlouvy pro části 1 VZ - Pojištění majetku a odpovědnosti a pro část 2 VZ – Pojištění vozidel za hodnocené období, kterým je jeden pojistný rok. Výpočet výše popsané bonifikace provede dodavatel a zašle Zadavateli nejpozději do 31. března následujícího po skončení příslušného pojistného</w:t>
      </w:r>
      <w:r>
        <w:rPr>
          <w:color w:val="231F20"/>
          <w:spacing w:val="-2"/>
        </w:rPr>
        <w:t xml:space="preserve"> </w:t>
      </w:r>
      <w:r>
        <w:rPr>
          <w:color w:val="231F20"/>
        </w:rPr>
        <w:t>období.</w:t>
      </w:r>
    </w:p>
    <w:p w14:paraId="2ED4B033" w14:textId="77777777" w:rsidR="00F65BCA" w:rsidRDefault="00216117">
      <w:pPr>
        <w:pStyle w:val="Nadpis3"/>
        <w:numPr>
          <w:ilvl w:val="1"/>
          <w:numId w:val="18"/>
        </w:numPr>
        <w:tabs>
          <w:tab w:val="left" w:pos="827"/>
        </w:tabs>
        <w:spacing w:before="119" w:line="276" w:lineRule="auto"/>
        <w:ind w:left="826" w:right="119" w:hanging="710"/>
        <w:jc w:val="both"/>
      </w:pPr>
      <w:r>
        <w:rPr>
          <w:color w:val="231F20"/>
        </w:rPr>
        <w:t>Vypočítaná částka (bonifikace) bude dodavatelem uhrazena na základě daňového dokladu (faktury) vystaveného</w:t>
      </w:r>
      <w:r>
        <w:rPr>
          <w:color w:val="231F20"/>
          <w:spacing w:val="-3"/>
        </w:rPr>
        <w:t xml:space="preserve"> </w:t>
      </w:r>
      <w:r>
        <w:rPr>
          <w:color w:val="231F20"/>
        </w:rPr>
        <w:t>Zadavatelem.</w:t>
      </w:r>
    </w:p>
    <w:p w14:paraId="30785B7C" w14:textId="77777777" w:rsidR="00F65BCA" w:rsidRDefault="00216117">
      <w:pPr>
        <w:pStyle w:val="Nadpis3"/>
        <w:numPr>
          <w:ilvl w:val="1"/>
          <w:numId w:val="18"/>
        </w:numPr>
        <w:tabs>
          <w:tab w:val="left" w:pos="827"/>
        </w:tabs>
        <w:ind w:left="826" w:hanging="710"/>
        <w:jc w:val="both"/>
      </w:pPr>
      <w:r>
        <w:rPr>
          <w:color w:val="231F20"/>
        </w:rPr>
        <w:t>Navýšení pojistného při nepříznivém škodním průběhu se</w:t>
      </w:r>
      <w:r>
        <w:rPr>
          <w:color w:val="231F20"/>
          <w:spacing w:val="-10"/>
        </w:rPr>
        <w:t xml:space="preserve"> </w:t>
      </w:r>
      <w:r>
        <w:rPr>
          <w:color w:val="231F20"/>
        </w:rPr>
        <w:t>nepřipouští.</w:t>
      </w:r>
    </w:p>
    <w:p w14:paraId="145A7E6A" w14:textId="77777777" w:rsidR="00F65BCA" w:rsidRDefault="00216117">
      <w:pPr>
        <w:pStyle w:val="Nadpis3"/>
        <w:numPr>
          <w:ilvl w:val="1"/>
          <w:numId w:val="10"/>
        </w:numPr>
        <w:tabs>
          <w:tab w:val="left" w:pos="686"/>
        </w:tabs>
        <w:spacing w:before="157"/>
        <w:ind w:right="112"/>
        <w:jc w:val="both"/>
      </w:pPr>
      <w:r>
        <w:rPr>
          <w:color w:val="231F20"/>
        </w:rPr>
        <w:t>Zadavatel požaduje po vybraném dodavateli poskytnutí součinnosti k uzavření smlouvy ve smyslu § 124 ZZVZ v následující podobě: podepsání smlouvy dodavatelem proběhne po výzvě Zadavatele. Vybraný dodavatel se zavazuje podepsat smlouvu a zaslat ji zpět Zadavateli ve lhůtě tří (3) pracovních dnů od doručení výzvy Zadavatele a finálního vyhotovení</w:t>
      </w:r>
      <w:r>
        <w:rPr>
          <w:color w:val="231F20"/>
          <w:spacing w:val="-2"/>
        </w:rPr>
        <w:t xml:space="preserve"> </w:t>
      </w:r>
      <w:r>
        <w:rPr>
          <w:color w:val="231F20"/>
        </w:rPr>
        <w:t>smlouvy.</w:t>
      </w:r>
    </w:p>
    <w:p w14:paraId="6EB05E3B" w14:textId="77777777" w:rsidR="00F65BCA" w:rsidRDefault="00216117">
      <w:pPr>
        <w:pStyle w:val="Nadpis3"/>
        <w:numPr>
          <w:ilvl w:val="1"/>
          <w:numId w:val="10"/>
        </w:numPr>
        <w:tabs>
          <w:tab w:val="left" w:pos="686"/>
        </w:tabs>
        <w:spacing w:before="119"/>
        <w:ind w:right="112"/>
        <w:jc w:val="both"/>
      </w:pPr>
      <w:r>
        <w:rPr>
          <w:color w:val="231F20"/>
        </w:rPr>
        <w:t>Zadavatel upozorňuje, že smlouva na plnění této veřejné zakázky bude Zadavatelem uveřejněna v registru smluv včetně všech jejích příloh, tj. v podobě obsahující i případné údaje naplňující parametry obchodního tajemství nebo důvěrné informace ve smyslu</w:t>
      </w:r>
      <w:r>
        <w:rPr>
          <w:color w:val="231F20"/>
          <w:spacing w:val="-37"/>
        </w:rPr>
        <w:t xml:space="preserve"> </w:t>
      </w:r>
      <w:r>
        <w:rPr>
          <w:color w:val="231F20"/>
        </w:rPr>
        <w:t>ust.</w:t>
      </w:r>
    </w:p>
    <w:p w14:paraId="7F1BE056" w14:textId="77777777" w:rsidR="00F65BCA" w:rsidRDefault="00216117">
      <w:pPr>
        <w:pStyle w:val="Nadpis3"/>
        <w:spacing w:before="1"/>
        <w:ind w:right="114"/>
      </w:pPr>
      <w:r>
        <w:rPr>
          <w:color w:val="231F20"/>
        </w:rPr>
        <w:t>§ 218 ZZVZ, pokud vybraný dodavatel nejpozději spolu s předložením návrhu smlouvy nesdělí Zadavateli ty údaje, resp. části návrhu smlouvy (příloh), jejichž uveřejnění je zvláštním právním předpisem vyloučeno spolu s odkazem na konkrétní normu takového právního předpisu a konkrétní důvody zákazu uveřejnění těchto částí. Řádně a důvodně označené části smlouvy nebudou uveřejněny, popř. budou před uveřejněním Zadavatelem znečitelněny. Zadavatel před zveřejněním smlouvy znečitelní osobní údaje</w:t>
      </w:r>
    </w:p>
    <w:p w14:paraId="6B7A3A73" w14:textId="77777777" w:rsidR="00F65BCA" w:rsidRDefault="00F65BCA">
      <w:pPr>
        <w:pStyle w:val="Zkladntext"/>
        <w:rPr>
          <w:sz w:val="20"/>
        </w:rPr>
      </w:pPr>
    </w:p>
    <w:p w14:paraId="4B214DAE" w14:textId="77777777" w:rsidR="00F65BCA" w:rsidRDefault="00F65BCA">
      <w:pPr>
        <w:pStyle w:val="Zkladntext"/>
        <w:spacing w:before="7"/>
        <w:rPr>
          <w:sz w:val="20"/>
        </w:rPr>
      </w:pPr>
    </w:p>
    <w:p w14:paraId="57ADE872" w14:textId="77777777" w:rsidR="00F65BCA" w:rsidRDefault="00216117">
      <w:pPr>
        <w:ind w:left="1459" w:right="1033"/>
        <w:jc w:val="center"/>
        <w:rPr>
          <w:sz w:val="16"/>
        </w:rPr>
      </w:pPr>
      <w:r>
        <w:rPr>
          <w:color w:val="231F20"/>
          <w:sz w:val="16"/>
        </w:rPr>
        <w:t>Stránka 12 z 15</w:t>
      </w:r>
    </w:p>
    <w:p w14:paraId="45BB4E42" w14:textId="77777777" w:rsidR="00F65BCA" w:rsidRDefault="00F65BCA">
      <w:pPr>
        <w:jc w:val="center"/>
        <w:rPr>
          <w:sz w:val="16"/>
        </w:rPr>
        <w:sectPr w:rsidR="00F65BCA">
          <w:pgSz w:w="11900" w:h="16840"/>
          <w:pgMar w:top="1060" w:right="1160" w:bottom="280" w:left="1300" w:header="708" w:footer="708" w:gutter="0"/>
          <w:cols w:space="708"/>
        </w:sectPr>
      </w:pPr>
    </w:p>
    <w:p w14:paraId="3DB60295" w14:textId="77777777" w:rsidR="00F65BCA" w:rsidRDefault="00216117">
      <w:pPr>
        <w:pStyle w:val="Nadpis3"/>
        <w:spacing w:before="78"/>
        <w:ind w:right="112"/>
      </w:pPr>
      <w:r>
        <w:rPr>
          <w:color w:val="231F20"/>
        </w:rPr>
        <w:lastRenderedPageBreak/>
        <w:t>v souladu s metodickým návodem k aplikaci zákona o registru smluv (viz</w:t>
      </w:r>
      <w:r>
        <w:rPr>
          <w:color w:val="3453A4"/>
          <w:u w:val="single" w:color="3453A4"/>
        </w:rPr>
        <w:t xml:space="preserve"> https://</w:t>
      </w:r>
      <w:hyperlink r:id="rId64">
        <w:r>
          <w:rPr>
            <w:color w:val="3453A4"/>
            <w:u w:val="single" w:color="3453A4"/>
          </w:rPr>
          <w:t>www.dia.gov.cz/egovernment/registr-smluv/metodicke-dokumenty/</w:t>
        </w:r>
        <w:r>
          <w:rPr>
            <w:color w:val="231F20"/>
          </w:rPr>
          <w:t>).</w:t>
        </w:r>
      </w:hyperlink>
    </w:p>
    <w:p w14:paraId="0A8DE859" w14:textId="77777777" w:rsidR="00F65BCA" w:rsidRDefault="00216117">
      <w:pPr>
        <w:pStyle w:val="Nadpis3"/>
        <w:numPr>
          <w:ilvl w:val="1"/>
          <w:numId w:val="10"/>
        </w:numPr>
        <w:tabs>
          <w:tab w:val="left" w:pos="686"/>
        </w:tabs>
        <w:spacing w:before="119"/>
        <w:ind w:right="112"/>
        <w:jc w:val="both"/>
      </w:pPr>
      <w:r>
        <w:rPr>
          <w:color w:val="231F20"/>
        </w:rPr>
        <w:t>Zadavatel za účelem uveřejnění smlouvy v registru smluv (viz § 5 zák. č. 340/2015 Sb.) požaduje po vybraném dodavateli předložení vyplněného návrhu smlouvy v elektronické podobě</w:t>
      </w:r>
      <w:r>
        <w:rPr>
          <w:color w:val="231F20"/>
          <w:spacing w:val="-11"/>
        </w:rPr>
        <w:t xml:space="preserve"> </w:t>
      </w:r>
      <w:r>
        <w:rPr>
          <w:color w:val="231F20"/>
        </w:rPr>
        <w:t>vč.</w:t>
      </w:r>
      <w:r>
        <w:rPr>
          <w:color w:val="231F20"/>
          <w:spacing w:val="-11"/>
        </w:rPr>
        <w:t xml:space="preserve"> </w:t>
      </w:r>
      <w:r>
        <w:rPr>
          <w:color w:val="231F20"/>
        </w:rPr>
        <w:t>všech</w:t>
      </w:r>
      <w:r>
        <w:rPr>
          <w:color w:val="231F20"/>
          <w:spacing w:val="-11"/>
        </w:rPr>
        <w:t xml:space="preserve"> </w:t>
      </w:r>
      <w:r>
        <w:rPr>
          <w:color w:val="231F20"/>
        </w:rPr>
        <w:t>příloh</w:t>
      </w:r>
      <w:r>
        <w:rPr>
          <w:color w:val="231F20"/>
          <w:spacing w:val="-10"/>
        </w:rPr>
        <w:t xml:space="preserve"> </w:t>
      </w:r>
      <w:r>
        <w:rPr>
          <w:color w:val="231F20"/>
        </w:rPr>
        <w:t>ve</w:t>
      </w:r>
      <w:r>
        <w:rPr>
          <w:color w:val="231F20"/>
          <w:spacing w:val="-10"/>
        </w:rPr>
        <w:t xml:space="preserve"> </w:t>
      </w:r>
      <w:r>
        <w:rPr>
          <w:color w:val="231F20"/>
        </w:rPr>
        <w:t>formátu</w:t>
      </w:r>
      <w:r>
        <w:rPr>
          <w:color w:val="231F20"/>
          <w:spacing w:val="-10"/>
        </w:rPr>
        <w:t xml:space="preserve"> </w:t>
      </w:r>
      <w:r>
        <w:rPr>
          <w:color w:val="231F20"/>
        </w:rPr>
        <w:t>kompatibilním</w:t>
      </w:r>
      <w:r>
        <w:rPr>
          <w:color w:val="231F20"/>
          <w:spacing w:val="-12"/>
        </w:rPr>
        <w:t xml:space="preserve"> </w:t>
      </w:r>
      <w:r>
        <w:rPr>
          <w:color w:val="231F20"/>
        </w:rPr>
        <w:t>s</w:t>
      </w:r>
      <w:r>
        <w:rPr>
          <w:color w:val="231F20"/>
          <w:spacing w:val="-10"/>
        </w:rPr>
        <w:t xml:space="preserve"> </w:t>
      </w:r>
      <w:r>
        <w:rPr>
          <w:color w:val="231F20"/>
        </w:rPr>
        <w:t>MS</w:t>
      </w:r>
      <w:r>
        <w:rPr>
          <w:color w:val="231F20"/>
          <w:spacing w:val="-12"/>
        </w:rPr>
        <w:t xml:space="preserve"> </w:t>
      </w:r>
      <w:r>
        <w:rPr>
          <w:color w:val="231F20"/>
        </w:rPr>
        <w:t>Word</w:t>
      </w:r>
      <w:r>
        <w:rPr>
          <w:color w:val="231F20"/>
          <w:spacing w:val="-10"/>
        </w:rPr>
        <w:t xml:space="preserve"> </w:t>
      </w:r>
      <w:r>
        <w:rPr>
          <w:color w:val="231F20"/>
        </w:rPr>
        <w:t>(doc,</w:t>
      </w:r>
      <w:r>
        <w:rPr>
          <w:color w:val="231F20"/>
          <w:spacing w:val="-9"/>
        </w:rPr>
        <w:t xml:space="preserve"> </w:t>
      </w:r>
      <w:r>
        <w:rPr>
          <w:color w:val="231F20"/>
        </w:rPr>
        <w:t>docx),</w:t>
      </w:r>
      <w:r>
        <w:rPr>
          <w:color w:val="231F20"/>
          <w:spacing w:val="-11"/>
        </w:rPr>
        <w:t xml:space="preserve"> </w:t>
      </w:r>
      <w:r>
        <w:rPr>
          <w:color w:val="231F20"/>
        </w:rPr>
        <w:t>popř.</w:t>
      </w:r>
      <w:r>
        <w:rPr>
          <w:color w:val="231F20"/>
          <w:spacing w:val="-11"/>
        </w:rPr>
        <w:t xml:space="preserve"> </w:t>
      </w:r>
      <w:r>
        <w:rPr>
          <w:color w:val="231F20"/>
        </w:rPr>
        <w:t>MS</w:t>
      </w:r>
      <w:r>
        <w:rPr>
          <w:color w:val="231F20"/>
          <w:spacing w:val="-10"/>
        </w:rPr>
        <w:t xml:space="preserve"> </w:t>
      </w:r>
      <w:r>
        <w:rPr>
          <w:color w:val="231F20"/>
        </w:rPr>
        <w:t>Excel (xls, xlsx), případně přílohy, jež neobsahují žádné osobní údaje (doplňované do smlouvy ze</w:t>
      </w:r>
      <w:r>
        <w:rPr>
          <w:color w:val="231F20"/>
          <w:spacing w:val="-16"/>
        </w:rPr>
        <w:t xml:space="preserve"> </w:t>
      </w:r>
      <w:r>
        <w:rPr>
          <w:color w:val="231F20"/>
        </w:rPr>
        <w:t>strany</w:t>
      </w:r>
      <w:r>
        <w:rPr>
          <w:color w:val="231F20"/>
          <w:spacing w:val="-17"/>
        </w:rPr>
        <w:t xml:space="preserve"> </w:t>
      </w:r>
      <w:r>
        <w:rPr>
          <w:color w:val="231F20"/>
        </w:rPr>
        <w:t>dodavatele)</w:t>
      </w:r>
      <w:r>
        <w:rPr>
          <w:color w:val="231F20"/>
          <w:spacing w:val="-16"/>
        </w:rPr>
        <w:t xml:space="preserve"> </w:t>
      </w:r>
      <w:r>
        <w:rPr>
          <w:color w:val="231F20"/>
        </w:rPr>
        <w:t>ve</w:t>
      </w:r>
      <w:r>
        <w:rPr>
          <w:color w:val="231F20"/>
          <w:spacing w:val="-17"/>
        </w:rPr>
        <w:t xml:space="preserve"> </w:t>
      </w:r>
      <w:r>
        <w:rPr>
          <w:color w:val="231F20"/>
        </w:rPr>
        <w:t>formátu</w:t>
      </w:r>
      <w:r>
        <w:rPr>
          <w:color w:val="231F20"/>
          <w:spacing w:val="-15"/>
        </w:rPr>
        <w:t xml:space="preserve"> </w:t>
      </w:r>
      <w:r>
        <w:rPr>
          <w:color w:val="231F20"/>
        </w:rPr>
        <w:t>PDF</w:t>
      </w:r>
      <w:r>
        <w:rPr>
          <w:color w:val="231F20"/>
          <w:spacing w:val="-16"/>
        </w:rPr>
        <w:t xml:space="preserve"> </w:t>
      </w:r>
      <w:r>
        <w:rPr>
          <w:color w:val="231F20"/>
        </w:rPr>
        <w:t>s</w:t>
      </w:r>
      <w:r>
        <w:rPr>
          <w:color w:val="231F20"/>
          <w:spacing w:val="-2"/>
        </w:rPr>
        <w:t xml:space="preserve"> </w:t>
      </w:r>
      <w:r>
        <w:rPr>
          <w:color w:val="231F20"/>
        </w:rPr>
        <w:t>textovou</w:t>
      </w:r>
      <w:r>
        <w:rPr>
          <w:color w:val="231F20"/>
          <w:spacing w:val="-17"/>
        </w:rPr>
        <w:t xml:space="preserve"> </w:t>
      </w:r>
      <w:r>
        <w:rPr>
          <w:color w:val="231F20"/>
        </w:rPr>
        <w:t>vrstvou</w:t>
      </w:r>
      <w:r>
        <w:rPr>
          <w:color w:val="231F20"/>
          <w:spacing w:val="-16"/>
        </w:rPr>
        <w:t xml:space="preserve"> </w:t>
      </w:r>
      <w:r>
        <w:rPr>
          <w:color w:val="231F20"/>
        </w:rPr>
        <w:t>(tj.</w:t>
      </w:r>
      <w:r>
        <w:rPr>
          <w:color w:val="231F20"/>
          <w:spacing w:val="-15"/>
        </w:rPr>
        <w:t xml:space="preserve"> </w:t>
      </w:r>
      <w:r>
        <w:rPr>
          <w:color w:val="231F20"/>
        </w:rPr>
        <w:t>nikoli</w:t>
      </w:r>
      <w:r>
        <w:rPr>
          <w:color w:val="231F20"/>
          <w:spacing w:val="-16"/>
        </w:rPr>
        <w:t xml:space="preserve"> </w:t>
      </w:r>
      <w:r>
        <w:rPr>
          <w:color w:val="231F20"/>
        </w:rPr>
        <w:t>prostý</w:t>
      </w:r>
      <w:r>
        <w:rPr>
          <w:color w:val="231F20"/>
          <w:spacing w:val="-17"/>
        </w:rPr>
        <w:t xml:space="preserve"> </w:t>
      </w:r>
      <w:r>
        <w:rPr>
          <w:color w:val="231F20"/>
        </w:rPr>
        <w:t>sken).</w:t>
      </w:r>
      <w:r>
        <w:rPr>
          <w:color w:val="231F20"/>
          <w:spacing w:val="-16"/>
        </w:rPr>
        <w:t xml:space="preserve"> </w:t>
      </w:r>
      <w:r>
        <w:rPr>
          <w:color w:val="231F20"/>
        </w:rPr>
        <w:t>V</w:t>
      </w:r>
      <w:r>
        <w:rPr>
          <w:color w:val="231F20"/>
          <w:spacing w:val="-1"/>
        </w:rPr>
        <w:t xml:space="preserve"> </w:t>
      </w:r>
      <w:r>
        <w:rPr>
          <w:color w:val="231F20"/>
        </w:rPr>
        <w:t>případě, že vybraný dodavatel požaduje v uveřejňované smlouvě či jejích přílohách znečitelnění údajů ve smyslu předchozího odst. ZD (nad rámec osobních údajů), předloží smlouvu či její přílohy v elektronické podobě dle předchozí věty i se znečitelněnými</w:t>
      </w:r>
      <w:r>
        <w:rPr>
          <w:color w:val="231F20"/>
          <w:spacing w:val="-22"/>
        </w:rPr>
        <w:t xml:space="preserve"> </w:t>
      </w:r>
      <w:r>
        <w:rPr>
          <w:color w:val="231F20"/>
        </w:rPr>
        <w:t>údaji.</w:t>
      </w:r>
    </w:p>
    <w:p w14:paraId="01174620" w14:textId="77777777" w:rsidR="00F65BCA" w:rsidRDefault="00F65BCA">
      <w:pPr>
        <w:pStyle w:val="Zkladntext"/>
        <w:spacing w:before="10"/>
        <w:rPr>
          <w:sz w:val="20"/>
        </w:rPr>
      </w:pPr>
    </w:p>
    <w:p w14:paraId="74E9D80B" w14:textId="77777777" w:rsidR="00F65BCA" w:rsidRDefault="00216117">
      <w:pPr>
        <w:pStyle w:val="Nadpis1"/>
        <w:numPr>
          <w:ilvl w:val="0"/>
          <w:numId w:val="9"/>
        </w:numPr>
        <w:tabs>
          <w:tab w:val="left" w:pos="686"/>
        </w:tabs>
        <w:ind w:hanging="569"/>
        <w:jc w:val="both"/>
      </w:pPr>
      <w:bookmarkStart w:id="19" w:name="_TOC_250004"/>
      <w:r>
        <w:rPr>
          <w:color w:val="231F20"/>
        </w:rPr>
        <w:t>Součinnost vybraného dodavatele – kvalifikace a</w:t>
      </w:r>
      <w:r>
        <w:rPr>
          <w:color w:val="231F20"/>
          <w:spacing w:val="-5"/>
        </w:rPr>
        <w:t xml:space="preserve"> </w:t>
      </w:r>
      <w:bookmarkEnd w:id="19"/>
      <w:r>
        <w:rPr>
          <w:color w:val="231F20"/>
        </w:rPr>
        <w:t>ostatní</w:t>
      </w:r>
    </w:p>
    <w:p w14:paraId="4A121475" w14:textId="77777777" w:rsidR="00F65BCA" w:rsidRDefault="00216117">
      <w:pPr>
        <w:pStyle w:val="Nadpis3"/>
        <w:numPr>
          <w:ilvl w:val="1"/>
          <w:numId w:val="9"/>
        </w:numPr>
        <w:tabs>
          <w:tab w:val="left" w:pos="686"/>
        </w:tabs>
        <w:ind w:right="111"/>
        <w:jc w:val="both"/>
      </w:pPr>
      <w:r>
        <w:rPr>
          <w:color w:val="231F20"/>
        </w:rPr>
        <w:t>Zadavatel požaduje po vybraném dodavateli poskytnutí součinnosti nezbytné k uzavření smlouvy na plnění veřejné zakázky v rozsahu dále stanoveném v tomto čl. ZD, a to ve lhůtě nejpozději do dvou (2) týdnů od doručení výzvy</w:t>
      </w:r>
      <w:r>
        <w:rPr>
          <w:color w:val="231F20"/>
          <w:spacing w:val="-6"/>
        </w:rPr>
        <w:t xml:space="preserve"> </w:t>
      </w:r>
      <w:r>
        <w:rPr>
          <w:color w:val="231F20"/>
        </w:rPr>
        <w:t>Zadavatele.</w:t>
      </w:r>
    </w:p>
    <w:p w14:paraId="32A7B8A0" w14:textId="77777777" w:rsidR="00F65BCA" w:rsidRDefault="00216117">
      <w:pPr>
        <w:pStyle w:val="Nadpis3"/>
        <w:numPr>
          <w:ilvl w:val="1"/>
          <w:numId w:val="9"/>
        </w:numPr>
        <w:tabs>
          <w:tab w:val="left" w:pos="686"/>
        </w:tabs>
        <w:ind w:hanging="569"/>
        <w:jc w:val="both"/>
      </w:pPr>
      <w:r>
        <w:rPr>
          <w:color w:val="231F20"/>
        </w:rPr>
        <w:t>Vybraný dodavatel je povinen k výzvě</w:t>
      </w:r>
      <w:r>
        <w:rPr>
          <w:color w:val="231F20"/>
          <w:spacing w:val="-1"/>
        </w:rPr>
        <w:t xml:space="preserve"> </w:t>
      </w:r>
      <w:r>
        <w:rPr>
          <w:color w:val="231F20"/>
        </w:rPr>
        <w:t>Zadavatele:</w:t>
      </w:r>
    </w:p>
    <w:p w14:paraId="6762B015" w14:textId="77777777" w:rsidR="00F65BCA" w:rsidRDefault="00216117">
      <w:pPr>
        <w:pStyle w:val="Nadpis3"/>
        <w:numPr>
          <w:ilvl w:val="2"/>
          <w:numId w:val="9"/>
        </w:numPr>
        <w:tabs>
          <w:tab w:val="left" w:pos="1046"/>
        </w:tabs>
        <w:spacing w:before="119"/>
        <w:ind w:left="1045" w:right="113" w:hanging="360"/>
        <w:jc w:val="both"/>
        <w:rPr>
          <w:color w:val="231F20"/>
        </w:rPr>
      </w:pPr>
      <w:r>
        <w:rPr>
          <w:color w:val="231F20"/>
        </w:rPr>
        <w:t>prokázat splnění kvalifikace  v rozsahu stanoveném v ZD a  způsobem stanoveným v ZZVZ, přičemž ve smyslu ust. § 122 odst. 3 a 4 ZZVZ si Zadavatel vyhrazuje právo požadovat po vybraném dodavateli i předložení originálů nebo ověřených kopií dokladů o kvalifikaci, pokud již nebyly v zadávacím řízení</w:t>
      </w:r>
      <w:r>
        <w:rPr>
          <w:color w:val="231F20"/>
          <w:spacing w:val="-7"/>
        </w:rPr>
        <w:t xml:space="preserve"> </w:t>
      </w:r>
      <w:r>
        <w:rPr>
          <w:color w:val="231F20"/>
        </w:rPr>
        <w:t>předloženy;</w:t>
      </w:r>
    </w:p>
    <w:p w14:paraId="500A0D4A" w14:textId="77777777" w:rsidR="00F65BCA" w:rsidRDefault="00216117">
      <w:pPr>
        <w:pStyle w:val="Nadpis3"/>
        <w:numPr>
          <w:ilvl w:val="2"/>
          <w:numId w:val="9"/>
        </w:numPr>
        <w:tabs>
          <w:tab w:val="left" w:pos="1046"/>
          <w:tab w:val="left" w:pos="2838"/>
          <w:tab w:val="left" w:pos="4191"/>
          <w:tab w:val="left" w:pos="6119"/>
        </w:tabs>
        <w:spacing w:before="121" w:line="237" w:lineRule="auto"/>
        <w:ind w:left="1045" w:right="112" w:hanging="360"/>
        <w:jc w:val="both"/>
        <w:rPr>
          <w:color w:val="231F20"/>
          <w:sz w:val="24"/>
        </w:rPr>
      </w:pPr>
      <w:r>
        <w:rPr>
          <w:color w:val="231F20"/>
        </w:rPr>
        <w:t>sdělit,</w:t>
      </w:r>
      <w:r>
        <w:rPr>
          <w:color w:val="231F20"/>
          <w:spacing w:val="-10"/>
        </w:rPr>
        <w:t xml:space="preserve"> </w:t>
      </w:r>
      <w:r>
        <w:rPr>
          <w:color w:val="231F20"/>
        </w:rPr>
        <w:t>zda</w:t>
      </w:r>
      <w:r>
        <w:rPr>
          <w:color w:val="231F20"/>
          <w:spacing w:val="-9"/>
        </w:rPr>
        <w:t xml:space="preserve"> </w:t>
      </w:r>
      <w:r>
        <w:rPr>
          <w:color w:val="231F20"/>
        </w:rPr>
        <w:t>spadá</w:t>
      </w:r>
      <w:r>
        <w:rPr>
          <w:color w:val="231F20"/>
          <w:spacing w:val="-8"/>
        </w:rPr>
        <w:t xml:space="preserve"> </w:t>
      </w:r>
      <w:r>
        <w:rPr>
          <w:color w:val="231F20"/>
        </w:rPr>
        <w:t>do</w:t>
      </w:r>
      <w:r>
        <w:rPr>
          <w:color w:val="231F20"/>
          <w:spacing w:val="-7"/>
        </w:rPr>
        <w:t xml:space="preserve"> </w:t>
      </w:r>
      <w:r>
        <w:rPr>
          <w:color w:val="231F20"/>
        </w:rPr>
        <w:t>kategorie</w:t>
      </w:r>
      <w:r>
        <w:rPr>
          <w:color w:val="231F20"/>
          <w:spacing w:val="-7"/>
        </w:rPr>
        <w:t xml:space="preserve"> </w:t>
      </w:r>
      <w:r>
        <w:rPr>
          <w:color w:val="231F20"/>
        </w:rPr>
        <w:t>„mikropodnik,</w:t>
      </w:r>
      <w:r>
        <w:rPr>
          <w:color w:val="231F20"/>
          <w:spacing w:val="-8"/>
        </w:rPr>
        <w:t xml:space="preserve"> </w:t>
      </w:r>
      <w:r>
        <w:rPr>
          <w:color w:val="231F20"/>
        </w:rPr>
        <w:t>malý</w:t>
      </w:r>
      <w:r>
        <w:rPr>
          <w:color w:val="231F20"/>
          <w:spacing w:val="-8"/>
        </w:rPr>
        <w:t xml:space="preserve"> </w:t>
      </w:r>
      <w:r>
        <w:rPr>
          <w:color w:val="231F20"/>
        </w:rPr>
        <w:t>a</w:t>
      </w:r>
      <w:r>
        <w:rPr>
          <w:color w:val="231F20"/>
          <w:spacing w:val="-9"/>
        </w:rPr>
        <w:t xml:space="preserve"> </w:t>
      </w:r>
      <w:r>
        <w:rPr>
          <w:color w:val="231F20"/>
        </w:rPr>
        <w:t>střední</w:t>
      </w:r>
      <w:r>
        <w:rPr>
          <w:color w:val="231F20"/>
          <w:spacing w:val="-9"/>
        </w:rPr>
        <w:t xml:space="preserve"> </w:t>
      </w:r>
      <w:r>
        <w:rPr>
          <w:color w:val="231F20"/>
        </w:rPr>
        <w:t>podnik“</w:t>
      </w:r>
      <w:r>
        <w:rPr>
          <w:color w:val="231F20"/>
          <w:spacing w:val="-9"/>
        </w:rPr>
        <w:t xml:space="preserve"> </w:t>
      </w:r>
      <w:r>
        <w:rPr>
          <w:color w:val="231F20"/>
        </w:rPr>
        <w:t>či</w:t>
      </w:r>
      <w:r>
        <w:rPr>
          <w:color w:val="231F20"/>
          <w:spacing w:val="-8"/>
        </w:rPr>
        <w:t xml:space="preserve"> </w:t>
      </w:r>
      <w:r>
        <w:rPr>
          <w:color w:val="231F20"/>
        </w:rPr>
        <w:t>nikoli</w:t>
      </w:r>
      <w:r>
        <w:rPr>
          <w:color w:val="231F20"/>
          <w:spacing w:val="-10"/>
        </w:rPr>
        <w:t xml:space="preserve"> </w:t>
      </w:r>
      <w:r>
        <w:rPr>
          <w:color w:val="231F20"/>
        </w:rPr>
        <w:t>ve</w:t>
      </w:r>
      <w:r>
        <w:rPr>
          <w:color w:val="231F20"/>
          <w:spacing w:val="-7"/>
        </w:rPr>
        <w:t xml:space="preserve"> </w:t>
      </w:r>
      <w:r>
        <w:rPr>
          <w:color w:val="231F20"/>
        </w:rPr>
        <w:t>smyslu Doporučení</w:t>
      </w:r>
      <w:r>
        <w:rPr>
          <w:rFonts w:ascii="Times New Roman" w:hAnsi="Times New Roman"/>
          <w:color w:val="231F20"/>
        </w:rPr>
        <w:tab/>
      </w:r>
      <w:r>
        <w:rPr>
          <w:color w:val="231F20"/>
        </w:rPr>
        <w:t>komise</w:t>
      </w:r>
      <w:r>
        <w:rPr>
          <w:rFonts w:ascii="Times New Roman" w:hAnsi="Times New Roman"/>
          <w:color w:val="231F20"/>
        </w:rPr>
        <w:tab/>
      </w:r>
      <w:r>
        <w:rPr>
          <w:color w:val="231F20"/>
        </w:rPr>
        <w:t>2003/361/ES</w:t>
      </w:r>
      <w:r>
        <w:rPr>
          <w:rFonts w:ascii="Times New Roman" w:hAnsi="Times New Roman"/>
          <w:color w:val="231F20"/>
        </w:rPr>
        <w:tab/>
      </w:r>
      <w:r>
        <w:rPr>
          <w:color w:val="231F20"/>
        </w:rPr>
        <w:t>viz</w:t>
      </w:r>
      <w:r>
        <w:rPr>
          <w:color w:val="3453A4"/>
        </w:rPr>
        <w:t xml:space="preserve"> </w:t>
      </w:r>
      <w:hyperlink r:id="rId65">
        <w:r>
          <w:rPr>
            <w:color w:val="3453A4"/>
            <w:u w:val="single" w:color="3453A4"/>
          </w:rPr>
          <w:t>http://eur-lex.europa.eu/legal-</w:t>
        </w:r>
      </w:hyperlink>
      <w:r>
        <w:rPr>
          <w:color w:val="3453A4"/>
          <w:u w:val="single" w:color="3453A4"/>
        </w:rPr>
        <w:t xml:space="preserve"> content/CS/TXT/?uri=URISERV:n26026</w:t>
      </w:r>
      <w:r>
        <w:rPr>
          <w:color w:val="3453A4"/>
        </w:rPr>
        <w:t xml:space="preserve"> </w:t>
      </w:r>
      <w:r>
        <w:rPr>
          <w:color w:val="231F20"/>
        </w:rPr>
        <w:t>(lze uvést případně již v nabídce v rámci krycího listu - příloha č. 1 této</w:t>
      </w:r>
      <w:r>
        <w:rPr>
          <w:color w:val="231F20"/>
          <w:spacing w:val="-4"/>
        </w:rPr>
        <w:t xml:space="preserve"> </w:t>
      </w:r>
      <w:r>
        <w:rPr>
          <w:color w:val="231F20"/>
        </w:rPr>
        <w:t>ZD)</w:t>
      </w:r>
      <w:r>
        <w:rPr>
          <w:color w:val="231F20"/>
          <w:vertAlign w:val="subscript"/>
        </w:rPr>
        <w:t>;</w:t>
      </w:r>
    </w:p>
    <w:p w14:paraId="2CACACCC" w14:textId="77777777" w:rsidR="00F65BCA" w:rsidRDefault="00216117">
      <w:pPr>
        <w:pStyle w:val="Nadpis3"/>
        <w:numPr>
          <w:ilvl w:val="2"/>
          <w:numId w:val="9"/>
        </w:numPr>
        <w:tabs>
          <w:tab w:val="left" w:pos="1046"/>
        </w:tabs>
        <w:spacing w:before="124" w:line="274" w:lineRule="exact"/>
        <w:ind w:left="1045" w:hanging="361"/>
        <w:jc w:val="both"/>
        <w:rPr>
          <w:color w:val="231F20"/>
          <w:sz w:val="24"/>
        </w:rPr>
      </w:pPr>
      <w:r>
        <w:rPr>
          <w:color w:val="231F20"/>
        </w:rPr>
        <w:t>sdělit,</w:t>
      </w:r>
      <w:r>
        <w:rPr>
          <w:color w:val="231F20"/>
          <w:spacing w:val="37"/>
        </w:rPr>
        <w:t xml:space="preserve"> </w:t>
      </w:r>
      <w:r>
        <w:rPr>
          <w:color w:val="231F20"/>
        </w:rPr>
        <w:t>zda</w:t>
      </w:r>
      <w:r>
        <w:rPr>
          <w:color w:val="231F20"/>
          <w:spacing w:val="38"/>
        </w:rPr>
        <w:t xml:space="preserve"> </w:t>
      </w:r>
      <w:r>
        <w:rPr>
          <w:color w:val="231F20"/>
        </w:rPr>
        <w:t>je</w:t>
      </w:r>
      <w:r>
        <w:rPr>
          <w:color w:val="231F20"/>
          <w:spacing w:val="38"/>
        </w:rPr>
        <w:t xml:space="preserve"> </w:t>
      </w:r>
      <w:r>
        <w:rPr>
          <w:color w:val="231F20"/>
        </w:rPr>
        <w:t>kótován</w:t>
      </w:r>
      <w:r>
        <w:rPr>
          <w:color w:val="231F20"/>
          <w:spacing w:val="38"/>
        </w:rPr>
        <w:t xml:space="preserve"> </w:t>
      </w:r>
      <w:r>
        <w:rPr>
          <w:color w:val="231F20"/>
        </w:rPr>
        <w:t>na</w:t>
      </w:r>
      <w:r>
        <w:rPr>
          <w:color w:val="231F20"/>
          <w:spacing w:val="38"/>
        </w:rPr>
        <w:t xml:space="preserve"> </w:t>
      </w:r>
      <w:r>
        <w:rPr>
          <w:color w:val="231F20"/>
        </w:rPr>
        <w:t>burze</w:t>
      </w:r>
      <w:r>
        <w:rPr>
          <w:color w:val="231F20"/>
          <w:spacing w:val="38"/>
        </w:rPr>
        <w:t xml:space="preserve"> </w:t>
      </w:r>
      <w:r>
        <w:rPr>
          <w:color w:val="231F20"/>
        </w:rPr>
        <w:t>cenných</w:t>
      </w:r>
      <w:r>
        <w:rPr>
          <w:color w:val="231F20"/>
          <w:spacing w:val="38"/>
        </w:rPr>
        <w:t xml:space="preserve"> </w:t>
      </w:r>
      <w:r>
        <w:rPr>
          <w:color w:val="231F20"/>
        </w:rPr>
        <w:t>papírů</w:t>
      </w:r>
      <w:r>
        <w:rPr>
          <w:color w:val="231F20"/>
          <w:spacing w:val="41"/>
        </w:rPr>
        <w:t xml:space="preserve"> </w:t>
      </w:r>
      <w:r>
        <w:rPr>
          <w:color w:val="231F20"/>
        </w:rPr>
        <w:t>(lze</w:t>
      </w:r>
      <w:r>
        <w:rPr>
          <w:color w:val="231F20"/>
          <w:spacing w:val="38"/>
        </w:rPr>
        <w:t xml:space="preserve"> </w:t>
      </w:r>
      <w:r>
        <w:rPr>
          <w:color w:val="231F20"/>
        </w:rPr>
        <w:t>uvést</w:t>
      </w:r>
      <w:r>
        <w:rPr>
          <w:color w:val="231F20"/>
          <w:spacing w:val="38"/>
        </w:rPr>
        <w:t xml:space="preserve"> </w:t>
      </w:r>
      <w:r>
        <w:rPr>
          <w:color w:val="231F20"/>
        </w:rPr>
        <w:t>případně</w:t>
      </w:r>
      <w:r>
        <w:rPr>
          <w:color w:val="231F20"/>
          <w:spacing w:val="37"/>
        </w:rPr>
        <w:t xml:space="preserve"> </w:t>
      </w:r>
      <w:r>
        <w:rPr>
          <w:color w:val="231F20"/>
        </w:rPr>
        <w:t>již</w:t>
      </w:r>
      <w:r>
        <w:rPr>
          <w:color w:val="231F20"/>
          <w:spacing w:val="38"/>
        </w:rPr>
        <w:t xml:space="preserve"> </w:t>
      </w:r>
      <w:r>
        <w:rPr>
          <w:color w:val="231F20"/>
        </w:rPr>
        <w:t>v</w:t>
      </w:r>
      <w:r>
        <w:rPr>
          <w:color w:val="231F20"/>
          <w:spacing w:val="40"/>
        </w:rPr>
        <w:t xml:space="preserve"> </w:t>
      </w:r>
      <w:r>
        <w:rPr>
          <w:color w:val="231F20"/>
        </w:rPr>
        <w:t>nabídce</w:t>
      </w:r>
    </w:p>
    <w:p w14:paraId="776DCA93" w14:textId="77777777" w:rsidR="00F65BCA" w:rsidRDefault="00216117">
      <w:pPr>
        <w:pStyle w:val="Nadpis3"/>
        <w:spacing w:before="0" w:line="251" w:lineRule="exact"/>
        <w:ind w:left="1045"/>
      </w:pPr>
      <w:r>
        <w:rPr>
          <w:color w:val="231F20"/>
        </w:rPr>
        <w:t>v rámci krycího listu - příloha č. 1 této ZD)</w:t>
      </w:r>
      <w:r>
        <w:rPr>
          <w:color w:val="231F20"/>
          <w:vertAlign w:val="subscript"/>
        </w:rPr>
        <w:t>;</w:t>
      </w:r>
    </w:p>
    <w:p w14:paraId="4A0159A5" w14:textId="77777777" w:rsidR="00F65BCA" w:rsidRDefault="00216117">
      <w:pPr>
        <w:pStyle w:val="Nadpis3"/>
        <w:numPr>
          <w:ilvl w:val="1"/>
          <w:numId w:val="9"/>
        </w:numPr>
        <w:tabs>
          <w:tab w:val="left" w:pos="686"/>
        </w:tabs>
        <w:ind w:right="111"/>
        <w:jc w:val="both"/>
      </w:pPr>
      <w:r>
        <w:rPr>
          <w:color w:val="231F20"/>
        </w:rPr>
        <w:t>V</w:t>
      </w:r>
      <w:r>
        <w:rPr>
          <w:color w:val="231F20"/>
          <w:spacing w:val="-4"/>
        </w:rPr>
        <w:t xml:space="preserve"> </w:t>
      </w:r>
      <w:r>
        <w:rPr>
          <w:color w:val="231F20"/>
        </w:rPr>
        <w:t>případě</w:t>
      </w:r>
      <w:r>
        <w:rPr>
          <w:color w:val="231F20"/>
          <w:spacing w:val="-7"/>
        </w:rPr>
        <w:t xml:space="preserve"> </w:t>
      </w:r>
      <w:r>
        <w:rPr>
          <w:color w:val="231F20"/>
        </w:rPr>
        <w:t>využití</w:t>
      </w:r>
      <w:r>
        <w:rPr>
          <w:color w:val="231F20"/>
          <w:spacing w:val="-8"/>
        </w:rPr>
        <w:t xml:space="preserve"> </w:t>
      </w:r>
      <w:r>
        <w:rPr>
          <w:color w:val="231F20"/>
        </w:rPr>
        <w:t>šablon</w:t>
      </w:r>
      <w:r>
        <w:rPr>
          <w:color w:val="231F20"/>
          <w:spacing w:val="-9"/>
        </w:rPr>
        <w:t xml:space="preserve"> </w:t>
      </w:r>
      <w:r>
        <w:rPr>
          <w:color w:val="231F20"/>
        </w:rPr>
        <w:t>a</w:t>
      </w:r>
      <w:r>
        <w:rPr>
          <w:color w:val="231F20"/>
          <w:spacing w:val="-8"/>
        </w:rPr>
        <w:t xml:space="preserve"> </w:t>
      </w:r>
      <w:r>
        <w:rPr>
          <w:color w:val="231F20"/>
        </w:rPr>
        <w:t>vzorů</w:t>
      </w:r>
      <w:r>
        <w:rPr>
          <w:color w:val="231F20"/>
          <w:spacing w:val="-8"/>
        </w:rPr>
        <w:t xml:space="preserve"> </w:t>
      </w:r>
      <w:r>
        <w:rPr>
          <w:color w:val="231F20"/>
        </w:rPr>
        <w:t>uvedených</w:t>
      </w:r>
      <w:r>
        <w:rPr>
          <w:color w:val="231F20"/>
          <w:spacing w:val="-9"/>
        </w:rPr>
        <w:t xml:space="preserve"> </w:t>
      </w:r>
      <w:r>
        <w:rPr>
          <w:color w:val="231F20"/>
        </w:rPr>
        <w:t>v</w:t>
      </w:r>
      <w:r>
        <w:rPr>
          <w:color w:val="231F20"/>
          <w:spacing w:val="-7"/>
        </w:rPr>
        <w:t xml:space="preserve"> </w:t>
      </w:r>
      <w:r>
        <w:rPr>
          <w:color w:val="231F20"/>
        </w:rPr>
        <w:t>příloze</w:t>
      </w:r>
      <w:r>
        <w:rPr>
          <w:color w:val="231F20"/>
          <w:spacing w:val="-9"/>
        </w:rPr>
        <w:t xml:space="preserve"> </w:t>
      </w:r>
      <w:r>
        <w:rPr>
          <w:color w:val="231F20"/>
        </w:rPr>
        <w:t>č.</w:t>
      </w:r>
      <w:r>
        <w:rPr>
          <w:color w:val="231F20"/>
          <w:spacing w:val="-8"/>
        </w:rPr>
        <w:t xml:space="preserve"> </w:t>
      </w:r>
      <w:r>
        <w:rPr>
          <w:color w:val="231F20"/>
        </w:rPr>
        <w:t>1</w:t>
      </w:r>
      <w:r>
        <w:rPr>
          <w:color w:val="231F20"/>
          <w:spacing w:val="-9"/>
        </w:rPr>
        <w:t xml:space="preserve"> </w:t>
      </w:r>
      <w:r>
        <w:rPr>
          <w:color w:val="231F20"/>
        </w:rPr>
        <w:t>této</w:t>
      </w:r>
      <w:r>
        <w:rPr>
          <w:color w:val="231F20"/>
          <w:spacing w:val="-9"/>
        </w:rPr>
        <w:t xml:space="preserve"> </w:t>
      </w:r>
      <w:r>
        <w:rPr>
          <w:color w:val="231F20"/>
        </w:rPr>
        <w:t>ZD,</w:t>
      </w:r>
      <w:r>
        <w:rPr>
          <w:color w:val="231F20"/>
          <w:spacing w:val="-8"/>
        </w:rPr>
        <w:t xml:space="preserve"> </w:t>
      </w:r>
      <w:r>
        <w:rPr>
          <w:color w:val="231F20"/>
        </w:rPr>
        <w:t>doplní</w:t>
      </w:r>
      <w:r>
        <w:rPr>
          <w:color w:val="231F20"/>
          <w:spacing w:val="-5"/>
        </w:rPr>
        <w:t xml:space="preserve"> </w:t>
      </w:r>
      <w:r>
        <w:rPr>
          <w:color w:val="231F20"/>
        </w:rPr>
        <w:t>dodavatel</w:t>
      </w:r>
      <w:r>
        <w:rPr>
          <w:color w:val="231F20"/>
          <w:spacing w:val="-8"/>
        </w:rPr>
        <w:t xml:space="preserve"> </w:t>
      </w:r>
      <w:r>
        <w:rPr>
          <w:color w:val="231F20"/>
        </w:rPr>
        <w:t xml:space="preserve">(popř. vybraný dodavatel) všechny požadované údaje dle požadavků uvedených v této ZD       a konkrétní příloze, zejm. </w:t>
      </w:r>
      <w:r>
        <w:rPr>
          <w:color w:val="231F20"/>
          <w:shd w:val="clear" w:color="auto" w:fill="F6EB00"/>
        </w:rPr>
        <w:t>žlutě</w:t>
      </w:r>
      <w:r>
        <w:rPr>
          <w:color w:val="231F20"/>
        </w:rPr>
        <w:t xml:space="preserve"> zvýrazněné</w:t>
      </w:r>
      <w:r>
        <w:rPr>
          <w:color w:val="231F20"/>
          <w:spacing w:val="-2"/>
        </w:rPr>
        <w:t xml:space="preserve"> </w:t>
      </w:r>
      <w:r>
        <w:rPr>
          <w:color w:val="231F20"/>
        </w:rPr>
        <w:t>části.</w:t>
      </w:r>
    </w:p>
    <w:p w14:paraId="30D8ECAE" w14:textId="77777777" w:rsidR="00F65BCA" w:rsidRDefault="00F65BCA">
      <w:pPr>
        <w:pStyle w:val="Zkladntext"/>
        <w:spacing w:before="9"/>
        <w:rPr>
          <w:sz w:val="20"/>
        </w:rPr>
      </w:pPr>
    </w:p>
    <w:p w14:paraId="0CFC8B9B" w14:textId="77777777" w:rsidR="00F65BCA" w:rsidRDefault="00216117">
      <w:pPr>
        <w:pStyle w:val="Nadpis1"/>
        <w:numPr>
          <w:ilvl w:val="0"/>
          <w:numId w:val="9"/>
        </w:numPr>
        <w:tabs>
          <w:tab w:val="left" w:pos="686"/>
        </w:tabs>
        <w:spacing w:before="1"/>
        <w:ind w:hanging="569"/>
        <w:jc w:val="both"/>
      </w:pPr>
      <w:bookmarkStart w:id="20" w:name="_TOC_250003"/>
      <w:r>
        <w:rPr>
          <w:color w:val="231F20"/>
        </w:rPr>
        <w:t>Jiné požadavky Zadavatele na plnění veřejné zakázky (§ 104</w:t>
      </w:r>
      <w:r>
        <w:rPr>
          <w:color w:val="231F20"/>
          <w:spacing w:val="-13"/>
        </w:rPr>
        <w:t xml:space="preserve"> </w:t>
      </w:r>
      <w:bookmarkEnd w:id="20"/>
      <w:r>
        <w:rPr>
          <w:color w:val="231F20"/>
        </w:rPr>
        <w:t>ZZVZ)</w:t>
      </w:r>
    </w:p>
    <w:p w14:paraId="4F847C38" w14:textId="77777777" w:rsidR="00F65BCA" w:rsidRDefault="00216117">
      <w:pPr>
        <w:pStyle w:val="Nadpis3"/>
        <w:spacing w:before="119"/>
        <w:ind w:left="117"/>
        <w:jc w:val="left"/>
      </w:pPr>
      <w:r>
        <w:rPr>
          <w:color w:val="231F20"/>
        </w:rPr>
        <w:t>Nejsou stanoveny.</w:t>
      </w:r>
    </w:p>
    <w:p w14:paraId="289E520D" w14:textId="77777777" w:rsidR="00F65BCA" w:rsidRDefault="00F65BCA">
      <w:pPr>
        <w:pStyle w:val="Zkladntext"/>
        <w:spacing w:before="10"/>
        <w:rPr>
          <w:sz w:val="20"/>
        </w:rPr>
      </w:pPr>
    </w:p>
    <w:p w14:paraId="5CBE912A" w14:textId="77777777" w:rsidR="00F65BCA" w:rsidRDefault="00216117">
      <w:pPr>
        <w:pStyle w:val="Nadpis1"/>
        <w:numPr>
          <w:ilvl w:val="0"/>
          <w:numId w:val="9"/>
        </w:numPr>
        <w:tabs>
          <w:tab w:val="left" w:pos="686"/>
        </w:tabs>
        <w:ind w:hanging="569"/>
        <w:jc w:val="both"/>
      </w:pPr>
      <w:bookmarkStart w:id="21" w:name="_TOC_250002"/>
      <w:r>
        <w:rPr>
          <w:color w:val="231F20"/>
        </w:rPr>
        <w:t>Vyhrazené změny závazku dle § 100</w:t>
      </w:r>
      <w:r>
        <w:rPr>
          <w:color w:val="231F20"/>
          <w:spacing w:val="-5"/>
        </w:rPr>
        <w:t xml:space="preserve"> </w:t>
      </w:r>
      <w:bookmarkEnd w:id="21"/>
      <w:r>
        <w:rPr>
          <w:color w:val="231F20"/>
        </w:rPr>
        <w:t>ZZVZ</w:t>
      </w:r>
    </w:p>
    <w:p w14:paraId="15D3ED4C" w14:textId="77777777" w:rsidR="00F65BCA" w:rsidRDefault="00216117">
      <w:pPr>
        <w:pStyle w:val="Nadpis3"/>
        <w:numPr>
          <w:ilvl w:val="1"/>
          <w:numId w:val="9"/>
        </w:numPr>
        <w:tabs>
          <w:tab w:val="left" w:pos="686"/>
        </w:tabs>
        <w:ind w:right="116"/>
        <w:jc w:val="both"/>
      </w:pPr>
      <w:r>
        <w:rPr>
          <w:color w:val="231F20"/>
        </w:rPr>
        <w:t>Zadavatel si vyhrazuje právo rozšíření či poskytnutí dalších pojišťovacích služeb, týkajících se či odpovídajících změnám v rozsahu či podmínkách sjednaného pojištění, popř. v novém pojištění.</w:t>
      </w:r>
    </w:p>
    <w:p w14:paraId="7E434BCE" w14:textId="77777777" w:rsidR="00F65BCA" w:rsidRDefault="00216117">
      <w:pPr>
        <w:pStyle w:val="Nadpis3"/>
        <w:numPr>
          <w:ilvl w:val="1"/>
          <w:numId w:val="9"/>
        </w:numPr>
        <w:tabs>
          <w:tab w:val="left" w:pos="686"/>
        </w:tabs>
        <w:spacing w:before="119"/>
        <w:ind w:right="114"/>
        <w:jc w:val="both"/>
      </w:pPr>
      <w:r>
        <w:rPr>
          <w:color w:val="231F20"/>
        </w:rPr>
        <w:t>Zadavatel</w:t>
      </w:r>
      <w:r>
        <w:rPr>
          <w:color w:val="231F20"/>
          <w:spacing w:val="-16"/>
        </w:rPr>
        <w:t xml:space="preserve"> </w:t>
      </w:r>
      <w:r>
        <w:rPr>
          <w:color w:val="231F20"/>
        </w:rPr>
        <w:t>si</w:t>
      </w:r>
      <w:r>
        <w:rPr>
          <w:color w:val="231F20"/>
          <w:spacing w:val="-15"/>
        </w:rPr>
        <w:t xml:space="preserve"> </w:t>
      </w:r>
      <w:r>
        <w:rPr>
          <w:color w:val="231F20"/>
        </w:rPr>
        <w:t>vyhrazuje</w:t>
      </w:r>
      <w:r>
        <w:rPr>
          <w:color w:val="231F20"/>
          <w:spacing w:val="-15"/>
        </w:rPr>
        <w:t xml:space="preserve"> </w:t>
      </w:r>
      <w:r>
        <w:rPr>
          <w:color w:val="231F20"/>
        </w:rPr>
        <w:t>ve</w:t>
      </w:r>
      <w:r>
        <w:rPr>
          <w:color w:val="231F20"/>
          <w:spacing w:val="-15"/>
        </w:rPr>
        <w:t xml:space="preserve"> </w:t>
      </w:r>
      <w:r>
        <w:rPr>
          <w:color w:val="231F20"/>
        </w:rPr>
        <w:t>smyslu</w:t>
      </w:r>
      <w:r>
        <w:rPr>
          <w:color w:val="231F20"/>
          <w:spacing w:val="-15"/>
        </w:rPr>
        <w:t xml:space="preserve"> </w:t>
      </w:r>
      <w:r>
        <w:rPr>
          <w:color w:val="231F20"/>
        </w:rPr>
        <w:t>§</w:t>
      </w:r>
      <w:r>
        <w:rPr>
          <w:color w:val="231F20"/>
          <w:spacing w:val="-15"/>
        </w:rPr>
        <w:t xml:space="preserve"> </w:t>
      </w:r>
      <w:r>
        <w:rPr>
          <w:color w:val="231F20"/>
        </w:rPr>
        <w:t>100</w:t>
      </w:r>
      <w:r>
        <w:rPr>
          <w:color w:val="231F20"/>
          <w:spacing w:val="-15"/>
        </w:rPr>
        <w:t xml:space="preserve"> </w:t>
      </w:r>
      <w:r>
        <w:rPr>
          <w:color w:val="231F20"/>
        </w:rPr>
        <w:t>odst.</w:t>
      </w:r>
      <w:r>
        <w:rPr>
          <w:color w:val="231F20"/>
          <w:spacing w:val="-11"/>
        </w:rPr>
        <w:t xml:space="preserve"> </w:t>
      </w:r>
      <w:r>
        <w:rPr>
          <w:color w:val="231F20"/>
        </w:rPr>
        <w:t>1</w:t>
      </w:r>
      <w:r>
        <w:rPr>
          <w:color w:val="231F20"/>
          <w:spacing w:val="-16"/>
        </w:rPr>
        <w:t xml:space="preserve"> </w:t>
      </w:r>
      <w:r>
        <w:rPr>
          <w:color w:val="231F20"/>
        </w:rPr>
        <w:t>ZZVZ</w:t>
      </w:r>
      <w:r>
        <w:rPr>
          <w:color w:val="231F20"/>
          <w:spacing w:val="-14"/>
        </w:rPr>
        <w:t xml:space="preserve"> </w:t>
      </w:r>
      <w:r>
        <w:rPr>
          <w:color w:val="231F20"/>
        </w:rPr>
        <w:t>právo</w:t>
      </w:r>
      <w:r>
        <w:rPr>
          <w:color w:val="231F20"/>
          <w:spacing w:val="-14"/>
        </w:rPr>
        <w:t xml:space="preserve"> </w:t>
      </w:r>
      <w:r>
        <w:rPr>
          <w:color w:val="231F20"/>
        </w:rPr>
        <w:t>na</w:t>
      </w:r>
      <w:r>
        <w:rPr>
          <w:color w:val="231F20"/>
          <w:spacing w:val="-15"/>
        </w:rPr>
        <w:t xml:space="preserve"> </w:t>
      </w:r>
      <w:r>
        <w:rPr>
          <w:color w:val="231F20"/>
        </w:rPr>
        <w:t>změny</w:t>
      </w:r>
      <w:r>
        <w:rPr>
          <w:color w:val="231F20"/>
          <w:spacing w:val="-15"/>
        </w:rPr>
        <w:t xml:space="preserve"> </w:t>
      </w:r>
      <w:r>
        <w:rPr>
          <w:color w:val="231F20"/>
        </w:rPr>
        <w:t>závazku</w:t>
      </w:r>
      <w:r>
        <w:rPr>
          <w:color w:val="231F20"/>
          <w:spacing w:val="-14"/>
        </w:rPr>
        <w:t xml:space="preserve"> </w:t>
      </w:r>
      <w:r>
        <w:rPr>
          <w:color w:val="231F20"/>
        </w:rPr>
        <w:t>ze</w:t>
      </w:r>
      <w:r>
        <w:rPr>
          <w:color w:val="231F20"/>
          <w:spacing w:val="-15"/>
        </w:rPr>
        <w:t xml:space="preserve"> </w:t>
      </w:r>
      <w:r>
        <w:rPr>
          <w:color w:val="231F20"/>
        </w:rPr>
        <w:t>smlouvy na plnění této veřejné zakázky</w:t>
      </w:r>
      <w:r>
        <w:rPr>
          <w:color w:val="231F20"/>
          <w:spacing w:val="-1"/>
        </w:rPr>
        <w:t xml:space="preserve"> </w:t>
      </w:r>
      <w:r>
        <w:rPr>
          <w:color w:val="231F20"/>
        </w:rPr>
        <w:t>odpovídající:</w:t>
      </w:r>
    </w:p>
    <w:p w14:paraId="76C01DCF" w14:textId="77777777" w:rsidR="00F65BCA" w:rsidRDefault="00216117">
      <w:pPr>
        <w:pStyle w:val="Nadpis3"/>
        <w:ind w:left="679"/>
        <w:jc w:val="left"/>
      </w:pPr>
      <w:r>
        <w:rPr>
          <w:color w:val="231F20"/>
        </w:rPr>
        <w:t>Pro část 1 VZ:</w:t>
      </w:r>
    </w:p>
    <w:p w14:paraId="434497B1" w14:textId="77777777" w:rsidR="00F65BCA" w:rsidRDefault="00216117">
      <w:pPr>
        <w:pStyle w:val="Nadpis3"/>
        <w:numPr>
          <w:ilvl w:val="2"/>
          <w:numId w:val="9"/>
        </w:numPr>
        <w:tabs>
          <w:tab w:val="left" w:pos="1046"/>
        </w:tabs>
        <w:ind w:left="1045" w:hanging="361"/>
        <w:rPr>
          <w:color w:val="231F20"/>
        </w:rPr>
      </w:pPr>
      <w:r>
        <w:rPr>
          <w:color w:val="231F20"/>
        </w:rPr>
        <w:t>změně pojistných limitů u odpovědnosti za újmu způsobenou</w:t>
      </w:r>
      <w:r>
        <w:rPr>
          <w:color w:val="231F20"/>
          <w:spacing w:val="-18"/>
        </w:rPr>
        <w:t xml:space="preserve"> </w:t>
      </w:r>
      <w:r>
        <w:rPr>
          <w:color w:val="231F20"/>
        </w:rPr>
        <w:t>Zadavatelem;</w:t>
      </w:r>
    </w:p>
    <w:p w14:paraId="397C4721" w14:textId="77777777" w:rsidR="00F65BCA" w:rsidRDefault="00216117">
      <w:pPr>
        <w:pStyle w:val="Nadpis3"/>
        <w:numPr>
          <w:ilvl w:val="2"/>
          <w:numId w:val="9"/>
        </w:numPr>
        <w:tabs>
          <w:tab w:val="left" w:pos="1046"/>
        </w:tabs>
        <w:spacing w:before="37"/>
        <w:ind w:left="1045" w:hanging="361"/>
        <w:rPr>
          <w:color w:val="231F20"/>
        </w:rPr>
      </w:pPr>
      <w:r>
        <w:rPr>
          <w:color w:val="231F20"/>
        </w:rPr>
        <w:t>změně územního rozsahu pojištění u vybraného předmětu pojištění (i</w:t>
      </w:r>
      <w:r>
        <w:rPr>
          <w:color w:val="231F20"/>
          <w:spacing w:val="-32"/>
        </w:rPr>
        <w:t xml:space="preserve"> </w:t>
      </w:r>
      <w:r>
        <w:rPr>
          <w:color w:val="231F20"/>
        </w:rPr>
        <w:t>jednorázově);</w:t>
      </w:r>
    </w:p>
    <w:p w14:paraId="6FC1910E" w14:textId="77777777" w:rsidR="00F65BCA" w:rsidRDefault="00216117">
      <w:pPr>
        <w:pStyle w:val="Nadpis3"/>
        <w:numPr>
          <w:ilvl w:val="2"/>
          <w:numId w:val="9"/>
        </w:numPr>
        <w:tabs>
          <w:tab w:val="left" w:pos="1046"/>
        </w:tabs>
        <w:spacing w:before="39"/>
        <w:ind w:left="1045" w:hanging="361"/>
        <w:rPr>
          <w:color w:val="231F20"/>
        </w:rPr>
      </w:pPr>
      <w:r>
        <w:rPr>
          <w:color w:val="231F20"/>
        </w:rPr>
        <w:t>pojištění jednorázových</w:t>
      </w:r>
      <w:r>
        <w:rPr>
          <w:color w:val="231F20"/>
          <w:spacing w:val="-4"/>
        </w:rPr>
        <w:t xml:space="preserve"> </w:t>
      </w:r>
      <w:r>
        <w:rPr>
          <w:color w:val="231F20"/>
        </w:rPr>
        <w:t>akcí;</w:t>
      </w:r>
    </w:p>
    <w:p w14:paraId="6FE6BEA5" w14:textId="77777777" w:rsidR="00F65BCA" w:rsidRDefault="00216117">
      <w:pPr>
        <w:pStyle w:val="Nadpis3"/>
        <w:numPr>
          <w:ilvl w:val="2"/>
          <w:numId w:val="9"/>
        </w:numPr>
        <w:tabs>
          <w:tab w:val="left" w:pos="1046"/>
        </w:tabs>
        <w:spacing w:before="37" w:line="276" w:lineRule="auto"/>
        <w:ind w:left="1045" w:right="116" w:hanging="360"/>
        <w:rPr>
          <w:color w:val="231F20"/>
        </w:rPr>
      </w:pPr>
      <w:r>
        <w:rPr>
          <w:color w:val="231F20"/>
        </w:rPr>
        <w:t>individuálnímu pojištění převozu majetku včetně uměleckých děl, a to včetně jejich převozu do/ze zahraničí (Evropa,</w:t>
      </w:r>
      <w:r>
        <w:rPr>
          <w:color w:val="231F20"/>
          <w:spacing w:val="-2"/>
        </w:rPr>
        <w:t xml:space="preserve"> </w:t>
      </w:r>
      <w:r>
        <w:rPr>
          <w:color w:val="231F20"/>
        </w:rPr>
        <w:t>Svět);</w:t>
      </w:r>
    </w:p>
    <w:p w14:paraId="022CA3D3" w14:textId="77777777" w:rsidR="00F65BCA" w:rsidRDefault="00216117">
      <w:pPr>
        <w:pStyle w:val="Nadpis3"/>
        <w:numPr>
          <w:ilvl w:val="2"/>
          <w:numId w:val="9"/>
        </w:numPr>
        <w:tabs>
          <w:tab w:val="left" w:pos="1046"/>
        </w:tabs>
        <w:spacing w:before="0"/>
        <w:ind w:left="1045" w:hanging="361"/>
        <w:rPr>
          <w:color w:val="231F20"/>
        </w:rPr>
      </w:pPr>
      <w:r>
        <w:rPr>
          <w:color w:val="231F20"/>
        </w:rPr>
        <w:t>individuálnímu</w:t>
      </w:r>
      <w:r>
        <w:rPr>
          <w:color w:val="231F20"/>
          <w:spacing w:val="10"/>
        </w:rPr>
        <w:t xml:space="preserve"> </w:t>
      </w:r>
      <w:r>
        <w:rPr>
          <w:color w:val="231F20"/>
        </w:rPr>
        <w:t>pojištění</w:t>
      </w:r>
      <w:r>
        <w:rPr>
          <w:color w:val="231F20"/>
          <w:spacing w:val="10"/>
        </w:rPr>
        <w:t xml:space="preserve"> </w:t>
      </w:r>
      <w:r>
        <w:rPr>
          <w:color w:val="231F20"/>
        </w:rPr>
        <w:t>(majetkové</w:t>
      </w:r>
      <w:r>
        <w:rPr>
          <w:color w:val="231F20"/>
          <w:spacing w:val="9"/>
        </w:rPr>
        <w:t xml:space="preserve"> </w:t>
      </w:r>
      <w:r>
        <w:rPr>
          <w:color w:val="231F20"/>
        </w:rPr>
        <w:t>či</w:t>
      </w:r>
      <w:r>
        <w:rPr>
          <w:color w:val="231F20"/>
          <w:spacing w:val="10"/>
        </w:rPr>
        <w:t xml:space="preserve"> </w:t>
      </w:r>
      <w:r>
        <w:rPr>
          <w:color w:val="231F20"/>
        </w:rPr>
        <w:t>odpovědnostní)</w:t>
      </w:r>
      <w:r>
        <w:rPr>
          <w:color w:val="231F20"/>
          <w:spacing w:val="11"/>
        </w:rPr>
        <w:t xml:space="preserve"> </w:t>
      </w:r>
      <w:r>
        <w:rPr>
          <w:color w:val="231F20"/>
        </w:rPr>
        <w:t>v</w:t>
      </w:r>
      <w:r>
        <w:rPr>
          <w:color w:val="231F20"/>
          <w:spacing w:val="11"/>
        </w:rPr>
        <w:t xml:space="preserve"> </w:t>
      </w:r>
      <w:r>
        <w:rPr>
          <w:color w:val="231F20"/>
        </w:rPr>
        <w:t>rozsahu</w:t>
      </w:r>
      <w:r>
        <w:rPr>
          <w:color w:val="231F20"/>
          <w:spacing w:val="11"/>
        </w:rPr>
        <w:t xml:space="preserve"> </w:t>
      </w:r>
      <w:r>
        <w:rPr>
          <w:color w:val="231F20"/>
        </w:rPr>
        <w:t>nad</w:t>
      </w:r>
      <w:r>
        <w:rPr>
          <w:color w:val="231F20"/>
          <w:spacing w:val="11"/>
        </w:rPr>
        <w:t xml:space="preserve"> </w:t>
      </w:r>
      <w:r>
        <w:rPr>
          <w:color w:val="231F20"/>
        </w:rPr>
        <w:t>rámec</w:t>
      </w:r>
      <w:r>
        <w:rPr>
          <w:color w:val="231F20"/>
          <w:spacing w:val="10"/>
        </w:rPr>
        <w:t xml:space="preserve"> </w:t>
      </w:r>
      <w:r>
        <w:rPr>
          <w:color w:val="231F20"/>
        </w:rPr>
        <w:t>pojistné</w:t>
      </w:r>
    </w:p>
    <w:p w14:paraId="05958E14" w14:textId="77777777" w:rsidR="00F65BCA" w:rsidRDefault="00216117">
      <w:pPr>
        <w:pStyle w:val="Nadpis3"/>
        <w:spacing w:before="39"/>
        <w:ind w:left="1045"/>
        <w:jc w:val="left"/>
      </w:pPr>
      <w:r>
        <w:rPr>
          <w:color w:val="231F20"/>
        </w:rPr>
        <w:t>smlouvy.</w:t>
      </w:r>
    </w:p>
    <w:p w14:paraId="55784020" w14:textId="77777777" w:rsidR="00F65BCA" w:rsidRDefault="00216117">
      <w:pPr>
        <w:pStyle w:val="Nadpis3"/>
        <w:spacing w:before="157"/>
        <w:ind w:left="679"/>
        <w:jc w:val="left"/>
      </w:pPr>
      <w:r>
        <w:rPr>
          <w:color w:val="231F20"/>
        </w:rPr>
        <w:t>Pro část 2 VZ</w:t>
      </w:r>
    </w:p>
    <w:p w14:paraId="0140F891" w14:textId="77777777" w:rsidR="00F65BCA" w:rsidRDefault="00F65BCA">
      <w:pPr>
        <w:pStyle w:val="Zkladntext"/>
        <w:rPr>
          <w:sz w:val="20"/>
        </w:rPr>
      </w:pPr>
    </w:p>
    <w:p w14:paraId="348C7AEA" w14:textId="77777777" w:rsidR="00F65BCA" w:rsidRDefault="00F65BCA">
      <w:pPr>
        <w:pStyle w:val="Zkladntext"/>
        <w:rPr>
          <w:sz w:val="20"/>
        </w:rPr>
      </w:pPr>
    </w:p>
    <w:p w14:paraId="0C542B3E" w14:textId="77777777" w:rsidR="00F65BCA" w:rsidRDefault="00F65BCA">
      <w:pPr>
        <w:pStyle w:val="Zkladntext"/>
        <w:spacing w:before="1"/>
        <w:rPr>
          <w:sz w:val="19"/>
        </w:rPr>
      </w:pPr>
    </w:p>
    <w:p w14:paraId="140BAC66" w14:textId="77777777" w:rsidR="00F65BCA" w:rsidRDefault="00216117">
      <w:pPr>
        <w:spacing w:before="94"/>
        <w:ind w:left="1459" w:right="1033"/>
        <w:jc w:val="center"/>
        <w:rPr>
          <w:sz w:val="16"/>
        </w:rPr>
      </w:pPr>
      <w:r>
        <w:rPr>
          <w:color w:val="231F20"/>
          <w:sz w:val="16"/>
        </w:rPr>
        <w:t>Stránka 13 z 15</w:t>
      </w:r>
    </w:p>
    <w:p w14:paraId="1EE19019" w14:textId="77777777" w:rsidR="00F65BCA" w:rsidRDefault="00F65BCA">
      <w:pPr>
        <w:jc w:val="center"/>
        <w:rPr>
          <w:sz w:val="16"/>
        </w:rPr>
        <w:sectPr w:rsidR="00F65BCA">
          <w:pgSz w:w="11900" w:h="16840"/>
          <w:pgMar w:top="1060" w:right="1160" w:bottom="280" w:left="1300" w:header="708" w:footer="708" w:gutter="0"/>
          <w:cols w:space="708"/>
        </w:sectPr>
      </w:pPr>
    </w:p>
    <w:p w14:paraId="4E61D268" w14:textId="77777777" w:rsidR="00F65BCA" w:rsidRDefault="00216117">
      <w:pPr>
        <w:pStyle w:val="Nadpis3"/>
        <w:numPr>
          <w:ilvl w:val="0"/>
          <w:numId w:val="8"/>
        </w:numPr>
        <w:tabs>
          <w:tab w:val="left" w:pos="1046"/>
        </w:tabs>
        <w:spacing w:before="78"/>
        <w:ind w:hanging="361"/>
      </w:pPr>
      <w:r>
        <w:rPr>
          <w:color w:val="231F20"/>
        </w:rPr>
        <w:lastRenderedPageBreak/>
        <w:t>změně v souboru pojištěných motorových vozidel, nebo změně skladby pojištění</w:t>
      </w:r>
    </w:p>
    <w:p w14:paraId="19D1AE45" w14:textId="77777777" w:rsidR="00F65BCA" w:rsidRDefault="00216117">
      <w:pPr>
        <w:pStyle w:val="Nadpis3"/>
        <w:spacing w:before="37"/>
        <w:ind w:left="1045"/>
        <w:jc w:val="left"/>
      </w:pPr>
      <w:r>
        <w:rPr>
          <w:color w:val="231F20"/>
        </w:rPr>
        <w:t>v rámci souboru;</w:t>
      </w:r>
    </w:p>
    <w:p w14:paraId="1C175DFE" w14:textId="77777777" w:rsidR="00F65BCA" w:rsidRDefault="00216117">
      <w:pPr>
        <w:pStyle w:val="Nadpis3"/>
        <w:spacing w:before="159"/>
        <w:ind w:left="679"/>
        <w:jc w:val="left"/>
      </w:pPr>
      <w:r>
        <w:rPr>
          <w:color w:val="231F20"/>
        </w:rPr>
        <w:t>Pro část 3 VZ</w:t>
      </w:r>
    </w:p>
    <w:p w14:paraId="477D9358" w14:textId="77777777" w:rsidR="00F65BCA" w:rsidRDefault="00216117">
      <w:pPr>
        <w:pStyle w:val="Nadpis3"/>
        <w:numPr>
          <w:ilvl w:val="0"/>
          <w:numId w:val="8"/>
        </w:numPr>
        <w:tabs>
          <w:tab w:val="left" w:pos="1046"/>
        </w:tabs>
        <w:spacing w:line="276" w:lineRule="auto"/>
        <w:ind w:right="120"/>
      </w:pPr>
      <w:r>
        <w:rPr>
          <w:color w:val="231F20"/>
        </w:rPr>
        <w:t>zvýšení limitu pojištění stornopoplatků u zahraničních cest nad rámec pojistné smlouvy (i</w:t>
      </w:r>
      <w:r>
        <w:rPr>
          <w:color w:val="231F20"/>
          <w:spacing w:val="-1"/>
        </w:rPr>
        <w:t xml:space="preserve"> </w:t>
      </w:r>
      <w:r>
        <w:rPr>
          <w:color w:val="231F20"/>
        </w:rPr>
        <w:t>jednorázově);</w:t>
      </w:r>
    </w:p>
    <w:p w14:paraId="378A680B" w14:textId="77777777" w:rsidR="00F65BCA" w:rsidRDefault="00216117">
      <w:pPr>
        <w:pStyle w:val="Nadpis3"/>
        <w:numPr>
          <w:ilvl w:val="0"/>
          <w:numId w:val="8"/>
        </w:numPr>
        <w:tabs>
          <w:tab w:val="left" w:pos="1046"/>
        </w:tabs>
        <w:spacing w:before="0" w:line="276" w:lineRule="auto"/>
        <w:ind w:right="115"/>
      </w:pPr>
      <w:r>
        <w:rPr>
          <w:color w:val="231F20"/>
        </w:rPr>
        <w:t>individuálnímu sjednání samostatného pojištění stornopoplatků (tj. bez léčebných výloh;</w:t>
      </w:r>
    </w:p>
    <w:p w14:paraId="53C63600" w14:textId="77777777" w:rsidR="00F65BCA" w:rsidRDefault="00216117">
      <w:pPr>
        <w:pStyle w:val="Nadpis3"/>
        <w:numPr>
          <w:ilvl w:val="0"/>
          <w:numId w:val="8"/>
        </w:numPr>
        <w:tabs>
          <w:tab w:val="left" w:pos="1046"/>
        </w:tabs>
        <w:spacing w:before="0" w:line="252" w:lineRule="exact"/>
        <w:ind w:hanging="361"/>
      </w:pPr>
      <w:r>
        <w:rPr>
          <w:color w:val="231F20"/>
        </w:rPr>
        <w:t>individuálnímu cestovnímu pojištění v rozsahu nad rámec pojistné</w:t>
      </w:r>
      <w:r>
        <w:rPr>
          <w:color w:val="231F20"/>
          <w:spacing w:val="-13"/>
        </w:rPr>
        <w:t xml:space="preserve"> </w:t>
      </w:r>
      <w:r>
        <w:rPr>
          <w:color w:val="231F20"/>
        </w:rPr>
        <w:t>smlouvy.</w:t>
      </w:r>
    </w:p>
    <w:p w14:paraId="76128D31" w14:textId="77777777" w:rsidR="00F65BCA" w:rsidRDefault="00216117">
      <w:pPr>
        <w:pStyle w:val="Nadpis3"/>
        <w:spacing w:before="158"/>
        <w:ind w:left="679"/>
        <w:jc w:val="left"/>
      </w:pPr>
      <w:r>
        <w:rPr>
          <w:color w:val="231F20"/>
        </w:rPr>
        <w:t>Pro část 4 VZ</w:t>
      </w:r>
    </w:p>
    <w:p w14:paraId="40BF7FEB" w14:textId="77777777" w:rsidR="00F65BCA" w:rsidRDefault="00216117">
      <w:pPr>
        <w:pStyle w:val="Nadpis3"/>
        <w:jc w:val="left"/>
      </w:pPr>
      <w:r>
        <w:rPr>
          <w:color w:val="231F20"/>
        </w:rPr>
        <w:t>a) změně v souboru pojištěných dronů.</w:t>
      </w:r>
    </w:p>
    <w:p w14:paraId="0D9B429A" w14:textId="77777777" w:rsidR="00F65BCA" w:rsidRDefault="00216117">
      <w:pPr>
        <w:pStyle w:val="Nadpis3"/>
        <w:numPr>
          <w:ilvl w:val="1"/>
          <w:numId w:val="9"/>
        </w:numPr>
        <w:tabs>
          <w:tab w:val="left" w:pos="686"/>
        </w:tabs>
        <w:spacing w:before="158"/>
        <w:ind w:right="113"/>
        <w:jc w:val="both"/>
      </w:pPr>
      <w:r>
        <w:rPr>
          <w:color w:val="231F20"/>
        </w:rPr>
        <w:t>Změny dle čl. 23.2 této ZD budou realizovány dodatkem ke smlouvě nebo samostatnou dílčí smlouvou. Případná změna ceny bude odpovídat cenové hladině již sjednaného pojištění</w:t>
      </w:r>
      <w:r>
        <w:rPr>
          <w:color w:val="231F20"/>
          <w:spacing w:val="-20"/>
        </w:rPr>
        <w:t xml:space="preserve"> </w:t>
      </w:r>
      <w:r>
        <w:rPr>
          <w:color w:val="231F20"/>
        </w:rPr>
        <w:t>nebo,</w:t>
      </w:r>
      <w:r>
        <w:rPr>
          <w:color w:val="231F20"/>
          <w:spacing w:val="-18"/>
        </w:rPr>
        <w:t xml:space="preserve"> </w:t>
      </w:r>
      <w:r>
        <w:rPr>
          <w:color w:val="231F20"/>
        </w:rPr>
        <w:t>není-li</w:t>
      </w:r>
      <w:r>
        <w:rPr>
          <w:color w:val="231F20"/>
          <w:spacing w:val="-19"/>
        </w:rPr>
        <w:t xml:space="preserve"> </w:t>
      </w:r>
      <w:r>
        <w:rPr>
          <w:color w:val="231F20"/>
        </w:rPr>
        <w:t>odpovídající</w:t>
      </w:r>
      <w:r>
        <w:rPr>
          <w:color w:val="231F20"/>
          <w:spacing w:val="-21"/>
        </w:rPr>
        <w:t xml:space="preserve"> </w:t>
      </w:r>
      <w:r>
        <w:rPr>
          <w:color w:val="231F20"/>
        </w:rPr>
        <w:t>pojištění</w:t>
      </w:r>
      <w:r>
        <w:rPr>
          <w:color w:val="231F20"/>
          <w:spacing w:val="-19"/>
        </w:rPr>
        <w:t xml:space="preserve"> </w:t>
      </w:r>
      <w:r>
        <w:rPr>
          <w:color w:val="231F20"/>
        </w:rPr>
        <w:t>dosud</w:t>
      </w:r>
      <w:r>
        <w:rPr>
          <w:color w:val="231F20"/>
          <w:spacing w:val="-19"/>
        </w:rPr>
        <w:t xml:space="preserve"> </w:t>
      </w:r>
      <w:r>
        <w:rPr>
          <w:color w:val="231F20"/>
        </w:rPr>
        <w:t>sjednáno,</w:t>
      </w:r>
      <w:r>
        <w:rPr>
          <w:color w:val="231F20"/>
          <w:spacing w:val="-19"/>
        </w:rPr>
        <w:t xml:space="preserve"> </w:t>
      </w:r>
      <w:r>
        <w:rPr>
          <w:color w:val="231F20"/>
        </w:rPr>
        <w:t>nepřevýší</w:t>
      </w:r>
      <w:r>
        <w:rPr>
          <w:color w:val="231F20"/>
          <w:spacing w:val="-19"/>
        </w:rPr>
        <w:t xml:space="preserve"> </w:t>
      </w:r>
      <w:r>
        <w:rPr>
          <w:color w:val="231F20"/>
        </w:rPr>
        <w:t>cena</w:t>
      </w:r>
      <w:r>
        <w:rPr>
          <w:color w:val="231F20"/>
          <w:spacing w:val="-18"/>
        </w:rPr>
        <w:t xml:space="preserve"> </w:t>
      </w:r>
      <w:r>
        <w:rPr>
          <w:color w:val="231F20"/>
        </w:rPr>
        <w:t>změny</w:t>
      </w:r>
      <w:r>
        <w:rPr>
          <w:color w:val="231F20"/>
          <w:spacing w:val="-15"/>
        </w:rPr>
        <w:t xml:space="preserve"> </w:t>
      </w:r>
      <w:r>
        <w:rPr>
          <w:color w:val="231F20"/>
        </w:rPr>
        <w:t>(nebo cena nového pojištění) cenu v místě a čase obvyklou pro dané</w:t>
      </w:r>
      <w:r>
        <w:rPr>
          <w:color w:val="231F20"/>
          <w:spacing w:val="-15"/>
        </w:rPr>
        <w:t xml:space="preserve"> </w:t>
      </w:r>
      <w:r>
        <w:rPr>
          <w:color w:val="231F20"/>
        </w:rPr>
        <w:t>plnění.</w:t>
      </w:r>
    </w:p>
    <w:p w14:paraId="1856B476" w14:textId="77777777" w:rsidR="00F65BCA" w:rsidRDefault="00216117">
      <w:pPr>
        <w:pStyle w:val="Nadpis3"/>
        <w:numPr>
          <w:ilvl w:val="1"/>
          <w:numId w:val="9"/>
        </w:numPr>
        <w:tabs>
          <w:tab w:val="left" w:pos="686"/>
        </w:tabs>
        <w:spacing w:before="119"/>
        <w:ind w:right="119"/>
        <w:jc w:val="both"/>
      </w:pPr>
      <w:r>
        <w:rPr>
          <w:color w:val="231F20"/>
        </w:rPr>
        <w:t>Zadavatel si vyhrazuje opční právo ve smyslu § 100 odst. 3 ZZVZ, a to pro následující případy:</w:t>
      </w:r>
    </w:p>
    <w:p w14:paraId="5155D447" w14:textId="77777777" w:rsidR="00F65BCA" w:rsidRDefault="00216117">
      <w:pPr>
        <w:pStyle w:val="Nadpis3"/>
        <w:numPr>
          <w:ilvl w:val="2"/>
          <w:numId w:val="9"/>
        </w:numPr>
        <w:tabs>
          <w:tab w:val="left" w:pos="1046"/>
        </w:tabs>
        <w:ind w:left="1045" w:hanging="361"/>
        <w:rPr>
          <w:color w:val="231F20"/>
        </w:rPr>
      </w:pPr>
      <w:r>
        <w:rPr>
          <w:color w:val="231F20"/>
        </w:rPr>
        <w:t>zřízení detašovaného pracoviště Zadavatele mimo území České</w:t>
      </w:r>
      <w:r>
        <w:rPr>
          <w:color w:val="231F20"/>
          <w:spacing w:val="-14"/>
        </w:rPr>
        <w:t xml:space="preserve"> </w:t>
      </w:r>
      <w:r>
        <w:rPr>
          <w:color w:val="231F20"/>
        </w:rPr>
        <w:t>republiky;</w:t>
      </w:r>
    </w:p>
    <w:p w14:paraId="64BD9796" w14:textId="77777777" w:rsidR="00F65BCA" w:rsidRDefault="00216117">
      <w:pPr>
        <w:pStyle w:val="Nadpis3"/>
        <w:numPr>
          <w:ilvl w:val="2"/>
          <w:numId w:val="9"/>
        </w:numPr>
        <w:tabs>
          <w:tab w:val="left" w:pos="1046"/>
        </w:tabs>
        <w:spacing w:before="37"/>
        <w:ind w:left="1045" w:hanging="361"/>
        <w:rPr>
          <w:color w:val="231F20"/>
        </w:rPr>
      </w:pPr>
      <w:r>
        <w:rPr>
          <w:color w:val="231F20"/>
        </w:rPr>
        <w:t>pojištění nově vzniklého znaleckého ústavu ve smyslu zákona č. 254/2019</w:t>
      </w:r>
      <w:r>
        <w:rPr>
          <w:color w:val="231F20"/>
          <w:spacing w:val="-24"/>
        </w:rPr>
        <w:t xml:space="preserve"> </w:t>
      </w:r>
      <w:r>
        <w:rPr>
          <w:color w:val="231F20"/>
        </w:rPr>
        <w:t>Sb.;</w:t>
      </w:r>
    </w:p>
    <w:p w14:paraId="586D2FA1" w14:textId="77777777" w:rsidR="00F65BCA" w:rsidRDefault="00216117">
      <w:pPr>
        <w:pStyle w:val="Nadpis3"/>
        <w:numPr>
          <w:ilvl w:val="2"/>
          <w:numId w:val="9"/>
        </w:numPr>
        <w:tabs>
          <w:tab w:val="left" w:pos="1046"/>
        </w:tabs>
        <w:spacing w:before="39"/>
        <w:ind w:left="1045" w:hanging="361"/>
        <w:rPr>
          <w:color w:val="231F20"/>
        </w:rPr>
      </w:pPr>
      <w:r>
        <w:rPr>
          <w:color w:val="231F20"/>
        </w:rPr>
        <w:t>změna pojištění na základě velkých investic do budov, staveb a ostatního</w:t>
      </w:r>
      <w:r>
        <w:rPr>
          <w:color w:val="231F20"/>
          <w:spacing w:val="-31"/>
        </w:rPr>
        <w:t xml:space="preserve"> </w:t>
      </w:r>
      <w:r>
        <w:rPr>
          <w:color w:val="231F20"/>
        </w:rPr>
        <w:t>majetku;</w:t>
      </w:r>
    </w:p>
    <w:p w14:paraId="6FC92108" w14:textId="77777777" w:rsidR="00F65BCA" w:rsidRDefault="00216117">
      <w:pPr>
        <w:pStyle w:val="Nadpis3"/>
        <w:numPr>
          <w:ilvl w:val="2"/>
          <w:numId w:val="9"/>
        </w:numPr>
        <w:tabs>
          <w:tab w:val="left" w:pos="1046"/>
        </w:tabs>
        <w:spacing w:before="37"/>
        <w:ind w:left="1045" w:hanging="361"/>
        <w:rPr>
          <w:color w:val="231F20"/>
        </w:rPr>
      </w:pPr>
      <w:r>
        <w:rPr>
          <w:color w:val="231F20"/>
        </w:rPr>
        <w:t>nové pojistné</w:t>
      </w:r>
      <w:r>
        <w:rPr>
          <w:color w:val="231F20"/>
          <w:spacing w:val="-3"/>
        </w:rPr>
        <w:t xml:space="preserve"> </w:t>
      </w:r>
      <w:r>
        <w:rPr>
          <w:color w:val="231F20"/>
        </w:rPr>
        <w:t>produkty.</w:t>
      </w:r>
    </w:p>
    <w:p w14:paraId="12051F2E" w14:textId="77777777" w:rsidR="00F65BCA" w:rsidRDefault="00216117">
      <w:pPr>
        <w:pStyle w:val="Nadpis3"/>
        <w:numPr>
          <w:ilvl w:val="1"/>
          <w:numId w:val="9"/>
        </w:numPr>
        <w:tabs>
          <w:tab w:val="left" w:pos="686"/>
        </w:tabs>
        <w:spacing w:before="158"/>
        <w:ind w:right="113"/>
        <w:jc w:val="both"/>
      </w:pPr>
      <w:r>
        <w:rPr>
          <w:color w:val="231F20"/>
        </w:rPr>
        <w:t>Dobu využití opčního práva stanoví Zadavatel do dne 31. 12. 2028. Dodavatel bere na vědomí, že změny plnění spadající pod využití opčního práva mohou být Zadavatelem realizovány postupem dle § 66 ZZVZ, tj. v jednacím řízení bez uveřejnění, popř. mimo režim zákona do limitu dle § 18 odst. 3</w:t>
      </w:r>
      <w:r>
        <w:rPr>
          <w:color w:val="231F20"/>
          <w:spacing w:val="-10"/>
        </w:rPr>
        <w:t xml:space="preserve"> </w:t>
      </w:r>
      <w:r>
        <w:rPr>
          <w:color w:val="231F20"/>
        </w:rPr>
        <w:t>ZZVZ.</w:t>
      </w:r>
    </w:p>
    <w:p w14:paraId="6989D125" w14:textId="77777777" w:rsidR="00F65BCA" w:rsidRDefault="00216117">
      <w:pPr>
        <w:pStyle w:val="Nadpis3"/>
        <w:numPr>
          <w:ilvl w:val="1"/>
          <w:numId w:val="9"/>
        </w:numPr>
        <w:tabs>
          <w:tab w:val="left" w:pos="686"/>
        </w:tabs>
        <w:ind w:right="111"/>
        <w:jc w:val="both"/>
      </w:pPr>
      <w:r>
        <w:rPr>
          <w:color w:val="231F20"/>
        </w:rPr>
        <w:t>Pro změny dle čl. 23.2 a 23.4 této ZD platí, že dodavatel, s nímž bude uzavřena</w:t>
      </w:r>
      <w:r>
        <w:rPr>
          <w:color w:val="231F20"/>
          <w:spacing w:val="-44"/>
        </w:rPr>
        <w:t xml:space="preserve"> </w:t>
      </w:r>
      <w:r>
        <w:rPr>
          <w:color w:val="231F20"/>
        </w:rPr>
        <w:t>smlouva na plnění této  veřejné  zakázky,  je  povinen  nejpozději  do  sedmi  (7)  dnů  (nebude-li v písemné výzvě Zadavatele stanovena delší lhůta) od zaslání písemného požadavku Zadavatele (resp. samostatného zprostředkovatele Zadavatele) obsahujícího specifikaci změny závazku (rozsah, doba, podmínky apod.) Zadavatelem (resp. samostatným zprostředkovatelem</w:t>
      </w:r>
      <w:r>
        <w:rPr>
          <w:color w:val="231F20"/>
          <w:spacing w:val="-18"/>
        </w:rPr>
        <w:t xml:space="preserve"> </w:t>
      </w:r>
      <w:r>
        <w:rPr>
          <w:color w:val="231F20"/>
        </w:rPr>
        <w:t>Zadavatele)</w:t>
      </w:r>
      <w:r>
        <w:rPr>
          <w:color w:val="231F20"/>
          <w:spacing w:val="-17"/>
        </w:rPr>
        <w:t xml:space="preserve"> </w:t>
      </w:r>
      <w:r>
        <w:rPr>
          <w:color w:val="231F20"/>
        </w:rPr>
        <w:t>zaslat</w:t>
      </w:r>
      <w:r>
        <w:rPr>
          <w:color w:val="231F20"/>
          <w:spacing w:val="-18"/>
        </w:rPr>
        <w:t xml:space="preserve"> </w:t>
      </w:r>
      <w:r>
        <w:rPr>
          <w:color w:val="231F20"/>
        </w:rPr>
        <w:t>Zadavateli</w:t>
      </w:r>
      <w:r>
        <w:rPr>
          <w:color w:val="231F20"/>
          <w:spacing w:val="-17"/>
        </w:rPr>
        <w:t xml:space="preserve"> </w:t>
      </w:r>
      <w:r>
        <w:rPr>
          <w:color w:val="231F20"/>
        </w:rPr>
        <w:t>(resp.</w:t>
      </w:r>
      <w:r>
        <w:rPr>
          <w:color w:val="231F20"/>
          <w:spacing w:val="-16"/>
        </w:rPr>
        <w:t xml:space="preserve"> </w:t>
      </w:r>
      <w:r>
        <w:rPr>
          <w:color w:val="231F20"/>
        </w:rPr>
        <w:t>samostatnému</w:t>
      </w:r>
      <w:r>
        <w:rPr>
          <w:color w:val="231F20"/>
          <w:spacing w:val="-18"/>
        </w:rPr>
        <w:t xml:space="preserve"> </w:t>
      </w:r>
      <w:r>
        <w:rPr>
          <w:color w:val="231F20"/>
        </w:rPr>
        <w:t>zprostředkovateli Zadavatele)</w:t>
      </w:r>
      <w:r>
        <w:rPr>
          <w:color w:val="231F20"/>
          <w:spacing w:val="-10"/>
        </w:rPr>
        <w:t xml:space="preserve"> </w:t>
      </w:r>
      <w:r>
        <w:rPr>
          <w:color w:val="231F20"/>
        </w:rPr>
        <w:t>návrh</w:t>
      </w:r>
      <w:r>
        <w:rPr>
          <w:color w:val="231F20"/>
          <w:spacing w:val="-8"/>
        </w:rPr>
        <w:t xml:space="preserve"> </w:t>
      </w:r>
      <w:r>
        <w:rPr>
          <w:color w:val="231F20"/>
        </w:rPr>
        <w:t>pojistné</w:t>
      </w:r>
      <w:r>
        <w:rPr>
          <w:color w:val="231F20"/>
          <w:spacing w:val="-8"/>
        </w:rPr>
        <w:t xml:space="preserve"> </w:t>
      </w:r>
      <w:r>
        <w:rPr>
          <w:color w:val="231F20"/>
        </w:rPr>
        <w:t>smlouvy</w:t>
      </w:r>
      <w:r>
        <w:rPr>
          <w:color w:val="231F20"/>
          <w:spacing w:val="-8"/>
        </w:rPr>
        <w:t xml:space="preserve"> </w:t>
      </w:r>
      <w:r>
        <w:rPr>
          <w:color w:val="231F20"/>
        </w:rPr>
        <w:t>ve</w:t>
      </w:r>
      <w:r>
        <w:rPr>
          <w:color w:val="231F20"/>
          <w:spacing w:val="-8"/>
        </w:rPr>
        <w:t xml:space="preserve"> </w:t>
      </w:r>
      <w:r>
        <w:rPr>
          <w:color w:val="231F20"/>
        </w:rPr>
        <w:t>formě</w:t>
      </w:r>
      <w:r>
        <w:rPr>
          <w:color w:val="231F20"/>
          <w:spacing w:val="-8"/>
        </w:rPr>
        <w:t xml:space="preserve"> </w:t>
      </w:r>
      <w:r>
        <w:rPr>
          <w:color w:val="231F20"/>
        </w:rPr>
        <w:t>dodatku</w:t>
      </w:r>
      <w:r>
        <w:rPr>
          <w:color w:val="231F20"/>
          <w:spacing w:val="-8"/>
        </w:rPr>
        <w:t xml:space="preserve"> </w:t>
      </w:r>
      <w:r>
        <w:rPr>
          <w:color w:val="231F20"/>
        </w:rPr>
        <w:t>k</w:t>
      </w:r>
      <w:r>
        <w:rPr>
          <w:color w:val="231F20"/>
          <w:spacing w:val="-2"/>
        </w:rPr>
        <w:t xml:space="preserve"> </w:t>
      </w:r>
      <w:r>
        <w:rPr>
          <w:color w:val="231F20"/>
        </w:rPr>
        <w:t>příslušné</w:t>
      </w:r>
      <w:r>
        <w:rPr>
          <w:color w:val="231F20"/>
          <w:spacing w:val="-7"/>
        </w:rPr>
        <w:t xml:space="preserve"> </w:t>
      </w:r>
      <w:r>
        <w:rPr>
          <w:color w:val="231F20"/>
        </w:rPr>
        <w:t>pojistné</w:t>
      </w:r>
      <w:r>
        <w:rPr>
          <w:color w:val="231F20"/>
          <w:spacing w:val="-7"/>
        </w:rPr>
        <w:t xml:space="preserve"> </w:t>
      </w:r>
      <w:r>
        <w:rPr>
          <w:color w:val="231F20"/>
        </w:rPr>
        <w:t>smlouvě</w:t>
      </w:r>
      <w:r>
        <w:rPr>
          <w:color w:val="231F20"/>
          <w:spacing w:val="-8"/>
        </w:rPr>
        <w:t xml:space="preserve"> </w:t>
      </w:r>
      <w:r>
        <w:rPr>
          <w:color w:val="231F20"/>
        </w:rPr>
        <w:t>(popř. novou dílčí pojistnou smlouvu) podepsanou oprávněnou osobou dodavatele, přičemž platí, že pojistné v tomto návrhu nesmí být vyšší než cena, která je již smlouvou za odpovídající pojištění sjednána, nebo cena za odpovídající pojištění v místě a čase obvyklá,</w:t>
      </w:r>
      <w:r>
        <w:rPr>
          <w:color w:val="231F20"/>
          <w:spacing w:val="-12"/>
        </w:rPr>
        <w:t xml:space="preserve"> </w:t>
      </w:r>
      <w:r>
        <w:rPr>
          <w:color w:val="231F20"/>
        </w:rPr>
        <w:t>pokud</w:t>
      </w:r>
      <w:r>
        <w:rPr>
          <w:color w:val="231F20"/>
          <w:spacing w:val="-9"/>
        </w:rPr>
        <w:t xml:space="preserve"> </w:t>
      </w:r>
      <w:r>
        <w:rPr>
          <w:color w:val="231F20"/>
        </w:rPr>
        <w:t>odpovídající</w:t>
      </w:r>
      <w:r>
        <w:rPr>
          <w:color w:val="231F20"/>
          <w:spacing w:val="-10"/>
        </w:rPr>
        <w:t xml:space="preserve"> </w:t>
      </w:r>
      <w:r>
        <w:rPr>
          <w:color w:val="231F20"/>
        </w:rPr>
        <w:t>pojištění</w:t>
      </w:r>
      <w:r>
        <w:rPr>
          <w:color w:val="231F20"/>
          <w:spacing w:val="-12"/>
        </w:rPr>
        <w:t xml:space="preserve"> </w:t>
      </w:r>
      <w:r>
        <w:rPr>
          <w:color w:val="231F20"/>
        </w:rPr>
        <w:t>sjednáno</w:t>
      </w:r>
      <w:r>
        <w:rPr>
          <w:color w:val="231F20"/>
          <w:spacing w:val="-9"/>
        </w:rPr>
        <w:t xml:space="preserve"> </w:t>
      </w:r>
      <w:r>
        <w:rPr>
          <w:color w:val="231F20"/>
        </w:rPr>
        <w:t>dosud</w:t>
      </w:r>
      <w:r>
        <w:rPr>
          <w:color w:val="231F20"/>
          <w:spacing w:val="-9"/>
        </w:rPr>
        <w:t xml:space="preserve"> </w:t>
      </w:r>
      <w:r>
        <w:rPr>
          <w:color w:val="231F20"/>
        </w:rPr>
        <w:t>není.</w:t>
      </w:r>
      <w:r>
        <w:rPr>
          <w:color w:val="231F20"/>
          <w:spacing w:val="-11"/>
        </w:rPr>
        <w:t xml:space="preserve"> </w:t>
      </w:r>
      <w:r>
        <w:rPr>
          <w:color w:val="231F20"/>
        </w:rPr>
        <w:t>Pokud</w:t>
      </w:r>
      <w:r>
        <w:rPr>
          <w:color w:val="231F20"/>
          <w:spacing w:val="-9"/>
        </w:rPr>
        <w:t xml:space="preserve"> </w:t>
      </w:r>
      <w:r>
        <w:rPr>
          <w:color w:val="231F20"/>
        </w:rPr>
        <w:t>nebude</w:t>
      </w:r>
      <w:r>
        <w:rPr>
          <w:color w:val="231F20"/>
          <w:spacing w:val="-12"/>
        </w:rPr>
        <w:t xml:space="preserve"> </w:t>
      </w:r>
      <w:r>
        <w:rPr>
          <w:color w:val="231F20"/>
        </w:rPr>
        <w:t>návrh</w:t>
      </w:r>
      <w:r>
        <w:rPr>
          <w:color w:val="231F20"/>
          <w:spacing w:val="-11"/>
        </w:rPr>
        <w:t xml:space="preserve"> </w:t>
      </w:r>
      <w:r>
        <w:rPr>
          <w:color w:val="231F20"/>
        </w:rPr>
        <w:t>dodatku k pojistné smlouvě zaslán Zadavateli nebo samostatnému zprostředkovateli Zadavatele ve</w:t>
      </w:r>
      <w:r>
        <w:rPr>
          <w:color w:val="231F20"/>
          <w:spacing w:val="-7"/>
        </w:rPr>
        <w:t xml:space="preserve"> </w:t>
      </w:r>
      <w:r>
        <w:rPr>
          <w:color w:val="231F20"/>
        </w:rPr>
        <w:t>stanovené</w:t>
      </w:r>
      <w:r>
        <w:rPr>
          <w:color w:val="231F20"/>
          <w:spacing w:val="-8"/>
        </w:rPr>
        <w:t xml:space="preserve"> </w:t>
      </w:r>
      <w:r>
        <w:rPr>
          <w:color w:val="231F20"/>
        </w:rPr>
        <w:t>lhůtě,</w:t>
      </w:r>
      <w:r>
        <w:rPr>
          <w:color w:val="231F20"/>
          <w:spacing w:val="-8"/>
        </w:rPr>
        <w:t xml:space="preserve"> </w:t>
      </w:r>
      <w:r>
        <w:rPr>
          <w:color w:val="231F20"/>
        </w:rPr>
        <w:t>vzniká</w:t>
      </w:r>
      <w:r>
        <w:rPr>
          <w:color w:val="231F20"/>
          <w:spacing w:val="-8"/>
        </w:rPr>
        <w:t xml:space="preserve"> </w:t>
      </w:r>
      <w:r>
        <w:rPr>
          <w:color w:val="231F20"/>
        </w:rPr>
        <w:t>Zadavateli</w:t>
      </w:r>
      <w:r>
        <w:rPr>
          <w:color w:val="231F20"/>
          <w:spacing w:val="-8"/>
        </w:rPr>
        <w:t xml:space="preserve"> </w:t>
      </w:r>
      <w:r>
        <w:rPr>
          <w:color w:val="231F20"/>
        </w:rPr>
        <w:t>nárok</w:t>
      </w:r>
      <w:r>
        <w:rPr>
          <w:color w:val="231F20"/>
          <w:spacing w:val="-7"/>
        </w:rPr>
        <w:t xml:space="preserve"> </w:t>
      </w:r>
      <w:r>
        <w:rPr>
          <w:color w:val="231F20"/>
        </w:rPr>
        <w:t>na</w:t>
      </w:r>
      <w:r>
        <w:rPr>
          <w:color w:val="231F20"/>
          <w:spacing w:val="-8"/>
        </w:rPr>
        <w:t xml:space="preserve"> </w:t>
      </w:r>
      <w:r>
        <w:rPr>
          <w:color w:val="231F20"/>
        </w:rPr>
        <w:t>smluvní</w:t>
      </w:r>
      <w:r>
        <w:rPr>
          <w:color w:val="231F20"/>
          <w:spacing w:val="-7"/>
        </w:rPr>
        <w:t xml:space="preserve"> </w:t>
      </w:r>
      <w:r>
        <w:rPr>
          <w:color w:val="231F20"/>
        </w:rPr>
        <w:t>pokutu</w:t>
      </w:r>
      <w:r>
        <w:rPr>
          <w:color w:val="231F20"/>
          <w:spacing w:val="-8"/>
        </w:rPr>
        <w:t xml:space="preserve"> </w:t>
      </w:r>
      <w:r>
        <w:rPr>
          <w:color w:val="231F20"/>
        </w:rPr>
        <w:t>ve</w:t>
      </w:r>
      <w:r>
        <w:rPr>
          <w:color w:val="231F20"/>
          <w:spacing w:val="-7"/>
        </w:rPr>
        <w:t xml:space="preserve"> </w:t>
      </w:r>
      <w:r>
        <w:rPr>
          <w:color w:val="231F20"/>
        </w:rPr>
        <w:t>výši</w:t>
      </w:r>
      <w:r>
        <w:rPr>
          <w:color w:val="231F20"/>
          <w:spacing w:val="-8"/>
        </w:rPr>
        <w:t xml:space="preserve"> </w:t>
      </w:r>
      <w:r>
        <w:rPr>
          <w:color w:val="231F20"/>
        </w:rPr>
        <w:t>5</w:t>
      </w:r>
      <w:r>
        <w:rPr>
          <w:color w:val="231F20"/>
          <w:spacing w:val="-9"/>
        </w:rPr>
        <w:t xml:space="preserve"> </w:t>
      </w:r>
      <w:r>
        <w:rPr>
          <w:color w:val="231F20"/>
        </w:rPr>
        <w:t>000</w:t>
      </w:r>
      <w:r>
        <w:rPr>
          <w:color w:val="231F20"/>
          <w:spacing w:val="-7"/>
        </w:rPr>
        <w:t xml:space="preserve"> </w:t>
      </w:r>
      <w:r>
        <w:rPr>
          <w:color w:val="231F20"/>
        </w:rPr>
        <w:t>Kč</w:t>
      </w:r>
      <w:r>
        <w:rPr>
          <w:color w:val="231F20"/>
          <w:spacing w:val="-7"/>
        </w:rPr>
        <w:t xml:space="preserve"> </w:t>
      </w:r>
      <w:r>
        <w:rPr>
          <w:color w:val="231F20"/>
        </w:rPr>
        <w:t>za</w:t>
      </w:r>
      <w:r>
        <w:rPr>
          <w:color w:val="231F20"/>
          <w:spacing w:val="-8"/>
        </w:rPr>
        <w:t xml:space="preserve"> </w:t>
      </w:r>
      <w:r>
        <w:rPr>
          <w:color w:val="231F20"/>
        </w:rPr>
        <w:t>každý i započatý  den  prodlení  dodavatele,  a  to  za  každý  jednotlivý  případ  prodlení,  a  to i</w:t>
      </w:r>
      <w:r>
        <w:rPr>
          <w:color w:val="231F20"/>
          <w:spacing w:val="-1"/>
        </w:rPr>
        <w:t xml:space="preserve"> </w:t>
      </w:r>
      <w:r>
        <w:rPr>
          <w:color w:val="231F20"/>
        </w:rPr>
        <w:t>opakovaně.</w:t>
      </w:r>
    </w:p>
    <w:p w14:paraId="67296370" w14:textId="77777777" w:rsidR="00F65BCA" w:rsidRDefault="00216117">
      <w:pPr>
        <w:pStyle w:val="Nadpis3"/>
        <w:numPr>
          <w:ilvl w:val="1"/>
          <w:numId w:val="9"/>
        </w:numPr>
        <w:tabs>
          <w:tab w:val="left" w:pos="686"/>
        </w:tabs>
        <w:spacing w:before="118"/>
        <w:ind w:right="113"/>
        <w:jc w:val="both"/>
      </w:pPr>
      <w:r>
        <w:rPr>
          <w:color w:val="231F20"/>
          <w:sz w:val="24"/>
        </w:rPr>
        <w:t xml:space="preserve">Zadavatel </w:t>
      </w:r>
      <w:r>
        <w:rPr>
          <w:color w:val="231F20"/>
        </w:rPr>
        <w:t>si v případě, že po uzavření smluv, resp. v průběhu plnění veřejné zakázky dojde</w:t>
      </w:r>
      <w:r>
        <w:rPr>
          <w:color w:val="231F20"/>
          <w:spacing w:val="-8"/>
        </w:rPr>
        <w:t xml:space="preserve"> </w:t>
      </w:r>
      <w:r>
        <w:rPr>
          <w:color w:val="231F20"/>
        </w:rPr>
        <w:t>k</w:t>
      </w:r>
      <w:r>
        <w:rPr>
          <w:color w:val="231F20"/>
          <w:spacing w:val="-3"/>
        </w:rPr>
        <w:t xml:space="preserve"> </w:t>
      </w:r>
      <w:r>
        <w:rPr>
          <w:color w:val="231F20"/>
        </w:rPr>
        <w:t>předčasnému</w:t>
      </w:r>
      <w:r>
        <w:rPr>
          <w:color w:val="231F20"/>
          <w:spacing w:val="-8"/>
        </w:rPr>
        <w:t xml:space="preserve"> </w:t>
      </w:r>
      <w:r>
        <w:rPr>
          <w:color w:val="231F20"/>
        </w:rPr>
        <w:t>ukončení</w:t>
      </w:r>
      <w:r>
        <w:rPr>
          <w:color w:val="231F20"/>
          <w:spacing w:val="-7"/>
        </w:rPr>
        <w:t xml:space="preserve"> </w:t>
      </w:r>
      <w:r>
        <w:rPr>
          <w:color w:val="231F20"/>
        </w:rPr>
        <w:t>účinnosti</w:t>
      </w:r>
      <w:r>
        <w:rPr>
          <w:color w:val="231F20"/>
          <w:spacing w:val="-8"/>
        </w:rPr>
        <w:t xml:space="preserve"> </w:t>
      </w:r>
      <w:r>
        <w:rPr>
          <w:color w:val="231F20"/>
        </w:rPr>
        <w:t>(např.</w:t>
      </w:r>
      <w:r>
        <w:rPr>
          <w:color w:val="231F20"/>
          <w:spacing w:val="-8"/>
        </w:rPr>
        <w:t xml:space="preserve"> </w:t>
      </w:r>
      <w:r>
        <w:rPr>
          <w:color w:val="231F20"/>
        </w:rPr>
        <w:t>odstoupení</w:t>
      </w:r>
      <w:r>
        <w:rPr>
          <w:color w:val="231F20"/>
          <w:spacing w:val="-9"/>
        </w:rPr>
        <w:t xml:space="preserve"> </w:t>
      </w:r>
      <w:r>
        <w:rPr>
          <w:color w:val="231F20"/>
        </w:rPr>
        <w:t>či</w:t>
      </w:r>
      <w:r>
        <w:rPr>
          <w:color w:val="231F20"/>
          <w:spacing w:val="-7"/>
        </w:rPr>
        <w:t xml:space="preserve"> </w:t>
      </w:r>
      <w:r>
        <w:rPr>
          <w:color w:val="231F20"/>
        </w:rPr>
        <w:t>výpověď)</w:t>
      </w:r>
      <w:r>
        <w:rPr>
          <w:color w:val="231F20"/>
          <w:spacing w:val="-10"/>
        </w:rPr>
        <w:t xml:space="preserve"> </w:t>
      </w:r>
      <w:r>
        <w:rPr>
          <w:color w:val="231F20"/>
        </w:rPr>
        <w:t>některé</w:t>
      </w:r>
      <w:r>
        <w:rPr>
          <w:color w:val="231F20"/>
          <w:spacing w:val="-7"/>
        </w:rPr>
        <w:t xml:space="preserve"> </w:t>
      </w:r>
      <w:r>
        <w:rPr>
          <w:color w:val="231F20"/>
        </w:rPr>
        <w:t>ze</w:t>
      </w:r>
      <w:r>
        <w:rPr>
          <w:color w:val="231F20"/>
          <w:spacing w:val="-8"/>
        </w:rPr>
        <w:t xml:space="preserve"> </w:t>
      </w:r>
      <w:r>
        <w:rPr>
          <w:color w:val="231F20"/>
        </w:rPr>
        <w:t>smluv na plnění veřejné zakázky před jejím úplným splněním (tj. před 31. 12. 2028), vyhrazuje ve</w:t>
      </w:r>
      <w:r>
        <w:rPr>
          <w:color w:val="231F20"/>
          <w:spacing w:val="-5"/>
        </w:rPr>
        <w:t xml:space="preserve"> </w:t>
      </w:r>
      <w:r>
        <w:rPr>
          <w:color w:val="231F20"/>
        </w:rPr>
        <w:t>smyslu</w:t>
      </w:r>
      <w:r>
        <w:rPr>
          <w:color w:val="231F20"/>
          <w:spacing w:val="-5"/>
        </w:rPr>
        <w:t xml:space="preserve"> </w:t>
      </w:r>
      <w:r>
        <w:rPr>
          <w:color w:val="231F20"/>
        </w:rPr>
        <w:t>ust.</w:t>
      </w:r>
      <w:r>
        <w:rPr>
          <w:color w:val="231F20"/>
          <w:spacing w:val="-5"/>
        </w:rPr>
        <w:t xml:space="preserve"> </w:t>
      </w:r>
      <w:r>
        <w:rPr>
          <w:color w:val="231F20"/>
        </w:rPr>
        <w:t>§</w:t>
      </w:r>
      <w:r>
        <w:rPr>
          <w:color w:val="231F20"/>
          <w:spacing w:val="-5"/>
        </w:rPr>
        <w:t xml:space="preserve"> </w:t>
      </w:r>
      <w:r>
        <w:rPr>
          <w:color w:val="231F20"/>
        </w:rPr>
        <w:t>100</w:t>
      </w:r>
      <w:r>
        <w:rPr>
          <w:color w:val="231F20"/>
          <w:spacing w:val="-4"/>
        </w:rPr>
        <w:t xml:space="preserve"> </w:t>
      </w:r>
      <w:r>
        <w:rPr>
          <w:color w:val="231F20"/>
        </w:rPr>
        <w:t>odst.</w:t>
      </w:r>
      <w:r>
        <w:rPr>
          <w:color w:val="231F20"/>
          <w:spacing w:val="-5"/>
        </w:rPr>
        <w:t xml:space="preserve"> </w:t>
      </w:r>
      <w:r>
        <w:rPr>
          <w:color w:val="231F20"/>
        </w:rPr>
        <w:t>2</w:t>
      </w:r>
      <w:r>
        <w:rPr>
          <w:color w:val="231F20"/>
          <w:spacing w:val="-4"/>
        </w:rPr>
        <w:t xml:space="preserve"> </w:t>
      </w:r>
      <w:r>
        <w:rPr>
          <w:color w:val="231F20"/>
        </w:rPr>
        <w:t>ZZVZ</w:t>
      </w:r>
      <w:r>
        <w:rPr>
          <w:color w:val="231F20"/>
          <w:spacing w:val="-5"/>
        </w:rPr>
        <w:t xml:space="preserve"> </w:t>
      </w:r>
      <w:r>
        <w:rPr>
          <w:color w:val="231F20"/>
        </w:rPr>
        <w:t>právo</w:t>
      </w:r>
      <w:r>
        <w:rPr>
          <w:color w:val="231F20"/>
          <w:spacing w:val="-5"/>
        </w:rPr>
        <w:t xml:space="preserve"> </w:t>
      </w:r>
      <w:r>
        <w:rPr>
          <w:color w:val="231F20"/>
        </w:rPr>
        <w:t>uzavřít</w:t>
      </w:r>
      <w:r>
        <w:rPr>
          <w:color w:val="231F20"/>
          <w:spacing w:val="-7"/>
        </w:rPr>
        <w:t xml:space="preserve"> </w:t>
      </w:r>
      <w:r>
        <w:rPr>
          <w:color w:val="231F20"/>
        </w:rPr>
        <w:t>smlouvu</w:t>
      </w:r>
      <w:r>
        <w:rPr>
          <w:color w:val="231F20"/>
          <w:spacing w:val="-5"/>
        </w:rPr>
        <w:t xml:space="preserve"> </w:t>
      </w:r>
      <w:r>
        <w:rPr>
          <w:color w:val="231F20"/>
        </w:rPr>
        <w:t>na</w:t>
      </w:r>
      <w:r>
        <w:rPr>
          <w:color w:val="231F20"/>
          <w:spacing w:val="-5"/>
        </w:rPr>
        <w:t xml:space="preserve"> </w:t>
      </w:r>
      <w:r>
        <w:rPr>
          <w:color w:val="231F20"/>
        </w:rPr>
        <w:t>tuto</w:t>
      </w:r>
      <w:r>
        <w:rPr>
          <w:color w:val="231F20"/>
          <w:spacing w:val="-5"/>
        </w:rPr>
        <w:t xml:space="preserve"> </w:t>
      </w:r>
      <w:r>
        <w:rPr>
          <w:color w:val="231F20"/>
        </w:rPr>
        <w:t>veřejnou</w:t>
      </w:r>
      <w:r>
        <w:rPr>
          <w:color w:val="231F20"/>
          <w:spacing w:val="-5"/>
        </w:rPr>
        <w:t xml:space="preserve"> </w:t>
      </w:r>
      <w:r>
        <w:rPr>
          <w:color w:val="231F20"/>
        </w:rPr>
        <w:t>zakázku</w:t>
      </w:r>
      <w:r>
        <w:rPr>
          <w:color w:val="231F20"/>
          <w:spacing w:val="-5"/>
        </w:rPr>
        <w:t xml:space="preserve"> </w:t>
      </w:r>
      <w:r>
        <w:rPr>
          <w:color w:val="231F20"/>
        </w:rPr>
        <w:t>(resp. na její nesplněnou část, jež je dotčena předčasným ukončením smlouvy) s dalším účastníkem zadávacího řízení, a to v pořadí které vyplynulo z původního hodnocení nabídek.</w:t>
      </w:r>
      <w:r>
        <w:rPr>
          <w:color w:val="231F20"/>
          <w:spacing w:val="-7"/>
        </w:rPr>
        <w:t xml:space="preserve"> </w:t>
      </w:r>
      <w:r>
        <w:rPr>
          <w:color w:val="231F20"/>
        </w:rPr>
        <w:t>Ust.</w:t>
      </w:r>
      <w:r>
        <w:rPr>
          <w:color w:val="231F20"/>
          <w:spacing w:val="-7"/>
        </w:rPr>
        <w:t xml:space="preserve"> </w:t>
      </w:r>
      <w:r>
        <w:rPr>
          <w:color w:val="231F20"/>
        </w:rPr>
        <w:t>§</w:t>
      </w:r>
      <w:r>
        <w:rPr>
          <w:color w:val="231F20"/>
          <w:spacing w:val="-3"/>
        </w:rPr>
        <w:t xml:space="preserve"> </w:t>
      </w:r>
      <w:r>
        <w:rPr>
          <w:color w:val="231F20"/>
        </w:rPr>
        <w:t>125</w:t>
      </w:r>
      <w:r>
        <w:rPr>
          <w:color w:val="231F20"/>
          <w:spacing w:val="-6"/>
        </w:rPr>
        <w:t xml:space="preserve"> </w:t>
      </w:r>
      <w:r>
        <w:rPr>
          <w:color w:val="231F20"/>
        </w:rPr>
        <w:t>ZZVZ</w:t>
      </w:r>
      <w:r>
        <w:rPr>
          <w:color w:val="231F20"/>
          <w:spacing w:val="-8"/>
        </w:rPr>
        <w:t xml:space="preserve"> </w:t>
      </w:r>
      <w:r>
        <w:rPr>
          <w:color w:val="231F20"/>
        </w:rPr>
        <w:t>v</w:t>
      </w:r>
      <w:r>
        <w:rPr>
          <w:color w:val="231F20"/>
          <w:spacing w:val="-3"/>
        </w:rPr>
        <w:t xml:space="preserve"> </w:t>
      </w:r>
      <w:r>
        <w:rPr>
          <w:color w:val="231F20"/>
        </w:rPr>
        <w:t>tomto</w:t>
      </w:r>
      <w:r>
        <w:rPr>
          <w:color w:val="231F20"/>
          <w:spacing w:val="-7"/>
        </w:rPr>
        <w:t xml:space="preserve"> </w:t>
      </w:r>
      <w:r>
        <w:rPr>
          <w:color w:val="231F20"/>
        </w:rPr>
        <w:t>případě</w:t>
      </w:r>
      <w:r>
        <w:rPr>
          <w:color w:val="231F20"/>
          <w:spacing w:val="-8"/>
        </w:rPr>
        <w:t xml:space="preserve"> </w:t>
      </w:r>
      <w:r>
        <w:rPr>
          <w:color w:val="231F20"/>
        </w:rPr>
        <w:t>platí</w:t>
      </w:r>
      <w:r>
        <w:rPr>
          <w:color w:val="231F20"/>
          <w:spacing w:val="-6"/>
        </w:rPr>
        <w:t xml:space="preserve"> </w:t>
      </w:r>
      <w:r>
        <w:rPr>
          <w:color w:val="231F20"/>
        </w:rPr>
        <w:t>obdobně.</w:t>
      </w:r>
      <w:r>
        <w:rPr>
          <w:color w:val="231F20"/>
          <w:spacing w:val="-8"/>
        </w:rPr>
        <w:t xml:space="preserve"> </w:t>
      </w:r>
      <w:r>
        <w:rPr>
          <w:color w:val="231F20"/>
        </w:rPr>
        <w:t>Smlouva</w:t>
      </w:r>
      <w:r>
        <w:rPr>
          <w:color w:val="231F20"/>
          <w:spacing w:val="-7"/>
        </w:rPr>
        <w:t xml:space="preserve"> </w:t>
      </w:r>
      <w:r>
        <w:rPr>
          <w:color w:val="231F20"/>
        </w:rPr>
        <w:t>s</w:t>
      </w:r>
      <w:r>
        <w:rPr>
          <w:color w:val="231F20"/>
          <w:spacing w:val="-2"/>
        </w:rPr>
        <w:t xml:space="preserve"> </w:t>
      </w:r>
      <w:r>
        <w:rPr>
          <w:color w:val="231F20"/>
        </w:rPr>
        <w:t>novým</w:t>
      </w:r>
      <w:r>
        <w:rPr>
          <w:color w:val="231F20"/>
          <w:spacing w:val="-9"/>
        </w:rPr>
        <w:t xml:space="preserve"> </w:t>
      </w:r>
      <w:r>
        <w:rPr>
          <w:color w:val="231F20"/>
        </w:rPr>
        <w:t>dodavatelem bude uzavřena v podobě odpovídající jeho nabídce po případné nezbytné odpovídající úpravě s ohledem na rozsah a dobu plnění, (tj. cena pojistného bude určena poměrně, nebude-li pojištění trvat celý rok apod., doba plnění bude max. do 31. 12.</w:t>
      </w:r>
      <w:r>
        <w:rPr>
          <w:color w:val="231F20"/>
          <w:spacing w:val="-20"/>
        </w:rPr>
        <w:t xml:space="preserve"> </w:t>
      </w:r>
      <w:r>
        <w:rPr>
          <w:color w:val="231F20"/>
        </w:rPr>
        <w:t>2028)</w:t>
      </w:r>
    </w:p>
    <w:p w14:paraId="39D8A837" w14:textId="77777777" w:rsidR="00F65BCA" w:rsidRDefault="00F65BCA">
      <w:pPr>
        <w:pStyle w:val="Zkladntext"/>
        <w:rPr>
          <w:sz w:val="20"/>
        </w:rPr>
      </w:pPr>
    </w:p>
    <w:p w14:paraId="47BA085E" w14:textId="77777777" w:rsidR="00F65BCA" w:rsidRDefault="00F65BCA">
      <w:pPr>
        <w:pStyle w:val="Zkladntext"/>
        <w:rPr>
          <w:sz w:val="20"/>
        </w:rPr>
      </w:pPr>
    </w:p>
    <w:p w14:paraId="46DFD571" w14:textId="77777777" w:rsidR="00F65BCA" w:rsidRDefault="00F65BCA">
      <w:pPr>
        <w:pStyle w:val="Zkladntext"/>
        <w:spacing w:before="8"/>
      </w:pPr>
    </w:p>
    <w:p w14:paraId="140C1AFB" w14:textId="77777777" w:rsidR="00F65BCA" w:rsidRDefault="00216117">
      <w:pPr>
        <w:spacing w:before="94"/>
        <w:ind w:left="1459" w:right="1033"/>
        <w:jc w:val="center"/>
        <w:rPr>
          <w:sz w:val="16"/>
        </w:rPr>
      </w:pPr>
      <w:r>
        <w:rPr>
          <w:color w:val="231F20"/>
          <w:sz w:val="16"/>
        </w:rPr>
        <w:t>Stránka 14 z 15</w:t>
      </w:r>
    </w:p>
    <w:p w14:paraId="2F73DB3D" w14:textId="77777777" w:rsidR="00F65BCA" w:rsidRDefault="00F65BCA">
      <w:pPr>
        <w:jc w:val="center"/>
        <w:rPr>
          <w:sz w:val="16"/>
        </w:rPr>
        <w:sectPr w:rsidR="00F65BCA">
          <w:pgSz w:w="11900" w:h="16840"/>
          <w:pgMar w:top="1060" w:right="1160" w:bottom="280" w:left="1300" w:header="708" w:footer="708" w:gutter="0"/>
          <w:cols w:space="708"/>
        </w:sectPr>
      </w:pPr>
    </w:p>
    <w:p w14:paraId="0AAE74A7" w14:textId="77777777" w:rsidR="00F65BCA" w:rsidRDefault="00216117">
      <w:pPr>
        <w:pStyle w:val="Nadpis1"/>
        <w:numPr>
          <w:ilvl w:val="0"/>
          <w:numId w:val="9"/>
        </w:numPr>
        <w:tabs>
          <w:tab w:val="left" w:pos="686"/>
        </w:tabs>
        <w:spacing w:before="78"/>
        <w:ind w:hanging="569"/>
        <w:jc w:val="both"/>
      </w:pPr>
      <w:bookmarkStart w:id="22" w:name="_TOC_250001"/>
      <w:r>
        <w:rPr>
          <w:color w:val="231F20"/>
        </w:rPr>
        <w:lastRenderedPageBreak/>
        <w:t>Ostatní údaje týkající se zadávacího</w:t>
      </w:r>
      <w:r>
        <w:rPr>
          <w:color w:val="231F20"/>
          <w:spacing w:val="-5"/>
        </w:rPr>
        <w:t xml:space="preserve"> </w:t>
      </w:r>
      <w:bookmarkEnd w:id="22"/>
      <w:r>
        <w:rPr>
          <w:color w:val="231F20"/>
        </w:rPr>
        <w:t>řízení</w:t>
      </w:r>
    </w:p>
    <w:p w14:paraId="61BDD4B3" w14:textId="77777777" w:rsidR="00F65BCA" w:rsidRDefault="00216117">
      <w:pPr>
        <w:pStyle w:val="Nadpis3"/>
        <w:numPr>
          <w:ilvl w:val="1"/>
          <w:numId w:val="9"/>
        </w:numPr>
        <w:tabs>
          <w:tab w:val="left" w:pos="686"/>
        </w:tabs>
        <w:ind w:right="114"/>
        <w:jc w:val="both"/>
      </w:pPr>
      <w:r>
        <w:rPr>
          <w:color w:val="231F20"/>
        </w:rPr>
        <w:t>Dodavatel je oprávněn požadovat písemně vysvětlení zadávací dokumentace, resp. zadávacích podmínek ve lhůtě stanovené v ust. § 98 odst. 3 ZZVZ a § 242 odst. 5</w:t>
      </w:r>
      <w:r>
        <w:rPr>
          <w:color w:val="231F20"/>
          <w:spacing w:val="30"/>
        </w:rPr>
        <w:t xml:space="preserve"> </w:t>
      </w:r>
      <w:r>
        <w:rPr>
          <w:color w:val="231F20"/>
        </w:rPr>
        <w:t>písm.</w:t>
      </w:r>
    </w:p>
    <w:p w14:paraId="4A95D368" w14:textId="77777777" w:rsidR="00F65BCA" w:rsidRDefault="00216117">
      <w:pPr>
        <w:pStyle w:val="Nadpis3"/>
        <w:numPr>
          <w:ilvl w:val="2"/>
          <w:numId w:val="9"/>
        </w:numPr>
        <w:tabs>
          <w:tab w:val="left" w:pos="945"/>
        </w:tabs>
        <w:spacing w:before="0"/>
        <w:ind w:right="113" w:firstLine="0"/>
        <w:jc w:val="both"/>
        <w:rPr>
          <w:color w:val="231F20"/>
        </w:rPr>
      </w:pPr>
      <w:r>
        <w:rPr>
          <w:color w:val="231F20"/>
        </w:rPr>
        <w:t>ZZVZ (žádost o vysvětlení musí být doručena nejpozději osm (8) pracovních dnů před uplynutím lhůty pro podání námitek proti zadávacím podmínkám dle čl. 24.7 této ZD). Písemná žádost (ve formátu kompatibilním s MS Word (doc, docx, rtf apod.), kompatibilním s MS Excel nebo v PDF se zachovanou textovou vrstvou) musí být doručena zadavateli prostřednictvím elektronického nástroje E-ZAK způsobem dle 12.1 této ZD nebo do datové schránky Zadavatele. V případě, že žádost o vysvětlení nebude doručena</w:t>
      </w:r>
      <w:r>
        <w:rPr>
          <w:color w:val="231F20"/>
          <w:spacing w:val="-12"/>
        </w:rPr>
        <w:t xml:space="preserve"> </w:t>
      </w:r>
      <w:r>
        <w:rPr>
          <w:color w:val="231F20"/>
        </w:rPr>
        <w:t>ve</w:t>
      </w:r>
      <w:r>
        <w:rPr>
          <w:color w:val="231F20"/>
          <w:spacing w:val="-12"/>
        </w:rPr>
        <w:t xml:space="preserve"> </w:t>
      </w:r>
      <w:r>
        <w:rPr>
          <w:color w:val="231F20"/>
        </w:rPr>
        <w:t>výše</w:t>
      </w:r>
      <w:r>
        <w:rPr>
          <w:color w:val="231F20"/>
          <w:spacing w:val="-11"/>
        </w:rPr>
        <w:t xml:space="preserve"> </w:t>
      </w:r>
      <w:r>
        <w:rPr>
          <w:color w:val="231F20"/>
        </w:rPr>
        <w:t>uvedené</w:t>
      </w:r>
      <w:r>
        <w:rPr>
          <w:color w:val="231F20"/>
          <w:spacing w:val="-11"/>
        </w:rPr>
        <w:t xml:space="preserve"> </w:t>
      </w:r>
      <w:r>
        <w:rPr>
          <w:color w:val="231F20"/>
        </w:rPr>
        <w:t>lhůtě</w:t>
      </w:r>
      <w:r>
        <w:rPr>
          <w:color w:val="231F20"/>
          <w:spacing w:val="-11"/>
        </w:rPr>
        <w:t xml:space="preserve"> </w:t>
      </w:r>
      <w:r>
        <w:rPr>
          <w:color w:val="231F20"/>
        </w:rPr>
        <w:t>a</w:t>
      </w:r>
      <w:r>
        <w:rPr>
          <w:color w:val="231F20"/>
          <w:spacing w:val="-11"/>
        </w:rPr>
        <w:t xml:space="preserve"> </w:t>
      </w:r>
      <w:r>
        <w:rPr>
          <w:color w:val="231F20"/>
        </w:rPr>
        <w:t>výše</w:t>
      </w:r>
      <w:r>
        <w:rPr>
          <w:color w:val="231F20"/>
          <w:spacing w:val="-11"/>
        </w:rPr>
        <w:t xml:space="preserve"> </w:t>
      </w:r>
      <w:r>
        <w:rPr>
          <w:color w:val="231F20"/>
        </w:rPr>
        <w:t>uvedeným</w:t>
      </w:r>
      <w:r>
        <w:rPr>
          <w:color w:val="231F20"/>
          <w:spacing w:val="-12"/>
        </w:rPr>
        <w:t xml:space="preserve"> </w:t>
      </w:r>
      <w:r>
        <w:rPr>
          <w:color w:val="231F20"/>
        </w:rPr>
        <w:t>způsobem,</w:t>
      </w:r>
      <w:r>
        <w:rPr>
          <w:color w:val="231F20"/>
          <w:spacing w:val="-12"/>
        </w:rPr>
        <w:t xml:space="preserve"> </w:t>
      </w:r>
      <w:r>
        <w:rPr>
          <w:color w:val="231F20"/>
        </w:rPr>
        <w:t>nemá</w:t>
      </w:r>
      <w:r>
        <w:rPr>
          <w:color w:val="231F20"/>
          <w:spacing w:val="-5"/>
        </w:rPr>
        <w:t xml:space="preserve"> </w:t>
      </w:r>
      <w:r>
        <w:rPr>
          <w:color w:val="231F20"/>
        </w:rPr>
        <w:t>Zadavatel</w:t>
      </w:r>
      <w:r>
        <w:rPr>
          <w:color w:val="231F20"/>
          <w:spacing w:val="-11"/>
        </w:rPr>
        <w:t xml:space="preserve"> </w:t>
      </w:r>
      <w:r>
        <w:rPr>
          <w:color w:val="231F20"/>
        </w:rPr>
        <w:t>povinnost vysvětlení</w:t>
      </w:r>
      <w:r>
        <w:rPr>
          <w:color w:val="231F20"/>
          <w:spacing w:val="-1"/>
        </w:rPr>
        <w:t xml:space="preserve"> </w:t>
      </w:r>
      <w:r>
        <w:rPr>
          <w:color w:val="231F20"/>
        </w:rPr>
        <w:t>poskytnout.</w:t>
      </w:r>
    </w:p>
    <w:p w14:paraId="70DC2AB3" w14:textId="77777777" w:rsidR="00F65BCA" w:rsidRDefault="00216117">
      <w:pPr>
        <w:pStyle w:val="Nadpis3"/>
        <w:numPr>
          <w:ilvl w:val="1"/>
          <w:numId w:val="9"/>
        </w:numPr>
        <w:tabs>
          <w:tab w:val="left" w:pos="686"/>
        </w:tabs>
        <w:spacing w:before="119"/>
        <w:ind w:right="113"/>
        <w:jc w:val="both"/>
      </w:pPr>
      <w:r>
        <w:rPr>
          <w:color w:val="231F20"/>
        </w:rPr>
        <w:t>Veškerá vysvětlení zadávací dokumentace, resp. zadávacích podmínek budou uveřejněna na profilu zadavatele u odkazu dle čl. 1 této ZD. Zadavatel doporučuje průběžně tyto stránky</w:t>
      </w:r>
      <w:r>
        <w:rPr>
          <w:color w:val="231F20"/>
          <w:spacing w:val="-3"/>
        </w:rPr>
        <w:t xml:space="preserve"> </w:t>
      </w:r>
      <w:r>
        <w:rPr>
          <w:color w:val="231F20"/>
        </w:rPr>
        <w:t>sledovat.</w:t>
      </w:r>
    </w:p>
    <w:p w14:paraId="495F00C6" w14:textId="77777777" w:rsidR="00F65BCA" w:rsidRDefault="00216117">
      <w:pPr>
        <w:pStyle w:val="Nadpis3"/>
        <w:numPr>
          <w:ilvl w:val="1"/>
          <w:numId w:val="9"/>
        </w:numPr>
        <w:tabs>
          <w:tab w:val="left" w:pos="686"/>
        </w:tabs>
        <w:spacing w:before="119"/>
        <w:ind w:hanging="569"/>
        <w:jc w:val="both"/>
      </w:pPr>
      <w:r>
        <w:rPr>
          <w:color w:val="231F20"/>
        </w:rPr>
        <w:t>Veškerá</w:t>
      </w:r>
      <w:r>
        <w:rPr>
          <w:color w:val="231F20"/>
          <w:spacing w:val="-15"/>
        </w:rPr>
        <w:t xml:space="preserve"> </w:t>
      </w:r>
      <w:r>
        <w:rPr>
          <w:color w:val="231F20"/>
        </w:rPr>
        <w:t>komunikace</w:t>
      </w:r>
      <w:r>
        <w:rPr>
          <w:color w:val="231F20"/>
          <w:spacing w:val="-15"/>
        </w:rPr>
        <w:t xml:space="preserve"> </w:t>
      </w:r>
      <w:r>
        <w:rPr>
          <w:color w:val="231F20"/>
        </w:rPr>
        <w:t>mezi</w:t>
      </w:r>
      <w:r>
        <w:rPr>
          <w:color w:val="231F20"/>
          <w:spacing w:val="-13"/>
        </w:rPr>
        <w:t xml:space="preserve"> </w:t>
      </w:r>
      <w:r>
        <w:rPr>
          <w:color w:val="231F20"/>
        </w:rPr>
        <w:t>Zadavatelem</w:t>
      </w:r>
      <w:r>
        <w:rPr>
          <w:color w:val="231F20"/>
          <w:spacing w:val="-15"/>
        </w:rPr>
        <w:t xml:space="preserve"> </w:t>
      </w:r>
      <w:r>
        <w:rPr>
          <w:color w:val="231F20"/>
        </w:rPr>
        <w:t>a</w:t>
      </w:r>
      <w:r>
        <w:rPr>
          <w:color w:val="231F20"/>
          <w:spacing w:val="-15"/>
        </w:rPr>
        <w:t xml:space="preserve"> </w:t>
      </w:r>
      <w:r>
        <w:rPr>
          <w:color w:val="231F20"/>
        </w:rPr>
        <w:t>dodavateli</w:t>
      </w:r>
      <w:r>
        <w:rPr>
          <w:color w:val="231F20"/>
          <w:spacing w:val="-16"/>
        </w:rPr>
        <w:t xml:space="preserve"> </w:t>
      </w:r>
      <w:r>
        <w:rPr>
          <w:color w:val="231F20"/>
        </w:rPr>
        <w:t>bude</w:t>
      </w:r>
      <w:r>
        <w:rPr>
          <w:color w:val="231F20"/>
          <w:spacing w:val="-15"/>
        </w:rPr>
        <w:t xml:space="preserve"> </w:t>
      </w:r>
      <w:r>
        <w:rPr>
          <w:color w:val="231F20"/>
        </w:rPr>
        <w:t>probíhat</w:t>
      </w:r>
      <w:r>
        <w:rPr>
          <w:color w:val="231F20"/>
          <w:spacing w:val="-15"/>
        </w:rPr>
        <w:t xml:space="preserve"> </w:t>
      </w:r>
      <w:r>
        <w:rPr>
          <w:color w:val="231F20"/>
        </w:rPr>
        <w:t>v</w:t>
      </w:r>
      <w:r>
        <w:rPr>
          <w:color w:val="231F20"/>
          <w:spacing w:val="-1"/>
        </w:rPr>
        <w:t xml:space="preserve"> </w:t>
      </w:r>
      <w:r>
        <w:rPr>
          <w:color w:val="231F20"/>
        </w:rPr>
        <w:t>souladu</w:t>
      </w:r>
      <w:r>
        <w:rPr>
          <w:color w:val="231F20"/>
          <w:spacing w:val="-15"/>
        </w:rPr>
        <w:t xml:space="preserve"> </w:t>
      </w:r>
      <w:r>
        <w:rPr>
          <w:color w:val="231F20"/>
        </w:rPr>
        <w:t>s</w:t>
      </w:r>
      <w:r>
        <w:rPr>
          <w:color w:val="231F20"/>
          <w:spacing w:val="-3"/>
        </w:rPr>
        <w:t xml:space="preserve"> </w:t>
      </w:r>
      <w:r>
        <w:rPr>
          <w:color w:val="231F20"/>
        </w:rPr>
        <w:t>ust.</w:t>
      </w:r>
      <w:r>
        <w:rPr>
          <w:color w:val="231F20"/>
          <w:spacing w:val="-16"/>
        </w:rPr>
        <w:t xml:space="preserve"> </w:t>
      </w:r>
      <w:r>
        <w:rPr>
          <w:color w:val="231F20"/>
        </w:rPr>
        <w:t>§</w:t>
      </w:r>
      <w:r>
        <w:rPr>
          <w:color w:val="231F20"/>
          <w:spacing w:val="-3"/>
        </w:rPr>
        <w:t xml:space="preserve"> </w:t>
      </w:r>
      <w:r>
        <w:rPr>
          <w:color w:val="231F20"/>
        </w:rPr>
        <w:t>211</w:t>
      </w:r>
    </w:p>
    <w:p w14:paraId="5CAD8D8F" w14:textId="77777777" w:rsidR="00F65BCA" w:rsidRDefault="00216117">
      <w:pPr>
        <w:pStyle w:val="Nadpis3"/>
        <w:spacing w:before="0"/>
      </w:pPr>
      <w:r>
        <w:rPr>
          <w:color w:val="231F20"/>
        </w:rPr>
        <w:t>ZZVZ písemně, elektronicky a v českém jazyce.</w:t>
      </w:r>
    </w:p>
    <w:p w14:paraId="091C9ACB" w14:textId="77777777" w:rsidR="00F65BCA" w:rsidRDefault="00216117">
      <w:pPr>
        <w:pStyle w:val="Nadpis3"/>
        <w:numPr>
          <w:ilvl w:val="1"/>
          <w:numId w:val="9"/>
        </w:numPr>
        <w:tabs>
          <w:tab w:val="left" w:pos="686"/>
        </w:tabs>
        <w:ind w:right="111"/>
        <w:jc w:val="both"/>
      </w:pPr>
      <w:r>
        <w:rPr>
          <w:color w:val="231F20"/>
        </w:rPr>
        <w:t>V případě, že je Zadavatelem dle této ZD požadováno předložení dokumentu v originálu nebo v úředně ověřené kopii (zejm. v rámci výzvy dle § 122 odst. 3 resp. odst. 4 ZZVZ   a</w:t>
      </w:r>
      <w:r>
        <w:rPr>
          <w:color w:val="231F20"/>
          <w:spacing w:val="-4"/>
        </w:rPr>
        <w:t xml:space="preserve"> </w:t>
      </w:r>
      <w:r>
        <w:rPr>
          <w:color w:val="231F20"/>
        </w:rPr>
        <w:t>výzvy</w:t>
      </w:r>
      <w:r>
        <w:rPr>
          <w:color w:val="231F20"/>
          <w:spacing w:val="-17"/>
        </w:rPr>
        <w:t xml:space="preserve"> </w:t>
      </w:r>
      <w:r>
        <w:rPr>
          <w:color w:val="231F20"/>
        </w:rPr>
        <w:t>dle</w:t>
      </w:r>
      <w:r>
        <w:rPr>
          <w:color w:val="231F20"/>
          <w:spacing w:val="-18"/>
        </w:rPr>
        <w:t xml:space="preserve"> </w:t>
      </w:r>
      <w:r>
        <w:rPr>
          <w:color w:val="231F20"/>
        </w:rPr>
        <w:t>§</w:t>
      </w:r>
      <w:r>
        <w:rPr>
          <w:color w:val="231F20"/>
          <w:spacing w:val="-3"/>
        </w:rPr>
        <w:t xml:space="preserve"> </w:t>
      </w:r>
      <w:r>
        <w:rPr>
          <w:color w:val="231F20"/>
        </w:rPr>
        <w:t>46</w:t>
      </w:r>
      <w:r>
        <w:rPr>
          <w:color w:val="231F20"/>
          <w:spacing w:val="-17"/>
        </w:rPr>
        <w:t xml:space="preserve"> </w:t>
      </w:r>
      <w:r>
        <w:rPr>
          <w:color w:val="231F20"/>
        </w:rPr>
        <w:t>ZZVZ),</w:t>
      </w:r>
      <w:r>
        <w:rPr>
          <w:color w:val="231F20"/>
          <w:spacing w:val="-19"/>
        </w:rPr>
        <w:t xml:space="preserve"> </w:t>
      </w:r>
      <w:r>
        <w:rPr>
          <w:color w:val="231F20"/>
        </w:rPr>
        <w:t>předkládá</w:t>
      </w:r>
      <w:r>
        <w:rPr>
          <w:color w:val="231F20"/>
          <w:spacing w:val="-18"/>
        </w:rPr>
        <w:t xml:space="preserve"> </w:t>
      </w:r>
      <w:r>
        <w:rPr>
          <w:color w:val="231F20"/>
        </w:rPr>
        <w:t>se</w:t>
      </w:r>
      <w:r>
        <w:rPr>
          <w:color w:val="231F20"/>
          <w:spacing w:val="-18"/>
        </w:rPr>
        <w:t xml:space="preserve"> </w:t>
      </w:r>
      <w:r>
        <w:rPr>
          <w:color w:val="231F20"/>
        </w:rPr>
        <w:t>v</w:t>
      </w:r>
      <w:r>
        <w:rPr>
          <w:color w:val="231F20"/>
          <w:spacing w:val="-2"/>
        </w:rPr>
        <w:t xml:space="preserve"> </w:t>
      </w:r>
      <w:r>
        <w:rPr>
          <w:color w:val="231F20"/>
        </w:rPr>
        <w:t>elektronické</w:t>
      </w:r>
      <w:r>
        <w:rPr>
          <w:color w:val="231F20"/>
          <w:spacing w:val="-18"/>
        </w:rPr>
        <w:t xml:space="preserve"> </w:t>
      </w:r>
      <w:r>
        <w:rPr>
          <w:color w:val="231F20"/>
        </w:rPr>
        <w:t>podobě</w:t>
      </w:r>
      <w:r>
        <w:rPr>
          <w:color w:val="231F20"/>
          <w:spacing w:val="-19"/>
        </w:rPr>
        <w:t xml:space="preserve"> </w:t>
      </w:r>
      <w:r>
        <w:rPr>
          <w:color w:val="231F20"/>
        </w:rPr>
        <w:t>opatřené</w:t>
      </w:r>
      <w:r>
        <w:rPr>
          <w:color w:val="231F20"/>
          <w:spacing w:val="-15"/>
        </w:rPr>
        <w:t xml:space="preserve"> </w:t>
      </w:r>
      <w:r>
        <w:rPr>
          <w:color w:val="231F20"/>
        </w:rPr>
        <w:t>platným</w:t>
      </w:r>
      <w:r>
        <w:rPr>
          <w:color w:val="231F20"/>
          <w:spacing w:val="-18"/>
        </w:rPr>
        <w:t xml:space="preserve"> </w:t>
      </w:r>
      <w:r>
        <w:rPr>
          <w:color w:val="231F20"/>
        </w:rPr>
        <w:t>uznávaným elektronickým</w:t>
      </w:r>
      <w:r>
        <w:rPr>
          <w:color w:val="231F20"/>
          <w:spacing w:val="-14"/>
        </w:rPr>
        <w:t xml:space="preserve"> </w:t>
      </w:r>
      <w:r>
        <w:rPr>
          <w:color w:val="231F20"/>
        </w:rPr>
        <w:t>podpisem</w:t>
      </w:r>
      <w:r>
        <w:rPr>
          <w:color w:val="231F20"/>
          <w:spacing w:val="-14"/>
        </w:rPr>
        <w:t xml:space="preserve"> </w:t>
      </w:r>
      <w:r>
        <w:rPr>
          <w:color w:val="231F20"/>
        </w:rPr>
        <w:t>osoby</w:t>
      </w:r>
      <w:r>
        <w:rPr>
          <w:color w:val="231F20"/>
          <w:spacing w:val="-13"/>
        </w:rPr>
        <w:t xml:space="preserve"> </w:t>
      </w:r>
      <w:r>
        <w:rPr>
          <w:color w:val="231F20"/>
        </w:rPr>
        <w:t>oprávněné</w:t>
      </w:r>
      <w:r>
        <w:rPr>
          <w:color w:val="231F20"/>
          <w:spacing w:val="-13"/>
        </w:rPr>
        <w:t xml:space="preserve"> </w:t>
      </w:r>
      <w:r>
        <w:rPr>
          <w:color w:val="231F20"/>
        </w:rPr>
        <w:t>jednat</w:t>
      </w:r>
      <w:r>
        <w:rPr>
          <w:color w:val="231F20"/>
          <w:spacing w:val="-12"/>
        </w:rPr>
        <w:t xml:space="preserve"> </w:t>
      </w:r>
      <w:r>
        <w:rPr>
          <w:color w:val="231F20"/>
        </w:rPr>
        <w:t>za</w:t>
      </w:r>
      <w:r>
        <w:rPr>
          <w:color w:val="231F20"/>
          <w:spacing w:val="-13"/>
        </w:rPr>
        <w:t xml:space="preserve"> </w:t>
      </w:r>
      <w:r>
        <w:rPr>
          <w:color w:val="231F20"/>
        </w:rPr>
        <w:t>osobu,</w:t>
      </w:r>
      <w:r>
        <w:rPr>
          <w:color w:val="231F20"/>
          <w:spacing w:val="-12"/>
        </w:rPr>
        <w:t xml:space="preserve"> </w:t>
      </w:r>
      <w:r>
        <w:rPr>
          <w:color w:val="231F20"/>
        </w:rPr>
        <w:t>jež</w:t>
      </w:r>
      <w:r>
        <w:rPr>
          <w:color w:val="231F20"/>
          <w:spacing w:val="-13"/>
        </w:rPr>
        <w:t xml:space="preserve"> </w:t>
      </w:r>
      <w:r>
        <w:rPr>
          <w:color w:val="231F20"/>
        </w:rPr>
        <w:t>daný</w:t>
      </w:r>
      <w:r>
        <w:rPr>
          <w:color w:val="231F20"/>
          <w:spacing w:val="-14"/>
        </w:rPr>
        <w:t xml:space="preserve"> </w:t>
      </w:r>
      <w:r>
        <w:rPr>
          <w:color w:val="231F20"/>
        </w:rPr>
        <w:t>dokument</w:t>
      </w:r>
      <w:r>
        <w:rPr>
          <w:color w:val="231F20"/>
          <w:spacing w:val="-13"/>
        </w:rPr>
        <w:t xml:space="preserve"> </w:t>
      </w:r>
      <w:r>
        <w:rPr>
          <w:color w:val="231F20"/>
        </w:rPr>
        <w:t>vyhotovila (bez narušení integrity el. podpisu), popř. v elektronické podobě, jež vznikla na základě autorizované konverze (síť Czech point) z originálu nebo ověřené kopie dokumentu        v listinné</w:t>
      </w:r>
      <w:r>
        <w:rPr>
          <w:color w:val="231F20"/>
          <w:spacing w:val="-1"/>
        </w:rPr>
        <w:t xml:space="preserve"> </w:t>
      </w:r>
      <w:r>
        <w:rPr>
          <w:color w:val="231F20"/>
        </w:rPr>
        <w:t>podobě.</w:t>
      </w:r>
    </w:p>
    <w:p w14:paraId="296B0A2E" w14:textId="77777777" w:rsidR="00F65BCA" w:rsidRDefault="00216117">
      <w:pPr>
        <w:pStyle w:val="Nadpis3"/>
        <w:numPr>
          <w:ilvl w:val="1"/>
          <w:numId w:val="9"/>
        </w:numPr>
        <w:tabs>
          <w:tab w:val="left" w:pos="686"/>
        </w:tabs>
        <w:spacing w:before="119"/>
        <w:ind w:hanging="569"/>
        <w:jc w:val="both"/>
      </w:pPr>
      <w:r>
        <w:rPr>
          <w:color w:val="231F20"/>
        </w:rPr>
        <w:t>Účastníci</w:t>
      </w:r>
      <w:r>
        <w:rPr>
          <w:color w:val="231F20"/>
          <w:spacing w:val="30"/>
        </w:rPr>
        <w:t xml:space="preserve"> </w:t>
      </w:r>
      <w:r>
        <w:rPr>
          <w:color w:val="231F20"/>
        </w:rPr>
        <w:t>zadávacího</w:t>
      </w:r>
      <w:r>
        <w:rPr>
          <w:color w:val="231F20"/>
          <w:spacing w:val="31"/>
        </w:rPr>
        <w:t xml:space="preserve"> </w:t>
      </w:r>
      <w:r>
        <w:rPr>
          <w:color w:val="231F20"/>
        </w:rPr>
        <w:t>řízení</w:t>
      </w:r>
      <w:r>
        <w:rPr>
          <w:color w:val="231F20"/>
          <w:spacing w:val="31"/>
        </w:rPr>
        <w:t xml:space="preserve"> </w:t>
      </w:r>
      <w:r>
        <w:rPr>
          <w:color w:val="231F20"/>
        </w:rPr>
        <w:t>nemají</w:t>
      </w:r>
      <w:r>
        <w:rPr>
          <w:color w:val="231F20"/>
          <w:spacing w:val="31"/>
        </w:rPr>
        <w:t xml:space="preserve"> </w:t>
      </w:r>
      <w:r>
        <w:rPr>
          <w:color w:val="231F20"/>
        </w:rPr>
        <w:t>nárok</w:t>
      </w:r>
      <w:r>
        <w:rPr>
          <w:color w:val="231F20"/>
          <w:spacing w:val="31"/>
        </w:rPr>
        <w:t xml:space="preserve"> </w:t>
      </w:r>
      <w:r>
        <w:rPr>
          <w:color w:val="231F20"/>
        </w:rPr>
        <w:t>na</w:t>
      </w:r>
      <w:r>
        <w:rPr>
          <w:color w:val="231F20"/>
          <w:spacing w:val="32"/>
        </w:rPr>
        <w:t xml:space="preserve"> </w:t>
      </w:r>
      <w:r>
        <w:rPr>
          <w:color w:val="231F20"/>
        </w:rPr>
        <w:t>kompenzaci</w:t>
      </w:r>
      <w:r>
        <w:rPr>
          <w:color w:val="231F20"/>
          <w:spacing w:val="30"/>
        </w:rPr>
        <w:t xml:space="preserve"> </w:t>
      </w:r>
      <w:r>
        <w:rPr>
          <w:color w:val="231F20"/>
        </w:rPr>
        <w:t>nákladů,</w:t>
      </w:r>
      <w:r>
        <w:rPr>
          <w:color w:val="231F20"/>
          <w:spacing w:val="30"/>
        </w:rPr>
        <w:t xml:space="preserve"> </w:t>
      </w:r>
      <w:r>
        <w:rPr>
          <w:color w:val="231F20"/>
        </w:rPr>
        <w:t>které</w:t>
      </w:r>
      <w:r>
        <w:rPr>
          <w:color w:val="231F20"/>
          <w:spacing w:val="30"/>
        </w:rPr>
        <w:t xml:space="preserve"> </w:t>
      </w:r>
      <w:r>
        <w:rPr>
          <w:color w:val="231F20"/>
        </w:rPr>
        <w:t>jim</w:t>
      </w:r>
      <w:r>
        <w:rPr>
          <w:color w:val="231F20"/>
          <w:spacing w:val="30"/>
        </w:rPr>
        <w:t xml:space="preserve"> </w:t>
      </w:r>
      <w:r>
        <w:rPr>
          <w:color w:val="231F20"/>
        </w:rPr>
        <w:t>vzniknou</w:t>
      </w:r>
    </w:p>
    <w:p w14:paraId="0A72558A" w14:textId="77777777" w:rsidR="00F65BCA" w:rsidRDefault="00216117">
      <w:pPr>
        <w:pStyle w:val="Nadpis3"/>
        <w:spacing w:before="0"/>
      </w:pPr>
      <w:r>
        <w:rPr>
          <w:color w:val="231F20"/>
        </w:rPr>
        <w:t>v souvislosti s vypracováním a podáním nabídky, nestanoví-li ZZVZ jinak.</w:t>
      </w:r>
    </w:p>
    <w:p w14:paraId="5F4845E7" w14:textId="77777777" w:rsidR="00F65BCA" w:rsidRDefault="00216117">
      <w:pPr>
        <w:pStyle w:val="Nadpis3"/>
        <w:numPr>
          <w:ilvl w:val="1"/>
          <w:numId w:val="9"/>
        </w:numPr>
        <w:tabs>
          <w:tab w:val="left" w:pos="686"/>
        </w:tabs>
        <w:spacing w:before="119"/>
        <w:ind w:right="111"/>
        <w:jc w:val="both"/>
      </w:pPr>
      <w:r>
        <w:rPr>
          <w:color w:val="231F20"/>
        </w:rPr>
        <w:t>Námitky proti zadávacím podmínkám musí být Zadavateli (ve smyslu ust. § 242 odst. 5 ZZVZ)</w:t>
      </w:r>
      <w:r>
        <w:rPr>
          <w:color w:val="231F20"/>
          <w:spacing w:val="-10"/>
        </w:rPr>
        <w:t xml:space="preserve"> </w:t>
      </w:r>
      <w:r>
        <w:rPr>
          <w:color w:val="231F20"/>
        </w:rPr>
        <w:t>doručeny</w:t>
      </w:r>
      <w:r>
        <w:rPr>
          <w:color w:val="231F20"/>
          <w:spacing w:val="-8"/>
        </w:rPr>
        <w:t xml:space="preserve"> </w:t>
      </w:r>
      <w:r>
        <w:rPr>
          <w:color w:val="231F20"/>
        </w:rPr>
        <w:t>nejpozději</w:t>
      </w:r>
      <w:r>
        <w:rPr>
          <w:color w:val="231F20"/>
          <w:spacing w:val="-10"/>
        </w:rPr>
        <w:t xml:space="preserve"> </w:t>
      </w:r>
      <w:r>
        <w:rPr>
          <w:color w:val="231F20"/>
        </w:rPr>
        <w:t>72</w:t>
      </w:r>
      <w:r>
        <w:rPr>
          <w:color w:val="231F20"/>
          <w:spacing w:val="-9"/>
        </w:rPr>
        <w:t xml:space="preserve"> </w:t>
      </w:r>
      <w:r>
        <w:rPr>
          <w:color w:val="231F20"/>
        </w:rPr>
        <w:t>hodin</w:t>
      </w:r>
      <w:r>
        <w:rPr>
          <w:color w:val="231F20"/>
          <w:spacing w:val="-10"/>
        </w:rPr>
        <w:t xml:space="preserve"> </w:t>
      </w:r>
      <w:r>
        <w:rPr>
          <w:color w:val="231F20"/>
        </w:rPr>
        <w:t>před</w:t>
      </w:r>
      <w:r>
        <w:rPr>
          <w:color w:val="231F20"/>
          <w:spacing w:val="-10"/>
        </w:rPr>
        <w:t xml:space="preserve"> </w:t>
      </w:r>
      <w:r>
        <w:rPr>
          <w:color w:val="231F20"/>
        </w:rPr>
        <w:t>skončením</w:t>
      </w:r>
      <w:r>
        <w:rPr>
          <w:color w:val="231F20"/>
          <w:spacing w:val="-10"/>
        </w:rPr>
        <w:t xml:space="preserve"> </w:t>
      </w:r>
      <w:r>
        <w:rPr>
          <w:color w:val="231F20"/>
        </w:rPr>
        <w:t>lhůty</w:t>
      </w:r>
      <w:r>
        <w:rPr>
          <w:color w:val="231F20"/>
          <w:spacing w:val="-9"/>
        </w:rPr>
        <w:t xml:space="preserve"> </w:t>
      </w:r>
      <w:r>
        <w:rPr>
          <w:color w:val="231F20"/>
        </w:rPr>
        <w:t>pro</w:t>
      </w:r>
      <w:r>
        <w:rPr>
          <w:color w:val="231F20"/>
          <w:spacing w:val="-10"/>
        </w:rPr>
        <w:t xml:space="preserve"> </w:t>
      </w:r>
      <w:r>
        <w:rPr>
          <w:color w:val="231F20"/>
        </w:rPr>
        <w:t>podání</w:t>
      </w:r>
      <w:r>
        <w:rPr>
          <w:color w:val="231F20"/>
          <w:spacing w:val="-9"/>
        </w:rPr>
        <w:t xml:space="preserve"> </w:t>
      </w:r>
      <w:r>
        <w:rPr>
          <w:color w:val="231F20"/>
        </w:rPr>
        <w:t>nabídek</w:t>
      </w:r>
      <w:r>
        <w:rPr>
          <w:color w:val="231F20"/>
          <w:spacing w:val="-5"/>
        </w:rPr>
        <w:t xml:space="preserve"> </w:t>
      </w:r>
      <w:r>
        <w:rPr>
          <w:color w:val="231F20"/>
        </w:rPr>
        <w:t>dle</w:t>
      </w:r>
      <w:r>
        <w:rPr>
          <w:color w:val="231F20"/>
          <w:spacing w:val="-10"/>
        </w:rPr>
        <w:t xml:space="preserve"> </w:t>
      </w:r>
      <w:r>
        <w:rPr>
          <w:color w:val="231F20"/>
        </w:rPr>
        <w:t>čl.</w:t>
      </w:r>
      <w:r>
        <w:rPr>
          <w:color w:val="231F20"/>
          <w:spacing w:val="-9"/>
        </w:rPr>
        <w:t xml:space="preserve"> </w:t>
      </w:r>
      <w:r>
        <w:rPr>
          <w:color w:val="231F20"/>
        </w:rPr>
        <w:t>5.1. této</w:t>
      </w:r>
      <w:r>
        <w:rPr>
          <w:color w:val="231F20"/>
          <w:spacing w:val="-1"/>
        </w:rPr>
        <w:t xml:space="preserve"> </w:t>
      </w:r>
      <w:r>
        <w:rPr>
          <w:color w:val="231F20"/>
        </w:rPr>
        <w:t>ZD.</w:t>
      </w:r>
    </w:p>
    <w:p w14:paraId="72AEA6A7" w14:textId="77777777" w:rsidR="00F65BCA" w:rsidRDefault="00F65BCA">
      <w:pPr>
        <w:pStyle w:val="Zkladntext"/>
        <w:spacing w:before="10"/>
        <w:rPr>
          <w:sz w:val="20"/>
        </w:rPr>
      </w:pPr>
    </w:p>
    <w:p w14:paraId="313C388C" w14:textId="77777777" w:rsidR="00F65BCA" w:rsidRDefault="00216117">
      <w:pPr>
        <w:spacing w:before="1"/>
        <w:ind w:left="117"/>
        <w:rPr>
          <w:b/>
        </w:rPr>
      </w:pPr>
      <w:bookmarkStart w:id="23" w:name="_TOC_250000"/>
      <w:bookmarkEnd w:id="23"/>
      <w:r>
        <w:rPr>
          <w:b/>
          <w:color w:val="231F20"/>
        </w:rPr>
        <w:t>Přílohy</w:t>
      </w:r>
    </w:p>
    <w:p w14:paraId="6E5231A4" w14:textId="77777777" w:rsidR="00F65BCA" w:rsidRDefault="00216117">
      <w:pPr>
        <w:pStyle w:val="Nadpis3"/>
        <w:ind w:left="117"/>
        <w:jc w:val="left"/>
      </w:pPr>
      <w:r>
        <w:rPr>
          <w:color w:val="231F20"/>
        </w:rPr>
        <w:t>Příloha č. 1 – Vzorové dokumenty pro podání nabídky ve formátu MS Excel</w:t>
      </w:r>
    </w:p>
    <w:p w14:paraId="62475829" w14:textId="77777777" w:rsidR="00F65BCA" w:rsidRDefault="00216117">
      <w:pPr>
        <w:pStyle w:val="Nadpis3"/>
        <w:spacing w:line="352" w:lineRule="auto"/>
        <w:ind w:left="117" w:right="785" w:firstLine="1404"/>
        <w:jc w:val="left"/>
      </w:pPr>
      <w:r>
        <w:rPr>
          <w:color w:val="231F20"/>
        </w:rPr>
        <w:t>(krycí list, čestné prohlášení – kvalifikace, seznam poddodavatelů) Příloha č. 2-2, 2-3 a 2-4 – Tabulka pro výpočet nabídkové ceny</w:t>
      </w:r>
    </w:p>
    <w:p w14:paraId="660E1933" w14:textId="77777777" w:rsidR="00F65BCA" w:rsidRDefault="00216117">
      <w:pPr>
        <w:pStyle w:val="Nadpis3"/>
        <w:spacing w:before="1" w:line="352" w:lineRule="auto"/>
        <w:ind w:left="117" w:right="2701"/>
        <w:jc w:val="left"/>
      </w:pPr>
      <w:r>
        <w:rPr>
          <w:color w:val="231F20"/>
        </w:rPr>
        <w:t>Příloha č. 3-1 až 3-4 Technické podmínky pro poskytování služeb Příloha č. 4-1 až 4-4 Škodní průběh</w:t>
      </w:r>
    </w:p>
    <w:p w14:paraId="45E9A07B" w14:textId="77777777" w:rsidR="00F65BCA" w:rsidRDefault="00216117">
      <w:pPr>
        <w:pStyle w:val="Nadpis3"/>
        <w:spacing w:before="2"/>
        <w:ind w:left="117"/>
        <w:jc w:val="left"/>
      </w:pPr>
      <w:r>
        <w:rPr>
          <w:color w:val="231F20"/>
        </w:rPr>
        <w:t>Příloha č. 5 – Riziková zpráva (k části 1 VZ)</w:t>
      </w:r>
    </w:p>
    <w:p w14:paraId="2EBE5831" w14:textId="77777777" w:rsidR="00F65BCA" w:rsidRDefault="00F65BCA">
      <w:pPr>
        <w:pStyle w:val="Zkladntext"/>
        <w:spacing w:before="4"/>
        <w:rPr>
          <w:sz w:val="32"/>
        </w:rPr>
      </w:pPr>
    </w:p>
    <w:p w14:paraId="574A0A8B" w14:textId="77777777" w:rsidR="00F65BCA" w:rsidRDefault="00216117">
      <w:pPr>
        <w:pStyle w:val="Nadpis3"/>
        <w:spacing w:before="0"/>
        <w:ind w:left="117"/>
        <w:jc w:val="left"/>
      </w:pPr>
      <w:r>
        <w:rPr>
          <w:color w:val="231F20"/>
        </w:rPr>
        <w:t>V Plzni dne (viz elektronický podpis)</w:t>
      </w:r>
    </w:p>
    <w:p w14:paraId="4E835FEB" w14:textId="77777777" w:rsidR="00F65BCA" w:rsidRDefault="00F65BCA">
      <w:pPr>
        <w:pStyle w:val="Zkladntext"/>
        <w:rPr>
          <w:sz w:val="22"/>
        </w:rPr>
      </w:pPr>
    </w:p>
    <w:p w14:paraId="2103AA04" w14:textId="77777777" w:rsidR="00F65BCA" w:rsidRDefault="00216117">
      <w:pPr>
        <w:ind w:left="117" w:right="5831"/>
      </w:pPr>
      <w:r>
        <w:rPr>
          <w:b/>
          <w:color w:val="231F20"/>
        </w:rPr>
        <w:t xml:space="preserve">Západočeská univerzita v Plzni </w:t>
      </w:r>
      <w:r>
        <w:rPr>
          <w:color w:val="231F20"/>
        </w:rPr>
        <w:t>prof. RNDr. Miroslav Lávička, Ph.D. rektor</w:t>
      </w:r>
    </w:p>
    <w:p w14:paraId="249E27A8" w14:textId="77777777" w:rsidR="00F65BCA" w:rsidRDefault="00216117">
      <w:pPr>
        <w:pStyle w:val="Nadpis4"/>
        <w:spacing w:line="252" w:lineRule="exact"/>
      </w:pPr>
      <w:r>
        <w:rPr>
          <w:color w:val="231F20"/>
        </w:rPr>
        <w:t>podepsáno elektronicky</w:t>
      </w:r>
    </w:p>
    <w:p w14:paraId="62642774" w14:textId="77777777" w:rsidR="00F65BCA" w:rsidRDefault="00F65BCA">
      <w:pPr>
        <w:pStyle w:val="Zkladntext"/>
        <w:rPr>
          <w:i/>
          <w:sz w:val="20"/>
        </w:rPr>
      </w:pPr>
    </w:p>
    <w:p w14:paraId="374A7BA9" w14:textId="77777777" w:rsidR="00F65BCA" w:rsidRDefault="00F65BCA">
      <w:pPr>
        <w:pStyle w:val="Zkladntext"/>
        <w:rPr>
          <w:i/>
          <w:sz w:val="20"/>
        </w:rPr>
      </w:pPr>
    </w:p>
    <w:p w14:paraId="3F76D929" w14:textId="77777777" w:rsidR="00F65BCA" w:rsidRDefault="00F65BCA">
      <w:pPr>
        <w:pStyle w:val="Zkladntext"/>
        <w:rPr>
          <w:i/>
          <w:sz w:val="20"/>
        </w:rPr>
      </w:pPr>
    </w:p>
    <w:p w14:paraId="4D75E0C5" w14:textId="77777777" w:rsidR="00F65BCA" w:rsidRDefault="00F65BCA">
      <w:pPr>
        <w:pStyle w:val="Zkladntext"/>
        <w:rPr>
          <w:i/>
          <w:sz w:val="20"/>
        </w:rPr>
      </w:pPr>
    </w:p>
    <w:p w14:paraId="3E3CCE77" w14:textId="77777777" w:rsidR="00F65BCA" w:rsidRDefault="00F65BCA">
      <w:pPr>
        <w:pStyle w:val="Zkladntext"/>
        <w:rPr>
          <w:i/>
          <w:sz w:val="20"/>
        </w:rPr>
      </w:pPr>
    </w:p>
    <w:p w14:paraId="3DC99076" w14:textId="77777777" w:rsidR="00F65BCA" w:rsidRDefault="00F65BCA">
      <w:pPr>
        <w:pStyle w:val="Zkladntext"/>
        <w:rPr>
          <w:i/>
          <w:sz w:val="20"/>
        </w:rPr>
      </w:pPr>
    </w:p>
    <w:p w14:paraId="78B7C18D" w14:textId="77777777" w:rsidR="00F65BCA" w:rsidRDefault="00F65BCA">
      <w:pPr>
        <w:pStyle w:val="Zkladntext"/>
        <w:rPr>
          <w:i/>
          <w:sz w:val="20"/>
        </w:rPr>
      </w:pPr>
    </w:p>
    <w:p w14:paraId="3C893163" w14:textId="77777777" w:rsidR="00F65BCA" w:rsidRDefault="00F65BCA">
      <w:pPr>
        <w:pStyle w:val="Zkladntext"/>
        <w:rPr>
          <w:i/>
          <w:sz w:val="20"/>
        </w:rPr>
      </w:pPr>
    </w:p>
    <w:p w14:paraId="763883D8" w14:textId="77777777" w:rsidR="00F65BCA" w:rsidRDefault="00F65BCA">
      <w:pPr>
        <w:pStyle w:val="Zkladntext"/>
        <w:rPr>
          <w:i/>
          <w:sz w:val="20"/>
        </w:rPr>
      </w:pPr>
    </w:p>
    <w:p w14:paraId="7126F059" w14:textId="77777777" w:rsidR="00F65BCA" w:rsidRDefault="00F65BCA">
      <w:pPr>
        <w:pStyle w:val="Zkladntext"/>
        <w:spacing w:before="2"/>
        <w:rPr>
          <w:i/>
          <w:sz w:val="17"/>
        </w:rPr>
      </w:pPr>
    </w:p>
    <w:p w14:paraId="7DDF8256" w14:textId="77777777" w:rsidR="00F65BCA" w:rsidRDefault="00216117">
      <w:pPr>
        <w:spacing w:before="95"/>
        <w:ind w:left="1459" w:right="1033"/>
        <w:jc w:val="center"/>
        <w:rPr>
          <w:sz w:val="16"/>
        </w:rPr>
      </w:pPr>
      <w:r>
        <w:rPr>
          <w:color w:val="231F20"/>
          <w:sz w:val="16"/>
        </w:rPr>
        <w:t>Stránka 15 z 15</w:t>
      </w:r>
    </w:p>
    <w:p w14:paraId="02980EC3" w14:textId="77777777" w:rsidR="00F65BCA" w:rsidRDefault="00F65BCA">
      <w:pPr>
        <w:jc w:val="center"/>
        <w:rPr>
          <w:sz w:val="16"/>
        </w:rPr>
        <w:sectPr w:rsidR="00F65BCA">
          <w:pgSz w:w="11900" w:h="16840"/>
          <w:pgMar w:top="1060" w:right="1160" w:bottom="280" w:left="1300" w:header="708" w:footer="708" w:gutter="0"/>
          <w:cols w:space="708"/>
        </w:sectPr>
      </w:pPr>
    </w:p>
    <w:p w14:paraId="1E7B0983" w14:textId="77777777" w:rsidR="00F65BCA" w:rsidRDefault="00F65BCA">
      <w:pPr>
        <w:pStyle w:val="Zkladntext"/>
        <w:spacing w:before="4"/>
        <w:rPr>
          <w:sz w:val="26"/>
        </w:rPr>
      </w:pPr>
    </w:p>
    <w:p w14:paraId="7128A2AF" w14:textId="77777777" w:rsidR="00F65BCA" w:rsidRDefault="00F65BCA">
      <w:pPr>
        <w:pStyle w:val="Zkladntext"/>
        <w:spacing w:before="9"/>
        <w:rPr>
          <w:sz w:val="7"/>
        </w:rPr>
      </w:pPr>
    </w:p>
    <w:p w14:paraId="3EF5F7FB" w14:textId="77777777" w:rsidR="00F65BCA" w:rsidRDefault="00216117">
      <w:pPr>
        <w:tabs>
          <w:tab w:val="left" w:pos="3432"/>
        </w:tabs>
        <w:spacing w:before="1"/>
        <w:ind w:left="1839"/>
        <w:rPr>
          <w:rFonts w:ascii="Calibri" w:hAnsi="Calibri"/>
          <w:sz w:val="6"/>
        </w:rPr>
      </w:pPr>
      <w:r>
        <w:rPr>
          <w:rFonts w:ascii="Calibri" w:hAnsi="Calibri"/>
          <w:color w:val="231F20"/>
          <w:sz w:val="6"/>
        </w:rPr>
        <w:t xml:space="preserve">k  </w:t>
      </w:r>
      <w:r>
        <w:rPr>
          <w:rFonts w:ascii="Calibri" w:hAnsi="Calibri"/>
          <w:color w:val="231F20"/>
          <w:w w:val="125"/>
          <w:sz w:val="6"/>
        </w:rPr>
        <w:t>n</w:t>
      </w:r>
      <w:r>
        <w:rPr>
          <w:rFonts w:ascii="Calibri" w:hAnsi="Calibri"/>
          <w:color w:val="231F20"/>
          <w:spacing w:val="-1"/>
          <w:w w:val="125"/>
          <w:sz w:val="6"/>
        </w:rPr>
        <w:t xml:space="preserve"> </w:t>
      </w:r>
      <w:r>
        <w:rPr>
          <w:rFonts w:ascii="Calibri" w:hAnsi="Calibri"/>
          <w:color w:val="231F20"/>
          <w:w w:val="160"/>
          <w:sz w:val="6"/>
        </w:rPr>
        <w:t xml:space="preserve">r             </w:t>
      </w:r>
      <w:r>
        <w:rPr>
          <w:rFonts w:ascii="Calibri" w:hAnsi="Calibri"/>
          <w:color w:val="231F20"/>
          <w:spacing w:val="17"/>
          <w:w w:val="160"/>
          <w:sz w:val="6"/>
        </w:rPr>
        <w:t xml:space="preserve"> </w:t>
      </w:r>
      <w:r>
        <w:rPr>
          <w:rFonts w:ascii="Calibri" w:hAnsi="Calibri"/>
          <w:color w:val="231F20"/>
          <w:sz w:val="6"/>
        </w:rPr>
        <w:t>5</w:t>
      </w:r>
      <w:r>
        <w:rPr>
          <w:rFonts w:ascii="Times New Roman" w:hAnsi="Times New Roman"/>
          <w:color w:val="231F20"/>
          <w:sz w:val="6"/>
        </w:rPr>
        <w:tab/>
      </w:r>
      <w:r>
        <w:rPr>
          <w:rFonts w:ascii="Calibri" w:hAnsi="Calibri"/>
          <w:color w:val="231F20"/>
          <w:sz w:val="6"/>
        </w:rPr>
        <w:t xml:space="preserve">h </w:t>
      </w:r>
      <w:r>
        <w:rPr>
          <w:rFonts w:ascii="Calibri" w:hAnsi="Calibri"/>
          <w:color w:val="231F20"/>
          <w:w w:val="125"/>
          <w:sz w:val="6"/>
        </w:rPr>
        <w:t xml:space="preserve">. </w:t>
      </w:r>
      <w:r>
        <w:rPr>
          <w:rFonts w:ascii="Calibri" w:hAnsi="Calibri"/>
          <w:color w:val="231F20"/>
          <w:sz w:val="6"/>
        </w:rPr>
        <w:t xml:space="preserve">ch </w:t>
      </w:r>
      <w:r>
        <w:rPr>
          <w:rFonts w:ascii="Calibri" w:hAnsi="Calibri"/>
          <w:color w:val="231F20"/>
          <w:w w:val="125"/>
          <w:sz w:val="6"/>
        </w:rPr>
        <w:t xml:space="preserve">c </w:t>
      </w:r>
      <w:r>
        <w:rPr>
          <w:rFonts w:ascii="Calibri" w:hAnsi="Calibri"/>
          <w:color w:val="231F20"/>
          <w:sz w:val="6"/>
        </w:rPr>
        <w:t xml:space="preserve">ch n </w:t>
      </w:r>
      <w:r>
        <w:rPr>
          <w:rFonts w:ascii="Calibri" w:hAnsi="Calibri"/>
          <w:color w:val="231F20"/>
          <w:w w:val="160"/>
          <w:sz w:val="6"/>
        </w:rPr>
        <w:t xml:space="preserve">r </w:t>
      </w:r>
      <w:r>
        <w:rPr>
          <w:rFonts w:ascii="Calibri" w:hAnsi="Calibri"/>
          <w:color w:val="231F20"/>
          <w:sz w:val="6"/>
        </w:rPr>
        <w:t xml:space="preserve">n5 n </w:t>
      </w:r>
      <w:r>
        <w:rPr>
          <w:rFonts w:ascii="Calibri" w:hAnsi="Calibri"/>
          <w:color w:val="231F20"/>
          <w:w w:val="125"/>
          <w:sz w:val="6"/>
        </w:rPr>
        <w:t xml:space="preserve">A </w:t>
      </w:r>
      <w:r>
        <w:rPr>
          <w:rFonts w:ascii="Calibri" w:hAnsi="Calibri"/>
          <w:color w:val="231F20"/>
          <w:sz w:val="6"/>
        </w:rPr>
        <w:t xml:space="preserve">- j </w:t>
      </w:r>
      <w:r>
        <w:rPr>
          <w:rFonts w:ascii="Calibri" w:hAnsi="Calibri"/>
          <w:color w:val="231F20"/>
          <w:w w:val="160"/>
          <w:sz w:val="6"/>
        </w:rPr>
        <w:t xml:space="preserve">š </w:t>
      </w:r>
      <w:r>
        <w:rPr>
          <w:rFonts w:ascii="Calibri" w:hAnsi="Calibri"/>
          <w:color w:val="231F20"/>
          <w:sz w:val="6"/>
        </w:rPr>
        <w:t>5 ch</w:t>
      </w:r>
      <w:r>
        <w:rPr>
          <w:rFonts w:ascii="Calibri" w:hAnsi="Calibri"/>
          <w:color w:val="231F20"/>
          <w:spacing w:val="8"/>
          <w:sz w:val="6"/>
        </w:rPr>
        <w:t xml:space="preserve"> </w:t>
      </w:r>
      <w:r>
        <w:rPr>
          <w:rFonts w:ascii="Calibri" w:hAnsi="Calibri"/>
          <w:color w:val="231F20"/>
          <w:w w:val="160"/>
          <w:sz w:val="6"/>
        </w:rPr>
        <w:t>r</w:t>
      </w:r>
      <w:r>
        <w:rPr>
          <w:rFonts w:ascii="Calibri" w:hAnsi="Calibri"/>
          <w:color w:val="231F20"/>
          <w:w w:val="228"/>
          <w:sz w:val="6"/>
        </w:rPr>
        <w:t xml:space="preserve"> </w:t>
      </w:r>
      <w:r>
        <w:rPr>
          <w:rFonts w:ascii="Calibri" w:hAnsi="Calibri"/>
          <w:color w:val="231F20"/>
          <w:w w:val="105"/>
          <w:sz w:val="6"/>
        </w:rPr>
        <w:t xml:space="preserve"> </w:t>
      </w:r>
    </w:p>
    <w:p w14:paraId="7D371AF1" w14:textId="77777777" w:rsidR="00F65BCA" w:rsidRDefault="00F65BCA">
      <w:pPr>
        <w:pStyle w:val="Zkladntext"/>
        <w:spacing w:before="11"/>
        <w:rPr>
          <w:rFonts w:ascii="Calibri"/>
          <w:sz w:val="6"/>
        </w:rPr>
      </w:pPr>
    </w:p>
    <w:p w14:paraId="461189AF" w14:textId="77777777" w:rsidR="00F65BCA" w:rsidRDefault="00216117">
      <w:pPr>
        <w:tabs>
          <w:tab w:val="left" w:pos="6715"/>
        </w:tabs>
        <w:ind w:left="582"/>
        <w:rPr>
          <w:rFonts w:ascii="Calibri" w:hAnsi="Calibri"/>
          <w:b/>
          <w:sz w:val="6"/>
        </w:rPr>
      </w:pPr>
      <w:r>
        <w:rPr>
          <w:rFonts w:ascii="Calibri" w:hAnsi="Calibri"/>
          <w:b/>
          <w:color w:val="231F20"/>
          <w:spacing w:val="-1"/>
          <w:w w:val="244"/>
          <w:sz w:val="6"/>
        </w:rPr>
        <w:t xml:space="preserve"> </w:t>
      </w:r>
      <w:r>
        <w:rPr>
          <w:rFonts w:ascii="Calibri" w:hAnsi="Calibri"/>
          <w:b/>
          <w:color w:val="231F20"/>
          <w:w w:val="110"/>
          <w:sz w:val="6"/>
        </w:rPr>
        <w:t>říloha č. 2-2</w:t>
      </w:r>
      <w:r>
        <w:rPr>
          <w:rFonts w:ascii="Calibri" w:hAnsi="Calibri"/>
          <w:b/>
          <w:color w:val="231F20"/>
          <w:spacing w:val="8"/>
          <w:w w:val="110"/>
          <w:sz w:val="6"/>
        </w:rPr>
        <w:t xml:space="preserve"> </w:t>
      </w:r>
      <w:r>
        <w:rPr>
          <w:rFonts w:ascii="Calibri" w:hAnsi="Calibri"/>
          <w:b/>
          <w:color w:val="231F20"/>
          <w:w w:val="110"/>
          <w:sz w:val="6"/>
        </w:rPr>
        <w:t>- abulka pro v poče  nabídkové ceny - oubor voz del (ve znění ke dn</w:t>
      </w:r>
      <w:r>
        <w:rPr>
          <w:rFonts w:ascii="Calibri" w:hAnsi="Calibri"/>
          <w:b/>
          <w:color w:val="231F20"/>
          <w:spacing w:val="6"/>
          <w:w w:val="110"/>
          <w:sz w:val="6"/>
        </w:rPr>
        <w:t xml:space="preserve"> </w:t>
      </w:r>
      <w:r>
        <w:rPr>
          <w:rFonts w:ascii="Calibri" w:hAnsi="Calibri"/>
          <w:b/>
          <w:color w:val="231F20"/>
          <w:w w:val="110"/>
          <w:sz w:val="6"/>
        </w:rPr>
        <w:t>12.O9.2O25)</w:t>
      </w:r>
      <w:r>
        <w:rPr>
          <w:rFonts w:ascii="Times New Roman" w:hAnsi="Times New Roman"/>
          <w:color w:val="231F20"/>
          <w:w w:val="110"/>
          <w:sz w:val="6"/>
        </w:rPr>
        <w:tab/>
      </w:r>
      <w:r>
        <w:rPr>
          <w:rFonts w:ascii="Calibri" w:hAnsi="Calibri"/>
          <w:b/>
          <w:color w:val="231F20"/>
          <w:w w:val="110"/>
          <w:sz w:val="6"/>
        </w:rPr>
        <w:t>ezna voz del ápadoče ká un verz a v</w:t>
      </w:r>
      <w:r>
        <w:rPr>
          <w:rFonts w:ascii="Calibri" w:hAnsi="Calibri"/>
          <w:b/>
          <w:color w:val="231F20"/>
          <w:spacing w:val="1"/>
          <w:w w:val="110"/>
          <w:sz w:val="6"/>
        </w:rPr>
        <w:t xml:space="preserve"> </w:t>
      </w:r>
      <w:r>
        <w:rPr>
          <w:rFonts w:ascii="Calibri" w:hAnsi="Calibri"/>
          <w:b/>
          <w:color w:val="231F20"/>
          <w:w w:val="110"/>
          <w:sz w:val="6"/>
        </w:rPr>
        <w:t>lzn</w:t>
      </w:r>
      <w:r>
        <w:rPr>
          <w:rFonts w:ascii="Calibri" w:hAnsi="Calibri"/>
          <w:b/>
          <w:color w:val="231F20"/>
          <w:w w:val="112"/>
          <w:sz w:val="6"/>
        </w:rPr>
        <w:t xml:space="preserve"> </w:t>
      </w:r>
    </w:p>
    <w:p w14:paraId="29DBDB69" w14:textId="77777777" w:rsidR="00F65BCA" w:rsidRDefault="00F65BCA">
      <w:pPr>
        <w:pStyle w:val="Zkladntext"/>
        <w:spacing w:before="2"/>
        <w:rPr>
          <w:rFonts w:ascii="Calibri"/>
          <w:b/>
          <w:sz w:val="6"/>
        </w:rPr>
      </w:pPr>
    </w:p>
    <w:tbl>
      <w:tblPr>
        <w:tblStyle w:val="TableNormal"/>
        <w:tblW w:w="0" w:type="auto"/>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66"/>
        <w:gridCol w:w="298"/>
        <w:gridCol w:w="912"/>
        <w:gridCol w:w="346"/>
        <w:gridCol w:w="884"/>
        <w:gridCol w:w="337"/>
        <w:gridCol w:w="375"/>
        <w:gridCol w:w="663"/>
        <w:gridCol w:w="433"/>
        <w:gridCol w:w="913"/>
        <w:gridCol w:w="913"/>
        <w:gridCol w:w="265"/>
        <w:gridCol w:w="231"/>
        <w:gridCol w:w="221"/>
        <w:gridCol w:w="336"/>
        <w:gridCol w:w="240"/>
        <w:gridCol w:w="278"/>
        <w:gridCol w:w="268"/>
        <w:gridCol w:w="412"/>
        <w:gridCol w:w="268"/>
        <w:gridCol w:w="311"/>
        <w:gridCol w:w="450"/>
        <w:gridCol w:w="450"/>
        <w:gridCol w:w="296"/>
        <w:gridCol w:w="392"/>
        <w:gridCol w:w="428"/>
        <w:gridCol w:w="414"/>
        <w:gridCol w:w="412"/>
        <w:gridCol w:w="412"/>
        <w:gridCol w:w="412"/>
        <w:gridCol w:w="410"/>
      </w:tblGrid>
      <w:tr w:rsidR="00F65BCA" w14:paraId="0CCA8DC9" w14:textId="77777777">
        <w:trPr>
          <w:trHeight w:val="234"/>
        </w:trPr>
        <w:tc>
          <w:tcPr>
            <w:tcW w:w="166" w:type="dxa"/>
            <w:tcBorders>
              <w:right w:val="single" w:sz="2" w:space="0" w:color="231F20"/>
            </w:tcBorders>
          </w:tcPr>
          <w:p w14:paraId="727D2701" w14:textId="77777777" w:rsidR="00F65BCA" w:rsidRDefault="00F65BCA">
            <w:pPr>
              <w:pStyle w:val="TableParagraph"/>
              <w:rPr>
                <w:rFonts w:ascii="Calibri"/>
                <w:b/>
                <w:sz w:val="6"/>
              </w:rPr>
            </w:pPr>
          </w:p>
          <w:p w14:paraId="464E45BA" w14:textId="77777777" w:rsidR="00F65BCA" w:rsidRDefault="00F65BCA">
            <w:pPr>
              <w:pStyle w:val="TableParagraph"/>
              <w:spacing w:before="4"/>
              <w:rPr>
                <w:rFonts w:ascii="Calibri"/>
                <w:b/>
                <w:sz w:val="7"/>
              </w:rPr>
            </w:pPr>
          </w:p>
          <w:p w14:paraId="43D5CDDB" w14:textId="77777777" w:rsidR="00F65BCA" w:rsidRDefault="00216117">
            <w:pPr>
              <w:pStyle w:val="TableParagraph"/>
              <w:spacing w:line="51" w:lineRule="exact"/>
              <w:ind w:left="14"/>
              <w:rPr>
                <w:rFonts w:ascii="Calibri"/>
                <w:sz w:val="6"/>
              </w:rPr>
            </w:pPr>
            <w:r>
              <w:rPr>
                <w:rFonts w:ascii="Calibri"/>
                <w:color w:val="231F20"/>
                <w:w w:val="194"/>
                <w:sz w:val="6"/>
              </w:rPr>
              <w:t xml:space="preserve"> </w:t>
            </w:r>
          </w:p>
        </w:tc>
        <w:tc>
          <w:tcPr>
            <w:tcW w:w="298" w:type="dxa"/>
            <w:tcBorders>
              <w:left w:val="single" w:sz="2" w:space="0" w:color="231F20"/>
              <w:right w:val="single" w:sz="2" w:space="0" w:color="231F20"/>
            </w:tcBorders>
          </w:tcPr>
          <w:p w14:paraId="7C4729DD" w14:textId="77777777" w:rsidR="00F65BCA" w:rsidRDefault="00216117">
            <w:pPr>
              <w:pStyle w:val="TableParagraph"/>
              <w:spacing w:before="44" w:line="283" w:lineRule="auto"/>
              <w:ind w:left="66" w:right="4" w:hanging="39"/>
              <w:rPr>
                <w:b/>
                <w:sz w:val="6"/>
              </w:rPr>
            </w:pPr>
            <w:r>
              <w:rPr>
                <w:b/>
                <w:color w:val="231F20"/>
                <w:w w:val="105"/>
                <w:sz w:val="6"/>
              </w:rPr>
              <w:t>Vlastník R /I</w:t>
            </w:r>
            <w:r>
              <w:rPr>
                <w:b/>
                <w:color w:val="231F20"/>
                <w:w w:val="270"/>
                <w:sz w:val="6"/>
              </w:rPr>
              <w:t xml:space="preserve"> </w:t>
            </w:r>
          </w:p>
        </w:tc>
        <w:tc>
          <w:tcPr>
            <w:tcW w:w="912" w:type="dxa"/>
            <w:tcBorders>
              <w:left w:val="single" w:sz="2" w:space="0" w:color="231F20"/>
              <w:right w:val="single" w:sz="2" w:space="0" w:color="231F20"/>
            </w:tcBorders>
          </w:tcPr>
          <w:p w14:paraId="511E0549" w14:textId="77777777" w:rsidR="00F65BCA" w:rsidRDefault="00F65BCA">
            <w:pPr>
              <w:pStyle w:val="TableParagraph"/>
              <w:rPr>
                <w:rFonts w:ascii="Calibri"/>
                <w:b/>
                <w:sz w:val="6"/>
              </w:rPr>
            </w:pPr>
          </w:p>
          <w:p w14:paraId="07BDA10F" w14:textId="77777777" w:rsidR="00F65BCA" w:rsidRDefault="00F65BCA">
            <w:pPr>
              <w:pStyle w:val="TableParagraph"/>
              <w:spacing w:before="12"/>
              <w:rPr>
                <w:rFonts w:ascii="Calibri"/>
                <w:b/>
                <w:sz w:val="6"/>
              </w:rPr>
            </w:pPr>
          </w:p>
          <w:p w14:paraId="10D86045" w14:textId="77777777" w:rsidR="00F65BCA" w:rsidRDefault="00216117">
            <w:pPr>
              <w:pStyle w:val="TableParagraph"/>
              <w:spacing w:line="56" w:lineRule="exact"/>
              <w:ind w:left="13"/>
              <w:rPr>
                <w:rFonts w:ascii="Calibri" w:hAnsi="Calibri"/>
                <w:b/>
                <w:sz w:val="6"/>
              </w:rPr>
            </w:pPr>
            <w:r>
              <w:rPr>
                <w:rFonts w:ascii="Calibri" w:hAnsi="Calibri"/>
                <w:b/>
                <w:color w:val="231F20"/>
                <w:w w:val="271"/>
                <w:sz w:val="6"/>
              </w:rPr>
              <w:t xml:space="preserve"> </w:t>
            </w:r>
            <w:r>
              <w:rPr>
                <w:rFonts w:ascii="Calibri" w:hAnsi="Calibri"/>
                <w:b/>
                <w:color w:val="231F20"/>
                <w:w w:val="105"/>
                <w:sz w:val="6"/>
              </w:rPr>
              <w:t>la ník</w:t>
            </w:r>
          </w:p>
        </w:tc>
        <w:tc>
          <w:tcPr>
            <w:tcW w:w="346" w:type="dxa"/>
            <w:tcBorders>
              <w:left w:val="single" w:sz="2" w:space="0" w:color="231F20"/>
              <w:right w:val="single" w:sz="2" w:space="0" w:color="231F20"/>
            </w:tcBorders>
          </w:tcPr>
          <w:p w14:paraId="57F1E3CC" w14:textId="77777777" w:rsidR="00F65BCA" w:rsidRDefault="00216117">
            <w:pPr>
              <w:pStyle w:val="TableParagraph"/>
              <w:spacing w:before="44" w:line="283" w:lineRule="auto"/>
              <w:ind w:left="90" w:right="53" w:hanging="15"/>
              <w:rPr>
                <w:b/>
                <w:sz w:val="6"/>
              </w:rPr>
            </w:pPr>
            <w:r>
              <w:rPr>
                <w:b/>
                <w:color w:val="231F20"/>
                <w:w w:val="105"/>
                <w:sz w:val="6"/>
              </w:rPr>
              <w:t>Držitel R /I</w:t>
            </w:r>
            <w:r>
              <w:rPr>
                <w:b/>
                <w:color w:val="231F20"/>
                <w:w w:val="270"/>
                <w:sz w:val="6"/>
              </w:rPr>
              <w:t xml:space="preserve"> </w:t>
            </w:r>
          </w:p>
        </w:tc>
        <w:tc>
          <w:tcPr>
            <w:tcW w:w="884" w:type="dxa"/>
            <w:tcBorders>
              <w:left w:val="single" w:sz="2" w:space="0" w:color="231F20"/>
              <w:right w:val="single" w:sz="2" w:space="0" w:color="231F20"/>
            </w:tcBorders>
          </w:tcPr>
          <w:p w14:paraId="75BCF3CE" w14:textId="77777777" w:rsidR="00F65BCA" w:rsidRDefault="00F65BCA">
            <w:pPr>
              <w:pStyle w:val="TableParagraph"/>
              <w:spacing w:before="2"/>
              <w:rPr>
                <w:rFonts w:ascii="Calibri"/>
                <w:b/>
                <w:sz w:val="7"/>
              </w:rPr>
            </w:pPr>
          </w:p>
          <w:p w14:paraId="6CE218D9" w14:textId="77777777" w:rsidR="00F65BCA" w:rsidRDefault="00216117">
            <w:pPr>
              <w:pStyle w:val="TableParagraph"/>
              <w:ind w:left="280" w:right="276"/>
              <w:jc w:val="center"/>
              <w:rPr>
                <w:b/>
                <w:sz w:val="6"/>
              </w:rPr>
            </w:pPr>
            <w:r>
              <w:rPr>
                <w:b/>
                <w:color w:val="231F20"/>
                <w:w w:val="105"/>
                <w:sz w:val="6"/>
              </w:rPr>
              <w:t>Držitel</w:t>
            </w:r>
          </w:p>
        </w:tc>
        <w:tc>
          <w:tcPr>
            <w:tcW w:w="337" w:type="dxa"/>
            <w:tcBorders>
              <w:left w:val="single" w:sz="2" w:space="0" w:color="231F20"/>
              <w:right w:val="single" w:sz="2" w:space="0" w:color="231F20"/>
            </w:tcBorders>
          </w:tcPr>
          <w:p w14:paraId="38E03624" w14:textId="77777777" w:rsidR="00F65BCA" w:rsidRDefault="00F65BCA">
            <w:pPr>
              <w:pStyle w:val="TableParagraph"/>
              <w:rPr>
                <w:rFonts w:ascii="Calibri"/>
                <w:b/>
                <w:sz w:val="6"/>
              </w:rPr>
            </w:pPr>
          </w:p>
          <w:p w14:paraId="0C89DFEB" w14:textId="77777777" w:rsidR="00F65BCA" w:rsidRDefault="00F65BCA">
            <w:pPr>
              <w:pStyle w:val="TableParagraph"/>
              <w:spacing w:before="12"/>
              <w:rPr>
                <w:rFonts w:ascii="Calibri"/>
                <w:b/>
                <w:sz w:val="6"/>
              </w:rPr>
            </w:pPr>
          </w:p>
          <w:p w14:paraId="205FEFDF" w14:textId="77777777" w:rsidR="00F65BCA" w:rsidRDefault="00216117">
            <w:pPr>
              <w:pStyle w:val="TableParagraph"/>
              <w:spacing w:line="56" w:lineRule="exact"/>
              <w:ind w:left="12"/>
              <w:rPr>
                <w:rFonts w:ascii="Calibri"/>
                <w:b/>
                <w:sz w:val="6"/>
              </w:rPr>
            </w:pPr>
            <w:r>
              <w:rPr>
                <w:rFonts w:ascii="Calibri"/>
                <w:b/>
                <w:color w:val="231F20"/>
                <w:w w:val="239"/>
                <w:sz w:val="6"/>
              </w:rPr>
              <w:t xml:space="preserve">  </w:t>
            </w:r>
            <w:r>
              <w:rPr>
                <w:rFonts w:ascii="Times New Roman"/>
                <w:color w:val="231F20"/>
                <w:sz w:val="6"/>
              </w:rPr>
              <w:t xml:space="preserve"> </w:t>
            </w:r>
            <w:r>
              <w:rPr>
                <w:rFonts w:ascii="Calibri"/>
                <w:b/>
                <w:color w:val="231F20"/>
                <w:w w:val="125"/>
                <w:sz w:val="6"/>
              </w:rPr>
              <w:t xml:space="preserve">( </w:t>
            </w:r>
            <w:r>
              <w:rPr>
                <w:rFonts w:ascii="Calibri"/>
                <w:b/>
                <w:color w:val="231F20"/>
                <w:w w:val="135"/>
                <w:sz w:val="6"/>
              </w:rPr>
              <w:t>)</w:t>
            </w:r>
          </w:p>
        </w:tc>
        <w:tc>
          <w:tcPr>
            <w:tcW w:w="375" w:type="dxa"/>
            <w:tcBorders>
              <w:left w:val="single" w:sz="2" w:space="0" w:color="231F20"/>
              <w:right w:val="single" w:sz="2" w:space="0" w:color="231F20"/>
            </w:tcBorders>
          </w:tcPr>
          <w:p w14:paraId="1B820C04" w14:textId="77777777" w:rsidR="00F65BCA" w:rsidRDefault="00F65BCA">
            <w:pPr>
              <w:pStyle w:val="TableParagraph"/>
              <w:rPr>
                <w:rFonts w:ascii="Calibri"/>
                <w:b/>
                <w:sz w:val="6"/>
              </w:rPr>
            </w:pPr>
          </w:p>
          <w:p w14:paraId="6713AC4C" w14:textId="77777777" w:rsidR="00F65BCA" w:rsidRDefault="00F65BCA">
            <w:pPr>
              <w:pStyle w:val="TableParagraph"/>
              <w:spacing w:before="12"/>
              <w:rPr>
                <w:rFonts w:ascii="Calibri"/>
                <w:b/>
                <w:sz w:val="6"/>
              </w:rPr>
            </w:pPr>
          </w:p>
          <w:p w14:paraId="78C5DE4F" w14:textId="77777777" w:rsidR="00F65BCA" w:rsidRDefault="00216117">
            <w:pPr>
              <w:pStyle w:val="TableParagraph"/>
              <w:spacing w:line="56" w:lineRule="exact"/>
              <w:ind w:left="11"/>
              <w:rPr>
                <w:rFonts w:ascii="Calibri" w:hAnsi="Calibri"/>
                <w:b/>
                <w:sz w:val="6"/>
              </w:rPr>
            </w:pPr>
            <w:r>
              <w:rPr>
                <w:rFonts w:ascii="Calibri" w:hAnsi="Calibri"/>
                <w:b/>
                <w:color w:val="231F20"/>
                <w:w w:val="145"/>
                <w:sz w:val="6"/>
              </w:rPr>
              <w:t xml:space="preserve">č.  </w:t>
            </w:r>
          </w:p>
        </w:tc>
        <w:tc>
          <w:tcPr>
            <w:tcW w:w="663" w:type="dxa"/>
            <w:tcBorders>
              <w:left w:val="single" w:sz="2" w:space="0" w:color="231F20"/>
              <w:right w:val="single" w:sz="2" w:space="0" w:color="231F20"/>
            </w:tcBorders>
          </w:tcPr>
          <w:p w14:paraId="59EE82D2" w14:textId="77777777" w:rsidR="00F65BCA" w:rsidRDefault="00F65BCA">
            <w:pPr>
              <w:pStyle w:val="TableParagraph"/>
              <w:rPr>
                <w:rFonts w:ascii="Calibri"/>
                <w:b/>
                <w:sz w:val="6"/>
              </w:rPr>
            </w:pPr>
          </w:p>
          <w:p w14:paraId="2E1D9186" w14:textId="77777777" w:rsidR="00F65BCA" w:rsidRDefault="00F65BCA">
            <w:pPr>
              <w:pStyle w:val="TableParagraph"/>
              <w:spacing w:before="12"/>
              <w:rPr>
                <w:rFonts w:ascii="Calibri"/>
                <w:b/>
                <w:sz w:val="6"/>
              </w:rPr>
            </w:pPr>
          </w:p>
          <w:p w14:paraId="3F649659" w14:textId="77777777" w:rsidR="00F65BCA" w:rsidRDefault="00216117">
            <w:pPr>
              <w:pStyle w:val="TableParagraph"/>
              <w:spacing w:line="56" w:lineRule="exact"/>
              <w:ind w:left="10"/>
              <w:rPr>
                <w:rFonts w:ascii="Calibri"/>
                <w:b/>
                <w:sz w:val="6"/>
              </w:rPr>
            </w:pPr>
            <w:r>
              <w:rPr>
                <w:rFonts w:ascii="Calibri"/>
                <w:b/>
                <w:color w:val="231F20"/>
                <w:spacing w:val="-1"/>
                <w:w w:val="271"/>
                <w:sz w:val="6"/>
              </w:rPr>
              <w:t xml:space="preserve"> </w:t>
            </w:r>
            <w:r>
              <w:rPr>
                <w:rFonts w:ascii="Calibri"/>
                <w:b/>
                <w:color w:val="231F20"/>
                <w:w w:val="122"/>
                <w:sz w:val="6"/>
              </w:rPr>
              <w:t xml:space="preserve"> </w:t>
            </w:r>
            <w:r>
              <w:rPr>
                <w:rFonts w:ascii="Calibri"/>
                <w:b/>
                <w:color w:val="231F20"/>
                <w:w w:val="302"/>
                <w:sz w:val="6"/>
              </w:rPr>
              <w:t xml:space="preserve"> </w:t>
            </w:r>
          </w:p>
        </w:tc>
        <w:tc>
          <w:tcPr>
            <w:tcW w:w="433" w:type="dxa"/>
            <w:tcBorders>
              <w:left w:val="single" w:sz="2" w:space="0" w:color="231F20"/>
              <w:right w:val="single" w:sz="2" w:space="0" w:color="231F20"/>
            </w:tcBorders>
          </w:tcPr>
          <w:p w14:paraId="10E8B7EA" w14:textId="77777777" w:rsidR="00F65BCA" w:rsidRDefault="00F65BCA">
            <w:pPr>
              <w:pStyle w:val="TableParagraph"/>
              <w:rPr>
                <w:rFonts w:ascii="Calibri"/>
                <w:b/>
                <w:sz w:val="6"/>
              </w:rPr>
            </w:pPr>
          </w:p>
          <w:p w14:paraId="4AE44ED8" w14:textId="77777777" w:rsidR="00F65BCA" w:rsidRDefault="00F65BCA">
            <w:pPr>
              <w:pStyle w:val="TableParagraph"/>
              <w:spacing w:before="12"/>
              <w:rPr>
                <w:rFonts w:ascii="Calibri"/>
                <w:b/>
                <w:sz w:val="6"/>
              </w:rPr>
            </w:pPr>
          </w:p>
          <w:p w14:paraId="33B18F35" w14:textId="77777777" w:rsidR="00F65BCA" w:rsidRDefault="00216117">
            <w:pPr>
              <w:pStyle w:val="TableParagraph"/>
              <w:spacing w:line="56" w:lineRule="exact"/>
              <w:ind w:left="9"/>
              <w:rPr>
                <w:rFonts w:ascii="Calibri" w:hAnsi="Calibri"/>
                <w:b/>
                <w:sz w:val="6"/>
              </w:rPr>
            </w:pPr>
            <w:r>
              <w:rPr>
                <w:rFonts w:ascii="Calibri" w:hAnsi="Calibri"/>
                <w:b/>
                <w:color w:val="231F20"/>
                <w:w w:val="138"/>
                <w:sz w:val="6"/>
              </w:rPr>
              <w:t xml:space="preserve"> </w:t>
            </w:r>
            <w:r>
              <w:rPr>
                <w:rFonts w:ascii="Calibri" w:hAnsi="Calibri"/>
                <w:b/>
                <w:color w:val="231F20"/>
                <w:w w:val="110"/>
                <w:sz w:val="6"/>
              </w:rPr>
              <w:t>načka</w:t>
            </w:r>
          </w:p>
        </w:tc>
        <w:tc>
          <w:tcPr>
            <w:tcW w:w="913" w:type="dxa"/>
            <w:tcBorders>
              <w:left w:val="single" w:sz="2" w:space="0" w:color="231F20"/>
              <w:right w:val="single" w:sz="2" w:space="0" w:color="231F20"/>
            </w:tcBorders>
          </w:tcPr>
          <w:p w14:paraId="3DCFBCD2" w14:textId="77777777" w:rsidR="00F65BCA" w:rsidRDefault="00F65BCA">
            <w:pPr>
              <w:pStyle w:val="TableParagraph"/>
              <w:rPr>
                <w:rFonts w:ascii="Calibri"/>
                <w:b/>
                <w:sz w:val="6"/>
              </w:rPr>
            </w:pPr>
          </w:p>
          <w:p w14:paraId="658B9296" w14:textId="77777777" w:rsidR="00F65BCA" w:rsidRDefault="00F65BCA">
            <w:pPr>
              <w:pStyle w:val="TableParagraph"/>
              <w:spacing w:before="12"/>
              <w:rPr>
                <w:rFonts w:ascii="Calibri"/>
                <w:b/>
                <w:sz w:val="6"/>
              </w:rPr>
            </w:pPr>
          </w:p>
          <w:p w14:paraId="36837D94" w14:textId="77777777" w:rsidR="00F65BCA" w:rsidRDefault="00216117">
            <w:pPr>
              <w:pStyle w:val="TableParagraph"/>
              <w:spacing w:line="56" w:lineRule="exact"/>
              <w:ind w:left="8"/>
              <w:rPr>
                <w:rFonts w:ascii="Calibri"/>
                <w:b/>
                <w:sz w:val="6"/>
              </w:rPr>
            </w:pPr>
            <w:r>
              <w:rPr>
                <w:rFonts w:ascii="Calibri"/>
                <w:b/>
                <w:color w:val="231F20"/>
                <w:w w:val="130"/>
                <w:sz w:val="6"/>
              </w:rPr>
              <w:t>todel</w:t>
            </w:r>
          </w:p>
        </w:tc>
        <w:tc>
          <w:tcPr>
            <w:tcW w:w="913" w:type="dxa"/>
            <w:tcBorders>
              <w:left w:val="single" w:sz="2" w:space="0" w:color="231F20"/>
              <w:right w:val="single" w:sz="2" w:space="0" w:color="231F20"/>
            </w:tcBorders>
          </w:tcPr>
          <w:p w14:paraId="6D755E9F" w14:textId="77777777" w:rsidR="00F65BCA" w:rsidRDefault="00F65BCA">
            <w:pPr>
              <w:pStyle w:val="TableParagraph"/>
              <w:rPr>
                <w:rFonts w:ascii="Calibri"/>
                <w:b/>
                <w:sz w:val="6"/>
              </w:rPr>
            </w:pPr>
          </w:p>
          <w:p w14:paraId="4ABBDB05" w14:textId="77777777" w:rsidR="00F65BCA" w:rsidRDefault="00F65BCA">
            <w:pPr>
              <w:pStyle w:val="TableParagraph"/>
              <w:spacing w:before="12"/>
              <w:rPr>
                <w:rFonts w:ascii="Calibri"/>
                <w:b/>
                <w:sz w:val="6"/>
              </w:rPr>
            </w:pPr>
          </w:p>
          <w:p w14:paraId="23CE1FF7" w14:textId="77777777" w:rsidR="00F65BCA" w:rsidRDefault="00216117">
            <w:pPr>
              <w:pStyle w:val="TableParagraph"/>
              <w:spacing w:line="56" w:lineRule="exact"/>
              <w:ind w:left="7"/>
              <w:rPr>
                <w:rFonts w:ascii="Calibri"/>
                <w:b/>
                <w:sz w:val="6"/>
              </w:rPr>
            </w:pPr>
            <w:r>
              <w:rPr>
                <w:rFonts w:ascii="Calibri"/>
                <w:b/>
                <w:color w:val="231F20"/>
                <w:w w:val="110"/>
                <w:sz w:val="6"/>
              </w:rPr>
              <w:t>Ka e or e</w:t>
            </w:r>
          </w:p>
        </w:tc>
        <w:tc>
          <w:tcPr>
            <w:tcW w:w="265" w:type="dxa"/>
            <w:tcBorders>
              <w:left w:val="single" w:sz="2" w:space="0" w:color="231F20"/>
              <w:right w:val="single" w:sz="2" w:space="0" w:color="231F20"/>
            </w:tcBorders>
          </w:tcPr>
          <w:p w14:paraId="35AD15B5" w14:textId="77777777" w:rsidR="00F65BCA" w:rsidRDefault="00F65BCA">
            <w:pPr>
              <w:pStyle w:val="TableParagraph"/>
              <w:rPr>
                <w:rFonts w:ascii="Calibri"/>
                <w:b/>
                <w:sz w:val="6"/>
              </w:rPr>
            </w:pPr>
          </w:p>
          <w:p w14:paraId="4C268576" w14:textId="77777777" w:rsidR="00F65BCA" w:rsidRDefault="00F65BCA">
            <w:pPr>
              <w:pStyle w:val="TableParagraph"/>
              <w:spacing w:before="12"/>
              <w:rPr>
                <w:rFonts w:ascii="Calibri"/>
                <w:b/>
                <w:sz w:val="6"/>
              </w:rPr>
            </w:pPr>
          </w:p>
          <w:p w14:paraId="7CDAEF5B" w14:textId="77777777" w:rsidR="00F65BCA" w:rsidRDefault="00216117">
            <w:pPr>
              <w:pStyle w:val="TableParagraph"/>
              <w:spacing w:line="56" w:lineRule="exact"/>
              <w:ind w:right="40"/>
              <w:jc w:val="right"/>
              <w:rPr>
                <w:rFonts w:ascii="Calibri"/>
                <w:b/>
                <w:sz w:val="6"/>
              </w:rPr>
            </w:pPr>
            <w:r>
              <w:rPr>
                <w:rFonts w:ascii="Calibri"/>
                <w:b/>
                <w:color w:val="231F20"/>
                <w:w w:val="149"/>
                <w:sz w:val="6"/>
              </w:rPr>
              <w:t xml:space="preserve"> </w:t>
            </w:r>
            <w:r>
              <w:rPr>
                <w:rFonts w:ascii="Calibri"/>
                <w:b/>
                <w:color w:val="231F20"/>
                <w:w w:val="125"/>
                <w:sz w:val="6"/>
              </w:rPr>
              <w:t>ok v r.</w:t>
            </w:r>
          </w:p>
        </w:tc>
        <w:tc>
          <w:tcPr>
            <w:tcW w:w="231" w:type="dxa"/>
            <w:tcBorders>
              <w:left w:val="single" w:sz="2" w:space="0" w:color="231F20"/>
              <w:right w:val="single" w:sz="2" w:space="0" w:color="231F20"/>
            </w:tcBorders>
          </w:tcPr>
          <w:p w14:paraId="761D810C" w14:textId="77777777" w:rsidR="00F65BCA" w:rsidRDefault="00F65BCA">
            <w:pPr>
              <w:pStyle w:val="TableParagraph"/>
              <w:rPr>
                <w:rFonts w:ascii="Calibri"/>
                <w:b/>
                <w:sz w:val="6"/>
              </w:rPr>
            </w:pPr>
          </w:p>
          <w:p w14:paraId="64ECA776" w14:textId="77777777" w:rsidR="00F65BCA" w:rsidRDefault="00F65BCA">
            <w:pPr>
              <w:pStyle w:val="TableParagraph"/>
              <w:spacing w:before="12"/>
              <w:rPr>
                <w:rFonts w:ascii="Calibri"/>
                <w:b/>
                <w:sz w:val="6"/>
              </w:rPr>
            </w:pPr>
          </w:p>
          <w:p w14:paraId="65E14EAE" w14:textId="77777777" w:rsidR="00F65BCA" w:rsidRDefault="00216117">
            <w:pPr>
              <w:pStyle w:val="TableParagraph"/>
              <w:spacing w:line="56" w:lineRule="exact"/>
              <w:ind w:left="5"/>
              <w:rPr>
                <w:rFonts w:ascii="Calibri"/>
                <w:b/>
                <w:sz w:val="6"/>
              </w:rPr>
            </w:pPr>
            <w:r>
              <w:rPr>
                <w:rFonts w:ascii="Calibri"/>
                <w:b/>
                <w:color w:val="231F20"/>
                <w:w w:val="311"/>
                <w:sz w:val="6"/>
              </w:rPr>
              <w:t xml:space="preserve"> </w:t>
            </w:r>
            <w:r>
              <w:rPr>
                <w:rFonts w:ascii="Calibri"/>
                <w:b/>
                <w:color w:val="231F20"/>
                <w:w w:val="115"/>
                <w:sz w:val="6"/>
              </w:rPr>
              <w:t>b ah</w:t>
            </w:r>
          </w:p>
        </w:tc>
        <w:tc>
          <w:tcPr>
            <w:tcW w:w="221" w:type="dxa"/>
            <w:tcBorders>
              <w:left w:val="single" w:sz="2" w:space="0" w:color="231F20"/>
              <w:right w:val="single" w:sz="2" w:space="0" w:color="231F20"/>
            </w:tcBorders>
          </w:tcPr>
          <w:p w14:paraId="0F9449DF" w14:textId="77777777" w:rsidR="00F65BCA" w:rsidRDefault="00F65BCA">
            <w:pPr>
              <w:pStyle w:val="TableParagraph"/>
              <w:rPr>
                <w:rFonts w:ascii="Calibri"/>
                <w:b/>
                <w:sz w:val="6"/>
              </w:rPr>
            </w:pPr>
          </w:p>
          <w:p w14:paraId="46E2AFA0" w14:textId="77777777" w:rsidR="00F65BCA" w:rsidRDefault="00F65BCA">
            <w:pPr>
              <w:pStyle w:val="TableParagraph"/>
              <w:spacing w:before="12"/>
              <w:rPr>
                <w:rFonts w:ascii="Calibri"/>
                <w:b/>
                <w:sz w:val="6"/>
              </w:rPr>
            </w:pPr>
          </w:p>
          <w:p w14:paraId="01786F23" w14:textId="77777777" w:rsidR="00F65BCA" w:rsidRDefault="00216117">
            <w:pPr>
              <w:pStyle w:val="TableParagraph"/>
              <w:spacing w:line="56" w:lineRule="exact"/>
              <w:ind w:left="5"/>
              <w:rPr>
                <w:rFonts w:ascii="Calibri"/>
                <w:b/>
                <w:sz w:val="6"/>
              </w:rPr>
            </w:pPr>
            <w:r>
              <w:rPr>
                <w:rFonts w:ascii="Calibri"/>
                <w:b/>
                <w:color w:val="231F20"/>
                <w:w w:val="271"/>
                <w:sz w:val="6"/>
              </w:rPr>
              <w:t xml:space="preserve"> </w:t>
            </w:r>
            <w:r>
              <w:rPr>
                <w:rFonts w:ascii="Calibri"/>
                <w:b/>
                <w:color w:val="231F20"/>
                <w:w w:val="217"/>
                <w:sz w:val="6"/>
              </w:rPr>
              <w:t xml:space="preserve"> </w:t>
            </w:r>
            <w:r>
              <w:rPr>
                <w:rFonts w:ascii="Calibri"/>
                <w:b/>
                <w:color w:val="231F20"/>
                <w:w w:val="105"/>
                <w:sz w:val="6"/>
              </w:rPr>
              <w:t>kon</w:t>
            </w:r>
          </w:p>
        </w:tc>
        <w:tc>
          <w:tcPr>
            <w:tcW w:w="336" w:type="dxa"/>
            <w:tcBorders>
              <w:left w:val="single" w:sz="2" w:space="0" w:color="231F20"/>
              <w:right w:val="single" w:sz="2" w:space="0" w:color="231F20"/>
            </w:tcBorders>
          </w:tcPr>
          <w:p w14:paraId="044C354F" w14:textId="77777777" w:rsidR="00F65BCA" w:rsidRDefault="00F65BCA">
            <w:pPr>
              <w:pStyle w:val="TableParagraph"/>
              <w:rPr>
                <w:rFonts w:ascii="Calibri"/>
                <w:b/>
                <w:sz w:val="6"/>
              </w:rPr>
            </w:pPr>
          </w:p>
          <w:p w14:paraId="7AA5D5E3" w14:textId="77777777" w:rsidR="00F65BCA" w:rsidRDefault="00F65BCA">
            <w:pPr>
              <w:pStyle w:val="TableParagraph"/>
              <w:spacing w:before="12"/>
              <w:rPr>
                <w:rFonts w:ascii="Calibri"/>
                <w:b/>
                <w:sz w:val="6"/>
              </w:rPr>
            </w:pPr>
          </w:p>
          <w:p w14:paraId="470B6806" w14:textId="77777777" w:rsidR="00F65BCA" w:rsidRDefault="00216117">
            <w:pPr>
              <w:pStyle w:val="TableParagraph"/>
              <w:spacing w:line="56" w:lineRule="exact"/>
              <w:ind w:left="4"/>
              <w:rPr>
                <w:rFonts w:ascii="Calibri"/>
                <w:b/>
                <w:sz w:val="6"/>
              </w:rPr>
            </w:pPr>
            <w:r>
              <w:rPr>
                <w:rFonts w:ascii="Calibri"/>
                <w:b/>
                <w:color w:val="231F20"/>
                <w:w w:val="332"/>
                <w:sz w:val="6"/>
              </w:rPr>
              <w:t xml:space="preserve">  </w:t>
            </w:r>
            <w:r>
              <w:rPr>
                <w:rFonts w:ascii="Calibri"/>
                <w:b/>
                <w:color w:val="231F20"/>
                <w:w w:val="105"/>
                <w:sz w:val="6"/>
              </w:rPr>
              <w:t>o no</w:t>
            </w:r>
            <w:r>
              <w:rPr>
                <w:rFonts w:ascii="Calibri"/>
                <w:b/>
                <w:color w:val="231F20"/>
                <w:w w:val="171"/>
                <w:sz w:val="6"/>
              </w:rPr>
              <w:t xml:space="preserve">  </w:t>
            </w:r>
          </w:p>
        </w:tc>
        <w:tc>
          <w:tcPr>
            <w:tcW w:w="240" w:type="dxa"/>
            <w:tcBorders>
              <w:left w:val="single" w:sz="2" w:space="0" w:color="231F20"/>
              <w:right w:val="single" w:sz="2" w:space="0" w:color="231F20"/>
            </w:tcBorders>
          </w:tcPr>
          <w:p w14:paraId="1BA280D4" w14:textId="77777777" w:rsidR="00F65BCA" w:rsidRDefault="00F65BCA">
            <w:pPr>
              <w:pStyle w:val="TableParagraph"/>
              <w:spacing w:before="8"/>
              <w:rPr>
                <w:rFonts w:ascii="Calibri"/>
                <w:b/>
                <w:sz w:val="6"/>
              </w:rPr>
            </w:pPr>
          </w:p>
          <w:p w14:paraId="443505E7" w14:textId="77777777" w:rsidR="00F65BCA" w:rsidRDefault="00216117">
            <w:pPr>
              <w:pStyle w:val="TableParagraph"/>
              <w:ind w:left="38"/>
              <w:rPr>
                <w:rFonts w:ascii="Calibri" w:hAnsi="Calibri"/>
                <w:b/>
                <w:sz w:val="6"/>
              </w:rPr>
            </w:pPr>
            <w:r>
              <w:rPr>
                <w:rFonts w:ascii="Calibri" w:hAnsi="Calibri"/>
                <w:b/>
                <w:color w:val="231F20"/>
                <w:spacing w:val="-1"/>
                <w:w w:val="244"/>
                <w:sz w:val="6"/>
              </w:rPr>
              <w:t xml:space="preserve"> </w:t>
            </w:r>
            <w:r>
              <w:rPr>
                <w:rFonts w:ascii="Calibri" w:hAnsi="Calibri"/>
                <w:b/>
                <w:color w:val="231F20"/>
                <w:w w:val="105"/>
                <w:sz w:val="6"/>
              </w:rPr>
              <w:t>oče</w:t>
            </w:r>
            <w:r>
              <w:rPr>
                <w:rFonts w:ascii="Calibri" w:hAnsi="Calibri"/>
                <w:b/>
                <w:color w:val="231F20"/>
                <w:w w:val="159"/>
                <w:sz w:val="6"/>
              </w:rPr>
              <w:t xml:space="preserve"> </w:t>
            </w:r>
          </w:p>
          <w:p w14:paraId="4130544C" w14:textId="77777777" w:rsidR="00F65BCA" w:rsidRDefault="00216117">
            <w:pPr>
              <w:pStyle w:val="TableParagraph"/>
              <w:spacing w:before="4" w:line="56" w:lineRule="exact"/>
              <w:ind w:left="57"/>
              <w:rPr>
                <w:rFonts w:ascii="Calibri" w:hAnsi="Calibri"/>
                <w:b/>
                <w:sz w:val="6"/>
              </w:rPr>
            </w:pPr>
            <w:r>
              <w:rPr>
                <w:rFonts w:ascii="Calibri" w:hAnsi="Calibri"/>
                <w:b/>
                <w:color w:val="231F20"/>
                <w:spacing w:val="-1"/>
                <w:w w:val="374"/>
                <w:sz w:val="6"/>
              </w:rPr>
              <w:t xml:space="preserve"> </w:t>
            </w:r>
            <w:r>
              <w:rPr>
                <w:rFonts w:ascii="Calibri" w:hAnsi="Calibri"/>
                <w:b/>
                <w:color w:val="231F20"/>
                <w:w w:val="105"/>
                <w:sz w:val="6"/>
              </w:rPr>
              <w:t>í</w:t>
            </w:r>
            <w:r>
              <w:rPr>
                <w:rFonts w:ascii="Calibri" w:hAnsi="Calibri"/>
                <w:b/>
                <w:color w:val="231F20"/>
                <w:w w:val="171"/>
                <w:sz w:val="6"/>
              </w:rPr>
              <w:t xml:space="preserve">  </w:t>
            </w:r>
          </w:p>
        </w:tc>
        <w:tc>
          <w:tcPr>
            <w:tcW w:w="278" w:type="dxa"/>
            <w:tcBorders>
              <w:left w:val="single" w:sz="2" w:space="0" w:color="231F20"/>
              <w:right w:val="single" w:sz="2" w:space="0" w:color="231F20"/>
            </w:tcBorders>
          </w:tcPr>
          <w:p w14:paraId="761EB83B" w14:textId="77777777" w:rsidR="00F65BCA" w:rsidRDefault="00F65BCA">
            <w:pPr>
              <w:pStyle w:val="TableParagraph"/>
              <w:rPr>
                <w:rFonts w:ascii="Calibri"/>
                <w:b/>
                <w:sz w:val="6"/>
              </w:rPr>
            </w:pPr>
          </w:p>
          <w:p w14:paraId="138E9A5C" w14:textId="77777777" w:rsidR="00F65BCA" w:rsidRDefault="00F65BCA">
            <w:pPr>
              <w:pStyle w:val="TableParagraph"/>
              <w:spacing w:before="12"/>
              <w:rPr>
                <w:rFonts w:ascii="Calibri"/>
                <w:b/>
                <w:sz w:val="6"/>
              </w:rPr>
            </w:pPr>
          </w:p>
          <w:p w14:paraId="60C476B0" w14:textId="77777777" w:rsidR="00F65BCA" w:rsidRDefault="00216117">
            <w:pPr>
              <w:pStyle w:val="TableParagraph"/>
              <w:spacing w:line="56" w:lineRule="exact"/>
              <w:ind w:right="7"/>
              <w:jc w:val="center"/>
              <w:rPr>
                <w:rFonts w:ascii="Calibri"/>
                <w:b/>
                <w:sz w:val="6"/>
              </w:rPr>
            </w:pPr>
            <w:r>
              <w:rPr>
                <w:rFonts w:ascii="Calibri"/>
                <w:b/>
                <w:color w:val="231F20"/>
                <w:w w:val="244"/>
                <w:sz w:val="6"/>
              </w:rPr>
              <w:t xml:space="preserve"> </w:t>
            </w:r>
            <w:r>
              <w:rPr>
                <w:rFonts w:ascii="Calibri"/>
                <w:b/>
                <w:color w:val="231F20"/>
                <w:w w:val="105"/>
                <w:sz w:val="6"/>
              </w:rPr>
              <w:t>al vo</w:t>
            </w:r>
          </w:p>
        </w:tc>
        <w:tc>
          <w:tcPr>
            <w:tcW w:w="268" w:type="dxa"/>
            <w:tcBorders>
              <w:left w:val="single" w:sz="2" w:space="0" w:color="231F20"/>
              <w:right w:val="single" w:sz="2" w:space="0" w:color="231F20"/>
            </w:tcBorders>
          </w:tcPr>
          <w:p w14:paraId="6C0A31C6" w14:textId="77777777" w:rsidR="00F65BCA" w:rsidRDefault="00F65BCA">
            <w:pPr>
              <w:pStyle w:val="TableParagraph"/>
              <w:rPr>
                <w:rFonts w:ascii="Calibri"/>
                <w:b/>
                <w:sz w:val="6"/>
              </w:rPr>
            </w:pPr>
          </w:p>
          <w:p w14:paraId="5E247216" w14:textId="77777777" w:rsidR="00F65BCA" w:rsidRDefault="00F65BCA">
            <w:pPr>
              <w:pStyle w:val="TableParagraph"/>
              <w:spacing w:before="12"/>
              <w:rPr>
                <w:rFonts w:ascii="Calibri"/>
                <w:b/>
                <w:sz w:val="6"/>
              </w:rPr>
            </w:pPr>
          </w:p>
          <w:p w14:paraId="3739AB41" w14:textId="77777777" w:rsidR="00F65BCA" w:rsidRDefault="00216117">
            <w:pPr>
              <w:pStyle w:val="TableParagraph"/>
              <w:spacing w:line="56" w:lineRule="exact"/>
              <w:ind w:right="13"/>
              <w:jc w:val="center"/>
              <w:rPr>
                <w:rFonts w:ascii="Calibri"/>
                <w:b/>
                <w:sz w:val="6"/>
              </w:rPr>
            </w:pPr>
            <w:r>
              <w:rPr>
                <w:rFonts w:ascii="Calibri"/>
                <w:b/>
                <w:color w:val="231F20"/>
                <w:spacing w:val="-1"/>
                <w:w w:val="244"/>
                <w:sz w:val="6"/>
              </w:rPr>
              <w:t xml:space="preserve"> </w:t>
            </w:r>
            <w:r>
              <w:rPr>
                <w:rFonts w:ascii="Calibri"/>
                <w:b/>
                <w:color w:val="231F20"/>
                <w:spacing w:val="-1"/>
                <w:w w:val="311"/>
                <w:sz w:val="6"/>
              </w:rPr>
              <w:t xml:space="preserve"> </w:t>
            </w:r>
            <w:r>
              <w:rPr>
                <w:rFonts w:ascii="Calibri"/>
                <w:b/>
                <w:color w:val="231F20"/>
                <w:w w:val="271"/>
                <w:sz w:val="6"/>
              </w:rPr>
              <w:t xml:space="preserve"> </w:t>
            </w:r>
          </w:p>
        </w:tc>
        <w:tc>
          <w:tcPr>
            <w:tcW w:w="412" w:type="dxa"/>
            <w:tcBorders>
              <w:left w:val="single" w:sz="2" w:space="0" w:color="231F20"/>
              <w:right w:val="single" w:sz="2" w:space="0" w:color="231F20"/>
            </w:tcBorders>
          </w:tcPr>
          <w:p w14:paraId="3A6BC0B8" w14:textId="77777777" w:rsidR="00F65BCA" w:rsidRDefault="00F65BCA">
            <w:pPr>
              <w:pStyle w:val="TableParagraph"/>
              <w:spacing w:before="8"/>
              <w:rPr>
                <w:rFonts w:ascii="Calibri"/>
                <w:b/>
                <w:sz w:val="6"/>
              </w:rPr>
            </w:pPr>
          </w:p>
          <w:p w14:paraId="52CD2018" w14:textId="77777777" w:rsidR="00F65BCA" w:rsidRDefault="00216117">
            <w:pPr>
              <w:pStyle w:val="TableParagraph"/>
              <w:spacing w:line="70" w:lineRule="atLeast"/>
              <w:ind w:left="5" w:right="62" w:firstLine="14"/>
              <w:rPr>
                <w:rFonts w:ascii="Calibri" w:hAnsi="Calibri"/>
                <w:b/>
                <w:sz w:val="6"/>
              </w:rPr>
            </w:pPr>
            <w:r>
              <w:rPr>
                <w:rFonts w:ascii="Calibri" w:hAnsi="Calibri"/>
                <w:b/>
                <w:color w:val="231F20"/>
                <w:w w:val="244"/>
                <w:sz w:val="6"/>
              </w:rPr>
              <w:t xml:space="preserve"> </w:t>
            </w:r>
            <w:r>
              <w:rPr>
                <w:rFonts w:ascii="Calibri" w:hAnsi="Calibri"/>
                <w:b/>
                <w:color w:val="231F20"/>
                <w:w w:val="105"/>
                <w:sz w:val="6"/>
              </w:rPr>
              <w:t>č voz dla vče ně</w:t>
            </w:r>
            <w:r>
              <w:rPr>
                <w:rFonts w:ascii="Times New Roman" w:hAnsi="Times New Roman"/>
                <w:color w:val="231F20"/>
                <w:sz w:val="6"/>
              </w:rPr>
              <w:t xml:space="preserve"> </w:t>
            </w:r>
            <w:r>
              <w:rPr>
                <w:rFonts w:ascii="Calibri" w:hAnsi="Calibri"/>
                <w:b/>
                <w:color w:val="231F20"/>
                <w:w w:val="289"/>
                <w:sz w:val="6"/>
              </w:rPr>
              <w:t xml:space="preserve"> </w:t>
            </w:r>
            <w:r>
              <w:rPr>
                <w:rFonts w:ascii="Calibri" w:hAnsi="Calibri"/>
                <w:b/>
                <w:color w:val="231F20"/>
                <w:w w:val="244"/>
                <w:sz w:val="6"/>
              </w:rPr>
              <w:t xml:space="preserve"> </w:t>
            </w:r>
            <w:r>
              <w:rPr>
                <w:rFonts w:ascii="Calibri" w:hAnsi="Calibri"/>
                <w:b/>
                <w:color w:val="231F20"/>
                <w:w w:val="290"/>
                <w:sz w:val="6"/>
              </w:rPr>
              <w:t xml:space="preserve"> </w:t>
            </w:r>
          </w:p>
        </w:tc>
        <w:tc>
          <w:tcPr>
            <w:tcW w:w="268" w:type="dxa"/>
            <w:tcBorders>
              <w:left w:val="single" w:sz="2" w:space="0" w:color="231F20"/>
              <w:right w:val="single" w:sz="2" w:space="0" w:color="231F20"/>
            </w:tcBorders>
          </w:tcPr>
          <w:p w14:paraId="22551CFA" w14:textId="77777777" w:rsidR="00F65BCA" w:rsidRDefault="00F65BCA">
            <w:pPr>
              <w:pStyle w:val="TableParagraph"/>
              <w:rPr>
                <w:rFonts w:ascii="Calibri"/>
                <w:b/>
                <w:sz w:val="6"/>
              </w:rPr>
            </w:pPr>
          </w:p>
          <w:p w14:paraId="364557A5" w14:textId="77777777" w:rsidR="00F65BCA" w:rsidRDefault="00F65BCA">
            <w:pPr>
              <w:pStyle w:val="TableParagraph"/>
              <w:spacing w:before="12"/>
              <w:rPr>
                <w:rFonts w:ascii="Calibri"/>
                <w:b/>
                <w:sz w:val="6"/>
              </w:rPr>
            </w:pPr>
          </w:p>
          <w:p w14:paraId="1D4030F5" w14:textId="77777777" w:rsidR="00F65BCA" w:rsidRDefault="00216117">
            <w:pPr>
              <w:pStyle w:val="TableParagraph"/>
              <w:spacing w:line="56" w:lineRule="exact"/>
              <w:ind w:right="9"/>
              <w:jc w:val="center"/>
              <w:rPr>
                <w:rFonts w:ascii="Calibri"/>
                <w:b/>
                <w:sz w:val="6"/>
              </w:rPr>
            </w:pPr>
            <w:r>
              <w:rPr>
                <w:rFonts w:ascii="Calibri"/>
                <w:b/>
                <w:color w:val="231F20"/>
                <w:w w:val="280"/>
                <w:sz w:val="6"/>
              </w:rPr>
              <w:t xml:space="preserve">   </w:t>
            </w:r>
          </w:p>
        </w:tc>
        <w:tc>
          <w:tcPr>
            <w:tcW w:w="311" w:type="dxa"/>
            <w:tcBorders>
              <w:left w:val="single" w:sz="2" w:space="0" w:color="231F20"/>
              <w:right w:val="single" w:sz="2" w:space="0" w:color="231F20"/>
            </w:tcBorders>
          </w:tcPr>
          <w:p w14:paraId="42A2DC94" w14:textId="77777777" w:rsidR="00F65BCA" w:rsidRDefault="00F65BCA">
            <w:pPr>
              <w:pStyle w:val="TableParagraph"/>
              <w:rPr>
                <w:rFonts w:ascii="Calibri"/>
                <w:b/>
                <w:sz w:val="6"/>
              </w:rPr>
            </w:pPr>
          </w:p>
          <w:p w14:paraId="7CF4EEBB" w14:textId="77777777" w:rsidR="00F65BCA" w:rsidRDefault="00F65BCA">
            <w:pPr>
              <w:pStyle w:val="TableParagraph"/>
              <w:spacing w:before="12"/>
              <w:rPr>
                <w:rFonts w:ascii="Calibri"/>
                <w:b/>
                <w:sz w:val="6"/>
              </w:rPr>
            </w:pPr>
          </w:p>
          <w:p w14:paraId="5B777B63" w14:textId="77777777" w:rsidR="00F65BCA" w:rsidRDefault="00216117">
            <w:pPr>
              <w:pStyle w:val="TableParagraph"/>
              <w:spacing w:line="56" w:lineRule="exact"/>
              <w:ind w:right="92"/>
              <w:jc w:val="right"/>
              <w:rPr>
                <w:rFonts w:ascii="Calibri"/>
                <w:b/>
                <w:sz w:val="6"/>
              </w:rPr>
            </w:pPr>
            <w:r>
              <w:rPr>
                <w:rFonts w:ascii="Calibri"/>
                <w:b/>
                <w:color w:val="231F20"/>
                <w:w w:val="217"/>
                <w:sz w:val="6"/>
              </w:rPr>
              <w:t xml:space="preserve"> </w:t>
            </w:r>
            <w:r>
              <w:rPr>
                <w:rFonts w:ascii="Calibri"/>
                <w:b/>
                <w:color w:val="231F20"/>
                <w:w w:val="160"/>
                <w:sz w:val="6"/>
              </w:rPr>
              <w:t xml:space="preserve">K  </w:t>
            </w:r>
          </w:p>
        </w:tc>
        <w:tc>
          <w:tcPr>
            <w:tcW w:w="450" w:type="dxa"/>
            <w:tcBorders>
              <w:left w:val="single" w:sz="2" w:space="0" w:color="231F20"/>
              <w:right w:val="single" w:sz="2" w:space="0" w:color="231F20"/>
            </w:tcBorders>
          </w:tcPr>
          <w:p w14:paraId="11C55DC2" w14:textId="77777777" w:rsidR="00F65BCA" w:rsidRDefault="00F65BCA">
            <w:pPr>
              <w:pStyle w:val="TableParagraph"/>
              <w:rPr>
                <w:rFonts w:ascii="Calibri"/>
                <w:b/>
                <w:sz w:val="6"/>
              </w:rPr>
            </w:pPr>
          </w:p>
          <w:p w14:paraId="5BAA9851" w14:textId="77777777" w:rsidR="00F65BCA" w:rsidRDefault="00F65BCA">
            <w:pPr>
              <w:pStyle w:val="TableParagraph"/>
              <w:spacing w:before="12"/>
              <w:rPr>
                <w:rFonts w:ascii="Calibri"/>
                <w:b/>
                <w:sz w:val="6"/>
              </w:rPr>
            </w:pPr>
          </w:p>
          <w:p w14:paraId="3AA24826" w14:textId="77777777" w:rsidR="00F65BCA" w:rsidRDefault="00216117">
            <w:pPr>
              <w:pStyle w:val="TableParagraph"/>
              <w:spacing w:line="56" w:lineRule="exact"/>
              <w:ind w:right="8"/>
              <w:jc w:val="right"/>
              <w:rPr>
                <w:rFonts w:ascii="Calibri"/>
                <w:b/>
                <w:sz w:val="6"/>
              </w:rPr>
            </w:pPr>
            <w:r>
              <w:rPr>
                <w:rFonts w:ascii="Calibri"/>
                <w:b/>
                <w:color w:val="231F20"/>
                <w:w w:val="153"/>
                <w:sz w:val="6"/>
              </w:rPr>
              <w:t xml:space="preserve">  </w:t>
            </w:r>
            <w:r>
              <w:rPr>
                <w:rFonts w:ascii="Calibri"/>
                <w:b/>
                <w:color w:val="231F20"/>
                <w:w w:val="374"/>
                <w:sz w:val="6"/>
              </w:rPr>
              <w:t xml:space="preserve"> </w:t>
            </w:r>
            <w:r>
              <w:rPr>
                <w:rFonts w:ascii="Calibri"/>
                <w:b/>
                <w:color w:val="231F20"/>
                <w:w w:val="112"/>
                <w:sz w:val="6"/>
              </w:rPr>
              <w:t xml:space="preserve"> </w:t>
            </w:r>
            <w:r>
              <w:rPr>
                <w:rFonts w:ascii="Calibri"/>
                <w:b/>
                <w:color w:val="231F20"/>
                <w:w w:val="159"/>
                <w:sz w:val="6"/>
              </w:rPr>
              <w:t xml:space="preserve"> </w:t>
            </w:r>
            <w:r>
              <w:rPr>
                <w:rFonts w:ascii="Times New Roman"/>
                <w:color w:val="231F20"/>
                <w:sz w:val="6"/>
              </w:rPr>
              <w:t xml:space="preserve"> </w:t>
            </w:r>
            <w:r>
              <w:rPr>
                <w:rFonts w:ascii="Calibri"/>
                <w:b/>
                <w:color w:val="231F20"/>
                <w:w w:val="217"/>
                <w:sz w:val="6"/>
              </w:rPr>
              <w:t xml:space="preserve"> </w:t>
            </w:r>
            <w:r>
              <w:rPr>
                <w:rFonts w:ascii="Calibri"/>
                <w:b/>
                <w:color w:val="231F20"/>
                <w:sz w:val="6"/>
              </w:rPr>
              <w:t>kla</w:t>
            </w:r>
          </w:p>
        </w:tc>
        <w:tc>
          <w:tcPr>
            <w:tcW w:w="450" w:type="dxa"/>
            <w:tcBorders>
              <w:left w:val="single" w:sz="2" w:space="0" w:color="231F20"/>
              <w:right w:val="single" w:sz="2" w:space="0" w:color="231F20"/>
            </w:tcBorders>
          </w:tcPr>
          <w:p w14:paraId="7EB6A2C8" w14:textId="77777777" w:rsidR="00F65BCA" w:rsidRDefault="00F65BCA">
            <w:pPr>
              <w:pStyle w:val="TableParagraph"/>
              <w:rPr>
                <w:rFonts w:ascii="Calibri"/>
                <w:b/>
                <w:sz w:val="6"/>
              </w:rPr>
            </w:pPr>
          </w:p>
          <w:p w14:paraId="3F8FCFB6" w14:textId="77777777" w:rsidR="00F65BCA" w:rsidRDefault="00F65BCA">
            <w:pPr>
              <w:pStyle w:val="TableParagraph"/>
              <w:spacing w:before="12"/>
              <w:rPr>
                <w:rFonts w:ascii="Calibri"/>
                <w:b/>
                <w:sz w:val="6"/>
              </w:rPr>
            </w:pPr>
          </w:p>
          <w:p w14:paraId="0B20591B" w14:textId="77777777" w:rsidR="00F65BCA" w:rsidRDefault="00216117">
            <w:pPr>
              <w:pStyle w:val="TableParagraph"/>
              <w:spacing w:line="56" w:lineRule="exact"/>
              <w:ind w:left="16"/>
              <w:jc w:val="center"/>
              <w:rPr>
                <w:rFonts w:ascii="Calibri"/>
                <w:b/>
                <w:sz w:val="6"/>
              </w:rPr>
            </w:pPr>
            <w:r>
              <w:rPr>
                <w:rFonts w:ascii="Calibri"/>
                <w:b/>
                <w:color w:val="231F20"/>
                <w:w w:val="248"/>
                <w:sz w:val="6"/>
              </w:rPr>
              <w:t xml:space="preserve">  </w:t>
            </w:r>
            <w:r>
              <w:rPr>
                <w:rFonts w:ascii="Calibri"/>
                <w:b/>
                <w:color w:val="231F20"/>
                <w:w w:val="122"/>
                <w:sz w:val="6"/>
              </w:rPr>
              <w:t xml:space="preserve"> </w:t>
            </w:r>
            <w:r>
              <w:rPr>
                <w:rFonts w:ascii="Calibri"/>
                <w:b/>
                <w:color w:val="231F20"/>
                <w:w w:val="217"/>
                <w:sz w:val="6"/>
              </w:rPr>
              <w:t xml:space="preserve"> </w:t>
            </w:r>
            <w:r>
              <w:rPr>
                <w:rFonts w:ascii="Calibri"/>
                <w:b/>
                <w:color w:val="231F20"/>
                <w:w w:val="226"/>
                <w:sz w:val="6"/>
              </w:rPr>
              <w:t xml:space="preserve">  </w:t>
            </w:r>
            <w:r>
              <w:rPr>
                <w:rFonts w:ascii="Calibri"/>
                <w:b/>
                <w:color w:val="231F20"/>
                <w:w w:val="302"/>
                <w:sz w:val="6"/>
              </w:rPr>
              <w:t xml:space="preserve"> </w:t>
            </w:r>
            <w:r>
              <w:rPr>
                <w:rFonts w:ascii="Calibri"/>
                <w:b/>
                <w:color w:val="231F20"/>
                <w:spacing w:val="-1"/>
                <w:w w:val="243"/>
                <w:sz w:val="6"/>
              </w:rPr>
              <w:t xml:space="preserve"> </w:t>
            </w:r>
            <w:r>
              <w:rPr>
                <w:rFonts w:ascii="Calibri"/>
                <w:b/>
                <w:color w:val="231F20"/>
                <w:w w:val="224"/>
                <w:sz w:val="6"/>
              </w:rPr>
              <w:t xml:space="preserve"> </w:t>
            </w:r>
          </w:p>
        </w:tc>
        <w:tc>
          <w:tcPr>
            <w:tcW w:w="296" w:type="dxa"/>
            <w:tcBorders>
              <w:left w:val="single" w:sz="2" w:space="0" w:color="231F20"/>
              <w:right w:val="single" w:sz="2" w:space="0" w:color="231F20"/>
            </w:tcBorders>
          </w:tcPr>
          <w:p w14:paraId="73070811" w14:textId="77777777" w:rsidR="00F65BCA" w:rsidRDefault="00F65BCA">
            <w:pPr>
              <w:pStyle w:val="TableParagraph"/>
              <w:rPr>
                <w:rFonts w:ascii="Calibri"/>
                <w:b/>
                <w:sz w:val="6"/>
              </w:rPr>
            </w:pPr>
          </w:p>
          <w:p w14:paraId="6FCD7B45" w14:textId="77777777" w:rsidR="00F65BCA" w:rsidRDefault="00F65BCA">
            <w:pPr>
              <w:pStyle w:val="TableParagraph"/>
              <w:spacing w:before="12"/>
              <w:rPr>
                <w:rFonts w:ascii="Calibri"/>
                <w:b/>
                <w:sz w:val="6"/>
              </w:rPr>
            </w:pPr>
          </w:p>
          <w:p w14:paraId="38FEF316" w14:textId="77777777" w:rsidR="00F65BCA" w:rsidRDefault="00216117">
            <w:pPr>
              <w:pStyle w:val="TableParagraph"/>
              <w:spacing w:line="56" w:lineRule="exact"/>
              <w:ind w:left="8"/>
              <w:jc w:val="center"/>
              <w:rPr>
                <w:rFonts w:ascii="Calibri"/>
                <w:b/>
                <w:sz w:val="6"/>
              </w:rPr>
            </w:pPr>
            <w:r>
              <w:rPr>
                <w:rFonts w:ascii="Calibri"/>
                <w:b/>
                <w:color w:val="231F20"/>
                <w:w w:val="300"/>
                <w:sz w:val="6"/>
              </w:rPr>
              <w:t xml:space="preserve"> </w:t>
            </w:r>
            <w:r>
              <w:rPr>
                <w:rFonts w:ascii="Calibri"/>
                <w:b/>
                <w:color w:val="231F20"/>
                <w:w w:val="252"/>
                <w:sz w:val="6"/>
              </w:rPr>
              <w:t xml:space="preserve">   </w:t>
            </w:r>
          </w:p>
        </w:tc>
        <w:tc>
          <w:tcPr>
            <w:tcW w:w="392" w:type="dxa"/>
            <w:tcBorders>
              <w:left w:val="single" w:sz="2" w:space="0" w:color="231F20"/>
              <w:right w:val="single" w:sz="2" w:space="0" w:color="231F20"/>
            </w:tcBorders>
          </w:tcPr>
          <w:p w14:paraId="27C077EC" w14:textId="77777777" w:rsidR="00F65BCA" w:rsidRDefault="00F65BCA">
            <w:pPr>
              <w:pStyle w:val="TableParagraph"/>
              <w:rPr>
                <w:rFonts w:ascii="Calibri"/>
                <w:b/>
                <w:sz w:val="6"/>
              </w:rPr>
            </w:pPr>
          </w:p>
          <w:p w14:paraId="1DC565EA" w14:textId="77777777" w:rsidR="00F65BCA" w:rsidRDefault="00F65BCA">
            <w:pPr>
              <w:pStyle w:val="TableParagraph"/>
              <w:spacing w:before="12"/>
              <w:rPr>
                <w:rFonts w:ascii="Calibri"/>
                <w:b/>
                <w:sz w:val="6"/>
              </w:rPr>
            </w:pPr>
          </w:p>
          <w:p w14:paraId="38E378EE" w14:textId="77777777" w:rsidR="00F65BCA" w:rsidRDefault="00216117">
            <w:pPr>
              <w:pStyle w:val="TableParagraph"/>
              <w:spacing w:line="56" w:lineRule="exact"/>
              <w:jc w:val="center"/>
              <w:rPr>
                <w:rFonts w:ascii="Calibri"/>
                <w:b/>
                <w:sz w:val="6"/>
              </w:rPr>
            </w:pPr>
            <w:r>
              <w:rPr>
                <w:rFonts w:ascii="Calibri"/>
                <w:b/>
                <w:color w:val="231F20"/>
                <w:w w:val="256"/>
                <w:sz w:val="6"/>
              </w:rPr>
              <w:t xml:space="preserve">  </w:t>
            </w:r>
            <w:r>
              <w:rPr>
                <w:rFonts w:ascii="Calibri"/>
                <w:b/>
                <w:color w:val="231F20"/>
                <w:spacing w:val="-1"/>
                <w:w w:val="256"/>
                <w:sz w:val="6"/>
              </w:rPr>
              <w:t xml:space="preserve"> </w:t>
            </w:r>
            <w:r>
              <w:rPr>
                <w:rFonts w:ascii="Calibri"/>
                <w:b/>
                <w:color w:val="231F20"/>
                <w:w w:val="266"/>
                <w:sz w:val="6"/>
              </w:rPr>
              <w:t xml:space="preserve">   </w:t>
            </w:r>
            <w:r>
              <w:rPr>
                <w:rFonts w:ascii="Calibri"/>
                <w:b/>
                <w:color w:val="231F20"/>
                <w:spacing w:val="-1"/>
                <w:w w:val="266"/>
                <w:sz w:val="6"/>
              </w:rPr>
              <w:t xml:space="preserve"> </w:t>
            </w:r>
            <w:r>
              <w:rPr>
                <w:rFonts w:ascii="Calibri"/>
                <w:b/>
                <w:color w:val="231F20"/>
                <w:w w:val="236"/>
                <w:sz w:val="6"/>
              </w:rPr>
              <w:t xml:space="preserve">  </w:t>
            </w:r>
          </w:p>
        </w:tc>
        <w:tc>
          <w:tcPr>
            <w:tcW w:w="428" w:type="dxa"/>
            <w:tcBorders>
              <w:left w:val="single" w:sz="2" w:space="0" w:color="231F20"/>
            </w:tcBorders>
          </w:tcPr>
          <w:p w14:paraId="09A321C6" w14:textId="77777777" w:rsidR="00F65BCA" w:rsidRDefault="00216117">
            <w:pPr>
              <w:pStyle w:val="TableParagraph"/>
              <w:spacing w:before="5"/>
              <w:ind w:left="100"/>
              <w:rPr>
                <w:rFonts w:ascii="Calibri" w:hAnsi="Calibri"/>
                <w:b/>
                <w:sz w:val="6"/>
              </w:rPr>
            </w:pPr>
            <w:r>
              <w:rPr>
                <w:rFonts w:ascii="Calibri" w:hAnsi="Calibri"/>
                <w:b/>
                <w:color w:val="231F20"/>
                <w:w w:val="110"/>
                <w:sz w:val="6"/>
              </w:rPr>
              <w:t>é</w:t>
            </w:r>
            <w:r>
              <w:rPr>
                <w:rFonts w:ascii="Calibri" w:hAnsi="Calibri"/>
                <w:b/>
                <w:color w:val="231F20"/>
                <w:w w:val="122"/>
                <w:sz w:val="6"/>
              </w:rPr>
              <w:t xml:space="preserve"> </w:t>
            </w:r>
            <w:r>
              <w:rPr>
                <w:rFonts w:ascii="Calibri" w:hAnsi="Calibri"/>
                <w:b/>
                <w:color w:val="231F20"/>
                <w:w w:val="302"/>
                <w:sz w:val="6"/>
              </w:rPr>
              <w:t xml:space="preserve">  </w:t>
            </w:r>
            <w:r>
              <w:rPr>
                <w:rFonts w:ascii="Calibri" w:hAnsi="Calibri"/>
                <w:b/>
                <w:color w:val="231F20"/>
                <w:w w:val="311"/>
                <w:sz w:val="6"/>
              </w:rPr>
              <w:t xml:space="preserve"> </w:t>
            </w:r>
            <w:r>
              <w:rPr>
                <w:rFonts w:ascii="Calibri" w:hAnsi="Calibri"/>
                <w:b/>
                <w:color w:val="231F20"/>
                <w:w w:val="217"/>
                <w:sz w:val="6"/>
              </w:rPr>
              <w:t xml:space="preserve"> </w:t>
            </w:r>
            <w:r>
              <w:rPr>
                <w:rFonts w:ascii="Calibri" w:hAnsi="Calibri"/>
                <w:b/>
                <w:color w:val="231F20"/>
                <w:w w:val="227"/>
                <w:sz w:val="6"/>
              </w:rPr>
              <w:t xml:space="preserve"> </w:t>
            </w:r>
          </w:p>
          <w:p w14:paraId="52535E34" w14:textId="77777777" w:rsidR="00F65BCA" w:rsidRDefault="00216117">
            <w:pPr>
              <w:pStyle w:val="TableParagraph"/>
              <w:spacing w:before="3"/>
              <w:ind w:left="37"/>
              <w:rPr>
                <w:rFonts w:ascii="Calibri"/>
                <w:b/>
                <w:sz w:val="6"/>
              </w:rPr>
            </w:pPr>
            <w:r>
              <w:rPr>
                <w:rFonts w:ascii="Calibri"/>
                <w:b/>
                <w:color w:val="231F20"/>
                <w:spacing w:val="-1"/>
                <w:w w:val="244"/>
                <w:sz w:val="6"/>
              </w:rPr>
              <w:t xml:space="preserve"> </w:t>
            </w:r>
            <w:r>
              <w:rPr>
                <w:rFonts w:ascii="Calibri"/>
                <w:b/>
                <w:color w:val="231F20"/>
                <w:w w:val="260"/>
                <w:sz w:val="6"/>
              </w:rPr>
              <w:t xml:space="preserve">  </w:t>
            </w:r>
            <w:r>
              <w:rPr>
                <w:rFonts w:ascii="Calibri"/>
                <w:b/>
                <w:color w:val="231F20"/>
                <w:spacing w:val="-1"/>
                <w:w w:val="260"/>
                <w:sz w:val="6"/>
              </w:rPr>
              <w:t xml:space="preserve"> </w:t>
            </w:r>
            <w:r>
              <w:rPr>
                <w:rFonts w:ascii="Calibri"/>
                <w:b/>
                <w:color w:val="231F20"/>
                <w:spacing w:val="-1"/>
                <w:w w:val="311"/>
                <w:sz w:val="6"/>
              </w:rPr>
              <w:t xml:space="preserve"> </w:t>
            </w:r>
            <w:r>
              <w:rPr>
                <w:rFonts w:ascii="Calibri"/>
                <w:b/>
                <w:color w:val="231F20"/>
                <w:spacing w:val="-1"/>
                <w:w w:val="271"/>
                <w:sz w:val="6"/>
              </w:rPr>
              <w:t xml:space="preserve"> </w:t>
            </w:r>
            <w:r>
              <w:rPr>
                <w:rFonts w:ascii="Calibri"/>
                <w:b/>
                <w:color w:val="231F20"/>
                <w:w w:val="302"/>
                <w:sz w:val="6"/>
              </w:rPr>
              <w:t xml:space="preserve"> </w:t>
            </w:r>
            <w:r>
              <w:rPr>
                <w:rFonts w:ascii="Calibri"/>
                <w:b/>
                <w:color w:val="231F20"/>
                <w:w w:val="122"/>
                <w:sz w:val="6"/>
              </w:rPr>
              <w:t xml:space="preserve"> </w:t>
            </w:r>
            <w:r>
              <w:rPr>
                <w:rFonts w:ascii="Calibri"/>
                <w:b/>
                <w:color w:val="231F20"/>
                <w:w w:val="300"/>
                <w:sz w:val="6"/>
              </w:rPr>
              <w:t xml:space="preserve">  </w:t>
            </w:r>
          </w:p>
          <w:p w14:paraId="6351D059" w14:textId="77777777" w:rsidR="00F65BCA" w:rsidRDefault="00216117">
            <w:pPr>
              <w:pStyle w:val="TableParagraph"/>
              <w:spacing w:before="4" w:line="56" w:lineRule="exact"/>
              <w:ind w:left="128"/>
              <w:rPr>
                <w:rFonts w:ascii="Calibri"/>
                <w:b/>
                <w:sz w:val="6"/>
              </w:rPr>
            </w:pPr>
            <w:r>
              <w:rPr>
                <w:rFonts w:ascii="Calibri"/>
                <w:b/>
                <w:color w:val="231F20"/>
                <w:w w:val="217"/>
                <w:sz w:val="6"/>
              </w:rPr>
              <w:t xml:space="preserve"> </w:t>
            </w:r>
            <w:r>
              <w:rPr>
                <w:rFonts w:ascii="Calibri"/>
                <w:b/>
                <w:color w:val="231F20"/>
                <w:w w:val="265"/>
                <w:sz w:val="6"/>
              </w:rPr>
              <w:t xml:space="preserve">  </w:t>
            </w:r>
            <w:r>
              <w:rPr>
                <w:rFonts w:ascii="Calibri"/>
                <w:b/>
                <w:color w:val="231F20"/>
                <w:spacing w:val="-1"/>
                <w:w w:val="265"/>
                <w:sz w:val="6"/>
              </w:rPr>
              <w:t xml:space="preserve"> </w:t>
            </w:r>
            <w:r>
              <w:rPr>
                <w:rFonts w:ascii="Calibri"/>
                <w:b/>
                <w:color w:val="231F20"/>
                <w:w w:val="188"/>
                <w:sz w:val="6"/>
              </w:rPr>
              <w:t xml:space="preserve">  </w:t>
            </w:r>
          </w:p>
        </w:tc>
        <w:tc>
          <w:tcPr>
            <w:tcW w:w="414" w:type="dxa"/>
            <w:tcBorders>
              <w:right w:val="single" w:sz="2" w:space="0" w:color="231F20"/>
            </w:tcBorders>
          </w:tcPr>
          <w:p w14:paraId="54B2CFE8" w14:textId="77777777" w:rsidR="00F65BCA" w:rsidRDefault="00216117">
            <w:pPr>
              <w:pStyle w:val="TableParagraph"/>
              <w:spacing w:before="43"/>
              <w:ind w:left="6"/>
              <w:jc w:val="center"/>
              <w:rPr>
                <w:rFonts w:ascii="Calibri" w:hAnsi="Calibri"/>
                <w:b/>
                <w:sz w:val="6"/>
              </w:rPr>
            </w:pPr>
            <w:r>
              <w:rPr>
                <w:rFonts w:ascii="Calibri" w:hAnsi="Calibri"/>
                <w:b/>
                <w:color w:val="231F20"/>
                <w:w w:val="244"/>
                <w:sz w:val="6"/>
              </w:rPr>
              <w:t xml:space="preserve"> </w:t>
            </w:r>
            <w:r>
              <w:rPr>
                <w:rFonts w:ascii="Calibri" w:hAnsi="Calibri"/>
                <w:b/>
                <w:color w:val="231F20"/>
                <w:w w:val="105"/>
                <w:sz w:val="6"/>
              </w:rPr>
              <w:t>o  né</w:t>
            </w:r>
          </w:p>
          <w:p w14:paraId="6ADECE7F" w14:textId="77777777" w:rsidR="00F65BCA" w:rsidRDefault="00216117">
            <w:pPr>
              <w:pStyle w:val="TableParagraph"/>
              <w:spacing w:before="4"/>
              <w:ind w:left="4"/>
              <w:jc w:val="center"/>
              <w:rPr>
                <w:rFonts w:ascii="Calibri"/>
                <w:b/>
                <w:sz w:val="6"/>
              </w:rPr>
            </w:pPr>
            <w:r>
              <w:rPr>
                <w:rFonts w:ascii="Calibri"/>
                <w:b/>
                <w:color w:val="231F20"/>
                <w:spacing w:val="-1"/>
                <w:w w:val="244"/>
                <w:sz w:val="6"/>
              </w:rPr>
              <w:t xml:space="preserve"> </w:t>
            </w:r>
            <w:r>
              <w:rPr>
                <w:rFonts w:ascii="Calibri"/>
                <w:b/>
                <w:color w:val="231F20"/>
                <w:spacing w:val="-1"/>
                <w:w w:val="311"/>
                <w:sz w:val="6"/>
              </w:rPr>
              <w:t xml:space="preserve"> </w:t>
            </w:r>
            <w:r>
              <w:rPr>
                <w:rFonts w:ascii="Calibri"/>
                <w:b/>
                <w:color w:val="231F20"/>
                <w:w w:val="271"/>
                <w:sz w:val="6"/>
              </w:rPr>
              <w:t xml:space="preserve"> </w:t>
            </w:r>
          </w:p>
        </w:tc>
        <w:tc>
          <w:tcPr>
            <w:tcW w:w="412" w:type="dxa"/>
            <w:tcBorders>
              <w:left w:val="single" w:sz="2" w:space="0" w:color="231F20"/>
              <w:right w:val="single" w:sz="2" w:space="0" w:color="231F20"/>
            </w:tcBorders>
          </w:tcPr>
          <w:p w14:paraId="00A4C877" w14:textId="77777777" w:rsidR="00F65BCA" w:rsidRDefault="00216117">
            <w:pPr>
              <w:pStyle w:val="TableParagraph"/>
              <w:spacing w:before="43"/>
              <w:ind w:left="8"/>
              <w:jc w:val="center"/>
              <w:rPr>
                <w:rFonts w:ascii="Calibri" w:hAnsi="Calibri"/>
                <w:b/>
                <w:sz w:val="6"/>
              </w:rPr>
            </w:pPr>
            <w:r>
              <w:rPr>
                <w:rFonts w:ascii="Calibri" w:hAnsi="Calibri"/>
                <w:b/>
                <w:color w:val="231F20"/>
                <w:w w:val="244"/>
                <w:sz w:val="6"/>
              </w:rPr>
              <w:t xml:space="preserve"> </w:t>
            </w:r>
            <w:r>
              <w:rPr>
                <w:rFonts w:ascii="Calibri" w:hAnsi="Calibri"/>
                <w:b/>
                <w:color w:val="231F20"/>
                <w:w w:val="105"/>
                <w:sz w:val="6"/>
              </w:rPr>
              <w:t>o  né</w:t>
            </w:r>
          </w:p>
          <w:p w14:paraId="4CAB271D" w14:textId="77777777" w:rsidR="00F65BCA" w:rsidRDefault="00216117">
            <w:pPr>
              <w:pStyle w:val="TableParagraph"/>
              <w:spacing w:before="4"/>
              <w:ind w:left="8"/>
              <w:jc w:val="center"/>
              <w:rPr>
                <w:rFonts w:ascii="Calibri"/>
                <w:b/>
                <w:sz w:val="6"/>
              </w:rPr>
            </w:pPr>
            <w:r>
              <w:rPr>
                <w:rFonts w:ascii="Calibri"/>
                <w:b/>
                <w:color w:val="231F20"/>
                <w:w w:val="280"/>
                <w:sz w:val="6"/>
              </w:rPr>
              <w:t xml:space="preserve">   </w:t>
            </w:r>
          </w:p>
        </w:tc>
        <w:tc>
          <w:tcPr>
            <w:tcW w:w="412" w:type="dxa"/>
            <w:tcBorders>
              <w:left w:val="single" w:sz="2" w:space="0" w:color="231F20"/>
              <w:right w:val="single" w:sz="2" w:space="0" w:color="231F20"/>
            </w:tcBorders>
          </w:tcPr>
          <w:p w14:paraId="5D0871FB" w14:textId="77777777" w:rsidR="00F65BCA" w:rsidRDefault="00216117">
            <w:pPr>
              <w:pStyle w:val="TableParagraph"/>
              <w:spacing w:before="43"/>
              <w:ind w:left="103"/>
              <w:rPr>
                <w:rFonts w:ascii="Calibri" w:hAnsi="Calibri"/>
                <w:b/>
                <w:sz w:val="6"/>
              </w:rPr>
            </w:pPr>
            <w:r>
              <w:rPr>
                <w:rFonts w:ascii="Calibri" w:hAnsi="Calibri"/>
                <w:b/>
                <w:color w:val="231F20"/>
                <w:w w:val="244"/>
                <w:sz w:val="6"/>
              </w:rPr>
              <w:t xml:space="preserve"> </w:t>
            </w:r>
            <w:r>
              <w:rPr>
                <w:rFonts w:ascii="Calibri" w:hAnsi="Calibri"/>
                <w:b/>
                <w:color w:val="231F20"/>
                <w:w w:val="105"/>
                <w:sz w:val="6"/>
              </w:rPr>
              <w:t>o né</w:t>
            </w:r>
          </w:p>
          <w:p w14:paraId="28098573" w14:textId="77777777" w:rsidR="00F65BCA" w:rsidRDefault="00216117">
            <w:pPr>
              <w:pStyle w:val="TableParagraph"/>
              <w:spacing w:before="4"/>
              <w:ind w:left="146"/>
              <w:rPr>
                <w:rFonts w:ascii="Calibri"/>
                <w:b/>
                <w:sz w:val="6"/>
              </w:rPr>
            </w:pPr>
            <w:r>
              <w:rPr>
                <w:rFonts w:ascii="Calibri"/>
                <w:b/>
                <w:color w:val="231F20"/>
                <w:w w:val="217"/>
                <w:sz w:val="6"/>
              </w:rPr>
              <w:t xml:space="preserve"> </w:t>
            </w:r>
            <w:r>
              <w:rPr>
                <w:rFonts w:ascii="Calibri"/>
                <w:b/>
                <w:color w:val="231F20"/>
                <w:w w:val="165"/>
                <w:sz w:val="6"/>
              </w:rPr>
              <w:t xml:space="preserve">K  </w:t>
            </w:r>
          </w:p>
        </w:tc>
        <w:tc>
          <w:tcPr>
            <w:tcW w:w="412" w:type="dxa"/>
            <w:tcBorders>
              <w:left w:val="single" w:sz="2" w:space="0" w:color="231F20"/>
              <w:right w:val="single" w:sz="2" w:space="0" w:color="231F20"/>
            </w:tcBorders>
          </w:tcPr>
          <w:p w14:paraId="10514966" w14:textId="77777777" w:rsidR="00F65BCA" w:rsidRDefault="00216117">
            <w:pPr>
              <w:pStyle w:val="TableParagraph"/>
              <w:spacing w:before="43"/>
              <w:ind w:left="104"/>
              <w:rPr>
                <w:rFonts w:ascii="Calibri" w:hAnsi="Calibri"/>
                <w:b/>
                <w:sz w:val="6"/>
              </w:rPr>
            </w:pPr>
            <w:r>
              <w:rPr>
                <w:rFonts w:ascii="Calibri" w:hAnsi="Calibri"/>
                <w:b/>
                <w:color w:val="231F20"/>
                <w:w w:val="244"/>
                <w:sz w:val="6"/>
              </w:rPr>
              <w:t xml:space="preserve"> </w:t>
            </w:r>
            <w:r>
              <w:rPr>
                <w:rFonts w:ascii="Calibri" w:hAnsi="Calibri"/>
                <w:b/>
                <w:color w:val="231F20"/>
                <w:w w:val="105"/>
                <w:sz w:val="6"/>
              </w:rPr>
              <w:t>o né</w:t>
            </w:r>
          </w:p>
          <w:p w14:paraId="19797F83" w14:textId="77777777" w:rsidR="00F65BCA" w:rsidRDefault="00216117">
            <w:pPr>
              <w:pStyle w:val="TableParagraph"/>
              <w:spacing w:before="4"/>
              <w:ind w:left="142"/>
              <w:rPr>
                <w:rFonts w:ascii="Calibri"/>
                <w:b/>
                <w:sz w:val="6"/>
              </w:rPr>
            </w:pPr>
            <w:r>
              <w:rPr>
                <w:rFonts w:ascii="Calibri"/>
                <w:b/>
                <w:color w:val="231F20"/>
                <w:w w:val="300"/>
                <w:sz w:val="6"/>
              </w:rPr>
              <w:t xml:space="preserve"> </w:t>
            </w:r>
            <w:r>
              <w:rPr>
                <w:rFonts w:ascii="Calibri"/>
                <w:b/>
                <w:color w:val="231F20"/>
                <w:w w:val="252"/>
                <w:sz w:val="6"/>
              </w:rPr>
              <w:t xml:space="preserve">   </w:t>
            </w:r>
          </w:p>
        </w:tc>
        <w:tc>
          <w:tcPr>
            <w:tcW w:w="410" w:type="dxa"/>
            <w:tcBorders>
              <w:left w:val="single" w:sz="2" w:space="0" w:color="231F20"/>
            </w:tcBorders>
          </w:tcPr>
          <w:p w14:paraId="651D7391" w14:textId="77777777" w:rsidR="00F65BCA" w:rsidRDefault="00216117">
            <w:pPr>
              <w:pStyle w:val="TableParagraph"/>
              <w:spacing w:before="43"/>
              <w:ind w:left="105"/>
              <w:rPr>
                <w:rFonts w:ascii="Calibri" w:hAnsi="Calibri"/>
                <w:b/>
                <w:sz w:val="6"/>
              </w:rPr>
            </w:pPr>
            <w:r>
              <w:rPr>
                <w:rFonts w:ascii="Calibri" w:hAnsi="Calibri"/>
                <w:b/>
                <w:color w:val="231F20"/>
                <w:w w:val="244"/>
                <w:sz w:val="6"/>
              </w:rPr>
              <w:t xml:space="preserve"> </w:t>
            </w:r>
            <w:r>
              <w:rPr>
                <w:rFonts w:ascii="Calibri" w:hAnsi="Calibri"/>
                <w:b/>
                <w:color w:val="231F20"/>
                <w:w w:val="105"/>
                <w:sz w:val="6"/>
              </w:rPr>
              <w:t>o né</w:t>
            </w:r>
          </w:p>
          <w:p w14:paraId="35E77D9C" w14:textId="77777777" w:rsidR="00F65BCA" w:rsidRDefault="00216117">
            <w:pPr>
              <w:pStyle w:val="TableParagraph"/>
              <w:spacing w:before="4"/>
              <w:ind w:left="52"/>
              <w:rPr>
                <w:rFonts w:ascii="Calibri"/>
                <w:b/>
                <w:sz w:val="6"/>
              </w:rPr>
            </w:pPr>
            <w:r>
              <w:rPr>
                <w:rFonts w:ascii="Calibri"/>
                <w:b/>
                <w:color w:val="231F20"/>
                <w:w w:val="256"/>
                <w:sz w:val="6"/>
              </w:rPr>
              <w:t xml:space="preserve">  </w:t>
            </w:r>
            <w:r>
              <w:rPr>
                <w:rFonts w:ascii="Calibri"/>
                <w:b/>
                <w:color w:val="231F20"/>
                <w:spacing w:val="-1"/>
                <w:w w:val="256"/>
                <w:sz w:val="6"/>
              </w:rPr>
              <w:t xml:space="preserve"> </w:t>
            </w:r>
            <w:r>
              <w:rPr>
                <w:rFonts w:ascii="Calibri"/>
                <w:b/>
                <w:color w:val="231F20"/>
                <w:w w:val="266"/>
                <w:sz w:val="6"/>
              </w:rPr>
              <w:t xml:space="preserve">   </w:t>
            </w:r>
            <w:r>
              <w:rPr>
                <w:rFonts w:ascii="Calibri"/>
                <w:b/>
                <w:color w:val="231F20"/>
                <w:spacing w:val="-1"/>
                <w:w w:val="266"/>
                <w:sz w:val="6"/>
              </w:rPr>
              <w:t xml:space="preserve"> </w:t>
            </w:r>
            <w:r>
              <w:rPr>
                <w:rFonts w:ascii="Calibri"/>
                <w:b/>
                <w:color w:val="231F20"/>
                <w:w w:val="236"/>
                <w:sz w:val="6"/>
              </w:rPr>
              <w:t xml:space="preserve">  </w:t>
            </w:r>
          </w:p>
        </w:tc>
      </w:tr>
      <w:tr w:rsidR="00F65BCA" w14:paraId="509A4D4E" w14:textId="77777777">
        <w:trPr>
          <w:trHeight w:val="153"/>
        </w:trPr>
        <w:tc>
          <w:tcPr>
            <w:tcW w:w="166" w:type="dxa"/>
            <w:tcBorders>
              <w:bottom w:val="single" w:sz="2" w:space="0" w:color="231F20"/>
              <w:right w:val="single" w:sz="2" w:space="0" w:color="231F20"/>
            </w:tcBorders>
          </w:tcPr>
          <w:p w14:paraId="51AE0FC4" w14:textId="77777777" w:rsidR="00F65BCA" w:rsidRDefault="00F65BCA">
            <w:pPr>
              <w:pStyle w:val="TableParagraph"/>
              <w:spacing w:before="8"/>
              <w:rPr>
                <w:rFonts w:ascii="Calibri"/>
                <w:b/>
                <w:sz w:val="6"/>
              </w:rPr>
            </w:pPr>
          </w:p>
          <w:p w14:paraId="1D9FB170" w14:textId="77777777" w:rsidR="00F65BCA" w:rsidRDefault="00216117">
            <w:pPr>
              <w:pStyle w:val="TableParagraph"/>
              <w:spacing w:line="51" w:lineRule="exact"/>
              <w:ind w:right="5"/>
              <w:jc w:val="right"/>
              <w:rPr>
                <w:rFonts w:ascii="Calibri"/>
                <w:sz w:val="6"/>
              </w:rPr>
            </w:pPr>
            <w:r>
              <w:rPr>
                <w:rFonts w:ascii="Calibri"/>
                <w:color w:val="231F20"/>
                <w:w w:val="233"/>
                <w:sz w:val="6"/>
              </w:rPr>
              <w:t xml:space="preserve"> </w:t>
            </w:r>
          </w:p>
        </w:tc>
        <w:tc>
          <w:tcPr>
            <w:tcW w:w="298" w:type="dxa"/>
            <w:tcBorders>
              <w:left w:val="single" w:sz="2" w:space="0" w:color="231F20"/>
              <w:bottom w:val="single" w:sz="2" w:space="0" w:color="231F20"/>
              <w:right w:val="single" w:sz="2" w:space="0" w:color="231F20"/>
            </w:tcBorders>
          </w:tcPr>
          <w:p w14:paraId="1266EA5C" w14:textId="77777777" w:rsidR="00F65BCA" w:rsidRDefault="00F65BCA">
            <w:pPr>
              <w:pStyle w:val="TableParagraph"/>
              <w:spacing w:before="8"/>
              <w:rPr>
                <w:rFonts w:ascii="Calibri"/>
                <w:b/>
                <w:sz w:val="6"/>
              </w:rPr>
            </w:pPr>
          </w:p>
          <w:p w14:paraId="113988A4"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left w:val="single" w:sz="2" w:space="0" w:color="231F20"/>
              <w:bottom w:val="single" w:sz="2" w:space="0" w:color="231F20"/>
              <w:right w:val="single" w:sz="2" w:space="0" w:color="231F20"/>
            </w:tcBorders>
          </w:tcPr>
          <w:p w14:paraId="673BBE69" w14:textId="77777777" w:rsidR="00F65BCA" w:rsidRDefault="00F65BCA">
            <w:pPr>
              <w:pStyle w:val="TableParagraph"/>
              <w:spacing w:before="8"/>
              <w:rPr>
                <w:rFonts w:ascii="Calibri"/>
                <w:b/>
                <w:sz w:val="6"/>
              </w:rPr>
            </w:pPr>
          </w:p>
          <w:p w14:paraId="7A04C33E"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left w:val="single" w:sz="2" w:space="0" w:color="231F20"/>
              <w:bottom w:val="single" w:sz="2" w:space="0" w:color="231F20"/>
              <w:right w:val="single" w:sz="2" w:space="0" w:color="231F20"/>
            </w:tcBorders>
          </w:tcPr>
          <w:p w14:paraId="23C32074" w14:textId="77777777" w:rsidR="00F65BCA" w:rsidRDefault="00F65BCA">
            <w:pPr>
              <w:pStyle w:val="TableParagraph"/>
              <w:spacing w:before="8"/>
              <w:rPr>
                <w:rFonts w:ascii="Calibri"/>
                <w:b/>
                <w:sz w:val="6"/>
              </w:rPr>
            </w:pPr>
          </w:p>
          <w:p w14:paraId="0FC0D098"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left w:val="single" w:sz="2" w:space="0" w:color="231F20"/>
              <w:bottom w:val="single" w:sz="2" w:space="0" w:color="231F20"/>
              <w:right w:val="single" w:sz="2" w:space="0" w:color="231F20"/>
            </w:tcBorders>
          </w:tcPr>
          <w:p w14:paraId="730F1183" w14:textId="77777777" w:rsidR="00F65BCA" w:rsidRDefault="00F65BCA">
            <w:pPr>
              <w:pStyle w:val="TableParagraph"/>
              <w:spacing w:before="8"/>
              <w:rPr>
                <w:rFonts w:ascii="Calibri"/>
                <w:b/>
                <w:sz w:val="6"/>
              </w:rPr>
            </w:pPr>
          </w:p>
          <w:p w14:paraId="241FB492" w14:textId="77777777" w:rsidR="00F65BCA" w:rsidRDefault="00216117">
            <w:pPr>
              <w:pStyle w:val="TableParagraph"/>
              <w:spacing w:line="51" w:lineRule="exact"/>
              <w:ind w:left="238"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left w:val="single" w:sz="2" w:space="0" w:color="231F20"/>
              <w:bottom w:val="single" w:sz="2" w:space="0" w:color="231F20"/>
              <w:right w:val="single" w:sz="2" w:space="0" w:color="231F20"/>
            </w:tcBorders>
          </w:tcPr>
          <w:p w14:paraId="6F5F00C1" w14:textId="77777777" w:rsidR="00F65BCA" w:rsidRDefault="00F65BCA">
            <w:pPr>
              <w:pStyle w:val="TableParagraph"/>
              <w:spacing w:before="8"/>
              <w:rPr>
                <w:rFonts w:ascii="Calibri"/>
                <w:b/>
                <w:sz w:val="6"/>
              </w:rPr>
            </w:pPr>
          </w:p>
          <w:p w14:paraId="2AACE367" w14:textId="77777777" w:rsidR="00F65BCA" w:rsidRDefault="00216117">
            <w:pPr>
              <w:pStyle w:val="TableParagraph"/>
              <w:spacing w:line="51" w:lineRule="exact"/>
              <w:ind w:left="12"/>
              <w:rPr>
                <w:rFonts w:ascii="Calibri"/>
                <w:sz w:val="6"/>
              </w:rPr>
            </w:pPr>
            <w:r>
              <w:rPr>
                <w:rFonts w:ascii="Calibri"/>
                <w:color w:val="231F20"/>
                <w:w w:val="235"/>
                <w:sz w:val="6"/>
              </w:rPr>
              <w:t xml:space="preserve">  </w:t>
            </w:r>
            <w:r>
              <w:rPr>
                <w:rFonts w:ascii="Calibri"/>
                <w:color w:val="231F20"/>
                <w:w w:val="233"/>
                <w:sz w:val="6"/>
              </w:rPr>
              <w:t xml:space="preserve">     </w:t>
            </w:r>
          </w:p>
        </w:tc>
        <w:tc>
          <w:tcPr>
            <w:tcW w:w="375" w:type="dxa"/>
            <w:tcBorders>
              <w:left w:val="single" w:sz="2" w:space="0" w:color="231F20"/>
              <w:bottom w:val="single" w:sz="2" w:space="0" w:color="231F20"/>
              <w:right w:val="single" w:sz="2" w:space="0" w:color="231F20"/>
            </w:tcBorders>
          </w:tcPr>
          <w:p w14:paraId="459CA07D" w14:textId="77777777" w:rsidR="00F65BCA" w:rsidRDefault="00F65BCA">
            <w:pPr>
              <w:pStyle w:val="TableParagraph"/>
              <w:spacing w:before="8"/>
              <w:rPr>
                <w:rFonts w:ascii="Calibri"/>
                <w:b/>
                <w:sz w:val="6"/>
              </w:rPr>
            </w:pPr>
          </w:p>
          <w:p w14:paraId="24C5AC7C" w14:textId="77777777" w:rsidR="00F65BCA" w:rsidRDefault="00216117">
            <w:pPr>
              <w:pStyle w:val="TableParagraph"/>
              <w:spacing w:line="51" w:lineRule="exact"/>
              <w:ind w:left="11"/>
              <w:rPr>
                <w:rFonts w:ascii="Calibri"/>
                <w:sz w:val="6"/>
              </w:rPr>
            </w:pPr>
            <w:r>
              <w:rPr>
                <w:rFonts w:ascii="Calibri"/>
                <w:color w:val="231F20"/>
                <w:w w:val="230"/>
                <w:sz w:val="6"/>
              </w:rPr>
              <w:t xml:space="preserve"> </w:t>
            </w:r>
            <w:r>
              <w:rPr>
                <w:rFonts w:ascii="Calibri"/>
                <w:color w:val="231F20"/>
                <w:spacing w:val="-1"/>
                <w:w w:val="230"/>
                <w:sz w:val="6"/>
              </w:rPr>
              <w:t xml:space="preserve"> </w:t>
            </w:r>
            <w:r>
              <w:rPr>
                <w:rFonts w:ascii="Calibri"/>
                <w:color w:val="231F20"/>
                <w:w w:val="233"/>
                <w:sz w:val="6"/>
              </w:rPr>
              <w:t xml:space="preserve">      </w:t>
            </w:r>
          </w:p>
        </w:tc>
        <w:tc>
          <w:tcPr>
            <w:tcW w:w="663" w:type="dxa"/>
            <w:tcBorders>
              <w:left w:val="single" w:sz="2" w:space="0" w:color="231F20"/>
              <w:bottom w:val="single" w:sz="2" w:space="0" w:color="231F20"/>
              <w:right w:val="single" w:sz="2" w:space="0" w:color="231F20"/>
            </w:tcBorders>
          </w:tcPr>
          <w:p w14:paraId="4E76D90D" w14:textId="77777777" w:rsidR="00F65BCA" w:rsidRDefault="00F65BCA">
            <w:pPr>
              <w:pStyle w:val="TableParagraph"/>
              <w:spacing w:before="8"/>
              <w:rPr>
                <w:rFonts w:ascii="Calibri"/>
                <w:b/>
                <w:sz w:val="6"/>
              </w:rPr>
            </w:pPr>
          </w:p>
          <w:p w14:paraId="4071B6EB"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238"/>
                <w:sz w:val="6"/>
              </w:rPr>
              <w:t xml:space="preserve"> </w:t>
            </w:r>
            <w:r>
              <w:rPr>
                <w:rFonts w:ascii="Calibri"/>
                <w:color w:val="231F20"/>
                <w:w w:val="339"/>
                <w:sz w:val="6"/>
              </w:rPr>
              <w:t xml:space="preserve">   </w:t>
            </w:r>
            <w:r>
              <w:rPr>
                <w:rFonts w:ascii="Calibri"/>
                <w:color w:val="231F20"/>
                <w:w w:val="233"/>
                <w:sz w:val="6"/>
              </w:rPr>
              <w:t xml:space="preserve">   </w:t>
            </w:r>
            <w:r>
              <w:rPr>
                <w:rFonts w:ascii="Calibri"/>
                <w:color w:val="231F20"/>
                <w:spacing w:val="-1"/>
                <w:w w:val="282"/>
                <w:sz w:val="6"/>
              </w:rPr>
              <w:t xml:space="preserve"> </w:t>
            </w:r>
            <w:r>
              <w:rPr>
                <w:rFonts w:ascii="Calibri"/>
                <w:color w:val="231F20"/>
                <w:w w:val="233"/>
                <w:sz w:val="6"/>
              </w:rPr>
              <w:t xml:space="preserve">  </w:t>
            </w:r>
            <w:r>
              <w:rPr>
                <w:rFonts w:ascii="Calibri"/>
                <w:color w:val="231F20"/>
                <w:w w:val="292"/>
                <w:sz w:val="6"/>
              </w:rPr>
              <w:t xml:space="preserve">   </w:t>
            </w:r>
            <w:r>
              <w:rPr>
                <w:rFonts w:ascii="Calibri"/>
                <w:color w:val="231F20"/>
                <w:w w:val="233"/>
                <w:sz w:val="6"/>
              </w:rPr>
              <w:t xml:space="preserve">   </w:t>
            </w:r>
          </w:p>
        </w:tc>
        <w:tc>
          <w:tcPr>
            <w:tcW w:w="433" w:type="dxa"/>
            <w:tcBorders>
              <w:left w:val="single" w:sz="2" w:space="0" w:color="231F20"/>
              <w:bottom w:val="single" w:sz="2" w:space="0" w:color="231F20"/>
              <w:right w:val="single" w:sz="2" w:space="0" w:color="231F20"/>
            </w:tcBorders>
          </w:tcPr>
          <w:p w14:paraId="65831E20" w14:textId="77777777" w:rsidR="00F65BCA" w:rsidRDefault="00F65BCA">
            <w:pPr>
              <w:pStyle w:val="TableParagraph"/>
              <w:spacing w:before="8"/>
              <w:rPr>
                <w:rFonts w:ascii="Calibri"/>
                <w:b/>
                <w:sz w:val="6"/>
              </w:rPr>
            </w:pPr>
          </w:p>
          <w:p w14:paraId="722799C6" w14:textId="77777777" w:rsidR="00F65BCA" w:rsidRDefault="00216117">
            <w:pPr>
              <w:pStyle w:val="TableParagraph"/>
              <w:spacing w:line="51" w:lineRule="exact"/>
              <w:ind w:left="10"/>
              <w:rPr>
                <w:rFonts w:ascii="Calibri"/>
                <w:sz w:val="6"/>
              </w:rPr>
            </w:pPr>
            <w:r>
              <w:rPr>
                <w:rFonts w:ascii="Calibri"/>
                <w:color w:val="231F20"/>
                <w:w w:val="329"/>
                <w:sz w:val="6"/>
              </w:rPr>
              <w:t xml:space="preserve">  </w:t>
            </w:r>
            <w:r>
              <w:rPr>
                <w:rFonts w:ascii="Calibri"/>
                <w:color w:val="231F20"/>
                <w:w w:val="277"/>
                <w:sz w:val="6"/>
              </w:rPr>
              <w:t xml:space="preserve">  </w:t>
            </w:r>
          </w:p>
        </w:tc>
        <w:tc>
          <w:tcPr>
            <w:tcW w:w="913" w:type="dxa"/>
            <w:tcBorders>
              <w:left w:val="single" w:sz="2" w:space="0" w:color="231F20"/>
              <w:bottom w:val="single" w:sz="2" w:space="0" w:color="231F20"/>
              <w:right w:val="single" w:sz="2" w:space="0" w:color="231F20"/>
            </w:tcBorders>
          </w:tcPr>
          <w:p w14:paraId="74432D33" w14:textId="77777777" w:rsidR="00F65BCA" w:rsidRDefault="00F65BCA">
            <w:pPr>
              <w:pStyle w:val="TableParagraph"/>
              <w:spacing w:before="8"/>
              <w:rPr>
                <w:rFonts w:ascii="Calibri"/>
                <w:b/>
                <w:sz w:val="6"/>
              </w:rPr>
            </w:pPr>
          </w:p>
          <w:p w14:paraId="5029E980" w14:textId="77777777" w:rsidR="00F65BCA" w:rsidRDefault="00216117">
            <w:pPr>
              <w:pStyle w:val="TableParagraph"/>
              <w:spacing w:line="51" w:lineRule="exact"/>
              <w:ind w:left="8"/>
              <w:rPr>
                <w:rFonts w:ascii="Calibri"/>
                <w:sz w:val="6"/>
              </w:rPr>
            </w:pPr>
            <w:r>
              <w:rPr>
                <w:rFonts w:ascii="Calibri"/>
                <w:color w:val="231F20"/>
                <w:w w:val="329"/>
                <w:sz w:val="6"/>
              </w:rPr>
              <w:t xml:space="preserve">  </w:t>
            </w:r>
            <w:r>
              <w:rPr>
                <w:rFonts w:ascii="Calibri"/>
                <w:color w:val="231F20"/>
                <w:w w:val="277"/>
                <w:sz w:val="6"/>
              </w:rPr>
              <w:t xml:space="preserve">  </w:t>
            </w:r>
            <w:r>
              <w:rPr>
                <w:rFonts w:ascii="Times New Roman"/>
                <w:color w:val="231F20"/>
                <w:spacing w:val="-1"/>
                <w:sz w:val="6"/>
              </w:rPr>
              <w:t xml:space="preserve"> </w:t>
            </w:r>
            <w:r>
              <w:rPr>
                <w:rFonts w:ascii="Calibri"/>
                <w:color w:val="231F20"/>
                <w:w w:val="393"/>
                <w:sz w:val="6"/>
              </w:rPr>
              <w:t xml:space="preserve"> </w:t>
            </w:r>
          </w:p>
        </w:tc>
        <w:tc>
          <w:tcPr>
            <w:tcW w:w="913" w:type="dxa"/>
            <w:tcBorders>
              <w:left w:val="single" w:sz="2" w:space="0" w:color="231F20"/>
              <w:bottom w:val="single" w:sz="2" w:space="0" w:color="231F20"/>
              <w:right w:val="single" w:sz="2" w:space="0" w:color="231F20"/>
            </w:tcBorders>
          </w:tcPr>
          <w:p w14:paraId="72EFA398" w14:textId="77777777" w:rsidR="00F65BCA" w:rsidRDefault="00F65BCA">
            <w:pPr>
              <w:pStyle w:val="TableParagraph"/>
              <w:spacing w:before="8"/>
              <w:rPr>
                <w:rFonts w:ascii="Calibri"/>
                <w:b/>
                <w:sz w:val="6"/>
              </w:rPr>
            </w:pPr>
          </w:p>
          <w:p w14:paraId="6E640516" w14:textId="77777777" w:rsidR="00F65BCA" w:rsidRDefault="00216117">
            <w:pPr>
              <w:pStyle w:val="TableParagraph"/>
              <w:spacing w:line="51" w:lineRule="exact"/>
              <w:ind w:left="7"/>
              <w:rPr>
                <w:rFonts w:ascii="Calibri"/>
                <w:sz w:val="6"/>
              </w:rPr>
            </w:pPr>
            <w:r>
              <w:rPr>
                <w:rFonts w:ascii="Calibri"/>
                <w:color w:val="231F20"/>
                <w:w w:val="237"/>
                <w:sz w:val="6"/>
              </w:rPr>
              <w:t xml:space="preserve"> </w:t>
            </w:r>
            <w:r>
              <w:rPr>
                <w:rFonts w:ascii="Calibri"/>
                <w:color w:val="231F20"/>
                <w:w w:val="160"/>
                <w:sz w:val="6"/>
              </w:rPr>
              <w:t xml:space="preserve"> </w:t>
            </w:r>
            <w:r>
              <w:rPr>
                <w:rFonts w:ascii="Calibri"/>
                <w:color w:val="231F20"/>
                <w:spacing w:val="-1"/>
                <w:w w:val="105"/>
                <w:sz w:val="6"/>
              </w:rPr>
              <w:t xml:space="preserve"> </w:t>
            </w:r>
            <w:r>
              <w:rPr>
                <w:rFonts w:ascii="Calibri"/>
                <w:color w:val="231F20"/>
                <w:w w:val="207"/>
                <w:sz w:val="6"/>
              </w:rPr>
              <w:t xml:space="preserve"> </w:t>
            </w:r>
            <w:r>
              <w:rPr>
                <w:rFonts w:ascii="Calibri"/>
                <w:color w:val="231F20"/>
                <w:w w:val="228"/>
                <w:sz w:val="6"/>
              </w:rPr>
              <w:t xml:space="preserve"> </w:t>
            </w:r>
            <w:r>
              <w:rPr>
                <w:rFonts w:ascii="Calibri"/>
                <w:color w:val="231F20"/>
                <w:w w:val="179"/>
                <w:sz w:val="6"/>
              </w:rPr>
              <w:t xml:space="preserve"> </w:t>
            </w:r>
          </w:p>
        </w:tc>
        <w:tc>
          <w:tcPr>
            <w:tcW w:w="265" w:type="dxa"/>
            <w:tcBorders>
              <w:left w:val="single" w:sz="2" w:space="0" w:color="231F20"/>
              <w:bottom w:val="single" w:sz="2" w:space="0" w:color="231F20"/>
              <w:right w:val="single" w:sz="2" w:space="0" w:color="231F20"/>
            </w:tcBorders>
          </w:tcPr>
          <w:p w14:paraId="0E241B66" w14:textId="77777777" w:rsidR="00F65BCA" w:rsidRDefault="00F65BCA">
            <w:pPr>
              <w:pStyle w:val="TableParagraph"/>
              <w:spacing w:before="8"/>
              <w:rPr>
                <w:rFonts w:ascii="Calibri"/>
                <w:b/>
                <w:sz w:val="6"/>
              </w:rPr>
            </w:pPr>
          </w:p>
          <w:p w14:paraId="1A3BDC04"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231" w:type="dxa"/>
            <w:tcBorders>
              <w:left w:val="single" w:sz="2" w:space="0" w:color="231F20"/>
              <w:bottom w:val="single" w:sz="2" w:space="0" w:color="231F20"/>
              <w:right w:val="single" w:sz="2" w:space="0" w:color="231F20"/>
            </w:tcBorders>
          </w:tcPr>
          <w:p w14:paraId="057455A1" w14:textId="77777777" w:rsidR="00F65BCA" w:rsidRDefault="00F65BCA">
            <w:pPr>
              <w:pStyle w:val="TableParagraph"/>
              <w:spacing w:before="8"/>
              <w:rPr>
                <w:rFonts w:ascii="Calibri"/>
                <w:b/>
                <w:sz w:val="6"/>
              </w:rPr>
            </w:pPr>
          </w:p>
          <w:p w14:paraId="5B05C29A"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221" w:type="dxa"/>
            <w:tcBorders>
              <w:left w:val="single" w:sz="2" w:space="0" w:color="231F20"/>
              <w:bottom w:val="single" w:sz="2" w:space="0" w:color="231F20"/>
              <w:right w:val="single" w:sz="2" w:space="0" w:color="231F20"/>
            </w:tcBorders>
          </w:tcPr>
          <w:p w14:paraId="070761DE" w14:textId="77777777" w:rsidR="00F65BCA" w:rsidRDefault="00F65BCA">
            <w:pPr>
              <w:pStyle w:val="TableParagraph"/>
              <w:spacing w:before="8"/>
              <w:rPr>
                <w:rFonts w:ascii="Calibri"/>
                <w:b/>
                <w:sz w:val="6"/>
              </w:rPr>
            </w:pPr>
          </w:p>
          <w:p w14:paraId="414245E9"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336" w:type="dxa"/>
            <w:tcBorders>
              <w:left w:val="single" w:sz="2" w:space="0" w:color="231F20"/>
              <w:bottom w:val="single" w:sz="2" w:space="0" w:color="231F20"/>
              <w:right w:val="single" w:sz="2" w:space="0" w:color="231F20"/>
            </w:tcBorders>
          </w:tcPr>
          <w:p w14:paraId="2680C154" w14:textId="77777777" w:rsidR="00F65BCA" w:rsidRDefault="00F65BCA">
            <w:pPr>
              <w:pStyle w:val="TableParagraph"/>
              <w:spacing w:before="8"/>
              <w:rPr>
                <w:rFonts w:ascii="Calibri"/>
                <w:b/>
                <w:sz w:val="6"/>
              </w:rPr>
            </w:pPr>
          </w:p>
          <w:p w14:paraId="34858A82"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40" w:type="dxa"/>
            <w:tcBorders>
              <w:left w:val="single" w:sz="2" w:space="0" w:color="231F20"/>
              <w:bottom w:val="single" w:sz="2" w:space="0" w:color="231F20"/>
              <w:right w:val="single" w:sz="2" w:space="0" w:color="231F20"/>
            </w:tcBorders>
          </w:tcPr>
          <w:p w14:paraId="021F72A6" w14:textId="77777777" w:rsidR="00F65BCA" w:rsidRDefault="00F65BCA">
            <w:pPr>
              <w:pStyle w:val="TableParagraph"/>
              <w:rPr>
                <w:rFonts w:ascii="Times New Roman"/>
                <w:sz w:val="6"/>
              </w:rPr>
            </w:pPr>
          </w:p>
        </w:tc>
        <w:tc>
          <w:tcPr>
            <w:tcW w:w="278" w:type="dxa"/>
            <w:tcBorders>
              <w:left w:val="single" w:sz="2" w:space="0" w:color="231F20"/>
              <w:bottom w:val="single" w:sz="2" w:space="0" w:color="231F20"/>
              <w:right w:val="single" w:sz="2" w:space="0" w:color="231F20"/>
            </w:tcBorders>
          </w:tcPr>
          <w:p w14:paraId="0B7E007B" w14:textId="77777777" w:rsidR="00F65BCA" w:rsidRDefault="00F65BCA">
            <w:pPr>
              <w:pStyle w:val="TableParagraph"/>
              <w:rPr>
                <w:rFonts w:ascii="Times New Roman"/>
                <w:sz w:val="6"/>
              </w:rPr>
            </w:pPr>
          </w:p>
        </w:tc>
        <w:tc>
          <w:tcPr>
            <w:tcW w:w="268" w:type="dxa"/>
            <w:tcBorders>
              <w:left w:val="single" w:sz="2" w:space="0" w:color="231F20"/>
              <w:bottom w:val="single" w:sz="2" w:space="0" w:color="231F20"/>
              <w:right w:val="single" w:sz="2" w:space="0" w:color="231F20"/>
            </w:tcBorders>
          </w:tcPr>
          <w:p w14:paraId="7BE52EAC" w14:textId="77777777" w:rsidR="00F65BCA" w:rsidRDefault="00F65BCA">
            <w:pPr>
              <w:pStyle w:val="TableParagraph"/>
              <w:spacing w:before="8"/>
              <w:rPr>
                <w:rFonts w:ascii="Calibri"/>
                <w:b/>
                <w:sz w:val="6"/>
              </w:rPr>
            </w:pPr>
          </w:p>
          <w:p w14:paraId="223C71F7"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left w:val="single" w:sz="2" w:space="0" w:color="231F20"/>
              <w:bottom w:val="single" w:sz="2" w:space="0" w:color="231F20"/>
              <w:right w:val="single" w:sz="2" w:space="0" w:color="231F20"/>
            </w:tcBorders>
          </w:tcPr>
          <w:p w14:paraId="03ECD43F" w14:textId="77777777" w:rsidR="00F65BCA" w:rsidRDefault="00F65BCA">
            <w:pPr>
              <w:pStyle w:val="TableParagraph"/>
              <w:rPr>
                <w:rFonts w:ascii="Times New Roman"/>
                <w:sz w:val="6"/>
              </w:rPr>
            </w:pPr>
          </w:p>
        </w:tc>
        <w:tc>
          <w:tcPr>
            <w:tcW w:w="268" w:type="dxa"/>
            <w:tcBorders>
              <w:left w:val="single" w:sz="2" w:space="0" w:color="231F20"/>
              <w:bottom w:val="single" w:sz="2" w:space="0" w:color="231F20"/>
              <w:right w:val="single" w:sz="2" w:space="0" w:color="231F20"/>
            </w:tcBorders>
          </w:tcPr>
          <w:p w14:paraId="2F971B40" w14:textId="77777777" w:rsidR="00F65BCA" w:rsidRDefault="00F65BCA">
            <w:pPr>
              <w:pStyle w:val="TableParagraph"/>
              <w:rPr>
                <w:rFonts w:ascii="Times New Roman"/>
                <w:sz w:val="6"/>
              </w:rPr>
            </w:pPr>
          </w:p>
        </w:tc>
        <w:tc>
          <w:tcPr>
            <w:tcW w:w="311" w:type="dxa"/>
            <w:tcBorders>
              <w:left w:val="single" w:sz="2" w:space="0" w:color="231F20"/>
              <w:bottom w:val="single" w:sz="2" w:space="0" w:color="231F20"/>
              <w:right w:val="single" w:sz="2" w:space="0" w:color="231F20"/>
            </w:tcBorders>
          </w:tcPr>
          <w:p w14:paraId="52FD4017" w14:textId="77777777" w:rsidR="00F65BCA" w:rsidRDefault="00F65BCA">
            <w:pPr>
              <w:pStyle w:val="TableParagraph"/>
              <w:rPr>
                <w:rFonts w:ascii="Times New Roman"/>
                <w:sz w:val="6"/>
              </w:rPr>
            </w:pPr>
          </w:p>
        </w:tc>
        <w:tc>
          <w:tcPr>
            <w:tcW w:w="450" w:type="dxa"/>
            <w:tcBorders>
              <w:left w:val="single" w:sz="2" w:space="0" w:color="231F20"/>
              <w:bottom w:val="single" w:sz="2" w:space="0" w:color="231F20"/>
              <w:right w:val="single" w:sz="2" w:space="0" w:color="231F20"/>
            </w:tcBorders>
          </w:tcPr>
          <w:p w14:paraId="58908407" w14:textId="77777777" w:rsidR="00F65BCA" w:rsidRDefault="00F65BCA">
            <w:pPr>
              <w:pStyle w:val="TableParagraph"/>
              <w:rPr>
                <w:rFonts w:ascii="Times New Roman"/>
                <w:sz w:val="6"/>
              </w:rPr>
            </w:pPr>
          </w:p>
        </w:tc>
        <w:tc>
          <w:tcPr>
            <w:tcW w:w="450" w:type="dxa"/>
            <w:tcBorders>
              <w:left w:val="single" w:sz="2" w:space="0" w:color="231F20"/>
              <w:bottom w:val="single" w:sz="2" w:space="0" w:color="231F20"/>
              <w:right w:val="single" w:sz="2" w:space="0" w:color="231F20"/>
            </w:tcBorders>
          </w:tcPr>
          <w:p w14:paraId="3B25D9EF" w14:textId="77777777" w:rsidR="00F65BCA" w:rsidRDefault="00F65BCA">
            <w:pPr>
              <w:pStyle w:val="TableParagraph"/>
              <w:spacing w:before="8"/>
              <w:rPr>
                <w:rFonts w:ascii="Calibri"/>
                <w:b/>
                <w:sz w:val="6"/>
              </w:rPr>
            </w:pPr>
          </w:p>
          <w:p w14:paraId="3626740D" w14:textId="77777777" w:rsidR="00F65BCA" w:rsidRDefault="00216117">
            <w:pPr>
              <w:pStyle w:val="TableParagraph"/>
              <w:spacing w:line="51" w:lineRule="exact"/>
              <w:ind w:left="1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left w:val="single" w:sz="2" w:space="0" w:color="231F20"/>
              <w:bottom w:val="single" w:sz="2" w:space="0" w:color="231F20"/>
              <w:right w:val="single" w:sz="2" w:space="0" w:color="231F20"/>
            </w:tcBorders>
          </w:tcPr>
          <w:p w14:paraId="7C3EE279" w14:textId="77777777" w:rsidR="00F65BCA" w:rsidRDefault="00F65BCA">
            <w:pPr>
              <w:pStyle w:val="TableParagraph"/>
              <w:rPr>
                <w:rFonts w:ascii="Times New Roman"/>
                <w:sz w:val="6"/>
              </w:rPr>
            </w:pPr>
          </w:p>
        </w:tc>
        <w:tc>
          <w:tcPr>
            <w:tcW w:w="392" w:type="dxa"/>
            <w:tcBorders>
              <w:left w:val="single" w:sz="2" w:space="0" w:color="231F20"/>
              <w:bottom w:val="single" w:sz="2" w:space="0" w:color="231F20"/>
              <w:right w:val="single" w:sz="2" w:space="0" w:color="231F20"/>
            </w:tcBorders>
          </w:tcPr>
          <w:p w14:paraId="13832E4D" w14:textId="77777777" w:rsidR="00F65BCA" w:rsidRDefault="00F65BCA">
            <w:pPr>
              <w:pStyle w:val="TableParagraph"/>
              <w:rPr>
                <w:rFonts w:ascii="Times New Roman"/>
                <w:sz w:val="6"/>
              </w:rPr>
            </w:pPr>
          </w:p>
        </w:tc>
        <w:tc>
          <w:tcPr>
            <w:tcW w:w="428" w:type="dxa"/>
            <w:tcBorders>
              <w:left w:val="single" w:sz="2" w:space="0" w:color="231F20"/>
              <w:bottom w:val="single" w:sz="2" w:space="0" w:color="231F20"/>
            </w:tcBorders>
          </w:tcPr>
          <w:p w14:paraId="2A93FAA5" w14:textId="77777777" w:rsidR="00F65BCA" w:rsidRDefault="00F65BCA">
            <w:pPr>
              <w:pStyle w:val="TableParagraph"/>
              <w:rPr>
                <w:rFonts w:ascii="Times New Roman"/>
                <w:sz w:val="6"/>
              </w:rPr>
            </w:pPr>
          </w:p>
        </w:tc>
        <w:tc>
          <w:tcPr>
            <w:tcW w:w="414" w:type="dxa"/>
            <w:tcBorders>
              <w:bottom w:val="single" w:sz="2" w:space="0" w:color="231F20"/>
              <w:right w:val="single" w:sz="2" w:space="0" w:color="231F20"/>
            </w:tcBorders>
            <w:shd w:val="clear" w:color="auto" w:fill="F9F39A"/>
          </w:tcPr>
          <w:p w14:paraId="0A03480A" w14:textId="77777777" w:rsidR="00F65BCA" w:rsidRDefault="00F65BCA">
            <w:pPr>
              <w:pStyle w:val="TableParagraph"/>
              <w:rPr>
                <w:rFonts w:ascii="Times New Roman"/>
                <w:sz w:val="6"/>
              </w:rPr>
            </w:pPr>
          </w:p>
        </w:tc>
        <w:tc>
          <w:tcPr>
            <w:tcW w:w="412" w:type="dxa"/>
            <w:tcBorders>
              <w:left w:val="single" w:sz="2" w:space="0" w:color="231F20"/>
              <w:bottom w:val="single" w:sz="2" w:space="0" w:color="231F20"/>
              <w:right w:val="single" w:sz="2" w:space="0" w:color="231F20"/>
            </w:tcBorders>
            <w:shd w:val="clear" w:color="auto" w:fill="F9F39A"/>
          </w:tcPr>
          <w:p w14:paraId="3AEF4EAC" w14:textId="77777777" w:rsidR="00F65BCA" w:rsidRDefault="00F65BCA">
            <w:pPr>
              <w:pStyle w:val="TableParagraph"/>
              <w:rPr>
                <w:rFonts w:ascii="Times New Roman"/>
                <w:sz w:val="6"/>
              </w:rPr>
            </w:pPr>
          </w:p>
        </w:tc>
        <w:tc>
          <w:tcPr>
            <w:tcW w:w="412" w:type="dxa"/>
            <w:tcBorders>
              <w:left w:val="single" w:sz="2" w:space="0" w:color="231F20"/>
              <w:bottom w:val="single" w:sz="2" w:space="0" w:color="231F20"/>
              <w:right w:val="single" w:sz="2" w:space="0" w:color="231F20"/>
            </w:tcBorders>
            <w:shd w:val="clear" w:color="auto" w:fill="F9F39A"/>
          </w:tcPr>
          <w:p w14:paraId="09A9E851" w14:textId="77777777" w:rsidR="00F65BCA" w:rsidRDefault="00F65BCA">
            <w:pPr>
              <w:pStyle w:val="TableParagraph"/>
              <w:rPr>
                <w:rFonts w:ascii="Times New Roman"/>
                <w:sz w:val="6"/>
              </w:rPr>
            </w:pPr>
          </w:p>
        </w:tc>
        <w:tc>
          <w:tcPr>
            <w:tcW w:w="412" w:type="dxa"/>
            <w:tcBorders>
              <w:left w:val="single" w:sz="2" w:space="0" w:color="231F20"/>
              <w:bottom w:val="single" w:sz="2" w:space="0" w:color="231F20"/>
              <w:right w:val="single" w:sz="2" w:space="0" w:color="231F20"/>
            </w:tcBorders>
            <w:shd w:val="clear" w:color="auto" w:fill="F9F39A"/>
          </w:tcPr>
          <w:p w14:paraId="56421802" w14:textId="77777777" w:rsidR="00F65BCA" w:rsidRDefault="00F65BCA">
            <w:pPr>
              <w:pStyle w:val="TableParagraph"/>
              <w:rPr>
                <w:rFonts w:ascii="Times New Roman"/>
                <w:sz w:val="6"/>
              </w:rPr>
            </w:pPr>
          </w:p>
        </w:tc>
        <w:tc>
          <w:tcPr>
            <w:tcW w:w="410" w:type="dxa"/>
            <w:tcBorders>
              <w:left w:val="single" w:sz="2" w:space="0" w:color="231F20"/>
              <w:bottom w:val="single" w:sz="2" w:space="0" w:color="231F20"/>
            </w:tcBorders>
            <w:shd w:val="clear" w:color="auto" w:fill="F9F39A"/>
          </w:tcPr>
          <w:p w14:paraId="409FE17D" w14:textId="77777777" w:rsidR="00F65BCA" w:rsidRDefault="00F65BCA">
            <w:pPr>
              <w:pStyle w:val="TableParagraph"/>
              <w:rPr>
                <w:rFonts w:ascii="Times New Roman"/>
                <w:sz w:val="6"/>
              </w:rPr>
            </w:pPr>
          </w:p>
        </w:tc>
      </w:tr>
      <w:tr w:rsidR="00F65BCA" w14:paraId="661058FE" w14:textId="77777777">
        <w:trPr>
          <w:trHeight w:val="153"/>
        </w:trPr>
        <w:tc>
          <w:tcPr>
            <w:tcW w:w="166" w:type="dxa"/>
            <w:tcBorders>
              <w:top w:val="single" w:sz="2" w:space="0" w:color="231F20"/>
              <w:bottom w:val="single" w:sz="2" w:space="0" w:color="231F20"/>
              <w:right w:val="single" w:sz="2" w:space="0" w:color="231F20"/>
            </w:tcBorders>
          </w:tcPr>
          <w:p w14:paraId="4A947B75" w14:textId="77777777" w:rsidR="00F65BCA" w:rsidRDefault="00F65BCA">
            <w:pPr>
              <w:pStyle w:val="TableParagraph"/>
              <w:spacing w:before="8"/>
              <w:rPr>
                <w:rFonts w:ascii="Calibri"/>
                <w:b/>
                <w:sz w:val="6"/>
              </w:rPr>
            </w:pPr>
          </w:p>
          <w:p w14:paraId="3D511457" w14:textId="77777777" w:rsidR="00F65BCA" w:rsidRDefault="00216117">
            <w:pPr>
              <w:pStyle w:val="TableParagraph"/>
              <w:spacing w:line="51" w:lineRule="exact"/>
              <w:ind w:right="5"/>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6A862977" w14:textId="77777777" w:rsidR="00F65BCA" w:rsidRDefault="00F65BCA">
            <w:pPr>
              <w:pStyle w:val="TableParagraph"/>
              <w:spacing w:before="8"/>
              <w:rPr>
                <w:rFonts w:ascii="Calibri"/>
                <w:b/>
                <w:sz w:val="6"/>
              </w:rPr>
            </w:pPr>
          </w:p>
          <w:p w14:paraId="37F1AE98"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4DC3DA6E" w14:textId="77777777" w:rsidR="00F65BCA" w:rsidRDefault="00F65BCA">
            <w:pPr>
              <w:pStyle w:val="TableParagraph"/>
              <w:spacing w:before="8"/>
              <w:rPr>
                <w:rFonts w:ascii="Calibri"/>
                <w:b/>
                <w:sz w:val="6"/>
              </w:rPr>
            </w:pPr>
          </w:p>
          <w:p w14:paraId="6D9F864D"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1BF017BC" w14:textId="77777777" w:rsidR="00F65BCA" w:rsidRDefault="00F65BCA">
            <w:pPr>
              <w:pStyle w:val="TableParagraph"/>
              <w:spacing w:before="8"/>
              <w:rPr>
                <w:rFonts w:ascii="Calibri"/>
                <w:b/>
                <w:sz w:val="6"/>
              </w:rPr>
            </w:pPr>
          </w:p>
          <w:p w14:paraId="64CB402A"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6469864A" w14:textId="77777777" w:rsidR="00F65BCA" w:rsidRDefault="00F65BCA">
            <w:pPr>
              <w:pStyle w:val="TableParagraph"/>
              <w:spacing w:before="8"/>
              <w:rPr>
                <w:rFonts w:ascii="Calibri"/>
                <w:b/>
                <w:sz w:val="6"/>
              </w:rPr>
            </w:pPr>
          </w:p>
          <w:p w14:paraId="3F51A876" w14:textId="77777777" w:rsidR="00F65BCA" w:rsidRDefault="00216117">
            <w:pPr>
              <w:pStyle w:val="TableParagraph"/>
              <w:spacing w:line="51" w:lineRule="exact"/>
              <w:ind w:left="238"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3AB8A011" w14:textId="77777777" w:rsidR="00F65BCA" w:rsidRDefault="00F65BCA">
            <w:pPr>
              <w:pStyle w:val="TableParagraph"/>
              <w:spacing w:before="8"/>
              <w:rPr>
                <w:rFonts w:ascii="Calibri"/>
                <w:b/>
                <w:sz w:val="6"/>
              </w:rPr>
            </w:pPr>
          </w:p>
          <w:p w14:paraId="57E186EA"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spacing w:val="-1"/>
                <w:w w:val="237"/>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02019794" w14:textId="77777777" w:rsidR="00F65BCA" w:rsidRDefault="00F65BCA">
            <w:pPr>
              <w:pStyle w:val="TableParagraph"/>
              <w:spacing w:before="8"/>
              <w:rPr>
                <w:rFonts w:ascii="Calibri"/>
                <w:b/>
                <w:sz w:val="6"/>
              </w:rPr>
            </w:pPr>
          </w:p>
          <w:p w14:paraId="1220B0B5"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spacing w:val="-1"/>
                <w:w w:val="224"/>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0B27BC1E" w14:textId="77777777" w:rsidR="00F65BCA" w:rsidRDefault="00F65BCA">
            <w:pPr>
              <w:pStyle w:val="TableParagraph"/>
              <w:spacing w:before="8"/>
              <w:rPr>
                <w:rFonts w:ascii="Calibri"/>
                <w:b/>
                <w:sz w:val="6"/>
              </w:rPr>
            </w:pPr>
          </w:p>
          <w:p w14:paraId="0E688366"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258"/>
                <w:sz w:val="6"/>
              </w:rPr>
              <w:t xml:space="preserve">   </w:t>
            </w:r>
            <w:r>
              <w:rPr>
                <w:rFonts w:ascii="Calibri"/>
                <w:color w:val="231F20"/>
                <w:spacing w:val="-1"/>
                <w:w w:val="258"/>
                <w:sz w:val="6"/>
              </w:rPr>
              <w:t xml:space="preserve"> </w:t>
            </w:r>
            <w:r>
              <w:rPr>
                <w:rFonts w:ascii="Calibri"/>
                <w:color w:val="231F20"/>
                <w:w w:val="233"/>
                <w:sz w:val="6"/>
              </w:rPr>
              <w:t xml:space="preserve">  </w:t>
            </w:r>
            <w:r>
              <w:rPr>
                <w:rFonts w:ascii="Calibri"/>
                <w:color w:val="231F20"/>
                <w:w w:val="210"/>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5A8591E1" w14:textId="77777777" w:rsidR="00F65BCA" w:rsidRDefault="00F65BCA">
            <w:pPr>
              <w:pStyle w:val="TableParagraph"/>
              <w:spacing w:before="8"/>
              <w:rPr>
                <w:rFonts w:ascii="Calibri"/>
                <w:b/>
                <w:sz w:val="6"/>
              </w:rPr>
            </w:pPr>
          </w:p>
          <w:p w14:paraId="513A5CEC"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470BB10F" w14:textId="77777777" w:rsidR="00F65BCA" w:rsidRDefault="00F65BCA">
            <w:pPr>
              <w:pStyle w:val="TableParagraph"/>
              <w:spacing w:before="8"/>
              <w:rPr>
                <w:rFonts w:ascii="Calibri"/>
                <w:b/>
                <w:sz w:val="6"/>
              </w:rPr>
            </w:pPr>
          </w:p>
          <w:p w14:paraId="269478CC" w14:textId="77777777" w:rsidR="00F65BCA" w:rsidRDefault="00216117">
            <w:pPr>
              <w:pStyle w:val="TableParagraph"/>
              <w:spacing w:line="51" w:lineRule="exact"/>
              <w:ind w:left="9"/>
              <w:rPr>
                <w:rFonts w:ascii="Calibri"/>
                <w:sz w:val="6"/>
              </w:rPr>
            </w:pPr>
            <w:r>
              <w:rPr>
                <w:rFonts w:ascii="Calibri"/>
                <w:color w:val="231F20"/>
                <w:spacing w:val="-1"/>
                <w:w w:val="211"/>
                <w:sz w:val="6"/>
              </w:rPr>
              <w:t xml:space="preserve"> </w:t>
            </w:r>
            <w:r>
              <w:rPr>
                <w:rFonts w:ascii="Calibri"/>
                <w:color w:val="231F20"/>
                <w:w w:val="266"/>
                <w:sz w:val="6"/>
              </w:rPr>
              <w:t xml:space="preserve"> </w:t>
            </w:r>
            <w:r>
              <w:rPr>
                <w:rFonts w:ascii="Calibri"/>
                <w:color w:val="231F20"/>
                <w:w w:val="210"/>
                <w:sz w:val="6"/>
              </w:rPr>
              <w:t xml:space="preserve">   </w:t>
            </w:r>
            <w:r>
              <w:rPr>
                <w:rFonts w:ascii="Times New Roman"/>
                <w:color w:val="231F20"/>
                <w:spacing w:val="-1"/>
                <w:sz w:val="6"/>
              </w:rPr>
              <w:t xml:space="preserve"> </w:t>
            </w:r>
            <w:r>
              <w:rPr>
                <w:rFonts w:ascii="Calibri"/>
                <w:color w:val="231F20"/>
                <w:w w:val="115"/>
                <w:sz w:val="6"/>
              </w:rPr>
              <w:t xml:space="preserve">  </w:t>
            </w:r>
            <w:r>
              <w:rPr>
                <w:rFonts w:ascii="Times New Roman"/>
                <w:color w:val="231F20"/>
                <w:spacing w:val="-1"/>
                <w:sz w:val="6"/>
              </w:rPr>
              <w:t xml:space="preserve"> </w:t>
            </w:r>
            <w:r>
              <w:rPr>
                <w:rFonts w:ascii="Calibri"/>
                <w:color w:val="231F20"/>
                <w:spacing w:val="-1"/>
                <w:w w:val="245"/>
                <w:sz w:val="6"/>
              </w:rPr>
              <w:t xml:space="preserve"> </w:t>
            </w:r>
            <w:r>
              <w:rPr>
                <w:rFonts w:ascii="Calibri"/>
                <w:color w:val="231F20"/>
                <w:w w:val="316"/>
                <w:sz w:val="6"/>
              </w:rPr>
              <w:t xml:space="preserve">   </w:t>
            </w:r>
            <w:r>
              <w:rPr>
                <w:rFonts w:ascii="Calibri"/>
                <w:color w:val="231F20"/>
                <w:w w:val="11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8EAF69D" w14:textId="77777777" w:rsidR="00F65BCA" w:rsidRDefault="00F65BCA">
            <w:pPr>
              <w:pStyle w:val="TableParagraph"/>
              <w:spacing w:before="8"/>
              <w:rPr>
                <w:rFonts w:ascii="Calibri"/>
                <w:b/>
                <w:sz w:val="6"/>
              </w:rPr>
            </w:pPr>
          </w:p>
          <w:p w14:paraId="5903A9F8" w14:textId="77777777" w:rsidR="00F65BCA" w:rsidRDefault="00216117">
            <w:pPr>
              <w:pStyle w:val="TableParagraph"/>
              <w:spacing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7C9C6D20" w14:textId="77777777" w:rsidR="00F65BCA" w:rsidRDefault="00F65BCA">
            <w:pPr>
              <w:pStyle w:val="TableParagraph"/>
              <w:spacing w:before="8"/>
              <w:rPr>
                <w:rFonts w:ascii="Calibri"/>
                <w:b/>
                <w:sz w:val="6"/>
              </w:rPr>
            </w:pPr>
          </w:p>
          <w:p w14:paraId="18136342"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3AD38D8E" w14:textId="77777777" w:rsidR="00F65BCA" w:rsidRDefault="00F65BCA">
            <w:pPr>
              <w:pStyle w:val="TableParagraph"/>
              <w:spacing w:before="8"/>
              <w:rPr>
                <w:rFonts w:ascii="Calibri"/>
                <w:b/>
                <w:sz w:val="6"/>
              </w:rPr>
            </w:pPr>
          </w:p>
          <w:p w14:paraId="60EA4B5D"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175A1344" w14:textId="77777777" w:rsidR="00F65BCA" w:rsidRDefault="00F65BCA">
            <w:pPr>
              <w:pStyle w:val="TableParagraph"/>
              <w:spacing w:before="8"/>
              <w:rPr>
                <w:rFonts w:ascii="Calibri"/>
                <w:b/>
                <w:sz w:val="6"/>
              </w:rPr>
            </w:pPr>
          </w:p>
          <w:p w14:paraId="75A1E16E"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5E522EF9" w14:textId="77777777" w:rsidR="00F65BCA" w:rsidRDefault="00F65BCA">
            <w:pPr>
              <w:pStyle w:val="TableParagraph"/>
              <w:spacing w:before="8"/>
              <w:rPr>
                <w:rFonts w:ascii="Calibri"/>
                <w:b/>
                <w:sz w:val="6"/>
              </w:rPr>
            </w:pPr>
          </w:p>
          <w:p w14:paraId="11E0E399"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7B880F96" w14:textId="77777777" w:rsidR="00F65BCA" w:rsidRDefault="00F65BCA">
            <w:pPr>
              <w:pStyle w:val="TableParagraph"/>
              <w:spacing w:before="8"/>
              <w:rPr>
                <w:rFonts w:ascii="Calibri"/>
                <w:b/>
                <w:sz w:val="6"/>
              </w:rPr>
            </w:pPr>
          </w:p>
          <w:p w14:paraId="2DCAF7BC"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5E8EC614" w14:textId="77777777" w:rsidR="00F65BCA" w:rsidRDefault="00F65BCA">
            <w:pPr>
              <w:pStyle w:val="TableParagraph"/>
              <w:spacing w:before="8"/>
              <w:rPr>
                <w:rFonts w:ascii="Calibri"/>
                <w:b/>
                <w:sz w:val="6"/>
              </w:rPr>
            </w:pPr>
          </w:p>
          <w:p w14:paraId="2651E4DA" w14:textId="77777777" w:rsidR="00F65BCA" w:rsidRDefault="00216117">
            <w:pPr>
              <w:pStyle w:val="TableParagraph"/>
              <w:spacing w:line="51" w:lineRule="exact"/>
              <w:ind w:right="5"/>
              <w:jc w:val="center"/>
              <w:rPr>
                <w:rFonts w:ascii="Calibri"/>
                <w:sz w:val="6"/>
              </w:rPr>
            </w:pPr>
            <w:r>
              <w:rPr>
                <w:rFonts w:ascii="Calibri"/>
                <w:color w:val="231F20"/>
                <w:w w:val="239"/>
                <w:sz w:val="6"/>
              </w:rPr>
              <w:t xml:space="preserve"> </w:t>
            </w:r>
            <w:r>
              <w:rPr>
                <w:rFonts w:ascii="Calibri"/>
                <w:color w:val="231F20"/>
                <w:spacing w:val="-1"/>
                <w:w w:val="239"/>
                <w:sz w:val="6"/>
              </w:rPr>
              <w:t xml:space="preserve"> </w:t>
            </w:r>
            <w:r>
              <w:rPr>
                <w:rFonts w:ascii="Calibri"/>
                <w:color w:val="231F20"/>
                <w:spacing w:val="-1"/>
                <w:w w:val="241"/>
                <w:sz w:val="6"/>
              </w:rPr>
              <w:t xml:space="preserve"> </w:t>
            </w:r>
            <w:r>
              <w:rPr>
                <w:rFonts w:ascii="Calibri"/>
                <w:color w:val="231F20"/>
                <w:w w:val="143"/>
                <w:sz w:val="6"/>
              </w:rPr>
              <w:t xml:space="preserve"> </w:t>
            </w:r>
            <w:r>
              <w:rPr>
                <w:rFonts w:ascii="Calibri"/>
                <w:color w:val="231F20"/>
                <w:spacing w:val="-1"/>
                <w:w w:val="143"/>
                <w:sz w:val="6"/>
              </w:rPr>
              <w:t xml:space="preserve"> </w:t>
            </w:r>
            <w:r>
              <w:rPr>
                <w:rFonts w:ascii="Calibri"/>
                <w:color w:val="231F20"/>
                <w:w w:val="241"/>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2EC55524" w14:textId="77777777" w:rsidR="00F65BCA" w:rsidRDefault="00F65BCA">
            <w:pPr>
              <w:pStyle w:val="TableParagraph"/>
              <w:spacing w:before="8"/>
              <w:rPr>
                <w:rFonts w:ascii="Calibri"/>
                <w:b/>
                <w:sz w:val="6"/>
              </w:rPr>
            </w:pPr>
          </w:p>
          <w:p w14:paraId="636006AA"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75EC979F" w14:textId="77777777" w:rsidR="00F65BCA" w:rsidRDefault="00F65BCA">
            <w:pPr>
              <w:pStyle w:val="TableParagraph"/>
              <w:spacing w:before="8"/>
              <w:rPr>
                <w:rFonts w:ascii="Calibri"/>
                <w:b/>
                <w:sz w:val="6"/>
              </w:rPr>
            </w:pPr>
          </w:p>
          <w:p w14:paraId="1081B63C"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5B38DEDB" w14:textId="77777777" w:rsidR="00F65BCA" w:rsidRDefault="00F65BCA">
            <w:pPr>
              <w:pStyle w:val="TableParagraph"/>
              <w:spacing w:before="8"/>
              <w:rPr>
                <w:rFonts w:ascii="Calibri"/>
                <w:b/>
                <w:sz w:val="6"/>
              </w:rPr>
            </w:pPr>
          </w:p>
          <w:p w14:paraId="2FCA6734"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02E60219" w14:textId="77777777" w:rsidR="00F65BCA" w:rsidRDefault="00F65BCA">
            <w:pPr>
              <w:pStyle w:val="TableParagraph"/>
              <w:spacing w:before="8"/>
              <w:rPr>
                <w:rFonts w:ascii="Calibri"/>
                <w:b/>
                <w:sz w:val="6"/>
              </w:rPr>
            </w:pPr>
          </w:p>
          <w:p w14:paraId="4CEB2224"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7389AD99" w14:textId="77777777" w:rsidR="00F65BCA" w:rsidRDefault="00F65BCA">
            <w:pPr>
              <w:pStyle w:val="TableParagraph"/>
              <w:spacing w:before="8"/>
              <w:rPr>
                <w:rFonts w:ascii="Calibri"/>
                <w:b/>
                <w:sz w:val="6"/>
              </w:rPr>
            </w:pPr>
          </w:p>
          <w:p w14:paraId="03D5B45B" w14:textId="77777777" w:rsidR="00F65BCA" w:rsidRDefault="00216117">
            <w:pPr>
              <w:pStyle w:val="TableParagraph"/>
              <w:spacing w:line="51" w:lineRule="exact"/>
              <w:ind w:right="24"/>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3874BE95" w14:textId="77777777" w:rsidR="00F65BCA" w:rsidRDefault="00F65BCA">
            <w:pPr>
              <w:pStyle w:val="TableParagraph"/>
              <w:spacing w:before="8"/>
              <w:rPr>
                <w:rFonts w:ascii="Calibri"/>
                <w:b/>
                <w:sz w:val="6"/>
              </w:rPr>
            </w:pPr>
          </w:p>
          <w:p w14:paraId="71C02474"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73437D89" w14:textId="77777777" w:rsidR="00F65BCA" w:rsidRDefault="00F65BCA">
            <w:pPr>
              <w:pStyle w:val="TableParagraph"/>
              <w:spacing w:before="8"/>
              <w:rPr>
                <w:rFonts w:ascii="Calibri"/>
                <w:b/>
                <w:sz w:val="6"/>
              </w:rPr>
            </w:pPr>
          </w:p>
          <w:p w14:paraId="7F33D34C"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023E056C" w14:textId="77777777" w:rsidR="00F65BCA" w:rsidRDefault="00F65BCA">
            <w:pPr>
              <w:pStyle w:val="TableParagraph"/>
              <w:spacing w:before="8"/>
              <w:rPr>
                <w:rFonts w:ascii="Calibri"/>
                <w:b/>
                <w:sz w:val="6"/>
              </w:rPr>
            </w:pPr>
          </w:p>
          <w:p w14:paraId="2062A89F"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03EBB1F0"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0415E3F6"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56D7087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26BBA1C"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49CF7C98"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37EBA471" w14:textId="77777777" w:rsidR="00F65BCA" w:rsidRDefault="00F65BCA">
            <w:pPr>
              <w:pStyle w:val="TableParagraph"/>
              <w:rPr>
                <w:rFonts w:ascii="Times New Roman"/>
                <w:sz w:val="6"/>
              </w:rPr>
            </w:pPr>
          </w:p>
        </w:tc>
      </w:tr>
      <w:tr w:rsidR="00F65BCA" w14:paraId="1FE6D8B0" w14:textId="77777777">
        <w:trPr>
          <w:trHeight w:val="153"/>
        </w:trPr>
        <w:tc>
          <w:tcPr>
            <w:tcW w:w="166" w:type="dxa"/>
            <w:tcBorders>
              <w:top w:val="single" w:sz="2" w:space="0" w:color="231F20"/>
              <w:bottom w:val="single" w:sz="2" w:space="0" w:color="231F20"/>
              <w:right w:val="single" w:sz="2" w:space="0" w:color="231F20"/>
            </w:tcBorders>
          </w:tcPr>
          <w:p w14:paraId="1C32EF3A" w14:textId="77777777" w:rsidR="00F65BCA" w:rsidRDefault="00F65BCA">
            <w:pPr>
              <w:pStyle w:val="TableParagraph"/>
              <w:spacing w:before="8"/>
              <w:rPr>
                <w:rFonts w:ascii="Calibri"/>
                <w:b/>
                <w:sz w:val="6"/>
              </w:rPr>
            </w:pPr>
          </w:p>
          <w:p w14:paraId="69104D93" w14:textId="77777777" w:rsidR="00F65BCA" w:rsidRDefault="00216117">
            <w:pPr>
              <w:pStyle w:val="TableParagraph"/>
              <w:spacing w:line="51" w:lineRule="exact"/>
              <w:ind w:right="5"/>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317CE183" w14:textId="77777777" w:rsidR="00F65BCA" w:rsidRDefault="00F65BCA">
            <w:pPr>
              <w:pStyle w:val="TableParagraph"/>
              <w:spacing w:before="8"/>
              <w:rPr>
                <w:rFonts w:ascii="Calibri"/>
                <w:b/>
                <w:sz w:val="6"/>
              </w:rPr>
            </w:pPr>
          </w:p>
          <w:p w14:paraId="1EE421A7"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30EBCCF3" w14:textId="77777777" w:rsidR="00F65BCA" w:rsidRDefault="00F65BCA">
            <w:pPr>
              <w:pStyle w:val="TableParagraph"/>
              <w:spacing w:before="8"/>
              <w:rPr>
                <w:rFonts w:ascii="Calibri"/>
                <w:b/>
                <w:sz w:val="6"/>
              </w:rPr>
            </w:pPr>
          </w:p>
          <w:p w14:paraId="6122527A"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7CC3081B" w14:textId="77777777" w:rsidR="00F65BCA" w:rsidRDefault="00F65BCA">
            <w:pPr>
              <w:pStyle w:val="TableParagraph"/>
              <w:spacing w:before="8"/>
              <w:rPr>
                <w:rFonts w:ascii="Calibri"/>
                <w:b/>
                <w:sz w:val="6"/>
              </w:rPr>
            </w:pPr>
          </w:p>
          <w:p w14:paraId="611AE253"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5F69875B" w14:textId="77777777" w:rsidR="00F65BCA" w:rsidRDefault="00F65BCA">
            <w:pPr>
              <w:pStyle w:val="TableParagraph"/>
              <w:spacing w:before="8"/>
              <w:rPr>
                <w:rFonts w:ascii="Calibri"/>
                <w:b/>
                <w:sz w:val="6"/>
              </w:rPr>
            </w:pPr>
          </w:p>
          <w:p w14:paraId="6E7A9BE7" w14:textId="77777777" w:rsidR="00F65BCA" w:rsidRDefault="00216117">
            <w:pPr>
              <w:pStyle w:val="TableParagraph"/>
              <w:spacing w:line="51" w:lineRule="exact"/>
              <w:ind w:left="238"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70BBD1B2" w14:textId="77777777" w:rsidR="00F65BCA" w:rsidRDefault="00F65BCA">
            <w:pPr>
              <w:pStyle w:val="TableParagraph"/>
              <w:spacing w:before="8"/>
              <w:rPr>
                <w:rFonts w:ascii="Calibri"/>
                <w:b/>
                <w:sz w:val="6"/>
              </w:rPr>
            </w:pPr>
          </w:p>
          <w:p w14:paraId="70687F57"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spacing w:val="-1"/>
                <w:w w:val="266"/>
                <w:sz w:val="6"/>
              </w:rPr>
              <w:t xml:space="preserve"> </w:t>
            </w:r>
            <w:r>
              <w:rPr>
                <w:rFonts w:ascii="Calibri"/>
                <w:color w:val="231F20"/>
                <w:spacing w:val="-1"/>
                <w:w w:val="211"/>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73EA192C" w14:textId="77777777" w:rsidR="00F65BCA" w:rsidRDefault="00F65BCA">
            <w:pPr>
              <w:pStyle w:val="TableParagraph"/>
              <w:spacing w:before="8"/>
              <w:rPr>
                <w:rFonts w:ascii="Calibri"/>
                <w:b/>
                <w:sz w:val="6"/>
              </w:rPr>
            </w:pPr>
          </w:p>
          <w:p w14:paraId="76D4B4D4"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189"/>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592A0EFE" w14:textId="77777777" w:rsidR="00F65BCA" w:rsidRDefault="00F65BCA">
            <w:pPr>
              <w:pStyle w:val="TableParagraph"/>
              <w:spacing w:before="8"/>
              <w:rPr>
                <w:rFonts w:ascii="Calibri"/>
                <w:b/>
                <w:sz w:val="6"/>
              </w:rPr>
            </w:pPr>
          </w:p>
          <w:p w14:paraId="3D8E085B"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303"/>
                <w:sz w:val="6"/>
              </w:rPr>
              <w:t xml:space="preserve">   </w:t>
            </w:r>
            <w:r>
              <w:rPr>
                <w:rFonts w:ascii="Calibri"/>
                <w:color w:val="231F20"/>
                <w:w w:val="237"/>
                <w:sz w:val="6"/>
              </w:rPr>
              <w:t xml:space="preserve"> </w:t>
            </w:r>
            <w:r>
              <w:rPr>
                <w:rFonts w:ascii="Calibri"/>
                <w:color w:val="231F20"/>
                <w:w w:val="265"/>
                <w:sz w:val="6"/>
              </w:rPr>
              <w:t xml:space="preserve">  </w:t>
            </w:r>
            <w:r>
              <w:rPr>
                <w:rFonts w:ascii="Calibri"/>
                <w:color w:val="231F20"/>
                <w:w w:val="252"/>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0CE35BFC" w14:textId="77777777" w:rsidR="00F65BCA" w:rsidRDefault="00F65BCA">
            <w:pPr>
              <w:pStyle w:val="TableParagraph"/>
              <w:spacing w:before="8"/>
              <w:rPr>
                <w:rFonts w:ascii="Calibri"/>
                <w:b/>
                <w:sz w:val="6"/>
              </w:rPr>
            </w:pPr>
          </w:p>
          <w:p w14:paraId="094C8C9F"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58BB5A78" w14:textId="77777777" w:rsidR="00F65BCA" w:rsidRDefault="00F65BCA">
            <w:pPr>
              <w:pStyle w:val="TableParagraph"/>
              <w:spacing w:before="8"/>
              <w:rPr>
                <w:rFonts w:ascii="Calibri"/>
                <w:b/>
                <w:sz w:val="6"/>
              </w:rPr>
            </w:pPr>
          </w:p>
          <w:p w14:paraId="268A9BF7" w14:textId="77777777" w:rsidR="00F65BCA" w:rsidRDefault="00216117">
            <w:pPr>
              <w:pStyle w:val="TableParagraph"/>
              <w:spacing w:line="51" w:lineRule="exact"/>
              <w:ind w:left="9"/>
              <w:rPr>
                <w:rFonts w:ascii="Calibri"/>
                <w:sz w:val="6"/>
              </w:rPr>
            </w:pPr>
            <w:r>
              <w:rPr>
                <w:rFonts w:ascii="Calibri"/>
                <w:color w:val="231F20"/>
                <w:w w:val="257"/>
                <w:sz w:val="6"/>
              </w:rPr>
              <w:t xml:space="preserve">  </w:t>
            </w:r>
            <w:r>
              <w:rPr>
                <w:rFonts w:ascii="Calibri"/>
                <w:color w:val="231F20"/>
                <w:w w:val="237"/>
                <w:sz w:val="6"/>
              </w:rPr>
              <w:t xml:space="preserve"> </w:t>
            </w:r>
            <w:r>
              <w:rPr>
                <w:rFonts w:ascii="Calibri"/>
                <w:color w:val="231F20"/>
                <w:w w:val="19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E8E1B90" w14:textId="77777777" w:rsidR="00F65BCA" w:rsidRDefault="00F65BCA">
            <w:pPr>
              <w:pStyle w:val="TableParagraph"/>
              <w:spacing w:before="8"/>
              <w:rPr>
                <w:rFonts w:ascii="Calibri"/>
                <w:b/>
                <w:sz w:val="6"/>
              </w:rPr>
            </w:pPr>
          </w:p>
          <w:p w14:paraId="1CC42C12" w14:textId="77777777" w:rsidR="00F65BCA" w:rsidRDefault="00216117">
            <w:pPr>
              <w:pStyle w:val="TableParagraph"/>
              <w:spacing w:line="51" w:lineRule="exact"/>
              <w:ind w:left="8"/>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2CDB7054" w14:textId="77777777" w:rsidR="00F65BCA" w:rsidRDefault="00F65BCA">
            <w:pPr>
              <w:pStyle w:val="TableParagraph"/>
              <w:spacing w:before="8"/>
              <w:rPr>
                <w:rFonts w:ascii="Calibri"/>
                <w:b/>
                <w:sz w:val="6"/>
              </w:rPr>
            </w:pPr>
          </w:p>
          <w:p w14:paraId="79710C6C"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00F67723" w14:textId="77777777" w:rsidR="00F65BCA" w:rsidRDefault="00F65BCA">
            <w:pPr>
              <w:pStyle w:val="TableParagraph"/>
              <w:spacing w:before="8"/>
              <w:rPr>
                <w:rFonts w:ascii="Calibri"/>
                <w:b/>
                <w:sz w:val="6"/>
              </w:rPr>
            </w:pPr>
          </w:p>
          <w:p w14:paraId="0A451C69" w14:textId="77777777" w:rsidR="00F65BCA" w:rsidRDefault="00216117">
            <w:pPr>
              <w:pStyle w:val="TableParagraph"/>
              <w:spacing w:line="51" w:lineRule="exact"/>
              <w:ind w:right="17"/>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185F9F72" w14:textId="77777777" w:rsidR="00F65BCA" w:rsidRDefault="00F65BCA">
            <w:pPr>
              <w:pStyle w:val="TableParagraph"/>
              <w:spacing w:before="8"/>
              <w:rPr>
                <w:rFonts w:ascii="Calibri"/>
                <w:b/>
                <w:sz w:val="6"/>
              </w:rPr>
            </w:pPr>
          </w:p>
          <w:p w14:paraId="27749957"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3F2B7449" w14:textId="77777777" w:rsidR="00F65BCA" w:rsidRDefault="00F65BCA">
            <w:pPr>
              <w:pStyle w:val="TableParagraph"/>
              <w:spacing w:before="8"/>
              <w:rPr>
                <w:rFonts w:ascii="Calibri"/>
                <w:b/>
                <w:sz w:val="6"/>
              </w:rPr>
            </w:pPr>
          </w:p>
          <w:p w14:paraId="0118F645"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35AC537D" w14:textId="77777777" w:rsidR="00F65BCA" w:rsidRDefault="00F65BCA">
            <w:pPr>
              <w:pStyle w:val="TableParagraph"/>
              <w:spacing w:before="8"/>
              <w:rPr>
                <w:rFonts w:ascii="Calibri"/>
                <w:b/>
                <w:sz w:val="6"/>
              </w:rPr>
            </w:pPr>
          </w:p>
          <w:p w14:paraId="2F0BB283"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6ECC1132" w14:textId="77777777" w:rsidR="00F65BCA" w:rsidRDefault="00F65BCA">
            <w:pPr>
              <w:pStyle w:val="TableParagraph"/>
              <w:spacing w:before="8"/>
              <w:rPr>
                <w:rFonts w:ascii="Calibri"/>
                <w:b/>
                <w:sz w:val="6"/>
              </w:rPr>
            </w:pPr>
          </w:p>
          <w:p w14:paraId="25BCA18D" w14:textId="77777777" w:rsidR="00F65BCA" w:rsidRDefault="00216117">
            <w:pPr>
              <w:pStyle w:val="TableParagraph"/>
              <w:spacing w:line="51" w:lineRule="exact"/>
              <w:ind w:right="5"/>
              <w:jc w:val="center"/>
              <w:rPr>
                <w:rFonts w:ascii="Calibri"/>
                <w:sz w:val="6"/>
              </w:rPr>
            </w:pPr>
            <w:r>
              <w:rPr>
                <w:rFonts w:ascii="Calibri"/>
                <w:color w:val="231F20"/>
                <w:w w:val="239"/>
                <w:sz w:val="6"/>
              </w:rPr>
              <w:t xml:space="preserve">  </w:t>
            </w:r>
            <w:r>
              <w:rPr>
                <w:rFonts w:ascii="Calibri"/>
                <w:color w:val="231F20"/>
                <w:spacing w:val="-1"/>
                <w:w w:val="241"/>
                <w:sz w:val="6"/>
              </w:rPr>
              <w:t xml:space="preserve"> </w:t>
            </w:r>
            <w:r>
              <w:rPr>
                <w:rFonts w:ascii="Calibri"/>
                <w:color w:val="231F20"/>
                <w:w w:val="143"/>
                <w:sz w:val="6"/>
              </w:rPr>
              <w:t xml:space="preserve"> </w:t>
            </w:r>
            <w:r>
              <w:rPr>
                <w:rFonts w:ascii="Calibri"/>
                <w:color w:val="231F20"/>
                <w:spacing w:val="-1"/>
                <w:w w:val="143"/>
                <w:sz w:val="6"/>
              </w:rPr>
              <w:t xml:space="preserve"> </w:t>
            </w:r>
            <w:r>
              <w:rPr>
                <w:rFonts w:ascii="Calibri"/>
                <w:color w:val="231F20"/>
                <w:w w:val="241"/>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508E77C3" w14:textId="77777777" w:rsidR="00F65BCA" w:rsidRDefault="00F65BCA">
            <w:pPr>
              <w:pStyle w:val="TableParagraph"/>
              <w:spacing w:before="8"/>
              <w:rPr>
                <w:rFonts w:ascii="Calibri"/>
                <w:b/>
                <w:sz w:val="6"/>
              </w:rPr>
            </w:pPr>
          </w:p>
          <w:p w14:paraId="04955001"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6F2AF9DF" w14:textId="77777777" w:rsidR="00F65BCA" w:rsidRDefault="00F65BCA">
            <w:pPr>
              <w:pStyle w:val="TableParagraph"/>
              <w:spacing w:before="8"/>
              <w:rPr>
                <w:rFonts w:ascii="Calibri"/>
                <w:b/>
                <w:sz w:val="6"/>
              </w:rPr>
            </w:pPr>
          </w:p>
          <w:p w14:paraId="5EC0D31A"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266F6649" w14:textId="77777777" w:rsidR="00F65BCA" w:rsidRDefault="00F65BCA">
            <w:pPr>
              <w:pStyle w:val="TableParagraph"/>
              <w:spacing w:before="8"/>
              <w:rPr>
                <w:rFonts w:ascii="Calibri"/>
                <w:b/>
                <w:sz w:val="6"/>
              </w:rPr>
            </w:pPr>
          </w:p>
          <w:p w14:paraId="1AB3D032"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7F46C130" w14:textId="77777777" w:rsidR="00F65BCA" w:rsidRDefault="00F65BCA">
            <w:pPr>
              <w:pStyle w:val="TableParagraph"/>
              <w:spacing w:before="8"/>
              <w:rPr>
                <w:rFonts w:ascii="Calibri"/>
                <w:b/>
                <w:sz w:val="6"/>
              </w:rPr>
            </w:pPr>
          </w:p>
          <w:p w14:paraId="586E4306"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190E2F4C" w14:textId="77777777" w:rsidR="00F65BCA" w:rsidRDefault="00F65BCA">
            <w:pPr>
              <w:pStyle w:val="TableParagraph"/>
              <w:spacing w:before="8"/>
              <w:rPr>
                <w:rFonts w:ascii="Calibri"/>
                <w:b/>
                <w:sz w:val="6"/>
              </w:rPr>
            </w:pPr>
          </w:p>
          <w:p w14:paraId="50394296" w14:textId="77777777" w:rsidR="00F65BCA" w:rsidRDefault="00216117">
            <w:pPr>
              <w:pStyle w:val="TableParagraph"/>
              <w:spacing w:line="51" w:lineRule="exact"/>
              <w:ind w:right="23"/>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3FBC5560" w14:textId="77777777" w:rsidR="00F65BCA" w:rsidRDefault="00F65BCA">
            <w:pPr>
              <w:pStyle w:val="TableParagraph"/>
              <w:spacing w:before="8"/>
              <w:rPr>
                <w:rFonts w:ascii="Calibri"/>
                <w:b/>
                <w:sz w:val="6"/>
              </w:rPr>
            </w:pPr>
          </w:p>
          <w:p w14:paraId="37241865"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7EC8B055" w14:textId="77777777" w:rsidR="00F65BCA" w:rsidRDefault="00F65BCA">
            <w:pPr>
              <w:pStyle w:val="TableParagraph"/>
              <w:spacing w:before="8"/>
              <w:rPr>
                <w:rFonts w:ascii="Calibri"/>
                <w:b/>
                <w:sz w:val="6"/>
              </w:rPr>
            </w:pPr>
          </w:p>
          <w:p w14:paraId="74219E51" w14:textId="77777777" w:rsidR="00F65BCA" w:rsidRDefault="00216117">
            <w:pPr>
              <w:pStyle w:val="TableParagraph"/>
              <w:spacing w:line="51" w:lineRule="exact"/>
              <w:ind w:left="3"/>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48C389ED" w14:textId="77777777" w:rsidR="00F65BCA" w:rsidRDefault="00F65BCA">
            <w:pPr>
              <w:pStyle w:val="TableParagraph"/>
              <w:spacing w:before="8"/>
              <w:rPr>
                <w:rFonts w:ascii="Calibri"/>
                <w:b/>
                <w:sz w:val="6"/>
              </w:rPr>
            </w:pPr>
          </w:p>
          <w:p w14:paraId="108F36B9"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613300B7"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7CAF5E7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6EC71FD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681C7E0C"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81C8C92"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6A497A54" w14:textId="77777777" w:rsidR="00F65BCA" w:rsidRDefault="00F65BCA">
            <w:pPr>
              <w:pStyle w:val="TableParagraph"/>
              <w:rPr>
                <w:rFonts w:ascii="Times New Roman"/>
                <w:sz w:val="6"/>
              </w:rPr>
            </w:pPr>
          </w:p>
        </w:tc>
      </w:tr>
      <w:tr w:rsidR="00F65BCA" w14:paraId="476EB4B2" w14:textId="77777777">
        <w:trPr>
          <w:trHeight w:val="153"/>
        </w:trPr>
        <w:tc>
          <w:tcPr>
            <w:tcW w:w="166" w:type="dxa"/>
            <w:tcBorders>
              <w:top w:val="single" w:sz="2" w:space="0" w:color="231F20"/>
              <w:bottom w:val="single" w:sz="2" w:space="0" w:color="231F20"/>
              <w:right w:val="single" w:sz="2" w:space="0" w:color="231F20"/>
            </w:tcBorders>
          </w:tcPr>
          <w:p w14:paraId="76138830" w14:textId="77777777" w:rsidR="00F65BCA" w:rsidRDefault="00F65BCA">
            <w:pPr>
              <w:pStyle w:val="TableParagraph"/>
              <w:spacing w:before="8"/>
              <w:rPr>
                <w:rFonts w:ascii="Calibri"/>
                <w:b/>
                <w:sz w:val="6"/>
              </w:rPr>
            </w:pPr>
          </w:p>
          <w:p w14:paraId="665C98BD" w14:textId="77777777" w:rsidR="00F65BCA" w:rsidRDefault="00216117">
            <w:pPr>
              <w:pStyle w:val="TableParagraph"/>
              <w:spacing w:line="51" w:lineRule="exact"/>
              <w:ind w:right="5"/>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095C7BE1" w14:textId="77777777" w:rsidR="00F65BCA" w:rsidRDefault="00F65BCA">
            <w:pPr>
              <w:pStyle w:val="TableParagraph"/>
              <w:spacing w:before="8"/>
              <w:rPr>
                <w:rFonts w:ascii="Calibri"/>
                <w:b/>
                <w:sz w:val="6"/>
              </w:rPr>
            </w:pPr>
          </w:p>
          <w:p w14:paraId="3C092BD3"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46E30343" w14:textId="77777777" w:rsidR="00F65BCA" w:rsidRDefault="00F65BCA">
            <w:pPr>
              <w:pStyle w:val="TableParagraph"/>
              <w:spacing w:before="8"/>
              <w:rPr>
                <w:rFonts w:ascii="Calibri"/>
                <w:b/>
                <w:sz w:val="6"/>
              </w:rPr>
            </w:pPr>
          </w:p>
          <w:p w14:paraId="0E00F15E"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55385653" w14:textId="77777777" w:rsidR="00F65BCA" w:rsidRDefault="00F65BCA">
            <w:pPr>
              <w:pStyle w:val="TableParagraph"/>
              <w:spacing w:before="8"/>
              <w:rPr>
                <w:rFonts w:ascii="Calibri"/>
                <w:b/>
                <w:sz w:val="6"/>
              </w:rPr>
            </w:pPr>
          </w:p>
          <w:p w14:paraId="6D548A50"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5F4B08EF" w14:textId="77777777" w:rsidR="00F65BCA" w:rsidRDefault="00F65BCA">
            <w:pPr>
              <w:pStyle w:val="TableParagraph"/>
              <w:spacing w:before="8"/>
              <w:rPr>
                <w:rFonts w:ascii="Calibri"/>
                <w:b/>
                <w:sz w:val="6"/>
              </w:rPr>
            </w:pPr>
          </w:p>
          <w:p w14:paraId="5CA2ABFD" w14:textId="77777777" w:rsidR="00F65BCA" w:rsidRDefault="00216117">
            <w:pPr>
              <w:pStyle w:val="TableParagraph"/>
              <w:spacing w:line="51" w:lineRule="exact"/>
              <w:ind w:left="238"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67ACE9B7" w14:textId="77777777" w:rsidR="00F65BCA" w:rsidRDefault="00F65BCA">
            <w:pPr>
              <w:pStyle w:val="TableParagraph"/>
              <w:spacing w:before="8"/>
              <w:rPr>
                <w:rFonts w:ascii="Calibri"/>
                <w:b/>
                <w:sz w:val="6"/>
              </w:rPr>
            </w:pPr>
          </w:p>
          <w:p w14:paraId="6F8F0564" w14:textId="77777777" w:rsidR="00F65BCA" w:rsidRDefault="00216117">
            <w:pPr>
              <w:pStyle w:val="TableParagraph"/>
              <w:spacing w:line="51" w:lineRule="exact"/>
              <w:ind w:left="12"/>
              <w:rPr>
                <w:rFonts w:ascii="Calibri"/>
                <w:sz w:val="6"/>
              </w:rPr>
            </w:pPr>
            <w:r>
              <w:rPr>
                <w:rFonts w:ascii="Calibri"/>
                <w:color w:val="231F20"/>
                <w:w w:val="211"/>
                <w:sz w:val="6"/>
              </w:rPr>
              <w:t xml:space="preserve"> </w:t>
            </w:r>
            <w:r>
              <w:rPr>
                <w:rFonts w:ascii="Calibri"/>
                <w:color w:val="231F20"/>
                <w:w w:val="125"/>
                <w:sz w:val="6"/>
              </w:rPr>
              <w:t xml:space="preserve">k </w:t>
            </w:r>
            <w:r>
              <w:rPr>
                <w:rFonts w:ascii="Calibri"/>
                <w:color w:val="231F20"/>
                <w:w w:val="130"/>
                <w:sz w:val="6"/>
              </w:rPr>
              <w:t>k</w:t>
            </w:r>
            <w:r>
              <w:rPr>
                <w:rFonts w:ascii="Calibri"/>
                <w:color w:val="231F20"/>
                <w:w w:val="224"/>
                <w:sz w:val="6"/>
              </w:rPr>
              <w:t xml:space="preserve"> </w:t>
            </w:r>
            <w:r>
              <w:rPr>
                <w:rFonts w:ascii="Calibri"/>
                <w:color w:val="231F20"/>
                <w:w w:val="296"/>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5CCECD74" w14:textId="77777777" w:rsidR="00F65BCA" w:rsidRDefault="00F65BCA">
            <w:pPr>
              <w:pStyle w:val="TableParagraph"/>
              <w:spacing w:before="8"/>
              <w:rPr>
                <w:rFonts w:ascii="Calibri"/>
                <w:b/>
                <w:sz w:val="6"/>
              </w:rPr>
            </w:pPr>
          </w:p>
          <w:p w14:paraId="04ACCC5C" w14:textId="77777777" w:rsidR="00F65BCA" w:rsidRDefault="00216117">
            <w:pPr>
              <w:pStyle w:val="TableParagraph"/>
              <w:spacing w:line="51" w:lineRule="exact"/>
              <w:ind w:left="10"/>
              <w:rPr>
                <w:rFonts w:ascii="Calibri"/>
                <w:sz w:val="6"/>
              </w:rPr>
            </w:pPr>
            <w:r>
              <w:rPr>
                <w:rFonts w:ascii="Calibri"/>
                <w:color w:val="231F20"/>
                <w:w w:val="295"/>
                <w:sz w:val="6"/>
              </w:rPr>
              <w:t xml:space="preserve"> </w:t>
            </w:r>
            <w:r>
              <w:rPr>
                <w:rFonts w:ascii="Calibri"/>
                <w:color w:val="231F20"/>
                <w:w w:val="286"/>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7428AA81" w14:textId="77777777" w:rsidR="00F65BCA" w:rsidRDefault="00F65BCA">
            <w:pPr>
              <w:pStyle w:val="TableParagraph"/>
              <w:spacing w:before="8"/>
              <w:rPr>
                <w:rFonts w:ascii="Calibri"/>
                <w:b/>
                <w:sz w:val="6"/>
              </w:rPr>
            </w:pPr>
          </w:p>
          <w:p w14:paraId="572202D5" w14:textId="77777777" w:rsidR="00F65BCA" w:rsidRDefault="00216117">
            <w:pPr>
              <w:pStyle w:val="TableParagraph"/>
              <w:spacing w:line="51" w:lineRule="exact"/>
              <w:ind w:left="10"/>
              <w:rPr>
                <w:rFonts w:ascii="Calibri" w:hAnsi="Calibri"/>
                <w:sz w:val="6"/>
              </w:rPr>
            </w:pPr>
            <w:r>
              <w:rPr>
                <w:rFonts w:ascii="Calibri" w:hAnsi="Calibri"/>
                <w:color w:val="231F20"/>
                <w:w w:val="185"/>
                <w:sz w:val="6"/>
              </w:rPr>
              <w:t xml:space="preserve">ý </w:t>
            </w:r>
            <w:r>
              <w:rPr>
                <w:rFonts w:ascii="Calibri" w:hAnsi="Calibri"/>
                <w:color w:val="231F20"/>
                <w:w w:val="120"/>
                <w:sz w:val="6"/>
              </w:rPr>
              <w:t>kkk k</w:t>
            </w:r>
            <w:r>
              <w:rPr>
                <w:rFonts w:ascii="Calibri" w:hAnsi="Calibri"/>
                <w:color w:val="231F20"/>
                <w:w w:val="296"/>
                <w:sz w:val="6"/>
              </w:rPr>
              <w:t xml:space="preserve"> </w:t>
            </w:r>
            <w:r>
              <w:rPr>
                <w:rFonts w:ascii="Calibri" w:hAns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4ED39BD7" w14:textId="77777777" w:rsidR="00F65BCA" w:rsidRDefault="00F65BCA">
            <w:pPr>
              <w:pStyle w:val="TableParagraph"/>
              <w:spacing w:before="8"/>
              <w:rPr>
                <w:rFonts w:ascii="Calibri"/>
                <w:b/>
                <w:sz w:val="6"/>
              </w:rPr>
            </w:pPr>
          </w:p>
          <w:p w14:paraId="270E679D" w14:textId="77777777" w:rsidR="00F65BCA" w:rsidRDefault="00216117">
            <w:pPr>
              <w:pStyle w:val="TableParagraph"/>
              <w:spacing w:line="51" w:lineRule="exact"/>
              <w:ind w:left="9"/>
              <w:rPr>
                <w:rFonts w:ascii="Calibri" w:hAnsi="Calibri"/>
                <w:sz w:val="6"/>
              </w:rPr>
            </w:pPr>
            <w:r>
              <w:rPr>
                <w:rFonts w:ascii="Calibri" w:hAnsi="Calibri"/>
                <w:color w:val="231F20"/>
                <w:w w:val="260"/>
                <w:sz w:val="6"/>
              </w:rPr>
              <w:t xml:space="preserve"> </w:t>
            </w:r>
            <w:r>
              <w:rPr>
                <w:rFonts w:ascii="Calibri" w:hAnsi="Calibri"/>
                <w:color w:val="231F20"/>
                <w:w w:val="248"/>
                <w:sz w:val="6"/>
              </w:rPr>
              <w:t xml:space="preserve">  </w:t>
            </w:r>
            <w:r>
              <w:rPr>
                <w:rFonts w:ascii="Calibri" w:hAnsi="Calibri"/>
                <w:color w:val="231F20"/>
                <w:w w:val="238"/>
                <w:sz w:val="6"/>
              </w:rPr>
              <w:t xml:space="preserve"> </w:t>
            </w:r>
            <w:r>
              <w:rPr>
                <w:rFonts w:ascii="Calibri" w:hAnsi="Calibri"/>
                <w:color w:val="231F20"/>
                <w:w w:val="211"/>
                <w:sz w:val="6"/>
              </w:rPr>
              <w:t xml:space="preserve"> </w:t>
            </w:r>
            <w:r>
              <w:rPr>
                <w:rFonts w:ascii="Calibri" w:hAnsi="Calibri"/>
                <w:color w:val="231F20"/>
                <w:w w:val="205"/>
                <w:sz w:val="6"/>
              </w:rPr>
              <w:t>ý</w:t>
            </w:r>
            <w:r>
              <w:rPr>
                <w:rFonts w:ascii="Calibri" w:hAnsi="Calibri"/>
                <w:color w:val="231F20"/>
                <w:w w:val="266"/>
                <w:sz w:val="6"/>
              </w:rPr>
              <w:t xml:space="preserve"> </w:t>
            </w:r>
            <w:r>
              <w:rPr>
                <w:rFonts w:ascii="Calibri" w:hAnsi="Calibri"/>
                <w:color w:val="231F20"/>
                <w:w w:val="257"/>
                <w:sz w:val="6"/>
              </w:rPr>
              <w:t xml:space="preserve">  </w:t>
            </w:r>
            <w:r>
              <w:rPr>
                <w:rFonts w:ascii="Calibri" w:hAnsi="Calibri"/>
                <w:color w:val="231F20"/>
                <w:w w:val="29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6EA9CA13" w14:textId="77777777" w:rsidR="00F65BCA" w:rsidRDefault="00F65BCA">
            <w:pPr>
              <w:pStyle w:val="TableParagraph"/>
              <w:spacing w:before="8"/>
              <w:rPr>
                <w:rFonts w:ascii="Calibri"/>
                <w:b/>
                <w:sz w:val="6"/>
              </w:rPr>
            </w:pPr>
          </w:p>
          <w:p w14:paraId="02BA2528" w14:textId="77777777" w:rsidR="00F65BCA" w:rsidRDefault="00216117">
            <w:pPr>
              <w:pStyle w:val="TableParagraph"/>
              <w:spacing w:line="51" w:lineRule="exact"/>
              <w:ind w:left="8"/>
              <w:rPr>
                <w:rFonts w:ascii="Calibri"/>
                <w:sz w:val="6"/>
              </w:rPr>
            </w:pPr>
            <w:r>
              <w:rPr>
                <w:rFonts w:ascii="Calibri"/>
                <w:color w:val="231F20"/>
                <w:spacing w:val="-1"/>
                <w:w w:val="245"/>
                <w:sz w:val="6"/>
              </w:rPr>
              <w:t xml:space="preserve"> </w:t>
            </w:r>
            <w:r>
              <w:rPr>
                <w:rFonts w:ascii="Calibri"/>
                <w:color w:val="231F20"/>
                <w:w w:val="257"/>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249"/>
                <w:sz w:val="6"/>
              </w:rPr>
              <w:t xml:space="preserve"> </w:t>
            </w:r>
            <w:r>
              <w:rPr>
                <w:rFonts w:ascii="Times New Roman"/>
                <w:color w:val="231F20"/>
                <w:spacing w:val="-1"/>
                <w:sz w:val="6"/>
              </w:rPr>
              <w:t xml:space="preserve"> </w:t>
            </w:r>
            <w:r>
              <w:rPr>
                <w:rFonts w:ascii="Calibri"/>
                <w:color w:val="231F20"/>
                <w:spacing w:val="-1"/>
                <w:w w:val="211"/>
                <w:sz w:val="6"/>
              </w:rPr>
              <w:t xml:space="preserve"> </w:t>
            </w:r>
            <w:r>
              <w:rPr>
                <w:rFonts w:ascii="Calibri"/>
                <w:color w:val="231F20"/>
                <w:w w:val="266"/>
                <w:sz w:val="6"/>
              </w:rPr>
              <w:t xml:space="preserve"> </w:t>
            </w:r>
            <w:r>
              <w:rPr>
                <w:rFonts w:ascii="Calibri"/>
                <w:color w:val="231F20"/>
                <w:w w:val="296"/>
                <w:sz w:val="6"/>
              </w:rPr>
              <w:t xml:space="preserve"> </w:t>
            </w:r>
            <w:r>
              <w:rPr>
                <w:rFonts w:ascii="Calibri"/>
                <w:color w:val="231F20"/>
                <w:w w:val="170"/>
                <w:sz w:val="6"/>
              </w:rPr>
              <w:t xml:space="preserve"> </w:t>
            </w:r>
            <w:r>
              <w:rPr>
                <w:rFonts w:ascii="Calibri"/>
                <w:color w:val="231F20"/>
                <w:spacing w:val="-1"/>
                <w:w w:val="170"/>
                <w:sz w:val="6"/>
              </w:rPr>
              <w:t xml:space="preserve"> </w:t>
            </w:r>
            <w:r>
              <w:rPr>
                <w:rFonts w:ascii="Calibri"/>
                <w:color w:val="231F20"/>
                <w:w w:val="238"/>
                <w:sz w:val="6"/>
              </w:rPr>
              <w:t xml:space="preserve"> </w:t>
            </w:r>
            <w:r>
              <w:rPr>
                <w:rFonts w:ascii="Calibri"/>
                <w:color w:val="231F20"/>
                <w:w w:val="266"/>
                <w:sz w:val="6"/>
              </w:rPr>
              <w:t xml:space="preserve"> </w:t>
            </w:r>
            <w:r>
              <w:rPr>
                <w:rFonts w:ascii="Times New Roman"/>
                <w:color w:val="231F20"/>
                <w:spacing w:val="-1"/>
                <w:sz w:val="6"/>
              </w:rPr>
              <w:t xml:space="preserve"> </w:t>
            </w:r>
            <w:r>
              <w:rPr>
                <w:rFonts w:ascii="Calibri"/>
                <w:color w:val="231F20"/>
                <w:w w:val="207"/>
                <w:sz w:val="6"/>
              </w:rPr>
              <w:t xml:space="preserve"> </w:t>
            </w:r>
            <w:r>
              <w:rPr>
                <w:rFonts w:ascii="Calibri"/>
                <w:color w:val="231F20"/>
                <w:w w:val="211"/>
                <w:sz w:val="6"/>
              </w:rPr>
              <w:t xml:space="preserve">  </w:t>
            </w:r>
            <w:r>
              <w:rPr>
                <w:rFonts w:ascii="Calibri"/>
                <w:color w:val="231F20"/>
                <w:w w:val="197"/>
                <w:sz w:val="6"/>
              </w:rPr>
              <w:t xml:space="preserve"> </w:t>
            </w:r>
            <w:r>
              <w:rPr>
                <w:rFonts w:ascii="Calibri"/>
                <w:color w:val="231F20"/>
                <w:spacing w:val="-1"/>
                <w:w w:val="197"/>
                <w:sz w:val="6"/>
              </w:rPr>
              <w:t xml:space="preserve"> </w:t>
            </w:r>
            <w:r>
              <w:rPr>
                <w:rFonts w:ascii="Calibri"/>
                <w:color w:val="231F20"/>
                <w:w w:val="228"/>
                <w:sz w:val="6"/>
              </w:rPr>
              <w:t xml:space="preserve"> </w:t>
            </w:r>
            <w:r>
              <w:rPr>
                <w:rFonts w:ascii="Times New Roman"/>
                <w:color w:val="231F20"/>
                <w:spacing w:val="-1"/>
                <w:sz w:val="6"/>
              </w:rPr>
              <w:t xml:space="preserve"> </w:t>
            </w:r>
            <w:r>
              <w:rPr>
                <w:rFonts w:ascii="Calibri"/>
                <w:color w:val="231F20"/>
                <w:w w:val="207"/>
                <w:sz w:val="6"/>
              </w:rPr>
              <w:t xml:space="preserve"> </w:t>
            </w:r>
            <w:r>
              <w:rPr>
                <w:rFonts w:ascii="Calibri"/>
                <w:color w:val="231F20"/>
                <w:w w:val="208"/>
                <w:sz w:val="6"/>
              </w:rPr>
              <w:t xml:space="preserve"> </w:t>
            </w:r>
            <w:r>
              <w:rPr>
                <w:rFonts w:ascii="Calibri"/>
                <w:color w:val="231F20"/>
                <w:spacing w:val="-1"/>
                <w:w w:val="241"/>
                <w:sz w:val="6"/>
              </w:rPr>
              <w:t xml:space="preserve"> </w:t>
            </w:r>
            <w:r>
              <w:rPr>
                <w:rFonts w:ascii="Calibri"/>
                <w:color w:val="231F20"/>
                <w:w w:val="214"/>
                <w:sz w:val="6"/>
              </w:rPr>
              <w:t xml:space="preserve">  </w:t>
            </w:r>
            <w:r>
              <w:rPr>
                <w:rFonts w:ascii="Calibri"/>
                <w:color w:val="231F20"/>
                <w:w w:val="228"/>
                <w:sz w:val="6"/>
              </w:rPr>
              <w:t xml:space="preserve"> </w:t>
            </w:r>
            <w:r>
              <w:rPr>
                <w:rFonts w:ascii="Calibri"/>
                <w:color w:val="231F20"/>
                <w:spacing w:val="-1"/>
                <w:w w:val="241"/>
                <w:sz w:val="6"/>
              </w:rPr>
              <w:t xml:space="preserve"> </w:t>
            </w:r>
            <w:r>
              <w:rPr>
                <w:rFonts w:ascii="Calibri"/>
                <w:color w:val="231F20"/>
                <w:w w:val="10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3A301286" w14:textId="77777777" w:rsidR="00F65BCA" w:rsidRDefault="00F65BCA">
            <w:pPr>
              <w:pStyle w:val="TableParagraph"/>
              <w:spacing w:before="8"/>
              <w:rPr>
                <w:rFonts w:ascii="Calibri"/>
                <w:b/>
                <w:sz w:val="6"/>
              </w:rPr>
            </w:pPr>
          </w:p>
          <w:p w14:paraId="614371DA" w14:textId="77777777" w:rsidR="00F65BCA" w:rsidRDefault="00216117">
            <w:pPr>
              <w:pStyle w:val="TableParagraph"/>
              <w:spacing w:line="51" w:lineRule="exact"/>
              <w:ind w:left="7"/>
              <w:rPr>
                <w:rFonts w:ascii="Calibri"/>
                <w:sz w:val="6"/>
              </w:rPr>
            </w:pPr>
            <w:r>
              <w:rPr>
                <w:rFonts w:ascii="Calibri"/>
                <w:color w:val="231F20"/>
                <w:w w:val="295"/>
                <w:sz w:val="6"/>
              </w:rPr>
              <w:t xml:space="preserve"> </w:t>
            </w:r>
            <w:r>
              <w:rPr>
                <w:rFonts w:ascii="Calibri"/>
                <w:color w:val="231F20"/>
                <w:w w:val="90"/>
                <w:sz w:val="6"/>
              </w:rPr>
              <w:t xml:space="preserve">A </w:t>
            </w:r>
            <w:r>
              <w:rPr>
                <w:rFonts w:ascii="Calibri"/>
                <w:color w:val="231F20"/>
                <w:w w:val="181"/>
                <w:sz w:val="6"/>
              </w:rPr>
              <w:t xml:space="preserve">  </w:t>
            </w:r>
            <w:r>
              <w:rPr>
                <w:rFonts w:ascii="Calibri"/>
                <w:color w:val="231F20"/>
                <w:w w:val="242"/>
                <w:sz w:val="6"/>
              </w:rPr>
              <w:t xml:space="preserve"> </w:t>
            </w:r>
            <w:r>
              <w:rPr>
                <w:rFonts w:ascii="Calibri"/>
                <w:color w:val="231F20"/>
                <w:w w:val="207"/>
                <w:sz w:val="6"/>
              </w:rPr>
              <w:t xml:space="preserve"> </w:t>
            </w:r>
            <w:r>
              <w:rPr>
                <w:rFonts w:ascii="Calibri"/>
                <w:color w:val="231F20"/>
                <w:w w:val="208"/>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73739A80" w14:textId="77777777" w:rsidR="00F65BCA" w:rsidRDefault="00F65BCA">
            <w:pPr>
              <w:pStyle w:val="TableParagraph"/>
              <w:spacing w:before="8"/>
              <w:rPr>
                <w:rFonts w:ascii="Calibri"/>
                <w:b/>
                <w:sz w:val="6"/>
              </w:rPr>
            </w:pPr>
          </w:p>
          <w:p w14:paraId="34FB0654"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1D2E98AA" w14:textId="77777777" w:rsidR="00F65BCA" w:rsidRDefault="00F65BCA">
            <w:pPr>
              <w:pStyle w:val="TableParagraph"/>
              <w:spacing w:before="8"/>
              <w:rPr>
                <w:rFonts w:ascii="Calibri"/>
                <w:b/>
                <w:sz w:val="6"/>
              </w:rPr>
            </w:pPr>
          </w:p>
          <w:p w14:paraId="1FA36490"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5A55A1A2" w14:textId="77777777" w:rsidR="00F65BCA" w:rsidRDefault="00F65BCA">
            <w:pPr>
              <w:pStyle w:val="TableParagraph"/>
              <w:spacing w:before="8"/>
              <w:rPr>
                <w:rFonts w:ascii="Calibri"/>
                <w:b/>
                <w:sz w:val="6"/>
              </w:rPr>
            </w:pPr>
          </w:p>
          <w:p w14:paraId="22269BF8" w14:textId="77777777" w:rsidR="00F65BCA" w:rsidRDefault="00216117">
            <w:pPr>
              <w:pStyle w:val="TableParagraph"/>
              <w:spacing w:line="51" w:lineRule="exact"/>
              <w:ind w:right="17"/>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3E3A43F3" w14:textId="77777777" w:rsidR="00F65BCA" w:rsidRDefault="00F65BCA">
            <w:pPr>
              <w:pStyle w:val="TableParagraph"/>
              <w:spacing w:before="8"/>
              <w:rPr>
                <w:rFonts w:ascii="Calibri"/>
                <w:b/>
                <w:sz w:val="6"/>
              </w:rPr>
            </w:pPr>
          </w:p>
          <w:p w14:paraId="5C4D865C"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25286365" w14:textId="77777777" w:rsidR="00F65BCA" w:rsidRDefault="00F65BCA">
            <w:pPr>
              <w:pStyle w:val="TableParagraph"/>
              <w:spacing w:before="8"/>
              <w:rPr>
                <w:rFonts w:ascii="Calibri"/>
                <w:b/>
                <w:sz w:val="6"/>
              </w:rPr>
            </w:pPr>
          </w:p>
          <w:p w14:paraId="1979E9B8" w14:textId="77777777" w:rsidR="00F65BCA" w:rsidRDefault="00216117">
            <w:pPr>
              <w:pStyle w:val="TableParagraph"/>
              <w:spacing w:line="51" w:lineRule="exact"/>
              <w:ind w:right="8"/>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7507EB04" w14:textId="77777777" w:rsidR="00F65BCA" w:rsidRDefault="00F65BCA">
            <w:pPr>
              <w:pStyle w:val="TableParagraph"/>
              <w:spacing w:before="8"/>
              <w:rPr>
                <w:rFonts w:ascii="Calibri"/>
                <w:b/>
                <w:sz w:val="6"/>
              </w:rPr>
            </w:pPr>
          </w:p>
          <w:p w14:paraId="4BCFFAFA" w14:textId="77777777" w:rsidR="00F65BCA" w:rsidRDefault="00216117">
            <w:pPr>
              <w:pStyle w:val="TableParagraph"/>
              <w:spacing w:line="51"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4DC32D9" w14:textId="77777777" w:rsidR="00F65BCA" w:rsidRDefault="00F65BCA">
            <w:pPr>
              <w:pStyle w:val="TableParagraph"/>
              <w:spacing w:before="8"/>
              <w:rPr>
                <w:rFonts w:ascii="Calibri"/>
                <w:b/>
                <w:sz w:val="6"/>
              </w:rPr>
            </w:pPr>
          </w:p>
          <w:p w14:paraId="0E976323"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60C2E0F2" w14:textId="77777777" w:rsidR="00F65BCA" w:rsidRDefault="00F65BCA">
            <w:pPr>
              <w:pStyle w:val="TableParagraph"/>
              <w:spacing w:before="8"/>
              <w:rPr>
                <w:rFonts w:ascii="Calibri"/>
                <w:b/>
                <w:sz w:val="6"/>
              </w:rPr>
            </w:pPr>
          </w:p>
          <w:p w14:paraId="2F3C9CB3" w14:textId="77777777" w:rsidR="00F65BCA" w:rsidRDefault="00216117">
            <w:pPr>
              <w:pStyle w:val="TableParagraph"/>
              <w:spacing w:line="51" w:lineRule="exact"/>
              <w:ind w:right="47"/>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43545160" w14:textId="77777777" w:rsidR="00F65BCA" w:rsidRDefault="00F65BCA">
            <w:pPr>
              <w:pStyle w:val="TableParagraph"/>
              <w:spacing w:before="8"/>
              <w:rPr>
                <w:rFonts w:ascii="Calibri"/>
                <w:b/>
                <w:sz w:val="6"/>
              </w:rPr>
            </w:pPr>
          </w:p>
          <w:p w14:paraId="14C29B41" w14:textId="77777777" w:rsidR="00F65BCA" w:rsidRDefault="00216117">
            <w:pPr>
              <w:pStyle w:val="TableParagraph"/>
              <w:spacing w:line="51" w:lineRule="exact"/>
              <w:ind w:right="3"/>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08CADC1E" w14:textId="77777777" w:rsidR="00F65BCA" w:rsidRDefault="00F65BCA">
            <w:pPr>
              <w:pStyle w:val="TableParagraph"/>
              <w:spacing w:before="8"/>
              <w:rPr>
                <w:rFonts w:ascii="Calibri"/>
                <w:b/>
                <w:sz w:val="6"/>
              </w:rPr>
            </w:pPr>
          </w:p>
          <w:p w14:paraId="696B13A8" w14:textId="77777777" w:rsidR="00F65BCA" w:rsidRDefault="00216117">
            <w:pPr>
              <w:pStyle w:val="TableParagraph"/>
              <w:spacing w:line="51" w:lineRule="exact"/>
              <w:ind w:right="91"/>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4BDE0D0A" w14:textId="77777777" w:rsidR="00F65BCA" w:rsidRDefault="00F65BCA">
            <w:pPr>
              <w:pStyle w:val="TableParagraph"/>
              <w:spacing w:before="8"/>
              <w:rPr>
                <w:rFonts w:ascii="Calibri"/>
                <w:b/>
                <w:sz w:val="6"/>
              </w:rPr>
            </w:pPr>
          </w:p>
          <w:p w14:paraId="20A71FE3" w14:textId="77777777" w:rsidR="00F65BCA" w:rsidRDefault="00216117">
            <w:pPr>
              <w:pStyle w:val="TableParagraph"/>
              <w:spacing w:line="51" w:lineRule="exact"/>
              <w:ind w:right="17"/>
              <w:jc w:val="right"/>
              <w:rPr>
                <w:rFonts w:ascii="Calibri"/>
                <w:sz w:val="6"/>
              </w:rPr>
            </w:pPr>
            <w:r>
              <w:rPr>
                <w:rFonts w:ascii="Calibri"/>
                <w:color w:val="231F20"/>
                <w:spacing w:val="-1"/>
                <w:w w:val="241"/>
                <w:sz w:val="6"/>
              </w:rPr>
              <w:t xml:space="preserve"> </w:t>
            </w:r>
            <w:r>
              <w:rPr>
                <w:rFonts w:ascii="Calibri"/>
                <w:color w:val="231F20"/>
                <w:w w:val="228"/>
                <w:sz w:val="6"/>
              </w:rPr>
              <w:t xml:space="preserve"> </w:t>
            </w:r>
            <w:r>
              <w:rPr>
                <w:rFonts w:ascii="Calibri"/>
                <w:color w:val="231F20"/>
                <w:w w:val="181"/>
                <w:sz w:val="6"/>
              </w:rPr>
              <w:t xml:space="preserve"> </w:t>
            </w:r>
            <w:r>
              <w:rPr>
                <w:rFonts w:ascii="Times New Roman"/>
                <w:color w:val="231F20"/>
                <w:spacing w:val="-1"/>
                <w:sz w:val="6"/>
              </w:rPr>
              <w:t xml:space="preserve"> </w:t>
            </w:r>
            <w:r>
              <w:rPr>
                <w:rFonts w:ascii="Calibri"/>
                <w:color w:val="231F20"/>
                <w:spacing w:val="-1"/>
                <w:w w:val="105"/>
                <w:sz w:val="6"/>
              </w:rPr>
              <w:t xml:space="preserve">  </w:t>
            </w:r>
            <w:r>
              <w:rPr>
                <w:rFonts w:ascii="Calibri"/>
                <w:color w:val="231F20"/>
                <w:w w:val="236"/>
                <w:sz w:val="6"/>
              </w:rPr>
              <w:t xml:space="preserve"> </w:t>
            </w:r>
            <w:r>
              <w:rPr>
                <w:rFonts w:ascii="Calibri"/>
                <w:color w:val="231F20"/>
                <w:spacing w:val="-1"/>
                <w:w w:val="236"/>
                <w:sz w:val="6"/>
              </w:rPr>
              <w:t xml:space="preserve"> </w:t>
            </w:r>
            <w:r>
              <w:rPr>
                <w:rFonts w:ascii="Calibri"/>
                <w:color w:val="231F20"/>
                <w:w w:val="197"/>
                <w:sz w:val="6"/>
              </w:rPr>
              <w:t xml:space="preserve"> </w:t>
            </w:r>
            <w:r>
              <w:rPr>
                <w:rFonts w:ascii="Calibri"/>
                <w:color w:val="231F20"/>
                <w:spacing w:val="-1"/>
                <w:w w:val="197"/>
                <w:sz w:val="6"/>
              </w:rPr>
              <w:t xml:space="preserve"> </w:t>
            </w:r>
            <w:r>
              <w:rPr>
                <w:rFonts w:ascii="Calibri"/>
                <w:color w:val="231F20"/>
                <w:w w:val="105"/>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467F067B" w14:textId="77777777" w:rsidR="00F65BCA" w:rsidRDefault="00F65BCA">
            <w:pPr>
              <w:pStyle w:val="TableParagraph"/>
              <w:spacing w:before="8"/>
              <w:rPr>
                <w:rFonts w:ascii="Calibri"/>
                <w:b/>
                <w:sz w:val="6"/>
              </w:rPr>
            </w:pPr>
          </w:p>
          <w:p w14:paraId="12286D4F" w14:textId="77777777" w:rsidR="00F65BCA" w:rsidRDefault="00216117">
            <w:pPr>
              <w:pStyle w:val="TableParagraph"/>
              <w:spacing w:line="51" w:lineRule="exact"/>
              <w:ind w:left="18"/>
              <w:jc w:val="center"/>
              <w:rPr>
                <w:rFonts w:ascii="Calibri"/>
                <w:sz w:val="6"/>
              </w:rPr>
            </w:pPr>
            <w:r>
              <w:rPr>
                <w:rFonts w:ascii="Calibri"/>
                <w:color w:val="231F20"/>
                <w:spacing w:val="-1"/>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33F63442" w14:textId="77777777" w:rsidR="00F65BCA" w:rsidRDefault="00F65BCA">
            <w:pPr>
              <w:pStyle w:val="TableParagraph"/>
              <w:spacing w:before="8"/>
              <w:rPr>
                <w:rFonts w:ascii="Calibri"/>
                <w:b/>
                <w:sz w:val="6"/>
              </w:rPr>
            </w:pPr>
          </w:p>
          <w:p w14:paraId="073FA989"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3057B347" w14:textId="77777777" w:rsidR="00F65BCA" w:rsidRDefault="00F65BCA">
            <w:pPr>
              <w:pStyle w:val="TableParagraph"/>
              <w:spacing w:before="8"/>
              <w:rPr>
                <w:rFonts w:ascii="Calibri"/>
                <w:b/>
                <w:sz w:val="6"/>
              </w:rPr>
            </w:pPr>
          </w:p>
          <w:p w14:paraId="2F8581B6" w14:textId="77777777" w:rsidR="00F65BCA" w:rsidRDefault="00216117">
            <w:pPr>
              <w:pStyle w:val="TableParagraph"/>
              <w:spacing w:line="51" w:lineRule="exact"/>
              <w:ind w:left="5"/>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2FCDF192"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0AB92856"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7C4D2ADA"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771F59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9E685A2"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0BA1560C" w14:textId="77777777" w:rsidR="00F65BCA" w:rsidRDefault="00F65BCA">
            <w:pPr>
              <w:pStyle w:val="TableParagraph"/>
              <w:rPr>
                <w:rFonts w:ascii="Times New Roman"/>
                <w:sz w:val="6"/>
              </w:rPr>
            </w:pPr>
          </w:p>
        </w:tc>
      </w:tr>
      <w:tr w:rsidR="00F65BCA" w14:paraId="37C81B67" w14:textId="77777777">
        <w:trPr>
          <w:trHeight w:val="153"/>
        </w:trPr>
        <w:tc>
          <w:tcPr>
            <w:tcW w:w="166" w:type="dxa"/>
            <w:tcBorders>
              <w:top w:val="single" w:sz="2" w:space="0" w:color="231F20"/>
              <w:bottom w:val="single" w:sz="2" w:space="0" w:color="231F20"/>
              <w:right w:val="single" w:sz="2" w:space="0" w:color="231F20"/>
            </w:tcBorders>
          </w:tcPr>
          <w:p w14:paraId="7D16DC30" w14:textId="77777777" w:rsidR="00F65BCA" w:rsidRDefault="00F65BCA">
            <w:pPr>
              <w:pStyle w:val="TableParagraph"/>
              <w:spacing w:before="8"/>
              <w:rPr>
                <w:rFonts w:ascii="Calibri"/>
                <w:b/>
                <w:sz w:val="6"/>
              </w:rPr>
            </w:pPr>
          </w:p>
          <w:p w14:paraId="710A213C" w14:textId="77777777" w:rsidR="00F65BCA" w:rsidRDefault="00216117">
            <w:pPr>
              <w:pStyle w:val="TableParagraph"/>
              <w:spacing w:line="51" w:lineRule="exact"/>
              <w:ind w:right="5"/>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2CA9E81E" w14:textId="77777777" w:rsidR="00F65BCA" w:rsidRDefault="00F65BCA">
            <w:pPr>
              <w:pStyle w:val="TableParagraph"/>
              <w:spacing w:before="8"/>
              <w:rPr>
                <w:rFonts w:ascii="Calibri"/>
                <w:b/>
                <w:sz w:val="6"/>
              </w:rPr>
            </w:pPr>
          </w:p>
          <w:p w14:paraId="0D3AA157"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1D4C434D" w14:textId="77777777" w:rsidR="00F65BCA" w:rsidRDefault="00F65BCA">
            <w:pPr>
              <w:pStyle w:val="TableParagraph"/>
              <w:spacing w:before="8"/>
              <w:rPr>
                <w:rFonts w:ascii="Calibri"/>
                <w:b/>
                <w:sz w:val="6"/>
              </w:rPr>
            </w:pPr>
          </w:p>
          <w:p w14:paraId="11BE9966"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580F88EA" w14:textId="77777777" w:rsidR="00F65BCA" w:rsidRDefault="00F65BCA">
            <w:pPr>
              <w:pStyle w:val="TableParagraph"/>
              <w:spacing w:before="8"/>
              <w:rPr>
                <w:rFonts w:ascii="Calibri"/>
                <w:b/>
                <w:sz w:val="6"/>
              </w:rPr>
            </w:pPr>
          </w:p>
          <w:p w14:paraId="67044EF3"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2B55A73B" w14:textId="77777777" w:rsidR="00F65BCA" w:rsidRDefault="00F65BCA">
            <w:pPr>
              <w:pStyle w:val="TableParagraph"/>
              <w:spacing w:before="8"/>
              <w:rPr>
                <w:rFonts w:ascii="Calibri"/>
                <w:b/>
                <w:sz w:val="6"/>
              </w:rPr>
            </w:pPr>
          </w:p>
          <w:p w14:paraId="0FFD4BF1" w14:textId="77777777" w:rsidR="00F65BCA" w:rsidRDefault="00216117">
            <w:pPr>
              <w:pStyle w:val="TableParagraph"/>
              <w:spacing w:line="51" w:lineRule="exact"/>
              <w:ind w:left="238"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0357174C" w14:textId="77777777" w:rsidR="00F65BCA" w:rsidRDefault="00F65BCA">
            <w:pPr>
              <w:pStyle w:val="TableParagraph"/>
              <w:spacing w:before="8"/>
              <w:rPr>
                <w:rFonts w:ascii="Calibri"/>
                <w:b/>
                <w:sz w:val="6"/>
              </w:rPr>
            </w:pPr>
          </w:p>
          <w:p w14:paraId="3F2581AC"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spacing w:val="-1"/>
                <w:w w:val="237"/>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1CEC6CC4" w14:textId="77777777" w:rsidR="00F65BCA" w:rsidRDefault="00F65BCA">
            <w:pPr>
              <w:pStyle w:val="TableParagraph"/>
              <w:spacing w:before="8"/>
              <w:rPr>
                <w:rFonts w:ascii="Calibri"/>
                <w:b/>
                <w:sz w:val="6"/>
              </w:rPr>
            </w:pPr>
          </w:p>
          <w:p w14:paraId="35156768"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261"/>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112CD035" w14:textId="77777777" w:rsidR="00F65BCA" w:rsidRDefault="00F65BCA">
            <w:pPr>
              <w:pStyle w:val="TableParagraph"/>
              <w:spacing w:before="8"/>
              <w:rPr>
                <w:rFonts w:ascii="Calibri"/>
                <w:b/>
                <w:sz w:val="6"/>
              </w:rPr>
            </w:pPr>
          </w:p>
          <w:p w14:paraId="7F3C4968"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313"/>
                <w:sz w:val="6"/>
              </w:rPr>
              <w:t xml:space="preserve">  </w:t>
            </w:r>
            <w:r>
              <w:rPr>
                <w:rFonts w:ascii="Calibri"/>
                <w:color w:val="231F20"/>
                <w:spacing w:val="-1"/>
                <w:w w:val="260"/>
                <w:sz w:val="6"/>
              </w:rPr>
              <w:t xml:space="preserve"> </w:t>
            </w:r>
            <w:r>
              <w:rPr>
                <w:rFonts w:ascii="Calibri"/>
                <w:color w:val="231F20"/>
                <w:w w:val="233"/>
                <w:sz w:val="6"/>
              </w:rPr>
              <w:t xml:space="preserve">     </w:t>
            </w:r>
            <w:r>
              <w:rPr>
                <w:rFonts w:ascii="Calibri"/>
                <w:color w:val="231F20"/>
                <w:w w:val="243"/>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46D917E9" w14:textId="77777777" w:rsidR="00F65BCA" w:rsidRDefault="00F65BCA">
            <w:pPr>
              <w:pStyle w:val="TableParagraph"/>
              <w:spacing w:before="8"/>
              <w:rPr>
                <w:rFonts w:ascii="Calibri"/>
                <w:b/>
                <w:sz w:val="6"/>
              </w:rPr>
            </w:pPr>
          </w:p>
          <w:p w14:paraId="11772CAD" w14:textId="77777777" w:rsidR="00F65BCA" w:rsidRDefault="00216117">
            <w:pPr>
              <w:pStyle w:val="TableParagraph"/>
              <w:spacing w:line="51" w:lineRule="exact"/>
              <w:ind w:left="10"/>
              <w:rPr>
                <w:rFonts w:ascii="Calibri"/>
                <w:sz w:val="6"/>
              </w:rPr>
            </w:pPr>
            <w:r>
              <w:rPr>
                <w:rFonts w:ascii="Calibri"/>
                <w:color w:val="231F20"/>
                <w:w w:val="266"/>
                <w:sz w:val="6"/>
              </w:rPr>
              <w:t xml:space="preserve"> </w:t>
            </w:r>
            <w:r>
              <w:rPr>
                <w:rFonts w:ascii="Calibri"/>
                <w:color w:val="231F20"/>
                <w:w w:val="115"/>
                <w:sz w:val="6"/>
              </w:rPr>
              <w:t xml:space="preserve">1 </w:t>
            </w:r>
            <w:r>
              <w:rPr>
                <w:rFonts w:ascii="Calibri"/>
                <w:color w:val="231F20"/>
                <w:w w:val="165"/>
                <w:sz w:val="6"/>
              </w:rPr>
              <w:t>r</w:t>
            </w:r>
            <w:r>
              <w:rPr>
                <w:rFonts w:ascii="Calibri"/>
                <w:color w:val="231F20"/>
                <w:w w:val="242"/>
                <w:sz w:val="6"/>
              </w:rPr>
              <w:t xml:space="preserve"> </w:t>
            </w:r>
            <w:r>
              <w:rPr>
                <w:rFonts w:ascii="Calibri"/>
                <w:color w:val="231F20"/>
                <w:w w:val="17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3F992F6" w14:textId="77777777" w:rsidR="00F65BCA" w:rsidRDefault="00F65BCA">
            <w:pPr>
              <w:pStyle w:val="TableParagraph"/>
              <w:spacing w:before="8"/>
              <w:rPr>
                <w:rFonts w:ascii="Calibri"/>
                <w:b/>
                <w:sz w:val="6"/>
              </w:rPr>
            </w:pPr>
          </w:p>
          <w:p w14:paraId="38879DFE" w14:textId="77777777" w:rsidR="00F65BCA" w:rsidRDefault="00216117">
            <w:pPr>
              <w:pStyle w:val="TableParagraph"/>
              <w:spacing w:line="51" w:lineRule="exact"/>
              <w:ind w:left="9"/>
              <w:rPr>
                <w:rFonts w:ascii="Calibri"/>
                <w:sz w:val="6"/>
              </w:rPr>
            </w:pPr>
            <w:r>
              <w:rPr>
                <w:rFonts w:ascii="Calibri"/>
                <w:color w:val="231F20"/>
                <w:spacing w:val="-1"/>
                <w:w w:val="282"/>
                <w:sz w:val="6"/>
              </w:rPr>
              <w:t xml:space="preserve"> </w:t>
            </w:r>
            <w:r>
              <w:rPr>
                <w:rFonts w:ascii="Calibri"/>
                <w:color w:val="231F20"/>
                <w:spacing w:val="-1"/>
                <w:w w:val="242"/>
                <w:sz w:val="6"/>
              </w:rPr>
              <w:t xml:space="preserve"> </w:t>
            </w:r>
            <w:r>
              <w:rPr>
                <w:rFonts w:ascii="Calibri"/>
                <w:color w:val="231F20"/>
                <w:spacing w:val="-1"/>
                <w:w w:val="241"/>
                <w:sz w:val="6"/>
              </w:rPr>
              <w:t xml:space="preserve"> </w:t>
            </w:r>
            <w:r>
              <w:rPr>
                <w:rFonts w:ascii="Calibri"/>
                <w:color w:val="231F20"/>
                <w:w w:val="220"/>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45C4DCB5" w14:textId="77777777" w:rsidR="00F65BCA" w:rsidRDefault="00F65BCA">
            <w:pPr>
              <w:pStyle w:val="TableParagraph"/>
              <w:spacing w:before="8"/>
              <w:rPr>
                <w:rFonts w:ascii="Calibri"/>
                <w:b/>
                <w:sz w:val="6"/>
              </w:rPr>
            </w:pPr>
          </w:p>
          <w:p w14:paraId="2C53F7E1" w14:textId="77777777" w:rsidR="00F65BCA" w:rsidRDefault="00216117">
            <w:pPr>
              <w:pStyle w:val="TableParagraph"/>
              <w:spacing w:line="51" w:lineRule="exact"/>
              <w:ind w:left="7"/>
              <w:rPr>
                <w:rFonts w:ascii="Calibri"/>
                <w:sz w:val="6"/>
              </w:rPr>
            </w:pPr>
            <w:r>
              <w:rPr>
                <w:rFonts w:ascii="Calibri"/>
                <w:color w:val="231F20"/>
                <w:w w:val="237"/>
                <w:sz w:val="6"/>
              </w:rPr>
              <w:t xml:space="preserve"> </w:t>
            </w:r>
            <w:r>
              <w:rPr>
                <w:rFonts w:ascii="Calibri"/>
                <w:color w:val="231F20"/>
                <w:w w:val="160"/>
                <w:sz w:val="6"/>
              </w:rPr>
              <w:t xml:space="preserve"> </w:t>
            </w:r>
            <w:r>
              <w:rPr>
                <w:rFonts w:ascii="Calibri"/>
                <w:color w:val="231F20"/>
                <w:spacing w:val="-1"/>
                <w:w w:val="105"/>
                <w:sz w:val="6"/>
              </w:rPr>
              <w:t xml:space="preserve"> </w:t>
            </w:r>
            <w:r>
              <w:rPr>
                <w:rFonts w:ascii="Calibri"/>
                <w:color w:val="231F20"/>
                <w:w w:val="207"/>
                <w:sz w:val="6"/>
              </w:rPr>
              <w:t xml:space="preserve"> </w:t>
            </w:r>
            <w:r>
              <w:rPr>
                <w:rFonts w:ascii="Calibri"/>
                <w:color w:val="231F20"/>
                <w:w w:val="228"/>
                <w:sz w:val="6"/>
              </w:rPr>
              <w:t xml:space="preserve"> </w:t>
            </w:r>
            <w:r>
              <w:rPr>
                <w:rFonts w:ascii="Calibri"/>
                <w:color w:val="231F20"/>
                <w:w w:val="179"/>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2C592A56" w14:textId="77777777" w:rsidR="00F65BCA" w:rsidRDefault="00F65BCA">
            <w:pPr>
              <w:pStyle w:val="TableParagraph"/>
              <w:spacing w:before="8"/>
              <w:rPr>
                <w:rFonts w:ascii="Calibri"/>
                <w:b/>
                <w:sz w:val="6"/>
              </w:rPr>
            </w:pPr>
          </w:p>
          <w:p w14:paraId="73B9F689"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4033E90B" w14:textId="77777777" w:rsidR="00F65BCA" w:rsidRDefault="00F65BCA">
            <w:pPr>
              <w:pStyle w:val="TableParagraph"/>
              <w:spacing w:before="8"/>
              <w:rPr>
                <w:rFonts w:ascii="Calibri"/>
                <w:b/>
                <w:sz w:val="6"/>
              </w:rPr>
            </w:pPr>
          </w:p>
          <w:p w14:paraId="22802DD4"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2A6AE7E6" w14:textId="77777777" w:rsidR="00F65BCA" w:rsidRDefault="00F65BCA">
            <w:pPr>
              <w:pStyle w:val="TableParagraph"/>
              <w:spacing w:before="8"/>
              <w:rPr>
                <w:rFonts w:ascii="Calibri"/>
                <w:b/>
                <w:sz w:val="6"/>
              </w:rPr>
            </w:pPr>
          </w:p>
          <w:p w14:paraId="624F19C6"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0F9CBC1D" w14:textId="77777777" w:rsidR="00F65BCA" w:rsidRDefault="00F65BCA">
            <w:pPr>
              <w:pStyle w:val="TableParagraph"/>
              <w:spacing w:before="8"/>
              <w:rPr>
                <w:rFonts w:ascii="Calibri"/>
                <w:b/>
                <w:sz w:val="6"/>
              </w:rPr>
            </w:pPr>
          </w:p>
          <w:p w14:paraId="0AE96FB1"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386E93E5" w14:textId="77777777" w:rsidR="00F65BCA" w:rsidRDefault="00F65BCA">
            <w:pPr>
              <w:pStyle w:val="TableParagraph"/>
              <w:rPr>
                <w:rFonts w:ascii="Times New Roman"/>
                <w:sz w:val="6"/>
              </w:rPr>
            </w:pPr>
          </w:p>
        </w:tc>
        <w:tc>
          <w:tcPr>
            <w:tcW w:w="278" w:type="dxa"/>
            <w:tcBorders>
              <w:top w:val="single" w:sz="2" w:space="0" w:color="231F20"/>
              <w:left w:val="single" w:sz="2" w:space="0" w:color="231F20"/>
              <w:bottom w:val="single" w:sz="2" w:space="0" w:color="231F20"/>
              <w:right w:val="single" w:sz="2" w:space="0" w:color="231F20"/>
            </w:tcBorders>
          </w:tcPr>
          <w:p w14:paraId="052C93AF"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1A2A4BBC" w14:textId="77777777" w:rsidR="00F65BCA" w:rsidRDefault="00F65BCA">
            <w:pPr>
              <w:pStyle w:val="TableParagraph"/>
              <w:spacing w:before="8"/>
              <w:rPr>
                <w:rFonts w:ascii="Calibri"/>
                <w:b/>
                <w:sz w:val="6"/>
              </w:rPr>
            </w:pPr>
          </w:p>
          <w:p w14:paraId="63A836BF"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47493A38"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5F4B4158" w14:textId="77777777" w:rsidR="00F65BCA" w:rsidRDefault="00F65BCA">
            <w:pPr>
              <w:pStyle w:val="TableParagraph"/>
              <w:rPr>
                <w:rFonts w:ascii="Times New Roman"/>
                <w:sz w:val="6"/>
              </w:rPr>
            </w:pPr>
          </w:p>
        </w:tc>
        <w:tc>
          <w:tcPr>
            <w:tcW w:w="311" w:type="dxa"/>
            <w:tcBorders>
              <w:top w:val="single" w:sz="2" w:space="0" w:color="231F20"/>
              <w:left w:val="single" w:sz="2" w:space="0" w:color="231F20"/>
              <w:bottom w:val="single" w:sz="2" w:space="0" w:color="231F20"/>
              <w:right w:val="single" w:sz="2" w:space="0" w:color="231F20"/>
            </w:tcBorders>
          </w:tcPr>
          <w:p w14:paraId="6516C65A"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35C44E6D"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47017C5F" w14:textId="77777777" w:rsidR="00F65BCA" w:rsidRDefault="00F65BCA">
            <w:pPr>
              <w:pStyle w:val="TableParagraph"/>
              <w:spacing w:before="8"/>
              <w:rPr>
                <w:rFonts w:ascii="Calibri"/>
                <w:b/>
                <w:sz w:val="6"/>
              </w:rPr>
            </w:pPr>
          </w:p>
          <w:p w14:paraId="1F0D1B03" w14:textId="77777777" w:rsidR="00F65BCA" w:rsidRDefault="00216117">
            <w:pPr>
              <w:pStyle w:val="TableParagraph"/>
              <w:spacing w:line="51" w:lineRule="exact"/>
              <w:ind w:left="1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54D1F50A" w14:textId="77777777" w:rsidR="00F65BCA" w:rsidRDefault="00F65BCA">
            <w:pPr>
              <w:pStyle w:val="TableParagraph"/>
              <w:rPr>
                <w:rFonts w:ascii="Times New Roman"/>
                <w:sz w:val="6"/>
              </w:rPr>
            </w:pPr>
          </w:p>
        </w:tc>
        <w:tc>
          <w:tcPr>
            <w:tcW w:w="392" w:type="dxa"/>
            <w:tcBorders>
              <w:top w:val="single" w:sz="2" w:space="0" w:color="231F20"/>
              <w:left w:val="single" w:sz="2" w:space="0" w:color="231F20"/>
              <w:bottom w:val="single" w:sz="2" w:space="0" w:color="231F20"/>
              <w:right w:val="single" w:sz="2" w:space="0" w:color="231F20"/>
            </w:tcBorders>
          </w:tcPr>
          <w:p w14:paraId="15B26E41" w14:textId="77777777" w:rsidR="00F65BCA" w:rsidRDefault="00F65BCA">
            <w:pPr>
              <w:pStyle w:val="TableParagraph"/>
              <w:rPr>
                <w:rFonts w:ascii="Times New Roman"/>
                <w:sz w:val="6"/>
              </w:rPr>
            </w:pPr>
          </w:p>
        </w:tc>
        <w:tc>
          <w:tcPr>
            <w:tcW w:w="428" w:type="dxa"/>
            <w:tcBorders>
              <w:top w:val="single" w:sz="2" w:space="0" w:color="231F20"/>
              <w:left w:val="single" w:sz="2" w:space="0" w:color="231F20"/>
              <w:bottom w:val="single" w:sz="2" w:space="0" w:color="231F20"/>
            </w:tcBorders>
          </w:tcPr>
          <w:p w14:paraId="793C837C"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218D1E04"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DC53D92"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52D7D3C5"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CE3FC37"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114FA70B" w14:textId="77777777" w:rsidR="00F65BCA" w:rsidRDefault="00F65BCA">
            <w:pPr>
              <w:pStyle w:val="TableParagraph"/>
              <w:rPr>
                <w:rFonts w:ascii="Times New Roman"/>
                <w:sz w:val="6"/>
              </w:rPr>
            </w:pPr>
          </w:p>
        </w:tc>
      </w:tr>
      <w:tr w:rsidR="00F65BCA" w14:paraId="581BFD21" w14:textId="77777777">
        <w:trPr>
          <w:trHeight w:val="153"/>
        </w:trPr>
        <w:tc>
          <w:tcPr>
            <w:tcW w:w="166" w:type="dxa"/>
            <w:tcBorders>
              <w:top w:val="single" w:sz="2" w:space="0" w:color="231F20"/>
              <w:bottom w:val="single" w:sz="2" w:space="0" w:color="231F20"/>
              <w:right w:val="single" w:sz="2" w:space="0" w:color="231F20"/>
            </w:tcBorders>
          </w:tcPr>
          <w:p w14:paraId="12D0000F" w14:textId="77777777" w:rsidR="00F65BCA" w:rsidRDefault="00F65BCA">
            <w:pPr>
              <w:pStyle w:val="TableParagraph"/>
              <w:spacing w:before="8"/>
              <w:rPr>
                <w:rFonts w:ascii="Calibri"/>
                <w:b/>
                <w:sz w:val="6"/>
              </w:rPr>
            </w:pPr>
          </w:p>
          <w:p w14:paraId="509EF76C" w14:textId="77777777" w:rsidR="00F65BCA" w:rsidRDefault="00216117">
            <w:pPr>
              <w:pStyle w:val="TableParagraph"/>
              <w:spacing w:line="51" w:lineRule="exact"/>
              <w:ind w:right="5"/>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7D86B802" w14:textId="77777777" w:rsidR="00F65BCA" w:rsidRDefault="00F65BCA">
            <w:pPr>
              <w:pStyle w:val="TableParagraph"/>
              <w:spacing w:before="8"/>
              <w:rPr>
                <w:rFonts w:ascii="Calibri"/>
                <w:b/>
                <w:sz w:val="6"/>
              </w:rPr>
            </w:pPr>
          </w:p>
          <w:p w14:paraId="344E1366"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324AEE79" w14:textId="77777777" w:rsidR="00F65BCA" w:rsidRDefault="00F65BCA">
            <w:pPr>
              <w:pStyle w:val="TableParagraph"/>
              <w:spacing w:before="8"/>
              <w:rPr>
                <w:rFonts w:ascii="Calibri"/>
                <w:b/>
                <w:sz w:val="6"/>
              </w:rPr>
            </w:pPr>
          </w:p>
          <w:p w14:paraId="7FAB5731"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6B3CFEB1" w14:textId="77777777" w:rsidR="00F65BCA" w:rsidRDefault="00F65BCA">
            <w:pPr>
              <w:pStyle w:val="TableParagraph"/>
              <w:spacing w:before="8"/>
              <w:rPr>
                <w:rFonts w:ascii="Calibri"/>
                <w:b/>
                <w:sz w:val="6"/>
              </w:rPr>
            </w:pPr>
          </w:p>
          <w:p w14:paraId="1E03AAF0"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0DC17C8D" w14:textId="77777777" w:rsidR="00F65BCA" w:rsidRDefault="00F65BCA">
            <w:pPr>
              <w:pStyle w:val="TableParagraph"/>
              <w:spacing w:before="8"/>
              <w:rPr>
                <w:rFonts w:ascii="Calibri"/>
                <w:b/>
                <w:sz w:val="6"/>
              </w:rPr>
            </w:pPr>
          </w:p>
          <w:p w14:paraId="52D3EC03" w14:textId="77777777" w:rsidR="00F65BCA" w:rsidRDefault="00216117">
            <w:pPr>
              <w:pStyle w:val="TableParagraph"/>
              <w:spacing w:line="51" w:lineRule="exact"/>
              <w:ind w:left="238"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2712112C" w14:textId="77777777" w:rsidR="00F65BCA" w:rsidRDefault="00F65BCA">
            <w:pPr>
              <w:pStyle w:val="TableParagraph"/>
              <w:spacing w:before="8"/>
              <w:rPr>
                <w:rFonts w:ascii="Calibri"/>
                <w:b/>
                <w:sz w:val="6"/>
              </w:rPr>
            </w:pPr>
          </w:p>
          <w:p w14:paraId="7B2995E7"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spacing w:val="-1"/>
                <w:w w:val="237"/>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0568C5B8" w14:textId="77777777" w:rsidR="00F65BCA" w:rsidRDefault="00F65BCA">
            <w:pPr>
              <w:pStyle w:val="TableParagraph"/>
              <w:spacing w:before="8"/>
              <w:rPr>
                <w:rFonts w:ascii="Calibri"/>
                <w:b/>
                <w:sz w:val="6"/>
              </w:rPr>
            </w:pPr>
          </w:p>
          <w:p w14:paraId="1F75CEA1"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spacing w:val="-1"/>
                <w:w w:val="224"/>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0584C577" w14:textId="77777777" w:rsidR="00F65BCA" w:rsidRDefault="00F65BCA">
            <w:pPr>
              <w:pStyle w:val="TableParagraph"/>
              <w:spacing w:before="8"/>
              <w:rPr>
                <w:rFonts w:ascii="Calibri"/>
                <w:b/>
                <w:sz w:val="6"/>
              </w:rPr>
            </w:pPr>
          </w:p>
          <w:p w14:paraId="51982AF0"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289"/>
                <w:sz w:val="6"/>
              </w:rPr>
              <w:t xml:space="preserve">  </w:t>
            </w:r>
            <w:r>
              <w:rPr>
                <w:rFonts w:ascii="Calibri"/>
                <w:color w:val="231F20"/>
                <w:spacing w:val="-1"/>
                <w:w w:val="289"/>
                <w:sz w:val="6"/>
              </w:rPr>
              <w:t xml:space="preserve"> </w:t>
            </w:r>
            <w:r>
              <w:rPr>
                <w:rFonts w:ascii="Calibri"/>
                <w:color w:val="231F20"/>
                <w:w w:val="313"/>
                <w:sz w:val="6"/>
              </w:rPr>
              <w:t xml:space="preserve">  </w:t>
            </w:r>
            <w:r>
              <w:rPr>
                <w:rFonts w:ascii="Calibri"/>
                <w:color w:val="231F20"/>
                <w:w w:val="233"/>
                <w:sz w:val="6"/>
              </w:rPr>
              <w:t xml:space="preserve"> </w:t>
            </w:r>
            <w:r>
              <w:rPr>
                <w:rFonts w:ascii="Calibri"/>
                <w:color w:val="231F20"/>
                <w:w w:val="189"/>
                <w:sz w:val="6"/>
              </w:rPr>
              <w:t xml:space="preserve">  </w:t>
            </w:r>
            <w:r>
              <w:rPr>
                <w:rFonts w:ascii="Calibri"/>
                <w:color w:val="231F20"/>
                <w:spacing w:val="-1"/>
                <w:w w:val="282"/>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55B428AE" w14:textId="77777777" w:rsidR="00F65BCA" w:rsidRDefault="00F65BCA">
            <w:pPr>
              <w:pStyle w:val="TableParagraph"/>
              <w:spacing w:before="8"/>
              <w:rPr>
                <w:rFonts w:ascii="Calibri"/>
                <w:b/>
                <w:sz w:val="6"/>
              </w:rPr>
            </w:pPr>
          </w:p>
          <w:p w14:paraId="7B897FD6"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64FA32C5" w14:textId="77777777" w:rsidR="00F65BCA" w:rsidRDefault="00F65BCA">
            <w:pPr>
              <w:pStyle w:val="TableParagraph"/>
              <w:spacing w:before="8"/>
              <w:rPr>
                <w:rFonts w:ascii="Calibri"/>
                <w:b/>
                <w:sz w:val="6"/>
              </w:rPr>
            </w:pPr>
          </w:p>
          <w:p w14:paraId="6D7A9D7C" w14:textId="77777777" w:rsidR="00F65BCA" w:rsidRDefault="00216117">
            <w:pPr>
              <w:pStyle w:val="TableParagraph"/>
              <w:spacing w:line="51" w:lineRule="exact"/>
              <w:ind w:left="9"/>
              <w:rPr>
                <w:rFonts w:ascii="Calibri"/>
                <w:sz w:val="6"/>
              </w:rPr>
            </w:pPr>
            <w:r>
              <w:rPr>
                <w:rFonts w:ascii="Calibri"/>
                <w:color w:val="231F20"/>
                <w:spacing w:val="-1"/>
                <w:w w:val="211"/>
                <w:sz w:val="6"/>
              </w:rPr>
              <w:t xml:space="preserve"> </w:t>
            </w:r>
            <w:r>
              <w:rPr>
                <w:rFonts w:ascii="Calibri"/>
                <w:color w:val="231F20"/>
                <w:w w:val="266"/>
                <w:sz w:val="6"/>
              </w:rPr>
              <w:t xml:space="preserve"> </w:t>
            </w:r>
            <w:r>
              <w:rPr>
                <w:rFonts w:ascii="Calibri"/>
                <w:color w:val="231F20"/>
                <w:w w:val="210"/>
                <w:sz w:val="6"/>
              </w:rPr>
              <w:t xml:space="preserve">   </w:t>
            </w:r>
            <w:r>
              <w:rPr>
                <w:rFonts w:ascii="Times New Roman"/>
                <w:color w:val="231F20"/>
                <w:spacing w:val="-1"/>
                <w:sz w:val="6"/>
              </w:rPr>
              <w:t xml:space="preserve"> </w:t>
            </w:r>
            <w:r>
              <w:rPr>
                <w:rFonts w:ascii="Calibri"/>
                <w:color w:val="231F20"/>
                <w:w w:val="11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13F889CC" w14:textId="77777777" w:rsidR="00F65BCA" w:rsidRDefault="00F65BCA">
            <w:pPr>
              <w:pStyle w:val="TableParagraph"/>
              <w:spacing w:before="8"/>
              <w:rPr>
                <w:rFonts w:ascii="Calibri"/>
                <w:b/>
                <w:sz w:val="6"/>
              </w:rPr>
            </w:pPr>
          </w:p>
          <w:p w14:paraId="40CB1261" w14:textId="77777777" w:rsidR="00F65BCA" w:rsidRDefault="00216117">
            <w:pPr>
              <w:pStyle w:val="TableParagraph"/>
              <w:spacing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498CE0B7" w14:textId="77777777" w:rsidR="00F65BCA" w:rsidRDefault="00F65BCA">
            <w:pPr>
              <w:pStyle w:val="TableParagraph"/>
              <w:spacing w:before="8"/>
              <w:rPr>
                <w:rFonts w:ascii="Calibri"/>
                <w:b/>
                <w:sz w:val="6"/>
              </w:rPr>
            </w:pPr>
          </w:p>
          <w:p w14:paraId="3C959F47"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530C359E" w14:textId="77777777" w:rsidR="00F65BCA" w:rsidRDefault="00F65BCA">
            <w:pPr>
              <w:pStyle w:val="TableParagraph"/>
              <w:spacing w:before="8"/>
              <w:rPr>
                <w:rFonts w:ascii="Calibri"/>
                <w:b/>
                <w:sz w:val="6"/>
              </w:rPr>
            </w:pPr>
          </w:p>
          <w:p w14:paraId="1671CB8A"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269A1825" w14:textId="77777777" w:rsidR="00F65BCA" w:rsidRDefault="00F65BCA">
            <w:pPr>
              <w:pStyle w:val="TableParagraph"/>
              <w:spacing w:before="8"/>
              <w:rPr>
                <w:rFonts w:ascii="Calibri"/>
                <w:b/>
                <w:sz w:val="6"/>
              </w:rPr>
            </w:pPr>
          </w:p>
          <w:p w14:paraId="009D00F6"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223A95B7" w14:textId="77777777" w:rsidR="00F65BCA" w:rsidRDefault="00F65BCA">
            <w:pPr>
              <w:pStyle w:val="TableParagraph"/>
              <w:spacing w:before="8"/>
              <w:rPr>
                <w:rFonts w:ascii="Calibri"/>
                <w:b/>
                <w:sz w:val="6"/>
              </w:rPr>
            </w:pPr>
          </w:p>
          <w:p w14:paraId="3C8E57BC"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3BC8ACDD" w14:textId="77777777" w:rsidR="00F65BCA" w:rsidRDefault="00F65BCA">
            <w:pPr>
              <w:pStyle w:val="TableParagraph"/>
              <w:spacing w:before="8"/>
              <w:rPr>
                <w:rFonts w:ascii="Calibri"/>
                <w:b/>
                <w:sz w:val="6"/>
              </w:rPr>
            </w:pPr>
          </w:p>
          <w:p w14:paraId="1C9C691D"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3779344F" w14:textId="77777777" w:rsidR="00F65BCA" w:rsidRDefault="00F65BCA">
            <w:pPr>
              <w:pStyle w:val="TableParagraph"/>
              <w:spacing w:before="8"/>
              <w:rPr>
                <w:rFonts w:ascii="Calibri"/>
                <w:b/>
                <w:sz w:val="6"/>
              </w:rPr>
            </w:pPr>
          </w:p>
          <w:p w14:paraId="3FD88C12" w14:textId="77777777" w:rsidR="00F65BCA" w:rsidRDefault="00216117">
            <w:pPr>
              <w:pStyle w:val="TableParagraph"/>
              <w:spacing w:line="51" w:lineRule="exact"/>
              <w:ind w:right="5"/>
              <w:jc w:val="center"/>
              <w:rPr>
                <w:rFonts w:ascii="Calibri"/>
                <w:sz w:val="6"/>
              </w:rPr>
            </w:pPr>
            <w:r>
              <w:rPr>
                <w:rFonts w:ascii="Calibri"/>
                <w:color w:val="231F20"/>
                <w:w w:val="239"/>
                <w:sz w:val="6"/>
              </w:rPr>
              <w:t xml:space="preserve">  </w:t>
            </w:r>
            <w:r>
              <w:rPr>
                <w:rFonts w:ascii="Calibri"/>
                <w:color w:val="231F20"/>
                <w:spacing w:val="-1"/>
                <w:w w:val="241"/>
                <w:sz w:val="6"/>
              </w:rPr>
              <w:t xml:space="preserve"> </w:t>
            </w:r>
            <w:r>
              <w:rPr>
                <w:rFonts w:ascii="Calibri"/>
                <w:color w:val="231F20"/>
                <w:w w:val="143"/>
                <w:sz w:val="6"/>
              </w:rPr>
              <w:t xml:space="preserve"> </w:t>
            </w:r>
            <w:r>
              <w:rPr>
                <w:rFonts w:ascii="Calibri"/>
                <w:color w:val="231F20"/>
                <w:spacing w:val="-1"/>
                <w:w w:val="143"/>
                <w:sz w:val="6"/>
              </w:rPr>
              <w:t xml:space="preserve"> </w:t>
            </w:r>
            <w:r>
              <w:rPr>
                <w:rFonts w:ascii="Calibri"/>
                <w:color w:val="231F20"/>
                <w:w w:val="241"/>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7182726A" w14:textId="77777777" w:rsidR="00F65BCA" w:rsidRDefault="00F65BCA">
            <w:pPr>
              <w:pStyle w:val="TableParagraph"/>
              <w:spacing w:before="8"/>
              <w:rPr>
                <w:rFonts w:ascii="Calibri"/>
                <w:b/>
                <w:sz w:val="6"/>
              </w:rPr>
            </w:pPr>
          </w:p>
          <w:p w14:paraId="346C5195"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3A828B62" w14:textId="77777777" w:rsidR="00F65BCA" w:rsidRDefault="00F65BCA">
            <w:pPr>
              <w:pStyle w:val="TableParagraph"/>
              <w:spacing w:before="8"/>
              <w:rPr>
                <w:rFonts w:ascii="Calibri"/>
                <w:b/>
                <w:sz w:val="6"/>
              </w:rPr>
            </w:pPr>
          </w:p>
          <w:p w14:paraId="3D2A08AA"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109B4856" w14:textId="77777777" w:rsidR="00F65BCA" w:rsidRDefault="00F65BCA">
            <w:pPr>
              <w:pStyle w:val="TableParagraph"/>
              <w:spacing w:before="8"/>
              <w:rPr>
                <w:rFonts w:ascii="Calibri"/>
                <w:b/>
                <w:sz w:val="6"/>
              </w:rPr>
            </w:pPr>
          </w:p>
          <w:p w14:paraId="3032D845"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299F9E6B" w14:textId="77777777" w:rsidR="00F65BCA" w:rsidRDefault="00F65BCA">
            <w:pPr>
              <w:pStyle w:val="TableParagraph"/>
              <w:spacing w:before="8"/>
              <w:rPr>
                <w:rFonts w:ascii="Calibri"/>
                <w:b/>
                <w:sz w:val="6"/>
              </w:rPr>
            </w:pPr>
          </w:p>
          <w:p w14:paraId="6B8D300E"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22798A57" w14:textId="77777777" w:rsidR="00F65BCA" w:rsidRDefault="00F65BCA">
            <w:pPr>
              <w:pStyle w:val="TableParagraph"/>
              <w:spacing w:before="8"/>
              <w:rPr>
                <w:rFonts w:ascii="Calibri"/>
                <w:b/>
                <w:sz w:val="6"/>
              </w:rPr>
            </w:pPr>
          </w:p>
          <w:p w14:paraId="2BBCEBD2" w14:textId="77777777" w:rsidR="00F65BCA" w:rsidRDefault="00216117">
            <w:pPr>
              <w:pStyle w:val="TableParagraph"/>
              <w:spacing w:line="51" w:lineRule="exact"/>
              <w:ind w:right="23"/>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09AFA452" w14:textId="77777777" w:rsidR="00F65BCA" w:rsidRDefault="00F65BCA">
            <w:pPr>
              <w:pStyle w:val="TableParagraph"/>
              <w:spacing w:before="8"/>
              <w:rPr>
                <w:rFonts w:ascii="Calibri"/>
                <w:b/>
                <w:sz w:val="6"/>
              </w:rPr>
            </w:pPr>
          </w:p>
          <w:p w14:paraId="323F86C7"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4A22417B" w14:textId="77777777" w:rsidR="00F65BCA" w:rsidRDefault="00F65BCA">
            <w:pPr>
              <w:pStyle w:val="TableParagraph"/>
              <w:spacing w:before="8"/>
              <w:rPr>
                <w:rFonts w:ascii="Calibri"/>
                <w:b/>
                <w:sz w:val="6"/>
              </w:rPr>
            </w:pPr>
          </w:p>
          <w:p w14:paraId="1F36E693"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1838558B" w14:textId="77777777" w:rsidR="00F65BCA" w:rsidRDefault="00F65BCA">
            <w:pPr>
              <w:pStyle w:val="TableParagraph"/>
              <w:spacing w:before="8"/>
              <w:rPr>
                <w:rFonts w:ascii="Calibri"/>
                <w:b/>
                <w:sz w:val="6"/>
              </w:rPr>
            </w:pPr>
          </w:p>
          <w:p w14:paraId="44367B8E"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792ECA0E"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130A6244"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06882D4"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46FB45E"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C673A37"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3F310F12" w14:textId="77777777" w:rsidR="00F65BCA" w:rsidRDefault="00F65BCA">
            <w:pPr>
              <w:pStyle w:val="TableParagraph"/>
              <w:rPr>
                <w:rFonts w:ascii="Times New Roman"/>
                <w:sz w:val="6"/>
              </w:rPr>
            </w:pPr>
          </w:p>
        </w:tc>
      </w:tr>
      <w:tr w:rsidR="00F65BCA" w14:paraId="50B13ACE" w14:textId="77777777">
        <w:trPr>
          <w:trHeight w:val="153"/>
        </w:trPr>
        <w:tc>
          <w:tcPr>
            <w:tcW w:w="166" w:type="dxa"/>
            <w:tcBorders>
              <w:top w:val="single" w:sz="2" w:space="0" w:color="231F20"/>
              <w:bottom w:val="single" w:sz="2" w:space="0" w:color="231F20"/>
              <w:right w:val="single" w:sz="2" w:space="0" w:color="231F20"/>
            </w:tcBorders>
          </w:tcPr>
          <w:p w14:paraId="44CAC1CA" w14:textId="77777777" w:rsidR="00F65BCA" w:rsidRDefault="00F65BCA">
            <w:pPr>
              <w:pStyle w:val="TableParagraph"/>
              <w:spacing w:before="8"/>
              <w:rPr>
                <w:rFonts w:ascii="Calibri"/>
                <w:b/>
                <w:sz w:val="6"/>
              </w:rPr>
            </w:pPr>
          </w:p>
          <w:p w14:paraId="31794451" w14:textId="77777777" w:rsidR="00F65BCA" w:rsidRDefault="00216117">
            <w:pPr>
              <w:pStyle w:val="TableParagraph"/>
              <w:spacing w:line="51" w:lineRule="exact"/>
              <w:ind w:right="5"/>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143E9A6A" w14:textId="77777777" w:rsidR="00F65BCA" w:rsidRDefault="00F65BCA">
            <w:pPr>
              <w:pStyle w:val="TableParagraph"/>
              <w:spacing w:before="8"/>
              <w:rPr>
                <w:rFonts w:ascii="Calibri"/>
                <w:b/>
                <w:sz w:val="6"/>
              </w:rPr>
            </w:pPr>
          </w:p>
          <w:p w14:paraId="40B696D2"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37C4C69D" w14:textId="77777777" w:rsidR="00F65BCA" w:rsidRDefault="00F65BCA">
            <w:pPr>
              <w:pStyle w:val="TableParagraph"/>
              <w:spacing w:before="8"/>
              <w:rPr>
                <w:rFonts w:ascii="Calibri"/>
                <w:b/>
                <w:sz w:val="6"/>
              </w:rPr>
            </w:pPr>
          </w:p>
          <w:p w14:paraId="13044416"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25B4CBAC" w14:textId="77777777" w:rsidR="00F65BCA" w:rsidRDefault="00F65BCA">
            <w:pPr>
              <w:pStyle w:val="TableParagraph"/>
              <w:spacing w:before="8"/>
              <w:rPr>
                <w:rFonts w:ascii="Calibri"/>
                <w:b/>
                <w:sz w:val="6"/>
              </w:rPr>
            </w:pPr>
          </w:p>
          <w:p w14:paraId="23F64A7F"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3A94A8C7" w14:textId="77777777" w:rsidR="00F65BCA" w:rsidRDefault="00F65BCA">
            <w:pPr>
              <w:pStyle w:val="TableParagraph"/>
              <w:spacing w:before="8"/>
              <w:rPr>
                <w:rFonts w:ascii="Calibri"/>
                <w:b/>
                <w:sz w:val="6"/>
              </w:rPr>
            </w:pPr>
          </w:p>
          <w:p w14:paraId="741BAE6F" w14:textId="77777777" w:rsidR="00F65BCA" w:rsidRDefault="00216117">
            <w:pPr>
              <w:pStyle w:val="TableParagraph"/>
              <w:spacing w:line="51" w:lineRule="exact"/>
              <w:ind w:left="238"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64FFD7DA" w14:textId="77777777" w:rsidR="00F65BCA" w:rsidRDefault="00F65BCA">
            <w:pPr>
              <w:pStyle w:val="TableParagraph"/>
              <w:spacing w:before="8"/>
              <w:rPr>
                <w:rFonts w:ascii="Calibri"/>
                <w:b/>
                <w:sz w:val="6"/>
              </w:rPr>
            </w:pPr>
          </w:p>
          <w:p w14:paraId="4608A607"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spacing w:val="-1"/>
                <w:w w:val="237"/>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54D64098" w14:textId="77777777" w:rsidR="00F65BCA" w:rsidRDefault="00F65BCA">
            <w:pPr>
              <w:pStyle w:val="TableParagraph"/>
              <w:spacing w:before="8"/>
              <w:rPr>
                <w:rFonts w:ascii="Calibri"/>
                <w:b/>
                <w:sz w:val="6"/>
              </w:rPr>
            </w:pPr>
          </w:p>
          <w:p w14:paraId="3A78F032"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spacing w:val="-1"/>
                <w:w w:val="224"/>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4CA373FF" w14:textId="77777777" w:rsidR="00F65BCA" w:rsidRDefault="00F65BCA">
            <w:pPr>
              <w:pStyle w:val="TableParagraph"/>
              <w:spacing w:before="8"/>
              <w:rPr>
                <w:rFonts w:ascii="Calibri"/>
                <w:b/>
                <w:sz w:val="6"/>
              </w:rPr>
            </w:pPr>
          </w:p>
          <w:p w14:paraId="35A5E291"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303"/>
                <w:sz w:val="6"/>
              </w:rPr>
              <w:t xml:space="preserve">   </w:t>
            </w:r>
            <w:r>
              <w:rPr>
                <w:rFonts w:ascii="Calibri"/>
                <w:color w:val="231F20"/>
                <w:w w:val="259"/>
                <w:sz w:val="6"/>
              </w:rPr>
              <w:t xml:space="preserve">  </w:t>
            </w:r>
            <w:r>
              <w:rPr>
                <w:rFonts w:ascii="Calibri"/>
                <w:color w:val="231F20"/>
                <w:w w:val="228"/>
                <w:sz w:val="6"/>
              </w:rPr>
              <w:t xml:space="preserve">  </w:t>
            </w:r>
            <w:r>
              <w:rPr>
                <w:rFonts w:ascii="Calibri"/>
                <w:color w:val="231F20"/>
                <w:w w:val="233"/>
                <w:sz w:val="6"/>
              </w:rPr>
              <w:t xml:space="preserve"> </w:t>
            </w:r>
            <w:r>
              <w:rPr>
                <w:rFonts w:ascii="Calibri"/>
                <w:color w:val="231F20"/>
                <w:spacing w:val="-1"/>
                <w:w w:val="282"/>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37F1A1DA" w14:textId="77777777" w:rsidR="00F65BCA" w:rsidRDefault="00F65BCA">
            <w:pPr>
              <w:pStyle w:val="TableParagraph"/>
              <w:spacing w:before="8"/>
              <w:rPr>
                <w:rFonts w:ascii="Calibri"/>
                <w:b/>
                <w:sz w:val="6"/>
              </w:rPr>
            </w:pPr>
          </w:p>
          <w:p w14:paraId="4BDB057B"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C6E1EFE" w14:textId="77777777" w:rsidR="00F65BCA" w:rsidRDefault="00F65BCA">
            <w:pPr>
              <w:pStyle w:val="TableParagraph"/>
              <w:spacing w:before="8"/>
              <w:rPr>
                <w:rFonts w:ascii="Calibri"/>
                <w:b/>
                <w:sz w:val="6"/>
              </w:rPr>
            </w:pPr>
          </w:p>
          <w:p w14:paraId="17A7D1EA" w14:textId="77777777" w:rsidR="00F65BCA" w:rsidRDefault="00216117">
            <w:pPr>
              <w:pStyle w:val="TableParagraph"/>
              <w:spacing w:line="51" w:lineRule="exact"/>
              <w:ind w:left="9"/>
              <w:rPr>
                <w:rFonts w:ascii="Calibri"/>
                <w:sz w:val="6"/>
              </w:rPr>
            </w:pPr>
            <w:r>
              <w:rPr>
                <w:rFonts w:ascii="Calibri"/>
                <w:color w:val="231F20"/>
                <w:spacing w:val="-1"/>
                <w:w w:val="211"/>
                <w:sz w:val="6"/>
              </w:rPr>
              <w:t xml:space="preserve"> </w:t>
            </w:r>
            <w:r>
              <w:rPr>
                <w:rFonts w:ascii="Calibri"/>
                <w:color w:val="231F20"/>
                <w:w w:val="295"/>
                <w:sz w:val="6"/>
              </w:rPr>
              <w:t xml:space="preserve"> </w:t>
            </w:r>
            <w:r>
              <w:rPr>
                <w:rFonts w:ascii="Calibri"/>
                <w:color w:val="231F20"/>
                <w:w w:val="237"/>
                <w:sz w:val="6"/>
              </w:rPr>
              <w:t xml:space="preserve"> </w:t>
            </w:r>
            <w:r>
              <w:rPr>
                <w:rFonts w:ascii="Calibri"/>
                <w:color w:val="231F20"/>
                <w:spacing w:val="-1"/>
                <w:w w:val="224"/>
                <w:sz w:val="6"/>
              </w:rPr>
              <w:t xml:space="preserve"> </w:t>
            </w:r>
            <w:r>
              <w:rPr>
                <w:rFonts w:ascii="Calibri"/>
                <w:color w:val="231F20"/>
                <w:w w:val="249"/>
                <w:sz w:val="6"/>
              </w:rPr>
              <w:t xml:space="preserve">  </w:t>
            </w:r>
            <w:r>
              <w:rPr>
                <w:rFonts w:ascii="Times New Roman"/>
                <w:color w:val="231F20"/>
                <w:spacing w:val="-1"/>
                <w:sz w:val="6"/>
              </w:rPr>
              <w:t xml:space="preserve"> </w:t>
            </w:r>
            <w:r>
              <w:rPr>
                <w:rFonts w:ascii="Calibri"/>
                <w:color w:val="231F20"/>
                <w:w w:val="11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1C2CB71B" w14:textId="77777777" w:rsidR="00F65BCA" w:rsidRDefault="00F65BCA">
            <w:pPr>
              <w:pStyle w:val="TableParagraph"/>
              <w:spacing w:before="8"/>
              <w:rPr>
                <w:rFonts w:ascii="Calibri"/>
                <w:b/>
                <w:sz w:val="6"/>
              </w:rPr>
            </w:pPr>
          </w:p>
          <w:p w14:paraId="7A794A04" w14:textId="77777777" w:rsidR="00F65BCA" w:rsidRDefault="00216117">
            <w:pPr>
              <w:pStyle w:val="TableParagraph"/>
              <w:spacing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1A197909" w14:textId="77777777" w:rsidR="00F65BCA" w:rsidRDefault="00F65BCA">
            <w:pPr>
              <w:pStyle w:val="TableParagraph"/>
              <w:spacing w:before="8"/>
              <w:rPr>
                <w:rFonts w:ascii="Calibri"/>
                <w:b/>
                <w:sz w:val="6"/>
              </w:rPr>
            </w:pPr>
          </w:p>
          <w:p w14:paraId="5E45123A"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1AD9319C" w14:textId="77777777" w:rsidR="00F65BCA" w:rsidRDefault="00F65BCA">
            <w:pPr>
              <w:pStyle w:val="TableParagraph"/>
              <w:spacing w:before="8"/>
              <w:rPr>
                <w:rFonts w:ascii="Calibri"/>
                <w:b/>
                <w:sz w:val="6"/>
              </w:rPr>
            </w:pPr>
          </w:p>
          <w:p w14:paraId="1950EECA"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50E568F0" w14:textId="77777777" w:rsidR="00F65BCA" w:rsidRDefault="00F65BCA">
            <w:pPr>
              <w:pStyle w:val="TableParagraph"/>
              <w:spacing w:before="8"/>
              <w:rPr>
                <w:rFonts w:ascii="Calibri"/>
                <w:b/>
                <w:sz w:val="6"/>
              </w:rPr>
            </w:pPr>
          </w:p>
          <w:p w14:paraId="0BF7A9D0"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373A563F" w14:textId="77777777" w:rsidR="00F65BCA" w:rsidRDefault="00F65BCA">
            <w:pPr>
              <w:pStyle w:val="TableParagraph"/>
              <w:spacing w:before="8"/>
              <w:rPr>
                <w:rFonts w:ascii="Calibri"/>
                <w:b/>
                <w:sz w:val="6"/>
              </w:rPr>
            </w:pPr>
          </w:p>
          <w:p w14:paraId="540B85E1"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591BDE28" w14:textId="77777777" w:rsidR="00F65BCA" w:rsidRDefault="00F65BCA">
            <w:pPr>
              <w:pStyle w:val="TableParagraph"/>
              <w:spacing w:before="8"/>
              <w:rPr>
                <w:rFonts w:ascii="Calibri"/>
                <w:b/>
                <w:sz w:val="6"/>
              </w:rPr>
            </w:pPr>
          </w:p>
          <w:p w14:paraId="1D268112"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69324F87" w14:textId="77777777" w:rsidR="00F65BCA" w:rsidRDefault="00F65BCA">
            <w:pPr>
              <w:pStyle w:val="TableParagraph"/>
              <w:spacing w:before="8"/>
              <w:rPr>
                <w:rFonts w:ascii="Calibri"/>
                <w:b/>
                <w:sz w:val="6"/>
              </w:rPr>
            </w:pPr>
          </w:p>
          <w:p w14:paraId="4A21CC87" w14:textId="77777777" w:rsidR="00F65BCA" w:rsidRDefault="00216117">
            <w:pPr>
              <w:pStyle w:val="TableParagraph"/>
              <w:spacing w:line="51" w:lineRule="exact"/>
              <w:ind w:right="5"/>
              <w:jc w:val="center"/>
              <w:rPr>
                <w:rFonts w:ascii="Calibri"/>
                <w:sz w:val="6"/>
              </w:rPr>
            </w:pPr>
            <w:r>
              <w:rPr>
                <w:rFonts w:ascii="Calibri"/>
                <w:color w:val="231F20"/>
                <w:w w:val="239"/>
                <w:sz w:val="6"/>
              </w:rPr>
              <w:t xml:space="preserve">  </w:t>
            </w:r>
            <w:r>
              <w:rPr>
                <w:rFonts w:ascii="Calibri"/>
                <w:color w:val="231F20"/>
                <w:spacing w:val="-1"/>
                <w:w w:val="241"/>
                <w:sz w:val="6"/>
              </w:rPr>
              <w:t xml:space="preserve"> </w:t>
            </w:r>
            <w:r>
              <w:rPr>
                <w:rFonts w:ascii="Calibri"/>
                <w:color w:val="231F20"/>
                <w:w w:val="143"/>
                <w:sz w:val="6"/>
              </w:rPr>
              <w:t xml:space="preserve"> </w:t>
            </w:r>
            <w:r>
              <w:rPr>
                <w:rFonts w:ascii="Calibri"/>
                <w:color w:val="231F20"/>
                <w:spacing w:val="-1"/>
                <w:w w:val="143"/>
                <w:sz w:val="6"/>
              </w:rPr>
              <w:t xml:space="preserve"> </w:t>
            </w:r>
            <w:r>
              <w:rPr>
                <w:rFonts w:ascii="Calibri"/>
                <w:color w:val="231F20"/>
                <w:w w:val="241"/>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DB032C2" w14:textId="77777777" w:rsidR="00F65BCA" w:rsidRDefault="00F65BCA">
            <w:pPr>
              <w:pStyle w:val="TableParagraph"/>
              <w:spacing w:before="8"/>
              <w:rPr>
                <w:rFonts w:ascii="Calibri"/>
                <w:b/>
                <w:sz w:val="6"/>
              </w:rPr>
            </w:pPr>
          </w:p>
          <w:p w14:paraId="3B97FC8A"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50C01F96" w14:textId="77777777" w:rsidR="00F65BCA" w:rsidRDefault="00F65BCA">
            <w:pPr>
              <w:pStyle w:val="TableParagraph"/>
              <w:spacing w:before="8"/>
              <w:rPr>
                <w:rFonts w:ascii="Calibri"/>
                <w:b/>
                <w:sz w:val="6"/>
              </w:rPr>
            </w:pPr>
          </w:p>
          <w:p w14:paraId="75889515"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13CC2D6F" w14:textId="77777777" w:rsidR="00F65BCA" w:rsidRDefault="00F65BCA">
            <w:pPr>
              <w:pStyle w:val="TableParagraph"/>
              <w:spacing w:before="8"/>
              <w:rPr>
                <w:rFonts w:ascii="Calibri"/>
                <w:b/>
                <w:sz w:val="6"/>
              </w:rPr>
            </w:pPr>
          </w:p>
          <w:p w14:paraId="1AF7B6E5"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2C30322E" w14:textId="77777777" w:rsidR="00F65BCA" w:rsidRDefault="00F65BCA">
            <w:pPr>
              <w:pStyle w:val="TableParagraph"/>
              <w:spacing w:before="8"/>
              <w:rPr>
                <w:rFonts w:ascii="Calibri"/>
                <w:b/>
                <w:sz w:val="6"/>
              </w:rPr>
            </w:pPr>
          </w:p>
          <w:p w14:paraId="5001D106"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70BCA380" w14:textId="77777777" w:rsidR="00F65BCA" w:rsidRDefault="00F65BCA">
            <w:pPr>
              <w:pStyle w:val="TableParagraph"/>
              <w:spacing w:before="8"/>
              <w:rPr>
                <w:rFonts w:ascii="Calibri"/>
                <w:b/>
                <w:sz w:val="6"/>
              </w:rPr>
            </w:pPr>
          </w:p>
          <w:p w14:paraId="0FD95AEA" w14:textId="77777777" w:rsidR="00F65BCA" w:rsidRDefault="00216117">
            <w:pPr>
              <w:pStyle w:val="TableParagraph"/>
              <w:spacing w:line="51" w:lineRule="exact"/>
              <w:ind w:right="23"/>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20818EC3" w14:textId="77777777" w:rsidR="00F65BCA" w:rsidRDefault="00F65BCA">
            <w:pPr>
              <w:pStyle w:val="TableParagraph"/>
              <w:spacing w:before="8"/>
              <w:rPr>
                <w:rFonts w:ascii="Calibri"/>
                <w:b/>
                <w:sz w:val="6"/>
              </w:rPr>
            </w:pPr>
          </w:p>
          <w:p w14:paraId="254E9AD2"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539624CF" w14:textId="77777777" w:rsidR="00F65BCA" w:rsidRDefault="00F65BCA">
            <w:pPr>
              <w:pStyle w:val="TableParagraph"/>
              <w:spacing w:before="8"/>
              <w:rPr>
                <w:rFonts w:ascii="Calibri"/>
                <w:b/>
                <w:sz w:val="6"/>
              </w:rPr>
            </w:pPr>
          </w:p>
          <w:p w14:paraId="420EEDB8"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51C2817C" w14:textId="77777777" w:rsidR="00F65BCA" w:rsidRDefault="00F65BCA">
            <w:pPr>
              <w:pStyle w:val="TableParagraph"/>
              <w:spacing w:before="8"/>
              <w:rPr>
                <w:rFonts w:ascii="Calibri"/>
                <w:b/>
                <w:sz w:val="6"/>
              </w:rPr>
            </w:pPr>
          </w:p>
          <w:p w14:paraId="2DEE637D"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2D6B8C67"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11F604AB"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61DBEE8"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5E31994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FD13DB0"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09385212" w14:textId="77777777" w:rsidR="00F65BCA" w:rsidRDefault="00F65BCA">
            <w:pPr>
              <w:pStyle w:val="TableParagraph"/>
              <w:rPr>
                <w:rFonts w:ascii="Times New Roman"/>
                <w:sz w:val="6"/>
              </w:rPr>
            </w:pPr>
          </w:p>
        </w:tc>
      </w:tr>
      <w:tr w:rsidR="00F65BCA" w14:paraId="1B64697C" w14:textId="77777777">
        <w:trPr>
          <w:trHeight w:val="153"/>
        </w:trPr>
        <w:tc>
          <w:tcPr>
            <w:tcW w:w="166" w:type="dxa"/>
            <w:tcBorders>
              <w:top w:val="single" w:sz="2" w:space="0" w:color="231F20"/>
              <w:bottom w:val="single" w:sz="2" w:space="0" w:color="231F20"/>
              <w:right w:val="single" w:sz="2" w:space="0" w:color="231F20"/>
            </w:tcBorders>
          </w:tcPr>
          <w:p w14:paraId="3A29C881" w14:textId="77777777" w:rsidR="00F65BCA" w:rsidRDefault="00F65BCA">
            <w:pPr>
              <w:pStyle w:val="TableParagraph"/>
              <w:spacing w:before="8"/>
              <w:rPr>
                <w:rFonts w:ascii="Calibri"/>
                <w:b/>
                <w:sz w:val="6"/>
              </w:rPr>
            </w:pPr>
          </w:p>
          <w:p w14:paraId="6FFDC444" w14:textId="77777777" w:rsidR="00F65BCA" w:rsidRDefault="00216117">
            <w:pPr>
              <w:pStyle w:val="TableParagraph"/>
              <w:spacing w:line="51" w:lineRule="exact"/>
              <w:ind w:right="5"/>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755F68E0" w14:textId="77777777" w:rsidR="00F65BCA" w:rsidRDefault="00F65BCA">
            <w:pPr>
              <w:pStyle w:val="TableParagraph"/>
              <w:spacing w:before="8"/>
              <w:rPr>
                <w:rFonts w:ascii="Calibri"/>
                <w:b/>
                <w:sz w:val="6"/>
              </w:rPr>
            </w:pPr>
          </w:p>
          <w:p w14:paraId="68474319"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10E5FB50" w14:textId="77777777" w:rsidR="00F65BCA" w:rsidRDefault="00F65BCA">
            <w:pPr>
              <w:pStyle w:val="TableParagraph"/>
              <w:spacing w:before="8"/>
              <w:rPr>
                <w:rFonts w:ascii="Calibri"/>
                <w:b/>
                <w:sz w:val="6"/>
              </w:rPr>
            </w:pPr>
          </w:p>
          <w:p w14:paraId="61E6EEBF"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7362088C" w14:textId="77777777" w:rsidR="00F65BCA" w:rsidRDefault="00F65BCA">
            <w:pPr>
              <w:pStyle w:val="TableParagraph"/>
              <w:spacing w:before="8"/>
              <w:rPr>
                <w:rFonts w:ascii="Calibri"/>
                <w:b/>
                <w:sz w:val="6"/>
              </w:rPr>
            </w:pPr>
          </w:p>
          <w:p w14:paraId="12EEEA08"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72950274" w14:textId="77777777" w:rsidR="00F65BCA" w:rsidRDefault="00F65BCA">
            <w:pPr>
              <w:pStyle w:val="TableParagraph"/>
              <w:spacing w:before="8"/>
              <w:rPr>
                <w:rFonts w:ascii="Calibri"/>
                <w:b/>
                <w:sz w:val="6"/>
              </w:rPr>
            </w:pPr>
          </w:p>
          <w:p w14:paraId="598C1C44" w14:textId="77777777" w:rsidR="00F65BCA" w:rsidRDefault="00216117">
            <w:pPr>
              <w:pStyle w:val="TableParagraph"/>
              <w:spacing w:line="51" w:lineRule="exact"/>
              <w:ind w:left="238"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6F254DEB" w14:textId="77777777" w:rsidR="00F65BCA" w:rsidRDefault="00F65BCA">
            <w:pPr>
              <w:pStyle w:val="TableParagraph"/>
              <w:spacing w:before="8"/>
              <w:rPr>
                <w:rFonts w:ascii="Calibri"/>
                <w:b/>
                <w:sz w:val="6"/>
              </w:rPr>
            </w:pPr>
          </w:p>
          <w:p w14:paraId="052B1BD2"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spacing w:val="-1"/>
                <w:w w:val="237"/>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61D70D0C" w14:textId="77777777" w:rsidR="00F65BCA" w:rsidRDefault="00F65BCA">
            <w:pPr>
              <w:pStyle w:val="TableParagraph"/>
              <w:spacing w:before="8"/>
              <w:rPr>
                <w:rFonts w:ascii="Calibri"/>
                <w:b/>
                <w:sz w:val="6"/>
              </w:rPr>
            </w:pPr>
          </w:p>
          <w:p w14:paraId="121C6353"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238"/>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661B1216" w14:textId="77777777" w:rsidR="00F65BCA" w:rsidRDefault="00F65BCA">
            <w:pPr>
              <w:pStyle w:val="TableParagraph"/>
              <w:spacing w:before="8"/>
              <w:rPr>
                <w:rFonts w:ascii="Calibri"/>
                <w:b/>
                <w:sz w:val="6"/>
              </w:rPr>
            </w:pPr>
          </w:p>
          <w:p w14:paraId="3791B2E7" w14:textId="77777777" w:rsidR="00F65BCA" w:rsidRDefault="00216117">
            <w:pPr>
              <w:pStyle w:val="TableParagraph"/>
              <w:spacing w:line="51" w:lineRule="exact"/>
              <w:ind w:left="10"/>
              <w:rPr>
                <w:rFonts w:ascii="Calibri"/>
                <w:sz w:val="6"/>
              </w:rPr>
            </w:pPr>
            <w:r>
              <w:rPr>
                <w:rFonts w:ascii="Calibri"/>
                <w:color w:val="231F20"/>
                <w:w w:val="105"/>
                <w:sz w:val="6"/>
              </w:rPr>
              <w:t>k</w:t>
            </w:r>
            <w:r>
              <w:rPr>
                <w:rFonts w:ascii="Calibri"/>
                <w:color w:val="231F20"/>
                <w:w w:val="211"/>
                <w:sz w:val="6"/>
              </w:rPr>
              <w:t xml:space="preserve"> </w:t>
            </w:r>
            <w:r>
              <w:rPr>
                <w:rFonts w:ascii="Calibri"/>
                <w:color w:val="231F20"/>
                <w:w w:val="266"/>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6B892ABF" w14:textId="77777777" w:rsidR="00F65BCA" w:rsidRDefault="00F65BCA">
            <w:pPr>
              <w:pStyle w:val="TableParagraph"/>
              <w:spacing w:before="8"/>
              <w:rPr>
                <w:rFonts w:ascii="Calibri"/>
                <w:b/>
                <w:sz w:val="6"/>
              </w:rPr>
            </w:pPr>
          </w:p>
          <w:p w14:paraId="0839D1A2"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191"/>
                <w:sz w:val="6"/>
              </w:rPr>
              <w:t xml:space="preserve">  </w:t>
            </w:r>
            <w:r>
              <w:rPr>
                <w:rFonts w:ascii="Calibri"/>
                <w:color w:val="231F20"/>
                <w:w w:val="224"/>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D2BEB3A" w14:textId="77777777" w:rsidR="00F65BCA" w:rsidRDefault="00F65BCA">
            <w:pPr>
              <w:pStyle w:val="TableParagraph"/>
              <w:spacing w:before="8"/>
              <w:rPr>
                <w:rFonts w:ascii="Calibri"/>
                <w:b/>
                <w:sz w:val="6"/>
              </w:rPr>
            </w:pPr>
          </w:p>
          <w:p w14:paraId="08EBCC77" w14:textId="77777777" w:rsidR="00F65BCA" w:rsidRDefault="00216117">
            <w:pPr>
              <w:pStyle w:val="TableParagraph"/>
              <w:spacing w:line="51" w:lineRule="exact"/>
              <w:ind w:left="9"/>
              <w:rPr>
                <w:rFonts w:ascii="Calibri"/>
                <w:sz w:val="6"/>
              </w:rPr>
            </w:pPr>
            <w:r>
              <w:rPr>
                <w:rFonts w:ascii="Calibri"/>
                <w:color w:val="231F20"/>
                <w:spacing w:val="-1"/>
                <w:w w:val="282"/>
                <w:sz w:val="6"/>
              </w:rPr>
              <w:t xml:space="preserve"> </w:t>
            </w:r>
            <w:r>
              <w:rPr>
                <w:rFonts w:ascii="Calibri"/>
                <w:color w:val="231F20"/>
                <w:w w:val="249"/>
                <w:sz w:val="6"/>
              </w:rPr>
              <w:t xml:space="preserve">  </w:t>
            </w:r>
            <w:r>
              <w:rPr>
                <w:rFonts w:ascii="Calibri"/>
                <w:color w:val="231F20"/>
                <w:spacing w:val="-1"/>
                <w:w w:val="249"/>
                <w:sz w:val="6"/>
              </w:rPr>
              <w:t xml:space="preserve"> </w:t>
            </w:r>
            <w:r>
              <w:rPr>
                <w:rFonts w:ascii="Calibri"/>
                <w:color w:val="231F20"/>
                <w:w w:val="304"/>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590FB424" w14:textId="77777777" w:rsidR="00F65BCA" w:rsidRDefault="00F65BCA">
            <w:pPr>
              <w:pStyle w:val="TableParagraph"/>
              <w:spacing w:before="8"/>
              <w:rPr>
                <w:rFonts w:ascii="Calibri"/>
                <w:b/>
                <w:sz w:val="6"/>
              </w:rPr>
            </w:pPr>
          </w:p>
          <w:p w14:paraId="4A7EAAC9" w14:textId="77777777" w:rsidR="00F65BCA" w:rsidRDefault="00216117">
            <w:pPr>
              <w:pStyle w:val="TableParagraph"/>
              <w:spacing w:line="51" w:lineRule="exact"/>
              <w:ind w:left="7"/>
              <w:rPr>
                <w:rFonts w:ascii="Calibri"/>
                <w:sz w:val="6"/>
              </w:rPr>
            </w:pPr>
            <w:r>
              <w:rPr>
                <w:rFonts w:ascii="Calibri"/>
                <w:color w:val="231F20"/>
                <w:w w:val="295"/>
                <w:sz w:val="6"/>
              </w:rPr>
              <w:t xml:space="preserve"> </w:t>
            </w:r>
            <w:r>
              <w:rPr>
                <w:rFonts w:ascii="Calibri"/>
                <w:color w:val="231F20"/>
                <w:w w:val="90"/>
                <w:sz w:val="6"/>
              </w:rPr>
              <w:t xml:space="preserve">A </w:t>
            </w:r>
            <w:r>
              <w:rPr>
                <w:rFonts w:ascii="Calibri"/>
                <w:color w:val="231F20"/>
                <w:w w:val="181"/>
                <w:sz w:val="6"/>
              </w:rPr>
              <w:t xml:space="preserve">  </w:t>
            </w:r>
            <w:r>
              <w:rPr>
                <w:rFonts w:ascii="Calibri"/>
                <w:color w:val="231F20"/>
                <w:w w:val="242"/>
                <w:sz w:val="6"/>
              </w:rPr>
              <w:t xml:space="preserve"> </w:t>
            </w:r>
            <w:r>
              <w:rPr>
                <w:rFonts w:ascii="Calibri"/>
                <w:color w:val="231F20"/>
                <w:w w:val="207"/>
                <w:sz w:val="6"/>
              </w:rPr>
              <w:t xml:space="preserve"> </w:t>
            </w:r>
            <w:r>
              <w:rPr>
                <w:rFonts w:ascii="Calibri"/>
                <w:color w:val="231F20"/>
                <w:w w:val="208"/>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786AB576" w14:textId="77777777" w:rsidR="00F65BCA" w:rsidRDefault="00F65BCA">
            <w:pPr>
              <w:pStyle w:val="TableParagraph"/>
              <w:spacing w:before="8"/>
              <w:rPr>
                <w:rFonts w:ascii="Calibri"/>
                <w:b/>
                <w:sz w:val="6"/>
              </w:rPr>
            </w:pPr>
          </w:p>
          <w:p w14:paraId="30C064E8"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5FEBE7A1" w14:textId="77777777" w:rsidR="00F65BCA" w:rsidRDefault="00F65BCA">
            <w:pPr>
              <w:pStyle w:val="TableParagraph"/>
              <w:spacing w:before="8"/>
              <w:rPr>
                <w:rFonts w:ascii="Calibri"/>
                <w:b/>
                <w:sz w:val="6"/>
              </w:rPr>
            </w:pPr>
          </w:p>
          <w:p w14:paraId="7821F309"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4975A185" w14:textId="77777777" w:rsidR="00F65BCA" w:rsidRDefault="00F65BCA">
            <w:pPr>
              <w:pStyle w:val="TableParagraph"/>
              <w:spacing w:before="8"/>
              <w:rPr>
                <w:rFonts w:ascii="Calibri"/>
                <w:b/>
                <w:sz w:val="6"/>
              </w:rPr>
            </w:pPr>
          </w:p>
          <w:p w14:paraId="40C251E5" w14:textId="77777777" w:rsidR="00F65BCA" w:rsidRDefault="00216117">
            <w:pPr>
              <w:pStyle w:val="TableParagraph"/>
              <w:spacing w:line="51" w:lineRule="exact"/>
              <w:ind w:right="15"/>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79CC8B37" w14:textId="77777777" w:rsidR="00F65BCA" w:rsidRDefault="00F65BCA">
            <w:pPr>
              <w:pStyle w:val="TableParagraph"/>
              <w:spacing w:before="8"/>
              <w:rPr>
                <w:rFonts w:ascii="Calibri"/>
                <w:b/>
                <w:sz w:val="6"/>
              </w:rPr>
            </w:pPr>
          </w:p>
          <w:p w14:paraId="3705B2B2"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70A517ED" w14:textId="77777777" w:rsidR="00F65BCA" w:rsidRDefault="00F65BCA">
            <w:pPr>
              <w:pStyle w:val="TableParagraph"/>
              <w:spacing w:before="8"/>
              <w:rPr>
                <w:rFonts w:ascii="Calibri"/>
                <w:b/>
                <w:sz w:val="6"/>
              </w:rPr>
            </w:pPr>
          </w:p>
          <w:p w14:paraId="0893C0F5" w14:textId="77777777" w:rsidR="00F65BCA" w:rsidRDefault="00216117">
            <w:pPr>
              <w:pStyle w:val="TableParagraph"/>
              <w:spacing w:line="51" w:lineRule="exact"/>
              <w:ind w:right="8"/>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275E332C" w14:textId="77777777" w:rsidR="00F65BCA" w:rsidRDefault="00F65BCA">
            <w:pPr>
              <w:pStyle w:val="TableParagraph"/>
              <w:spacing w:before="8"/>
              <w:rPr>
                <w:rFonts w:ascii="Calibri"/>
                <w:b/>
                <w:sz w:val="6"/>
              </w:rPr>
            </w:pPr>
          </w:p>
          <w:p w14:paraId="63DDF35A" w14:textId="77777777" w:rsidR="00F65BCA" w:rsidRDefault="00216117">
            <w:pPr>
              <w:pStyle w:val="TableParagraph"/>
              <w:spacing w:line="51" w:lineRule="exact"/>
              <w:ind w:right="14"/>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54CDB1C4" w14:textId="77777777" w:rsidR="00F65BCA" w:rsidRDefault="00F65BCA">
            <w:pPr>
              <w:pStyle w:val="TableParagraph"/>
              <w:spacing w:before="8"/>
              <w:rPr>
                <w:rFonts w:ascii="Calibri"/>
                <w:b/>
                <w:sz w:val="6"/>
              </w:rPr>
            </w:pPr>
          </w:p>
          <w:p w14:paraId="72297F85"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3D0E10EB" w14:textId="77777777" w:rsidR="00F65BCA" w:rsidRDefault="00F65BCA">
            <w:pPr>
              <w:pStyle w:val="TableParagraph"/>
              <w:spacing w:before="8"/>
              <w:rPr>
                <w:rFonts w:ascii="Calibri"/>
                <w:b/>
                <w:sz w:val="6"/>
              </w:rPr>
            </w:pPr>
          </w:p>
          <w:p w14:paraId="5FABEE19"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61DA100B" w14:textId="77777777" w:rsidR="00F65BCA" w:rsidRDefault="00F65BCA">
            <w:pPr>
              <w:pStyle w:val="TableParagraph"/>
              <w:spacing w:before="8"/>
              <w:rPr>
                <w:rFonts w:ascii="Calibri"/>
                <w:b/>
                <w:sz w:val="6"/>
              </w:rPr>
            </w:pPr>
          </w:p>
          <w:p w14:paraId="05A66378"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5B42B488" w14:textId="77777777" w:rsidR="00F65BCA" w:rsidRDefault="00F65BCA">
            <w:pPr>
              <w:pStyle w:val="TableParagraph"/>
              <w:spacing w:before="8"/>
              <w:rPr>
                <w:rFonts w:ascii="Calibri"/>
                <w:b/>
                <w:sz w:val="6"/>
              </w:rPr>
            </w:pPr>
          </w:p>
          <w:p w14:paraId="29149941" w14:textId="77777777" w:rsidR="00F65BCA" w:rsidRDefault="00216117">
            <w:pPr>
              <w:pStyle w:val="TableParagraph"/>
              <w:spacing w:line="51" w:lineRule="exact"/>
              <w:ind w:right="91"/>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16480FE8" w14:textId="77777777" w:rsidR="00F65BCA" w:rsidRDefault="00F65BCA">
            <w:pPr>
              <w:pStyle w:val="TableParagraph"/>
              <w:spacing w:before="8"/>
              <w:rPr>
                <w:rFonts w:ascii="Calibri"/>
                <w:b/>
                <w:sz w:val="6"/>
              </w:rPr>
            </w:pPr>
          </w:p>
          <w:p w14:paraId="65970115" w14:textId="77777777" w:rsidR="00F65BCA" w:rsidRDefault="00216117">
            <w:pPr>
              <w:pStyle w:val="TableParagraph"/>
              <w:spacing w:line="51" w:lineRule="exact"/>
              <w:ind w:right="23"/>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6D117F9B" w14:textId="77777777" w:rsidR="00F65BCA" w:rsidRDefault="00F65BCA">
            <w:pPr>
              <w:pStyle w:val="TableParagraph"/>
              <w:spacing w:before="8"/>
              <w:rPr>
                <w:rFonts w:ascii="Calibri"/>
                <w:b/>
                <w:sz w:val="6"/>
              </w:rPr>
            </w:pPr>
          </w:p>
          <w:p w14:paraId="53595C9C" w14:textId="77777777" w:rsidR="00F65BCA" w:rsidRDefault="00216117">
            <w:pPr>
              <w:pStyle w:val="TableParagraph"/>
              <w:spacing w:line="51" w:lineRule="exact"/>
              <w:ind w:left="19"/>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2642BDE4" w14:textId="77777777" w:rsidR="00F65BCA" w:rsidRDefault="00F65BCA">
            <w:pPr>
              <w:pStyle w:val="TableParagraph"/>
              <w:spacing w:before="8"/>
              <w:rPr>
                <w:rFonts w:ascii="Calibri"/>
                <w:b/>
                <w:sz w:val="6"/>
              </w:rPr>
            </w:pPr>
          </w:p>
          <w:p w14:paraId="697B98E9" w14:textId="77777777" w:rsidR="00F65BCA" w:rsidRDefault="00216117">
            <w:pPr>
              <w:pStyle w:val="TableParagraph"/>
              <w:spacing w:line="51" w:lineRule="exact"/>
              <w:ind w:left="3"/>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45A60E9E" w14:textId="77777777" w:rsidR="00F65BCA" w:rsidRDefault="00F65BCA">
            <w:pPr>
              <w:pStyle w:val="TableParagraph"/>
              <w:spacing w:before="8"/>
              <w:rPr>
                <w:rFonts w:ascii="Calibri"/>
                <w:b/>
                <w:sz w:val="6"/>
              </w:rPr>
            </w:pPr>
          </w:p>
          <w:p w14:paraId="0E8B936D"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1BA36FC7"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6803DB17"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76F8EB3A"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46650329"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C3715BC"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58499EF8" w14:textId="77777777" w:rsidR="00F65BCA" w:rsidRDefault="00F65BCA">
            <w:pPr>
              <w:pStyle w:val="TableParagraph"/>
              <w:rPr>
                <w:rFonts w:ascii="Times New Roman"/>
                <w:sz w:val="6"/>
              </w:rPr>
            </w:pPr>
          </w:p>
        </w:tc>
      </w:tr>
      <w:tr w:rsidR="00F65BCA" w14:paraId="56237945" w14:textId="77777777">
        <w:trPr>
          <w:trHeight w:val="153"/>
        </w:trPr>
        <w:tc>
          <w:tcPr>
            <w:tcW w:w="166" w:type="dxa"/>
            <w:tcBorders>
              <w:top w:val="single" w:sz="2" w:space="0" w:color="231F20"/>
              <w:bottom w:val="single" w:sz="2" w:space="0" w:color="231F20"/>
              <w:right w:val="single" w:sz="2" w:space="0" w:color="231F20"/>
            </w:tcBorders>
          </w:tcPr>
          <w:p w14:paraId="762F8845" w14:textId="77777777" w:rsidR="00F65BCA" w:rsidRDefault="00F65BCA">
            <w:pPr>
              <w:pStyle w:val="TableParagraph"/>
              <w:spacing w:before="8"/>
              <w:rPr>
                <w:rFonts w:ascii="Calibri"/>
                <w:b/>
                <w:sz w:val="6"/>
              </w:rPr>
            </w:pPr>
          </w:p>
          <w:p w14:paraId="188BB12F" w14:textId="77777777" w:rsidR="00F65BCA" w:rsidRDefault="00216117">
            <w:pPr>
              <w:pStyle w:val="TableParagraph"/>
              <w:spacing w:line="51" w:lineRule="exact"/>
              <w:ind w:right="5"/>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42192420" w14:textId="77777777" w:rsidR="00F65BCA" w:rsidRDefault="00F65BCA">
            <w:pPr>
              <w:pStyle w:val="TableParagraph"/>
              <w:spacing w:before="8"/>
              <w:rPr>
                <w:rFonts w:ascii="Calibri"/>
                <w:b/>
                <w:sz w:val="6"/>
              </w:rPr>
            </w:pPr>
          </w:p>
          <w:p w14:paraId="598BC779"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627063B7" w14:textId="77777777" w:rsidR="00F65BCA" w:rsidRDefault="00F65BCA">
            <w:pPr>
              <w:pStyle w:val="TableParagraph"/>
              <w:spacing w:before="8"/>
              <w:rPr>
                <w:rFonts w:ascii="Calibri"/>
                <w:b/>
                <w:sz w:val="6"/>
              </w:rPr>
            </w:pPr>
          </w:p>
          <w:p w14:paraId="0CAE5FDD"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18A068D8" w14:textId="77777777" w:rsidR="00F65BCA" w:rsidRDefault="00F65BCA">
            <w:pPr>
              <w:pStyle w:val="TableParagraph"/>
              <w:spacing w:before="8"/>
              <w:rPr>
                <w:rFonts w:ascii="Calibri"/>
                <w:b/>
                <w:sz w:val="6"/>
              </w:rPr>
            </w:pPr>
          </w:p>
          <w:p w14:paraId="5CE2EBDA"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087EEBAE" w14:textId="77777777" w:rsidR="00F65BCA" w:rsidRDefault="00F65BCA">
            <w:pPr>
              <w:pStyle w:val="TableParagraph"/>
              <w:spacing w:before="8"/>
              <w:rPr>
                <w:rFonts w:ascii="Calibri"/>
                <w:b/>
                <w:sz w:val="6"/>
              </w:rPr>
            </w:pPr>
          </w:p>
          <w:p w14:paraId="082431C1" w14:textId="77777777" w:rsidR="00F65BCA" w:rsidRDefault="00216117">
            <w:pPr>
              <w:pStyle w:val="TableParagraph"/>
              <w:spacing w:line="51" w:lineRule="exact"/>
              <w:ind w:left="238"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6F956DC9" w14:textId="77777777" w:rsidR="00F65BCA" w:rsidRDefault="00F65BCA">
            <w:pPr>
              <w:pStyle w:val="TableParagraph"/>
              <w:spacing w:before="8"/>
              <w:rPr>
                <w:rFonts w:ascii="Calibri"/>
                <w:b/>
                <w:sz w:val="6"/>
              </w:rPr>
            </w:pPr>
          </w:p>
          <w:p w14:paraId="52A1AC75"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spacing w:val="-1"/>
                <w:w w:val="237"/>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1F61E8D6" w14:textId="77777777" w:rsidR="00F65BCA" w:rsidRDefault="00F65BCA">
            <w:pPr>
              <w:pStyle w:val="TableParagraph"/>
              <w:spacing w:before="8"/>
              <w:rPr>
                <w:rFonts w:ascii="Calibri"/>
                <w:b/>
                <w:sz w:val="6"/>
              </w:rPr>
            </w:pPr>
          </w:p>
          <w:p w14:paraId="0A2E158A"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296"/>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24FD00AA" w14:textId="77777777" w:rsidR="00F65BCA" w:rsidRDefault="00F65BCA">
            <w:pPr>
              <w:pStyle w:val="TableParagraph"/>
              <w:spacing w:before="8"/>
              <w:rPr>
                <w:rFonts w:ascii="Calibri"/>
                <w:b/>
                <w:sz w:val="6"/>
              </w:rPr>
            </w:pPr>
          </w:p>
          <w:p w14:paraId="190F2FB5" w14:textId="77777777" w:rsidR="00F65BCA" w:rsidRDefault="00216117">
            <w:pPr>
              <w:pStyle w:val="TableParagraph"/>
              <w:spacing w:line="51" w:lineRule="exact"/>
              <w:ind w:left="10"/>
              <w:rPr>
                <w:rFonts w:ascii="Calibri" w:hAnsi="Calibri"/>
                <w:sz w:val="6"/>
              </w:rPr>
            </w:pPr>
            <w:r>
              <w:rPr>
                <w:rFonts w:ascii="Calibri" w:hAnsi="Calibri"/>
                <w:color w:val="231F20"/>
                <w:w w:val="205"/>
                <w:sz w:val="6"/>
              </w:rPr>
              <w:t>ý</w:t>
            </w:r>
            <w:r>
              <w:rPr>
                <w:rFonts w:ascii="Calibri" w:hAnsi="Calibri"/>
                <w:color w:val="231F20"/>
                <w:w w:val="211"/>
                <w:sz w:val="6"/>
              </w:rPr>
              <w:t xml:space="preserve"> </w:t>
            </w:r>
            <w:r>
              <w:rPr>
                <w:rFonts w:ascii="Calibri" w:hAnsi="Calibri"/>
                <w:color w:val="231F20"/>
                <w:w w:val="233"/>
                <w:sz w:val="6"/>
              </w:rPr>
              <w:t xml:space="preserve"> </w:t>
            </w:r>
            <w:r>
              <w:rPr>
                <w:rFonts w:ascii="Calibri" w:hAnsi="Calibri"/>
                <w:color w:val="231F20"/>
                <w:w w:val="224"/>
                <w:sz w:val="6"/>
              </w:rPr>
              <w:t xml:space="preserve"> </w:t>
            </w:r>
            <w:r>
              <w:rPr>
                <w:rFonts w:ascii="Calibri" w:hAnsi="Calibri"/>
                <w:color w:val="231F20"/>
                <w:w w:val="233"/>
                <w:sz w:val="6"/>
              </w:rPr>
              <w:t xml:space="preserve">   </w:t>
            </w:r>
            <w:r>
              <w:rPr>
                <w:rFonts w:ascii="Calibri" w:hAnsi="Calibri"/>
                <w:color w:val="231F20"/>
                <w:w w:val="224"/>
                <w:sz w:val="6"/>
              </w:rPr>
              <w:t xml:space="preserve"> </w:t>
            </w:r>
            <w:r>
              <w:rPr>
                <w:rFonts w:ascii="Calibri" w:hAnsi="Calibri"/>
                <w:color w:val="231F20"/>
                <w:w w:val="257"/>
                <w:sz w:val="6"/>
              </w:rPr>
              <w:t xml:space="preserve">  </w:t>
            </w:r>
            <w:r>
              <w:rPr>
                <w:rFonts w:ascii="Calibri" w:hAnsi="Calibri"/>
                <w:color w:val="231F20"/>
                <w:w w:val="296"/>
                <w:sz w:val="6"/>
              </w:rPr>
              <w:t xml:space="preserve"> </w:t>
            </w:r>
            <w:r>
              <w:rPr>
                <w:rFonts w:ascii="Calibri" w:hAnsi="Calibri"/>
                <w:color w:val="231F20"/>
                <w:w w:val="241"/>
                <w:sz w:val="6"/>
              </w:rPr>
              <w:t xml:space="preserve">  </w:t>
            </w:r>
            <w:r>
              <w:rPr>
                <w:rFonts w:ascii="Calibri" w:hAns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76A60433" w14:textId="77777777" w:rsidR="00F65BCA" w:rsidRDefault="00F65BCA">
            <w:pPr>
              <w:pStyle w:val="TableParagraph"/>
              <w:spacing w:before="8"/>
              <w:rPr>
                <w:rFonts w:ascii="Calibri"/>
                <w:b/>
                <w:sz w:val="6"/>
              </w:rPr>
            </w:pPr>
          </w:p>
          <w:p w14:paraId="59FC0360"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27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341A549D" w14:textId="77777777" w:rsidR="00F65BCA" w:rsidRDefault="00F65BCA">
            <w:pPr>
              <w:pStyle w:val="TableParagraph"/>
              <w:spacing w:before="8"/>
              <w:rPr>
                <w:rFonts w:ascii="Calibri"/>
                <w:b/>
                <w:sz w:val="6"/>
              </w:rPr>
            </w:pPr>
          </w:p>
          <w:p w14:paraId="712CE399" w14:textId="77777777" w:rsidR="00F65BCA" w:rsidRDefault="00216117">
            <w:pPr>
              <w:pStyle w:val="TableParagraph"/>
              <w:spacing w:line="51" w:lineRule="exact"/>
              <w:ind w:left="8"/>
              <w:rPr>
                <w:rFonts w:ascii="Calibri"/>
                <w:sz w:val="6"/>
              </w:rPr>
            </w:pPr>
            <w:r>
              <w:rPr>
                <w:rFonts w:ascii="Calibri"/>
                <w:color w:val="231F20"/>
                <w:spacing w:val="-1"/>
                <w:w w:val="224"/>
                <w:sz w:val="6"/>
              </w:rPr>
              <w:t xml:space="preserve"> </w:t>
            </w:r>
            <w:r>
              <w:rPr>
                <w:rFonts w:ascii="Calibri"/>
                <w:color w:val="231F20"/>
                <w:w w:val="257"/>
                <w:sz w:val="6"/>
              </w:rPr>
              <w:t xml:space="preserve">  </w:t>
            </w:r>
            <w:r>
              <w:rPr>
                <w:rFonts w:ascii="Calibri"/>
                <w:color w:val="231F20"/>
                <w:w w:val="296"/>
                <w:sz w:val="6"/>
              </w:rPr>
              <w:t xml:space="preserve"> </w:t>
            </w:r>
            <w:r>
              <w:rPr>
                <w:rFonts w:ascii="Calibri"/>
                <w:color w:val="231F20"/>
                <w:spacing w:val="-1"/>
                <w:w w:val="211"/>
                <w:sz w:val="6"/>
              </w:rPr>
              <w:t xml:space="preserve"> </w:t>
            </w:r>
            <w:r>
              <w:rPr>
                <w:rFonts w:ascii="Calibri"/>
                <w:color w:val="231F20"/>
                <w:w w:val="170"/>
                <w:sz w:val="6"/>
              </w:rPr>
              <w:t xml:space="preserve">  </w:t>
            </w:r>
            <w:r>
              <w:rPr>
                <w:rFonts w:ascii="Times New Roman"/>
                <w:color w:val="231F20"/>
                <w:spacing w:val="-1"/>
                <w:sz w:val="6"/>
              </w:rPr>
              <w:t xml:space="preserve"> </w:t>
            </w:r>
            <w:r>
              <w:rPr>
                <w:rFonts w:ascii="Calibri"/>
                <w:color w:val="231F20"/>
                <w:spacing w:val="-1"/>
                <w:w w:val="245"/>
                <w:sz w:val="6"/>
              </w:rPr>
              <w:t xml:space="preserve"> </w:t>
            </w:r>
            <w:r>
              <w:rPr>
                <w:rFonts w:ascii="Calibri"/>
                <w:color w:val="231F20"/>
                <w:w w:val="295"/>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348"/>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w w:val="170"/>
                <w:sz w:val="6"/>
              </w:rPr>
              <w:t xml:space="preserve"> </w:t>
            </w:r>
            <w:r>
              <w:rPr>
                <w:rFonts w:ascii="Calibri"/>
                <w:color w:val="231F20"/>
                <w:spacing w:val="-1"/>
                <w:w w:val="170"/>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19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6224593E" w14:textId="77777777" w:rsidR="00F65BCA" w:rsidRDefault="00F65BCA">
            <w:pPr>
              <w:pStyle w:val="TableParagraph"/>
              <w:spacing w:before="8"/>
              <w:rPr>
                <w:rFonts w:ascii="Calibri"/>
                <w:b/>
                <w:sz w:val="6"/>
              </w:rPr>
            </w:pPr>
          </w:p>
          <w:p w14:paraId="278098AF" w14:textId="77777777" w:rsidR="00F65BCA" w:rsidRDefault="00216117">
            <w:pPr>
              <w:pStyle w:val="TableParagraph"/>
              <w:spacing w:line="51" w:lineRule="exact"/>
              <w:ind w:left="7"/>
              <w:rPr>
                <w:rFonts w:ascii="Calibri"/>
                <w:sz w:val="6"/>
              </w:rPr>
            </w:pPr>
            <w:r>
              <w:rPr>
                <w:rFonts w:ascii="Calibri"/>
                <w:color w:val="231F20"/>
                <w:w w:val="295"/>
                <w:sz w:val="6"/>
              </w:rPr>
              <w:t xml:space="preserve"> </w:t>
            </w:r>
            <w:r>
              <w:rPr>
                <w:rFonts w:ascii="Calibri"/>
                <w:color w:val="231F20"/>
                <w:w w:val="90"/>
                <w:sz w:val="6"/>
              </w:rPr>
              <w:t xml:space="preserve">A </w:t>
            </w:r>
            <w:r>
              <w:rPr>
                <w:rFonts w:ascii="Calibri"/>
                <w:color w:val="231F20"/>
                <w:w w:val="181"/>
                <w:sz w:val="6"/>
              </w:rPr>
              <w:t xml:space="preserve">  </w:t>
            </w:r>
            <w:r>
              <w:rPr>
                <w:rFonts w:ascii="Calibri"/>
                <w:color w:val="231F20"/>
                <w:w w:val="242"/>
                <w:sz w:val="6"/>
              </w:rPr>
              <w:t xml:space="preserve"> </w:t>
            </w:r>
            <w:r>
              <w:rPr>
                <w:rFonts w:ascii="Calibri"/>
                <w:color w:val="231F20"/>
                <w:w w:val="207"/>
                <w:sz w:val="6"/>
              </w:rPr>
              <w:t xml:space="preserve"> </w:t>
            </w:r>
            <w:r>
              <w:rPr>
                <w:rFonts w:ascii="Calibri"/>
                <w:color w:val="231F20"/>
                <w:w w:val="208"/>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0B6E4067" w14:textId="77777777" w:rsidR="00F65BCA" w:rsidRDefault="00F65BCA">
            <w:pPr>
              <w:pStyle w:val="TableParagraph"/>
              <w:spacing w:before="8"/>
              <w:rPr>
                <w:rFonts w:ascii="Calibri"/>
                <w:b/>
                <w:sz w:val="6"/>
              </w:rPr>
            </w:pPr>
          </w:p>
          <w:p w14:paraId="1FA96631"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40C2372C" w14:textId="77777777" w:rsidR="00F65BCA" w:rsidRDefault="00F65BCA">
            <w:pPr>
              <w:pStyle w:val="TableParagraph"/>
              <w:spacing w:before="8"/>
              <w:rPr>
                <w:rFonts w:ascii="Calibri"/>
                <w:b/>
                <w:sz w:val="6"/>
              </w:rPr>
            </w:pPr>
          </w:p>
          <w:p w14:paraId="75CB76DC" w14:textId="77777777" w:rsidR="00F65BCA" w:rsidRDefault="00216117">
            <w:pPr>
              <w:pStyle w:val="TableParagraph"/>
              <w:spacing w:line="51" w:lineRule="exact"/>
              <w:ind w:right="19"/>
              <w:jc w:val="right"/>
              <w:rPr>
                <w:rFonts w:ascii="Calibri"/>
                <w:sz w:val="6"/>
              </w:rPr>
            </w:pPr>
            <w:r>
              <w:rPr>
                <w:rFonts w:ascii="Calibri"/>
                <w:color w:val="231F20"/>
                <w:spacing w:val="-1"/>
                <w:w w:val="233"/>
                <w:sz w:val="6"/>
              </w:rPr>
              <w:t xml:space="preserve"> </w:t>
            </w: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199BDAFF" w14:textId="77777777" w:rsidR="00F65BCA" w:rsidRDefault="00F65BCA">
            <w:pPr>
              <w:pStyle w:val="TableParagraph"/>
              <w:spacing w:before="8"/>
              <w:rPr>
                <w:rFonts w:ascii="Calibri"/>
                <w:b/>
                <w:sz w:val="6"/>
              </w:rPr>
            </w:pPr>
          </w:p>
          <w:p w14:paraId="0B2D32E5"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60062EE4" w14:textId="77777777" w:rsidR="00F65BCA" w:rsidRDefault="00F65BCA">
            <w:pPr>
              <w:pStyle w:val="TableParagraph"/>
              <w:spacing w:before="8"/>
              <w:rPr>
                <w:rFonts w:ascii="Calibri"/>
                <w:b/>
                <w:sz w:val="6"/>
              </w:rPr>
            </w:pPr>
          </w:p>
          <w:p w14:paraId="6841C767"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3E8BADCF" w14:textId="77777777" w:rsidR="00F65BCA" w:rsidRDefault="00F65BCA">
            <w:pPr>
              <w:pStyle w:val="TableParagraph"/>
              <w:spacing w:before="8"/>
              <w:rPr>
                <w:rFonts w:ascii="Calibri"/>
                <w:b/>
                <w:sz w:val="6"/>
              </w:rPr>
            </w:pPr>
          </w:p>
          <w:p w14:paraId="0F97AD8D"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48E9BB69" w14:textId="77777777" w:rsidR="00F65BCA" w:rsidRDefault="00F65BCA">
            <w:pPr>
              <w:pStyle w:val="TableParagraph"/>
              <w:spacing w:before="8"/>
              <w:rPr>
                <w:rFonts w:ascii="Calibri"/>
                <w:b/>
                <w:sz w:val="6"/>
              </w:rPr>
            </w:pPr>
          </w:p>
          <w:p w14:paraId="49C78608" w14:textId="77777777" w:rsidR="00F65BCA" w:rsidRDefault="00216117">
            <w:pPr>
              <w:pStyle w:val="TableParagraph"/>
              <w:spacing w:line="51"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66DC769" w14:textId="77777777" w:rsidR="00F65BCA" w:rsidRDefault="00F65BCA">
            <w:pPr>
              <w:pStyle w:val="TableParagraph"/>
              <w:spacing w:before="8"/>
              <w:rPr>
                <w:rFonts w:ascii="Calibri"/>
                <w:b/>
                <w:sz w:val="6"/>
              </w:rPr>
            </w:pPr>
          </w:p>
          <w:p w14:paraId="3C87CD34"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40D8175C" w14:textId="77777777" w:rsidR="00F65BCA" w:rsidRDefault="00F65BCA">
            <w:pPr>
              <w:pStyle w:val="TableParagraph"/>
              <w:spacing w:before="8"/>
              <w:rPr>
                <w:rFonts w:ascii="Calibri"/>
                <w:b/>
                <w:sz w:val="6"/>
              </w:rPr>
            </w:pPr>
          </w:p>
          <w:p w14:paraId="3D050B99"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59ACAFF" w14:textId="77777777" w:rsidR="00F65BCA" w:rsidRDefault="00F65BCA">
            <w:pPr>
              <w:pStyle w:val="TableParagraph"/>
              <w:spacing w:before="8"/>
              <w:rPr>
                <w:rFonts w:ascii="Calibri"/>
                <w:b/>
                <w:sz w:val="6"/>
              </w:rPr>
            </w:pPr>
          </w:p>
          <w:p w14:paraId="1E6A4705"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6E334F00" w14:textId="77777777" w:rsidR="00F65BCA" w:rsidRDefault="00F65BCA">
            <w:pPr>
              <w:pStyle w:val="TableParagraph"/>
              <w:spacing w:before="8"/>
              <w:rPr>
                <w:rFonts w:ascii="Calibri"/>
                <w:b/>
                <w:sz w:val="6"/>
              </w:rPr>
            </w:pPr>
          </w:p>
          <w:p w14:paraId="416A9814" w14:textId="77777777" w:rsidR="00F65BCA" w:rsidRDefault="00216117">
            <w:pPr>
              <w:pStyle w:val="TableParagraph"/>
              <w:spacing w:line="51" w:lineRule="exact"/>
              <w:ind w:right="91"/>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31591274" w14:textId="77777777" w:rsidR="00F65BCA" w:rsidRDefault="00F65BCA">
            <w:pPr>
              <w:pStyle w:val="TableParagraph"/>
              <w:spacing w:before="8"/>
              <w:rPr>
                <w:rFonts w:ascii="Calibri"/>
                <w:b/>
                <w:sz w:val="6"/>
              </w:rPr>
            </w:pPr>
          </w:p>
          <w:p w14:paraId="4125C827" w14:textId="77777777" w:rsidR="00F65BCA" w:rsidRDefault="00216117">
            <w:pPr>
              <w:pStyle w:val="TableParagraph"/>
              <w:spacing w:line="51" w:lineRule="exact"/>
              <w:ind w:right="23"/>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617C5C1A" w14:textId="77777777" w:rsidR="00F65BCA" w:rsidRDefault="00F65BCA">
            <w:pPr>
              <w:pStyle w:val="TableParagraph"/>
              <w:spacing w:before="8"/>
              <w:rPr>
                <w:rFonts w:ascii="Calibri"/>
                <w:b/>
                <w:sz w:val="6"/>
              </w:rPr>
            </w:pPr>
          </w:p>
          <w:p w14:paraId="7AE64CC6" w14:textId="77777777" w:rsidR="00F65BCA" w:rsidRDefault="00216117">
            <w:pPr>
              <w:pStyle w:val="TableParagraph"/>
              <w:spacing w:line="51" w:lineRule="exact"/>
              <w:ind w:left="19"/>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701C4761" w14:textId="77777777" w:rsidR="00F65BCA" w:rsidRDefault="00F65BCA">
            <w:pPr>
              <w:pStyle w:val="TableParagraph"/>
              <w:spacing w:before="8"/>
              <w:rPr>
                <w:rFonts w:ascii="Calibri"/>
                <w:b/>
                <w:sz w:val="6"/>
              </w:rPr>
            </w:pPr>
          </w:p>
          <w:p w14:paraId="07EB5365" w14:textId="77777777" w:rsidR="00F65BCA" w:rsidRDefault="00216117">
            <w:pPr>
              <w:pStyle w:val="TableParagraph"/>
              <w:spacing w:line="51" w:lineRule="exact"/>
              <w:ind w:left="3"/>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69EB069B" w14:textId="77777777" w:rsidR="00F65BCA" w:rsidRDefault="00F65BCA">
            <w:pPr>
              <w:pStyle w:val="TableParagraph"/>
              <w:spacing w:before="8"/>
              <w:rPr>
                <w:rFonts w:ascii="Calibri"/>
                <w:b/>
                <w:sz w:val="6"/>
              </w:rPr>
            </w:pPr>
          </w:p>
          <w:p w14:paraId="78695BFF"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7CFB30DB"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4B8E3F10"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B162C3E"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CAC21CA"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4298FF00"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027B7AD2" w14:textId="77777777" w:rsidR="00F65BCA" w:rsidRDefault="00F65BCA">
            <w:pPr>
              <w:pStyle w:val="TableParagraph"/>
              <w:rPr>
                <w:rFonts w:ascii="Times New Roman"/>
                <w:sz w:val="6"/>
              </w:rPr>
            </w:pPr>
          </w:p>
        </w:tc>
      </w:tr>
      <w:tr w:rsidR="00F65BCA" w14:paraId="3D05F065" w14:textId="77777777">
        <w:trPr>
          <w:trHeight w:val="153"/>
        </w:trPr>
        <w:tc>
          <w:tcPr>
            <w:tcW w:w="166" w:type="dxa"/>
            <w:tcBorders>
              <w:top w:val="single" w:sz="2" w:space="0" w:color="231F20"/>
              <w:bottom w:val="single" w:sz="2" w:space="0" w:color="231F20"/>
              <w:right w:val="single" w:sz="2" w:space="0" w:color="231F20"/>
            </w:tcBorders>
          </w:tcPr>
          <w:p w14:paraId="29F021A3" w14:textId="77777777" w:rsidR="00F65BCA" w:rsidRDefault="00F65BCA">
            <w:pPr>
              <w:pStyle w:val="TableParagraph"/>
              <w:spacing w:before="8"/>
              <w:rPr>
                <w:rFonts w:ascii="Calibri"/>
                <w:b/>
                <w:sz w:val="6"/>
              </w:rPr>
            </w:pPr>
          </w:p>
          <w:p w14:paraId="7C474553"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553B7C8F" w14:textId="77777777" w:rsidR="00F65BCA" w:rsidRDefault="00F65BCA">
            <w:pPr>
              <w:pStyle w:val="TableParagraph"/>
              <w:spacing w:before="8"/>
              <w:rPr>
                <w:rFonts w:ascii="Calibri"/>
                <w:b/>
                <w:sz w:val="6"/>
              </w:rPr>
            </w:pPr>
          </w:p>
          <w:p w14:paraId="66265A15"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685AB330" w14:textId="77777777" w:rsidR="00F65BCA" w:rsidRDefault="00F65BCA">
            <w:pPr>
              <w:pStyle w:val="TableParagraph"/>
              <w:spacing w:before="8"/>
              <w:rPr>
                <w:rFonts w:ascii="Calibri"/>
                <w:b/>
                <w:sz w:val="6"/>
              </w:rPr>
            </w:pPr>
          </w:p>
          <w:p w14:paraId="7A99374A"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62EAFF93" w14:textId="77777777" w:rsidR="00F65BCA" w:rsidRDefault="00F65BCA">
            <w:pPr>
              <w:pStyle w:val="TableParagraph"/>
              <w:spacing w:before="8"/>
              <w:rPr>
                <w:rFonts w:ascii="Calibri"/>
                <w:b/>
                <w:sz w:val="6"/>
              </w:rPr>
            </w:pPr>
          </w:p>
          <w:p w14:paraId="6C5BA79B"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1339D328" w14:textId="77777777" w:rsidR="00F65BCA" w:rsidRDefault="00F65BCA">
            <w:pPr>
              <w:pStyle w:val="TableParagraph"/>
              <w:spacing w:before="8"/>
              <w:rPr>
                <w:rFonts w:ascii="Calibri"/>
                <w:b/>
                <w:sz w:val="6"/>
              </w:rPr>
            </w:pPr>
          </w:p>
          <w:p w14:paraId="2C666419"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6F1AE041" w14:textId="77777777" w:rsidR="00F65BCA" w:rsidRDefault="00F65BCA">
            <w:pPr>
              <w:pStyle w:val="TableParagraph"/>
              <w:spacing w:before="8"/>
              <w:rPr>
                <w:rFonts w:ascii="Calibri"/>
                <w:b/>
                <w:sz w:val="6"/>
              </w:rPr>
            </w:pPr>
          </w:p>
          <w:p w14:paraId="751A2142" w14:textId="77777777" w:rsidR="00F65BCA" w:rsidRDefault="00216117">
            <w:pPr>
              <w:pStyle w:val="TableParagraph"/>
              <w:spacing w:line="51" w:lineRule="exact"/>
              <w:ind w:left="12"/>
              <w:rPr>
                <w:rFonts w:ascii="Calibri"/>
                <w:sz w:val="6"/>
              </w:rPr>
            </w:pPr>
            <w:r>
              <w:rPr>
                <w:rFonts w:ascii="Calibri"/>
                <w:color w:val="231F20"/>
                <w:w w:val="237"/>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067AE6BA" w14:textId="77777777" w:rsidR="00F65BCA" w:rsidRDefault="00F65BCA">
            <w:pPr>
              <w:pStyle w:val="TableParagraph"/>
              <w:spacing w:before="8"/>
              <w:rPr>
                <w:rFonts w:ascii="Calibri"/>
                <w:b/>
                <w:sz w:val="6"/>
              </w:rPr>
            </w:pPr>
          </w:p>
          <w:p w14:paraId="33F229E3" w14:textId="77777777" w:rsidR="00F65BCA" w:rsidRDefault="00216117">
            <w:pPr>
              <w:pStyle w:val="TableParagraph"/>
              <w:spacing w:line="51" w:lineRule="exact"/>
              <w:ind w:left="11"/>
              <w:rPr>
                <w:rFonts w:ascii="Calibri"/>
                <w:sz w:val="6"/>
              </w:rPr>
            </w:pPr>
            <w:r>
              <w:rPr>
                <w:rFonts w:ascii="Calibri"/>
                <w:color w:val="231F20"/>
                <w:w w:val="105"/>
                <w:sz w:val="6"/>
              </w:rPr>
              <w:t>k</w:t>
            </w:r>
            <w:r>
              <w:rPr>
                <w:rFonts w:ascii="Calibri"/>
                <w:color w:val="231F20"/>
                <w:w w:val="266"/>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6C3DCBC5" w14:textId="77777777" w:rsidR="00F65BCA" w:rsidRDefault="00F65BCA">
            <w:pPr>
              <w:pStyle w:val="TableParagraph"/>
              <w:spacing w:before="8"/>
              <w:rPr>
                <w:rFonts w:ascii="Calibri"/>
                <w:b/>
                <w:sz w:val="6"/>
              </w:rPr>
            </w:pPr>
          </w:p>
          <w:p w14:paraId="19BF2A66" w14:textId="77777777" w:rsidR="00F65BCA" w:rsidRDefault="00216117">
            <w:pPr>
              <w:pStyle w:val="TableParagraph"/>
              <w:spacing w:line="51" w:lineRule="exact"/>
              <w:ind w:left="10"/>
              <w:rPr>
                <w:rFonts w:ascii="Calibri"/>
                <w:sz w:val="6"/>
              </w:rPr>
            </w:pPr>
            <w:r>
              <w:rPr>
                <w:rFonts w:ascii="Calibri"/>
                <w:color w:val="231F20"/>
                <w:w w:val="146"/>
                <w:sz w:val="6"/>
              </w:rPr>
              <w:t xml:space="preserve"> </w:t>
            </w:r>
            <w:r>
              <w:rPr>
                <w:rFonts w:ascii="Calibri"/>
                <w:color w:val="231F20"/>
                <w:spacing w:val="-1"/>
                <w:w w:val="245"/>
                <w:sz w:val="6"/>
              </w:rPr>
              <w:t xml:space="preserve"> </w:t>
            </w:r>
            <w:r>
              <w:rPr>
                <w:rFonts w:ascii="Calibri"/>
                <w:color w:val="231F20"/>
                <w:w w:val="241"/>
                <w:sz w:val="6"/>
              </w:rPr>
              <w:t xml:space="preserve">  </w:t>
            </w:r>
            <w:r>
              <w:rPr>
                <w:rFonts w:ascii="Calibri"/>
                <w:color w:val="231F20"/>
                <w:spacing w:val="-1"/>
                <w:w w:val="245"/>
                <w:sz w:val="6"/>
              </w:rPr>
              <w:t xml:space="preserve"> </w:t>
            </w:r>
            <w:r>
              <w:rPr>
                <w:rFonts w:ascii="Calibri"/>
                <w:color w:val="231F20"/>
                <w:w w:val="235"/>
                <w:sz w:val="6"/>
              </w:rPr>
              <w:t xml:space="preserve">  </w:t>
            </w:r>
            <w:r>
              <w:rPr>
                <w:rFonts w:ascii="Calibri"/>
                <w:color w:val="231F20"/>
                <w:w w:val="228"/>
                <w:sz w:val="6"/>
              </w:rPr>
              <w:t xml:space="preserve">  </w:t>
            </w:r>
            <w:r>
              <w:rPr>
                <w:rFonts w:ascii="Calibri"/>
                <w:color w:val="231F20"/>
                <w:w w:val="259"/>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55CA38D6" w14:textId="77777777" w:rsidR="00F65BCA" w:rsidRDefault="00F65BCA">
            <w:pPr>
              <w:pStyle w:val="TableParagraph"/>
              <w:spacing w:before="8"/>
              <w:rPr>
                <w:rFonts w:ascii="Calibri"/>
                <w:b/>
                <w:sz w:val="6"/>
              </w:rPr>
            </w:pPr>
          </w:p>
          <w:p w14:paraId="49F342E8" w14:textId="77777777" w:rsidR="00F65BCA" w:rsidRDefault="00216117">
            <w:pPr>
              <w:pStyle w:val="TableParagraph"/>
              <w:spacing w:line="51" w:lineRule="exact"/>
              <w:ind w:left="9"/>
              <w:rPr>
                <w:rFonts w:ascii="Calibri"/>
                <w:sz w:val="6"/>
              </w:rPr>
            </w:pPr>
            <w:r>
              <w:rPr>
                <w:rFonts w:ascii="Calibri"/>
                <w:color w:val="231F20"/>
                <w:w w:val="195"/>
                <w:sz w:val="6"/>
              </w:rPr>
              <w:t xml:space="preserve">  </w:t>
            </w:r>
            <w:r>
              <w:rPr>
                <w:rFonts w:ascii="Calibri"/>
                <w:color w:val="231F20"/>
                <w:w w:val="250"/>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145A9DF8" w14:textId="77777777" w:rsidR="00F65BCA" w:rsidRDefault="00F65BCA">
            <w:pPr>
              <w:pStyle w:val="TableParagraph"/>
              <w:spacing w:before="8"/>
              <w:rPr>
                <w:rFonts w:ascii="Calibri"/>
                <w:b/>
                <w:sz w:val="6"/>
              </w:rPr>
            </w:pPr>
          </w:p>
          <w:p w14:paraId="736AE4D8" w14:textId="77777777" w:rsidR="00F65BCA" w:rsidRDefault="00216117">
            <w:pPr>
              <w:pStyle w:val="TableParagraph"/>
              <w:spacing w:line="51" w:lineRule="exact"/>
              <w:ind w:left="8"/>
              <w:rPr>
                <w:rFonts w:ascii="Calibri"/>
                <w:sz w:val="6"/>
              </w:rPr>
            </w:pPr>
            <w:r>
              <w:rPr>
                <w:rFonts w:ascii="Calibri"/>
                <w:color w:val="231F20"/>
                <w:w w:val="233"/>
                <w:sz w:val="6"/>
              </w:rPr>
              <w:t xml:space="preserve"> </w:t>
            </w:r>
            <w:r>
              <w:rPr>
                <w:rFonts w:ascii="Calibri"/>
                <w:color w:val="231F20"/>
                <w:spacing w:val="-1"/>
                <w:w w:val="245"/>
                <w:sz w:val="6"/>
              </w:rPr>
              <w:t xml:space="preserve"> </w:t>
            </w:r>
            <w:r>
              <w:rPr>
                <w:rFonts w:ascii="Calibri"/>
                <w:color w:val="231F20"/>
                <w:w w:val="238"/>
                <w:sz w:val="6"/>
              </w:rPr>
              <w:t xml:space="preserve"> </w:t>
            </w:r>
            <w:r>
              <w:rPr>
                <w:rFonts w:ascii="Times New Roman"/>
                <w:color w:val="231F20"/>
                <w:spacing w:val="-1"/>
                <w:sz w:val="6"/>
              </w:rPr>
              <w:t xml:space="preserve"> </w:t>
            </w:r>
            <w:r>
              <w:rPr>
                <w:rFonts w:ascii="Calibri"/>
                <w:color w:val="231F20"/>
                <w:spacing w:val="-1"/>
                <w:w w:val="245"/>
                <w:sz w:val="6"/>
              </w:rPr>
              <w:t xml:space="preserve"> </w:t>
            </w:r>
            <w:r>
              <w:rPr>
                <w:rFonts w:ascii="Calibri"/>
                <w:color w:val="231F20"/>
                <w:w w:val="311"/>
                <w:sz w:val="6"/>
              </w:rPr>
              <w:t xml:space="preserve">   </w:t>
            </w:r>
            <w:r>
              <w:rPr>
                <w:rFonts w:ascii="Calibri"/>
                <w:color w:val="231F20"/>
                <w:w w:val="266"/>
                <w:sz w:val="6"/>
              </w:rPr>
              <w:t xml:space="preserve"> </w:t>
            </w:r>
            <w:r>
              <w:rPr>
                <w:rFonts w:ascii="Calibri"/>
                <w:color w:val="231F20"/>
                <w:spacing w:val="-1"/>
                <w:w w:val="245"/>
                <w:sz w:val="6"/>
              </w:rPr>
              <w:t xml:space="preserve"> </w:t>
            </w:r>
            <w:r>
              <w:rPr>
                <w:rFonts w:ascii="Calibri"/>
                <w:color w:val="231F20"/>
                <w:w w:val="224"/>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66DA23AF" w14:textId="77777777" w:rsidR="00F65BCA" w:rsidRDefault="00F65BCA">
            <w:pPr>
              <w:pStyle w:val="TableParagraph"/>
              <w:spacing w:before="8"/>
              <w:rPr>
                <w:rFonts w:ascii="Calibri"/>
                <w:b/>
                <w:sz w:val="6"/>
              </w:rPr>
            </w:pPr>
          </w:p>
          <w:p w14:paraId="5997DC18" w14:textId="77777777" w:rsidR="00F65BCA" w:rsidRDefault="00216117">
            <w:pPr>
              <w:pStyle w:val="TableParagraph"/>
              <w:spacing w:line="51" w:lineRule="exact"/>
              <w:ind w:left="7"/>
              <w:rPr>
                <w:rFonts w:ascii="Calibri"/>
                <w:sz w:val="6"/>
              </w:rPr>
            </w:pPr>
            <w:r>
              <w:rPr>
                <w:rFonts w:ascii="Calibri"/>
                <w:color w:val="231F20"/>
                <w:w w:val="237"/>
                <w:sz w:val="6"/>
              </w:rPr>
              <w:t xml:space="preserve"> </w:t>
            </w:r>
            <w:r>
              <w:rPr>
                <w:rFonts w:ascii="Calibri"/>
                <w:color w:val="231F20"/>
                <w:sz w:val="6"/>
              </w:rPr>
              <w:t xml:space="preserve">5 </w:t>
            </w:r>
            <w:r>
              <w:rPr>
                <w:rFonts w:ascii="Calibri"/>
                <w:color w:val="231F20"/>
                <w:w w:val="140"/>
                <w:sz w:val="6"/>
              </w:rPr>
              <w:t xml:space="preserve">c </w:t>
            </w:r>
            <w:r>
              <w:rPr>
                <w:rFonts w:ascii="Calibri"/>
                <w:color w:val="231F20"/>
                <w:w w:val="115"/>
                <w:sz w:val="6"/>
              </w:rPr>
              <w:t xml:space="preserve">5 j </w:t>
            </w:r>
            <w:r>
              <w:rPr>
                <w:rFonts w:ascii="Calibri"/>
                <w:color w:val="231F20"/>
                <w:sz w:val="6"/>
              </w:rPr>
              <w:t xml:space="preserve">5 </w:t>
            </w:r>
            <w:r>
              <w:rPr>
                <w:rFonts w:ascii="Calibri"/>
                <w:color w:val="231F20"/>
                <w:w w:val="115"/>
                <w:sz w:val="6"/>
              </w:rPr>
              <w:t xml:space="preserve">n </w:t>
            </w:r>
            <w:r>
              <w:rPr>
                <w:rFonts w:ascii="Calibri"/>
                <w:color w:val="231F20"/>
                <w:w w:val="165"/>
                <w:sz w:val="6"/>
              </w:rPr>
              <w:t>r</w:t>
            </w:r>
            <w:r>
              <w:rPr>
                <w:rFonts w:ascii="Calibri"/>
                <w:color w:val="231F20"/>
                <w:w w:val="105"/>
                <w:sz w:val="6"/>
              </w:rPr>
              <w:t xml:space="preserve"> </w:t>
            </w:r>
            <w:r>
              <w:rPr>
                <w:rFonts w:ascii="Calibri"/>
                <w:color w:val="231F20"/>
                <w:w w:val="242"/>
                <w:sz w:val="6"/>
              </w:rPr>
              <w:t xml:space="preserve"> </w:t>
            </w:r>
            <w:r>
              <w:rPr>
                <w:rFonts w:ascii="Times New Roman"/>
                <w:color w:val="231F20"/>
                <w:sz w:val="6"/>
              </w:rPr>
              <w:t xml:space="preserve"> </w:t>
            </w:r>
            <w:r>
              <w:rPr>
                <w:rFonts w:ascii="Calibri"/>
                <w:color w:val="231F20"/>
                <w:w w:val="209"/>
                <w:sz w:val="6"/>
              </w:rPr>
              <w:t xml:space="preserve"> </w:t>
            </w:r>
            <w:r>
              <w:rPr>
                <w:rFonts w:ascii="Calibri"/>
                <w:color w:val="231F20"/>
                <w:w w:val="242"/>
                <w:sz w:val="6"/>
              </w:rPr>
              <w:t xml:space="preserve"> </w:t>
            </w:r>
            <w:r>
              <w:rPr>
                <w:rFonts w:ascii="Calibri"/>
                <w:color w:val="231F20"/>
                <w:w w:val="105"/>
                <w:sz w:val="6"/>
              </w:rPr>
              <w:t xml:space="preserve"> </w:t>
            </w:r>
            <w:r>
              <w:rPr>
                <w:rFonts w:ascii="Calibri"/>
                <w:color w:val="231F20"/>
                <w:w w:val="242"/>
                <w:sz w:val="6"/>
              </w:rPr>
              <w:t xml:space="preserve"> </w:t>
            </w:r>
            <w:r>
              <w:rPr>
                <w:rFonts w:ascii="Calibri"/>
                <w:color w:val="231F20"/>
                <w:w w:val="207"/>
                <w:sz w:val="6"/>
              </w:rPr>
              <w:t xml:space="preserve"> </w:t>
            </w:r>
            <w:r>
              <w:rPr>
                <w:rFonts w:ascii="Calibri"/>
                <w:color w:val="231F20"/>
                <w:w w:val="228"/>
                <w:sz w:val="6"/>
              </w:rPr>
              <w:t xml:space="preserve"> </w:t>
            </w:r>
            <w:r>
              <w:rPr>
                <w:rFonts w:ascii="Calibri"/>
                <w:color w:val="231F20"/>
                <w:w w:val="139"/>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31E377A9" w14:textId="77777777" w:rsidR="00F65BCA" w:rsidRDefault="00F65BCA">
            <w:pPr>
              <w:pStyle w:val="TableParagraph"/>
              <w:spacing w:before="8"/>
              <w:rPr>
                <w:rFonts w:ascii="Calibri"/>
                <w:b/>
                <w:sz w:val="6"/>
              </w:rPr>
            </w:pPr>
          </w:p>
          <w:p w14:paraId="7E725A4B"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03FEEF87" w14:textId="77777777" w:rsidR="00F65BCA" w:rsidRDefault="00F65BCA">
            <w:pPr>
              <w:pStyle w:val="TableParagraph"/>
              <w:spacing w:before="8"/>
              <w:rPr>
                <w:rFonts w:ascii="Calibri"/>
                <w:b/>
                <w:sz w:val="6"/>
              </w:rPr>
            </w:pPr>
          </w:p>
          <w:p w14:paraId="6637C051"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03D9DF10" w14:textId="77777777" w:rsidR="00F65BCA" w:rsidRDefault="00F65BCA">
            <w:pPr>
              <w:pStyle w:val="TableParagraph"/>
              <w:spacing w:before="8"/>
              <w:rPr>
                <w:rFonts w:ascii="Calibri"/>
                <w:b/>
                <w:sz w:val="6"/>
              </w:rPr>
            </w:pPr>
          </w:p>
          <w:p w14:paraId="584F110C"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6C4DE7F3" w14:textId="77777777" w:rsidR="00F65BCA" w:rsidRDefault="00F65BCA">
            <w:pPr>
              <w:pStyle w:val="TableParagraph"/>
              <w:spacing w:before="8"/>
              <w:rPr>
                <w:rFonts w:ascii="Calibri"/>
                <w:b/>
                <w:sz w:val="6"/>
              </w:rPr>
            </w:pPr>
          </w:p>
          <w:p w14:paraId="03C85961"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38199AB5" w14:textId="77777777" w:rsidR="00F65BCA" w:rsidRDefault="00F65BCA">
            <w:pPr>
              <w:pStyle w:val="TableParagraph"/>
              <w:spacing w:before="8"/>
              <w:rPr>
                <w:rFonts w:ascii="Calibri"/>
                <w:b/>
                <w:sz w:val="6"/>
              </w:rPr>
            </w:pPr>
          </w:p>
          <w:p w14:paraId="4950DBA2"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3E06B370" w14:textId="77777777" w:rsidR="00F65BCA" w:rsidRDefault="00F65BCA">
            <w:pPr>
              <w:pStyle w:val="TableParagraph"/>
              <w:spacing w:before="8"/>
              <w:rPr>
                <w:rFonts w:ascii="Calibri"/>
                <w:b/>
                <w:sz w:val="6"/>
              </w:rPr>
            </w:pPr>
          </w:p>
          <w:p w14:paraId="221EA482" w14:textId="77777777" w:rsidR="00F65BCA" w:rsidRDefault="00216117">
            <w:pPr>
              <w:pStyle w:val="TableParagraph"/>
              <w:spacing w:line="51"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C99DA62" w14:textId="77777777" w:rsidR="00F65BCA" w:rsidRDefault="00F65BCA">
            <w:pPr>
              <w:pStyle w:val="TableParagraph"/>
              <w:spacing w:before="8"/>
              <w:rPr>
                <w:rFonts w:ascii="Calibri"/>
                <w:b/>
                <w:sz w:val="6"/>
              </w:rPr>
            </w:pPr>
          </w:p>
          <w:p w14:paraId="055B9C33"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268405A7" w14:textId="77777777" w:rsidR="00F65BCA" w:rsidRDefault="00F65BCA">
            <w:pPr>
              <w:pStyle w:val="TableParagraph"/>
              <w:spacing w:before="8"/>
              <w:rPr>
                <w:rFonts w:ascii="Calibri"/>
                <w:b/>
                <w:sz w:val="6"/>
              </w:rPr>
            </w:pPr>
          </w:p>
          <w:p w14:paraId="31D9A931" w14:textId="77777777" w:rsidR="00F65BCA" w:rsidRDefault="00216117">
            <w:pPr>
              <w:pStyle w:val="TableParagraph"/>
              <w:spacing w:line="51" w:lineRule="exact"/>
              <w:ind w:right="47"/>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63C8842" w14:textId="77777777" w:rsidR="00F65BCA" w:rsidRDefault="00F65BCA">
            <w:pPr>
              <w:pStyle w:val="TableParagraph"/>
              <w:spacing w:before="8"/>
              <w:rPr>
                <w:rFonts w:ascii="Calibri"/>
                <w:b/>
                <w:sz w:val="6"/>
              </w:rPr>
            </w:pPr>
          </w:p>
          <w:p w14:paraId="5B43FC14"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5A2A7CA1" w14:textId="77777777" w:rsidR="00F65BCA" w:rsidRDefault="00F65BCA">
            <w:pPr>
              <w:pStyle w:val="TableParagraph"/>
              <w:spacing w:before="8"/>
              <w:rPr>
                <w:rFonts w:ascii="Calibri"/>
                <w:b/>
                <w:sz w:val="6"/>
              </w:rPr>
            </w:pPr>
          </w:p>
          <w:p w14:paraId="2AFC25E0" w14:textId="77777777" w:rsidR="00F65BCA" w:rsidRDefault="00216117">
            <w:pPr>
              <w:pStyle w:val="TableParagraph"/>
              <w:spacing w:line="51" w:lineRule="exact"/>
              <w:ind w:right="91"/>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2645BFBE" w14:textId="77777777" w:rsidR="00F65BCA" w:rsidRDefault="00F65BCA">
            <w:pPr>
              <w:pStyle w:val="TableParagraph"/>
              <w:spacing w:before="8"/>
              <w:rPr>
                <w:rFonts w:ascii="Calibri"/>
                <w:b/>
                <w:sz w:val="6"/>
              </w:rPr>
            </w:pPr>
          </w:p>
          <w:p w14:paraId="5CD9ACCB" w14:textId="77777777" w:rsidR="00F65BCA" w:rsidRDefault="00216117">
            <w:pPr>
              <w:pStyle w:val="TableParagraph"/>
              <w:spacing w:line="51" w:lineRule="exact"/>
              <w:ind w:right="17"/>
              <w:jc w:val="right"/>
              <w:rPr>
                <w:rFonts w:ascii="Calibri"/>
                <w:sz w:val="6"/>
              </w:rPr>
            </w:pPr>
            <w:r>
              <w:rPr>
                <w:rFonts w:ascii="Calibri"/>
                <w:color w:val="231F20"/>
                <w:spacing w:val="-1"/>
                <w:w w:val="241"/>
                <w:sz w:val="6"/>
              </w:rPr>
              <w:t xml:space="preserve"> </w:t>
            </w:r>
            <w:r>
              <w:rPr>
                <w:rFonts w:ascii="Calibri"/>
                <w:color w:val="231F20"/>
                <w:w w:val="228"/>
                <w:sz w:val="6"/>
              </w:rPr>
              <w:t xml:space="preserve"> </w:t>
            </w:r>
            <w:r>
              <w:rPr>
                <w:rFonts w:ascii="Calibri"/>
                <w:color w:val="231F20"/>
                <w:w w:val="181"/>
                <w:sz w:val="6"/>
              </w:rPr>
              <w:t xml:space="preserve"> </w:t>
            </w:r>
            <w:r>
              <w:rPr>
                <w:rFonts w:ascii="Times New Roman"/>
                <w:color w:val="231F20"/>
                <w:spacing w:val="-1"/>
                <w:sz w:val="6"/>
              </w:rPr>
              <w:t xml:space="preserve"> </w:t>
            </w:r>
            <w:r>
              <w:rPr>
                <w:rFonts w:ascii="Calibri"/>
                <w:color w:val="231F20"/>
                <w:spacing w:val="-1"/>
                <w:w w:val="105"/>
                <w:sz w:val="6"/>
              </w:rPr>
              <w:t xml:space="preserve">  </w:t>
            </w:r>
            <w:r>
              <w:rPr>
                <w:rFonts w:ascii="Calibri"/>
                <w:color w:val="231F20"/>
                <w:w w:val="367"/>
                <w:sz w:val="6"/>
              </w:rPr>
              <w:t xml:space="preserve"> </w:t>
            </w:r>
            <w:r>
              <w:rPr>
                <w:rFonts w:ascii="Calibri"/>
                <w:color w:val="231F20"/>
                <w:spacing w:val="-1"/>
                <w:w w:val="105"/>
                <w:sz w:val="6"/>
              </w:rPr>
              <w:t xml:space="preserve"> </w:t>
            </w:r>
            <w:r>
              <w:rPr>
                <w:rFonts w:ascii="Calibri"/>
                <w:color w:val="231F20"/>
                <w:w w:val="197"/>
                <w:sz w:val="6"/>
              </w:rPr>
              <w:t xml:space="preserve"> </w:t>
            </w:r>
            <w:r>
              <w:rPr>
                <w:rFonts w:ascii="Calibri"/>
                <w:color w:val="231F20"/>
                <w:spacing w:val="-1"/>
                <w:w w:val="197"/>
                <w:sz w:val="6"/>
              </w:rPr>
              <w:t xml:space="preserve"> </w:t>
            </w:r>
            <w:r>
              <w:rPr>
                <w:rFonts w:ascii="Calibri"/>
                <w:color w:val="231F20"/>
                <w:w w:val="105"/>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25C6E09B" w14:textId="77777777" w:rsidR="00F65BCA" w:rsidRDefault="00F65BCA">
            <w:pPr>
              <w:pStyle w:val="TableParagraph"/>
              <w:spacing w:before="8"/>
              <w:rPr>
                <w:rFonts w:ascii="Calibri"/>
                <w:b/>
                <w:sz w:val="6"/>
              </w:rPr>
            </w:pPr>
          </w:p>
          <w:p w14:paraId="59A3739F"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6E978861" w14:textId="77777777" w:rsidR="00F65BCA" w:rsidRDefault="00F65BCA">
            <w:pPr>
              <w:pStyle w:val="TableParagraph"/>
              <w:spacing w:before="8"/>
              <w:rPr>
                <w:rFonts w:ascii="Calibri"/>
                <w:b/>
                <w:sz w:val="6"/>
              </w:rPr>
            </w:pPr>
          </w:p>
          <w:p w14:paraId="4657E77A"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3557FF13" w14:textId="77777777" w:rsidR="00F65BCA" w:rsidRDefault="00F65BCA">
            <w:pPr>
              <w:pStyle w:val="TableParagraph"/>
              <w:spacing w:before="8"/>
              <w:rPr>
                <w:rFonts w:ascii="Calibri"/>
                <w:b/>
                <w:sz w:val="6"/>
              </w:rPr>
            </w:pPr>
          </w:p>
          <w:p w14:paraId="0BE147E2" w14:textId="77777777" w:rsidR="00F65BCA" w:rsidRDefault="00216117">
            <w:pPr>
              <w:pStyle w:val="TableParagraph"/>
              <w:spacing w:line="51" w:lineRule="exact"/>
              <w:ind w:left="5"/>
              <w:jc w:val="center"/>
              <w:rPr>
                <w:rFonts w:ascii="Calibri"/>
                <w:sz w:val="6"/>
              </w:rPr>
            </w:pPr>
            <w:r>
              <w:rPr>
                <w:rFonts w:ascii="Calibri"/>
                <w:color w:val="231F20"/>
                <w:w w:val="266"/>
                <w:sz w:val="6"/>
              </w:rPr>
              <w:t xml:space="preserve"> </w:t>
            </w:r>
            <w:r>
              <w:rPr>
                <w:rFonts w:ascii="Calibri"/>
                <w:color w:val="231F20"/>
                <w:spacing w:val="-1"/>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5C8F639F" w14:textId="77777777" w:rsidR="00F65BCA" w:rsidRDefault="00F65BCA">
            <w:pPr>
              <w:pStyle w:val="TableParagraph"/>
              <w:spacing w:before="8"/>
              <w:rPr>
                <w:rFonts w:ascii="Calibri"/>
                <w:b/>
                <w:sz w:val="6"/>
              </w:rPr>
            </w:pPr>
          </w:p>
          <w:p w14:paraId="03ED9F49" w14:textId="77777777" w:rsidR="00F65BCA" w:rsidRDefault="00216117">
            <w:pPr>
              <w:pStyle w:val="TableParagraph"/>
              <w:spacing w:line="51" w:lineRule="exact"/>
              <w:ind w:left="13"/>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4" w:type="dxa"/>
            <w:tcBorders>
              <w:top w:val="single" w:sz="2" w:space="0" w:color="231F20"/>
              <w:bottom w:val="single" w:sz="2" w:space="0" w:color="231F20"/>
              <w:right w:val="single" w:sz="2" w:space="0" w:color="231F20"/>
            </w:tcBorders>
            <w:shd w:val="clear" w:color="auto" w:fill="F9F39A"/>
          </w:tcPr>
          <w:p w14:paraId="4E0462CC"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94F1D8E"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B2D8437"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6C35EB39"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6B8DE137" w14:textId="77777777" w:rsidR="00F65BCA" w:rsidRDefault="00F65BCA">
            <w:pPr>
              <w:pStyle w:val="TableParagraph"/>
              <w:rPr>
                <w:rFonts w:ascii="Times New Roman"/>
                <w:sz w:val="6"/>
              </w:rPr>
            </w:pPr>
          </w:p>
        </w:tc>
      </w:tr>
      <w:tr w:rsidR="00F65BCA" w14:paraId="5259B425" w14:textId="77777777">
        <w:trPr>
          <w:trHeight w:val="153"/>
        </w:trPr>
        <w:tc>
          <w:tcPr>
            <w:tcW w:w="166" w:type="dxa"/>
            <w:tcBorders>
              <w:top w:val="single" w:sz="2" w:space="0" w:color="231F20"/>
              <w:bottom w:val="single" w:sz="2" w:space="0" w:color="231F20"/>
              <w:right w:val="single" w:sz="2" w:space="0" w:color="231F20"/>
            </w:tcBorders>
          </w:tcPr>
          <w:p w14:paraId="27E41E72" w14:textId="77777777" w:rsidR="00F65BCA" w:rsidRDefault="00F65BCA">
            <w:pPr>
              <w:pStyle w:val="TableParagraph"/>
              <w:spacing w:before="8"/>
              <w:rPr>
                <w:rFonts w:ascii="Calibri"/>
                <w:b/>
                <w:sz w:val="6"/>
              </w:rPr>
            </w:pPr>
          </w:p>
          <w:p w14:paraId="7570C763"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029E2837" w14:textId="77777777" w:rsidR="00F65BCA" w:rsidRDefault="00F65BCA">
            <w:pPr>
              <w:pStyle w:val="TableParagraph"/>
              <w:spacing w:before="8"/>
              <w:rPr>
                <w:rFonts w:ascii="Calibri"/>
                <w:b/>
                <w:sz w:val="6"/>
              </w:rPr>
            </w:pPr>
          </w:p>
          <w:p w14:paraId="08797437"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366C183B" w14:textId="77777777" w:rsidR="00F65BCA" w:rsidRDefault="00F65BCA">
            <w:pPr>
              <w:pStyle w:val="TableParagraph"/>
              <w:spacing w:before="8"/>
              <w:rPr>
                <w:rFonts w:ascii="Calibri"/>
                <w:b/>
                <w:sz w:val="6"/>
              </w:rPr>
            </w:pPr>
          </w:p>
          <w:p w14:paraId="6BEA6D62"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1B7330FB" w14:textId="77777777" w:rsidR="00F65BCA" w:rsidRDefault="00F65BCA">
            <w:pPr>
              <w:pStyle w:val="TableParagraph"/>
              <w:spacing w:before="8"/>
              <w:rPr>
                <w:rFonts w:ascii="Calibri"/>
                <w:b/>
                <w:sz w:val="6"/>
              </w:rPr>
            </w:pPr>
          </w:p>
          <w:p w14:paraId="2D2AC1B6"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5C562341" w14:textId="77777777" w:rsidR="00F65BCA" w:rsidRDefault="00F65BCA">
            <w:pPr>
              <w:pStyle w:val="TableParagraph"/>
              <w:spacing w:before="8"/>
              <w:rPr>
                <w:rFonts w:ascii="Calibri"/>
                <w:b/>
                <w:sz w:val="6"/>
              </w:rPr>
            </w:pPr>
          </w:p>
          <w:p w14:paraId="6F936108"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03FE69BE" w14:textId="77777777" w:rsidR="00F65BCA" w:rsidRDefault="00F65BCA">
            <w:pPr>
              <w:pStyle w:val="TableParagraph"/>
              <w:spacing w:before="8"/>
              <w:rPr>
                <w:rFonts w:ascii="Calibri"/>
                <w:b/>
                <w:sz w:val="6"/>
              </w:rPr>
            </w:pPr>
          </w:p>
          <w:p w14:paraId="522B5EFC" w14:textId="77777777" w:rsidR="00F65BCA" w:rsidRDefault="00216117">
            <w:pPr>
              <w:pStyle w:val="TableParagraph"/>
              <w:spacing w:line="51" w:lineRule="exact"/>
              <w:ind w:left="12"/>
              <w:rPr>
                <w:rFonts w:ascii="Calibri"/>
                <w:sz w:val="6"/>
              </w:rPr>
            </w:pPr>
            <w:r>
              <w:rPr>
                <w:rFonts w:ascii="Calibri"/>
                <w:color w:val="231F20"/>
                <w:w w:val="235"/>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64E7D5E4" w14:textId="77777777" w:rsidR="00F65BCA" w:rsidRDefault="00F65BCA">
            <w:pPr>
              <w:pStyle w:val="TableParagraph"/>
              <w:spacing w:before="8"/>
              <w:rPr>
                <w:rFonts w:ascii="Calibri"/>
                <w:b/>
                <w:sz w:val="6"/>
              </w:rPr>
            </w:pPr>
          </w:p>
          <w:p w14:paraId="2D057EB2"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246"/>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46DA3799" w14:textId="77777777" w:rsidR="00F65BCA" w:rsidRDefault="00F65BCA">
            <w:pPr>
              <w:pStyle w:val="TableParagraph"/>
              <w:spacing w:before="8"/>
              <w:rPr>
                <w:rFonts w:ascii="Calibri"/>
                <w:b/>
                <w:sz w:val="6"/>
              </w:rPr>
            </w:pPr>
          </w:p>
          <w:p w14:paraId="3C93C69E" w14:textId="77777777" w:rsidR="00F65BCA" w:rsidRDefault="00216117">
            <w:pPr>
              <w:pStyle w:val="TableParagraph"/>
              <w:spacing w:line="51" w:lineRule="exact"/>
              <w:ind w:left="10"/>
              <w:rPr>
                <w:rFonts w:ascii="Calibri"/>
                <w:sz w:val="6"/>
              </w:rPr>
            </w:pPr>
            <w:r>
              <w:rPr>
                <w:rFonts w:ascii="Calibri"/>
                <w:color w:val="231F20"/>
                <w:spacing w:val="-1"/>
                <w:w w:val="260"/>
                <w:sz w:val="6"/>
              </w:rPr>
              <w:t xml:space="preserve"> </w:t>
            </w:r>
            <w:r>
              <w:rPr>
                <w:rFonts w:ascii="Calibri"/>
                <w:color w:val="231F20"/>
                <w:spacing w:val="-1"/>
                <w:w w:val="211"/>
                <w:sz w:val="6"/>
              </w:rPr>
              <w:t xml:space="preserve"> </w:t>
            </w:r>
            <w:r>
              <w:rPr>
                <w:rFonts w:ascii="Calibri"/>
                <w:color w:val="231F20"/>
                <w:w w:val="228"/>
                <w:sz w:val="6"/>
              </w:rPr>
              <w:t xml:space="preserve">  </w:t>
            </w:r>
            <w:r>
              <w:rPr>
                <w:rFonts w:ascii="Calibri"/>
                <w:color w:val="231F20"/>
                <w:w w:val="241"/>
                <w:sz w:val="6"/>
              </w:rPr>
              <w:t xml:space="preserve">  </w:t>
            </w:r>
            <w:r>
              <w:rPr>
                <w:rFonts w:ascii="Calibri"/>
                <w:color w:val="231F20"/>
                <w:w w:val="271"/>
                <w:sz w:val="6"/>
              </w:rPr>
              <w:t xml:space="preserve">     </w:t>
            </w:r>
            <w:r>
              <w:rPr>
                <w:rFonts w:ascii="Calibri"/>
                <w:color w:val="231F20"/>
                <w:spacing w:val="-1"/>
                <w:w w:val="245"/>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0C3773AB" w14:textId="77777777" w:rsidR="00F65BCA" w:rsidRDefault="00F65BCA">
            <w:pPr>
              <w:pStyle w:val="TableParagraph"/>
              <w:spacing w:before="8"/>
              <w:rPr>
                <w:rFonts w:ascii="Calibri"/>
                <w:b/>
                <w:sz w:val="6"/>
              </w:rPr>
            </w:pPr>
          </w:p>
          <w:p w14:paraId="465D198C" w14:textId="77777777" w:rsidR="00F65BCA" w:rsidRDefault="00216117">
            <w:pPr>
              <w:pStyle w:val="TableParagraph"/>
              <w:spacing w:line="51" w:lineRule="exact"/>
              <w:ind w:left="9"/>
              <w:rPr>
                <w:rFonts w:ascii="Calibri"/>
                <w:sz w:val="6"/>
              </w:rPr>
            </w:pPr>
            <w:r>
              <w:rPr>
                <w:rFonts w:ascii="Calibri"/>
                <w:color w:val="231F20"/>
                <w:w w:val="237"/>
                <w:sz w:val="6"/>
              </w:rPr>
              <w:t xml:space="preserve"> </w:t>
            </w:r>
            <w:r>
              <w:rPr>
                <w:rFonts w:ascii="Calibri"/>
                <w:color w:val="231F20"/>
                <w:spacing w:val="-1"/>
                <w:w w:val="224"/>
                <w:sz w:val="6"/>
              </w:rPr>
              <w:t xml:space="preserve"> </w:t>
            </w:r>
            <w:r>
              <w:rPr>
                <w:rFonts w:ascii="Calibri"/>
                <w:color w:val="231F20"/>
                <w:w w:val="295"/>
                <w:sz w:val="6"/>
              </w:rPr>
              <w:t xml:space="preserve"> </w:t>
            </w:r>
            <w:r>
              <w:rPr>
                <w:rFonts w:ascii="Calibri"/>
                <w:color w:val="231F20"/>
                <w:w w:val="257"/>
                <w:sz w:val="6"/>
              </w:rPr>
              <w:t xml:space="preserve">  </w:t>
            </w:r>
            <w:r>
              <w:rPr>
                <w:rFonts w:ascii="Calibri"/>
                <w:color w:val="231F20"/>
                <w:w w:val="264"/>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7CA9F310" w14:textId="77777777" w:rsidR="00F65BCA" w:rsidRDefault="00F65BCA">
            <w:pPr>
              <w:pStyle w:val="TableParagraph"/>
              <w:spacing w:before="8"/>
              <w:rPr>
                <w:rFonts w:ascii="Calibri"/>
                <w:b/>
                <w:sz w:val="6"/>
              </w:rPr>
            </w:pPr>
          </w:p>
          <w:p w14:paraId="1EDE9989" w14:textId="77777777" w:rsidR="00F65BCA" w:rsidRDefault="00216117">
            <w:pPr>
              <w:pStyle w:val="TableParagraph"/>
              <w:spacing w:line="51" w:lineRule="exact"/>
              <w:ind w:left="8"/>
              <w:rPr>
                <w:rFonts w:ascii="Calibri"/>
                <w:sz w:val="6"/>
              </w:rPr>
            </w:pPr>
            <w:r>
              <w:rPr>
                <w:rFonts w:ascii="Calibri"/>
                <w:color w:val="231F20"/>
                <w:w w:val="254"/>
                <w:sz w:val="6"/>
              </w:rPr>
              <w:t xml:space="preserve">   </w:t>
            </w:r>
            <w:r>
              <w:rPr>
                <w:rFonts w:ascii="Calibri"/>
                <w:color w:val="231F20"/>
                <w:spacing w:val="-1"/>
                <w:w w:val="254"/>
                <w:sz w:val="6"/>
              </w:rPr>
              <w:t xml:space="preserve"> </w:t>
            </w:r>
            <w:r>
              <w:rPr>
                <w:rFonts w:ascii="Calibri"/>
                <w:color w:val="231F20"/>
                <w:w w:val="249"/>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w w:val="170"/>
                <w:sz w:val="6"/>
              </w:rPr>
              <w:t xml:space="preserve"> </w:t>
            </w:r>
            <w:r>
              <w:rPr>
                <w:rFonts w:ascii="Calibri"/>
                <w:color w:val="231F20"/>
                <w:spacing w:val="-1"/>
                <w:w w:val="170"/>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19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5CB4E5D3" w14:textId="77777777" w:rsidR="00F65BCA" w:rsidRDefault="00F65BCA">
            <w:pPr>
              <w:pStyle w:val="TableParagraph"/>
              <w:spacing w:before="8"/>
              <w:rPr>
                <w:rFonts w:ascii="Calibri"/>
                <w:b/>
                <w:sz w:val="6"/>
              </w:rPr>
            </w:pPr>
          </w:p>
          <w:p w14:paraId="22E1AD51" w14:textId="77777777" w:rsidR="00F65BCA" w:rsidRDefault="00216117">
            <w:pPr>
              <w:pStyle w:val="TableParagraph"/>
              <w:spacing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46C2B1D9" w14:textId="77777777" w:rsidR="00F65BCA" w:rsidRDefault="00F65BCA">
            <w:pPr>
              <w:pStyle w:val="TableParagraph"/>
              <w:spacing w:before="8"/>
              <w:rPr>
                <w:rFonts w:ascii="Calibri"/>
                <w:b/>
                <w:sz w:val="6"/>
              </w:rPr>
            </w:pPr>
          </w:p>
          <w:p w14:paraId="362DBF3A"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140DF568" w14:textId="77777777" w:rsidR="00F65BCA" w:rsidRDefault="00F65BCA">
            <w:pPr>
              <w:pStyle w:val="TableParagraph"/>
              <w:spacing w:before="8"/>
              <w:rPr>
                <w:rFonts w:ascii="Calibri"/>
                <w:b/>
                <w:sz w:val="6"/>
              </w:rPr>
            </w:pPr>
          </w:p>
          <w:p w14:paraId="768C4861"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7EC1BAE1" w14:textId="77777777" w:rsidR="00F65BCA" w:rsidRDefault="00F65BCA">
            <w:pPr>
              <w:pStyle w:val="TableParagraph"/>
              <w:spacing w:before="8"/>
              <w:rPr>
                <w:rFonts w:ascii="Calibri"/>
                <w:b/>
                <w:sz w:val="6"/>
              </w:rPr>
            </w:pPr>
          </w:p>
          <w:p w14:paraId="692B3D80"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3AE349C4" w14:textId="77777777" w:rsidR="00F65BCA" w:rsidRDefault="00F65BCA">
            <w:pPr>
              <w:pStyle w:val="TableParagraph"/>
              <w:spacing w:before="8"/>
              <w:rPr>
                <w:rFonts w:ascii="Calibri"/>
                <w:b/>
                <w:sz w:val="6"/>
              </w:rPr>
            </w:pPr>
          </w:p>
          <w:p w14:paraId="3C91BE1E"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3E375D8A" w14:textId="77777777" w:rsidR="00F65BCA" w:rsidRDefault="00F65BCA">
            <w:pPr>
              <w:pStyle w:val="TableParagraph"/>
              <w:spacing w:before="8"/>
              <w:rPr>
                <w:rFonts w:ascii="Calibri"/>
                <w:b/>
                <w:sz w:val="6"/>
              </w:rPr>
            </w:pPr>
          </w:p>
          <w:p w14:paraId="6D0C4C66"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0BDBDA05" w14:textId="77777777" w:rsidR="00F65BCA" w:rsidRDefault="00F65BCA">
            <w:pPr>
              <w:pStyle w:val="TableParagraph"/>
              <w:spacing w:before="8"/>
              <w:rPr>
                <w:rFonts w:ascii="Calibri"/>
                <w:b/>
                <w:sz w:val="6"/>
              </w:rPr>
            </w:pPr>
          </w:p>
          <w:p w14:paraId="0C47BA20" w14:textId="77777777" w:rsidR="00F65BCA" w:rsidRDefault="00216117">
            <w:pPr>
              <w:pStyle w:val="TableParagraph"/>
              <w:spacing w:line="51" w:lineRule="exact"/>
              <w:ind w:right="16"/>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36BC1BF7" w14:textId="77777777" w:rsidR="00F65BCA" w:rsidRDefault="00F65BCA">
            <w:pPr>
              <w:pStyle w:val="TableParagraph"/>
              <w:spacing w:before="8"/>
              <w:rPr>
                <w:rFonts w:ascii="Calibri"/>
                <w:b/>
                <w:sz w:val="6"/>
              </w:rPr>
            </w:pPr>
          </w:p>
          <w:p w14:paraId="6989B15D"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6266266F" w14:textId="77777777" w:rsidR="00F65BCA" w:rsidRDefault="00F65BCA">
            <w:pPr>
              <w:pStyle w:val="TableParagraph"/>
              <w:spacing w:before="8"/>
              <w:rPr>
                <w:rFonts w:ascii="Calibri"/>
                <w:b/>
                <w:sz w:val="6"/>
              </w:rPr>
            </w:pPr>
          </w:p>
          <w:p w14:paraId="03DD4E83"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5C19B76D" w14:textId="77777777" w:rsidR="00F65BCA" w:rsidRDefault="00F65BCA">
            <w:pPr>
              <w:pStyle w:val="TableParagraph"/>
              <w:spacing w:before="8"/>
              <w:rPr>
                <w:rFonts w:ascii="Calibri"/>
                <w:b/>
                <w:sz w:val="6"/>
              </w:rPr>
            </w:pPr>
          </w:p>
          <w:p w14:paraId="619EC782"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2358AA2F" w14:textId="77777777" w:rsidR="00F65BCA" w:rsidRDefault="00F65BCA">
            <w:pPr>
              <w:pStyle w:val="TableParagraph"/>
              <w:spacing w:before="8"/>
              <w:rPr>
                <w:rFonts w:ascii="Calibri"/>
                <w:b/>
                <w:sz w:val="6"/>
              </w:rPr>
            </w:pPr>
          </w:p>
          <w:p w14:paraId="1B858C64"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6D679E75" w14:textId="77777777" w:rsidR="00F65BCA" w:rsidRDefault="00F65BCA">
            <w:pPr>
              <w:pStyle w:val="TableParagraph"/>
              <w:spacing w:before="8"/>
              <w:rPr>
                <w:rFonts w:ascii="Calibri"/>
                <w:b/>
                <w:sz w:val="6"/>
              </w:rPr>
            </w:pPr>
          </w:p>
          <w:p w14:paraId="3B36EF4E" w14:textId="77777777" w:rsidR="00F65BCA" w:rsidRDefault="00216117">
            <w:pPr>
              <w:pStyle w:val="TableParagraph"/>
              <w:spacing w:line="51" w:lineRule="exact"/>
              <w:ind w:right="17"/>
              <w:jc w:val="right"/>
              <w:rPr>
                <w:rFonts w:ascii="Calibri"/>
                <w:sz w:val="6"/>
              </w:rPr>
            </w:pPr>
            <w:r>
              <w:rPr>
                <w:rFonts w:ascii="Calibri"/>
                <w:color w:val="231F20"/>
                <w:spacing w:val="-1"/>
                <w:w w:val="241"/>
                <w:sz w:val="6"/>
              </w:rPr>
              <w:t xml:space="preserve"> </w:t>
            </w:r>
            <w:r>
              <w:rPr>
                <w:rFonts w:ascii="Calibri"/>
                <w:color w:val="231F20"/>
                <w:w w:val="228"/>
                <w:sz w:val="6"/>
              </w:rPr>
              <w:t xml:space="preserve"> </w:t>
            </w:r>
            <w:r>
              <w:rPr>
                <w:rFonts w:ascii="Calibri"/>
                <w:color w:val="231F20"/>
                <w:w w:val="181"/>
                <w:sz w:val="6"/>
              </w:rPr>
              <w:t xml:space="preserve"> </w:t>
            </w:r>
            <w:r>
              <w:rPr>
                <w:rFonts w:ascii="Times New Roman"/>
                <w:color w:val="231F20"/>
                <w:spacing w:val="-1"/>
                <w:sz w:val="6"/>
              </w:rPr>
              <w:t xml:space="preserve"> </w:t>
            </w:r>
            <w:r>
              <w:rPr>
                <w:rFonts w:ascii="Calibri"/>
                <w:color w:val="231F20"/>
                <w:spacing w:val="-1"/>
                <w:w w:val="105"/>
                <w:sz w:val="6"/>
              </w:rPr>
              <w:t xml:space="preserve">  </w:t>
            </w:r>
            <w:r>
              <w:rPr>
                <w:rFonts w:ascii="Calibri"/>
                <w:color w:val="231F20"/>
                <w:w w:val="367"/>
                <w:sz w:val="6"/>
              </w:rPr>
              <w:t xml:space="preserve"> </w:t>
            </w:r>
            <w:r>
              <w:rPr>
                <w:rFonts w:ascii="Calibri"/>
                <w:color w:val="231F20"/>
                <w:spacing w:val="-1"/>
                <w:w w:val="105"/>
                <w:sz w:val="6"/>
              </w:rPr>
              <w:t xml:space="preserve"> </w:t>
            </w:r>
            <w:r>
              <w:rPr>
                <w:rFonts w:ascii="Calibri"/>
                <w:color w:val="231F20"/>
                <w:w w:val="197"/>
                <w:sz w:val="6"/>
              </w:rPr>
              <w:t xml:space="preserve"> </w:t>
            </w:r>
            <w:r>
              <w:rPr>
                <w:rFonts w:ascii="Calibri"/>
                <w:color w:val="231F20"/>
                <w:spacing w:val="-1"/>
                <w:w w:val="197"/>
                <w:sz w:val="6"/>
              </w:rPr>
              <w:t xml:space="preserve"> </w:t>
            </w:r>
            <w:r>
              <w:rPr>
                <w:rFonts w:ascii="Calibri"/>
                <w:color w:val="231F20"/>
                <w:w w:val="105"/>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45876677" w14:textId="77777777" w:rsidR="00F65BCA" w:rsidRDefault="00F65BCA">
            <w:pPr>
              <w:pStyle w:val="TableParagraph"/>
              <w:spacing w:before="8"/>
              <w:rPr>
                <w:rFonts w:ascii="Calibri"/>
                <w:b/>
                <w:sz w:val="6"/>
              </w:rPr>
            </w:pPr>
          </w:p>
          <w:p w14:paraId="7672C8FB" w14:textId="77777777" w:rsidR="00F65BCA" w:rsidRDefault="00216117">
            <w:pPr>
              <w:pStyle w:val="TableParagraph"/>
              <w:spacing w:line="51" w:lineRule="exact"/>
              <w:ind w:left="1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2C9538A6" w14:textId="77777777" w:rsidR="00F65BCA" w:rsidRDefault="00F65BCA">
            <w:pPr>
              <w:pStyle w:val="TableParagraph"/>
              <w:spacing w:before="8"/>
              <w:rPr>
                <w:rFonts w:ascii="Calibri"/>
                <w:b/>
                <w:sz w:val="6"/>
              </w:rPr>
            </w:pPr>
          </w:p>
          <w:p w14:paraId="73AB0EB2"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045FAD11" w14:textId="77777777" w:rsidR="00F65BCA" w:rsidRDefault="00F65BCA">
            <w:pPr>
              <w:pStyle w:val="TableParagraph"/>
              <w:spacing w:before="8"/>
              <w:rPr>
                <w:rFonts w:ascii="Calibri"/>
                <w:b/>
                <w:sz w:val="6"/>
              </w:rPr>
            </w:pPr>
          </w:p>
          <w:p w14:paraId="657F15F4" w14:textId="77777777" w:rsidR="00F65BCA" w:rsidRDefault="00216117">
            <w:pPr>
              <w:pStyle w:val="TableParagraph"/>
              <w:spacing w:line="51" w:lineRule="exact"/>
              <w:ind w:left="5"/>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577A14FF"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01844EEF"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4BD4E790"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41C456C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4410E72"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6ED3E734" w14:textId="77777777" w:rsidR="00F65BCA" w:rsidRDefault="00F65BCA">
            <w:pPr>
              <w:pStyle w:val="TableParagraph"/>
              <w:rPr>
                <w:rFonts w:ascii="Times New Roman"/>
                <w:sz w:val="6"/>
              </w:rPr>
            </w:pPr>
          </w:p>
        </w:tc>
      </w:tr>
      <w:tr w:rsidR="00F65BCA" w14:paraId="54AD80F4" w14:textId="77777777">
        <w:trPr>
          <w:trHeight w:val="153"/>
        </w:trPr>
        <w:tc>
          <w:tcPr>
            <w:tcW w:w="166" w:type="dxa"/>
            <w:tcBorders>
              <w:top w:val="single" w:sz="2" w:space="0" w:color="231F20"/>
              <w:bottom w:val="single" w:sz="2" w:space="0" w:color="231F20"/>
              <w:right w:val="single" w:sz="2" w:space="0" w:color="231F20"/>
            </w:tcBorders>
          </w:tcPr>
          <w:p w14:paraId="5660CBD4" w14:textId="77777777" w:rsidR="00F65BCA" w:rsidRDefault="00F65BCA">
            <w:pPr>
              <w:pStyle w:val="TableParagraph"/>
              <w:spacing w:before="8"/>
              <w:rPr>
                <w:rFonts w:ascii="Calibri"/>
                <w:b/>
                <w:sz w:val="6"/>
              </w:rPr>
            </w:pPr>
          </w:p>
          <w:p w14:paraId="5A785C6E"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567ECEB0" w14:textId="77777777" w:rsidR="00F65BCA" w:rsidRDefault="00F65BCA">
            <w:pPr>
              <w:pStyle w:val="TableParagraph"/>
              <w:spacing w:before="8"/>
              <w:rPr>
                <w:rFonts w:ascii="Calibri"/>
                <w:b/>
                <w:sz w:val="6"/>
              </w:rPr>
            </w:pPr>
          </w:p>
          <w:p w14:paraId="59CC10E6"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04B13507" w14:textId="77777777" w:rsidR="00F65BCA" w:rsidRDefault="00F65BCA">
            <w:pPr>
              <w:pStyle w:val="TableParagraph"/>
              <w:spacing w:before="8"/>
              <w:rPr>
                <w:rFonts w:ascii="Calibri"/>
                <w:b/>
                <w:sz w:val="6"/>
              </w:rPr>
            </w:pPr>
          </w:p>
          <w:p w14:paraId="1D4C0F7B"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09FAB588" w14:textId="77777777" w:rsidR="00F65BCA" w:rsidRDefault="00F65BCA">
            <w:pPr>
              <w:pStyle w:val="TableParagraph"/>
              <w:spacing w:before="8"/>
              <w:rPr>
                <w:rFonts w:ascii="Calibri"/>
                <w:b/>
                <w:sz w:val="6"/>
              </w:rPr>
            </w:pPr>
          </w:p>
          <w:p w14:paraId="7212DFB2"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591C9FD5" w14:textId="77777777" w:rsidR="00F65BCA" w:rsidRDefault="00F65BCA">
            <w:pPr>
              <w:pStyle w:val="TableParagraph"/>
              <w:spacing w:before="8"/>
              <w:rPr>
                <w:rFonts w:ascii="Calibri"/>
                <w:b/>
                <w:sz w:val="6"/>
              </w:rPr>
            </w:pPr>
          </w:p>
          <w:p w14:paraId="3A2C8512"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58F9E372" w14:textId="77777777" w:rsidR="00F65BCA" w:rsidRDefault="00F65BCA">
            <w:pPr>
              <w:pStyle w:val="TableParagraph"/>
              <w:spacing w:before="8"/>
              <w:rPr>
                <w:rFonts w:ascii="Calibri"/>
                <w:b/>
                <w:sz w:val="6"/>
              </w:rPr>
            </w:pPr>
          </w:p>
          <w:p w14:paraId="05977970"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329"/>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1F1A7C2E" w14:textId="77777777" w:rsidR="00F65BCA" w:rsidRDefault="00F65BCA">
            <w:pPr>
              <w:pStyle w:val="TableParagraph"/>
              <w:spacing w:before="11"/>
              <w:rPr>
                <w:rFonts w:ascii="Calibri"/>
                <w:b/>
                <w:sz w:val="6"/>
              </w:rPr>
            </w:pPr>
          </w:p>
          <w:p w14:paraId="561AB6EB" w14:textId="77777777" w:rsidR="00F65BCA" w:rsidRDefault="00216117">
            <w:pPr>
              <w:pStyle w:val="TableParagraph"/>
              <w:spacing w:before="1" w:line="48" w:lineRule="exact"/>
              <w:ind w:left="11"/>
              <w:rPr>
                <w:rFonts w:ascii="Segoe UI"/>
                <w:sz w:val="5"/>
              </w:rPr>
            </w:pPr>
            <w:r>
              <w:rPr>
                <w:rFonts w:ascii="Segoe UI"/>
                <w:color w:val="231F20"/>
                <w:w w:val="243"/>
                <w:sz w:val="5"/>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59E836C7" w14:textId="77777777" w:rsidR="00F65BCA" w:rsidRDefault="00F65BCA">
            <w:pPr>
              <w:pStyle w:val="TableParagraph"/>
              <w:spacing w:before="8"/>
              <w:rPr>
                <w:rFonts w:ascii="Calibri"/>
                <w:b/>
                <w:sz w:val="6"/>
              </w:rPr>
            </w:pPr>
          </w:p>
          <w:p w14:paraId="3C8A4F3A"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238"/>
                <w:sz w:val="6"/>
              </w:rPr>
              <w:t xml:space="preserve"> </w:t>
            </w:r>
            <w:r>
              <w:rPr>
                <w:rFonts w:ascii="Calibri"/>
                <w:color w:val="231F20"/>
                <w:w w:val="233"/>
                <w:sz w:val="6"/>
              </w:rPr>
              <w:t xml:space="preserve"> </w:t>
            </w:r>
            <w:r>
              <w:rPr>
                <w:rFonts w:ascii="Calibri"/>
                <w:color w:val="231F20"/>
                <w:w w:val="296"/>
                <w:sz w:val="6"/>
              </w:rPr>
              <w:t xml:space="preserve"> </w:t>
            </w:r>
            <w:r>
              <w:rPr>
                <w:rFonts w:ascii="Calibri"/>
                <w:color w:val="231F20"/>
                <w:spacing w:val="-1"/>
                <w:w w:val="224"/>
                <w:sz w:val="6"/>
              </w:rPr>
              <w:t xml:space="preserve"> </w:t>
            </w:r>
            <w:r>
              <w:rPr>
                <w:rFonts w:ascii="Calibri"/>
                <w:color w:val="231F20"/>
                <w:w w:val="233"/>
                <w:sz w:val="6"/>
              </w:rPr>
              <w:t xml:space="preserve">   </w:t>
            </w:r>
            <w:r>
              <w:rPr>
                <w:rFonts w:ascii="Calibri"/>
                <w:color w:val="231F20"/>
                <w:w w:val="222"/>
                <w:sz w:val="6"/>
              </w:rPr>
              <w:t xml:space="preserve"> </w:t>
            </w:r>
            <w:r>
              <w:rPr>
                <w:rFonts w:ascii="Calibri"/>
                <w:color w:val="231F20"/>
                <w:spacing w:val="-1"/>
                <w:w w:val="222"/>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210E433B" w14:textId="77777777" w:rsidR="00F65BCA" w:rsidRDefault="00F65BCA">
            <w:pPr>
              <w:pStyle w:val="TableParagraph"/>
              <w:spacing w:before="8"/>
              <w:rPr>
                <w:rFonts w:ascii="Calibri"/>
                <w:b/>
                <w:sz w:val="6"/>
              </w:rPr>
            </w:pPr>
          </w:p>
          <w:p w14:paraId="3B35FC23" w14:textId="77777777" w:rsidR="00F65BCA" w:rsidRDefault="00216117">
            <w:pPr>
              <w:pStyle w:val="TableParagraph"/>
              <w:spacing w:line="51" w:lineRule="exact"/>
              <w:ind w:left="9"/>
              <w:rPr>
                <w:rFonts w:ascii="Calibri"/>
                <w:sz w:val="6"/>
              </w:rPr>
            </w:pPr>
            <w:r>
              <w:rPr>
                <w:rFonts w:ascii="Calibri"/>
                <w:color w:val="231F20"/>
                <w:spacing w:val="-1"/>
                <w:w w:val="211"/>
                <w:sz w:val="6"/>
              </w:rPr>
              <w:t xml:space="preserve"> </w:t>
            </w:r>
            <w:r>
              <w:rPr>
                <w:rFonts w:ascii="Calibri"/>
                <w:color w:val="231F20"/>
                <w:w w:val="266"/>
                <w:sz w:val="6"/>
              </w:rPr>
              <w:t xml:space="preserve"> </w:t>
            </w:r>
            <w:r>
              <w:rPr>
                <w:rFonts w:ascii="Calibri"/>
                <w:color w:val="231F20"/>
                <w:spacing w:val="-1"/>
                <w:w w:val="224"/>
                <w:sz w:val="6"/>
              </w:rPr>
              <w:t xml:space="preserve"> </w:t>
            </w:r>
            <w:r>
              <w:rPr>
                <w:rFonts w:ascii="Calibri"/>
                <w:color w:val="231F20"/>
                <w:w w:val="295"/>
                <w:sz w:val="6"/>
              </w:rPr>
              <w:t xml:space="preserve"> </w:t>
            </w:r>
            <w:r>
              <w:rPr>
                <w:rFonts w:ascii="Calibri"/>
                <w:color w:val="231F20"/>
                <w:w w:val="27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1168C0E" w14:textId="77777777" w:rsidR="00F65BCA" w:rsidRDefault="00F65BCA">
            <w:pPr>
              <w:pStyle w:val="TableParagraph"/>
              <w:spacing w:before="8"/>
              <w:rPr>
                <w:rFonts w:ascii="Calibri"/>
                <w:b/>
                <w:sz w:val="6"/>
              </w:rPr>
            </w:pPr>
          </w:p>
          <w:p w14:paraId="7907B78B" w14:textId="77777777" w:rsidR="00F65BCA" w:rsidRDefault="00216117">
            <w:pPr>
              <w:pStyle w:val="TableParagraph"/>
              <w:spacing w:line="51" w:lineRule="exact"/>
              <w:ind w:left="8"/>
              <w:rPr>
                <w:rFonts w:ascii="Calibri"/>
                <w:sz w:val="6"/>
              </w:rPr>
            </w:pPr>
            <w:r>
              <w:rPr>
                <w:rFonts w:ascii="Calibri"/>
                <w:color w:val="231F20"/>
                <w:w w:val="115"/>
                <w:sz w:val="6"/>
              </w:rPr>
              <w:t xml:space="preserve"> </w:t>
            </w:r>
            <w:r>
              <w:rPr>
                <w:rFonts w:ascii="Times New Roman"/>
                <w:color w:val="231F20"/>
                <w:spacing w:val="-1"/>
                <w:sz w:val="6"/>
              </w:rPr>
              <w:t xml:space="preserve"> </w:t>
            </w:r>
            <w:r>
              <w:rPr>
                <w:rFonts w:ascii="Calibri"/>
                <w:color w:val="231F20"/>
                <w:w w:val="11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3819541F" w14:textId="77777777" w:rsidR="00F65BCA" w:rsidRDefault="00F65BCA">
            <w:pPr>
              <w:pStyle w:val="TableParagraph"/>
              <w:spacing w:before="8"/>
              <w:rPr>
                <w:rFonts w:ascii="Calibri"/>
                <w:b/>
                <w:sz w:val="6"/>
              </w:rPr>
            </w:pPr>
          </w:p>
          <w:p w14:paraId="3EBCF038" w14:textId="77777777" w:rsidR="00F65BCA" w:rsidRDefault="00216117">
            <w:pPr>
              <w:pStyle w:val="TableParagraph"/>
              <w:spacing w:line="51" w:lineRule="exact"/>
              <w:ind w:left="7"/>
              <w:rPr>
                <w:rFonts w:ascii="Calibri"/>
                <w:sz w:val="6"/>
              </w:rPr>
            </w:pPr>
            <w:r>
              <w:rPr>
                <w:rFonts w:ascii="Calibri"/>
                <w:color w:val="231F20"/>
                <w:w w:val="237"/>
                <w:sz w:val="6"/>
              </w:rPr>
              <w:t xml:space="preserve"> </w:t>
            </w:r>
            <w:r>
              <w:rPr>
                <w:rFonts w:ascii="Calibri"/>
                <w:color w:val="231F20"/>
                <w:w w:val="160"/>
                <w:sz w:val="6"/>
              </w:rPr>
              <w:t xml:space="preserve"> </w:t>
            </w:r>
            <w:r>
              <w:rPr>
                <w:rFonts w:ascii="Calibri"/>
                <w:color w:val="231F20"/>
                <w:spacing w:val="-1"/>
                <w:w w:val="105"/>
                <w:sz w:val="6"/>
              </w:rPr>
              <w:t xml:space="preserve"> </w:t>
            </w:r>
            <w:r>
              <w:rPr>
                <w:rFonts w:ascii="Calibri"/>
                <w:color w:val="231F20"/>
                <w:w w:val="207"/>
                <w:sz w:val="6"/>
              </w:rPr>
              <w:t xml:space="preserve"> </w:t>
            </w:r>
            <w:r>
              <w:rPr>
                <w:rFonts w:ascii="Calibri"/>
                <w:color w:val="231F20"/>
                <w:w w:val="228"/>
                <w:sz w:val="6"/>
              </w:rPr>
              <w:t xml:space="preserve"> </w:t>
            </w:r>
            <w:r>
              <w:rPr>
                <w:rFonts w:ascii="Calibri"/>
                <w:color w:val="231F20"/>
                <w:w w:val="179"/>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71586EB4" w14:textId="77777777" w:rsidR="00F65BCA" w:rsidRDefault="00F65BCA">
            <w:pPr>
              <w:pStyle w:val="TableParagraph"/>
              <w:spacing w:before="8"/>
              <w:rPr>
                <w:rFonts w:ascii="Calibri"/>
                <w:b/>
                <w:sz w:val="6"/>
              </w:rPr>
            </w:pPr>
          </w:p>
          <w:p w14:paraId="689BF1D7"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4199A816" w14:textId="77777777" w:rsidR="00F65BCA" w:rsidRDefault="00F65BCA">
            <w:pPr>
              <w:pStyle w:val="TableParagraph"/>
              <w:spacing w:before="8"/>
              <w:rPr>
                <w:rFonts w:ascii="Calibri"/>
                <w:b/>
                <w:sz w:val="6"/>
              </w:rPr>
            </w:pPr>
          </w:p>
          <w:p w14:paraId="3ED22BCF"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1FE7798B" w14:textId="77777777" w:rsidR="00F65BCA" w:rsidRDefault="00F65BCA">
            <w:pPr>
              <w:pStyle w:val="TableParagraph"/>
              <w:spacing w:before="8"/>
              <w:rPr>
                <w:rFonts w:ascii="Calibri"/>
                <w:b/>
                <w:sz w:val="6"/>
              </w:rPr>
            </w:pPr>
          </w:p>
          <w:p w14:paraId="0E2E9F11"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2D991349" w14:textId="77777777" w:rsidR="00F65BCA" w:rsidRDefault="00F65BCA">
            <w:pPr>
              <w:pStyle w:val="TableParagraph"/>
              <w:spacing w:before="8"/>
              <w:rPr>
                <w:rFonts w:ascii="Calibri"/>
                <w:b/>
                <w:sz w:val="6"/>
              </w:rPr>
            </w:pPr>
          </w:p>
          <w:p w14:paraId="6485B5A1" w14:textId="77777777" w:rsidR="00F65BCA" w:rsidRDefault="00216117">
            <w:pPr>
              <w:pStyle w:val="TableParagraph"/>
              <w:spacing w:line="51" w:lineRule="exact"/>
              <w:ind w:right="17"/>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7895C0B8" w14:textId="77777777" w:rsidR="00F65BCA" w:rsidRDefault="00F65BCA">
            <w:pPr>
              <w:pStyle w:val="TableParagraph"/>
              <w:rPr>
                <w:rFonts w:ascii="Times New Roman"/>
                <w:sz w:val="6"/>
              </w:rPr>
            </w:pPr>
          </w:p>
        </w:tc>
        <w:tc>
          <w:tcPr>
            <w:tcW w:w="278" w:type="dxa"/>
            <w:tcBorders>
              <w:top w:val="single" w:sz="2" w:space="0" w:color="231F20"/>
              <w:left w:val="single" w:sz="2" w:space="0" w:color="231F20"/>
              <w:bottom w:val="single" w:sz="2" w:space="0" w:color="231F20"/>
              <w:right w:val="single" w:sz="2" w:space="0" w:color="231F20"/>
            </w:tcBorders>
          </w:tcPr>
          <w:p w14:paraId="240F4DE1"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7A2B6E1A" w14:textId="77777777" w:rsidR="00F65BCA" w:rsidRDefault="00F65BCA">
            <w:pPr>
              <w:pStyle w:val="TableParagraph"/>
              <w:spacing w:before="8"/>
              <w:rPr>
                <w:rFonts w:ascii="Calibri"/>
                <w:b/>
                <w:sz w:val="6"/>
              </w:rPr>
            </w:pPr>
          </w:p>
          <w:p w14:paraId="6F2BD294"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7F3A70C5"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00054343" w14:textId="77777777" w:rsidR="00F65BCA" w:rsidRDefault="00F65BCA">
            <w:pPr>
              <w:pStyle w:val="TableParagraph"/>
              <w:rPr>
                <w:rFonts w:ascii="Times New Roman"/>
                <w:sz w:val="6"/>
              </w:rPr>
            </w:pPr>
          </w:p>
        </w:tc>
        <w:tc>
          <w:tcPr>
            <w:tcW w:w="311" w:type="dxa"/>
            <w:tcBorders>
              <w:top w:val="single" w:sz="2" w:space="0" w:color="231F20"/>
              <w:left w:val="single" w:sz="2" w:space="0" w:color="231F20"/>
              <w:bottom w:val="single" w:sz="2" w:space="0" w:color="231F20"/>
              <w:right w:val="single" w:sz="2" w:space="0" w:color="231F20"/>
            </w:tcBorders>
          </w:tcPr>
          <w:p w14:paraId="64F20108"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331E89BE"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35970CB3" w14:textId="77777777" w:rsidR="00F65BCA" w:rsidRDefault="00F65BCA">
            <w:pPr>
              <w:pStyle w:val="TableParagraph"/>
              <w:rPr>
                <w:rFonts w:ascii="Times New Roman"/>
                <w:sz w:val="6"/>
              </w:rPr>
            </w:pPr>
          </w:p>
        </w:tc>
        <w:tc>
          <w:tcPr>
            <w:tcW w:w="296" w:type="dxa"/>
            <w:tcBorders>
              <w:top w:val="single" w:sz="2" w:space="0" w:color="231F20"/>
              <w:left w:val="single" w:sz="2" w:space="0" w:color="231F20"/>
              <w:bottom w:val="single" w:sz="2" w:space="0" w:color="231F20"/>
              <w:right w:val="single" w:sz="2" w:space="0" w:color="231F20"/>
            </w:tcBorders>
          </w:tcPr>
          <w:p w14:paraId="7ECEFE39" w14:textId="77777777" w:rsidR="00F65BCA" w:rsidRDefault="00F65BCA">
            <w:pPr>
              <w:pStyle w:val="TableParagraph"/>
              <w:rPr>
                <w:rFonts w:ascii="Times New Roman"/>
                <w:sz w:val="6"/>
              </w:rPr>
            </w:pPr>
          </w:p>
        </w:tc>
        <w:tc>
          <w:tcPr>
            <w:tcW w:w="392" w:type="dxa"/>
            <w:tcBorders>
              <w:top w:val="single" w:sz="2" w:space="0" w:color="231F20"/>
              <w:left w:val="single" w:sz="2" w:space="0" w:color="231F20"/>
              <w:bottom w:val="single" w:sz="2" w:space="0" w:color="231F20"/>
              <w:right w:val="single" w:sz="2" w:space="0" w:color="231F20"/>
            </w:tcBorders>
          </w:tcPr>
          <w:p w14:paraId="65FBD0AF" w14:textId="77777777" w:rsidR="00F65BCA" w:rsidRDefault="00F65BCA">
            <w:pPr>
              <w:pStyle w:val="TableParagraph"/>
              <w:rPr>
                <w:rFonts w:ascii="Times New Roman"/>
                <w:sz w:val="6"/>
              </w:rPr>
            </w:pPr>
          </w:p>
        </w:tc>
        <w:tc>
          <w:tcPr>
            <w:tcW w:w="428" w:type="dxa"/>
            <w:tcBorders>
              <w:top w:val="single" w:sz="2" w:space="0" w:color="231F20"/>
              <w:left w:val="single" w:sz="2" w:space="0" w:color="231F20"/>
              <w:bottom w:val="single" w:sz="2" w:space="0" w:color="231F20"/>
            </w:tcBorders>
          </w:tcPr>
          <w:p w14:paraId="0881ACB5"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71CB5B24"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174678B"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9B515E4"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3158FDE"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6D3CE86D" w14:textId="77777777" w:rsidR="00F65BCA" w:rsidRDefault="00F65BCA">
            <w:pPr>
              <w:pStyle w:val="TableParagraph"/>
              <w:rPr>
                <w:rFonts w:ascii="Times New Roman"/>
                <w:sz w:val="6"/>
              </w:rPr>
            </w:pPr>
          </w:p>
        </w:tc>
      </w:tr>
      <w:tr w:rsidR="00F65BCA" w14:paraId="66F1EA0F" w14:textId="77777777">
        <w:trPr>
          <w:trHeight w:val="153"/>
        </w:trPr>
        <w:tc>
          <w:tcPr>
            <w:tcW w:w="166" w:type="dxa"/>
            <w:tcBorders>
              <w:top w:val="single" w:sz="2" w:space="0" w:color="231F20"/>
              <w:bottom w:val="single" w:sz="2" w:space="0" w:color="231F20"/>
              <w:right w:val="single" w:sz="2" w:space="0" w:color="231F20"/>
            </w:tcBorders>
          </w:tcPr>
          <w:p w14:paraId="1F38FC04" w14:textId="77777777" w:rsidR="00F65BCA" w:rsidRDefault="00F65BCA">
            <w:pPr>
              <w:pStyle w:val="TableParagraph"/>
              <w:spacing w:before="8"/>
              <w:rPr>
                <w:rFonts w:ascii="Calibri"/>
                <w:b/>
                <w:sz w:val="6"/>
              </w:rPr>
            </w:pPr>
          </w:p>
          <w:p w14:paraId="6828E417"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03C340DE" w14:textId="77777777" w:rsidR="00F65BCA" w:rsidRDefault="00F65BCA">
            <w:pPr>
              <w:pStyle w:val="TableParagraph"/>
              <w:spacing w:before="8"/>
              <w:rPr>
                <w:rFonts w:ascii="Calibri"/>
                <w:b/>
                <w:sz w:val="6"/>
              </w:rPr>
            </w:pPr>
          </w:p>
          <w:p w14:paraId="749C3772"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28081676" w14:textId="77777777" w:rsidR="00F65BCA" w:rsidRDefault="00F65BCA">
            <w:pPr>
              <w:pStyle w:val="TableParagraph"/>
              <w:spacing w:before="8"/>
              <w:rPr>
                <w:rFonts w:ascii="Calibri"/>
                <w:b/>
                <w:sz w:val="6"/>
              </w:rPr>
            </w:pPr>
          </w:p>
          <w:p w14:paraId="5952850E"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4DC76245" w14:textId="77777777" w:rsidR="00F65BCA" w:rsidRDefault="00F65BCA">
            <w:pPr>
              <w:pStyle w:val="TableParagraph"/>
              <w:spacing w:before="8"/>
              <w:rPr>
                <w:rFonts w:ascii="Calibri"/>
                <w:b/>
                <w:sz w:val="6"/>
              </w:rPr>
            </w:pPr>
          </w:p>
          <w:p w14:paraId="7511D864"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48A760AD" w14:textId="77777777" w:rsidR="00F65BCA" w:rsidRDefault="00F65BCA">
            <w:pPr>
              <w:pStyle w:val="TableParagraph"/>
              <w:spacing w:before="8"/>
              <w:rPr>
                <w:rFonts w:ascii="Calibri"/>
                <w:b/>
                <w:sz w:val="6"/>
              </w:rPr>
            </w:pPr>
          </w:p>
          <w:p w14:paraId="58349980"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74F1965E" w14:textId="77777777" w:rsidR="00F65BCA" w:rsidRDefault="00F65BCA">
            <w:pPr>
              <w:pStyle w:val="TableParagraph"/>
              <w:spacing w:before="8"/>
              <w:rPr>
                <w:rFonts w:ascii="Calibri"/>
                <w:b/>
                <w:sz w:val="6"/>
              </w:rPr>
            </w:pPr>
          </w:p>
          <w:p w14:paraId="7322904D"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1006D96E" w14:textId="77777777" w:rsidR="00F65BCA" w:rsidRDefault="00F65BCA">
            <w:pPr>
              <w:pStyle w:val="TableParagraph"/>
              <w:spacing w:before="11"/>
              <w:rPr>
                <w:rFonts w:ascii="Calibri"/>
                <w:b/>
                <w:sz w:val="6"/>
              </w:rPr>
            </w:pPr>
          </w:p>
          <w:p w14:paraId="71D00363" w14:textId="77777777" w:rsidR="00F65BCA" w:rsidRDefault="00216117">
            <w:pPr>
              <w:pStyle w:val="TableParagraph"/>
              <w:spacing w:before="1" w:line="48" w:lineRule="exact"/>
              <w:ind w:left="11"/>
              <w:rPr>
                <w:rFonts w:ascii="Segoe UI"/>
                <w:sz w:val="5"/>
              </w:rPr>
            </w:pPr>
            <w:r>
              <w:rPr>
                <w:rFonts w:ascii="Segoe UI"/>
                <w:color w:val="231F20"/>
                <w:w w:val="190"/>
                <w:sz w:val="5"/>
              </w:rPr>
              <w:t xml:space="preserve">li </w:t>
            </w:r>
            <w:r>
              <w:rPr>
                <w:rFonts w:ascii="Segoe UI"/>
                <w:color w:val="231F20"/>
                <w:w w:val="226"/>
                <w:sz w:val="5"/>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541ED02B" w14:textId="77777777" w:rsidR="00F65BCA" w:rsidRDefault="00F65BCA">
            <w:pPr>
              <w:pStyle w:val="TableParagraph"/>
              <w:spacing w:before="8"/>
              <w:rPr>
                <w:rFonts w:ascii="Calibri"/>
                <w:b/>
                <w:sz w:val="6"/>
              </w:rPr>
            </w:pPr>
          </w:p>
          <w:p w14:paraId="3D24EE58" w14:textId="77777777" w:rsidR="00F65BCA" w:rsidRDefault="00216117">
            <w:pPr>
              <w:pStyle w:val="TableParagraph"/>
              <w:spacing w:line="51" w:lineRule="exact"/>
              <w:ind w:left="10"/>
              <w:rPr>
                <w:rFonts w:ascii="Calibri"/>
                <w:sz w:val="6"/>
              </w:rPr>
            </w:pPr>
            <w:r>
              <w:rPr>
                <w:rFonts w:ascii="Calibri"/>
                <w:color w:val="231F20"/>
                <w:w w:val="224"/>
                <w:sz w:val="6"/>
              </w:rPr>
              <w:t xml:space="preserve"> </w:t>
            </w:r>
            <w:r>
              <w:rPr>
                <w:rFonts w:ascii="Calibri"/>
                <w:color w:val="231F20"/>
                <w:w w:val="279"/>
                <w:sz w:val="6"/>
              </w:rPr>
              <w:t xml:space="preserve">    </w:t>
            </w:r>
            <w:r>
              <w:rPr>
                <w:rFonts w:ascii="Calibri"/>
                <w:color w:val="231F20"/>
                <w:w w:val="233"/>
                <w:sz w:val="6"/>
              </w:rPr>
              <w:t xml:space="preserve">  </w:t>
            </w:r>
            <w:r>
              <w:rPr>
                <w:rFonts w:ascii="Calibri"/>
                <w:color w:val="231F20"/>
                <w:w w:val="105"/>
                <w:sz w:val="6"/>
              </w:rPr>
              <w:t>k</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4CD86EF3" w14:textId="77777777" w:rsidR="00F65BCA" w:rsidRDefault="00F65BCA">
            <w:pPr>
              <w:pStyle w:val="TableParagraph"/>
              <w:spacing w:before="8"/>
              <w:rPr>
                <w:rFonts w:ascii="Calibri"/>
                <w:b/>
                <w:sz w:val="6"/>
              </w:rPr>
            </w:pPr>
          </w:p>
          <w:p w14:paraId="262536F9" w14:textId="77777777" w:rsidR="00F65BCA" w:rsidRDefault="00216117">
            <w:pPr>
              <w:pStyle w:val="TableParagraph"/>
              <w:spacing w:line="51" w:lineRule="exact"/>
              <w:ind w:left="9"/>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7CBAA800" w14:textId="77777777" w:rsidR="00F65BCA" w:rsidRDefault="00F65BCA">
            <w:pPr>
              <w:pStyle w:val="TableParagraph"/>
              <w:spacing w:before="8"/>
              <w:rPr>
                <w:rFonts w:ascii="Calibri"/>
                <w:b/>
                <w:sz w:val="6"/>
              </w:rPr>
            </w:pPr>
          </w:p>
          <w:p w14:paraId="1FCBF506" w14:textId="77777777" w:rsidR="00F65BCA" w:rsidRDefault="00216117">
            <w:pPr>
              <w:pStyle w:val="TableParagraph"/>
              <w:spacing w:line="51" w:lineRule="exact"/>
              <w:ind w:left="8"/>
              <w:rPr>
                <w:rFonts w:ascii="Calibri"/>
                <w:sz w:val="6"/>
              </w:rPr>
            </w:pPr>
            <w:r>
              <w:rPr>
                <w:rFonts w:ascii="Calibri"/>
                <w:color w:val="231F20"/>
                <w:w w:val="274"/>
                <w:sz w:val="6"/>
              </w:rPr>
              <w:t xml:space="preserve"> </w:t>
            </w:r>
            <w:r>
              <w:rPr>
                <w:rFonts w:ascii="Calibri"/>
                <w:color w:val="231F20"/>
                <w:spacing w:val="-1"/>
                <w:w w:val="274"/>
                <w:sz w:val="6"/>
              </w:rPr>
              <w:t xml:space="preserve"> </w:t>
            </w:r>
            <w:r>
              <w:rPr>
                <w:rFonts w:ascii="Calibri"/>
                <w:color w:val="231F20"/>
                <w:spacing w:val="-1"/>
                <w:w w:val="224"/>
                <w:sz w:val="6"/>
              </w:rPr>
              <w:t xml:space="preserve"> </w:t>
            </w:r>
            <w:r>
              <w:rPr>
                <w:rFonts w:ascii="Calibri"/>
                <w:color w:val="231F20"/>
                <w:w w:val="266"/>
                <w:sz w:val="6"/>
              </w:rPr>
              <w:t xml:space="preserve"> </w:t>
            </w:r>
            <w:r>
              <w:rPr>
                <w:rFonts w:ascii="Calibri"/>
                <w:color w:val="231F20"/>
                <w:spacing w:val="-1"/>
                <w:w w:val="260"/>
                <w:sz w:val="6"/>
              </w:rPr>
              <w:t xml:space="preserve"> </w:t>
            </w:r>
            <w:r>
              <w:rPr>
                <w:rFonts w:ascii="Calibri"/>
                <w:color w:val="231F20"/>
                <w:w w:val="191"/>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w w:val="170"/>
                <w:sz w:val="6"/>
              </w:rPr>
              <w:t xml:space="preserve"> </w:t>
            </w:r>
            <w:r>
              <w:rPr>
                <w:rFonts w:ascii="Calibri"/>
                <w:color w:val="231F20"/>
                <w:spacing w:val="-1"/>
                <w:w w:val="170"/>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193"/>
                <w:sz w:val="6"/>
              </w:rPr>
              <w:t xml:space="preserve"> </w:t>
            </w:r>
            <w:r>
              <w:rPr>
                <w:rFonts w:ascii="Times New Roman"/>
                <w:color w:val="231F20"/>
                <w:spacing w:val="-1"/>
                <w:sz w:val="6"/>
              </w:rPr>
              <w:t xml:space="preserve"> </w:t>
            </w:r>
            <w:r>
              <w:rPr>
                <w:rFonts w:ascii="Calibri"/>
                <w:color w:val="231F20"/>
                <w:w w:val="11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6E83A5BE" w14:textId="77777777" w:rsidR="00F65BCA" w:rsidRDefault="00F65BCA">
            <w:pPr>
              <w:pStyle w:val="TableParagraph"/>
              <w:spacing w:before="8"/>
              <w:rPr>
                <w:rFonts w:ascii="Calibri"/>
                <w:b/>
                <w:sz w:val="6"/>
              </w:rPr>
            </w:pPr>
          </w:p>
          <w:p w14:paraId="4B7A5D90" w14:textId="77777777" w:rsidR="00F65BCA" w:rsidRDefault="00216117">
            <w:pPr>
              <w:pStyle w:val="TableParagraph"/>
              <w:spacing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30643AC0" w14:textId="77777777" w:rsidR="00F65BCA" w:rsidRDefault="00F65BCA">
            <w:pPr>
              <w:pStyle w:val="TableParagraph"/>
              <w:spacing w:before="8"/>
              <w:rPr>
                <w:rFonts w:ascii="Calibri"/>
                <w:b/>
                <w:sz w:val="6"/>
              </w:rPr>
            </w:pPr>
          </w:p>
          <w:p w14:paraId="102E9EA3"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6788803F" w14:textId="77777777" w:rsidR="00F65BCA" w:rsidRDefault="00F65BCA">
            <w:pPr>
              <w:pStyle w:val="TableParagraph"/>
              <w:spacing w:before="8"/>
              <w:rPr>
                <w:rFonts w:ascii="Calibri"/>
                <w:b/>
                <w:sz w:val="6"/>
              </w:rPr>
            </w:pPr>
          </w:p>
          <w:p w14:paraId="7AACD117"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52DE6840" w14:textId="77777777" w:rsidR="00F65BCA" w:rsidRDefault="00F65BCA">
            <w:pPr>
              <w:pStyle w:val="TableParagraph"/>
              <w:spacing w:before="8"/>
              <w:rPr>
                <w:rFonts w:ascii="Calibri"/>
                <w:b/>
                <w:sz w:val="6"/>
              </w:rPr>
            </w:pPr>
          </w:p>
          <w:p w14:paraId="395233B2"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21960257" w14:textId="77777777" w:rsidR="00F65BCA" w:rsidRDefault="00F65BCA">
            <w:pPr>
              <w:pStyle w:val="TableParagraph"/>
              <w:spacing w:before="8"/>
              <w:rPr>
                <w:rFonts w:ascii="Calibri"/>
                <w:b/>
                <w:sz w:val="6"/>
              </w:rPr>
            </w:pPr>
          </w:p>
          <w:p w14:paraId="12E492CF"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65E0C273" w14:textId="77777777" w:rsidR="00F65BCA" w:rsidRDefault="00F65BCA">
            <w:pPr>
              <w:pStyle w:val="TableParagraph"/>
              <w:spacing w:before="8"/>
              <w:rPr>
                <w:rFonts w:ascii="Calibri"/>
                <w:b/>
                <w:sz w:val="6"/>
              </w:rPr>
            </w:pPr>
          </w:p>
          <w:p w14:paraId="7A9098E7" w14:textId="77777777" w:rsidR="00F65BCA" w:rsidRDefault="00216117">
            <w:pPr>
              <w:pStyle w:val="TableParagraph"/>
              <w:spacing w:line="51" w:lineRule="exact"/>
              <w:ind w:right="10"/>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1846E209" w14:textId="77777777" w:rsidR="00F65BCA" w:rsidRDefault="00F65BCA">
            <w:pPr>
              <w:pStyle w:val="TableParagraph"/>
              <w:spacing w:before="8"/>
              <w:rPr>
                <w:rFonts w:ascii="Calibri"/>
                <w:b/>
                <w:sz w:val="6"/>
              </w:rPr>
            </w:pPr>
          </w:p>
          <w:p w14:paraId="725A4085" w14:textId="77777777" w:rsidR="00F65BCA" w:rsidRDefault="00216117">
            <w:pPr>
              <w:pStyle w:val="TableParagraph"/>
              <w:spacing w:line="51" w:lineRule="exact"/>
              <w:ind w:right="16"/>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B6A1293" w14:textId="77777777" w:rsidR="00F65BCA" w:rsidRDefault="00F65BCA">
            <w:pPr>
              <w:pStyle w:val="TableParagraph"/>
              <w:spacing w:before="8"/>
              <w:rPr>
                <w:rFonts w:ascii="Calibri"/>
                <w:b/>
                <w:sz w:val="6"/>
              </w:rPr>
            </w:pPr>
          </w:p>
          <w:p w14:paraId="7F574660"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5233BAD3" w14:textId="77777777" w:rsidR="00F65BCA" w:rsidRDefault="00F65BCA">
            <w:pPr>
              <w:pStyle w:val="TableParagraph"/>
              <w:spacing w:before="8"/>
              <w:rPr>
                <w:rFonts w:ascii="Calibri"/>
                <w:b/>
                <w:sz w:val="6"/>
              </w:rPr>
            </w:pPr>
          </w:p>
          <w:p w14:paraId="25930480" w14:textId="77777777" w:rsidR="00F65BCA" w:rsidRDefault="00216117">
            <w:pPr>
              <w:pStyle w:val="TableParagraph"/>
              <w:spacing w:line="51" w:lineRule="exact"/>
              <w:ind w:right="4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14205FCB" w14:textId="77777777" w:rsidR="00F65BCA" w:rsidRDefault="00F65BCA">
            <w:pPr>
              <w:pStyle w:val="TableParagraph"/>
              <w:spacing w:before="8"/>
              <w:rPr>
                <w:rFonts w:ascii="Calibri"/>
                <w:b/>
                <w:sz w:val="6"/>
              </w:rPr>
            </w:pPr>
          </w:p>
          <w:p w14:paraId="3907B88D" w14:textId="77777777" w:rsidR="00F65BCA" w:rsidRDefault="00216117">
            <w:pPr>
              <w:pStyle w:val="TableParagraph"/>
              <w:spacing w:line="51" w:lineRule="exact"/>
              <w:ind w:right="5"/>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783FCFD6" w14:textId="77777777" w:rsidR="00F65BCA" w:rsidRDefault="00F65BCA">
            <w:pPr>
              <w:pStyle w:val="TableParagraph"/>
              <w:spacing w:before="8"/>
              <w:rPr>
                <w:rFonts w:ascii="Calibri"/>
                <w:b/>
                <w:sz w:val="6"/>
              </w:rPr>
            </w:pPr>
          </w:p>
          <w:p w14:paraId="4315440C"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21E04B37" w14:textId="77777777" w:rsidR="00F65BCA" w:rsidRDefault="00F65BCA">
            <w:pPr>
              <w:pStyle w:val="TableParagraph"/>
              <w:spacing w:before="8"/>
              <w:rPr>
                <w:rFonts w:ascii="Calibri"/>
                <w:b/>
                <w:sz w:val="6"/>
              </w:rPr>
            </w:pPr>
          </w:p>
          <w:p w14:paraId="34B24211" w14:textId="77777777" w:rsidR="00F65BCA" w:rsidRDefault="00216117">
            <w:pPr>
              <w:pStyle w:val="TableParagraph"/>
              <w:spacing w:line="51" w:lineRule="exact"/>
              <w:ind w:right="24"/>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359D4BC9" w14:textId="77777777" w:rsidR="00F65BCA" w:rsidRDefault="00F65BCA">
            <w:pPr>
              <w:pStyle w:val="TableParagraph"/>
              <w:spacing w:before="8"/>
              <w:rPr>
                <w:rFonts w:ascii="Calibri"/>
                <w:b/>
                <w:sz w:val="6"/>
              </w:rPr>
            </w:pPr>
          </w:p>
          <w:p w14:paraId="6E712E0A"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0700358A" w14:textId="77777777" w:rsidR="00F65BCA" w:rsidRDefault="00F65BCA">
            <w:pPr>
              <w:pStyle w:val="TableParagraph"/>
              <w:spacing w:before="8"/>
              <w:rPr>
                <w:rFonts w:ascii="Calibri"/>
                <w:b/>
                <w:sz w:val="6"/>
              </w:rPr>
            </w:pPr>
          </w:p>
          <w:p w14:paraId="2E12A502"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1C510835" w14:textId="77777777" w:rsidR="00F65BCA" w:rsidRDefault="00F65BCA">
            <w:pPr>
              <w:pStyle w:val="TableParagraph"/>
              <w:spacing w:before="8"/>
              <w:rPr>
                <w:rFonts w:ascii="Calibri"/>
                <w:b/>
                <w:sz w:val="6"/>
              </w:rPr>
            </w:pPr>
          </w:p>
          <w:p w14:paraId="6BB4A1DB" w14:textId="77777777" w:rsidR="00F65BCA" w:rsidRDefault="00216117">
            <w:pPr>
              <w:pStyle w:val="TableParagraph"/>
              <w:spacing w:line="51" w:lineRule="exact"/>
              <w:ind w:left="5"/>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0BB24F24"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5292BFDD"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62D76C6E"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7D67AE6B"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D9B45BF"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18CF6211" w14:textId="77777777" w:rsidR="00F65BCA" w:rsidRDefault="00F65BCA">
            <w:pPr>
              <w:pStyle w:val="TableParagraph"/>
              <w:rPr>
                <w:rFonts w:ascii="Times New Roman"/>
                <w:sz w:val="6"/>
              </w:rPr>
            </w:pPr>
          </w:p>
        </w:tc>
      </w:tr>
      <w:tr w:rsidR="00F65BCA" w14:paraId="5BE3BF0E" w14:textId="77777777">
        <w:trPr>
          <w:trHeight w:val="153"/>
        </w:trPr>
        <w:tc>
          <w:tcPr>
            <w:tcW w:w="166" w:type="dxa"/>
            <w:tcBorders>
              <w:top w:val="single" w:sz="2" w:space="0" w:color="231F20"/>
              <w:bottom w:val="single" w:sz="2" w:space="0" w:color="231F20"/>
              <w:right w:val="single" w:sz="2" w:space="0" w:color="231F20"/>
            </w:tcBorders>
          </w:tcPr>
          <w:p w14:paraId="69AD3104" w14:textId="77777777" w:rsidR="00F65BCA" w:rsidRDefault="00F65BCA">
            <w:pPr>
              <w:pStyle w:val="TableParagraph"/>
              <w:spacing w:before="8"/>
              <w:rPr>
                <w:rFonts w:ascii="Calibri"/>
                <w:b/>
                <w:sz w:val="6"/>
              </w:rPr>
            </w:pPr>
          </w:p>
          <w:p w14:paraId="343E520D"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55DE9044" w14:textId="77777777" w:rsidR="00F65BCA" w:rsidRDefault="00F65BCA">
            <w:pPr>
              <w:pStyle w:val="TableParagraph"/>
              <w:spacing w:before="8"/>
              <w:rPr>
                <w:rFonts w:ascii="Calibri"/>
                <w:b/>
                <w:sz w:val="6"/>
              </w:rPr>
            </w:pPr>
          </w:p>
          <w:p w14:paraId="56516ED9"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0D165520" w14:textId="77777777" w:rsidR="00F65BCA" w:rsidRDefault="00F65BCA">
            <w:pPr>
              <w:pStyle w:val="TableParagraph"/>
              <w:spacing w:before="8"/>
              <w:rPr>
                <w:rFonts w:ascii="Calibri"/>
                <w:b/>
                <w:sz w:val="6"/>
              </w:rPr>
            </w:pPr>
          </w:p>
          <w:p w14:paraId="2CCC5B62"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36DA7F44" w14:textId="77777777" w:rsidR="00F65BCA" w:rsidRDefault="00F65BCA">
            <w:pPr>
              <w:pStyle w:val="TableParagraph"/>
              <w:spacing w:before="8"/>
              <w:rPr>
                <w:rFonts w:ascii="Calibri"/>
                <w:b/>
                <w:sz w:val="6"/>
              </w:rPr>
            </w:pPr>
          </w:p>
          <w:p w14:paraId="7751242C"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7EE5AF55" w14:textId="77777777" w:rsidR="00F65BCA" w:rsidRDefault="00F65BCA">
            <w:pPr>
              <w:pStyle w:val="TableParagraph"/>
              <w:spacing w:before="8"/>
              <w:rPr>
                <w:rFonts w:ascii="Calibri"/>
                <w:b/>
                <w:sz w:val="6"/>
              </w:rPr>
            </w:pPr>
          </w:p>
          <w:p w14:paraId="4C8439C1"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07A86DEB" w14:textId="77777777" w:rsidR="00F65BCA" w:rsidRDefault="00F65BCA">
            <w:pPr>
              <w:pStyle w:val="TableParagraph"/>
              <w:spacing w:before="8"/>
              <w:rPr>
                <w:rFonts w:ascii="Calibri"/>
                <w:b/>
                <w:sz w:val="6"/>
              </w:rPr>
            </w:pPr>
          </w:p>
          <w:p w14:paraId="638D8AD0"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spacing w:val="-1"/>
                <w:w w:val="211"/>
                <w:sz w:val="6"/>
              </w:rPr>
              <w:t xml:space="preserve"> </w:t>
            </w:r>
            <w:r>
              <w:rPr>
                <w:rFonts w:ascii="Calibri"/>
                <w:color w:val="231F20"/>
                <w:w w:val="174"/>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4813417A" w14:textId="77777777" w:rsidR="00F65BCA" w:rsidRDefault="00F65BCA">
            <w:pPr>
              <w:pStyle w:val="TableParagraph"/>
              <w:spacing w:before="11"/>
              <w:rPr>
                <w:rFonts w:ascii="Calibri"/>
                <w:b/>
                <w:sz w:val="6"/>
              </w:rPr>
            </w:pPr>
          </w:p>
          <w:p w14:paraId="25C3BF16" w14:textId="77777777" w:rsidR="00F65BCA" w:rsidRDefault="00216117">
            <w:pPr>
              <w:pStyle w:val="TableParagraph"/>
              <w:spacing w:before="1" w:line="48" w:lineRule="exact"/>
              <w:ind w:left="11"/>
              <w:rPr>
                <w:rFonts w:ascii="Segoe UI"/>
                <w:sz w:val="5"/>
              </w:rPr>
            </w:pPr>
            <w:r>
              <w:rPr>
                <w:rFonts w:ascii="Segoe UI"/>
                <w:color w:val="231F20"/>
                <w:w w:val="200"/>
                <w:sz w:val="5"/>
              </w:rPr>
              <w:t xml:space="preserve">li       </w:t>
            </w:r>
          </w:p>
        </w:tc>
        <w:tc>
          <w:tcPr>
            <w:tcW w:w="663" w:type="dxa"/>
            <w:tcBorders>
              <w:top w:val="single" w:sz="2" w:space="0" w:color="231F20"/>
              <w:left w:val="single" w:sz="2" w:space="0" w:color="231F20"/>
              <w:bottom w:val="single" w:sz="2" w:space="0" w:color="231F20"/>
              <w:right w:val="single" w:sz="2" w:space="0" w:color="231F20"/>
            </w:tcBorders>
          </w:tcPr>
          <w:p w14:paraId="618679B2" w14:textId="77777777" w:rsidR="00F65BCA" w:rsidRDefault="00F65BCA">
            <w:pPr>
              <w:pStyle w:val="TableParagraph"/>
              <w:spacing w:before="8"/>
              <w:rPr>
                <w:rFonts w:ascii="Calibri"/>
                <w:b/>
                <w:sz w:val="6"/>
              </w:rPr>
            </w:pPr>
          </w:p>
          <w:p w14:paraId="7EF77F2C"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303"/>
                <w:sz w:val="6"/>
              </w:rPr>
              <w:t xml:space="preserve">   </w:t>
            </w:r>
            <w:r>
              <w:rPr>
                <w:rFonts w:ascii="Calibri"/>
                <w:color w:val="231F20"/>
                <w:w w:val="259"/>
                <w:sz w:val="6"/>
              </w:rPr>
              <w:t xml:space="preserve">  </w:t>
            </w:r>
            <w:r>
              <w:rPr>
                <w:rFonts w:ascii="Calibri"/>
                <w:color w:val="231F20"/>
                <w:w w:val="296"/>
                <w:sz w:val="6"/>
              </w:rPr>
              <w:t xml:space="preserve"> </w:t>
            </w:r>
            <w:r>
              <w:rPr>
                <w:rFonts w:ascii="Calibri"/>
                <w:color w:val="231F20"/>
                <w:w w:val="237"/>
                <w:sz w:val="6"/>
              </w:rPr>
              <w:t xml:space="preserve"> </w:t>
            </w:r>
            <w:r>
              <w:rPr>
                <w:rFonts w:ascii="Calibri"/>
                <w:color w:val="231F20"/>
                <w:w w:val="206"/>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77D6AF32" w14:textId="77777777" w:rsidR="00F65BCA" w:rsidRDefault="00F65BCA">
            <w:pPr>
              <w:pStyle w:val="TableParagraph"/>
              <w:spacing w:before="8"/>
              <w:rPr>
                <w:rFonts w:ascii="Calibri"/>
                <w:b/>
                <w:sz w:val="6"/>
              </w:rPr>
            </w:pPr>
          </w:p>
          <w:p w14:paraId="020C06E1" w14:textId="77777777" w:rsidR="00F65BCA" w:rsidRDefault="00216117">
            <w:pPr>
              <w:pStyle w:val="TableParagraph"/>
              <w:spacing w:line="51" w:lineRule="exact"/>
              <w:ind w:left="9"/>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270A701" w14:textId="77777777" w:rsidR="00F65BCA" w:rsidRDefault="00F65BCA">
            <w:pPr>
              <w:pStyle w:val="TableParagraph"/>
              <w:spacing w:before="8"/>
              <w:rPr>
                <w:rFonts w:ascii="Calibri"/>
                <w:b/>
                <w:sz w:val="6"/>
              </w:rPr>
            </w:pPr>
          </w:p>
          <w:p w14:paraId="56C38CDC" w14:textId="77777777" w:rsidR="00F65BCA" w:rsidRDefault="00216117">
            <w:pPr>
              <w:pStyle w:val="TableParagraph"/>
              <w:spacing w:line="51" w:lineRule="exact"/>
              <w:ind w:left="8"/>
              <w:rPr>
                <w:rFonts w:ascii="Calibri"/>
                <w:sz w:val="6"/>
              </w:rPr>
            </w:pPr>
            <w:r>
              <w:rPr>
                <w:rFonts w:ascii="Calibri"/>
                <w:color w:val="231F20"/>
                <w:spacing w:val="-1"/>
                <w:w w:val="211"/>
                <w:sz w:val="6"/>
              </w:rPr>
              <w:t xml:space="preserve"> </w:t>
            </w:r>
            <w:r>
              <w:rPr>
                <w:rFonts w:ascii="Calibri"/>
                <w:color w:val="231F20"/>
                <w:w w:val="295"/>
                <w:sz w:val="6"/>
              </w:rPr>
              <w:t xml:space="preserve"> </w:t>
            </w:r>
            <w:r>
              <w:rPr>
                <w:rFonts w:ascii="Calibri"/>
                <w:color w:val="231F20"/>
                <w:w w:val="237"/>
                <w:sz w:val="6"/>
              </w:rPr>
              <w:t xml:space="preserve"> </w:t>
            </w:r>
            <w:r>
              <w:rPr>
                <w:rFonts w:ascii="Calibri"/>
                <w:color w:val="231F20"/>
                <w:spacing w:val="-1"/>
                <w:w w:val="224"/>
                <w:sz w:val="6"/>
              </w:rPr>
              <w:t xml:space="preserve"> </w:t>
            </w:r>
            <w:r>
              <w:rPr>
                <w:rFonts w:ascii="Calibri"/>
                <w:color w:val="231F20"/>
                <w:w w:val="249"/>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w w:val="170"/>
                <w:sz w:val="6"/>
              </w:rPr>
              <w:t xml:space="preserve"> </w:t>
            </w:r>
            <w:r>
              <w:rPr>
                <w:rFonts w:ascii="Calibri"/>
                <w:color w:val="231F20"/>
                <w:spacing w:val="-1"/>
                <w:w w:val="170"/>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193"/>
                <w:sz w:val="6"/>
              </w:rPr>
              <w:t xml:space="preserve"> </w:t>
            </w:r>
            <w:r>
              <w:rPr>
                <w:rFonts w:ascii="Times New Roman"/>
                <w:color w:val="231F20"/>
                <w:spacing w:val="-1"/>
                <w:sz w:val="6"/>
              </w:rPr>
              <w:t xml:space="preserve"> </w:t>
            </w:r>
            <w:r>
              <w:rPr>
                <w:rFonts w:ascii="Calibri"/>
                <w:color w:val="231F20"/>
                <w:w w:val="11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6FFA6F2" w14:textId="77777777" w:rsidR="00F65BCA" w:rsidRDefault="00F65BCA">
            <w:pPr>
              <w:pStyle w:val="TableParagraph"/>
              <w:spacing w:before="8"/>
              <w:rPr>
                <w:rFonts w:ascii="Calibri"/>
                <w:b/>
                <w:sz w:val="6"/>
              </w:rPr>
            </w:pPr>
          </w:p>
          <w:p w14:paraId="38B44F48" w14:textId="77777777" w:rsidR="00F65BCA" w:rsidRDefault="00216117">
            <w:pPr>
              <w:pStyle w:val="TableParagraph"/>
              <w:spacing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78524DED" w14:textId="77777777" w:rsidR="00F65BCA" w:rsidRDefault="00F65BCA">
            <w:pPr>
              <w:pStyle w:val="TableParagraph"/>
              <w:spacing w:before="8"/>
              <w:rPr>
                <w:rFonts w:ascii="Calibri"/>
                <w:b/>
                <w:sz w:val="6"/>
              </w:rPr>
            </w:pPr>
          </w:p>
          <w:p w14:paraId="088475F6"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5CAE1164" w14:textId="77777777" w:rsidR="00F65BCA" w:rsidRDefault="00F65BCA">
            <w:pPr>
              <w:pStyle w:val="TableParagraph"/>
              <w:spacing w:before="8"/>
              <w:rPr>
                <w:rFonts w:ascii="Calibri"/>
                <w:b/>
                <w:sz w:val="6"/>
              </w:rPr>
            </w:pPr>
          </w:p>
          <w:p w14:paraId="1CDE1DEB"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102E8C20" w14:textId="77777777" w:rsidR="00F65BCA" w:rsidRDefault="00F65BCA">
            <w:pPr>
              <w:pStyle w:val="TableParagraph"/>
              <w:spacing w:before="8"/>
              <w:rPr>
                <w:rFonts w:ascii="Calibri"/>
                <w:b/>
                <w:sz w:val="6"/>
              </w:rPr>
            </w:pPr>
          </w:p>
          <w:p w14:paraId="64C2739A"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12D9BBD5" w14:textId="77777777" w:rsidR="00F65BCA" w:rsidRDefault="00F65BCA">
            <w:pPr>
              <w:pStyle w:val="TableParagraph"/>
              <w:spacing w:before="8"/>
              <w:rPr>
                <w:rFonts w:ascii="Calibri"/>
                <w:b/>
                <w:sz w:val="6"/>
              </w:rPr>
            </w:pPr>
          </w:p>
          <w:p w14:paraId="46078889"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2A0DC56A" w14:textId="77777777" w:rsidR="00F65BCA" w:rsidRDefault="00F65BCA">
            <w:pPr>
              <w:pStyle w:val="TableParagraph"/>
              <w:spacing w:before="8"/>
              <w:rPr>
                <w:rFonts w:ascii="Calibri"/>
                <w:b/>
                <w:sz w:val="6"/>
              </w:rPr>
            </w:pPr>
          </w:p>
          <w:p w14:paraId="6D5B3E95"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607CDA7B" w14:textId="77777777" w:rsidR="00F65BCA" w:rsidRDefault="00F65BCA">
            <w:pPr>
              <w:pStyle w:val="TableParagraph"/>
              <w:spacing w:before="8"/>
              <w:rPr>
                <w:rFonts w:ascii="Calibri"/>
                <w:b/>
                <w:sz w:val="6"/>
              </w:rPr>
            </w:pPr>
          </w:p>
          <w:p w14:paraId="30D6805E" w14:textId="77777777" w:rsidR="00F65BCA" w:rsidRDefault="00216117">
            <w:pPr>
              <w:pStyle w:val="TableParagraph"/>
              <w:spacing w:line="51" w:lineRule="exact"/>
              <w:ind w:right="16"/>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30076E44" w14:textId="77777777" w:rsidR="00F65BCA" w:rsidRDefault="00F65BCA">
            <w:pPr>
              <w:pStyle w:val="TableParagraph"/>
              <w:spacing w:before="8"/>
              <w:rPr>
                <w:rFonts w:ascii="Calibri"/>
                <w:b/>
                <w:sz w:val="6"/>
              </w:rPr>
            </w:pPr>
          </w:p>
          <w:p w14:paraId="281DF18F"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1FC8C009" w14:textId="77777777" w:rsidR="00F65BCA" w:rsidRDefault="00F65BCA">
            <w:pPr>
              <w:pStyle w:val="TableParagraph"/>
              <w:spacing w:before="8"/>
              <w:rPr>
                <w:rFonts w:ascii="Calibri"/>
                <w:b/>
                <w:sz w:val="6"/>
              </w:rPr>
            </w:pPr>
          </w:p>
          <w:p w14:paraId="737BDEE0"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72222DC2" w14:textId="77777777" w:rsidR="00F65BCA" w:rsidRDefault="00F65BCA">
            <w:pPr>
              <w:pStyle w:val="TableParagraph"/>
              <w:spacing w:before="8"/>
              <w:rPr>
                <w:rFonts w:ascii="Calibri"/>
                <w:b/>
                <w:sz w:val="6"/>
              </w:rPr>
            </w:pPr>
          </w:p>
          <w:p w14:paraId="24426B62"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231E447A" w14:textId="77777777" w:rsidR="00F65BCA" w:rsidRDefault="00F65BCA">
            <w:pPr>
              <w:pStyle w:val="TableParagraph"/>
              <w:spacing w:before="8"/>
              <w:rPr>
                <w:rFonts w:ascii="Calibri"/>
                <w:b/>
                <w:sz w:val="6"/>
              </w:rPr>
            </w:pPr>
          </w:p>
          <w:p w14:paraId="5B35C6CC"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39186F14" w14:textId="77777777" w:rsidR="00F65BCA" w:rsidRDefault="00F65BCA">
            <w:pPr>
              <w:pStyle w:val="TableParagraph"/>
              <w:spacing w:before="8"/>
              <w:rPr>
                <w:rFonts w:ascii="Calibri"/>
                <w:b/>
                <w:sz w:val="6"/>
              </w:rPr>
            </w:pPr>
          </w:p>
          <w:p w14:paraId="796A2C7A" w14:textId="77777777" w:rsidR="00F65BCA" w:rsidRDefault="00216117">
            <w:pPr>
              <w:pStyle w:val="TableParagraph"/>
              <w:spacing w:line="51" w:lineRule="exact"/>
              <w:ind w:right="24"/>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793938D5" w14:textId="77777777" w:rsidR="00F65BCA" w:rsidRDefault="00F65BCA">
            <w:pPr>
              <w:pStyle w:val="TableParagraph"/>
              <w:spacing w:before="8"/>
              <w:rPr>
                <w:rFonts w:ascii="Calibri"/>
                <w:b/>
                <w:sz w:val="6"/>
              </w:rPr>
            </w:pPr>
          </w:p>
          <w:p w14:paraId="23462E9A"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5676A116" w14:textId="77777777" w:rsidR="00F65BCA" w:rsidRDefault="00F65BCA">
            <w:pPr>
              <w:pStyle w:val="TableParagraph"/>
              <w:spacing w:before="8"/>
              <w:rPr>
                <w:rFonts w:ascii="Calibri"/>
                <w:b/>
                <w:sz w:val="6"/>
              </w:rPr>
            </w:pPr>
          </w:p>
          <w:p w14:paraId="200EAC59"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6DF6A6A0" w14:textId="77777777" w:rsidR="00F65BCA" w:rsidRDefault="00F65BCA">
            <w:pPr>
              <w:pStyle w:val="TableParagraph"/>
              <w:spacing w:before="8"/>
              <w:rPr>
                <w:rFonts w:ascii="Calibri"/>
                <w:b/>
                <w:sz w:val="6"/>
              </w:rPr>
            </w:pPr>
          </w:p>
          <w:p w14:paraId="2A632F3A"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3A179B83"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36B5C975"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76FE5150"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58252AA"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43AA0D1D"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6DC5E4B4" w14:textId="77777777" w:rsidR="00F65BCA" w:rsidRDefault="00F65BCA">
            <w:pPr>
              <w:pStyle w:val="TableParagraph"/>
              <w:rPr>
                <w:rFonts w:ascii="Times New Roman"/>
                <w:sz w:val="6"/>
              </w:rPr>
            </w:pPr>
          </w:p>
        </w:tc>
      </w:tr>
      <w:tr w:rsidR="00F65BCA" w14:paraId="6A821EC5" w14:textId="77777777">
        <w:trPr>
          <w:trHeight w:val="153"/>
        </w:trPr>
        <w:tc>
          <w:tcPr>
            <w:tcW w:w="166" w:type="dxa"/>
            <w:tcBorders>
              <w:top w:val="single" w:sz="2" w:space="0" w:color="231F20"/>
              <w:bottom w:val="single" w:sz="2" w:space="0" w:color="231F20"/>
              <w:right w:val="single" w:sz="2" w:space="0" w:color="231F20"/>
            </w:tcBorders>
          </w:tcPr>
          <w:p w14:paraId="4B256B0E" w14:textId="77777777" w:rsidR="00F65BCA" w:rsidRDefault="00F65BCA">
            <w:pPr>
              <w:pStyle w:val="TableParagraph"/>
              <w:spacing w:before="8"/>
              <w:rPr>
                <w:rFonts w:ascii="Calibri"/>
                <w:b/>
                <w:sz w:val="6"/>
              </w:rPr>
            </w:pPr>
          </w:p>
          <w:p w14:paraId="7588D24C"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1CF8A220" w14:textId="77777777" w:rsidR="00F65BCA" w:rsidRDefault="00F65BCA">
            <w:pPr>
              <w:pStyle w:val="TableParagraph"/>
              <w:spacing w:before="8"/>
              <w:rPr>
                <w:rFonts w:ascii="Calibri"/>
                <w:b/>
                <w:sz w:val="6"/>
              </w:rPr>
            </w:pPr>
          </w:p>
          <w:p w14:paraId="09706A7D"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38B1EE1D" w14:textId="77777777" w:rsidR="00F65BCA" w:rsidRDefault="00F65BCA">
            <w:pPr>
              <w:pStyle w:val="TableParagraph"/>
              <w:spacing w:before="8"/>
              <w:rPr>
                <w:rFonts w:ascii="Calibri"/>
                <w:b/>
                <w:sz w:val="6"/>
              </w:rPr>
            </w:pPr>
          </w:p>
          <w:p w14:paraId="1D08AAED"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7091F826" w14:textId="77777777" w:rsidR="00F65BCA" w:rsidRDefault="00F65BCA">
            <w:pPr>
              <w:pStyle w:val="TableParagraph"/>
              <w:spacing w:before="8"/>
              <w:rPr>
                <w:rFonts w:ascii="Calibri"/>
                <w:b/>
                <w:sz w:val="6"/>
              </w:rPr>
            </w:pPr>
          </w:p>
          <w:p w14:paraId="2AE9B088"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62262C71" w14:textId="77777777" w:rsidR="00F65BCA" w:rsidRDefault="00F65BCA">
            <w:pPr>
              <w:pStyle w:val="TableParagraph"/>
              <w:spacing w:before="8"/>
              <w:rPr>
                <w:rFonts w:ascii="Calibri"/>
                <w:b/>
                <w:sz w:val="6"/>
              </w:rPr>
            </w:pPr>
          </w:p>
          <w:p w14:paraId="6D83DF7D"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7721A296" w14:textId="77777777" w:rsidR="00F65BCA" w:rsidRDefault="00F65BCA">
            <w:pPr>
              <w:pStyle w:val="TableParagraph"/>
              <w:spacing w:before="8"/>
              <w:rPr>
                <w:rFonts w:ascii="Calibri"/>
                <w:b/>
                <w:sz w:val="6"/>
              </w:rPr>
            </w:pPr>
          </w:p>
          <w:p w14:paraId="60674F26"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76544BFA" w14:textId="77777777" w:rsidR="00F65BCA" w:rsidRDefault="00F65BCA">
            <w:pPr>
              <w:pStyle w:val="TableParagraph"/>
              <w:spacing w:before="11"/>
              <w:rPr>
                <w:rFonts w:ascii="Calibri"/>
                <w:b/>
                <w:sz w:val="6"/>
              </w:rPr>
            </w:pPr>
          </w:p>
          <w:p w14:paraId="1AF3BA99" w14:textId="77777777" w:rsidR="00F65BCA" w:rsidRDefault="00216117">
            <w:pPr>
              <w:pStyle w:val="TableParagraph"/>
              <w:spacing w:before="1" w:line="48" w:lineRule="exact"/>
              <w:ind w:left="11"/>
              <w:rPr>
                <w:rFonts w:ascii="Segoe UI"/>
                <w:sz w:val="5"/>
              </w:rPr>
            </w:pPr>
            <w:r>
              <w:rPr>
                <w:rFonts w:ascii="Segoe UI"/>
                <w:color w:val="231F20"/>
                <w:w w:val="220"/>
                <w:sz w:val="5"/>
              </w:rPr>
              <w:t xml:space="preserve">li       </w:t>
            </w:r>
          </w:p>
        </w:tc>
        <w:tc>
          <w:tcPr>
            <w:tcW w:w="663" w:type="dxa"/>
            <w:tcBorders>
              <w:top w:val="single" w:sz="2" w:space="0" w:color="231F20"/>
              <w:left w:val="single" w:sz="2" w:space="0" w:color="231F20"/>
              <w:bottom w:val="single" w:sz="2" w:space="0" w:color="231F20"/>
              <w:right w:val="single" w:sz="2" w:space="0" w:color="231F20"/>
            </w:tcBorders>
          </w:tcPr>
          <w:p w14:paraId="134A2DF7" w14:textId="77777777" w:rsidR="00F65BCA" w:rsidRDefault="00F65BCA">
            <w:pPr>
              <w:pStyle w:val="TableParagraph"/>
              <w:spacing w:before="8"/>
              <w:rPr>
                <w:rFonts w:ascii="Calibri"/>
                <w:b/>
                <w:sz w:val="6"/>
              </w:rPr>
            </w:pPr>
          </w:p>
          <w:p w14:paraId="1FD220EB"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238"/>
                <w:sz w:val="6"/>
              </w:rPr>
              <w:t xml:space="preserve"> </w:t>
            </w:r>
            <w:r>
              <w:rPr>
                <w:rFonts w:ascii="Calibri"/>
                <w:color w:val="231F20"/>
                <w:w w:val="267"/>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w w:val="249"/>
                <w:sz w:val="6"/>
              </w:rPr>
              <w:t xml:space="preserve">  </w:t>
            </w:r>
            <w:r>
              <w:rPr>
                <w:rFonts w:ascii="Calibri"/>
                <w:color w:val="231F20"/>
                <w:w w:val="296"/>
                <w:sz w:val="6"/>
              </w:rPr>
              <w:t xml:space="preserve"> </w:t>
            </w:r>
            <w:r>
              <w:rPr>
                <w:rFonts w:ascii="Calibri"/>
                <w:color w:val="231F20"/>
                <w:spacing w:val="-1"/>
                <w:w w:val="211"/>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5B459616" w14:textId="77777777" w:rsidR="00F65BCA" w:rsidRDefault="00F65BCA">
            <w:pPr>
              <w:pStyle w:val="TableParagraph"/>
              <w:spacing w:before="8"/>
              <w:rPr>
                <w:rFonts w:ascii="Calibri"/>
                <w:b/>
                <w:sz w:val="6"/>
              </w:rPr>
            </w:pPr>
          </w:p>
          <w:p w14:paraId="179BA51C" w14:textId="77777777" w:rsidR="00F65BCA" w:rsidRDefault="00216117">
            <w:pPr>
              <w:pStyle w:val="TableParagraph"/>
              <w:spacing w:line="51" w:lineRule="exact"/>
              <w:ind w:left="10"/>
              <w:rPr>
                <w:rFonts w:ascii="Calibri"/>
                <w:sz w:val="6"/>
              </w:rPr>
            </w:pPr>
            <w:r>
              <w:rPr>
                <w:rFonts w:ascii="Calibri"/>
                <w:color w:val="231F20"/>
                <w:w w:val="266"/>
                <w:sz w:val="6"/>
              </w:rPr>
              <w:t xml:space="preserve"> </w:t>
            </w:r>
            <w:r>
              <w:rPr>
                <w:rFonts w:ascii="Calibri"/>
                <w:color w:val="231F20"/>
                <w:w w:val="278"/>
                <w:sz w:val="6"/>
              </w:rPr>
              <w:t xml:space="preserve">  </w:t>
            </w:r>
            <w:r>
              <w:rPr>
                <w:rFonts w:ascii="Calibri"/>
                <w:color w:val="231F20"/>
                <w:spacing w:val="-1"/>
                <w:w w:val="282"/>
                <w:sz w:val="6"/>
              </w:rPr>
              <w:t xml:space="preserve"> </w:t>
            </w:r>
            <w:r>
              <w:rPr>
                <w:rFonts w:ascii="Calibri"/>
                <w:color w:val="231F20"/>
                <w:w w:val="257"/>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4919D1DA" w14:textId="77777777" w:rsidR="00F65BCA" w:rsidRDefault="00F65BCA">
            <w:pPr>
              <w:pStyle w:val="TableParagraph"/>
              <w:spacing w:before="8"/>
              <w:rPr>
                <w:rFonts w:ascii="Calibri"/>
                <w:b/>
                <w:sz w:val="6"/>
              </w:rPr>
            </w:pPr>
          </w:p>
          <w:p w14:paraId="7E947840" w14:textId="77777777" w:rsidR="00F65BCA" w:rsidRDefault="00216117">
            <w:pPr>
              <w:pStyle w:val="TableParagraph"/>
              <w:spacing w:line="51" w:lineRule="exact"/>
              <w:ind w:left="9"/>
              <w:rPr>
                <w:rFonts w:ascii="Calibri"/>
                <w:sz w:val="6"/>
              </w:rPr>
            </w:pPr>
            <w:r>
              <w:rPr>
                <w:rFonts w:ascii="Calibri"/>
                <w:color w:val="231F20"/>
                <w:w w:val="296"/>
                <w:sz w:val="6"/>
              </w:rPr>
              <w:t xml:space="preserve"> </w:t>
            </w:r>
            <w:r>
              <w:rPr>
                <w:rFonts w:ascii="Calibri"/>
                <w:color w:val="231F20"/>
                <w:w w:val="237"/>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0D62A36" w14:textId="77777777" w:rsidR="00F65BCA" w:rsidRDefault="00F65BCA">
            <w:pPr>
              <w:pStyle w:val="TableParagraph"/>
              <w:spacing w:before="8"/>
              <w:rPr>
                <w:rFonts w:ascii="Calibri"/>
                <w:b/>
                <w:sz w:val="6"/>
              </w:rPr>
            </w:pPr>
          </w:p>
          <w:p w14:paraId="531E0FF0" w14:textId="77777777" w:rsidR="00F65BCA" w:rsidRDefault="00216117">
            <w:pPr>
              <w:pStyle w:val="TableParagraph"/>
              <w:spacing w:line="51" w:lineRule="exact"/>
              <w:ind w:left="8"/>
              <w:rPr>
                <w:rFonts w:ascii="Calibri"/>
                <w:sz w:val="6"/>
              </w:rPr>
            </w:pPr>
            <w:r>
              <w:rPr>
                <w:rFonts w:ascii="Calibri"/>
                <w:color w:val="231F20"/>
                <w:w w:val="237"/>
                <w:sz w:val="6"/>
              </w:rPr>
              <w:t xml:space="preserve"> </w:t>
            </w:r>
            <w:r>
              <w:rPr>
                <w:rFonts w:ascii="Calibri"/>
                <w:color w:val="231F20"/>
                <w:w w:val="160"/>
                <w:sz w:val="6"/>
              </w:rPr>
              <w:t xml:space="preserve"> </w:t>
            </w:r>
            <w:r>
              <w:rPr>
                <w:rFonts w:ascii="Calibri"/>
                <w:color w:val="231F20"/>
                <w:spacing w:val="-1"/>
                <w:w w:val="105"/>
                <w:sz w:val="6"/>
              </w:rPr>
              <w:t xml:space="preserve"> </w:t>
            </w:r>
            <w:r>
              <w:rPr>
                <w:rFonts w:ascii="Calibri"/>
                <w:color w:val="231F20"/>
                <w:w w:val="207"/>
                <w:sz w:val="6"/>
              </w:rPr>
              <w:t xml:space="preserve"> </w:t>
            </w:r>
            <w:r>
              <w:rPr>
                <w:rFonts w:ascii="Calibri"/>
                <w:color w:val="231F20"/>
                <w:w w:val="228"/>
                <w:sz w:val="6"/>
              </w:rPr>
              <w:t xml:space="preserve"> </w:t>
            </w:r>
            <w:r>
              <w:rPr>
                <w:rFonts w:ascii="Calibri"/>
                <w:color w:val="231F20"/>
                <w:w w:val="179"/>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43565E7A" w14:textId="77777777" w:rsidR="00F65BCA" w:rsidRDefault="00F65BCA">
            <w:pPr>
              <w:pStyle w:val="TableParagraph"/>
              <w:spacing w:before="8"/>
              <w:rPr>
                <w:rFonts w:ascii="Calibri"/>
                <w:b/>
                <w:sz w:val="6"/>
              </w:rPr>
            </w:pPr>
          </w:p>
          <w:p w14:paraId="63734490"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581A24C6" w14:textId="77777777" w:rsidR="00F65BCA" w:rsidRDefault="00F65BCA">
            <w:pPr>
              <w:pStyle w:val="TableParagraph"/>
              <w:spacing w:before="8"/>
              <w:rPr>
                <w:rFonts w:ascii="Calibri"/>
                <w:b/>
                <w:sz w:val="6"/>
              </w:rPr>
            </w:pPr>
          </w:p>
          <w:p w14:paraId="7E019F4F"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1F49A2AC" w14:textId="77777777" w:rsidR="00F65BCA" w:rsidRDefault="00F65BCA">
            <w:pPr>
              <w:pStyle w:val="TableParagraph"/>
              <w:spacing w:before="8"/>
              <w:rPr>
                <w:rFonts w:ascii="Calibri"/>
                <w:b/>
                <w:sz w:val="6"/>
              </w:rPr>
            </w:pPr>
          </w:p>
          <w:p w14:paraId="66F25575"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79C55373" w14:textId="77777777" w:rsidR="00F65BCA" w:rsidRDefault="00F65BCA">
            <w:pPr>
              <w:pStyle w:val="TableParagraph"/>
              <w:spacing w:before="8"/>
              <w:rPr>
                <w:rFonts w:ascii="Calibri"/>
                <w:b/>
                <w:sz w:val="6"/>
              </w:rPr>
            </w:pPr>
          </w:p>
          <w:p w14:paraId="221F5CD6" w14:textId="77777777" w:rsidR="00F65BCA" w:rsidRDefault="00216117">
            <w:pPr>
              <w:pStyle w:val="TableParagraph"/>
              <w:spacing w:line="51" w:lineRule="exact"/>
              <w:ind w:right="17"/>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28395389" w14:textId="77777777" w:rsidR="00F65BCA" w:rsidRDefault="00F65BCA">
            <w:pPr>
              <w:pStyle w:val="TableParagraph"/>
              <w:rPr>
                <w:rFonts w:ascii="Times New Roman"/>
                <w:sz w:val="6"/>
              </w:rPr>
            </w:pPr>
          </w:p>
        </w:tc>
        <w:tc>
          <w:tcPr>
            <w:tcW w:w="278" w:type="dxa"/>
            <w:tcBorders>
              <w:top w:val="single" w:sz="2" w:space="0" w:color="231F20"/>
              <w:left w:val="single" w:sz="2" w:space="0" w:color="231F20"/>
              <w:bottom w:val="single" w:sz="2" w:space="0" w:color="231F20"/>
              <w:right w:val="single" w:sz="2" w:space="0" w:color="231F20"/>
            </w:tcBorders>
          </w:tcPr>
          <w:p w14:paraId="3A4687C9"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3ED3FBC4" w14:textId="77777777" w:rsidR="00F65BCA" w:rsidRDefault="00F65BCA">
            <w:pPr>
              <w:pStyle w:val="TableParagraph"/>
              <w:spacing w:before="8"/>
              <w:rPr>
                <w:rFonts w:ascii="Calibri"/>
                <w:b/>
                <w:sz w:val="6"/>
              </w:rPr>
            </w:pPr>
          </w:p>
          <w:p w14:paraId="656E6E8F"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5894546A"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4D7758FF" w14:textId="77777777" w:rsidR="00F65BCA" w:rsidRDefault="00F65BCA">
            <w:pPr>
              <w:pStyle w:val="TableParagraph"/>
              <w:rPr>
                <w:rFonts w:ascii="Times New Roman"/>
                <w:sz w:val="6"/>
              </w:rPr>
            </w:pPr>
          </w:p>
        </w:tc>
        <w:tc>
          <w:tcPr>
            <w:tcW w:w="311" w:type="dxa"/>
            <w:tcBorders>
              <w:top w:val="single" w:sz="2" w:space="0" w:color="231F20"/>
              <w:left w:val="single" w:sz="2" w:space="0" w:color="231F20"/>
              <w:bottom w:val="single" w:sz="2" w:space="0" w:color="231F20"/>
              <w:right w:val="single" w:sz="2" w:space="0" w:color="231F20"/>
            </w:tcBorders>
          </w:tcPr>
          <w:p w14:paraId="769E1D74"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2ADCDDC8"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76351832" w14:textId="77777777" w:rsidR="00F65BCA" w:rsidRDefault="00F65BCA">
            <w:pPr>
              <w:pStyle w:val="TableParagraph"/>
              <w:rPr>
                <w:rFonts w:ascii="Times New Roman"/>
                <w:sz w:val="6"/>
              </w:rPr>
            </w:pPr>
          </w:p>
        </w:tc>
        <w:tc>
          <w:tcPr>
            <w:tcW w:w="296" w:type="dxa"/>
            <w:tcBorders>
              <w:top w:val="single" w:sz="2" w:space="0" w:color="231F20"/>
              <w:left w:val="single" w:sz="2" w:space="0" w:color="231F20"/>
              <w:bottom w:val="single" w:sz="2" w:space="0" w:color="231F20"/>
              <w:right w:val="single" w:sz="2" w:space="0" w:color="231F20"/>
            </w:tcBorders>
          </w:tcPr>
          <w:p w14:paraId="6DEE2E7F" w14:textId="77777777" w:rsidR="00F65BCA" w:rsidRDefault="00F65BCA">
            <w:pPr>
              <w:pStyle w:val="TableParagraph"/>
              <w:rPr>
                <w:rFonts w:ascii="Times New Roman"/>
                <w:sz w:val="6"/>
              </w:rPr>
            </w:pPr>
          </w:p>
        </w:tc>
        <w:tc>
          <w:tcPr>
            <w:tcW w:w="392" w:type="dxa"/>
            <w:tcBorders>
              <w:top w:val="single" w:sz="2" w:space="0" w:color="231F20"/>
              <w:left w:val="single" w:sz="2" w:space="0" w:color="231F20"/>
              <w:bottom w:val="single" w:sz="2" w:space="0" w:color="231F20"/>
              <w:right w:val="single" w:sz="2" w:space="0" w:color="231F20"/>
            </w:tcBorders>
          </w:tcPr>
          <w:p w14:paraId="657AB38C" w14:textId="77777777" w:rsidR="00F65BCA" w:rsidRDefault="00F65BCA">
            <w:pPr>
              <w:pStyle w:val="TableParagraph"/>
              <w:rPr>
                <w:rFonts w:ascii="Times New Roman"/>
                <w:sz w:val="6"/>
              </w:rPr>
            </w:pPr>
          </w:p>
        </w:tc>
        <w:tc>
          <w:tcPr>
            <w:tcW w:w="428" w:type="dxa"/>
            <w:tcBorders>
              <w:top w:val="single" w:sz="2" w:space="0" w:color="231F20"/>
              <w:left w:val="single" w:sz="2" w:space="0" w:color="231F20"/>
              <w:bottom w:val="single" w:sz="2" w:space="0" w:color="231F20"/>
            </w:tcBorders>
          </w:tcPr>
          <w:p w14:paraId="2F46F3FA"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500A89CC"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F5537FE"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4351DFCB"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7034464"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13637B69" w14:textId="77777777" w:rsidR="00F65BCA" w:rsidRDefault="00F65BCA">
            <w:pPr>
              <w:pStyle w:val="TableParagraph"/>
              <w:rPr>
                <w:rFonts w:ascii="Times New Roman"/>
                <w:sz w:val="6"/>
              </w:rPr>
            </w:pPr>
          </w:p>
        </w:tc>
      </w:tr>
      <w:tr w:rsidR="00F65BCA" w14:paraId="4F329D55" w14:textId="77777777">
        <w:trPr>
          <w:trHeight w:val="153"/>
        </w:trPr>
        <w:tc>
          <w:tcPr>
            <w:tcW w:w="166" w:type="dxa"/>
            <w:tcBorders>
              <w:top w:val="single" w:sz="2" w:space="0" w:color="231F20"/>
              <w:bottom w:val="single" w:sz="2" w:space="0" w:color="231F20"/>
              <w:right w:val="single" w:sz="2" w:space="0" w:color="231F20"/>
            </w:tcBorders>
          </w:tcPr>
          <w:p w14:paraId="1CE34B2D" w14:textId="77777777" w:rsidR="00F65BCA" w:rsidRDefault="00F65BCA">
            <w:pPr>
              <w:pStyle w:val="TableParagraph"/>
              <w:spacing w:before="8"/>
              <w:rPr>
                <w:rFonts w:ascii="Calibri"/>
                <w:b/>
                <w:sz w:val="6"/>
              </w:rPr>
            </w:pPr>
          </w:p>
          <w:p w14:paraId="56C7CE7E"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4A49AD1C" w14:textId="77777777" w:rsidR="00F65BCA" w:rsidRDefault="00F65BCA">
            <w:pPr>
              <w:pStyle w:val="TableParagraph"/>
              <w:spacing w:before="8"/>
              <w:rPr>
                <w:rFonts w:ascii="Calibri"/>
                <w:b/>
                <w:sz w:val="6"/>
              </w:rPr>
            </w:pPr>
          </w:p>
          <w:p w14:paraId="0782F640"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462D9804" w14:textId="77777777" w:rsidR="00F65BCA" w:rsidRDefault="00F65BCA">
            <w:pPr>
              <w:pStyle w:val="TableParagraph"/>
              <w:spacing w:before="8"/>
              <w:rPr>
                <w:rFonts w:ascii="Calibri"/>
                <w:b/>
                <w:sz w:val="6"/>
              </w:rPr>
            </w:pPr>
          </w:p>
          <w:p w14:paraId="5E2DB615"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1AAF1B4C" w14:textId="77777777" w:rsidR="00F65BCA" w:rsidRDefault="00F65BCA">
            <w:pPr>
              <w:pStyle w:val="TableParagraph"/>
              <w:spacing w:before="8"/>
              <w:rPr>
                <w:rFonts w:ascii="Calibri"/>
                <w:b/>
                <w:sz w:val="6"/>
              </w:rPr>
            </w:pPr>
          </w:p>
          <w:p w14:paraId="4AB6FA04"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68A24943" w14:textId="77777777" w:rsidR="00F65BCA" w:rsidRDefault="00F65BCA">
            <w:pPr>
              <w:pStyle w:val="TableParagraph"/>
              <w:spacing w:before="8"/>
              <w:rPr>
                <w:rFonts w:ascii="Calibri"/>
                <w:b/>
                <w:sz w:val="6"/>
              </w:rPr>
            </w:pPr>
          </w:p>
          <w:p w14:paraId="34E17911"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48EE3FF7" w14:textId="77777777" w:rsidR="00F65BCA" w:rsidRDefault="00F65BCA">
            <w:pPr>
              <w:pStyle w:val="TableParagraph"/>
              <w:spacing w:before="8"/>
              <w:rPr>
                <w:rFonts w:ascii="Calibri"/>
                <w:b/>
                <w:sz w:val="6"/>
              </w:rPr>
            </w:pPr>
          </w:p>
          <w:p w14:paraId="7718C8CF"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0CDCA47D" w14:textId="77777777" w:rsidR="00F65BCA" w:rsidRDefault="00F65BCA">
            <w:pPr>
              <w:pStyle w:val="TableParagraph"/>
              <w:spacing w:before="11"/>
              <w:rPr>
                <w:rFonts w:ascii="Calibri"/>
                <w:b/>
                <w:sz w:val="6"/>
              </w:rPr>
            </w:pPr>
          </w:p>
          <w:p w14:paraId="079F097C" w14:textId="77777777" w:rsidR="00F65BCA" w:rsidRDefault="00216117">
            <w:pPr>
              <w:pStyle w:val="TableParagraph"/>
              <w:spacing w:before="1" w:line="48" w:lineRule="exact"/>
              <w:ind w:left="11"/>
              <w:rPr>
                <w:rFonts w:ascii="Segoe UI"/>
                <w:sz w:val="5"/>
              </w:rPr>
            </w:pPr>
            <w:r>
              <w:rPr>
                <w:rFonts w:ascii="Segoe UI"/>
                <w:color w:val="231F20"/>
                <w:w w:val="180"/>
                <w:sz w:val="5"/>
              </w:rPr>
              <w:t xml:space="preserve">li </w:t>
            </w:r>
            <w:r>
              <w:rPr>
                <w:rFonts w:ascii="Segoe UI"/>
                <w:color w:val="231F20"/>
                <w:w w:val="226"/>
                <w:sz w:val="5"/>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7B3B84C1" w14:textId="77777777" w:rsidR="00F65BCA" w:rsidRDefault="00F65BCA">
            <w:pPr>
              <w:pStyle w:val="TableParagraph"/>
              <w:spacing w:before="8"/>
              <w:rPr>
                <w:rFonts w:ascii="Calibri"/>
                <w:b/>
                <w:sz w:val="6"/>
              </w:rPr>
            </w:pPr>
          </w:p>
          <w:p w14:paraId="3560CE7C" w14:textId="77777777" w:rsidR="00F65BCA" w:rsidRDefault="00216117">
            <w:pPr>
              <w:pStyle w:val="TableParagraph"/>
              <w:spacing w:line="51" w:lineRule="exact"/>
              <w:ind w:left="10"/>
              <w:rPr>
                <w:rFonts w:ascii="Calibri"/>
                <w:sz w:val="6"/>
              </w:rPr>
            </w:pPr>
            <w:r>
              <w:rPr>
                <w:rFonts w:ascii="Calibri"/>
                <w:color w:val="231F20"/>
                <w:spacing w:val="-1"/>
                <w:w w:val="260"/>
                <w:sz w:val="6"/>
              </w:rPr>
              <w:t xml:space="preserve"> </w:t>
            </w:r>
            <w:r>
              <w:rPr>
                <w:rFonts w:ascii="Calibri"/>
                <w:color w:val="231F20"/>
                <w:spacing w:val="-1"/>
                <w:w w:val="211"/>
                <w:sz w:val="6"/>
              </w:rPr>
              <w:t xml:space="preserve"> </w:t>
            </w:r>
            <w:r>
              <w:rPr>
                <w:rFonts w:ascii="Calibri"/>
                <w:color w:val="231F20"/>
                <w:w w:val="233"/>
                <w:sz w:val="6"/>
              </w:rPr>
              <w:t xml:space="preserve">  </w:t>
            </w:r>
            <w:r>
              <w:rPr>
                <w:rFonts w:ascii="Calibri"/>
                <w:color w:val="231F20"/>
                <w:w w:val="189"/>
                <w:sz w:val="6"/>
              </w:rPr>
              <w:t xml:space="preserve">  </w:t>
            </w:r>
            <w:r>
              <w:rPr>
                <w:rFonts w:ascii="Calibri"/>
                <w:color w:val="231F20"/>
                <w:spacing w:val="-1"/>
                <w:w w:val="211"/>
                <w:sz w:val="6"/>
              </w:rPr>
              <w:t xml:space="preserve"> </w:t>
            </w:r>
            <w:r>
              <w:rPr>
                <w:rFonts w:ascii="Calibri"/>
                <w:color w:val="231F20"/>
                <w:w w:val="238"/>
                <w:sz w:val="6"/>
              </w:rPr>
              <w:t xml:space="preserve"> </w:t>
            </w:r>
            <w:r>
              <w:rPr>
                <w:rFonts w:ascii="Calibri"/>
                <w:color w:val="231F20"/>
                <w:w w:val="233"/>
                <w:sz w:val="6"/>
              </w:rPr>
              <w:t xml:space="preserve"> </w:t>
            </w:r>
            <w:r>
              <w:rPr>
                <w:rFonts w:ascii="Calibri"/>
                <w:color w:val="231F20"/>
                <w:spacing w:val="-1"/>
                <w:w w:val="245"/>
                <w:sz w:val="6"/>
              </w:rPr>
              <w:t xml:space="preserve"> </w:t>
            </w:r>
            <w:r>
              <w:rPr>
                <w:rFonts w:ascii="Calibri"/>
                <w:color w:val="231F20"/>
                <w:w w:val="189"/>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5DDE33F3" w14:textId="77777777" w:rsidR="00F65BCA" w:rsidRDefault="00F65BCA">
            <w:pPr>
              <w:pStyle w:val="TableParagraph"/>
              <w:spacing w:before="8"/>
              <w:rPr>
                <w:rFonts w:ascii="Calibri"/>
                <w:b/>
                <w:sz w:val="6"/>
              </w:rPr>
            </w:pPr>
          </w:p>
          <w:p w14:paraId="307BE75E" w14:textId="77777777" w:rsidR="00F65BCA" w:rsidRDefault="00216117">
            <w:pPr>
              <w:pStyle w:val="TableParagraph"/>
              <w:spacing w:line="51" w:lineRule="exact"/>
              <w:ind w:left="9"/>
              <w:rPr>
                <w:rFonts w:ascii="Calibri"/>
                <w:sz w:val="6"/>
              </w:rPr>
            </w:pPr>
            <w:r>
              <w:rPr>
                <w:rFonts w:ascii="Calibri"/>
                <w:color w:val="231F20"/>
                <w:w w:val="237"/>
                <w:sz w:val="6"/>
              </w:rPr>
              <w:t xml:space="preserve"> </w:t>
            </w:r>
            <w:r>
              <w:rPr>
                <w:rFonts w:ascii="Calibri"/>
                <w:color w:val="231F20"/>
                <w:spacing w:val="-1"/>
                <w:w w:val="224"/>
                <w:sz w:val="6"/>
              </w:rPr>
              <w:t xml:space="preserve"> </w:t>
            </w:r>
            <w:r>
              <w:rPr>
                <w:rFonts w:ascii="Calibri"/>
                <w:color w:val="231F20"/>
                <w:w w:val="295"/>
                <w:sz w:val="6"/>
              </w:rPr>
              <w:t xml:space="preserve"> </w:t>
            </w:r>
            <w:r>
              <w:rPr>
                <w:rFonts w:ascii="Calibri"/>
                <w:color w:val="231F20"/>
                <w:w w:val="257"/>
                <w:sz w:val="6"/>
              </w:rPr>
              <w:t xml:space="preserve">  </w:t>
            </w:r>
            <w:r>
              <w:rPr>
                <w:rFonts w:ascii="Calibri"/>
                <w:color w:val="231F20"/>
                <w:w w:val="264"/>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1C67BED1" w14:textId="77777777" w:rsidR="00F65BCA" w:rsidRDefault="00F65BCA">
            <w:pPr>
              <w:pStyle w:val="TableParagraph"/>
              <w:spacing w:before="8"/>
              <w:rPr>
                <w:rFonts w:ascii="Calibri"/>
                <w:b/>
                <w:sz w:val="6"/>
              </w:rPr>
            </w:pPr>
          </w:p>
          <w:p w14:paraId="53101E35" w14:textId="77777777" w:rsidR="00F65BCA" w:rsidRDefault="00216117">
            <w:pPr>
              <w:pStyle w:val="TableParagraph"/>
              <w:spacing w:line="51" w:lineRule="exact"/>
              <w:ind w:left="8"/>
              <w:rPr>
                <w:rFonts w:ascii="Calibri"/>
                <w:sz w:val="6"/>
              </w:rPr>
            </w:pPr>
            <w:r>
              <w:rPr>
                <w:rFonts w:ascii="Calibri"/>
                <w:color w:val="231F20"/>
                <w:w w:val="237"/>
                <w:sz w:val="6"/>
              </w:rPr>
              <w:t xml:space="preserve"> </w:t>
            </w:r>
            <w:r>
              <w:rPr>
                <w:rFonts w:ascii="Calibri"/>
                <w:color w:val="231F20"/>
                <w:w w:val="266"/>
                <w:sz w:val="6"/>
              </w:rPr>
              <w:t xml:space="preserve"> </w:t>
            </w:r>
            <w:r>
              <w:rPr>
                <w:rFonts w:ascii="Calibri"/>
                <w:color w:val="231F20"/>
                <w:w w:val="236"/>
                <w:sz w:val="6"/>
              </w:rPr>
              <w:t xml:space="preserve"> </w:t>
            </w:r>
            <w:r>
              <w:rPr>
                <w:rFonts w:ascii="Calibri"/>
                <w:color w:val="231F20"/>
                <w:spacing w:val="-1"/>
                <w:w w:val="236"/>
                <w:sz w:val="6"/>
              </w:rPr>
              <w:t xml:space="preserve"> </w:t>
            </w:r>
            <w:r>
              <w:rPr>
                <w:rFonts w:ascii="Calibri"/>
                <w:color w:val="231F20"/>
                <w:w w:val="296"/>
                <w:sz w:val="6"/>
              </w:rPr>
              <w:t xml:space="preserve"> </w:t>
            </w:r>
            <w:r>
              <w:rPr>
                <w:rFonts w:ascii="Calibri"/>
                <w:color w:val="231F20"/>
                <w:spacing w:val="-1"/>
                <w:w w:val="224"/>
                <w:sz w:val="6"/>
              </w:rPr>
              <w:t xml:space="preserve"> </w:t>
            </w:r>
            <w:r>
              <w:rPr>
                <w:rFonts w:ascii="Calibri"/>
                <w:color w:val="231F20"/>
                <w:w w:val="249"/>
                <w:sz w:val="6"/>
              </w:rPr>
              <w:t xml:space="preserve"> </w:t>
            </w:r>
            <w:r>
              <w:rPr>
                <w:rFonts w:ascii="Times New Roman"/>
                <w:color w:val="231F20"/>
                <w:spacing w:val="-1"/>
                <w:sz w:val="6"/>
              </w:rPr>
              <w:t xml:space="preserve"> </w:t>
            </w:r>
            <w:r>
              <w:rPr>
                <w:rFonts w:ascii="Calibri"/>
                <w:color w:val="231F20"/>
                <w:w w:val="115"/>
                <w:sz w:val="6"/>
              </w:rPr>
              <w:t xml:space="preserve">   </w:t>
            </w:r>
            <w:r>
              <w:rPr>
                <w:rFonts w:ascii="Times New Roman"/>
                <w:color w:val="231F20"/>
                <w:spacing w:val="-1"/>
                <w:sz w:val="6"/>
              </w:rPr>
              <w:t xml:space="preserve"> </w:t>
            </w:r>
            <w:r>
              <w:rPr>
                <w:rFonts w:ascii="Calibri"/>
                <w:color w:val="231F20"/>
                <w:spacing w:val="-1"/>
                <w:w w:val="224"/>
                <w:sz w:val="6"/>
              </w:rPr>
              <w:t xml:space="preserve">  </w:t>
            </w:r>
            <w:r>
              <w:rPr>
                <w:rFonts w:ascii="Calibri"/>
                <w:color w:val="231F20"/>
                <w:w w:val="237"/>
                <w:sz w:val="6"/>
              </w:rPr>
              <w:t xml:space="preserve"> </w:t>
            </w:r>
            <w:r>
              <w:rPr>
                <w:rFonts w:ascii="Calibri"/>
                <w:color w:val="231F20"/>
                <w:spacing w:val="-1"/>
                <w:w w:val="224"/>
                <w:sz w:val="6"/>
              </w:rPr>
              <w:t xml:space="preserve"> </w:t>
            </w:r>
            <w:r>
              <w:rPr>
                <w:rFonts w:ascii="Calibri"/>
                <w:color w:val="231F20"/>
                <w:w w:val="224"/>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C63BFA1" w14:textId="77777777" w:rsidR="00F65BCA" w:rsidRDefault="00F65BCA">
            <w:pPr>
              <w:pStyle w:val="TableParagraph"/>
              <w:spacing w:before="8"/>
              <w:rPr>
                <w:rFonts w:ascii="Calibri"/>
                <w:b/>
                <w:sz w:val="6"/>
              </w:rPr>
            </w:pPr>
          </w:p>
          <w:p w14:paraId="09BB5E4E" w14:textId="77777777" w:rsidR="00F65BCA" w:rsidRDefault="00216117">
            <w:pPr>
              <w:pStyle w:val="TableParagraph"/>
              <w:spacing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741D8F81" w14:textId="77777777" w:rsidR="00F65BCA" w:rsidRDefault="00F65BCA">
            <w:pPr>
              <w:pStyle w:val="TableParagraph"/>
              <w:spacing w:before="8"/>
              <w:rPr>
                <w:rFonts w:ascii="Calibri"/>
                <w:b/>
                <w:sz w:val="6"/>
              </w:rPr>
            </w:pPr>
          </w:p>
          <w:p w14:paraId="2D173868"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6EDBC106" w14:textId="77777777" w:rsidR="00F65BCA" w:rsidRDefault="00F65BCA">
            <w:pPr>
              <w:pStyle w:val="TableParagraph"/>
              <w:spacing w:before="8"/>
              <w:rPr>
                <w:rFonts w:ascii="Calibri"/>
                <w:b/>
                <w:sz w:val="6"/>
              </w:rPr>
            </w:pPr>
          </w:p>
          <w:p w14:paraId="7F88FBD0"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4531457C" w14:textId="77777777" w:rsidR="00F65BCA" w:rsidRDefault="00F65BCA">
            <w:pPr>
              <w:pStyle w:val="TableParagraph"/>
              <w:spacing w:before="8"/>
              <w:rPr>
                <w:rFonts w:ascii="Calibri"/>
                <w:b/>
                <w:sz w:val="6"/>
              </w:rPr>
            </w:pPr>
          </w:p>
          <w:p w14:paraId="0E4387AF"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4FB8EBB0" w14:textId="77777777" w:rsidR="00F65BCA" w:rsidRDefault="00F65BCA">
            <w:pPr>
              <w:pStyle w:val="TableParagraph"/>
              <w:spacing w:before="8"/>
              <w:rPr>
                <w:rFonts w:ascii="Calibri"/>
                <w:b/>
                <w:sz w:val="6"/>
              </w:rPr>
            </w:pPr>
          </w:p>
          <w:p w14:paraId="043691BD"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3C81A81F" w14:textId="77777777" w:rsidR="00F65BCA" w:rsidRDefault="00F65BCA">
            <w:pPr>
              <w:pStyle w:val="TableParagraph"/>
              <w:spacing w:before="8"/>
              <w:rPr>
                <w:rFonts w:ascii="Calibri"/>
                <w:b/>
                <w:sz w:val="6"/>
              </w:rPr>
            </w:pPr>
          </w:p>
          <w:p w14:paraId="551B8A66"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1C993C6E" w14:textId="77777777" w:rsidR="00F65BCA" w:rsidRDefault="00F65BCA">
            <w:pPr>
              <w:pStyle w:val="TableParagraph"/>
              <w:spacing w:before="8"/>
              <w:rPr>
                <w:rFonts w:ascii="Calibri"/>
                <w:b/>
                <w:sz w:val="6"/>
              </w:rPr>
            </w:pPr>
          </w:p>
          <w:p w14:paraId="3DB0057A" w14:textId="77777777" w:rsidR="00F65BCA" w:rsidRDefault="00216117">
            <w:pPr>
              <w:pStyle w:val="TableParagraph"/>
              <w:spacing w:line="51" w:lineRule="exact"/>
              <w:ind w:right="5"/>
              <w:jc w:val="center"/>
              <w:rPr>
                <w:rFonts w:ascii="Calibri"/>
                <w:sz w:val="6"/>
              </w:rPr>
            </w:pPr>
            <w:r>
              <w:rPr>
                <w:rFonts w:ascii="Calibri"/>
                <w:color w:val="231F20"/>
                <w:w w:val="239"/>
                <w:sz w:val="6"/>
              </w:rPr>
              <w:t xml:space="preserve">  </w:t>
            </w:r>
            <w:r>
              <w:rPr>
                <w:rFonts w:ascii="Calibri"/>
                <w:color w:val="231F20"/>
                <w:spacing w:val="-1"/>
                <w:w w:val="241"/>
                <w:sz w:val="6"/>
              </w:rPr>
              <w:t xml:space="preserve"> </w:t>
            </w:r>
            <w:r>
              <w:rPr>
                <w:rFonts w:ascii="Calibri"/>
                <w:color w:val="231F20"/>
                <w:w w:val="143"/>
                <w:sz w:val="6"/>
              </w:rPr>
              <w:t xml:space="preserve"> </w:t>
            </w:r>
            <w:r>
              <w:rPr>
                <w:rFonts w:ascii="Calibri"/>
                <w:color w:val="231F20"/>
                <w:spacing w:val="-1"/>
                <w:w w:val="143"/>
                <w:sz w:val="6"/>
              </w:rPr>
              <w:t xml:space="preserve"> </w:t>
            </w:r>
            <w:r>
              <w:rPr>
                <w:rFonts w:ascii="Calibri"/>
                <w:color w:val="231F20"/>
                <w:w w:val="241"/>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24CEF808" w14:textId="77777777" w:rsidR="00F65BCA" w:rsidRDefault="00F65BCA">
            <w:pPr>
              <w:pStyle w:val="TableParagraph"/>
              <w:spacing w:before="8"/>
              <w:rPr>
                <w:rFonts w:ascii="Calibri"/>
                <w:b/>
                <w:sz w:val="6"/>
              </w:rPr>
            </w:pPr>
          </w:p>
          <w:p w14:paraId="330E1529"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3E4E9FF5" w14:textId="77777777" w:rsidR="00F65BCA" w:rsidRDefault="00F65BCA">
            <w:pPr>
              <w:pStyle w:val="TableParagraph"/>
              <w:spacing w:before="8"/>
              <w:rPr>
                <w:rFonts w:ascii="Calibri"/>
                <w:b/>
                <w:sz w:val="6"/>
              </w:rPr>
            </w:pPr>
          </w:p>
          <w:p w14:paraId="695B6094"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71950127" w14:textId="77777777" w:rsidR="00F65BCA" w:rsidRDefault="00F65BCA">
            <w:pPr>
              <w:pStyle w:val="TableParagraph"/>
              <w:spacing w:before="8"/>
              <w:rPr>
                <w:rFonts w:ascii="Calibri"/>
                <w:b/>
                <w:sz w:val="6"/>
              </w:rPr>
            </w:pPr>
          </w:p>
          <w:p w14:paraId="7C5A2AE1" w14:textId="77777777" w:rsidR="00F65BCA" w:rsidRDefault="00216117">
            <w:pPr>
              <w:pStyle w:val="TableParagraph"/>
              <w:spacing w:line="51" w:lineRule="exact"/>
              <w:ind w:right="5"/>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2A2BE15E" w14:textId="77777777" w:rsidR="00F65BCA" w:rsidRDefault="00F65BCA">
            <w:pPr>
              <w:pStyle w:val="TableParagraph"/>
              <w:spacing w:before="8"/>
              <w:rPr>
                <w:rFonts w:ascii="Calibri"/>
                <w:b/>
                <w:sz w:val="6"/>
              </w:rPr>
            </w:pPr>
          </w:p>
          <w:p w14:paraId="70718EB7"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4F7CEBD4" w14:textId="77777777" w:rsidR="00F65BCA" w:rsidRDefault="00F65BCA">
            <w:pPr>
              <w:pStyle w:val="TableParagraph"/>
              <w:spacing w:before="8"/>
              <w:rPr>
                <w:rFonts w:ascii="Calibri"/>
                <w:b/>
                <w:sz w:val="6"/>
              </w:rPr>
            </w:pPr>
          </w:p>
          <w:p w14:paraId="06700CD8" w14:textId="77777777" w:rsidR="00F65BCA" w:rsidRDefault="00216117">
            <w:pPr>
              <w:pStyle w:val="TableParagraph"/>
              <w:spacing w:line="51" w:lineRule="exact"/>
              <w:ind w:right="24"/>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13A9725E" w14:textId="77777777" w:rsidR="00F65BCA" w:rsidRDefault="00F65BCA">
            <w:pPr>
              <w:pStyle w:val="TableParagraph"/>
              <w:spacing w:before="8"/>
              <w:rPr>
                <w:rFonts w:ascii="Calibri"/>
                <w:b/>
                <w:sz w:val="6"/>
              </w:rPr>
            </w:pPr>
          </w:p>
          <w:p w14:paraId="669546F4"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07CFF16F" w14:textId="77777777" w:rsidR="00F65BCA" w:rsidRDefault="00F65BCA">
            <w:pPr>
              <w:pStyle w:val="TableParagraph"/>
              <w:spacing w:before="8"/>
              <w:rPr>
                <w:rFonts w:ascii="Calibri"/>
                <w:b/>
                <w:sz w:val="6"/>
              </w:rPr>
            </w:pPr>
          </w:p>
          <w:p w14:paraId="4F6DED4A"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4735120A" w14:textId="77777777" w:rsidR="00F65BCA" w:rsidRDefault="00F65BCA">
            <w:pPr>
              <w:pStyle w:val="TableParagraph"/>
              <w:spacing w:before="8"/>
              <w:rPr>
                <w:rFonts w:ascii="Calibri"/>
                <w:b/>
                <w:sz w:val="6"/>
              </w:rPr>
            </w:pPr>
          </w:p>
          <w:p w14:paraId="5A01E186" w14:textId="77777777" w:rsidR="00F65BCA" w:rsidRDefault="00216117">
            <w:pPr>
              <w:pStyle w:val="TableParagraph"/>
              <w:spacing w:line="51" w:lineRule="exact"/>
              <w:ind w:left="5"/>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1535ADFF"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4760BAB8"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64E80FB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5AED3E4"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F039C76"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18960B0C" w14:textId="77777777" w:rsidR="00F65BCA" w:rsidRDefault="00F65BCA">
            <w:pPr>
              <w:pStyle w:val="TableParagraph"/>
              <w:rPr>
                <w:rFonts w:ascii="Times New Roman"/>
                <w:sz w:val="6"/>
              </w:rPr>
            </w:pPr>
          </w:p>
        </w:tc>
      </w:tr>
      <w:tr w:rsidR="00F65BCA" w14:paraId="32B19148" w14:textId="77777777">
        <w:trPr>
          <w:trHeight w:val="153"/>
        </w:trPr>
        <w:tc>
          <w:tcPr>
            <w:tcW w:w="166" w:type="dxa"/>
            <w:tcBorders>
              <w:top w:val="single" w:sz="2" w:space="0" w:color="231F20"/>
              <w:bottom w:val="single" w:sz="2" w:space="0" w:color="231F20"/>
              <w:right w:val="single" w:sz="2" w:space="0" w:color="231F20"/>
            </w:tcBorders>
          </w:tcPr>
          <w:p w14:paraId="63CA94C7" w14:textId="77777777" w:rsidR="00F65BCA" w:rsidRDefault="00F65BCA">
            <w:pPr>
              <w:pStyle w:val="TableParagraph"/>
              <w:spacing w:before="8"/>
              <w:rPr>
                <w:rFonts w:ascii="Calibri"/>
                <w:b/>
                <w:sz w:val="6"/>
              </w:rPr>
            </w:pPr>
          </w:p>
          <w:p w14:paraId="6DBA7A65"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25F6684F" w14:textId="77777777" w:rsidR="00F65BCA" w:rsidRDefault="00F65BCA">
            <w:pPr>
              <w:pStyle w:val="TableParagraph"/>
              <w:spacing w:before="8"/>
              <w:rPr>
                <w:rFonts w:ascii="Calibri"/>
                <w:b/>
                <w:sz w:val="6"/>
              </w:rPr>
            </w:pPr>
          </w:p>
          <w:p w14:paraId="790C5CA9"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6A4BC7E9" w14:textId="77777777" w:rsidR="00F65BCA" w:rsidRDefault="00F65BCA">
            <w:pPr>
              <w:pStyle w:val="TableParagraph"/>
              <w:spacing w:before="8"/>
              <w:rPr>
                <w:rFonts w:ascii="Calibri"/>
                <w:b/>
                <w:sz w:val="6"/>
              </w:rPr>
            </w:pPr>
          </w:p>
          <w:p w14:paraId="7841340C"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78769A9B" w14:textId="77777777" w:rsidR="00F65BCA" w:rsidRDefault="00F65BCA">
            <w:pPr>
              <w:pStyle w:val="TableParagraph"/>
              <w:spacing w:before="8"/>
              <w:rPr>
                <w:rFonts w:ascii="Calibri"/>
                <w:b/>
                <w:sz w:val="6"/>
              </w:rPr>
            </w:pPr>
          </w:p>
          <w:p w14:paraId="79161C06"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603E0BC9" w14:textId="77777777" w:rsidR="00F65BCA" w:rsidRDefault="00F65BCA">
            <w:pPr>
              <w:pStyle w:val="TableParagraph"/>
              <w:spacing w:before="8"/>
              <w:rPr>
                <w:rFonts w:ascii="Calibri"/>
                <w:b/>
                <w:sz w:val="6"/>
              </w:rPr>
            </w:pPr>
          </w:p>
          <w:p w14:paraId="475716BB"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730FCF4F" w14:textId="77777777" w:rsidR="00F65BCA" w:rsidRDefault="00F65BCA">
            <w:pPr>
              <w:pStyle w:val="TableParagraph"/>
              <w:spacing w:before="8"/>
              <w:rPr>
                <w:rFonts w:ascii="Calibri"/>
                <w:b/>
                <w:sz w:val="6"/>
              </w:rPr>
            </w:pPr>
          </w:p>
          <w:p w14:paraId="4090FF90"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15A90684" w14:textId="77777777" w:rsidR="00F65BCA" w:rsidRDefault="00F65BCA">
            <w:pPr>
              <w:pStyle w:val="TableParagraph"/>
              <w:spacing w:before="11"/>
              <w:rPr>
                <w:rFonts w:ascii="Calibri"/>
                <w:b/>
                <w:sz w:val="6"/>
              </w:rPr>
            </w:pPr>
          </w:p>
          <w:p w14:paraId="106BA935" w14:textId="77777777" w:rsidR="00F65BCA" w:rsidRDefault="00216117">
            <w:pPr>
              <w:pStyle w:val="TableParagraph"/>
              <w:spacing w:before="1" w:line="48" w:lineRule="exact"/>
              <w:ind w:left="11"/>
              <w:rPr>
                <w:rFonts w:ascii="Segoe UI"/>
                <w:sz w:val="5"/>
              </w:rPr>
            </w:pPr>
            <w:r>
              <w:rPr>
                <w:rFonts w:ascii="Segoe UI"/>
                <w:color w:val="231F20"/>
                <w:w w:val="220"/>
                <w:sz w:val="5"/>
              </w:rPr>
              <w:t xml:space="preserve">li       </w:t>
            </w:r>
          </w:p>
        </w:tc>
        <w:tc>
          <w:tcPr>
            <w:tcW w:w="663" w:type="dxa"/>
            <w:tcBorders>
              <w:top w:val="single" w:sz="2" w:space="0" w:color="231F20"/>
              <w:left w:val="single" w:sz="2" w:space="0" w:color="231F20"/>
              <w:bottom w:val="single" w:sz="2" w:space="0" w:color="231F20"/>
              <w:right w:val="single" w:sz="2" w:space="0" w:color="231F20"/>
            </w:tcBorders>
          </w:tcPr>
          <w:p w14:paraId="0D471306" w14:textId="77777777" w:rsidR="00F65BCA" w:rsidRDefault="00F65BCA">
            <w:pPr>
              <w:pStyle w:val="TableParagraph"/>
              <w:spacing w:before="8"/>
              <w:rPr>
                <w:rFonts w:ascii="Calibri"/>
                <w:b/>
                <w:sz w:val="6"/>
              </w:rPr>
            </w:pPr>
          </w:p>
          <w:p w14:paraId="7AB18C91" w14:textId="77777777" w:rsidR="00F65BCA" w:rsidRDefault="00216117">
            <w:pPr>
              <w:pStyle w:val="TableParagraph"/>
              <w:spacing w:line="51" w:lineRule="exact"/>
              <w:ind w:left="10"/>
              <w:rPr>
                <w:rFonts w:ascii="Calibri"/>
                <w:sz w:val="6"/>
              </w:rPr>
            </w:pPr>
            <w:r>
              <w:rPr>
                <w:rFonts w:ascii="Calibri"/>
                <w:color w:val="231F20"/>
                <w:spacing w:val="-1"/>
                <w:w w:val="260"/>
                <w:sz w:val="6"/>
              </w:rPr>
              <w:t xml:space="preserve"> </w:t>
            </w:r>
            <w:r>
              <w:rPr>
                <w:rFonts w:ascii="Calibri"/>
                <w:color w:val="231F20"/>
                <w:spacing w:val="-1"/>
                <w:w w:val="211"/>
                <w:sz w:val="6"/>
              </w:rPr>
              <w:t xml:space="preserve"> </w:t>
            </w:r>
            <w:r>
              <w:rPr>
                <w:rFonts w:ascii="Calibri"/>
                <w:color w:val="231F20"/>
                <w:w w:val="233"/>
                <w:sz w:val="6"/>
              </w:rPr>
              <w:t xml:space="preserve">   </w:t>
            </w:r>
            <w:r>
              <w:rPr>
                <w:rFonts w:ascii="Calibri"/>
                <w:color w:val="231F20"/>
                <w:w w:val="266"/>
                <w:sz w:val="6"/>
              </w:rPr>
              <w:t xml:space="preserve"> </w:t>
            </w:r>
            <w:r>
              <w:rPr>
                <w:rFonts w:ascii="Calibri"/>
                <w:color w:val="231F20"/>
                <w:w w:val="296"/>
                <w:sz w:val="6"/>
              </w:rPr>
              <w:t xml:space="preserve"> </w:t>
            </w:r>
            <w:r>
              <w:rPr>
                <w:rFonts w:ascii="Calibri"/>
                <w:color w:val="231F20"/>
                <w:w w:val="266"/>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086A8A25" w14:textId="77777777" w:rsidR="00F65BCA" w:rsidRDefault="00F65BCA">
            <w:pPr>
              <w:pStyle w:val="TableParagraph"/>
              <w:spacing w:before="8"/>
              <w:rPr>
                <w:rFonts w:ascii="Calibri"/>
                <w:b/>
                <w:sz w:val="6"/>
              </w:rPr>
            </w:pPr>
          </w:p>
          <w:p w14:paraId="7A425D78" w14:textId="77777777" w:rsidR="00F65BCA" w:rsidRDefault="00216117">
            <w:pPr>
              <w:pStyle w:val="TableParagraph"/>
              <w:spacing w:line="51" w:lineRule="exact"/>
              <w:ind w:left="9"/>
              <w:rPr>
                <w:rFonts w:ascii="Calibri"/>
                <w:sz w:val="6"/>
              </w:rPr>
            </w:pPr>
            <w:r>
              <w:rPr>
                <w:rFonts w:ascii="Calibri"/>
                <w:color w:val="231F20"/>
                <w:w w:val="237"/>
                <w:sz w:val="6"/>
              </w:rPr>
              <w:t xml:space="preserve"> </w:t>
            </w:r>
            <w:r>
              <w:rPr>
                <w:rFonts w:ascii="Calibri"/>
                <w:color w:val="231F20"/>
                <w:spacing w:val="-1"/>
                <w:w w:val="237"/>
                <w:sz w:val="6"/>
              </w:rPr>
              <w:t xml:space="preserve"> </w:t>
            </w:r>
            <w:r>
              <w:rPr>
                <w:rFonts w:ascii="Calibri"/>
                <w:color w:val="231F20"/>
                <w:w w:val="296"/>
                <w:sz w:val="6"/>
              </w:rPr>
              <w:t xml:space="preserve"> </w:t>
            </w:r>
            <w:r>
              <w:rPr>
                <w:rFonts w:ascii="Calibri"/>
                <w:color w:val="231F20"/>
                <w:w w:val="266"/>
                <w:sz w:val="6"/>
              </w:rPr>
              <w:t xml:space="preserve"> </w:t>
            </w:r>
            <w:r>
              <w:rPr>
                <w:rFonts w:ascii="Calibri"/>
                <w:color w:val="231F20"/>
                <w:w w:val="295"/>
                <w:sz w:val="6"/>
              </w:rPr>
              <w:t xml:space="preserve"> </w:t>
            </w:r>
            <w:r>
              <w:rPr>
                <w:rFonts w:ascii="Calibri"/>
                <w:color w:val="231F20"/>
                <w:spacing w:val="-1"/>
                <w:w w:val="193"/>
                <w:sz w:val="6"/>
              </w:rPr>
              <w:t xml:space="preserve"> </w:t>
            </w:r>
            <w:r>
              <w:rPr>
                <w:rFonts w:ascii="Calibri"/>
                <w:color w:val="231F20"/>
                <w:w w:val="224"/>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5F08AEFE" w14:textId="77777777" w:rsidR="00F65BCA" w:rsidRDefault="00F65BCA">
            <w:pPr>
              <w:pStyle w:val="TableParagraph"/>
              <w:spacing w:before="8"/>
              <w:rPr>
                <w:rFonts w:ascii="Calibri"/>
                <w:b/>
                <w:sz w:val="6"/>
              </w:rPr>
            </w:pPr>
          </w:p>
          <w:p w14:paraId="6B2E1D6A" w14:textId="77777777" w:rsidR="00F65BCA" w:rsidRDefault="00216117">
            <w:pPr>
              <w:pStyle w:val="TableParagraph"/>
              <w:spacing w:line="51" w:lineRule="exact"/>
              <w:ind w:left="9"/>
              <w:rPr>
                <w:rFonts w:ascii="Calibri"/>
                <w:sz w:val="6"/>
              </w:rPr>
            </w:pPr>
            <w:r>
              <w:rPr>
                <w:rFonts w:ascii="Calibri"/>
                <w:color w:val="231F20"/>
                <w:w w:val="329"/>
                <w:sz w:val="6"/>
              </w:rPr>
              <w:t xml:space="preserve">  </w:t>
            </w:r>
            <w:r>
              <w:rPr>
                <w:rFonts w:ascii="Calibri"/>
                <w:color w:val="231F20"/>
                <w:spacing w:val="-1"/>
                <w:w w:val="211"/>
                <w:sz w:val="6"/>
              </w:rPr>
              <w:t xml:space="preserve"> </w:t>
            </w:r>
            <w:r>
              <w:rPr>
                <w:rFonts w:ascii="Calibri"/>
                <w:color w:val="231F20"/>
                <w:spacing w:val="-1"/>
                <w:w w:val="245"/>
                <w:sz w:val="6"/>
              </w:rPr>
              <w:t xml:space="preserve"> </w:t>
            </w:r>
            <w:r>
              <w:rPr>
                <w:rFonts w:ascii="Calibri"/>
                <w:color w:val="231F20"/>
                <w:w w:val="264"/>
                <w:sz w:val="6"/>
              </w:rPr>
              <w:t xml:space="preserve"> </w:t>
            </w:r>
            <w:r>
              <w:rPr>
                <w:rFonts w:ascii="Calibri"/>
                <w:color w:val="231F20"/>
                <w:spacing w:val="-1"/>
                <w:w w:val="264"/>
                <w:sz w:val="6"/>
              </w:rPr>
              <w:t xml:space="preserve"> </w:t>
            </w:r>
            <w:r>
              <w:rPr>
                <w:rFonts w:ascii="Calibri"/>
                <w:color w:val="231F20"/>
                <w:w w:val="224"/>
                <w:sz w:val="6"/>
              </w:rPr>
              <w:t xml:space="preserve"> </w:t>
            </w:r>
            <w:r>
              <w:rPr>
                <w:rFonts w:ascii="Times New Roman"/>
                <w:color w:val="231F20"/>
                <w:spacing w:val="-1"/>
                <w:sz w:val="6"/>
              </w:rPr>
              <w:t xml:space="preserve"> </w:t>
            </w:r>
            <w:r>
              <w:rPr>
                <w:rFonts w:ascii="Calibri"/>
                <w:color w:val="231F20"/>
                <w:w w:val="23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632B4EDC" w14:textId="77777777" w:rsidR="00F65BCA" w:rsidRDefault="00F65BCA">
            <w:pPr>
              <w:pStyle w:val="TableParagraph"/>
              <w:spacing w:before="8"/>
              <w:rPr>
                <w:rFonts w:ascii="Calibri"/>
                <w:b/>
                <w:sz w:val="6"/>
              </w:rPr>
            </w:pPr>
          </w:p>
          <w:p w14:paraId="0F7D48BC" w14:textId="77777777" w:rsidR="00F65BCA" w:rsidRDefault="00216117">
            <w:pPr>
              <w:pStyle w:val="TableParagraph"/>
              <w:spacing w:line="51" w:lineRule="exact"/>
              <w:ind w:left="7"/>
              <w:rPr>
                <w:rFonts w:ascii="Calibri"/>
                <w:sz w:val="6"/>
              </w:rPr>
            </w:pPr>
            <w:r>
              <w:rPr>
                <w:rFonts w:ascii="Calibri"/>
                <w:color w:val="231F20"/>
                <w:w w:val="296"/>
                <w:sz w:val="6"/>
              </w:rPr>
              <w:t xml:space="preserve"> </w:t>
            </w:r>
            <w:r>
              <w:rPr>
                <w:rFonts w:ascii="Calibri"/>
                <w:color w:val="231F20"/>
                <w:w w:val="214"/>
                <w:sz w:val="6"/>
              </w:rPr>
              <w:t xml:space="preserve">  </w:t>
            </w:r>
            <w:r>
              <w:rPr>
                <w:rFonts w:ascii="Calibri"/>
                <w:color w:val="231F20"/>
                <w:w w:val="105"/>
                <w:sz w:val="6"/>
              </w:rPr>
              <w:t xml:space="preserve"> </w:t>
            </w:r>
            <w:r>
              <w:rPr>
                <w:rFonts w:ascii="Calibri"/>
                <w:color w:val="231F20"/>
                <w:w w:val="181"/>
                <w:sz w:val="6"/>
              </w:rPr>
              <w:t xml:space="preserve"> </w:t>
            </w:r>
            <w:r>
              <w:rPr>
                <w:rFonts w:ascii="Calibri"/>
                <w:color w:val="231F20"/>
                <w:w w:val="180"/>
                <w:sz w:val="6"/>
              </w:rPr>
              <w:t>r</w:t>
            </w:r>
            <w:r>
              <w:rPr>
                <w:rFonts w:ascii="Calibri"/>
                <w:color w:val="231F20"/>
                <w:w w:val="241"/>
                <w:sz w:val="6"/>
              </w:rPr>
              <w:t xml:space="preserve"> </w:t>
            </w:r>
            <w:r>
              <w:rPr>
                <w:rFonts w:ascii="Calibri"/>
                <w:color w:val="231F20"/>
                <w:w w:val="105"/>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545BFC9B" w14:textId="77777777" w:rsidR="00F65BCA" w:rsidRDefault="00F65BCA">
            <w:pPr>
              <w:pStyle w:val="TableParagraph"/>
              <w:spacing w:before="8"/>
              <w:rPr>
                <w:rFonts w:ascii="Calibri"/>
                <w:b/>
                <w:sz w:val="6"/>
              </w:rPr>
            </w:pPr>
          </w:p>
          <w:p w14:paraId="67F6BBDE"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7F92339F" w14:textId="77777777" w:rsidR="00F65BCA" w:rsidRDefault="00F65BCA">
            <w:pPr>
              <w:pStyle w:val="TableParagraph"/>
              <w:spacing w:before="8"/>
              <w:rPr>
                <w:rFonts w:ascii="Calibri"/>
                <w:b/>
                <w:sz w:val="6"/>
              </w:rPr>
            </w:pPr>
          </w:p>
          <w:p w14:paraId="26D36442"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16B9F772" w14:textId="77777777" w:rsidR="00F65BCA" w:rsidRDefault="00F65BCA">
            <w:pPr>
              <w:pStyle w:val="TableParagraph"/>
              <w:spacing w:before="8"/>
              <w:rPr>
                <w:rFonts w:ascii="Calibri"/>
                <w:b/>
                <w:sz w:val="6"/>
              </w:rPr>
            </w:pPr>
          </w:p>
          <w:p w14:paraId="77567E1E"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4C313D75" w14:textId="77777777" w:rsidR="00F65BCA" w:rsidRDefault="00F65BCA">
            <w:pPr>
              <w:pStyle w:val="TableParagraph"/>
              <w:spacing w:before="8"/>
              <w:rPr>
                <w:rFonts w:ascii="Calibri"/>
                <w:b/>
                <w:sz w:val="6"/>
              </w:rPr>
            </w:pPr>
          </w:p>
          <w:p w14:paraId="180F9563"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28E2AF50" w14:textId="77777777" w:rsidR="00F65BCA" w:rsidRDefault="00F65BCA">
            <w:pPr>
              <w:pStyle w:val="TableParagraph"/>
              <w:spacing w:before="8"/>
              <w:rPr>
                <w:rFonts w:ascii="Calibri"/>
                <w:b/>
                <w:sz w:val="6"/>
              </w:rPr>
            </w:pPr>
          </w:p>
          <w:p w14:paraId="1B6C5A52"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26D1AF7E" w14:textId="77777777" w:rsidR="00F65BCA" w:rsidRDefault="00F65BCA">
            <w:pPr>
              <w:pStyle w:val="TableParagraph"/>
              <w:spacing w:before="8"/>
              <w:rPr>
                <w:rFonts w:ascii="Calibri"/>
                <w:b/>
                <w:sz w:val="6"/>
              </w:rPr>
            </w:pPr>
          </w:p>
          <w:p w14:paraId="554634FC" w14:textId="77777777" w:rsidR="00F65BCA" w:rsidRDefault="00216117">
            <w:pPr>
              <w:pStyle w:val="TableParagraph"/>
              <w:spacing w:line="51"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16B9AF1" w14:textId="77777777" w:rsidR="00F65BCA" w:rsidRDefault="00F65BCA">
            <w:pPr>
              <w:pStyle w:val="TableParagraph"/>
              <w:spacing w:before="8"/>
              <w:rPr>
                <w:rFonts w:ascii="Calibri"/>
                <w:b/>
                <w:sz w:val="6"/>
              </w:rPr>
            </w:pPr>
          </w:p>
          <w:p w14:paraId="1823B88A"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2D6B4753" w14:textId="77777777" w:rsidR="00F65BCA" w:rsidRDefault="00F65BCA">
            <w:pPr>
              <w:pStyle w:val="TableParagraph"/>
              <w:spacing w:before="8"/>
              <w:rPr>
                <w:rFonts w:ascii="Calibri"/>
                <w:b/>
                <w:sz w:val="6"/>
              </w:rPr>
            </w:pPr>
          </w:p>
          <w:p w14:paraId="079BFB2F"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5FFE280" w14:textId="77777777" w:rsidR="00F65BCA" w:rsidRDefault="00F65BCA">
            <w:pPr>
              <w:pStyle w:val="TableParagraph"/>
              <w:spacing w:before="8"/>
              <w:rPr>
                <w:rFonts w:ascii="Calibri"/>
                <w:b/>
                <w:sz w:val="6"/>
              </w:rPr>
            </w:pPr>
          </w:p>
          <w:p w14:paraId="44A10EF8"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71C826B5" w14:textId="77777777" w:rsidR="00F65BCA" w:rsidRDefault="00F65BCA">
            <w:pPr>
              <w:pStyle w:val="TableParagraph"/>
              <w:spacing w:before="8"/>
              <w:rPr>
                <w:rFonts w:ascii="Calibri"/>
                <w:b/>
                <w:sz w:val="6"/>
              </w:rPr>
            </w:pPr>
          </w:p>
          <w:p w14:paraId="2681D169"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5D4B7319" w14:textId="77777777" w:rsidR="00F65BCA" w:rsidRDefault="00F65BCA">
            <w:pPr>
              <w:pStyle w:val="TableParagraph"/>
              <w:spacing w:before="8"/>
              <w:rPr>
                <w:rFonts w:ascii="Calibri"/>
                <w:b/>
                <w:sz w:val="6"/>
              </w:rPr>
            </w:pPr>
          </w:p>
          <w:p w14:paraId="328B6AA3" w14:textId="77777777" w:rsidR="00F65BCA" w:rsidRDefault="00216117">
            <w:pPr>
              <w:pStyle w:val="TableParagraph"/>
              <w:spacing w:line="51" w:lineRule="exact"/>
              <w:ind w:right="23"/>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2986BFEA" w14:textId="77777777" w:rsidR="00F65BCA" w:rsidRDefault="00F65BCA">
            <w:pPr>
              <w:pStyle w:val="TableParagraph"/>
              <w:spacing w:before="8"/>
              <w:rPr>
                <w:rFonts w:ascii="Calibri"/>
                <w:b/>
                <w:sz w:val="6"/>
              </w:rPr>
            </w:pPr>
          </w:p>
          <w:p w14:paraId="317D3F89"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2CFB4835" w14:textId="77777777" w:rsidR="00F65BCA" w:rsidRDefault="00F65BCA">
            <w:pPr>
              <w:pStyle w:val="TableParagraph"/>
              <w:spacing w:before="8"/>
              <w:rPr>
                <w:rFonts w:ascii="Calibri"/>
                <w:b/>
                <w:sz w:val="6"/>
              </w:rPr>
            </w:pPr>
          </w:p>
          <w:p w14:paraId="3F0DE023" w14:textId="77777777" w:rsidR="00F65BCA" w:rsidRDefault="00216117">
            <w:pPr>
              <w:pStyle w:val="TableParagraph"/>
              <w:spacing w:line="51" w:lineRule="exact"/>
              <w:ind w:left="3"/>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125C721D" w14:textId="77777777" w:rsidR="00F65BCA" w:rsidRDefault="00F65BCA">
            <w:pPr>
              <w:pStyle w:val="TableParagraph"/>
              <w:spacing w:before="8"/>
              <w:rPr>
                <w:rFonts w:ascii="Calibri"/>
                <w:b/>
                <w:sz w:val="6"/>
              </w:rPr>
            </w:pPr>
          </w:p>
          <w:p w14:paraId="7F927C60"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31BA77C5" w14:textId="77777777" w:rsidR="00F65BCA" w:rsidRDefault="00F65BCA">
            <w:pPr>
              <w:pStyle w:val="TableParagraph"/>
              <w:spacing w:before="8"/>
              <w:rPr>
                <w:rFonts w:ascii="Calibri"/>
                <w:b/>
                <w:sz w:val="6"/>
              </w:rPr>
            </w:pPr>
          </w:p>
          <w:p w14:paraId="59919502" w14:textId="77777777" w:rsidR="00F65BCA" w:rsidRDefault="00216117">
            <w:pPr>
              <w:pStyle w:val="TableParagraph"/>
              <w:spacing w:line="51" w:lineRule="exact"/>
              <w:ind w:left="1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4" w:type="dxa"/>
            <w:tcBorders>
              <w:top w:val="single" w:sz="2" w:space="0" w:color="231F20"/>
              <w:bottom w:val="single" w:sz="2" w:space="0" w:color="231F20"/>
              <w:right w:val="single" w:sz="2" w:space="0" w:color="231F20"/>
            </w:tcBorders>
            <w:shd w:val="clear" w:color="auto" w:fill="F9F39A"/>
          </w:tcPr>
          <w:p w14:paraId="410E62C4"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5FEFC867"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CE7F109"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916A30A"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34797606" w14:textId="77777777" w:rsidR="00F65BCA" w:rsidRDefault="00F65BCA">
            <w:pPr>
              <w:pStyle w:val="TableParagraph"/>
              <w:rPr>
                <w:rFonts w:ascii="Times New Roman"/>
                <w:sz w:val="6"/>
              </w:rPr>
            </w:pPr>
          </w:p>
        </w:tc>
      </w:tr>
      <w:tr w:rsidR="00F65BCA" w14:paraId="2866DB30" w14:textId="77777777">
        <w:trPr>
          <w:trHeight w:val="153"/>
        </w:trPr>
        <w:tc>
          <w:tcPr>
            <w:tcW w:w="166" w:type="dxa"/>
            <w:tcBorders>
              <w:top w:val="single" w:sz="2" w:space="0" w:color="231F20"/>
              <w:bottom w:val="single" w:sz="2" w:space="0" w:color="231F20"/>
              <w:right w:val="single" w:sz="2" w:space="0" w:color="231F20"/>
            </w:tcBorders>
          </w:tcPr>
          <w:p w14:paraId="611F4D79" w14:textId="77777777" w:rsidR="00F65BCA" w:rsidRDefault="00F65BCA">
            <w:pPr>
              <w:pStyle w:val="TableParagraph"/>
              <w:spacing w:before="8"/>
              <w:rPr>
                <w:rFonts w:ascii="Calibri"/>
                <w:b/>
                <w:sz w:val="6"/>
              </w:rPr>
            </w:pPr>
          </w:p>
          <w:p w14:paraId="08EBFE64"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608AF73A" w14:textId="77777777" w:rsidR="00F65BCA" w:rsidRDefault="00F65BCA">
            <w:pPr>
              <w:pStyle w:val="TableParagraph"/>
              <w:spacing w:before="8"/>
              <w:rPr>
                <w:rFonts w:ascii="Calibri"/>
                <w:b/>
                <w:sz w:val="6"/>
              </w:rPr>
            </w:pPr>
          </w:p>
          <w:p w14:paraId="4E3B4F0D"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54547D8A" w14:textId="77777777" w:rsidR="00F65BCA" w:rsidRDefault="00F65BCA">
            <w:pPr>
              <w:pStyle w:val="TableParagraph"/>
              <w:spacing w:before="8"/>
              <w:rPr>
                <w:rFonts w:ascii="Calibri"/>
                <w:b/>
                <w:sz w:val="6"/>
              </w:rPr>
            </w:pPr>
          </w:p>
          <w:p w14:paraId="4860EC7A"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495CD9E3" w14:textId="77777777" w:rsidR="00F65BCA" w:rsidRDefault="00F65BCA">
            <w:pPr>
              <w:pStyle w:val="TableParagraph"/>
              <w:spacing w:before="8"/>
              <w:rPr>
                <w:rFonts w:ascii="Calibri"/>
                <w:b/>
                <w:sz w:val="6"/>
              </w:rPr>
            </w:pPr>
          </w:p>
          <w:p w14:paraId="0A1FC3F1"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7FACAC4B" w14:textId="77777777" w:rsidR="00F65BCA" w:rsidRDefault="00F65BCA">
            <w:pPr>
              <w:pStyle w:val="TableParagraph"/>
              <w:spacing w:before="8"/>
              <w:rPr>
                <w:rFonts w:ascii="Calibri"/>
                <w:b/>
                <w:sz w:val="6"/>
              </w:rPr>
            </w:pPr>
          </w:p>
          <w:p w14:paraId="1E5ABED8"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1A583937" w14:textId="77777777" w:rsidR="00F65BCA" w:rsidRDefault="00F65BCA">
            <w:pPr>
              <w:pStyle w:val="TableParagraph"/>
              <w:spacing w:before="8"/>
              <w:rPr>
                <w:rFonts w:ascii="Calibri"/>
                <w:b/>
                <w:sz w:val="6"/>
              </w:rPr>
            </w:pPr>
          </w:p>
          <w:p w14:paraId="4597B72A"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685AAB55" w14:textId="77777777" w:rsidR="00F65BCA" w:rsidRDefault="00F65BCA">
            <w:pPr>
              <w:pStyle w:val="TableParagraph"/>
              <w:spacing w:before="8"/>
              <w:rPr>
                <w:rFonts w:ascii="Calibri"/>
                <w:b/>
                <w:sz w:val="6"/>
              </w:rPr>
            </w:pPr>
          </w:p>
          <w:p w14:paraId="796BDD5A"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238"/>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3A17C11A" w14:textId="77777777" w:rsidR="00F65BCA" w:rsidRDefault="00F65BCA">
            <w:pPr>
              <w:pStyle w:val="TableParagraph"/>
              <w:spacing w:before="8"/>
              <w:rPr>
                <w:rFonts w:ascii="Calibri"/>
                <w:b/>
                <w:sz w:val="6"/>
              </w:rPr>
            </w:pPr>
          </w:p>
          <w:p w14:paraId="3C57E294"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238"/>
                <w:sz w:val="6"/>
              </w:rPr>
              <w:t xml:space="preserve"> </w:t>
            </w:r>
            <w:r>
              <w:rPr>
                <w:rFonts w:ascii="Calibri"/>
                <w:color w:val="231F20"/>
                <w:w w:val="264"/>
                <w:sz w:val="6"/>
              </w:rPr>
              <w:t xml:space="preserve">  </w:t>
            </w:r>
            <w:r>
              <w:rPr>
                <w:rFonts w:ascii="Calibri"/>
                <w:color w:val="231F20"/>
                <w:w w:val="296"/>
                <w:sz w:val="6"/>
              </w:rPr>
              <w:t xml:space="preserve"> </w:t>
            </w:r>
            <w:r>
              <w:rPr>
                <w:rFonts w:ascii="Calibri"/>
                <w:color w:val="231F20"/>
                <w:w w:val="266"/>
                <w:sz w:val="6"/>
              </w:rPr>
              <w:t xml:space="preserve"> </w:t>
            </w:r>
            <w:r>
              <w:rPr>
                <w:rFonts w:ascii="Calibri"/>
                <w:color w:val="231F20"/>
                <w:w w:val="252"/>
                <w:sz w:val="6"/>
              </w:rPr>
              <w:t xml:space="preserve">   </w:t>
            </w:r>
            <w:r>
              <w:rPr>
                <w:rFonts w:ascii="Calibri"/>
                <w:color w:val="231F20"/>
                <w:spacing w:val="-1"/>
                <w:w w:val="193"/>
                <w:sz w:val="6"/>
              </w:rPr>
              <w:t xml:space="preserve"> </w:t>
            </w:r>
            <w:r>
              <w:rPr>
                <w:rFonts w:ascii="Calibri"/>
                <w:color w:val="231F20"/>
                <w:w w:val="238"/>
                <w:sz w:val="6"/>
              </w:rPr>
              <w:t xml:space="preserve"> </w:t>
            </w:r>
            <w:r>
              <w:rPr>
                <w:rFonts w:ascii="Calibri"/>
                <w:color w:val="231F20"/>
                <w:spacing w:val="-1"/>
                <w:w w:val="224"/>
                <w:sz w:val="6"/>
              </w:rPr>
              <w:t xml:space="preserve"> </w:t>
            </w:r>
            <w:r>
              <w:rPr>
                <w:rFonts w:ascii="Calibri"/>
                <w:color w:val="231F20"/>
                <w:w w:val="295"/>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129C2355" w14:textId="77777777" w:rsidR="00F65BCA" w:rsidRDefault="00F65BCA">
            <w:pPr>
              <w:pStyle w:val="TableParagraph"/>
              <w:spacing w:before="8"/>
              <w:rPr>
                <w:rFonts w:ascii="Calibri"/>
                <w:b/>
                <w:sz w:val="6"/>
              </w:rPr>
            </w:pPr>
          </w:p>
          <w:p w14:paraId="0B042602" w14:textId="77777777" w:rsidR="00F65BCA" w:rsidRDefault="00216117">
            <w:pPr>
              <w:pStyle w:val="TableParagraph"/>
              <w:spacing w:line="51" w:lineRule="exact"/>
              <w:ind w:left="10"/>
              <w:rPr>
                <w:rFonts w:ascii="Calibri"/>
                <w:sz w:val="6"/>
              </w:rPr>
            </w:pPr>
            <w:r>
              <w:rPr>
                <w:rFonts w:ascii="Calibri"/>
                <w:color w:val="231F20"/>
                <w:w w:val="224"/>
                <w:sz w:val="6"/>
              </w:rPr>
              <w:t xml:space="preserve"> </w:t>
            </w:r>
            <w:r>
              <w:rPr>
                <w:rFonts w:ascii="Calibri"/>
                <w:color w:val="231F20"/>
                <w:w w:val="241"/>
                <w:sz w:val="6"/>
              </w:rPr>
              <w:t xml:space="preserve"> </w:t>
            </w:r>
            <w:r>
              <w:rPr>
                <w:rFonts w:ascii="Calibri"/>
                <w:color w:val="231F20"/>
                <w:w w:val="90"/>
                <w:sz w:val="6"/>
              </w:rPr>
              <w:t>5 5 5</w:t>
            </w:r>
            <w:r>
              <w:rPr>
                <w:rFonts w:ascii="Calibri"/>
                <w:color w:val="231F20"/>
                <w:w w:val="17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3932E20F" w14:textId="77777777" w:rsidR="00F65BCA" w:rsidRDefault="00F65BCA">
            <w:pPr>
              <w:pStyle w:val="TableParagraph"/>
              <w:spacing w:before="8"/>
              <w:rPr>
                <w:rFonts w:ascii="Calibri"/>
                <w:b/>
                <w:sz w:val="6"/>
              </w:rPr>
            </w:pPr>
          </w:p>
          <w:p w14:paraId="7017304A" w14:textId="77777777" w:rsidR="00F65BCA" w:rsidRDefault="00216117">
            <w:pPr>
              <w:pStyle w:val="TableParagraph"/>
              <w:spacing w:line="51" w:lineRule="exact"/>
              <w:ind w:left="9"/>
              <w:rPr>
                <w:rFonts w:ascii="Calibri"/>
                <w:sz w:val="6"/>
              </w:rPr>
            </w:pPr>
            <w:r>
              <w:rPr>
                <w:rFonts w:ascii="Calibri"/>
                <w:color w:val="231F20"/>
                <w:w w:val="224"/>
                <w:sz w:val="6"/>
              </w:rPr>
              <w:t xml:space="preserve"> </w:t>
            </w:r>
            <w:r>
              <w:rPr>
                <w:rFonts w:ascii="Calibri"/>
                <w:color w:val="231F20"/>
                <w:w w:val="241"/>
                <w:sz w:val="6"/>
              </w:rPr>
              <w:t xml:space="preserve"> </w:t>
            </w:r>
            <w:r>
              <w:rPr>
                <w:rFonts w:ascii="Calibri"/>
                <w:color w:val="231F20"/>
                <w:w w:val="80"/>
                <w:sz w:val="6"/>
              </w:rPr>
              <w:t>5 5 5</w:t>
            </w:r>
            <w:r>
              <w:rPr>
                <w:rFonts w:ascii="Calibri"/>
                <w:color w:val="231F20"/>
                <w:w w:val="17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44A474BA" w14:textId="77777777" w:rsidR="00F65BCA" w:rsidRDefault="00F65BCA">
            <w:pPr>
              <w:pStyle w:val="TableParagraph"/>
              <w:spacing w:before="8"/>
              <w:rPr>
                <w:rFonts w:ascii="Calibri"/>
                <w:b/>
                <w:sz w:val="6"/>
              </w:rPr>
            </w:pPr>
          </w:p>
          <w:p w14:paraId="741EE87F" w14:textId="77777777" w:rsidR="00F65BCA" w:rsidRDefault="00216117">
            <w:pPr>
              <w:pStyle w:val="TableParagraph"/>
              <w:spacing w:line="51" w:lineRule="exact"/>
              <w:ind w:left="8"/>
              <w:rPr>
                <w:rFonts w:ascii="Calibri"/>
                <w:sz w:val="6"/>
              </w:rPr>
            </w:pPr>
            <w:r>
              <w:rPr>
                <w:rFonts w:ascii="Calibri"/>
                <w:color w:val="231F20"/>
                <w:w w:val="237"/>
                <w:sz w:val="6"/>
              </w:rPr>
              <w:t xml:space="preserve"> </w:t>
            </w:r>
            <w:r>
              <w:rPr>
                <w:rFonts w:ascii="Calibri"/>
                <w:color w:val="231F20"/>
                <w:w w:val="160"/>
                <w:sz w:val="6"/>
              </w:rPr>
              <w:t xml:space="preserve"> </w:t>
            </w:r>
            <w:r>
              <w:rPr>
                <w:rFonts w:ascii="Calibri"/>
                <w:color w:val="231F20"/>
                <w:spacing w:val="-1"/>
                <w:w w:val="105"/>
                <w:sz w:val="6"/>
              </w:rPr>
              <w:t xml:space="preserve"> </w:t>
            </w:r>
            <w:r>
              <w:rPr>
                <w:rFonts w:ascii="Calibri"/>
                <w:color w:val="231F20"/>
                <w:w w:val="207"/>
                <w:sz w:val="6"/>
              </w:rPr>
              <w:t xml:space="preserve"> </w:t>
            </w:r>
            <w:r>
              <w:rPr>
                <w:rFonts w:ascii="Calibri"/>
                <w:color w:val="231F20"/>
                <w:w w:val="228"/>
                <w:sz w:val="6"/>
              </w:rPr>
              <w:t xml:space="preserve"> </w:t>
            </w:r>
            <w:r>
              <w:rPr>
                <w:rFonts w:ascii="Calibri"/>
                <w:color w:val="231F20"/>
                <w:w w:val="179"/>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60CA43AD" w14:textId="77777777" w:rsidR="00F65BCA" w:rsidRDefault="00F65BCA">
            <w:pPr>
              <w:pStyle w:val="TableParagraph"/>
              <w:spacing w:before="8"/>
              <w:rPr>
                <w:rFonts w:ascii="Calibri"/>
                <w:b/>
                <w:sz w:val="6"/>
              </w:rPr>
            </w:pPr>
          </w:p>
          <w:p w14:paraId="4A932148"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0970B468" w14:textId="77777777" w:rsidR="00F65BCA" w:rsidRDefault="00F65BCA">
            <w:pPr>
              <w:pStyle w:val="TableParagraph"/>
              <w:spacing w:before="8"/>
              <w:rPr>
                <w:rFonts w:ascii="Calibri"/>
                <w:b/>
                <w:sz w:val="6"/>
              </w:rPr>
            </w:pPr>
          </w:p>
          <w:p w14:paraId="43C5A6D0"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109D59C6" w14:textId="77777777" w:rsidR="00F65BCA" w:rsidRDefault="00F65BCA">
            <w:pPr>
              <w:pStyle w:val="TableParagraph"/>
              <w:spacing w:before="8"/>
              <w:rPr>
                <w:rFonts w:ascii="Calibri"/>
                <w:b/>
                <w:sz w:val="6"/>
              </w:rPr>
            </w:pPr>
          </w:p>
          <w:p w14:paraId="7F89BD18"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62283C73" w14:textId="77777777" w:rsidR="00F65BCA" w:rsidRDefault="00F65BCA">
            <w:pPr>
              <w:pStyle w:val="TableParagraph"/>
              <w:spacing w:before="8"/>
              <w:rPr>
                <w:rFonts w:ascii="Calibri"/>
                <w:b/>
                <w:sz w:val="6"/>
              </w:rPr>
            </w:pPr>
          </w:p>
          <w:p w14:paraId="3CA3F5FF"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792118E4" w14:textId="77777777" w:rsidR="00F65BCA" w:rsidRDefault="00F65BCA">
            <w:pPr>
              <w:pStyle w:val="TableParagraph"/>
              <w:rPr>
                <w:rFonts w:ascii="Times New Roman"/>
                <w:sz w:val="6"/>
              </w:rPr>
            </w:pPr>
          </w:p>
        </w:tc>
        <w:tc>
          <w:tcPr>
            <w:tcW w:w="278" w:type="dxa"/>
            <w:tcBorders>
              <w:top w:val="single" w:sz="2" w:space="0" w:color="231F20"/>
              <w:left w:val="single" w:sz="2" w:space="0" w:color="231F20"/>
              <w:bottom w:val="single" w:sz="2" w:space="0" w:color="231F20"/>
              <w:right w:val="single" w:sz="2" w:space="0" w:color="231F20"/>
            </w:tcBorders>
          </w:tcPr>
          <w:p w14:paraId="05C4DA31"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6BF34AE9" w14:textId="77777777" w:rsidR="00F65BCA" w:rsidRDefault="00F65BCA">
            <w:pPr>
              <w:pStyle w:val="TableParagraph"/>
              <w:spacing w:before="8"/>
              <w:rPr>
                <w:rFonts w:ascii="Calibri"/>
                <w:b/>
                <w:sz w:val="6"/>
              </w:rPr>
            </w:pPr>
          </w:p>
          <w:p w14:paraId="6F8DC6ED"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2D155CB9"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2792EAF8" w14:textId="77777777" w:rsidR="00F65BCA" w:rsidRDefault="00F65BCA">
            <w:pPr>
              <w:pStyle w:val="TableParagraph"/>
              <w:rPr>
                <w:rFonts w:ascii="Times New Roman"/>
                <w:sz w:val="6"/>
              </w:rPr>
            </w:pPr>
          </w:p>
        </w:tc>
        <w:tc>
          <w:tcPr>
            <w:tcW w:w="311" w:type="dxa"/>
            <w:tcBorders>
              <w:top w:val="single" w:sz="2" w:space="0" w:color="231F20"/>
              <w:left w:val="single" w:sz="2" w:space="0" w:color="231F20"/>
              <w:bottom w:val="single" w:sz="2" w:space="0" w:color="231F20"/>
              <w:right w:val="single" w:sz="2" w:space="0" w:color="231F20"/>
            </w:tcBorders>
          </w:tcPr>
          <w:p w14:paraId="4A4CE3B1"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02C7CE9A"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464DA07E" w14:textId="77777777" w:rsidR="00F65BCA" w:rsidRDefault="00F65BCA">
            <w:pPr>
              <w:pStyle w:val="TableParagraph"/>
              <w:rPr>
                <w:rFonts w:ascii="Times New Roman"/>
                <w:sz w:val="6"/>
              </w:rPr>
            </w:pPr>
          </w:p>
        </w:tc>
        <w:tc>
          <w:tcPr>
            <w:tcW w:w="296" w:type="dxa"/>
            <w:tcBorders>
              <w:top w:val="single" w:sz="2" w:space="0" w:color="231F20"/>
              <w:left w:val="single" w:sz="2" w:space="0" w:color="231F20"/>
              <w:bottom w:val="single" w:sz="2" w:space="0" w:color="231F20"/>
              <w:right w:val="single" w:sz="2" w:space="0" w:color="231F20"/>
            </w:tcBorders>
          </w:tcPr>
          <w:p w14:paraId="2B12E49C" w14:textId="77777777" w:rsidR="00F65BCA" w:rsidRDefault="00F65BCA">
            <w:pPr>
              <w:pStyle w:val="TableParagraph"/>
              <w:rPr>
                <w:rFonts w:ascii="Times New Roman"/>
                <w:sz w:val="6"/>
              </w:rPr>
            </w:pPr>
          </w:p>
        </w:tc>
        <w:tc>
          <w:tcPr>
            <w:tcW w:w="392" w:type="dxa"/>
            <w:tcBorders>
              <w:top w:val="single" w:sz="2" w:space="0" w:color="231F20"/>
              <w:left w:val="single" w:sz="2" w:space="0" w:color="231F20"/>
              <w:bottom w:val="single" w:sz="2" w:space="0" w:color="231F20"/>
              <w:right w:val="single" w:sz="2" w:space="0" w:color="231F20"/>
            </w:tcBorders>
          </w:tcPr>
          <w:p w14:paraId="0ED8EF32" w14:textId="77777777" w:rsidR="00F65BCA" w:rsidRDefault="00F65BCA">
            <w:pPr>
              <w:pStyle w:val="TableParagraph"/>
              <w:rPr>
                <w:rFonts w:ascii="Times New Roman"/>
                <w:sz w:val="6"/>
              </w:rPr>
            </w:pPr>
          </w:p>
        </w:tc>
        <w:tc>
          <w:tcPr>
            <w:tcW w:w="428" w:type="dxa"/>
            <w:tcBorders>
              <w:top w:val="single" w:sz="2" w:space="0" w:color="231F20"/>
              <w:left w:val="single" w:sz="2" w:space="0" w:color="231F20"/>
              <w:bottom w:val="single" w:sz="2" w:space="0" w:color="231F20"/>
            </w:tcBorders>
          </w:tcPr>
          <w:p w14:paraId="335CFF52"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11BBC26F"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6B1EE766"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BA03469"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6C075976"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71000258" w14:textId="77777777" w:rsidR="00F65BCA" w:rsidRDefault="00F65BCA">
            <w:pPr>
              <w:pStyle w:val="TableParagraph"/>
              <w:rPr>
                <w:rFonts w:ascii="Times New Roman"/>
                <w:sz w:val="6"/>
              </w:rPr>
            </w:pPr>
          </w:p>
        </w:tc>
      </w:tr>
      <w:tr w:rsidR="00F65BCA" w14:paraId="5642DA39" w14:textId="77777777">
        <w:trPr>
          <w:trHeight w:val="153"/>
        </w:trPr>
        <w:tc>
          <w:tcPr>
            <w:tcW w:w="166" w:type="dxa"/>
            <w:tcBorders>
              <w:top w:val="single" w:sz="2" w:space="0" w:color="231F20"/>
              <w:bottom w:val="single" w:sz="2" w:space="0" w:color="231F20"/>
              <w:right w:val="single" w:sz="2" w:space="0" w:color="231F20"/>
            </w:tcBorders>
          </w:tcPr>
          <w:p w14:paraId="0CF3859A" w14:textId="77777777" w:rsidR="00F65BCA" w:rsidRDefault="00F65BCA">
            <w:pPr>
              <w:pStyle w:val="TableParagraph"/>
              <w:spacing w:before="8"/>
              <w:rPr>
                <w:rFonts w:ascii="Calibri"/>
                <w:b/>
                <w:sz w:val="6"/>
              </w:rPr>
            </w:pPr>
          </w:p>
          <w:p w14:paraId="75590B28"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740DEFCB" w14:textId="77777777" w:rsidR="00F65BCA" w:rsidRDefault="00F65BCA">
            <w:pPr>
              <w:pStyle w:val="TableParagraph"/>
              <w:spacing w:before="8"/>
              <w:rPr>
                <w:rFonts w:ascii="Calibri"/>
                <w:b/>
                <w:sz w:val="6"/>
              </w:rPr>
            </w:pPr>
          </w:p>
          <w:p w14:paraId="55B53F19"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254281C4" w14:textId="77777777" w:rsidR="00F65BCA" w:rsidRDefault="00F65BCA">
            <w:pPr>
              <w:pStyle w:val="TableParagraph"/>
              <w:spacing w:before="8"/>
              <w:rPr>
                <w:rFonts w:ascii="Calibri"/>
                <w:b/>
                <w:sz w:val="6"/>
              </w:rPr>
            </w:pPr>
          </w:p>
          <w:p w14:paraId="03791453"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570D58A4" w14:textId="77777777" w:rsidR="00F65BCA" w:rsidRDefault="00F65BCA">
            <w:pPr>
              <w:pStyle w:val="TableParagraph"/>
              <w:spacing w:before="8"/>
              <w:rPr>
                <w:rFonts w:ascii="Calibri"/>
                <w:b/>
                <w:sz w:val="6"/>
              </w:rPr>
            </w:pPr>
          </w:p>
          <w:p w14:paraId="360E7707"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63F90D26" w14:textId="77777777" w:rsidR="00F65BCA" w:rsidRDefault="00F65BCA">
            <w:pPr>
              <w:pStyle w:val="TableParagraph"/>
              <w:spacing w:before="8"/>
              <w:rPr>
                <w:rFonts w:ascii="Calibri"/>
                <w:b/>
                <w:sz w:val="6"/>
              </w:rPr>
            </w:pPr>
          </w:p>
          <w:p w14:paraId="647A6131"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45EF6E57" w14:textId="77777777" w:rsidR="00F65BCA" w:rsidRDefault="00F65BCA">
            <w:pPr>
              <w:pStyle w:val="TableParagraph"/>
              <w:spacing w:before="8"/>
              <w:rPr>
                <w:rFonts w:ascii="Calibri"/>
                <w:b/>
                <w:sz w:val="6"/>
              </w:rPr>
            </w:pPr>
          </w:p>
          <w:p w14:paraId="0D68DBC5"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0AC3D815" w14:textId="77777777" w:rsidR="00F65BCA" w:rsidRDefault="00F65BCA">
            <w:pPr>
              <w:pStyle w:val="TableParagraph"/>
              <w:spacing w:before="8"/>
              <w:rPr>
                <w:rFonts w:ascii="Calibri"/>
                <w:b/>
                <w:sz w:val="6"/>
              </w:rPr>
            </w:pPr>
          </w:p>
          <w:p w14:paraId="164543FF"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246"/>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7A4E411C" w14:textId="77777777" w:rsidR="00F65BCA" w:rsidRDefault="00F65BCA">
            <w:pPr>
              <w:pStyle w:val="TableParagraph"/>
              <w:spacing w:before="8"/>
              <w:rPr>
                <w:rFonts w:ascii="Calibri"/>
                <w:b/>
                <w:sz w:val="6"/>
              </w:rPr>
            </w:pPr>
          </w:p>
          <w:p w14:paraId="2724C735" w14:textId="77777777" w:rsidR="00F65BCA" w:rsidRDefault="00216117">
            <w:pPr>
              <w:pStyle w:val="TableParagraph"/>
              <w:spacing w:line="51" w:lineRule="exact"/>
              <w:ind w:left="10"/>
              <w:rPr>
                <w:rFonts w:ascii="Calibri"/>
                <w:sz w:val="6"/>
              </w:rPr>
            </w:pPr>
            <w:r>
              <w:rPr>
                <w:rFonts w:ascii="Calibri"/>
                <w:color w:val="231F20"/>
                <w:w w:val="260"/>
                <w:sz w:val="6"/>
              </w:rPr>
              <w:t xml:space="preserve"> </w:t>
            </w:r>
            <w:r>
              <w:rPr>
                <w:rFonts w:ascii="Calibri"/>
                <w:color w:val="231F20"/>
                <w:w w:val="211"/>
                <w:sz w:val="6"/>
              </w:rPr>
              <w:t xml:space="preserve">  </w:t>
            </w:r>
            <w:r>
              <w:rPr>
                <w:rFonts w:ascii="Calibri"/>
                <w:color w:val="231F20"/>
                <w:w w:val="125"/>
                <w:sz w:val="6"/>
              </w:rPr>
              <w:t xml:space="preserve">kkk </w:t>
            </w:r>
            <w:r>
              <w:rPr>
                <w:rFonts w:ascii="Calibri"/>
                <w:color w:val="231F20"/>
                <w:w w:val="145"/>
                <w:sz w:val="6"/>
              </w:rPr>
              <w:t>k</w:t>
            </w:r>
            <w:r>
              <w:rPr>
                <w:rFonts w:ascii="Calibri"/>
                <w:color w:val="231F20"/>
                <w:w w:val="259"/>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48FB15CB" w14:textId="77777777" w:rsidR="00F65BCA" w:rsidRDefault="00F65BCA">
            <w:pPr>
              <w:pStyle w:val="TableParagraph"/>
              <w:spacing w:before="8"/>
              <w:rPr>
                <w:rFonts w:ascii="Calibri"/>
                <w:b/>
                <w:sz w:val="6"/>
              </w:rPr>
            </w:pPr>
          </w:p>
          <w:p w14:paraId="637FE8E8" w14:textId="77777777" w:rsidR="00F65BCA" w:rsidRDefault="00216117">
            <w:pPr>
              <w:pStyle w:val="TableParagraph"/>
              <w:spacing w:line="51" w:lineRule="exact"/>
              <w:ind w:left="9"/>
              <w:rPr>
                <w:rFonts w:ascii="Calibri"/>
                <w:sz w:val="6"/>
              </w:rPr>
            </w:pP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266"/>
                <w:sz w:val="6"/>
              </w:rPr>
              <w:t xml:space="preserve"> </w:t>
            </w:r>
            <w:r>
              <w:rPr>
                <w:rFonts w:ascii="Calibri"/>
                <w:color w:val="231F20"/>
                <w:w w:val="224"/>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3D16F628" w14:textId="77777777" w:rsidR="00F65BCA" w:rsidRDefault="00F65BCA">
            <w:pPr>
              <w:pStyle w:val="TableParagraph"/>
              <w:spacing w:before="8"/>
              <w:rPr>
                <w:rFonts w:ascii="Calibri"/>
                <w:b/>
                <w:sz w:val="6"/>
              </w:rPr>
            </w:pPr>
          </w:p>
          <w:p w14:paraId="34EE2942" w14:textId="77777777" w:rsidR="00F65BCA" w:rsidRDefault="00216117">
            <w:pPr>
              <w:pStyle w:val="TableParagraph"/>
              <w:spacing w:line="51" w:lineRule="exact"/>
              <w:ind w:left="8"/>
              <w:rPr>
                <w:rFonts w:ascii="Calibri"/>
                <w:sz w:val="6"/>
              </w:rPr>
            </w:pPr>
            <w:r>
              <w:rPr>
                <w:rFonts w:ascii="Calibri"/>
                <w:color w:val="231F20"/>
                <w:spacing w:val="-1"/>
                <w:w w:val="224"/>
                <w:sz w:val="6"/>
              </w:rPr>
              <w:t xml:space="preserve"> </w:t>
            </w:r>
            <w:r>
              <w:rPr>
                <w:rFonts w:ascii="Calibri"/>
                <w:color w:val="231F20"/>
                <w:w w:val="248"/>
                <w:sz w:val="6"/>
              </w:rPr>
              <w:t xml:space="preserve"> </w:t>
            </w:r>
            <w:r>
              <w:rPr>
                <w:rFonts w:ascii="Calibri"/>
                <w:color w:val="231F20"/>
                <w:spacing w:val="-1"/>
                <w:w w:val="248"/>
                <w:sz w:val="6"/>
              </w:rPr>
              <w:t xml:space="preserve"> </w:t>
            </w:r>
            <w:r>
              <w:rPr>
                <w:rFonts w:ascii="Calibri"/>
                <w:color w:val="231F20"/>
                <w:spacing w:val="-1"/>
                <w:w w:val="224"/>
                <w:sz w:val="6"/>
              </w:rPr>
              <w:t xml:space="preserve"> </w:t>
            </w:r>
            <w:r>
              <w:rPr>
                <w:rFonts w:ascii="Calibri"/>
                <w:color w:val="231F20"/>
                <w:spacing w:val="-1"/>
                <w:w w:val="282"/>
                <w:sz w:val="6"/>
              </w:rPr>
              <w:t xml:space="preserve"> </w:t>
            </w:r>
            <w:r>
              <w:rPr>
                <w:rFonts w:ascii="Calibri"/>
                <w:color w:val="231F20"/>
                <w:w w:val="304"/>
                <w:sz w:val="6"/>
              </w:rPr>
              <w:t xml:space="preserve"> </w:t>
            </w:r>
            <w:r>
              <w:rPr>
                <w:rFonts w:ascii="Times New Roman"/>
                <w:color w:val="231F20"/>
                <w:spacing w:val="-1"/>
                <w:sz w:val="6"/>
              </w:rPr>
              <w:t xml:space="preserve"> </w:t>
            </w:r>
            <w:r>
              <w:rPr>
                <w:rFonts w:ascii="Calibri"/>
                <w:color w:val="231F20"/>
                <w:w w:val="188"/>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FB1A2D1" w14:textId="77777777" w:rsidR="00F65BCA" w:rsidRDefault="00F65BCA">
            <w:pPr>
              <w:pStyle w:val="TableParagraph"/>
              <w:spacing w:before="8"/>
              <w:rPr>
                <w:rFonts w:ascii="Calibri"/>
                <w:b/>
                <w:sz w:val="6"/>
              </w:rPr>
            </w:pPr>
          </w:p>
          <w:p w14:paraId="4CBFFD99" w14:textId="77777777" w:rsidR="00F65BCA" w:rsidRDefault="00216117">
            <w:pPr>
              <w:pStyle w:val="TableParagraph"/>
              <w:spacing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7C70AFF8" w14:textId="77777777" w:rsidR="00F65BCA" w:rsidRDefault="00F65BCA">
            <w:pPr>
              <w:pStyle w:val="TableParagraph"/>
              <w:spacing w:before="8"/>
              <w:rPr>
                <w:rFonts w:ascii="Calibri"/>
                <w:b/>
                <w:sz w:val="6"/>
              </w:rPr>
            </w:pPr>
          </w:p>
          <w:p w14:paraId="0A1BB1B0"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637C5253" w14:textId="77777777" w:rsidR="00F65BCA" w:rsidRDefault="00F65BCA">
            <w:pPr>
              <w:pStyle w:val="TableParagraph"/>
              <w:spacing w:before="8"/>
              <w:rPr>
                <w:rFonts w:ascii="Calibri"/>
                <w:b/>
                <w:sz w:val="6"/>
              </w:rPr>
            </w:pPr>
          </w:p>
          <w:p w14:paraId="336F2C7E"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4B0ABEA8" w14:textId="77777777" w:rsidR="00F65BCA" w:rsidRDefault="00F65BCA">
            <w:pPr>
              <w:pStyle w:val="TableParagraph"/>
              <w:spacing w:before="8"/>
              <w:rPr>
                <w:rFonts w:ascii="Calibri"/>
                <w:b/>
                <w:sz w:val="6"/>
              </w:rPr>
            </w:pPr>
          </w:p>
          <w:p w14:paraId="7641078C"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37CB81DE" w14:textId="77777777" w:rsidR="00F65BCA" w:rsidRDefault="00F65BCA">
            <w:pPr>
              <w:pStyle w:val="TableParagraph"/>
              <w:spacing w:before="8"/>
              <w:rPr>
                <w:rFonts w:ascii="Calibri"/>
                <w:b/>
                <w:sz w:val="6"/>
              </w:rPr>
            </w:pPr>
          </w:p>
          <w:p w14:paraId="1541ECCE"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1D26556F" w14:textId="77777777" w:rsidR="00F65BCA" w:rsidRDefault="00F65BCA">
            <w:pPr>
              <w:pStyle w:val="TableParagraph"/>
              <w:spacing w:before="8"/>
              <w:rPr>
                <w:rFonts w:ascii="Calibri"/>
                <w:b/>
                <w:sz w:val="6"/>
              </w:rPr>
            </w:pPr>
          </w:p>
          <w:p w14:paraId="62A83872" w14:textId="77777777" w:rsidR="00F65BCA" w:rsidRDefault="00216117">
            <w:pPr>
              <w:pStyle w:val="TableParagraph"/>
              <w:spacing w:line="51" w:lineRule="exact"/>
              <w:ind w:right="10"/>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6A8A654C" w14:textId="77777777" w:rsidR="00F65BCA" w:rsidRDefault="00F65BCA">
            <w:pPr>
              <w:pStyle w:val="TableParagraph"/>
              <w:spacing w:before="8"/>
              <w:rPr>
                <w:rFonts w:ascii="Calibri"/>
                <w:b/>
                <w:sz w:val="6"/>
              </w:rPr>
            </w:pPr>
          </w:p>
          <w:p w14:paraId="5A5D066D" w14:textId="77777777" w:rsidR="00F65BCA" w:rsidRDefault="00216117">
            <w:pPr>
              <w:pStyle w:val="TableParagraph"/>
              <w:spacing w:line="51" w:lineRule="exact"/>
              <w:ind w:right="6"/>
              <w:jc w:val="center"/>
              <w:rPr>
                <w:rFonts w:ascii="Calibri"/>
                <w:sz w:val="6"/>
              </w:rPr>
            </w:pPr>
            <w:r>
              <w:rPr>
                <w:rFonts w:ascii="Calibri"/>
                <w:color w:val="231F20"/>
                <w:w w:val="239"/>
                <w:sz w:val="6"/>
              </w:rPr>
              <w:t xml:space="preserve">  </w:t>
            </w:r>
            <w:r>
              <w:rPr>
                <w:rFonts w:ascii="Calibri"/>
                <w:color w:val="231F20"/>
                <w:w w:val="241"/>
                <w:sz w:val="6"/>
              </w:rPr>
              <w:t xml:space="preserve"> </w:t>
            </w:r>
            <w:r>
              <w:rPr>
                <w:rFonts w:ascii="Calibri"/>
                <w:color w:val="231F20"/>
                <w:w w:val="143"/>
                <w:sz w:val="6"/>
              </w:rPr>
              <w:t xml:space="preserve"> </w:t>
            </w:r>
            <w:r>
              <w:rPr>
                <w:rFonts w:ascii="Calibri"/>
                <w:color w:val="231F20"/>
                <w:spacing w:val="-1"/>
                <w:w w:val="143"/>
                <w:sz w:val="6"/>
              </w:rPr>
              <w:t xml:space="preserve"> </w:t>
            </w:r>
            <w:r>
              <w:rPr>
                <w:rFonts w:ascii="Calibri"/>
                <w:color w:val="231F20"/>
                <w:w w:val="241"/>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3DCC5A11" w14:textId="77777777" w:rsidR="00F65BCA" w:rsidRDefault="00F65BCA">
            <w:pPr>
              <w:pStyle w:val="TableParagraph"/>
              <w:spacing w:before="8"/>
              <w:rPr>
                <w:rFonts w:ascii="Calibri"/>
                <w:b/>
                <w:sz w:val="6"/>
              </w:rPr>
            </w:pPr>
          </w:p>
          <w:p w14:paraId="63A8092D"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4074FCBB" w14:textId="77777777" w:rsidR="00F65BCA" w:rsidRDefault="00F65BCA">
            <w:pPr>
              <w:pStyle w:val="TableParagraph"/>
              <w:spacing w:before="8"/>
              <w:rPr>
                <w:rFonts w:ascii="Calibri"/>
                <w:b/>
                <w:sz w:val="6"/>
              </w:rPr>
            </w:pPr>
          </w:p>
          <w:p w14:paraId="631075A9"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97ECB89" w14:textId="77777777" w:rsidR="00F65BCA" w:rsidRDefault="00F65BCA">
            <w:pPr>
              <w:pStyle w:val="TableParagraph"/>
              <w:spacing w:before="8"/>
              <w:rPr>
                <w:rFonts w:ascii="Calibri"/>
                <w:b/>
                <w:sz w:val="6"/>
              </w:rPr>
            </w:pPr>
          </w:p>
          <w:p w14:paraId="6052F2E7" w14:textId="77777777" w:rsidR="00F65BCA" w:rsidRDefault="00216117">
            <w:pPr>
              <w:pStyle w:val="TableParagraph"/>
              <w:spacing w:line="51" w:lineRule="exact"/>
              <w:ind w:right="5"/>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693D613B" w14:textId="77777777" w:rsidR="00F65BCA" w:rsidRDefault="00F65BCA">
            <w:pPr>
              <w:pStyle w:val="TableParagraph"/>
              <w:spacing w:before="8"/>
              <w:rPr>
                <w:rFonts w:ascii="Calibri"/>
                <w:b/>
                <w:sz w:val="6"/>
              </w:rPr>
            </w:pPr>
          </w:p>
          <w:p w14:paraId="72C8020D"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7E03A2F5" w14:textId="77777777" w:rsidR="00F65BCA" w:rsidRDefault="00F65BCA">
            <w:pPr>
              <w:pStyle w:val="TableParagraph"/>
              <w:spacing w:before="8"/>
              <w:rPr>
                <w:rFonts w:ascii="Calibri"/>
                <w:b/>
                <w:sz w:val="6"/>
              </w:rPr>
            </w:pPr>
          </w:p>
          <w:p w14:paraId="6C8F831E" w14:textId="77777777" w:rsidR="00F65BCA" w:rsidRDefault="00216117">
            <w:pPr>
              <w:pStyle w:val="TableParagraph"/>
              <w:spacing w:line="51" w:lineRule="exact"/>
              <w:ind w:right="24"/>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58A60850" w14:textId="77777777" w:rsidR="00F65BCA" w:rsidRDefault="00F65BCA">
            <w:pPr>
              <w:pStyle w:val="TableParagraph"/>
              <w:spacing w:before="8"/>
              <w:rPr>
                <w:rFonts w:ascii="Calibri"/>
                <w:b/>
                <w:sz w:val="6"/>
              </w:rPr>
            </w:pPr>
          </w:p>
          <w:p w14:paraId="7499CCFC" w14:textId="77777777" w:rsidR="00F65BCA" w:rsidRDefault="00216117">
            <w:pPr>
              <w:pStyle w:val="TableParagraph"/>
              <w:spacing w:line="51" w:lineRule="exact"/>
              <w:ind w:left="1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4B59DD47" w14:textId="77777777" w:rsidR="00F65BCA" w:rsidRDefault="00F65BCA">
            <w:pPr>
              <w:pStyle w:val="TableParagraph"/>
              <w:spacing w:before="8"/>
              <w:rPr>
                <w:rFonts w:ascii="Calibri"/>
                <w:b/>
                <w:sz w:val="6"/>
              </w:rPr>
            </w:pPr>
          </w:p>
          <w:p w14:paraId="518ABED7"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52C813F9" w14:textId="77777777" w:rsidR="00F65BCA" w:rsidRDefault="00F65BCA">
            <w:pPr>
              <w:pStyle w:val="TableParagraph"/>
              <w:spacing w:before="8"/>
              <w:rPr>
                <w:rFonts w:ascii="Calibri"/>
                <w:b/>
                <w:sz w:val="6"/>
              </w:rPr>
            </w:pPr>
          </w:p>
          <w:p w14:paraId="60B31770" w14:textId="77777777" w:rsidR="00F65BCA" w:rsidRDefault="00216117">
            <w:pPr>
              <w:pStyle w:val="TableParagraph"/>
              <w:spacing w:line="51" w:lineRule="exact"/>
              <w:ind w:left="5"/>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519717AD"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2C742895"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7F45A2B5"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D7FFE0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24036C5"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1481E535" w14:textId="77777777" w:rsidR="00F65BCA" w:rsidRDefault="00F65BCA">
            <w:pPr>
              <w:pStyle w:val="TableParagraph"/>
              <w:rPr>
                <w:rFonts w:ascii="Times New Roman"/>
                <w:sz w:val="6"/>
              </w:rPr>
            </w:pPr>
          </w:p>
        </w:tc>
      </w:tr>
      <w:tr w:rsidR="00F65BCA" w14:paraId="4328AB0D" w14:textId="77777777">
        <w:trPr>
          <w:trHeight w:val="153"/>
        </w:trPr>
        <w:tc>
          <w:tcPr>
            <w:tcW w:w="166" w:type="dxa"/>
            <w:tcBorders>
              <w:top w:val="single" w:sz="2" w:space="0" w:color="231F20"/>
              <w:bottom w:val="single" w:sz="2" w:space="0" w:color="231F20"/>
              <w:right w:val="single" w:sz="2" w:space="0" w:color="231F20"/>
            </w:tcBorders>
          </w:tcPr>
          <w:p w14:paraId="5DBAB0D8" w14:textId="77777777" w:rsidR="00F65BCA" w:rsidRDefault="00F65BCA">
            <w:pPr>
              <w:pStyle w:val="TableParagraph"/>
              <w:spacing w:before="8"/>
              <w:rPr>
                <w:rFonts w:ascii="Calibri"/>
                <w:b/>
                <w:sz w:val="6"/>
              </w:rPr>
            </w:pPr>
          </w:p>
          <w:p w14:paraId="5E1F3D23"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6F794C6A" w14:textId="77777777" w:rsidR="00F65BCA" w:rsidRDefault="00F65BCA">
            <w:pPr>
              <w:pStyle w:val="TableParagraph"/>
              <w:spacing w:before="8"/>
              <w:rPr>
                <w:rFonts w:ascii="Calibri"/>
                <w:b/>
                <w:sz w:val="6"/>
              </w:rPr>
            </w:pPr>
          </w:p>
          <w:p w14:paraId="1B758382"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0642D597" w14:textId="77777777" w:rsidR="00F65BCA" w:rsidRDefault="00F65BCA">
            <w:pPr>
              <w:pStyle w:val="TableParagraph"/>
              <w:spacing w:before="8"/>
              <w:rPr>
                <w:rFonts w:ascii="Calibri"/>
                <w:b/>
                <w:sz w:val="6"/>
              </w:rPr>
            </w:pPr>
          </w:p>
          <w:p w14:paraId="4D08C0A5"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63D35C05" w14:textId="77777777" w:rsidR="00F65BCA" w:rsidRDefault="00F65BCA">
            <w:pPr>
              <w:pStyle w:val="TableParagraph"/>
              <w:spacing w:before="8"/>
              <w:rPr>
                <w:rFonts w:ascii="Calibri"/>
                <w:b/>
                <w:sz w:val="6"/>
              </w:rPr>
            </w:pPr>
          </w:p>
          <w:p w14:paraId="3E7E231A"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08157CE2" w14:textId="77777777" w:rsidR="00F65BCA" w:rsidRDefault="00F65BCA">
            <w:pPr>
              <w:pStyle w:val="TableParagraph"/>
              <w:spacing w:before="8"/>
              <w:rPr>
                <w:rFonts w:ascii="Calibri"/>
                <w:b/>
                <w:sz w:val="6"/>
              </w:rPr>
            </w:pPr>
          </w:p>
          <w:p w14:paraId="3B6494D0"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1CADB792" w14:textId="77777777" w:rsidR="00F65BCA" w:rsidRDefault="00F65BCA">
            <w:pPr>
              <w:pStyle w:val="TableParagraph"/>
              <w:spacing w:before="8"/>
              <w:rPr>
                <w:rFonts w:ascii="Calibri"/>
                <w:b/>
                <w:sz w:val="6"/>
              </w:rPr>
            </w:pPr>
          </w:p>
          <w:p w14:paraId="4F6824DE"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695B47C4" w14:textId="77777777" w:rsidR="00F65BCA" w:rsidRDefault="00F65BCA">
            <w:pPr>
              <w:pStyle w:val="TableParagraph"/>
              <w:spacing w:before="8"/>
              <w:rPr>
                <w:rFonts w:ascii="Calibri"/>
                <w:b/>
                <w:sz w:val="6"/>
              </w:rPr>
            </w:pPr>
          </w:p>
          <w:p w14:paraId="6DDD125A"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spacing w:val="-1"/>
                <w:w w:val="245"/>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5515F2F7" w14:textId="77777777" w:rsidR="00F65BCA" w:rsidRDefault="00F65BCA">
            <w:pPr>
              <w:pStyle w:val="TableParagraph"/>
              <w:spacing w:before="8"/>
              <w:rPr>
                <w:rFonts w:ascii="Calibri"/>
                <w:b/>
                <w:sz w:val="6"/>
              </w:rPr>
            </w:pPr>
          </w:p>
          <w:p w14:paraId="4616D9B4" w14:textId="77777777" w:rsidR="00F65BCA" w:rsidRDefault="00216117">
            <w:pPr>
              <w:pStyle w:val="TableParagraph"/>
              <w:spacing w:line="51" w:lineRule="exact"/>
              <w:ind w:left="10"/>
              <w:rPr>
                <w:rFonts w:ascii="Calibri"/>
                <w:sz w:val="6"/>
              </w:rPr>
            </w:pPr>
            <w:r>
              <w:rPr>
                <w:rFonts w:ascii="Calibri"/>
                <w:color w:val="231F20"/>
                <w:spacing w:val="-1"/>
                <w:w w:val="193"/>
                <w:sz w:val="6"/>
              </w:rPr>
              <w:t xml:space="preserve"> </w:t>
            </w:r>
            <w:r>
              <w:rPr>
                <w:rFonts w:ascii="Calibri"/>
                <w:color w:val="231F20"/>
                <w:spacing w:val="-1"/>
                <w:w w:val="245"/>
                <w:sz w:val="6"/>
              </w:rPr>
              <w:t xml:space="preserve"> </w:t>
            </w:r>
            <w:r>
              <w:rPr>
                <w:rFonts w:ascii="Calibri"/>
                <w:color w:val="231F20"/>
                <w:spacing w:val="-1"/>
                <w:w w:val="211"/>
                <w:sz w:val="6"/>
              </w:rPr>
              <w:t xml:space="preserve"> </w:t>
            </w:r>
            <w:r>
              <w:rPr>
                <w:rFonts w:ascii="Calibri"/>
                <w:color w:val="231F20"/>
                <w:w w:val="222"/>
                <w:sz w:val="6"/>
              </w:rPr>
              <w:t xml:space="preserve"> </w:t>
            </w:r>
            <w:r>
              <w:rPr>
                <w:rFonts w:ascii="Calibri"/>
                <w:color w:val="231F20"/>
                <w:spacing w:val="-1"/>
                <w:w w:val="222"/>
                <w:sz w:val="6"/>
              </w:rPr>
              <w:t xml:space="preserve"> </w:t>
            </w:r>
            <w:r>
              <w:rPr>
                <w:rFonts w:ascii="Calibri"/>
                <w:color w:val="231F20"/>
                <w:w w:val="266"/>
                <w:sz w:val="6"/>
              </w:rPr>
              <w:t xml:space="preserve"> </w:t>
            </w:r>
            <w:r>
              <w:rPr>
                <w:rFonts w:ascii="Calibri"/>
                <w:color w:val="231F20"/>
                <w:spacing w:val="-1"/>
                <w:w w:val="282"/>
                <w:sz w:val="6"/>
              </w:rPr>
              <w:t xml:space="preserve"> </w:t>
            </w:r>
            <w:r>
              <w:rPr>
                <w:rFonts w:ascii="Calibri"/>
                <w:color w:val="231F20"/>
                <w:w w:val="233"/>
                <w:sz w:val="6"/>
              </w:rPr>
              <w:t xml:space="preserve"> </w:t>
            </w:r>
            <w:r>
              <w:rPr>
                <w:rFonts w:ascii="Calibri"/>
                <w:color w:val="231F20"/>
                <w:w w:val="235"/>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75AA9E69" w14:textId="77777777" w:rsidR="00F65BCA" w:rsidRDefault="00F65BCA">
            <w:pPr>
              <w:pStyle w:val="TableParagraph"/>
              <w:spacing w:before="8"/>
              <w:rPr>
                <w:rFonts w:ascii="Calibri"/>
                <w:b/>
                <w:sz w:val="6"/>
              </w:rPr>
            </w:pPr>
          </w:p>
          <w:p w14:paraId="2D8C220C" w14:textId="77777777" w:rsidR="00F65BCA" w:rsidRDefault="00216117">
            <w:pPr>
              <w:pStyle w:val="TableParagraph"/>
              <w:spacing w:line="51" w:lineRule="exact"/>
              <w:ind w:left="9"/>
              <w:rPr>
                <w:rFonts w:ascii="Calibri"/>
                <w:sz w:val="6"/>
              </w:rPr>
            </w:pPr>
            <w:r>
              <w:rPr>
                <w:rFonts w:ascii="Calibri"/>
                <w:color w:val="231F20"/>
                <w:w w:val="206"/>
                <w:sz w:val="6"/>
              </w:rPr>
              <w:t xml:space="preserve">  </w:t>
            </w:r>
            <w:r>
              <w:rPr>
                <w:rFonts w:ascii="Calibri"/>
                <w:color w:val="231F20"/>
                <w:spacing w:val="-1"/>
                <w:w w:val="245"/>
                <w:sz w:val="6"/>
              </w:rPr>
              <w:t xml:space="preserve"> </w:t>
            </w:r>
            <w:r>
              <w:rPr>
                <w:rFonts w:ascii="Calibri"/>
                <w:color w:val="231F20"/>
                <w:w w:val="266"/>
                <w:sz w:val="6"/>
              </w:rPr>
              <w:t xml:space="preserve"> </w:t>
            </w:r>
            <w:r>
              <w:rPr>
                <w:rFonts w:ascii="Calibri"/>
                <w:color w:val="231F20"/>
                <w:spacing w:val="-1"/>
                <w:w w:val="193"/>
                <w:sz w:val="6"/>
              </w:rPr>
              <w:t xml:space="preserve"> </w:t>
            </w:r>
            <w:r>
              <w:rPr>
                <w:rFonts w:ascii="Calibri"/>
                <w:color w:val="231F20"/>
                <w:spacing w:val="-1"/>
                <w:w w:val="245"/>
                <w:sz w:val="6"/>
              </w:rPr>
              <w:t xml:space="preserve"> </w:t>
            </w:r>
            <w:r>
              <w:rPr>
                <w:rFonts w:ascii="Calibri"/>
                <w:color w:val="231F20"/>
                <w:w w:val="29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74030298" w14:textId="77777777" w:rsidR="00F65BCA" w:rsidRDefault="00F65BCA">
            <w:pPr>
              <w:pStyle w:val="TableParagraph"/>
              <w:spacing w:before="8"/>
              <w:rPr>
                <w:rFonts w:ascii="Calibri"/>
                <w:b/>
                <w:sz w:val="6"/>
              </w:rPr>
            </w:pPr>
          </w:p>
          <w:p w14:paraId="32877210" w14:textId="77777777" w:rsidR="00F65BCA" w:rsidRDefault="00216117">
            <w:pPr>
              <w:pStyle w:val="TableParagraph"/>
              <w:spacing w:line="51" w:lineRule="exact"/>
              <w:ind w:left="8"/>
              <w:rPr>
                <w:rFonts w:ascii="Calibri"/>
                <w:sz w:val="6"/>
              </w:rPr>
            </w:pPr>
            <w:r>
              <w:rPr>
                <w:rFonts w:ascii="Calibri"/>
                <w:color w:val="231F20"/>
                <w:spacing w:val="-1"/>
                <w:w w:val="193"/>
                <w:sz w:val="6"/>
              </w:rPr>
              <w:t xml:space="preserve"> </w:t>
            </w:r>
            <w:r>
              <w:rPr>
                <w:rFonts w:ascii="Calibri"/>
                <w:color w:val="231F20"/>
                <w:w w:val="228"/>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112F9892" w14:textId="77777777" w:rsidR="00F65BCA" w:rsidRDefault="00F65BCA">
            <w:pPr>
              <w:pStyle w:val="TableParagraph"/>
              <w:spacing w:before="8"/>
              <w:rPr>
                <w:rFonts w:ascii="Calibri"/>
                <w:b/>
                <w:sz w:val="6"/>
              </w:rPr>
            </w:pPr>
          </w:p>
          <w:p w14:paraId="69FCDAD3" w14:textId="77777777" w:rsidR="00F65BCA" w:rsidRDefault="00216117">
            <w:pPr>
              <w:pStyle w:val="TableParagraph"/>
              <w:spacing w:line="51" w:lineRule="exact"/>
              <w:ind w:left="7"/>
              <w:rPr>
                <w:rFonts w:ascii="Calibri"/>
                <w:sz w:val="6"/>
              </w:rPr>
            </w:pPr>
            <w:r>
              <w:rPr>
                <w:rFonts w:ascii="Calibri"/>
                <w:color w:val="231F20"/>
                <w:w w:val="95"/>
                <w:sz w:val="6"/>
              </w:rPr>
              <w:t>O</w:t>
            </w:r>
            <w:r>
              <w:rPr>
                <w:rFonts w:ascii="Calibri"/>
                <w:color w:val="231F20"/>
                <w:w w:val="181"/>
                <w:sz w:val="6"/>
              </w:rPr>
              <w:t xml:space="preserve">  </w:t>
            </w:r>
            <w:r>
              <w:rPr>
                <w:rFonts w:ascii="Calibri"/>
                <w:color w:val="231F20"/>
                <w:w w:val="160"/>
                <w:sz w:val="6"/>
              </w:rPr>
              <w:t xml:space="preserve"> </w:t>
            </w:r>
            <w:r>
              <w:rPr>
                <w:rFonts w:ascii="Calibri"/>
                <w:color w:val="231F20"/>
                <w:w w:val="209"/>
                <w:sz w:val="6"/>
              </w:rPr>
              <w:t xml:space="preserve"> </w:t>
            </w:r>
            <w:r>
              <w:rPr>
                <w:rFonts w:ascii="Calibri"/>
                <w:color w:val="231F20"/>
                <w:w w:val="242"/>
                <w:sz w:val="6"/>
              </w:rPr>
              <w:t xml:space="preserve"> </w:t>
            </w:r>
            <w:r>
              <w:rPr>
                <w:rFonts w:ascii="Calibri"/>
                <w:color w:val="231F20"/>
                <w:w w:val="105"/>
                <w:sz w:val="6"/>
              </w:rPr>
              <w:t xml:space="preserve"> </w:t>
            </w:r>
            <w:r>
              <w:rPr>
                <w:rFonts w:ascii="Calibri"/>
                <w:color w:val="231F20"/>
                <w:w w:val="209"/>
                <w:sz w:val="6"/>
              </w:rPr>
              <w:t xml:space="preserve"> </w:t>
            </w:r>
            <w:r>
              <w:rPr>
                <w:rFonts w:ascii="Calibri"/>
                <w:color w:val="231F20"/>
                <w:w w:val="220"/>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2463BCED" w14:textId="77777777" w:rsidR="00F65BCA" w:rsidRDefault="00F65BCA">
            <w:pPr>
              <w:pStyle w:val="TableParagraph"/>
              <w:spacing w:before="8"/>
              <w:rPr>
                <w:rFonts w:ascii="Calibri"/>
                <w:b/>
                <w:sz w:val="6"/>
              </w:rPr>
            </w:pPr>
          </w:p>
          <w:p w14:paraId="215395A2"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1EA030E9" w14:textId="77777777" w:rsidR="00F65BCA" w:rsidRDefault="00F65BCA">
            <w:pPr>
              <w:pStyle w:val="TableParagraph"/>
              <w:spacing w:before="8"/>
              <w:rPr>
                <w:rFonts w:ascii="Calibri"/>
                <w:b/>
                <w:sz w:val="6"/>
              </w:rPr>
            </w:pPr>
          </w:p>
          <w:p w14:paraId="028111F2"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2C9A2657" w14:textId="77777777" w:rsidR="00F65BCA" w:rsidRDefault="00F65BCA">
            <w:pPr>
              <w:pStyle w:val="TableParagraph"/>
              <w:spacing w:before="8"/>
              <w:rPr>
                <w:rFonts w:ascii="Calibri"/>
                <w:b/>
                <w:sz w:val="6"/>
              </w:rPr>
            </w:pPr>
          </w:p>
          <w:p w14:paraId="30BD9EA4" w14:textId="77777777" w:rsidR="00F65BCA" w:rsidRDefault="00216117">
            <w:pPr>
              <w:pStyle w:val="TableParagraph"/>
              <w:spacing w:line="51" w:lineRule="exact"/>
              <w:ind w:right="14"/>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757BCB8C" w14:textId="77777777" w:rsidR="00F65BCA" w:rsidRDefault="00F65BCA">
            <w:pPr>
              <w:pStyle w:val="TableParagraph"/>
              <w:spacing w:before="8"/>
              <w:rPr>
                <w:rFonts w:ascii="Calibri"/>
                <w:b/>
                <w:sz w:val="6"/>
              </w:rPr>
            </w:pPr>
          </w:p>
          <w:p w14:paraId="293CAF20" w14:textId="77777777" w:rsidR="00F65BCA" w:rsidRDefault="00216117">
            <w:pPr>
              <w:pStyle w:val="TableParagraph"/>
              <w:spacing w:line="51" w:lineRule="exact"/>
              <w:ind w:right="17"/>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18171C72" w14:textId="77777777" w:rsidR="00F65BCA" w:rsidRDefault="00F65BCA">
            <w:pPr>
              <w:pStyle w:val="TableParagraph"/>
              <w:spacing w:before="8"/>
              <w:rPr>
                <w:rFonts w:ascii="Calibri"/>
                <w:b/>
                <w:sz w:val="6"/>
              </w:rPr>
            </w:pPr>
          </w:p>
          <w:p w14:paraId="49AAEF45"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3DAA0A33" w14:textId="77777777" w:rsidR="00F65BCA" w:rsidRDefault="00F65BCA">
            <w:pPr>
              <w:pStyle w:val="TableParagraph"/>
              <w:spacing w:before="8"/>
              <w:rPr>
                <w:rFonts w:ascii="Calibri"/>
                <w:b/>
                <w:sz w:val="6"/>
              </w:rPr>
            </w:pPr>
          </w:p>
          <w:p w14:paraId="3F562217" w14:textId="77777777" w:rsidR="00F65BCA" w:rsidRDefault="00216117">
            <w:pPr>
              <w:pStyle w:val="TableParagraph"/>
              <w:spacing w:line="51" w:lineRule="exact"/>
              <w:ind w:right="22"/>
              <w:jc w:val="center"/>
              <w:rPr>
                <w:rFonts w:ascii="Calibri"/>
                <w:sz w:val="6"/>
              </w:rPr>
            </w:pPr>
            <w:r>
              <w:rPr>
                <w:rFonts w:ascii="Calibri"/>
                <w:color w:val="231F20"/>
                <w:w w:val="224"/>
                <w:sz w:val="6"/>
              </w:rPr>
              <w:t xml:space="preserve"> </w:t>
            </w:r>
            <w:r>
              <w:rPr>
                <w:rFonts w:ascii="Calibri"/>
                <w:color w:val="231F20"/>
                <w:w w:val="105"/>
                <w:sz w:val="6"/>
              </w:rPr>
              <w:t xml:space="preserve"> </w:t>
            </w:r>
            <w:r>
              <w:rPr>
                <w:rFonts w:ascii="Calibri"/>
                <w:color w:val="231F20"/>
                <w:w w:val="228"/>
                <w:sz w:val="6"/>
              </w:rPr>
              <w:t xml:space="preserve"> </w:t>
            </w:r>
            <w:r>
              <w:rPr>
                <w:rFonts w:ascii="Calibri"/>
                <w:color w:val="231F20"/>
                <w:w w:val="96"/>
                <w:sz w:val="6"/>
              </w:rPr>
              <w:t xml:space="preserve"> </w:t>
            </w:r>
            <w:r>
              <w:rPr>
                <w:rFonts w:ascii="Calibri"/>
                <w:color w:val="231F20"/>
                <w:sz w:val="6"/>
              </w:rPr>
              <w:t>5</w:t>
            </w:r>
            <w:r>
              <w:rPr>
                <w:rFonts w:ascii="Calibri"/>
                <w:color w:val="231F20"/>
                <w:w w:val="105"/>
                <w:sz w:val="6"/>
              </w:rPr>
              <w:t xml:space="preserve"> </w:t>
            </w:r>
            <w:r>
              <w:rPr>
                <w:rFonts w:ascii="Calibri"/>
                <w:color w:val="231F20"/>
                <w:w w:val="209"/>
                <w:sz w:val="6"/>
              </w:rPr>
              <w:t xml:space="preserve"> </w:t>
            </w:r>
            <w:r>
              <w:rPr>
                <w:rFonts w:ascii="Calibri"/>
                <w:color w:val="231F20"/>
                <w:w w:val="220"/>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6666A4D8" w14:textId="77777777" w:rsidR="00F65BCA" w:rsidRDefault="00F65BCA">
            <w:pPr>
              <w:pStyle w:val="TableParagraph"/>
              <w:spacing w:before="8"/>
              <w:rPr>
                <w:rFonts w:ascii="Calibri"/>
                <w:b/>
                <w:sz w:val="6"/>
              </w:rPr>
            </w:pPr>
          </w:p>
          <w:p w14:paraId="0ACEE02B"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3D7A821A"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1FDDE6EE" w14:textId="77777777" w:rsidR="00F65BCA" w:rsidRDefault="00F65BCA">
            <w:pPr>
              <w:pStyle w:val="TableParagraph"/>
              <w:rPr>
                <w:rFonts w:ascii="Times New Roman"/>
                <w:sz w:val="6"/>
              </w:rPr>
            </w:pPr>
          </w:p>
        </w:tc>
        <w:tc>
          <w:tcPr>
            <w:tcW w:w="311" w:type="dxa"/>
            <w:tcBorders>
              <w:top w:val="single" w:sz="2" w:space="0" w:color="231F20"/>
              <w:left w:val="single" w:sz="2" w:space="0" w:color="231F20"/>
              <w:bottom w:val="single" w:sz="2" w:space="0" w:color="231F20"/>
              <w:right w:val="single" w:sz="2" w:space="0" w:color="231F20"/>
            </w:tcBorders>
          </w:tcPr>
          <w:p w14:paraId="1EF0F6E1"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1D3BD4FB"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1B66605A" w14:textId="77777777" w:rsidR="00F65BCA" w:rsidRDefault="00F65BCA">
            <w:pPr>
              <w:pStyle w:val="TableParagraph"/>
              <w:spacing w:before="8"/>
              <w:rPr>
                <w:rFonts w:ascii="Calibri"/>
                <w:b/>
                <w:sz w:val="6"/>
              </w:rPr>
            </w:pPr>
          </w:p>
          <w:p w14:paraId="418B14E4" w14:textId="77777777" w:rsidR="00F65BCA" w:rsidRDefault="00216117">
            <w:pPr>
              <w:pStyle w:val="TableParagraph"/>
              <w:spacing w:line="51" w:lineRule="exact"/>
              <w:ind w:left="1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0FAD5183" w14:textId="77777777" w:rsidR="00F65BCA" w:rsidRDefault="00F65BCA">
            <w:pPr>
              <w:pStyle w:val="TableParagraph"/>
              <w:rPr>
                <w:rFonts w:ascii="Times New Roman"/>
                <w:sz w:val="6"/>
              </w:rPr>
            </w:pPr>
          </w:p>
        </w:tc>
        <w:tc>
          <w:tcPr>
            <w:tcW w:w="392" w:type="dxa"/>
            <w:tcBorders>
              <w:top w:val="single" w:sz="2" w:space="0" w:color="231F20"/>
              <w:left w:val="single" w:sz="2" w:space="0" w:color="231F20"/>
              <w:bottom w:val="single" w:sz="2" w:space="0" w:color="231F20"/>
              <w:right w:val="single" w:sz="2" w:space="0" w:color="231F20"/>
            </w:tcBorders>
          </w:tcPr>
          <w:p w14:paraId="071CCA89" w14:textId="77777777" w:rsidR="00F65BCA" w:rsidRDefault="00F65BCA">
            <w:pPr>
              <w:pStyle w:val="TableParagraph"/>
              <w:rPr>
                <w:rFonts w:ascii="Times New Roman"/>
                <w:sz w:val="6"/>
              </w:rPr>
            </w:pPr>
          </w:p>
        </w:tc>
        <w:tc>
          <w:tcPr>
            <w:tcW w:w="428" w:type="dxa"/>
            <w:tcBorders>
              <w:top w:val="single" w:sz="2" w:space="0" w:color="231F20"/>
              <w:left w:val="single" w:sz="2" w:space="0" w:color="231F20"/>
              <w:bottom w:val="single" w:sz="2" w:space="0" w:color="231F20"/>
            </w:tcBorders>
          </w:tcPr>
          <w:p w14:paraId="7692A93B"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737336DD"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60CB4FF"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50886617"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BC156D3"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632CA7A7" w14:textId="77777777" w:rsidR="00F65BCA" w:rsidRDefault="00F65BCA">
            <w:pPr>
              <w:pStyle w:val="TableParagraph"/>
              <w:rPr>
                <w:rFonts w:ascii="Times New Roman"/>
                <w:sz w:val="6"/>
              </w:rPr>
            </w:pPr>
          </w:p>
        </w:tc>
      </w:tr>
      <w:tr w:rsidR="00F65BCA" w14:paraId="35D427B0" w14:textId="77777777">
        <w:trPr>
          <w:trHeight w:val="153"/>
        </w:trPr>
        <w:tc>
          <w:tcPr>
            <w:tcW w:w="166" w:type="dxa"/>
            <w:tcBorders>
              <w:top w:val="single" w:sz="2" w:space="0" w:color="231F20"/>
              <w:bottom w:val="single" w:sz="2" w:space="0" w:color="231F20"/>
              <w:right w:val="single" w:sz="2" w:space="0" w:color="231F20"/>
            </w:tcBorders>
          </w:tcPr>
          <w:p w14:paraId="0A36F575" w14:textId="77777777" w:rsidR="00F65BCA" w:rsidRDefault="00F65BCA">
            <w:pPr>
              <w:pStyle w:val="TableParagraph"/>
              <w:spacing w:before="8"/>
              <w:rPr>
                <w:rFonts w:ascii="Calibri"/>
                <w:b/>
                <w:sz w:val="6"/>
              </w:rPr>
            </w:pPr>
          </w:p>
          <w:p w14:paraId="797333E9"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539B6A81" w14:textId="77777777" w:rsidR="00F65BCA" w:rsidRDefault="00F65BCA">
            <w:pPr>
              <w:pStyle w:val="TableParagraph"/>
              <w:spacing w:before="8"/>
              <w:rPr>
                <w:rFonts w:ascii="Calibri"/>
                <w:b/>
                <w:sz w:val="6"/>
              </w:rPr>
            </w:pPr>
          </w:p>
          <w:p w14:paraId="0C51B042"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34E37BD7" w14:textId="77777777" w:rsidR="00F65BCA" w:rsidRDefault="00F65BCA">
            <w:pPr>
              <w:pStyle w:val="TableParagraph"/>
              <w:spacing w:before="8"/>
              <w:rPr>
                <w:rFonts w:ascii="Calibri"/>
                <w:b/>
                <w:sz w:val="6"/>
              </w:rPr>
            </w:pPr>
          </w:p>
          <w:p w14:paraId="1612B2DC"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66646DE6" w14:textId="77777777" w:rsidR="00F65BCA" w:rsidRDefault="00F65BCA">
            <w:pPr>
              <w:pStyle w:val="TableParagraph"/>
              <w:spacing w:before="8"/>
              <w:rPr>
                <w:rFonts w:ascii="Calibri"/>
                <w:b/>
                <w:sz w:val="6"/>
              </w:rPr>
            </w:pPr>
          </w:p>
          <w:p w14:paraId="35D8F170"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5EB32A34" w14:textId="77777777" w:rsidR="00F65BCA" w:rsidRDefault="00F65BCA">
            <w:pPr>
              <w:pStyle w:val="TableParagraph"/>
              <w:spacing w:before="8"/>
              <w:rPr>
                <w:rFonts w:ascii="Calibri"/>
                <w:b/>
                <w:sz w:val="6"/>
              </w:rPr>
            </w:pPr>
          </w:p>
          <w:p w14:paraId="1A6708E6"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7DCD2AA1" w14:textId="77777777" w:rsidR="00F65BCA" w:rsidRDefault="00F65BCA">
            <w:pPr>
              <w:pStyle w:val="TableParagraph"/>
              <w:spacing w:before="8"/>
              <w:rPr>
                <w:rFonts w:ascii="Calibri"/>
                <w:b/>
                <w:sz w:val="6"/>
              </w:rPr>
            </w:pPr>
          </w:p>
          <w:p w14:paraId="42E962D7"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0E81B1CB" w14:textId="77777777" w:rsidR="00F65BCA" w:rsidRDefault="00F65BCA">
            <w:pPr>
              <w:pStyle w:val="TableParagraph"/>
              <w:spacing w:before="8"/>
              <w:rPr>
                <w:rFonts w:ascii="Calibri"/>
                <w:b/>
                <w:sz w:val="6"/>
              </w:rPr>
            </w:pPr>
          </w:p>
          <w:p w14:paraId="208E6A80" w14:textId="77777777" w:rsidR="00F65BCA" w:rsidRDefault="00216117">
            <w:pPr>
              <w:pStyle w:val="TableParagraph"/>
              <w:spacing w:line="51" w:lineRule="exact"/>
              <w:ind w:left="11"/>
              <w:rPr>
                <w:rFonts w:ascii="Calibri"/>
                <w:sz w:val="6"/>
              </w:rPr>
            </w:pPr>
            <w:r>
              <w:rPr>
                <w:rFonts w:ascii="Calibri"/>
                <w:color w:val="231F20"/>
                <w:w w:val="257"/>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12987B5B" w14:textId="77777777" w:rsidR="00F65BCA" w:rsidRDefault="00F65BCA">
            <w:pPr>
              <w:pStyle w:val="TableParagraph"/>
              <w:spacing w:before="8"/>
              <w:rPr>
                <w:rFonts w:ascii="Calibri"/>
                <w:b/>
                <w:sz w:val="6"/>
              </w:rPr>
            </w:pPr>
          </w:p>
          <w:p w14:paraId="7EC11724" w14:textId="77777777" w:rsidR="00F65BCA" w:rsidRDefault="00216117">
            <w:pPr>
              <w:pStyle w:val="TableParagraph"/>
              <w:spacing w:line="51" w:lineRule="exact"/>
              <w:ind w:left="10"/>
              <w:rPr>
                <w:rFonts w:ascii="Calibri"/>
                <w:sz w:val="6"/>
              </w:rPr>
            </w:pPr>
            <w:r>
              <w:rPr>
                <w:rFonts w:ascii="Calibri"/>
                <w:color w:val="231F20"/>
                <w:w w:val="224"/>
                <w:sz w:val="6"/>
              </w:rPr>
              <w:t xml:space="preserve"> </w:t>
            </w:r>
            <w:r>
              <w:rPr>
                <w:rFonts w:ascii="Calibri"/>
                <w:color w:val="231F20"/>
                <w:w w:val="279"/>
                <w:sz w:val="6"/>
              </w:rPr>
              <w:t xml:space="preserve">    </w:t>
            </w:r>
            <w:r>
              <w:rPr>
                <w:rFonts w:ascii="Calibri"/>
                <w:color w:val="231F20"/>
                <w:w w:val="233"/>
                <w:sz w:val="6"/>
              </w:rPr>
              <w:t xml:space="preserve">  </w:t>
            </w:r>
            <w:r>
              <w:rPr>
                <w:rFonts w:ascii="Calibri"/>
                <w:color w:val="231F20"/>
                <w:w w:val="105"/>
                <w:sz w:val="6"/>
              </w:rPr>
              <w:t>k</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50A1AC0D" w14:textId="77777777" w:rsidR="00F65BCA" w:rsidRDefault="00F65BCA">
            <w:pPr>
              <w:pStyle w:val="TableParagraph"/>
              <w:spacing w:before="8"/>
              <w:rPr>
                <w:rFonts w:ascii="Calibri"/>
                <w:b/>
                <w:sz w:val="6"/>
              </w:rPr>
            </w:pPr>
          </w:p>
          <w:p w14:paraId="65523ED2" w14:textId="77777777" w:rsidR="00F65BCA" w:rsidRDefault="00216117">
            <w:pPr>
              <w:pStyle w:val="TableParagraph"/>
              <w:spacing w:line="51" w:lineRule="exact"/>
              <w:ind w:left="9"/>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1F40DECD" w14:textId="77777777" w:rsidR="00F65BCA" w:rsidRDefault="00F65BCA">
            <w:pPr>
              <w:pStyle w:val="TableParagraph"/>
              <w:spacing w:before="8"/>
              <w:rPr>
                <w:rFonts w:ascii="Calibri"/>
                <w:b/>
                <w:sz w:val="6"/>
              </w:rPr>
            </w:pPr>
          </w:p>
          <w:p w14:paraId="16B01027" w14:textId="77777777" w:rsidR="00F65BCA" w:rsidRDefault="00216117">
            <w:pPr>
              <w:pStyle w:val="TableParagraph"/>
              <w:spacing w:line="51" w:lineRule="exact"/>
              <w:ind w:left="8"/>
              <w:rPr>
                <w:rFonts w:ascii="Calibri"/>
                <w:sz w:val="6"/>
              </w:rPr>
            </w:pPr>
            <w:r>
              <w:rPr>
                <w:rFonts w:ascii="Calibri"/>
                <w:color w:val="231F20"/>
                <w:w w:val="274"/>
                <w:sz w:val="6"/>
              </w:rPr>
              <w:t xml:space="preserve"> </w:t>
            </w:r>
            <w:r>
              <w:rPr>
                <w:rFonts w:ascii="Calibri"/>
                <w:color w:val="231F20"/>
                <w:spacing w:val="-1"/>
                <w:w w:val="274"/>
                <w:sz w:val="6"/>
              </w:rPr>
              <w:t xml:space="preserve"> </w:t>
            </w:r>
            <w:r>
              <w:rPr>
                <w:rFonts w:ascii="Calibri"/>
                <w:color w:val="231F20"/>
                <w:spacing w:val="-1"/>
                <w:w w:val="224"/>
                <w:sz w:val="6"/>
              </w:rPr>
              <w:t xml:space="preserve"> </w:t>
            </w:r>
            <w:r>
              <w:rPr>
                <w:rFonts w:ascii="Calibri"/>
                <w:color w:val="231F20"/>
                <w:w w:val="266"/>
                <w:sz w:val="6"/>
              </w:rPr>
              <w:t xml:space="preserve"> </w:t>
            </w:r>
            <w:r>
              <w:rPr>
                <w:rFonts w:ascii="Calibri"/>
                <w:color w:val="231F20"/>
                <w:spacing w:val="-1"/>
                <w:w w:val="260"/>
                <w:sz w:val="6"/>
              </w:rPr>
              <w:t xml:space="preserve"> </w:t>
            </w:r>
            <w:r>
              <w:rPr>
                <w:rFonts w:ascii="Calibri"/>
                <w:color w:val="231F20"/>
                <w:w w:val="191"/>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w w:val="170"/>
                <w:sz w:val="6"/>
              </w:rPr>
              <w:t xml:space="preserve"> </w:t>
            </w:r>
            <w:r>
              <w:rPr>
                <w:rFonts w:ascii="Calibri"/>
                <w:color w:val="231F20"/>
                <w:spacing w:val="-1"/>
                <w:w w:val="170"/>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193"/>
                <w:sz w:val="6"/>
              </w:rPr>
              <w:t xml:space="preserve"> </w:t>
            </w:r>
            <w:r>
              <w:rPr>
                <w:rFonts w:ascii="Times New Roman"/>
                <w:color w:val="231F20"/>
                <w:spacing w:val="-1"/>
                <w:sz w:val="6"/>
              </w:rPr>
              <w:t xml:space="preserve"> </w:t>
            </w:r>
            <w:r>
              <w:rPr>
                <w:rFonts w:ascii="Calibri"/>
                <w:color w:val="231F20"/>
                <w:w w:val="11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7B686C0D" w14:textId="77777777" w:rsidR="00F65BCA" w:rsidRDefault="00F65BCA">
            <w:pPr>
              <w:pStyle w:val="TableParagraph"/>
              <w:spacing w:before="8"/>
              <w:rPr>
                <w:rFonts w:ascii="Calibri"/>
                <w:b/>
                <w:sz w:val="6"/>
              </w:rPr>
            </w:pPr>
          </w:p>
          <w:p w14:paraId="70061E4A" w14:textId="77777777" w:rsidR="00F65BCA" w:rsidRDefault="00216117">
            <w:pPr>
              <w:pStyle w:val="TableParagraph"/>
              <w:spacing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35C4E88E" w14:textId="77777777" w:rsidR="00F65BCA" w:rsidRDefault="00F65BCA">
            <w:pPr>
              <w:pStyle w:val="TableParagraph"/>
              <w:spacing w:before="8"/>
              <w:rPr>
                <w:rFonts w:ascii="Calibri"/>
                <w:b/>
                <w:sz w:val="6"/>
              </w:rPr>
            </w:pPr>
          </w:p>
          <w:p w14:paraId="5E1A6A2C"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36680AFA" w14:textId="77777777" w:rsidR="00F65BCA" w:rsidRDefault="00F65BCA">
            <w:pPr>
              <w:pStyle w:val="TableParagraph"/>
              <w:spacing w:before="8"/>
              <w:rPr>
                <w:rFonts w:ascii="Calibri"/>
                <w:b/>
                <w:sz w:val="6"/>
              </w:rPr>
            </w:pPr>
          </w:p>
          <w:p w14:paraId="5079EF5D"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70E094C1" w14:textId="77777777" w:rsidR="00F65BCA" w:rsidRDefault="00F65BCA">
            <w:pPr>
              <w:pStyle w:val="TableParagraph"/>
              <w:spacing w:before="8"/>
              <w:rPr>
                <w:rFonts w:ascii="Calibri"/>
                <w:b/>
                <w:sz w:val="6"/>
              </w:rPr>
            </w:pPr>
          </w:p>
          <w:p w14:paraId="72B7A560"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0A50380F" w14:textId="77777777" w:rsidR="00F65BCA" w:rsidRDefault="00F65BCA">
            <w:pPr>
              <w:pStyle w:val="TableParagraph"/>
              <w:spacing w:before="8"/>
              <w:rPr>
                <w:rFonts w:ascii="Calibri"/>
                <w:b/>
                <w:sz w:val="6"/>
              </w:rPr>
            </w:pPr>
          </w:p>
          <w:p w14:paraId="42834561"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41098157" w14:textId="77777777" w:rsidR="00F65BCA" w:rsidRDefault="00F65BCA">
            <w:pPr>
              <w:pStyle w:val="TableParagraph"/>
              <w:spacing w:before="8"/>
              <w:rPr>
                <w:rFonts w:ascii="Calibri"/>
                <w:b/>
                <w:sz w:val="6"/>
              </w:rPr>
            </w:pPr>
          </w:p>
          <w:p w14:paraId="24B3BE0C"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1E8EAB3A" w14:textId="77777777" w:rsidR="00F65BCA" w:rsidRDefault="00F65BCA">
            <w:pPr>
              <w:pStyle w:val="TableParagraph"/>
              <w:spacing w:before="8"/>
              <w:rPr>
                <w:rFonts w:ascii="Calibri"/>
                <w:b/>
                <w:sz w:val="6"/>
              </w:rPr>
            </w:pPr>
          </w:p>
          <w:p w14:paraId="624B93E1" w14:textId="77777777" w:rsidR="00F65BCA" w:rsidRDefault="00216117">
            <w:pPr>
              <w:pStyle w:val="TableParagraph"/>
              <w:spacing w:line="51" w:lineRule="exact"/>
              <w:ind w:right="16"/>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8750758" w14:textId="77777777" w:rsidR="00F65BCA" w:rsidRDefault="00F65BCA">
            <w:pPr>
              <w:pStyle w:val="TableParagraph"/>
              <w:spacing w:before="8"/>
              <w:rPr>
                <w:rFonts w:ascii="Calibri"/>
                <w:b/>
                <w:sz w:val="6"/>
              </w:rPr>
            </w:pPr>
          </w:p>
          <w:p w14:paraId="0CA75DF7"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0BCC798B" w14:textId="77777777" w:rsidR="00F65BCA" w:rsidRDefault="00F65BCA">
            <w:pPr>
              <w:pStyle w:val="TableParagraph"/>
              <w:spacing w:before="8"/>
              <w:rPr>
                <w:rFonts w:ascii="Calibri"/>
                <w:b/>
                <w:sz w:val="6"/>
              </w:rPr>
            </w:pPr>
          </w:p>
          <w:p w14:paraId="3E5F6E70" w14:textId="77777777" w:rsidR="00F65BCA" w:rsidRDefault="00216117">
            <w:pPr>
              <w:pStyle w:val="TableParagraph"/>
              <w:spacing w:line="51" w:lineRule="exact"/>
              <w:ind w:right="4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6E1C8737" w14:textId="77777777" w:rsidR="00F65BCA" w:rsidRDefault="00F65BCA">
            <w:pPr>
              <w:pStyle w:val="TableParagraph"/>
              <w:spacing w:before="8"/>
              <w:rPr>
                <w:rFonts w:ascii="Calibri"/>
                <w:b/>
                <w:sz w:val="6"/>
              </w:rPr>
            </w:pPr>
          </w:p>
          <w:p w14:paraId="577C4297"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55136D33" w14:textId="77777777" w:rsidR="00F65BCA" w:rsidRDefault="00F65BCA">
            <w:pPr>
              <w:pStyle w:val="TableParagraph"/>
              <w:spacing w:before="8"/>
              <w:rPr>
                <w:rFonts w:ascii="Calibri"/>
                <w:b/>
                <w:sz w:val="6"/>
              </w:rPr>
            </w:pPr>
          </w:p>
          <w:p w14:paraId="65512F44"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768F3990" w14:textId="77777777" w:rsidR="00F65BCA" w:rsidRDefault="00F65BCA">
            <w:pPr>
              <w:pStyle w:val="TableParagraph"/>
              <w:spacing w:before="8"/>
              <w:rPr>
                <w:rFonts w:ascii="Calibri"/>
                <w:b/>
                <w:sz w:val="6"/>
              </w:rPr>
            </w:pPr>
          </w:p>
          <w:p w14:paraId="6FA03ECC" w14:textId="77777777" w:rsidR="00F65BCA" w:rsidRDefault="00216117">
            <w:pPr>
              <w:pStyle w:val="TableParagraph"/>
              <w:spacing w:line="51" w:lineRule="exact"/>
              <w:ind w:right="25"/>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7196111E" w14:textId="77777777" w:rsidR="00F65BCA" w:rsidRDefault="00F65BCA">
            <w:pPr>
              <w:pStyle w:val="TableParagraph"/>
              <w:spacing w:before="8"/>
              <w:rPr>
                <w:rFonts w:ascii="Calibri"/>
                <w:b/>
                <w:sz w:val="6"/>
              </w:rPr>
            </w:pPr>
          </w:p>
          <w:p w14:paraId="251B933A"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2DEBDE21" w14:textId="77777777" w:rsidR="00F65BCA" w:rsidRDefault="00F65BCA">
            <w:pPr>
              <w:pStyle w:val="TableParagraph"/>
              <w:spacing w:before="8"/>
              <w:rPr>
                <w:rFonts w:ascii="Calibri"/>
                <w:b/>
                <w:sz w:val="6"/>
              </w:rPr>
            </w:pPr>
          </w:p>
          <w:p w14:paraId="4CB56B75"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66E84EAE" w14:textId="77777777" w:rsidR="00F65BCA" w:rsidRDefault="00F65BCA">
            <w:pPr>
              <w:pStyle w:val="TableParagraph"/>
              <w:spacing w:before="8"/>
              <w:rPr>
                <w:rFonts w:ascii="Calibri"/>
                <w:b/>
                <w:sz w:val="6"/>
              </w:rPr>
            </w:pPr>
          </w:p>
          <w:p w14:paraId="791F479E"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400B7382"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125B067D"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4914AF18"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98E02B6"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80AD58A"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72AEC54E" w14:textId="77777777" w:rsidR="00F65BCA" w:rsidRDefault="00F65BCA">
            <w:pPr>
              <w:pStyle w:val="TableParagraph"/>
              <w:rPr>
                <w:rFonts w:ascii="Times New Roman"/>
                <w:sz w:val="6"/>
              </w:rPr>
            </w:pPr>
          </w:p>
        </w:tc>
      </w:tr>
      <w:tr w:rsidR="00F65BCA" w14:paraId="08080F5B" w14:textId="77777777">
        <w:trPr>
          <w:trHeight w:val="153"/>
        </w:trPr>
        <w:tc>
          <w:tcPr>
            <w:tcW w:w="166" w:type="dxa"/>
            <w:tcBorders>
              <w:top w:val="single" w:sz="2" w:space="0" w:color="231F20"/>
              <w:bottom w:val="single" w:sz="2" w:space="0" w:color="231F20"/>
              <w:right w:val="single" w:sz="2" w:space="0" w:color="231F20"/>
            </w:tcBorders>
          </w:tcPr>
          <w:p w14:paraId="27036993" w14:textId="77777777" w:rsidR="00F65BCA" w:rsidRDefault="00F65BCA">
            <w:pPr>
              <w:pStyle w:val="TableParagraph"/>
              <w:spacing w:before="8"/>
              <w:rPr>
                <w:rFonts w:ascii="Calibri"/>
                <w:b/>
                <w:sz w:val="6"/>
              </w:rPr>
            </w:pPr>
          </w:p>
          <w:p w14:paraId="48F5EFB0"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1DF91120" w14:textId="77777777" w:rsidR="00F65BCA" w:rsidRDefault="00F65BCA">
            <w:pPr>
              <w:pStyle w:val="TableParagraph"/>
              <w:spacing w:before="8"/>
              <w:rPr>
                <w:rFonts w:ascii="Calibri"/>
                <w:b/>
                <w:sz w:val="6"/>
              </w:rPr>
            </w:pPr>
          </w:p>
          <w:p w14:paraId="7712B876"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243B7DC8" w14:textId="77777777" w:rsidR="00F65BCA" w:rsidRDefault="00F65BCA">
            <w:pPr>
              <w:pStyle w:val="TableParagraph"/>
              <w:spacing w:before="8"/>
              <w:rPr>
                <w:rFonts w:ascii="Calibri"/>
                <w:b/>
                <w:sz w:val="6"/>
              </w:rPr>
            </w:pPr>
          </w:p>
          <w:p w14:paraId="19551F53"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719F796F" w14:textId="77777777" w:rsidR="00F65BCA" w:rsidRDefault="00F65BCA">
            <w:pPr>
              <w:pStyle w:val="TableParagraph"/>
              <w:spacing w:before="8"/>
              <w:rPr>
                <w:rFonts w:ascii="Calibri"/>
                <w:b/>
                <w:sz w:val="6"/>
              </w:rPr>
            </w:pPr>
          </w:p>
          <w:p w14:paraId="0E027FB4"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10E9D0EB" w14:textId="77777777" w:rsidR="00F65BCA" w:rsidRDefault="00F65BCA">
            <w:pPr>
              <w:pStyle w:val="TableParagraph"/>
              <w:spacing w:before="8"/>
              <w:rPr>
                <w:rFonts w:ascii="Calibri"/>
                <w:b/>
                <w:sz w:val="6"/>
              </w:rPr>
            </w:pPr>
          </w:p>
          <w:p w14:paraId="75008782"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305B72A6" w14:textId="77777777" w:rsidR="00F65BCA" w:rsidRDefault="00F65BCA">
            <w:pPr>
              <w:pStyle w:val="TableParagraph"/>
              <w:spacing w:before="8"/>
              <w:rPr>
                <w:rFonts w:ascii="Calibri"/>
                <w:b/>
                <w:sz w:val="6"/>
              </w:rPr>
            </w:pPr>
          </w:p>
          <w:p w14:paraId="3F4A1DDA"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1967FBFB" w14:textId="77777777" w:rsidR="00F65BCA" w:rsidRDefault="00F65BCA">
            <w:pPr>
              <w:pStyle w:val="TableParagraph"/>
              <w:spacing w:before="8"/>
              <w:rPr>
                <w:rFonts w:ascii="Calibri"/>
                <w:b/>
                <w:sz w:val="6"/>
              </w:rPr>
            </w:pPr>
          </w:p>
          <w:p w14:paraId="453A801C"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261"/>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7051874A" w14:textId="77777777" w:rsidR="00F65BCA" w:rsidRDefault="00F65BCA">
            <w:pPr>
              <w:pStyle w:val="TableParagraph"/>
              <w:spacing w:before="8"/>
              <w:rPr>
                <w:rFonts w:ascii="Calibri"/>
                <w:b/>
                <w:sz w:val="6"/>
              </w:rPr>
            </w:pPr>
          </w:p>
          <w:p w14:paraId="02C008EA" w14:textId="77777777" w:rsidR="00F65BCA" w:rsidRDefault="00216117">
            <w:pPr>
              <w:pStyle w:val="TableParagraph"/>
              <w:spacing w:line="51" w:lineRule="exact"/>
              <w:ind w:left="10"/>
              <w:rPr>
                <w:rFonts w:ascii="Calibri" w:hAnsi="Calibri"/>
                <w:sz w:val="6"/>
              </w:rPr>
            </w:pPr>
            <w:r>
              <w:rPr>
                <w:rFonts w:ascii="Calibri" w:hAnsi="Calibri"/>
                <w:color w:val="231F20"/>
                <w:w w:val="215"/>
                <w:sz w:val="6"/>
              </w:rPr>
              <w:t xml:space="preserve">ý ý </w:t>
            </w:r>
            <w:r>
              <w:rPr>
                <w:rFonts w:ascii="Calibri" w:hAnsi="Calibri"/>
                <w:color w:val="231F20"/>
                <w:w w:val="220"/>
                <w:sz w:val="6"/>
              </w:rPr>
              <w:t>ý</w:t>
            </w:r>
            <w:r>
              <w:rPr>
                <w:rFonts w:ascii="Calibri" w:hAnsi="Calibri"/>
                <w:color w:val="231F20"/>
                <w:w w:val="233"/>
                <w:sz w:val="6"/>
              </w:rPr>
              <w:t xml:space="preserve"> </w:t>
            </w:r>
            <w:r>
              <w:rPr>
                <w:rFonts w:ascii="Calibri" w:hAnsi="Calibri"/>
                <w:color w:val="231F20"/>
                <w:w w:val="189"/>
                <w:sz w:val="6"/>
              </w:rPr>
              <w:t xml:space="preserve">  </w:t>
            </w:r>
            <w:r>
              <w:rPr>
                <w:rFonts w:ascii="Calibri" w:hAns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1C22A332" w14:textId="77777777" w:rsidR="00F65BCA" w:rsidRDefault="00F65BCA">
            <w:pPr>
              <w:pStyle w:val="TableParagraph"/>
              <w:spacing w:before="8"/>
              <w:rPr>
                <w:rFonts w:ascii="Calibri"/>
                <w:b/>
                <w:sz w:val="6"/>
              </w:rPr>
            </w:pPr>
          </w:p>
          <w:p w14:paraId="77DB72C1"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27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38CE52CB" w14:textId="77777777" w:rsidR="00F65BCA" w:rsidRDefault="00F65BCA">
            <w:pPr>
              <w:pStyle w:val="TableParagraph"/>
              <w:spacing w:before="8"/>
              <w:rPr>
                <w:rFonts w:ascii="Calibri"/>
                <w:b/>
                <w:sz w:val="6"/>
              </w:rPr>
            </w:pPr>
          </w:p>
          <w:p w14:paraId="5E4B192D" w14:textId="77777777" w:rsidR="00F65BCA" w:rsidRDefault="00216117">
            <w:pPr>
              <w:pStyle w:val="TableParagraph"/>
              <w:spacing w:line="51" w:lineRule="exact"/>
              <w:ind w:left="8"/>
              <w:rPr>
                <w:rFonts w:ascii="Calibri"/>
                <w:sz w:val="6"/>
              </w:rPr>
            </w:pPr>
            <w:r>
              <w:rPr>
                <w:rFonts w:ascii="Calibri"/>
                <w:color w:val="231F20"/>
                <w:w w:val="331"/>
                <w:sz w:val="6"/>
              </w:rPr>
              <w:t xml:space="preserve">   </w:t>
            </w:r>
            <w:r>
              <w:rPr>
                <w:rFonts w:ascii="Calibri"/>
                <w:color w:val="231F20"/>
                <w:spacing w:val="-1"/>
                <w:w w:val="282"/>
                <w:sz w:val="6"/>
              </w:rPr>
              <w:t xml:space="preserve"> </w:t>
            </w:r>
            <w:r>
              <w:rPr>
                <w:rFonts w:ascii="Calibri"/>
                <w:color w:val="231F20"/>
                <w:spacing w:val="-1"/>
                <w:w w:val="224"/>
                <w:sz w:val="6"/>
              </w:rPr>
              <w:t xml:space="preserve"> </w:t>
            </w:r>
            <w:r>
              <w:rPr>
                <w:rFonts w:ascii="Calibri"/>
                <w:color w:val="231F20"/>
                <w:w w:val="304"/>
                <w:sz w:val="6"/>
              </w:rPr>
              <w:t xml:space="preserve"> </w:t>
            </w:r>
            <w:r>
              <w:rPr>
                <w:rFonts w:ascii="Times New Roman"/>
                <w:color w:val="231F20"/>
                <w:spacing w:val="-1"/>
                <w:sz w:val="6"/>
              </w:rPr>
              <w:t xml:space="preserve"> </w:t>
            </w:r>
            <w:r>
              <w:rPr>
                <w:rFonts w:ascii="Calibri"/>
                <w:color w:val="231F20"/>
                <w:w w:val="11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0211AE9D" w14:textId="77777777" w:rsidR="00F65BCA" w:rsidRDefault="00F65BCA">
            <w:pPr>
              <w:pStyle w:val="TableParagraph"/>
              <w:spacing w:before="8"/>
              <w:rPr>
                <w:rFonts w:ascii="Calibri"/>
                <w:b/>
                <w:sz w:val="6"/>
              </w:rPr>
            </w:pPr>
          </w:p>
          <w:p w14:paraId="7B6479A6" w14:textId="77777777" w:rsidR="00F65BCA" w:rsidRDefault="00216117">
            <w:pPr>
              <w:pStyle w:val="TableParagraph"/>
              <w:spacing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589BD37C" w14:textId="77777777" w:rsidR="00F65BCA" w:rsidRDefault="00F65BCA">
            <w:pPr>
              <w:pStyle w:val="TableParagraph"/>
              <w:spacing w:before="8"/>
              <w:rPr>
                <w:rFonts w:ascii="Calibri"/>
                <w:b/>
                <w:sz w:val="6"/>
              </w:rPr>
            </w:pPr>
          </w:p>
          <w:p w14:paraId="6D0D2877"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2CD65711" w14:textId="77777777" w:rsidR="00F65BCA" w:rsidRDefault="00F65BCA">
            <w:pPr>
              <w:pStyle w:val="TableParagraph"/>
              <w:spacing w:before="8"/>
              <w:rPr>
                <w:rFonts w:ascii="Calibri"/>
                <w:b/>
                <w:sz w:val="6"/>
              </w:rPr>
            </w:pPr>
          </w:p>
          <w:p w14:paraId="35D6E824"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10947310" w14:textId="77777777" w:rsidR="00F65BCA" w:rsidRDefault="00F65BCA">
            <w:pPr>
              <w:pStyle w:val="TableParagraph"/>
              <w:spacing w:before="8"/>
              <w:rPr>
                <w:rFonts w:ascii="Calibri"/>
                <w:b/>
                <w:sz w:val="6"/>
              </w:rPr>
            </w:pPr>
          </w:p>
          <w:p w14:paraId="2A0EF951"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1B7F5D5D" w14:textId="77777777" w:rsidR="00F65BCA" w:rsidRDefault="00F65BCA">
            <w:pPr>
              <w:pStyle w:val="TableParagraph"/>
              <w:spacing w:before="8"/>
              <w:rPr>
                <w:rFonts w:ascii="Calibri"/>
                <w:b/>
                <w:sz w:val="6"/>
              </w:rPr>
            </w:pPr>
          </w:p>
          <w:p w14:paraId="002D7076"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6A4010C4" w14:textId="77777777" w:rsidR="00F65BCA" w:rsidRDefault="00F65BCA">
            <w:pPr>
              <w:pStyle w:val="TableParagraph"/>
              <w:spacing w:before="8"/>
              <w:rPr>
                <w:rFonts w:ascii="Calibri"/>
                <w:b/>
                <w:sz w:val="6"/>
              </w:rPr>
            </w:pPr>
          </w:p>
          <w:p w14:paraId="36D02E5C"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6B8F4AA6" w14:textId="77777777" w:rsidR="00F65BCA" w:rsidRDefault="00F65BCA">
            <w:pPr>
              <w:pStyle w:val="TableParagraph"/>
              <w:spacing w:before="8"/>
              <w:rPr>
                <w:rFonts w:ascii="Calibri"/>
                <w:b/>
                <w:sz w:val="6"/>
              </w:rPr>
            </w:pPr>
          </w:p>
          <w:p w14:paraId="732FAA3A" w14:textId="77777777" w:rsidR="00F65BCA" w:rsidRDefault="00216117">
            <w:pPr>
              <w:pStyle w:val="TableParagraph"/>
              <w:spacing w:line="51" w:lineRule="exact"/>
              <w:ind w:right="5"/>
              <w:jc w:val="center"/>
              <w:rPr>
                <w:rFonts w:ascii="Calibri"/>
                <w:sz w:val="6"/>
              </w:rPr>
            </w:pPr>
            <w:r>
              <w:rPr>
                <w:rFonts w:ascii="Calibri"/>
                <w:color w:val="231F20"/>
                <w:w w:val="239"/>
                <w:sz w:val="6"/>
              </w:rPr>
              <w:t xml:space="preserve">  </w:t>
            </w:r>
            <w:r>
              <w:rPr>
                <w:rFonts w:ascii="Calibri"/>
                <w:color w:val="231F20"/>
                <w:spacing w:val="-1"/>
                <w:w w:val="241"/>
                <w:sz w:val="6"/>
              </w:rPr>
              <w:t xml:space="preserve"> </w:t>
            </w:r>
            <w:r>
              <w:rPr>
                <w:rFonts w:ascii="Calibri"/>
                <w:color w:val="231F20"/>
                <w:w w:val="143"/>
                <w:sz w:val="6"/>
              </w:rPr>
              <w:t xml:space="preserve"> </w:t>
            </w:r>
            <w:r>
              <w:rPr>
                <w:rFonts w:ascii="Calibri"/>
                <w:color w:val="231F20"/>
                <w:spacing w:val="-1"/>
                <w:w w:val="143"/>
                <w:sz w:val="6"/>
              </w:rPr>
              <w:t xml:space="preserve"> </w:t>
            </w:r>
            <w:r>
              <w:rPr>
                <w:rFonts w:ascii="Calibri"/>
                <w:color w:val="231F20"/>
                <w:w w:val="241"/>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6A270E1" w14:textId="77777777" w:rsidR="00F65BCA" w:rsidRDefault="00F65BCA">
            <w:pPr>
              <w:pStyle w:val="TableParagraph"/>
              <w:spacing w:before="8"/>
              <w:rPr>
                <w:rFonts w:ascii="Calibri"/>
                <w:b/>
                <w:sz w:val="6"/>
              </w:rPr>
            </w:pPr>
          </w:p>
          <w:p w14:paraId="20D11A51"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10EB6035" w14:textId="77777777" w:rsidR="00F65BCA" w:rsidRDefault="00F65BCA">
            <w:pPr>
              <w:pStyle w:val="TableParagraph"/>
              <w:spacing w:before="8"/>
              <w:rPr>
                <w:rFonts w:ascii="Calibri"/>
                <w:b/>
                <w:sz w:val="6"/>
              </w:rPr>
            </w:pPr>
          </w:p>
          <w:p w14:paraId="30D68F5F" w14:textId="77777777" w:rsidR="00F65BCA" w:rsidRDefault="00216117">
            <w:pPr>
              <w:pStyle w:val="TableParagraph"/>
              <w:spacing w:line="51" w:lineRule="exact"/>
              <w:ind w:right="4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3246F93E" w14:textId="77777777" w:rsidR="00F65BCA" w:rsidRDefault="00F65BCA">
            <w:pPr>
              <w:pStyle w:val="TableParagraph"/>
              <w:spacing w:before="8"/>
              <w:rPr>
                <w:rFonts w:ascii="Calibri"/>
                <w:b/>
                <w:sz w:val="6"/>
              </w:rPr>
            </w:pPr>
          </w:p>
          <w:p w14:paraId="67D48F2C"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6085680B" w14:textId="77777777" w:rsidR="00F65BCA" w:rsidRDefault="00F65BCA">
            <w:pPr>
              <w:pStyle w:val="TableParagraph"/>
              <w:spacing w:before="8"/>
              <w:rPr>
                <w:rFonts w:ascii="Calibri"/>
                <w:b/>
                <w:sz w:val="6"/>
              </w:rPr>
            </w:pPr>
          </w:p>
          <w:p w14:paraId="78F55EC3"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784146D6" w14:textId="77777777" w:rsidR="00F65BCA" w:rsidRDefault="00F65BCA">
            <w:pPr>
              <w:pStyle w:val="TableParagraph"/>
              <w:spacing w:before="8"/>
              <w:rPr>
                <w:rFonts w:ascii="Calibri"/>
                <w:b/>
                <w:sz w:val="6"/>
              </w:rPr>
            </w:pPr>
          </w:p>
          <w:p w14:paraId="7B478470" w14:textId="77777777" w:rsidR="00F65BCA" w:rsidRDefault="00216117">
            <w:pPr>
              <w:pStyle w:val="TableParagraph"/>
              <w:spacing w:line="51" w:lineRule="exact"/>
              <w:ind w:right="24"/>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01B0B0E8" w14:textId="77777777" w:rsidR="00F65BCA" w:rsidRDefault="00F65BCA">
            <w:pPr>
              <w:pStyle w:val="TableParagraph"/>
              <w:spacing w:before="8"/>
              <w:rPr>
                <w:rFonts w:ascii="Calibri"/>
                <w:b/>
                <w:sz w:val="6"/>
              </w:rPr>
            </w:pPr>
          </w:p>
          <w:p w14:paraId="727F5D44"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1B29E142" w14:textId="77777777" w:rsidR="00F65BCA" w:rsidRDefault="00F65BCA">
            <w:pPr>
              <w:pStyle w:val="TableParagraph"/>
              <w:spacing w:before="8"/>
              <w:rPr>
                <w:rFonts w:ascii="Calibri"/>
                <w:b/>
                <w:sz w:val="6"/>
              </w:rPr>
            </w:pPr>
          </w:p>
          <w:p w14:paraId="30B36C95"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6E594E2B" w14:textId="77777777" w:rsidR="00F65BCA" w:rsidRDefault="00F65BCA">
            <w:pPr>
              <w:pStyle w:val="TableParagraph"/>
              <w:spacing w:before="8"/>
              <w:rPr>
                <w:rFonts w:ascii="Calibri"/>
                <w:b/>
                <w:sz w:val="6"/>
              </w:rPr>
            </w:pPr>
          </w:p>
          <w:p w14:paraId="7318B0BE"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1541633C"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0888B22B"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7F27C607"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3E4F367"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715A8FCE"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3A4BC66D" w14:textId="77777777" w:rsidR="00F65BCA" w:rsidRDefault="00F65BCA">
            <w:pPr>
              <w:pStyle w:val="TableParagraph"/>
              <w:rPr>
                <w:rFonts w:ascii="Times New Roman"/>
                <w:sz w:val="6"/>
              </w:rPr>
            </w:pPr>
          </w:p>
        </w:tc>
      </w:tr>
      <w:tr w:rsidR="00F65BCA" w14:paraId="74740593" w14:textId="77777777">
        <w:trPr>
          <w:trHeight w:val="153"/>
        </w:trPr>
        <w:tc>
          <w:tcPr>
            <w:tcW w:w="166" w:type="dxa"/>
            <w:tcBorders>
              <w:top w:val="single" w:sz="2" w:space="0" w:color="231F20"/>
              <w:bottom w:val="single" w:sz="2" w:space="0" w:color="231F20"/>
              <w:right w:val="single" w:sz="2" w:space="0" w:color="231F20"/>
            </w:tcBorders>
          </w:tcPr>
          <w:p w14:paraId="3841BBAC" w14:textId="77777777" w:rsidR="00F65BCA" w:rsidRDefault="00F65BCA">
            <w:pPr>
              <w:pStyle w:val="TableParagraph"/>
              <w:spacing w:before="8"/>
              <w:rPr>
                <w:rFonts w:ascii="Calibri"/>
                <w:b/>
                <w:sz w:val="6"/>
              </w:rPr>
            </w:pPr>
          </w:p>
          <w:p w14:paraId="4CC9965E"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6C9A68AA" w14:textId="77777777" w:rsidR="00F65BCA" w:rsidRDefault="00F65BCA">
            <w:pPr>
              <w:pStyle w:val="TableParagraph"/>
              <w:spacing w:before="8"/>
              <w:rPr>
                <w:rFonts w:ascii="Calibri"/>
                <w:b/>
                <w:sz w:val="6"/>
              </w:rPr>
            </w:pPr>
          </w:p>
          <w:p w14:paraId="7AAE3DC3"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0984535C" w14:textId="77777777" w:rsidR="00F65BCA" w:rsidRDefault="00F65BCA">
            <w:pPr>
              <w:pStyle w:val="TableParagraph"/>
              <w:spacing w:before="8"/>
              <w:rPr>
                <w:rFonts w:ascii="Calibri"/>
                <w:b/>
                <w:sz w:val="6"/>
              </w:rPr>
            </w:pPr>
          </w:p>
          <w:p w14:paraId="347EAB17"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7A7673CF" w14:textId="77777777" w:rsidR="00F65BCA" w:rsidRDefault="00F65BCA">
            <w:pPr>
              <w:pStyle w:val="TableParagraph"/>
              <w:spacing w:before="8"/>
              <w:rPr>
                <w:rFonts w:ascii="Calibri"/>
                <w:b/>
                <w:sz w:val="6"/>
              </w:rPr>
            </w:pPr>
          </w:p>
          <w:p w14:paraId="2D45BFF7"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67E232A1" w14:textId="77777777" w:rsidR="00F65BCA" w:rsidRDefault="00F65BCA">
            <w:pPr>
              <w:pStyle w:val="TableParagraph"/>
              <w:spacing w:before="8"/>
              <w:rPr>
                <w:rFonts w:ascii="Calibri"/>
                <w:b/>
                <w:sz w:val="6"/>
              </w:rPr>
            </w:pPr>
          </w:p>
          <w:p w14:paraId="6BBD4AC3"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57EA19D8" w14:textId="77777777" w:rsidR="00F65BCA" w:rsidRDefault="00F65BCA">
            <w:pPr>
              <w:pStyle w:val="TableParagraph"/>
              <w:spacing w:before="8"/>
              <w:rPr>
                <w:rFonts w:ascii="Calibri"/>
                <w:b/>
                <w:sz w:val="6"/>
              </w:rPr>
            </w:pPr>
          </w:p>
          <w:p w14:paraId="4AEE48D0"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326C2922" w14:textId="77777777" w:rsidR="00F65BCA" w:rsidRDefault="00F65BCA">
            <w:pPr>
              <w:pStyle w:val="TableParagraph"/>
              <w:spacing w:before="8"/>
              <w:rPr>
                <w:rFonts w:ascii="Calibri"/>
                <w:b/>
                <w:sz w:val="6"/>
              </w:rPr>
            </w:pPr>
          </w:p>
          <w:p w14:paraId="7A72C175"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spacing w:val="-1"/>
                <w:w w:val="282"/>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1F74A9FB" w14:textId="77777777" w:rsidR="00F65BCA" w:rsidRDefault="00F65BCA">
            <w:pPr>
              <w:pStyle w:val="TableParagraph"/>
              <w:spacing w:before="8"/>
              <w:rPr>
                <w:rFonts w:ascii="Calibri"/>
                <w:b/>
                <w:sz w:val="6"/>
              </w:rPr>
            </w:pPr>
          </w:p>
          <w:p w14:paraId="59A9BB0E" w14:textId="77777777" w:rsidR="00F65BCA" w:rsidRDefault="00216117">
            <w:pPr>
              <w:pStyle w:val="TableParagraph"/>
              <w:spacing w:line="51" w:lineRule="exact"/>
              <w:ind w:left="10"/>
              <w:rPr>
                <w:rFonts w:ascii="Calibri" w:hAnsi="Calibri"/>
                <w:sz w:val="6"/>
              </w:rPr>
            </w:pPr>
            <w:r>
              <w:rPr>
                <w:rFonts w:ascii="Calibri" w:hAnsi="Calibri"/>
                <w:color w:val="231F20"/>
                <w:w w:val="185"/>
                <w:sz w:val="6"/>
              </w:rPr>
              <w:t xml:space="preserve">ý </w:t>
            </w:r>
            <w:r>
              <w:rPr>
                <w:rFonts w:ascii="Calibri" w:hAnsi="Calibri"/>
                <w:color w:val="231F20"/>
                <w:w w:val="125"/>
                <w:sz w:val="6"/>
              </w:rPr>
              <w:t xml:space="preserve">kkk </w:t>
            </w:r>
            <w:r>
              <w:rPr>
                <w:rFonts w:ascii="Calibri" w:hAnsi="Calibri"/>
                <w:color w:val="231F20"/>
                <w:w w:val="155"/>
                <w:sz w:val="6"/>
              </w:rPr>
              <w:t>k</w:t>
            </w:r>
            <w:r>
              <w:rPr>
                <w:rFonts w:ascii="Calibri" w:hAnsi="Calibri"/>
                <w:color w:val="231F20"/>
                <w:w w:val="233"/>
                <w:sz w:val="6"/>
              </w:rPr>
              <w:t xml:space="preserve"> </w:t>
            </w:r>
            <w:r>
              <w:rPr>
                <w:rFonts w:ascii="Calibri" w:hAnsi="Calibri"/>
                <w:color w:val="231F20"/>
                <w:w w:val="259"/>
                <w:sz w:val="6"/>
              </w:rPr>
              <w:t xml:space="preserve">  </w:t>
            </w:r>
            <w:r>
              <w:rPr>
                <w:rFonts w:ascii="Calibri" w:hAns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5F79DCC1" w14:textId="77777777" w:rsidR="00F65BCA" w:rsidRDefault="00F65BCA">
            <w:pPr>
              <w:pStyle w:val="TableParagraph"/>
              <w:spacing w:before="8"/>
              <w:rPr>
                <w:rFonts w:ascii="Calibri"/>
                <w:b/>
                <w:sz w:val="6"/>
              </w:rPr>
            </w:pPr>
          </w:p>
          <w:p w14:paraId="6116BBB1" w14:textId="77777777" w:rsidR="00F65BCA" w:rsidRDefault="00216117">
            <w:pPr>
              <w:pStyle w:val="TableParagraph"/>
              <w:spacing w:line="51" w:lineRule="exact"/>
              <w:ind w:left="9"/>
              <w:rPr>
                <w:rFonts w:ascii="Calibri" w:hAnsi="Calibri"/>
                <w:sz w:val="6"/>
              </w:rPr>
            </w:pPr>
            <w:r>
              <w:rPr>
                <w:rFonts w:ascii="Calibri" w:hAnsi="Calibri"/>
                <w:color w:val="231F20"/>
                <w:w w:val="260"/>
                <w:sz w:val="6"/>
              </w:rPr>
              <w:t xml:space="preserve"> </w:t>
            </w:r>
            <w:r>
              <w:rPr>
                <w:rFonts w:ascii="Calibri" w:hAnsi="Calibri"/>
                <w:color w:val="231F20"/>
                <w:w w:val="248"/>
                <w:sz w:val="6"/>
              </w:rPr>
              <w:t xml:space="preserve">  </w:t>
            </w:r>
            <w:r>
              <w:rPr>
                <w:rFonts w:ascii="Calibri" w:hAnsi="Calibri"/>
                <w:color w:val="231F20"/>
                <w:w w:val="238"/>
                <w:sz w:val="6"/>
              </w:rPr>
              <w:t xml:space="preserve"> </w:t>
            </w:r>
            <w:r>
              <w:rPr>
                <w:rFonts w:ascii="Calibri" w:hAnsi="Calibri"/>
                <w:color w:val="231F20"/>
                <w:w w:val="211"/>
                <w:sz w:val="6"/>
              </w:rPr>
              <w:t xml:space="preserve"> </w:t>
            </w:r>
            <w:r>
              <w:rPr>
                <w:rFonts w:ascii="Calibri" w:hAnsi="Calibri"/>
                <w:color w:val="231F20"/>
                <w:w w:val="205"/>
                <w:sz w:val="6"/>
              </w:rPr>
              <w:t>ý</w:t>
            </w:r>
            <w:r>
              <w:rPr>
                <w:rFonts w:ascii="Calibri" w:hAnsi="Calibri"/>
                <w:color w:val="231F20"/>
                <w:w w:val="266"/>
                <w:sz w:val="6"/>
              </w:rPr>
              <w:t xml:space="preserve"> </w:t>
            </w:r>
            <w:r>
              <w:rPr>
                <w:rFonts w:ascii="Calibri" w:hAnsi="Calibri"/>
                <w:color w:val="231F20"/>
                <w:w w:val="257"/>
                <w:sz w:val="6"/>
              </w:rPr>
              <w:t xml:space="preserve">  </w:t>
            </w:r>
            <w:r>
              <w:rPr>
                <w:rFonts w:ascii="Calibri" w:hAnsi="Calibri"/>
                <w:color w:val="231F20"/>
                <w:w w:val="29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402B5E80" w14:textId="77777777" w:rsidR="00F65BCA" w:rsidRDefault="00F65BCA">
            <w:pPr>
              <w:pStyle w:val="TableParagraph"/>
              <w:spacing w:before="8"/>
              <w:rPr>
                <w:rFonts w:ascii="Calibri"/>
                <w:b/>
                <w:sz w:val="6"/>
              </w:rPr>
            </w:pPr>
          </w:p>
          <w:p w14:paraId="5AD52F3D" w14:textId="77777777" w:rsidR="00F65BCA" w:rsidRDefault="00216117">
            <w:pPr>
              <w:pStyle w:val="TableParagraph"/>
              <w:spacing w:line="51" w:lineRule="exact"/>
              <w:ind w:left="8"/>
              <w:rPr>
                <w:rFonts w:ascii="Calibri"/>
                <w:sz w:val="6"/>
              </w:rPr>
            </w:pPr>
            <w:r>
              <w:rPr>
                <w:rFonts w:ascii="Calibri"/>
                <w:color w:val="231F20"/>
                <w:spacing w:val="-1"/>
                <w:w w:val="224"/>
                <w:sz w:val="6"/>
              </w:rPr>
              <w:t xml:space="preserve"> </w:t>
            </w:r>
            <w:r>
              <w:rPr>
                <w:rFonts w:ascii="Calibri"/>
                <w:color w:val="231F20"/>
                <w:w w:val="257"/>
                <w:sz w:val="6"/>
              </w:rPr>
              <w:t xml:space="preserve">  </w:t>
            </w:r>
            <w:r>
              <w:rPr>
                <w:rFonts w:ascii="Calibri"/>
                <w:color w:val="231F20"/>
                <w:w w:val="296"/>
                <w:sz w:val="6"/>
              </w:rPr>
              <w:t xml:space="preserve"> </w:t>
            </w:r>
            <w:r>
              <w:rPr>
                <w:rFonts w:ascii="Calibri"/>
                <w:color w:val="231F20"/>
                <w:spacing w:val="-1"/>
                <w:w w:val="211"/>
                <w:sz w:val="6"/>
              </w:rPr>
              <w:t xml:space="preserve"> </w:t>
            </w:r>
            <w:r>
              <w:rPr>
                <w:rFonts w:ascii="Calibri"/>
                <w:color w:val="231F20"/>
                <w:w w:val="237"/>
                <w:sz w:val="6"/>
              </w:rPr>
              <w:t xml:space="preserve"> </w:t>
            </w:r>
            <w:r>
              <w:rPr>
                <w:rFonts w:ascii="Calibri"/>
                <w:color w:val="231F20"/>
                <w:spacing w:val="-1"/>
                <w:w w:val="304"/>
                <w:sz w:val="6"/>
              </w:rPr>
              <w:t xml:space="preserve"> </w:t>
            </w:r>
            <w:r>
              <w:rPr>
                <w:rFonts w:ascii="Calibri"/>
                <w:color w:val="231F20"/>
                <w:w w:val="236"/>
                <w:sz w:val="6"/>
              </w:rPr>
              <w:t xml:space="preserve"> </w:t>
            </w:r>
            <w:r>
              <w:rPr>
                <w:rFonts w:ascii="Calibri"/>
                <w:color w:val="231F20"/>
                <w:spacing w:val="-1"/>
                <w:w w:val="236"/>
                <w:sz w:val="6"/>
              </w:rPr>
              <w:t xml:space="preserve"> </w:t>
            </w:r>
            <w:r>
              <w:rPr>
                <w:rFonts w:ascii="Calibri"/>
                <w:color w:val="231F20"/>
                <w:spacing w:val="-1"/>
                <w:w w:val="224"/>
                <w:sz w:val="6"/>
              </w:rPr>
              <w:t xml:space="preserve"> </w:t>
            </w:r>
            <w:r>
              <w:rPr>
                <w:rFonts w:ascii="Calibri"/>
                <w:color w:val="231F20"/>
                <w:w w:val="249"/>
                <w:sz w:val="6"/>
              </w:rPr>
              <w:t xml:space="preserve"> </w:t>
            </w:r>
            <w:r>
              <w:rPr>
                <w:rFonts w:ascii="Times New Roman"/>
                <w:color w:val="231F20"/>
                <w:spacing w:val="-1"/>
                <w:sz w:val="6"/>
              </w:rPr>
              <w:t xml:space="preserve"> </w:t>
            </w:r>
            <w:r>
              <w:rPr>
                <w:rFonts w:ascii="Calibri"/>
                <w:color w:val="231F20"/>
                <w:spacing w:val="-1"/>
                <w:w w:val="224"/>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w w:val="170"/>
                <w:sz w:val="6"/>
              </w:rPr>
              <w:t xml:space="preserve"> </w:t>
            </w:r>
            <w:r>
              <w:rPr>
                <w:rFonts w:ascii="Calibri"/>
                <w:color w:val="231F20"/>
                <w:spacing w:val="-1"/>
                <w:w w:val="170"/>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19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3F820FBA" w14:textId="77777777" w:rsidR="00F65BCA" w:rsidRDefault="00F65BCA">
            <w:pPr>
              <w:pStyle w:val="TableParagraph"/>
              <w:spacing w:before="8"/>
              <w:rPr>
                <w:rFonts w:ascii="Calibri"/>
                <w:b/>
                <w:sz w:val="6"/>
              </w:rPr>
            </w:pPr>
          </w:p>
          <w:p w14:paraId="7BA220DE" w14:textId="77777777" w:rsidR="00F65BCA" w:rsidRDefault="00216117">
            <w:pPr>
              <w:pStyle w:val="TableParagraph"/>
              <w:spacing w:line="51" w:lineRule="exact"/>
              <w:ind w:left="7"/>
              <w:rPr>
                <w:rFonts w:ascii="Calibri"/>
                <w:sz w:val="6"/>
              </w:rPr>
            </w:pPr>
            <w:r>
              <w:rPr>
                <w:rFonts w:ascii="Calibri"/>
                <w:color w:val="231F20"/>
                <w:w w:val="295"/>
                <w:sz w:val="6"/>
              </w:rPr>
              <w:t xml:space="preserve"> </w:t>
            </w:r>
            <w:r>
              <w:rPr>
                <w:rFonts w:ascii="Calibri"/>
                <w:color w:val="231F20"/>
                <w:w w:val="90"/>
                <w:sz w:val="6"/>
              </w:rPr>
              <w:t xml:space="preserve">A </w:t>
            </w:r>
            <w:r>
              <w:rPr>
                <w:rFonts w:ascii="Calibri"/>
                <w:color w:val="231F20"/>
                <w:w w:val="181"/>
                <w:sz w:val="6"/>
              </w:rPr>
              <w:t xml:space="preserve">  </w:t>
            </w:r>
            <w:r>
              <w:rPr>
                <w:rFonts w:ascii="Calibri"/>
                <w:color w:val="231F20"/>
                <w:w w:val="242"/>
                <w:sz w:val="6"/>
              </w:rPr>
              <w:t xml:space="preserve"> </w:t>
            </w:r>
            <w:r>
              <w:rPr>
                <w:rFonts w:ascii="Calibri"/>
                <w:color w:val="231F20"/>
                <w:w w:val="207"/>
                <w:sz w:val="6"/>
              </w:rPr>
              <w:t xml:space="preserve"> </w:t>
            </w:r>
            <w:r>
              <w:rPr>
                <w:rFonts w:ascii="Calibri"/>
                <w:color w:val="231F20"/>
                <w:w w:val="208"/>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15D3DDBC" w14:textId="77777777" w:rsidR="00F65BCA" w:rsidRDefault="00F65BCA">
            <w:pPr>
              <w:pStyle w:val="TableParagraph"/>
              <w:spacing w:before="8"/>
              <w:rPr>
                <w:rFonts w:ascii="Calibri"/>
                <w:b/>
                <w:sz w:val="6"/>
              </w:rPr>
            </w:pPr>
          </w:p>
          <w:p w14:paraId="7BEE3D26"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7DACE26C" w14:textId="77777777" w:rsidR="00F65BCA" w:rsidRDefault="00F65BCA">
            <w:pPr>
              <w:pStyle w:val="TableParagraph"/>
              <w:spacing w:before="8"/>
              <w:rPr>
                <w:rFonts w:ascii="Calibri"/>
                <w:b/>
                <w:sz w:val="6"/>
              </w:rPr>
            </w:pPr>
          </w:p>
          <w:p w14:paraId="6C7740BE"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35FBAE70" w14:textId="77777777" w:rsidR="00F65BCA" w:rsidRDefault="00F65BCA">
            <w:pPr>
              <w:pStyle w:val="TableParagraph"/>
              <w:spacing w:before="8"/>
              <w:rPr>
                <w:rFonts w:ascii="Calibri"/>
                <w:b/>
                <w:sz w:val="6"/>
              </w:rPr>
            </w:pPr>
          </w:p>
          <w:p w14:paraId="135FCA71"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5CE61D07" w14:textId="77777777" w:rsidR="00F65BCA" w:rsidRDefault="00F65BCA">
            <w:pPr>
              <w:pStyle w:val="TableParagraph"/>
              <w:spacing w:before="8"/>
              <w:rPr>
                <w:rFonts w:ascii="Calibri"/>
                <w:b/>
                <w:sz w:val="6"/>
              </w:rPr>
            </w:pPr>
          </w:p>
          <w:p w14:paraId="02F4766E"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7770081D" w14:textId="77777777" w:rsidR="00F65BCA" w:rsidRDefault="00F65BCA">
            <w:pPr>
              <w:pStyle w:val="TableParagraph"/>
              <w:spacing w:before="8"/>
              <w:rPr>
                <w:rFonts w:ascii="Calibri"/>
                <w:b/>
                <w:sz w:val="6"/>
              </w:rPr>
            </w:pPr>
          </w:p>
          <w:p w14:paraId="1FF43C8C"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77C38293" w14:textId="77777777" w:rsidR="00F65BCA" w:rsidRDefault="00F65BCA">
            <w:pPr>
              <w:pStyle w:val="TableParagraph"/>
              <w:spacing w:before="8"/>
              <w:rPr>
                <w:rFonts w:ascii="Calibri"/>
                <w:b/>
                <w:sz w:val="6"/>
              </w:rPr>
            </w:pPr>
          </w:p>
          <w:p w14:paraId="227538B1" w14:textId="77777777" w:rsidR="00F65BCA" w:rsidRDefault="00216117">
            <w:pPr>
              <w:pStyle w:val="TableParagraph"/>
              <w:spacing w:line="51"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60C9860" w14:textId="77777777" w:rsidR="00F65BCA" w:rsidRDefault="00F65BCA">
            <w:pPr>
              <w:pStyle w:val="TableParagraph"/>
              <w:spacing w:before="8"/>
              <w:rPr>
                <w:rFonts w:ascii="Calibri"/>
                <w:b/>
                <w:sz w:val="6"/>
              </w:rPr>
            </w:pPr>
          </w:p>
          <w:p w14:paraId="2C3E4596"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6C00537F" w14:textId="77777777" w:rsidR="00F65BCA" w:rsidRDefault="00F65BCA">
            <w:pPr>
              <w:pStyle w:val="TableParagraph"/>
              <w:spacing w:before="8"/>
              <w:rPr>
                <w:rFonts w:ascii="Calibri"/>
                <w:b/>
                <w:sz w:val="6"/>
              </w:rPr>
            </w:pPr>
          </w:p>
          <w:p w14:paraId="63901E54"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2AE86BA3" w14:textId="77777777" w:rsidR="00F65BCA" w:rsidRDefault="00F65BCA">
            <w:pPr>
              <w:pStyle w:val="TableParagraph"/>
              <w:spacing w:before="8"/>
              <w:rPr>
                <w:rFonts w:ascii="Calibri"/>
                <w:b/>
                <w:sz w:val="6"/>
              </w:rPr>
            </w:pPr>
          </w:p>
          <w:p w14:paraId="31760E01"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19040246" w14:textId="77777777" w:rsidR="00F65BCA" w:rsidRDefault="00F65BCA">
            <w:pPr>
              <w:pStyle w:val="TableParagraph"/>
              <w:spacing w:before="8"/>
              <w:rPr>
                <w:rFonts w:ascii="Calibri"/>
                <w:b/>
                <w:sz w:val="6"/>
              </w:rPr>
            </w:pPr>
          </w:p>
          <w:p w14:paraId="49D7FCF6" w14:textId="77777777" w:rsidR="00F65BCA" w:rsidRDefault="00216117">
            <w:pPr>
              <w:pStyle w:val="TableParagraph"/>
              <w:spacing w:line="51" w:lineRule="exact"/>
              <w:ind w:right="91"/>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7E1058C8" w14:textId="77777777" w:rsidR="00F65BCA" w:rsidRDefault="00F65BCA">
            <w:pPr>
              <w:pStyle w:val="TableParagraph"/>
              <w:spacing w:before="8"/>
              <w:rPr>
                <w:rFonts w:ascii="Calibri"/>
                <w:b/>
                <w:sz w:val="6"/>
              </w:rPr>
            </w:pPr>
          </w:p>
          <w:p w14:paraId="542AF4AE" w14:textId="77777777" w:rsidR="00F65BCA" w:rsidRDefault="00216117">
            <w:pPr>
              <w:pStyle w:val="TableParagraph"/>
              <w:spacing w:line="51" w:lineRule="exact"/>
              <w:ind w:right="23"/>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0EF99327" w14:textId="77777777" w:rsidR="00F65BCA" w:rsidRDefault="00F65BCA">
            <w:pPr>
              <w:pStyle w:val="TableParagraph"/>
              <w:spacing w:before="8"/>
              <w:rPr>
                <w:rFonts w:ascii="Calibri"/>
                <w:b/>
                <w:sz w:val="6"/>
              </w:rPr>
            </w:pPr>
          </w:p>
          <w:p w14:paraId="178EEDC7" w14:textId="77777777" w:rsidR="00F65BCA" w:rsidRDefault="00216117">
            <w:pPr>
              <w:pStyle w:val="TableParagraph"/>
              <w:spacing w:line="51" w:lineRule="exact"/>
              <w:ind w:left="19"/>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61449E05" w14:textId="77777777" w:rsidR="00F65BCA" w:rsidRDefault="00F65BCA">
            <w:pPr>
              <w:pStyle w:val="TableParagraph"/>
              <w:spacing w:before="8"/>
              <w:rPr>
                <w:rFonts w:ascii="Calibri"/>
                <w:b/>
                <w:sz w:val="6"/>
              </w:rPr>
            </w:pPr>
          </w:p>
          <w:p w14:paraId="206EFE89" w14:textId="77777777" w:rsidR="00F65BCA" w:rsidRDefault="00216117">
            <w:pPr>
              <w:pStyle w:val="TableParagraph"/>
              <w:spacing w:line="51" w:lineRule="exact"/>
              <w:ind w:left="3"/>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5D2783A4" w14:textId="77777777" w:rsidR="00F65BCA" w:rsidRDefault="00F65BCA">
            <w:pPr>
              <w:pStyle w:val="TableParagraph"/>
              <w:spacing w:before="8"/>
              <w:rPr>
                <w:rFonts w:ascii="Calibri"/>
                <w:b/>
                <w:sz w:val="6"/>
              </w:rPr>
            </w:pPr>
          </w:p>
          <w:p w14:paraId="4FF21B6B"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1612C6D8"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6963005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61017F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2733D57"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A04DC58"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4785D61E" w14:textId="77777777" w:rsidR="00F65BCA" w:rsidRDefault="00F65BCA">
            <w:pPr>
              <w:pStyle w:val="TableParagraph"/>
              <w:rPr>
                <w:rFonts w:ascii="Times New Roman"/>
                <w:sz w:val="6"/>
              </w:rPr>
            </w:pPr>
          </w:p>
        </w:tc>
      </w:tr>
      <w:tr w:rsidR="00F65BCA" w14:paraId="2672A7DA" w14:textId="77777777">
        <w:trPr>
          <w:trHeight w:val="153"/>
        </w:trPr>
        <w:tc>
          <w:tcPr>
            <w:tcW w:w="166" w:type="dxa"/>
            <w:tcBorders>
              <w:top w:val="single" w:sz="2" w:space="0" w:color="231F20"/>
              <w:bottom w:val="single" w:sz="2" w:space="0" w:color="231F20"/>
              <w:right w:val="single" w:sz="2" w:space="0" w:color="231F20"/>
            </w:tcBorders>
          </w:tcPr>
          <w:p w14:paraId="2206DFF3" w14:textId="77777777" w:rsidR="00F65BCA" w:rsidRDefault="00F65BCA">
            <w:pPr>
              <w:pStyle w:val="TableParagraph"/>
              <w:spacing w:before="8"/>
              <w:rPr>
                <w:rFonts w:ascii="Calibri"/>
                <w:b/>
                <w:sz w:val="6"/>
              </w:rPr>
            </w:pPr>
          </w:p>
          <w:p w14:paraId="7CCA3761"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74BB76BA" w14:textId="77777777" w:rsidR="00F65BCA" w:rsidRDefault="00F65BCA">
            <w:pPr>
              <w:pStyle w:val="TableParagraph"/>
              <w:spacing w:before="8"/>
              <w:rPr>
                <w:rFonts w:ascii="Calibri"/>
                <w:b/>
                <w:sz w:val="6"/>
              </w:rPr>
            </w:pPr>
          </w:p>
          <w:p w14:paraId="56C6AC63"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1ED044AF" w14:textId="77777777" w:rsidR="00F65BCA" w:rsidRDefault="00F65BCA">
            <w:pPr>
              <w:pStyle w:val="TableParagraph"/>
              <w:spacing w:before="8"/>
              <w:rPr>
                <w:rFonts w:ascii="Calibri"/>
                <w:b/>
                <w:sz w:val="6"/>
              </w:rPr>
            </w:pPr>
          </w:p>
          <w:p w14:paraId="36E7A493"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6FA15B50" w14:textId="77777777" w:rsidR="00F65BCA" w:rsidRDefault="00F65BCA">
            <w:pPr>
              <w:pStyle w:val="TableParagraph"/>
              <w:spacing w:before="8"/>
              <w:rPr>
                <w:rFonts w:ascii="Calibri"/>
                <w:b/>
                <w:sz w:val="6"/>
              </w:rPr>
            </w:pPr>
          </w:p>
          <w:p w14:paraId="1C3909F2"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533F4262" w14:textId="77777777" w:rsidR="00F65BCA" w:rsidRDefault="00F65BCA">
            <w:pPr>
              <w:pStyle w:val="TableParagraph"/>
              <w:spacing w:before="8"/>
              <w:rPr>
                <w:rFonts w:ascii="Calibri"/>
                <w:b/>
                <w:sz w:val="6"/>
              </w:rPr>
            </w:pPr>
          </w:p>
          <w:p w14:paraId="3CE28FA8"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5AADE2A4" w14:textId="77777777" w:rsidR="00F65BCA" w:rsidRDefault="00F65BCA">
            <w:pPr>
              <w:pStyle w:val="TableParagraph"/>
              <w:spacing w:before="8"/>
              <w:rPr>
                <w:rFonts w:ascii="Calibri"/>
                <w:b/>
                <w:sz w:val="6"/>
              </w:rPr>
            </w:pPr>
          </w:p>
          <w:p w14:paraId="5BDC99C6" w14:textId="77777777" w:rsidR="00F65BCA" w:rsidRDefault="00216117">
            <w:pPr>
              <w:pStyle w:val="TableParagraph"/>
              <w:spacing w:line="51" w:lineRule="exact"/>
              <w:ind w:left="12"/>
              <w:rPr>
                <w:rFonts w:ascii="Calibri"/>
                <w:sz w:val="6"/>
              </w:rPr>
            </w:pPr>
            <w:r>
              <w:rPr>
                <w:rFonts w:ascii="Calibri"/>
                <w:color w:val="231F20"/>
                <w:w w:val="237"/>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390425DC" w14:textId="77777777" w:rsidR="00F65BCA" w:rsidRDefault="00F65BCA">
            <w:pPr>
              <w:pStyle w:val="TableParagraph"/>
              <w:spacing w:before="8"/>
              <w:rPr>
                <w:rFonts w:ascii="Calibri"/>
                <w:b/>
                <w:sz w:val="6"/>
              </w:rPr>
            </w:pPr>
          </w:p>
          <w:p w14:paraId="6F2D3618" w14:textId="77777777" w:rsidR="00F65BCA" w:rsidRDefault="00216117">
            <w:pPr>
              <w:pStyle w:val="TableParagraph"/>
              <w:spacing w:line="51" w:lineRule="exact"/>
              <w:ind w:left="11"/>
              <w:rPr>
                <w:rFonts w:ascii="Calibri"/>
                <w:sz w:val="6"/>
              </w:rPr>
            </w:pPr>
            <w:r>
              <w:rPr>
                <w:rFonts w:ascii="Calibri"/>
                <w:color w:val="231F20"/>
                <w:w w:val="105"/>
                <w:sz w:val="6"/>
              </w:rPr>
              <w:t>k</w:t>
            </w:r>
            <w:r>
              <w:rPr>
                <w:rFonts w:ascii="Calibri"/>
                <w:color w:val="231F20"/>
                <w:w w:val="266"/>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34813A5E" w14:textId="77777777" w:rsidR="00F65BCA" w:rsidRDefault="00F65BCA">
            <w:pPr>
              <w:pStyle w:val="TableParagraph"/>
              <w:spacing w:before="8"/>
              <w:rPr>
                <w:rFonts w:ascii="Calibri"/>
                <w:b/>
                <w:sz w:val="6"/>
              </w:rPr>
            </w:pPr>
          </w:p>
          <w:p w14:paraId="5CA90788" w14:textId="77777777" w:rsidR="00F65BCA" w:rsidRDefault="00216117">
            <w:pPr>
              <w:pStyle w:val="TableParagraph"/>
              <w:spacing w:line="51" w:lineRule="exact"/>
              <w:ind w:left="10"/>
              <w:rPr>
                <w:rFonts w:ascii="Calibri"/>
                <w:sz w:val="6"/>
              </w:rPr>
            </w:pP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5B92CF03" w14:textId="77777777" w:rsidR="00F65BCA" w:rsidRDefault="00F65BCA">
            <w:pPr>
              <w:pStyle w:val="TableParagraph"/>
              <w:spacing w:before="8"/>
              <w:rPr>
                <w:rFonts w:ascii="Calibri"/>
                <w:b/>
                <w:sz w:val="6"/>
              </w:rPr>
            </w:pPr>
          </w:p>
          <w:p w14:paraId="2A1C816E" w14:textId="77777777" w:rsidR="00F65BCA" w:rsidRDefault="00216117">
            <w:pPr>
              <w:pStyle w:val="TableParagraph"/>
              <w:spacing w:line="51" w:lineRule="exact"/>
              <w:ind w:left="9"/>
              <w:rPr>
                <w:rFonts w:ascii="Calibri"/>
                <w:sz w:val="6"/>
              </w:rPr>
            </w:pPr>
            <w:r>
              <w:rPr>
                <w:rFonts w:ascii="Calibri"/>
                <w:color w:val="231F20"/>
                <w:w w:val="237"/>
                <w:sz w:val="6"/>
              </w:rPr>
              <w:t xml:space="preserve"> </w:t>
            </w:r>
            <w:r>
              <w:rPr>
                <w:rFonts w:ascii="Calibri"/>
                <w:color w:val="231F20"/>
                <w:spacing w:val="-1"/>
                <w:w w:val="237"/>
                <w:sz w:val="6"/>
              </w:rPr>
              <w:t xml:space="preserve"> </w:t>
            </w:r>
            <w:r>
              <w:rPr>
                <w:rFonts w:ascii="Calibri"/>
                <w:color w:val="231F20"/>
                <w:w w:val="267"/>
                <w:sz w:val="6"/>
              </w:rPr>
              <w:t xml:space="preserve">   </w:t>
            </w:r>
            <w:r>
              <w:rPr>
                <w:rFonts w:ascii="Times New Roman"/>
                <w:color w:val="231F20"/>
                <w:spacing w:val="-1"/>
                <w:sz w:val="6"/>
              </w:rPr>
              <w:t xml:space="preserve"> </w:t>
            </w:r>
            <w:r>
              <w:rPr>
                <w:rFonts w:ascii="Calibri"/>
                <w:color w:val="231F20"/>
                <w:spacing w:val="-1"/>
                <w:w w:val="211"/>
                <w:sz w:val="6"/>
              </w:rPr>
              <w:t xml:space="preserve"> </w:t>
            </w:r>
            <w:r>
              <w:rPr>
                <w:rFonts w:ascii="Calibri"/>
                <w:color w:val="231F20"/>
                <w:w w:val="237"/>
                <w:sz w:val="6"/>
              </w:rPr>
              <w:t xml:space="preserve"> </w:t>
            </w:r>
            <w:r>
              <w:rPr>
                <w:rFonts w:ascii="Calibri"/>
                <w:color w:val="231F20"/>
                <w:w w:val="23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29E1C8C" w14:textId="77777777" w:rsidR="00F65BCA" w:rsidRDefault="00F65BCA">
            <w:pPr>
              <w:pStyle w:val="TableParagraph"/>
              <w:spacing w:before="8"/>
              <w:rPr>
                <w:rFonts w:ascii="Calibri"/>
                <w:b/>
                <w:sz w:val="6"/>
              </w:rPr>
            </w:pPr>
          </w:p>
          <w:p w14:paraId="26B9FA8E" w14:textId="77777777" w:rsidR="00F65BCA" w:rsidRDefault="00216117">
            <w:pPr>
              <w:pStyle w:val="TableParagraph"/>
              <w:spacing w:line="51" w:lineRule="exact"/>
              <w:ind w:left="8"/>
              <w:rPr>
                <w:rFonts w:ascii="Calibri"/>
                <w:sz w:val="6"/>
              </w:rPr>
            </w:pPr>
            <w:r>
              <w:rPr>
                <w:rFonts w:ascii="Calibri"/>
                <w:color w:val="231F20"/>
                <w:w w:val="237"/>
                <w:sz w:val="6"/>
              </w:rPr>
              <w:t xml:space="preserve"> </w:t>
            </w:r>
            <w:r>
              <w:rPr>
                <w:rFonts w:ascii="Calibri"/>
                <w:color w:val="231F20"/>
                <w:spacing w:val="-1"/>
                <w:w w:val="237"/>
                <w:sz w:val="6"/>
              </w:rPr>
              <w:t xml:space="preserve"> </w:t>
            </w:r>
            <w:r>
              <w:rPr>
                <w:rFonts w:ascii="Calibri"/>
                <w:color w:val="231F20"/>
                <w:w w:val="267"/>
                <w:sz w:val="6"/>
              </w:rPr>
              <w:t xml:space="preserve">   </w:t>
            </w:r>
            <w:r>
              <w:rPr>
                <w:rFonts w:ascii="Times New Roman"/>
                <w:color w:val="231F20"/>
                <w:spacing w:val="-1"/>
                <w:sz w:val="6"/>
              </w:rPr>
              <w:t xml:space="preserve"> </w:t>
            </w:r>
            <w:r>
              <w:rPr>
                <w:rFonts w:ascii="Calibri"/>
                <w:color w:val="231F20"/>
                <w:spacing w:val="-1"/>
                <w:w w:val="211"/>
                <w:sz w:val="6"/>
              </w:rPr>
              <w:t xml:space="preserve"> </w:t>
            </w:r>
            <w:r>
              <w:rPr>
                <w:rFonts w:ascii="Calibri"/>
                <w:color w:val="231F20"/>
                <w:w w:val="237"/>
                <w:sz w:val="6"/>
              </w:rPr>
              <w:t xml:space="preserve"> </w:t>
            </w:r>
            <w:r>
              <w:rPr>
                <w:rFonts w:ascii="Calibri"/>
                <w:color w:val="231F20"/>
                <w:w w:val="23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47CDEF4E" w14:textId="77777777" w:rsidR="00F65BCA" w:rsidRDefault="00F65BCA">
            <w:pPr>
              <w:pStyle w:val="TableParagraph"/>
              <w:spacing w:before="8"/>
              <w:rPr>
                <w:rFonts w:ascii="Calibri"/>
                <w:b/>
                <w:sz w:val="6"/>
              </w:rPr>
            </w:pPr>
          </w:p>
          <w:p w14:paraId="42625562" w14:textId="77777777" w:rsidR="00F65BCA" w:rsidRDefault="00216117">
            <w:pPr>
              <w:pStyle w:val="TableParagraph"/>
              <w:spacing w:line="51" w:lineRule="exact"/>
              <w:ind w:left="7"/>
              <w:rPr>
                <w:rFonts w:ascii="Calibri"/>
                <w:sz w:val="6"/>
              </w:rPr>
            </w:pPr>
            <w:r>
              <w:rPr>
                <w:rFonts w:ascii="Calibri"/>
                <w:color w:val="231F20"/>
                <w:w w:val="237"/>
                <w:sz w:val="6"/>
              </w:rPr>
              <w:t xml:space="preserve"> </w:t>
            </w:r>
            <w:r>
              <w:rPr>
                <w:rFonts w:ascii="Calibri"/>
                <w:color w:val="231F20"/>
                <w:w w:val="160"/>
                <w:sz w:val="6"/>
              </w:rPr>
              <w:t xml:space="preserve"> </w:t>
            </w:r>
            <w:r>
              <w:rPr>
                <w:rFonts w:ascii="Calibri"/>
                <w:color w:val="231F20"/>
                <w:spacing w:val="-1"/>
                <w:w w:val="105"/>
                <w:sz w:val="6"/>
              </w:rPr>
              <w:t xml:space="preserve"> </w:t>
            </w:r>
            <w:r>
              <w:rPr>
                <w:rFonts w:ascii="Calibri"/>
                <w:color w:val="231F20"/>
                <w:w w:val="207"/>
                <w:sz w:val="6"/>
              </w:rPr>
              <w:t xml:space="preserve"> </w:t>
            </w:r>
            <w:r>
              <w:rPr>
                <w:rFonts w:ascii="Calibri"/>
                <w:color w:val="231F20"/>
                <w:w w:val="228"/>
                <w:sz w:val="6"/>
              </w:rPr>
              <w:t xml:space="preserve"> </w:t>
            </w:r>
            <w:r>
              <w:rPr>
                <w:rFonts w:ascii="Calibri"/>
                <w:color w:val="231F20"/>
                <w:w w:val="179"/>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51726678" w14:textId="77777777" w:rsidR="00F65BCA" w:rsidRDefault="00F65BCA">
            <w:pPr>
              <w:pStyle w:val="TableParagraph"/>
              <w:spacing w:before="8"/>
              <w:rPr>
                <w:rFonts w:ascii="Calibri"/>
                <w:b/>
                <w:sz w:val="6"/>
              </w:rPr>
            </w:pPr>
          </w:p>
          <w:p w14:paraId="2CD1E994"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0BFAA065" w14:textId="77777777" w:rsidR="00F65BCA" w:rsidRDefault="00F65BCA">
            <w:pPr>
              <w:pStyle w:val="TableParagraph"/>
              <w:spacing w:before="8"/>
              <w:rPr>
                <w:rFonts w:ascii="Calibri"/>
                <w:b/>
                <w:sz w:val="6"/>
              </w:rPr>
            </w:pPr>
          </w:p>
          <w:p w14:paraId="28E7FD10"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66E41565" w14:textId="77777777" w:rsidR="00F65BCA" w:rsidRDefault="00F65BCA">
            <w:pPr>
              <w:pStyle w:val="TableParagraph"/>
              <w:spacing w:before="8"/>
              <w:rPr>
                <w:rFonts w:ascii="Calibri"/>
                <w:b/>
                <w:sz w:val="6"/>
              </w:rPr>
            </w:pPr>
          </w:p>
          <w:p w14:paraId="5715A193"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73E47517" w14:textId="77777777" w:rsidR="00F65BCA" w:rsidRDefault="00F65BCA">
            <w:pPr>
              <w:pStyle w:val="TableParagraph"/>
              <w:spacing w:before="8"/>
              <w:rPr>
                <w:rFonts w:ascii="Calibri"/>
                <w:b/>
                <w:sz w:val="6"/>
              </w:rPr>
            </w:pPr>
          </w:p>
          <w:p w14:paraId="1E6CFAC1"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55DC7A48" w14:textId="77777777" w:rsidR="00F65BCA" w:rsidRDefault="00F65BCA">
            <w:pPr>
              <w:pStyle w:val="TableParagraph"/>
              <w:rPr>
                <w:rFonts w:ascii="Times New Roman"/>
                <w:sz w:val="6"/>
              </w:rPr>
            </w:pPr>
          </w:p>
        </w:tc>
        <w:tc>
          <w:tcPr>
            <w:tcW w:w="278" w:type="dxa"/>
            <w:tcBorders>
              <w:top w:val="single" w:sz="2" w:space="0" w:color="231F20"/>
              <w:left w:val="single" w:sz="2" w:space="0" w:color="231F20"/>
              <w:bottom w:val="single" w:sz="2" w:space="0" w:color="231F20"/>
              <w:right w:val="single" w:sz="2" w:space="0" w:color="231F20"/>
            </w:tcBorders>
          </w:tcPr>
          <w:p w14:paraId="064BF088"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2A5732C0" w14:textId="77777777" w:rsidR="00F65BCA" w:rsidRDefault="00F65BCA">
            <w:pPr>
              <w:pStyle w:val="TableParagraph"/>
              <w:spacing w:before="8"/>
              <w:rPr>
                <w:rFonts w:ascii="Calibri"/>
                <w:b/>
                <w:sz w:val="6"/>
              </w:rPr>
            </w:pPr>
          </w:p>
          <w:p w14:paraId="6E42C311"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124262C8"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17D45306" w14:textId="77777777" w:rsidR="00F65BCA" w:rsidRDefault="00F65BCA">
            <w:pPr>
              <w:pStyle w:val="TableParagraph"/>
              <w:rPr>
                <w:rFonts w:ascii="Times New Roman"/>
                <w:sz w:val="6"/>
              </w:rPr>
            </w:pPr>
          </w:p>
        </w:tc>
        <w:tc>
          <w:tcPr>
            <w:tcW w:w="311" w:type="dxa"/>
            <w:tcBorders>
              <w:top w:val="single" w:sz="2" w:space="0" w:color="231F20"/>
              <w:left w:val="single" w:sz="2" w:space="0" w:color="231F20"/>
              <w:bottom w:val="single" w:sz="2" w:space="0" w:color="231F20"/>
              <w:right w:val="single" w:sz="2" w:space="0" w:color="231F20"/>
            </w:tcBorders>
          </w:tcPr>
          <w:p w14:paraId="4781C1C7"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57F3DCC3"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41690D24" w14:textId="77777777" w:rsidR="00F65BCA" w:rsidRDefault="00F65BCA">
            <w:pPr>
              <w:pStyle w:val="TableParagraph"/>
              <w:rPr>
                <w:rFonts w:ascii="Times New Roman"/>
                <w:sz w:val="6"/>
              </w:rPr>
            </w:pPr>
          </w:p>
        </w:tc>
        <w:tc>
          <w:tcPr>
            <w:tcW w:w="296" w:type="dxa"/>
            <w:tcBorders>
              <w:top w:val="single" w:sz="2" w:space="0" w:color="231F20"/>
              <w:left w:val="single" w:sz="2" w:space="0" w:color="231F20"/>
              <w:bottom w:val="single" w:sz="2" w:space="0" w:color="231F20"/>
              <w:right w:val="single" w:sz="2" w:space="0" w:color="231F20"/>
            </w:tcBorders>
          </w:tcPr>
          <w:p w14:paraId="7629F1EB" w14:textId="77777777" w:rsidR="00F65BCA" w:rsidRDefault="00F65BCA">
            <w:pPr>
              <w:pStyle w:val="TableParagraph"/>
              <w:rPr>
                <w:rFonts w:ascii="Times New Roman"/>
                <w:sz w:val="6"/>
              </w:rPr>
            </w:pPr>
          </w:p>
        </w:tc>
        <w:tc>
          <w:tcPr>
            <w:tcW w:w="392" w:type="dxa"/>
            <w:tcBorders>
              <w:top w:val="single" w:sz="2" w:space="0" w:color="231F20"/>
              <w:left w:val="single" w:sz="2" w:space="0" w:color="231F20"/>
              <w:bottom w:val="single" w:sz="2" w:space="0" w:color="231F20"/>
              <w:right w:val="single" w:sz="2" w:space="0" w:color="231F20"/>
            </w:tcBorders>
          </w:tcPr>
          <w:p w14:paraId="4232CE64" w14:textId="77777777" w:rsidR="00F65BCA" w:rsidRDefault="00F65BCA">
            <w:pPr>
              <w:pStyle w:val="TableParagraph"/>
              <w:rPr>
                <w:rFonts w:ascii="Times New Roman"/>
                <w:sz w:val="6"/>
              </w:rPr>
            </w:pPr>
          </w:p>
        </w:tc>
        <w:tc>
          <w:tcPr>
            <w:tcW w:w="428" w:type="dxa"/>
            <w:tcBorders>
              <w:top w:val="single" w:sz="2" w:space="0" w:color="231F20"/>
              <w:left w:val="single" w:sz="2" w:space="0" w:color="231F20"/>
              <w:bottom w:val="single" w:sz="2" w:space="0" w:color="231F20"/>
            </w:tcBorders>
          </w:tcPr>
          <w:p w14:paraId="32249C49"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418C5AB6"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4080C8D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7A4C575"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7737D093"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334984A6" w14:textId="77777777" w:rsidR="00F65BCA" w:rsidRDefault="00F65BCA">
            <w:pPr>
              <w:pStyle w:val="TableParagraph"/>
              <w:rPr>
                <w:rFonts w:ascii="Times New Roman"/>
                <w:sz w:val="6"/>
              </w:rPr>
            </w:pPr>
          </w:p>
        </w:tc>
      </w:tr>
      <w:tr w:rsidR="00F65BCA" w14:paraId="2B306B87" w14:textId="77777777">
        <w:trPr>
          <w:trHeight w:val="153"/>
        </w:trPr>
        <w:tc>
          <w:tcPr>
            <w:tcW w:w="166" w:type="dxa"/>
            <w:tcBorders>
              <w:top w:val="single" w:sz="2" w:space="0" w:color="231F20"/>
              <w:bottom w:val="single" w:sz="2" w:space="0" w:color="231F20"/>
              <w:right w:val="single" w:sz="2" w:space="0" w:color="231F20"/>
            </w:tcBorders>
          </w:tcPr>
          <w:p w14:paraId="179E1DFB" w14:textId="77777777" w:rsidR="00F65BCA" w:rsidRDefault="00F65BCA">
            <w:pPr>
              <w:pStyle w:val="TableParagraph"/>
              <w:spacing w:before="8"/>
              <w:rPr>
                <w:rFonts w:ascii="Calibri"/>
                <w:b/>
                <w:sz w:val="6"/>
              </w:rPr>
            </w:pPr>
          </w:p>
          <w:p w14:paraId="27F0DA1C"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5DEC394A" w14:textId="77777777" w:rsidR="00F65BCA" w:rsidRDefault="00F65BCA">
            <w:pPr>
              <w:pStyle w:val="TableParagraph"/>
              <w:spacing w:before="8"/>
              <w:rPr>
                <w:rFonts w:ascii="Calibri"/>
                <w:b/>
                <w:sz w:val="6"/>
              </w:rPr>
            </w:pPr>
          </w:p>
          <w:p w14:paraId="4A5EB2E9"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2E02651E" w14:textId="77777777" w:rsidR="00F65BCA" w:rsidRDefault="00F65BCA">
            <w:pPr>
              <w:pStyle w:val="TableParagraph"/>
              <w:spacing w:before="8"/>
              <w:rPr>
                <w:rFonts w:ascii="Calibri"/>
                <w:b/>
                <w:sz w:val="6"/>
              </w:rPr>
            </w:pPr>
          </w:p>
          <w:p w14:paraId="2CEE0CE3"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437123E7" w14:textId="77777777" w:rsidR="00F65BCA" w:rsidRDefault="00F65BCA">
            <w:pPr>
              <w:pStyle w:val="TableParagraph"/>
              <w:spacing w:before="8"/>
              <w:rPr>
                <w:rFonts w:ascii="Calibri"/>
                <w:b/>
                <w:sz w:val="6"/>
              </w:rPr>
            </w:pPr>
          </w:p>
          <w:p w14:paraId="667B1AAD"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1BBB3CCF" w14:textId="77777777" w:rsidR="00F65BCA" w:rsidRDefault="00F65BCA">
            <w:pPr>
              <w:pStyle w:val="TableParagraph"/>
              <w:spacing w:before="8"/>
              <w:rPr>
                <w:rFonts w:ascii="Calibri"/>
                <w:b/>
                <w:sz w:val="6"/>
              </w:rPr>
            </w:pPr>
          </w:p>
          <w:p w14:paraId="7918A27E"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411EBF0C" w14:textId="77777777" w:rsidR="00F65BCA" w:rsidRDefault="00F65BCA">
            <w:pPr>
              <w:pStyle w:val="TableParagraph"/>
              <w:spacing w:before="8"/>
              <w:rPr>
                <w:rFonts w:ascii="Calibri"/>
                <w:b/>
                <w:sz w:val="6"/>
              </w:rPr>
            </w:pPr>
          </w:p>
          <w:p w14:paraId="53941230"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728AABAD" w14:textId="77777777" w:rsidR="00F65BCA" w:rsidRDefault="00F65BCA">
            <w:pPr>
              <w:pStyle w:val="TableParagraph"/>
              <w:spacing w:before="8"/>
              <w:rPr>
                <w:rFonts w:ascii="Calibri"/>
                <w:b/>
                <w:sz w:val="6"/>
              </w:rPr>
            </w:pPr>
          </w:p>
          <w:p w14:paraId="4CE90FCC"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spacing w:val="-1"/>
                <w:w w:val="224"/>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240FDA01" w14:textId="77777777" w:rsidR="00F65BCA" w:rsidRDefault="00F65BCA">
            <w:pPr>
              <w:pStyle w:val="TableParagraph"/>
              <w:spacing w:before="8"/>
              <w:rPr>
                <w:rFonts w:ascii="Calibri"/>
                <w:b/>
                <w:sz w:val="6"/>
              </w:rPr>
            </w:pPr>
          </w:p>
          <w:p w14:paraId="0F2B2A7D" w14:textId="77777777" w:rsidR="00F65BCA" w:rsidRDefault="00216117">
            <w:pPr>
              <w:pStyle w:val="TableParagraph"/>
              <w:spacing w:line="51" w:lineRule="exact"/>
              <w:ind w:left="10"/>
              <w:rPr>
                <w:rFonts w:ascii="Calibri"/>
                <w:sz w:val="6"/>
              </w:rPr>
            </w:pPr>
            <w:r>
              <w:rPr>
                <w:rFonts w:ascii="Calibri"/>
                <w:color w:val="231F20"/>
                <w:spacing w:val="-1"/>
                <w:w w:val="260"/>
                <w:sz w:val="6"/>
              </w:rPr>
              <w:t xml:space="preserve"> </w:t>
            </w:r>
            <w:r>
              <w:rPr>
                <w:rFonts w:ascii="Calibri"/>
                <w:color w:val="231F20"/>
                <w:spacing w:val="-1"/>
                <w:w w:val="211"/>
                <w:sz w:val="6"/>
              </w:rPr>
              <w:t xml:space="preserve"> </w:t>
            </w:r>
            <w:r>
              <w:rPr>
                <w:rFonts w:ascii="Calibri"/>
                <w:color w:val="231F20"/>
                <w:w w:val="228"/>
                <w:sz w:val="6"/>
              </w:rPr>
              <w:t xml:space="preserve">  </w:t>
            </w:r>
            <w:r>
              <w:rPr>
                <w:rFonts w:ascii="Calibri"/>
                <w:color w:val="231F20"/>
                <w:w w:val="266"/>
                <w:sz w:val="6"/>
              </w:rPr>
              <w:t xml:space="preserve"> </w:t>
            </w:r>
            <w:r>
              <w:rPr>
                <w:rFonts w:ascii="Calibri"/>
                <w:color w:val="231F20"/>
                <w:w w:val="295"/>
                <w:sz w:val="6"/>
              </w:rPr>
              <w:t xml:space="preserve"> </w:t>
            </w:r>
            <w:r>
              <w:rPr>
                <w:rFonts w:ascii="Calibri"/>
                <w:color w:val="231F20"/>
                <w:w w:val="315"/>
                <w:sz w:val="6"/>
              </w:rPr>
              <w:t xml:space="preserve">  </w:t>
            </w:r>
            <w:r>
              <w:rPr>
                <w:rFonts w:ascii="Calibri"/>
                <w:color w:val="231F20"/>
                <w:w w:val="266"/>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0609B3E3" w14:textId="77777777" w:rsidR="00F65BCA" w:rsidRDefault="00F65BCA">
            <w:pPr>
              <w:pStyle w:val="TableParagraph"/>
              <w:spacing w:before="8"/>
              <w:rPr>
                <w:rFonts w:ascii="Calibri"/>
                <w:b/>
                <w:sz w:val="6"/>
              </w:rPr>
            </w:pPr>
          </w:p>
          <w:p w14:paraId="3D46C0F7" w14:textId="77777777" w:rsidR="00F65BCA" w:rsidRDefault="00216117">
            <w:pPr>
              <w:pStyle w:val="TableParagraph"/>
              <w:spacing w:line="51" w:lineRule="exact"/>
              <w:ind w:left="10"/>
              <w:rPr>
                <w:rFonts w:ascii="Calibri"/>
                <w:sz w:val="6"/>
              </w:rPr>
            </w:pPr>
            <w:r>
              <w:rPr>
                <w:rFonts w:ascii="Calibri"/>
                <w:color w:val="231F20"/>
                <w:w w:val="237"/>
                <w:sz w:val="6"/>
              </w:rPr>
              <w:t xml:space="preserve"> </w:t>
            </w:r>
            <w:r>
              <w:rPr>
                <w:rFonts w:ascii="Calibri"/>
                <w:color w:val="231F20"/>
                <w:spacing w:val="-1"/>
                <w:w w:val="224"/>
                <w:sz w:val="6"/>
              </w:rPr>
              <w:t xml:space="preserve"> </w:t>
            </w:r>
            <w:r>
              <w:rPr>
                <w:rFonts w:ascii="Calibri"/>
                <w:color w:val="231F20"/>
                <w:w w:val="295"/>
                <w:sz w:val="6"/>
              </w:rPr>
              <w:t xml:space="preserve"> </w:t>
            </w:r>
            <w:r>
              <w:rPr>
                <w:rFonts w:ascii="Calibri"/>
                <w:color w:val="231F20"/>
                <w:w w:val="257"/>
                <w:sz w:val="6"/>
              </w:rPr>
              <w:t xml:space="preserve">  </w:t>
            </w:r>
            <w:r>
              <w:rPr>
                <w:rFonts w:ascii="Calibri"/>
                <w:color w:val="231F20"/>
                <w:w w:val="264"/>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5E6591BB" w14:textId="77777777" w:rsidR="00F65BCA" w:rsidRDefault="00F65BCA">
            <w:pPr>
              <w:pStyle w:val="TableParagraph"/>
              <w:spacing w:before="8"/>
              <w:rPr>
                <w:rFonts w:ascii="Calibri"/>
                <w:b/>
                <w:sz w:val="6"/>
              </w:rPr>
            </w:pPr>
          </w:p>
          <w:p w14:paraId="79949024" w14:textId="77777777" w:rsidR="00F65BCA" w:rsidRDefault="00216117">
            <w:pPr>
              <w:pStyle w:val="TableParagraph"/>
              <w:spacing w:line="51" w:lineRule="exact"/>
              <w:ind w:left="9"/>
              <w:rPr>
                <w:rFonts w:ascii="Calibri"/>
                <w:sz w:val="6"/>
              </w:rPr>
            </w:pPr>
            <w:r>
              <w:rPr>
                <w:rFonts w:ascii="Calibri"/>
                <w:color w:val="231F20"/>
                <w:w w:val="254"/>
                <w:sz w:val="6"/>
              </w:rPr>
              <w:t xml:space="preserve">   </w:t>
            </w:r>
            <w:r>
              <w:rPr>
                <w:rFonts w:ascii="Calibri"/>
                <w:color w:val="231F20"/>
                <w:spacing w:val="-1"/>
                <w:w w:val="254"/>
                <w:sz w:val="6"/>
              </w:rPr>
              <w:t xml:space="preserve"> </w:t>
            </w:r>
            <w:r>
              <w:rPr>
                <w:rFonts w:ascii="Calibri"/>
                <w:color w:val="231F20"/>
                <w:w w:val="249"/>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w w:val="170"/>
                <w:sz w:val="6"/>
              </w:rPr>
              <w:t xml:space="preserve"> </w:t>
            </w:r>
            <w:r>
              <w:rPr>
                <w:rFonts w:ascii="Calibri"/>
                <w:color w:val="231F20"/>
                <w:spacing w:val="-1"/>
                <w:w w:val="170"/>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19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536AB3C8" w14:textId="77777777" w:rsidR="00F65BCA" w:rsidRDefault="00F65BCA">
            <w:pPr>
              <w:pStyle w:val="TableParagraph"/>
              <w:spacing w:before="8"/>
              <w:rPr>
                <w:rFonts w:ascii="Calibri"/>
                <w:b/>
                <w:sz w:val="6"/>
              </w:rPr>
            </w:pPr>
          </w:p>
          <w:p w14:paraId="3F7FDF7D" w14:textId="77777777" w:rsidR="00F65BCA" w:rsidRDefault="00216117">
            <w:pPr>
              <w:pStyle w:val="TableParagraph"/>
              <w:spacing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27ADA477" w14:textId="77777777" w:rsidR="00F65BCA" w:rsidRDefault="00F65BCA">
            <w:pPr>
              <w:pStyle w:val="TableParagraph"/>
              <w:spacing w:before="8"/>
              <w:rPr>
                <w:rFonts w:ascii="Calibri"/>
                <w:b/>
                <w:sz w:val="6"/>
              </w:rPr>
            </w:pPr>
          </w:p>
          <w:p w14:paraId="4B8B2BD7"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351DC34E" w14:textId="77777777" w:rsidR="00F65BCA" w:rsidRDefault="00F65BCA">
            <w:pPr>
              <w:pStyle w:val="TableParagraph"/>
              <w:spacing w:before="8"/>
              <w:rPr>
                <w:rFonts w:ascii="Calibri"/>
                <w:b/>
                <w:sz w:val="6"/>
              </w:rPr>
            </w:pPr>
          </w:p>
          <w:p w14:paraId="51DA45E6"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3DB87C18" w14:textId="77777777" w:rsidR="00F65BCA" w:rsidRDefault="00F65BCA">
            <w:pPr>
              <w:pStyle w:val="TableParagraph"/>
              <w:spacing w:before="8"/>
              <w:rPr>
                <w:rFonts w:ascii="Calibri"/>
                <w:b/>
                <w:sz w:val="6"/>
              </w:rPr>
            </w:pPr>
          </w:p>
          <w:p w14:paraId="697D8201" w14:textId="77777777" w:rsidR="00F65BCA" w:rsidRDefault="00216117">
            <w:pPr>
              <w:pStyle w:val="TableParagraph"/>
              <w:spacing w:line="51" w:lineRule="exact"/>
              <w:ind w:right="18"/>
              <w:jc w:val="right"/>
              <w:rPr>
                <w:rFonts w:ascii="Calibri"/>
                <w:sz w:val="6"/>
              </w:rPr>
            </w:pPr>
            <w:r>
              <w:rPr>
                <w:rFonts w:ascii="Calibri"/>
                <w:color w:val="231F20"/>
                <w:spacing w:val="-1"/>
                <w:w w:val="233"/>
                <w:sz w:val="6"/>
              </w:rPr>
              <w:t xml:space="preserve"> </w:t>
            </w: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0EF13FAD" w14:textId="77777777" w:rsidR="00F65BCA" w:rsidRDefault="00F65BCA">
            <w:pPr>
              <w:pStyle w:val="TableParagraph"/>
              <w:spacing w:before="8"/>
              <w:rPr>
                <w:rFonts w:ascii="Calibri"/>
                <w:b/>
                <w:sz w:val="6"/>
              </w:rPr>
            </w:pPr>
          </w:p>
          <w:p w14:paraId="5824851F"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0C13D5B9" w14:textId="77777777" w:rsidR="00F65BCA" w:rsidRDefault="00F65BCA">
            <w:pPr>
              <w:pStyle w:val="TableParagraph"/>
              <w:spacing w:before="8"/>
              <w:rPr>
                <w:rFonts w:ascii="Calibri"/>
                <w:b/>
                <w:sz w:val="6"/>
              </w:rPr>
            </w:pPr>
          </w:p>
          <w:p w14:paraId="6FFADD6A"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060D2917" w14:textId="77777777" w:rsidR="00F65BCA" w:rsidRDefault="00F65BCA">
            <w:pPr>
              <w:pStyle w:val="TableParagraph"/>
              <w:spacing w:before="8"/>
              <w:rPr>
                <w:rFonts w:ascii="Calibri"/>
                <w:b/>
                <w:sz w:val="6"/>
              </w:rPr>
            </w:pPr>
          </w:p>
          <w:p w14:paraId="41EE1B51" w14:textId="77777777" w:rsidR="00F65BCA" w:rsidRDefault="00216117">
            <w:pPr>
              <w:pStyle w:val="TableParagraph"/>
              <w:spacing w:line="51"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669AC299" w14:textId="77777777" w:rsidR="00F65BCA" w:rsidRDefault="00F65BCA">
            <w:pPr>
              <w:pStyle w:val="TableParagraph"/>
              <w:spacing w:before="8"/>
              <w:rPr>
                <w:rFonts w:ascii="Calibri"/>
                <w:b/>
                <w:sz w:val="6"/>
              </w:rPr>
            </w:pPr>
          </w:p>
          <w:p w14:paraId="5A284F0F"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576DC65E" w14:textId="77777777" w:rsidR="00F65BCA" w:rsidRDefault="00F65BCA">
            <w:pPr>
              <w:pStyle w:val="TableParagraph"/>
              <w:spacing w:before="8"/>
              <w:rPr>
                <w:rFonts w:ascii="Calibri"/>
                <w:b/>
                <w:sz w:val="6"/>
              </w:rPr>
            </w:pPr>
          </w:p>
          <w:p w14:paraId="295FEEC6"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6057E79D" w14:textId="77777777" w:rsidR="00F65BCA" w:rsidRDefault="00F65BCA">
            <w:pPr>
              <w:pStyle w:val="TableParagraph"/>
              <w:spacing w:before="8"/>
              <w:rPr>
                <w:rFonts w:ascii="Calibri"/>
                <w:b/>
                <w:sz w:val="6"/>
              </w:rPr>
            </w:pPr>
          </w:p>
          <w:p w14:paraId="275D4907"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40C766F6" w14:textId="77777777" w:rsidR="00F65BCA" w:rsidRDefault="00F65BCA">
            <w:pPr>
              <w:pStyle w:val="TableParagraph"/>
              <w:spacing w:before="8"/>
              <w:rPr>
                <w:rFonts w:ascii="Calibri"/>
                <w:b/>
                <w:sz w:val="6"/>
              </w:rPr>
            </w:pPr>
          </w:p>
          <w:p w14:paraId="3CC5C7E7"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0A92CF46" w14:textId="77777777" w:rsidR="00F65BCA" w:rsidRDefault="00F65BCA">
            <w:pPr>
              <w:pStyle w:val="TableParagraph"/>
              <w:spacing w:before="8"/>
              <w:rPr>
                <w:rFonts w:ascii="Calibri"/>
                <w:b/>
                <w:sz w:val="6"/>
              </w:rPr>
            </w:pPr>
          </w:p>
          <w:p w14:paraId="3D26688D" w14:textId="77777777" w:rsidR="00F65BCA" w:rsidRDefault="00216117">
            <w:pPr>
              <w:pStyle w:val="TableParagraph"/>
              <w:spacing w:line="51" w:lineRule="exact"/>
              <w:ind w:right="17"/>
              <w:jc w:val="right"/>
              <w:rPr>
                <w:rFonts w:ascii="Calibri"/>
                <w:sz w:val="6"/>
              </w:rPr>
            </w:pPr>
            <w:r>
              <w:rPr>
                <w:rFonts w:ascii="Calibri"/>
                <w:color w:val="231F20"/>
                <w:spacing w:val="-1"/>
                <w:w w:val="241"/>
                <w:sz w:val="6"/>
              </w:rPr>
              <w:t xml:space="preserve"> </w:t>
            </w:r>
            <w:r>
              <w:rPr>
                <w:rFonts w:ascii="Calibri"/>
                <w:color w:val="231F20"/>
                <w:w w:val="228"/>
                <w:sz w:val="6"/>
              </w:rPr>
              <w:t xml:space="preserve"> </w:t>
            </w:r>
            <w:r>
              <w:rPr>
                <w:rFonts w:ascii="Calibri"/>
                <w:color w:val="231F20"/>
                <w:w w:val="181"/>
                <w:sz w:val="6"/>
              </w:rPr>
              <w:t xml:space="preserve"> </w:t>
            </w:r>
            <w:r>
              <w:rPr>
                <w:rFonts w:ascii="Times New Roman"/>
                <w:color w:val="231F20"/>
                <w:spacing w:val="-1"/>
                <w:sz w:val="6"/>
              </w:rPr>
              <w:t xml:space="preserve"> </w:t>
            </w:r>
            <w:r>
              <w:rPr>
                <w:rFonts w:ascii="Calibri"/>
                <w:color w:val="231F20"/>
                <w:spacing w:val="-1"/>
                <w:w w:val="105"/>
                <w:sz w:val="6"/>
              </w:rPr>
              <w:t xml:space="preserve">  </w:t>
            </w:r>
            <w:r>
              <w:rPr>
                <w:rFonts w:ascii="Calibri"/>
                <w:color w:val="231F20"/>
                <w:w w:val="236"/>
                <w:sz w:val="6"/>
              </w:rPr>
              <w:t xml:space="preserve"> </w:t>
            </w:r>
            <w:r>
              <w:rPr>
                <w:rFonts w:ascii="Calibri"/>
                <w:color w:val="231F20"/>
                <w:spacing w:val="-1"/>
                <w:w w:val="236"/>
                <w:sz w:val="6"/>
              </w:rPr>
              <w:t xml:space="preserve"> </w:t>
            </w:r>
            <w:r>
              <w:rPr>
                <w:rFonts w:ascii="Calibri"/>
                <w:color w:val="231F20"/>
                <w:w w:val="197"/>
                <w:sz w:val="6"/>
              </w:rPr>
              <w:t xml:space="preserve"> </w:t>
            </w:r>
            <w:r>
              <w:rPr>
                <w:rFonts w:ascii="Calibri"/>
                <w:color w:val="231F20"/>
                <w:spacing w:val="-1"/>
                <w:w w:val="197"/>
                <w:sz w:val="6"/>
              </w:rPr>
              <w:t xml:space="preserve"> </w:t>
            </w:r>
            <w:r>
              <w:rPr>
                <w:rFonts w:ascii="Calibri"/>
                <w:color w:val="231F20"/>
                <w:w w:val="105"/>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0585C4F0" w14:textId="77777777" w:rsidR="00F65BCA" w:rsidRDefault="00F65BCA">
            <w:pPr>
              <w:pStyle w:val="TableParagraph"/>
              <w:spacing w:before="8"/>
              <w:rPr>
                <w:rFonts w:ascii="Calibri"/>
                <w:b/>
                <w:sz w:val="6"/>
              </w:rPr>
            </w:pPr>
          </w:p>
          <w:p w14:paraId="77E0EB40"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0AADDBB5" w14:textId="77777777" w:rsidR="00F65BCA" w:rsidRDefault="00F65BCA">
            <w:pPr>
              <w:pStyle w:val="TableParagraph"/>
              <w:spacing w:before="8"/>
              <w:rPr>
                <w:rFonts w:ascii="Calibri"/>
                <w:b/>
                <w:sz w:val="6"/>
              </w:rPr>
            </w:pPr>
          </w:p>
          <w:p w14:paraId="4AD26022"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03BEC6BB" w14:textId="77777777" w:rsidR="00F65BCA" w:rsidRDefault="00F65BCA">
            <w:pPr>
              <w:pStyle w:val="TableParagraph"/>
              <w:spacing w:before="8"/>
              <w:rPr>
                <w:rFonts w:ascii="Calibri"/>
                <w:b/>
                <w:sz w:val="6"/>
              </w:rPr>
            </w:pPr>
          </w:p>
          <w:p w14:paraId="48DAA742" w14:textId="77777777" w:rsidR="00F65BCA" w:rsidRDefault="00216117">
            <w:pPr>
              <w:pStyle w:val="TableParagraph"/>
              <w:spacing w:line="51" w:lineRule="exact"/>
              <w:ind w:left="5"/>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074F7914"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0EE4AF8A"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762EE83E"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0908BB0"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444B8779"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20991111" w14:textId="77777777" w:rsidR="00F65BCA" w:rsidRDefault="00F65BCA">
            <w:pPr>
              <w:pStyle w:val="TableParagraph"/>
              <w:rPr>
                <w:rFonts w:ascii="Times New Roman"/>
                <w:sz w:val="6"/>
              </w:rPr>
            </w:pPr>
          </w:p>
        </w:tc>
      </w:tr>
      <w:tr w:rsidR="00F65BCA" w14:paraId="6DD17EA0" w14:textId="77777777">
        <w:trPr>
          <w:trHeight w:val="153"/>
        </w:trPr>
        <w:tc>
          <w:tcPr>
            <w:tcW w:w="166" w:type="dxa"/>
            <w:tcBorders>
              <w:top w:val="single" w:sz="2" w:space="0" w:color="231F20"/>
              <w:bottom w:val="single" w:sz="2" w:space="0" w:color="231F20"/>
              <w:right w:val="single" w:sz="2" w:space="0" w:color="231F20"/>
            </w:tcBorders>
          </w:tcPr>
          <w:p w14:paraId="7B99F647" w14:textId="77777777" w:rsidR="00F65BCA" w:rsidRDefault="00F65BCA">
            <w:pPr>
              <w:pStyle w:val="TableParagraph"/>
              <w:spacing w:before="8"/>
              <w:rPr>
                <w:rFonts w:ascii="Calibri"/>
                <w:b/>
                <w:sz w:val="6"/>
              </w:rPr>
            </w:pPr>
          </w:p>
          <w:p w14:paraId="5C89F2A2"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332E1FF9" w14:textId="77777777" w:rsidR="00F65BCA" w:rsidRDefault="00F65BCA">
            <w:pPr>
              <w:pStyle w:val="TableParagraph"/>
              <w:spacing w:before="8"/>
              <w:rPr>
                <w:rFonts w:ascii="Calibri"/>
                <w:b/>
                <w:sz w:val="6"/>
              </w:rPr>
            </w:pPr>
          </w:p>
          <w:p w14:paraId="0B8D553F"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480C17CB" w14:textId="77777777" w:rsidR="00F65BCA" w:rsidRDefault="00F65BCA">
            <w:pPr>
              <w:pStyle w:val="TableParagraph"/>
              <w:spacing w:before="8"/>
              <w:rPr>
                <w:rFonts w:ascii="Calibri"/>
                <w:b/>
                <w:sz w:val="6"/>
              </w:rPr>
            </w:pPr>
          </w:p>
          <w:p w14:paraId="12F9B2A5"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10472D00" w14:textId="77777777" w:rsidR="00F65BCA" w:rsidRDefault="00F65BCA">
            <w:pPr>
              <w:pStyle w:val="TableParagraph"/>
              <w:spacing w:before="8"/>
              <w:rPr>
                <w:rFonts w:ascii="Calibri"/>
                <w:b/>
                <w:sz w:val="6"/>
              </w:rPr>
            </w:pPr>
          </w:p>
          <w:p w14:paraId="1596104D"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38FC0F66" w14:textId="77777777" w:rsidR="00F65BCA" w:rsidRDefault="00F65BCA">
            <w:pPr>
              <w:pStyle w:val="TableParagraph"/>
              <w:spacing w:before="8"/>
              <w:rPr>
                <w:rFonts w:ascii="Calibri"/>
                <w:b/>
                <w:sz w:val="6"/>
              </w:rPr>
            </w:pPr>
          </w:p>
          <w:p w14:paraId="38E78316"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249CC453" w14:textId="77777777" w:rsidR="00F65BCA" w:rsidRDefault="00F65BCA">
            <w:pPr>
              <w:pStyle w:val="TableParagraph"/>
              <w:spacing w:before="8"/>
              <w:rPr>
                <w:rFonts w:ascii="Calibri"/>
                <w:b/>
                <w:sz w:val="6"/>
              </w:rPr>
            </w:pPr>
          </w:p>
          <w:p w14:paraId="2D247C1F"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66"/>
                <w:sz w:val="6"/>
              </w:rPr>
              <w:t xml:space="preserve"> </w:t>
            </w:r>
            <w:r>
              <w:rPr>
                <w:rFonts w:ascii="Calibri"/>
                <w:color w:val="231F20"/>
                <w:w w:val="295"/>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6BBA6E2D" w14:textId="77777777" w:rsidR="00F65BCA" w:rsidRDefault="00F65BCA">
            <w:pPr>
              <w:pStyle w:val="TableParagraph"/>
              <w:spacing w:before="8"/>
              <w:rPr>
                <w:rFonts w:ascii="Calibri"/>
                <w:b/>
                <w:sz w:val="6"/>
              </w:rPr>
            </w:pPr>
          </w:p>
          <w:p w14:paraId="6A21A809"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146"/>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28384C7E" w14:textId="77777777" w:rsidR="00F65BCA" w:rsidRDefault="00F65BCA">
            <w:pPr>
              <w:pStyle w:val="TableParagraph"/>
              <w:spacing w:before="8"/>
              <w:rPr>
                <w:rFonts w:ascii="Calibri"/>
                <w:b/>
                <w:sz w:val="6"/>
              </w:rPr>
            </w:pPr>
          </w:p>
          <w:p w14:paraId="12DB54D8"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303"/>
                <w:sz w:val="6"/>
              </w:rPr>
              <w:t xml:space="preserve">   </w:t>
            </w:r>
            <w:r>
              <w:rPr>
                <w:rFonts w:ascii="Calibri"/>
                <w:color w:val="231F20"/>
                <w:w w:val="237"/>
                <w:sz w:val="6"/>
              </w:rPr>
              <w:t xml:space="preserve"> </w:t>
            </w:r>
            <w:r>
              <w:rPr>
                <w:rFonts w:ascii="Calibri"/>
                <w:color w:val="231F20"/>
                <w:w w:val="265"/>
                <w:sz w:val="6"/>
              </w:rPr>
              <w:t xml:space="preserve">  </w:t>
            </w:r>
            <w:r>
              <w:rPr>
                <w:rFonts w:ascii="Calibri"/>
                <w:color w:val="231F20"/>
                <w:w w:val="254"/>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0352987F" w14:textId="77777777" w:rsidR="00F65BCA" w:rsidRDefault="00F65BCA">
            <w:pPr>
              <w:pStyle w:val="TableParagraph"/>
              <w:spacing w:before="8"/>
              <w:rPr>
                <w:rFonts w:ascii="Calibri"/>
                <w:b/>
                <w:sz w:val="6"/>
              </w:rPr>
            </w:pPr>
          </w:p>
          <w:p w14:paraId="12B0F231"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948022B" w14:textId="77777777" w:rsidR="00F65BCA" w:rsidRDefault="00F65BCA">
            <w:pPr>
              <w:pStyle w:val="TableParagraph"/>
              <w:spacing w:before="8"/>
              <w:rPr>
                <w:rFonts w:ascii="Calibri"/>
                <w:b/>
                <w:sz w:val="6"/>
              </w:rPr>
            </w:pPr>
          </w:p>
          <w:p w14:paraId="4A87F739" w14:textId="77777777" w:rsidR="00F65BCA" w:rsidRDefault="00216117">
            <w:pPr>
              <w:pStyle w:val="TableParagraph"/>
              <w:spacing w:line="51" w:lineRule="exact"/>
              <w:ind w:left="9"/>
              <w:rPr>
                <w:rFonts w:ascii="Calibri"/>
                <w:sz w:val="6"/>
              </w:rPr>
            </w:pPr>
            <w:r>
              <w:rPr>
                <w:rFonts w:ascii="Calibri"/>
                <w:color w:val="231F20"/>
                <w:w w:val="257"/>
                <w:sz w:val="6"/>
              </w:rPr>
              <w:t xml:space="preserve">  </w:t>
            </w:r>
            <w:r>
              <w:rPr>
                <w:rFonts w:ascii="Calibri"/>
                <w:color w:val="231F20"/>
                <w:w w:val="237"/>
                <w:sz w:val="6"/>
              </w:rPr>
              <w:t xml:space="preserve"> </w:t>
            </w:r>
            <w:r>
              <w:rPr>
                <w:rFonts w:ascii="Calibri"/>
                <w:color w:val="231F20"/>
                <w:w w:val="19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5D242A1C" w14:textId="77777777" w:rsidR="00F65BCA" w:rsidRDefault="00F65BCA">
            <w:pPr>
              <w:pStyle w:val="TableParagraph"/>
              <w:spacing w:before="8"/>
              <w:rPr>
                <w:rFonts w:ascii="Calibri"/>
                <w:b/>
                <w:sz w:val="6"/>
              </w:rPr>
            </w:pPr>
          </w:p>
          <w:p w14:paraId="4F705D4C" w14:textId="77777777" w:rsidR="00F65BCA" w:rsidRDefault="00216117">
            <w:pPr>
              <w:pStyle w:val="TableParagraph"/>
              <w:spacing w:line="51" w:lineRule="exact"/>
              <w:ind w:left="8"/>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24B80062" w14:textId="77777777" w:rsidR="00F65BCA" w:rsidRDefault="00F65BCA">
            <w:pPr>
              <w:pStyle w:val="TableParagraph"/>
              <w:spacing w:before="8"/>
              <w:rPr>
                <w:rFonts w:ascii="Calibri"/>
                <w:b/>
                <w:sz w:val="6"/>
              </w:rPr>
            </w:pPr>
          </w:p>
          <w:p w14:paraId="41F365ED"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319A0306" w14:textId="77777777" w:rsidR="00F65BCA" w:rsidRDefault="00F65BCA">
            <w:pPr>
              <w:pStyle w:val="TableParagraph"/>
              <w:spacing w:before="8"/>
              <w:rPr>
                <w:rFonts w:ascii="Calibri"/>
                <w:b/>
                <w:sz w:val="6"/>
              </w:rPr>
            </w:pPr>
          </w:p>
          <w:p w14:paraId="7C72D36B" w14:textId="77777777" w:rsidR="00F65BCA" w:rsidRDefault="00216117">
            <w:pPr>
              <w:pStyle w:val="TableParagraph"/>
              <w:spacing w:line="51" w:lineRule="exact"/>
              <w:ind w:right="17"/>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5C25B2B2" w14:textId="77777777" w:rsidR="00F65BCA" w:rsidRDefault="00F65BCA">
            <w:pPr>
              <w:pStyle w:val="TableParagraph"/>
              <w:spacing w:before="8"/>
              <w:rPr>
                <w:rFonts w:ascii="Calibri"/>
                <w:b/>
                <w:sz w:val="6"/>
              </w:rPr>
            </w:pPr>
          </w:p>
          <w:p w14:paraId="2D453633"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533D0CB5" w14:textId="77777777" w:rsidR="00F65BCA" w:rsidRDefault="00F65BCA">
            <w:pPr>
              <w:pStyle w:val="TableParagraph"/>
              <w:spacing w:before="8"/>
              <w:rPr>
                <w:rFonts w:ascii="Calibri"/>
                <w:b/>
                <w:sz w:val="6"/>
              </w:rPr>
            </w:pPr>
          </w:p>
          <w:p w14:paraId="681D4ED9"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4766C588" w14:textId="77777777" w:rsidR="00F65BCA" w:rsidRDefault="00F65BCA">
            <w:pPr>
              <w:pStyle w:val="TableParagraph"/>
              <w:spacing w:before="8"/>
              <w:rPr>
                <w:rFonts w:ascii="Calibri"/>
                <w:b/>
                <w:sz w:val="6"/>
              </w:rPr>
            </w:pPr>
          </w:p>
          <w:p w14:paraId="4CB4BF0F" w14:textId="77777777" w:rsidR="00F65BCA" w:rsidRDefault="00216117">
            <w:pPr>
              <w:pStyle w:val="TableParagraph"/>
              <w:spacing w:line="51" w:lineRule="exact"/>
              <w:ind w:right="10"/>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4D127552" w14:textId="77777777" w:rsidR="00F65BCA" w:rsidRDefault="00F65BCA">
            <w:pPr>
              <w:pStyle w:val="TableParagraph"/>
              <w:spacing w:before="8"/>
              <w:rPr>
                <w:rFonts w:ascii="Calibri"/>
                <w:b/>
                <w:sz w:val="6"/>
              </w:rPr>
            </w:pPr>
          </w:p>
          <w:p w14:paraId="582BA095" w14:textId="77777777" w:rsidR="00F65BCA" w:rsidRDefault="00216117">
            <w:pPr>
              <w:pStyle w:val="TableParagraph"/>
              <w:spacing w:line="51" w:lineRule="exact"/>
              <w:ind w:right="5"/>
              <w:jc w:val="center"/>
              <w:rPr>
                <w:rFonts w:ascii="Calibri"/>
                <w:sz w:val="6"/>
              </w:rPr>
            </w:pPr>
            <w:r>
              <w:rPr>
                <w:rFonts w:ascii="Calibri"/>
                <w:color w:val="231F20"/>
                <w:w w:val="239"/>
                <w:sz w:val="6"/>
              </w:rPr>
              <w:t xml:space="preserve">  </w:t>
            </w:r>
            <w:r>
              <w:rPr>
                <w:rFonts w:ascii="Calibri"/>
                <w:color w:val="231F20"/>
                <w:spacing w:val="-1"/>
                <w:w w:val="241"/>
                <w:sz w:val="6"/>
              </w:rPr>
              <w:t xml:space="preserve"> </w:t>
            </w:r>
            <w:r>
              <w:rPr>
                <w:rFonts w:ascii="Calibri"/>
                <w:color w:val="231F20"/>
                <w:w w:val="143"/>
                <w:sz w:val="6"/>
              </w:rPr>
              <w:t xml:space="preserve"> </w:t>
            </w:r>
            <w:r>
              <w:rPr>
                <w:rFonts w:ascii="Calibri"/>
                <w:color w:val="231F20"/>
                <w:spacing w:val="-1"/>
                <w:w w:val="143"/>
                <w:sz w:val="6"/>
              </w:rPr>
              <w:t xml:space="preserve"> </w:t>
            </w:r>
            <w:r>
              <w:rPr>
                <w:rFonts w:ascii="Calibri"/>
                <w:color w:val="231F20"/>
                <w:w w:val="241"/>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1CBC4D25" w14:textId="77777777" w:rsidR="00F65BCA" w:rsidRDefault="00F65BCA">
            <w:pPr>
              <w:pStyle w:val="TableParagraph"/>
              <w:spacing w:before="8"/>
              <w:rPr>
                <w:rFonts w:ascii="Calibri"/>
                <w:b/>
                <w:sz w:val="6"/>
              </w:rPr>
            </w:pPr>
          </w:p>
          <w:p w14:paraId="7EE8562F"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323F4FCC" w14:textId="77777777" w:rsidR="00F65BCA" w:rsidRDefault="00F65BCA">
            <w:pPr>
              <w:pStyle w:val="TableParagraph"/>
              <w:spacing w:before="8"/>
              <w:rPr>
                <w:rFonts w:ascii="Calibri"/>
                <w:b/>
                <w:sz w:val="6"/>
              </w:rPr>
            </w:pPr>
          </w:p>
          <w:p w14:paraId="41E50F5D"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0B8B3CDA" w14:textId="77777777" w:rsidR="00F65BCA" w:rsidRDefault="00F65BCA">
            <w:pPr>
              <w:pStyle w:val="TableParagraph"/>
              <w:spacing w:before="8"/>
              <w:rPr>
                <w:rFonts w:ascii="Calibri"/>
                <w:b/>
                <w:sz w:val="6"/>
              </w:rPr>
            </w:pPr>
          </w:p>
          <w:p w14:paraId="77AA3768"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581C842B" w14:textId="77777777" w:rsidR="00F65BCA" w:rsidRDefault="00F65BCA">
            <w:pPr>
              <w:pStyle w:val="TableParagraph"/>
              <w:spacing w:before="8"/>
              <w:rPr>
                <w:rFonts w:ascii="Calibri"/>
                <w:b/>
                <w:sz w:val="6"/>
              </w:rPr>
            </w:pPr>
          </w:p>
          <w:p w14:paraId="59075B55" w14:textId="77777777" w:rsidR="00F65BCA" w:rsidRDefault="00216117">
            <w:pPr>
              <w:pStyle w:val="TableParagraph"/>
              <w:spacing w:line="51" w:lineRule="exact"/>
              <w:ind w:right="91"/>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0A47B36F" w14:textId="77777777" w:rsidR="00F65BCA" w:rsidRDefault="00F65BCA">
            <w:pPr>
              <w:pStyle w:val="TableParagraph"/>
              <w:spacing w:before="8"/>
              <w:rPr>
                <w:rFonts w:ascii="Calibri"/>
                <w:b/>
                <w:sz w:val="6"/>
              </w:rPr>
            </w:pPr>
          </w:p>
          <w:p w14:paraId="7BBB5DD8" w14:textId="77777777" w:rsidR="00F65BCA" w:rsidRDefault="00216117">
            <w:pPr>
              <w:pStyle w:val="TableParagraph"/>
              <w:spacing w:line="51" w:lineRule="exact"/>
              <w:ind w:right="23"/>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5E0C3455" w14:textId="77777777" w:rsidR="00F65BCA" w:rsidRDefault="00F65BCA">
            <w:pPr>
              <w:pStyle w:val="TableParagraph"/>
              <w:spacing w:before="8"/>
              <w:rPr>
                <w:rFonts w:ascii="Calibri"/>
                <w:b/>
                <w:sz w:val="6"/>
              </w:rPr>
            </w:pPr>
          </w:p>
          <w:p w14:paraId="15408D4E"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68799671" w14:textId="77777777" w:rsidR="00F65BCA" w:rsidRDefault="00F65BCA">
            <w:pPr>
              <w:pStyle w:val="TableParagraph"/>
              <w:spacing w:before="8"/>
              <w:rPr>
                <w:rFonts w:ascii="Calibri"/>
                <w:b/>
                <w:sz w:val="6"/>
              </w:rPr>
            </w:pPr>
          </w:p>
          <w:p w14:paraId="1B8D543B" w14:textId="77777777" w:rsidR="00F65BCA" w:rsidRDefault="00216117">
            <w:pPr>
              <w:pStyle w:val="TableParagraph"/>
              <w:spacing w:line="51" w:lineRule="exact"/>
              <w:ind w:left="3"/>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17E5137C" w14:textId="77777777" w:rsidR="00F65BCA" w:rsidRDefault="00F65BCA">
            <w:pPr>
              <w:pStyle w:val="TableParagraph"/>
              <w:spacing w:before="8"/>
              <w:rPr>
                <w:rFonts w:ascii="Calibri"/>
                <w:b/>
                <w:sz w:val="6"/>
              </w:rPr>
            </w:pPr>
          </w:p>
          <w:p w14:paraId="4A292A6D"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284D8226"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4086AA85"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9488B6F"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F19D00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5C4D966C"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279081D5" w14:textId="77777777" w:rsidR="00F65BCA" w:rsidRDefault="00F65BCA">
            <w:pPr>
              <w:pStyle w:val="TableParagraph"/>
              <w:rPr>
                <w:rFonts w:ascii="Times New Roman"/>
                <w:sz w:val="6"/>
              </w:rPr>
            </w:pPr>
          </w:p>
        </w:tc>
      </w:tr>
      <w:tr w:rsidR="00F65BCA" w14:paraId="075824B5" w14:textId="77777777">
        <w:trPr>
          <w:trHeight w:val="153"/>
        </w:trPr>
        <w:tc>
          <w:tcPr>
            <w:tcW w:w="166" w:type="dxa"/>
            <w:tcBorders>
              <w:top w:val="single" w:sz="2" w:space="0" w:color="231F20"/>
              <w:bottom w:val="single" w:sz="2" w:space="0" w:color="231F20"/>
              <w:right w:val="single" w:sz="2" w:space="0" w:color="231F20"/>
            </w:tcBorders>
          </w:tcPr>
          <w:p w14:paraId="18F3AD73" w14:textId="77777777" w:rsidR="00F65BCA" w:rsidRDefault="00F65BCA">
            <w:pPr>
              <w:pStyle w:val="TableParagraph"/>
              <w:spacing w:before="8"/>
              <w:rPr>
                <w:rFonts w:ascii="Calibri"/>
                <w:b/>
                <w:sz w:val="6"/>
              </w:rPr>
            </w:pPr>
          </w:p>
          <w:p w14:paraId="5751C8DA"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7793363F" w14:textId="77777777" w:rsidR="00F65BCA" w:rsidRDefault="00F65BCA">
            <w:pPr>
              <w:pStyle w:val="TableParagraph"/>
              <w:spacing w:before="8"/>
              <w:rPr>
                <w:rFonts w:ascii="Calibri"/>
                <w:b/>
                <w:sz w:val="6"/>
              </w:rPr>
            </w:pPr>
          </w:p>
          <w:p w14:paraId="65951408"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232E6E92" w14:textId="77777777" w:rsidR="00F65BCA" w:rsidRDefault="00F65BCA">
            <w:pPr>
              <w:pStyle w:val="TableParagraph"/>
              <w:spacing w:before="8"/>
              <w:rPr>
                <w:rFonts w:ascii="Calibri"/>
                <w:b/>
                <w:sz w:val="6"/>
              </w:rPr>
            </w:pPr>
          </w:p>
          <w:p w14:paraId="47548D96"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11C89653" w14:textId="77777777" w:rsidR="00F65BCA" w:rsidRDefault="00F65BCA">
            <w:pPr>
              <w:pStyle w:val="TableParagraph"/>
              <w:spacing w:before="8"/>
              <w:rPr>
                <w:rFonts w:ascii="Calibri"/>
                <w:b/>
                <w:sz w:val="6"/>
              </w:rPr>
            </w:pPr>
          </w:p>
          <w:p w14:paraId="573BB808"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290FE87E" w14:textId="77777777" w:rsidR="00F65BCA" w:rsidRDefault="00F65BCA">
            <w:pPr>
              <w:pStyle w:val="TableParagraph"/>
              <w:spacing w:before="8"/>
              <w:rPr>
                <w:rFonts w:ascii="Calibri"/>
                <w:b/>
                <w:sz w:val="6"/>
              </w:rPr>
            </w:pPr>
          </w:p>
          <w:p w14:paraId="6256FE97"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3E71D85F" w14:textId="77777777" w:rsidR="00F65BCA" w:rsidRDefault="00F65BCA">
            <w:pPr>
              <w:pStyle w:val="TableParagraph"/>
              <w:spacing w:before="8"/>
              <w:rPr>
                <w:rFonts w:ascii="Calibri"/>
                <w:b/>
                <w:sz w:val="6"/>
              </w:rPr>
            </w:pPr>
          </w:p>
          <w:p w14:paraId="30869578"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3620F815" w14:textId="77777777" w:rsidR="00F65BCA" w:rsidRDefault="00F65BCA">
            <w:pPr>
              <w:pStyle w:val="TableParagraph"/>
              <w:spacing w:before="8"/>
              <w:rPr>
                <w:rFonts w:ascii="Calibri"/>
                <w:b/>
                <w:sz w:val="6"/>
              </w:rPr>
            </w:pPr>
          </w:p>
          <w:p w14:paraId="29DA0F27"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spacing w:val="-1"/>
                <w:w w:val="211"/>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2D84169F" w14:textId="77777777" w:rsidR="00F65BCA" w:rsidRDefault="00F65BCA">
            <w:pPr>
              <w:pStyle w:val="TableParagraph"/>
              <w:spacing w:before="8"/>
              <w:rPr>
                <w:rFonts w:ascii="Calibri"/>
                <w:b/>
                <w:sz w:val="6"/>
              </w:rPr>
            </w:pPr>
          </w:p>
          <w:p w14:paraId="3F64A83B"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238"/>
                <w:sz w:val="6"/>
              </w:rPr>
              <w:t xml:space="preserve"> </w:t>
            </w:r>
            <w:r>
              <w:rPr>
                <w:rFonts w:ascii="Calibri"/>
                <w:color w:val="231F20"/>
                <w:w w:val="231"/>
                <w:sz w:val="6"/>
              </w:rPr>
              <w:t xml:space="preserve"> </w:t>
            </w:r>
            <w:r>
              <w:rPr>
                <w:rFonts w:ascii="Calibri"/>
                <w:color w:val="231F20"/>
                <w:spacing w:val="-1"/>
                <w:w w:val="231"/>
                <w:sz w:val="6"/>
              </w:rPr>
              <w:t xml:space="preserve"> </w:t>
            </w:r>
            <w:r>
              <w:rPr>
                <w:rFonts w:ascii="Calibri"/>
                <w:color w:val="231F20"/>
                <w:w w:val="233"/>
                <w:sz w:val="6"/>
              </w:rPr>
              <w:t xml:space="preserve">     </w:t>
            </w:r>
            <w:r>
              <w:rPr>
                <w:rFonts w:ascii="Calibri"/>
                <w:color w:val="231F20"/>
                <w:spacing w:val="-1"/>
                <w:w w:val="245"/>
                <w:sz w:val="6"/>
              </w:rPr>
              <w:t xml:space="preserve"> </w:t>
            </w:r>
            <w:r>
              <w:rPr>
                <w:rFonts w:ascii="Calibri"/>
                <w:color w:val="231F20"/>
                <w:w w:val="266"/>
                <w:sz w:val="6"/>
              </w:rPr>
              <w:t xml:space="preserve"> </w:t>
            </w:r>
            <w:r>
              <w:rPr>
                <w:rFonts w:ascii="Calibri"/>
                <w:color w:val="231F20"/>
                <w:w w:val="296"/>
                <w:sz w:val="6"/>
              </w:rPr>
              <w:t xml:space="preserve"> </w:t>
            </w:r>
            <w:r>
              <w:rPr>
                <w:rFonts w:ascii="Calibri"/>
                <w:color w:val="231F20"/>
                <w:w w:val="266"/>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1396AA71" w14:textId="77777777" w:rsidR="00F65BCA" w:rsidRDefault="00F65BCA">
            <w:pPr>
              <w:pStyle w:val="TableParagraph"/>
              <w:spacing w:before="8"/>
              <w:rPr>
                <w:rFonts w:ascii="Calibri"/>
                <w:b/>
                <w:sz w:val="6"/>
              </w:rPr>
            </w:pPr>
          </w:p>
          <w:p w14:paraId="16155DB6" w14:textId="77777777" w:rsidR="00F65BCA" w:rsidRDefault="00216117">
            <w:pPr>
              <w:pStyle w:val="TableParagraph"/>
              <w:spacing w:line="51" w:lineRule="exact"/>
              <w:ind w:left="10"/>
              <w:rPr>
                <w:rFonts w:ascii="Calibri"/>
                <w:sz w:val="6"/>
              </w:rPr>
            </w:pPr>
            <w:r>
              <w:rPr>
                <w:rFonts w:ascii="Calibri"/>
                <w:color w:val="231F20"/>
                <w:w w:val="266"/>
                <w:sz w:val="6"/>
              </w:rPr>
              <w:t xml:space="preserve"> </w:t>
            </w:r>
            <w:r>
              <w:rPr>
                <w:rFonts w:ascii="Calibri"/>
                <w:color w:val="231F20"/>
                <w:w w:val="278"/>
                <w:sz w:val="6"/>
              </w:rPr>
              <w:t xml:space="preserve">  </w:t>
            </w:r>
            <w:r>
              <w:rPr>
                <w:rFonts w:ascii="Calibri"/>
                <w:color w:val="231F20"/>
                <w:spacing w:val="-1"/>
                <w:w w:val="282"/>
                <w:sz w:val="6"/>
              </w:rPr>
              <w:t xml:space="preserve"> </w:t>
            </w:r>
            <w:r>
              <w:rPr>
                <w:rFonts w:ascii="Calibri"/>
                <w:color w:val="231F20"/>
                <w:w w:val="257"/>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4CB8CC7C" w14:textId="77777777" w:rsidR="00F65BCA" w:rsidRDefault="00F65BCA">
            <w:pPr>
              <w:pStyle w:val="TableParagraph"/>
              <w:spacing w:before="8"/>
              <w:rPr>
                <w:rFonts w:ascii="Calibri"/>
                <w:b/>
                <w:sz w:val="6"/>
              </w:rPr>
            </w:pPr>
          </w:p>
          <w:p w14:paraId="688981D1" w14:textId="77777777" w:rsidR="00F65BCA" w:rsidRDefault="00216117">
            <w:pPr>
              <w:pStyle w:val="TableParagraph"/>
              <w:spacing w:line="51" w:lineRule="exact"/>
              <w:ind w:left="9"/>
              <w:rPr>
                <w:rFonts w:ascii="Calibri"/>
                <w:sz w:val="6"/>
              </w:rPr>
            </w:pPr>
            <w:r>
              <w:rPr>
                <w:rFonts w:ascii="Calibri"/>
                <w:color w:val="231F20"/>
                <w:w w:val="260"/>
                <w:sz w:val="6"/>
              </w:rPr>
              <w:t xml:space="preserve"> </w:t>
            </w:r>
            <w:r>
              <w:rPr>
                <w:rFonts w:ascii="Calibri"/>
                <w:color w:val="231F20"/>
                <w:w w:val="105"/>
                <w:sz w:val="6"/>
              </w:rPr>
              <w:t>k</w:t>
            </w:r>
            <w:r>
              <w:rPr>
                <w:rFonts w:ascii="Times New Roman"/>
                <w:color w:val="231F20"/>
                <w:sz w:val="6"/>
              </w:rPr>
              <w:t xml:space="preserve"> </w:t>
            </w:r>
            <w:r>
              <w:rPr>
                <w:rFonts w:ascii="Calibri"/>
                <w:color w:val="231F20"/>
                <w:w w:val="23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7E4627C8" w14:textId="77777777" w:rsidR="00F65BCA" w:rsidRDefault="00F65BCA">
            <w:pPr>
              <w:pStyle w:val="TableParagraph"/>
              <w:spacing w:before="8"/>
              <w:rPr>
                <w:rFonts w:ascii="Calibri"/>
                <w:b/>
                <w:sz w:val="6"/>
              </w:rPr>
            </w:pPr>
          </w:p>
          <w:p w14:paraId="64712355" w14:textId="77777777" w:rsidR="00F65BCA" w:rsidRDefault="00216117">
            <w:pPr>
              <w:pStyle w:val="TableParagraph"/>
              <w:spacing w:line="51" w:lineRule="exact"/>
              <w:ind w:left="7"/>
              <w:rPr>
                <w:rFonts w:ascii="Calibri"/>
                <w:sz w:val="6"/>
              </w:rPr>
            </w:pPr>
            <w:r>
              <w:rPr>
                <w:rFonts w:ascii="Calibri"/>
                <w:color w:val="231F20"/>
                <w:w w:val="237"/>
                <w:sz w:val="6"/>
              </w:rPr>
              <w:t xml:space="preserve"> </w:t>
            </w:r>
            <w:r>
              <w:rPr>
                <w:rFonts w:ascii="Calibri"/>
                <w:color w:val="231F20"/>
                <w:w w:val="160"/>
                <w:sz w:val="6"/>
              </w:rPr>
              <w:t xml:space="preserve"> </w:t>
            </w:r>
            <w:r>
              <w:rPr>
                <w:rFonts w:ascii="Calibri"/>
                <w:color w:val="231F20"/>
                <w:spacing w:val="-1"/>
                <w:w w:val="105"/>
                <w:sz w:val="6"/>
              </w:rPr>
              <w:t xml:space="preserve"> </w:t>
            </w:r>
            <w:r>
              <w:rPr>
                <w:rFonts w:ascii="Calibri"/>
                <w:color w:val="231F20"/>
                <w:w w:val="207"/>
                <w:sz w:val="6"/>
              </w:rPr>
              <w:t xml:space="preserve"> </w:t>
            </w:r>
            <w:r>
              <w:rPr>
                <w:rFonts w:ascii="Calibri"/>
                <w:color w:val="231F20"/>
                <w:w w:val="228"/>
                <w:sz w:val="6"/>
              </w:rPr>
              <w:t xml:space="preserve"> </w:t>
            </w:r>
            <w:r>
              <w:rPr>
                <w:rFonts w:ascii="Calibri"/>
                <w:color w:val="231F20"/>
                <w:w w:val="179"/>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6365617F" w14:textId="77777777" w:rsidR="00F65BCA" w:rsidRDefault="00F65BCA">
            <w:pPr>
              <w:pStyle w:val="TableParagraph"/>
              <w:spacing w:before="8"/>
              <w:rPr>
                <w:rFonts w:ascii="Calibri"/>
                <w:b/>
                <w:sz w:val="6"/>
              </w:rPr>
            </w:pPr>
          </w:p>
          <w:p w14:paraId="435A3B60"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77A49D79" w14:textId="77777777" w:rsidR="00F65BCA" w:rsidRDefault="00F65BCA">
            <w:pPr>
              <w:pStyle w:val="TableParagraph"/>
              <w:spacing w:before="8"/>
              <w:rPr>
                <w:rFonts w:ascii="Calibri"/>
                <w:b/>
                <w:sz w:val="6"/>
              </w:rPr>
            </w:pPr>
          </w:p>
          <w:p w14:paraId="013A35BA"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312BE355" w14:textId="77777777" w:rsidR="00F65BCA" w:rsidRDefault="00F65BCA">
            <w:pPr>
              <w:pStyle w:val="TableParagraph"/>
              <w:spacing w:before="8"/>
              <w:rPr>
                <w:rFonts w:ascii="Calibri"/>
                <w:b/>
                <w:sz w:val="6"/>
              </w:rPr>
            </w:pPr>
          </w:p>
          <w:p w14:paraId="7BBD07A6"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1DDB537F" w14:textId="77777777" w:rsidR="00F65BCA" w:rsidRDefault="00F65BCA">
            <w:pPr>
              <w:pStyle w:val="TableParagraph"/>
              <w:spacing w:before="8"/>
              <w:rPr>
                <w:rFonts w:ascii="Calibri"/>
                <w:b/>
                <w:sz w:val="6"/>
              </w:rPr>
            </w:pPr>
          </w:p>
          <w:p w14:paraId="021EE577" w14:textId="77777777" w:rsidR="00F65BCA" w:rsidRDefault="00216117">
            <w:pPr>
              <w:pStyle w:val="TableParagraph"/>
              <w:spacing w:line="51" w:lineRule="exact"/>
              <w:ind w:right="17"/>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7655ADCA" w14:textId="77777777" w:rsidR="00F65BCA" w:rsidRDefault="00F65BCA">
            <w:pPr>
              <w:pStyle w:val="TableParagraph"/>
              <w:rPr>
                <w:rFonts w:ascii="Times New Roman"/>
                <w:sz w:val="6"/>
              </w:rPr>
            </w:pPr>
          </w:p>
        </w:tc>
        <w:tc>
          <w:tcPr>
            <w:tcW w:w="278" w:type="dxa"/>
            <w:tcBorders>
              <w:top w:val="single" w:sz="2" w:space="0" w:color="231F20"/>
              <w:left w:val="single" w:sz="2" w:space="0" w:color="231F20"/>
              <w:bottom w:val="single" w:sz="2" w:space="0" w:color="231F20"/>
              <w:right w:val="single" w:sz="2" w:space="0" w:color="231F20"/>
            </w:tcBorders>
          </w:tcPr>
          <w:p w14:paraId="4FF91AFE"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228D4F60" w14:textId="77777777" w:rsidR="00F65BCA" w:rsidRDefault="00F65BCA">
            <w:pPr>
              <w:pStyle w:val="TableParagraph"/>
              <w:spacing w:before="8"/>
              <w:rPr>
                <w:rFonts w:ascii="Calibri"/>
                <w:b/>
                <w:sz w:val="6"/>
              </w:rPr>
            </w:pPr>
          </w:p>
          <w:p w14:paraId="222AEC32"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63B3F73B"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0A206DB3" w14:textId="77777777" w:rsidR="00F65BCA" w:rsidRDefault="00F65BCA">
            <w:pPr>
              <w:pStyle w:val="TableParagraph"/>
              <w:rPr>
                <w:rFonts w:ascii="Times New Roman"/>
                <w:sz w:val="6"/>
              </w:rPr>
            </w:pPr>
          </w:p>
        </w:tc>
        <w:tc>
          <w:tcPr>
            <w:tcW w:w="311" w:type="dxa"/>
            <w:tcBorders>
              <w:top w:val="single" w:sz="2" w:space="0" w:color="231F20"/>
              <w:left w:val="single" w:sz="2" w:space="0" w:color="231F20"/>
              <w:bottom w:val="single" w:sz="2" w:space="0" w:color="231F20"/>
              <w:right w:val="single" w:sz="2" w:space="0" w:color="231F20"/>
            </w:tcBorders>
          </w:tcPr>
          <w:p w14:paraId="191D28A6"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0EAD19C3"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21C1FCD2" w14:textId="77777777" w:rsidR="00F65BCA" w:rsidRDefault="00F65BCA">
            <w:pPr>
              <w:pStyle w:val="TableParagraph"/>
              <w:rPr>
                <w:rFonts w:ascii="Times New Roman"/>
                <w:sz w:val="6"/>
              </w:rPr>
            </w:pPr>
          </w:p>
        </w:tc>
        <w:tc>
          <w:tcPr>
            <w:tcW w:w="296" w:type="dxa"/>
            <w:tcBorders>
              <w:top w:val="single" w:sz="2" w:space="0" w:color="231F20"/>
              <w:left w:val="single" w:sz="2" w:space="0" w:color="231F20"/>
              <w:bottom w:val="single" w:sz="2" w:space="0" w:color="231F20"/>
              <w:right w:val="single" w:sz="2" w:space="0" w:color="231F20"/>
            </w:tcBorders>
          </w:tcPr>
          <w:p w14:paraId="2A0CD9DC" w14:textId="77777777" w:rsidR="00F65BCA" w:rsidRDefault="00F65BCA">
            <w:pPr>
              <w:pStyle w:val="TableParagraph"/>
              <w:rPr>
                <w:rFonts w:ascii="Times New Roman"/>
                <w:sz w:val="6"/>
              </w:rPr>
            </w:pPr>
          </w:p>
        </w:tc>
        <w:tc>
          <w:tcPr>
            <w:tcW w:w="392" w:type="dxa"/>
            <w:tcBorders>
              <w:top w:val="single" w:sz="2" w:space="0" w:color="231F20"/>
              <w:left w:val="single" w:sz="2" w:space="0" w:color="231F20"/>
              <w:bottom w:val="single" w:sz="2" w:space="0" w:color="231F20"/>
              <w:right w:val="single" w:sz="2" w:space="0" w:color="231F20"/>
            </w:tcBorders>
          </w:tcPr>
          <w:p w14:paraId="4A0E9108" w14:textId="77777777" w:rsidR="00F65BCA" w:rsidRDefault="00F65BCA">
            <w:pPr>
              <w:pStyle w:val="TableParagraph"/>
              <w:rPr>
                <w:rFonts w:ascii="Times New Roman"/>
                <w:sz w:val="6"/>
              </w:rPr>
            </w:pPr>
          </w:p>
        </w:tc>
        <w:tc>
          <w:tcPr>
            <w:tcW w:w="428" w:type="dxa"/>
            <w:tcBorders>
              <w:top w:val="single" w:sz="2" w:space="0" w:color="231F20"/>
              <w:left w:val="single" w:sz="2" w:space="0" w:color="231F20"/>
              <w:bottom w:val="single" w:sz="2" w:space="0" w:color="231F20"/>
            </w:tcBorders>
          </w:tcPr>
          <w:p w14:paraId="2BDEBE05"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1B2C7EB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504FA9C"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7B0EEFE3"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715C0AB"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688D147E" w14:textId="77777777" w:rsidR="00F65BCA" w:rsidRDefault="00F65BCA">
            <w:pPr>
              <w:pStyle w:val="TableParagraph"/>
              <w:rPr>
                <w:rFonts w:ascii="Times New Roman"/>
                <w:sz w:val="6"/>
              </w:rPr>
            </w:pPr>
          </w:p>
        </w:tc>
      </w:tr>
      <w:tr w:rsidR="00F65BCA" w14:paraId="2BF74023" w14:textId="77777777">
        <w:trPr>
          <w:trHeight w:val="153"/>
        </w:trPr>
        <w:tc>
          <w:tcPr>
            <w:tcW w:w="166" w:type="dxa"/>
            <w:tcBorders>
              <w:top w:val="single" w:sz="2" w:space="0" w:color="231F20"/>
              <w:bottom w:val="single" w:sz="2" w:space="0" w:color="231F20"/>
              <w:right w:val="single" w:sz="2" w:space="0" w:color="231F20"/>
            </w:tcBorders>
          </w:tcPr>
          <w:p w14:paraId="5B84DBB0" w14:textId="77777777" w:rsidR="00F65BCA" w:rsidRDefault="00F65BCA">
            <w:pPr>
              <w:pStyle w:val="TableParagraph"/>
              <w:spacing w:before="8"/>
              <w:rPr>
                <w:rFonts w:ascii="Calibri"/>
                <w:b/>
                <w:sz w:val="6"/>
              </w:rPr>
            </w:pPr>
          </w:p>
          <w:p w14:paraId="12ECE806"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258DF60A" w14:textId="77777777" w:rsidR="00F65BCA" w:rsidRDefault="00F65BCA">
            <w:pPr>
              <w:pStyle w:val="TableParagraph"/>
              <w:spacing w:before="8"/>
              <w:rPr>
                <w:rFonts w:ascii="Calibri"/>
                <w:b/>
                <w:sz w:val="6"/>
              </w:rPr>
            </w:pPr>
          </w:p>
          <w:p w14:paraId="52249887"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60FC440A" w14:textId="77777777" w:rsidR="00F65BCA" w:rsidRDefault="00F65BCA">
            <w:pPr>
              <w:pStyle w:val="TableParagraph"/>
              <w:spacing w:before="8"/>
              <w:rPr>
                <w:rFonts w:ascii="Calibri"/>
                <w:b/>
                <w:sz w:val="6"/>
              </w:rPr>
            </w:pPr>
          </w:p>
          <w:p w14:paraId="48CB1B09"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32D8F539" w14:textId="77777777" w:rsidR="00F65BCA" w:rsidRDefault="00F65BCA">
            <w:pPr>
              <w:pStyle w:val="TableParagraph"/>
              <w:spacing w:before="8"/>
              <w:rPr>
                <w:rFonts w:ascii="Calibri"/>
                <w:b/>
                <w:sz w:val="6"/>
              </w:rPr>
            </w:pPr>
          </w:p>
          <w:p w14:paraId="48445416"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005ABBAB" w14:textId="77777777" w:rsidR="00F65BCA" w:rsidRDefault="00F65BCA">
            <w:pPr>
              <w:pStyle w:val="TableParagraph"/>
              <w:spacing w:before="8"/>
              <w:rPr>
                <w:rFonts w:ascii="Calibri"/>
                <w:b/>
                <w:sz w:val="6"/>
              </w:rPr>
            </w:pPr>
          </w:p>
          <w:p w14:paraId="33DE4346"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70C79817" w14:textId="77777777" w:rsidR="00F65BCA" w:rsidRDefault="00F65BCA">
            <w:pPr>
              <w:pStyle w:val="TableParagraph"/>
              <w:spacing w:before="8"/>
              <w:rPr>
                <w:rFonts w:ascii="Calibri"/>
                <w:b/>
                <w:sz w:val="6"/>
              </w:rPr>
            </w:pPr>
          </w:p>
          <w:p w14:paraId="34229368"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2D7DC9BC" w14:textId="77777777" w:rsidR="00F65BCA" w:rsidRDefault="00F65BCA">
            <w:pPr>
              <w:pStyle w:val="TableParagraph"/>
              <w:spacing w:before="8"/>
              <w:rPr>
                <w:rFonts w:ascii="Calibri"/>
                <w:b/>
                <w:sz w:val="6"/>
              </w:rPr>
            </w:pPr>
          </w:p>
          <w:p w14:paraId="4DB0F9AD"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261"/>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19674D86" w14:textId="77777777" w:rsidR="00F65BCA" w:rsidRDefault="00F65BCA">
            <w:pPr>
              <w:pStyle w:val="TableParagraph"/>
              <w:spacing w:before="8"/>
              <w:rPr>
                <w:rFonts w:ascii="Calibri"/>
                <w:b/>
                <w:sz w:val="6"/>
              </w:rPr>
            </w:pPr>
          </w:p>
          <w:p w14:paraId="2B15C1D5"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313"/>
                <w:sz w:val="6"/>
              </w:rPr>
              <w:t xml:space="preserve">  </w:t>
            </w:r>
            <w:r>
              <w:rPr>
                <w:rFonts w:ascii="Calibri"/>
                <w:color w:val="231F20"/>
                <w:spacing w:val="-1"/>
                <w:w w:val="260"/>
                <w:sz w:val="6"/>
              </w:rPr>
              <w:t xml:space="preserve"> </w:t>
            </w:r>
            <w:r>
              <w:rPr>
                <w:rFonts w:ascii="Calibri"/>
                <w:color w:val="231F20"/>
                <w:w w:val="233"/>
                <w:sz w:val="6"/>
              </w:rPr>
              <w:t xml:space="preserve">    </w:t>
            </w:r>
            <w:r>
              <w:rPr>
                <w:rFonts w:ascii="Calibri"/>
                <w:color w:val="231F20"/>
                <w:w w:val="222"/>
                <w:sz w:val="6"/>
              </w:rPr>
              <w:t xml:space="preserve"> </w:t>
            </w:r>
            <w:r>
              <w:rPr>
                <w:rFonts w:ascii="Calibri"/>
                <w:color w:val="231F20"/>
                <w:spacing w:val="-1"/>
                <w:w w:val="222"/>
                <w:sz w:val="6"/>
              </w:rPr>
              <w:t xml:space="preserve"> </w:t>
            </w:r>
            <w:r>
              <w:rPr>
                <w:rFonts w:ascii="Calibri"/>
                <w:color w:val="231F20"/>
                <w:w w:val="237"/>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7CB9CC09" w14:textId="77777777" w:rsidR="00F65BCA" w:rsidRDefault="00F65BCA">
            <w:pPr>
              <w:pStyle w:val="TableParagraph"/>
              <w:spacing w:before="8"/>
              <w:rPr>
                <w:rFonts w:ascii="Calibri"/>
                <w:b/>
                <w:sz w:val="6"/>
              </w:rPr>
            </w:pPr>
          </w:p>
          <w:p w14:paraId="7ED5764B"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393"/>
                <w:sz w:val="6"/>
              </w:rPr>
              <w:t xml:space="preserve"> </w:t>
            </w:r>
            <w:r>
              <w:rPr>
                <w:rFonts w:ascii="Times New Roman"/>
                <w:color w:val="231F20"/>
                <w:spacing w:val="-1"/>
                <w:sz w:val="6"/>
              </w:rPr>
              <w:t xml:space="preserve"> </w:t>
            </w:r>
            <w:r>
              <w:rPr>
                <w:rFonts w:ascii="Calibri"/>
                <w:color w:val="231F20"/>
                <w:spacing w:val="-1"/>
                <w:w w:val="224"/>
                <w:sz w:val="6"/>
              </w:rPr>
              <w:t xml:space="preserve"> </w:t>
            </w:r>
            <w:r>
              <w:rPr>
                <w:rFonts w:ascii="Calibri"/>
                <w:color w:val="231F20"/>
                <w:w w:val="257"/>
                <w:sz w:val="6"/>
              </w:rPr>
              <w:t xml:space="preserve">  </w:t>
            </w:r>
            <w:r>
              <w:rPr>
                <w:rFonts w:ascii="Calibri"/>
                <w:color w:val="231F20"/>
                <w:w w:val="154"/>
                <w:sz w:val="6"/>
              </w:rPr>
              <w:t xml:space="preserve"> </w:t>
            </w:r>
            <w:r>
              <w:rPr>
                <w:rFonts w:ascii="Calibri"/>
                <w:color w:val="231F20"/>
                <w:spacing w:val="-1"/>
                <w:w w:val="154"/>
                <w:sz w:val="6"/>
              </w:rPr>
              <w:t xml:space="preserve"> </w:t>
            </w:r>
            <w:r>
              <w:rPr>
                <w:rFonts w:ascii="Calibri"/>
                <w:color w:val="231F20"/>
                <w:spacing w:val="-1"/>
                <w:w w:val="224"/>
                <w:sz w:val="6"/>
              </w:rPr>
              <w:t xml:space="preserve"> </w:t>
            </w:r>
            <w:r>
              <w:rPr>
                <w:rFonts w:ascii="Calibri"/>
                <w:color w:val="231F20"/>
                <w:w w:val="24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5E28135B" w14:textId="77777777" w:rsidR="00F65BCA" w:rsidRDefault="00F65BCA">
            <w:pPr>
              <w:pStyle w:val="TableParagraph"/>
              <w:spacing w:before="8"/>
              <w:rPr>
                <w:rFonts w:ascii="Calibri"/>
                <w:b/>
                <w:sz w:val="6"/>
              </w:rPr>
            </w:pPr>
          </w:p>
          <w:p w14:paraId="427B6A7E" w14:textId="77777777" w:rsidR="00F65BCA" w:rsidRDefault="00216117">
            <w:pPr>
              <w:pStyle w:val="TableParagraph"/>
              <w:spacing w:line="51" w:lineRule="exact"/>
              <w:ind w:left="8"/>
              <w:rPr>
                <w:rFonts w:ascii="Calibri"/>
                <w:sz w:val="6"/>
              </w:rPr>
            </w:pPr>
            <w:r>
              <w:rPr>
                <w:rFonts w:ascii="Calibri"/>
                <w:color w:val="231F20"/>
                <w:spacing w:val="-1"/>
                <w:w w:val="211"/>
                <w:sz w:val="6"/>
              </w:rPr>
              <w:t xml:space="preserve"> </w:t>
            </w:r>
            <w:r>
              <w:rPr>
                <w:rFonts w:ascii="Calibri"/>
                <w:color w:val="231F20"/>
                <w:w w:val="393"/>
                <w:sz w:val="6"/>
              </w:rPr>
              <w:t xml:space="preserve"> </w:t>
            </w:r>
            <w:r>
              <w:rPr>
                <w:rFonts w:ascii="Times New Roman"/>
                <w:color w:val="231F20"/>
                <w:spacing w:val="-1"/>
                <w:sz w:val="6"/>
              </w:rPr>
              <w:t xml:space="preserve"> </w:t>
            </w:r>
            <w:r>
              <w:rPr>
                <w:rFonts w:ascii="Calibri"/>
                <w:color w:val="231F20"/>
                <w:spacing w:val="-1"/>
                <w:w w:val="224"/>
                <w:sz w:val="6"/>
              </w:rPr>
              <w:t xml:space="preserve"> </w:t>
            </w:r>
            <w:r>
              <w:rPr>
                <w:rFonts w:ascii="Calibri"/>
                <w:color w:val="231F20"/>
                <w:w w:val="257"/>
                <w:sz w:val="6"/>
              </w:rPr>
              <w:t xml:space="preserve">  </w:t>
            </w:r>
            <w:r>
              <w:rPr>
                <w:rFonts w:ascii="Calibri"/>
                <w:color w:val="231F20"/>
                <w:w w:val="115"/>
                <w:sz w:val="6"/>
              </w:rPr>
              <w:t xml:space="preserve"> </w:t>
            </w:r>
            <w:r>
              <w:rPr>
                <w:rFonts w:ascii="Calibri"/>
                <w:color w:val="231F20"/>
                <w:spacing w:val="-1"/>
                <w:w w:val="193"/>
                <w:sz w:val="6"/>
              </w:rPr>
              <w:t xml:space="preserve"> </w:t>
            </w:r>
            <w:r>
              <w:rPr>
                <w:rFonts w:ascii="Calibri"/>
                <w:color w:val="231F20"/>
                <w:spacing w:val="-1"/>
                <w:w w:val="224"/>
                <w:sz w:val="6"/>
              </w:rPr>
              <w:t xml:space="preserve"> </w:t>
            </w:r>
            <w:r>
              <w:rPr>
                <w:rFonts w:ascii="Calibri"/>
                <w:color w:val="231F20"/>
                <w:w w:val="24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13B134D9" w14:textId="77777777" w:rsidR="00F65BCA" w:rsidRDefault="00F65BCA">
            <w:pPr>
              <w:pStyle w:val="TableParagraph"/>
              <w:spacing w:before="8"/>
              <w:rPr>
                <w:rFonts w:ascii="Calibri"/>
                <w:b/>
                <w:sz w:val="6"/>
              </w:rPr>
            </w:pPr>
          </w:p>
          <w:p w14:paraId="104530D7" w14:textId="77777777" w:rsidR="00F65BCA" w:rsidRDefault="00216117">
            <w:pPr>
              <w:pStyle w:val="TableParagraph"/>
              <w:spacing w:line="51" w:lineRule="exact"/>
              <w:ind w:left="7"/>
              <w:rPr>
                <w:rFonts w:ascii="Calibri"/>
                <w:sz w:val="6"/>
              </w:rPr>
            </w:pPr>
            <w:r>
              <w:rPr>
                <w:rFonts w:ascii="Calibri"/>
                <w:color w:val="231F20"/>
                <w:w w:val="237"/>
                <w:sz w:val="6"/>
              </w:rPr>
              <w:t xml:space="preserve"> </w:t>
            </w:r>
            <w:r>
              <w:rPr>
                <w:rFonts w:ascii="Calibri"/>
                <w:color w:val="231F20"/>
                <w:w w:val="160"/>
                <w:sz w:val="6"/>
              </w:rPr>
              <w:t xml:space="preserve"> </w:t>
            </w:r>
            <w:r>
              <w:rPr>
                <w:rFonts w:ascii="Calibri"/>
                <w:color w:val="231F20"/>
                <w:spacing w:val="-1"/>
                <w:w w:val="105"/>
                <w:sz w:val="6"/>
              </w:rPr>
              <w:t xml:space="preserve"> </w:t>
            </w:r>
            <w:r>
              <w:rPr>
                <w:rFonts w:ascii="Calibri"/>
                <w:color w:val="231F20"/>
                <w:w w:val="207"/>
                <w:sz w:val="6"/>
              </w:rPr>
              <w:t xml:space="preserve"> </w:t>
            </w:r>
            <w:r>
              <w:rPr>
                <w:rFonts w:ascii="Calibri"/>
                <w:color w:val="231F20"/>
                <w:w w:val="228"/>
                <w:sz w:val="6"/>
              </w:rPr>
              <w:t xml:space="preserve"> </w:t>
            </w:r>
            <w:r>
              <w:rPr>
                <w:rFonts w:ascii="Calibri"/>
                <w:color w:val="231F20"/>
                <w:w w:val="179"/>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496F70EF" w14:textId="77777777" w:rsidR="00F65BCA" w:rsidRDefault="00F65BCA">
            <w:pPr>
              <w:pStyle w:val="TableParagraph"/>
              <w:spacing w:before="8"/>
              <w:rPr>
                <w:rFonts w:ascii="Calibri"/>
                <w:b/>
                <w:sz w:val="6"/>
              </w:rPr>
            </w:pPr>
          </w:p>
          <w:p w14:paraId="534C6FF1"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366F58B4" w14:textId="77777777" w:rsidR="00F65BCA" w:rsidRDefault="00F65BCA">
            <w:pPr>
              <w:pStyle w:val="TableParagraph"/>
              <w:spacing w:before="8"/>
              <w:rPr>
                <w:rFonts w:ascii="Calibri"/>
                <w:b/>
                <w:sz w:val="6"/>
              </w:rPr>
            </w:pPr>
          </w:p>
          <w:p w14:paraId="68AAB74C" w14:textId="77777777" w:rsidR="00F65BCA" w:rsidRDefault="00216117">
            <w:pPr>
              <w:pStyle w:val="TableParagraph"/>
              <w:spacing w:line="51" w:lineRule="exact"/>
              <w:ind w:right="13"/>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7846CA81" w14:textId="77777777" w:rsidR="00F65BCA" w:rsidRDefault="00F65BCA">
            <w:pPr>
              <w:pStyle w:val="TableParagraph"/>
              <w:spacing w:before="8"/>
              <w:rPr>
                <w:rFonts w:ascii="Calibri"/>
                <w:b/>
                <w:sz w:val="6"/>
              </w:rPr>
            </w:pPr>
          </w:p>
          <w:p w14:paraId="4ED3A648" w14:textId="77777777" w:rsidR="00F65BCA" w:rsidRDefault="00216117">
            <w:pPr>
              <w:pStyle w:val="TableParagraph"/>
              <w:spacing w:line="51" w:lineRule="exact"/>
              <w:ind w:right="14"/>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289EF5E5" w14:textId="77777777" w:rsidR="00F65BCA" w:rsidRDefault="00F65BCA">
            <w:pPr>
              <w:pStyle w:val="TableParagraph"/>
              <w:spacing w:before="8"/>
              <w:rPr>
                <w:rFonts w:ascii="Calibri"/>
                <w:b/>
                <w:sz w:val="6"/>
              </w:rPr>
            </w:pPr>
          </w:p>
          <w:p w14:paraId="754C0E95" w14:textId="77777777" w:rsidR="00F65BCA" w:rsidRDefault="00216117">
            <w:pPr>
              <w:pStyle w:val="TableParagraph"/>
              <w:spacing w:line="51" w:lineRule="exact"/>
              <w:ind w:right="17"/>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01D85368" w14:textId="77777777" w:rsidR="00F65BCA" w:rsidRDefault="00F65BCA">
            <w:pPr>
              <w:pStyle w:val="TableParagraph"/>
              <w:rPr>
                <w:rFonts w:ascii="Times New Roman"/>
                <w:sz w:val="6"/>
              </w:rPr>
            </w:pPr>
          </w:p>
        </w:tc>
        <w:tc>
          <w:tcPr>
            <w:tcW w:w="278" w:type="dxa"/>
            <w:tcBorders>
              <w:top w:val="single" w:sz="2" w:space="0" w:color="231F20"/>
              <w:left w:val="single" w:sz="2" w:space="0" w:color="231F20"/>
              <w:bottom w:val="single" w:sz="2" w:space="0" w:color="231F20"/>
              <w:right w:val="single" w:sz="2" w:space="0" w:color="231F20"/>
            </w:tcBorders>
          </w:tcPr>
          <w:p w14:paraId="63047833"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3D8417F1" w14:textId="77777777" w:rsidR="00F65BCA" w:rsidRDefault="00F65BCA">
            <w:pPr>
              <w:pStyle w:val="TableParagraph"/>
              <w:spacing w:before="8"/>
              <w:rPr>
                <w:rFonts w:ascii="Calibri"/>
                <w:b/>
                <w:sz w:val="6"/>
              </w:rPr>
            </w:pPr>
          </w:p>
          <w:p w14:paraId="0F975A1C"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3C68AAAE"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1668AC21" w14:textId="77777777" w:rsidR="00F65BCA" w:rsidRDefault="00F65BCA">
            <w:pPr>
              <w:pStyle w:val="TableParagraph"/>
              <w:rPr>
                <w:rFonts w:ascii="Times New Roman"/>
                <w:sz w:val="6"/>
              </w:rPr>
            </w:pPr>
          </w:p>
        </w:tc>
        <w:tc>
          <w:tcPr>
            <w:tcW w:w="311" w:type="dxa"/>
            <w:tcBorders>
              <w:top w:val="single" w:sz="2" w:space="0" w:color="231F20"/>
              <w:left w:val="single" w:sz="2" w:space="0" w:color="231F20"/>
              <w:bottom w:val="single" w:sz="2" w:space="0" w:color="231F20"/>
              <w:right w:val="single" w:sz="2" w:space="0" w:color="231F20"/>
            </w:tcBorders>
          </w:tcPr>
          <w:p w14:paraId="48A03C70"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463B7558"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721196F2" w14:textId="77777777" w:rsidR="00F65BCA" w:rsidRDefault="00F65BCA">
            <w:pPr>
              <w:pStyle w:val="TableParagraph"/>
              <w:rPr>
                <w:rFonts w:ascii="Times New Roman"/>
                <w:sz w:val="6"/>
              </w:rPr>
            </w:pPr>
          </w:p>
        </w:tc>
        <w:tc>
          <w:tcPr>
            <w:tcW w:w="296" w:type="dxa"/>
            <w:tcBorders>
              <w:top w:val="single" w:sz="2" w:space="0" w:color="231F20"/>
              <w:left w:val="single" w:sz="2" w:space="0" w:color="231F20"/>
              <w:bottom w:val="single" w:sz="2" w:space="0" w:color="231F20"/>
              <w:right w:val="single" w:sz="2" w:space="0" w:color="231F20"/>
            </w:tcBorders>
          </w:tcPr>
          <w:p w14:paraId="27D8A3EC" w14:textId="77777777" w:rsidR="00F65BCA" w:rsidRDefault="00F65BCA">
            <w:pPr>
              <w:pStyle w:val="TableParagraph"/>
              <w:rPr>
                <w:rFonts w:ascii="Times New Roman"/>
                <w:sz w:val="6"/>
              </w:rPr>
            </w:pPr>
          </w:p>
        </w:tc>
        <w:tc>
          <w:tcPr>
            <w:tcW w:w="392" w:type="dxa"/>
            <w:tcBorders>
              <w:top w:val="single" w:sz="2" w:space="0" w:color="231F20"/>
              <w:left w:val="single" w:sz="2" w:space="0" w:color="231F20"/>
              <w:bottom w:val="single" w:sz="2" w:space="0" w:color="231F20"/>
              <w:right w:val="single" w:sz="2" w:space="0" w:color="231F20"/>
            </w:tcBorders>
          </w:tcPr>
          <w:p w14:paraId="3D155EB0" w14:textId="77777777" w:rsidR="00F65BCA" w:rsidRDefault="00F65BCA">
            <w:pPr>
              <w:pStyle w:val="TableParagraph"/>
              <w:rPr>
                <w:rFonts w:ascii="Times New Roman"/>
                <w:sz w:val="6"/>
              </w:rPr>
            </w:pPr>
          </w:p>
        </w:tc>
        <w:tc>
          <w:tcPr>
            <w:tcW w:w="428" w:type="dxa"/>
            <w:tcBorders>
              <w:top w:val="single" w:sz="2" w:space="0" w:color="231F20"/>
              <w:left w:val="single" w:sz="2" w:space="0" w:color="231F20"/>
              <w:bottom w:val="single" w:sz="2" w:space="0" w:color="231F20"/>
            </w:tcBorders>
          </w:tcPr>
          <w:p w14:paraId="77DE6A7D"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2AA83479"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1F1D190"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5013F5B"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BE848D2"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393E740F" w14:textId="77777777" w:rsidR="00F65BCA" w:rsidRDefault="00F65BCA">
            <w:pPr>
              <w:pStyle w:val="TableParagraph"/>
              <w:rPr>
                <w:rFonts w:ascii="Times New Roman"/>
                <w:sz w:val="6"/>
              </w:rPr>
            </w:pPr>
          </w:p>
        </w:tc>
      </w:tr>
      <w:tr w:rsidR="00F65BCA" w14:paraId="559BB57E" w14:textId="77777777">
        <w:trPr>
          <w:trHeight w:val="153"/>
        </w:trPr>
        <w:tc>
          <w:tcPr>
            <w:tcW w:w="166" w:type="dxa"/>
            <w:tcBorders>
              <w:top w:val="single" w:sz="2" w:space="0" w:color="231F20"/>
              <w:bottom w:val="single" w:sz="2" w:space="0" w:color="231F20"/>
              <w:right w:val="single" w:sz="2" w:space="0" w:color="231F20"/>
            </w:tcBorders>
          </w:tcPr>
          <w:p w14:paraId="47644CA4" w14:textId="77777777" w:rsidR="00F65BCA" w:rsidRDefault="00F65BCA">
            <w:pPr>
              <w:pStyle w:val="TableParagraph"/>
              <w:spacing w:before="8"/>
              <w:rPr>
                <w:rFonts w:ascii="Calibri"/>
                <w:b/>
                <w:sz w:val="6"/>
              </w:rPr>
            </w:pPr>
          </w:p>
          <w:p w14:paraId="6DDD05D1"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533525C0" w14:textId="77777777" w:rsidR="00F65BCA" w:rsidRDefault="00F65BCA">
            <w:pPr>
              <w:pStyle w:val="TableParagraph"/>
              <w:spacing w:before="8"/>
              <w:rPr>
                <w:rFonts w:ascii="Calibri"/>
                <w:b/>
                <w:sz w:val="6"/>
              </w:rPr>
            </w:pPr>
          </w:p>
          <w:p w14:paraId="38F61649"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53C1B8B3" w14:textId="77777777" w:rsidR="00F65BCA" w:rsidRDefault="00F65BCA">
            <w:pPr>
              <w:pStyle w:val="TableParagraph"/>
              <w:spacing w:before="8"/>
              <w:rPr>
                <w:rFonts w:ascii="Calibri"/>
                <w:b/>
                <w:sz w:val="6"/>
              </w:rPr>
            </w:pPr>
          </w:p>
          <w:p w14:paraId="49D77E1F"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6B0E55F5" w14:textId="77777777" w:rsidR="00F65BCA" w:rsidRDefault="00F65BCA">
            <w:pPr>
              <w:pStyle w:val="TableParagraph"/>
              <w:spacing w:before="8"/>
              <w:rPr>
                <w:rFonts w:ascii="Calibri"/>
                <w:b/>
                <w:sz w:val="6"/>
              </w:rPr>
            </w:pPr>
          </w:p>
          <w:p w14:paraId="20048B05"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695611C3" w14:textId="77777777" w:rsidR="00F65BCA" w:rsidRDefault="00F65BCA">
            <w:pPr>
              <w:pStyle w:val="TableParagraph"/>
              <w:spacing w:before="8"/>
              <w:rPr>
                <w:rFonts w:ascii="Calibri"/>
                <w:b/>
                <w:sz w:val="6"/>
              </w:rPr>
            </w:pPr>
          </w:p>
          <w:p w14:paraId="25F4429A"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26ABE2D7" w14:textId="77777777" w:rsidR="00F65BCA" w:rsidRDefault="00F65BCA">
            <w:pPr>
              <w:pStyle w:val="TableParagraph"/>
              <w:spacing w:before="8"/>
              <w:rPr>
                <w:rFonts w:ascii="Calibri"/>
                <w:b/>
                <w:sz w:val="6"/>
              </w:rPr>
            </w:pPr>
          </w:p>
          <w:p w14:paraId="2B2A243A"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0ABCA1E9" w14:textId="77777777" w:rsidR="00F65BCA" w:rsidRDefault="00F65BCA">
            <w:pPr>
              <w:pStyle w:val="TableParagraph"/>
              <w:spacing w:before="8"/>
              <w:rPr>
                <w:rFonts w:ascii="Calibri"/>
                <w:b/>
                <w:sz w:val="6"/>
              </w:rPr>
            </w:pPr>
          </w:p>
          <w:p w14:paraId="019C1D26"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261"/>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5D16E271" w14:textId="77777777" w:rsidR="00F65BCA" w:rsidRDefault="00F65BCA">
            <w:pPr>
              <w:pStyle w:val="TableParagraph"/>
              <w:spacing w:before="8"/>
              <w:rPr>
                <w:rFonts w:ascii="Calibri"/>
                <w:b/>
                <w:sz w:val="6"/>
              </w:rPr>
            </w:pPr>
          </w:p>
          <w:p w14:paraId="51F9E643"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303"/>
                <w:sz w:val="6"/>
              </w:rPr>
              <w:t xml:space="preserve">   </w:t>
            </w:r>
            <w:r>
              <w:rPr>
                <w:rFonts w:ascii="Calibri"/>
                <w:color w:val="231F20"/>
                <w:w w:val="241"/>
                <w:sz w:val="6"/>
              </w:rPr>
              <w:t xml:space="preserve">  </w:t>
            </w:r>
            <w:r>
              <w:rPr>
                <w:rFonts w:ascii="Calibri"/>
                <w:color w:val="231F20"/>
                <w:w w:val="296"/>
                <w:sz w:val="6"/>
              </w:rPr>
              <w:t xml:space="preserve"> </w:t>
            </w:r>
            <w:r>
              <w:rPr>
                <w:rFonts w:ascii="Calibri"/>
                <w:color w:val="231F20"/>
                <w:w w:val="259"/>
                <w:sz w:val="6"/>
              </w:rPr>
              <w:t xml:space="preserve">  </w:t>
            </w:r>
            <w:r>
              <w:rPr>
                <w:rFonts w:ascii="Calibri"/>
                <w:color w:val="231F20"/>
                <w:w w:val="261"/>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7B037C24" w14:textId="77777777" w:rsidR="00F65BCA" w:rsidRDefault="00F65BCA">
            <w:pPr>
              <w:pStyle w:val="TableParagraph"/>
              <w:spacing w:before="8"/>
              <w:rPr>
                <w:rFonts w:ascii="Calibri"/>
                <w:b/>
                <w:sz w:val="6"/>
              </w:rPr>
            </w:pPr>
          </w:p>
          <w:p w14:paraId="4FBE6F2F"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57BC2C86" w14:textId="77777777" w:rsidR="00F65BCA" w:rsidRDefault="00F65BCA">
            <w:pPr>
              <w:pStyle w:val="TableParagraph"/>
              <w:spacing w:before="8"/>
              <w:rPr>
                <w:rFonts w:ascii="Calibri"/>
                <w:b/>
                <w:sz w:val="6"/>
              </w:rPr>
            </w:pPr>
          </w:p>
          <w:p w14:paraId="6904F156" w14:textId="77777777" w:rsidR="00F65BCA" w:rsidRDefault="00216117">
            <w:pPr>
              <w:pStyle w:val="TableParagraph"/>
              <w:spacing w:line="51" w:lineRule="exact"/>
              <w:ind w:left="9"/>
              <w:rPr>
                <w:rFonts w:ascii="Calibri"/>
                <w:sz w:val="6"/>
              </w:rPr>
            </w:pPr>
            <w:r>
              <w:rPr>
                <w:rFonts w:ascii="Calibri"/>
                <w:color w:val="231F20"/>
                <w:w w:val="257"/>
                <w:sz w:val="6"/>
              </w:rPr>
              <w:t xml:space="preserve">  </w:t>
            </w:r>
            <w:r>
              <w:rPr>
                <w:rFonts w:ascii="Calibri"/>
                <w:color w:val="231F20"/>
                <w:w w:val="237"/>
                <w:sz w:val="6"/>
              </w:rPr>
              <w:t xml:space="preserve"> </w:t>
            </w:r>
            <w:r>
              <w:rPr>
                <w:rFonts w:ascii="Calibri"/>
                <w:color w:val="231F20"/>
                <w:w w:val="19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7DAB5637" w14:textId="77777777" w:rsidR="00F65BCA" w:rsidRDefault="00F65BCA">
            <w:pPr>
              <w:pStyle w:val="TableParagraph"/>
              <w:spacing w:before="8"/>
              <w:rPr>
                <w:rFonts w:ascii="Calibri"/>
                <w:b/>
                <w:sz w:val="6"/>
              </w:rPr>
            </w:pPr>
          </w:p>
          <w:p w14:paraId="3117845A" w14:textId="77777777" w:rsidR="00F65BCA" w:rsidRDefault="00216117">
            <w:pPr>
              <w:pStyle w:val="TableParagraph"/>
              <w:spacing w:line="51" w:lineRule="exact"/>
              <w:ind w:left="8"/>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6E3D3AA6" w14:textId="77777777" w:rsidR="00F65BCA" w:rsidRDefault="00F65BCA">
            <w:pPr>
              <w:pStyle w:val="TableParagraph"/>
              <w:spacing w:before="8"/>
              <w:rPr>
                <w:rFonts w:ascii="Calibri"/>
                <w:b/>
                <w:sz w:val="6"/>
              </w:rPr>
            </w:pPr>
          </w:p>
          <w:p w14:paraId="3DFFD6DC"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1AE286C6" w14:textId="77777777" w:rsidR="00F65BCA" w:rsidRDefault="00F65BCA">
            <w:pPr>
              <w:pStyle w:val="TableParagraph"/>
              <w:spacing w:before="8"/>
              <w:rPr>
                <w:rFonts w:ascii="Calibri"/>
                <w:b/>
                <w:sz w:val="6"/>
              </w:rPr>
            </w:pPr>
          </w:p>
          <w:p w14:paraId="7F590D07"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1655C11A" w14:textId="77777777" w:rsidR="00F65BCA" w:rsidRDefault="00F65BCA">
            <w:pPr>
              <w:pStyle w:val="TableParagraph"/>
              <w:spacing w:before="8"/>
              <w:rPr>
                <w:rFonts w:ascii="Calibri"/>
                <w:b/>
                <w:sz w:val="6"/>
              </w:rPr>
            </w:pPr>
          </w:p>
          <w:p w14:paraId="72DDCA26"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41A10D7D" w14:textId="77777777" w:rsidR="00F65BCA" w:rsidRDefault="00F65BCA">
            <w:pPr>
              <w:pStyle w:val="TableParagraph"/>
              <w:spacing w:before="8"/>
              <w:rPr>
                <w:rFonts w:ascii="Calibri"/>
                <w:b/>
                <w:sz w:val="6"/>
              </w:rPr>
            </w:pPr>
          </w:p>
          <w:p w14:paraId="5A8F4DA6"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46A2BFF5" w14:textId="77777777" w:rsidR="00F65BCA" w:rsidRDefault="00F65BCA">
            <w:pPr>
              <w:pStyle w:val="TableParagraph"/>
              <w:spacing w:before="8"/>
              <w:rPr>
                <w:rFonts w:ascii="Calibri"/>
                <w:b/>
                <w:sz w:val="6"/>
              </w:rPr>
            </w:pPr>
          </w:p>
          <w:p w14:paraId="6CAAEDFF"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7479413A" w14:textId="77777777" w:rsidR="00F65BCA" w:rsidRDefault="00F65BCA">
            <w:pPr>
              <w:pStyle w:val="TableParagraph"/>
              <w:spacing w:before="8"/>
              <w:rPr>
                <w:rFonts w:ascii="Calibri"/>
                <w:b/>
                <w:sz w:val="6"/>
              </w:rPr>
            </w:pPr>
          </w:p>
          <w:p w14:paraId="6AC835FE" w14:textId="77777777" w:rsidR="00F65BCA" w:rsidRDefault="00216117">
            <w:pPr>
              <w:pStyle w:val="TableParagraph"/>
              <w:spacing w:line="51" w:lineRule="exact"/>
              <w:ind w:right="5"/>
              <w:jc w:val="center"/>
              <w:rPr>
                <w:rFonts w:ascii="Calibri"/>
                <w:sz w:val="6"/>
              </w:rPr>
            </w:pPr>
            <w:r>
              <w:rPr>
                <w:rFonts w:ascii="Calibri"/>
                <w:color w:val="231F20"/>
                <w:w w:val="239"/>
                <w:sz w:val="6"/>
              </w:rPr>
              <w:t xml:space="preserve">  </w:t>
            </w:r>
            <w:r>
              <w:rPr>
                <w:rFonts w:ascii="Calibri"/>
                <w:color w:val="231F20"/>
                <w:spacing w:val="-1"/>
                <w:w w:val="241"/>
                <w:sz w:val="6"/>
              </w:rPr>
              <w:t xml:space="preserve"> </w:t>
            </w:r>
            <w:r>
              <w:rPr>
                <w:rFonts w:ascii="Calibri"/>
                <w:color w:val="231F20"/>
                <w:w w:val="143"/>
                <w:sz w:val="6"/>
              </w:rPr>
              <w:t xml:space="preserve"> </w:t>
            </w:r>
            <w:r>
              <w:rPr>
                <w:rFonts w:ascii="Calibri"/>
                <w:color w:val="231F20"/>
                <w:spacing w:val="-1"/>
                <w:w w:val="143"/>
                <w:sz w:val="6"/>
              </w:rPr>
              <w:t xml:space="preserve"> </w:t>
            </w:r>
            <w:r>
              <w:rPr>
                <w:rFonts w:ascii="Calibri"/>
                <w:color w:val="231F20"/>
                <w:w w:val="241"/>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1DCC4F15" w14:textId="77777777" w:rsidR="00F65BCA" w:rsidRDefault="00F65BCA">
            <w:pPr>
              <w:pStyle w:val="TableParagraph"/>
              <w:spacing w:before="8"/>
              <w:rPr>
                <w:rFonts w:ascii="Calibri"/>
                <w:b/>
                <w:sz w:val="6"/>
              </w:rPr>
            </w:pPr>
          </w:p>
          <w:p w14:paraId="42028B35" w14:textId="77777777" w:rsidR="00F65BCA" w:rsidRDefault="00216117">
            <w:pPr>
              <w:pStyle w:val="TableParagraph"/>
              <w:spacing w:line="51" w:lineRule="exact"/>
              <w:ind w:right="8"/>
              <w:jc w:val="center"/>
              <w:rPr>
                <w:rFonts w:ascii="Calibri"/>
                <w:sz w:val="6"/>
              </w:rPr>
            </w:pPr>
            <w:r>
              <w:rPr>
                <w:rFonts w:ascii="Calibri"/>
                <w:color w:val="231F20"/>
                <w:spacing w:val="-1"/>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76A33B08" w14:textId="77777777" w:rsidR="00F65BCA" w:rsidRDefault="00F65BCA">
            <w:pPr>
              <w:pStyle w:val="TableParagraph"/>
              <w:spacing w:before="8"/>
              <w:rPr>
                <w:rFonts w:ascii="Calibri"/>
                <w:b/>
                <w:sz w:val="6"/>
              </w:rPr>
            </w:pPr>
          </w:p>
          <w:p w14:paraId="6F1C8662"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345C4DC5" w14:textId="77777777" w:rsidR="00F65BCA" w:rsidRDefault="00F65BCA">
            <w:pPr>
              <w:pStyle w:val="TableParagraph"/>
              <w:spacing w:before="8"/>
              <w:rPr>
                <w:rFonts w:ascii="Calibri"/>
                <w:b/>
                <w:sz w:val="6"/>
              </w:rPr>
            </w:pPr>
          </w:p>
          <w:p w14:paraId="54205542"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7773A4E2" w14:textId="77777777" w:rsidR="00F65BCA" w:rsidRDefault="00F65BCA">
            <w:pPr>
              <w:pStyle w:val="TableParagraph"/>
              <w:spacing w:before="8"/>
              <w:rPr>
                <w:rFonts w:ascii="Calibri"/>
                <w:b/>
                <w:sz w:val="6"/>
              </w:rPr>
            </w:pPr>
          </w:p>
          <w:p w14:paraId="2A895F20"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73130D30" w14:textId="77777777" w:rsidR="00F65BCA" w:rsidRDefault="00F65BCA">
            <w:pPr>
              <w:pStyle w:val="TableParagraph"/>
              <w:spacing w:before="8"/>
              <w:rPr>
                <w:rFonts w:ascii="Calibri"/>
                <w:b/>
                <w:sz w:val="6"/>
              </w:rPr>
            </w:pPr>
          </w:p>
          <w:p w14:paraId="3CEDDDFA" w14:textId="77777777" w:rsidR="00F65BCA" w:rsidRDefault="00216117">
            <w:pPr>
              <w:pStyle w:val="TableParagraph"/>
              <w:spacing w:line="51" w:lineRule="exact"/>
              <w:ind w:right="23"/>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0C699D42" w14:textId="77777777" w:rsidR="00F65BCA" w:rsidRDefault="00F65BCA">
            <w:pPr>
              <w:pStyle w:val="TableParagraph"/>
              <w:spacing w:before="8"/>
              <w:rPr>
                <w:rFonts w:ascii="Calibri"/>
                <w:b/>
                <w:sz w:val="6"/>
              </w:rPr>
            </w:pPr>
          </w:p>
          <w:p w14:paraId="4AC2B3DC"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2A7AD252" w14:textId="77777777" w:rsidR="00F65BCA" w:rsidRDefault="00F65BCA">
            <w:pPr>
              <w:pStyle w:val="TableParagraph"/>
              <w:spacing w:before="8"/>
              <w:rPr>
                <w:rFonts w:ascii="Calibri"/>
                <w:b/>
                <w:sz w:val="6"/>
              </w:rPr>
            </w:pPr>
          </w:p>
          <w:p w14:paraId="44E34DA2" w14:textId="77777777" w:rsidR="00F65BCA" w:rsidRDefault="00216117">
            <w:pPr>
              <w:pStyle w:val="TableParagraph"/>
              <w:spacing w:line="51" w:lineRule="exact"/>
              <w:ind w:left="3"/>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5F262261" w14:textId="77777777" w:rsidR="00F65BCA" w:rsidRDefault="00F65BCA">
            <w:pPr>
              <w:pStyle w:val="TableParagraph"/>
              <w:spacing w:before="8"/>
              <w:rPr>
                <w:rFonts w:ascii="Calibri"/>
                <w:b/>
                <w:sz w:val="6"/>
              </w:rPr>
            </w:pPr>
          </w:p>
          <w:p w14:paraId="5501DDF8"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43AD612A"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6D755B93"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4A47160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4240B18"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5CA4C52"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0CDEACE6" w14:textId="77777777" w:rsidR="00F65BCA" w:rsidRDefault="00F65BCA">
            <w:pPr>
              <w:pStyle w:val="TableParagraph"/>
              <w:rPr>
                <w:rFonts w:ascii="Times New Roman"/>
                <w:sz w:val="6"/>
              </w:rPr>
            </w:pPr>
          </w:p>
        </w:tc>
      </w:tr>
      <w:tr w:rsidR="00F65BCA" w14:paraId="3A153CC7" w14:textId="77777777">
        <w:trPr>
          <w:trHeight w:val="153"/>
        </w:trPr>
        <w:tc>
          <w:tcPr>
            <w:tcW w:w="166" w:type="dxa"/>
            <w:tcBorders>
              <w:top w:val="single" w:sz="2" w:space="0" w:color="231F20"/>
              <w:bottom w:val="single" w:sz="2" w:space="0" w:color="231F20"/>
              <w:right w:val="single" w:sz="2" w:space="0" w:color="231F20"/>
            </w:tcBorders>
          </w:tcPr>
          <w:p w14:paraId="518E769E" w14:textId="77777777" w:rsidR="00F65BCA" w:rsidRDefault="00F65BCA">
            <w:pPr>
              <w:pStyle w:val="TableParagraph"/>
              <w:spacing w:before="8"/>
              <w:rPr>
                <w:rFonts w:ascii="Calibri"/>
                <w:b/>
                <w:sz w:val="6"/>
              </w:rPr>
            </w:pPr>
          </w:p>
          <w:p w14:paraId="61696F0D"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24D635E4" w14:textId="77777777" w:rsidR="00F65BCA" w:rsidRDefault="00F65BCA">
            <w:pPr>
              <w:pStyle w:val="TableParagraph"/>
              <w:spacing w:before="8"/>
              <w:rPr>
                <w:rFonts w:ascii="Calibri"/>
                <w:b/>
                <w:sz w:val="6"/>
              </w:rPr>
            </w:pPr>
          </w:p>
          <w:p w14:paraId="48DE4272"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11A7E85B" w14:textId="77777777" w:rsidR="00F65BCA" w:rsidRDefault="00F65BCA">
            <w:pPr>
              <w:pStyle w:val="TableParagraph"/>
              <w:spacing w:before="8"/>
              <w:rPr>
                <w:rFonts w:ascii="Calibri"/>
                <w:b/>
                <w:sz w:val="6"/>
              </w:rPr>
            </w:pPr>
          </w:p>
          <w:p w14:paraId="7189B5D6"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4B11B738" w14:textId="77777777" w:rsidR="00F65BCA" w:rsidRDefault="00F65BCA">
            <w:pPr>
              <w:pStyle w:val="TableParagraph"/>
              <w:spacing w:before="8"/>
              <w:rPr>
                <w:rFonts w:ascii="Calibri"/>
                <w:b/>
                <w:sz w:val="6"/>
              </w:rPr>
            </w:pPr>
          </w:p>
          <w:p w14:paraId="01AECF84"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2A5BAB35" w14:textId="77777777" w:rsidR="00F65BCA" w:rsidRDefault="00F65BCA">
            <w:pPr>
              <w:pStyle w:val="TableParagraph"/>
              <w:spacing w:before="8"/>
              <w:rPr>
                <w:rFonts w:ascii="Calibri"/>
                <w:b/>
                <w:sz w:val="6"/>
              </w:rPr>
            </w:pPr>
          </w:p>
          <w:p w14:paraId="19C3E933"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0BD604F3" w14:textId="77777777" w:rsidR="00F65BCA" w:rsidRDefault="00F65BCA">
            <w:pPr>
              <w:pStyle w:val="TableParagraph"/>
              <w:spacing w:before="8"/>
              <w:rPr>
                <w:rFonts w:ascii="Calibri"/>
                <w:b/>
                <w:sz w:val="6"/>
              </w:rPr>
            </w:pPr>
          </w:p>
          <w:p w14:paraId="2C889354"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0E88C813" w14:textId="77777777" w:rsidR="00F65BCA" w:rsidRDefault="00F65BCA">
            <w:pPr>
              <w:pStyle w:val="TableParagraph"/>
              <w:spacing w:before="8"/>
              <w:rPr>
                <w:rFonts w:ascii="Calibri"/>
                <w:b/>
                <w:sz w:val="6"/>
              </w:rPr>
            </w:pPr>
          </w:p>
          <w:p w14:paraId="30702A1D"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189"/>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5A0C70A0" w14:textId="77777777" w:rsidR="00F65BCA" w:rsidRDefault="00F65BCA">
            <w:pPr>
              <w:pStyle w:val="TableParagraph"/>
              <w:spacing w:before="8"/>
              <w:rPr>
                <w:rFonts w:ascii="Calibri"/>
                <w:b/>
                <w:sz w:val="6"/>
              </w:rPr>
            </w:pPr>
          </w:p>
          <w:p w14:paraId="2A499F04" w14:textId="77777777" w:rsidR="00F65BCA" w:rsidRDefault="00216117">
            <w:pPr>
              <w:pStyle w:val="TableParagraph"/>
              <w:spacing w:line="51" w:lineRule="exact"/>
              <w:ind w:left="10"/>
              <w:rPr>
                <w:rFonts w:ascii="Calibri" w:hAnsi="Calibri"/>
                <w:sz w:val="6"/>
              </w:rPr>
            </w:pPr>
            <w:r>
              <w:rPr>
                <w:rFonts w:ascii="Calibri" w:hAnsi="Calibri"/>
                <w:color w:val="231F20"/>
                <w:w w:val="205"/>
                <w:sz w:val="6"/>
              </w:rPr>
              <w:t>ý</w:t>
            </w:r>
            <w:r>
              <w:rPr>
                <w:rFonts w:ascii="Calibri" w:hAnsi="Calibri"/>
                <w:color w:val="231F20"/>
                <w:w w:val="211"/>
                <w:sz w:val="6"/>
              </w:rPr>
              <w:t xml:space="preserve"> </w:t>
            </w:r>
            <w:r>
              <w:rPr>
                <w:rFonts w:ascii="Calibri" w:hAnsi="Calibri"/>
                <w:color w:val="231F20"/>
                <w:w w:val="233"/>
                <w:sz w:val="6"/>
              </w:rPr>
              <w:t xml:space="preserve"> </w:t>
            </w:r>
            <w:r>
              <w:rPr>
                <w:rFonts w:ascii="Calibri" w:hAnsi="Calibri"/>
                <w:color w:val="231F20"/>
                <w:w w:val="235"/>
                <w:sz w:val="6"/>
              </w:rPr>
              <w:t xml:space="preserve">    </w:t>
            </w:r>
            <w:r>
              <w:rPr>
                <w:rFonts w:ascii="Calibri" w:hAnsi="Calibri"/>
                <w:color w:val="231F20"/>
                <w:w w:val="224"/>
                <w:sz w:val="6"/>
              </w:rPr>
              <w:t xml:space="preserve"> </w:t>
            </w:r>
            <w:r>
              <w:rPr>
                <w:rFonts w:ascii="Calibri" w:hAnsi="Calibri"/>
                <w:color w:val="231F20"/>
                <w:w w:val="231"/>
                <w:sz w:val="6"/>
              </w:rPr>
              <w:t xml:space="preserve">     </w:t>
            </w:r>
            <w:r>
              <w:rPr>
                <w:rFonts w:ascii="Calibri" w:hAns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65661DB7" w14:textId="77777777" w:rsidR="00F65BCA" w:rsidRDefault="00F65BCA">
            <w:pPr>
              <w:pStyle w:val="TableParagraph"/>
              <w:spacing w:before="8"/>
              <w:rPr>
                <w:rFonts w:ascii="Calibri"/>
                <w:b/>
                <w:sz w:val="6"/>
              </w:rPr>
            </w:pPr>
          </w:p>
          <w:p w14:paraId="198ED757" w14:textId="77777777" w:rsidR="00F65BCA" w:rsidRDefault="00216117">
            <w:pPr>
              <w:pStyle w:val="TableParagraph"/>
              <w:spacing w:line="51" w:lineRule="exact"/>
              <w:ind w:left="9"/>
              <w:rPr>
                <w:rFonts w:ascii="Calibri"/>
                <w:sz w:val="6"/>
              </w:rPr>
            </w:pPr>
            <w:r>
              <w:rPr>
                <w:rFonts w:ascii="Calibri"/>
                <w:color w:val="231F20"/>
                <w:spacing w:val="-1"/>
                <w:w w:val="211"/>
                <w:sz w:val="6"/>
              </w:rPr>
              <w:t xml:space="preserve"> </w:t>
            </w:r>
            <w:r>
              <w:rPr>
                <w:rFonts w:ascii="Calibri"/>
                <w:color w:val="231F20"/>
                <w:w w:val="27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17E7E0A0" w14:textId="77777777" w:rsidR="00F65BCA" w:rsidRDefault="00F65BCA">
            <w:pPr>
              <w:pStyle w:val="TableParagraph"/>
              <w:spacing w:before="8"/>
              <w:rPr>
                <w:rFonts w:ascii="Calibri"/>
                <w:b/>
                <w:sz w:val="6"/>
              </w:rPr>
            </w:pPr>
          </w:p>
          <w:p w14:paraId="35A1208F" w14:textId="77777777" w:rsidR="00F65BCA" w:rsidRDefault="00216117">
            <w:pPr>
              <w:pStyle w:val="TableParagraph"/>
              <w:spacing w:line="51" w:lineRule="exact"/>
              <w:ind w:left="8"/>
              <w:rPr>
                <w:rFonts w:ascii="Calibri"/>
                <w:sz w:val="6"/>
              </w:rPr>
            </w:pPr>
            <w:r>
              <w:rPr>
                <w:rFonts w:ascii="Calibri"/>
                <w:color w:val="231F20"/>
                <w:spacing w:val="-1"/>
                <w:w w:val="224"/>
                <w:sz w:val="6"/>
              </w:rPr>
              <w:t xml:space="preserve"> </w:t>
            </w:r>
            <w:r>
              <w:rPr>
                <w:rFonts w:ascii="Calibri"/>
                <w:color w:val="231F20"/>
                <w:w w:val="257"/>
                <w:sz w:val="6"/>
              </w:rPr>
              <w:t xml:space="preserve">  </w:t>
            </w:r>
            <w:r>
              <w:rPr>
                <w:rFonts w:ascii="Calibri"/>
                <w:color w:val="231F20"/>
                <w:w w:val="296"/>
                <w:sz w:val="6"/>
              </w:rPr>
              <w:t xml:space="preserve"> </w:t>
            </w:r>
            <w:r>
              <w:rPr>
                <w:rFonts w:ascii="Calibri"/>
                <w:color w:val="231F20"/>
                <w:spacing w:val="-1"/>
                <w:w w:val="211"/>
                <w:sz w:val="6"/>
              </w:rPr>
              <w:t xml:space="preserve"> </w:t>
            </w:r>
            <w:r>
              <w:rPr>
                <w:rFonts w:ascii="Calibri"/>
                <w:color w:val="231F20"/>
                <w:w w:val="170"/>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w w:val="170"/>
                <w:sz w:val="6"/>
              </w:rPr>
              <w:t xml:space="preserve"> </w:t>
            </w:r>
            <w:r>
              <w:rPr>
                <w:rFonts w:ascii="Calibri"/>
                <w:color w:val="231F20"/>
                <w:spacing w:val="-1"/>
                <w:w w:val="170"/>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19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016ADDE7" w14:textId="77777777" w:rsidR="00F65BCA" w:rsidRDefault="00F65BCA">
            <w:pPr>
              <w:pStyle w:val="TableParagraph"/>
              <w:spacing w:before="8"/>
              <w:rPr>
                <w:rFonts w:ascii="Calibri"/>
                <w:b/>
                <w:sz w:val="6"/>
              </w:rPr>
            </w:pPr>
          </w:p>
          <w:p w14:paraId="7BCF931F" w14:textId="77777777" w:rsidR="00F65BCA" w:rsidRDefault="00216117">
            <w:pPr>
              <w:pStyle w:val="TableParagraph"/>
              <w:spacing w:line="51" w:lineRule="exact"/>
              <w:ind w:left="7"/>
              <w:rPr>
                <w:rFonts w:ascii="Calibri"/>
                <w:sz w:val="6"/>
              </w:rPr>
            </w:pPr>
            <w:r>
              <w:rPr>
                <w:rFonts w:ascii="Calibri"/>
                <w:color w:val="231F20"/>
                <w:w w:val="295"/>
                <w:sz w:val="6"/>
              </w:rPr>
              <w:t xml:space="preserve"> </w:t>
            </w:r>
            <w:r>
              <w:rPr>
                <w:rFonts w:ascii="Calibri"/>
                <w:color w:val="231F20"/>
                <w:w w:val="90"/>
                <w:sz w:val="6"/>
              </w:rPr>
              <w:t xml:space="preserve">A </w:t>
            </w:r>
            <w:r>
              <w:rPr>
                <w:rFonts w:ascii="Calibri"/>
                <w:color w:val="231F20"/>
                <w:w w:val="181"/>
                <w:sz w:val="6"/>
              </w:rPr>
              <w:t xml:space="preserve">  </w:t>
            </w:r>
            <w:r>
              <w:rPr>
                <w:rFonts w:ascii="Calibri"/>
                <w:color w:val="231F20"/>
                <w:w w:val="242"/>
                <w:sz w:val="6"/>
              </w:rPr>
              <w:t xml:space="preserve"> </w:t>
            </w:r>
            <w:r>
              <w:rPr>
                <w:rFonts w:ascii="Calibri"/>
                <w:color w:val="231F20"/>
                <w:w w:val="207"/>
                <w:sz w:val="6"/>
              </w:rPr>
              <w:t xml:space="preserve"> </w:t>
            </w:r>
            <w:r>
              <w:rPr>
                <w:rFonts w:ascii="Calibri"/>
                <w:color w:val="231F20"/>
                <w:w w:val="208"/>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654C12E8" w14:textId="77777777" w:rsidR="00F65BCA" w:rsidRDefault="00F65BCA">
            <w:pPr>
              <w:pStyle w:val="TableParagraph"/>
              <w:spacing w:before="8"/>
              <w:rPr>
                <w:rFonts w:ascii="Calibri"/>
                <w:b/>
                <w:sz w:val="6"/>
              </w:rPr>
            </w:pPr>
          </w:p>
          <w:p w14:paraId="327E4365"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30EC4FDC" w14:textId="77777777" w:rsidR="00F65BCA" w:rsidRDefault="00F65BCA">
            <w:pPr>
              <w:pStyle w:val="TableParagraph"/>
              <w:spacing w:before="8"/>
              <w:rPr>
                <w:rFonts w:ascii="Calibri"/>
                <w:b/>
                <w:sz w:val="6"/>
              </w:rPr>
            </w:pPr>
          </w:p>
          <w:p w14:paraId="74C0806A"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180B4604" w14:textId="77777777" w:rsidR="00F65BCA" w:rsidRDefault="00F65BCA">
            <w:pPr>
              <w:pStyle w:val="TableParagraph"/>
              <w:spacing w:before="8"/>
              <w:rPr>
                <w:rFonts w:ascii="Calibri"/>
                <w:b/>
                <w:sz w:val="6"/>
              </w:rPr>
            </w:pPr>
          </w:p>
          <w:p w14:paraId="0389C353" w14:textId="77777777" w:rsidR="00F65BCA" w:rsidRDefault="00216117">
            <w:pPr>
              <w:pStyle w:val="TableParagraph"/>
              <w:spacing w:line="51" w:lineRule="exact"/>
              <w:ind w:right="17"/>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5716FFA6" w14:textId="77777777" w:rsidR="00F65BCA" w:rsidRDefault="00F65BCA">
            <w:pPr>
              <w:pStyle w:val="TableParagraph"/>
              <w:spacing w:before="8"/>
              <w:rPr>
                <w:rFonts w:ascii="Calibri"/>
                <w:b/>
                <w:sz w:val="6"/>
              </w:rPr>
            </w:pPr>
          </w:p>
          <w:p w14:paraId="285A5B7F"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2D74E8F6" w14:textId="77777777" w:rsidR="00F65BCA" w:rsidRDefault="00F65BCA">
            <w:pPr>
              <w:pStyle w:val="TableParagraph"/>
              <w:spacing w:before="8"/>
              <w:rPr>
                <w:rFonts w:ascii="Calibri"/>
                <w:b/>
                <w:sz w:val="6"/>
              </w:rPr>
            </w:pPr>
          </w:p>
          <w:p w14:paraId="7919E654" w14:textId="77777777" w:rsidR="00F65BCA" w:rsidRDefault="00216117">
            <w:pPr>
              <w:pStyle w:val="TableParagraph"/>
              <w:spacing w:line="51" w:lineRule="exact"/>
              <w:ind w:right="8"/>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71A610DC" w14:textId="77777777" w:rsidR="00F65BCA" w:rsidRDefault="00F65BCA">
            <w:pPr>
              <w:pStyle w:val="TableParagraph"/>
              <w:spacing w:before="8"/>
              <w:rPr>
                <w:rFonts w:ascii="Calibri"/>
                <w:b/>
                <w:sz w:val="6"/>
              </w:rPr>
            </w:pPr>
          </w:p>
          <w:p w14:paraId="0AE1BAF1" w14:textId="77777777" w:rsidR="00F65BCA" w:rsidRDefault="00216117">
            <w:pPr>
              <w:pStyle w:val="TableParagraph"/>
              <w:spacing w:line="51"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10CD5C23" w14:textId="77777777" w:rsidR="00F65BCA" w:rsidRDefault="00F65BCA">
            <w:pPr>
              <w:pStyle w:val="TableParagraph"/>
              <w:spacing w:before="8"/>
              <w:rPr>
                <w:rFonts w:ascii="Calibri"/>
                <w:b/>
                <w:sz w:val="6"/>
              </w:rPr>
            </w:pPr>
          </w:p>
          <w:p w14:paraId="3154611D" w14:textId="77777777" w:rsidR="00F65BCA" w:rsidRDefault="00216117">
            <w:pPr>
              <w:pStyle w:val="TableParagraph"/>
              <w:spacing w:line="51" w:lineRule="exact"/>
              <w:ind w:right="7"/>
              <w:jc w:val="center"/>
              <w:rPr>
                <w:rFonts w:ascii="Calibri"/>
                <w:sz w:val="6"/>
              </w:rPr>
            </w:pPr>
            <w:r>
              <w:rPr>
                <w:rFonts w:ascii="Calibri"/>
                <w:color w:val="231F20"/>
                <w:spacing w:val="-1"/>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0D1E6A6F" w14:textId="77777777" w:rsidR="00F65BCA" w:rsidRDefault="00F65BCA">
            <w:pPr>
              <w:pStyle w:val="TableParagraph"/>
              <w:spacing w:before="8"/>
              <w:rPr>
                <w:rFonts w:ascii="Calibri"/>
                <w:b/>
                <w:sz w:val="6"/>
              </w:rPr>
            </w:pPr>
          </w:p>
          <w:p w14:paraId="62E5D015"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256C9278" w14:textId="77777777" w:rsidR="00F65BCA" w:rsidRDefault="00F65BCA">
            <w:pPr>
              <w:pStyle w:val="TableParagraph"/>
              <w:spacing w:before="8"/>
              <w:rPr>
                <w:rFonts w:ascii="Calibri"/>
                <w:b/>
                <w:sz w:val="6"/>
              </w:rPr>
            </w:pPr>
          </w:p>
          <w:p w14:paraId="513BBB18"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7B8555B7" w14:textId="77777777" w:rsidR="00F65BCA" w:rsidRDefault="00F65BCA">
            <w:pPr>
              <w:pStyle w:val="TableParagraph"/>
              <w:spacing w:before="8"/>
              <w:rPr>
                <w:rFonts w:ascii="Calibri"/>
                <w:b/>
                <w:sz w:val="6"/>
              </w:rPr>
            </w:pPr>
          </w:p>
          <w:p w14:paraId="4536510E" w14:textId="77777777" w:rsidR="00F65BCA" w:rsidRDefault="00216117">
            <w:pPr>
              <w:pStyle w:val="TableParagraph"/>
              <w:spacing w:line="51" w:lineRule="exact"/>
              <w:ind w:right="91"/>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4FD05E6D" w14:textId="77777777" w:rsidR="00F65BCA" w:rsidRDefault="00F65BCA">
            <w:pPr>
              <w:pStyle w:val="TableParagraph"/>
              <w:spacing w:before="8"/>
              <w:rPr>
                <w:rFonts w:ascii="Calibri"/>
                <w:b/>
                <w:sz w:val="6"/>
              </w:rPr>
            </w:pPr>
          </w:p>
          <w:p w14:paraId="07C35B5C" w14:textId="77777777" w:rsidR="00F65BCA" w:rsidRDefault="00216117">
            <w:pPr>
              <w:pStyle w:val="TableParagraph"/>
              <w:spacing w:line="51" w:lineRule="exact"/>
              <w:ind w:right="17"/>
              <w:jc w:val="right"/>
              <w:rPr>
                <w:rFonts w:ascii="Calibri"/>
                <w:sz w:val="6"/>
              </w:rPr>
            </w:pPr>
            <w:r>
              <w:rPr>
                <w:rFonts w:ascii="Calibri"/>
                <w:color w:val="231F20"/>
                <w:spacing w:val="-1"/>
                <w:w w:val="241"/>
                <w:sz w:val="6"/>
              </w:rPr>
              <w:t xml:space="preserve"> </w:t>
            </w:r>
            <w:r>
              <w:rPr>
                <w:rFonts w:ascii="Calibri"/>
                <w:color w:val="231F20"/>
                <w:w w:val="228"/>
                <w:sz w:val="6"/>
              </w:rPr>
              <w:t xml:space="preserve"> </w:t>
            </w:r>
            <w:r>
              <w:rPr>
                <w:rFonts w:ascii="Calibri"/>
                <w:color w:val="231F20"/>
                <w:w w:val="181"/>
                <w:sz w:val="6"/>
              </w:rPr>
              <w:t xml:space="preserve"> </w:t>
            </w:r>
            <w:r>
              <w:rPr>
                <w:rFonts w:ascii="Times New Roman"/>
                <w:color w:val="231F20"/>
                <w:spacing w:val="-1"/>
                <w:sz w:val="6"/>
              </w:rPr>
              <w:t xml:space="preserve"> </w:t>
            </w:r>
            <w:r>
              <w:rPr>
                <w:rFonts w:ascii="Calibri"/>
                <w:color w:val="231F20"/>
                <w:spacing w:val="-1"/>
                <w:w w:val="105"/>
                <w:sz w:val="6"/>
              </w:rPr>
              <w:t xml:space="preserve">  </w:t>
            </w:r>
            <w:r>
              <w:rPr>
                <w:rFonts w:ascii="Calibri"/>
                <w:color w:val="231F20"/>
                <w:w w:val="236"/>
                <w:sz w:val="6"/>
              </w:rPr>
              <w:t xml:space="preserve"> </w:t>
            </w:r>
            <w:r>
              <w:rPr>
                <w:rFonts w:ascii="Calibri"/>
                <w:color w:val="231F20"/>
                <w:spacing w:val="-1"/>
                <w:w w:val="236"/>
                <w:sz w:val="6"/>
              </w:rPr>
              <w:t xml:space="preserve"> </w:t>
            </w:r>
            <w:r>
              <w:rPr>
                <w:rFonts w:ascii="Calibri"/>
                <w:color w:val="231F20"/>
                <w:w w:val="197"/>
                <w:sz w:val="6"/>
              </w:rPr>
              <w:t xml:space="preserve"> </w:t>
            </w:r>
            <w:r>
              <w:rPr>
                <w:rFonts w:ascii="Calibri"/>
                <w:color w:val="231F20"/>
                <w:spacing w:val="-1"/>
                <w:w w:val="197"/>
                <w:sz w:val="6"/>
              </w:rPr>
              <w:t xml:space="preserve"> </w:t>
            </w:r>
            <w:r>
              <w:rPr>
                <w:rFonts w:ascii="Calibri"/>
                <w:color w:val="231F20"/>
                <w:w w:val="105"/>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6C949124" w14:textId="77777777" w:rsidR="00F65BCA" w:rsidRDefault="00F65BCA">
            <w:pPr>
              <w:pStyle w:val="TableParagraph"/>
              <w:spacing w:before="8"/>
              <w:rPr>
                <w:rFonts w:ascii="Calibri"/>
                <w:b/>
                <w:sz w:val="6"/>
              </w:rPr>
            </w:pPr>
          </w:p>
          <w:p w14:paraId="1A90FF2D"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479A26CE" w14:textId="77777777" w:rsidR="00F65BCA" w:rsidRDefault="00F65BCA">
            <w:pPr>
              <w:pStyle w:val="TableParagraph"/>
              <w:spacing w:before="8"/>
              <w:rPr>
                <w:rFonts w:ascii="Calibri"/>
                <w:b/>
                <w:sz w:val="6"/>
              </w:rPr>
            </w:pPr>
          </w:p>
          <w:p w14:paraId="7FCF9548"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599EF34D" w14:textId="77777777" w:rsidR="00F65BCA" w:rsidRDefault="00F65BCA">
            <w:pPr>
              <w:pStyle w:val="TableParagraph"/>
              <w:spacing w:before="8"/>
              <w:rPr>
                <w:rFonts w:ascii="Calibri"/>
                <w:b/>
                <w:sz w:val="6"/>
              </w:rPr>
            </w:pPr>
          </w:p>
          <w:p w14:paraId="41E8AC76" w14:textId="77777777" w:rsidR="00F65BCA" w:rsidRDefault="00216117">
            <w:pPr>
              <w:pStyle w:val="TableParagraph"/>
              <w:spacing w:line="51" w:lineRule="exact"/>
              <w:ind w:left="5"/>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162CFC64"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56DB53C8"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729F620"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5FD3F4A0"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615C9782"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382D39F5" w14:textId="77777777" w:rsidR="00F65BCA" w:rsidRDefault="00F65BCA">
            <w:pPr>
              <w:pStyle w:val="TableParagraph"/>
              <w:rPr>
                <w:rFonts w:ascii="Times New Roman"/>
                <w:sz w:val="6"/>
              </w:rPr>
            </w:pPr>
          </w:p>
        </w:tc>
      </w:tr>
      <w:tr w:rsidR="00F65BCA" w14:paraId="30164E21" w14:textId="77777777">
        <w:trPr>
          <w:trHeight w:val="153"/>
        </w:trPr>
        <w:tc>
          <w:tcPr>
            <w:tcW w:w="166" w:type="dxa"/>
            <w:tcBorders>
              <w:top w:val="single" w:sz="2" w:space="0" w:color="231F20"/>
              <w:bottom w:val="single" w:sz="2" w:space="0" w:color="231F20"/>
              <w:right w:val="single" w:sz="2" w:space="0" w:color="231F20"/>
            </w:tcBorders>
          </w:tcPr>
          <w:p w14:paraId="5BC970CA" w14:textId="77777777" w:rsidR="00F65BCA" w:rsidRDefault="00F65BCA">
            <w:pPr>
              <w:pStyle w:val="TableParagraph"/>
              <w:spacing w:before="8"/>
              <w:rPr>
                <w:rFonts w:ascii="Calibri"/>
                <w:b/>
                <w:sz w:val="6"/>
              </w:rPr>
            </w:pPr>
          </w:p>
          <w:p w14:paraId="59F8CEB2"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391E7049" w14:textId="77777777" w:rsidR="00F65BCA" w:rsidRDefault="00F65BCA">
            <w:pPr>
              <w:pStyle w:val="TableParagraph"/>
              <w:spacing w:before="8"/>
              <w:rPr>
                <w:rFonts w:ascii="Calibri"/>
                <w:b/>
                <w:sz w:val="6"/>
              </w:rPr>
            </w:pPr>
          </w:p>
          <w:p w14:paraId="5FC67064"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5AD29E4B" w14:textId="77777777" w:rsidR="00F65BCA" w:rsidRDefault="00F65BCA">
            <w:pPr>
              <w:pStyle w:val="TableParagraph"/>
              <w:spacing w:before="8"/>
              <w:rPr>
                <w:rFonts w:ascii="Calibri"/>
                <w:b/>
                <w:sz w:val="6"/>
              </w:rPr>
            </w:pPr>
          </w:p>
          <w:p w14:paraId="5D0F87A6"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37D3D46E" w14:textId="77777777" w:rsidR="00F65BCA" w:rsidRDefault="00F65BCA">
            <w:pPr>
              <w:pStyle w:val="TableParagraph"/>
              <w:spacing w:before="8"/>
              <w:rPr>
                <w:rFonts w:ascii="Calibri"/>
                <w:b/>
                <w:sz w:val="6"/>
              </w:rPr>
            </w:pPr>
          </w:p>
          <w:p w14:paraId="548953BB"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335E099F" w14:textId="77777777" w:rsidR="00F65BCA" w:rsidRDefault="00F65BCA">
            <w:pPr>
              <w:pStyle w:val="TableParagraph"/>
              <w:spacing w:before="8"/>
              <w:rPr>
                <w:rFonts w:ascii="Calibri"/>
                <w:b/>
                <w:sz w:val="6"/>
              </w:rPr>
            </w:pPr>
          </w:p>
          <w:p w14:paraId="39A3E6B0"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5FD5C42E" w14:textId="77777777" w:rsidR="00F65BCA" w:rsidRDefault="00F65BCA">
            <w:pPr>
              <w:pStyle w:val="TableParagraph"/>
              <w:spacing w:before="8"/>
              <w:rPr>
                <w:rFonts w:ascii="Calibri"/>
                <w:b/>
                <w:sz w:val="6"/>
              </w:rPr>
            </w:pPr>
          </w:p>
          <w:p w14:paraId="26D3F52D" w14:textId="77777777" w:rsidR="00F65BCA" w:rsidRDefault="00216117">
            <w:pPr>
              <w:pStyle w:val="TableParagraph"/>
              <w:spacing w:line="51" w:lineRule="exact"/>
              <w:ind w:left="12"/>
              <w:rPr>
                <w:rFonts w:ascii="Calibri"/>
                <w:sz w:val="6"/>
              </w:rPr>
            </w:pPr>
            <w:r>
              <w:rPr>
                <w:rFonts w:ascii="Calibri"/>
                <w:color w:val="231F20"/>
                <w:w w:val="237"/>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2C71785F" w14:textId="77777777" w:rsidR="00F65BCA" w:rsidRDefault="00F65BCA">
            <w:pPr>
              <w:pStyle w:val="TableParagraph"/>
              <w:spacing w:before="8"/>
              <w:rPr>
                <w:rFonts w:ascii="Calibri"/>
                <w:b/>
                <w:sz w:val="6"/>
              </w:rPr>
            </w:pPr>
          </w:p>
          <w:p w14:paraId="182390C2" w14:textId="77777777" w:rsidR="00F65BCA" w:rsidRDefault="00216117">
            <w:pPr>
              <w:pStyle w:val="TableParagraph"/>
              <w:spacing w:line="51" w:lineRule="exact"/>
              <w:ind w:left="11"/>
              <w:rPr>
                <w:rFonts w:ascii="Calibri"/>
                <w:sz w:val="6"/>
              </w:rPr>
            </w:pPr>
            <w:r>
              <w:rPr>
                <w:rFonts w:ascii="Calibri"/>
                <w:color w:val="231F20"/>
                <w:w w:val="105"/>
                <w:sz w:val="6"/>
              </w:rPr>
              <w:t>k</w:t>
            </w:r>
            <w:r>
              <w:rPr>
                <w:rFonts w:ascii="Calibri"/>
                <w:color w:val="231F20"/>
                <w:w w:val="241"/>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27751774" w14:textId="77777777" w:rsidR="00F65BCA" w:rsidRDefault="00F65BCA">
            <w:pPr>
              <w:pStyle w:val="TableParagraph"/>
              <w:spacing w:before="8"/>
              <w:rPr>
                <w:rFonts w:ascii="Calibri"/>
                <w:b/>
                <w:sz w:val="6"/>
              </w:rPr>
            </w:pPr>
          </w:p>
          <w:p w14:paraId="521180BA"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04843345" w14:textId="77777777" w:rsidR="00F65BCA" w:rsidRDefault="00F65BCA">
            <w:pPr>
              <w:pStyle w:val="TableParagraph"/>
              <w:spacing w:before="8"/>
              <w:rPr>
                <w:rFonts w:ascii="Calibri"/>
                <w:b/>
                <w:sz w:val="6"/>
              </w:rPr>
            </w:pPr>
          </w:p>
          <w:p w14:paraId="5EAF8D6B" w14:textId="77777777" w:rsidR="00F65BCA" w:rsidRDefault="00216117">
            <w:pPr>
              <w:pStyle w:val="TableParagraph"/>
              <w:spacing w:line="51" w:lineRule="exact"/>
              <w:ind w:left="9"/>
              <w:rPr>
                <w:rFonts w:ascii="Calibri"/>
                <w:sz w:val="6"/>
              </w:rPr>
            </w:pPr>
            <w:r>
              <w:rPr>
                <w:rFonts w:ascii="Calibri"/>
                <w:color w:val="231F20"/>
                <w:w w:val="163"/>
                <w:sz w:val="6"/>
              </w:rPr>
              <w:t xml:space="preserve"> </w:t>
            </w:r>
            <w:r>
              <w:rPr>
                <w:rFonts w:ascii="Calibri"/>
                <w:color w:val="231F20"/>
                <w:spacing w:val="-1"/>
                <w:w w:val="163"/>
                <w:sz w:val="6"/>
              </w:rPr>
              <w:t xml:space="preserve"> </w:t>
            </w:r>
            <w:r>
              <w:rPr>
                <w:rFonts w:ascii="Calibri"/>
                <w:color w:val="231F20"/>
                <w:spacing w:val="-1"/>
                <w:w w:val="224"/>
                <w:sz w:val="6"/>
              </w:rPr>
              <w:t xml:space="preserve"> </w:t>
            </w:r>
            <w:r>
              <w:rPr>
                <w:rFonts w:ascii="Calibri"/>
                <w:color w:val="231F20"/>
                <w:w w:val="238"/>
                <w:sz w:val="6"/>
              </w:rPr>
              <w:t xml:space="preserve"> </w:t>
            </w:r>
            <w:r>
              <w:rPr>
                <w:rFonts w:ascii="Calibri"/>
                <w:color w:val="231F20"/>
                <w:w w:val="11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0FD13A49" w14:textId="77777777" w:rsidR="00F65BCA" w:rsidRDefault="00F65BCA">
            <w:pPr>
              <w:pStyle w:val="TableParagraph"/>
              <w:spacing w:before="8"/>
              <w:rPr>
                <w:rFonts w:ascii="Calibri"/>
                <w:b/>
                <w:sz w:val="6"/>
              </w:rPr>
            </w:pPr>
          </w:p>
          <w:p w14:paraId="68B5B206" w14:textId="77777777" w:rsidR="00F65BCA" w:rsidRDefault="00216117">
            <w:pPr>
              <w:pStyle w:val="TableParagraph"/>
              <w:spacing w:line="51" w:lineRule="exact"/>
              <w:ind w:left="8"/>
              <w:rPr>
                <w:rFonts w:ascii="Calibri"/>
                <w:sz w:val="6"/>
              </w:rPr>
            </w:pPr>
            <w:r>
              <w:rPr>
                <w:rFonts w:ascii="Calibri"/>
                <w:color w:val="231F20"/>
                <w:sz w:val="6"/>
              </w:rPr>
              <w:t>0</w:t>
            </w:r>
            <w:r>
              <w:rPr>
                <w:rFonts w:ascii="Calibri"/>
                <w:color w:val="231F20"/>
                <w:w w:val="266"/>
                <w:sz w:val="6"/>
              </w:rPr>
              <w:t xml:space="preserve"> </w:t>
            </w:r>
            <w:r>
              <w:rPr>
                <w:rFonts w:ascii="Calibri"/>
                <w:color w:val="231F20"/>
                <w:w w:val="245"/>
                <w:sz w:val="6"/>
              </w:rPr>
              <w:t xml:space="preserve"> </w:t>
            </w:r>
            <w:r>
              <w:rPr>
                <w:rFonts w:ascii="Calibri"/>
                <w:color w:val="231F20"/>
                <w:w w:val="115"/>
                <w:sz w:val="6"/>
              </w:rPr>
              <w:t xml:space="preserve"> </w:t>
            </w:r>
            <w:r>
              <w:rPr>
                <w:rFonts w:ascii="Times New Roman"/>
                <w:color w:val="231F20"/>
                <w:sz w:val="6"/>
              </w:rPr>
              <w:t xml:space="preserve"> </w:t>
            </w:r>
            <w:r>
              <w:rPr>
                <w:rFonts w:ascii="Calibri"/>
                <w:color w:val="231F20"/>
                <w:w w:val="211"/>
                <w:sz w:val="6"/>
              </w:rPr>
              <w:t xml:space="preserve"> </w:t>
            </w:r>
            <w:r>
              <w:rPr>
                <w:rFonts w:ascii="Calibri"/>
                <w:color w:val="231F20"/>
                <w:w w:val="224"/>
                <w:sz w:val="6"/>
              </w:rPr>
              <w:t xml:space="preserve"> </w:t>
            </w:r>
            <w:r>
              <w:rPr>
                <w:rFonts w:ascii="Calibri"/>
                <w:color w:val="231F20"/>
                <w:w w:val="23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1D7B702A" w14:textId="77777777" w:rsidR="00F65BCA" w:rsidRDefault="00F65BCA">
            <w:pPr>
              <w:pStyle w:val="TableParagraph"/>
              <w:spacing w:before="8"/>
              <w:rPr>
                <w:rFonts w:ascii="Calibri"/>
                <w:b/>
                <w:sz w:val="6"/>
              </w:rPr>
            </w:pPr>
          </w:p>
          <w:p w14:paraId="238AC8E3" w14:textId="77777777" w:rsidR="00F65BCA" w:rsidRDefault="00216117">
            <w:pPr>
              <w:pStyle w:val="TableParagraph"/>
              <w:spacing w:line="51" w:lineRule="exact"/>
              <w:ind w:left="7"/>
              <w:rPr>
                <w:rFonts w:ascii="Calibri"/>
                <w:sz w:val="6"/>
              </w:rPr>
            </w:pPr>
            <w:r>
              <w:rPr>
                <w:rFonts w:ascii="Calibri"/>
                <w:color w:val="231F20"/>
                <w:w w:val="317"/>
                <w:sz w:val="6"/>
              </w:rPr>
              <w:t xml:space="preserve">  </w:t>
            </w:r>
            <w:r>
              <w:rPr>
                <w:rFonts w:ascii="Calibri"/>
                <w:color w:val="231F20"/>
                <w:w w:val="198"/>
                <w:sz w:val="6"/>
              </w:rPr>
              <w:t xml:space="preserve">  </w:t>
            </w:r>
            <w:r>
              <w:rPr>
                <w:rFonts w:ascii="Calibri"/>
                <w:color w:val="231F20"/>
                <w:w w:val="90"/>
                <w:sz w:val="6"/>
              </w:rPr>
              <w:t>5 5 5</w:t>
            </w:r>
            <w:r>
              <w:rPr>
                <w:rFonts w:ascii="Calibri"/>
                <w:color w:val="231F20"/>
                <w:w w:val="139"/>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1E4966D6" w14:textId="77777777" w:rsidR="00F65BCA" w:rsidRDefault="00F65BCA">
            <w:pPr>
              <w:pStyle w:val="TableParagraph"/>
              <w:spacing w:before="8"/>
              <w:rPr>
                <w:rFonts w:ascii="Calibri"/>
                <w:b/>
                <w:sz w:val="6"/>
              </w:rPr>
            </w:pPr>
          </w:p>
          <w:p w14:paraId="00FAE654"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3462DC0A" w14:textId="77777777" w:rsidR="00F65BCA" w:rsidRDefault="00F65BCA">
            <w:pPr>
              <w:pStyle w:val="TableParagraph"/>
              <w:spacing w:before="8"/>
              <w:rPr>
                <w:rFonts w:ascii="Calibri"/>
                <w:b/>
                <w:sz w:val="6"/>
              </w:rPr>
            </w:pPr>
          </w:p>
          <w:p w14:paraId="4FA035F6"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50430AE6" w14:textId="77777777" w:rsidR="00F65BCA" w:rsidRDefault="00F65BCA">
            <w:pPr>
              <w:pStyle w:val="TableParagraph"/>
              <w:spacing w:before="8"/>
              <w:rPr>
                <w:rFonts w:ascii="Calibri"/>
                <w:b/>
                <w:sz w:val="6"/>
              </w:rPr>
            </w:pPr>
          </w:p>
          <w:p w14:paraId="37060AB3" w14:textId="77777777" w:rsidR="00F65BCA" w:rsidRDefault="00216117">
            <w:pPr>
              <w:pStyle w:val="TableParagraph"/>
              <w:spacing w:line="51" w:lineRule="exact"/>
              <w:ind w:right="15"/>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7DD53324" w14:textId="77777777" w:rsidR="00F65BCA" w:rsidRDefault="00F65BCA">
            <w:pPr>
              <w:pStyle w:val="TableParagraph"/>
              <w:spacing w:before="8"/>
              <w:rPr>
                <w:rFonts w:ascii="Calibri"/>
                <w:b/>
                <w:sz w:val="6"/>
              </w:rPr>
            </w:pPr>
          </w:p>
          <w:p w14:paraId="7717DC2B"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696653A2" w14:textId="77777777" w:rsidR="00F65BCA" w:rsidRDefault="00F65BCA">
            <w:pPr>
              <w:pStyle w:val="TableParagraph"/>
              <w:spacing w:before="8"/>
              <w:rPr>
                <w:rFonts w:ascii="Calibri"/>
                <w:b/>
                <w:sz w:val="6"/>
              </w:rPr>
            </w:pPr>
          </w:p>
          <w:p w14:paraId="15A34AFE"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34809D49" w14:textId="77777777" w:rsidR="00F65BCA" w:rsidRDefault="00F65BCA">
            <w:pPr>
              <w:pStyle w:val="TableParagraph"/>
              <w:spacing w:before="8"/>
              <w:rPr>
                <w:rFonts w:ascii="Calibri"/>
                <w:b/>
                <w:sz w:val="6"/>
              </w:rPr>
            </w:pPr>
          </w:p>
          <w:p w14:paraId="451EB709" w14:textId="77777777" w:rsidR="00F65BCA" w:rsidRDefault="00216117">
            <w:pPr>
              <w:pStyle w:val="TableParagraph"/>
              <w:spacing w:line="51"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4660B2FB" w14:textId="77777777" w:rsidR="00F65BCA" w:rsidRDefault="00F65BCA">
            <w:pPr>
              <w:pStyle w:val="TableParagraph"/>
              <w:spacing w:before="8"/>
              <w:rPr>
                <w:rFonts w:ascii="Calibri"/>
                <w:b/>
                <w:sz w:val="6"/>
              </w:rPr>
            </w:pPr>
          </w:p>
          <w:p w14:paraId="06BF1171"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6B0CCFC0"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658ADF53" w14:textId="77777777" w:rsidR="00F65BCA" w:rsidRDefault="00F65BCA">
            <w:pPr>
              <w:pStyle w:val="TableParagraph"/>
              <w:rPr>
                <w:rFonts w:ascii="Times New Roman"/>
                <w:sz w:val="6"/>
              </w:rPr>
            </w:pPr>
          </w:p>
        </w:tc>
        <w:tc>
          <w:tcPr>
            <w:tcW w:w="311" w:type="dxa"/>
            <w:tcBorders>
              <w:top w:val="single" w:sz="2" w:space="0" w:color="231F20"/>
              <w:left w:val="single" w:sz="2" w:space="0" w:color="231F20"/>
              <w:bottom w:val="single" w:sz="2" w:space="0" w:color="231F20"/>
              <w:right w:val="single" w:sz="2" w:space="0" w:color="231F20"/>
            </w:tcBorders>
          </w:tcPr>
          <w:p w14:paraId="1BA6669F"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59BB91B7"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0BD1FCEA" w14:textId="77777777" w:rsidR="00F65BCA" w:rsidRDefault="00F65BCA">
            <w:pPr>
              <w:pStyle w:val="TableParagraph"/>
              <w:rPr>
                <w:rFonts w:ascii="Times New Roman"/>
                <w:sz w:val="6"/>
              </w:rPr>
            </w:pPr>
          </w:p>
        </w:tc>
        <w:tc>
          <w:tcPr>
            <w:tcW w:w="296" w:type="dxa"/>
            <w:tcBorders>
              <w:top w:val="single" w:sz="2" w:space="0" w:color="231F20"/>
              <w:left w:val="single" w:sz="2" w:space="0" w:color="231F20"/>
              <w:bottom w:val="single" w:sz="2" w:space="0" w:color="231F20"/>
              <w:right w:val="single" w:sz="2" w:space="0" w:color="231F20"/>
            </w:tcBorders>
          </w:tcPr>
          <w:p w14:paraId="11E051E9" w14:textId="77777777" w:rsidR="00F65BCA" w:rsidRDefault="00F65BCA">
            <w:pPr>
              <w:pStyle w:val="TableParagraph"/>
              <w:spacing w:before="8"/>
              <w:rPr>
                <w:rFonts w:ascii="Calibri"/>
                <w:b/>
                <w:sz w:val="6"/>
              </w:rPr>
            </w:pPr>
          </w:p>
          <w:p w14:paraId="65B31442" w14:textId="77777777" w:rsidR="00F65BCA" w:rsidRDefault="00216117">
            <w:pPr>
              <w:pStyle w:val="TableParagraph"/>
              <w:spacing w:line="51" w:lineRule="exact"/>
              <w:ind w:left="1"/>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221D2628" w14:textId="77777777" w:rsidR="00F65BCA" w:rsidRDefault="00F65BCA">
            <w:pPr>
              <w:pStyle w:val="TableParagraph"/>
              <w:rPr>
                <w:rFonts w:ascii="Times New Roman"/>
                <w:sz w:val="6"/>
              </w:rPr>
            </w:pPr>
          </w:p>
        </w:tc>
        <w:tc>
          <w:tcPr>
            <w:tcW w:w="428" w:type="dxa"/>
            <w:tcBorders>
              <w:top w:val="single" w:sz="2" w:space="0" w:color="231F20"/>
              <w:left w:val="single" w:sz="2" w:space="0" w:color="231F20"/>
              <w:bottom w:val="single" w:sz="2" w:space="0" w:color="231F20"/>
            </w:tcBorders>
          </w:tcPr>
          <w:p w14:paraId="534DA1E0"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6447E3F1"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5007F06"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6F15E749"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656E11E"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3E0710A5" w14:textId="77777777" w:rsidR="00F65BCA" w:rsidRDefault="00F65BCA">
            <w:pPr>
              <w:pStyle w:val="TableParagraph"/>
              <w:rPr>
                <w:rFonts w:ascii="Times New Roman"/>
                <w:sz w:val="6"/>
              </w:rPr>
            </w:pPr>
          </w:p>
        </w:tc>
      </w:tr>
      <w:tr w:rsidR="00F65BCA" w14:paraId="09791D7B" w14:textId="77777777">
        <w:trPr>
          <w:trHeight w:val="153"/>
        </w:trPr>
        <w:tc>
          <w:tcPr>
            <w:tcW w:w="166" w:type="dxa"/>
            <w:tcBorders>
              <w:top w:val="single" w:sz="2" w:space="0" w:color="231F20"/>
              <w:bottom w:val="single" w:sz="2" w:space="0" w:color="231F20"/>
              <w:right w:val="single" w:sz="2" w:space="0" w:color="231F20"/>
            </w:tcBorders>
          </w:tcPr>
          <w:p w14:paraId="62C006B4" w14:textId="77777777" w:rsidR="00F65BCA" w:rsidRDefault="00F65BCA">
            <w:pPr>
              <w:pStyle w:val="TableParagraph"/>
              <w:spacing w:before="8"/>
              <w:rPr>
                <w:rFonts w:ascii="Calibri"/>
                <w:b/>
                <w:sz w:val="6"/>
              </w:rPr>
            </w:pPr>
          </w:p>
          <w:p w14:paraId="7BCE0280"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2942E3E9" w14:textId="77777777" w:rsidR="00F65BCA" w:rsidRDefault="00F65BCA">
            <w:pPr>
              <w:pStyle w:val="TableParagraph"/>
              <w:spacing w:before="8"/>
              <w:rPr>
                <w:rFonts w:ascii="Calibri"/>
                <w:b/>
                <w:sz w:val="6"/>
              </w:rPr>
            </w:pPr>
          </w:p>
          <w:p w14:paraId="062E1B6B"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31DE8D12" w14:textId="77777777" w:rsidR="00F65BCA" w:rsidRDefault="00F65BCA">
            <w:pPr>
              <w:pStyle w:val="TableParagraph"/>
              <w:spacing w:before="8"/>
              <w:rPr>
                <w:rFonts w:ascii="Calibri"/>
                <w:b/>
                <w:sz w:val="6"/>
              </w:rPr>
            </w:pPr>
          </w:p>
          <w:p w14:paraId="41D6C408"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672B2E3C" w14:textId="77777777" w:rsidR="00F65BCA" w:rsidRDefault="00F65BCA">
            <w:pPr>
              <w:pStyle w:val="TableParagraph"/>
              <w:spacing w:before="8"/>
              <w:rPr>
                <w:rFonts w:ascii="Calibri"/>
                <w:b/>
                <w:sz w:val="6"/>
              </w:rPr>
            </w:pPr>
          </w:p>
          <w:p w14:paraId="7E99B100"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69283AD8" w14:textId="77777777" w:rsidR="00F65BCA" w:rsidRDefault="00F65BCA">
            <w:pPr>
              <w:pStyle w:val="TableParagraph"/>
              <w:spacing w:before="8"/>
              <w:rPr>
                <w:rFonts w:ascii="Calibri"/>
                <w:b/>
                <w:sz w:val="6"/>
              </w:rPr>
            </w:pPr>
          </w:p>
          <w:p w14:paraId="47665566" w14:textId="77777777" w:rsidR="00F65BCA" w:rsidRDefault="00216117">
            <w:pPr>
              <w:pStyle w:val="TableParagraph"/>
              <w:spacing w:line="51" w:lineRule="exact"/>
              <w:ind w:left="238"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3BE6F73B" w14:textId="77777777" w:rsidR="00F65BCA" w:rsidRDefault="00F65BCA">
            <w:pPr>
              <w:pStyle w:val="TableParagraph"/>
              <w:spacing w:before="8"/>
              <w:rPr>
                <w:rFonts w:ascii="Calibri"/>
                <w:b/>
                <w:sz w:val="6"/>
              </w:rPr>
            </w:pPr>
          </w:p>
          <w:p w14:paraId="26A76FB9" w14:textId="77777777" w:rsidR="00F65BCA" w:rsidRDefault="00216117">
            <w:pPr>
              <w:pStyle w:val="TableParagraph"/>
              <w:spacing w:line="51" w:lineRule="exact"/>
              <w:ind w:left="12"/>
              <w:rPr>
                <w:rFonts w:ascii="Calibri"/>
                <w:sz w:val="6"/>
              </w:rPr>
            </w:pPr>
            <w:r>
              <w:rPr>
                <w:rFonts w:ascii="Calibri"/>
                <w:color w:val="231F20"/>
                <w:w w:val="235"/>
                <w:sz w:val="6"/>
              </w:rPr>
              <w:t xml:space="preserve">  </w:t>
            </w: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0075C528" w14:textId="77777777" w:rsidR="00F65BCA" w:rsidRDefault="00F65BCA">
            <w:pPr>
              <w:pStyle w:val="TableParagraph"/>
              <w:spacing w:before="8"/>
              <w:rPr>
                <w:rFonts w:ascii="Calibri"/>
                <w:b/>
                <w:sz w:val="6"/>
              </w:rPr>
            </w:pPr>
          </w:p>
          <w:p w14:paraId="411944CE"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194"/>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0171724D" w14:textId="77777777" w:rsidR="00F65BCA" w:rsidRDefault="00F65BCA">
            <w:pPr>
              <w:pStyle w:val="TableParagraph"/>
              <w:spacing w:before="8"/>
              <w:rPr>
                <w:rFonts w:ascii="Calibri"/>
                <w:b/>
                <w:sz w:val="6"/>
              </w:rPr>
            </w:pPr>
          </w:p>
          <w:p w14:paraId="783A9C48"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303"/>
                <w:sz w:val="6"/>
              </w:rPr>
              <w:t xml:space="preserve">   </w:t>
            </w:r>
            <w:r>
              <w:rPr>
                <w:rFonts w:ascii="Calibri"/>
                <w:color w:val="231F20"/>
                <w:w w:val="241"/>
                <w:sz w:val="6"/>
              </w:rPr>
              <w:t xml:space="preserve">  </w:t>
            </w:r>
            <w:r>
              <w:rPr>
                <w:rFonts w:ascii="Calibri"/>
                <w:color w:val="231F20"/>
                <w:w w:val="296"/>
                <w:sz w:val="6"/>
              </w:rPr>
              <w:t xml:space="preserve"> </w:t>
            </w:r>
            <w:r>
              <w:rPr>
                <w:rFonts w:ascii="Calibri"/>
                <w:color w:val="231F20"/>
                <w:w w:val="222"/>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7B8A6BB7" w14:textId="77777777" w:rsidR="00F65BCA" w:rsidRDefault="00F65BCA">
            <w:pPr>
              <w:pStyle w:val="TableParagraph"/>
              <w:spacing w:before="8"/>
              <w:rPr>
                <w:rFonts w:ascii="Calibri"/>
                <w:b/>
                <w:sz w:val="6"/>
              </w:rPr>
            </w:pPr>
          </w:p>
          <w:p w14:paraId="08535713"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004036AB" w14:textId="77777777" w:rsidR="00F65BCA" w:rsidRDefault="00F65BCA">
            <w:pPr>
              <w:pStyle w:val="TableParagraph"/>
              <w:spacing w:before="8"/>
              <w:rPr>
                <w:rFonts w:ascii="Calibri"/>
                <w:b/>
                <w:sz w:val="6"/>
              </w:rPr>
            </w:pPr>
          </w:p>
          <w:p w14:paraId="3A7DEB87" w14:textId="77777777" w:rsidR="00F65BCA" w:rsidRDefault="00216117">
            <w:pPr>
              <w:pStyle w:val="TableParagraph"/>
              <w:spacing w:line="51" w:lineRule="exact"/>
              <w:ind w:left="9"/>
              <w:rPr>
                <w:rFonts w:ascii="Calibri"/>
                <w:sz w:val="6"/>
              </w:rPr>
            </w:pPr>
            <w:r>
              <w:rPr>
                <w:rFonts w:ascii="Calibri"/>
                <w:color w:val="231F20"/>
                <w:w w:val="257"/>
                <w:sz w:val="6"/>
              </w:rPr>
              <w:t xml:space="preserve">  </w:t>
            </w:r>
            <w:r>
              <w:rPr>
                <w:rFonts w:ascii="Calibri"/>
                <w:color w:val="231F20"/>
                <w:w w:val="237"/>
                <w:sz w:val="6"/>
              </w:rPr>
              <w:t xml:space="preserve"> </w:t>
            </w:r>
            <w:r>
              <w:rPr>
                <w:rFonts w:ascii="Calibri"/>
                <w:color w:val="231F20"/>
                <w:w w:val="19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0BC176BC" w14:textId="77777777" w:rsidR="00F65BCA" w:rsidRDefault="00F65BCA">
            <w:pPr>
              <w:pStyle w:val="TableParagraph"/>
              <w:spacing w:before="8"/>
              <w:rPr>
                <w:rFonts w:ascii="Calibri"/>
                <w:b/>
                <w:sz w:val="6"/>
              </w:rPr>
            </w:pPr>
          </w:p>
          <w:p w14:paraId="17F4C03F" w14:textId="77777777" w:rsidR="00F65BCA" w:rsidRDefault="00216117">
            <w:pPr>
              <w:pStyle w:val="TableParagraph"/>
              <w:spacing w:line="51" w:lineRule="exact"/>
              <w:ind w:left="8"/>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23800256" w14:textId="77777777" w:rsidR="00F65BCA" w:rsidRDefault="00F65BCA">
            <w:pPr>
              <w:pStyle w:val="TableParagraph"/>
              <w:spacing w:before="8"/>
              <w:rPr>
                <w:rFonts w:ascii="Calibri"/>
                <w:b/>
                <w:sz w:val="6"/>
              </w:rPr>
            </w:pPr>
          </w:p>
          <w:p w14:paraId="00E661BB"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213FF729" w14:textId="77777777" w:rsidR="00F65BCA" w:rsidRDefault="00F65BCA">
            <w:pPr>
              <w:pStyle w:val="TableParagraph"/>
              <w:spacing w:before="8"/>
              <w:rPr>
                <w:rFonts w:ascii="Calibri"/>
                <w:b/>
                <w:sz w:val="6"/>
              </w:rPr>
            </w:pPr>
          </w:p>
          <w:p w14:paraId="2DF9AA87" w14:textId="77777777" w:rsidR="00F65BCA" w:rsidRDefault="00216117">
            <w:pPr>
              <w:pStyle w:val="TableParagraph"/>
              <w:spacing w:line="51" w:lineRule="exact"/>
              <w:ind w:right="17"/>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5E0FB8B9" w14:textId="77777777" w:rsidR="00F65BCA" w:rsidRDefault="00F65BCA">
            <w:pPr>
              <w:pStyle w:val="TableParagraph"/>
              <w:spacing w:before="8"/>
              <w:rPr>
                <w:rFonts w:ascii="Calibri"/>
                <w:b/>
                <w:sz w:val="6"/>
              </w:rPr>
            </w:pPr>
          </w:p>
          <w:p w14:paraId="1C2E71D4"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3CD1A14A" w14:textId="77777777" w:rsidR="00F65BCA" w:rsidRDefault="00F65BCA">
            <w:pPr>
              <w:pStyle w:val="TableParagraph"/>
              <w:spacing w:before="8"/>
              <w:rPr>
                <w:rFonts w:ascii="Calibri"/>
                <w:b/>
                <w:sz w:val="6"/>
              </w:rPr>
            </w:pPr>
          </w:p>
          <w:p w14:paraId="51257477"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24F1D83E" w14:textId="77777777" w:rsidR="00F65BCA" w:rsidRDefault="00F65BCA">
            <w:pPr>
              <w:pStyle w:val="TableParagraph"/>
              <w:spacing w:before="8"/>
              <w:rPr>
                <w:rFonts w:ascii="Calibri"/>
                <w:b/>
                <w:sz w:val="6"/>
              </w:rPr>
            </w:pPr>
          </w:p>
          <w:p w14:paraId="6D018249"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6DF01A76" w14:textId="77777777" w:rsidR="00F65BCA" w:rsidRDefault="00F65BCA">
            <w:pPr>
              <w:pStyle w:val="TableParagraph"/>
              <w:spacing w:before="8"/>
              <w:rPr>
                <w:rFonts w:ascii="Calibri"/>
                <w:b/>
                <w:sz w:val="6"/>
              </w:rPr>
            </w:pPr>
          </w:p>
          <w:p w14:paraId="2F340918" w14:textId="77777777" w:rsidR="00F65BCA" w:rsidRDefault="00216117">
            <w:pPr>
              <w:pStyle w:val="TableParagraph"/>
              <w:spacing w:line="51" w:lineRule="exact"/>
              <w:ind w:right="5"/>
              <w:jc w:val="center"/>
              <w:rPr>
                <w:rFonts w:ascii="Calibri"/>
                <w:sz w:val="6"/>
              </w:rPr>
            </w:pPr>
            <w:r>
              <w:rPr>
                <w:rFonts w:ascii="Calibri"/>
                <w:color w:val="231F20"/>
                <w:w w:val="239"/>
                <w:sz w:val="6"/>
              </w:rPr>
              <w:t xml:space="preserve">  </w:t>
            </w:r>
            <w:r>
              <w:rPr>
                <w:rFonts w:ascii="Calibri"/>
                <w:color w:val="231F20"/>
                <w:spacing w:val="-1"/>
                <w:w w:val="241"/>
                <w:sz w:val="6"/>
              </w:rPr>
              <w:t xml:space="preserve"> </w:t>
            </w:r>
            <w:r>
              <w:rPr>
                <w:rFonts w:ascii="Calibri"/>
                <w:color w:val="231F20"/>
                <w:w w:val="143"/>
                <w:sz w:val="6"/>
              </w:rPr>
              <w:t xml:space="preserve"> </w:t>
            </w:r>
            <w:r>
              <w:rPr>
                <w:rFonts w:ascii="Calibri"/>
                <w:color w:val="231F20"/>
                <w:spacing w:val="-1"/>
                <w:w w:val="143"/>
                <w:sz w:val="6"/>
              </w:rPr>
              <w:t xml:space="preserve"> </w:t>
            </w:r>
            <w:r>
              <w:rPr>
                <w:rFonts w:ascii="Calibri"/>
                <w:color w:val="231F20"/>
                <w:w w:val="241"/>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7A4DAAAB" w14:textId="77777777" w:rsidR="00F65BCA" w:rsidRDefault="00F65BCA">
            <w:pPr>
              <w:pStyle w:val="TableParagraph"/>
              <w:spacing w:before="8"/>
              <w:rPr>
                <w:rFonts w:ascii="Calibri"/>
                <w:b/>
                <w:sz w:val="6"/>
              </w:rPr>
            </w:pPr>
          </w:p>
          <w:p w14:paraId="109950DE"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spacing w:val="-1"/>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64C01A1B" w14:textId="77777777" w:rsidR="00F65BCA" w:rsidRDefault="00F65BCA">
            <w:pPr>
              <w:pStyle w:val="TableParagraph"/>
              <w:spacing w:before="8"/>
              <w:rPr>
                <w:rFonts w:ascii="Calibri"/>
                <w:b/>
                <w:sz w:val="6"/>
              </w:rPr>
            </w:pPr>
          </w:p>
          <w:p w14:paraId="38B66642"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487DD3C2" w14:textId="77777777" w:rsidR="00F65BCA" w:rsidRDefault="00F65BCA">
            <w:pPr>
              <w:pStyle w:val="TableParagraph"/>
              <w:spacing w:before="8"/>
              <w:rPr>
                <w:rFonts w:ascii="Calibri"/>
                <w:b/>
                <w:sz w:val="6"/>
              </w:rPr>
            </w:pPr>
          </w:p>
          <w:p w14:paraId="1E3194E4"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6F29B961" w14:textId="77777777" w:rsidR="00F65BCA" w:rsidRDefault="00F65BCA">
            <w:pPr>
              <w:pStyle w:val="TableParagraph"/>
              <w:spacing w:before="8"/>
              <w:rPr>
                <w:rFonts w:ascii="Calibri"/>
                <w:b/>
                <w:sz w:val="6"/>
              </w:rPr>
            </w:pPr>
          </w:p>
          <w:p w14:paraId="2EB9B42D"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2541F898" w14:textId="77777777" w:rsidR="00F65BCA" w:rsidRDefault="00F65BCA">
            <w:pPr>
              <w:pStyle w:val="TableParagraph"/>
              <w:spacing w:before="8"/>
              <w:rPr>
                <w:rFonts w:ascii="Calibri"/>
                <w:b/>
                <w:sz w:val="6"/>
              </w:rPr>
            </w:pPr>
          </w:p>
          <w:p w14:paraId="6EEA9550" w14:textId="77777777" w:rsidR="00F65BCA" w:rsidRDefault="00216117">
            <w:pPr>
              <w:pStyle w:val="TableParagraph"/>
              <w:spacing w:line="51" w:lineRule="exact"/>
              <w:ind w:right="23"/>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386F23CF" w14:textId="77777777" w:rsidR="00F65BCA" w:rsidRDefault="00F65BCA">
            <w:pPr>
              <w:pStyle w:val="TableParagraph"/>
              <w:spacing w:before="8"/>
              <w:rPr>
                <w:rFonts w:ascii="Calibri"/>
                <w:b/>
                <w:sz w:val="6"/>
              </w:rPr>
            </w:pPr>
          </w:p>
          <w:p w14:paraId="1ABD9EE2"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7785000B" w14:textId="77777777" w:rsidR="00F65BCA" w:rsidRDefault="00F65BCA">
            <w:pPr>
              <w:pStyle w:val="TableParagraph"/>
              <w:spacing w:before="8"/>
              <w:rPr>
                <w:rFonts w:ascii="Calibri"/>
                <w:b/>
                <w:sz w:val="6"/>
              </w:rPr>
            </w:pPr>
          </w:p>
          <w:p w14:paraId="445F8BD3"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2083F1CD" w14:textId="77777777" w:rsidR="00F65BCA" w:rsidRDefault="00F65BCA">
            <w:pPr>
              <w:pStyle w:val="TableParagraph"/>
              <w:spacing w:before="8"/>
              <w:rPr>
                <w:rFonts w:ascii="Calibri"/>
                <w:b/>
                <w:sz w:val="6"/>
              </w:rPr>
            </w:pPr>
          </w:p>
          <w:p w14:paraId="00DFF847"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2B44751D"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7C4DB1A6"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4BA52A06"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A49FC07"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35655D6"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4227BC8C" w14:textId="77777777" w:rsidR="00F65BCA" w:rsidRDefault="00F65BCA">
            <w:pPr>
              <w:pStyle w:val="TableParagraph"/>
              <w:rPr>
                <w:rFonts w:ascii="Times New Roman"/>
                <w:sz w:val="6"/>
              </w:rPr>
            </w:pPr>
          </w:p>
        </w:tc>
      </w:tr>
      <w:tr w:rsidR="00F65BCA" w14:paraId="43566F6B" w14:textId="77777777">
        <w:trPr>
          <w:trHeight w:val="153"/>
        </w:trPr>
        <w:tc>
          <w:tcPr>
            <w:tcW w:w="166" w:type="dxa"/>
            <w:tcBorders>
              <w:top w:val="single" w:sz="2" w:space="0" w:color="231F20"/>
              <w:bottom w:val="single" w:sz="2" w:space="0" w:color="231F20"/>
              <w:right w:val="single" w:sz="2" w:space="0" w:color="231F20"/>
            </w:tcBorders>
          </w:tcPr>
          <w:p w14:paraId="066CAA44" w14:textId="77777777" w:rsidR="00F65BCA" w:rsidRDefault="00F65BCA">
            <w:pPr>
              <w:pStyle w:val="TableParagraph"/>
              <w:spacing w:before="8"/>
              <w:rPr>
                <w:rFonts w:ascii="Calibri"/>
                <w:b/>
                <w:sz w:val="6"/>
              </w:rPr>
            </w:pPr>
          </w:p>
          <w:p w14:paraId="11CC971F"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70CE3E60" w14:textId="77777777" w:rsidR="00F65BCA" w:rsidRDefault="00F65BCA">
            <w:pPr>
              <w:pStyle w:val="TableParagraph"/>
              <w:spacing w:before="8"/>
              <w:rPr>
                <w:rFonts w:ascii="Calibri"/>
                <w:b/>
                <w:sz w:val="6"/>
              </w:rPr>
            </w:pPr>
          </w:p>
          <w:p w14:paraId="333BD8F8"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19FF71BF" w14:textId="77777777" w:rsidR="00F65BCA" w:rsidRDefault="00F65BCA">
            <w:pPr>
              <w:pStyle w:val="TableParagraph"/>
              <w:spacing w:before="8"/>
              <w:rPr>
                <w:rFonts w:ascii="Calibri"/>
                <w:b/>
                <w:sz w:val="6"/>
              </w:rPr>
            </w:pPr>
          </w:p>
          <w:p w14:paraId="77BB6315"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6AD50D65" w14:textId="77777777" w:rsidR="00F65BCA" w:rsidRDefault="00F65BCA">
            <w:pPr>
              <w:pStyle w:val="TableParagraph"/>
              <w:spacing w:before="8"/>
              <w:rPr>
                <w:rFonts w:ascii="Calibri"/>
                <w:b/>
                <w:sz w:val="6"/>
              </w:rPr>
            </w:pPr>
          </w:p>
          <w:p w14:paraId="0A6FC3C5"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7CB61B94" w14:textId="77777777" w:rsidR="00F65BCA" w:rsidRDefault="00F65BCA">
            <w:pPr>
              <w:pStyle w:val="TableParagraph"/>
              <w:spacing w:before="8"/>
              <w:rPr>
                <w:rFonts w:ascii="Calibri"/>
                <w:b/>
                <w:sz w:val="6"/>
              </w:rPr>
            </w:pPr>
          </w:p>
          <w:p w14:paraId="714CF3C0" w14:textId="77777777" w:rsidR="00F65BCA" w:rsidRDefault="00216117">
            <w:pPr>
              <w:pStyle w:val="TableParagraph"/>
              <w:spacing w:line="51" w:lineRule="exact"/>
              <w:ind w:left="238"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302FF7AD" w14:textId="77777777" w:rsidR="00F65BCA" w:rsidRDefault="00F65BCA">
            <w:pPr>
              <w:pStyle w:val="TableParagraph"/>
              <w:spacing w:before="8"/>
              <w:rPr>
                <w:rFonts w:ascii="Calibri"/>
                <w:b/>
                <w:sz w:val="6"/>
              </w:rPr>
            </w:pPr>
          </w:p>
          <w:p w14:paraId="3B3D631E" w14:textId="77777777" w:rsidR="00F65BCA" w:rsidRDefault="00216117">
            <w:pPr>
              <w:pStyle w:val="TableParagraph"/>
              <w:spacing w:line="51" w:lineRule="exact"/>
              <w:ind w:left="12"/>
              <w:rPr>
                <w:rFonts w:ascii="Calibri"/>
                <w:sz w:val="6"/>
              </w:rPr>
            </w:pPr>
            <w:r>
              <w:rPr>
                <w:rFonts w:ascii="Calibri"/>
                <w:color w:val="231F20"/>
                <w:w w:val="237"/>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3D104360" w14:textId="77777777" w:rsidR="00F65BCA" w:rsidRDefault="00F65BCA">
            <w:pPr>
              <w:pStyle w:val="TableParagraph"/>
              <w:spacing w:before="8"/>
              <w:rPr>
                <w:rFonts w:ascii="Calibri"/>
                <w:b/>
                <w:sz w:val="6"/>
              </w:rPr>
            </w:pPr>
          </w:p>
          <w:p w14:paraId="33F58CAC" w14:textId="77777777" w:rsidR="00F65BCA" w:rsidRDefault="00216117">
            <w:pPr>
              <w:pStyle w:val="TableParagraph"/>
              <w:spacing w:line="51" w:lineRule="exact"/>
              <w:ind w:left="11"/>
              <w:rPr>
                <w:rFonts w:ascii="Calibri"/>
                <w:sz w:val="6"/>
              </w:rPr>
            </w:pPr>
            <w:r>
              <w:rPr>
                <w:rFonts w:ascii="Calibri"/>
                <w:color w:val="231F20"/>
                <w:w w:val="105"/>
                <w:sz w:val="6"/>
              </w:rPr>
              <w:t>k</w:t>
            </w:r>
            <w:r>
              <w:rPr>
                <w:rFonts w:ascii="Calibri"/>
                <w:color w:val="231F20"/>
                <w:w w:val="266"/>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6E22714E" w14:textId="77777777" w:rsidR="00F65BCA" w:rsidRDefault="00F65BCA">
            <w:pPr>
              <w:pStyle w:val="TableParagraph"/>
              <w:spacing w:before="8"/>
              <w:rPr>
                <w:rFonts w:ascii="Calibri"/>
                <w:b/>
                <w:sz w:val="6"/>
              </w:rPr>
            </w:pPr>
          </w:p>
          <w:p w14:paraId="3A61C0D6"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235"/>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532FA330" w14:textId="77777777" w:rsidR="00F65BCA" w:rsidRDefault="00F65BCA">
            <w:pPr>
              <w:pStyle w:val="TableParagraph"/>
              <w:spacing w:before="8"/>
              <w:rPr>
                <w:rFonts w:ascii="Calibri"/>
                <w:b/>
                <w:sz w:val="6"/>
              </w:rPr>
            </w:pPr>
          </w:p>
          <w:p w14:paraId="65945349" w14:textId="77777777" w:rsidR="00F65BCA" w:rsidRDefault="00216117">
            <w:pPr>
              <w:pStyle w:val="TableParagraph"/>
              <w:spacing w:line="51" w:lineRule="exact"/>
              <w:ind w:left="9"/>
              <w:rPr>
                <w:rFonts w:ascii="Calibri"/>
                <w:sz w:val="6"/>
              </w:rPr>
            </w:pPr>
            <w:r>
              <w:rPr>
                <w:rFonts w:ascii="Calibri"/>
                <w:color w:val="231F20"/>
                <w:w w:val="262"/>
                <w:sz w:val="6"/>
              </w:rPr>
              <w:t xml:space="preserve">  </w:t>
            </w:r>
            <w:r>
              <w:rPr>
                <w:rFonts w:ascii="Calibri"/>
                <w:color w:val="231F20"/>
                <w:spacing w:val="-1"/>
                <w:w w:val="262"/>
                <w:sz w:val="6"/>
              </w:rPr>
              <w:t xml:space="preserve"> </w:t>
            </w:r>
            <w:r>
              <w:rPr>
                <w:rFonts w:ascii="Calibri"/>
                <w:color w:val="231F20"/>
                <w:spacing w:val="-1"/>
                <w:w w:val="282"/>
                <w:sz w:val="6"/>
              </w:rPr>
              <w:t xml:space="preserve"> </w:t>
            </w:r>
            <w:r>
              <w:rPr>
                <w:rFonts w:ascii="Calibri"/>
                <w:color w:val="231F20"/>
                <w:w w:val="300"/>
                <w:sz w:val="6"/>
              </w:rPr>
              <w:t xml:space="preserve">  </w:t>
            </w:r>
            <w:r>
              <w:rPr>
                <w:rFonts w:ascii="Calibri"/>
                <w:color w:val="231F20"/>
                <w:w w:val="11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064BF21D" w14:textId="77777777" w:rsidR="00F65BCA" w:rsidRDefault="00F65BCA">
            <w:pPr>
              <w:pStyle w:val="TableParagraph"/>
              <w:spacing w:before="8"/>
              <w:rPr>
                <w:rFonts w:ascii="Calibri"/>
                <w:b/>
                <w:sz w:val="6"/>
              </w:rPr>
            </w:pPr>
          </w:p>
          <w:p w14:paraId="2A93E6CD" w14:textId="77777777" w:rsidR="00F65BCA" w:rsidRDefault="00216117">
            <w:pPr>
              <w:pStyle w:val="TableParagraph"/>
              <w:spacing w:line="51" w:lineRule="exact"/>
              <w:ind w:left="8"/>
              <w:rPr>
                <w:rFonts w:ascii="Calibri"/>
                <w:sz w:val="6"/>
              </w:rPr>
            </w:pPr>
            <w:r>
              <w:rPr>
                <w:rFonts w:ascii="Calibri"/>
                <w:color w:val="231F20"/>
                <w:w w:val="266"/>
                <w:sz w:val="6"/>
              </w:rPr>
              <w:t xml:space="preserve"> </w:t>
            </w:r>
            <w:r>
              <w:rPr>
                <w:rFonts w:ascii="Calibri"/>
                <w:color w:val="231F20"/>
                <w:w w:val="187"/>
                <w:sz w:val="6"/>
              </w:rPr>
              <w:t xml:space="preserve">   </w:t>
            </w:r>
            <w:r>
              <w:rPr>
                <w:rFonts w:ascii="Calibri"/>
                <w:color w:val="231F20"/>
                <w:w w:val="80"/>
                <w:sz w:val="6"/>
              </w:rPr>
              <w:t>5</w:t>
            </w:r>
            <w:r>
              <w:rPr>
                <w:rFonts w:ascii="Times New Roman"/>
                <w:color w:val="231F20"/>
                <w:sz w:val="6"/>
              </w:rPr>
              <w:t xml:space="preserve"> </w:t>
            </w:r>
            <w:r>
              <w:rPr>
                <w:rFonts w:ascii="Calibri"/>
                <w:color w:val="231F20"/>
                <w:w w:val="23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070A1D05" w14:textId="77777777" w:rsidR="00F65BCA" w:rsidRDefault="00F65BCA">
            <w:pPr>
              <w:pStyle w:val="TableParagraph"/>
              <w:spacing w:before="8"/>
              <w:rPr>
                <w:rFonts w:ascii="Calibri"/>
                <w:b/>
                <w:sz w:val="6"/>
              </w:rPr>
            </w:pPr>
          </w:p>
          <w:p w14:paraId="2A07F46D" w14:textId="77777777" w:rsidR="00F65BCA" w:rsidRDefault="00216117">
            <w:pPr>
              <w:pStyle w:val="TableParagraph"/>
              <w:spacing w:line="51" w:lineRule="exact"/>
              <w:ind w:left="7"/>
              <w:rPr>
                <w:rFonts w:ascii="Calibri"/>
                <w:sz w:val="6"/>
              </w:rPr>
            </w:pPr>
            <w:r>
              <w:rPr>
                <w:rFonts w:ascii="Calibri"/>
                <w:color w:val="231F20"/>
                <w:w w:val="224"/>
                <w:sz w:val="6"/>
              </w:rPr>
              <w:t xml:space="preserve"> </w:t>
            </w:r>
            <w:r>
              <w:rPr>
                <w:rFonts w:ascii="Calibri"/>
                <w:color w:val="231F20"/>
                <w:w w:val="80"/>
                <w:sz w:val="6"/>
              </w:rPr>
              <w:t>5 5</w:t>
            </w:r>
            <w:r>
              <w:rPr>
                <w:rFonts w:ascii="Times New Roman"/>
                <w:color w:val="231F20"/>
                <w:sz w:val="6"/>
              </w:rPr>
              <w:t xml:space="preserve"> </w:t>
            </w:r>
            <w:r>
              <w:rPr>
                <w:rFonts w:ascii="Calibri"/>
                <w:color w:val="231F20"/>
                <w:w w:val="238"/>
                <w:sz w:val="6"/>
              </w:rPr>
              <w:t xml:space="preserve"> </w:t>
            </w:r>
            <w:r>
              <w:rPr>
                <w:rFonts w:ascii="Calibri"/>
                <w:color w:val="231F20"/>
                <w:w w:val="242"/>
                <w:sz w:val="6"/>
              </w:rPr>
              <w:t xml:space="preserve"> </w:t>
            </w:r>
            <w:r>
              <w:rPr>
                <w:rFonts w:ascii="Calibri"/>
                <w:color w:val="231F20"/>
                <w:w w:val="105"/>
                <w:sz w:val="6"/>
              </w:rPr>
              <w:t xml:space="preserve"> </w:t>
            </w:r>
            <w:r>
              <w:rPr>
                <w:rFonts w:ascii="Calibri"/>
                <w:color w:val="231F20"/>
                <w:w w:val="242"/>
                <w:sz w:val="6"/>
              </w:rPr>
              <w:t xml:space="preserve"> </w:t>
            </w:r>
            <w:r>
              <w:rPr>
                <w:rFonts w:ascii="Calibri"/>
                <w:color w:val="231F20"/>
                <w:w w:val="207"/>
                <w:sz w:val="6"/>
              </w:rPr>
              <w:t xml:space="preserve"> </w:t>
            </w:r>
            <w:r>
              <w:rPr>
                <w:rFonts w:ascii="Calibri"/>
                <w:color w:val="231F20"/>
                <w:w w:val="208"/>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0E38C880" w14:textId="77777777" w:rsidR="00F65BCA" w:rsidRDefault="00F65BCA">
            <w:pPr>
              <w:pStyle w:val="TableParagraph"/>
              <w:spacing w:before="8"/>
              <w:rPr>
                <w:rFonts w:ascii="Calibri"/>
                <w:b/>
                <w:sz w:val="6"/>
              </w:rPr>
            </w:pPr>
          </w:p>
          <w:p w14:paraId="3370943E"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00F3DBC7" w14:textId="77777777" w:rsidR="00F65BCA" w:rsidRDefault="00F65BCA">
            <w:pPr>
              <w:pStyle w:val="TableParagraph"/>
              <w:spacing w:before="8"/>
              <w:rPr>
                <w:rFonts w:ascii="Calibri"/>
                <w:b/>
                <w:sz w:val="6"/>
              </w:rPr>
            </w:pPr>
          </w:p>
          <w:p w14:paraId="26431F30"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78102943" w14:textId="77777777" w:rsidR="00F65BCA" w:rsidRDefault="00F65BCA">
            <w:pPr>
              <w:pStyle w:val="TableParagraph"/>
              <w:spacing w:before="8"/>
              <w:rPr>
                <w:rFonts w:ascii="Calibri"/>
                <w:b/>
                <w:sz w:val="6"/>
              </w:rPr>
            </w:pPr>
          </w:p>
          <w:p w14:paraId="1F0BD6DB" w14:textId="77777777" w:rsidR="00F65BCA" w:rsidRDefault="00216117">
            <w:pPr>
              <w:pStyle w:val="TableParagraph"/>
              <w:spacing w:line="51" w:lineRule="exact"/>
              <w:ind w:right="15"/>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243E53D2" w14:textId="77777777" w:rsidR="00F65BCA" w:rsidRDefault="00F65BCA">
            <w:pPr>
              <w:pStyle w:val="TableParagraph"/>
              <w:spacing w:before="8"/>
              <w:rPr>
                <w:rFonts w:ascii="Calibri"/>
                <w:b/>
                <w:sz w:val="6"/>
              </w:rPr>
            </w:pPr>
          </w:p>
          <w:p w14:paraId="062264FA" w14:textId="77777777" w:rsidR="00F65BCA" w:rsidRDefault="00216117">
            <w:pPr>
              <w:pStyle w:val="TableParagraph"/>
              <w:spacing w:line="51" w:lineRule="exact"/>
              <w:ind w:right="17"/>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70887B72" w14:textId="77777777" w:rsidR="00F65BCA" w:rsidRDefault="00F65BCA">
            <w:pPr>
              <w:pStyle w:val="TableParagraph"/>
              <w:spacing w:before="8"/>
              <w:rPr>
                <w:rFonts w:ascii="Calibri"/>
                <w:b/>
                <w:sz w:val="6"/>
              </w:rPr>
            </w:pPr>
          </w:p>
          <w:p w14:paraId="3EF4C032" w14:textId="77777777" w:rsidR="00F65BCA" w:rsidRDefault="00216117">
            <w:pPr>
              <w:pStyle w:val="TableParagraph"/>
              <w:spacing w:line="51" w:lineRule="exact"/>
              <w:ind w:right="8"/>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4E7E1AB3" w14:textId="77777777" w:rsidR="00F65BCA" w:rsidRDefault="00F65BCA">
            <w:pPr>
              <w:pStyle w:val="TableParagraph"/>
              <w:spacing w:before="8"/>
              <w:rPr>
                <w:rFonts w:ascii="Calibri"/>
                <w:b/>
                <w:sz w:val="6"/>
              </w:rPr>
            </w:pPr>
          </w:p>
          <w:p w14:paraId="56D32B61" w14:textId="77777777" w:rsidR="00F65BCA" w:rsidRDefault="00216117">
            <w:pPr>
              <w:pStyle w:val="TableParagraph"/>
              <w:spacing w:line="51" w:lineRule="exact"/>
              <w:ind w:right="14"/>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7E3406B8" w14:textId="77777777" w:rsidR="00F65BCA" w:rsidRDefault="00F65BCA">
            <w:pPr>
              <w:pStyle w:val="TableParagraph"/>
              <w:spacing w:before="8"/>
              <w:rPr>
                <w:rFonts w:ascii="Calibri"/>
                <w:b/>
                <w:sz w:val="6"/>
              </w:rPr>
            </w:pPr>
          </w:p>
          <w:p w14:paraId="2CF2C2EC"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spacing w:val="-1"/>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782C97CC"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61C85290" w14:textId="77777777" w:rsidR="00F65BCA" w:rsidRDefault="00F65BCA">
            <w:pPr>
              <w:pStyle w:val="TableParagraph"/>
              <w:rPr>
                <w:rFonts w:ascii="Times New Roman"/>
                <w:sz w:val="6"/>
              </w:rPr>
            </w:pPr>
          </w:p>
        </w:tc>
        <w:tc>
          <w:tcPr>
            <w:tcW w:w="311" w:type="dxa"/>
            <w:tcBorders>
              <w:top w:val="single" w:sz="2" w:space="0" w:color="231F20"/>
              <w:left w:val="single" w:sz="2" w:space="0" w:color="231F20"/>
              <w:bottom w:val="single" w:sz="2" w:space="0" w:color="231F20"/>
              <w:right w:val="single" w:sz="2" w:space="0" w:color="231F20"/>
            </w:tcBorders>
          </w:tcPr>
          <w:p w14:paraId="5D14360D"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6B6A8575"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708ED98E" w14:textId="77777777" w:rsidR="00F65BCA" w:rsidRDefault="00F65BCA">
            <w:pPr>
              <w:pStyle w:val="TableParagraph"/>
              <w:rPr>
                <w:rFonts w:ascii="Times New Roman"/>
                <w:sz w:val="6"/>
              </w:rPr>
            </w:pPr>
          </w:p>
        </w:tc>
        <w:tc>
          <w:tcPr>
            <w:tcW w:w="296" w:type="dxa"/>
            <w:tcBorders>
              <w:top w:val="single" w:sz="2" w:space="0" w:color="231F20"/>
              <w:left w:val="single" w:sz="2" w:space="0" w:color="231F20"/>
              <w:bottom w:val="single" w:sz="2" w:space="0" w:color="231F20"/>
              <w:right w:val="single" w:sz="2" w:space="0" w:color="231F20"/>
            </w:tcBorders>
          </w:tcPr>
          <w:p w14:paraId="333D06C3" w14:textId="77777777" w:rsidR="00F65BCA" w:rsidRDefault="00F65BCA">
            <w:pPr>
              <w:pStyle w:val="TableParagraph"/>
              <w:spacing w:before="8"/>
              <w:rPr>
                <w:rFonts w:ascii="Calibri"/>
                <w:b/>
                <w:sz w:val="6"/>
              </w:rPr>
            </w:pPr>
          </w:p>
          <w:p w14:paraId="47392927" w14:textId="77777777" w:rsidR="00F65BCA" w:rsidRDefault="00216117">
            <w:pPr>
              <w:pStyle w:val="TableParagraph"/>
              <w:spacing w:line="51" w:lineRule="exact"/>
              <w:ind w:left="1"/>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76EC8D7D" w14:textId="77777777" w:rsidR="00F65BCA" w:rsidRDefault="00F65BCA">
            <w:pPr>
              <w:pStyle w:val="TableParagraph"/>
              <w:spacing w:before="8"/>
              <w:rPr>
                <w:rFonts w:ascii="Calibri"/>
                <w:b/>
                <w:sz w:val="6"/>
              </w:rPr>
            </w:pPr>
          </w:p>
          <w:p w14:paraId="6BFCE9D2" w14:textId="77777777" w:rsidR="00F65BCA" w:rsidRDefault="00216117">
            <w:pPr>
              <w:pStyle w:val="TableParagraph"/>
              <w:spacing w:line="51" w:lineRule="exact"/>
              <w:ind w:lef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60A30F67"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6A92D4D5"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DFBD73B"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617CC2D4"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A4B3B66"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03327F9E" w14:textId="77777777" w:rsidR="00F65BCA" w:rsidRDefault="00F65BCA">
            <w:pPr>
              <w:pStyle w:val="TableParagraph"/>
              <w:rPr>
                <w:rFonts w:ascii="Times New Roman"/>
                <w:sz w:val="6"/>
              </w:rPr>
            </w:pPr>
          </w:p>
        </w:tc>
      </w:tr>
      <w:tr w:rsidR="00F65BCA" w14:paraId="0285BEDC" w14:textId="77777777">
        <w:trPr>
          <w:trHeight w:val="153"/>
        </w:trPr>
        <w:tc>
          <w:tcPr>
            <w:tcW w:w="166" w:type="dxa"/>
            <w:tcBorders>
              <w:top w:val="single" w:sz="2" w:space="0" w:color="231F20"/>
              <w:bottom w:val="single" w:sz="2" w:space="0" w:color="231F20"/>
              <w:right w:val="single" w:sz="2" w:space="0" w:color="231F20"/>
            </w:tcBorders>
          </w:tcPr>
          <w:p w14:paraId="65FD3D5A" w14:textId="77777777" w:rsidR="00F65BCA" w:rsidRDefault="00F65BCA">
            <w:pPr>
              <w:pStyle w:val="TableParagraph"/>
              <w:spacing w:before="8"/>
              <w:rPr>
                <w:rFonts w:ascii="Calibri"/>
                <w:b/>
                <w:sz w:val="6"/>
              </w:rPr>
            </w:pPr>
          </w:p>
          <w:p w14:paraId="3F27A29A"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6E95BFEA" w14:textId="77777777" w:rsidR="00F65BCA" w:rsidRDefault="00F65BCA">
            <w:pPr>
              <w:pStyle w:val="TableParagraph"/>
              <w:spacing w:before="8"/>
              <w:rPr>
                <w:rFonts w:ascii="Calibri"/>
                <w:b/>
                <w:sz w:val="6"/>
              </w:rPr>
            </w:pPr>
          </w:p>
          <w:p w14:paraId="01F06946"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7F03603E" w14:textId="77777777" w:rsidR="00F65BCA" w:rsidRDefault="00F65BCA">
            <w:pPr>
              <w:pStyle w:val="TableParagraph"/>
              <w:spacing w:before="8"/>
              <w:rPr>
                <w:rFonts w:ascii="Calibri"/>
                <w:b/>
                <w:sz w:val="6"/>
              </w:rPr>
            </w:pPr>
          </w:p>
          <w:p w14:paraId="3F90251C"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17EC7406" w14:textId="77777777" w:rsidR="00F65BCA" w:rsidRDefault="00F65BCA">
            <w:pPr>
              <w:pStyle w:val="TableParagraph"/>
              <w:spacing w:before="8"/>
              <w:rPr>
                <w:rFonts w:ascii="Calibri"/>
                <w:b/>
                <w:sz w:val="6"/>
              </w:rPr>
            </w:pPr>
          </w:p>
          <w:p w14:paraId="652BBD47"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5A094859" w14:textId="77777777" w:rsidR="00F65BCA" w:rsidRDefault="00F65BCA">
            <w:pPr>
              <w:pStyle w:val="TableParagraph"/>
              <w:spacing w:before="8"/>
              <w:rPr>
                <w:rFonts w:ascii="Calibri"/>
                <w:b/>
                <w:sz w:val="6"/>
              </w:rPr>
            </w:pPr>
          </w:p>
          <w:p w14:paraId="31296C54"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1D2D9EDF" w14:textId="77777777" w:rsidR="00F65BCA" w:rsidRDefault="00F65BCA">
            <w:pPr>
              <w:pStyle w:val="TableParagraph"/>
              <w:spacing w:before="8"/>
              <w:rPr>
                <w:rFonts w:ascii="Calibri"/>
                <w:b/>
                <w:sz w:val="6"/>
              </w:rPr>
            </w:pPr>
          </w:p>
          <w:p w14:paraId="7A348802"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4C529B01" w14:textId="77777777" w:rsidR="00F65BCA" w:rsidRDefault="00F65BCA">
            <w:pPr>
              <w:pStyle w:val="TableParagraph"/>
              <w:spacing w:before="8"/>
              <w:rPr>
                <w:rFonts w:ascii="Calibri"/>
                <w:b/>
                <w:sz w:val="6"/>
              </w:rPr>
            </w:pPr>
          </w:p>
          <w:p w14:paraId="18114CF5"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313"/>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6AC21371" w14:textId="77777777" w:rsidR="00F65BCA" w:rsidRDefault="00F65BCA">
            <w:pPr>
              <w:pStyle w:val="TableParagraph"/>
              <w:spacing w:before="8"/>
              <w:rPr>
                <w:rFonts w:ascii="Calibri"/>
                <w:b/>
                <w:sz w:val="6"/>
              </w:rPr>
            </w:pPr>
          </w:p>
          <w:p w14:paraId="3270B7FC" w14:textId="77777777" w:rsidR="00F65BCA" w:rsidRDefault="00216117">
            <w:pPr>
              <w:pStyle w:val="TableParagraph"/>
              <w:spacing w:line="51" w:lineRule="exact"/>
              <w:ind w:left="10"/>
              <w:rPr>
                <w:rFonts w:ascii="Calibri" w:hAnsi="Calibri"/>
                <w:sz w:val="6"/>
              </w:rPr>
            </w:pPr>
            <w:r>
              <w:rPr>
                <w:rFonts w:ascii="Calibri" w:hAnsi="Calibri"/>
                <w:color w:val="231F20"/>
                <w:w w:val="205"/>
                <w:sz w:val="6"/>
              </w:rPr>
              <w:t>ý</w:t>
            </w:r>
            <w:r>
              <w:rPr>
                <w:rFonts w:ascii="Calibri" w:hAnsi="Calibri"/>
                <w:color w:val="231F20"/>
                <w:w w:val="211"/>
                <w:sz w:val="6"/>
              </w:rPr>
              <w:t xml:space="preserve"> </w:t>
            </w:r>
            <w:r>
              <w:rPr>
                <w:rFonts w:ascii="Calibri" w:hAnsi="Calibri"/>
                <w:color w:val="231F20"/>
                <w:w w:val="228"/>
                <w:sz w:val="6"/>
              </w:rPr>
              <w:t xml:space="preserve">  </w:t>
            </w:r>
            <w:r>
              <w:rPr>
                <w:rFonts w:ascii="Calibri" w:hAnsi="Calibri"/>
                <w:color w:val="231F20"/>
                <w:w w:val="233"/>
                <w:sz w:val="6"/>
              </w:rPr>
              <w:t xml:space="preserve">   </w:t>
            </w:r>
            <w:r>
              <w:rPr>
                <w:rFonts w:ascii="Calibri" w:hAnsi="Calibri"/>
                <w:color w:val="231F20"/>
                <w:w w:val="224"/>
                <w:sz w:val="6"/>
              </w:rPr>
              <w:t xml:space="preserve"> </w:t>
            </w:r>
            <w:r>
              <w:rPr>
                <w:rFonts w:ascii="Calibri" w:hAnsi="Calibri"/>
                <w:color w:val="231F20"/>
                <w:w w:val="257"/>
                <w:sz w:val="6"/>
              </w:rPr>
              <w:t xml:space="preserve">  </w:t>
            </w:r>
            <w:r>
              <w:rPr>
                <w:rFonts w:ascii="Calibri" w:hAnsi="Calibri"/>
                <w:color w:val="231F20"/>
                <w:w w:val="193"/>
                <w:sz w:val="6"/>
              </w:rPr>
              <w:t xml:space="preserve"> </w:t>
            </w:r>
            <w:r>
              <w:rPr>
                <w:rFonts w:ascii="Calibri" w:hAnsi="Calibri"/>
                <w:color w:val="231F20"/>
                <w:w w:val="241"/>
                <w:sz w:val="6"/>
              </w:rPr>
              <w:t xml:space="preserve">  </w:t>
            </w:r>
            <w:r>
              <w:rPr>
                <w:rFonts w:ascii="Calibri" w:hAns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294F0189" w14:textId="77777777" w:rsidR="00F65BCA" w:rsidRDefault="00F65BCA">
            <w:pPr>
              <w:pStyle w:val="TableParagraph"/>
              <w:spacing w:before="8"/>
              <w:rPr>
                <w:rFonts w:ascii="Calibri"/>
                <w:b/>
                <w:sz w:val="6"/>
              </w:rPr>
            </w:pPr>
          </w:p>
          <w:p w14:paraId="56FAA714" w14:textId="77777777" w:rsidR="00F65BCA" w:rsidRDefault="00216117">
            <w:pPr>
              <w:pStyle w:val="TableParagraph"/>
              <w:spacing w:line="51" w:lineRule="exact"/>
              <w:ind w:left="9"/>
              <w:rPr>
                <w:rFonts w:ascii="Calibri"/>
                <w:sz w:val="6"/>
              </w:rPr>
            </w:pPr>
            <w:r>
              <w:rPr>
                <w:rFonts w:ascii="Calibri"/>
                <w:color w:val="231F20"/>
                <w:spacing w:val="-1"/>
                <w:w w:val="211"/>
                <w:sz w:val="6"/>
              </w:rPr>
              <w:t xml:space="preserve"> </w:t>
            </w:r>
            <w:r>
              <w:rPr>
                <w:rFonts w:ascii="Calibri"/>
                <w:color w:val="231F20"/>
                <w:w w:val="27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68E8A0F3" w14:textId="77777777" w:rsidR="00F65BCA" w:rsidRDefault="00F65BCA">
            <w:pPr>
              <w:pStyle w:val="TableParagraph"/>
              <w:spacing w:before="8"/>
              <w:rPr>
                <w:rFonts w:ascii="Calibri"/>
                <w:b/>
                <w:sz w:val="6"/>
              </w:rPr>
            </w:pPr>
          </w:p>
          <w:p w14:paraId="3F737FB1" w14:textId="77777777" w:rsidR="00F65BCA" w:rsidRDefault="00216117">
            <w:pPr>
              <w:pStyle w:val="TableParagraph"/>
              <w:spacing w:line="51" w:lineRule="exact"/>
              <w:ind w:left="8"/>
              <w:rPr>
                <w:rFonts w:ascii="Calibri"/>
                <w:sz w:val="6"/>
              </w:rPr>
            </w:pPr>
            <w:r>
              <w:rPr>
                <w:rFonts w:ascii="Calibri"/>
                <w:color w:val="231F20"/>
                <w:spacing w:val="-1"/>
                <w:w w:val="224"/>
                <w:sz w:val="6"/>
              </w:rPr>
              <w:t xml:space="preserve"> </w:t>
            </w:r>
            <w:r>
              <w:rPr>
                <w:rFonts w:ascii="Calibri"/>
                <w:color w:val="231F20"/>
                <w:w w:val="257"/>
                <w:sz w:val="6"/>
              </w:rPr>
              <w:t xml:space="preserve">  </w:t>
            </w:r>
            <w:r>
              <w:rPr>
                <w:rFonts w:ascii="Calibri"/>
                <w:color w:val="231F20"/>
                <w:w w:val="296"/>
                <w:sz w:val="6"/>
              </w:rPr>
              <w:t xml:space="preserve"> </w:t>
            </w:r>
            <w:r>
              <w:rPr>
                <w:rFonts w:ascii="Calibri"/>
                <w:color w:val="231F20"/>
                <w:spacing w:val="-1"/>
                <w:w w:val="211"/>
                <w:sz w:val="6"/>
              </w:rPr>
              <w:t xml:space="preserve"> </w:t>
            </w:r>
            <w:r>
              <w:rPr>
                <w:rFonts w:ascii="Calibri"/>
                <w:color w:val="231F20"/>
                <w:w w:val="170"/>
                <w:sz w:val="6"/>
              </w:rPr>
              <w:t xml:space="preserve">  </w:t>
            </w:r>
            <w:r>
              <w:rPr>
                <w:rFonts w:ascii="Times New Roman"/>
                <w:color w:val="231F20"/>
                <w:spacing w:val="-1"/>
                <w:sz w:val="6"/>
              </w:rPr>
              <w:t xml:space="preserve"> </w:t>
            </w:r>
            <w:r>
              <w:rPr>
                <w:rFonts w:ascii="Calibri"/>
                <w:color w:val="231F20"/>
                <w:spacing w:val="-1"/>
                <w:w w:val="245"/>
                <w:sz w:val="6"/>
              </w:rPr>
              <w:t xml:space="preserve"> </w:t>
            </w:r>
            <w:r>
              <w:rPr>
                <w:rFonts w:ascii="Calibri"/>
                <w:color w:val="231F20"/>
                <w:w w:val="295"/>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304"/>
                <w:sz w:val="6"/>
              </w:rPr>
              <w:t xml:space="preserve"> </w:t>
            </w:r>
            <w:r>
              <w:rPr>
                <w:rFonts w:ascii="Calibri"/>
                <w:color w:val="231F20"/>
                <w:w w:val="39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w w:val="170"/>
                <w:sz w:val="6"/>
              </w:rPr>
              <w:t xml:space="preserve"> </w:t>
            </w:r>
            <w:r>
              <w:rPr>
                <w:rFonts w:ascii="Calibri"/>
                <w:color w:val="231F20"/>
                <w:spacing w:val="-1"/>
                <w:w w:val="170"/>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19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4CF674FA" w14:textId="77777777" w:rsidR="00F65BCA" w:rsidRDefault="00F65BCA">
            <w:pPr>
              <w:pStyle w:val="TableParagraph"/>
              <w:spacing w:before="8"/>
              <w:rPr>
                <w:rFonts w:ascii="Calibri"/>
                <w:b/>
                <w:sz w:val="6"/>
              </w:rPr>
            </w:pPr>
          </w:p>
          <w:p w14:paraId="25F28632" w14:textId="77777777" w:rsidR="00F65BCA" w:rsidRDefault="00216117">
            <w:pPr>
              <w:pStyle w:val="TableParagraph"/>
              <w:spacing w:line="51" w:lineRule="exact"/>
              <w:ind w:left="7"/>
              <w:rPr>
                <w:rFonts w:ascii="Calibri"/>
                <w:sz w:val="6"/>
              </w:rPr>
            </w:pPr>
            <w:r>
              <w:rPr>
                <w:rFonts w:ascii="Calibri"/>
                <w:color w:val="231F20"/>
                <w:w w:val="295"/>
                <w:sz w:val="6"/>
              </w:rPr>
              <w:t xml:space="preserve"> </w:t>
            </w:r>
            <w:r>
              <w:rPr>
                <w:rFonts w:ascii="Calibri"/>
                <w:color w:val="231F20"/>
                <w:w w:val="90"/>
                <w:sz w:val="6"/>
              </w:rPr>
              <w:t xml:space="preserve">A </w:t>
            </w:r>
            <w:r>
              <w:rPr>
                <w:rFonts w:ascii="Calibri"/>
                <w:color w:val="231F20"/>
                <w:w w:val="181"/>
                <w:sz w:val="6"/>
              </w:rPr>
              <w:t xml:space="preserve">  </w:t>
            </w:r>
            <w:r>
              <w:rPr>
                <w:rFonts w:ascii="Calibri"/>
                <w:color w:val="231F20"/>
                <w:w w:val="242"/>
                <w:sz w:val="6"/>
              </w:rPr>
              <w:t xml:space="preserve"> </w:t>
            </w:r>
            <w:r>
              <w:rPr>
                <w:rFonts w:ascii="Calibri"/>
                <w:color w:val="231F20"/>
                <w:w w:val="207"/>
                <w:sz w:val="6"/>
              </w:rPr>
              <w:t xml:space="preserve"> </w:t>
            </w:r>
            <w:r>
              <w:rPr>
                <w:rFonts w:ascii="Calibri"/>
                <w:color w:val="231F20"/>
                <w:w w:val="208"/>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6412EACD" w14:textId="77777777" w:rsidR="00F65BCA" w:rsidRDefault="00F65BCA">
            <w:pPr>
              <w:pStyle w:val="TableParagraph"/>
              <w:spacing w:before="8"/>
              <w:rPr>
                <w:rFonts w:ascii="Calibri"/>
                <w:b/>
                <w:sz w:val="6"/>
              </w:rPr>
            </w:pPr>
          </w:p>
          <w:p w14:paraId="44C6B4FB"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1619DA5A" w14:textId="77777777" w:rsidR="00F65BCA" w:rsidRDefault="00F65BCA">
            <w:pPr>
              <w:pStyle w:val="TableParagraph"/>
              <w:spacing w:before="8"/>
              <w:rPr>
                <w:rFonts w:ascii="Calibri"/>
                <w:b/>
                <w:sz w:val="6"/>
              </w:rPr>
            </w:pPr>
          </w:p>
          <w:p w14:paraId="78DA6803"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6DD53991" w14:textId="77777777" w:rsidR="00F65BCA" w:rsidRDefault="00F65BCA">
            <w:pPr>
              <w:pStyle w:val="TableParagraph"/>
              <w:spacing w:before="8"/>
              <w:rPr>
                <w:rFonts w:ascii="Calibri"/>
                <w:b/>
                <w:sz w:val="6"/>
              </w:rPr>
            </w:pPr>
          </w:p>
          <w:p w14:paraId="280E60E5"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4AA7F65A" w14:textId="77777777" w:rsidR="00F65BCA" w:rsidRDefault="00F65BCA">
            <w:pPr>
              <w:pStyle w:val="TableParagraph"/>
              <w:spacing w:before="8"/>
              <w:rPr>
                <w:rFonts w:ascii="Calibri"/>
                <w:b/>
                <w:sz w:val="6"/>
              </w:rPr>
            </w:pPr>
          </w:p>
          <w:p w14:paraId="28A2A746"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02F7F456" w14:textId="77777777" w:rsidR="00F65BCA" w:rsidRDefault="00F65BCA">
            <w:pPr>
              <w:pStyle w:val="TableParagraph"/>
              <w:spacing w:before="8"/>
              <w:rPr>
                <w:rFonts w:ascii="Calibri"/>
                <w:b/>
                <w:sz w:val="6"/>
              </w:rPr>
            </w:pPr>
          </w:p>
          <w:p w14:paraId="7D653ACA"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2F8D5664" w14:textId="77777777" w:rsidR="00F65BCA" w:rsidRDefault="00F65BCA">
            <w:pPr>
              <w:pStyle w:val="TableParagraph"/>
              <w:spacing w:before="8"/>
              <w:rPr>
                <w:rFonts w:ascii="Calibri"/>
                <w:b/>
                <w:sz w:val="6"/>
              </w:rPr>
            </w:pPr>
          </w:p>
          <w:p w14:paraId="5C38003C" w14:textId="77777777" w:rsidR="00F65BCA" w:rsidRDefault="00216117">
            <w:pPr>
              <w:pStyle w:val="TableParagraph"/>
              <w:spacing w:line="51"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6B6DE9B1" w14:textId="77777777" w:rsidR="00F65BCA" w:rsidRDefault="00F65BCA">
            <w:pPr>
              <w:pStyle w:val="TableParagraph"/>
              <w:spacing w:before="8"/>
              <w:rPr>
                <w:rFonts w:ascii="Calibri"/>
                <w:b/>
                <w:sz w:val="6"/>
              </w:rPr>
            </w:pPr>
          </w:p>
          <w:p w14:paraId="72AB1AB7"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292CE295" w14:textId="77777777" w:rsidR="00F65BCA" w:rsidRDefault="00F65BCA">
            <w:pPr>
              <w:pStyle w:val="TableParagraph"/>
              <w:spacing w:before="8"/>
              <w:rPr>
                <w:rFonts w:ascii="Calibri"/>
                <w:b/>
                <w:sz w:val="6"/>
              </w:rPr>
            </w:pPr>
          </w:p>
          <w:p w14:paraId="39FD2A99"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4057F976" w14:textId="77777777" w:rsidR="00F65BCA" w:rsidRDefault="00F65BCA">
            <w:pPr>
              <w:pStyle w:val="TableParagraph"/>
              <w:spacing w:before="8"/>
              <w:rPr>
                <w:rFonts w:ascii="Calibri"/>
                <w:b/>
                <w:sz w:val="6"/>
              </w:rPr>
            </w:pPr>
          </w:p>
          <w:p w14:paraId="0A0A0175"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3CE693F6" w14:textId="77777777" w:rsidR="00F65BCA" w:rsidRDefault="00F65BCA">
            <w:pPr>
              <w:pStyle w:val="TableParagraph"/>
              <w:spacing w:before="8"/>
              <w:rPr>
                <w:rFonts w:ascii="Calibri"/>
                <w:b/>
                <w:sz w:val="6"/>
              </w:rPr>
            </w:pPr>
          </w:p>
          <w:p w14:paraId="74C70F84" w14:textId="77777777" w:rsidR="00F65BCA" w:rsidRDefault="00216117">
            <w:pPr>
              <w:pStyle w:val="TableParagraph"/>
              <w:spacing w:line="51" w:lineRule="exact"/>
              <w:ind w:right="91"/>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13AB4247" w14:textId="77777777" w:rsidR="00F65BCA" w:rsidRDefault="00F65BCA">
            <w:pPr>
              <w:pStyle w:val="TableParagraph"/>
              <w:spacing w:before="8"/>
              <w:rPr>
                <w:rFonts w:ascii="Calibri"/>
                <w:b/>
                <w:sz w:val="6"/>
              </w:rPr>
            </w:pPr>
          </w:p>
          <w:p w14:paraId="2C1A5312" w14:textId="77777777" w:rsidR="00F65BCA" w:rsidRDefault="00216117">
            <w:pPr>
              <w:pStyle w:val="TableParagraph"/>
              <w:spacing w:line="51" w:lineRule="exact"/>
              <w:ind w:right="17"/>
              <w:jc w:val="right"/>
              <w:rPr>
                <w:rFonts w:ascii="Calibri"/>
                <w:sz w:val="6"/>
              </w:rPr>
            </w:pPr>
            <w:r>
              <w:rPr>
                <w:rFonts w:ascii="Calibri"/>
                <w:color w:val="231F20"/>
                <w:spacing w:val="-1"/>
                <w:w w:val="241"/>
                <w:sz w:val="6"/>
              </w:rPr>
              <w:t xml:space="preserve"> </w:t>
            </w:r>
            <w:r>
              <w:rPr>
                <w:rFonts w:ascii="Calibri"/>
                <w:color w:val="231F20"/>
                <w:w w:val="228"/>
                <w:sz w:val="6"/>
              </w:rPr>
              <w:t xml:space="preserve"> </w:t>
            </w:r>
            <w:r>
              <w:rPr>
                <w:rFonts w:ascii="Calibri"/>
                <w:color w:val="231F20"/>
                <w:w w:val="181"/>
                <w:sz w:val="6"/>
              </w:rPr>
              <w:t xml:space="preserve"> </w:t>
            </w:r>
            <w:r>
              <w:rPr>
                <w:rFonts w:ascii="Times New Roman"/>
                <w:color w:val="231F20"/>
                <w:spacing w:val="-1"/>
                <w:sz w:val="6"/>
              </w:rPr>
              <w:t xml:space="preserve"> </w:t>
            </w:r>
            <w:r>
              <w:rPr>
                <w:rFonts w:ascii="Calibri"/>
                <w:color w:val="231F20"/>
                <w:spacing w:val="-1"/>
                <w:w w:val="105"/>
                <w:sz w:val="6"/>
              </w:rPr>
              <w:t xml:space="preserve">  </w:t>
            </w:r>
            <w:r>
              <w:rPr>
                <w:rFonts w:ascii="Calibri"/>
                <w:color w:val="231F20"/>
                <w:w w:val="367"/>
                <w:sz w:val="6"/>
              </w:rPr>
              <w:t xml:space="preserve"> </w:t>
            </w:r>
            <w:r>
              <w:rPr>
                <w:rFonts w:ascii="Calibri"/>
                <w:color w:val="231F20"/>
                <w:spacing w:val="-1"/>
                <w:w w:val="105"/>
                <w:sz w:val="6"/>
              </w:rPr>
              <w:t xml:space="preserve"> </w:t>
            </w:r>
            <w:r>
              <w:rPr>
                <w:rFonts w:ascii="Calibri"/>
                <w:color w:val="231F20"/>
                <w:w w:val="197"/>
                <w:sz w:val="6"/>
              </w:rPr>
              <w:t xml:space="preserve"> </w:t>
            </w:r>
            <w:r>
              <w:rPr>
                <w:rFonts w:ascii="Calibri"/>
                <w:color w:val="231F20"/>
                <w:spacing w:val="-1"/>
                <w:w w:val="197"/>
                <w:sz w:val="6"/>
              </w:rPr>
              <w:t xml:space="preserve"> </w:t>
            </w:r>
            <w:r>
              <w:rPr>
                <w:rFonts w:ascii="Calibri"/>
                <w:color w:val="231F20"/>
                <w:w w:val="105"/>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08F192A3" w14:textId="77777777" w:rsidR="00F65BCA" w:rsidRDefault="00F65BCA">
            <w:pPr>
              <w:pStyle w:val="TableParagraph"/>
              <w:spacing w:before="8"/>
              <w:rPr>
                <w:rFonts w:ascii="Calibri"/>
                <w:b/>
                <w:sz w:val="6"/>
              </w:rPr>
            </w:pPr>
          </w:p>
          <w:p w14:paraId="36933A6D"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49353ED0" w14:textId="77777777" w:rsidR="00F65BCA" w:rsidRDefault="00F65BCA">
            <w:pPr>
              <w:pStyle w:val="TableParagraph"/>
              <w:spacing w:before="8"/>
              <w:rPr>
                <w:rFonts w:ascii="Calibri"/>
                <w:b/>
                <w:sz w:val="6"/>
              </w:rPr>
            </w:pPr>
          </w:p>
          <w:p w14:paraId="1AB79BE3"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10E423A4" w14:textId="77777777" w:rsidR="00F65BCA" w:rsidRDefault="00F65BCA">
            <w:pPr>
              <w:pStyle w:val="TableParagraph"/>
              <w:spacing w:before="8"/>
              <w:rPr>
                <w:rFonts w:ascii="Calibri"/>
                <w:b/>
                <w:sz w:val="6"/>
              </w:rPr>
            </w:pPr>
          </w:p>
          <w:p w14:paraId="1B380BB2" w14:textId="77777777" w:rsidR="00F65BCA" w:rsidRDefault="00216117">
            <w:pPr>
              <w:pStyle w:val="TableParagraph"/>
              <w:spacing w:line="51" w:lineRule="exact"/>
              <w:ind w:left="5"/>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50255938"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43DCA3F8"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28B26C8"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F5B7749"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62FC00F0"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78BCEAB9" w14:textId="77777777" w:rsidR="00F65BCA" w:rsidRDefault="00F65BCA">
            <w:pPr>
              <w:pStyle w:val="TableParagraph"/>
              <w:rPr>
                <w:rFonts w:ascii="Times New Roman"/>
                <w:sz w:val="6"/>
              </w:rPr>
            </w:pPr>
          </w:p>
        </w:tc>
      </w:tr>
      <w:tr w:rsidR="00F65BCA" w14:paraId="0C9DCCF8" w14:textId="77777777">
        <w:trPr>
          <w:trHeight w:val="153"/>
        </w:trPr>
        <w:tc>
          <w:tcPr>
            <w:tcW w:w="166" w:type="dxa"/>
            <w:tcBorders>
              <w:top w:val="single" w:sz="2" w:space="0" w:color="231F20"/>
              <w:bottom w:val="single" w:sz="2" w:space="0" w:color="231F20"/>
              <w:right w:val="single" w:sz="2" w:space="0" w:color="231F20"/>
            </w:tcBorders>
          </w:tcPr>
          <w:p w14:paraId="5FF7B6F1" w14:textId="77777777" w:rsidR="00F65BCA" w:rsidRDefault="00F65BCA">
            <w:pPr>
              <w:pStyle w:val="TableParagraph"/>
              <w:spacing w:before="8"/>
              <w:rPr>
                <w:rFonts w:ascii="Calibri"/>
                <w:b/>
                <w:sz w:val="6"/>
              </w:rPr>
            </w:pPr>
          </w:p>
          <w:p w14:paraId="3D321E29"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46BBD6DF" w14:textId="77777777" w:rsidR="00F65BCA" w:rsidRDefault="00F65BCA">
            <w:pPr>
              <w:pStyle w:val="TableParagraph"/>
              <w:spacing w:before="8"/>
              <w:rPr>
                <w:rFonts w:ascii="Calibri"/>
                <w:b/>
                <w:sz w:val="6"/>
              </w:rPr>
            </w:pPr>
          </w:p>
          <w:p w14:paraId="2F2F09E5"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3A9B6AB6" w14:textId="77777777" w:rsidR="00F65BCA" w:rsidRDefault="00F65BCA">
            <w:pPr>
              <w:pStyle w:val="TableParagraph"/>
              <w:spacing w:before="8"/>
              <w:rPr>
                <w:rFonts w:ascii="Calibri"/>
                <w:b/>
                <w:sz w:val="6"/>
              </w:rPr>
            </w:pPr>
          </w:p>
          <w:p w14:paraId="77599DC2"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44060CEB" w14:textId="77777777" w:rsidR="00F65BCA" w:rsidRDefault="00F65BCA">
            <w:pPr>
              <w:pStyle w:val="TableParagraph"/>
              <w:spacing w:before="8"/>
              <w:rPr>
                <w:rFonts w:ascii="Calibri"/>
                <w:b/>
                <w:sz w:val="6"/>
              </w:rPr>
            </w:pPr>
          </w:p>
          <w:p w14:paraId="372A6D83"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71B801C5" w14:textId="77777777" w:rsidR="00F65BCA" w:rsidRDefault="00F65BCA">
            <w:pPr>
              <w:pStyle w:val="TableParagraph"/>
              <w:spacing w:before="8"/>
              <w:rPr>
                <w:rFonts w:ascii="Calibri"/>
                <w:b/>
                <w:sz w:val="6"/>
              </w:rPr>
            </w:pPr>
          </w:p>
          <w:p w14:paraId="3B28D1D6"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2806CE8B" w14:textId="77777777" w:rsidR="00F65BCA" w:rsidRDefault="00F65BCA">
            <w:pPr>
              <w:pStyle w:val="TableParagraph"/>
              <w:spacing w:before="8"/>
              <w:rPr>
                <w:rFonts w:ascii="Calibri"/>
                <w:b/>
                <w:sz w:val="6"/>
              </w:rPr>
            </w:pPr>
          </w:p>
          <w:p w14:paraId="282E6F22"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w w:val="237"/>
                <w:sz w:val="6"/>
              </w:rPr>
              <w:t xml:space="preserve"> </w:t>
            </w:r>
            <w:r>
              <w:rPr>
                <w:rFonts w:ascii="Calibri"/>
                <w:color w:val="231F20"/>
                <w:spacing w:val="-1"/>
                <w:w w:val="233"/>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186A2D84" w14:textId="77777777" w:rsidR="00F65BCA" w:rsidRDefault="00F65BCA">
            <w:pPr>
              <w:pStyle w:val="TableParagraph"/>
              <w:spacing w:before="8"/>
              <w:rPr>
                <w:rFonts w:ascii="Calibri"/>
                <w:b/>
                <w:sz w:val="6"/>
              </w:rPr>
            </w:pPr>
          </w:p>
          <w:p w14:paraId="3C60E357"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199"/>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6BFE57E5" w14:textId="77777777" w:rsidR="00F65BCA" w:rsidRDefault="00F65BCA">
            <w:pPr>
              <w:pStyle w:val="TableParagraph"/>
              <w:spacing w:before="8"/>
              <w:rPr>
                <w:rFonts w:ascii="Calibri"/>
                <w:b/>
                <w:sz w:val="6"/>
              </w:rPr>
            </w:pPr>
          </w:p>
          <w:p w14:paraId="177EDD7C" w14:textId="77777777" w:rsidR="00F65BCA" w:rsidRDefault="00216117">
            <w:pPr>
              <w:pStyle w:val="TableParagraph"/>
              <w:spacing w:line="51" w:lineRule="exact"/>
              <w:ind w:left="10"/>
              <w:rPr>
                <w:rFonts w:ascii="Calibri"/>
                <w:sz w:val="6"/>
              </w:rPr>
            </w:pPr>
            <w:r>
              <w:rPr>
                <w:rFonts w:ascii="Calibri"/>
                <w:color w:val="231F20"/>
                <w:spacing w:val="-1"/>
                <w:w w:val="260"/>
                <w:sz w:val="6"/>
              </w:rPr>
              <w:t xml:space="preserve"> </w:t>
            </w:r>
            <w:r>
              <w:rPr>
                <w:rFonts w:ascii="Calibri"/>
                <w:color w:val="231F20"/>
                <w:spacing w:val="-1"/>
                <w:w w:val="211"/>
                <w:sz w:val="6"/>
              </w:rPr>
              <w:t xml:space="preserve"> </w:t>
            </w:r>
            <w:r>
              <w:rPr>
                <w:rFonts w:ascii="Calibri"/>
                <w:color w:val="231F20"/>
                <w:w w:val="233"/>
                <w:sz w:val="6"/>
              </w:rPr>
              <w:t xml:space="preserve"> </w:t>
            </w:r>
            <w:r>
              <w:rPr>
                <w:rFonts w:ascii="Calibri"/>
                <w:color w:val="231F20"/>
                <w:w w:val="170"/>
                <w:sz w:val="6"/>
              </w:rPr>
              <w:t xml:space="preserve"> </w:t>
            </w:r>
            <w:r>
              <w:rPr>
                <w:rFonts w:ascii="Calibri"/>
                <w:color w:val="231F20"/>
                <w:spacing w:val="-1"/>
                <w:w w:val="170"/>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7903AA19" w14:textId="77777777" w:rsidR="00F65BCA" w:rsidRDefault="00F65BCA">
            <w:pPr>
              <w:pStyle w:val="TableParagraph"/>
              <w:spacing w:before="8"/>
              <w:rPr>
                <w:rFonts w:ascii="Calibri"/>
                <w:b/>
                <w:sz w:val="6"/>
              </w:rPr>
            </w:pPr>
          </w:p>
          <w:p w14:paraId="1CA168EF" w14:textId="77777777" w:rsidR="00F65BCA" w:rsidRDefault="00216117">
            <w:pPr>
              <w:pStyle w:val="TableParagraph"/>
              <w:spacing w:line="51" w:lineRule="exact"/>
              <w:ind w:left="10"/>
              <w:rPr>
                <w:rFonts w:ascii="Calibri"/>
                <w:sz w:val="6"/>
              </w:rPr>
            </w:pPr>
            <w:r>
              <w:rPr>
                <w:rFonts w:ascii="Calibri"/>
                <w:color w:val="231F20"/>
                <w:w w:val="237"/>
                <w:sz w:val="6"/>
              </w:rPr>
              <w:t xml:space="preserve"> </w:t>
            </w:r>
            <w:r>
              <w:rPr>
                <w:rFonts w:ascii="Calibri"/>
                <w:color w:val="231F20"/>
                <w:spacing w:val="-1"/>
                <w:w w:val="237"/>
                <w:sz w:val="6"/>
              </w:rPr>
              <w:t xml:space="preserve"> </w:t>
            </w:r>
            <w:r>
              <w:rPr>
                <w:rFonts w:ascii="Calibri"/>
                <w:color w:val="231F20"/>
                <w:w w:val="296"/>
                <w:sz w:val="6"/>
              </w:rPr>
              <w:t xml:space="preserve"> </w:t>
            </w:r>
            <w:r>
              <w:rPr>
                <w:rFonts w:ascii="Calibri"/>
                <w:color w:val="231F20"/>
                <w:w w:val="266"/>
                <w:sz w:val="6"/>
              </w:rPr>
              <w:t xml:space="preserve"> </w:t>
            </w:r>
            <w:r>
              <w:rPr>
                <w:rFonts w:ascii="Calibri"/>
                <w:color w:val="231F20"/>
                <w:w w:val="295"/>
                <w:sz w:val="6"/>
              </w:rPr>
              <w:t xml:space="preserve"> </w:t>
            </w:r>
            <w:r>
              <w:rPr>
                <w:rFonts w:ascii="Calibri"/>
                <w:color w:val="231F20"/>
                <w:spacing w:val="-1"/>
                <w:w w:val="193"/>
                <w:sz w:val="6"/>
              </w:rPr>
              <w:t xml:space="preserve"> </w:t>
            </w:r>
            <w:r>
              <w:rPr>
                <w:rFonts w:ascii="Calibri"/>
                <w:color w:val="231F20"/>
                <w:w w:val="224"/>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7743695E" w14:textId="77777777" w:rsidR="00F65BCA" w:rsidRDefault="00F65BCA">
            <w:pPr>
              <w:pStyle w:val="TableParagraph"/>
              <w:spacing w:before="8"/>
              <w:rPr>
                <w:rFonts w:ascii="Calibri"/>
                <w:b/>
                <w:sz w:val="6"/>
              </w:rPr>
            </w:pPr>
          </w:p>
          <w:p w14:paraId="702E4577" w14:textId="77777777" w:rsidR="00F65BCA" w:rsidRDefault="00216117">
            <w:pPr>
              <w:pStyle w:val="TableParagraph"/>
              <w:spacing w:line="51" w:lineRule="exact"/>
              <w:ind w:left="9"/>
              <w:rPr>
                <w:rFonts w:ascii="Calibri"/>
                <w:sz w:val="6"/>
              </w:rPr>
            </w:pPr>
            <w:r>
              <w:rPr>
                <w:rFonts w:ascii="Calibri"/>
                <w:color w:val="231F20"/>
                <w:spacing w:val="-1"/>
                <w:w w:val="224"/>
                <w:sz w:val="6"/>
              </w:rPr>
              <w:t xml:space="preserve"> </w:t>
            </w:r>
            <w:r>
              <w:rPr>
                <w:rFonts w:ascii="Calibri"/>
                <w:color w:val="231F20"/>
                <w:w w:val="257"/>
                <w:sz w:val="6"/>
              </w:rPr>
              <w:t xml:space="preserve">  </w:t>
            </w:r>
            <w:r>
              <w:rPr>
                <w:rFonts w:ascii="Calibri"/>
                <w:color w:val="231F20"/>
                <w:spacing w:val="-1"/>
                <w:w w:val="211"/>
                <w:sz w:val="6"/>
              </w:rPr>
              <w:t xml:space="preserve"> </w:t>
            </w:r>
            <w:r>
              <w:rPr>
                <w:rFonts w:ascii="Calibri"/>
                <w:color w:val="231F20"/>
                <w:w w:val="180"/>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w w:val="115"/>
                <w:sz w:val="6"/>
              </w:rPr>
              <w:t xml:space="preserve"> </w:t>
            </w:r>
            <w:r>
              <w:rPr>
                <w:rFonts w:ascii="Calibri"/>
                <w:color w:val="231F20"/>
                <w:spacing w:val="-1"/>
                <w:w w:val="224"/>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193"/>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3A2BCC0F" w14:textId="77777777" w:rsidR="00F65BCA" w:rsidRDefault="00F65BCA">
            <w:pPr>
              <w:pStyle w:val="TableParagraph"/>
              <w:spacing w:before="8"/>
              <w:rPr>
                <w:rFonts w:ascii="Calibri"/>
                <w:b/>
                <w:sz w:val="6"/>
              </w:rPr>
            </w:pPr>
          </w:p>
          <w:p w14:paraId="3D402F98" w14:textId="77777777" w:rsidR="00F65BCA" w:rsidRDefault="00216117">
            <w:pPr>
              <w:pStyle w:val="TableParagraph"/>
              <w:spacing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626EB362" w14:textId="77777777" w:rsidR="00F65BCA" w:rsidRDefault="00F65BCA">
            <w:pPr>
              <w:pStyle w:val="TableParagraph"/>
              <w:spacing w:before="8"/>
              <w:rPr>
                <w:rFonts w:ascii="Calibri"/>
                <w:b/>
                <w:sz w:val="6"/>
              </w:rPr>
            </w:pPr>
          </w:p>
          <w:p w14:paraId="4BE49649"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1B6646A3" w14:textId="77777777" w:rsidR="00F65BCA" w:rsidRDefault="00F65BCA">
            <w:pPr>
              <w:pStyle w:val="TableParagraph"/>
              <w:spacing w:before="8"/>
              <w:rPr>
                <w:rFonts w:ascii="Calibri"/>
                <w:b/>
                <w:sz w:val="6"/>
              </w:rPr>
            </w:pPr>
          </w:p>
          <w:p w14:paraId="3DB0A612"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3CDFC5A0" w14:textId="77777777" w:rsidR="00F65BCA" w:rsidRDefault="00F65BCA">
            <w:pPr>
              <w:pStyle w:val="TableParagraph"/>
              <w:spacing w:before="8"/>
              <w:rPr>
                <w:rFonts w:ascii="Calibri"/>
                <w:b/>
                <w:sz w:val="6"/>
              </w:rPr>
            </w:pPr>
          </w:p>
          <w:p w14:paraId="6FAD50BB"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66FF0C51" w14:textId="77777777" w:rsidR="00F65BCA" w:rsidRDefault="00F65BCA">
            <w:pPr>
              <w:pStyle w:val="TableParagraph"/>
              <w:spacing w:before="8"/>
              <w:rPr>
                <w:rFonts w:ascii="Calibri"/>
                <w:b/>
                <w:sz w:val="6"/>
              </w:rPr>
            </w:pPr>
          </w:p>
          <w:p w14:paraId="61887F54"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4C8995AD" w14:textId="77777777" w:rsidR="00F65BCA" w:rsidRDefault="00F65BCA">
            <w:pPr>
              <w:pStyle w:val="TableParagraph"/>
              <w:spacing w:before="8"/>
              <w:rPr>
                <w:rFonts w:ascii="Calibri"/>
                <w:b/>
                <w:sz w:val="6"/>
              </w:rPr>
            </w:pPr>
          </w:p>
          <w:p w14:paraId="553FF7B8"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120F40F0" w14:textId="77777777" w:rsidR="00F65BCA" w:rsidRDefault="00F65BCA">
            <w:pPr>
              <w:pStyle w:val="TableParagraph"/>
              <w:spacing w:before="8"/>
              <w:rPr>
                <w:rFonts w:ascii="Calibri"/>
                <w:b/>
                <w:sz w:val="6"/>
              </w:rPr>
            </w:pPr>
          </w:p>
          <w:p w14:paraId="6E3AEAA9" w14:textId="77777777" w:rsidR="00F65BCA" w:rsidRDefault="00216117">
            <w:pPr>
              <w:pStyle w:val="TableParagraph"/>
              <w:spacing w:line="51" w:lineRule="exact"/>
              <w:ind w:right="16"/>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65494D6D" w14:textId="77777777" w:rsidR="00F65BCA" w:rsidRDefault="00F65BCA">
            <w:pPr>
              <w:pStyle w:val="TableParagraph"/>
              <w:spacing w:before="8"/>
              <w:rPr>
                <w:rFonts w:ascii="Calibri"/>
                <w:b/>
                <w:sz w:val="6"/>
              </w:rPr>
            </w:pPr>
          </w:p>
          <w:p w14:paraId="482C4E80"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66CC60A9" w14:textId="77777777" w:rsidR="00F65BCA" w:rsidRDefault="00F65BCA">
            <w:pPr>
              <w:pStyle w:val="TableParagraph"/>
              <w:spacing w:before="8"/>
              <w:rPr>
                <w:rFonts w:ascii="Calibri"/>
                <w:b/>
                <w:sz w:val="6"/>
              </w:rPr>
            </w:pPr>
          </w:p>
          <w:p w14:paraId="49A51D45"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5E60ACCB" w14:textId="77777777" w:rsidR="00F65BCA" w:rsidRDefault="00F65BCA">
            <w:pPr>
              <w:pStyle w:val="TableParagraph"/>
              <w:spacing w:before="8"/>
              <w:rPr>
                <w:rFonts w:ascii="Calibri"/>
                <w:b/>
                <w:sz w:val="6"/>
              </w:rPr>
            </w:pPr>
          </w:p>
          <w:p w14:paraId="3DD1C196"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32FC692A" w14:textId="77777777" w:rsidR="00F65BCA" w:rsidRDefault="00F65BCA">
            <w:pPr>
              <w:pStyle w:val="TableParagraph"/>
              <w:spacing w:before="8"/>
              <w:rPr>
                <w:rFonts w:ascii="Calibri"/>
                <w:b/>
                <w:sz w:val="6"/>
              </w:rPr>
            </w:pPr>
          </w:p>
          <w:p w14:paraId="185B49A6" w14:textId="77777777" w:rsidR="00F65BCA" w:rsidRDefault="00216117">
            <w:pPr>
              <w:pStyle w:val="TableParagraph"/>
              <w:spacing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01253389" w14:textId="77777777" w:rsidR="00F65BCA" w:rsidRDefault="00F65BCA">
            <w:pPr>
              <w:pStyle w:val="TableParagraph"/>
              <w:spacing w:before="8"/>
              <w:rPr>
                <w:rFonts w:ascii="Calibri"/>
                <w:b/>
                <w:sz w:val="6"/>
              </w:rPr>
            </w:pPr>
          </w:p>
          <w:p w14:paraId="0B36B42A" w14:textId="77777777" w:rsidR="00F65BCA" w:rsidRDefault="00216117">
            <w:pPr>
              <w:pStyle w:val="TableParagraph"/>
              <w:spacing w:line="51" w:lineRule="exact"/>
              <w:ind w:right="17"/>
              <w:jc w:val="right"/>
              <w:rPr>
                <w:rFonts w:ascii="Calibri"/>
                <w:sz w:val="6"/>
              </w:rPr>
            </w:pPr>
            <w:r>
              <w:rPr>
                <w:rFonts w:ascii="Calibri"/>
                <w:color w:val="231F20"/>
                <w:spacing w:val="-1"/>
                <w:w w:val="241"/>
                <w:sz w:val="6"/>
              </w:rPr>
              <w:t xml:space="preserve"> </w:t>
            </w:r>
            <w:r>
              <w:rPr>
                <w:rFonts w:ascii="Calibri"/>
                <w:color w:val="231F20"/>
                <w:w w:val="228"/>
                <w:sz w:val="6"/>
              </w:rPr>
              <w:t xml:space="preserve"> </w:t>
            </w:r>
            <w:r>
              <w:rPr>
                <w:rFonts w:ascii="Calibri"/>
                <w:color w:val="231F20"/>
                <w:w w:val="181"/>
                <w:sz w:val="6"/>
              </w:rPr>
              <w:t xml:space="preserve"> </w:t>
            </w:r>
            <w:r>
              <w:rPr>
                <w:rFonts w:ascii="Times New Roman"/>
                <w:color w:val="231F20"/>
                <w:spacing w:val="-1"/>
                <w:sz w:val="6"/>
              </w:rPr>
              <w:t xml:space="preserve"> </w:t>
            </w:r>
            <w:r>
              <w:rPr>
                <w:rFonts w:ascii="Calibri"/>
                <w:color w:val="231F20"/>
                <w:spacing w:val="-1"/>
                <w:w w:val="105"/>
                <w:sz w:val="6"/>
              </w:rPr>
              <w:t xml:space="preserve">  </w:t>
            </w:r>
            <w:r>
              <w:rPr>
                <w:rFonts w:ascii="Calibri"/>
                <w:color w:val="231F20"/>
                <w:w w:val="236"/>
                <w:sz w:val="6"/>
              </w:rPr>
              <w:t xml:space="preserve"> </w:t>
            </w:r>
            <w:r>
              <w:rPr>
                <w:rFonts w:ascii="Calibri"/>
                <w:color w:val="231F20"/>
                <w:spacing w:val="-1"/>
                <w:w w:val="236"/>
                <w:sz w:val="6"/>
              </w:rPr>
              <w:t xml:space="preserve"> </w:t>
            </w:r>
            <w:r>
              <w:rPr>
                <w:rFonts w:ascii="Calibri"/>
                <w:color w:val="231F20"/>
                <w:w w:val="154"/>
                <w:sz w:val="6"/>
              </w:rPr>
              <w:t xml:space="preserve"> </w:t>
            </w:r>
            <w:r>
              <w:rPr>
                <w:rFonts w:ascii="Calibri"/>
                <w:color w:val="231F20"/>
                <w:spacing w:val="-1"/>
                <w:w w:val="241"/>
                <w:sz w:val="6"/>
              </w:rPr>
              <w:t xml:space="preserve"> </w:t>
            </w:r>
            <w:r>
              <w:rPr>
                <w:rFonts w:ascii="Calibri"/>
                <w:color w:val="231F20"/>
                <w:w w:val="105"/>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4CAA54DF" w14:textId="77777777" w:rsidR="00F65BCA" w:rsidRDefault="00F65BCA">
            <w:pPr>
              <w:pStyle w:val="TableParagraph"/>
              <w:spacing w:before="8"/>
              <w:rPr>
                <w:rFonts w:ascii="Calibri"/>
                <w:b/>
                <w:sz w:val="6"/>
              </w:rPr>
            </w:pPr>
          </w:p>
          <w:p w14:paraId="3D86DB65" w14:textId="77777777" w:rsidR="00F65BCA" w:rsidRDefault="00216117">
            <w:pPr>
              <w:pStyle w:val="TableParagraph"/>
              <w:spacing w:line="51" w:lineRule="exact"/>
              <w:ind w:left="1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799B94E5" w14:textId="77777777" w:rsidR="00F65BCA" w:rsidRDefault="00F65BCA">
            <w:pPr>
              <w:pStyle w:val="TableParagraph"/>
              <w:spacing w:before="8"/>
              <w:rPr>
                <w:rFonts w:ascii="Calibri"/>
                <w:b/>
                <w:sz w:val="6"/>
              </w:rPr>
            </w:pPr>
          </w:p>
          <w:p w14:paraId="60AC01E9" w14:textId="77777777" w:rsidR="00F65BCA" w:rsidRDefault="00216117">
            <w:pPr>
              <w:pStyle w:val="TableParagraph"/>
              <w:spacing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41D23710" w14:textId="77777777" w:rsidR="00F65BCA" w:rsidRDefault="00F65BCA">
            <w:pPr>
              <w:pStyle w:val="TableParagraph"/>
              <w:spacing w:before="8"/>
              <w:rPr>
                <w:rFonts w:ascii="Calibri"/>
                <w:b/>
                <w:sz w:val="6"/>
              </w:rPr>
            </w:pPr>
          </w:p>
          <w:p w14:paraId="38973E79" w14:textId="77777777" w:rsidR="00F65BCA" w:rsidRDefault="00216117">
            <w:pPr>
              <w:pStyle w:val="TableParagraph"/>
              <w:spacing w:line="51" w:lineRule="exact"/>
              <w:ind w:left="5"/>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1D4483BF"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687EFD6B"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6ACCD333"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4ECF49DB"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15139FE"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242A7A2D" w14:textId="77777777" w:rsidR="00F65BCA" w:rsidRDefault="00F65BCA">
            <w:pPr>
              <w:pStyle w:val="TableParagraph"/>
              <w:rPr>
                <w:rFonts w:ascii="Times New Roman"/>
                <w:sz w:val="6"/>
              </w:rPr>
            </w:pPr>
          </w:p>
        </w:tc>
      </w:tr>
      <w:tr w:rsidR="00F65BCA" w14:paraId="71976508" w14:textId="77777777">
        <w:trPr>
          <w:trHeight w:val="153"/>
        </w:trPr>
        <w:tc>
          <w:tcPr>
            <w:tcW w:w="166" w:type="dxa"/>
            <w:tcBorders>
              <w:top w:val="single" w:sz="2" w:space="0" w:color="231F20"/>
              <w:bottom w:val="single" w:sz="2" w:space="0" w:color="231F20"/>
              <w:right w:val="single" w:sz="2" w:space="0" w:color="231F20"/>
            </w:tcBorders>
          </w:tcPr>
          <w:p w14:paraId="1CCD030D" w14:textId="77777777" w:rsidR="00F65BCA" w:rsidRDefault="00F65BCA">
            <w:pPr>
              <w:pStyle w:val="TableParagraph"/>
              <w:spacing w:before="8"/>
              <w:rPr>
                <w:rFonts w:ascii="Calibri"/>
                <w:b/>
                <w:sz w:val="6"/>
              </w:rPr>
            </w:pPr>
          </w:p>
          <w:p w14:paraId="7FFAC759"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52BE9DAD" w14:textId="77777777" w:rsidR="00F65BCA" w:rsidRDefault="00F65BCA">
            <w:pPr>
              <w:pStyle w:val="TableParagraph"/>
              <w:spacing w:before="8"/>
              <w:rPr>
                <w:rFonts w:ascii="Calibri"/>
                <w:b/>
                <w:sz w:val="6"/>
              </w:rPr>
            </w:pPr>
          </w:p>
          <w:p w14:paraId="75B3CD23"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0DD1A903" w14:textId="77777777" w:rsidR="00F65BCA" w:rsidRDefault="00F65BCA">
            <w:pPr>
              <w:pStyle w:val="TableParagraph"/>
              <w:spacing w:before="8"/>
              <w:rPr>
                <w:rFonts w:ascii="Calibri"/>
                <w:b/>
                <w:sz w:val="6"/>
              </w:rPr>
            </w:pPr>
          </w:p>
          <w:p w14:paraId="3F4D7DC7"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1ADF2325" w14:textId="77777777" w:rsidR="00F65BCA" w:rsidRDefault="00F65BCA">
            <w:pPr>
              <w:pStyle w:val="TableParagraph"/>
              <w:spacing w:before="8"/>
              <w:rPr>
                <w:rFonts w:ascii="Calibri"/>
                <w:b/>
                <w:sz w:val="6"/>
              </w:rPr>
            </w:pPr>
          </w:p>
          <w:p w14:paraId="7D5412D6"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1D639820" w14:textId="77777777" w:rsidR="00F65BCA" w:rsidRDefault="00F65BCA">
            <w:pPr>
              <w:pStyle w:val="TableParagraph"/>
              <w:spacing w:before="8"/>
              <w:rPr>
                <w:rFonts w:ascii="Calibri"/>
                <w:b/>
                <w:sz w:val="6"/>
              </w:rPr>
            </w:pPr>
          </w:p>
          <w:p w14:paraId="10CFCB2F"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0EB28F76" w14:textId="77777777" w:rsidR="00F65BCA" w:rsidRDefault="00F65BCA">
            <w:pPr>
              <w:pStyle w:val="TableParagraph"/>
              <w:rPr>
                <w:rFonts w:ascii="Times New Roman"/>
                <w:sz w:val="6"/>
              </w:rPr>
            </w:pPr>
          </w:p>
        </w:tc>
        <w:tc>
          <w:tcPr>
            <w:tcW w:w="375" w:type="dxa"/>
            <w:tcBorders>
              <w:top w:val="single" w:sz="2" w:space="0" w:color="231F20"/>
              <w:left w:val="single" w:sz="2" w:space="0" w:color="231F20"/>
              <w:bottom w:val="single" w:sz="2" w:space="0" w:color="231F20"/>
              <w:right w:val="single" w:sz="2" w:space="0" w:color="231F20"/>
            </w:tcBorders>
          </w:tcPr>
          <w:p w14:paraId="73365CFC" w14:textId="77777777" w:rsidR="00F65BCA" w:rsidRDefault="00F65BCA">
            <w:pPr>
              <w:pStyle w:val="TableParagraph"/>
              <w:rPr>
                <w:rFonts w:ascii="Times New Roman"/>
                <w:sz w:val="6"/>
              </w:rPr>
            </w:pPr>
          </w:p>
        </w:tc>
        <w:tc>
          <w:tcPr>
            <w:tcW w:w="663" w:type="dxa"/>
            <w:tcBorders>
              <w:top w:val="single" w:sz="2" w:space="0" w:color="231F20"/>
              <w:left w:val="single" w:sz="2" w:space="0" w:color="231F20"/>
              <w:bottom w:val="single" w:sz="2" w:space="0" w:color="231F20"/>
              <w:right w:val="single" w:sz="2" w:space="0" w:color="231F20"/>
            </w:tcBorders>
          </w:tcPr>
          <w:p w14:paraId="079A1574" w14:textId="77777777" w:rsidR="00F65BCA" w:rsidRDefault="00F65BCA">
            <w:pPr>
              <w:pStyle w:val="TableParagraph"/>
              <w:spacing w:before="8"/>
              <w:rPr>
                <w:rFonts w:ascii="Calibri"/>
                <w:b/>
                <w:sz w:val="6"/>
              </w:rPr>
            </w:pPr>
          </w:p>
          <w:p w14:paraId="3D35B7D1"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50D99B00" w14:textId="77777777" w:rsidR="00F65BCA" w:rsidRDefault="00F65BCA">
            <w:pPr>
              <w:pStyle w:val="TableParagraph"/>
              <w:spacing w:before="8"/>
              <w:rPr>
                <w:rFonts w:ascii="Calibri"/>
                <w:b/>
                <w:sz w:val="6"/>
              </w:rPr>
            </w:pPr>
          </w:p>
          <w:p w14:paraId="471C332E" w14:textId="77777777" w:rsidR="00F65BCA" w:rsidRDefault="00216117">
            <w:pPr>
              <w:pStyle w:val="TableParagraph"/>
              <w:spacing w:line="51" w:lineRule="exact"/>
              <w:ind w:left="9"/>
              <w:rPr>
                <w:rFonts w:ascii="Calibri"/>
                <w:sz w:val="6"/>
              </w:rPr>
            </w:pPr>
            <w:r>
              <w:rPr>
                <w:rFonts w:ascii="Calibri"/>
                <w:color w:val="231F20"/>
                <w:w w:val="163"/>
                <w:sz w:val="6"/>
              </w:rPr>
              <w:t xml:space="preserve"> </w:t>
            </w:r>
            <w:r>
              <w:rPr>
                <w:rFonts w:ascii="Calibri"/>
                <w:color w:val="231F20"/>
                <w:spacing w:val="-1"/>
                <w:w w:val="163"/>
                <w:sz w:val="6"/>
              </w:rPr>
              <w:t xml:space="preserve"> </w:t>
            </w:r>
            <w:r>
              <w:rPr>
                <w:rFonts w:ascii="Calibri"/>
                <w:color w:val="231F20"/>
                <w:spacing w:val="-1"/>
                <w:w w:val="224"/>
                <w:sz w:val="6"/>
              </w:rPr>
              <w:t xml:space="preserve"> </w:t>
            </w:r>
            <w:r>
              <w:rPr>
                <w:rFonts w:ascii="Calibri"/>
                <w:color w:val="231F20"/>
                <w:w w:val="238"/>
                <w:sz w:val="6"/>
              </w:rPr>
              <w:t xml:space="preserve"> </w:t>
            </w:r>
            <w:r>
              <w:rPr>
                <w:rFonts w:ascii="Calibri"/>
                <w:color w:val="231F20"/>
                <w:w w:val="11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1FE43FEF" w14:textId="77777777" w:rsidR="00F65BCA" w:rsidRDefault="00F65BCA">
            <w:pPr>
              <w:pStyle w:val="TableParagraph"/>
              <w:spacing w:before="8"/>
              <w:rPr>
                <w:rFonts w:ascii="Calibri"/>
                <w:b/>
                <w:sz w:val="6"/>
              </w:rPr>
            </w:pPr>
          </w:p>
          <w:p w14:paraId="12756D99" w14:textId="77777777" w:rsidR="00F65BCA" w:rsidRDefault="00216117">
            <w:pPr>
              <w:pStyle w:val="TableParagraph"/>
              <w:spacing w:line="51" w:lineRule="exact"/>
              <w:ind w:left="8"/>
              <w:rPr>
                <w:rFonts w:ascii="Calibri"/>
                <w:sz w:val="6"/>
              </w:rPr>
            </w:pPr>
            <w:r>
              <w:rPr>
                <w:rFonts w:ascii="Calibri"/>
                <w:color w:val="231F20"/>
                <w:spacing w:val="-1"/>
                <w:w w:val="211"/>
                <w:sz w:val="6"/>
              </w:rPr>
              <w:t xml:space="preserve"> </w:t>
            </w:r>
            <w:r>
              <w:rPr>
                <w:rFonts w:ascii="Calibri"/>
                <w:color w:val="231F20"/>
                <w:w w:val="264"/>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3DFA3BC8" w14:textId="77777777" w:rsidR="00F65BCA" w:rsidRDefault="00F65BCA">
            <w:pPr>
              <w:pStyle w:val="TableParagraph"/>
              <w:spacing w:before="8"/>
              <w:rPr>
                <w:rFonts w:ascii="Calibri"/>
                <w:b/>
                <w:sz w:val="6"/>
              </w:rPr>
            </w:pPr>
          </w:p>
          <w:p w14:paraId="43D44026" w14:textId="77777777" w:rsidR="00F65BCA" w:rsidRDefault="00216117">
            <w:pPr>
              <w:pStyle w:val="TableParagraph"/>
              <w:spacing w:line="51" w:lineRule="exact"/>
              <w:ind w:left="7"/>
              <w:rPr>
                <w:rFonts w:ascii="Calibri"/>
                <w:sz w:val="6"/>
              </w:rPr>
            </w:pPr>
            <w:r>
              <w:rPr>
                <w:rFonts w:ascii="Calibri"/>
                <w:color w:val="231F20"/>
                <w:w w:val="317"/>
                <w:sz w:val="6"/>
              </w:rPr>
              <w:t xml:space="preserve">  </w:t>
            </w:r>
            <w:r>
              <w:rPr>
                <w:rFonts w:ascii="Calibri"/>
                <w:color w:val="231F20"/>
                <w:w w:val="198"/>
                <w:sz w:val="6"/>
              </w:rPr>
              <w:t xml:space="preserve">  </w:t>
            </w:r>
            <w:r>
              <w:rPr>
                <w:rFonts w:ascii="Calibri"/>
                <w:color w:val="231F20"/>
                <w:w w:val="90"/>
                <w:sz w:val="6"/>
              </w:rPr>
              <w:t>5 5 5</w:t>
            </w:r>
            <w:r>
              <w:rPr>
                <w:rFonts w:ascii="Calibri"/>
                <w:color w:val="231F20"/>
                <w:w w:val="139"/>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40ADB923" w14:textId="77777777" w:rsidR="00F65BCA" w:rsidRDefault="00F65BCA">
            <w:pPr>
              <w:pStyle w:val="TableParagraph"/>
              <w:spacing w:before="8"/>
              <w:rPr>
                <w:rFonts w:ascii="Calibri"/>
                <w:b/>
                <w:sz w:val="6"/>
              </w:rPr>
            </w:pPr>
          </w:p>
          <w:p w14:paraId="63A44A8E"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30CD176F" w14:textId="77777777" w:rsidR="00F65BCA" w:rsidRDefault="00F65BCA">
            <w:pPr>
              <w:pStyle w:val="TableParagraph"/>
              <w:spacing w:before="8"/>
              <w:rPr>
                <w:rFonts w:ascii="Calibri"/>
                <w:b/>
                <w:sz w:val="6"/>
              </w:rPr>
            </w:pPr>
          </w:p>
          <w:p w14:paraId="4708BBBD"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35172744" w14:textId="77777777" w:rsidR="00F65BCA" w:rsidRDefault="00F65BCA">
            <w:pPr>
              <w:pStyle w:val="TableParagraph"/>
              <w:spacing w:before="8"/>
              <w:rPr>
                <w:rFonts w:ascii="Calibri"/>
                <w:b/>
                <w:sz w:val="6"/>
              </w:rPr>
            </w:pPr>
          </w:p>
          <w:p w14:paraId="544A1ADE"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39F59535" w14:textId="77777777" w:rsidR="00F65BCA" w:rsidRDefault="00F65BCA">
            <w:pPr>
              <w:pStyle w:val="TableParagraph"/>
              <w:spacing w:before="8"/>
              <w:rPr>
                <w:rFonts w:ascii="Calibri"/>
                <w:b/>
                <w:sz w:val="6"/>
              </w:rPr>
            </w:pPr>
          </w:p>
          <w:p w14:paraId="1D69F4F0"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04E65722" w14:textId="77777777" w:rsidR="00F65BCA" w:rsidRDefault="00F65BCA">
            <w:pPr>
              <w:pStyle w:val="TableParagraph"/>
              <w:spacing w:before="8"/>
              <w:rPr>
                <w:rFonts w:ascii="Calibri"/>
                <w:b/>
                <w:sz w:val="6"/>
              </w:rPr>
            </w:pPr>
          </w:p>
          <w:p w14:paraId="13A972D2"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66A68FFE" w14:textId="77777777" w:rsidR="00F65BCA" w:rsidRDefault="00F65BCA">
            <w:pPr>
              <w:pStyle w:val="TableParagraph"/>
              <w:spacing w:before="8"/>
              <w:rPr>
                <w:rFonts w:ascii="Calibri"/>
                <w:b/>
                <w:sz w:val="6"/>
              </w:rPr>
            </w:pPr>
          </w:p>
          <w:p w14:paraId="1EEEFBD6" w14:textId="77777777" w:rsidR="00F65BCA" w:rsidRDefault="00216117">
            <w:pPr>
              <w:pStyle w:val="TableParagraph"/>
              <w:spacing w:line="51"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513FFE2F" w14:textId="77777777" w:rsidR="00F65BCA" w:rsidRDefault="00F65BCA">
            <w:pPr>
              <w:pStyle w:val="TableParagraph"/>
              <w:spacing w:before="8"/>
              <w:rPr>
                <w:rFonts w:ascii="Calibri"/>
                <w:b/>
                <w:sz w:val="6"/>
              </w:rPr>
            </w:pPr>
          </w:p>
          <w:p w14:paraId="1F0728D1"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70B5A84C"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04066BAA" w14:textId="77777777" w:rsidR="00F65BCA" w:rsidRDefault="00F65BCA">
            <w:pPr>
              <w:pStyle w:val="TableParagraph"/>
              <w:rPr>
                <w:rFonts w:ascii="Times New Roman"/>
                <w:sz w:val="6"/>
              </w:rPr>
            </w:pPr>
          </w:p>
        </w:tc>
        <w:tc>
          <w:tcPr>
            <w:tcW w:w="311" w:type="dxa"/>
            <w:tcBorders>
              <w:top w:val="single" w:sz="2" w:space="0" w:color="231F20"/>
              <w:left w:val="single" w:sz="2" w:space="0" w:color="231F20"/>
              <w:bottom w:val="single" w:sz="2" w:space="0" w:color="231F20"/>
              <w:right w:val="single" w:sz="2" w:space="0" w:color="231F20"/>
            </w:tcBorders>
          </w:tcPr>
          <w:p w14:paraId="055D1C92"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601DCF46"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72A5A025" w14:textId="77777777" w:rsidR="00F65BCA" w:rsidRDefault="00F65BCA">
            <w:pPr>
              <w:pStyle w:val="TableParagraph"/>
              <w:rPr>
                <w:rFonts w:ascii="Times New Roman"/>
                <w:sz w:val="6"/>
              </w:rPr>
            </w:pPr>
          </w:p>
        </w:tc>
        <w:tc>
          <w:tcPr>
            <w:tcW w:w="296" w:type="dxa"/>
            <w:tcBorders>
              <w:top w:val="single" w:sz="2" w:space="0" w:color="231F20"/>
              <w:left w:val="single" w:sz="2" w:space="0" w:color="231F20"/>
              <w:bottom w:val="single" w:sz="2" w:space="0" w:color="231F20"/>
              <w:right w:val="single" w:sz="2" w:space="0" w:color="231F20"/>
            </w:tcBorders>
          </w:tcPr>
          <w:p w14:paraId="56FDA4F9" w14:textId="77777777" w:rsidR="00F65BCA" w:rsidRDefault="00F65BCA">
            <w:pPr>
              <w:pStyle w:val="TableParagraph"/>
              <w:rPr>
                <w:rFonts w:ascii="Times New Roman"/>
                <w:sz w:val="6"/>
              </w:rPr>
            </w:pPr>
          </w:p>
        </w:tc>
        <w:tc>
          <w:tcPr>
            <w:tcW w:w="392" w:type="dxa"/>
            <w:tcBorders>
              <w:top w:val="single" w:sz="2" w:space="0" w:color="231F20"/>
              <w:left w:val="single" w:sz="2" w:space="0" w:color="231F20"/>
              <w:bottom w:val="single" w:sz="2" w:space="0" w:color="231F20"/>
              <w:right w:val="single" w:sz="2" w:space="0" w:color="231F20"/>
            </w:tcBorders>
          </w:tcPr>
          <w:p w14:paraId="5BAED646" w14:textId="77777777" w:rsidR="00F65BCA" w:rsidRDefault="00F65BCA">
            <w:pPr>
              <w:pStyle w:val="TableParagraph"/>
              <w:rPr>
                <w:rFonts w:ascii="Times New Roman"/>
                <w:sz w:val="6"/>
              </w:rPr>
            </w:pPr>
          </w:p>
        </w:tc>
        <w:tc>
          <w:tcPr>
            <w:tcW w:w="428" w:type="dxa"/>
            <w:tcBorders>
              <w:top w:val="single" w:sz="2" w:space="0" w:color="231F20"/>
              <w:left w:val="single" w:sz="2" w:space="0" w:color="231F20"/>
              <w:bottom w:val="single" w:sz="2" w:space="0" w:color="231F20"/>
            </w:tcBorders>
          </w:tcPr>
          <w:p w14:paraId="5D5F11E5"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233E6F8F"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D4A93F9"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11B74D3"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55D936D"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61ED8F18" w14:textId="77777777" w:rsidR="00F65BCA" w:rsidRDefault="00F65BCA">
            <w:pPr>
              <w:pStyle w:val="TableParagraph"/>
              <w:rPr>
                <w:rFonts w:ascii="Times New Roman"/>
                <w:sz w:val="6"/>
              </w:rPr>
            </w:pPr>
          </w:p>
        </w:tc>
      </w:tr>
      <w:tr w:rsidR="00F65BCA" w14:paraId="37CDBE5A" w14:textId="77777777">
        <w:trPr>
          <w:trHeight w:val="153"/>
        </w:trPr>
        <w:tc>
          <w:tcPr>
            <w:tcW w:w="166" w:type="dxa"/>
            <w:tcBorders>
              <w:top w:val="single" w:sz="2" w:space="0" w:color="231F20"/>
              <w:bottom w:val="single" w:sz="2" w:space="0" w:color="231F20"/>
              <w:right w:val="single" w:sz="2" w:space="0" w:color="231F20"/>
            </w:tcBorders>
          </w:tcPr>
          <w:p w14:paraId="580BD186" w14:textId="77777777" w:rsidR="00F65BCA" w:rsidRDefault="00F65BCA">
            <w:pPr>
              <w:pStyle w:val="TableParagraph"/>
              <w:spacing w:before="8"/>
              <w:rPr>
                <w:rFonts w:ascii="Calibri"/>
                <w:b/>
                <w:sz w:val="6"/>
              </w:rPr>
            </w:pPr>
          </w:p>
          <w:p w14:paraId="5871F7FE"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27439DD9" w14:textId="77777777" w:rsidR="00F65BCA" w:rsidRDefault="00F65BCA">
            <w:pPr>
              <w:pStyle w:val="TableParagraph"/>
              <w:spacing w:before="8"/>
              <w:rPr>
                <w:rFonts w:ascii="Calibri"/>
                <w:b/>
                <w:sz w:val="6"/>
              </w:rPr>
            </w:pPr>
          </w:p>
          <w:p w14:paraId="680B47C0"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13CC7A41" w14:textId="77777777" w:rsidR="00F65BCA" w:rsidRDefault="00F65BCA">
            <w:pPr>
              <w:pStyle w:val="TableParagraph"/>
              <w:spacing w:before="8"/>
              <w:rPr>
                <w:rFonts w:ascii="Calibri"/>
                <w:b/>
                <w:sz w:val="6"/>
              </w:rPr>
            </w:pPr>
          </w:p>
          <w:p w14:paraId="267AB980"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4D2B2B95" w14:textId="77777777" w:rsidR="00F65BCA" w:rsidRDefault="00F65BCA">
            <w:pPr>
              <w:pStyle w:val="TableParagraph"/>
              <w:spacing w:before="8"/>
              <w:rPr>
                <w:rFonts w:ascii="Calibri"/>
                <w:b/>
                <w:sz w:val="6"/>
              </w:rPr>
            </w:pPr>
          </w:p>
          <w:p w14:paraId="0C33C2EE"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38C9E919" w14:textId="77777777" w:rsidR="00F65BCA" w:rsidRDefault="00F65BCA">
            <w:pPr>
              <w:pStyle w:val="TableParagraph"/>
              <w:spacing w:before="8"/>
              <w:rPr>
                <w:rFonts w:ascii="Calibri"/>
                <w:b/>
                <w:sz w:val="6"/>
              </w:rPr>
            </w:pPr>
          </w:p>
          <w:p w14:paraId="3500263F"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61C80145" w14:textId="77777777" w:rsidR="00F65BCA" w:rsidRDefault="00F65BCA">
            <w:pPr>
              <w:pStyle w:val="TableParagraph"/>
              <w:rPr>
                <w:rFonts w:ascii="Times New Roman"/>
                <w:sz w:val="6"/>
              </w:rPr>
            </w:pPr>
          </w:p>
        </w:tc>
        <w:tc>
          <w:tcPr>
            <w:tcW w:w="375" w:type="dxa"/>
            <w:tcBorders>
              <w:top w:val="single" w:sz="2" w:space="0" w:color="231F20"/>
              <w:left w:val="single" w:sz="2" w:space="0" w:color="231F20"/>
              <w:bottom w:val="single" w:sz="2" w:space="0" w:color="231F20"/>
              <w:right w:val="single" w:sz="2" w:space="0" w:color="231F20"/>
            </w:tcBorders>
          </w:tcPr>
          <w:p w14:paraId="50E5B1B8" w14:textId="77777777" w:rsidR="00F65BCA" w:rsidRDefault="00F65BCA">
            <w:pPr>
              <w:pStyle w:val="TableParagraph"/>
              <w:rPr>
                <w:rFonts w:ascii="Times New Roman"/>
                <w:sz w:val="6"/>
              </w:rPr>
            </w:pPr>
          </w:p>
        </w:tc>
        <w:tc>
          <w:tcPr>
            <w:tcW w:w="663" w:type="dxa"/>
            <w:tcBorders>
              <w:top w:val="single" w:sz="2" w:space="0" w:color="231F20"/>
              <w:left w:val="single" w:sz="2" w:space="0" w:color="231F20"/>
              <w:bottom w:val="single" w:sz="2" w:space="0" w:color="231F20"/>
              <w:right w:val="single" w:sz="2" w:space="0" w:color="231F20"/>
            </w:tcBorders>
          </w:tcPr>
          <w:p w14:paraId="16DFD123" w14:textId="77777777" w:rsidR="00F65BCA" w:rsidRDefault="00F65BCA">
            <w:pPr>
              <w:pStyle w:val="TableParagraph"/>
              <w:spacing w:before="8"/>
              <w:rPr>
                <w:rFonts w:ascii="Calibri"/>
                <w:b/>
                <w:sz w:val="6"/>
              </w:rPr>
            </w:pPr>
          </w:p>
          <w:p w14:paraId="2366F7C5" w14:textId="77777777" w:rsidR="00F65BCA" w:rsidRDefault="00216117">
            <w:pPr>
              <w:pStyle w:val="TableParagraph"/>
              <w:spacing w:line="51" w:lineRule="exact"/>
              <w:ind w:left="10"/>
              <w:rPr>
                <w:rFonts w:ascii="Calibri"/>
                <w:sz w:val="6"/>
              </w:rPr>
            </w:pPr>
            <w:r>
              <w:rPr>
                <w:rFonts w:ascii="Calibri"/>
                <w:color w:val="231F20"/>
                <w:spacing w:val="-1"/>
                <w:w w:val="245"/>
                <w:sz w:val="6"/>
              </w:rPr>
              <w:t xml:space="preserve"> </w:t>
            </w:r>
            <w:r>
              <w:rPr>
                <w:rFonts w:ascii="Calibri"/>
                <w:color w:val="231F20"/>
                <w:w w:val="250"/>
                <w:sz w:val="6"/>
              </w:rPr>
              <w:t xml:space="preserve">   </w:t>
            </w:r>
            <w:r>
              <w:rPr>
                <w:rFonts w:ascii="Calibri"/>
                <w:color w:val="231F20"/>
                <w:w w:val="233"/>
                <w:sz w:val="6"/>
              </w:rPr>
              <w:t xml:space="preserve">         </w:t>
            </w:r>
            <w:r>
              <w:rPr>
                <w:rFonts w:ascii="Calibri"/>
                <w:color w:val="231F20"/>
                <w:w w:val="238"/>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403C020E" w14:textId="77777777" w:rsidR="00F65BCA" w:rsidRDefault="00F65BCA">
            <w:pPr>
              <w:pStyle w:val="TableParagraph"/>
              <w:spacing w:before="8"/>
              <w:rPr>
                <w:rFonts w:ascii="Calibri"/>
                <w:b/>
                <w:sz w:val="6"/>
              </w:rPr>
            </w:pPr>
          </w:p>
          <w:p w14:paraId="5927A37C" w14:textId="77777777" w:rsidR="00F65BCA" w:rsidRDefault="00216117">
            <w:pPr>
              <w:pStyle w:val="TableParagraph"/>
              <w:spacing w:line="51" w:lineRule="exact"/>
              <w:ind w:left="9"/>
              <w:rPr>
                <w:rFonts w:ascii="Calibri"/>
                <w:sz w:val="6"/>
              </w:rPr>
            </w:pPr>
            <w:r>
              <w:rPr>
                <w:rFonts w:ascii="Calibri"/>
                <w:color w:val="231F20"/>
                <w:w w:val="258"/>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spacing w:val="-1"/>
                <w:w w:val="224"/>
                <w:sz w:val="6"/>
              </w:rPr>
              <w:t xml:space="preserve">  </w:t>
            </w:r>
            <w:r>
              <w:rPr>
                <w:rFonts w:ascii="Calibri"/>
                <w:color w:val="231F20"/>
                <w:w w:val="237"/>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60B7A210" w14:textId="77777777" w:rsidR="00F65BCA" w:rsidRDefault="00F65BCA">
            <w:pPr>
              <w:pStyle w:val="TableParagraph"/>
              <w:spacing w:before="8"/>
              <w:rPr>
                <w:rFonts w:ascii="Calibri"/>
                <w:b/>
                <w:sz w:val="6"/>
              </w:rPr>
            </w:pPr>
          </w:p>
          <w:p w14:paraId="7FD12DBB" w14:textId="77777777" w:rsidR="00F65BCA" w:rsidRDefault="00216117">
            <w:pPr>
              <w:pStyle w:val="TableParagraph"/>
              <w:spacing w:line="51" w:lineRule="exact"/>
              <w:ind w:left="8"/>
              <w:rPr>
                <w:rFonts w:ascii="Calibri"/>
                <w:sz w:val="6"/>
              </w:rPr>
            </w:pPr>
            <w:r>
              <w:rPr>
                <w:rFonts w:ascii="Calibri"/>
                <w:color w:val="231F20"/>
                <w:w w:val="235"/>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95"/>
                <w:sz w:val="6"/>
              </w:rPr>
              <w:t xml:space="preserve"> </w:t>
            </w:r>
            <w:r>
              <w:rPr>
                <w:rFonts w:ascii="Calibri"/>
                <w:color w:val="231F20"/>
                <w:spacing w:val="-1"/>
                <w:w w:val="105"/>
                <w:sz w:val="6"/>
              </w:rPr>
              <w:t xml:space="preserve"> </w:t>
            </w:r>
            <w:r>
              <w:rPr>
                <w:rFonts w:ascii="Calibri"/>
                <w:color w:val="231F20"/>
                <w:w w:val="129"/>
                <w:sz w:val="6"/>
              </w:rPr>
              <w:t xml:space="preserve"> </w:t>
            </w:r>
            <w:r>
              <w:rPr>
                <w:rFonts w:ascii="Calibri"/>
                <w:color w:val="231F20"/>
                <w:spacing w:val="-1"/>
                <w:w w:val="129"/>
                <w:sz w:val="6"/>
              </w:rPr>
              <w:t xml:space="preserve"> </w:t>
            </w:r>
            <w:r>
              <w:rPr>
                <w:rFonts w:ascii="Calibri"/>
                <w:color w:val="231F20"/>
                <w:w w:val="367"/>
                <w:sz w:val="6"/>
              </w:rPr>
              <w:t xml:space="preserve"> </w:t>
            </w:r>
            <w:r>
              <w:rPr>
                <w:rFonts w:ascii="Calibri"/>
                <w:color w:val="231F20"/>
                <w:w w:val="201"/>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16D44AAF" w14:textId="77777777" w:rsidR="00F65BCA" w:rsidRDefault="00F65BCA">
            <w:pPr>
              <w:pStyle w:val="TableParagraph"/>
              <w:spacing w:before="8"/>
              <w:rPr>
                <w:rFonts w:ascii="Calibri"/>
                <w:b/>
                <w:sz w:val="6"/>
              </w:rPr>
            </w:pPr>
          </w:p>
          <w:p w14:paraId="6941D6D7" w14:textId="77777777" w:rsidR="00F65BCA" w:rsidRDefault="00216117">
            <w:pPr>
              <w:pStyle w:val="TableParagraph"/>
              <w:spacing w:line="51" w:lineRule="exact"/>
              <w:ind w:left="7"/>
              <w:rPr>
                <w:rFonts w:ascii="Calibri"/>
                <w:sz w:val="6"/>
              </w:rPr>
            </w:pPr>
            <w:r>
              <w:rPr>
                <w:rFonts w:ascii="Calibri"/>
                <w:color w:val="231F20"/>
                <w:w w:val="224"/>
                <w:sz w:val="6"/>
              </w:rPr>
              <w:t xml:space="preserve"> </w:t>
            </w:r>
            <w:r>
              <w:rPr>
                <w:rFonts w:ascii="Calibri"/>
                <w:color w:val="231F20"/>
                <w:w w:val="80"/>
                <w:sz w:val="6"/>
              </w:rPr>
              <w:t>5 5</w:t>
            </w:r>
            <w:r>
              <w:rPr>
                <w:rFonts w:ascii="Times New Roman"/>
                <w:color w:val="231F20"/>
                <w:sz w:val="6"/>
              </w:rPr>
              <w:t xml:space="preserve"> </w:t>
            </w:r>
            <w:r>
              <w:rPr>
                <w:rFonts w:ascii="Calibri"/>
                <w:color w:val="231F20"/>
                <w:w w:val="238"/>
                <w:sz w:val="6"/>
              </w:rPr>
              <w:t xml:space="preserve"> </w:t>
            </w:r>
            <w:r>
              <w:rPr>
                <w:rFonts w:ascii="Calibri"/>
                <w:color w:val="231F20"/>
                <w:w w:val="242"/>
                <w:sz w:val="6"/>
              </w:rPr>
              <w:t xml:space="preserve"> </w:t>
            </w:r>
            <w:r>
              <w:rPr>
                <w:rFonts w:ascii="Calibri"/>
                <w:color w:val="231F20"/>
                <w:w w:val="105"/>
                <w:sz w:val="6"/>
              </w:rPr>
              <w:t xml:space="preserve"> </w:t>
            </w:r>
            <w:r>
              <w:rPr>
                <w:rFonts w:ascii="Calibri"/>
                <w:color w:val="231F20"/>
                <w:w w:val="242"/>
                <w:sz w:val="6"/>
              </w:rPr>
              <w:t xml:space="preserve"> </w:t>
            </w:r>
            <w:r>
              <w:rPr>
                <w:rFonts w:ascii="Calibri"/>
                <w:color w:val="231F20"/>
                <w:w w:val="207"/>
                <w:sz w:val="6"/>
              </w:rPr>
              <w:t xml:space="preserve"> </w:t>
            </w:r>
            <w:r>
              <w:rPr>
                <w:rFonts w:ascii="Calibri"/>
                <w:color w:val="231F20"/>
                <w:w w:val="208"/>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1DDBE9F2" w14:textId="77777777" w:rsidR="00F65BCA" w:rsidRDefault="00F65BCA">
            <w:pPr>
              <w:pStyle w:val="TableParagraph"/>
              <w:spacing w:before="8"/>
              <w:rPr>
                <w:rFonts w:ascii="Calibri"/>
                <w:b/>
                <w:sz w:val="6"/>
              </w:rPr>
            </w:pPr>
          </w:p>
          <w:p w14:paraId="18AABBB6"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68F003F1" w14:textId="77777777" w:rsidR="00F65BCA" w:rsidRDefault="00F65BCA">
            <w:pPr>
              <w:pStyle w:val="TableParagraph"/>
              <w:spacing w:before="8"/>
              <w:rPr>
                <w:rFonts w:ascii="Calibri"/>
                <w:b/>
                <w:sz w:val="6"/>
              </w:rPr>
            </w:pPr>
          </w:p>
          <w:p w14:paraId="5AD411AF"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14B75E50" w14:textId="77777777" w:rsidR="00F65BCA" w:rsidRDefault="00F65BCA">
            <w:pPr>
              <w:pStyle w:val="TableParagraph"/>
              <w:spacing w:before="8"/>
              <w:rPr>
                <w:rFonts w:ascii="Calibri"/>
                <w:b/>
                <w:sz w:val="6"/>
              </w:rPr>
            </w:pPr>
          </w:p>
          <w:p w14:paraId="59A9E094" w14:textId="77777777" w:rsidR="00F65BCA" w:rsidRDefault="00216117">
            <w:pPr>
              <w:pStyle w:val="TableParagraph"/>
              <w:spacing w:line="51" w:lineRule="exact"/>
              <w:ind w:right="15"/>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65196C79" w14:textId="77777777" w:rsidR="00F65BCA" w:rsidRDefault="00F65BCA">
            <w:pPr>
              <w:pStyle w:val="TableParagraph"/>
              <w:spacing w:before="8"/>
              <w:rPr>
                <w:rFonts w:ascii="Calibri"/>
                <w:b/>
                <w:sz w:val="6"/>
              </w:rPr>
            </w:pPr>
          </w:p>
          <w:p w14:paraId="1B634E94" w14:textId="77777777" w:rsidR="00F65BCA" w:rsidRDefault="00216117">
            <w:pPr>
              <w:pStyle w:val="TableParagraph"/>
              <w:spacing w:line="51" w:lineRule="exact"/>
              <w:ind w:right="17"/>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4BCA3777" w14:textId="77777777" w:rsidR="00F65BCA" w:rsidRDefault="00F65BCA">
            <w:pPr>
              <w:pStyle w:val="TableParagraph"/>
              <w:spacing w:before="8"/>
              <w:rPr>
                <w:rFonts w:ascii="Calibri"/>
                <w:b/>
                <w:sz w:val="6"/>
              </w:rPr>
            </w:pPr>
          </w:p>
          <w:p w14:paraId="27BEB6CF" w14:textId="77777777" w:rsidR="00F65BCA" w:rsidRDefault="00216117">
            <w:pPr>
              <w:pStyle w:val="TableParagraph"/>
              <w:spacing w:line="51" w:lineRule="exact"/>
              <w:ind w:right="8"/>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5A77F039" w14:textId="77777777" w:rsidR="00F65BCA" w:rsidRDefault="00F65BCA">
            <w:pPr>
              <w:pStyle w:val="TableParagraph"/>
              <w:spacing w:before="8"/>
              <w:rPr>
                <w:rFonts w:ascii="Calibri"/>
                <w:b/>
                <w:sz w:val="6"/>
              </w:rPr>
            </w:pPr>
          </w:p>
          <w:p w14:paraId="4647B06B" w14:textId="77777777" w:rsidR="00F65BCA" w:rsidRDefault="00216117">
            <w:pPr>
              <w:pStyle w:val="TableParagraph"/>
              <w:spacing w:line="51"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4747E06C" w14:textId="77777777" w:rsidR="00F65BCA" w:rsidRDefault="00F65BCA">
            <w:pPr>
              <w:pStyle w:val="TableParagraph"/>
              <w:spacing w:before="8"/>
              <w:rPr>
                <w:rFonts w:ascii="Calibri"/>
                <w:b/>
                <w:sz w:val="6"/>
              </w:rPr>
            </w:pPr>
          </w:p>
          <w:p w14:paraId="2B796A20"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6BE90DC3"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66C1DE42" w14:textId="77777777" w:rsidR="00F65BCA" w:rsidRDefault="00F65BCA">
            <w:pPr>
              <w:pStyle w:val="TableParagraph"/>
              <w:rPr>
                <w:rFonts w:ascii="Times New Roman"/>
                <w:sz w:val="6"/>
              </w:rPr>
            </w:pPr>
          </w:p>
        </w:tc>
        <w:tc>
          <w:tcPr>
            <w:tcW w:w="311" w:type="dxa"/>
            <w:tcBorders>
              <w:top w:val="single" w:sz="2" w:space="0" w:color="231F20"/>
              <w:left w:val="single" w:sz="2" w:space="0" w:color="231F20"/>
              <w:bottom w:val="single" w:sz="2" w:space="0" w:color="231F20"/>
              <w:right w:val="single" w:sz="2" w:space="0" w:color="231F20"/>
            </w:tcBorders>
          </w:tcPr>
          <w:p w14:paraId="367883E3"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4868633F"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67B4422C" w14:textId="77777777" w:rsidR="00F65BCA" w:rsidRDefault="00F65BCA">
            <w:pPr>
              <w:pStyle w:val="TableParagraph"/>
              <w:rPr>
                <w:rFonts w:ascii="Times New Roman"/>
                <w:sz w:val="6"/>
              </w:rPr>
            </w:pPr>
          </w:p>
        </w:tc>
        <w:tc>
          <w:tcPr>
            <w:tcW w:w="296" w:type="dxa"/>
            <w:tcBorders>
              <w:top w:val="single" w:sz="2" w:space="0" w:color="231F20"/>
              <w:left w:val="single" w:sz="2" w:space="0" w:color="231F20"/>
              <w:bottom w:val="single" w:sz="2" w:space="0" w:color="231F20"/>
              <w:right w:val="single" w:sz="2" w:space="0" w:color="231F20"/>
            </w:tcBorders>
          </w:tcPr>
          <w:p w14:paraId="095B8D78" w14:textId="77777777" w:rsidR="00F65BCA" w:rsidRDefault="00F65BCA">
            <w:pPr>
              <w:pStyle w:val="TableParagraph"/>
              <w:rPr>
                <w:rFonts w:ascii="Times New Roman"/>
                <w:sz w:val="6"/>
              </w:rPr>
            </w:pPr>
          </w:p>
        </w:tc>
        <w:tc>
          <w:tcPr>
            <w:tcW w:w="392" w:type="dxa"/>
            <w:tcBorders>
              <w:top w:val="single" w:sz="2" w:space="0" w:color="231F20"/>
              <w:left w:val="single" w:sz="2" w:space="0" w:color="231F20"/>
              <w:bottom w:val="single" w:sz="2" w:space="0" w:color="231F20"/>
              <w:right w:val="single" w:sz="2" w:space="0" w:color="231F20"/>
            </w:tcBorders>
          </w:tcPr>
          <w:p w14:paraId="184EF542" w14:textId="77777777" w:rsidR="00F65BCA" w:rsidRDefault="00F65BCA">
            <w:pPr>
              <w:pStyle w:val="TableParagraph"/>
              <w:rPr>
                <w:rFonts w:ascii="Times New Roman"/>
                <w:sz w:val="6"/>
              </w:rPr>
            </w:pPr>
          </w:p>
        </w:tc>
        <w:tc>
          <w:tcPr>
            <w:tcW w:w="428" w:type="dxa"/>
            <w:tcBorders>
              <w:top w:val="single" w:sz="2" w:space="0" w:color="231F20"/>
              <w:left w:val="single" w:sz="2" w:space="0" w:color="231F20"/>
              <w:bottom w:val="single" w:sz="2" w:space="0" w:color="231F20"/>
            </w:tcBorders>
          </w:tcPr>
          <w:p w14:paraId="2823B574"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7CF4D9C3"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5852F7A3"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1F31457"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65600533"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2FB46D31" w14:textId="77777777" w:rsidR="00F65BCA" w:rsidRDefault="00F65BCA">
            <w:pPr>
              <w:pStyle w:val="TableParagraph"/>
              <w:rPr>
                <w:rFonts w:ascii="Times New Roman"/>
                <w:sz w:val="6"/>
              </w:rPr>
            </w:pPr>
          </w:p>
        </w:tc>
      </w:tr>
      <w:tr w:rsidR="00F65BCA" w14:paraId="1D5387B0" w14:textId="77777777">
        <w:trPr>
          <w:trHeight w:val="234"/>
        </w:trPr>
        <w:tc>
          <w:tcPr>
            <w:tcW w:w="166" w:type="dxa"/>
            <w:tcBorders>
              <w:top w:val="single" w:sz="2" w:space="0" w:color="231F20"/>
              <w:bottom w:val="single" w:sz="2" w:space="0" w:color="231F20"/>
              <w:right w:val="single" w:sz="2" w:space="0" w:color="231F20"/>
            </w:tcBorders>
          </w:tcPr>
          <w:p w14:paraId="6B0C5C75" w14:textId="77777777" w:rsidR="00F65BCA" w:rsidRDefault="00F65BCA">
            <w:pPr>
              <w:pStyle w:val="TableParagraph"/>
              <w:rPr>
                <w:rFonts w:ascii="Calibri"/>
                <w:b/>
                <w:sz w:val="6"/>
              </w:rPr>
            </w:pPr>
          </w:p>
          <w:p w14:paraId="5443E592" w14:textId="77777777" w:rsidR="00F65BCA" w:rsidRDefault="00F65BCA">
            <w:pPr>
              <w:pStyle w:val="TableParagraph"/>
              <w:spacing w:before="4"/>
              <w:rPr>
                <w:rFonts w:ascii="Calibri"/>
                <w:b/>
                <w:sz w:val="7"/>
              </w:rPr>
            </w:pPr>
          </w:p>
          <w:p w14:paraId="4BCAEFA0" w14:textId="77777777" w:rsidR="00F65BCA" w:rsidRDefault="00216117">
            <w:pPr>
              <w:pStyle w:val="TableParagraph"/>
              <w:spacing w:before="1"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4357A1F2" w14:textId="77777777" w:rsidR="00F65BCA" w:rsidRDefault="00F65BCA">
            <w:pPr>
              <w:pStyle w:val="TableParagraph"/>
              <w:rPr>
                <w:rFonts w:ascii="Calibri"/>
                <w:b/>
                <w:sz w:val="6"/>
              </w:rPr>
            </w:pPr>
          </w:p>
          <w:p w14:paraId="13EC8C12" w14:textId="77777777" w:rsidR="00F65BCA" w:rsidRDefault="00F65BCA">
            <w:pPr>
              <w:pStyle w:val="TableParagraph"/>
              <w:spacing w:before="4"/>
              <w:rPr>
                <w:rFonts w:ascii="Calibri"/>
                <w:b/>
                <w:sz w:val="7"/>
              </w:rPr>
            </w:pPr>
          </w:p>
          <w:p w14:paraId="74C64921" w14:textId="77777777" w:rsidR="00F65BCA" w:rsidRDefault="00216117">
            <w:pPr>
              <w:pStyle w:val="TableParagraph"/>
              <w:spacing w:before="1"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75F078D6" w14:textId="77777777" w:rsidR="00F65BCA" w:rsidRDefault="00F65BCA">
            <w:pPr>
              <w:pStyle w:val="TableParagraph"/>
              <w:rPr>
                <w:rFonts w:ascii="Calibri"/>
                <w:b/>
                <w:sz w:val="6"/>
              </w:rPr>
            </w:pPr>
          </w:p>
          <w:p w14:paraId="2558A1B4" w14:textId="77777777" w:rsidR="00F65BCA" w:rsidRDefault="00F65BCA">
            <w:pPr>
              <w:pStyle w:val="TableParagraph"/>
              <w:spacing w:before="4"/>
              <w:rPr>
                <w:rFonts w:ascii="Calibri"/>
                <w:b/>
                <w:sz w:val="7"/>
              </w:rPr>
            </w:pPr>
          </w:p>
          <w:p w14:paraId="544048E3" w14:textId="77777777" w:rsidR="00F65BCA" w:rsidRDefault="00216117">
            <w:pPr>
              <w:pStyle w:val="TableParagraph"/>
              <w:spacing w:before="1"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413905C8" w14:textId="77777777" w:rsidR="00F65BCA" w:rsidRDefault="00F65BCA">
            <w:pPr>
              <w:pStyle w:val="TableParagraph"/>
              <w:rPr>
                <w:rFonts w:ascii="Calibri"/>
                <w:b/>
                <w:sz w:val="6"/>
              </w:rPr>
            </w:pPr>
          </w:p>
          <w:p w14:paraId="439F90EA" w14:textId="77777777" w:rsidR="00F65BCA" w:rsidRDefault="00F65BCA">
            <w:pPr>
              <w:pStyle w:val="TableParagraph"/>
              <w:spacing w:before="4"/>
              <w:rPr>
                <w:rFonts w:ascii="Calibri"/>
                <w:b/>
                <w:sz w:val="7"/>
              </w:rPr>
            </w:pPr>
          </w:p>
          <w:p w14:paraId="5B8730E1" w14:textId="77777777" w:rsidR="00F65BCA" w:rsidRDefault="00216117">
            <w:pPr>
              <w:pStyle w:val="TableParagraph"/>
              <w:spacing w:before="1"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6C6B19B4" w14:textId="77777777" w:rsidR="00F65BCA" w:rsidRDefault="00F65BCA">
            <w:pPr>
              <w:pStyle w:val="TableParagraph"/>
              <w:rPr>
                <w:rFonts w:ascii="Calibri"/>
                <w:b/>
                <w:sz w:val="6"/>
              </w:rPr>
            </w:pPr>
          </w:p>
          <w:p w14:paraId="63C5F2CB" w14:textId="77777777" w:rsidR="00F65BCA" w:rsidRDefault="00F65BCA">
            <w:pPr>
              <w:pStyle w:val="TableParagraph"/>
              <w:spacing w:before="4"/>
              <w:rPr>
                <w:rFonts w:ascii="Calibri"/>
                <w:b/>
                <w:sz w:val="7"/>
              </w:rPr>
            </w:pPr>
          </w:p>
          <w:p w14:paraId="3C003EDF" w14:textId="77777777" w:rsidR="00F65BCA" w:rsidRDefault="00216117">
            <w:pPr>
              <w:pStyle w:val="TableParagraph"/>
              <w:spacing w:before="1"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7078C4C7" w14:textId="77777777" w:rsidR="00F65BCA" w:rsidRDefault="00F65BCA">
            <w:pPr>
              <w:pStyle w:val="TableParagraph"/>
              <w:rPr>
                <w:rFonts w:ascii="Calibri"/>
                <w:b/>
                <w:sz w:val="6"/>
              </w:rPr>
            </w:pPr>
          </w:p>
          <w:p w14:paraId="64220957" w14:textId="77777777" w:rsidR="00F65BCA" w:rsidRDefault="00F65BCA">
            <w:pPr>
              <w:pStyle w:val="TableParagraph"/>
              <w:spacing w:before="4"/>
              <w:rPr>
                <w:rFonts w:ascii="Calibri"/>
                <w:b/>
                <w:sz w:val="7"/>
              </w:rPr>
            </w:pPr>
          </w:p>
          <w:p w14:paraId="08CD42F9" w14:textId="77777777" w:rsidR="00F65BCA" w:rsidRDefault="00216117">
            <w:pPr>
              <w:pStyle w:val="TableParagraph"/>
              <w:spacing w:before="1" w:line="51" w:lineRule="exact"/>
              <w:ind w:left="12"/>
              <w:rPr>
                <w:rFonts w:ascii="Calibri"/>
                <w:sz w:val="6"/>
              </w:rPr>
            </w:pPr>
            <w:r>
              <w:rPr>
                <w:rFonts w:ascii="Calibri"/>
                <w:color w:val="231F20"/>
                <w:spacing w:val="-1"/>
                <w:w w:val="224"/>
                <w:sz w:val="6"/>
              </w:rPr>
              <w:t xml:space="preserve"> </w:t>
            </w:r>
            <w:r>
              <w:rPr>
                <w:rFonts w:ascii="Calibri"/>
                <w:color w:val="231F20"/>
                <w:spacing w:val="-1"/>
                <w:w w:val="193"/>
                <w:sz w:val="6"/>
              </w:rPr>
              <w:t xml:space="preserve"> </w:t>
            </w:r>
            <w:r>
              <w:rPr>
                <w:rFonts w:ascii="Calibri"/>
                <w:color w:val="231F20"/>
                <w:w w:val="233"/>
                <w:sz w:val="6"/>
              </w:rPr>
              <w:t xml:space="preserve">  </w:t>
            </w:r>
            <w:r>
              <w:rPr>
                <w:rFonts w:ascii="Calibri"/>
                <w:color w:val="231F20"/>
                <w:w w:val="239"/>
                <w:sz w:val="6"/>
              </w:rPr>
              <w:t xml:space="preserve">  </w:t>
            </w:r>
            <w:r>
              <w:rPr>
                <w:rFonts w:ascii="Calibri"/>
                <w:color w:val="231F20"/>
                <w:w w:val="245"/>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458F014E" w14:textId="77777777" w:rsidR="00F65BCA" w:rsidRDefault="00F65BCA">
            <w:pPr>
              <w:pStyle w:val="TableParagraph"/>
              <w:rPr>
                <w:rFonts w:ascii="Calibri"/>
                <w:b/>
                <w:sz w:val="6"/>
              </w:rPr>
            </w:pPr>
          </w:p>
          <w:p w14:paraId="1A31E5AE" w14:textId="77777777" w:rsidR="00F65BCA" w:rsidRDefault="00F65BCA">
            <w:pPr>
              <w:pStyle w:val="TableParagraph"/>
              <w:spacing w:before="4"/>
              <w:rPr>
                <w:rFonts w:ascii="Calibri"/>
                <w:b/>
                <w:sz w:val="7"/>
              </w:rPr>
            </w:pPr>
          </w:p>
          <w:p w14:paraId="0744FD9C" w14:textId="77777777" w:rsidR="00F65BCA" w:rsidRDefault="00216117">
            <w:pPr>
              <w:pStyle w:val="TableParagraph"/>
              <w:spacing w:before="1" w:line="51" w:lineRule="exact"/>
              <w:ind w:left="10"/>
              <w:rPr>
                <w:rFonts w:ascii="Calibri"/>
                <w:sz w:val="6"/>
              </w:rPr>
            </w:pPr>
            <w:r>
              <w:rPr>
                <w:rFonts w:ascii="Calibri"/>
                <w:color w:val="231F20"/>
                <w:w w:val="295"/>
                <w:sz w:val="6"/>
              </w:rPr>
              <w:t xml:space="preserve"> </w:t>
            </w:r>
            <w:r>
              <w:rPr>
                <w:rFonts w:ascii="Calibri"/>
                <w:color w:val="231F20"/>
                <w:w w:val="208"/>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7CC20264" w14:textId="77777777" w:rsidR="00F65BCA" w:rsidRDefault="00F65BCA">
            <w:pPr>
              <w:pStyle w:val="TableParagraph"/>
              <w:rPr>
                <w:rFonts w:ascii="Calibri"/>
                <w:b/>
                <w:sz w:val="6"/>
              </w:rPr>
            </w:pPr>
          </w:p>
          <w:p w14:paraId="39E2A36D" w14:textId="77777777" w:rsidR="00F65BCA" w:rsidRDefault="00F65BCA">
            <w:pPr>
              <w:pStyle w:val="TableParagraph"/>
              <w:spacing w:before="4"/>
              <w:rPr>
                <w:rFonts w:ascii="Calibri"/>
                <w:b/>
                <w:sz w:val="7"/>
              </w:rPr>
            </w:pPr>
          </w:p>
          <w:p w14:paraId="46A4520E" w14:textId="77777777" w:rsidR="00F65BCA" w:rsidRDefault="00216117">
            <w:pPr>
              <w:pStyle w:val="TableParagraph"/>
              <w:spacing w:before="1" w:line="51" w:lineRule="exact"/>
              <w:ind w:left="10"/>
              <w:rPr>
                <w:rFonts w:ascii="Calibri" w:hAnsi="Calibri"/>
                <w:sz w:val="6"/>
              </w:rPr>
            </w:pPr>
            <w:r>
              <w:rPr>
                <w:rFonts w:ascii="Calibri" w:hAnsi="Calibri"/>
                <w:color w:val="231F20"/>
                <w:w w:val="224"/>
                <w:sz w:val="6"/>
              </w:rPr>
              <w:t xml:space="preserve"> </w:t>
            </w:r>
            <w:r>
              <w:rPr>
                <w:rFonts w:ascii="Calibri" w:hAnsi="Calibri"/>
                <w:color w:val="231F20"/>
                <w:w w:val="239"/>
                <w:sz w:val="6"/>
              </w:rPr>
              <w:t xml:space="preserve">   </w:t>
            </w:r>
            <w:r>
              <w:rPr>
                <w:rFonts w:ascii="Calibri" w:hAnsi="Calibri"/>
                <w:color w:val="231F20"/>
                <w:w w:val="240"/>
                <w:sz w:val="6"/>
              </w:rPr>
              <w:t>ý</w:t>
            </w:r>
            <w:r>
              <w:rPr>
                <w:rFonts w:ascii="Calibri" w:hAnsi="Calibri"/>
                <w:color w:val="231F20"/>
                <w:w w:val="233"/>
                <w:sz w:val="6"/>
              </w:rPr>
              <w:t xml:space="preserve"> </w:t>
            </w:r>
            <w:r>
              <w:rPr>
                <w:rFonts w:ascii="Calibri" w:hAnsi="Calibri"/>
                <w:color w:val="231F20"/>
                <w:w w:val="296"/>
                <w:sz w:val="6"/>
              </w:rPr>
              <w:t xml:space="preserve"> </w:t>
            </w:r>
            <w:r>
              <w:rPr>
                <w:rFonts w:ascii="Calibri" w:hAnsi="Calibri"/>
                <w:color w:val="231F20"/>
                <w:w w:val="237"/>
                <w:sz w:val="6"/>
              </w:rPr>
              <w:t xml:space="preserve"> </w:t>
            </w:r>
            <w:r>
              <w:rPr>
                <w:rFonts w:ascii="Calibri" w:hAnsi="Calibri"/>
                <w:color w:val="231F20"/>
                <w:w w:val="233"/>
                <w:sz w:val="6"/>
              </w:rPr>
              <w:t xml:space="preserve"> </w:t>
            </w:r>
            <w:r>
              <w:rPr>
                <w:rFonts w:ascii="Calibri" w:hAnsi="Calibri"/>
                <w:color w:val="231F20"/>
                <w:w w:val="237"/>
                <w:sz w:val="6"/>
              </w:rPr>
              <w:t xml:space="preserve"> </w:t>
            </w:r>
            <w:r>
              <w:rPr>
                <w:rFonts w:ascii="Calibri" w:hAns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28ECCB8A" w14:textId="77777777" w:rsidR="00F65BCA" w:rsidRDefault="00F65BCA">
            <w:pPr>
              <w:pStyle w:val="TableParagraph"/>
              <w:rPr>
                <w:rFonts w:ascii="Calibri"/>
                <w:b/>
                <w:sz w:val="6"/>
              </w:rPr>
            </w:pPr>
          </w:p>
          <w:p w14:paraId="1F49288E" w14:textId="77777777" w:rsidR="00F65BCA" w:rsidRDefault="00F65BCA">
            <w:pPr>
              <w:pStyle w:val="TableParagraph"/>
              <w:spacing w:before="4"/>
              <w:rPr>
                <w:rFonts w:ascii="Calibri"/>
                <w:b/>
                <w:sz w:val="7"/>
              </w:rPr>
            </w:pPr>
          </w:p>
          <w:p w14:paraId="54A584A2" w14:textId="77777777" w:rsidR="00F65BCA" w:rsidRDefault="00216117">
            <w:pPr>
              <w:pStyle w:val="TableParagraph"/>
              <w:spacing w:before="1" w:line="51" w:lineRule="exact"/>
              <w:ind w:left="10"/>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6CDE2BC4" w14:textId="77777777" w:rsidR="00F65BCA" w:rsidRDefault="00F65BCA">
            <w:pPr>
              <w:pStyle w:val="TableParagraph"/>
              <w:spacing w:before="1"/>
              <w:rPr>
                <w:rFonts w:ascii="Calibri"/>
                <w:b/>
                <w:sz w:val="7"/>
              </w:rPr>
            </w:pPr>
          </w:p>
          <w:p w14:paraId="2241F424" w14:textId="77777777" w:rsidR="00F65BCA" w:rsidRDefault="00216117">
            <w:pPr>
              <w:pStyle w:val="TableParagraph"/>
              <w:tabs>
                <w:tab w:val="left" w:leader="hyphen" w:pos="686"/>
              </w:tabs>
              <w:ind w:left="8"/>
              <w:rPr>
                <w:rFonts w:ascii="Calibri"/>
                <w:sz w:val="6"/>
              </w:rPr>
            </w:pPr>
            <w:r>
              <w:rPr>
                <w:rFonts w:ascii="Calibri"/>
                <w:color w:val="231F20"/>
                <w:spacing w:val="-1"/>
                <w:w w:val="211"/>
                <w:sz w:val="6"/>
              </w:rPr>
              <w:t xml:space="preserve"> </w:t>
            </w:r>
            <w:r>
              <w:rPr>
                <w:rFonts w:ascii="Calibri"/>
                <w:color w:val="231F20"/>
                <w:w w:val="295"/>
                <w:sz w:val="6"/>
              </w:rPr>
              <w:t xml:space="preserve"> </w:t>
            </w:r>
            <w:r>
              <w:rPr>
                <w:rFonts w:ascii="Calibri"/>
                <w:color w:val="231F20"/>
                <w:w w:val="237"/>
                <w:sz w:val="6"/>
              </w:rPr>
              <w:t xml:space="preserve"> </w:t>
            </w:r>
            <w:r>
              <w:rPr>
                <w:rFonts w:ascii="Calibri"/>
                <w:color w:val="231F20"/>
                <w:spacing w:val="-1"/>
                <w:w w:val="224"/>
                <w:sz w:val="6"/>
              </w:rPr>
              <w:t xml:space="preserve"> </w:t>
            </w:r>
            <w:r>
              <w:rPr>
                <w:rFonts w:ascii="Calibri"/>
                <w:color w:val="231F20"/>
                <w:w w:val="249"/>
                <w:sz w:val="6"/>
              </w:rPr>
              <w:t xml:space="preserve">  </w:t>
            </w:r>
            <w:r>
              <w:rPr>
                <w:rFonts w:ascii="Times New Roman"/>
                <w:color w:val="231F20"/>
                <w:spacing w:val="-1"/>
                <w:sz w:val="6"/>
              </w:rPr>
              <w:t xml:space="preserve"> </w:t>
            </w:r>
            <w:r>
              <w:rPr>
                <w:rFonts w:ascii="Calibri"/>
                <w:color w:val="231F20"/>
                <w:w w:val="115"/>
                <w:sz w:val="6"/>
              </w:rPr>
              <w:t xml:space="preserve">   </w:t>
            </w:r>
            <w:r>
              <w:rPr>
                <w:rFonts w:ascii="Times New Roman"/>
                <w:color w:val="231F20"/>
                <w:spacing w:val="-1"/>
                <w:sz w:val="6"/>
              </w:rPr>
              <w:t xml:space="preserve"> </w:t>
            </w:r>
            <w:r>
              <w:rPr>
                <w:rFonts w:ascii="Calibri"/>
                <w:color w:val="231F20"/>
                <w:w w:val="207"/>
                <w:sz w:val="6"/>
              </w:rPr>
              <w:t xml:space="preserve"> </w:t>
            </w:r>
            <w:r>
              <w:rPr>
                <w:rFonts w:ascii="Calibri"/>
                <w:color w:val="231F20"/>
                <w:w w:val="211"/>
                <w:sz w:val="6"/>
              </w:rPr>
              <w:t xml:space="preserve">  </w:t>
            </w:r>
            <w:r>
              <w:rPr>
                <w:rFonts w:ascii="Calibri"/>
                <w:color w:val="231F20"/>
                <w:w w:val="197"/>
                <w:sz w:val="6"/>
              </w:rPr>
              <w:t xml:space="preserve"> </w:t>
            </w:r>
            <w:r>
              <w:rPr>
                <w:rFonts w:ascii="Calibri"/>
                <w:color w:val="231F20"/>
                <w:spacing w:val="-1"/>
                <w:w w:val="197"/>
                <w:sz w:val="6"/>
              </w:rPr>
              <w:t xml:space="preserve"> </w:t>
            </w:r>
            <w:r>
              <w:rPr>
                <w:rFonts w:ascii="Calibri"/>
                <w:color w:val="231F20"/>
                <w:w w:val="228"/>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sz w:val="6"/>
              </w:rPr>
              <w:t>5</w:t>
            </w:r>
            <w:r>
              <w:rPr>
                <w:rFonts w:ascii="Calibri"/>
                <w:color w:val="231F20"/>
                <w:sz w:val="6"/>
              </w:rPr>
              <w:tab/>
              <w:t>w 5</w:t>
            </w:r>
            <w:r>
              <w:rPr>
                <w:rFonts w:ascii="Calibri"/>
                <w:color w:val="231F20"/>
                <w:spacing w:val="1"/>
                <w:sz w:val="6"/>
              </w:rPr>
              <w:t xml:space="preserve"> </w:t>
            </w:r>
            <w:r>
              <w:rPr>
                <w:rFonts w:ascii="Calibri"/>
                <w:color w:val="231F20"/>
                <w:sz w:val="6"/>
              </w:rPr>
              <w:t>-</w:t>
            </w:r>
          </w:p>
          <w:p w14:paraId="573FDF52" w14:textId="77777777" w:rsidR="00F65BCA" w:rsidRDefault="00216117">
            <w:pPr>
              <w:pStyle w:val="TableParagraph"/>
              <w:spacing w:before="4" w:line="51" w:lineRule="exact"/>
              <w:ind w:left="8"/>
              <w:rPr>
                <w:rFonts w:ascii="Calibri"/>
                <w:sz w:val="6"/>
              </w:rPr>
            </w:pPr>
            <w:r>
              <w:rPr>
                <w:rFonts w:ascii="Calibri"/>
                <w:color w:val="231F20"/>
                <w:w w:val="194"/>
                <w:sz w:val="6"/>
              </w:rPr>
              <w:t xml:space="preserve">  </w:t>
            </w:r>
            <w:r>
              <w:rPr>
                <w:rFonts w:ascii="Calibri"/>
                <w:color w:val="231F20"/>
                <w:w w:val="187"/>
                <w:sz w:val="6"/>
              </w:rPr>
              <w:t xml:space="preserve">   </w:t>
            </w:r>
            <w:r>
              <w:rPr>
                <w:rFonts w:ascii="Calibri"/>
                <w:color w:val="231F20"/>
                <w:w w:val="367"/>
                <w:sz w:val="6"/>
              </w:rPr>
              <w:t xml:space="preserve"> </w:t>
            </w:r>
            <w:r>
              <w:rPr>
                <w:rFonts w:ascii="Calibri"/>
                <w:color w:val="231F20"/>
                <w:w w:val="241"/>
                <w:sz w:val="6"/>
              </w:rPr>
              <w:t xml:space="preserve"> </w:t>
            </w:r>
            <w:r>
              <w:rPr>
                <w:rFonts w:ascii="Times New Roman"/>
                <w:color w:val="231F20"/>
                <w:sz w:val="6"/>
              </w:rPr>
              <w:t xml:space="preserve"> </w:t>
            </w:r>
            <w:r>
              <w:rPr>
                <w:rFonts w:ascii="Calibri"/>
                <w:color w:val="231F20"/>
                <w:sz w:val="6"/>
              </w:rPr>
              <w:t>n5 h</w:t>
            </w:r>
            <w:r>
              <w:rPr>
                <w:rFonts w:ascii="Calibri"/>
                <w:color w:val="231F20"/>
                <w:w w:val="242"/>
                <w:sz w:val="6"/>
              </w:rPr>
              <w:t xml:space="preserve"> </w:t>
            </w:r>
            <w:r>
              <w:rPr>
                <w:rFonts w:ascii="Times New Roman"/>
                <w:color w:val="231F20"/>
                <w:sz w:val="6"/>
              </w:rPr>
              <w:t xml:space="preserve"> </w:t>
            </w:r>
            <w:r>
              <w:rPr>
                <w:rFonts w:ascii="Calibri"/>
                <w:color w:val="231F20"/>
                <w:w w:val="160"/>
                <w:sz w:val="6"/>
              </w:rPr>
              <w:t xml:space="preserve"> </w:t>
            </w:r>
            <w:r>
              <w:rPr>
                <w:rFonts w:ascii="Calibri"/>
                <w:color w:val="231F20"/>
                <w:w w:val="105"/>
                <w:sz w:val="6"/>
              </w:rPr>
              <w:t xml:space="preserve"> </w:t>
            </w:r>
            <w:r>
              <w:rPr>
                <w:rFonts w:ascii="Calibri"/>
                <w:color w:val="231F20"/>
                <w:w w:val="205"/>
                <w:sz w:val="6"/>
              </w:rPr>
              <w:t xml:space="preserve">  </w:t>
            </w:r>
            <w:r>
              <w:rPr>
                <w:rFonts w:ascii="Calibri"/>
                <w:color w:val="231F20"/>
                <w:w w:val="241"/>
                <w:sz w:val="6"/>
              </w:rPr>
              <w:t xml:space="preserve"> </w:t>
            </w:r>
            <w:r>
              <w:rPr>
                <w:rFonts w:ascii="Calibri"/>
                <w:color w:val="231F20"/>
                <w:w w:val="10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48672940" w14:textId="77777777" w:rsidR="00F65BCA" w:rsidRDefault="00F65BCA">
            <w:pPr>
              <w:pStyle w:val="TableParagraph"/>
              <w:rPr>
                <w:rFonts w:ascii="Calibri"/>
                <w:b/>
                <w:sz w:val="6"/>
              </w:rPr>
            </w:pPr>
          </w:p>
          <w:p w14:paraId="38A65BA2" w14:textId="77777777" w:rsidR="00F65BCA" w:rsidRDefault="00F65BCA">
            <w:pPr>
              <w:pStyle w:val="TableParagraph"/>
              <w:spacing w:before="4"/>
              <w:rPr>
                <w:rFonts w:ascii="Calibri"/>
                <w:b/>
                <w:sz w:val="7"/>
              </w:rPr>
            </w:pPr>
          </w:p>
          <w:p w14:paraId="61163875" w14:textId="77777777" w:rsidR="00F65BCA" w:rsidRDefault="00216117">
            <w:pPr>
              <w:pStyle w:val="TableParagraph"/>
              <w:spacing w:before="1"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2C80BBD8" w14:textId="77777777" w:rsidR="00F65BCA" w:rsidRDefault="00F65BCA">
            <w:pPr>
              <w:pStyle w:val="TableParagraph"/>
              <w:rPr>
                <w:rFonts w:ascii="Calibri"/>
                <w:b/>
                <w:sz w:val="6"/>
              </w:rPr>
            </w:pPr>
          </w:p>
          <w:p w14:paraId="61B3110D" w14:textId="77777777" w:rsidR="00F65BCA" w:rsidRDefault="00F65BCA">
            <w:pPr>
              <w:pStyle w:val="TableParagraph"/>
              <w:spacing w:before="4"/>
              <w:rPr>
                <w:rFonts w:ascii="Calibri"/>
                <w:b/>
                <w:sz w:val="7"/>
              </w:rPr>
            </w:pPr>
          </w:p>
          <w:p w14:paraId="2DA219C8" w14:textId="77777777" w:rsidR="00F65BCA" w:rsidRDefault="00216117">
            <w:pPr>
              <w:pStyle w:val="TableParagraph"/>
              <w:spacing w:before="1" w:line="51" w:lineRule="exact"/>
              <w:ind w:right="20"/>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3EC3E360" w14:textId="77777777" w:rsidR="00F65BCA" w:rsidRDefault="00F65BCA">
            <w:pPr>
              <w:pStyle w:val="TableParagraph"/>
              <w:rPr>
                <w:rFonts w:ascii="Calibri"/>
                <w:b/>
                <w:sz w:val="6"/>
              </w:rPr>
            </w:pPr>
          </w:p>
          <w:p w14:paraId="7BF6ABEB" w14:textId="77777777" w:rsidR="00F65BCA" w:rsidRDefault="00F65BCA">
            <w:pPr>
              <w:pStyle w:val="TableParagraph"/>
              <w:spacing w:before="4"/>
              <w:rPr>
                <w:rFonts w:ascii="Calibri"/>
                <w:b/>
                <w:sz w:val="7"/>
              </w:rPr>
            </w:pPr>
          </w:p>
          <w:p w14:paraId="412E529A" w14:textId="77777777" w:rsidR="00F65BCA" w:rsidRDefault="00216117">
            <w:pPr>
              <w:pStyle w:val="TableParagraph"/>
              <w:spacing w:before="1" w:line="51" w:lineRule="exact"/>
              <w:ind w:left="4"/>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2923BE14" w14:textId="77777777" w:rsidR="00F65BCA" w:rsidRDefault="00F65BCA">
            <w:pPr>
              <w:pStyle w:val="TableParagraph"/>
              <w:rPr>
                <w:rFonts w:ascii="Calibri"/>
                <w:b/>
                <w:sz w:val="6"/>
              </w:rPr>
            </w:pPr>
          </w:p>
          <w:p w14:paraId="5B3FE0D4" w14:textId="77777777" w:rsidR="00F65BCA" w:rsidRDefault="00F65BCA">
            <w:pPr>
              <w:pStyle w:val="TableParagraph"/>
              <w:spacing w:before="4"/>
              <w:rPr>
                <w:rFonts w:ascii="Calibri"/>
                <w:b/>
                <w:sz w:val="7"/>
              </w:rPr>
            </w:pPr>
          </w:p>
          <w:p w14:paraId="3CA0FD82" w14:textId="77777777" w:rsidR="00F65BCA" w:rsidRDefault="00216117">
            <w:pPr>
              <w:pStyle w:val="TableParagraph"/>
              <w:spacing w:before="1" w:line="51" w:lineRule="exact"/>
              <w:ind w:left="4"/>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072A2B90" w14:textId="77777777" w:rsidR="00F65BCA" w:rsidRDefault="00F65BCA">
            <w:pPr>
              <w:pStyle w:val="TableParagraph"/>
              <w:rPr>
                <w:rFonts w:ascii="Calibri"/>
                <w:b/>
                <w:sz w:val="6"/>
              </w:rPr>
            </w:pPr>
          </w:p>
          <w:p w14:paraId="77D5E3CA" w14:textId="77777777" w:rsidR="00F65BCA" w:rsidRDefault="00F65BCA">
            <w:pPr>
              <w:pStyle w:val="TableParagraph"/>
              <w:spacing w:before="4"/>
              <w:rPr>
                <w:rFonts w:ascii="Calibri"/>
                <w:b/>
                <w:sz w:val="7"/>
              </w:rPr>
            </w:pPr>
          </w:p>
          <w:p w14:paraId="6390AA3A" w14:textId="77777777" w:rsidR="00F65BCA" w:rsidRDefault="00216117">
            <w:pPr>
              <w:pStyle w:val="TableParagraph"/>
              <w:spacing w:before="1" w:line="51" w:lineRule="exact"/>
              <w:ind w:left="4"/>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3FDF5800" w14:textId="77777777" w:rsidR="00F65BCA" w:rsidRDefault="00F65BCA">
            <w:pPr>
              <w:pStyle w:val="TableParagraph"/>
              <w:rPr>
                <w:rFonts w:ascii="Calibri"/>
                <w:b/>
                <w:sz w:val="6"/>
              </w:rPr>
            </w:pPr>
          </w:p>
          <w:p w14:paraId="763FC52C" w14:textId="77777777" w:rsidR="00F65BCA" w:rsidRDefault="00F65BCA">
            <w:pPr>
              <w:pStyle w:val="TableParagraph"/>
              <w:spacing w:before="4"/>
              <w:rPr>
                <w:rFonts w:ascii="Calibri"/>
                <w:b/>
                <w:sz w:val="7"/>
              </w:rPr>
            </w:pPr>
          </w:p>
          <w:p w14:paraId="077C2CA3" w14:textId="77777777" w:rsidR="00F65BCA" w:rsidRDefault="00216117">
            <w:pPr>
              <w:pStyle w:val="TableParagraph"/>
              <w:spacing w:before="1" w:line="51" w:lineRule="exact"/>
              <w:ind w:right="10"/>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41C9223C" w14:textId="77777777" w:rsidR="00F65BCA" w:rsidRDefault="00F65BCA">
            <w:pPr>
              <w:pStyle w:val="TableParagraph"/>
              <w:spacing w:before="1"/>
              <w:rPr>
                <w:rFonts w:ascii="Calibri"/>
                <w:b/>
                <w:sz w:val="7"/>
              </w:rPr>
            </w:pPr>
          </w:p>
          <w:p w14:paraId="5C333A67" w14:textId="77777777" w:rsidR="00F65BCA" w:rsidRDefault="00216117">
            <w:pPr>
              <w:pStyle w:val="TableParagraph"/>
              <w:ind w:left="19"/>
              <w:rPr>
                <w:rFonts w:ascii="Calibri"/>
                <w:sz w:val="6"/>
              </w:rPr>
            </w:pPr>
            <w:r>
              <w:rPr>
                <w:rFonts w:ascii="Calibri"/>
                <w:color w:val="231F20"/>
                <w:w w:val="247"/>
                <w:sz w:val="6"/>
              </w:rPr>
              <w:t xml:space="preserve">  </w:t>
            </w:r>
            <w:r>
              <w:rPr>
                <w:rFonts w:ascii="Calibri"/>
                <w:color w:val="231F20"/>
                <w:w w:val="241"/>
                <w:sz w:val="6"/>
              </w:rPr>
              <w:t xml:space="preserve"> </w:t>
            </w:r>
            <w:r>
              <w:rPr>
                <w:rFonts w:ascii="Calibri"/>
                <w:color w:val="231F20"/>
                <w:sz w:val="6"/>
              </w:rPr>
              <w:t xml:space="preserve">5 </w:t>
            </w:r>
            <w:r>
              <w:rPr>
                <w:rFonts w:ascii="Calibri"/>
                <w:color w:val="231F20"/>
                <w:w w:val="140"/>
                <w:sz w:val="6"/>
              </w:rPr>
              <w:t>r</w:t>
            </w:r>
            <w:r>
              <w:rPr>
                <w:rFonts w:ascii="Calibri"/>
                <w:color w:val="231F20"/>
                <w:w w:val="241"/>
                <w:sz w:val="6"/>
              </w:rPr>
              <w:t xml:space="preserve"> </w:t>
            </w:r>
            <w:r>
              <w:rPr>
                <w:rFonts w:ascii="Calibri"/>
                <w:color w:val="231F20"/>
                <w:w w:val="105"/>
                <w:sz w:val="6"/>
              </w:rPr>
              <w:t xml:space="preserve"> </w:t>
            </w:r>
          </w:p>
          <w:p w14:paraId="34545CC2" w14:textId="77777777" w:rsidR="00F65BCA" w:rsidRDefault="00216117">
            <w:pPr>
              <w:pStyle w:val="TableParagraph"/>
              <w:spacing w:before="4" w:line="51" w:lineRule="exact"/>
              <w:ind w:left="67"/>
              <w:rPr>
                <w:rFonts w:ascii="Calibri"/>
                <w:sz w:val="6"/>
              </w:rPr>
            </w:pPr>
            <w:r>
              <w:rPr>
                <w:rFonts w:ascii="Calibri"/>
                <w:color w:val="231F20"/>
                <w:spacing w:val="-1"/>
                <w:w w:val="139"/>
                <w:sz w:val="6"/>
              </w:rPr>
              <w:t xml:space="preserve"> </w:t>
            </w:r>
            <w:r>
              <w:rPr>
                <w:rFonts w:ascii="Calibri"/>
                <w:color w:val="231F20"/>
                <w:w w:val="234"/>
                <w:sz w:val="6"/>
              </w:rPr>
              <w:t xml:space="preserve">  </w:t>
            </w:r>
            <w:r>
              <w:rPr>
                <w:rFonts w:ascii="Calibri"/>
                <w:color w:val="231F20"/>
                <w:spacing w:val="-1"/>
                <w:w w:val="234"/>
                <w:sz w:val="6"/>
              </w:rPr>
              <w:t xml:space="preserve"> </w:t>
            </w:r>
            <w:r>
              <w:rPr>
                <w:rFonts w:ascii="Calibri"/>
                <w:color w:val="231F20"/>
                <w:w w:val="139"/>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23774210" w14:textId="77777777" w:rsidR="00F65BCA" w:rsidRDefault="00F65BCA">
            <w:pPr>
              <w:pStyle w:val="TableParagraph"/>
              <w:rPr>
                <w:rFonts w:ascii="Calibri"/>
                <w:b/>
                <w:sz w:val="6"/>
              </w:rPr>
            </w:pPr>
          </w:p>
          <w:p w14:paraId="312E3382" w14:textId="77777777" w:rsidR="00F65BCA" w:rsidRDefault="00F65BCA">
            <w:pPr>
              <w:pStyle w:val="TableParagraph"/>
              <w:spacing w:before="4"/>
              <w:rPr>
                <w:rFonts w:ascii="Calibri"/>
                <w:b/>
                <w:sz w:val="7"/>
              </w:rPr>
            </w:pPr>
          </w:p>
          <w:p w14:paraId="547AD7F2" w14:textId="77777777" w:rsidR="00F65BCA" w:rsidRDefault="00216117">
            <w:pPr>
              <w:pStyle w:val="TableParagraph"/>
              <w:spacing w:before="1"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07BB30F7" w14:textId="77777777" w:rsidR="00F65BCA" w:rsidRDefault="00F65BCA">
            <w:pPr>
              <w:pStyle w:val="TableParagraph"/>
              <w:rPr>
                <w:rFonts w:ascii="Calibri"/>
                <w:b/>
                <w:sz w:val="6"/>
              </w:rPr>
            </w:pPr>
          </w:p>
          <w:p w14:paraId="3352233C" w14:textId="77777777" w:rsidR="00F65BCA" w:rsidRDefault="00F65BCA">
            <w:pPr>
              <w:pStyle w:val="TableParagraph"/>
              <w:spacing w:before="4"/>
              <w:rPr>
                <w:rFonts w:ascii="Calibri"/>
                <w:b/>
                <w:sz w:val="7"/>
              </w:rPr>
            </w:pPr>
          </w:p>
          <w:p w14:paraId="711E94C7" w14:textId="77777777" w:rsidR="00F65BCA" w:rsidRDefault="00216117">
            <w:pPr>
              <w:pStyle w:val="TableParagraph"/>
              <w:spacing w:before="1" w:line="51" w:lineRule="exact"/>
              <w:ind w:right="48"/>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3D3E8A48" w14:textId="77777777" w:rsidR="00F65BCA" w:rsidRDefault="00F65BCA">
            <w:pPr>
              <w:pStyle w:val="TableParagraph"/>
              <w:rPr>
                <w:rFonts w:ascii="Calibri"/>
                <w:b/>
                <w:sz w:val="6"/>
              </w:rPr>
            </w:pPr>
          </w:p>
          <w:p w14:paraId="234BCCE4" w14:textId="77777777" w:rsidR="00F65BCA" w:rsidRDefault="00F65BCA">
            <w:pPr>
              <w:pStyle w:val="TableParagraph"/>
              <w:spacing w:before="4"/>
              <w:rPr>
                <w:rFonts w:ascii="Calibri"/>
                <w:b/>
                <w:sz w:val="7"/>
              </w:rPr>
            </w:pPr>
          </w:p>
          <w:p w14:paraId="2E000D69" w14:textId="77777777" w:rsidR="00F65BCA" w:rsidRDefault="00216117">
            <w:pPr>
              <w:pStyle w:val="TableParagraph"/>
              <w:spacing w:before="1"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530F5307" w14:textId="77777777" w:rsidR="00F65BCA" w:rsidRDefault="00F65BCA">
            <w:pPr>
              <w:pStyle w:val="TableParagraph"/>
              <w:rPr>
                <w:rFonts w:ascii="Calibri"/>
                <w:b/>
                <w:sz w:val="6"/>
              </w:rPr>
            </w:pPr>
          </w:p>
          <w:p w14:paraId="0DF1243D" w14:textId="77777777" w:rsidR="00F65BCA" w:rsidRDefault="00F65BCA">
            <w:pPr>
              <w:pStyle w:val="TableParagraph"/>
              <w:spacing w:before="4"/>
              <w:rPr>
                <w:rFonts w:ascii="Calibri"/>
                <w:b/>
                <w:sz w:val="7"/>
              </w:rPr>
            </w:pPr>
          </w:p>
          <w:p w14:paraId="7707F2D3" w14:textId="77777777" w:rsidR="00F65BCA" w:rsidRDefault="00216117">
            <w:pPr>
              <w:pStyle w:val="TableParagraph"/>
              <w:spacing w:before="1"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06FB917A" w14:textId="77777777" w:rsidR="00F65BCA" w:rsidRDefault="00F65BCA">
            <w:pPr>
              <w:pStyle w:val="TableParagraph"/>
              <w:rPr>
                <w:rFonts w:ascii="Calibri"/>
                <w:b/>
                <w:sz w:val="6"/>
              </w:rPr>
            </w:pPr>
          </w:p>
          <w:p w14:paraId="7C089C81" w14:textId="77777777" w:rsidR="00F65BCA" w:rsidRDefault="00F65BCA">
            <w:pPr>
              <w:pStyle w:val="TableParagraph"/>
              <w:spacing w:before="4"/>
              <w:rPr>
                <w:rFonts w:ascii="Calibri"/>
                <w:b/>
                <w:sz w:val="7"/>
              </w:rPr>
            </w:pPr>
          </w:p>
          <w:p w14:paraId="716900FD" w14:textId="77777777" w:rsidR="00F65BCA" w:rsidRDefault="00216117">
            <w:pPr>
              <w:pStyle w:val="TableParagraph"/>
              <w:spacing w:before="1" w:line="51" w:lineRule="exact"/>
              <w:ind w:right="24"/>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6457DB20" w14:textId="77777777" w:rsidR="00F65BCA" w:rsidRDefault="00F65BCA">
            <w:pPr>
              <w:pStyle w:val="TableParagraph"/>
              <w:rPr>
                <w:rFonts w:ascii="Calibri"/>
                <w:b/>
                <w:sz w:val="6"/>
              </w:rPr>
            </w:pPr>
          </w:p>
          <w:p w14:paraId="197E4626" w14:textId="77777777" w:rsidR="00F65BCA" w:rsidRDefault="00F65BCA">
            <w:pPr>
              <w:pStyle w:val="TableParagraph"/>
              <w:spacing w:before="4"/>
              <w:rPr>
                <w:rFonts w:ascii="Calibri"/>
                <w:b/>
                <w:sz w:val="7"/>
              </w:rPr>
            </w:pPr>
          </w:p>
          <w:p w14:paraId="1C55EC62" w14:textId="77777777" w:rsidR="00F65BCA" w:rsidRDefault="00216117">
            <w:pPr>
              <w:pStyle w:val="TableParagraph"/>
              <w:spacing w:before="1"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275A3781" w14:textId="77777777" w:rsidR="00F65BCA" w:rsidRDefault="00F65BCA">
            <w:pPr>
              <w:pStyle w:val="TableParagraph"/>
              <w:rPr>
                <w:rFonts w:ascii="Calibri"/>
                <w:b/>
                <w:sz w:val="6"/>
              </w:rPr>
            </w:pPr>
          </w:p>
          <w:p w14:paraId="4B1029C7" w14:textId="77777777" w:rsidR="00F65BCA" w:rsidRDefault="00F65BCA">
            <w:pPr>
              <w:pStyle w:val="TableParagraph"/>
              <w:spacing w:before="4"/>
              <w:rPr>
                <w:rFonts w:ascii="Calibri"/>
                <w:b/>
                <w:sz w:val="7"/>
              </w:rPr>
            </w:pPr>
          </w:p>
          <w:p w14:paraId="461F8FEF" w14:textId="77777777" w:rsidR="00F65BCA" w:rsidRDefault="00216117">
            <w:pPr>
              <w:pStyle w:val="TableParagraph"/>
              <w:spacing w:before="1"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43E19918" w14:textId="77777777" w:rsidR="00F65BCA" w:rsidRDefault="00F65BCA">
            <w:pPr>
              <w:pStyle w:val="TableParagraph"/>
              <w:rPr>
                <w:rFonts w:ascii="Calibri"/>
                <w:b/>
                <w:sz w:val="6"/>
              </w:rPr>
            </w:pPr>
          </w:p>
          <w:p w14:paraId="40BAFC52" w14:textId="77777777" w:rsidR="00F65BCA" w:rsidRDefault="00F65BCA">
            <w:pPr>
              <w:pStyle w:val="TableParagraph"/>
              <w:spacing w:before="4"/>
              <w:rPr>
                <w:rFonts w:ascii="Calibri"/>
                <w:b/>
                <w:sz w:val="7"/>
              </w:rPr>
            </w:pPr>
          </w:p>
          <w:p w14:paraId="606E9E05" w14:textId="77777777" w:rsidR="00F65BCA" w:rsidRDefault="00216117">
            <w:pPr>
              <w:pStyle w:val="TableParagraph"/>
              <w:spacing w:before="1"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0EB1038E"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37E21AFB"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7831D217"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A55C46D"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375D5E0B"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13ED9AAC" w14:textId="77777777" w:rsidR="00F65BCA" w:rsidRDefault="00F65BCA">
            <w:pPr>
              <w:pStyle w:val="TableParagraph"/>
              <w:rPr>
                <w:rFonts w:ascii="Times New Roman"/>
                <w:sz w:val="6"/>
              </w:rPr>
            </w:pPr>
          </w:p>
        </w:tc>
      </w:tr>
      <w:tr w:rsidR="00F65BCA" w14:paraId="675A3374" w14:textId="77777777">
        <w:trPr>
          <w:trHeight w:val="234"/>
        </w:trPr>
        <w:tc>
          <w:tcPr>
            <w:tcW w:w="166" w:type="dxa"/>
            <w:tcBorders>
              <w:top w:val="single" w:sz="2" w:space="0" w:color="231F20"/>
              <w:bottom w:val="single" w:sz="2" w:space="0" w:color="231F20"/>
              <w:right w:val="single" w:sz="2" w:space="0" w:color="231F20"/>
            </w:tcBorders>
          </w:tcPr>
          <w:p w14:paraId="28891E31" w14:textId="77777777" w:rsidR="00F65BCA" w:rsidRDefault="00F65BCA">
            <w:pPr>
              <w:pStyle w:val="TableParagraph"/>
              <w:rPr>
                <w:rFonts w:ascii="Calibri"/>
                <w:b/>
                <w:sz w:val="6"/>
              </w:rPr>
            </w:pPr>
          </w:p>
          <w:p w14:paraId="2F57FA92" w14:textId="77777777" w:rsidR="00F65BCA" w:rsidRDefault="00F65BCA">
            <w:pPr>
              <w:pStyle w:val="TableParagraph"/>
              <w:spacing w:before="4"/>
              <w:rPr>
                <w:rFonts w:ascii="Calibri"/>
                <w:b/>
                <w:sz w:val="7"/>
              </w:rPr>
            </w:pPr>
          </w:p>
          <w:p w14:paraId="5D34726D" w14:textId="77777777" w:rsidR="00F65BCA" w:rsidRDefault="00216117">
            <w:pPr>
              <w:pStyle w:val="TableParagraph"/>
              <w:spacing w:before="1"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4016B310" w14:textId="77777777" w:rsidR="00F65BCA" w:rsidRDefault="00F65BCA">
            <w:pPr>
              <w:pStyle w:val="TableParagraph"/>
              <w:rPr>
                <w:rFonts w:ascii="Calibri"/>
                <w:b/>
                <w:sz w:val="6"/>
              </w:rPr>
            </w:pPr>
          </w:p>
          <w:p w14:paraId="41E04321" w14:textId="77777777" w:rsidR="00F65BCA" w:rsidRDefault="00F65BCA">
            <w:pPr>
              <w:pStyle w:val="TableParagraph"/>
              <w:spacing w:before="4"/>
              <w:rPr>
                <w:rFonts w:ascii="Calibri"/>
                <w:b/>
                <w:sz w:val="7"/>
              </w:rPr>
            </w:pPr>
          </w:p>
          <w:p w14:paraId="537C2C6B" w14:textId="77777777" w:rsidR="00F65BCA" w:rsidRDefault="00216117">
            <w:pPr>
              <w:pStyle w:val="TableParagraph"/>
              <w:spacing w:before="1"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5DC0E022" w14:textId="77777777" w:rsidR="00F65BCA" w:rsidRDefault="00F65BCA">
            <w:pPr>
              <w:pStyle w:val="TableParagraph"/>
              <w:rPr>
                <w:rFonts w:ascii="Calibri"/>
                <w:b/>
                <w:sz w:val="6"/>
              </w:rPr>
            </w:pPr>
          </w:p>
          <w:p w14:paraId="4B635B55" w14:textId="77777777" w:rsidR="00F65BCA" w:rsidRDefault="00F65BCA">
            <w:pPr>
              <w:pStyle w:val="TableParagraph"/>
              <w:spacing w:before="4"/>
              <w:rPr>
                <w:rFonts w:ascii="Calibri"/>
                <w:b/>
                <w:sz w:val="7"/>
              </w:rPr>
            </w:pPr>
          </w:p>
          <w:p w14:paraId="3DB3A3B2" w14:textId="77777777" w:rsidR="00F65BCA" w:rsidRDefault="00216117">
            <w:pPr>
              <w:pStyle w:val="TableParagraph"/>
              <w:spacing w:before="1"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2F9BB902" w14:textId="77777777" w:rsidR="00F65BCA" w:rsidRDefault="00F65BCA">
            <w:pPr>
              <w:pStyle w:val="TableParagraph"/>
              <w:rPr>
                <w:rFonts w:ascii="Calibri"/>
                <w:b/>
                <w:sz w:val="6"/>
              </w:rPr>
            </w:pPr>
          </w:p>
          <w:p w14:paraId="0415574C" w14:textId="77777777" w:rsidR="00F65BCA" w:rsidRDefault="00F65BCA">
            <w:pPr>
              <w:pStyle w:val="TableParagraph"/>
              <w:spacing w:before="4"/>
              <w:rPr>
                <w:rFonts w:ascii="Calibri"/>
                <w:b/>
                <w:sz w:val="7"/>
              </w:rPr>
            </w:pPr>
          </w:p>
          <w:p w14:paraId="41C2C2B8" w14:textId="77777777" w:rsidR="00F65BCA" w:rsidRDefault="00216117">
            <w:pPr>
              <w:pStyle w:val="TableParagraph"/>
              <w:spacing w:before="1"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67B4EAF4" w14:textId="77777777" w:rsidR="00F65BCA" w:rsidRDefault="00F65BCA">
            <w:pPr>
              <w:pStyle w:val="TableParagraph"/>
              <w:rPr>
                <w:rFonts w:ascii="Calibri"/>
                <w:b/>
                <w:sz w:val="6"/>
              </w:rPr>
            </w:pPr>
          </w:p>
          <w:p w14:paraId="22A671E0" w14:textId="77777777" w:rsidR="00F65BCA" w:rsidRDefault="00F65BCA">
            <w:pPr>
              <w:pStyle w:val="TableParagraph"/>
              <w:spacing w:before="4"/>
              <w:rPr>
                <w:rFonts w:ascii="Calibri"/>
                <w:b/>
                <w:sz w:val="7"/>
              </w:rPr>
            </w:pPr>
          </w:p>
          <w:p w14:paraId="666B730B" w14:textId="77777777" w:rsidR="00F65BCA" w:rsidRDefault="00216117">
            <w:pPr>
              <w:pStyle w:val="TableParagraph"/>
              <w:spacing w:before="1"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43295093" w14:textId="77777777" w:rsidR="00F65BCA" w:rsidRDefault="00F65BCA">
            <w:pPr>
              <w:pStyle w:val="TableParagraph"/>
              <w:rPr>
                <w:rFonts w:ascii="Calibri"/>
                <w:b/>
                <w:sz w:val="6"/>
              </w:rPr>
            </w:pPr>
          </w:p>
          <w:p w14:paraId="2305009B" w14:textId="77777777" w:rsidR="00F65BCA" w:rsidRDefault="00F65BCA">
            <w:pPr>
              <w:pStyle w:val="TableParagraph"/>
              <w:spacing w:before="4"/>
              <w:rPr>
                <w:rFonts w:ascii="Calibri"/>
                <w:b/>
                <w:sz w:val="7"/>
              </w:rPr>
            </w:pPr>
          </w:p>
          <w:p w14:paraId="11F4EEB0" w14:textId="77777777" w:rsidR="00F65BCA" w:rsidRDefault="00216117">
            <w:pPr>
              <w:pStyle w:val="TableParagraph"/>
              <w:spacing w:before="1" w:line="51" w:lineRule="exact"/>
              <w:ind w:left="12"/>
              <w:rPr>
                <w:rFonts w:ascii="Calibri"/>
                <w:sz w:val="6"/>
              </w:rPr>
            </w:pPr>
            <w:r>
              <w:rPr>
                <w:rFonts w:ascii="Calibri"/>
                <w:color w:val="231F20"/>
                <w:spacing w:val="-1"/>
                <w:w w:val="224"/>
                <w:sz w:val="6"/>
              </w:rPr>
              <w:t xml:space="preserve"> </w:t>
            </w:r>
            <w:r>
              <w:rPr>
                <w:rFonts w:ascii="Calibri"/>
                <w:color w:val="231F20"/>
                <w:spacing w:val="-1"/>
                <w:w w:val="193"/>
                <w:sz w:val="6"/>
              </w:rPr>
              <w:t xml:space="preserve"> </w:t>
            </w:r>
            <w:r>
              <w:rPr>
                <w:rFonts w:ascii="Calibri"/>
                <w:color w:val="231F20"/>
                <w:w w:val="233"/>
                <w:sz w:val="6"/>
              </w:rPr>
              <w:t xml:space="preserve">   </w:t>
            </w:r>
            <w:r>
              <w:rPr>
                <w:rFonts w:ascii="Calibri"/>
                <w:color w:val="231F20"/>
                <w:spacing w:val="-1"/>
                <w:w w:val="245"/>
                <w:sz w:val="6"/>
              </w:rPr>
              <w:t xml:space="preserve"> </w:t>
            </w:r>
            <w:r>
              <w:rPr>
                <w:rFonts w:ascii="Calibri"/>
                <w:color w:val="231F20"/>
                <w:w w:val="245"/>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7C758823" w14:textId="77777777" w:rsidR="00F65BCA" w:rsidRDefault="00F65BCA">
            <w:pPr>
              <w:pStyle w:val="TableParagraph"/>
              <w:rPr>
                <w:rFonts w:ascii="Calibri"/>
                <w:b/>
                <w:sz w:val="6"/>
              </w:rPr>
            </w:pPr>
          </w:p>
          <w:p w14:paraId="43F49B61" w14:textId="77777777" w:rsidR="00F65BCA" w:rsidRDefault="00F65BCA">
            <w:pPr>
              <w:pStyle w:val="TableParagraph"/>
              <w:spacing w:before="4"/>
              <w:rPr>
                <w:rFonts w:ascii="Calibri"/>
                <w:b/>
                <w:sz w:val="7"/>
              </w:rPr>
            </w:pPr>
          </w:p>
          <w:p w14:paraId="19F9AB09" w14:textId="77777777" w:rsidR="00F65BCA" w:rsidRDefault="00216117">
            <w:pPr>
              <w:pStyle w:val="TableParagraph"/>
              <w:spacing w:before="1" w:line="51" w:lineRule="exact"/>
              <w:ind w:left="10"/>
              <w:rPr>
                <w:rFonts w:ascii="Calibri"/>
                <w:sz w:val="6"/>
              </w:rPr>
            </w:pPr>
            <w:r>
              <w:rPr>
                <w:rFonts w:ascii="Calibri"/>
                <w:color w:val="231F20"/>
                <w:w w:val="295"/>
                <w:sz w:val="6"/>
              </w:rPr>
              <w:t xml:space="preserve"> </w:t>
            </w:r>
            <w:r>
              <w:rPr>
                <w:rFonts w:ascii="Calibri"/>
                <w:color w:val="231F20"/>
                <w:w w:val="199"/>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1A234719" w14:textId="77777777" w:rsidR="00F65BCA" w:rsidRDefault="00F65BCA">
            <w:pPr>
              <w:pStyle w:val="TableParagraph"/>
              <w:rPr>
                <w:rFonts w:ascii="Calibri"/>
                <w:b/>
                <w:sz w:val="6"/>
              </w:rPr>
            </w:pPr>
          </w:p>
          <w:p w14:paraId="566B40DB" w14:textId="77777777" w:rsidR="00F65BCA" w:rsidRDefault="00F65BCA">
            <w:pPr>
              <w:pStyle w:val="TableParagraph"/>
              <w:spacing w:before="4"/>
              <w:rPr>
                <w:rFonts w:ascii="Calibri"/>
                <w:b/>
                <w:sz w:val="7"/>
              </w:rPr>
            </w:pPr>
          </w:p>
          <w:p w14:paraId="6BA3E2EE" w14:textId="77777777" w:rsidR="00F65BCA" w:rsidRDefault="00216117">
            <w:pPr>
              <w:pStyle w:val="TableParagraph"/>
              <w:spacing w:before="1" w:line="51" w:lineRule="exact"/>
              <w:ind w:left="10"/>
              <w:rPr>
                <w:rFonts w:ascii="Calibri" w:hAnsi="Calibri"/>
                <w:sz w:val="6"/>
              </w:rPr>
            </w:pPr>
            <w:r>
              <w:rPr>
                <w:rFonts w:ascii="Calibri" w:hAnsi="Calibri"/>
                <w:color w:val="231F20"/>
                <w:w w:val="224"/>
                <w:sz w:val="6"/>
              </w:rPr>
              <w:t xml:space="preserve"> </w:t>
            </w:r>
            <w:r>
              <w:rPr>
                <w:rFonts w:ascii="Calibri" w:hAnsi="Calibri"/>
                <w:color w:val="231F20"/>
                <w:w w:val="263"/>
                <w:sz w:val="6"/>
              </w:rPr>
              <w:t xml:space="preserve">   </w:t>
            </w:r>
            <w:r>
              <w:rPr>
                <w:rFonts w:ascii="Calibri" w:hAnsi="Calibri"/>
                <w:color w:val="231F20"/>
                <w:w w:val="205"/>
                <w:sz w:val="6"/>
              </w:rPr>
              <w:t>ý</w:t>
            </w:r>
            <w:r>
              <w:rPr>
                <w:rFonts w:ascii="Calibri" w:hAnsi="Calibri"/>
                <w:color w:val="231F20"/>
                <w:w w:val="233"/>
                <w:sz w:val="6"/>
              </w:rPr>
              <w:t xml:space="preserve"> </w:t>
            </w:r>
            <w:r>
              <w:rPr>
                <w:rFonts w:ascii="Calibri" w:hAnsi="Calibri"/>
                <w:color w:val="231F20"/>
                <w:w w:val="296"/>
                <w:sz w:val="6"/>
              </w:rPr>
              <w:t xml:space="preserve"> </w:t>
            </w:r>
            <w:r>
              <w:rPr>
                <w:rFonts w:ascii="Calibri" w:hAnsi="Calibri"/>
                <w:color w:val="231F20"/>
                <w:w w:val="237"/>
                <w:sz w:val="6"/>
              </w:rPr>
              <w:t xml:space="preserve"> </w:t>
            </w:r>
            <w:r>
              <w:rPr>
                <w:rFonts w:ascii="Calibri" w:hAnsi="Calibri"/>
                <w:color w:val="231F20"/>
                <w:w w:val="235"/>
                <w:sz w:val="6"/>
              </w:rPr>
              <w:t xml:space="preserve">  </w:t>
            </w:r>
            <w:r>
              <w:rPr>
                <w:rFonts w:ascii="Calibri" w:hAns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0945A858" w14:textId="77777777" w:rsidR="00F65BCA" w:rsidRDefault="00F65BCA">
            <w:pPr>
              <w:pStyle w:val="TableParagraph"/>
              <w:rPr>
                <w:rFonts w:ascii="Calibri"/>
                <w:b/>
                <w:sz w:val="6"/>
              </w:rPr>
            </w:pPr>
          </w:p>
          <w:p w14:paraId="5057F064" w14:textId="77777777" w:rsidR="00F65BCA" w:rsidRDefault="00F65BCA">
            <w:pPr>
              <w:pStyle w:val="TableParagraph"/>
              <w:spacing w:before="4"/>
              <w:rPr>
                <w:rFonts w:ascii="Calibri"/>
                <w:b/>
                <w:sz w:val="7"/>
              </w:rPr>
            </w:pPr>
          </w:p>
          <w:p w14:paraId="58ADFD8D" w14:textId="77777777" w:rsidR="00F65BCA" w:rsidRDefault="00216117">
            <w:pPr>
              <w:pStyle w:val="TableParagraph"/>
              <w:spacing w:before="1" w:line="51" w:lineRule="exact"/>
              <w:ind w:left="10"/>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25E4E02B" w14:textId="77777777" w:rsidR="00F65BCA" w:rsidRDefault="00F65BCA">
            <w:pPr>
              <w:pStyle w:val="TableParagraph"/>
              <w:spacing w:before="1"/>
              <w:rPr>
                <w:rFonts w:ascii="Calibri"/>
                <w:b/>
                <w:sz w:val="7"/>
              </w:rPr>
            </w:pPr>
          </w:p>
          <w:p w14:paraId="58789235" w14:textId="77777777" w:rsidR="00F65BCA" w:rsidRDefault="00216117">
            <w:pPr>
              <w:pStyle w:val="TableParagraph"/>
              <w:tabs>
                <w:tab w:val="left" w:leader="hyphen" w:pos="686"/>
              </w:tabs>
              <w:ind w:left="8"/>
              <w:rPr>
                <w:rFonts w:ascii="Calibri"/>
                <w:sz w:val="6"/>
              </w:rPr>
            </w:pPr>
            <w:r>
              <w:rPr>
                <w:rFonts w:ascii="Calibri"/>
                <w:color w:val="231F20"/>
                <w:spacing w:val="-1"/>
                <w:w w:val="211"/>
                <w:sz w:val="6"/>
              </w:rPr>
              <w:t xml:space="preserve"> </w:t>
            </w:r>
            <w:r>
              <w:rPr>
                <w:rFonts w:ascii="Calibri"/>
                <w:color w:val="231F20"/>
                <w:w w:val="295"/>
                <w:sz w:val="6"/>
              </w:rPr>
              <w:t xml:space="preserve"> </w:t>
            </w:r>
            <w:r>
              <w:rPr>
                <w:rFonts w:ascii="Calibri"/>
                <w:color w:val="231F20"/>
                <w:w w:val="237"/>
                <w:sz w:val="6"/>
              </w:rPr>
              <w:t xml:space="preserve"> </w:t>
            </w:r>
            <w:r>
              <w:rPr>
                <w:rFonts w:ascii="Calibri"/>
                <w:color w:val="231F20"/>
                <w:spacing w:val="-1"/>
                <w:w w:val="224"/>
                <w:sz w:val="6"/>
              </w:rPr>
              <w:t xml:space="preserve"> </w:t>
            </w:r>
            <w:r>
              <w:rPr>
                <w:rFonts w:ascii="Calibri"/>
                <w:color w:val="231F20"/>
                <w:w w:val="249"/>
                <w:sz w:val="6"/>
              </w:rPr>
              <w:t xml:space="preserve">  </w:t>
            </w:r>
            <w:r>
              <w:rPr>
                <w:rFonts w:ascii="Times New Roman"/>
                <w:color w:val="231F20"/>
                <w:spacing w:val="-1"/>
                <w:sz w:val="6"/>
              </w:rPr>
              <w:t xml:space="preserve"> </w:t>
            </w:r>
            <w:r>
              <w:rPr>
                <w:rFonts w:ascii="Calibri"/>
                <w:color w:val="231F20"/>
                <w:w w:val="115"/>
                <w:sz w:val="6"/>
              </w:rPr>
              <w:t xml:space="preserve">   </w:t>
            </w:r>
            <w:r>
              <w:rPr>
                <w:rFonts w:ascii="Times New Roman"/>
                <w:color w:val="231F20"/>
                <w:spacing w:val="-1"/>
                <w:sz w:val="6"/>
              </w:rPr>
              <w:t xml:space="preserve"> </w:t>
            </w:r>
            <w:r>
              <w:rPr>
                <w:rFonts w:ascii="Calibri"/>
                <w:color w:val="231F20"/>
                <w:w w:val="207"/>
                <w:sz w:val="6"/>
              </w:rPr>
              <w:t xml:space="preserve"> </w:t>
            </w:r>
            <w:r>
              <w:rPr>
                <w:rFonts w:ascii="Calibri"/>
                <w:color w:val="231F20"/>
                <w:w w:val="194"/>
                <w:sz w:val="6"/>
              </w:rPr>
              <w:t xml:space="preserve"> </w:t>
            </w:r>
            <w:r>
              <w:rPr>
                <w:rFonts w:ascii="Calibri"/>
                <w:color w:val="231F20"/>
                <w:w w:val="228"/>
                <w:sz w:val="6"/>
              </w:rPr>
              <w:t xml:space="preserve"> </w:t>
            </w:r>
            <w:r>
              <w:rPr>
                <w:rFonts w:ascii="Calibri"/>
                <w:color w:val="231F20"/>
                <w:w w:val="197"/>
                <w:sz w:val="6"/>
              </w:rPr>
              <w:t xml:space="preserve"> </w:t>
            </w:r>
            <w:r>
              <w:rPr>
                <w:rFonts w:ascii="Calibri"/>
                <w:color w:val="231F20"/>
                <w:spacing w:val="-1"/>
                <w:w w:val="197"/>
                <w:sz w:val="6"/>
              </w:rPr>
              <w:t xml:space="preserve"> </w:t>
            </w:r>
            <w:r>
              <w:rPr>
                <w:rFonts w:ascii="Calibri"/>
                <w:color w:val="231F20"/>
                <w:w w:val="228"/>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sz w:val="6"/>
              </w:rPr>
              <w:t>5</w:t>
            </w:r>
            <w:r>
              <w:rPr>
                <w:rFonts w:ascii="Calibri"/>
                <w:color w:val="231F20"/>
                <w:sz w:val="6"/>
              </w:rPr>
              <w:tab/>
              <w:t>w 5</w:t>
            </w:r>
            <w:r>
              <w:rPr>
                <w:rFonts w:ascii="Calibri"/>
                <w:color w:val="231F20"/>
                <w:spacing w:val="1"/>
                <w:sz w:val="6"/>
              </w:rPr>
              <w:t xml:space="preserve"> </w:t>
            </w:r>
            <w:r>
              <w:rPr>
                <w:rFonts w:ascii="Calibri"/>
                <w:color w:val="231F20"/>
                <w:sz w:val="6"/>
              </w:rPr>
              <w:t>-</w:t>
            </w:r>
          </w:p>
          <w:p w14:paraId="248DEB20" w14:textId="77777777" w:rsidR="00F65BCA" w:rsidRDefault="00216117">
            <w:pPr>
              <w:pStyle w:val="TableParagraph"/>
              <w:spacing w:before="4" w:line="51" w:lineRule="exact"/>
              <w:ind w:left="8"/>
              <w:rPr>
                <w:rFonts w:ascii="Calibri"/>
                <w:sz w:val="6"/>
              </w:rPr>
            </w:pPr>
            <w:r>
              <w:rPr>
                <w:rFonts w:ascii="Calibri"/>
                <w:color w:val="231F20"/>
                <w:w w:val="194"/>
                <w:sz w:val="6"/>
              </w:rPr>
              <w:t xml:space="preserve">  </w:t>
            </w:r>
            <w:r>
              <w:rPr>
                <w:rFonts w:ascii="Calibri"/>
                <w:color w:val="231F20"/>
                <w:w w:val="187"/>
                <w:sz w:val="6"/>
              </w:rPr>
              <w:t xml:space="preserve">   </w:t>
            </w:r>
            <w:r>
              <w:rPr>
                <w:rFonts w:ascii="Calibri"/>
                <w:color w:val="231F20"/>
                <w:w w:val="304"/>
                <w:sz w:val="6"/>
              </w:rPr>
              <w:t xml:space="preserve">  </w:t>
            </w:r>
            <w:r>
              <w:rPr>
                <w:rFonts w:ascii="Times New Roman"/>
                <w:color w:val="231F20"/>
                <w:sz w:val="6"/>
              </w:rPr>
              <w:t xml:space="preserve"> </w:t>
            </w:r>
            <w:r>
              <w:rPr>
                <w:rFonts w:ascii="Calibri"/>
                <w:color w:val="231F20"/>
                <w:sz w:val="6"/>
              </w:rPr>
              <w:t>n5 h</w:t>
            </w:r>
            <w:r>
              <w:rPr>
                <w:rFonts w:ascii="Calibri"/>
                <w:color w:val="231F20"/>
                <w:w w:val="242"/>
                <w:sz w:val="6"/>
              </w:rPr>
              <w:t xml:space="preserve"> </w:t>
            </w:r>
            <w:r>
              <w:rPr>
                <w:rFonts w:ascii="Times New Roman"/>
                <w:color w:val="231F20"/>
                <w:sz w:val="6"/>
              </w:rPr>
              <w:t xml:space="preserve"> </w:t>
            </w:r>
            <w:r>
              <w:rPr>
                <w:rFonts w:ascii="Calibri"/>
                <w:color w:val="231F20"/>
                <w:w w:val="160"/>
                <w:sz w:val="6"/>
              </w:rPr>
              <w:t xml:space="preserve"> </w:t>
            </w:r>
            <w:r>
              <w:rPr>
                <w:rFonts w:ascii="Calibri"/>
                <w:color w:val="231F20"/>
                <w:w w:val="105"/>
                <w:sz w:val="6"/>
              </w:rPr>
              <w:t xml:space="preserve"> </w:t>
            </w:r>
            <w:r>
              <w:rPr>
                <w:rFonts w:ascii="Calibri"/>
                <w:color w:val="231F20"/>
                <w:w w:val="205"/>
                <w:sz w:val="6"/>
              </w:rPr>
              <w:t xml:space="preserve">  </w:t>
            </w:r>
            <w:r>
              <w:rPr>
                <w:rFonts w:ascii="Calibri"/>
                <w:color w:val="231F20"/>
                <w:w w:val="241"/>
                <w:sz w:val="6"/>
              </w:rPr>
              <w:t xml:space="preserve"> </w:t>
            </w:r>
            <w:r>
              <w:rPr>
                <w:rFonts w:ascii="Calibri"/>
                <w:color w:val="231F20"/>
                <w:w w:val="10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7381E55E" w14:textId="77777777" w:rsidR="00F65BCA" w:rsidRDefault="00F65BCA">
            <w:pPr>
              <w:pStyle w:val="TableParagraph"/>
              <w:rPr>
                <w:rFonts w:ascii="Calibri"/>
                <w:b/>
                <w:sz w:val="6"/>
              </w:rPr>
            </w:pPr>
          </w:p>
          <w:p w14:paraId="59493092" w14:textId="77777777" w:rsidR="00F65BCA" w:rsidRDefault="00F65BCA">
            <w:pPr>
              <w:pStyle w:val="TableParagraph"/>
              <w:spacing w:before="4"/>
              <w:rPr>
                <w:rFonts w:ascii="Calibri"/>
                <w:b/>
                <w:sz w:val="7"/>
              </w:rPr>
            </w:pPr>
          </w:p>
          <w:p w14:paraId="67D940C1" w14:textId="77777777" w:rsidR="00F65BCA" w:rsidRDefault="00216117">
            <w:pPr>
              <w:pStyle w:val="TableParagraph"/>
              <w:spacing w:before="1"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149625A6" w14:textId="77777777" w:rsidR="00F65BCA" w:rsidRDefault="00F65BCA">
            <w:pPr>
              <w:pStyle w:val="TableParagraph"/>
              <w:rPr>
                <w:rFonts w:ascii="Calibri"/>
                <w:b/>
                <w:sz w:val="6"/>
              </w:rPr>
            </w:pPr>
          </w:p>
          <w:p w14:paraId="5F2F1C9B" w14:textId="77777777" w:rsidR="00F65BCA" w:rsidRDefault="00F65BCA">
            <w:pPr>
              <w:pStyle w:val="TableParagraph"/>
              <w:spacing w:before="4"/>
              <w:rPr>
                <w:rFonts w:ascii="Calibri"/>
                <w:b/>
                <w:sz w:val="7"/>
              </w:rPr>
            </w:pPr>
          </w:p>
          <w:p w14:paraId="2D695534" w14:textId="77777777" w:rsidR="00F65BCA" w:rsidRDefault="00216117">
            <w:pPr>
              <w:pStyle w:val="TableParagraph"/>
              <w:spacing w:before="1" w:line="51" w:lineRule="exact"/>
              <w:ind w:right="20"/>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3CF67F23" w14:textId="77777777" w:rsidR="00F65BCA" w:rsidRDefault="00F65BCA">
            <w:pPr>
              <w:pStyle w:val="TableParagraph"/>
              <w:rPr>
                <w:rFonts w:ascii="Calibri"/>
                <w:b/>
                <w:sz w:val="6"/>
              </w:rPr>
            </w:pPr>
          </w:p>
          <w:p w14:paraId="577833FC" w14:textId="77777777" w:rsidR="00F65BCA" w:rsidRDefault="00F65BCA">
            <w:pPr>
              <w:pStyle w:val="TableParagraph"/>
              <w:spacing w:before="4"/>
              <w:rPr>
                <w:rFonts w:ascii="Calibri"/>
                <w:b/>
                <w:sz w:val="7"/>
              </w:rPr>
            </w:pPr>
          </w:p>
          <w:p w14:paraId="396F3552" w14:textId="77777777" w:rsidR="00F65BCA" w:rsidRDefault="00216117">
            <w:pPr>
              <w:pStyle w:val="TableParagraph"/>
              <w:spacing w:before="1" w:line="51" w:lineRule="exact"/>
              <w:ind w:left="4"/>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7A5D5E68" w14:textId="77777777" w:rsidR="00F65BCA" w:rsidRDefault="00F65BCA">
            <w:pPr>
              <w:pStyle w:val="TableParagraph"/>
              <w:rPr>
                <w:rFonts w:ascii="Calibri"/>
                <w:b/>
                <w:sz w:val="6"/>
              </w:rPr>
            </w:pPr>
          </w:p>
          <w:p w14:paraId="6AFBB0E4" w14:textId="77777777" w:rsidR="00F65BCA" w:rsidRDefault="00F65BCA">
            <w:pPr>
              <w:pStyle w:val="TableParagraph"/>
              <w:spacing w:before="4"/>
              <w:rPr>
                <w:rFonts w:ascii="Calibri"/>
                <w:b/>
                <w:sz w:val="7"/>
              </w:rPr>
            </w:pPr>
          </w:p>
          <w:p w14:paraId="54BE176F" w14:textId="77777777" w:rsidR="00F65BCA" w:rsidRDefault="00216117">
            <w:pPr>
              <w:pStyle w:val="TableParagraph"/>
              <w:spacing w:before="1" w:line="51" w:lineRule="exact"/>
              <w:ind w:left="4"/>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1B95D9DD" w14:textId="77777777" w:rsidR="00F65BCA" w:rsidRDefault="00F65BCA">
            <w:pPr>
              <w:pStyle w:val="TableParagraph"/>
              <w:rPr>
                <w:rFonts w:ascii="Calibri"/>
                <w:b/>
                <w:sz w:val="6"/>
              </w:rPr>
            </w:pPr>
          </w:p>
          <w:p w14:paraId="5ED3B346" w14:textId="77777777" w:rsidR="00F65BCA" w:rsidRDefault="00F65BCA">
            <w:pPr>
              <w:pStyle w:val="TableParagraph"/>
              <w:spacing w:before="4"/>
              <w:rPr>
                <w:rFonts w:ascii="Calibri"/>
                <w:b/>
                <w:sz w:val="7"/>
              </w:rPr>
            </w:pPr>
          </w:p>
          <w:p w14:paraId="7A9162E9" w14:textId="77777777" w:rsidR="00F65BCA" w:rsidRDefault="00216117">
            <w:pPr>
              <w:pStyle w:val="TableParagraph"/>
              <w:spacing w:before="1" w:line="51" w:lineRule="exact"/>
              <w:ind w:left="3"/>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368C86B9" w14:textId="77777777" w:rsidR="00F65BCA" w:rsidRDefault="00F65BCA">
            <w:pPr>
              <w:pStyle w:val="TableParagraph"/>
              <w:rPr>
                <w:rFonts w:ascii="Calibri"/>
                <w:b/>
                <w:sz w:val="6"/>
              </w:rPr>
            </w:pPr>
          </w:p>
          <w:p w14:paraId="48192745" w14:textId="77777777" w:rsidR="00F65BCA" w:rsidRDefault="00F65BCA">
            <w:pPr>
              <w:pStyle w:val="TableParagraph"/>
              <w:spacing w:before="4"/>
              <w:rPr>
                <w:rFonts w:ascii="Calibri"/>
                <w:b/>
                <w:sz w:val="7"/>
              </w:rPr>
            </w:pPr>
          </w:p>
          <w:p w14:paraId="08046786" w14:textId="77777777" w:rsidR="00F65BCA" w:rsidRDefault="00216117">
            <w:pPr>
              <w:pStyle w:val="TableParagraph"/>
              <w:spacing w:before="1" w:line="51" w:lineRule="exact"/>
              <w:ind w:right="10"/>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2C0430E9" w14:textId="77777777" w:rsidR="00F65BCA" w:rsidRDefault="00F65BCA">
            <w:pPr>
              <w:pStyle w:val="TableParagraph"/>
              <w:spacing w:before="1"/>
              <w:rPr>
                <w:rFonts w:ascii="Calibri"/>
                <w:b/>
                <w:sz w:val="7"/>
              </w:rPr>
            </w:pPr>
          </w:p>
          <w:p w14:paraId="37D51B15" w14:textId="77777777" w:rsidR="00F65BCA" w:rsidRDefault="00216117">
            <w:pPr>
              <w:pStyle w:val="TableParagraph"/>
              <w:ind w:left="18"/>
              <w:rPr>
                <w:rFonts w:ascii="Calibri"/>
                <w:sz w:val="6"/>
              </w:rPr>
            </w:pPr>
            <w:r>
              <w:rPr>
                <w:rFonts w:ascii="Calibri"/>
                <w:color w:val="231F20"/>
                <w:w w:val="247"/>
                <w:sz w:val="6"/>
              </w:rPr>
              <w:t xml:space="preserve">  </w:t>
            </w:r>
            <w:r>
              <w:rPr>
                <w:rFonts w:ascii="Calibri"/>
                <w:color w:val="231F20"/>
                <w:w w:val="241"/>
                <w:sz w:val="6"/>
              </w:rPr>
              <w:t xml:space="preserve"> </w:t>
            </w:r>
            <w:r>
              <w:rPr>
                <w:rFonts w:ascii="Calibri"/>
                <w:color w:val="231F20"/>
                <w:sz w:val="6"/>
              </w:rPr>
              <w:t xml:space="preserve">5 </w:t>
            </w:r>
            <w:r>
              <w:rPr>
                <w:rFonts w:ascii="Calibri"/>
                <w:color w:val="231F20"/>
                <w:w w:val="140"/>
                <w:sz w:val="6"/>
              </w:rPr>
              <w:t>r</w:t>
            </w:r>
            <w:r>
              <w:rPr>
                <w:rFonts w:ascii="Calibri"/>
                <w:color w:val="231F20"/>
                <w:w w:val="241"/>
                <w:sz w:val="6"/>
              </w:rPr>
              <w:t xml:space="preserve"> </w:t>
            </w:r>
            <w:r>
              <w:rPr>
                <w:rFonts w:ascii="Calibri"/>
                <w:color w:val="231F20"/>
                <w:w w:val="105"/>
                <w:sz w:val="6"/>
              </w:rPr>
              <w:t xml:space="preserve"> </w:t>
            </w:r>
          </w:p>
          <w:p w14:paraId="057CD690" w14:textId="77777777" w:rsidR="00F65BCA" w:rsidRDefault="00216117">
            <w:pPr>
              <w:pStyle w:val="TableParagraph"/>
              <w:spacing w:before="4" w:line="51" w:lineRule="exact"/>
              <w:ind w:left="66"/>
              <w:rPr>
                <w:rFonts w:ascii="Calibri"/>
                <w:sz w:val="6"/>
              </w:rPr>
            </w:pPr>
            <w:r>
              <w:rPr>
                <w:rFonts w:ascii="Calibri"/>
                <w:color w:val="231F20"/>
                <w:spacing w:val="-1"/>
                <w:w w:val="139"/>
                <w:sz w:val="6"/>
              </w:rPr>
              <w:t xml:space="preserve"> </w:t>
            </w:r>
            <w:r>
              <w:rPr>
                <w:rFonts w:ascii="Calibri"/>
                <w:color w:val="231F20"/>
                <w:w w:val="234"/>
                <w:sz w:val="6"/>
              </w:rPr>
              <w:t xml:space="preserve">  </w:t>
            </w:r>
            <w:r>
              <w:rPr>
                <w:rFonts w:ascii="Calibri"/>
                <w:color w:val="231F20"/>
                <w:spacing w:val="-1"/>
                <w:w w:val="234"/>
                <w:sz w:val="6"/>
              </w:rPr>
              <w:t xml:space="preserve"> </w:t>
            </w:r>
            <w:r>
              <w:rPr>
                <w:rFonts w:ascii="Calibri"/>
                <w:color w:val="231F20"/>
                <w:w w:val="139"/>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2140154D" w14:textId="77777777" w:rsidR="00F65BCA" w:rsidRDefault="00F65BCA">
            <w:pPr>
              <w:pStyle w:val="TableParagraph"/>
              <w:rPr>
                <w:rFonts w:ascii="Calibri"/>
                <w:b/>
                <w:sz w:val="6"/>
              </w:rPr>
            </w:pPr>
          </w:p>
          <w:p w14:paraId="327DED49" w14:textId="77777777" w:rsidR="00F65BCA" w:rsidRDefault="00F65BCA">
            <w:pPr>
              <w:pStyle w:val="TableParagraph"/>
              <w:spacing w:before="4"/>
              <w:rPr>
                <w:rFonts w:ascii="Calibri"/>
                <w:b/>
                <w:sz w:val="7"/>
              </w:rPr>
            </w:pPr>
          </w:p>
          <w:p w14:paraId="2404D9D8" w14:textId="77777777" w:rsidR="00F65BCA" w:rsidRDefault="00216117">
            <w:pPr>
              <w:pStyle w:val="TableParagraph"/>
              <w:spacing w:before="1"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69260284" w14:textId="77777777" w:rsidR="00F65BCA" w:rsidRDefault="00F65BCA">
            <w:pPr>
              <w:pStyle w:val="TableParagraph"/>
              <w:rPr>
                <w:rFonts w:ascii="Calibri"/>
                <w:b/>
                <w:sz w:val="6"/>
              </w:rPr>
            </w:pPr>
          </w:p>
          <w:p w14:paraId="723B73FE" w14:textId="77777777" w:rsidR="00F65BCA" w:rsidRDefault="00F65BCA">
            <w:pPr>
              <w:pStyle w:val="TableParagraph"/>
              <w:spacing w:before="4"/>
              <w:rPr>
                <w:rFonts w:ascii="Calibri"/>
                <w:b/>
                <w:sz w:val="7"/>
              </w:rPr>
            </w:pPr>
          </w:p>
          <w:p w14:paraId="6DDDC2A5" w14:textId="77777777" w:rsidR="00F65BCA" w:rsidRDefault="00216117">
            <w:pPr>
              <w:pStyle w:val="TableParagraph"/>
              <w:spacing w:before="1" w:line="51" w:lineRule="exact"/>
              <w:ind w:right="48"/>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6F811904" w14:textId="77777777" w:rsidR="00F65BCA" w:rsidRDefault="00F65BCA">
            <w:pPr>
              <w:pStyle w:val="TableParagraph"/>
              <w:rPr>
                <w:rFonts w:ascii="Calibri"/>
                <w:b/>
                <w:sz w:val="6"/>
              </w:rPr>
            </w:pPr>
          </w:p>
          <w:p w14:paraId="46A9B001" w14:textId="77777777" w:rsidR="00F65BCA" w:rsidRDefault="00F65BCA">
            <w:pPr>
              <w:pStyle w:val="TableParagraph"/>
              <w:spacing w:before="4"/>
              <w:rPr>
                <w:rFonts w:ascii="Calibri"/>
                <w:b/>
                <w:sz w:val="7"/>
              </w:rPr>
            </w:pPr>
          </w:p>
          <w:p w14:paraId="76D1F272" w14:textId="77777777" w:rsidR="00F65BCA" w:rsidRDefault="00216117">
            <w:pPr>
              <w:pStyle w:val="TableParagraph"/>
              <w:spacing w:before="1"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6F4F08AE" w14:textId="77777777" w:rsidR="00F65BCA" w:rsidRDefault="00F65BCA">
            <w:pPr>
              <w:pStyle w:val="TableParagraph"/>
              <w:rPr>
                <w:rFonts w:ascii="Calibri"/>
                <w:b/>
                <w:sz w:val="6"/>
              </w:rPr>
            </w:pPr>
          </w:p>
          <w:p w14:paraId="460CF26C" w14:textId="77777777" w:rsidR="00F65BCA" w:rsidRDefault="00F65BCA">
            <w:pPr>
              <w:pStyle w:val="TableParagraph"/>
              <w:spacing w:before="4"/>
              <w:rPr>
                <w:rFonts w:ascii="Calibri"/>
                <w:b/>
                <w:sz w:val="7"/>
              </w:rPr>
            </w:pPr>
          </w:p>
          <w:p w14:paraId="79BCF2C5" w14:textId="77777777" w:rsidR="00F65BCA" w:rsidRDefault="00216117">
            <w:pPr>
              <w:pStyle w:val="TableParagraph"/>
              <w:spacing w:before="1" w:line="51" w:lineRule="exact"/>
              <w:ind w:right="92"/>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60BA7217" w14:textId="77777777" w:rsidR="00F65BCA" w:rsidRDefault="00F65BCA">
            <w:pPr>
              <w:pStyle w:val="TableParagraph"/>
              <w:rPr>
                <w:rFonts w:ascii="Calibri"/>
                <w:b/>
                <w:sz w:val="6"/>
              </w:rPr>
            </w:pPr>
          </w:p>
          <w:p w14:paraId="6BB7C660" w14:textId="77777777" w:rsidR="00F65BCA" w:rsidRDefault="00F65BCA">
            <w:pPr>
              <w:pStyle w:val="TableParagraph"/>
              <w:spacing w:before="4"/>
              <w:rPr>
                <w:rFonts w:ascii="Calibri"/>
                <w:b/>
                <w:sz w:val="7"/>
              </w:rPr>
            </w:pPr>
          </w:p>
          <w:p w14:paraId="044251E8" w14:textId="77777777" w:rsidR="00F65BCA" w:rsidRDefault="00216117">
            <w:pPr>
              <w:pStyle w:val="TableParagraph"/>
              <w:spacing w:before="1" w:line="51" w:lineRule="exact"/>
              <w:ind w:right="24"/>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7F4CDCA9" w14:textId="77777777" w:rsidR="00F65BCA" w:rsidRDefault="00F65BCA">
            <w:pPr>
              <w:pStyle w:val="TableParagraph"/>
              <w:rPr>
                <w:rFonts w:ascii="Calibri"/>
                <w:b/>
                <w:sz w:val="6"/>
              </w:rPr>
            </w:pPr>
          </w:p>
          <w:p w14:paraId="42BA461E" w14:textId="77777777" w:rsidR="00F65BCA" w:rsidRDefault="00F65BCA">
            <w:pPr>
              <w:pStyle w:val="TableParagraph"/>
              <w:spacing w:before="4"/>
              <w:rPr>
                <w:rFonts w:ascii="Calibri"/>
                <w:b/>
                <w:sz w:val="7"/>
              </w:rPr>
            </w:pPr>
          </w:p>
          <w:p w14:paraId="7F20B726" w14:textId="77777777" w:rsidR="00F65BCA" w:rsidRDefault="00216117">
            <w:pPr>
              <w:pStyle w:val="TableParagraph"/>
              <w:spacing w:before="1"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251F2D3C" w14:textId="77777777" w:rsidR="00F65BCA" w:rsidRDefault="00F65BCA">
            <w:pPr>
              <w:pStyle w:val="TableParagraph"/>
              <w:rPr>
                <w:rFonts w:ascii="Calibri"/>
                <w:b/>
                <w:sz w:val="6"/>
              </w:rPr>
            </w:pPr>
          </w:p>
          <w:p w14:paraId="38171729" w14:textId="77777777" w:rsidR="00F65BCA" w:rsidRDefault="00F65BCA">
            <w:pPr>
              <w:pStyle w:val="TableParagraph"/>
              <w:spacing w:before="4"/>
              <w:rPr>
                <w:rFonts w:ascii="Calibri"/>
                <w:b/>
                <w:sz w:val="7"/>
              </w:rPr>
            </w:pPr>
          </w:p>
          <w:p w14:paraId="68E05ADB" w14:textId="77777777" w:rsidR="00F65BCA" w:rsidRDefault="00216117">
            <w:pPr>
              <w:pStyle w:val="TableParagraph"/>
              <w:spacing w:before="1" w:line="51" w:lineRule="exact"/>
              <w:ind w:left="2"/>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020A7108" w14:textId="77777777" w:rsidR="00F65BCA" w:rsidRDefault="00F65BCA">
            <w:pPr>
              <w:pStyle w:val="TableParagraph"/>
              <w:rPr>
                <w:rFonts w:ascii="Calibri"/>
                <w:b/>
                <w:sz w:val="6"/>
              </w:rPr>
            </w:pPr>
          </w:p>
          <w:p w14:paraId="659F01D7" w14:textId="77777777" w:rsidR="00F65BCA" w:rsidRDefault="00F65BCA">
            <w:pPr>
              <w:pStyle w:val="TableParagraph"/>
              <w:spacing w:before="4"/>
              <w:rPr>
                <w:rFonts w:ascii="Calibri"/>
                <w:b/>
                <w:sz w:val="7"/>
              </w:rPr>
            </w:pPr>
          </w:p>
          <w:p w14:paraId="20168F51" w14:textId="77777777" w:rsidR="00F65BCA" w:rsidRDefault="00216117">
            <w:pPr>
              <w:pStyle w:val="TableParagraph"/>
              <w:spacing w:before="1"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1C84EAB9"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322D7BF2"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5F8CA5C"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477DDED"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58990E9"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0988FCE3" w14:textId="77777777" w:rsidR="00F65BCA" w:rsidRDefault="00F65BCA">
            <w:pPr>
              <w:pStyle w:val="TableParagraph"/>
              <w:rPr>
                <w:rFonts w:ascii="Times New Roman"/>
                <w:sz w:val="6"/>
              </w:rPr>
            </w:pPr>
          </w:p>
        </w:tc>
      </w:tr>
      <w:tr w:rsidR="00F65BCA" w14:paraId="5AE51BFA" w14:textId="77777777">
        <w:trPr>
          <w:trHeight w:val="153"/>
        </w:trPr>
        <w:tc>
          <w:tcPr>
            <w:tcW w:w="166" w:type="dxa"/>
            <w:tcBorders>
              <w:top w:val="single" w:sz="2" w:space="0" w:color="231F20"/>
              <w:bottom w:val="single" w:sz="2" w:space="0" w:color="231F20"/>
              <w:right w:val="single" w:sz="2" w:space="0" w:color="231F20"/>
            </w:tcBorders>
          </w:tcPr>
          <w:p w14:paraId="0A74E2AE" w14:textId="77777777" w:rsidR="00F65BCA" w:rsidRDefault="00F65BCA">
            <w:pPr>
              <w:pStyle w:val="TableParagraph"/>
              <w:spacing w:before="8"/>
              <w:rPr>
                <w:rFonts w:ascii="Calibri"/>
                <w:b/>
                <w:sz w:val="6"/>
              </w:rPr>
            </w:pPr>
          </w:p>
          <w:p w14:paraId="4128D227"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5612EAB3" w14:textId="77777777" w:rsidR="00F65BCA" w:rsidRDefault="00F65BCA">
            <w:pPr>
              <w:pStyle w:val="TableParagraph"/>
              <w:spacing w:before="8"/>
              <w:rPr>
                <w:rFonts w:ascii="Calibri"/>
                <w:b/>
                <w:sz w:val="6"/>
              </w:rPr>
            </w:pPr>
          </w:p>
          <w:p w14:paraId="2EC2A846"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7CBE57B3" w14:textId="77777777" w:rsidR="00F65BCA" w:rsidRDefault="00F65BCA">
            <w:pPr>
              <w:pStyle w:val="TableParagraph"/>
              <w:spacing w:before="8"/>
              <w:rPr>
                <w:rFonts w:ascii="Calibri"/>
                <w:b/>
                <w:sz w:val="6"/>
              </w:rPr>
            </w:pPr>
          </w:p>
          <w:p w14:paraId="2D3758CD"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3F56842B" w14:textId="77777777" w:rsidR="00F65BCA" w:rsidRDefault="00F65BCA">
            <w:pPr>
              <w:pStyle w:val="TableParagraph"/>
              <w:spacing w:before="8"/>
              <w:rPr>
                <w:rFonts w:ascii="Calibri"/>
                <w:b/>
                <w:sz w:val="6"/>
              </w:rPr>
            </w:pPr>
          </w:p>
          <w:p w14:paraId="75193B56"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64064AA6" w14:textId="77777777" w:rsidR="00F65BCA" w:rsidRDefault="00F65BCA">
            <w:pPr>
              <w:pStyle w:val="TableParagraph"/>
              <w:spacing w:before="8"/>
              <w:rPr>
                <w:rFonts w:ascii="Calibri"/>
                <w:b/>
                <w:sz w:val="6"/>
              </w:rPr>
            </w:pPr>
          </w:p>
          <w:p w14:paraId="606ABE9C"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7A1F4D9F" w14:textId="77777777" w:rsidR="00F65BCA" w:rsidRDefault="00F65BCA">
            <w:pPr>
              <w:pStyle w:val="TableParagraph"/>
              <w:spacing w:before="8"/>
              <w:rPr>
                <w:rFonts w:ascii="Calibri"/>
                <w:b/>
                <w:sz w:val="6"/>
              </w:rPr>
            </w:pPr>
          </w:p>
          <w:p w14:paraId="1DF1BCA2" w14:textId="77777777" w:rsidR="00F65BCA" w:rsidRDefault="00216117">
            <w:pPr>
              <w:pStyle w:val="TableParagraph"/>
              <w:spacing w:line="51" w:lineRule="exact"/>
              <w:ind w:left="12"/>
              <w:rPr>
                <w:rFonts w:ascii="Calibri"/>
                <w:sz w:val="6"/>
              </w:rPr>
            </w:pPr>
            <w:r>
              <w:rPr>
                <w:rFonts w:ascii="Calibri"/>
                <w:color w:val="231F20"/>
                <w:w w:val="233"/>
                <w:sz w:val="6"/>
              </w:rPr>
              <w:t xml:space="preserve"> </w:t>
            </w:r>
            <w:r>
              <w:rPr>
                <w:rFonts w:ascii="Calibri"/>
                <w:color w:val="231F20"/>
                <w:spacing w:val="-1"/>
                <w:w w:val="211"/>
                <w:sz w:val="6"/>
              </w:rPr>
              <w:t xml:space="preserve"> </w:t>
            </w:r>
            <w:r>
              <w:rPr>
                <w:rFonts w:ascii="Calibri"/>
                <w:color w:val="231F20"/>
                <w:w w:val="296"/>
                <w:sz w:val="6"/>
              </w:rPr>
              <w:t xml:space="preserve"> </w:t>
            </w:r>
            <w:r>
              <w:rPr>
                <w:rFonts w:ascii="Calibri"/>
                <w:color w:val="231F20"/>
                <w:w w:val="233"/>
                <w:sz w:val="6"/>
              </w:rPr>
              <w:t xml:space="preserve">    </w:t>
            </w:r>
          </w:p>
        </w:tc>
        <w:tc>
          <w:tcPr>
            <w:tcW w:w="375" w:type="dxa"/>
            <w:tcBorders>
              <w:top w:val="single" w:sz="2" w:space="0" w:color="231F20"/>
              <w:left w:val="single" w:sz="2" w:space="0" w:color="231F20"/>
              <w:bottom w:val="single" w:sz="2" w:space="0" w:color="231F20"/>
              <w:right w:val="single" w:sz="2" w:space="0" w:color="231F20"/>
            </w:tcBorders>
          </w:tcPr>
          <w:p w14:paraId="5DDE4DAB" w14:textId="77777777" w:rsidR="00F65BCA" w:rsidRDefault="00F65BCA">
            <w:pPr>
              <w:pStyle w:val="TableParagraph"/>
              <w:spacing w:before="8"/>
              <w:rPr>
                <w:rFonts w:ascii="Calibri"/>
                <w:b/>
                <w:sz w:val="6"/>
              </w:rPr>
            </w:pPr>
          </w:p>
          <w:p w14:paraId="34568984" w14:textId="77777777" w:rsidR="00F65BCA" w:rsidRDefault="00216117">
            <w:pPr>
              <w:pStyle w:val="TableParagraph"/>
              <w:spacing w:line="51" w:lineRule="exact"/>
              <w:ind w:left="11"/>
              <w:rPr>
                <w:rFonts w:ascii="Calibri"/>
                <w:sz w:val="6"/>
              </w:rPr>
            </w:pPr>
            <w:r>
              <w:rPr>
                <w:rFonts w:ascii="Calibri"/>
                <w:color w:val="231F20"/>
                <w:w w:val="295"/>
                <w:sz w:val="6"/>
              </w:rPr>
              <w:t xml:space="preserve"> </w:t>
            </w:r>
            <w:r>
              <w:rPr>
                <w:rFonts w:ascii="Calibri"/>
                <w:color w:val="231F20"/>
                <w:w w:val="313"/>
                <w:sz w:val="6"/>
              </w:rPr>
              <w:t xml:space="preserve">  </w:t>
            </w:r>
            <w:r>
              <w:rPr>
                <w:rFonts w:ascii="Calibri"/>
                <w:color w:val="231F20"/>
                <w:w w:val="233"/>
                <w:sz w:val="6"/>
              </w:rPr>
              <w:t xml:space="preserve">     </w:t>
            </w:r>
          </w:p>
        </w:tc>
        <w:tc>
          <w:tcPr>
            <w:tcW w:w="663" w:type="dxa"/>
            <w:tcBorders>
              <w:top w:val="single" w:sz="2" w:space="0" w:color="231F20"/>
              <w:left w:val="single" w:sz="2" w:space="0" w:color="231F20"/>
              <w:bottom w:val="single" w:sz="2" w:space="0" w:color="231F20"/>
              <w:right w:val="single" w:sz="2" w:space="0" w:color="231F20"/>
            </w:tcBorders>
          </w:tcPr>
          <w:p w14:paraId="76E6521C" w14:textId="77777777" w:rsidR="00F65BCA" w:rsidRDefault="00F65BCA">
            <w:pPr>
              <w:pStyle w:val="TableParagraph"/>
              <w:spacing w:before="8"/>
              <w:rPr>
                <w:rFonts w:ascii="Calibri"/>
                <w:b/>
                <w:sz w:val="6"/>
              </w:rPr>
            </w:pPr>
          </w:p>
          <w:p w14:paraId="7CE8EF1C" w14:textId="77777777" w:rsidR="00F65BCA" w:rsidRDefault="00216117">
            <w:pPr>
              <w:pStyle w:val="TableParagraph"/>
              <w:spacing w:line="51" w:lineRule="exact"/>
              <w:ind w:left="10"/>
              <w:rPr>
                <w:rFonts w:ascii="Calibri"/>
                <w:sz w:val="6"/>
              </w:rPr>
            </w:pPr>
            <w:r>
              <w:rPr>
                <w:rFonts w:ascii="Calibri"/>
                <w:color w:val="231F20"/>
                <w:spacing w:val="-1"/>
                <w:w w:val="224"/>
                <w:sz w:val="6"/>
              </w:rPr>
              <w:t xml:space="preserve"> </w:t>
            </w:r>
            <w:r>
              <w:rPr>
                <w:rFonts w:ascii="Calibri"/>
                <w:color w:val="231F20"/>
                <w:w w:val="303"/>
                <w:sz w:val="6"/>
              </w:rPr>
              <w:t xml:space="preserve">   </w:t>
            </w:r>
            <w:r>
              <w:rPr>
                <w:rFonts w:ascii="Calibri"/>
                <w:color w:val="231F20"/>
                <w:w w:val="241"/>
                <w:sz w:val="6"/>
              </w:rPr>
              <w:t xml:space="preserve">  </w:t>
            </w:r>
            <w:r>
              <w:rPr>
                <w:rFonts w:ascii="Calibri"/>
                <w:color w:val="231F20"/>
                <w:w w:val="296"/>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w w:val="296"/>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0F29F797" w14:textId="77777777" w:rsidR="00F65BCA" w:rsidRDefault="00F65BCA">
            <w:pPr>
              <w:pStyle w:val="TableParagraph"/>
              <w:spacing w:before="8"/>
              <w:rPr>
                <w:rFonts w:ascii="Calibri"/>
                <w:b/>
                <w:sz w:val="6"/>
              </w:rPr>
            </w:pPr>
          </w:p>
          <w:p w14:paraId="580C1D6B"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63D1693C" w14:textId="77777777" w:rsidR="00F65BCA" w:rsidRDefault="00F65BCA">
            <w:pPr>
              <w:pStyle w:val="TableParagraph"/>
              <w:spacing w:before="8"/>
              <w:rPr>
                <w:rFonts w:ascii="Calibri"/>
                <w:b/>
                <w:sz w:val="6"/>
              </w:rPr>
            </w:pPr>
          </w:p>
          <w:p w14:paraId="73BF1B0E" w14:textId="77777777" w:rsidR="00F65BCA" w:rsidRDefault="00216117">
            <w:pPr>
              <w:pStyle w:val="TableParagraph"/>
              <w:spacing w:line="51" w:lineRule="exact"/>
              <w:ind w:left="9"/>
              <w:rPr>
                <w:rFonts w:ascii="Calibri"/>
                <w:sz w:val="6"/>
              </w:rPr>
            </w:pPr>
            <w:r>
              <w:rPr>
                <w:rFonts w:ascii="Calibri"/>
                <w:color w:val="231F20"/>
                <w:spacing w:val="-1"/>
                <w:w w:val="211"/>
                <w:sz w:val="6"/>
              </w:rPr>
              <w:t xml:space="preserve"> </w:t>
            </w:r>
            <w:r>
              <w:rPr>
                <w:rFonts w:ascii="Calibri"/>
                <w:color w:val="231F20"/>
                <w:w w:val="295"/>
                <w:sz w:val="6"/>
              </w:rPr>
              <w:t xml:space="preserve"> </w:t>
            </w:r>
            <w:r>
              <w:rPr>
                <w:rFonts w:ascii="Calibri"/>
                <w:color w:val="231F20"/>
                <w:w w:val="237"/>
                <w:sz w:val="6"/>
              </w:rPr>
              <w:t xml:space="preserve"> </w:t>
            </w:r>
            <w:r>
              <w:rPr>
                <w:rFonts w:ascii="Calibri"/>
                <w:color w:val="231F20"/>
                <w:spacing w:val="-1"/>
                <w:w w:val="224"/>
                <w:sz w:val="6"/>
              </w:rPr>
              <w:t xml:space="preserve"> </w:t>
            </w:r>
            <w:r>
              <w:rPr>
                <w:rFonts w:ascii="Calibri"/>
                <w:color w:val="231F20"/>
                <w:w w:val="249"/>
                <w:sz w:val="6"/>
              </w:rPr>
              <w:t xml:space="preserve">  </w:t>
            </w:r>
            <w:r>
              <w:rPr>
                <w:rFonts w:ascii="Times New Roman"/>
                <w:color w:val="231F20"/>
                <w:spacing w:val="-1"/>
                <w:sz w:val="6"/>
              </w:rPr>
              <w:t xml:space="preserve"> </w:t>
            </w:r>
            <w:r>
              <w:rPr>
                <w:rFonts w:ascii="Calibri"/>
                <w:color w:val="231F20"/>
                <w:spacing w:val="-1"/>
                <w:w w:val="282"/>
                <w:sz w:val="6"/>
              </w:rPr>
              <w:t xml:space="preserve"> </w:t>
            </w:r>
            <w:r>
              <w:rPr>
                <w:rFonts w:ascii="Calibri"/>
                <w:color w:val="231F20"/>
                <w:w w:val="170"/>
                <w:sz w:val="6"/>
              </w:rPr>
              <w:t xml:space="preserve"> </w:t>
            </w:r>
            <w:r>
              <w:rPr>
                <w:rFonts w:ascii="Calibri"/>
                <w:color w:val="231F20"/>
                <w:spacing w:val="-1"/>
                <w:w w:val="170"/>
                <w:sz w:val="6"/>
              </w:rPr>
              <w:t xml:space="preserve"> </w:t>
            </w:r>
            <w:r>
              <w:rPr>
                <w:rFonts w:ascii="Calibri"/>
                <w:color w:val="231F20"/>
                <w:spacing w:val="-1"/>
                <w:w w:val="211"/>
                <w:sz w:val="6"/>
              </w:rPr>
              <w:t xml:space="preserve"> </w:t>
            </w:r>
            <w:r>
              <w:rPr>
                <w:rFonts w:ascii="Calibri"/>
                <w:color w:val="231F20"/>
                <w:spacing w:val="-1"/>
                <w:w w:val="224"/>
                <w:sz w:val="6"/>
              </w:rPr>
              <w:t xml:space="preserve"> </w:t>
            </w:r>
            <w:r>
              <w:rPr>
                <w:rFonts w:ascii="Calibri"/>
                <w:color w:val="231F20"/>
                <w:w w:val="193"/>
                <w:sz w:val="6"/>
              </w:rPr>
              <w:t xml:space="preserve"> </w:t>
            </w:r>
            <w:r>
              <w:rPr>
                <w:rFonts w:ascii="Times New Roman"/>
                <w:color w:val="231F20"/>
                <w:spacing w:val="-1"/>
                <w:sz w:val="6"/>
              </w:rPr>
              <w:t xml:space="preserve"> </w:t>
            </w:r>
            <w:r>
              <w:rPr>
                <w:rFonts w:ascii="Calibri"/>
                <w:color w:val="231F20"/>
                <w:w w:val="11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057DD662" w14:textId="77777777" w:rsidR="00F65BCA" w:rsidRDefault="00F65BCA">
            <w:pPr>
              <w:pStyle w:val="TableParagraph"/>
              <w:spacing w:before="8"/>
              <w:rPr>
                <w:rFonts w:ascii="Calibri"/>
                <w:b/>
                <w:sz w:val="6"/>
              </w:rPr>
            </w:pPr>
          </w:p>
          <w:p w14:paraId="47962F77" w14:textId="77777777" w:rsidR="00F65BCA" w:rsidRDefault="00216117">
            <w:pPr>
              <w:pStyle w:val="TableParagraph"/>
              <w:spacing w:line="51" w:lineRule="exact"/>
              <w:ind w:left="7"/>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67A7B51B" w14:textId="77777777" w:rsidR="00F65BCA" w:rsidRDefault="00F65BCA">
            <w:pPr>
              <w:pStyle w:val="TableParagraph"/>
              <w:spacing w:before="8"/>
              <w:rPr>
                <w:rFonts w:ascii="Calibri"/>
                <w:b/>
                <w:sz w:val="6"/>
              </w:rPr>
            </w:pPr>
          </w:p>
          <w:p w14:paraId="27DBB496"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32ABA7EC" w14:textId="77777777" w:rsidR="00F65BCA" w:rsidRDefault="00F65BCA">
            <w:pPr>
              <w:pStyle w:val="TableParagraph"/>
              <w:spacing w:before="8"/>
              <w:rPr>
                <w:rFonts w:ascii="Calibri"/>
                <w:b/>
                <w:sz w:val="6"/>
              </w:rPr>
            </w:pPr>
          </w:p>
          <w:p w14:paraId="7E55E2DF"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3FED728F" w14:textId="77777777" w:rsidR="00F65BCA" w:rsidRDefault="00F65BCA">
            <w:pPr>
              <w:pStyle w:val="TableParagraph"/>
              <w:spacing w:before="8"/>
              <w:rPr>
                <w:rFonts w:ascii="Calibri"/>
                <w:b/>
                <w:sz w:val="6"/>
              </w:rPr>
            </w:pPr>
          </w:p>
          <w:p w14:paraId="1350A102"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173D8107" w14:textId="77777777" w:rsidR="00F65BCA" w:rsidRDefault="00F65BCA">
            <w:pPr>
              <w:pStyle w:val="TableParagraph"/>
              <w:spacing w:before="8"/>
              <w:rPr>
                <w:rFonts w:ascii="Calibri"/>
                <w:b/>
                <w:sz w:val="6"/>
              </w:rPr>
            </w:pPr>
          </w:p>
          <w:p w14:paraId="2D8B9EF8" w14:textId="77777777" w:rsidR="00F65BCA" w:rsidRDefault="00216117">
            <w:pPr>
              <w:pStyle w:val="TableParagraph"/>
              <w:spacing w:line="51" w:lineRule="exact"/>
              <w:ind w:right="20"/>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605E5720" w14:textId="77777777" w:rsidR="00F65BCA" w:rsidRDefault="00F65BCA">
            <w:pPr>
              <w:pStyle w:val="TableParagraph"/>
              <w:spacing w:before="8"/>
              <w:rPr>
                <w:rFonts w:ascii="Calibri"/>
                <w:b/>
                <w:sz w:val="6"/>
              </w:rPr>
            </w:pPr>
          </w:p>
          <w:p w14:paraId="1E4147F6"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497259F8" w14:textId="77777777" w:rsidR="00F65BCA" w:rsidRDefault="00F65BCA">
            <w:pPr>
              <w:pStyle w:val="TableParagraph"/>
              <w:spacing w:before="8"/>
              <w:rPr>
                <w:rFonts w:ascii="Calibri"/>
                <w:b/>
                <w:sz w:val="6"/>
              </w:rPr>
            </w:pPr>
          </w:p>
          <w:p w14:paraId="42F26260" w14:textId="77777777" w:rsidR="00F65BCA" w:rsidRDefault="00216117">
            <w:pPr>
              <w:pStyle w:val="TableParagraph"/>
              <w:spacing w:line="51"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67B4CA33" w14:textId="77777777" w:rsidR="00F65BCA" w:rsidRDefault="00F65BCA">
            <w:pPr>
              <w:pStyle w:val="TableParagraph"/>
              <w:spacing w:before="8"/>
              <w:rPr>
                <w:rFonts w:ascii="Calibri"/>
                <w:b/>
                <w:sz w:val="6"/>
              </w:rPr>
            </w:pPr>
          </w:p>
          <w:p w14:paraId="1DBDF1C1" w14:textId="77777777" w:rsidR="00F65BCA" w:rsidRDefault="00216117">
            <w:pPr>
              <w:pStyle w:val="TableParagraph"/>
              <w:spacing w:line="51" w:lineRule="exact"/>
              <w:ind w:right="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1AF029D2" w14:textId="77777777" w:rsidR="00F65BCA" w:rsidRDefault="00F65BCA">
            <w:pPr>
              <w:pStyle w:val="TableParagraph"/>
              <w:spacing w:before="8"/>
              <w:rPr>
                <w:rFonts w:ascii="Calibri"/>
                <w:b/>
                <w:sz w:val="6"/>
              </w:rPr>
            </w:pPr>
          </w:p>
          <w:p w14:paraId="0A811351" w14:textId="77777777" w:rsidR="00F65BCA" w:rsidRDefault="00216117">
            <w:pPr>
              <w:pStyle w:val="TableParagraph"/>
              <w:spacing w:line="51"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14CEBC7B" w14:textId="77777777" w:rsidR="00F65BCA" w:rsidRDefault="00F65BCA">
            <w:pPr>
              <w:pStyle w:val="TableParagraph"/>
              <w:spacing w:before="8"/>
              <w:rPr>
                <w:rFonts w:ascii="Calibri"/>
                <w:b/>
                <w:sz w:val="6"/>
              </w:rPr>
            </w:pPr>
          </w:p>
          <w:p w14:paraId="5A217B0C" w14:textId="77777777" w:rsidR="00F65BCA" w:rsidRDefault="00216117">
            <w:pPr>
              <w:pStyle w:val="TableParagraph"/>
              <w:spacing w:line="51"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bottom w:val="single" w:sz="2" w:space="0" w:color="231F20"/>
              <w:right w:val="single" w:sz="2" w:space="0" w:color="231F20"/>
            </w:tcBorders>
          </w:tcPr>
          <w:p w14:paraId="517A5652" w14:textId="77777777" w:rsidR="00F65BCA" w:rsidRDefault="00F65BCA">
            <w:pPr>
              <w:pStyle w:val="TableParagraph"/>
              <w:spacing w:before="8"/>
              <w:rPr>
                <w:rFonts w:ascii="Calibri"/>
                <w:b/>
                <w:sz w:val="6"/>
              </w:rPr>
            </w:pPr>
          </w:p>
          <w:p w14:paraId="5D4E7542" w14:textId="77777777" w:rsidR="00F65BCA" w:rsidRDefault="00216117">
            <w:pPr>
              <w:pStyle w:val="TableParagraph"/>
              <w:spacing w:line="51" w:lineRule="exact"/>
              <w:ind w:right="91"/>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25F54D47" w14:textId="77777777" w:rsidR="00F65BCA" w:rsidRDefault="00F65BCA">
            <w:pPr>
              <w:pStyle w:val="TableParagraph"/>
              <w:spacing w:before="8"/>
              <w:rPr>
                <w:rFonts w:ascii="Calibri"/>
                <w:b/>
                <w:sz w:val="6"/>
              </w:rPr>
            </w:pPr>
          </w:p>
          <w:p w14:paraId="4EA270A3" w14:textId="77777777" w:rsidR="00F65BCA" w:rsidRDefault="00216117">
            <w:pPr>
              <w:pStyle w:val="TableParagraph"/>
              <w:spacing w:line="51" w:lineRule="exact"/>
              <w:ind w:right="23"/>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bottom w:val="single" w:sz="2" w:space="0" w:color="231F20"/>
              <w:right w:val="single" w:sz="2" w:space="0" w:color="231F20"/>
            </w:tcBorders>
          </w:tcPr>
          <w:p w14:paraId="48C800DF" w14:textId="77777777" w:rsidR="00F65BCA" w:rsidRDefault="00F65BCA">
            <w:pPr>
              <w:pStyle w:val="TableParagraph"/>
              <w:spacing w:before="8"/>
              <w:rPr>
                <w:rFonts w:ascii="Calibri"/>
                <w:b/>
                <w:sz w:val="6"/>
              </w:rPr>
            </w:pPr>
          </w:p>
          <w:p w14:paraId="3BD634D1" w14:textId="77777777" w:rsidR="00F65BCA" w:rsidRDefault="00216117">
            <w:pPr>
              <w:pStyle w:val="TableParagraph"/>
              <w:spacing w:line="51" w:lineRule="exact"/>
              <w:ind w:left="18"/>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bottom w:val="single" w:sz="2" w:space="0" w:color="231F20"/>
              <w:right w:val="single" w:sz="2" w:space="0" w:color="231F20"/>
            </w:tcBorders>
          </w:tcPr>
          <w:p w14:paraId="23B50C8C" w14:textId="77777777" w:rsidR="00F65BCA" w:rsidRDefault="00F65BCA">
            <w:pPr>
              <w:pStyle w:val="TableParagraph"/>
              <w:spacing w:before="8"/>
              <w:rPr>
                <w:rFonts w:ascii="Calibri"/>
                <w:b/>
                <w:sz w:val="6"/>
              </w:rPr>
            </w:pPr>
          </w:p>
          <w:p w14:paraId="73AF096F" w14:textId="77777777" w:rsidR="00F65BCA" w:rsidRDefault="00216117">
            <w:pPr>
              <w:pStyle w:val="TableParagraph"/>
              <w:spacing w:line="51" w:lineRule="exact"/>
              <w:ind w:left="3"/>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bottom w:val="single" w:sz="2" w:space="0" w:color="231F20"/>
              <w:right w:val="single" w:sz="2" w:space="0" w:color="231F20"/>
            </w:tcBorders>
          </w:tcPr>
          <w:p w14:paraId="1D09D878" w14:textId="77777777" w:rsidR="00F65BCA" w:rsidRDefault="00F65BCA">
            <w:pPr>
              <w:pStyle w:val="TableParagraph"/>
              <w:spacing w:before="8"/>
              <w:rPr>
                <w:rFonts w:ascii="Calibri"/>
                <w:b/>
                <w:sz w:val="6"/>
              </w:rPr>
            </w:pPr>
          </w:p>
          <w:p w14:paraId="1DC231DD" w14:textId="77777777" w:rsidR="00F65BCA" w:rsidRDefault="00216117">
            <w:pPr>
              <w:pStyle w:val="TableParagraph"/>
              <w:spacing w:line="51"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bottom w:val="single" w:sz="2" w:space="0" w:color="231F20"/>
            </w:tcBorders>
          </w:tcPr>
          <w:p w14:paraId="3DFF9C97"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12271444"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00412C27"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5F479787"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588CFB32"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338D9DA2" w14:textId="77777777" w:rsidR="00F65BCA" w:rsidRDefault="00F65BCA">
            <w:pPr>
              <w:pStyle w:val="TableParagraph"/>
              <w:rPr>
                <w:rFonts w:ascii="Times New Roman"/>
                <w:sz w:val="6"/>
              </w:rPr>
            </w:pPr>
          </w:p>
        </w:tc>
      </w:tr>
      <w:tr w:rsidR="00F65BCA" w14:paraId="20EB2A8A" w14:textId="77777777">
        <w:trPr>
          <w:trHeight w:val="153"/>
        </w:trPr>
        <w:tc>
          <w:tcPr>
            <w:tcW w:w="166" w:type="dxa"/>
            <w:tcBorders>
              <w:top w:val="single" w:sz="2" w:space="0" w:color="231F20"/>
              <w:bottom w:val="single" w:sz="2" w:space="0" w:color="231F20"/>
              <w:right w:val="single" w:sz="2" w:space="0" w:color="231F20"/>
            </w:tcBorders>
          </w:tcPr>
          <w:p w14:paraId="226F34A4" w14:textId="77777777" w:rsidR="00F65BCA" w:rsidRDefault="00F65BCA">
            <w:pPr>
              <w:pStyle w:val="TableParagraph"/>
              <w:spacing w:before="8"/>
              <w:rPr>
                <w:rFonts w:ascii="Calibri"/>
                <w:b/>
                <w:sz w:val="6"/>
              </w:rPr>
            </w:pPr>
          </w:p>
          <w:p w14:paraId="1F4343DC"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bottom w:val="single" w:sz="2" w:space="0" w:color="231F20"/>
              <w:right w:val="single" w:sz="2" w:space="0" w:color="231F20"/>
            </w:tcBorders>
          </w:tcPr>
          <w:p w14:paraId="728EFEF3" w14:textId="77777777" w:rsidR="00F65BCA" w:rsidRDefault="00F65BCA">
            <w:pPr>
              <w:pStyle w:val="TableParagraph"/>
              <w:spacing w:before="8"/>
              <w:rPr>
                <w:rFonts w:ascii="Calibri"/>
                <w:b/>
                <w:sz w:val="6"/>
              </w:rPr>
            </w:pPr>
          </w:p>
          <w:p w14:paraId="72D79AAC"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bottom w:val="single" w:sz="2" w:space="0" w:color="231F20"/>
              <w:right w:val="single" w:sz="2" w:space="0" w:color="231F20"/>
            </w:tcBorders>
          </w:tcPr>
          <w:p w14:paraId="5455B5FD" w14:textId="77777777" w:rsidR="00F65BCA" w:rsidRDefault="00F65BCA">
            <w:pPr>
              <w:pStyle w:val="TableParagraph"/>
              <w:spacing w:before="8"/>
              <w:rPr>
                <w:rFonts w:ascii="Calibri"/>
                <w:b/>
                <w:sz w:val="6"/>
              </w:rPr>
            </w:pPr>
          </w:p>
          <w:p w14:paraId="77338E56" w14:textId="77777777" w:rsidR="00F65BCA" w:rsidRDefault="00216117">
            <w:pPr>
              <w:pStyle w:val="TableParagraph"/>
              <w:spacing w:line="51"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bottom w:val="single" w:sz="2" w:space="0" w:color="231F20"/>
              <w:right w:val="single" w:sz="2" w:space="0" w:color="231F20"/>
            </w:tcBorders>
          </w:tcPr>
          <w:p w14:paraId="0FE87ADF" w14:textId="77777777" w:rsidR="00F65BCA" w:rsidRDefault="00F65BCA">
            <w:pPr>
              <w:pStyle w:val="TableParagraph"/>
              <w:spacing w:before="8"/>
              <w:rPr>
                <w:rFonts w:ascii="Calibri"/>
                <w:b/>
                <w:sz w:val="6"/>
              </w:rPr>
            </w:pPr>
          </w:p>
          <w:p w14:paraId="64BE79C7" w14:textId="77777777" w:rsidR="00F65BCA" w:rsidRDefault="00216117">
            <w:pPr>
              <w:pStyle w:val="TableParagraph"/>
              <w:spacing w:line="51"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bottom w:val="single" w:sz="2" w:space="0" w:color="231F20"/>
              <w:right w:val="single" w:sz="2" w:space="0" w:color="231F20"/>
            </w:tcBorders>
          </w:tcPr>
          <w:p w14:paraId="7A52AD0B" w14:textId="77777777" w:rsidR="00F65BCA" w:rsidRDefault="00F65BCA">
            <w:pPr>
              <w:pStyle w:val="TableParagraph"/>
              <w:spacing w:before="8"/>
              <w:rPr>
                <w:rFonts w:ascii="Calibri"/>
                <w:b/>
                <w:sz w:val="6"/>
              </w:rPr>
            </w:pPr>
          </w:p>
          <w:p w14:paraId="50C57276" w14:textId="77777777" w:rsidR="00F65BCA" w:rsidRDefault="00216117">
            <w:pPr>
              <w:pStyle w:val="TableParagraph"/>
              <w:spacing w:line="51" w:lineRule="exact"/>
              <w:ind w:left="237"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bottom w:val="single" w:sz="2" w:space="0" w:color="231F20"/>
              <w:right w:val="single" w:sz="2" w:space="0" w:color="231F20"/>
            </w:tcBorders>
          </w:tcPr>
          <w:p w14:paraId="41C4EF42" w14:textId="77777777" w:rsidR="00F65BCA" w:rsidRDefault="00F65BCA">
            <w:pPr>
              <w:pStyle w:val="TableParagraph"/>
              <w:rPr>
                <w:rFonts w:ascii="Times New Roman"/>
                <w:sz w:val="6"/>
              </w:rPr>
            </w:pPr>
          </w:p>
        </w:tc>
        <w:tc>
          <w:tcPr>
            <w:tcW w:w="375" w:type="dxa"/>
            <w:tcBorders>
              <w:top w:val="single" w:sz="2" w:space="0" w:color="231F20"/>
              <w:left w:val="single" w:sz="2" w:space="0" w:color="231F20"/>
              <w:bottom w:val="single" w:sz="2" w:space="0" w:color="231F20"/>
              <w:right w:val="single" w:sz="2" w:space="0" w:color="231F20"/>
            </w:tcBorders>
          </w:tcPr>
          <w:p w14:paraId="3B1BA160" w14:textId="77777777" w:rsidR="00F65BCA" w:rsidRDefault="00F65BCA">
            <w:pPr>
              <w:pStyle w:val="TableParagraph"/>
              <w:rPr>
                <w:rFonts w:ascii="Times New Roman"/>
                <w:sz w:val="6"/>
              </w:rPr>
            </w:pPr>
          </w:p>
        </w:tc>
        <w:tc>
          <w:tcPr>
            <w:tcW w:w="663" w:type="dxa"/>
            <w:tcBorders>
              <w:top w:val="single" w:sz="2" w:space="0" w:color="231F20"/>
              <w:left w:val="single" w:sz="2" w:space="0" w:color="231F20"/>
              <w:bottom w:val="single" w:sz="2" w:space="0" w:color="231F20"/>
              <w:right w:val="single" w:sz="2" w:space="0" w:color="231F20"/>
            </w:tcBorders>
          </w:tcPr>
          <w:p w14:paraId="2E0AB705" w14:textId="77777777" w:rsidR="00F65BCA" w:rsidRDefault="00F65BCA">
            <w:pPr>
              <w:pStyle w:val="TableParagraph"/>
              <w:spacing w:before="8"/>
              <w:rPr>
                <w:rFonts w:ascii="Calibri"/>
                <w:b/>
                <w:sz w:val="6"/>
              </w:rPr>
            </w:pPr>
          </w:p>
          <w:p w14:paraId="6C1BF7CE" w14:textId="77777777" w:rsidR="00F65BCA" w:rsidRDefault="00216117">
            <w:pPr>
              <w:pStyle w:val="TableParagraph"/>
              <w:spacing w:line="51" w:lineRule="exact"/>
              <w:ind w:left="10"/>
              <w:rPr>
                <w:rFonts w:ascii="Calibri"/>
                <w:sz w:val="6"/>
              </w:rPr>
            </w:pPr>
            <w:r>
              <w:rPr>
                <w:rFonts w:ascii="Calibri"/>
                <w:color w:val="231F20"/>
                <w:spacing w:val="-1"/>
                <w:w w:val="211"/>
                <w:sz w:val="6"/>
              </w:rPr>
              <w:t xml:space="preserve"> </w:t>
            </w:r>
            <w:r>
              <w:rPr>
                <w:rFonts w:ascii="Calibri"/>
                <w:color w:val="231F20"/>
                <w:w w:val="248"/>
                <w:sz w:val="6"/>
              </w:rPr>
              <w:t xml:space="preserve">    </w:t>
            </w:r>
            <w:r>
              <w:rPr>
                <w:rFonts w:ascii="Calibri"/>
                <w:color w:val="231F20"/>
                <w:w w:val="233"/>
                <w:sz w:val="6"/>
              </w:rPr>
              <w:t xml:space="preserve"> </w:t>
            </w:r>
            <w:r>
              <w:rPr>
                <w:rFonts w:ascii="Calibri"/>
                <w:color w:val="231F20"/>
                <w:spacing w:val="-1"/>
                <w:w w:val="211"/>
                <w:sz w:val="6"/>
              </w:rPr>
              <w:t xml:space="preserve"> </w:t>
            </w:r>
            <w:r>
              <w:rPr>
                <w:rFonts w:ascii="Calibri"/>
                <w:color w:val="231F20"/>
                <w:w w:val="233"/>
                <w:sz w:val="6"/>
              </w:rPr>
              <w:t xml:space="preserve">      </w:t>
            </w:r>
          </w:p>
        </w:tc>
        <w:tc>
          <w:tcPr>
            <w:tcW w:w="433" w:type="dxa"/>
            <w:tcBorders>
              <w:top w:val="single" w:sz="2" w:space="0" w:color="231F20"/>
              <w:left w:val="single" w:sz="2" w:space="0" w:color="231F20"/>
              <w:bottom w:val="single" w:sz="2" w:space="0" w:color="231F20"/>
              <w:right w:val="single" w:sz="2" w:space="0" w:color="231F20"/>
            </w:tcBorders>
          </w:tcPr>
          <w:p w14:paraId="07FE947F" w14:textId="77777777" w:rsidR="00F65BCA" w:rsidRDefault="00F65BCA">
            <w:pPr>
              <w:pStyle w:val="TableParagraph"/>
              <w:spacing w:before="8"/>
              <w:rPr>
                <w:rFonts w:ascii="Calibri"/>
                <w:b/>
                <w:sz w:val="6"/>
              </w:rPr>
            </w:pPr>
          </w:p>
          <w:p w14:paraId="4C938CF3" w14:textId="77777777" w:rsidR="00F65BCA" w:rsidRDefault="00216117">
            <w:pPr>
              <w:pStyle w:val="TableParagraph"/>
              <w:spacing w:line="51" w:lineRule="exact"/>
              <w:ind w:left="9"/>
              <w:rPr>
                <w:rFonts w:ascii="Calibri"/>
                <w:sz w:val="6"/>
              </w:rPr>
            </w:pPr>
            <w:r>
              <w:rPr>
                <w:rFonts w:ascii="Calibri"/>
                <w:color w:val="231F20"/>
                <w:w w:val="163"/>
                <w:sz w:val="6"/>
              </w:rPr>
              <w:t xml:space="preserve"> </w:t>
            </w:r>
            <w:r>
              <w:rPr>
                <w:rFonts w:ascii="Calibri"/>
                <w:color w:val="231F20"/>
                <w:spacing w:val="-1"/>
                <w:w w:val="163"/>
                <w:sz w:val="6"/>
              </w:rPr>
              <w:t xml:space="preserve"> </w:t>
            </w:r>
            <w:r>
              <w:rPr>
                <w:rFonts w:ascii="Calibri"/>
                <w:color w:val="231F20"/>
                <w:spacing w:val="-1"/>
                <w:w w:val="224"/>
                <w:sz w:val="6"/>
              </w:rPr>
              <w:t xml:space="preserve"> </w:t>
            </w:r>
            <w:r>
              <w:rPr>
                <w:rFonts w:ascii="Calibri"/>
                <w:color w:val="231F20"/>
                <w:w w:val="238"/>
                <w:sz w:val="6"/>
              </w:rPr>
              <w:t xml:space="preserve"> </w:t>
            </w:r>
            <w:r>
              <w:rPr>
                <w:rFonts w:ascii="Calibri"/>
                <w:color w:val="231F20"/>
                <w:w w:val="115"/>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539324B0" w14:textId="77777777" w:rsidR="00F65BCA" w:rsidRDefault="00F65BCA">
            <w:pPr>
              <w:pStyle w:val="TableParagraph"/>
              <w:spacing w:before="8"/>
              <w:rPr>
                <w:rFonts w:ascii="Calibri"/>
                <w:b/>
                <w:sz w:val="6"/>
              </w:rPr>
            </w:pPr>
          </w:p>
          <w:p w14:paraId="4EF348AE" w14:textId="77777777" w:rsidR="00F65BCA" w:rsidRDefault="00216117">
            <w:pPr>
              <w:pStyle w:val="TableParagraph"/>
              <w:spacing w:line="51" w:lineRule="exact"/>
              <w:ind w:left="8"/>
              <w:rPr>
                <w:rFonts w:ascii="Calibri"/>
                <w:sz w:val="6"/>
              </w:rPr>
            </w:pPr>
            <w:r>
              <w:rPr>
                <w:rFonts w:ascii="Calibri"/>
                <w:color w:val="231F20"/>
                <w:spacing w:val="-1"/>
                <w:w w:val="211"/>
                <w:sz w:val="6"/>
              </w:rPr>
              <w:t xml:space="preserve"> </w:t>
            </w:r>
            <w:r>
              <w:rPr>
                <w:rFonts w:ascii="Calibri"/>
                <w:color w:val="231F20"/>
                <w:w w:val="264"/>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9"/>
                <w:sz w:val="6"/>
              </w:rPr>
              <w:t xml:space="preserve">  </w:t>
            </w:r>
          </w:p>
        </w:tc>
        <w:tc>
          <w:tcPr>
            <w:tcW w:w="913" w:type="dxa"/>
            <w:tcBorders>
              <w:top w:val="single" w:sz="2" w:space="0" w:color="231F20"/>
              <w:left w:val="single" w:sz="2" w:space="0" w:color="231F20"/>
              <w:bottom w:val="single" w:sz="2" w:space="0" w:color="231F20"/>
              <w:right w:val="single" w:sz="2" w:space="0" w:color="231F20"/>
            </w:tcBorders>
          </w:tcPr>
          <w:p w14:paraId="663825C2" w14:textId="77777777" w:rsidR="00F65BCA" w:rsidRDefault="00F65BCA">
            <w:pPr>
              <w:pStyle w:val="TableParagraph"/>
              <w:spacing w:before="8"/>
              <w:rPr>
                <w:rFonts w:ascii="Calibri"/>
                <w:b/>
                <w:sz w:val="6"/>
              </w:rPr>
            </w:pPr>
          </w:p>
          <w:p w14:paraId="130D688F" w14:textId="77777777" w:rsidR="00F65BCA" w:rsidRDefault="00216117">
            <w:pPr>
              <w:pStyle w:val="TableParagraph"/>
              <w:spacing w:line="51" w:lineRule="exact"/>
              <w:ind w:left="7"/>
              <w:rPr>
                <w:rFonts w:ascii="Calibri"/>
                <w:sz w:val="6"/>
              </w:rPr>
            </w:pPr>
            <w:r>
              <w:rPr>
                <w:rFonts w:ascii="Calibri"/>
                <w:color w:val="231F20"/>
                <w:w w:val="317"/>
                <w:sz w:val="6"/>
              </w:rPr>
              <w:t xml:space="preserve">  </w:t>
            </w:r>
            <w:r>
              <w:rPr>
                <w:rFonts w:ascii="Calibri"/>
                <w:color w:val="231F20"/>
                <w:w w:val="198"/>
                <w:sz w:val="6"/>
              </w:rPr>
              <w:t xml:space="preserve">  </w:t>
            </w:r>
            <w:r>
              <w:rPr>
                <w:rFonts w:ascii="Calibri"/>
                <w:color w:val="231F20"/>
                <w:w w:val="80"/>
                <w:sz w:val="6"/>
              </w:rPr>
              <w:t>5 5 5</w:t>
            </w:r>
            <w:r>
              <w:rPr>
                <w:rFonts w:ascii="Calibri"/>
                <w:color w:val="231F20"/>
                <w:w w:val="139"/>
                <w:sz w:val="6"/>
              </w:rPr>
              <w:t xml:space="preserve"> </w:t>
            </w:r>
          </w:p>
        </w:tc>
        <w:tc>
          <w:tcPr>
            <w:tcW w:w="265" w:type="dxa"/>
            <w:tcBorders>
              <w:top w:val="single" w:sz="2" w:space="0" w:color="231F20"/>
              <w:left w:val="single" w:sz="2" w:space="0" w:color="231F20"/>
              <w:bottom w:val="single" w:sz="2" w:space="0" w:color="231F20"/>
              <w:right w:val="single" w:sz="2" w:space="0" w:color="231F20"/>
            </w:tcBorders>
          </w:tcPr>
          <w:p w14:paraId="0470EAB4" w14:textId="77777777" w:rsidR="00F65BCA" w:rsidRDefault="00F65BCA">
            <w:pPr>
              <w:pStyle w:val="TableParagraph"/>
              <w:spacing w:before="8"/>
              <w:rPr>
                <w:rFonts w:ascii="Calibri"/>
                <w:b/>
                <w:sz w:val="6"/>
              </w:rPr>
            </w:pPr>
          </w:p>
          <w:p w14:paraId="7AE8AA11"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bottom w:val="single" w:sz="2" w:space="0" w:color="231F20"/>
              <w:right w:val="single" w:sz="2" w:space="0" w:color="231F20"/>
            </w:tcBorders>
          </w:tcPr>
          <w:p w14:paraId="4AD15499" w14:textId="77777777" w:rsidR="00F65BCA" w:rsidRDefault="00F65BCA">
            <w:pPr>
              <w:pStyle w:val="TableParagraph"/>
              <w:spacing w:before="8"/>
              <w:rPr>
                <w:rFonts w:ascii="Calibri"/>
                <w:b/>
                <w:sz w:val="6"/>
              </w:rPr>
            </w:pPr>
          </w:p>
          <w:p w14:paraId="5BA74653" w14:textId="77777777" w:rsidR="00F65BCA" w:rsidRDefault="00216117">
            <w:pPr>
              <w:pStyle w:val="TableParagraph"/>
              <w:spacing w:line="51"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bottom w:val="single" w:sz="2" w:space="0" w:color="231F20"/>
              <w:right w:val="single" w:sz="2" w:space="0" w:color="231F20"/>
            </w:tcBorders>
          </w:tcPr>
          <w:p w14:paraId="3B41C8B3" w14:textId="77777777" w:rsidR="00F65BCA" w:rsidRDefault="00F65BCA">
            <w:pPr>
              <w:pStyle w:val="TableParagraph"/>
              <w:spacing w:before="8"/>
              <w:rPr>
                <w:rFonts w:ascii="Calibri"/>
                <w:b/>
                <w:sz w:val="6"/>
              </w:rPr>
            </w:pPr>
          </w:p>
          <w:p w14:paraId="65BD601B" w14:textId="77777777" w:rsidR="00F65BCA" w:rsidRDefault="00216117">
            <w:pPr>
              <w:pStyle w:val="TableParagraph"/>
              <w:spacing w:line="51" w:lineRule="exact"/>
              <w:ind w:right="16"/>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bottom w:val="single" w:sz="2" w:space="0" w:color="231F20"/>
              <w:right w:val="single" w:sz="2" w:space="0" w:color="231F20"/>
            </w:tcBorders>
          </w:tcPr>
          <w:p w14:paraId="2D1CC6EC" w14:textId="77777777" w:rsidR="00F65BCA" w:rsidRDefault="00F65BCA">
            <w:pPr>
              <w:pStyle w:val="TableParagraph"/>
              <w:spacing w:before="8"/>
              <w:rPr>
                <w:rFonts w:ascii="Calibri"/>
                <w:b/>
                <w:sz w:val="6"/>
              </w:rPr>
            </w:pPr>
          </w:p>
          <w:p w14:paraId="440820C7" w14:textId="77777777" w:rsidR="00F65BCA" w:rsidRDefault="00216117">
            <w:pPr>
              <w:pStyle w:val="TableParagraph"/>
              <w:spacing w:line="51" w:lineRule="exact"/>
              <w:ind w:right="18"/>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bottom w:val="single" w:sz="2" w:space="0" w:color="231F20"/>
              <w:right w:val="single" w:sz="2" w:space="0" w:color="231F20"/>
            </w:tcBorders>
          </w:tcPr>
          <w:p w14:paraId="06DE525B" w14:textId="77777777" w:rsidR="00F65BCA" w:rsidRDefault="00F65BCA">
            <w:pPr>
              <w:pStyle w:val="TableParagraph"/>
              <w:spacing w:before="8"/>
              <w:rPr>
                <w:rFonts w:ascii="Calibri"/>
                <w:b/>
                <w:sz w:val="6"/>
              </w:rPr>
            </w:pPr>
          </w:p>
          <w:p w14:paraId="1A0A1B4B" w14:textId="77777777" w:rsidR="00F65BCA" w:rsidRDefault="00216117">
            <w:pPr>
              <w:pStyle w:val="TableParagraph"/>
              <w:spacing w:line="51"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bottom w:val="single" w:sz="2" w:space="0" w:color="231F20"/>
              <w:right w:val="single" w:sz="2" w:space="0" w:color="231F20"/>
            </w:tcBorders>
          </w:tcPr>
          <w:p w14:paraId="10C5C27F" w14:textId="77777777" w:rsidR="00F65BCA" w:rsidRDefault="00F65BCA">
            <w:pPr>
              <w:pStyle w:val="TableParagraph"/>
              <w:spacing w:before="8"/>
              <w:rPr>
                <w:rFonts w:ascii="Calibri"/>
                <w:b/>
                <w:sz w:val="6"/>
              </w:rPr>
            </w:pPr>
          </w:p>
          <w:p w14:paraId="0DC34919" w14:textId="77777777" w:rsidR="00F65BCA" w:rsidRDefault="00216117">
            <w:pPr>
              <w:pStyle w:val="TableParagraph"/>
              <w:spacing w:line="51"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bottom w:val="single" w:sz="2" w:space="0" w:color="231F20"/>
              <w:right w:val="single" w:sz="2" w:space="0" w:color="231F20"/>
            </w:tcBorders>
          </w:tcPr>
          <w:p w14:paraId="17D7F816" w14:textId="77777777" w:rsidR="00F65BCA" w:rsidRDefault="00F65BCA">
            <w:pPr>
              <w:pStyle w:val="TableParagraph"/>
              <w:spacing w:before="8"/>
              <w:rPr>
                <w:rFonts w:ascii="Calibri"/>
                <w:b/>
                <w:sz w:val="6"/>
              </w:rPr>
            </w:pPr>
          </w:p>
          <w:p w14:paraId="535519B7" w14:textId="77777777" w:rsidR="00F65BCA" w:rsidRDefault="00216117">
            <w:pPr>
              <w:pStyle w:val="TableParagraph"/>
              <w:spacing w:line="51"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bottom w:val="single" w:sz="2" w:space="0" w:color="231F20"/>
              <w:right w:val="single" w:sz="2" w:space="0" w:color="231F20"/>
            </w:tcBorders>
          </w:tcPr>
          <w:p w14:paraId="02C86464" w14:textId="77777777" w:rsidR="00F65BCA" w:rsidRDefault="00F65BCA">
            <w:pPr>
              <w:pStyle w:val="TableParagraph"/>
              <w:rPr>
                <w:rFonts w:ascii="Times New Roman"/>
                <w:sz w:val="6"/>
              </w:rPr>
            </w:pPr>
          </w:p>
        </w:tc>
        <w:tc>
          <w:tcPr>
            <w:tcW w:w="268" w:type="dxa"/>
            <w:tcBorders>
              <w:top w:val="single" w:sz="2" w:space="0" w:color="231F20"/>
              <w:left w:val="single" w:sz="2" w:space="0" w:color="231F20"/>
              <w:bottom w:val="single" w:sz="2" w:space="0" w:color="231F20"/>
              <w:right w:val="single" w:sz="2" w:space="0" w:color="231F20"/>
            </w:tcBorders>
          </w:tcPr>
          <w:p w14:paraId="5CBFFAD0" w14:textId="77777777" w:rsidR="00F65BCA" w:rsidRDefault="00F65BCA">
            <w:pPr>
              <w:pStyle w:val="TableParagraph"/>
              <w:rPr>
                <w:rFonts w:ascii="Times New Roman"/>
                <w:sz w:val="6"/>
              </w:rPr>
            </w:pPr>
          </w:p>
        </w:tc>
        <w:tc>
          <w:tcPr>
            <w:tcW w:w="311" w:type="dxa"/>
            <w:tcBorders>
              <w:top w:val="single" w:sz="2" w:space="0" w:color="231F20"/>
              <w:left w:val="single" w:sz="2" w:space="0" w:color="231F20"/>
              <w:bottom w:val="single" w:sz="2" w:space="0" w:color="231F20"/>
              <w:right w:val="single" w:sz="2" w:space="0" w:color="231F20"/>
            </w:tcBorders>
          </w:tcPr>
          <w:p w14:paraId="4C05D707"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171713BE" w14:textId="77777777" w:rsidR="00F65BCA" w:rsidRDefault="00F65BCA">
            <w:pPr>
              <w:pStyle w:val="TableParagraph"/>
              <w:rPr>
                <w:rFonts w:ascii="Times New Roman"/>
                <w:sz w:val="6"/>
              </w:rPr>
            </w:pPr>
          </w:p>
        </w:tc>
        <w:tc>
          <w:tcPr>
            <w:tcW w:w="450" w:type="dxa"/>
            <w:tcBorders>
              <w:top w:val="single" w:sz="2" w:space="0" w:color="231F20"/>
              <w:left w:val="single" w:sz="2" w:space="0" w:color="231F20"/>
              <w:bottom w:val="single" w:sz="2" w:space="0" w:color="231F20"/>
              <w:right w:val="single" w:sz="2" w:space="0" w:color="231F20"/>
            </w:tcBorders>
          </w:tcPr>
          <w:p w14:paraId="6B5D1E96" w14:textId="77777777" w:rsidR="00F65BCA" w:rsidRDefault="00F65BCA">
            <w:pPr>
              <w:pStyle w:val="TableParagraph"/>
              <w:rPr>
                <w:rFonts w:ascii="Times New Roman"/>
                <w:sz w:val="6"/>
              </w:rPr>
            </w:pPr>
          </w:p>
        </w:tc>
        <w:tc>
          <w:tcPr>
            <w:tcW w:w="296" w:type="dxa"/>
            <w:tcBorders>
              <w:top w:val="single" w:sz="2" w:space="0" w:color="231F20"/>
              <w:left w:val="single" w:sz="2" w:space="0" w:color="231F20"/>
              <w:bottom w:val="single" w:sz="2" w:space="0" w:color="231F20"/>
              <w:right w:val="single" w:sz="2" w:space="0" w:color="231F20"/>
            </w:tcBorders>
          </w:tcPr>
          <w:p w14:paraId="6E6B5407" w14:textId="77777777" w:rsidR="00F65BCA" w:rsidRDefault="00F65BCA">
            <w:pPr>
              <w:pStyle w:val="TableParagraph"/>
              <w:rPr>
                <w:rFonts w:ascii="Times New Roman"/>
                <w:sz w:val="6"/>
              </w:rPr>
            </w:pPr>
          </w:p>
        </w:tc>
        <w:tc>
          <w:tcPr>
            <w:tcW w:w="392" w:type="dxa"/>
            <w:tcBorders>
              <w:top w:val="single" w:sz="2" w:space="0" w:color="231F20"/>
              <w:left w:val="single" w:sz="2" w:space="0" w:color="231F20"/>
              <w:bottom w:val="single" w:sz="2" w:space="0" w:color="231F20"/>
              <w:right w:val="single" w:sz="2" w:space="0" w:color="231F20"/>
            </w:tcBorders>
          </w:tcPr>
          <w:p w14:paraId="26839458" w14:textId="77777777" w:rsidR="00F65BCA" w:rsidRDefault="00F65BCA">
            <w:pPr>
              <w:pStyle w:val="TableParagraph"/>
              <w:rPr>
                <w:rFonts w:ascii="Times New Roman"/>
                <w:sz w:val="6"/>
              </w:rPr>
            </w:pPr>
          </w:p>
        </w:tc>
        <w:tc>
          <w:tcPr>
            <w:tcW w:w="428" w:type="dxa"/>
            <w:tcBorders>
              <w:top w:val="single" w:sz="2" w:space="0" w:color="231F20"/>
              <w:left w:val="single" w:sz="2" w:space="0" w:color="231F20"/>
              <w:bottom w:val="single" w:sz="2" w:space="0" w:color="231F20"/>
            </w:tcBorders>
          </w:tcPr>
          <w:p w14:paraId="20DEBAEE" w14:textId="77777777" w:rsidR="00F65BCA" w:rsidRDefault="00F65BCA">
            <w:pPr>
              <w:pStyle w:val="TableParagraph"/>
              <w:rPr>
                <w:rFonts w:ascii="Times New Roman"/>
                <w:sz w:val="6"/>
              </w:rPr>
            </w:pPr>
          </w:p>
        </w:tc>
        <w:tc>
          <w:tcPr>
            <w:tcW w:w="414" w:type="dxa"/>
            <w:tcBorders>
              <w:top w:val="single" w:sz="2" w:space="0" w:color="231F20"/>
              <w:bottom w:val="single" w:sz="2" w:space="0" w:color="231F20"/>
              <w:right w:val="single" w:sz="2" w:space="0" w:color="231F20"/>
            </w:tcBorders>
            <w:shd w:val="clear" w:color="auto" w:fill="F9F39A"/>
          </w:tcPr>
          <w:p w14:paraId="1BB5F077"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DD6BAF5"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21CF058C" w14:textId="77777777" w:rsidR="00F65BCA" w:rsidRDefault="00F65BCA">
            <w:pPr>
              <w:pStyle w:val="TableParagraph"/>
              <w:rPr>
                <w:rFonts w:ascii="Times New Roman"/>
                <w:sz w:val="6"/>
              </w:rPr>
            </w:pPr>
          </w:p>
        </w:tc>
        <w:tc>
          <w:tcPr>
            <w:tcW w:w="412" w:type="dxa"/>
            <w:tcBorders>
              <w:top w:val="single" w:sz="2" w:space="0" w:color="231F20"/>
              <w:left w:val="single" w:sz="2" w:space="0" w:color="231F20"/>
              <w:bottom w:val="single" w:sz="2" w:space="0" w:color="231F20"/>
              <w:right w:val="single" w:sz="2" w:space="0" w:color="231F20"/>
            </w:tcBorders>
            <w:shd w:val="clear" w:color="auto" w:fill="F9F39A"/>
          </w:tcPr>
          <w:p w14:paraId="1E149CB6" w14:textId="77777777" w:rsidR="00F65BCA" w:rsidRDefault="00F65BCA">
            <w:pPr>
              <w:pStyle w:val="TableParagraph"/>
              <w:rPr>
                <w:rFonts w:ascii="Times New Roman"/>
                <w:sz w:val="6"/>
              </w:rPr>
            </w:pPr>
          </w:p>
        </w:tc>
        <w:tc>
          <w:tcPr>
            <w:tcW w:w="410" w:type="dxa"/>
            <w:tcBorders>
              <w:top w:val="single" w:sz="2" w:space="0" w:color="231F20"/>
              <w:left w:val="single" w:sz="2" w:space="0" w:color="231F20"/>
              <w:bottom w:val="single" w:sz="2" w:space="0" w:color="231F20"/>
            </w:tcBorders>
            <w:shd w:val="clear" w:color="auto" w:fill="F9F39A"/>
          </w:tcPr>
          <w:p w14:paraId="17CCA539" w14:textId="77777777" w:rsidR="00F65BCA" w:rsidRDefault="00F65BCA">
            <w:pPr>
              <w:pStyle w:val="TableParagraph"/>
              <w:rPr>
                <w:rFonts w:ascii="Times New Roman"/>
                <w:sz w:val="6"/>
              </w:rPr>
            </w:pPr>
          </w:p>
        </w:tc>
      </w:tr>
      <w:tr w:rsidR="00F65BCA" w14:paraId="3DDA4CD5" w14:textId="77777777">
        <w:trPr>
          <w:trHeight w:val="153"/>
        </w:trPr>
        <w:tc>
          <w:tcPr>
            <w:tcW w:w="166" w:type="dxa"/>
            <w:tcBorders>
              <w:top w:val="single" w:sz="2" w:space="0" w:color="231F20"/>
              <w:left w:val="single" w:sz="2" w:space="0" w:color="231F20"/>
              <w:right w:val="single" w:sz="2" w:space="0" w:color="231F20"/>
            </w:tcBorders>
          </w:tcPr>
          <w:p w14:paraId="78CBB7C3" w14:textId="77777777" w:rsidR="00F65BCA" w:rsidRDefault="00F65BCA">
            <w:pPr>
              <w:pStyle w:val="TableParagraph"/>
              <w:spacing w:before="8"/>
              <w:rPr>
                <w:rFonts w:ascii="Calibri"/>
                <w:b/>
                <w:sz w:val="6"/>
              </w:rPr>
            </w:pPr>
          </w:p>
          <w:p w14:paraId="3A55A68E" w14:textId="77777777" w:rsidR="00F65BCA" w:rsidRDefault="00216117">
            <w:pPr>
              <w:pStyle w:val="TableParagraph"/>
              <w:spacing w:line="51" w:lineRule="exact"/>
              <w:ind w:right="7"/>
              <w:jc w:val="right"/>
              <w:rPr>
                <w:rFonts w:ascii="Calibri"/>
                <w:sz w:val="6"/>
              </w:rPr>
            </w:pPr>
            <w:r>
              <w:rPr>
                <w:rFonts w:ascii="Calibri"/>
                <w:color w:val="231F20"/>
                <w:w w:val="233"/>
                <w:sz w:val="6"/>
              </w:rPr>
              <w:t xml:space="preserve">  </w:t>
            </w:r>
          </w:p>
        </w:tc>
        <w:tc>
          <w:tcPr>
            <w:tcW w:w="298" w:type="dxa"/>
            <w:tcBorders>
              <w:top w:val="single" w:sz="2" w:space="0" w:color="231F20"/>
              <w:left w:val="single" w:sz="2" w:space="0" w:color="231F20"/>
              <w:right w:val="single" w:sz="2" w:space="0" w:color="231F20"/>
            </w:tcBorders>
          </w:tcPr>
          <w:p w14:paraId="02E37307" w14:textId="77777777" w:rsidR="00F65BCA" w:rsidRDefault="00F65BCA">
            <w:pPr>
              <w:pStyle w:val="TableParagraph"/>
              <w:spacing w:before="3"/>
              <w:rPr>
                <w:rFonts w:ascii="Calibri"/>
                <w:b/>
                <w:sz w:val="6"/>
              </w:rPr>
            </w:pPr>
          </w:p>
          <w:p w14:paraId="6AC0740F" w14:textId="77777777" w:rsidR="00F65BCA" w:rsidRDefault="00216117">
            <w:pPr>
              <w:pStyle w:val="TableParagraph"/>
              <w:spacing w:before="1" w:line="56" w:lineRule="exact"/>
              <w:ind w:left="13"/>
              <w:rPr>
                <w:rFonts w:ascii="Calibri"/>
                <w:sz w:val="6"/>
              </w:rPr>
            </w:pPr>
            <w:r>
              <w:rPr>
                <w:rFonts w:ascii="Calibri"/>
                <w:color w:val="231F20"/>
                <w:w w:val="233"/>
                <w:sz w:val="6"/>
              </w:rPr>
              <w:t xml:space="preserve">        </w:t>
            </w:r>
          </w:p>
        </w:tc>
        <w:tc>
          <w:tcPr>
            <w:tcW w:w="912" w:type="dxa"/>
            <w:tcBorders>
              <w:top w:val="single" w:sz="2" w:space="0" w:color="231F20"/>
              <w:left w:val="single" w:sz="2" w:space="0" w:color="231F20"/>
              <w:right w:val="single" w:sz="2" w:space="0" w:color="231F20"/>
            </w:tcBorders>
          </w:tcPr>
          <w:p w14:paraId="74315D35" w14:textId="77777777" w:rsidR="00F65BCA" w:rsidRDefault="00F65BCA">
            <w:pPr>
              <w:pStyle w:val="TableParagraph"/>
              <w:spacing w:before="3"/>
              <w:rPr>
                <w:rFonts w:ascii="Calibri"/>
                <w:b/>
                <w:sz w:val="6"/>
              </w:rPr>
            </w:pPr>
          </w:p>
          <w:p w14:paraId="24D1B178" w14:textId="77777777" w:rsidR="00F65BCA" w:rsidRDefault="00216117">
            <w:pPr>
              <w:pStyle w:val="TableParagraph"/>
              <w:spacing w:before="1" w:line="56" w:lineRule="exact"/>
              <w:ind w:left="13"/>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46" w:type="dxa"/>
            <w:tcBorders>
              <w:top w:val="single" w:sz="2" w:space="0" w:color="231F20"/>
              <w:left w:val="single" w:sz="2" w:space="0" w:color="231F20"/>
              <w:right w:val="single" w:sz="2" w:space="0" w:color="231F20"/>
            </w:tcBorders>
          </w:tcPr>
          <w:p w14:paraId="1B91FBC6" w14:textId="77777777" w:rsidR="00F65BCA" w:rsidRDefault="00F65BCA">
            <w:pPr>
              <w:pStyle w:val="TableParagraph"/>
              <w:spacing w:before="3"/>
              <w:rPr>
                <w:rFonts w:ascii="Calibri"/>
                <w:b/>
                <w:sz w:val="6"/>
              </w:rPr>
            </w:pPr>
          </w:p>
          <w:p w14:paraId="4A7490BA" w14:textId="77777777" w:rsidR="00F65BCA" w:rsidRDefault="00216117">
            <w:pPr>
              <w:pStyle w:val="TableParagraph"/>
              <w:spacing w:before="1" w:line="56" w:lineRule="exact"/>
              <w:ind w:left="13"/>
              <w:rPr>
                <w:rFonts w:ascii="Calibri"/>
                <w:sz w:val="6"/>
              </w:rPr>
            </w:pPr>
            <w:r>
              <w:rPr>
                <w:rFonts w:ascii="Calibri"/>
                <w:color w:val="231F20"/>
                <w:w w:val="233"/>
                <w:sz w:val="6"/>
              </w:rPr>
              <w:t xml:space="preserve">        </w:t>
            </w:r>
          </w:p>
        </w:tc>
        <w:tc>
          <w:tcPr>
            <w:tcW w:w="884" w:type="dxa"/>
            <w:tcBorders>
              <w:top w:val="single" w:sz="2" w:space="0" w:color="231F20"/>
              <w:left w:val="single" w:sz="2" w:space="0" w:color="231F20"/>
              <w:right w:val="single" w:sz="2" w:space="0" w:color="231F20"/>
            </w:tcBorders>
          </w:tcPr>
          <w:p w14:paraId="74E11971" w14:textId="77777777" w:rsidR="00F65BCA" w:rsidRDefault="00F65BCA">
            <w:pPr>
              <w:pStyle w:val="TableParagraph"/>
              <w:spacing w:before="3"/>
              <w:rPr>
                <w:rFonts w:ascii="Calibri"/>
                <w:b/>
                <w:sz w:val="6"/>
              </w:rPr>
            </w:pPr>
          </w:p>
          <w:p w14:paraId="7A99F723" w14:textId="77777777" w:rsidR="00F65BCA" w:rsidRDefault="00216117">
            <w:pPr>
              <w:pStyle w:val="TableParagraph"/>
              <w:spacing w:before="1" w:line="56" w:lineRule="exact"/>
              <w:ind w:left="238" w:right="321"/>
              <w:jc w:val="center"/>
              <w:rPr>
                <w:rFonts w:ascii="Calibri"/>
                <w:sz w:val="6"/>
              </w:rPr>
            </w:pPr>
            <w:r>
              <w:rPr>
                <w:rFonts w:ascii="Calibri"/>
                <w:color w:val="231F20"/>
                <w:w w:val="120"/>
                <w:sz w:val="6"/>
              </w:rPr>
              <w:t xml:space="preserve">k </w:t>
            </w:r>
            <w:r>
              <w:rPr>
                <w:rFonts w:ascii="Calibri"/>
                <w:color w:val="231F20"/>
                <w:w w:val="130"/>
                <w:sz w:val="6"/>
              </w:rPr>
              <w:t xml:space="preserve">n </w:t>
            </w:r>
            <w:r>
              <w:rPr>
                <w:rFonts w:ascii="Calibri"/>
                <w:color w:val="231F20"/>
                <w:w w:val="165"/>
                <w:sz w:val="6"/>
              </w:rPr>
              <w:t xml:space="preserve">r </w:t>
            </w:r>
            <w:r>
              <w:rPr>
                <w:rFonts w:ascii="Calibri"/>
                <w:color w:val="231F20"/>
                <w:sz w:val="6"/>
              </w:rPr>
              <w:t>5</w:t>
            </w:r>
            <w:r>
              <w:rPr>
                <w:rFonts w:ascii="Calibri"/>
                <w:color w:val="231F20"/>
                <w:w w:val="143"/>
                <w:sz w:val="6"/>
              </w:rPr>
              <w:t xml:space="preserve">  </w:t>
            </w:r>
            <w:r>
              <w:rPr>
                <w:rFonts w:ascii="Calibri"/>
                <w:color w:val="231F20"/>
                <w:w w:val="187"/>
                <w:sz w:val="6"/>
              </w:rPr>
              <w:t xml:space="preserve">  </w:t>
            </w:r>
            <w:r>
              <w:rPr>
                <w:rFonts w:ascii="Times New Roman"/>
                <w:color w:val="231F20"/>
                <w:sz w:val="6"/>
              </w:rPr>
              <w:t xml:space="preserve"> </w:t>
            </w:r>
            <w:r>
              <w:rPr>
                <w:rFonts w:ascii="Calibri"/>
                <w:color w:val="231F20"/>
                <w:w w:val="207"/>
                <w:sz w:val="6"/>
              </w:rPr>
              <w:t xml:space="preserve"> </w:t>
            </w:r>
            <w:r>
              <w:rPr>
                <w:rFonts w:ascii="Times New Roman"/>
                <w:color w:val="231F20"/>
                <w:sz w:val="6"/>
              </w:rPr>
              <w:t xml:space="preserve"> </w:t>
            </w:r>
            <w:r>
              <w:rPr>
                <w:rFonts w:ascii="Calibri"/>
                <w:color w:val="231F20"/>
                <w:w w:val="237"/>
                <w:sz w:val="6"/>
              </w:rPr>
              <w:t xml:space="preserve"> </w:t>
            </w:r>
            <w:r>
              <w:rPr>
                <w:rFonts w:ascii="Calibri"/>
                <w:color w:val="231F20"/>
                <w:w w:val="105"/>
                <w:sz w:val="6"/>
              </w:rPr>
              <w:t xml:space="preserve"> </w:t>
            </w:r>
            <w:r>
              <w:rPr>
                <w:rFonts w:ascii="Calibri"/>
                <w:color w:val="231F20"/>
                <w:w w:val="211"/>
                <w:sz w:val="6"/>
              </w:rPr>
              <w:t xml:space="preserve">  </w:t>
            </w:r>
            <w:r>
              <w:rPr>
                <w:rFonts w:ascii="Calibri"/>
                <w:color w:val="231F20"/>
                <w:w w:val="105"/>
                <w:sz w:val="6"/>
              </w:rPr>
              <w:t xml:space="preserve"> </w:t>
            </w:r>
          </w:p>
        </w:tc>
        <w:tc>
          <w:tcPr>
            <w:tcW w:w="337" w:type="dxa"/>
            <w:tcBorders>
              <w:top w:val="single" w:sz="2" w:space="0" w:color="231F20"/>
              <w:left w:val="single" w:sz="2" w:space="0" w:color="231F20"/>
              <w:right w:val="single" w:sz="2" w:space="0" w:color="231F20"/>
            </w:tcBorders>
          </w:tcPr>
          <w:p w14:paraId="7FAAF9EA" w14:textId="77777777" w:rsidR="00F65BCA" w:rsidRDefault="00F65BCA">
            <w:pPr>
              <w:pStyle w:val="TableParagraph"/>
              <w:spacing w:before="3"/>
              <w:rPr>
                <w:rFonts w:ascii="Calibri"/>
                <w:b/>
                <w:sz w:val="6"/>
              </w:rPr>
            </w:pPr>
          </w:p>
          <w:p w14:paraId="5D427E1E" w14:textId="77777777" w:rsidR="00F65BCA" w:rsidRDefault="00216117">
            <w:pPr>
              <w:pStyle w:val="TableParagraph"/>
              <w:spacing w:before="1" w:line="56" w:lineRule="exact"/>
              <w:ind w:left="12"/>
              <w:rPr>
                <w:rFonts w:ascii="Calibri"/>
                <w:sz w:val="6"/>
              </w:rPr>
            </w:pPr>
            <w:r>
              <w:rPr>
                <w:rFonts w:ascii="Calibri"/>
                <w:color w:val="231F20"/>
                <w:w w:val="233"/>
                <w:sz w:val="6"/>
              </w:rPr>
              <w:t xml:space="preserve"> </w:t>
            </w:r>
            <w:r>
              <w:rPr>
                <w:rFonts w:ascii="Calibri"/>
                <w:color w:val="231F20"/>
                <w:w w:val="266"/>
                <w:sz w:val="6"/>
              </w:rPr>
              <w:t xml:space="preserve"> </w:t>
            </w:r>
            <w:r>
              <w:rPr>
                <w:rFonts w:ascii="Calibri"/>
                <w:color w:val="231F20"/>
                <w:w w:val="105"/>
                <w:sz w:val="6"/>
              </w:rPr>
              <w:t>k</w:t>
            </w:r>
            <w:r>
              <w:rPr>
                <w:rFonts w:ascii="Calibri"/>
                <w:color w:val="231F20"/>
                <w:w w:val="233"/>
                <w:sz w:val="6"/>
              </w:rPr>
              <w:t xml:space="preserve">    </w:t>
            </w:r>
          </w:p>
        </w:tc>
        <w:tc>
          <w:tcPr>
            <w:tcW w:w="375" w:type="dxa"/>
            <w:tcBorders>
              <w:top w:val="single" w:sz="2" w:space="0" w:color="231F20"/>
              <w:left w:val="single" w:sz="2" w:space="0" w:color="231F20"/>
              <w:right w:val="single" w:sz="2" w:space="0" w:color="231F20"/>
            </w:tcBorders>
          </w:tcPr>
          <w:p w14:paraId="5AED2554" w14:textId="77777777" w:rsidR="00F65BCA" w:rsidRDefault="00F65BCA">
            <w:pPr>
              <w:pStyle w:val="TableParagraph"/>
              <w:spacing w:before="3"/>
              <w:rPr>
                <w:rFonts w:ascii="Calibri"/>
                <w:b/>
                <w:sz w:val="6"/>
              </w:rPr>
            </w:pPr>
          </w:p>
          <w:p w14:paraId="56BDFEF3" w14:textId="77777777" w:rsidR="00F65BCA" w:rsidRDefault="00216117">
            <w:pPr>
              <w:pStyle w:val="TableParagraph"/>
              <w:spacing w:before="1" w:line="56" w:lineRule="exact"/>
              <w:ind w:left="11"/>
              <w:rPr>
                <w:rFonts w:ascii="Calibri"/>
                <w:sz w:val="6"/>
              </w:rPr>
            </w:pPr>
            <w:r>
              <w:rPr>
                <w:rFonts w:ascii="Calibri"/>
                <w:color w:val="231F20"/>
                <w:w w:val="295"/>
                <w:sz w:val="6"/>
              </w:rPr>
              <w:t xml:space="preserve"> </w:t>
            </w:r>
            <w:r>
              <w:rPr>
                <w:rFonts w:ascii="Calibri"/>
                <w:color w:val="231F20"/>
                <w:w w:val="286"/>
                <w:sz w:val="6"/>
              </w:rPr>
              <w:t xml:space="preserve">   </w:t>
            </w:r>
            <w:r>
              <w:rPr>
                <w:rFonts w:ascii="Calibri"/>
                <w:color w:val="231F20"/>
                <w:w w:val="233"/>
                <w:sz w:val="6"/>
              </w:rPr>
              <w:t xml:space="preserve">    </w:t>
            </w:r>
          </w:p>
        </w:tc>
        <w:tc>
          <w:tcPr>
            <w:tcW w:w="663" w:type="dxa"/>
            <w:tcBorders>
              <w:top w:val="single" w:sz="2" w:space="0" w:color="231F20"/>
              <w:left w:val="single" w:sz="2" w:space="0" w:color="231F20"/>
              <w:right w:val="single" w:sz="2" w:space="0" w:color="231F20"/>
            </w:tcBorders>
          </w:tcPr>
          <w:p w14:paraId="51EA9EA5" w14:textId="77777777" w:rsidR="00F65BCA" w:rsidRDefault="00F65BCA">
            <w:pPr>
              <w:pStyle w:val="TableParagraph"/>
              <w:spacing w:before="3"/>
              <w:rPr>
                <w:rFonts w:ascii="Calibri"/>
                <w:b/>
                <w:sz w:val="6"/>
              </w:rPr>
            </w:pPr>
          </w:p>
          <w:p w14:paraId="30D50F23" w14:textId="77777777" w:rsidR="00F65BCA" w:rsidRDefault="00216117">
            <w:pPr>
              <w:pStyle w:val="TableParagraph"/>
              <w:spacing w:before="1" w:line="56" w:lineRule="exact"/>
              <w:ind w:left="10"/>
              <w:rPr>
                <w:rFonts w:ascii="Calibri"/>
                <w:sz w:val="6"/>
              </w:rPr>
            </w:pPr>
            <w:r>
              <w:rPr>
                <w:rFonts w:ascii="Calibri"/>
                <w:color w:val="231F20"/>
                <w:spacing w:val="-1"/>
                <w:w w:val="224"/>
                <w:sz w:val="6"/>
              </w:rPr>
              <w:t xml:space="preserve"> </w:t>
            </w:r>
            <w:r>
              <w:rPr>
                <w:rFonts w:ascii="Calibri"/>
                <w:color w:val="231F20"/>
                <w:w w:val="303"/>
                <w:sz w:val="6"/>
              </w:rPr>
              <w:t xml:space="preserve">   </w:t>
            </w:r>
            <w:r>
              <w:rPr>
                <w:rFonts w:ascii="Calibri"/>
                <w:color w:val="231F20"/>
                <w:w w:val="259"/>
                <w:sz w:val="6"/>
              </w:rPr>
              <w:t xml:space="preserve">   </w:t>
            </w:r>
            <w:r>
              <w:rPr>
                <w:rFonts w:ascii="Calibri"/>
                <w:color w:val="231F20"/>
                <w:w w:val="237"/>
                <w:sz w:val="6"/>
              </w:rPr>
              <w:t xml:space="preserve"> </w:t>
            </w:r>
            <w:r>
              <w:rPr>
                <w:rFonts w:ascii="Calibri"/>
                <w:color w:val="231F20"/>
                <w:w w:val="233"/>
                <w:sz w:val="6"/>
              </w:rPr>
              <w:t xml:space="preserve"> </w:t>
            </w:r>
            <w:r>
              <w:rPr>
                <w:rFonts w:ascii="Calibri"/>
                <w:color w:val="231F20"/>
                <w:w w:val="296"/>
                <w:sz w:val="6"/>
              </w:rPr>
              <w:t xml:space="preserve"> </w:t>
            </w:r>
            <w:r>
              <w:rPr>
                <w:rFonts w:ascii="Calibri"/>
                <w:color w:val="231F20"/>
                <w:w w:val="233"/>
                <w:sz w:val="6"/>
              </w:rPr>
              <w:t xml:space="preserve">       </w:t>
            </w:r>
          </w:p>
        </w:tc>
        <w:tc>
          <w:tcPr>
            <w:tcW w:w="433" w:type="dxa"/>
            <w:tcBorders>
              <w:top w:val="single" w:sz="2" w:space="0" w:color="231F20"/>
              <w:left w:val="single" w:sz="2" w:space="0" w:color="231F20"/>
              <w:right w:val="single" w:sz="2" w:space="0" w:color="231F20"/>
            </w:tcBorders>
          </w:tcPr>
          <w:p w14:paraId="78B27A78" w14:textId="77777777" w:rsidR="00F65BCA" w:rsidRDefault="00F65BCA">
            <w:pPr>
              <w:pStyle w:val="TableParagraph"/>
              <w:spacing w:before="3"/>
              <w:rPr>
                <w:rFonts w:ascii="Calibri"/>
                <w:b/>
                <w:sz w:val="6"/>
              </w:rPr>
            </w:pPr>
          </w:p>
          <w:p w14:paraId="721135BE" w14:textId="77777777" w:rsidR="00F65BCA" w:rsidRDefault="00216117">
            <w:pPr>
              <w:pStyle w:val="TableParagraph"/>
              <w:spacing w:before="1" w:line="56" w:lineRule="exact"/>
              <w:ind w:left="10"/>
              <w:rPr>
                <w:rFonts w:ascii="Calibri"/>
                <w:sz w:val="6"/>
              </w:rPr>
            </w:pPr>
            <w:r>
              <w:rPr>
                <w:rFonts w:ascii="Calibri"/>
                <w:color w:val="231F20"/>
                <w:spacing w:val="-1"/>
                <w:w w:val="211"/>
                <w:sz w:val="6"/>
              </w:rPr>
              <w:t xml:space="preserve"> </w:t>
            </w:r>
            <w:r>
              <w:rPr>
                <w:rFonts w:ascii="Calibri"/>
                <w:color w:val="231F20"/>
                <w:w w:val="238"/>
                <w:sz w:val="6"/>
              </w:rPr>
              <w:t xml:space="preserve"> </w:t>
            </w:r>
            <w:r>
              <w:rPr>
                <w:rFonts w:ascii="Calibri"/>
                <w:color w:val="231F20"/>
                <w:w w:val="293"/>
                <w:sz w:val="6"/>
              </w:rPr>
              <w:t xml:space="preserve"> </w:t>
            </w:r>
            <w:r>
              <w:rPr>
                <w:rFonts w:ascii="Calibri"/>
                <w:color w:val="231F20"/>
                <w:spacing w:val="-1"/>
                <w:w w:val="293"/>
                <w:sz w:val="6"/>
              </w:rPr>
              <w:t xml:space="preserve"> </w:t>
            </w:r>
            <w:r>
              <w:rPr>
                <w:rFonts w:ascii="Calibri"/>
                <w:color w:val="231F20"/>
                <w:w w:val="266"/>
                <w:sz w:val="6"/>
              </w:rPr>
              <w:t xml:space="preserve"> </w:t>
            </w:r>
          </w:p>
        </w:tc>
        <w:tc>
          <w:tcPr>
            <w:tcW w:w="913" w:type="dxa"/>
            <w:tcBorders>
              <w:top w:val="single" w:sz="2" w:space="0" w:color="231F20"/>
              <w:left w:val="single" w:sz="2" w:space="0" w:color="231F20"/>
              <w:right w:val="single" w:sz="2" w:space="0" w:color="231F20"/>
            </w:tcBorders>
          </w:tcPr>
          <w:p w14:paraId="1947A673" w14:textId="77777777" w:rsidR="00F65BCA" w:rsidRDefault="00F65BCA">
            <w:pPr>
              <w:pStyle w:val="TableParagraph"/>
              <w:spacing w:before="3"/>
              <w:rPr>
                <w:rFonts w:ascii="Calibri"/>
                <w:b/>
                <w:sz w:val="6"/>
              </w:rPr>
            </w:pPr>
          </w:p>
          <w:p w14:paraId="6CC936F5" w14:textId="77777777" w:rsidR="00F65BCA" w:rsidRDefault="00216117">
            <w:pPr>
              <w:pStyle w:val="TableParagraph"/>
              <w:spacing w:before="1" w:line="56" w:lineRule="exact"/>
              <w:ind w:left="9"/>
              <w:rPr>
                <w:rFonts w:ascii="Calibri"/>
                <w:sz w:val="6"/>
              </w:rPr>
            </w:pPr>
            <w:r>
              <w:rPr>
                <w:rFonts w:ascii="Calibri"/>
                <w:color w:val="231F20"/>
                <w:spacing w:val="-1"/>
                <w:w w:val="211"/>
                <w:sz w:val="6"/>
              </w:rPr>
              <w:t xml:space="preserve"> </w:t>
            </w:r>
            <w:r>
              <w:rPr>
                <w:rFonts w:ascii="Calibri"/>
                <w:color w:val="231F20"/>
                <w:w w:val="295"/>
                <w:sz w:val="6"/>
              </w:rPr>
              <w:t xml:space="preserve"> </w:t>
            </w:r>
            <w:r>
              <w:rPr>
                <w:rFonts w:ascii="Calibri"/>
                <w:color w:val="231F20"/>
                <w:w w:val="237"/>
                <w:sz w:val="6"/>
              </w:rPr>
              <w:t xml:space="preserve"> </w:t>
            </w:r>
            <w:r>
              <w:rPr>
                <w:rFonts w:ascii="Calibri"/>
                <w:color w:val="231F20"/>
                <w:spacing w:val="-1"/>
                <w:w w:val="224"/>
                <w:sz w:val="6"/>
              </w:rPr>
              <w:t xml:space="preserve"> </w:t>
            </w:r>
            <w:r>
              <w:rPr>
                <w:rFonts w:ascii="Calibri"/>
                <w:color w:val="231F20"/>
                <w:w w:val="249"/>
                <w:sz w:val="6"/>
              </w:rPr>
              <w:t xml:space="preserve">  </w:t>
            </w:r>
          </w:p>
        </w:tc>
        <w:tc>
          <w:tcPr>
            <w:tcW w:w="913" w:type="dxa"/>
            <w:tcBorders>
              <w:top w:val="single" w:sz="2" w:space="0" w:color="231F20"/>
              <w:left w:val="single" w:sz="2" w:space="0" w:color="231F20"/>
              <w:right w:val="single" w:sz="2" w:space="0" w:color="231F20"/>
            </w:tcBorders>
          </w:tcPr>
          <w:p w14:paraId="7E4E4325" w14:textId="77777777" w:rsidR="00F65BCA" w:rsidRDefault="00F65BCA">
            <w:pPr>
              <w:pStyle w:val="TableParagraph"/>
              <w:spacing w:before="3"/>
              <w:rPr>
                <w:rFonts w:ascii="Calibri"/>
                <w:b/>
                <w:sz w:val="6"/>
              </w:rPr>
            </w:pPr>
          </w:p>
          <w:p w14:paraId="1B72E33F" w14:textId="77777777" w:rsidR="00F65BCA" w:rsidRDefault="00216117">
            <w:pPr>
              <w:pStyle w:val="TableParagraph"/>
              <w:spacing w:before="1" w:line="56" w:lineRule="exact"/>
              <w:ind w:left="8"/>
              <w:rPr>
                <w:rFonts w:ascii="Calibri"/>
                <w:sz w:val="6"/>
              </w:rPr>
            </w:pPr>
            <w:r>
              <w:rPr>
                <w:rFonts w:ascii="Calibri"/>
                <w:color w:val="231F20"/>
                <w:w w:val="242"/>
                <w:sz w:val="6"/>
              </w:rPr>
              <w:t xml:space="preserve">   </w:t>
            </w:r>
            <w:r>
              <w:rPr>
                <w:rFonts w:ascii="Calibri"/>
                <w:color w:val="231F20"/>
                <w:w w:val="241"/>
                <w:sz w:val="6"/>
              </w:rPr>
              <w:t xml:space="preserve">  </w:t>
            </w:r>
            <w:r>
              <w:rPr>
                <w:rFonts w:ascii="Calibri"/>
                <w:color w:val="231F20"/>
                <w:w w:val="105"/>
                <w:sz w:val="6"/>
              </w:rPr>
              <w:t xml:space="preserve"> </w:t>
            </w:r>
            <w:r>
              <w:rPr>
                <w:rFonts w:ascii="Times New Roman"/>
                <w:color w:val="231F20"/>
                <w:sz w:val="6"/>
              </w:rPr>
              <w:t xml:space="preserve"> </w:t>
            </w:r>
            <w:r>
              <w:rPr>
                <w:rFonts w:ascii="Calibri"/>
                <w:color w:val="231F20"/>
                <w:w w:val="207"/>
                <w:sz w:val="6"/>
              </w:rPr>
              <w:t xml:space="preserve"> </w:t>
            </w:r>
            <w:r>
              <w:rPr>
                <w:rFonts w:ascii="Calibri"/>
                <w:color w:val="231F20"/>
                <w:w w:val="242"/>
                <w:sz w:val="6"/>
              </w:rPr>
              <w:t xml:space="preserve"> </w:t>
            </w:r>
            <w:r>
              <w:rPr>
                <w:rFonts w:ascii="Calibri"/>
                <w:color w:val="231F20"/>
                <w:w w:val="143"/>
                <w:sz w:val="6"/>
              </w:rPr>
              <w:t xml:space="preserve">  </w:t>
            </w:r>
            <w:r>
              <w:rPr>
                <w:rFonts w:ascii="Calibri"/>
                <w:color w:val="231F20"/>
                <w:w w:val="155"/>
                <w:sz w:val="6"/>
              </w:rPr>
              <w:t>r</w:t>
            </w:r>
            <w:r>
              <w:rPr>
                <w:rFonts w:ascii="Calibri"/>
                <w:color w:val="231F20"/>
                <w:w w:val="105"/>
                <w:sz w:val="6"/>
              </w:rPr>
              <w:t xml:space="preserve"> </w:t>
            </w:r>
            <w:r>
              <w:rPr>
                <w:rFonts w:ascii="Calibri"/>
                <w:color w:val="231F20"/>
                <w:w w:val="242"/>
                <w:sz w:val="6"/>
              </w:rPr>
              <w:t xml:space="preserve"> </w:t>
            </w:r>
          </w:p>
        </w:tc>
        <w:tc>
          <w:tcPr>
            <w:tcW w:w="265" w:type="dxa"/>
            <w:tcBorders>
              <w:top w:val="single" w:sz="2" w:space="0" w:color="231F20"/>
              <w:left w:val="single" w:sz="2" w:space="0" w:color="231F20"/>
              <w:right w:val="single" w:sz="2" w:space="0" w:color="231F20"/>
            </w:tcBorders>
          </w:tcPr>
          <w:p w14:paraId="2184A4A8" w14:textId="77777777" w:rsidR="00F65BCA" w:rsidRDefault="00F65BCA">
            <w:pPr>
              <w:pStyle w:val="TableParagraph"/>
              <w:spacing w:before="3"/>
              <w:rPr>
                <w:rFonts w:ascii="Calibri"/>
                <w:b/>
                <w:sz w:val="6"/>
              </w:rPr>
            </w:pPr>
          </w:p>
          <w:p w14:paraId="78AD806B" w14:textId="77777777" w:rsidR="00F65BCA" w:rsidRDefault="00216117">
            <w:pPr>
              <w:pStyle w:val="TableParagraph"/>
              <w:spacing w:before="1" w:line="56" w:lineRule="exact"/>
              <w:ind w:right="19"/>
              <w:jc w:val="right"/>
              <w:rPr>
                <w:rFonts w:ascii="Calibri"/>
                <w:sz w:val="6"/>
              </w:rPr>
            </w:pPr>
            <w:r>
              <w:rPr>
                <w:rFonts w:ascii="Calibri"/>
                <w:color w:val="231F20"/>
                <w:w w:val="233"/>
                <w:sz w:val="6"/>
              </w:rPr>
              <w:t xml:space="preserve">    </w:t>
            </w:r>
          </w:p>
        </w:tc>
        <w:tc>
          <w:tcPr>
            <w:tcW w:w="231" w:type="dxa"/>
            <w:tcBorders>
              <w:top w:val="single" w:sz="2" w:space="0" w:color="231F20"/>
              <w:left w:val="single" w:sz="2" w:space="0" w:color="231F20"/>
              <w:right w:val="single" w:sz="2" w:space="0" w:color="231F20"/>
            </w:tcBorders>
          </w:tcPr>
          <w:p w14:paraId="33247C56" w14:textId="77777777" w:rsidR="00F65BCA" w:rsidRDefault="00F65BCA">
            <w:pPr>
              <w:pStyle w:val="TableParagraph"/>
              <w:spacing w:before="3"/>
              <w:rPr>
                <w:rFonts w:ascii="Calibri"/>
                <w:b/>
                <w:sz w:val="6"/>
              </w:rPr>
            </w:pPr>
          </w:p>
          <w:p w14:paraId="19C2C5A3" w14:textId="77777777" w:rsidR="00F65BCA" w:rsidRDefault="00216117">
            <w:pPr>
              <w:pStyle w:val="TableParagraph"/>
              <w:spacing w:before="1" w:line="56" w:lineRule="exact"/>
              <w:ind w:right="19"/>
              <w:jc w:val="right"/>
              <w:rPr>
                <w:rFonts w:ascii="Calibri"/>
                <w:sz w:val="6"/>
              </w:rPr>
            </w:pPr>
            <w:r>
              <w:rPr>
                <w:rFonts w:ascii="Calibri"/>
                <w:color w:val="231F20"/>
                <w:w w:val="233"/>
                <w:sz w:val="6"/>
              </w:rPr>
              <w:t xml:space="preserve">    </w:t>
            </w:r>
          </w:p>
        </w:tc>
        <w:tc>
          <w:tcPr>
            <w:tcW w:w="221" w:type="dxa"/>
            <w:tcBorders>
              <w:top w:val="single" w:sz="2" w:space="0" w:color="231F20"/>
              <w:left w:val="single" w:sz="2" w:space="0" w:color="231F20"/>
              <w:right w:val="single" w:sz="2" w:space="0" w:color="231F20"/>
            </w:tcBorders>
          </w:tcPr>
          <w:p w14:paraId="6024C240" w14:textId="77777777" w:rsidR="00F65BCA" w:rsidRDefault="00F65BCA">
            <w:pPr>
              <w:pStyle w:val="TableParagraph"/>
              <w:spacing w:before="3"/>
              <w:rPr>
                <w:rFonts w:ascii="Calibri"/>
                <w:b/>
                <w:sz w:val="6"/>
              </w:rPr>
            </w:pPr>
          </w:p>
          <w:p w14:paraId="7D3CE863" w14:textId="77777777" w:rsidR="00F65BCA" w:rsidRDefault="00216117">
            <w:pPr>
              <w:pStyle w:val="TableParagraph"/>
              <w:spacing w:before="1" w:line="56" w:lineRule="exact"/>
              <w:ind w:right="18"/>
              <w:jc w:val="right"/>
              <w:rPr>
                <w:rFonts w:ascii="Calibri"/>
                <w:sz w:val="6"/>
              </w:rPr>
            </w:pPr>
            <w:r>
              <w:rPr>
                <w:rFonts w:ascii="Calibri"/>
                <w:color w:val="231F20"/>
                <w:w w:val="233"/>
                <w:sz w:val="6"/>
              </w:rPr>
              <w:t xml:space="preserve">   </w:t>
            </w:r>
          </w:p>
        </w:tc>
        <w:tc>
          <w:tcPr>
            <w:tcW w:w="336" w:type="dxa"/>
            <w:tcBorders>
              <w:top w:val="single" w:sz="2" w:space="0" w:color="231F20"/>
              <w:left w:val="single" w:sz="2" w:space="0" w:color="231F20"/>
              <w:right w:val="single" w:sz="2" w:space="0" w:color="231F20"/>
            </w:tcBorders>
          </w:tcPr>
          <w:p w14:paraId="24AC27AF" w14:textId="77777777" w:rsidR="00F65BCA" w:rsidRDefault="00F65BCA">
            <w:pPr>
              <w:pStyle w:val="TableParagraph"/>
              <w:spacing w:before="3"/>
              <w:rPr>
                <w:rFonts w:ascii="Calibri"/>
                <w:b/>
                <w:sz w:val="6"/>
              </w:rPr>
            </w:pPr>
          </w:p>
          <w:p w14:paraId="7B7B3904" w14:textId="77777777" w:rsidR="00F65BCA" w:rsidRDefault="00216117">
            <w:pPr>
              <w:pStyle w:val="TableParagraph"/>
              <w:spacing w:before="1" w:line="56" w:lineRule="exact"/>
              <w:ind w:right="19"/>
              <w:jc w:val="right"/>
              <w:rPr>
                <w:rFonts w:ascii="Calibri"/>
                <w:sz w:val="6"/>
              </w:rPr>
            </w:pPr>
            <w:r>
              <w:rPr>
                <w:rFonts w:ascii="Calibri"/>
                <w:color w:val="231F20"/>
                <w:w w:val="233"/>
                <w:sz w:val="6"/>
              </w:rPr>
              <w:t xml:space="preserve">    </w:t>
            </w:r>
          </w:p>
        </w:tc>
        <w:tc>
          <w:tcPr>
            <w:tcW w:w="240" w:type="dxa"/>
            <w:tcBorders>
              <w:top w:val="single" w:sz="2" w:space="0" w:color="231F20"/>
              <w:left w:val="single" w:sz="2" w:space="0" w:color="231F20"/>
              <w:right w:val="single" w:sz="2" w:space="0" w:color="231F20"/>
            </w:tcBorders>
          </w:tcPr>
          <w:p w14:paraId="4147437E" w14:textId="77777777" w:rsidR="00F65BCA" w:rsidRDefault="00F65BCA">
            <w:pPr>
              <w:pStyle w:val="TableParagraph"/>
              <w:spacing w:before="3"/>
              <w:rPr>
                <w:rFonts w:ascii="Calibri"/>
                <w:b/>
                <w:sz w:val="6"/>
              </w:rPr>
            </w:pPr>
          </w:p>
          <w:p w14:paraId="65F5081F" w14:textId="77777777" w:rsidR="00F65BCA" w:rsidRDefault="00216117">
            <w:pPr>
              <w:pStyle w:val="TableParagraph"/>
              <w:spacing w:before="1" w:line="56" w:lineRule="exact"/>
              <w:ind w:right="9"/>
              <w:jc w:val="center"/>
              <w:rPr>
                <w:rFonts w:ascii="Calibri"/>
                <w:sz w:val="6"/>
              </w:rPr>
            </w:pPr>
            <w:r>
              <w:rPr>
                <w:rFonts w:ascii="Calibri"/>
                <w:color w:val="231F20"/>
                <w:w w:val="233"/>
                <w:sz w:val="6"/>
              </w:rPr>
              <w:t xml:space="preserve"> </w:t>
            </w:r>
          </w:p>
        </w:tc>
        <w:tc>
          <w:tcPr>
            <w:tcW w:w="278" w:type="dxa"/>
            <w:tcBorders>
              <w:top w:val="single" w:sz="2" w:space="0" w:color="231F20"/>
              <w:left w:val="single" w:sz="2" w:space="0" w:color="231F20"/>
              <w:right w:val="single" w:sz="2" w:space="0" w:color="231F20"/>
            </w:tcBorders>
          </w:tcPr>
          <w:p w14:paraId="044574D1" w14:textId="77777777" w:rsidR="00F65BCA" w:rsidRDefault="00F65BCA">
            <w:pPr>
              <w:pStyle w:val="TableParagraph"/>
              <w:spacing w:before="3"/>
              <w:rPr>
                <w:rFonts w:ascii="Calibri"/>
                <w:b/>
                <w:sz w:val="6"/>
              </w:rPr>
            </w:pPr>
          </w:p>
          <w:p w14:paraId="779F2A73" w14:textId="77777777" w:rsidR="00F65BCA" w:rsidRDefault="00216117">
            <w:pPr>
              <w:pStyle w:val="TableParagraph"/>
              <w:spacing w:before="1" w:line="56" w:lineRule="exact"/>
              <w:ind w:right="15"/>
              <w:jc w:val="center"/>
              <w:rPr>
                <w:rFonts w:ascii="Calibri"/>
                <w:sz w:val="6"/>
              </w:rPr>
            </w:pPr>
            <w:r>
              <w:rPr>
                <w:rFonts w:ascii="Calibri"/>
                <w:color w:val="231F20"/>
                <w:w w:val="296"/>
                <w:sz w:val="6"/>
              </w:rPr>
              <w:t xml:space="preserve"> </w:t>
            </w:r>
            <w:r>
              <w:rPr>
                <w:rFonts w:ascii="Calibri"/>
                <w:color w:val="231F20"/>
                <w:w w:val="180"/>
                <w:sz w:val="6"/>
              </w:rPr>
              <w:t xml:space="preserve"> </w:t>
            </w:r>
            <w:r>
              <w:rPr>
                <w:rFonts w:ascii="Calibri"/>
                <w:color w:val="231F20"/>
                <w:spacing w:val="-1"/>
                <w:w w:val="180"/>
                <w:sz w:val="6"/>
              </w:rPr>
              <w:t xml:space="preserve"> </w:t>
            </w:r>
            <w:r>
              <w:rPr>
                <w:rFonts w:ascii="Calibri"/>
                <w:color w:val="231F20"/>
                <w:w w:val="187"/>
                <w:sz w:val="6"/>
              </w:rPr>
              <w:t xml:space="preserve">  </w:t>
            </w:r>
          </w:p>
        </w:tc>
        <w:tc>
          <w:tcPr>
            <w:tcW w:w="268" w:type="dxa"/>
            <w:tcBorders>
              <w:top w:val="single" w:sz="2" w:space="0" w:color="231F20"/>
              <w:left w:val="single" w:sz="2" w:space="0" w:color="231F20"/>
              <w:right w:val="single" w:sz="2" w:space="0" w:color="231F20"/>
            </w:tcBorders>
          </w:tcPr>
          <w:p w14:paraId="302C6448" w14:textId="77777777" w:rsidR="00F65BCA" w:rsidRDefault="00F65BCA">
            <w:pPr>
              <w:pStyle w:val="TableParagraph"/>
              <w:spacing w:before="3"/>
              <w:rPr>
                <w:rFonts w:ascii="Calibri"/>
                <w:b/>
                <w:sz w:val="6"/>
              </w:rPr>
            </w:pPr>
          </w:p>
          <w:p w14:paraId="320FE437" w14:textId="77777777" w:rsidR="00F65BCA" w:rsidRDefault="00216117">
            <w:pPr>
              <w:pStyle w:val="TableParagraph"/>
              <w:spacing w:before="1" w:line="56" w:lineRule="exact"/>
              <w:ind w:right="7"/>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12" w:type="dxa"/>
            <w:tcBorders>
              <w:top w:val="single" w:sz="2" w:space="0" w:color="231F20"/>
              <w:left w:val="single" w:sz="2" w:space="0" w:color="231F20"/>
              <w:right w:val="single" w:sz="2" w:space="0" w:color="231F20"/>
            </w:tcBorders>
          </w:tcPr>
          <w:p w14:paraId="26B2E574" w14:textId="77777777" w:rsidR="00F65BCA" w:rsidRDefault="00F65BCA">
            <w:pPr>
              <w:pStyle w:val="TableParagraph"/>
              <w:spacing w:before="3"/>
              <w:rPr>
                <w:rFonts w:ascii="Calibri"/>
                <w:b/>
                <w:sz w:val="6"/>
              </w:rPr>
            </w:pPr>
          </w:p>
          <w:p w14:paraId="381953F4" w14:textId="77777777" w:rsidR="00F65BCA" w:rsidRDefault="00216117">
            <w:pPr>
              <w:pStyle w:val="TableParagraph"/>
              <w:spacing w:before="1" w:line="56" w:lineRule="exact"/>
              <w:ind w:right="51"/>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268" w:type="dxa"/>
            <w:tcBorders>
              <w:top w:val="single" w:sz="2" w:space="0" w:color="231F20"/>
              <w:left w:val="single" w:sz="2" w:space="0" w:color="231F20"/>
              <w:right w:val="single" w:sz="2" w:space="0" w:color="231F20"/>
            </w:tcBorders>
          </w:tcPr>
          <w:p w14:paraId="3EB6960D" w14:textId="77777777" w:rsidR="00F65BCA" w:rsidRDefault="00F65BCA">
            <w:pPr>
              <w:pStyle w:val="TableParagraph"/>
              <w:spacing w:before="3"/>
              <w:rPr>
                <w:rFonts w:ascii="Calibri"/>
                <w:b/>
                <w:sz w:val="6"/>
              </w:rPr>
            </w:pPr>
          </w:p>
          <w:p w14:paraId="7DA74577" w14:textId="77777777" w:rsidR="00F65BCA" w:rsidRDefault="00216117">
            <w:pPr>
              <w:pStyle w:val="TableParagraph"/>
              <w:spacing w:before="1" w:line="56" w:lineRule="exact"/>
              <w:ind w:right="4"/>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11" w:type="dxa"/>
            <w:tcBorders>
              <w:top w:val="single" w:sz="2" w:space="0" w:color="231F20"/>
              <w:left w:val="single" w:sz="2" w:space="0" w:color="231F20"/>
              <w:right w:val="single" w:sz="2" w:space="0" w:color="231F20"/>
            </w:tcBorders>
          </w:tcPr>
          <w:p w14:paraId="1520D0C8" w14:textId="77777777" w:rsidR="00F65BCA" w:rsidRDefault="00F65BCA">
            <w:pPr>
              <w:pStyle w:val="TableParagraph"/>
              <w:spacing w:before="3"/>
              <w:rPr>
                <w:rFonts w:ascii="Calibri"/>
                <w:b/>
                <w:sz w:val="6"/>
              </w:rPr>
            </w:pPr>
          </w:p>
          <w:p w14:paraId="26F64786" w14:textId="77777777" w:rsidR="00F65BCA" w:rsidRDefault="00216117">
            <w:pPr>
              <w:pStyle w:val="TableParagraph"/>
              <w:spacing w:before="1" w:line="56" w:lineRule="exact"/>
              <w:ind w:right="91"/>
              <w:jc w:val="right"/>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50" w:type="dxa"/>
            <w:tcBorders>
              <w:top w:val="single" w:sz="2" w:space="0" w:color="231F20"/>
              <w:left w:val="single" w:sz="2" w:space="0" w:color="231F20"/>
              <w:right w:val="single" w:sz="2" w:space="0" w:color="231F20"/>
            </w:tcBorders>
          </w:tcPr>
          <w:p w14:paraId="5122A25D" w14:textId="77777777" w:rsidR="00F65BCA" w:rsidRDefault="00F65BCA">
            <w:pPr>
              <w:pStyle w:val="TableParagraph"/>
              <w:spacing w:before="3"/>
              <w:rPr>
                <w:rFonts w:ascii="Calibri"/>
                <w:b/>
                <w:sz w:val="6"/>
              </w:rPr>
            </w:pPr>
          </w:p>
          <w:p w14:paraId="38BBBCF3" w14:textId="77777777" w:rsidR="00F65BCA" w:rsidRDefault="00216117">
            <w:pPr>
              <w:pStyle w:val="TableParagraph"/>
              <w:spacing w:before="1" w:line="56" w:lineRule="exact"/>
              <w:ind w:right="23"/>
              <w:jc w:val="right"/>
              <w:rPr>
                <w:rFonts w:ascii="Calibri"/>
                <w:sz w:val="6"/>
              </w:rPr>
            </w:pPr>
            <w:r>
              <w:rPr>
                <w:rFonts w:ascii="Calibri"/>
                <w:color w:val="231F20"/>
                <w:w w:val="233"/>
                <w:sz w:val="6"/>
              </w:rPr>
              <w:t xml:space="preserve">  </w:t>
            </w:r>
            <w:r>
              <w:rPr>
                <w:rFonts w:ascii="Times New Roman"/>
                <w:color w:val="231F20"/>
                <w:spacing w:val="-1"/>
                <w:sz w:val="6"/>
              </w:rPr>
              <w:t xml:space="preserve"> </w:t>
            </w:r>
            <w:r>
              <w:rPr>
                <w:rFonts w:ascii="Calibri"/>
                <w:color w:val="231F20"/>
                <w:w w:val="233"/>
                <w:sz w:val="6"/>
              </w:rPr>
              <w:t xml:space="preserve">   </w:t>
            </w:r>
            <w:r>
              <w:rPr>
                <w:rFonts w:ascii="Times New Roman"/>
                <w:color w:val="231F20"/>
                <w:spacing w:val="-1"/>
                <w:sz w:val="6"/>
              </w:rPr>
              <w:t xml:space="preserve"> </w:t>
            </w:r>
            <w:r>
              <w:rPr>
                <w:rFonts w:ascii="Calibri"/>
                <w:color w:val="231F20"/>
                <w:w w:val="238"/>
                <w:sz w:val="6"/>
              </w:rPr>
              <w:t xml:space="preserve"> </w:t>
            </w:r>
            <w:r>
              <w:rPr>
                <w:rFonts w:ascii="Calibri"/>
                <w:color w:val="231F20"/>
                <w:w w:val="194"/>
                <w:sz w:val="6"/>
              </w:rPr>
              <w:t xml:space="preserve"> </w:t>
            </w:r>
          </w:p>
        </w:tc>
        <w:tc>
          <w:tcPr>
            <w:tcW w:w="450" w:type="dxa"/>
            <w:tcBorders>
              <w:top w:val="single" w:sz="2" w:space="0" w:color="231F20"/>
              <w:left w:val="single" w:sz="2" w:space="0" w:color="231F20"/>
              <w:right w:val="single" w:sz="2" w:space="0" w:color="231F20"/>
            </w:tcBorders>
          </w:tcPr>
          <w:p w14:paraId="154C9716" w14:textId="77777777" w:rsidR="00F65BCA" w:rsidRDefault="00F65BCA">
            <w:pPr>
              <w:pStyle w:val="TableParagraph"/>
              <w:spacing w:before="3"/>
              <w:rPr>
                <w:rFonts w:ascii="Calibri"/>
                <w:b/>
                <w:sz w:val="6"/>
              </w:rPr>
            </w:pPr>
          </w:p>
          <w:p w14:paraId="364CF48B" w14:textId="77777777" w:rsidR="00F65BCA" w:rsidRDefault="00216117">
            <w:pPr>
              <w:pStyle w:val="TableParagraph"/>
              <w:spacing w:before="1" w:line="56" w:lineRule="exact"/>
              <w:ind w:left="19"/>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296" w:type="dxa"/>
            <w:tcBorders>
              <w:top w:val="single" w:sz="2" w:space="0" w:color="231F20"/>
              <w:left w:val="single" w:sz="2" w:space="0" w:color="231F20"/>
              <w:right w:val="single" w:sz="2" w:space="0" w:color="231F20"/>
            </w:tcBorders>
          </w:tcPr>
          <w:p w14:paraId="414E5243" w14:textId="77777777" w:rsidR="00F65BCA" w:rsidRDefault="00F65BCA">
            <w:pPr>
              <w:pStyle w:val="TableParagraph"/>
              <w:spacing w:before="3"/>
              <w:rPr>
                <w:rFonts w:ascii="Calibri"/>
                <w:b/>
                <w:sz w:val="6"/>
              </w:rPr>
            </w:pPr>
          </w:p>
          <w:p w14:paraId="74B69F0A" w14:textId="77777777" w:rsidR="00F65BCA" w:rsidRDefault="00216117">
            <w:pPr>
              <w:pStyle w:val="TableParagraph"/>
              <w:spacing w:before="1" w:line="56" w:lineRule="exact"/>
              <w:ind w:left="3"/>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392" w:type="dxa"/>
            <w:tcBorders>
              <w:top w:val="single" w:sz="2" w:space="0" w:color="231F20"/>
              <w:left w:val="single" w:sz="2" w:space="0" w:color="231F20"/>
              <w:right w:val="single" w:sz="2" w:space="0" w:color="231F20"/>
            </w:tcBorders>
          </w:tcPr>
          <w:p w14:paraId="1D004682" w14:textId="77777777" w:rsidR="00F65BCA" w:rsidRDefault="00F65BCA">
            <w:pPr>
              <w:pStyle w:val="TableParagraph"/>
              <w:spacing w:before="3"/>
              <w:rPr>
                <w:rFonts w:ascii="Calibri"/>
                <w:b/>
                <w:sz w:val="6"/>
              </w:rPr>
            </w:pPr>
          </w:p>
          <w:p w14:paraId="2E9DB714" w14:textId="77777777" w:rsidR="00F65BCA" w:rsidRDefault="00216117">
            <w:pPr>
              <w:pStyle w:val="TableParagraph"/>
              <w:spacing w:before="1" w:line="56" w:lineRule="exact"/>
              <w:ind w:left="6"/>
              <w:jc w:val="center"/>
              <w:rPr>
                <w:rFonts w:ascii="Calibri"/>
                <w:sz w:val="6"/>
              </w:rPr>
            </w:pPr>
            <w:r>
              <w:rPr>
                <w:rFonts w:ascii="Calibri"/>
                <w:color w:val="231F20"/>
                <w:w w:val="266"/>
                <w:sz w:val="6"/>
              </w:rPr>
              <w:t xml:space="preserve"> </w:t>
            </w:r>
            <w:r>
              <w:rPr>
                <w:rFonts w:ascii="Calibri"/>
                <w:color w:val="231F20"/>
                <w:w w:val="296"/>
                <w:sz w:val="6"/>
              </w:rPr>
              <w:t xml:space="preserve"> </w:t>
            </w:r>
            <w:r>
              <w:rPr>
                <w:rFonts w:ascii="Calibri"/>
                <w:color w:val="231F20"/>
                <w:w w:val="304"/>
                <w:sz w:val="6"/>
              </w:rPr>
              <w:t xml:space="preserve"> </w:t>
            </w:r>
          </w:p>
        </w:tc>
        <w:tc>
          <w:tcPr>
            <w:tcW w:w="428" w:type="dxa"/>
            <w:tcBorders>
              <w:top w:val="single" w:sz="2" w:space="0" w:color="231F20"/>
              <w:left w:val="single" w:sz="2" w:space="0" w:color="231F20"/>
            </w:tcBorders>
          </w:tcPr>
          <w:p w14:paraId="73854989" w14:textId="77777777" w:rsidR="00F65BCA" w:rsidRDefault="00F65BCA">
            <w:pPr>
              <w:pStyle w:val="TableParagraph"/>
              <w:rPr>
                <w:rFonts w:ascii="Times New Roman"/>
                <w:sz w:val="6"/>
              </w:rPr>
            </w:pPr>
          </w:p>
        </w:tc>
        <w:tc>
          <w:tcPr>
            <w:tcW w:w="414" w:type="dxa"/>
            <w:tcBorders>
              <w:top w:val="single" w:sz="2" w:space="0" w:color="231F20"/>
              <w:right w:val="single" w:sz="2" w:space="0" w:color="231F20"/>
            </w:tcBorders>
            <w:shd w:val="clear" w:color="auto" w:fill="F9F39A"/>
          </w:tcPr>
          <w:p w14:paraId="5B6313B7" w14:textId="77777777" w:rsidR="00F65BCA" w:rsidRDefault="00F65BCA">
            <w:pPr>
              <w:pStyle w:val="TableParagraph"/>
              <w:rPr>
                <w:rFonts w:ascii="Times New Roman"/>
                <w:sz w:val="6"/>
              </w:rPr>
            </w:pPr>
          </w:p>
        </w:tc>
        <w:tc>
          <w:tcPr>
            <w:tcW w:w="412" w:type="dxa"/>
            <w:tcBorders>
              <w:top w:val="single" w:sz="2" w:space="0" w:color="231F20"/>
              <w:left w:val="single" w:sz="2" w:space="0" w:color="231F20"/>
              <w:right w:val="single" w:sz="2" w:space="0" w:color="231F20"/>
            </w:tcBorders>
            <w:shd w:val="clear" w:color="auto" w:fill="F9F39A"/>
          </w:tcPr>
          <w:p w14:paraId="02F83292" w14:textId="77777777" w:rsidR="00F65BCA" w:rsidRDefault="00F65BCA">
            <w:pPr>
              <w:pStyle w:val="TableParagraph"/>
              <w:rPr>
                <w:rFonts w:ascii="Times New Roman"/>
                <w:sz w:val="6"/>
              </w:rPr>
            </w:pPr>
          </w:p>
        </w:tc>
        <w:tc>
          <w:tcPr>
            <w:tcW w:w="412" w:type="dxa"/>
            <w:tcBorders>
              <w:top w:val="single" w:sz="2" w:space="0" w:color="231F20"/>
              <w:left w:val="single" w:sz="2" w:space="0" w:color="231F20"/>
              <w:right w:val="single" w:sz="2" w:space="0" w:color="231F20"/>
            </w:tcBorders>
            <w:shd w:val="clear" w:color="auto" w:fill="F9F39A"/>
          </w:tcPr>
          <w:p w14:paraId="06B8AB69" w14:textId="77777777" w:rsidR="00F65BCA" w:rsidRDefault="00F65BCA">
            <w:pPr>
              <w:pStyle w:val="TableParagraph"/>
              <w:rPr>
                <w:rFonts w:ascii="Times New Roman"/>
                <w:sz w:val="6"/>
              </w:rPr>
            </w:pPr>
          </w:p>
        </w:tc>
        <w:tc>
          <w:tcPr>
            <w:tcW w:w="412" w:type="dxa"/>
            <w:tcBorders>
              <w:top w:val="single" w:sz="2" w:space="0" w:color="231F20"/>
              <w:left w:val="single" w:sz="2" w:space="0" w:color="231F20"/>
              <w:right w:val="single" w:sz="2" w:space="0" w:color="231F20"/>
            </w:tcBorders>
            <w:shd w:val="clear" w:color="auto" w:fill="F9F39A"/>
          </w:tcPr>
          <w:p w14:paraId="7594A09A" w14:textId="77777777" w:rsidR="00F65BCA" w:rsidRDefault="00F65BCA">
            <w:pPr>
              <w:pStyle w:val="TableParagraph"/>
              <w:rPr>
                <w:rFonts w:ascii="Times New Roman"/>
                <w:sz w:val="6"/>
              </w:rPr>
            </w:pPr>
          </w:p>
        </w:tc>
        <w:tc>
          <w:tcPr>
            <w:tcW w:w="410" w:type="dxa"/>
            <w:tcBorders>
              <w:top w:val="single" w:sz="2" w:space="0" w:color="231F20"/>
              <w:left w:val="single" w:sz="2" w:space="0" w:color="231F20"/>
            </w:tcBorders>
            <w:shd w:val="clear" w:color="auto" w:fill="F9F39A"/>
          </w:tcPr>
          <w:p w14:paraId="61E23363" w14:textId="77777777" w:rsidR="00F65BCA" w:rsidRDefault="00F65BCA">
            <w:pPr>
              <w:pStyle w:val="TableParagraph"/>
              <w:rPr>
                <w:rFonts w:ascii="Times New Roman"/>
                <w:sz w:val="6"/>
              </w:rPr>
            </w:pPr>
          </w:p>
        </w:tc>
      </w:tr>
    </w:tbl>
    <w:p w14:paraId="7AC2687C" w14:textId="77777777" w:rsidR="00F65BCA" w:rsidRDefault="00F65BCA">
      <w:pPr>
        <w:pStyle w:val="Zkladntext"/>
        <w:spacing w:before="11"/>
        <w:rPr>
          <w:rFonts w:ascii="Calibri"/>
          <w:b/>
          <w:sz w:val="5"/>
        </w:rPr>
      </w:pPr>
    </w:p>
    <w:tbl>
      <w:tblPr>
        <w:tblStyle w:val="TableNormal"/>
        <w:tblW w:w="0" w:type="auto"/>
        <w:tblInd w:w="100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23"/>
        <w:gridCol w:w="415"/>
        <w:gridCol w:w="413"/>
        <w:gridCol w:w="413"/>
        <w:gridCol w:w="413"/>
        <w:gridCol w:w="411"/>
      </w:tblGrid>
      <w:tr w:rsidR="00F65BCA" w14:paraId="35394E72" w14:textId="77777777">
        <w:trPr>
          <w:trHeight w:val="153"/>
        </w:trPr>
        <w:tc>
          <w:tcPr>
            <w:tcW w:w="1123" w:type="dxa"/>
            <w:tcBorders>
              <w:bottom w:val="single" w:sz="2" w:space="0" w:color="231F20"/>
            </w:tcBorders>
          </w:tcPr>
          <w:p w14:paraId="0F2F4679" w14:textId="77777777" w:rsidR="00F65BCA" w:rsidRDefault="00216117">
            <w:pPr>
              <w:pStyle w:val="TableParagraph"/>
              <w:spacing w:before="34"/>
              <w:ind w:left="38"/>
              <w:rPr>
                <w:rFonts w:ascii="Calibri" w:hAnsi="Calibri"/>
                <w:b/>
                <w:sz w:val="7"/>
              </w:rPr>
            </w:pPr>
            <w:r>
              <w:rPr>
                <w:rFonts w:ascii="Calibri" w:hAnsi="Calibri"/>
                <w:b/>
                <w:color w:val="231F20"/>
                <w:w w:val="256"/>
                <w:sz w:val="7"/>
              </w:rPr>
              <w:t xml:space="preserve"> </w:t>
            </w:r>
            <w:r>
              <w:rPr>
                <w:rFonts w:ascii="Calibri" w:hAnsi="Calibri"/>
                <w:b/>
                <w:color w:val="231F20"/>
                <w:w w:val="110"/>
                <w:sz w:val="7"/>
              </w:rPr>
              <w:t>elkové roční po né</w:t>
            </w:r>
          </w:p>
        </w:tc>
        <w:tc>
          <w:tcPr>
            <w:tcW w:w="415" w:type="dxa"/>
            <w:tcBorders>
              <w:bottom w:val="single" w:sz="2" w:space="0" w:color="231F20"/>
              <w:right w:val="single" w:sz="2" w:space="0" w:color="231F20"/>
            </w:tcBorders>
          </w:tcPr>
          <w:p w14:paraId="23AF5950" w14:textId="77777777" w:rsidR="00F65BCA" w:rsidRDefault="00216117">
            <w:pPr>
              <w:pStyle w:val="TableParagraph"/>
              <w:spacing w:before="34"/>
              <w:ind w:left="268"/>
              <w:rPr>
                <w:rFonts w:ascii="Calibri" w:hAnsi="Calibri"/>
                <w:b/>
                <w:sz w:val="7"/>
              </w:rPr>
            </w:pPr>
            <w:r>
              <w:rPr>
                <w:rFonts w:ascii="Calibri" w:hAnsi="Calibri"/>
                <w:b/>
                <w:color w:val="231F20"/>
                <w:sz w:val="7"/>
              </w:rPr>
              <w:t>O Kč</w:t>
            </w:r>
          </w:p>
        </w:tc>
        <w:tc>
          <w:tcPr>
            <w:tcW w:w="413" w:type="dxa"/>
            <w:tcBorders>
              <w:left w:val="single" w:sz="2" w:space="0" w:color="231F20"/>
              <w:bottom w:val="single" w:sz="2" w:space="0" w:color="231F20"/>
              <w:right w:val="single" w:sz="2" w:space="0" w:color="231F20"/>
            </w:tcBorders>
          </w:tcPr>
          <w:p w14:paraId="1902253C" w14:textId="77777777" w:rsidR="00F65BCA" w:rsidRDefault="00216117">
            <w:pPr>
              <w:pStyle w:val="TableParagraph"/>
              <w:spacing w:before="34"/>
              <w:ind w:left="268"/>
              <w:rPr>
                <w:rFonts w:ascii="Calibri" w:hAnsi="Calibri"/>
                <w:b/>
                <w:sz w:val="7"/>
              </w:rPr>
            </w:pPr>
            <w:r>
              <w:rPr>
                <w:rFonts w:ascii="Calibri" w:hAnsi="Calibri"/>
                <w:b/>
                <w:color w:val="231F20"/>
                <w:sz w:val="7"/>
              </w:rPr>
              <w:t>O Kč</w:t>
            </w:r>
          </w:p>
        </w:tc>
        <w:tc>
          <w:tcPr>
            <w:tcW w:w="413" w:type="dxa"/>
            <w:tcBorders>
              <w:left w:val="single" w:sz="2" w:space="0" w:color="231F20"/>
              <w:bottom w:val="single" w:sz="2" w:space="0" w:color="231F20"/>
              <w:right w:val="single" w:sz="2" w:space="0" w:color="231F20"/>
            </w:tcBorders>
          </w:tcPr>
          <w:p w14:paraId="025B3A1B" w14:textId="77777777" w:rsidR="00F65BCA" w:rsidRDefault="00216117">
            <w:pPr>
              <w:pStyle w:val="TableParagraph"/>
              <w:spacing w:before="34"/>
              <w:ind w:left="268"/>
              <w:rPr>
                <w:rFonts w:ascii="Calibri" w:hAnsi="Calibri"/>
                <w:b/>
                <w:sz w:val="7"/>
              </w:rPr>
            </w:pPr>
            <w:r>
              <w:rPr>
                <w:rFonts w:ascii="Calibri" w:hAnsi="Calibri"/>
                <w:b/>
                <w:color w:val="231F20"/>
                <w:sz w:val="7"/>
              </w:rPr>
              <w:t>O Kč</w:t>
            </w:r>
          </w:p>
        </w:tc>
        <w:tc>
          <w:tcPr>
            <w:tcW w:w="413" w:type="dxa"/>
            <w:tcBorders>
              <w:left w:val="single" w:sz="2" w:space="0" w:color="231F20"/>
              <w:bottom w:val="single" w:sz="2" w:space="0" w:color="231F20"/>
              <w:right w:val="single" w:sz="2" w:space="0" w:color="231F20"/>
            </w:tcBorders>
          </w:tcPr>
          <w:p w14:paraId="00D0BFFB" w14:textId="77777777" w:rsidR="00F65BCA" w:rsidRDefault="00216117">
            <w:pPr>
              <w:pStyle w:val="TableParagraph"/>
              <w:spacing w:before="34"/>
              <w:ind w:left="268"/>
              <w:rPr>
                <w:rFonts w:ascii="Calibri" w:hAnsi="Calibri"/>
                <w:b/>
                <w:sz w:val="7"/>
              </w:rPr>
            </w:pPr>
            <w:r>
              <w:rPr>
                <w:rFonts w:ascii="Calibri" w:hAnsi="Calibri"/>
                <w:b/>
                <w:color w:val="231F20"/>
                <w:sz w:val="7"/>
              </w:rPr>
              <w:t>O Kč</w:t>
            </w:r>
          </w:p>
        </w:tc>
        <w:tc>
          <w:tcPr>
            <w:tcW w:w="411" w:type="dxa"/>
            <w:tcBorders>
              <w:left w:val="single" w:sz="2" w:space="0" w:color="231F20"/>
              <w:bottom w:val="single" w:sz="2" w:space="0" w:color="231F20"/>
            </w:tcBorders>
          </w:tcPr>
          <w:p w14:paraId="6361AD11" w14:textId="77777777" w:rsidR="00F65BCA" w:rsidRDefault="00216117">
            <w:pPr>
              <w:pStyle w:val="TableParagraph"/>
              <w:spacing w:before="34"/>
              <w:ind w:left="268"/>
              <w:rPr>
                <w:rFonts w:ascii="Calibri" w:hAnsi="Calibri"/>
                <w:b/>
                <w:sz w:val="7"/>
              </w:rPr>
            </w:pPr>
            <w:r>
              <w:rPr>
                <w:rFonts w:ascii="Calibri" w:hAnsi="Calibri"/>
                <w:b/>
                <w:color w:val="231F20"/>
                <w:sz w:val="7"/>
              </w:rPr>
              <w:t>O Kč</w:t>
            </w:r>
          </w:p>
        </w:tc>
      </w:tr>
      <w:tr w:rsidR="00F65BCA" w14:paraId="7C43DE4E" w14:textId="77777777">
        <w:trPr>
          <w:trHeight w:val="148"/>
        </w:trPr>
        <w:tc>
          <w:tcPr>
            <w:tcW w:w="1123" w:type="dxa"/>
            <w:tcBorders>
              <w:top w:val="single" w:sz="2" w:space="0" w:color="231F20"/>
            </w:tcBorders>
          </w:tcPr>
          <w:p w14:paraId="72833A03" w14:textId="77777777" w:rsidR="00F65BCA" w:rsidRDefault="00216117">
            <w:pPr>
              <w:pStyle w:val="TableParagraph"/>
              <w:spacing w:before="34"/>
              <w:ind w:left="38"/>
              <w:rPr>
                <w:rFonts w:ascii="Calibri" w:hAnsi="Calibri"/>
                <w:b/>
                <w:sz w:val="7"/>
              </w:rPr>
            </w:pPr>
            <w:r>
              <w:rPr>
                <w:rFonts w:ascii="Calibri" w:hAnsi="Calibri"/>
                <w:b/>
                <w:color w:val="231F20"/>
                <w:w w:val="256"/>
                <w:sz w:val="7"/>
              </w:rPr>
              <w:t xml:space="preserve"> </w:t>
            </w:r>
            <w:r>
              <w:rPr>
                <w:rFonts w:ascii="Calibri" w:hAnsi="Calibri"/>
                <w:b/>
                <w:color w:val="231F20"/>
                <w:w w:val="110"/>
                <w:sz w:val="7"/>
              </w:rPr>
              <w:t>elkové po né za 3 roky</w:t>
            </w:r>
          </w:p>
        </w:tc>
        <w:tc>
          <w:tcPr>
            <w:tcW w:w="2065" w:type="dxa"/>
            <w:gridSpan w:val="5"/>
            <w:tcBorders>
              <w:top w:val="single" w:sz="2" w:space="0" w:color="231F20"/>
            </w:tcBorders>
          </w:tcPr>
          <w:p w14:paraId="2F5573AF" w14:textId="77777777" w:rsidR="00F65BCA" w:rsidRDefault="00216117">
            <w:pPr>
              <w:pStyle w:val="TableParagraph"/>
              <w:spacing w:before="34"/>
              <w:ind w:left="949" w:right="935"/>
              <w:jc w:val="center"/>
              <w:rPr>
                <w:rFonts w:ascii="Calibri" w:hAnsi="Calibri"/>
                <w:b/>
                <w:sz w:val="7"/>
              </w:rPr>
            </w:pPr>
            <w:r>
              <w:rPr>
                <w:rFonts w:ascii="Calibri" w:hAnsi="Calibri"/>
                <w:b/>
                <w:color w:val="231F20"/>
                <w:sz w:val="7"/>
              </w:rPr>
              <w:t>O Kč</w:t>
            </w:r>
          </w:p>
        </w:tc>
      </w:tr>
    </w:tbl>
    <w:p w14:paraId="52B45F74" w14:textId="77777777" w:rsidR="00F65BCA" w:rsidRDefault="00F65BCA">
      <w:pPr>
        <w:pStyle w:val="Zkladntext"/>
        <w:rPr>
          <w:rFonts w:ascii="Calibri"/>
          <w:b/>
          <w:sz w:val="20"/>
        </w:rPr>
      </w:pPr>
    </w:p>
    <w:p w14:paraId="6CBECE90" w14:textId="77777777" w:rsidR="00F65BCA" w:rsidRDefault="00F65BCA">
      <w:pPr>
        <w:pStyle w:val="Zkladntext"/>
        <w:rPr>
          <w:rFonts w:ascii="Calibri"/>
          <w:b/>
          <w:sz w:val="20"/>
        </w:rPr>
      </w:pPr>
    </w:p>
    <w:p w14:paraId="6F0759F4" w14:textId="77777777" w:rsidR="00F65BCA" w:rsidRDefault="00F65BCA">
      <w:pPr>
        <w:pStyle w:val="Zkladntext"/>
        <w:rPr>
          <w:rFonts w:ascii="Calibri"/>
          <w:b/>
          <w:sz w:val="20"/>
        </w:rPr>
      </w:pPr>
    </w:p>
    <w:p w14:paraId="0812D85C" w14:textId="77777777" w:rsidR="00F65BCA" w:rsidRDefault="00F65BCA">
      <w:pPr>
        <w:pStyle w:val="Zkladntext"/>
        <w:rPr>
          <w:rFonts w:ascii="Calibri"/>
          <w:b/>
          <w:sz w:val="20"/>
        </w:rPr>
      </w:pPr>
    </w:p>
    <w:p w14:paraId="5602F87E" w14:textId="77777777" w:rsidR="00F65BCA" w:rsidRDefault="00F65BCA">
      <w:pPr>
        <w:pStyle w:val="Zkladntext"/>
        <w:rPr>
          <w:rFonts w:ascii="Calibri"/>
          <w:b/>
          <w:sz w:val="20"/>
        </w:rPr>
      </w:pPr>
    </w:p>
    <w:p w14:paraId="4B03E705" w14:textId="77777777" w:rsidR="00F65BCA" w:rsidRDefault="00F65BCA">
      <w:pPr>
        <w:pStyle w:val="Zkladntext"/>
        <w:rPr>
          <w:rFonts w:ascii="Calibri"/>
          <w:b/>
          <w:sz w:val="20"/>
        </w:rPr>
      </w:pPr>
    </w:p>
    <w:p w14:paraId="6FC27E36" w14:textId="77777777" w:rsidR="00F65BCA" w:rsidRDefault="00F65BCA">
      <w:pPr>
        <w:pStyle w:val="Zkladntext"/>
        <w:spacing w:before="4"/>
        <w:rPr>
          <w:rFonts w:ascii="Calibri"/>
          <w:b/>
          <w:sz w:val="20"/>
        </w:rPr>
      </w:pPr>
    </w:p>
    <w:p w14:paraId="1370BDD4" w14:textId="77777777" w:rsidR="00F65BCA" w:rsidRDefault="00F65BCA">
      <w:pPr>
        <w:pStyle w:val="Zkladntext"/>
        <w:spacing w:before="1"/>
        <w:rPr>
          <w:rFonts w:ascii="Calibri"/>
          <w:b/>
          <w:sz w:val="7"/>
        </w:rPr>
      </w:pPr>
    </w:p>
    <w:p w14:paraId="672F2A2E" w14:textId="77777777" w:rsidR="00F65BCA" w:rsidRDefault="00216117">
      <w:pPr>
        <w:spacing w:before="1"/>
        <w:ind w:left="116"/>
        <w:rPr>
          <w:rFonts w:ascii="Calibri" w:hAnsi="Calibri"/>
          <w:sz w:val="7"/>
        </w:rPr>
      </w:pPr>
      <w:r>
        <w:rPr>
          <w:rFonts w:ascii="Calibri" w:hAnsi="Calibri"/>
          <w:color w:val="231F20"/>
          <w:w w:val="80"/>
          <w:sz w:val="2"/>
        </w:rPr>
        <w:t xml:space="preserve"># </w:t>
      </w:r>
      <w:r>
        <w:rPr>
          <w:rFonts w:ascii="Calibri" w:hAnsi="Calibri"/>
          <w:color w:val="231F20"/>
          <w:sz w:val="7"/>
        </w:rPr>
        <w:t xml:space="preserve">ů </w:t>
      </w:r>
      <w:r>
        <w:rPr>
          <w:rFonts w:ascii="Calibri" w:hAnsi="Calibri"/>
          <w:color w:val="231F20"/>
          <w:w w:val="80"/>
          <w:sz w:val="7"/>
        </w:rPr>
        <w:t xml:space="preserve">5 </w:t>
      </w:r>
      <w:r>
        <w:rPr>
          <w:rFonts w:ascii="Calibri" w:hAnsi="Calibri"/>
          <w:color w:val="231F20"/>
          <w:sz w:val="7"/>
        </w:rPr>
        <w:t xml:space="preserve">/ </w:t>
      </w:r>
      <w:r>
        <w:rPr>
          <w:rFonts w:ascii="Calibri" w:hAnsi="Calibri"/>
          <w:color w:val="231F20"/>
          <w:w w:val="135"/>
          <w:sz w:val="7"/>
        </w:rPr>
        <w:t>r</w:t>
      </w:r>
      <w:r>
        <w:rPr>
          <w:rFonts w:ascii="Calibri" w:hAnsi="Calibri"/>
          <w:color w:val="231F20"/>
          <w:w w:val="226"/>
          <w:sz w:val="7"/>
        </w:rPr>
        <w:t xml:space="preserve"> </w:t>
      </w:r>
      <w:r>
        <w:rPr>
          <w:rFonts w:ascii="Calibri" w:hAnsi="Calibri"/>
          <w:color w:val="231F20"/>
          <w:w w:val="239"/>
          <w:sz w:val="7"/>
        </w:rPr>
        <w:t xml:space="preserve"> </w:t>
      </w:r>
      <w:r>
        <w:rPr>
          <w:rFonts w:ascii="Calibri" w:hAnsi="Calibri"/>
          <w:color w:val="231F20"/>
          <w:w w:val="128"/>
          <w:sz w:val="7"/>
        </w:rPr>
        <w:t xml:space="preserve">  </w:t>
      </w:r>
      <w:r>
        <w:rPr>
          <w:rFonts w:ascii="Calibri" w:hAnsi="Calibri"/>
          <w:color w:val="231F20"/>
          <w:w w:val="161"/>
          <w:sz w:val="7"/>
        </w:rPr>
        <w:t xml:space="preserve">  </w:t>
      </w:r>
    </w:p>
    <w:p w14:paraId="17722172" w14:textId="77777777" w:rsidR="00F65BCA" w:rsidRDefault="00F65BCA">
      <w:pPr>
        <w:rPr>
          <w:rFonts w:ascii="Calibri" w:hAnsi="Calibri"/>
          <w:sz w:val="7"/>
        </w:rPr>
        <w:sectPr w:rsidR="00F65BCA">
          <w:pgSz w:w="16840" w:h="11900" w:orient="landscape"/>
          <w:pgMar w:top="1100" w:right="1600" w:bottom="280" w:left="1020" w:header="708" w:footer="708" w:gutter="0"/>
          <w:cols w:space="708"/>
        </w:sectPr>
      </w:pPr>
    </w:p>
    <w:p w14:paraId="1079DA20" w14:textId="77777777" w:rsidR="00F65BCA" w:rsidRDefault="00F65BCA">
      <w:pPr>
        <w:pStyle w:val="Zkladntext"/>
        <w:spacing w:before="5"/>
        <w:rPr>
          <w:rFonts w:ascii="Calibri"/>
          <w:sz w:val="18"/>
        </w:rPr>
      </w:pPr>
    </w:p>
    <w:p w14:paraId="2DB1AA95" w14:textId="77777777" w:rsidR="00F65BCA" w:rsidRDefault="00216117">
      <w:pPr>
        <w:pStyle w:val="Nadpis5"/>
        <w:spacing w:before="93"/>
        <w:ind w:left="682" w:firstLine="0"/>
        <w:jc w:val="left"/>
      </w:pPr>
      <w:r>
        <w:rPr>
          <w:color w:val="231F20"/>
        </w:rPr>
        <w:t>Příloha č. 3-2 zadávací dokumentace</w:t>
      </w:r>
    </w:p>
    <w:p w14:paraId="13E9EF5F" w14:textId="77777777" w:rsidR="00F65BCA" w:rsidRDefault="00F65BCA">
      <w:pPr>
        <w:pStyle w:val="Zkladntext"/>
        <w:rPr>
          <w:b/>
          <w:sz w:val="22"/>
        </w:rPr>
      </w:pPr>
    </w:p>
    <w:p w14:paraId="1090CFCE" w14:textId="77777777" w:rsidR="00F65BCA" w:rsidRDefault="00F65BCA">
      <w:pPr>
        <w:pStyle w:val="Zkladntext"/>
        <w:rPr>
          <w:b/>
          <w:sz w:val="22"/>
        </w:rPr>
      </w:pPr>
    </w:p>
    <w:p w14:paraId="1E80BF78" w14:textId="77777777" w:rsidR="00F65BCA" w:rsidRDefault="00F65BCA">
      <w:pPr>
        <w:pStyle w:val="Zkladntext"/>
        <w:rPr>
          <w:b/>
          <w:sz w:val="22"/>
        </w:rPr>
      </w:pPr>
    </w:p>
    <w:p w14:paraId="4C3E29D2" w14:textId="77777777" w:rsidR="00F65BCA" w:rsidRDefault="00F65BCA">
      <w:pPr>
        <w:pStyle w:val="Zkladntext"/>
        <w:rPr>
          <w:b/>
          <w:sz w:val="22"/>
        </w:rPr>
      </w:pPr>
    </w:p>
    <w:p w14:paraId="07D74538" w14:textId="77777777" w:rsidR="00F65BCA" w:rsidRDefault="00F65BCA">
      <w:pPr>
        <w:pStyle w:val="Zkladntext"/>
        <w:rPr>
          <w:b/>
          <w:sz w:val="22"/>
        </w:rPr>
      </w:pPr>
    </w:p>
    <w:p w14:paraId="68872658" w14:textId="77777777" w:rsidR="00F65BCA" w:rsidRDefault="00F65BCA">
      <w:pPr>
        <w:pStyle w:val="Zkladntext"/>
        <w:rPr>
          <w:b/>
          <w:sz w:val="22"/>
        </w:rPr>
      </w:pPr>
    </w:p>
    <w:p w14:paraId="23D6F63B" w14:textId="77777777" w:rsidR="00F65BCA" w:rsidRDefault="00F65BCA">
      <w:pPr>
        <w:pStyle w:val="Zkladntext"/>
        <w:rPr>
          <w:b/>
          <w:sz w:val="22"/>
        </w:rPr>
      </w:pPr>
    </w:p>
    <w:p w14:paraId="08B0FD5E" w14:textId="77777777" w:rsidR="00F65BCA" w:rsidRDefault="00F65BCA">
      <w:pPr>
        <w:pStyle w:val="Zkladntext"/>
        <w:rPr>
          <w:b/>
          <w:sz w:val="22"/>
        </w:rPr>
      </w:pPr>
    </w:p>
    <w:p w14:paraId="08F4C104" w14:textId="77777777" w:rsidR="00F65BCA" w:rsidRDefault="00F65BCA">
      <w:pPr>
        <w:pStyle w:val="Zkladntext"/>
        <w:rPr>
          <w:b/>
          <w:sz w:val="22"/>
        </w:rPr>
      </w:pPr>
    </w:p>
    <w:p w14:paraId="309D5CF8" w14:textId="77777777" w:rsidR="00F65BCA" w:rsidRDefault="00F65BCA">
      <w:pPr>
        <w:pStyle w:val="Zkladntext"/>
        <w:rPr>
          <w:b/>
          <w:sz w:val="22"/>
        </w:rPr>
      </w:pPr>
    </w:p>
    <w:p w14:paraId="20045782" w14:textId="77777777" w:rsidR="00F65BCA" w:rsidRDefault="00F65BCA">
      <w:pPr>
        <w:pStyle w:val="Zkladntext"/>
        <w:rPr>
          <w:b/>
          <w:sz w:val="22"/>
        </w:rPr>
      </w:pPr>
    </w:p>
    <w:p w14:paraId="619DDFA8" w14:textId="77777777" w:rsidR="00F65BCA" w:rsidRDefault="00F65BCA">
      <w:pPr>
        <w:pStyle w:val="Zkladntext"/>
        <w:rPr>
          <w:b/>
          <w:sz w:val="22"/>
        </w:rPr>
      </w:pPr>
    </w:p>
    <w:p w14:paraId="009A0A2D" w14:textId="77777777" w:rsidR="00F65BCA" w:rsidRDefault="00216117">
      <w:pPr>
        <w:spacing w:before="182"/>
        <w:ind w:left="1910" w:right="1326"/>
        <w:jc w:val="center"/>
        <w:rPr>
          <w:rFonts w:ascii="Georgia" w:hAnsi="Georgia"/>
          <w:b/>
          <w:sz w:val="48"/>
        </w:rPr>
      </w:pPr>
      <w:r>
        <w:rPr>
          <w:rFonts w:ascii="Georgia" w:hAnsi="Georgia"/>
          <w:b/>
          <w:color w:val="71C4E6"/>
          <w:sz w:val="48"/>
        </w:rPr>
        <w:t>Technické podmínky pro poskytování služeb</w:t>
      </w:r>
    </w:p>
    <w:p w14:paraId="3085012B" w14:textId="77777777" w:rsidR="00F65BCA" w:rsidRDefault="00F65BCA">
      <w:pPr>
        <w:pStyle w:val="Zkladntext"/>
        <w:spacing w:before="1"/>
        <w:rPr>
          <w:rFonts w:ascii="Georgia"/>
          <w:b/>
          <w:sz w:val="74"/>
        </w:rPr>
      </w:pPr>
    </w:p>
    <w:p w14:paraId="798A9786" w14:textId="77777777" w:rsidR="00F65BCA" w:rsidRDefault="00216117">
      <w:pPr>
        <w:ind w:left="1904" w:right="1326"/>
        <w:jc w:val="center"/>
        <w:rPr>
          <w:rFonts w:ascii="Georgia" w:hAnsi="Georgia"/>
          <w:b/>
          <w:sz w:val="32"/>
        </w:rPr>
      </w:pPr>
      <w:r>
        <w:rPr>
          <w:rFonts w:ascii="Georgia" w:hAnsi="Georgia"/>
          <w:b/>
          <w:color w:val="153963"/>
          <w:sz w:val="32"/>
        </w:rPr>
        <w:t>Pojištění motorových vozidel</w:t>
      </w:r>
    </w:p>
    <w:p w14:paraId="54E3F144" w14:textId="77777777" w:rsidR="00F65BCA" w:rsidRDefault="00F65BCA">
      <w:pPr>
        <w:pStyle w:val="Zkladntext"/>
        <w:rPr>
          <w:rFonts w:ascii="Georgia"/>
          <w:b/>
          <w:sz w:val="20"/>
        </w:rPr>
      </w:pPr>
    </w:p>
    <w:p w14:paraId="47ABB06B" w14:textId="77777777" w:rsidR="00F65BCA" w:rsidRDefault="00F65BCA">
      <w:pPr>
        <w:pStyle w:val="Zkladntext"/>
        <w:rPr>
          <w:rFonts w:ascii="Georgia"/>
          <w:b/>
          <w:sz w:val="20"/>
        </w:rPr>
      </w:pPr>
    </w:p>
    <w:p w14:paraId="209BD63C" w14:textId="77777777" w:rsidR="00F65BCA" w:rsidRDefault="00F65BCA">
      <w:pPr>
        <w:pStyle w:val="Zkladntext"/>
        <w:rPr>
          <w:rFonts w:ascii="Georgia"/>
          <w:b/>
          <w:sz w:val="20"/>
        </w:rPr>
      </w:pPr>
    </w:p>
    <w:p w14:paraId="15767BB7" w14:textId="77777777" w:rsidR="00F65BCA" w:rsidRDefault="00F65BCA">
      <w:pPr>
        <w:pStyle w:val="Zkladntext"/>
        <w:rPr>
          <w:rFonts w:ascii="Georgia"/>
          <w:b/>
          <w:sz w:val="20"/>
        </w:rPr>
      </w:pPr>
    </w:p>
    <w:p w14:paraId="7D74CCA1" w14:textId="77777777" w:rsidR="00F65BCA" w:rsidRDefault="00F65BCA">
      <w:pPr>
        <w:pStyle w:val="Zkladntext"/>
        <w:rPr>
          <w:rFonts w:ascii="Georgia"/>
          <w:b/>
          <w:sz w:val="20"/>
        </w:rPr>
      </w:pPr>
    </w:p>
    <w:p w14:paraId="04DB42B0" w14:textId="77777777" w:rsidR="00F65BCA" w:rsidRDefault="00F65BCA">
      <w:pPr>
        <w:pStyle w:val="Zkladntext"/>
        <w:rPr>
          <w:rFonts w:ascii="Georgia"/>
          <w:b/>
          <w:sz w:val="20"/>
        </w:rPr>
      </w:pPr>
    </w:p>
    <w:p w14:paraId="6A9A19B3" w14:textId="77777777" w:rsidR="00F65BCA" w:rsidRDefault="00F65BCA">
      <w:pPr>
        <w:pStyle w:val="Zkladntext"/>
        <w:rPr>
          <w:rFonts w:ascii="Georgia"/>
          <w:b/>
          <w:sz w:val="20"/>
        </w:rPr>
      </w:pPr>
    </w:p>
    <w:p w14:paraId="34D8D7F9" w14:textId="77777777" w:rsidR="00F65BCA" w:rsidRDefault="00F65BCA">
      <w:pPr>
        <w:pStyle w:val="Zkladntext"/>
        <w:rPr>
          <w:rFonts w:ascii="Georgia"/>
          <w:b/>
          <w:sz w:val="20"/>
        </w:rPr>
      </w:pPr>
    </w:p>
    <w:p w14:paraId="7DE22D2A" w14:textId="77777777" w:rsidR="00F65BCA" w:rsidRDefault="00F65BCA">
      <w:pPr>
        <w:pStyle w:val="Zkladntext"/>
        <w:rPr>
          <w:rFonts w:ascii="Georgia"/>
          <w:b/>
          <w:sz w:val="20"/>
        </w:rPr>
      </w:pPr>
    </w:p>
    <w:p w14:paraId="68EBAFEC" w14:textId="77777777" w:rsidR="00F65BCA" w:rsidRDefault="00F65BCA">
      <w:pPr>
        <w:pStyle w:val="Zkladntext"/>
        <w:rPr>
          <w:rFonts w:ascii="Georgia"/>
          <w:b/>
          <w:sz w:val="20"/>
        </w:rPr>
      </w:pPr>
    </w:p>
    <w:p w14:paraId="34C8E0C1" w14:textId="77777777" w:rsidR="00F65BCA" w:rsidRDefault="00F65BCA">
      <w:pPr>
        <w:pStyle w:val="Zkladntext"/>
        <w:rPr>
          <w:rFonts w:ascii="Georgia"/>
          <w:b/>
          <w:sz w:val="20"/>
        </w:rPr>
      </w:pPr>
    </w:p>
    <w:p w14:paraId="196314CC" w14:textId="77777777" w:rsidR="00F65BCA" w:rsidRDefault="00F65BCA">
      <w:pPr>
        <w:pStyle w:val="Zkladntext"/>
        <w:rPr>
          <w:rFonts w:ascii="Georgia"/>
          <w:b/>
          <w:sz w:val="20"/>
        </w:rPr>
      </w:pPr>
    </w:p>
    <w:p w14:paraId="092190EF" w14:textId="77777777" w:rsidR="00F65BCA" w:rsidRDefault="00F65BCA">
      <w:pPr>
        <w:pStyle w:val="Zkladntext"/>
        <w:rPr>
          <w:rFonts w:ascii="Georgia"/>
          <w:b/>
          <w:sz w:val="20"/>
        </w:rPr>
      </w:pPr>
    </w:p>
    <w:p w14:paraId="67C1C47D" w14:textId="77777777" w:rsidR="00F65BCA" w:rsidRDefault="00F65BCA">
      <w:pPr>
        <w:pStyle w:val="Zkladntext"/>
        <w:rPr>
          <w:rFonts w:ascii="Georgia"/>
          <w:b/>
          <w:sz w:val="20"/>
        </w:rPr>
      </w:pPr>
    </w:p>
    <w:p w14:paraId="0F9BDAEF" w14:textId="77777777" w:rsidR="00F65BCA" w:rsidRDefault="00F65BCA">
      <w:pPr>
        <w:pStyle w:val="Zkladntext"/>
        <w:rPr>
          <w:rFonts w:ascii="Georgia"/>
          <w:b/>
          <w:sz w:val="20"/>
        </w:rPr>
      </w:pPr>
    </w:p>
    <w:p w14:paraId="692ACF66" w14:textId="77777777" w:rsidR="00F65BCA" w:rsidRDefault="00F65BCA">
      <w:pPr>
        <w:pStyle w:val="Zkladntext"/>
        <w:rPr>
          <w:rFonts w:ascii="Georgia"/>
          <w:b/>
          <w:sz w:val="20"/>
        </w:rPr>
      </w:pPr>
    </w:p>
    <w:p w14:paraId="2A636E52" w14:textId="77777777" w:rsidR="00F65BCA" w:rsidRDefault="00F65BCA">
      <w:pPr>
        <w:pStyle w:val="Zkladntext"/>
        <w:spacing w:before="10"/>
        <w:rPr>
          <w:rFonts w:ascii="Georgia"/>
          <w:b/>
          <w:sz w:val="20"/>
        </w:rPr>
      </w:pPr>
    </w:p>
    <w:p w14:paraId="438C19B4" w14:textId="77777777" w:rsidR="00F65BCA" w:rsidRDefault="00216117">
      <w:pPr>
        <w:pStyle w:val="Nadpis6"/>
        <w:spacing w:before="93"/>
        <w:ind w:left="0" w:right="515"/>
        <w:jc w:val="right"/>
      </w:pPr>
      <w:r>
        <w:rPr>
          <w:color w:val="71C4E6"/>
        </w:rPr>
        <w:t>1/5</w:t>
      </w:r>
    </w:p>
    <w:p w14:paraId="70C2E707" w14:textId="77777777" w:rsidR="00F65BCA" w:rsidRDefault="00F65BCA">
      <w:pPr>
        <w:jc w:val="right"/>
        <w:sectPr w:rsidR="00F65BCA">
          <w:pgSz w:w="16840" w:h="11900" w:orient="landscape"/>
          <w:pgMar w:top="1100" w:right="1600" w:bottom="280" w:left="1020" w:header="708" w:footer="708" w:gutter="0"/>
          <w:cols w:space="708"/>
        </w:sectPr>
      </w:pPr>
    </w:p>
    <w:p w14:paraId="0025F32E" w14:textId="77777777" w:rsidR="00F65BCA" w:rsidRDefault="00F65BCA">
      <w:pPr>
        <w:pStyle w:val="Zkladntext"/>
        <w:spacing w:before="7"/>
        <w:rPr>
          <w:sz w:val="19"/>
        </w:rPr>
      </w:pPr>
    </w:p>
    <w:p w14:paraId="4AEED419" w14:textId="77777777" w:rsidR="00F65BCA" w:rsidRDefault="00216117">
      <w:pPr>
        <w:pStyle w:val="Odstavecseseznamem"/>
        <w:numPr>
          <w:ilvl w:val="0"/>
          <w:numId w:val="2"/>
        </w:numPr>
        <w:tabs>
          <w:tab w:val="left" w:pos="1043"/>
        </w:tabs>
        <w:spacing w:before="92"/>
        <w:rPr>
          <w:b/>
          <w:color w:val="153963"/>
          <w:sz w:val="28"/>
        </w:rPr>
      </w:pPr>
      <w:r>
        <w:rPr>
          <w:b/>
          <w:color w:val="153963"/>
          <w:sz w:val="28"/>
        </w:rPr>
        <w:t>Pojištění odpovědnosti za újmu způsobenou provozem</w:t>
      </w:r>
      <w:r>
        <w:rPr>
          <w:b/>
          <w:color w:val="153963"/>
          <w:spacing w:val="-6"/>
          <w:sz w:val="28"/>
        </w:rPr>
        <w:t xml:space="preserve"> </w:t>
      </w:r>
      <w:r>
        <w:rPr>
          <w:b/>
          <w:color w:val="153963"/>
          <w:sz w:val="28"/>
        </w:rPr>
        <w:t>vozidla</w:t>
      </w:r>
    </w:p>
    <w:p w14:paraId="474B9940" w14:textId="77777777" w:rsidR="00F65BCA" w:rsidRDefault="00216117">
      <w:pPr>
        <w:pStyle w:val="Odstavecseseznamem"/>
        <w:numPr>
          <w:ilvl w:val="1"/>
          <w:numId w:val="2"/>
        </w:numPr>
        <w:tabs>
          <w:tab w:val="left" w:pos="1475"/>
        </w:tabs>
        <w:spacing w:before="168" w:line="276" w:lineRule="auto"/>
        <w:ind w:right="101"/>
        <w:jc w:val="both"/>
        <w:rPr>
          <w:sz w:val="20"/>
        </w:rPr>
      </w:pPr>
      <w:r>
        <w:rPr>
          <w:color w:val="231F20"/>
          <w:sz w:val="20"/>
        </w:rPr>
        <w:t>Limit</w:t>
      </w:r>
      <w:r>
        <w:rPr>
          <w:color w:val="231F20"/>
          <w:spacing w:val="-7"/>
          <w:sz w:val="20"/>
        </w:rPr>
        <w:t xml:space="preserve"> </w:t>
      </w:r>
      <w:r>
        <w:rPr>
          <w:color w:val="231F20"/>
          <w:sz w:val="20"/>
        </w:rPr>
        <w:t>pojistného</w:t>
      </w:r>
      <w:r>
        <w:rPr>
          <w:color w:val="231F20"/>
          <w:spacing w:val="-6"/>
          <w:sz w:val="20"/>
        </w:rPr>
        <w:t xml:space="preserve"> </w:t>
      </w:r>
      <w:r>
        <w:rPr>
          <w:color w:val="231F20"/>
          <w:sz w:val="20"/>
        </w:rPr>
        <w:t>plnění</w:t>
      </w:r>
      <w:r>
        <w:rPr>
          <w:color w:val="231F20"/>
          <w:spacing w:val="-8"/>
          <w:sz w:val="20"/>
        </w:rPr>
        <w:t xml:space="preserve"> </w:t>
      </w:r>
      <w:r>
        <w:rPr>
          <w:color w:val="231F20"/>
          <w:sz w:val="20"/>
        </w:rPr>
        <w:t>minimálně</w:t>
      </w:r>
      <w:r>
        <w:rPr>
          <w:color w:val="231F20"/>
          <w:spacing w:val="-6"/>
          <w:sz w:val="20"/>
        </w:rPr>
        <w:t xml:space="preserve"> </w:t>
      </w:r>
      <w:r>
        <w:rPr>
          <w:b/>
          <w:color w:val="231F20"/>
          <w:sz w:val="20"/>
        </w:rPr>
        <w:t>100</w:t>
      </w:r>
      <w:r>
        <w:rPr>
          <w:b/>
          <w:color w:val="231F20"/>
          <w:spacing w:val="-1"/>
          <w:sz w:val="20"/>
        </w:rPr>
        <w:t xml:space="preserve"> </w:t>
      </w:r>
      <w:r>
        <w:rPr>
          <w:b/>
          <w:color w:val="231F20"/>
          <w:sz w:val="20"/>
        </w:rPr>
        <w:t>000</w:t>
      </w:r>
      <w:r>
        <w:rPr>
          <w:b/>
          <w:color w:val="231F20"/>
          <w:spacing w:val="-5"/>
          <w:sz w:val="20"/>
        </w:rPr>
        <w:t xml:space="preserve"> </w:t>
      </w:r>
      <w:r>
        <w:rPr>
          <w:b/>
          <w:color w:val="231F20"/>
          <w:sz w:val="20"/>
        </w:rPr>
        <w:t>000</w:t>
      </w:r>
      <w:r>
        <w:rPr>
          <w:b/>
          <w:color w:val="231F20"/>
          <w:spacing w:val="-9"/>
          <w:sz w:val="20"/>
        </w:rPr>
        <w:t xml:space="preserve"> </w:t>
      </w:r>
      <w:r>
        <w:rPr>
          <w:b/>
          <w:color w:val="231F20"/>
          <w:sz w:val="20"/>
        </w:rPr>
        <w:t>Kč</w:t>
      </w:r>
      <w:r>
        <w:rPr>
          <w:b/>
          <w:color w:val="231F20"/>
          <w:spacing w:val="-9"/>
          <w:sz w:val="20"/>
        </w:rPr>
        <w:t xml:space="preserve"> </w:t>
      </w:r>
      <w:r>
        <w:rPr>
          <w:b/>
          <w:color w:val="231F20"/>
          <w:sz w:val="20"/>
        </w:rPr>
        <w:t>pro</w:t>
      </w:r>
      <w:r>
        <w:rPr>
          <w:b/>
          <w:color w:val="231F20"/>
          <w:spacing w:val="-3"/>
          <w:sz w:val="20"/>
        </w:rPr>
        <w:t xml:space="preserve"> </w:t>
      </w:r>
      <w:r>
        <w:rPr>
          <w:b/>
          <w:color w:val="231F20"/>
          <w:sz w:val="20"/>
        </w:rPr>
        <w:t>újmu</w:t>
      </w:r>
      <w:r>
        <w:rPr>
          <w:b/>
          <w:color w:val="231F20"/>
          <w:spacing w:val="-7"/>
          <w:sz w:val="20"/>
        </w:rPr>
        <w:t xml:space="preserve"> </w:t>
      </w:r>
      <w:r>
        <w:rPr>
          <w:b/>
          <w:color w:val="231F20"/>
          <w:sz w:val="20"/>
        </w:rPr>
        <w:t>na</w:t>
      </w:r>
      <w:r>
        <w:rPr>
          <w:b/>
          <w:color w:val="231F20"/>
          <w:spacing w:val="-9"/>
          <w:sz w:val="20"/>
        </w:rPr>
        <w:t xml:space="preserve"> </w:t>
      </w:r>
      <w:r>
        <w:rPr>
          <w:b/>
          <w:color w:val="231F20"/>
          <w:sz w:val="20"/>
        </w:rPr>
        <w:t>zdraví</w:t>
      </w:r>
      <w:r>
        <w:rPr>
          <w:b/>
          <w:color w:val="231F20"/>
          <w:spacing w:val="-8"/>
          <w:sz w:val="20"/>
        </w:rPr>
        <w:t xml:space="preserve"> </w:t>
      </w:r>
      <w:r>
        <w:rPr>
          <w:b/>
          <w:color w:val="231F20"/>
          <w:sz w:val="20"/>
        </w:rPr>
        <w:t>nebo</w:t>
      </w:r>
      <w:r>
        <w:rPr>
          <w:b/>
          <w:color w:val="231F20"/>
          <w:spacing w:val="-5"/>
          <w:sz w:val="20"/>
        </w:rPr>
        <w:t xml:space="preserve"> </w:t>
      </w:r>
      <w:r>
        <w:rPr>
          <w:b/>
          <w:color w:val="231F20"/>
          <w:sz w:val="20"/>
        </w:rPr>
        <w:t>usmrcení</w:t>
      </w:r>
      <w:r>
        <w:rPr>
          <w:b/>
          <w:color w:val="231F20"/>
          <w:spacing w:val="-6"/>
          <w:sz w:val="20"/>
        </w:rPr>
        <w:t xml:space="preserve"> </w:t>
      </w:r>
      <w:r>
        <w:rPr>
          <w:b/>
          <w:color w:val="231F20"/>
          <w:sz w:val="20"/>
        </w:rPr>
        <w:t>na</w:t>
      </w:r>
      <w:r>
        <w:rPr>
          <w:b/>
          <w:color w:val="231F20"/>
          <w:spacing w:val="-9"/>
          <w:sz w:val="20"/>
        </w:rPr>
        <w:t xml:space="preserve"> </w:t>
      </w:r>
      <w:r>
        <w:rPr>
          <w:b/>
          <w:color w:val="231F20"/>
          <w:sz w:val="20"/>
        </w:rPr>
        <w:t>každého</w:t>
      </w:r>
      <w:r>
        <w:rPr>
          <w:b/>
          <w:color w:val="231F20"/>
          <w:spacing w:val="-8"/>
          <w:sz w:val="20"/>
        </w:rPr>
        <w:t xml:space="preserve"> </w:t>
      </w:r>
      <w:r>
        <w:rPr>
          <w:b/>
          <w:color w:val="231F20"/>
          <w:sz w:val="20"/>
        </w:rPr>
        <w:t>zraněného</w:t>
      </w:r>
      <w:r>
        <w:rPr>
          <w:b/>
          <w:color w:val="231F20"/>
          <w:spacing w:val="-7"/>
          <w:sz w:val="20"/>
        </w:rPr>
        <w:t xml:space="preserve"> </w:t>
      </w:r>
      <w:r>
        <w:rPr>
          <w:b/>
          <w:color w:val="231F20"/>
          <w:sz w:val="20"/>
        </w:rPr>
        <w:t>nebo</w:t>
      </w:r>
      <w:r>
        <w:rPr>
          <w:b/>
          <w:color w:val="231F20"/>
          <w:spacing w:val="-7"/>
          <w:sz w:val="20"/>
        </w:rPr>
        <w:t xml:space="preserve"> </w:t>
      </w:r>
      <w:r>
        <w:rPr>
          <w:b/>
          <w:color w:val="231F20"/>
          <w:sz w:val="20"/>
        </w:rPr>
        <w:t>usmrceného</w:t>
      </w:r>
      <w:r>
        <w:rPr>
          <w:b/>
          <w:color w:val="231F20"/>
          <w:spacing w:val="-7"/>
          <w:sz w:val="20"/>
        </w:rPr>
        <w:t xml:space="preserve"> </w:t>
      </w:r>
      <w:r>
        <w:rPr>
          <w:color w:val="231F20"/>
          <w:sz w:val="20"/>
        </w:rPr>
        <w:t>(§</w:t>
      </w:r>
      <w:r>
        <w:rPr>
          <w:color w:val="231F20"/>
          <w:spacing w:val="-9"/>
          <w:sz w:val="20"/>
        </w:rPr>
        <w:t xml:space="preserve"> </w:t>
      </w:r>
      <w:r>
        <w:rPr>
          <w:color w:val="231F20"/>
          <w:sz w:val="20"/>
        </w:rPr>
        <w:t>17</w:t>
      </w:r>
      <w:r>
        <w:rPr>
          <w:color w:val="231F20"/>
          <w:spacing w:val="-9"/>
          <w:sz w:val="20"/>
        </w:rPr>
        <w:t xml:space="preserve"> </w:t>
      </w:r>
      <w:r>
        <w:rPr>
          <w:color w:val="231F20"/>
          <w:sz w:val="20"/>
        </w:rPr>
        <w:t xml:space="preserve">odst. 2 písm. a) zákona č. 30/2024 Sb.) a limit pojistného plnění minimálně </w:t>
      </w:r>
      <w:r>
        <w:rPr>
          <w:b/>
          <w:color w:val="231F20"/>
          <w:sz w:val="20"/>
        </w:rPr>
        <w:t xml:space="preserve">100 000 000 Kč pro věcnou škodu a ušlý zisk bez ohledu na počet poškozených </w:t>
      </w:r>
      <w:r>
        <w:rPr>
          <w:color w:val="231F20"/>
          <w:sz w:val="20"/>
        </w:rPr>
        <w:t>(§ 17 odst. 2 písm. b) a c) zákona č. 30/2024</w:t>
      </w:r>
      <w:r>
        <w:rPr>
          <w:color w:val="231F20"/>
          <w:spacing w:val="2"/>
          <w:sz w:val="20"/>
        </w:rPr>
        <w:t xml:space="preserve"> </w:t>
      </w:r>
      <w:r>
        <w:rPr>
          <w:color w:val="231F20"/>
          <w:sz w:val="20"/>
        </w:rPr>
        <w:t>Sb.).</w:t>
      </w:r>
    </w:p>
    <w:p w14:paraId="3A431021" w14:textId="77777777" w:rsidR="00F65BCA" w:rsidRDefault="00F65BCA">
      <w:pPr>
        <w:pStyle w:val="Zkladntext"/>
        <w:rPr>
          <w:sz w:val="23"/>
        </w:rPr>
      </w:pPr>
    </w:p>
    <w:p w14:paraId="39CEA0B3" w14:textId="77777777" w:rsidR="00F65BCA" w:rsidRDefault="00216117">
      <w:pPr>
        <w:pStyle w:val="Nadpis6"/>
        <w:numPr>
          <w:ilvl w:val="1"/>
          <w:numId w:val="2"/>
        </w:numPr>
        <w:tabs>
          <w:tab w:val="left" w:pos="1475"/>
        </w:tabs>
        <w:ind w:hanging="433"/>
      </w:pPr>
      <w:r>
        <w:rPr>
          <w:color w:val="231F20"/>
        </w:rPr>
        <w:t>Systém bonus a malus nebude</w:t>
      </w:r>
      <w:r>
        <w:rPr>
          <w:color w:val="231F20"/>
          <w:spacing w:val="2"/>
        </w:rPr>
        <w:t xml:space="preserve"> </w:t>
      </w:r>
      <w:r>
        <w:rPr>
          <w:color w:val="231F20"/>
        </w:rPr>
        <w:t>uplatňován</w:t>
      </w:r>
    </w:p>
    <w:p w14:paraId="46F7BD48" w14:textId="77777777" w:rsidR="00F65BCA" w:rsidRDefault="00F65BCA">
      <w:pPr>
        <w:pStyle w:val="Zkladntext"/>
        <w:spacing w:before="11"/>
        <w:rPr>
          <w:sz w:val="25"/>
        </w:rPr>
      </w:pPr>
    </w:p>
    <w:p w14:paraId="29254D39" w14:textId="77777777" w:rsidR="00F65BCA" w:rsidRDefault="00216117">
      <w:pPr>
        <w:pStyle w:val="Odstavecseseznamem"/>
        <w:numPr>
          <w:ilvl w:val="1"/>
          <w:numId w:val="2"/>
        </w:numPr>
        <w:tabs>
          <w:tab w:val="left" w:pos="1475"/>
        </w:tabs>
        <w:ind w:hanging="433"/>
        <w:rPr>
          <w:sz w:val="20"/>
        </w:rPr>
      </w:pPr>
      <w:r>
        <w:rPr>
          <w:b/>
          <w:color w:val="231F20"/>
          <w:sz w:val="20"/>
        </w:rPr>
        <w:t>Územní rozsah pojištění</w:t>
      </w:r>
      <w:r>
        <w:rPr>
          <w:color w:val="231F20"/>
          <w:sz w:val="20"/>
        </w:rPr>
        <w:t>: dle zákona č. 30/2024</w:t>
      </w:r>
      <w:r>
        <w:rPr>
          <w:color w:val="231F20"/>
          <w:spacing w:val="-2"/>
          <w:sz w:val="20"/>
        </w:rPr>
        <w:t xml:space="preserve"> </w:t>
      </w:r>
      <w:r>
        <w:rPr>
          <w:color w:val="231F20"/>
          <w:sz w:val="20"/>
        </w:rPr>
        <w:t>Sb.</w:t>
      </w:r>
    </w:p>
    <w:p w14:paraId="171043EC" w14:textId="77777777" w:rsidR="00F65BCA" w:rsidRDefault="00F65BCA">
      <w:pPr>
        <w:pStyle w:val="Zkladntext"/>
        <w:spacing w:before="1"/>
        <w:rPr>
          <w:sz w:val="26"/>
        </w:rPr>
      </w:pPr>
    </w:p>
    <w:p w14:paraId="660A81C2" w14:textId="77777777" w:rsidR="00F65BCA" w:rsidRDefault="00216117">
      <w:pPr>
        <w:pStyle w:val="Nadpis6"/>
        <w:numPr>
          <w:ilvl w:val="1"/>
          <w:numId w:val="2"/>
        </w:numPr>
        <w:tabs>
          <w:tab w:val="left" w:pos="1475"/>
        </w:tabs>
        <w:ind w:hanging="433"/>
      </w:pPr>
      <w:r>
        <w:rPr>
          <w:b/>
          <w:color w:val="231F20"/>
        </w:rPr>
        <w:t>Předmět</w:t>
      </w:r>
      <w:r>
        <w:rPr>
          <w:b/>
          <w:color w:val="231F20"/>
          <w:spacing w:val="-8"/>
        </w:rPr>
        <w:t xml:space="preserve"> </w:t>
      </w:r>
      <w:r>
        <w:rPr>
          <w:b/>
          <w:color w:val="231F20"/>
        </w:rPr>
        <w:t>pojištění:</w:t>
      </w:r>
      <w:r>
        <w:rPr>
          <w:b/>
          <w:color w:val="231F20"/>
          <w:spacing w:val="-7"/>
        </w:rPr>
        <w:t xml:space="preserve"> </w:t>
      </w:r>
      <w:r>
        <w:rPr>
          <w:color w:val="231F20"/>
        </w:rPr>
        <w:t>Soubor</w:t>
      </w:r>
      <w:r>
        <w:rPr>
          <w:color w:val="231F20"/>
          <w:spacing w:val="-7"/>
        </w:rPr>
        <w:t xml:space="preserve"> </w:t>
      </w:r>
      <w:r>
        <w:rPr>
          <w:color w:val="231F20"/>
        </w:rPr>
        <w:t>vozidel</w:t>
      </w:r>
      <w:r>
        <w:rPr>
          <w:color w:val="231F20"/>
          <w:spacing w:val="-9"/>
        </w:rPr>
        <w:t xml:space="preserve"> </w:t>
      </w:r>
      <w:r>
        <w:rPr>
          <w:color w:val="231F20"/>
        </w:rPr>
        <w:t>uvedených</w:t>
      </w:r>
      <w:r>
        <w:rPr>
          <w:color w:val="231F20"/>
          <w:spacing w:val="-9"/>
        </w:rPr>
        <w:t xml:space="preserve"> </w:t>
      </w:r>
      <w:r>
        <w:rPr>
          <w:color w:val="231F20"/>
        </w:rPr>
        <w:t>v</w:t>
      </w:r>
      <w:r>
        <w:rPr>
          <w:color w:val="231F20"/>
          <w:spacing w:val="-3"/>
        </w:rPr>
        <w:t xml:space="preserve"> </w:t>
      </w:r>
      <w:r>
        <w:rPr>
          <w:color w:val="231F20"/>
        </w:rPr>
        <w:t>příloze</w:t>
      </w:r>
      <w:r>
        <w:rPr>
          <w:color w:val="231F20"/>
          <w:spacing w:val="-9"/>
        </w:rPr>
        <w:t xml:space="preserve"> </w:t>
      </w:r>
      <w:r>
        <w:rPr>
          <w:color w:val="231F20"/>
        </w:rPr>
        <w:t>ZD</w:t>
      </w:r>
      <w:r>
        <w:rPr>
          <w:color w:val="231F20"/>
          <w:spacing w:val="-8"/>
        </w:rPr>
        <w:t xml:space="preserve"> </w:t>
      </w:r>
      <w:r>
        <w:rPr>
          <w:color w:val="231F20"/>
        </w:rPr>
        <w:t>č.</w:t>
      </w:r>
      <w:r>
        <w:rPr>
          <w:color w:val="231F20"/>
          <w:spacing w:val="-8"/>
        </w:rPr>
        <w:t xml:space="preserve"> </w:t>
      </w:r>
      <w:r>
        <w:rPr>
          <w:color w:val="231F20"/>
        </w:rPr>
        <w:t>2-2,</w:t>
      </w:r>
      <w:r>
        <w:rPr>
          <w:color w:val="231F20"/>
          <w:spacing w:val="-8"/>
        </w:rPr>
        <w:t xml:space="preserve"> </w:t>
      </w:r>
      <w:r>
        <w:rPr>
          <w:color w:val="231F20"/>
        </w:rPr>
        <w:t>u</w:t>
      </w:r>
      <w:r>
        <w:rPr>
          <w:color w:val="231F20"/>
          <w:spacing w:val="-9"/>
        </w:rPr>
        <w:t xml:space="preserve"> </w:t>
      </w:r>
      <w:r>
        <w:rPr>
          <w:color w:val="231F20"/>
        </w:rPr>
        <w:t>kterých</w:t>
      </w:r>
      <w:r>
        <w:rPr>
          <w:color w:val="231F20"/>
          <w:spacing w:val="-9"/>
        </w:rPr>
        <w:t xml:space="preserve"> </w:t>
      </w:r>
      <w:r>
        <w:rPr>
          <w:color w:val="231F20"/>
        </w:rPr>
        <w:t>je</w:t>
      </w:r>
      <w:r>
        <w:rPr>
          <w:color w:val="231F20"/>
          <w:spacing w:val="-9"/>
        </w:rPr>
        <w:t xml:space="preserve"> </w:t>
      </w:r>
      <w:r>
        <w:rPr>
          <w:color w:val="231F20"/>
        </w:rPr>
        <w:t>v</w:t>
      </w:r>
      <w:r>
        <w:rPr>
          <w:color w:val="231F20"/>
          <w:spacing w:val="-8"/>
        </w:rPr>
        <w:t xml:space="preserve"> </w:t>
      </w:r>
      <w:r>
        <w:rPr>
          <w:color w:val="231F20"/>
        </w:rPr>
        <w:t>příslušném</w:t>
      </w:r>
      <w:r>
        <w:rPr>
          <w:color w:val="231F20"/>
          <w:spacing w:val="-8"/>
        </w:rPr>
        <w:t xml:space="preserve"> </w:t>
      </w:r>
      <w:r>
        <w:rPr>
          <w:color w:val="231F20"/>
        </w:rPr>
        <w:t>sloupci</w:t>
      </w:r>
      <w:r>
        <w:rPr>
          <w:color w:val="231F20"/>
          <w:spacing w:val="-7"/>
        </w:rPr>
        <w:t xml:space="preserve"> </w:t>
      </w:r>
      <w:r>
        <w:rPr>
          <w:color w:val="231F20"/>
        </w:rPr>
        <w:t>označeném</w:t>
      </w:r>
      <w:r>
        <w:rPr>
          <w:color w:val="231F20"/>
          <w:spacing w:val="-8"/>
        </w:rPr>
        <w:t xml:space="preserve"> </w:t>
      </w:r>
      <w:r>
        <w:rPr>
          <w:color w:val="231F20"/>
        </w:rPr>
        <w:t>pojmem</w:t>
      </w:r>
      <w:r>
        <w:rPr>
          <w:color w:val="231F20"/>
          <w:spacing w:val="-8"/>
        </w:rPr>
        <w:t xml:space="preserve"> </w:t>
      </w:r>
      <w:r>
        <w:rPr>
          <w:color w:val="231F20"/>
        </w:rPr>
        <w:t>„POV“</w:t>
      </w:r>
      <w:r>
        <w:rPr>
          <w:color w:val="231F20"/>
          <w:spacing w:val="-7"/>
        </w:rPr>
        <w:t xml:space="preserve"> </w:t>
      </w:r>
      <w:r>
        <w:rPr>
          <w:color w:val="231F20"/>
        </w:rPr>
        <w:t>uvedeno</w:t>
      </w:r>
      <w:r>
        <w:rPr>
          <w:color w:val="231F20"/>
          <w:spacing w:val="-10"/>
        </w:rPr>
        <w:t xml:space="preserve"> </w:t>
      </w:r>
      <w:r>
        <w:rPr>
          <w:color w:val="231F20"/>
        </w:rPr>
        <w:t>„ANO“</w:t>
      </w:r>
    </w:p>
    <w:p w14:paraId="3C20E531" w14:textId="77777777" w:rsidR="00F65BCA" w:rsidRDefault="00F65BCA">
      <w:pPr>
        <w:pStyle w:val="Zkladntext"/>
        <w:rPr>
          <w:sz w:val="22"/>
        </w:rPr>
      </w:pPr>
    </w:p>
    <w:p w14:paraId="550549FD" w14:textId="77777777" w:rsidR="00F65BCA" w:rsidRDefault="00F65BCA">
      <w:pPr>
        <w:pStyle w:val="Zkladntext"/>
        <w:rPr>
          <w:sz w:val="22"/>
        </w:rPr>
      </w:pPr>
    </w:p>
    <w:p w14:paraId="46F449CC" w14:textId="77777777" w:rsidR="00F65BCA" w:rsidRDefault="00F65BCA">
      <w:pPr>
        <w:pStyle w:val="Zkladntext"/>
        <w:rPr>
          <w:sz w:val="22"/>
        </w:rPr>
      </w:pPr>
    </w:p>
    <w:p w14:paraId="24BFFD9D" w14:textId="77777777" w:rsidR="00F65BCA" w:rsidRDefault="00F65BCA">
      <w:pPr>
        <w:pStyle w:val="Zkladntext"/>
        <w:spacing w:before="10"/>
        <w:rPr>
          <w:sz w:val="21"/>
        </w:rPr>
      </w:pPr>
    </w:p>
    <w:p w14:paraId="74713617" w14:textId="77777777" w:rsidR="00F65BCA" w:rsidRDefault="00216117">
      <w:pPr>
        <w:pStyle w:val="Odstavecseseznamem"/>
        <w:numPr>
          <w:ilvl w:val="0"/>
          <w:numId w:val="2"/>
        </w:numPr>
        <w:tabs>
          <w:tab w:val="left" w:pos="1041"/>
        </w:tabs>
        <w:ind w:left="1040" w:hanging="359"/>
        <w:rPr>
          <w:b/>
          <w:color w:val="1E285C"/>
          <w:sz w:val="28"/>
        </w:rPr>
      </w:pPr>
      <w:r>
        <w:rPr>
          <w:b/>
          <w:color w:val="1E285C"/>
          <w:sz w:val="28"/>
        </w:rPr>
        <w:t>Havarijní pojištění vozidel</w:t>
      </w:r>
    </w:p>
    <w:p w14:paraId="36350A31" w14:textId="77777777" w:rsidR="00F65BCA" w:rsidRDefault="00216117">
      <w:pPr>
        <w:pStyle w:val="Nadpis5"/>
        <w:numPr>
          <w:ilvl w:val="1"/>
          <w:numId w:val="2"/>
        </w:numPr>
        <w:tabs>
          <w:tab w:val="left" w:pos="1475"/>
        </w:tabs>
        <w:spacing w:before="170"/>
        <w:ind w:hanging="433"/>
      </w:pPr>
      <w:r>
        <w:rPr>
          <w:color w:val="231F20"/>
        </w:rPr>
        <w:t>Pojistná</w:t>
      </w:r>
      <w:r>
        <w:rPr>
          <w:color w:val="231F20"/>
          <w:spacing w:val="-2"/>
        </w:rPr>
        <w:t xml:space="preserve"> </w:t>
      </w:r>
      <w:r>
        <w:rPr>
          <w:color w:val="231F20"/>
        </w:rPr>
        <w:t>nebezpečí:</w:t>
      </w:r>
    </w:p>
    <w:p w14:paraId="2BD4BAC4" w14:textId="77777777" w:rsidR="00F65BCA" w:rsidRDefault="00216117">
      <w:pPr>
        <w:pStyle w:val="Nadpis6"/>
        <w:numPr>
          <w:ilvl w:val="2"/>
          <w:numId w:val="2"/>
        </w:numPr>
        <w:tabs>
          <w:tab w:val="left" w:pos="1894"/>
          <w:tab w:val="left" w:pos="1895"/>
        </w:tabs>
        <w:spacing w:before="34"/>
        <w:ind w:hanging="361"/>
      </w:pPr>
      <w:r>
        <w:rPr>
          <w:color w:val="231F20"/>
        </w:rPr>
        <w:t>Základní havárie – (náhlé nahodilé působení vnějších mechanických sil – náraz, střet,</w:t>
      </w:r>
      <w:r>
        <w:rPr>
          <w:color w:val="231F20"/>
          <w:spacing w:val="-8"/>
        </w:rPr>
        <w:t xml:space="preserve"> </w:t>
      </w:r>
      <w:r>
        <w:rPr>
          <w:color w:val="231F20"/>
        </w:rPr>
        <w:t>pád)</w:t>
      </w:r>
    </w:p>
    <w:p w14:paraId="1B0DB730" w14:textId="77777777" w:rsidR="00F65BCA" w:rsidRDefault="00216117">
      <w:pPr>
        <w:pStyle w:val="Nadpis6"/>
        <w:numPr>
          <w:ilvl w:val="2"/>
          <w:numId w:val="2"/>
        </w:numPr>
        <w:tabs>
          <w:tab w:val="left" w:pos="1894"/>
          <w:tab w:val="left" w:pos="1895"/>
        </w:tabs>
        <w:spacing w:before="34"/>
        <w:ind w:hanging="361"/>
      </w:pPr>
      <w:r>
        <w:rPr>
          <w:color w:val="231F20"/>
        </w:rPr>
        <w:t>Odcizení – pojištění krádeže, loupeže pojištěného vozidla nebo jeho</w:t>
      </w:r>
      <w:r>
        <w:rPr>
          <w:color w:val="231F20"/>
          <w:spacing w:val="-6"/>
        </w:rPr>
        <w:t xml:space="preserve"> </w:t>
      </w:r>
      <w:r>
        <w:rPr>
          <w:color w:val="231F20"/>
        </w:rPr>
        <w:t>části</w:t>
      </w:r>
    </w:p>
    <w:p w14:paraId="783978F0" w14:textId="77777777" w:rsidR="00F65BCA" w:rsidRDefault="00216117">
      <w:pPr>
        <w:pStyle w:val="Nadpis6"/>
        <w:numPr>
          <w:ilvl w:val="2"/>
          <w:numId w:val="2"/>
        </w:numPr>
        <w:tabs>
          <w:tab w:val="left" w:pos="1894"/>
          <w:tab w:val="left" w:pos="1895"/>
        </w:tabs>
        <w:spacing w:before="34"/>
        <w:ind w:hanging="361"/>
      </w:pPr>
      <w:r>
        <w:rPr>
          <w:color w:val="231F20"/>
        </w:rPr>
        <w:t>Živel – Pojištění pro pojistné nebezpečí živlu (pojištění vzniklé působením přírodních fyzikálních</w:t>
      </w:r>
      <w:r>
        <w:rPr>
          <w:color w:val="231F20"/>
          <w:spacing w:val="-11"/>
        </w:rPr>
        <w:t xml:space="preserve"> </w:t>
      </w:r>
      <w:r>
        <w:rPr>
          <w:color w:val="231F20"/>
        </w:rPr>
        <w:t>sil)</w:t>
      </w:r>
    </w:p>
    <w:p w14:paraId="4FE17A7C" w14:textId="77777777" w:rsidR="00F65BCA" w:rsidRDefault="00216117">
      <w:pPr>
        <w:pStyle w:val="Nadpis6"/>
        <w:numPr>
          <w:ilvl w:val="2"/>
          <w:numId w:val="2"/>
        </w:numPr>
        <w:tabs>
          <w:tab w:val="left" w:pos="1894"/>
          <w:tab w:val="left" w:pos="1895"/>
        </w:tabs>
        <w:spacing w:before="34" w:line="278" w:lineRule="auto"/>
        <w:ind w:right="101"/>
      </w:pPr>
      <w:r>
        <w:rPr>
          <w:color w:val="231F20"/>
        </w:rPr>
        <w:t>Poškození zaparkovaného vozidla zvířetem (mechanické poškození stojícího vozidla zvířetem a okusem: kabelů, kabelových svazků, brzdové soustavy, chladicí soustavy nebo odhlučnění</w:t>
      </w:r>
      <w:r>
        <w:rPr>
          <w:color w:val="231F20"/>
          <w:spacing w:val="3"/>
        </w:rPr>
        <w:t xml:space="preserve"> </w:t>
      </w:r>
      <w:r>
        <w:rPr>
          <w:color w:val="231F20"/>
        </w:rPr>
        <w:t>apod.)</w:t>
      </w:r>
    </w:p>
    <w:p w14:paraId="1824C516" w14:textId="77777777" w:rsidR="00F65BCA" w:rsidRDefault="00216117">
      <w:pPr>
        <w:pStyle w:val="Nadpis6"/>
        <w:numPr>
          <w:ilvl w:val="2"/>
          <w:numId w:val="2"/>
        </w:numPr>
        <w:tabs>
          <w:tab w:val="left" w:pos="1894"/>
          <w:tab w:val="left" w:pos="1895"/>
        </w:tabs>
        <w:spacing w:line="227" w:lineRule="exact"/>
        <w:ind w:hanging="361"/>
      </w:pPr>
      <w:r>
        <w:rPr>
          <w:color w:val="231F20"/>
        </w:rPr>
        <w:t>Vandalismus – v důsledku úmyslného jednání třetích osob</w:t>
      </w:r>
    </w:p>
    <w:p w14:paraId="55A98EE5" w14:textId="77777777" w:rsidR="00F65BCA" w:rsidRDefault="00216117">
      <w:pPr>
        <w:pStyle w:val="Nadpis6"/>
        <w:numPr>
          <w:ilvl w:val="2"/>
          <w:numId w:val="2"/>
        </w:numPr>
        <w:tabs>
          <w:tab w:val="left" w:pos="1889"/>
          <w:tab w:val="left" w:pos="1890"/>
        </w:tabs>
        <w:spacing w:before="34"/>
        <w:ind w:left="1889" w:hanging="356"/>
      </w:pPr>
      <w:r>
        <w:rPr>
          <w:color w:val="231F20"/>
        </w:rPr>
        <w:t>Neoprávněné užití vozidla (užití vozidla proti vůli oprávněné</w:t>
      </w:r>
      <w:r>
        <w:rPr>
          <w:color w:val="231F20"/>
          <w:spacing w:val="-2"/>
        </w:rPr>
        <w:t xml:space="preserve"> </w:t>
      </w:r>
      <w:r>
        <w:rPr>
          <w:color w:val="231F20"/>
        </w:rPr>
        <w:t>osoby)</w:t>
      </w:r>
    </w:p>
    <w:p w14:paraId="64DBBFFB" w14:textId="77777777" w:rsidR="00F65BCA" w:rsidRDefault="00216117">
      <w:pPr>
        <w:pStyle w:val="Nadpis6"/>
        <w:numPr>
          <w:ilvl w:val="1"/>
          <w:numId w:val="2"/>
        </w:numPr>
        <w:tabs>
          <w:tab w:val="left" w:pos="1470"/>
        </w:tabs>
        <w:spacing w:before="154"/>
        <w:ind w:left="1470" w:hanging="430"/>
      </w:pPr>
      <w:r>
        <w:rPr>
          <w:color w:val="231F20"/>
        </w:rPr>
        <w:t>Systém bonus malus nebude</w:t>
      </w:r>
      <w:r>
        <w:rPr>
          <w:color w:val="231F20"/>
          <w:spacing w:val="-1"/>
        </w:rPr>
        <w:t xml:space="preserve"> </w:t>
      </w:r>
      <w:r>
        <w:rPr>
          <w:color w:val="231F20"/>
        </w:rPr>
        <w:t>uplatňován</w:t>
      </w:r>
    </w:p>
    <w:p w14:paraId="5D60E363" w14:textId="77777777" w:rsidR="00F65BCA" w:rsidRDefault="00216117">
      <w:pPr>
        <w:pStyle w:val="Nadpis5"/>
        <w:numPr>
          <w:ilvl w:val="1"/>
          <w:numId w:val="2"/>
        </w:numPr>
        <w:tabs>
          <w:tab w:val="left" w:pos="1471"/>
        </w:tabs>
        <w:ind w:left="1470" w:hanging="431"/>
        <w:rPr>
          <w:b w:val="0"/>
        </w:rPr>
      </w:pPr>
      <w:r>
        <w:rPr>
          <w:color w:val="231F20"/>
        </w:rPr>
        <w:t>Územní rozsah pojištění:</w:t>
      </w:r>
      <w:r>
        <w:rPr>
          <w:color w:val="231F20"/>
          <w:spacing w:val="1"/>
        </w:rPr>
        <w:t xml:space="preserve"> </w:t>
      </w:r>
      <w:r>
        <w:rPr>
          <w:b w:val="0"/>
          <w:color w:val="231F20"/>
        </w:rPr>
        <w:t>Evropa</w:t>
      </w:r>
    </w:p>
    <w:p w14:paraId="690039AF" w14:textId="77777777" w:rsidR="00F65BCA" w:rsidRDefault="00216117">
      <w:pPr>
        <w:pStyle w:val="Odstavecseseznamem"/>
        <w:numPr>
          <w:ilvl w:val="1"/>
          <w:numId w:val="2"/>
        </w:numPr>
        <w:tabs>
          <w:tab w:val="left" w:pos="1471"/>
        </w:tabs>
        <w:spacing w:before="157"/>
        <w:ind w:left="1470" w:hanging="431"/>
        <w:rPr>
          <w:sz w:val="20"/>
        </w:rPr>
      </w:pPr>
      <w:r>
        <w:rPr>
          <w:b/>
          <w:color w:val="231F20"/>
          <w:sz w:val="20"/>
        </w:rPr>
        <w:t xml:space="preserve">Spoluúčast: </w:t>
      </w:r>
      <w:r>
        <w:rPr>
          <w:color w:val="231F20"/>
          <w:sz w:val="20"/>
        </w:rPr>
        <w:t>5 % min. 5 000 Kč (případně</w:t>
      </w:r>
      <w:r>
        <w:rPr>
          <w:color w:val="231F20"/>
          <w:spacing w:val="-3"/>
          <w:sz w:val="20"/>
        </w:rPr>
        <w:t xml:space="preserve"> </w:t>
      </w:r>
      <w:r>
        <w:rPr>
          <w:color w:val="231F20"/>
          <w:sz w:val="20"/>
        </w:rPr>
        <w:t>nižší)</w:t>
      </w:r>
    </w:p>
    <w:p w14:paraId="48B1DDEB" w14:textId="77777777" w:rsidR="00F65BCA" w:rsidRDefault="00216117">
      <w:pPr>
        <w:pStyle w:val="Nadpis6"/>
        <w:numPr>
          <w:ilvl w:val="1"/>
          <w:numId w:val="2"/>
        </w:numPr>
        <w:tabs>
          <w:tab w:val="left" w:pos="1471"/>
        </w:tabs>
        <w:spacing w:before="154" w:line="276" w:lineRule="auto"/>
        <w:ind w:left="1469" w:right="103" w:hanging="430"/>
        <w:jc w:val="both"/>
      </w:pPr>
      <w:r>
        <w:rPr>
          <w:b/>
          <w:color w:val="231F20"/>
        </w:rPr>
        <w:t xml:space="preserve">Pojistná hodnota: </w:t>
      </w:r>
      <w:r>
        <w:rPr>
          <w:color w:val="231F20"/>
        </w:rPr>
        <w:t>pro jednotlivá vozidla je uvedena v příloze ZD č.2-2. Do jednoho roku stáří uvádíme jako pojistnou hodnotu novou cenu vozidla, pro vozidla starší uvádíme obvyklou cenu vozidla. Cena je uvedena včetně</w:t>
      </w:r>
      <w:r>
        <w:rPr>
          <w:color w:val="231F20"/>
          <w:spacing w:val="-12"/>
        </w:rPr>
        <w:t xml:space="preserve"> </w:t>
      </w:r>
      <w:r>
        <w:rPr>
          <w:color w:val="231F20"/>
        </w:rPr>
        <w:t>DPH.</w:t>
      </w:r>
    </w:p>
    <w:p w14:paraId="6A9B5710" w14:textId="77777777" w:rsidR="00F65BCA" w:rsidRDefault="00F65BCA">
      <w:pPr>
        <w:pStyle w:val="Zkladntext"/>
        <w:rPr>
          <w:sz w:val="20"/>
        </w:rPr>
      </w:pPr>
    </w:p>
    <w:p w14:paraId="6467E0B8" w14:textId="77777777" w:rsidR="00F65BCA" w:rsidRDefault="00F65BCA">
      <w:pPr>
        <w:pStyle w:val="Zkladntext"/>
        <w:rPr>
          <w:sz w:val="20"/>
        </w:rPr>
      </w:pPr>
    </w:p>
    <w:p w14:paraId="0024DFDE" w14:textId="77777777" w:rsidR="00F65BCA" w:rsidRDefault="00F65BCA">
      <w:pPr>
        <w:pStyle w:val="Zkladntext"/>
        <w:rPr>
          <w:sz w:val="20"/>
        </w:rPr>
      </w:pPr>
    </w:p>
    <w:p w14:paraId="21AD0624" w14:textId="77777777" w:rsidR="00F65BCA" w:rsidRDefault="00F65BCA">
      <w:pPr>
        <w:pStyle w:val="Zkladntext"/>
        <w:rPr>
          <w:sz w:val="20"/>
        </w:rPr>
      </w:pPr>
    </w:p>
    <w:p w14:paraId="05D1594B" w14:textId="77777777" w:rsidR="00F65BCA" w:rsidRDefault="00F65BCA">
      <w:pPr>
        <w:pStyle w:val="Zkladntext"/>
        <w:spacing w:before="11"/>
        <w:rPr>
          <w:sz w:val="21"/>
        </w:rPr>
      </w:pPr>
    </w:p>
    <w:p w14:paraId="4B5B3550" w14:textId="77777777" w:rsidR="00F65BCA" w:rsidRDefault="00216117">
      <w:pPr>
        <w:pStyle w:val="Nadpis6"/>
        <w:ind w:left="0" w:right="103"/>
        <w:jc w:val="right"/>
      </w:pPr>
      <w:r>
        <w:rPr>
          <w:color w:val="71C4E6"/>
        </w:rPr>
        <w:t>2/5</w:t>
      </w:r>
    </w:p>
    <w:p w14:paraId="05191835" w14:textId="77777777" w:rsidR="00F65BCA" w:rsidRDefault="00F65BCA">
      <w:pPr>
        <w:jc w:val="right"/>
        <w:sectPr w:rsidR="00F65BCA">
          <w:pgSz w:w="16840" w:h="11900" w:orient="landscape"/>
          <w:pgMar w:top="1100" w:right="1600" w:bottom="280" w:left="1020" w:header="708" w:footer="708" w:gutter="0"/>
          <w:cols w:space="708"/>
        </w:sectPr>
      </w:pPr>
    </w:p>
    <w:p w14:paraId="2EC24A13" w14:textId="77777777" w:rsidR="00F65BCA" w:rsidRDefault="00F65BCA">
      <w:pPr>
        <w:pStyle w:val="Zkladntext"/>
        <w:spacing w:before="6"/>
        <w:rPr>
          <w:sz w:val="19"/>
        </w:rPr>
      </w:pPr>
    </w:p>
    <w:p w14:paraId="6EA083CE" w14:textId="77777777" w:rsidR="00F65BCA" w:rsidRDefault="00216117">
      <w:pPr>
        <w:pStyle w:val="Nadpis5"/>
        <w:numPr>
          <w:ilvl w:val="1"/>
          <w:numId w:val="2"/>
        </w:numPr>
        <w:tabs>
          <w:tab w:val="left" w:pos="1471"/>
        </w:tabs>
        <w:spacing w:before="93"/>
        <w:ind w:left="1470" w:hanging="431"/>
        <w:jc w:val="both"/>
      </w:pPr>
      <w:r>
        <w:rPr>
          <w:color w:val="231F20"/>
        </w:rPr>
        <w:t>Zabezpečení:</w:t>
      </w:r>
    </w:p>
    <w:p w14:paraId="1EED6BED" w14:textId="77777777" w:rsidR="00F65BCA" w:rsidRDefault="00216117">
      <w:pPr>
        <w:pStyle w:val="Nadpis6"/>
        <w:numPr>
          <w:ilvl w:val="2"/>
          <w:numId w:val="2"/>
        </w:numPr>
        <w:tabs>
          <w:tab w:val="left" w:pos="1895"/>
        </w:tabs>
        <w:spacing w:before="154" w:line="360" w:lineRule="auto"/>
        <w:ind w:right="98"/>
        <w:jc w:val="both"/>
      </w:pPr>
      <w:r>
        <w:rPr>
          <w:color w:val="231F20"/>
        </w:rPr>
        <w:t>vozidlo uzamčeno a zabezpečeno proti vniknutí nepovolané osoby, všechna okna včetně střešního uzavřena a aktivovány zabezpečovací systémy, byly-li ve vozidle</w:t>
      </w:r>
      <w:r>
        <w:rPr>
          <w:color w:val="231F20"/>
          <w:spacing w:val="-3"/>
        </w:rPr>
        <w:t xml:space="preserve"> </w:t>
      </w:r>
      <w:r>
        <w:rPr>
          <w:color w:val="231F20"/>
        </w:rPr>
        <w:t>nainstalovány</w:t>
      </w:r>
    </w:p>
    <w:p w14:paraId="155220C4" w14:textId="77777777" w:rsidR="00F65BCA" w:rsidRDefault="00216117">
      <w:pPr>
        <w:pStyle w:val="Nadpis5"/>
        <w:numPr>
          <w:ilvl w:val="1"/>
          <w:numId w:val="2"/>
        </w:numPr>
        <w:tabs>
          <w:tab w:val="left" w:pos="1475"/>
        </w:tabs>
        <w:spacing w:before="1"/>
        <w:ind w:hanging="433"/>
        <w:jc w:val="both"/>
      </w:pPr>
      <w:r>
        <w:rPr>
          <w:color w:val="231F20"/>
        </w:rPr>
        <w:t>Další požadavky na</w:t>
      </w:r>
      <w:r>
        <w:rPr>
          <w:color w:val="231F20"/>
          <w:spacing w:val="-1"/>
        </w:rPr>
        <w:t xml:space="preserve"> </w:t>
      </w:r>
      <w:r>
        <w:rPr>
          <w:color w:val="231F20"/>
        </w:rPr>
        <w:t>pojištění:</w:t>
      </w:r>
    </w:p>
    <w:p w14:paraId="0ABFC57D" w14:textId="77777777" w:rsidR="00F65BCA" w:rsidRDefault="00216117">
      <w:pPr>
        <w:pStyle w:val="Nadpis6"/>
        <w:numPr>
          <w:ilvl w:val="2"/>
          <w:numId w:val="2"/>
        </w:numPr>
        <w:tabs>
          <w:tab w:val="left" w:pos="1895"/>
        </w:tabs>
        <w:spacing w:before="114" w:line="360" w:lineRule="auto"/>
        <w:ind w:right="103"/>
        <w:jc w:val="both"/>
      </w:pPr>
      <w:r>
        <w:rPr>
          <w:color w:val="231F20"/>
        </w:rPr>
        <w:t>Pojištění se vztahuje u každého vozidla vždy i na polepy, reklamní nápisy, malby všeho druhu, ochranné folie, tunnig apod.. Hodnota předmětů je zahrnuta v pojistné částce</w:t>
      </w:r>
      <w:r>
        <w:rPr>
          <w:color w:val="231F20"/>
          <w:spacing w:val="-9"/>
        </w:rPr>
        <w:t xml:space="preserve"> </w:t>
      </w:r>
      <w:r>
        <w:rPr>
          <w:color w:val="231F20"/>
        </w:rPr>
        <w:t>vozidla.</w:t>
      </w:r>
    </w:p>
    <w:p w14:paraId="7A080E6B" w14:textId="77777777" w:rsidR="00F65BCA" w:rsidRDefault="00216117">
      <w:pPr>
        <w:pStyle w:val="Nadpis6"/>
        <w:numPr>
          <w:ilvl w:val="2"/>
          <w:numId w:val="2"/>
        </w:numPr>
        <w:tabs>
          <w:tab w:val="left" w:pos="1960"/>
        </w:tabs>
        <w:spacing w:before="121" w:line="276" w:lineRule="auto"/>
        <w:ind w:left="1959" w:right="98" w:hanging="425"/>
        <w:jc w:val="both"/>
      </w:pPr>
      <w:r>
        <w:rPr>
          <w:b/>
          <w:color w:val="231F20"/>
        </w:rPr>
        <w:t>Výbava</w:t>
      </w:r>
      <w:r>
        <w:rPr>
          <w:b/>
          <w:color w:val="231F20"/>
          <w:spacing w:val="-12"/>
        </w:rPr>
        <w:t xml:space="preserve"> </w:t>
      </w:r>
      <w:r>
        <w:rPr>
          <w:b/>
          <w:color w:val="231F20"/>
        </w:rPr>
        <w:t>vozidel:</w:t>
      </w:r>
      <w:r>
        <w:rPr>
          <w:b/>
          <w:color w:val="231F20"/>
          <w:spacing w:val="-7"/>
        </w:rPr>
        <w:t xml:space="preserve"> </w:t>
      </w:r>
      <w:r>
        <w:rPr>
          <w:color w:val="231F20"/>
        </w:rPr>
        <w:t>Pojištění</w:t>
      </w:r>
      <w:r>
        <w:rPr>
          <w:color w:val="231F20"/>
          <w:spacing w:val="-11"/>
        </w:rPr>
        <w:t xml:space="preserve"> </w:t>
      </w:r>
      <w:r>
        <w:rPr>
          <w:color w:val="231F20"/>
        </w:rPr>
        <w:t>se</w:t>
      </w:r>
      <w:r>
        <w:rPr>
          <w:color w:val="231F20"/>
          <w:spacing w:val="-11"/>
        </w:rPr>
        <w:t xml:space="preserve"> </w:t>
      </w:r>
      <w:r>
        <w:rPr>
          <w:color w:val="231F20"/>
        </w:rPr>
        <w:t>vztahuje</w:t>
      </w:r>
      <w:r>
        <w:rPr>
          <w:color w:val="231F20"/>
          <w:spacing w:val="-11"/>
        </w:rPr>
        <w:t xml:space="preserve"> </w:t>
      </w:r>
      <w:r>
        <w:rPr>
          <w:color w:val="231F20"/>
        </w:rPr>
        <w:t>u</w:t>
      </w:r>
      <w:r>
        <w:rPr>
          <w:color w:val="231F20"/>
          <w:spacing w:val="-11"/>
        </w:rPr>
        <w:t xml:space="preserve"> </w:t>
      </w:r>
      <w:r>
        <w:rPr>
          <w:color w:val="231F20"/>
        </w:rPr>
        <w:t>každého</w:t>
      </w:r>
      <w:r>
        <w:rPr>
          <w:color w:val="231F20"/>
          <w:spacing w:val="-11"/>
        </w:rPr>
        <w:t xml:space="preserve"> </w:t>
      </w:r>
      <w:r>
        <w:rPr>
          <w:color w:val="231F20"/>
        </w:rPr>
        <w:t>vozidla</w:t>
      </w:r>
      <w:r>
        <w:rPr>
          <w:color w:val="231F20"/>
          <w:spacing w:val="-11"/>
        </w:rPr>
        <w:t xml:space="preserve"> </w:t>
      </w:r>
      <w:r>
        <w:rPr>
          <w:color w:val="231F20"/>
        </w:rPr>
        <w:t>vždy</w:t>
      </w:r>
      <w:r>
        <w:rPr>
          <w:color w:val="231F20"/>
          <w:spacing w:val="-10"/>
        </w:rPr>
        <w:t xml:space="preserve"> </w:t>
      </w:r>
      <w:r>
        <w:rPr>
          <w:color w:val="231F20"/>
        </w:rPr>
        <w:t>i</w:t>
      </w:r>
      <w:r>
        <w:rPr>
          <w:color w:val="231F20"/>
          <w:spacing w:val="-12"/>
        </w:rPr>
        <w:t xml:space="preserve"> </w:t>
      </w:r>
      <w:r>
        <w:rPr>
          <w:color w:val="231F20"/>
        </w:rPr>
        <w:t>na</w:t>
      </w:r>
      <w:r>
        <w:rPr>
          <w:color w:val="231F20"/>
          <w:spacing w:val="-11"/>
        </w:rPr>
        <w:t xml:space="preserve"> </w:t>
      </w:r>
      <w:r>
        <w:rPr>
          <w:color w:val="231F20"/>
        </w:rPr>
        <w:t>standardní,</w:t>
      </w:r>
      <w:r>
        <w:rPr>
          <w:color w:val="231F20"/>
          <w:spacing w:val="-11"/>
        </w:rPr>
        <w:t xml:space="preserve"> </w:t>
      </w:r>
      <w:r>
        <w:rPr>
          <w:color w:val="231F20"/>
        </w:rPr>
        <w:t>nadstandardní</w:t>
      </w:r>
      <w:r>
        <w:rPr>
          <w:color w:val="231F20"/>
          <w:spacing w:val="-11"/>
        </w:rPr>
        <w:t xml:space="preserve"> </w:t>
      </w:r>
      <w:r>
        <w:rPr>
          <w:color w:val="231F20"/>
        </w:rPr>
        <w:t>a</w:t>
      </w:r>
      <w:r>
        <w:rPr>
          <w:color w:val="231F20"/>
          <w:spacing w:val="-11"/>
        </w:rPr>
        <w:t xml:space="preserve"> </w:t>
      </w:r>
      <w:r>
        <w:rPr>
          <w:color w:val="231F20"/>
        </w:rPr>
        <w:t>zvláštní</w:t>
      </w:r>
      <w:r>
        <w:rPr>
          <w:color w:val="231F20"/>
          <w:spacing w:val="-11"/>
        </w:rPr>
        <w:t xml:space="preserve"> </w:t>
      </w:r>
      <w:r>
        <w:rPr>
          <w:color w:val="231F20"/>
        </w:rPr>
        <w:t>výbavu</w:t>
      </w:r>
      <w:r>
        <w:rPr>
          <w:color w:val="231F20"/>
          <w:spacing w:val="-11"/>
        </w:rPr>
        <w:t xml:space="preserve"> </w:t>
      </w:r>
      <w:r>
        <w:rPr>
          <w:color w:val="231F20"/>
        </w:rPr>
        <w:t>vozidel</w:t>
      </w:r>
      <w:r>
        <w:rPr>
          <w:color w:val="231F20"/>
          <w:spacing w:val="-12"/>
        </w:rPr>
        <w:t xml:space="preserve"> </w:t>
      </w:r>
      <w:r>
        <w:rPr>
          <w:color w:val="231F20"/>
        </w:rPr>
        <w:t>nebo</w:t>
      </w:r>
      <w:r>
        <w:rPr>
          <w:color w:val="231F20"/>
          <w:spacing w:val="-11"/>
        </w:rPr>
        <w:t xml:space="preserve"> </w:t>
      </w:r>
      <w:r>
        <w:rPr>
          <w:color w:val="231F20"/>
        </w:rPr>
        <w:t>jiné</w:t>
      </w:r>
      <w:r>
        <w:rPr>
          <w:color w:val="231F20"/>
          <w:spacing w:val="-11"/>
        </w:rPr>
        <w:t xml:space="preserve"> </w:t>
      </w:r>
      <w:r>
        <w:rPr>
          <w:color w:val="231F20"/>
        </w:rPr>
        <w:t>předměty vztahujících</w:t>
      </w:r>
      <w:r>
        <w:rPr>
          <w:color w:val="231F20"/>
          <w:spacing w:val="-11"/>
        </w:rPr>
        <w:t xml:space="preserve"> </w:t>
      </w:r>
      <w:r>
        <w:rPr>
          <w:color w:val="231F20"/>
        </w:rPr>
        <w:t>se</w:t>
      </w:r>
      <w:r>
        <w:rPr>
          <w:color w:val="231F20"/>
          <w:spacing w:val="-11"/>
        </w:rPr>
        <w:t xml:space="preserve"> </w:t>
      </w:r>
      <w:r>
        <w:rPr>
          <w:color w:val="231F20"/>
        </w:rPr>
        <w:t>k</w:t>
      </w:r>
      <w:r>
        <w:rPr>
          <w:color w:val="231F20"/>
          <w:spacing w:val="-9"/>
        </w:rPr>
        <w:t xml:space="preserve"> </w:t>
      </w:r>
      <w:r>
        <w:rPr>
          <w:color w:val="231F20"/>
        </w:rPr>
        <w:t>vozidlu</w:t>
      </w:r>
      <w:r>
        <w:rPr>
          <w:color w:val="231F20"/>
          <w:spacing w:val="-11"/>
        </w:rPr>
        <w:t xml:space="preserve"> </w:t>
      </w:r>
      <w:r>
        <w:rPr>
          <w:color w:val="231F20"/>
        </w:rPr>
        <w:t>nebo</w:t>
      </w:r>
      <w:r>
        <w:rPr>
          <w:color w:val="231F20"/>
          <w:spacing w:val="-11"/>
        </w:rPr>
        <w:t xml:space="preserve"> </w:t>
      </w:r>
      <w:r>
        <w:rPr>
          <w:color w:val="231F20"/>
        </w:rPr>
        <w:t>jeho</w:t>
      </w:r>
      <w:r>
        <w:rPr>
          <w:color w:val="231F20"/>
          <w:spacing w:val="-11"/>
        </w:rPr>
        <w:t xml:space="preserve"> </w:t>
      </w:r>
      <w:r>
        <w:rPr>
          <w:color w:val="231F20"/>
        </w:rPr>
        <w:t>provozu,</w:t>
      </w:r>
      <w:r>
        <w:rPr>
          <w:color w:val="231F20"/>
          <w:spacing w:val="-11"/>
        </w:rPr>
        <w:t xml:space="preserve"> </w:t>
      </w:r>
      <w:r>
        <w:rPr>
          <w:color w:val="231F20"/>
        </w:rPr>
        <w:t>jejichž</w:t>
      </w:r>
      <w:r>
        <w:rPr>
          <w:color w:val="231F20"/>
          <w:spacing w:val="-9"/>
        </w:rPr>
        <w:t xml:space="preserve"> </w:t>
      </w:r>
      <w:r>
        <w:rPr>
          <w:color w:val="231F20"/>
        </w:rPr>
        <w:t>hodnota</w:t>
      </w:r>
      <w:r>
        <w:rPr>
          <w:color w:val="231F20"/>
          <w:spacing w:val="-11"/>
        </w:rPr>
        <w:t xml:space="preserve"> </w:t>
      </w:r>
      <w:r>
        <w:rPr>
          <w:color w:val="231F20"/>
        </w:rPr>
        <w:t>je</w:t>
      </w:r>
      <w:r>
        <w:rPr>
          <w:color w:val="231F20"/>
          <w:spacing w:val="-11"/>
        </w:rPr>
        <w:t xml:space="preserve"> </w:t>
      </w:r>
      <w:r>
        <w:rPr>
          <w:color w:val="231F20"/>
        </w:rPr>
        <w:t>zahrnuta</w:t>
      </w:r>
      <w:r>
        <w:rPr>
          <w:color w:val="231F20"/>
          <w:spacing w:val="-11"/>
        </w:rPr>
        <w:t xml:space="preserve"> </w:t>
      </w:r>
      <w:r>
        <w:rPr>
          <w:color w:val="231F20"/>
        </w:rPr>
        <w:t>v</w:t>
      </w:r>
      <w:r>
        <w:rPr>
          <w:color w:val="231F20"/>
          <w:spacing w:val="-9"/>
        </w:rPr>
        <w:t xml:space="preserve"> </w:t>
      </w:r>
      <w:r>
        <w:rPr>
          <w:color w:val="231F20"/>
        </w:rPr>
        <w:t>pojistné</w:t>
      </w:r>
      <w:r>
        <w:rPr>
          <w:color w:val="231F20"/>
          <w:spacing w:val="-11"/>
        </w:rPr>
        <w:t xml:space="preserve"> </w:t>
      </w:r>
      <w:r>
        <w:rPr>
          <w:color w:val="231F20"/>
        </w:rPr>
        <w:t>částce</w:t>
      </w:r>
      <w:r>
        <w:rPr>
          <w:color w:val="231F20"/>
          <w:spacing w:val="-11"/>
        </w:rPr>
        <w:t xml:space="preserve"> </w:t>
      </w:r>
      <w:r>
        <w:rPr>
          <w:color w:val="231F20"/>
        </w:rPr>
        <w:t>(např.</w:t>
      </w:r>
      <w:r>
        <w:rPr>
          <w:color w:val="231F20"/>
          <w:spacing w:val="-11"/>
        </w:rPr>
        <w:t xml:space="preserve"> </w:t>
      </w:r>
      <w:r>
        <w:rPr>
          <w:color w:val="231F20"/>
        </w:rPr>
        <w:t>vybavení</w:t>
      </w:r>
      <w:r>
        <w:rPr>
          <w:color w:val="231F20"/>
          <w:spacing w:val="-11"/>
        </w:rPr>
        <w:t xml:space="preserve"> </w:t>
      </w:r>
      <w:r>
        <w:rPr>
          <w:color w:val="231F20"/>
        </w:rPr>
        <w:t>sanitního</w:t>
      </w:r>
      <w:r>
        <w:rPr>
          <w:color w:val="231F20"/>
          <w:spacing w:val="-11"/>
        </w:rPr>
        <w:t xml:space="preserve"> </w:t>
      </w:r>
      <w:r>
        <w:rPr>
          <w:color w:val="231F20"/>
        </w:rPr>
        <w:t>vozu,</w:t>
      </w:r>
      <w:r>
        <w:rPr>
          <w:color w:val="231F20"/>
          <w:spacing w:val="-11"/>
        </w:rPr>
        <w:t xml:space="preserve"> </w:t>
      </w:r>
      <w:r>
        <w:rPr>
          <w:color w:val="231F20"/>
        </w:rPr>
        <w:t>vozidla</w:t>
      </w:r>
      <w:r>
        <w:rPr>
          <w:color w:val="231F20"/>
          <w:spacing w:val="-11"/>
        </w:rPr>
        <w:t xml:space="preserve"> </w:t>
      </w:r>
      <w:r>
        <w:rPr>
          <w:color w:val="231F20"/>
        </w:rPr>
        <w:t>vybavena zařízením přímého napojení k řídicímu systému platformy</w:t>
      </w:r>
      <w:r>
        <w:rPr>
          <w:color w:val="231F20"/>
          <w:spacing w:val="-8"/>
        </w:rPr>
        <w:t xml:space="preserve"> </w:t>
      </w:r>
      <w:r>
        <w:rPr>
          <w:color w:val="231F20"/>
        </w:rPr>
        <w:t>Drive-by-wire).</w:t>
      </w:r>
    </w:p>
    <w:p w14:paraId="221E200D" w14:textId="77777777" w:rsidR="00F65BCA" w:rsidRDefault="00216117">
      <w:pPr>
        <w:pStyle w:val="Nadpis6"/>
        <w:numPr>
          <w:ilvl w:val="1"/>
          <w:numId w:val="2"/>
        </w:numPr>
        <w:tabs>
          <w:tab w:val="left" w:pos="1471"/>
        </w:tabs>
        <w:spacing w:before="118"/>
        <w:ind w:left="1470" w:hanging="431"/>
        <w:jc w:val="both"/>
      </w:pPr>
      <w:r>
        <w:rPr>
          <w:b/>
          <w:color w:val="231F20"/>
        </w:rPr>
        <w:t>Předmět</w:t>
      </w:r>
      <w:r>
        <w:rPr>
          <w:b/>
          <w:color w:val="231F20"/>
          <w:spacing w:val="-7"/>
        </w:rPr>
        <w:t xml:space="preserve"> </w:t>
      </w:r>
      <w:r>
        <w:rPr>
          <w:b/>
          <w:color w:val="231F20"/>
        </w:rPr>
        <w:t>pojištění:</w:t>
      </w:r>
      <w:r>
        <w:rPr>
          <w:b/>
          <w:color w:val="231F20"/>
          <w:spacing w:val="-6"/>
        </w:rPr>
        <w:t xml:space="preserve"> </w:t>
      </w:r>
      <w:r>
        <w:rPr>
          <w:color w:val="231F20"/>
        </w:rPr>
        <w:t>Soubor</w:t>
      </w:r>
      <w:r>
        <w:rPr>
          <w:color w:val="231F20"/>
          <w:spacing w:val="-5"/>
        </w:rPr>
        <w:t xml:space="preserve"> </w:t>
      </w:r>
      <w:r>
        <w:rPr>
          <w:color w:val="231F20"/>
        </w:rPr>
        <w:t>vozidel</w:t>
      </w:r>
      <w:r>
        <w:rPr>
          <w:color w:val="231F20"/>
          <w:spacing w:val="-9"/>
        </w:rPr>
        <w:t xml:space="preserve"> </w:t>
      </w:r>
      <w:r>
        <w:rPr>
          <w:color w:val="231F20"/>
        </w:rPr>
        <w:t>uvedených</w:t>
      </w:r>
      <w:r>
        <w:rPr>
          <w:color w:val="231F20"/>
          <w:spacing w:val="-8"/>
        </w:rPr>
        <w:t xml:space="preserve"> </w:t>
      </w:r>
      <w:r>
        <w:rPr>
          <w:color w:val="231F20"/>
        </w:rPr>
        <w:t>v</w:t>
      </w:r>
      <w:r>
        <w:rPr>
          <w:color w:val="231F20"/>
          <w:spacing w:val="-3"/>
        </w:rPr>
        <w:t xml:space="preserve"> </w:t>
      </w:r>
      <w:r>
        <w:rPr>
          <w:color w:val="231F20"/>
        </w:rPr>
        <w:t>příloze</w:t>
      </w:r>
      <w:r>
        <w:rPr>
          <w:color w:val="231F20"/>
          <w:spacing w:val="-9"/>
        </w:rPr>
        <w:t xml:space="preserve"> </w:t>
      </w:r>
      <w:r>
        <w:rPr>
          <w:color w:val="231F20"/>
        </w:rPr>
        <w:t>ZD</w:t>
      </w:r>
      <w:r>
        <w:rPr>
          <w:color w:val="231F20"/>
          <w:spacing w:val="-8"/>
        </w:rPr>
        <w:t xml:space="preserve"> </w:t>
      </w:r>
      <w:r>
        <w:rPr>
          <w:color w:val="231F20"/>
        </w:rPr>
        <w:t>č.</w:t>
      </w:r>
      <w:r>
        <w:rPr>
          <w:color w:val="231F20"/>
          <w:spacing w:val="-7"/>
        </w:rPr>
        <w:t xml:space="preserve"> </w:t>
      </w:r>
      <w:r>
        <w:rPr>
          <w:color w:val="231F20"/>
        </w:rPr>
        <w:t>2-2,</w:t>
      </w:r>
      <w:r>
        <w:rPr>
          <w:color w:val="231F20"/>
          <w:spacing w:val="-6"/>
        </w:rPr>
        <w:t xml:space="preserve"> </w:t>
      </w:r>
      <w:r>
        <w:rPr>
          <w:color w:val="231F20"/>
        </w:rPr>
        <w:t>u</w:t>
      </w:r>
      <w:r>
        <w:rPr>
          <w:color w:val="231F20"/>
          <w:spacing w:val="-9"/>
        </w:rPr>
        <w:t xml:space="preserve"> </w:t>
      </w:r>
      <w:r>
        <w:rPr>
          <w:color w:val="231F20"/>
        </w:rPr>
        <w:t>kterých</w:t>
      </w:r>
      <w:r>
        <w:rPr>
          <w:color w:val="231F20"/>
          <w:spacing w:val="-9"/>
        </w:rPr>
        <w:t xml:space="preserve"> </w:t>
      </w:r>
      <w:r>
        <w:rPr>
          <w:color w:val="231F20"/>
        </w:rPr>
        <w:t>je</w:t>
      </w:r>
      <w:r>
        <w:rPr>
          <w:color w:val="231F20"/>
          <w:spacing w:val="-9"/>
        </w:rPr>
        <w:t xml:space="preserve"> </w:t>
      </w:r>
      <w:r>
        <w:rPr>
          <w:color w:val="231F20"/>
        </w:rPr>
        <w:t>v</w:t>
      </w:r>
      <w:r>
        <w:rPr>
          <w:color w:val="231F20"/>
          <w:spacing w:val="-7"/>
        </w:rPr>
        <w:t xml:space="preserve"> </w:t>
      </w:r>
      <w:r>
        <w:rPr>
          <w:color w:val="231F20"/>
        </w:rPr>
        <w:t>příslušném</w:t>
      </w:r>
      <w:r>
        <w:rPr>
          <w:color w:val="231F20"/>
          <w:spacing w:val="-8"/>
        </w:rPr>
        <w:t xml:space="preserve"> </w:t>
      </w:r>
      <w:r>
        <w:rPr>
          <w:color w:val="231F20"/>
        </w:rPr>
        <w:t>sloupci</w:t>
      </w:r>
      <w:r>
        <w:rPr>
          <w:color w:val="231F20"/>
          <w:spacing w:val="-9"/>
        </w:rPr>
        <w:t xml:space="preserve"> </w:t>
      </w:r>
      <w:r>
        <w:rPr>
          <w:color w:val="231F20"/>
        </w:rPr>
        <w:t>označeném</w:t>
      </w:r>
      <w:r>
        <w:rPr>
          <w:color w:val="231F20"/>
          <w:spacing w:val="-8"/>
        </w:rPr>
        <w:t xml:space="preserve"> </w:t>
      </w:r>
      <w:r>
        <w:rPr>
          <w:color w:val="231F20"/>
        </w:rPr>
        <w:t>pojmem</w:t>
      </w:r>
      <w:r>
        <w:rPr>
          <w:color w:val="231F20"/>
          <w:spacing w:val="-6"/>
        </w:rPr>
        <w:t xml:space="preserve"> </w:t>
      </w:r>
      <w:r>
        <w:rPr>
          <w:color w:val="231F20"/>
        </w:rPr>
        <w:t>„HAV“</w:t>
      </w:r>
      <w:r>
        <w:rPr>
          <w:color w:val="231F20"/>
          <w:spacing w:val="-7"/>
        </w:rPr>
        <w:t xml:space="preserve"> </w:t>
      </w:r>
      <w:r>
        <w:rPr>
          <w:color w:val="231F20"/>
        </w:rPr>
        <w:t>uvedeno</w:t>
      </w:r>
      <w:r>
        <w:rPr>
          <w:color w:val="231F20"/>
          <w:spacing w:val="-6"/>
        </w:rPr>
        <w:t xml:space="preserve"> </w:t>
      </w:r>
      <w:r>
        <w:rPr>
          <w:color w:val="231F20"/>
        </w:rPr>
        <w:t>„ANO“</w:t>
      </w:r>
    </w:p>
    <w:p w14:paraId="78C04BE4" w14:textId="77777777" w:rsidR="00F65BCA" w:rsidRDefault="00F65BCA">
      <w:pPr>
        <w:pStyle w:val="Zkladntext"/>
        <w:rPr>
          <w:sz w:val="22"/>
        </w:rPr>
      </w:pPr>
    </w:p>
    <w:p w14:paraId="042C5A60" w14:textId="77777777" w:rsidR="00F65BCA" w:rsidRDefault="00F65BCA">
      <w:pPr>
        <w:pStyle w:val="Zkladntext"/>
        <w:rPr>
          <w:sz w:val="22"/>
        </w:rPr>
      </w:pPr>
    </w:p>
    <w:p w14:paraId="3493C1C2" w14:textId="77777777" w:rsidR="00F65BCA" w:rsidRDefault="00F65BCA">
      <w:pPr>
        <w:pStyle w:val="Zkladntext"/>
        <w:rPr>
          <w:sz w:val="22"/>
        </w:rPr>
      </w:pPr>
    </w:p>
    <w:p w14:paraId="237D01C0" w14:textId="77777777" w:rsidR="00F65BCA" w:rsidRDefault="00216117">
      <w:pPr>
        <w:pStyle w:val="Odstavecseseznamem"/>
        <w:numPr>
          <w:ilvl w:val="0"/>
          <w:numId w:val="2"/>
        </w:numPr>
        <w:tabs>
          <w:tab w:val="left" w:pos="1041"/>
        </w:tabs>
        <w:spacing w:before="165"/>
        <w:ind w:left="1040" w:hanging="359"/>
        <w:rPr>
          <w:b/>
          <w:color w:val="1E285C"/>
          <w:sz w:val="28"/>
        </w:rPr>
      </w:pPr>
      <w:r>
        <w:rPr>
          <w:b/>
          <w:color w:val="1E285C"/>
          <w:sz w:val="28"/>
        </w:rPr>
        <w:t>Pojištění</w:t>
      </w:r>
      <w:r>
        <w:rPr>
          <w:b/>
          <w:color w:val="1E285C"/>
          <w:spacing w:val="2"/>
          <w:sz w:val="28"/>
        </w:rPr>
        <w:t xml:space="preserve"> </w:t>
      </w:r>
      <w:r>
        <w:rPr>
          <w:b/>
          <w:color w:val="1E285C"/>
          <w:sz w:val="28"/>
        </w:rPr>
        <w:t>skel</w:t>
      </w:r>
    </w:p>
    <w:p w14:paraId="0DB8E72A" w14:textId="77777777" w:rsidR="00F65BCA" w:rsidRDefault="00216117">
      <w:pPr>
        <w:pStyle w:val="Odstavecseseznamem"/>
        <w:numPr>
          <w:ilvl w:val="1"/>
          <w:numId w:val="2"/>
        </w:numPr>
        <w:tabs>
          <w:tab w:val="left" w:pos="1470"/>
        </w:tabs>
        <w:spacing w:before="168"/>
        <w:ind w:left="1470" w:hanging="430"/>
        <w:jc w:val="both"/>
        <w:rPr>
          <w:b/>
          <w:sz w:val="20"/>
        </w:rPr>
      </w:pPr>
      <w:r>
        <w:rPr>
          <w:color w:val="231F20"/>
          <w:sz w:val="20"/>
        </w:rPr>
        <w:t xml:space="preserve">Pojištění </w:t>
      </w:r>
      <w:r>
        <w:rPr>
          <w:b/>
          <w:color w:val="231F20"/>
          <w:sz w:val="20"/>
        </w:rPr>
        <w:t>všech výhledových skel</w:t>
      </w:r>
    </w:p>
    <w:p w14:paraId="0988E385" w14:textId="77777777" w:rsidR="00F65BCA" w:rsidRDefault="00216117">
      <w:pPr>
        <w:pStyle w:val="Odstavecseseznamem"/>
        <w:numPr>
          <w:ilvl w:val="1"/>
          <w:numId w:val="2"/>
        </w:numPr>
        <w:tabs>
          <w:tab w:val="left" w:pos="1471"/>
        </w:tabs>
        <w:spacing w:before="154"/>
        <w:ind w:left="1470" w:hanging="431"/>
        <w:jc w:val="both"/>
        <w:rPr>
          <w:sz w:val="20"/>
        </w:rPr>
      </w:pPr>
      <w:r>
        <w:rPr>
          <w:b/>
          <w:color w:val="231F20"/>
          <w:sz w:val="20"/>
        </w:rPr>
        <w:t xml:space="preserve">Rozsah pojištění: </w:t>
      </w:r>
      <w:r>
        <w:rPr>
          <w:color w:val="231F20"/>
          <w:sz w:val="20"/>
        </w:rPr>
        <w:t>jakékoliv poškození nebo</w:t>
      </w:r>
      <w:r>
        <w:rPr>
          <w:color w:val="231F20"/>
          <w:spacing w:val="-4"/>
          <w:sz w:val="20"/>
        </w:rPr>
        <w:t xml:space="preserve"> </w:t>
      </w:r>
      <w:r>
        <w:rPr>
          <w:color w:val="231F20"/>
          <w:sz w:val="20"/>
        </w:rPr>
        <w:t>rozbití</w:t>
      </w:r>
    </w:p>
    <w:p w14:paraId="638D0DB3" w14:textId="77777777" w:rsidR="00F65BCA" w:rsidRDefault="00216117">
      <w:pPr>
        <w:pStyle w:val="Odstavecseseznamem"/>
        <w:numPr>
          <w:ilvl w:val="1"/>
          <w:numId w:val="2"/>
        </w:numPr>
        <w:tabs>
          <w:tab w:val="left" w:pos="1470"/>
        </w:tabs>
        <w:spacing w:before="157"/>
        <w:ind w:left="1470" w:hanging="430"/>
        <w:jc w:val="both"/>
        <w:rPr>
          <w:sz w:val="20"/>
        </w:rPr>
      </w:pPr>
      <w:r>
        <w:rPr>
          <w:color w:val="231F20"/>
          <w:sz w:val="20"/>
        </w:rPr>
        <w:t xml:space="preserve">Pojistné plnění </w:t>
      </w:r>
      <w:r>
        <w:rPr>
          <w:b/>
          <w:color w:val="231F20"/>
          <w:sz w:val="20"/>
        </w:rPr>
        <w:t xml:space="preserve">bez spoluúčasti </w:t>
      </w:r>
      <w:r>
        <w:rPr>
          <w:color w:val="231F20"/>
          <w:sz w:val="20"/>
        </w:rPr>
        <w:t>(smluvní i nesmluvní servis)</w:t>
      </w:r>
    </w:p>
    <w:p w14:paraId="3553888F" w14:textId="77777777" w:rsidR="00F65BCA" w:rsidRDefault="00216117">
      <w:pPr>
        <w:pStyle w:val="Nadpis5"/>
        <w:numPr>
          <w:ilvl w:val="1"/>
          <w:numId w:val="2"/>
        </w:numPr>
        <w:tabs>
          <w:tab w:val="left" w:pos="1471"/>
        </w:tabs>
        <w:ind w:left="1470" w:hanging="431"/>
        <w:jc w:val="both"/>
        <w:rPr>
          <w:b w:val="0"/>
        </w:rPr>
      </w:pPr>
      <w:r>
        <w:rPr>
          <w:color w:val="231F20"/>
        </w:rPr>
        <w:t>Územní rozsah pojištění:</w:t>
      </w:r>
      <w:r>
        <w:rPr>
          <w:color w:val="231F20"/>
          <w:spacing w:val="1"/>
        </w:rPr>
        <w:t xml:space="preserve"> </w:t>
      </w:r>
      <w:r>
        <w:rPr>
          <w:b w:val="0"/>
          <w:color w:val="231F20"/>
        </w:rPr>
        <w:t>Evropa</w:t>
      </w:r>
    </w:p>
    <w:p w14:paraId="60AAAB71" w14:textId="77777777" w:rsidR="00F65BCA" w:rsidRDefault="00216117">
      <w:pPr>
        <w:pStyle w:val="Nadpis6"/>
        <w:numPr>
          <w:ilvl w:val="1"/>
          <w:numId w:val="2"/>
        </w:numPr>
        <w:tabs>
          <w:tab w:val="left" w:pos="1471"/>
        </w:tabs>
        <w:spacing w:before="154"/>
        <w:ind w:left="1470" w:hanging="431"/>
        <w:jc w:val="both"/>
      </w:pPr>
      <w:r>
        <w:rPr>
          <w:b/>
          <w:color w:val="231F20"/>
        </w:rPr>
        <w:t>Předmět</w:t>
      </w:r>
      <w:r>
        <w:rPr>
          <w:b/>
          <w:color w:val="231F20"/>
          <w:spacing w:val="-7"/>
        </w:rPr>
        <w:t xml:space="preserve"> </w:t>
      </w:r>
      <w:r>
        <w:rPr>
          <w:b/>
          <w:color w:val="231F20"/>
        </w:rPr>
        <w:t>pojištění:</w:t>
      </w:r>
      <w:r>
        <w:rPr>
          <w:b/>
          <w:color w:val="231F20"/>
          <w:spacing w:val="-7"/>
        </w:rPr>
        <w:t xml:space="preserve"> </w:t>
      </w:r>
      <w:r>
        <w:rPr>
          <w:color w:val="231F20"/>
        </w:rPr>
        <w:t>Soubor</w:t>
      </w:r>
      <w:r>
        <w:rPr>
          <w:color w:val="231F20"/>
          <w:spacing w:val="-7"/>
        </w:rPr>
        <w:t xml:space="preserve"> </w:t>
      </w:r>
      <w:r>
        <w:rPr>
          <w:color w:val="231F20"/>
        </w:rPr>
        <w:t>vozidel</w:t>
      </w:r>
      <w:r>
        <w:rPr>
          <w:color w:val="231F20"/>
          <w:spacing w:val="-7"/>
        </w:rPr>
        <w:t xml:space="preserve"> </w:t>
      </w:r>
      <w:r>
        <w:rPr>
          <w:color w:val="231F20"/>
        </w:rPr>
        <w:t>uvedených</w:t>
      </w:r>
      <w:r>
        <w:rPr>
          <w:color w:val="231F20"/>
          <w:spacing w:val="-9"/>
        </w:rPr>
        <w:t xml:space="preserve"> </w:t>
      </w:r>
      <w:r>
        <w:rPr>
          <w:color w:val="231F20"/>
        </w:rPr>
        <w:t>v</w:t>
      </w:r>
      <w:r>
        <w:rPr>
          <w:color w:val="231F20"/>
          <w:spacing w:val="-2"/>
        </w:rPr>
        <w:t xml:space="preserve"> </w:t>
      </w:r>
      <w:r>
        <w:rPr>
          <w:color w:val="231F20"/>
        </w:rPr>
        <w:t>příloze</w:t>
      </w:r>
      <w:r>
        <w:rPr>
          <w:color w:val="231F20"/>
          <w:spacing w:val="-8"/>
        </w:rPr>
        <w:t xml:space="preserve"> </w:t>
      </w:r>
      <w:r>
        <w:rPr>
          <w:color w:val="231F20"/>
        </w:rPr>
        <w:t>ZD</w:t>
      </w:r>
      <w:r>
        <w:rPr>
          <w:color w:val="231F20"/>
          <w:spacing w:val="-8"/>
        </w:rPr>
        <w:t xml:space="preserve"> </w:t>
      </w:r>
      <w:r>
        <w:rPr>
          <w:color w:val="231F20"/>
        </w:rPr>
        <w:t>č.</w:t>
      </w:r>
      <w:r>
        <w:rPr>
          <w:color w:val="231F20"/>
          <w:spacing w:val="-6"/>
        </w:rPr>
        <w:t xml:space="preserve"> </w:t>
      </w:r>
      <w:r>
        <w:rPr>
          <w:color w:val="231F20"/>
        </w:rPr>
        <w:t>2-2,</w:t>
      </w:r>
      <w:r>
        <w:rPr>
          <w:color w:val="231F20"/>
          <w:spacing w:val="-6"/>
        </w:rPr>
        <w:t xml:space="preserve"> </w:t>
      </w:r>
      <w:r>
        <w:rPr>
          <w:color w:val="231F20"/>
        </w:rPr>
        <w:t>u</w:t>
      </w:r>
      <w:r>
        <w:rPr>
          <w:color w:val="231F20"/>
          <w:spacing w:val="-9"/>
        </w:rPr>
        <w:t xml:space="preserve"> </w:t>
      </w:r>
      <w:r>
        <w:rPr>
          <w:color w:val="231F20"/>
        </w:rPr>
        <w:t>kterých</w:t>
      </w:r>
      <w:r>
        <w:rPr>
          <w:color w:val="231F20"/>
          <w:spacing w:val="-9"/>
        </w:rPr>
        <w:t xml:space="preserve"> </w:t>
      </w:r>
      <w:r>
        <w:rPr>
          <w:color w:val="231F20"/>
        </w:rPr>
        <w:t>je</w:t>
      </w:r>
      <w:r>
        <w:rPr>
          <w:color w:val="231F20"/>
          <w:spacing w:val="-5"/>
        </w:rPr>
        <w:t xml:space="preserve"> </w:t>
      </w:r>
      <w:r>
        <w:rPr>
          <w:color w:val="231F20"/>
        </w:rPr>
        <w:t>v</w:t>
      </w:r>
      <w:r>
        <w:rPr>
          <w:color w:val="231F20"/>
          <w:spacing w:val="-7"/>
        </w:rPr>
        <w:t xml:space="preserve"> </w:t>
      </w:r>
      <w:r>
        <w:rPr>
          <w:color w:val="231F20"/>
        </w:rPr>
        <w:t>příslušném</w:t>
      </w:r>
      <w:r>
        <w:rPr>
          <w:color w:val="231F20"/>
          <w:spacing w:val="-6"/>
        </w:rPr>
        <w:t xml:space="preserve"> </w:t>
      </w:r>
      <w:r>
        <w:rPr>
          <w:color w:val="231F20"/>
        </w:rPr>
        <w:t>sloupci</w:t>
      </w:r>
      <w:r>
        <w:rPr>
          <w:color w:val="231F20"/>
          <w:spacing w:val="-7"/>
        </w:rPr>
        <w:t xml:space="preserve"> </w:t>
      </w:r>
      <w:r>
        <w:rPr>
          <w:color w:val="231F20"/>
        </w:rPr>
        <w:t>označeném</w:t>
      </w:r>
      <w:r>
        <w:rPr>
          <w:color w:val="231F20"/>
          <w:spacing w:val="-6"/>
        </w:rPr>
        <w:t xml:space="preserve"> </w:t>
      </w:r>
      <w:r>
        <w:rPr>
          <w:color w:val="231F20"/>
        </w:rPr>
        <w:t>pojmem</w:t>
      </w:r>
      <w:r>
        <w:rPr>
          <w:color w:val="231F20"/>
          <w:spacing w:val="-8"/>
        </w:rPr>
        <w:t xml:space="preserve"> </w:t>
      </w:r>
      <w:r>
        <w:rPr>
          <w:color w:val="231F20"/>
        </w:rPr>
        <w:t>„SKLA“</w:t>
      </w:r>
      <w:r>
        <w:rPr>
          <w:color w:val="231F20"/>
          <w:spacing w:val="-7"/>
        </w:rPr>
        <w:t xml:space="preserve"> </w:t>
      </w:r>
      <w:r>
        <w:rPr>
          <w:color w:val="231F20"/>
        </w:rPr>
        <w:t>uveden</w:t>
      </w:r>
      <w:r>
        <w:rPr>
          <w:color w:val="231F20"/>
          <w:spacing w:val="-5"/>
        </w:rPr>
        <w:t xml:space="preserve"> </w:t>
      </w:r>
      <w:r>
        <w:rPr>
          <w:color w:val="231F20"/>
        </w:rPr>
        <w:t>„ANO“</w:t>
      </w:r>
    </w:p>
    <w:p w14:paraId="0E7FF18F" w14:textId="77777777" w:rsidR="00F65BCA" w:rsidRDefault="00216117">
      <w:pPr>
        <w:pStyle w:val="Odstavecseseznamem"/>
        <w:numPr>
          <w:ilvl w:val="1"/>
          <w:numId w:val="2"/>
        </w:numPr>
        <w:tabs>
          <w:tab w:val="left" w:pos="1471"/>
        </w:tabs>
        <w:spacing w:before="154"/>
        <w:ind w:left="1470" w:hanging="431"/>
        <w:jc w:val="both"/>
        <w:rPr>
          <w:sz w:val="20"/>
        </w:rPr>
      </w:pPr>
      <w:r>
        <w:rPr>
          <w:b/>
          <w:color w:val="231F20"/>
          <w:sz w:val="20"/>
        </w:rPr>
        <w:t xml:space="preserve">Pojistná částka </w:t>
      </w:r>
      <w:r>
        <w:rPr>
          <w:color w:val="231F20"/>
          <w:sz w:val="20"/>
        </w:rPr>
        <w:t>pro jednotlivá vozidla uvedena v tabulce č.1 seznam</w:t>
      </w:r>
      <w:r>
        <w:rPr>
          <w:color w:val="231F20"/>
          <w:spacing w:val="-7"/>
          <w:sz w:val="20"/>
        </w:rPr>
        <w:t xml:space="preserve"> </w:t>
      </w:r>
      <w:r>
        <w:rPr>
          <w:color w:val="231F20"/>
          <w:sz w:val="20"/>
        </w:rPr>
        <w:t>vozidel</w:t>
      </w:r>
    </w:p>
    <w:p w14:paraId="5D62B6D1" w14:textId="77777777" w:rsidR="00F65BCA" w:rsidRDefault="00F65BCA">
      <w:pPr>
        <w:pStyle w:val="Zkladntext"/>
        <w:rPr>
          <w:sz w:val="22"/>
        </w:rPr>
      </w:pPr>
    </w:p>
    <w:p w14:paraId="2F0C4EC9" w14:textId="77777777" w:rsidR="00F65BCA" w:rsidRDefault="00F65BCA">
      <w:pPr>
        <w:pStyle w:val="Zkladntext"/>
        <w:rPr>
          <w:sz w:val="22"/>
        </w:rPr>
      </w:pPr>
    </w:p>
    <w:p w14:paraId="06374D37" w14:textId="77777777" w:rsidR="00F65BCA" w:rsidRDefault="00F65BCA">
      <w:pPr>
        <w:pStyle w:val="Zkladntext"/>
        <w:rPr>
          <w:sz w:val="22"/>
        </w:rPr>
      </w:pPr>
    </w:p>
    <w:p w14:paraId="1299E271" w14:textId="77777777" w:rsidR="00F65BCA" w:rsidRDefault="00216117">
      <w:pPr>
        <w:pStyle w:val="Odstavecseseznamem"/>
        <w:numPr>
          <w:ilvl w:val="0"/>
          <w:numId w:val="2"/>
        </w:numPr>
        <w:tabs>
          <w:tab w:val="left" w:pos="1041"/>
        </w:tabs>
        <w:spacing w:before="164"/>
        <w:ind w:left="1040" w:hanging="359"/>
        <w:rPr>
          <w:b/>
          <w:color w:val="1E285C"/>
          <w:sz w:val="28"/>
        </w:rPr>
      </w:pPr>
      <w:r>
        <w:rPr>
          <w:b/>
          <w:color w:val="1E285C"/>
          <w:sz w:val="28"/>
        </w:rPr>
        <w:t>Pojištění asistenčních</w:t>
      </w:r>
      <w:r>
        <w:rPr>
          <w:b/>
          <w:color w:val="1E285C"/>
          <w:spacing w:val="2"/>
          <w:sz w:val="28"/>
        </w:rPr>
        <w:t xml:space="preserve"> </w:t>
      </w:r>
      <w:r>
        <w:rPr>
          <w:b/>
          <w:color w:val="1E285C"/>
          <w:sz w:val="28"/>
        </w:rPr>
        <w:t>služeb</w:t>
      </w:r>
    </w:p>
    <w:p w14:paraId="3490CA04" w14:textId="77777777" w:rsidR="00F65BCA" w:rsidRDefault="00216117">
      <w:pPr>
        <w:pStyle w:val="Nadpis6"/>
        <w:numPr>
          <w:ilvl w:val="1"/>
          <w:numId w:val="2"/>
        </w:numPr>
        <w:tabs>
          <w:tab w:val="left" w:pos="1470"/>
        </w:tabs>
        <w:spacing w:before="168" w:line="276" w:lineRule="auto"/>
        <w:ind w:left="1469" w:right="100" w:hanging="430"/>
        <w:jc w:val="both"/>
      </w:pPr>
      <w:r>
        <w:rPr>
          <w:color w:val="231F20"/>
        </w:rPr>
        <w:t>Asistenční</w:t>
      </w:r>
      <w:r>
        <w:rPr>
          <w:color w:val="231F20"/>
          <w:spacing w:val="-2"/>
        </w:rPr>
        <w:t xml:space="preserve"> </w:t>
      </w:r>
      <w:r>
        <w:rPr>
          <w:color w:val="231F20"/>
        </w:rPr>
        <w:t>služby</w:t>
      </w:r>
      <w:r>
        <w:rPr>
          <w:color w:val="231F20"/>
          <w:spacing w:val="-3"/>
        </w:rPr>
        <w:t xml:space="preserve"> </w:t>
      </w:r>
      <w:r>
        <w:rPr>
          <w:color w:val="231F20"/>
        </w:rPr>
        <w:t>v</w:t>
      </w:r>
      <w:r>
        <w:rPr>
          <w:color w:val="231F20"/>
          <w:spacing w:val="-3"/>
        </w:rPr>
        <w:t xml:space="preserve"> </w:t>
      </w:r>
      <w:r>
        <w:rPr>
          <w:color w:val="231F20"/>
        </w:rPr>
        <w:t>případě:</w:t>
      </w:r>
      <w:r>
        <w:rPr>
          <w:color w:val="231F20"/>
          <w:spacing w:val="-4"/>
        </w:rPr>
        <w:t xml:space="preserve"> </w:t>
      </w:r>
      <w:r>
        <w:rPr>
          <w:color w:val="231F20"/>
        </w:rPr>
        <w:t>Pokud</w:t>
      </w:r>
      <w:r>
        <w:rPr>
          <w:color w:val="231F20"/>
          <w:spacing w:val="-5"/>
        </w:rPr>
        <w:t xml:space="preserve"> </w:t>
      </w:r>
      <w:r>
        <w:rPr>
          <w:color w:val="231F20"/>
        </w:rPr>
        <w:t>dojde</w:t>
      </w:r>
      <w:r>
        <w:rPr>
          <w:color w:val="231F20"/>
          <w:spacing w:val="-2"/>
        </w:rPr>
        <w:t xml:space="preserve"> </w:t>
      </w:r>
      <w:r>
        <w:rPr>
          <w:color w:val="231F20"/>
        </w:rPr>
        <w:t>k</w:t>
      </w:r>
      <w:r>
        <w:rPr>
          <w:color w:val="231F20"/>
          <w:spacing w:val="-3"/>
        </w:rPr>
        <w:t xml:space="preserve"> </w:t>
      </w:r>
      <w:r>
        <w:rPr>
          <w:color w:val="231F20"/>
        </w:rPr>
        <w:t>dopravní</w:t>
      </w:r>
      <w:r>
        <w:rPr>
          <w:color w:val="231F20"/>
          <w:spacing w:val="-4"/>
        </w:rPr>
        <w:t xml:space="preserve"> </w:t>
      </w:r>
      <w:r>
        <w:rPr>
          <w:color w:val="231F20"/>
        </w:rPr>
        <w:t>nehodě,</w:t>
      </w:r>
      <w:r>
        <w:rPr>
          <w:color w:val="231F20"/>
          <w:spacing w:val="-3"/>
        </w:rPr>
        <w:t xml:space="preserve"> </w:t>
      </w:r>
      <w:r>
        <w:rPr>
          <w:color w:val="231F20"/>
        </w:rPr>
        <w:t>mechanické</w:t>
      </w:r>
      <w:r>
        <w:rPr>
          <w:color w:val="231F20"/>
          <w:spacing w:val="-5"/>
        </w:rPr>
        <w:t xml:space="preserve"> </w:t>
      </w:r>
      <w:r>
        <w:rPr>
          <w:color w:val="231F20"/>
        </w:rPr>
        <w:t>nebo</w:t>
      </w:r>
      <w:r>
        <w:rPr>
          <w:color w:val="231F20"/>
          <w:spacing w:val="-2"/>
        </w:rPr>
        <w:t xml:space="preserve"> </w:t>
      </w:r>
      <w:r>
        <w:rPr>
          <w:color w:val="231F20"/>
        </w:rPr>
        <w:t>elektronické</w:t>
      </w:r>
      <w:r>
        <w:rPr>
          <w:color w:val="231F20"/>
          <w:spacing w:val="-5"/>
        </w:rPr>
        <w:t xml:space="preserve"> </w:t>
      </w:r>
      <w:r>
        <w:rPr>
          <w:color w:val="231F20"/>
        </w:rPr>
        <w:t>poruše,</w:t>
      </w:r>
      <w:r>
        <w:rPr>
          <w:color w:val="231F20"/>
          <w:spacing w:val="-4"/>
        </w:rPr>
        <w:t xml:space="preserve"> </w:t>
      </w:r>
      <w:r>
        <w:rPr>
          <w:color w:val="231F20"/>
        </w:rPr>
        <w:t>zásahu</w:t>
      </w:r>
      <w:r>
        <w:rPr>
          <w:color w:val="231F20"/>
          <w:spacing w:val="-2"/>
        </w:rPr>
        <w:t xml:space="preserve"> </w:t>
      </w:r>
      <w:r>
        <w:rPr>
          <w:color w:val="231F20"/>
        </w:rPr>
        <w:t>cizí</w:t>
      </w:r>
      <w:r>
        <w:rPr>
          <w:color w:val="231F20"/>
          <w:spacing w:val="-3"/>
        </w:rPr>
        <w:t xml:space="preserve"> </w:t>
      </w:r>
      <w:r>
        <w:rPr>
          <w:color w:val="231F20"/>
        </w:rPr>
        <w:t>osoby,</w:t>
      </w:r>
      <w:r>
        <w:rPr>
          <w:color w:val="231F20"/>
          <w:spacing w:val="-4"/>
        </w:rPr>
        <w:t xml:space="preserve"> </w:t>
      </w:r>
      <w:r>
        <w:rPr>
          <w:color w:val="231F20"/>
        </w:rPr>
        <w:t>živelné</w:t>
      </w:r>
      <w:r>
        <w:rPr>
          <w:color w:val="231F20"/>
          <w:spacing w:val="-2"/>
        </w:rPr>
        <w:t xml:space="preserve"> </w:t>
      </w:r>
      <w:r>
        <w:rPr>
          <w:color w:val="231F20"/>
        </w:rPr>
        <w:t>události,</w:t>
      </w:r>
      <w:r>
        <w:rPr>
          <w:color w:val="231F20"/>
          <w:spacing w:val="-2"/>
        </w:rPr>
        <w:t xml:space="preserve"> </w:t>
      </w:r>
      <w:r>
        <w:rPr>
          <w:color w:val="231F20"/>
        </w:rPr>
        <w:t>chyby řidiče,</w:t>
      </w:r>
      <w:r>
        <w:rPr>
          <w:color w:val="231F20"/>
          <w:spacing w:val="-10"/>
        </w:rPr>
        <w:t xml:space="preserve"> </w:t>
      </w:r>
      <w:r>
        <w:rPr>
          <w:color w:val="231F20"/>
        </w:rPr>
        <w:t>odcizení</w:t>
      </w:r>
      <w:r>
        <w:rPr>
          <w:color w:val="231F20"/>
          <w:spacing w:val="-12"/>
        </w:rPr>
        <w:t xml:space="preserve"> </w:t>
      </w:r>
      <w:r>
        <w:rPr>
          <w:color w:val="231F20"/>
        </w:rPr>
        <w:t>vozidla,</w:t>
      </w:r>
      <w:r>
        <w:rPr>
          <w:color w:val="231F20"/>
          <w:spacing w:val="-13"/>
        </w:rPr>
        <w:t xml:space="preserve"> </w:t>
      </w:r>
      <w:r>
        <w:rPr>
          <w:color w:val="231F20"/>
        </w:rPr>
        <w:t>vybití</w:t>
      </w:r>
      <w:r>
        <w:rPr>
          <w:color w:val="231F20"/>
          <w:spacing w:val="-9"/>
        </w:rPr>
        <w:t xml:space="preserve"> </w:t>
      </w:r>
      <w:r>
        <w:rPr>
          <w:color w:val="231F20"/>
        </w:rPr>
        <w:t>baterie,</w:t>
      </w:r>
      <w:r>
        <w:rPr>
          <w:color w:val="231F20"/>
          <w:spacing w:val="-10"/>
        </w:rPr>
        <w:t xml:space="preserve"> </w:t>
      </w:r>
      <w:r>
        <w:rPr>
          <w:color w:val="231F20"/>
        </w:rPr>
        <w:t>defektu</w:t>
      </w:r>
      <w:r>
        <w:rPr>
          <w:color w:val="231F20"/>
          <w:spacing w:val="-10"/>
        </w:rPr>
        <w:t xml:space="preserve"> </w:t>
      </w:r>
      <w:r>
        <w:rPr>
          <w:color w:val="231F20"/>
        </w:rPr>
        <w:t>pneumatiky,</w:t>
      </w:r>
      <w:r>
        <w:rPr>
          <w:color w:val="231F20"/>
          <w:spacing w:val="-12"/>
        </w:rPr>
        <w:t xml:space="preserve"> </w:t>
      </w:r>
      <w:r>
        <w:rPr>
          <w:color w:val="231F20"/>
        </w:rPr>
        <w:t>záměně</w:t>
      </w:r>
      <w:r>
        <w:rPr>
          <w:color w:val="231F20"/>
          <w:spacing w:val="-10"/>
        </w:rPr>
        <w:t xml:space="preserve"> </w:t>
      </w:r>
      <w:r>
        <w:rPr>
          <w:color w:val="231F20"/>
        </w:rPr>
        <w:t>nebo</w:t>
      </w:r>
      <w:r>
        <w:rPr>
          <w:color w:val="231F20"/>
          <w:spacing w:val="-12"/>
        </w:rPr>
        <w:t xml:space="preserve"> </w:t>
      </w:r>
      <w:r>
        <w:rPr>
          <w:color w:val="231F20"/>
        </w:rPr>
        <w:t>zamrznutí</w:t>
      </w:r>
      <w:r>
        <w:rPr>
          <w:color w:val="231F20"/>
          <w:spacing w:val="-10"/>
        </w:rPr>
        <w:t xml:space="preserve"> </w:t>
      </w:r>
      <w:r>
        <w:rPr>
          <w:color w:val="231F20"/>
        </w:rPr>
        <w:t>nebo</w:t>
      </w:r>
      <w:r>
        <w:rPr>
          <w:color w:val="231F20"/>
          <w:spacing w:val="-12"/>
        </w:rPr>
        <w:t xml:space="preserve"> </w:t>
      </w:r>
      <w:r>
        <w:rPr>
          <w:color w:val="231F20"/>
        </w:rPr>
        <w:t>spotřebování</w:t>
      </w:r>
      <w:r>
        <w:rPr>
          <w:color w:val="231F20"/>
          <w:spacing w:val="-10"/>
        </w:rPr>
        <w:t xml:space="preserve"> </w:t>
      </w:r>
      <w:r>
        <w:rPr>
          <w:color w:val="231F20"/>
        </w:rPr>
        <w:t>paliva,</w:t>
      </w:r>
      <w:r>
        <w:rPr>
          <w:color w:val="231F20"/>
          <w:spacing w:val="-7"/>
        </w:rPr>
        <w:t xml:space="preserve"> </w:t>
      </w:r>
      <w:r>
        <w:rPr>
          <w:color w:val="231F20"/>
        </w:rPr>
        <w:t>ztrátě</w:t>
      </w:r>
      <w:r>
        <w:rPr>
          <w:color w:val="231F20"/>
          <w:spacing w:val="-13"/>
        </w:rPr>
        <w:t xml:space="preserve"> </w:t>
      </w:r>
      <w:r>
        <w:rPr>
          <w:color w:val="231F20"/>
        </w:rPr>
        <w:t>klíčů</w:t>
      </w:r>
      <w:r>
        <w:rPr>
          <w:color w:val="231F20"/>
          <w:spacing w:val="-10"/>
        </w:rPr>
        <w:t xml:space="preserve"> </w:t>
      </w:r>
      <w:r>
        <w:rPr>
          <w:color w:val="231F20"/>
        </w:rPr>
        <w:t>od</w:t>
      </w:r>
      <w:r>
        <w:rPr>
          <w:color w:val="231F20"/>
          <w:spacing w:val="-10"/>
        </w:rPr>
        <w:t xml:space="preserve"> </w:t>
      </w:r>
      <w:r>
        <w:rPr>
          <w:color w:val="231F20"/>
        </w:rPr>
        <w:t>vozidla,</w:t>
      </w:r>
      <w:r>
        <w:rPr>
          <w:color w:val="231F20"/>
          <w:spacing w:val="-10"/>
        </w:rPr>
        <w:t xml:space="preserve"> </w:t>
      </w:r>
      <w:r>
        <w:rPr>
          <w:color w:val="231F20"/>
        </w:rPr>
        <w:t>následkem kterých se vozidlo uvedené v pojistné smlouvě stane nepojízdným, pojistitel</w:t>
      </w:r>
      <w:r>
        <w:rPr>
          <w:color w:val="231F20"/>
          <w:spacing w:val="-8"/>
        </w:rPr>
        <w:t xml:space="preserve"> </w:t>
      </w:r>
      <w:r>
        <w:rPr>
          <w:color w:val="231F20"/>
        </w:rPr>
        <w:t>zajistí:</w:t>
      </w:r>
    </w:p>
    <w:p w14:paraId="31A2C170" w14:textId="77777777" w:rsidR="00F65BCA" w:rsidRDefault="00F65BCA">
      <w:pPr>
        <w:pStyle w:val="Zkladntext"/>
        <w:spacing w:before="8"/>
        <w:rPr>
          <w:sz w:val="16"/>
        </w:rPr>
      </w:pPr>
    </w:p>
    <w:p w14:paraId="4BE3B230" w14:textId="77777777" w:rsidR="00F65BCA" w:rsidRDefault="00216117">
      <w:pPr>
        <w:pStyle w:val="Nadpis6"/>
        <w:spacing w:before="93"/>
        <w:ind w:left="0" w:right="103"/>
        <w:jc w:val="right"/>
      </w:pPr>
      <w:r>
        <w:rPr>
          <w:color w:val="71C4E6"/>
        </w:rPr>
        <w:t>3/5</w:t>
      </w:r>
    </w:p>
    <w:p w14:paraId="7937C6BB" w14:textId="77777777" w:rsidR="00F65BCA" w:rsidRDefault="00F65BCA">
      <w:pPr>
        <w:jc w:val="right"/>
        <w:sectPr w:rsidR="00F65BCA">
          <w:pgSz w:w="16840" w:h="11900" w:orient="landscape"/>
          <w:pgMar w:top="1100" w:right="1600" w:bottom="280" w:left="1020" w:header="708" w:footer="708" w:gutter="0"/>
          <w:cols w:space="708"/>
        </w:sectPr>
      </w:pPr>
    </w:p>
    <w:p w14:paraId="6BCFF854" w14:textId="77777777" w:rsidR="00F65BCA" w:rsidRDefault="00F65BCA">
      <w:pPr>
        <w:pStyle w:val="Zkladntext"/>
        <w:rPr>
          <w:sz w:val="20"/>
        </w:rPr>
      </w:pPr>
    </w:p>
    <w:p w14:paraId="2476AD39" w14:textId="77777777" w:rsidR="00F65BCA" w:rsidRDefault="00F65BCA">
      <w:pPr>
        <w:pStyle w:val="Zkladntext"/>
        <w:spacing w:before="6"/>
        <w:rPr>
          <w:sz w:val="22"/>
        </w:rPr>
      </w:pPr>
    </w:p>
    <w:p w14:paraId="77E01D2D" w14:textId="77777777" w:rsidR="00F65BCA" w:rsidRDefault="00216117">
      <w:pPr>
        <w:pStyle w:val="Nadpis6"/>
        <w:numPr>
          <w:ilvl w:val="2"/>
          <w:numId w:val="2"/>
        </w:numPr>
        <w:tabs>
          <w:tab w:val="left" w:pos="1890"/>
        </w:tabs>
        <w:spacing w:before="93"/>
        <w:ind w:left="1889" w:hanging="356"/>
        <w:jc w:val="both"/>
      </w:pPr>
      <w:r>
        <w:rPr>
          <w:color w:val="231F20"/>
        </w:rPr>
        <w:t>V</w:t>
      </w:r>
      <w:r>
        <w:rPr>
          <w:color w:val="231F20"/>
          <w:spacing w:val="-2"/>
        </w:rPr>
        <w:t xml:space="preserve"> </w:t>
      </w:r>
      <w:r>
        <w:rPr>
          <w:color w:val="231F20"/>
        </w:rPr>
        <w:t>ČR:</w:t>
      </w:r>
    </w:p>
    <w:p w14:paraId="6BCC2D66" w14:textId="77777777" w:rsidR="00F65BCA" w:rsidRDefault="00216117">
      <w:pPr>
        <w:pStyle w:val="Nadpis6"/>
        <w:spacing w:before="154" w:line="276" w:lineRule="auto"/>
        <w:ind w:right="98"/>
        <w:jc w:val="both"/>
      </w:pPr>
      <w:r>
        <w:rPr>
          <w:color w:val="231F20"/>
        </w:rPr>
        <w:t>OPRAVA na místě (bez náhradních dílů) - bez limitu, ODTAH do nejbližší opravny – bez limitu, Vyproštění vozidla – bez limitu, ODTAH na místo určené Zadavatelem směrem k místu obvyklého místa parkování vozidla u Zadavatele (pokud nelze vozidlo zprovoznit do 24 hod) - bez limitu, ÚSCHOVA nepojízdného vozidla - 7 dnů, Nařízený odtah – bez limitu.</w:t>
      </w:r>
    </w:p>
    <w:p w14:paraId="12F68B2F" w14:textId="77777777" w:rsidR="00F65BCA" w:rsidRDefault="00216117">
      <w:pPr>
        <w:pStyle w:val="Nadpis6"/>
        <w:numPr>
          <w:ilvl w:val="2"/>
          <w:numId w:val="2"/>
        </w:numPr>
        <w:tabs>
          <w:tab w:val="left" w:pos="1890"/>
        </w:tabs>
        <w:spacing w:before="121"/>
        <w:ind w:left="1889" w:hanging="356"/>
        <w:jc w:val="both"/>
      </w:pPr>
      <w:r>
        <w:rPr>
          <w:color w:val="231F20"/>
        </w:rPr>
        <w:t>V</w:t>
      </w:r>
      <w:r>
        <w:rPr>
          <w:color w:val="231F20"/>
          <w:spacing w:val="-2"/>
        </w:rPr>
        <w:t xml:space="preserve"> </w:t>
      </w:r>
      <w:r>
        <w:rPr>
          <w:color w:val="231F20"/>
        </w:rPr>
        <w:t>zahraničí:</w:t>
      </w:r>
    </w:p>
    <w:p w14:paraId="1746378F" w14:textId="77777777" w:rsidR="00F65BCA" w:rsidRDefault="00216117">
      <w:pPr>
        <w:pStyle w:val="Nadpis6"/>
        <w:spacing w:before="154" w:line="276" w:lineRule="auto"/>
        <w:ind w:right="98"/>
        <w:jc w:val="both"/>
      </w:pPr>
      <w:r>
        <w:rPr>
          <w:color w:val="231F20"/>
        </w:rPr>
        <w:t>OPRAVA na místě (bez náhradních dílů) - bez limitu, ODTAH do nejbližší opravny – bez limitu, Vyproštění vozidla – bez limitu, ODTAH (repatriace vozidla do vlasti) do ČR určené Zadavatelem směrem k místu obvyklého místa parkování vozidla u Zadavatele (pokud nelze vozidlo</w:t>
      </w:r>
      <w:r>
        <w:rPr>
          <w:color w:val="231F20"/>
          <w:spacing w:val="-12"/>
        </w:rPr>
        <w:t xml:space="preserve"> </w:t>
      </w:r>
      <w:r>
        <w:rPr>
          <w:color w:val="231F20"/>
        </w:rPr>
        <w:t>zprovoznit</w:t>
      </w:r>
      <w:r>
        <w:rPr>
          <w:color w:val="231F20"/>
          <w:spacing w:val="-11"/>
        </w:rPr>
        <w:t xml:space="preserve"> </w:t>
      </w:r>
      <w:r>
        <w:rPr>
          <w:color w:val="231F20"/>
        </w:rPr>
        <w:t>do</w:t>
      </w:r>
      <w:r>
        <w:rPr>
          <w:color w:val="231F20"/>
          <w:spacing w:val="-11"/>
        </w:rPr>
        <w:t xml:space="preserve"> </w:t>
      </w:r>
      <w:r>
        <w:rPr>
          <w:color w:val="231F20"/>
        </w:rPr>
        <w:t>24</w:t>
      </w:r>
      <w:r>
        <w:rPr>
          <w:color w:val="231F20"/>
          <w:spacing w:val="-11"/>
        </w:rPr>
        <w:t xml:space="preserve"> </w:t>
      </w:r>
      <w:r>
        <w:rPr>
          <w:color w:val="231F20"/>
        </w:rPr>
        <w:t>hod)</w:t>
      </w:r>
      <w:r>
        <w:rPr>
          <w:color w:val="231F20"/>
          <w:spacing w:val="-12"/>
        </w:rPr>
        <w:t xml:space="preserve"> </w:t>
      </w:r>
      <w:r>
        <w:rPr>
          <w:color w:val="231F20"/>
        </w:rPr>
        <w:t>-</w:t>
      </w:r>
      <w:r>
        <w:rPr>
          <w:color w:val="231F20"/>
          <w:spacing w:val="-12"/>
        </w:rPr>
        <w:t xml:space="preserve"> </w:t>
      </w:r>
      <w:r>
        <w:rPr>
          <w:color w:val="231F20"/>
        </w:rPr>
        <w:t>bez</w:t>
      </w:r>
      <w:r>
        <w:rPr>
          <w:color w:val="231F20"/>
          <w:spacing w:val="-12"/>
        </w:rPr>
        <w:t xml:space="preserve"> </w:t>
      </w:r>
      <w:r>
        <w:rPr>
          <w:color w:val="231F20"/>
        </w:rPr>
        <w:t>limitu,</w:t>
      </w:r>
      <w:r>
        <w:rPr>
          <w:color w:val="231F20"/>
          <w:spacing w:val="-11"/>
        </w:rPr>
        <w:t xml:space="preserve"> </w:t>
      </w:r>
      <w:r>
        <w:rPr>
          <w:color w:val="231F20"/>
        </w:rPr>
        <w:t>Nařízený</w:t>
      </w:r>
      <w:r>
        <w:rPr>
          <w:color w:val="231F20"/>
          <w:spacing w:val="-12"/>
        </w:rPr>
        <w:t xml:space="preserve"> </w:t>
      </w:r>
      <w:r>
        <w:rPr>
          <w:color w:val="231F20"/>
        </w:rPr>
        <w:t>odtah</w:t>
      </w:r>
      <w:r>
        <w:rPr>
          <w:color w:val="231F20"/>
          <w:spacing w:val="-11"/>
        </w:rPr>
        <w:t xml:space="preserve"> </w:t>
      </w:r>
      <w:r>
        <w:rPr>
          <w:color w:val="231F20"/>
        </w:rPr>
        <w:t>–</w:t>
      </w:r>
      <w:r>
        <w:rPr>
          <w:color w:val="231F20"/>
          <w:spacing w:val="-13"/>
        </w:rPr>
        <w:t xml:space="preserve"> </w:t>
      </w:r>
      <w:r>
        <w:rPr>
          <w:color w:val="231F20"/>
        </w:rPr>
        <w:t>bez</w:t>
      </w:r>
      <w:r>
        <w:rPr>
          <w:color w:val="231F20"/>
          <w:spacing w:val="-9"/>
        </w:rPr>
        <w:t xml:space="preserve"> </w:t>
      </w:r>
      <w:r>
        <w:rPr>
          <w:color w:val="231F20"/>
        </w:rPr>
        <w:t>limitu,</w:t>
      </w:r>
      <w:r>
        <w:rPr>
          <w:color w:val="231F20"/>
          <w:spacing w:val="-13"/>
        </w:rPr>
        <w:t xml:space="preserve"> </w:t>
      </w:r>
      <w:r>
        <w:rPr>
          <w:color w:val="231F20"/>
        </w:rPr>
        <w:t>ÚSCHOVA</w:t>
      </w:r>
      <w:r>
        <w:rPr>
          <w:color w:val="231F20"/>
          <w:spacing w:val="-9"/>
        </w:rPr>
        <w:t xml:space="preserve"> </w:t>
      </w:r>
      <w:r>
        <w:rPr>
          <w:color w:val="231F20"/>
        </w:rPr>
        <w:t>nepojízdného</w:t>
      </w:r>
      <w:r>
        <w:rPr>
          <w:color w:val="231F20"/>
          <w:spacing w:val="-11"/>
        </w:rPr>
        <w:t xml:space="preserve"> </w:t>
      </w:r>
      <w:r>
        <w:rPr>
          <w:color w:val="231F20"/>
        </w:rPr>
        <w:t>vozidla</w:t>
      </w:r>
      <w:r>
        <w:rPr>
          <w:color w:val="231F20"/>
          <w:spacing w:val="-11"/>
        </w:rPr>
        <w:t xml:space="preserve"> </w:t>
      </w:r>
      <w:r>
        <w:rPr>
          <w:color w:val="231F20"/>
        </w:rPr>
        <w:t>-</w:t>
      </w:r>
      <w:r>
        <w:rPr>
          <w:color w:val="231F20"/>
          <w:spacing w:val="-11"/>
        </w:rPr>
        <w:t xml:space="preserve"> </w:t>
      </w:r>
      <w:r>
        <w:rPr>
          <w:color w:val="231F20"/>
        </w:rPr>
        <w:t>7</w:t>
      </w:r>
      <w:r>
        <w:rPr>
          <w:color w:val="231F20"/>
          <w:spacing w:val="-13"/>
        </w:rPr>
        <w:t xml:space="preserve"> </w:t>
      </w:r>
      <w:r>
        <w:rPr>
          <w:color w:val="231F20"/>
        </w:rPr>
        <w:t>dnů,</w:t>
      </w:r>
      <w:r>
        <w:rPr>
          <w:color w:val="231F20"/>
          <w:spacing w:val="-13"/>
        </w:rPr>
        <w:t xml:space="preserve"> </w:t>
      </w:r>
      <w:r>
        <w:rPr>
          <w:color w:val="231F20"/>
        </w:rPr>
        <w:t>předání</w:t>
      </w:r>
      <w:r>
        <w:rPr>
          <w:color w:val="231F20"/>
          <w:spacing w:val="-12"/>
        </w:rPr>
        <w:t xml:space="preserve"> </w:t>
      </w:r>
      <w:r>
        <w:rPr>
          <w:color w:val="231F20"/>
        </w:rPr>
        <w:t>vzkazu,</w:t>
      </w:r>
      <w:r>
        <w:rPr>
          <w:color w:val="231F20"/>
          <w:spacing w:val="-13"/>
        </w:rPr>
        <w:t xml:space="preserve"> </w:t>
      </w:r>
      <w:r>
        <w:rPr>
          <w:color w:val="231F20"/>
        </w:rPr>
        <w:t>telefonické tlumočení,</w:t>
      </w:r>
      <w:r>
        <w:rPr>
          <w:color w:val="231F20"/>
          <w:spacing w:val="-13"/>
        </w:rPr>
        <w:t xml:space="preserve"> </w:t>
      </w:r>
      <w:r>
        <w:rPr>
          <w:color w:val="231F20"/>
        </w:rPr>
        <w:t>pomoc</w:t>
      </w:r>
      <w:r>
        <w:rPr>
          <w:color w:val="231F20"/>
          <w:spacing w:val="-10"/>
        </w:rPr>
        <w:t xml:space="preserve"> </w:t>
      </w:r>
      <w:r>
        <w:rPr>
          <w:color w:val="231F20"/>
        </w:rPr>
        <w:t>advokáta,</w:t>
      </w:r>
      <w:r>
        <w:rPr>
          <w:color w:val="231F20"/>
          <w:spacing w:val="-15"/>
        </w:rPr>
        <w:t xml:space="preserve"> </w:t>
      </w:r>
      <w:r>
        <w:rPr>
          <w:color w:val="231F20"/>
        </w:rPr>
        <w:t>tlumočník</w:t>
      </w:r>
      <w:r>
        <w:rPr>
          <w:color w:val="231F20"/>
          <w:spacing w:val="-10"/>
        </w:rPr>
        <w:t xml:space="preserve"> </w:t>
      </w:r>
      <w:r>
        <w:rPr>
          <w:color w:val="231F20"/>
        </w:rPr>
        <w:t>limit</w:t>
      </w:r>
      <w:r>
        <w:rPr>
          <w:color w:val="231F20"/>
          <w:spacing w:val="-13"/>
        </w:rPr>
        <w:t xml:space="preserve"> </w:t>
      </w:r>
      <w:r>
        <w:rPr>
          <w:color w:val="231F20"/>
        </w:rPr>
        <w:t>min.</w:t>
      </w:r>
      <w:r>
        <w:rPr>
          <w:color w:val="231F20"/>
          <w:spacing w:val="-12"/>
        </w:rPr>
        <w:t xml:space="preserve"> </w:t>
      </w:r>
      <w:r>
        <w:rPr>
          <w:color w:val="231F20"/>
        </w:rPr>
        <w:t>750</w:t>
      </w:r>
      <w:r>
        <w:rPr>
          <w:color w:val="231F20"/>
          <w:spacing w:val="-14"/>
        </w:rPr>
        <w:t xml:space="preserve"> </w:t>
      </w:r>
      <w:r>
        <w:rPr>
          <w:color w:val="231F20"/>
        </w:rPr>
        <w:t>EUR/1PU,</w:t>
      </w:r>
      <w:r>
        <w:rPr>
          <w:color w:val="231F20"/>
          <w:spacing w:val="-15"/>
        </w:rPr>
        <w:t xml:space="preserve"> </w:t>
      </w:r>
      <w:r>
        <w:rPr>
          <w:color w:val="231F20"/>
        </w:rPr>
        <w:t>zprostředkování</w:t>
      </w:r>
      <w:r>
        <w:rPr>
          <w:color w:val="231F20"/>
          <w:spacing w:val="-14"/>
        </w:rPr>
        <w:t xml:space="preserve"> </w:t>
      </w:r>
      <w:r>
        <w:rPr>
          <w:color w:val="231F20"/>
        </w:rPr>
        <w:t>finanční</w:t>
      </w:r>
      <w:r>
        <w:rPr>
          <w:color w:val="231F20"/>
          <w:spacing w:val="-12"/>
        </w:rPr>
        <w:t xml:space="preserve"> </w:t>
      </w:r>
      <w:r>
        <w:rPr>
          <w:color w:val="231F20"/>
        </w:rPr>
        <w:t>hotovosti</w:t>
      </w:r>
      <w:r>
        <w:rPr>
          <w:color w:val="231F20"/>
          <w:spacing w:val="-14"/>
        </w:rPr>
        <w:t xml:space="preserve"> </w:t>
      </w:r>
      <w:r>
        <w:rPr>
          <w:color w:val="231F20"/>
        </w:rPr>
        <w:t>limit</w:t>
      </w:r>
      <w:r>
        <w:rPr>
          <w:color w:val="231F20"/>
          <w:spacing w:val="-12"/>
        </w:rPr>
        <w:t xml:space="preserve"> </w:t>
      </w:r>
      <w:r>
        <w:rPr>
          <w:color w:val="231F20"/>
        </w:rPr>
        <w:t>min.</w:t>
      </w:r>
      <w:r>
        <w:rPr>
          <w:color w:val="231F20"/>
          <w:spacing w:val="-12"/>
        </w:rPr>
        <w:t xml:space="preserve"> </w:t>
      </w:r>
      <w:r>
        <w:rPr>
          <w:color w:val="231F20"/>
        </w:rPr>
        <w:t>1</w:t>
      </w:r>
      <w:r>
        <w:rPr>
          <w:color w:val="231F20"/>
          <w:spacing w:val="-4"/>
        </w:rPr>
        <w:t xml:space="preserve"> </w:t>
      </w:r>
      <w:r>
        <w:rPr>
          <w:color w:val="231F20"/>
        </w:rPr>
        <w:t>000</w:t>
      </w:r>
      <w:r>
        <w:rPr>
          <w:color w:val="231F20"/>
          <w:spacing w:val="-12"/>
        </w:rPr>
        <w:t xml:space="preserve"> </w:t>
      </w:r>
      <w:r>
        <w:rPr>
          <w:color w:val="231F20"/>
        </w:rPr>
        <w:t>EUR,</w:t>
      </w:r>
      <w:r>
        <w:rPr>
          <w:color w:val="231F20"/>
          <w:spacing w:val="-14"/>
        </w:rPr>
        <w:t xml:space="preserve"> </w:t>
      </w:r>
      <w:r>
        <w:rPr>
          <w:color w:val="231F20"/>
        </w:rPr>
        <w:t>ubytování</w:t>
      </w:r>
      <w:r>
        <w:rPr>
          <w:color w:val="231F20"/>
          <w:spacing w:val="-13"/>
        </w:rPr>
        <w:t xml:space="preserve"> </w:t>
      </w:r>
      <w:r>
        <w:rPr>
          <w:color w:val="231F20"/>
        </w:rPr>
        <w:t>posádky vozidla (min. 2 noci) limit min. 80</w:t>
      </w:r>
      <w:r>
        <w:rPr>
          <w:color w:val="231F20"/>
          <w:spacing w:val="5"/>
        </w:rPr>
        <w:t xml:space="preserve"> </w:t>
      </w:r>
      <w:r>
        <w:rPr>
          <w:color w:val="231F20"/>
        </w:rPr>
        <w:t>EUR/osoba/1noc.</w:t>
      </w:r>
    </w:p>
    <w:p w14:paraId="7BCE263D" w14:textId="77777777" w:rsidR="00F65BCA" w:rsidRDefault="00216117">
      <w:pPr>
        <w:pStyle w:val="Nadpis6"/>
        <w:numPr>
          <w:ilvl w:val="1"/>
          <w:numId w:val="2"/>
        </w:numPr>
        <w:tabs>
          <w:tab w:val="left" w:pos="1470"/>
        </w:tabs>
        <w:spacing w:before="119"/>
        <w:ind w:left="1469" w:hanging="430"/>
        <w:jc w:val="both"/>
      </w:pPr>
      <w:r>
        <w:rPr>
          <w:b/>
          <w:color w:val="231F20"/>
        </w:rPr>
        <w:t>Předmět</w:t>
      </w:r>
      <w:r>
        <w:rPr>
          <w:b/>
          <w:color w:val="231F20"/>
          <w:spacing w:val="-13"/>
        </w:rPr>
        <w:t xml:space="preserve"> </w:t>
      </w:r>
      <w:r>
        <w:rPr>
          <w:b/>
          <w:color w:val="231F20"/>
        </w:rPr>
        <w:t>pojištění:</w:t>
      </w:r>
      <w:r>
        <w:rPr>
          <w:b/>
          <w:color w:val="231F20"/>
          <w:spacing w:val="-12"/>
        </w:rPr>
        <w:t xml:space="preserve"> </w:t>
      </w:r>
      <w:r>
        <w:rPr>
          <w:color w:val="231F20"/>
        </w:rPr>
        <w:t>Soubor</w:t>
      </w:r>
      <w:r>
        <w:rPr>
          <w:color w:val="231F20"/>
          <w:spacing w:val="-11"/>
        </w:rPr>
        <w:t xml:space="preserve"> </w:t>
      </w:r>
      <w:r>
        <w:rPr>
          <w:color w:val="231F20"/>
        </w:rPr>
        <w:t>vozidel</w:t>
      </w:r>
      <w:r>
        <w:rPr>
          <w:color w:val="231F20"/>
          <w:spacing w:val="-14"/>
        </w:rPr>
        <w:t xml:space="preserve"> </w:t>
      </w:r>
      <w:r>
        <w:rPr>
          <w:color w:val="231F20"/>
        </w:rPr>
        <w:t>uvedených</w:t>
      </w:r>
      <w:r>
        <w:rPr>
          <w:color w:val="231F20"/>
          <w:spacing w:val="-13"/>
        </w:rPr>
        <w:t xml:space="preserve"> </w:t>
      </w:r>
      <w:r>
        <w:rPr>
          <w:color w:val="231F20"/>
        </w:rPr>
        <w:t>v</w:t>
      </w:r>
      <w:r>
        <w:rPr>
          <w:color w:val="231F20"/>
          <w:spacing w:val="-3"/>
        </w:rPr>
        <w:t xml:space="preserve"> </w:t>
      </w:r>
      <w:r>
        <w:rPr>
          <w:color w:val="231F20"/>
        </w:rPr>
        <w:t>příloze</w:t>
      </w:r>
      <w:r>
        <w:rPr>
          <w:color w:val="231F20"/>
          <w:spacing w:val="-14"/>
        </w:rPr>
        <w:t xml:space="preserve"> </w:t>
      </w:r>
      <w:r>
        <w:rPr>
          <w:color w:val="231F20"/>
        </w:rPr>
        <w:t>ZD</w:t>
      </w:r>
      <w:r>
        <w:rPr>
          <w:color w:val="231F20"/>
          <w:spacing w:val="-13"/>
        </w:rPr>
        <w:t xml:space="preserve"> </w:t>
      </w:r>
      <w:r>
        <w:rPr>
          <w:color w:val="231F20"/>
        </w:rPr>
        <w:t>č.</w:t>
      </w:r>
      <w:r>
        <w:rPr>
          <w:color w:val="231F20"/>
          <w:spacing w:val="-13"/>
        </w:rPr>
        <w:t xml:space="preserve"> </w:t>
      </w:r>
      <w:r>
        <w:rPr>
          <w:color w:val="231F20"/>
        </w:rPr>
        <w:t>2-2,</w:t>
      </w:r>
      <w:r>
        <w:rPr>
          <w:color w:val="231F20"/>
          <w:spacing w:val="-14"/>
        </w:rPr>
        <w:t xml:space="preserve"> </w:t>
      </w:r>
      <w:r>
        <w:rPr>
          <w:color w:val="231F20"/>
        </w:rPr>
        <w:t>u</w:t>
      </w:r>
      <w:r>
        <w:rPr>
          <w:color w:val="231F20"/>
          <w:spacing w:val="-13"/>
        </w:rPr>
        <w:t xml:space="preserve"> </w:t>
      </w:r>
      <w:r>
        <w:rPr>
          <w:color w:val="231F20"/>
        </w:rPr>
        <w:t>kterých</w:t>
      </w:r>
      <w:r>
        <w:rPr>
          <w:color w:val="231F20"/>
          <w:spacing w:val="-13"/>
        </w:rPr>
        <w:t xml:space="preserve"> </w:t>
      </w:r>
      <w:r>
        <w:rPr>
          <w:color w:val="231F20"/>
        </w:rPr>
        <w:t>je</w:t>
      </w:r>
      <w:r>
        <w:rPr>
          <w:color w:val="231F20"/>
          <w:spacing w:val="-14"/>
        </w:rPr>
        <w:t xml:space="preserve"> </w:t>
      </w:r>
      <w:r>
        <w:rPr>
          <w:color w:val="231F20"/>
        </w:rPr>
        <w:t>v</w:t>
      </w:r>
      <w:r>
        <w:rPr>
          <w:color w:val="231F20"/>
          <w:spacing w:val="-14"/>
        </w:rPr>
        <w:t xml:space="preserve"> </w:t>
      </w:r>
      <w:r>
        <w:rPr>
          <w:color w:val="231F20"/>
        </w:rPr>
        <w:t>příslušném</w:t>
      </w:r>
      <w:r>
        <w:rPr>
          <w:color w:val="231F20"/>
          <w:spacing w:val="-13"/>
        </w:rPr>
        <w:t xml:space="preserve"> </w:t>
      </w:r>
      <w:r>
        <w:rPr>
          <w:color w:val="231F20"/>
        </w:rPr>
        <w:t>sloupci</w:t>
      </w:r>
      <w:r>
        <w:rPr>
          <w:color w:val="231F20"/>
          <w:spacing w:val="-15"/>
        </w:rPr>
        <w:t xml:space="preserve"> </w:t>
      </w:r>
      <w:r>
        <w:rPr>
          <w:color w:val="231F20"/>
        </w:rPr>
        <w:t>označeném</w:t>
      </w:r>
      <w:r>
        <w:rPr>
          <w:color w:val="231F20"/>
          <w:spacing w:val="-13"/>
        </w:rPr>
        <w:t xml:space="preserve"> </w:t>
      </w:r>
      <w:r>
        <w:rPr>
          <w:color w:val="231F20"/>
        </w:rPr>
        <w:t>pojmem</w:t>
      </w:r>
      <w:r>
        <w:rPr>
          <w:color w:val="231F20"/>
          <w:spacing w:val="-13"/>
        </w:rPr>
        <w:t xml:space="preserve"> </w:t>
      </w:r>
      <w:r>
        <w:rPr>
          <w:color w:val="231F20"/>
        </w:rPr>
        <w:t>„ASISTENCE“</w:t>
      </w:r>
      <w:r>
        <w:rPr>
          <w:color w:val="231F20"/>
          <w:spacing w:val="-13"/>
        </w:rPr>
        <w:t xml:space="preserve"> </w:t>
      </w:r>
      <w:r>
        <w:rPr>
          <w:color w:val="231F20"/>
        </w:rPr>
        <w:t>uvedeno</w:t>
      </w:r>
    </w:p>
    <w:p w14:paraId="2E9DE254" w14:textId="77777777" w:rsidR="00F65BCA" w:rsidRDefault="00216117">
      <w:pPr>
        <w:pStyle w:val="Nadpis6"/>
        <w:spacing w:before="34"/>
        <w:ind w:left="1469"/>
      </w:pPr>
      <w:r>
        <w:rPr>
          <w:color w:val="231F20"/>
        </w:rPr>
        <w:t>„ANO“</w:t>
      </w:r>
    </w:p>
    <w:p w14:paraId="7A008734" w14:textId="77777777" w:rsidR="00F65BCA" w:rsidRDefault="00F65BCA">
      <w:pPr>
        <w:pStyle w:val="Zkladntext"/>
        <w:rPr>
          <w:sz w:val="22"/>
        </w:rPr>
      </w:pPr>
    </w:p>
    <w:p w14:paraId="014FDC2B" w14:textId="77777777" w:rsidR="00F65BCA" w:rsidRDefault="00F65BCA">
      <w:pPr>
        <w:pStyle w:val="Zkladntext"/>
        <w:rPr>
          <w:sz w:val="22"/>
        </w:rPr>
      </w:pPr>
    </w:p>
    <w:p w14:paraId="6FBDFDEA" w14:textId="77777777" w:rsidR="00F65BCA" w:rsidRDefault="00F65BCA">
      <w:pPr>
        <w:pStyle w:val="Zkladntext"/>
        <w:rPr>
          <w:sz w:val="22"/>
        </w:rPr>
      </w:pPr>
    </w:p>
    <w:p w14:paraId="66C2DEDC" w14:textId="77777777" w:rsidR="00F65BCA" w:rsidRDefault="00F65BCA">
      <w:pPr>
        <w:pStyle w:val="Zkladntext"/>
        <w:rPr>
          <w:sz w:val="22"/>
        </w:rPr>
      </w:pPr>
    </w:p>
    <w:p w14:paraId="5CEC9608" w14:textId="77777777" w:rsidR="00F65BCA" w:rsidRDefault="00216117">
      <w:pPr>
        <w:pStyle w:val="Odstavecseseznamem"/>
        <w:numPr>
          <w:ilvl w:val="0"/>
          <w:numId w:val="2"/>
        </w:numPr>
        <w:tabs>
          <w:tab w:val="left" w:pos="1041"/>
        </w:tabs>
        <w:spacing w:before="176"/>
        <w:ind w:left="1040" w:hanging="359"/>
        <w:rPr>
          <w:b/>
          <w:color w:val="1E285C"/>
          <w:sz w:val="28"/>
        </w:rPr>
      </w:pPr>
      <w:r>
        <w:rPr>
          <w:b/>
          <w:color w:val="1E285C"/>
          <w:sz w:val="28"/>
        </w:rPr>
        <w:t>Pojištění úrazu</w:t>
      </w:r>
    </w:p>
    <w:p w14:paraId="7B449143" w14:textId="77777777" w:rsidR="00F65BCA" w:rsidRDefault="00216117">
      <w:pPr>
        <w:pStyle w:val="Odstavecseseznamem"/>
        <w:numPr>
          <w:ilvl w:val="1"/>
          <w:numId w:val="2"/>
        </w:numPr>
        <w:tabs>
          <w:tab w:val="left" w:pos="1471"/>
        </w:tabs>
        <w:spacing w:before="168"/>
        <w:ind w:left="1470" w:hanging="431"/>
        <w:jc w:val="both"/>
        <w:rPr>
          <w:sz w:val="20"/>
        </w:rPr>
      </w:pPr>
      <w:r>
        <w:rPr>
          <w:b/>
          <w:color w:val="231F20"/>
          <w:sz w:val="20"/>
        </w:rPr>
        <w:t xml:space="preserve">Rozsah pojištění: </w:t>
      </w:r>
      <w:r>
        <w:rPr>
          <w:color w:val="231F20"/>
          <w:sz w:val="20"/>
        </w:rPr>
        <w:t>všechna sedadla dle technického</w:t>
      </w:r>
      <w:r>
        <w:rPr>
          <w:color w:val="231F20"/>
          <w:spacing w:val="4"/>
          <w:sz w:val="20"/>
        </w:rPr>
        <w:t xml:space="preserve"> </w:t>
      </w:r>
      <w:r>
        <w:rPr>
          <w:color w:val="231F20"/>
          <w:sz w:val="20"/>
        </w:rPr>
        <w:t>průkazu</w:t>
      </w:r>
    </w:p>
    <w:p w14:paraId="1085A7CF" w14:textId="77777777" w:rsidR="00F65BCA" w:rsidRDefault="00216117">
      <w:pPr>
        <w:pStyle w:val="Nadpis5"/>
        <w:numPr>
          <w:ilvl w:val="1"/>
          <w:numId w:val="2"/>
        </w:numPr>
        <w:tabs>
          <w:tab w:val="left" w:pos="1471"/>
        </w:tabs>
        <w:ind w:left="1470" w:hanging="431"/>
        <w:jc w:val="both"/>
        <w:rPr>
          <w:b w:val="0"/>
        </w:rPr>
      </w:pPr>
      <w:r>
        <w:rPr>
          <w:color w:val="231F20"/>
        </w:rPr>
        <w:t>Územní rozsah pojištění:</w:t>
      </w:r>
      <w:r>
        <w:rPr>
          <w:color w:val="231F20"/>
          <w:spacing w:val="1"/>
        </w:rPr>
        <w:t xml:space="preserve"> </w:t>
      </w:r>
      <w:r>
        <w:rPr>
          <w:b w:val="0"/>
          <w:color w:val="231F20"/>
        </w:rPr>
        <w:t>Evropa</w:t>
      </w:r>
    </w:p>
    <w:p w14:paraId="72837C66" w14:textId="77777777" w:rsidR="00F65BCA" w:rsidRDefault="00216117">
      <w:pPr>
        <w:pStyle w:val="Nadpis5"/>
        <w:numPr>
          <w:ilvl w:val="1"/>
          <w:numId w:val="2"/>
        </w:numPr>
        <w:tabs>
          <w:tab w:val="left" w:pos="1471"/>
        </w:tabs>
        <w:spacing w:before="157"/>
        <w:ind w:left="1470" w:hanging="431"/>
        <w:jc w:val="both"/>
      </w:pPr>
      <w:r>
        <w:rPr>
          <w:color w:val="231F20"/>
        </w:rPr>
        <w:t>Minimální limity pojistného</w:t>
      </w:r>
      <w:r>
        <w:rPr>
          <w:color w:val="231F20"/>
          <w:spacing w:val="-2"/>
        </w:rPr>
        <w:t xml:space="preserve"> </w:t>
      </w:r>
      <w:r>
        <w:rPr>
          <w:color w:val="231F20"/>
        </w:rPr>
        <w:t>plnění:</w:t>
      </w:r>
    </w:p>
    <w:p w14:paraId="39484AD8" w14:textId="77777777" w:rsidR="00F65BCA" w:rsidRDefault="00216117">
      <w:pPr>
        <w:pStyle w:val="Nadpis6"/>
        <w:numPr>
          <w:ilvl w:val="2"/>
          <w:numId w:val="2"/>
        </w:numPr>
        <w:tabs>
          <w:tab w:val="left" w:pos="1894"/>
          <w:tab w:val="left" w:pos="1895"/>
        </w:tabs>
        <w:spacing w:before="154"/>
        <w:ind w:hanging="361"/>
      </w:pPr>
      <w:r>
        <w:rPr>
          <w:color w:val="231F20"/>
        </w:rPr>
        <w:t>Smrt následkem úrazu – 100 000</w:t>
      </w:r>
      <w:r>
        <w:rPr>
          <w:color w:val="231F20"/>
          <w:spacing w:val="-3"/>
        </w:rPr>
        <w:t xml:space="preserve"> </w:t>
      </w:r>
      <w:r>
        <w:rPr>
          <w:color w:val="231F20"/>
        </w:rPr>
        <w:t>Kč</w:t>
      </w:r>
    </w:p>
    <w:p w14:paraId="256C08A0" w14:textId="77777777" w:rsidR="00F65BCA" w:rsidRDefault="00216117">
      <w:pPr>
        <w:pStyle w:val="Nadpis6"/>
        <w:numPr>
          <w:ilvl w:val="2"/>
          <w:numId w:val="2"/>
        </w:numPr>
        <w:tabs>
          <w:tab w:val="left" w:pos="1894"/>
          <w:tab w:val="left" w:pos="1895"/>
        </w:tabs>
        <w:spacing w:before="34"/>
        <w:ind w:hanging="361"/>
      </w:pPr>
      <w:r>
        <w:rPr>
          <w:color w:val="231F20"/>
        </w:rPr>
        <w:t>Trvalé následky následkem úrazu – 100 000</w:t>
      </w:r>
      <w:r>
        <w:rPr>
          <w:color w:val="231F20"/>
          <w:spacing w:val="-1"/>
        </w:rPr>
        <w:t xml:space="preserve"> </w:t>
      </w:r>
      <w:r>
        <w:rPr>
          <w:color w:val="231F20"/>
        </w:rPr>
        <w:t>Kč</w:t>
      </w:r>
    </w:p>
    <w:p w14:paraId="3C93B8E4" w14:textId="77777777" w:rsidR="00F65BCA" w:rsidRDefault="00216117">
      <w:pPr>
        <w:pStyle w:val="Nadpis6"/>
        <w:numPr>
          <w:ilvl w:val="2"/>
          <w:numId w:val="2"/>
        </w:numPr>
        <w:tabs>
          <w:tab w:val="left" w:pos="1894"/>
          <w:tab w:val="left" w:pos="1895"/>
        </w:tabs>
        <w:spacing w:before="34"/>
        <w:ind w:hanging="361"/>
      </w:pPr>
      <w:r>
        <w:rPr>
          <w:color w:val="231F20"/>
        </w:rPr>
        <w:t>Doba hospitalizace následkem úrazu – 100</w:t>
      </w:r>
      <w:r>
        <w:rPr>
          <w:color w:val="231F20"/>
          <w:spacing w:val="1"/>
        </w:rPr>
        <w:t xml:space="preserve"> </w:t>
      </w:r>
      <w:r>
        <w:rPr>
          <w:color w:val="231F20"/>
        </w:rPr>
        <w:t>Kč/den</w:t>
      </w:r>
    </w:p>
    <w:p w14:paraId="0A28E9B5" w14:textId="77777777" w:rsidR="00F65BCA" w:rsidRDefault="00216117">
      <w:pPr>
        <w:pStyle w:val="Nadpis6"/>
        <w:numPr>
          <w:ilvl w:val="1"/>
          <w:numId w:val="2"/>
        </w:numPr>
        <w:tabs>
          <w:tab w:val="left" w:pos="1471"/>
        </w:tabs>
        <w:spacing w:before="34"/>
        <w:ind w:left="1470" w:hanging="431"/>
      </w:pPr>
      <w:r>
        <w:rPr>
          <w:b/>
          <w:color w:val="231F20"/>
        </w:rPr>
        <w:t>Předmět</w:t>
      </w:r>
      <w:r>
        <w:rPr>
          <w:b/>
          <w:color w:val="231F20"/>
          <w:spacing w:val="19"/>
        </w:rPr>
        <w:t xml:space="preserve"> </w:t>
      </w:r>
      <w:r>
        <w:rPr>
          <w:b/>
          <w:color w:val="231F20"/>
        </w:rPr>
        <w:t>pojištění:</w:t>
      </w:r>
      <w:r>
        <w:rPr>
          <w:b/>
          <w:color w:val="231F20"/>
          <w:spacing w:val="19"/>
        </w:rPr>
        <w:t xml:space="preserve"> </w:t>
      </w:r>
      <w:r>
        <w:rPr>
          <w:color w:val="231F20"/>
        </w:rPr>
        <w:t>Soubor</w:t>
      </w:r>
      <w:r>
        <w:rPr>
          <w:color w:val="231F20"/>
          <w:spacing w:val="20"/>
        </w:rPr>
        <w:t xml:space="preserve"> </w:t>
      </w:r>
      <w:r>
        <w:rPr>
          <w:color w:val="231F20"/>
        </w:rPr>
        <w:t>vozidel</w:t>
      </w:r>
      <w:r>
        <w:rPr>
          <w:color w:val="231F20"/>
          <w:spacing w:val="17"/>
        </w:rPr>
        <w:t xml:space="preserve"> </w:t>
      </w:r>
      <w:r>
        <w:rPr>
          <w:color w:val="231F20"/>
        </w:rPr>
        <w:t>uvedených</w:t>
      </w:r>
      <w:r>
        <w:rPr>
          <w:color w:val="231F20"/>
          <w:spacing w:val="18"/>
        </w:rPr>
        <w:t xml:space="preserve"> </w:t>
      </w:r>
      <w:r>
        <w:rPr>
          <w:color w:val="231F20"/>
        </w:rPr>
        <w:t>v</w:t>
      </w:r>
      <w:r>
        <w:rPr>
          <w:color w:val="231F20"/>
          <w:spacing w:val="1"/>
        </w:rPr>
        <w:t xml:space="preserve"> </w:t>
      </w:r>
      <w:r>
        <w:rPr>
          <w:color w:val="231F20"/>
        </w:rPr>
        <w:t>příloze</w:t>
      </w:r>
      <w:r>
        <w:rPr>
          <w:color w:val="231F20"/>
          <w:spacing w:val="19"/>
        </w:rPr>
        <w:t xml:space="preserve"> </w:t>
      </w:r>
      <w:r>
        <w:rPr>
          <w:color w:val="231F20"/>
        </w:rPr>
        <w:t>ZD</w:t>
      </w:r>
      <w:r>
        <w:rPr>
          <w:color w:val="231F20"/>
          <w:spacing w:val="18"/>
        </w:rPr>
        <w:t xml:space="preserve"> </w:t>
      </w:r>
      <w:r>
        <w:rPr>
          <w:color w:val="231F20"/>
        </w:rPr>
        <w:t>č.</w:t>
      </w:r>
      <w:r>
        <w:rPr>
          <w:color w:val="231F20"/>
          <w:spacing w:val="18"/>
        </w:rPr>
        <w:t xml:space="preserve"> </w:t>
      </w:r>
      <w:r>
        <w:rPr>
          <w:color w:val="231F20"/>
        </w:rPr>
        <w:t>2-2,</w:t>
      </w:r>
      <w:r>
        <w:rPr>
          <w:color w:val="231F20"/>
          <w:spacing w:val="19"/>
        </w:rPr>
        <w:t xml:space="preserve"> </w:t>
      </w:r>
      <w:r>
        <w:rPr>
          <w:color w:val="231F20"/>
        </w:rPr>
        <w:t>u</w:t>
      </w:r>
      <w:r>
        <w:rPr>
          <w:color w:val="231F20"/>
          <w:spacing w:val="20"/>
        </w:rPr>
        <w:t xml:space="preserve"> </w:t>
      </w:r>
      <w:r>
        <w:rPr>
          <w:color w:val="231F20"/>
        </w:rPr>
        <w:t>kterých</w:t>
      </w:r>
      <w:r>
        <w:rPr>
          <w:color w:val="231F20"/>
          <w:spacing w:val="18"/>
        </w:rPr>
        <w:t xml:space="preserve"> </w:t>
      </w:r>
      <w:r>
        <w:rPr>
          <w:color w:val="231F20"/>
        </w:rPr>
        <w:t>je</w:t>
      </w:r>
      <w:r>
        <w:rPr>
          <w:color w:val="231F20"/>
          <w:spacing w:val="21"/>
        </w:rPr>
        <w:t xml:space="preserve"> </w:t>
      </w:r>
      <w:r>
        <w:rPr>
          <w:color w:val="231F20"/>
        </w:rPr>
        <w:t>v</w:t>
      </w:r>
      <w:r>
        <w:rPr>
          <w:color w:val="231F20"/>
          <w:spacing w:val="19"/>
        </w:rPr>
        <w:t xml:space="preserve"> </w:t>
      </w:r>
      <w:r>
        <w:rPr>
          <w:color w:val="231F20"/>
        </w:rPr>
        <w:t>příslušném</w:t>
      </w:r>
      <w:r>
        <w:rPr>
          <w:color w:val="231F20"/>
          <w:spacing w:val="18"/>
        </w:rPr>
        <w:t xml:space="preserve"> </w:t>
      </w:r>
      <w:r>
        <w:rPr>
          <w:color w:val="231F20"/>
        </w:rPr>
        <w:t>sloupci</w:t>
      </w:r>
      <w:r>
        <w:rPr>
          <w:color w:val="231F20"/>
          <w:spacing w:val="21"/>
        </w:rPr>
        <w:t xml:space="preserve"> </w:t>
      </w:r>
      <w:r>
        <w:rPr>
          <w:color w:val="231F20"/>
        </w:rPr>
        <w:t>označeném</w:t>
      </w:r>
      <w:r>
        <w:rPr>
          <w:color w:val="231F20"/>
          <w:spacing w:val="20"/>
        </w:rPr>
        <w:t xml:space="preserve"> </w:t>
      </w:r>
      <w:r>
        <w:rPr>
          <w:color w:val="231F20"/>
        </w:rPr>
        <w:t>pojmem</w:t>
      </w:r>
      <w:r>
        <w:rPr>
          <w:color w:val="231F20"/>
          <w:spacing w:val="18"/>
        </w:rPr>
        <w:t xml:space="preserve"> </w:t>
      </w:r>
      <w:r>
        <w:rPr>
          <w:color w:val="231F20"/>
        </w:rPr>
        <w:t>„ÚRAZ“</w:t>
      </w:r>
      <w:r>
        <w:rPr>
          <w:color w:val="231F20"/>
          <w:spacing w:val="20"/>
        </w:rPr>
        <w:t xml:space="preserve"> </w:t>
      </w:r>
      <w:r>
        <w:rPr>
          <w:color w:val="231F20"/>
        </w:rPr>
        <w:t>uvedeno</w:t>
      </w:r>
    </w:p>
    <w:p w14:paraId="5E9A874A" w14:textId="77777777" w:rsidR="00F65BCA" w:rsidRDefault="00216117">
      <w:pPr>
        <w:pStyle w:val="Nadpis6"/>
        <w:spacing w:before="36"/>
        <w:ind w:left="1470"/>
      </w:pPr>
      <w:r>
        <w:rPr>
          <w:color w:val="231F20"/>
        </w:rPr>
        <w:t>„ANO“</w:t>
      </w:r>
    </w:p>
    <w:p w14:paraId="6945071C" w14:textId="77777777" w:rsidR="00F65BCA" w:rsidRDefault="00F65BCA">
      <w:pPr>
        <w:pStyle w:val="Zkladntext"/>
        <w:rPr>
          <w:sz w:val="20"/>
        </w:rPr>
      </w:pPr>
    </w:p>
    <w:p w14:paraId="182EA639" w14:textId="77777777" w:rsidR="00F65BCA" w:rsidRDefault="00F65BCA">
      <w:pPr>
        <w:pStyle w:val="Zkladntext"/>
        <w:rPr>
          <w:sz w:val="20"/>
        </w:rPr>
      </w:pPr>
    </w:p>
    <w:p w14:paraId="50ABA582" w14:textId="77777777" w:rsidR="00F65BCA" w:rsidRDefault="00F65BCA">
      <w:pPr>
        <w:pStyle w:val="Zkladntext"/>
        <w:rPr>
          <w:sz w:val="20"/>
        </w:rPr>
      </w:pPr>
    </w:p>
    <w:p w14:paraId="63F94D08" w14:textId="77777777" w:rsidR="00F65BCA" w:rsidRDefault="00F65BCA">
      <w:pPr>
        <w:pStyle w:val="Zkladntext"/>
        <w:rPr>
          <w:sz w:val="20"/>
        </w:rPr>
      </w:pPr>
    </w:p>
    <w:p w14:paraId="6E0D1FD1" w14:textId="77777777" w:rsidR="00F65BCA" w:rsidRDefault="00F65BCA">
      <w:pPr>
        <w:pStyle w:val="Zkladntext"/>
        <w:rPr>
          <w:sz w:val="20"/>
        </w:rPr>
      </w:pPr>
    </w:p>
    <w:p w14:paraId="088A950F" w14:textId="77777777" w:rsidR="00F65BCA" w:rsidRDefault="00F65BCA">
      <w:pPr>
        <w:pStyle w:val="Zkladntext"/>
        <w:spacing w:before="11"/>
      </w:pPr>
    </w:p>
    <w:p w14:paraId="478504F0" w14:textId="77777777" w:rsidR="00F65BCA" w:rsidRDefault="00216117">
      <w:pPr>
        <w:pStyle w:val="Nadpis6"/>
        <w:spacing w:before="93"/>
        <w:ind w:left="0" w:right="103"/>
        <w:jc w:val="right"/>
      </w:pPr>
      <w:r>
        <w:rPr>
          <w:color w:val="71C4E6"/>
        </w:rPr>
        <w:t>4/5</w:t>
      </w:r>
    </w:p>
    <w:p w14:paraId="551B56A2" w14:textId="77777777" w:rsidR="00F65BCA" w:rsidRDefault="00F65BCA">
      <w:pPr>
        <w:jc w:val="right"/>
        <w:sectPr w:rsidR="00F65BCA">
          <w:pgSz w:w="16840" w:h="11900" w:orient="landscape"/>
          <w:pgMar w:top="1100" w:right="1600" w:bottom="280" w:left="1020" w:header="708" w:footer="708" w:gutter="0"/>
          <w:cols w:space="708"/>
        </w:sectPr>
      </w:pPr>
    </w:p>
    <w:p w14:paraId="14D770D4" w14:textId="77777777" w:rsidR="00F65BCA" w:rsidRDefault="00F65BCA">
      <w:pPr>
        <w:pStyle w:val="Zkladntext"/>
        <w:spacing w:before="7"/>
        <w:rPr>
          <w:sz w:val="19"/>
        </w:rPr>
      </w:pPr>
    </w:p>
    <w:p w14:paraId="28101EAD" w14:textId="77777777" w:rsidR="00F65BCA" w:rsidRDefault="00216117">
      <w:pPr>
        <w:pStyle w:val="Odstavecseseznamem"/>
        <w:numPr>
          <w:ilvl w:val="0"/>
          <w:numId w:val="2"/>
        </w:numPr>
        <w:tabs>
          <w:tab w:val="left" w:pos="1041"/>
        </w:tabs>
        <w:spacing w:before="92"/>
        <w:ind w:left="1040" w:hanging="359"/>
        <w:rPr>
          <w:b/>
          <w:color w:val="1E285C"/>
          <w:sz w:val="28"/>
        </w:rPr>
      </w:pPr>
      <w:r>
        <w:rPr>
          <w:b/>
          <w:color w:val="1E285C"/>
          <w:sz w:val="28"/>
        </w:rPr>
        <w:t>Pojištění zavazadel</w:t>
      </w:r>
    </w:p>
    <w:p w14:paraId="0D75AC64" w14:textId="77777777" w:rsidR="00F65BCA" w:rsidRDefault="00216117">
      <w:pPr>
        <w:pStyle w:val="Nadpis6"/>
        <w:numPr>
          <w:ilvl w:val="1"/>
          <w:numId w:val="2"/>
        </w:numPr>
        <w:tabs>
          <w:tab w:val="left" w:pos="1475"/>
        </w:tabs>
        <w:spacing w:before="168" w:line="276" w:lineRule="auto"/>
        <w:ind w:right="98"/>
        <w:jc w:val="both"/>
      </w:pPr>
      <w:r>
        <w:rPr>
          <w:color w:val="231F20"/>
        </w:rPr>
        <w:t>Cestovní zavazadla, věci osobní potřeby, sportovní výbava dopravované v pojištěném vozidle. Předmětem pojištění jsou také zavazadla dopravovaná v uzamčeném střešním boxu, pokud spojení mezi střešním boxem a střešním nosičem a současně také mezi střešním nosičem a vozidlem je pevné a</w:t>
      </w:r>
      <w:r>
        <w:rPr>
          <w:color w:val="231F20"/>
          <w:spacing w:val="-6"/>
        </w:rPr>
        <w:t xml:space="preserve"> </w:t>
      </w:r>
      <w:r>
        <w:rPr>
          <w:color w:val="231F20"/>
        </w:rPr>
        <w:t>zamčené.</w:t>
      </w:r>
    </w:p>
    <w:p w14:paraId="76632E20" w14:textId="77777777" w:rsidR="00F65BCA" w:rsidRDefault="00F65BCA">
      <w:pPr>
        <w:pStyle w:val="Zkladntext"/>
        <w:rPr>
          <w:sz w:val="23"/>
        </w:rPr>
      </w:pPr>
    </w:p>
    <w:p w14:paraId="55ED6B7F" w14:textId="77777777" w:rsidR="00F65BCA" w:rsidRDefault="00216117">
      <w:pPr>
        <w:pStyle w:val="Nadpis6"/>
        <w:numPr>
          <w:ilvl w:val="1"/>
          <w:numId w:val="2"/>
        </w:numPr>
        <w:tabs>
          <w:tab w:val="left" w:pos="1475"/>
        </w:tabs>
        <w:spacing w:line="276" w:lineRule="auto"/>
        <w:ind w:right="103"/>
        <w:jc w:val="both"/>
      </w:pPr>
      <w:r>
        <w:rPr>
          <w:b/>
          <w:color w:val="231F20"/>
        </w:rPr>
        <w:t xml:space="preserve">Pojistná nebezpečí: </w:t>
      </w:r>
      <w:r>
        <w:rPr>
          <w:color w:val="231F20"/>
        </w:rPr>
        <w:t>střetem, pádem, nárazem, požárem, výbuchem, úderem blesku, krupobitím, vichřicí, pádem jakýchkoli věcí, povodní, záplavou,</w:t>
      </w:r>
      <w:r>
        <w:rPr>
          <w:color w:val="231F20"/>
          <w:spacing w:val="-15"/>
        </w:rPr>
        <w:t xml:space="preserve"> </w:t>
      </w:r>
      <w:r>
        <w:rPr>
          <w:color w:val="231F20"/>
        </w:rPr>
        <w:t>zásahem</w:t>
      </w:r>
      <w:r>
        <w:rPr>
          <w:color w:val="231F20"/>
          <w:spacing w:val="-14"/>
        </w:rPr>
        <w:t xml:space="preserve"> </w:t>
      </w:r>
      <w:r>
        <w:rPr>
          <w:color w:val="231F20"/>
        </w:rPr>
        <w:t>cizí</w:t>
      </w:r>
      <w:r>
        <w:rPr>
          <w:color w:val="231F20"/>
          <w:spacing w:val="-14"/>
        </w:rPr>
        <w:t xml:space="preserve"> </w:t>
      </w:r>
      <w:r>
        <w:rPr>
          <w:color w:val="231F20"/>
        </w:rPr>
        <w:t>osoby,</w:t>
      </w:r>
      <w:r>
        <w:rPr>
          <w:color w:val="231F20"/>
          <w:spacing w:val="-14"/>
        </w:rPr>
        <w:t xml:space="preserve"> </w:t>
      </w:r>
      <w:r>
        <w:rPr>
          <w:color w:val="231F20"/>
        </w:rPr>
        <w:t>krádež</w:t>
      </w:r>
      <w:r>
        <w:rPr>
          <w:color w:val="231F20"/>
          <w:spacing w:val="-13"/>
        </w:rPr>
        <w:t xml:space="preserve"> </w:t>
      </w:r>
      <w:r>
        <w:rPr>
          <w:color w:val="231F20"/>
        </w:rPr>
        <w:t>vloupáním</w:t>
      </w:r>
      <w:r>
        <w:rPr>
          <w:color w:val="231F20"/>
          <w:spacing w:val="-12"/>
        </w:rPr>
        <w:t xml:space="preserve"> </w:t>
      </w:r>
      <w:r>
        <w:rPr>
          <w:color w:val="231F20"/>
        </w:rPr>
        <w:t>nebo</w:t>
      </w:r>
      <w:r>
        <w:rPr>
          <w:color w:val="231F20"/>
          <w:spacing w:val="-11"/>
        </w:rPr>
        <w:t xml:space="preserve"> </w:t>
      </w:r>
      <w:r>
        <w:rPr>
          <w:color w:val="231F20"/>
        </w:rPr>
        <w:t>loupežným</w:t>
      </w:r>
      <w:r>
        <w:rPr>
          <w:color w:val="231F20"/>
          <w:spacing w:val="-13"/>
        </w:rPr>
        <w:t xml:space="preserve"> </w:t>
      </w:r>
      <w:r>
        <w:rPr>
          <w:color w:val="231F20"/>
        </w:rPr>
        <w:t>přepadením,</w:t>
      </w:r>
      <w:r>
        <w:rPr>
          <w:color w:val="231F20"/>
          <w:spacing w:val="-12"/>
        </w:rPr>
        <w:t xml:space="preserve"> </w:t>
      </w:r>
      <w:r>
        <w:rPr>
          <w:color w:val="231F20"/>
        </w:rPr>
        <w:t>pohřešování</w:t>
      </w:r>
      <w:r>
        <w:rPr>
          <w:color w:val="231F20"/>
          <w:spacing w:val="-14"/>
        </w:rPr>
        <w:t xml:space="preserve"> </w:t>
      </w:r>
      <w:r>
        <w:rPr>
          <w:color w:val="231F20"/>
        </w:rPr>
        <w:t>v</w:t>
      </w:r>
      <w:r>
        <w:rPr>
          <w:color w:val="231F20"/>
          <w:spacing w:val="-4"/>
        </w:rPr>
        <w:t xml:space="preserve"> </w:t>
      </w:r>
      <w:r>
        <w:rPr>
          <w:color w:val="231F20"/>
        </w:rPr>
        <w:t>příčinné</w:t>
      </w:r>
      <w:r>
        <w:rPr>
          <w:color w:val="231F20"/>
          <w:spacing w:val="-14"/>
        </w:rPr>
        <w:t xml:space="preserve"> </w:t>
      </w:r>
      <w:r>
        <w:rPr>
          <w:color w:val="231F20"/>
        </w:rPr>
        <w:t>souvislosti</w:t>
      </w:r>
      <w:r>
        <w:rPr>
          <w:color w:val="231F20"/>
          <w:spacing w:val="-15"/>
        </w:rPr>
        <w:t xml:space="preserve"> </w:t>
      </w:r>
      <w:r>
        <w:rPr>
          <w:color w:val="231F20"/>
        </w:rPr>
        <w:t>s</w:t>
      </w:r>
      <w:r>
        <w:rPr>
          <w:color w:val="231F20"/>
          <w:spacing w:val="-4"/>
        </w:rPr>
        <w:t xml:space="preserve"> </w:t>
      </w:r>
      <w:r>
        <w:rPr>
          <w:color w:val="231F20"/>
        </w:rPr>
        <w:t>dopravní</w:t>
      </w:r>
      <w:r>
        <w:rPr>
          <w:color w:val="231F20"/>
          <w:spacing w:val="-12"/>
        </w:rPr>
        <w:t xml:space="preserve"> </w:t>
      </w:r>
      <w:r>
        <w:rPr>
          <w:color w:val="231F20"/>
        </w:rPr>
        <w:t>nehodou</w:t>
      </w:r>
      <w:r>
        <w:rPr>
          <w:color w:val="231F20"/>
          <w:spacing w:val="-14"/>
        </w:rPr>
        <w:t xml:space="preserve"> </w:t>
      </w:r>
      <w:r>
        <w:rPr>
          <w:color w:val="231F20"/>
        </w:rPr>
        <w:t>šetřenou policií, pokud fyzická osoba pozbyla schopnost předmět pojištění</w:t>
      </w:r>
      <w:r>
        <w:rPr>
          <w:color w:val="231F20"/>
          <w:spacing w:val="-1"/>
        </w:rPr>
        <w:t xml:space="preserve"> </w:t>
      </w:r>
      <w:r>
        <w:rPr>
          <w:color w:val="231F20"/>
        </w:rPr>
        <w:t>opatrovat</w:t>
      </w:r>
    </w:p>
    <w:p w14:paraId="1041DA4E" w14:textId="77777777" w:rsidR="00F65BCA" w:rsidRDefault="00F65BCA">
      <w:pPr>
        <w:pStyle w:val="Zkladntext"/>
        <w:rPr>
          <w:sz w:val="23"/>
        </w:rPr>
      </w:pPr>
    </w:p>
    <w:p w14:paraId="49609CC8" w14:textId="77777777" w:rsidR="00F65BCA" w:rsidRDefault="00216117">
      <w:pPr>
        <w:pStyle w:val="Odstavecseseznamem"/>
        <w:numPr>
          <w:ilvl w:val="1"/>
          <w:numId w:val="2"/>
        </w:numPr>
        <w:tabs>
          <w:tab w:val="left" w:pos="1475"/>
        </w:tabs>
        <w:spacing w:before="1"/>
        <w:ind w:hanging="433"/>
        <w:rPr>
          <w:b/>
          <w:sz w:val="20"/>
        </w:rPr>
      </w:pPr>
      <w:r>
        <w:rPr>
          <w:b/>
          <w:color w:val="231F20"/>
          <w:sz w:val="20"/>
        </w:rPr>
        <w:t xml:space="preserve">Limit plnění: </w:t>
      </w:r>
      <w:r>
        <w:rPr>
          <w:color w:val="231F20"/>
          <w:sz w:val="20"/>
        </w:rPr>
        <w:t xml:space="preserve">20 000 Kč na pojistnou událost </w:t>
      </w:r>
      <w:r>
        <w:rPr>
          <w:b/>
          <w:color w:val="231F20"/>
          <w:sz w:val="20"/>
        </w:rPr>
        <w:t>bez spoluúčasti</w:t>
      </w:r>
    </w:p>
    <w:p w14:paraId="1A6B7236" w14:textId="77777777" w:rsidR="00F65BCA" w:rsidRDefault="00F65BCA">
      <w:pPr>
        <w:pStyle w:val="Zkladntext"/>
        <w:spacing w:before="10"/>
        <w:rPr>
          <w:b/>
          <w:sz w:val="25"/>
        </w:rPr>
      </w:pPr>
    </w:p>
    <w:p w14:paraId="27093505" w14:textId="77777777" w:rsidR="00F65BCA" w:rsidRDefault="00216117">
      <w:pPr>
        <w:pStyle w:val="Nadpis5"/>
        <w:numPr>
          <w:ilvl w:val="1"/>
          <w:numId w:val="2"/>
        </w:numPr>
        <w:tabs>
          <w:tab w:val="left" w:pos="1471"/>
        </w:tabs>
        <w:spacing w:before="0"/>
        <w:ind w:left="1470" w:hanging="431"/>
        <w:rPr>
          <w:b w:val="0"/>
        </w:rPr>
      </w:pPr>
      <w:r>
        <w:rPr>
          <w:color w:val="231F20"/>
        </w:rPr>
        <w:t>Územní rozsah pojištění:</w:t>
      </w:r>
      <w:r>
        <w:rPr>
          <w:color w:val="231F20"/>
          <w:spacing w:val="1"/>
        </w:rPr>
        <w:t xml:space="preserve"> </w:t>
      </w:r>
      <w:r>
        <w:rPr>
          <w:b w:val="0"/>
          <w:color w:val="231F20"/>
        </w:rPr>
        <w:t>Evropa</w:t>
      </w:r>
    </w:p>
    <w:p w14:paraId="2743CB86" w14:textId="77777777" w:rsidR="00F65BCA" w:rsidRDefault="00216117">
      <w:pPr>
        <w:pStyle w:val="Nadpis6"/>
        <w:numPr>
          <w:ilvl w:val="1"/>
          <w:numId w:val="2"/>
        </w:numPr>
        <w:tabs>
          <w:tab w:val="left" w:pos="1471"/>
        </w:tabs>
        <w:spacing w:before="154"/>
        <w:ind w:left="1470" w:hanging="431"/>
      </w:pPr>
      <w:r>
        <w:rPr>
          <w:b/>
          <w:color w:val="231F20"/>
        </w:rPr>
        <w:t>Předmět</w:t>
      </w:r>
      <w:r>
        <w:rPr>
          <w:b/>
          <w:color w:val="231F20"/>
          <w:spacing w:val="-15"/>
        </w:rPr>
        <w:t xml:space="preserve"> </w:t>
      </w:r>
      <w:r>
        <w:rPr>
          <w:b/>
          <w:color w:val="231F20"/>
        </w:rPr>
        <w:t>pojištění:</w:t>
      </w:r>
      <w:r>
        <w:rPr>
          <w:b/>
          <w:color w:val="231F20"/>
          <w:spacing w:val="-15"/>
        </w:rPr>
        <w:t xml:space="preserve"> </w:t>
      </w:r>
      <w:r>
        <w:rPr>
          <w:color w:val="231F20"/>
        </w:rPr>
        <w:t>Soubor</w:t>
      </w:r>
      <w:r>
        <w:rPr>
          <w:color w:val="231F20"/>
          <w:spacing w:val="-12"/>
        </w:rPr>
        <w:t xml:space="preserve"> </w:t>
      </w:r>
      <w:r>
        <w:rPr>
          <w:color w:val="231F20"/>
        </w:rPr>
        <w:t>vozidel</w:t>
      </w:r>
      <w:r>
        <w:rPr>
          <w:color w:val="231F20"/>
          <w:spacing w:val="-15"/>
        </w:rPr>
        <w:t xml:space="preserve"> </w:t>
      </w:r>
      <w:r>
        <w:rPr>
          <w:color w:val="231F20"/>
        </w:rPr>
        <w:t>uvedených</w:t>
      </w:r>
      <w:r>
        <w:rPr>
          <w:color w:val="231F20"/>
          <w:spacing w:val="-16"/>
        </w:rPr>
        <w:t xml:space="preserve"> </w:t>
      </w:r>
      <w:r>
        <w:rPr>
          <w:color w:val="231F20"/>
        </w:rPr>
        <w:t>v</w:t>
      </w:r>
      <w:r>
        <w:rPr>
          <w:color w:val="231F20"/>
          <w:spacing w:val="-3"/>
        </w:rPr>
        <w:t xml:space="preserve"> </w:t>
      </w:r>
      <w:r>
        <w:rPr>
          <w:color w:val="231F20"/>
        </w:rPr>
        <w:t>příloze</w:t>
      </w:r>
      <w:r>
        <w:rPr>
          <w:color w:val="231F20"/>
          <w:spacing w:val="-16"/>
        </w:rPr>
        <w:t xml:space="preserve"> </w:t>
      </w:r>
      <w:r>
        <w:rPr>
          <w:color w:val="231F20"/>
        </w:rPr>
        <w:t>ZD</w:t>
      </w:r>
      <w:r>
        <w:rPr>
          <w:color w:val="231F20"/>
          <w:spacing w:val="-15"/>
        </w:rPr>
        <w:t xml:space="preserve"> </w:t>
      </w:r>
      <w:r>
        <w:rPr>
          <w:color w:val="231F20"/>
        </w:rPr>
        <w:t>č.</w:t>
      </w:r>
      <w:r>
        <w:rPr>
          <w:color w:val="231F20"/>
          <w:spacing w:val="-16"/>
        </w:rPr>
        <w:t xml:space="preserve"> </w:t>
      </w:r>
      <w:r>
        <w:rPr>
          <w:color w:val="231F20"/>
        </w:rPr>
        <w:t>2-2,</w:t>
      </w:r>
      <w:r>
        <w:rPr>
          <w:color w:val="231F20"/>
          <w:spacing w:val="-15"/>
        </w:rPr>
        <w:t xml:space="preserve"> </w:t>
      </w:r>
      <w:r>
        <w:rPr>
          <w:color w:val="231F20"/>
        </w:rPr>
        <w:t>u</w:t>
      </w:r>
      <w:r>
        <w:rPr>
          <w:color w:val="231F20"/>
          <w:spacing w:val="-16"/>
        </w:rPr>
        <w:t xml:space="preserve"> </w:t>
      </w:r>
      <w:r>
        <w:rPr>
          <w:color w:val="231F20"/>
        </w:rPr>
        <w:t>kterých</w:t>
      </w:r>
      <w:r>
        <w:rPr>
          <w:color w:val="231F20"/>
          <w:spacing w:val="-16"/>
        </w:rPr>
        <w:t xml:space="preserve"> </w:t>
      </w:r>
      <w:r>
        <w:rPr>
          <w:color w:val="231F20"/>
        </w:rPr>
        <w:t>je</w:t>
      </w:r>
      <w:r>
        <w:rPr>
          <w:color w:val="231F20"/>
          <w:spacing w:val="-16"/>
        </w:rPr>
        <w:t xml:space="preserve"> </w:t>
      </w:r>
      <w:r>
        <w:rPr>
          <w:color w:val="231F20"/>
        </w:rPr>
        <w:t>v</w:t>
      </w:r>
      <w:r>
        <w:rPr>
          <w:color w:val="231F20"/>
          <w:spacing w:val="-15"/>
        </w:rPr>
        <w:t xml:space="preserve"> </w:t>
      </w:r>
      <w:r>
        <w:rPr>
          <w:color w:val="231F20"/>
        </w:rPr>
        <w:t>příslušném</w:t>
      </w:r>
      <w:r>
        <w:rPr>
          <w:color w:val="231F20"/>
          <w:spacing w:val="-16"/>
        </w:rPr>
        <w:t xml:space="preserve"> </w:t>
      </w:r>
      <w:r>
        <w:rPr>
          <w:color w:val="231F20"/>
        </w:rPr>
        <w:t>sloupci</w:t>
      </w:r>
      <w:r>
        <w:rPr>
          <w:color w:val="231F20"/>
          <w:spacing w:val="-16"/>
        </w:rPr>
        <w:t xml:space="preserve"> </w:t>
      </w:r>
      <w:r>
        <w:rPr>
          <w:color w:val="231F20"/>
        </w:rPr>
        <w:t>označeném</w:t>
      </w:r>
      <w:r>
        <w:rPr>
          <w:color w:val="231F20"/>
          <w:spacing w:val="-16"/>
        </w:rPr>
        <w:t xml:space="preserve"> </w:t>
      </w:r>
      <w:r>
        <w:rPr>
          <w:color w:val="231F20"/>
        </w:rPr>
        <w:t>pojmem</w:t>
      </w:r>
      <w:r>
        <w:rPr>
          <w:color w:val="231F20"/>
          <w:spacing w:val="-16"/>
        </w:rPr>
        <w:t xml:space="preserve"> </w:t>
      </w:r>
      <w:r>
        <w:rPr>
          <w:color w:val="231F20"/>
        </w:rPr>
        <w:t>„ZAVAZADLA“</w:t>
      </w:r>
      <w:r>
        <w:rPr>
          <w:color w:val="231F20"/>
          <w:spacing w:val="-15"/>
        </w:rPr>
        <w:t xml:space="preserve"> </w:t>
      </w:r>
      <w:r>
        <w:rPr>
          <w:color w:val="231F20"/>
        </w:rPr>
        <w:t>uvedeno</w:t>
      </w:r>
    </w:p>
    <w:p w14:paraId="6EE38AD3" w14:textId="77777777" w:rsidR="00F65BCA" w:rsidRDefault="00216117">
      <w:pPr>
        <w:pStyle w:val="Nadpis6"/>
        <w:spacing w:before="34"/>
        <w:ind w:left="1470"/>
      </w:pPr>
      <w:r>
        <w:rPr>
          <w:color w:val="231F20"/>
        </w:rPr>
        <w:t>„ANO“</w:t>
      </w:r>
    </w:p>
    <w:p w14:paraId="2A51B4DE" w14:textId="77777777" w:rsidR="00F65BCA" w:rsidRDefault="00F65BCA">
      <w:pPr>
        <w:pStyle w:val="Zkladntext"/>
        <w:rPr>
          <w:sz w:val="22"/>
        </w:rPr>
      </w:pPr>
    </w:p>
    <w:p w14:paraId="1B947800" w14:textId="77777777" w:rsidR="00F65BCA" w:rsidRDefault="00F65BCA">
      <w:pPr>
        <w:pStyle w:val="Zkladntext"/>
        <w:rPr>
          <w:sz w:val="22"/>
        </w:rPr>
      </w:pPr>
    </w:p>
    <w:p w14:paraId="29CC5930" w14:textId="77777777" w:rsidR="00F65BCA" w:rsidRDefault="00F65BCA">
      <w:pPr>
        <w:pStyle w:val="Zkladntext"/>
        <w:rPr>
          <w:sz w:val="22"/>
        </w:rPr>
      </w:pPr>
    </w:p>
    <w:p w14:paraId="1F866154" w14:textId="77777777" w:rsidR="00F65BCA" w:rsidRDefault="00216117">
      <w:pPr>
        <w:pStyle w:val="Odstavecseseznamem"/>
        <w:numPr>
          <w:ilvl w:val="0"/>
          <w:numId w:val="2"/>
        </w:numPr>
        <w:tabs>
          <w:tab w:val="left" w:pos="1043"/>
        </w:tabs>
        <w:spacing w:before="189"/>
        <w:rPr>
          <w:b/>
          <w:color w:val="153963"/>
          <w:sz w:val="28"/>
        </w:rPr>
      </w:pPr>
      <w:r>
        <w:rPr>
          <w:b/>
          <w:color w:val="153963"/>
          <w:sz w:val="28"/>
        </w:rPr>
        <w:t>Další doplňková</w:t>
      </w:r>
      <w:r>
        <w:rPr>
          <w:b/>
          <w:color w:val="153963"/>
          <w:spacing w:val="-4"/>
          <w:sz w:val="28"/>
        </w:rPr>
        <w:t xml:space="preserve"> </w:t>
      </w:r>
      <w:r>
        <w:rPr>
          <w:b/>
          <w:color w:val="153963"/>
          <w:sz w:val="28"/>
        </w:rPr>
        <w:t>připojištění</w:t>
      </w:r>
    </w:p>
    <w:p w14:paraId="015093A9" w14:textId="77777777" w:rsidR="00F65BCA" w:rsidRDefault="00216117">
      <w:pPr>
        <w:pStyle w:val="Odstavecseseznamem"/>
        <w:numPr>
          <w:ilvl w:val="1"/>
          <w:numId w:val="2"/>
        </w:numPr>
        <w:tabs>
          <w:tab w:val="left" w:pos="1475"/>
        </w:tabs>
        <w:spacing w:before="170" w:line="276" w:lineRule="auto"/>
        <w:ind w:right="103"/>
        <w:jc w:val="both"/>
        <w:rPr>
          <w:sz w:val="20"/>
        </w:rPr>
      </w:pPr>
      <w:r>
        <w:rPr>
          <w:b/>
          <w:color w:val="231F20"/>
          <w:sz w:val="20"/>
        </w:rPr>
        <w:t xml:space="preserve">Pojištění činnosti vozidla jako pracovního stroje: </w:t>
      </w:r>
      <w:r>
        <w:rPr>
          <w:color w:val="231F20"/>
          <w:sz w:val="20"/>
        </w:rPr>
        <w:t>poškození či zničení vozidla nebo jeho části při jeho činnosti jako pracovního stroje nebo při jeho využití k manipulaci s nákladem (použití hydraulické ruky, sklápění</w:t>
      </w:r>
      <w:r>
        <w:rPr>
          <w:color w:val="231F20"/>
          <w:spacing w:val="-9"/>
          <w:sz w:val="20"/>
        </w:rPr>
        <w:t xml:space="preserve"> </w:t>
      </w:r>
      <w:r>
        <w:rPr>
          <w:color w:val="231F20"/>
          <w:sz w:val="20"/>
        </w:rPr>
        <w:t>apod.).</w:t>
      </w:r>
    </w:p>
    <w:p w14:paraId="0B3D5A18" w14:textId="77777777" w:rsidR="00F65BCA" w:rsidRDefault="00216117">
      <w:pPr>
        <w:pStyle w:val="Nadpis6"/>
        <w:numPr>
          <w:ilvl w:val="1"/>
          <w:numId w:val="2"/>
        </w:numPr>
        <w:tabs>
          <w:tab w:val="left" w:pos="1471"/>
        </w:tabs>
        <w:spacing w:before="119" w:line="276" w:lineRule="auto"/>
        <w:ind w:left="1470" w:right="101" w:hanging="430"/>
        <w:jc w:val="both"/>
      </w:pPr>
      <w:r>
        <w:rPr>
          <w:b/>
          <w:color w:val="231F20"/>
        </w:rPr>
        <w:t xml:space="preserve">Předmět pojištění: </w:t>
      </w:r>
      <w:r>
        <w:rPr>
          <w:color w:val="231F20"/>
        </w:rPr>
        <w:t>Soubor vozidel uvedených v příloze ZD č. 2-2, u kterých je v příslušném sloupci označeném pojmem „ČINNOST PRACOVNÍHO STROJE“ uvedeno</w:t>
      </w:r>
      <w:r>
        <w:rPr>
          <w:color w:val="231F20"/>
          <w:spacing w:val="4"/>
        </w:rPr>
        <w:t xml:space="preserve"> </w:t>
      </w:r>
      <w:r>
        <w:rPr>
          <w:color w:val="231F20"/>
        </w:rPr>
        <w:t>„ANO“</w:t>
      </w:r>
    </w:p>
    <w:p w14:paraId="4BB5F7D4" w14:textId="77777777" w:rsidR="00F65BCA" w:rsidRDefault="00F65BCA">
      <w:pPr>
        <w:pStyle w:val="Zkladntext"/>
        <w:rPr>
          <w:sz w:val="22"/>
        </w:rPr>
      </w:pPr>
    </w:p>
    <w:p w14:paraId="1EF14C55" w14:textId="77777777" w:rsidR="00F65BCA" w:rsidRDefault="00F65BCA">
      <w:pPr>
        <w:pStyle w:val="Zkladntext"/>
        <w:rPr>
          <w:sz w:val="22"/>
        </w:rPr>
      </w:pPr>
    </w:p>
    <w:p w14:paraId="2A0A1F9D" w14:textId="77777777" w:rsidR="00F65BCA" w:rsidRDefault="00216117">
      <w:pPr>
        <w:pStyle w:val="Nadpis6"/>
        <w:ind w:left="682"/>
      </w:pPr>
      <w:r>
        <w:rPr>
          <w:color w:val="231F20"/>
        </w:rPr>
        <w:t>Parametry jednotlivých vozidel včetně požadovaného rozsahu jsou uvedeny v příloze ZD č. 2-2.</w:t>
      </w:r>
    </w:p>
    <w:p w14:paraId="616B8F7E" w14:textId="77777777" w:rsidR="00F65BCA" w:rsidRDefault="00F65BCA">
      <w:pPr>
        <w:pStyle w:val="Zkladntext"/>
        <w:rPr>
          <w:sz w:val="20"/>
        </w:rPr>
      </w:pPr>
    </w:p>
    <w:p w14:paraId="766CBD38" w14:textId="77777777" w:rsidR="00F65BCA" w:rsidRDefault="00F65BCA">
      <w:pPr>
        <w:pStyle w:val="Zkladntext"/>
        <w:rPr>
          <w:sz w:val="20"/>
        </w:rPr>
      </w:pPr>
    </w:p>
    <w:p w14:paraId="44A4157D" w14:textId="77777777" w:rsidR="00F65BCA" w:rsidRDefault="00F65BCA">
      <w:pPr>
        <w:pStyle w:val="Zkladntext"/>
        <w:rPr>
          <w:sz w:val="20"/>
        </w:rPr>
      </w:pPr>
    </w:p>
    <w:p w14:paraId="65D937E5" w14:textId="77777777" w:rsidR="00F65BCA" w:rsidRDefault="00F65BCA">
      <w:pPr>
        <w:pStyle w:val="Zkladntext"/>
        <w:rPr>
          <w:sz w:val="20"/>
        </w:rPr>
      </w:pPr>
    </w:p>
    <w:p w14:paraId="59424413" w14:textId="77777777" w:rsidR="00F65BCA" w:rsidRDefault="00F65BCA">
      <w:pPr>
        <w:pStyle w:val="Zkladntext"/>
        <w:rPr>
          <w:sz w:val="20"/>
        </w:rPr>
      </w:pPr>
    </w:p>
    <w:p w14:paraId="5E3A7EB8" w14:textId="77777777" w:rsidR="00F65BCA" w:rsidRDefault="00F65BCA">
      <w:pPr>
        <w:pStyle w:val="Zkladntext"/>
        <w:rPr>
          <w:sz w:val="20"/>
        </w:rPr>
      </w:pPr>
    </w:p>
    <w:p w14:paraId="051C2F51" w14:textId="77777777" w:rsidR="00F65BCA" w:rsidRDefault="00F65BCA">
      <w:pPr>
        <w:pStyle w:val="Zkladntext"/>
        <w:rPr>
          <w:sz w:val="20"/>
        </w:rPr>
      </w:pPr>
    </w:p>
    <w:p w14:paraId="254FDB11" w14:textId="77777777" w:rsidR="00F65BCA" w:rsidRDefault="00F65BCA">
      <w:pPr>
        <w:pStyle w:val="Zkladntext"/>
        <w:rPr>
          <w:sz w:val="20"/>
        </w:rPr>
      </w:pPr>
    </w:p>
    <w:p w14:paraId="0393EE33" w14:textId="77777777" w:rsidR="00F65BCA" w:rsidRDefault="00F65BCA">
      <w:pPr>
        <w:pStyle w:val="Zkladntext"/>
        <w:spacing w:before="5"/>
        <w:rPr>
          <w:sz w:val="19"/>
        </w:rPr>
      </w:pPr>
    </w:p>
    <w:p w14:paraId="5D25D7E4" w14:textId="77777777" w:rsidR="00F65BCA" w:rsidRDefault="00216117">
      <w:pPr>
        <w:pStyle w:val="Nadpis6"/>
        <w:spacing w:before="1"/>
        <w:ind w:left="0" w:right="103"/>
        <w:jc w:val="right"/>
      </w:pPr>
      <w:r>
        <w:rPr>
          <w:color w:val="71C4E6"/>
        </w:rPr>
        <w:t>5/5</w:t>
      </w:r>
    </w:p>
    <w:p w14:paraId="0FD83CF8" w14:textId="77777777" w:rsidR="00F65BCA" w:rsidRDefault="00F65BCA">
      <w:pPr>
        <w:jc w:val="right"/>
        <w:sectPr w:rsidR="00F65BCA">
          <w:pgSz w:w="16840" w:h="11900" w:orient="landscape"/>
          <w:pgMar w:top="1100" w:right="1600" w:bottom="280" w:left="1020" w:header="708" w:footer="708" w:gutter="0"/>
          <w:cols w:space="708"/>
        </w:sectPr>
      </w:pPr>
    </w:p>
    <w:p w14:paraId="75A7A239" w14:textId="77777777" w:rsidR="00F65BCA" w:rsidRDefault="00216117">
      <w:pPr>
        <w:pStyle w:val="Zkladntext"/>
        <w:ind w:left="686"/>
        <w:rPr>
          <w:sz w:val="20"/>
        </w:rPr>
      </w:pPr>
      <w:r>
        <w:rPr>
          <w:noProof/>
          <w:sz w:val="20"/>
        </w:rPr>
        <w:lastRenderedPageBreak/>
        <w:drawing>
          <wp:inline distT="0" distB="0" distL="0" distR="0" wp14:anchorId="3971E5D8" wp14:editId="618B615D">
            <wp:extent cx="1750278" cy="741330"/>
            <wp:effectExtent l="0" t="0" r="0" b="0"/>
            <wp:docPr id="30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47.jpeg"/>
                    <pic:cNvPicPr/>
                  </pic:nvPicPr>
                  <pic:blipFill>
                    <a:blip r:embed="rId66" cstate="print"/>
                    <a:stretch>
                      <a:fillRect/>
                    </a:stretch>
                  </pic:blipFill>
                  <pic:spPr>
                    <a:xfrm>
                      <a:off x="0" y="0"/>
                      <a:ext cx="1750278" cy="741330"/>
                    </a:xfrm>
                    <a:prstGeom prst="rect">
                      <a:avLst/>
                    </a:prstGeom>
                  </pic:spPr>
                </pic:pic>
              </a:graphicData>
            </a:graphic>
          </wp:inline>
        </w:drawing>
      </w:r>
    </w:p>
    <w:p w14:paraId="3B076463" w14:textId="77777777" w:rsidR="00F65BCA" w:rsidRDefault="00F65BCA">
      <w:pPr>
        <w:pStyle w:val="Zkladntext"/>
        <w:spacing w:before="2"/>
        <w:rPr>
          <w:sz w:val="14"/>
        </w:rPr>
      </w:pPr>
    </w:p>
    <w:p w14:paraId="25A2F139" w14:textId="77777777" w:rsidR="00F65BCA" w:rsidRDefault="00F65BCA">
      <w:pPr>
        <w:rPr>
          <w:sz w:val="14"/>
        </w:rPr>
        <w:sectPr w:rsidR="00F65BCA">
          <w:pgSz w:w="11900" w:h="16840"/>
          <w:pgMar w:top="420" w:right="900" w:bottom="0" w:left="300" w:header="708" w:footer="708" w:gutter="0"/>
          <w:cols w:space="708"/>
        </w:sectPr>
      </w:pPr>
    </w:p>
    <w:p w14:paraId="770CE794" w14:textId="77777777" w:rsidR="00F65BCA" w:rsidRDefault="00F65BCA">
      <w:pPr>
        <w:pStyle w:val="Zkladntext"/>
        <w:spacing w:before="8"/>
        <w:rPr>
          <w:sz w:val="35"/>
        </w:rPr>
      </w:pPr>
    </w:p>
    <w:p w14:paraId="451D0ABB" w14:textId="77777777" w:rsidR="00F65BCA" w:rsidRDefault="00216117">
      <w:pPr>
        <w:ind w:left="758"/>
        <w:rPr>
          <w:rFonts w:ascii="Calibri"/>
          <w:b/>
          <w:sz w:val="24"/>
        </w:rPr>
      </w:pPr>
      <w:r>
        <w:rPr>
          <w:rFonts w:ascii="Calibri"/>
          <w:b/>
          <w:sz w:val="24"/>
        </w:rPr>
        <w:t>Zadavatel:</w:t>
      </w:r>
    </w:p>
    <w:p w14:paraId="06318C6B" w14:textId="77777777" w:rsidR="00F65BCA" w:rsidRDefault="00216117">
      <w:pPr>
        <w:spacing w:before="44"/>
        <w:ind w:left="209"/>
        <w:rPr>
          <w:rFonts w:ascii="Calibri" w:hAnsi="Calibri"/>
          <w:b/>
          <w:sz w:val="28"/>
        </w:rPr>
      </w:pPr>
      <w:r>
        <w:br w:type="column"/>
      </w:r>
      <w:r>
        <w:rPr>
          <w:rFonts w:ascii="Calibri" w:hAnsi="Calibri"/>
          <w:b/>
          <w:color w:val="FFFFFF"/>
          <w:sz w:val="28"/>
        </w:rPr>
        <w:t>Vysvětlení zadávací dokumentace</w:t>
      </w:r>
    </w:p>
    <w:p w14:paraId="35E4883D" w14:textId="77777777" w:rsidR="00F65BCA" w:rsidRDefault="00F65BCA">
      <w:pPr>
        <w:rPr>
          <w:rFonts w:ascii="Calibri" w:hAnsi="Calibri"/>
          <w:sz w:val="28"/>
        </w:rPr>
        <w:sectPr w:rsidR="00F65BCA">
          <w:type w:val="continuous"/>
          <w:pgSz w:w="11900" w:h="16840"/>
          <w:pgMar w:top="840" w:right="900" w:bottom="280" w:left="300" w:header="708" w:footer="708" w:gutter="0"/>
          <w:cols w:num="2" w:space="708" w:equalWidth="0">
            <w:col w:w="3418" w:space="40"/>
            <w:col w:w="7242"/>
          </w:cols>
        </w:sectPr>
      </w:pPr>
    </w:p>
    <w:p w14:paraId="1B4B5BD0" w14:textId="77777777" w:rsidR="00F65BCA" w:rsidRDefault="00216117">
      <w:pPr>
        <w:tabs>
          <w:tab w:val="left" w:pos="2771"/>
        </w:tabs>
        <w:spacing w:before="12"/>
        <w:ind w:left="758"/>
        <w:rPr>
          <w:rFonts w:ascii="Calibri" w:hAnsi="Calibri"/>
          <w:sz w:val="24"/>
        </w:rPr>
      </w:pPr>
      <w:r>
        <w:rPr>
          <w:rFonts w:ascii="Calibri" w:hAnsi="Calibri"/>
          <w:sz w:val="24"/>
        </w:rPr>
        <w:t>Název:</w:t>
      </w:r>
      <w:r>
        <w:rPr>
          <w:rFonts w:ascii="Times New Roman" w:hAnsi="Times New Roman"/>
          <w:sz w:val="24"/>
        </w:rPr>
        <w:tab/>
      </w:r>
      <w:r>
        <w:rPr>
          <w:rFonts w:ascii="Calibri" w:hAnsi="Calibri"/>
          <w:sz w:val="24"/>
        </w:rPr>
        <w:t>Západočeská univerzita v</w:t>
      </w:r>
      <w:r>
        <w:rPr>
          <w:rFonts w:ascii="Calibri" w:hAnsi="Calibri"/>
          <w:spacing w:val="-4"/>
          <w:sz w:val="24"/>
        </w:rPr>
        <w:t xml:space="preserve"> </w:t>
      </w:r>
      <w:r>
        <w:rPr>
          <w:rFonts w:ascii="Calibri" w:hAnsi="Calibri"/>
          <w:sz w:val="24"/>
        </w:rPr>
        <w:t>Plzni</w:t>
      </w:r>
    </w:p>
    <w:p w14:paraId="350DF143" w14:textId="77777777" w:rsidR="00F65BCA" w:rsidRDefault="00216117">
      <w:pPr>
        <w:pStyle w:val="Nadpis2"/>
        <w:tabs>
          <w:tab w:val="right" w:pos="3750"/>
        </w:tabs>
        <w:spacing w:before="12"/>
        <w:ind w:left="758"/>
        <w:rPr>
          <w:rFonts w:ascii="Calibri" w:hAnsi="Calibri"/>
        </w:rPr>
      </w:pPr>
      <w:r>
        <w:rPr>
          <w:rFonts w:ascii="Calibri" w:hAnsi="Calibri"/>
        </w:rPr>
        <w:t>IČO:</w:t>
      </w:r>
      <w:r>
        <w:rPr>
          <w:rFonts w:ascii="Calibri" w:hAnsi="Calibri"/>
        </w:rPr>
        <w:tab/>
        <w:t>49777513</w:t>
      </w:r>
    </w:p>
    <w:p w14:paraId="72ED61BE" w14:textId="77777777" w:rsidR="00F65BCA" w:rsidRDefault="00216117">
      <w:pPr>
        <w:pStyle w:val="Nadpis2"/>
        <w:tabs>
          <w:tab w:val="left" w:pos="2771"/>
        </w:tabs>
        <w:spacing w:before="12"/>
        <w:ind w:left="758"/>
        <w:rPr>
          <w:rFonts w:ascii="Calibri" w:hAnsi="Calibri"/>
        </w:rPr>
      </w:pPr>
      <w:r>
        <w:rPr>
          <w:rFonts w:ascii="Calibri" w:hAnsi="Calibri"/>
        </w:rPr>
        <w:t>Sídlo:</w:t>
      </w:r>
      <w:r>
        <w:tab/>
      </w:r>
      <w:r>
        <w:rPr>
          <w:rFonts w:ascii="Calibri" w:hAnsi="Calibri"/>
        </w:rPr>
        <w:t>Univerzitní 8, 301 00</w:t>
      </w:r>
      <w:r>
        <w:rPr>
          <w:rFonts w:ascii="Calibri" w:hAnsi="Calibri"/>
          <w:spacing w:val="1"/>
        </w:rPr>
        <w:t xml:space="preserve"> </w:t>
      </w:r>
      <w:r>
        <w:rPr>
          <w:rFonts w:ascii="Calibri" w:hAnsi="Calibri"/>
        </w:rPr>
        <w:t>Plzeň</w:t>
      </w:r>
    </w:p>
    <w:p w14:paraId="17CB9E07" w14:textId="3239B1F2" w:rsidR="00F65BCA" w:rsidRDefault="00216117">
      <w:pPr>
        <w:pStyle w:val="Nadpis6"/>
        <w:tabs>
          <w:tab w:val="left" w:pos="8075"/>
          <w:tab w:val="right" w:pos="10512"/>
        </w:tabs>
        <w:spacing w:before="33"/>
        <w:ind w:left="753"/>
        <w:rPr>
          <w:rFonts w:ascii="Calibri" w:hAnsi="Calibri"/>
        </w:rPr>
      </w:pPr>
      <w:r>
        <w:rPr>
          <w:rFonts w:ascii="Calibri" w:hAnsi="Calibri"/>
          <w:spacing w:val="-4"/>
        </w:rPr>
        <w:t xml:space="preserve">vyř.:    </w:t>
      </w:r>
      <w:r>
        <w:rPr>
          <w:rFonts w:ascii="Calibri" w:hAnsi="Calibri"/>
          <w:spacing w:val="-5"/>
        </w:rPr>
        <w:t>xxxx</w:t>
      </w:r>
      <w:r>
        <w:rPr>
          <w:rFonts w:ascii="Times New Roman" w:hAnsi="Times New Roman"/>
        </w:rPr>
        <w:tab/>
      </w:r>
      <w:r>
        <w:rPr>
          <w:rFonts w:ascii="Calibri" w:hAnsi="Calibri"/>
        </w:rPr>
        <w:t>tel.</w:t>
      </w:r>
      <w:r>
        <w:rPr>
          <w:rFonts w:ascii="Calibri" w:hAnsi="Calibri"/>
        </w:rPr>
        <w:tab/>
        <w:t>xxxx</w:t>
      </w:r>
    </w:p>
    <w:p w14:paraId="797A2A83" w14:textId="30F17937" w:rsidR="00F65BCA" w:rsidRDefault="00216117">
      <w:pPr>
        <w:pStyle w:val="Nadpis6"/>
        <w:tabs>
          <w:tab w:val="left" w:pos="9095"/>
        </w:tabs>
        <w:spacing w:before="28"/>
        <w:ind w:left="4312"/>
        <w:rPr>
          <w:rFonts w:ascii="Calibri"/>
        </w:rPr>
      </w:pPr>
      <w:r>
        <w:rPr>
          <w:rFonts w:ascii="Calibri"/>
        </w:rPr>
        <w:t>e-mail:</w:t>
      </w:r>
      <w:r>
        <w:rPr>
          <w:rFonts w:ascii="Calibri"/>
        </w:rPr>
        <w:tab/>
      </w:r>
      <w:r>
        <w:rPr>
          <w:rFonts w:ascii="Calibri"/>
        </w:rPr>
        <w:tab/>
      </w:r>
      <w:r>
        <w:rPr>
          <w:rFonts w:ascii="Calibri"/>
        </w:rPr>
        <w:tab/>
        <w:t>xxxx</w:t>
      </w:r>
      <w:r>
        <w:rPr>
          <w:rFonts w:ascii="Times New Roman"/>
        </w:rPr>
        <w:tab/>
      </w:r>
    </w:p>
    <w:p w14:paraId="5EBDD7BA" w14:textId="77777777" w:rsidR="00F65BCA" w:rsidRDefault="00216117">
      <w:pPr>
        <w:spacing w:before="23"/>
        <w:ind w:left="758"/>
        <w:rPr>
          <w:rFonts w:ascii="Calibri" w:hAnsi="Calibri"/>
          <w:b/>
          <w:sz w:val="24"/>
        </w:rPr>
      </w:pPr>
      <w:r>
        <w:rPr>
          <w:rFonts w:ascii="Calibri" w:hAnsi="Calibri"/>
          <w:b/>
          <w:sz w:val="24"/>
        </w:rPr>
        <w:t>Veřejná zakázka:</w:t>
      </w:r>
    </w:p>
    <w:p w14:paraId="3409E964" w14:textId="77777777" w:rsidR="00F65BCA" w:rsidRDefault="00216117">
      <w:pPr>
        <w:spacing w:before="2"/>
        <w:ind w:left="758"/>
        <w:rPr>
          <w:rFonts w:ascii="Calibri" w:hAnsi="Calibri"/>
          <w:b/>
          <w:sz w:val="24"/>
        </w:rPr>
      </w:pPr>
      <w:r>
        <w:rPr>
          <w:rFonts w:ascii="Calibri" w:hAnsi="Calibri"/>
          <w:b/>
          <w:sz w:val="24"/>
        </w:rPr>
        <w:t>Komplexní pojištění ZČU v Plzni (2026-2028)</w:t>
      </w:r>
    </w:p>
    <w:p w14:paraId="7B4B6D9A" w14:textId="77777777" w:rsidR="00F65BCA" w:rsidRDefault="00216117">
      <w:pPr>
        <w:pStyle w:val="Nadpis3"/>
        <w:tabs>
          <w:tab w:val="left" w:pos="8963"/>
        </w:tabs>
        <w:spacing w:before="19"/>
        <w:ind w:left="755"/>
        <w:jc w:val="left"/>
        <w:rPr>
          <w:rFonts w:ascii="Calibri" w:hAnsi="Calibri"/>
        </w:rPr>
      </w:pPr>
      <w:r>
        <w:rPr>
          <w:rFonts w:ascii="Calibri" w:hAnsi="Calibri"/>
        </w:rPr>
        <w:t>Předpokládaná</w:t>
      </w:r>
      <w:r>
        <w:rPr>
          <w:rFonts w:ascii="Calibri" w:hAnsi="Calibri"/>
          <w:spacing w:val="-3"/>
        </w:rPr>
        <w:t xml:space="preserve"> </w:t>
      </w:r>
      <w:r>
        <w:rPr>
          <w:rFonts w:ascii="Calibri" w:hAnsi="Calibri"/>
        </w:rPr>
        <w:t>hodnota</w:t>
      </w:r>
      <w:r>
        <w:rPr>
          <w:rFonts w:ascii="Calibri" w:hAnsi="Calibri"/>
          <w:spacing w:val="-3"/>
        </w:rPr>
        <w:t xml:space="preserve"> </w:t>
      </w:r>
      <w:r>
        <w:rPr>
          <w:rFonts w:ascii="Calibri" w:hAnsi="Calibri"/>
        </w:rPr>
        <w:t>VZ:</w:t>
      </w:r>
      <w:r>
        <w:rPr>
          <w:rFonts w:ascii="Times New Roman" w:hAnsi="Times New Roman"/>
        </w:rPr>
        <w:tab/>
      </w:r>
      <w:r>
        <w:rPr>
          <w:rFonts w:ascii="Calibri" w:hAnsi="Calibri"/>
        </w:rPr>
        <w:t>24 209 200,00</w:t>
      </w:r>
      <w:r>
        <w:rPr>
          <w:rFonts w:ascii="Calibri" w:hAnsi="Calibri"/>
          <w:spacing w:val="8"/>
        </w:rPr>
        <w:t xml:space="preserve"> </w:t>
      </w:r>
      <w:r>
        <w:rPr>
          <w:rFonts w:ascii="Calibri" w:hAnsi="Calibri"/>
          <w:spacing w:val="-3"/>
        </w:rPr>
        <w:t>Kč</w:t>
      </w:r>
    </w:p>
    <w:p w14:paraId="17B8A9B4" w14:textId="77777777" w:rsidR="00F65BCA" w:rsidRDefault="00F65BCA">
      <w:pPr>
        <w:rPr>
          <w:rFonts w:ascii="Calibri" w:hAnsi="Calibri"/>
        </w:rPr>
        <w:sectPr w:rsidR="00F65BCA">
          <w:type w:val="continuous"/>
          <w:pgSz w:w="11900" w:h="16840"/>
          <w:pgMar w:top="840" w:right="900" w:bottom="280" w:left="300" w:header="708" w:footer="708" w:gutter="0"/>
          <w:cols w:space="708"/>
        </w:sectPr>
      </w:pPr>
    </w:p>
    <w:p w14:paraId="22532281" w14:textId="77777777" w:rsidR="00F65BCA" w:rsidRDefault="00216117">
      <w:pPr>
        <w:pStyle w:val="Nadpis3"/>
        <w:spacing w:before="22"/>
        <w:ind w:left="753"/>
        <w:jc w:val="left"/>
        <w:rPr>
          <w:rFonts w:ascii="Calibri" w:hAnsi="Calibri"/>
        </w:rPr>
      </w:pPr>
      <w:r>
        <w:rPr>
          <w:rFonts w:ascii="Calibri" w:hAnsi="Calibri"/>
        </w:rPr>
        <w:t>Zadávací řízení:</w:t>
      </w:r>
    </w:p>
    <w:p w14:paraId="6A5F669C" w14:textId="77777777" w:rsidR="00F65BCA" w:rsidRDefault="00216117">
      <w:pPr>
        <w:pStyle w:val="Nadpis3"/>
        <w:spacing w:before="22"/>
        <w:ind w:left="753"/>
        <w:jc w:val="left"/>
        <w:rPr>
          <w:rFonts w:ascii="Calibri" w:hAnsi="Calibri"/>
        </w:rPr>
      </w:pPr>
      <w:r>
        <w:rPr>
          <w:rFonts w:ascii="Calibri" w:hAnsi="Calibri"/>
        </w:rPr>
        <w:t>Předmět plnění VZ:</w:t>
      </w:r>
    </w:p>
    <w:p w14:paraId="68F04DE7" w14:textId="77777777" w:rsidR="00F65BCA" w:rsidRDefault="00216117">
      <w:pPr>
        <w:pStyle w:val="Nadpis6"/>
        <w:spacing w:before="45"/>
        <w:ind w:left="753"/>
        <w:rPr>
          <w:rFonts w:ascii="Calibri" w:hAnsi="Calibri"/>
        </w:rPr>
      </w:pPr>
      <w:r>
        <w:rPr>
          <w:rFonts w:ascii="Calibri" w:hAnsi="Calibri"/>
          <w:spacing w:val="-6"/>
        </w:rPr>
        <w:t>ev.</w:t>
      </w:r>
      <w:r>
        <w:rPr>
          <w:rFonts w:ascii="Calibri" w:hAnsi="Calibri"/>
          <w:spacing w:val="-11"/>
        </w:rPr>
        <w:t xml:space="preserve"> </w:t>
      </w:r>
      <w:r>
        <w:rPr>
          <w:rFonts w:ascii="Calibri" w:hAnsi="Calibri"/>
        </w:rPr>
        <w:t>č.</w:t>
      </w:r>
      <w:r>
        <w:rPr>
          <w:rFonts w:ascii="Calibri" w:hAnsi="Calibri"/>
          <w:spacing w:val="-10"/>
        </w:rPr>
        <w:t xml:space="preserve"> </w:t>
      </w:r>
      <w:r>
        <w:rPr>
          <w:rFonts w:ascii="Calibri" w:hAnsi="Calibri"/>
        </w:rPr>
        <w:t>zakázky</w:t>
      </w:r>
      <w:r>
        <w:rPr>
          <w:rFonts w:ascii="Calibri" w:hAnsi="Calibri"/>
          <w:spacing w:val="-10"/>
        </w:rPr>
        <w:t xml:space="preserve"> </w:t>
      </w:r>
      <w:r>
        <w:rPr>
          <w:rFonts w:ascii="Calibri" w:hAnsi="Calibri"/>
        </w:rPr>
        <w:t>ve</w:t>
      </w:r>
      <w:r>
        <w:rPr>
          <w:rFonts w:ascii="Calibri" w:hAnsi="Calibri"/>
          <w:spacing w:val="-10"/>
        </w:rPr>
        <w:t xml:space="preserve"> </w:t>
      </w:r>
      <w:r>
        <w:rPr>
          <w:rFonts w:ascii="Calibri" w:hAnsi="Calibri"/>
        </w:rPr>
        <w:t>Věstníku</w:t>
      </w:r>
      <w:r>
        <w:rPr>
          <w:rFonts w:ascii="Calibri" w:hAnsi="Calibri"/>
          <w:spacing w:val="-7"/>
        </w:rPr>
        <w:t xml:space="preserve"> </w:t>
      </w:r>
      <w:r>
        <w:rPr>
          <w:rFonts w:ascii="Calibri" w:hAnsi="Calibri"/>
        </w:rPr>
        <w:t>veřejných</w:t>
      </w:r>
      <w:r>
        <w:rPr>
          <w:rFonts w:ascii="Calibri" w:hAnsi="Calibri"/>
          <w:spacing w:val="-9"/>
        </w:rPr>
        <w:t xml:space="preserve"> </w:t>
      </w:r>
      <w:r>
        <w:rPr>
          <w:rFonts w:ascii="Calibri" w:hAnsi="Calibri"/>
        </w:rPr>
        <w:t>zakázek:</w:t>
      </w:r>
    </w:p>
    <w:p w14:paraId="65E991F3" w14:textId="77777777" w:rsidR="00F65BCA" w:rsidRDefault="00216117">
      <w:pPr>
        <w:pStyle w:val="Nadpis3"/>
        <w:spacing w:before="30"/>
        <w:ind w:left="753"/>
        <w:jc w:val="left"/>
        <w:rPr>
          <w:rFonts w:ascii="Calibri" w:hAnsi="Calibri"/>
        </w:rPr>
      </w:pPr>
      <w:r>
        <w:rPr>
          <w:rFonts w:ascii="Calibri" w:hAnsi="Calibri"/>
        </w:rPr>
        <w:t>sys. č. VZ na proﬁlu zadavatele (E-ZAK)</w:t>
      </w:r>
    </w:p>
    <w:p w14:paraId="4C90FADB" w14:textId="77777777" w:rsidR="00F65BCA" w:rsidRDefault="00216117">
      <w:pPr>
        <w:pStyle w:val="Nadpis3"/>
        <w:spacing w:before="22" w:line="259" w:lineRule="auto"/>
        <w:ind w:left="753" w:right="203" w:firstLine="741"/>
        <w:jc w:val="right"/>
        <w:rPr>
          <w:rFonts w:ascii="Calibri" w:hAnsi="Calibri"/>
        </w:rPr>
      </w:pPr>
      <w:r>
        <w:br w:type="column"/>
      </w:r>
      <w:r>
        <w:rPr>
          <w:rFonts w:ascii="Calibri" w:hAnsi="Calibri"/>
        </w:rPr>
        <w:t>otevřené řízení</w:t>
      </w:r>
      <w:r>
        <w:rPr>
          <w:rFonts w:ascii="Calibri" w:hAnsi="Calibri"/>
          <w:spacing w:val="-10"/>
        </w:rPr>
        <w:t xml:space="preserve"> </w:t>
      </w:r>
      <w:r>
        <w:rPr>
          <w:rFonts w:ascii="Calibri" w:hAnsi="Calibri"/>
        </w:rPr>
        <w:t>/</w:t>
      </w:r>
      <w:r>
        <w:rPr>
          <w:rFonts w:ascii="Calibri" w:hAnsi="Calibri"/>
          <w:spacing w:val="-3"/>
        </w:rPr>
        <w:t xml:space="preserve"> </w:t>
      </w:r>
      <w:r>
        <w:rPr>
          <w:rFonts w:ascii="Calibri" w:hAnsi="Calibri"/>
        </w:rPr>
        <w:t>nadlimitní</w:t>
      </w:r>
      <w:r>
        <w:rPr>
          <w:rFonts w:ascii="Times New Roman" w:hAnsi="Times New Roman"/>
        </w:rPr>
        <w:t xml:space="preserve"> </w:t>
      </w:r>
      <w:r>
        <w:rPr>
          <w:rFonts w:ascii="Calibri" w:hAnsi="Calibri"/>
        </w:rPr>
        <w:t>komplexní pojištění ZČU - 4 části</w:t>
      </w:r>
      <w:r>
        <w:rPr>
          <w:rFonts w:ascii="Calibri" w:hAnsi="Calibri"/>
          <w:spacing w:val="-28"/>
        </w:rPr>
        <w:t xml:space="preserve"> </w:t>
      </w:r>
      <w:r>
        <w:rPr>
          <w:rFonts w:ascii="Calibri" w:hAnsi="Calibri"/>
        </w:rPr>
        <w:t>VZ</w:t>
      </w:r>
    </w:p>
    <w:p w14:paraId="70F48CC1" w14:textId="77777777" w:rsidR="00F65BCA" w:rsidRDefault="00216117">
      <w:pPr>
        <w:pStyle w:val="Nadpis3"/>
        <w:spacing w:before="8" w:line="259" w:lineRule="auto"/>
        <w:ind w:left="2575" w:right="191" w:firstLine="69"/>
        <w:jc w:val="right"/>
        <w:rPr>
          <w:rFonts w:ascii="Calibri"/>
        </w:rPr>
      </w:pPr>
      <w:r>
        <w:rPr>
          <w:rFonts w:ascii="Calibri"/>
        </w:rPr>
        <w:t>Z2025-045913 P25V00000452</w:t>
      </w:r>
    </w:p>
    <w:p w14:paraId="70C8C936" w14:textId="77777777" w:rsidR="00F65BCA" w:rsidRDefault="00F65BCA">
      <w:pPr>
        <w:spacing w:line="259" w:lineRule="auto"/>
        <w:jc w:val="right"/>
        <w:rPr>
          <w:rFonts w:ascii="Calibri"/>
        </w:rPr>
        <w:sectPr w:rsidR="00F65BCA">
          <w:type w:val="continuous"/>
          <w:pgSz w:w="11900" w:h="16840"/>
          <w:pgMar w:top="840" w:right="900" w:bottom="280" w:left="300" w:header="708" w:footer="708" w:gutter="0"/>
          <w:cols w:num="2" w:space="708" w:equalWidth="0">
            <w:col w:w="4369" w:space="2195"/>
            <w:col w:w="4136"/>
          </w:cols>
        </w:sectPr>
      </w:pPr>
    </w:p>
    <w:p w14:paraId="61DC1B9E" w14:textId="77777777" w:rsidR="00F65BCA" w:rsidRDefault="00216117">
      <w:pPr>
        <w:spacing w:before="54"/>
        <w:ind w:left="1495"/>
        <w:rPr>
          <w:rFonts w:ascii="Calibri" w:hAnsi="Calibri"/>
          <w:b/>
          <w:sz w:val="24"/>
        </w:rPr>
      </w:pPr>
      <w:r>
        <w:rPr>
          <w:rFonts w:ascii="Calibri" w:hAnsi="Calibri"/>
          <w:b/>
          <w:sz w:val="24"/>
        </w:rPr>
        <w:t>Vysvětlení zadávací dokumentace - č. 2 - odpověď na dotazy / přidání 1 vozidla</w:t>
      </w:r>
    </w:p>
    <w:p w14:paraId="541C781B" w14:textId="77777777" w:rsidR="00F65BCA" w:rsidRDefault="00216117">
      <w:pPr>
        <w:pStyle w:val="Nadpis3"/>
        <w:tabs>
          <w:tab w:val="left" w:pos="3314"/>
          <w:tab w:val="left" w:pos="4943"/>
        </w:tabs>
        <w:spacing w:before="28" w:line="259" w:lineRule="auto"/>
        <w:ind w:left="1255" w:right="232" w:hanging="327"/>
        <w:jc w:val="left"/>
        <w:rPr>
          <w:rFonts w:ascii="Calibri" w:hAnsi="Calibri"/>
        </w:rPr>
      </w:pPr>
      <w:r>
        <w:rPr>
          <w:rFonts w:ascii="Calibri" w:hAnsi="Calibri"/>
        </w:rPr>
        <w:t>Zadavatel</w:t>
      </w:r>
      <w:r>
        <w:rPr>
          <w:rFonts w:ascii="Calibri" w:hAnsi="Calibri"/>
          <w:spacing w:val="-6"/>
        </w:rPr>
        <w:t xml:space="preserve"> </w:t>
      </w:r>
      <w:r>
        <w:rPr>
          <w:rFonts w:ascii="Calibri" w:hAnsi="Calibri"/>
        </w:rPr>
        <w:t>obdržel</w:t>
      </w:r>
      <w:r>
        <w:rPr>
          <w:rFonts w:ascii="Times New Roman" w:hAnsi="Times New Roman"/>
        </w:rPr>
        <w:tab/>
      </w:r>
      <w:r>
        <w:rPr>
          <w:rFonts w:ascii="Calibri" w:hAnsi="Calibri"/>
        </w:rPr>
        <w:t>10.09.2025</w:t>
      </w:r>
      <w:r>
        <w:rPr>
          <w:rFonts w:ascii="Times New Roman" w:hAnsi="Times New Roman"/>
        </w:rPr>
        <w:tab/>
      </w:r>
      <w:r>
        <w:rPr>
          <w:rFonts w:ascii="Calibri" w:hAnsi="Calibri"/>
        </w:rPr>
        <w:t xml:space="preserve">žádost o vysvětlení ZD (dotazy) s následujícím obsahem: Prosíme o </w:t>
      </w:r>
      <w:r>
        <w:rPr>
          <w:rFonts w:ascii="Calibri" w:hAnsi="Calibri"/>
          <w:spacing w:val="-4"/>
        </w:rPr>
        <w:t xml:space="preserve">Vaše </w:t>
      </w:r>
      <w:r>
        <w:rPr>
          <w:rFonts w:ascii="Calibri" w:hAnsi="Calibri"/>
        </w:rPr>
        <w:t xml:space="preserve">vyjádření, </w:t>
      </w:r>
      <w:r>
        <w:rPr>
          <w:rFonts w:ascii="Calibri" w:hAnsi="Calibri"/>
          <w:spacing w:val="-3"/>
        </w:rPr>
        <w:t xml:space="preserve">zda </w:t>
      </w:r>
      <w:r>
        <w:rPr>
          <w:rFonts w:ascii="Calibri" w:hAnsi="Calibri"/>
        </w:rPr>
        <w:t xml:space="preserve">územní </w:t>
      </w:r>
      <w:r>
        <w:rPr>
          <w:rFonts w:ascii="Calibri" w:hAnsi="Calibri"/>
          <w:spacing w:val="-2"/>
        </w:rPr>
        <w:t xml:space="preserve">rozsah </w:t>
      </w:r>
      <w:r>
        <w:rPr>
          <w:rFonts w:ascii="Calibri" w:hAnsi="Calibri"/>
        </w:rPr>
        <w:t xml:space="preserve">pro havarijní pojištění a další připojištění včetně asistenčních služeb </w:t>
      </w:r>
      <w:r>
        <w:rPr>
          <w:rFonts w:ascii="Calibri" w:hAnsi="Calibri"/>
          <w:spacing w:val="-3"/>
        </w:rPr>
        <w:t xml:space="preserve">lze </w:t>
      </w:r>
      <w:r>
        <w:rPr>
          <w:rFonts w:ascii="Calibri" w:hAnsi="Calibri"/>
        </w:rPr>
        <w:t xml:space="preserve">ujednat dle našich pojistných podmínek – tj. na </w:t>
      </w:r>
      <w:r>
        <w:rPr>
          <w:rFonts w:ascii="Calibri" w:hAnsi="Calibri"/>
          <w:spacing w:val="-3"/>
        </w:rPr>
        <w:t xml:space="preserve">území </w:t>
      </w:r>
      <w:r>
        <w:rPr>
          <w:rFonts w:ascii="Calibri" w:hAnsi="Calibri"/>
        </w:rPr>
        <w:t>České</w:t>
      </w:r>
      <w:r>
        <w:rPr>
          <w:rFonts w:ascii="Calibri" w:hAnsi="Calibri"/>
          <w:spacing w:val="8"/>
        </w:rPr>
        <w:t xml:space="preserve"> </w:t>
      </w:r>
      <w:r>
        <w:rPr>
          <w:rFonts w:ascii="Calibri" w:hAnsi="Calibri"/>
        </w:rPr>
        <w:t>republiky a</w:t>
      </w:r>
    </w:p>
    <w:p w14:paraId="63387960" w14:textId="77777777" w:rsidR="00F65BCA" w:rsidRDefault="00216117">
      <w:pPr>
        <w:pStyle w:val="Nadpis3"/>
        <w:tabs>
          <w:tab w:val="left" w:pos="1255"/>
        </w:tabs>
        <w:spacing w:before="0"/>
        <w:ind w:left="911"/>
        <w:jc w:val="left"/>
        <w:rPr>
          <w:rFonts w:ascii="Calibri" w:hAnsi="Calibri"/>
        </w:rPr>
      </w:pPr>
      <w:r>
        <w:rPr>
          <w:rFonts w:ascii="Calibri" w:hAnsi="Calibri"/>
          <w:position w:val="10"/>
        </w:rPr>
        <w:t>1</w:t>
      </w:r>
      <w:r>
        <w:rPr>
          <w:rFonts w:ascii="Times New Roman" w:hAnsi="Times New Roman"/>
          <w:position w:val="10"/>
        </w:rPr>
        <w:tab/>
      </w:r>
      <w:r>
        <w:rPr>
          <w:rFonts w:ascii="Calibri" w:hAnsi="Calibri"/>
        </w:rPr>
        <w:t>geograﬁcké</w:t>
      </w:r>
      <w:r>
        <w:rPr>
          <w:rFonts w:ascii="Calibri" w:hAnsi="Calibri"/>
          <w:spacing w:val="34"/>
        </w:rPr>
        <w:t xml:space="preserve"> </w:t>
      </w:r>
      <w:r>
        <w:rPr>
          <w:rFonts w:ascii="Calibri" w:hAnsi="Calibri"/>
        </w:rPr>
        <w:t>území</w:t>
      </w:r>
      <w:r>
        <w:rPr>
          <w:rFonts w:ascii="Calibri" w:hAnsi="Calibri"/>
          <w:spacing w:val="31"/>
        </w:rPr>
        <w:t xml:space="preserve"> </w:t>
      </w:r>
      <w:r>
        <w:rPr>
          <w:rFonts w:ascii="Calibri" w:hAnsi="Calibri"/>
        </w:rPr>
        <w:t>ostatních</w:t>
      </w:r>
      <w:r>
        <w:rPr>
          <w:rFonts w:ascii="Calibri" w:hAnsi="Calibri"/>
          <w:spacing w:val="33"/>
        </w:rPr>
        <w:t xml:space="preserve"> </w:t>
      </w:r>
      <w:r>
        <w:rPr>
          <w:rFonts w:ascii="Calibri" w:hAnsi="Calibri"/>
        </w:rPr>
        <w:t>států</w:t>
      </w:r>
      <w:r>
        <w:rPr>
          <w:rFonts w:ascii="Calibri" w:hAnsi="Calibri"/>
          <w:spacing w:val="32"/>
        </w:rPr>
        <w:t xml:space="preserve"> </w:t>
      </w:r>
      <w:r>
        <w:rPr>
          <w:rFonts w:ascii="Calibri" w:hAnsi="Calibri"/>
        </w:rPr>
        <w:t>Evropy</w:t>
      </w:r>
      <w:r>
        <w:rPr>
          <w:rFonts w:ascii="Calibri" w:hAnsi="Calibri"/>
          <w:spacing w:val="33"/>
        </w:rPr>
        <w:t xml:space="preserve"> </w:t>
      </w:r>
      <w:r>
        <w:rPr>
          <w:rFonts w:ascii="Calibri" w:hAnsi="Calibri"/>
        </w:rPr>
        <w:t>a</w:t>
      </w:r>
      <w:r>
        <w:rPr>
          <w:rFonts w:ascii="Calibri" w:hAnsi="Calibri"/>
          <w:spacing w:val="33"/>
        </w:rPr>
        <w:t xml:space="preserve"> </w:t>
      </w:r>
      <w:r>
        <w:rPr>
          <w:rFonts w:ascii="Calibri" w:hAnsi="Calibri"/>
          <w:spacing w:val="-3"/>
        </w:rPr>
        <w:t>Turecka,</w:t>
      </w:r>
      <w:r>
        <w:rPr>
          <w:rFonts w:ascii="Calibri" w:hAnsi="Calibri"/>
          <w:spacing w:val="30"/>
        </w:rPr>
        <w:t xml:space="preserve"> </w:t>
      </w:r>
      <w:r>
        <w:rPr>
          <w:rFonts w:ascii="Calibri" w:hAnsi="Calibri"/>
        </w:rPr>
        <w:t>s</w:t>
      </w:r>
      <w:r>
        <w:rPr>
          <w:rFonts w:ascii="Calibri" w:hAnsi="Calibri"/>
          <w:spacing w:val="33"/>
        </w:rPr>
        <w:t xml:space="preserve"> </w:t>
      </w:r>
      <w:r>
        <w:rPr>
          <w:rFonts w:ascii="Calibri" w:hAnsi="Calibri"/>
        </w:rPr>
        <w:t>výjimkou</w:t>
      </w:r>
      <w:r>
        <w:rPr>
          <w:rFonts w:ascii="Calibri" w:hAnsi="Calibri"/>
          <w:spacing w:val="34"/>
        </w:rPr>
        <w:t xml:space="preserve"> </w:t>
      </w:r>
      <w:r>
        <w:rPr>
          <w:rFonts w:ascii="Calibri" w:hAnsi="Calibri"/>
        </w:rPr>
        <w:t>Arménie,</w:t>
      </w:r>
      <w:r>
        <w:rPr>
          <w:rFonts w:ascii="Calibri" w:hAnsi="Calibri"/>
          <w:spacing w:val="37"/>
        </w:rPr>
        <w:t xml:space="preserve"> </w:t>
      </w:r>
      <w:r>
        <w:rPr>
          <w:rFonts w:ascii="Calibri" w:hAnsi="Calibri"/>
        </w:rPr>
        <w:t>Ázerbájdžánu,</w:t>
      </w:r>
      <w:r>
        <w:rPr>
          <w:rFonts w:ascii="Calibri" w:hAnsi="Calibri"/>
          <w:spacing w:val="31"/>
        </w:rPr>
        <w:t xml:space="preserve"> </w:t>
      </w:r>
      <w:r>
        <w:rPr>
          <w:rFonts w:ascii="Calibri" w:hAnsi="Calibri"/>
        </w:rPr>
        <w:t>Běloruska,</w:t>
      </w:r>
    </w:p>
    <w:p w14:paraId="0895425A" w14:textId="77777777" w:rsidR="00F65BCA" w:rsidRDefault="00216117">
      <w:pPr>
        <w:pStyle w:val="Nadpis3"/>
        <w:spacing w:before="0"/>
        <w:ind w:left="1255"/>
        <w:rPr>
          <w:rFonts w:ascii="Calibri"/>
        </w:rPr>
      </w:pPr>
      <w:r>
        <w:rPr>
          <w:rFonts w:ascii="Calibri"/>
        </w:rPr>
        <w:t>Gruzie, Moldavska, Ruska a Ukrajiny.</w:t>
      </w:r>
    </w:p>
    <w:p w14:paraId="611F2E71" w14:textId="77777777" w:rsidR="00F65BCA" w:rsidRDefault="00216117">
      <w:pPr>
        <w:pStyle w:val="Nadpis3"/>
        <w:spacing w:before="48" w:line="259" w:lineRule="auto"/>
        <w:ind w:left="1255" w:right="232"/>
        <w:rPr>
          <w:rFonts w:ascii="Calibri" w:hAnsi="Calibri"/>
        </w:rPr>
      </w:pPr>
      <w:r>
        <w:rPr>
          <w:rFonts w:ascii="Calibri" w:hAnsi="Calibri"/>
        </w:rPr>
        <w:t>Prosíme o Vaše vyjádření, zda Pojistník, nebo některý z pojištěných splňuje / nesplňuje v souvislosti s pojistným odvětvím uvedeným v části B bodu 3, 8, 9, 10, 13 nebo 16 přílohy č. 1 k zákonu č. 277/2009 Sb., o pojišťovnictví, ve znění pozdějších předpisů, minimálně 2 ze 3 níže uvedených limitů:</w:t>
      </w:r>
    </w:p>
    <w:p w14:paraId="0445844A" w14:textId="77777777" w:rsidR="00F65BCA" w:rsidRDefault="00216117">
      <w:pPr>
        <w:pStyle w:val="Nadpis3"/>
        <w:spacing w:before="6"/>
        <w:ind w:left="911"/>
        <w:rPr>
          <w:rFonts w:ascii="Calibri" w:hAnsi="Calibri"/>
        </w:rPr>
      </w:pPr>
      <w:r>
        <w:rPr>
          <w:rFonts w:ascii="Calibri" w:hAnsi="Calibri"/>
        </w:rPr>
        <w:t>2 • Čistý obrat min. 12.800.000,- EUR (cca 320.000.000,- Kč),</w:t>
      </w:r>
    </w:p>
    <w:p w14:paraId="79F0B92F" w14:textId="77777777" w:rsidR="00F65BCA" w:rsidRDefault="00216117">
      <w:pPr>
        <w:pStyle w:val="Nadpis3"/>
        <w:numPr>
          <w:ilvl w:val="0"/>
          <w:numId w:val="1"/>
        </w:numPr>
        <w:tabs>
          <w:tab w:val="left" w:pos="1416"/>
        </w:tabs>
        <w:spacing w:before="17"/>
        <w:rPr>
          <w:rFonts w:ascii="Calibri" w:hAnsi="Calibri"/>
        </w:rPr>
      </w:pPr>
      <w:r>
        <w:rPr>
          <w:rFonts w:ascii="Calibri" w:hAnsi="Calibri"/>
        </w:rPr>
        <w:t xml:space="preserve">Úhrn </w:t>
      </w:r>
      <w:r>
        <w:rPr>
          <w:rFonts w:ascii="Calibri" w:hAnsi="Calibri"/>
          <w:spacing w:val="-4"/>
        </w:rPr>
        <w:t xml:space="preserve">rozvahy </w:t>
      </w:r>
      <w:r>
        <w:rPr>
          <w:rFonts w:ascii="Calibri" w:hAnsi="Calibri"/>
        </w:rPr>
        <w:t>min. 6.200.000,- EUR (cca 155.000.000,-</w:t>
      </w:r>
      <w:r>
        <w:rPr>
          <w:rFonts w:ascii="Calibri" w:hAnsi="Calibri"/>
          <w:spacing w:val="6"/>
        </w:rPr>
        <w:t xml:space="preserve"> </w:t>
      </w:r>
      <w:r>
        <w:rPr>
          <w:rFonts w:ascii="Calibri" w:hAnsi="Calibri"/>
        </w:rPr>
        <w:t>Kč),</w:t>
      </w:r>
    </w:p>
    <w:p w14:paraId="22FD4A05" w14:textId="77777777" w:rsidR="00F65BCA" w:rsidRDefault="00216117">
      <w:pPr>
        <w:pStyle w:val="Nadpis3"/>
        <w:numPr>
          <w:ilvl w:val="0"/>
          <w:numId w:val="1"/>
        </w:numPr>
        <w:tabs>
          <w:tab w:val="left" w:pos="1416"/>
        </w:tabs>
        <w:spacing w:before="22"/>
        <w:rPr>
          <w:rFonts w:ascii="Calibri" w:hAnsi="Calibri"/>
        </w:rPr>
      </w:pPr>
      <w:r>
        <w:rPr>
          <w:rFonts w:ascii="Calibri" w:hAnsi="Calibri"/>
        </w:rPr>
        <w:t>Průměrný roční stav zaměstnanců min.</w:t>
      </w:r>
      <w:r>
        <w:rPr>
          <w:rFonts w:ascii="Calibri" w:hAnsi="Calibri"/>
          <w:spacing w:val="1"/>
        </w:rPr>
        <w:t xml:space="preserve"> </w:t>
      </w:r>
      <w:r>
        <w:rPr>
          <w:rFonts w:ascii="Calibri" w:hAnsi="Calibri"/>
        </w:rPr>
        <w:t>250.</w:t>
      </w:r>
    </w:p>
    <w:p w14:paraId="6A0D64BA" w14:textId="77777777" w:rsidR="00F65BCA" w:rsidRDefault="00F65BCA">
      <w:pPr>
        <w:pStyle w:val="Zkladntext"/>
        <w:rPr>
          <w:rFonts w:ascii="Calibri"/>
          <w:sz w:val="20"/>
        </w:rPr>
      </w:pPr>
    </w:p>
    <w:p w14:paraId="1EDE1547" w14:textId="77777777" w:rsidR="00F65BCA" w:rsidRDefault="00000000">
      <w:pPr>
        <w:pStyle w:val="Zkladntext"/>
        <w:spacing w:before="5"/>
        <w:rPr>
          <w:rFonts w:ascii="Calibri"/>
          <w:sz w:val="23"/>
        </w:rPr>
      </w:pPr>
      <w:r>
        <w:pict w14:anchorId="3B231B15">
          <v:group id="_x0000_s1038" style="position:absolute;margin-left:49.45pt;margin-top:16.3pt;width:494.65pt;height:94.65pt;z-index:-251283456;mso-wrap-distance-left:0;mso-wrap-distance-right:0;mso-position-horizontal-relative:page" coordorigin="989,326" coordsize="9893,1893">
            <v:shape id="_x0000_s1040" type="#_x0000_t75" style="position:absolute;left:988;top:325;width:9893;height:1893">
              <v:imagedata r:id="rId67" o:title=""/>
            </v:shape>
            <v:shape id="_x0000_s1039" type="#_x0000_t202" style="position:absolute;left:988;top:325;width:9893;height:1893" filled="f" stroked="f">
              <v:textbox inset="0,0,0,0">
                <w:txbxContent>
                  <w:p w14:paraId="25DBAE17" w14:textId="77777777" w:rsidR="00F65BCA" w:rsidRDefault="00216117">
                    <w:pPr>
                      <w:spacing w:before="47"/>
                      <w:ind w:left="67"/>
                      <w:rPr>
                        <w:rFonts w:ascii="Calibri" w:hAnsi="Calibri"/>
                      </w:rPr>
                    </w:pPr>
                    <w:r>
                      <w:rPr>
                        <w:rFonts w:ascii="Calibri" w:hAnsi="Calibri"/>
                      </w:rPr>
                      <w:t>K výše uvedeným dotazům sděluje zadavatel následující vysvětlení:</w:t>
                    </w:r>
                  </w:p>
                  <w:p w14:paraId="77B27A40" w14:textId="77777777" w:rsidR="00F65BCA" w:rsidRDefault="00216117">
                    <w:pPr>
                      <w:spacing w:before="22" w:line="259" w:lineRule="auto"/>
                      <w:ind w:left="88" w:right="139" w:firstLine="477"/>
                      <w:rPr>
                        <w:rFonts w:ascii="Calibri" w:hAnsi="Calibri"/>
                      </w:rPr>
                    </w:pPr>
                    <w:r>
                      <w:rPr>
                        <w:rFonts w:ascii="Calibri" w:hAnsi="Calibri"/>
                      </w:rPr>
                      <w:t xml:space="preserve">Zadavatel  souhlasí  s  tím,  </w:t>
                    </w:r>
                    <w:r>
                      <w:rPr>
                        <w:rFonts w:ascii="Calibri" w:hAnsi="Calibri"/>
                        <w:spacing w:val="-3"/>
                      </w:rPr>
                      <w:t xml:space="preserve">že  </w:t>
                    </w:r>
                    <w:r>
                      <w:rPr>
                        <w:rFonts w:ascii="Calibri" w:hAnsi="Calibri"/>
                      </w:rPr>
                      <w:t xml:space="preserve">územní  </w:t>
                    </w:r>
                    <w:r>
                      <w:rPr>
                        <w:rFonts w:ascii="Calibri" w:hAnsi="Calibri"/>
                        <w:spacing w:val="-2"/>
                      </w:rPr>
                      <w:t xml:space="preserve">rozsah   </w:t>
                    </w:r>
                    <w:r>
                      <w:rPr>
                        <w:rFonts w:ascii="Calibri" w:hAnsi="Calibri"/>
                        <w:spacing w:val="-3"/>
                      </w:rPr>
                      <w:t xml:space="preserve">pro   </w:t>
                    </w:r>
                    <w:r>
                      <w:rPr>
                        <w:rFonts w:ascii="Calibri" w:hAnsi="Calibri"/>
                      </w:rPr>
                      <w:t>havarijní  pojištění   a  další  připojištění  včetně   ad 1 asistenčních služeb bude sjednáno pro území ČR a geograﬁcké území ostatních států Evropy a</w:t>
                    </w:r>
                    <w:r>
                      <w:rPr>
                        <w:rFonts w:ascii="Calibri" w:hAnsi="Calibri"/>
                        <w:spacing w:val="-9"/>
                      </w:rPr>
                      <w:t xml:space="preserve"> </w:t>
                    </w:r>
                    <w:r>
                      <w:rPr>
                        <w:rFonts w:ascii="Calibri" w:hAnsi="Calibri"/>
                        <w:spacing w:val="-3"/>
                      </w:rPr>
                      <w:t>Turecka,</w:t>
                    </w:r>
                  </w:p>
                  <w:p w14:paraId="1508D78C" w14:textId="77777777" w:rsidR="00F65BCA" w:rsidRDefault="00216117">
                    <w:pPr>
                      <w:spacing w:before="1"/>
                      <w:ind w:left="566"/>
                      <w:rPr>
                        <w:rFonts w:ascii="Calibri" w:hAnsi="Calibri"/>
                      </w:rPr>
                    </w:pPr>
                    <w:r>
                      <w:rPr>
                        <w:rFonts w:ascii="Calibri" w:hAnsi="Calibri"/>
                      </w:rPr>
                      <w:t>vyjma Arménie, Ázerbájdžánu, Běloruska, Gruzie, Moldavska, Ruska a Ukrajiny.</w:t>
                    </w:r>
                  </w:p>
                  <w:p w14:paraId="0F41D7BA" w14:textId="77777777" w:rsidR="00F65BCA" w:rsidRDefault="00216117">
                    <w:pPr>
                      <w:spacing w:before="131" w:line="180" w:lineRule="auto"/>
                      <w:ind w:left="88" w:right="186" w:firstLine="477"/>
                      <w:rPr>
                        <w:rFonts w:ascii="Calibri" w:hAnsi="Calibri"/>
                      </w:rPr>
                    </w:pPr>
                    <w:r>
                      <w:rPr>
                        <w:rFonts w:ascii="Calibri" w:hAnsi="Calibri"/>
                      </w:rPr>
                      <w:t xml:space="preserve">Zadavatel (pojistník) splňuje 2 z uvedených limitů, a </w:t>
                    </w:r>
                    <w:r>
                      <w:rPr>
                        <w:rFonts w:ascii="Calibri" w:hAnsi="Calibri"/>
                        <w:spacing w:val="-3"/>
                      </w:rPr>
                      <w:t xml:space="preserve">to </w:t>
                    </w:r>
                    <w:r>
                      <w:rPr>
                        <w:rFonts w:ascii="Calibri" w:hAnsi="Calibri"/>
                      </w:rPr>
                      <w:t xml:space="preserve">úhrn </w:t>
                    </w:r>
                    <w:r>
                      <w:rPr>
                        <w:rFonts w:ascii="Calibri" w:hAnsi="Calibri"/>
                        <w:spacing w:val="-4"/>
                      </w:rPr>
                      <w:t xml:space="preserve">rozvahy </w:t>
                    </w:r>
                    <w:r>
                      <w:rPr>
                        <w:rFonts w:ascii="Calibri" w:hAnsi="Calibri"/>
                      </w:rPr>
                      <w:t xml:space="preserve">min. 6.200.000 EUR a průměrný  </w:t>
                    </w:r>
                    <w:r>
                      <w:rPr>
                        <w:rFonts w:ascii="Calibri" w:hAnsi="Calibri"/>
                        <w:position w:val="12"/>
                      </w:rPr>
                      <w:t xml:space="preserve">ad 2 </w:t>
                    </w:r>
                    <w:r>
                      <w:rPr>
                        <w:rFonts w:ascii="Calibri" w:hAnsi="Calibri"/>
                      </w:rPr>
                      <w:t>roční stav zaměstnanců min.</w:t>
                    </w:r>
                    <w:r>
                      <w:rPr>
                        <w:rFonts w:ascii="Calibri" w:hAnsi="Calibri"/>
                        <w:spacing w:val="-7"/>
                      </w:rPr>
                      <w:t xml:space="preserve"> </w:t>
                    </w:r>
                    <w:r>
                      <w:rPr>
                        <w:rFonts w:ascii="Calibri" w:hAnsi="Calibri"/>
                      </w:rPr>
                      <w:t>250.</w:t>
                    </w:r>
                  </w:p>
                </w:txbxContent>
              </v:textbox>
            </v:shape>
            <w10:wrap type="topAndBottom" anchorx="page"/>
          </v:group>
        </w:pict>
      </w:r>
      <w:r>
        <w:pict w14:anchorId="4CD2B67E">
          <v:group id="_x0000_s1035" style="position:absolute;margin-left:49.45pt;margin-top:122.95pt;width:494.65pt;height:48pt;z-index:-251281408;mso-wrap-distance-left:0;mso-wrap-distance-right:0;mso-position-horizontal-relative:page" coordorigin="989,2459" coordsize="9893,960">
            <v:shape id="_x0000_s1037" type="#_x0000_t75" style="position:absolute;left:988;top:2459;width:9893;height:960">
              <v:imagedata r:id="rId68" o:title=""/>
            </v:shape>
            <v:shape id="_x0000_s1036" type="#_x0000_t202" style="position:absolute;left:988;top:2459;width:9893;height:960" filled="f" stroked="f">
              <v:textbox inset="0,0,0,0">
                <w:txbxContent>
                  <w:p w14:paraId="7C198A67" w14:textId="77777777" w:rsidR="00F65BCA" w:rsidRDefault="00216117">
                    <w:pPr>
                      <w:spacing w:before="47" w:line="259" w:lineRule="auto"/>
                      <w:ind w:left="67" w:right="96"/>
                      <w:jc w:val="both"/>
                      <w:rPr>
                        <w:rFonts w:ascii="Calibri" w:hAnsi="Calibri"/>
                        <w:b/>
                      </w:rPr>
                    </w:pPr>
                    <w:r>
                      <w:rPr>
                        <w:rFonts w:ascii="Calibri" w:hAnsi="Calibri"/>
                        <w:b/>
                      </w:rPr>
                      <w:t>Zadavatel současně k dnešnímu dni, a to s ohledem na rozšíření ﬂotily vozidel o jedno vozidlo, nahrazuje dosavadní přílohu č. 2-2 Soubor vozidel novou verzí, v níž je přidána nová položka č. 42 - Škoda Superb RZ 8AZ7891.</w:t>
                    </w:r>
                  </w:p>
                </w:txbxContent>
              </v:textbox>
            </v:shape>
            <w10:wrap type="topAndBottom" anchorx="page"/>
          </v:group>
        </w:pict>
      </w:r>
      <w:r>
        <w:pict w14:anchorId="4AAFCCA6">
          <v:group id="_x0000_s1032" style="position:absolute;margin-left:49.45pt;margin-top:182.5pt;width:494.65pt;height:33.6pt;z-index:-251279360;mso-wrap-distance-left:0;mso-wrap-distance-right:0;mso-position-horizontal-relative:page" coordorigin="989,3650" coordsize="9893,672">
            <v:shape id="_x0000_s1034" type="#_x0000_t75" style="position:absolute;left:988;top:3649;width:9893;height:672">
              <v:imagedata r:id="rId69" o:title=""/>
            </v:shape>
            <v:shape id="_x0000_s1033" type="#_x0000_t202" style="position:absolute;left:988;top:3649;width:9893;height:672" filled="f" stroked="f">
              <v:textbox inset="0,0,0,0">
                <w:txbxContent>
                  <w:p w14:paraId="6B6FAEB3" w14:textId="77777777" w:rsidR="00F65BCA" w:rsidRDefault="00216117">
                    <w:pPr>
                      <w:spacing w:before="47" w:line="259" w:lineRule="auto"/>
                      <w:ind w:left="67"/>
                      <w:rPr>
                        <w:rFonts w:ascii="Calibri" w:hAnsi="Calibri"/>
                        <w:b/>
                      </w:rPr>
                    </w:pPr>
                    <w:r>
                      <w:rPr>
                        <w:rFonts w:ascii="Calibri" w:hAnsi="Calibri"/>
                        <w:b/>
                      </w:rPr>
                      <w:t xml:space="preserve">Dodavatelé jsou </w:t>
                    </w:r>
                    <w:r>
                      <w:rPr>
                        <w:rFonts w:ascii="Calibri" w:hAnsi="Calibri"/>
                        <w:b/>
                      </w:rPr>
                      <w:t>povini reﬂektovat výše uvedenou změnu přílohy č. 2-2 Soubor vozidel a nabídku podat v souladu s touto změnou.</w:t>
                    </w:r>
                  </w:p>
                </w:txbxContent>
              </v:textbox>
            </v:shape>
            <w10:wrap type="topAndBottom" anchorx="page"/>
          </v:group>
        </w:pict>
      </w:r>
      <w:r>
        <w:pict w14:anchorId="554AE414">
          <v:group id="_x0000_s1029" style="position:absolute;margin-left:49.45pt;margin-top:227.5pt;width:494.65pt;height:17.65pt;z-index:-251277312;mso-wrap-distance-left:0;mso-wrap-distance-right:0;mso-position-horizontal-relative:page" coordorigin="989,4550" coordsize="9893,353">
            <v:shape id="_x0000_s1031" type="#_x0000_t75" style="position:absolute;left:988;top:4549;width:9893;height:353">
              <v:imagedata r:id="rId68" o:title=""/>
            </v:shape>
            <v:shape id="_x0000_s1030" type="#_x0000_t202" style="position:absolute;left:988;top:4549;width:9893;height:353" filled="f" stroked="f">
              <v:textbox inset="0,0,0,0">
                <w:txbxContent>
                  <w:p w14:paraId="7FA94956" w14:textId="77777777" w:rsidR="00F65BCA" w:rsidRDefault="00216117">
                    <w:pPr>
                      <w:spacing w:before="47"/>
                      <w:ind w:left="67"/>
                      <w:rPr>
                        <w:rFonts w:ascii="Calibri" w:hAnsi="Calibri"/>
                        <w:b/>
                      </w:rPr>
                    </w:pPr>
                    <w:r>
                      <w:rPr>
                        <w:rFonts w:ascii="Calibri" w:hAnsi="Calibri"/>
                        <w:b/>
                      </w:rPr>
                      <w:t>Zadavatel prodlužuje lhůtu pro podání nabídek, a to do 10:00 hod dne 26. 9. 2025.</w:t>
                    </w:r>
                  </w:p>
                </w:txbxContent>
              </v:textbox>
            </v:shape>
            <w10:wrap type="topAndBottom" anchorx="page"/>
          </v:group>
        </w:pict>
      </w:r>
    </w:p>
    <w:p w14:paraId="48E3193D" w14:textId="77777777" w:rsidR="00F65BCA" w:rsidRDefault="00F65BCA">
      <w:pPr>
        <w:pStyle w:val="Zkladntext"/>
        <w:spacing w:before="1"/>
        <w:rPr>
          <w:rFonts w:ascii="Calibri"/>
          <w:sz w:val="14"/>
        </w:rPr>
      </w:pPr>
    </w:p>
    <w:p w14:paraId="4B4C07D6" w14:textId="77777777" w:rsidR="00F65BCA" w:rsidRDefault="00F65BCA">
      <w:pPr>
        <w:pStyle w:val="Zkladntext"/>
        <w:spacing w:before="3"/>
        <w:rPr>
          <w:rFonts w:ascii="Calibri"/>
          <w:sz w:val="13"/>
        </w:rPr>
      </w:pPr>
    </w:p>
    <w:p w14:paraId="3ED56BF1" w14:textId="77777777" w:rsidR="00F65BCA" w:rsidRDefault="00F65BCA">
      <w:pPr>
        <w:pStyle w:val="Zkladntext"/>
        <w:spacing w:before="1"/>
        <w:rPr>
          <w:rFonts w:ascii="Calibri"/>
          <w:sz w:val="13"/>
        </w:rPr>
      </w:pPr>
    </w:p>
    <w:p w14:paraId="1C9AD62B" w14:textId="77777777" w:rsidR="00F65BCA" w:rsidRDefault="00F65BCA">
      <w:pPr>
        <w:pStyle w:val="Zkladntext"/>
        <w:rPr>
          <w:rFonts w:ascii="Calibri"/>
          <w:sz w:val="20"/>
        </w:rPr>
      </w:pPr>
    </w:p>
    <w:p w14:paraId="7B16EC62" w14:textId="77777777" w:rsidR="00F65BCA" w:rsidRDefault="00F65BCA">
      <w:pPr>
        <w:pStyle w:val="Zkladntext"/>
        <w:rPr>
          <w:rFonts w:ascii="Calibri"/>
          <w:sz w:val="20"/>
        </w:rPr>
      </w:pPr>
    </w:p>
    <w:p w14:paraId="397777B8" w14:textId="77777777" w:rsidR="00F65BCA" w:rsidRDefault="00F65BCA">
      <w:pPr>
        <w:pStyle w:val="Zkladntext"/>
        <w:rPr>
          <w:rFonts w:ascii="Calibri"/>
          <w:sz w:val="20"/>
        </w:rPr>
      </w:pPr>
    </w:p>
    <w:p w14:paraId="37389B18" w14:textId="77777777" w:rsidR="00F65BCA" w:rsidRDefault="00F65BCA">
      <w:pPr>
        <w:pStyle w:val="Zkladntext"/>
        <w:rPr>
          <w:rFonts w:ascii="Calibri"/>
          <w:sz w:val="20"/>
        </w:rPr>
      </w:pPr>
    </w:p>
    <w:p w14:paraId="11A2CBFA" w14:textId="77777777" w:rsidR="00F65BCA" w:rsidRDefault="00F65BCA">
      <w:pPr>
        <w:pStyle w:val="Zkladntext"/>
        <w:spacing w:before="1"/>
        <w:rPr>
          <w:rFonts w:ascii="Calibri"/>
          <w:sz w:val="18"/>
        </w:rPr>
      </w:pPr>
    </w:p>
    <w:p w14:paraId="2D77EAA5" w14:textId="77777777" w:rsidR="00F65BCA" w:rsidRDefault="00F65BCA">
      <w:pPr>
        <w:rPr>
          <w:rFonts w:ascii="Calibri"/>
          <w:sz w:val="18"/>
        </w:rPr>
        <w:sectPr w:rsidR="00F65BCA">
          <w:type w:val="continuous"/>
          <w:pgSz w:w="11900" w:h="16840"/>
          <w:pgMar w:top="840" w:right="900" w:bottom="280" w:left="300" w:header="708" w:footer="708" w:gutter="0"/>
          <w:cols w:space="708"/>
        </w:sectPr>
      </w:pPr>
    </w:p>
    <w:p w14:paraId="6C7197F3" w14:textId="77777777" w:rsidR="00F65BCA" w:rsidRDefault="00216117">
      <w:pPr>
        <w:pStyle w:val="Zkladntext"/>
        <w:rPr>
          <w:rFonts w:ascii="Calibri"/>
          <w:sz w:val="17"/>
        </w:rPr>
      </w:pPr>
      <w:r>
        <w:rPr>
          <w:noProof/>
        </w:rPr>
        <w:drawing>
          <wp:anchor distT="0" distB="0" distL="0" distR="0" simplePos="0" relativeHeight="204126208" behindDoc="1" locked="0" layoutInCell="1" allowOverlap="1" wp14:anchorId="351CC30F" wp14:editId="2B73F097">
            <wp:simplePos x="0" y="0"/>
            <wp:positionH relativeFrom="page">
              <wp:posOffset>627887</wp:posOffset>
            </wp:positionH>
            <wp:positionV relativeFrom="page">
              <wp:posOffset>1117086</wp:posOffset>
            </wp:positionV>
            <wp:extent cx="6281927" cy="5244084"/>
            <wp:effectExtent l="0" t="0" r="0" b="0"/>
            <wp:wrapNone/>
            <wp:docPr id="30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1.png"/>
                    <pic:cNvPicPr/>
                  </pic:nvPicPr>
                  <pic:blipFill>
                    <a:blip r:embed="rId70" cstate="print"/>
                    <a:stretch>
                      <a:fillRect/>
                    </a:stretch>
                  </pic:blipFill>
                  <pic:spPr>
                    <a:xfrm>
                      <a:off x="0" y="0"/>
                      <a:ext cx="6281927" cy="5244084"/>
                    </a:xfrm>
                    <a:prstGeom prst="rect">
                      <a:avLst/>
                    </a:prstGeom>
                  </pic:spPr>
                </pic:pic>
              </a:graphicData>
            </a:graphic>
          </wp:anchor>
        </w:drawing>
      </w:r>
    </w:p>
    <w:p w14:paraId="5CDF4794" w14:textId="77777777" w:rsidR="00F65BCA" w:rsidRDefault="00216117">
      <w:pPr>
        <w:pStyle w:val="Nadpis6"/>
        <w:ind w:left="100"/>
        <w:rPr>
          <w:rFonts w:ascii="Calibri" w:hAnsi="Calibri"/>
        </w:rPr>
      </w:pPr>
      <w:r>
        <w:rPr>
          <w:rFonts w:ascii="Calibri" w:hAnsi="Calibri"/>
        </w:rPr>
        <w:t>Důvěrné / Conﬁdential</w:t>
      </w:r>
    </w:p>
    <w:p w14:paraId="7CC9CDCE" w14:textId="77777777" w:rsidR="00F65BCA" w:rsidRDefault="00216117">
      <w:pPr>
        <w:spacing w:before="57"/>
        <w:ind w:left="100"/>
        <w:rPr>
          <w:rFonts w:ascii="Calibri"/>
        </w:rPr>
      </w:pPr>
      <w:r>
        <w:br w:type="column"/>
      </w:r>
      <w:r>
        <w:rPr>
          <w:rFonts w:ascii="Calibri"/>
        </w:rPr>
        <w:t>1/2</w:t>
      </w:r>
    </w:p>
    <w:p w14:paraId="64E95E41" w14:textId="77777777" w:rsidR="00F65BCA" w:rsidRDefault="00F65BCA">
      <w:pPr>
        <w:rPr>
          <w:rFonts w:ascii="Calibri"/>
        </w:rPr>
        <w:sectPr w:rsidR="00F65BCA">
          <w:type w:val="continuous"/>
          <w:pgSz w:w="11900" w:h="16840"/>
          <w:pgMar w:top="840" w:right="900" w:bottom="280" w:left="300" w:header="708" w:footer="708" w:gutter="0"/>
          <w:cols w:num="2" w:space="708" w:equalWidth="0">
            <w:col w:w="1979" w:space="3406"/>
            <w:col w:w="5315"/>
          </w:cols>
        </w:sectPr>
      </w:pPr>
    </w:p>
    <w:p w14:paraId="67D1DEB8" w14:textId="77777777" w:rsidR="00F65BCA" w:rsidRDefault="00F65BCA">
      <w:pPr>
        <w:pStyle w:val="Zkladntext"/>
        <w:rPr>
          <w:rFonts w:ascii="Calibri"/>
          <w:sz w:val="13"/>
        </w:rPr>
      </w:pPr>
    </w:p>
    <w:p w14:paraId="795A2363" w14:textId="77777777" w:rsidR="00F65BCA" w:rsidRDefault="00000000">
      <w:pPr>
        <w:pStyle w:val="Zkladntext"/>
        <w:ind w:left="688"/>
        <w:rPr>
          <w:rFonts w:ascii="Calibri"/>
          <w:sz w:val="20"/>
        </w:rPr>
      </w:pPr>
      <w:r>
        <w:rPr>
          <w:rFonts w:ascii="Calibri"/>
          <w:sz w:val="20"/>
        </w:rPr>
      </w:r>
      <w:r>
        <w:rPr>
          <w:rFonts w:ascii="Calibri"/>
          <w:sz w:val="20"/>
        </w:rPr>
        <w:pict w14:anchorId="7E928089">
          <v:group id="_x0000_s1026" style="width:494.65pt;height:66.25pt;mso-position-horizontal-relative:char;mso-position-vertical-relative:line" coordsize="9893,1325">
            <v:shape id="_x0000_s1028" type="#_x0000_t75" style="position:absolute;width:9893;height:1325">
              <v:imagedata r:id="rId69" o:title=""/>
            </v:shape>
            <v:shape id="_x0000_s1027" type="#_x0000_t202" style="position:absolute;width:9893;height:1325" filled="f" stroked="f">
              <v:textbox inset="0,0,0,0">
                <w:txbxContent>
                  <w:p w14:paraId="7777210F" w14:textId="77777777" w:rsidR="00F65BCA" w:rsidRDefault="00216117">
                    <w:pPr>
                      <w:spacing w:before="47" w:line="259" w:lineRule="auto"/>
                      <w:ind w:left="67" w:right="87"/>
                      <w:jc w:val="both"/>
                      <w:rPr>
                        <w:rFonts w:ascii="Calibri" w:hAnsi="Calibri"/>
                        <w:b/>
                      </w:rPr>
                    </w:pPr>
                    <w:r>
                      <w:rPr>
                        <w:rFonts w:ascii="Calibri" w:hAnsi="Calibri"/>
                        <w:b/>
                      </w:rPr>
                      <w:t xml:space="preserve">Zadavatel současně nahrazuje původní ZD novou, aktualizovanou verzí, resp. mění v ní kromě lhůty pro podání nabídek i předpokládanou/limitní hodnotu pro část 2 </w:t>
                    </w:r>
                    <w:r>
                      <w:rPr>
                        <w:rFonts w:ascii="Calibri" w:hAnsi="Calibri"/>
                        <w:b/>
                      </w:rPr>
                      <w:t>VZ - Pojištění vozidel a souhrnné předpokládané hodnoty uvedené v ZD (změny v ZD oproti dosavadní verzi jsou zvýrazněny červeným podbarvením).</w:t>
                    </w:r>
                  </w:p>
                </w:txbxContent>
              </v:textbox>
            </v:shape>
            <w10:anchorlock/>
          </v:group>
        </w:pict>
      </w:r>
    </w:p>
    <w:p w14:paraId="120C9869" w14:textId="77777777" w:rsidR="00F65BCA" w:rsidRDefault="00F65BCA">
      <w:pPr>
        <w:pStyle w:val="Zkladntext"/>
        <w:spacing w:before="11"/>
        <w:rPr>
          <w:rFonts w:ascii="Calibri"/>
          <w:sz w:val="16"/>
        </w:rPr>
      </w:pPr>
    </w:p>
    <w:p w14:paraId="083FA8F9" w14:textId="77777777" w:rsidR="00F65BCA" w:rsidRDefault="00216117">
      <w:pPr>
        <w:spacing w:before="56"/>
        <w:ind w:left="6323" w:right="1561"/>
        <w:jc w:val="center"/>
        <w:rPr>
          <w:rFonts w:ascii="Calibri" w:hAnsi="Calibri"/>
          <w:b/>
        </w:rPr>
      </w:pPr>
      <w:r>
        <w:rPr>
          <w:rFonts w:ascii="Calibri" w:hAnsi="Calibri"/>
          <w:b/>
        </w:rPr>
        <w:t>Západočeská univerzita v Plzni</w:t>
      </w:r>
    </w:p>
    <w:p w14:paraId="0D420E1C" w14:textId="4C1C4764" w:rsidR="00F65BCA" w:rsidRDefault="00216117">
      <w:pPr>
        <w:pStyle w:val="Nadpis3"/>
        <w:spacing w:before="22"/>
        <w:ind w:left="6300" w:right="1561"/>
        <w:jc w:val="center"/>
        <w:rPr>
          <w:rFonts w:ascii="Calibri" w:hAnsi="Calibri"/>
        </w:rPr>
      </w:pPr>
      <w:r>
        <w:rPr>
          <w:rFonts w:ascii="Calibri" w:hAnsi="Calibri"/>
        </w:rPr>
        <w:t>xxxx</w:t>
      </w:r>
    </w:p>
    <w:p w14:paraId="3A23FDBF" w14:textId="77777777" w:rsidR="00F65BCA" w:rsidRDefault="00216117">
      <w:pPr>
        <w:pStyle w:val="Nadpis4"/>
        <w:spacing w:before="22"/>
        <w:ind w:left="6286" w:right="1561"/>
        <w:jc w:val="center"/>
        <w:rPr>
          <w:rFonts w:ascii="Calibri" w:hAnsi="Calibri"/>
        </w:rPr>
      </w:pPr>
      <w:r>
        <w:rPr>
          <w:rFonts w:ascii="Calibri" w:hAnsi="Calibri"/>
        </w:rPr>
        <w:t>na základě pověření</w:t>
      </w:r>
    </w:p>
    <w:p w14:paraId="11CA5D5C" w14:textId="77777777" w:rsidR="00F65BCA" w:rsidRDefault="00F65BCA">
      <w:pPr>
        <w:pStyle w:val="Zkladntext"/>
        <w:rPr>
          <w:rFonts w:ascii="Calibri"/>
          <w:i/>
          <w:sz w:val="20"/>
        </w:rPr>
      </w:pPr>
    </w:p>
    <w:p w14:paraId="1B6C4527" w14:textId="77777777" w:rsidR="00F65BCA" w:rsidRDefault="00F65BCA">
      <w:pPr>
        <w:pStyle w:val="Zkladntext"/>
        <w:rPr>
          <w:rFonts w:ascii="Calibri"/>
          <w:i/>
          <w:sz w:val="20"/>
        </w:rPr>
      </w:pPr>
    </w:p>
    <w:p w14:paraId="23A59B86" w14:textId="77777777" w:rsidR="00F65BCA" w:rsidRDefault="00F65BCA">
      <w:pPr>
        <w:pStyle w:val="Zkladntext"/>
        <w:rPr>
          <w:rFonts w:ascii="Calibri"/>
          <w:i/>
          <w:sz w:val="20"/>
        </w:rPr>
      </w:pPr>
    </w:p>
    <w:p w14:paraId="234C198E" w14:textId="77777777" w:rsidR="00F65BCA" w:rsidRDefault="00F65BCA">
      <w:pPr>
        <w:pStyle w:val="Zkladntext"/>
        <w:rPr>
          <w:rFonts w:ascii="Calibri"/>
          <w:i/>
          <w:sz w:val="20"/>
        </w:rPr>
      </w:pPr>
    </w:p>
    <w:p w14:paraId="397D2711" w14:textId="77777777" w:rsidR="00F65BCA" w:rsidRDefault="00F65BCA">
      <w:pPr>
        <w:pStyle w:val="Zkladntext"/>
        <w:rPr>
          <w:rFonts w:ascii="Calibri"/>
          <w:i/>
          <w:sz w:val="20"/>
        </w:rPr>
      </w:pPr>
    </w:p>
    <w:p w14:paraId="11507FC9" w14:textId="77777777" w:rsidR="00F65BCA" w:rsidRDefault="00F65BCA">
      <w:pPr>
        <w:pStyle w:val="Zkladntext"/>
        <w:rPr>
          <w:rFonts w:ascii="Calibri"/>
          <w:i/>
          <w:sz w:val="20"/>
        </w:rPr>
      </w:pPr>
    </w:p>
    <w:p w14:paraId="5842F5DE" w14:textId="77777777" w:rsidR="00F65BCA" w:rsidRDefault="00F65BCA">
      <w:pPr>
        <w:pStyle w:val="Zkladntext"/>
        <w:rPr>
          <w:rFonts w:ascii="Calibri"/>
          <w:i/>
          <w:sz w:val="20"/>
        </w:rPr>
      </w:pPr>
    </w:p>
    <w:p w14:paraId="1BDF3A2A" w14:textId="77777777" w:rsidR="00F65BCA" w:rsidRDefault="00F65BCA">
      <w:pPr>
        <w:pStyle w:val="Zkladntext"/>
        <w:rPr>
          <w:rFonts w:ascii="Calibri"/>
          <w:i/>
          <w:sz w:val="20"/>
        </w:rPr>
      </w:pPr>
    </w:p>
    <w:p w14:paraId="5DC7220A" w14:textId="77777777" w:rsidR="00F65BCA" w:rsidRDefault="00F65BCA">
      <w:pPr>
        <w:pStyle w:val="Zkladntext"/>
        <w:rPr>
          <w:rFonts w:ascii="Calibri"/>
          <w:i/>
          <w:sz w:val="20"/>
        </w:rPr>
      </w:pPr>
    </w:p>
    <w:p w14:paraId="3B71D018" w14:textId="77777777" w:rsidR="00F65BCA" w:rsidRDefault="00F65BCA">
      <w:pPr>
        <w:pStyle w:val="Zkladntext"/>
        <w:rPr>
          <w:rFonts w:ascii="Calibri"/>
          <w:i/>
          <w:sz w:val="20"/>
        </w:rPr>
      </w:pPr>
    </w:p>
    <w:p w14:paraId="1849093B" w14:textId="77777777" w:rsidR="00F65BCA" w:rsidRDefault="00F65BCA">
      <w:pPr>
        <w:pStyle w:val="Zkladntext"/>
        <w:rPr>
          <w:rFonts w:ascii="Calibri"/>
          <w:i/>
          <w:sz w:val="20"/>
        </w:rPr>
      </w:pPr>
    </w:p>
    <w:p w14:paraId="44F3CE1C" w14:textId="77777777" w:rsidR="00F65BCA" w:rsidRDefault="00F65BCA">
      <w:pPr>
        <w:pStyle w:val="Zkladntext"/>
        <w:rPr>
          <w:rFonts w:ascii="Calibri"/>
          <w:i/>
          <w:sz w:val="20"/>
        </w:rPr>
      </w:pPr>
    </w:p>
    <w:p w14:paraId="5836F26B" w14:textId="77777777" w:rsidR="00F65BCA" w:rsidRDefault="00F65BCA">
      <w:pPr>
        <w:pStyle w:val="Zkladntext"/>
        <w:rPr>
          <w:rFonts w:ascii="Calibri"/>
          <w:i/>
          <w:sz w:val="20"/>
        </w:rPr>
      </w:pPr>
    </w:p>
    <w:p w14:paraId="4EFEE270" w14:textId="77777777" w:rsidR="00F65BCA" w:rsidRDefault="00F65BCA">
      <w:pPr>
        <w:pStyle w:val="Zkladntext"/>
        <w:rPr>
          <w:rFonts w:ascii="Calibri"/>
          <w:i/>
          <w:sz w:val="20"/>
        </w:rPr>
      </w:pPr>
    </w:p>
    <w:p w14:paraId="2341CE49" w14:textId="77777777" w:rsidR="00F65BCA" w:rsidRDefault="00F65BCA">
      <w:pPr>
        <w:pStyle w:val="Zkladntext"/>
        <w:rPr>
          <w:rFonts w:ascii="Calibri"/>
          <w:i/>
          <w:sz w:val="20"/>
        </w:rPr>
      </w:pPr>
    </w:p>
    <w:p w14:paraId="2E939A11" w14:textId="77777777" w:rsidR="00F65BCA" w:rsidRDefault="00F65BCA">
      <w:pPr>
        <w:pStyle w:val="Zkladntext"/>
        <w:rPr>
          <w:rFonts w:ascii="Calibri"/>
          <w:i/>
          <w:sz w:val="20"/>
        </w:rPr>
      </w:pPr>
    </w:p>
    <w:p w14:paraId="6F8A45F4" w14:textId="77777777" w:rsidR="00F65BCA" w:rsidRDefault="00F65BCA">
      <w:pPr>
        <w:pStyle w:val="Zkladntext"/>
        <w:rPr>
          <w:rFonts w:ascii="Calibri"/>
          <w:i/>
          <w:sz w:val="20"/>
        </w:rPr>
      </w:pPr>
    </w:p>
    <w:p w14:paraId="26AAA24B" w14:textId="77777777" w:rsidR="00F65BCA" w:rsidRDefault="00F65BCA">
      <w:pPr>
        <w:pStyle w:val="Zkladntext"/>
        <w:rPr>
          <w:rFonts w:ascii="Calibri"/>
          <w:i/>
          <w:sz w:val="20"/>
        </w:rPr>
      </w:pPr>
    </w:p>
    <w:p w14:paraId="7B20EC70" w14:textId="77777777" w:rsidR="00F65BCA" w:rsidRDefault="00F65BCA">
      <w:pPr>
        <w:pStyle w:val="Zkladntext"/>
        <w:rPr>
          <w:rFonts w:ascii="Calibri"/>
          <w:i/>
          <w:sz w:val="20"/>
        </w:rPr>
      </w:pPr>
    </w:p>
    <w:p w14:paraId="391B72AF" w14:textId="77777777" w:rsidR="00F65BCA" w:rsidRDefault="00F65BCA">
      <w:pPr>
        <w:pStyle w:val="Zkladntext"/>
        <w:rPr>
          <w:rFonts w:ascii="Calibri"/>
          <w:i/>
          <w:sz w:val="20"/>
        </w:rPr>
      </w:pPr>
    </w:p>
    <w:p w14:paraId="6D0B6FEC" w14:textId="77777777" w:rsidR="00F65BCA" w:rsidRDefault="00F65BCA">
      <w:pPr>
        <w:pStyle w:val="Zkladntext"/>
        <w:rPr>
          <w:rFonts w:ascii="Calibri"/>
          <w:i/>
          <w:sz w:val="20"/>
        </w:rPr>
      </w:pPr>
    </w:p>
    <w:p w14:paraId="6AD1B475" w14:textId="77777777" w:rsidR="00F65BCA" w:rsidRDefault="00F65BCA">
      <w:pPr>
        <w:pStyle w:val="Zkladntext"/>
        <w:rPr>
          <w:rFonts w:ascii="Calibri"/>
          <w:i/>
          <w:sz w:val="20"/>
        </w:rPr>
      </w:pPr>
    </w:p>
    <w:p w14:paraId="0A04D2EF" w14:textId="77777777" w:rsidR="00F65BCA" w:rsidRDefault="00F65BCA">
      <w:pPr>
        <w:pStyle w:val="Zkladntext"/>
        <w:rPr>
          <w:rFonts w:ascii="Calibri"/>
          <w:i/>
          <w:sz w:val="20"/>
        </w:rPr>
      </w:pPr>
    </w:p>
    <w:p w14:paraId="761CD9FC" w14:textId="77777777" w:rsidR="00F65BCA" w:rsidRDefault="00F65BCA">
      <w:pPr>
        <w:pStyle w:val="Zkladntext"/>
        <w:rPr>
          <w:rFonts w:ascii="Calibri"/>
          <w:i/>
          <w:sz w:val="20"/>
        </w:rPr>
      </w:pPr>
    </w:p>
    <w:p w14:paraId="4BE39D78" w14:textId="77777777" w:rsidR="00F65BCA" w:rsidRDefault="00F65BCA">
      <w:pPr>
        <w:pStyle w:val="Zkladntext"/>
        <w:rPr>
          <w:rFonts w:ascii="Calibri"/>
          <w:i/>
          <w:sz w:val="20"/>
        </w:rPr>
      </w:pPr>
    </w:p>
    <w:p w14:paraId="761CE76C" w14:textId="77777777" w:rsidR="00F65BCA" w:rsidRDefault="00F65BCA">
      <w:pPr>
        <w:pStyle w:val="Zkladntext"/>
        <w:rPr>
          <w:rFonts w:ascii="Calibri"/>
          <w:i/>
          <w:sz w:val="20"/>
        </w:rPr>
      </w:pPr>
    </w:p>
    <w:p w14:paraId="4DE70A7A" w14:textId="77777777" w:rsidR="00F65BCA" w:rsidRDefault="00F65BCA">
      <w:pPr>
        <w:pStyle w:val="Zkladntext"/>
        <w:rPr>
          <w:rFonts w:ascii="Calibri"/>
          <w:i/>
          <w:sz w:val="20"/>
        </w:rPr>
      </w:pPr>
    </w:p>
    <w:p w14:paraId="3389C80F" w14:textId="77777777" w:rsidR="00F65BCA" w:rsidRDefault="00F65BCA">
      <w:pPr>
        <w:pStyle w:val="Zkladntext"/>
        <w:rPr>
          <w:rFonts w:ascii="Calibri"/>
          <w:i/>
          <w:sz w:val="20"/>
        </w:rPr>
      </w:pPr>
    </w:p>
    <w:p w14:paraId="47CCA3D7" w14:textId="77777777" w:rsidR="00F65BCA" w:rsidRDefault="00F65BCA">
      <w:pPr>
        <w:pStyle w:val="Zkladntext"/>
        <w:rPr>
          <w:rFonts w:ascii="Calibri"/>
          <w:i/>
          <w:sz w:val="20"/>
        </w:rPr>
      </w:pPr>
    </w:p>
    <w:p w14:paraId="10B65862" w14:textId="77777777" w:rsidR="00F65BCA" w:rsidRDefault="00F65BCA">
      <w:pPr>
        <w:pStyle w:val="Zkladntext"/>
        <w:rPr>
          <w:rFonts w:ascii="Calibri"/>
          <w:i/>
          <w:sz w:val="20"/>
        </w:rPr>
      </w:pPr>
    </w:p>
    <w:p w14:paraId="3E6962F2" w14:textId="77777777" w:rsidR="00F65BCA" w:rsidRDefault="00F65BCA">
      <w:pPr>
        <w:pStyle w:val="Zkladntext"/>
        <w:rPr>
          <w:rFonts w:ascii="Calibri"/>
          <w:i/>
          <w:sz w:val="20"/>
        </w:rPr>
      </w:pPr>
    </w:p>
    <w:p w14:paraId="6C05B25B" w14:textId="77777777" w:rsidR="00F65BCA" w:rsidRDefault="00F65BCA">
      <w:pPr>
        <w:pStyle w:val="Zkladntext"/>
        <w:rPr>
          <w:rFonts w:ascii="Calibri"/>
          <w:i/>
          <w:sz w:val="20"/>
        </w:rPr>
      </w:pPr>
    </w:p>
    <w:p w14:paraId="31984219" w14:textId="77777777" w:rsidR="00F65BCA" w:rsidRDefault="00F65BCA">
      <w:pPr>
        <w:pStyle w:val="Zkladntext"/>
        <w:rPr>
          <w:rFonts w:ascii="Calibri"/>
          <w:i/>
          <w:sz w:val="20"/>
        </w:rPr>
      </w:pPr>
    </w:p>
    <w:p w14:paraId="392C886F" w14:textId="77777777" w:rsidR="00F65BCA" w:rsidRDefault="00F65BCA">
      <w:pPr>
        <w:pStyle w:val="Zkladntext"/>
        <w:rPr>
          <w:rFonts w:ascii="Calibri"/>
          <w:i/>
          <w:sz w:val="20"/>
        </w:rPr>
      </w:pPr>
    </w:p>
    <w:p w14:paraId="7C7ACB82" w14:textId="77777777" w:rsidR="00F65BCA" w:rsidRDefault="00F65BCA">
      <w:pPr>
        <w:pStyle w:val="Zkladntext"/>
        <w:rPr>
          <w:rFonts w:ascii="Calibri"/>
          <w:i/>
          <w:sz w:val="20"/>
        </w:rPr>
      </w:pPr>
    </w:p>
    <w:p w14:paraId="0DDE3B7B" w14:textId="77777777" w:rsidR="00F65BCA" w:rsidRDefault="00F65BCA">
      <w:pPr>
        <w:pStyle w:val="Zkladntext"/>
        <w:rPr>
          <w:rFonts w:ascii="Calibri"/>
          <w:i/>
          <w:sz w:val="20"/>
        </w:rPr>
      </w:pPr>
    </w:p>
    <w:p w14:paraId="219C9DE6" w14:textId="77777777" w:rsidR="00F65BCA" w:rsidRDefault="00F65BCA">
      <w:pPr>
        <w:pStyle w:val="Zkladntext"/>
        <w:rPr>
          <w:rFonts w:ascii="Calibri"/>
          <w:i/>
          <w:sz w:val="20"/>
        </w:rPr>
      </w:pPr>
    </w:p>
    <w:p w14:paraId="10624D96" w14:textId="77777777" w:rsidR="00F65BCA" w:rsidRDefault="00F65BCA">
      <w:pPr>
        <w:pStyle w:val="Zkladntext"/>
        <w:rPr>
          <w:rFonts w:ascii="Calibri"/>
          <w:i/>
          <w:sz w:val="20"/>
        </w:rPr>
      </w:pPr>
    </w:p>
    <w:p w14:paraId="26471C7B" w14:textId="77777777" w:rsidR="00F65BCA" w:rsidRDefault="00F65BCA">
      <w:pPr>
        <w:pStyle w:val="Zkladntext"/>
        <w:rPr>
          <w:rFonts w:ascii="Calibri"/>
          <w:i/>
          <w:sz w:val="20"/>
        </w:rPr>
      </w:pPr>
    </w:p>
    <w:p w14:paraId="111C5BE0" w14:textId="77777777" w:rsidR="00F65BCA" w:rsidRDefault="00F65BCA">
      <w:pPr>
        <w:pStyle w:val="Zkladntext"/>
        <w:rPr>
          <w:rFonts w:ascii="Calibri"/>
          <w:i/>
          <w:sz w:val="20"/>
        </w:rPr>
      </w:pPr>
    </w:p>
    <w:p w14:paraId="07FD54E7" w14:textId="77777777" w:rsidR="00F65BCA" w:rsidRDefault="00F65BCA">
      <w:pPr>
        <w:pStyle w:val="Zkladntext"/>
        <w:rPr>
          <w:rFonts w:ascii="Calibri"/>
          <w:i/>
          <w:sz w:val="20"/>
        </w:rPr>
      </w:pPr>
    </w:p>
    <w:p w14:paraId="1CAEE20F" w14:textId="77777777" w:rsidR="00F65BCA" w:rsidRDefault="00F65BCA">
      <w:pPr>
        <w:pStyle w:val="Zkladntext"/>
        <w:rPr>
          <w:rFonts w:ascii="Calibri"/>
          <w:i/>
          <w:sz w:val="20"/>
        </w:rPr>
      </w:pPr>
    </w:p>
    <w:p w14:paraId="7C231F81" w14:textId="77777777" w:rsidR="00F65BCA" w:rsidRDefault="00F65BCA">
      <w:pPr>
        <w:pStyle w:val="Zkladntext"/>
        <w:rPr>
          <w:rFonts w:ascii="Calibri"/>
          <w:i/>
          <w:sz w:val="20"/>
        </w:rPr>
      </w:pPr>
    </w:p>
    <w:p w14:paraId="6A7C91B2" w14:textId="77777777" w:rsidR="00F65BCA" w:rsidRDefault="00F65BCA">
      <w:pPr>
        <w:pStyle w:val="Zkladntext"/>
        <w:rPr>
          <w:rFonts w:ascii="Calibri"/>
          <w:i/>
          <w:sz w:val="20"/>
        </w:rPr>
      </w:pPr>
    </w:p>
    <w:p w14:paraId="47EE40FD" w14:textId="77777777" w:rsidR="00F65BCA" w:rsidRDefault="00F65BCA">
      <w:pPr>
        <w:pStyle w:val="Zkladntext"/>
        <w:rPr>
          <w:rFonts w:ascii="Calibri"/>
          <w:i/>
          <w:sz w:val="20"/>
        </w:rPr>
      </w:pPr>
    </w:p>
    <w:p w14:paraId="1A401642" w14:textId="77777777" w:rsidR="00F65BCA" w:rsidRDefault="00F65BCA">
      <w:pPr>
        <w:pStyle w:val="Zkladntext"/>
        <w:rPr>
          <w:rFonts w:ascii="Calibri"/>
          <w:i/>
          <w:sz w:val="20"/>
        </w:rPr>
      </w:pPr>
    </w:p>
    <w:p w14:paraId="27A2AE7B" w14:textId="77777777" w:rsidR="00F65BCA" w:rsidRDefault="00F65BCA">
      <w:pPr>
        <w:pStyle w:val="Zkladntext"/>
        <w:rPr>
          <w:rFonts w:ascii="Calibri"/>
          <w:i/>
          <w:sz w:val="20"/>
        </w:rPr>
      </w:pPr>
    </w:p>
    <w:p w14:paraId="270C699F" w14:textId="77777777" w:rsidR="00F65BCA" w:rsidRDefault="00F65BCA">
      <w:pPr>
        <w:pStyle w:val="Zkladntext"/>
        <w:rPr>
          <w:rFonts w:ascii="Calibri"/>
          <w:i/>
          <w:sz w:val="20"/>
        </w:rPr>
      </w:pPr>
    </w:p>
    <w:p w14:paraId="223CB070" w14:textId="77777777" w:rsidR="00F65BCA" w:rsidRDefault="00F65BCA">
      <w:pPr>
        <w:rPr>
          <w:rFonts w:ascii="Calibri"/>
          <w:sz w:val="20"/>
        </w:rPr>
        <w:sectPr w:rsidR="00F65BCA">
          <w:pgSz w:w="11900" w:h="16840"/>
          <w:pgMar w:top="1600" w:right="900" w:bottom="0" w:left="300" w:header="708" w:footer="708" w:gutter="0"/>
          <w:cols w:space="708"/>
        </w:sectPr>
      </w:pPr>
    </w:p>
    <w:p w14:paraId="0D496A98" w14:textId="77777777" w:rsidR="00F65BCA" w:rsidRDefault="00F65BCA">
      <w:pPr>
        <w:pStyle w:val="Zkladntext"/>
        <w:spacing w:before="4"/>
        <w:rPr>
          <w:rFonts w:ascii="Calibri"/>
          <w:i/>
          <w:sz w:val="27"/>
        </w:rPr>
      </w:pPr>
    </w:p>
    <w:p w14:paraId="548AFBA5" w14:textId="77777777" w:rsidR="00F65BCA" w:rsidRDefault="00216117">
      <w:pPr>
        <w:pStyle w:val="Nadpis6"/>
        <w:ind w:left="100"/>
        <w:rPr>
          <w:rFonts w:ascii="Calibri" w:hAnsi="Calibri"/>
        </w:rPr>
      </w:pPr>
      <w:r>
        <w:rPr>
          <w:rFonts w:ascii="Calibri" w:hAnsi="Calibri"/>
        </w:rPr>
        <w:t>Důvěrné / Conﬁdential</w:t>
      </w:r>
    </w:p>
    <w:p w14:paraId="72E4CC25" w14:textId="77777777" w:rsidR="00F65BCA" w:rsidRDefault="00216117">
      <w:pPr>
        <w:spacing w:before="183"/>
        <w:ind w:left="100"/>
        <w:rPr>
          <w:rFonts w:ascii="Calibri"/>
        </w:rPr>
      </w:pPr>
      <w:r>
        <w:br w:type="column"/>
      </w:r>
      <w:r>
        <w:rPr>
          <w:rFonts w:ascii="Calibri"/>
        </w:rPr>
        <w:t>2/2</w:t>
      </w:r>
    </w:p>
    <w:sectPr w:rsidR="00F65BCA">
      <w:type w:val="continuous"/>
      <w:pgSz w:w="11900" w:h="16840"/>
      <w:pgMar w:top="840" w:right="900" w:bottom="280" w:left="300" w:header="708" w:footer="708" w:gutter="0"/>
      <w:cols w:num="2" w:space="708" w:equalWidth="0">
        <w:col w:w="1979" w:space="3406"/>
        <w:col w:w="531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Georgia">
    <w:altName w:val="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B17"/>
    <w:multiLevelType w:val="hybridMultilevel"/>
    <w:tmpl w:val="6352D38A"/>
    <w:lvl w:ilvl="0" w:tplc="014ADA36">
      <w:start w:val="1"/>
      <w:numFmt w:val="upperLetter"/>
      <w:lvlText w:val="%1."/>
      <w:lvlJc w:val="left"/>
      <w:pPr>
        <w:ind w:left="2771" w:hanging="190"/>
        <w:jc w:val="left"/>
      </w:pPr>
      <w:rPr>
        <w:rFonts w:ascii="Arial" w:eastAsia="Arial" w:hAnsi="Arial" w:cs="Arial" w:hint="default"/>
        <w:color w:val="231F20"/>
        <w:w w:val="96"/>
        <w:sz w:val="16"/>
        <w:szCs w:val="16"/>
        <w:lang w:val="cs-CZ" w:eastAsia="cs-CZ" w:bidi="cs-CZ"/>
      </w:rPr>
    </w:lvl>
    <w:lvl w:ilvl="1" w:tplc="C3D0ACA6">
      <w:numFmt w:val="bullet"/>
      <w:lvlText w:val="•"/>
      <w:lvlJc w:val="left"/>
      <w:pPr>
        <w:ind w:left="3664" w:hanging="190"/>
      </w:pPr>
      <w:rPr>
        <w:rFonts w:hint="default"/>
        <w:lang w:val="cs-CZ" w:eastAsia="cs-CZ" w:bidi="cs-CZ"/>
      </w:rPr>
    </w:lvl>
    <w:lvl w:ilvl="2" w:tplc="D756A27C">
      <w:numFmt w:val="bullet"/>
      <w:lvlText w:val="•"/>
      <w:lvlJc w:val="left"/>
      <w:pPr>
        <w:ind w:left="4549" w:hanging="190"/>
      </w:pPr>
      <w:rPr>
        <w:rFonts w:hint="default"/>
        <w:lang w:val="cs-CZ" w:eastAsia="cs-CZ" w:bidi="cs-CZ"/>
      </w:rPr>
    </w:lvl>
    <w:lvl w:ilvl="3" w:tplc="E2C8B3BE">
      <w:numFmt w:val="bullet"/>
      <w:lvlText w:val="•"/>
      <w:lvlJc w:val="left"/>
      <w:pPr>
        <w:ind w:left="5433" w:hanging="190"/>
      </w:pPr>
      <w:rPr>
        <w:rFonts w:hint="default"/>
        <w:lang w:val="cs-CZ" w:eastAsia="cs-CZ" w:bidi="cs-CZ"/>
      </w:rPr>
    </w:lvl>
    <w:lvl w:ilvl="4" w:tplc="2F449ED8">
      <w:numFmt w:val="bullet"/>
      <w:lvlText w:val="•"/>
      <w:lvlJc w:val="left"/>
      <w:pPr>
        <w:ind w:left="6318" w:hanging="190"/>
      </w:pPr>
      <w:rPr>
        <w:rFonts w:hint="default"/>
        <w:lang w:val="cs-CZ" w:eastAsia="cs-CZ" w:bidi="cs-CZ"/>
      </w:rPr>
    </w:lvl>
    <w:lvl w:ilvl="5" w:tplc="46FE06D6">
      <w:numFmt w:val="bullet"/>
      <w:lvlText w:val="•"/>
      <w:lvlJc w:val="left"/>
      <w:pPr>
        <w:ind w:left="7202" w:hanging="190"/>
      </w:pPr>
      <w:rPr>
        <w:rFonts w:hint="default"/>
        <w:lang w:val="cs-CZ" w:eastAsia="cs-CZ" w:bidi="cs-CZ"/>
      </w:rPr>
    </w:lvl>
    <w:lvl w:ilvl="6" w:tplc="8E84E4C6">
      <w:numFmt w:val="bullet"/>
      <w:lvlText w:val="•"/>
      <w:lvlJc w:val="left"/>
      <w:pPr>
        <w:ind w:left="8087" w:hanging="190"/>
      </w:pPr>
      <w:rPr>
        <w:rFonts w:hint="default"/>
        <w:lang w:val="cs-CZ" w:eastAsia="cs-CZ" w:bidi="cs-CZ"/>
      </w:rPr>
    </w:lvl>
    <w:lvl w:ilvl="7" w:tplc="0AB63904">
      <w:numFmt w:val="bullet"/>
      <w:lvlText w:val="•"/>
      <w:lvlJc w:val="left"/>
      <w:pPr>
        <w:ind w:left="8971" w:hanging="190"/>
      </w:pPr>
      <w:rPr>
        <w:rFonts w:hint="default"/>
        <w:lang w:val="cs-CZ" w:eastAsia="cs-CZ" w:bidi="cs-CZ"/>
      </w:rPr>
    </w:lvl>
    <w:lvl w:ilvl="8" w:tplc="BA06210E">
      <w:numFmt w:val="bullet"/>
      <w:lvlText w:val="•"/>
      <w:lvlJc w:val="left"/>
      <w:pPr>
        <w:ind w:left="9856" w:hanging="190"/>
      </w:pPr>
      <w:rPr>
        <w:rFonts w:hint="default"/>
        <w:lang w:val="cs-CZ" w:eastAsia="cs-CZ" w:bidi="cs-CZ"/>
      </w:rPr>
    </w:lvl>
  </w:abstractNum>
  <w:abstractNum w:abstractNumId="1" w15:restartNumberingAfterBreak="0">
    <w:nsid w:val="022A279E"/>
    <w:multiLevelType w:val="hybridMultilevel"/>
    <w:tmpl w:val="312AA31E"/>
    <w:lvl w:ilvl="0" w:tplc="6778071C">
      <w:start w:val="1"/>
      <w:numFmt w:val="lowerLetter"/>
      <w:lvlText w:val="%1"/>
      <w:lvlJc w:val="left"/>
      <w:pPr>
        <w:ind w:left="638" w:hanging="171"/>
        <w:jc w:val="left"/>
      </w:pPr>
      <w:rPr>
        <w:rFonts w:ascii="Arial" w:eastAsia="Arial" w:hAnsi="Arial" w:cs="Arial" w:hint="default"/>
        <w:color w:val="231F20"/>
        <w:w w:val="99"/>
        <w:sz w:val="15"/>
        <w:szCs w:val="15"/>
        <w:lang w:val="cs-CZ" w:eastAsia="cs-CZ" w:bidi="cs-CZ"/>
      </w:rPr>
    </w:lvl>
    <w:lvl w:ilvl="1" w:tplc="2076A6A6">
      <w:numFmt w:val="bullet"/>
      <w:lvlText w:val="•"/>
      <w:lvlJc w:val="left"/>
      <w:pPr>
        <w:ind w:left="1164" w:hanging="171"/>
      </w:pPr>
      <w:rPr>
        <w:rFonts w:hint="default"/>
        <w:lang w:val="cs-CZ" w:eastAsia="cs-CZ" w:bidi="cs-CZ"/>
      </w:rPr>
    </w:lvl>
    <w:lvl w:ilvl="2" w:tplc="D3808FC4">
      <w:numFmt w:val="bullet"/>
      <w:lvlText w:val="•"/>
      <w:lvlJc w:val="left"/>
      <w:pPr>
        <w:ind w:left="1688" w:hanging="171"/>
      </w:pPr>
      <w:rPr>
        <w:rFonts w:hint="default"/>
        <w:lang w:val="cs-CZ" w:eastAsia="cs-CZ" w:bidi="cs-CZ"/>
      </w:rPr>
    </w:lvl>
    <w:lvl w:ilvl="3" w:tplc="FA52C5BE">
      <w:numFmt w:val="bullet"/>
      <w:lvlText w:val="•"/>
      <w:lvlJc w:val="left"/>
      <w:pPr>
        <w:ind w:left="2213" w:hanging="171"/>
      </w:pPr>
      <w:rPr>
        <w:rFonts w:hint="default"/>
        <w:lang w:val="cs-CZ" w:eastAsia="cs-CZ" w:bidi="cs-CZ"/>
      </w:rPr>
    </w:lvl>
    <w:lvl w:ilvl="4" w:tplc="930EF672">
      <w:numFmt w:val="bullet"/>
      <w:lvlText w:val="•"/>
      <w:lvlJc w:val="left"/>
      <w:pPr>
        <w:ind w:left="2737" w:hanging="171"/>
      </w:pPr>
      <w:rPr>
        <w:rFonts w:hint="default"/>
        <w:lang w:val="cs-CZ" w:eastAsia="cs-CZ" w:bidi="cs-CZ"/>
      </w:rPr>
    </w:lvl>
    <w:lvl w:ilvl="5" w:tplc="2E0034AE">
      <w:numFmt w:val="bullet"/>
      <w:lvlText w:val="•"/>
      <w:lvlJc w:val="left"/>
      <w:pPr>
        <w:ind w:left="3262" w:hanging="171"/>
      </w:pPr>
      <w:rPr>
        <w:rFonts w:hint="default"/>
        <w:lang w:val="cs-CZ" w:eastAsia="cs-CZ" w:bidi="cs-CZ"/>
      </w:rPr>
    </w:lvl>
    <w:lvl w:ilvl="6" w:tplc="4478268E">
      <w:numFmt w:val="bullet"/>
      <w:lvlText w:val="•"/>
      <w:lvlJc w:val="left"/>
      <w:pPr>
        <w:ind w:left="3786" w:hanging="171"/>
      </w:pPr>
      <w:rPr>
        <w:rFonts w:hint="default"/>
        <w:lang w:val="cs-CZ" w:eastAsia="cs-CZ" w:bidi="cs-CZ"/>
      </w:rPr>
    </w:lvl>
    <w:lvl w:ilvl="7" w:tplc="5964DB28">
      <w:numFmt w:val="bullet"/>
      <w:lvlText w:val="•"/>
      <w:lvlJc w:val="left"/>
      <w:pPr>
        <w:ind w:left="4311" w:hanging="171"/>
      </w:pPr>
      <w:rPr>
        <w:rFonts w:hint="default"/>
        <w:lang w:val="cs-CZ" w:eastAsia="cs-CZ" w:bidi="cs-CZ"/>
      </w:rPr>
    </w:lvl>
    <w:lvl w:ilvl="8" w:tplc="0D2C97B6">
      <w:numFmt w:val="bullet"/>
      <w:lvlText w:val="•"/>
      <w:lvlJc w:val="left"/>
      <w:pPr>
        <w:ind w:left="4835" w:hanging="171"/>
      </w:pPr>
      <w:rPr>
        <w:rFonts w:hint="default"/>
        <w:lang w:val="cs-CZ" w:eastAsia="cs-CZ" w:bidi="cs-CZ"/>
      </w:rPr>
    </w:lvl>
  </w:abstractNum>
  <w:abstractNum w:abstractNumId="2" w15:restartNumberingAfterBreak="0">
    <w:nsid w:val="04C65D71"/>
    <w:multiLevelType w:val="hybridMultilevel"/>
    <w:tmpl w:val="F162079A"/>
    <w:lvl w:ilvl="0" w:tplc="F29AB6BA">
      <w:start w:val="1"/>
      <w:numFmt w:val="lowerLetter"/>
      <w:lvlText w:val="%1"/>
      <w:lvlJc w:val="left"/>
      <w:pPr>
        <w:ind w:left="638" w:hanging="171"/>
        <w:jc w:val="left"/>
      </w:pPr>
      <w:rPr>
        <w:rFonts w:ascii="Arial" w:eastAsia="Arial" w:hAnsi="Arial" w:cs="Arial" w:hint="default"/>
        <w:color w:val="231F20"/>
        <w:w w:val="99"/>
        <w:sz w:val="15"/>
        <w:szCs w:val="15"/>
        <w:lang w:val="cs-CZ" w:eastAsia="cs-CZ" w:bidi="cs-CZ"/>
      </w:rPr>
    </w:lvl>
    <w:lvl w:ilvl="1" w:tplc="923EF50C">
      <w:start w:val="1"/>
      <w:numFmt w:val="lowerLetter"/>
      <w:lvlText w:val="%2"/>
      <w:lvlJc w:val="left"/>
      <w:pPr>
        <w:ind w:left="880" w:hanging="171"/>
        <w:jc w:val="left"/>
      </w:pPr>
      <w:rPr>
        <w:rFonts w:ascii="Arial" w:eastAsia="Arial" w:hAnsi="Arial" w:cs="Arial" w:hint="default"/>
        <w:color w:val="231F20"/>
        <w:w w:val="99"/>
        <w:sz w:val="15"/>
        <w:szCs w:val="15"/>
        <w:lang w:val="cs-CZ" w:eastAsia="cs-CZ" w:bidi="cs-CZ"/>
      </w:rPr>
    </w:lvl>
    <w:lvl w:ilvl="2" w:tplc="7A06996E">
      <w:numFmt w:val="bullet"/>
      <w:lvlText w:val="•"/>
      <w:lvlJc w:val="left"/>
      <w:pPr>
        <w:ind w:left="777" w:hanging="171"/>
      </w:pPr>
      <w:rPr>
        <w:rFonts w:hint="default"/>
        <w:lang w:val="cs-CZ" w:eastAsia="cs-CZ" w:bidi="cs-CZ"/>
      </w:rPr>
    </w:lvl>
    <w:lvl w:ilvl="3" w:tplc="A22A8C8E">
      <w:numFmt w:val="bullet"/>
      <w:lvlText w:val="•"/>
      <w:lvlJc w:val="left"/>
      <w:pPr>
        <w:ind w:left="675" w:hanging="171"/>
      </w:pPr>
      <w:rPr>
        <w:rFonts w:hint="default"/>
        <w:lang w:val="cs-CZ" w:eastAsia="cs-CZ" w:bidi="cs-CZ"/>
      </w:rPr>
    </w:lvl>
    <w:lvl w:ilvl="4" w:tplc="AA3892D0">
      <w:numFmt w:val="bullet"/>
      <w:lvlText w:val="•"/>
      <w:lvlJc w:val="left"/>
      <w:pPr>
        <w:ind w:left="572" w:hanging="171"/>
      </w:pPr>
      <w:rPr>
        <w:rFonts w:hint="default"/>
        <w:lang w:val="cs-CZ" w:eastAsia="cs-CZ" w:bidi="cs-CZ"/>
      </w:rPr>
    </w:lvl>
    <w:lvl w:ilvl="5" w:tplc="B4EE924A">
      <w:numFmt w:val="bullet"/>
      <w:lvlText w:val="•"/>
      <w:lvlJc w:val="left"/>
      <w:pPr>
        <w:ind w:left="470" w:hanging="171"/>
      </w:pPr>
      <w:rPr>
        <w:rFonts w:hint="default"/>
        <w:lang w:val="cs-CZ" w:eastAsia="cs-CZ" w:bidi="cs-CZ"/>
      </w:rPr>
    </w:lvl>
    <w:lvl w:ilvl="6" w:tplc="BEF2E754">
      <w:numFmt w:val="bullet"/>
      <w:lvlText w:val="•"/>
      <w:lvlJc w:val="left"/>
      <w:pPr>
        <w:ind w:left="368" w:hanging="171"/>
      </w:pPr>
      <w:rPr>
        <w:rFonts w:hint="default"/>
        <w:lang w:val="cs-CZ" w:eastAsia="cs-CZ" w:bidi="cs-CZ"/>
      </w:rPr>
    </w:lvl>
    <w:lvl w:ilvl="7" w:tplc="0B8C75FA">
      <w:numFmt w:val="bullet"/>
      <w:lvlText w:val="•"/>
      <w:lvlJc w:val="left"/>
      <w:pPr>
        <w:ind w:left="265" w:hanging="171"/>
      </w:pPr>
      <w:rPr>
        <w:rFonts w:hint="default"/>
        <w:lang w:val="cs-CZ" w:eastAsia="cs-CZ" w:bidi="cs-CZ"/>
      </w:rPr>
    </w:lvl>
    <w:lvl w:ilvl="8" w:tplc="7E18DCE0">
      <w:numFmt w:val="bullet"/>
      <w:lvlText w:val="•"/>
      <w:lvlJc w:val="left"/>
      <w:pPr>
        <w:ind w:left="163" w:hanging="171"/>
      </w:pPr>
      <w:rPr>
        <w:rFonts w:hint="default"/>
        <w:lang w:val="cs-CZ" w:eastAsia="cs-CZ" w:bidi="cs-CZ"/>
      </w:rPr>
    </w:lvl>
  </w:abstractNum>
  <w:abstractNum w:abstractNumId="3" w15:restartNumberingAfterBreak="0">
    <w:nsid w:val="05AE0F3D"/>
    <w:multiLevelType w:val="hybridMultilevel"/>
    <w:tmpl w:val="B63A748A"/>
    <w:lvl w:ilvl="0" w:tplc="48568322">
      <w:start w:val="309"/>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1C680C9A">
      <w:numFmt w:val="bullet"/>
      <w:lvlText w:val="•"/>
      <w:lvlJc w:val="left"/>
      <w:pPr>
        <w:ind w:left="727" w:hanging="272"/>
      </w:pPr>
      <w:rPr>
        <w:rFonts w:hint="default"/>
        <w:lang w:val="cs-CZ" w:eastAsia="cs-CZ" w:bidi="cs-CZ"/>
      </w:rPr>
    </w:lvl>
    <w:lvl w:ilvl="2" w:tplc="D5A8338A">
      <w:numFmt w:val="bullet"/>
      <w:lvlText w:val="•"/>
      <w:lvlJc w:val="left"/>
      <w:pPr>
        <w:ind w:left="994" w:hanging="272"/>
      </w:pPr>
      <w:rPr>
        <w:rFonts w:hint="default"/>
        <w:lang w:val="cs-CZ" w:eastAsia="cs-CZ" w:bidi="cs-CZ"/>
      </w:rPr>
    </w:lvl>
    <w:lvl w:ilvl="3" w:tplc="A6024B66">
      <w:numFmt w:val="bullet"/>
      <w:lvlText w:val="•"/>
      <w:lvlJc w:val="left"/>
      <w:pPr>
        <w:ind w:left="1261" w:hanging="272"/>
      </w:pPr>
      <w:rPr>
        <w:rFonts w:hint="default"/>
        <w:lang w:val="cs-CZ" w:eastAsia="cs-CZ" w:bidi="cs-CZ"/>
      </w:rPr>
    </w:lvl>
    <w:lvl w:ilvl="4" w:tplc="F34C4C40">
      <w:numFmt w:val="bullet"/>
      <w:lvlText w:val="•"/>
      <w:lvlJc w:val="left"/>
      <w:pPr>
        <w:ind w:left="1528" w:hanging="272"/>
      </w:pPr>
      <w:rPr>
        <w:rFonts w:hint="default"/>
        <w:lang w:val="cs-CZ" w:eastAsia="cs-CZ" w:bidi="cs-CZ"/>
      </w:rPr>
    </w:lvl>
    <w:lvl w:ilvl="5" w:tplc="C736E954">
      <w:numFmt w:val="bullet"/>
      <w:lvlText w:val="•"/>
      <w:lvlJc w:val="left"/>
      <w:pPr>
        <w:ind w:left="1795" w:hanging="272"/>
      </w:pPr>
      <w:rPr>
        <w:rFonts w:hint="default"/>
        <w:lang w:val="cs-CZ" w:eastAsia="cs-CZ" w:bidi="cs-CZ"/>
      </w:rPr>
    </w:lvl>
    <w:lvl w:ilvl="6" w:tplc="F364EC68">
      <w:numFmt w:val="bullet"/>
      <w:lvlText w:val="•"/>
      <w:lvlJc w:val="left"/>
      <w:pPr>
        <w:ind w:left="2062" w:hanging="272"/>
      </w:pPr>
      <w:rPr>
        <w:rFonts w:hint="default"/>
        <w:lang w:val="cs-CZ" w:eastAsia="cs-CZ" w:bidi="cs-CZ"/>
      </w:rPr>
    </w:lvl>
    <w:lvl w:ilvl="7" w:tplc="E93068AE">
      <w:numFmt w:val="bullet"/>
      <w:lvlText w:val="•"/>
      <w:lvlJc w:val="left"/>
      <w:pPr>
        <w:ind w:left="2329" w:hanging="272"/>
      </w:pPr>
      <w:rPr>
        <w:rFonts w:hint="default"/>
        <w:lang w:val="cs-CZ" w:eastAsia="cs-CZ" w:bidi="cs-CZ"/>
      </w:rPr>
    </w:lvl>
    <w:lvl w:ilvl="8" w:tplc="5F769EEC">
      <w:numFmt w:val="bullet"/>
      <w:lvlText w:val="•"/>
      <w:lvlJc w:val="left"/>
      <w:pPr>
        <w:ind w:left="2597" w:hanging="272"/>
      </w:pPr>
      <w:rPr>
        <w:rFonts w:hint="default"/>
        <w:lang w:val="cs-CZ" w:eastAsia="cs-CZ" w:bidi="cs-CZ"/>
      </w:rPr>
    </w:lvl>
  </w:abstractNum>
  <w:abstractNum w:abstractNumId="4" w15:restartNumberingAfterBreak="0">
    <w:nsid w:val="065A6507"/>
    <w:multiLevelType w:val="hybridMultilevel"/>
    <w:tmpl w:val="280CD0EC"/>
    <w:lvl w:ilvl="0" w:tplc="78FC008C">
      <w:start w:val="274"/>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6088DA66">
      <w:start w:val="1"/>
      <w:numFmt w:val="decimal"/>
      <w:lvlText w:val="%2)"/>
      <w:lvlJc w:val="left"/>
      <w:pPr>
        <w:ind w:left="584" w:hanging="129"/>
        <w:jc w:val="left"/>
      </w:pPr>
      <w:rPr>
        <w:rFonts w:ascii="Arial" w:eastAsia="Arial" w:hAnsi="Arial" w:cs="Arial" w:hint="default"/>
        <w:color w:val="231F20"/>
        <w:w w:val="89"/>
        <w:sz w:val="12"/>
        <w:szCs w:val="12"/>
        <w:lang w:val="cs-CZ" w:eastAsia="cs-CZ" w:bidi="cs-CZ"/>
      </w:rPr>
    </w:lvl>
    <w:lvl w:ilvl="2" w:tplc="31DC5154">
      <w:numFmt w:val="bullet"/>
      <w:lvlText w:val="•"/>
      <w:lvlJc w:val="left"/>
      <w:pPr>
        <w:ind w:left="840" w:hanging="129"/>
      </w:pPr>
      <w:rPr>
        <w:rFonts w:hint="default"/>
        <w:lang w:val="cs-CZ" w:eastAsia="cs-CZ" w:bidi="cs-CZ"/>
      </w:rPr>
    </w:lvl>
    <w:lvl w:ilvl="3" w:tplc="9984D6F6">
      <w:numFmt w:val="bullet"/>
      <w:lvlText w:val="•"/>
      <w:lvlJc w:val="left"/>
      <w:pPr>
        <w:ind w:left="1100" w:hanging="129"/>
      </w:pPr>
      <w:rPr>
        <w:rFonts w:hint="default"/>
        <w:lang w:val="cs-CZ" w:eastAsia="cs-CZ" w:bidi="cs-CZ"/>
      </w:rPr>
    </w:lvl>
    <w:lvl w:ilvl="4" w:tplc="4D92475C">
      <w:numFmt w:val="bullet"/>
      <w:lvlText w:val="•"/>
      <w:lvlJc w:val="left"/>
      <w:pPr>
        <w:ind w:left="1360" w:hanging="129"/>
      </w:pPr>
      <w:rPr>
        <w:rFonts w:hint="default"/>
        <w:lang w:val="cs-CZ" w:eastAsia="cs-CZ" w:bidi="cs-CZ"/>
      </w:rPr>
    </w:lvl>
    <w:lvl w:ilvl="5" w:tplc="08AADB5E">
      <w:numFmt w:val="bullet"/>
      <w:lvlText w:val="•"/>
      <w:lvlJc w:val="left"/>
      <w:pPr>
        <w:ind w:left="1620" w:hanging="129"/>
      </w:pPr>
      <w:rPr>
        <w:rFonts w:hint="default"/>
        <w:lang w:val="cs-CZ" w:eastAsia="cs-CZ" w:bidi="cs-CZ"/>
      </w:rPr>
    </w:lvl>
    <w:lvl w:ilvl="6" w:tplc="33A83A92">
      <w:numFmt w:val="bullet"/>
      <w:lvlText w:val="•"/>
      <w:lvlJc w:val="left"/>
      <w:pPr>
        <w:ind w:left="1881" w:hanging="129"/>
      </w:pPr>
      <w:rPr>
        <w:rFonts w:hint="default"/>
        <w:lang w:val="cs-CZ" w:eastAsia="cs-CZ" w:bidi="cs-CZ"/>
      </w:rPr>
    </w:lvl>
    <w:lvl w:ilvl="7" w:tplc="67B042DC">
      <w:numFmt w:val="bullet"/>
      <w:lvlText w:val="•"/>
      <w:lvlJc w:val="left"/>
      <w:pPr>
        <w:ind w:left="2141" w:hanging="129"/>
      </w:pPr>
      <w:rPr>
        <w:rFonts w:hint="default"/>
        <w:lang w:val="cs-CZ" w:eastAsia="cs-CZ" w:bidi="cs-CZ"/>
      </w:rPr>
    </w:lvl>
    <w:lvl w:ilvl="8" w:tplc="70085132">
      <w:numFmt w:val="bullet"/>
      <w:lvlText w:val="•"/>
      <w:lvlJc w:val="left"/>
      <w:pPr>
        <w:ind w:left="2401" w:hanging="129"/>
      </w:pPr>
      <w:rPr>
        <w:rFonts w:hint="default"/>
        <w:lang w:val="cs-CZ" w:eastAsia="cs-CZ" w:bidi="cs-CZ"/>
      </w:rPr>
    </w:lvl>
  </w:abstractNum>
  <w:abstractNum w:abstractNumId="5" w15:restartNumberingAfterBreak="0">
    <w:nsid w:val="066345CF"/>
    <w:multiLevelType w:val="hybridMultilevel"/>
    <w:tmpl w:val="D592F7D8"/>
    <w:lvl w:ilvl="0" w:tplc="D0746904">
      <w:start w:val="1"/>
      <w:numFmt w:val="decimal"/>
      <w:lvlText w:val="%1."/>
      <w:lvlJc w:val="left"/>
      <w:pPr>
        <w:ind w:left="902" w:hanging="360"/>
        <w:jc w:val="left"/>
      </w:pPr>
      <w:rPr>
        <w:rFonts w:ascii="Arial" w:eastAsia="Arial" w:hAnsi="Arial" w:cs="Arial" w:hint="default"/>
        <w:color w:val="231F20"/>
        <w:w w:val="99"/>
        <w:sz w:val="22"/>
        <w:szCs w:val="22"/>
        <w:lang w:val="cs-CZ" w:eastAsia="cs-CZ" w:bidi="cs-CZ"/>
      </w:rPr>
    </w:lvl>
    <w:lvl w:ilvl="1" w:tplc="4DA4F320">
      <w:numFmt w:val="bullet"/>
      <w:lvlText w:val="•"/>
      <w:lvlJc w:val="left"/>
      <w:pPr>
        <w:ind w:left="1754" w:hanging="360"/>
      </w:pPr>
      <w:rPr>
        <w:rFonts w:hint="default"/>
        <w:lang w:val="cs-CZ" w:eastAsia="cs-CZ" w:bidi="cs-CZ"/>
      </w:rPr>
    </w:lvl>
    <w:lvl w:ilvl="2" w:tplc="D870E88E">
      <w:numFmt w:val="bullet"/>
      <w:lvlText w:val="•"/>
      <w:lvlJc w:val="left"/>
      <w:pPr>
        <w:ind w:left="2608" w:hanging="360"/>
      </w:pPr>
      <w:rPr>
        <w:rFonts w:hint="default"/>
        <w:lang w:val="cs-CZ" w:eastAsia="cs-CZ" w:bidi="cs-CZ"/>
      </w:rPr>
    </w:lvl>
    <w:lvl w:ilvl="3" w:tplc="120CAF1A">
      <w:numFmt w:val="bullet"/>
      <w:lvlText w:val="•"/>
      <w:lvlJc w:val="left"/>
      <w:pPr>
        <w:ind w:left="3462" w:hanging="360"/>
      </w:pPr>
      <w:rPr>
        <w:rFonts w:hint="default"/>
        <w:lang w:val="cs-CZ" w:eastAsia="cs-CZ" w:bidi="cs-CZ"/>
      </w:rPr>
    </w:lvl>
    <w:lvl w:ilvl="4" w:tplc="F7DA07BE">
      <w:numFmt w:val="bullet"/>
      <w:lvlText w:val="•"/>
      <w:lvlJc w:val="left"/>
      <w:pPr>
        <w:ind w:left="4316" w:hanging="360"/>
      </w:pPr>
      <w:rPr>
        <w:rFonts w:hint="default"/>
        <w:lang w:val="cs-CZ" w:eastAsia="cs-CZ" w:bidi="cs-CZ"/>
      </w:rPr>
    </w:lvl>
    <w:lvl w:ilvl="5" w:tplc="51A80762">
      <w:numFmt w:val="bullet"/>
      <w:lvlText w:val="•"/>
      <w:lvlJc w:val="left"/>
      <w:pPr>
        <w:ind w:left="5170" w:hanging="360"/>
      </w:pPr>
      <w:rPr>
        <w:rFonts w:hint="default"/>
        <w:lang w:val="cs-CZ" w:eastAsia="cs-CZ" w:bidi="cs-CZ"/>
      </w:rPr>
    </w:lvl>
    <w:lvl w:ilvl="6" w:tplc="911430AA">
      <w:numFmt w:val="bullet"/>
      <w:lvlText w:val="•"/>
      <w:lvlJc w:val="left"/>
      <w:pPr>
        <w:ind w:left="6024" w:hanging="360"/>
      </w:pPr>
      <w:rPr>
        <w:rFonts w:hint="default"/>
        <w:lang w:val="cs-CZ" w:eastAsia="cs-CZ" w:bidi="cs-CZ"/>
      </w:rPr>
    </w:lvl>
    <w:lvl w:ilvl="7" w:tplc="5F4C3A4C">
      <w:numFmt w:val="bullet"/>
      <w:lvlText w:val="•"/>
      <w:lvlJc w:val="left"/>
      <w:pPr>
        <w:ind w:left="6878" w:hanging="360"/>
      </w:pPr>
      <w:rPr>
        <w:rFonts w:hint="default"/>
        <w:lang w:val="cs-CZ" w:eastAsia="cs-CZ" w:bidi="cs-CZ"/>
      </w:rPr>
    </w:lvl>
    <w:lvl w:ilvl="8" w:tplc="01462152">
      <w:numFmt w:val="bullet"/>
      <w:lvlText w:val="•"/>
      <w:lvlJc w:val="left"/>
      <w:pPr>
        <w:ind w:left="7732" w:hanging="360"/>
      </w:pPr>
      <w:rPr>
        <w:rFonts w:hint="default"/>
        <w:lang w:val="cs-CZ" w:eastAsia="cs-CZ" w:bidi="cs-CZ"/>
      </w:rPr>
    </w:lvl>
  </w:abstractNum>
  <w:abstractNum w:abstractNumId="6" w15:restartNumberingAfterBreak="0">
    <w:nsid w:val="07C11AB8"/>
    <w:multiLevelType w:val="hybridMultilevel"/>
    <w:tmpl w:val="9078BAB4"/>
    <w:lvl w:ilvl="0" w:tplc="0C6C0B52">
      <w:start w:val="183"/>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B2DA095C">
      <w:numFmt w:val="bullet"/>
      <w:lvlText w:val="•"/>
      <w:lvlJc w:val="left"/>
      <w:pPr>
        <w:ind w:left="729" w:hanging="272"/>
      </w:pPr>
      <w:rPr>
        <w:rFonts w:hint="default"/>
        <w:lang w:val="cs-CZ" w:eastAsia="cs-CZ" w:bidi="cs-CZ"/>
      </w:rPr>
    </w:lvl>
    <w:lvl w:ilvl="2" w:tplc="78DABE5A">
      <w:numFmt w:val="bullet"/>
      <w:lvlText w:val="•"/>
      <w:lvlJc w:val="left"/>
      <w:pPr>
        <w:ind w:left="998" w:hanging="272"/>
      </w:pPr>
      <w:rPr>
        <w:rFonts w:hint="default"/>
        <w:lang w:val="cs-CZ" w:eastAsia="cs-CZ" w:bidi="cs-CZ"/>
      </w:rPr>
    </w:lvl>
    <w:lvl w:ilvl="3" w:tplc="32FC56C8">
      <w:numFmt w:val="bullet"/>
      <w:lvlText w:val="•"/>
      <w:lvlJc w:val="left"/>
      <w:pPr>
        <w:ind w:left="1268" w:hanging="272"/>
      </w:pPr>
      <w:rPr>
        <w:rFonts w:hint="default"/>
        <w:lang w:val="cs-CZ" w:eastAsia="cs-CZ" w:bidi="cs-CZ"/>
      </w:rPr>
    </w:lvl>
    <w:lvl w:ilvl="4" w:tplc="B17A1C2C">
      <w:numFmt w:val="bullet"/>
      <w:lvlText w:val="•"/>
      <w:lvlJc w:val="left"/>
      <w:pPr>
        <w:ind w:left="1537" w:hanging="272"/>
      </w:pPr>
      <w:rPr>
        <w:rFonts w:hint="default"/>
        <w:lang w:val="cs-CZ" w:eastAsia="cs-CZ" w:bidi="cs-CZ"/>
      </w:rPr>
    </w:lvl>
    <w:lvl w:ilvl="5" w:tplc="2F22A706">
      <w:numFmt w:val="bullet"/>
      <w:lvlText w:val="•"/>
      <w:lvlJc w:val="left"/>
      <w:pPr>
        <w:ind w:left="1806" w:hanging="272"/>
      </w:pPr>
      <w:rPr>
        <w:rFonts w:hint="default"/>
        <w:lang w:val="cs-CZ" w:eastAsia="cs-CZ" w:bidi="cs-CZ"/>
      </w:rPr>
    </w:lvl>
    <w:lvl w:ilvl="6" w:tplc="17080D50">
      <w:numFmt w:val="bullet"/>
      <w:lvlText w:val="•"/>
      <w:lvlJc w:val="left"/>
      <w:pPr>
        <w:ind w:left="2076" w:hanging="272"/>
      </w:pPr>
      <w:rPr>
        <w:rFonts w:hint="default"/>
        <w:lang w:val="cs-CZ" w:eastAsia="cs-CZ" w:bidi="cs-CZ"/>
      </w:rPr>
    </w:lvl>
    <w:lvl w:ilvl="7" w:tplc="FF9ED5FC">
      <w:numFmt w:val="bullet"/>
      <w:lvlText w:val="•"/>
      <w:lvlJc w:val="left"/>
      <w:pPr>
        <w:ind w:left="2345" w:hanging="272"/>
      </w:pPr>
      <w:rPr>
        <w:rFonts w:hint="default"/>
        <w:lang w:val="cs-CZ" w:eastAsia="cs-CZ" w:bidi="cs-CZ"/>
      </w:rPr>
    </w:lvl>
    <w:lvl w:ilvl="8" w:tplc="AEC2D0A8">
      <w:numFmt w:val="bullet"/>
      <w:lvlText w:val="•"/>
      <w:lvlJc w:val="left"/>
      <w:pPr>
        <w:ind w:left="2614" w:hanging="272"/>
      </w:pPr>
      <w:rPr>
        <w:rFonts w:hint="default"/>
        <w:lang w:val="cs-CZ" w:eastAsia="cs-CZ" w:bidi="cs-CZ"/>
      </w:rPr>
    </w:lvl>
  </w:abstractNum>
  <w:abstractNum w:abstractNumId="7" w15:restartNumberingAfterBreak="0">
    <w:nsid w:val="080C61DD"/>
    <w:multiLevelType w:val="hybridMultilevel"/>
    <w:tmpl w:val="5B82DE72"/>
    <w:lvl w:ilvl="0" w:tplc="50A05DDE">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64B01F68">
      <w:numFmt w:val="bullet"/>
      <w:lvlText w:val="•"/>
      <w:lvlJc w:val="left"/>
      <w:pPr>
        <w:ind w:left="1362" w:hanging="171"/>
      </w:pPr>
      <w:rPr>
        <w:rFonts w:hint="default"/>
        <w:lang w:val="cs-CZ" w:eastAsia="cs-CZ" w:bidi="cs-CZ"/>
      </w:rPr>
    </w:lvl>
    <w:lvl w:ilvl="2" w:tplc="348E8762">
      <w:numFmt w:val="bullet"/>
      <w:lvlText w:val="•"/>
      <w:lvlJc w:val="left"/>
      <w:pPr>
        <w:ind w:left="1844" w:hanging="171"/>
      </w:pPr>
      <w:rPr>
        <w:rFonts w:hint="default"/>
        <w:lang w:val="cs-CZ" w:eastAsia="cs-CZ" w:bidi="cs-CZ"/>
      </w:rPr>
    </w:lvl>
    <w:lvl w:ilvl="3" w:tplc="21D65E2C">
      <w:numFmt w:val="bullet"/>
      <w:lvlText w:val="•"/>
      <w:lvlJc w:val="left"/>
      <w:pPr>
        <w:ind w:left="2326" w:hanging="171"/>
      </w:pPr>
      <w:rPr>
        <w:rFonts w:hint="default"/>
        <w:lang w:val="cs-CZ" w:eastAsia="cs-CZ" w:bidi="cs-CZ"/>
      </w:rPr>
    </w:lvl>
    <w:lvl w:ilvl="4" w:tplc="24B0C452">
      <w:numFmt w:val="bullet"/>
      <w:lvlText w:val="•"/>
      <w:lvlJc w:val="left"/>
      <w:pPr>
        <w:ind w:left="2808" w:hanging="171"/>
      </w:pPr>
      <w:rPr>
        <w:rFonts w:hint="default"/>
        <w:lang w:val="cs-CZ" w:eastAsia="cs-CZ" w:bidi="cs-CZ"/>
      </w:rPr>
    </w:lvl>
    <w:lvl w:ilvl="5" w:tplc="389638E4">
      <w:numFmt w:val="bullet"/>
      <w:lvlText w:val="•"/>
      <w:lvlJc w:val="left"/>
      <w:pPr>
        <w:ind w:left="3290" w:hanging="171"/>
      </w:pPr>
      <w:rPr>
        <w:rFonts w:hint="default"/>
        <w:lang w:val="cs-CZ" w:eastAsia="cs-CZ" w:bidi="cs-CZ"/>
      </w:rPr>
    </w:lvl>
    <w:lvl w:ilvl="6" w:tplc="D562896C">
      <w:numFmt w:val="bullet"/>
      <w:lvlText w:val="•"/>
      <w:lvlJc w:val="left"/>
      <w:pPr>
        <w:ind w:left="3772" w:hanging="171"/>
      </w:pPr>
      <w:rPr>
        <w:rFonts w:hint="default"/>
        <w:lang w:val="cs-CZ" w:eastAsia="cs-CZ" w:bidi="cs-CZ"/>
      </w:rPr>
    </w:lvl>
    <w:lvl w:ilvl="7" w:tplc="5D1EDBA0">
      <w:numFmt w:val="bullet"/>
      <w:lvlText w:val="•"/>
      <w:lvlJc w:val="left"/>
      <w:pPr>
        <w:ind w:left="4254" w:hanging="171"/>
      </w:pPr>
      <w:rPr>
        <w:rFonts w:hint="default"/>
        <w:lang w:val="cs-CZ" w:eastAsia="cs-CZ" w:bidi="cs-CZ"/>
      </w:rPr>
    </w:lvl>
    <w:lvl w:ilvl="8" w:tplc="0534E228">
      <w:numFmt w:val="bullet"/>
      <w:lvlText w:val="•"/>
      <w:lvlJc w:val="left"/>
      <w:pPr>
        <w:ind w:left="4736" w:hanging="171"/>
      </w:pPr>
      <w:rPr>
        <w:rFonts w:hint="default"/>
        <w:lang w:val="cs-CZ" w:eastAsia="cs-CZ" w:bidi="cs-CZ"/>
      </w:rPr>
    </w:lvl>
  </w:abstractNum>
  <w:abstractNum w:abstractNumId="8" w15:restartNumberingAfterBreak="0">
    <w:nsid w:val="08112557"/>
    <w:multiLevelType w:val="hybridMultilevel"/>
    <w:tmpl w:val="808284B4"/>
    <w:lvl w:ilvl="0" w:tplc="5414EEE6">
      <w:start w:val="2"/>
      <w:numFmt w:val="lowerLetter"/>
      <w:lvlText w:val="%1"/>
      <w:lvlJc w:val="left"/>
      <w:pPr>
        <w:ind w:left="637" w:hanging="171"/>
        <w:jc w:val="left"/>
      </w:pPr>
      <w:rPr>
        <w:rFonts w:ascii="Arial" w:eastAsia="Arial" w:hAnsi="Arial" w:cs="Arial" w:hint="default"/>
        <w:color w:val="231F20"/>
        <w:w w:val="109"/>
        <w:sz w:val="15"/>
        <w:szCs w:val="15"/>
        <w:lang w:val="cs-CZ" w:eastAsia="cs-CZ" w:bidi="cs-CZ"/>
      </w:rPr>
    </w:lvl>
    <w:lvl w:ilvl="1" w:tplc="75A4974A">
      <w:numFmt w:val="bullet"/>
      <w:lvlText w:val="•"/>
      <w:lvlJc w:val="left"/>
      <w:pPr>
        <w:ind w:left="1164" w:hanging="171"/>
      </w:pPr>
      <w:rPr>
        <w:rFonts w:hint="default"/>
        <w:lang w:val="cs-CZ" w:eastAsia="cs-CZ" w:bidi="cs-CZ"/>
      </w:rPr>
    </w:lvl>
    <w:lvl w:ilvl="2" w:tplc="5B5A02CA">
      <w:numFmt w:val="bullet"/>
      <w:lvlText w:val="•"/>
      <w:lvlJc w:val="left"/>
      <w:pPr>
        <w:ind w:left="1688" w:hanging="171"/>
      </w:pPr>
      <w:rPr>
        <w:rFonts w:hint="default"/>
        <w:lang w:val="cs-CZ" w:eastAsia="cs-CZ" w:bidi="cs-CZ"/>
      </w:rPr>
    </w:lvl>
    <w:lvl w:ilvl="3" w:tplc="77322EE8">
      <w:numFmt w:val="bullet"/>
      <w:lvlText w:val="•"/>
      <w:lvlJc w:val="left"/>
      <w:pPr>
        <w:ind w:left="2212" w:hanging="171"/>
      </w:pPr>
      <w:rPr>
        <w:rFonts w:hint="default"/>
        <w:lang w:val="cs-CZ" w:eastAsia="cs-CZ" w:bidi="cs-CZ"/>
      </w:rPr>
    </w:lvl>
    <w:lvl w:ilvl="4" w:tplc="E6D060D8">
      <w:numFmt w:val="bullet"/>
      <w:lvlText w:val="•"/>
      <w:lvlJc w:val="left"/>
      <w:pPr>
        <w:ind w:left="2737" w:hanging="171"/>
      </w:pPr>
      <w:rPr>
        <w:rFonts w:hint="default"/>
        <w:lang w:val="cs-CZ" w:eastAsia="cs-CZ" w:bidi="cs-CZ"/>
      </w:rPr>
    </w:lvl>
    <w:lvl w:ilvl="5" w:tplc="9F54F1FE">
      <w:numFmt w:val="bullet"/>
      <w:lvlText w:val="•"/>
      <w:lvlJc w:val="left"/>
      <w:pPr>
        <w:ind w:left="3261" w:hanging="171"/>
      </w:pPr>
      <w:rPr>
        <w:rFonts w:hint="default"/>
        <w:lang w:val="cs-CZ" w:eastAsia="cs-CZ" w:bidi="cs-CZ"/>
      </w:rPr>
    </w:lvl>
    <w:lvl w:ilvl="6" w:tplc="22324666">
      <w:numFmt w:val="bullet"/>
      <w:lvlText w:val="•"/>
      <w:lvlJc w:val="left"/>
      <w:pPr>
        <w:ind w:left="3785" w:hanging="171"/>
      </w:pPr>
      <w:rPr>
        <w:rFonts w:hint="default"/>
        <w:lang w:val="cs-CZ" w:eastAsia="cs-CZ" w:bidi="cs-CZ"/>
      </w:rPr>
    </w:lvl>
    <w:lvl w:ilvl="7" w:tplc="1618FFE0">
      <w:numFmt w:val="bullet"/>
      <w:lvlText w:val="•"/>
      <w:lvlJc w:val="left"/>
      <w:pPr>
        <w:ind w:left="4310" w:hanging="171"/>
      </w:pPr>
      <w:rPr>
        <w:rFonts w:hint="default"/>
        <w:lang w:val="cs-CZ" w:eastAsia="cs-CZ" w:bidi="cs-CZ"/>
      </w:rPr>
    </w:lvl>
    <w:lvl w:ilvl="8" w:tplc="C0B0B94E">
      <w:numFmt w:val="bullet"/>
      <w:lvlText w:val="•"/>
      <w:lvlJc w:val="left"/>
      <w:pPr>
        <w:ind w:left="4834" w:hanging="171"/>
      </w:pPr>
      <w:rPr>
        <w:rFonts w:hint="default"/>
        <w:lang w:val="cs-CZ" w:eastAsia="cs-CZ" w:bidi="cs-CZ"/>
      </w:rPr>
    </w:lvl>
  </w:abstractNum>
  <w:abstractNum w:abstractNumId="9" w15:restartNumberingAfterBreak="0">
    <w:nsid w:val="084B58A3"/>
    <w:multiLevelType w:val="hybridMultilevel"/>
    <w:tmpl w:val="6E44C3CA"/>
    <w:lvl w:ilvl="0" w:tplc="9C9482FE">
      <w:start w:val="71"/>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EE56EF04">
      <w:numFmt w:val="bullet"/>
      <w:lvlText w:val="•"/>
      <w:lvlJc w:val="left"/>
      <w:pPr>
        <w:ind w:left="722" w:hanging="272"/>
      </w:pPr>
      <w:rPr>
        <w:rFonts w:hint="default"/>
        <w:lang w:val="cs-CZ" w:eastAsia="cs-CZ" w:bidi="cs-CZ"/>
      </w:rPr>
    </w:lvl>
    <w:lvl w:ilvl="2" w:tplc="1B80585A">
      <w:numFmt w:val="bullet"/>
      <w:lvlText w:val="•"/>
      <w:lvlJc w:val="left"/>
      <w:pPr>
        <w:ind w:left="984" w:hanging="272"/>
      </w:pPr>
      <w:rPr>
        <w:rFonts w:hint="default"/>
        <w:lang w:val="cs-CZ" w:eastAsia="cs-CZ" w:bidi="cs-CZ"/>
      </w:rPr>
    </w:lvl>
    <w:lvl w:ilvl="3" w:tplc="DCE24590">
      <w:numFmt w:val="bullet"/>
      <w:lvlText w:val="•"/>
      <w:lvlJc w:val="left"/>
      <w:pPr>
        <w:ind w:left="1246" w:hanging="272"/>
      </w:pPr>
      <w:rPr>
        <w:rFonts w:hint="default"/>
        <w:lang w:val="cs-CZ" w:eastAsia="cs-CZ" w:bidi="cs-CZ"/>
      </w:rPr>
    </w:lvl>
    <w:lvl w:ilvl="4" w:tplc="1A70C206">
      <w:numFmt w:val="bullet"/>
      <w:lvlText w:val="•"/>
      <w:lvlJc w:val="left"/>
      <w:pPr>
        <w:ind w:left="1509" w:hanging="272"/>
      </w:pPr>
      <w:rPr>
        <w:rFonts w:hint="default"/>
        <w:lang w:val="cs-CZ" w:eastAsia="cs-CZ" w:bidi="cs-CZ"/>
      </w:rPr>
    </w:lvl>
    <w:lvl w:ilvl="5" w:tplc="DDB636E2">
      <w:numFmt w:val="bullet"/>
      <w:lvlText w:val="•"/>
      <w:lvlJc w:val="left"/>
      <w:pPr>
        <w:ind w:left="1771" w:hanging="272"/>
      </w:pPr>
      <w:rPr>
        <w:rFonts w:hint="default"/>
        <w:lang w:val="cs-CZ" w:eastAsia="cs-CZ" w:bidi="cs-CZ"/>
      </w:rPr>
    </w:lvl>
    <w:lvl w:ilvl="6" w:tplc="EE1688BC">
      <w:numFmt w:val="bullet"/>
      <w:lvlText w:val="•"/>
      <w:lvlJc w:val="left"/>
      <w:pPr>
        <w:ind w:left="2033" w:hanging="272"/>
      </w:pPr>
      <w:rPr>
        <w:rFonts w:hint="default"/>
        <w:lang w:val="cs-CZ" w:eastAsia="cs-CZ" w:bidi="cs-CZ"/>
      </w:rPr>
    </w:lvl>
    <w:lvl w:ilvl="7" w:tplc="F8CE82A4">
      <w:numFmt w:val="bullet"/>
      <w:lvlText w:val="•"/>
      <w:lvlJc w:val="left"/>
      <w:pPr>
        <w:ind w:left="2295" w:hanging="272"/>
      </w:pPr>
      <w:rPr>
        <w:rFonts w:hint="default"/>
        <w:lang w:val="cs-CZ" w:eastAsia="cs-CZ" w:bidi="cs-CZ"/>
      </w:rPr>
    </w:lvl>
    <w:lvl w:ilvl="8" w:tplc="3EF4AB96">
      <w:numFmt w:val="bullet"/>
      <w:lvlText w:val="•"/>
      <w:lvlJc w:val="left"/>
      <w:pPr>
        <w:ind w:left="2558" w:hanging="272"/>
      </w:pPr>
      <w:rPr>
        <w:rFonts w:hint="default"/>
        <w:lang w:val="cs-CZ" w:eastAsia="cs-CZ" w:bidi="cs-CZ"/>
      </w:rPr>
    </w:lvl>
  </w:abstractNum>
  <w:abstractNum w:abstractNumId="10" w15:restartNumberingAfterBreak="0">
    <w:nsid w:val="09A35032"/>
    <w:multiLevelType w:val="hybridMultilevel"/>
    <w:tmpl w:val="A9E6745C"/>
    <w:lvl w:ilvl="0" w:tplc="909052FE">
      <w:numFmt w:val="bullet"/>
      <w:lvlText w:val="-"/>
      <w:lvlJc w:val="left"/>
      <w:pPr>
        <w:ind w:left="400" w:hanging="579"/>
      </w:pPr>
      <w:rPr>
        <w:rFonts w:ascii="Times New Roman" w:eastAsia="Times New Roman" w:hAnsi="Times New Roman" w:cs="Times New Roman" w:hint="default"/>
        <w:w w:val="99"/>
        <w:sz w:val="24"/>
        <w:szCs w:val="24"/>
        <w:lang w:val="cs-CZ" w:eastAsia="cs-CZ" w:bidi="cs-CZ"/>
      </w:rPr>
    </w:lvl>
    <w:lvl w:ilvl="1" w:tplc="403467A4">
      <w:numFmt w:val="bullet"/>
      <w:lvlText w:val="•"/>
      <w:lvlJc w:val="left"/>
      <w:pPr>
        <w:ind w:left="1374" w:hanging="579"/>
      </w:pPr>
      <w:rPr>
        <w:rFonts w:hint="default"/>
        <w:lang w:val="cs-CZ" w:eastAsia="cs-CZ" w:bidi="cs-CZ"/>
      </w:rPr>
    </w:lvl>
    <w:lvl w:ilvl="2" w:tplc="7D907494">
      <w:numFmt w:val="bullet"/>
      <w:lvlText w:val="•"/>
      <w:lvlJc w:val="left"/>
      <w:pPr>
        <w:ind w:left="2348" w:hanging="579"/>
      </w:pPr>
      <w:rPr>
        <w:rFonts w:hint="default"/>
        <w:lang w:val="cs-CZ" w:eastAsia="cs-CZ" w:bidi="cs-CZ"/>
      </w:rPr>
    </w:lvl>
    <w:lvl w:ilvl="3" w:tplc="C80AE54E">
      <w:numFmt w:val="bullet"/>
      <w:lvlText w:val="•"/>
      <w:lvlJc w:val="left"/>
      <w:pPr>
        <w:ind w:left="3322" w:hanging="579"/>
      </w:pPr>
      <w:rPr>
        <w:rFonts w:hint="default"/>
        <w:lang w:val="cs-CZ" w:eastAsia="cs-CZ" w:bidi="cs-CZ"/>
      </w:rPr>
    </w:lvl>
    <w:lvl w:ilvl="4" w:tplc="898E7A3A">
      <w:numFmt w:val="bullet"/>
      <w:lvlText w:val="•"/>
      <w:lvlJc w:val="left"/>
      <w:pPr>
        <w:ind w:left="4296" w:hanging="579"/>
      </w:pPr>
      <w:rPr>
        <w:rFonts w:hint="default"/>
        <w:lang w:val="cs-CZ" w:eastAsia="cs-CZ" w:bidi="cs-CZ"/>
      </w:rPr>
    </w:lvl>
    <w:lvl w:ilvl="5" w:tplc="72B869FE">
      <w:numFmt w:val="bullet"/>
      <w:lvlText w:val="•"/>
      <w:lvlJc w:val="left"/>
      <w:pPr>
        <w:ind w:left="5270" w:hanging="579"/>
      </w:pPr>
      <w:rPr>
        <w:rFonts w:hint="default"/>
        <w:lang w:val="cs-CZ" w:eastAsia="cs-CZ" w:bidi="cs-CZ"/>
      </w:rPr>
    </w:lvl>
    <w:lvl w:ilvl="6" w:tplc="AA201736">
      <w:numFmt w:val="bullet"/>
      <w:lvlText w:val="•"/>
      <w:lvlJc w:val="left"/>
      <w:pPr>
        <w:ind w:left="6244" w:hanging="579"/>
      </w:pPr>
      <w:rPr>
        <w:rFonts w:hint="default"/>
        <w:lang w:val="cs-CZ" w:eastAsia="cs-CZ" w:bidi="cs-CZ"/>
      </w:rPr>
    </w:lvl>
    <w:lvl w:ilvl="7" w:tplc="C8969E66">
      <w:numFmt w:val="bullet"/>
      <w:lvlText w:val="•"/>
      <w:lvlJc w:val="left"/>
      <w:pPr>
        <w:ind w:left="7218" w:hanging="579"/>
      </w:pPr>
      <w:rPr>
        <w:rFonts w:hint="default"/>
        <w:lang w:val="cs-CZ" w:eastAsia="cs-CZ" w:bidi="cs-CZ"/>
      </w:rPr>
    </w:lvl>
    <w:lvl w:ilvl="8" w:tplc="4B64880C">
      <w:numFmt w:val="bullet"/>
      <w:lvlText w:val="•"/>
      <w:lvlJc w:val="left"/>
      <w:pPr>
        <w:ind w:left="8192" w:hanging="579"/>
      </w:pPr>
      <w:rPr>
        <w:rFonts w:hint="default"/>
        <w:lang w:val="cs-CZ" w:eastAsia="cs-CZ" w:bidi="cs-CZ"/>
      </w:rPr>
    </w:lvl>
  </w:abstractNum>
  <w:abstractNum w:abstractNumId="11" w15:restartNumberingAfterBreak="0">
    <w:nsid w:val="0A4C49DF"/>
    <w:multiLevelType w:val="hybridMultilevel"/>
    <w:tmpl w:val="5516B53E"/>
    <w:lvl w:ilvl="0" w:tplc="9F1A5504">
      <w:numFmt w:val="bullet"/>
      <w:lvlText w:val="-"/>
      <w:lvlJc w:val="left"/>
      <w:pPr>
        <w:ind w:left="258" w:hanging="720"/>
      </w:pPr>
      <w:rPr>
        <w:rFonts w:ascii="Arial" w:eastAsia="Arial" w:hAnsi="Arial" w:cs="Arial" w:hint="default"/>
        <w:w w:val="99"/>
        <w:sz w:val="24"/>
        <w:szCs w:val="24"/>
        <w:lang w:val="cs-CZ" w:eastAsia="cs-CZ" w:bidi="cs-CZ"/>
      </w:rPr>
    </w:lvl>
    <w:lvl w:ilvl="1" w:tplc="D04C9F24">
      <w:numFmt w:val="bullet"/>
      <w:lvlText w:val="•"/>
      <w:lvlJc w:val="left"/>
      <w:pPr>
        <w:ind w:left="1248" w:hanging="720"/>
      </w:pPr>
      <w:rPr>
        <w:rFonts w:hint="default"/>
        <w:lang w:val="cs-CZ" w:eastAsia="cs-CZ" w:bidi="cs-CZ"/>
      </w:rPr>
    </w:lvl>
    <w:lvl w:ilvl="2" w:tplc="AB10FA06">
      <w:numFmt w:val="bullet"/>
      <w:lvlText w:val="•"/>
      <w:lvlJc w:val="left"/>
      <w:pPr>
        <w:ind w:left="2236" w:hanging="720"/>
      </w:pPr>
      <w:rPr>
        <w:rFonts w:hint="default"/>
        <w:lang w:val="cs-CZ" w:eastAsia="cs-CZ" w:bidi="cs-CZ"/>
      </w:rPr>
    </w:lvl>
    <w:lvl w:ilvl="3" w:tplc="48487E68">
      <w:numFmt w:val="bullet"/>
      <w:lvlText w:val="•"/>
      <w:lvlJc w:val="left"/>
      <w:pPr>
        <w:ind w:left="3224" w:hanging="720"/>
      </w:pPr>
      <w:rPr>
        <w:rFonts w:hint="default"/>
        <w:lang w:val="cs-CZ" w:eastAsia="cs-CZ" w:bidi="cs-CZ"/>
      </w:rPr>
    </w:lvl>
    <w:lvl w:ilvl="4" w:tplc="01D221FA">
      <w:numFmt w:val="bullet"/>
      <w:lvlText w:val="•"/>
      <w:lvlJc w:val="left"/>
      <w:pPr>
        <w:ind w:left="4212" w:hanging="720"/>
      </w:pPr>
      <w:rPr>
        <w:rFonts w:hint="default"/>
        <w:lang w:val="cs-CZ" w:eastAsia="cs-CZ" w:bidi="cs-CZ"/>
      </w:rPr>
    </w:lvl>
    <w:lvl w:ilvl="5" w:tplc="CA0CDA6A">
      <w:numFmt w:val="bullet"/>
      <w:lvlText w:val="•"/>
      <w:lvlJc w:val="left"/>
      <w:pPr>
        <w:ind w:left="5200" w:hanging="720"/>
      </w:pPr>
      <w:rPr>
        <w:rFonts w:hint="default"/>
        <w:lang w:val="cs-CZ" w:eastAsia="cs-CZ" w:bidi="cs-CZ"/>
      </w:rPr>
    </w:lvl>
    <w:lvl w:ilvl="6" w:tplc="D780C6DA">
      <w:numFmt w:val="bullet"/>
      <w:lvlText w:val="•"/>
      <w:lvlJc w:val="left"/>
      <w:pPr>
        <w:ind w:left="6188" w:hanging="720"/>
      </w:pPr>
      <w:rPr>
        <w:rFonts w:hint="default"/>
        <w:lang w:val="cs-CZ" w:eastAsia="cs-CZ" w:bidi="cs-CZ"/>
      </w:rPr>
    </w:lvl>
    <w:lvl w:ilvl="7" w:tplc="0B8EB0E0">
      <w:numFmt w:val="bullet"/>
      <w:lvlText w:val="•"/>
      <w:lvlJc w:val="left"/>
      <w:pPr>
        <w:ind w:left="7176" w:hanging="720"/>
      </w:pPr>
      <w:rPr>
        <w:rFonts w:hint="default"/>
        <w:lang w:val="cs-CZ" w:eastAsia="cs-CZ" w:bidi="cs-CZ"/>
      </w:rPr>
    </w:lvl>
    <w:lvl w:ilvl="8" w:tplc="F7AE5C22">
      <w:numFmt w:val="bullet"/>
      <w:lvlText w:val="•"/>
      <w:lvlJc w:val="left"/>
      <w:pPr>
        <w:ind w:left="8164" w:hanging="720"/>
      </w:pPr>
      <w:rPr>
        <w:rFonts w:hint="default"/>
        <w:lang w:val="cs-CZ" w:eastAsia="cs-CZ" w:bidi="cs-CZ"/>
      </w:rPr>
    </w:lvl>
  </w:abstractNum>
  <w:abstractNum w:abstractNumId="12" w15:restartNumberingAfterBreak="0">
    <w:nsid w:val="0AE936D2"/>
    <w:multiLevelType w:val="hybridMultilevel"/>
    <w:tmpl w:val="A440A836"/>
    <w:lvl w:ilvl="0" w:tplc="BFA00C46">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3984FD9C">
      <w:numFmt w:val="bullet"/>
      <w:lvlText w:val="•"/>
      <w:lvlJc w:val="left"/>
      <w:pPr>
        <w:ind w:left="1362" w:hanging="171"/>
      </w:pPr>
      <w:rPr>
        <w:rFonts w:hint="default"/>
        <w:lang w:val="cs-CZ" w:eastAsia="cs-CZ" w:bidi="cs-CZ"/>
      </w:rPr>
    </w:lvl>
    <w:lvl w:ilvl="2" w:tplc="EDFED8F8">
      <w:numFmt w:val="bullet"/>
      <w:lvlText w:val="•"/>
      <w:lvlJc w:val="left"/>
      <w:pPr>
        <w:ind w:left="1843" w:hanging="171"/>
      </w:pPr>
      <w:rPr>
        <w:rFonts w:hint="default"/>
        <w:lang w:val="cs-CZ" w:eastAsia="cs-CZ" w:bidi="cs-CZ"/>
      </w:rPr>
    </w:lvl>
    <w:lvl w:ilvl="3" w:tplc="3AD8B9F8">
      <w:numFmt w:val="bullet"/>
      <w:lvlText w:val="•"/>
      <w:lvlJc w:val="left"/>
      <w:pPr>
        <w:ind w:left="2325" w:hanging="171"/>
      </w:pPr>
      <w:rPr>
        <w:rFonts w:hint="default"/>
        <w:lang w:val="cs-CZ" w:eastAsia="cs-CZ" w:bidi="cs-CZ"/>
      </w:rPr>
    </w:lvl>
    <w:lvl w:ilvl="4" w:tplc="D154FBE0">
      <w:numFmt w:val="bullet"/>
      <w:lvlText w:val="•"/>
      <w:lvlJc w:val="left"/>
      <w:pPr>
        <w:ind w:left="2807" w:hanging="171"/>
      </w:pPr>
      <w:rPr>
        <w:rFonts w:hint="default"/>
        <w:lang w:val="cs-CZ" w:eastAsia="cs-CZ" w:bidi="cs-CZ"/>
      </w:rPr>
    </w:lvl>
    <w:lvl w:ilvl="5" w:tplc="441085B4">
      <w:numFmt w:val="bullet"/>
      <w:lvlText w:val="•"/>
      <w:lvlJc w:val="left"/>
      <w:pPr>
        <w:ind w:left="3289" w:hanging="171"/>
      </w:pPr>
      <w:rPr>
        <w:rFonts w:hint="default"/>
        <w:lang w:val="cs-CZ" w:eastAsia="cs-CZ" w:bidi="cs-CZ"/>
      </w:rPr>
    </w:lvl>
    <w:lvl w:ilvl="6" w:tplc="DA28E2C0">
      <w:numFmt w:val="bullet"/>
      <w:lvlText w:val="•"/>
      <w:lvlJc w:val="left"/>
      <w:pPr>
        <w:ind w:left="3771" w:hanging="171"/>
      </w:pPr>
      <w:rPr>
        <w:rFonts w:hint="default"/>
        <w:lang w:val="cs-CZ" w:eastAsia="cs-CZ" w:bidi="cs-CZ"/>
      </w:rPr>
    </w:lvl>
    <w:lvl w:ilvl="7" w:tplc="981270E6">
      <w:numFmt w:val="bullet"/>
      <w:lvlText w:val="•"/>
      <w:lvlJc w:val="left"/>
      <w:pPr>
        <w:ind w:left="4253" w:hanging="171"/>
      </w:pPr>
      <w:rPr>
        <w:rFonts w:hint="default"/>
        <w:lang w:val="cs-CZ" w:eastAsia="cs-CZ" w:bidi="cs-CZ"/>
      </w:rPr>
    </w:lvl>
    <w:lvl w:ilvl="8" w:tplc="90E08F34">
      <w:numFmt w:val="bullet"/>
      <w:lvlText w:val="•"/>
      <w:lvlJc w:val="left"/>
      <w:pPr>
        <w:ind w:left="4735" w:hanging="171"/>
      </w:pPr>
      <w:rPr>
        <w:rFonts w:hint="default"/>
        <w:lang w:val="cs-CZ" w:eastAsia="cs-CZ" w:bidi="cs-CZ"/>
      </w:rPr>
    </w:lvl>
  </w:abstractNum>
  <w:abstractNum w:abstractNumId="13" w15:restartNumberingAfterBreak="0">
    <w:nsid w:val="0B2D6EAD"/>
    <w:multiLevelType w:val="hybridMultilevel"/>
    <w:tmpl w:val="848C897A"/>
    <w:lvl w:ilvl="0" w:tplc="7F4058C6">
      <w:start w:val="134"/>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2430B83C">
      <w:numFmt w:val="bullet"/>
      <w:lvlText w:val="•"/>
      <w:lvlJc w:val="left"/>
      <w:pPr>
        <w:ind w:left="707" w:hanging="272"/>
      </w:pPr>
      <w:rPr>
        <w:rFonts w:hint="default"/>
        <w:lang w:val="cs-CZ" w:eastAsia="cs-CZ" w:bidi="cs-CZ"/>
      </w:rPr>
    </w:lvl>
    <w:lvl w:ilvl="2" w:tplc="69DEC570">
      <w:numFmt w:val="bullet"/>
      <w:lvlText w:val="•"/>
      <w:lvlJc w:val="left"/>
      <w:pPr>
        <w:ind w:left="954" w:hanging="272"/>
      </w:pPr>
      <w:rPr>
        <w:rFonts w:hint="default"/>
        <w:lang w:val="cs-CZ" w:eastAsia="cs-CZ" w:bidi="cs-CZ"/>
      </w:rPr>
    </w:lvl>
    <w:lvl w:ilvl="3" w:tplc="F8C2B122">
      <w:numFmt w:val="bullet"/>
      <w:lvlText w:val="•"/>
      <w:lvlJc w:val="left"/>
      <w:pPr>
        <w:ind w:left="1201" w:hanging="272"/>
      </w:pPr>
      <w:rPr>
        <w:rFonts w:hint="default"/>
        <w:lang w:val="cs-CZ" w:eastAsia="cs-CZ" w:bidi="cs-CZ"/>
      </w:rPr>
    </w:lvl>
    <w:lvl w:ilvl="4" w:tplc="E488B6CC">
      <w:numFmt w:val="bullet"/>
      <w:lvlText w:val="•"/>
      <w:lvlJc w:val="left"/>
      <w:pPr>
        <w:ind w:left="1448" w:hanging="272"/>
      </w:pPr>
      <w:rPr>
        <w:rFonts w:hint="default"/>
        <w:lang w:val="cs-CZ" w:eastAsia="cs-CZ" w:bidi="cs-CZ"/>
      </w:rPr>
    </w:lvl>
    <w:lvl w:ilvl="5" w:tplc="42F40C48">
      <w:numFmt w:val="bullet"/>
      <w:lvlText w:val="•"/>
      <w:lvlJc w:val="left"/>
      <w:pPr>
        <w:ind w:left="1695" w:hanging="272"/>
      </w:pPr>
      <w:rPr>
        <w:rFonts w:hint="default"/>
        <w:lang w:val="cs-CZ" w:eastAsia="cs-CZ" w:bidi="cs-CZ"/>
      </w:rPr>
    </w:lvl>
    <w:lvl w:ilvl="6" w:tplc="8C0E9F52">
      <w:numFmt w:val="bullet"/>
      <w:lvlText w:val="•"/>
      <w:lvlJc w:val="left"/>
      <w:pPr>
        <w:ind w:left="1942" w:hanging="272"/>
      </w:pPr>
      <w:rPr>
        <w:rFonts w:hint="default"/>
        <w:lang w:val="cs-CZ" w:eastAsia="cs-CZ" w:bidi="cs-CZ"/>
      </w:rPr>
    </w:lvl>
    <w:lvl w:ilvl="7" w:tplc="981E453C">
      <w:numFmt w:val="bullet"/>
      <w:lvlText w:val="•"/>
      <w:lvlJc w:val="left"/>
      <w:pPr>
        <w:ind w:left="2189" w:hanging="272"/>
      </w:pPr>
      <w:rPr>
        <w:rFonts w:hint="default"/>
        <w:lang w:val="cs-CZ" w:eastAsia="cs-CZ" w:bidi="cs-CZ"/>
      </w:rPr>
    </w:lvl>
    <w:lvl w:ilvl="8" w:tplc="A468BBCC">
      <w:numFmt w:val="bullet"/>
      <w:lvlText w:val="•"/>
      <w:lvlJc w:val="left"/>
      <w:pPr>
        <w:ind w:left="2437" w:hanging="272"/>
      </w:pPr>
      <w:rPr>
        <w:rFonts w:hint="default"/>
        <w:lang w:val="cs-CZ" w:eastAsia="cs-CZ" w:bidi="cs-CZ"/>
      </w:rPr>
    </w:lvl>
  </w:abstractNum>
  <w:abstractNum w:abstractNumId="14" w15:restartNumberingAfterBreak="0">
    <w:nsid w:val="0B3F2A80"/>
    <w:multiLevelType w:val="hybridMultilevel"/>
    <w:tmpl w:val="73D66D8C"/>
    <w:lvl w:ilvl="0" w:tplc="2D28A9B8">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85AA48B2">
      <w:numFmt w:val="bullet"/>
      <w:lvlText w:val="•"/>
      <w:lvlJc w:val="left"/>
      <w:pPr>
        <w:ind w:left="1361" w:hanging="171"/>
      </w:pPr>
      <w:rPr>
        <w:rFonts w:hint="default"/>
        <w:lang w:val="cs-CZ" w:eastAsia="cs-CZ" w:bidi="cs-CZ"/>
      </w:rPr>
    </w:lvl>
    <w:lvl w:ilvl="2" w:tplc="292E1EA2">
      <w:numFmt w:val="bullet"/>
      <w:lvlText w:val="•"/>
      <w:lvlJc w:val="left"/>
      <w:pPr>
        <w:ind w:left="1843" w:hanging="171"/>
      </w:pPr>
      <w:rPr>
        <w:rFonts w:hint="default"/>
        <w:lang w:val="cs-CZ" w:eastAsia="cs-CZ" w:bidi="cs-CZ"/>
      </w:rPr>
    </w:lvl>
    <w:lvl w:ilvl="3" w:tplc="75BADADE">
      <w:numFmt w:val="bullet"/>
      <w:lvlText w:val="•"/>
      <w:lvlJc w:val="left"/>
      <w:pPr>
        <w:ind w:left="2325" w:hanging="171"/>
      </w:pPr>
      <w:rPr>
        <w:rFonts w:hint="default"/>
        <w:lang w:val="cs-CZ" w:eastAsia="cs-CZ" w:bidi="cs-CZ"/>
      </w:rPr>
    </w:lvl>
    <w:lvl w:ilvl="4" w:tplc="F0CA1484">
      <w:numFmt w:val="bullet"/>
      <w:lvlText w:val="•"/>
      <w:lvlJc w:val="left"/>
      <w:pPr>
        <w:ind w:left="2807" w:hanging="171"/>
      </w:pPr>
      <w:rPr>
        <w:rFonts w:hint="default"/>
        <w:lang w:val="cs-CZ" w:eastAsia="cs-CZ" w:bidi="cs-CZ"/>
      </w:rPr>
    </w:lvl>
    <w:lvl w:ilvl="5" w:tplc="76680272">
      <w:numFmt w:val="bullet"/>
      <w:lvlText w:val="•"/>
      <w:lvlJc w:val="left"/>
      <w:pPr>
        <w:ind w:left="3289" w:hanging="171"/>
      </w:pPr>
      <w:rPr>
        <w:rFonts w:hint="default"/>
        <w:lang w:val="cs-CZ" w:eastAsia="cs-CZ" w:bidi="cs-CZ"/>
      </w:rPr>
    </w:lvl>
    <w:lvl w:ilvl="6" w:tplc="16DA02F8">
      <w:numFmt w:val="bullet"/>
      <w:lvlText w:val="•"/>
      <w:lvlJc w:val="left"/>
      <w:pPr>
        <w:ind w:left="3771" w:hanging="171"/>
      </w:pPr>
      <w:rPr>
        <w:rFonts w:hint="default"/>
        <w:lang w:val="cs-CZ" w:eastAsia="cs-CZ" w:bidi="cs-CZ"/>
      </w:rPr>
    </w:lvl>
    <w:lvl w:ilvl="7" w:tplc="201648E2">
      <w:numFmt w:val="bullet"/>
      <w:lvlText w:val="•"/>
      <w:lvlJc w:val="left"/>
      <w:pPr>
        <w:ind w:left="4253" w:hanging="171"/>
      </w:pPr>
      <w:rPr>
        <w:rFonts w:hint="default"/>
        <w:lang w:val="cs-CZ" w:eastAsia="cs-CZ" w:bidi="cs-CZ"/>
      </w:rPr>
    </w:lvl>
    <w:lvl w:ilvl="8" w:tplc="6E3EA8B4">
      <w:numFmt w:val="bullet"/>
      <w:lvlText w:val="•"/>
      <w:lvlJc w:val="left"/>
      <w:pPr>
        <w:ind w:left="4735" w:hanging="171"/>
      </w:pPr>
      <w:rPr>
        <w:rFonts w:hint="default"/>
        <w:lang w:val="cs-CZ" w:eastAsia="cs-CZ" w:bidi="cs-CZ"/>
      </w:rPr>
    </w:lvl>
  </w:abstractNum>
  <w:abstractNum w:abstractNumId="15" w15:restartNumberingAfterBreak="0">
    <w:nsid w:val="0C651F61"/>
    <w:multiLevelType w:val="hybridMultilevel"/>
    <w:tmpl w:val="059A4276"/>
    <w:lvl w:ilvl="0" w:tplc="25408246">
      <w:start w:val="21"/>
      <w:numFmt w:val="decimal"/>
      <w:lvlText w:val="%1."/>
      <w:lvlJc w:val="left"/>
      <w:pPr>
        <w:ind w:left="558" w:hanging="441"/>
        <w:jc w:val="left"/>
      </w:pPr>
      <w:rPr>
        <w:rFonts w:ascii="Arial" w:eastAsia="Arial" w:hAnsi="Arial" w:cs="Arial" w:hint="default"/>
        <w:color w:val="231F20"/>
        <w:w w:val="100"/>
        <w:sz w:val="20"/>
        <w:szCs w:val="20"/>
        <w:lang w:val="cs-CZ" w:eastAsia="cs-CZ" w:bidi="cs-CZ"/>
      </w:rPr>
    </w:lvl>
    <w:lvl w:ilvl="1" w:tplc="4D1C8A46">
      <w:numFmt w:val="bullet"/>
      <w:lvlText w:val="•"/>
      <w:lvlJc w:val="left"/>
      <w:pPr>
        <w:ind w:left="1448" w:hanging="441"/>
      </w:pPr>
      <w:rPr>
        <w:rFonts w:hint="default"/>
        <w:lang w:val="cs-CZ" w:eastAsia="cs-CZ" w:bidi="cs-CZ"/>
      </w:rPr>
    </w:lvl>
    <w:lvl w:ilvl="2" w:tplc="17CC5ABA">
      <w:numFmt w:val="bullet"/>
      <w:lvlText w:val="•"/>
      <w:lvlJc w:val="left"/>
      <w:pPr>
        <w:ind w:left="2336" w:hanging="441"/>
      </w:pPr>
      <w:rPr>
        <w:rFonts w:hint="default"/>
        <w:lang w:val="cs-CZ" w:eastAsia="cs-CZ" w:bidi="cs-CZ"/>
      </w:rPr>
    </w:lvl>
    <w:lvl w:ilvl="3" w:tplc="2564ECD4">
      <w:numFmt w:val="bullet"/>
      <w:lvlText w:val="•"/>
      <w:lvlJc w:val="left"/>
      <w:pPr>
        <w:ind w:left="3224" w:hanging="441"/>
      </w:pPr>
      <w:rPr>
        <w:rFonts w:hint="default"/>
        <w:lang w:val="cs-CZ" w:eastAsia="cs-CZ" w:bidi="cs-CZ"/>
      </w:rPr>
    </w:lvl>
    <w:lvl w:ilvl="4" w:tplc="2432F312">
      <w:numFmt w:val="bullet"/>
      <w:lvlText w:val="•"/>
      <w:lvlJc w:val="left"/>
      <w:pPr>
        <w:ind w:left="4112" w:hanging="441"/>
      </w:pPr>
      <w:rPr>
        <w:rFonts w:hint="default"/>
        <w:lang w:val="cs-CZ" w:eastAsia="cs-CZ" w:bidi="cs-CZ"/>
      </w:rPr>
    </w:lvl>
    <w:lvl w:ilvl="5" w:tplc="A6D2458A">
      <w:numFmt w:val="bullet"/>
      <w:lvlText w:val="•"/>
      <w:lvlJc w:val="left"/>
      <w:pPr>
        <w:ind w:left="5000" w:hanging="441"/>
      </w:pPr>
      <w:rPr>
        <w:rFonts w:hint="default"/>
        <w:lang w:val="cs-CZ" w:eastAsia="cs-CZ" w:bidi="cs-CZ"/>
      </w:rPr>
    </w:lvl>
    <w:lvl w:ilvl="6" w:tplc="0B028BB6">
      <w:numFmt w:val="bullet"/>
      <w:lvlText w:val="•"/>
      <w:lvlJc w:val="left"/>
      <w:pPr>
        <w:ind w:left="5888" w:hanging="441"/>
      </w:pPr>
      <w:rPr>
        <w:rFonts w:hint="default"/>
        <w:lang w:val="cs-CZ" w:eastAsia="cs-CZ" w:bidi="cs-CZ"/>
      </w:rPr>
    </w:lvl>
    <w:lvl w:ilvl="7" w:tplc="54B623F0">
      <w:numFmt w:val="bullet"/>
      <w:lvlText w:val="•"/>
      <w:lvlJc w:val="left"/>
      <w:pPr>
        <w:ind w:left="6776" w:hanging="441"/>
      </w:pPr>
      <w:rPr>
        <w:rFonts w:hint="default"/>
        <w:lang w:val="cs-CZ" w:eastAsia="cs-CZ" w:bidi="cs-CZ"/>
      </w:rPr>
    </w:lvl>
    <w:lvl w:ilvl="8" w:tplc="0396FA14">
      <w:numFmt w:val="bullet"/>
      <w:lvlText w:val="•"/>
      <w:lvlJc w:val="left"/>
      <w:pPr>
        <w:ind w:left="7664" w:hanging="441"/>
      </w:pPr>
      <w:rPr>
        <w:rFonts w:hint="default"/>
        <w:lang w:val="cs-CZ" w:eastAsia="cs-CZ" w:bidi="cs-CZ"/>
      </w:rPr>
    </w:lvl>
  </w:abstractNum>
  <w:abstractNum w:abstractNumId="16" w15:restartNumberingAfterBreak="0">
    <w:nsid w:val="0C9154A0"/>
    <w:multiLevelType w:val="hybridMultilevel"/>
    <w:tmpl w:val="6A329B18"/>
    <w:lvl w:ilvl="0" w:tplc="951E2176">
      <w:start w:val="2"/>
      <w:numFmt w:val="lowerLetter"/>
      <w:lvlText w:val="%1"/>
      <w:lvlJc w:val="left"/>
      <w:pPr>
        <w:ind w:left="880" w:hanging="171"/>
        <w:jc w:val="left"/>
      </w:pPr>
      <w:rPr>
        <w:rFonts w:ascii="Arial" w:eastAsia="Arial" w:hAnsi="Arial" w:cs="Arial" w:hint="default"/>
        <w:color w:val="231F20"/>
        <w:w w:val="109"/>
        <w:sz w:val="15"/>
        <w:szCs w:val="15"/>
        <w:lang w:val="cs-CZ" w:eastAsia="cs-CZ" w:bidi="cs-CZ"/>
      </w:rPr>
    </w:lvl>
    <w:lvl w:ilvl="1" w:tplc="FC304A8E">
      <w:start w:val="1"/>
      <w:numFmt w:val="lowerRoman"/>
      <w:lvlText w:val="%2"/>
      <w:lvlJc w:val="left"/>
      <w:pPr>
        <w:ind w:left="1050" w:hanging="171"/>
        <w:jc w:val="left"/>
      </w:pPr>
      <w:rPr>
        <w:rFonts w:ascii="Arial" w:eastAsia="Arial" w:hAnsi="Arial" w:cs="Arial" w:hint="default"/>
        <w:color w:val="231F20"/>
        <w:w w:val="108"/>
        <w:sz w:val="15"/>
        <w:szCs w:val="15"/>
        <w:lang w:val="cs-CZ" w:eastAsia="cs-CZ" w:bidi="cs-CZ"/>
      </w:rPr>
    </w:lvl>
    <w:lvl w:ilvl="2" w:tplc="79C62E86">
      <w:numFmt w:val="bullet"/>
      <w:lvlText w:val="–"/>
      <w:lvlJc w:val="left"/>
      <w:pPr>
        <w:ind w:left="1163" w:hanging="114"/>
      </w:pPr>
      <w:rPr>
        <w:rFonts w:ascii="Arial" w:eastAsia="Arial" w:hAnsi="Arial" w:cs="Arial" w:hint="default"/>
        <w:color w:val="231F20"/>
        <w:w w:val="89"/>
        <w:sz w:val="15"/>
        <w:szCs w:val="15"/>
        <w:lang w:val="cs-CZ" w:eastAsia="cs-CZ" w:bidi="cs-CZ"/>
      </w:rPr>
    </w:lvl>
    <w:lvl w:ilvl="3" w:tplc="17825D44">
      <w:numFmt w:val="bullet"/>
      <w:lvlText w:val="•"/>
      <w:lvlJc w:val="left"/>
      <w:pPr>
        <w:ind w:left="1727" w:hanging="114"/>
      </w:pPr>
      <w:rPr>
        <w:rFonts w:hint="default"/>
        <w:lang w:val="cs-CZ" w:eastAsia="cs-CZ" w:bidi="cs-CZ"/>
      </w:rPr>
    </w:lvl>
    <w:lvl w:ilvl="4" w:tplc="4C52581A">
      <w:numFmt w:val="bullet"/>
      <w:lvlText w:val="•"/>
      <w:lvlJc w:val="left"/>
      <w:pPr>
        <w:ind w:left="2295" w:hanging="114"/>
      </w:pPr>
      <w:rPr>
        <w:rFonts w:hint="default"/>
        <w:lang w:val="cs-CZ" w:eastAsia="cs-CZ" w:bidi="cs-CZ"/>
      </w:rPr>
    </w:lvl>
    <w:lvl w:ilvl="5" w:tplc="4386FAF8">
      <w:numFmt w:val="bullet"/>
      <w:lvlText w:val="•"/>
      <w:lvlJc w:val="left"/>
      <w:pPr>
        <w:ind w:left="2862" w:hanging="114"/>
      </w:pPr>
      <w:rPr>
        <w:rFonts w:hint="default"/>
        <w:lang w:val="cs-CZ" w:eastAsia="cs-CZ" w:bidi="cs-CZ"/>
      </w:rPr>
    </w:lvl>
    <w:lvl w:ilvl="6" w:tplc="939084A4">
      <w:numFmt w:val="bullet"/>
      <w:lvlText w:val="•"/>
      <w:lvlJc w:val="left"/>
      <w:pPr>
        <w:ind w:left="3430" w:hanging="114"/>
      </w:pPr>
      <w:rPr>
        <w:rFonts w:hint="default"/>
        <w:lang w:val="cs-CZ" w:eastAsia="cs-CZ" w:bidi="cs-CZ"/>
      </w:rPr>
    </w:lvl>
    <w:lvl w:ilvl="7" w:tplc="29F27DA4">
      <w:numFmt w:val="bullet"/>
      <w:lvlText w:val="•"/>
      <w:lvlJc w:val="left"/>
      <w:pPr>
        <w:ind w:left="3998" w:hanging="114"/>
      </w:pPr>
      <w:rPr>
        <w:rFonts w:hint="default"/>
        <w:lang w:val="cs-CZ" w:eastAsia="cs-CZ" w:bidi="cs-CZ"/>
      </w:rPr>
    </w:lvl>
    <w:lvl w:ilvl="8" w:tplc="7C00938E">
      <w:numFmt w:val="bullet"/>
      <w:lvlText w:val="•"/>
      <w:lvlJc w:val="left"/>
      <w:pPr>
        <w:ind w:left="4565" w:hanging="114"/>
      </w:pPr>
      <w:rPr>
        <w:rFonts w:hint="default"/>
        <w:lang w:val="cs-CZ" w:eastAsia="cs-CZ" w:bidi="cs-CZ"/>
      </w:rPr>
    </w:lvl>
  </w:abstractNum>
  <w:abstractNum w:abstractNumId="17" w15:restartNumberingAfterBreak="0">
    <w:nsid w:val="0DCC7435"/>
    <w:multiLevelType w:val="multilevel"/>
    <w:tmpl w:val="D61CA608"/>
    <w:lvl w:ilvl="0">
      <w:start w:val="3"/>
      <w:numFmt w:val="decimal"/>
      <w:lvlText w:val="%1"/>
      <w:lvlJc w:val="left"/>
      <w:pPr>
        <w:ind w:left="1050" w:hanging="397"/>
        <w:jc w:val="left"/>
      </w:pPr>
      <w:rPr>
        <w:rFonts w:hint="default"/>
        <w:lang w:val="cs-CZ" w:eastAsia="cs-CZ" w:bidi="cs-CZ"/>
      </w:rPr>
    </w:lvl>
    <w:lvl w:ilvl="1">
      <w:start w:val="1"/>
      <w:numFmt w:val="decimal"/>
      <w:lvlText w:val="%1.%2."/>
      <w:lvlJc w:val="left"/>
      <w:pPr>
        <w:ind w:left="1050" w:hanging="397"/>
        <w:jc w:val="left"/>
      </w:pPr>
      <w:rPr>
        <w:rFonts w:ascii="Arial" w:eastAsia="Arial" w:hAnsi="Arial" w:cs="Arial" w:hint="default"/>
        <w:b/>
        <w:bCs/>
        <w:color w:val="231F20"/>
        <w:spacing w:val="-4"/>
        <w:w w:val="96"/>
        <w:sz w:val="18"/>
        <w:szCs w:val="18"/>
        <w:lang w:val="cs-CZ" w:eastAsia="cs-CZ" w:bidi="cs-CZ"/>
      </w:rPr>
    </w:lvl>
    <w:lvl w:ilvl="2">
      <w:numFmt w:val="bullet"/>
      <w:lvlText w:val="•"/>
      <w:lvlJc w:val="left"/>
      <w:pPr>
        <w:ind w:left="3173" w:hanging="397"/>
      </w:pPr>
      <w:rPr>
        <w:rFonts w:hint="default"/>
        <w:lang w:val="cs-CZ" w:eastAsia="cs-CZ" w:bidi="cs-CZ"/>
      </w:rPr>
    </w:lvl>
    <w:lvl w:ilvl="3">
      <w:numFmt w:val="bullet"/>
      <w:lvlText w:val="•"/>
      <w:lvlJc w:val="left"/>
      <w:pPr>
        <w:ind w:left="4229" w:hanging="397"/>
      </w:pPr>
      <w:rPr>
        <w:rFonts w:hint="default"/>
        <w:lang w:val="cs-CZ" w:eastAsia="cs-CZ" w:bidi="cs-CZ"/>
      </w:rPr>
    </w:lvl>
    <w:lvl w:ilvl="4">
      <w:numFmt w:val="bullet"/>
      <w:lvlText w:val="•"/>
      <w:lvlJc w:val="left"/>
      <w:pPr>
        <w:ind w:left="5286" w:hanging="397"/>
      </w:pPr>
      <w:rPr>
        <w:rFonts w:hint="default"/>
        <w:lang w:val="cs-CZ" w:eastAsia="cs-CZ" w:bidi="cs-CZ"/>
      </w:rPr>
    </w:lvl>
    <w:lvl w:ilvl="5">
      <w:numFmt w:val="bullet"/>
      <w:lvlText w:val="•"/>
      <w:lvlJc w:val="left"/>
      <w:pPr>
        <w:ind w:left="6342" w:hanging="397"/>
      </w:pPr>
      <w:rPr>
        <w:rFonts w:hint="default"/>
        <w:lang w:val="cs-CZ" w:eastAsia="cs-CZ" w:bidi="cs-CZ"/>
      </w:rPr>
    </w:lvl>
    <w:lvl w:ilvl="6">
      <w:numFmt w:val="bullet"/>
      <w:lvlText w:val="•"/>
      <w:lvlJc w:val="left"/>
      <w:pPr>
        <w:ind w:left="7399" w:hanging="397"/>
      </w:pPr>
      <w:rPr>
        <w:rFonts w:hint="default"/>
        <w:lang w:val="cs-CZ" w:eastAsia="cs-CZ" w:bidi="cs-CZ"/>
      </w:rPr>
    </w:lvl>
    <w:lvl w:ilvl="7">
      <w:numFmt w:val="bullet"/>
      <w:lvlText w:val="•"/>
      <w:lvlJc w:val="left"/>
      <w:pPr>
        <w:ind w:left="8455" w:hanging="397"/>
      </w:pPr>
      <w:rPr>
        <w:rFonts w:hint="default"/>
        <w:lang w:val="cs-CZ" w:eastAsia="cs-CZ" w:bidi="cs-CZ"/>
      </w:rPr>
    </w:lvl>
    <w:lvl w:ilvl="8">
      <w:numFmt w:val="bullet"/>
      <w:lvlText w:val="•"/>
      <w:lvlJc w:val="left"/>
      <w:pPr>
        <w:ind w:left="9512" w:hanging="397"/>
      </w:pPr>
      <w:rPr>
        <w:rFonts w:hint="default"/>
        <w:lang w:val="cs-CZ" w:eastAsia="cs-CZ" w:bidi="cs-CZ"/>
      </w:rPr>
    </w:lvl>
  </w:abstractNum>
  <w:abstractNum w:abstractNumId="18" w15:restartNumberingAfterBreak="0">
    <w:nsid w:val="0DF40D65"/>
    <w:multiLevelType w:val="hybridMultilevel"/>
    <w:tmpl w:val="20FA667C"/>
    <w:lvl w:ilvl="0" w:tplc="42D65738">
      <w:start w:val="1"/>
      <w:numFmt w:val="upperRoman"/>
      <w:lvlText w:val="%1."/>
      <w:lvlJc w:val="left"/>
      <w:pPr>
        <w:ind w:left="966" w:hanging="512"/>
        <w:jc w:val="right"/>
      </w:pPr>
      <w:rPr>
        <w:rFonts w:ascii="Times New Roman" w:eastAsia="Times New Roman" w:hAnsi="Times New Roman" w:cs="Times New Roman" w:hint="default"/>
        <w:b/>
        <w:bCs/>
        <w:w w:val="99"/>
        <w:sz w:val="24"/>
        <w:szCs w:val="24"/>
        <w:lang w:val="cs-CZ" w:eastAsia="cs-CZ" w:bidi="cs-CZ"/>
      </w:rPr>
    </w:lvl>
    <w:lvl w:ilvl="1" w:tplc="81923398">
      <w:start w:val="1"/>
      <w:numFmt w:val="lowerLetter"/>
      <w:lvlText w:val="%2."/>
      <w:lvlJc w:val="left"/>
      <w:pPr>
        <w:ind w:left="978" w:hanging="720"/>
        <w:jc w:val="left"/>
      </w:pPr>
      <w:rPr>
        <w:rFonts w:ascii="Times New Roman" w:eastAsia="Times New Roman" w:hAnsi="Times New Roman" w:cs="Times New Roman" w:hint="default"/>
        <w:spacing w:val="-1"/>
        <w:w w:val="99"/>
        <w:sz w:val="24"/>
        <w:szCs w:val="24"/>
        <w:lang w:val="cs-CZ" w:eastAsia="cs-CZ" w:bidi="cs-CZ"/>
      </w:rPr>
    </w:lvl>
    <w:lvl w:ilvl="2" w:tplc="CE1EF7D6">
      <w:numFmt w:val="bullet"/>
      <w:lvlText w:val="•"/>
      <w:lvlJc w:val="left"/>
      <w:pPr>
        <w:ind w:left="1000" w:hanging="720"/>
      </w:pPr>
      <w:rPr>
        <w:rFonts w:hint="default"/>
        <w:lang w:val="cs-CZ" w:eastAsia="cs-CZ" w:bidi="cs-CZ"/>
      </w:rPr>
    </w:lvl>
    <w:lvl w:ilvl="3" w:tplc="52749A56">
      <w:numFmt w:val="bullet"/>
      <w:lvlText w:val="•"/>
      <w:lvlJc w:val="left"/>
      <w:pPr>
        <w:ind w:left="2142" w:hanging="720"/>
      </w:pPr>
      <w:rPr>
        <w:rFonts w:hint="default"/>
        <w:lang w:val="cs-CZ" w:eastAsia="cs-CZ" w:bidi="cs-CZ"/>
      </w:rPr>
    </w:lvl>
    <w:lvl w:ilvl="4" w:tplc="4B4C278E">
      <w:numFmt w:val="bullet"/>
      <w:lvlText w:val="•"/>
      <w:lvlJc w:val="left"/>
      <w:pPr>
        <w:ind w:left="3285" w:hanging="720"/>
      </w:pPr>
      <w:rPr>
        <w:rFonts w:hint="default"/>
        <w:lang w:val="cs-CZ" w:eastAsia="cs-CZ" w:bidi="cs-CZ"/>
      </w:rPr>
    </w:lvl>
    <w:lvl w:ilvl="5" w:tplc="F2D4545E">
      <w:numFmt w:val="bullet"/>
      <w:lvlText w:val="•"/>
      <w:lvlJc w:val="left"/>
      <w:pPr>
        <w:ind w:left="4427" w:hanging="720"/>
      </w:pPr>
      <w:rPr>
        <w:rFonts w:hint="default"/>
        <w:lang w:val="cs-CZ" w:eastAsia="cs-CZ" w:bidi="cs-CZ"/>
      </w:rPr>
    </w:lvl>
    <w:lvl w:ilvl="6" w:tplc="3330FEF6">
      <w:numFmt w:val="bullet"/>
      <w:lvlText w:val="•"/>
      <w:lvlJc w:val="left"/>
      <w:pPr>
        <w:ind w:left="5570" w:hanging="720"/>
      </w:pPr>
      <w:rPr>
        <w:rFonts w:hint="default"/>
        <w:lang w:val="cs-CZ" w:eastAsia="cs-CZ" w:bidi="cs-CZ"/>
      </w:rPr>
    </w:lvl>
    <w:lvl w:ilvl="7" w:tplc="DED8BCA0">
      <w:numFmt w:val="bullet"/>
      <w:lvlText w:val="•"/>
      <w:lvlJc w:val="left"/>
      <w:pPr>
        <w:ind w:left="6712" w:hanging="720"/>
      </w:pPr>
      <w:rPr>
        <w:rFonts w:hint="default"/>
        <w:lang w:val="cs-CZ" w:eastAsia="cs-CZ" w:bidi="cs-CZ"/>
      </w:rPr>
    </w:lvl>
    <w:lvl w:ilvl="8" w:tplc="B568FACA">
      <w:numFmt w:val="bullet"/>
      <w:lvlText w:val="•"/>
      <w:lvlJc w:val="left"/>
      <w:pPr>
        <w:ind w:left="7855" w:hanging="720"/>
      </w:pPr>
      <w:rPr>
        <w:rFonts w:hint="default"/>
        <w:lang w:val="cs-CZ" w:eastAsia="cs-CZ" w:bidi="cs-CZ"/>
      </w:rPr>
    </w:lvl>
  </w:abstractNum>
  <w:abstractNum w:abstractNumId="19" w15:restartNumberingAfterBreak="0">
    <w:nsid w:val="0FE50342"/>
    <w:multiLevelType w:val="hybridMultilevel"/>
    <w:tmpl w:val="30DE0D7C"/>
    <w:lvl w:ilvl="0" w:tplc="A0681F0A">
      <w:start w:val="1"/>
      <w:numFmt w:val="lowerLetter"/>
      <w:lvlText w:val="%1"/>
      <w:lvlJc w:val="left"/>
      <w:pPr>
        <w:ind w:left="639" w:hanging="171"/>
        <w:jc w:val="left"/>
      </w:pPr>
      <w:rPr>
        <w:rFonts w:ascii="Arial" w:eastAsia="Arial" w:hAnsi="Arial" w:cs="Arial" w:hint="default"/>
        <w:color w:val="231F20"/>
        <w:w w:val="99"/>
        <w:sz w:val="15"/>
        <w:szCs w:val="15"/>
        <w:lang w:val="cs-CZ" w:eastAsia="cs-CZ" w:bidi="cs-CZ"/>
      </w:rPr>
    </w:lvl>
    <w:lvl w:ilvl="1" w:tplc="2B84E256">
      <w:numFmt w:val="bullet"/>
      <w:lvlText w:val="•"/>
      <w:lvlJc w:val="left"/>
      <w:pPr>
        <w:ind w:left="1164" w:hanging="171"/>
      </w:pPr>
      <w:rPr>
        <w:rFonts w:hint="default"/>
        <w:lang w:val="cs-CZ" w:eastAsia="cs-CZ" w:bidi="cs-CZ"/>
      </w:rPr>
    </w:lvl>
    <w:lvl w:ilvl="2" w:tplc="7CF8ABE0">
      <w:numFmt w:val="bullet"/>
      <w:lvlText w:val="•"/>
      <w:lvlJc w:val="left"/>
      <w:pPr>
        <w:ind w:left="1689" w:hanging="171"/>
      </w:pPr>
      <w:rPr>
        <w:rFonts w:hint="default"/>
        <w:lang w:val="cs-CZ" w:eastAsia="cs-CZ" w:bidi="cs-CZ"/>
      </w:rPr>
    </w:lvl>
    <w:lvl w:ilvl="3" w:tplc="3530E268">
      <w:numFmt w:val="bullet"/>
      <w:lvlText w:val="•"/>
      <w:lvlJc w:val="left"/>
      <w:pPr>
        <w:ind w:left="2213" w:hanging="171"/>
      </w:pPr>
      <w:rPr>
        <w:rFonts w:hint="default"/>
        <w:lang w:val="cs-CZ" w:eastAsia="cs-CZ" w:bidi="cs-CZ"/>
      </w:rPr>
    </w:lvl>
    <w:lvl w:ilvl="4" w:tplc="3526596C">
      <w:numFmt w:val="bullet"/>
      <w:lvlText w:val="•"/>
      <w:lvlJc w:val="left"/>
      <w:pPr>
        <w:ind w:left="2738" w:hanging="171"/>
      </w:pPr>
      <w:rPr>
        <w:rFonts w:hint="default"/>
        <w:lang w:val="cs-CZ" w:eastAsia="cs-CZ" w:bidi="cs-CZ"/>
      </w:rPr>
    </w:lvl>
    <w:lvl w:ilvl="5" w:tplc="DCB23ADA">
      <w:numFmt w:val="bullet"/>
      <w:lvlText w:val="•"/>
      <w:lvlJc w:val="left"/>
      <w:pPr>
        <w:ind w:left="3262" w:hanging="171"/>
      </w:pPr>
      <w:rPr>
        <w:rFonts w:hint="default"/>
        <w:lang w:val="cs-CZ" w:eastAsia="cs-CZ" w:bidi="cs-CZ"/>
      </w:rPr>
    </w:lvl>
    <w:lvl w:ilvl="6" w:tplc="36BAE972">
      <w:numFmt w:val="bullet"/>
      <w:lvlText w:val="•"/>
      <w:lvlJc w:val="left"/>
      <w:pPr>
        <w:ind w:left="3787" w:hanging="171"/>
      </w:pPr>
      <w:rPr>
        <w:rFonts w:hint="default"/>
        <w:lang w:val="cs-CZ" w:eastAsia="cs-CZ" w:bidi="cs-CZ"/>
      </w:rPr>
    </w:lvl>
    <w:lvl w:ilvl="7" w:tplc="6A4E9FDA">
      <w:numFmt w:val="bullet"/>
      <w:lvlText w:val="•"/>
      <w:lvlJc w:val="left"/>
      <w:pPr>
        <w:ind w:left="4311" w:hanging="171"/>
      </w:pPr>
      <w:rPr>
        <w:rFonts w:hint="default"/>
        <w:lang w:val="cs-CZ" w:eastAsia="cs-CZ" w:bidi="cs-CZ"/>
      </w:rPr>
    </w:lvl>
    <w:lvl w:ilvl="8" w:tplc="E3A0038C">
      <w:numFmt w:val="bullet"/>
      <w:lvlText w:val="•"/>
      <w:lvlJc w:val="left"/>
      <w:pPr>
        <w:ind w:left="4836" w:hanging="171"/>
      </w:pPr>
      <w:rPr>
        <w:rFonts w:hint="default"/>
        <w:lang w:val="cs-CZ" w:eastAsia="cs-CZ" w:bidi="cs-CZ"/>
      </w:rPr>
    </w:lvl>
  </w:abstractNum>
  <w:abstractNum w:abstractNumId="20" w15:restartNumberingAfterBreak="0">
    <w:nsid w:val="100A052E"/>
    <w:multiLevelType w:val="multilevel"/>
    <w:tmpl w:val="CB90FBC8"/>
    <w:lvl w:ilvl="0">
      <w:start w:val="1"/>
      <w:numFmt w:val="decimal"/>
      <w:lvlText w:val="%1."/>
      <w:lvlJc w:val="left"/>
      <w:pPr>
        <w:ind w:left="685" w:hanging="568"/>
        <w:jc w:val="left"/>
      </w:pPr>
      <w:rPr>
        <w:rFonts w:ascii="Arial" w:eastAsia="Arial" w:hAnsi="Arial" w:cs="Arial" w:hint="default"/>
        <w:b/>
        <w:bCs/>
        <w:color w:val="231F20"/>
        <w:spacing w:val="-1"/>
        <w:w w:val="100"/>
        <w:sz w:val="24"/>
        <w:szCs w:val="24"/>
        <w:lang w:val="cs-CZ" w:eastAsia="cs-CZ" w:bidi="cs-CZ"/>
      </w:rPr>
    </w:lvl>
    <w:lvl w:ilvl="1">
      <w:start w:val="1"/>
      <w:numFmt w:val="decimal"/>
      <w:lvlText w:val="%1.%2."/>
      <w:lvlJc w:val="left"/>
      <w:pPr>
        <w:ind w:left="685" w:hanging="568"/>
        <w:jc w:val="left"/>
      </w:pPr>
      <w:rPr>
        <w:rFonts w:ascii="Arial" w:eastAsia="Arial" w:hAnsi="Arial" w:cs="Arial" w:hint="default"/>
        <w:color w:val="231F20"/>
        <w:w w:val="99"/>
        <w:sz w:val="22"/>
        <w:szCs w:val="22"/>
        <w:lang w:val="cs-CZ" w:eastAsia="cs-CZ" w:bidi="cs-CZ"/>
      </w:rPr>
    </w:lvl>
    <w:lvl w:ilvl="2">
      <w:start w:val="1"/>
      <w:numFmt w:val="lowerLetter"/>
      <w:lvlText w:val="%3)"/>
      <w:lvlJc w:val="left"/>
      <w:pPr>
        <w:ind w:left="1045" w:hanging="360"/>
        <w:jc w:val="left"/>
      </w:pPr>
      <w:rPr>
        <w:rFonts w:ascii="Arial" w:eastAsia="Arial" w:hAnsi="Arial" w:cs="Arial" w:hint="default"/>
        <w:color w:val="231F20"/>
        <w:w w:val="99"/>
        <w:sz w:val="22"/>
        <w:szCs w:val="22"/>
        <w:lang w:val="cs-CZ" w:eastAsia="cs-CZ" w:bidi="cs-CZ"/>
      </w:rPr>
    </w:lvl>
    <w:lvl w:ilvl="3">
      <w:start w:val="1"/>
      <w:numFmt w:val="decimal"/>
      <w:lvlText w:val="%4"/>
      <w:lvlJc w:val="left"/>
      <w:pPr>
        <w:ind w:left="1151" w:hanging="184"/>
        <w:jc w:val="right"/>
      </w:pPr>
      <w:rPr>
        <w:rFonts w:ascii="Arial" w:eastAsia="Arial" w:hAnsi="Arial" w:cs="Arial" w:hint="default"/>
        <w:color w:val="231F20"/>
        <w:w w:val="99"/>
        <w:sz w:val="22"/>
        <w:szCs w:val="22"/>
        <w:lang w:val="cs-CZ" w:eastAsia="cs-CZ" w:bidi="cs-CZ"/>
      </w:rPr>
    </w:lvl>
    <w:lvl w:ilvl="4">
      <w:numFmt w:val="bullet"/>
      <w:lvlText w:val="•"/>
      <w:lvlJc w:val="left"/>
      <w:pPr>
        <w:ind w:left="1160" w:hanging="184"/>
      </w:pPr>
      <w:rPr>
        <w:rFonts w:hint="default"/>
        <w:lang w:val="cs-CZ" w:eastAsia="cs-CZ" w:bidi="cs-CZ"/>
      </w:rPr>
    </w:lvl>
    <w:lvl w:ilvl="5">
      <w:numFmt w:val="bullet"/>
      <w:lvlText w:val="•"/>
      <w:lvlJc w:val="left"/>
      <w:pPr>
        <w:ind w:left="2540" w:hanging="184"/>
      </w:pPr>
      <w:rPr>
        <w:rFonts w:hint="default"/>
        <w:lang w:val="cs-CZ" w:eastAsia="cs-CZ" w:bidi="cs-CZ"/>
      </w:rPr>
    </w:lvl>
    <w:lvl w:ilvl="6">
      <w:numFmt w:val="bullet"/>
      <w:lvlText w:val="•"/>
      <w:lvlJc w:val="left"/>
      <w:pPr>
        <w:ind w:left="3920" w:hanging="184"/>
      </w:pPr>
      <w:rPr>
        <w:rFonts w:hint="default"/>
        <w:lang w:val="cs-CZ" w:eastAsia="cs-CZ" w:bidi="cs-CZ"/>
      </w:rPr>
    </w:lvl>
    <w:lvl w:ilvl="7">
      <w:numFmt w:val="bullet"/>
      <w:lvlText w:val="•"/>
      <w:lvlJc w:val="left"/>
      <w:pPr>
        <w:ind w:left="5300" w:hanging="184"/>
      </w:pPr>
      <w:rPr>
        <w:rFonts w:hint="default"/>
        <w:lang w:val="cs-CZ" w:eastAsia="cs-CZ" w:bidi="cs-CZ"/>
      </w:rPr>
    </w:lvl>
    <w:lvl w:ilvl="8">
      <w:numFmt w:val="bullet"/>
      <w:lvlText w:val="•"/>
      <w:lvlJc w:val="left"/>
      <w:pPr>
        <w:ind w:left="6680" w:hanging="184"/>
      </w:pPr>
      <w:rPr>
        <w:rFonts w:hint="default"/>
        <w:lang w:val="cs-CZ" w:eastAsia="cs-CZ" w:bidi="cs-CZ"/>
      </w:rPr>
    </w:lvl>
  </w:abstractNum>
  <w:abstractNum w:abstractNumId="21" w15:restartNumberingAfterBreak="0">
    <w:nsid w:val="100C5B1B"/>
    <w:multiLevelType w:val="hybridMultilevel"/>
    <w:tmpl w:val="E5F4851E"/>
    <w:lvl w:ilvl="0" w:tplc="404AB85A">
      <w:start w:val="61"/>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D6727F5A">
      <w:numFmt w:val="bullet"/>
      <w:lvlText w:val="•"/>
      <w:lvlJc w:val="left"/>
      <w:pPr>
        <w:ind w:left="713" w:hanging="272"/>
      </w:pPr>
      <w:rPr>
        <w:rFonts w:hint="default"/>
        <w:lang w:val="cs-CZ" w:eastAsia="cs-CZ" w:bidi="cs-CZ"/>
      </w:rPr>
    </w:lvl>
    <w:lvl w:ilvl="2" w:tplc="1ACC4D42">
      <w:numFmt w:val="bullet"/>
      <w:lvlText w:val="•"/>
      <w:lvlJc w:val="left"/>
      <w:pPr>
        <w:ind w:left="966" w:hanging="272"/>
      </w:pPr>
      <w:rPr>
        <w:rFonts w:hint="default"/>
        <w:lang w:val="cs-CZ" w:eastAsia="cs-CZ" w:bidi="cs-CZ"/>
      </w:rPr>
    </w:lvl>
    <w:lvl w:ilvl="3" w:tplc="484CECFA">
      <w:numFmt w:val="bullet"/>
      <w:lvlText w:val="•"/>
      <w:lvlJc w:val="left"/>
      <w:pPr>
        <w:ind w:left="1219" w:hanging="272"/>
      </w:pPr>
      <w:rPr>
        <w:rFonts w:hint="default"/>
        <w:lang w:val="cs-CZ" w:eastAsia="cs-CZ" w:bidi="cs-CZ"/>
      </w:rPr>
    </w:lvl>
    <w:lvl w:ilvl="4" w:tplc="D50A8950">
      <w:numFmt w:val="bullet"/>
      <w:lvlText w:val="•"/>
      <w:lvlJc w:val="left"/>
      <w:pPr>
        <w:ind w:left="1472" w:hanging="272"/>
      </w:pPr>
      <w:rPr>
        <w:rFonts w:hint="default"/>
        <w:lang w:val="cs-CZ" w:eastAsia="cs-CZ" w:bidi="cs-CZ"/>
      </w:rPr>
    </w:lvl>
    <w:lvl w:ilvl="5" w:tplc="43D6E8BC">
      <w:numFmt w:val="bullet"/>
      <w:lvlText w:val="•"/>
      <w:lvlJc w:val="left"/>
      <w:pPr>
        <w:ind w:left="1726" w:hanging="272"/>
      </w:pPr>
      <w:rPr>
        <w:rFonts w:hint="default"/>
        <w:lang w:val="cs-CZ" w:eastAsia="cs-CZ" w:bidi="cs-CZ"/>
      </w:rPr>
    </w:lvl>
    <w:lvl w:ilvl="6" w:tplc="FDA08E5C">
      <w:numFmt w:val="bullet"/>
      <w:lvlText w:val="•"/>
      <w:lvlJc w:val="left"/>
      <w:pPr>
        <w:ind w:left="1979" w:hanging="272"/>
      </w:pPr>
      <w:rPr>
        <w:rFonts w:hint="default"/>
        <w:lang w:val="cs-CZ" w:eastAsia="cs-CZ" w:bidi="cs-CZ"/>
      </w:rPr>
    </w:lvl>
    <w:lvl w:ilvl="7" w:tplc="D4CAE670">
      <w:numFmt w:val="bullet"/>
      <w:lvlText w:val="•"/>
      <w:lvlJc w:val="left"/>
      <w:pPr>
        <w:ind w:left="2232" w:hanging="272"/>
      </w:pPr>
      <w:rPr>
        <w:rFonts w:hint="default"/>
        <w:lang w:val="cs-CZ" w:eastAsia="cs-CZ" w:bidi="cs-CZ"/>
      </w:rPr>
    </w:lvl>
    <w:lvl w:ilvl="8" w:tplc="0E30B038">
      <w:numFmt w:val="bullet"/>
      <w:lvlText w:val="•"/>
      <w:lvlJc w:val="left"/>
      <w:pPr>
        <w:ind w:left="2485" w:hanging="272"/>
      </w:pPr>
      <w:rPr>
        <w:rFonts w:hint="default"/>
        <w:lang w:val="cs-CZ" w:eastAsia="cs-CZ" w:bidi="cs-CZ"/>
      </w:rPr>
    </w:lvl>
  </w:abstractNum>
  <w:abstractNum w:abstractNumId="22" w15:restartNumberingAfterBreak="0">
    <w:nsid w:val="10DC7130"/>
    <w:multiLevelType w:val="hybridMultilevel"/>
    <w:tmpl w:val="3042C558"/>
    <w:lvl w:ilvl="0" w:tplc="5496634A">
      <w:numFmt w:val="bullet"/>
      <w:lvlText w:val="–"/>
      <w:lvlJc w:val="left"/>
      <w:pPr>
        <w:ind w:left="396" w:hanging="171"/>
      </w:pPr>
      <w:rPr>
        <w:rFonts w:ascii="Arial" w:eastAsia="Arial" w:hAnsi="Arial" w:cs="Arial" w:hint="default"/>
        <w:color w:val="231F20"/>
        <w:w w:val="89"/>
        <w:sz w:val="18"/>
        <w:szCs w:val="18"/>
        <w:lang w:val="cs-CZ" w:eastAsia="cs-CZ" w:bidi="cs-CZ"/>
      </w:rPr>
    </w:lvl>
    <w:lvl w:ilvl="1" w:tplc="6C240BC4">
      <w:numFmt w:val="bullet"/>
      <w:lvlText w:val="•"/>
      <w:lvlJc w:val="left"/>
      <w:pPr>
        <w:ind w:left="864" w:hanging="171"/>
      </w:pPr>
      <w:rPr>
        <w:rFonts w:hint="default"/>
        <w:lang w:val="cs-CZ" w:eastAsia="cs-CZ" w:bidi="cs-CZ"/>
      </w:rPr>
    </w:lvl>
    <w:lvl w:ilvl="2" w:tplc="C9267320">
      <w:numFmt w:val="bullet"/>
      <w:lvlText w:val="•"/>
      <w:lvlJc w:val="left"/>
      <w:pPr>
        <w:ind w:left="1329" w:hanging="171"/>
      </w:pPr>
      <w:rPr>
        <w:rFonts w:hint="default"/>
        <w:lang w:val="cs-CZ" w:eastAsia="cs-CZ" w:bidi="cs-CZ"/>
      </w:rPr>
    </w:lvl>
    <w:lvl w:ilvl="3" w:tplc="F5B01D6E">
      <w:numFmt w:val="bullet"/>
      <w:lvlText w:val="•"/>
      <w:lvlJc w:val="left"/>
      <w:pPr>
        <w:ind w:left="1793" w:hanging="171"/>
      </w:pPr>
      <w:rPr>
        <w:rFonts w:hint="default"/>
        <w:lang w:val="cs-CZ" w:eastAsia="cs-CZ" w:bidi="cs-CZ"/>
      </w:rPr>
    </w:lvl>
    <w:lvl w:ilvl="4" w:tplc="7D28EE8C">
      <w:numFmt w:val="bullet"/>
      <w:lvlText w:val="•"/>
      <w:lvlJc w:val="left"/>
      <w:pPr>
        <w:ind w:left="2258" w:hanging="171"/>
      </w:pPr>
      <w:rPr>
        <w:rFonts w:hint="default"/>
        <w:lang w:val="cs-CZ" w:eastAsia="cs-CZ" w:bidi="cs-CZ"/>
      </w:rPr>
    </w:lvl>
    <w:lvl w:ilvl="5" w:tplc="36969198">
      <w:numFmt w:val="bullet"/>
      <w:lvlText w:val="•"/>
      <w:lvlJc w:val="left"/>
      <w:pPr>
        <w:ind w:left="2722" w:hanging="171"/>
      </w:pPr>
      <w:rPr>
        <w:rFonts w:hint="default"/>
        <w:lang w:val="cs-CZ" w:eastAsia="cs-CZ" w:bidi="cs-CZ"/>
      </w:rPr>
    </w:lvl>
    <w:lvl w:ilvl="6" w:tplc="03288386">
      <w:numFmt w:val="bullet"/>
      <w:lvlText w:val="•"/>
      <w:lvlJc w:val="left"/>
      <w:pPr>
        <w:ind w:left="3187" w:hanging="171"/>
      </w:pPr>
      <w:rPr>
        <w:rFonts w:hint="default"/>
        <w:lang w:val="cs-CZ" w:eastAsia="cs-CZ" w:bidi="cs-CZ"/>
      </w:rPr>
    </w:lvl>
    <w:lvl w:ilvl="7" w:tplc="29BA0BDA">
      <w:numFmt w:val="bullet"/>
      <w:lvlText w:val="•"/>
      <w:lvlJc w:val="left"/>
      <w:pPr>
        <w:ind w:left="3651" w:hanging="171"/>
      </w:pPr>
      <w:rPr>
        <w:rFonts w:hint="default"/>
        <w:lang w:val="cs-CZ" w:eastAsia="cs-CZ" w:bidi="cs-CZ"/>
      </w:rPr>
    </w:lvl>
    <w:lvl w:ilvl="8" w:tplc="F00A52AA">
      <w:numFmt w:val="bullet"/>
      <w:lvlText w:val="•"/>
      <w:lvlJc w:val="left"/>
      <w:pPr>
        <w:ind w:left="4116" w:hanging="171"/>
      </w:pPr>
      <w:rPr>
        <w:rFonts w:hint="default"/>
        <w:lang w:val="cs-CZ" w:eastAsia="cs-CZ" w:bidi="cs-CZ"/>
      </w:rPr>
    </w:lvl>
  </w:abstractNum>
  <w:abstractNum w:abstractNumId="23" w15:restartNumberingAfterBreak="0">
    <w:nsid w:val="11046D8A"/>
    <w:multiLevelType w:val="hybridMultilevel"/>
    <w:tmpl w:val="123E3FE6"/>
    <w:lvl w:ilvl="0" w:tplc="B2AACFAA">
      <w:start w:val="16"/>
      <w:numFmt w:val="lowerLetter"/>
      <w:lvlText w:val="%1"/>
      <w:lvlJc w:val="left"/>
      <w:pPr>
        <w:ind w:left="880" w:hanging="171"/>
        <w:jc w:val="left"/>
      </w:pPr>
      <w:rPr>
        <w:rFonts w:ascii="Arial" w:eastAsia="Arial" w:hAnsi="Arial" w:cs="Arial" w:hint="default"/>
        <w:color w:val="231F20"/>
        <w:w w:val="109"/>
        <w:sz w:val="15"/>
        <w:szCs w:val="15"/>
        <w:lang w:val="cs-CZ" w:eastAsia="cs-CZ" w:bidi="cs-CZ"/>
      </w:rPr>
    </w:lvl>
    <w:lvl w:ilvl="1" w:tplc="5C14CF96">
      <w:numFmt w:val="bullet"/>
      <w:lvlText w:val="•"/>
      <w:lvlJc w:val="left"/>
      <w:pPr>
        <w:ind w:left="1362" w:hanging="171"/>
      </w:pPr>
      <w:rPr>
        <w:rFonts w:hint="default"/>
        <w:lang w:val="cs-CZ" w:eastAsia="cs-CZ" w:bidi="cs-CZ"/>
      </w:rPr>
    </w:lvl>
    <w:lvl w:ilvl="2" w:tplc="628AA608">
      <w:numFmt w:val="bullet"/>
      <w:lvlText w:val="•"/>
      <w:lvlJc w:val="left"/>
      <w:pPr>
        <w:ind w:left="1844" w:hanging="171"/>
      </w:pPr>
      <w:rPr>
        <w:rFonts w:hint="default"/>
        <w:lang w:val="cs-CZ" w:eastAsia="cs-CZ" w:bidi="cs-CZ"/>
      </w:rPr>
    </w:lvl>
    <w:lvl w:ilvl="3" w:tplc="2200B55E">
      <w:numFmt w:val="bullet"/>
      <w:lvlText w:val="•"/>
      <w:lvlJc w:val="left"/>
      <w:pPr>
        <w:ind w:left="2327" w:hanging="171"/>
      </w:pPr>
      <w:rPr>
        <w:rFonts w:hint="default"/>
        <w:lang w:val="cs-CZ" w:eastAsia="cs-CZ" w:bidi="cs-CZ"/>
      </w:rPr>
    </w:lvl>
    <w:lvl w:ilvl="4" w:tplc="78283CA8">
      <w:numFmt w:val="bullet"/>
      <w:lvlText w:val="•"/>
      <w:lvlJc w:val="left"/>
      <w:pPr>
        <w:ind w:left="2809" w:hanging="171"/>
      </w:pPr>
      <w:rPr>
        <w:rFonts w:hint="default"/>
        <w:lang w:val="cs-CZ" w:eastAsia="cs-CZ" w:bidi="cs-CZ"/>
      </w:rPr>
    </w:lvl>
    <w:lvl w:ilvl="5" w:tplc="517EC1B6">
      <w:numFmt w:val="bullet"/>
      <w:lvlText w:val="•"/>
      <w:lvlJc w:val="left"/>
      <w:pPr>
        <w:ind w:left="3291" w:hanging="171"/>
      </w:pPr>
      <w:rPr>
        <w:rFonts w:hint="default"/>
        <w:lang w:val="cs-CZ" w:eastAsia="cs-CZ" w:bidi="cs-CZ"/>
      </w:rPr>
    </w:lvl>
    <w:lvl w:ilvl="6" w:tplc="E1785B04">
      <w:numFmt w:val="bullet"/>
      <w:lvlText w:val="•"/>
      <w:lvlJc w:val="left"/>
      <w:pPr>
        <w:ind w:left="3774" w:hanging="171"/>
      </w:pPr>
      <w:rPr>
        <w:rFonts w:hint="default"/>
        <w:lang w:val="cs-CZ" w:eastAsia="cs-CZ" w:bidi="cs-CZ"/>
      </w:rPr>
    </w:lvl>
    <w:lvl w:ilvl="7" w:tplc="087A7938">
      <w:numFmt w:val="bullet"/>
      <w:lvlText w:val="•"/>
      <w:lvlJc w:val="left"/>
      <w:pPr>
        <w:ind w:left="4256" w:hanging="171"/>
      </w:pPr>
      <w:rPr>
        <w:rFonts w:hint="default"/>
        <w:lang w:val="cs-CZ" w:eastAsia="cs-CZ" w:bidi="cs-CZ"/>
      </w:rPr>
    </w:lvl>
    <w:lvl w:ilvl="8" w:tplc="B5BA53DC">
      <w:numFmt w:val="bullet"/>
      <w:lvlText w:val="•"/>
      <w:lvlJc w:val="left"/>
      <w:pPr>
        <w:ind w:left="4738" w:hanging="171"/>
      </w:pPr>
      <w:rPr>
        <w:rFonts w:hint="default"/>
        <w:lang w:val="cs-CZ" w:eastAsia="cs-CZ" w:bidi="cs-CZ"/>
      </w:rPr>
    </w:lvl>
  </w:abstractNum>
  <w:abstractNum w:abstractNumId="24" w15:restartNumberingAfterBreak="0">
    <w:nsid w:val="11051482"/>
    <w:multiLevelType w:val="hybridMultilevel"/>
    <w:tmpl w:val="06D094C4"/>
    <w:lvl w:ilvl="0" w:tplc="B8B0A8E4">
      <w:start w:val="10"/>
      <w:numFmt w:val="lowerLetter"/>
      <w:lvlText w:val="%1"/>
      <w:lvlJc w:val="left"/>
      <w:pPr>
        <w:ind w:left="880" w:hanging="171"/>
        <w:jc w:val="left"/>
      </w:pPr>
      <w:rPr>
        <w:rFonts w:ascii="Arial" w:eastAsia="Arial" w:hAnsi="Arial" w:cs="Arial" w:hint="default"/>
        <w:color w:val="231F20"/>
        <w:w w:val="108"/>
        <w:sz w:val="15"/>
        <w:szCs w:val="15"/>
        <w:lang w:val="cs-CZ" w:eastAsia="cs-CZ" w:bidi="cs-CZ"/>
      </w:rPr>
    </w:lvl>
    <w:lvl w:ilvl="1" w:tplc="BE3ECB5A">
      <w:numFmt w:val="bullet"/>
      <w:lvlText w:val="•"/>
      <w:lvlJc w:val="left"/>
      <w:pPr>
        <w:ind w:left="1362" w:hanging="171"/>
      </w:pPr>
      <w:rPr>
        <w:rFonts w:hint="default"/>
        <w:lang w:val="cs-CZ" w:eastAsia="cs-CZ" w:bidi="cs-CZ"/>
      </w:rPr>
    </w:lvl>
    <w:lvl w:ilvl="2" w:tplc="E0DE46CC">
      <w:numFmt w:val="bullet"/>
      <w:lvlText w:val="•"/>
      <w:lvlJc w:val="left"/>
      <w:pPr>
        <w:ind w:left="1844" w:hanging="171"/>
      </w:pPr>
      <w:rPr>
        <w:rFonts w:hint="default"/>
        <w:lang w:val="cs-CZ" w:eastAsia="cs-CZ" w:bidi="cs-CZ"/>
      </w:rPr>
    </w:lvl>
    <w:lvl w:ilvl="3" w:tplc="6C706166">
      <w:numFmt w:val="bullet"/>
      <w:lvlText w:val="•"/>
      <w:lvlJc w:val="left"/>
      <w:pPr>
        <w:ind w:left="2326" w:hanging="171"/>
      </w:pPr>
      <w:rPr>
        <w:rFonts w:hint="default"/>
        <w:lang w:val="cs-CZ" w:eastAsia="cs-CZ" w:bidi="cs-CZ"/>
      </w:rPr>
    </w:lvl>
    <w:lvl w:ilvl="4" w:tplc="115EC24A">
      <w:numFmt w:val="bullet"/>
      <w:lvlText w:val="•"/>
      <w:lvlJc w:val="left"/>
      <w:pPr>
        <w:ind w:left="2808" w:hanging="171"/>
      </w:pPr>
      <w:rPr>
        <w:rFonts w:hint="default"/>
        <w:lang w:val="cs-CZ" w:eastAsia="cs-CZ" w:bidi="cs-CZ"/>
      </w:rPr>
    </w:lvl>
    <w:lvl w:ilvl="5" w:tplc="0380B8AE">
      <w:numFmt w:val="bullet"/>
      <w:lvlText w:val="•"/>
      <w:lvlJc w:val="left"/>
      <w:pPr>
        <w:ind w:left="3291" w:hanging="171"/>
      </w:pPr>
      <w:rPr>
        <w:rFonts w:hint="default"/>
        <w:lang w:val="cs-CZ" w:eastAsia="cs-CZ" w:bidi="cs-CZ"/>
      </w:rPr>
    </w:lvl>
    <w:lvl w:ilvl="6" w:tplc="A21E02C2">
      <w:numFmt w:val="bullet"/>
      <w:lvlText w:val="•"/>
      <w:lvlJc w:val="left"/>
      <w:pPr>
        <w:ind w:left="3773" w:hanging="171"/>
      </w:pPr>
      <w:rPr>
        <w:rFonts w:hint="default"/>
        <w:lang w:val="cs-CZ" w:eastAsia="cs-CZ" w:bidi="cs-CZ"/>
      </w:rPr>
    </w:lvl>
    <w:lvl w:ilvl="7" w:tplc="1E7E43DC">
      <w:numFmt w:val="bullet"/>
      <w:lvlText w:val="•"/>
      <w:lvlJc w:val="left"/>
      <w:pPr>
        <w:ind w:left="4255" w:hanging="171"/>
      </w:pPr>
      <w:rPr>
        <w:rFonts w:hint="default"/>
        <w:lang w:val="cs-CZ" w:eastAsia="cs-CZ" w:bidi="cs-CZ"/>
      </w:rPr>
    </w:lvl>
    <w:lvl w:ilvl="8" w:tplc="B95C6F2A">
      <w:numFmt w:val="bullet"/>
      <w:lvlText w:val="•"/>
      <w:lvlJc w:val="left"/>
      <w:pPr>
        <w:ind w:left="4737" w:hanging="171"/>
      </w:pPr>
      <w:rPr>
        <w:rFonts w:hint="default"/>
        <w:lang w:val="cs-CZ" w:eastAsia="cs-CZ" w:bidi="cs-CZ"/>
      </w:rPr>
    </w:lvl>
  </w:abstractNum>
  <w:abstractNum w:abstractNumId="25" w15:restartNumberingAfterBreak="0">
    <w:nsid w:val="125F0CC7"/>
    <w:multiLevelType w:val="hybridMultilevel"/>
    <w:tmpl w:val="C99617E8"/>
    <w:lvl w:ilvl="0" w:tplc="820A40EA">
      <w:start w:val="1"/>
      <w:numFmt w:val="lowerLetter"/>
      <w:lvlText w:val="%1"/>
      <w:lvlJc w:val="left"/>
      <w:pPr>
        <w:ind w:left="880" w:hanging="171"/>
        <w:jc w:val="right"/>
      </w:pPr>
      <w:rPr>
        <w:rFonts w:ascii="Arial" w:eastAsia="Arial" w:hAnsi="Arial" w:cs="Arial" w:hint="default"/>
        <w:color w:val="231F20"/>
        <w:w w:val="99"/>
        <w:sz w:val="15"/>
        <w:szCs w:val="15"/>
        <w:lang w:val="cs-CZ" w:eastAsia="cs-CZ" w:bidi="cs-CZ"/>
      </w:rPr>
    </w:lvl>
    <w:lvl w:ilvl="1" w:tplc="AD449148">
      <w:numFmt w:val="bullet"/>
      <w:lvlText w:val="•"/>
      <w:lvlJc w:val="left"/>
      <w:pPr>
        <w:ind w:left="1362" w:hanging="171"/>
      </w:pPr>
      <w:rPr>
        <w:rFonts w:hint="default"/>
        <w:lang w:val="cs-CZ" w:eastAsia="cs-CZ" w:bidi="cs-CZ"/>
      </w:rPr>
    </w:lvl>
    <w:lvl w:ilvl="2" w:tplc="0E9857D4">
      <w:numFmt w:val="bullet"/>
      <w:lvlText w:val="•"/>
      <w:lvlJc w:val="left"/>
      <w:pPr>
        <w:ind w:left="1844" w:hanging="171"/>
      </w:pPr>
      <w:rPr>
        <w:rFonts w:hint="default"/>
        <w:lang w:val="cs-CZ" w:eastAsia="cs-CZ" w:bidi="cs-CZ"/>
      </w:rPr>
    </w:lvl>
    <w:lvl w:ilvl="3" w:tplc="DADA81AA">
      <w:numFmt w:val="bullet"/>
      <w:lvlText w:val="•"/>
      <w:lvlJc w:val="left"/>
      <w:pPr>
        <w:ind w:left="2326" w:hanging="171"/>
      </w:pPr>
      <w:rPr>
        <w:rFonts w:hint="default"/>
        <w:lang w:val="cs-CZ" w:eastAsia="cs-CZ" w:bidi="cs-CZ"/>
      </w:rPr>
    </w:lvl>
    <w:lvl w:ilvl="4" w:tplc="B8D66206">
      <w:numFmt w:val="bullet"/>
      <w:lvlText w:val="•"/>
      <w:lvlJc w:val="left"/>
      <w:pPr>
        <w:ind w:left="2808" w:hanging="171"/>
      </w:pPr>
      <w:rPr>
        <w:rFonts w:hint="default"/>
        <w:lang w:val="cs-CZ" w:eastAsia="cs-CZ" w:bidi="cs-CZ"/>
      </w:rPr>
    </w:lvl>
    <w:lvl w:ilvl="5" w:tplc="02BAD83E">
      <w:numFmt w:val="bullet"/>
      <w:lvlText w:val="•"/>
      <w:lvlJc w:val="left"/>
      <w:pPr>
        <w:ind w:left="3290" w:hanging="171"/>
      </w:pPr>
      <w:rPr>
        <w:rFonts w:hint="default"/>
        <w:lang w:val="cs-CZ" w:eastAsia="cs-CZ" w:bidi="cs-CZ"/>
      </w:rPr>
    </w:lvl>
    <w:lvl w:ilvl="6" w:tplc="832814DE">
      <w:numFmt w:val="bullet"/>
      <w:lvlText w:val="•"/>
      <w:lvlJc w:val="left"/>
      <w:pPr>
        <w:ind w:left="3772" w:hanging="171"/>
      </w:pPr>
      <w:rPr>
        <w:rFonts w:hint="default"/>
        <w:lang w:val="cs-CZ" w:eastAsia="cs-CZ" w:bidi="cs-CZ"/>
      </w:rPr>
    </w:lvl>
    <w:lvl w:ilvl="7" w:tplc="F184EA3A">
      <w:numFmt w:val="bullet"/>
      <w:lvlText w:val="•"/>
      <w:lvlJc w:val="left"/>
      <w:pPr>
        <w:ind w:left="4254" w:hanging="171"/>
      </w:pPr>
      <w:rPr>
        <w:rFonts w:hint="default"/>
        <w:lang w:val="cs-CZ" w:eastAsia="cs-CZ" w:bidi="cs-CZ"/>
      </w:rPr>
    </w:lvl>
    <w:lvl w:ilvl="8" w:tplc="75804F94">
      <w:numFmt w:val="bullet"/>
      <w:lvlText w:val="•"/>
      <w:lvlJc w:val="left"/>
      <w:pPr>
        <w:ind w:left="4736" w:hanging="171"/>
      </w:pPr>
      <w:rPr>
        <w:rFonts w:hint="default"/>
        <w:lang w:val="cs-CZ" w:eastAsia="cs-CZ" w:bidi="cs-CZ"/>
      </w:rPr>
    </w:lvl>
  </w:abstractNum>
  <w:abstractNum w:abstractNumId="26" w15:restartNumberingAfterBreak="0">
    <w:nsid w:val="127E1B94"/>
    <w:multiLevelType w:val="hybridMultilevel"/>
    <w:tmpl w:val="78469970"/>
    <w:lvl w:ilvl="0" w:tplc="018E0274">
      <w:start w:val="100"/>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5A9C8AA0">
      <w:numFmt w:val="bullet"/>
      <w:lvlText w:val="•"/>
      <w:lvlJc w:val="left"/>
      <w:pPr>
        <w:ind w:left="708" w:hanging="272"/>
      </w:pPr>
      <w:rPr>
        <w:rFonts w:hint="default"/>
        <w:lang w:val="cs-CZ" w:eastAsia="cs-CZ" w:bidi="cs-CZ"/>
      </w:rPr>
    </w:lvl>
    <w:lvl w:ilvl="2" w:tplc="9FBC7FB8">
      <w:numFmt w:val="bullet"/>
      <w:lvlText w:val="•"/>
      <w:lvlJc w:val="left"/>
      <w:pPr>
        <w:ind w:left="956" w:hanging="272"/>
      </w:pPr>
      <w:rPr>
        <w:rFonts w:hint="default"/>
        <w:lang w:val="cs-CZ" w:eastAsia="cs-CZ" w:bidi="cs-CZ"/>
      </w:rPr>
    </w:lvl>
    <w:lvl w:ilvl="3" w:tplc="15B075B6">
      <w:numFmt w:val="bullet"/>
      <w:lvlText w:val="•"/>
      <w:lvlJc w:val="left"/>
      <w:pPr>
        <w:ind w:left="1205" w:hanging="272"/>
      </w:pPr>
      <w:rPr>
        <w:rFonts w:hint="default"/>
        <w:lang w:val="cs-CZ" w:eastAsia="cs-CZ" w:bidi="cs-CZ"/>
      </w:rPr>
    </w:lvl>
    <w:lvl w:ilvl="4" w:tplc="33B04962">
      <w:numFmt w:val="bullet"/>
      <w:lvlText w:val="•"/>
      <w:lvlJc w:val="left"/>
      <w:pPr>
        <w:ind w:left="1453" w:hanging="272"/>
      </w:pPr>
      <w:rPr>
        <w:rFonts w:hint="default"/>
        <w:lang w:val="cs-CZ" w:eastAsia="cs-CZ" w:bidi="cs-CZ"/>
      </w:rPr>
    </w:lvl>
    <w:lvl w:ilvl="5" w:tplc="C8BED3A0">
      <w:numFmt w:val="bullet"/>
      <w:lvlText w:val="•"/>
      <w:lvlJc w:val="left"/>
      <w:pPr>
        <w:ind w:left="1701" w:hanging="272"/>
      </w:pPr>
      <w:rPr>
        <w:rFonts w:hint="default"/>
        <w:lang w:val="cs-CZ" w:eastAsia="cs-CZ" w:bidi="cs-CZ"/>
      </w:rPr>
    </w:lvl>
    <w:lvl w:ilvl="6" w:tplc="2470628A">
      <w:numFmt w:val="bullet"/>
      <w:lvlText w:val="•"/>
      <w:lvlJc w:val="left"/>
      <w:pPr>
        <w:ind w:left="1950" w:hanging="272"/>
      </w:pPr>
      <w:rPr>
        <w:rFonts w:hint="default"/>
        <w:lang w:val="cs-CZ" w:eastAsia="cs-CZ" w:bidi="cs-CZ"/>
      </w:rPr>
    </w:lvl>
    <w:lvl w:ilvl="7" w:tplc="A8F8B9FE">
      <w:numFmt w:val="bullet"/>
      <w:lvlText w:val="•"/>
      <w:lvlJc w:val="left"/>
      <w:pPr>
        <w:ind w:left="2198" w:hanging="272"/>
      </w:pPr>
      <w:rPr>
        <w:rFonts w:hint="default"/>
        <w:lang w:val="cs-CZ" w:eastAsia="cs-CZ" w:bidi="cs-CZ"/>
      </w:rPr>
    </w:lvl>
    <w:lvl w:ilvl="8" w:tplc="CE1827B2">
      <w:numFmt w:val="bullet"/>
      <w:lvlText w:val="•"/>
      <w:lvlJc w:val="left"/>
      <w:pPr>
        <w:ind w:left="2446" w:hanging="272"/>
      </w:pPr>
      <w:rPr>
        <w:rFonts w:hint="default"/>
        <w:lang w:val="cs-CZ" w:eastAsia="cs-CZ" w:bidi="cs-CZ"/>
      </w:rPr>
    </w:lvl>
  </w:abstractNum>
  <w:abstractNum w:abstractNumId="27" w15:restartNumberingAfterBreak="0">
    <w:nsid w:val="12E33D94"/>
    <w:multiLevelType w:val="hybridMultilevel"/>
    <w:tmpl w:val="372C0DDE"/>
    <w:lvl w:ilvl="0" w:tplc="8048C1BA">
      <w:start w:val="175"/>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8272ED44">
      <w:numFmt w:val="bullet"/>
      <w:lvlText w:val="•"/>
      <w:lvlJc w:val="left"/>
      <w:pPr>
        <w:ind w:left="711" w:hanging="272"/>
      </w:pPr>
      <w:rPr>
        <w:rFonts w:hint="default"/>
        <w:lang w:val="cs-CZ" w:eastAsia="cs-CZ" w:bidi="cs-CZ"/>
      </w:rPr>
    </w:lvl>
    <w:lvl w:ilvl="2" w:tplc="FDAA1A6A">
      <w:numFmt w:val="bullet"/>
      <w:lvlText w:val="•"/>
      <w:lvlJc w:val="left"/>
      <w:pPr>
        <w:ind w:left="962" w:hanging="272"/>
      </w:pPr>
      <w:rPr>
        <w:rFonts w:hint="default"/>
        <w:lang w:val="cs-CZ" w:eastAsia="cs-CZ" w:bidi="cs-CZ"/>
      </w:rPr>
    </w:lvl>
    <w:lvl w:ilvl="3" w:tplc="973420FE">
      <w:numFmt w:val="bullet"/>
      <w:lvlText w:val="•"/>
      <w:lvlJc w:val="left"/>
      <w:pPr>
        <w:ind w:left="1214" w:hanging="272"/>
      </w:pPr>
      <w:rPr>
        <w:rFonts w:hint="default"/>
        <w:lang w:val="cs-CZ" w:eastAsia="cs-CZ" w:bidi="cs-CZ"/>
      </w:rPr>
    </w:lvl>
    <w:lvl w:ilvl="4" w:tplc="33908BC6">
      <w:numFmt w:val="bullet"/>
      <w:lvlText w:val="•"/>
      <w:lvlJc w:val="left"/>
      <w:pPr>
        <w:ind w:left="1465" w:hanging="272"/>
      </w:pPr>
      <w:rPr>
        <w:rFonts w:hint="default"/>
        <w:lang w:val="cs-CZ" w:eastAsia="cs-CZ" w:bidi="cs-CZ"/>
      </w:rPr>
    </w:lvl>
    <w:lvl w:ilvl="5" w:tplc="D1821322">
      <w:numFmt w:val="bullet"/>
      <w:lvlText w:val="•"/>
      <w:lvlJc w:val="left"/>
      <w:pPr>
        <w:ind w:left="1716" w:hanging="272"/>
      </w:pPr>
      <w:rPr>
        <w:rFonts w:hint="default"/>
        <w:lang w:val="cs-CZ" w:eastAsia="cs-CZ" w:bidi="cs-CZ"/>
      </w:rPr>
    </w:lvl>
    <w:lvl w:ilvl="6" w:tplc="6200006A">
      <w:numFmt w:val="bullet"/>
      <w:lvlText w:val="•"/>
      <w:lvlJc w:val="left"/>
      <w:pPr>
        <w:ind w:left="1968" w:hanging="272"/>
      </w:pPr>
      <w:rPr>
        <w:rFonts w:hint="default"/>
        <w:lang w:val="cs-CZ" w:eastAsia="cs-CZ" w:bidi="cs-CZ"/>
      </w:rPr>
    </w:lvl>
    <w:lvl w:ilvl="7" w:tplc="375AD37A">
      <w:numFmt w:val="bullet"/>
      <w:lvlText w:val="•"/>
      <w:lvlJc w:val="left"/>
      <w:pPr>
        <w:ind w:left="2219" w:hanging="272"/>
      </w:pPr>
      <w:rPr>
        <w:rFonts w:hint="default"/>
        <w:lang w:val="cs-CZ" w:eastAsia="cs-CZ" w:bidi="cs-CZ"/>
      </w:rPr>
    </w:lvl>
    <w:lvl w:ilvl="8" w:tplc="834A2D66">
      <w:numFmt w:val="bullet"/>
      <w:lvlText w:val="•"/>
      <w:lvlJc w:val="left"/>
      <w:pPr>
        <w:ind w:left="2470" w:hanging="272"/>
      </w:pPr>
      <w:rPr>
        <w:rFonts w:hint="default"/>
        <w:lang w:val="cs-CZ" w:eastAsia="cs-CZ" w:bidi="cs-CZ"/>
      </w:rPr>
    </w:lvl>
  </w:abstractNum>
  <w:abstractNum w:abstractNumId="28" w15:restartNumberingAfterBreak="0">
    <w:nsid w:val="1430369C"/>
    <w:multiLevelType w:val="hybridMultilevel"/>
    <w:tmpl w:val="6008B238"/>
    <w:lvl w:ilvl="0" w:tplc="AD38AF0C">
      <w:start w:val="45"/>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E7D69D96">
      <w:numFmt w:val="bullet"/>
      <w:lvlText w:val="•"/>
      <w:lvlJc w:val="left"/>
      <w:pPr>
        <w:ind w:left="712" w:hanging="272"/>
      </w:pPr>
      <w:rPr>
        <w:rFonts w:hint="default"/>
        <w:lang w:val="cs-CZ" w:eastAsia="cs-CZ" w:bidi="cs-CZ"/>
      </w:rPr>
    </w:lvl>
    <w:lvl w:ilvl="2" w:tplc="150A6C5E">
      <w:numFmt w:val="bullet"/>
      <w:lvlText w:val="•"/>
      <w:lvlJc w:val="left"/>
      <w:pPr>
        <w:ind w:left="965" w:hanging="272"/>
      </w:pPr>
      <w:rPr>
        <w:rFonts w:hint="default"/>
        <w:lang w:val="cs-CZ" w:eastAsia="cs-CZ" w:bidi="cs-CZ"/>
      </w:rPr>
    </w:lvl>
    <w:lvl w:ilvl="3" w:tplc="C988E850">
      <w:numFmt w:val="bullet"/>
      <w:lvlText w:val="•"/>
      <w:lvlJc w:val="left"/>
      <w:pPr>
        <w:ind w:left="1218" w:hanging="272"/>
      </w:pPr>
      <w:rPr>
        <w:rFonts w:hint="default"/>
        <w:lang w:val="cs-CZ" w:eastAsia="cs-CZ" w:bidi="cs-CZ"/>
      </w:rPr>
    </w:lvl>
    <w:lvl w:ilvl="4" w:tplc="00B43B18">
      <w:numFmt w:val="bullet"/>
      <w:lvlText w:val="•"/>
      <w:lvlJc w:val="left"/>
      <w:pPr>
        <w:ind w:left="1471" w:hanging="272"/>
      </w:pPr>
      <w:rPr>
        <w:rFonts w:hint="default"/>
        <w:lang w:val="cs-CZ" w:eastAsia="cs-CZ" w:bidi="cs-CZ"/>
      </w:rPr>
    </w:lvl>
    <w:lvl w:ilvl="5" w:tplc="83F27EE4">
      <w:numFmt w:val="bullet"/>
      <w:lvlText w:val="•"/>
      <w:lvlJc w:val="left"/>
      <w:pPr>
        <w:ind w:left="1724" w:hanging="272"/>
      </w:pPr>
      <w:rPr>
        <w:rFonts w:hint="default"/>
        <w:lang w:val="cs-CZ" w:eastAsia="cs-CZ" w:bidi="cs-CZ"/>
      </w:rPr>
    </w:lvl>
    <w:lvl w:ilvl="6" w:tplc="63681798">
      <w:numFmt w:val="bullet"/>
      <w:lvlText w:val="•"/>
      <w:lvlJc w:val="left"/>
      <w:pPr>
        <w:ind w:left="1977" w:hanging="272"/>
      </w:pPr>
      <w:rPr>
        <w:rFonts w:hint="default"/>
        <w:lang w:val="cs-CZ" w:eastAsia="cs-CZ" w:bidi="cs-CZ"/>
      </w:rPr>
    </w:lvl>
    <w:lvl w:ilvl="7" w:tplc="8A5EE2D6">
      <w:numFmt w:val="bullet"/>
      <w:lvlText w:val="•"/>
      <w:lvlJc w:val="left"/>
      <w:pPr>
        <w:ind w:left="2230" w:hanging="272"/>
      </w:pPr>
      <w:rPr>
        <w:rFonts w:hint="default"/>
        <w:lang w:val="cs-CZ" w:eastAsia="cs-CZ" w:bidi="cs-CZ"/>
      </w:rPr>
    </w:lvl>
    <w:lvl w:ilvl="8" w:tplc="A60EDA94">
      <w:numFmt w:val="bullet"/>
      <w:lvlText w:val="•"/>
      <w:lvlJc w:val="left"/>
      <w:pPr>
        <w:ind w:left="2483" w:hanging="272"/>
      </w:pPr>
      <w:rPr>
        <w:rFonts w:hint="default"/>
        <w:lang w:val="cs-CZ" w:eastAsia="cs-CZ" w:bidi="cs-CZ"/>
      </w:rPr>
    </w:lvl>
  </w:abstractNum>
  <w:abstractNum w:abstractNumId="29" w15:restartNumberingAfterBreak="0">
    <w:nsid w:val="153C4F55"/>
    <w:multiLevelType w:val="hybridMultilevel"/>
    <w:tmpl w:val="6570D41A"/>
    <w:lvl w:ilvl="0" w:tplc="970AD3BE">
      <w:start w:val="225"/>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C9BCC93A">
      <w:numFmt w:val="bullet"/>
      <w:lvlText w:val="•"/>
      <w:lvlJc w:val="left"/>
      <w:pPr>
        <w:ind w:left="743" w:hanging="272"/>
      </w:pPr>
      <w:rPr>
        <w:rFonts w:hint="default"/>
        <w:lang w:val="cs-CZ" w:eastAsia="cs-CZ" w:bidi="cs-CZ"/>
      </w:rPr>
    </w:lvl>
    <w:lvl w:ilvl="2" w:tplc="564C32C8">
      <w:numFmt w:val="bullet"/>
      <w:lvlText w:val="•"/>
      <w:lvlJc w:val="left"/>
      <w:pPr>
        <w:ind w:left="1027" w:hanging="272"/>
      </w:pPr>
      <w:rPr>
        <w:rFonts w:hint="default"/>
        <w:lang w:val="cs-CZ" w:eastAsia="cs-CZ" w:bidi="cs-CZ"/>
      </w:rPr>
    </w:lvl>
    <w:lvl w:ilvl="3" w:tplc="8A241934">
      <w:numFmt w:val="bullet"/>
      <w:lvlText w:val="•"/>
      <w:lvlJc w:val="left"/>
      <w:pPr>
        <w:ind w:left="1311" w:hanging="272"/>
      </w:pPr>
      <w:rPr>
        <w:rFonts w:hint="default"/>
        <w:lang w:val="cs-CZ" w:eastAsia="cs-CZ" w:bidi="cs-CZ"/>
      </w:rPr>
    </w:lvl>
    <w:lvl w:ilvl="4" w:tplc="2B305430">
      <w:numFmt w:val="bullet"/>
      <w:lvlText w:val="•"/>
      <w:lvlJc w:val="left"/>
      <w:pPr>
        <w:ind w:left="1594" w:hanging="272"/>
      </w:pPr>
      <w:rPr>
        <w:rFonts w:hint="default"/>
        <w:lang w:val="cs-CZ" w:eastAsia="cs-CZ" w:bidi="cs-CZ"/>
      </w:rPr>
    </w:lvl>
    <w:lvl w:ilvl="5" w:tplc="245E9D00">
      <w:numFmt w:val="bullet"/>
      <w:lvlText w:val="•"/>
      <w:lvlJc w:val="left"/>
      <w:pPr>
        <w:ind w:left="1878" w:hanging="272"/>
      </w:pPr>
      <w:rPr>
        <w:rFonts w:hint="default"/>
        <w:lang w:val="cs-CZ" w:eastAsia="cs-CZ" w:bidi="cs-CZ"/>
      </w:rPr>
    </w:lvl>
    <w:lvl w:ilvl="6" w:tplc="BA527B7A">
      <w:numFmt w:val="bullet"/>
      <w:lvlText w:val="•"/>
      <w:lvlJc w:val="left"/>
      <w:pPr>
        <w:ind w:left="2162" w:hanging="272"/>
      </w:pPr>
      <w:rPr>
        <w:rFonts w:hint="default"/>
        <w:lang w:val="cs-CZ" w:eastAsia="cs-CZ" w:bidi="cs-CZ"/>
      </w:rPr>
    </w:lvl>
    <w:lvl w:ilvl="7" w:tplc="6DD29138">
      <w:numFmt w:val="bullet"/>
      <w:lvlText w:val="•"/>
      <w:lvlJc w:val="left"/>
      <w:pPr>
        <w:ind w:left="2446" w:hanging="272"/>
      </w:pPr>
      <w:rPr>
        <w:rFonts w:hint="default"/>
        <w:lang w:val="cs-CZ" w:eastAsia="cs-CZ" w:bidi="cs-CZ"/>
      </w:rPr>
    </w:lvl>
    <w:lvl w:ilvl="8" w:tplc="ACE8C6E8">
      <w:numFmt w:val="bullet"/>
      <w:lvlText w:val="•"/>
      <w:lvlJc w:val="left"/>
      <w:pPr>
        <w:ind w:left="2729" w:hanging="272"/>
      </w:pPr>
      <w:rPr>
        <w:rFonts w:hint="default"/>
        <w:lang w:val="cs-CZ" w:eastAsia="cs-CZ" w:bidi="cs-CZ"/>
      </w:rPr>
    </w:lvl>
  </w:abstractNum>
  <w:abstractNum w:abstractNumId="30" w15:restartNumberingAfterBreak="0">
    <w:nsid w:val="153F4761"/>
    <w:multiLevelType w:val="hybridMultilevel"/>
    <w:tmpl w:val="28467A42"/>
    <w:lvl w:ilvl="0" w:tplc="C35E96EA">
      <w:start w:val="1"/>
      <w:numFmt w:val="lowerLetter"/>
      <w:lvlText w:val="%1)"/>
      <w:lvlJc w:val="left"/>
      <w:pPr>
        <w:ind w:left="1045" w:hanging="360"/>
        <w:jc w:val="left"/>
      </w:pPr>
      <w:rPr>
        <w:rFonts w:ascii="Arial" w:eastAsia="Arial" w:hAnsi="Arial" w:cs="Arial" w:hint="default"/>
        <w:color w:val="231F20"/>
        <w:w w:val="99"/>
        <w:sz w:val="22"/>
        <w:szCs w:val="22"/>
        <w:lang w:val="cs-CZ" w:eastAsia="cs-CZ" w:bidi="cs-CZ"/>
      </w:rPr>
    </w:lvl>
    <w:lvl w:ilvl="1" w:tplc="358459CA">
      <w:numFmt w:val="bullet"/>
      <w:lvlText w:val="•"/>
      <w:lvlJc w:val="left"/>
      <w:pPr>
        <w:ind w:left="1880" w:hanging="360"/>
      </w:pPr>
      <w:rPr>
        <w:rFonts w:hint="default"/>
        <w:lang w:val="cs-CZ" w:eastAsia="cs-CZ" w:bidi="cs-CZ"/>
      </w:rPr>
    </w:lvl>
    <w:lvl w:ilvl="2" w:tplc="2800F0F8">
      <w:numFmt w:val="bullet"/>
      <w:lvlText w:val="•"/>
      <w:lvlJc w:val="left"/>
      <w:pPr>
        <w:ind w:left="2720" w:hanging="360"/>
      </w:pPr>
      <w:rPr>
        <w:rFonts w:hint="default"/>
        <w:lang w:val="cs-CZ" w:eastAsia="cs-CZ" w:bidi="cs-CZ"/>
      </w:rPr>
    </w:lvl>
    <w:lvl w:ilvl="3" w:tplc="F9362FA6">
      <w:numFmt w:val="bullet"/>
      <w:lvlText w:val="•"/>
      <w:lvlJc w:val="left"/>
      <w:pPr>
        <w:ind w:left="3560" w:hanging="360"/>
      </w:pPr>
      <w:rPr>
        <w:rFonts w:hint="default"/>
        <w:lang w:val="cs-CZ" w:eastAsia="cs-CZ" w:bidi="cs-CZ"/>
      </w:rPr>
    </w:lvl>
    <w:lvl w:ilvl="4" w:tplc="562E966E">
      <w:numFmt w:val="bullet"/>
      <w:lvlText w:val="•"/>
      <w:lvlJc w:val="left"/>
      <w:pPr>
        <w:ind w:left="4400" w:hanging="360"/>
      </w:pPr>
      <w:rPr>
        <w:rFonts w:hint="default"/>
        <w:lang w:val="cs-CZ" w:eastAsia="cs-CZ" w:bidi="cs-CZ"/>
      </w:rPr>
    </w:lvl>
    <w:lvl w:ilvl="5" w:tplc="6D3E74A4">
      <w:numFmt w:val="bullet"/>
      <w:lvlText w:val="•"/>
      <w:lvlJc w:val="left"/>
      <w:pPr>
        <w:ind w:left="5240" w:hanging="360"/>
      </w:pPr>
      <w:rPr>
        <w:rFonts w:hint="default"/>
        <w:lang w:val="cs-CZ" w:eastAsia="cs-CZ" w:bidi="cs-CZ"/>
      </w:rPr>
    </w:lvl>
    <w:lvl w:ilvl="6" w:tplc="511AE136">
      <w:numFmt w:val="bullet"/>
      <w:lvlText w:val="•"/>
      <w:lvlJc w:val="left"/>
      <w:pPr>
        <w:ind w:left="6080" w:hanging="360"/>
      </w:pPr>
      <w:rPr>
        <w:rFonts w:hint="default"/>
        <w:lang w:val="cs-CZ" w:eastAsia="cs-CZ" w:bidi="cs-CZ"/>
      </w:rPr>
    </w:lvl>
    <w:lvl w:ilvl="7" w:tplc="726C35AE">
      <w:numFmt w:val="bullet"/>
      <w:lvlText w:val="•"/>
      <w:lvlJc w:val="left"/>
      <w:pPr>
        <w:ind w:left="6920" w:hanging="360"/>
      </w:pPr>
      <w:rPr>
        <w:rFonts w:hint="default"/>
        <w:lang w:val="cs-CZ" w:eastAsia="cs-CZ" w:bidi="cs-CZ"/>
      </w:rPr>
    </w:lvl>
    <w:lvl w:ilvl="8" w:tplc="D31C7D7A">
      <w:numFmt w:val="bullet"/>
      <w:lvlText w:val="•"/>
      <w:lvlJc w:val="left"/>
      <w:pPr>
        <w:ind w:left="7760" w:hanging="360"/>
      </w:pPr>
      <w:rPr>
        <w:rFonts w:hint="default"/>
        <w:lang w:val="cs-CZ" w:eastAsia="cs-CZ" w:bidi="cs-CZ"/>
      </w:rPr>
    </w:lvl>
  </w:abstractNum>
  <w:abstractNum w:abstractNumId="31" w15:restartNumberingAfterBreak="0">
    <w:nsid w:val="15DE16EC"/>
    <w:multiLevelType w:val="multilevel"/>
    <w:tmpl w:val="38F0B3B4"/>
    <w:lvl w:ilvl="0">
      <w:start w:val="1"/>
      <w:numFmt w:val="decimal"/>
      <w:lvlText w:val="%1."/>
      <w:lvlJc w:val="left"/>
      <w:pPr>
        <w:ind w:left="1042" w:hanging="361"/>
        <w:jc w:val="left"/>
      </w:pPr>
      <w:rPr>
        <w:rFonts w:hint="default"/>
        <w:b/>
        <w:bCs/>
        <w:spacing w:val="-1"/>
        <w:w w:val="100"/>
        <w:lang w:val="cs-CZ" w:eastAsia="cs-CZ" w:bidi="cs-CZ"/>
      </w:rPr>
    </w:lvl>
    <w:lvl w:ilvl="1">
      <w:start w:val="1"/>
      <w:numFmt w:val="decimal"/>
      <w:lvlText w:val="%1.%2."/>
      <w:lvlJc w:val="left"/>
      <w:pPr>
        <w:ind w:left="1474" w:hanging="432"/>
        <w:jc w:val="left"/>
      </w:pPr>
      <w:rPr>
        <w:rFonts w:ascii="Arial" w:eastAsia="Arial" w:hAnsi="Arial" w:cs="Arial" w:hint="default"/>
        <w:b/>
        <w:bCs/>
        <w:color w:val="231F20"/>
        <w:spacing w:val="-1"/>
        <w:w w:val="99"/>
        <w:sz w:val="20"/>
        <w:szCs w:val="20"/>
        <w:lang w:val="cs-CZ" w:eastAsia="cs-CZ" w:bidi="cs-CZ"/>
      </w:rPr>
    </w:lvl>
    <w:lvl w:ilvl="2">
      <w:numFmt w:val="bullet"/>
      <w:lvlText w:val=""/>
      <w:lvlJc w:val="left"/>
      <w:pPr>
        <w:ind w:left="1894" w:hanging="360"/>
      </w:pPr>
      <w:rPr>
        <w:rFonts w:ascii="Wingdings" w:eastAsia="Wingdings" w:hAnsi="Wingdings" w:cs="Wingdings" w:hint="default"/>
        <w:color w:val="231F20"/>
        <w:w w:val="61"/>
        <w:sz w:val="20"/>
        <w:szCs w:val="20"/>
        <w:lang w:val="cs-CZ" w:eastAsia="cs-CZ" w:bidi="cs-CZ"/>
      </w:rPr>
    </w:lvl>
    <w:lvl w:ilvl="3">
      <w:numFmt w:val="bullet"/>
      <w:lvlText w:val="•"/>
      <w:lvlJc w:val="left"/>
      <w:pPr>
        <w:ind w:left="1880" w:hanging="360"/>
      </w:pPr>
      <w:rPr>
        <w:rFonts w:hint="default"/>
        <w:lang w:val="cs-CZ" w:eastAsia="cs-CZ" w:bidi="cs-CZ"/>
      </w:rPr>
    </w:lvl>
    <w:lvl w:ilvl="4">
      <w:numFmt w:val="bullet"/>
      <w:lvlText w:val="•"/>
      <w:lvlJc w:val="left"/>
      <w:pPr>
        <w:ind w:left="1900" w:hanging="360"/>
      </w:pPr>
      <w:rPr>
        <w:rFonts w:hint="default"/>
        <w:lang w:val="cs-CZ" w:eastAsia="cs-CZ" w:bidi="cs-CZ"/>
      </w:rPr>
    </w:lvl>
    <w:lvl w:ilvl="5">
      <w:numFmt w:val="bullet"/>
      <w:lvlText w:val="•"/>
      <w:lvlJc w:val="left"/>
      <w:pPr>
        <w:ind w:left="3953" w:hanging="360"/>
      </w:pPr>
      <w:rPr>
        <w:rFonts w:hint="default"/>
        <w:lang w:val="cs-CZ" w:eastAsia="cs-CZ" w:bidi="cs-CZ"/>
      </w:rPr>
    </w:lvl>
    <w:lvl w:ilvl="6">
      <w:numFmt w:val="bullet"/>
      <w:lvlText w:val="•"/>
      <w:lvlJc w:val="left"/>
      <w:pPr>
        <w:ind w:left="6006" w:hanging="360"/>
      </w:pPr>
      <w:rPr>
        <w:rFonts w:hint="default"/>
        <w:lang w:val="cs-CZ" w:eastAsia="cs-CZ" w:bidi="cs-CZ"/>
      </w:rPr>
    </w:lvl>
    <w:lvl w:ilvl="7">
      <w:numFmt w:val="bullet"/>
      <w:lvlText w:val="•"/>
      <w:lvlJc w:val="left"/>
      <w:pPr>
        <w:ind w:left="8060" w:hanging="360"/>
      </w:pPr>
      <w:rPr>
        <w:rFonts w:hint="default"/>
        <w:lang w:val="cs-CZ" w:eastAsia="cs-CZ" w:bidi="cs-CZ"/>
      </w:rPr>
    </w:lvl>
    <w:lvl w:ilvl="8">
      <w:numFmt w:val="bullet"/>
      <w:lvlText w:val="•"/>
      <w:lvlJc w:val="left"/>
      <w:pPr>
        <w:ind w:left="10113" w:hanging="360"/>
      </w:pPr>
      <w:rPr>
        <w:rFonts w:hint="default"/>
        <w:lang w:val="cs-CZ" w:eastAsia="cs-CZ" w:bidi="cs-CZ"/>
      </w:rPr>
    </w:lvl>
  </w:abstractNum>
  <w:abstractNum w:abstractNumId="32" w15:restartNumberingAfterBreak="0">
    <w:nsid w:val="16475FEB"/>
    <w:multiLevelType w:val="multilevel"/>
    <w:tmpl w:val="195427D8"/>
    <w:lvl w:ilvl="0">
      <w:start w:val="1"/>
      <w:numFmt w:val="decimal"/>
      <w:lvlText w:val="%1."/>
      <w:lvlJc w:val="left"/>
      <w:pPr>
        <w:ind w:left="893" w:hanging="241"/>
        <w:jc w:val="right"/>
      </w:pPr>
      <w:rPr>
        <w:rFonts w:ascii="Arial" w:eastAsia="Arial" w:hAnsi="Arial" w:cs="Arial" w:hint="default"/>
        <w:color w:val="C5271C"/>
        <w:spacing w:val="-3"/>
        <w:w w:val="99"/>
        <w:sz w:val="26"/>
        <w:szCs w:val="26"/>
        <w:lang w:val="cs-CZ" w:eastAsia="cs-CZ" w:bidi="cs-CZ"/>
      </w:rPr>
    </w:lvl>
    <w:lvl w:ilvl="1">
      <w:start w:val="1"/>
      <w:numFmt w:val="decimal"/>
      <w:lvlText w:val="%1.%2."/>
      <w:lvlJc w:val="left"/>
      <w:pPr>
        <w:ind w:left="1050" w:hanging="397"/>
        <w:jc w:val="left"/>
      </w:pPr>
      <w:rPr>
        <w:rFonts w:ascii="Arial" w:eastAsia="Arial" w:hAnsi="Arial" w:cs="Arial" w:hint="default"/>
        <w:b/>
        <w:bCs/>
        <w:color w:val="231F20"/>
        <w:spacing w:val="-4"/>
        <w:w w:val="96"/>
        <w:sz w:val="18"/>
        <w:szCs w:val="18"/>
        <w:lang w:val="cs-CZ" w:eastAsia="cs-CZ" w:bidi="cs-CZ"/>
      </w:rPr>
    </w:lvl>
    <w:lvl w:ilvl="2">
      <w:numFmt w:val="bullet"/>
      <w:lvlText w:val="–"/>
      <w:lvlJc w:val="left"/>
      <w:pPr>
        <w:ind w:left="1050" w:hanging="171"/>
      </w:pPr>
      <w:rPr>
        <w:rFonts w:ascii="Arial" w:eastAsia="Arial" w:hAnsi="Arial" w:cs="Arial" w:hint="default"/>
        <w:color w:val="231F20"/>
        <w:w w:val="89"/>
        <w:sz w:val="18"/>
        <w:szCs w:val="18"/>
        <w:lang w:val="cs-CZ" w:eastAsia="cs-CZ" w:bidi="cs-CZ"/>
      </w:rPr>
    </w:lvl>
    <w:lvl w:ilvl="3">
      <w:numFmt w:val="bullet"/>
      <w:lvlText w:val="•"/>
      <w:lvlJc w:val="left"/>
      <w:pPr>
        <w:ind w:left="1440" w:hanging="171"/>
      </w:pPr>
      <w:rPr>
        <w:rFonts w:hint="default"/>
        <w:lang w:val="cs-CZ" w:eastAsia="cs-CZ" w:bidi="cs-CZ"/>
      </w:rPr>
    </w:lvl>
    <w:lvl w:ilvl="4">
      <w:numFmt w:val="bullet"/>
      <w:lvlText w:val="•"/>
      <w:lvlJc w:val="left"/>
      <w:pPr>
        <w:ind w:left="2895" w:hanging="171"/>
      </w:pPr>
      <w:rPr>
        <w:rFonts w:hint="default"/>
        <w:lang w:val="cs-CZ" w:eastAsia="cs-CZ" w:bidi="cs-CZ"/>
      </w:rPr>
    </w:lvl>
    <w:lvl w:ilvl="5">
      <w:numFmt w:val="bullet"/>
      <w:lvlText w:val="•"/>
      <w:lvlJc w:val="left"/>
      <w:pPr>
        <w:ind w:left="4350" w:hanging="171"/>
      </w:pPr>
      <w:rPr>
        <w:rFonts w:hint="default"/>
        <w:lang w:val="cs-CZ" w:eastAsia="cs-CZ" w:bidi="cs-CZ"/>
      </w:rPr>
    </w:lvl>
    <w:lvl w:ilvl="6">
      <w:numFmt w:val="bullet"/>
      <w:lvlText w:val="•"/>
      <w:lvlJc w:val="left"/>
      <w:pPr>
        <w:ind w:left="5805" w:hanging="171"/>
      </w:pPr>
      <w:rPr>
        <w:rFonts w:hint="default"/>
        <w:lang w:val="cs-CZ" w:eastAsia="cs-CZ" w:bidi="cs-CZ"/>
      </w:rPr>
    </w:lvl>
    <w:lvl w:ilvl="7">
      <w:numFmt w:val="bullet"/>
      <w:lvlText w:val="•"/>
      <w:lvlJc w:val="left"/>
      <w:pPr>
        <w:ind w:left="7260" w:hanging="171"/>
      </w:pPr>
      <w:rPr>
        <w:rFonts w:hint="default"/>
        <w:lang w:val="cs-CZ" w:eastAsia="cs-CZ" w:bidi="cs-CZ"/>
      </w:rPr>
    </w:lvl>
    <w:lvl w:ilvl="8">
      <w:numFmt w:val="bullet"/>
      <w:lvlText w:val="•"/>
      <w:lvlJc w:val="left"/>
      <w:pPr>
        <w:ind w:left="8715" w:hanging="171"/>
      </w:pPr>
      <w:rPr>
        <w:rFonts w:hint="default"/>
        <w:lang w:val="cs-CZ" w:eastAsia="cs-CZ" w:bidi="cs-CZ"/>
      </w:rPr>
    </w:lvl>
  </w:abstractNum>
  <w:abstractNum w:abstractNumId="33" w15:restartNumberingAfterBreak="0">
    <w:nsid w:val="16613605"/>
    <w:multiLevelType w:val="hybridMultilevel"/>
    <w:tmpl w:val="2E98EC32"/>
    <w:lvl w:ilvl="0" w:tplc="B9847D66">
      <w:numFmt w:val="bullet"/>
      <w:lvlText w:val="–"/>
      <w:lvlJc w:val="left"/>
      <w:pPr>
        <w:ind w:left="1447" w:hanging="171"/>
      </w:pPr>
      <w:rPr>
        <w:rFonts w:ascii="Arial" w:eastAsia="Arial" w:hAnsi="Arial" w:cs="Arial" w:hint="default"/>
        <w:color w:val="231F20"/>
        <w:w w:val="89"/>
        <w:sz w:val="18"/>
        <w:szCs w:val="18"/>
        <w:lang w:val="cs-CZ" w:eastAsia="cs-CZ" w:bidi="cs-CZ"/>
      </w:rPr>
    </w:lvl>
    <w:lvl w:ilvl="1" w:tplc="2BEC5A7E">
      <w:numFmt w:val="bullet"/>
      <w:lvlText w:val="•"/>
      <w:lvlJc w:val="left"/>
      <w:pPr>
        <w:ind w:left="2458" w:hanging="171"/>
      </w:pPr>
      <w:rPr>
        <w:rFonts w:hint="default"/>
        <w:lang w:val="cs-CZ" w:eastAsia="cs-CZ" w:bidi="cs-CZ"/>
      </w:rPr>
    </w:lvl>
    <w:lvl w:ilvl="2" w:tplc="1B6084EA">
      <w:numFmt w:val="bullet"/>
      <w:lvlText w:val="•"/>
      <w:lvlJc w:val="left"/>
      <w:pPr>
        <w:ind w:left="3477" w:hanging="171"/>
      </w:pPr>
      <w:rPr>
        <w:rFonts w:hint="default"/>
        <w:lang w:val="cs-CZ" w:eastAsia="cs-CZ" w:bidi="cs-CZ"/>
      </w:rPr>
    </w:lvl>
    <w:lvl w:ilvl="3" w:tplc="74EE3C38">
      <w:numFmt w:val="bullet"/>
      <w:lvlText w:val="•"/>
      <w:lvlJc w:val="left"/>
      <w:pPr>
        <w:ind w:left="4495" w:hanging="171"/>
      </w:pPr>
      <w:rPr>
        <w:rFonts w:hint="default"/>
        <w:lang w:val="cs-CZ" w:eastAsia="cs-CZ" w:bidi="cs-CZ"/>
      </w:rPr>
    </w:lvl>
    <w:lvl w:ilvl="4" w:tplc="84B47EE6">
      <w:numFmt w:val="bullet"/>
      <w:lvlText w:val="•"/>
      <w:lvlJc w:val="left"/>
      <w:pPr>
        <w:ind w:left="5514" w:hanging="171"/>
      </w:pPr>
      <w:rPr>
        <w:rFonts w:hint="default"/>
        <w:lang w:val="cs-CZ" w:eastAsia="cs-CZ" w:bidi="cs-CZ"/>
      </w:rPr>
    </w:lvl>
    <w:lvl w:ilvl="5" w:tplc="A5A66E6E">
      <w:numFmt w:val="bullet"/>
      <w:lvlText w:val="•"/>
      <w:lvlJc w:val="left"/>
      <w:pPr>
        <w:ind w:left="6532" w:hanging="171"/>
      </w:pPr>
      <w:rPr>
        <w:rFonts w:hint="default"/>
        <w:lang w:val="cs-CZ" w:eastAsia="cs-CZ" w:bidi="cs-CZ"/>
      </w:rPr>
    </w:lvl>
    <w:lvl w:ilvl="6" w:tplc="09F8C87E">
      <w:numFmt w:val="bullet"/>
      <w:lvlText w:val="•"/>
      <w:lvlJc w:val="left"/>
      <w:pPr>
        <w:ind w:left="7551" w:hanging="171"/>
      </w:pPr>
      <w:rPr>
        <w:rFonts w:hint="default"/>
        <w:lang w:val="cs-CZ" w:eastAsia="cs-CZ" w:bidi="cs-CZ"/>
      </w:rPr>
    </w:lvl>
    <w:lvl w:ilvl="7" w:tplc="0E2AAEBE">
      <w:numFmt w:val="bullet"/>
      <w:lvlText w:val="•"/>
      <w:lvlJc w:val="left"/>
      <w:pPr>
        <w:ind w:left="8569" w:hanging="171"/>
      </w:pPr>
      <w:rPr>
        <w:rFonts w:hint="default"/>
        <w:lang w:val="cs-CZ" w:eastAsia="cs-CZ" w:bidi="cs-CZ"/>
      </w:rPr>
    </w:lvl>
    <w:lvl w:ilvl="8" w:tplc="32D2E894">
      <w:numFmt w:val="bullet"/>
      <w:lvlText w:val="•"/>
      <w:lvlJc w:val="left"/>
      <w:pPr>
        <w:ind w:left="9588" w:hanging="171"/>
      </w:pPr>
      <w:rPr>
        <w:rFonts w:hint="default"/>
        <w:lang w:val="cs-CZ" w:eastAsia="cs-CZ" w:bidi="cs-CZ"/>
      </w:rPr>
    </w:lvl>
  </w:abstractNum>
  <w:abstractNum w:abstractNumId="34" w15:restartNumberingAfterBreak="0">
    <w:nsid w:val="1697656D"/>
    <w:multiLevelType w:val="hybridMultilevel"/>
    <w:tmpl w:val="CB841BC6"/>
    <w:lvl w:ilvl="0" w:tplc="E31AF3E8">
      <w:start w:val="1"/>
      <w:numFmt w:val="lowerLetter"/>
      <w:lvlText w:val="%1"/>
      <w:lvlJc w:val="left"/>
      <w:pPr>
        <w:ind w:left="634" w:hanging="171"/>
        <w:jc w:val="left"/>
      </w:pPr>
      <w:rPr>
        <w:rFonts w:ascii="Arial" w:eastAsia="Arial" w:hAnsi="Arial" w:cs="Arial" w:hint="default"/>
        <w:color w:val="231F20"/>
        <w:w w:val="99"/>
        <w:sz w:val="15"/>
        <w:szCs w:val="15"/>
        <w:lang w:val="cs-CZ" w:eastAsia="cs-CZ" w:bidi="cs-CZ"/>
      </w:rPr>
    </w:lvl>
    <w:lvl w:ilvl="1" w:tplc="D2A6D2D6">
      <w:numFmt w:val="bullet"/>
      <w:lvlText w:val="•"/>
      <w:lvlJc w:val="left"/>
      <w:pPr>
        <w:ind w:left="1164" w:hanging="171"/>
      </w:pPr>
      <w:rPr>
        <w:rFonts w:hint="default"/>
        <w:lang w:val="cs-CZ" w:eastAsia="cs-CZ" w:bidi="cs-CZ"/>
      </w:rPr>
    </w:lvl>
    <w:lvl w:ilvl="2" w:tplc="D5825A3A">
      <w:numFmt w:val="bullet"/>
      <w:lvlText w:val="•"/>
      <w:lvlJc w:val="left"/>
      <w:pPr>
        <w:ind w:left="1688" w:hanging="171"/>
      </w:pPr>
      <w:rPr>
        <w:rFonts w:hint="default"/>
        <w:lang w:val="cs-CZ" w:eastAsia="cs-CZ" w:bidi="cs-CZ"/>
      </w:rPr>
    </w:lvl>
    <w:lvl w:ilvl="3" w:tplc="FAFAE4C6">
      <w:numFmt w:val="bullet"/>
      <w:lvlText w:val="•"/>
      <w:lvlJc w:val="left"/>
      <w:pPr>
        <w:ind w:left="2212" w:hanging="171"/>
      </w:pPr>
      <w:rPr>
        <w:rFonts w:hint="default"/>
        <w:lang w:val="cs-CZ" w:eastAsia="cs-CZ" w:bidi="cs-CZ"/>
      </w:rPr>
    </w:lvl>
    <w:lvl w:ilvl="4" w:tplc="262232BC">
      <w:numFmt w:val="bullet"/>
      <w:lvlText w:val="•"/>
      <w:lvlJc w:val="left"/>
      <w:pPr>
        <w:ind w:left="2736" w:hanging="171"/>
      </w:pPr>
      <w:rPr>
        <w:rFonts w:hint="default"/>
        <w:lang w:val="cs-CZ" w:eastAsia="cs-CZ" w:bidi="cs-CZ"/>
      </w:rPr>
    </w:lvl>
    <w:lvl w:ilvl="5" w:tplc="A3CC75F2">
      <w:numFmt w:val="bullet"/>
      <w:lvlText w:val="•"/>
      <w:lvlJc w:val="left"/>
      <w:pPr>
        <w:ind w:left="3260" w:hanging="171"/>
      </w:pPr>
      <w:rPr>
        <w:rFonts w:hint="default"/>
        <w:lang w:val="cs-CZ" w:eastAsia="cs-CZ" w:bidi="cs-CZ"/>
      </w:rPr>
    </w:lvl>
    <w:lvl w:ilvl="6" w:tplc="57E8C322">
      <w:numFmt w:val="bullet"/>
      <w:lvlText w:val="•"/>
      <w:lvlJc w:val="left"/>
      <w:pPr>
        <w:ind w:left="3784" w:hanging="171"/>
      </w:pPr>
      <w:rPr>
        <w:rFonts w:hint="default"/>
        <w:lang w:val="cs-CZ" w:eastAsia="cs-CZ" w:bidi="cs-CZ"/>
      </w:rPr>
    </w:lvl>
    <w:lvl w:ilvl="7" w:tplc="68866CF4">
      <w:numFmt w:val="bullet"/>
      <w:lvlText w:val="•"/>
      <w:lvlJc w:val="left"/>
      <w:pPr>
        <w:ind w:left="4308" w:hanging="171"/>
      </w:pPr>
      <w:rPr>
        <w:rFonts w:hint="default"/>
        <w:lang w:val="cs-CZ" w:eastAsia="cs-CZ" w:bidi="cs-CZ"/>
      </w:rPr>
    </w:lvl>
    <w:lvl w:ilvl="8" w:tplc="527E1246">
      <w:numFmt w:val="bullet"/>
      <w:lvlText w:val="•"/>
      <w:lvlJc w:val="left"/>
      <w:pPr>
        <w:ind w:left="4832" w:hanging="171"/>
      </w:pPr>
      <w:rPr>
        <w:rFonts w:hint="default"/>
        <w:lang w:val="cs-CZ" w:eastAsia="cs-CZ" w:bidi="cs-CZ"/>
      </w:rPr>
    </w:lvl>
  </w:abstractNum>
  <w:abstractNum w:abstractNumId="35" w15:restartNumberingAfterBreak="0">
    <w:nsid w:val="1754374B"/>
    <w:multiLevelType w:val="hybridMultilevel"/>
    <w:tmpl w:val="04360A38"/>
    <w:lvl w:ilvl="0" w:tplc="7FF43520">
      <w:start w:val="83"/>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8A2C3E22">
      <w:numFmt w:val="bullet"/>
      <w:lvlText w:val="•"/>
      <w:lvlJc w:val="left"/>
      <w:pPr>
        <w:ind w:left="713" w:hanging="272"/>
      </w:pPr>
      <w:rPr>
        <w:rFonts w:hint="default"/>
        <w:lang w:val="cs-CZ" w:eastAsia="cs-CZ" w:bidi="cs-CZ"/>
      </w:rPr>
    </w:lvl>
    <w:lvl w:ilvl="2" w:tplc="E802292A">
      <w:numFmt w:val="bullet"/>
      <w:lvlText w:val="•"/>
      <w:lvlJc w:val="left"/>
      <w:pPr>
        <w:ind w:left="966" w:hanging="272"/>
      </w:pPr>
      <w:rPr>
        <w:rFonts w:hint="default"/>
        <w:lang w:val="cs-CZ" w:eastAsia="cs-CZ" w:bidi="cs-CZ"/>
      </w:rPr>
    </w:lvl>
    <w:lvl w:ilvl="3" w:tplc="9C02A2E0">
      <w:numFmt w:val="bullet"/>
      <w:lvlText w:val="•"/>
      <w:lvlJc w:val="left"/>
      <w:pPr>
        <w:ind w:left="1219" w:hanging="272"/>
      </w:pPr>
      <w:rPr>
        <w:rFonts w:hint="default"/>
        <w:lang w:val="cs-CZ" w:eastAsia="cs-CZ" w:bidi="cs-CZ"/>
      </w:rPr>
    </w:lvl>
    <w:lvl w:ilvl="4" w:tplc="1BA4C346">
      <w:numFmt w:val="bullet"/>
      <w:lvlText w:val="•"/>
      <w:lvlJc w:val="left"/>
      <w:pPr>
        <w:ind w:left="1472" w:hanging="272"/>
      </w:pPr>
      <w:rPr>
        <w:rFonts w:hint="default"/>
        <w:lang w:val="cs-CZ" w:eastAsia="cs-CZ" w:bidi="cs-CZ"/>
      </w:rPr>
    </w:lvl>
    <w:lvl w:ilvl="5" w:tplc="D876B1FC">
      <w:numFmt w:val="bullet"/>
      <w:lvlText w:val="•"/>
      <w:lvlJc w:val="left"/>
      <w:pPr>
        <w:ind w:left="1726" w:hanging="272"/>
      </w:pPr>
      <w:rPr>
        <w:rFonts w:hint="default"/>
        <w:lang w:val="cs-CZ" w:eastAsia="cs-CZ" w:bidi="cs-CZ"/>
      </w:rPr>
    </w:lvl>
    <w:lvl w:ilvl="6" w:tplc="B1D24BAC">
      <w:numFmt w:val="bullet"/>
      <w:lvlText w:val="•"/>
      <w:lvlJc w:val="left"/>
      <w:pPr>
        <w:ind w:left="1979" w:hanging="272"/>
      </w:pPr>
      <w:rPr>
        <w:rFonts w:hint="default"/>
        <w:lang w:val="cs-CZ" w:eastAsia="cs-CZ" w:bidi="cs-CZ"/>
      </w:rPr>
    </w:lvl>
    <w:lvl w:ilvl="7" w:tplc="69DA48FA">
      <w:numFmt w:val="bullet"/>
      <w:lvlText w:val="•"/>
      <w:lvlJc w:val="left"/>
      <w:pPr>
        <w:ind w:left="2232" w:hanging="272"/>
      </w:pPr>
      <w:rPr>
        <w:rFonts w:hint="default"/>
        <w:lang w:val="cs-CZ" w:eastAsia="cs-CZ" w:bidi="cs-CZ"/>
      </w:rPr>
    </w:lvl>
    <w:lvl w:ilvl="8" w:tplc="FCB2F2F2">
      <w:numFmt w:val="bullet"/>
      <w:lvlText w:val="•"/>
      <w:lvlJc w:val="left"/>
      <w:pPr>
        <w:ind w:left="2485" w:hanging="272"/>
      </w:pPr>
      <w:rPr>
        <w:rFonts w:hint="default"/>
        <w:lang w:val="cs-CZ" w:eastAsia="cs-CZ" w:bidi="cs-CZ"/>
      </w:rPr>
    </w:lvl>
  </w:abstractNum>
  <w:abstractNum w:abstractNumId="36" w15:restartNumberingAfterBreak="0">
    <w:nsid w:val="178D3847"/>
    <w:multiLevelType w:val="multilevel"/>
    <w:tmpl w:val="53BAA222"/>
    <w:lvl w:ilvl="0">
      <w:start w:val="21"/>
      <w:numFmt w:val="decimal"/>
      <w:lvlText w:val="%1."/>
      <w:lvlJc w:val="left"/>
      <w:pPr>
        <w:ind w:left="685" w:hanging="568"/>
        <w:jc w:val="left"/>
      </w:pPr>
      <w:rPr>
        <w:rFonts w:ascii="Arial" w:eastAsia="Arial" w:hAnsi="Arial" w:cs="Arial" w:hint="default"/>
        <w:b/>
        <w:bCs/>
        <w:color w:val="231F20"/>
        <w:spacing w:val="-1"/>
        <w:w w:val="100"/>
        <w:sz w:val="24"/>
        <w:szCs w:val="24"/>
        <w:lang w:val="cs-CZ" w:eastAsia="cs-CZ" w:bidi="cs-CZ"/>
      </w:rPr>
    </w:lvl>
    <w:lvl w:ilvl="1">
      <w:start w:val="1"/>
      <w:numFmt w:val="decimal"/>
      <w:lvlText w:val="%1.%2."/>
      <w:lvlJc w:val="left"/>
      <w:pPr>
        <w:ind w:left="685" w:hanging="568"/>
        <w:jc w:val="left"/>
      </w:pPr>
      <w:rPr>
        <w:rFonts w:ascii="Arial" w:eastAsia="Arial" w:hAnsi="Arial" w:cs="Arial" w:hint="default"/>
        <w:color w:val="231F20"/>
        <w:w w:val="99"/>
        <w:sz w:val="22"/>
        <w:szCs w:val="22"/>
        <w:lang w:val="cs-CZ" w:eastAsia="cs-CZ" w:bidi="cs-CZ"/>
      </w:rPr>
    </w:lvl>
    <w:lvl w:ilvl="2">
      <w:start w:val="1"/>
      <w:numFmt w:val="lowerLetter"/>
      <w:lvlText w:val="%3)"/>
      <w:lvlJc w:val="left"/>
      <w:pPr>
        <w:ind w:left="685" w:hanging="259"/>
        <w:jc w:val="left"/>
      </w:pPr>
      <w:rPr>
        <w:rFonts w:hint="default"/>
        <w:spacing w:val="-1"/>
        <w:w w:val="99"/>
        <w:lang w:val="cs-CZ" w:eastAsia="cs-CZ" w:bidi="cs-CZ"/>
      </w:rPr>
    </w:lvl>
    <w:lvl w:ilvl="3">
      <w:numFmt w:val="bullet"/>
      <w:lvlText w:val="•"/>
      <w:lvlJc w:val="left"/>
      <w:pPr>
        <w:ind w:left="2906" w:hanging="259"/>
      </w:pPr>
      <w:rPr>
        <w:rFonts w:hint="default"/>
        <w:lang w:val="cs-CZ" w:eastAsia="cs-CZ" w:bidi="cs-CZ"/>
      </w:rPr>
    </w:lvl>
    <w:lvl w:ilvl="4">
      <w:numFmt w:val="bullet"/>
      <w:lvlText w:val="•"/>
      <w:lvlJc w:val="left"/>
      <w:pPr>
        <w:ind w:left="3840" w:hanging="259"/>
      </w:pPr>
      <w:rPr>
        <w:rFonts w:hint="default"/>
        <w:lang w:val="cs-CZ" w:eastAsia="cs-CZ" w:bidi="cs-CZ"/>
      </w:rPr>
    </w:lvl>
    <w:lvl w:ilvl="5">
      <w:numFmt w:val="bullet"/>
      <w:lvlText w:val="•"/>
      <w:lvlJc w:val="left"/>
      <w:pPr>
        <w:ind w:left="4773" w:hanging="259"/>
      </w:pPr>
      <w:rPr>
        <w:rFonts w:hint="default"/>
        <w:lang w:val="cs-CZ" w:eastAsia="cs-CZ" w:bidi="cs-CZ"/>
      </w:rPr>
    </w:lvl>
    <w:lvl w:ilvl="6">
      <w:numFmt w:val="bullet"/>
      <w:lvlText w:val="•"/>
      <w:lvlJc w:val="left"/>
      <w:pPr>
        <w:ind w:left="5706" w:hanging="259"/>
      </w:pPr>
      <w:rPr>
        <w:rFonts w:hint="default"/>
        <w:lang w:val="cs-CZ" w:eastAsia="cs-CZ" w:bidi="cs-CZ"/>
      </w:rPr>
    </w:lvl>
    <w:lvl w:ilvl="7">
      <w:numFmt w:val="bullet"/>
      <w:lvlText w:val="•"/>
      <w:lvlJc w:val="left"/>
      <w:pPr>
        <w:ind w:left="6640" w:hanging="259"/>
      </w:pPr>
      <w:rPr>
        <w:rFonts w:hint="default"/>
        <w:lang w:val="cs-CZ" w:eastAsia="cs-CZ" w:bidi="cs-CZ"/>
      </w:rPr>
    </w:lvl>
    <w:lvl w:ilvl="8">
      <w:numFmt w:val="bullet"/>
      <w:lvlText w:val="•"/>
      <w:lvlJc w:val="left"/>
      <w:pPr>
        <w:ind w:left="7573" w:hanging="259"/>
      </w:pPr>
      <w:rPr>
        <w:rFonts w:hint="default"/>
        <w:lang w:val="cs-CZ" w:eastAsia="cs-CZ" w:bidi="cs-CZ"/>
      </w:rPr>
    </w:lvl>
  </w:abstractNum>
  <w:abstractNum w:abstractNumId="37" w15:restartNumberingAfterBreak="0">
    <w:nsid w:val="192F578C"/>
    <w:multiLevelType w:val="hybridMultilevel"/>
    <w:tmpl w:val="CB924A84"/>
    <w:lvl w:ilvl="0" w:tplc="13A282BC">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07BE7F48">
      <w:numFmt w:val="bullet"/>
      <w:lvlText w:val="•"/>
      <w:lvlJc w:val="left"/>
      <w:pPr>
        <w:ind w:left="1362" w:hanging="171"/>
      </w:pPr>
      <w:rPr>
        <w:rFonts w:hint="default"/>
        <w:lang w:val="cs-CZ" w:eastAsia="cs-CZ" w:bidi="cs-CZ"/>
      </w:rPr>
    </w:lvl>
    <w:lvl w:ilvl="2" w:tplc="7A0EEFCC">
      <w:numFmt w:val="bullet"/>
      <w:lvlText w:val="•"/>
      <w:lvlJc w:val="left"/>
      <w:pPr>
        <w:ind w:left="1844" w:hanging="171"/>
      </w:pPr>
      <w:rPr>
        <w:rFonts w:hint="default"/>
        <w:lang w:val="cs-CZ" w:eastAsia="cs-CZ" w:bidi="cs-CZ"/>
      </w:rPr>
    </w:lvl>
    <w:lvl w:ilvl="3" w:tplc="EAB83CD2">
      <w:numFmt w:val="bullet"/>
      <w:lvlText w:val="•"/>
      <w:lvlJc w:val="left"/>
      <w:pPr>
        <w:ind w:left="2326" w:hanging="171"/>
      </w:pPr>
      <w:rPr>
        <w:rFonts w:hint="default"/>
        <w:lang w:val="cs-CZ" w:eastAsia="cs-CZ" w:bidi="cs-CZ"/>
      </w:rPr>
    </w:lvl>
    <w:lvl w:ilvl="4" w:tplc="95044944">
      <w:numFmt w:val="bullet"/>
      <w:lvlText w:val="•"/>
      <w:lvlJc w:val="left"/>
      <w:pPr>
        <w:ind w:left="2808" w:hanging="171"/>
      </w:pPr>
      <w:rPr>
        <w:rFonts w:hint="default"/>
        <w:lang w:val="cs-CZ" w:eastAsia="cs-CZ" w:bidi="cs-CZ"/>
      </w:rPr>
    </w:lvl>
    <w:lvl w:ilvl="5" w:tplc="45F63A2C">
      <w:numFmt w:val="bullet"/>
      <w:lvlText w:val="•"/>
      <w:lvlJc w:val="left"/>
      <w:pPr>
        <w:ind w:left="3290" w:hanging="171"/>
      </w:pPr>
      <w:rPr>
        <w:rFonts w:hint="default"/>
        <w:lang w:val="cs-CZ" w:eastAsia="cs-CZ" w:bidi="cs-CZ"/>
      </w:rPr>
    </w:lvl>
    <w:lvl w:ilvl="6" w:tplc="1114A154">
      <w:numFmt w:val="bullet"/>
      <w:lvlText w:val="•"/>
      <w:lvlJc w:val="left"/>
      <w:pPr>
        <w:ind w:left="3772" w:hanging="171"/>
      </w:pPr>
      <w:rPr>
        <w:rFonts w:hint="default"/>
        <w:lang w:val="cs-CZ" w:eastAsia="cs-CZ" w:bidi="cs-CZ"/>
      </w:rPr>
    </w:lvl>
    <w:lvl w:ilvl="7" w:tplc="819A94EA">
      <w:numFmt w:val="bullet"/>
      <w:lvlText w:val="•"/>
      <w:lvlJc w:val="left"/>
      <w:pPr>
        <w:ind w:left="4254" w:hanging="171"/>
      </w:pPr>
      <w:rPr>
        <w:rFonts w:hint="default"/>
        <w:lang w:val="cs-CZ" w:eastAsia="cs-CZ" w:bidi="cs-CZ"/>
      </w:rPr>
    </w:lvl>
    <w:lvl w:ilvl="8" w:tplc="3DA8AD02">
      <w:numFmt w:val="bullet"/>
      <w:lvlText w:val="•"/>
      <w:lvlJc w:val="left"/>
      <w:pPr>
        <w:ind w:left="4736" w:hanging="171"/>
      </w:pPr>
      <w:rPr>
        <w:rFonts w:hint="default"/>
        <w:lang w:val="cs-CZ" w:eastAsia="cs-CZ" w:bidi="cs-CZ"/>
      </w:rPr>
    </w:lvl>
  </w:abstractNum>
  <w:abstractNum w:abstractNumId="38" w15:restartNumberingAfterBreak="0">
    <w:nsid w:val="19521483"/>
    <w:multiLevelType w:val="hybridMultilevel"/>
    <w:tmpl w:val="48F8C3F6"/>
    <w:lvl w:ilvl="0" w:tplc="6040E4E6">
      <w:start w:val="36"/>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CEF8A346">
      <w:numFmt w:val="bullet"/>
      <w:lvlText w:val="•"/>
      <w:lvlJc w:val="left"/>
      <w:pPr>
        <w:ind w:left="726" w:hanging="272"/>
      </w:pPr>
      <w:rPr>
        <w:rFonts w:hint="default"/>
        <w:lang w:val="cs-CZ" w:eastAsia="cs-CZ" w:bidi="cs-CZ"/>
      </w:rPr>
    </w:lvl>
    <w:lvl w:ilvl="2" w:tplc="4754F208">
      <w:numFmt w:val="bullet"/>
      <w:lvlText w:val="•"/>
      <w:lvlJc w:val="left"/>
      <w:pPr>
        <w:ind w:left="992" w:hanging="272"/>
      </w:pPr>
      <w:rPr>
        <w:rFonts w:hint="default"/>
        <w:lang w:val="cs-CZ" w:eastAsia="cs-CZ" w:bidi="cs-CZ"/>
      </w:rPr>
    </w:lvl>
    <w:lvl w:ilvl="3" w:tplc="DF8214DE">
      <w:numFmt w:val="bullet"/>
      <w:lvlText w:val="•"/>
      <w:lvlJc w:val="left"/>
      <w:pPr>
        <w:ind w:left="1259" w:hanging="272"/>
      </w:pPr>
      <w:rPr>
        <w:rFonts w:hint="default"/>
        <w:lang w:val="cs-CZ" w:eastAsia="cs-CZ" w:bidi="cs-CZ"/>
      </w:rPr>
    </w:lvl>
    <w:lvl w:ilvl="4" w:tplc="E65CE1C0">
      <w:numFmt w:val="bullet"/>
      <w:lvlText w:val="•"/>
      <w:lvlJc w:val="left"/>
      <w:pPr>
        <w:ind w:left="1525" w:hanging="272"/>
      </w:pPr>
      <w:rPr>
        <w:rFonts w:hint="default"/>
        <w:lang w:val="cs-CZ" w:eastAsia="cs-CZ" w:bidi="cs-CZ"/>
      </w:rPr>
    </w:lvl>
    <w:lvl w:ilvl="5" w:tplc="FF90EF3A">
      <w:numFmt w:val="bullet"/>
      <w:lvlText w:val="•"/>
      <w:lvlJc w:val="left"/>
      <w:pPr>
        <w:ind w:left="1792" w:hanging="272"/>
      </w:pPr>
      <w:rPr>
        <w:rFonts w:hint="default"/>
        <w:lang w:val="cs-CZ" w:eastAsia="cs-CZ" w:bidi="cs-CZ"/>
      </w:rPr>
    </w:lvl>
    <w:lvl w:ilvl="6" w:tplc="16F295C6">
      <w:numFmt w:val="bullet"/>
      <w:lvlText w:val="•"/>
      <w:lvlJc w:val="left"/>
      <w:pPr>
        <w:ind w:left="2058" w:hanging="272"/>
      </w:pPr>
      <w:rPr>
        <w:rFonts w:hint="default"/>
        <w:lang w:val="cs-CZ" w:eastAsia="cs-CZ" w:bidi="cs-CZ"/>
      </w:rPr>
    </w:lvl>
    <w:lvl w:ilvl="7" w:tplc="62DE6C44">
      <w:numFmt w:val="bullet"/>
      <w:lvlText w:val="•"/>
      <w:lvlJc w:val="left"/>
      <w:pPr>
        <w:ind w:left="2325" w:hanging="272"/>
      </w:pPr>
      <w:rPr>
        <w:rFonts w:hint="default"/>
        <w:lang w:val="cs-CZ" w:eastAsia="cs-CZ" w:bidi="cs-CZ"/>
      </w:rPr>
    </w:lvl>
    <w:lvl w:ilvl="8" w:tplc="C7FA3F0A">
      <w:numFmt w:val="bullet"/>
      <w:lvlText w:val="•"/>
      <w:lvlJc w:val="left"/>
      <w:pPr>
        <w:ind w:left="2591" w:hanging="272"/>
      </w:pPr>
      <w:rPr>
        <w:rFonts w:hint="default"/>
        <w:lang w:val="cs-CZ" w:eastAsia="cs-CZ" w:bidi="cs-CZ"/>
      </w:rPr>
    </w:lvl>
  </w:abstractNum>
  <w:abstractNum w:abstractNumId="39" w15:restartNumberingAfterBreak="0">
    <w:nsid w:val="196310FC"/>
    <w:multiLevelType w:val="hybridMultilevel"/>
    <w:tmpl w:val="9FAE5ABE"/>
    <w:lvl w:ilvl="0" w:tplc="9AEA9C84">
      <w:start w:val="288"/>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FBB26EBC">
      <w:numFmt w:val="bullet"/>
      <w:lvlText w:val="•"/>
      <w:lvlJc w:val="left"/>
      <w:pPr>
        <w:ind w:left="712" w:hanging="272"/>
      </w:pPr>
      <w:rPr>
        <w:rFonts w:hint="default"/>
        <w:lang w:val="cs-CZ" w:eastAsia="cs-CZ" w:bidi="cs-CZ"/>
      </w:rPr>
    </w:lvl>
    <w:lvl w:ilvl="2" w:tplc="7E669E72">
      <w:numFmt w:val="bullet"/>
      <w:lvlText w:val="•"/>
      <w:lvlJc w:val="left"/>
      <w:pPr>
        <w:ind w:left="964" w:hanging="272"/>
      </w:pPr>
      <w:rPr>
        <w:rFonts w:hint="default"/>
        <w:lang w:val="cs-CZ" w:eastAsia="cs-CZ" w:bidi="cs-CZ"/>
      </w:rPr>
    </w:lvl>
    <w:lvl w:ilvl="3" w:tplc="2D428A60">
      <w:numFmt w:val="bullet"/>
      <w:lvlText w:val="•"/>
      <w:lvlJc w:val="left"/>
      <w:pPr>
        <w:ind w:left="1217" w:hanging="272"/>
      </w:pPr>
      <w:rPr>
        <w:rFonts w:hint="default"/>
        <w:lang w:val="cs-CZ" w:eastAsia="cs-CZ" w:bidi="cs-CZ"/>
      </w:rPr>
    </w:lvl>
    <w:lvl w:ilvl="4" w:tplc="0B72719C">
      <w:numFmt w:val="bullet"/>
      <w:lvlText w:val="•"/>
      <w:lvlJc w:val="left"/>
      <w:pPr>
        <w:ind w:left="1469" w:hanging="272"/>
      </w:pPr>
      <w:rPr>
        <w:rFonts w:hint="default"/>
        <w:lang w:val="cs-CZ" w:eastAsia="cs-CZ" w:bidi="cs-CZ"/>
      </w:rPr>
    </w:lvl>
    <w:lvl w:ilvl="5" w:tplc="DBE47D74">
      <w:numFmt w:val="bullet"/>
      <w:lvlText w:val="•"/>
      <w:lvlJc w:val="left"/>
      <w:pPr>
        <w:ind w:left="1722" w:hanging="272"/>
      </w:pPr>
      <w:rPr>
        <w:rFonts w:hint="default"/>
        <w:lang w:val="cs-CZ" w:eastAsia="cs-CZ" w:bidi="cs-CZ"/>
      </w:rPr>
    </w:lvl>
    <w:lvl w:ilvl="6" w:tplc="560094D2">
      <w:numFmt w:val="bullet"/>
      <w:lvlText w:val="•"/>
      <w:lvlJc w:val="left"/>
      <w:pPr>
        <w:ind w:left="1974" w:hanging="272"/>
      </w:pPr>
      <w:rPr>
        <w:rFonts w:hint="default"/>
        <w:lang w:val="cs-CZ" w:eastAsia="cs-CZ" w:bidi="cs-CZ"/>
      </w:rPr>
    </w:lvl>
    <w:lvl w:ilvl="7" w:tplc="E9920FA4">
      <w:numFmt w:val="bullet"/>
      <w:lvlText w:val="•"/>
      <w:lvlJc w:val="left"/>
      <w:pPr>
        <w:ind w:left="2227" w:hanging="272"/>
      </w:pPr>
      <w:rPr>
        <w:rFonts w:hint="default"/>
        <w:lang w:val="cs-CZ" w:eastAsia="cs-CZ" w:bidi="cs-CZ"/>
      </w:rPr>
    </w:lvl>
    <w:lvl w:ilvl="8" w:tplc="5D5ABA4E">
      <w:numFmt w:val="bullet"/>
      <w:lvlText w:val="•"/>
      <w:lvlJc w:val="left"/>
      <w:pPr>
        <w:ind w:left="2479" w:hanging="272"/>
      </w:pPr>
      <w:rPr>
        <w:rFonts w:hint="default"/>
        <w:lang w:val="cs-CZ" w:eastAsia="cs-CZ" w:bidi="cs-CZ"/>
      </w:rPr>
    </w:lvl>
  </w:abstractNum>
  <w:abstractNum w:abstractNumId="40" w15:restartNumberingAfterBreak="0">
    <w:nsid w:val="1AD34A27"/>
    <w:multiLevelType w:val="hybridMultilevel"/>
    <w:tmpl w:val="19647FB0"/>
    <w:lvl w:ilvl="0" w:tplc="1040B132">
      <w:start w:val="1"/>
      <w:numFmt w:val="lowerLetter"/>
      <w:lvlText w:val="%1"/>
      <w:lvlJc w:val="left"/>
      <w:pPr>
        <w:ind w:left="637" w:hanging="171"/>
        <w:jc w:val="left"/>
      </w:pPr>
      <w:rPr>
        <w:rFonts w:ascii="Arial" w:eastAsia="Arial" w:hAnsi="Arial" w:cs="Arial" w:hint="default"/>
        <w:color w:val="231F20"/>
        <w:w w:val="99"/>
        <w:sz w:val="15"/>
        <w:szCs w:val="15"/>
        <w:lang w:val="cs-CZ" w:eastAsia="cs-CZ" w:bidi="cs-CZ"/>
      </w:rPr>
    </w:lvl>
    <w:lvl w:ilvl="1" w:tplc="4E6AC2EE">
      <w:numFmt w:val="bullet"/>
      <w:lvlText w:val="•"/>
      <w:lvlJc w:val="left"/>
      <w:pPr>
        <w:ind w:left="1164" w:hanging="171"/>
      </w:pPr>
      <w:rPr>
        <w:rFonts w:hint="default"/>
        <w:lang w:val="cs-CZ" w:eastAsia="cs-CZ" w:bidi="cs-CZ"/>
      </w:rPr>
    </w:lvl>
    <w:lvl w:ilvl="2" w:tplc="C4FA57F2">
      <w:numFmt w:val="bullet"/>
      <w:lvlText w:val="•"/>
      <w:lvlJc w:val="left"/>
      <w:pPr>
        <w:ind w:left="1688" w:hanging="171"/>
      </w:pPr>
      <w:rPr>
        <w:rFonts w:hint="default"/>
        <w:lang w:val="cs-CZ" w:eastAsia="cs-CZ" w:bidi="cs-CZ"/>
      </w:rPr>
    </w:lvl>
    <w:lvl w:ilvl="3" w:tplc="50B6B124">
      <w:numFmt w:val="bullet"/>
      <w:lvlText w:val="•"/>
      <w:lvlJc w:val="left"/>
      <w:pPr>
        <w:ind w:left="2212" w:hanging="171"/>
      </w:pPr>
      <w:rPr>
        <w:rFonts w:hint="default"/>
        <w:lang w:val="cs-CZ" w:eastAsia="cs-CZ" w:bidi="cs-CZ"/>
      </w:rPr>
    </w:lvl>
    <w:lvl w:ilvl="4" w:tplc="27A08BB0">
      <w:numFmt w:val="bullet"/>
      <w:lvlText w:val="•"/>
      <w:lvlJc w:val="left"/>
      <w:pPr>
        <w:ind w:left="2737" w:hanging="171"/>
      </w:pPr>
      <w:rPr>
        <w:rFonts w:hint="default"/>
        <w:lang w:val="cs-CZ" w:eastAsia="cs-CZ" w:bidi="cs-CZ"/>
      </w:rPr>
    </w:lvl>
    <w:lvl w:ilvl="5" w:tplc="5574CAEE">
      <w:numFmt w:val="bullet"/>
      <w:lvlText w:val="•"/>
      <w:lvlJc w:val="left"/>
      <w:pPr>
        <w:ind w:left="3261" w:hanging="171"/>
      </w:pPr>
      <w:rPr>
        <w:rFonts w:hint="default"/>
        <w:lang w:val="cs-CZ" w:eastAsia="cs-CZ" w:bidi="cs-CZ"/>
      </w:rPr>
    </w:lvl>
    <w:lvl w:ilvl="6" w:tplc="8160D17A">
      <w:numFmt w:val="bullet"/>
      <w:lvlText w:val="•"/>
      <w:lvlJc w:val="left"/>
      <w:pPr>
        <w:ind w:left="3785" w:hanging="171"/>
      </w:pPr>
      <w:rPr>
        <w:rFonts w:hint="default"/>
        <w:lang w:val="cs-CZ" w:eastAsia="cs-CZ" w:bidi="cs-CZ"/>
      </w:rPr>
    </w:lvl>
    <w:lvl w:ilvl="7" w:tplc="C5B8CB0C">
      <w:numFmt w:val="bullet"/>
      <w:lvlText w:val="•"/>
      <w:lvlJc w:val="left"/>
      <w:pPr>
        <w:ind w:left="4310" w:hanging="171"/>
      </w:pPr>
      <w:rPr>
        <w:rFonts w:hint="default"/>
        <w:lang w:val="cs-CZ" w:eastAsia="cs-CZ" w:bidi="cs-CZ"/>
      </w:rPr>
    </w:lvl>
    <w:lvl w:ilvl="8" w:tplc="2C12097E">
      <w:numFmt w:val="bullet"/>
      <w:lvlText w:val="•"/>
      <w:lvlJc w:val="left"/>
      <w:pPr>
        <w:ind w:left="4834" w:hanging="171"/>
      </w:pPr>
      <w:rPr>
        <w:rFonts w:hint="default"/>
        <w:lang w:val="cs-CZ" w:eastAsia="cs-CZ" w:bidi="cs-CZ"/>
      </w:rPr>
    </w:lvl>
  </w:abstractNum>
  <w:abstractNum w:abstractNumId="41" w15:restartNumberingAfterBreak="0">
    <w:nsid w:val="1B30419F"/>
    <w:multiLevelType w:val="hybridMultilevel"/>
    <w:tmpl w:val="7B1A2746"/>
    <w:lvl w:ilvl="0" w:tplc="2F5AFBFA">
      <w:start w:val="76"/>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434AF176">
      <w:numFmt w:val="bullet"/>
      <w:lvlText w:val="•"/>
      <w:lvlJc w:val="left"/>
      <w:pPr>
        <w:ind w:left="722" w:hanging="272"/>
      </w:pPr>
      <w:rPr>
        <w:rFonts w:hint="default"/>
        <w:lang w:val="cs-CZ" w:eastAsia="cs-CZ" w:bidi="cs-CZ"/>
      </w:rPr>
    </w:lvl>
    <w:lvl w:ilvl="2" w:tplc="D9A41848">
      <w:numFmt w:val="bullet"/>
      <w:lvlText w:val="•"/>
      <w:lvlJc w:val="left"/>
      <w:pPr>
        <w:ind w:left="984" w:hanging="272"/>
      </w:pPr>
      <w:rPr>
        <w:rFonts w:hint="default"/>
        <w:lang w:val="cs-CZ" w:eastAsia="cs-CZ" w:bidi="cs-CZ"/>
      </w:rPr>
    </w:lvl>
    <w:lvl w:ilvl="3" w:tplc="E212539A">
      <w:numFmt w:val="bullet"/>
      <w:lvlText w:val="•"/>
      <w:lvlJc w:val="left"/>
      <w:pPr>
        <w:ind w:left="1246" w:hanging="272"/>
      </w:pPr>
      <w:rPr>
        <w:rFonts w:hint="default"/>
        <w:lang w:val="cs-CZ" w:eastAsia="cs-CZ" w:bidi="cs-CZ"/>
      </w:rPr>
    </w:lvl>
    <w:lvl w:ilvl="4" w:tplc="D20E1160">
      <w:numFmt w:val="bullet"/>
      <w:lvlText w:val="•"/>
      <w:lvlJc w:val="left"/>
      <w:pPr>
        <w:ind w:left="1509" w:hanging="272"/>
      </w:pPr>
      <w:rPr>
        <w:rFonts w:hint="default"/>
        <w:lang w:val="cs-CZ" w:eastAsia="cs-CZ" w:bidi="cs-CZ"/>
      </w:rPr>
    </w:lvl>
    <w:lvl w:ilvl="5" w:tplc="FD9C07E4">
      <w:numFmt w:val="bullet"/>
      <w:lvlText w:val="•"/>
      <w:lvlJc w:val="left"/>
      <w:pPr>
        <w:ind w:left="1771" w:hanging="272"/>
      </w:pPr>
      <w:rPr>
        <w:rFonts w:hint="default"/>
        <w:lang w:val="cs-CZ" w:eastAsia="cs-CZ" w:bidi="cs-CZ"/>
      </w:rPr>
    </w:lvl>
    <w:lvl w:ilvl="6" w:tplc="37BC982C">
      <w:numFmt w:val="bullet"/>
      <w:lvlText w:val="•"/>
      <w:lvlJc w:val="left"/>
      <w:pPr>
        <w:ind w:left="2033" w:hanging="272"/>
      </w:pPr>
      <w:rPr>
        <w:rFonts w:hint="default"/>
        <w:lang w:val="cs-CZ" w:eastAsia="cs-CZ" w:bidi="cs-CZ"/>
      </w:rPr>
    </w:lvl>
    <w:lvl w:ilvl="7" w:tplc="4F96AA4A">
      <w:numFmt w:val="bullet"/>
      <w:lvlText w:val="•"/>
      <w:lvlJc w:val="left"/>
      <w:pPr>
        <w:ind w:left="2295" w:hanging="272"/>
      </w:pPr>
      <w:rPr>
        <w:rFonts w:hint="default"/>
        <w:lang w:val="cs-CZ" w:eastAsia="cs-CZ" w:bidi="cs-CZ"/>
      </w:rPr>
    </w:lvl>
    <w:lvl w:ilvl="8" w:tplc="8A623BE4">
      <w:numFmt w:val="bullet"/>
      <w:lvlText w:val="•"/>
      <w:lvlJc w:val="left"/>
      <w:pPr>
        <w:ind w:left="2558" w:hanging="272"/>
      </w:pPr>
      <w:rPr>
        <w:rFonts w:hint="default"/>
        <w:lang w:val="cs-CZ" w:eastAsia="cs-CZ" w:bidi="cs-CZ"/>
      </w:rPr>
    </w:lvl>
  </w:abstractNum>
  <w:abstractNum w:abstractNumId="42" w15:restartNumberingAfterBreak="0">
    <w:nsid w:val="1B3E5B02"/>
    <w:multiLevelType w:val="hybridMultilevel"/>
    <w:tmpl w:val="356E30AA"/>
    <w:lvl w:ilvl="0" w:tplc="71F41A2A">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4198EF2C">
      <w:numFmt w:val="bullet"/>
      <w:lvlText w:val="•"/>
      <w:lvlJc w:val="left"/>
      <w:pPr>
        <w:ind w:left="1362" w:hanging="171"/>
      </w:pPr>
      <w:rPr>
        <w:rFonts w:hint="default"/>
        <w:lang w:val="cs-CZ" w:eastAsia="cs-CZ" w:bidi="cs-CZ"/>
      </w:rPr>
    </w:lvl>
    <w:lvl w:ilvl="2" w:tplc="F4761522">
      <w:numFmt w:val="bullet"/>
      <w:lvlText w:val="•"/>
      <w:lvlJc w:val="left"/>
      <w:pPr>
        <w:ind w:left="1844" w:hanging="171"/>
      </w:pPr>
      <w:rPr>
        <w:rFonts w:hint="default"/>
        <w:lang w:val="cs-CZ" w:eastAsia="cs-CZ" w:bidi="cs-CZ"/>
      </w:rPr>
    </w:lvl>
    <w:lvl w:ilvl="3" w:tplc="3394244C">
      <w:numFmt w:val="bullet"/>
      <w:lvlText w:val="•"/>
      <w:lvlJc w:val="left"/>
      <w:pPr>
        <w:ind w:left="2326" w:hanging="171"/>
      </w:pPr>
      <w:rPr>
        <w:rFonts w:hint="default"/>
        <w:lang w:val="cs-CZ" w:eastAsia="cs-CZ" w:bidi="cs-CZ"/>
      </w:rPr>
    </w:lvl>
    <w:lvl w:ilvl="4" w:tplc="F21EF7C8">
      <w:numFmt w:val="bullet"/>
      <w:lvlText w:val="•"/>
      <w:lvlJc w:val="left"/>
      <w:pPr>
        <w:ind w:left="2808" w:hanging="171"/>
      </w:pPr>
      <w:rPr>
        <w:rFonts w:hint="default"/>
        <w:lang w:val="cs-CZ" w:eastAsia="cs-CZ" w:bidi="cs-CZ"/>
      </w:rPr>
    </w:lvl>
    <w:lvl w:ilvl="5" w:tplc="73E46E86">
      <w:numFmt w:val="bullet"/>
      <w:lvlText w:val="•"/>
      <w:lvlJc w:val="left"/>
      <w:pPr>
        <w:ind w:left="3290" w:hanging="171"/>
      </w:pPr>
      <w:rPr>
        <w:rFonts w:hint="default"/>
        <w:lang w:val="cs-CZ" w:eastAsia="cs-CZ" w:bidi="cs-CZ"/>
      </w:rPr>
    </w:lvl>
    <w:lvl w:ilvl="6" w:tplc="9CFAC7C8">
      <w:numFmt w:val="bullet"/>
      <w:lvlText w:val="•"/>
      <w:lvlJc w:val="left"/>
      <w:pPr>
        <w:ind w:left="3772" w:hanging="171"/>
      </w:pPr>
      <w:rPr>
        <w:rFonts w:hint="default"/>
        <w:lang w:val="cs-CZ" w:eastAsia="cs-CZ" w:bidi="cs-CZ"/>
      </w:rPr>
    </w:lvl>
    <w:lvl w:ilvl="7" w:tplc="DB6EA42E">
      <w:numFmt w:val="bullet"/>
      <w:lvlText w:val="•"/>
      <w:lvlJc w:val="left"/>
      <w:pPr>
        <w:ind w:left="4254" w:hanging="171"/>
      </w:pPr>
      <w:rPr>
        <w:rFonts w:hint="default"/>
        <w:lang w:val="cs-CZ" w:eastAsia="cs-CZ" w:bidi="cs-CZ"/>
      </w:rPr>
    </w:lvl>
    <w:lvl w:ilvl="8" w:tplc="17801094">
      <w:numFmt w:val="bullet"/>
      <w:lvlText w:val="•"/>
      <w:lvlJc w:val="left"/>
      <w:pPr>
        <w:ind w:left="4736" w:hanging="171"/>
      </w:pPr>
      <w:rPr>
        <w:rFonts w:hint="default"/>
        <w:lang w:val="cs-CZ" w:eastAsia="cs-CZ" w:bidi="cs-CZ"/>
      </w:rPr>
    </w:lvl>
  </w:abstractNum>
  <w:abstractNum w:abstractNumId="43" w15:restartNumberingAfterBreak="0">
    <w:nsid w:val="1B891246"/>
    <w:multiLevelType w:val="hybridMultilevel"/>
    <w:tmpl w:val="61AEA4D2"/>
    <w:lvl w:ilvl="0" w:tplc="7F346F68">
      <w:start w:val="198"/>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76A06316">
      <w:numFmt w:val="bullet"/>
      <w:lvlText w:val="•"/>
      <w:lvlJc w:val="left"/>
      <w:pPr>
        <w:ind w:left="729" w:hanging="272"/>
      </w:pPr>
      <w:rPr>
        <w:rFonts w:hint="default"/>
        <w:lang w:val="cs-CZ" w:eastAsia="cs-CZ" w:bidi="cs-CZ"/>
      </w:rPr>
    </w:lvl>
    <w:lvl w:ilvl="2" w:tplc="D3446022">
      <w:numFmt w:val="bullet"/>
      <w:lvlText w:val="•"/>
      <w:lvlJc w:val="left"/>
      <w:pPr>
        <w:ind w:left="998" w:hanging="272"/>
      </w:pPr>
      <w:rPr>
        <w:rFonts w:hint="default"/>
        <w:lang w:val="cs-CZ" w:eastAsia="cs-CZ" w:bidi="cs-CZ"/>
      </w:rPr>
    </w:lvl>
    <w:lvl w:ilvl="3" w:tplc="8A58D552">
      <w:numFmt w:val="bullet"/>
      <w:lvlText w:val="•"/>
      <w:lvlJc w:val="left"/>
      <w:pPr>
        <w:ind w:left="1268" w:hanging="272"/>
      </w:pPr>
      <w:rPr>
        <w:rFonts w:hint="default"/>
        <w:lang w:val="cs-CZ" w:eastAsia="cs-CZ" w:bidi="cs-CZ"/>
      </w:rPr>
    </w:lvl>
    <w:lvl w:ilvl="4" w:tplc="47EECA7E">
      <w:numFmt w:val="bullet"/>
      <w:lvlText w:val="•"/>
      <w:lvlJc w:val="left"/>
      <w:pPr>
        <w:ind w:left="1537" w:hanging="272"/>
      </w:pPr>
      <w:rPr>
        <w:rFonts w:hint="default"/>
        <w:lang w:val="cs-CZ" w:eastAsia="cs-CZ" w:bidi="cs-CZ"/>
      </w:rPr>
    </w:lvl>
    <w:lvl w:ilvl="5" w:tplc="D150678A">
      <w:numFmt w:val="bullet"/>
      <w:lvlText w:val="•"/>
      <w:lvlJc w:val="left"/>
      <w:pPr>
        <w:ind w:left="1806" w:hanging="272"/>
      </w:pPr>
      <w:rPr>
        <w:rFonts w:hint="default"/>
        <w:lang w:val="cs-CZ" w:eastAsia="cs-CZ" w:bidi="cs-CZ"/>
      </w:rPr>
    </w:lvl>
    <w:lvl w:ilvl="6" w:tplc="8C0ACF3C">
      <w:numFmt w:val="bullet"/>
      <w:lvlText w:val="•"/>
      <w:lvlJc w:val="left"/>
      <w:pPr>
        <w:ind w:left="2076" w:hanging="272"/>
      </w:pPr>
      <w:rPr>
        <w:rFonts w:hint="default"/>
        <w:lang w:val="cs-CZ" w:eastAsia="cs-CZ" w:bidi="cs-CZ"/>
      </w:rPr>
    </w:lvl>
    <w:lvl w:ilvl="7" w:tplc="E7FC650E">
      <w:numFmt w:val="bullet"/>
      <w:lvlText w:val="•"/>
      <w:lvlJc w:val="left"/>
      <w:pPr>
        <w:ind w:left="2345" w:hanging="272"/>
      </w:pPr>
      <w:rPr>
        <w:rFonts w:hint="default"/>
        <w:lang w:val="cs-CZ" w:eastAsia="cs-CZ" w:bidi="cs-CZ"/>
      </w:rPr>
    </w:lvl>
    <w:lvl w:ilvl="8" w:tplc="38160BB4">
      <w:numFmt w:val="bullet"/>
      <w:lvlText w:val="•"/>
      <w:lvlJc w:val="left"/>
      <w:pPr>
        <w:ind w:left="2614" w:hanging="272"/>
      </w:pPr>
      <w:rPr>
        <w:rFonts w:hint="default"/>
        <w:lang w:val="cs-CZ" w:eastAsia="cs-CZ" w:bidi="cs-CZ"/>
      </w:rPr>
    </w:lvl>
  </w:abstractNum>
  <w:abstractNum w:abstractNumId="44" w15:restartNumberingAfterBreak="0">
    <w:nsid w:val="1B9A06DD"/>
    <w:multiLevelType w:val="hybridMultilevel"/>
    <w:tmpl w:val="DFBA763E"/>
    <w:lvl w:ilvl="0" w:tplc="C136AFB8">
      <w:start w:val="343"/>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A6CC549C">
      <w:numFmt w:val="bullet"/>
      <w:lvlText w:val="•"/>
      <w:lvlJc w:val="left"/>
      <w:pPr>
        <w:ind w:left="727" w:hanging="272"/>
      </w:pPr>
      <w:rPr>
        <w:rFonts w:hint="default"/>
        <w:lang w:val="cs-CZ" w:eastAsia="cs-CZ" w:bidi="cs-CZ"/>
      </w:rPr>
    </w:lvl>
    <w:lvl w:ilvl="2" w:tplc="3D240C4E">
      <w:numFmt w:val="bullet"/>
      <w:lvlText w:val="•"/>
      <w:lvlJc w:val="left"/>
      <w:pPr>
        <w:ind w:left="995" w:hanging="272"/>
      </w:pPr>
      <w:rPr>
        <w:rFonts w:hint="default"/>
        <w:lang w:val="cs-CZ" w:eastAsia="cs-CZ" w:bidi="cs-CZ"/>
      </w:rPr>
    </w:lvl>
    <w:lvl w:ilvl="3" w:tplc="491C0FB8">
      <w:numFmt w:val="bullet"/>
      <w:lvlText w:val="•"/>
      <w:lvlJc w:val="left"/>
      <w:pPr>
        <w:ind w:left="1263" w:hanging="272"/>
      </w:pPr>
      <w:rPr>
        <w:rFonts w:hint="default"/>
        <w:lang w:val="cs-CZ" w:eastAsia="cs-CZ" w:bidi="cs-CZ"/>
      </w:rPr>
    </w:lvl>
    <w:lvl w:ilvl="4" w:tplc="55DEBAFA">
      <w:numFmt w:val="bullet"/>
      <w:lvlText w:val="•"/>
      <w:lvlJc w:val="left"/>
      <w:pPr>
        <w:ind w:left="1531" w:hanging="272"/>
      </w:pPr>
      <w:rPr>
        <w:rFonts w:hint="default"/>
        <w:lang w:val="cs-CZ" w:eastAsia="cs-CZ" w:bidi="cs-CZ"/>
      </w:rPr>
    </w:lvl>
    <w:lvl w:ilvl="5" w:tplc="818667A8">
      <w:numFmt w:val="bullet"/>
      <w:lvlText w:val="•"/>
      <w:lvlJc w:val="left"/>
      <w:pPr>
        <w:ind w:left="1799" w:hanging="272"/>
      </w:pPr>
      <w:rPr>
        <w:rFonts w:hint="default"/>
        <w:lang w:val="cs-CZ" w:eastAsia="cs-CZ" w:bidi="cs-CZ"/>
      </w:rPr>
    </w:lvl>
    <w:lvl w:ilvl="6" w:tplc="1FE62358">
      <w:numFmt w:val="bullet"/>
      <w:lvlText w:val="•"/>
      <w:lvlJc w:val="left"/>
      <w:pPr>
        <w:ind w:left="2067" w:hanging="272"/>
      </w:pPr>
      <w:rPr>
        <w:rFonts w:hint="default"/>
        <w:lang w:val="cs-CZ" w:eastAsia="cs-CZ" w:bidi="cs-CZ"/>
      </w:rPr>
    </w:lvl>
    <w:lvl w:ilvl="7" w:tplc="6660F9EA">
      <w:numFmt w:val="bullet"/>
      <w:lvlText w:val="•"/>
      <w:lvlJc w:val="left"/>
      <w:pPr>
        <w:ind w:left="2335" w:hanging="272"/>
      </w:pPr>
      <w:rPr>
        <w:rFonts w:hint="default"/>
        <w:lang w:val="cs-CZ" w:eastAsia="cs-CZ" w:bidi="cs-CZ"/>
      </w:rPr>
    </w:lvl>
    <w:lvl w:ilvl="8" w:tplc="1AB4C384">
      <w:numFmt w:val="bullet"/>
      <w:lvlText w:val="•"/>
      <w:lvlJc w:val="left"/>
      <w:pPr>
        <w:ind w:left="2603" w:hanging="272"/>
      </w:pPr>
      <w:rPr>
        <w:rFonts w:hint="default"/>
        <w:lang w:val="cs-CZ" w:eastAsia="cs-CZ" w:bidi="cs-CZ"/>
      </w:rPr>
    </w:lvl>
  </w:abstractNum>
  <w:abstractNum w:abstractNumId="45" w15:restartNumberingAfterBreak="0">
    <w:nsid w:val="1BB05644"/>
    <w:multiLevelType w:val="hybridMultilevel"/>
    <w:tmpl w:val="48568DC2"/>
    <w:lvl w:ilvl="0" w:tplc="DEAAD702">
      <w:start w:val="64"/>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22081644">
      <w:numFmt w:val="bullet"/>
      <w:lvlText w:val="•"/>
      <w:lvlJc w:val="left"/>
      <w:pPr>
        <w:ind w:left="722" w:hanging="272"/>
      </w:pPr>
      <w:rPr>
        <w:rFonts w:hint="default"/>
        <w:lang w:val="cs-CZ" w:eastAsia="cs-CZ" w:bidi="cs-CZ"/>
      </w:rPr>
    </w:lvl>
    <w:lvl w:ilvl="2" w:tplc="872078CA">
      <w:numFmt w:val="bullet"/>
      <w:lvlText w:val="•"/>
      <w:lvlJc w:val="left"/>
      <w:pPr>
        <w:ind w:left="984" w:hanging="272"/>
      </w:pPr>
      <w:rPr>
        <w:rFonts w:hint="default"/>
        <w:lang w:val="cs-CZ" w:eastAsia="cs-CZ" w:bidi="cs-CZ"/>
      </w:rPr>
    </w:lvl>
    <w:lvl w:ilvl="3" w:tplc="60ECCC54">
      <w:numFmt w:val="bullet"/>
      <w:lvlText w:val="•"/>
      <w:lvlJc w:val="left"/>
      <w:pPr>
        <w:ind w:left="1246" w:hanging="272"/>
      </w:pPr>
      <w:rPr>
        <w:rFonts w:hint="default"/>
        <w:lang w:val="cs-CZ" w:eastAsia="cs-CZ" w:bidi="cs-CZ"/>
      </w:rPr>
    </w:lvl>
    <w:lvl w:ilvl="4" w:tplc="567079A8">
      <w:numFmt w:val="bullet"/>
      <w:lvlText w:val="•"/>
      <w:lvlJc w:val="left"/>
      <w:pPr>
        <w:ind w:left="1509" w:hanging="272"/>
      </w:pPr>
      <w:rPr>
        <w:rFonts w:hint="default"/>
        <w:lang w:val="cs-CZ" w:eastAsia="cs-CZ" w:bidi="cs-CZ"/>
      </w:rPr>
    </w:lvl>
    <w:lvl w:ilvl="5" w:tplc="828245DA">
      <w:numFmt w:val="bullet"/>
      <w:lvlText w:val="•"/>
      <w:lvlJc w:val="left"/>
      <w:pPr>
        <w:ind w:left="1771" w:hanging="272"/>
      </w:pPr>
      <w:rPr>
        <w:rFonts w:hint="default"/>
        <w:lang w:val="cs-CZ" w:eastAsia="cs-CZ" w:bidi="cs-CZ"/>
      </w:rPr>
    </w:lvl>
    <w:lvl w:ilvl="6" w:tplc="4ABC9250">
      <w:numFmt w:val="bullet"/>
      <w:lvlText w:val="•"/>
      <w:lvlJc w:val="left"/>
      <w:pPr>
        <w:ind w:left="2033" w:hanging="272"/>
      </w:pPr>
      <w:rPr>
        <w:rFonts w:hint="default"/>
        <w:lang w:val="cs-CZ" w:eastAsia="cs-CZ" w:bidi="cs-CZ"/>
      </w:rPr>
    </w:lvl>
    <w:lvl w:ilvl="7" w:tplc="744052F4">
      <w:numFmt w:val="bullet"/>
      <w:lvlText w:val="•"/>
      <w:lvlJc w:val="left"/>
      <w:pPr>
        <w:ind w:left="2295" w:hanging="272"/>
      </w:pPr>
      <w:rPr>
        <w:rFonts w:hint="default"/>
        <w:lang w:val="cs-CZ" w:eastAsia="cs-CZ" w:bidi="cs-CZ"/>
      </w:rPr>
    </w:lvl>
    <w:lvl w:ilvl="8" w:tplc="F468E3D2">
      <w:numFmt w:val="bullet"/>
      <w:lvlText w:val="•"/>
      <w:lvlJc w:val="left"/>
      <w:pPr>
        <w:ind w:left="2558" w:hanging="272"/>
      </w:pPr>
      <w:rPr>
        <w:rFonts w:hint="default"/>
        <w:lang w:val="cs-CZ" w:eastAsia="cs-CZ" w:bidi="cs-CZ"/>
      </w:rPr>
    </w:lvl>
  </w:abstractNum>
  <w:abstractNum w:abstractNumId="46" w15:restartNumberingAfterBreak="0">
    <w:nsid w:val="1C4D6DDB"/>
    <w:multiLevelType w:val="hybridMultilevel"/>
    <w:tmpl w:val="7C0C51D6"/>
    <w:lvl w:ilvl="0" w:tplc="F0267B42">
      <w:start w:val="23"/>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13AE3FD8">
      <w:numFmt w:val="bullet"/>
      <w:lvlText w:val="•"/>
      <w:lvlJc w:val="left"/>
      <w:pPr>
        <w:ind w:left="726" w:hanging="272"/>
      </w:pPr>
      <w:rPr>
        <w:rFonts w:hint="default"/>
        <w:lang w:val="cs-CZ" w:eastAsia="cs-CZ" w:bidi="cs-CZ"/>
      </w:rPr>
    </w:lvl>
    <w:lvl w:ilvl="2" w:tplc="C310E6D0">
      <w:numFmt w:val="bullet"/>
      <w:lvlText w:val="•"/>
      <w:lvlJc w:val="left"/>
      <w:pPr>
        <w:ind w:left="992" w:hanging="272"/>
      </w:pPr>
      <w:rPr>
        <w:rFonts w:hint="default"/>
        <w:lang w:val="cs-CZ" w:eastAsia="cs-CZ" w:bidi="cs-CZ"/>
      </w:rPr>
    </w:lvl>
    <w:lvl w:ilvl="3" w:tplc="7310BA7A">
      <w:numFmt w:val="bullet"/>
      <w:lvlText w:val="•"/>
      <w:lvlJc w:val="left"/>
      <w:pPr>
        <w:ind w:left="1259" w:hanging="272"/>
      </w:pPr>
      <w:rPr>
        <w:rFonts w:hint="default"/>
        <w:lang w:val="cs-CZ" w:eastAsia="cs-CZ" w:bidi="cs-CZ"/>
      </w:rPr>
    </w:lvl>
    <w:lvl w:ilvl="4" w:tplc="53CAC08A">
      <w:numFmt w:val="bullet"/>
      <w:lvlText w:val="•"/>
      <w:lvlJc w:val="left"/>
      <w:pPr>
        <w:ind w:left="1525" w:hanging="272"/>
      </w:pPr>
      <w:rPr>
        <w:rFonts w:hint="default"/>
        <w:lang w:val="cs-CZ" w:eastAsia="cs-CZ" w:bidi="cs-CZ"/>
      </w:rPr>
    </w:lvl>
    <w:lvl w:ilvl="5" w:tplc="1B74B606">
      <w:numFmt w:val="bullet"/>
      <w:lvlText w:val="•"/>
      <w:lvlJc w:val="left"/>
      <w:pPr>
        <w:ind w:left="1792" w:hanging="272"/>
      </w:pPr>
      <w:rPr>
        <w:rFonts w:hint="default"/>
        <w:lang w:val="cs-CZ" w:eastAsia="cs-CZ" w:bidi="cs-CZ"/>
      </w:rPr>
    </w:lvl>
    <w:lvl w:ilvl="6" w:tplc="75E4352C">
      <w:numFmt w:val="bullet"/>
      <w:lvlText w:val="•"/>
      <w:lvlJc w:val="left"/>
      <w:pPr>
        <w:ind w:left="2058" w:hanging="272"/>
      </w:pPr>
      <w:rPr>
        <w:rFonts w:hint="default"/>
        <w:lang w:val="cs-CZ" w:eastAsia="cs-CZ" w:bidi="cs-CZ"/>
      </w:rPr>
    </w:lvl>
    <w:lvl w:ilvl="7" w:tplc="4A3C2D14">
      <w:numFmt w:val="bullet"/>
      <w:lvlText w:val="•"/>
      <w:lvlJc w:val="left"/>
      <w:pPr>
        <w:ind w:left="2325" w:hanging="272"/>
      </w:pPr>
      <w:rPr>
        <w:rFonts w:hint="default"/>
        <w:lang w:val="cs-CZ" w:eastAsia="cs-CZ" w:bidi="cs-CZ"/>
      </w:rPr>
    </w:lvl>
    <w:lvl w:ilvl="8" w:tplc="C482615C">
      <w:numFmt w:val="bullet"/>
      <w:lvlText w:val="•"/>
      <w:lvlJc w:val="left"/>
      <w:pPr>
        <w:ind w:left="2591" w:hanging="272"/>
      </w:pPr>
      <w:rPr>
        <w:rFonts w:hint="default"/>
        <w:lang w:val="cs-CZ" w:eastAsia="cs-CZ" w:bidi="cs-CZ"/>
      </w:rPr>
    </w:lvl>
  </w:abstractNum>
  <w:abstractNum w:abstractNumId="47" w15:restartNumberingAfterBreak="0">
    <w:nsid w:val="20365DBD"/>
    <w:multiLevelType w:val="hybridMultilevel"/>
    <w:tmpl w:val="B1BCFA9A"/>
    <w:lvl w:ilvl="0" w:tplc="812860D4">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3B06C7F2">
      <w:numFmt w:val="bullet"/>
      <w:lvlText w:val="•"/>
      <w:lvlJc w:val="left"/>
      <w:pPr>
        <w:ind w:left="1362" w:hanging="171"/>
      </w:pPr>
      <w:rPr>
        <w:rFonts w:hint="default"/>
        <w:lang w:val="cs-CZ" w:eastAsia="cs-CZ" w:bidi="cs-CZ"/>
      </w:rPr>
    </w:lvl>
    <w:lvl w:ilvl="2" w:tplc="291A277E">
      <w:numFmt w:val="bullet"/>
      <w:lvlText w:val="•"/>
      <w:lvlJc w:val="left"/>
      <w:pPr>
        <w:ind w:left="1844" w:hanging="171"/>
      </w:pPr>
      <w:rPr>
        <w:rFonts w:hint="default"/>
        <w:lang w:val="cs-CZ" w:eastAsia="cs-CZ" w:bidi="cs-CZ"/>
      </w:rPr>
    </w:lvl>
    <w:lvl w:ilvl="3" w:tplc="9A0066B8">
      <w:numFmt w:val="bullet"/>
      <w:lvlText w:val="•"/>
      <w:lvlJc w:val="left"/>
      <w:pPr>
        <w:ind w:left="2326" w:hanging="171"/>
      </w:pPr>
      <w:rPr>
        <w:rFonts w:hint="default"/>
        <w:lang w:val="cs-CZ" w:eastAsia="cs-CZ" w:bidi="cs-CZ"/>
      </w:rPr>
    </w:lvl>
    <w:lvl w:ilvl="4" w:tplc="12BE58FA">
      <w:numFmt w:val="bullet"/>
      <w:lvlText w:val="•"/>
      <w:lvlJc w:val="left"/>
      <w:pPr>
        <w:ind w:left="2808" w:hanging="171"/>
      </w:pPr>
      <w:rPr>
        <w:rFonts w:hint="default"/>
        <w:lang w:val="cs-CZ" w:eastAsia="cs-CZ" w:bidi="cs-CZ"/>
      </w:rPr>
    </w:lvl>
    <w:lvl w:ilvl="5" w:tplc="DEB2E34E">
      <w:numFmt w:val="bullet"/>
      <w:lvlText w:val="•"/>
      <w:lvlJc w:val="left"/>
      <w:pPr>
        <w:ind w:left="3291" w:hanging="171"/>
      </w:pPr>
      <w:rPr>
        <w:rFonts w:hint="default"/>
        <w:lang w:val="cs-CZ" w:eastAsia="cs-CZ" w:bidi="cs-CZ"/>
      </w:rPr>
    </w:lvl>
    <w:lvl w:ilvl="6" w:tplc="BAB2E46C">
      <w:numFmt w:val="bullet"/>
      <w:lvlText w:val="•"/>
      <w:lvlJc w:val="left"/>
      <w:pPr>
        <w:ind w:left="3773" w:hanging="171"/>
      </w:pPr>
      <w:rPr>
        <w:rFonts w:hint="default"/>
        <w:lang w:val="cs-CZ" w:eastAsia="cs-CZ" w:bidi="cs-CZ"/>
      </w:rPr>
    </w:lvl>
    <w:lvl w:ilvl="7" w:tplc="7E04C6DC">
      <w:numFmt w:val="bullet"/>
      <w:lvlText w:val="•"/>
      <w:lvlJc w:val="left"/>
      <w:pPr>
        <w:ind w:left="4255" w:hanging="171"/>
      </w:pPr>
      <w:rPr>
        <w:rFonts w:hint="default"/>
        <w:lang w:val="cs-CZ" w:eastAsia="cs-CZ" w:bidi="cs-CZ"/>
      </w:rPr>
    </w:lvl>
    <w:lvl w:ilvl="8" w:tplc="87C2C17E">
      <w:numFmt w:val="bullet"/>
      <w:lvlText w:val="•"/>
      <w:lvlJc w:val="left"/>
      <w:pPr>
        <w:ind w:left="4737" w:hanging="171"/>
      </w:pPr>
      <w:rPr>
        <w:rFonts w:hint="default"/>
        <w:lang w:val="cs-CZ" w:eastAsia="cs-CZ" w:bidi="cs-CZ"/>
      </w:rPr>
    </w:lvl>
  </w:abstractNum>
  <w:abstractNum w:abstractNumId="48" w15:restartNumberingAfterBreak="0">
    <w:nsid w:val="20D965AF"/>
    <w:multiLevelType w:val="hybridMultilevel"/>
    <w:tmpl w:val="77D8363C"/>
    <w:lvl w:ilvl="0" w:tplc="09043694">
      <w:start w:val="188"/>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246ED94A">
      <w:numFmt w:val="bullet"/>
      <w:lvlText w:val="•"/>
      <w:lvlJc w:val="left"/>
      <w:pPr>
        <w:ind w:left="729" w:hanging="272"/>
      </w:pPr>
      <w:rPr>
        <w:rFonts w:hint="default"/>
        <w:lang w:val="cs-CZ" w:eastAsia="cs-CZ" w:bidi="cs-CZ"/>
      </w:rPr>
    </w:lvl>
    <w:lvl w:ilvl="2" w:tplc="9ECC7B5A">
      <w:numFmt w:val="bullet"/>
      <w:lvlText w:val="•"/>
      <w:lvlJc w:val="left"/>
      <w:pPr>
        <w:ind w:left="998" w:hanging="272"/>
      </w:pPr>
      <w:rPr>
        <w:rFonts w:hint="default"/>
        <w:lang w:val="cs-CZ" w:eastAsia="cs-CZ" w:bidi="cs-CZ"/>
      </w:rPr>
    </w:lvl>
    <w:lvl w:ilvl="3" w:tplc="CB669EC6">
      <w:numFmt w:val="bullet"/>
      <w:lvlText w:val="•"/>
      <w:lvlJc w:val="left"/>
      <w:pPr>
        <w:ind w:left="1268" w:hanging="272"/>
      </w:pPr>
      <w:rPr>
        <w:rFonts w:hint="default"/>
        <w:lang w:val="cs-CZ" w:eastAsia="cs-CZ" w:bidi="cs-CZ"/>
      </w:rPr>
    </w:lvl>
    <w:lvl w:ilvl="4" w:tplc="AAA885CC">
      <w:numFmt w:val="bullet"/>
      <w:lvlText w:val="•"/>
      <w:lvlJc w:val="left"/>
      <w:pPr>
        <w:ind w:left="1537" w:hanging="272"/>
      </w:pPr>
      <w:rPr>
        <w:rFonts w:hint="default"/>
        <w:lang w:val="cs-CZ" w:eastAsia="cs-CZ" w:bidi="cs-CZ"/>
      </w:rPr>
    </w:lvl>
    <w:lvl w:ilvl="5" w:tplc="80A80D00">
      <w:numFmt w:val="bullet"/>
      <w:lvlText w:val="•"/>
      <w:lvlJc w:val="left"/>
      <w:pPr>
        <w:ind w:left="1806" w:hanging="272"/>
      </w:pPr>
      <w:rPr>
        <w:rFonts w:hint="default"/>
        <w:lang w:val="cs-CZ" w:eastAsia="cs-CZ" w:bidi="cs-CZ"/>
      </w:rPr>
    </w:lvl>
    <w:lvl w:ilvl="6" w:tplc="0D2ED9BC">
      <w:numFmt w:val="bullet"/>
      <w:lvlText w:val="•"/>
      <w:lvlJc w:val="left"/>
      <w:pPr>
        <w:ind w:left="2076" w:hanging="272"/>
      </w:pPr>
      <w:rPr>
        <w:rFonts w:hint="default"/>
        <w:lang w:val="cs-CZ" w:eastAsia="cs-CZ" w:bidi="cs-CZ"/>
      </w:rPr>
    </w:lvl>
    <w:lvl w:ilvl="7" w:tplc="BF628230">
      <w:numFmt w:val="bullet"/>
      <w:lvlText w:val="•"/>
      <w:lvlJc w:val="left"/>
      <w:pPr>
        <w:ind w:left="2345" w:hanging="272"/>
      </w:pPr>
      <w:rPr>
        <w:rFonts w:hint="default"/>
        <w:lang w:val="cs-CZ" w:eastAsia="cs-CZ" w:bidi="cs-CZ"/>
      </w:rPr>
    </w:lvl>
    <w:lvl w:ilvl="8" w:tplc="DCAA07F8">
      <w:numFmt w:val="bullet"/>
      <w:lvlText w:val="•"/>
      <w:lvlJc w:val="left"/>
      <w:pPr>
        <w:ind w:left="2614" w:hanging="272"/>
      </w:pPr>
      <w:rPr>
        <w:rFonts w:hint="default"/>
        <w:lang w:val="cs-CZ" w:eastAsia="cs-CZ" w:bidi="cs-CZ"/>
      </w:rPr>
    </w:lvl>
  </w:abstractNum>
  <w:abstractNum w:abstractNumId="49" w15:restartNumberingAfterBreak="0">
    <w:nsid w:val="224B5F40"/>
    <w:multiLevelType w:val="hybridMultilevel"/>
    <w:tmpl w:val="CEF8B100"/>
    <w:lvl w:ilvl="0" w:tplc="FEDE3FF6">
      <w:start w:val="32"/>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3C260D32">
      <w:numFmt w:val="bullet"/>
      <w:lvlText w:val="•"/>
      <w:lvlJc w:val="left"/>
      <w:pPr>
        <w:ind w:left="712" w:hanging="272"/>
      </w:pPr>
      <w:rPr>
        <w:rFonts w:hint="default"/>
        <w:lang w:val="cs-CZ" w:eastAsia="cs-CZ" w:bidi="cs-CZ"/>
      </w:rPr>
    </w:lvl>
    <w:lvl w:ilvl="2" w:tplc="8FF07168">
      <w:numFmt w:val="bullet"/>
      <w:lvlText w:val="•"/>
      <w:lvlJc w:val="left"/>
      <w:pPr>
        <w:ind w:left="965" w:hanging="272"/>
      </w:pPr>
      <w:rPr>
        <w:rFonts w:hint="default"/>
        <w:lang w:val="cs-CZ" w:eastAsia="cs-CZ" w:bidi="cs-CZ"/>
      </w:rPr>
    </w:lvl>
    <w:lvl w:ilvl="3" w:tplc="04ACBCCA">
      <w:numFmt w:val="bullet"/>
      <w:lvlText w:val="•"/>
      <w:lvlJc w:val="left"/>
      <w:pPr>
        <w:ind w:left="1218" w:hanging="272"/>
      </w:pPr>
      <w:rPr>
        <w:rFonts w:hint="default"/>
        <w:lang w:val="cs-CZ" w:eastAsia="cs-CZ" w:bidi="cs-CZ"/>
      </w:rPr>
    </w:lvl>
    <w:lvl w:ilvl="4" w:tplc="2326B742">
      <w:numFmt w:val="bullet"/>
      <w:lvlText w:val="•"/>
      <w:lvlJc w:val="left"/>
      <w:pPr>
        <w:ind w:left="1470" w:hanging="272"/>
      </w:pPr>
      <w:rPr>
        <w:rFonts w:hint="default"/>
        <w:lang w:val="cs-CZ" w:eastAsia="cs-CZ" w:bidi="cs-CZ"/>
      </w:rPr>
    </w:lvl>
    <w:lvl w:ilvl="5" w:tplc="F8F0DA08">
      <w:numFmt w:val="bullet"/>
      <w:lvlText w:val="•"/>
      <w:lvlJc w:val="left"/>
      <w:pPr>
        <w:ind w:left="1723" w:hanging="272"/>
      </w:pPr>
      <w:rPr>
        <w:rFonts w:hint="default"/>
        <w:lang w:val="cs-CZ" w:eastAsia="cs-CZ" w:bidi="cs-CZ"/>
      </w:rPr>
    </w:lvl>
    <w:lvl w:ilvl="6" w:tplc="1EEEFA02">
      <w:numFmt w:val="bullet"/>
      <w:lvlText w:val="•"/>
      <w:lvlJc w:val="left"/>
      <w:pPr>
        <w:ind w:left="1976" w:hanging="272"/>
      </w:pPr>
      <w:rPr>
        <w:rFonts w:hint="default"/>
        <w:lang w:val="cs-CZ" w:eastAsia="cs-CZ" w:bidi="cs-CZ"/>
      </w:rPr>
    </w:lvl>
    <w:lvl w:ilvl="7" w:tplc="A54AA75C">
      <w:numFmt w:val="bullet"/>
      <w:lvlText w:val="•"/>
      <w:lvlJc w:val="left"/>
      <w:pPr>
        <w:ind w:left="2229" w:hanging="272"/>
      </w:pPr>
      <w:rPr>
        <w:rFonts w:hint="default"/>
        <w:lang w:val="cs-CZ" w:eastAsia="cs-CZ" w:bidi="cs-CZ"/>
      </w:rPr>
    </w:lvl>
    <w:lvl w:ilvl="8" w:tplc="FE42D37A">
      <w:numFmt w:val="bullet"/>
      <w:lvlText w:val="•"/>
      <w:lvlJc w:val="left"/>
      <w:pPr>
        <w:ind w:left="2481" w:hanging="272"/>
      </w:pPr>
      <w:rPr>
        <w:rFonts w:hint="default"/>
        <w:lang w:val="cs-CZ" w:eastAsia="cs-CZ" w:bidi="cs-CZ"/>
      </w:rPr>
    </w:lvl>
  </w:abstractNum>
  <w:abstractNum w:abstractNumId="50" w15:restartNumberingAfterBreak="0">
    <w:nsid w:val="231A4F3B"/>
    <w:multiLevelType w:val="hybridMultilevel"/>
    <w:tmpl w:val="B97EA190"/>
    <w:lvl w:ilvl="0" w:tplc="AB4ADB5C">
      <w:start w:val="305"/>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D9F2D568">
      <w:numFmt w:val="bullet"/>
      <w:lvlText w:val="•"/>
      <w:lvlJc w:val="left"/>
      <w:pPr>
        <w:ind w:left="727" w:hanging="272"/>
      </w:pPr>
      <w:rPr>
        <w:rFonts w:hint="default"/>
        <w:lang w:val="cs-CZ" w:eastAsia="cs-CZ" w:bidi="cs-CZ"/>
      </w:rPr>
    </w:lvl>
    <w:lvl w:ilvl="2" w:tplc="A62C9402">
      <w:numFmt w:val="bullet"/>
      <w:lvlText w:val="•"/>
      <w:lvlJc w:val="left"/>
      <w:pPr>
        <w:ind w:left="994" w:hanging="272"/>
      </w:pPr>
      <w:rPr>
        <w:rFonts w:hint="default"/>
        <w:lang w:val="cs-CZ" w:eastAsia="cs-CZ" w:bidi="cs-CZ"/>
      </w:rPr>
    </w:lvl>
    <w:lvl w:ilvl="3" w:tplc="73ECA35A">
      <w:numFmt w:val="bullet"/>
      <w:lvlText w:val="•"/>
      <w:lvlJc w:val="left"/>
      <w:pPr>
        <w:ind w:left="1261" w:hanging="272"/>
      </w:pPr>
      <w:rPr>
        <w:rFonts w:hint="default"/>
        <w:lang w:val="cs-CZ" w:eastAsia="cs-CZ" w:bidi="cs-CZ"/>
      </w:rPr>
    </w:lvl>
    <w:lvl w:ilvl="4" w:tplc="395248DE">
      <w:numFmt w:val="bullet"/>
      <w:lvlText w:val="•"/>
      <w:lvlJc w:val="left"/>
      <w:pPr>
        <w:ind w:left="1528" w:hanging="272"/>
      </w:pPr>
      <w:rPr>
        <w:rFonts w:hint="default"/>
        <w:lang w:val="cs-CZ" w:eastAsia="cs-CZ" w:bidi="cs-CZ"/>
      </w:rPr>
    </w:lvl>
    <w:lvl w:ilvl="5" w:tplc="C9A67ABE">
      <w:numFmt w:val="bullet"/>
      <w:lvlText w:val="•"/>
      <w:lvlJc w:val="left"/>
      <w:pPr>
        <w:ind w:left="1795" w:hanging="272"/>
      </w:pPr>
      <w:rPr>
        <w:rFonts w:hint="default"/>
        <w:lang w:val="cs-CZ" w:eastAsia="cs-CZ" w:bidi="cs-CZ"/>
      </w:rPr>
    </w:lvl>
    <w:lvl w:ilvl="6" w:tplc="39B415EA">
      <w:numFmt w:val="bullet"/>
      <w:lvlText w:val="•"/>
      <w:lvlJc w:val="left"/>
      <w:pPr>
        <w:ind w:left="2062" w:hanging="272"/>
      </w:pPr>
      <w:rPr>
        <w:rFonts w:hint="default"/>
        <w:lang w:val="cs-CZ" w:eastAsia="cs-CZ" w:bidi="cs-CZ"/>
      </w:rPr>
    </w:lvl>
    <w:lvl w:ilvl="7" w:tplc="159A0374">
      <w:numFmt w:val="bullet"/>
      <w:lvlText w:val="•"/>
      <w:lvlJc w:val="left"/>
      <w:pPr>
        <w:ind w:left="2329" w:hanging="272"/>
      </w:pPr>
      <w:rPr>
        <w:rFonts w:hint="default"/>
        <w:lang w:val="cs-CZ" w:eastAsia="cs-CZ" w:bidi="cs-CZ"/>
      </w:rPr>
    </w:lvl>
    <w:lvl w:ilvl="8" w:tplc="B6602F44">
      <w:numFmt w:val="bullet"/>
      <w:lvlText w:val="•"/>
      <w:lvlJc w:val="left"/>
      <w:pPr>
        <w:ind w:left="2597" w:hanging="272"/>
      </w:pPr>
      <w:rPr>
        <w:rFonts w:hint="default"/>
        <w:lang w:val="cs-CZ" w:eastAsia="cs-CZ" w:bidi="cs-CZ"/>
      </w:rPr>
    </w:lvl>
  </w:abstractNum>
  <w:abstractNum w:abstractNumId="51" w15:restartNumberingAfterBreak="0">
    <w:nsid w:val="23AE708B"/>
    <w:multiLevelType w:val="hybridMultilevel"/>
    <w:tmpl w:val="A2F89F32"/>
    <w:lvl w:ilvl="0" w:tplc="C17090EA">
      <w:start w:val="2"/>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F74487AC">
      <w:numFmt w:val="bullet"/>
      <w:lvlText w:val="•"/>
      <w:lvlJc w:val="left"/>
      <w:pPr>
        <w:ind w:left="707" w:hanging="272"/>
      </w:pPr>
      <w:rPr>
        <w:rFonts w:hint="default"/>
        <w:lang w:val="cs-CZ" w:eastAsia="cs-CZ" w:bidi="cs-CZ"/>
      </w:rPr>
    </w:lvl>
    <w:lvl w:ilvl="2" w:tplc="72AC9C60">
      <w:numFmt w:val="bullet"/>
      <w:lvlText w:val="•"/>
      <w:lvlJc w:val="left"/>
      <w:pPr>
        <w:ind w:left="954" w:hanging="272"/>
      </w:pPr>
      <w:rPr>
        <w:rFonts w:hint="default"/>
        <w:lang w:val="cs-CZ" w:eastAsia="cs-CZ" w:bidi="cs-CZ"/>
      </w:rPr>
    </w:lvl>
    <w:lvl w:ilvl="3" w:tplc="B30ECBD8">
      <w:numFmt w:val="bullet"/>
      <w:lvlText w:val="•"/>
      <w:lvlJc w:val="left"/>
      <w:pPr>
        <w:ind w:left="1201" w:hanging="272"/>
      </w:pPr>
      <w:rPr>
        <w:rFonts w:hint="default"/>
        <w:lang w:val="cs-CZ" w:eastAsia="cs-CZ" w:bidi="cs-CZ"/>
      </w:rPr>
    </w:lvl>
    <w:lvl w:ilvl="4" w:tplc="D55E3986">
      <w:numFmt w:val="bullet"/>
      <w:lvlText w:val="•"/>
      <w:lvlJc w:val="left"/>
      <w:pPr>
        <w:ind w:left="1448" w:hanging="272"/>
      </w:pPr>
      <w:rPr>
        <w:rFonts w:hint="default"/>
        <w:lang w:val="cs-CZ" w:eastAsia="cs-CZ" w:bidi="cs-CZ"/>
      </w:rPr>
    </w:lvl>
    <w:lvl w:ilvl="5" w:tplc="27C2B438">
      <w:numFmt w:val="bullet"/>
      <w:lvlText w:val="•"/>
      <w:lvlJc w:val="left"/>
      <w:pPr>
        <w:ind w:left="1695" w:hanging="272"/>
      </w:pPr>
      <w:rPr>
        <w:rFonts w:hint="default"/>
        <w:lang w:val="cs-CZ" w:eastAsia="cs-CZ" w:bidi="cs-CZ"/>
      </w:rPr>
    </w:lvl>
    <w:lvl w:ilvl="6" w:tplc="37448DDE">
      <w:numFmt w:val="bullet"/>
      <w:lvlText w:val="•"/>
      <w:lvlJc w:val="left"/>
      <w:pPr>
        <w:ind w:left="1942" w:hanging="272"/>
      </w:pPr>
      <w:rPr>
        <w:rFonts w:hint="default"/>
        <w:lang w:val="cs-CZ" w:eastAsia="cs-CZ" w:bidi="cs-CZ"/>
      </w:rPr>
    </w:lvl>
    <w:lvl w:ilvl="7" w:tplc="EA08E9D2">
      <w:numFmt w:val="bullet"/>
      <w:lvlText w:val="•"/>
      <w:lvlJc w:val="left"/>
      <w:pPr>
        <w:ind w:left="2190" w:hanging="272"/>
      </w:pPr>
      <w:rPr>
        <w:rFonts w:hint="default"/>
        <w:lang w:val="cs-CZ" w:eastAsia="cs-CZ" w:bidi="cs-CZ"/>
      </w:rPr>
    </w:lvl>
    <w:lvl w:ilvl="8" w:tplc="C9E2768E">
      <w:numFmt w:val="bullet"/>
      <w:lvlText w:val="•"/>
      <w:lvlJc w:val="left"/>
      <w:pPr>
        <w:ind w:left="2437" w:hanging="272"/>
      </w:pPr>
      <w:rPr>
        <w:rFonts w:hint="default"/>
        <w:lang w:val="cs-CZ" w:eastAsia="cs-CZ" w:bidi="cs-CZ"/>
      </w:rPr>
    </w:lvl>
  </w:abstractNum>
  <w:abstractNum w:abstractNumId="52" w15:restartNumberingAfterBreak="0">
    <w:nsid w:val="25BD7B0D"/>
    <w:multiLevelType w:val="hybridMultilevel"/>
    <w:tmpl w:val="C61E0FE2"/>
    <w:lvl w:ilvl="0" w:tplc="A878801A">
      <w:start w:val="255"/>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CACC6DBA">
      <w:numFmt w:val="bullet"/>
      <w:lvlText w:val="•"/>
      <w:lvlJc w:val="left"/>
      <w:pPr>
        <w:ind w:left="729" w:hanging="272"/>
      </w:pPr>
      <w:rPr>
        <w:rFonts w:hint="default"/>
        <w:lang w:val="cs-CZ" w:eastAsia="cs-CZ" w:bidi="cs-CZ"/>
      </w:rPr>
    </w:lvl>
    <w:lvl w:ilvl="2" w:tplc="F3A8311C">
      <w:numFmt w:val="bullet"/>
      <w:lvlText w:val="•"/>
      <w:lvlJc w:val="left"/>
      <w:pPr>
        <w:ind w:left="999" w:hanging="272"/>
      </w:pPr>
      <w:rPr>
        <w:rFonts w:hint="default"/>
        <w:lang w:val="cs-CZ" w:eastAsia="cs-CZ" w:bidi="cs-CZ"/>
      </w:rPr>
    </w:lvl>
    <w:lvl w:ilvl="3" w:tplc="54F21B22">
      <w:numFmt w:val="bullet"/>
      <w:lvlText w:val="•"/>
      <w:lvlJc w:val="left"/>
      <w:pPr>
        <w:ind w:left="1269" w:hanging="272"/>
      </w:pPr>
      <w:rPr>
        <w:rFonts w:hint="default"/>
        <w:lang w:val="cs-CZ" w:eastAsia="cs-CZ" w:bidi="cs-CZ"/>
      </w:rPr>
    </w:lvl>
    <w:lvl w:ilvl="4" w:tplc="58BCB04A">
      <w:numFmt w:val="bullet"/>
      <w:lvlText w:val="•"/>
      <w:lvlJc w:val="left"/>
      <w:pPr>
        <w:ind w:left="1539" w:hanging="272"/>
      </w:pPr>
      <w:rPr>
        <w:rFonts w:hint="default"/>
        <w:lang w:val="cs-CZ" w:eastAsia="cs-CZ" w:bidi="cs-CZ"/>
      </w:rPr>
    </w:lvl>
    <w:lvl w:ilvl="5" w:tplc="B60CA0B8">
      <w:numFmt w:val="bullet"/>
      <w:lvlText w:val="•"/>
      <w:lvlJc w:val="left"/>
      <w:pPr>
        <w:ind w:left="1809" w:hanging="272"/>
      </w:pPr>
      <w:rPr>
        <w:rFonts w:hint="default"/>
        <w:lang w:val="cs-CZ" w:eastAsia="cs-CZ" w:bidi="cs-CZ"/>
      </w:rPr>
    </w:lvl>
    <w:lvl w:ilvl="6" w:tplc="4552DD32">
      <w:numFmt w:val="bullet"/>
      <w:lvlText w:val="•"/>
      <w:lvlJc w:val="left"/>
      <w:pPr>
        <w:ind w:left="2079" w:hanging="272"/>
      </w:pPr>
      <w:rPr>
        <w:rFonts w:hint="default"/>
        <w:lang w:val="cs-CZ" w:eastAsia="cs-CZ" w:bidi="cs-CZ"/>
      </w:rPr>
    </w:lvl>
    <w:lvl w:ilvl="7" w:tplc="4844DBDA">
      <w:numFmt w:val="bullet"/>
      <w:lvlText w:val="•"/>
      <w:lvlJc w:val="left"/>
      <w:pPr>
        <w:ind w:left="2349" w:hanging="272"/>
      </w:pPr>
      <w:rPr>
        <w:rFonts w:hint="default"/>
        <w:lang w:val="cs-CZ" w:eastAsia="cs-CZ" w:bidi="cs-CZ"/>
      </w:rPr>
    </w:lvl>
    <w:lvl w:ilvl="8" w:tplc="D5EE92EE">
      <w:numFmt w:val="bullet"/>
      <w:lvlText w:val="•"/>
      <w:lvlJc w:val="left"/>
      <w:pPr>
        <w:ind w:left="2619" w:hanging="272"/>
      </w:pPr>
      <w:rPr>
        <w:rFonts w:hint="default"/>
        <w:lang w:val="cs-CZ" w:eastAsia="cs-CZ" w:bidi="cs-CZ"/>
      </w:rPr>
    </w:lvl>
  </w:abstractNum>
  <w:abstractNum w:abstractNumId="53" w15:restartNumberingAfterBreak="0">
    <w:nsid w:val="26D86304"/>
    <w:multiLevelType w:val="hybridMultilevel"/>
    <w:tmpl w:val="981A82EA"/>
    <w:lvl w:ilvl="0" w:tplc="C866647E">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9DCC1A22">
      <w:numFmt w:val="bullet"/>
      <w:lvlText w:val="•"/>
      <w:lvlJc w:val="left"/>
      <w:pPr>
        <w:ind w:left="1362" w:hanging="171"/>
      </w:pPr>
      <w:rPr>
        <w:rFonts w:hint="default"/>
        <w:lang w:val="cs-CZ" w:eastAsia="cs-CZ" w:bidi="cs-CZ"/>
      </w:rPr>
    </w:lvl>
    <w:lvl w:ilvl="2" w:tplc="F902899A">
      <w:numFmt w:val="bullet"/>
      <w:lvlText w:val="•"/>
      <w:lvlJc w:val="left"/>
      <w:pPr>
        <w:ind w:left="1843" w:hanging="171"/>
      </w:pPr>
      <w:rPr>
        <w:rFonts w:hint="default"/>
        <w:lang w:val="cs-CZ" w:eastAsia="cs-CZ" w:bidi="cs-CZ"/>
      </w:rPr>
    </w:lvl>
    <w:lvl w:ilvl="3" w:tplc="8076D55E">
      <w:numFmt w:val="bullet"/>
      <w:lvlText w:val="•"/>
      <w:lvlJc w:val="left"/>
      <w:pPr>
        <w:ind w:left="2325" w:hanging="171"/>
      </w:pPr>
      <w:rPr>
        <w:rFonts w:hint="default"/>
        <w:lang w:val="cs-CZ" w:eastAsia="cs-CZ" w:bidi="cs-CZ"/>
      </w:rPr>
    </w:lvl>
    <w:lvl w:ilvl="4" w:tplc="FE967DE0">
      <w:numFmt w:val="bullet"/>
      <w:lvlText w:val="•"/>
      <w:lvlJc w:val="left"/>
      <w:pPr>
        <w:ind w:left="2807" w:hanging="171"/>
      </w:pPr>
      <w:rPr>
        <w:rFonts w:hint="default"/>
        <w:lang w:val="cs-CZ" w:eastAsia="cs-CZ" w:bidi="cs-CZ"/>
      </w:rPr>
    </w:lvl>
    <w:lvl w:ilvl="5" w:tplc="8F04FE24">
      <w:numFmt w:val="bullet"/>
      <w:lvlText w:val="•"/>
      <w:lvlJc w:val="left"/>
      <w:pPr>
        <w:ind w:left="3289" w:hanging="171"/>
      </w:pPr>
      <w:rPr>
        <w:rFonts w:hint="default"/>
        <w:lang w:val="cs-CZ" w:eastAsia="cs-CZ" w:bidi="cs-CZ"/>
      </w:rPr>
    </w:lvl>
    <w:lvl w:ilvl="6" w:tplc="547C9A26">
      <w:numFmt w:val="bullet"/>
      <w:lvlText w:val="•"/>
      <w:lvlJc w:val="left"/>
      <w:pPr>
        <w:ind w:left="3771" w:hanging="171"/>
      </w:pPr>
      <w:rPr>
        <w:rFonts w:hint="default"/>
        <w:lang w:val="cs-CZ" w:eastAsia="cs-CZ" w:bidi="cs-CZ"/>
      </w:rPr>
    </w:lvl>
    <w:lvl w:ilvl="7" w:tplc="36D036BA">
      <w:numFmt w:val="bullet"/>
      <w:lvlText w:val="•"/>
      <w:lvlJc w:val="left"/>
      <w:pPr>
        <w:ind w:left="4253" w:hanging="171"/>
      </w:pPr>
      <w:rPr>
        <w:rFonts w:hint="default"/>
        <w:lang w:val="cs-CZ" w:eastAsia="cs-CZ" w:bidi="cs-CZ"/>
      </w:rPr>
    </w:lvl>
    <w:lvl w:ilvl="8" w:tplc="10B8A8A6">
      <w:numFmt w:val="bullet"/>
      <w:lvlText w:val="•"/>
      <w:lvlJc w:val="left"/>
      <w:pPr>
        <w:ind w:left="4735" w:hanging="171"/>
      </w:pPr>
      <w:rPr>
        <w:rFonts w:hint="default"/>
        <w:lang w:val="cs-CZ" w:eastAsia="cs-CZ" w:bidi="cs-CZ"/>
      </w:rPr>
    </w:lvl>
  </w:abstractNum>
  <w:abstractNum w:abstractNumId="54" w15:restartNumberingAfterBreak="0">
    <w:nsid w:val="27150DC9"/>
    <w:multiLevelType w:val="hybridMultilevel"/>
    <w:tmpl w:val="1CD2FE42"/>
    <w:lvl w:ilvl="0" w:tplc="F4E0EF80">
      <w:start w:val="1"/>
      <w:numFmt w:val="lowerLetter"/>
      <w:lvlText w:val="%1"/>
      <w:lvlJc w:val="left"/>
      <w:pPr>
        <w:ind w:left="467" w:hanging="284"/>
        <w:jc w:val="right"/>
      </w:pPr>
      <w:rPr>
        <w:rFonts w:ascii="Arial" w:eastAsia="Arial" w:hAnsi="Arial" w:cs="Arial" w:hint="default"/>
        <w:color w:val="231F20"/>
        <w:w w:val="99"/>
        <w:sz w:val="15"/>
        <w:szCs w:val="15"/>
        <w:lang w:val="cs-CZ" w:eastAsia="cs-CZ" w:bidi="cs-CZ"/>
      </w:rPr>
    </w:lvl>
    <w:lvl w:ilvl="1" w:tplc="A7BA336E">
      <w:start w:val="1"/>
      <w:numFmt w:val="lowerLetter"/>
      <w:lvlText w:val="%2"/>
      <w:lvlJc w:val="left"/>
      <w:pPr>
        <w:ind w:left="880" w:hanging="171"/>
        <w:jc w:val="left"/>
      </w:pPr>
      <w:rPr>
        <w:rFonts w:ascii="Arial" w:eastAsia="Arial" w:hAnsi="Arial" w:cs="Arial" w:hint="default"/>
        <w:color w:val="231F20"/>
        <w:w w:val="99"/>
        <w:sz w:val="15"/>
        <w:szCs w:val="15"/>
        <w:lang w:val="cs-CZ" w:eastAsia="cs-CZ" w:bidi="cs-CZ"/>
      </w:rPr>
    </w:lvl>
    <w:lvl w:ilvl="2" w:tplc="895E43F8">
      <w:numFmt w:val="bullet"/>
      <w:lvlText w:val="•"/>
      <w:lvlJc w:val="left"/>
      <w:pPr>
        <w:ind w:left="777" w:hanging="171"/>
      </w:pPr>
      <w:rPr>
        <w:rFonts w:hint="default"/>
        <w:lang w:val="cs-CZ" w:eastAsia="cs-CZ" w:bidi="cs-CZ"/>
      </w:rPr>
    </w:lvl>
    <w:lvl w:ilvl="3" w:tplc="E488C622">
      <w:numFmt w:val="bullet"/>
      <w:lvlText w:val="•"/>
      <w:lvlJc w:val="left"/>
      <w:pPr>
        <w:ind w:left="675" w:hanging="171"/>
      </w:pPr>
      <w:rPr>
        <w:rFonts w:hint="default"/>
        <w:lang w:val="cs-CZ" w:eastAsia="cs-CZ" w:bidi="cs-CZ"/>
      </w:rPr>
    </w:lvl>
    <w:lvl w:ilvl="4" w:tplc="890ABB86">
      <w:numFmt w:val="bullet"/>
      <w:lvlText w:val="•"/>
      <w:lvlJc w:val="left"/>
      <w:pPr>
        <w:ind w:left="572" w:hanging="171"/>
      </w:pPr>
      <w:rPr>
        <w:rFonts w:hint="default"/>
        <w:lang w:val="cs-CZ" w:eastAsia="cs-CZ" w:bidi="cs-CZ"/>
      </w:rPr>
    </w:lvl>
    <w:lvl w:ilvl="5" w:tplc="979E2D90">
      <w:numFmt w:val="bullet"/>
      <w:lvlText w:val="•"/>
      <w:lvlJc w:val="left"/>
      <w:pPr>
        <w:ind w:left="470" w:hanging="171"/>
      </w:pPr>
      <w:rPr>
        <w:rFonts w:hint="default"/>
        <w:lang w:val="cs-CZ" w:eastAsia="cs-CZ" w:bidi="cs-CZ"/>
      </w:rPr>
    </w:lvl>
    <w:lvl w:ilvl="6" w:tplc="6B1EC3FA">
      <w:numFmt w:val="bullet"/>
      <w:lvlText w:val="•"/>
      <w:lvlJc w:val="left"/>
      <w:pPr>
        <w:ind w:left="367" w:hanging="171"/>
      </w:pPr>
      <w:rPr>
        <w:rFonts w:hint="default"/>
        <w:lang w:val="cs-CZ" w:eastAsia="cs-CZ" w:bidi="cs-CZ"/>
      </w:rPr>
    </w:lvl>
    <w:lvl w:ilvl="7" w:tplc="C504A860">
      <w:numFmt w:val="bullet"/>
      <w:lvlText w:val="•"/>
      <w:lvlJc w:val="left"/>
      <w:pPr>
        <w:ind w:left="265" w:hanging="171"/>
      </w:pPr>
      <w:rPr>
        <w:rFonts w:hint="default"/>
        <w:lang w:val="cs-CZ" w:eastAsia="cs-CZ" w:bidi="cs-CZ"/>
      </w:rPr>
    </w:lvl>
    <w:lvl w:ilvl="8" w:tplc="01322452">
      <w:numFmt w:val="bullet"/>
      <w:lvlText w:val="•"/>
      <w:lvlJc w:val="left"/>
      <w:pPr>
        <w:ind w:left="162" w:hanging="171"/>
      </w:pPr>
      <w:rPr>
        <w:rFonts w:hint="default"/>
        <w:lang w:val="cs-CZ" w:eastAsia="cs-CZ" w:bidi="cs-CZ"/>
      </w:rPr>
    </w:lvl>
  </w:abstractNum>
  <w:abstractNum w:abstractNumId="55" w15:restartNumberingAfterBreak="0">
    <w:nsid w:val="27A36291"/>
    <w:multiLevelType w:val="hybridMultilevel"/>
    <w:tmpl w:val="63788DA2"/>
    <w:lvl w:ilvl="0" w:tplc="F7066090">
      <w:start w:val="168"/>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EA705F64">
      <w:numFmt w:val="bullet"/>
      <w:lvlText w:val="•"/>
      <w:lvlJc w:val="left"/>
      <w:pPr>
        <w:ind w:left="729" w:hanging="272"/>
      </w:pPr>
      <w:rPr>
        <w:rFonts w:hint="default"/>
        <w:lang w:val="cs-CZ" w:eastAsia="cs-CZ" w:bidi="cs-CZ"/>
      </w:rPr>
    </w:lvl>
    <w:lvl w:ilvl="2" w:tplc="EB5CE0BA">
      <w:numFmt w:val="bullet"/>
      <w:lvlText w:val="•"/>
      <w:lvlJc w:val="left"/>
      <w:pPr>
        <w:ind w:left="998" w:hanging="272"/>
      </w:pPr>
      <w:rPr>
        <w:rFonts w:hint="default"/>
        <w:lang w:val="cs-CZ" w:eastAsia="cs-CZ" w:bidi="cs-CZ"/>
      </w:rPr>
    </w:lvl>
    <w:lvl w:ilvl="3" w:tplc="F356D162">
      <w:numFmt w:val="bullet"/>
      <w:lvlText w:val="•"/>
      <w:lvlJc w:val="left"/>
      <w:pPr>
        <w:ind w:left="1268" w:hanging="272"/>
      </w:pPr>
      <w:rPr>
        <w:rFonts w:hint="default"/>
        <w:lang w:val="cs-CZ" w:eastAsia="cs-CZ" w:bidi="cs-CZ"/>
      </w:rPr>
    </w:lvl>
    <w:lvl w:ilvl="4" w:tplc="40D497E8">
      <w:numFmt w:val="bullet"/>
      <w:lvlText w:val="•"/>
      <w:lvlJc w:val="left"/>
      <w:pPr>
        <w:ind w:left="1537" w:hanging="272"/>
      </w:pPr>
      <w:rPr>
        <w:rFonts w:hint="default"/>
        <w:lang w:val="cs-CZ" w:eastAsia="cs-CZ" w:bidi="cs-CZ"/>
      </w:rPr>
    </w:lvl>
    <w:lvl w:ilvl="5" w:tplc="1A14F79C">
      <w:numFmt w:val="bullet"/>
      <w:lvlText w:val="•"/>
      <w:lvlJc w:val="left"/>
      <w:pPr>
        <w:ind w:left="1806" w:hanging="272"/>
      </w:pPr>
      <w:rPr>
        <w:rFonts w:hint="default"/>
        <w:lang w:val="cs-CZ" w:eastAsia="cs-CZ" w:bidi="cs-CZ"/>
      </w:rPr>
    </w:lvl>
    <w:lvl w:ilvl="6" w:tplc="E2100602">
      <w:numFmt w:val="bullet"/>
      <w:lvlText w:val="•"/>
      <w:lvlJc w:val="left"/>
      <w:pPr>
        <w:ind w:left="2076" w:hanging="272"/>
      </w:pPr>
      <w:rPr>
        <w:rFonts w:hint="default"/>
        <w:lang w:val="cs-CZ" w:eastAsia="cs-CZ" w:bidi="cs-CZ"/>
      </w:rPr>
    </w:lvl>
    <w:lvl w:ilvl="7" w:tplc="F62A3788">
      <w:numFmt w:val="bullet"/>
      <w:lvlText w:val="•"/>
      <w:lvlJc w:val="left"/>
      <w:pPr>
        <w:ind w:left="2345" w:hanging="272"/>
      </w:pPr>
      <w:rPr>
        <w:rFonts w:hint="default"/>
        <w:lang w:val="cs-CZ" w:eastAsia="cs-CZ" w:bidi="cs-CZ"/>
      </w:rPr>
    </w:lvl>
    <w:lvl w:ilvl="8" w:tplc="D9263BEC">
      <w:numFmt w:val="bullet"/>
      <w:lvlText w:val="•"/>
      <w:lvlJc w:val="left"/>
      <w:pPr>
        <w:ind w:left="2614" w:hanging="272"/>
      </w:pPr>
      <w:rPr>
        <w:rFonts w:hint="default"/>
        <w:lang w:val="cs-CZ" w:eastAsia="cs-CZ" w:bidi="cs-CZ"/>
      </w:rPr>
    </w:lvl>
  </w:abstractNum>
  <w:abstractNum w:abstractNumId="56" w15:restartNumberingAfterBreak="0">
    <w:nsid w:val="29EB5B3D"/>
    <w:multiLevelType w:val="hybridMultilevel"/>
    <w:tmpl w:val="067062A2"/>
    <w:lvl w:ilvl="0" w:tplc="5BA05CA2">
      <w:start w:val="161"/>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129069EC">
      <w:numFmt w:val="bullet"/>
      <w:lvlText w:val="•"/>
      <w:lvlJc w:val="left"/>
      <w:pPr>
        <w:ind w:left="729" w:hanging="272"/>
      </w:pPr>
      <w:rPr>
        <w:rFonts w:hint="default"/>
        <w:lang w:val="cs-CZ" w:eastAsia="cs-CZ" w:bidi="cs-CZ"/>
      </w:rPr>
    </w:lvl>
    <w:lvl w:ilvl="2" w:tplc="20A0FF3E">
      <w:numFmt w:val="bullet"/>
      <w:lvlText w:val="•"/>
      <w:lvlJc w:val="left"/>
      <w:pPr>
        <w:ind w:left="998" w:hanging="272"/>
      </w:pPr>
      <w:rPr>
        <w:rFonts w:hint="default"/>
        <w:lang w:val="cs-CZ" w:eastAsia="cs-CZ" w:bidi="cs-CZ"/>
      </w:rPr>
    </w:lvl>
    <w:lvl w:ilvl="3" w:tplc="89D65B60">
      <w:numFmt w:val="bullet"/>
      <w:lvlText w:val="•"/>
      <w:lvlJc w:val="left"/>
      <w:pPr>
        <w:ind w:left="1268" w:hanging="272"/>
      </w:pPr>
      <w:rPr>
        <w:rFonts w:hint="default"/>
        <w:lang w:val="cs-CZ" w:eastAsia="cs-CZ" w:bidi="cs-CZ"/>
      </w:rPr>
    </w:lvl>
    <w:lvl w:ilvl="4" w:tplc="F690A63A">
      <w:numFmt w:val="bullet"/>
      <w:lvlText w:val="•"/>
      <w:lvlJc w:val="left"/>
      <w:pPr>
        <w:ind w:left="1537" w:hanging="272"/>
      </w:pPr>
      <w:rPr>
        <w:rFonts w:hint="default"/>
        <w:lang w:val="cs-CZ" w:eastAsia="cs-CZ" w:bidi="cs-CZ"/>
      </w:rPr>
    </w:lvl>
    <w:lvl w:ilvl="5" w:tplc="8B248D4C">
      <w:numFmt w:val="bullet"/>
      <w:lvlText w:val="•"/>
      <w:lvlJc w:val="left"/>
      <w:pPr>
        <w:ind w:left="1806" w:hanging="272"/>
      </w:pPr>
      <w:rPr>
        <w:rFonts w:hint="default"/>
        <w:lang w:val="cs-CZ" w:eastAsia="cs-CZ" w:bidi="cs-CZ"/>
      </w:rPr>
    </w:lvl>
    <w:lvl w:ilvl="6" w:tplc="1958BCE2">
      <w:numFmt w:val="bullet"/>
      <w:lvlText w:val="•"/>
      <w:lvlJc w:val="left"/>
      <w:pPr>
        <w:ind w:left="2076" w:hanging="272"/>
      </w:pPr>
      <w:rPr>
        <w:rFonts w:hint="default"/>
        <w:lang w:val="cs-CZ" w:eastAsia="cs-CZ" w:bidi="cs-CZ"/>
      </w:rPr>
    </w:lvl>
    <w:lvl w:ilvl="7" w:tplc="A5E855A6">
      <w:numFmt w:val="bullet"/>
      <w:lvlText w:val="•"/>
      <w:lvlJc w:val="left"/>
      <w:pPr>
        <w:ind w:left="2345" w:hanging="272"/>
      </w:pPr>
      <w:rPr>
        <w:rFonts w:hint="default"/>
        <w:lang w:val="cs-CZ" w:eastAsia="cs-CZ" w:bidi="cs-CZ"/>
      </w:rPr>
    </w:lvl>
    <w:lvl w:ilvl="8" w:tplc="4F06F7D2">
      <w:numFmt w:val="bullet"/>
      <w:lvlText w:val="•"/>
      <w:lvlJc w:val="left"/>
      <w:pPr>
        <w:ind w:left="2614" w:hanging="272"/>
      </w:pPr>
      <w:rPr>
        <w:rFonts w:hint="default"/>
        <w:lang w:val="cs-CZ" w:eastAsia="cs-CZ" w:bidi="cs-CZ"/>
      </w:rPr>
    </w:lvl>
  </w:abstractNum>
  <w:abstractNum w:abstractNumId="57" w15:restartNumberingAfterBreak="0">
    <w:nsid w:val="2B59240E"/>
    <w:multiLevelType w:val="hybridMultilevel"/>
    <w:tmpl w:val="DC44AC3E"/>
    <w:lvl w:ilvl="0" w:tplc="63C29D7A">
      <w:start w:val="1"/>
      <w:numFmt w:val="decimal"/>
      <w:lvlText w:val="%1."/>
      <w:lvlJc w:val="left"/>
      <w:pPr>
        <w:ind w:left="1220" w:hanging="397"/>
        <w:jc w:val="left"/>
      </w:pPr>
      <w:rPr>
        <w:rFonts w:ascii="Arial" w:eastAsia="Arial" w:hAnsi="Arial" w:cs="Arial" w:hint="default"/>
        <w:b/>
        <w:bCs/>
        <w:color w:val="231F20"/>
        <w:spacing w:val="-4"/>
        <w:w w:val="99"/>
        <w:sz w:val="18"/>
        <w:szCs w:val="18"/>
        <w:lang w:val="cs-CZ" w:eastAsia="cs-CZ" w:bidi="cs-CZ"/>
      </w:rPr>
    </w:lvl>
    <w:lvl w:ilvl="1" w:tplc="B83C7774">
      <w:numFmt w:val="bullet"/>
      <w:lvlText w:val="•"/>
      <w:lvlJc w:val="left"/>
      <w:pPr>
        <w:ind w:left="2260" w:hanging="397"/>
      </w:pPr>
      <w:rPr>
        <w:rFonts w:hint="default"/>
        <w:lang w:val="cs-CZ" w:eastAsia="cs-CZ" w:bidi="cs-CZ"/>
      </w:rPr>
    </w:lvl>
    <w:lvl w:ilvl="2" w:tplc="1A2C6F3E">
      <w:numFmt w:val="bullet"/>
      <w:lvlText w:val="•"/>
      <w:lvlJc w:val="left"/>
      <w:pPr>
        <w:ind w:left="3301" w:hanging="397"/>
      </w:pPr>
      <w:rPr>
        <w:rFonts w:hint="default"/>
        <w:lang w:val="cs-CZ" w:eastAsia="cs-CZ" w:bidi="cs-CZ"/>
      </w:rPr>
    </w:lvl>
    <w:lvl w:ilvl="3" w:tplc="0C7075CC">
      <w:numFmt w:val="bullet"/>
      <w:lvlText w:val="•"/>
      <w:lvlJc w:val="left"/>
      <w:pPr>
        <w:ind w:left="4341" w:hanging="397"/>
      </w:pPr>
      <w:rPr>
        <w:rFonts w:hint="default"/>
        <w:lang w:val="cs-CZ" w:eastAsia="cs-CZ" w:bidi="cs-CZ"/>
      </w:rPr>
    </w:lvl>
    <w:lvl w:ilvl="4" w:tplc="87E86A00">
      <w:numFmt w:val="bullet"/>
      <w:lvlText w:val="•"/>
      <w:lvlJc w:val="left"/>
      <w:pPr>
        <w:ind w:left="5382" w:hanging="397"/>
      </w:pPr>
      <w:rPr>
        <w:rFonts w:hint="default"/>
        <w:lang w:val="cs-CZ" w:eastAsia="cs-CZ" w:bidi="cs-CZ"/>
      </w:rPr>
    </w:lvl>
    <w:lvl w:ilvl="5" w:tplc="16FE91D2">
      <w:numFmt w:val="bullet"/>
      <w:lvlText w:val="•"/>
      <w:lvlJc w:val="left"/>
      <w:pPr>
        <w:ind w:left="6422" w:hanging="397"/>
      </w:pPr>
      <w:rPr>
        <w:rFonts w:hint="default"/>
        <w:lang w:val="cs-CZ" w:eastAsia="cs-CZ" w:bidi="cs-CZ"/>
      </w:rPr>
    </w:lvl>
    <w:lvl w:ilvl="6" w:tplc="8FAC3DD8">
      <w:numFmt w:val="bullet"/>
      <w:lvlText w:val="•"/>
      <w:lvlJc w:val="left"/>
      <w:pPr>
        <w:ind w:left="7463" w:hanging="397"/>
      </w:pPr>
      <w:rPr>
        <w:rFonts w:hint="default"/>
        <w:lang w:val="cs-CZ" w:eastAsia="cs-CZ" w:bidi="cs-CZ"/>
      </w:rPr>
    </w:lvl>
    <w:lvl w:ilvl="7" w:tplc="09A69382">
      <w:numFmt w:val="bullet"/>
      <w:lvlText w:val="•"/>
      <w:lvlJc w:val="left"/>
      <w:pPr>
        <w:ind w:left="8503" w:hanging="397"/>
      </w:pPr>
      <w:rPr>
        <w:rFonts w:hint="default"/>
        <w:lang w:val="cs-CZ" w:eastAsia="cs-CZ" w:bidi="cs-CZ"/>
      </w:rPr>
    </w:lvl>
    <w:lvl w:ilvl="8" w:tplc="5A2EFD74">
      <w:numFmt w:val="bullet"/>
      <w:lvlText w:val="•"/>
      <w:lvlJc w:val="left"/>
      <w:pPr>
        <w:ind w:left="9544" w:hanging="397"/>
      </w:pPr>
      <w:rPr>
        <w:rFonts w:hint="default"/>
        <w:lang w:val="cs-CZ" w:eastAsia="cs-CZ" w:bidi="cs-CZ"/>
      </w:rPr>
    </w:lvl>
  </w:abstractNum>
  <w:abstractNum w:abstractNumId="58" w15:restartNumberingAfterBreak="0">
    <w:nsid w:val="2C520332"/>
    <w:multiLevelType w:val="hybridMultilevel"/>
    <w:tmpl w:val="76EA79BE"/>
    <w:lvl w:ilvl="0" w:tplc="CDE42158">
      <w:start w:val="225"/>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8662F33A">
      <w:numFmt w:val="bullet"/>
      <w:lvlText w:val="•"/>
      <w:lvlJc w:val="left"/>
      <w:pPr>
        <w:ind w:left="729" w:hanging="272"/>
      </w:pPr>
      <w:rPr>
        <w:rFonts w:hint="default"/>
        <w:lang w:val="cs-CZ" w:eastAsia="cs-CZ" w:bidi="cs-CZ"/>
      </w:rPr>
    </w:lvl>
    <w:lvl w:ilvl="2" w:tplc="94FAC1E2">
      <w:numFmt w:val="bullet"/>
      <w:lvlText w:val="•"/>
      <w:lvlJc w:val="left"/>
      <w:pPr>
        <w:ind w:left="999" w:hanging="272"/>
      </w:pPr>
      <w:rPr>
        <w:rFonts w:hint="default"/>
        <w:lang w:val="cs-CZ" w:eastAsia="cs-CZ" w:bidi="cs-CZ"/>
      </w:rPr>
    </w:lvl>
    <w:lvl w:ilvl="3" w:tplc="A7B44A50">
      <w:numFmt w:val="bullet"/>
      <w:lvlText w:val="•"/>
      <w:lvlJc w:val="left"/>
      <w:pPr>
        <w:ind w:left="1269" w:hanging="272"/>
      </w:pPr>
      <w:rPr>
        <w:rFonts w:hint="default"/>
        <w:lang w:val="cs-CZ" w:eastAsia="cs-CZ" w:bidi="cs-CZ"/>
      </w:rPr>
    </w:lvl>
    <w:lvl w:ilvl="4" w:tplc="547C8A04">
      <w:numFmt w:val="bullet"/>
      <w:lvlText w:val="•"/>
      <w:lvlJc w:val="left"/>
      <w:pPr>
        <w:ind w:left="1539" w:hanging="272"/>
      </w:pPr>
      <w:rPr>
        <w:rFonts w:hint="default"/>
        <w:lang w:val="cs-CZ" w:eastAsia="cs-CZ" w:bidi="cs-CZ"/>
      </w:rPr>
    </w:lvl>
    <w:lvl w:ilvl="5" w:tplc="6270F4BE">
      <w:numFmt w:val="bullet"/>
      <w:lvlText w:val="•"/>
      <w:lvlJc w:val="left"/>
      <w:pPr>
        <w:ind w:left="1809" w:hanging="272"/>
      </w:pPr>
      <w:rPr>
        <w:rFonts w:hint="default"/>
        <w:lang w:val="cs-CZ" w:eastAsia="cs-CZ" w:bidi="cs-CZ"/>
      </w:rPr>
    </w:lvl>
    <w:lvl w:ilvl="6" w:tplc="DA5EBFE2">
      <w:numFmt w:val="bullet"/>
      <w:lvlText w:val="•"/>
      <w:lvlJc w:val="left"/>
      <w:pPr>
        <w:ind w:left="2079" w:hanging="272"/>
      </w:pPr>
      <w:rPr>
        <w:rFonts w:hint="default"/>
        <w:lang w:val="cs-CZ" w:eastAsia="cs-CZ" w:bidi="cs-CZ"/>
      </w:rPr>
    </w:lvl>
    <w:lvl w:ilvl="7" w:tplc="DB6C55EA">
      <w:numFmt w:val="bullet"/>
      <w:lvlText w:val="•"/>
      <w:lvlJc w:val="left"/>
      <w:pPr>
        <w:ind w:left="2349" w:hanging="272"/>
      </w:pPr>
      <w:rPr>
        <w:rFonts w:hint="default"/>
        <w:lang w:val="cs-CZ" w:eastAsia="cs-CZ" w:bidi="cs-CZ"/>
      </w:rPr>
    </w:lvl>
    <w:lvl w:ilvl="8" w:tplc="694E38B8">
      <w:numFmt w:val="bullet"/>
      <w:lvlText w:val="•"/>
      <w:lvlJc w:val="left"/>
      <w:pPr>
        <w:ind w:left="2619" w:hanging="272"/>
      </w:pPr>
      <w:rPr>
        <w:rFonts w:hint="default"/>
        <w:lang w:val="cs-CZ" w:eastAsia="cs-CZ" w:bidi="cs-CZ"/>
      </w:rPr>
    </w:lvl>
  </w:abstractNum>
  <w:abstractNum w:abstractNumId="59" w15:restartNumberingAfterBreak="0">
    <w:nsid w:val="2C712C96"/>
    <w:multiLevelType w:val="hybridMultilevel"/>
    <w:tmpl w:val="7AFA426A"/>
    <w:lvl w:ilvl="0" w:tplc="6108CA74">
      <w:start w:val="312"/>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63E0F596">
      <w:numFmt w:val="bullet"/>
      <w:lvlText w:val="•"/>
      <w:lvlJc w:val="left"/>
      <w:pPr>
        <w:ind w:left="711" w:hanging="272"/>
      </w:pPr>
      <w:rPr>
        <w:rFonts w:hint="default"/>
        <w:lang w:val="cs-CZ" w:eastAsia="cs-CZ" w:bidi="cs-CZ"/>
      </w:rPr>
    </w:lvl>
    <w:lvl w:ilvl="2" w:tplc="035411E4">
      <w:numFmt w:val="bullet"/>
      <w:lvlText w:val="•"/>
      <w:lvlJc w:val="left"/>
      <w:pPr>
        <w:ind w:left="963" w:hanging="272"/>
      </w:pPr>
      <w:rPr>
        <w:rFonts w:hint="default"/>
        <w:lang w:val="cs-CZ" w:eastAsia="cs-CZ" w:bidi="cs-CZ"/>
      </w:rPr>
    </w:lvl>
    <w:lvl w:ilvl="3" w:tplc="CDF0213C">
      <w:numFmt w:val="bullet"/>
      <w:lvlText w:val="•"/>
      <w:lvlJc w:val="left"/>
      <w:pPr>
        <w:ind w:left="1214" w:hanging="272"/>
      </w:pPr>
      <w:rPr>
        <w:rFonts w:hint="default"/>
        <w:lang w:val="cs-CZ" w:eastAsia="cs-CZ" w:bidi="cs-CZ"/>
      </w:rPr>
    </w:lvl>
    <w:lvl w:ilvl="4" w:tplc="7C404834">
      <w:numFmt w:val="bullet"/>
      <w:lvlText w:val="•"/>
      <w:lvlJc w:val="left"/>
      <w:pPr>
        <w:ind w:left="1466" w:hanging="272"/>
      </w:pPr>
      <w:rPr>
        <w:rFonts w:hint="default"/>
        <w:lang w:val="cs-CZ" w:eastAsia="cs-CZ" w:bidi="cs-CZ"/>
      </w:rPr>
    </w:lvl>
    <w:lvl w:ilvl="5" w:tplc="473E916A">
      <w:numFmt w:val="bullet"/>
      <w:lvlText w:val="•"/>
      <w:lvlJc w:val="left"/>
      <w:pPr>
        <w:ind w:left="1717" w:hanging="272"/>
      </w:pPr>
      <w:rPr>
        <w:rFonts w:hint="default"/>
        <w:lang w:val="cs-CZ" w:eastAsia="cs-CZ" w:bidi="cs-CZ"/>
      </w:rPr>
    </w:lvl>
    <w:lvl w:ilvl="6" w:tplc="24A8C66A">
      <w:numFmt w:val="bullet"/>
      <w:lvlText w:val="•"/>
      <w:lvlJc w:val="left"/>
      <w:pPr>
        <w:ind w:left="1969" w:hanging="272"/>
      </w:pPr>
      <w:rPr>
        <w:rFonts w:hint="default"/>
        <w:lang w:val="cs-CZ" w:eastAsia="cs-CZ" w:bidi="cs-CZ"/>
      </w:rPr>
    </w:lvl>
    <w:lvl w:ilvl="7" w:tplc="6FBCD9A4">
      <w:numFmt w:val="bullet"/>
      <w:lvlText w:val="•"/>
      <w:lvlJc w:val="left"/>
      <w:pPr>
        <w:ind w:left="2220" w:hanging="272"/>
      </w:pPr>
      <w:rPr>
        <w:rFonts w:hint="default"/>
        <w:lang w:val="cs-CZ" w:eastAsia="cs-CZ" w:bidi="cs-CZ"/>
      </w:rPr>
    </w:lvl>
    <w:lvl w:ilvl="8" w:tplc="15F0EDF4">
      <w:numFmt w:val="bullet"/>
      <w:lvlText w:val="•"/>
      <w:lvlJc w:val="left"/>
      <w:pPr>
        <w:ind w:left="2472" w:hanging="272"/>
      </w:pPr>
      <w:rPr>
        <w:rFonts w:hint="default"/>
        <w:lang w:val="cs-CZ" w:eastAsia="cs-CZ" w:bidi="cs-CZ"/>
      </w:rPr>
    </w:lvl>
  </w:abstractNum>
  <w:abstractNum w:abstractNumId="60" w15:restartNumberingAfterBreak="0">
    <w:nsid w:val="2D223CF3"/>
    <w:multiLevelType w:val="hybridMultilevel"/>
    <w:tmpl w:val="DA76986E"/>
    <w:lvl w:ilvl="0" w:tplc="6046F24E">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52863C14">
      <w:numFmt w:val="bullet"/>
      <w:lvlText w:val="•"/>
      <w:lvlJc w:val="left"/>
      <w:pPr>
        <w:ind w:left="1362" w:hanging="171"/>
      </w:pPr>
      <w:rPr>
        <w:rFonts w:hint="default"/>
        <w:lang w:val="cs-CZ" w:eastAsia="cs-CZ" w:bidi="cs-CZ"/>
      </w:rPr>
    </w:lvl>
    <w:lvl w:ilvl="2" w:tplc="5BF8D452">
      <w:numFmt w:val="bullet"/>
      <w:lvlText w:val="•"/>
      <w:lvlJc w:val="left"/>
      <w:pPr>
        <w:ind w:left="1843" w:hanging="171"/>
      </w:pPr>
      <w:rPr>
        <w:rFonts w:hint="default"/>
        <w:lang w:val="cs-CZ" w:eastAsia="cs-CZ" w:bidi="cs-CZ"/>
      </w:rPr>
    </w:lvl>
    <w:lvl w:ilvl="3" w:tplc="D7E896FC">
      <w:numFmt w:val="bullet"/>
      <w:lvlText w:val="•"/>
      <w:lvlJc w:val="left"/>
      <w:pPr>
        <w:ind w:left="2325" w:hanging="171"/>
      </w:pPr>
      <w:rPr>
        <w:rFonts w:hint="default"/>
        <w:lang w:val="cs-CZ" w:eastAsia="cs-CZ" w:bidi="cs-CZ"/>
      </w:rPr>
    </w:lvl>
    <w:lvl w:ilvl="4" w:tplc="D52446E0">
      <w:numFmt w:val="bullet"/>
      <w:lvlText w:val="•"/>
      <w:lvlJc w:val="left"/>
      <w:pPr>
        <w:ind w:left="2807" w:hanging="171"/>
      </w:pPr>
      <w:rPr>
        <w:rFonts w:hint="default"/>
        <w:lang w:val="cs-CZ" w:eastAsia="cs-CZ" w:bidi="cs-CZ"/>
      </w:rPr>
    </w:lvl>
    <w:lvl w:ilvl="5" w:tplc="57BC3516">
      <w:numFmt w:val="bullet"/>
      <w:lvlText w:val="•"/>
      <w:lvlJc w:val="left"/>
      <w:pPr>
        <w:ind w:left="3289" w:hanging="171"/>
      </w:pPr>
      <w:rPr>
        <w:rFonts w:hint="default"/>
        <w:lang w:val="cs-CZ" w:eastAsia="cs-CZ" w:bidi="cs-CZ"/>
      </w:rPr>
    </w:lvl>
    <w:lvl w:ilvl="6" w:tplc="1910E37C">
      <w:numFmt w:val="bullet"/>
      <w:lvlText w:val="•"/>
      <w:lvlJc w:val="left"/>
      <w:pPr>
        <w:ind w:left="3771" w:hanging="171"/>
      </w:pPr>
      <w:rPr>
        <w:rFonts w:hint="default"/>
        <w:lang w:val="cs-CZ" w:eastAsia="cs-CZ" w:bidi="cs-CZ"/>
      </w:rPr>
    </w:lvl>
    <w:lvl w:ilvl="7" w:tplc="BEA2D504">
      <w:numFmt w:val="bullet"/>
      <w:lvlText w:val="•"/>
      <w:lvlJc w:val="left"/>
      <w:pPr>
        <w:ind w:left="4253" w:hanging="171"/>
      </w:pPr>
      <w:rPr>
        <w:rFonts w:hint="default"/>
        <w:lang w:val="cs-CZ" w:eastAsia="cs-CZ" w:bidi="cs-CZ"/>
      </w:rPr>
    </w:lvl>
    <w:lvl w:ilvl="8" w:tplc="A4364D9A">
      <w:numFmt w:val="bullet"/>
      <w:lvlText w:val="•"/>
      <w:lvlJc w:val="left"/>
      <w:pPr>
        <w:ind w:left="4735" w:hanging="171"/>
      </w:pPr>
      <w:rPr>
        <w:rFonts w:hint="default"/>
        <w:lang w:val="cs-CZ" w:eastAsia="cs-CZ" w:bidi="cs-CZ"/>
      </w:rPr>
    </w:lvl>
  </w:abstractNum>
  <w:abstractNum w:abstractNumId="61" w15:restartNumberingAfterBreak="0">
    <w:nsid w:val="2D845487"/>
    <w:multiLevelType w:val="hybridMultilevel"/>
    <w:tmpl w:val="F0DA5A24"/>
    <w:lvl w:ilvl="0" w:tplc="865E655E">
      <w:start w:val="315"/>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30743F08">
      <w:numFmt w:val="bullet"/>
      <w:lvlText w:val="•"/>
      <w:lvlJc w:val="left"/>
      <w:pPr>
        <w:ind w:left="727" w:hanging="272"/>
      </w:pPr>
      <w:rPr>
        <w:rFonts w:hint="default"/>
        <w:lang w:val="cs-CZ" w:eastAsia="cs-CZ" w:bidi="cs-CZ"/>
      </w:rPr>
    </w:lvl>
    <w:lvl w:ilvl="2" w:tplc="823E0FFC">
      <w:numFmt w:val="bullet"/>
      <w:lvlText w:val="•"/>
      <w:lvlJc w:val="left"/>
      <w:pPr>
        <w:ind w:left="994" w:hanging="272"/>
      </w:pPr>
      <w:rPr>
        <w:rFonts w:hint="default"/>
        <w:lang w:val="cs-CZ" w:eastAsia="cs-CZ" w:bidi="cs-CZ"/>
      </w:rPr>
    </w:lvl>
    <w:lvl w:ilvl="3" w:tplc="7306392C">
      <w:numFmt w:val="bullet"/>
      <w:lvlText w:val="•"/>
      <w:lvlJc w:val="left"/>
      <w:pPr>
        <w:ind w:left="1261" w:hanging="272"/>
      </w:pPr>
      <w:rPr>
        <w:rFonts w:hint="default"/>
        <w:lang w:val="cs-CZ" w:eastAsia="cs-CZ" w:bidi="cs-CZ"/>
      </w:rPr>
    </w:lvl>
    <w:lvl w:ilvl="4" w:tplc="97AE7EFE">
      <w:numFmt w:val="bullet"/>
      <w:lvlText w:val="•"/>
      <w:lvlJc w:val="left"/>
      <w:pPr>
        <w:ind w:left="1528" w:hanging="272"/>
      </w:pPr>
      <w:rPr>
        <w:rFonts w:hint="default"/>
        <w:lang w:val="cs-CZ" w:eastAsia="cs-CZ" w:bidi="cs-CZ"/>
      </w:rPr>
    </w:lvl>
    <w:lvl w:ilvl="5" w:tplc="3A5ADDCC">
      <w:numFmt w:val="bullet"/>
      <w:lvlText w:val="•"/>
      <w:lvlJc w:val="left"/>
      <w:pPr>
        <w:ind w:left="1795" w:hanging="272"/>
      </w:pPr>
      <w:rPr>
        <w:rFonts w:hint="default"/>
        <w:lang w:val="cs-CZ" w:eastAsia="cs-CZ" w:bidi="cs-CZ"/>
      </w:rPr>
    </w:lvl>
    <w:lvl w:ilvl="6" w:tplc="6324C8A0">
      <w:numFmt w:val="bullet"/>
      <w:lvlText w:val="•"/>
      <w:lvlJc w:val="left"/>
      <w:pPr>
        <w:ind w:left="2062" w:hanging="272"/>
      </w:pPr>
      <w:rPr>
        <w:rFonts w:hint="default"/>
        <w:lang w:val="cs-CZ" w:eastAsia="cs-CZ" w:bidi="cs-CZ"/>
      </w:rPr>
    </w:lvl>
    <w:lvl w:ilvl="7" w:tplc="2E90CA00">
      <w:numFmt w:val="bullet"/>
      <w:lvlText w:val="•"/>
      <w:lvlJc w:val="left"/>
      <w:pPr>
        <w:ind w:left="2329" w:hanging="272"/>
      </w:pPr>
      <w:rPr>
        <w:rFonts w:hint="default"/>
        <w:lang w:val="cs-CZ" w:eastAsia="cs-CZ" w:bidi="cs-CZ"/>
      </w:rPr>
    </w:lvl>
    <w:lvl w:ilvl="8" w:tplc="004CC932">
      <w:numFmt w:val="bullet"/>
      <w:lvlText w:val="•"/>
      <w:lvlJc w:val="left"/>
      <w:pPr>
        <w:ind w:left="2597" w:hanging="272"/>
      </w:pPr>
      <w:rPr>
        <w:rFonts w:hint="default"/>
        <w:lang w:val="cs-CZ" w:eastAsia="cs-CZ" w:bidi="cs-CZ"/>
      </w:rPr>
    </w:lvl>
  </w:abstractNum>
  <w:abstractNum w:abstractNumId="62" w15:restartNumberingAfterBreak="0">
    <w:nsid w:val="2D8915EF"/>
    <w:multiLevelType w:val="hybridMultilevel"/>
    <w:tmpl w:val="69AC8442"/>
    <w:lvl w:ilvl="0" w:tplc="4E380B3A">
      <w:start w:val="1"/>
      <w:numFmt w:val="lowerLetter"/>
      <w:lvlText w:val="%1"/>
      <w:lvlJc w:val="left"/>
      <w:pPr>
        <w:ind w:left="638" w:hanging="171"/>
        <w:jc w:val="right"/>
      </w:pPr>
      <w:rPr>
        <w:rFonts w:ascii="Arial" w:eastAsia="Arial" w:hAnsi="Arial" w:cs="Arial" w:hint="default"/>
        <w:color w:val="231F20"/>
        <w:w w:val="99"/>
        <w:sz w:val="15"/>
        <w:szCs w:val="15"/>
        <w:lang w:val="cs-CZ" w:eastAsia="cs-CZ" w:bidi="cs-CZ"/>
      </w:rPr>
    </w:lvl>
    <w:lvl w:ilvl="1" w:tplc="1CEE5312">
      <w:start w:val="1"/>
      <w:numFmt w:val="lowerRoman"/>
      <w:lvlText w:val="%2"/>
      <w:lvlJc w:val="left"/>
      <w:pPr>
        <w:ind w:left="1050" w:hanging="171"/>
        <w:jc w:val="left"/>
      </w:pPr>
      <w:rPr>
        <w:rFonts w:ascii="Arial" w:eastAsia="Arial" w:hAnsi="Arial" w:cs="Arial" w:hint="default"/>
        <w:color w:val="231F20"/>
        <w:w w:val="108"/>
        <w:sz w:val="15"/>
        <w:szCs w:val="15"/>
        <w:lang w:val="cs-CZ" w:eastAsia="cs-CZ" w:bidi="cs-CZ"/>
      </w:rPr>
    </w:lvl>
    <w:lvl w:ilvl="2" w:tplc="2E5E40B0">
      <w:numFmt w:val="bullet"/>
      <w:lvlText w:val="•"/>
      <w:lvlJc w:val="left"/>
      <w:pPr>
        <w:ind w:left="937" w:hanging="171"/>
      </w:pPr>
      <w:rPr>
        <w:rFonts w:hint="default"/>
        <w:lang w:val="cs-CZ" w:eastAsia="cs-CZ" w:bidi="cs-CZ"/>
      </w:rPr>
    </w:lvl>
    <w:lvl w:ilvl="3" w:tplc="FBE89170">
      <w:numFmt w:val="bullet"/>
      <w:lvlText w:val="•"/>
      <w:lvlJc w:val="left"/>
      <w:pPr>
        <w:ind w:left="815" w:hanging="171"/>
      </w:pPr>
      <w:rPr>
        <w:rFonts w:hint="default"/>
        <w:lang w:val="cs-CZ" w:eastAsia="cs-CZ" w:bidi="cs-CZ"/>
      </w:rPr>
    </w:lvl>
    <w:lvl w:ilvl="4" w:tplc="E5267BF4">
      <w:numFmt w:val="bullet"/>
      <w:lvlText w:val="•"/>
      <w:lvlJc w:val="left"/>
      <w:pPr>
        <w:ind w:left="692" w:hanging="171"/>
      </w:pPr>
      <w:rPr>
        <w:rFonts w:hint="default"/>
        <w:lang w:val="cs-CZ" w:eastAsia="cs-CZ" w:bidi="cs-CZ"/>
      </w:rPr>
    </w:lvl>
    <w:lvl w:ilvl="5" w:tplc="CC347348">
      <w:numFmt w:val="bullet"/>
      <w:lvlText w:val="•"/>
      <w:lvlJc w:val="left"/>
      <w:pPr>
        <w:ind w:left="570" w:hanging="171"/>
      </w:pPr>
      <w:rPr>
        <w:rFonts w:hint="default"/>
        <w:lang w:val="cs-CZ" w:eastAsia="cs-CZ" w:bidi="cs-CZ"/>
      </w:rPr>
    </w:lvl>
    <w:lvl w:ilvl="6" w:tplc="F3DE175E">
      <w:numFmt w:val="bullet"/>
      <w:lvlText w:val="•"/>
      <w:lvlJc w:val="left"/>
      <w:pPr>
        <w:ind w:left="448" w:hanging="171"/>
      </w:pPr>
      <w:rPr>
        <w:rFonts w:hint="default"/>
        <w:lang w:val="cs-CZ" w:eastAsia="cs-CZ" w:bidi="cs-CZ"/>
      </w:rPr>
    </w:lvl>
    <w:lvl w:ilvl="7" w:tplc="CDE0AEA8">
      <w:numFmt w:val="bullet"/>
      <w:lvlText w:val="•"/>
      <w:lvlJc w:val="left"/>
      <w:pPr>
        <w:ind w:left="325" w:hanging="171"/>
      </w:pPr>
      <w:rPr>
        <w:rFonts w:hint="default"/>
        <w:lang w:val="cs-CZ" w:eastAsia="cs-CZ" w:bidi="cs-CZ"/>
      </w:rPr>
    </w:lvl>
    <w:lvl w:ilvl="8" w:tplc="D7880898">
      <w:numFmt w:val="bullet"/>
      <w:lvlText w:val="•"/>
      <w:lvlJc w:val="left"/>
      <w:pPr>
        <w:ind w:left="203" w:hanging="171"/>
      </w:pPr>
      <w:rPr>
        <w:rFonts w:hint="default"/>
        <w:lang w:val="cs-CZ" w:eastAsia="cs-CZ" w:bidi="cs-CZ"/>
      </w:rPr>
    </w:lvl>
  </w:abstractNum>
  <w:abstractNum w:abstractNumId="63" w15:restartNumberingAfterBreak="0">
    <w:nsid w:val="2F994E0E"/>
    <w:multiLevelType w:val="hybridMultilevel"/>
    <w:tmpl w:val="468E3EDC"/>
    <w:lvl w:ilvl="0" w:tplc="E2E4D042">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22B4C910">
      <w:numFmt w:val="bullet"/>
      <w:lvlText w:val="•"/>
      <w:lvlJc w:val="left"/>
      <w:pPr>
        <w:ind w:left="1362" w:hanging="171"/>
      </w:pPr>
      <w:rPr>
        <w:rFonts w:hint="default"/>
        <w:lang w:val="cs-CZ" w:eastAsia="cs-CZ" w:bidi="cs-CZ"/>
      </w:rPr>
    </w:lvl>
    <w:lvl w:ilvl="2" w:tplc="18FAA720">
      <w:numFmt w:val="bullet"/>
      <w:lvlText w:val="•"/>
      <w:lvlJc w:val="left"/>
      <w:pPr>
        <w:ind w:left="1845" w:hanging="171"/>
      </w:pPr>
      <w:rPr>
        <w:rFonts w:hint="default"/>
        <w:lang w:val="cs-CZ" w:eastAsia="cs-CZ" w:bidi="cs-CZ"/>
      </w:rPr>
    </w:lvl>
    <w:lvl w:ilvl="3" w:tplc="21E84570">
      <w:numFmt w:val="bullet"/>
      <w:lvlText w:val="•"/>
      <w:lvlJc w:val="left"/>
      <w:pPr>
        <w:ind w:left="2327" w:hanging="171"/>
      </w:pPr>
      <w:rPr>
        <w:rFonts w:hint="default"/>
        <w:lang w:val="cs-CZ" w:eastAsia="cs-CZ" w:bidi="cs-CZ"/>
      </w:rPr>
    </w:lvl>
    <w:lvl w:ilvl="4" w:tplc="55143D7C">
      <w:numFmt w:val="bullet"/>
      <w:lvlText w:val="•"/>
      <w:lvlJc w:val="left"/>
      <w:pPr>
        <w:ind w:left="2810" w:hanging="171"/>
      </w:pPr>
      <w:rPr>
        <w:rFonts w:hint="default"/>
        <w:lang w:val="cs-CZ" w:eastAsia="cs-CZ" w:bidi="cs-CZ"/>
      </w:rPr>
    </w:lvl>
    <w:lvl w:ilvl="5" w:tplc="37B0C3AA">
      <w:numFmt w:val="bullet"/>
      <w:lvlText w:val="•"/>
      <w:lvlJc w:val="left"/>
      <w:pPr>
        <w:ind w:left="3292" w:hanging="171"/>
      </w:pPr>
      <w:rPr>
        <w:rFonts w:hint="default"/>
        <w:lang w:val="cs-CZ" w:eastAsia="cs-CZ" w:bidi="cs-CZ"/>
      </w:rPr>
    </w:lvl>
    <w:lvl w:ilvl="6" w:tplc="D324CDF6">
      <w:numFmt w:val="bullet"/>
      <w:lvlText w:val="•"/>
      <w:lvlJc w:val="left"/>
      <w:pPr>
        <w:ind w:left="3775" w:hanging="171"/>
      </w:pPr>
      <w:rPr>
        <w:rFonts w:hint="default"/>
        <w:lang w:val="cs-CZ" w:eastAsia="cs-CZ" w:bidi="cs-CZ"/>
      </w:rPr>
    </w:lvl>
    <w:lvl w:ilvl="7" w:tplc="F4089EC2">
      <w:numFmt w:val="bullet"/>
      <w:lvlText w:val="•"/>
      <w:lvlJc w:val="left"/>
      <w:pPr>
        <w:ind w:left="4257" w:hanging="171"/>
      </w:pPr>
      <w:rPr>
        <w:rFonts w:hint="default"/>
        <w:lang w:val="cs-CZ" w:eastAsia="cs-CZ" w:bidi="cs-CZ"/>
      </w:rPr>
    </w:lvl>
    <w:lvl w:ilvl="8" w:tplc="EB325C92">
      <w:numFmt w:val="bullet"/>
      <w:lvlText w:val="•"/>
      <w:lvlJc w:val="left"/>
      <w:pPr>
        <w:ind w:left="4740" w:hanging="171"/>
      </w:pPr>
      <w:rPr>
        <w:rFonts w:hint="default"/>
        <w:lang w:val="cs-CZ" w:eastAsia="cs-CZ" w:bidi="cs-CZ"/>
      </w:rPr>
    </w:lvl>
  </w:abstractNum>
  <w:abstractNum w:abstractNumId="64" w15:restartNumberingAfterBreak="0">
    <w:nsid w:val="3052719B"/>
    <w:multiLevelType w:val="hybridMultilevel"/>
    <w:tmpl w:val="0E64635C"/>
    <w:lvl w:ilvl="0" w:tplc="2634E4CE">
      <w:start w:val="88"/>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48A8B000">
      <w:numFmt w:val="bullet"/>
      <w:lvlText w:val="•"/>
      <w:lvlJc w:val="left"/>
      <w:pPr>
        <w:ind w:left="708" w:hanging="272"/>
      </w:pPr>
      <w:rPr>
        <w:rFonts w:hint="default"/>
        <w:lang w:val="cs-CZ" w:eastAsia="cs-CZ" w:bidi="cs-CZ"/>
      </w:rPr>
    </w:lvl>
    <w:lvl w:ilvl="2" w:tplc="9A461AB8">
      <w:numFmt w:val="bullet"/>
      <w:lvlText w:val="•"/>
      <w:lvlJc w:val="left"/>
      <w:pPr>
        <w:ind w:left="956" w:hanging="272"/>
      </w:pPr>
      <w:rPr>
        <w:rFonts w:hint="default"/>
        <w:lang w:val="cs-CZ" w:eastAsia="cs-CZ" w:bidi="cs-CZ"/>
      </w:rPr>
    </w:lvl>
    <w:lvl w:ilvl="3" w:tplc="653C3036">
      <w:numFmt w:val="bullet"/>
      <w:lvlText w:val="•"/>
      <w:lvlJc w:val="left"/>
      <w:pPr>
        <w:ind w:left="1205" w:hanging="272"/>
      </w:pPr>
      <w:rPr>
        <w:rFonts w:hint="default"/>
        <w:lang w:val="cs-CZ" w:eastAsia="cs-CZ" w:bidi="cs-CZ"/>
      </w:rPr>
    </w:lvl>
    <w:lvl w:ilvl="4" w:tplc="08FAADDA">
      <w:numFmt w:val="bullet"/>
      <w:lvlText w:val="•"/>
      <w:lvlJc w:val="left"/>
      <w:pPr>
        <w:ind w:left="1453" w:hanging="272"/>
      </w:pPr>
      <w:rPr>
        <w:rFonts w:hint="default"/>
        <w:lang w:val="cs-CZ" w:eastAsia="cs-CZ" w:bidi="cs-CZ"/>
      </w:rPr>
    </w:lvl>
    <w:lvl w:ilvl="5" w:tplc="139A66F6">
      <w:numFmt w:val="bullet"/>
      <w:lvlText w:val="•"/>
      <w:lvlJc w:val="left"/>
      <w:pPr>
        <w:ind w:left="1701" w:hanging="272"/>
      </w:pPr>
      <w:rPr>
        <w:rFonts w:hint="default"/>
        <w:lang w:val="cs-CZ" w:eastAsia="cs-CZ" w:bidi="cs-CZ"/>
      </w:rPr>
    </w:lvl>
    <w:lvl w:ilvl="6" w:tplc="683E6962">
      <w:numFmt w:val="bullet"/>
      <w:lvlText w:val="•"/>
      <w:lvlJc w:val="left"/>
      <w:pPr>
        <w:ind w:left="1950" w:hanging="272"/>
      </w:pPr>
      <w:rPr>
        <w:rFonts w:hint="default"/>
        <w:lang w:val="cs-CZ" w:eastAsia="cs-CZ" w:bidi="cs-CZ"/>
      </w:rPr>
    </w:lvl>
    <w:lvl w:ilvl="7" w:tplc="677A1D66">
      <w:numFmt w:val="bullet"/>
      <w:lvlText w:val="•"/>
      <w:lvlJc w:val="left"/>
      <w:pPr>
        <w:ind w:left="2198" w:hanging="272"/>
      </w:pPr>
      <w:rPr>
        <w:rFonts w:hint="default"/>
        <w:lang w:val="cs-CZ" w:eastAsia="cs-CZ" w:bidi="cs-CZ"/>
      </w:rPr>
    </w:lvl>
    <w:lvl w:ilvl="8" w:tplc="11B0DE02">
      <w:numFmt w:val="bullet"/>
      <w:lvlText w:val="•"/>
      <w:lvlJc w:val="left"/>
      <w:pPr>
        <w:ind w:left="2446" w:hanging="272"/>
      </w:pPr>
      <w:rPr>
        <w:rFonts w:hint="default"/>
        <w:lang w:val="cs-CZ" w:eastAsia="cs-CZ" w:bidi="cs-CZ"/>
      </w:rPr>
    </w:lvl>
  </w:abstractNum>
  <w:abstractNum w:abstractNumId="65" w15:restartNumberingAfterBreak="0">
    <w:nsid w:val="305F62D2"/>
    <w:multiLevelType w:val="hybridMultilevel"/>
    <w:tmpl w:val="ABBA97F6"/>
    <w:lvl w:ilvl="0" w:tplc="3D66C7D2">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498CD0DC">
      <w:numFmt w:val="bullet"/>
      <w:lvlText w:val="•"/>
      <w:lvlJc w:val="left"/>
      <w:pPr>
        <w:ind w:left="1362" w:hanging="171"/>
      </w:pPr>
      <w:rPr>
        <w:rFonts w:hint="default"/>
        <w:lang w:val="cs-CZ" w:eastAsia="cs-CZ" w:bidi="cs-CZ"/>
      </w:rPr>
    </w:lvl>
    <w:lvl w:ilvl="2" w:tplc="04AA310C">
      <w:numFmt w:val="bullet"/>
      <w:lvlText w:val="•"/>
      <w:lvlJc w:val="left"/>
      <w:pPr>
        <w:ind w:left="1844" w:hanging="171"/>
      </w:pPr>
      <w:rPr>
        <w:rFonts w:hint="default"/>
        <w:lang w:val="cs-CZ" w:eastAsia="cs-CZ" w:bidi="cs-CZ"/>
      </w:rPr>
    </w:lvl>
    <w:lvl w:ilvl="3" w:tplc="E1FC13F0">
      <w:numFmt w:val="bullet"/>
      <w:lvlText w:val="•"/>
      <w:lvlJc w:val="left"/>
      <w:pPr>
        <w:ind w:left="2326" w:hanging="171"/>
      </w:pPr>
      <w:rPr>
        <w:rFonts w:hint="default"/>
        <w:lang w:val="cs-CZ" w:eastAsia="cs-CZ" w:bidi="cs-CZ"/>
      </w:rPr>
    </w:lvl>
    <w:lvl w:ilvl="4" w:tplc="3288F702">
      <w:numFmt w:val="bullet"/>
      <w:lvlText w:val="•"/>
      <w:lvlJc w:val="left"/>
      <w:pPr>
        <w:ind w:left="2808" w:hanging="171"/>
      </w:pPr>
      <w:rPr>
        <w:rFonts w:hint="default"/>
        <w:lang w:val="cs-CZ" w:eastAsia="cs-CZ" w:bidi="cs-CZ"/>
      </w:rPr>
    </w:lvl>
    <w:lvl w:ilvl="5" w:tplc="90CA0574">
      <w:numFmt w:val="bullet"/>
      <w:lvlText w:val="•"/>
      <w:lvlJc w:val="left"/>
      <w:pPr>
        <w:ind w:left="3291" w:hanging="171"/>
      </w:pPr>
      <w:rPr>
        <w:rFonts w:hint="default"/>
        <w:lang w:val="cs-CZ" w:eastAsia="cs-CZ" w:bidi="cs-CZ"/>
      </w:rPr>
    </w:lvl>
    <w:lvl w:ilvl="6" w:tplc="A0148E70">
      <w:numFmt w:val="bullet"/>
      <w:lvlText w:val="•"/>
      <w:lvlJc w:val="left"/>
      <w:pPr>
        <w:ind w:left="3773" w:hanging="171"/>
      </w:pPr>
      <w:rPr>
        <w:rFonts w:hint="default"/>
        <w:lang w:val="cs-CZ" w:eastAsia="cs-CZ" w:bidi="cs-CZ"/>
      </w:rPr>
    </w:lvl>
    <w:lvl w:ilvl="7" w:tplc="037AD416">
      <w:numFmt w:val="bullet"/>
      <w:lvlText w:val="•"/>
      <w:lvlJc w:val="left"/>
      <w:pPr>
        <w:ind w:left="4255" w:hanging="171"/>
      </w:pPr>
      <w:rPr>
        <w:rFonts w:hint="default"/>
        <w:lang w:val="cs-CZ" w:eastAsia="cs-CZ" w:bidi="cs-CZ"/>
      </w:rPr>
    </w:lvl>
    <w:lvl w:ilvl="8" w:tplc="FD1CCC2C">
      <w:numFmt w:val="bullet"/>
      <w:lvlText w:val="•"/>
      <w:lvlJc w:val="left"/>
      <w:pPr>
        <w:ind w:left="4737" w:hanging="171"/>
      </w:pPr>
      <w:rPr>
        <w:rFonts w:hint="default"/>
        <w:lang w:val="cs-CZ" w:eastAsia="cs-CZ" w:bidi="cs-CZ"/>
      </w:rPr>
    </w:lvl>
  </w:abstractNum>
  <w:abstractNum w:abstractNumId="66" w15:restartNumberingAfterBreak="0">
    <w:nsid w:val="314A0E52"/>
    <w:multiLevelType w:val="hybridMultilevel"/>
    <w:tmpl w:val="43F099E8"/>
    <w:lvl w:ilvl="0" w:tplc="E256BCDE">
      <w:start w:val="148"/>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0BDC78D4">
      <w:numFmt w:val="bullet"/>
      <w:lvlText w:val="•"/>
      <w:lvlJc w:val="left"/>
      <w:pPr>
        <w:ind w:left="724" w:hanging="272"/>
      </w:pPr>
      <w:rPr>
        <w:rFonts w:hint="default"/>
        <w:lang w:val="cs-CZ" w:eastAsia="cs-CZ" w:bidi="cs-CZ"/>
      </w:rPr>
    </w:lvl>
    <w:lvl w:ilvl="2" w:tplc="F33CDA40">
      <w:numFmt w:val="bullet"/>
      <w:lvlText w:val="•"/>
      <w:lvlJc w:val="left"/>
      <w:pPr>
        <w:ind w:left="988" w:hanging="272"/>
      </w:pPr>
      <w:rPr>
        <w:rFonts w:hint="default"/>
        <w:lang w:val="cs-CZ" w:eastAsia="cs-CZ" w:bidi="cs-CZ"/>
      </w:rPr>
    </w:lvl>
    <w:lvl w:ilvl="3" w:tplc="893E74A8">
      <w:numFmt w:val="bullet"/>
      <w:lvlText w:val="•"/>
      <w:lvlJc w:val="left"/>
      <w:pPr>
        <w:ind w:left="1252" w:hanging="272"/>
      </w:pPr>
      <w:rPr>
        <w:rFonts w:hint="default"/>
        <w:lang w:val="cs-CZ" w:eastAsia="cs-CZ" w:bidi="cs-CZ"/>
      </w:rPr>
    </w:lvl>
    <w:lvl w:ilvl="4" w:tplc="BFBAE012">
      <w:numFmt w:val="bullet"/>
      <w:lvlText w:val="•"/>
      <w:lvlJc w:val="left"/>
      <w:pPr>
        <w:ind w:left="1516" w:hanging="272"/>
      </w:pPr>
      <w:rPr>
        <w:rFonts w:hint="default"/>
        <w:lang w:val="cs-CZ" w:eastAsia="cs-CZ" w:bidi="cs-CZ"/>
      </w:rPr>
    </w:lvl>
    <w:lvl w:ilvl="5" w:tplc="AC803290">
      <w:numFmt w:val="bullet"/>
      <w:lvlText w:val="•"/>
      <w:lvlJc w:val="left"/>
      <w:pPr>
        <w:ind w:left="1780" w:hanging="272"/>
      </w:pPr>
      <w:rPr>
        <w:rFonts w:hint="default"/>
        <w:lang w:val="cs-CZ" w:eastAsia="cs-CZ" w:bidi="cs-CZ"/>
      </w:rPr>
    </w:lvl>
    <w:lvl w:ilvl="6" w:tplc="3EFA5AB6">
      <w:numFmt w:val="bullet"/>
      <w:lvlText w:val="•"/>
      <w:lvlJc w:val="left"/>
      <w:pPr>
        <w:ind w:left="2044" w:hanging="272"/>
      </w:pPr>
      <w:rPr>
        <w:rFonts w:hint="default"/>
        <w:lang w:val="cs-CZ" w:eastAsia="cs-CZ" w:bidi="cs-CZ"/>
      </w:rPr>
    </w:lvl>
    <w:lvl w:ilvl="7" w:tplc="503C988C">
      <w:numFmt w:val="bullet"/>
      <w:lvlText w:val="•"/>
      <w:lvlJc w:val="left"/>
      <w:pPr>
        <w:ind w:left="2308" w:hanging="272"/>
      </w:pPr>
      <w:rPr>
        <w:rFonts w:hint="default"/>
        <w:lang w:val="cs-CZ" w:eastAsia="cs-CZ" w:bidi="cs-CZ"/>
      </w:rPr>
    </w:lvl>
    <w:lvl w:ilvl="8" w:tplc="BD586008">
      <w:numFmt w:val="bullet"/>
      <w:lvlText w:val="•"/>
      <w:lvlJc w:val="left"/>
      <w:pPr>
        <w:ind w:left="2572" w:hanging="272"/>
      </w:pPr>
      <w:rPr>
        <w:rFonts w:hint="default"/>
        <w:lang w:val="cs-CZ" w:eastAsia="cs-CZ" w:bidi="cs-CZ"/>
      </w:rPr>
    </w:lvl>
  </w:abstractNum>
  <w:abstractNum w:abstractNumId="67" w15:restartNumberingAfterBreak="0">
    <w:nsid w:val="31E010BE"/>
    <w:multiLevelType w:val="hybridMultilevel"/>
    <w:tmpl w:val="D55E27F2"/>
    <w:lvl w:ilvl="0" w:tplc="E5BCD87A">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461AC874">
      <w:numFmt w:val="bullet"/>
      <w:lvlText w:val="•"/>
      <w:lvlJc w:val="left"/>
      <w:pPr>
        <w:ind w:left="1362" w:hanging="171"/>
      </w:pPr>
      <w:rPr>
        <w:rFonts w:hint="default"/>
        <w:lang w:val="cs-CZ" w:eastAsia="cs-CZ" w:bidi="cs-CZ"/>
      </w:rPr>
    </w:lvl>
    <w:lvl w:ilvl="2" w:tplc="B4FA85B8">
      <w:numFmt w:val="bullet"/>
      <w:lvlText w:val="•"/>
      <w:lvlJc w:val="left"/>
      <w:pPr>
        <w:ind w:left="1843" w:hanging="171"/>
      </w:pPr>
      <w:rPr>
        <w:rFonts w:hint="default"/>
        <w:lang w:val="cs-CZ" w:eastAsia="cs-CZ" w:bidi="cs-CZ"/>
      </w:rPr>
    </w:lvl>
    <w:lvl w:ilvl="3" w:tplc="699ACA68">
      <w:numFmt w:val="bullet"/>
      <w:lvlText w:val="•"/>
      <w:lvlJc w:val="left"/>
      <w:pPr>
        <w:ind w:left="2325" w:hanging="171"/>
      </w:pPr>
      <w:rPr>
        <w:rFonts w:hint="default"/>
        <w:lang w:val="cs-CZ" w:eastAsia="cs-CZ" w:bidi="cs-CZ"/>
      </w:rPr>
    </w:lvl>
    <w:lvl w:ilvl="4" w:tplc="75909524">
      <w:numFmt w:val="bullet"/>
      <w:lvlText w:val="•"/>
      <w:lvlJc w:val="left"/>
      <w:pPr>
        <w:ind w:left="2807" w:hanging="171"/>
      </w:pPr>
      <w:rPr>
        <w:rFonts w:hint="default"/>
        <w:lang w:val="cs-CZ" w:eastAsia="cs-CZ" w:bidi="cs-CZ"/>
      </w:rPr>
    </w:lvl>
    <w:lvl w:ilvl="5" w:tplc="219E0F8A">
      <w:numFmt w:val="bullet"/>
      <w:lvlText w:val="•"/>
      <w:lvlJc w:val="left"/>
      <w:pPr>
        <w:ind w:left="3289" w:hanging="171"/>
      </w:pPr>
      <w:rPr>
        <w:rFonts w:hint="default"/>
        <w:lang w:val="cs-CZ" w:eastAsia="cs-CZ" w:bidi="cs-CZ"/>
      </w:rPr>
    </w:lvl>
    <w:lvl w:ilvl="6" w:tplc="72941CE0">
      <w:numFmt w:val="bullet"/>
      <w:lvlText w:val="•"/>
      <w:lvlJc w:val="left"/>
      <w:pPr>
        <w:ind w:left="3771" w:hanging="171"/>
      </w:pPr>
      <w:rPr>
        <w:rFonts w:hint="default"/>
        <w:lang w:val="cs-CZ" w:eastAsia="cs-CZ" w:bidi="cs-CZ"/>
      </w:rPr>
    </w:lvl>
    <w:lvl w:ilvl="7" w:tplc="2B3E3BD6">
      <w:numFmt w:val="bullet"/>
      <w:lvlText w:val="•"/>
      <w:lvlJc w:val="left"/>
      <w:pPr>
        <w:ind w:left="4253" w:hanging="171"/>
      </w:pPr>
      <w:rPr>
        <w:rFonts w:hint="default"/>
        <w:lang w:val="cs-CZ" w:eastAsia="cs-CZ" w:bidi="cs-CZ"/>
      </w:rPr>
    </w:lvl>
    <w:lvl w:ilvl="8" w:tplc="D9423D4A">
      <w:numFmt w:val="bullet"/>
      <w:lvlText w:val="•"/>
      <w:lvlJc w:val="left"/>
      <w:pPr>
        <w:ind w:left="4735" w:hanging="171"/>
      </w:pPr>
      <w:rPr>
        <w:rFonts w:hint="default"/>
        <w:lang w:val="cs-CZ" w:eastAsia="cs-CZ" w:bidi="cs-CZ"/>
      </w:rPr>
    </w:lvl>
  </w:abstractNum>
  <w:abstractNum w:abstractNumId="68" w15:restartNumberingAfterBreak="0">
    <w:nsid w:val="335D2F0E"/>
    <w:multiLevelType w:val="hybridMultilevel"/>
    <w:tmpl w:val="E2649B1A"/>
    <w:lvl w:ilvl="0" w:tplc="D7FA0B54">
      <w:start w:val="20"/>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D1C2929A">
      <w:numFmt w:val="bullet"/>
      <w:lvlText w:val="•"/>
      <w:lvlJc w:val="left"/>
      <w:pPr>
        <w:ind w:left="726" w:hanging="272"/>
      </w:pPr>
      <w:rPr>
        <w:rFonts w:hint="default"/>
        <w:lang w:val="cs-CZ" w:eastAsia="cs-CZ" w:bidi="cs-CZ"/>
      </w:rPr>
    </w:lvl>
    <w:lvl w:ilvl="2" w:tplc="BE844A5E">
      <w:numFmt w:val="bullet"/>
      <w:lvlText w:val="•"/>
      <w:lvlJc w:val="left"/>
      <w:pPr>
        <w:ind w:left="992" w:hanging="272"/>
      </w:pPr>
      <w:rPr>
        <w:rFonts w:hint="default"/>
        <w:lang w:val="cs-CZ" w:eastAsia="cs-CZ" w:bidi="cs-CZ"/>
      </w:rPr>
    </w:lvl>
    <w:lvl w:ilvl="3" w:tplc="4E3CC812">
      <w:numFmt w:val="bullet"/>
      <w:lvlText w:val="•"/>
      <w:lvlJc w:val="left"/>
      <w:pPr>
        <w:ind w:left="1259" w:hanging="272"/>
      </w:pPr>
      <w:rPr>
        <w:rFonts w:hint="default"/>
        <w:lang w:val="cs-CZ" w:eastAsia="cs-CZ" w:bidi="cs-CZ"/>
      </w:rPr>
    </w:lvl>
    <w:lvl w:ilvl="4" w:tplc="DC8A2188">
      <w:numFmt w:val="bullet"/>
      <w:lvlText w:val="•"/>
      <w:lvlJc w:val="left"/>
      <w:pPr>
        <w:ind w:left="1525" w:hanging="272"/>
      </w:pPr>
      <w:rPr>
        <w:rFonts w:hint="default"/>
        <w:lang w:val="cs-CZ" w:eastAsia="cs-CZ" w:bidi="cs-CZ"/>
      </w:rPr>
    </w:lvl>
    <w:lvl w:ilvl="5" w:tplc="BA0E4F58">
      <w:numFmt w:val="bullet"/>
      <w:lvlText w:val="•"/>
      <w:lvlJc w:val="left"/>
      <w:pPr>
        <w:ind w:left="1792" w:hanging="272"/>
      </w:pPr>
      <w:rPr>
        <w:rFonts w:hint="default"/>
        <w:lang w:val="cs-CZ" w:eastAsia="cs-CZ" w:bidi="cs-CZ"/>
      </w:rPr>
    </w:lvl>
    <w:lvl w:ilvl="6" w:tplc="3F88947C">
      <w:numFmt w:val="bullet"/>
      <w:lvlText w:val="•"/>
      <w:lvlJc w:val="left"/>
      <w:pPr>
        <w:ind w:left="2058" w:hanging="272"/>
      </w:pPr>
      <w:rPr>
        <w:rFonts w:hint="default"/>
        <w:lang w:val="cs-CZ" w:eastAsia="cs-CZ" w:bidi="cs-CZ"/>
      </w:rPr>
    </w:lvl>
    <w:lvl w:ilvl="7" w:tplc="EB7801F8">
      <w:numFmt w:val="bullet"/>
      <w:lvlText w:val="•"/>
      <w:lvlJc w:val="left"/>
      <w:pPr>
        <w:ind w:left="2325" w:hanging="272"/>
      </w:pPr>
      <w:rPr>
        <w:rFonts w:hint="default"/>
        <w:lang w:val="cs-CZ" w:eastAsia="cs-CZ" w:bidi="cs-CZ"/>
      </w:rPr>
    </w:lvl>
    <w:lvl w:ilvl="8" w:tplc="083AE998">
      <w:numFmt w:val="bullet"/>
      <w:lvlText w:val="•"/>
      <w:lvlJc w:val="left"/>
      <w:pPr>
        <w:ind w:left="2591" w:hanging="272"/>
      </w:pPr>
      <w:rPr>
        <w:rFonts w:hint="default"/>
        <w:lang w:val="cs-CZ" w:eastAsia="cs-CZ" w:bidi="cs-CZ"/>
      </w:rPr>
    </w:lvl>
  </w:abstractNum>
  <w:abstractNum w:abstractNumId="69" w15:restartNumberingAfterBreak="0">
    <w:nsid w:val="3410761C"/>
    <w:multiLevelType w:val="hybridMultilevel"/>
    <w:tmpl w:val="CAD00E86"/>
    <w:lvl w:ilvl="0" w:tplc="68BA2652">
      <w:start w:val="284"/>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62525CD8">
      <w:numFmt w:val="bullet"/>
      <w:lvlText w:val="•"/>
      <w:lvlJc w:val="left"/>
      <w:pPr>
        <w:ind w:left="711" w:hanging="272"/>
      </w:pPr>
      <w:rPr>
        <w:rFonts w:hint="default"/>
        <w:lang w:val="cs-CZ" w:eastAsia="cs-CZ" w:bidi="cs-CZ"/>
      </w:rPr>
    </w:lvl>
    <w:lvl w:ilvl="2" w:tplc="4D96D7A6">
      <w:numFmt w:val="bullet"/>
      <w:lvlText w:val="•"/>
      <w:lvlJc w:val="left"/>
      <w:pPr>
        <w:ind w:left="962" w:hanging="272"/>
      </w:pPr>
      <w:rPr>
        <w:rFonts w:hint="default"/>
        <w:lang w:val="cs-CZ" w:eastAsia="cs-CZ" w:bidi="cs-CZ"/>
      </w:rPr>
    </w:lvl>
    <w:lvl w:ilvl="3" w:tplc="BE8ECC32">
      <w:numFmt w:val="bullet"/>
      <w:lvlText w:val="•"/>
      <w:lvlJc w:val="left"/>
      <w:pPr>
        <w:ind w:left="1213" w:hanging="272"/>
      </w:pPr>
      <w:rPr>
        <w:rFonts w:hint="default"/>
        <w:lang w:val="cs-CZ" w:eastAsia="cs-CZ" w:bidi="cs-CZ"/>
      </w:rPr>
    </w:lvl>
    <w:lvl w:ilvl="4" w:tplc="33F22050">
      <w:numFmt w:val="bullet"/>
      <w:lvlText w:val="•"/>
      <w:lvlJc w:val="left"/>
      <w:pPr>
        <w:ind w:left="1465" w:hanging="272"/>
      </w:pPr>
      <w:rPr>
        <w:rFonts w:hint="default"/>
        <w:lang w:val="cs-CZ" w:eastAsia="cs-CZ" w:bidi="cs-CZ"/>
      </w:rPr>
    </w:lvl>
    <w:lvl w:ilvl="5" w:tplc="FE16196A">
      <w:numFmt w:val="bullet"/>
      <w:lvlText w:val="•"/>
      <w:lvlJc w:val="left"/>
      <w:pPr>
        <w:ind w:left="1716" w:hanging="272"/>
      </w:pPr>
      <w:rPr>
        <w:rFonts w:hint="default"/>
        <w:lang w:val="cs-CZ" w:eastAsia="cs-CZ" w:bidi="cs-CZ"/>
      </w:rPr>
    </w:lvl>
    <w:lvl w:ilvl="6" w:tplc="570C00DC">
      <w:numFmt w:val="bullet"/>
      <w:lvlText w:val="•"/>
      <w:lvlJc w:val="left"/>
      <w:pPr>
        <w:ind w:left="1967" w:hanging="272"/>
      </w:pPr>
      <w:rPr>
        <w:rFonts w:hint="default"/>
        <w:lang w:val="cs-CZ" w:eastAsia="cs-CZ" w:bidi="cs-CZ"/>
      </w:rPr>
    </w:lvl>
    <w:lvl w:ilvl="7" w:tplc="638A36F4">
      <w:numFmt w:val="bullet"/>
      <w:lvlText w:val="•"/>
      <w:lvlJc w:val="left"/>
      <w:pPr>
        <w:ind w:left="2218" w:hanging="272"/>
      </w:pPr>
      <w:rPr>
        <w:rFonts w:hint="default"/>
        <w:lang w:val="cs-CZ" w:eastAsia="cs-CZ" w:bidi="cs-CZ"/>
      </w:rPr>
    </w:lvl>
    <w:lvl w:ilvl="8" w:tplc="7682FE6A">
      <w:numFmt w:val="bullet"/>
      <w:lvlText w:val="•"/>
      <w:lvlJc w:val="left"/>
      <w:pPr>
        <w:ind w:left="2470" w:hanging="272"/>
      </w:pPr>
      <w:rPr>
        <w:rFonts w:hint="default"/>
        <w:lang w:val="cs-CZ" w:eastAsia="cs-CZ" w:bidi="cs-CZ"/>
      </w:rPr>
    </w:lvl>
  </w:abstractNum>
  <w:abstractNum w:abstractNumId="70" w15:restartNumberingAfterBreak="0">
    <w:nsid w:val="35467806"/>
    <w:multiLevelType w:val="hybridMultilevel"/>
    <w:tmpl w:val="AD369D2C"/>
    <w:lvl w:ilvl="0" w:tplc="22A2F384">
      <w:numFmt w:val="bullet"/>
      <w:lvlText w:val="–"/>
      <w:lvlJc w:val="left"/>
      <w:pPr>
        <w:ind w:left="880" w:hanging="171"/>
      </w:pPr>
      <w:rPr>
        <w:rFonts w:ascii="Arial" w:eastAsia="Arial" w:hAnsi="Arial" w:cs="Arial" w:hint="default"/>
        <w:color w:val="231F20"/>
        <w:w w:val="89"/>
        <w:sz w:val="15"/>
        <w:szCs w:val="15"/>
        <w:lang w:val="cs-CZ" w:eastAsia="cs-CZ" w:bidi="cs-CZ"/>
      </w:rPr>
    </w:lvl>
    <w:lvl w:ilvl="1" w:tplc="A2B0BE1A">
      <w:numFmt w:val="bullet"/>
      <w:lvlText w:val="•"/>
      <w:lvlJc w:val="left"/>
      <w:pPr>
        <w:ind w:left="1362" w:hanging="171"/>
      </w:pPr>
      <w:rPr>
        <w:rFonts w:hint="default"/>
        <w:lang w:val="cs-CZ" w:eastAsia="cs-CZ" w:bidi="cs-CZ"/>
      </w:rPr>
    </w:lvl>
    <w:lvl w:ilvl="2" w:tplc="7BE8F11A">
      <w:numFmt w:val="bullet"/>
      <w:lvlText w:val="•"/>
      <w:lvlJc w:val="left"/>
      <w:pPr>
        <w:ind w:left="1844" w:hanging="171"/>
      </w:pPr>
      <w:rPr>
        <w:rFonts w:hint="default"/>
        <w:lang w:val="cs-CZ" w:eastAsia="cs-CZ" w:bidi="cs-CZ"/>
      </w:rPr>
    </w:lvl>
    <w:lvl w:ilvl="3" w:tplc="096A6132">
      <w:numFmt w:val="bullet"/>
      <w:lvlText w:val="•"/>
      <w:lvlJc w:val="left"/>
      <w:pPr>
        <w:ind w:left="2326" w:hanging="171"/>
      </w:pPr>
      <w:rPr>
        <w:rFonts w:hint="default"/>
        <w:lang w:val="cs-CZ" w:eastAsia="cs-CZ" w:bidi="cs-CZ"/>
      </w:rPr>
    </w:lvl>
    <w:lvl w:ilvl="4" w:tplc="2DF6BA60">
      <w:numFmt w:val="bullet"/>
      <w:lvlText w:val="•"/>
      <w:lvlJc w:val="left"/>
      <w:pPr>
        <w:ind w:left="2808" w:hanging="171"/>
      </w:pPr>
      <w:rPr>
        <w:rFonts w:hint="default"/>
        <w:lang w:val="cs-CZ" w:eastAsia="cs-CZ" w:bidi="cs-CZ"/>
      </w:rPr>
    </w:lvl>
    <w:lvl w:ilvl="5" w:tplc="8928291C">
      <w:numFmt w:val="bullet"/>
      <w:lvlText w:val="•"/>
      <w:lvlJc w:val="left"/>
      <w:pPr>
        <w:ind w:left="3290" w:hanging="171"/>
      </w:pPr>
      <w:rPr>
        <w:rFonts w:hint="default"/>
        <w:lang w:val="cs-CZ" w:eastAsia="cs-CZ" w:bidi="cs-CZ"/>
      </w:rPr>
    </w:lvl>
    <w:lvl w:ilvl="6" w:tplc="9D880E82">
      <w:numFmt w:val="bullet"/>
      <w:lvlText w:val="•"/>
      <w:lvlJc w:val="left"/>
      <w:pPr>
        <w:ind w:left="3772" w:hanging="171"/>
      </w:pPr>
      <w:rPr>
        <w:rFonts w:hint="default"/>
        <w:lang w:val="cs-CZ" w:eastAsia="cs-CZ" w:bidi="cs-CZ"/>
      </w:rPr>
    </w:lvl>
    <w:lvl w:ilvl="7" w:tplc="D0062B1A">
      <w:numFmt w:val="bullet"/>
      <w:lvlText w:val="•"/>
      <w:lvlJc w:val="left"/>
      <w:pPr>
        <w:ind w:left="4254" w:hanging="171"/>
      </w:pPr>
      <w:rPr>
        <w:rFonts w:hint="default"/>
        <w:lang w:val="cs-CZ" w:eastAsia="cs-CZ" w:bidi="cs-CZ"/>
      </w:rPr>
    </w:lvl>
    <w:lvl w:ilvl="8" w:tplc="E8BC1CD8">
      <w:numFmt w:val="bullet"/>
      <w:lvlText w:val="•"/>
      <w:lvlJc w:val="left"/>
      <w:pPr>
        <w:ind w:left="4736" w:hanging="171"/>
      </w:pPr>
      <w:rPr>
        <w:rFonts w:hint="default"/>
        <w:lang w:val="cs-CZ" w:eastAsia="cs-CZ" w:bidi="cs-CZ"/>
      </w:rPr>
    </w:lvl>
  </w:abstractNum>
  <w:abstractNum w:abstractNumId="71" w15:restartNumberingAfterBreak="0">
    <w:nsid w:val="356D491F"/>
    <w:multiLevelType w:val="hybridMultilevel"/>
    <w:tmpl w:val="F78EB7C4"/>
    <w:lvl w:ilvl="0" w:tplc="4FB42750">
      <w:start w:val="100"/>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A058BC40">
      <w:numFmt w:val="bullet"/>
      <w:lvlText w:val="•"/>
      <w:lvlJc w:val="left"/>
      <w:pPr>
        <w:ind w:left="724" w:hanging="272"/>
      </w:pPr>
      <w:rPr>
        <w:rFonts w:hint="default"/>
        <w:lang w:val="cs-CZ" w:eastAsia="cs-CZ" w:bidi="cs-CZ"/>
      </w:rPr>
    </w:lvl>
    <w:lvl w:ilvl="2" w:tplc="8B7A41EE">
      <w:numFmt w:val="bullet"/>
      <w:lvlText w:val="•"/>
      <w:lvlJc w:val="left"/>
      <w:pPr>
        <w:ind w:left="988" w:hanging="272"/>
      </w:pPr>
      <w:rPr>
        <w:rFonts w:hint="default"/>
        <w:lang w:val="cs-CZ" w:eastAsia="cs-CZ" w:bidi="cs-CZ"/>
      </w:rPr>
    </w:lvl>
    <w:lvl w:ilvl="3" w:tplc="A28C503A">
      <w:numFmt w:val="bullet"/>
      <w:lvlText w:val="•"/>
      <w:lvlJc w:val="left"/>
      <w:pPr>
        <w:ind w:left="1252" w:hanging="272"/>
      </w:pPr>
      <w:rPr>
        <w:rFonts w:hint="default"/>
        <w:lang w:val="cs-CZ" w:eastAsia="cs-CZ" w:bidi="cs-CZ"/>
      </w:rPr>
    </w:lvl>
    <w:lvl w:ilvl="4" w:tplc="2C52BE74">
      <w:numFmt w:val="bullet"/>
      <w:lvlText w:val="•"/>
      <w:lvlJc w:val="left"/>
      <w:pPr>
        <w:ind w:left="1516" w:hanging="272"/>
      </w:pPr>
      <w:rPr>
        <w:rFonts w:hint="default"/>
        <w:lang w:val="cs-CZ" w:eastAsia="cs-CZ" w:bidi="cs-CZ"/>
      </w:rPr>
    </w:lvl>
    <w:lvl w:ilvl="5" w:tplc="0B202B90">
      <w:numFmt w:val="bullet"/>
      <w:lvlText w:val="•"/>
      <w:lvlJc w:val="left"/>
      <w:pPr>
        <w:ind w:left="1780" w:hanging="272"/>
      </w:pPr>
      <w:rPr>
        <w:rFonts w:hint="default"/>
        <w:lang w:val="cs-CZ" w:eastAsia="cs-CZ" w:bidi="cs-CZ"/>
      </w:rPr>
    </w:lvl>
    <w:lvl w:ilvl="6" w:tplc="8C201CFE">
      <w:numFmt w:val="bullet"/>
      <w:lvlText w:val="•"/>
      <w:lvlJc w:val="left"/>
      <w:pPr>
        <w:ind w:left="2044" w:hanging="272"/>
      </w:pPr>
      <w:rPr>
        <w:rFonts w:hint="default"/>
        <w:lang w:val="cs-CZ" w:eastAsia="cs-CZ" w:bidi="cs-CZ"/>
      </w:rPr>
    </w:lvl>
    <w:lvl w:ilvl="7" w:tplc="8CA40868">
      <w:numFmt w:val="bullet"/>
      <w:lvlText w:val="•"/>
      <w:lvlJc w:val="left"/>
      <w:pPr>
        <w:ind w:left="2308" w:hanging="272"/>
      </w:pPr>
      <w:rPr>
        <w:rFonts w:hint="default"/>
        <w:lang w:val="cs-CZ" w:eastAsia="cs-CZ" w:bidi="cs-CZ"/>
      </w:rPr>
    </w:lvl>
    <w:lvl w:ilvl="8" w:tplc="BB38E332">
      <w:numFmt w:val="bullet"/>
      <w:lvlText w:val="•"/>
      <w:lvlJc w:val="left"/>
      <w:pPr>
        <w:ind w:left="2572" w:hanging="272"/>
      </w:pPr>
      <w:rPr>
        <w:rFonts w:hint="default"/>
        <w:lang w:val="cs-CZ" w:eastAsia="cs-CZ" w:bidi="cs-CZ"/>
      </w:rPr>
    </w:lvl>
  </w:abstractNum>
  <w:abstractNum w:abstractNumId="72" w15:restartNumberingAfterBreak="0">
    <w:nsid w:val="35A116DD"/>
    <w:multiLevelType w:val="multilevel"/>
    <w:tmpl w:val="92147F56"/>
    <w:lvl w:ilvl="0">
      <w:start w:val="1"/>
      <w:numFmt w:val="decimal"/>
      <w:lvlText w:val="%1."/>
      <w:lvlJc w:val="left"/>
      <w:pPr>
        <w:ind w:left="824" w:hanging="567"/>
        <w:jc w:val="left"/>
      </w:pPr>
      <w:rPr>
        <w:rFonts w:ascii="Times New Roman" w:eastAsia="Times New Roman" w:hAnsi="Times New Roman" w:cs="Times New Roman" w:hint="default"/>
        <w:b/>
        <w:bCs/>
        <w:w w:val="99"/>
        <w:sz w:val="24"/>
        <w:szCs w:val="24"/>
        <w:lang w:val="cs-CZ" w:eastAsia="cs-CZ" w:bidi="cs-CZ"/>
      </w:rPr>
    </w:lvl>
    <w:lvl w:ilvl="1">
      <w:start w:val="1"/>
      <w:numFmt w:val="decimal"/>
      <w:lvlText w:val="%1.%2."/>
      <w:lvlJc w:val="left"/>
      <w:pPr>
        <w:ind w:left="258" w:hanging="720"/>
        <w:jc w:val="left"/>
      </w:pPr>
      <w:rPr>
        <w:rFonts w:ascii="Times New Roman" w:eastAsia="Times New Roman" w:hAnsi="Times New Roman" w:cs="Times New Roman" w:hint="default"/>
        <w:w w:val="99"/>
        <w:sz w:val="24"/>
        <w:szCs w:val="24"/>
        <w:lang w:val="cs-CZ" w:eastAsia="cs-CZ" w:bidi="cs-CZ"/>
      </w:rPr>
    </w:lvl>
    <w:lvl w:ilvl="2">
      <w:numFmt w:val="bullet"/>
      <w:lvlText w:val=""/>
      <w:lvlJc w:val="left"/>
      <w:pPr>
        <w:ind w:left="1470" w:hanging="360"/>
      </w:pPr>
      <w:rPr>
        <w:rFonts w:ascii="Wingdings" w:eastAsia="Wingdings" w:hAnsi="Wingdings" w:cs="Wingdings" w:hint="default"/>
        <w:w w:val="99"/>
        <w:sz w:val="24"/>
        <w:szCs w:val="24"/>
        <w:lang w:val="cs-CZ" w:eastAsia="cs-CZ" w:bidi="cs-CZ"/>
      </w:rPr>
    </w:lvl>
    <w:lvl w:ilvl="3">
      <w:numFmt w:val="bullet"/>
      <w:lvlText w:val="•"/>
      <w:lvlJc w:val="left"/>
      <w:pPr>
        <w:ind w:left="1480" w:hanging="360"/>
      </w:pPr>
      <w:rPr>
        <w:rFonts w:hint="default"/>
        <w:lang w:val="cs-CZ" w:eastAsia="cs-CZ" w:bidi="cs-CZ"/>
      </w:rPr>
    </w:lvl>
    <w:lvl w:ilvl="4">
      <w:numFmt w:val="bullet"/>
      <w:lvlText w:val="•"/>
      <w:lvlJc w:val="left"/>
      <w:pPr>
        <w:ind w:left="2717" w:hanging="360"/>
      </w:pPr>
      <w:rPr>
        <w:rFonts w:hint="default"/>
        <w:lang w:val="cs-CZ" w:eastAsia="cs-CZ" w:bidi="cs-CZ"/>
      </w:rPr>
    </w:lvl>
    <w:lvl w:ilvl="5">
      <w:numFmt w:val="bullet"/>
      <w:lvlText w:val="•"/>
      <w:lvlJc w:val="left"/>
      <w:pPr>
        <w:ind w:left="3954" w:hanging="360"/>
      </w:pPr>
      <w:rPr>
        <w:rFonts w:hint="default"/>
        <w:lang w:val="cs-CZ" w:eastAsia="cs-CZ" w:bidi="cs-CZ"/>
      </w:rPr>
    </w:lvl>
    <w:lvl w:ilvl="6">
      <w:numFmt w:val="bullet"/>
      <w:lvlText w:val="•"/>
      <w:lvlJc w:val="left"/>
      <w:pPr>
        <w:ind w:left="5191" w:hanging="360"/>
      </w:pPr>
      <w:rPr>
        <w:rFonts w:hint="default"/>
        <w:lang w:val="cs-CZ" w:eastAsia="cs-CZ" w:bidi="cs-CZ"/>
      </w:rPr>
    </w:lvl>
    <w:lvl w:ilvl="7">
      <w:numFmt w:val="bullet"/>
      <w:lvlText w:val="•"/>
      <w:lvlJc w:val="left"/>
      <w:pPr>
        <w:ind w:left="6428" w:hanging="360"/>
      </w:pPr>
      <w:rPr>
        <w:rFonts w:hint="default"/>
        <w:lang w:val="cs-CZ" w:eastAsia="cs-CZ" w:bidi="cs-CZ"/>
      </w:rPr>
    </w:lvl>
    <w:lvl w:ilvl="8">
      <w:numFmt w:val="bullet"/>
      <w:lvlText w:val="•"/>
      <w:lvlJc w:val="left"/>
      <w:pPr>
        <w:ind w:left="7665" w:hanging="360"/>
      </w:pPr>
      <w:rPr>
        <w:rFonts w:hint="default"/>
        <w:lang w:val="cs-CZ" w:eastAsia="cs-CZ" w:bidi="cs-CZ"/>
      </w:rPr>
    </w:lvl>
  </w:abstractNum>
  <w:abstractNum w:abstractNumId="73" w15:restartNumberingAfterBreak="0">
    <w:nsid w:val="379502E9"/>
    <w:multiLevelType w:val="hybridMultilevel"/>
    <w:tmpl w:val="B81A6B46"/>
    <w:lvl w:ilvl="0" w:tplc="E2A8DEB6">
      <w:start w:val="49"/>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775A4564">
      <w:numFmt w:val="bullet"/>
      <w:lvlText w:val="•"/>
      <w:lvlJc w:val="left"/>
      <w:pPr>
        <w:ind w:left="712" w:hanging="272"/>
      </w:pPr>
      <w:rPr>
        <w:rFonts w:hint="default"/>
        <w:lang w:val="cs-CZ" w:eastAsia="cs-CZ" w:bidi="cs-CZ"/>
      </w:rPr>
    </w:lvl>
    <w:lvl w:ilvl="2" w:tplc="679E7032">
      <w:numFmt w:val="bullet"/>
      <w:lvlText w:val="•"/>
      <w:lvlJc w:val="left"/>
      <w:pPr>
        <w:ind w:left="965" w:hanging="272"/>
      </w:pPr>
      <w:rPr>
        <w:rFonts w:hint="default"/>
        <w:lang w:val="cs-CZ" w:eastAsia="cs-CZ" w:bidi="cs-CZ"/>
      </w:rPr>
    </w:lvl>
    <w:lvl w:ilvl="3" w:tplc="BDFAD2BA">
      <w:numFmt w:val="bullet"/>
      <w:lvlText w:val="•"/>
      <w:lvlJc w:val="left"/>
      <w:pPr>
        <w:ind w:left="1218" w:hanging="272"/>
      </w:pPr>
      <w:rPr>
        <w:rFonts w:hint="default"/>
        <w:lang w:val="cs-CZ" w:eastAsia="cs-CZ" w:bidi="cs-CZ"/>
      </w:rPr>
    </w:lvl>
    <w:lvl w:ilvl="4" w:tplc="B2388FAE">
      <w:numFmt w:val="bullet"/>
      <w:lvlText w:val="•"/>
      <w:lvlJc w:val="left"/>
      <w:pPr>
        <w:ind w:left="1471" w:hanging="272"/>
      </w:pPr>
      <w:rPr>
        <w:rFonts w:hint="default"/>
        <w:lang w:val="cs-CZ" w:eastAsia="cs-CZ" w:bidi="cs-CZ"/>
      </w:rPr>
    </w:lvl>
    <w:lvl w:ilvl="5" w:tplc="70642420">
      <w:numFmt w:val="bullet"/>
      <w:lvlText w:val="•"/>
      <w:lvlJc w:val="left"/>
      <w:pPr>
        <w:ind w:left="1724" w:hanging="272"/>
      </w:pPr>
      <w:rPr>
        <w:rFonts w:hint="default"/>
        <w:lang w:val="cs-CZ" w:eastAsia="cs-CZ" w:bidi="cs-CZ"/>
      </w:rPr>
    </w:lvl>
    <w:lvl w:ilvl="6" w:tplc="64600F6C">
      <w:numFmt w:val="bullet"/>
      <w:lvlText w:val="•"/>
      <w:lvlJc w:val="left"/>
      <w:pPr>
        <w:ind w:left="1977" w:hanging="272"/>
      </w:pPr>
      <w:rPr>
        <w:rFonts w:hint="default"/>
        <w:lang w:val="cs-CZ" w:eastAsia="cs-CZ" w:bidi="cs-CZ"/>
      </w:rPr>
    </w:lvl>
    <w:lvl w:ilvl="7" w:tplc="F4921FF8">
      <w:numFmt w:val="bullet"/>
      <w:lvlText w:val="•"/>
      <w:lvlJc w:val="left"/>
      <w:pPr>
        <w:ind w:left="2230" w:hanging="272"/>
      </w:pPr>
      <w:rPr>
        <w:rFonts w:hint="default"/>
        <w:lang w:val="cs-CZ" w:eastAsia="cs-CZ" w:bidi="cs-CZ"/>
      </w:rPr>
    </w:lvl>
    <w:lvl w:ilvl="8" w:tplc="C772EB0E">
      <w:numFmt w:val="bullet"/>
      <w:lvlText w:val="•"/>
      <w:lvlJc w:val="left"/>
      <w:pPr>
        <w:ind w:left="2483" w:hanging="272"/>
      </w:pPr>
      <w:rPr>
        <w:rFonts w:hint="default"/>
        <w:lang w:val="cs-CZ" w:eastAsia="cs-CZ" w:bidi="cs-CZ"/>
      </w:rPr>
    </w:lvl>
  </w:abstractNum>
  <w:abstractNum w:abstractNumId="74" w15:restartNumberingAfterBreak="0">
    <w:nsid w:val="37C36F75"/>
    <w:multiLevelType w:val="hybridMultilevel"/>
    <w:tmpl w:val="4C4443F4"/>
    <w:lvl w:ilvl="0" w:tplc="75F49890">
      <w:start w:val="271"/>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38A0993C">
      <w:numFmt w:val="bullet"/>
      <w:lvlText w:val="•"/>
      <w:lvlJc w:val="left"/>
      <w:pPr>
        <w:ind w:left="727" w:hanging="272"/>
      </w:pPr>
      <w:rPr>
        <w:rFonts w:hint="default"/>
        <w:lang w:val="cs-CZ" w:eastAsia="cs-CZ" w:bidi="cs-CZ"/>
      </w:rPr>
    </w:lvl>
    <w:lvl w:ilvl="2" w:tplc="361E85F2">
      <w:numFmt w:val="bullet"/>
      <w:lvlText w:val="•"/>
      <w:lvlJc w:val="left"/>
      <w:pPr>
        <w:ind w:left="994" w:hanging="272"/>
      </w:pPr>
      <w:rPr>
        <w:rFonts w:hint="default"/>
        <w:lang w:val="cs-CZ" w:eastAsia="cs-CZ" w:bidi="cs-CZ"/>
      </w:rPr>
    </w:lvl>
    <w:lvl w:ilvl="3" w:tplc="FEF6F144">
      <w:numFmt w:val="bullet"/>
      <w:lvlText w:val="•"/>
      <w:lvlJc w:val="left"/>
      <w:pPr>
        <w:ind w:left="1261" w:hanging="272"/>
      </w:pPr>
      <w:rPr>
        <w:rFonts w:hint="default"/>
        <w:lang w:val="cs-CZ" w:eastAsia="cs-CZ" w:bidi="cs-CZ"/>
      </w:rPr>
    </w:lvl>
    <w:lvl w:ilvl="4" w:tplc="6186B26E">
      <w:numFmt w:val="bullet"/>
      <w:lvlText w:val="•"/>
      <w:lvlJc w:val="left"/>
      <w:pPr>
        <w:ind w:left="1528" w:hanging="272"/>
      </w:pPr>
      <w:rPr>
        <w:rFonts w:hint="default"/>
        <w:lang w:val="cs-CZ" w:eastAsia="cs-CZ" w:bidi="cs-CZ"/>
      </w:rPr>
    </w:lvl>
    <w:lvl w:ilvl="5" w:tplc="978C841C">
      <w:numFmt w:val="bullet"/>
      <w:lvlText w:val="•"/>
      <w:lvlJc w:val="left"/>
      <w:pPr>
        <w:ind w:left="1795" w:hanging="272"/>
      </w:pPr>
      <w:rPr>
        <w:rFonts w:hint="default"/>
        <w:lang w:val="cs-CZ" w:eastAsia="cs-CZ" w:bidi="cs-CZ"/>
      </w:rPr>
    </w:lvl>
    <w:lvl w:ilvl="6" w:tplc="C082E664">
      <w:numFmt w:val="bullet"/>
      <w:lvlText w:val="•"/>
      <w:lvlJc w:val="left"/>
      <w:pPr>
        <w:ind w:left="2062" w:hanging="272"/>
      </w:pPr>
      <w:rPr>
        <w:rFonts w:hint="default"/>
        <w:lang w:val="cs-CZ" w:eastAsia="cs-CZ" w:bidi="cs-CZ"/>
      </w:rPr>
    </w:lvl>
    <w:lvl w:ilvl="7" w:tplc="26CE2F58">
      <w:numFmt w:val="bullet"/>
      <w:lvlText w:val="•"/>
      <w:lvlJc w:val="left"/>
      <w:pPr>
        <w:ind w:left="2329" w:hanging="272"/>
      </w:pPr>
      <w:rPr>
        <w:rFonts w:hint="default"/>
        <w:lang w:val="cs-CZ" w:eastAsia="cs-CZ" w:bidi="cs-CZ"/>
      </w:rPr>
    </w:lvl>
    <w:lvl w:ilvl="8" w:tplc="CBB0A34A">
      <w:numFmt w:val="bullet"/>
      <w:lvlText w:val="•"/>
      <w:lvlJc w:val="left"/>
      <w:pPr>
        <w:ind w:left="2597" w:hanging="272"/>
      </w:pPr>
      <w:rPr>
        <w:rFonts w:hint="default"/>
        <w:lang w:val="cs-CZ" w:eastAsia="cs-CZ" w:bidi="cs-CZ"/>
      </w:rPr>
    </w:lvl>
  </w:abstractNum>
  <w:abstractNum w:abstractNumId="75" w15:restartNumberingAfterBreak="0">
    <w:nsid w:val="37E4532D"/>
    <w:multiLevelType w:val="hybridMultilevel"/>
    <w:tmpl w:val="4AE47D26"/>
    <w:lvl w:ilvl="0" w:tplc="C12E8BD2">
      <w:start w:val="1"/>
      <w:numFmt w:val="lowerLetter"/>
      <w:lvlText w:val="%1)"/>
      <w:lvlJc w:val="left"/>
      <w:pPr>
        <w:ind w:left="258" w:hanging="248"/>
        <w:jc w:val="left"/>
      </w:pPr>
      <w:rPr>
        <w:rFonts w:ascii="Times New Roman" w:eastAsia="Times New Roman" w:hAnsi="Times New Roman" w:cs="Times New Roman" w:hint="default"/>
        <w:spacing w:val="-1"/>
        <w:w w:val="99"/>
        <w:sz w:val="24"/>
        <w:szCs w:val="24"/>
        <w:lang w:val="cs-CZ" w:eastAsia="cs-CZ" w:bidi="cs-CZ"/>
      </w:rPr>
    </w:lvl>
    <w:lvl w:ilvl="1" w:tplc="62A82FEA">
      <w:numFmt w:val="bullet"/>
      <w:lvlText w:val="•"/>
      <w:lvlJc w:val="left"/>
      <w:pPr>
        <w:ind w:left="1248" w:hanging="248"/>
      </w:pPr>
      <w:rPr>
        <w:rFonts w:hint="default"/>
        <w:lang w:val="cs-CZ" w:eastAsia="cs-CZ" w:bidi="cs-CZ"/>
      </w:rPr>
    </w:lvl>
    <w:lvl w:ilvl="2" w:tplc="8AC65E0E">
      <w:numFmt w:val="bullet"/>
      <w:lvlText w:val="•"/>
      <w:lvlJc w:val="left"/>
      <w:pPr>
        <w:ind w:left="2236" w:hanging="248"/>
      </w:pPr>
      <w:rPr>
        <w:rFonts w:hint="default"/>
        <w:lang w:val="cs-CZ" w:eastAsia="cs-CZ" w:bidi="cs-CZ"/>
      </w:rPr>
    </w:lvl>
    <w:lvl w:ilvl="3" w:tplc="CA8E4CE2">
      <w:numFmt w:val="bullet"/>
      <w:lvlText w:val="•"/>
      <w:lvlJc w:val="left"/>
      <w:pPr>
        <w:ind w:left="3224" w:hanging="248"/>
      </w:pPr>
      <w:rPr>
        <w:rFonts w:hint="default"/>
        <w:lang w:val="cs-CZ" w:eastAsia="cs-CZ" w:bidi="cs-CZ"/>
      </w:rPr>
    </w:lvl>
    <w:lvl w:ilvl="4" w:tplc="E654BD18">
      <w:numFmt w:val="bullet"/>
      <w:lvlText w:val="•"/>
      <w:lvlJc w:val="left"/>
      <w:pPr>
        <w:ind w:left="4212" w:hanging="248"/>
      </w:pPr>
      <w:rPr>
        <w:rFonts w:hint="default"/>
        <w:lang w:val="cs-CZ" w:eastAsia="cs-CZ" w:bidi="cs-CZ"/>
      </w:rPr>
    </w:lvl>
    <w:lvl w:ilvl="5" w:tplc="C0D8D500">
      <w:numFmt w:val="bullet"/>
      <w:lvlText w:val="•"/>
      <w:lvlJc w:val="left"/>
      <w:pPr>
        <w:ind w:left="5200" w:hanging="248"/>
      </w:pPr>
      <w:rPr>
        <w:rFonts w:hint="default"/>
        <w:lang w:val="cs-CZ" w:eastAsia="cs-CZ" w:bidi="cs-CZ"/>
      </w:rPr>
    </w:lvl>
    <w:lvl w:ilvl="6" w:tplc="D7F6860E">
      <w:numFmt w:val="bullet"/>
      <w:lvlText w:val="•"/>
      <w:lvlJc w:val="left"/>
      <w:pPr>
        <w:ind w:left="6188" w:hanging="248"/>
      </w:pPr>
      <w:rPr>
        <w:rFonts w:hint="default"/>
        <w:lang w:val="cs-CZ" w:eastAsia="cs-CZ" w:bidi="cs-CZ"/>
      </w:rPr>
    </w:lvl>
    <w:lvl w:ilvl="7" w:tplc="57AA89B0">
      <w:numFmt w:val="bullet"/>
      <w:lvlText w:val="•"/>
      <w:lvlJc w:val="left"/>
      <w:pPr>
        <w:ind w:left="7176" w:hanging="248"/>
      </w:pPr>
      <w:rPr>
        <w:rFonts w:hint="default"/>
        <w:lang w:val="cs-CZ" w:eastAsia="cs-CZ" w:bidi="cs-CZ"/>
      </w:rPr>
    </w:lvl>
    <w:lvl w:ilvl="8" w:tplc="A3BE17D6">
      <w:numFmt w:val="bullet"/>
      <w:lvlText w:val="•"/>
      <w:lvlJc w:val="left"/>
      <w:pPr>
        <w:ind w:left="8164" w:hanging="248"/>
      </w:pPr>
      <w:rPr>
        <w:rFonts w:hint="default"/>
        <w:lang w:val="cs-CZ" w:eastAsia="cs-CZ" w:bidi="cs-CZ"/>
      </w:rPr>
    </w:lvl>
  </w:abstractNum>
  <w:abstractNum w:abstractNumId="76" w15:restartNumberingAfterBreak="0">
    <w:nsid w:val="3A5D45B4"/>
    <w:multiLevelType w:val="hybridMultilevel"/>
    <w:tmpl w:val="A20C3F58"/>
    <w:lvl w:ilvl="0" w:tplc="9C32D8B6">
      <w:start w:val="284"/>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75BABF4E">
      <w:numFmt w:val="bullet"/>
      <w:lvlText w:val="•"/>
      <w:lvlJc w:val="left"/>
      <w:pPr>
        <w:ind w:left="727" w:hanging="272"/>
      </w:pPr>
      <w:rPr>
        <w:rFonts w:hint="default"/>
        <w:lang w:val="cs-CZ" w:eastAsia="cs-CZ" w:bidi="cs-CZ"/>
      </w:rPr>
    </w:lvl>
    <w:lvl w:ilvl="2" w:tplc="9626B182">
      <w:numFmt w:val="bullet"/>
      <w:lvlText w:val="•"/>
      <w:lvlJc w:val="left"/>
      <w:pPr>
        <w:ind w:left="994" w:hanging="272"/>
      </w:pPr>
      <w:rPr>
        <w:rFonts w:hint="default"/>
        <w:lang w:val="cs-CZ" w:eastAsia="cs-CZ" w:bidi="cs-CZ"/>
      </w:rPr>
    </w:lvl>
    <w:lvl w:ilvl="3" w:tplc="4A343EFE">
      <w:numFmt w:val="bullet"/>
      <w:lvlText w:val="•"/>
      <w:lvlJc w:val="left"/>
      <w:pPr>
        <w:ind w:left="1261" w:hanging="272"/>
      </w:pPr>
      <w:rPr>
        <w:rFonts w:hint="default"/>
        <w:lang w:val="cs-CZ" w:eastAsia="cs-CZ" w:bidi="cs-CZ"/>
      </w:rPr>
    </w:lvl>
    <w:lvl w:ilvl="4" w:tplc="1D0E2324">
      <w:numFmt w:val="bullet"/>
      <w:lvlText w:val="•"/>
      <w:lvlJc w:val="left"/>
      <w:pPr>
        <w:ind w:left="1528" w:hanging="272"/>
      </w:pPr>
      <w:rPr>
        <w:rFonts w:hint="default"/>
        <w:lang w:val="cs-CZ" w:eastAsia="cs-CZ" w:bidi="cs-CZ"/>
      </w:rPr>
    </w:lvl>
    <w:lvl w:ilvl="5" w:tplc="87BA909C">
      <w:numFmt w:val="bullet"/>
      <w:lvlText w:val="•"/>
      <w:lvlJc w:val="left"/>
      <w:pPr>
        <w:ind w:left="1795" w:hanging="272"/>
      </w:pPr>
      <w:rPr>
        <w:rFonts w:hint="default"/>
        <w:lang w:val="cs-CZ" w:eastAsia="cs-CZ" w:bidi="cs-CZ"/>
      </w:rPr>
    </w:lvl>
    <w:lvl w:ilvl="6" w:tplc="33524690">
      <w:numFmt w:val="bullet"/>
      <w:lvlText w:val="•"/>
      <w:lvlJc w:val="left"/>
      <w:pPr>
        <w:ind w:left="2062" w:hanging="272"/>
      </w:pPr>
      <w:rPr>
        <w:rFonts w:hint="default"/>
        <w:lang w:val="cs-CZ" w:eastAsia="cs-CZ" w:bidi="cs-CZ"/>
      </w:rPr>
    </w:lvl>
    <w:lvl w:ilvl="7" w:tplc="5F081C84">
      <w:numFmt w:val="bullet"/>
      <w:lvlText w:val="•"/>
      <w:lvlJc w:val="left"/>
      <w:pPr>
        <w:ind w:left="2329" w:hanging="272"/>
      </w:pPr>
      <w:rPr>
        <w:rFonts w:hint="default"/>
        <w:lang w:val="cs-CZ" w:eastAsia="cs-CZ" w:bidi="cs-CZ"/>
      </w:rPr>
    </w:lvl>
    <w:lvl w:ilvl="8" w:tplc="4134E20C">
      <w:numFmt w:val="bullet"/>
      <w:lvlText w:val="•"/>
      <w:lvlJc w:val="left"/>
      <w:pPr>
        <w:ind w:left="2597" w:hanging="272"/>
      </w:pPr>
      <w:rPr>
        <w:rFonts w:hint="default"/>
        <w:lang w:val="cs-CZ" w:eastAsia="cs-CZ" w:bidi="cs-CZ"/>
      </w:rPr>
    </w:lvl>
  </w:abstractNum>
  <w:abstractNum w:abstractNumId="77" w15:restartNumberingAfterBreak="0">
    <w:nsid w:val="3A731F86"/>
    <w:multiLevelType w:val="hybridMultilevel"/>
    <w:tmpl w:val="175EE8BC"/>
    <w:lvl w:ilvl="0" w:tplc="38D48260">
      <w:numFmt w:val="bullet"/>
      <w:lvlText w:val="–"/>
      <w:lvlJc w:val="left"/>
      <w:pPr>
        <w:ind w:left="1162" w:hanging="136"/>
      </w:pPr>
      <w:rPr>
        <w:rFonts w:ascii="Arial" w:eastAsia="Arial" w:hAnsi="Arial" w:cs="Arial" w:hint="default"/>
        <w:color w:val="231F20"/>
        <w:w w:val="89"/>
        <w:sz w:val="16"/>
        <w:szCs w:val="16"/>
        <w:lang w:val="cs-CZ" w:eastAsia="cs-CZ" w:bidi="cs-CZ"/>
      </w:rPr>
    </w:lvl>
    <w:lvl w:ilvl="1" w:tplc="23E42AE0">
      <w:numFmt w:val="bullet"/>
      <w:lvlText w:val="•"/>
      <w:lvlJc w:val="left"/>
      <w:pPr>
        <w:ind w:left="1559" w:hanging="136"/>
      </w:pPr>
      <w:rPr>
        <w:rFonts w:hint="default"/>
        <w:lang w:val="cs-CZ" w:eastAsia="cs-CZ" w:bidi="cs-CZ"/>
      </w:rPr>
    </w:lvl>
    <w:lvl w:ilvl="2" w:tplc="3D80BFC2">
      <w:numFmt w:val="bullet"/>
      <w:lvlText w:val="•"/>
      <w:lvlJc w:val="left"/>
      <w:pPr>
        <w:ind w:left="1959" w:hanging="136"/>
      </w:pPr>
      <w:rPr>
        <w:rFonts w:hint="default"/>
        <w:lang w:val="cs-CZ" w:eastAsia="cs-CZ" w:bidi="cs-CZ"/>
      </w:rPr>
    </w:lvl>
    <w:lvl w:ilvl="3" w:tplc="1B54D202">
      <w:numFmt w:val="bullet"/>
      <w:lvlText w:val="•"/>
      <w:lvlJc w:val="left"/>
      <w:pPr>
        <w:ind w:left="2359" w:hanging="136"/>
      </w:pPr>
      <w:rPr>
        <w:rFonts w:hint="default"/>
        <w:lang w:val="cs-CZ" w:eastAsia="cs-CZ" w:bidi="cs-CZ"/>
      </w:rPr>
    </w:lvl>
    <w:lvl w:ilvl="4" w:tplc="10201C1A">
      <w:numFmt w:val="bullet"/>
      <w:lvlText w:val="•"/>
      <w:lvlJc w:val="left"/>
      <w:pPr>
        <w:ind w:left="2759" w:hanging="136"/>
      </w:pPr>
      <w:rPr>
        <w:rFonts w:hint="default"/>
        <w:lang w:val="cs-CZ" w:eastAsia="cs-CZ" w:bidi="cs-CZ"/>
      </w:rPr>
    </w:lvl>
    <w:lvl w:ilvl="5" w:tplc="9B3E2FE0">
      <w:numFmt w:val="bullet"/>
      <w:lvlText w:val="•"/>
      <w:lvlJc w:val="left"/>
      <w:pPr>
        <w:ind w:left="3159" w:hanging="136"/>
      </w:pPr>
      <w:rPr>
        <w:rFonts w:hint="default"/>
        <w:lang w:val="cs-CZ" w:eastAsia="cs-CZ" w:bidi="cs-CZ"/>
      </w:rPr>
    </w:lvl>
    <w:lvl w:ilvl="6" w:tplc="FFAAB3D2">
      <w:numFmt w:val="bullet"/>
      <w:lvlText w:val="•"/>
      <w:lvlJc w:val="left"/>
      <w:pPr>
        <w:ind w:left="3559" w:hanging="136"/>
      </w:pPr>
      <w:rPr>
        <w:rFonts w:hint="default"/>
        <w:lang w:val="cs-CZ" w:eastAsia="cs-CZ" w:bidi="cs-CZ"/>
      </w:rPr>
    </w:lvl>
    <w:lvl w:ilvl="7" w:tplc="07640596">
      <w:numFmt w:val="bullet"/>
      <w:lvlText w:val="•"/>
      <w:lvlJc w:val="left"/>
      <w:pPr>
        <w:ind w:left="3959" w:hanging="136"/>
      </w:pPr>
      <w:rPr>
        <w:rFonts w:hint="default"/>
        <w:lang w:val="cs-CZ" w:eastAsia="cs-CZ" w:bidi="cs-CZ"/>
      </w:rPr>
    </w:lvl>
    <w:lvl w:ilvl="8" w:tplc="C9EAB13A">
      <w:numFmt w:val="bullet"/>
      <w:lvlText w:val="•"/>
      <w:lvlJc w:val="left"/>
      <w:pPr>
        <w:ind w:left="4359" w:hanging="136"/>
      </w:pPr>
      <w:rPr>
        <w:rFonts w:hint="default"/>
        <w:lang w:val="cs-CZ" w:eastAsia="cs-CZ" w:bidi="cs-CZ"/>
      </w:rPr>
    </w:lvl>
  </w:abstractNum>
  <w:abstractNum w:abstractNumId="78" w15:restartNumberingAfterBreak="0">
    <w:nsid w:val="3BF55ACF"/>
    <w:multiLevelType w:val="hybridMultilevel"/>
    <w:tmpl w:val="1BD89894"/>
    <w:lvl w:ilvl="0" w:tplc="E7E24DCE">
      <w:start w:val="2"/>
      <w:numFmt w:val="lowerLetter"/>
      <w:lvlText w:val="%1"/>
      <w:lvlJc w:val="left"/>
      <w:pPr>
        <w:ind w:left="880" w:hanging="171"/>
        <w:jc w:val="left"/>
      </w:pPr>
      <w:rPr>
        <w:rFonts w:ascii="Arial" w:eastAsia="Arial" w:hAnsi="Arial" w:cs="Arial" w:hint="default"/>
        <w:color w:val="231F20"/>
        <w:w w:val="109"/>
        <w:sz w:val="15"/>
        <w:szCs w:val="15"/>
        <w:lang w:val="cs-CZ" w:eastAsia="cs-CZ" w:bidi="cs-CZ"/>
      </w:rPr>
    </w:lvl>
    <w:lvl w:ilvl="1" w:tplc="36FE407C">
      <w:numFmt w:val="bullet"/>
      <w:lvlText w:val="•"/>
      <w:lvlJc w:val="left"/>
      <w:pPr>
        <w:ind w:left="1362" w:hanging="171"/>
      </w:pPr>
      <w:rPr>
        <w:rFonts w:hint="default"/>
        <w:lang w:val="cs-CZ" w:eastAsia="cs-CZ" w:bidi="cs-CZ"/>
      </w:rPr>
    </w:lvl>
    <w:lvl w:ilvl="2" w:tplc="3FBA379A">
      <w:numFmt w:val="bullet"/>
      <w:lvlText w:val="•"/>
      <w:lvlJc w:val="left"/>
      <w:pPr>
        <w:ind w:left="1845" w:hanging="171"/>
      </w:pPr>
      <w:rPr>
        <w:rFonts w:hint="default"/>
        <w:lang w:val="cs-CZ" w:eastAsia="cs-CZ" w:bidi="cs-CZ"/>
      </w:rPr>
    </w:lvl>
    <w:lvl w:ilvl="3" w:tplc="58204006">
      <w:numFmt w:val="bullet"/>
      <w:lvlText w:val="•"/>
      <w:lvlJc w:val="left"/>
      <w:pPr>
        <w:ind w:left="2327" w:hanging="171"/>
      </w:pPr>
      <w:rPr>
        <w:rFonts w:hint="default"/>
        <w:lang w:val="cs-CZ" w:eastAsia="cs-CZ" w:bidi="cs-CZ"/>
      </w:rPr>
    </w:lvl>
    <w:lvl w:ilvl="4" w:tplc="A164F690">
      <w:numFmt w:val="bullet"/>
      <w:lvlText w:val="•"/>
      <w:lvlJc w:val="left"/>
      <w:pPr>
        <w:ind w:left="2810" w:hanging="171"/>
      </w:pPr>
      <w:rPr>
        <w:rFonts w:hint="default"/>
        <w:lang w:val="cs-CZ" w:eastAsia="cs-CZ" w:bidi="cs-CZ"/>
      </w:rPr>
    </w:lvl>
    <w:lvl w:ilvl="5" w:tplc="9098A9E6">
      <w:numFmt w:val="bullet"/>
      <w:lvlText w:val="•"/>
      <w:lvlJc w:val="left"/>
      <w:pPr>
        <w:ind w:left="3292" w:hanging="171"/>
      </w:pPr>
      <w:rPr>
        <w:rFonts w:hint="default"/>
        <w:lang w:val="cs-CZ" w:eastAsia="cs-CZ" w:bidi="cs-CZ"/>
      </w:rPr>
    </w:lvl>
    <w:lvl w:ilvl="6" w:tplc="8FECF9EE">
      <w:numFmt w:val="bullet"/>
      <w:lvlText w:val="•"/>
      <w:lvlJc w:val="left"/>
      <w:pPr>
        <w:ind w:left="3775" w:hanging="171"/>
      </w:pPr>
      <w:rPr>
        <w:rFonts w:hint="default"/>
        <w:lang w:val="cs-CZ" w:eastAsia="cs-CZ" w:bidi="cs-CZ"/>
      </w:rPr>
    </w:lvl>
    <w:lvl w:ilvl="7" w:tplc="DEDC5376">
      <w:numFmt w:val="bullet"/>
      <w:lvlText w:val="•"/>
      <w:lvlJc w:val="left"/>
      <w:pPr>
        <w:ind w:left="4257" w:hanging="171"/>
      </w:pPr>
      <w:rPr>
        <w:rFonts w:hint="default"/>
        <w:lang w:val="cs-CZ" w:eastAsia="cs-CZ" w:bidi="cs-CZ"/>
      </w:rPr>
    </w:lvl>
    <w:lvl w:ilvl="8" w:tplc="6A5252D4">
      <w:numFmt w:val="bullet"/>
      <w:lvlText w:val="•"/>
      <w:lvlJc w:val="left"/>
      <w:pPr>
        <w:ind w:left="4740" w:hanging="171"/>
      </w:pPr>
      <w:rPr>
        <w:rFonts w:hint="default"/>
        <w:lang w:val="cs-CZ" w:eastAsia="cs-CZ" w:bidi="cs-CZ"/>
      </w:rPr>
    </w:lvl>
  </w:abstractNum>
  <w:abstractNum w:abstractNumId="79" w15:restartNumberingAfterBreak="0">
    <w:nsid w:val="3D176AA1"/>
    <w:multiLevelType w:val="hybridMultilevel"/>
    <w:tmpl w:val="FD16C996"/>
    <w:lvl w:ilvl="0" w:tplc="37F06CCA">
      <w:start w:val="222"/>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E2E64CB2">
      <w:numFmt w:val="bullet"/>
      <w:lvlText w:val="•"/>
      <w:lvlJc w:val="left"/>
      <w:pPr>
        <w:ind w:left="729" w:hanging="272"/>
      </w:pPr>
      <w:rPr>
        <w:rFonts w:hint="default"/>
        <w:lang w:val="cs-CZ" w:eastAsia="cs-CZ" w:bidi="cs-CZ"/>
      </w:rPr>
    </w:lvl>
    <w:lvl w:ilvl="2" w:tplc="CC8EFAA0">
      <w:numFmt w:val="bullet"/>
      <w:lvlText w:val="•"/>
      <w:lvlJc w:val="left"/>
      <w:pPr>
        <w:ind w:left="999" w:hanging="272"/>
      </w:pPr>
      <w:rPr>
        <w:rFonts w:hint="default"/>
        <w:lang w:val="cs-CZ" w:eastAsia="cs-CZ" w:bidi="cs-CZ"/>
      </w:rPr>
    </w:lvl>
    <w:lvl w:ilvl="3" w:tplc="5E0A03D4">
      <w:numFmt w:val="bullet"/>
      <w:lvlText w:val="•"/>
      <w:lvlJc w:val="left"/>
      <w:pPr>
        <w:ind w:left="1269" w:hanging="272"/>
      </w:pPr>
      <w:rPr>
        <w:rFonts w:hint="default"/>
        <w:lang w:val="cs-CZ" w:eastAsia="cs-CZ" w:bidi="cs-CZ"/>
      </w:rPr>
    </w:lvl>
    <w:lvl w:ilvl="4" w:tplc="170C7F84">
      <w:numFmt w:val="bullet"/>
      <w:lvlText w:val="•"/>
      <w:lvlJc w:val="left"/>
      <w:pPr>
        <w:ind w:left="1539" w:hanging="272"/>
      </w:pPr>
      <w:rPr>
        <w:rFonts w:hint="default"/>
        <w:lang w:val="cs-CZ" w:eastAsia="cs-CZ" w:bidi="cs-CZ"/>
      </w:rPr>
    </w:lvl>
    <w:lvl w:ilvl="5" w:tplc="76E0D7FC">
      <w:numFmt w:val="bullet"/>
      <w:lvlText w:val="•"/>
      <w:lvlJc w:val="left"/>
      <w:pPr>
        <w:ind w:left="1809" w:hanging="272"/>
      </w:pPr>
      <w:rPr>
        <w:rFonts w:hint="default"/>
        <w:lang w:val="cs-CZ" w:eastAsia="cs-CZ" w:bidi="cs-CZ"/>
      </w:rPr>
    </w:lvl>
    <w:lvl w:ilvl="6" w:tplc="9F643358">
      <w:numFmt w:val="bullet"/>
      <w:lvlText w:val="•"/>
      <w:lvlJc w:val="left"/>
      <w:pPr>
        <w:ind w:left="2079" w:hanging="272"/>
      </w:pPr>
      <w:rPr>
        <w:rFonts w:hint="default"/>
        <w:lang w:val="cs-CZ" w:eastAsia="cs-CZ" w:bidi="cs-CZ"/>
      </w:rPr>
    </w:lvl>
    <w:lvl w:ilvl="7" w:tplc="01C06330">
      <w:numFmt w:val="bullet"/>
      <w:lvlText w:val="•"/>
      <w:lvlJc w:val="left"/>
      <w:pPr>
        <w:ind w:left="2349" w:hanging="272"/>
      </w:pPr>
      <w:rPr>
        <w:rFonts w:hint="default"/>
        <w:lang w:val="cs-CZ" w:eastAsia="cs-CZ" w:bidi="cs-CZ"/>
      </w:rPr>
    </w:lvl>
    <w:lvl w:ilvl="8" w:tplc="9B94FF6A">
      <w:numFmt w:val="bullet"/>
      <w:lvlText w:val="•"/>
      <w:lvlJc w:val="left"/>
      <w:pPr>
        <w:ind w:left="2619" w:hanging="272"/>
      </w:pPr>
      <w:rPr>
        <w:rFonts w:hint="default"/>
        <w:lang w:val="cs-CZ" w:eastAsia="cs-CZ" w:bidi="cs-CZ"/>
      </w:rPr>
    </w:lvl>
  </w:abstractNum>
  <w:abstractNum w:abstractNumId="80" w15:restartNumberingAfterBreak="0">
    <w:nsid w:val="3D2D1C89"/>
    <w:multiLevelType w:val="hybridMultilevel"/>
    <w:tmpl w:val="C3169D0C"/>
    <w:lvl w:ilvl="0" w:tplc="460A772E">
      <w:start w:val="48"/>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BD340498">
      <w:numFmt w:val="bullet"/>
      <w:lvlText w:val="•"/>
      <w:lvlJc w:val="left"/>
      <w:pPr>
        <w:ind w:left="726" w:hanging="272"/>
      </w:pPr>
      <w:rPr>
        <w:rFonts w:hint="default"/>
        <w:lang w:val="cs-CZ" w:eastAsia="cs-CZ" w:bidi="cs-CZ"/>
      </w:rPr>
    </w:lvl>
    <w:lvl w:ilvl="2" w:tplc="A17807D6">
      <w:numFmt w:val="bullet"/>
      <w:lvlText w:val="•"/>
      <w:lvlJc w:val="left"/>
      <w:pPr>
        <w:ind w:left="992" w:hanging="272"/>
      </w:pPr>
      <w:rPr>
        <w:rFonts w:hint="default"/>
        <w:lang w:val="cs-CZ" w:eastAsia="cs-CZ" w:bidi="cs-CZ"/>
      </w:rPr>
    </w:lvl>
    <w:lvl w:ilvl="3" w:tplc="19B0BE68">
      <w:numFmt w:val="bullet"/>
      <w:lvlText w:val="•"/>
      <w:lvlJc w:val="left"/>
      <w:pPr>
        <w:ind w:left="1259" w:hanging="272"/>
      </w:pPr>
      <w:rPr>
        <w:rFonts w:hint="default"/>
        <w:lang w:val="cs-CZ" w:eastAsia="cs-CZ" w:bidi="cs-CZ"/>
      </w:rPr>
    </w:lvl>
    <w:lvl w:ilvl="4" w:tplc="1336836A">
      <w:numFmt w:val="bullet"/>
      <w:lvlText w:val="•"/>
      <w:lvlJc w:val="left"/>
      <w:pPr>
        <w:ind w:left="1525" w:hanging="272"/>
      </w:pPr>
      <w:rPr>
        <w:rFonts w:hint="default"/>
        <w:lang w:val="cs-CZ" w:eastAsia="cs-CZ" w:bidi="cs-CZ"/>
      </w:rPr>
    </w:lvl>
    <w:lvl w:ilvl="5" w:tplc="EE7CBD9E">
      <w:numFmt w:val="bullet"/>
      <w:lvlText w:val="•"/>
      <w:lvlJc w:val="left"/>
      <w:pPr>
        <w:ind w:left="1792" w:hanging="272"/>
      </w:pPr>
      <w:rPr>
        <w:rFonts w:hint="default"/>
        <w:lang w:val="cs-CZ" w:eastAsia="cs-CZ" w:bidi="cs-CZ"/>
      </w:rPr>
    </w:lvl>
    <w:lvl w:ilvl="6" w:tplc="FFC2656A">
      <w:numFmt w:val="bullet"/>
      <w:lvlText w:val="•"/>
      <w:lvlJc w:val="left"/>
      <w:pPr>
        <w:ind w:left="2058" w:hanging="272"/>
      </w:pPr>
      <w:rPr>
        <w:rFonts w:hint="default"/>
        <w:lang w:val="cs-CZ" w:eastAsia="cs-CZ" w:bidi="cs-CZ"/>
      </w:rPr>
    </w:lvl>
    <w:lvl w:ilvl="7" w:tplc="2A824C72">
      <w:numFmt w:val="bullet"/>
      <w:lvlText w:val="•"/>
      <w:lvlJc w:val="left"/>
      <w:pPr>
        <w:ind w:left="2325" w:hanging="272"/>
      </w:pPr>
      <w:rPr>
        <w:rFonts w:hint="default"/>
        <w:lang w:val="cs-CZ" w:eastAsia="cs-CZ" w:bidi="cs-CZ"/>
      </w:rPr>
    </w:lvl>
    <w:lvl w:ilvl="8" w:tplc="14A4243E">
      <w:numFmt w:val="bullet"/>
      <w:lvlText w:val="•"/>
      <w:lvlJc w:val="left"/>
      <w:pPr>
        <w:ind w:left="2591" w:hanging="272"/>
      </w:pPr>
      <w:rPr>
        <w:rFonts w:hint="default"/>
        <w:lang w:val="cs-CZ" w:eastAsia="cs-CZ" w:bidi="cs-CZ"/>
      </w:rPr>
    </w:lvl>
  </w:abstractNum>
  <w:abstractNum w:abstractNumId="81" w15:restartNumberingAfterBreak="0">
    <w:nsid w:val="3DA52DF9"/>
    <w:multiLevelType w:val="hybridMultilevel"/>
    <w:tmpl w:val="F0F8165C"/>
    <w:lvl w:ilvl="0" w:tplc="23F60C26">
      <w:start w:val="1"/>
      <w:numFmt w:val="lowerLetter"/>
      <w:lvlText w:val="%1)"/>
      <w:lvlJc w:val="left"/>
      <w:pPr>
        <w:ind w:left="258" w:hanging="245"/>
        <w:jc w:val="left"/>
      </w:pPr>
      <w:rPr>
        <w:rFonts w:ascii="Times New Roman" w:eastAsia="Times New Roman" w:hAnsi="Times New Roman" w:cs="Times New Roman" w:hint="default"/>
        <w:spacing w:val="-1"/>
        <w:w w:val="99"/>
        <w:sz w:val="24"/>
        <w:szCs w:val="24"/>
        <w:lang w:val="cs-CZ" w:eastAsia="cs-CZ" w:bidi="cs-CZ"/>
      </w:rPr>
    </w:lvl>
    <w:lvl w:ilvl="1" w:tplc="7C8C8B4A">
      <w:numFmt w:val="bullet"/>
      <w:lvlText w:val="•"/>
      <w:lvlJc w:val="left"/>
      <w:pPr>
        <w:ind w:left="1248" w:hanging="245"/>
      </w:pPr>
      <w:rPr>
        <w:rFonts w:hint="default"/>
        <w:lang w:val="cs-CZ" w:eastAsia="cs-CZ" w:bidi="cs-CZ"/>
      </w:rPr>
    </w:lvl>
    <w:lvl w:ilvl="2" w:tplc="FCAC0088">
      <w:numFmt w:val="bullet"/>
      <w:lvlText w:val="•"/>
      <w:lvlJc w:val="left"/>
      <w:pPr>
        <w:ind w:left="2236" w:hanging="245"/>
      </w:pPr>
      <w:rPr>
        <w:rFonts w:hint="default"/>
        <w:lang w:val="cs-CZ" w:eastAsia="cs-CZ" w:bidi="cs-CZ"/>
      </w:rPr>
    </w:lvl>
    <w:lvl w:ilvl="3" w:tplc="BEC4F376">
      <w:numFmt w:val="bullet"/>
      <w:lvlText w:val="•"/>
      <w:lvlJc w:val="left"/>
      <w:pPr>
        <w:ind w:left="3224" w:hanging="245"/>
      </w:pPr>
      <w:rPr>
        <w:rFonts w:hint="default"/>
        <w:lang w:val="cs-CZ" w:eastAsia="cs-CZ" w:bidi="cs-CZ"/>
      </w:rPr>
    </w:lvl>
    <w:lvl w:ilvl="4" w:tplc="78EEC006">
      <w:numFmt w:val="bullet"/>
      <w:lvlText w:val="•"/>
      <w:lvlJc w:val="left"/>
      <w:pPr>
        <w:ind w:left="4212" w:hanging="245"/>
      </w:pPr>
      <w:rPr>
        <w:rFonts w:hint="default"/>
        <w:lang w:val="cs-CZ" w:eastAsia="cs-CZ" w:bidi="cs-CZ"/>
      </w:rPr>
    </w:lvl>
    <w:lvl w:ilvl="5" w:tplc="4D7C1B62">
      <w:numFmt w:val="bullet"/>
      <w:lvlText w:val="•"/>
      <w:lvlJc w:val="left"/>
      <w:pPr>
        <w:ind w:left="5200" w:hanging="245"/>
      </w:pPr>
      <w:rPr>
        <w:rFonts w:hint="default"/>
        <w:lang w:val="cs-CZ" w:eastAsia="cs-CZ" w:bidi="cs-CZ"/>
      </w:rPr>
    </w:lvl>
    <w:lvl w:ilvl="6" w:tplc="CFCE97AC">
      <w:numFmt w:val="bullet"/>
      <w:lvlText w:val="•"/>
      <w:lvlJc w:val="left"/>
      <w:pPr>
        <w:ind w:left="6188" w:hanging="245"/>
      </w:pPr>
      <w:rPr>
        <w:rFonts w:hint="default"/>
        <w:lang w:val="cs-CZ" w:eastAsia="cs-CZ" w:bidi="cs-CZ"/>
      </w:rPr>
    </w:lvl>
    <w:lvl w:ilvl="7" w:tplc="48149C94">
      <w:numFmt w:val="bullet"/>
      <w:lvlText w:val="•"/>
      <w:lvlJc w:val="left"/>
      <w:pPr>
        <w:ind w:left="7176" w:hanging="245"/>
      </w:pPr>
      <w:rPr>
        <w:rFonts w:hint="default"/>
        <w:lang w:val="cs-CZ" w:eastAsia="cs-CZ" w:bidi="cs-CZ"/>
      </w:rPr>
    </w:lvl>
    <w:lvl w:ilvl="8" w:tplc="7FD0D678">
      <w:numFmt w:val="bullet"/>
      <w:lvlText w:val="•"/>
      <w:lvlJc w:val="left"/>
      <w:pPr>
        <w:ind w:left="8164" w:hanging="245"/>
      </w:pPr>
      <w:rPr>
        <w:rFonts w:hint="default"/>
        <w:lang w:val="cs-CZ" w:eastAsia="cs-CZ" w:bidi="cs-CZ"/>
      </w:rPr>
    </w:lvl>
  </w:abstractNum>
  <w:abstractNum w:abstractNumId="82" w15:restartNumberingAfterBreak="0">
    <w:nsid w:val="3DC31804"/>
    <w:multiLevelType w:val="multilevel"/>
    <w:tmpl w:val="246834AC"/>
    <w:lvl w:ilvl="0">
      <w:start w:val="18"/>
      <w:numFmt w:val="decimal"/>
      <w:lvlText w:val="%1"/>
      <w:lvlJc w:val="left"/>
      <w:pPr>
        <w:ind w:left="685" w:hanging="568"/>
        <w:jc w:val="left"/>
      </w:pPr>
      <w:rPr>
        <w:rFonts w:hint="default"/>
        <w:lang w:val="cs-CZ" w:eastAsia="cs-CZ" w:bidi="cs-CZ"/>
      </w:rPr>
    </w:lvl>
    <w:lvl w:ilvl="1">
      <w:start w:val="1"/>
      <w:numFmt w:val="decimal"/>
      <w:lvlText w:val="%1.%2"/>
      <w:lvlJc w:val="left"/>
      <w:pPr>
        <w:ind w:left="685" w:hanging="568"/>
        <w:jc w:val="left"/>
      </w:pPr>
      <w:rPr>
        <w:rFonts w:ascii="Arial" w:eastAsia="Arial" w:hAnsi="Arial" w:cs="Arial" w:hint="default"/>
        <w:color w:val="231F20"/>
        <w:w w:val="99"/>
        <w:sz w:val="22"/>
        <w:szCs w:val="22"/>
        <w:lang w:val="cs-CZ" w:eastAsia="cs-CZ" w:bidi="cs-CZ"/>
      </w:rPr>
    </w:lvl>
    <w:lvl w:ilvl="2">
      <w:start w:val="1"/>
      <w:numFmt w:val="lowerLetter"/>
      <w:lvlText w:val="%3)"/>
      <w:lvlJc w:val="left"/>
      <w:pPr>
        <w:ind w:left="1251" w:hanging="284"/>
        <w:jc w:val="left"/>
      </w:pPr>
      <w:rPr>
        <w:rFonts w:ascii="Arial" w:eastAsia="Arial" w:hAnsi="Arial" w:cs="Arial" w:hint="default"/>
        <w:color w:val="231F20"/>
        <w:w w:val="99"/>
        <w:sz w:val="22"/>
        <w:szCs w:val="22"/>
        <w:lang w:val="cs-CZ" w:eastAsia="cs-CZ" w:bidi="cs-CZ"/>
      </w:rPr>
    </w:lvl>
    <w:lvl w:ilvl="3">
      <w:numFmt w:val="bullet"/>
      <w:lvlText w:val="•"/>
      <w:lvlJc w:val="left"/>
      <w:pPr>
        <w:ind w:left="2282" w:hanging="284"/>
      </w:pPr>
      <w:rPr>
        <w:rFonts w:hint="default"/>
        <w:lang w:val="cs-CZ" w:eastAsia="cs-CZ" w:bidi="cs-CZ"/>
      </w:rPr>
    </w:lvl>
    <w:lvl w:ilvl="4">
      <w:numFmt w:val="bullet"/>
      <w:lvlText w:val="•"/>
      <w:lvlJc w:val="left"/>
      <w:pPr>
        <w:ind w:left="3305" w:hanging="284"/>
      </w:pPr>
      <w:rPr>
        <w:rFonts w:hint="default"/>
        <w:lang w:val="cs-CZ" w:eastAsia="cs-CZ" w:bidi="cs-CZ"/>
      </w:rPr>
    </w:lvl>
    <w:lvl w:ilvl="5">
      <w:numFmt w:val="bullet"/>
      <w:lvlText w:val="•"/>
      <w:lvlJc w:val="left"/>
      <w:pPr>
        <w:ind w:left="4327" w:hanging="284"/>
      </w:pPr>
      <w:rPr>
        <w:rFonts w:hint="default"/>
        <w:lang w:val="cs-CZ" w:eastAsia="cs-CZ" w:bidi="cs-CZ"/>
      </w:rPr>
    </w:lvl>
    <w:lvl w:ilvl="6">
      <w:numFmt w:val="bullet"/>
      <w:lvlText w:val="•"/>
      <w:lvlJc w:val="left"/>
      <w:pPr>
        <w:ind w:left="5350" w:hanging="284"/>
      </w:pPr>
      <w:rPr>
        <w:rFonts w:hint="default"/>
        <w:lang w:val="cs-CZ" w:eastAsia="cs-CZ" w:bidi="cs-CZ"/>
      </w:rPr>
    </w:lvl>
    <w:lvl w:ilvl="7">
      <w:numFmt w:val="bullet"/>
      <w:lvlText w:val="•"/>
      <w:lvlJc w:val="left"/>
      <w:pPr>
        <w:ind w:left="6372" w:hanging="284"/>
      </w:pPr>
      <w:rPr>
        <w:rFonts w:hint="default"/>
        <w:lang w:val="cs-CZ" w:eastAsia="cs-CZ" w:bidi="cs-CZ"/>
      </w:rPr>
    </w:lvl>
    <w:lvl w:ilvl="8">
      <w:numFmt w:val="bullet"/>
      <w:lvlText w:val="•"/>
      <w:lvlJc w:val="left"/>
      <w:pPr>
        <w:ind w:left="7395" w:hanging="284"/>
      </w:pPr>
      <w:rPr>
        <w:rFonts w:hint="default"/>
        <w:lang w:val="cs-CZ" w:eastAsia="cs-CZ" w:bidi="cs-CZ"/>
      </w:rPr>
    </w:lvl>
  </w:abstractNum>
  <w:abstractNum w:abstractNumId="83" w15:restartNumberingAfterBreak="0">
    <w:nsid w:val="407A5CB0"/>
    <w:multiLevelType w:val="hybridMultilevel"/>
    <w:tmpl w:val="4C6C3758"/>
    <w:lvl w:ilvl="0" w:tplc="77380054">
      <w:start w:val="1"/>
      <w:numFmt w:val="lowerLetter"/>
      <w:lvlText w:val="%1"/>
      <w:lvlJc w:val="left"/>
      <w:pPr>
        <w:ind w:left="634" w:hanging="171"/>
        <w:jc w:val="left"/>
      </w:pPr>
      <w:rPr>
        <w:rFonts w:ascii="Arial" w:eastAsia="Arial" w:hAnsi="Arial" w:cs="Arial" w:hint="default"/>
        <w:color w:val="231F20"/>
        <w:w w:val="99"/>
        <w:sz w:val="15"/>
        <w:szCs w:val="15"/>
        <w:lang w:val="cs-CZ" w:eastAsia="cs-CZ" w:bidi="cs-CZ"/>
      </w:rPr>
    </w:lvl>
    <w:lvl w:ilvl="1" w:tplc="E5A8E58A">
      <w:start w:val="1"/>
      <w:numFmt w:val="lowerLetter"/>
      <w:lvlText w:val="%2"/>
      <w:lvlJc w:val="left"/>
      <w:pPr>
        <w:ind w:left="880" w:hanging="171"/>
        <w:jc w:val="left"/>
      </w:pPr>
      <w:rPr>
        <w:rFonts w:ascii="Arial" w:eastAsia="Arial" w:hAnsi="Arial" w:cs="Arial" w:hint="default"/>
        <w:color w:val="231F20"/>
        <w:w w:val="99"/>
        <w:sz w:val="15"/>
        <w:szCs w:val="15"/>
        <w:lang w:val="cs-CZ" w:eastAsia="cs-CZ" w:bidi="cs-CZ"/>
      </w:rPr>
    </w:lvl>
    <w:lvl w:ilvl="2" w:tplc="8F54FD1A">
      <w:numFmt w:val="bullet"/>
      <w:lvlText w:val="•"/>
      <w:lvlJc w:val="left"/>
      <w:pPr>
        <w:ind w:left="777" w:hanging="171"/>
      </w:pPr>
      <w:rPr>
        <w:rFonts w:hint="default"/>
        <w:lang w:val="cs-CZ" w:eastAsia="cs-CZ" w:bidi="cs-CZ"/>
      </w:rPr>
    </w:lvl>
    <w:lvl w:ilvl="3" w:tplc="8138C240">
      <w:numFmt w:val="bullet"/>
      <w:lvlText w:val="•"/>
      <w:lvlJc w:val="left"/>
      <w:pPr>
        <w:ind w:left="674" w:hanging="171"/>
      </w:pPr>
      <w:rPr>
        <w:rFonts w:hint="default"/>
        <w:lang w:val="cs-CZ" w:eastAsia="cs-CZ" w:bidi="cs-CZ"/>
      </w:rPr>
    </w:lvl>
    <w:lvl w:ilvl="4" w:tplc="8A3A657A">
      <w:numFmt w:val="bullet"/>
      <w:lvlText w:val="•"/>
      <w:lvlJc w:val="left"/>
      <w:pPr>
        <w:ind w:left="571" w:hanging="171"/>
      </w:pPr>
      <w:rPr>
        <w:rFonts w:hint="default"/>
        <w:lang w:val="cs-CZ" w:eastAsia="cs-CZ" w:bidi="cs-CZ"/>
      </w:rPr>
    </w:lvl>
    <w:lvl w:ilvl="5" w:tplc="86FC0830">
      <w:numFmt w:val="bullet"/>
      <w:lvlText w:val="•"/>
      <w:lvlJc w:val="left"/>
      <w:pPr>
        <w:ind w:left="468" w:hanging="171"/>
      </w:pPr>
      <w:rPr>
        <w:rFonts w:hint="default"/>
        <w:lang w:val="cs-CZ" w:eastAsia="cs-CZ" w:bidi="cs-CZ"/>
      </w:rPr>
    </w:lvl>
    <w:lvl w:ilvl="6" w:tplc="6B342274">
      <w:numFmt w:val="bullet"/>
      <w:lvlText w:val="•"/>
      <w:lvlJc w:val="left"/>
      <w:pPr>
        <w:ind w:left="366" w:hanging="171"/>
      </w:pPr>
      <w:rPr>
        <w:rFonts w:hint="default"/>
        <w:lang w:val="cs-CZ" w:eastAsia="cs-CZ" w:bidi="cs-CZ"/>
      </w:rPr>
    </w:lvl>
    <w:lvl w:ilvl="7" w:tplc="3E72000A">
      <w:numFmt w:val="bullet"/>
      <w:lvlText w:val="•"/>
      <w:lvlJc w:val="left"/>
      <w:pPr>
        <w:ind w:left="263" w:hanging="171"/>
      </w:pPr>
      <w:rPr>
        <w:rFonts w:hint="default"/>
        <w:lang w:val="cs-CZ" w:eastAsia="cs-CZ" w:bidi="cs-CZ"/>
      </w:rPr>
    </w:lvl>
    <w:lvl w:ilvl="8" w:tplc="E272EFF8">
      <w:numFmt w:val="bullet"/>
      <w:lvlText w:val="•"/>
      <w:lvlJc w:val="left"/>
      <w:pPr>
        <w:ind w:left="160" w:hanging="171"/>
      </w:pPr>
      <w:rPr>
        <w:rFonts w:hint="default"/>
        <w:lang w:val="cs-CZ" w:eastAsia="cs-CZ" w:bidi="cs-CZ"/>
      </w:rPr>
    </w:lvl>
  </w:abstractNum>
  <w:abstractNum w:abstractNumId="84" w15:restartNumberingAfterBreak="0">
    <w:nsid w:val="4123287D"/>
    <w:multiLevelType w:val="hybridMultilevel"/>
    <w:tmpl w:val="070CA0B6"/>
    <w:lvl w:ilvl="0" w:tplc="EDA0A3AC">
      <w:start w:val="90"/>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ACF24570">
      <w:numFmt w:val="bullet"/>
      <w:lvlText w:val="•"/>
      <w:lvlJc w:val="left"/>
      <w:pPr>
        <w:ind w:left="722" w:hanging="272"/>
      </w:pPr>
      <w:rPr>
        <w:rFonts w:hint="default"/>
        <w:lang w:val="cs-CZ" w:eastAsia="cs-CZ" w:bidi="cs-CZ"/>
      </w:rPr>
    </w:lvl>
    <w:lvl w:ilvl="2" w:tplc="46A23A68">
      <w:numFmt w:val="bullet"/>
      <w:lvlText w:val="•"/>
      <w:lvlJc w:val="left"/>
      <w:pPr>
        <w:ind w:left="984" w:hanging="272"/>
      </w:pPr>
      <w:rPr>
        <w:rFonts w:hint="default"/>
        <w:lang w:val="cs-CZ" w:eastAsia="cs-CZ" w:bidi="cs-CZ"/>
      </w:rPr>
    </w:lvl>
    <w:lvl w:ilvl="3" w:tplc="0B0622F4">
      <w:numFmt w:val="bullet"/>
      <w:lvlText w:val="•"/>
      <w:lvlJc w:val="left"/>
      <w:pPr>
        <w:ind w:left="1246" w:hanging="272"/>
      </w:pPr>
      <w:rPr>
        <w:rFonts w:hint="default"/>
        <w:lang w:val="cs-CZ" w:eastAsia="cs-CZ" w:bidi="cs-CZ"/>
      </w:rPr>
    </w:lvl>
    <w:lvl w:ilvl="4" w:tplc="51C8F85E">
      <w:numFmt w:val="bullet"/>
      <w:lvlText w:val="•"/>
      <w:lvlJc w:val="left"/>
      <w:pPr>
        <w:ind w:left="1509" w:hanging="272"/>
      </w:pPr>
      <w:rPr>
        <w:rFonts w:hint="default"/>
        <w:lang w:val="cs-CZ" w:eastAsia="cs-CZ" w:bidi="cs-CZ"/>
      </w:rPr>
    </w:lvl>
    <w:lvl w:ilvl="5" w:tplc="C0D6513A">
      <w:numFmt w:val="bullet"/>
      <w:lvlText w:val="•"/>
      <w:lvlJc w:val="left"/>
      <w:pPr>
        <w:ind w:left="1771" w:hanging="272"/>
      </w:pPr>
      <w:rPr>
        <w:rFonts w:hint="default"/>
        <w:lang w:val="cs-CZ" w:eastAsia="cs-CZ" w:bidi="cs-CZ"/>
      </w:rPr>
    </w:lvl>
    <w:lvl w:ilvl="6" w:tplc="893E9D74">
      <w:numFmt w:val="bullet"/>
      <w:lvlText w:val="•"/>
      <w:lvlJc w:val="left"/>
      <w:pPr>
        <w:ind w:left="2033" w:hanging="272"/>
      </w:pPr>
      <w:rPr>
        <w:rFonts w:hint="default"/>
        <w:lang w:val="cs-CZ" w:eastAsia="cs-CZ" w:bidi="cs-CZ"/>
      </w:rPr>
    </w:lvl>
    <w:lvl w:ilvl="7" w:tplc="1A220D7A">
      <w:numFmt w:val="bullet"/>
      <w:lvlText w:val="•"/>
      <w:lvlJc w:val="left"/>
      <w:pPr>
        <w:ind w:left="2295" w:hanging="272"/>
      </w:pPr>
      <w:rPr>
        <w:rFonts w:hint="default"/>
        <w:lang w:val="cs-CZ" w:eastAsia="cs-CZ" w:bidi="cs-CZ"/>
      </w:rPr>
    </w:lvl>
    <w:lvl w:ilvl="8" w:tplc="470ADAC4">
      <w:numFmt w:val="bullet"/>
      <w:lvlText w:val="•"/>
      <w:lvlJc w:val="left"/>
      <w:pPr>
        <w:ind w:left="2558" w:hanging="272"/>
      </w:pPr>
      <w:rPr>
        <w:rFonts w:hint="default"/>
        <w:lang w:val="cs-CZ" w:eastAsia="cs-CZ" w:bidi="cs-CZ"/>
      </w:rPr>
    </w:lvl>
  </w:abstractNum>
  <w:abstractNum w:abstractNumId="85" w15:restartNumberingAfterBreak="0">
    <w:nsid w:val="439A264A"/>
    <w:multiLevelType w:val="multilevel"/>
    <w:tmpl w:val="310CED6A"/>
    <w:lvl w:ilvl="0">
      <w:start w:val="12"/>
      <w:numFmt w:val="decimal"/>
      <w:lvlText w:val="%1"/>
      <w:lvlJc w:val="left"/>
      <w:pPr>
        <w:ind w:left="685" w:hanging="568"/>
        <w:jc w:val="left"/>
      </w:pPr>
      <w:rPr>
        <w:rFonts w:hint="default"/>
        <w:lang w:val="cs-CZ" w:eastAsia="cs-CZ" w:bidi="cs-CZ"/>
      </w:rPr>
    </w:lvl>
    <w:lvl w:ilvl="1">
      <w:start w:val="1"/>
      <w:numFmt w:val="decimal"/>
      <w:lvlText w:val="%1.%2"/>
      <w:lvlJc w:val="left"/>
      <w:pPr>
        <w:ind w:left="685" w:hanging="568"/>
        <w:jc w:val="left"/>
      </w:pPr>
      <w:rPr>
        <w:rFonts w:ascii="Arial" w:eastAsia="Arial" w:hAnsi="Arial" w:cs="Arial" w:hint="default"/>
        <w:color w:val="231F20"/>
        <w:w w:val="99"/>
        <w:sz w:val="22"/>
        <w:szCs w:val="22"/>
        <w:lang w:val="cs-CZ" w:eastAsia="cs-CZ" w:bidi="cs-CZ"/>
      </w:rPr>
    </w:lvl>
    <w:lvl w:ilvl="2">
      <w:numFmt w:val="bullet"/>
      <w:lvlText w:val="•"/>
      <w:lvlJc w:val="left"/>
      <w:pPr>
        <w:ind w:left="2432" w:hanging="568"/>
      </w:pPr>
      <w:rPr>
        <w:rFonts w:hint="default"/>
        <w:lang w:val="cs-CZ" w:eastAsia="cs-CZ" w:bidi="cs-CZ"/>
      </w:rPr>
    </w:lvl>
    <w:lvl w:ilvl="3">
      <w:numFmt w:val="bullet"/>
      <w:lvlText w:val="•"/>
      <w:lvlJc w:val="left"/>
      <w:pPr>
        <w:ind w:left="3308" w:hanging="568"/>
      </w:pPr>
      <w:rPr>
        <w:rFonts w:hint="default"/>
        <w:lang w:val="cs-CZ" w:eastAsia="cs-CZ" w:bidi="cs-CZ"/>
      </w:rPr>
    </w:lvl>
    <w:lvl w:ilvl="4">
      <w:numFmt w:val="bullet"/>
      <w:lvlText w:val="•"/>
      <w:lvlJc w:val="left"/>
      <w:pPr>
        <w:ind w:left="4184" w:hanging="568"/>
      </w:pPr>
      <w:rPr>
        <w:rFonts w:hint="default"/>
        <w:lang w:val="cs-CZ" w:eastAsia="cs-CZ" w:bidi="cs-CZ"/>
      </w:rPr>
    </w:lvl>
    <w:lvl w:ilvl="5">
      <w:numFmt w:val="bullet"/>
      <w:lvlText w:val="•"/>
      <w:lvlJc w:val="left"/>
      <w:pPr>
        <w:ind w:left="5060" w:hanging="568"/>
      </w:pPr>
      <w:rPr>
        <w:rFonts w:hint="default"/>
        <w:lang w:val="cs-CZ" w:eastAsia="cs-CZ" w:bidi="cs-CZ"/>
      </w:rPr>
    </w:lvl>
    <w:lvl w:ilvl="6">
      <w:numFmt w:val="bullet"/>
      <w:lvlText w:val="•"/>
      <w:lvlJc w:val="left"/>
      <w:pPr>
        <w:ind w:left="5936" w:hanging="568"/>
      </w:pPr>
      <w:rPr>
        <w:rFonts w:hint="default"/>
        <w:lang w:val="cs-CZ" w:eastAsia="cs-CZ" w:bidi="cs-CZ"/>
      </w:rPr>
    </w:lvl>
    <w:lvl w:ilvl="7">
      <w:numFmt w:val="bullet"/>
      <w:lvlText w:val="•"/>
      <w:lvlJc w:val="left"/>
      <w:pPr>
        <w:ind w:left="6812" w:hanging="568"/>
      </w:pPr>
      <w:rPr>
        <w:rFonts w:hint="default"/>
        <w:lang w:val="cs-CZ" w:eastAsia="cs-CZ" w:bidi="cs-CZ"/>
      </w:rPr>
    </w:lvl>
    <w:lvl w:ilvl="8">
      <w:numFmt w:val="bullet"/>
      <w:lvlText w:val="•"/>
      <w:lvlJc w:val="left"/>
      <w:pPr>
        <w:ind w:left="7688" w:hanging="568"/>
      </w:pPr>
      <w:rPr>
        <w:rFonts w:hint="default"/>
        <w:lang w:val="cs-CZ" w:eastAsia="cs-CZ" w:bidi="cs-CZ"/>
      </w:rPr>
    </w:lvl>
  </w:abstractNum>
  <w:abstractNum w:abstractNumId="86" w15:restartNumberingAfterBreak="0">
    <w:nsid w:val="43D8703D"/>
    <w:multiLevelType w:val="hybridMultilevel"/>
    <w:tmpl w:val="5FB88EDC"/>
    <w:lvl w:ilvl="0" w:tplc="FE546AF0">
      <w:start w:val="39"/>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075A8AE6">
      <w:numFmt w:val="bullet"/>
      <w:lvlText w:val="•"/>
      <w:lvlJc w:val="left"/>
      <w:pPr>
        <w:ind w:left="726" w:hanging="272"/>
      </w:pPr>
      <w:rPr>
        <w:rFonts w:hint="default"/>
        <w:lang w:val="cs-CZ" w:eastAsia="cs-CZ" w:bidi="cs-CZ"/>
      </w:rPr>
    </w:lvl>
    <w:lvl w:ilvl="2" w:tplc="0610E9D6">
      <w:numFmt w:val="bullet"/>
      <w:lvlText w:val="•"/>
      <w:lvlJc w:val="left"/>
      <w:pPr>
        <w:ind w:left="992" w:hanging="272"/>
      </w:pPr>
      <w:rPr>
        <w:rFonts w:hint="default"/>
        <w:lang w:val="cs-CZ" w:eastAsia="cs-CZ" w:bidi="cs-CZ"/>
      </w:rPr>
    </w:lvl>
    <w:lvl w:ilvl="3" w:tplc="3E6AEA3E">
      <w:numFmt w:val="bullet"/>
      <w:lvlText w:val="•"/>
      <w:lvlJc w:val="left"/>
      <w:pPr>
        <w:ind w:left="1259" w:hanging="272"/>
      </w:pPr>
      <w:rPr>
        <w:rFonts w:hint="default"/>
        <w:lang w:val="cs-CZ" w:eastAsia="cs-CZ" w:bidi="cs-CZ"/>
      </w:rPr>
    </w:lvl>
    <w:lvl w:ilvl="4" w:tplc="FFFC0A84">
      <w:numFmt w:val="bullet"/>
      <w:lvlText w:val="•"/>
      <w:lvlJc w:val="left"/>
      <w:pPr>
        <w:ind w:left="1525" w:hanging="272"/>
      </w:pPr>
      <w:rPr>
        <w:rFonts w:hint="default"/>
        <w:lang w:val="cs-CZ" w:eastAsia="cs-CZ" w:bidi="cs-CZ"/>
      </w:rPr>
    </w:lvl>
    <w:lvl w:ilvl="5" w:tplc="C2446106">
      <w:numFmt w:val="bullet"/>
      <w:lvlText w:val="•"/>
      <w:lvlJc w:val="left"/>
      <w:pPr>
        <w:ind w:left="1792" w:hanging="272"/>
      </w:pPr>
      <w:rPr>
        <w:rFonts w:hint="default"/>
        <w:lang w:val="cs-CZ" w:eastAsia="cs-CZ" w:bidi="cs-CZ"/>
      </w:rPr>
    </w:lvl>
    <w:lvl w:ilvl="6" w:tplc="86EC9C0C">
      <w:numFmt w:val="bullet"/>
      <w:lvlText w:val="•"/>
      <w:lvlJc w:val="left"/>
      <w:pPr>
        <w:ind w:left="2058" w:hanging="272"/>
      </w:pPr>
      <w:rPr>
        <w:rFonts w:hint="default"/>
        <w:lang w:val="cs-CZ" w:eastAsia="cs-CZ" w:bidi="cs-CZ"/>
      </w:rPr>
    </w:lvl>
    <w:lvl w:ilvl="7" w:tplc="0076EABE">
      <w:numFmt w:val="bullet"/>
      <w:lvlText w:val="•"/>
      <w:lvlJc w:val="left"/>
      <w:pPr>
        <w:ind w:left="2325" w:hanging="272"/>
      </w:pPr>
      <w:rPr>
        <w:rFonts w:hint="default"/>
        <w:lang w:val="cs-CZ" w:eastAsia="cs-CZ" w:bidi="cs-CZ"/>
      </w:rPr>
    </w:lvl>
    <w:lvl w:ilvl="8" w:tplc="F8EE743A">
      <w:numFmt w:val="bullet"/>
      <w:lvlText w:val="•"/>
      <w:lvlJc w:val="left"/>
      <w:pPr>
        <w:ind w:left="2591" w:hanging="272"/>
      </w:pPr>
      <w:rPr>
        <w:rFonts w:hint="default"/>
        <w:lang w:val="cs-CZ" w:eastAsia="cs-CZ" w:bidi="cs-CZ"/>
      </w:rPr>
    </w:lvl>
  </w:abstractNum>
  <w:abstractNum w:abstractNumId="87" w15:restartNumberingAfterBreak="0">
    <w:nsid w:val="45797F06"/>
    <w:multiLevelType w:val="hybridMultilevel"/>
    <w:tmpl w:val="D55CAF76"/>
    <w:lvl w:ilvl="0" w:tplc="C596ADC4">
      <w:start w:val="1"/>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BE28A8BE">
      <w:numFmt w:val="bullet"/>
      <w:lvlText w:val="•"/>
      <w:lvlJc w:val="left"/>
      <w:pPr>
        <w:ind w:left="726" w:hanging="272"/>
      </w:pPr>
      <w:rPr>
        <w:rFonts w:hint="default"/>
        <w:lang w:val="cs-CZ" w:eastAsia="cs-CZ" w:bidi="cs-CZ"/>
      </w:rPr>
    </w:lvl>
    <w:lvl w:ilvl="2" w:tplc="0C7C74FC">
      <w:numFmt w:val="bullet"/>
      <w:lvlText w:val="•"/>
      <w:lvlJc w:val="left"/>
      <w:pPr>
        <w:ind w:left="992" w:hanging="272"/>
      </w:pPr>
      <w:rPr>
        <w:rFonts w:hint="default"/>
        <w:lang w:val="cs-CZ" w:eastAsia="cs-CZ" w:bidi="cs-CZ"/>
      </w:rPr>
    </w:lvl>
    <w:lvl w:ilvl="3" w:tplc="581C8348">
      <w:numFmt w:val="bullet"/>
      <w:lvlText w:val="•"/>
      <w:lvlJc w:val="left"/>
      <w:pPr>
        <w:ind w:left="1259" w:hanging="272"/>
      </w:pPr>
      <w:rPr>
        <w:rFonts w:hint="default"/>
        <w:lang w:val="cs-CZ" w:eastAsia="cs-CZ" w:bidi="cs-CZ"/>
      </w:rPr>
    </w:lvl>
    <w:lvl w:ilvl="4" w:tplc="E9E6CB00">
      <w:numFmt w:val="bullet"/>
      <w:lvlText w:val="•"/>
      <w:lvlJc w:val="left"/>
      <w:pPr>
        <w:ind w:left="1525" w:hanging="272"/>
      </w:pPr>
      <w:rPr>
        <w:rFonts w:hint="default"/>
        <w:lang w:val="cs-CZ" w:eastAsia="cs-CZ" w:bidi="cs-CZ"/>
      </w:rPr>
    </w:lvl>
    <w:lvl w:ilvl="5" w:tplc="3E269358">
      <w:numFmt w:val="bullet"/>
      <w:lvlText w:val="•"/>
      <w:lvlJc w:val="left"/>
      <w:pPr>
        <w:ind w:left="1792" w:hanging="272"/>
      </w:pPr>
      <w:rPr>
        <w:rFonts w:hint="default"/>
        <w:lang w:val="cs-CZ" w:eastAsia="cs-CZ" w:bidi="cs-CZ"/>
      </w:rPr>
    </w:lvl>
    <w:lvl w:ilvl="6" w:tplc="170EEBB2">
      <w:numFmt w:val="bullet"/>
      <w:lvlText w:val="•"/>
      <w:lvlJc w:val="left"/>
      <w:pPr>
        <w:ind w:left="2058" w:hanging="272"/>
      </w:pPr>
      <w:rPr>
        <w:rFonts w:hint="default"/>
        <w:lang w:val="cs-CZ" w:eastAsia="cs-CZ" w:bidi="cs-CZ"/>
      </w:rPr>
    </w:lvl>
    <w:lvl w:ilvl="7" w:tplc="8BAE1D08">
      <w:numFmt w:val="bullet"/>
      <w:lvlText w:val="•"/>
      <w:lvlJc w:val="left"/>
      <w:pPr>
        <w:ind w:left="2325" w:hanging="272"/>
      </w:pPr>
      <w:rPr>
        <w:rFonts w:hint="default"/>
        <w:lang w:val="cs-CZ" w:eastAsia="cs-CZ" w:bidi="cs-CZ"/>
      </w:rPr>
    </w:lvl>
    <w:lvl w:ilvl="8" w:tplc="30940E54">
      <w:numFmt w:val="bullet"/>
      <w:lvlText w:val="•"/>
      <w:lvlJc w:val="left"/>
      <w:pPr>
        <w:ind w:left="2591" w:hanging="272"/>
      </w:pPr>
      <w:rPr>
        <w:rFonts w:hint="default"/>
        <w:lang w:val="cs-CZ" w:eastAsia="cs-CZ" w:bidi="cs-CZ"/>
      </w:rPr>
    </w:lvl>
  </w:abstractNum>
  <w:abstractNum w:abstractNumId="88" w15:restartNumberingAfterBreak="0">
    <w:nsid w:val="46114C92"/>
    <w:multiLevelType w:val="hybridMultilevel"/>
    <w:tmpl w:val="92766210"/>
    <w:lvl w:ilvl="0" w:tplc="6610F03C">
      <w:start w:val="366"/>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B808B6DE">
      <w:numFmt w:val="bullet"/>
      <w:lvlText w:val="•"/>
      <w:lvlJc w:val="left"/>
      <w:pPr>
        <w:ind w:left="724" w:hanging="272"/>
      </w:pPr>
      <w:rPr>
        <w:rFonts w:hint="default"/>
        <w:lang w:val="cs-CZ" w:eastAsia="cs-CZ" w:bidi="cs-CZ"/>
      </w:rPr>
    </w:lvl>
    <w:lvl w:ilvl="2" w:tplc="D974F6B4">
      <w:numFmt w:val="bullet"/>
      <w:lvlText w:val="•"/>
      <w:lvlJc w:val="left"/>
      <w:pPr>
        <w:ind w:left="989" w:hanging="272"/>
      </w:pPr>
      <w:rPr>
        <w:rFonts w:hint="default"/>
        <w:lang w:val="cs-CZ" w:eastAsia="cs-CZ" w:bidi="cs-CZ"/>
      </w:rPr>
    </w:lvl>
    <w:lvl w:ilvl="3" w:tplc="FCE6D0BA">
      <w:numFmt w:val="bullet"/>
      <w:lvlText w:val="•"/>
      <w:lvlJc w:val="left"/>
      <w:pPr>
        <w:ind w:left="1254" w:hanging="272"/>
      </w:pPr>
      <w:rPr>
        <w:rFonts w:hint="default"/>
        <w:lang w:val="cs-CZ" w:eastAsia="cs-CZ" w:bidi="cs-CZ"/>
      </w:rPr>
    </w:lvl>
    <w:lvl w:ilvl="4" w:tplc="2D92A87E">
      <w:numFmt w:val="bullet"/>
      <w:lvlText w:val="•"/>
      <w:lvlJc w:val="left"/>
      <w:pPr>
        <w:ind w:left="1519" w:hanging="272"/>
      </w:pPr>
      <w:rPr>
        <w:rFonts w:hint="default"/>
        <w:lang w:val="cs-CZ" w:eastAsia="cs-CZ" w:bidi="cs-CZ"/>
      </w:rPr>
    </w:lvl>
    <w:lvl w:ilvl="5" w:tplc="656C7B88">
      <w:numFmt w:val="bullet"/>
      <w:lvlText w:val="•"/>
      <w:lvlJc w:val="left"/>
      <w:pPr>
        <w:ind w:left="1784" w:hanging="272"/>
      </w:pPr>
      <w:rPr>
        <w:rFonts w:hint="default"/>
        <w:lang w:val="cs-CZ" w:eastAsia="cs-CZ" w:bidi="cs-CZ"/>
      </w:rPr>
    </w:lvl>
    <w:lvl w:ilvl="6" w:tplc="6EDE9812">
      <w:numFmt w:val="bullet"/>
      <w:lvlText w:val="•"/>
      <w:lvlJc w:val="left"/>
      <w:pPr>
        <w:ind w:left="2049" w:hanging="272"/>
      </w:pPr>
      <w:rPr>
        <w:rFonts w:hint="default"/>
        <w:lang w:val="cs-CZ" w:eastAsia="cs-CZ" w:bidi="cs-CZ"/>
      </w:rPr>
    </w:lvl>
    <w:lvl w:ilvl="7" w:tplc="6C50D6CE">
      <w:numFmt w:val="bullet"/>
      <w:lvlText w:val="•"/>
      <w:lvlJc w:val="left"/>
      <w:pPr>
        <w:ind w:left="2314" w:hanging="272"/>
      </w:pPr>
      <w:rPr>
        <w:rFonts w:hint="default"/>
        <w:lang w:val="cs-CZ" w:eastAsia="cs-CZ" w:bidi="cs-CZ"/>
      </w:rPr>
    </w:lvl>
    <w:lvl w:ilvl="8" w:tplc="5C50CCB4">
      <w:numFmt w:val="bullet"/>
      <w:lvlText w:val="•"/>
      <w:lvlJc w:val="left"/>
      <w:pPr>
        <w:ind w:left="2579" w:hanging="272"/>
      </w:pPr>
      <w:rPr>
        <w:rFonts w:hint="default"/>
        <w:lang w:val="cs-CZ" w:eastAsia="cs-CZ" w:bidi="cs-CZ"/>
      </w:rPr>
    </w:lvl>
  </w:abstractNum>
  <w:abstractNum w:abstractNumId="89" w15:restartNumberingAfterBreak="0">
    <w:nsid w:val="47524DED"/>
    <w:multiLevelType w:val="hybridMultilevel"/>
    <w:tmpl w:val="A5F05F88"/>
    <w:lvl w:ilvl="0" w:tplc="7912266C">
      <w:start w:val="307"/>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5246A74C">
      <w:numFmt w:val="bullet"/>
      <w:lvlText w:val="•"/>
      <w:lvlJc w:val="left"/>
      <w:pPr>
        <w:ind w:left="643" w:hanging="272"/>
      </w:pPr>
      <w:rPr>
        <w:rFonts w:hint="default"/>
        <w:lang w:val="cs-CZ" w:eastAsia="cs-CZ" w:bidi="cs-CZ"/>
      </w:rPr>
    </w:lvl>
    <w:lvl w:ilvl="2" w:tplc="ACCC8572">
      <w:numFmt w:val="bullet"/>
      <w:lvlText w:val="•"/>
      <w:lvlJc w:val="left"/>
      <w:pPr>
        <w:ind w:left="827" w:hanging="272"/>
      </w:pPr>
      <w:rPr>
        <w:rFonts w:hint="default"/>
        <w:lang w:val="cs-CZ" w:eastAsia="cs-CZ" w:bidi="cs-CZ"/>
      </w:rPr>
    </w:lvl>
    <w:lvl w:ilvl="3" w:tplc="EFBA4332">
      <w:numFmt w:val="bullet"/>
      <w:lvlText w:val="•"/>
      <w:lvlJc w:val="left"/>
      <w:pPr>
        <w:ind w:left="1011" w:hanging="272"/>
      </w:pPr>
      <w:rPr>
        <w:rFonts w:hint="default"/>
        <w:lang w:val="cs-CZ" w:eastAsia="cs-CZ" w:bidi="cs-CZ"/>
      </w:rPr>
    </w:lvl>
    <w:lvl w:ilvl="4" w:tplc="619878B8">
      <w:numFmt w:val="bullet"/>
      <w:lvlText w:val="•"/>
      <w:lvlJc w:val="left"/>
      <w:pPr>
        <w:ind w:left="1195" w:hanging="272"/>
      </w:pPr>
      <w:rPr>
        <w:rFonts w:hint="default"/>
        <w:lang w:val="cs-CZ" w:eastAsia="cs-CZ" w:bidi="cs-CZ"/>
      </w:rPr>
    </w:lvl>
    <w:lvl w:ilvl="5" w:tplc="977AB846">
      <w:numFmt w:val="bullet"/>
      <w:lvlText w:val="•"/>
      <w:lvlJc w:val="left"/>
      <w:pPr>
        <w:ind w:left="1379" w:hanging="272"/>
      </w:pPr>
      <w:rPr>
        <w:rFonts w:hint="default"/>
        <w:lang w:val="cs-CZ" w:eastAsia="cs-CZ" w:bidi="cs-CZ"/>
      </w:rPr>
    </w:lvl>
    <w:lvl w:ilvl="6" w:tplc="010A4EFA">
      <w:numFmt w:val="bullet"/>
      <w:lvlText w:val="•"/>
      <w:lvlJc w:val="left"/>
      <w:pPr>
        <w:ind w:left="1562" w:hanging="272"/>
      </w:pPr>
      <w:rPr>
        <w:rFonts w:hint="default"/>
        <w:lang w:val="cs-CZ" w:eastAsia="cs-CZ" w:bidi="cs-CZ"/>
      </w:rPr>
    </w:lvl>
    <w:lvl w:ilvl="7" w:tplc="41387F4A">
      <w:numFmt w:val="bullet"/>
      <w:lvlText w:val="•"/>
      <w:lvlJc w:val="left"/>
      <w:pPr>
        <w:ind w:left="1746" w:hanging="272"/>
      </w:pPr>
      <w:rPr>
        <w:rFonts w:hint="default"/>
        <w:lang w:val="cs-CZ" w:eastAsia="cs-CZ" w:bidi="cs-CZ"/>
      </w:rPr>
    </w:lvl>
    <w:lvl w:ilvl="8" w:tplc="B93CE770">
      <w:numFmt w:val="bullet"/>
      <w:lvlText w:val="•"/>
      <w:lvlJc w:val="left"/>
      <w:pPr>
        <w:ind w:left="1930" w:hanging="272"/>
      </w:pPr>
      <w:rPr>
        <w:rFonts w:hint="default"/>
        <w:lang w:val="cs-CZ" w:eastAsia="cs-CZ" w:bidi="cs-CZ"/>
      </w:rPr>
    </w:lvl>
  </w:abstractNum>
  <w:abstractNum w:abstractNumId="90" w15:restartNumberingAfterBreak="0">
    <w:nsid w:val="4761132B"/>
    <w:multiLevelType w:val="hybridMultilevel"/>
    <w:tmpl w:val="315E4D76"/>
    <w:lvl w:ilvl="0" w:tplc="3E743A4C">
      <w:start w:val="1"/>
      <w:numFmt w:val="decimal"/>
      <w:lvlText w:val="%1."/>
      <w:lvlJc w:val="left"/>
      <w:pPr>
        <w:ind w:left="558" w:hanging="441"/>
        <w:jc w:val="left"/>
      </w:pPr>
      <w:rPr>
        <w:rFonts w:ascii="Arial" w:eastAsia="Arial" w:hAnsi="Arial" w:cs="Arial" w:hint="default"/>
        <w:color w:val="231F20"/>
        <w:w w:val="100"/>
        <w:sz w:val="20"/>
        <w:szCs w:val="20"/>
        <w:lang w:val="cs-CZ" w:eastAsia="cs-CZ" w:bidi="cs-CZ"/>
      </w:rPr>
    </w:lvl>
    <w:lvl w:ilvl="1" w:tplc="C3D69384">
      <w:numFmt w:val="bullet"/>
      <w:lvlText w:val="•"/>
      <w:lvlJc w:val="left"/>
      <w:pPr>
        <w:ind w:left="1448" w:hanging="441"/>
      </w:pPr>
      <w:rPr>
        <w:rFonts w:hint="default"/>
        <w:lang w:val="cs-CZ" w:eastAsia="cs-CZ" w:bidi="cs-CZ"/>
      </w:rPr>
    </w:lvl>
    <w:lvl w:ilvl="2" w:tplc="C4269F0E">
      <w:numFmt w:val="bullet"/>
      <w:lvlText w:val="•"/>
      <w:lvlJc w:val="left"/>
      <w:pPr>
        <w:ind w:left="2336" w:hanging="441"/>
      </w:pPr>
      <w:rPr>
        <w:rFonts w:hint="default"/>
        <w:lang w:val="cs-CZ" w:eastAsia="cs-CZ" w:bidi="cs-CZ"/>
      </w:rPr>
    </w:lvl>
    <w:lvl w:ilvl="3" w:tplc="499EBB8A">
      <w:numFmt w:val="bullet"/>
      <w:lvlText w:val="•"/>
      <w:lvlJc w:val="left"/>
      <w:pPr>
        <w:ind w:left="3224" w:hanging="441"/>
      </w:pPr>
      <w:rPr>
        <w:rFonts w:hint="default"/>
        <w:lang w:val="cs-CZ" w:eastAsia="cs-CZ" w:bidi="cs-CZ"/>
      </w:rPr>
    </w:lvl>
    <w:lvl w:ilvl="4" w:tplc="412C80FC">
      <w:numFmt w:val="bullet"/>
      <w:lvlText w:val="•"/>
      <w:lvlJc w:val="left"/>
      <w:pPr>
        <w:ind w:left="4112" w:hanging="441"/>
      </w:pPr>
      <w:rPr>
        <w:rFonts w:hint="default"/>
        <w:lang w:val="cs-CZ" w:eastAsia="cs-CZ" w:bidi="cs-CZ"/>
      </w:rPr>
    </w:lvl>
    <w:lvl w:ilvl="5" w:tplc="DC8A1712">
      <w:numFmt w:val="bullet"/>
      <w:lvlText w:val="•"/>
      <w:lvlJc w:val="left"/>
      <w:pPr>
        <w:ind w:left="5000" w:hanging="441"/>
      </w:pPr>
      <w:rPr>
        <w:rFonts w:hint="default"/>
        <w:lang w:val="cs-CZ" w:eastAsia="cs-CZ" w:bidi="cs-CZ"/>
      </w:rPr>
    </w:lvl>
    <w:lvl w:ilvl="6" w:tplc="69A8F42C">
      <w:numFmt w:val="bullet"/>
      <w:lvlText w:val="•"/>
      <w:lvlJc w:val="left"/>
      <w:pPr>
        <w:ind w:left="5888" w:hanging="441"/>
      </w:pPr>
      <w:rPr>
        <w:rFonts w:hint="default"/>
        <w:lang w:val="cs-CZ" w:eastAsia="cs-CZ" w:bidi="cs-CZ"/>
      </w:rPr>
    </w:lvl>
    <w:lvl w:ilvl="7" w:tplc="D126263C">
      <w:numFmt w:val="bullet"/>
      <w:lvlText w:val="•"/>
      <w:lvlJc w:val="left"/>
      <w:pPr>
        <w:ind w:left="6776" w:hanging="441"/>
      </w:pPr>
      <w:rPr>
        <w:rFonts w:hint="default"/>
        <w:lang w:val="cs-CZ" w:eastAsia="cs-CZ" w:bidi="cs-CZ"/>
      </w:rPr>
    </w:lvl>
    <w:lvl w:ilvl="8" w:tplc="1E7CCCA6">
      <w:numFmt w:val="bullet"/>
      <w:lvlText w:val="•"/>
      <w:lvlJc w:val="left"/>
      <w:pPr>
        <w:ind w:left="7664" w:hanging="441"/>
      </w:pPr>
      <w:rPr>
        <w:rFonts w:hint="default"/>
        <w:lang w:val="cs-CZ" w:eastAsia="cs-CZ" w:bidi="cs-CZ"/>
      </w:rPr>
    </w:lvl>
  </w:abstractNum>
  <w:abstractNum w:abstractNumId="91" w15:restartNumberingAfterBreak="0">
    <w:nsid w:val="494C2509"/>
    <w:multiLevelType w:val="hybridMultilevel"/>
    <w:tmpl w:val="231AF682"/>
    <w:lvl w:ilvl="0" w:tplc="94564602">
      <w:start w:val="302"/>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08E48EEA">
      <w:numFmt w:val="bullet"/>
      <w:lvlText w:val="•"/>
      <w:lvlJc w:val="left"/>
      <w:pPr>
        <w:ind w:left="727" w:hanging="272"/>
      </w:pPr>
      <w:rPr>
        <w:rFonts w:hint="default"/>
        <w:lang w:val="cs-CZ" w:eastAsia="cs-CZ" w:bidi="cs-CZ"/>
      </w:rPr>
    </w:lvl>
    <w:lvl w:ilvl="2" w:tplc="0AFA9146">
      <w:numFmt w:val="bullet"/>
      <w:lvlText w:val="•"/>
      <w:lvlJc w:val="left"/>
      <w:pPr>
        <w:ind w:left="994" w:hanging="272"/>
      </w:pPr>
      <w:rPr>
        <w:rFonts w:hint="default"/>
        <w:lang w:val="cs-CZ" w:eastAsia="cs-CZ" w:bidi="cs-CZ"/>
      </w:rPr>
    </w:lvl>
    <w:lvl w:ilvl="3" w:tplc="BACCB692">
      <w:numFmt w:val="bullet"/>
      <w:lvlText w:val="•"/>
      <w:lvlJc w:val="left"/>
      <w:pPr>
        <w:ind w:left="1261" w:hanging="272"/>
      </w:pPr>
      <w:rPr>
        <w:rFonts w:hint="default"/>
        <w:lang w:val="cs-CZ" w:eastAsia="cs-CZ" w:bidi="cs-CZ"/>
      </w:rPr>
    </w:lvl>
    <w:lvl w:ilvl="4" w:tplc="A8FEC484">
      <w:numFmt w:val="bullet"/>
      <w:lvlText w:val="•"/>
      <w:lvlJc w:val="left"/>
      <w:pPr>
        <w:ind w:left="1528" w:hanging="272"/>
      </w:pPr>
      <w:rPr>
        <w:rFonts w:hint="default"/>
        <w:lang w:val="cs-CZ" w:eastAsia="cs-CZ" w:bidi="cs-CZ"/>
      </w:rPr>
    </w:lvl>
    <w:lvl w:ilvl="5" w:tplc="82440518">
      <w:numFmt w:val="bullet"/>
      <w:lvlText w:val="•"/>
      <w:lvlJc w:val="left"/>
      <w:pPr>
        <w:ind w:left="1795" w:hanging="272"/>
      </w:pPr>
      <w:rPr>
        <w:rFonts w:hint="default"/>
        <w:lang w:val="cs-CZ" w:eastAsia="cs-CZ" w:bidi="cs-CZ"/>
      </w:rPr>
    </w:lvl>
    <w:lvl w:ilvl="6" w:tplc="AE3A8B66">
      <w:numFmt w:val="bullet"/>
      <w:lvlText w:val="•"/>
      <w:lvlJc w:val="left"/>
      <w:pPr>
        <w:ind w:left="2062" w:hanging="272"/>
      </w:pPr>
      <w:rPr>
        <w:rFonts w:hint="default"/>
        <w:lang w:val="cs-CZ" w:eastAsia="cs-CZ" w:bidi="cs-CZ"/>
      </w:rPr>
    </w:lvl>
    <w:lvl w:ilvl="7" w:tplc="39723DF8">
      <w:numFmt w:val="bullet"/>
      <w:lvlText w:val="•"/>
      <w:lvlJc w:val="left"/>
      <w:pPr>
        <w:ind w:left="2329" w:hanging="272"/>
      </w:pPr>
      <w:rPr>
        <w:rFonts w:hint="default"/>
        <w:lang w:val="cs-CZ" w:eastAsia="cs-CZ" w:bidi="cs-CZ"/>
      </w:rPr>
    </w:lvl>
    <w:lvl w:ilvl="8" w:tplc="A806A02E">
      <w:numFmt w:val="bullet"/>
      <w:lvlText w:val="•"/>
      <w:lvlJc w:val="left"/>
      <w:pPr>
        <w:ind w:left="2597" w:hanging="272"/>
      </w:pPr>
      <w:rPr>
        <w:rFonts w:hint="default"/>
        <w:lang w:val="cs-CZ" w:eastAsia="cs-CZ" w:bidi="cs-CZ"/>
      </w:rPr>
    </w:lvl>
  </w:abstractNum>
  <w:abstractNum w:abstractNumId="92" w15:restartNumberingAfterBreak="0">
    <w:nsid w:val="49550C11"/>
    <w:multiLevelType w:val="hybridMultilevel"/>
    <w:tmpl w:val="11EE3EFA"/>
    <w:lvl w:ilvl="0" w:tplc="80B87478">
      <w:start w:val="18"/>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9C748774">
      <w:numFmt w:val="bullet"/>
      <w:lvlText w:val="•"/>
      <w:lvlJc w:val="left"/>
      <w:pPr>
        <w:ind w:left="712" w:hanging="272"/>
      </w:pPr>
      <w:rPr>
        <w:rFonts w:hint="default"/>
        <w:lang w:val="cs-CZ" w:eastAsia="cs-CZ" w:bidi="cs-CZ"/>
      </w:rPr>
    </w:lvl>
    <w:lvl w:ilvl="2" w:tplc="0400E946">
      <w:numFmt w:val="bullet"/>
      <w:lvlText w:val="•"/>
      <w:lvlJc w:val="left"/>
      <w:pPr>
        <w:ind w:left="965" w:hanging="272"/>
      </w:pPr>
      <w:rPr>
        <w:rFonts w:hint="default"/>
        <w:lang w:val="cs-CZ" w:eastAsia="cs-CZ" w:bidi="cs-CZ"/>
      </w:rPr>
    </w:lvl>
    <w:lvl w:ilvl="3" w:tplc="A474963E">
      <w:numFmt w:val="bullet"/>
      <w:lvlText w:val="•"/>
      <w:lvlJc w:val="left"/>
      <w:pPr>
        <w:ind w:left="1218" w:hanging="272"/>
      </w:pPr>
      <w:rPr>
        <w:rFonts w:hint="default"/>
        <w:lang w:val="cs-CZ" w:eastAsia="cs-CZ" w:bidi="cs-CZ"/>
      </w:rPr>
    </w:lvl>
    <w:lvl w:ilvl="4" w:tplc="52AE4686">
      <w:numFmt w:val="bullet"/>
      <w:lvlText w:val="•"/>
      <w:lvlJc w:val="left"/>
      <w:pPr>
        <w:ind w:left="1470" w:hanging="272"/>
      </w:pPr>
      <w:rPr>
        <w:rFonts w:hint="default"/>
        <w:lang w:val="cs-CZ" w:eastAsia="cs-CZ" w:bidi="cs-CZ"/>
      </w:rPr>
    </w:lvl>
    <w:lvl w:ilvl="5" w:tplc="D3CCC40A">
      <w:numFmt w:val="bullet"/>
      <w:lvlText w:val="•"/>
      <w:lvlJc w:val="left"/>
      <w:pPr>
        <w:ind w:left="1723" w:hanging="272"/>
      </w:pPr>
      <w:rPr>
        <w:rFonts w:hint="default"/>
        <w:lang w:val="cs-CZ" w:eastAsia="cs-CZ" w:bidi="cs-CZ"/>
      </w:rPr>
    </w:lvl>
    <w:lvl w:ilvl="6" w:tplc="2A00C96A">
      <w:numFmt w:val="bullet"/>
      <w:lvlText w:val="•"/>
      <w:lvlJc w:val="left"/>
      <w:pPr>
        <w:ind w:left="1976" w:hanging="272"/>
      </w:pPr>
      <w:rPr>
        <w:rFonts w:hint="default"/>
        <w:lang w:val="cs-CZ" w:eastAsia="cs-CZ" w:bidi="cs-CZ"/>
      </w:rPr>
    </w:lvl>
    <w:lvl w:ilvl="7" w:tplc="739EF8A6">
      <w:numFmt w:val="bullet"/>
      <w:lvlText w:val="•"/>
      <w:lvlJc w:val="left"/>
      <w:pPr>
        <w:ind w:left="2229" w:hanging="272"/>
      </w:pPr>
      <w:rPr>
        <w:rFonts w:hint="default"/>
        <w:lang w:val="cs-CZ" w:eastAsia="cs-CZ" w:bidi="cs-CZ"/>
      </w:rPr>
    </w:lvl>
    <w:lvl w:ilvl="8" w:tplc="A1468892">
      <w:numFmt w:val="bullet"/>
      <w:lvlText w:val="•"/>
      <w:lvlJc w:val="left"/>
      <w:pPr>
        <w:ind w:left="2481" w:hanging="272"/>
      </w:pPr>
      <w:rPr>
        <w:rFonts w:hint="default"/>
        <w:lang w:val="cs-CZ" w:eastAsia="cs-CZ" w:bidi="cs-CZ"/>
      </w:rPr>
    </w:lvl>
  </w:abstractNum>
  <w:abstractNum w:abstractNumId="93" w15:restartNumberingAfterBreak="0">
    <w:nsid w:val="49B0233E"/>
    <w:multiLevelType w:val="hybridMultilevel"/>
    <w:tmpl w:val="60F2AF26"/>
    <w:lvl w:ilvl="0" w:tplc="F5D6DCA0">
      <w:start w:val="349"/>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990CDACC">
      <w:numFmt w:val="bullet"/>
      <w:lvlText w:val="•"/>
      <w:lvlJc w:val="left"/>
      <w:pPr>
        <w:ind w:left="724" w:hanging="272"/>
      </w:pPr>
      <w:rPr>
        <w:rFonts w:hint="default"/>
        <w:lang w:val="cs-CZ" w:eastAsia="cs-CZ" w:bidi="cs-CZ"/>
      </w:rPr>
    </w:lvl>
    <w:lvl w:ilvl="2" w:tplc="6366BAA8">
      <w:numFmt w:val="bullet"/>
      <w:lvlText w:val="•"/>
      <w:lvlJc w:val="left"/>
      <w:pPr>
        <w:ind w:left="989" w:hanging="272"/>
      </w:pPr>
      <w:rPr>
        <w:rFonts w:hint="default"/>
        <w:lang w:val="cs-CZ" w:eastAsia="cs-CZ" w:bidi="cs-CZ"/>
      </w:rPr>
    </w:lvl>
    <w:lvl w:ilvl="3" w:tplc="39E8FF12">
      <w:numFmt w:val="bullet"/>
      <w:lvlText w:val="•"/>
      <w:lvlJc w:val="left"/>
      <w:pPr>
        <w:ind w:left="1254" w:hanging="272"/>
      </w:pPr>
      <w:rPr>
        <w:rFonts w:hint="default"/>
        <w:lang w:val="cs-CZ" w:eastAsia="cs-CZ" w:bidi="cs-CZ"/>
      </w:rPr>
    </w:lvl>
    <w:lvl w:ilvl="4" w:tplc="D900558A">
      <w:numFmt w:val="bullet"/>
      <w:lvlText w:val="•"/>
      <w:lvlJc w:val="left"/>
      <w:pPr>
        <w:ind w:left="1519" w:hanging="272"/>
      </w:pPr>
      <w:rPr>
        <w:rFonts w:hint="default"/>
        <w:lang w:val="cs-CZ" w:eastAsia="cs-CZ" w:bidi="cs-CZ"/>
      </w:rPr>
    </w:lvl>
    <w:lvl w:ilvl="5" w:tplc="128A9B8C">
      <w:numFmt w:val="bullet"/>
      <w:lvlText w:val="•"/>
      <w:lvlJc w:val="left"/>
      <w:pPr>
        <w:ind w:left="1784" w:hanging="272"/>
      </w:pPr>
      <w:rPr>
        <w:rFonts w:hint="default"/>
        <w:lang w:val="cs-CZ" w:eastAsia="cs-CZ" w:bidi="cs-CZ"/>
      </w:rPr>
    </w:lvl>
    <w:lvl w:ilvl="6" w:tplc="E90AD590">
      <w:numFmt w:val="bullet"/>
      <w:lvlText w:val="•"/>
      <w:lvlJc w:val="left"/>
      <w:pPr>
        <w:ind w:left="2049" w:hanging="272"/>
      </w:pPr>
      <w:rPr>
        <w:rFonts w:hint="default"/>
        <w:lang w:val="cs-CZ" w:eastAsia="cs-CZ" w:bidi="cs-CZ"/>
      </w:rPr>
    </w:lvl>
    <w:lvl w:ilvl="7" w:tplc="9BA0C198">
      <w:numFmt w:val="bullet"/>
      <w:lvlText w:val="•"/>
      <w:lvlJc w:val="left"/>
      <w:pPr>
        <w:ind w:left="2314" w:hanging="272"/>
      </w:pPr>
      <w:rPr>
        <w:rFonts w:hint="default"/>
        <w:lang w:val="cs-CZ" w:eastAsia="cs-CZ" w:bidi="cs-CZ"/>
      </w:rPr>
    </w:lvl>
    <w:lvl w:ilvl="8" w:tplc="98DA611E">
      <w:numFmt w:val="bullet"/>
      <w:lvlText w:val="•"/>
      <w:lvlJc w:val="left"/>
      <w:pPr>
        <w:ind w:left="2579" w:hanging="272"/>
      </w:pPr>
      <w:rPr>
        <w:rFonts w:hint="default"/>
        <w:lang w:val="cs-CZ" w:eastAsia="cs-CZ" w:bidi="cs-CZ"/>
      </w:rPr>
    </w:lvl>
  </w:abstractNum>
  <w:abstractNum w:abstractNumId="94" w15:restartNumberingAfterBreak="0">
    <w:nsid w:val="4A417406"/>
    <w:multiLevelType w:val="hybridMultilevel"/>
    <w:tmpl w:val="CAC6AA88"/>
    <w:lvl w:ilvl="0" w:tplc="97AAD05C">
      <w:start w:val="1"/>
      <w:numFmt w:val="lowerLetter"/>
      <w:lvlText w:val="%1"/>
      <w:lvlJc w:val="left"/>
      <w:pPr>
        <w:ind w:left="639" w:hanging="171"/>
        <w:jc w:val="left"/>
      </w:pPr>
      <w:rPr>
        <w:rFonts w:ascii="Arial" w:eastAsia="Arial" w:hAnsi="Arial" w:cs="Arial" w:hint="default"/>
        <w:color w:val="231F20"/>
        <w:w w:val="99"/>
        <w:sz w:val="15"/>
        <w:szCs w:val="15"/>
        <w:lang w:val="cs-CZ" w:eastAsia="cs-CZ" w:bidi="cs-CZ"/>
      </w:rPr>
    </w:lvl>
    <w:lvl w:ilvl="1" w:tplc="FB5A4060">
      <w:numFmt w:val="bullet"/>
      <w:lvlText w:val="•"/>
      <w:lvlJc w:val="left"/>
      <w:pPr>
        <w:ind w:left="1164" w:hanging="171"/>
      </w:pPr>
      <w:rPr>
        <w:rFonts w:hint="default"/>
        <w:lang w:val="cs-CZ" w:eastAsia="cs-CZ" w:bidi="cs-CZ"/>
      </w:rPr>
    </w:lvl>
    <w:lvl w:ilvl="2" w:tplc="F96AEC46">
      <w:numFmt w:val="bullet"/>
      <w:lvlText w:val="•"/>
      <w:lvlJc w:val="left"/>
      <w:pPr>
        <w:ind w:left="1689" w:hanging="171"/>
      </w:pPr>
      <w:rPr>
        <w:rFonts w:hint="default"/>
        <w:lang w:val="cs-CZ" w:eastAsia="cs-CZ" w:bidi="cs-CZ"/>
      </w:rPr>
    </w:lvl>
    <w:lvl w:ilvl="3" w:tplc="0158022A">
      <w:numFmt w:val="bullet"/>
      <w:lvlText w:val="•"/>
      <w:lvlJc w:val="left"/>
      <w:pPr>
        <w:ind w:left="2213" w:hanging="171"/>
      </w:pPr>
      <w:rPr>
        <w:rFonts w:hint="default"/>
        <w:lang w:val="cs-CZ" w:eastAsia="cs-CZ" w:bidi="cs-CZ"/>
      </w:rPr>
    </w:lvl>
    <w:lvl w:ilvl="4" w:tplc="726061E0">
      <w:numFmt w:val="bullet"/>
      <w:lvlText w:val="•"/>
      <w:lvlJc w:val="left"/>
      <w:pPr>
        <w:ind w:left="2738" w:hanging="171"/>
      </w:pPr>
      <w:rPr>
        <w:rFonts w:hint="default"/>
        <w:lang w:val="cs-CZ" w:eastAsia="cs-CZ" w:bidi="cs-CZ"/>
      </w:rPr>
    </w:lvl>
    <w:lvl w:ilvl="5" w:tplc="3954B9BC">
      <w:numFmt w:val="bullet"/>
      <w:lvlText w:val="•"/>
      <w:lvlJc w:val="left"/>
      <w:pPr>
        <w:ind w:left="3262" w:hanging="171"/>
      </w:pPr>
      <w:rPr>
        <w:rFonts w:hint="default"/>
        <w:lang w:val="cs-CZ" w:eastAsia="cs-CZ" w:bidi="cs-CZ"/>
      </w:rPr>
    </w:lvl>
    <w:lvl w:ilvl="6" w:tplc="F6AE1BEC">
      <w:numFmt w:val="bullet"/>
      <w:lvlText w:val="•"/>
      <w:lvlJc w:val="left"/>
      <w:pPr>
        <w:ind w:left="3787" w:hanging="171"/>
      </w:pPr>
      <w:rPr>
        <w:rFonts w:hint="default"/>
        <w:lang w:val="cs-CZ" w:eastAsia="cs-CZ" w:bidi="cs-CZ"/>
      </w:rPr>
    </w:lvl>
    <w:lvl w:ilvl="7" w:tplc="9C6E9694">
      <w:numFmt w:val="bullet"/>
      <w:lvlText w:val="•"/>
      <w:lvlJc w:val="left"/>
      <w:pPr>
        <w:ind w:left="4311" w:hanging="171"/>
      </w:pPr>
      <w:rPr>
        <w:rFonts w:hint="default"/>
        <w:lang w:val="cs-CZ" w:eastAsia="cs-CZ" w:bidi="cs-CZ"/>
      </w:rPr>
    </w:lvl>
    <w:lvl w:ilvl="8" w:tplc="1F8C9A54">
      <w:numFmt w:val="bullet"/>
      <w:lvlText w:val="•"/>
      <w:lvlJc w:val="left"/>
      <w:pPr>
        <w:ind w:left="4836" w:hanging="171"/>
      </w:pPr>
      <w:rPr>
        <w:rFonts w:hint="default"/>
        <w:lang w:val="cs-CZ" w:eastAsia="cs-CZ" w:bidi="cs-CZ"/>
      </w:rPr>
    </w:lvl>
  </w:abstractNum>
  <w:abstractNum w:abstractNumId="95" w15:restartNumberingAfterBreak="0">
    <w:nsid w:val="4A6D0D57"/>
    <w:multiLevelType w:val="hybridMultilevel"/>
    <w:tmpl w:val="F8CC5ECA"/>
    <w:lvl w:ilvl="0" w:tplc="05C6B566">
      <w:start w:val="1"/>
      <w:numFmt w:val="lowerLetter"/>
      <w:lvlText w:val="%1"/>
      <w:lvlJc w:val="left"/>
      <w:pPr>
        <w:ind w:left="639" w:hanging="171"/>
        <w:jc w:val="left"/>
      </w:pPr>
      <w:rPr>
        <w:rFonts w:ascii="Arial" w:eastAsia="Arial" w:hAnsi="Arial" w:cs="Arial" w:hint="default"/>
        <w:color w:val="231F20"/>
        <w:w w:val="99"/>
        <w:sz w:val="15"/>
        <w:szCs w:val="15"/>
        <w:lang w:val="cs-CZ" w:eastAsia="cs-CZ" w:bidi="cs-CZ"/>
      </w:rPr>
    </w:lvl>
    <w:lvl w:ilvl="1" w:tplc="C3285D48">
      <w:start w:val="1"/>
      <w:numFmt w:val="lowerLetter"/>
      <w:lvlText w:val="%2"/>
      <w:lvlJc w:val="left"/>
      <w:pPr>
        <w:ind w:left="880" w:hanging="171"/>
        <w:jc w:val="left"/>
      </w:pPr>
      <w:rPr>
        <w:rFonts w:ascii="Arial" w:eastAsia="Arial" w:hAnsi="Arial" w:cs="Arial" w:hint="default"/>
        <w:color w:val="231F20"/>
        <w:w w:val="99"/>
        <w:sz w:val="15"/>
        <w:szCs w:val="15"/>
        <w:lang w:val="cs-CZ" w:eastAsia="cs-CZ" w:bidi="cs-CZ"/>
      </w:rPr>
    </w:lvl>
    <w:lvl w:ilvl="2" w:tplc="0C80E4E4">
      <w:numFmt w:val="bullet"/>
      <w:lvlText w:val="•"/>
      <w:lvlJc w:val="left"/>
      <w:pPr>
        <w:ind w:left="778" w:hanging="171"/>
      </w:pPr>
      <w:rPr>
        <w:rFonts w:hint="default"/>
        <w:lang w:val="cs-CZ" w:eastAsia="cs-CZ" w:bidi="cs-CZ"/>
      </w:rPr>
    </w:lvl>
    <w:lvl w:ilvl="3" w:tplc="AA482036">
      <w:numFmt w:val="bullet"/>
      <w:lvlText w:val="•"/>
      <w:lvlJc w:val="left"/>
      <w:pPr>
        <w:ind w:left="676" w:hanging="171"/>
      </w:pPr>
      <w:rPr>
        <w:rFonts w:hint="default"/>
        <w:lang w:val="cs-CZ" w:eastAsia="cs-CZ" w:bidi="cs-CZ"/>
      </w:rPr>
    </w:lvl>
    <w:lvl w:ilvl="4" w:tplc="102E38E6">
      <w:numFmt w:val="bullet"/>
      <w:lvlText w:val="•"/>
      <w:lvlJc w:val="left"/>
      <w:pPr>
        <w:ind w:left="574" w:hanging="171"/>
      </w:pPr>
      <w:rPr>
        <w:rFonts w:hint="default"/>
        <w:lang w:val="cs-CZ" w:eastAsia="cs-CZ" w:bidi="cs-CZ"/>
      </w:rPr>
    </w:lvl>
    <w:lvl w:ilvl="5" w:tplc="5B427E88">
      <w:numFmt w:val="bullet"/>
      <w:lvlText w:val="•"/>
      <w:lvlJc w:val="left"/>
      <w:pPr>
        <w:ind w:left="472" w:hanging="171"/>
      </w:pPr>
      <w:rPr>
        <w:rFonts w:hint="default"/>
        <w:lang w:val="cs-CZ" w:eastAsia="cs-CZ" w:bidi="cs-CZ"/>
      </w:rPr>
    </w:lvl>
    <w:lvl w:ilvl="6" w:tplc="C3E81452">
      <w:numFmt w:val="bullet"/>
      <w:lvlText w:val="•"/>
      <w:lvlJc w:val="left"/>
      <w:pPr>
        <w:ind w:left="370" w:hanging="171"/>
      </w:pPr>
      <w:rPr>
        <w:rFonts w:hint="default"/>
        <w:lang w:val="cs-CZ" w:eastAsia="cs-CZ" w:bidi="cs-CZ"/>
      </w:rPr>
    </w:lvl>
    <w:lvl w:ilvl="7" w:tplc="F2CAD702">
      <w:numFmt w:val="bullet"/>
      <w:lvlText w:val="•"/>
      <w:lvlJc w:val="left"/>
      <w:pPr>
        <w:ind w:left="268" w:hanging="171"/>
      </w:pPr>
      <w:rPr>
        <w:rFonts w:hint="default"/>
        <w:lang w:val="cs-CZ" w:eastAsia="cs-CZ" w:bidi="cs-CZ"/>
      </w:rPr>
    </w:lvl>
    <w:lvl w:ilvl="8" w:tplc="26B204DE">
      <w:numFmt w:val="bullet"/>
      <w:lvlText w:val="•"/>
      <w:lvlJc w:val="left"/>
      <w:pPr>
        <w:ind w:left="166" w:hanging="171"/>
      </w:pPr>
      <w:rPr>
        <w:rFonts w:hint="default"/>
        <w:lang w:val="cs-CZ" w:eastAsia="cs-CZ" w:bidi="cs-CZ"/>
      </w:rPr>
    </w:lvl>
  </w:abstractNum>
  <w:abstractNum w:abstractNumId="96" w15:restartNumberingAfterBreak="0">
    <w:nsid w:val="4B0F3769"/>
    <w:multiLevelType w:val="hybridMultilevel"/>
    <w:tmpl w:val="101677FE"/>
    <w:lvl w:ilvl="0" w:tplc="BDF62B72">
      <w:numFmt w:val="bullet"/>
      <w:lvlText w:val="–"/>
      <w:lvlJc w:val="left"/>
      <w:pPr>
        <w:ind w:left="808" w:hanging="171"/>
      </w:pPr>
      <w:rPr>
        <w:rFonts w:ascii="Arial" w:eastAsia="Arial" w:hAnsi="Arial" w:cs="Arial" w:hint="default"/>
        <w:color w:val="231F20"/>
        <w:w w:val="89"/>
        <w:sz w:val="15"/>
        <w:szCs w:val="15"/>
        <w:lang w:val="cs-CZ" w:eastAsia="cs-CZ" w:bidi="cs-CZ"/>
      </w:rPr>
    </w:lvl>
    <w:lvl w:ilvl="1" w:tplc="1C3451F0">
      <w:numFmt w:val="bullet"/>
      <w:lvlText w:val="•"/>
      <w:lvlJc w:val="left"/>
      <w:pPr>
        <w:ind w:left="1308" w:hanging="171"/>
      </w:pPr>
      <w:rPr>
        <w:rFonts w:hint="default"/>
        <w:lang w:val="cs-CZ" w:eastAsia="cs-CZ" w:bidi="cs-CZ"/>
      </w:rPr>
    </w:lvl>
    <w:lvl w:ilvl="2" w:tplc="D9B0DAA2">
      <w:numFmt w:val="bullet"/>
      <w:lvlText w:val="•"/>
      <w:lvlJc w:val="left"/>
      <w:pPr>
        <w:ind w:left="1816" w:hanging="171"/>
      </w:pPr>
      <w:rPr>
        <w:rFonts w:hint="default"/>
        <w:lang w:val="cs-CZ" w:eastAsia="cs-CZ" w:bidi="cs-CZ"/>
      </w:rPr>
    </w:lvl>
    <w:lvl w:ilvl="3" w:tplc="372863F4">
      <w:numFmt w:val="bullet"/>
      <w:lvlText w:val="•"/>
      <w:lvlJc w:val="left"/>
      <w:pPr>
        <w:ind w:left="2325" w:hanging="171"/>
      </w:pPr>
      <w:rPr>
        <w:rFonts w:hint="default"/>
        <w:lang w:val="cs-CZ" w:eastAsia="cs-CZ" w:bidi="cs-CZ"/>
      </w:rPr>
    </w:lvl>
    <w:lvl w:ilvl="4" w:tplc="188E754E">
      <w:numFmt w:val="bullet"/>
      <w:lvlText w:val="•"/>
      <w:lvlJc w:val="left"/>
      <w:pPr>
        <w:ind w:left="2833" w:hanging="171"/>
      </w:pPr>
      <w:rPr>
        <w:rFonts w:hint="default"/>
        <w:lang w:val="cs-CZ" w:eastAsia="cs-CZ" w:bidi="cs-CZ"/>
      </w:rPr>
    </w:lvl>
    <w:lvl w:ilvl="5" w:tplc="BAD62340">
      <w:numFmt w:val="bullet"/>
      <w:lvlText w:val="•"/>
      <w:lvlJc w:val="left"/>
      <w:pPr>
        <w:ind w:left="3342" w:hanging="171"/>
      </w:pPr>
      <w:rPr>
        <w:rFonts w:hint="default"/>
        <w:lang w:val="cs-CZ" w:eastAsia="cs-CZ" w:bidi="cs-CZ"/>
      </w:rPr>
    </w:lvl>
    <w:lvl w:ilvl="6" w:tplc="B158F802">
      <w:numFmt w:val="bullet"/>
      <w:lvlText w:val="•"/>
      <w:lvlJc w:val="left"/>
      <w:pPr>
        <w:ind w:left="3850" w:hanging="171"/>
      </w:pPr>
      <w:rPr>
        <w:rFonts w:hint="default"/>
        <w:lang w:val="cs-CZ" w:eastAsia="cs-CZ" w:bidi="cs-CZ"/>
      </w:rPr>
    </w:lvl>
    <w:lvl w:ilvl="7" w:tplc="0888A2F8">
      <w:numFmt w:val="bullet"/>
      <w:lvlText w:val="•"/>
      <w:lvlJc w:val="left"/>
      <w:pPr>
        <w:ind w:left="4359" w:hanging="171"/>
      </w:pPr>
      <w:rPr>
        <w:rFonts w:hint="default"/>
        <w:lang w:val="cs-CZ" w:eastAsia="cs-CZ" w:bidi="cs-CZ"/>
      </w:rPr>
    </w:lvl>
    <w:lvl w:ilvl="8" w:tplc="AE60052E">
      <w:numFmt w:val="bullet"/>
      <w:lvlText w:val="•"/>
      <w:lvlJc w:val="left"/>
      <w:pPr>
        <w:ind w:left="4867" w:hanging="171"/>
      </w:pPr>
      <w:rPr>
        <w:rFonts w:hint="default"/>
        <w:lang w:val="cs-CZ" w:eastAsia="cs-CZ" w:bidi="cs-CZ"/>
      </w:rPr>
    </w:lvl>
  </w:abstractNum>
  <w:abstractNum w:abstractNumId="97" w15:restartNumberingAfterBreak="0">
    <w:nsid w:val="4BE96F3A"/>
    <w:multiLevelType w:val="hybridMultilevel"/>
    <w:tmpl w:val="A5507CF0"/>
    <w:lvl w:ilvl="0" w:tplc="6DDAC2D6">
      <w:start w:val="1"/>
      <w:numFmt w:val="lowerLetter"/>
      <w:lvlText w:val="%1"/>
      <w:lvlJc w:val="left"/>
      <w:pPr>
        <w:ind w:left="710" w:hanging="284"/>
        <w:jc w:val="right"/>
      </w:pPr>
      <w:rPr>
        <w:rFonts w:ascii="Arial" w:eastAsia="Arial" w:hAnsi="Arial" w:cs="Arial" w:hint="default"/>
        <w:color w:val="231F20"/>
        <w:w w:val="99"/>
        <w:sz w:val="15"/>
        <w:szCs w:val="15"/>
        <w:lang w:val="cs-CZ" w:eastAsia="cs-CZ" w:bidi="cs-CZ"/>
      </w:rPr>
    </w:lvl>
    <w:lvl w:ilvl="1" w:tplc="16F63E16">
      <w:start w:val="1"/>
      <w:numFmt w:val="lowerLetter"/>
      <w:lvlText w:val="%2"/>
      <w:lvlJc w:val="left"/>
      <w:pPr>
        <w:ind w:left="639" w:hanging="171"/>
        <w:jc w:val="left"/>
      </w:pPr>
      <w:rPr>
        <w:rFonts w:ascii="Arial" w:eastAsia="Arial" w:hAnsi="Arial" w:cs="Arial" w:hint="default"/>
        <w:color w:val="231F20"/>
        <w:w w:val="99"/>
        <w:sz w:val="15"/>
        <w:szCs w:val="15"/>
        <w:lang w:val="cs-CZ" w:eastAsia="cs-CZ" w:bidi="cs-CZ"/>
      </w:rPr>
    </w:lvl>
    <w:lvl w:ilvl="2" w:tplc="1C7050D6">
      <w:start w:val="1"/>
      <w:numFmt w:val="lowerLetter"/>
      <w:lvlText w:val="%3"/>
      <w:lvlJc w:val="left"/>
      <w:pPr>
        <w:ind w:left="880" w:hanging="171"/>
        <w:jc w:val="left"/>
      </w:pPr>
      <w:rPr>
        <w:rFonts w:ascii="Arial" w:eastAsia="Arial" w:hAnsi="Arial" w:cs="Arial" w:hint="default"/>
        <w:color w:val="231F20"/>
        <w:w w:val="99"/>
        <w:sz w:val="15"/>
        <w:szCs w:val="15"/>
        <w:lang w:val="cs-CZ" w:eastAsia="cs-CZ" w:bidi="cs-CZ"/>
      </w:rPr>
    </w:lvl>
    <w:lvl w:ilvl="3" w:tplc="75C69078">
      <w:numFmt w:val="bullet"/>
      <w:lvlText w:val="•"/>
      <w:lvlJc w:val="left"/>
      <w:pPr>
        <w:ind w:left="765" w:hanging="171"/>
      </w:pPr>
      <w:rPr>
        <w:rFonts w:hint="default"/>
        <w:lang w:val="cs-CZ" w:eastAsia="cs-CZ" w:bidi="cs-CZ"/>
      </w:rPr>
    </w:lvl>
    <w:lvl w:ilvl="4" w:tplc="DC08B070">
      <w:numFmt w:val="bullet"/>
      <w:lvlText w:val="•"/>
      <w:lvlJc w:val="left"/>
      <w:pPr>
        <w:ind w:left="650" w:hanging="171"/>
      </w:pPr>
      <w:rPr>
        <w:rFonts w:hint="default"/>
        <w:lang w:val="cs-CZ" w:eastAsia="cs-CZ" w:bidi="cs-CZ"/>
      </w:rPr>
    </w:lvl>
    <w:lvl w:ilvl="5" w:tplc="61A67666">
      <w:numFmt w:val="bullet"/>
      <w:lvlText w:val="•"/>
      <w:lvlJc w:val="left"/>
      <w:pPr>
        <w:ind w:left="535" w:hanging="171"/>
      </w:pPr>
      <w:rPr>
        <w:rFonts w:hint="default"/>
        <w:lang w:val="cs-CZ" w:eastAsia="cs-CZ" w:bidi="cs-CZ"/>
      </w:rPr>
    </w:lvl>
    <w:lvl w:ilvl="6" w:tplc="82F0ACB4">
      <w:numFmt w:val="bullet"/>
      <w:lvlText w:val="•"/>
      <w:lvlJc w:val="left"/>
      <w:pPr>
        <w:ind w:left="420" w:hanging="171"/>
      </w:pPr>
      <w:rPr>
        <w:rFonts w:hint="default"/>
        <w:lang w:val="cs-CZ" w:eastAsia="cs-CZ" w:bidi="cs-CZ"/>
      </w:rPr>
    </w:lvl>
    <w:lvl w:ilvl="7" w:tplc="02CA734A">
      <w:numFmt w:val="bullet"/>
      <w:lvlText w:val="•"/>
      <w:lvlJc w:val="left"/>
      <w:pPr>
        <w:ind w:left="305" w:hanging="171"/>
      </w:pPr>
      <w:rPr>
        <w:rFonts w:hint="default"/>
        <w:lang w:val="cs-CZ" w:eastAsia="cs-CZ" w:bidi="cs-CZ"/>
      </w:rPr>
    </w:lvl>
    <w:lvl w:ilvl="8" w:tplc="49C0A1CA">
      <w:numFmt w:val="bullet"/>
      <w:lvlText w:val="•"/>
      <w:lvlJc w:val="left"/>
      <w:pPr>
        <w:ind w:left="190" w:hanging="171"/>
      </w:pPr>
      <w:rPr>
        <w:rFonts w:hint="default"/>
        <w:lang w:val="cs-CZ" w:eastAsia="cs-CZ" w:bidi="cs-CZ"/>
      </w:rPr>
    </w:lvl>
  </w:abstractNum>
  <w:abstractNum w:abstractNumId="98" w15:restartNumberingAfterBreak="0">
    <w:nsid w:val="4CE3546D"/>
    <w:multiLevelType w:val="hybridMultilevel"/>
    <w:tmpl w:val="54A48934"/>
    <w:lvl w:ilvl="0" w:tplc="10A61286">
      <w:start w:val="185"/>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056EAF02">
      <w:numFmt w:val="bullet"/>
      <w:lvlText w:val="•"/>
      <w:lvlJc w:val="left"/>
      <w:pPr>
        <w:ind w:left="711" w:hanging="272"/>
      </w:pPr>
      <w:rPr>
        <w:rFonts w:hint="default"/>
        <w:lang w:val="cs-CZ" w:eastAsia="cs-CZ" w:bidi="cs-CZ"/>
      </w:rPr>
    </w:lvl>
    <w:lvl w:ilvl="2" w:tplc="73E82308">
      <w:numFmt w:val="bullet"/>
      <w:lvlText w:val="•"/>
      <w:lvlJc w:val="left"/>
      <w:pPr>
        <w:ind w:left="962" w:hanging="272"/>
      </w:pPr>
      <w:rPr>
        <w:rFonts w:hint="default"/>
        <w:lang w:val="cs-CZ" w:eastAsia="cs-CZ" w:bidi="cs-CZ"/>
      </w:rPr>
    </w:lvl>
    <w:lvl w:ilvl="3" w:tplc="2F0090D6">
      <w:numFmt w:val="bullet"/>
      <w:lvlText w:val="•"/>
      <w:lvlJc w:val="left"/>
      <w:pPr>
        <w:ind w:left="1214" w:hanging="272"/>
      </w:pPr>
      <w:rPr>
        <w:rFonts w:hint="default"/>
        <w:lang w:val="cs-CZ" w:eastAsia="cs-CZ" w:bidi="cs-CZ"/>
      </w:rPr>
    </w:lvl>
    <w:lvl w:ilvl="4" w:tplc="D64A90C6">
      <w:numFmt w:val="bullet"/>
      <w:lvlText w:val="•"/>
      <w:lvlJc w:val="left"/>
      <w:pPr>
        <w:ind w:left="1465" w:hanging="272"/>
      </w:pPr>
      <w:rPr>
        <w:rFonts w:hint="default"/>
        <w:lang w:val="cs-CZ" w:eastAsia="cs-CZ" w:bidi="cs-CZ"/>
      </w:rPr>
    </w:lvl>
    <w:lvl w:ilvl="5" w:tplc="A300A8B0">
      <w:numFmt w:val="bullet"/>
      <w:lvlText w:val="•"/>
      <w:lvlJc w:val="left"/>
      <w:pPr>
        <w:ind w:left="1716" w:hanging="272"/>
      </w:pPr>
      <w:rPr>
        <w:rFonts w:hint="default"/>
        <w:lang w:val="cs-CZ" w:eastAsia="cs-CZ" w:bidi="cs-CZ"/>
      </w:rPr>
    </w:lvl>
    <w:lvl w:ilvl="6" w:tplc="E18E8B72">
      <w:numFmt w:val="bullet"/>
      <w:lvlText w:val="•"/>
      <w:lvlJc w:val="left"/>
      <w:pPr>
        <w:ind w:left="1968" w:hanging="272"/>
      </w:pPr>
      <w:rPr>
        <w:rFonts w:hint="default"/>
        <w:lang w:val="cs-CZ" w:eastAsia="cs-CZ" w:bidi="cs-CZ"/>
      </w:rPr>
    </w:lvl>
    <w:lvl w:ilvl="7" w:tplc="16D2B87C">
      <w:numFmt w:val="bullet"/>
      <w:lvlText w:val="•"/>
      <w:lvlJc w:val="left"/>
      <w:pPr>
        <w:ind w:left="2219" w:hanging="272"/>
      </w:pPr>
      <w:rPr>
        <w:rFonts w:hint="default"/>
        <w:lang w:val="cs-CZ" w:eastAsia="cs-CZ" w:bidi="cs-CZ"/>
      </w:rPr>
    </w:lvl>
    <w:lvl w:ilvl="8" w:tplc="19A2CA14">
      <w:numFmt w:val="bullet"/>
      <w:lvlText w:val="•"/>
      <w:lvlJc w:val="left"/>
      <w:pPr>
        <w:ind w:left="2470" w:hanging="272"/>
      </w:pPr>
      <w:rPr>
        <w:rFonts w:hint="default"/>
        <w:lang w:val="cs-CZ" w:eastAsia="cs-CZ" w:bidi="cs-CZ"/>
      </w:rPr>
    </w:lvl>
  </w:abstractNum>
  <w:abstractNum w:abstractNumId="99" w15:restartNumberingAfterBreak="0">
    <w:nsid w:val="4CE525EE"/>
    <w:multiLevelType w:val="hybridMultilevel"/>
    <w:tmpl w:val="B086769E"/>
    <w:lvl w:ilvl="0" w:tplc="EB188FF0">
      <w:numFmt w:val="bullet"/>
      <w:lvlText w:val="–"/>
      <w:lvlJc w:val="left"/>
      <w:pPr>
        <w:ind w:left="880" w:hanging="171"/>
      </w:pPr>
      <w:rPr>
        <w:rFonts w:ascii="Arial" w:eastAsia="Arial" w:hAnsi="Arial" w:cs="Arial" w:hint="default"/>
        <w:color w:val="231F20"/>
        <w:w w:val="89"/>
        <w:sz w:val="15"/>
        <w:szCs w:val="15"/>
        <w:lang w:val="cs-CZ" w:eastAsia="cs-CZ" w:bidi="cs-CZ"/>
      </w:rPr>
    </w:lvl>
    <w:lvl w:ilvl="1" w:tplc="60146DD0">
      <w:numFmt w:val="bullet"/>
      <w:lvlText w:val="•"/>
      <w:lvlJc w:val="left"/>
      <w:pPr>
        <w:ind w:left="1362" w:hanging="171"/>
      </w:pPr>
      <w:rPr>
        <w:rFonts w:hint="default"/>
        <w:lang w:val="cs-CZ" w:eastAsia="cs-CZ" w:bidi="cs-CZ"/>
      </w:rPr>
    </w:lvl>
    <w:lvl w:ilvl="2" w:tplc="50B21DB0">
      <w:numFmt w:val="bullet"/>
      <w:lvlText w:val="•"/>
      <w:lvlJc w:val="left"/>
      <w:pPr>
        <w:ind w:left="1844" w:hanging="171"/>
      </w:pPr>
      <w:rPr>
        <w:rFonts w:hint="default"/>
        <w:lang w:val="cs-CZ" w:eastAsia="cs-CZ" w:bidi="cs-CZ"/>
      </w:rPr>
    </w:lvl>
    <w:lvl w:ilvl="3" w:tplc="6ABE7770">
      <w:numFmt w:val="bullet"/>
      <w:lvlText w:val="•"/>
      <w:lvlJc w:val="left"/>
      <w:pPr>
        <w:ind w:left="2326" w:hanging="171"/>
      </w:pPr>
      <w:rPr>
        <w:rFonts w:hint="default"/>
        <w:lang w:val="cs-CZ" w:eastAsia="cs-CZ" w:bidi="cs-CZ"/>
      </w:rPr>
    </w:lvl>
    <w:lvl w:ilvl="4" w:tplc="7DCC5794">
      <w:numFmt w:val="bullet"/>
      <w:lvlText w:val="•"/>
      <w:lvlJc w:val="left"/>
      <w:pPr>
        <w:ind w:left="2808" w:hanging="171"/>
      </w:pPr>
      <w:rPr>
        <w:rFonts w:hint="default"/>
        <w:lang w:val="cs-CZ" w:eastAsia="cs-CZ" w:bidi="cs-CZ"/>
      </w:rPr>
    </w:lvl>
    <w:lvl w:ilvl="5" w:tplc="22323AC4">
      <w:numFmt w:val="bullet"/>
      <w:lvlText w:val="•"/>
      <w:lvlJc w:val="left"/>
      <w:pPr>
        <w:ind w:left="3291" w:hanging="171"/>
      </w:pPr>
      <w:rPr>
        <w:rFonts w:hint="default"/>
        <w:lang w:val="cs-CZ" w:eastAsia="cs-CZ" w:bidi="cs-CZ"/>
      </w:rPr>
    </w:lvl>
    <w:lvl w:ilvl="6" w:tplc="ED2EB220">
      <w:numFmt w:val="bullet"/>
      <w:lvlText w:val="•"/>
      <w:lvlJc w:val="left"/>
      <w:pPr>
        <w:ind w:left="3773" w:hanging="171"/>
      </w:pPr>
      <w:rPr>
        <w:rFonts w:hint="default"/>
        <w:lang w:val="cs-CZ" w:eastAsia="cs-CZ" w:bidi="cs-CZ"/>
      </w:rPr>
    </w:lvl>
    <w:lvl w:ilvl="7" w:tplc="1C7068FA">
      <w:numFmt w:val="bullet"/>
      <w:lvlText w:val="•"/>
      <w:lvlJc w:val="left"/>
      <w:pPr>
        <w:ind w:left="4255" w:hanging="171"/>
      </w:pPr>
      <w:rPr>
        <w:rFonts w:hint="default"/>
        <w:lang w:val="cs-CZ" w:eastAsia="cs-CZ" w:bidi="cs-CZ"/>
      </w:rPr>
    </w:lvl>
    <w:lvl w:ilvl="8" w:tplc="B0B6DCFE">
      <w:numFmt w:val="bullet"/>
      <w:lvlText w:val="•"/>
      <w:lvlJc w:val="left"/>
      <w:pPr>
        <w:ind w:left="4737" w:hanging="171"/>
      </w:pPr>
      <w:rPr>
        <w:rFonts w:hint="default"/>
        <w:lang w:val="cs-CZ" w:eastAsia="cs-CZ" w:bidi="cs-CZ"/>
      </w:rPr>
    </w:lvl>
  </w:abstractNum>
  <w:abstractNum w:abstractNumId="100" w15:restartNumberingAfterBreak="0">
    <w:nsid w:val="4DEA5FC4"/>
    <w:multiLevelType w:val="hybridMultilevel"/>
    <w:tmpl w:val="37807354"/>
    <w:lvl w:ilvl="0" w:tplc="DC624B82">
      <w:start w:val="396"/>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0972BB18">
      <w:numFmt w:val="bullet"/>
      <w:lvlText w:val="•"/>
      <w:lvlJc w:val="left"/>
      <w:pPr>
        <w:ind w:left="728" w:hanging="272"/>
      </w:pPr>
      <w:rPr>
        <w:rFonts w:hint="default"/>
        <w:lang w:val="cs-CZ" w:eastAsia="cs-CZ" w:bidi="cs-CZ"/>
      </w:rPr>
    </w:lvl>
    <w:lvl w:ilvl="2" w:tplc="3708A430">
      <w:numFmt w:val="bullet"/>
      <w:lvlText w:val="•"/>
      <w:lvlJc w:val="left"/>
      <w:pPr>
        <w:ind w:left="996" w:hanging="272"/>
      </w:pPr>
      <w:rPr>
        <w:rFonts w:hint="default"/>
        <w:lang w:val="cs-CZ" w:eastAsia="cs-CZ" w:bidi="cs-CZ"/>
      </w:rPr>
    </w:lvl>
    <w:lvl w:ilvl="3" w:tplc="500EAE96">
      <w:numFmt w:val="bullet"/>
      <w:lvlText w:val="•"/>
      <w:lvlJc w:val="left"/>
      <w:pPr>
        <w:ind w:left="1265" w:hanging="272"/>
      </w:pPr>
      <w:rPr>
        <w:rFonts w:hint="default"/>
        <w:lang w:val="cs-CZ" w:eastAsia="cs-CZ" w:bidi="cs-CZ"/>
      </w:rPr>
    </w:lvl>
    <w:lvl w:ilvl="4" w:tplc="5A62D858">
      <w:numFmt w:val="bullet"/>
      <w:lvlText w:val="•"/>
      <w:lvlJc w:val="left"/>
      <w:pPr>
        <w:ind w:left="1533" w:hanging="272"/>
      </w:pPr>
      <w:rPr>
        <w:rFonts w:hint="default"/>
        <w:lang w:val="cs-CZ" w:eastAsia="cs-CZ" w:bidi="cs-CZ"/>
      </w:rPr>
    </w:lvl>
    <w:lvl w:ilvl="5" w:tplc="4BEE7658">
      <w:numFmt w:val="bullet"/>
      <w:lvlText w:val="•"/>
      <w:lvlJc w:val="left"/>
      <w:pPr>
        <w:ind w:left="1802" w:hanging="272"/>
      </w:pPr>
      <w:rPr>
        <w:rFonts w:hint="default"/>
        <w:lang w:val="cs-CZ" w:eastAsia="cs-CZ" w:bidi="cs-CZ"/>
      </w:rPr>
    </w:lvl>
    <w:lvl w:ilvl="6" w:tplc="7AE87486">
      <w:numFmt w:val="bullet"/>
      <w:lvlText w:val="•"/>
      <w:lvlJc w:val="left"/>
      <w:pPr>
        <w:ind w:left="2070" w:hanging="272"/>
      </w:pPr>
      <w:rPr>
        <w:rFonts w:hint="default"/>
        <w:lang w:val="cs-CZ" w:eastAsia="cs-CZ" w:bidi="cs-CZ"/>
      </w:rPr>
    </w:lvl>
    <w:lvl w:ilvl="7" w:tplc="C12645CE">
      <w:numFmt w:val="bullet"/>
      <w:lvlText w:val="•"/>
      <w:lvlJc w:val="left"/>
      <w:pPr>
        <w:ind w:left="2339" w:hanging="272"/>
      </w:pPr>
      <w:rPr>
        <w:rFonts w:hint="default"/>
        <w:lang w:val="cs-CZ" w:eastAsia="cs-CZ" w:bidi="cs-CZ"/>
      </w:rPr>
    </w:lvl>
    <w:lvl w:ilvl="8" w:tplc="67DAAF06">
      <w:numFmt w:val="bullet"/>
      <w:lvlText w:val="•"/>
      <w:lvlJc w:val="left"/>
      <w:pPr>
        <w:ind w:left="2607" w:hanging="272"/>
      </w:pPr>
      <w:rPr>
        <w:rFonts w:hint="default"/>
        <w:lang w:val="cs-CZ" w:eastAsia="cs-CZ" w:bidi="cs-CZ"/>
      </w:rPr>
    </w:lvl>
  </w:abstractNum>
  <w:abstractNum w:abstractNumId="101" w15:restartNumberingAfterBreak="0">
    <w:nsid w:val="4E252C1D"/>
    <w:multiLevelType w:val="hybridMultilevel"/>
    <w:tmpl w:val="1F9E3DD6"/>
    <w:lvl w:ilvl="0" w:tplc="A8A682DC">
      <w:start w:val="86"/>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9D3A2EF0">
      <w:numFmt w:val="bullet"/>
      <w:lvlText w:val="•"/>
      <w:lvlJc w:val="left"/>
      <w:pPr>
        <w:ind w:left="802" w:hanging="272"/>
      </w:pPr>
      <w:rPr>
        <w:rFonts w:hint="default"/>
        <w:lang w:val="cs-CZ" w:eastAsia="cs-CZ" w:bidi="cs-CZ"/>
      </w:rPr>
    </w:lvl>
    <w:lvl w:ilvl="2" w:tplc="33AA8FB8">
      <w:numFmt w:val="bullet"/>
      <w:lvlText w:val="•"/>
      <w:lvlJc w:val="left"/>
      <w:pPr>
        <w:ind w:left="1145" w:hanging="272"/>
      </w:pPr>
      <w:rPr>
        <w:rFonts w:hint="default"/>
        <w:lang w:val="cs-CZ" w:eastAsia="cs-CZ" w:bidi="cs-CZ"/>
      </w:rPr>
    </w:lvl>
    <w:lvl w:ilvl="3" w:tplc="17EE7AB0">
      <w:numFmt w:val="bullet"/>
      <w:lvlText w:val="•"/>
      <w:lvlJc w:val="left"/>
      <w:pPr>
        <w:ind w:left="1488" w:hanging="272"/>
      </w:pPr>
      <w:rPr>
        <w:rFonts w:hint="default"/>
        <w:lang w:val="cs-CZ" w:eastAsia="cs-CZ" w:bidi="cs-CZ"/>
      </w:rPr>
    </w:lvl>
    <w:lvl w:ilvl="4" w:tplc="1DA82E74">
      <w:numFmt w:val="bullet"/>
      <w:lvlText w:val="•"/>
      <w:lvlJc w:val="left"/>
      <w:pPr>
        <w:ind w:left="1831" w:hanging="272"/>
      </w:pPr>
      <w:rPr>
        <w:rFonts w:hint="default"/>
        <w:lang w:val="cs-CZ" w:eastAsia="cs-CZ" w:bidi="cs-CZ"/>
      </w:rPr>
    </w:lvl>
    <w:lvl w:ilvl="5" w:tplc="87040976">
      <w:numFmt w:val="bullet"/>
      <w:lvlText w:val="•"/>
      <w:lvlJc w:val="left"/>
      <w:pPr>
        <w:ind w:left="2174" w:hanging="272"/>
      </w:pPr>
      <w:rPr>
        <w:rFonts w:hint="default"/>
        <w:lang w:val="cs-CZ" w:eastAsia="cs-CZ" w:bidi="cs-CZ"/>
      </w:rPr>
    </w:lvl>
    <w:lvl w:ilvl="6" w:tplc="59E4E878">
      <w:numFmt w:val="bullet"/>
      <w:lvlText w:val="•"/>
      <w:lvlJc w:val="left"/>
      <w:pPr>
        <w:ind w:left="2517" w:hanging="272"/>
      </w:pPr>
      <w:rPr>
        <w:rFonts w:hint="default"/>
        <w:lang w:val="cs-CZ" w:eastAsia="cs-CZ" w:bidi="cs-CZ"/>
      </w:rPr>
    </w:lvl>
    <w:lvl w:ilvl="7" w:tplc="0748C208">
      <w:numFmt w:val="bullet"/>
      <w:lvlText w:val="•"/>
      <w:lvlJc w:val="left"/>
      <w:pPr>
        <w:ind w:left="2860" w:hanging="272"/>
      </w:pPr>
      <w:rPr>
        <w:rFonts w:hint="default"/>
        <w:lang w:val="cs-CZ" w:eastAsia="cs-CZ" w:bidi="cs-CZ"/>
      </w:rPr>
    </w:lvl>
    <w:lvl w:ilvl="8" w:tplc="5958E13E">
      <w:numFmt w:val="bullet"/>
      <w:lvlText w:val="•"/>
      <w:lvlJc w:val="left"/>
      <w:pPr>
        <w:ind w:left="3203" w:hanging="272"/>
      </w:pPr>
      <w:rPr>
        <w:rFonts w:hint="default"/>
        <w:lang w:val="cs-CZ" w:eastAsia="cs-CZ" w:bidi="cs-CZ"/>
      </w:rPr>
    </w:lvl>
  </w:abstractNum>
  <w:abstractNum w:abstractNumId="102" w15:restartNumberingAfterBreak="0">
    <w:nsid w:val="4FF643B9"/>
    <w:multiLevelType w:val="hybridMultilevel"/>
    <w:tmpl w:val="9132A64C"/>
    <w:lvl w:ilvl="0" w:tplc="599051D2">
      <w:start w:val="1"/>
      <w:numFmt w:val="lowerLetter"/>
      <w:lvlText w:val="%1"/>
      <w:lvlJc w:val="left"/>
      <w:pPr>
        <w:ind w:left="639" w:hanging="171"/>
        <w:jc w:val="right"/>
      </w:pPr>
      <w:rPr>
        <w:rFonts w:ascii="Arial" w:eastAsia="Arial" w:hAnsi="Arial" w:cs="Arial" w:hint="default"/>
        <w:color w:val="231F20"/>
        <w:w w:val="99"/>
        <w:sz w:val="15"/>
        <w:szCs w:val="15"/>
        <w:lang w:val="cs-CZ" w:eastAsia="cs-CZ" w:bidi="cs-CZ"/>
      </w:rPr>
    </w:lvl>
    <w:lvl w:ilvl="1" w:tplc="4F1C4796">
      <w:numFmt w:val="bullet"/>
      <w:lvlText w:val="•"/>
      <w:lvlJc w:val="left"/>
      <w:pPr>
        <w:ind w:left="1164" w:hanging="171"/>
      </w:pPr>
      <w:rPr>
        <w:rFonts w:hint="default"/>
        <w:lang w:val="cs-CZ" w:eastAsia="cs-CZ" w:bidi="cs-CZ"/>
      </w:rPr>
    </w:lvl>
    <w:lvl w:ilvl="2" w:tplc="9A6EF66C">
      <w:numFmt w:val="bullet"/>
      <w:lvlText w:val="•"/>
      <w:lvlJc w:val="left"/>
      <w:pPr>
        <w:ind w:left="1689" w:hanging="171"/>
      </w:pPr>
      <w:rPr>
        <w:rFonts w:hint="default"/>
        <w:lang w:val="cs-CZ" w:eastAsia="cs-CZ" w:bidi="cs-CZ"/>
      </w:rPr>
    </w:lvl>
    <w:lvl w:ilvl="3" w:tplc="53AEA3F2">
      <w:numFmt w:val="bullet"/>
      <w:lvlText w:val="•"/>
      <w:lvlJc w:val="left"/>
      <w:pPr>
        <w:ind w:left="2213" w:hanging="171"/>
      </w:pPr>
      <w:rPr>
        <w:rFonts w:hint="default"/>
        <w:lang w:val="cs-CZ" w:eastAsia="cs-CZ" w:bidi="cs-CZ"/>
      </w:rPr>
    </w:lvl>
    <w:lvl w:ilvl="4" w:tplc="1792A80C">
      <w:numFmt w:val="bullet"/>
      <w:lvlText w:val="•"/>
      <w:lvlJc w:val="left"/>
      <w:pPr>
        <w:ind w:left="2738" w:hanging="171"/>
      </w:pPr>
      <w:rPr>
        <w:rFonts w:hint="default"/>
        <w:lang w:val="cs-CZ" w:eastAsia="cs-CZ" w:bidi="cs-CZ"/>
      </w:rPr>
    </w:lvl>
    <w:lvl w:ilvl="5" w:tplc="74AEC222">
      <w:numFmt w:val="bullet"/>
      <w:lvlText w:val="•"/>
      <w:lvlJc w:val="left"/>
      <w:pPr>
        <w:ind w:left="3262" w:hanging="171"/>
      </w:pPr>
      <w:rPr>
        <w:rFonts w:hint="default"/>
        <w:lang w:val="cs-CZ" w:eastAsia="cs-CZ" w:bidi="cs-CZ"/>
      </w:rPr>
    </w:lvl>
    <w:lvl w:ilvl="6" w:tplc="1122BC68">
      <w:numFmt w:val="bullet"/>
      <w:lvlText w:val="•"/>
      <w:lvlJc w:val="left"/>
      <w:pPr>
        <w:ind w:left="3787" w:hanging="171"/>
      </w:pPr>
      <w:rPr>
        <w:rFonts w:hint="default"/>
        <w:lang w:val="cs-CZ" w:eastAsia="cs-CZ" w:bidi="cs-CZ"/>
      </w:rPr>
    </w:lvl>
    <w:lvl w:ilvl="7" w:tplc="587E5B62">
      <w:numFmt w:val="bullet"/>
      <w:lvlText w:val="•"/>
      <w:lvlJc w:val="left"/>
      <w:pPr>
        <w:ind w:left="4311" w:hanging="171"/>
      </w:pPr>
      <w:rPr>
        <w:rFonts w:hint="default"/>
        <w:lang w:val="cs-CZ" w:eastAsia="cs-CZ" w:bidi="cs-CZ"/>
      </w:rPr>
    </w:lvl>
    <w:lvl w:ilvl="8" w:tplc="590A5FF6">
      <w:numFmt w:val="bullet"/>
      <w:lvlText w:val="•"/>
      <w:lvlJc w:val="left"/>
      <w:pPr>
        <w:ind w:left="4836" w:hanging="171"/>
      </w:pPr>
      <w:rPr>
        <w:rFonts w:hint="default"/>
        <w:lang w:val="cs-CZ" w:eastAsia="cs-CZ" w:bidi="cs-CZ"/>
      </w:rPr>
    </w:lvl>
  </w:abstractNum>
  <w:abstractNum w:abstractNumId="103" w15:restartNumberingAfterBreak="0">
    <w:nsid w:val="53E7792E"/>
    <w:multiLevelType w:val="hybridMultilevel"/>
    <w:tmpl w:val="4FBE9ADC"/>
    <w:lvl w:ilvl="0" w:tplc="6FC2F31E">
      <w:start w:val="1"/>
      <w:numFmt w:val="lowerLetter"/>
      <w:lvlText w:val="%1"/>
      <w:lvlJc w:val="left"/>
      <w:pPr>
        <w:ind w:left="637" w:hanging="171"/>
        <w:jc w:val="left"/>
      </w:pPr>
      <w:rPr>
        <w:rFonts w:ascii="Arial" w:eastAsia="Arial" w:hAnsi="Arial" w:cs="Arial" w:hint="default"/>
        <w:color w:val="231F20"/>
        <w:w w:val="99"/>
        <w:sz w:val="15"/>
        <w:szCs w:val="15"/>
        <w:lang w:val="cs-CZ" w:eastAsia="cs-CZ" w:bidi="cs-CZ"/>
      </w:rPr>
    </w:lvl>
    <w:lvl w:ilvl="1" w:tplc="5CB047DE">
      <w:numFmt w:val="bullet"/>
      <w:lvlText w:val="•"/>
      <w:lvlJc w:val="left"/>
      <w:pPr>
        <w:ind w:left="1164" w:hanging="171"/>
      </w:pPr>
      <w:rPr>
        <w:rFonts w:hint="default"/>
        <w:lang w:val="cs-CZ" w:eastAsia="cs-CZ" w:bidi="cs-CZ"/>
      </w:rPr>
    </w:lvl>
    <w:lvl w:ilvl="2" w:tplc="92623808">
      <w:numFmt w:val="bullet"/>
      <w:lvlText w:val="•"/>
      <w:lvlJc w:val="left"/>
      <w:pPr>
        <w:ind w:left="1688" w:hanging="171"/>
      </w:pPr>
      <w:rPr>
        <w:rFonts w:hint="default"/>
        <w:lang w:val="cs-CZ" w:eastAsia="cs-CZ" w:bidi="cs-CZ"/>
      </w:rPr>
    </w:lvl>
    <w:lvl w:ilvl="3" w:tplc="D9C293D2">
      <w:numFmt w:val="bullet"/>
      <w:lvlText w:val="•"/>
      <w:lvlJc w:val="left"/>
      <w:pPr>
        <w:ind w:left="2212" w:hanging="171"/>
      </w:pPr>
      <w:rPr>
        <w:rFonts w:hint="default"/>
        <w:lang w:val="cs-CZ" w:eastAsia="cs-CZ" w:bidi="cs-CZ"/>
      </w:rPr>
    </w:lvl>
    <w:lvl w:ilvl="4" w:tplc="7EDAE4CA">
      <w:numFmt w:val="bullet"/>
      <w:lvlText w:val="•"/>
      <w:lvlJc w:val="left"/>
      <w:pPr>
        <w:ind w:left="2737" w:hanging="171"/>
      </w:pPr>
      <w:rPr>
        <w:rFonts w:hint="default"/>
        <w:lang w:val="cs-CZ" w:eastAsia="cs-CZ" w:bidi="cs-CZ"/>
      </w:rPr>
    </w:lvl>
    <w:lvl w:ilvl="5" w:tplc="9DA2DFC2">
      <w:numFmt w:val="bullet"/>
      <w:lvlText w:val="•"/>
      <w:lvlJc w:val="left"/>
      <w:pPr>
        <w:ind w:left="3261" w:hanging="171"/>
      </w:pPr>
      <w:rPr>
        <w:rFonts w:hint="default"/>
        <w:lang w:val="cs-CZ" w:eastAsia="cs-CZ" w:bidi="cs-CZ"/>
      </w:rPr>
    </w:lvl>
    <w:lvl w:ilvl="6" w:tplc="A8880F2E">
      <w:numFmt w:val="bullet"/>
      <w:lvlText w:val="•"/>
      <w:lvlJc w:val="left"/>
      <w:pPr>
        <w:ind w:left="3785" w:hanging="171"/>
      </w:pPr>
      <w:rPr>
        <w:rFonts w:hint="default"/>
        <w:lang w:val="cs-CZ" w:eastAsia="cs-CZ" w:bidi="cs-CZ"/>
      </w:rPr>
    </w:lvl>
    <w:lvl w:ilvl="7" w:tplc="9436657A">
      <w:numFmt w:val="bullet"/>
      <w:lvlText w:val="•"/>
      <w:lvlJc w:val="left"/>
      <w:pPr>
        <w:ind w:left="4310" w:hanging="171"/>
      </w:pPr>
      <w:rPr>
        <w:rFonts w:hint="default"/>
        <w:lang w:val="cs-CZ" w:eastAsia="cs-CZ" w:bidi="cs-CZ"/>
      </w:rPr>
    </w:lvl>
    <w:lvl w:ilvl="8" w:tplc="69FE9D32">
      <w:numFmt w:val="bullet"/>
      <w:lvlText w:val="•"/>
      <w:lvlJc w:val="left"/>
      <w:pPr>
        <w:ind w:left="4834" w:hanging="171"/>
      </w:pPr>
      <w:rPr>
        <w:rFonts w:hint="default"/>
        <w:lang w:val="cs-CZ" w:eastAsia="cs-CZ" w:bidi="cs-CZ"/>
      </w:rPr>
    </w:lvl>
  </w:abstractNum>
  <w:abstractNum w:abstractNumId="104" w15:restartNumberingAfterBreak="0">
    <w:nsid w:val="556B4473"/>
    <w:multiLevelType w:val="hybridMultilevel"/>
    <w:tmpl w:val="43103478"/>
    <w:lvl w:ilvl="0" w:tplc="5AFE4CEE">
      <w:start w:val="1"/>
      <w:numFmt w:val="lowerLetter"/>
      <w:lvlText w:val="%1"/>
      <w:lvlJc w:val="left"/>
      <w:pPr>
        <w:ind w:left="638" w:hanging="171"/>
        <w:jc w:val="left"/>
      </w:pPr>
      <w:rPr>
        <w:rFonts w:ascii="Arial" w:eastAsia="Arial" w:hAnsi="Arial" w:cs="Arial" w:hint="default"/>
        <w:color w:val="231F20"/>
        <w:w w:val="99"/>
        <w:sz w:val="15"/>
        <w:szCs w:val="15"/>
        <w:lang w:val="cs-CZ" w:eastAsia="cs-CZ" w:bidi="cs-CZ"/>
      </w:rPr>
    </w:lvl>
    <w:lvl w:ilvl="1" w:tplc="D36C4C84">
      <w:numFmt w:val="bullet"/>
      <w:lvlText w:val="•"/>
      <w:lvlJc w:val="left"/>
      <w:pPr>
        <w:ind w:left="1164" w:hanging="171"/>
      </w:pPr>
      <w:rPr>
        <w:rFonts w:hint="default"/>
        <w:lang w:val="cs-CZ" w:eastAsia="cs-CZ" w:bidi="cs-CZ"/>
      </w:rPr>
    </w:lvl>
    <w:lvl w:ilvl="2" w:tplc="B14E9FDA">
      <w:numFmt w:val="bullet"/>
      <w:lvlText w:val="•"/>
      <w:lvlJc w:val="left"/>
      <w:pPr>
        <w:ind w:left="1688" w:hanging="171"/>
      </w:pPr>
      <w:rPr>
        <w:rFonts w:hint="default"/>
        <w:lang w:val="cs-CZ" w:eastAsia="cs-CZ" w:bidi="cs-CZ"/>
      </w:rPr>
    </w:lvl>
    <w:lvl w:ilvl="3" w:tplc="F998CCFE">
      <w:numFmt w:val="bullet"/>
      <w:lvlText w:val="•"/>
      <w:lvlJc w:val="left"/>
      <w:pPr>
        <w:ind w:left="2213" w:hanging="171"/>
      </w:pPr>
      <w:rPr>
        <w:rFonts w:hint="default"/>
        <w:lang w:val="cs-CZ" w:eastAsia="cs-CZ" w:bidi="cs-CZ"/>
      </w:rPr>
    </w:lvl>
    <w:lvl w:ilvl="4" w:tplc="CE40FC4C">
      <w:numFmt w:val="bullet"/>
      <w:lvlText w:val="•"/>
      <w:lvlJc w:val="left"/>
      <w:pPr>
        <w:ind w:left="2737" w:hanging="171"/>
      </w:pPr>
      <w:rPr>
        <w:rFonts w:hint="default"/>
        <w:lang w:val="cs-CZ" w:eastAsia="cs-CZ" w:bidi="cs-CZ"/>
      </w:rPr>
    </w:lvl>
    <w:lvl w:ilvl="5" w:tplc="77B018EC">
      <w:numFmt w:val="bullet"/>
      <w:lvlText w:val="•"/>
      <w:lvlJc w:val="left"/>
      <w:pPr>
        <w:ind w:left="3262" w:hanging="171"/>
      </w:pPr>
      <w:rPr>
        <w:rFonts w:hint="default"/>
        <w:lang w:val="cs-CZ" w:eastAsia="cs-CZ" w:bidi="cs-CZ"/>
      </w:rPr>
    </w:lvl>
    <w:lvl w:ilvl="6" w:tplc="8F206534">
      <w:numFmt w:val="bullet"/>
      <w:lvlText w:val="•"/>
      <w:lvlJc w:val="left"/>
      <w:pPr>
        <w:ind w:left="3786" w:hanging="171"/>
      </w:pPr>
      <w:rPr>
        <w:rFonts w:hint="default"/>
        <w:lang w:val="cs-CZ" w:eastAsia="cs-CZ" w:bidi="cs-CZ"/>
      </w:rPr>
    </w:lvl>
    <w:lvl w:ilvl="7" w:tplc="FBA0E972">
      <w:numFmt w:val="bullet"/>
      <w:lvlText w:val="•"/>
      <w:lvlJc w:val="left"/>
      <w:pPr>
        <w:ind w:left="4311" w:hanging="171"/>
      </w:pPr>
      <w:rPr>
        <w:rFonts w:hint="default"/>
        <w:lang w:val="cs-CZ" w:eastAsia="cs-CZ" w:bidi="cs-CZ"/>
      </w:rPr>
    </w:lvl>
    <w:lvl w:ilvl="8" w:tplc="6CFEE28E">
      <w:numFmt w:val="bullet"/>
      <w:lvlText w:val="•"/>
      <w:lvlJc w:val="left"/>
      <w:pPr>
        <w:ind w:left="4835" w:hanging="171"/>
      </w:pPr>
      <w:rPr>
        <w:rFonts w:hint="default"/>
        <w:lang w:val="cs-CZ" w:eastAsia="cs-CZ" w:bidi="cs-CZ"/>
      </w:rPr>
    </w:lvl>
  </w:abstractNum>
  <w:abstractNum w:abstractNumId="105" w15:restartNumberingAfterBreak="0">
    <w:nsid w:val="55850AD5"/>
    <w:multiLevelType w:val="hybridMultilevel"/>
    <w:tmpl w:val="64B01D6A"/>
    <w:lvl w:ilvl="0" w:tplc="DB9A3244">
      <w:numFmt w:val="bullet"/>
      <w:lvlText w:val="-"/>
      <w:lvlJc w:val="left"/>
      <w:pPr>
        <w:ind w:left="685" w:hanging="428"/>
      </w:pPr>
      <w:rPr>
        <w:rFonts w:ascii="Arial" w:eastAsia="Arial" w:hAnsi="Arial" w:cs="Arial" w:hint="default"/>
        <w:w w:val="99"/>
        <w:sz w:val="24"/>
        <w:szCs w:val="24"/>
        <w:lang w:val="cs-CZ" w:eastAsia="cs-CZ" w:bidi="cs-CZ"/>
      </w:rPr>
    </w:lvl>
    <w:lvl w:ilvl="1" w:tplc="EA5EBFEC">
      <w:numFmt w:val="bullet"/>
      <w:lvlText w:val="•"/>
      <w:lvlJc w:val="left"/>
      <w:pPr>
        <w:ind w:left="544" w:hanging="144"/>
      </w:pPr>
      <w:rPr>
        <w:rFonts w:ascii="Times New Roman" w:eastAsia="Times New Roman" w:hAnsi="Times New Roman" w:cs="Times New Roman" w:hint="default"/>
        <w:w w:val="99"/>
        <w:sz w:val="24"/>
        <w:szCs w:val="24"/>
        <w:lang w:val="cs-CZ" w:eastAsia="cs-CZ" w:bidi="cs-CZ"/>
      </w:rPr>
    </w:lvl>
    <w:lvl w:ilvl="2" w:tplc="698ED67E">
      <w:numFmt w:val="bullet"/>
      <w:lvlText w:val="•"/>
      <w:lvlJc w:val="left"/>
      <w:pPr>
        <w:ind w:left="1731" w:hanging="144"/>
      </w:pPr>
      <w:rPr>
        <w:rFonts w:hint="default"/>
        <w:lang w:val="cs-CZ" w:eastAsia="cs-CZ" w:bidi="cs-CZ"/>
      </w:rPr>
    </w:lvl>
    <w:lvl w:ilvl="3" w:tplc="1D64E5EE">
      <w:numFmt w:val="bullet"/>
      <w:lvlText w:val="•"/>
      <w:lvlJc w:val="left"/>
      <w:pPr>
        <w:ind w:left="2782" w:hanging="144"/>
      </w:pPr>
      <w:rPr>
        <w:rFonts w:hint="default"/>
        <w:lang w:val="cs-CZ" w:eastAsia="cs-CZ" w:bidi="cs-CZ"/>
      </w:rPr>
    </w:lvl>
    <w:lvl w:ilvl="4" w:tplc="8FD41CC0">
      <w:numFmt w:val="bullet"/>
      <w:lvlText w:val="•"/>
      <w:lvlJc w:val="left"/>
      <w:pPr>
        <w:ind w:left="3833" w:hanging="144"/>
      </w:pPr>
      <w:rPr>
        <w:rFonts w:hint="default"/>
        <w:lang w:val="cs-CZ" w:eastAsia="cs-CZ" w:bidi="cs-CZ"/>
      </w:rPr>
    </w:lvl>
    <w:lvl w:ilvl="5" w:tplc="6D16484E">
      <w:numFmt w:val="bullet"/>
      <w:lvlText w:val="•"/>
      <w:lvlJc w:val="left"/>
      <w:pPr>
        <w:ind w:left="4884" w:hanging="144"/>
      </w:pPr>
      <w:rPr>
        <w:rFonts w:hint="default"/>
        <w:lang w:val="cs-CZ" w:eastAsia="cs-CZ" w:bidi="cs-CZ"/>
      </w:rPr>
    </w:lvl>
    <w:lvl w:ilvl="6" w:tplc="30FC7CE2">
      <w:numFmt w:val="bullet"/>
      <w:lvlText w:val="•"/>
      <w:lvlJc w:val="left"/>
      <w:pPr>
        <w:ind w:left="5935" w:hanging="144"/>
      </w:pPr>
      <w:rPr>
        <w:rFonts w:hint="default"/>
        <w:lang w:val="cs-CZ" w:eastAsia="cs-CZ" w:bidi="cs-CZ"/>
      </w:rPr>
    </w:lvl>
    <w:lvl w:ilvl="7" w:tplc="7C8EBA62">
      <w:numFmt w:val="bullet"/>
      <w:lvlText w:val="•"/>
      <w:lvlJc w:val="left"/>
      <w:pPr>
        <w:ind w:left="6986" w:hanging="144"/>
      </w:pPr>
      <w:rPr>
        <w:rFonts w:hint="default"/>
        <w:lang w:val="cs-CZ" w:eastAsia="cs-CZ" w:bidi="cs-CZ"/>
      </w:rPr>
    </w:lvl>
    <w:lvl w:ilvl="8" w:tplc="F668BA64">
      <w:numFmt w:val="bullet"/>
      <w:lvlText w:val="•"/>
      <w:lvlJc w:val="left"/>
      <w:pPr>
        <w:ind w:left="8037" w:hanging="144"/>
      </w:pPr>
      <w:rPr>
        <w:rFonts w:hint="default"/>
        <w:lang w:val="cs-CZ" w:eastAsia="cs-CZ" w:bidi="cs-CZ"/>
      </w:rPr>
    </w:lvl>
  </w:abstractNum>
  <w:abstractNum w:abstractNumId="106" w15:restartNumberingAfterBreak="0">
    <w:nsid w:val="56292915"/>
    <w:multiLevelType w:val="hybridMultilevel"/>
    <w:tmpl w:val="8A6E4942"/>
    <w:lvl w:ilvl="0" w:tplc="F6A0ED2A">
      <w:start w:val="317"/>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282CAC9C">
      <w:numFmt w:val="bullet"/>
      <w:lvlText w:val="•"/>
      <w:lvlJc w:val="left"/>
      <w:pPr>
        <w:ind w:left="801" w:hanging="272"/>
      </w:pPr>
      <w:rPr>
        <w:rFonts w:hint="default"/>
        <w:lang w:val="cs-CZ" w:eastAsia="cs-CZ" w:bidi="cs-CZ"/>
      </w:rPr>
    </w:lvl>
    <w:lvl w:ilvl="2" w:tplc="57CC95FE">
      <w:numFmt w:val="bullet"/>
      <w:lvlText w:val="•"/>
      <w:lvlJc w:val="left"/>
      <w:pPr>
        <w:ind w:left="1143" w:hanging="272"/>
      </w:pPr>
      <w:rPr>
        <w:rFonts w:hint="default"/>
        <w:lang w:val="cs-CZ" w:eastAsia="cs-CZ" w:bidi="cs-CZ"/>
      </w:rPr>
    </w:lvl>
    <w:lvl w:ilvl="3" w:tplc="AE7AF150">
      <w:numFmt w:val="bullet"/>
      <w:lvlText w:val="•"/>
      <w:lvlJc w:val="left"/>
      <w:pPr>
        <w:ind w:left="1484" w:hanging="272"/>
      </w:pPr>
      <w:rPr>
        <w:rFonts w:hint="default"/>
        <w:lang w:val="cs-CZ" w:eastAsia="cs-CZ" w:bidi="cs-CZ"/>
      </w:rPr>
    </w:lvl>
    <w:lvl w:ilvl="4" w:tplc="268E6A86">
      <w:numFmt w:val="bullet"/>
      <w:lvlText w:val="•"/>
      <w:lvlJc w:val="left"/>
      <w:pPr>
        <w:ind w:left="1826" w:hanging="272"/>
      </w:pPr>
      <w:rPr>
        <w:rFonts w:hint="default"/>
        <w:lang w:val="cs-CZ" w:eastAsia="cs-CZ" w:bidi="cs-CZ"/>
      </w:rPr>
    </w:lvl>
    <w:lvl w:ilvl="5" w:tplc="25024A1A">
      <w:numFmt w:val="bullet"/>
      <w:lvlText w:val="•"/>
      <w:lvlJc w:val="left"/>
      <w:pPr>
        <w:ind w:left="2167" w:hanging="272"/>
      </w:pPr>
      <w:rPr>
        <w:rFonts w:hint="default"/>
        <w:lang w:val="cs-CZ" w:eastAsia="cs-CZ" w:bidi="cs-CZ"/>
      </w:rPr>
    </w:lvl>
    <w:lvl w:ilvl="6" w:tplc="2E062722">
      <w:numFmt w:val="bullet"/>
      <w:lvlText w:val="•"/>
      <w:lvlJc w:val="left"/>
      <w:pPr>
        <w:ind w:left="2509" w:hanging="272"/>
      </w:pPr>
      <w:rPr>
        <w:rFonts w:hint="default"/>
        <w:lang w:val="cs-CZ" w:eastAsia="cs-CZ" w:bidi="cs-CZ"/>
      </w:rPr>
    </w:lvl>
    <w:lvl w:ilvl="7" w:tplc="8ECA3F56">
      <w:numFmt w:val="bullet"/>
      <w:lvlText w:val="•"/>
      <w:lvlJc w:val="left"/>
      <w:pPr>
        <w:ind w:left="2850" w:hanging="272"/>
      </w:pPr>
      <w:rPr>
        <w:rFonts w:hint="default"/>
        <w:lang w:val="cs-CZ" w:eastAsia="cs-CZ" w:bidi="cs-CZ"/>
      </w:rPr>
    </w:lvl>
    <w:lvl w:ilvl="8" w:tplc="4A10DDA6">
      <w:numFmt w:val="bullet"/>
      <w:lvlText w:val="•"/>
      <w:lvlJc w:val="left"/>
      <w:pPr>
        <w:ind w:left="3192" w:hanging="272"/>
      </w:pPr>
      <w:rPr>
        <w:rFonts w:hint="default"/>
        <w:lang w:val="cs-CZ" w:eastAsia="cs-CZ" w:bidi="cs-CZ"/>
      </w:rPr>
    </w:lvl>
  </w:abstractNum>
  <w:abstractNum w:abstractNumId="107" w15:restartNumberingAfterBreak="0">
    <w:nsid w:val="575F30B9"/>
    <w:multiLevelType w:val="hybridMultilevel"/>
    <w:tmpl w:val="D4264D90"/>
    <w:lvl w:ilvl="0" w:tplc="DAD6C80C">
      <w:start w:val="1"/>
      <w:numFmt w:val="lowerLetter"/>
      <w:lvlText w:val="%1"/>
      <w:lvlJc w:val="left"/>
      <w:pPr>
        <w:ind w:left="637" w:hanging="171"/>
        <w:jc w:val="right"/>
      </w:pPr>
      <w:rPr>
        <w:rFonts w:ascii="Arial" w:eastAsia="Arial" w:hAnsi="Arial" w:cs="Arial" w:hint="default"/>
        <w:color w:val="231F20"/>
        <w:w w:val="99"/>
        <w:sz w:val="15"/>
        <w:szCs w:val="15"/>
        <w:lang w:val="cs-CZ" w:eastAsia="cs-CZ" w:bidi="cs-CZ"/>
      </w:rPr>
    </w:lvl>
    <w:lvl w:ilvl="1" w:tplc="0FB28F24">
      <w:numFmt w:val="bullet"/>
      <w:lvlText w:val="•"/>
      <w:lvlJc w:val="left"/>
      <w:pPr>
        <w:ind w:left="1164" w:hanging="171"/>
      </w:pPr>
      <w:rPr>
        <w:rFonts w:hint="default"/>
        <w:lang w:val="cs-CZ" w:eastAsia="cs-CZ" w:bidi="cs-CZ"/>
      </w:rPr>
    </w:lvl>
    <w:lvl w:ilvl="2" w:tplc="F7A403B4">
      <w:numFmt w:val="bullet"/>
      <w:lvlText w:val="•"/>
      <w:lvlJc w:val="left"/>
      <w:pPr>
        <w:ind w:left="1688" w:hanging="171"/>
      </w:pPr>
      <w:rPr>
        <w:rFonts w:hint="default"/>
        <w:lang w:val="cs-CZ" w:eastAsia="cs-CZ" w:bidi="cs-CZ"/>
      </w:rPr>
    </w:lvl>
    <w:lvl w:ilvl="3" w:tplc="83723B6A">
      <w:numFmt w:val="bullet"/>
      <w:lvlText w:val="•"/>
      <w:lvlJc w:val="left"/>
      <w:pPr>
        <w:ind w:left="2213" w:hanging="171"/>
      </w:pPr>
      <w:rPr>
        <w:rFonts w:hint="default"/>
        <w:lang w:val="cs-CZ" w:eastAsia="cs-CZ" w:bidi="cs-CZ"/>
      </w:rPr>
    </w:lvl>
    <w:lvl w:ilvl="4" w:tplc="A61ADFC2">
      <w:numFmt w:val="bullet"/>
      <w:lvlText w:val="•"/>
      <w:lvlJc w:val="left"/>
      <w:pPr>
        <w:ind w:left="2737" w:hanging="171"/>
      </w:pPr>
      <w:rPr>
        <w:rFonts w:hint="default"/>
        <w:lang w:val="cs-CZ" w:eastAsia="cs-CZ" w:bidi="cs-CZ"/>
      </w:rPr>
    </w:lvl>
    <w:lvl w:ilvl="5" w:tplc="D346A92C">
      <w:numFmt w:val="bullet"/>
      <w:lvlText w:val="•"/>
      <w:lvlJc w:val="left"/>
      <w:pPr>
        <w:ind w:left="3261" w:hanging="171"/>
      </w:pPr>
      <w:rPr>
        <w:rFonts w:hint="default"/>
        <w:lang w:val="cs-CZ" w:eastAsia="cs-CZ" w:bidi="cs-CZ"/>
      </w:rPr>
    </w:lvl>
    <w:lvl w:ilvl="6" w:tplc="8BD266C2">
      <w:numFmt w:val="bullet"/>
      <w:lvlText w:val="•"/>
      <w:lvlJc w:val="left"/>
      <w:pPr>
        <w:ind w:left="3786" w:hanging="171"/>
      </w:pPr>
      <w:rPr>
        <w:rFonts w:hint="default"/>
        <w:lang w:val="cs-CZ" w:eastAsia="cs-CZ" w:bidi="cs-CZ"/>
      </w:rPr>
    </w:lvl>
    <w:lvl w:ilvl="7" w:tplc="AA621A50">
      <w:numFmt w:val="bullet"/>
      <w:lvlText w:val="•"/>
      <w:lvlJc w:val="left"/>
      <w:pPr>
        <w:ind w:left="4310" w:hanging="171"/>
      </w:pPr>
      <w:rPr>
        <w:rFonts w:hint="default"/>
        <w:lang w:val="cs-CZ" w:eastAsia="cs-CZ" w:bidi="cs-CZ"/>
      </w:rPr>
    </w:lvl>
    <w:lvl w:ilvl="8" w:tplc="D7A0C7FC">
      <w:numFmt w:val="bullet"/>
      <w:lvlText w:val="•"/>
      <w:lvlJc w:val="left"/>
      <w:pPr>
        <w:ind w:left="4834" w:hanging="171"/>
      </w:pPr>
      <w:rPr>
        <w:rFonts w:hint="default"/>
        <w:lang w:val="cs-CZ" w:eastAsia="cs-CZ" w:bidi="cs-CZ"/>
      </w:rPr>
    </w:lvl>
  </w:abstractNum>
  <w:abstractNum w:abstractNumId="108" w15:restartNumberingAfterBreak="0">
    <w:nsid w:val="57621971"/>
    <w:multiLevelType w:val="multilevel"/>
    <w:tmpl w:val="687246A8"/>
    <w:lvl w:ilvl="0">
      <w:start w:val="20"/>
      <w:numFmt w:val="decimal"/>
      <w:lvlText w:val="%1"/>
      <w:lvlJc w:val="left"/>
      <w:pPr>
        <w:ind w:left="685" w:hanging="568"/>
        <w:jc w:val="left"/>
      </w:pPr>
      <w:rPr>
        <w:rFonts w:hint="default"/>
        <w:lang w:val="cs-CZ" w:eastAsia="cs-CZ" w:bidi="cs-CZ"/>
      </w:rPr>
    </w:lvl>
    <w:lvl w:ilvl="1">
      <w:start w:val="1"/>
      <w:numFmt w:val="decimal"/>
      <w:lvlText w:val="%1.%2."/>
      <w:lvlJc w:val="left"/>
      <w:pPr>
        <w:ind w:left="685" w:hanging="568"/>
        <w:jc w:val="left"/>
      </w:pPr>
      <w:rPr>
        <w:rFonts w:ascii="Arial" w:eastAsia="Arial" w:hAnsi="Arial" w:cs="Arial" w:hint="default"/>
        <w:color w:val="231F20"/>
        <w:w w:val="99"/>
        <w:sz w:val="22"/>
        <w:szCs w:val="22"/>
        <w:lang w:val="cs-CZ" w:eastAsia="cs-CZ" w:bidi="cs-CZ"/>
      </w:rPr>
    </w:lvl>
    <w:lvl w:ilvl="2">
      <w:numFmt w:val="bullet"/>
      <w:lvlText w:val="•"/>
      <w:lvlJc w:val="left"/>
      <w:pPr>
        <w:ind w:left="2432" w:hanging="568"/>
      </w:pPr>
      <w:rPr>
        <w:rFonts w:hint="default"/>
        <w:lang w:val="cs-CZ" w:eastAsia="cs-CZ" w:bidi="cs-CZ"/>
      </w:rPr>
    </w:lvl>
    <w:lvl w:ilvl="3">
      <w:numFmt w:val="bullet"/>
      <w:lvlText w:val="•"/>
      <w:lvlJc w:val="left"/>
      <w:pPr>
        <w:ind w:left="3308" w:hanging="568"/>
      </w:pPr>
      <w:rPr>
        <w:rFonts w:hint="default"/>
        <w:lang w:val="cs-CZ" w:eastAsia="cs-CZ" w:bidi="cs-CZ"/>
      </w:rPr>
    </w:lvl>
    <w:lvl w:ilvl="4">
      <w:numFmt w:val="bullet"/>
      <w:lvlText w:val="•"/>
      <w:lvlJc w:val="left"/>
      <w:pPr>
        <w:ind w:left="4184" w:hanging="568"/>
      </w:pPr>
      <w:rPr>
        <w:rFonts w:hint="default"/>
        <w:lang w:val="cs-CZ" w:eastAsia="cs-CZ" w:bidi="cs-CZ"/>
      </w:rPr>
    </w:lvl>
    <w:lvl w:ilvl="5">
      <w:numFmt w:val="bullet"/>
      <w:lvlText w:val="•"/>
      <w:lvlJc w:val="left"/>
      <w:pPr>
        <w:ind w:left="5060" w:hanging="568"/>
      </w:pPr>
      <w:rPr>
        <w:rFonts w:hint="default"/>
        <w:lang w:val="cs-CZ" w:eastAsia="cs-CZ" w:bidi="cs-CZ"/>
      </w:rPr>
    </w:lvl>
    <w:lvl w:ilvl="6">
      <w:numFmt w:val="bullet"/>
      <w:lvlText w:val="•"/>
      <w:lvlJc w:val="left"/>
      <w:pPr>
        <w:ind w:left="5936" w:hanging="568"/>
      </w:pPr>
      <w:rPr>
        <w:rFonts w:hint="default"/>
        <w:lang w:val="cs-CZ" w:eastAsia="cs-CZ" w:bidi="cs-CZ"/>
      </w:rPr>
    </w:lvl>
    <w:lvl w:ilvl="7">
      <w:numFmt w:val="bullet"/>
      <w:lvlText w:val="•"/>
      <w:lvlJc w:val="left"/>
      <w:pPr>
        <w:ind w:left="6812" w:hanging="568"/>
      </w:pPr>
      <w:rPr>
        <w:rFonts w:hint="default"/>
        <w:lang w:val="cs-CZ" w:eastAsia="cs-CZ" w:bidi="cs-CZ"/>
      </w:rPr>
    </w:lvl>
    <w:lvl w:ilvl="8">
      <w:numFmt w:val="bullet"/>
      <w:lvlText w:val="•"/>
      <w:lvlJc w:val="left"/>
      <w:pPr>
        <w:ind w:left="7688" w:hanging="568"/>
      </w:pPr>
      <w:rPr>
        <w:rFonts w:hint="default"/>
        <w:lang w:val="cs-CZ" w:eastAsia="cs-CZ" w:bidi="cs-CZ"/>
      </w:rPr>
    </w:lvl>
  </w:abstractNum>
  <w:abstractNum w:abstractNumId="109" w15:restartNumberingAfterBreak="0">
    <w:nsid w:val="58B97894"/>
    <w:multiLevelType w:val="hybridMultilevel"/>
    <w:tmpl w:val="13D2E1CE"/>
    <w:lvl w:ilvl="0" w:tplc="18C6EB46">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9D7AEFE4">
      <w:numFmt w:val="bullet"/>
      <w:lvlText w:val="•"/>
      <w:lvlJc w:val="left"/>
      <w:pPr>
        <w:ind w:left="1362" w:hanging="171"/>
      </w:pPr>
      <w:rPr>
        <w:rFonts w:hint="default"/>
        <w:lang w:val="cs-CZ" w:eastAsia="cs-CZ" w:bidi="cs-CZ"/>
      </w:rPr>
    </w:lvl>
    <w:lvl w:ilvl="2" w:tplc="ABBA7A5E">
      <w:numFmt w:val="bullet"/>
      <w:lvlText w:val="•"/>
      <w:lvlJc w:val="left"/>
      <w:pPr>
        <w:ind w:left="1844" w:hanging="171"/>
      </w:pPr>
      <w:rPr>
        <w:rFonts w:hint="default"/>
        <w:lang w:val="cs-CZ" w:eastAsia="cs-CZ" w:bidi="cs-CZ"/>
      </w:rPr>
    </w:lvl>
    <w:lvl w:ilvl="3" w:tplc="FEC8DB54">
      <w:numFmt w:val="bullet"/>
      <w:lvlText w:val="•"/>
      <w:lvlJc w:val="left"/>
      <w:pPr>
        <w:ind w:left="2326" w:hanging="171"/>
      </w:pPr>
      <w:rPr>
        <w:rFonts w:hint="default"/>
        <w:lang w:val="cs-CZ" w:eastAsia="cs-CZ" w:bidi="cs-CZ"/>
      </w:rPr>
    </w:lvl>
    <w:lvl w:ilvl="4" w:tplc="AACE492E">
      <w:numFmt w:val="bullet"/>
      <w:lvlText w:val="•"/>
      <w:lvlJc w:val="left"/>
      <w:pPr>
        <w:ind w:left="2808" w:hanging="171"/>
      </w:pPr>
      <w:rPr>
        <w:rFonts w:hint="default"/>
        <w:lang w:val="cs-CZ" w:eastAsia="cs-CZ" w:bidi="cs-CZ"/>
      </w:rPr>
    </w:lvl>
    <w:lvl w:ilvl="5" w:tplc="F48C5976">
      <w:numFmt w:val="bullet"/>
      <w:lvlText w:val="•"/>
      <w:lvlJc w:val="left"/>
      <w:pPr>
        <w:ind w:left="3290" w:hanging="171"/>
      </w:pPr>
      <w:rPr>
        <w:rFonts w:hint="default"/>
        <w:lang w:val="cs-CZ" w:eastAsia="cs-CZ" w:bidi="cs-CZ"/>
      </w:rPr>
    </w:lvl>
    <w:lvl w:ilvl="6" w:tplc="55BC9864">
      <w:numFmt w:val="bullet"/>
      <w:lvlText w:val="•"/>
      <w:lvlJc w:val="left"/>
      <w:pPr>
        <w:ind w:left="3772" w:hanging="171"/>
      </w:pPr>
      <w:rPr>
        <w:rFonts w:hint="default"/>
        <w:lang w:val="cs-CZ" w:eastAsia="cs-CZ" w:bidi="cs-CZ"/>
      </w:rPr>
    </w:lvl>
    <w:lvl w:ilvl="7" w:tplc="B82E36C4">
      <w:numFmt w:val="bullet"/>
      <w:lvlText w:val="•"/>
      <w:lvlJc w:val="left"/>
      <w:pPr>
        <w:ind w:left="4254" w:hanging="171"/>
      </w:pPr>
      <w:rPr>
        <w:rFonts w:hint="default"/>
        <w:lang w:val="cs-CZ" w:eastAsia="cs-CZ" w:bidi="cs-CZ"/>
      </w:rPr>
    </w:lvl>
    <w:lvl w:ilvl="8" w:tplc="44DCFF9A">
      <w:numFmt w:val="bullet"/>
      <w:lvlText w:val="•"/>
      <w:lvlJc w:val="left"/>
      <w:pPr>
        <w:ind w:left="4736" w:hanging="171"/>
      </w:pPr>
      <w:rPr>
        <w:rFonts w:hint="default"/>
        <w:lang w:val="cs-CZ" w:eastAsia="cs-CZ" w:bidi="cs-CZ"/>
      </w:rPr>
    </w:lvl>
  </w:abstractNum>
  <w:abstractNum w:abstractNumId="110" w15:restartNumberingAfterBreak="0">
    <w:nsid w:val="58C96BDB"/>
    <w:multiLevelType w:val="hybridMultilevel"/>
    <w:tmpl w:val="034003B8"/>
    <w:lvl w:ilvl="0" w:tplc="20B6586A">
      <w:start w:val="297"/>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57C21896">
      <w:numFmt w:val="bullet"/>
      <w:lvlText w:val="•"/>
      <w:lvlJc w:val="left"/>
      <w:pPr>
        <w:ind w:left="727" w:hanging="272"/>
      </w:pPr>
      <w:rPr>
        <w:rFonts w:hint="default"/>
        <w:lang w:val="cs-CZ" w:eastAsia="cs-CZ" w:bidi="cs-CZ"/>
      </w:rPr>
    </w:lvl>
    <w:lvl w:ilvl="2" w:tplc="BC7A4030">
      <w:numFmt w:val="bullet"/>
      <w:lvlText w:val="•"/>
      <w:lvlJc w:val="left"/>
      <w:pPr>
        <w:ind w:left="994" w:hanging="272"/>
      </w:pPr>
      <w:rPr>
        <w:rFonts w:hint="default"/>
        <w:lang w:val="cs-CZ" w:eastAsia="cs-CZ" w:bidi="cs-CZ"/>
      </w:rPr>
    </w:lvl>
    <w:lvl w:ilvl="3" w:tplc="CF00B682">
      <w:numFmt w:val="bullet"/>
      <w:lvlText w:val="•"/>
      <w:lvlJc w:val="left"/>
      <w:pPr>
        <w:ind w:left="1261" w:hanging="272"/>
      </w:pPr>
      <w:rPr>
        <w:rFonts w:hint="default"/>
        <w:lang w:val="cs-CZ" w:eastAsia="cs-CZ" w:bidi="cs-CZ"/>
      </w:rPr>
    </w:lvl>
    <w:lvl w:ilvl="4" w:tplc="2EC6D5B8">
      <w:numFmt w:val="bullet"/>
      <w:lvlText w:val="•"/>
      <w:lvlJc w:val="left"/>
      <w:pPr>
        <w:ind w:left="1528" w:hanging="272"/>
      </w:pPr>
      <w:rPr>
        <w:rFonts w:hint="default"/>
        <w:lang w:val="cs-CZ" w:eastAsia="cs-CZ" w:bidi="cs-CZ"/>
      </w:rPr>
    </w:lvl>
    <w:lvl w:ilvl="5" w:tplc="6C544E76">
      <w:numFmt w:val="bullet"/>
      <w:lvlText w:val="•"/>
      <w:lvlJc w:val="left"/>
      <w:pPr>
        <w:ind w:left="1795" w:hanging="272"/>
      </w:pPr>
      <w:rPr>
        <w:rFonts w:hint="default"/>
        <w:lang w:val="cs-CZ" w:eastAsia="cs-CZ" w:bidi="cs-CZ"/>
      </w:rPr>
    </w:lvl>
    <w:lvl w:ilvl="6" w:tplc="91FE53CE">
      <w:numFmt w:val="bullet"/>
      <w:lvlText w:val="•"/>
      <w:lvlJc w:val="left"/>
      <w:pPr>
        <w:ind w:left="2062" w:hanging="272"/>
      </w:pPr>
      <w:rPr>
        <w:rFonts w:hint="default"/>
        <w:lang w:val="cs-CZ" w:eastAsia="cs-CZ" w:bidi="cs-CZ"/>
      </w:rPr>
    </w:lvl>
    <w:lvl w:ilvl="7" w:tplc="98824E9C">
      <w:numFmt w:val="bullet"/>
      <w:lvlText w:val="•"/>
      <w:lvlJc w:val="left"/>
      <w:pPr>
        <w:ind w:left="2329" w:hanging="272"/>
      </w:pPr>
      <w:rPr>
        <w:rFonts w:hint="default"/>
        <w:lang w:val="cs-CZ" w:eastAsia="cs-CZ" w:bidi="cs-CZ"/>
      </w:rPr>
    </w:lvl>
    <w:lvl w:ilvl="8" w:tplc="0AC46802">
      <w:numFmt w:val="bullet"/>
      <w:lvlText w:val="•"/>
      <w:lvlJc w:val="left"/>
      <w:pPr>
        <w:ind w:left="2597" w:hanging="272"/>
      </w:pPr>
      <w:rPr>
        <w:rFonts w:hint="default"/>
        <w:lang w:val="cs-CZ" w:eastAsia="cs-CZ" w:bidi="cs-CZ"/>
      </w:rPr>
    </w:lvl>
  </w:abstractNum>
  <w:abstractNum w:abstractNumId="111" w15:restartNumberingAfterBreak="0">
    <w:nsid w:val="5A3E3E0E"/>
    <w:multiLevelType w:val="hybridMultilevel"/>
    <w:tmpl w:val="9AE83654"/>
    <w:lvl w:ilvl="0" w:tplc="93162EA8">
      <w:start w:val="1"/>
      <w:numFmt w:val="lowerLetter"/>
      <w:lvlText w:val="%1"/>
      <w:lvlJc w:val="left"/>
      <w:pPr>
        <w:ind w:left="880" w:hanging="171"/>
        <w:jc w:val="right"/>
      </w:pPr>
      <w:rPr>
        <w:rFonts w:ascii="Arial" w:eastAsia="Arial" w:hAnsi="Arial" w:cs="Arial" w:hint="default"/>
        <w:color w:val="231F20"/>
        <w:w w:val="99"/>
        <w:sz w:val="15"/>
        <w:szCs w:val="15"/>
        <w:lang w:val="cs-CZ" w:eastAsia="cs-CZ" w:bidi="cs-CZ"/>
      </w:rPr>
    </w:lvl>
    <w:lvl w:ilvl="1" w:tplc="53FE95C2">
      <w:numFmt w:val="bullet"/>
      <w:lvlText w:val="•"/>
      <w:lvlJc w:val="left"/>
      <w:pPr>
        <w:ind w:left="1362" w:hanging="171"/>
      </w:pPr>
      <w:rPr>
        <w:rFonts w:hint="default"/>
        <w:lang w:val="cs-CZ" w:eastAsia="cs-CZ" w:bidi="cs-CZ"/>
      </w:rPr>
    </w:lvl>
    <w:lvl w:ilvl="2" w:tplc="C426748E">
      <w:numFmt w:val="bullet"/>
      <w:lvlText w:val="•"/>
      <w:lvlJc w:val="left"/>
      <w:pPr>
        <w:ind w:left="1844" w:hanging="171"/>
      </w:pPr>
      <w:rPr>
        <w:rFonts w:hint="default"/>
        <w:lang w:val="cs-CZ" w:eastAsia="cs-CZ" w:bidi="cs-CZ"/>
      </w:rPr>
    </w:lvl>
    <w:lvl w:ilvl="3" w:tplc="F0B25CEC">
      <w:numFmt w:val="bullet"/>
      <w:lvlText w:val="•"/>
      <w:lvlJc w:val="left"/>
      <w:pPr>
        <w:ind w:left="2326" w:hanging="171"/>
      </w:pPr>
      <w:rPr>
        <w:rFonts w:hint="default"/>
        <w:lang w:val="cs-CZ" w:eastAsia="cs-CZ" w:bidi="cs-CZ"/>
      </w:rPr>
    </w:lvl>
    <w:lvl w:ilvl="4" w:tplc="2C4226AC">
      <w:numFmt w:val="bullet"/>
      <w:lvlText w:val="•"/>
      <w:lvlJc w:val="left"/>
      <w:pPr>
        <w:ind w:left="2808" w:hanging="171"/>
      </w:pPr>
      <w:rPr>
        <w:rFonts w:hint="default"/>
        <w:lang w:val="cs-CZ" w:eastAsia="cs-CZ" w:bidi="cs-CZ"/>
      </w:rPr>
    </w:lvl>
    <w:lvl w:ilvl="5" w:tplc="EF6A69D4">
      <w:numFmt w:val="bullet"/>
      <w:lvlText w:val="•"/>
      <w:lvlJc w:val="left"/>
      <w:pPr>
        <w:ind w:left="3290" w:hanging="171"/>
      </w:pPr>
      <w:rPr>
        <w:rFonts w:hint="default"/>
        <w:lang w:val="cs-CZ" w:eastAsia="cs-CZ" w:bidi="cs-CZ"/>
      </w:rPr>
    </w:lvl>
    <w:lvl w:ilvl="6" w:tplc="413A9C34">
      <w:numFmt w:val="bullet"/>
      <w:lvlText w:val="•"/>
      <w:lvlJc w:val="left"/>
      <w:pPr>
        <w:ind w:left="3772" w:hanging="171"/>
      </w:pPr>
      <w:rPr>
        <w:rFonts w:hint="default"/>
        <w:lang w:val="cs-CZ" w:eastAsia="cs-CZ" w:bidi="cs-CZ"/>
      </w:rPr>
    </w:lvl>
    <w:lvl w:ilvl="7" w:tplc="EAAC59C6">
      <w:numFmt w:val="bullet"/>
      <w:lvlText w:val="•"/>
      <w:lvlJc w:val="left"/>
      <w:pPr>
        <w:ind w:left="4254" w:hanging="171"/>
      </w:pPr>
      <w:rPr>
        <w:rFonts w:hint="default"/>
        <w:lang w:val="cs-CZ" w:eastAsia="cs-CZ" w:bidi="cs-CZ"/>
      </w:rPr>
    </w:lvl>
    <w:lvl w:ilvl="8" w:tplc="89C49864">
      <w:numFmt w:val="bullet"/>
      <w:lvlText w:val="•"/>
      <w:lvlJc w:val="left"/>
      <w:pPr>
        <w:ind w:left="4736" w:hanging="171"/>
      </w:pPr>
      <w:rPr>
        <w:rFonts w:hint="default"/>
        <w:lang w:val="cs-CZ" w:eastAsia="cs-CZ" w:bidi="cs-CZ"/>
      </w:rPr>
    </w:lvl>
  </w:abstractNum>
  <w:abstractNum w:abstractNumId="112" w15:restartNumberingAfterBreak="0">
    <w:nsid w:val="5A6063AA"/>
    <w:multiLevelType w:val="hybridMultilevel"/>
    <w:tmpl w:val="82B6E7C0"/>
    <w:lvl w:ilvl="0" w:tplc="548A81F0">
      <w:start w:val="1"/>
      <w:numFmt w:val="lowerLetter"/>
      <w:lvlText w:val="%1"/>
      <w:lvlJc w:val="left"/>
      <w:pPr>
        <w:ind w:left="639" w:hanging="171"/>
        <w:jc w:val="left"/>
      </w:pPr>
      <w:rPr>
        <w:rFonts w:ascii="Arial" w:eastAsia="Arial" w:hAnsi="Arial" w:cs="Arial" w:hint="default"/>
        <w:color w:val="231F20"/>
        <w:w w:val="99"/>
        <w:sz w:val="15"/>
        <w:szCs w:val="15"/>
        <w:lang w:val="cs-CZ" w:eastAsia="cs-CZ" w:bidi="cs-CZ"/>
      </w:rPr>
    </w:lvl>
    <w:lvl w:ilvl="1" w:tplc="3EEAEC20">
      <w:numFmt w:val="bullet"/>
      <w:lvlText w:val="•"/>
      <w:lvlJc w:val="left"/>
      <w:pPr>
        <w:ind w:left="1164" w:hanging="171"/>
      </w:pPr>
      <w:rPr>
        <w:rFonts w:hint="default"/>
        <w:lang w:val="cs-CZ" w:eastAsia="cs-CZ" w:bidi="cs-CZ"/>
      </w:rPr>
    </w:lvl>
    <w:lvl w:ilvl="2" w:tplc="42E0F494">
      <w:numFmt w:val="bullet"/>
      <w:lvlText w:val="•"/>
      <w:lvlJc w:val="left"/>
      <w:pPr>
        <w:ind w:left="1689" w:hanging="171"/>
      </w:pPr>
      <w:rPr>
        <w:rFonts w:hint="default"/>
        <w:lang w:val="cs-CZ" w:eastAsia="cs-CZ" w:bidi="cs-CZ"/>
      </w:rPr>
    </w:lvl>
    <w:lvl w:ilvl="3" w:tplc="63EE156E">
      <w:numFmt w:val="bullet"/>
      <w:lvlText w:val="•"/>
      <w:lvlJc w:val="left"/>
      <w:pPr>
        <w:ind w:left="2213" w:hanging="171"/>
      </w:pPr>
      <w:rPr>
        <w:rFonts w:hint="default"/>
        <w:lang w:val="cs-CZ" w:eastAsia="cs-CZ" w:bidi="cs-CZ"/>
      </w:rPr>
    </w:lvl>
    <w:lvl w:ilvl="4" w:tplc="8A22A776">
      <w:numFmt w:val="bullet"/>
      <w:lvlText w:val="•"/>
      <w:lvlJc w:val="left"/>
      <w:pPr>
        <w:ind w:left="2738" w:hanging="171"/>
      </w:pPr>
      <w:rPr>
        <w:rFonts w:hint="default"/>
        <w:lang w:val="cs-CZ" w:eastAsia="cs-CZ" w:bidi="cs-CZ"/>
      </w:rPr>
    </w:lvl>
    <w:lvl w:ilvl="5" w:tplc="D9901084">
      <w:numFmt w:val="bullet"/>
      <w:lvlText w:val="•"/>
      <w:lvlJc w:val="left"/>
      <w:pPr>
        <w:ind w:left="3262" w:hanging="171"/>
      </w:pPr>
      <w:rPr>
        <w:rFonts w:hint="default"/>
        <w:lang w:val="cs-CZ" w:eastAsia="cs-CZ" w:bidi="cs-CZ"/>
      </w:rPr>
    </w:lvl>
    <w:lvl w:ilvl="6" w:tplc="D33E8874">
      <w:numFmt w:val="bullet"/>
      <w:lvlText w:val="•"/>
      <w:lvlJc w:val="left"/>
      <w:pPr>
        <w:ind w:left="3787" w:hanging="171"/>
      </w:pPr>
      <w:rPr>
        <w:rFonts w:hint="default"/>
        <w:lang w:val="cs-CZ" w:eastAsia="cs-CZ" w:bidi="cs-CZ"/>
      </w:rPr>
    </w:lvl>
    <w:lvl w:ilvl="7" w:tplc="43441D40">
      <w:numFmt w:val="bullet"/>
      <w:lvlText w:val="•"/>
      <w:lvlJc w:val="left"/>
      <w:pPr>
        <w:ind w:left="4311" w:hanging="171"/>
      </w:pPr>
      <w:rPr>
        <w:rFonts w:hint="default"/>
        <w:lang w:val="cs-CZ" w:eastAsia="cs-CZ" w:bidi="cs-CZ"/>
      </w:rPr>
    </w:lvl>
    <w:lvl w:ilvl="8" w:tplc="752E0046">
      <w:numFmt w:val="bullet"/>
      <w:lvlText w:val="•"/>
      <w:lvlJc w:val="left"/>
      <w:pPr>
        <w:ind w:left="4836" w:hanging="171"/>
      </w:pPr>
      <w:rPr>
        <w:rFonts w:hint="default"/>
        <w:lang w:val="cs-CZ" w:eastAsia="cs-CZ" w:bidi="cs-CZ"/>
      </w:rPr>
    </w:lvl>
  </w:abstractNum>
  <w:abstractNum w:abstractNumId="113" w15:restartNumberingAfterBreak="0">
    <w:nsid w:val="5B273485"/>
    <w:multiLevelType w:val="hybridMultilevel"/>
    <w:tmpl w:val="12B27D0C"/>
    <w:lvl w:ilvl="0" w:tplc="BD527938">
      <w:start w:val="294"/>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C548150C">
      <w:numFmt w:val="bullet"/>
      <w:lvlText w:val="•"/>
      <w:lvlJc w:val="left"/>
      <w:pPr>
        <w:ind w:left="702" w:hanging="272"/>
      </w:pPr>
      <w:rPr>
        <w:rFonts w:hint="default"/>
        <w:lang w:val="cs-CZ" w:eastAsia="cs-CZ" w:bidi="cs-CZ"/>
      </w:rPr>
    </w:lvl>
    <w:lvl w:ilvl="2" w:tplc="C52C9BA6">
      <w:numFmt w:val="bullet"/>
      <w:lvlText w:val="•"/>
      <w:lvlJc w:val="left"/>
      <w:pPr>
        <w:ind w:left="945" w:hanging="272"/>
      </w:pPr>
      <w:rPr>
        <w:rFonts w:hint="default"/>
        <w:lang w:val="cs-CZ" w:eastAsia="cs-CZ" w:bidi="cs-CZ"/>
      </w:rPr>
    </w:lvl>
    <w:lvl w:ilvl="3" w:tplc="AEB628FA">
      <w:numFmt w:val="bullet"/>
      <w:lvlText w:val="•"/>
      <w:lvlJc w:val="left"/>
      <w:pPr>
        <w:ind w:left="1188" w:hanging="272"/>
      </w:pPr>
      <w:rPr>
        <w:rFonts w:hint="default"/>
        <w:lang w:val="cs-CZ" w:eastAsia="cs-CZ" w:bidi="cs-CZ"/>
      </w:rPr>
    </w:lvl>
    <w:lvl w:ilvl="4" w:tplc="85A47622">
      <w:numFmt w:val="bullet"/>
      <w:lvlText w:val="•"/>
      <w:lvlJc w:val="left"/>
      <w:pPr>
        <w:ind w:left="1431" w:hanging="272"/>
      </w:pPr>
      <w:rPr>
        <w:rFonts w:hint="default"/>
        <w:lang w:val="cs-CZ" w:eastAsia="cs-CZ" w:bidi="cs-CZ"/>
      </w:rPr>
    </w:lvl>
    <w:lvl w:ilvl="5" w:tplc="9B741666">
      <w:numFmt w:val="bullet"/>
      <w:lvlText w:val="•"/>
      <w:lvlJc w:val="left"/>
      <w:pPr>
        <w:ind w:left="1674" w:hanging="272"/>
      </w:pPr>
      <w:rPr>
        <w:rFonts w:hint="default"/>
        <w:lang w:val="cs-CZ" w:eastAsia="cs-CZ" w:bidi="cs-CZ"/>
      </w:rPr>
    </w:lvl>
    <w:lvl w:ilvl="6" w:tplc="8F3A1B46">
      <w:numFmt w:val="bullet"/>
      <w:lvlText w:val="•"/>
      <w:lvlJc w:val="left"/>
      <w:pPr>
        <w:ind w:left="1917" w:hanging="272"/>
      </w:pPr>
      <w:rPr>
        <w:rFonts w:hint="default"/>
        <w:lang w:val="cs-CZ" w:eastAsia="cs-CZ" w:bidi="cs-CZ"/>
      </w:rPr>
    </w:lvl>
    <w:lvl w:ilvl="7" w:tplc="9940A612">
      <w:numFmt w:val="bullet"/>
      <w:lvlText w:val="•"/>
      <w:lvlJc w:val="left"/>
      <w:pPr>
        <w:ind w:left="2160" w:hanging="272"/>
      </w:pPr>
      <w:rPr>
        <w:rFonts w:hint="default"/>
        <w:lang w:val="cs-CZ" w:eastAsia="cs-CZ" w:bidi="cs-CZ"/>
      </w:rPr>
    </w:lvl>
    <w:lvl w:ilvl="8" w:tplc="84E4AF14">
      <w:numFmt w:val="bullet"/>
      <w:lvlText w:val="•"/>
      <w:lvlJc w:val="left"/>
      <w:pPr>
        <w:ind w:left="2403" w:hanging="272"/>
      </w:pPr>
      <w:rPr>
        <w:rFonts w:hint="default"/>
        <w:lang w:val="cs-CZ" w:eastAsia="cs-CZ" w:bidi="cs-CZ"/>
      </w:rPr>
    </w:lvl>
  </w:abstractNum>
  <w:abstractNum w:abstractNumId="114" w15:restartNumberingAfterBreak="0">
    <w:nsid w:val="5C183BC7"/>
    <w:multiLevelType w:val="hybridMultilevel"/>
    <w:tmpl w:val="DD78BFA8"/>
    <w:lvl w:ilvl="0" w:tplc="223CAEEE">
      <w:start w:val="78"/>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589CDB02">
      <w:numFmt w:val="bullet"/>
      <w:lvlText w:val="•"/>
      <w:lvlJc w:val="left"/>
      <w:pPr>
        <w:ind w:left="713" w:hanging="272"/>
      </w:pPr>
      <w:rPr>
        <w:rFonts w:hint="default"/>
        <w:lang w:val="cs-CZ" w:eastAsia="cs-CZ" w:bidi="cs-CZ"/>
      </w:rPr>
    </w:lvl>
    <w:lvl w:ilvl="2" w:tplc="9E7A490A">
      <w:numFmt w:val="bullet"/>
      <w:lvlText w:val="•"/>
      <w:lvlJc w:val="left"/>
      <w:pPr>
        <w:ind w:left="966" w:hanging="272"/>
      </w:pPr>
      <w:rPr>
        <w:rFonts w:hint="default"/>
        <w:lang w:val="cs-CZ" w:eastAsia="cs-CZ" w:bidi="cs-CZ"/>
      </w:rPr>
    </w:lvl>
    <w:lvl w:ilvl="3" w:tplc="618ED90C">
      <w:numFmt w:val="bullet"/>
      <w:lvlText w:val="•"/>
      <w:lvlJc w:val="left"/>
      <w:pPr>
        <w:ind w:left="1219" w:hanging="272"/>
      </w:pPr>
      <w:rPr>
        <w:rFonts w:hint="default"/>
        <w:lang w:val="cs-CZ" w:eastAsia="cs-CZ" w:bidi="cs-CZ"/>
      </w:rPr>
    </w:lvl>
    <w:lvl w:ilvl="4" w:tplc="642A0D5A">
      <w:numFmt w:val="bullet"/>
      <w:lvlText w:val="•"/>
      <w:lvlJc w:val="left"/>
      <w:pPr>
        <w:ind w:left="1472" w:hanging="272"/>
      </w:pPr>
      <w:rPr>
        <w:rFonts w:hint="default"/>
        <w:lang w:val="cs-CZ" w:eastAsia="cs-CZ" w:bidi="cs-CZ"/>
      </w:rPr>
    </w:lvl>
    <w:lvl w:ilvl="5" w:tplc="830E29CA">
      <w:numFmt w:val="bullet"/>
      <w:lvlText w:val="•"/>
      <w:lvlJc w:val="left"/>
      <w:pPr>
        <w:ind w:left="1726" w:hanging="272"/>
      </w:pPr>
      <w:rPr>
        <w:rFonts w:hint="default"/>
        <w:lang w:val="cs-CZ" w:eastAsia="cs-CZ" w:bidi="cs-CZ"/>
      </w:rPr>
    </w:lvl>
    <w:lvl w:ilvl="6" w:tplc="81668906">
      <w:numFmt w:val="bullet"/>
      <w:lvlText w:val="•"/>
      <w:lvlJc w:val="left"/>
      <w:pPr>
        <w:ind w:left="1979" w:hanging="272"/>
      </w:pPr>
      <w:rPr>
        <w:rFonts w:hint="default"/>
        <w:lang w:val="cs-CZ" w:eastAsia="cs-CZ" w:bidi="cs-CZ"/>
      </w:rPr>
    </w:lvl>
    <w:lvl w:ilvl="7" w:tplc="49A21EAA">
      <w:numFmt w:val="bullet"/>
      <w:lvlText w:val="•"/>
      <w:lvlJc w:val="left"/>
      <w:pPr>
        <w:ind w:left="2232" w:hanging="272"/>
      </w:pPr>
      <w:rPr>
        <w:rFonts w:hint="default"/>
        <w:lang w:val="cs-CZ" w:eastAsia="cs-CZ" w:bidi="cs-CZ"/>
      </w:rPr>
    </w:lvl>
    <w:lvl w:ilvl="8" w:tplc="E0769D54">
      <w:numFmt w:val="bullet"/>
      <w:lvlText w:val="•"/>
      <w:lvlJc w:val="left"/>
      <w:pPr>
        <w:ind w:left="2485" w:hanging="272"/>
      </w:pPr>
      <w:rPr>
        <w:rFonts w:hint="default"/>
        <w:lang w:val="cs-CZ" w:eastAsia="cs-CZ" w:bidi="cs-CZ"/>
      </w:rPr>
    </w:lvl>
  </w:abstractNum>
  <w:abstractNum w:abstractNumId="115" w15:restartNumberingAfterBreak="0">
    <w:nsid w:val="5CCD5E61"/>
    <w:multiLevelType w:val="hybridMultilevel"/>
    <w:tmpl w:val="DD908CEC"/>
    <w:lvl w:ilvl="0" w:tplc="E3608B66">
      <w:start w:val="1"/>
      <w:numFmt w:val="lowerLetter"/>
      <w:lvlText w:val="%1"/>
      <w:lvlJc w:val="left"/>
      <w:pPr>
        <w:ind w:left="634" w:hanging="171"/>
        <w:jc w:val="left"/>
      </w:pPr>
      <w:rPr>
        <w:rFonts w:ascii="Arial" w:eastAsia="Arial" w:hAnsi="Arial" w:cs="Arial" w:hint="default"/>
        <w:color w:val="231F20"/>
        <w:w w:val="99"/>
        <w:sz w:val="15"/>
        <w:szCs w:val="15"/>
        <w:lang w:val="cs-CZ" w:eastAsia="cs-CZ" w:bidi="cs-CZ"/>
      </w:rPr>
    </w:lvl>
    <w:lvl w:ilvl="1" w:tplc="2B8CF1F6">
      <w:numFmt w:val="bullet"/>
      <w:lvlText w:val="•"/>
      <w:lvlJc w:val="left"/>
      <w:pPr>
        <w:ind w:left="1164" w:hanging="171"/>
      </w:pPr>
      <w:rPr>
        <w:rFonts w:hint="default"/>
        <w:lang w:val="cs-CZ" w:eastAsia="cs-CZ" w:bidi="cs-CZ"/>
      </w:rPr>
    </w:lvl>
    <w:lvl w:ilvl="2" w:tplc="2BB893F4">
      <w:numFmt w:val="bullet"/>
      <w:lvlText w:val="•"/>
      <w:lvlJc w:val="left"/>
      <w:pPr>
        <w:ind w:left="1688" w:hanging="171"/>
      </w:pPr>
      <w:rPr>
        <w:rFonts w:hint="default"/>
        <w:lang w:val="cs-CZ" w:eastAsia="cs-CZ" w:bidi="cs-CZ"/>
      </w:rPr>
    </w:lvl>
    <w:lvl w:ilvl="3" w:tplc="8C4CD214">
      <w:numFmt w:val="bullet"/>
      <w:lvlText w:val="•"/>
      <w:lvlJc w:val="left"/>
      <w:pPr>
        <w:ind w:left="2212" w:hanging="171"/>
      </w:pPr>
      <w:rPr>
        <w:rFonts w:hint="default"/>
        <w:lang w:val="cs-CZ" w:eastAsia="cs-CZ" w:bidi="cs-CZ"/>
      </w:rPr>
    </w:lvl>
    <w:lvl w:ilvl="4" w:tplc="00EA5ABE">
      <w:numFmt w:val="bullet"/>
      <w:lvlText w:val="•"/>
      <w:lvlJc w:val="left"/>
      <w:pPr>
        <w:ind w:left="2736" w:hanging="171"/>
      </w:pPr>
      <w:rPr>
        <w:rFonts w:hint="default"/>
        <w:lang w:val="cs-CZ" w:eastAsia="cs-CZ" w:bidi="cs-CZ"/>
      </w:rPr>
    </w:lvl>
    <w:lvl w:ilvl="5" w:tplc="C80E738C">
      <w:numFmt w:val="bullet"/>
      <w:lvlText w:val="•"/>
      <w:lvlJc w:val="left"/>
      <w:pPr>
        <w:ind w:left="3260" w:hanging="171"/>
      </w:pPr>
      <w:rPr>
        <w:rFonts w:hint="default"/>
        <w:lang w:val="cs-CZ" w:eastAsia="cs-CZ" w:bidi="cs-CZ"/>
      </w:rPr>
    </w:lvl>
    <w:lvl w:ilvl="6" w:tplc="579EC204">
      <w:numFmt w:val="bullet"/>
      <w:lvlText w:val="•"/>
      <w:lvlJc w:val="left"/>
      <w:pPr>
        <w:ind w:left="3784" w:hanging="171"/>
      </w:pPr>
      <w:rPr>
        <w:rFonts w:hint="default"/>
        <w:lang w:val="cs-CZ" w:eastAsia="cs-CZ" w:bidi="cs-CZ"/>
      </w:rPr>
    </w:lvl>
    <w:lvl w:ilvl="7" w:tplc="C6C642AC">
      <w:numFmt w:val="bullet"/>
      <w:lvlText w:val="•"/>
      <w:lvlJc w:val="left"/>
      <w:pPr>
        <w:ind w:left="4308" w:hanging="171"/>
      </w:pPr>
      <w:rPr>
        <w:rFonts w:hint="default"/>
        <w:lang w:val="cs-CZ" w:eastAsia="cs-CZ" w:bidi="cs-CZ"/>
      </w:rPr>
    </w:lvl>
    <w:lvl w:ilvl="8" w:tplc="4F445BFC">
      <w:numFmt w:val="bullet"/>
      <w:lvlText w:val="•"/>
      <w:lvlJc w:val="left"/>
      <w:pPr>
        <w:ind w:left="4832" w:hanging="171"/>
      </w:pPr>
      <w:rPr>
        <w:rFonts w:hint="default"/>
        <w:lang w:val="cs-CZ" w:eastAsia="cs-CZ" w:bidi="cs-CZ"/>
      </w:rPr>
    </w:lvl>
  </w:abstractNum>
  <w:abstractNum w:abstractNumId="116" w15:restartNumberingAfterBreak="0">
    <w:nsid w:val="5D1E01E2"/>
    <w:multiLevelType w:val="hybridMultilevel"/>
    <w:tmpl w:val="F9EA3F4C"/>
    <w:lvl w:ilvl="0" w:tplc="8FD44336">
      <w:numFmt w:val="bullet"/>
      <w:lvlText w:val="–"/>
      <w:lvlJc w:val="left"/>
      <w:pPr>
        <w:ind w:left="1092" w:hanging="157"/>
      </w:pPr>
      <w:rPr>
        <w:rFonts w:ascii="Arial" w:eastAsia="Arial" w:hAnsi="Arial" w:cs="Arial" w:hint="default"/>
        <w:color w:val="231F20"/>
        <w:w w:val="89"/>
        <w:sz w:val="16"/>
        <w:szCs w:val="16"/>
        <w:lang w:val="cs-CZ" w:eastAsia="cs-CZ" w:bidi="cs-CZ"/>
      </w:rPr>
    </w:lvl>
    <w:lvl w:ilvl="1" w:tplc="FFDA02A0">
      <w:numFmt w:val="bullet"/>
      <w:lvlText w:val="•"/>
      <w:lvlJc w:val="left"/>
      <w:pPr>
        <w:ind w:left="1505" w:hanging="157"/>
      </w:pPr>
      <w:rPr>
        <w:rFonts w:hint="default"/>
        <w:lang w:val="cs-CZ" w:eastAsia="cs-CZ" w:bidi="cs-CZ"/>
      </w:rPr>
    </w:lvl>
    <w:lvl w:ilvl="2" w:tplc="268048AC">
      <w:numFmt w:val="bullet"/>
      <w:lvlText w:val="•"/>
      <w:lvlJc w:val="left"/>
      <w:pPr>
        <w:ind w:left="1911" w:hanging="157"/>
      </w:pPr>
      <w:rPr>
        <w:rFonts w:hint="default"/>
        <w:lang w:val="cs-CZ" w:eastAsia="cs-CZ" w:bidi="cs-CZ"/>
      </w:rPr>
    </w:lvl>
    <w:lvl w:ilvl="3" w:tplc="4FBC588C">
      <w:numFmt w:val="bullet"/>
      <w:lvlText w:val="•"/>
      <w:lvlJc w:val="left"/>
      <w:pPr>
        <w:ind w:left="2317" w:hanging="157"/>
      </w:pPr>
      <w:rPr>
        <w:rFonts w:hint="default"/>
        <w:lang w:val="cs-CZ" w:eastAsia="cs-CZ" w:bidi="cs-CZ"/>
      </w:rPr>
    </w:lvl>
    <w:lvl w:ilvl="4" w:tplc="751C2EE6">
      <w:numFmt w:val="bullet"/>
      <w:lvlText w:val="•"/>
      <w:lvlJc w:val="left"/>
      <w:pPr>
        <w:ind w:left="2723" w:hanging="157"/>
      </w:pPr>
      <w:rPr>
        <w:rFonts w:hint="default"/>
        <w:lang w:val="cs-CZ" w:eastAsia="cs-CZ" w:bidi="cs-CZ"/>
      </w:rPr>
    </w:lvl>
    <w:lvl w:ilvl="5" w:tplc="905C8716">
      <w:numFmt w:val="bullet"/>
      <w:lvlText w:val="•"/>
      <w:lvlJc w:val="left"/>
      <w:pPr>
        <w:ind w:left="3129" w:hanging="157"/>
      </w:pPr>
      <w:rPr>
        <w:rFonts w:hint="default"/>
        <w:lang w:val="cs-CZ" w:eastAsia="cs-CZ" w:bidi="cs-CZ"/>
      </w:rPr>
    </w:lvl>
    <w:lvl w:ilvl="6" w:tplc="CDBC5870">
      <w:numFmt w:val="bullet"/>
      <w:lvlText w:val="•"/>
      <w:lvlJc w:val="left"/>
      <w:pPr>
        <w:ind w:left="3535" w:hanging="157"/>
      </w:pPr>
      <w:rPr>
        <w:rFonts w:hint="default"/>
        <w:lang w:val="cs-CZ" w:eastAsia="cs-CZ" w:bidi="cs-CZ"/>
      </w:rPr>
    </w:lvl>
    <w:lvl w:ilvl="7" w:tplc="59BAD0DC">
      <w:numFmt w:val="bullet"/>
      <w:lvlText w:val="•"/>
      <w:lvlJc w:val="left"/>
      <w:pPr>
        <w:ind w:left="3941" w:hanging="157"/>
      </w:pPr>
      <w:rPr>
        <w:rFonts w:hint="default"/>
        <w:lang w:val="cs-CZ" w:eastAsia="cs-CZ" w:bidi="cs-CZ"/>
      </w:rPr>
    </w:lvl>
    <w:lvl w:ilvl="8" w:tplc="2C10B432">
      <w:numFmt w:val="bullet"/>
      <w:lvlText w:val="•"/>
      <w:lvlJc w:val="left"/>
      <w:pPr>
        <w:ind w:left="4347" w:hanging="157"/>
      </w:pPr>
      <w:rPr>
        <w:rFonts w:hint="default"/>
        <w:lang w:val="cs-CZ" w:eastAsia="cs-CZ" w:bidi="cs-CZ"/>
      </w:rPr>
    </w:lvl>
  </w:abstractNum>
  <w:abstractNum w:abstractNumId="117" w15:restartNumberingAfterBreak="0">
    <w:nsid w:val="5F965030"/>
    <w:multiLevelType w:val="hybridMultilevel"/>
    <w:tmpl w:val="1A2ECFC6"/>
    <w:lvl w:ilvl="0" w:tplc="6D1424C6">
      <w:numFmt w:val="bullet"/>
      <w:lvlText w:val="-"/>
      <w:lvlJc w:val="left"/>
      <w:pPr>
        <w:ind w:left="824" w:hanging="207"/>
      </w:pPr>
      <w:rPr>
        <w:rFonts w:ascii="Times New Roman" w:eastAsia="Times New Roman" w:hAnsi="Times New Roman" w:cs="Times New Roman" w:hint="default"/>
        <w:w w:val="99"/>
        <w:sz w:val="24"/>
        <w:szCs w:val="24"/>
        <w:lang w:val="cs-CZ" w:eastAsia="cs-CZ" w:bidi="cs-CZ"/>
      </w:rPr>
    </w:lvl>
    <w:lvl w:ilvl="1" w:tplc="0F1CF18E">
      <w:numFmt w:val="bullet"/>
      <w:lvlText w:val="•"/>
      <w:lvlJc w:val="left"/>
      <w:pPr>
        <w:ind w:left="1752" w:hanging="207"/>
      </w:pPr>
      <w:rPr>
        <w:rFonts w:hint="default"/>
        <w:lang w:val="cs-CZ" w:eastAsia="cs-CZ" w:bidi="cs-CZ"/>
      </w:rPr>
    </w:lvl>
    <w:lvl w:ilvl="2" w:tplc="5A98EAE6">
      <w:numFmt w:val="bullet"/>
      <w:lvlText w:val="•"/>
      <w:lvlJc w:val="left"/>
      <w:pPr>
        <w:ind w:left="2684" w:hanging="207"/>
      </w:pPr>
      <w:rPr>
        <w:rFonts w:hint="default"/>
        <w:lang w:val="cs-CZ" w:eastAsia="cs-CZ" w:bidi="cs-CZ"/>
      </w:rPr>
    </w:lvl>
    <w:lvl w:ilvl="3" w:tplc="F6140D38">
      <w:numFmt w:val="bullet"/>
      <w:lvlText w:val="•"/>
      <w:lvlJc w:val="left"/>
      <w:pPr>
        <w:ind w:left="3616" w:hanging="207"/>
      </w:pPr>
      <w:rPr>
        <w:rFonts w:hint="default"/>
        <w:lang w:val="cs-CZ" w:eastAsia="cs-CZ" w:bidi="cs-CZ"/>
      </w:rPr>
    </w:lvl>
    <w:lvl w:ilvl="4" w:tplc="7040D2FA">
      <w:numFmt w:val="bullet"/>
      <w:lvlText w:val="•"/>
      <w:lvlJc w:val="left"/>
      <w:pPr>
        <w:ind w:left="4548" w:hanging="207"/>
      </w:pPr>
      <w:rPr>
        <w:rFonts w:hint="default"/>
        <w:lang w:val="cs-CZ" w:eastAsia="cs-CZ" w:bidi="cs-CZ"/>
      </w:rPr>
    </w:lvl>
    <w:lvl w:ilvl="5" w:tplc="3F2E33CC">
      <w:numFmt w:val="bullet"/>
      <w:lvlText w:val="•"/>
      <w:lvlJc w:val="left"/>
      <w:pPr>
        <w:ind w:left="5480" w:hanging="207"/>
      </w:pPr>
      <w:rPr>
        <w:rFonts w:hint="default"/>
        <w:lang w:val="cs-CZ" w:eastAsia="cs-CZ" w:bidi="cs-CZ"/>
      </w:rPr>
    </w:lvl>
    <w:lvl w:ilvl="6" w:tplc="6F429E1E">
      <w:numFmt w:val="bullet"/>
      <w:lvlText w:val="•"/>
      <w:lvlJc w:val="left"/>
      <w:pPr>
        <w:ind w:left="6412" w:hanging="207"/>
      </w:pPr>
      <w:rPr>
        <w:rFonts w:hint="default"/>
        <w:lang w:val="cs-CZ" w:eastAsia="cs-CZ" w:bidi="cs-CZ"/>
      </w:rPr>
    </w:lvl>
    <w:lvl w:ilvl="7" w:tplc="65F0296E">
      <w:numFmt w:val="bullet"/>
      <w:lvlText w:val="•"/>
      <w:lvlJc w:val="left"/>
      <w:pPr>
        <w:ind w:left="7344" w:hanging="207"/>
      </w:pPr>
      <w:rPr>
        <w:rFonts w:hint="default"/>
        <w:lang w:val="cs-CZ" w:eastAsia="cs-CZ" w:bidi="cs-CZ"/>
      </w:rPr>
    </w:lvl>
    <w:lvl w:ilvl="8" w:tplc="B7B2B482">
      <w:numFmt w:val="bullet"/>
      <w:lvlText w:val="•"/>
      <w:lvlJc w:val="left"/>
      <w:pPr>
        <w:ind w:left="8276" w:hanging="207"/>
      </w:pPr>
      <w:rPr>
        <w:rFonts w:hint="default"/>
        <w:lang w:val="cs-CZ" w:eastAsia="cs-CZ" w:bidi="cs-CZ"/>
      </w:rPr>
    </w:lvl>
  </w:abstractNum>
  <w:abstractNum w:abstractNumId="118" w15:restartNumberingAfterBreak="0">
    <w:nsid w:val="60ED3A5D"/>
    <w:multiLevelType w:val="hybridMultilevel"/>
    <w:tmpl w:val="7D70C5CA"/>
    <w:lvl w:ilvl="0" w:tplc="7344974A">
      <w:start w:val="1"/>
      <w:numFmt w:val="decimal"/>
      <w:lvlText w:val="%1."/>
      <w:lvlJc w:val="left"/>
      <w:pPr>
        <w:ind w:left="1107" w:hanging="227"/>
        <w:jc w:val="left"/>
      </w:pPr>
      <w:rPr>
        <w:rFonts w:ascii="Arial" w:eastAsia="Arial" w:hAnsi="Arial" w:cs="Arial" w:hint="default"/>
        <w:color w:val="231F20"/>
        <w:spacing w:val="-24"/>
        <w:w w:val="97"/>
        <w:sz w:val="18"/>
        <w:szCs w:val="18"/>
        <w:lang w:val="cs-CZ" w:eastAsia="cs-CZ" w:bidi="cs-CZ"/>
      </w:rPr>
    </w:lvl>
    <w:lvl w:ilvl="1" w:tplc="6E9A70CC">
      <w:start w:val="1"/>
      <w:numFmt w:val="lowerLetter"/>
      <w:lvlText w:val="%2"/>
      <w:lvlJc w:val="left"/>
      <w:pPr>
        <w:ind w:left="1334" w:hanging="227"/>
        <w:jc w:val="left"/>
      </w:pPr>
      <w:rPr>
        <w:rFonts w:ascii="Arial" w:eastAsia="Arial" w:hAnsi="Arial" w:cs="Arial" w:hint="default"/>
        <w:b/>
        <w:bCs/>
        <w:color w:val="231F20"/>
        <w:w w:val="103"/>
        <w:sz w:val="18"/>
        <w:szCs w:val="18"/>
        <w:lang w:val="cs-CZ" w:eastAsia="cs-CZ" w:bidi="cs-CZ"/>
      </w:rPr>
    </w:lvl>
    <w:lvl w:ilvl="2" w:tplc="BAE80B18">
      <w:numFmt w:val="bullet"/>
      <w:lvlText w:val="•"/>
      <w:lvlJc w:val="left"/>
      <w:pPr>
        <w:ind w:left="2482" w:hanging="227"/>
      </w:pPr>
      <w:rPr>
        <w:rFonts w:hint="default"/>
        <w:lang w:val="cs-CZ" w:eastAsia="cs-CZ" w:bidi="cs-CZ"/>
      </w:rPr>
    </w:lvl>
    <w:lvl w:ilvl="3" w:tplc="E6028F74">
      <w:numFmt w:val="bullet"/>
      <w:lvlText w:val="•"/>
      <w:lvlJc w:val="left"/>
      <w:pPr>
        <w:ind w:left="3625" w:hanging="227"/>
      </w:pPr>
      <w:rPr>
        <w:rFonts w:hint="default"/>
        <w:lang w:val="cs-CZ" w:eastAsia="cs-CZ" w:bidi="cs-CZ"/>
      </w:rPr>
    </w:lvl>
    <w:lvl w:ilvl="4" w:tplc="E7E4D99A">
      <w:numFmt w:val="bullet"/>
      <w:lvlText w:val="•"/>
      <w:lvlJc w:val="left"/>
      <w:pPr>
        <w:ind w:left="4768" w:hanging="227"/>
      </w:pPr>
      <w:rPr>
        <w:rFonts w:hint="default"/>
        <w:lang w:val="cs-CZ" w:eastAsia="cs-CZ" w:bidi="cs-CZ"/>
      </w:rPr>
    </w:lvl>
    <w:lvl w:ilvl="5" w:tplc="999694C6">
      <w:numFmt w:val="bullet"/>
      <w:lvlText w:val="•"/>
      <w:lvlJc w:val="left"/>
      <w:pPr>
        <w:ind w:left="5911" w:hanging="227"/>
      </w:pPr>
      <w:rPr>
        <w:rFonts w:hint="default"/>
        <w:lang w:val="cs-CZ" w:eastAsia="cs-CZ" w:bidi="cs-CZ"/>
      </w:rPr>
    </w:lvl>
    <w:lvl w:ilvl="6" w:tplc="FA0EA836">
      <w:numFmt w:val="bullet"/>
      <w:lvlText w:val="•"/>
      <w:lvlJc w:val="left"/>
      <w:pPr>
        <w:ind w:left="7054" w:hanging="227"/>
      </w:pPr>
      <w:rPr>
        <w:rFonts w:hint="default"/>
        <w:lang w:val="cs-CZ" w:eastAsia="cs-CZ" w:bidi="cs-CZ"/>
      </w:rPr>
    </w:lvl>
    <w:lvl w:ilvl="7" w:tplc="ABB25278">
      <w:numFmt w:val="bullet"/>
      <w:lvlText w:val="•"/>
      <w:lvlJc w:val="left"/>
      <w:pPr>
        <w:ind w:left="8197" w:hanging="227"/>
      </w:pPr>
      <w:rPr>
        <w:rFonts w:hint="default"/>
        <w:lang w:val="cs-CZ" w:eastAsia="cs-CZ" w:bidi="cs-CZ"/>
      </w:rPr>
    </w:lvl>
    <w:lvl w:ilvl="8" w:tplc="1FAC4ADA">
      <w:numFmt w:val="bullet"/>
      <w:lvlText w:val="•"/>
      <w:lvlJc w:val="left"/>
      <w:pPr>
        <w:ind w:left="9339" w:hanging="227"/>
      </w:pPr>
      <w:rPr>
        <w:rFonts w:hint="default"/>
        <w:lang w:val="cs-CZ" w:eastAsia="cs-CZ" w:bidi="cs-CZ"/>
      </w:rPr>
    </w:lvl>
  </w:abstractNum>
  <w:abstractNum w:abstractNumId="119" w15:restartNumberingAfterBreak="0">
    <w:nsid w:val="64810362"/>
    <w:multiLevelType w:val="hybridMultilevel"/>
    <w:tmpl w:val="D28CE820"/>
    <w:lvl w:ilvl="0" w:tplc="95B02602">
      <w:numFmt w:val="bullet"/>
      <w:lvlText w:val="–"/>
      <w:lvlJc w:val="left"/>
      <w:pPr>
        <w:ind w:left="1050" w:hanging="171"/>
      </w:pPr>
      <w:rPr>
        <w:rFonts w:ascii="Arial" w:eastAsia="Arial" w:hAnsi="Arial" w:cs="Arial" w:hint="default"/>
        <w:color w:val="231F20"/>
        <w:w w:val="89"/>
        <w:sz w:val="18"/>
        <w:szCs w:val="18"/>
        <w:lang w:val="cs-CZ" w:eastAsia="cs-CZ" w:bidi="cs-CZ"/>
      </w:rPr>
    </w:lvl>
    <w:lvl w:ilvl="1" w:tplc="651C48C4">
      <w:numFmt w:val="bullet"/>
      <w:lvlText w:val="•"/>
      <w:lvlJc w:val="left"/>
      <w:pPr>
        <w:ind w:left="2116" w:hanging="171"/>
      </w:pPr>
      <w:rPr>
        <w:rFonts w:hint="default"/>
        <w:lang w:val="cs-CZ" w:eastAsia="cs-CZ" w:bidi="cs-CZ"/>
      </w:rPr>
    </w:lvl>
    <w:lvl w:ilvl="2" w:tplc="08EA6F46">
      <w:numFmt w:val="bullet"/>
      <w:lvlText w:val="•"/>
      <w:lvlJc w:val="left"/>
      <w:pPr>
        <w:ind w:left="3173" w:hanging="171"/>
      </w:pPr>
      <w:rPr>
        <w:rFonts w:hint="default"/>
        <w:lang w:val="cs-CZ" w:eastAsia="cs-CZ" w:bidi="cs-CZ"/>
      </w:rPr>
    </w:lvl>
    <w:lvl w:ilvl="3" w:tplc="48A41A0A">
      <w:numFmt w:val="bullet"/>
      <w:lvlText w:val="•"/>
      <w:lvlJc w:val="left"/>
      <w:pPr>
        <w:ind w:left="4229" w:hanging="171"/>
      </w:pPr>
      <w:rPr>
        <w:rFonts w:hint="default"/>
        <w:lang w:val="cs-CZ" w:eastAsia="cs-CZ" w:bidi="cs-CZ"/>
      </w:rPr>
    </w:lvl>
    <w:lvl w:ilvl="4" w:tplc="7130D206">
      <w:numFmt w:val="bullet"/>
      <w:lvlText w:val="•"/>
      <w:lvlJc w:val="left"/>
      <w:pPr>
        <w:ind w:left="5286" w:hanging="171"/>
      </w:pPr>
      <w:rPr>
        <w:rFonts w:hint="default"/>
        <w:lang w:val="cs-CZ" w:eastAsia="cs-CZ" w:bidi="cs-CZ"/>
      </w:rPr>
    </w:lvl>
    <w:lvl w:ilvl="5" w:tplc="B8E48538">
      <w:numFmt w:val="bullet"/>
      <w:lvlText w:val="•"/>
      <w:lvlJc w:val="left"/>
      <w:pPr>
        <w:ind w:left="6342" w:hanging="171"/>
      </w:pPr>
      <w:rPr>
        <w:rFonts w:hint="default"/>
        <w:lang w:val="cs-CZ" w:eastAsia="cs-CZ" w:bidi="cs-CZ"/>
      </w:rPr>
    </w:lvl>
    <w:lvl w:ilvl="6" w:tplc="52CAA110">
      <w:numFmt w:val="bullet"/>
      <w:lvlText w:val="•"/>
      <w:lvlJc w:val="left"/>
      <w:pPr>
        <w:ind w:left="7399" w:hanging="171"/>
      </w:pPr>
      <w:rPr>
        <w:rFonts w:hint="default"/>
        <w:lang w:val="cs-CZ" w:eastAsia="cs-CZ" w:bidi="cs-CZ"/>
      </w:rPr>
    </w:lvl>
    <w:lvl w:ilvl="7" w:tplc="62B0702E">
      <w:numFmt w:val="bullet"/>
      <w:lvlText w:val="•"/>
      <w:lvlJc w:val="left"/>
      <w:pPr>
        <w:ind w:left="8455" w:hanging="171"/>
      </w:pPr>
      <w:rPr>
        <w:rFonts w:hint="default"/>
        <w:lang w:val="cs-CZ" w:eastAsia="cs-CZ" w:bidi="cs-CZ"/>
      </w:rPr>
    </w:lvl>
    <w:lvl w:ilvl="8" w:tplc="287EDFD8">
      <w:numFmt w:val="bullet"/>
      <w:lvlText w:val="•"/>
      <w:lvlJc w:val="left"/>
      <w:pPr>
        <w:ind w:left="9512" w:hanging="171"/>
      </w:pPr>
      <w:rPr>
        <w:rFonts w:hint="default"/>
        <w:lang w:val="cs-CZ" w:eastAsia="cs-CZ" w:bidi="cs-CZ"/>
      </w:rPr>
    </w:lvl>
  </w:abstractNum>
  <w:abstractNum w:abstractNumId="120" w15:restartNumberingAfterBreak="0">
    <w:nsid w:val="649621A6"/>
    <w:multiLevelType w:val="hybridMultilevel"/>
    <w:tmpl w:val="2C8C86CC"/>
    <w:lvl w:ilvl="0" w:tplc="AB6E365C">
      <w:start w:val="1"/>
      <w:numFmt w:val="lowerLetter"/>
      <w:lvlText w:val="%1"/>
      <w:lvlJc w:val="left"/>
      <w:pPr>
        <w:ind w:left="597" w:hanging="171"/>
        <w:jc w:val="left"/>
      </w:pPr>
      <w:rPr>
        <w:rFonts w:ascii="Arial" w:eastAsia="Arial" w:hAnsi="Arial" w:cs="Arial" w:hint="default"/>
        <w:color w:val="231F20"/>
        <w:w w:val="99"/>
        <w:sz w:val="15"/>
        <w:szCs w:val="15"/>
        <w:lang w:val="cs-CZ" w:eastAsia="cs-CZ" w:bidi="cs-CZ"/>
      </w:rPr>
    </w:lvl>
    <w:lvl w:ilvl="1" w:tplc="F2369D8C">
      <w:numFmt w:val="bullet"/>
      <w:lvlText w:val="•"/>
      <w:lvlJc w:val="left"/>
      <w:pPr>
        <w:ind w:left="1110" w:hanging="171"/>
      </w:pPr>
      <w:rPr>
        <w:rFonts w:hint="default"/>
        <w:lang w:val="cs-CZ" w:eastAsia="cs-CZ" w:bidi="cs-CZ"/>
      </w:rPr>
    </w:lvl>
    <w:lvl w:ilvl="2" w:tplc="AF8E5B1C">
      <w:numFmt w:val="bullet"/>
      <w:lvlText w:val="•"/>
      <w:lvlJc w:val="left"/>
      <w:pPr>
        <w:ind w:left="1620" w:hanging="171"/>
      </w:pPr>
      <w:rPr>
        <w:rFonts w:hint="default"/>
        <w:lang w:val="cs-CZ" w:eastAsia="cs-CZ" w:bidi="cs-CZ"/>
      </w:rPr>
    </w:lvl>
    <w:lvl w:ilvl="3" w:tplc="B15A7A88">
      <w:numFmt w:val="bullet"/>
      <w:lvlText w:val="•"/>
      <w:lvlJc w:val="left"/>
      <w:pPr>
        <w:ind w:left="2130" w:hanging="171"/>
      </w:pPr>
      <w:rPr>
        <w:rFonts w:hint="default"/>
        <w:lang w:val="cs-CZ" w:eastAsia="cs-CZ" w:bidi="cs-CZ"/>
      </w:rPr>
    </w:lvl>
    <w:lvl w:ilvl="4" w:tplc="3A448EA4">
      <w:numFmt w:val="bullet"/>
      <w:lvlText w:val="•"/>
      <w:lvlJc w:val="left"/>
      <w:pPr>
        <w:ind w:left="2640" w:hanging="171"/>
      </w:pPr>
      <w:rPr>
        <w:rFonts w:hint="default"/>
        <w:lang w:val="cs-CZ" w:eastAsia="cs-CZ" w:bidi="cs-CZ"/>
      </w:rPr>
    </w:lvl>
    <w:lvl w:ilvl="5" w:tplc="D35C17F4">
      <w:numFmt w:val="bullet"/>
      <w:lvlText w:val="•"/>
      <w:lvlJc w:val="left"/>
      <w:pPr>
        <w:ind w:left="3151" w:hanging="171"/>
      </w:pPr>
      <w:rPr>
        <w:rFonts w:hint="default"/>
        <w:lang w:val="cs-CZ" w:eastAsia="cs-CZ" w:bidi="cs-CZ"/>
      </w:rPr>
    </w:lvl>
    <w:lvl w:ilvl="6" w:tplc="6E588564">
      <w:numFmt w:val="bullet"/>
      <w:lvlText w:val="•"/>
      <w:lvlJc w:val="left"/>
      <w:pPr>
        <w:ind w:left="3661" w:hanging="171"/>
      </w:pPr>
      <w:rPr>
        <w:rFonts w:hint="default"/>
        <w:lang w:val="cs-CZ" w:eastAsia="cs-CZ" w:bidi="cs-CZ"/>
      </w:rPr>
    </w:lvl>
    <w:lvl w:ilvl="7" w:tplc="C0BC9ACC">
      <w:numFmt w:val="bullet"/>
      <w:lvlText w:val="•"/>
      <w:lvlJc w:val="left"/>
      <w:pPr>
        <w:ind w:left="4171" w:hanging="171"/>
      </w:pPr>
      <w:rPr>
        <w:rFonts w:hint="default"/>
        <w:lang w:val="cs-CZ" w:eastAsia="cs-CZ" w:bidi="cs-CZ"/>
      </w:rPr>
    </w:lvl>
    <w:lvl w:ilvl="8" w:tplc="1B92319E">
      <w:numFmt w:val="bullet"/>
      <w:lvlText w:val="•"/>
      <w:lvlJc w:val="left"/>
      <w:pPr>
        <w:ind w:left="4681" w:hanging="171"/>
      </w:pPr>
      <w:rPr>
        <w:rFonts w:hint="default"/>
        <w:lang w:val="cs-CZ" w:eastAsia="cs-CZ" w:bidi="cs-CZ"/>
      </w:rPr>
    </w:lvl>
  </w:abstractNum>
  <w:abstractNum w:abstractNumId="121" w15:restartNumberingAfterBreak="0">
    <w:nsid w:val="64E62121"/>
    <w:multiLevelType w:val="hybridMultilevel"/>
    <w:tmpl w:val="3072CDC2"/>
    <w:lvl w:ilvl="0" w:tplc="2A2C57E2">
      <w:start w:val="1"/>
      <w:numFmt w:val="lowerLetter"/>
      <w:lvlText w:val="%1"/>
      <w:lvlJc w:val="left"/>
      <w:pPr>
        <w:ind w:left="638" w:hanging="171"/>
        <w:jc w:val="right"/>
      </w:pPr>
      <w:rPr>
        <w:rFonts w:ascii="Arial" w:eastAsia="Arial" w:hAnsi="Arial" w:cs="Arial" w:hint="default"/>
        <w:color w:val="231F20"/>
        <w:w w:val="99"/>
        <w:sz w:val="15"/>
        <w:szCs w:val="15"/>
        <w:lang w:val="cs-CZ" w:eastAsia="cs-CZ" w:bidi="cs-CZ"/>
      </w:rPr>
    </w:lvl>
    <w:lvl w:ilvl="1" w:tplc="CBC4D696">
      <w:numFmt w:val="bullet"/>
      <w:lvlText w:val="•"/>
      <w:lvlJc w:val="left"/>
      <w:pPr>
        <w:ind w:left="1164" w:hanging="171"/>
      </w:pPr>
      <w:rPr>
        <w:rFonts w:hint="default"/>
        <w:lang w:val="cs-CZ" w:eastAsia="cs-CZ" w:bidi="cs-CZ"/>
      </w:rPr>
    </w:lvl>
    <w:lvl w:ilvl="2" w:tplc="CA20C226">
      <w:numFmt w:val="bullet"/>
      <w:lvlText w:val="•"/>
      <w:lvlJc w:val="left"/>
      <w:pPr>
        <w:ind w:left="1688" w:hanging="171"/>
      </w:pPr>
      <w:rPr>
        <w:rFonts w:hint="default"/>
        <w:lang w:val="cs-CZ" w:eastAsia="cs-CZ" w:bidi="cs-CZ"/>
      </w:rPr>
    </w:lvl>
    <w:lvl w:ilvl="3" w:tplc="C01A310A">
      <w:numFmt w:val="bullet"/>
      <w:lvlText w:val="•"/>
      <w:lvlJc w:val="left"/>
      <w:pPr>
        <w:ind w:left="2213" w:hanging="171"/>
      </w:pPr>
      <w:rPr>
        <w:rFonts w:hint="default"/>
        <w:lang w:val="cs-CZ" w:eastAsia="cs-CZ" w:bidi="cs-CZ"/>
      </w:rPr>
    </w:lvl>
    <w:lvl w:ilvl="4" w:tplc="CE9CC054">
      <w:numFmt w:val="bullet"/>
      <w:lvlText w:val="•"/>
      <w:lvlJc w:val="left"/>
      <w:pPr>
        <w:ind w:left="2737" w:hanging="171"/>
      </w:pPr>
      <w:rPr>
        <w:rFonts w:hint="default"/>
        <w:lang w:val="cs-CZ" w:eastAsia="cs-CZ" w:bidi="cs-CZ"/>
      </w:rPr>
    </w:lvl>
    <w:lvl w:ilvl="5" w:tplc="EBDE4900">
      <w:numFmt w:val="bullet"/>
      <w:lvlText w:val="•"/>
      <w:lvlJc w:val="left"/>
      <w:pPr>
        <w:ind w:left="3262" w:hanging="171"/>
      </w:pPr>
      <w:rPr>
        <w:rFonts w:hint="default"/>
        <w:lang w:val="cs-CZ" w:eastAsia="cs-CZ" w:bidi="cs-CZ"/>
      </w:rPr>
    </w:lvl>
    <w:lvl w:ilvl="6" w:tplc="002CD884">
      <w:numFmt w:val="bullet"/>
      <w:lvlText w:val="•"/>
      <w:lvlJc w:val="left"/>
      <w:pPr>
        <w:ind w:left="3786" w:hanging="171"/>
      </w:pPr>
      <w:rPr>
        <w:rFonts w:hint="default"/>
        <w:lang w:val="cs-CZ" w:eastAsia="cs-CZ" w:bidi="cs-CZ"/>
      </w:rPr>
    </w:lvl>
    <w:lvl w:ilvl="7" w:tplc="F112C3A4">
      <w:numFmt w:val="bullet"/>
      <w:lvlText w:val="•"/>
      <w:lvlJc w:val="left"/>
      <w:pPr>
        <w:ind w:left="4311" w:hanging="171"/>
      </w:pPr>
      <w:rPr>
        <w:rFonts w:hint="default"/>
        <w:lang w:val="cs-CZ" w:eastAsia="cs-CZ" w:bidi="cs-CZ"/>
      </w:rPr>
    </w:lvl>
    <w:lvl w:ilvl="8" w:tplc="E4EA6720">
      <w:numFmt w:val="bullet"/>
      <w:lvlText w:val="•"/>
      <w:lvlJc w:val="left"/>
      <w:pPr>
        <w:ind w:left="4835" w:hanging="171"/>
      </w:pPr>
      <w:rPr>
        <w:rFonts w:hint="default"/>
        <w:lang w:val="cs-CZ" w:eastAsia="cs-CZ" w:bidi="cs-CZ"/>
      </w:rPr>
    </w:lvl>
  </w:abstractNum>
  <w:abstractNum w:abstractNumId="122" w15:restartNumberingAfterBreak="0">
    <w:nsid w:val="65DE3C95"/>
    <w:multiLevelType w:val="hybridMultilevel"/>
    <w:tmpl w:val="DC6CCCE0"/>
    <w:lvl w:ilvl="0" w:tplc="646E2684">
      <w:numFmt w:val="bullet"/>
      <w:lvlText w:val="–"/>
      <w:lvlJc w:val="left"/>
      <w:pPr>
        <w:ind w:left="935" w:hanging="142"/>
      </w:pPr>
      <w:rPr>
        <w:rFonts w:ascii="Arial" w:eastAsia="Arial" w:hAnsi="Arial" w:cs="Arial" w:hint="default"/>
        <w:color w:val="231F20"/>
        <w:w w:val="89"/>
        <w:sz w:val="16"/>
        <w:szCs w:val="16"/>
        <w:lang w:val="cs-CZ" w:eastAsia="cs-CZ" w:bidi="cs-CZ"/>
      </w:rPr>
    </w:lvl>
    <w:lvl w:ilvl="1" w:tplc="FA6470AA">
      <w:numFmt w:val="bullet"/>
      <w:lvlText w:val="•"/>
      <w:lvlJc w:val="left"/>
      <w:pPr>
        <w:ind w:left="1404" w:hanging="142"/>
      </w:pPr>
      <w:rPr>
        <w:rFonts w:hint="default"/>
        <w:lang w:val="cs-CZ" w:eastAsia="cs-CZ" w:bidi="cs-CZ"/>
      </w:rPr>
    </w:lvl>
    <w:lvl w:ilvl="2" w:tplc="B0648154">
      <w:numFmt w:val="bullet"/>
      <w:lvlText w:val="•"/>
      <w:lvlJc w:val="left"/>
      <w:pPr>
        <w:ind w:left="1868" w:hanging="142"/>
      </w:pPr>
      <w:rPr>
        <w:rFonts w:hint="default"/>
        <w:lang w:val="cs-CZ" w:eastAsia="cs-CZ" w:bidi="cs-CZ"/>
      </w:rPr>
    </w:lvl>
    <w:lvl w:ilvl="3" w:tplc="166C934A">
      <w:numFmt w:val="bullet"/>
      <w:lvlText w:val="•"/>
      <w:lvlJc w:val="left"/>
      <w:pPr>
        <w:ind w:left="2332" w:hanging="142"/>
      </w:pPr>
      <w:rPr>
        <w:rFonts w:hint="default"/>
        <w:lang w:val="cs-CZ" w:eastAsia="cs-CZ" w:bidi="cs-CZ"/>
      </w:rPr>
    </w:lvl>
    <w:lvl w:ilvl="4" w:tplc="F4FAE01A">
      <w:numFmt w:val="bullet"/>
      <w:lvlText w:val="•"/>
      <w:lvlJc w:val="left"/>
      <w:pPr>
        <w:ind w:left="2796" w:hanging="142"/>
      </w:pPr>
      <w:rPr>
        <w:rFonts w:hint="default"/>
        <w:lang w:val="cs-CZ" w:eastAsia="cs-CZ" w:bidi="cs-CZ"/>
      </w:rPr>
    </w:lvl>
    <w:lvl w:ilvl="5" w:tplc="087606B0">
      <w:numFmt w:val="bullet"/>
      <w:lvlText w:val="•"/>
      <w:lvlJc w:val="left"/>
      <w:pPr>
        <w:ind w:left="3260" w:hanging="142"/>
      </w:pPr>
      <w:rPr>
        <w:rFonts w:hint="default"/>
        <w:lang w:val="cs-CZ" w:eastAsia="cs-CZ" w:bidi="cs-CZ"/>
      </w:rPr>
    </w:lvl>
    <w:lvl w:ilvl="6" w:tplc="C6E4939C">
      <w:numFmt w:val="bullet"/>
      <w:lvlText w:val="•"/>
      <w:lvlJc w:val="left"/>
      <w:pPr>
        <w:ind w:left="3724" w:hanging="142"/>
      </w:pPr>
      <w:rPr>
        <w:rFonts w:hint="default"/>
        <w:lang w:val="cs-CZ" w:eastAsia="cs-CZ" w:bidi="cs-CZ"/>
      </w:rPr>
    </w:lvl>
    <w:lvl w:ilvl="7" w:tplc="33D27C22">
      <w:numFmt w:val="bullet"/>
      <w:lvlText w:val="•"/>
      <w:lvlJc w:val="left"/>
      <w:pPr>
        <w:ind w:left="4188" w:hanging="142"/>
      </w:pPr>
      <w:rPr>
        <w:rFonts w:hint="default"/>
        <w:lang w:val="cs-CZ" w:eastAsia="cs-CZ" w:bidi="cs-CZ"/>
      </w:rPr>
    </w:lvl>
    <w:lvl w:ilvl="8" w:tplc="A42840DC">
      <w:numFmt w:val="bullet"/>
      <w:lvlText w:val="•"/>
      <w:lvlJc w:val="left"/>
      <w:pPr>
        <w:ind w:left="4652" w:hanging="142"/>
      </w:pPr>
      <w:rPr>
        <w:rFonts w:hint="default"/>
        <w:lang w:val="cs-CZ" w:eastAsia="cs-CZ" w:bidi="cs-CZ"/>
      </w:rPr>
    </w:lvl>
  </w:abstractNum>
  <w:abstractNum w:abstractNumId="123" w15:restartNumberingAfterBreak="0">
    <w:nsid w:val="66040401"/>
    <w:multiLevelType w:val="hybridMultilevel"/>
    <w:tmpl w:val="8BD6F73C"/>
    <w:lvl w:ilvl="0" w:tplc="40E8837E">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EDD83A1E">
      <w:numFmt w:val="bullet"/>
      <w:lvlText w:val="•"/>
      <w:lvlJc w:val="left"/>
      <w:pPr>
        <w:ind w:left="1362" w:hanging="171"/>
      </w:pPr>
      <w:rPr>
        <w:rFonts w:hint="default"/>
        <w:lang w:val="cs-CZ" w:eastAsia="cs-CZ" w:bidi="cs-CZ"/>
      </w:rPr>
    </w:lvl>
    <w:lvl w:ilvl="2" w:tplc="17DA5A1C">
      <w:numFmt w:val="bullet"/>
      <w:lvlText w:val="•"/>
      <w:lvlJc w:val="left"/>
      <w:pPr>
        <w:ind w:left="1844" w:hanging="171"/>
      </w:pPr>
      <w:rPr>
        <w:rFonts w:hint="default"/>
        <w:lang w:val="cs-CZ" w:eastAsia="cs-CZ" w:bidi="cs-CZ"/>
      </w:rPr>
    </w:lvl>
    <w:lvl w:ilvl="3" w:tplc="36666692">
      <w:numFmt w:val="bullet"/>
      <w:lvlText w:val="•"/>
      <w:lvlJc w:val="left"/>
      <w:pPr>
        <w:ind w:left="2326" w:hanging="171"/>
      </w:pPr>
      <w:rPr>
        <w:rFonts w:hint="default"/>
        <w:lang w:val="cs-CZ" w:eastAsia="cs-CZ" w:bidi="cs-CZ"/>
      </w:rPr>
    </w:lvl>
    <w:lvl w:ilvl="4" w:tplc="6882C972">
      <w:numFmt w:val="bullet"/>
      <w:lvlText w:val="•"/>
      <w:lvlJc w:val="left"/>
      <w:pPr>
        <w:ind w:left="2808" w:hanging="171"/>
      </w:pPr>
      <w:rPr>
        <w:rFonts w:hint="default"/>
        <w:lang w:val="cs-CZ" w:eastAsia="cs-CZ" w:bidi="cs-CZ"/>
      </w:rPr>
    </w:lvl>
    <w:lvl w:ilvl="5" w:tplc="8E1C4C8A">
      <w:numFmt w:val="bullet"/>
      <w:lvlText w:val="•"/>
      <w:lvlJc w:val="left"/>
      <w:pPr>
        <w:ind w:left="3290" w:hanging="171"/>
      </w:pPr>
      <w:rPr>
        <w:rFonts w:hint="default"/>
        <w:lang w:val="cs-CZ" w:eastAsia="cs-CZ" w:bidi="cs-CZ"/>
      </w:rPr>
    </w:lvl>
    <w:lvl w:ilvl="6" w:tplc="D502484E">
      <w:numFmt w:val="bullet"/>
      <w:lvlText w:val="•"/>
      <w:lvlJc w:val="left"/>
      <w:pPr>
        <w:ind w:left="3772" w:hanging="171"/>
      </w:pPr>
      <w:rPr>
        <w:rFonts w:hint="default"/>
        <w:lang w:val="cs-CZ" w:eastAsia="cs-CZ" w:bidi="cs-CZ"/>
      </w:rPr>
    </w:lvl>
    <w:lvl w:ilvl="7" w:tplc="278EC724">
      <w:numFmt w:val="bullet"/>
      <w:lvlText w:val="•"/>
      <w:lvlJc w:val="left"/>
      <w:pPr>
        <w:ind w:left="4254" w:hanging="171"/>
      </w:pPr>
      <w:rPr>
        <w:rFonts w:hint="default"/>
        <w:lang w:val="cs-CZ" w:eastAsia="cs-CZ" w:bidi="cs-CZ"/>
      </w:rPr>
    </w:lvl>
    <w:lvl w:ilvl="8" w:tplc="4DF630CA">
      <w:numFmt w:val="bullet"/>
      <w:lvlText w:val="•"/>
      <w:lvlJc w:val="left"/>
      <w:pPr>
        <w:ind w:left="4736" w:hanging="171"/>
      </w:pPr>
      <w:rPr>
        <w:rFonts w:hint="default"/>
        <w:lang w:val="cs-CZ" w:eastAsia="cs-CZ" w:bidi="cs-CZ"/>
      </w:rPr>
    </w:lvl>
  </w:abstractNum>
  <w:abstractNum w:abstractNumId="124" w15:restartNumberingAfterBreak="0">
    <w:nsid w:val="66A05EE7"/>
    <w:multiLevelType w:val="hybridMultilevel"/>
    <w:tmpl w:val="3B4C2B30"/>
    <w:lvl w:ilvl="0" w:tplc="4156D106">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632E5A0A">
      <w:numFmt w:val="bullet"/>
      <w:lvlText w:val="•"/>
      <w:lvlJc w:val="left"/>
      <w:pPr>
        <w:ind w:left="1362" w:hanging="171"/>
      </w:pPr>
      <w:rPr>
        <w:rFonts w:hint="default"/>
        <w:lang w:val="cs-CZ" w:eastAsia="cs-CZ" w:bidi="cs-CZ"/>
      </w:rPr>
    </w:lvl>
    <w:lvl w:ilvl="2" w:tplc="9E326212">
      <w:numFmt w:val="bullet"/>
      <w:lvlText w:val="•"/>
      <w:lvlJc w:val="left"/>
      <w:pPr>
        <w:ind w:left="1845" w:hanging="171"/>
      </w:pPr>
      <w:rPr>
        <w:rFonts w:hint="default"/>
        <w:lang w:val="cs-CZ" w:eastAsia="cs-CZ" w:bidi="cs-CZ"/>
      </w:rPr>
    </w:lvl>
    <w:lvl w:ilvl="3" w:tplc="AF748026">
      <w:numFmt w:val="bullet"/>
      <w:lvlText w:val="•"/>
      <w:lvlJc w:val="left"/>
      <w:pPr>
        <w:ind w:left="2327" w:hanging="171"/>
      </w:pPr>
      <w:rPr>
        <w:rFonts w:hint="default"/>
        <w:lang w:val="cs-CZ" w:eastAsia="cs-CZ" w:bidi="cs-CZ"/>
      </w:rPr>
    </w:lvl>
    <w:lvl w:ilvl="4" w:tplc="9948F5EA">
      <w:numFmt w:val="bullet"/>
      <w:lvlText w:val="•"/>
      <w:lvlJc w:val="left"/>
      <w:pPr>
        <w:ind w:left="2810" w:hanging="171"/>
      </w:pPr>
      <w:rPr>
        <w:rFonts w:hint="default"/>
        <w:lang w:val="cs-CZ" w:eastAsia="cs-CZ" w:bidi="cs-CZ"/>
      </w:rPr>
    </w:lvl>
    <w:lvl w:ilvl="5" w:tplc="A02E9A22">
      <w:numFmt w:val="bullet"/>
      <w:lvlText w:val="•"/>
      <w:lvlJc w:val="left"/>
      <w:pPr>
        <w:ind w:left="3292" w:hanging="171"/>
      </w:pPr>
      <w:rPr>
        <w:rFonts w:hint="default"/>
        <w:lang w:val="cs-CZ" w:eastAsia="cs-CZ" w:bidi="cs-CZ"/>
      </w:rPr>
    </w:lvl>
    <w:lvl w:ilvl="6" w:tplc="92D0C336">
      <w:numFmt w:val="bullet"/>
      <w:lvlText w:val="•"/>
      <w:lvlJc w:val="left"/>
      <w:pPr>
        <w:ind w:left="3775" w:hanging="171"/>
      </w:pPr>
      <w:rPr>
        <w:rFonts w:hint="default"/>
        <w:lang w:val="cs-CZ" w:eastAsia="cs-CZ" w:bidi="cs-CZ"/>
      </w:rPr>
    </w:lvl>
    <w:lvl w:ilvl="7" w:tplc="773E1BBE">
      <w:numFmt w:val="bullet"/>
      <w:lvlText w:val="•"/>
      <w:lvlJc w:val="left"/>
      <w:pPr>
        <w:ind w:left="4257" w:hanging="171"/>
      </w:pPr>
      <w:rPr>
        <w:rFonts w:hint="default"/>
        <w:lang w:val="cs-CZ" w:eastAsia="cs-CZ" w:bidi="cs-CZ"/>
      </w:rPr>
    </w:lvl>
    <w:lvl w:ilvl="8" w:tplc="9BD238CC">
      <w:numFmt w:val="bullet"/>
      <w:lvlText w:val="•"/>
      <w:lvlJc w:val="left"/>
      <w:pPr>
        <w:ind w:left="4740" w:hanging="171"/>
      </w:pPr>
      <w:rPr>
        <w:rFonts w:hint="default"/>
        <w:lang w:val="cs-CZ" w:eastAsia="cs-CZ" w:bidi="cs-CZ"/>
      </w:rPr>
    </w:lvl>
  </w:abstractNum>
  <w:abstractNum w:abstractNumId="125" w15:restartNumberingAfterBreak="0">
    <w:nsid w:val="68D2210D"/>
    <w:multiLevelType w:val="hybridMultilevel"/>
    <w:tmpl w:val="3EF8382C"/>
    <w:lvl w:ilvl="0" w:tplc="5938302C">
      <w:numFmt w:val="bullet"/>
      <w:lvlText w:val="•"/>
      <w:lvlJc w:val="left"/>
      <w:pPr>
        <w:ind w:left="1416" w:hanging="161"/>
      </w:pPr>
      <w:rPr>
        <w:rFonts w:ascii="Calibri" w:eastAsia="Calibri" w:hAnsi="Calibri" w:cs="Calibri" w:hint="default"/>
        <w:w w:val="100"/>
        <w:sz w:val="22"/>
        <w:szCs w:val="22"/>
        <w:lang w:val="cs-CZ" w:eastAsia="cs-CZ" w:bidi="cs-CZ"/>
      </w:rPr>
    </w:lvl>
    <w:lvl w:ilvl="1" w:tplc="5C302532">
      <w:numFmt w:val="bullet"/>
      <w:lvlText w:val="•"/>
      <w:lvlJc w:val="left"/>
      <w:pPr>
        <w:ind w:left="2348" w:hanging="161"/>
      </w:pPr>
      <w:rPr>
        <w:rFonts w:hint="default"/>
        <w:lang w:val="cs-CZ" w:eastAsia="cs-CZ" w:bidi="cs-CZ"/>
      </w:rPr>
    </w:lvl>
    <w:lvl w:ilvl="2" w:tplc="7CCAEA82">
      <w:numFmt w:val="bullet"/>
      <w:lvlText w:val="•"/>
      <w:lvlJc w:val="left"/>
      <w:pPr>
        <w:ind w:left="3276" w:hanging="161"/>
      </w:pPr>
      <w:rPr>
        <w:rFonts w:hint="default"/>
        <w:lang w:val="cs-CZ" w:eastAsia="cs-CZ" w:bidi="cs-CZ"/>
      </w:rPr>
    </w:lvl>
    <w:lvl w:ilvl="3" w:tplc="21646102">
      <w:numFmt w:val="bullet"/>
      <w:lvlText w:val="•"/>
      <w:lvlJc w:val="left"/>
      <w:pPr>
        <w:ind w:left="4204" w:hanging="161"/>
      </w:pPr>
      <w:rPr>
        <w:rFonts w:hint="default"/>
        <w:lang w:val="cs-CZ" w:eastAsia="cs-CZ" w:bidi="cs-CZ"/>
      </w:rPr>
    </w:lvl>
    <w:lvl w:ilvl="4" w:tplc="FD483AE4">
      <w:numFmt w:val="bullet"/>
      <w:lvlText w:val="•"/>
      <w:lvlJc w:val="left"/>
      <w:pPr>
        <w:ind w:left="5132" w:hanging="161"/>
      </w:pPr>
      <w:rPr>
        <w:rFonts w:hint="default"/>
        <w:lang w:val="cs-CZ" w:eastAsia="cs-CZ" w:bidi="cs-CZ"/>
      </w:rPr>
    </w:lvl>
    <w:lvl w:ilvl="5" w:tplc="AA5636C2">
      <w:numFmt w:val="bullet"/>
      <w:lvlText w:val="•"/>
      <w:lvlJc w:val="left"/>
      <w:pPr>
        <w:ind w:left="6060" w:hanging="161"/>
      </w:pPr>
      <w:rPr>
        <w:rFonts w:hint="default"/>
        <w:lang w:val="cs-CZ" w:eastAsia="cs-CZ" w:bidi="cs-CZ"/>
      </w:rPr>
    </w:lvl>
    <w:lvl w:ilvl="6" w:tplc="36F2560E">
      <w:numFmt w:val="bullet"/>
      <w:lvlText w:val="•"/>
      <w:lvlJc w:val="left"/>
      <w:pPr>
        <w:ind w:left="6988" w:hanging="161"/>
      </w:pPr>
      <w:rPr>
        <w:rFonts w:hint="default"/>
        <w:lang w:val="cs-CZ" w:eastAsia="cs-CZ" w:bidi="cs-CZ"/>
      </w:rPr>
    </w:lvl>
    <w:lvl w:ilvl="7" w:tplc="D27C8C10">
      <w:numFmt w:val="bullet"/>
      <w:lvlText w:val="•"/>
      <w:lvlJc w:val="left"/>
      <w:pPr>
        <w:ind w:left="7916" w:hanging="161"/>
      </w:pPr>
      <w:rPr>
        <w:rFonts w:hint="default"/>
        <w:lang w:val="cs-CZ" w:eastAsia="cs-CZ" w:bidi="cs-CZ"/>
      </w:rPr>
    </w:lvl>
    <w:lvl w:ilvl="8" w:tplc="CD027E28">
      <w:numFmt w:val="bullet"/>
      <w:lvlText w:val="•"/>
      <w:lvlJc w:val="left"/>
      <w:pPr>
        <w:ind w:left="8844" w:hanging="161"/>
      </w:pPr>
      <w:rPr>
        <w:rFonts w:hint="default"/>
        <w:lang w:val="cs-CZ" w:eastAsia="cs-CZ" w:bidi="cs-CZ"/>
      </w:rPr>
    </w:lvl>
  </w:abstractNum>
  <w:abstractNum w:abstractNumId="126" w15:restartNumberingAfterBreak="0">
    <w:nsid w:val="699F3E64"/>
    <w:multiLevelType w:val="hybridMultilevel"/>
    <w:tmpl w:val="A5DA4898"/>
    <w:lvl w:ilvl="0" w:tplc="7C3A3732">
      <w:start w:val="1"/>
      <w:numFmt w:val="lowerLetter"/>
      <w:lvlText w:val="%1"/>
      <w:lvlJc w:val="left"/>
      <w:pPr>
        <w:ind w:left="637" w:hanging="171"/>
        <w:jc w:val="left"/>
      </w:pPr>
      <w:rPr>
        <w:rFonts w:ascii="Arial" w:eastAsia="Arial" w:hAnsi="Arial" w:cs="Arial" w:hint="default"/>
        <w:color w:val="231F20"/>
        <w:w w:val="99"/>
        <w:sz w:val="15"/>
        <w:szCs w:val="15"/>
        <w:lang w:val="cs-CZ" w:eastAsia="cs-CZ" w:bidi="cs-CZ"/>
      </w:rPr>
    </w:lvl>
    <w:lvl w:ilvl="1" w:tplc="FAE019A6">
      <w:numFmt w:val="bullet"/>
      <w:lvlText w:val="•"/>
      <w:lvlJc w:val="left"/>
      <w:pPr>
        <w:ind w:left="1164" w:hanging="171"/>
      </w:pPr>
      <w:rPr>
        <w:rFonts w:hint="default"/>
        <w:lang w:val="cs-CZ" w:eastAsia="cs-CZ" w:bidi="cs-CZ"/>
      </w:rPr>
    </w:lvl>
    <w:lvl w:ilvl="2" w:tplc="38987308">
      <w:numFmt w:val="bullet"/>
      <w:lvlText w:val="•"/>
      <w:lvlJc w:val="left"/>
      <w:pPr>
        <w:ind w:left="1688" w:hanging="171"/>
      </w:pPr>
      <w:rPr>
        <w:rFonts w:hint="default"/>
        <w:lang w:val="cs-CZ" w:eastAsia="cs-CZ" w:bidi="cs-CZ"/>
      </w:rPr>
    </w:lvl>
    <w:lvl w:ilvl="3" w:tplc="66CE8646">
      <w:numFmt w:val="bullet"/>
      <w:lvlText w:val="•"/>
      <w:lvlJc w:val="left"/>
      <w:pPr>
        <w:ind w:left="2213" w:hanging="171"/>
      </w:pPr>
      <w:rPr>
        <w:rFonts w:hint="default"/>
        <w:lang w:val="cs-CZ" w:eastAsia="cs-CZ" w:bidi="cs-CZ"/>
      </w:rPr>
    </w:lvl>
    <w:lvl w:ilvl="4" w:tplc="C132223A">
      <w:numFmt w:val="bullet"/>
      <w:lvlText w:val="•"/>
      <w:lvlJc w:val="left"/>
      <w:pPr>
        <w:ind w:left="2737" w:hanging="171"/>
      </w:pPr>
      <w:rPr>
        <w:rFonts w:hint="default"/>
        <w:lang w:val="cs-CZ" w:eastAsia="cs-CZ" w:bidi="cs-CZ"/>
      </w:rPr>
    </w:lvl>
    <w:lvl w:ilvl="5" w:tplc="7916D642">
      <w:numFmt w:val="bullet"/>
      <w:lvlText w:val="•"/>
      <w:lvlJc w:val="left"/>
      <w:pPr>
        <w:ind w:left="3261" w:hanging="171"/>
      </w:pPr>
      <w:rPr>
        <w:rFonts w:hint="default"/>
        <w:lang w:val="cs-CZ" w:eastAsia="cs-CZ" w:bidi="cs-CZ"/>
      </w:rPr>
    </w:lvl>
    <w:lvl w:ilvl="6" w:tplc="269A47CC">
      <w:numFmt w:val="bullet"/>
      <w:lvlText w:val="•"/>
      <w:lvlJc w:val="left"/>
      <w:pPr>
        <w:ind w:left="3786" w:hanging="171"/>
      </w:pPr>
      <w:rPr>
        <w:rFonts w:hint="default"/>
        <w:lang w:val="cs-CZ" w:eastAsia="cs-CZ" w:bidi="cs-CZ"/>
      </w:rPr>
    </w:lvl>
    <w:lvl w:ilvl="7" w:tplc="D158D414">
      <w:numFmt w:val="bullet"/>
      <w:lvlText w:val="•"/>
      <w:lvlJc w:val="left"/>
      <w:pPr>
        <w:ind w:left="4310" w:hanging="171"/>
      </w:pPr>
      <w:rPr>
        <w:rFonts w:hint="default"/>
        <w:lang w:val="cs-CZ" w:eastAsia="cs-CZ" w:bidi="cs-CZ"/>
      </w:rPr>
    </w:lvl>
    <w:lvl w:ilvl="8" w:tplc="98E02DCA">
      <w:numFmt w:val="bullet"/>
      <w:lvlText w:val="•"/>
      <w:lvlJc w:val="left"/>
      <w:pPr>
        <w:ind w:left="4834" w:hanging="171"/>
      </w:pPr>
      <w:rPr>
        <w:rFonts w:hint="default"/>
        <w:lang w:val="cs-CZ" w:eastAsia="cs-CZ" w:bidi="cs-CZ"/>
      </w:rPr>
    </w:lvl>
  </w:abstractNum>
  <w:abstractNum w:abstractNumId="127" w15:restartNumberingAfterBreak="0">
    <w:nsid w:val="69AB0243"/>
    <w:multiLevelType w:val="hybridMultilevel"/>
    <w:tmpl w:val="FE28CB42"/>
    <w:lvl w:ilvl="0" w:tplc="3AE6EE20">
      <w:numFmt w:val="bullet"/>
      <w:lvlText w:val="-"/>
      <w:lvlJc w:val="left"/>
      <w:pPr>
        <w:ind w:left="978" w:hanging="360"/>
      </w:pPr>
      <w:rPr>
        <w:rFonts w:ascii="Times New Roman" w:eastAsia="Times New Roman" w:hAnsi="Times New Roman" w:cs="Times New Roman" w:hint="default"/>
        <w:w w:val="99"/>
        <w:sz w:val="24"/>
        <w:szCs w:val="24"/>
        <w:lang w:val="cs-CZ" w:eastAsia="cs-CZ" w:bidi="cs-CZ"/>
      </w:rPr>
    </w:lvl>
    <w:lvl w:ilvl="1" w:tplc="E19837D6">
      <w:numFmt w:val="bullet"/>
      <w:lvlText w:val="•"/>
      <w:lvlJc w:val="left"/>
      <w:pPr>
        <w:ind w:left="1896" w:hanging="360"/>
      </w:pPr>
      <w:rPr>
        <w:rFonts w:hint="default"/>
        <w:lang w:val="cs-CZ" w:eastAsia="cs-CZ" w:bidi="cs-CZ"/>
      </w:rPr>
    </w:lvl>
    <w:lvl w:ilvl="2" w:tplc="6F1C0A08">
      <w:numFmt w:val="bullet"/>
      <w:lvlText w:val="•"/>
      <w:lvlJc w:val="left"/>
      <w:pPr>
        <w:ind w:left="2812" w:hanging="360"/>
      </w:pPr>
      <w:rPr>
        <w:rFonts w:hint="default"/>
        <w:lang w:val="cs-CZ" w:eastAsia="cs-CZ" w:bidi="cs-CZ"/>
      </w:rPr>
    </w:lvl>
    <w:lvl w:ilvl="3" w:tplc="12CEEFC2">
      <w:numFmt w:val="bullet"/>
      <w:lvlText w:val="•"/>
      <w:lvlJc w:val="left"/>
      <w:pPr>
        <w:ind w:left="3728" w:hanging="360"/>
      </w:pPr>
      <w:rPr>
        <w:rFonts w:hint="default"/>
        <w:lang w:val="cs-CZ" w:eastAsia="cs-CZ" w:bidi="cs-CZ"/>
      </w:rPr>
    </w:lvl>
    <w:lvl w:ilvl="4" w:tplc="A1EEC0D2">
      <w:numFmt w:val="bullet"/>
      <w:lvlText w:val="•"/>
      <w:lvlJc w:val="left"/>
      <w:pPr>
        <w:ind w:left="4644" w:hanging="360"/>
      </w:pPr>
      <w:rPr>
        <w:rFonts w:hint="default"/>
        <w:lang w:val="cs-CZ" w:eastAsia="cs-CZ" w:bidi="cs-CZ"/>
      </w:rPr>
    </w:lvl>
    <w:lvl w:ilvl="5" w:tplc="EFF08106">
      <w:numFmt w:val="bullet"/>
      <w:lvlText w:val="•"/>
      <w:lvlJc w:val="left"/>
      <w:pPr>
        <w:ind w:left="5560" w:hanging="360"/>
      </w:pPr>
      <w:rPr>
        <w:rFonts w:hint="default"/>
        <w:lang w:val="cs-CZ" w:eastAsia="cs-CZ" w:bidi="cs-CZ"/>
      </w:rPr>
    </w:lvl>
    <w:lvl w:ilvl="6" w:tplc="2A30FB04">
      <w:numFmt w:val="bullet"/>
      <w:lvlText w:val="•"/>
      <w:lvlJc w:val="left"/>
      <w:pPr>
        <w:ind w:left="6476" w:hanging="360"/>
      </w:pPr>
      <w:rPr>
        <w:rFonts w:hint="default"/>
        <w:lang w:val="cs-CZ" w:eastAsia="cs-CZ" w:bidi="cs-CZ"/>
      </w:rPr>
    </w:lvl>
    <w:lvl w:ilvl="7" w:tplc="4F0C03DC">
      <w:numFmt w:val="bullet"/>
      <w:lvlText w:val="•"/>
      <w:lvlJc w:val="left"/>
      <w:pPr>
        <w:ind w:left="7392" w:hanging="360"/>
      </w:pPr>
      <w:rPr>
        <w:rFonts w:hint="default"/>
        <w:lang w:val="cs-CZ" w:eastAsia="cs-CZ" w:bidi="cs-CZ"/>
      </w:rPr>
    </w:lvl>
    <w:lvl w:ilvl="8" w:tplc="78667E44">
      <w:numFmt w:val="bullet"/>
      <w:lvlText w:val="•"/>
      <w:lvlJc w:val="left"/>
      <w:pPr>
        <w:ind w:left="8308" w:hanging="360"/>
      </w:pPr>
      <w:rPr>
        <w:rFonts w:hint="default"/>
        <w:lang w:val="cs-CZ" w:eastAsia="cs-CZ" w:bidi="cs-CZ"/>
      </w:rPr>
    </w:lvl>
  </w:abstractNum>
  <w:abstractNum w:abstractNumId="128" w15:restartNumberingAfterBreak="0">
    <w:nsid w:val="69C02EDB"/>
    <w:multiLevelType w:val="hybridMultilevel"/>
    <w:tmpl w:val="7362F888"/>
    <w:lvl w:ilvl="0" w:tplc="35D0C5A4">
      <w:numFmt w:val="bullet"/>
      <w:lvlText w:val="–"/>
      <w:lvlJc w:val="left"/>
      <w:pPr>
        <w:ind w:left="597" w:hanging="171"/>
      </w:pPr>
      <w:rPr>
        <w:rFonts w:ascii="Arial" w:eastAsia="Arial" w:hAnsi="Arial" w:cs="Arial" w:hint="default"/>
        <w:color w:val="231F20"/>
        <w:w w:val="89"/>
        <w:sz w:val="15"/>
        <w:szCs w:val="15"/>
        <w:lang w:val="cs-CZ" w:eastAsia="cs-CZ" w:bidi="cs-CZ"/>
      </w:rPr>
    </w:lvl>
    <w:lvl w:ilvl="1" w:tplc="E038604E">
      <w:numFmt w:val="bullet"/>
      <w:lvlText w:val="•"/>
      <w:lvlJc w:val="left"/>
      <w:pPr>
        <w:ind w:left="1110" w:hanging="171"/>
      </w:pPr>
      <w:rPr>
        <w:rFonts w:hint="default"/>
        <w:lang w:val="cs-CZ" w:eastAsia="cs-CZ" w:bidi="cs-CZ"/>
      </w:rPr>
    </w:lvl>
    <w:lvl w:ilvl="2" w:tplc="ED72AE0E">
      <w:numFmt w:val="bullet"/>
      <w:lvlText w:val="•"/>
      <w:lvlJc w:val="left"/>
      <w:pPr>
        <w:ind w:left="1620" w:hanging="171"/>
      </w:pPr>
      <w:rPr>
        <w:rFonts w:hint="default"/>
        <w:lang w:val="cs-CZ" w:eastAsia="cs-CZ" w:bidi="cs-CZ"/>
      </w:rPr>
    </w:lvl>
    <w:lvl w:ilvl="3" w:tplc="E9FABF5C">
      <w:numFmt w:val="bullet"/>
      <w:lvlText w:val="•"/>
      <w:lvlJc w:val="left"/>
      <w:pPr>
        <w:ind w:left="2130" w:hanging="171"/>
      </w:pPr>
      <w:rPr>
        <w:rFonts w:hint="default"/>
        <w:lang w:val="cs-CZ" w:eastAsia="cs-CZ" w:bidi="cs-CZ"/>
      </w:rPr>
    </w:lvl>
    <w:lvl w:ilvl="4" w:tplc="B5C86C44">
      <w:numFmt w:val="bullet"/>
      <w:lvlText w:val="•"/>
      <w:lvlJc w:val="left"/>
      <w:pPr>
        <w:ind w:left="2640" w:hanging="171"/>
      </w:pPr>
      <w:rPr>
        <w:rFonts w:hint="default"/>
        <w:lang w:val="cs-CZ" w:eastAsia="cs-CZ" w:bidi="cs-CZ"/>
      </w:rPr>
    </w:lvl>
    <w:lvl w:ilvl="5" w:tplc="0CAA18D6">
      <w:numFmt w:val="bullet"/>
      <w:lvlText w:val="•"/>
      <w:lvlJc w:val="left"/>
      <w:pPr>
        <w:ind w:left="3150" w:hanging="171"/>
      </w:pPr>
      <w:rPr>
        <w:rFonts w:hint="default"/>
        <w:lang w:val="cs-CZ" w:eastAsia="cs-CZ" w:bidi="cs-CZ"/>
      </w:rPr>
    </w:lvl>
    <w:lvl w:ilvl="6" w:tplc="197E7C16">
      <w:numFmt w:val="bullet"/>
      <w:lvlText w:val="•"/>
      <w:lvlJc w:val="left"/>
      <w:pPr>
        <w:ind w:left="3660" w:hanging="171"/>
      </w:pPr>
      <w:rPr>
        <w:rFonts w:hint="default"/>
        <w:lang w:val="cs-CZ" w:eastAsia="cs-CZ" w:bidi="cs-CZ"/>
      </w:rPr>
    </w:lvl>
    <w:lvl w:ilvl="7" w:tplc="F8986028">
      <w:numFmt w:val="bullet"/>
      <w:lvlText w:val="•"/>
      <w:lvlJc w:val="left"/>
      <w:pPr>
        <w:ind w:left="4170" w:hanging="171"/>
      </w:pPr>
      <w:rPr>
        <w:rFonts w:hint="default"/>
        <w:lang w:val="cs-CZ" w:eastAsia="cs-CZ" w:bidi="cs-CZ"/>
      </w:rPr>
    </w:lvl>
    <w:lvl w:ilvl="8" w:tplc="5A889E60">
      <w:numFmt w:val="bullet"/>
      <w:lvlText w:val="•"/>
      <w:lvlJc w:val="left"/>
      <w:pPr>
        <w:ind w:left="4680" w:hanging="171"/>
      </w:pPr>
      <w:rPr>
        <w:rFonts w:hint="default"/>
        <w:lang w:val="cs-CZ" w:eastAsia="cs-CZ" w:bidi="cs-CZ"/>
      </w:rPr>
    </w:lvl>
  </w:abstractNum>
  <w:abstractNum w:abstractNumId="129" w15:restartNumberingAfterBreak="0">
    <w:nsid w:val="6AF87875"/>
    <w:multiLevelType w:val="hybridMultilevel"/>
    <w:tmpl w:val="F418C62E"/>
    <w:lvl w:ilvl="0" w:tplc="56AA26C4">
      <w:start w:val="1"/>
      <w:numFmt w:val="lowerLetter"/>
      <w:lvlText w:val="%1"/>
      <w:lvlJc w:val="left"/>
      <w:pPr>
        <w:ind w:left="1334" w:hanging="227"/>
        <w:jc w:val="left"/>
      </w:pPr>
      <w:rPr>
        <w:rFonts w:ascii="Arial" w:eastAsia="Arial" w:hAnsi="Arial" w:cs="Arial" w:hint="default"/>
        <w:b/>
        <w:bCs/>
        <w:color w:val="231F20"/>
        <w:w w:val="103"/>
        <w:sz w:val="18"/>
        <w:szCs w:val="18"/>
        <w:lang w:val="cs-CZ" w:eastAsia="cs-CZ" w:bidi="cs-CZ"/>
      </w:rPr>
    </w:lvl>
    <w:lvl w:ilvl="1" w:tplc="8CAE6AE8">
      <w:start w:val="1"/>
      <w:numFmt w:val="lowerRoman"/>
      <w:lvlText w:val="%2"/>
      <w:lvlJc w:val="left"/>
      <w:pPr>
        <w:ind w:left="1560" w:hanging="227"/>
        <w:jc w:val="left"/>
      </w:pPr>
      <w:rPr>
        <w:rFonts w:ascii="Arial" w:eastAsia="Arial" w:hAnsi="Arial" w:cs="Arial" w:hint="default"/>
        <w:b/>
        <w:bCs/>
        <w:color w:val="231F20"/>
        <w:w w:val="92"/>
        <w:sz w:val="18"/>
        <w:szCs w:val="18"/>
        <w:lang w:val="cs-CZ" w:eastAsia="cs-CZ" w:bidi="cs-CZ"/>
      </w:rPr>
    </w:lvl>
    <w:lvl w:ilvl="2" w:tplc="B03EDC66">
      <w:numFmt w:val="bullet"/>
      <w:lvlText w:val="•"/>
      <w:lvlJc w:val="left"/>
      <w:pPr>
        <w:ind w:left="2678" w:hanging="227"/>
      </w:pPr>
      <w:rPr>
        <w:rFonts w:hint="default"/>
        <w:lang w:val="cs-CZ" w:eastAsia="cs-CZ" w:bidi="cs-CZ"/>
      </w:rPr>
    </w:lvl>
    <w:lvl w:ilvl="3" w:tplc="CD76B7CC">
      <w:numFmt w:val="bullet"/>
      <w:lvlText w:val="•"/>
      <w:lvlJc w:val="left"/>
      <w:pPr>
        <w:ind w:left="3796" w:hanging="227"/>
      </w:pPr>
      <w:rPr>
        <w:rFonts w:hint="default"/>
        <w:lang w:val="cs-CZ" w:eastAsia="cs-CZ" w:bidi="cs-CZ"/>
      </w:rPr>
    </w:lvl>
    <w:lvl w:ilvl="4" w:tplc="AE1861F8">
      <w:numFmt w:val="bullet"/>
      <w:lvlText w:val="•"/>
      <w:lvlJc w:val="left"/>
      <w:pPr>
        <w:ind w:left="4915" w:hanging="227"/>
      </w:pPr>
      <w:rPr>
        <w:rFonts w:hint="default"/>
        <w:lang w:val="cs-CZ" w:eastAsia="cs-CZ" w:bidi="cs-CZ"/>
      </w:rPr>
    </w:lvl>
    <w:lvl w:ilvl="5" w:tplc="00F63FB0">
      <w:numFmt w:val="bullet"/>
      <w:lvlText w:val="•"/>
      <w:lvlJc w:val="left"/>
      <w:pPr>
        <w:ind w:left="6033" w:hanging="227"/>
      </w:pPr>
      <w:rPr>
        <w:rFonts w:hint="default"/>
        <w:lang w:val="cs-CZ" w:eastAsia="cs-CZ" w:bidi="cs-CZ"/>
      </w:rPr>
    </w:lvl>
    <w:lvl w:ilvl="6" w:tplc="A1EA3BC4">
      <w:numFmt w:val="bullet"/>
      <w:lvlText w:val="•"/>
      <w:lvlJc w:val="left"/>
      <w:pPr>
        <w:ind w:left="7151" w:hanging="227"/>
      </w:pPr>
      <w:rPr>
        <w:rFonts w:hint="default"/>
        <w:lang w:val="cs-CZ" w:eastAsia="cs-CZ" w:bidi="cs-CZ"/>
      </w:rPr>
    </w:lvl>
    <w:lvl w:ilvl="7" w:tplc="5F18B4B0">
      <w:numFmt w:val="bullet"/>
      <w:lvlText w:val="•"/>
      <w:lvlJc w:val="left"/>
      <w:pPr>
        <w:ind w:left="8270" w:hanging="227"/>
      </w:pPr>
      <w:rPr>
        <w:rFonts w:hint="default"/>
        <w:lang w:val="cs-CZ" w:eastAsia="cs-CZ" w:bidi="cs-CZ"/>
      </w:rPr>
    </w:lvl>
    <w:lvl w:ilvl="8" w:tplc="6AFA5D10">
      <w:numFmt w:val="bullet"/>
      <w:lvlText w:val="•"/>
      <w:lvlJc w:val="left"/>
      <w:pPr>
        <w:ind w:left="9388" w:hanging="227"/>
      </w:pPr>
      <w:rPr>
        <w:rFonts w:hint="default"/>
        <w:lang w:val="cs-CZ" w:eastAsia="cs-CZ" w:bidi="cs-CZ"/>
      </w:rPr>
    </w:lvl>
  </w:abstractNum>
  <w:abstractNum w:abstractNumId="130" w15:restartNumberingAfterBreak="0">
    <w:nsid w:val="6C530067"/>
    <w:multiLevelType w:val="hybridMultilevel"/>
    <w:tmpl w:val="158E5FE0"/>
    <w:lvl w:ilvl="0" w:tplc="ADA6313E">
      <w:start w:val="16"/>
      <w:numFmt w:val="lowerLetter"/>
      <w:lvlText w:val="%1"/>
      <w:lvlJc w:val="left"/>
      <w:pPr>
        <w:ind w:left="639" w:hanging="171"/>
        <w:jc w:val="left"/>
      </w:pPr>
      <w:rPr>
        <w:rFonts w:ascii="Arial" w:eastAsia="Arial" w:hAnsi="Arial" w:cs="Arial" w:hint="default"/>
        <w:color w:val="231F20"/>
        <w:w w:val="109"/>
        <w:sz w:val="15"/>
        <w:szCs w:val="15"/>
        <w:lang w:val="cs-CZ" w:eastAsia="cs-CZ" w:bidi="cs-CZ"/>
      </w:rPr>
    </w:lvl>
    <w:lvl w:ilvl="1" w:tplc="5FE09B34">
      <w:numFmt w:val="bullet"/>
      <w:lvlText w:val="•"/>
      <w:lvlJc w:val="left"/>
      <w:pPr>
        <w:ind w:left="1164" w:hanging="171"/>
      </w:pPr>
      <w:rPr>
        <w:rFonts w:hint="default"/>
        <w:lang w:val="cs-CZ" w:eastAsia="cs-CZ" w:bidi="cs-CZ"/>
      </w:rPr>
    </w:lvl>
    <w:lvl w:ilvl="2" w:tplc="C2D02DC6">
      <w:numFmt w:val="bullet"/>
      <w:lvlText w:val="•"/>
      <w:lvlJc w:val="left"/>
      <w:pPr>
        <w:ind w:left="1689" w:hanging="171"/>
      </w:pPr>
      <w:rPr>
        <w:rFonts w:hint="default"/>
        <w:lang w:val="cs-CZ" w:eastAsia="cs-CZ" w:bidi="cs-CZ"/>
      </w:rPr>
    </w:lvl>
    <w:lvl w:ilvl="3" w:tplc="496C16B4">
      <w:numFmt w:val="bullet"/>
      <w:lvlText w:val="•"/>
      <w:lvlJc w:val="left"/>
      <w:pPr>
        <w:ind w:left="2213" w:hanging="171"/>
      </w:pPr>
      <w:rPr>
        <w:rFonts w:hint="default"/>
        <w:lang w:val="cs-CZ" w:eastAsia="cs-CZ" w:bidi="cs-CZ"/>
      </w:rPr>
    </w:lvl>
    <w:lvl w:ilvl="4" w:tplc="5080CCA8">
      <w:numFmt w:val="bullet"/>
      <w:lvlText w:val="•"/>
      <w:lvlJc w:val="left"/>
      <w:pPr>
        <w:ind w:left="2738" w:hanging="171"/>
      </w:pPr>
      <w:rPr>
        <w:rFonts w:hint="default"/>
        <w:lang w:val="cs-CZ" w:eastAsia="cs-CZ" w:bidi="cs-CZ"/>
      </w:rPr>
    </w:lvl>
    <w:lvl w:ilvl="5" w:tplc="E48A35EC">
      <w:numFmt w:val="bullet"/>
      <w:lvlText w:val="•"/>
      <w:lvlJc w:val="left"/>
      <w:pPr>
        <w:ind w:left="3262" w:hanging="171"/>
      </w:pPr>
      <w:rPr>
        <w:rFonts w:hint="default"/>
        <w:lang w:val="cs-CZ" w:eastAsia="cs-CZ" w:bidi="cs-CZ"/>
      </w:rPr>
    </w:lvl>
    <w:lvl w:ilvl="6" w:tplc="20E0A7E8">
      <w:numFmt w:val="bullet"/>
      <w:lvlText w:val="•"/>
      <w:lvlJc w:val="left"/>
      <w:pPr>
        <w:ind w:left="3787" w:hanging="171"/>
      </w:pPr>
      <w:rPr>
        <w:rFonts w:hint="default"/>
        <w:lang w:val="cs-CZ" w:eastAsia="cs-CZ" w:bidi="cs-CZ"/>
      </w:rPr>
    </w:lvl>
    <w:lvl w:ilvl="7" w:tplc="0930F620">
      <w:numFmt w:val="bullet"/>
      <w:lvlText w:val="•"/>
      <w:lvlJc w:val="left"/>
      <w:pPr>
        <w:ind w:left="4311" w:hanging="171"/>
      </w:pPr>
      <w:rPr>
        <w:rFonts w:hint="default"/>
        <w:lang w:val="cs-CZ" w:eastAsia="cs-CZ" w:bidi="cs-CZ"/>
      </w:rPr>
    </w:lvl>
    <w:lvl w:ilvl="8" w:tplc="C89CC360">
      <w:numFmt w:val="bullet"/>
      <w:lvlText w:val="•"/>
      <w:lvlJc w:val="left"/>
      <w:pPr>
        <w:ind w:left="4836" w:hanging="171"/>
      </w:pPr>
      <w:rPr>
        <w:rFonts w:hint="default"/>
        <w:lang w:val="cs-CZ" w:eastAsia="cs-CZ" w:bidi="cs-CZ"/>
      </w:rPr>
    </w:lvl>
  </w:abstractNum>
  <w:abstractNum w:abstractNumId="131" w15:restartNumberingAfterBreak="0">
    <w:nsid w:val="6C862ACB"/>
    <w:multiLevelType w:val="multilevel"/>
    <w:tmpl w:val="F12227D4"/>
    <w:lvl w:ilvl="0">
      <w:start w:val="16"/>
      <w:numFmt w:val="decimal"/>
      <w:lvlText w:val="%1"/>
      <w:lvlJc w:val="left"/>
      <w:pPr>
        <w:ind w:left="837" w:hanging="721"/>
        <w:jc w:val="left"/>
      </w:pPr>
      <w:rPr>
        <w:rFonts w:hint="default"/>
        <w:lang w:val="cs-CZ" w:eastAsia="cs-CZ" w:bidi="cs-CZ"/>
      </w:rPr>
    </w:lvl>
    <w:lvl w:ilvl="1">
      <w:start w:val="4"/>
      <w:numFmt w:val="decimal"/>
      <w:lvlText w:val="%1.%2"/>
      <w:lvlJc w:val="left"/>
      <w:pPr>
        <w:ind w:left="837" w:hanging="721"/>
        <w:jc w:val="left"/>
      </w:pPr>
      <w:rPr>
        <w:rFonts w:hint="default"/>
        <w:lang w:val="cs-CZ" w:eastAsia="cs-CZ" w:bidi="cs-CZ"/>
      </w:rPr>
    </w:lvl>
    <w:lvl w:ilvl="2">
      <w:start w:val="2"/>
      <w:numFmt w:val="decimal"/>
      <w:lvlText w:val="%1.%2.%3"/>
      <w:lvlJc w:val="left"/>
      <w:pPr>
        <w:ind w:left="837" w:hanging="721"/>
        <w:jc w:val="left"/>
      </w:pPr>
      <w:rPr>
        <w:rFonts w:ascii="Arial" w:eastAsia="Arial" w:hAnsi="Arial" w:cs="Arial" w:hint="default"/>
        <w:color w:val="231F20"/>
        <w:w w:val="99"/>
        <w:sz w:val="22"/>
        <w:szCs w:val="22"/>
        <w:lang w:val="cs-CZ" w:eastAsia="cs-CZ" w:bidi="cs-CZ"/>
      </w:rPr>
    </w:lvl>
    <w:lvl w:ilvl="3">
      <w:start w:val="1"/>
      <w:numFmt w:val="lowerLetter"/>
      <w:lvlText w:val="%4)"/>
      <w:lvlJc w:val="left"/>
      <w:pPr>
        <w:ind w:left="1251" w:hanging="284"/>
        <w:jc w:val="left"/>
      </w:pPr>
      <w:rPr>
        <w:rFonts w:ascii="Arial" w:eastAsia="Arial" w:hAnsi="Arial" w:cs="Arial" w:hint="default"/>
        <w:color w:val="231F20"/>
        <w:w w:val="99"/>
        <w:sz w:val="22"/>
        <w:szCs w:val="22"/>
        <w:lang w:val="cs-CZ" w:eastAsia="cs-CZ" w:bidi="cs-CZ"/>
      </w:rPr>
    </w:lvl>
    <w:lvl w:ilvl="4">
      <w:numFmt w:val="bullet"/>
      <w:lvlText w:val="•"/>
      <w:lvlJc w:val="left"/>
      <w:pPr>
        <w:ind w:left="3986" w:hanging="284"/>
      </w:pPr>
      <w:rPr>
        <w:rFonts w:hint="default"/>
        <w:lang w:val="cs-CZ" w:eastAsia="cs-CZ" w:bidi="cs-CZ"/>
      </w:rPr>
    </w:lvl>
    <w:lvl w:ilvl="5">
      <w:numFmt w:val="bullet"/>
      <w:lvlText w:val="•"/>
      <w:lvlJc w:val="left"/>
      <w:pPr>
        <w:ind w:left="4895" w:hanging="284"/>
      </w:pPr>
      <w:rPr>
        <w:rFonts w:hint="default"/>
        <w:lang w:val="cs-CZ" w:eastAsia="cs-CZ" w:bidi="cs-CZ"/>
      </w:rPr>
    </w:lvl>
    <w:lvl w:ilvl="6">
      <w:numFmt w:val="bullet"/>
      <w:lvlText w:val="•"/>
      <w:lvlJc w:val="left"/>
      <w:pPr>
        <w:ind w:left="5804" w:hanging="284"/>
      </w:pPr>
      <w:rPr>
        <w:rFonts w:hint="default"/>
        <w:lang w:val="cs-CZ" w:eastAsia="cs-CZ" w:bidi="cs-CZ"/>
      </w:rPr>
    </w:lvl>
    <w:lvl w:ilvl="7">
      <w:numFmt w:val="bullet"/>
      <w:lvlText w:val="•"/>
      <w:lvlJc w:val="left"/>
      <w:pPr>
        <w:ind w:left="6713" w:hanging="284"/>
      </w:pPr>
      <w:rPr>
        <w:rFonts w:hint="default"/>
        <w:lang w:val="cs-CZ" w:eastAsia="cs-CZ" w:bidi="cs-CZ"/>
      </w:rPr>
    </w:lvl>
    <w:lvl w:ilvl="8">
      <w:numFmt w:val="bullet"/>
      <w:lvlText w:val="•"/>
      <w:lvlJc w:val="left"/>
      <w:pPr>
        <w:ind w:left="7622" w:hanging="284"/>
      </w:pPr>
      <w:rPr>
        <w:rFonts w:hint="default"/>
        <w:lang w:val="cs-CZ" w:eastAsia="cs-CZ" w:bidi="cs-CZ"/>
      </w:rPr>
    </w:lvl>
  </w:abstractNum>
  <w:abstractNum w:abstractNumId="132" w15:restartNumberingAfterBreak="0">
    <w:nsid w:val="6D87211C"/>
    <w:multiLevelType w:val="hybridMultilevel"/>
    <w:tmpl w:val="C6821986"/>
    <w:lvl w:ilvl="0" w:tplc="A7948812">
      <w:start w:val="12"/>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9C88B1EA">
      <w:numFmt w:val="bullet"/>
      <w:lvlText w:val="•"/>
      <w:lvlJc w:val="left"/>
      <w:pPr>
        <w:ind w:left="712" w:hanging="272"/>
      </w:pPr>
      <w:rPr>
        <w:rFonts w:hint="default"/>
        <w:lang w:val="cs-CZ" w:eastAsia="cs-CZ" w:bidi="cs-CZ"/>
      </w:rPr>
    </w:lvl>
    <w:lvl w:ilvl="2" w:tplc="0BD66F66">
      <w:numFmt w:val="bullet"/>
      <w:lvlText w:val="•"/>
      <w:lvlJc w:val="left"/>
      <w:pPr>
        <w:ind w:left="965" w:hanging="272"/>
      </w:pPr>
      <w:rPr>
        <w:rFonts w:hint="default"/>
        <w:lang w:val="cs-CZ" w:eastAsia="cs-CZ" w:bidi="cs-CZ"/>
      </w:rPr>
    </w:lvl>
    <w:lvl w:ilvl="3" w:tplc="379836C8">
      <w:numFmt w:val="bullet"/>
      <w:lvlText w:val="•"/>
      <w:lvlJc w:val="left"/>
      <w:pPr>
        <w:ind w:left="1218" w:hanging="272"/>
      </w:pPr>
      <w:rPr>
        <w:rFonts w:hint="default"/>
        <w:lang w:val="cs-CZ" w:eastAsia="cs-CZ" w:bidi="cs-CZ"/>
      </w:rPr>
    </w:lvl>
    <w:lvl w:ilvl="4" w:tplc="23CC8E58">
      <w:numFmt w:val="bullet"/>
      <w:lvlText w:val="•"/>
      <w:lvlJc w:val="left"/>
      <w:pPr>
        <w:ind w:left="1470" w:hanging="272"/>
      </w:pPr>
      <w:rPr>
        <w:rFonts w:hint="default"/>
        <w:lang w:val="cs-CZ" w:eastAsia="cs-CZ" w:bidi="cs-CZ"/>
      </w:rPr>
    </w:lvl>
    <w:lvl w:ilvl="5" w:tplc="459CC122">
      <w:numFmt w:val="bullet"/>
      <w:lvlText w:val="•"/>
      <w:lvlJc w:val="left"/>
      <w:pPr>
        <w:ind w:left="1723" w:hanging="272"/>
      </w:pPr>
      <w:rPr>
        <w:rFonts w:hint="default"/>
        <w:lang w:val="cs-CZ" w:eastAsia="cs-CZ" w:bidi="cs-CZ"/>
      </w:rPr>
    </w:lvl>
    <w:lvl w:ilvl="6" w:tplc="B80A0EF0">
      <w:numFmt w:val="bullet"/>
      <w:lvlText w:val="•"/>
      <w:lvlJc w:val="left"/>
      <w:pPr>
        <w:ind w:left="1976" w:hanging="272"/>
      </w:pPr>
      <w:rPr>
        <w:rFonts w:hint="default"/>
        <w:lang w:val="cs-CZ" w:eastAsia="cs-CZ" w:bidi="cs-CZ"/>
      </w:rPr>
    </w:lvl>
    <w:lvl w:ilvl="7" w:tplc="5854FE74">
      <w:numFmt w:val="bullet"/>
      <w:lvlText w:val="•"/>
      <w:lvlJc w:val="left"/>
      <w:pPr>
        <w:ind w:left="2229" w:hanging="272"/>
      </w:pPr>
      <w:rPr>
        <w:rFonts w:hint="default"/>
        <w:lang w:val="cs-CZ" w:eastAsia="cs-CZ" w:bidi="cs-CZ"/>
      </w:rPr>
    </w:lvl>
    <w:lvl w:ilvl="8" w:tplc="4DF87A44">
      <w:numFmt w:val="bullet"/>
      <w:lvlText w:val="•"/>
      <w:lvlJc w:val="left"/>
      <w:pPr>
        <w:ind w:left="2481" w:hanging="272"/>
      </w:pPr>
      <w:rPr>
        <w:rFonts w:hint="default"/>
        <w:lang w:val="cs-CZ" w:eastAsia="cs-CZ" w:bidi="cs-CZ"/>
      </w:rPr>
    </w:lvl>
  </w:abstractNum>
  <w:abstractNum w:abstractNumId="133" w15:restartNumberingAfterBreak="0">
    <w:nsid w:val="6DC73D23"/>
    <w:multiLevelType w:val="hybridMultilevel"/>
    <w:tmpl w:val="4D72847A"/>
    <w:lvl w:ilvl="0" w:tplc="B678C17E">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78AA9D66">
      <w:numFmt w:val="bullet"/>
      <w:lvlText w:val="•"/>
      <w:lvlJc w:val="left"/>
      <w:pPr>
        <w:ind w:left="1362" w:hanging="171"/>
      </w:pPr>
      <w:rPr>
        <w:rFonts w:hint="default"/>
        <w:lang w:val="cs-CZ" w:eastAsia="cs-CZ" w:bidi="cs-CZ"/>
      </w:rPr>
    </w:lvl>
    <w:lvl w:ilvl="2" w:tplc="E64C8390">
      <w:numFmt w:val="bullet"/>
      <w:lvlText w:val="•"/>
      <w:lvlJc w:val="left"/>
      <w:pPr>
        <w:ind w:left="1844" w:hanging="171"/>
      </w:pPr>
      <w:rPr>
        <w:rFonts w:hint="default"/>
        <w:lang w:val="cs-CZ" w:eastAsia="cs-CZ" w:bidi="cs-CZ"/>
      </w:rPr>
    </w:lvl>
    <w:lvl w:ilvl="3" w:tplc="B2308FA4">
      <w:numFmt w:val="bullet"/>
      <w:lvlText w:val="•"/>
      <w:lvlJc w:val="left"/>
      <w:pPr>
        <w:ind w:left="2326" w:hanging="171"/>
      </w:pPr>
      <w:rPr>
        <w:rFonts w:hint="default"/>
        <w:lang w:val="cs-CZ" w:eastAsia="cs-CZ" w:bidi="cs-CZ"/>
      </w:rPr>
    </w:lvl>
    <w:lvl w:ilvl="4" w:tplc="198C6172">
      <w:numFmt w:val="bullet"/>
      <w:lvlText w:val="•"/>
      <w:lvlJc w:val="left"/>
      <w:pPr>
        <w:ind w:left="2808" w:hanging="171"/>
      </w:pPr>
      <w:rPr>
        <w:rFonts w:hint="default"/>
        <w:lang w:val="cs-CZ" w:eastAsia="cs-CZ" w:bidi="cs-CZ"/>
      </w:rPr>
    </w:lvl>
    <w:lvl w:ilvl="5" w:tplc="EF2CF78A">
      <w:numFmt w:val="bullet"/>
      <w:lvlText w:val="•"/>
      <w:lvlJc w:val="left"/>
      <w:pPr>
        <w:ind w:left="3291" w:hanging="171"/>
      </w:pPr>
      <w:rPr>
        <w:rFonts w:hint="default"/>
        <w:lang w:val="cs-CZ" w:eastAsia="cs-CZ" w:bidi="cs-CZ"/>
      </w:rPr>
    </w:lvl>
    <w:lvl w:ilvl="6" w:tplc="F2D0BE48">
      <w:numFmt w:val="bullet"/>
      <w:lvlText w:val="•"/>
      <w:lvlJc w:val="left"/>
      <w:pPr>
        <w:ind w:left="3773" w:hanging="171"/>
      </w:pPr>
      <w:rPr>
        <w:rFonts w:hint="default"/>
        <w:lang w:val="cs-CZ" w:eastAsia="cs-CZ" w:bidi="cs-CZ"/>
      </w:rPr>
    </w:lvl>
    <w:lvl w:ilvl="7" w:tplc="467459FE">
      <w:numFmt w:val="bullet"/>
      <w:lvlText w:val="•"/>
      <w:lvlJc w:val="left"/>
      <w:pPr>
        <w:ind w:left="4255" w:hanging="171"/>
      </w:pPr>
      <w:rPr>
        <w:rFonts w:hint="default"/>
        <w:lang w:val="cs-CZ" w:eastAsia="cs-CZ" w:bidi="cs-CZ"/>
      </w:rPr>
    </w:lvl>
    <w:lvl w:ilvl="8" w:tplc="D302B52E">
      <w:numFmt w:val="bullet"/>
      <w:lvlText w:val="•"/>
      <w:lvlJc w:val="left"/>
      <w:pPr>
        <w:ind w:left="4737" w:hanging="171"/>
      </w:pPr>
      <w:rPr>
        <w:rFonts w:hint="default"/>
        <w:lang w:val="cs-CZ" w:eastAsia="cs-CZ" w:bidi="cs-CZ"/>
      </w:rPr>
    </w:lvl>
  </w:abstractNum>
  <w:abstractNum w:abstractNumId="134" w15:restartNumberingAfterBreak="0">
    <w:nsid w:val="6DFB777E"/>
    <w:multiLevelType w:val="hybridMultilevel"/>
    <w:tmpl w:val="CE1CB840"/>
    <w:lvl w:ilvl="0" w:tplc="E74E511C">
      <w:start w:val="36"/>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23027ECA">
      <w:numFmt w:val="bullet"/>
      <w:lvlText w:val="•"/>
      <w:lvlJc w:val="left"/>
      <w:pPr>
        <w:ind w:left="712" w:hanging="272"/>
      </w:pPr>
      <w:rPr>
        <w:rFonts w:hint="default"/>
        <w:lang w:val="cs-CZ" w:eastAsia="cs-CZ" w:bidi="cs-CZ"/>
      </w:rPr>
    </w:lvl>
    <w:lvl w:ilvl="2" w:tplc="9A54EED6">
      <w:numFmt w:val="bullet"/>
      <w:lvlText w:val="•"/>
      <w:lvlJc w:val="left"/>
      <w:pPr>
        <w:ind w:left="965" w:hanging="272"/>
      </w:pPr>
      <w:rPr>
        <w:rFonts w:hint="default"/>
        <w:lang w:val="cs-CZ" w:eastAsia="cs-CZ" w:bidi="cs-CZ"/>
      </w:rPr>
    </w:lvl>
    <w:lvl w:ilvl="3" w:tplc="0B480AFA">
      <w:numFmt w:val="bullet"/>
      <w:lvlText w:val="•"/>
      <w:lvlJc w:val="left"/>
      <w:pPr>
        <w:ind w:left="1218" w:hanging="272"/>
      </w:pPr>
      <w:rPr>
        <w:rFonts w:hint="default"/>
        <w:lang w:val="cs-CZ" w:eastAsia="cs-CZ" w:bidi="cs-CZ"/>
      </w:rPr>
    </w:lvl>
    <w:lvl w:ilvl="4" w:tplc="77E0719A">
      <w:numFmt w:val="bullet"/>
      <w:lvlText w:val="•"/>
      <w:lvlJc w:val="left"/>
      <w:pPr>
        <w:ind w:left="1470" w:hanging="272"/>
      </w:pPr>
      <w:rPr>
        <w:rFonts w:hint="default"/>
        <w:lang w:val="cs-CZ" w:eastAsia="cs-CZ" w:bidi="cs-CZ"/>
      </w:rPr>
    </w:lvl>
    <w:lvl w:ilvl="5" w:tplc="95FEBEC8">
      <w:numFmt w:val="bullet"/>
      <w:lvlText w:val="•"/>
      <w:lvlJc w:val="left"/>
      <w:pPr>
        <w:ind w:left="1723" w:hanging="272"/>
      </w:pPr>
      <w:rPr>
        <w:rFonts w:hint="default"/>
        <w:lang w:val="cs-CZ" w:eastAsia="cs-CZ" w:bidi="cs-CZ"/>
      </w:rPr>
    </w:lvl>
    <w:lvl w:ilvl="6" w:tplc="A240F150">
      <w:numFmt w:val="bullet"/>
      <w:lvlText w:val="•"/>
      <w:lvlJc w:val="left"/>
      <w:pPr>
        <w:ind w:left="1976" w:hanging="272"/>
      </w:pPr>
      <w:rPr>
        <w:rFonts w:hint="default"/>
        <w:lang w:val="cs-CZ" w:eastAsia="cs-CZ" w:bidi="cs-CZ"/>
      </w:rPr>
    </w:lvl>
    <w:lvl w:ilvl="7" w:tplc="0CDA8192">
      <w:numFmt w:val="bullet"/>
      <w:lvlText w:val="•"/>
      <w:lvlJc w:val="left"/>
      <w:pPr>
        <w:ind w:left="2229" w:hanging="272"/>
      </w:pPr>
      <w:rPr>
        <w:rFonts w:hint="default"/>
        <w:lang w:val="cs-CZ" w:eastAsia="cs-CZ" w:bidi="cs-CZ"/>
      </w:rPr>
    </w:lvl>
    <w:lvl w:ilvl="8" w:tplc="5A5C1858">
      <w:numFmt w:val="bullet"/>
      <w:lvlText w:val="•"/>
      <w:lvlJc w:val="left"/>
      <w:pPr>
        <w:ind w:left="2481" w:hanging="272"/>
      </w:pPr>
      <w:rPr>
        <w:rFonts w:hint="default"/>
        <w:lang w:val="cs-CZ" w:eastAsia="cs-CZ" w:bidi="cs-CZ"/>
      </w:rPr>
    </w:lvl>
  </w:abstractNum>
  <w:abstractNum w:abstractNumId="135" w15:restartNumberingAfterBreak="0">
    <w:nsid w:val="6F0D1EC9"/>
    <w:multiLevelType w:val="hybridMultilevel"/>
    <w:tmpl w:val="5E80C47A"/>
    <w:lvl w:ilvl="0" w:tplc="2CA2B77E">
      <w:start w:val="10"/>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16262E30">
      <w:start w:val="1"/>
      <w:numFmt w:val="upperLetter"/>
      <w:lvlText w:val="%2"/>
      <w:lvlJc w:val="left"/>
      <w:pPr>
        <w:ind w:left="455" w:hanging="213"/>
        <w:jc w:val="left"/>
      </w:pPr>
      <w:rPr>
        <w:rFonts w:ascii="Arial" w:eastAsia="Arial" w:hAnsi="Arial" w:cs="Arial" w:hint="default"/>
        <w:b/>
        <w:bCs/>
        <w:color w:val="231F20"/>
        <w:w w:val="94"/>
        <w:sz w:val="12"/>
        <w:szCs w:val="12"/>
        <w:lang w:val="cs-CZ" w:eastAsia="cs-CZ" w:bidi="cs-CZ"/>
      </w:rPr>
    </w:lvl>
    <w:lvl w:ilvl="2" w:tplc="70F832E6">
      <w:numFmt w:val="bullet"/>
      <w:lvlText w:val="•"/>
      <w:lvlJc w:val="left"/>
      <w:pPr>
        <w:ind w:left="954" w:hanging="213"/>
      </w:pPr>
      <w:rPr>
        <w:rFonts w:hint="default"/>
        <w:lang w:val="cs-CZ" w:eastAsia="cs-CZ" w:bidi="cs-CZ"/>
      </w:rPr>
    </w:lvl>
    <w:lvl w:ilvl="3" w:tplc="0BAE90E8">
      <w:numFmt w:val="bullet"/>
      <w:lvlText w:val="•"/>
      <w:lvlJc w:val="left"/>
      <w:pPr>
        <w:ind w:left="1201" w:hanging="213"/>
      </w:pPr>
      <w:rPr>
        <w:rFonts w:hint="default"/>
        <w:lang w:val="cs-CZ" w:eastAsia="cs-CZ" w:bidi="cs-CZ"/>
      </w:rPr>
    </w:lvl>
    <w:lvl w:ilvl="4" w:tplc="9D008682">
      <w:numFmt w:val="bullet"/>
      <w:lvlText w:val="•"/>
      <w:lvlJc w:val="left"/>
      <w:pPr>
        <w:ind w:left="1448" w:hanging="213"/>
      </w:pPr>
      <w:rPr>
        <w:rFonts w:hint="default"/>
        <w:lang w:val="cs-CZ" w:eastAsia="cs-CZ" w:bidi="cs-CZ"/>
      </w:rPr>
    </w:lvl>
    <w:lvl w:ilvl="5" w:tplc="A0FED2CE">
      <w:numFmt w:val="bullet"/>
      <w:lvlText w:val="•"/>
      <w:lvlJc w:val="left"/>
      <w:pPr>
        <w:ind w:left="1695" w:hanging="213"/>
      </w:pPr>
      <w:rPr>
        <w:rFonts w:hint="default"/>
        <w:lang w:val="cs-CZ" w:eastAsia="cs-CZ" w:bidi="cs-CZ"/>
      </w:rPr>
    </w:lvl>
    <w:lvl w:ilvl="6" w:tplc="B9B01FFE">
      <w:numFmt w:val="bullet"/>
      <w:lvlText w:val="•"/>
      <w:lvlJc w:val="left"/>
      <w:pPr>
        <w:ind w:left="1942" w:hanging="213"/>
      </w:pPr>
      <w:rPr>
        <w:rFonts w:hint="default"/>
        <w:lang w:val="cs-CZ" w:eastAsia="cs-CZ" w:bidi="cs-CZ"/>
      </w:rPr>
    </w:lvl>
    <w:lvl w:ilvl="7" w:tplc="9FA28DBE">
      <w:numFmt w:val="bullet"/>
      <w:lvlText w:val="•"/>
      <w:lvlJc w:val="left"/>
      <w:pPr>
        <w:ind w:left="2190" w:hanging="213"/>
      </w:pPr>
      <w:rPr>
        <w:rFonts w:hint="default"/>
        <w:lang w:val="cs-CZ" w:eastAsia="cs-CZ" w:bidi="cs-CZ"/>
      </w:rPr>
    </w:lvl>
    <w:lvl w:ilvl="8" w:tplc="3504257A">
      <w:numFmt w:val="bullet"/>
      <w:lvlText w:val="•"/>
      <w:lvlJc w:val="left"/>
      <w:pPr>
        <w:ind w:left="2437" w:hanging="213"/>
      </w:pPr>
      <w:rPr>
        <w:rFonts w:hint="default"/>
        <w:lang w:val="cs-CZ" w:eastAsia="cs-CZ" w:bidi="cs-CZ"/>
      </w:rPr>
    </w:lvl>
  </w:abstractNum>
  <w:abstractNum w:abstractNumId="136" w15:restartNumberingAfterBreak="0">
    <w:nsid w:val="6FD51989"/>
    <w:multiLevelType w:val="hybridMultilevel"/>
    <w:tmpl w:val="890AD3FE"/>
    <w:lvl w:ilvl="0" w:tplc="31F862C4">
      <w:start w:val="1"/>
      <w:numFmt w:val="lowerLetter"/>
      <w:lvlText w:val="%1"/>
      <w:lvlJc w:val="left"/>
      <w:pPr>
        <w:ind w:left="880" w:hanging="171"/>
        <w:jc w:val="right"/>
      </w:pPr>
      <w:rPr>
        <w:rFonts w:ascii="Arial" w:eastAsia="Arial" w:hAnsi="Arial" w:cs="Arial" w:hint="default"/>
        <w:color w:val="231F20"/>
        <w:w w:val="99"/>
        <w:sz w:val="15"/>
        <w:szCs w:val="15"/>
        <w:lang w:val="cs-CZ" w:eastAsia="cs-CZ" w:bidi="cs-CZ"/>
      </w:rPr>
    </w:lvl>
    <w:lvl w:ilvl="1" w:tplc="4F70E0F8">
      <w:numFmt w:val="bullet"/>
      <w:lvlText w:val="•"/>
      <w:lvlJc w:val="left"/>
      <w:pPr>
        <w:ind w:left="1361" w:hanging="171"/>
      </w:pPr>
      <w:rPr>
        <w:rFonts w:hint="default"/>
        <w:lang w:val="cs-CZ" w:eastAsia="cs-CZ" w:bidi="cs-CZ"/>
      </w:rPr>
    </w:lvl>
    <w:lvl w:ilvl="2" w:tplc="35C8874E">
      <w:numFmt w:val="bullet"/>
      <w:lvlText w:val="•"/>
      <w:lvlJc w:val="left"/>
      <w:pPr>
        <w:ind w:left="1843" w:hanging="171"/>
      </w:pPr>
      <w:rPr>
        <w:rFonts w:hint="default"/>
        <w:lang w:val="cs-CZ" w:eastAsia="cs-CZ" w:bidi="cs-CZ"/>
      </w:rPr>
    </w:lvl>
    <w:lvl w:ilvl="3" w:tplc="34C86EA8">
      <w:numFmt w:val="bullet"/>
      <w:lvlText w:val="•"/>
      <w:lvlJc w:val="left"/>
      <w:pPr>
        <w:ind w:left="2325" w:hanging="171"/>
      </w:pPr>
      <w:rPr>
        <w:rFonts w:hint="default"/>
        <w:lang w:val="cs-CZ" w:eastAsia="cs-CZ" w:bidi="cs-CZ"/>
      </w:rPr>
    </w:lvl>
    <w:lvl w:ilvl="4" w:tplc="BFFE1602">
      <w:numFmt w:val="bullet"/>
      <w:lvlText w:val="•"/>
      <w:lvlJc w:val="left"/>
      <w:pPr>
        <w:ind w:left="2807" w:hanging="171"/>
      </w:pPr>
      <w:rPr>
        <w:rFonts w:hint="default"/>
        <w:lang w:val="cs-CZ" w:eastAsia="cs-CZ" w:bidi="cs-CZ"/>
      </w:rPr>
    </w:lvl>
    <w:lvl w:ilvl="5" w:tplc="9AE49132">
      <w:numFmt w:val="bullet"/>
      <w:lvlText w:val="•"/>
      <w:lvlJc w:val="left"/>
      <w:pPr>
        <w:ind w:left="3289" w:hanging="171"/>
      </w:pPr>
      <w:rPr>
        <w:rFonts w:hint="default"/>
        <w:lang w:val="cs-CZ" w:eastAsia="cs-CZ" w:bidi="cs-CZ"/>
      </w:rPr>
    </w:lvl>
    <w:lvl w:ilvl="6" w:tplc="946A186A">
      <w:numFmt w:val="bullet"/>
      <w:lvlText w:val="•"/>
      <w:lvlJc w:val="left"/>
      <w:pPr>
        <w:ind w:left="3771" w:hanging="171"/>
      </w:pPr>
      <w:rPr>
        <w:rFonts w:hint="default"/>
        <w:lang w:val="cs-CZ" w:eastAsia="cs-CZ" w:bidi="cs-CZ"/>
      </w:rPr>
    </w:lvl>
    <w:lvl w:ilvl="7" w:tplc="E7B4A858">
      <w:numFmt w:val="bullet"/>
      <w:lvlText w:val="•"/>
      <w:lvlJc w:val="left"/>
      <w:pPr>
        <w:ind w:left="4253" w:hanging="171"/>
      </w:pPr>
      <w:rPr>
        <w:rFonts w:hint="default"/>
        <w:lang w:val="cs-CZ" w:eastAsia="cs-CZ" w:bidi="cs-CZ"/>
      </w:rPr>
    </w:lvl>
    <w:lvl w:ilvl="8" w:tplc="CE508028">
      <w:numFmt w:val="bullet"/>
      <w:lvlText w:val="•"/>
      <w:lvlJc w:val="left"/>
      <w:pPr>
        <w:ind w:left="4735" w:hanging="171"/>
      </w:pPr>
      <w:rPr>
        <w:rFonts w:hint="default"/>
        <w:lang w:val="cs-CZ" w:eastAsia="cs-CZ" w:bidi="cs-CZ"/>
      </w:rPr>
    </w:lvl>
  </w:abstractNum>
  <w:abstractNum w:abstractNumId="137" w15:restartNumberingAfterBreak="0">
    <w:nsid w:val="70E95EFF"/>
    <w:multiLevelType w:val="hybridMultilevel"/>
    <w:tmpl w:val="4B0A52EE"/>
    <w:lvl w:ilvl="0" w:tplc="EEE466C8">
      <w:start w:val="43"/>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8EFA86EE">
      <w:numFmt w:val="bullet"/>
      <w:lvlText w:val="•"/>
      <w:lvlJc w:val="left"/>
      <w:pPr>
        <w:ind w:left="726" w:hanging="272"/>
      </w:pPr>
      <w:rPr>
        <w:rFonts w:hint="default"/>
        <w:lang w:val="cs-CZ" w:eastAsia="cs-CZ" w:bidi="cs-CZ"/>
      </w:rPr>
    </w:lvl>
    <w:lvl w:ilvl="2" w:tplc="C4E4F302">
      <w:numFmt w:val="bullet"/>
      <w:lvlText w:val="•"/>
      <w:lvlJc w:val="left"/>
      <w:pPr>
        <w:ind w:left="992" w:hanging="272"/>
      </w:pPr>
      <w:rPr>
        <w:rFonts w:hint="default"/>
        <w:lang w:val="cs-CZ" w:eastAsia="cs-CZ" w:bidi="cs-CZ"/>
      </w:rPr>
    </w:lvl>
    <w:lvl w:ilvl="3" w:tplc="4A54E15C">
      <w:numFmt w:val="bullet"/>
      <w:lvlText w:val="•"/>
      <w:lvlJc w:val="left"/>
      <w:pPr>
        <w:ind w:left="1259" w:hanging="272"/>
      </w:pPr>
      <w:rPr>
        <w:rFonts w:hint="default"/>
        <w:lang w:val="cs-CZ" w:eastAsia="cs-CZ" w:bidi="cs-CZ"/>
      </w:rPr>
    </w:lvl>
    <w:lvl w:ilvl="4" w:tplc="46A82A92">
      <w:numFmt w:val="bullet"/>
      <w:lvlText w:val="•"/>
      <w:lvlJc w:val="left"/>
      <w:pPr>
        <w:ind w:left="1525" w:hanging="272"/>
      </w:pPr>
      <w:rPr>
        <w:rFonts w:hint="default"/>
        <w:lang w:val="cs-CZ" w:eastAsia="cs-CZ" w:bidi="cs-CZ"/>
      </w:rPr>
    </w:lvl>
    <w:lvl w:ilvl="5" w:tplc="9E6E8060">
      <w:numFmt w:val="bullet"/>
      <w:lvlText w:val="•"/>
      <w:lvlJc w:val="left"/>
      <w:pPr>
        <w:ind w:left="1792" w:hanging="272"/>
      </w:pPr>
      <w:rPr>
        <w:rFonts w:hint="default"/>
        <w:lang w:val="cs-CZ" w:eastAsia="cs-CZ" w:bidi="cs-CZ"/>
      </w:rPr>
    </w:lvl>
    <w:lvl w:ilvl="6" w:tplc="42504F30">
      <w:numFmt w:val="bullet"/>
      <w:lvlText w:val="•"/>
      <w:lvlJc w:val="left"/>
      <w:pPr>
        <w:ind w:left="2058" w:hanging="272"/>
      </w:pPr>
      <w:rPr>
        <w:rFonts w:hint="default"/>
        <w:lang w:val="cs-CZ" w:eastAsia="cs-CZ" w:bidi="cs-CZ"/>
      </w:rPr>
    </w:lvl>
    <w:lvl w:ilvl="7" w:tplc="3F74CD8A">
      <w:numFmt w:val="bullet"/>
      <w:lvlText w:val="•"/>
      <w:lvlJc w:val="left"/>
      <w:pPr>
        <w:ind w:left="2325" w:hanging="272"/>
      </w:pPr>
      <w:rPr>
        <w:rFonts w:hint="default"/>
        <w:lang w:val="cs-CZ" w:eastAsia="cs-CZ" w:bidi="cs-CZ"/>
      </w:rPr>
    </w:lvl>
    <w:lvl w:ilvl="8" w:tplc="AE72C6A6">
      <w:numFmt w:val="bullet"/>
      <w:lvlText w:val="•"/>
      <w:lvlJc w:val="left"/>
      <w:pPr>
        <w:ind w:left="2591" w:hanging="272"/>
      </w:pPr>
      <w:rPr>
        <w:rFonts w:hint="default"/>
        <w:lang w:val="cs-CZ" w:eastAsia="cs-CZ" w:bidi="cs-CZ"/>
      </w:rPr>
    </w:lvl>
  </w:abstractNum>
  <w:abstractNum w:abstractNumId="138" w15:restartNumberingAfterBreak="0">
    <w:nsid w:val="730E2640"/>
    <w:multiLevelType w:val="multilevel"/>
    <w:tmpl w:val="1DFCB3E2"/>
    <w:lvl w:ilvl="0">
      <w:start w:val="16"/>
      <w:numFmt w:val="decimal"/>
      <w:lvlText w:val="%1"/>
      <w:lvlJc w:val="left"/>
      <w:pPr>
        <w:ind w:left="899" w:hanging="782"/>
        <w:jc w:val="left"/>
      </w:pPr>
      <w:rPr>
        <w:rFonts w:hint="default"/>
        <w:lang w:val="cs-CZ" w:eastAsia="cs-CZ" w:bidi="cs-CZ"/>
      </w:rPr>
    </w:lvl>
    <w:lvl w:ilvl="1">
      <w:start w:val="4"/>
      <w:numFmt w:val="decimal"/>
      <w:lvlText w:val="%1.%2"/>
      <w:lvlJc w:val="left"/>
      <w:pPr>
        <w:ind w:left="899" w:hanging="782"/>
        <w:jc w:val="left"/>
      </w:pPr>
      <w:rPr>
        <w:rFonts w:hint="default"/>
        <w:lang w:val="cs-CZ" w:eastAsia="cs-CZ" w:bidi="cs-CZ"/>
      </w:rPr>
    </w:lvl>
    <w:lvl w:ilvl="2">
      <w:start w:val="1"/>
      <w:numFmt w:val="decimal"/>
      <w:lvlText w:val="%1.%2.%3"/>
      <w:lvlJc w:val="left"/>
      <w:pPr>
        <w:ind w:left="899" w:hanging="782"/>
        <w:jc w:val="right"/>
      </w:pPr>
      <w:rPr>
        <w:rFonts w:ascii="Arial" w:eastAsia="Arial" w:hAnsi="Arial" w:cs="Arial" w:hint="default"/>
        <w:color w:val="231F20"/>
        <w:w w:val="99"/>
        <w:sz w:val="22"/>
        <w:szCs w:val="22"/>
        <w:lang w:val="cs-CZ" w:eastAsia="cs-CZ" w:bidi="cs-CZ"/>
      </w:rPr>
    </w:lvl>
    <w:lvl w:ilvl="3">
      <w:start w:val="1"/>
      <w:numFmt w:val="lowerLetter"/>
      <w:lvlText w:val="%4)"/>
      <w:lvlJc w:val="left"/>
      <w:pPr>
        <w:ind w:left="1251" w:hanging="284"/>
        <w:jc w:val="left"/>
      </w:pPr>
      <w:rPr>
        <w:rFonts w:ascii="Arial" w:eastAsia="Arial" w:hAnsi="Arial" w:cs="Arial" w:hint="default"/>
        <w:color w:val="231F20"/>
        <w:w w:val="99"/>
        <w:sz w:val="22"/>
        <w:szCs w:val="22"/>
        <w:lang w:val="cs-CZ" w:eastAsia="cs-CZ" w:bidi="cs-CZ"/>
      </w:rPr>
    </w:lvl>
    <w:lvl w:ilvl="4">
      <w:numFmt w:val="bullet"/>
      <w:lvlText w:val="•"/>
      <w:lvlJc w:val="left"/>
      <w:pPr>
        <w:ind w:left="3986" w:hanging="284"/>
      </w:pPr>
      <w:rPr>
        <w:rFonts w:hint="default"/>
        <w:lang w:val="cs-CZ" w:eastAsia="cs-CZ" w:bidi="cs-CZ"/>
      </w:rPr>
    </w:lvl>
    <w:lvl w:ilvl="5">
      <w:numFmt w:val="bullet"/>
      <w:lvlText w:val="•"/>
      <w:lvlJc w:val="left"/>
      <w:pPr>
        <w:ind w:left="4895" w:hanging="284"/>
      </w:pPr>
      <w:rPr>
        <w:rFonts w:hint="default"/>
        <w:lang w:val="cs-CZ" w:eastAsia="cs-CZ" w:bidi="cs-CZ"/>
      </w:rPr>
    </w:lvl>
    <w:lvl w:ilvl="6">
      <w:numFmt w:val="bullet"/>
      <w:lvlText w:val="•"/>
      <w:lvlJc w:val="left"/>
      <w:pPr>
        <w:ind w:left="5804" w:hanging="284"/>
      </w:pPr>
      <w:rPr>
        <w:rFonts w:hint="default"/>
        <w:lang w:val="cs-CZ" w:eastAsia="cs-CZ" w:bidi="cs-CZ"/>
      </w:rPr>
    </w:lvl>
    <w:lvl w:ilvl="7">
      <w:numFmt w:val="bullet"/>
      <w:lvlText w:val="•"/>
      <w:lvlJc w:val="left"/>
      <w:pPr>
        <w:ind w:left="6713" w:hanging="284"/>
      </w:pPr>
      <w:rPr>
        <w:rFonts w:hint="default"/>
        <w:lang w:val="cs-CZ" w:eastAsia="cs-CZ" w:bidi="cs-CZ"/>
      </w:rPr>
    </w:lvl>
    <w:lvl w:ilvl="8">
      <w:numFmt w:val="bullet"/>
      <w:lvlText w:val="•"/>
      <w:lvlJc w:val="left"/>
      <w:pPr>
        <w:ind w:left="7622" w:hanging="284"/>
      </w:pPr>
      <w:rPr>
        <w:rFonts w:hint="default"/>
        <w:lang w:val="cs-CZ" w:eastAsia="cs-CZ" w:bidi="cs-CZ"/>
      </w:rPr>
    </w:lvl>
  </w:abstractNum>
  <w:abstractNum w:abstractNumId="139" w15:restartNumberingAfterBreak="0">
    <w:nsid w:val="73B0017F"/>
    <w:multiLevelType w:val="hybridMultilevel"/>
    <w:tmpl w:val="27F8A736"/>
    <w:lvl w:ilvl="0" w:tplc="7666ACA8">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1C8A2D3E">
      <w:numFmt w:val="bullet"/>
      <w:lvlText w:val="•"/>
      <w:lvlJc w:val="left"/>
      <w:pPr>
        <w:ind w:left="1362" w:hanging="171"/>
      </w:pPr>
      <w:rPr>
        <w:rFonts w:hint="default"/>
        <w:lang w:val="cs-CZ" w:eastAsia="cs-CZ" w:bidi="cs-CZ"/>
      </w:rPr>
    </w:lvl>
    <w:lvl w:ilvl="2" w:tplc="0A802E52">
      <w:numFmt w:val="bullet"/>
      <w:lvlText w:val="•"/>
      <w:lvlJc w:val="left"/>
      <w:pPr>
        <w:ind w:left="1844" w:hanging="171"/>
      </w:pPr>
      <w:rPr>
        <w:rFonts w:hint="default"/>
        <w:lang w:val="cs-CZ" w:eastAsia="cs-CZ" w:bidi="cs-CZ"/>
      </w:rPr>
    </w:lvl>
    <w:lvl w:ilvl="3" w:tplc="67301904">
      <w:numFmt w:val="bullet"/>
      <w:lvlText w:val="•"/>
      <w:lvlJc w:val="left"/>
      <w:pPr>
        <w:ind w:left="2327" w:hanging="171"/>
      </w:pPr>
      <w:rPr>
        <w:rFonts w:hint="default"/>
        <w:lang w:val="cs-CZ" w:eastAsia="cs-CZ" w:bidi="cs-CZ"/>
      </w:rPr>
    </w:lvl>
    <w:lvl w:ilvl="4" w:tplc="0AAE1F34">
      <w:numFmt w:val="bullet"/>
      <w:lvlText w:val="•"/>
      <w:lvlJc w:val="left"/>
      <w:pPr>
        <w:ind w:left="2809" w:hanging="171"/>
      </w:pPr>
      <w:rPr>
        <w:rFonts w:hint="default"/>
        <w:lang w:val="cs-CZ" w:eastAsia="cs-CZ" w:bidi="cs-CZ"/>
      </w:rPr>
    </w:lvl>
    <w:lvl w:ilvl="5" w:tplc="844E25A2">
      <w:numFmt w:val="bullet"/>
      <w:lvlText w:val="•"/>
      <w:lvlJc w:val="left"/>
      <w:pPr>
        <w:ind w:left="3291" w:hanging="171"/>
      </w:pPr>
      <w:rPr>
        <w:rFonts w:hint="default"/>
        <w:lang w:val="cs-CZ" w:eastAsia="cs-CZ" w:bidi="cs-CZ"/>
      </w:rPr>
    </w:lvl>
    <w:lvl w:ilvl="6" w:tplc="1672793A">
      <w:numFmt w:val="bullet"/>
      <w:lvlText w:val="•"/>
      <w:lvlJc w:val="left"/>
      <w:pPr>
        <w:ind w:left="3774" w:hanging="171"/>
      </w:pPr>
      <w:rPr>
        <w:rFonts w:hint="default"/>
        <w:lang w:val="cs-CZ" w:eastAsia="cs-CZ" w:bidi="cs-CZ"/>
      </w:rPr>
    </w:lvl>
    <w:lvl w:ilvl="7" w:tplc="4BDA5F5E">
      <w:numFmt w:val="bullet"/>
      <w:lvlText w:val="•"/>
      <w:lvlJc w:val="left"/>
      <w:pPr>
        <w:ind w:left="4256" w:hanging="171"/>
      </w:pPr>
      <w:rPr>
        <w:rFonts w:hint="default"/>
        <w:lang w:val="cs-CZ" w:eastAsia="cs-CZ" w:bidi="cs-CZ"/>
      </w:rPr>
    </w:lvl>
    <w:lvl w:ilvl="8" w:tplc="FC9476BA">
      <w:numFmt w:val="bullet"/>
      <w:lvlText w:val="•"/>
      <w:lvlJc w:val="left"/>
      <w:pPr>
        <w:ind w:left="4738" w:hanging="171"/>
      </w:pPr>
      <w:rPr>
        <w:rFonts w:hint="default"/>
        <w:lang w:val="cs-CZ" w:eastAsia="cs-CZ" w:bidi="cs-CZ"/>
      </w:rPr>
    </w:lvl>
  </w:abstractNum>
  <w:abstractNum w:abstractNumId="140" w15:restartNumberingAfterBreak="0">
    <w:nsid w:val="7405425E"/>
    <w:multiLevelType w:val="hybridMultilevel"/>
    <w:tmpl w:val="88AA6720"/>
    <w:lvl w:ilvl="0" w:tplc="BB6C8F54">
      <w:start w:val="1"/>
      <w:numFmt w:val="lowerLetter"/>
      <w:lvlText w:val="%1"/>
      <w:lvlJc w:val="left"/>
      <w:pPr>
        <w:ind w:left="880" w:hanging="171"/>
        <w:jc w:val="left"/>
      </w:pPr>
      <w:rPr>
        <w:rFonts w:ascii="Arial" w:eastAsia="Arial" w:hAnsi="Arial" w:cs="Arial" w:hint="default"/>
        <w:color w:val="231F20"/>
        <w:w w:val="99"/>
        <w:sz w:val="15"/>
        <w:szCs w:val="15"/>
        <w:lang w:val="cs-CZ" w:eastAsia="cs-CZ" w:bidi="cs-CZ"/>
      </w:rPr>
    </w:lvl>
    <w:lvl w:ilvl="1" w:tplc="260632AA">
      <w:numFmt w:val="bullet"/>
      <w:lvlText w:val="•"/>
      <w:lvlJc w:val="left"/>
      <w:pPr>
        <w:ind w:left="1362" w:hanging="171"/>
      </w:pPr>
      <w:rPr>
        <w:rFonts w:hint="default"/>
        <w:lang w:val="cs-CZ" w:eastAsia="cs-CZ" w:bidi="cs-CZ"/>
      </w:rPr>
    </w:lvl>
    <w:lvl w:ilvl="2" w:tplc="F79EE90C">
      <w:numFmt w:val="bullet"/>
      <w:lvlText w:val="•"/>
      <w:lvlJc w:val="left"/>
      <w:pPr>
        <w:ind w:left="1844" w:hanging="171"/>
      </w:pPr>
      <w:rPr>
        <w:rFonts w:hint="default"/>
        <w:lang w:val="cs-CZ" w:eastAsia="cs-CZ" w:bidi="cs-CZ"/>
      </w:rPr>
    </w:lvl>
    <w:lvl w:ilvl="3" w:tplc="FD5A040C">
      <w:numFmt w:val="bullet"/>
      <w:lvlText w:val="•"/>
      <w:lvlJc w:val="left"/>
      <w:pPr>
        <w:ind w:left="2326" w:hanging="171"/>
      </w:pPr>
      <w:rPr>
        <w:rFonts w:hint="default"/>
        <w:lang w:val="cs-CZ" w:eastAsia="cs-CZ" w:bidi="cs-CZ"/>
      </w:rPr>
    </w:lvl>
    <w:lvl w:ilvl="4" w:tplc="AA46D6A6">
      <w:numFmt w:val="bullet"/>
      <w:lvlText w:val="•"/>
      <w:lvlJc w:val="left"/>
      <w:pPr>
        <w:ind w:left="2808" w:hanging="171"/>
      </w:pPr>
      <w:rPr>
        <w:rFonts w:hint="default"/>
        <w:lang w:val="cs-CZ" w:eastAsia="cs-CZ" w:bidi="cs-CZ"/>
      </w:rPr>
    </w:lvl>
    <w:lvl w:ilvl="5" w:tplc="513CD470">
      <w:numFmt w:val="bullet"/>
      <w:lvlText w:val="•"/>
      <w:lvlJc w:val="left"/>
      <w:pPr>
        <w:ind w:left="3290" w:hanging="171"/>
      </w:pPr>
      <w:rPr>
        <w:rFonts w:hint="default"/>
        <w:lang w:val="cs-CZ" w:eastAsia="cs-CZ" w:bidi="cs-CZ"/>
      </w:rPr>
    </w:lvl>
    <w:lvl w:ilvl="6" w:tplc="45EE4E7E">
      <w:numFmt w:val="bullet"/>
      <w:lvlText w:val="•"/>
      <w:lvlJc w:val="left"/>
      <w:pPr>
        <w:ind w:left="3772" w:hanging="171"/>
      </w:pPr>
      <w:rPr>
        <w:rFonts w:hint="default"/>
        <w:lang w:val="cs-CZ" w:eastAsia="cs-CZ" w:bidi="cs-CZ"/>
      </w:rPr>
    </w:lvl>
    <w:lvl w:ilvl="7" w:tplc="8FE60AC4">
      <w:numFmt w:val="bullet"/>
      <w:lvlText w:val="•"/>
      <w:lvlJc w:val="left"/>
      <w:pPr>
        <w:ind w:left="4254" w:hanging="171"/>
      </w:pPr>
      <w:rPr>
        <w:rFonts w:hint="default"/>
        <w:lang w:val="cs-CZ" w:eastAsia="cs-CZ" w:bidi="cs-CZ"/>
      </w:rPr>
    </w:lvl>
    <w:lvl w:ilvl="8" w:tplc="555284E2">
      <w:numFmt w:val="bullet"/>
      <w:lvlText w:val="•"/>
      <w:lvlJc w:val="left"/>
      <w:pPr>
        <w:ind w:left="4736" w:hanging="171"/>
      </w:pPr>
      <w:rPr>
        <w:rFonts w:hint="default"/>
        <w:lang w:val="cs-CZ" w:eastAsia="cs-CZ" w:bidi="cs-CZ"/>
      </w:rPr>
    </w:lvl>
  </w:abstractNum>
  <w:abstractNum w:abstractNumId="141" w15:restartNumberingAfterBreak="0">
    <w:nsid w:val="74763473"/>
    <w:multiLevelType w:val="hybridMultilevel"/>
    <w:tmpl w:val="A2FC220C"/>
    <w:lvl w:ilvl="0" w:tplc="B2B69444">
      <w:start w:val="1"/>
      <w:numFmt w:val="lowerRoman"/>
      <w:lvlText w:val="%1"/>
      <w:lvlJc w:val="left"/>
      <w:pPr>
        <w:ind w:left="1050" w:hanging="171"/>
        <w:jc w:val="left"/>
      </w:pPr>
      <w:rPr>
        <w:rFonts w:ascii="Arial" w:eastAsia="Arial" w:hAnsi="Arial" w:cs="Arial" w:hint="default"/>
        <w:color w:val="231F20"/>
        <w:w w:val="108"/>
        <w:sz w:val="15"/>
        <w:szCs w:val="15"/>
        <w:lang w:val="cs-CZ" w:eastAsia="cs-CZ" w:bidi="cs-CZ"/>
      </w:rPr>
    </w:lvl>
    <w:lvl w:ilvl="1" w:tplc="9620B5B2">
      <w:numFmt w:val="bullet"/>
      <w:lvlText w:val="•"/>
      <w:lvlJc w:val="left"/>
      <w:pPr>
        <w:ind w:left="1524" w:hanging="171"/>
      </w:pPr>
      <w:rPr>
        <w:rFonts w:hint="default"/>
        <w:lang w:val="cs-CZ" w:eastAsia="cs-CZ" w:bidi="cs-CZ"/>
      </w:rPr>
    </w:lvl>
    <w:lvl w:ilvl="2" w:tplc="0F4071C6">
      <w:numFmt w:val="bullet"/>
      <w:lvlText w:val="•"/>
      <w:lvlJc w:val="left"/>
      <w:pPr>
        <w:ind w:left="1989" w:hanging="171"/>
      </w:pPr>
      <w:rPr>
        <w:rFonts w:hint="default"/>
        <w:lang w:val="cs-CZ" w:eastAsia="cs-CZ" w:bidi="cs-CZ"/>
      </w:rPr>
    </w:lvl>
    <w:lvl w:ilvl="3" w:tplc="3C527A22">
      <w:numFmt w:val="bullet"/>
      <w:lvlText w:val="•"/>
      <w:lvlJc w:val="left"/>
      <w:pPr>
        <w:ind w:left="2453" w:hanging="171"/>
      </w:pPr>
      <w:rPr>
        <w:rFonts w:hint="default"/>
        <w:lang w:val="cs-CZ" w:eastAsia="cs-CZ" w:bidi="cs-CZ"/>
      </w:rPr>
    </w:lvl>
    <w:lvl w:ilvl="4" w:tplc="DDE4052E">
      <w:numFmt w:val="bullet"/>
      <w:lvlText w:val="•"/>
      <w:lvlJc w:val="left"/>
      <w:pPr>
        <w:ind w:left="2918" w:hanging="171"/>
      </w:pPr>
      <w:rPr>
        <w:rFonts w:hint="default"/>
        <w:lang w:val="cs-CZ" w:eastAsia="cs-CZ" w:bidi="cs-CZ"/>
      </w:rPr>
    </w:lvl>
    <w:lvl w:ilvl="5" w:tplc="18889136">
      <w:numFmt w:val="bullet"/>
      <w:lvlText w:val="•"/>
      <w:lvlJc w:val="left"/>
      <w:pPr>
        <w:ind w:left="3382" w:hanging="171"/>
      </w:pPr>
      <w:rPr>
        <w:rFonts w:hint="default"/>
        <w:lang w:val="cs-CZ" w:eastAsia="cs-CZ" w:bidi="cs-CZ"/>
      </w:rPr>
    </w:lvl>
    <w:lvl w:ilvl="6" w:tplc="70ACFD68">
      <w:numFmt w:val="bullet"/>
      <w:lvlText w:val="•"/>
      <w:lvlJc w:val="left"/>
      <w:pPr>
        <w:ind w:left="3847" w:hanging="171"/>
      </w:pPr>
      <w:rPr>
        <w:rFonts w:hint="default"/>
        <w:lang w:val="cs-CZ" w:eastAsia="cs-CZ" w:bidi="cs-CZ"/>
      </w:rPr>
    </w:lvl>
    <w:lvl w:ilvl="7" w:tplc="39D2BF80">
      <w:numFmt w:val="bullet"/>
      <w:lvlText w:val="•"/>
      <w:lvlJc w:val="left"/>
      <w:pPr>
        <w:ind w:left="4311" w:hanging="171"/>
      </w:pPr>
      <w:rPr>
        <w:rFonts w:hint="default"/>
        <w:lang w:val="cs-CZ" w:eastAsia="cs-CZ" w:bidi="cs-CZ"/>
      </w:rPr>
    </w:lvl>
    <w:lvl w:ilvl="8" w:tplc="44A608F0">
      <w:numFmt w:val="bullet"/>
      <w:lvlText w:val="•"/>
      <w:lvlJc w:val="left"/>
      <w:pPr>
        <w:ind w:left="4776" w:hanging="171"/>
      </w:pPr>
      <w:rPr>
        <w:rFonts w:hint="default"/>
        <w:lang w:val="cs-CZ" w:eastAsia="cs-CZ" w:bidi="cs-CZ"/>
      </w:rPr>
    </w:lvl>
  </w:abstractNum>
  <w:abstractNum w:abstractNumId="142" w15:restartNumberingAfterBreak="0">
    <w:nsid w:val="747F745B"/>
    <w:multiLevelType w:val="hybridMultilevel"/>
    <w:tmpl w:val="42C25C1A"/>
    <w:lvl w:ilvl="0" w:tplc="C832D59C">
      <w:start w:val="158"/>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4FC21FF8">
      <w:numFmt w:val="bullet"/>
      <w:lvlText w:val="•"/>
      <w:lvlJc w:val="left"/>
      <w:pPr>
        <w:ind w:left="729" w:hanging="272"/>
      </w:pPr>
      <w:rPr>
        <w:rFonts w:hint="default"/>
        <w:lang w:val="cs-CZ" w:eastAsia="cs-CZ" w:bidi="cs-CZ"/>
      </w:rPr>
    </w:lvl>
    <w:lvl w:ilvl="2" w:tplc="B72EE0C4">
      <w:numFmt w:val="bullet"/>
      <w:lvlText w:val="•"/>
      <w:lvlJc w:val="left"/>
      <w:pPr>
        <w:ind w:left="998" w:hanging="272"/>
      </w:pPr>
      <w:rPr>
        <w:rFonts w:hint="default"/>
        <w:lang w:val="cs-CZ" w:eastAsia="cs-CZ" w:bidi="cs-CZ"/>
      </w:rPr>
    </w:lvl>
    <w:lvl w:ilvl="3" w:tplc="3E9EB754">
      <w:numFmt w:val="bullet"/>
      <w:lvlText w:val="•"/>
      <w:lvlJc w:val="left"/>
      <w:pPr>
        <w:ind w:left="1268" w:hanging="272"/>
      </w:pPr>
      <w:rPr>
        <w:rFonts w:hint="default"/>
        <w:lang w:val="cs-CZ" w:eastAsia="cs-CZ" w:bidi="cs-CZ"/>
      </w:rPr>
    </w:lvl>
    <w:lvl w:ilvl="4" w:tplc="941807F8">
      <w:numFmt w:val="bullet"/>
      <w:lvlText w:val="•"/>
      <w:lvlJc w:val="left"/>
      <w:pPr>
        <w:ind w:left="1537" w:hanging="272"/>
      </w:pPr>
      <w:rPr>
        <w:rFonts w:hint="default"/>
        <w:lang w:val="cs-CZ" w:eastAsia="cs-CZ" w:bidi="cs-CZ"/>
      </w:rPr>
    </w:lvl>
    <w:lvl w:ilvl="5" w:tplc="2B34CFCC">
      <w:numFmt w:val="bullet"/>
      <w:lvlText w:val="•"/>
      <w:lvlJc w:val="left"/>
      <w:pPr>
        <w:ind w:left="1806" w:hanging="272"/>
      </w:pPr>
      <w:rPr>
        <w:rFonts w:hint="default"/>
        <w:lang w:val="cs-CZ" w:eastAsia="cs-CZ" w:bidi="cs-CZ"/>
      </w:rPr>
    </w:lvl>
    <w:lvl w:ilvl="6" w:tplc="3B1AA258">
      <w:numFmt w:val="bullet"/>
      <w:lvlText w:val="•"/>
      <w:lvlJc w:val="left"/>
      <w:pPr>
        <w:ind w:left="2076" w:hanging="272"/>
      </w:pPr>
      <w:rPr>
        <w:rFonts w:hint="default"/>
        <w:lang w:val="cs-CZ" w:eastAsia="cs-CZ" w:bidi="cs-CZ"/>
      </w:rPr>
    </w:lvl>
    <w:lvl w:ilvl="7" w:tplc="8DC40690">
      <w:numFmt w:val="bullet"/>
      <w:lvlText w:val="•"/>
      <w:lvlJc w:val="left"/>
      <w:pPr>
        <w:ind w:left="2345" w:hanging="272"/>
      </w:pPr>
      <w:rPr>
        <w:rFonts w:hint="default"/>
        <w:lang w:val="cs-CZ" w:eastAsia="cs-CZ" w:bidi="cs-CZ"/>
      </w:rPr>
    </w:lvl>
    <w:lvl w:ilvl="8" w:tplc="07ACA488">
      <w:numFmt w:val="bullet"/>
      <w:lvlText w:val="•"/>
      <w:lvlJc w:val="left"/>
      <w:pPr>
        <w:ind w:left="2614" w:hanging="272"/>
      </w:pPr>
      <w:rPr>
        <w:rFonts w:hint="default"/>
        <w:lang w:val="cs-CZ" w:eastAsia="cs-CZ" w:bidi="cs-CZ"/>
      </w:rPr>
    </w:lvl>
  </w:abstractNum>
  <w:abstractNum w:abstractNumId="143" w15:restartNumberingAfterBreak="0">
    <w:nsid w:val="761C682D"/>
    <w:multiLevelType w:val="hybridMultilevel"/>
    <w:tmpl w:val="B47C856E"/>
    <w:lvl w:ilvl="0" w:tplc="4EDCB526">
      <w:start w:val="382"/>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279294FC">
      <w:numFmt w:val="bullet"/>
      <w:lvlText w:val="•"/>
      <w:lvlJc w:val="left"/>
      <w:pPr>
        <w:ind w:left="728" w:hanging="272"/>
      </w:pPr>
      <w:rPr>
        <w:rFonts w:hint="default"/>
        <w:lang w:val="cs-CZ" w:eastAsia="cs-CZ" w:bidi="cs-CZ"/>
      </w:rPr>
    </w:lvl>
    <w:lvl w:ilvl="2" w:tplc="F25C3DBC">
      <w:numFmt w:val="bullet"/>
      <w:lvlText w:val="•"/>
      <w:lvlJc w:val="left"/>
      <w:pPr>
        <w:ind w:left="996" w:hanging="272"/>
      </w:pPr>
      <w:rPr>
        <w:rFonts w:hint="default"/>
        <w:lang w:val="cs-CZ" w:eastAsia="cs-CZ" w:bidi="cs-CZ"/>
      </w:rPr>
    </w:lvl>
    <w:lvl w:ilvl="3" w:tplc="BF6ABA10">
      <w:numFmt w:val="bullet"/>
      <w:lvlText w:val="•"/>
      <w:lvlJc w:val="left"/>
      <w:pPr>
        <w:ind w:left="1265" w:hanging="272"/>
      </w:pPr>
      <w:rPr>
        <w:rFonts w:hint="default"/>
        <w:lang w:val="cs-CZ" w:eastAsia="cs-CZ" w:bidi="cs-CZ"/>
      </w:rPr>
    </w:lvl>
    <w:lvl w:ilvl="4" w:tplc="A35ECF20">
      <w:numFmt w:val="bullet"/>
      <w:lvlText w:val="•"/>
      <w:lvlJc w:val="left"/>
      <w:pPr>
        <w:ind w:left="1533" w:hanging="272"/>
      </w:pPr>
      <w:rPr>
        <w:rFonts w:hint="default"/>
        <w:lang w:val="cs-CZ" w:eastAsia="cs-CZ" w:bidi="cs-CZ"/>
      </w:rPr>
    </w:lvl>
    <w:lvl w:ilvl="5" w:tplc="84B0EF7E">
      <w:numFmt w:val="bullet"/>
      <w:lvlText w:val="•"/>
      <w:lvlJc w:val="left"/>
      <w:pPr>
        <w:ind w:left="1802" w:hanging="272"/>
      </w:pPr>
      <w:rPr>
        <w:rFonts w:hint="default"/>
        <w:lang w:val="cs-CZ" w:eastAsia="cs-CZ" w:bidi="cs-CZ"/>
      </w:rPr>
    </w:lvl>
    <w:lvl w:ilvl="6" w:tplc="4C303EE2">
      <w:numFmt w:val="bullet"/>
      <w:lvlText w:val="•"/>
      <w:lvlJc w:val="left"/>
      <w:pPr>
        <w:ind w:left="2070" w:hanging="272"/>
      </w:pPr>
      <w:rPr>
        <w:rFonts w:hint="default"/>
        <w:lang w:val="cs-CZ" w:eastAsia="cs-CZ" w:bidi="cs-CZ"/>
      </w:rPr>
    </w:lvl>
    <w:lvl w:ilvl="7" w:tplc="C2E66406">
      <w:numFmt w:val="bullet"/>
      <w:lvlText w:val="•"/>
      <w:lvlJc w:val="left"/>
      <w:pPr>
        <w:ind w:left="2339" w:hanging="272"/>
      </w:pPr>
      <w:rPr>
        <w:rFonts w:hint="default"/>
        <w:lang w:val="cs-CZ" w:eastAsia="cs-CZ" w:bidi="cs-CZ"/>
      </w:rPr>
    </w:lvl>
    <w:lvl w:ilvl="8" w:tplc="B6E01FB4">
      <w:numFmt w:val="bullet"/>
      <w:lvlText w:val="•"/>
      <w:lvlJc w:val="left"/>
      <w:pPr>
        <w:ind w:left="2607" w:hanging="272"/>
      </w:pPr>
      <w:rPr>
        <w:rFonts w:hint="default"/>
        <w:lang w:val="cs-CZ" w:eastAsia="cs-CZ" w:bidi="cs-CZ"/>
      </w:rPr>
    </w:lvl>
  </w:abstractNum>
  <w:abstractNum w:abstractNumId="144" w15:restartNumberingAfterBreak="0">
    <w:nsid w:val="767E0B1A"/>
    <w:multiLevelType w:val="hybridMultilevel"/>
    <w:tmpl w:val="1E40C358"/>
    <w:lvl w:ilvl="0" w:tplc="B3A68D40">
      <w:start w:val="1"/>
      <w:numFmt w:val="lowerLetter"/>
      <w:lvlText w:val="%1"/>
      <w:lvlJc w:val="left"/>
      <w:pPr>
        <w:ind w:left="639" w:hanging="171"/>
        <w:jc w:val="left"/>
      </w:pPr>
      <w:rPr>
        <w:rFonts w:ascii="Arial" w:eastAsia="Arial" w:hAnsi="Arial" w:cs="Arial" w:hint="default"/>
        <w:color w:val="231F20"/>
        <w:w w:val="99"/>
        <w:sz w:val="15"/>
        <w:szCs w:val="15"/>
        <w:lang w:val="cs-CZ" w:eastAsia="cs-CZ" w:bidi="cs-CZ"/>
      </w:rPr>
    </w:lvl>
    <w:lvl w:ilvl="1" w:tplc="3B4891A4">
      <w:start w:val="1"/>
      <w:numFmt w:val="lowerLetter"/>
      <w:lvlText w:val="%2"/>
      <w:lvlJc w:val="left"/>
      <w:pPr>
        <w:ind w:left="880" w:hanging="171"/>
        <w:jc w:val="left"/>
      </w:pPr>
      <w:rPr>
        <w:rFonts w:ascii="Arial" w:eastAsia="Arial" w:hAnsi="Arial" w:cs="Arial" w:hint="default"/>
        <w:color w:val="231F20"/>
        <w:w w:val="99"/>
        <w:sz w:val="15"/>
        <w:szCs w:val="15"/>
        <w:lang w:val="cs-CZ" w:eastAsia="cs-CZ" w:bidi="cs-CZ"/>
      </w:rPr>
    </w:lvl>
    <w:lvl w:ilvl="2" w:tplc="ADFE89DC">
      <w:numFmt w:val="bullet"/>
      <w:lvlText w:val="•"/>
      <w:lvlJc w:val="left"/>
      <w:pPr>
        <w:ind w:left="777" w:hanging="171"/>
      </w:pPr>
      <w:rPr>
        <w:rFonts w:hint="default"/>
        <w:lang w:val="cs-CZ" w:eastAsia="cs-CZ" w:bidi="cs-CZ"/>
      </w:rPr>
    </w:lvl>
    <w:lvl w:ilvl="3" w:tplc="60004D5A">
      <w:numFmt w:val="bullet"/>
      <w:lvlText w:val="•"/>
      <w:lvlJc w:val="left"/>
      <w:pPr>
        <w:ind w:left="675" w:hanging="171"/>
      </w:pPr>
      <w:rPr>
        <w:rFonts w:hint="default"/>
        <w:lang w:val="cs-CZ" w:eastAsia="cs-CZ" w:bidi="cs-CZ"/>
      </w:rPr>
    </w:lvl>
    <w:lvl w:ilvl="4" w:tplc="CF2EAA18">
      <w:numFmt w:val="bullet"/>
      <w:lvlText w:val="•"/>
      <w:lvlJc w:val="left"/>
      <w:pPr>
        <w:ind w:left="573" w:hanging="171"/>
      </w:pPr>
      <w:rPr>
        <w:rFonts w:hint="default"/>
        <w:lang w:val="cs-CZ" w:eastAsia="cs-CZ" w:bidi="cs-CZ"/>
      </w:rPr>
    </w:lvl>
    <w:lvl w:ilvl="5" w:tplc="F1061226">
      <w:numFmt w:val="bullet"/>
      <w:lvlText w:val="•"/>
      <w:lvlJc w:val="left"/>
      <w:pPr>
        <w:ind w:left="471" w:hanging="171"/>
      </w:pPr>
      <w:rPr>
        <w:rFonts w:hint="default"/>
        <w:lang w:val="cs-CZ" w:eastAsia="cs-CZ" w:bidi="cs-CZ"/>
      </w:rPr>
    </w:lvl>
    <w:lvl w:ilvl="6" w:tplc="B2EA504E">
      <w:numFmt w:val="bullet"/>
      <w:lvlText w:val="•"/>
      <w:lvlJc w:val="left"/>
      <w:pPr>
        <w:ind w:left="368" w:hanging="171"/>
      </w:pPr>
      <w:rPr>
        <w:rFonts w:hint="default"/>
        <w:lang w:val="cs-CZ" w:eastAsia="cs-CZ" w:bidi="cs-CZ"/>
      </w:rPr>
    </w:lvl>
    <w:lvl w:ilvl="7" w:tplc="1A101BFE">
      <w:numFmt w:val="bullet"/>
      <w:lvlText w:val="•"/>
      <w:lvlJc w:val="left"/>
      <w:pPr>
        <w:ind w:left="266" w:hanging="171"/>
      </w:pPr>
      <w:rPr>
        <w:rFonts w:hint="default"/>
        <w:lang w:val="cs-CZ" w:eastAsia="cs-CZ" w:bidi="cs-CZ"/>
      </w:rPr>
    </w:lvl>
    <w:lvl w:ilvl="8" w:tplc="3C4EF510">
      <w:numFmt w:val="bullet"/>
      <w:lvlText w:val="•"/>
      <w:lvlJc w:val="left"/>
      <w:pPr>
        <w:ind w:left="164" w:hanging="171"/>
      </w:pPr>
      <w:rPr>
        <w:rFonts w:hint="default"/>
        <w:lang w:val="cs-CZ" w:eastAsia="cs-CZ" w:bidi="cs-CZ"/>
      </w:rPr>
    </w:lvl>
  </w:abstractNum>
  <w:abstractNum w:abstractNumId="145" w15:restartNumberingAfterBreak="0">
    <w:nsid w:val="76A56B94"/>
    <w:multiLevelType w:val="hybridMultilevel"/>
    <w:tmpl w:val="D578E5DE"/>
    <w:lvl w:ilvl="0" w:tplc="1C3ECA3E">
      <w:start w:val="29"/>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3FD63F62">
      <w:numFmt w:val="bullet"/>
      <w:lvlText w:val="•"/>
      <w:lvlJc w:val="left"/>
      <w:pPr>
        <w:ind w:left="726" w:hanging="272"/>
      </w:pPr>
      <w:rPr>
        <w:rFonts w:hint="default"/>
        <w:lang w:val="cs-CZ" w:eastAsia="cs-CZ" w:bidi="cs-CZ"/>
      </w:rPr>
    </w:lvl>
    <w:lvl w:ilvl="2" w:tplc="0FB8456E">
      <w:numFmt w:val="bullet"/>
      <w:lvlText w:val="•"/>
      <w:lvlJc w:val="left"/>
      <w:pPr>
        <w:ind w:left="992" w:hanging="272"/>
      </w:pPr>
      <w:rPr>
        <w:rFonts w:hint="default"/>
        <w:lang w:val="cs-CZ" w:eastAsia="cs-CZ" w:bidi="cs-CZ"/>
      </w:rPr>
    </w:lvl>
    <w:lvl w:ilvl="3" w:tplc="E7A89592">
      <w:numFmt w:val="bullet"/>
      <w:lvlText w:val="•"/>
      <w:lvlJc w:val="left"/>
      <w:pPr>
        <w:ind w:left="1259" w:hanging="272"/>
      </w:pPr>
      <w:rPr>
        <w:rFonts w:hint="default"/>
        <w:lang w:val="cs-CZ" w:eastAsia="cs-CZ" w:bidi="cs-CZ"/>
      </w:rPr>
    </w:lvl>
    <w:lvl w:ilvl="4" w:tplc="B07AED60">
      <w:numFmt w:val="bullet"/>
      <w:lvlText w:val="•"/>
      <w:lvlJc w:val="left"/>
      <w:pPr>
        <w:ind w:left="1525" w:hanging="272"/>
      </w:pPr>
      <w:rPr>
        <w:rFonts w:hint="default"/>
        <w:lang w:val="cs-CZ" w:eastAsia="cs-CZ" w:bidi="cs-CZ"/>
      </w:rPr>
    </w:lvl>
    <w:lvl w:ilvl="5" w:tplc="FEC46830">
      <w:numFmt w:val="bullet"/>
      <w:lvlText w:val="•"/>
      <w:lvlJc w:val="left"/>
      <w:pPr>
        <w:ind w:left="1792" w:hanging="272"/>
      </w:pPr>
      <w:rPr>
        <w:rFonts w:hint="default"/>
        <w:lang w:val="cs-CZ" w:eastAsia="cs-CZ" w:bidi="cs-CZ"/>
      </w:rPr>
    </w:lvl>
    <w:lvl w:ilvl="6" w:tplc="86AE3318">
      <w:numFmt w:val="bullet"/>
      <w:lvlText w:val="•"/>
      <w:lvlJc w:val="left"/>
      <w:pPr>
        <w:ind w:left="2058" w:hanging="272"/>
      </w:pPr>
      <w:rPr>
        <w:rFonts w:hint="default"/>
        <w:lang w:val="cs-CZ" w:eastAsia="cs-CZ" w:bidi="cs-CZ"/>
      </w:rPr>
    </w:lvl>
    <w:lvl w:ilvl="7" w:tplc="A3C898FE">
      <w:numFmt w:val="bullet"/>
      <w:lvlText w:val="•"/>
      <w:lvlJc w:val="left"/>
      <w:pPr>
        <w:ind w:left="2325" w:hanging="272"/>
      </w:pPr>
      <w:rPr>
        <w:rFonts w:hint="default"/>
        <w:lang w:val="cs-CZ" w:eastAsia="cs-CZ" w:bidi="cs-CZ"/>
      </w:rPr>
    </w:lvl>
    <w:lvl w:ilvl="8" w:tplc="CB507306">
      <w:numFmt w:val="bullet"/>
      <w:lvlText w:val="•"/>
      <w:lvlJc w:val="left"/>
      <w:pPr>
        <w:ind w:left="2591" w:hanging="272"/>
      </w:pPr>
      <w:rPr>
        <w:rFonts w:hint="default"/>
        <w:lang w:val="cs-CZ" w:eastAsia="cs-CZ" w:bidi="cs-CZ"/>
      </w:rPr>
    </w:lvl>
  </w:abstractNum>
  <w:abstractNum w:abstractNumId="146" w15:restartNumberingAfterBreak="0">
    <w:nsid w:val="777812C4"/>
    <w:multiLevelType w:val="hybridMultilevel"/>
    <w:tmpl w:val="55726AFE"/>
    <w:lvl w:ilvl="0" w:tplc="1D2EF404">
      <w:numFmt w:val="bullet"/>
      <w:lvlText w:val="–"/>
      <w:lvlJc w:val="left"/>
      <w:pPr>
        <w:ind w:left="286" w:hanging="142"/>
      </w:pPr>
      <w:rPr>
        <w:rFonts w:ascii="Arial" w:eastAsia="Arial" w:hAnsi="Arial" w:cs="Arial" w:hint="default"/>
        <w:color w:val="231F20"/>
        <w:w w:val="89"/>
        <w:sz w:val="16"/>
        <w:szCs w:val="16"/>
        <w:lang w:val="cs-CZ" w:eastAsia="cs-CZ" w:bidi="cs-CZ"/>
      </w:rPr>
    </w:lvl>
    <w:lvl w:ilvl="1" w:tplc="DD6031B8">
      <w:numFmt w:val="bullet"/>
      <w:lvlText w:val="•"/>
      <w:lvlJc w:val="left"/>
      <w:pPr>
        <w:ind w:left="420" w:hanging="142"/>
      </w:pPr>
      <w:rPr>
        <w:rFonts w:hint="default"/>
        <w:lang w:val="cs-CZ" w:eastAsia="cs-CZ" w:bidi="cs-CZ"/>
      </w:rPr>
    </w:lvl>
    <w:lvl w:ilvl="2" w:tplc="A642DC10">
      <w:numFmt w:val="bullet"/>
      <w:lvlText w:val="•"/>
      <w:lvlJc w:val="left"/>
      <w:pPr>
        <w:ind w:left="924" w:hanging="142"/>
      </w:pPr>
      <w:rPr>
        <w:rFonts w:hint="default"/>
        <w:lang w:val="cs-CZ" w:eastAsia="cs-CZ" w:bidi="cs-CZ"/>
      </w:rPr>
    </w:lvl>
    <w:lvl w:ilvl="3" w:tplc="DE40CD0A">
      <w:numFmt w:val="bullet"/>
      <w:lvlText w:val="•"/>
      <w:lvlJc w:val="left"/>
      <w:pPr>
        <w:ind w:left="1429" w:hanging="142"/>
      </w:pPr>
      <w:rPr>
        <w:rFonts w:hint="default"/>
        <w:lang w:val="cs-CZ" w:eastAsia="cs-CZ" w:bidi="cs-CZ"/>
      </w:rPr>
    </w:lvl>
    <w:lvl w:ilvl="4" w:tplc="97EE0DAE">
      <w:numFmt w:val="bullet"/>
      <w:lvlText w:val="•"/>
      <w:lvlJc w:val="left"/>
      <w:pPr>
        <w:ind w:left="1934" w:hanging="142"/>
      </w:pPr>
      <w:rPr>
        <w:rFonts w:hint="default"/>
        <w:lang w:val="cs-CZ" w:eastAsia="cs-CZ" w:bidi="cs-CZ"/>
      </w:rPr>
    </w:lvl>
    <w:lvl w:ilvl="5" w:tplc="4E28A516">
      <w:numFmt w:val="bullet"/>
      <w:lvlText w:val="•"/>
      <w:lvlJc w:val="left"/>
      <w:pPr>
        <w:ind w:left="2439" w:hanging="142"/>
      </w:pPr>
      <w:rPr>
        <w:rFonts w:hint="default"/>
        <w:lang w:val="cs-CZ" w:eastAsia="cs-CZ" w:bidi="cs-CZ"/>
      </w:rPr>
    </w:lvl>
    <w:lvl w:ilvl="6" w:tplc="EA64C11E">
      <w:numFmt w:val="bullet"/>
      <w:lvlText w:val="•"/>
      <w:lvlJc w:val="left"/>
      <w:pPr>
        <w:ind w:left="2943" w:hanging="142"/>
      </w:pPr>
      <w:rPr>
        <w:rFonts w:hint="default"/>
        <w:lang w:val="cs-CZ" w:eastAsia="cs-CZ" w:bidi="cs-CZ"/>
      </w:rPr>
    </w:lvl>
    <w:lvl w:ilvl="7" w:tplc="58367EDE">
      <w:numFmt w:val="bullet"/>
      <w:lvlText w:val="•"/>
      <w:lvlJc w:val="left"/>
      <w:pPr>
        <w:ind w:left="3448" w:hanging="142"/>
      </w:pPr>
      <w:rPr>
        <w:rFonts w:hint="default"/>
        <w:lang w:val="cs-CZ" w:eastAsia="cs-CZ" w:bidi="cs-CZ"/>
      </w:rPr>
    </w:lvl>
    <w:lvl w:ilvl="8" w:tplc="B044A926">
      <w:numFmt w:val="bullet"/>
      <w:lvlText w:val="•"/>
      <w:lvlJc w:val="left"/>
      <w:pPr>
        <w:ind w:left="3953" w:hanging="142"/>
      </w:pPr>
      <w:rPr>
        <w:rFonts w:hint="default"/>
        <w:lang w:val="cs-CZ" w:eastAsia="cs-CZ" w:bidi="cs-CZ"/>
      </w:rPr>
    </w:lvl>
  </w:abstractNum>
  <w:abstractNum w:abstractNumId="147" w15:restartNumberingAfterBreak="0">
    <w:nsid w:val="795E57FE"/>
    <w:multiLevelType w:val="hybridMultilevel"/>
    <w:tmpl w:val="D1100A4C"/>
    <w:lvl w:ilvl="0" w:tplc="4816E3B4">
      <w:start w:val="233"/>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FA204FC6">
      <w:start w:val="1"/>
      <w:numFmt w:val="decimal"/>
      <w:lvlText w:val="%2)"/>
      <w:lvlJc w:val="left"/>
      <w:pPr>
        <w:ind w:left="584" w:hanging="129"/>
        <w:jc w:val="left"/>
      </w:pPr>
      <w:rPr>
        <w:rFonts w:ascii="Arial" w:eastAsia="Arial" w:hAnsi="Arial" w:cs="Arial" w:hint="default"/>
        <w:color w:val="231F20"/>
        <w:w w:val="89"/>
        <w:sz w:val="12"/>
        <w:szCs w:val="12"/>
        <w:lang w:val="cs-CZ" w:eastAsia="cs-CZ" w:bidi="cs-CZ"/>
      </w:rPr>
    </w:lvl>
    <w:lvl w:ilvl="2" w:tplc="BEAA1B58">
      <w:numFmt w:val="bullet"/>
      <w:lvlText w:val="•"/>
      <w:lvlJc w:val="left"/>
      <w:pPr>
        <w:ind w:left="847" w:hanging="129"/>
      </w:pPr>
      <w:rPr>
        <w:rFonts w:hint="default"/>
        <w:lang w:val="cs-CZ" w:eastAsia="cs-CZ" w:bidi="cs-CZ"/>
      </w:rPr>
    </w:lvl>
    <w:lvl w:ilvl="3" w:tplc="81D8D7B8">
      <w:numFmt w:val="bullet"/>
      <w:lvlText w:val="•"/>
      <w:lvlJc w:val="left"/>
      <w:pPr>
        <w:ind w:left="1114" w:hanging="129"/>
      </w:pPr>
      <w:rPr>
        <w:rFonts w:hint="default"/>
        <w:lang w:val="cs-CZ" w:eastAsia="cs-CZ" w:bidi="cs-CZ"/>
      </w:rPr>
    </w:lvl>
    <w:lvl w:ilvl="4" w:tplc="40B023BC">
      <w:numFmt w:val="bullet"/>
      <w:lvlText w:val="•"/>
      <w:lvlJc w:val="left"/>
      <w:pPr>
        <w:ind w:left="1382" w:hanging="129"/>
      </w:pPr>
      <w:rPr>
        <w:rFonts w:hint="default"/>
        <w:lang w:val="cs-CZ" w:eastAsia="cs-CZ" w:bidi="cs-CZ"/>
      </w:rPr>
    </w:lvl>
    <w:lvl w:ilvl="5" w:tplc="4580C9C6">
      <w:numFmt w:val="bullet"/>
      <w:lvlText w:val="•"/>
      <w:lvlJc w:val="left"/>
      <w:pPr>
        <w:ind w:left="1649" w:hanging="129"/>
      </w:pPr>
      <w:rPr>
        <w:rFonts w:hint="default"/>
        <w:lang w:val="cs-CZ" w:eastAsia="cs-CZ" w:bidi="cs-CZ"/>
      </w:rPr>
    </w:lvl>
    <w:lvl w:ilvl="6" w:tplc="61D4963C">
      <w:numFmt w:val="bullet"/>
      <w:lvlText w:val="•"/>
      <w:lvlJc w:val="left"/>
      <w:pPr>
        <w:ind w:left="1917" w:hanging="129"/>
      </w:pPr>
      <w:rPr>
        <w:rFonts w:hint="default"/>
        <w:lang w:val="cs-CZ" w:eastAsia="cs-CZ" w:bidi="cs-CZ"/>
      </w:rPr>
    </w:lvl>
    <w:lvl w:ilvl="7" w:tplc="0C22D224">
      <w:numFmt w:val="bullet"/>
      <w:lvlText w:val="•"/>
      <w:lvlJc w:val="left"/>
      <w:pPr>
        <w:ind w:left="2184" w:hanging="129"/>
      </w:pPr>
      <w:rPr>
        <w:rFonts w:hint="default"/>
        <w:lang w:val="cs-CZ" w:eastAsia="cs-CZ" w:bidi="cs-CZ"/>
      </w:rPr>
    </w:lvl>
    <w:lvl w:ilvl="8" w:tplc="3980390A">
      <w:numFmt w:val="bullet"/>
      <w:lvlText w:val="•"/>
      <w:lvlJc w:val="left"/>
      <w:pPr>
        <w:ind w:left="2451" w:hanging="129"/>
      </w:pPr>
      <w:rPr>
        <w:rFonts w:hint="default"/>
        <w:lang w:val="cs-CZ" w:eastAsia="cs-CZ" w:bidi="cs-CZ"/>
      </w:rPr>
    </w:lvl>
  </w:abstractNum>
  <w:abstractNum w:abstractNumId="148" w15:restartNumberingAfterBreak="0">
    <w:nsid w:val="79B56810"/>
    <w:multiLevelType w:val="hybridMultilevel"/>
    <w:tmpl w:val="174E80A0"/>
    <w:lvl w:ilvl="0" w:tplc="E00CED74">
      <w:start w:val="1"/>
      <w:numFmt w:val="lowerLetter"/>
      <w:lvlText w:val="%1"/>
      <w:lvlJc w:val="left"/>
      <w:pPr>
        <w:ind w:left="597" w:hanging="171"/>
        <w:jc w:val="left"/>
      </w:pPr>
      <w:rPr>
        <w:rFonts w:ascii="Arial" w:eastAsia="Arial" w:hAnsi="Arial" w:cs="Arial" w:hint="default"/>
        <w:color w:val="231F20"/>
        <w:w w:val="99"/>
        <w:sz w:val="15"/>
        <w:szCs w:val="15"/>
        <w:lang w:val="cs-CZ" w:eastAsia="cs-CZ" w:bidi="cs-CZ"/>
      </w:rPr>
    </w:lvl>
    <w:lvl w:ilvl="1" w:tplc="4470FF08">
      <w:start w:val="1"/>
      <w:numFmt w:val="lowerLetter"/>
      <w:lvlText w:val="%2"/>
      <w:lvlJc w:val="left"/>
      <w:pPr>
        <w:ind w:left="750" w:hanging="227"/>
        <w:jc w:val="left"/>
      </w:pPr>
      <w:rPr>
        <w:rFonts w:ascii="Arial" w:eastAsia="Arial" w:hAnsi="Arial" w:cs="Arial" w:hint="default"/>
        <w:color w:val="231F20"/>
        <w:w w:val="99"/>
        <w:sz w:val="15"/>
        <w:szCs w:val="15"/>
        <w:lang w:val="cs-CZ" w:eastAsia="cs-CZ" w:bidi="cs-CZ"/>
      </w:rPr>
    </w:lvl>
    <w:lvl w:ilvl="2" w:tplc="78F6DF22">
      <w:numFmt w:val="bullet"/>
      <w:lvlText w:val="•"/>
      <w:lvlJc w:val="left"/>
      <w:pPr>
        <w:ind w:left="671" w:hanging="227"/>
      </w:pPr>
      <w:rPr>
        <w:rFonts w:hint="default"/>
        <w:lang w:val="cs-CZ" w:eastAsia="cs-CZ" w:bidi="cs-CZ"/>
      </w:rPr>
    </w:lvl>
    <w:lvl w:ilvl="3" w:tplc="DF068C4C">
      <w:numFmt w:val="bullet"/>
      <w:lvlText w:val="•"/>
      <w:lvlJc w:val="left"/>
      <w:pPr>
        <w:ind w:left="582" w:hanging="227"/>
      </w:pPr>
      <w:rPr>
        <w:rFonts w:hint="default"/>
        <w:lang w:val="cs-CZ" w:eastAsia="cs-CZ" w:bidi="cs-CZ"/>
      </w:rPr>
    </w:lvl>
    <w:lvl w:ilvl="4" w:tplc="C4568B28">
      <w:numFmt w:val="bullet"/>
      <w:lvlText w:val="•"/>
      <w:lvlJc w:val="left"/>
      <w:pPr>
        <w:ind w:left="493" w:hanging="227"/>
      </w:pPr>
      <w:rPr>
        <w:rFonts w:hint="default"/>
        <w:lang w:val="cs-CZ" w:eastAsia="cs-CZ" w:bidi="cs-CZ"/>
      </w:rPr>
    </w:lvl>
    <w:lvl w:ilvl="5" w:tplc="F16A2DA0">
      <w:numFmt w:val="bullet"/>
      <w:lvlText w:val="•"/>
      <w:lvlJc w:val="left"/>
      <w:pPr>
        <w:ind w:left="404" w:hanging="227"/>
      </w:pPr>
      <w:rPr>
        <w:rFonts w:hint="default"/>
        <w:lang w:val="cs-CZ" w:eastAsia="cs-CZ" w:bidi="cs-CZ"/>
      </w:rPr>
    </w:lvl>
    <w:lvl w:ilvl="6" w:tplc="E012B850">
      <w:numFmt w:val="bullet"/>
      <w:lvlText w:val="•"/>
      <w:lvlJc w:val="left"/>
      <w:pPr>
        <w:ind w:left="315" w:hanging="227"/>
      </w:pPr>
      <w:rPr>
        <w:rFonts w:hint="default"/>
        <w:lang w:val="cs-CZ" w:eastAsia="cs-CZ" w:bidi="cs-CZ"/>
      </w:rPr>
    </w:lvl>
    <w:lvl w:ilvl="7" w:tplc="79621E5C">
      <w:numFmt w:val="bullet"/>
      <w:lvlText w:val="•"/>
      <w:lvlJc w:val="left"/>
      <w:pPr>
        <w:ind w:left="226" w:hanging="227"/>
      </w:pPr>
      <w:rPr>
        <w:rFonts w:hint="default"/>
        <w:lang w:val="cs-CZ" w:eastAsia="cs-CZ" w:bidi="cs-CZ"/>
      </w:rPr>
    </w:lvl>
    <w:lvl w:ilvl="8" w:tplc="1EFAD248">
      <w:numFmt w:val="bullet"/>
      <w:lvlText w:val="•"/>
      <w:lvlJc w:val="left"/>
      <w:pPr>
        <w:ind w:left="137" w:hanging="227"/>
      </w:pPr>
      <w:rPr>
        <w:rFonts w:hint="default"/>
        <w:lang w:val="cs-CZ" w:eastAsia="cs-CZ" w:bidi="cs-CZ"/>
      </w:rPr>
    </w:lvl>
  </w:abstractNum>
  <w:abstractNum w:abstractNumId="149" w15:restartNumberingAfterBreak="0">
    <w:nsid w:val="79CB3AA4"/>
    <w:multiLevelType w:val="hybridMultilevel"/>
    <w:tmpl w:val="E9FE5A2E"/>
    <w:lvl w:ilvl="0" w:tplc="13EEE22E">
      <w:start w:val="10"/>
      <w:numFmt w:val="decimalZero"/>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96E6A3BC">
      <w:numFmt w:val="bullet"/>
      <w:lvlText w:val="•"/>
      <w:lvlJc w:val="left"/>
      <w:pPr>
        <w:ind w:left="726" w:hanging="272"/>
      </w:pPr>
      <w:rPr>
        <w:rFonts w:hint="default"/>
        <w:lang w:val="cs-CZ" w:eastAsia="cs-CZ" w:bidi="cs-CZ"/>
      </w:rPr>
    </w:lvl>
    <w:lvl w:ilvl="2" w:tplc="D60E5616">
      <w:numFmt w:val="bullet"/>
      <w:lvlText w:val="•"/>
      <w:lvlJc w:val="left"/>
      <w:pPr>
        <w:ind w:left="992" w:hanging="272"/>
      </w:pPr>
      <w:rPr>
        <w:rFonts w:hint="default"/>
        <w:lang w:val="cs-CZ" w:eastAsia="cs-CZ" w:bidi="cs-CZ"/>
      </w:rPr>
    </w:lvl>
    <w:lvl w:ilvl="3" w:tplc="1DB61800">
      <w:numFmt w:val="bullet"/>
      <w:lvlText w:val="•"/>
      <w:lvlJc w:val="left"/>
      <w:pPr>
        <w:ind w:left="1259" w:hanging="272"/>
      </w:pPr>
      <w:rPr>
        <w:rFonts w:hint="default"/>
        <w:lang w:val="cs-CZ" w:eastAsia="cs-CZ" w:bidi="cs-CZ"/>
      </w:rPr>
    </w:lvl>
    <w:lvl w:ilvl="4" w:tplc="419A1286">
      <w:numFmt w:val="bullet"/>
      <w:lvlText w:val="•"/>
      <w:lvlJc w:val="left"/>
      <w:pPr>
        <w:ind w:left="1525" w:hanging="272"/>
      </w:pPr>
      <w:rPr>
        <w:rFonts w:hint="default"/>
        <w:lang w:val="cs-CZ" w:eastAsia="cs-CZ" w:bidi="cs-CZ"/>
      </w:rPr>
    </w:lvl>
    <w:lvl w:ilvl="5" w:tplc="F70E8150">
      <w:numFmt w:val="bullet"/>
      <w:lvlText w:val="•"/>
      <w:lvlJc w:val="left"/>
      <w:pPr>
        <w:ind w:left="1792" w:hanging="272"/>
      </w:pPr>
      <w:rPr>
        <w:rFonts w:hint="default"/>
        <w:lang w:val="cs-CZ" w:eastAsia="cs-CZ" w:bidi="cs-CZ"/>
      </w:rPr>
    </w:lvl>
    <w:lvl w:ilvl="6" w:tplc="5C3CCA22">
      <w:numFmt w:val="bullet"/>
      <w:lvlText w:val="•"/>
      <w:lvlJc w:val="left"/>
      <w:pPr>
        <w:ind w:left="2058" w:hanging="272"/>
      </w:pPr>
      <w:rPr>
        <w:rFonts w:hint="default"/>
        <w:lang w:val="cs-CZ" w:eastAsia="cs-CZ" w:bidi="cs-CZ"/>
      </w:rPr>
    </w:lvl>
    <w:lvl w:ilvl="7" w:tplc="0864695C">
      <w:numFmt w:val="bullet"/>
      <w:lvlText w:val="•"/>
      <w:lvlJc w:val="left"/>
      <w:pPr>
        <w:ind w:left="2325" w:hanging="272"/>
      </w:pPr>
      <w:rPr>
        <w:rFonts w:hint="default"/>
        <w:lang w:val="cs-CZ" w:eastAsia="cs-CZ" w:bidi="cs-CZ"/>
      </w:rPr>
    </w:lvl>
    <w:lvl w:ilvl="8" w:tplc="870650D0">
      <w:numFmt w:val="bullet"/>
      <w:lvlText w:val="•"/>
      <w:lvlJc w:val="left"/>
      <w:pPr>
        <w:ind w:left="2591" w:hanging="272"/>
      </w:pPr>
      <w:rPr>
        <w:rFonts w:hint="default"/>
        <w:lang w:val="cs-CZ" w:eastAsia="cs-CZ" w:bidi="cs-CZ"/>
      </w:rPr>
    </w:lvl>
  </w:abstractNum>
  <w:abstractNum w:abstractNumId="150" w15:restartNumberingAfterBreak="0">
    <w:nsid w:val="7C6336FD"/>
    <w:multiLevelType w:val="hybridMultilevel"/>
    <w:tmpl w:val="AC187FFA"/>
    <w:lvl w:ilvl="0" w:tplc="1128692A">
      <w:start w:val="1"/>
      <w:numFmt w:val="lowerLetter"/>
      <w:lvlText w:val="%1)"/>
      <w:lvlJc w:val="left"/>
      <w:pPr>
        <w:ind w:left="373" w:hanging="257"/>
        <w:jc w:val="left"/>
      </w:pPr>
      <w:rPr>
        <w:rFonts w:ascii="Arial" w:eastAsia="Arial" w:hAnsi="Arial" w:cs="Arial" w:hint="default"/>
        <w:color w:val="231F20"/>
        <w:spacing w:val="-1"/>
        <w:w w:val="99"/>
        <w:sz w:val="22"/>
        <w:szCs w:val="22"/>
        <w:lang w:val="cs-CZ" w:eastAsia="cs-CZ" w:bidi="cs-CZ"/>
      </w:rPr>
    </w:lvl>
    <w:lvl w:ilvl="1" w:tplc="FD3C76F6">
      <w:start w:val="3"/>
      <w:numFmt w:val="lowerLetter"/>
      <w:lvlText w:val="%2)"/>
      <w:lvlJc w:val="left"/>
      <w:pPr>
        <w:ind w:left="1251" w:hanging="284"/>
        <w:jc w:val="left"/>
      </w:pPr>
      <w:rPr>
        <w:rFonts w:ascii="Arial" w:eastAsia="Arial" w:hAnsi="Arial" w:cs="Arial" w:hint="default"/>
        <w:color w:val="231F20"/>
        <w:w w:val="99"/>
        <w:sz w:val="22"/>
        <w:szCs w:val="22"/>
        <w:lang w:val="cs-CZ" w:eastAsia="cs-CZ" w:bidi="cs-CZ"/>
      </w:rPr>
    </w:lvl>
    <w:lvl w:ilvl="2" w:tplc="3FA2961E">
      <w:numFmt w:val="bullet"/>
      <w:lvlText w:val="•"/>
      <w:lvlJc w:val="left"/>
      <w:pPr>
        <w:ind w:left="2168" w:hanging="284"/>
      </w:pPr>
      <w:rPr>
        <w:rFonts w:hint="default"/>
        <w:lang w:val="cs-CZ" w:eastAsia="cs-CZ" w:bidi="cs-CZ"/>
      </w:rPr>
    </w:lvl>
    <w:lvl w:ilvl="3" w:tplc="713C6832">
      <w:numFmt w:val="bullet"/>
      <w:lvlText w:val="•"/>
      <w:lvlJc w:val="left"/>
      <w:pPr>
        <w:ind w:left="3077" w:hanging="284"/>
      </w:pPr>
      <w:rPr>
        <w:rFonts w:hint="default"/>
        <w:lang w:val="cs-CZ" w:eastAsia="cs-CZ" w:bidi="cs-CZ"/>
      </w:rPr>
    </w:lvl>
    <w:lvl w:ilvl="4" w:tplc="D8549DA2">
      <w:numFmt w:val="bullet"/>
      <w:lvlText w:val="•"/>
      <w:lvlJc w:val="left"/>
      <w:pPr>
        <w:ind w:left="3986" w:hanging="284"/>
      </w:pPr>
      <w:rPr>
        <w:rFonts w:hint="default"/>
        <w:lang w:val="cs-CZ" w:eastAsia="cs-CZ" w:bidi="cs-CZ"/>
      </w:rPr>
    </w:lvl>
    <w:lvl w:ilvl="5" w:tplc="D1400B34">
      <w:numFmt w:val="bullet"/>
      <w:lvlText w:val="•"/>
      <w:lvlJc w:val="left"/>
      <w:pPr>
        <w:ind w:left="4895" w:hanging="284"/>
      </w:pPr>
      <w:rPr>
        <w:rFonts w:hint="default"/>
        <w:lang w:val="cs-CZ" w:eastAsia="cs-CZ" w:bidi="cs-CZ"/>
      </w:rPr>
    </w:lvl>
    <w:lvl w:ilvl="6" w:tplc="31F28382">
      <w:numFmt w:val="bullet"/>
      <w:lvlText w:val="•"/>
      <w:lvlJc w:val="left"/>
      <w:pPr>
        <w:ind w:left="5804" w:hanging="284"/>
      </w:pPr>
      <w:rPr>
        <w:rFonts w:hint="default"/>
        <w:lang w:val="cs-CZ" w:eastAsia="cs-CZ" w:bidi="cs-CZ"/>
      </w:rPr>
    </w:lvl>
    <w:lvl w:ilvl="7" w:tplc="941EBE20">
      <w:numFmt w:val="bullet"/>
      <w:lvlText w:val="•"/>
      <w:lvlJc w:val="left"/>
      <w:pPr>
        <w:ind w:left="6713" w:hanging="284"/>
      </w:pPr>
      <w:rPr>
        <w:rFonts w:hint="default"/>
        <w:lang w:val="cs-CZ" w:eastAsia="cs-CZ" w:bidi="cs-CZ"/>
      </w:rPr>
    </w:lvl>
    <w:lvl w:ilvl="8" w:tplc="8864F950">
      <w:numFmt w:val="bullet"/>
      <w:lvlText w:val="•"/>
      <w:lvlJc w:val="left"/>
      <w:pPr>
        <w:ind w:left="7622" w:hanging="284"/>
      </w:pPr>
      <w:rPr>
        <w:rFonts w:hint="default"/>
        <w:lang w:val="cs-CZ" w:eastAsia="cs-CZ" w:bidi="cs-CZ"/>
      </w:rPr>
    </w:lvl>
  </w:abstractNum>
  <w:abstractNum w:abstractNumId="151" w15:restartNumberingAfterBreak="0">
    <w:nsid w:val="7CD3012E"/>
    <w:multiLevelType w:val="hybridMultilevel"/>
    <w:tmpl w:val="F29E2976"/>
    <w:lvl w:ilvl="0" w:tplc="14685644">
      <w:numFmt w:val="bullet"/>
      <w:lvlText w:val="–"/>
      <w:lvlJc w:val="left"/>
      <w:pPr>
        <w:ind w:left="880" w:hanging="171"/>
      </w:pPr>
      <w:rPr>
        <w:rFonts w:ascii="Arial" w:eastAsia="Arial" w:hAnsi="Arial" w:cs="Arial" w:hint="default"/>
        <w:color w:val="231F20"/>
        <w:w w:val="89"/>
        <w:sz w:val="15"/>
        <w:szCs w:val="15"/>
        <w:lang w:val="cs-CZ" w:eastAsia="cs-CZ" w:bidi="cs-CZ"/>
      </w:rPr>
    </w:lvl>
    <w:lvl w:ilvl="1" w:tplc="04684734">
      <w:numFmt w:val="bullet"/>
      <w:lvlText w:val="•"/>
      <w:lvlJc w:val="left"/>
      <w:pPr>
        <w:ind w:left="1361" w:hanging="171"/>
      </w:pPr>
      <w:rPr>
        <w:rFonts w:hint="default"/>
        <w:lang w:val="cs-CZ" w:eastAsia="cs-CZ" w:bidi="cs-CZ"/>
      </w:rPr>
    </w:lvl>
    <w:lvl w:ilvl="2" w:tplc="013213D4">
      <w:numFmt w:val="bullet"/>
      <w:lvlText w:val="•"/>
      <w:lvlJc w:val="left"/>
      <w:pPr>
        <w:ind w:left="1843" w:hanging="171"/>
      </w:pPr>
      <w:rPr>
        <w:rFonts w:hint="default"/>
        <w:lang w:val="cs-CZ" w:eastAsia="cs-CZ" w:bidi="cs-CZ"/>
      </w:rPr>
    </w:lvl>
    <w:lvl w:ilvl="3" w:tplc="1172AC0A">
      <w:numFmt w:val="bullet"/>
      <w:lvlText w:val="•"/>
      <w:lvlJc w:val="left"/>
      <w:pPr>
        <w:ind w:left="2325" w:hanging="171"/>
      </w:pPr>
      <w:rPr>
        <w:rFonts w:hint="default"/>
        <w:lang w:val="cs-CZ" w:eastAsia="cs-CZ" w:bidi="cs-CZ"/>
      </w:rPr>
    </w:lvl>
    <w:lvl w:ilvl="4" w:tplc="9502DD96">
      <w:numFmt w:val="bullet"/>
      <w:lvlText w:val="•"/>
      <w:lvlJc w:val="left"/>
      <w:pPr>
        <w:ind w:left="2807" w:hanging="171"/>
      </w:pPr>
      <w:rPr>
        <w:rFonts w:hint="default"/>
        <w:lang w:val="cs-CZ" w:eastAsia="cs-CZ" w:bidi="cs-CZ"/>
      </w:rPr>
    </w:lvl>
    <w:lvl w:ilvl="5" w:tplc="820473D8">
      <w:numFmt w:val="bullet"/>
      <w:lvlText w:val="•"/>
      <w:lvlJc w:val="left"/>
      <w:pPr>
        <w:ind w:left="3289" w:hanging="171"/>
      </w:pPr>
      <w:rPr>
        <w:rFonts w:hint="default"/>
        <w:lang w:val="cs-CZ" w:eastAsia="cs-CZ" w:bidi="cs-CZ"/>
      </w:rPr>
    </w:lvl>
    <w:lvl w:ilvl="6" w:tplc="B32AE66A">
      <w:numFmt w:val="bullet"/>
      <w:lvlText w:val="•"/>
      <w:lvlJc w:val="left"/>
      <w:pPr>
        <w:ind w:left="3771" w:hanging="171"/>
      </w:pPr>
      <w:rPr>
        <w:rFonts w:hint="default"/>
        <w:lang w:val="cs-CZ" w:eastAsia="cs-CZ" w:bidi="cs-CZ"/>
      </w:rPr>
    </w:lvl>
    <w:lvl w:ilvl="7" w:tplc="F448F940">
      <w:numFmt w:val="bullet"/>
      <w:lvlText w:val="•"/>
      <w:lvlJc w:val="left"/>
      <w:pPr>
        <w:ind w:left="4253" w:hanging="171"/>
      </w:pPr>
      <w:rPr>
        <w:rFonts w:hint="default"/>
        <w:lang w:val="cs-CZ" w:eastAsia="cs-CZ" w:bidi="cs-CZ"/>
      </w:rPr>
    </w:lvl>
    <w:lvl w:ilvl="8" w:tplc="8D9C0E76">
      <w:numFmt w:val="bullet"/>
      <w:lvlText w:val="•"/>
      <w:lvlJc w:val="left"/>
      <w:pPr>
        <w:ind w:left="4735" w:hanging="171"/>
      </w:pPr>
      <w:rPr>
        <w:rFonts w:hint="default"/>
        <w:lang w:val="cs-CZ" w:eastAsia="cs-CZ" w:bidi="cs-CZ"/>
      </w:rPr>
    </w:lvl>
  </w:abstractNum>
  <w:abstractNum w:abstractNumId="152" w15:restartNumberingAfterBreak="0">
    <w:nsid w:val="7E4A2C3C"/>
    <w:multiLevelType w:val="hybridMultilevel"/>
    <w:tmpl w:val="7626EF7A"/>
    <w:lvl w:ilvl="0" w:tplc="CB340AF6">
      <w:start w:val="1"/>
      <w:numFmt w:val="lowerLetter"/>
      <w:lvlText w:val="%1"/>
      <w:lvlJc w:val="left"/>
      <w:pPr>
        <w:ind w:left="638" w:hanging="171"/>
        <w:jc w:val="left"/>
      </w:pPr>
      <w:rPr>
        <w:rFonts w:ascii="Arial" w:eastAsia="Arial" w:hAnsi="Arial" w:cs="Arial" w:hint="default"/>
        <w:color w:val="231F20"/>
        <w:w w:val="99"/>
        <w:sz w:val="15"/>
        <w:szCs w:val="15"/>
        <w:lang w:val="cs-CZ" w:eastAsia="cs-CZ" w:bidi="cs-CZ"/>
      </w:rPr>
    </w:lvl>
    <w:lvl w:ilvl="1" w:tplc="D1368E28">
      <w:numFmt w:val="bullet"/>
      <w:lvlText w:val="•"/>
      <w:lvlJc w:val="left"/>
      <w:pPr>
        <w:ind w:left="1164" w:hanging="171"/>
      </w:pPr>
      <w:rPr>
        <w:rFonts w:hint="default"/>
        <w:lang w:val="cs-CZ" w:eastAsia="cs-CZ" w:bidi="cs-CZ"/>
      </w:rPr>
    </w:lvl>
    <w:lvl w:ilvl="2" w:tplc="1F22BE18">
      <w:numFmt w:val="bullet"/>
      <w:lvlText w:val="•"/>
      <w:lvlJc w:val="left"/>
      <w:pPr>
        <w:ind w:left="1688" w:hanging="171"/>
      </w:pPr>
      <w:rPr>
        <w:rFonts w:hint="default"/>
        <w:lang w:val="cs-CZ" w:eastAsia="cs-CZ" w:bidi="cs-CZ"/>
      </w:rPr>
    </w:lvl>
    <w:lvl w:ilvl="3" w:tplc="3DC8B116">
      <w:numFmt w:val="bullet"/>
      <w:lvlText w:val="•"/>
      <w:lvlJc w:val="left"/>
      <w:pPr>
        <w:ind w:left="2213" w:hanging="171"/>
      </w:pPr>
      <w:rPr>
        <w:rFonts w:hint="default"/>
        <w:lang w:val="cs-CZ" w:eastAsia="cs-CZ" w:bidi="cs-CZ"/>
      </w:rPr>
    </w:lvl>
    <w:lvl w:ilvl="4" w:tplc="073257D6">
      <w:numFmt w:val="bullet"/>
      <w:lvlText w:val="•"/>
      <w:lvlJc w:val="left"/>
      <w:pPr>
        <w:ind w:left="2737" w:hanging="171"/>
      </w:pPr>
      <w:rPr>
        <w:rFonts w:hint="default"/>
        <w:lang w:val="cs-CZ" w:eastAsia="cs-CZ" w:bidi="cs-CZ"/>
      </w:rPr>
    </w:lvl>
    <w:lvl w:ilvl="5" w:tplc="478C3C92">
      <w:numFmt w:val="bullet"/>
      <w:lvlText w:val="•"/>
      <w:lvlJc w:val="left"/>
      <w:pPr>
        <w:ind w:left="3262" w:hanging="171"/>
      </w:pPr>
      <w:rPr>
        <w:rFonts w:hint="default"/>
        <w:lang w:val="cs-CZ" w:eastAsia="cs-CZ" w:bidi="cs-CZ"/>
      </w:rPr>
    </w:lvl>
    <w:lvl w:ilvl="6" w:tplc="0608B19A">
      <w:numFmt w:val="bullet"/>
      <w:lvlText w:val="•"/>
      <w:lvlJc w:val="left"/>
      <w:pPr>
        <w:ind w:left="3786" w:hanging="171"/>
      </w:pPr>
      <w:rPr>
        <w:rFonts w:hint="default"/>
        <w:lang w:val="cs-CZ" w:eastAsia="cs-CZ" w:bidi="cs-CZ"/>
      </w:rPr>
    </w:lvl>
    <w:lvl w:ilvl="7" w:tplc="D7D46BD8">
      <w:numFmt w:val="bullet"/>
      <w:lvlText w:val="•"/>
      <w:lvlJc w:val="left"/>
      <w:pPr>
        <w:ind w:left="4311" w:hanging="171"/>
      </w:pPr>
      <w:rPr>
        <w:rFonts w:hint="default"/>
        <w:lang w:val="cs-CZ" w:eastAsia="cs-CZ" w:bidi="cs-CZ"/>
      </w:rPr>
    </w:lvl>
    <w:lvl w:ilvl="8" w:tplc="A8F89D2C">
      <w:numFmt w:val="bullet"/>
      <w:lvlText w:val="•"/>
      <w:lvlJc w:val="left"/>
      <w:pPr>
        <w:ind w:left="4835" w:hanging="171"/>
      </w:pPr>
      <w:rPr>
        <w:rFonts w:hint="default"/>
        <w:lang w:val="cs-CZ" w:eastAsia="cs-CZ" w:bidi="cs-CZ"/>
      </w:rPr>
    </w:lvl>
  </w:abstractNum>
  <w:abstractNum w:abstractNumId="153" w15:restartNumberingAfterBreak="0">
    <w:nsid w:val="7E4D1E19"/>
    <w:multiLevelType w:val="multilevel"/>
    <w:tmpl w:val="B4406F1A"/>
    <w:lvl w:ilvl="0">
      <w:start w:val="16"/>
      <w:numFmt w:val="decimal"/>
      <w:lvlText w:val="%1"/>
      <w:lvlJc w:val="left"/>
      <w:pPr>
        <w:ind w:left="837" w:hanging="721"/>
        <w:jc w:val="left"/>
      </w:pPr>
      <w:rPr>
        <w:rFonts w:hint="default"/>
        <w:lang w:val="cs-CZ" w:eastAsia="cs-CZ" w:bidi="cs-CZ"/>
      </w:rPr>
    </w:lvl>
    <w:lvl w:ilvl="1">
      <w:start w:val="2"/>
      <w:numFmt w:val="decimal"/>
      <w:lvlText w:val="%1.%2"/>
      <w:lvlJc w:val="left"/>
      <w:pPr>
        <w:ind w:left="837" w:hanging="721"/>
        <w:jc w:val="left"/>
      </w:pPr>
      <w:rPr>
        <w:rFonts w:hint="default"/>
        <w:lang w:val="cs-CZ" w:eastAsia="cs-CZ" w:bidi="cs-CZ"/>
      </w:rPr>
    </w:lvl>
    <w:lvl w:ilvl="2">
      <w:start w:val="1"/>
      <w:numFmt w:val="decimal"/>
      <w:lvlText w:val="%1.%2.%3"/>
      <w:lvlJc w:val="left"/>
      <w:pPr>
        <w:ind w:left="837" w:hanging="721"/>
        <w:jc w:val="left"/>
      </w:pPr>
      <w:rPr>
        <w:rFonts w:ascii="Arial" w:eastAsia="Arial" w:hAnsi="Arial" w:cs="Arial" w:hint="default"/>
        <w:color w:val="231F20"/>
        <w:w w:val="99"/>
        <w:sz w:val="22"/>
        <w:szCs w:val="22"/>
        <w:lang w:val="cs-CZ" w:eastAsia="cs-CZ" w:bidi="cs-CZ"/>
      </w:rPr>
    </w:lvl>
    <w:lvl w:ilvl="3">
      <w:numFmt w:val="bullet"/>
      <w:lvlText w:val="•"/>
      <w:lvlJc w:val="left"/>
      <w:pPr>
        <w:ind w:left="3420" w:hanging="721"/>
      </w:pPr>
      <w:rPr>
        <w:rFonts w:hint="default"/>
        <w:lang w:val="cs-CZ" w:eastAsia="cs-CZ" w:bidi="cs-CZ"/>
      </w:rPr>
    </w:lvl>
    <w:lvl w:ilvl="4">
      <w:numFmt w:val="bullet"/>
      <w:lvlText w:val="•"/>
      <w:lvlJc w:val="left"/>
      <w:pPr>
        <w:ind w:left="4280" w:hanging="721"/>
      </w:pPr>
      <w:rPr>
        <w:rFonts w:hint="default"/>
        <w:lang w:val="cs-CZ" w:eastAsia="cs-CZ" w:bidi="cs-CZ"/>
      </w:rPr>
    </w:lvl>
    <w:lvl w:ilvl="5">
      <w:numFmt w:val="bullet"/>
      <w:lvlText w:val="•"/>
      <w:lvlJc w:val="left"/>
      <w:pPr>
        <w:ind w:left="5140" w:hanging="721"/>
      </w:pPr>
      <w:rPr>
        <w:rFonts w:hint="default"/>
        <w:lang w:val="cs-CZ" w:eastAsia="cs-CZ" w:bidi="cs-CZ"/>
      </w:rPr>
    </w:lvl>
    <w:lvl w:ilvl="6">
      <w:numFmt w:val="bullet"/>
      <w:lvlText w:val="•"/>
      <w:lvlJc w:val="left"/>
      <w:pPr>
        <w:ind w:left="6000" w:hanging="721"/>
      </w:pPr>
      <w:rPr>
        <w:rFonts w:hint="default"/>
        <w:lang w:val="cs-CZ" w:eastAsia="cs-CZ" w:bidi="cs-CZ"/>
      </w:rPr>
    </w:lvl>
    <w:lvl w:ilvl="7">
      <w:numFmt w:val="bullet"/>
      <w:lvlText w:val="•"/>
      <w:lvlJc w:val="left"/>
      <w:pPr>
        <w:ind w:left="6860" w:hanging="721"/>
      </w:pPr>
      <w:rPr>
        <w:rFonts w:hint="default"/>
        <w:lang w:val="cs-CZ" w:eastAsia="cs-CZ" w:bidi="cs-CZ"/>
      </w:rPr>
    </w:lvl>
    <w:lvl w:ilvl="8">
      <w:numFmt w:val="bullet"/>
      <w:lvlText w:val="•"/>
      <w:lvlJc w:val="left"/>
      <w:pPr>
        <w:ind w:left="7720" w:hanging="721"/>
      </w:pPr>
      <w:rPr>
        <w:rFonts w:hint="default"/>
        <w:lang w:val="cs-CZ" w:eastAsia="cs-CZ" w:bidi="cs-CZ"/>
      </w:rPr>
    </w:lvl>
  </w:abstractNum>
  <w:abstractNum w:abstractNumId="154" w15:restartNumberingAfterBreak="0">
    <w:nsid w:val="7E7B0C0B"/>
    <w:multiLevelType w:val="hybridMultilevel"/>
    <w:tmpl w:val="72A21C9E"/>
    <w:lvl w:ilvl="0" w:tplc="52D29420">
      <w:start w:val="264"/>
      <w:numFmt w:val="decimal"/>
      <w:lvlText w:val="%1"/>
      <w:lvlJc w:val="left"/>
      <w:pPr>
        <w:ind w:left="455" w:hanging="272"/>
        <w:jc w:val="left"/>
      </w:pPr>
      <w:rPr>
        <w:rFonts w:ascii="Arial" w:eastAsia="Arial" w:hAnsi="Arial" w:cs="Arial" w:hint="default"/>
        <w:b/>
        <w:bCs/>
        <w:color w:val="231F20"/>
        <w:w w:val="99"/>
        <w:sz w:val="12"/>
        <w:szCs w:val="12"/>
        <w:lang w:val="cs-CZ" w:eastAsia="cs-CZ" w:bidi="cs-CZ"/>
      </w:rPr>
    </w:lvl>
    <w:lvl w:ilvl="1" w:tplc="2C5073F4">
      <w:numFmt w:val="bullet"/>
      <w:lvlText w:val="•"/>
      <w:lvlJc w:val="left"/>
      <w:pPr>
        <w:ind w:left="727" w:hanging="272"/>
      </w:pPr>
      <w:rPr>
        <w:rFonts w:hint="default"/>
        <w:lang w:val="cs-CZ" w:eastAsia="cs-CZ" w:bidi="cs-CZ"/>
      </w:rPr>
    </w:lvl>
    <w:lvl w:ilvl="2" w:tplc="DC0E8E9A">
      <w:numFmt w:val="bullet"/>
      <w:lvlText w:val="•"/>
      <w:lvlJc w:val="left"/>
      <w:pPr>
        <w:ind w:left="994" w:hanging="272"/>
      </w:pPr>
      <w:rPr>
        <w:rFonts w:hint="default"/>
        <w:lang w:val="cs-CZ" w:eastAsia="cs-CZ" w:bidi="cs-CZ"/>
      </w:rPr>
    </w:lvl>
    <w:lvl w:ilvl="3" w:tplc="35265894">
      <w:numFmt w:val="bullet"/>
      <w:lvlText w:val="•"/>
      <w:lvlJc w:val="left"/>
      <w:pPr>
        <w:ind w:left="1261" w:hanging="272"/>
      </w:pPr>
      <w:rPr>
        <w:rFonts w:hint="default"/>
        <w:lang w:val="cs-CZ" w:eastAsia="cs-CZ" w:bidi="cs-CZ"/>
      </w:rPr>
    </w:lvl>
    <w:lvl w:ilvl="4" w:tplc="9732F91C">
      <w:numFmt w:val="bullet"/>
      <w:lvlText w:val="•"/>
      <w:lvlJc w:val="left"/>
      <w:pPr>
        <w:ind w:left="1528" w:hanging="272"/>
      </w:pPr>
      <w:rPr>
        <w:rFonts w:hint="default"/>
        <w:lang w:val="cs-CZ" w:eastAsia="cs-CZ" w:bidi="cs-CZ"/>
      </w:rPr>
    </w:lvl>
    <w:lvl w:ilvl="5" w:tplc="3EF6C044">
      <w:numFmt w:val="bullet"/>
      <w:lvlText w:val="•"/>
      <w:lvlJc w:val="left"/>
      <w:pPr>
        <w:ind w:left="1795" w:hanging="272"/>
      </w:pPr>
      <w:rPr>
        <w:rFonts w:hint="default"/>
        <w:lang w:val="cs-CZ" w:eastAsia="cs-CZ" w:bidi="cs-CZ"/>
      </w:rPr>
    </w:lvl>
    <w:lvl w:ilvl="6" w:tplc="6B74D91C">
      <w:numFmt w:val="bullet"/>
      <w:lvlText w:val="•"/>
      <w:lvlJc w:val="left"/>
      <w:pPr>
        <w:ind w:left="2062" w:hanging="272"/>
      </w:pPr>
      <w:rPr>
        <w:rFonts w:hint="default"/>
        <w:lang w:val="cs-CZ" w:eastAsia="cs-CZ" w:bidi="cs-CZ"/>
      </w:rPr>
    </w:lvl>
    <w:lvl w:ilvl="7" w:tplc="9A820116">
      <w:numFmt w:val="bullet"/>
      <w:lvlText w:val="•"/>
      <w:lvlJc w:val="left"/>
      <w:pPr>
        <w:ind w:left="2329" w:hanging="272"/>
      </w:pPr>
      <w:rPr>
        <w:rFonts w:hint="default"/>
        <w:lang w:val="cs-CZ" w:eastAsia="cs-CZ" w:bidi="cs-CZ"/>
      </w:rPr>
    </w:lvl>
    <w:lvl w:ilvl="8" w:tplc="F9FCD54C">
      <w:numFmt w:val="bullet"/>
      <w:lvlText w:val="•"/>
      <w:lvlJc w:val="left"/>
      <w:pPr>
        <w:ind w:left="2597" w:hanging="272"/>
      </w:pPr>
      <w:rPr>
        <w:rFonts w:hint="default"/>
        <w:lang w:val="cs-CZ" w:eastAsia="cs-CZ" w:bidi="cs-CZ"/>
      </w:rPr>
    </w:lvl>
  </w:abstractNum>
  <w:abstractNum w:abstractNumId="155" w15:restartNumberingAfterBreak="0">
    <w:nsid w:val="7ED51649"/>
    <w:multiLevelType w:val="hybridMultilevel"/>
    <w:tmpl w:val="2C4854CC"/>
    <w:lvl w:ilvl="0" w:tplc="6874A518">
      <w:start w:val="1"/>
      <w:numFmt w:val="lowerLetter"/>
      <w:lvlText w:val="%1"/>
      <w:lvlJc w:val="left"/>
      <w:pPr>
        <w:ind w:left="639" w:hanging="171"/>
        <w:jc w:val="right"/>
      </w:pPr>
      <w:rPr>
        <w:rFonts w:ascii="Arial" w:eastAsia="Arial" w:hAnsi="Arial" w:cs="Arial" w:hint="default"/>
        <w:color w:val="231F20"/>
        <w:w w:val="99"/>
        <w:sz w:val="15"/>
        <w:szCs w:val="15"/>
        <w:lang w:val="cs-CZ" w:eastAsia="cs-CZ" w:bidi="cs-CZ"/>
      </w:rPr>
    </w:lvl>
    <w:lvl w:ilvl="1" w:tplc="26B088A2">
      <w:numFmt w:val="bullet"/>
      <w:lvlText w:val="•"/>
      <w:lvlJc w:val="left"/>
      <w:pPr>
        <w:ind w:left="1164" w:hanging="171"/>
      </w:pPr>
      <w:rPr>
        <w:rFonts w:hint="default"/>
        <w:lang w:val="cs-CZ" w:eastAsia="cs-CZ" w:bidi="cs-CZ"/>
      </w:rPr>
    </w:lvl>
    <w:lvl w:ilvl="2" w:tplc="3A0E753C">
      <w:numFmt w:val="bullet"/>
      <w:lvlText w:val="•"/>
      <w:lvlJc w:val="left"/>
      <w:pPr>
        <w:ind w:left="1689" w:hanging="171"/>
      </w:pPr>
      <w:rPr>
        <w:rFonts w:hint="default"/>
        <w:lang w:val="cs-CZ" w:eastAsia="cs-CZ" w:bidi="cs-CZ"/>
      </w:rPr>
    </w:lvl>
    <w:lvl w:ilvl="3" w:tplc="0CBAA052">
      <w:numFmt w:val="bullet"/>
      <w:lvlText w:val="•"/>
      <w:lvlJc w:val="left"/>
      <w:pPr>
        <w:ind w:left="2213" w:hanging="171"/>
      </w:pPr>
      <w:rPr>
        <w:rFonts w:hint="default"/>
        <w:lang w:val="cs-CZ" w:eastAsia="cs-CZ" w:bidi="cs-CZ"/>
      </w:rPr>
    </w:lvl>
    <w:lvl w:ilvl="4" w:tplc="E6C6F460">
      <w:numFmt w:val="bullet"/>
      <w:lvlText w:val="•"/>
      <w:lvlJc w:val="left"/>
      <w:pPr>
        <w:ind w:left="2738" w:hanging="171"/>
      </w:pPr>
      <w:rPr>
        <w:rFonts w:hint="default"/>
        <w:lang w:val="cs-CZ" w:eastAsia="cs-CZ" w:bidi="cs-CZ"/>
      </w:rPr>
    </w:lvl>
    <w:lvl w:ilvl="5" w:tplc="AAB0B0F6">
      <w:numFmt w:val="bullet"/>
      <w:lvlText w:val="•"/>
      <w:lvlJc w:val="left"/>
      <w:pPr>
        <w:ind w:left="3262" w:hanging="171"/>
      </w:pPr>
      <w:rPr>
        <w:rFonts w:hint="default"/>
        <w:lang w:val="cs-CZ" w:eastAsia="cs-CZ" w:bidi="cs-CZ"/>
      </w:rPr>
    </w:lvl>
    <w:lvl w:ilvl="6" w:tplc="4D286188">
      <w:numFmt w:val="bullet"/>
      <w:lvlText w:val="•"/>
      <w:lvlJc w:val="left"/>
      <w:pPr>
        <w:ind w:left="3787" w:hanging="171"/>
      </w:pPr>
      <w:rPr>
        <w:rFonts w:hint="default"/>
        <w:lang w:val="cs-CZ" w:eastAsia="cs-CZ" w:bidi="cs-CZ"/>
      </w:rPr>
    </w:lvl>
    <w:lvl w:ilvl="7" w:tplc="F984F8CA">
      <w:numFmt w:val="bullet"/>
      <w:lvlText w:val="•"/>
      <w:lvlJc w:val="left"/>
      <w:pPr>
        <w:ind w:left="4311" w:hanging="171"/>
      </w:pPr>
      <w:rPr>
        <w:rFonts w:hint="default"/>
        <w:lang w:val="cs-CZ" w:eastAsia="cs-CZ" w:bidi="cs-CZ"/>
      </w:rPr>
    </w:lvl>
    <w:lvl w:ilvl="8" w:tplc="284895EA">
      <w:numFmt w:val="bullet"/>
      <w:lvlText w:val="•"/>
      <w:lvlJc w:val="left"/>
      <w:pPr>
        <w:ind w:left="4836" w:hanging="171"/>
      </w:pPr>
      <w:rPr>
        <w:rFonts w:hint="default"/>
        <w:lang w:val="cs-CZ" w:eastAsia="cs-CZ" w:bidi="cs-CZ"/>
      </w:rPr>
    </w:lvl>
  </w:abstractNum>
  <w:num w:numId="1" w16cid:durableId="1727022591">
    <w:abstractNumId w:val="125"/>
  </w:num>
  <w:num w:numId="2" w16cid:durableId="1406876774">
    <w:abstractNumId w:val="31"/>
  </w:num>
  <w:num w:numId="3" w16cid:durableId="1499880335">
    <w:abstractNumId w:val="141"/>
  </w:num>
  <w:num w:numId="4" w16cid:durableId="1253977904">
    <w:abstractNumId w:val="16"/>
  </w:num>
  <w:num w:numId="5" w16cid:durableId="967665999">
    <w:abstractNumId w:val="33"/>
  </w:num>
  <w:num w:numId="6" w16cid:durableId="255217217">
    <w:abstractNumId w:val="0"/>
  </w:num>
  <w:num w:numId="7" w16cid:durableId="1656912290">
    <w:abstractNumId w:val="62"/>
  </w:num>
  <w:num w:numId="8" w16cid:durableId="1869102322">
    <w:abstractNumId w:val="30"/>
  </w:num>
  <w:num w:numId="9" w16cid:durableId="1785805711">
    <w:abstractNumId w:val="36"/>
  </w:num>
  <w:num w:numId="10" w16cid:durableId="1336573222">
    <w:abstractNumId w:val="108"/>
  </w:num>
  <w:num w:numId="11" w16cid:durableId="1984310464">
    <w:abstractNumId w:val="82"/>
  </w:num>
  <w:num w:numId="12" w16cid:durableId="1169904491">
    <w:abstractNumId w:val="131"/>
  </w:num>
  <w:num w:numId="13" w16cid:durableId="1930237303">
    <w:abstractNumId w:val="138"/>
  </w:num>
  <w:num w:numId="14" w16cid:durableId="2030061332">
    <w:abstractNumId w:val="153"/>
  </w:num>
  <w:num w:numId="15" w16cid:durableId="1433471907">
    <w:abstractNumId w:val="150"/>
  </w:num>
  <w:num w:numId="16" w16cid:durableId="986322364">
    <w:abstractNumId w:val="5"/>
  </w:num>
  <w:num w:numId="17" w16cid:durableId="2109276604">
    <w:abstractNumId w:val="85"/>
  </w:num>
  <w:num w:numId="18" w16cid:durableId="947735727">
    <w:abstractNumId w:val="20"/>
  </w:num>
  <w:num w:numId="19" w16cid:durableId="1673413549">
    <w:abstractNumId w:val="15"/>
  </w:num>
  <w:num w:numId="20" w16cid:durableId="1053697478">
    <w:abstractNumId w:val="90"/>
  </w:num>
  <w:num w:numId="21" w16cid:durableId="1844739297">
    <w:abstractNumId w:val="89"/>
  </w:num>
  <w:num w:numId="22" w16cid:durableId="62223650">
    <w:abstractNumId w:val="69"/>
  </w:num>
  <w:num w:numId="23" w16cid:durableId="1884169473">
    <w:abstractNumId w:val="106"/>
  </w:num>
  <w:num w:numId="24" w16cid:durableId="1978951060">
    <w:abstractNumId w:val="113"/>
  </w:num>
  <w:num w:numId="25" w16cid:durableId="641152898">
    <w:abstractNumId w:val="4"/>
  </w:num>
  <w:num w:numId="26" w16cid:durableId="1207520624">
    <w:abstractNumId w:val="59"/>
  </w:num>
  <w:num w:numId="27" w16cid:durableId="865866913">
    <w:abstractNumId w:val="39"/>
  </w:num>
  <w:num w:numId="28" w16cid:durableId="957906262">
    <w:abstractNumId w:val="147"/>
  </w:num>
  <w:num w:numId="29" w16cid:durableId="1844465468">
    <w:abstractNumId w:val="98"/>
  </w:num>
  <w:num w:numId="30" w16cid:durableId="1995717574">
    <w:abstractNumId w:val="13"/>
  </w:num>
  <w:num w:numId="31" w16cid:durableId="1482431085">
    <w:abstractNumId w:val="29"/>
  </w:num>
  <w:num w:numId="32" w16cid:durableId="779034370">
    <w:abstractNumId w:val="27"/>
  </w:num>
  <w:num w:numId="33" w16cid:durableId="1622761087">
    <w:abstractNumId w:val="35"/>
  </w:num>
  <w:num w:numId="34" w16cid:durableId="445585140">
    <w:abstractNumId w:val="114"/>
  </w:num>
  <w:num w:numId="35" w16cid:durableId="1600260616">
    <w:abstractNumId w:val="21"/>
  </w:num>
  <w:num w:numId="36" w16cid:durableId="452990794">
    <w:abstractNumId w:val="134"/>
  </w:num>
  <w:num w:numId="37" w16cid:durableId="1862157548">
    <w:abstractNumId w:val="49"/>
  </w:num>
  <w:num w:numId="38" w16cid:durableId="1052851306">
    <w:abstractNumId w:val="92"/>
  </w:num>
  <w:num w:numId="39" w16cid:durableId="1372150237">
    <w:abstractNumId w:val="132"/>
  </w:num>
  <w:num w:numId="40" w16cid:durableId="85614014">
    <w:abstractNumId w:val="26"/>
  </w:num>
  <w:num w:numId="41" w16cid:durableId="358432144">
    <w:abstractNumId w:val="64"/>
  </w:num>
  <w:num w:numId="42" w16cid:durableId="1047218130">
    <w:abstractNumId w:val="73"/>
  </w:num>
  <w:num w:numId="43" w16cid:durableId="1932540086">
    <w:abstractNumId w:val="28"/>
  </w:num>
  <w:num w:numId="44" w16cid:durableId="901793428">
    <w:abstractNumId w:val="135"/>
  </w:num>
  <w:num w:numId="45" w16cid:durableId="1711760255">
    <w:abstractNumId w:val="51"/>
  </w:num>
  <w:num w:numId="46" w16cid:durableId="1306469972">
    <w:abstractNumId w:val="101"/>
  </w:num>
  <w:num w:numId="47" w16cid:durableId="1086421057">
    <w:abstractNumId w:val="100"/>
  </w:num>
  <w:num w:numId="48" w16cid:durableId="1312714585">
    <w:abstractNumId w:val="143"/>
  </w:num>
  <w:num w:numId="49" w16cid:durableId="1923679724">
    <w:abstractNumId w:val="88"/>
  </w:num>
  <w:num w:numId="50" w16cid:durableId="421411800">
    <w:abstractNumId w:val="93"/>
  </w:num>
  <w:num w:numId="51" w16cid:durableId="181822765">
    <w:abstractNumId w:val="44"/>
  </w:num>
  <w:num w:numId="52" w16cid:durableId="1988826427">
    <w:abstractNumId w:val="61"/>
  </w:num>
  <w:num w:numId="53" w16cid:durableId="1943604581">
    <w:abstractNumId w:val="3"/>
  </w:num>
  <w:num w:numId="54" w16cid:durableId="1115253412">
    <w:abstractNumId w:val="50"/>
  </w:num>
  <w:num w:numId="55" w16cid:durableId="673725637">
    <w:abstractNumId w:val="91"/>
  </w:num>
  <w:num w:numId="56" w16cid:durableId="1685862887">
    <w:abstractNumId w:val="110"/>
  </w:num>
  <w:num w:numId="57" w16cid:durableId="1247224311">
    <w:abstractNumId w:val="76"/>
  </w:num>
  <w:num w:numId="58" w16cid:durableId="69543355">
    <w:abstractNumId w:val="74"/>
  </w:num>
  <w:num w:numId="59" w16cid:durableId="942881422">
    <w:abstractNumId w:val="154"/>
  </w:num>
  <w:num w:numId="60" w16cid:durableId="656223674">
    <w:abstractNumId w:val="52"/>
  </w:num>
  <w:num w:numId="61" w16cid:durableId="1742487344">
    <w:abstractNumId w:val="58"/>
  </w:num>
  <w:num w:numId="62" w16cid:durableId="263268683">
    <w:abstractNumId w:val="79"/>
  </w:num>
  <w:num w:numId="63" w16cid:durableId="1584994602">
    <w:abstractNumId w:val="43"/>
  </w:num>
  <w:num w:numId="64" w16cid:durableId="143358740">
    <w:abstractNumId w:val="48"/>
  </w:num>
  <w:num w:numId="65" w16cid:durableId="37361616">
    <w:abstractNumId w:val="6"/>
  </w:num>
  <w:num w:numId="66" w16cid:durableId="1112047468">
    <w:abstractNumId w:val="55"/>
  </w:num>
  <w:num w:numId="67" w16cid:durableId="299654949">
    <w:abstractNumId w:val="56"/>
  </w:num>
  <w:num w:numId="68" w16cid:durableId="904950927">
    <w:abstractNumId w:val="142"/>
  </w:num>
  <w:num w:numId="69" w16cid:durableId="191190907">
    <w:abstractNumId w:val="66"/>
  </w:num>
  <w:num w:numId="70" w16cid:durableId="1083643336">
    <w:abstractNumId w:val="71"/>
  </w:num>
  <w:num w:numId="71" w16cid:durableId="2122531167">
    <w:abstractNumId w:val="84"/>
  </w:num>
  <w:num w:numId="72" w16cid:durableId="1753895189">
    <w:abstractNumId w:val="41"/>
  </w:num>
  <w:num w:numId="73" w16cid:durableId="880439271">
    <w:abstractNumId w:val="9"/>
  </w:num>
  <w:num w:numId="74" w16cid:durableId="491414459">
    <w:abstractNumId w:val="45"/>
  </w:num>
  <w:num w:numId="75" w16cid:durableId="584800790">
    <w:abstractNumId w:val="80"/>
  </w:num>
  <w:num w:numId="76" w16cid:durableId="1255748850">
    <w:abstractNumId w:val="137"/>
  </w:num>
  <w:num w:numId="77" w16cid:durableId="1260601442">
    <w:abstractNumId w:val="86"/>
  </w:num>
  <w:num w:numId="78" w16cid:durableId="1677993877">
    <w:abstractNumId w:val="38"/>
  </w:num>
  <w:num w:numId="79" w16cid:durableId="1408190168">
    <w:abstractNumId w:val="145"/>
  </w:num>
  <w:num w:numId="80" w16cid:durableId="1363480514">
    <w:abstractNumId w:val="46"/>
  </w:num>
  <w:num w:numId="81" w16cid:durableId="1561868706">
    <w:abstractNumId w:val="68"/>
  </w:num>
  <w:num w:numId="82" w16cid:durableId="241259999">
    <w:abstractNumId w:val="149"/>
  </w:num>
  <w:num w:numId="83" w16cid:durableId="7408387">
    <w:abstractNumId w:val="87"/>
  </w:num>
  <w:num w:numId="84" w16cid:durableId="511649296">
    <w:abstractNumId w:val="14"/>
  </w:num>
  <w:num w:numId="85" w16cid:durableId="43331701">
    <w:abstractNumId w:val="102"/>
  </w:num>
  <w:num w:numId="86" w16cid:durableId="554465921">
    <w:abstractNumId w:val="130"/>
  </w:num>
  <w:num w:numId="87" w16cid:durableId="954872346">
    <w:abstractNumId w:val="111"/>
  </w:num>
  <w:num w:numId="88" w16cid:durableId="1089233891">
    <w:abstractNumId w:val="109"/>
  </w:num>
  <w:num w:numId="89" w16cid:durableId="58135073">
    <w:abstractNumId w:val="70"/>
  </w:num>
  <w:num w:numId="90" w16cid:durableId="534319528">
    <w:abstractNumId w:val="144"/>
  </w:num>
  <w:num w:numId="91" w16cid:durableId="517624958">
    <w:abstractNumId w:val="140"/>
  </w:num>
  <w:num w:numId="92" w16cid:durableId="2145923073">
    <w:abstractNumId w:val="65"/>
  </w:num>
  <w:num w:numId="93" w16cid:durableId="700712862">
    <w:abstractNumId w:val="47"/>
  </w:num>
  <w:num w:numId="94" w16cid:durableId="1147822310">
    <w:abstractNumId w:val="97"/>
  </w:num>
  <w:num w:numId="95" w16cid:durableId="301665728">
    <w:abstractNumId w:val="54"/>
  </w:num>
  <w:num w:numId="96" w16cid:durableId="1533151272">
    <w:abstractNumId w:val="126"/>
  </w:num>
  <w:num w:numId="97" w16cid:durableId="1349528865">
    <w:abstractNumId w:val="148"/>
  </w:num>
  <w:num w:numId="98" w16cid:durableId="439187225">
    <w:abstractNumId w:val="94"/>
  </w:num>
  <w:num w:numId="99" w16cid:durableId="378676404">
    <w:abstractNumId w:val="19"/>
  </w:num>
  <w:num w:numId="100" w16cid:durableId="816186531">
    <w:abstractNumId w:val="83"/>
  </w:num>
  <w:num w:numId="101" w16cid:durableId="644506925">
    <w:abstractNumId w:val="115"/>
  </w:num>
  <w:num w:numId="102" w16cid:durableId="1055663112">
    <w:abstractNumId w:val="34"/>
  </w:num>
  <w:num w:numId="103" w16cid:durableId="365302515">
    <w:abstractNumId w:val="63"/>
  </w:num>
  <w:num w:numId="104" w16cid:durableId="1277759409">
    <w:abstractNumId w:val="124"/>
  </w:num>
  <w:num w:numId="105" w16cid:durableId="1866475304">
    <w:abstractNumId w:val="78"/>
  </w:num>
  <w:num w:numId="106" w16cid:durableId="1288468780">
    <w:abstractNumId w:val="139"/>
  </w:num>
  <w:num w:numId="107" w16cid:durableId="1454207651">
    <w:abstractNumId w:val="23"/>
  </w:num>
  <w:num w:numId="108" w16cid:durableId="475267518">
    <w:abstractNumId w:val="107"/>
  </w:num>
  <w:num w:numId="109" w16cid:durableId="593439858">
    <w:abstractNumId w:val="120"/>
  </w:num>
  <w:num w:numId="110" w16cid:durableId="421490414">
    <w:abstractNumId w:val="133"/>
  </w:num>
  <w:num w:numId="111" w16cid:durableId="1922834123">
    <w:abstractNumId w:val="24"/>
  </w:num>
  <w:num w:numId="112" w16cid:durableId="505288112">
    <w:abstractNumId w:val="155"/>
  </w:num>
  <w:num w:numId="113" w16cid:durableId="486672404">
    <w:abstractNumId w:val="112"/>
  </w:num>
  <w:num w:numId="114" w16cid:durableId="1973442122">
    <w:abstractNumId w:val="136"/>
  </w:num>
  <w:num w:numId="115" w16cid:durableId="1322807770">
    <w:abstractNumId w:val="151"/>
  </w:num>
  <w:num w:numId="116" w16cid:durableId="1287660921">
    <w:abstractNumId w:val="2"/>
  </w:num>
  <w:num w:numId="117" w16cid:durableId="122433507">
    <w:abstractNumId w:val="152"/>
  </w:num>
  <w:num w:numId="118" w16cid:durableId="1424883784">
    <w:abstractNumId w:val="7"/>
  </w:num>
  <w:num w:numId="119" w16cid:durableId="1092435952">
    <w:abstractNumId w:val="123"/>
  </w:num>
  <w:num w:numId="120" w16cid:durableId="1574195955">
    <w:abstractNumId w:val="37"/>
  </w:num>
  <w:num w:numId="121" w16cid:durableId="981425999">
    <w:abstractNumId w:val="121"/>
  </w:num>
  <w:num w:numId="122" w16cid:durableId="1875069128">
    <w:abstractNumId w:val="104"/>
  </w:num>
  <w:num w:numId="123" w16cid:durableId="130444539">
    <w:abstractNumId w:val="1"/>
  </w:num>
  <w:num w:numId="124" w16cid:durableId="1273245321">
    <w:abstractNumId w:val="96"/>
  </w:num>
  <w:num w:numId="125" w16cid:durableId="2078626209">
    <w:abstractNumId w:val="25"/>
  </w:num>
  <w:num w:numId="126" w16cid:durableId="786856086">
    <w:abstractNumId w:val="40"/>
  </w:num>
  <w:num w:numId="127" w16cid:durableId="342830117">
    <w:abstractNumId w:val="103"/>
  </w:num>
  <w:num w:numId="128" w16cid:durableId="1221745070">
    <w:abstractNumId w:val="8"/>
  </w:num>
  <w:num w:numId="129" w16cid:durableId="14578346">
    <w:abstractNumId w:val="99"/>
  </w:num>
  <w:num w:numId="130" w16cid:durableId="45758139">
    <w:abstractNumId w:val="95"/>
  </w:num>
  <w:num w:numId="131" w16cid:durableId="502360889">
    <w:abstractNumId w:val="12"/>
  </w:num>
  <w:num w:numId="132" w16cid:durableId="1400783360">
    <w:abstractNumId w:val="53"/>
  </w:num>
  <w:num w:numId="133" w16cid:durableId="1453402833">
    <w:abstractNumId w:val="60"/>
  </w:num>
  <w:num w:numId="134" w16cid:durableId="769352124">
    <w:abstractNumId w:val="67"/>
  </w:num>
  <w:num w:numId="135" w16cid:durableId="1408263599">
    <w:abstractNumId w:val="128"/>
  </w:num>
  <w:num w:numId="136" w16cid:durableId="276761576">
    <w:abstractNumId w:val="42"/>
  </w:num>
  <w:num w:numId="137" w16cid:durableId="295259187">
    <w:abstractNumId w:val="57"/>
  </w:num>
  <w:num w:numId="138" w16cid:durableId="1116212470">
    <w:abstractNumId w:val="129"/>
  </w:num>
  <w:num w:numId="139" w16cid:durableId="1644458651">
    <w:abstractNumId w:val="118"/>
  </w:num>
  <w:num w:numId="140" w16cid:durableId="1098336021">
    <w:abstractNumId w:val="17"/>
  </w:num>
  <w:num w:numId="141" w16cid:durableId="197163279">
    <w:abstractNumId w:val="32"/>
  </w:num>
  <w:num w:numId="142" w16cid:durableId="261959152">
    <w:abstractNumId w:val="22"/>
  </w:num>
  <w:num w:numId="143" w16cid:durableId="934288803">
    <w:abstractNumId w:val="119"/>
  </w:num>
  <w:num w:numId="144" w16cid:durableId="482627737">
    <w:abstractNumId w:val="146"/>
  </w:num>
  <w:num w:numId="145" w16cid:durableId="1854875599">
    <w:abstractNumId w:val="122"/>
  </w:num>
  <w:num w:numId="146" w16cid:durableId="1601721131">
    <w:abstractNumId w:val="116"/>
  </w:num>
  <w:num w:numId="147" w16cid:durableId="1613048504">
    <w:abstractNumId w:val="77"/>
  </w:num>
  <w:num w:numId="148" w16cid:durableId="1831403736">
    <w:abstractNumId w:val="105"/>
  </w:num>
  <w:num w:numId="149" w16cid:durableId="1432629771">
    <w:abstractNumId w:val="11"/>
  </w:num>
  <w:num w:numId="150" w16cid:durableId="497307384">
    <w:abstractNumId w:val="10"/>
  </w:num>
  <w:num w:numId="151" w16cid:durableId="1168983096">
    <w:abstractNumId w:val="117"/>
  </w:num>
  <w:num w:numId="152" w16cid:durableId="483743226">
    <w:abstractNumId w:val="75"/>
  </w:num>
  <w:num w:numId="153" w16cid:durableId="1619484600">
    <w:abstractNumId w:val="127"/>
  </w:num>
  <w:num w:numId="154" w16cid:durableId="586311441">
    <w:abstractNumId w:val="81"/>
  </w:num>
  <w:num w:numId="155" w16cid:durableId="1830097528">
    <w:abstractNumId w:val="72"/>
  </w:num>
  <w:num w:numId="156" w16cid:durableId="2098594852">
    <w:abstractNumId w:val="18"/>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F65BCA"/>
    <w:rsid w:val="00216117"/>
    <w:rsid w:val="00262A50"/>
    <w:rsid w:val="008A6FFA"/>
    <w:rsid w:val="00F65B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596"/>
    <o:shapelayout v:ext="edit">
      <o:idmap v:ext="edit" data="1,2"/>
    </o:shapelayout>
  </w:shapeDefaults>
  <w:decimalSymbol w:val=","/>
  <w:listSeparator w:val=";"/>
  <w14:docId w14:val="1F028670"/>
  <w15:docId w15:val="{3E434775-50BE-4BE0-83AA-37FDD94C8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eastAsia="cs-CZ" w:bidi="cs-CZ"/>
    </w:rPr>
  </w:style>
  <w:style w:type="paragraph" w:styleId="Nadpis1">
    <w:name w:val="heading 1"/>
    <w:basedOn w:val="Normln"/>
    <w:uiPriority w:val="9"/>
    <w:qFormat/>
    <w:pPr>
      <w:ind w:left="685" w:hanging="569"/>
      <w:outlineLvl w:val="0"/>
    </w:pPr>
    <w:rPr>
      <w:b/>
      <w:bCs/>
      <w:sz w:val="24"/>
      <w:szCs w:val="24"/>
    </w:rPr>
  </w:style>
  <w:style w:type="paragraph" w:styleId="Nadpis2">
    <w:name w:val="heading 2"/>
    <w:basedOn w:val="Normln"/>
    <w:uiPriority w:val="9"/>
    <w:unhideWhenUsed/>
    <w:qFormat/>
    <w:pPr>
      <w:ind w:left="258"/>
      <w:outlineLvl w:val="1"/>
    </w:pPr>
    <w:rPr>
      <w:rFonts w:ascii="Times New Roman" w:eastAsia="Times New Roman" w:hAnsi="Times New Roman" w:cs="Times New Roman"/>
      <w:sz w:val="24"/>
      <w:szCs w:val="24"/>
    </w:rPr>
  </w:style>
  <w:style w:type="paragraph" w:styleId="Nadpis3">
    <w:name w:val="heading 3"/>
    <w:basedOn w:val="Normln"/>
    <w:uiPriority w:val="9"/>
    <w:unhideWhenUsed/>
    <w:qFormat/>
    <w:pPr>
      <w:spacing w:before="120"/>
      <w:ind w:left="685"/>
      <w:jc w:val="both"/>
      <w:outlineLvl w:val="2"/>
    </w:pPr>
  </w:style>
  <w:style w:type="paragraph" w:styleId="Nadpis4">
    <w:name w:val="heading 4"/>
    <w:basedOn w:val="Normln"/>
    <w:uiPriority w:val="9"/>
    <w:unhideWhenUsed/>
    <w:qFormat/>
    <w:pPr>
      <w:ind w:left="117"/>
      <w:outlineLvl w:val="3"/>
    </w:pPr>
    <w:rPr>
      <w:i/>
    </w:rPr>
  </w:style>
  <w:style w:type="paragraph" w:styleId="Nadpis5">
    <w:name w:val="heading 5"/>
    <w:basedOn w:val="Normln"/>
    <w:uiPriority w:val="9"/>
    <w:unhideWhenUsed/>
    <w:qFormat/>
    <w:pPr>
      <w:spacing w:before="154"/>
      <w:ind w:left="1470" w:hanging="431"/>
      <w:jc w:val="both"/>
      <w:outlineLvl w:val="4"/>
    </w:pPr>
    <w:rPr>
      <w:b/>
      <w:bCs/>
      <w:sz w:val="20"/>
      <w:szCs w:val="20"/>
    </w:rPr>
  </w:style>
  <w:style w:type="paragraph" w:styleId="Nadpis6">
    <w:name w:val="heading 6"/>
    <w:basedOn w:val="Normln"/>
    <w:uiPriority w:val="9"/>
    <w:unhideWhenUsed/>
    <w:qFormat/>
    <w:pPr>
      <w:ind w:left="1894"/>
      <w:outlineLvl w:val="5"/>
    </w:pPr>
    <w:rPr>
      <w:sz w:val="20"/>
      <w:szCs w:val="20"/>
    </w:rPr>
  </w:style>
  <w:style w:type="paragraph" w:styleId="Nadpis7">
    <w:name w:val="heading 7"/>
    <w:basedOn w:val="Normln"/>
    <w:uiPriority w:val="1"/>
    <w:qFormat/>
    <w:pPr>
      <w:spacing w:before="1"/>
      <w:ind w:left="507"/>
      <w:outlineLvl w:val="6"/>
    </w:pPr>
    <w:rPr>
      <w:rFonts w:ascii="Calibri" w:eastAsia="Calibri" w:hAnsi="Calibri" w:cs="Calibri"/>
      <w:sz w:val="19"/>
      <w:szCs w:val="19"/>
    </w:rPr>
  </w:style>
  <w:style w:type="paragraph" w:styleId="Nadpis8">
    <w:name w:val="heading 8"/>
    <w:basedOn w:val="Normln"/>
    <w:uiPriority w:val="1"/>
    <w:qFormat/>
    <w:pPr>
      <w:ind w:left="1050"/>
      <w:jc w:val="both"/>
      <w:outlineLvl w:val="7"/>
    </w:pPr>
    <w:rPr>
      <w:b/>
      <w:bCs/>
      <w:sz w:val="18"/>
      <w:szCs w:val="18"/>
    </w:rPr>
  </w:style>
  <w:style w:type="paragraph" w:styleId="Nadpis9">
    <w:name w:val="heading 9"/>
    <w:basedOn w:val="Normln"/>
    <w:uiPriority w:val="1"/>
    <w:qFormat/>
    <w:pPr>
      <w:ind w:left="880"/>
      <w:jc w:val="both"/>
      <w:outlineLvl w:val="8"/>
    </w:pPr>
    <w:rPr>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00"/>
      <w:ind w:left="558" w:hanging="442"/>
    </w:pPr>
    <w:rPr>
      <w:sz w:val="20"/>
      <w:szCs w:val="20"/>
    </w:rPr>
  </w:style>
  <w:style w:type="paragraph" w:styleId="Zkladntext">
    <w:name w:val="Body Text"/>
    <w:basedOn w:val="Normln"/>
    <w:uiPriority w:val="1"/>
    <w:qFormat/>
    <w:rPr>
      <w:sz w:val="15"/>
      <w:szCs w:val="15"/>
    </w:rPr>
  </w:style>
  <w:style w:type="paragraph" w:styleId="Odstavecseseznamem">
    <w:name w:val="List Paragraph"/>
    <w:basedOn w:val="Normln"/>
    <w:uiPriority w:val="1"/>
    <w:qFormat/>
    <w:pPr>
      <w:ind w:left="455" w:hanging="273"/>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7.png"/><Relationship Id="rId42" Type="http://schemas.openxmlformats.org/officeDocument/2006/relationships/hyperlink" Target="http://ec.europa.eu/consumers/odr/" TargetMode="External"/><Relationship Id="rId47" Type="http://schemas.openxmlformats.org/officeDocument/2006/relationships/image" Target="media/image27.png"/><Relationship Id="rId63" Type="http://schemas.openxmlformats.org/officeDocument/2006/relationships/hyperlink" Target="mailto:(podpora@ezak.cz" TargetMode="External"/><Relationship Id="rId68" Type="http://schemas.openxmlformats.org/officeDocument/2006/relationships/image" Target="media/image44.png"/><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www.generaliceska.cz/" TargetMode="External"/><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hyperlink" Target="http://www.uoou.cz/" TargetMode="External"/><Relationship Id="rId37" Type="http://schemas.openxmlformats.org/officeDocument/2006/relationships/hyperlink" Target="http://www.generaliceska.cz/" TargetMode="External"/><Relationship Id="rId40" Type="http://schemas.openxmlformats.org/officeDocument/2006/relationships/hyperlink" Target="mailto:stiznosti@generaliceska.cz" TargetMode="External"/><Relationship Id="rId45" Type="http://schemas.openxmlformats.org/officeDocument/2006/relationships/hyperlink" Target="http://www.generaliceska.cz/" TargetMode="External"/><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image" Target="media/image42.jpeg"/><Relationship Id="rId5" Type="http://schemas.openxmlformats.org/officeDocument/2006/relationships/image" Target="media/image1.png"/><Relationship Id="rId61" Type="http://schemas.openxmlformats.org/officeDocument/2006/relationships/image" Target="media/image40.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hyperlink" Target="http://www.generaliceska.cz/sankce-zemi-osob" TargetMode="External"/><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hyperlink" Target="http://www.generaliceska.cz/vyrocni-zpravy" TargetMode="External"/><Relationship Id="rId43" Type="http://schemas.openxmlformats.org/officeDocument/2006/relationships/hyperlink" Target="http://www.generaliceska.cz/sankce-zemi-osob" TargetMode="External"/><Relationship Id="rId48" Type="http://schemas.openxmlformats.org/officeDocument/2006/relationships/image" Target="media/image28.png"/><Relationship Id="rId56" Type="http://schemas.openxmlformats.org/officeDocument/2006/relationships/hyperlink" Target="http://www.mzv.cz/jnp/cz/cestujeme/aktualni_doporuceni_a_varovani/index.html)%3B" TargetMode="External"/><Relationship Id="rId64" Type="http://schemas.openxmlformats.org/officeDocument/2006/relationships/hyperlink" Target="http://www.dia.gov.cz/egovernment/registr-smluv/metodicke-dokumenty/)" TargetMode="External"/><Relationship Id="rId69" Type="http://schemas.openxmlformats.org/officeDocument/2006/relationships/image" Target="media/image45.png"/><Relationship Id="rId8" Type="http://schemas.openxmlformats.org/officeDocument/2006/relationships/image" Target="media/image4.png"/><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hyperlink" Target="mailto:dpo@generaliceska.cz" TargetMode="External"/><Relationship Id="rId38" Type="http://schemas.openxmlformats.org/officeDocument/2006/relationships/hyperlink" Target="http://www.generaliceska.cz/podnety" TargetMode="External"/><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3.png"/><Relationship Id="rId20" Type="http://schemas.openxmlformats.org/officeDocument/2006/relationships/image" Target="media/image16.png"/><Relationship Id="rId41" Type="http://schemas.openxmlformats.org/officeDocument/2006/relationships/hyperlink" Target="mailto:stiznosti@generaliceska.cz" TargetMode="External"/><Relationship Id="rId54" Type="http://schemas.openxmlformats.org/officeDocument/2006/relationships/image" Target="media/image34.png"/><Relationship Id="rId62" Type="http://schemas.openxmlformats.org/officeDocument/2006/relationships/image" Target="media/image41.jpeg"/><Relationship Id="rId70"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www.generaliceska.cz/sankce-zemi-osob" TargetMode="External"/><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hyperlink" Target="http://www.generaliceska.cz/sankce-zemi-osob" TargetMode="External"/><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hyperlink" Target="http://eur-lex.europa.eu/legal-"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www.generaliceska.cz/podnety" TargetMode="External"/><Relationship Id="rId34" Type="http://schemas.openxmlformats.org/officeDocument/2006/relationships/hyperlink" Target="http://www.generaliceska.cz/" TargetMode="External"/><Relationship Id="rId50" Type="http://schemas.openxmlformats.org/officeDocument/2006/relationships/image" Target="media/image30.png"/><Relationship Id="rId55"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107</Pages>
  <Words>57222</Words>
  <Characters>337613</Characters>
  <Application>Microsoft Office Word</Application>
  <DocSecurity>0</DocSecurity>
  <Lines>2813</Lines>
  <Paragraphs>788</Paragraphs>
  <ScaleCrop>false</ScaleCrop>
  <Company/>
  <LinksUpToDate>false</LinksUpToDate>
  <CharactersWithSpaces>394047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PS_ZU v Plzni objasnění</dc:title>
  <dc:subject>()</dc:subject>
  <dc:creator>IStavarova</dc:creator>
  <cp:keywords>()</cp:keywords>
  <cp:lastModifiedBy>Blanka Grebeňová</cp:lastModifiedBy>
  <cp:revision>2</cp:revision>
  <dcterms:created xsi:type="dcterms:W3CDTF">2025-12-02T06:38:00Z</dcterms:created>
  <dcterms:modified xsi:type="dcterms:W3CDTF">2025-12-02T06:38:00Z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2025-11-21T00:00:00Z</vt:filetime>
  </property>
  <property fmtid="{D5CDD505-2E9C-101B-9397-08002B2CF9AE}" pid="3" name="Creator">
    <vt:lpwstr>PDFCreator Version 1.6.2</vt:lpwstr>
  </property>
  <property fmtid="{D5CDD505-2E9C-101B-9397-08002B2CF9AE}" pid="4" name="LastSaved">
    <vt:filetime>2025-11-28T00:00:00Z</vt:filetime>
  </property>
</Properties>
</file>